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1DF574E" w14:textId="77777777" w:rsidR="00357D39" w:rsidRPr="003D1E07" w:rsidRDefault="00357D39" w:rsidP="00357D39">
      <w:pPr>
        <w:jc w:val="center"/>
        <w:rPr>
          <w:b/>
        </w:rPr>
      </w:pPr>
      <w:bookmarkStart w:id="0" w:name="_Toc464072367"/>
      <w:bookmarkStart w:id="1" w:name="OLE_LINK1"/>
      <w:bookmarkStart w:id="2" w:name="OLE_LINK2"/>
      <w:bookmarkStart w:id="3" w:name="_Toc93747265"/>
      <w:bookmarkStart w:id="4" w:name="_Toc12558293"/>
    </w:p>
    <w:p w14:paraId="5433DB8D" w14:textId="77777777" w:rsidR="00357D39" w:rsidRPr="003D1E07" w:rsidRDefault="00357D39" w:rsidP="00357D39">
      <w:pPr>
        <w:jc w:val="center"/>
        <w:rPr>
          <w:b/>
        </w:rPr>
      </w:pPr>
      <w:bookmarkStart w:id="5" w:name="_GoBack"/>
      <w:bookmarkEnd w:id="5"/>
    </w:p>
    <w:p w14:paraId="647A81D1" w14:textId="77777777" w:rsidR="00357D39" w:rsidRPr="003D1E07" w:rsidRDefault="00357D39" w:rsidP="00357D39">
      <w:pPr>
        <w:jc w:val="center"/>
        <w:rPr>
          <w:b/>
        </w:rPr>
      </w:pPr>
    </w:p>
    <w:p w14:paraId="4AD327B6" w14:textId="003774FC" w:rsidR="00357D39" w:rsidRPr="003D1E07" w:rsidRDefault="00357D39" w:rsidP="00357D39">
      <w:pPr>
        <w:jc w:val="center"/>
        <w:rPr>
          <w:b/>
        </w:rPr>
      </w:pPr>
      <w:r w:rsidRPr="003D1E07">
        <w:rPr>
          <w:b/>
        </w:rPr>
        <w:t>Hermeneutika objektivity I</w:t>
      </w:r>
      <w:r w:rsidR="00EB4FFD">
        <w:rPr>
          <w:b/>
        </w:rPr>
        <w:t>I</w:t>
      </w:r>
      <w:r w:rsidRPr="003D1E07">
        <w:rPr>
          <w:b/>
        </w:rPr>
        <w:t>.</w:t>
      </w:r>
    </w:p>
    <w:p w14:paraId="21A74377" w14:textId="77777777" w:rsidR="00357D39" w:rsidRPr="003D1E07" w:rsidRDefault="00357D39" w:rsidP="00357D39">
      <w:pPr>
        <w:jc w:val="center"/>
        <w:rPr>
          <w:b/>
        </w:rPr>
      </w:pPr>
    </w:p>
    <w:p w14:paraId="28D3F79C" w14:textId="2058F5F3" w:rsidR="00357D39" w:rsidRPr="003D1E07" w:rsidRDefault="00EB4FFD" w:rsidP="00357D39">
      <w:pPr>
        <w:jc w:val="center"/>
        <w:rPr>
          <w:b/>
        </w:rPr>
      </w:pPr>
      <w:r w:rsidRPr="00EB4FFD">
        <w:rPr>
          <w:b/>
        </w:rPr>
        <w:t xml:space="preserve">Tragédie scholastického aristotelismu </w:t>
      </w:r>
    </w:p>
    <w:p w14:paraId="66CEEB2B" w14:textId="77777777" w:rsidR="00357D39" w:rsidRPr="003D1E07" w:rsidRDefault="00357D39" w:rsidP="00357D39">
      <w:pPr>
        <w:jc w:val="center"/>
        <w:rPr>
          <w:b/>
          <w:szCs w:val="24"/>
          <w:lang w:eastAsia="en-US"/>
        </w:rPr>
      </w:pPr>
    </w:p>
    <w:p w14:paraId="2B20C61C" w14:textId="77777777" w:rsidR="00357D39" w:rsidRPr="003D1E07" w:rsidRDefault="00357D39" w:rsidP="00357D39">
      <w:pPr>
        <w:jc w:val="center"/>
        <w:rPr>
          <w:b/>
          <w:szCs w:val="24"/>
          <w:lang w:eastAsia="en-US"/>
        </w:rPr>
      </w:pPr>
    </w:p>
    <w:p w14:paraId="235CF2D2" w14:textId="77777777" w:rsidR="00357D39" w:rsidRPr="003D1E07" w:rsidRDefault="00357D39" w:rsidP="00357D39">
      <w:pPr>
        <w:jc w:val="center"/>
        <w:rPr>
          <w:b/>
          <w:szCs w:val="24"/>
          <w:lang w:eastAsia="en-US"/>
        </w:rPr>
      </w:pPr>
      <w:r w:rsidRPr="003D1E07">
        <w:rPr>
          <w:b/>
          <w:szCs w:val="24"/>
          <w:lang w:eastAsia="en-US"/>
        </w:rPr>
        <w:t>Václav Umlauf</w:t>
      </w:r>
    </w:p>
    <w:p w14:paraId="3FDC232D" w14:textId="77777777" w:rsidR="00357D39" w:rsidRPr="003D1E07" w:rsidRDefault="00357D39" w:rsidP="00357D39">
      <w:pPr>
        <w:jc w:val="center"/>
        <w:rPr>
          <w:b/>
        </w:rPr>
      </w:pPr>
    </w:p>
    <w:p w14:paraId="7B3E5AB9" w14:textId="77777777" w:rsidR="00357D39" w:rsidRPr="003D1E07" w:rsidRDefault="00357D39" w:rsidP="00357D39">
      <w:pPr>
        <w:jc w:val="center"/>
        <w:rPr>
          <w:b/>
        </w:rPr>
      </w:pPr>
    </w:p>
    <w:p w14:paraId="222B6232" w14:textId="77777777" w:rsidR="00357D39" w:rsidRPr="003D1E07" w:rsidRDefault="00357D39" w:rsidP="00357D39">
      <w:pPr>
        <w:jc w:val="center"/>
        <w:rPr>
          <w:b/>
        </w:rPr>
      </w:pPr>
    </w:p>
    <w:p w14:paraId="7562DCB8" w14:textId="77777777" w:rsidR="00357D39" w:rsidRPr="003D1E07" w:rsidRDefault="00357D39" w:rsidP="00357D39">
      <w:pPr>
        <w:jc w:val="center"/>
        <w:rPr>
          <w:b/>
        </w:rPr>
      </w:pPr>
    </w:p>
    <w:p w14:paraId="6CBA86C3" w14:textId="77777777" w:rsidR="00357D39" w:rsidRPr="003D1E07" w:rsidRDefault="00357D39" w:rsidP="00357D39">
      <w:pPr>
        <w:jc w:val="center"/>
        <w:rPr>
          <w:b/>
        </w:rPr>
      </w:pPr>
    </w:p>
    <w:p w14:paraId="4AD0D3DC" w14:textId="77777777" w:rsidR="00357D39" w:rsidRPr="003D1E07" w:rsidRDefault="00357D39" w:rsidP="00357D39">
      <w:pPr>
        <w:jc w:val="center"/>
        <w:rPr>
          <w:b/>
        </w:rPr>
      </w:pPr>
    </w:p>
    <w:p w14:paraId="485C83DA" w14:textId="77777777" w:rsidR="00357D39" w:rsidRPr="003D1E07" w:rsidRDefault="00357D39" w:rsidP="00357D39">
      <w:pPr>
        <w:jc w:val="center"/>
        <w:rPr>
          <w:b/>
        </w:rPr>
      </w:pPr>
    </w:p>
    <w:p w14:paraId="203B0F60" w14:textId="77777777" w:rsidR="00357D39" w:rsidRPr="003D1E07" w:rsidRDefault="00357D39" w:rsidP="00357D39">
      <w:pPr>
        <w:jc w:val="center"/>
        <w:rPr>
          <w:b/>
        </w:rPr>
      </w:pPr>
    </w:p>
    <w:p w14:paraId="14C98CCD" w14:textId="77777777" w:rsidR="00357D39" w:rsidRPr="003D1E07" w:rsidRDefault="00357D39" w:rsidP="00357D39">
      <w:pPr>
        <w:jc w:val="center"/>
        <w:rPr>
          <w:b/>
        </w:rPr>
      </w:pPr>
      <w:r w:rsidRPr="003D1E07">
        <w:rPr>
          <w:b/>
        </w:rPr>
        <w:t>(Logo)</w:t>
      </w:r>
    </w:p>
    <w:p w14:paraId="132B4D6C" w14:textId="77777777" w:rsidR="00357D39" w:rsidRPr="003D1E07" w:rsidRDefault="00357D39" w:rsidP="00357D39">
      <w:pPr>
        <w:jc w:val="center"/>
        <w:rPr>
          <w:b/>
        </w:rPr>
      </w:pPr>
    </w:p>
    <w:p w14:paraId="7F45DD81" w14:textId="77777777" w:rsidR="00357D39" w:rsidRPr="003D1E07" w:rsidRDefault="00357D39" w:rsidP="00357D39">
      <w:pPr>
        <w:jc w:val="center"/>
        <w:rPr>
          <w:b/>
        </w:rPr>
      </w:pPr>
    </w:p>
    <w:p w14:paraId="364FA3B0" w14:textId="77777777" w:rsidR="00357D39" w:rsidRPr="003D1E07" w:rsidRDefault="00357D39" w:rsidP="00357D39">
      <w:pPr>
        <w:jc w:val="center"/>
        <w:rPr>
          <w:b/>
        </w:rPr>
      </w:pPr>
      <w:r w:rsidRPr="003D1E07">
        <w:rPr>
          <w:b/>
        </w:rPr>
        <w:t>Praha 2022</w:t>
      </w:r>
      <w:r w:rsidRPr="003D1E07">
        <w:rPr>
          <w:b/>
        </w:rPr>
        <w:br w:type="page"/>
      </w:r>
    </w:p>
    <w:p w14:paraId="28475A4D" w14:textId="77777777" w:rsidR="00357D39" w:rsidRPr="003D1E07" w:rsidRDefault="00357D39" w:rsidP="00357D39">
      <w:pPr>
        <w:jc w:val="left"/>
        <w:rPr>
          <w:b/>
        </w:rPr>
      </w:pPr>
    </w:p>
    <w:p w14:paraId="545FFAC3" w14:textId="77777777" w:rsidR="00357D39" w:rsidRPr="003D1E07" w:rsidRDefault="00357D39" w:rsidP="00357D39">
      <w:pPr>
        <w:jc w:val="left"/>
        <w:rPr>
          <w:b/>
        </w:rPr>
      </w:pPr>
    </w:p>
    <w:p w14:paraId="0123ECED" w14:textId="77777777" w:rsidR="00357D39" w:rsidRPr="003D1E07" w:rsidRDefault="00357D39" w:rsidP="00357D39">
      <w:pPr>
        <w:jc w:val="left"/>
        <w:rPr>
          <w:b/>
        </w:rPr>
      </w:pPr>
      <w:r w:rsidRPr="003D1E07">
        <w:rPr>
          <w:b/>
        </w:rPr>
        <w:t>HERMAION</w:t>
      </w:r>
      <w:r w:rsidRPr="003D1E07">
        <w:rPr>
          <w:b/>
        </w:rPr>
        <w:cr/>
        <w:t>adresa</w:t>
      </w:r>
    </w:p>
    <w:p w14:paraId="5A44EAA8" w14:textId="77777777" w:rsidR="00357D39" w:rsidRPr="003D1E07" w:rsidRDefault="00357D39" w:rsidP="00357D39">
      <w:pPr>
        <w:rPr>
          <w:lang w:eastAsia="en-US"/>
        </w:rPr>
      </w:pPr>
    </w:p>
    <w:p w14:paraId="20EB0F78" w14:textId="77777777" w:rsidR="00357D39" w:rsidRPr="003D1E07" w:rsidRDefault="00357D39" w:rsidP="00357D39">
      <w:pPr>
        <w:rPr>
          <w:lang w:eastAsia="en-US"/>
        </w:rPr>
      </w:pPr>
      <w:r w:rsidRPr="003D1E07">
        <w:rPr>
          <w:lang w:eastAsia="en-US"/>
        </w:rPr>
        <w:t>Knihy lze zakoupit v internetovém knihkupectví</w:t>
      </w:r>
    </w:p>
    <w:p w14:paraId="74BD24C4" w14:textId="77777777" w:rsidR="00357D39" w:rsidRPr="003D1E07" w:rsidRDefault="009517EC" w:rsidP="00357D39">
      <w:pPr>
        <w:rPr>
          <w:lang w:eastAsia="en-US"/>
        </w:rPr>
      </w:pPr>
      <w:hyperlink r:id="rId9" w:history="1">
        <w:r w:rsidR="00357D39" w:rsidRPr="003D1E07">
          <w:rPr>
            <w:rStyle w:val="Hypertextovodkaz"/>
            <w:lang w:eastAsia="en-US"/>
          </w:rPr>
          <w:t>www.hermaion.cz</w:t>
        </w:r>
      </w:hyperlink>
    </w:p>
    <w:p w14:paraId="1738598F" w14:textId="77777777" w:rsidR="00357D39" w:rsidRPr="003D1E07" w:rsidRDefault="00357D39" w:rsidP="00357D39">
      <w:pPr>
        <w:jc w:val="left"/>
        <w:rPr>
          <w:b/>
        </w:rPr>
      </w:pPr>
    </w:p>
    <w:p w14:paraId="67D07B38" w14:textId="77777777" w:rsidR="00357D39" w:rsidRPr="003D1E07" w:rsidRDefault="00357D39" w:rsidP="00357D39">
      <w:pPr>
        <w:rPr>
          <w:b/>
        </w:rPr>
      </w:pPr>
    </w:p>
    <w:p w14:paraId="4413FCFE" w14:textId="77777777" w:rsidR="00357D39" w:rsidRPr="003D1E07" w:rsidRDefault="00357D39" w:rsidP="00357D39">
      <w:pPr>
        <w:rPr>
          <w:b/>
        </w:rPr>
      </w:pPr>
    </w:p>
    <w:p w14:paraId="4DDD7A75" w14:textId="77777777" w:rsidR="00357D39" w:rsidRPr="003D1E07" w:rsidRDefault="00357D39" w:rsidP="00357D39">
      <w:pPr>
        <w:rPr>
          <w:b/>
        </w:rPr>
      </w:pPr>
    </w:p>
    <w:p w14:paraId="44AFC0B5" w14:textId="77777777" w:rsidR="00357D39" w:rsidRPr="003D1E07" w:rsidRDefault="00357D39" w:rsidP="00357D39">
      <w:pPr>
        <w:rPr>
          <w:b/>
        </w:rPr>
      </w:pPr>
    </w:p>
    <w:p w14:paraId="2580B04E" w14:textId="77777777" w:rsidR="00357D39" w:rsidRPr="003D1E07" w:rsidRDefault="00357D39" w:rsidP="00357D39">
      <w:pPr>
        <w:rPr>
          <w:b/>
        </w:rPr>
      </w:pPr>
    </w:p>
    <w:p w14:paraId="54F85DED" w14:textId="77777777" w:rsidR="00357D39" w:rsidRPr="003D1E07" w:rsidRDefault="00357D39" w:rsidP="00357D39">
      <w:pPr>
        <w:rPr>
          <w:b/>
        </w:rPr>
      </w:pPr>
    </w:p>
    <w:p w14:paraId="573832C6" w14:textId="77777777" w:rsidR="00357D39" w:rsidRPr="003D1E07" w:rsidRDefault="00357D39" w:rsidP="00357D39">
      <w:pPr>
        <w:rPr>
          <w:b/>
        </w:rPr>
      </w:pPr>
    </w:p>
    <w:p w14:paraId="2200C26E" w14:textId="77777777" w:rsidR="00357D39" w:rsidRPr="003D1E07" w:rsidRDefault="00357D39" w:rsidP="00357D39">
      <w:pPr>
        <w:rPr>
          <w:b/>
        </w:rPr>
      </w:pPr>
    </w:p>
    <w:p w14:paraId="122FAA0A" w14:textId="77777777" w:rsidR="00357D39" w:rsidRPr="003D1E07" w:rsidRDefault="00357D39" w:rsidP="00357D39">
      <w:pPr>
        <w:rPr>
          <w:b/>
        </w:rPr>
      </w:pPr>
    </w:p>
    <w:p w14:paraId="499AFE53" w14:textId="77777777" w:rsidR="00357D39" w:rsidRPr="003D1E07" w:rsidRDefault="00357D39" w:rsidP="00357D39">
      <w:pPr>
        <w:rPr>
          <w:b/>
        </w:rPr>
      </w:pPr>
    </w:p>
    <w:p w14:paraId="5A1B94EF" w14:textId="77777777" w:rsidR="00357D39" w:rsidRPr="003D1E07" w:rsidRDefault="00357D39" w:rsidP="00357D39">
      <w:pPr>
        <w:rPr>
          <w:b/>
        </w:rPr>
      </w:pPr>
      <w:r w:rsidRPr="003D1E07">
        <w:rPr>
          <w:b/>
        </w:rPr>
        <w:t>Copyright© 2022 Hermaion. All Rights reserved.</w:t>
      </w:r>
      <w:r w:rsidRPr="003D1E07">
        <w:rPr>
          <w:b/>
        </w:rPr>
        <w:cr/>
      </w:r>
    </w:p>
    <w:p w14:paraId="6F2D8C68" w14:textId="77777777" w:rsidR="00357D39" w:rsidRPr="003D1E07" w:rsidRDefault="00357D39" w:rsidP="00357D39">
      <w:pPr>
        <w:rPr>
          <w:b/>
        </w:rPr>
      </w:pPr>
      <w:r w:rsidRPr="003D1E07">
        <w:rPr>
          <w:b/>
        </w:rPr>
        <w:t>ISBN ....(E-book)</w:t>
      </w:r>
    </w:p>
    <w:p w14:paraId="41706E16" w14:textId="77777777" w:rsidR="00357D39" w:rsidRPr="003D1E07" w:rsidRDefault="00357D39" w:rsidP="00357D39">
      <w:pPr>
        <w:rPr>
          <w:b/>
        </w:rPr>
      </w:pPr>
      <w:r w:rsidRPr="003D1E07">
        <w:rPr>
          <w:b/>
        </w:rPr>
        <w:t>ISBN .....(brož.)</w:t>
      </w:r>
      <w:r w:rsidRPr="003D1E07">
        <w:rPr>
          <w:b/>
        </w:rPr>
        <w:cr/>
      </w:r>
    </w:p>
    <w:bookmarkEnd w:id="0"/>
    <w:bookmarkEnd w:id="1"/>
    <w:bookmarkEnd w:id="2"/>
    <w:bookmarkEnd w:id="3"/>
    <w:p w14:paraId="113C2906" w14:textId="77777777" w:rsidR="00357D39" w:rsidRPr="003D1E07" w:rsidRDefault="00357D39" w:rsidP="00357D39">
      <w:pPr>
        <w:pStyle w:val="Nadpis3"/>
        <w:rPr>
          <w:lang w:val="cs-CZ"/>
        </w:rPr>
      </w:pPr>
      <w:r w:rsidRPr="003D1E07">
        <w:rPr>
          <w:i/>
          <w:lang w:val="cs-CZ"/>
        </w:rPr>
        <w:br w:type="page"/>
      </w:r>
      <w:bookmarkStart w:id="6" w:name="_Toc93747292"/>
      <w:bookmarkStart w:id="7" w:name="_Toc93748861"/>
      <w:bookmarkStart w:id="8" w:name="_Toc102906155"/>
      <w:bookmarkStart w:id="9" w:name="_Toc160449305"/>
      <w:r w:rsidRPr="003D1E07">
        <w:rPr>
          <w:lang w:val="cs-CZ"/>
        </w:rPr>
        <w:lastRenderedPageBreak/>
        <w:t>Obsah</w:t>
      </w:r>
      <w:bookmarkEnd w:id="6"/>
      <w:bookmarkEnd w:id="7"/>
      <w:r>
        <w:rPr>
          <w:lang w:val="cs-CZ"/>
        </w:rPr>
        <w:t xml:space="preserve"> </w:t>
      </w:r>
      <w:r w:rsidRPr="00261E86">
        <w:rPr>
          <w:b w:val="0"/>
        </w:rPr>
        <w:t>(</w:t>
      </w:r>
      <w:r w:rsidRPr="00261E86">
        <w:rPr>
          <w:b w:val="0"/>
          <w:i/>
        </w:rPr>
        <w:t>do obsahu budou vždy přidané všechny tři díly</w:t>
      </w:r>
      <w:r w:rsidRPr="00261E86">
        <w:rPr>
          <w:b w:val="0"/>
          <w:i/>
          <w:lang w:val="cs-CZ"/>
        </w:rPr>
        <w:t>!</w:t>
      </w:r>
      <w:r w:rsidRPr="00261E86">
        <w:rPr>
          <w:b w:val="0"/>
        </w:rPr>
        <w:t>)</w:t>
      </w:r>
      <w:bookmarkEnd w:id="8"/>
      <w:bookmarkEnd w:id="9"/>
    </w:p>
    <w:p w14:paraId="0F075577" w14:textId="39E98E37" w:rsidR="00357D39" w:rsidRDefault="00357D39" w:rsidP="00357D39">
      <w:pPr>
        <w:pStyle w:val="Obsah3"/>
        <w:tabs>
          <w:tab w:val="right" w:leader="dot" w:pos="9061"/>
        </w:tabs>
        <w:spacing w:line="240" w:lineRule="auto"/>
        <w:rPr>
          <w:rFonts w:asciiTheme="minorHAnsi" w:eastAsiaTheme="minorEastAsia" w:hAnsiTheme="minorHAnsi" w:cstheme="minorBidi"/>
          <w:i w:val="0"/>
          <w:iCs w:val="0"/>
          <w:sz w:val="22"/>
          <w:szCs w:val="22"/>
        </w:rPr>
      </w:pPr>
      <w:r w:rsidRPr="003D1E07">
        <w:fldChar w:fldCharType="begin"/>
      </w:r>
      <w:r w:rsidRPr="003D1E07">
        <w:instrText xml:space="preserve"> TOC \o "1-3" \h \z \u </w:instrText>
      </w:r>
      <w:r w:rsidRPr="003D1E07">
        <w:fldChar w:fldCharType="separate"/>
      </w:r>
    </w:p>
    <w:p w14:paraId="27666E94" w14:textId="77777777" w:rsidR="00357D39" w:rsidRDefault="009517EC" w:rsidP="00357D39">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60449306" w:history="1">
        <w:r w:rsidR="00357D39" w:rsidRPr="00640E7F">
          <w:rPr>
            <w:rStyle w:val="Hypertextovodkaz"/>
          </w:rPr>
          <w:t>1. Dvojí pojetí pravdy a intelektu (Matrice I)</w:t>
        </w:r>
        <w:r w:rsidR="00357D39">
          <w:rPr>
            <w:webHidden/>
          </w:rPr>
          <w:tab/>
        </w:r>
        <w:r w:rsidR="00357D39">
          <w:rPr>
            <w:webHidden/>
          </w:rPr>
          <w:fldChar w:fldCharType="begin"/>
        </w:r>
        <w:r w:rsidR="00357D39">
          <w:rPr>
            <w:webHidden/>
          </w:rPr>
          <w:instrText xml:space="preserve"> PAGEREF _Toc160449306 \h </w:instrText>
        </w:r>
        <w:r w:rsidR="00357D39">
          <w:rPr>
            <w:webHidden/>
          </w:rPr>
        </w:r>
        <w:r w:rsidR="00357D39">
          <w:rPr>
            <w:webHidden/>
          </w:rPr>
          <w:fldChar w:fldCharType="separate"/>
        </w:r>
        <w:r w:rsidR="00357D39">
          <w:rPr>
            <w:webHidden/>
          </w:rPr>
          <w:t>16</w:t>
        </w:r>
        <w:r w:rsidR="00357D39">
          <w:rPr>
            <w:webHidden/>
          </w:rPr>
          <w:fldChar w:fldCharType="end"/>
        </w:r>
      </w:hyperlink>
    </w:p>
    <w:p w14:paraId="1FACEE06" w14:textId="53466C58"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07" w:history="1">
        <w:r w:rsidR="00357D39" w:rsidRPr="00640E7F">
          <w:rPr>
            <w:rStyle w:val="Hypertextovodkaz"/>
          </w:rPr>
          <w:t>1.1 Latinská gigantomachie o substanci (Anicius Boethius)</w:t>
        </w:r>
        <w:r w:rsidR="00357D39">
          <w:rPr>
            <w:webHidden/>
          </w:rPr>
          <w:tab/>
        </w:r>
        <w:r w:rsidR="00357D39">
          <w:rPr>
            <w:webHidden/>
          </w:rPr>
          <w:fldChar w:fldCharType="begin"/>
        </w:r>
        <w:r w:rsidR="00357D39">
          <w:rPr>
            <w:webHidden/>
          </w:rPr>
          <w:instrText xml:space="preserve"> PAGEREF _Toc160449307 \h </w:instrText>
        </w:r>
        <w:r w:rsidR="00357D39">
          <w:rPr>
            <w:webHidden/>
          </w:rPr>
        </w:r>
        <w:r w:rsidR="00357D39">
          <w:rPr>
            <w:webHidden/>
          </w:rPr>
          <w:fldChar w:fldCharType="separate"/>
        </w:r>
        <w:r w:rsidR="00357D39">
          <w:rPr>
            <w:webHidden/>
          </w:rPr>
          <w:t>18</w:t>
        </w:r>
        <w:r w:rsidR="00357D39">
          <w:rPr>
            <w:webHidden/>
          </w:rPr>
          <w:fldChar w:fldCharType="end"/>
        </w:r>
      </w:hyperlink>
    </w:p>
    <w:p w14:paraId="48340FE1"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08" w:history="1">
        <w:r w:rsidR="00357D39" w:rsidRPr="00640E7F">
          <w:rPr>
            <w:rStyle w:val="Hypertextovodkaz"/>
          </w:rPr>
          <w:t xml:space="preserve">1.2 Pravda jako </w:t>
        </w:r>
        <w:r w:rsidR="00357D39" w:rsidRPr="00640E7F">
          <w:rPr>
            <w:rStyle w:val="Hypertextovodkaz"/>
            <w:i/>
          </w:rPr>
          <w:t>rectitudo</w:t>
        </w:r>
        <w:r w:rsidR="00357D39" w:rsidRPr="00640E7F">
          <w:rPr>
            <w:rStyle w:val="Hypertextovodkaz"/>
          </w:rPr>
          <w:t xml:space="preserve"> (Anselm z Canterbury)</w:t>
        </w:r>
        <w:r w:rsidR="00357D39">
          <w:rPr>
            <w:webHidden/>
          </w:rPr>
          <w:tab/>
        </w:r>
        <w:r w:rsidR="00357D39">
          <w:rPr>
            <w:webHidden/>
          </w:rPr>
          <w:fldChar w:fldCharType="begin"/>
        </w:r>
        <w:r w:rsidR="00357D39">
          <w:rPr>
            <w:webHidden/>
          </w:rPr>
          <w:instrText xml:space="preserve"> PAGEREF _Toc160449308 \h </w:instrText>
        </w:r>
        <w:r w:rsidR="00357D39">
          <w:rPr>
            <w:webHidden/>
          </w:rPr>
        </w:r>
        <w:r w:rsidR="00357D39">
          <w:rPr>
            <w:webHidden/>
          </w:rPr>
          <w:fldChar w:fldCharType="separate"/>
        </w:r>
        <w:r w:rsidR="00357D39">
          <w:rPr>
            <w:webHidden/>
          </w:rPr>
          <w:t>28</w:t>
        </w:r>
        <w:r w:rsidR="00357D39">
          <w:rPr>
            <w:webHidden/>
          </w:rPr>
          <w:fldChar w:fldCharType="end"/>
        </w:r>
      </w:hyperlink>
    </w:p>
    <w:p w14:paraId="10521151"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09" w:history="1">
        <w:r w:rsidR="00357D39" w:rsidRPr="00640E7F">
          <w:rPr>
            <w:rStyle w:val="Hypertextovodkaz"/>
          </w:rPr>
          <w:t xml:space="preserve">1.3 Pravda jako </w:t>
        </w:r>
        <w:r w:rsidR="00357D39" w:rsidRPr="00640E7F">
          <w:rPr>
            <w:rStyle w:val="Hypertextovodkaz"/>
            <w:i/>
          </w:rPr>
          <w:t>adaequatio</w:t>
        </w:r>
        <w:r w:rsidR="00357D39" w:rsidRPr="00640E7F">
          <w:rPr>
            <w:rStyle w:val="Hypertextovodkaz"/>
          </w:rPr>
          <w:t xml:space="preserve"> (Pierre Abélard)</w:t>
        </w:r>
        <w:r w:rsidR="00357D39">
          <w:rPr>
            <w:webHidden/>
          </w:rPr>
          <w:tab/>
        </w:r>
        <w:r w:rsidR="00357D39">
          <w:rPr>
            <w:webHidden/>
          </w:rPr>
          <w:fldChar w:fldCharType="begin"/>
        </w:r>
        <w:r w:rsidR="00357D39">
          <w:rPr>
            <w:webHidden/>
          </w:rPr>
          <w:instrText xml:space="preserve"> PAGEREF _Toc160449309 \h </w:instrText>
        </w:r>
        <w:r w:rsidR="00357D39">
          <w:rPr>
            <w:webHidden/>
          </w:rPr>
        </w:r>
        <w:r w:rsidR="00357D39">
          <w:rPr>
            <w:webHidden/>
          </w:rPr>
          <w:fldChar w:fldCharType="separate"/>
        </w:r>
        <w:r w:rsidR="00357D39">
          <w:rPr>
            <w:webHidden/>
          </w:rPr>
          <w:t>37</w:t>
        </w:r>
        <w:r w:rsidR="00357D39">
          <w:rPr>
            <w:webHidden/>
          </w:rPr>
          <w:fldChar w:fldCharType="end"/>
        </w:r>
      </w:hyperlink>
    </w:p>
    <w:p w14:paraId="376F1D74"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10" w:history="1">
        <w:r w:rsidR="00357D39" w:rsidRPr="00640E7F">
          <w:rPr>
            <w:rStyle w:val="Hypertextovodkaz"/>
          </w:rPr>
          <w:t>1.4 Theorie objektivního jsoucna (Gilbertus Porretanus)</w:t>
        </w:r>
        <w:r w:rsidR="00357D39">
          <w:rPr>
            <w:webHidden/>
          </w:rPr>
          <w:tab/>
        </w:r>
        <w:r w:rsidR="00357D39">
          <w:rPr>
            <w:webHidden/>
          </w:rPr>
          <w:fldChar w:fldCharType="begin"/>
        </w:r>
        <w:r w:rsidR="00357D39">
          <w:rPr>
            <w:webHidden/>
          </w:rPr>
          <w:instrText xml:space="preserve"> PAGEREF _Toc160449310 \h </w:instrText>
        </w:r>
        <w:r w:rsidR="00357D39">
          <w:rPr>
            <w:webHidden/>
          </w:rPr>
        </w:r>
        <w:r w:rsidR="00357D39">
          <w:rPr>
            <w:webHidden/>
          </w:rPr>
          <w:fldChar w:fldCharType="separate"/>
        </w:r>
        <w:r w:rsidR="00357D39">
          <w:rPr>
            <w:webHidden/>
          </w:rPr>
          <w:t>59</w:t>
        </w:r>
        <w:r w:rsidR="00357D39">
          <w:rPr>
            <w:webHidden/>
          </w:rPr>
          <w:fldChar w:fldCharType="end"/>
        </w:r>
      </w:hyperlink>
    </w:p>
    <w:p w14:paraId="3CC9BA7D"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11" w:history="1">
        <w:r w:rsidR="00357D39" w:rsidRPr="00640E7F">
          <w:rPr>
            <w:rStyle w:val="Hypertextovodkaz"/>
          </w:rPr>
          <w:t>1.5 Objektivní mytologie substance (</w:t>
        </w:r>
        <w:r w:rsidR="00357D39" w:rsidRPr="00640E7F">
          <w:rPr>
            <w:rStyle w:val="Hypertextovodkaz"/>
            <w:i/>
          </w:rPr>
          <w:t>Dialogus</w:t>
        </w:r>
        <w:r w:rsidR="00357D39" w:rsidRPr="00640E7F">
          <w:rPr>
            <w:rStyle w:val="Hypertextovodkaz"/>
          </w:rPr>
          <w:t xml:space="preserve"> </w:t>
        </w:r>
        <w:r w:rsidR="00357D39" w:rsidRPr="00640E7F">
          <w:rPr>
            <w:rStyle w:val="Hypertextovodkaz"/>
            <w:i/>
          </w:rPr>
          <w:t>Ratii et Everardi</w:t>
        </w:r>
        <w:r w:rsidR="00357D39" w:rsidRPr="00640E7F">
          <w:rPr>
            <w:rStyle w:val="Hypertextovodkaz"/>
          </w:rPr>
          <w:t>)</w:t>
        </w:r>
        <w:r w:rsidR="00357D39">
          <w:rPr>
            <w:webHidden/>
          </w:rPr>
          <w:tab/>
        </w:r>
        <w:r w:rsidR="00357D39">
          <w:rPr>
            <w:webHidden/>
          </w:rPr>
          <w:fldChar w:fldCharType="begin"/>
        </w:r>
        <w:r w:rsidR="00357D39">
          <w:rPr>
            <w:webHidden/>
          </w:rPr>
          <w:instrText xml:space="preserve"> PAGEREF _Toc160449311 \h </w:instrText>
        </w:r>
        <w:r w:rsidR="00357D39">
          <w:rPr>
            <w:webHidden/>
          </w:rPr>
        </w:r>
        <w:r w:rsidR="00357D39">
          <w:rPr>
            <w:webHidden/>
          </w:rPr>
          <w:fldChar w:fldCharType="separate"/>
        </w:r>
        <w:r w:rsidR="00357D39">
          <w:rPr>
            <w:webHidden/>
          </w:rPr>
          <w:t>96</w:t>
        </w:r>
        <w:r w:rsidR="00357D39">
          <w:rPr>
            <w:webHidden/>
          </w:rPr>
          <w:fldChar w:fldCharType="end"/>
        </w:r>
      </w:hyperlink>
    </w:p>
    <w:p w14:paraId="220434F7"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12" w:history="1">
        <w:r w:rsidR="00357D39" w:rsidRPr="00640E7F">
          <w:rPr>
            <w:rStyle w:val="Hypertextovodkaz"/>
          </w:rPr>
          <w:t>1.6 Vznik moderního nominalismu</w:t>
        </w:r>
        <w:r w:rsidR="00357D39">
          <w:rPr>
            <w:webHidden/>
          </w:rPr>
          <w:tab/>
        </w:r>
        <w:r w:rsidR="00357D39">
          <w:rPr>
            <w:webHidden/>
          </w:rPr>
          <w:fldChar w:fldCharType="begin"/>
        </w:r>
        <w:r w:rsidR="00357D39">
          <w:rPr>
            <w:webHidden/>
          </w:rPr>
          <w:instrText xml:space="preserve"> PAGEREF _Toc160449312 \h </w:instrText>
        </w:r>
        <w:r w:rsidR="00357D39">
          <w:rPr>
            <w:webHidden/>
          </w:rPr>
        </w:r>
        <w:r w:rsidR="00357D39">
          <w:rPr>
            <w:webHidden/>
          </w:rPr>
          <w:fldChar w:fldCharType="separate"/>
        </w:r>
        <w:r w:rsidR="00357D39">
          <w:rPr>
            <w:webHidden/>
          </w:rPr>
          <w:t>107</w:t>
        </w:r>
        <w:r w:rsidR="00357D39">
          <w:rPr>
            <w:webHidden/>
          </w:rPr>
          <w:fldChar w:fldCharType="end"/>
        </w:r>
      </w:hyperlink>
    </w:p>
    <w:p w14:paraId="16709C42" w14:textId="77777777" w:rsidR="00357D39" w:rsidRDefault="009517EC" w:rsidP="00357D39">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60449313" w:history="1">
        <w:r w:rsidR="00357D39" w:rsidRPr="00640E7F">
          <w:rPr>
            <w:rStyle w:val="Hypertextovodkaz"/>
            <w:shd w:val="clear" w:color="auto" w:fill="FFFFFF"/>
          </w:rPr>
          <w:t>2. Vznik prvního averroismu (Matrice II)</w:t>
        </w:r>
        <w:r w:rsidR="00357D39">
          <w:rPr>
            <w:webHidden/>
          </w:rPr>
          <w:tab/>
        </w:r>
        <w:r w:rsidR="00357D39">
          <w:rPr>
            <w:webHidden/>
          </w:rPr>
          <w:fldChar w:fldCharType="begin"/>
        </w:r>
        <w:r w:rsidR="00357D39">
          <w:rPr>
            <w:webHidden/>
          </w:rPr>
          <w:instrText xml:space="preserve"> PAGEREF _Toc160449313 \h </w:instrText>
        </w:r>
        <w:r w:rsidR="00357D39">
          <w:rPr>
            <w:webHidden/>
          </w:rPr>
        </w:r>
        <w:r w:rsidR="00357D39">
          <w:rPr>
            <w:webHidden/>
          </w:rPr>
          <w:fldChar w:fldCharType="separate"/>
        </w:r>
        <w:r w:rsidR="00357D39">
          <w:rPr>
            <w:webHidden/>
          </w:rPr>
          <w:t>120</w:t>
        </w:r>
        <w:r w:rsidR="00357D39">
          <w:rPr>
            <w:webHidden/>
          </w:rPr>
          <w:fldChar w:fldCharType="end"/>
        </w:r>
      </w:hyperlink>
    </w:p>
    <w:p w14:paraId="7927501D"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14" w:history="1">
        <w:r w:rsidR="00357D39" w:rsidRPr="00640E7F">
          <w:rPr>
            <w:rStyle w:val="Hypertextovodkaz"/>
          </w:rPr>
          <w:t xml:space="preserve">2.1 Aristotelská intepretace </w:t>
        </w:r>
        <w:r w:rsidR="00357D39" w:rsidRPr="00640E7F">
          <w:rPr>
            <w:rStyle w:val="Hypertextovodkaz"/>
            <w:i/>
          </w:rPr>
          <w:t>De anima</w:t>
        </w:r>
        <w:r w:rsidR="00357D39" w:rsidRPr="00640E7F">
          <w:rPr>
            <w:rStyle w:val="Hypertextovodkaz"/>
          </w:rPr>
          <w:t xml:space="preserve"> (John Blund)</w:t>
        </w:r>
        <w:r w:rsidR="00357D39">
          <w:rPr>
            <w:webHidden/>
          </w:rPr>
          <w:tab/>
        </w:r>
        <w:r w:rsidR="00357D39">
          <w:rPr>
            <w:webHidden/>
          </w:rPr>
          <w:fldChar w:fldCharType="begin"/>
        </w:r>
        <w:r w:rsidR="00357D39">
          <w:rPr>
            <w:webHidden/>
          </w:rPr>
          <w:instrText xml:space="preserve"> PAGEREF _Toc160449314 \h </w:instrText>
        </w:r>
        <w:r w:rsidR="00357D39">
          <w:rPr>
            <w:webHidden/>
          </w:rPr>
        </w:r>
        <w:r w:rsidR="00357D39">
          <w:rPr>
            <w:webHidden/>
          </w:rPr>
          <w:fldChar w:fldCharType="separate"/>
        </w:r>
        <w:r w:rsidR="00357D39">
          <w:rPr>
            <w:webHidden/>
          </w:rPr>
          <w:t>130</w:t>
        </w:r>
        <w:r w:rsidR="00357D39">
          <w:rPr>
            <w:webHidden/>
          </w:rPr>
          <w:fldChar w:fldCharType="end"/>
        </w:r>
      </w:hyperlink>
    </w:p>
    <w:p w14:paraId="743954F4"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15" w:history="1">
        <w:r w:rsidR="00357D39" w:rsidRPr="00640E7F">
          <w:rPr>
            <w:rStyle w:val="Hypertextovodkaz"/>
          </w:rPr>
          <w:t>2.1.1 Vznik formálního intelektu</w:t>
        </w:r>
        <w:r w:rsidR="00357D39">
          <w:rPr>
            <w:webHidden/>
          </w:rPr>
          <w:tab/>
        </w:r>
        <w:r w:rsidR="00357D39">
          <w:rPr>
            <w:webHidden/>
          </w:rPr>
          <w:fldChar w:fldCharType="begin"/>
        </w:r>
        <w:r w:rsidR="00357D39">
          <w:rPr>
            <w:webHidden/>
          </w:rPr>
          <w:instrText xml:space="preserve"> PAGEREF _Toc160449315 \h </w:instrText>
        </w:r>
        <w:r w:rsidR="00357D39">
          <w:rPr>
            <w:webHidden/>
          </w:rPr>
        </w:r>
        <w:r w:rsidR="00357D39">
          <w:rPr>
            <w:webHidden/>
          </w:rPr>
          <w:fldChar w:fldCharType="separate"/>
        </w:r>
        <w:r w:rsidR="00357D39">
          <w:rPr>
            <w:webHidden/>
          </w:rPr>
          <w:t>133</w:t>
        </w:r>
        <w:r w:rsidR="00357D39">
          <w:rPr>
            <w:webHidden/>
          </w:rPr>
          <w:fldChar w:fldCharType="end"/>
        </w:r>
      </w:hyperlink>
    </w:p>
    <w:p w14:paraId="567D0E8C"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16" w:history="1">
        <w:r w:rsidR="00357D39" w:rsidRPr="00640E7F">
          <w:rPr>
            <w:rStyle w:val="Hypertextovodkaz"/>
          </w:rPr>
          <w:t>2.1.2 Aristotelský výklad diafanum a intencionality</w:t>
        </w:r>
        <w:r w:rsidR="00357D39">
          <w:rPr>
            <w:webHidden/>
          </w:rPr>
          <w:tab/>
        </w:r>
        <w:r w:rsidR="00357D39">
          <w:rPr>
            <w:webHidden/>
          </w:rPr>
          <w:fldChar w:fldCharType="begin"/>
        </w:r>
        <w:r w:rsidR="00357D39">
          <w:rPr>
            <w:webHidden/>
          </w:rPr>
          <w:instrText xml:space="preserve"> PAGEREF _Toc160449316 \h </w:instrText>
        </w:r>
        <w:r w:rsidR="00357D39">
          <w:rPr>
            <w:webHidden/>
          </w:rPr>
        </w:r>
        <w:r w:rsidR="00357D39">
          <w:rPr>
            <w:webHidden/>
          </w:rPr>
          <w:fldChar w:fldCharType="separate"/>
        </w:r>
        <w:r w:rsidR="00357D39">
          <w:rPr>
            <w:webHidden/>
          </w:rPr>
          <w:t>139</w:t>
        </w:r>
        <w:r w:rsidR="00357D39">
          <w:rPr>
            <w:webHidden/>
          </w:rPr>
          <w:fldChar w:fldCharType="end"/>
        </w:r>
      </w:hyperlink>
    </w:p>
    <w:p w14:paraId="16A3FF15"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17" w:history="1">
        <w:r w:rsidR="00357D39" w:rsidRPr="00640E7F">
          <w:rPr>
            <w:rStyle w:val="Hypertextovodkaz"/>
          </w:rPr>
          <w:t>2.1.3 Spor Sicilské a Toledské školy</w:t>
        </w:r>
        <w:r w:rsidR="00357D39">
          <w:rPr>
            <w:webHidden/>
          </w:rPr>
          <w:tab/>
        </w:r>
        <w:r w:rsidR="00357D39">
          <w:rPr>
            <w:webHidden/>
          </w:rPr>
          <w:fldChar w:fldCharType="begin"/>
        </w:r>
        <w:r w:rsidR="00357D39">
          <w:rPr>
            <w:webHidden/>
          </w:rPr>
          <w:instrText xml:space="preserve"> PAGEREF _Toc160449317 \h </w:instrText>
        </w:r>
        <w:r w:rsidR="00357D39">
          <w:rPr>
            <w:webHidden/>
          </w:rPr>
        </w:r>
        <w:r w:rsidR="00357D39">
          <w:rPr>
            <w:webHidden/>
          </w:rPr>
          <w:fldChar w:fldCharType="separate"/>
        </w:r>
        <w:r w:rsidR="00357D39">
          <w:rPr>
            <w:webHidden/>
          </w:rPr>
          <w:t>155</w:t>
        </w:r>
        <w:r w:rsidR="00357D39">
          <w:rPr>
            <w:webHidden/>
          </w:rPr>
          <w:fldChar w:fldCharType="end"/>
        </w:r>
      </w:hyperlink>
    </w:p>
    <w:p w14:paraId="2C7D8386"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18" w:history="1">
        <w:r w:rsidR="00357D39" w:rsidRPr="00640E7F">
          <w:rPr>
            <w:rStyle w:val="Hypertextovodkaz"/>
          </w:rPr>
          <w:t xml:space="preserve">2.2 Anonymní komentáře </w:t>
        </w:r>
        <w:r w:rsidR="00357D39" w:rsidRPr="00640E7F">
          <w:rPr>
            <w:rStyle w:val="Hypertextovodkaz"/>
            <w:i/>
          </w:rPr>
          <w:t>De anima</w:t>
        </w:r>
        <w:r w:rsidR="00357D39" w:rsidRPr="00640E7F">
          <w:rPr>
            <w:rStyle w:val="Hypertextovodkaz"/>
          </w:rPr>
          <w:t xml:space="preserve"> (1225‒1230)</w:t>
        </w:r>
        <w:r w:rsidR="00357D39">
          <w:rPr>
            <w:webHidden/>
          </w:rPr>
          <w:tab/>
        </w:r>
        <w:r w:rsidR="00357D39">
          <w:rPr>
            <w:webHidden/>
          </w:rPr>
          <w:fldChar w:fldCharType="begin"/>
        </w:r>
        <w:r w:rsidR="00357D39">
          <w:rPr>
            <w:webHidden/>
          </w:rPr>
          <w:instrText xml:space="preserve"> PAGEREF _Toc160449318 \h </w:instrText>
        </w:r>
        <w:r w:rsidR="00357D39">
          <w:rPr>
            <w:webHidden/>
          </w:rPr>
        </w:r>
        <w:r w:rsidR="00357D39">
          <w:rPr>
            <w:webHidden/>
          </w:rPr>
          <w:fldChar w:fldCharType="separate"/>
        </w:r>
        <w:r w:rsidR="00357D39">
          <w:rPr>
            <w:webHidden/>
          </w:rPr>
          <w:t>171</w:t>
        </w:r>
        <w:r w:rsidR="00357D39">
          <w:rPr>
            <w:webHidden/>
          </w:rPr>
          <w:fldChar w:fldCharType="end"/>
        </w:r>
      </w:hyperlink>
    </w:p>
    <w:p w14:paraId="662B7CAD"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19" w:history="1">
        <w:r w:rsidR="00357D39" w:rsidRPr="00640E7F">
          <w:rPr>
            <w:rStyle w:val="Hypertextovodkaz"/>
          </w:rPr>
          <w:t>2.2.1 Založení prvního averroismu (De anima et de potenciis eius)</w:t>
        </w:r>
        <w:r w:rsidR="00357D39">
          <w:rPr>
            <w:webHidden/>
          </w:rPr>
          <w:tab/>
        </w:r>
        <w:r w:rsidR="00357D39">
          <w:rPr>
            <w:webHidden/>
          </w:rPr>
          <w:fldChar w:fldCharType="begin"/>
        </w:r>
        <w:r w:rsidR="00357D39">
          <w:rPr>
            <w:webHidden/>
          </w:rPr>
          <w:instrText xml:space="preserve"> PAGEREF _Toc160449319 \h </w:instrText>
        </w:r>
        <w:r w:rsidR="00357D39">
          <w:rPr>
            <w:webHidden/>
          </w:rPr>
        </w:r>
        <w:r w:rsidR="00357D39">
          <w:rPr>
            <w:webHidden/>
          </w:rPr>
          <w:fldChar w:fldCharType="separate"/>
        </w:r>
        <w:r w:rsidR="00357D39">
          <w:rPr>
            <w:webHidden/>
          </w:rPr>
          <w:t>175</w:t>
        </w:r>
        <w:r w:rsidR="00357D39">
          <w:rPr>
            <w:webHidden/>
          </w:rPr>
          <w:fldChar w:fldCharType="end"/>
        </w:r>
      </w:hyperlink>
    </w:p>
    <w:p w14:paraId="2D5AE040"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0" w:history="1">
        <w:r w:rsidR="00357D39" w:rsidRPr="00640E7F">
          <w:rPr>
            <w:rStyle w:val="Hypertextovodkaz"/>
          </w:rPr>
          <w:t>2.2.2 Étos prvního averroismu (De potentiis animae et obiectis)</w:t>
        </w:r>
        <w:r w:rsidR="00357D39">
          <w:rPr>
            <w:webHidden/>
          </w:rPr>
          <w:tab/>
        </w:r>
        <w:r w:rsidR="00357D39">
          <w:rPr>
            <w:webHidden/>
          </w:rPr>
          <w:fldChar w:fldCharType="begin"/>
        </w:r>
        <w:r w:rsidR="00357D39">
          <w:rPr>
            <w:webHidden/>
          </w:rPr>
          <w:instrText xml:space="preserve"> PAGEREF _Toc160449320 \h </w:instrText>
        </w:r>
        <w:r w:rsidR="00357D39">
          <w:rPr>
            <w:webHidden/>
          </w:rPr>
        </w:r>
        <w:r w:rsidR="00357D39">
          <w:rPr>
            <w:webHidden/>
          </w:rPr>
          <w:fldChar w:fldCharType="separate"/>
        </w:r>
        <w:r w:rsidR="00357D39">
          <w:rPr>
            <w:webHidden/>
          </w:rPr>
          <w:t>195</w:t>
        </w:r>
        <w:r w:rsidR="00357D39">
          <w:rPr>
            <w:webHidden/>
          </w:rPr>
          <w:fldChar w:fldCharType="end"/>
        </w:r>
      </w:hyperlink>
    </w:p>
    <w:p w14:paraId="1259C434"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21" w:history="1">
        <w:r w:rsidR="00357D39" w:rsidRPr="00640E7F">
          <w:rPr>
            <w:rStyle w:val="Hypertextovodkaz"/>
          </w:rPr>
          <w:t>2.3 Křesťanští aristotelikové a moderní sofisté (William z Auvergne)</w:t>
        </w:r>
        <w:r w:rsidR="00357D39">
          <w:rPr>
            <w:webHidden/>
          </w:rPr>
          <w:tab/>
        </w:r>
        <w:r w:rsidR="00357D39">
          <w:rPr>
            <w:webHidden/>
          </w:rPr>
          <w:fldChar w:fldCharType="begin"/>
        </w:r>
        <w:r w:rsidR="00357D39">
          <w:rPr>
            <w:webHidden/>
          </w:rPr>
          <w:instrText xml:space="preserve"> PAGEREF _Toc160449321 \h </w:instrText>
        </w:r>
        <w:r w:rsidR="00357D39">
          <w:rPr>
            <w:webHidden/>
          </w:rPr>
        </w:r>
        <w:r w:rsidR="00357D39">
          <w:rPr>
            <w:webHidden/>
          </w:rPr>
          <w:fldChar w:fldCharType="separate"/>
        </w:r>
        <w:r w:rsidR="00357D39">
          <w:rPr>
            <w:webHidden/>
          </w:rPr>
          <w:t>214</w:t>
        </w:r>
        <w:r w:rsidR="00357D39">
          <w:rPr>
            <w:webHidden/>
          </w:rPr>
          <w:fldChar w:fldCharType="end"/>
        </w:r>
      </w:hyperlink>
    </w:p>
    <w:p w14:paraId="18C8C746"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2" w:history="1">
        <w:r w:rsidR="00357D39" w:rsidRPr="00640E7F">
          <w:rPr>
            <w:rStyle w:val="Hypertextovodkaz"/>
          </w:rPr>
          <w:t>2.3.1 Kritika neoplatonského Aristotela</w:t>
        </w:r>
        <w:r w:rsidR="00357D39">
          <w:rPr>
            <w:webHidden/>
          </w:rPr>
          <w:tab/>
        </w:r>
        <w:r w:rsidR="00357D39">
          <w:rPr>
            <w:webHidden/>
          </w:rPr>
          <w:fldChar w:fldCharType="begin"/>
        </w:r>
        <w:r w:rsidR="00357D39">
          <w:rPr>
            <w:webHidden/>
          </w:rPr>
          <w:instrText xml:space="preserve"> PAGEREF _Toc160449322 \h </w:instrText>
        </w:r>
        <w:r w:rsidR="00357D39">
          <w:rPr>
            <w:webHidden/>
          </w:rPr>
        </w:r>
        <w:r w:rsidR="00357D39">
          <w:rPr>
            <w:webHidden/>
          </w:rPr>
          <w:fldChar w:fldCharType="separate"/>
        </w:r>
        <w:r w:rsidR="00357D39">
          <w:rPr>
            <w:webHidden/>
          </w:rPr>
          <w:t>219</w:t>
        </w:r>
        <w:r w:rsidR="00357D39">
          <w:rPr>
            <w:webHidden/>
          </w:rPr>
          <w:fldChar w:fldCharType="end"/>
        </w:r>
      </w:hyperlink>
    </w:p>
    <w:p w14:paraId="69918DBC"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3" w:history="1">
        <w:r w:rsidR="00357D39" w:rsidRPr="00640E7F">
          <w:rPr>
            <w:rStyle w:val="Hypertextovodkaz"/>
          </w:rPr>
          <w:t>2.3.2 Odmítnutí nominalistické predikace</w:t>
        </w:r>
        <w:r w:rsidR="00357D39">
          <w:rPr>
            <w:webHidden/>
          </w:rPr>
          <w:tab/>
        </w:r>
        <w:r w:rsidR="00357D39">
          <w:rPr>
            <w:webHidden/>
          </w:rPr>
          <w:fldChar w:fldCharType="begin"/>
        </w:r>
        <w:r w:rsidR="00357D39">
          <w:rPr>
            <w:webHidden/>
          </w:rPr>
          <w:instrText xml:space="preserve"> PAGEREF _Toc160449323 \h </w:instrText>
        </w:r>
        <w:r w:rsidR="00357D39">
          <w:rPr>
            <w:webHidden/>
          </w:rPr>
        </w:r>
        <w:r w:rsidR="00357D39">
          <w:rPr>
            <w:webHidden/>
          </w:rPr>
          <w:fldChar w:fldCharType="separate"/>
        </w:r>
        <w:r w:rsidR="00357D39">
          <w:rPr>
            <w:webHidden/>
          </w:rPr>
          <w:t>236</w:t>
        </w:r>
        <w:r w:rsidR="00357D39">
          <w:rPr>
            <w:webHidden/>
          </w:rPr>
          <w:fldChar w:fldCharType="end"/>
        </w:r>
      </w:hyperlink>
    </w:p>
    <w:p w14:paraId="0FF7662D"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4" w:history="1">
        <w:r w:rsidR="00357D39" w:rsidRPr="00640E7F">
          <w:rPr>
            <w:rStyle w:val="Hypertextovodkaz"/>
          </w:rPr>
          <w:t>2.3.3 Polemika s univerzálním hylemorfismem</w:t>
        </w:r>
        <w:r w:rsidR="00357D39">
          <w:rPr>
            <w:webHidden/>
          </w:rPr>
          <w:tab/>
        </w:r>
        <w:r w:rsidR="00357D39">
          <w:rPr>
            <w:webHidden/>
          </w:rPr>
          <w:fldChar w:fldCharType="begin"/>
        </w:r>
        <w:r w:rsidR="00357D39">
          <w:rPr>
            <w:webHidden/>
          </w:rPr>
          <w:instrText xml:space="preserve"> PAGEREF _Toc160449324 \h </w:instrText>
        </w:r>
        <w:r w:rsidR="00357D39">
          <w:rPr>
            <w:webHidden/>
          </w:rPr>
        </w:r>
        <w:r w:rsidR="00357D39">
          <w:rPr>
            <w:webHidden/>
          </w:rPr>
          <w:fldChar w:fldCharType="separate"/>
        </w:r>
        <w:r w:rsidR="00357D39">
          <w:rPr>
            <w:webHidden/>
          </w:rPr>
          <w:t>252</w:t>
        </w:r>
        <w:r w:rsidR="00357D39">
          <w:rPr>
            <w:webHidden/>
          </w:rPr>
          <w:fldChar w:fldCharType="end"/>
        </w:r>
      </w:hyperlink>
    </w:p>
    <w:p w14:paraId="21179003"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25" w:history="1">
        <w:r w:rsidR="00357D39" w:rsidRPr="00640E7F">
          <w:rPr>
            <w:rStyle w:val="Hypertextovodkaz"/>
          </w:rPr>
          <w:t>2.4 Syntéza prvního averroismu (Albert Veliký)</w:t>
        </w:r>
        <w:r w:rsidR="00357D39">
          <w:rPr>
            <w:webHidden/>
          </w:rPr>
          <w:tab/>
        </w:r>
        <w:r w:rsidR="00357D39">
          <w:rPr>
            <w:webHidden/>
          </w:rPr>
          <w:fldChar w:fldCharType="begin"/>
        </w:r>
        <w:r w:rsidR="00357D39">
          <w:rPr>
            <w:webHidden/>
          </w:rPr>
          <w:instrText xml:space="preserve"> PAGEREF _Toc160449325 \h </w:instrText>
        </w:r>
        <w:r w:rsidR="00357D39">
          <w:rPr>
            <w:webHidden/>
          </w:rPr>
        </w:r>
        <w:r w:rsidR="00357D39">
          <w:rPr>
            <w:webHidden/>
          </w:rPr>
          <w:fldChar w:fldCharType="separate"/>
        </w:r>
        <w:r w:rsidR="00357D39">
          <w:rPr>
            <w:webHidden/>
          </w:rPr>
          <w:t>264</w:t>
        </w:r>
        <w:r w:rsidR="00357D39">
          <w:rPr>
            <w:webHidden/>
          </w:rPr>
          <w:fldChar w:fldCharType="end"/>
        </w:r>
      </w:hyperlink>
    </w:p>
    <w:p w14:paraId="1FFC7764"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6" w:history="1">
        <w:r w:rsidR="00357D39" w:rsidRPr="00640E7F">
          <w:rPr>
            <w:rStyle w:val="Hypertextovodkaz"/>
          </w:rPr>
          <w:t>2.4.1 Dvojí pojetí vědy a duše</w:t>
        </w:r>
        <w:r w:rsidR="00357D39">
          <w:rPr>
            <w:webHidden/>
          </w:rPr>
          <w:tab/>
        </w:r>
        <w:r w:rsidR="00357D39">
          <w:rPr>
            <w:webHidden/>
          </w:rPr>
          <w:fldChar w:fldCharType="begin"/>
        </w:r>
        <w:r w:rsidR="00357D39">
          <w:rPr>
            <w:webHidden/>
          </w:rPr>
          <w:instrText xml:space="preserve"> PAGEREF _Toc160449326 \h </w:instrText>
        </w:r>
        <w:r w:rsidR="00357D39">
          <w:rPr>
            <w:webHidden/>
          </w:rPr>
        </w:r>
        <w:r w:rsidR="00357D39">
          <w:rPr>
            <w:webHidden/>
          </w:rPr>
          <w:fldChar w:fldCharType="separate"/>
        </w:r>
        <w:r w:rsidR="00357D39">
          <w:rPr>
            <w:webHidden/>
          </w:rPr>
          <w:t>267</w:t>
        </w:r>
        <w:r w:rsidR="00357D39">
          <w:rPr>
            <w:webHidden/>
          </w:rPr>
          <w:fldChar w:fldCharType="end"/>
        </w:r>
      </w:hyperlink>
    </w:p>
    <w:p w14:paraId="337D08ED"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7" w:history="1">
        <w:r w:rsidR="00357D39" w:rsidRPr="00640E7F">
          <w:rPr>
            <w:rStyle w:val="Hypertextovodkaz"/>
          </w:rPr>
          <w:t>2.4.2 Osobní poznání a univerzální intelekt</w:t>
        </w:r>
        <w:r w:rsidR="00357D39">
          <w:rPr>
            <w:webHidden/>
          </w:rPr>
          <w:tab/>
        </w:r>
        <w:r w:rsidR="00357D39">
          <w:rPr>
            <w:webHidden/>
          </w:rPr>
          <w:fldChar w:fldCharType="begin"/>
        </w:r>
        <w:r w:rsidR="00357D39">
          <w:rPr>
            <w:webHidden/>
          </w:rPr>
          <w:instrText xml:space="preserve"> PAGEREF _Toc160449327 \h </w:instrText>
        </w:r>
        <w:r w:rsidR="00357D39">
          <w:rPr>
            <w:webHidden/>
          </w:rPr>
        </w:r>
        <w:r w:rsidR="00357D39">
          <w:rPr>
            <w:webHidden/>
          </w:rPr>
          <w:fldChar w:fldCharType="separate"/>
        </w:r>
        <w:r w:rsidR="00357D39">
          <w:rPr>
            <w:webHidden/>
          </w:rPr>
          <w:t>290</w:t>
        </w:r>
        <w:r w:rsidR="00357D39">
          <w:rPr>
            <w:webHidden/>
          </w:rPr>
          <w:fldChar w:fldCharType="end"/>
        </w:r>
      </w:hyperlink>
    </w:p>
    <w:p w14:paraId="5ECC3E84"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28" w:history="1">
        <w:r w:rsidR="00357D39" w:rsidRPr="00640E7F">
          <w:rPr>
            <w:rStyle w:val="Hypertextovodkaz"/>
          </w:rPr>
          <w:t>2.4.3 Albert a modernisté</w:t>
        </w:r>
        <w:r w:rsidR="00357D39">
          <w:rPr>
            <w:webHidden/>
          </w:rPr>
          <w:tab/>
        </w:r>
        <w:r w:rsidR="00357D39">
          <w:rPr>
            <w:webHidden/>
          </w:rPr>
          <w:fldChar w:fldCharType="begin"/>
        </w:r>
        <w:r w:rsidR="00357D39">
          <w:rPr>
            <w:webHidden/>
          </w:rPr>
          <w:instrText xml:space="preserve"> PAGEREF _Toc160449328 \h </w:instrText>
        </w:r>
        <w:r w:rsidR="00357D39">
          <w:rPr>
            <w:webHidden/>
          </w:rPr>
        </w:r>
        <w:r w:rsidR="00357D39">
          <w:rPr>
            <w:webHidden/>
          </w:rPr>
          <w:fldChar w:fldCharType="separate"/>
        </w:r>
        <w:r w:rsidR="00357D39">
          <w:rPr>
            <w:webHidden/>
          </w:rPr>
          <w:t>311</w:t>
        </w:r>
        <w:r w:rsidR="00357D39">
          <w:rPr>
            <w:webHidden/>
          </w:rPr>
          <w:fldChar w:fldCharType="end"/>
        </w:r>
      </w:hyperlink>
    </w:p>
    <w:p w14:paraId="5C8746A9"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29" w:history="1">
        <w:r w:rsidR="00357D39" w:rsidRPr="00640E7F">
          <w:rPr>
            <w:rStyle w:val="Hypertextovodkaz"/>
            <w:shd w:val="clear" w:color="auto" w:fill="FFFFFF"/>
          </w:rPr>
          <w:t>2.5 Gigantomachie prvního a druhého averroismu</w:t>
        </w:r>
        <w:r w:rsidR="00357D39">
          <w:rPr>
            <w:webHidden/>
          </w:rPr>
          <w:tab/>
        </w:r>
        <w:r w:rsidR="00357D39">
          <w:rPr>
            <w:webHidden/>
          </w:rPr>
          <w:fldChar w:fldCharType="begin"/>
        </w:r>
        <w:r w:rsidR="00357D39">
          <w:rPr>
            <w:webHidden/>
          </w:rPr>
          <w:instrText xml:space="preserve"> PAGEREF _Toc160449329 \h </w:instrText>
        </w:r>
        <w:r w:rsidR="00357D39">
          <w:rPr>
            <w:webHidden/>
          </w:rPr>
        </w:r>
        <w:r w:rsidR="00357D39">
          <w:rPr>
            <w:webHidden/>
          </w:rPr>
          <w:fldChar w:fldCharType="separate"/>
        </w:r>
        <w:r w:rsidR="00357D39">
          <w:rPr>
            <w:webHidden/>
          </w:rPr>
          <w:t>351</w:t>
        </w:r>
        <w:r w:rsidR="00357D39">
          <w:rPr>
            <w:webHidden/>
          </w:rPr>
          <w:fldChar w:fldCharType="end"/>
        </w:r>
      </w:hyperlink>
    </w:p>
    <w:p w14:paraId="4CAEB323" w14:textId="77777777" w:rsidR="00357D39" w:rsidRDefault="009517EC" w:rsidP="00357D39">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60449330" w:history="1">
        <w:r w:rsidR="00357D39" w:rsidRPr="00640E7F">
          <w:rPr>
            <w:rStyle w:val="Hypertextovodkaz"/>
            <w:shd w:val="clear" w:color="auto" w:fill="FFFFFF"/>
          </w:rPr>
          <w:t>3. Škola druhého averroismu (Matrice III)</w:t>
        </w:r>
        <w:r w:rsidR="00357D39">
          <w:rPr>
            <w:webHidden/>
          </w:rPr>
          <w:tab/>
        </w:r>
        <w:r w:rsidR="00357D39">
          <w:rPr>
            <w:webHidden/>
          </w:rPr>
          <w:fldChar w:fldCharType="begin"/>
        </w:r>
        <w:r w:rsidR="00357D39">
          <w:rPr>
            <w:webHidden/>
          </w:rPr>
          <w:instrText xml:space="preserve"> PAGEREF _Toc160449330 \h </w:instrText>
        </w:r>
        <w:r w:rsidR="00357D39">
          <w:rPr>
            <w:webHidden/>
          </w:rPr>
        </w:r>
        <w:r w:rsidR="00357D39">
          <w:rPr>
            <w:webHidden/>
          </w:rPr>
          <w:fldChar w:fldCharType="separate"/>
        </w:r>
        <w:r w:rsidR="00357D39">
          <w:rPr>
            <w:webHidden/>
          </w:rPr>
          <w:t>358</w:t>
        </w:r>
        <w:r w:rsidR="00357D39">
          <w:rPr>
            <w:webHidden/>
          </w:rPr>
          <w:fldChar w:fldCharType="end"/>
        </w:r>
      </w:hyperlink>
    </w:p>
    <w:p w14:paraId="651B1536"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31" w:history="1">
        <w:r w:rsidR="00357D39" w:rsidRPr="00640E7F">
          <w:rPr>
            <w:rStyle w:val="Hypertextovodkaz"/>
          </w:rPr>
          <w:t xml:space="preserve">3.1 Analytický výklad </w:t>
        </w:r>
        <w:r w:rsidR="00357D39" w:rsidRPr="00640E7F">
          <w:rPr>
            <w:rStyle w:val="Hypertextovodkaz"/>
            <w:i/>
          </w:rPr>
          <w:t>Druhých analytik</w:t>
        </w:r>
        <w:r w:rsidR="00357D39" w:rsidRPr="00640E7F">
          <w:rPr>
            <w:rStyle w:val="Hypertextovodkaz"/>
          </w:rPr>
          <w:t xml:space="preserve"> (Robert Grosseteste)</w:t>
        </w:r>
        <w:r w:rsidR="00357D39">
          <w:rPr>
            <w:webHidden/>
          </w:rPr>
          <w:tab/>
        </w:r>
        <w:r w:rsidR="00357D39">
          <w:rPr>
            <w:webHidden/>
          </w:rPr>
          <w:fldChar w:fldCharType="begin"/>
        </w:r>
        <w:r w:rsidR="00357D39">
          <w:rPr>
            <w:webHidden/>
          </w:rPr>
          <w:instrText xml:space="preserve"> PAGEREF _Toc160449331 \h </w:instrText>
        </w:r>
        <w:r w:rsidR="00357D39">
          <w:rPr>
            <w:webHidden/>
          </w:rPr>
        </w:r>
        <w:r w:rsidR="00357D39">
          <w:rPr>
            <w:webHidden/>
          </w:rPr>
          <w:fldChar w:fldCharType="separate"/>
        </w:r>
        <w:r w:rsidR="00357D39">
          <w:rPr>
            <w:webHidden/>
          </w:rPr>
          <w:t>372</w:t>
        </w:r>
        <w:r w:rsidR="00357D39">
          <w:rPr>
            <w:webHidden/>
          </w:rPr>
          <w:fldChar w:fldCharType="end"/>
        </w:r>
      </w:hyperlink>
    </w:p>
    <w:p w14:paraId="5B09AE1A"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2" w:history="1">
        <w:r w:rsidR="00357D39" w:rsidRPr="00640E7F">
          <w:rPr>
            <w:rStyle w:val="Hypertextovodkaz"/>
          </w:rPr>
          <w:t>3.1.1 Zrod Oxfordian Fallacy</w:t>
        </w:r>
        <w:r w:rsidR="00357D39">
          <w:rPr>
            <w:webHidden/>
          </w:rPr>
          <w:tab/>
        </w:r>
        <w:r w:rsidR="00357D39">
          <w:rPr>
            <w:webHidden/>
          </w:rPr>
          <w:fldChar w:fldCharType="begin"/>
        </w:r>
        <w:r w:rsidR="00357D39">
          <w:rPr>
            <w:webHidden/>
          </w:rPr>
          <w:instrText xml:space="preserve"> PAGEREF _Toc160449332 \h </w:instrText>
        </w:r>
        <w:r w:rsidR="00357D39">
          <w:rPr>
            <w:webHidden/>
          </w:rPr>
        </w:r>
        <w:r w:rsidR="00357D39">
          <w:rPr>
            <w:webHidden/>
          </w:rPr>
          <w:fldChar w:fldCharType="separate"/>
        </w:r>
        <w:r w:rsidR="00357D39">
          <w:rPr>
            <w:webHidden/>
          </w:rPr>
          <w:t>381</w:t>
        </w:r>
        <w:r w:rsidR="00357D39">
          <w:rPr>
            <w:webHidden/>
          </w:rPr>
          <w:fldChar w:fldCharType="end"/>
        </w:r>
      </w:hyperlink>
    </w:p>
    <w:p w14:paraId="1D691475"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3" w:history="1">
        <w:r w:rsidR="00357D39" w:rsidRPr="00640E7F">
          <w:rPr>
            <w:rStyle w:val="Hypertextovodkaz"/>
          </w:rPr>
          <w:t>3.1.2 Individuum a moderní bůh</w:t>
        </w:r>
        <w:r w:rsidR="00357D39">
          <w:rPr>
            <w:webHidden/>
          </w:rPr>
          <w:tab/>
        </w:r>
        <w:r w:rsidR="00357D39">
          <w:rPr>
            <w:webHidden/>
          </w:rPr>
          <w:fldChar w:fldCharType="begin"/>
        </w:r>
        <w:r w:rsidR="00357D39">
          <w:rPr>
            <w:webHidden/>
          </w:rPr>
          <w:instrText xml:space="preserve"> PAGEREF _Toc160449333 \h </w:instrText>
        </w:r>
        <w:r w:rsidR="00357D39">
          <w:rPr>
            <w:webHidden/>
          </w:rPr>
        </w:r>
        <w:r w:rsidR="00357D39">
          <w:rPr>
            <w:webHidden/>
          </w:rPr>
          <w:fldChar w:fldCharType="separate"/>
        </w:r>
        <w:r w:rsidR="00357D39">
          <w:rPr>
            <w:webHidden/>
          </w:rPr>
          <w:t>417</w:t>
        </w:r>
        <w:r w:rsidR="00357D39">
          <w:rPr>
            <w:webHidden/>
          </w:rPr>
          <w:fldChar w:fldCharType="end"/>
        </w:r>
      </w:hyperlink>
    </w:p>
    <w:p w14:paraId="63428D64"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4" w:history="1">
        <w:r w:rsidR="00357D39" w:rsidRPr="00640E7F">
          <w:rPr>
            <w:rStyle w:val="Hypertextovodkaz"/>
          </w:rPr>
          <w:t>3.1.3 Démonologie a moderní logika</w:t>
        </w:r>
        <w:r w:rsidR="00357D39">
          <w:rPr>
            <w:webHidden/>
          </w:rPr>
          <w:tab/>
        </w:r>
        <w:r w:rsidR="00357D39">
          <w:rPr>
            <w:webHidden/>
          </w:rPr>
          <w:fldChar w:fldCharType="begin"/>
        </w:r>
        <w:r w:rsidR="00357D39">
          <w:rPr>
            <w:webHidden/>
          </w:rPr>
          <w:instrText xml:space="preserve"> PAGEREF _Toc160449334 \h </w:instrText>
        </w:r>
        <w:r w:rsidR="00357D39">
          <w:rPr>
            <w:webHidden/>
          </w:rPr>
        </w:r>
        <w:r w:rsidR="00357D39">
          <w:rPr>
            <w:webHidden/>
          </w:rPr>
          <w:fldChar w:fldCharType="separate"/>
        </w:r>
        <w:r w:rsidR="00357D39">
          <w:rPr>
            <w:webHidden/>
          </w:rPr>
          <w:t>437</w:t>
        </w:r>
        <w:r w:rsidR="00357D39">
          <w:rPr>
            <w:webHidden/>
          </w:rPr>
          <w:fldChar w:fldCharType="end"/>
        </w:r>
      </w:hyperlink>
    </w:p>
    <w:p w14:paraId="0B371AB6"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5" w:history="1">
        <w:r w:rsidR="00357D39" w:rsidRPr="00640E7F">
          <w:rPr>
            <w:rStyle w:val="Hypertextovodkaz"/>
          </w:rPr>
          <w:t>3.1.4 Metafyzika objektivního jsoucna</w:t>
        </w:r>
        <w:r w:rsidR="00357D39">
          <w:rPr>
            <w:webHidden/>
          </w:rPr>
          <w:tab/>
        </w:r>
        <w:r w:rsidR="00357D39">
          <w:rPr>
            <w:webHidden/>
          </w:rPr>
          <w:fldChar w:fldCharType="begin"/>
        </w:r>
        <w:r w:rsidR="00357D39">
          <w:rPr>
            <w:webHidden/>
          </w:rPr>
          <w:instrText xml:space="preserve"> PAGEREF _Toc160449335 \h </w:instrText>
        </w:r>
        <w:r w:rsidR="00357D39">
          <w:rPr>
            <w:webHidden/>
          </w:rPr>
        </w:r>
        <w:r w:rsidR="00357D39">
          <w:rPr>
            <w:webHidden/>
          </w:rPr>
          <w:fldChar w:fldCharType="separate"/>
        </w:r>
        <w:r w:rsidR="00357D39">
          <w:rPr>
            <w:webHidden/>
          </w:rPr>
          <w:t>473</w:t>
        </w:r>
        <w:r w:rsidR="00357D39">
          <w:rPr>
            <w:webHidden/>
          </w:rPr>
          <w:fldChar w:fldCharType="end"/>
        </w:r>
      </w:hyperlink>
    </w:p>
    <w:p w14:paraId="5C086260"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36" w:history="1">
        <w:r w:rsidR="00357D39" w:rsidRPr="00640E7F">
          <w:rPr>
            <w:rStyle w:val="Hypertextovodkaz"/>
          </w:rPr>
          <w:t>3.2 Moderní simulákrum člověka a světa</w:t>
        </w:r>
        <w:r w:rsidR="00357D39">
          <w:rPr>
            <w:webHidden/>
          </w:rPr>
          <w:tab/>
        </w:r>
        <w:r w:rsidR="00357D39">
          <w:rPr>
            <w:webHidden/>
          </w:rPr>
          <w:fldChar w:fldCharType="begin"/>
        </w:r>
        <w:r w:rsidR="00357D39">
          <w:rPr>
            <w:webHidden/>
          </w:rPr>
          <w:instrText xml:space="preserve"> PAGEREF _Toc160449336 \h </w:instrText>
        </w:r>
        <w:r w:rsidR="00357D39">
          <w:rPr>
            <w:webHidden/>
          </w:rPr>
        </w:r>
        <w:r w:rsidR="00357D39">
          <w:rPr>
            <w:webHidden/>
          </w:rPr>
          <w:fldChar w:fldCharType="separate"/>
        </w:r>
        <w:r w:rsidR="00357D39">
          <w:rPr>
            <w:webHidden/>
          </w:rPr>
          <w:t>491</w:t>
        </w:r>
        <w:r w:rsidR="00357D39">
          <w:rPr>
            <w:webHidden/>
          </w:rPr>
          <w:fldChar w:fldCharType="end"/>
        </w:r>
      </w:hyperlink>
    </w:p>
    <w:p w14:paraId="48B2E7CC"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37" w:history="1">
        <w:r w:rsidR="00357D39" w:rsidRPr="00640E7F">
          <w:rPr>
            <w:rStyle w:val="Hypertextovodkaz"/>
          </w:rPr>
          <w:t>3.3 Objektivní pojetí esence (Rufus z Cornwallu)</w:t>
        </w:r>
        <w:r w:rsidR="00357D39">
          <w:rPr>
            <w:webHidden/>
          </w:rPr>
          <w:tab/>
        </w:r>
        <w:r w:rsidR="00357D39">
          <w:rPr>
            <w:webHidden/>
          </w:rPr>
          <w:fldChar w:fldCharType="begin"/>
        </w:r>
        <w:r w:rsidR="00357D39">
          <w:rPr>
            <w:webHidden/>
          </w:rPr>
          <w:instrText xml:space="preserve"> PAGEREF _Toc160449337 \h </w:instrText>
        </w:r>
        <w:r w:rsidR="00357D39">
          <w:rPr>
            <w:webHidden/>
          </w:rPr>
        </w:r>
        <w:r w:rsidR="00357D39">
          <w:rPr>
            <w:webHidden/>
          </w:rPr>
          <w:fldChar w:fldCharType="separate"/>
        </w:r>
        <w:r w:rsidR="00357D39">
          <w:rPr>
            <w:webHidden/>
          </w:rPr>
          <w:t>534</w:t>
        </w:r>
        <w:r w:rsidR="00357D39">
          <w:rPr>
            <w:webHidden/>
          </w:rPr>
          <w:fldChar w:fldCharType="end"/>
        </w:r>
      </w:hyperlink>
    </w:p>
    <w:p w14:paraId="12735EAB"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8" w:history="1">
        <w:r w:rsidR="00357D39" w:rsidRPr="00640E7F">
          <w:rPr>
            <w:rStyle w:val="Hypertextovodkaz"/>
          </w:rPr>
          <w:t>3.3.1 Moderní výklad Druhých analytik</w:t>
        </w:r>
        <w:r w:rsidR="00357D39">
          <w:rPr>
            <w:webHidden/>
          </w:rPr>
          <w:tab/>
        </w:r>
        <w:r w:rsidR="00357D39">
          <w:rPr>
            <w:webHidden/>
          </w:rPr>
          <w:fldChar w:fldCharType="begin"/>
        </w:r>
        <w:r w:rsidR="00357D39">
          <w:rPr>
            <w:webHidden/>
          </w:rPr>
          <w:instrText xml:space="preserve"> PAGEREF _Toc160449338 \h </w:instrText>
        </w:r>
        <w:r w:rsidR="00357D39">
          <w:rPr>
            <w:webHidden/>
          </w:rPr>
        </w:r>
        <w:r w:rsidR="00357D39">
          <w:rPr>
            <w:webHidden/>
          </w:rPr>
          <w:fldChar w:fldCharType="separate"/>
        </w:r>
        <w:r w:rsidR="00357D39">
          <w:rPr>
            <w:webHidden/>
          </w:rPr>
          <w:t>540</w:t>
        </w:r>
        <w:r w:rsidR="00357D39">
          <w:rPr>
            <w:webHidden/>
          </w:rPr>
          <w:fldChar w:fldCharType="end"/>
        </w:r>
      </w:hyperlink>
    </w:p>
    <w:p w14:paraId="6F038CA0"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39" w:history="1">
        <w:r w:rsidR="00357D39" w:rsidRPr="00640E7F">
          <w:rPr>
            <w:rStyle w:val="Hypertextovodkaz"/>
          </w:rPr>
          <w:t>3.3.2 Pravda jako moderní asimilace a rovnost</w:t>
        </w:r>
        <w:r w:rsidR="00357D39">
          <w:rPr>
            <w:webHidden/>
          </w:rPr>
          <w:tab/>
        </w:r>
        <w:r w:rsidR="00357D39">
          <w:rPr>
            <w:webHidden/>
          </w:rPr>
          <w:fldChar w:fldCharType="begin"/>
        </w:r>
        <w:r w:rsidR="00357D39">
          <w:rPr>
            <w:webHidden/>
          </w:rPr>
          <w:instrText xml:space="preserve"> PAGEREF _Toc160449339 \h </w:instrText>
        </w:r>
        <w:r w:rsidR="00357D39">
          <w:rPr>
            <w:webHidden/>
          </w:rPr>
        </w:r>
        <w:r w:rsidR="00357D39">
          <w:rPr>
            <w:webHidden/>
          </w:rPr>
          <w:fldChar w:fldCharType="separate"/>
        </w:r>
        <w:r w:rsidR="00357D39">
          <w:rPr>
            <w:webHidden/>
          </w:rPr>
          <w:t>587</w:t>
        </w:r>
        <w:r w:rsidR="00357D39">
          <w:rPr>
            <w:webHidden/>
          </w:rPr>
          <w:fldChar w:fldCharType="end"/>
        </w:r>
      </w:hyperlink>
    </w:p>
    <w:p w14:paraId="7636D367"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0" w:history="1">
        <w:r w:rsidR="00357D39" w:rsidRPr="00640E7F">
          <w:rPr>
            <w:rStyle w:val="Hypertextovodkaz"/>
          </w:rPr>
          <w:t>3.3.3 Vznik oficiálního averroismu</w:t>
        </w:r>
        <w:r w:rsidR="00357D39">
          <w:rPr>
            <w:webHidden/>
          </w:rPr>
          <w:tab/>
        </w:r>
        <w:r w:rsidR="00357D39">
          <w:rPr>
            <w:webHidden/>
          </w:rPr>
          <w:fldChar w:fldCharType="begin"/>
        </w:r>
        <w:r w:rsidR="00357D39">
          <w:rPr>
            <w:webHidden/>
          </w:rPr>
          <w:instrText xml:space="preserve"> PAGEREF _Toc160449340 \h </w:instrText>
        </w:r>
        <w:r w:rsidR="00357D39">
          <w:rPr>
            <w:webHidden/>
          </w:rPr>
        </w:r>
        <w:r w:rsidR="00357D39">
          <w:rPr>
            <w:webHidden/>
          </w:rPr>
          <w:fldChar w:fldCharType="separate"/>
        </w:r>
        <w:r w:rsidR="00357D39">
          <w:rPr>
            <w:webHidden/>
          </w:rPr>
          <w:t>625</w:t>
        </w:r>
        <w:r w:rsidR="00357D39">
          <w:rPr>
            <w:webHidden/>
          </w:rPr>
          <w:fldChar w:fldCharType="end"/>
        </w:r>
      </w:hyperlink>
    </w:p>
    <w:p w14:paraId="30590B3C"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1" w:history="1">
        <w:r w:rsidR="00357D39" w:rsidRPr="00640E7F">
          <w:rPr>
            <w:rStyle w:val="Hypertextovodkaz"/>
          </w:rPr>
          <w:t>3.3.4 Založení objektivního jsoucna</w:t>
        </w:r>
        <w:r w:rsidR="00357D39">
          <w:rPr>
            <w:webHidden/>
          </w:rPr>
          <w:tab/>
        </w:r>
        <w:r w:rsidR="00357D39">
          <w:rPr>
            <w:webHidden/>
          </w:rPr>
          <w:fldChar w:fldCharType="begin"/>
        </w:r>
        <w:r w:rsidR="00357D39">
          <w:rPr>
            <w:webHidden/>
          </w:rPr>
          <w:instrText xml:space="preserve"> PAGEREF _Toc160449341 \h </w:instrText>
        </w:r>
        <w:r w:rsidR="00357D39">
          <w:rPr>
            <w:webHidden/>
          </w:rPr>
        </w:r>
        <w:r w:rsidR="00357D39">
          <w:rPr>
            <w:webHidden/>
          </w:rPr>
          <w:fldChar w:fldCharType="separate"/>
        </w:r>
        <w:r w:rsidR="00357D39">
          <w:rPr>
            <w:webHidden/>
          </w:rPr>
          <w:t>665</w:t>
        </w:r>
        <w:r w:rsidR="00357D39">
          <w:rPr>
            <w:webHidden/>
          </w:rPr>
          <w:fldChar w:fldCharType="end"/>
        </w:r>
      </w:hyperlink>
    </w:p>
    <w:p w14:paraId="6310B72A"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42" w:history="1">
        <w:r w:rsidR="00357D39" w:rsidRPr="00640E7F">
          <w:rPr>
            <w:rStyle w:val="Hypertextovodkaz"/>
          </w:rPr>
          <w:t>3.4 Vznik akademického averroismu (Robert Kilwardby)</w:t>
        </w:r>
        <w:r w:rsidR="00357D39">
          <w:rPr>
            <w:webHidden/>
          </w:rPr>
          <w:tab/>
        </w:r>
        <w:r w:rsidR="00357D39">
          <w:rPr>
            <w:webHidden/>
          </w:rPr>
          <w:fldChar w:fldCharType="begin"/>
        </w:r>
        <w:r w:rsidR="00357D39">
          <w:rPr>
            <w:webHidden/>
          </w:rPr>
          <w:instrText xml:space="preserve"> PAGEREF _Toc160449342 \h </w:instrText>
        </w:r>
        <w:r w:rsidR="00357D39">
          <w:rPr>
            <w:webHidden/>
          </w:rPr>
        </w:r>
        <w:r w:rsidR="00357D39">
          <w:rPr>
            <w:webHidden/>
          </w:rPr>
          <w:fldChar w:fldCharType="separate"/>
        </w:r>
        <w:r w:rsidR="00357D39">
          <w:rPr>
            <w:webHidden/>
          </w:rPr>
          <w:t>692</w:t>
        </w:r>
        <w:r w:rsidR="00357D39">
          <w:rPr>
            <w:webHidden/>
          </w:rPr>
          <w:fldChar w:fldCharType="end"/>
        </w:r>
      </w:hyperlink>
    </w:p>
    <w:p w14:paraId="134FB335"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3" w:history="1">
        <w:r w:rsidR="00357D39" w:rsidRPr="00640E7F">
          <w:rPr>
            <w:rStyle w:val="Hypertextovodkaz"/>
          </w:rPr>
          <w:t>3.4.1 Objektivní výklad Druhých Analytik</w:t>
        </w:r>
        <w:r w:rsidR="00357D39">
          <w:rPr>
            <w:webHidden/>
          </w:rPr>
          <w:tab/>
        </w:r>
        <w:r w:rsidR="00357D39">
          <w:rPr>
            <w:webHidden/>
          </w:rPr>
          <w:fldChar w:fldCharType="begin"/>
        </w:r>
        <w:r w:rsidR="00357D39">
          <w:rPr>
            <w:webHidden/>
          </w:rPr>
          <w:instrText xml:space="preserve"> PAGEREF _Toc160449343 \h </w:instrText>
        </w:r>
        <w:r w:rsidR="00357D39">
          <w:rPr>
            <w:webHidden/>
          </w:rPr>
        </w:r>
        <w:r w:rsidR="00357D39">
          <w:rPr>
            <w:webHidden/>
          </w:rPr>
          <w:fldChar w:fldCharType="separate"/>
        </w:r>
        <w:r w:rsidR="00357D39">
          <w:rPr>
            <w:webHidden/>
          </w:rPr>
          <w:t>695</w:t>
        </w:r>
        <w:r w:rsidR="00357D39">
          <w:rPr>
            <w:webHidden/>
          </w:rPr>
          <w:fldChar w:fldCharType="end"/>
        </w:r>
      </w:hyperlink>
    </w:p>
    <w:p w14:paraId="739AAFC6"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4" w:history="1">
        <w:r w:rsidR="00357D39" w:rsidRPr="00640E7F">
          <w:rPr>
            <w:rStyle w:val="Hypertextovodkaz"/>
          </w:rPr>
          <w:t>3.4.2 Teorie moderní vědy</w:t>
        </w:r>
        <w:r w:rsidR="00357D39">
          <w:rPr>
            <w:webHidden/>
          </w:rPr>
          <w:tab/>
        </w:r>
        <w:r w:rsidR="00357D39">
          <w:rPr>
            <w:webHidden/>
          </w:rPr>
          <w:fldChar w:fldCharType="begin"/>
        </w:r>
        <w:r w:rsidR="00357D39">
          <w:rPr>
            <w:webHidden/>
          </w:rPr>
          <w:instrText xml:space="preserve"> PAGEREF _Toc160449344 \h </w:instrText>
        </w:r>
        <w:r w:rsidR="00357D39">
          <w:rPr>
            <w:webHidden/>
          </w:rPr>
        </w:r>
        <w:r w:rsidR="00357D39">
          <w:rPr>
            <w:webHidden/>
          </w:rPr>
          <w:fldChar w:fldCharType="separate"/>
        </w:r>
        <w:r w:rsidR="00357D39">
          <w:rPr>
            <w:webHidden/>
          </w:rPr>
          <w:t>713</w:t>
        </w:r>
        <w:r w:rsidR="00357D39">
          <w:rPr>
            <w:webHidden/>
          </w:rPr>
          <w:fldChar w:fldCharType="end"/>
        </w:r>
      </w:hyperlink>
    </w:p>
    <w:p w14:paraId="10562FA0"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5" w:history="1">
        <w:r w:rsidR="00357D39" w:rsidRPr="00640E7F">
          <w:rPr>
            <w:rStyle w:val="Hypertextovodkaz"/>
          </w:rPr>
          <w:t>3.4.3 Pravda objektivní substance</w:t>
        </w:r>
        <w:r w:rsidR="00357D39">
          <w:rPr>
            <w:webHidden/>
          </w:rPr>
          <w:tab/>
        </w:r>
        <w:r w:rsidR="00357D39">
          <w:rPr>
            <w:webHidden/>
          </w:rPr>
          <w:fldChar w:fldCharType="begin"/>
        </w:r>
        <w:r w:rsidR="00357D39">
          <w:rPr>
            <w:webHidden/>
          </w:rPr>
          <w:instrText xml:space="preserve"> PAGEREF _Toc160449345 \h </w:instrText>
        </w:r>
        <w:r w:rsidR="00357D39">
          <w:rPr>
            <w:webHidden/>
          </w:rPr>
        </w:r>
        <w:r w:rsidR="00357D39">
          <w:rPr>
            <w:webHidden/>
          </w:rPr>
          <w:fldChar w:fldCharType="separate"/>
        </w:r>
        <w:r w:rsidR="00357D39">
          <w:rPr>
            <w:webHidden/>
          </w:rPr>
          <w:t>733</w:t>
        </w:r>
        <w:r w:rsidR="00357D39">
          <w:rPr>
            <w:webHidden/>
          </w:rPr>
          <w:fldChar w:fldCharType="end"/>
        </w:r>
      </w:hyperlink>
    </w:p>
    <w:p w14:paraId="556DC7CB" w14:textId="77777777" w:rsidR="00357D39" w:rsidRDefault="009517EC" w:rsidP="00357D3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60449346" w:history="1">
        <w:r w:rsidR="00357D39" w:rsidRPr="00640E7F">
          <w:rPr>
            <w:rStyle w:val="Hypertextovodkaz"/>
          </w:rPr>
          <w:t>3.5 Modernizace avicennismu</w:t>
        </w:r>
        <w:r w:rsidR="00357D39">
          <w:rPr>
            <w:webHidden/>
          </w:rPr>
          <w:tab/>
        </w:r>
        <w:r w:rsidR="00357D39">
          <w:rPr>
            <w:webHidden/>
          </w:rPr>
          <w:fldChar w:fldCharType="begin"/>
        </w:r>
        <w:r w:rsidR="00357D39">
          <w:rPr>
            <w:webHidden/>
          </w:rPr>
          <w:instrText xml:space="preserve"> PAGEREF _Toc160449346 \h </w:instrText>
        </w:r>
        <w:r w:rsidR="00357D39">
          <w:rPr>
            <w:webHidden/>
          </w:rPr>
        </w:r>
        <w:r w:rsidR="00357D39">
          <w:rPr>
            <w:webHidden/>
          </w:rPr>
          <w:fldChar w:fldCharType="separate"/>
        </w:r>
        <w:r w:rsidR="00357D39">
          <w:rPr>
            <w:webHidden/>
          </w:rPr>
          <w:t>750</w:t>
        </w:r>
        <w:r w:rsidR="00357D39">
          <w:rPr>
            <w:webHidden/>
          </w:rPr>
          <w:fldChar w:fldCharType="end"/>
        </w:r>
      </w:hyperlink>
    </w:p>
    <w:p w14:paraId="6F969933"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7" w:history="1">
        <w:r w:rsidR="00357D39" w:rsidRPr="00640E7F">
          <w:rPr>
            <w:rStyle w:val="Hypertextovodkaz"/>
          </w:rPr>
          <w:t>Použité zkratky</w:t>
        </w:r>
        <w:r w:rsidR="00357D39">
          <w:rPr>
            <w:webHidden/>
          </w:rPr>
          <w:tab/>
        </w:r>
        <w:r w:rsidR="00357D39">
          <w:rPr>
            <w:webHidden/>
          </w:rPr>
          <w:fldChar w:fldCharType="begin"/>
        </w:r>
        <w:r w:rsidR="00357D39">
          <w:rPr>
            <w:webHidden/>
          </w:rPr>
          <w:instrText xml:space="preserve"> PAGEREF _Toc160449347 \h </w:instrText>
        </w:r>
        <w:r w:rsidR="00357D39">
          <w:rPr>
            <w:webHidden/>
          </w:rPr>
        </w:r>
        <w:r w:rsidR="00357D39">
          <w:rPr>
            <w:webHidden/>
          </w:rPr>
          <w:fldChar w:fldCharType="separate"/>
        </w:r>
        <w:r w:rsidR="00357D39">
          <w:rPr>
            <w:webHidden/>
          </w:rPr>
          <w:t>774</w:t>
        </w:r>
        <w:r w:rsidR="00357D39">
          <w:rPr>
            <w:webHidden/>
          </w:rPr>
          <w:fldChar w:fldCharType="end"/>
        </w:r>
      </w:hyperlink>
    </w:p>
    <w:p w14:paraId="7F802D4A"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8" w:history="1">
        <w:r w:rsidR="00357D39" w:rsidRPr="00640E7F">
          <w:rPr>
            <w:rStyle w:val="Hypertextovodkaz"/>
          </w:rPr>
          <w:t>Index locorum</w:t>
        </w:r>
        <w:r w:rsidR="00357D39">
          <w:rPr>
            <w:webHidden/>
          </w:rPr>
          <w:tab/>
        </w:r>
        <w:r w:rsidR="00357D39">
          <w:rPr>
            <w:webHidden/>
          </w:rPr>
          <w:fldChar w:fldCharType="begin"/>
        </w:r>
        <w:r w:rsidR="00357D39">
          <w:rPr>
            <w:webHidden/>
          </w:rPr>
          <w:instrText xml:space="preserve"> PAGEREF _Toc160449348 \h </w:instrText>
        </w:r>
        <w:r w:rsidR="00357D39">
          <w:rPr>
            <w:webHidden/>
          </w:rPr>
        </w:r>
        <w:r w:rsidR="00357D39">
          <w:rPr>
            <w:webHidden/>
          </w:rPr>
          <w:fldChar w:fldCharType="separate"/>
        </w:r>
        <w:r w:rsidR="00357D39">
          <w:rPr>
            <w:webHidden/>
          </w:rPr>
          <w:t>775</w:t>
        </w:r>
        <w:r w:rsidR="00357D39">
          <w:rPr>
            <w:webHidden/>
          </w:rPr>
          <w:fldChar w:fldCharType="end"/>
        </w:r>
      </w:hyperlink>
    </w:p>
    <w:p w14:paraId="73566225"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49" w:history="1">
        <w:r w:rsidR="00357D39" w:rsidRPr="00640E7F">
          <w:rPr>
            <w:rStyle w:val="Hypertextovodkaz"/>
          </w:rPr>
          <w:t>Jmenný a věcný rejstřík</w:t>
        </w:r>
        <w:r w:rsidR="00357D39">
          <w:rPr>
            <w:webHidden/>
          </w:rPr>
          <w:tab/>
        </w:r>
        <w:r w:rsidR="00357D39">
          <w:rPr>
            <w:webHidden/>
          </w:rPr>
          <w:fldChar w:fldCharType="begin"/>
        </w:r>
        <w:r w:rsidR="00357D39">
          <w:rPr>
            <w:webHidden/>
          </w:rPr>
          <w:instrText xml:space="preserve"> PAGEREF _Toc160449349 \h </w:instrText>
        </w:r>
        <w:r w:rsidR="00357D39">
          <w:rPr>
            <w:webHidden/>
          </w:rPr>
        </w:r>
        <w:r w:rsidR="00357D39">
          <w:rPr>
            <w:webHidden/>
          </w:rPr>
          <w:fldChar w:fldCharType="separate"/>
        </w:r>
        <w:r w:rsidR="00357D39">
          <w:rPr>
            <w:webHidden/>
          </w:rPr>
          <w:t>782</w:t>
        </w:r>
        <w:r w:rsidR="00357D39">
          <w:rPr>
            <w:webHidden/>
          </w:rPr>
          <w:fldChar w:fldCharType="end"/>
        </w:r>
      </w:hyperlink>
    </w:p>
    <w:p w14:paraId="540025CB" w14:textId="77777777" w:rsidR="00357D39" w:rsidRDefault="009517EC" w:rsidP="00357D3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60449350" w:history="1">
        <w:r w:rsidR="00357D39" w:rsidRPr="00640E7F">
          <w:rPr>
            <w:rStyle w:val="Hypertextovodkaz"/>
          </w:rPr>
          <w:t>Literatura</w:t>
        </w:r>
        <w:r w:rsidR="00357D39">
          <w:rPr>
            <w:webHidden/>
          </w:rPr>
          <w:tab/>
        </w:r>
        <w:r w:rsidR="00357D39">
          <w:rPr>
            <w:webHidden/>
          </w:rPr>
          <w:fldChar w:fldCharType="begin"/>
        </w:r>
        <w:r w:rsidR="00357D39">
          <w:rPr>
            <w:webHidden/>
          </w:rPr>
          <w:instrText xml:space="preserve"> PAGEREF _Toc160449350 \h </w:instrText>
        </w:r>
        <w:r w:rsidR="00357D39">
          <w:rPr>
            <w:webHidden/>
          </w:rPr>
        </w:r>
        <w:r w:rsidR="00357D39">
          <w:rPr>
            <w:webHidden/>
          </w:rPr>
          <w:fldChar w:fldCharType="separate"/>
        </w:r>
        <w:r w:rsidR="00357D39">
          <w:rPr>
            <w:webHidden/>
          </w:rPr>
          <w:t>792</w:t>
        </w:r>
        <w:r w:rsidR="00357D39">
          <w:rPr>
            <w:webHidden/>
          </w:rPr>
          <w:fldChar w:fldCharType="end"/>
        </w:r>
      </w:hyperlink>
    </w:p>
    <w:p w14:paraId="7427B0C3" w14:textId="77777777" w:rsidR="00357D39" w:rsidRPr="003D1E07" w:rsidRDefault="00357D39" w:rsidP="00357D39">
      <w:pPr>
        <w:spacing w:line="240" w:lineRule="auto"/>
      </w:pPr>
      <w:r w:rsidRPr="003D1E07">
        <w:rPr>
          <w:b/>
          <w:bCs/>
        </w:rPr>
        <w:fldChar w:fldCharType="end"/>
      </w:r>
    </w:p>
    <w:p w14:paraId="17500925" w14:textId="75D8B772" w:rsidR="00867356" w:rsidRDefault="00357D39" w:rsidP="00357D39">
      <w:r w:rsidRPr="003D1E07">
        <w:br w:type="page"/>
      </w:r>
      <w:bookmarkEnd w:id="4"/>
      <w:r w:rsidR="08BB30E1">
        <w:lastRenderedPageBreak/>
        <w:t xml:space="preserve">Předešlý výklad vzniku moderní metafyziky </w:t>
      </w:r>
      <w:r w:rsidR="080B50AF">
        <w:t>provedl ro</w:t>
      </w:r>
      <w:r w:rsidR="085807D8">
        <w:t>zbor klíčových gigantomachi</w:t>
      </w:r>
      <w:r w:rsidR="080B50AF">
        <w:t>í o substanci, které proběhly v pozdní antice a ve falsafě. Múzické pojetí pravdy vedené archegetickým dativem</w:t>
      </w:r>
      <w:r w:rsidR="08BD59E9">
        <w:t xml:space="preserve"> (</w:t>
      </w:r>
      <w:r w:rsidR="08BD59E9">
        <w:rPr>
          <w:i/>
        </w:rPr>
        <w:t>dativus archegeticus</w:t>
      </w:r>
      <w:r w:rsidR="08195A1C">
        <w:fldChar w:fldCharType="begin"/>
      </w:r>
      <w:r w:rsidR="08195A1C">
        <w:instrText xml:space="preserve"> XE "</w:instrText>
      </w:r>
      <w:r w:rsidR="08195A1C" w:rsidRPr="08195A1C">
        <w:rPr>
          <w:i/>
        </w:rPr>
        <w:instrText xml:space="preserve">dativus </w:instrText>
      </w:r>
      <w:r w:rsidR="08BD59E9">
        <w:rPr>
          <w:i/>
        </w:rPr>
        <w:instrText>archegeticus</w:instrText>
      </w:r>
      <w:r w:rsidR="08195A1C">
        <w:instrText xml:space="preserve">" </w:instrText>
      </w:r>
      <w:r w:rsidR="08195A1C">
        <w:fldChar w:fldCharType="end"/>
      </w:r>
      <w:r w:rsidR="08BD59E9">
        <w:t>)</w:t>
      </w:r>
      <w:r w:rsidR="080B50AF">
        <w:t xml:space="preserve"> se transformovalo </w:t>
      </w:r>
      <w:r w:rsidR="08BD59E9">
        <w:t>nejprve do principiálního dativu (</w:t>
      </w:r>
      <w:r w:rsidR="08BD59E9" w:rsidRPr="08BD59E9">
        <w:rPr>
          <w:i/>
        </w:rPr>
        <w:t>dativus principalis</w:t>
      </w:r>
      <w:r w:rsidR="08BD59E9">
        <w:rPr>
          <w:i/>
        </w:rPr>
        <w:fldChar w:fldCharType="begin"/>
      </w:r>
      <w:r w:rsidR="08BD59E9">
        <w:instrText xml:space="preserve"> XE "</w:instrText>
      </w:r>
      <w:r w:rsidR="08BD59E9" w:rsidRPr="08F006AF">
        <w:rPr>
          <w:i/>
        </w:rPr>
        <w:instrText>dativus principalis</w:instrText>
      </w:r>
      <w:r w:rsidR="08BD59E9">
        <w:instrText xml:space="preserve">" </w:instrText>
      </w:r>
      <w:r w:rsidR="08BD59E9">
        <w:rPr>
          <w:i/>
        </w:rPr>
        <w:fldChar w:fldCharType="end"/>
      </w:r>
      <w:r w:rsidR="08BD59E9">
        <w:t>) první fil</w:t>
      </w:r>
      <w:r w:rsidR="085E4586">
        <w:t>oso</w:t>
      </w:r>
      <w:r w:rsidR="08BD59E9">
        <w:t>fi</w:t>
      </w:r>
      <w:r w:rsidR="085E4586">
        <w:t>e</w:t>
      </w:r>
      <w:r w:rsidR="08BD59E9">
        <w:t xml:space="preserve"> a pak do metafyzického </w:t>
      </w:r>
      <w:r w:rsidR="083215F6">
        <w:t>dati</w:t>
      </w:r>
      <w:r w:rsidR="080B50AF">
        <w:t>vu aristotelské filosofie</w:t>
      </w:r>
      <w:r w:rsidR="08195A1C">
        <w:fldChar w:fldCharType="begin"/>
      </w:r>
      <w:r w:rsidR="08195A1C">
        <w:instrText xml:space="preserve"> XE "</w:instrText>
      </w:r>
      <w:r w:rsidR="08195A1C">
        <w:rPr>
          <w:i/>
        </w:rPr>
        <w:instrText xml:space="preserve">dativus </w:instrText>
      </w:r>
      <w:r w:rsidR="085E4586">
        <w:rPr>
          <w:i/>
        </w:rPr>
        <w:instrText>metaphysicus</w:instrText>
      </w:r>
      <w:r w:rsidR="08195A1C">
        <w:instrText xml:space="preserve">" </w:instrText>
      </w:r>
      <w:r w:rsidR="08195A1C">
        <w:fldChar w:fldCharType="end"/>
      </w:r>
      <w:r w:rsidR="080B50AF">
        <w:t xml:space="preserve">. </w:t>
      </w:r>
      <w:r w:rsidR="089A5751">
        <w:t xml:space="preserve">Dějinné působení </w:t>
      </w:r>
      <w:r w:rsidR="0862523D">
        <w:t xml:space="preserve">archegetického dativu </w:t>
      </w:r>
      <w:r w:rsidR="08977126">
        <w:t xml:space="preserve">se děje </w:t>
      </w:r>
      <w:r w:rsidR="0862523D">
        <w:t xml:space="preserve">v plné přítomnosti múzické </w:t>
      </w:r>
      <w:r w:rsidR="0862523D" w:rsidRPr="086447F7">
        <w:rPr>
          <w:i/>
        </w:rPr>
        <w:t>a/létheia</w:t>
      </w:r>
      <w:r w:rsidR="0862523D">
        <w:rPr>
          <w:i/>
        </w:rPr>
        <w:fldChar w:fldCharType="begin"/>
      </w:r>
      <w:r w:rsidR="0862523D">
        <w:instrText xml:space="preserve"> XE "</w:instrText>
      </w:r>
      <w:r w:rsidR="0862523D" w:rsidRPr="08D8597B">
        <w:rPr>
          <w:i/>
        </w:rPr>
        <w:instrText>a/létheia</w:instrText>
      </w:r>
      <w:r w:rsidR="0862523D">
        <w:instrText xml:space="preserve">" </w:instrText>
      </w:r>
      <w:r w:rsidR="0862523D">
        <w:rPr>
          <w:i/>
        </w:rPr>
        <w:fldChar w:fldCharType="end"/>
      </w:r>
      <w:r w:rsidR="0862523D">
        <w:t xml:space="preserve">. </w:t>
      </w:r>
      <w:r w:rsidR="082D0A92">
        <w:t>Apollinskou sém</w:t>
      </w:r>
      <w:r w:rsidR="004001A7">
        <w:t>eiot</w:t>
      </w:r>
      <w:r w:rsidR="082D0A92">
        <w:t xml:space="preserve">iku celku bytí jsoucna </w:t>
      </w:r>
      <w:r w:rsidR="004001A7">
        <w:t>(Héraklit, B 93</w:t>
      </w:r>
      <w:r w:rsidR="004001A7">
        <w:fldChar w:fldCharType="begin"/>
      </w:r>
      <w:r w:rsidR="004001A7">
        <w:instrText xml:space="preserve"> XE "</w:instrText>
      </w:r>
      <w:r w:rsidR="004001A7" w:rsidRPr="08CB723F">
        <w:instrText>Hérakleitos</w:instrText>
      </w:r>
      <w:r w:rsidR="004001A7">
        <w:instrText xml:space="preserve"> z Efezu:B </w:instrText>
      </w:r>
      <w:r w:rsidR="004001A7" w:rsidRPr="08CB723F">
        <w:instrText>9</w:instrText>
      </w:r>
      <w:r w:rsidR="004001A7">
        <w:instrText xml:space="preserve">3" </w:instrText>
      </w:r>
      <w:r w:rsidR="004001A7">
        <w:fldChar w:fldCharType="end"/>
      </w:r>
      <w:r w:rsidR="004001A7">
        <w:t xml:space="preserve">) </w:t>
      </w:r>
      <w:r w:rsidR="082D0A92">
        <w:t xml:space="preserve">odhalili první filosofové </w:t>
      </w:r>
      <w:r w:rsidR="083D7218">
        <w:t xml:space="preserve">v přímém vidění </w:t>
      </w:r>
      <w:r w:rsidR="089B3A7C">
        <w:t>známého v mystériích (</w:t>
      </w:r>
      <w:r w:rsidR="089B3A7C" w:rsidRPr="089B3A7C">
        <w:t>ἐποπτεία</w:t>
      </w:r>
      <w:r w:rsidR="089B3A7C">
        <w:t xml:space="preserve">). Tragikové předali tento </w:t>
      </w:r>
      <w:r w:rsidR="082D0A92">
        <w:t xml:space="preserve">náhled </w:t>
      </w:r>
      <w:r w:rsidR="08E81968">
        <w:t xml:space="preserve">apollinské </w:t>
      </w:r>
      <w:r w:rsidR="089B3A7C">
        <w:t>pravdy politicky smýšlející ob</w:t>
      </w:r>
      <w:r w:rsidR="082D0A92">
        <w:t>c</w:t>
      </w:r>
      <w:r w:rsidR="089B3A7C">
        <w:t>i</w:t>
      </w:r>
      <w:r w:rsidR="08764FA4">
        <w:t xml:space="preserve"> zaujatých diváků, kteří </w:t>
      </w:r>
      <w:r w:rsidR="081D5966">
        <w:t xml:space="preserve">zakoušeli v </w:t>
      </w:r>
      <w:r w:rsidR="08764FA4">
        <w:t>řecké</w:t>
      </w:r>
      <w:r w:rsidR="081D5966">
        <w:t>m</w:t>
      </w:r>
      <w:r w:rsidR="08764FA4">
        <w:t xml:space="preserve"> drama</w:t>
      </w:r>
      <w:r w:rsidR="081D5966">
        <w:t>tu</w:t>
      </w:r>
      <w:r w:rsidR="08764FA4">
        <w:t xml:space="preserve"> přímé působení této </w:t>
      </w:r>
      <w:r w:rsidR="08E81968">
        <w:t xml:space="preserve">archaické moudrosti </w:t>
      </w:r>
      <w:r w:rsidR="089B3A7C">
        <w:t>(</w:t>
      </w:r>
      <w:r w:rsidR="089B3A7C" w:rsidRPr="089B3A7C">
        <w:t>θεωρία</w:t>
      </w:r>
      <w:r w:rsidR="089B3A7C">
        <w:t>)</w:t>
      </w:r>
      <w:r w:rsidR="082D0A92">
        <w:t xml:space="preserve">. </w:t>
      </w:r>
      <w:r w:rsidR="088C5D71">
        <w:t xml:space="preserve">Pravdu první filosofie </w:t>
      </w:r>
      <w:r w:rsidR="082D0A92">
        <w:t>ukazuje známý Hérakleitův výrok, který vykládáme skrze archaic</w:t>
      </w:r>
      <w:r w:rsidR="00CF1ACF">
        <w:t>kou hermeneutiku: „Těm, kteří vstali a jsou bdělí</w:t>
      </w:r>
      <w:r w:rsidR="082D0A92">
        <w:t xml:space="preserve"> (τοῖς ἐγρηγορόσιν), se svět dává v archegetickém dativu, tedy plně přítomný, jeden a společný svět (ἕνα καὶ κοινὸν κόσμον εἶναι); ale ti, kdo zůstávají ve tmě, jdou cestou vlastní jednotlivým jsoucnům</w:t>
      </w:r>
      <w:r w:rsidR="085B4E68">
        <w:t xml:space="preserve"> </w:t>
      </w:r>
      <w:r w:rsidR="08695974">
        <w:t>(εἰς ἴδιον ἀποστρέφεσθαι)</w:t>
      </w:r>
      <w:r w:rsidR="082D0A92">
        <w:t>.“ (Hérakleitos, B 89</w:t>
      </w:r>
      <w:r w:rsidR="082D0A92">
        <w:fldChar w:fldCharType="begin"/>
      </w:r>
      <w:r w:rsidR="082D0A92">
        <w:instrText xml:space="preserve"> XE "</w:instrText>
      </w:r>
      <w:r w:rsidR="082D0A92" w:rsidRPr="08CB723F">
        <w:instrText>Hérakleitos</w:instrText>
      </w:r>
      <w:r w:rsidR="082D0A92">
        <w:instrText xml:space="preserve"> z Efezu</w:instrText>
      </w:r>
      <w:r w:rsidR="082D0A92" w:rsidRPr="08CB723F">
        <w:instrText>:B 89</w:instrText>
      </w:r>
      <w:r w:rsidR="082D0A92">
        <w:instrText xml:space="preserve">" </w:instrText>
      </w:r>
      <w:r w:rsidR="082D0A92">
        <w:fldChar w:fldCharType="end"/>
      </w:r>
      <w:r w:rsidR="082D0A92">
        <w:t xml:space="preserve">). </w:t>
      </w:r>
      <w:r w:rsidR="08D768E3">
        <w:t xml:space="preserve">Pro Sokrata byla nejcennější apollinská pravda, a ne </w:t>
      </w:r>
      <w:r w:rsidR="00D95627">
        <w:t xml:space="preserve">sofistické </w:t>
      </w:r>
      <w:r w:rsidR="08D768E3">
        <w:t xml:space="preserve">myšlení. </w:t>
      </w:r>
      <w:r w:rsidR="085C0EDA">
        <w:t xml:space="preserve">Nové pojetí pravdy </w:t>
      </w:r>
      <w:r w:rsidR="00877E0C">
        <w:t xml:space="preserve">jako metafyzická </w:t>
      </w:r>
      <w:r w:rsidR="00877E0C" w:rsidRPr="00877E0C">
        <w:rPr>
          <w:i/>
        </w:rPr>
        <w:t>veritas</w:t>
      </w:r>
      <w:r w:rsidR="00444E7B">
        <w:rPr>
          <w:i/>
        </w:rPr>
        <w:fldChar w:fldCharType="begin"/>
      </w:r>
      <w:r w:rsidR="00444E7B">
        <w:instrText xml:space="preserve"> XE "</w:instrText>
      </w:r>
      <w:r w:rsidR="00444E7B" w:rsidRPr="004D55EF">
        <w:rPr>
          <w:i/>
        </w:rPr>
        <w:instrText>veritas</w:instrText>
      </w:r>
      <w:r w:rsidR="00444E7B">
        <w:instrText xml:space="preserve">" </w:instrText>
      </w:r>
      <w:r w:rsidR="00444E7B">
        <w:rPr>
          <w:i/>
        </w:rPr>
        <w:fldChar w:fldCharType="end"/>
      </w:r>
      <w:r w:rsidR="00877E0C">
        <w:t xml:space="preserve"> </w:t>
      </w:r>
      <w:r w:rsidR="085C0EDA">
        <w:t>vzniklo platonským o</w:t>
      </w:r>
      <w:r w:rsidR="0897405B">
        <w:t>brat</w:t>
      </w:r>
      <w:r w:rsidR="085C0EDA">
        <w:t>em</w:t>
      </w:r>
      <w:r w:rsidR="0897405B">
        <w:t xml:space="preserve"> od společného bytí celku k ideovým jednotlivin</w:t>
      </w:r>
      <w:r w:rsidR="08AC14B4">
        <w:t>ám založených</w:t>
      </w:r>
      <w:r w:rsidR="085C0EDA">
        <w:t xml:space="preserve"> subjektivně</w:t>
      </w:r>
      <w:r w:rsidR="08FC201E">
        <w:t xml:space="preserve"> (OBJ I, kap. 1.1)</w:t>
      </w:r>
      <w:r w:rsidR="0897405B">
        <w:t xml:space="preserve">. Pravda jako </w:t>
      </w:r>
      <w:r w:rsidR="08AC14B4">
        <w:t xml:space="preserve">metafyzická </w:t>
      </w:r>
      <w:r w:rsidR="0897405B">
        <w:t xml:space="preserve">správnost </w:t>
      </w:r>
      <w:r w:rsidR="083A1028">
        <w:t xml:space="preserve">osvíceného subjektu </w:t>
      </w:r>
      <w:r w:rsidR="082576FC">
        <w:t>se stala po platonském obratu dějinným určením západního myšlení</w:t>
      </w:r>
      <w:r w:rsidR="0897405B">
        <w:t xml:space="preserve">. </w:t>
      </w:r>
      <w:r w:rsidR="088F7FB9">
        <w:t xml:space="preserve">Idea </w:t>
      </w:r>
      <w:r w:rsidR="088952D5">
        <w:t xml:space="preserve">zajišťuje </w:t>
      </w:r>
      <w:r w:rsidR="08B15F40">
        <w:t xml:space="preserve">umělé </w:t>
      </w:r>
      <w:r w:rsidR="082C225C">
        <w:t>světlo intelektu</w:t>
      </w:r>
      <w:r w:rsidR="088F7FB9">
        <w:t>, které ozařuje</w:t>
      </w:r>
      <w:r w:rsidR="08963D6A">
        <w:t xml:space="preserve"> </w:t>
      </w:r>
      <w:r w:rsidR="088F7FB9">
        <w:t xml:space="preserve">temnou </w:t>
      </w:r>
      <w:r w:rsidR="08B15F40">
        <w:t>jeskyni troglodytů</w:t>
      </w:r>
      <w:r w:rsidR="088F7FB9">
        <w:t xml:space="preserve">. V této mytopoetické jeskyni předtím svítil pouze </w:t>
      </w:r>
      <w:r w:rsidR="085278CE">
        <w:t xml:space="preserve">nejistý </w:t>
      </w:r>
      <w:r w:rsidR="088F7FB9">
        <w:t>oheň techniky postavené na řemeslné šikovnosti</w:t>
      </w:r>
      <w:r w:rsidR="085278CE">
        <w:t xml:space="preserve">. V moderní </w:t>
      </w:r>
      <w:r w:rsidR="08B47933">
        <w:t xml:space="preserve">platonské </w:t>
      </w:r>
      <w:r w:rsidR="085278CE">
        <w:t xml:space="preserve">jeskyni se rozzářilo věčné světlo </w:t>
      </w:r>
      <w:r w:rsidR="009C385D">
        <w:t xml:space="preserve">nového </w:t>
      </w:r>
      <w:r w:rsidR="085278CE">
        <w:t>intelektu postavené</w:t>
      </w:r>
      <w:r w:rsidR="009C385D">
        <w:t>ho</w:t>
      </w:r>
      <w:r w:rsidR="085278CE">
        <w:t xml:space="preserve"> </w:t>
      </w:r>
      <w:r w:rsidR="088F7FB9">
        <w:t>na exaktní matematice</w:t>
      </w:r>
      <w:r w:rsidR="08D20221">
        <w:t xml:space="preserve">. </w:t>
      </w:r>
      <w:r w:rsidR="002A003A">
        <w:t>M</w:t>
      </w:r>
      <w:r w:rsidR="00435A3F">
        <w:t>etafyzika</w:t>
      </w:r>
      <w:r w:rsidR="08F010A8">
        <w:t xml:space="preserve"> našla přesunem pravdy ze světa do </w:t>
      </w:r>
      <w:r w:rsidR="08E86125">
        <w:t xml:space="preserve">osvíceného </w:t>
      </w:r>
      <w:r w:rsidR="08F010A8">
        <w:t>subjektu nové místo vědění (</w:t>
      </w:r>
      <w:r w:rsidR="08F010A8" w:rsidRPr="08B048DD">
        <w:rPr>
          <w:i/>
        </w:rPr>
        <w:t>ortus scientiarum</w:t>
      </w:r>
      <w:r w:rsidR="08F010A8">
        <w:rPr>
          <w:i/>
        </w:rPr>
        <w:fldChar w:fldCharType="begin"/>
      </w:r>
      <w:r w:rsidR="08F010A8">
        <w:instrText xml:space="preserve"> XE "</w:instrText>
      </w:r>
      <w:r w:rsidR="08F010A8" w:rsidRPr="08DD0A90">
        <w:rPr>
          <w:i/>
        </w:rPr>
        <w:instrText>ortus scientiarum</w:instrText>
      </w:r>
      <w:r w:rsidR="08F010A8">
        <w:instrText xml:space="preserve">" </w:instrText>
      </w:r>
      <w:r w:rsidR="08F010A8">
        <w:rPr>
          <w:i/>
        </w:rPr>
        <w:fldChar w:fldCharType="end"/>
      </w:r>
      <w:r w:rsidR="08F010A8">
        <w:t xml:space="preserve">). </w:t>
      </w:r>
      <w:r w:rsidR="083C161E">
        <w:t>Nový mýtus zajiš</w:t>
      </w:r>
      <w:r w:rsidR="08A9363E">
        <w:t xml:space="preserve">ťuje </w:t>
      </w:r>
      <w:r w:rsidR="083C161E">
        <w:t xml:space="preserve">metafyzické přivlastnění </w:t>
      </w:r>
      <w:r w:rsidR="08612CC1">
        <w:t xml:space="preserve">pravdy jako </w:t>
      </w:r>
      <w:r w:rsidR="08A9363E">
        <w:t>subjektiv</w:t>
      </w:r>
      <w:r w:rsidR="08612CC1">
        <w:t>n</w:t>
      </w:r>
      <w:r w:rsidR="088D1F19">
        <w:t xml:space="preserve">ě věděné správnosti </w:t>
      </w:r>
      <w:r w:rsidR="08612CC1">
        <w:t>(</w:t>
      </w:r>
      <w:r w:rsidR="08612CC1" w:rsidRPr="00273106">
        <w:t>τὸ ἀληθὲς</w:t>
      </w:r>
      <w:r w:rsidR="08612CC1">
        <w:t xml:space="preserve">, </w:t>
      </w:r>
      <w:r w:rsidR="08612CC1" w:rsidRPr="00F627A2">
        <w:rPr>
          <w:i/>
        </w:rPr>
        <w:t>ver</w:t>
      </w:r>
      <w:r w:rsidR="08612CC1">
        <w:rPr>
          <w:i/>
        </w:rPr>
        <w:t>um</w:t>
      </w:r>
      <w:r w:rsidR="08612CC1">
        <w:rPr>
          <w:i/>
        </w:rPr>
        <w:fldChar w:fldCharType="begin"/>
      </w:r>
      <w:r w:rsidR="08612CC1">
        <w:instrText xml:space="preserve"> XE "pravda:</w:instrText>
      </w:r>
      <w:r w:rsidR="08612CC1">
        <w:rPr>
          <w:i/>
        </w:rPr>
        <w:instrText>veritas</w:instrText>
      </w:r>
      <w:r w:rsidR="08612CC1">
        <w:instrText xml:space="preserve">" </w:instrText>
      </w:r>
      <w:r w:rsidR="08612CC1">
        <w:rPr>
          <w:i/>
        </w:rPr>
        <w:fldChar w:fldCharType="end"/>
      </w:r>
      <w:r w:rsidR="08612CC1">
        <w:t>, OBJ I, kap. 1)</w:t>
      </w:r>
      <w:r w:rsidR="08B048DD">
        <w:t xml:space="preserve">. </w:t>
      </w:r>
      <w:r w:rsidR="08D37D7A">
        <w:t xml:space="preserve">Návaznost </w:t>
      </w:r>
      <w:r w:rsidR="00AF3809">
        <w:t xml:space="preserve">platonské </w:t>
      </w:r>
      <w:r w:rsidR="08D37D7A">
        <w:t>ideje na matematickou harmonii založila nový typ akademických mystérií a vidění. Duše osvíceného ilumináta dokonale poznává svět dávno předtím, než dotyčný subjekt spatřil světlo reálného světa.</w:t>
      </w:r>
      <w:r w:rsidR="08012E5B">
        <w:t xml:space="preserve"> </w:t>
      </w:r>
      <w:r w:rsidR="08D37D7A">
        <w:t>Nesmírnou technickou výhodou ideje je fakt, že okamžitě a kdekoliv vrací akademického ilumináta do toho, co je mu vlastní (</w:t>
      </w:r>
      <w:r w:rsidR="08D37D7A" w:rsidRPr="08624B42">
        <w:rPr>
          <w:i/>
        </w:rPr>
        <w:t>eís ídion</w:t>
      </w:r>
      <w:r w:rsidR="08D37D7A">
        <w:t>).</w:t>
      </w:r>
      <w:r w:rsidR="08D37D7A" w:rsidRPr="08AD3C8C">
        <w:t xml:space="preserve"> </w:t>
      </w:r>
      <w:r w:rsidR="00450DDB">
        <w:t>Tito moderní „idioti“</w:t>
      </w:r>
      <w:r w:rsidR="00450DDB" w:rsidRPr="00450DDB">
        <w:t xml:space="preserve"> jsou doma všude, kde si vybudují svůj vlastní svět; v poslední době antropocénu je to celá Země.</w:t>
      </w:r>
      <w:r w:rsidR="00450DDB">
        <w:t xml:space="preserve"> </w:t>
      </w:r>
      <w:r w:rsidR="085D7807">
        <w:t xml:space="preserve">Původní místo archaické výpovědi byla múzická pravda podaná věštecky, </w:t>
      </w:r>
      <w:r w:rsidR="085D7807">
        <w:lastRenderedPageBreak/>
        <w:t>rapsódicky a tragicky (</w:t>
      </w:r>
      <w:r w:rsidR="085D7807" w:rsidRPr="083C161E">
        <w:rPr>
          <w:i/>
        </w:rPr>
        <w:t>die Sage</w:t>
      </w:r>
      <w:r w:rsidR="085C67E2">
        <w:rPr>
          <w:i/>
        </w:rPr>
        <w:fldChar w:fldCharType="begin"/>
      </w:r>
      <w:r w:rsidR="085C67E2">
        <w:instrText xml:space="preserve"> XE "</w:instrText>
      </w:r>
      <w:r w:rsidR="085C67E2" w:rsidRPr="086048B4">
        <w:rPr>
          <w:i/>
        </w:rPr>
        <w:instrText>die Sage</w:instrText>
      </w:r>
      <w:r w:rsidR="085C67E2">
        <w:instrText xml:space="preserve">" </w:instrText>
      </w:r>
      <w:r w:rsidR="085C67E2">
        <w:rPr>
          <w:i/>
        </w:rPr>
        <w:fldChar w:fldCharType="end"/>
      </w:r>
      <w:r w:rsidR="085D7807">
        <w:t>).</w:t>
      </w:r>
      <w:r w:rsidR="085D7807">
        <w:rPr>
          <w:rStyle w:val="Znakapoznpodarou"/>
        </w:rPr>
        <w:footnoteReference w:id="1"/>
      </w:r>
      <w:r w:rsidR="085D7807">
        <w:t xml:space="preserve"> </w:t>
      </w:r>
      <w:r w:rsidR="085C67E2">
        <w:t>M</w:t>
      </w:r>
      <w:r w:rsidR="085350B8">
        <w:t xml:space="preserve">úzické </w:t>
      </w:r>
      <w:r w:rsidR="085D7807">
        <w:t>zjevování pravdy v</w:t>
      </w:r>
      <w:r w:rsidR="085C67E2">
        <w:t> apollinském modu pravdy a jejího zdání (</w:t>
      </w:r>
      <w:r w:rsidR="085D7807" w:rsidRPr="08D4729C">
        <w:rPr>
          <w:i/>
        </w:rPr>
        <w:t>a/létheia</w:t>
      </w:r>
      <w:r w:rsidR="0897294F">
        <w:rPr>
          <w:i/>
        </w:rPr>
        <w:fldChar w:fldCharType="begin"/>
      </w:r>
      <w:r w:rsidR="0897294F">
        <w:instrText xml:space="preserve"> XE "</w:instrText>
      </w:r>
      <w:r w:rsidR="0897294F" w:rsidRPr="087B0021">
        <w:rPr>
          <w:i/>
        </w:rPr>
        <w:instrText>a/létheia</w:instrText>
      </w:r>
      <w:r w:rsidR="0897294F">
        <w:instrText xml:space="preserve">" </w:instrText>
      </w:r>
      <w:r w:rsidR="0897294F">
        <w:rPr>
          <w:i/>
        </w:rPr>
        <w:fldChar w:fldCharType="end"/>
      </w:r>
      <w:r w:rsidR="085C67E2">
        <w:t>) se vztahuje</w:t>
      </w:r>
      <w:r w:rsidR="085D7807">
        <w:t xml:space="preserve"> k počátku dějinnosti. </w:t>
      </w:r>
      <w:r w:rsidR="088D1F19">
        <w:t xml:space="preserve">Platonem vedená moderna si přivlastnila pravdu epochálně novým způsobem </w:t>
      </w:r>
      <w:r w:rsidR="084C40EB">
        <w:t>(</w:t>
      </w:r>
      <w:r w:rsidR="084C40EB" w:rsidRPr="084C40EB">
        <w:rPr>
          <w:i/>
        </w:rPr>
        <w:t>Ereignis</w:t>
      </w:r>
      <w:r w:rsidR="08E761B9">
        <w:rPr>
          <w:i/>
        </w:rPr>
        <w:fldChar w:fldCharType="begin"/>
      </w:r>
      <w:r w:rsidR="08E761B9">
        <w:instrText xml:space="preserve"> XE "</w:instrText>
      </w:r>
      <w:r w:rsidR="08E761B9" w:rsidRPr="088322A7">
        <w:rPr>
          <w:i/>
        </w:rPr>
        <w:instrText>Ereignis</w:instrText>
      </w:r>
      <w:r w:rsidR="08E761B9">
        <w:instrText xml:space="preserve">" </w:instrText>
      </w:r>
      <w:r w:rsidR="08E761B9">
        <w:rPr>
          <w:i/>
        </w:rPr>
        <w:fldChar w:fldCharType="end"/>
      </w:r>
      <w:r w:rsidR="08E761B9">
        <w:t>)</w:t>
      </w:r>
      <w:r w:rsidR="088D1F19">
        <w:t xml:space="preserve">. </w:t>
      </w:r>
      <w:r w:rsidR="08C86961">
        <w:t xml:space="preserve">Platonův Sokrates vyšel z pohádkové jeskyně k nejvyšší ideji a po odhalení ideového světa se tento iluminát opět vrátil do světa techniků v převleku akademického pedagoga. </w:t>
      </w:r>
      <w:r w:rsidR="00081831" w:rsidRPr="00081831">
        <w:t>Odyssea Sokratova metafyzického dvojníka směřuje k ideji Dobra; vrací se k pilným troglodytům, aby je poučil o budování Nového věku metafyziky</w:t>
      </w:r>
      <w:r w:rsidR="00081831">
        <w:t xml:space="preserve">. </w:t>
      </w:r>
      <w:r w:rsidR="00AD602A" w:rsidRPr="00AD602A">
        <w:t>Tato nepravděpod</w:t>
      </w:r>
      <w:r w:rsidR="004E5736">
        <w:t>obná akademická historie vytvořila</w:t>
      </w:r>
      <w:r w:rsidR="00AD602A" w:rsidRPr="00AD602A">
        <w:t xml:space="preserve"> základní mýtus modernity.</w:t>
      </w:r>
      <w:r w:rsidR="00AD602A">
        <w:t xml:space="preserve"> </w:t>
      </w:r>
      <w:r w:rsidR="00081831">
        <w:t xml:space="preserve">Platonova nově vytvořená první filosofie </w:t>
      </w:r>
      <w:r w:rsidR="08C12269">
        <w:t>našla nový počátek pravdy v nositeli pravdy</w:t>
      </w:r>
      <w:r w:rsidR="085515E7">
        <w:t>, a ne v celku bytí jsoucna</w:t>
      </w:r>
      <w:r w:rsidR="08C12269">
        <w:t xml:space="preserve">. Subjektivní přivlastnění pravdy </w:t>
      </w:r>
      <w:r w:rsidR="08F90A80">
        <w:t xml:space="preserve">v modu ideje a substance </w:t>
      </w:r>
      <w:r w:rsidR="08C12269">
        <w:t>vytvořilo</w:t>
      </w:r>
      <w:r w:rsidR="089B7540">
        <w:t xml:space="preserve"> </w:t>
      </w:r>
      <w:r w:rsidR="083D7635">
        <w:t>novou verzi společného světa, který</w:t>
      </w:r>
      <w:r w:rsidR="089B7540">
        <w:t xml:space="preserve"> je vlastní akademickým subjektům. </w:t>
      </w:r>
      <w:r w:rsidR="080C673E">
        <w:t xml:space="preserve">Zavedením metafyziky vznikla nová gigantomachie o substanci daná sporem o povahu první vědy. </w:t>
      </w:r>
      <w:r w:rsidR="08787ECE">
        <w:t xml:space="preserve">Metafyzický </w:t>
      </w:r>
      <w:r w:rsidR="080C673E">
        <w:t xml:space="preserve">dativ určený platonskou matematickou ideou nemá stejné pojetí pravdy jako </w:t>
      </w:r>
      <w:r w:rsidR="08787ECE">
        <w:t xml:space="preserve">metafyzický </w:t>
      </w:r>
      <w:r w:rsidR="080C673E">
        <w:t>dativ určený a</w:t>
      </w:r>
      <w:r w:rsidR="00867356">
        <w:t>ristotelskou reálnou substancí.</w:t>
      </w:r>
    </w:p>
    <w:p w14:paraId="419643A9" w14:textId="1DE16AED" w:rsidR="00B334C2" w:rsidRDefault="083A4E80" w:rsidP="00867356">
      <w:pPr>
        <w:ind w:firstLine="360"/>
      </w:pPr>
      <w:r>
        <w:t xml:space="preserve">Hermeneutika sleduje působení </w:t>
      </w:r>
      <w:r w:rsidR="005742D5">
        <w:t xml:space="preserve">archaického </w:t>
      </w:r>
      <w:r>
        <w:t>dativu</w:t>
      </w:r>
      <w:r w:rsidR="005742D5">
        <w:t>, který skrytě působí i</w:t>
      </w:r>
      <w:r>
        <w:t xml:space="preserve"> v dějinách metafyziky. </w:t>
      </w:r>
      <w:r w:rsidR="080C673E">
        <w:t>P</w:t>
      </w:r>
      <w:r w:rsidR="08454DA7">
        <w:t xml:space="preserve">rvní díl </w:t>
      </w:r>
      <w:r w:rsidR="089B1F05">
        <w:t xml:space="preserve">ukázal, jak v prostředí Avicennovy metafyziky vznikl moderní subjekt poznání, který pro Averroese představoval </w:t>
      </w:r>
      <w:r w:rsidR="000D3107">
        <w:t xml:space="preserve">úplný </w:t>
      </w:r>
      <w:r w:rsidR="089B1F05">
        <w:t xml:space="preserve">nesmysl. </w:t>
      </w:r>
      <w:r w:rsidR="08C8531C">
        <w:t xml:space="preserve">Modernisté </w:t>
      </w:r>
      <w:r w:rsidR="008F17DD">
        <w:t xml:space="preserve">jsou </w:t>
      </w:r>
      <w:r w:rsidR="08C8531C">
        <w:t>objektivní individua, která vidí svět skrze předchůdnou dráhu náhledu (</w:t>
      </w:r>
      <w:r w:rsidR="08C8531C" w:rsidRPr="00DE1410">
        <w:rPr>
          <w:i/>
        </w:rPr>
        <w:t>Vor-blickbahn</w:t>
      </w:r>
      <w:r w:rsidR="08C8531C">
        <w:t xml:space="preserve">; OBJ I, kap. 1) danou mytopoeticky a subjektivně. Poznávající subjekt ozařuje světlem svého intelektu </w:t>
      </w:r>
      <w:r w:rsidR="00235C3B">
        <w:t xml:space="preserve">nový svět </w:t>
      </w:r>
      <w:r w:rsidR="08C8531C">
        <w:t>složený z</w:t>
      </w:r>
      <w:r w:rsidR="00235C3B">
        <w:t xml:space="preserve"> izolovaných </w:t>
      </w:r>
      <w:r w:rsidR="08C8531C">
        <w:t>substancí. Tím se poznání akademického ilumináta stále znovu vrací do toho, co je metafyzice ideově a substančně vlastní (</w:t>
      </w:r>
      <w:r w:rsidR="08C8531C" w:rsidRPr="08624B42">
        <w:rPr>
          <w:i/>
        </w:rPr>
        <w:t>eís ídion</w:t>
      </w:r>
      <w:r w:rsidR="08C8531C">
        <w:t>).</w:t>
      </w:r>
      <w:r>
        <w:t xml:space="preserve"> </w:t>
      </w:r>
      <w:r w:rsidR="08904F99">
        <w:t>Zavedením ideální</w:t>
      </w:r>
      <w:r w:rsidR="087D77B0">
        <w:t xml:space="preserve"> slepoty k původní jednotě bytí jsoucna vznikla nová epocha západní vzdělanosti vedená Hérakleitovými „idioty“ a Parmenidovými „dvojhlavci“.</w:t>
      </w:r>
      <w:r w:rsidR="087D77B0" w:rsidRPr="08D503DF">
        <w:t xml:space="preserve"> </w:t>
      </w:r>
      <w:r w:rsidR="08EA5E85">
        <w:t>Cesta dvojhlavců jde podle Parmenida tam a zase zpět zcela subjektivním, čili chaotickým způsobem (παλίντροπός ἐστι κέλευθος, B 6.9</w:t>
      </w:r>
      <w:r w:rsidR="08EA5E85">
        <w:rPr>
          <w:i/>
        </w:rPr>
        <w:fldChar w:fldCharType="begin"/>
      </w:r>
      <w:r w:rsidR="08EA5E85">
        <w:instrText xml:space="preserve"> XE "Parmenides:Fr. B 6.9" </w:instrText>
      </w:r>
      <w:r w:rsidR="08EA5E85">
        <w:rPr>
          <w:i/>
        </w:rPr>
        <w:fldChar w:fldCharType="end"/>
      </w:r>
      <w:r w:rsidR="08EA5E85">
        <w:t xml:space="preserve">). </w:t>
      </w:r>
      <w:r w:rsidR="08454DA7">
        <w:t xml:space="preserve">Múzicky darované vidění přítomného celku jsoucna přestalo určovat dějiny myšlení po zániku Delf a mystérií. </w:t>
      </w:r>
      <w:r w:rsidR="003D3F80" w:rsidRPr="003D3F80">
        <w:t>Odchod platónského Sokrata z modernistické jeskyně a jeho ná</w:t>
      </w:r>
      <w:r w:rsidR="003D3F80">
        <w:t>vrat vytvořily pegagogickou a my</w:t>
      </w:r>
      <w:r w:rsidR="003D3F80" w:rsidRPr="003D3F80">
        <w:t xml:space="preserve">topoetickou </w:t>
      </w:r>
      <w:r w:rsidR="003D3F80">
        <w:t xml:space="preserve">zbožnou </w:t>
      </w:r>
      <w:r w:rsidR="003D3F80" w:rsidRPr="003D3F80">
        <w:t xml:space="preserve">lež, která byla pro západní vzdělání zásadní. Tato pedagogicky nezbytná lež </w:t>
      </w:r>
      <w:r w:rsidR="003D3F80" w:rsidRPr="003D3F80">
        <w:lastRenderedPageBreak/>
        <w:t xml:space="preserve">navazovala na Ovidiovy </w:t>
      </w:r>
      <w:r w:rsidR="003D3F80" w:rsidRPr="003D3F80">
        <w:rPr>
          <w:i/>
        </w:rPr>
        <w:t>Metamorfózy</w:t>
      </w:r>
      <w:r w:rsidR="003D3F80" w:rsidRPr="003D3F80">
        <w:t xml:space="preserve"> (</w:t>
      </w:r>
      <w:r w:rsidR="003D3F80" w:rsidRPr="003D3F80">
        <w:rPr>
          <w:i/>
        </w:rPr>
        <w:t>pia mendacia</w:t>
      </w:r>
      <w:r w:rsidR="003D3F80" w:rsidRPr="003D3F80">
        <w:t xml:space="preserve">, </w:t>
      </w:r>
      <w:r w:rsidR="003D3F80" w:rsidRPr="003D3F80">
        <w:rPr>
          <w:i/>
        </w:rPr>
        <w:t>Metam</w:t>
      </w:r>
      <w:r w:rsidR="003D3F80" w:rsidRPr="003D3F80">
        <w:t>. 9.711</w:t>
      </w:r>
      <w:r w:rsidR="00247984">
        <w:fldChar w:fldCharType="begin"/>
      </w:r>
      <w:r w:rsidR="00247984">
        <w:instrText xml:space="preserve"> XE "</w:instrText>
      </w:r>
      <w:r w:rsidR="00247984" w:rsidRPr="00247984">
        <w:instrText>Ovidius</w:instrText>
      </w:r>
      <w:r w:rsidR="00247984" w:rsidRPr="00F50E2F">
        <w:rPr>
          <w:i/>
        </w:rPr>
        <w:instrText>:</w:instrText>
      </w:r>
      <w:r w:rsidR="00247984" w:rsidRPr="00F50E2F">
        <w:instrText xml:space="preserve"> </w:instrText>
      </w:r>
      <w:r w:rsidR="007B53C0" w:rsidRPr="007B53C0">
        <w:rPr>
          <w:i/>
        </w:rPr>
        <w:instrText>Metamorphoses</w:instrText>
      </w:r>
      <w:r w:rsidR="007B53C0">
        <w:instrText xml:space="preserve"> </w:instrText>
      </w:r>
      <w:r w:rsidR="00247984" w:rsidRPr="00F50E2F">
        <w:instrText>9.711</w:instrText>
      </w:r>
      <w:r w:rsidR="00247984">
        <w:instrText xml:space="preserve">" </w:instrText>
      </w:r>
      <w:r w:rsidR="00247984">
        <w:fldChar w:fldCharType="end"/>
      </w:r>
      <w:r w:rsidR="003D3F80" w:rsidRPr="003D3F80">
        <w:t>).</w:t>
      </w:r>
      <w:r w:rsidR="003D3F80">
        <w:t xml:space="preserve"> </w:t>
      </w:r>
      <w:r w:rsidR="007B53C0">
        <w:rPr>
          <w:lang w:val="de-DE"/>
        </w:rPr>
        <w:t xml:space="preserve">Královna udělala z narozené dívky chlapce, Platon udělal z </w:t>
      </w:r>
      <w:r w:rsidR="00D31539">
        <w:rPr>
          <w:lang w:val="de-DE"/>
        </w:rPr>
        <w:t xml:space="preserve">posledního </w:t>
      </w:r>
      <w:r w:rsidR="007B53C0">
        <w:rPr>
          <w:lang w:val="de-DE"/>
        </w:rPr>
        <w:t xml:space="preserve">archaického filosofa prvního modernistu. </w:t>
      </w:r>
      <w:r w:rsidR="087D77B0">
        <w:t xml:space="preserve">Simulákrum </w:t>
      </w:r>
      <w:r w:rsidR="0071457A">
        <w:t>S</w:t>
      </w:r>
      <w:r w:rsidR="087D77B0">
        <w:t>okrata</w:t>
      </w:r>
      <w:r w:rsidR="08E16340">
        <w:t xml:space="preserve"> jako prvního </w:t>
      </w:r>
      <w:r w:rsidR="087D77B0">
        <w:t xml:space="preserve">akademika a </w:t>
      </w:r>
      <w:r w:rsidR="08E16340">
        <w:t xml:space="preserve">metafyzického </w:t>
      </w:r>
      <w:r w:rsidR="087D77B0">
        <w:t>ilumináta nahradilo reálný adyton Delf</w:t>
      </w:r>
      <w:r w:rsidR="087D77B0">
        <w:fldChar w:fldCharType="begin"/>
      </w:r>
      <w:r w:rsidR="087D77B0">
        <w:instrText xml:space="preserve"> XE "</w:instrText>
      </w:r>
      <w:r w:rsidR="087D77B0" w:rsidRPr="08E21F63">
        <w:instrText>Delfy</w:instrText>
      </w:r>
      <w:r w:rsidR="087D77B0">
        <w:instrText xml:space="preserve">" </w:instrText>
      </w:r>
      <w:r w:rsidR="087D77B0">
        <w:fldChar w:fldCharType="end"/>
      </w:r>
      <w:r w:rsidR="087D77B0">
        <w:t xml:space="preserve"> a její apollinské a pythické poselství určené reálnému Sokratovi. </w:t>
      </w:r>
      <w:r w:rsidR="08EB121E">
        <w:t>Filosofická pohádka podává zakládající mýtus metafyziky skrze ideové pojetí pravdy-</w:t>
      </w:r>
      <w:r w:rsidR="08EB121E" w:rsidRPr="081F2EC8">
        <w:rPr>
          <w:i/>
        </w:rPr>
        <w:t>veritas</w:t>
      </w:r>
      <w:r w:rsidR="08EB121E">
        <w:t xml:space="preserve">. </w:t>
      </w:r>
      <w:r w:rsidR="088F1E1D">
        <w:t>Dědictví pseu</w:t>
      </w:r>
      <w:r w:rsidR="08AC65DE">
        <w:t>d</w:t>
      </w:r>
      <w:r w:rsidR="088F1E1D">
        <w:t xml:space="preserve">o-Sokrata usazeného </w:t>
      </w:r>
      <w:r w:rsidR="00A92D8B">
        <w:t xml:space="preserve">v </w:t>
      </w:r>
      <w:r w:rsidR="088F1E1D">
        <w:t>metafyzické</w:t>
      </w:r>
      <w:r w:rsidR="00A92D8B">
        <w:t xml:space="preserve">m Panteonu </w:t>
      </w:r>
      <w:r w:rsidR="088F1E1D">
        <w:t>opatrují nesčetné generace strážů akademické pravdy a vzdělání</w:t>
      </w:r>
      <w:r w:rsidR="08DF4E6B">
        <w:t xml:space="preserve"> </w:t>
      </w:r>
      <w:r w:rsidR="08DF4E6B" w:rsidRPr="08BE2778">
        <w:rPr>
          <w:szCs w:val="24"/>
        </w:rPr>
        <w:t>(OBJ I, kap. 1.1).</w:t>
      </w:r>
      <w:r w:rsidR="08703DE9">
        <w:t xml:space="preserve"> </w:t>
      </w:r>
      <w:r w:rsidR="00191013">
        <w:t>M</w:t>
      </w:r>
      <w:r w:rsidR="08694836">
        <w:t xml:space="preserve">etafyzické vykastrování Sokrata v modu božské komedie mu zajistilo u modernistů nesmrtelnou slávu a absolutní akademické uznání. </w:t>
      </w:r>
      <w:r w:rsidR="08187DB2">
        <w:t xml:space="preserve">Simulákrum Sokrata-metafyzika nastolilo epochu Heideggerovy </w:t>
      </w:r>
      <w:r w:rsidR="08187DB2" w:rsidRPr="08D75516">
        <w:rPr>
          <w:i/>
        </w:rPr>
        <w:t>Seinsverlassenheit</w:t>
      </w:r>
      <w:r w:rsidR="08187DB2">
        <w:rPr>
          <w:i/>
        </w:rPr>
        <w:fldChar w:fldCharType="begin"/>
      </w:r>
      <w:r w:rsidR="08187DB2">
        <w:instrText xml:space="preserve"> XE "</w:instrText>
      </w:r>
      <w:r w:rsidR="08187DB2" w:rsidRPr="080707B9">
        <w:rPr>
          <w:i/>
        </w:rPr>
        <w:instrText>Seinsverlassenheit</w:instrText>
      </w:r>
      <w:r w:rsidR="08187DB2">
        <w:instrText xml:space="preserve">" </w:instrText>
      </w:r>
      <w:r w:rsidR="08187DB2">
        <w:rPr>
          <w:i/>
        </w:rPr>
        <w:fldChar w:fldCharType="end"/>
      </w:r>
      <w:r w:rsidR="08187DB2">
        <w:t xml:space="preserve">. </w:t>
      </w:r>
      <w:r w:rsidR="084961DB">
        <w:t xml:space="preserve">Moderní technici moci vedení subjektivním simulákrem pravdy </w:t>
      </w:r>
      <w:r w:rsidR="08030C59">
        <w:t xml:space="preserve">a ideou akademických svobod </w:t>
      </w:r>
      <w:r w:rsidR="084961DB">
        <w:t>nahradili původní demokratickou polis nastolenou vítězstvím v Perských válkách</w:t>
      </w:r>
      <w:r w:rsidR="00126F9E">
        <w:t xml:space="preserve"> skrze moderní tyranii</w:t>
      </w:r>
      <w:r w:rsidR="084961DB">
        <w:t xml:space="preserve">. </w:t>
      </w:r>
      <w:r w:rsidR="00D45FA3">
        <w:t>Sokrates</w:t>
      </w:r>
      <w:r w:rsidR="00D45FA3">
        <w:fldChar w:fldCharType="begin"/>
      </w:r>
      <w:r w:rsidR="00D45FA3">
        <w:instrText xml:space="preserve"> XE "</w:instrText>
      </w:r>
      <w:r w:rsidR="00D45FA3" w:rsidRPr="084B1213">
        <w:instrText>Sokrates</w:instrText>
      </w:r>
      <w:r w:rsidR="00D45FA3">
        <w:instrText xml:space="preserve">" </w:instrText>
      </w:r>
      <w:r w:rsidR="00D45FA3">
        <w:fldChar w:fldCharType="end"/>
      </w:r>
      <w:r w:rsidR="00D45FA3">
        <w:t xml:space="preserve"> riskoval na athénské agoře život p</w:t>
      </w:r>
      <w:r w:rsidR="084961DB">
        <w:t xml:space="preserve">ro </w:t>
      </w:r>
      <w:r w:rsidR="08030C59">
        <w:t xml:space="preserve">reálnou </w:t>
      </w:r>
      <w:r w:rsidR="084961DB">
        <w:t>obe</w:t>
      </w:r>
      <w:r w:rsidR="00D45FA3">
        <w:t>c politických aristokratů ducha</w:t>
      </w:r>
      <w:r w:rsidR="084961DB">
        <w:t xml:space="preserve">, aby spoluobčany přesvědčil o </w:t>
      </w:r>
      <w:r w:rsidR="08EF7B0E">
        <w:t xml:space="preserve">božské hodnotě archaické </w:t>
      </w:r>
      <w:r w:rsidR="084961DB">
        <w:t xml:space="preserve">moudrosti. </w:t>
      </w:r>
      <w:r w:rsidR="005619DE">
        <w:t xml:space="preserve">Po jeho smrti a </w:t>
      </w:r>
      <w:r w:rsidR="081804DA">
        <w:t xml:space="preserve">po zániku řeckých tragiků </w:t>
      </w:r>
      <w:r w:rsidR="005619DE">
        <w:t xml:space="preserve">Múzy inscenovaly </w:t>
      </w:r>
      <w:r w:rsidR="081804DA">
        <w:t xml:space="preserve">novou tragédii Západu. Archegetický dativ </w:t>
      </w:r>
      <w:r w:rsidR="00CC7E91">
        <w:t xml:space="preserve">mystérií </w:t>
      </w:r>
      <w:r w:rsidR="081804DA">
        <w:t>(</w:t>
      </w:r>
      <w:r w:rsidR="081804DA" w:rsidRPr="081804DA">
        <w:rPr>
          <w:i/>
        </w:rPr>
        <w:t xml:space="preserve">dativus </w:t>
      </w:r>
      <w:r w:rsidR="08787ECE">
        <w:rPr>
          <w:i/>
        </w:rPr>
        <w:t>archegeticus</w:t>
      </w:r>
      <w:r w:rsidR="081804DA">
        <w:rPr>
          <w:i/>
        </w:rPr>
        <w:fldChar w:fldCharType="begin"/>
      </w:r>
      <w:r w:rsidR="081804DA">
        <w:instrText xml:space="preserve"> XE "</w:instrText>
      </w:r>
      <w:r w:rsidR="081804DA" w:rsidRPr="08C451A1">
        <w:rPr>
          <w:i/>
        </w:rPr>
        <w:instrText xml:space="preserve">dativus </w:instrText>
      </w:r>
      <w:r w:rsidR="08787ECE">
        <w:rPr>
          <w:i/>
        </w:rPr>
        <w:instrText>archegeticus</w:instrText>
      </w:r>
      <w:r w:rsidR="081804DA">
        <w:instrText xml:space="preserve">" </w:instrText>
      </w:r>
      <w:r w:rsidR="081804DA">
        <w:rPr>
          <w:i/>
        </w:rPr>
        <w:fldChar w:fldCharType="end"/>
      </w:r>
      <w:r w:rsidR="081804DA">
        <w:t xml:space="preserve">) </w:t>
      </w:r>
      <w:r w:rsidR="007E6336">
        <w:t>a později i principiální dativ první filosofie (</w:t>
      </w:r>
      <w:r w:rsidR="007E6336" w:rsidRPr="007E6336">
        <w:rPr>
          <w:i/>
        </w:rPr>
        <w:t>dativus principalis</w:t>
      </w:r>
      <w:r w:rsidR="007E6336">
        <w:rPr>
          <w:i/>
        </w:rPr>
        <w:fldChar w:fldCharType="begin"/>
      </w:r>
      <w:r w:rsidR="007E6336">
        <w:instrText xml:space="preserve"> XE "</w:instrText>
      </w:r>
      <w:r w:rsidR="007E6336" w:rsidRPr="00347E30">
        <w:rPr>
          <w:i/>
        </w:rPr>
        <w:instrText>dativus principalis</w:instrText>
      </w:r>
      <w:r w:rsidR="007E6336">
        <w:instrText xml:space="preserve">" </w:instrText>
      </w:r>
      <w:r w:rsidR="007E6336">
        <w:rPr>
          <w:i/>
        </w:rPr>
        <w:fldChar w:fldCharType="end"/>
      </w:r>
      <w:r w:rsidR="007E6336">
        <w:t xml:space="preserve">) </w:t>
      </w:r>
      <w:r w:rsidR="081804DA">
        <w:t>se stal</w:t>
      </w:r>
      <w:r w:rsidR="007E6336">
        <w:t>y</w:t>
      </w:r>
      <w:r w:rsidR="081804DA">
        <w:t xml:space="preserve"> nepravdou </w:t>
      </w:r>
      <w:r w:rsidR="0036222B">
        <w:t>platonské</w:t>
      </w:r>
      <w:r w:rsidR="00C733BC">
        <w:t xml:space="preserve"> </w:t>
      </w:r>
      <w:r w:rsidR="0036222B">
        <w:t>mytologie, která</w:t>
      </w:r>
      <w:r w:rsidR="00C733BC">
        <w:t xml:space="preserve"> založil</w:t>
      </w:r>
      <w:r w:rsidR="0036222B">
        <w:t>a</w:t>
      </w:r>
      <w:r w:rsidR="00C733BC">
        <w:t xml:space="preserve"> modernu</w:t>
      </w:r>
      <w:r w:rsidR="007E6336">
        <w:t xml:space="preserve">. Oba dativy </w:t>
      </w:r>
      <w:r w:rsidR="081804DA">
        <w:t xml:space="preserve">v této </w:t>
      </w:r>
      <w:r w:rsidR="007E6336">
        <w:t xml:space="preserve">skryté </w:t>
      </w:r>
      <w:r w:rsidR="081804DA">
        <w:t xml:space="preserve">podobě dál působí v západním myšlení skrze </w:t>
      </w:r>
      <w:r w:rsidR="007E6336">
        <w:t xml:space="preserve">apollinskou </w:t>
      </w:r>
      <w:r w:rsidR="081804DA">
        <w:t xml:space="preserve">dějinnost. Nový logos byl postaven v modu </w:t>
      </w:r>
      <w:r w:rsidR="08787ECE">
        <w:t>metafyzického dativu</w:t>
      </w:r>
      <w:r w:rsidR="081804DA">
        <w:t xml:space="preserve">. </w:t>
      </w:r>
      <w:r w:rsidR="080637C2">
        <w:t xml:space="preserve">Transformace pravdy pod </w:t>
      </w:r>
      <w:r w:rsidR="08D56C3E">
        <w:t>vedením boh</w:t>
      </w:r>
      <w:r w:rsidR="080637C2">
        <w:t>yně Apaté</w:t>
      </w:r>
      <w:r w:rsidR="080D12FD">
        <w:fldChar w:fldCharType="begin"/>
      </w:r>
      <w:r w:rsidR="080D12FD">
        <w:instrText xml:space="preserve"> XE "</w:instrText>
      </w:r>
      <w:r w:rsidR="080D12FD" w:rsidRPr="08AC7CEE">
        <w:instrText>Apaté</w:instrText>
      </w:r>
      <w:r w:rsidR="080D12FD">
        <w:instrText xml:space="preserve">" </w:instrText>
      </w:r>
      <w:r w:rsidR="080D12FD">
        <w:fldChar w:fldCharType="end"/>
      </w:r>
      <w:r w:rsidR="080637C2">
        <w:t xml:space="preserve"> vytvořila epochálně novou adekvaci izolované substance a osvíceného intelektu. </w:t>
      </w:r>
      <w:r w:rsidR="085333D7">
        <w:t xml:space="preserve">Nová podoba filosofie je dána v modu </w:t>
      </w:r>
      <w:r w:rsidR="08787ECE">
        <w:t xml:space="preserve">metafyzického </w:t>
      </w:r>
      <w:r w:rsidR="085333D7">
        <w:t xml:space="preserve">dativu vytvořeného Aristotelem. </w:t>
      </w:r>
      <w:r w:rsidR="08377F42">
        <w:t xml:space="preserve">Dějiny metafyziky začínají vytěsněním původního fenoménu dějinnosti daného v pojetí múzické a tragické pravdy. </w:t>
      </w:r>
      <w:r w:rsidR="082844B0">
        <w:t xml:space="preserve">Po epoše tragiků nastoupily Aristofanovy komedie a ironie Platonových dialogů. </w:t>
      </w:r>
      <w:r w:rsidR="08172DA0">
        <w:t xml:space="preserve">Působení moudrých filosofů přesto stále existuje, protože existují dějiny filosofického myšlení v jeho původním </w:t>
      </w:r>
      <w:r w:rsidR="08172DA0" w:rsidRPr="08704D0E">
        <w:rPr>
          <w:i/>
        </w:rPr>
        <w:t>Lichtung</w:t>
      </w:r>
      <w:r w:rsidR="080D12FD">
        <w:rPr>
          <w:i/>
        </w:rPr>
        <w:fldChar w:fldCharType="begin"/>
      </w:r>
      <w:r w:rsidR="080D12FD">
        <w:instrText xml:space="preserve"> XE "</w:instrText>
      </w:r>
      <w:r w:rsidR="080D12FD" w:rsidRPr="088E6614">
        <w:rPr>
          <w:i/>
        </w:rPr>
        <w:instrText>Lichtung</w:instrText>
      </w:r>
      <w:r w:rsidR="080D12FD">
        <w:instrText xml:space="preserve">" </w:instrText>
      </w:r>
      <w:r w:rsidR="080D12FD">
        <w:rPr>
          <w:i/>
        </w:rPr>
        <w:fldChar w:fldCharType="end"/>
      </w:r>
      <w:r w:rsidR="08172DA0">
        <w:t xml:space="preserve"> pravdy a klamu. </w:t>
      </w:r>
      <w:r w:rsidR="08D56C3E">
        <w:t>Moudří dbají na působení dějinnosti dané sokratovským hledáním moudrosti</w:t>
      </w:r>
      <w:r w:rsidR="08E13A31" w:rsidRPr="08E13A31">
        <w:t xml:space="preserve"> </w:t>
      </w:r>
      <w:r w:rsidR="08E13A31">
        <w:t xml:space="preserve">v rámci původní </w:t>
      </w:r>
      <w:r w:rsidR="08E13A31" w:rsidRPr="08E13A31">
        <w:rPr>
          <w:i/>
        </w:rPr>
        <w:t>scholé</w:t>
      </w:r>
      <w:r w:rsidR="080D12FD">
        <w:rPr>
          <w:i/>
        </w:rPr>
        <w:fldChar w:fldCharType="begin"/>
      </w:r>
      <w:r w:rsidR="080D12FD">
        <w:instrText xml:space="preserve"> XE "</w:instrText>
      </w:r>
      <w:r w:rsidR="080D12FD" w:rsidRPr="085A4147">
        <w:rPr>
          <w:i/>
        </w:rPr>
        <w:instrText>scholé</w:instrText>
      </w:r>
      <w:r w:rsidR="080D12FD">
        <w:instrText xml:space="preserve">" </w:instrText>
      </w:r>
      <w:r w:rsidR="080D12FD">
        <w:rPr>
          <w:i/>
        </w:rPr>
        <w:fldChar w:fldCharType="end"/>
      </w:r>
      <w:r w:rsidR="08D56C3E">
        <w:t xml:space="preserve">. </w:t>
      </w:r>
      <w:r w:rsidR="084F52AA">
        <w:t>T</w:t>
      </w:r>
      <w:r w:rsidR="08D56C3E">
        <w:t xml:space="preserve">yto osoby tvoří </w:t>
      </w:r>
      <w:r w:rsidR="084F52AA">
        <w:t>výše uvedenou Hérakleitovu koinonii společného</w:t>
      </w:r>
      <w:r w:rsidR="08A61C07">
        <w:t xml:space="preserve"> světa dějinně daného smyslu po</w:t>
      </w:r>
      <w:r w:rsidR="084F52AA">
        <w:t>odkrytého v původní formě apollinské sém</w:t>
      </w:r>
      <w:r w:rsidR="00541E07">
        <w:t>eiotiky</w:t>
      </w:r>
      <w:r w:rsidR="084F52AA">
        <w:t xml:space="preserve">. </w:t>
      </w:r>
      <w:r w:rsidR="08104C54">
        <w:t xml:space="preserve">Múzická hermeneutika je vedená </w:t>
      </w:r>
      <w:r w:rsidR="080033E9">
        <w:t xml:space="preserve">bohem </w:t>
      </w:r>
      <w:r w:rsidR="08104C54">
        <w:t xml:space="preserve">Apollonem a </w:t>
      </w:r>
      <w:r w:rsidR="08642C5F">
        <w:t>bohy</w:t>
      </w:r>
      <w:r w:rsidR="080033E9">
        <w:t xml:space="preserve">ní </w:t>
      </w:r>
      <w:r w:rsidR="08CC33DD">
        <w:t xml:space="preserve">Athénou. Obě božské síly </w:t>
      </w:r>
      <w:r w:rsidR="08104C54">
        <w:t>byl</w:t>
      </w:r>
      <w:r w:rsidR="08CC33DD">
        <w:t>y</w:t>
      </w:r>
      <w:r w:rsidR="08104C54">
        <w:t xml:space="preserve"> </w:t>
      </w:r>
      <w:r w:rsidR="08CC33DD">
        <w:t xml:space="preserve">angažované za múzickou podobu pravdy </w:t>
      </w:r>
      <w:r w:rsidR="08104C54">
        <w:t xml:space="preserve">v posledním </w:t>
      </w:r>
      <w:r w:rsidR="08DD2873">
        <w:t xml:space="preserve">vítězném </w:t>
      </w:r>
      <w:r w:rsidR="0866044C">
        <w:t xml:space="preserve">sporu s </w:t>
      </w:r>
      <w:r w:rsidR="0866044C">
        <w:lastRenderedPageBreak/>
        <w:t>Eríny</w:t>
      </w:r>
      <w:r w:rsidR="08104C54">
        <w:t>emi</w:t>
      </w:r>
      <w:r w:rsidR="0866044C">
        <w:fldChar w:fldCharType="begin"/>
      </w:r>
      <w:r w:rsidR="0866044C">
        <w:instrText xml:space="preserve"> XE "</w:instrText>
      </w:r>
      <w:r w:rsidR="0866044C" w:rsidRPr="086947E7">
        <w:instrText>Erínye</w:instrText>
      </w:r>
      <w:r w:rsidR="0866044C">
        <w:instrText xml:space="preserve">" </w:instrText>
      </w:r>
      <w:r w:rsidR="0866044C">
        <w:fldChar w:fldCharType="end"/>
      </w:r>
      <w:r w:rsidR="08104C54">
        <w:t xml:space="preserve"> na athénské agoře, což podává Aischylos v dramatu </w:t>
      </w:r>
      <w:r w:rsidR="08104C54" w:rsidRPr="08E447AD">
        <w:rPr>
          <w:i/>
        </w:rPr>
        <w:t>Eumenidy</w:t>
      </w:r>
      <w:r w:rsidR="08104C54">
        <w:t xml:space="preserve"> (Umlauf 2008). </w:t>
      </w:r>
      <w:r w:rsidR="08ED11B1">
        <w:t xml:space="preserve">Ale boj moudrých za múzickou a tragickou podobu pravdy prozatím neusmířil </w:t>
      </w:r>
      <w:r w:rsidR="004F7915">
        <w:t xml:space="preserve">subjektivně manické </w:t>
      </w:r>
      <w:r w:rsidR="08ED11B1">
        <w:t>Fúrie tak účinným způsobem, jako se to povedlo Aischylovi v závěru jeho dramatu.</w:t>
      </w:r>
    </w:p>
    <w:p w14:paraId="20622682" w14:textId="70D720C5" w:rsidR="008D3DFD" w:rsidRDefault="08CF202C" w:rsidP="00B334C2">
      <w:pPr>
        <w:ind w:firstLine="397"/>
      </w:pPr>
      <w:r>
        <w:t xml:space="preserve">Myšlení </w:t>
      </w:r>
      <w:r w:rsidR="087661FE">
        <w:t xml:space="preserve">moderní </w:t>
      </w:r>
      <w:r>
        <w:t xml:space="preserve">filosofie sledující simulákrum Sokratovy moudrosti přešlo do </w:t>
      </w:r>
      <w:r w:rsidR="00230852">
        <w:t xml:space="preserve">nové formy </w:t>
      </w:r>
      <w:r>
        <w:t>božské komedie zvané „metafyzika“.</w:t>
      </w:r>
      <w:r w:rsidR="08D62C94">
        <w:t xml:space="preserve"> </w:t>
      </w:r>
      <w:r w:rsidR="08B4685D">
        <w:t xml:space="preserve">Myšlení Moderních opustilo původní způsob, jak se dán celek bytí pro vstřícné myšlení </w:t>
      </w:r>
      <w:r w:rsidR="00215CC4">
        <w:t>(</w:t>
      </w:r>
      <w:r w:rsidR="00215CC4" w:rsidRPr="00215CC4">
        <w:rPr>
          <w:i/>
        </w:rPr>
        <w:t>Andenken</w:t>
      </w:r>
      <w:r w:rsidR="00215CC4">
        <w:rPr>
          <w:i/>
        </w:rPr>
        <w:fldChar w:fldCharType="begin"/>
      </w:r>
      <w:r w:rsidR="00215CC4">
        <w:instrText xml:space="preserve"> XE "</w:instrText>
      </w:r>
      <w:r w:rsidR="00215CC4" w:rsidRPr="00076245">
        <w:rPr>
          <w:i/>
        </w:rPr>
        <w:instrText>Andenken</w:instrText>
      </w:r>
      <w:r w:rsidR="00215CC4">
        <w:instrText xml:space="preserve">" </w:instrText>
      </w:r>
      <w:r w:rsidR="00215CC4">
        <w:rPr>
          <w:i/>
        </w:rPr>
        <w:fldChar w:fldCharType="end"/>
      </w:r>
      <w:r w:rsidR="00215CC4">
        <w:t xml:space="preserve">) moudrého </w:t>
      </w:r>
      <w:r w:rsidR="08B4685D">
        <w:t xml:space="preserve">smrtelníka. </w:t>
      </w:r>
      <w:r w:rsidR="08AE1ABF">
        <w:t xml:space="preserve">Metafyzika </w:t>
      </w:r>
      <w:r w:rsidR="00FF4003">
        <w:t xml:space="preserve">jako </w:t>
      </w:r>
      <w:r w:rsidR="08AE1ABF">
        <w:t xml:space="preserve">první filosofie </w:t>
      </w:r>
      <w:r w:rsidR="00FF4003">
        <w:t>opustila předešlou formu</w:t>
      </w:r>
      <w:r w:rsidR="08AE1ABF">
        <w:t xml:space="preserve"> první filosofie dané múzickou podobou pravdy. </w:t>
      </w:r>
      <w:r w:rsidR="08BA255F">
        <w:t xml:space="preserve">Pohyb pravdy v modu Heideggerovy </w:t>
      </w:r>
      <w:r w:rsidR="08BA255F" w:rsidRPr="081B4A65">
        <w:rPr>
          <w:i/>
        </w:rPr>
        <w:t>Seinsverlassenheit</w:t>
      </w:r>
      <w:r w:rsidR="08BA255F">
        <w:rPr>
          <w:i/>
        </w:rPr>
        <w:fldChar w:fldCharType="begin"/>
      </w:r>
      <w:r w:rsidR="08BA255F">
        <w:instrText xml:space="preserve"> XE "</w:instrText>
      </w:r>
      <w:r w:rsidR="08BA255F" w:rsidRPr="08422AB6">
        <w:rPr>
          <w:i/>
        </w:rPr>
        <w:instrText>Seinsverlassenheit</w:instrText>
      </w:r>
      <w:r w:rsidR="08BA255F">
        <w:instrText xml:space="preserve">" </w:instrText>
      </w:r>
      <w:r w:rsidR="08BA255F">
        <w:rPr>
          <w:i/>
        </w:rPr>
        <w:fldChar w:fldCharType="end"/>
      </w:r>
      <w:r w:rsidR="08BA255F">
        <w:t xml:space="preserve"> a </w:t>
      </w:r>
      <w:r w:rsidR="08BA255F" w:rsidRPr="081B4A65">
        <w:rPr>
          <w:i/>
        </w:rPr>
        <w:t>Irre</w:t>
      </w:r>
      <w:r w:rsidR="08BA255F">
        <w:rPr>
          <w:i/>
        </w:rPr>
        <w:fldChar w:fldCharType="begin"/>
      </w:r>
      <w:r w:rsidR="08BA255F">
        <w:instrText xml:space="preserve"> XE "</w:instrText>
      </w:r>
      <w:r w:rsidR="08BA255F" w:rsidRPr="08422AB6">
        <w:rPr>
          <w:i/>
        </w:rPr>
        <w:instrText>Irre</w:instrText>
      </w:r>
      <w:r w:rsidR="08BA255F">
        <w:instrText xml:space="preserve">" </w:instrText>
      </w:r>
      <w:r w:rsidR="08BA255F">
        <w:rPr>
          <w:i/>
        </w:rPr>
        <w:fldChar w:fldCharType="end"/>
      </w:r>
      <w:r w:rsidR="08BA255F" w:rsidRPr="08BA255F">
        <w:t xml:space="preserve"> </w:t>
      </w:r>
      <w:r w:rsidR="08BA255F">
        <w:t xml:space="preserve">může garantovat pouze lidský subjekt. </w:t>
      </w:r>
      <w:r w:rsidR="08784CFC">
        <w:t xml:space="preserve">Po obětování Sokrata jako nové Ifigenie vznikla nová éra skryté Trojské války, nyní vedené v digitální podobě. Nihilistická metafyzika napojená na technické databáze a </w:t>
      </w:r>
      <w:r w:rsidR="088B05A3">
        <w:t xml:space="preserve">akademické </w:t>
      </w:r>
      <w:r w:rsidR="08784CFC">
        <w:t xml:space="preserve">indexy téměř kompletně vyplenila původní formu filosofické moudrosti. Smrt nejmoudřejšího ze všech lidí vyslala do filosofie a do politické obce bohyně Pomsty s akademickým vzděláním, které v ní nihilisticky působí až dodnes. </w:t>
      </w:r>
      <w:r w:rsidR="08BE5B9B">
        <w:t>Gigantomachie o substanci představuje z</w:t>
      </w:r>
      <w:r w:rsidR="083A7496">
        <w:t xml:space="preserve">akládající událost nové Trojské války bojované akademiky </w:t>
      </w:r>
      <w:r w:rsidR="08BE5B9B">
        <w:t>na globální úrovni</w:t>
      </w:r>
      <w:r w:rsidR="083A7496">
        <w:t xml:space="preserve">. </w:t>
      </w:r>
      <w:r w:rsidR="086A42AD">
        <w:t xml:space="preserve">Vítězstvím objektivní metafyziky </w:t>
      </w:r>
      <w:r w:rsidR="08271B4D">
        <w:t>padla met</w:t>
      </w:r>
      <w:r w:rsidR="08ED27E3">
        <w:t>afyzika založená Aristotelem. T</w:t>
      </w:r>
      <w:r w:rsidR="08271B4D">
        <w:t>ím skončilo přímé dějinné působení první substance ve filosofickém myšlení</w:t>
      </w:r>
      <w:r w:rsidR="086A42AD">
        <w:t xml:space="preserve">. </w:t>
      </w:r>
      <w:r w:rsidR="08563D73">
        <w:t>Moderna suspendovala hyparchický statut reálné první substance pro pravdivé myšlení</w:t>
      </w:r>
      <w:r w:rsidR="08913193">
        <w:t xml:space="preserve"> a poslala první substanci do dějinně utvářené </w:t>
      </w:r>
      <w:r w:rsidR="08913193" w:rsidRPr="08913193">
        <w:rPr>
          <w:i/>
        </w:rPr>
        <w:t>Léthé</w:t>
      </w:r>
      <w:r w:rsidR="08563D73">
        <w:t xml:space="preserve">. </w:t>
      </w:r>
      <w:r w:rsidR="08C42DD2">
        <w:t xml:space="preserve">Objektivní </w:t>
      </w:r>
      <w:r w:rsidR="08563D73">
        <w:t xml:space="preserve">pojetí metafyziky zrušilo platnost </w:t>
      </w:r>
      <w:r w:rsidR="08787ECE">
        <w:t xml:space="preserve">metafyzického </w:t>
      </w:r>
      <w:r w:rsidR="08563D73">
        <w:t>dativu</w:t>
      </w:r>
      <w:r w:rsidR="08913193">
        <w:t xml:space="preserve"> a projekt Aristotelovy </w:t>
      </w:r>
      <w:r w:rsidR="08027D88" w:rsidRPr="08B5334E">
        <w:rPr>
          <w:i/>
        </w:rPr>
        <w:t>quidditas</w:t>
      </w:r>
      <w:r w:rsidR="08027D88">
        <w:rPr>
          <w:i/>
        </w:rPr>
        <w:fldChar w:fldCharType="begin"/>
      </w:r>
      <w:r w:rsidR="08027D88">
        <w:instrText xml:space="preserve"> XE "</w:instrText>
      </w:r>
      <w:r w:rsidR="08027D88" w:rsidRPr="08815EE8">
        <w:rPr>
          <w:i/>
        </w:rPr>
        <w:instrText>quidditas</w:instrText>
      </w:r>
      <w:r w:rsidR="08027D88">
        <w:instrText xml:space="preserve">" </w:instrText>
      </w:r>
      <w:r w:rsidR="08027D88">
        <w:rPr>
          <w:i/>
        </w:rPr>
        <w:fldChar w:fldCharType="end"/>
      </w:r>
      <w:r w:rsidR="08027D88">
        <w:t xml:space="preserve"> </w:t>
      </w:r>
      <w:r w:rsidR="08913193">
        <w:t>(</w:t>
      </w:r>
      <w:r w:rsidR="08913193" w:rsidRPr="08D57ABC">
        <w:t>τό τί ἦν εἶναι</w:t>
      </w:r>
      <w:r w:rsidR="08913193">
        <w:fldChar w:fldCharType="begin"/>
      </w:r>
      <w:r w:rsidR="08913193">
        <w:instrText xml:space="preserve"> XE "</w:instrText>
      </w:r>
      <w:r w:rsidR="08913193" w:rsidRPr="08D57ABC">
        <w:instrText>τό τί ἦν εἶναι</w:instrText>
      </w:r>
      <w:r w:rsidR="08913193">
        <w:instrText xml:space="preserve">" </w:instrText>
      </w:r>
      <w:r w:rsidR="08913193">
        <w:fldChar w:fldCharType="end"/>
      </w:r>
      <w:r w:rsidR="08913193">
        <w:t>) se stal nejasným (OBJ I, kap. 1.1)</w:t>
      </w:r>
      <w:r w:rsidR="08563D73">
        <w:t>. Zavedení pravdy-</w:t>
      </w:r>
      <w:r w:rsidR="08563D73" w:rsidRPr="086E19DF">
        <w:rPr>
          <w:i/>
        </w:rPr>
        <w:t>veritas</w:t>
      </w:r>
      <w:r w:rsidR="08563D73">
        <w:t xml:space="preserve"> v modu logické, a nikoliv metafyzické nutnosti a abstrakce založilo epochu plného zapomenutí jsoucna (</w:t>
      </w:r>
      <w:r w:rsidR="08563D73" w:rsidRPr="086E19DF">
        <w:rPr>
          <w:i/>
        </w:rPr>
        <w:t>Seinsver</w:t>
      </w:r>
      <w:r w:rsidR="08563D73">
        <w:rPr>
          <w:i/>
        </w:rPr>
        <w:t>ge</w:t>
      </w:r>
      <w:r w:rsidR="08563D73" w:rsidRPr="086E19DF">
        <w:rPr>
          <w:i/>
        </w:rPr>
        <w:t>ssenheit</w:t>
      </w:r>
      <w:r w:rsidR="08563D73">
        <w:rPr>
          <w:i/>
        </w:rPr>
        <w:fldChar w:fldCharType="begin"/>
      </w:r>
      <w:r w:rsidR="08563D73">
        <w:instrText xml:space="preserve"> XE "</w:instrText>
      </w:r>
      <w:r w:rsidR="08563D73" w:rsidRPr="081A1DA7">
        <w:rPr>
          <w:i/>
        </w:rPr>
        <w:instrText>Seinsvergessenheit</w:instrText>
      </w:r>
      <w:r w:rsidR="08563D73">
        <w:instrText xml:space="preserve">" </w:instrText>
      </w:r>
      <w:r w:rsidR="08563D73">
        <w:rPr>
          <w:i/>
        </w:rPr>
        <w:fldChar w:fldCharType="end"/>
      </w:r>
      <w:r w:rsidR="08563D73">
        <w:t xml:space="preserve">). Vytěsnění tragické moudrosti běží v destruktivním modu Freudova obranného mechanismu </w:t>
      </w:r>
      <w:r w:rsidR="08563D73" w:rsidRPr="08D54EA6">
        <w:rPr>
          <w:i/>
        </w:rPr>
        <w:t>Verkehrung ins Gegenteil</w:t>
      </w:r>
      <w:r w:rsidR="08563D73">
        <w:rPr>
          <w:i/>
        </w:rPr>
        <w:fldChar w:fldCharType="begin"/>
      </w:r>
      <w:r w:rsidR="08563D73">
        <w:instrText xml:space="preserve"> XE "</w:instrText>
      </w:r>
      <w:r w:rsidR="08563D73" w:rsidRPr="08387C92">
        <w:rPr>
          <w:i/>
        </w:rPr>
        <w:instrText>Verkehrung ins Gegenteil</w:instrText>
      </w:r>
      <w:r w:rsidR="08563D73">
        <w:instrText xml:space="preserve">" </w:instrText>
      </w:r>
      <w:r w:rsidR="08563D73">
        <w:rPr>
          <w:i/>
        </w:rPr>
        <w:fldChar w:fldCharType="end"/>
      </w:r>
      <w:r w:rsidR="084E4B1B">
        <w:t xml:space="preserve"> </w:t>
      </w:r>
      <w:r w:rsidR="084E4B1B" w:rsidRPr="08BE2778">
        <w:rPr>
          <w:szCs w:val="24"/>
        </w:rPr>
        <w:t>(OBJ I, kap. 1.2)</w:t>
      </w:r>
      <w:r w:rsidR="08563D73">
        <w:t xml:space="preserve">. </w:t>
      </w:r>
      <w:r w:rsidR="08DC26A7">
        <w:t>V epoše metafyzi</w:t>
      </w:r>
      <w:r w:rsidR="08E461CD">
        <w:t>k</w:t>
      </w:r>
      <w:r w:rsidR="0882244B">
        <w:t xml:space="preserve">y </w:t>
      </w:r>
      <w:r w:rsidR="08E461CD">
        <w:t xml:space="preserve">se </w:t>
      </w:r>
      <w:r w:rsidR="0882244B">
        <w:t xml:space="preserve">radikálně změnil </w:t>
      </w:r>
      <w:r w:rsidR="08E461CD">
        <w:t xml:space="preserve">průběh Trójské války </w:t>
      </w:r>
      <w:r w:rsidR="00516842">
        <w:t xml:space="preserve">filosofů </w:t>
      </w:r>
      <w:r w:rsidR="08E461CD">
        <w:t xml:space="preserve">o zpřítomnění </w:t>
      </w:r>
      <w:r w:rsidR="004114A0">
        <w:t xml:space="preserve">nezastřeného </w:t>
      </w:r>
      <w:r w:rsidR="087E747B">
        <w:t>celku bytí</w:t>
      </w:r>
      <w:r w:rsidR="004114A0">
        <w:t xml:space="preserve"> (</w:t>
      </w:r>
      <w:r w:rsidR="004114A0" w:rsidRPr="008B0AD7">
        <w:rPr>
          <w:i/>
        </w:rPr>
        <w:t>al</w:t>
      </w:r>
      <w:r w:rsidR="004114A0">
        <w:rPr>
          <w:rFonts w:cs="Calibri"/>
          <w:i/>
        </w:rPr>
        <w:t>é</w:t>
      </w:r>
      <w:r w:rsidR="004114A0" w:rsidRPr="008B0AD7">
        <w:rPr>
          <w:i/>
        </w:rPr>
        <w:t>theia</w:t>
      </w:r>
      <w:r w:rsidR="004114A0">
        <w:t>)</w:t>
      </w:r>
      <w:r w:rsidR="087E747B">
        <w:t>. Po vypl</w:t>
      </w:r>
      <w:r w:rsidR="08DC26A7">
        <w:t>e</w:t>
      </w:r>
      <w:r w:rsidR="087E747B">
        <w:t>nění první filosofie</w:t>
      </w:r>
      <w:r w:rsidR="08DC26A7">
        <w:t xml:space="preserve"> předsokratiků </w:t>
      </w:r>
      <w:r w:rsidR="087E747B">
        <w:t xml:space="preserve">se bitva vede pouze o </w:t>
      </w:r>
      <w:r w:rsidR="08E461CD">
        <w:t>objektivn</w:t>
      </w:r>
      <w:r w:rsidR="00443B56">
        <w:t>í</w:t>
      </w:r>
      <w:r w:rsidR="08E461CD">
        <w:t xml:space="preserve"> </w:t>
      </w:r>
      <w:r w:rsidR="087E747B">
        <w:t>poznání substance</w:t>
      </w:r>
      <w:r w:rsidR="08E461CD">
        <w:t xml:space="preserve">. </w:t>
      </w:r>
      <w:r w:rsidR="086A42AD">
        <w:t xml:space="preserve">Dění </w:t>
      </w:r>
      <w:r w:rsidR="089E2144">
        <w:t xml:space="preserve">trojského </w:t>
      </w:r>
      <w:r w:rsidR="086A42AD">
        <w:t xml:space="preserve">zápasu </w:t>
      </w:r>
      <w:r w:rsidR="089E2144">
        <w:t>o substanci přešlo do d</w:t>
      </w:r>
      <w:r w:rsidR="086A42AD">
        <w:t xml:space="preserve">ějinné </w:t>
      </w:r>
      <w:r w:rsidR="086A42AD" w:rsidRPr="086545B9">
        <w:rPr>
          <w:i/>
        </w:rPr>
        <w:t>Wirkunsgeschichte</w:t>
      </w:r>
      <w:r w:rsidR="089E2144">
        <w:t xml:space="preserve"> </w:t>
      </w:r>
      <w:r w:rsidR="08520F1F">
        <w:t xml:space="preserve">současného filosofického </w:t>
      </w:r>
      <w:r w:rsidR="008D3DFD">
        <w:t>nihilismu.</w:t>
      </w:r>
    </w:p>
    <w:p w14:paraId="081FD3D1" w14:textId="74A0A32F" w:rsidR="08A83429" w:rsidRPr="007B53C0" w:rsidRDefault="08EB5BA3" w:rsidP="00B334C2">
      <w:pPr>
        <w:ind w:firstLine="397"/>
      </w:pPr>
      <w:r>
        <w:t xml:space="preserve">Pojem „metafyzika“ se stal v současné epoše </w:t>
      </w:r>
      <w:r w:rsidR="083E0B79">
        <w:t xml:space="preserve">intelektuální </w:t>
      </w:r>
      <w:r>
        <w:t>bezradnosti synonymem pro cokoliv</w:t>
      </w:r>
      <w:r w:rsidR="089E2144">
        <w:t xml:space="preserve"> neužitečného, </w:t>
      </w:r>
      <w:r w:rsidR="085528B2">
        <w:t>spekulativního</w:t>
      </w:r>
      <w:r w:rsidR="089E2144">
        <w:t xml:space="preserve"> a nějak intelektuálně kuriózního</w:t>
      </w:r>
      <w:r w:rsidR="083F7CEC">
        <w:t xml:space="preserve">. </w:t>
      </w:r>
      <w:r w:rsidR="08DD2A3C">
        <w:t xml:space="preserve">Původní dějinná </w:t>
      </w:r>
      <w:r w:rsidR="08DD2A3C">
        <w:lastRenderedPageBreak/>
        <w:t>podoba aristotelské pravdy</w:t>
      </w:r>
      <w:r w:rsidR="089E2144">
        <w:t xml:space="preserve"> jako adekv</w:t>
      </w:r>
      <w:r w:rsidR="08DD2A3C">
        <w:t>a</w:t>
      </w:r>
      <w:r w:rsidR="089E2144">
        <w:t xml:space="preserve">ce reality a intelektu se stala </w:t>
      </w:r>
      <w:r w:rsidR="08DD2A3C">
        <w:t xml:space="preserve">plně </w:t>
      </w:r>
      <w:r w:rsidR="089E2144">
        <w:t>objektivní historií v modu pravdy jako dekonstrukce (</w:t>
      </w:r>
      <w:r w:rsidR="089E2144" w:rsidRPr="08030B37">
        <w:rPr>
          <w:i/>
        </w:rPr>
        <w:t>post-truth</w:t>
      </w:r>
      <w:r w:rsidR="089E2144">
        <w:rPr>
          <w:i/>
        </w:rPr>
        <w:fldChar w:fldCharType="begin"/>
      </w:r>
      <w:r w:rsidR="089E2144">
        <w:instrText xml:space="preserve"> XE "</w:instrText>
      </w:r>
      <w:r w:rsidR="089E2144" w:rsidRPr="084630F6">
        <w:rPr>
          <w:i/>
        </w:rPr>
        <w:instrText>post-truth</w:instrText>
      </w:r>
      <w:r w:rsidR="089E2144">
        <w:instrText xml:space="preserve">" </w:instrText>
      </w:r>
      <w:r w:rsidR="089E2144">
        <w:rPr>
          <w:i/>
        </w:rPr>
        <w:fldChar w:fldCharType="end"/>
      </w:r>
      <w:r w:rsidR="089E2144">
        <w:t>).</w:t>
      </w:r>
      <w:r w:rsidR="087C323D">
        <w:t xml:space="preserve"> </w:t>
      </w:r>
      <w:r w:rsidR="08E55CA6">
        <w:t>T</w:t>
      </w:r>
      <w:r w:rsidR="083F7CEC">
        <w:t xml:space="preserve">oto metafyzické </w:t>
      </w:r>
      <w:r w:rsidR="083F7CEC" w:rsidRPr="083F7CEC">
        <w:rPr>
          <w:i/>
        </w:rPr>
        <w:t>mirabile</w:t>
      </w:r>
      <w:r w:rsidR="08E55CA6" w:rsidRPr="08E55CA6">
        <w:t xml:space="preserve"> </w:t>
      </w:r>
      <w:r w:rsidR="08E55CA6">
        <w:t>produkuje</w:t>
      </w:r>
      <w:r w:rsidR="08E55CA6" w:rsidRPr="08E55CA6">
        <w:t xml:space="preserve"> </w:t>
      </w:r>
      <w:r w:rsidR="08E55CA6">
        <w:t xml:space="preserve">nová verze post-sokratovské univerzitní </w:t>
      </w:r>
      <w:r w:rsidR="08E55CA6" w:rsidRPr="081C4AB3">
        <w:rPr>
          <w:i/>
        </w:rPr>
        <w:t>scholé</w:t>
      </w:r>
      <w:r w:rsidR="08ED2F59">
        <w:t xml:space="preserve">. </w:t>
      </w:r>
      <w:r w:rsidR="089833B8">
        <w:t xml:space="preserve">Božská mana a nektar přichází k akademickým strážcům pravdy skrze </w:t>
      </w:r>
      <w:r w:rsidR="08A07A70">
        <w:t xml:space="preserve">bodovací systém, který globálně indexuje pravdu </w:t>
      </w:r>
      <w:r w:rsidR="084947B9">
        <w:t xml:space="preserve">skrze </w:t>
      </w:r>
      <w:r w:rsidR="08A07A70">
        <w:t>technickou výkonnost</w:t>
      </w:r>
      <w:r w:rsidR="08E008A4">
        <w:t xml:space="preserve"> </w:t>
      </w:r>
      <w:r w:rsidR="08BC5638">
        <w:t xml:space="preserve">objektivní </w:t>
      </w:r>
      <w:r w:rsidR="08E008A4">
        <w:t>vědy</w:t>
      </w:r>
      <w:r w:rsidR="089E1FB9">
        <w:t xml:space="preserve">. </w:t>
      </w:r>
      <w:r w:rsidR="08605193">
        <w:t>Současní akademičtí strážci</w:t>
      </w:r>
      <w:r w:rsidR="08271297">
        <w:t xml:space="preserve"> nihilistického vědění živí </w:t>
      </w:r>
      <w:r w:rsidR="08605193">
        <w:t xml:space="preserve">olympskou koinonii </w:t>
      </w:r>
      <w:r w:rsidR="08575265">
        <w:t xml:space="preserve">jednoho procenta neoliberálních </w:t>
      </w:r>
      <w:r w:rsidR="08271297">
        <w:t>oligarchů. A toto j</w:t>
      </w:r>
      <w:r w:rsidR="08F101DA">
        <w:t xml:space="preserve">edno procento </w:t>
      </w:r>
      <w:r w:rsidR="08163D87">
        <w:t>vládnoucí</w:t>
      </w:r>
      <w:r w:rsidR="08F101DA">
        <w:t>ch</w:t>
      </w:r>
      <w:r w:rsidR="08163D87">
        <w:t xml:space="preserve"> </w:t>
      </w:r>
      <w:r w:rsidR="089E1FB9">
        <w:t>iluminát</w:t>
      </w:r>
      <w:r w:rsidR="08F101DA">
        <w:t>ů</w:t>
      </w:r>
      <w:r w:rsidR="089E1FB9">
        <w:t xml:space="preserve"> stráží </w:t>
      </w:r>
      <w:r w:rsidR="080D6817">
        <w:t xml:space="preserve">sekulární </w:t>
      </w:r>
      <w:r w:rsidR="082C45A2">
        <w:t xml:space="preserve">mystérium </w:t>
      </w:r>
      <w:r w:rsidR="00B64506">
        <w:t xml:space="preserve">nihilistické </w:t>
      </w:r>
      <w:r w:rsidR="089E1FB9">
        <w:t>ekonomiky virtuá</w:t>
      </w:r>
      <w:r w:rsidR="084B7200">
        <w:t>l</w:t>
      </w:r>
      <w:r w:rsidR="00B64506">
        <w:t>ních dluhů</w:t>
      </w:r>
      <w:r w:rsidR="08F101DA">
        <w:t xml:space="preserve">. Jejich </w:t>
      </w:r>
      <w:r w:rsidR="08E66CC0">
        <w:t xml:space="preserve">postmoderní vědění a tím i </w:t>
      </w:r>
      <w:r w:rsidR="08F101DA">
        <w:t>moc je založen</w:t>
      </w:r>
      <w:r w:rsidR="085E48EB">
        <w:t>a na nicotě metafyzické iluz</w:t>
      </w:r>
      <w:r w:rsidR="083B064F">
        <w:t>e</w:t>
      </w:r>
      <w:r w:rsidR="085E48EB">
        <w:t>. A</w:t>
      </w:r>
      <w:r w:rsidR="08F101DA">
        <w:t xml:space="preserve">le </w:t>
      </w:r>
      <w:r w:rsidR="089E1FB9">
        <w:t>dnes jim r</w:t>
      </w:r>
      <w:r w:rsidR="083F7CEC">
        <w:t xml:space="preserve">eálně patří polovina </w:t>
      </w:r>
      <w:r w:rsidR="08463A4A">
        <w:t>lidmi vytvořeného bohatství na této zemi</w:t>
      </w:r>
      <w:r w:rsidR="083F7CEC">
        <w:t xml:space="preserve">. </w:t>
      </w:r>
      <w:r w:rsidR="082A76A5">
        <w:t>Tím je v kostce definována tragikomická</w:t>
      </w:r>
      <w:r w:rsidR="084B7200">
        <w:t xml:space="preserve"> </w:t>
      </w:r>
      <w:r w:rsidR="08977F4C">
        <w:t>epoch</w:t>
      </w:r>
      <w:r w:rsidR="082A76A5">
        <w:t>a</w:t>
      </w:r>
      <w:r w:rsidR="08977F4C">
        <w:t xml:space="preserve"> </w:t>
      </w:r>
      <w:r w:rsidR="0801462C">
        <w:t xml:space="preserve">moderní </w:t>
      </w:r>
      <w:r w:rsidR="089C68B1">
        <w:t xml:space="preserve">gigantomachie </w:t>
      </w:r>
      <w:r w:rsidR="084B7200">
        <w:t xml:space="preserve">o substanci </w:t>
      </w:r>
      <w:r w:rsidR="08FB3070">
        <w:t xml:space="preserve">třetího druhu </w:t>
      </w:r>
      <w:r w:rsidR="08C001D2">
        <w:t>zvanou „kapitál“</w:t>
      </w:r>
      <w:r w:rsidR="08CD024E">
        <w:t xml:space="preserve"> (OBJ III, kap. 5.1.3</w:t>
      </w:r>
      <w:r w:rsidR="082A76A5">
        <w:t xml:space="preserve">). </w:t>
      </w:r>
      <w:r w:rsidR="0841522E">
        <w:t>Hermen</w:t>
      </w:r>
      <w:r w:rsidR="08D46C54">
        <w:t>e</w:t>
      </w:r>
      <w:r w:rsidR="0841522E">
        <w:t xml:space="preserve">utika </w:t>
      </w:r>
      <w:r w:rsidR="08790994">
        <w:t xml:space="preserve">prvního dílu </w:t>
      </w:r>
      <w:r w:rsidR="0841522E">
        <w:t xml:space="preserve">analyzuje tuto kapitální tragikomedii skrze </w:t>
      </w:r>
      <w:r w:rsidR="08D46C54">
        <w:t>apollinskou sémantiku danou v Aristotelo</w:t>
      </w:r>
      <w:r w:rsidR="08394CD7">
        <w:t>v</w:t>
      </w:r>
      <w:r w:rsidR="08D46C54">
        <w:t>ě poj</w:t>
      </w:r>
      <w:r w:rsidR="08394CD7">
        <w:t>m</w:t>
      </w:r>
      <w:r w:rsidR="08D46C54">
        <w:t>u</w:t>
      </w:r>
      <w:r w:rsidR="08977F4C">
        <w:t xml:space="preserve"> „ne-vzdělanost“ (ἀπαιδευσία</w:t>
      </w:r>
      <w:r w:rsidR="08977F4C">
        <w:rPr>
          <w:lang w:eastAsia="en-US"/>
        </w:rPr>
        <w:fldChar w:fldCharType="begin"/>
      </w:r>
      <w:r w:rsidR="08977F4C">
        <w:instrText xml:space="preserve"> XE "</w:instrText>
      </w:r>
      <w:r w:rsidR="08977F4C" w:rsidRPr="08CF3194">
        <w:rPr>
          <w:i/>
        </w:rPr>
        <w:instrText>apaideusía</w:instrText>
      </w:r>
      <w:r w:rsidR="08977F4C">
        <w:instrText xml:space="preserve">" </w:instrText>
      </w:r>
      <w:r w:rsidR="08977F4C">
        <w:rPr>
          <w:lang w:eastAsia="en-US"/>
        </w:rPr>
        <w:fldChar w:fldCharType="end"/>
      </w:r>
      <w:r w:rsidR="08977F4C">
        <w:t xml:space="preserve">, </w:t>
      </w:r>
      <w:r w:rsidR="08977F4C" w:rsidRPr="000421A2">
        <w:rPr>
          <w:i/>
        </w:rPr>
        <w:t>Met</w:t>
      </w:r>
      <w:r w:rsidR="08977F4C">
        <w:t>. 1006a6</w:t>
      </w:r>
      <w:r w:rsidR="08977F4C">
        <w:rPr>
          <w:i/>
        </w:rPr>
        <w:fldChar w:fldCharType="begin"/>
      </w:r>
      <w:r w:rsidR="08977F4C">
        <w:instrText xml:space="preserve"> XE "Aristoteles:</w:instrText>
      </w:r>
      <w:r w:rsidR="08977F4C" w:rsidRPr="000421A2">
        <w:rPr>
          <w:i/>
        </w:rPr>
        <w:instrText>Met</w:instrText>
      </w:r>
      <w:r w:rsidR="08977F4C">
        <w:instrText xml:space="preserve">. 1006a6" </w:instrText>
      </w:r>
      <w:r w:rsidR="08977F4C">
        <w:rPr>
          <w:i/>
        </w:rPr>
        <w:fldChar w:fldCharType="end"/>
      </w:r>
      <w:r w:rsidR="08977F4C">
        <w:t xml:space="preserve">). </w:t>
      </w:r>
      <w:r w:rsidR="08374C9B">
        <w:t xml:space="preserve">Působení apollinské sémantiky v epoše metafyziky je dáno tím, že každý epochální obrat myšlení </w:t>
      </w:r>
      <w:r w:rsidR="08583FF2">
        <w:t xml:space="preserve">skrytě </w:t>
      </w:r>
      <w:r w:rsidR="08374C9B">
        <w:t xml:space="preserve">evokuje původní počátek bytí a myšlení. </w:t>
      </w:r>
      <w:r w:rsidR="08DC039A">
        <w:t xml:space="preserve">Nevzdělanost vedená Fúriemi je možná </w:t>
      </w:r>
      <w:r w:rsidR="08B22FDA">
        <w:t xml:space="preserve">v modu objektivního </w:t>
      </w:r>
      <w:r w:rsidR="08B22FDA" w:rsidRPr="08B22FDA">
        <w:rPr>
          <w:i/>
        </w:rPr>
        <w:t>modus ponens</w:t>
      </w:r>
      <w:r w:rsidR="08B22FDA">
        <w:t xml:space="preserve"> </w:t>
      </w:r>
      <w:r w:rsidR="08DC039A">
        <w:t>je</w:t>
      </w:r>
      <w:r w:rsidR="08B22FDA">
        <w:t>n</w:t>
      </w:r>
      <w:r w:rsidR="08DC039A">
        <w:t xml:space="preserve"> proto, že bohyně Pomsty plní úkol svěřený apollinskými Můzami. </w:t>
      </w:r>
      <w:r w:rsidR="08713714">
        <w:t xml:space="preserve">Božská komedie vedená dvojznačnými Múzami jako apollinskými vládkyněmi pravdy a omylu se změnila na </w:t>
      </w:r>
      <w:r w:rsidR="08F5687B">
        <w:t>tragikomedii objektivity</w:t>
      </w:r>
      <w:r w:rsidR="08BA647D">
        <w:t xml:space="preserve">, kterou </w:t>
      </w:r>
      <w:r w:rsidR="08713714">
        <w:t>inscen</w:t>
      </w:r>
      <w:r w:rsidR="08BA647D">
        <w:t>ují objektivně neexistující Fúrie</w:t>
      </w:r>
      <w:r w:rsidR="08713714">
        <w:t xml:space="preserve">. </w:t>
      </w:r>
      <w:r w:rsidR="08487865" w:rsidRPr="08DC039A">
        <w:rPr>
          <w:i/>
        </w:rPr>
        <w:t>Ex nihilo nihil fit</w:t>
      </w:r>
      <w:r w:rsidR="08487865">
        <w:t xml:space="preserve">. </w:t>
      </w:r>
      <w:r w:rsidR="088D2DA5">
        <w:t>Skrytá sémantika Múz je dána skrze objektivní museum, zatímto postmoderní Fúrie jsou vytěsněny do vyhlazovacích a pracovních táborů</w:t>
      </w:r>
      <w:r w:rsidR="08F66158">
        <w:t xml:space="preserve">, </w:t>
      </w:r>
      <w:r w:rsidR="08A0642F">
        <w:t xml:space="preserve">do </w:t>
      </w:r>
      <w:r w:rsidR="08F66158">
        <w:t xml:space="preserve">proxy-válek a </w:t>
      </w:r>
      <w:r w:rsidR="08A0642F">
        <w:t xml:space="preserve">do </w:t>
      </w:r>
      <w:r w:rsidR="088D2DA5">
        <w:t>jiných zvěrstev koloniální a imperiální souča</w:t>
      </w:r>
      <w:r w:rsidR="08925846">
        <w:t xml:space="preserve">snosti. </w:t>
      </w:r>
      <w:r w:rsidR="08DD3051">
        <w:t>Moderna vytvořila objektivní formu me</w:t>
      </w:r>
      <w:r w:rsidR="08220906">
        <w:t xml:space="preserve">tafyzického nihilismu. </w:t>
      </w:r>
      <w:r w:rsidR="08493076">
        <w:t xml:space="preserve">Nietzsche byl </w:t>
      </w:r>
      <w:r w:rsidR="0853295B">
        <w:t>jedním z </w:t>
      </w:r>
      <w:r w:rsidR="08AB6FA3">
        <w:t xml:space="preserve">velikánů myšlení, kteří </w:t>
      </w:r>
      <w:r w:rsidR="08493076">
        <w:t>pořádně zatřásli</w:t>
      </w:r>
      <w:r w:rsidR="08AB6FA3">
        <w:t xml:space="preserve"> s </w:t>
      </w:r>
      <w:r w:rsidR="08A450EF">
        <w:t>postmoderním</w:t>
      </w:r>
      <w:r w:rsidR="08AB6FA3">
        <w:t xml:space="preserve"> </w:t>
      </w:r>
      <w:r w:rsidR="08AB6FA3" w:rsidRPr="084D6359">
        <w:rPr>
          <w:i/>
        </w:rPr>
        <w:t>Arbor Porphyriana</w:t>
      </w:r>
      <w:r w:rsidR="08AB6FA3">
        <w:t>.</w:t>
      </w:r>
      <w:r w:rsidR="08AB6FA3">
        <w:rPr>
          <w:rStyle w:val="Znakapoznpodarou"/>
        </w:rPr>
        <w:footnoteReference w:id="2"/>
      </w:r>
      <w:r w:rsidR="08AB6FA3">
        <w:t xml:space="preserve"> </w:t>
      </w:r>
      <w:r w:rsidR="0853295B">
        <w:t>Po smrti moderního boha v Nietzscheho filosofii se tragikomedie virtuálních simuláker všeho myslitelného druhu stala novým náboženstvím Západu.</w:t>
      </w:r>
      <w:r w:rsidR="089968C9" w:rsidRPr="089968C9">
        <w:t xml:space="preserve"> </w:t>
      </w:r>
      <w:r w:rsidR="08357E54">
        <w:t xml:space="preserve">Toto mytopoetické vidění světa bylo v předešlé části výkladu demaskováno jako fundamentální pochybení západního myšlení v modu Heideggerova </w:t>
      </w:r>
      <w:r w:rsidR="08357E54" w:rsidRPr="08A41D59">
        <w:rPr>
          <w:i/>
        </w:rPr>
        <w:t>Irrtum</w:t>
      </w:r>
      <w:r w:rsidR="08357E54">
        <w:rPr>
          <w:i/>
        </w:rPr>
        <w:fldChar w:fldCharType="begin"/>
      </w:r>
      <w:r w:rsidR="08357E54">
        <w:instrText xml:space="preserve"> XE "</w:instrText>
      </w:r>
      <w:r w:rsidR="08357E54" w:rsidRPr="081B719D">
        <w:rPr>
          <w:i/>
        </w:rPr>
        <w:instrText>Irrtum</w:instrText>
      </w:r>
      <w:r w:rsidR="08357E54">
        <w:instrText xml:space="preserve">" </w:instrText>
      </w:r>
      <w:r w:rsidR="08357E54">
        <w:rPr>
          <w:i/>
        </w:rPr>
        <w:fldChar w:fldCharType="end"/>
      </w:r>
      <w:r w:rsidR="08357E54">
        <w:t>.</w:t>
      </w:r>
      <w:r w:rsidR="08034C20">
        <w:t xml:space="preserve"> </w:t>
      </w:r>
      <w:r w:rsidR="089968C9">
        <w:t xml:space="preserve">Vytěsněním tragické podoby pravdy a nakonec i samotné metafyziky došlo ke globálnímu působení </w:t>
      </w:r>
      <w:r w:rsidR="00FD62DB">
        <w:t xml:space="preserve">současného nihilismu. Ten představuje </w:t>
      </w:r>
      <w:r w:rsidR="007D3672">
        <w:t xml:space="preserve">zatím </w:t>
      </w:r>
      <w:r w:rsidR="00FD62DB">
        <w:t xml:space="preserve">poslední podobu </w:t>
      </w:r>
      <w:r w:rsidR="089968C9">
        <w:t>hermeneutické triády</w:t>
      </w:r>
      <w:r w:rsidR="089968C9">
        <w:rPr>
          <w:i/>
        </w:rPr>
        <w:fldChar w:fldCharType="begin"/>
      </w:r>
      <w:r w:rsidR="089968C9">
        <w:instrText xml:space="preserve"> XE "hermeneutická triáda" </w:instrText>
      </w:r>
      <w:r w:rsidR="089968C9">
        <w:rPr>
          <w:i/>
        </w:rPr>
        <w:fldChar w:fldCharType="end"/>
      </w:r>
      <w:r w:rsidR="089968C9">
        <w:t xml:space="preserve"> dějinnosti, dějin a historie.</w:t>
      </w:r>
    </w:p>
    <w:p w14:paraId="7F47DC6F" w14:textId="77777777" w:rsidR="004E5E58" w:rsidRDefault="08615B91" w:rsidP="002848CD">
      <w:pPr>
        <w:ind w:firstLine="360"/>
      </w:pPr>
      <w:r>
        <w:lastRenderedPageBreak/>
        <w:t xml:space="preserve">Předešlý díl ukázal, že objektivní určení jsoucna ve falsafě v sobě nese zásadně konfliktní a dichotomický charakter daný různými etapami gigantomachie o substanci. </w:t>
      </w:r>
      <w:r w:rsidR="08154956">
        <w:t xml:space="preserve">Výklad božské komedie metafyziky v první části </w:t>
      </w:r>
      <w:r w:rsidR="08154956" w:rsidRPr="00273106">
        <w:t>pro</w:t>
      </w:r>
      <w:r w:rsidR="08154956">
        <w:t xml:space="preserve">šel transformace spisu </w:t>
      </w:r>
      <w:r w:rsidR="08154956" w:rsidRPr="08DA5F93">
        <w:rPr>
          <w:i/>
        </w:rPr>
        <w:t>Kategori</w:t>
      </w:r>
      <w:r w:rsidR="08154956">
        <w:rPr>
          <w:i/>
        </w:rPr>
        <w:t>e</w:t>
      </w:r>
      <w:r w:rsidR="08154956">
        <w:t xml:space="preserve"> v podání neoplato</w:t>
      </w:r>
      <w:r w:rsidR="08154956" w:rsidRPr="00273106">
        <w:t>nských vykladačů mezi 3. a 7. stoletím</w:t>
      </w:r>
      <w:r w:rsidR="08154956">
        <w:t>. Nástupci Porfy</w:t>
      </w:r>
      <w:r w:rsidR="08154956" w:rsidRPr="00273106">
        <w:t>ria vytvořili novou figuru metafyziky</w:t>
      </w:r>
      <w:r w:rsidR="004217AF">
        <w:t xml:space="preserve"> plnou substancí </w:t>
      </w:r>
      <w:r w:rsidR="08154956" w:rsidRPr="00273106">
        <w:t>třetího druhu</w:t>
      </w:r>
      <w:r w:rsidR="004217AF">
        <w:t>, které představovaly</w:t>
      </w:r>
      <w:r w:rsidR="08D375E9">
        <w:fldChar w:fldCharType="begin"/>
      </w:r>
      <w:r w:rsidR="08D375E9">
        <w:instrText xml:space="preserve"> XE "</w:instrText>
      </w:r>
      <w:r w:rsidR="08D375E9" w:rsidRPr="00DE2A32">
        <w:instrText>substance</w:instrText>
      </w:r>
      <w:r w:rsidR="08D375E9">
        <w:instrText xml:space="preserve">:třetího druhu" </w:instrText>
      </w:r>
      <w:r w:rsidR="08D375E9">
        <w:fldChar w:fldCharType="end"/>
      </w:r>
      <w:r w:rsidR="08154956" w:rsidRPr="00273106">
        <w:t xml:space="preserve"> kompromis mezi kategoriálním a transcendentálním určením substance. </w:t>
      </w:r>
      <w:r w:rsidR="082A7272">
        <w:t>Neoplatonikové z Ploti</w:t>
      </w:r>
      <w:r w:rsidR="08154956">
        <w:t xml:space="preserve">novy školy </w:t>
      </w:r>
      <w:r w:rsidR="08154956" w:rsidRPr="00273106">
        <w:t>změnili pojetí substa</w:t>
      </w:r>
      <w:r w:rsidR="08154956">
        <w:t>n</w:t>
      </w:r>
      <w:r w:rsidR="08154956" w:rsidRPr="00273106">
        <w:t>ce, tělesa,</w:t>
      </w:r>
      <w:r w:rsidR="08154956">
        <w:t xml:space="preserve"> času a prostoru. </w:t>
      </w:r>
      <w:r w:rsidR="08154956" w:rsidRPr="00273106">
        <w:t xml:space="preserve">První </w:t>
      </w:r>
      <w:r w:rsidR="08154956">
        <w:t xml:space="preserve">podoba objektivity vznikla skrze </w:t>
      </w:r>
      <w:r w:rsidR="089A7B08">
        <w:t xml:space="preserve">oba </w:t>
      </w:r>
      <w:r w:rsidR="08154956">
        <w:t xml:space="preserve">základní projekty </w:t>
      </w:r>
      <w:r w:rsidR="08154956" w:rsidRPr="00273106">
        <w:t>metafyzi</w:t>
      </w:r>
      <w:r w:rsidR="08154956">
        <w:t xml:space="preserve">ky v perské falsafě. </w:t>
      </w:r>
      <w:r w:rsidR="08FB0BDB">
        <w:t xml:space="preserve">Gigantomachie Avicenny a Averroese určila osud metafyziky na latinském Západě. </w:t>
      </w:r>
      <w:r w:rsidR="004B0B52">
        <w:t>První část archeologie objektivity ukázala způsob, jak probíhala gigantomachie o substanci v bagdádské Škole moudrosti (</w:t>
      </w:r>
      <w:r w:rsidR="004B0B52" w:rsidRPr="002A74F0">
        <w:rPr>
          <w:i/>
        </w:rPr>
        <w:t>Bajt al-Hikma</w:t>
      </w:r>
      <w:r w:rsidR="004B0B52">
        <w:rPr>
          <w:i/>
        </w:rPr>
        <w:fldChar w:fldCharType="begin"/>
      </w:r>
      <w:r w:rsidR="004B0B52">
        <w:instrText xml:space="preserve"> XE "</w:instrText>
      </w:r>
      <w:r w:rsidR="004B0B52" w:rsidRPr="002A74F0">
        <w:rPr>
          <w:i/>
        </w:rPr>
        <w:instrText>Bajt al-Hikma</w:instrText>
      </w:r>
      <w:r w:rsidR="004B0B52">
        <w:instrText xml:space="preserve">" </w:instrText>
      </w:r>
      <w:r w:rsidR="004B0B52">
        <w:rPr>
          <w:i/>
        </w:rPr>
        <w:fldChar w:fldCharType="end"/>
      </w:r>
      <w:r w:rsidR="004B0B52">
        <w:t xml:space="preserve">) až po zánik falsafy. Na začátku 13. století nastává konec klasické epochy božské komedie a </w:t>
      </w:r>
      <w:r w:rsidR="00682357">
        <w:t xml:space="preserve">na scénu </w:t>
      </w:r>
      <w:r w:rsidR="004B0B52">
        <w:t xml:space="preserve">nastupuje objektivní tragikomedie západní metafyziky. </w:t>
      </w:r>
      <w:r w:rsidR="00682357">
        <w:t>N</w:t>
      </w:r>
      <w:r w:rsidR="004B0B52">
        <w:t xml:space="preserve">ejdůležitější </w:t>
      </w:r>
      <w:r w:rsidR="00682357">
        <w:t xml:space="preserve">období západní metafyziky </w:t>
      </w:r>
      <w:r w:rsidR="004B0B52">
        <w:t>běžel</w:t>
      </w:r>
      <w:r w:rsidR="00682357">
        <w:t>o</w:t>
      </w:r>
      <w:r w:rsidR="004B0B52">
        <w:t xml:space="preserve"> od 10. století až do smrti Averroese (</w:t>
      </w:r>
      <w:r w:rsidR="004B0B52">
        <w:rPr>
          <w:rFonts w:cs="Calibri"/>
        </w:rPr>
        <w:t>†</w:t>
      </w:r>
      <w:r w:rsidR="004B0B52">
        <w:t xml:space="preserve">1198). Gigantomachii o substanci vyhráli nemoudří modernisté, jako byl Avicenna. Teologové kmenových tradic a tehdy vznikajícího písemného korpusu Koránu exkomunikovali školu prvních západních </w:t>
      </w:r>
      <w:r w:rsidR="004B0B52" w:rsidRPr="007A32DA">
        <w:rPr>
          <w:i/>
        </w:rPr>
        <w:t>Modernorum</w:t>
      </w:r>
      <w:r w:rsidR="004B0B52">
        <w:t>, ale bohužel společně s kritickými aristoteliky, jako byl Averroes. Myslitelé kalámu v tragickém modu božské komedie zrušili falsafu, tedy i její aristotelsky pravdivou větev (OBJ I, kap. 2.3.3). Spor platoniků a aristoteliků se týkal smrti moderního boha</w:t>
      </w:r>
      <w:r w:rsidR="004B0B52">
        <w:fldChar w:fldCharType="begin"/>
      </w:r>
      <w:r w:rsidR="004B0B52">
        <w:instrText xml:space="preserve"> XE "</w:instrText>
      </w:r>
      <w:r w:rsidR="004B0B52" w:rsidRPr="085133D2">
        <w:instrText>smrt boha</w:instrText>
      </w:r>
      <w:r w:rsidR="004B0B52">
        <w:instrText xml:space="preserve">" </w:instrText>
      </w:r>
      <w:r w:rsidR="004B0B52">
        <w:fldChar w:fldCharType="end"/>
      </w:r>
      <w:r w:rsidR="004B0B52">
        <w:t xml:space="preserve"> v západní filosofii. Tento spor o pojetí pravdy v bagdádské Škole moudrosti inicioval dnešní nihilismus západního myšlení v modu Heideggerova </w:t>
      </w:r>
      <w:r w:rsidR="004B0B52">
        <w:rPr>
          <w:i/>
        </w:rPr>
        <w:t>Beginn</w:t>
      </w:r>
      <w:r w:rsidR="004B0B52">
        <w:t xml:space="preserve">. Začínající epocha </w:t>
      </w:r>
      <w:r w:rsidR="004B0B52" w:rsidRPr="086E19DF">
        <w:rPr>
          <w:i/>
        </w:rPr>
        <w:t>Seinsver</w:t>
      </w:r>
      <w:r w:rsidR="004B0B52">
        <w:rPr>
          <w:i/>
        </w:rPr>
        <w:t>ge</w:t>
      </w:r>
      <w:r w:rsidR="004B0B52" w:rsidRPr="086E19DF">
        <w:rPr>
          <w:i/>
        </w:rPr>
        <w:t>ssenheit</w:t>
      </w:r>
      <w:r w:rsidR="002848CD">
        <w:rPr>
          <w:i/>
        </w:rPr>
        <w:fldChar w:fldCharType="begin"/>
      </w:r>
      <w:r w:rsidR="002848CD">
        <w:instrText xml:space="preserve"> XE "</w:instrText>
      </w:r>
      <w:r w:rsidR="002848CD" w:rsidRPr="00D55EA1">
        <w:rPr>
          <w:i/>
        </w:rPr>
        <w:instrText>Seinsvergessenheit</w:instrText>
      </w:r>
      <w:r w:rsidR="002848CD">
        <w:instrText xml:space="preserve">" </w:instrText>
      </w:r>
      <w:r w:rsidR="002848CD">
        <w:rPr>
          <w:i/>
        </w:rPr>
        <w:fldChar w:fldCharType="end"/>
      </w:r>
      <w:r w:rsidR="004B0B52">
        <w:t xml:space="preserve"> rozděl</w:t>
      </w:r>
      <w:r w:rsidR="002848CD">
        <w:t>ila Evropu na dvě odlišné civilizace</w:t>
      </w:r>
      <w:r w:rsidR="004B0B52">
        <w:t>. Dnešní islámský Východ a latinský Z</w:t>
      </w:r>
      <w:r w:rsidR="00C87B67">
        <w:t xml:space="preserve">ápad spojuje pod vedením Fúrií a </w:t>
      </w:r>
      <w:r w:rsidR="004B0B52">
        <w:t>tedy tragicky</w:t>
      </w:r>
      <w:r w:rsidR="00C87B67">
        <w:t xml:space="preserve">, </w:t>
      </w:r>
      <w:r w:rsidR="004B0B52">
        <w:t xml:space="preserve">pouze technické a ekonomické vidění světa v modu objektivní </w:t>
      </w:r>
      <w:r w:rsidR="004B0B52" w:rsidRPr="087E3FB5">
        <w:rPr>
          <w:i/>
        </w:rPr>
        <w:t>veritas</w:t>
      </w:r>
      <w:r w:rsidR="004B0B52">
        <w:t xml:space="preserve">. </w:t>
      </w:r>
      <w:r w:rsidR="004B0B52" w:rsidRPr="00273106">
        <w:t xml:space="preserve">Objektivní poznání </w:t>
      </w:r>
      <w:r w:rsidR="004B0B52">
        <w:t>avicennistů je zajímavé tím, že p</w:t>
      </w:r>
      <w:r w:rsidR="004B0B52" w:rsidRPr="00273106">
        <w:t>osu</w:t>
      </w:r>
      <w:r w:rsidR="004B0B52">
        <w:t xml:space="preserve">zované věci a jevy potřebují k </w:t>
      </w:r>
      <w:r w:rsidR="004B0B52" w:rsidRPr="00273106">
        <w:t>vlastn</w:t>
      </w:r>
      <w:r w:rsidR="004B0B52">
        <w:t xml:space="preserve">ímu bytí další dodatečný důvod daný subjektivně. Věci existují samy o sobě a získávají novou formu objektivního bytí. </w:t>
      </w:r>
      <w:r w:rsidR="004B0B52" w:rsidRPr="00273106">
        <w:t>Zkoumaná věc získala ve světle objektivního náhledu i metafyzické oprávnění ke své existenci, což explicitně formuloval Leibniz v principu dostatečného důvodu</w:t>
      </w:r>
      <w:r w:rsidR="004B0B52">
        <w:t xml:space="preserve"> (</w:t>
      </w:r>
      <w:r w:rsidR="004B0B52" w:rsidRPr="0098132F">
        <w:rPr>
          <w:i/>
        </w:rPr>
        <w:t>ratio sufficiens</w:t>
      </w:r>
      <w:r w:rsidR="004B0B52">
        <w:rPr>
          <w:i/>
        </w:rPr>
        <w:fldChar w:fldCharType="begin"/>
      </w:r>
      <w:r w:rsidR="004B0B52">
        <w:instrText xml:space="preserve"> XE "</w:instrText>
      </w:r>
      <w:r w:rsidR="004B0B52" w:rsidRPr="005C0A11">
        <w:rPr>
          <w:i/>
        </w:rPr>
        <w:instrText>ratio sufficiens</w:instrText>
      </w:r>
      <w:r w:rsidR="004B0B52">
        <w:instrText xml:space="preserve">" </w:instrText>
      </w:r>
      <w:r w:rsidR="004B0B52">
        <w:rPr>
          <w:i/>
        </w:rPr>
        <w:fldChar w:fldCharType="end"/>
      </w:r>
      <w:r w:rsidR="004B0B52">
        <w:t xml:space="preserve">, </w:t>
      </w:r>
      <w:r w:rsidR="004B0B52" w:rsidRPr="003D1E07">
        <w:rPr>
          <w:rStyle w:val="st"/>
          <w:bCs/>
        </w:rPr>
        <w:t>kap. 3.5</w:t>
      </w:r>
      <w:r w:rsidR="004B0B52">
        <w:t>)</w:t>
      </w:r>
      <w:r w:rsidR="004B0B52">
        <w:rPr>
          <w:i/>
        </w:rPr>
        <w:fldChar w:fldCharType="begin"/>
      </w:r>
      <w:r w:rsidR="004B0B52">
        <w:instrText xml:space="preserve"> XE "objektivita:Leibniz" </w:instrText>
      </w:r>
      <w:r w:rsidR="004B0B52">
        <w:rPr>
          <w:i/>
        </w:rPr>
        <w:fldChar w:fldCharType="end"/>
      </w:r>
      <w:r w:rsidR="004B0B52" w:rsidRPr="00273106">
        <w:t xml:space="preserve">. </w:t>
      </w:r>
      <w:r w:rsidR="004B0B52">
        <w:t xml:space="preserve">Zdvojení bytí na reálnou a objektivní jsoucnost vytváří novou variantu jsoucna jako </w:t>
      </w:r>
      <w:r w:rsidR="004B0B52">
        <w:rPr>
          <w:bCs/>
          <w:i/>
          <w:szCs w:val="24"/>
        </w:rPr>
        <w:t>tertium ens</w:t>
      </w:r>
      <w:r w:rsidR="004B0B52">
        <w:t xml:space="preserve">. Metafyzika založená na Aristotelově pojetí první vědy a na logice vyloučeného třetího nemá způsob, jak by mohla provést objektivní ospravedlnění aktuálně </w:t>
      </w:r>
      <w:r w:rsidR="004B0B52">
        <w:lastRenderedPageBreak/>
        <w:t>existující věci. Věc v realitě existuje singulárně-aktuálně a její poznání je v dáno v intelektu univerzálně-potenciálně. Lidský intelekt existuje jen v těle, protože je schopností duše, která je nemateriální formou aktuálně existující tělesné osoby. Mezi těmito dvěma danostmi jsoucna (reálná versus poznaná první substance) nemůže podle Aristotela existovat</w:t>
      </w:r>
      <w:r w:rsidR="004B0B52" w:rsidRPr="08390418">
        <w:t xml:space="preserve"> </w:t>
      </w:r>
      <w:r w:rsidR="004B0B52">
        <w:t>nic třetího, protože takové jsoucno by nemělo jak být. Existuje pouze reálná substance: fyzikální těleso, živá biologická substance, smrtelný člověk poznávající skrze smysly, nesmrtelná kosmická inteligence nebo Nehybný hybatel. Reálná věc existuje aktuálně a její existence determinuje kategoriálně dané vědecké poznání. Význam věci v mysli představuje pouhý akcident vzhledem k bytí reálné věci. Poznání je přímo navázané na reálnou věc skrze její kauzální působení na smysly a na intelekt. Jsoucno třetího druhu nemá reálného nosiče. Tento vybájený subjekt vytvořili akademikové přebývající v platonské jeskyni. Báje vyprávěné strážci neoplatonské pravdy jsou sofisticky přitažlivé, poučné a krásné. Stejně jako v době Sokratova rozhovoru o politické zdatnosti a výchově, i dnes existuje reálný a věcný důvod, proč je třeba dobře platit sofistické poety, řečníky a vychovatele mládeže typu Protágoráse. Ale z metafyzického hlediska aristotelské první substance jsou tyto sofistické příběhy o o</w:t>
      </w:r>
      <w:r w:rsidR="004E5E58">
        <w:t>bjektivní substanci nepravdivé.</w:t>
      </w:r>
    </w:p>
    <w:p w14:paraId="577BD323" w14:textId="02E099EB" w:rsidR="004B0B52" w:rsidRDefault="004B0B52" w:rsidP="002848CD">
      <w:pPr>
        <w:ind w:firstLine="360"/>
      </w:pPr>
      <w:r>
        <w:t xml:space="preserve">Objektivně určené </w:t>
      </w:r>
      <w:r w:rsidRPr="003619AB">
        <w:rPr>
          <w:i/>
        </w:rPr>
        <w:t>tertium ens</w:t>
      </w:r>
      <w:r>
        <w:t xml:space="preserve"> nemá kauzální spojení s realitou. Moderní poznání proto nemůže být založeno na aristotelské pravdě jako adekvace poznání a reality. Aristotelská </w:t>
      </w:r>
      <w:r w:rsidRPr="086857D6">
        <w:rPr>
          <w:i/>
        </w:rPr>
        <w:t>quidditas</w:t>
      </w:r>
      <w:r>
        <w:rPr>
          <w:i/>
        </w:rPr>
        <w:fldChar w:fldCharType="begin"/>
      </w:r>
      <w:r>
        <w:instrText xml:space="preserve"> XE "</w:instrText>
      </w:r>
      <w:r w:rsidRPr="08FC7AF1">
        <w:rPr>
          <w:i/>
        </w:rPr>
        <w:instrText>quidditas</w:instrText>
      </w:r>
      <w:r>
        <w:instrText xml:space="preserve">" </w:instrText>
      </w:r>
      <w:r>
        <w:rPr>
          <w:i/>
        </w:rPr>
        <w:fldChar w:fldCharType="end"/>
      </w:r>
      <w:r>
        <w:t xml:space="preserve"> vzniká v mysli působením metafyzického dativu. Klasičtí aristotelikové odmítli dát věcem dostatečný důvod k existenci</w:t>
      </w:r>
      <w:r w:rsidRPr="080A4EAF">
        <w:t xml:space="preserve"> </w:t>
      </w:r>
      <w:r>
        <w:t xml:space="preserve">během hlavních filosofických bitev o substanci ve 13. století. Scholastická metafyzika ve škole prvního averroismu zásadně kritizovala moderní zdvojení reality. Dávat reálné věci dané mimo nás </w:t>
      </w:r>
      <w:r w:rsidRPr="004E2124">
        <w:rPr>
          <w:i/>
        </w:rPr>
        <w:t>per se</w:t>
      </w:r>
      <w:r>
        <w:t xml:space="preserve">, </w:t>
      </w:r>
      <w:r w:rsidRPr="004E2124">
        <w:rPr>
          <w:i/>
        </w:rPr>
        <w:t>simpliciter</w:t>
      </w:r>
      <w:r>
        <w:t xml:space="preserve"> a </w:t>
      </w:r>
      <w:r w:rsidRPr="004E2124">
        <w:rPr>
          <w:i/>
        </w:rPr>
        <w:t>absolute</w:t>
      </w:r>
      <w:r>
        <w:t xml:space="preserve"> nějaký objektivně platný důvod k její existenci ‒ to by mohl udělat podle klasického aristotelismu jen úplný blázen. Znalci Aristotela připomínali a připomínají současníkům slavnou větu ze spisu </w:t>
      </w:r>
      <w:r>
        <w:rPr>
          <w:i/>
        </w:rPr>
        <w:t>Fyzika</w:t>
      </w:r>
      <w:r>
        <w:t xml:space="preserve"> o směšnosti těch, kdo by chtěli dokazovat existenci reálného světa prvních substancí (</w:t>
      </w:r>
      <w:r w:rsidRPr="00C71395">
        <w:rPr>
          <w:i/>
        </w:rPr>
        <w:t>Phys</w:t>
      </w:r>
      <w:r>
        <w:t>. 193a3</w:t>
      </w:r>
      <w:r>
        <w:fldChar w:fldCharType="begin"/>
      </w:r>
      <w:r>
        <w:instrText xml:space="preserve"> XE "Aristoteles:</w:instrText>
      </w:r>
      <w:r w:rsidRPr="00C71395">
        <w:rPr>
          <w:i/>
        </w:rPr>
        <w:instrText>Phys</w:instrText>
      </w:r>
      <w:r>
        <w:instrText xml:space="preserve">. 193a3" </w:instrText>
      </w:r>
      <w:r>
        <w:fldChar w:fldCharType="end"/>
      </w:r>
      <w:r>
        <w:t xml:space="preserve">). Kritické vědecké myšlení vychází z reálného bytí jsoucna a chce být metafyzicky moudré. Hermeneutika proto nemůže převzít </w:t>
      </w:r>
      <w:r w:rsidRPr="00273106">
        <w:t>předsudky</w:t>
      </w:r>
      <w:r>
        <w:t xml:space="preserve"> a omyly neoplatonismu a modernistické falsafy</w:t>
      </w:r>
      <w:r w:rsidRPr="00273106">
        <w:t>, kt</w:t>
      </w:r>
      <w:r>
        <w:t xml:space="preserve">eré umožnily </w:t>
      </w:r>
      <w:r w:rsidRPr="00273106">
        <w:t>vznik</w:t>
      </w:r>
      <w:r>
        <w:t xml:space="preserve"> objektivity a pak přešly do novověké racionality ve formě </w:t>
      </w:r>
      <w:r w:rsidRPr="084D1AC3">
        <w:rPr>
          <w:i/>
        </w:rPr>
        <w:t>via Modernorum</w:t>
      </w:r>
      <w:r>
        <w:t xml:space="preserve"> a </w:t>
      </w:r>
      <w:r w:rsidRPr="084D1AC3">
        <w:rPr>
          <w:i/>
        </w:rPr>
        <w:t>metaphysica generalis</w:t>
      </w:r>
      <w:r>
        <w:t xml:space="preserve">. Mocensky nastolená objektivita zavedla nové poznání světa, boha a </w:t>
      </w:r>
      <w:r>
        <w:lastRenderedPageBreak/>
        <w:t>člověka, protože m</w:t>
      </w:r>
      <w:r w:rsidRPr="00273106">
        <w:t xml:space="preserve">oderní </w:t>
      </w:r>
      <w:r>
        <w:t xml:space="preserve">karteziánský </w:t>
      </w:r>
      <w:r w:rsidRPr="00273106">
        <w:t xml:space="preserve">subjekt </w:t>
      </w:r>
      <w:r>
        <w:t>vzniklý u Avicenny nachází důvod existence jsoucna sám v sobě.</w:t>
      </w:r>
    </w:p>
    <w:p w14:paraId="51F1A230" w14:textId="2643DAB2" w:rsidR="08667A19" w:rsidRPr="00273106" w:rsidRDefault="08CC031C" w:rsidP="08FD720C">
      <w:pPr>
        <w:ind w:firstLine="360"/>
      </w:pPr>
      <w:r>
        <w:t>S</w:t>
      </w:r>
      <w:r w:rsidR="0873371E">
        <w:t xml:space="preserve">tředověkou podobu </w:t>
      </w:r>
      <w:r>
        <w:t xml:space="preserve">této gigantomachie </w:t>
      </w:r>
      <w:r w:rsidR="0873371E">
        <w:t>zkoumají následující kapitoly</w:t>
      </w:r>
      <w:r w:rsidR="087B02D5">
        <w:t xml:space="preserve"> druhého a třetího dílu</w:t>
      </w:r>
      <w:r w:rsidR="0873371E">
        <w:t xml:space="preserve">. </w:t>
      </w:r>
      <w:r w:rsidR="08667A19">
        <w:t>P</w:t>
      </w:r>
      <w:r w:rsidR="08667A19" w:rsidRPr="00273106">
        <w:t xml:space="preserve">ůvodní formu objektivity dané v každé </w:t>
      </w:r>
      <w:r w:rsidR="08667A19">
        <w:t xml:space="preserve">zkoumané </w:t>
      </w:r>
      <w:r w:rsidR="08667A19" w:rsidRPr="00273106">
        <w:t xml:space="preserve">figuře metafyziky označujeme termínem „matrice“. </w:t>
      </w:r>
      <w:r w:rsidR="08667A19">
        <w:t xml:space="preserve">Latinský termín </w:t>
      </w:r>
      <w:r w:rsidR="00560AC8">
        <w:t>„</w:t>
      </w:r>
      <w:r w:rsidR="08667A19" w:rsidRPr="08EF7AD8">
        <w:rPr>
          <w:i/>
        </w:rPr>
        <w:t>matrix</w:t>
      </w:r>
      <w:r w:rsidR="00560AC8">
        <w:t>“</w:t>
      </w:r>
      <w:r w:rsidR="087B6E3D">
        <w:rPr>
          <w:i/>
        </w:rPr>
        <w:fldChar w:fldCharType="begin"/>
      </w:r>
      <w:r w:rsidR="087B6E3D">
        <w:instrText xml:space="preserve"> XE "</w:instrText>
      </w:r>
      <w:r w:rsidR="087B6E3D" w:rsidRPr="085D59C0">
        <w:rPr>
          <w:i/>
        </w:rPr>
        <w:instrText>matrix</w:instrText>
      </w:r>
      <w:r w:rsidR="087B6E3D">
        <w:instrText xml:space="preserve">" </w:instrText>
      </w:r>
      <w:r w:rsidR="087B6E3D">
        <w:rPr>
          <w:i/>
        </w:rPr>
        <w:fldChar w:fldCharType="end"/>
      </w:r>
      <w:r w:rsidR="08667A19">
        <w:t xml:space="preserve"> definuje v učení neoplatoniků a valentiniánských gnostiků působení skrytého počátku v jeho původní celostní podobě dané pythagorejským součtveřím</w:t>
      </w:r>
      <w:r w:rsidR="081D7627">
        <w:t xml:space="preserve"> (</w:t>
      </w:r>
      <w:r w:rsidR="081D7627" w:rsidRPr="081D7627">
        <w:rPr>
          <w:i/>
        </w:rPr>
        <w:t>Bythos et Sige, Nus et Veritas</w:t>
      </w:r>
      <w:r w:rsidR="081D7627">
        <w:t>)</w:t>
      </w:r>
      <w:r w:rsidR="08667A19">
        <w:t>.</w:t>
      </w:r>
      <w:r w:rsidR="08667A19">
        <w:rPr>
          <w:rStyle w:val="Znakapoznpodarou"/>
        </w:rPr>
        <w:footnoteReference w:id="3"/>
      </w:r>
      <w:r w:rsidR="08667A19">
        <w:t xml:space="preserve"> Gnostikové žili v epoše za</w:t>
      </w:r>
      <w:r w:rsidR="00565D0E">
        <w:t xml:space="preserve">nikajících antických mystérií, </w:t>
      </w:r>
      <w:r w:rsidR="08667A19">
        <w:t>na začátku křesťanství</w:t>
      </w:r>
      <w:r w:rsidR="00565D0E">
        <w:t xml:space="preserve"> a </w:t>
      </w:r>
      <w:r w:rsidR="009879D5">
        <w:t xml:space="preserve">vytvořili moderní parodii </w:t>
      </w:r>
      <w:r w:rsidR="08667A19">
        <w:t xml:space="preserve">původních mystérií. </w:t>
      </w:r>
      <w:r w:rsidR="00565D0E">
        <w:t xml:space="preserve">Gnostikové dali </w:t>
      </w:r>
      <w:r w:rsidR="00565D0E" w:rsidRPr="00565D0E">
        <w:t xml:space="preserve">přednost </w:t>
      </w:r>
      <w:r w:rsidR="00011E58">
        <w:t xml:space="preserve">subjektivní </w:t>
      </w:r>
      <w:r w:rsidR="00565D0E" w:rsidRPr="00565D0E">
        <w:t xml:space="preserve">poezii před </w:t>
      </w:r>
      <w:r w:rsidR="00011E58">
        <w:t xml:space="preserve">božskou </w:t>
      </w:r>
      <w:r w:rsidR="00565D0E" w:rsidRPr="00565D0E">
        <w:t>pravdou.</w:t>
      </w:r>
      <w:r w:rsidR="00565D0E">
        <w:t xml:space="preserve"> </w:t>
      </w:r>
      <w:r w:rsidR="08667A19">
        <w:t xml:space="preserve">Noví technici božských simuláker dobře věděli, že archaický Počátek existuje a </w:t>
      </w:r>
      <w:r w:rsidR="08B41B12">
        <w:t xml:space="preserve">skrytě </w:t>
      </w:r>
      <w:r w:rsidR="0005486B">
        <w:t>působí i v jejich zmatené době</w:t>
      </w:r>
      <w:r w:rsidR="08667A19">
        <w:t xml:space="preserve">. </w:t>
      </w:r>
      <w:r w:rsidR="08C422D2" w:rsidRPr="00273106">
        <w:t xml:space="preserve">Matrice ukazují </w:t>
      </w:r>
      <w:r w:rsidR="0886121B">
        <w:t xml:space="preserve">skrytý </w:t>
      </w:r>
      <w:r w:rsidR="08394EA3" w:rsidRPr="00192C27">
        <w:t>dějinný</w:t>
      </w:r>
      <w:r w:rsidR="08394EA3" w:rsidRPr="00273106">
        <w:t xml:space="preserve"> </w:t>
      </w:r>
      <w:r w:rsidR="08C422D2">
        <w:t>způsob, j</w:t>
      </w:r>
      <w:r w:rsidR="08C422D2" w:rsidRPr="00273106">
        <w:t>ak</w:t>
      </w:r>
      <w:r w:rsidR="08C422D2">
        <w:rPr>
          <w:i/>
        </w:rPr>
        <w:fldChar w:fldCharType="begin"/>
      </w:r>
      <w:r w:rsidR="08C422D2">
        <w:instrText xml:space="preserve"> XE "hermeneutické </w:instrText>
      </w:r>
      <w:r w:rsidR="08C422D2" w:rsidRPr="0091152E">
        <w:rPr>
          <w:i/>
        </w:rPr>
        <w:instrText>Wie</w:instrText>
      </w:r>
      <w:r w:rsidR="08C422D2">
        <w:instrText xml:space="preserve">" </w:instrText>
      </w:r>
      <w:r w:rsidR="08C422D2">
        <w:rPr>
          <w:i/>
        </w:rPr>
        <w:fldChar w:fldCharType="end"/>
      </w:r>
      <w:r w:rsidR="08C422D2">
        <w:t xml:space="preserve"> </w:t>
      </w:r>
      <w:r w:rsidR="08C422D2" w:rsidRPr="00273106">
        <w:t xml:space="preserve">fenomén objektivity přešel do </w:t>
      </w:r>
      <w:r w:rsidR="08C422D2" w:rsidRPr="00192C27">
        <w:t>dějin</w:t>
      </w:r>
      <w:r w:rsidR="08C422D2" w:rsidRPr="00273106">
        <w:t xml:space="preserve"> </w:t>
      </w:r>
      <w:r w:rsidR="08C422D2">
        <w:t xml:space="preserve">scholastické </w:t>
      </w:r>
      <w:r w:rsidR="08C422D2" w:rsidRPr="00273106">
        <w:t>filosofie, teologie a vědy</w:t>
      </w:r>
      <w:r w:rsidR="08357A29" w:rsidRPr="08357A29">
        <w:t xml:space="preserve"> </w:t>
      </w:r>
      <w:r w:rsidR="08357A29">
        <w:t>skrze gigantomachii o substanci v antice a ve falsafě</w:t>
      </w:r>
      <w:r w:rsidR="08C422D2">
        <w:t xml:space="preserve">. </w:t>
      </w:r>
      <w:r w:rsidR="08871A92">
        <w:t>Objektivita</w:t>
      </w:r>
      <w:r w:rsidR="08F167ED">
        <w:t xml:space="preserve"> představuje metafyzickou form</w:t>
      </w:r>
      <w:r w:rsidR="08A13458">
        <w:t>u</w:t>
      </w:r>
      <w:r w:rsidR="08871A92">
        <w:t xml:space="preserve"> moderní gnóze, kterou </w:t>
      </w:r>
      <w:r w:rsidR="08E8561A">
        <w:t xml:space="preserve">vytvořili </w:t>
      </w:r>
      <w:r w:rsidR="080A36E8">
        <w:t>„</w:t>
      </w:r>
      <w:r w:rsidR="086F0DB2">
        <w:t xml:space="preserve">boží muži“ </w:t>
      </w:r>
      <w:r w:rsidR="08871A92">
        <w:t xml:space="preserve">typu Jamblicha a </w:t>
      </w:r>
      <w:r w:rsidR="086F0DB2">
        <w:t xml:space="preserve">ilumináti typu </w:t>
      </w:r>
      <w:r w:rsidR="08871A92">
        <w:t>Simplikia</w:t>
      </w:r>
      <w:r w:rsidR="08E8561A" w:rsidRPr="08E8561A">
        <w:t xml:space="preserve"> </w:t>
      </w:r>
      <w:r w:rsidR="08E8561A">
        <w:t>na základě Plotínova a Porfýriova neoplatonismu</w:t>
      </w:r>
      <w:r w:rsidR="08871A92">
        <w:t xml:space="preserve">. </w:t>
      </w:r>
      <w:r w:rsidR="081E7E2E">
        <w:t xml:space="preserve">Tento zápas o mytopoetickou pravdu a nepravdu substance převzala falsafa. </w:t>
      </w:r>
      <w:r w:rsidR="08667A19">
        <w:t>Avicenna a Averroes rozvíjeli odkaz Al-Fá</w:t>
      </w:r>
      <w:r w:rsidR="08667A19" w:rsidRPr="00273106">
        <w:t>rábího, který poprvé smíři</w:t>
      </w:r>
      <w:r w:rsidR="08667A19">
        <w:t>l Aristotelovu substanci a Plato</w:t>
      </w:r>
      <w:r w:rsidR="08667A19" w:rsidRPr="00273106">
        <w:t xml:space="preserve">novy ideje. Latinská scholastika následně rozvinula vidění jsoucna </w:t>
      </w:r>
      <w:r w:rsidR="08667A19">
        <w:t xml:space="preserve">obsažené </w:t>
      </w:r>
      <w:r w:rsidR="08667A19" w:rsidRPr="00273106">
        <w:t>v těchto dvou</w:t>
      </w:r>
      <w:r w:rsidR="08667A19">
        <w:t xml:space="preserve"> základních projektech falsafy</w:t>
      </w:r>
      <w:r w:rsidR="08667A19" w:rsidRPr="00273106">
        <w:t>.</w:t>
      </w:r>
      <w:r w:rsidR="08A92F98" w:rsidRPr="08A92F98">
        <w:t xml:space="preserve"> </w:t>
      </w:r>
      <w:r w:rsidR="00CA25FA">
        <w:t xml:space="preserve">První gigantomachie proběhla v rámci neoplatonismu. </w:t>
      </w:r>
      <w:r w:rsidR="08DE3794">
        <w:t xml:space="preserve">Transformace aristotelismu </w:t>
      </w:r>
      <w:r w:rsidR="006F7554">
        <w:t xml:space="preserve">ve falsafě </w:t>
      </w:r>
      <w:r w:rsidR="00CA25FA">
        <w:t xml:space="preserve">přešla do </w:t>
      </w:r>
      <w:r w:rsidR="08DE3794">
        <w:t xml:space="preserve">rané a pozdní scholastiky </w:t>
      </w:r>
      <w:r w:rsidR="00CA25FA">
        <w:t xml:space="preserve">a tím </w:t>
      </w:r>
      <w:r w:rsidR="08DE3794">
        <w:t xml:space="preserve">ustavila objektivní figuru myšlení na latinském Západě. </w:t>
      </w:r>
      <w:r w:rsidR="08D643FA">
        <w:t xml:space="preserve">Po archeologickém výkladu pozdní antiky a falsafy </w:t>
      </w:r>
      <w:r w:rsidR="08D643FA" w:rsidRPr="00273106">
        <w:t xml:space="preserve">je nutno zkoumat </w:t>
      </w:r>
      <w:r w:rsidR="088B4579">
        <w:t xml:space="preserve">proměny </w:t>
      </w:r>
      <w:r w:rsidR="08BA4CE0">
        <w:t>substance</w:t>
      </w:r>
      <w:r w:rsidR="08414DCA">
        <w:t xml:space="preserve"> </w:t>
      </w:r>
      <w:r w:rsidR="08752037">
        <w:t xml:space="preserve">na latinském Západě </w:t>
      </w:r>
      <w:r w:rsidR="08D643FA">
        <w:t xml:space="preserve">do 14. století. </w:t>
      </w:r>
      <w:r w:rsidR="08A92F98">
        <w:t xml:space="preserve">Druhý </w:t>
      </w:r>
      <w:r w:rsidR="08A36B5A">
        <w:t xml:space="preserve">a třetí </w:t>
      </w:r>
      <w:r w:rsidR="08A92F98">
        <w:t xml:space="preserve">díl </w:t>
      </w:r>
      <w:r w:rsidR="08CB3A70">
        <w:t xml:space="preserve">předložené studie </w:t>
      </w:r>
      <w:r w:rsidR="08A92F98" w:rsidRPr="00273106">
        <w:t xml:space="preserve">projde </w:t>
      </w:r>
      <w:r w:rsidR="08A60E16">
        <w:t xml:space="preserve">šest </w:t>
      </w:r>
      <w:r w:rsidR="08A92F98" w:rsidRPr="00273106">
        <w:t>základních matric zjevování objektivity</w:t>
      </w:r>
      <w:r w:rsidR="08A92F98">
        <w:t xml:space="preserve"> v</w:t>
      </w:r>
      <w:r w:rsidR="08F0392F">
        <w:t>e</w:t>
      </w:r>
      <w:r w:rsidR="08A92F98">
        <w:t xml:space="preserve"> scholastice</w:t>
      </w:r>
      <w:r w:rsidR="08D73BBA">
        <w:t xml:space="preserve">. Tyto epochy moderního </w:t>
      </w:r>
      <w:r w:rsidR="087659AC">
        <w:t xml:space="preserve">gnostického </w:t>
      </w:r>
      <w:r w:rsidR="08D73BBA">
        <w:t xml:space="preserve">myšlení </w:t>
      </w:r>
      <w:r w:rsidR="08A60E16">
        <w:t>odpovídají šesti dnům mytopoetického stvoření objektivního světa</w:t>
      </w:r>
      <w:r w:rsidR="08457110">
        <w:t xml:space="preserve"> (</w:t>
      </w:r>
      <w:r w:rsidR="08457110" w:rsidRPr="08457110">
        <w:rPr>
          <w:i/>
        </w:rPr>
        <w:t>hexaemereon</w:t>
      </w:r>
      <w:r w:rsidR="08457110">
        <w:t>)</w:t>
      </w:r>
      <w:r w:rsidR="08A60E16">
        <w:t>.</w:t>
      </w:r>
      <w:r w:rsidR="089504E4">
        <w:t xml:space="preserve"> </w:t>
      </w:r>
    </w:p>
    <w:p w14:paraId="3DE7FE01" w14:textId="0EA75D99" w:rsidR="08667A19" w:rsidRDefault="08667A19" w:rsidP="08667A19">
      <w:pPr>
        <w:numPr>
          <w:ilvl w:val="0"/>
          <w:numId w:val="3"/>
        </w:numPr>
      </w:pPr>
      <w:r>
        <w:t>První</w:t>
      </w:r>
      <w:r w:rsidRPr="00273106">
        <w:t xml:space="preserve"> matrice </w:t>
      </w:r>
      <w:r>
        <w:t>ukáže spor aristotelského (</w:t>
      </w:r>
      <w:r w:rsidR="00CB3E4F">
        <w:t>Abélard</w:t>
      </w:r>
      <w:r>
        <w:t xml:space="preserve">) a neoplatonského pojetí pravdy (Anselm) na latinském Západě. </w:t>
      </w:r>
      <w:r w:rsidR="00572ECF">
        <w:t>Falešnou s</w:t>
      </w:r>
      <w:r>
        <w:t>yntézou obou škol vzniklo první vidění světa v modu objektivity (Gilbertus Porretanus). Nové vidění světa rozvinuly porretánské školy ovlivněné Avicennou (</w:t>
      </w:r>
      <w:r w:rsidRPr="00E73895">
        <w:rPr>
          <w:i/>
        </w:rPr>
        <w:t>Nominales</w:t>
      </w:r>
      <w:r>
        <w:t xml:space="preserve">). </w:t>
      </w:r>
    </w:p>
    <w:p w14:paraId="08083BCA" w14:textId="77777777" w:rsidR="08667A19" w:rsidRPr="00273106" w:rsidRDefault="08667A19" w:rsidP="08667A19">
      <w:pPr>
        <w:numPr>
          <w:ilvl w:val="0"/>
          <w:numId w:val="3"/>
        </w:numPr>
      </w:pPr>
      <w:r>
        <w:lastRenderedPageBreak/>
        <w:t xml:space="preserve">Druhá matrice sleduje </w:t>
      </w:r>
      <w:r w:rsidRPr="00273106">
        <w:t>pr</w:t>
      </w:r>
      <w:r>
        <w:t>oměnu scholastiky v letech 122</w:t>
      </w:r>
      <w:r w:rsidRPr="00273106">
        <w:t xml:space="preserve">0‒50. </w:t>
      </w:r>
      <w:r>
        <w:t xml:space="preserve">Gigantomachie o substanci předaná falsafou se rozvíjela konfliktním vztahem k Averroesově metafyzice, která </w:t>
      </w:r>
      <w:r w:rsidR="08A5101C">
        <w:t xml:space="preserve">tehdy </w:t>
      </w:r>
      <w:r>
        <w:t xml:space="preserve">přišla na latinský Západ. Škola tzv. „prvního averroismu“ ji vzala jako východisko myšlení. Škola tzv. „druhého averroismu“ ji odmítla a dala přednost Avicennově projektu metafyziky. </w:t>
      </w:r>
    </w:p>
    <w:p w14:paraId="3EEA7C8A" w14:textId="47929015" w:rsidR="08667A19" w:rsidRDefault="08667A19" w:rsidP="08667A19">
      <w:pPr>
        <w:numPr>
          <w:ilvl w:val="0"/>
          <w:numId w:val="3"/>
        </w:numPr>
      </w:pPr>
      <w:r>
        <w:t xml:space="preserve">Třetí </w:t>
      </w:r>
      <w:r w:rsidRPr="00273106">
        <w:t xml:space="preserve">matrice </w:t>
      </w:r>
      <w:r>
        <w:t xml:space="preserve">vyloží </w:t>
      </w:r>
      <w:r w:rsidRPr="00273106">
        <w:t xml:space="preserve">zjevování </w:t>
      </w:r>
      <w:r>
        <w:t>jsoucna třetího druhu</w:t>
      </w:r>
      <w:r w:rsidRPr="00273106">
        <w:t xml:space="preserve"> v latinských komentářích Aristotelova spisu </w:t>
      </w:r>
      <w:r w:rsidRPr="086A480E">
        <w:rPr>
          <w:i/>
        </w:rPr>
        <w:t>De anima</w:t>
      </w:r>
      <w:r>
        <w:t xml:space="preserve"> v letech 1250‒</w:t>
      </w:r>
      <w:r w:rsidRPr="00273106">
        <w:t xml:space="preserve">77. </w:t>
      </w:r>
      <w:r>
        <w:t>Intelektuální duše funguje jako nová substance</w:t>
      </w:r>
      <w:r>
        <w:fldChar w:fldCharType="begin"/>
      </w:r>
      <w:r>
        <w:instrText xml:space="preserve"> XE "</w:instrText>
      </w:r>
      <w:r w:rsidRPr="00DE2A32">
        <w:instrText>substance</w:instrText>
      </w:r>
      <w:r>
        <w:instrText xml:space="preserve">:objektivní" </w:instrText>
      </w:r>
      <w:r>
        <w:fldChar w:fldCharType="end"/>
      </w:r>
      <w:r>
        <w:t xml:space="preserve"> </w:t>
      </w:r>
      <w:r w:rsidRPr="00273106">
        <w:t>a je</w:t>
      </w:r>
      <w:r>
        <w:t xml:space="preserve"> složena</w:t>
      </w:r>
      <w:r w:rsidRPr="00273106">
        <w:t xml:space="preserve"> z</w:t>
      </w:r>
      <w:r>
        <w:t xml:space="preserve"> objektivní </w:t>
      </w:r>
      <w:r w:rsidRPr="00273106">
        <w:t>formy a látky</w:t>
      </w:r>
      <w:r>
        <w:t xml:space="preserve"> (Rufus, Bonaventura, Pecham)</w:t>
      </w:r>
      <w:r w:rsidRPr="00273106">
        <w:t>.</w:t>
      </w:r>
      <w:r>
        <w:t xml:space="preserve"> Toto pojetí odmítli všichni aristotelikové ze školy prvního averroismu (Albert, Bacon, Akvinský).</w:t>
      </w:r>
      <w:r w:rsidRPr="08476B56">
        <w:t xml:space="preserve"> </w:t>
      </w:r>
      <w:r w:rsidR="08B13392" w:rsidRPr="00273106">
        <w:t>Spor o latinský averroismus</w:t>
      </w:r>
      <w:r w:rsidR="08B13392">
        <w:fldChar w:fldCharType="begin"/>
      </w:r>
      <w:r w:rsidR="08B13392">
        <w:instrText xml:space="preserve"> XE "</w:instrText>
      </w:r>
      <w:r w:rsidR="08B13392" w:rsidRPr="00DE4A04">
        <w:instrText>averroismus:latinský</w:instrText>
      </w:r>
      <w:r w:rsidR="08B13392">
        <w:instrText xml:space="preserve">" </w:instrText>
      </w:r>
      <w:r w:rsidR="08B13392">
        <w:fldChar w:fldCharType="end"/>
      </w:r>
      <w:r w:rsidR="08B13392" w:rsidRPr="00273106">
        <w:t xml:space="preserve"> dal novému </w:t>
      </w:r>
      <w:r w:rsidR="003F3D06">
        <w:rPr>
          <w:bCs/>
          <w:i/>
          <w:szCs w:val="24"/>
          <w:lang w:val="de-DE"/>
        </w:rPr>
        <w:t>tertium ens</w:t>
      </w:r>
      <w:r w:rsidR="003F3D06">
        <w:rPr>
          <w:bCs/>
          <w:szCs w:val="24"/>
          <w:lang w:val="de-DE"/>
        </w:rPr>
        <w:t xml:space="preserve"> </w:t>
      </w:r>
      <w:r w:rsidR="08B13392" w:rsidRPr="00273106">
        <w:t>ontoteologický základ a ustavil jej absolutním způsobem přímo v boží mysli.</w:t>
      </w:r>
    </w:p>
    <w:p w14:paraId="44B890E6" w14:textId="32E31A99" w:rsidR="08667A19" w:rsidRPr="00273106" w:rsidRDefault="08667A19" w:rsidP="08667A19">
      <w:pPr>
        <w:numPr>
          <w:ilvl w:val="0"/>
          <w:numId w:val="3"/>
        </w:numPr>
      </w:pPr>
      <w:r>
        <w:t xml:space="preserve">Čtvrtá </w:t>
      </w:r>
      <w:r w:rsidRPr="00273106">
        <w:t>matrice popíše mocenskou a teologickou kodifik</w:t>
      </w:r>
      <w:r>
        <w:t xml:space="preserve">aci nového vidění světa </w:t>
      </w:r>
      <w:r w:rsidR="00D477ED">
        <w:t xml:space="preserve">potvrzenou </w:t>
      </w:r>
      <w:r>
        <w:t xml:space="preserve">pařížským a oxfordským odsouzením aristotelismu </w:t>
      </w:r>
      <w:r w:rsidRPr="00273106">
        <w:t xml:space="preserve">z března </w:t>
      </w:r>
      <w:r>
        <w:t>roku 1277</w:t>
      </w:r>
      <w:r w:rsidRPr="00273106">
        <w:t xml:space="preserve">. Nové jsoucno se stalo </w:t>
      </w:r>
      <w:r>
        <w:t xml:space="preserve">součástí božího bytí a dostalo </w:t>
      </w:r>
      <w:r w:rsidRPr="00273106">
        <w:t>ontoteologickou legitimitu</w:t>
      </w:r>
      <w:r>
        <w:t xml:space="preserve"> skrze vůli moderního demiurga (Bonaventura, Olivi)</w:t>
      </w:r>
      <w:r w:rsidRPr="00273106">
        <w:t xml:space="preserve">. </w:t>
      </w:r>
      <w:r w:rsidR="083F57C1">
        <w:t xml:space="preserve">Siger z Brabantu  jako největší znalec Averroese </w:t>
      </w:r>
      <w:r>
        <w:t>na jedno desetiletí zastavil postup objekti</w:t>
      </w:r>
      <w:r w:rsidR="083F57C1">
        <w:t>vity na Pařížské univerzitě</w:t>
      </w:r>
      <w:r>
        <w:t>.</w:t>
      </w:r>
      <w:r w:rsidRPr="080750F5">
        <w:t xml:space="preserve"> </w:t>
      </w:r>
      <w:r w:rsidR="08DE3997">
        <w:t xml:space="preserve">Jeho spor s Akvinským </w:t>
      </w:r>
      <w:r w:rsidR="081946EB">
        <w:t xml:space="preserve">o hypostázovaný charakter intelektu </w:t>
      </w:r>
      <w:r w:rsidR="08DE3997">
        <w:t xml:space="preserve">ukazuje způsob, jak </w:t>
      </w:r>
      <w:r>
        <w:t xml:space="preserve">objektivita </w:t>
      </w:r>
      <w:r w:rsidRPr="00273106">
        <w:t>opustil</w:t>
      </w:r>
      <w:r>
        <w:t>a</w:t>
      </w:r>
      <w:r w:rsidRPr="00273106">
        <w:t xml:space="preserve"> fázi dějinné skrytosti (</w:t>
      </w:r>
      <w:r>
        <w:rPr>
          <w:i/>
        </w:rPr>
        <w:fldChar w:fldCharType="begin"/>
      </w:r>
      <w:r>
        <w:instrText xml:space="preserve"> XE "objektivita:</w:instrText>
      </w:r>
      <w:r w:rsidRPr="008E6400">
        <w:rPr>
          <w:i/>
        </w:rPr>
        <w:instrText>Anfang</w:instrText>
      </w:r>
      <w:r>
        <w:instrText>/</w:instrText>
      </w:r>
      <w:r w:rsidRPr="008E6400">
        <w:rPr>
          <w:i/>
        </w:rPr>
        <w:instrText>Beginn</w:instrText>
      </w:r>
      <w:r>
        <w:instrText xml:space="preserve">" </w:instrText>
      </w:r>
      <w:r>
        <w:rPr>
          <w:i/>
        </w:rPr>
        <w:fldChar w:fldCharType="end"/>
      </w:r>
      <w:r w:rsidRPr="00273106">
        <w:rPr>
          <w:i/>
        </w:rPr>
        <w:t>Anfang</w:t>
      </w:r>
      <w:r w:rsidRPr="00273106">
        <w:t xml:space="preserve">) </w:t>
      </w:r>
      <w:r>
        <w:t>a začala</w:t>
      </w:r>
      <w:r w:rsidRPr="00273106">
        <w:t xml:space="preserve"> otevřeně formovat dějiny Západu (</w:t>
      </w:r>
      <w:r w:rsidRPr="00273106">
        <w:rPr>
          <w:i/>
        </w:rPr>
        <w:t>Beginn</w:t>
      </w:r>
      <w:r w:rsidRPr="00273106">
        <w:t>).</w:t>
      </w:r>
    </w:p>
    <w:p w14:paraId="779BAE6E" w14:textId="51C14666" w:rsidR="08667A19" w:rsidRDefault="08667A19" w:rsidP="08667A19">
      <w:pPr>
        <w:numPr>
          <w:ilvl w:val="0"/>
          <w:numId w:val="3"/>
        </w:numPr>
      </w:pPr>
      <w:r>
        <w:t xml:space="preserve">Pátá </w:t>
      </w:r>
      <w:r w:rsidRPr="00273106">
        <w:t xml:space="preserve">matrice ukáže založení objektivního jsoucna </w:t>
      </w:r>
      <w:r>
        <w:t xml:space="preserve">skrze </w:t>
      </w:r>
      <w:r w:rsidRPr="00273106">
        <w:t>druh</w:t>
      </w:r>
      <w:r>
        <w:t xml:space="preserve">ý </w:t>
      </w:r>
      <w:r w:rsidRPr="00273106">
        <w:t>počát</w:t>
      </w:r>
      <w:r>
        <w:t>e</w:t>
      </w:r>
      <w:r w:rsidRPr="00273106">
        <w:t>k metafyziky</w:t>
      </w:r>
      <w:r>
        <w:t xml:space="preserve"> (Jindřich z Gentu, Duns Scotus)</w:t>
      </w:r>
      <w:r w:rsidRPr="00273106">
        <w:t xml:space="preserve">. Koncept objektivního jsoucna dostal </w:t>
      </w:r>
      <w:r>
        <w:t>v letech 1280‒</w:t>
      </w:r>
      <w:r w:rsidRPr="00273106">
        <w:t>90 kategoriální urč</w:t>
      </w:r>
      <w:r>
        <w:t xml:space="preserve">ení dané v rozporu s původním smyslem spisu </w:t>
      </w:r>
      <w:r w:rsidRPr="08B054FB">
        <w:rPr>
          <w:i/>
        </w:rPr>
        <w:t>Kategorie</w:t>
      </w:r>
      <w:r w:rsidRPr="00273106">
        <w:t xml:space="preserve">. Objektivita </w:t>
      </w:r>
      <w:r w:rsidR="08CC3456">
        <w:t xml:space="preserve">v pojetí Dunse Scota </w:t>
      </w:r>
      <w:r w:rsidRPr="00273106">
        <w:t xml:space="preserve">se stala uznanou kategorií myšlení a dostala metafyzickou pravdivost v rámci nově utvořené </w:t>
      </w:r>
      <w:r w:rsidRPr="08B054FB">
        <w:rPr>
          <w:i/>
        </w:rPr>
        <w:t>veritas</w:t>
      </w:r>
      <w:r w:rsidRPr="00273106">
        <w:t xml:space="preserve">. </w:t>
      </w:r>
      <w:r>
        <w:t xml:space="preserve">Posledním představitelem klasického kritického aristotelismu byl William Ockham. Po jeho akademickém exilu z Oxfordu byla nastolena vláda </w:t>
      </w:r>
      <w:r w:rsidR="08327954">
        <w:t xml:space="preserve">postmoderní </w:t>
      </w:r>
      <w:r>
        <w:t>metafyziky</w:t>
      </w:r>
      <w:r w:rsidR="08327954">
        <w:t xml:space="preserve"> dané v objektivní formě </w:t>
      </w:r>
      <w:r w:rsidR="08327954" w:rsidRPr="08327954">
        <w:rPr>
          <w:i/>
        </w:rPr>
        <w:t>Seinsvergessenheit</w:t>
      </w:r>
      <w:r w:rsidR="00636A18">
        <w:t xml:space="preserve"> dané jako zapomenutí první substance.</w:t>
      </w:r>
    </w:p>
    <w:p w14:paraId="2A7F9ADD" w14:textId="77777777" w:rsidR="089504E4" w:rsidRDefault="08667A19" w:rsidP="089504E4">
      <w:pPr>
        <w:numPr>
          <w:ilvl w:val="0"/>
          <w:numId w:val="3"/>
        </w:numPr>
      </w:pPr>
      <w:r>
        <w:t xml:space="preserve">Šestá matrice ukáže důsledky sporu mezi prvním a druhým averroismem v oblasti etiky a politických teorií. </w:t>
      </w:r>
      <w:r w:rsidRPr="00273106">
        <w:t xml:space="preserve">Západ vstoupil </w:t>
      </w:r>
      <w:r>
        <w:t xml:space="preserve">na začátku 14. století </w:t>
      </w:r>
      <w:r w:rsidRPr="00273106">
        <w:t xml:space="preserve">do epochy </w:t>
      </w:r>
      <w:r>
        <w:t xml:space="preserve">postmoderní formy </w:t>
      </w:r>
      <w:r w:rsidRPr="00273106">
        <w:t>objektivity</w:t>
      </w:r>
      <w:r>
        <w:t>, která představuje nihil</w:t>
      </w:r>
      <w:r w:rsidR="08781D1E">
        <w:t>istickou formu metafyzi</w:t>
      </w:r>
      <w:r>
        <w:t>ky.</w:t>
      </w:r>
      <w:r w:rsidR="08784995" w:rsidRPr="08784995">
        <w:t xml:space="preserve"> </w:t>
      </w:r>
      <w:r w:rsidR="08784995">
        <w:t xml:space="preserve">Objektivní </w:t>
      </w:r>
      <w:r w:rsidR="08784995" w:rsidRPr="00273106">
        <w:lastRenderedPageBreak/>
        <w:t xml:space="preserve">jsoucno ztratilo </w:t>
      </w:r>
      <w:r w:rsidR="08784995">
        <w:t xml:space="preserve">předešlý </w:t>
      </w:r>
      <w:r w:rsidR="08784995" w:rsidRPr="00273106">
        <w:t>problematický charakter a st</w:t>
      </w:r>
      <w:r w:rsidR="08784995">
        <w:t>alo se uznanou věcí myšlení.</w:t>
      </w:r>
      <w:r w:rsidR="08DD207D">
        <w:t xml:space="preserve"> </w:t>
      </w:r>
      <w:r w:rsidR="089504E4">
        <w:t>Závěr práce shrne pojetí osoby a jejího objektivního simulákra, které nastolilo tragikomickou podobu západního humanismu v modu objektivního Oidipova komplexu.</w:t>
      </w:r>
    </w:p>
    <w:p w14:paraId="3FD86CA3" w14:textId="77777777" w:rsidR="00C405A2" w:rsidRDefault="005B018F" w:rsidP="08BD3F92">
      <w:r>
        <w:t xml:space="preserve">Popišme </w:t>
      </w:r>
      <w:r w:rsidR="08DD207D">
        <w:t>celkový postup archeologie objekti</w:t>
      </w:r>
      <w:r w:rsidR="083743DC">
        <w:t>v</w:t>
      </w:r>
      <w:r w:rsidR="08DD207D">
        <w:t>i</w:t>
      </w:r>
      <w:r>
        <w:t>ty v krátkém souhrnu</w:t>
      </w:r>
      <w:r w:rsidR="081350C7" w:rsidRPr="00273106">
        <w:t xml:space="preserve">. Exegeze </w:t>
      </w:r>
      <w:r w:rsidR="002942D0">
        <w:t>sleduje o</w:t>
      </w:r>
      <w:r w:rsidR="081350C7">
        <w:t>dkrytost plato</w:t>
      </w:r>
      <w:r w:rsidR="081350C7" w:rsidRPr="00273106">
        <w:t>nsko-aristotelské substance</w:t>
      </w:r>
      <w:r w:rsidR="00CB3164">
        <w:t xml:space="preserve"> v jejím dějinném bytí</w:t>
      </w:r>
      <w:r w:rsidR="002942D0">
        <w:t xml:space="preserve">. Její archaická </w:t>
      </w:r>
      <w:r w:rsidR="006D346C">
        <w:t>poodkrytost (</w:t>
      </w:r>
      <w:r w:rsidR="002942D0" w:rsidRPr="002942D0">
        <w:rPr>
          <w:i/>
        </w:rPr>
        <w:t>alétheia</w:t>
      </w:r>
      <w:r w:rsidR="006D346C">
        <w:t xml:space="preserve">) </w:t>
      </w:r>
      <w:r w:rsidR="002942D0">
        <w:t xml:space="preserve">je zjevná </w:t>
      </w:r>
      <w:r w:rsidR="081350C7" w:rsidRPr="00273106">
        <w:t xml:space="preserve">na základě </w:t>
      </w:r>
      <w:r w:rsidR="08E86F1B">
        <w:t>šesti</w:t>
      </w:r>
      <w:r w:rsidR="081350C7">
        <w:t xml:space="preserve"> m</w:t>
      </w:r>
      <w:r w:rsidR="006D346C">
        <w:t xml:space="preserve">atric, které popisují konfiguraci objektivního </w:t>
      </w:r>
      <w:r w:rsidR="081350C7" w:rsidRPr="00834D4B">
        <w:rPr>
          <w:i/>
        </w:rPr>
        <w:t>tertium ens</w:t>
      </w:r>
      <w:r w:rsidR="081350C7">
        <w:rPr>
          <w:i/>
        </w:rPr>
        <w:fldChar w:fldCharType="begin"/>
      </w:r>
      <w:r w:rsidR="081350C7">
        <w:instrText xml:space="preserve"> XE "</w:instrText>
      </w:r>
      <w:r w:rsidR="081350C7" w:rsidRPr="002F10B4">
        <w:rPr>
          <w:rStyle w:val="Zvraznn"/>
        </w:rPr>
        <w:instrText>tertium ens</w:instrText>
      </w:r>
      <w:r w:rsidR="081350C7">
        <w:rPr>
          <w:rStyle w:val="Zvraznn"/>
          <w:i w:val="0"/>
        </w:rPr>
        <w:instrText>:hermeneutika</w:instrText>
      </w:r>
      <w:r w:rsidR="081350C7">
        <w:instrText xml:space="preserve"> " </w:instrText>
      </w:r>
      <w:r w:rsidR="081350C7">
        <w:rPr>
          <w:i/>
        </w:rPr>
        <w:fldChar w:fldCharType="end"/>
      </w:r>
      <w:r w:rsidR="081350C7">
        <w:t xml:space="preserve"> </w:t>
      </w:r>
      <w:r w:rsidR="081350C7" w:rsidRPr="00273106">
        <w:t>v</w:t>
      </w:r>
      <w:r w:rsidR="081350C7">
        <w:t xml:space="preserve"> epochálních </w:t>
      </w:r>
      <w:r w:rsidR="081350C7" w:rsidRPr="00273106">
        <w:t>momentech zjevování smyslu jsoucího</w:t>
      </w:r>
      <w:r w:rsidR="006D346C">
        <w:t>. Toto mytologické tvoření objektivního světa v šesti dnech po</w:t>
      </w:r>
      <w:r w:rsidR="081350C7" w:rsidRPr="00273106">
        <w:t>dává celkový obraz bloudění objektivního rozumu</w:t>
      </w:r>
      <w:r w:rsidR="006D346C">
        <w:t xml:space="preserve"> </w:t>
      </w:r>
      <w:r w:rsidR="006D346C">
        <w:rPr>
          <w:lang w:val="de-DE"/>
        </w:rPr>
        <w:t>(</w:t>
      </w:r>
      <w:r w:rsidR="006D346C" w:rsidRPr="006D346C">
        <w:rPr>
          <w:i/>
          <w:lang w:val="de-DE"/>
        </w:rPr>
        <w:t>Irre</w:t>
      </w:r>
      <w:r w:rsidR="006D346C">
        <w:rPr>
          <w:i/>
          <w:lang w:val="de-DE"/>
        </w:rPr>
        <w:fldChar w:fldCharType="begin"/>
      </w:r>
      <w:r w:rsidR="006D346C">
        <w:instrText xml:space="preserve"> XE "</w:instrText>
      </w:r>
      <w:r w:rsidR="006D346C" w:rsidRPr="00A056F8">
        <w:rPr>
          <w:i/>
          <w:lang w:val="de-DE"/>
        </w:rPr>
        <w:instrText>Irre</w:instrText>
      </w:r>
      <w:r w:rsidR="006D346C">
        <w:instrText xml:space="preserve">" </w:instrText>
      </w:r>
      <w:r w:rsidR="006D346C">
        <w:rPr>
          <w:i/>
          <w:lang w:val="de-DE"/>
        </w:rPr>
        <w:fldChar w:fldCharType="end"/>
      </w:r>
      <w:r w:rsidR="006D346C">
        <w:rPr>
          <w:lang w:val="de-DE"/>
        </w:rPr>
        <w:t>)</w:t>
      </w:r>
      <w:r w:rsidR="081350C7" w:rsidRPr="00273106">
        <w:t xml:space="preserve">. </w:t>
      </w:r>
      <w:r w:rsidR="006523A7">
        <w:t xml:space="preserve">Průběh </w:t>
      </w:r>
      <w:r w:rsidR="084D7014">
        <w:t xml:space="preserve">objektivní Trojské války akademiků </w:t>
      </w:r>
      <w:r w:rsidR="006523A7">
        <w:t xml:space="preserve">ukazuje </w:t>
      </w:r>
      <w:r w:rsidR="085554C9">
        <w:t>metafyzická podoba hermeneutické</w:t>
      </w:r>
      <w:r w:rsidR="084A08E7">
        <w:t xml:space="preserve"> triády</w:t>
      </w:r>
      <w:r w:rsidR="081350C7">
        <w:t xml:space="preserve"> dějinnosti, dějin a historie</w:t>
      </w:r>
      <w:r w:rsidR="081350C7">
        <w:rPr>
          <w:i/>
        </w:rPr>
        <w:fldChar w:fldCharType="begin"/>
      </w:r>
      <w:r w:rsidR="081350C7">
        <w:instrText xml:space="preserve"> XE "hermeneutická triáda" </w:instrText>
      </w:r>
      <w:r w:rsidR="081350C7">
        <w:rPr>
          <w:i/>
        </w:rPr>
        <w:fldChar w:fldCharType="end"/>
      </w:r>
      <w:r w:rsidR="081350C7">
        <w:t>.</w:t>
      </w:r>
      <w:r w:rsidR="08BD3F92">
        <w:t xml:space="preserve"> </w:t>
      </w:r>
      <w:r w:rsidR="081C26D2" w:rsidRPr="00273106">
        <w:t xml:space="preserve">Po vítězství </w:t>
      </w:r>
      <w:r w:rsidR="081C26D2" w:rsidRPr="00273106">
        <w:rPr>
          <w:i/>
        </w:rPr>
        <w:t>Modernorum</w:t>
      </w:r>
      <w:r w:rsidR="081C26D2" w:rsidRPr="00273106">
        <w:t xml:space="preserve"> </w:t>
      </w:r>
      <w:r w:rsidR="08E11833">
        <w:t xml:space="preserve">na začátku 14. století </w:t>
      </w:r>
      <w:r w:rsidR="081C26D2" w:rsidRPr="00273106">
        <w:t xml:space="preserve">nastala epocha dogmatizace a banalizace objektivity. </w:t>
      </w:r>
      <w:r w:rsidR="08313A02">
        <w:t xml:space="preserve">Trojská válka byla vybojována, klasický aristotelismus byl vypleněn a začalo globální dělení objektivně dané kořisti. </w:t>
      </w:r>
      <w:r w:rsidR="081C26D2" w:rsidRPr="00273106">
        <w:t xml:space="preserve">Metafyzika </w:t>
      </w:r>
      <w:r w:rsidR="08D47BF3" w:rsidRPr="00273106">
        <w:t xml:space="preserve">ve figuře unitární ontologie </w:t>
      </w:r>
      <w:r w:rsidR="081C26D2" w:rsidRPr="00273106">
        <w:t xml:space="preserve">dokonala od </w:t>
      </w:r>
      <w:r w:rsidR="081C26D2">
        <w:t>Suáreze zapomnění</w:t>
      </w:r>
      <w:r w:rsidR="081C26D2" w:rsidRPr="00273106">
        <w:t xml:space="preserve"> původní dějinnosti objektivity. Objektivita se stala pozitivním faktem </w:t>
      </w:r>
      <w:r w:rsidR="08260C17">
        <w:t>myšlení, met</w:t>
      </w:r>
      <w:r w:rsidR="081C26D2" w:rsidRPr="00273106">
        <w:t xml:space="preserve">afyzika </w:t>
      </w:r>
      <w:r w:rsidR="081C26D2">
        <w:t xml:space="preserve">se </w:t>
      </w:r>
      <w:r w:rsidR="08AB3FC0">
        <w:t>změnila na ontologii</w:t>
      </w:r>
      <w:r w:rsidR="08260C17">
        <w:t xml:space="preserve">, </w:t>
      </w:r>
      <w:r w:rsidR="081C26D2">
        <w:t xml:space="preserve">jsoucno třetího druhu dostalo </w:t>
      </w:r>
      <w:r w:rsidR="08353AEA">
        <w:t>globálně-</w:t>
      </w:r>
      <w:r w:rsidR="081C26D2">
        <w:t xml:space="preserve">nihilistický </w:t>
      </w:r>
      <w:r w:rsidR="081C26D2" w:rsidRPr="00273106">
        <w:t xml:space="preserve">logos. </w:t>
      </w:r>
      <w:r w:rsidR="081C26D2">
        <w:t xml:space="preserve">Metafyzika </w:t>
      </w:r>
      <w:r w:rsidR="081C26D2" w:rsidRPr="00EE4118">
        <w:rPr>
          <w:i/>
        </w:rPr>
        <w:t>Modernorum</w:t>
      </w:r>
      <w:r w:rsidR="081C26D2">
        <w:t xml:space="preserve"> poslala myšlení prvního a druhého averroismu do epochálně pojaté </w:t>
      </w:r>
      <w:r w:rsidR="081C26D2" w:rsidRPr="089934F8">
        <w:rPr>
          <w:i/>
        </w:rPr>
        <w:t>léthé</w:t>
      </w:r>
      <w:r w:rsidR="085137EC" w:rsidRPr="085137EC">
        <w:t xml:space="preserve"> </w:t>
      </w:r>
      <w:r w:rsidR="085137EC">
        <w:t>skrze obranný mechanismus Freudova</w:t>
      </w:r>
      <w:r w:rsidR="085137EC">
        <w:fldChar w:fldCharType="begin"/>
      </w:r>
      <w:r w:rsidR="085137EC">
        <w:instrText xml:space="preserve"> XE "</w:instrText>
      </w:r>
      <w:r w:rsidR="085137EC" w:rsidRPr="007228C6">
        <w:instrText>Freud, S.</w:instrText>
      </w:r>
      <w:r w:rsidR="085137EC">
        <w:instrText xml:space="preserve">" </w:instrText>
      </w:r>
      <w:r w:rsidR="085137EC">
        <w:fldChar w:fldCharType="end"/>
      </w:r>
      <w:r w:rsidR="085137EC">
        <w:t xml:space="preserve"> </w:t>
      </w:r>
      <w:r w:rsidR="085137EC" w:rsidRPr="00622D11">
        <w:rPr>
          <w:rStyle w:val="Zvraznn"/>
        </w:rPr>
        <w:t>Verkehrung ins Gegenteil</w:t>
      </w:r>
      <w:r w:rsidR="085137EC">
        <w:rPr>
          <w:rStyle w:val="Zvraznn"/>
        </w:rPr>
        <w:fldChar w:fldCharType="begin"/>
      </w:r>
      <w:r w:rsidR="085137EC">
        <w:instrText xml:space="preserve"> XE "</w:instrText>
      </w:r>
      <w:r w:rsidR="085137EC" w:rsidRPr="0089394E">
        <w:rPr>
          <w:rStyle w:val="Zvraznn"/>
        </w:rPr>
        <w:instrText>Verkehrung ins Gegenteil</w:instrText>
      </w:r>
      <w:r w:rsidR="085137EC">
        <w:instrText xml:space="preserve">" </w:instrText>
      </w:r>
      <w:r w:rsidR="085137EC">
        <w:rPr>
          <w:rStyle w:val="Zvraznn"/>
        </w:rPr>
        <w:fldChar w:fldCharType="end"/>
      </w:r>
      <w:r w:rsidR="081C26D2">
        <w:t xml:space="preserve">. </w:t>
      </w:r>
      <w:r w:rsidR="089A2BAD">
        <w:t>Spor o tzv. „averroismus“ se stal f</w:t>
      </w:r>
      <w:r w:rsidR="081C26D2">
        <w:t>ilosofickým, moc</w:t>
      </w:r>
      <w:r w:rsidR="089A2BAD">
        <w:t xml:space="preserve">enským a ideologickým nástrojem, který provedl </w:t>
      </w:r>
      <w:r w:rsidR="081C26D2">
        <w:t xml:space="preserve">objektivní </w:t>
      </w:r>
      <w:r w:rsidR="081C26D2" w:rsidRPr="089934F8">
        <w:rPr>
          <w:i/>
        </w:rPr>
        <w:t>damnatio memoriae</w:t>
      </w:r>
      <w:r w:rsidR="081C26D2">
        <w:rPr>
          <w:i/>
        </w:rPr>
        <w:fldChar w:fldCharType="begin"/>
      </w:r>
      <w:r w:rsidR="081C26D2">
        <w:instrText xml:space="preserve"> XE "</w:instrText>
      </w:r>
      <w:r w:rsidR="081C26D2" w:rsidRPr="080B13BC">
        <w:rPr>
          <w:i/>
        </w:rPr>
        <w:instrText>damnatio memoriae</w:instrText>
      </w:r>
      <w:r w:rsidR="081C26D2">
        <w:instrText xml:space="preserve">" </w:instrText>
      </w:r>
      <w:r w:rsidR="081C26D2">
        <w:rPr>
          <w:i/>
        </w:rPr>
        <w:fldChar w:fldCharType="end"/>
      </w:r>
      <w:r w:rsidR="081C26D2">
        <w:t xml:space="preserve"> škol </w:t>
      </w:r>
      <w:r w:rsidR="08186A2A">
        <w:t>klasického a moderního aristotelis</w:t>
      </w:r>
      <w:r w:rsidR="089A2BAD">
        <w:t>mu. P</w:t>
      </w:r>
      <w:r w:rsidR="08B46D1A">
        <w:t xml:space="preserve">eripetie </w:t>
      </w:r>
      <w:r w:rsidR="089A2BAD">
        <w:t xml:space="preserve">sporu o </w:t>
      </w:r>
      <w:r w:rsidR="08C97538">
        <w:t>tzv. „</w:t>
      </w:r>
      <w:r w:rsidR="08B67CE8">
        <w:t>averro</w:t>
      </w:r>
      <w:r w:rsidR="089A2BAD">
        <w:t>i</w:t>
      </w:r>
      <w:r w:rsidR="08B67CE8">
        <w:t>s</w:t>
      </w:r>
      <w:r w:rsidR="089A2BAD">
        <w:t>mus</w:t>
      </w:r>
      <w:r w:rsidR="08C97538">
        <w:t>“</w:t>
      </w:r>
      <w:r w:rsidR="089A2BAD">
        <w:t xml:space="preserve"> a o </w:t>
      </w:r>
      <w:r w:rsidR="08C97538">
        <w:t>tzv. „</w:t>
      </w:r>
      <w:r w:rsidR="089A2BAD">
        <w:t>dvojí pojetí pravdy</w:t>
      </w:r>
      <w:r w:rsidR="08C97538">
        <w:t>“</w:t>
      </w:r>
      <w:r w:rsidR="089A2BAD">
        <w:t xml:space="preserve"> </w:t>
      </w:r>
      <w:r w:rsidR="08B46D1A">
        <w:t>je možné sledovat až do 16. století</w:t>
      </w:r>
      <w:r w:rsidR="08DA1412">
        <w:t>, což ale není cílem této práce.</w:t>
      </w:r>
    </w:p>
    <w:p w14:paraId="2C2DA0B2" w14:textId="77777777" w:rsidR="00B17683" w:rsidRDefault="081F3E6B" w:rsidP="00C405A2">
      <w:pPr>
        <w:ind w:firstLine="397"/>
      </w:pPr>
      <w:r>
        <w:t>Hermeneutická archeologie</w:t>
      </w:r>
      <w:r w:rsidR="081C26D2">
        <w:t xml:space="preserve"> zásadně odděluje scholastickou cestu Moderních ustavenou ve druhé polovině 13. století od novověké postmoderny a od současné epochy metafyzického nihilismu, kterou zahájil Friedrich Nietzsche</w:t>
      </w:r>
      <w:r w:rsidR="081C26D2">
        <w:rPr>
          <w:i/>
        </w:rPr>
        <w:fldChar w:fldCharType="begin"/>
      </w:r>
      <w:r w:rsidR="081C26D2">
        <w:instrText xml:space="preserve"> XE "nihilismus" </w:instrText>
      </w:r>
      <w:r w:rsidR="081C26D2">
        <w:rPr>
          <w:i/>
        </w:rPr>
        <w:fldChar w:fldCharType="end"/>
      </w:r>
      <w:r w:rsidR="081C26D2">
        <w:t xml:space="preserve">. Postmoderní a nihilistickou podobu objektivity již nezkoumáme. Jen se k ní </w:t>
      </w:r>
      <w:r w:rsidR="081C26D2" w:rsidRPr="00CE5602">
        <w:rPr>
          <w:i/>
        </w:rPr>
        <w:t>ad hoc</w:t>
      </w:r>
      <w:r w:rsidR="088C4837">
        <w:t xml:space="preserve"> vyjá</w:t>
      </w:r>
      <w:r w:rsidR="08EF7DAE">
        <w:t xml:space="preserve">dříme v případě, že její podobu </w:t>
      </w:r>
      <w:r w:rsidR="081C26D2">
        <w:t>urč</w:t>
      </w:r>
      <w:r w:rsidR="00D85143">
        <w:t>ovaly</w:t>
      </w:r>
      <w:r w:rsidR="08EF7DAE">
        <w:t xml:space="preserve"> myslitelské</w:t>
      </w:r>
      <w:r w:rsidR="081C26D2">
        <w:t xml:space="preserve"> volb</w:t>
      </w:r>
      <w:r w:rsidR="08EF7DAE">
        <w:t>y</w:t>
      </w:r>
      <w:r w:rsidR="081C26D2">
        <w:t xml:space="preserve"> sc</w:t>
      </w:r>
      <w:r w:rsidR="085718BC">
        <w:t>holastické moderny. Postmoderní</w:t>
      </w:r>
      <w:r w:rsidR="081C26D2">
        <w:rPr>
          <w:i/>
        </w:rPr>
        <w:fldChar w:fldCharType="begin"/>
      </w:r>
      <w:r w:rsidR="085718BC">
        <w:instrText xml:space="preserve"> XE "objektivita:postmoderna</w:instrText>
      </w:r>
      <w:r w:rsidR="081C26D2">
        <w:instrText xml:space="preserve">" </w:instrText>
      </w:r>
      <w:r w:rsidR="081C26D2">
        <w:rPr>
          <w:i/>
        </w:rPr>
        <w:fldChar w:fldCharType="end"/>
      </w:r>
      <w:r w:rsidR="085718BC">
        <w:t xml:space="preserve"> </w:t>
      </w:r>
      <w:r w:rsidR="081C26D2" w:rsidRPr="00273106">
        <w:t xml:space="preserve">figuru objektivity </w:t>
      </w:r>
      <w:r w:rsidR="081C26D2">
        <w:t xml:space="preserve">v její </w:t>
      </w:r>
      <w:r w:rsidR="081C26D2" w:rsidRPr="00735EC0">
        <w:rPr>
          <w:i/>
        </w:rPr>
        <w:t>veritas</w:t>
      </w:r>
      <w:r w:rsidR="081C26D2">
        <w:t xml:space="preserve"> </w:t>
      </w:r>
      <w:r w:rsidR="081C26D2" w:rsidRPr="00273106">
        <w:t>najdeme v díle René</w:t>
      </w:r>
      <w:r w:rsidR="081C26D2">
        <w:t>ho</w:t>
      </w:r>
      <w:r w:rsidR="081C26D2" w:rsidRPr="00273106">
        <w:t xml:space="preserve"> Descarta</w:t>
      </w:r>
      <w:r w:rsidR="081C26D2">
        <w:rPr>
          <w:i/>
        </w:rPr>
        <w:fldChar w:fldCharType="begin"/>
      </w:r>
      <w:r w:rsidR="081C26D2">
        <w:instrText xml:space="preserve"> XE "Descartes, R." </w:instrText>
      </w:r>
      <w:r w:rsidR="081C26D2">
        <w:rPr>
          <w:i/>
        </w:rPr>
        <w:fldChar w:fldCharType="end"/>
      </w:r>
      <w:r w:rsidR="081C26D2">
        <w:rPr>
          <w:i/>
        </w:rPr>
        <w:t xml:space="preserve"> </w:t>
      </w:r>
      <w:r w:rsidR="081C26D2" w:rsidRPr="00273106">
        <w:t>a jeho následovníků</w:t>
      </w:r>
      <w:r w:rsidR="081C26D2">
        <w:t>. Tito autoři d</w:t>
      </w:r>
      <w:r w:rsidR="081C26D2" w:rsidRPr="00273106">
        <w:t>okončili obra</w:t>
      </w:r>
      <w:r w:rsidR="081C26D2">
        <w:t>t objektivity od původní jistoty skryté v b</w:t>
      </w:r>
      <w:r w:rsidR="081C26D2" w:rsidRPr="00273106">
        <w:t xml:space="preserve">ohu k evidentní jistotě dané v myslícím subjektu. Pravdu objektivity </w:t>
      </w:r>
      <w:r w:rsidR="081C26D2" w:rsidRPr="00273106">
        <w:lastRenderedPageBreak/>
        <w:t xml:space="preserve">garantuje </w:t>
      </w:r>
      <w:r w:rsidR="081C26D2" w:rsidRPr="00273106">
        <w:rPr>
          <w:i/>
        </w:rPr>
        <w:t>cogito</w:t>
      </w:r>
      <w:r w:rsidR="081C26D2" w:rsidRPr="00273106">
        <w:t xml:space="preserve"> </w:t>
      </w:r>
      <w:r w:rsidR="081C26D2">
        <w:rPr>
          <w:i/>
        </w:rPr>
        <w:fldChar w:fldCharType="begin"/>
      </w:r>
      <w:r w:rsidR="081C26D2">
        <w:instrText xml:space="preserve"> XE "</w:instrText>
      </w:r>
      <w:r w:rsidR="081C26D2" w:rsidRPr="003D2937">
        <w:rPr>
          <w:i/>
        </w:rPr>
        <w:instrText>cogito</w:instrText>
      </w:r>
      <w:r w:rsidR="081C26D2">
        <w:instrText xml:space="preserve">" </w:instrText>
      </w:r>
      <w:r w:rsidR="081C26D2">
        <w:rPr>
          <w:i/>
        </w:rPr>
        <w:fldChar w:fldCharType="end"/>
      </w:r>
      <w:r w:rsidR="081C26D2" w:rsidRPr="00273106">
        <w:t>a jeho zkoumání sebe a světa</w:t>
      </w:r>
      <w:r w:rsidR="081C26D2">
        <w:t xml:space="preserve"> v modu reflexivní evidence</w:t>
      </w:r>
      <w:r w:rsidR="081C26D2">
        <w:fldChar w:fldCharType="begin"/>
      </w:r>
      <w:r w:rsidR="081C26D2">
        <w:instrText xml:space="preserve"> XE "</w:instrText>
      </w:r>
      <w:r w:rsidR="081C26D2" w:rsidRPr="004D79A7">
        <w:instrText>evidence:</w:instrText>
      </w:r>
      <w:r w:rsidR="08274E66">
        <w:instrText>Descartes</w:instrText>
      </w:r>
      <w:r w:rsidR="081C26D2">
        <w:instrText xml:space="preserve">" </w:instrText>
      </w:r>
      <w:r w:rsidR="081C26D2">
        <w:fldChar w:fldCharType="end"/>
      </w:r>
      <w:r w:rsidR="081C26D2" w:rsidRPr="00273106">
        <w:t xml:space="preserve">. Na </w:t>
      </w:r>
      <w:r w:rsidR="081C26D2">
        <w:t xml:space="preserve">tuto formu objektivity </w:t>
      </w:r>
      <w:r w:rsidR="081C26D2" w:rsidRPr="00273106">
        <w:t xml:space="preserve">navázala </w:t>
      </w:r>
      <w:r w:rsidR="081C26D2">
        <w:t>matematizace o</w:t>
      </w:r>
      <w:r w:rsidR="081C26D2" w:rsidRPr="00273106">
        <w:t>bjektivity (Leibniz</w:t>
      </w:r>
      <w:r w:rsidR="081C26D2">
        <w:fldChar w:fldCharType="begin"/>
      </w:r>
      <w:r w:rsidR="081C26D2">
        <w:instrText xml:space="preserve"> XE "Leibniz, G. W." </w:instrText>
      </w:r>
      <w:r w:rsidR="081C26D2">
        <w:fldChar w:fldCharType="end"/>
      </w:r>
      <w:r w:rsidR="081C26D2" w:rsidRPr="00273106">
        <w:t>) završená kritickým projektem transcendentální objektivity (Kant</w:t>
      </w:r>
      <w:r w:rsidR="081C26D2">
        <w:fldChar w:fldCharType="begin"/>
      </w:r>
      <w:r w:rsidR="081C26D2">
        <w:instrText xml:space="preserve"> XE "Kant, I." </w:instrText>
      </w:r>
      <w:r w:rsidR="081C26D2">
        <w:fldChar w:fldCharType="end"/>
      </w:r>
      <w:r w:rsidR="081C26D2" w:rsidRPr="00273106">
        <w:t xml:space="preserve">). Pak došlo k </w:t>
      </w:r>
      <w:r w:rsidR="081C26D2">
        <w:t xml:space="preserve">absolutizaci objektivity jako dějinného pohybu ducha </w:t>
      </w:r>
      <w:r w:rsidR="081C26D2" w:rsidRPr="00273106">
        <w:t>(Hegel</w:t>
      </w:r>
      <w:r w:rsidR="081C26D2">
        <w:fldChar w:fldCharType="begin"/>
      </w:r>
      <w:r w:rsidR="081C26D2">
        <w:instrText xml:space="preserve"> XE "Hegel, G. W." </w:instrText>
      </w:r>
      <w:r w:rsidR="081C26D2">
        <w:fldChar w:fldCharType="end"/>
      </w:r>
      <w:r w:rsidR="081C26D2" w:rsidRPr="00273106">
        <w:t>) a k destrukci objektivity dané v německém idealismu (Nietzsche</w:t>
      </w:r>
      <w:r w:rsidR="081C26D2">
        <w:fldChar w:fldCharType="begin"/>
      </w:r>
      <w:r w:rsidR="081C26D2">
        <w:instrText xml:space="preserve"> XE "Nietzsche, F." </w:instrText>
      </w:r>
      <w:r w:rsidR="081C26D2">
        <w:fldChar w:fldCharType="end"/>
      </w:r>
      <w:r w:rsidR="081C26D2" w:rsidRPr="00273106">
        <w:t>). Filosofie od Marxe</w:t>
      </w:r>
      <w:r w:rsidR="08B53BAD">
        <w:rPr>
          <w:i/>
        </w:rPr>
        <w:fldChar w:fldCharType="begin"/>
      </w:r>
      <w:r w:rsidR="08B53BAD">
        <w:instrText xml:space="preserve"> XE "Marx, K." </w:instrText>
      </w:r>
      <w:r w:rsidR="08B53BAD">
        <w:rPr>
          <w:i/>
        </w:rPr>
        <w:fldChar w:fldCharType="end"/>
      </w:r>
      <w:r w:rsidR="081C26D2" w:rsidRPr="00273106">
        <w:t xml:space="preserve"> už nevidí objektivitu ve filosofii, ale v</w:t>
      </w:r>
      <w:r w:rsidR="081C26D2">
        <w:t xml:space="preserve"> ekonomii. Marx přesně </w:t>
      </w:r>
      <w:r w:rsidR="08DC340B">
        <w:t xml:space="preserve">diagnostikoval </w:t>
      </w:r>
      <w:r w:rsidR="081C26D2">
        <w:t xml:space="preserve">tragikomiku německého idealismu, kterou charakterizoval jako ideologické vidění světa. Metafyzický nihilismus současnosti zredukoval objektivitu </w:t>
      </w:r>
      <w:r w:rsidR="081C26D2" w:rsidRPr="00273106">
        <w:t>na jazykové hry</w:t>
      </w:r>
      <w:r w:rsidR="081C26D2">
        <w:t xml:space="preserve"> a na pohyb diference zakládající struktury libovolně daného významu (Derrida</w:t>
      </w:r>
      <w:r w:rsidR="08621FC2">
        <w:fldChar w:fldCharType="begin"/>
      </w:r>
      <w:r w:rsidR="08621FC2">
        <w:instrText xml:space="preserve"> XE "</w:instrText>
      </w:r>
      <w:r w:rsidR="08621FC2" w:rsidRPr="083678CD">
        <w:instrText>Derrida, J.</w:instrText>
      </w:r>
      <w:r w:rsidR="08621FC2">
        <w:instrText xml:space="preserve">" </w:instrText>
      </w:r>
      <w:r w:rsidR="08621FC2">
        <w:fldChar w:fldCharType="end"/>
      </w:r>
      <w:r w:rsidR="081C26D2">
        <w:t>, Rorty</w:t>
      </w:r>
      <w:r w:rsidR="08621FC2">
        <w:fldChar w:fldCharType="begin"/>
      </w:r>
      <w:r w:rsidR="08621FC2">
        <w:instrText xml:space="preserve"> XE "</w:instrText>
      </w:r>
      <w:r w:rsidR="08621FC2" w:rsidRPr="08553A9E">
        <w:instrText>Rorty, R.</w:instrText>
      </w:r>
      <w:r w:rsidR="08621FC2">
        <w:instrText xml:space="preserve">" </w:instrText>
      </w:r>
      <w:r w:rsidR="08621FC2">
        <w:fldChar w:fldCharType="end"/>
      </w:r>
      <w:r w:rsidR="081C26D2">
        <w:t>)</w:t>
      </w:r>
      <w:r w:rsidR="081C26D2" w:rsidRPr="00273106">
        <w:t xml:space="preserve">. </w:t>
      </w:r>
      <w:r w:rsidR="083E664C">
        <w:t xml:space="preserve">Ideologické vidění světa </w:t>
      </w:r>
      <w:r w:rsidR="0869329C">
        <w:t xml:space="preserve">v modu současného </w:t>
      </w:r>
      <w:r w:rsidR="08B627D0">
        <w:t xml:space="preserve">globálního </w:t>
      </w:r>
      <w:r w:rsidR="0869329C">
        <w:t xml:space="preserve">nihilismu </w:t>
      </w:r>
      <w:r w:rsidR="083E664C">
        <w:t xml:space="preserve">ovládá </w:t>
      </w:r>
      <w:r w:rsidR="08A956E5">
        <w:t xml:space="preserve">neoliberální </w:t>
      </w:r>
      <w:r w:rsidR="083E664C">
        <w:t>skupina bankst</w:t>
      </w:r>
      <w:r w:rsidR="08A956E5">
        <w:t>e</w:t>
      </w:r>
      <w:r w:rsidR="083E664C">
        <w:t xml:space="preserve">rů a iluminátů, která si skrze virtuální dluh a peníze produkované </w:t>
      </w:r>
      <w:r w:rsidR="083E664C" w:rsidRPr="083E664C">
        <w:rPr>
          <w:i/>
        </w:rPr>
        <w:t>ex nihilo</w:t>
      </w:r>
      <w:r w:rsidR="083E664C">
        <w:t xml:space="preserve"> </w:t>
      </w:r>
      <w:r w:rsidR="08690533">
        <w:t xml:space="preserve">téměř kompletně </w:t>
      </w:r>
      <w:r w:rsidR="083E664C">
        <w:t xml:space="preserve">koupila politiku a akademické myšlení Západu. </w:t>
      </w:r>
      <w:r w:rsidR="00A827AF">
        <w:t xml:space="preserve">Po šesti dnech tvoření objektivního nihilismu se může </w:t>
      </w:r>
      <w:r w:rsidR="08DD2130">
        <w:t xml:space="preserve">jedno promile blažených </w:t>
      </w:r>
      <w:r w:rsidR="08624E8B">
        <w:t xml:space="preserve">troglodytů </w:t>
      </w:r>
      <w:r w:rsidR="08B64D07">
        <w:t xml:space="preserve">pod vedením Fúriií </w:t>
      </w:r>
      <w:r w:rsidR="08DD2130">
        <w:t xml:space="preserve">odebrat na Elysejská pole svých </w:t>
      </w:r>
      <w:r w:rsidR="08BA3939">
        <w:t xml:space="preserve">virtuálních </w:t>
      </w:r>
      <w:r w:rsidR="08DD2130">
        <w:t xml:space="preserve">držav. </w:t>
      </w:r>
      <w:r w:rsidR="00A827AF">
        <w:t xml:space="preserve">Po stvoření světa v šesti dnech si Jahve šel také sedmého dne odpočinout. </w:t>
      </w:r>
      <w:r w:rsidR="0878437A">
        <w:t>A</w:t>
      </w:r>
      <w:r w:rsidR="08B329EE">
        <w:t xml:space="preserve">le na rozdíl od dnešních globálních otrokářů </w:t>
      </w:r>
      <w:r w:rsidR="00C560FE">
        <w:t>vyhlásil šabat pro všechny lidi</w:t>
      </w:r>
      <w:r w:rsidR="08DD2130">
        <w:t>.</w:t>
      </w:r>
    </w:p>
    <w:p w14:paraId="7C64CF26" w14:textId="4E14381E" w:rsidR="081C26D2" w:rsidRPr="00EE412A" w:rsidRDefault="081C26D2" w:rsidP="00C405A2">
      <w:pPr>
        <w:ind w:firstLine="397"/>
      </w:pPr>
      <w:r w:rsidRPr="00273106">
        <w:t xml:space="preserve">Dnešní </w:t>
      </w:r>
      <w:r w:rsidR="002E7E06">
        <w:t xml:space="preserve">podoba </w:t>
      </w:r>
      <w:r w:rsidRPr="00273106">
        <w:t>objektivity je dána především v planetárně vládnoucí eko</w:t>
      </w:r>
      <w:r>
        <w:t xml:space="preserve">nomii </w:t>
      </w:r>
      <w:r>
        <w:rPr>
          <w:i/>
        </w:rPr>
        <w:fldChar w:fldCharType="begin"/>
      </w:r>
      <w:r>
        <w:instrText xml:space="preserve"> XE "ekonomie" </w:instrText>
      </w:r>
      <w:r>
        <w:rPr>
          <w:i/>
        </w:rPr>
        <w:fldChar w:fldCharType="end"/>
      </w:r>
      <w:r>
        <w:t>podřízené instrumentálnímu</w:t>
      </w:r>
      <w:r w:rsidRPr="00273106">
        <w:t xml:space="preserve"> rozumu, </w:t>
      </w:r>
      <w:r>
        <w:t xml:space="preserve">který se stal </w:t>
      </w:r>
      <w:r w:rsidRPr="00273106">
        <w:t>posledním epochálním výplod</w:t>
      </w:r>
      <w:r>
        <w:t>em</w:t>
      </w:r>
      <w:r w:rsidRPr="00273106">
        <w:t xml:space="preserve"> post</w:t>
      </w:r>
      <w:r>
        <w:t xml:space="preserve">moderny. Krizi </w:t>
      </w:r>
      <w:r w:rsidRPr="00273106">
        <w:t>objektiv</w:t>
      </w:r>
      <w:r>
        <w:t>it</w:t>
      </w:r>
      <w:r w:rsidRPr="00273106">
        <w:t xml:space="preserve">y dané v nihilistické figuře rozumu </w:t>
      </w:r>
      <w:r>
        <w:t xml:space="preserve">dosvědčily </w:t>
      </w:r>
      <w:r w:rsidRPr="00273106">
        <w:t xml:space="preserve">obě světové války, </w:t>
      </w:r>
      <w:r>
        <w:t xml:space="preserve">různorodá </w:t>
      </w:r>
      <w:r w:rsidRPr="00273106">
        <w:t>kritika instrumentálního rozumu</w:t>
      </w:r>
      <w:r>
        <w:t xml:space="preserve"> </w:t>
      </w:r>
      <w:r>
        <w:fldChar w:fldCharType="begin"/>
      </w:r>
      <w:r>
        <w:instrText xml:space="preserve"> XE "</w:instrText>
      </w:r>
      <w:r w:rsidRPr="00B404FE">
        <w:instrText>intelekt:instrumentální</w:instrText>
      </w:r>
      <w:r>
        <w:instrText xml:space="preserve">" </w:instrText>
      </w:r>
      <w:r>
        <w:fldChar w:fldCharType="end"/>
      </w:r>
      <w:r w:rsidRPr="00273106">
        <w:t xml:space="preserve">podaná ve 20. století, současná krize vědy a postmoderní snaha o dekonstrukci </w:t>
      </w:r>
      <w:r>
        <w:rPr>
          <w:i/>
        </w:rPr>
        <w:fldChar w:fldCharType="begin"/>
      </w:r>
      <w:r>
        <w:instrText xml:space="preserve"> XE "dekonstrukce" </w:instrText>
      </w:r>
      <w:r>
        <w:rPr>
          <w:i/>
        </w:rPr>
        <w:fldChar w:fldCharType="end"/>
      </w:r>
      <w:r w:rsidRPr="00273106">
        <w:t xml:space="preserve">každého smyslu zakotveného metafyzicky a logocentricky. </w:t>
      </w:r>
      <w:r w:rsidR="08FF6C6F">
        <w:t>V nihilistické epoše se o</w:t>
      </w:r>
      <w:r w:rsidRPr="00273106">
        <w:t xml:space="preserve">bjektivita se </w:t>
      </w:r>
      <w:r w:rsidR="08FF6C6F" w:rsidRPr="00273106">
        <w:t xml:space="preserve">dostala </w:t>
      </w:r>
      <w:r w:rsidRPr="00273106">
        <w:t>do kritické fáze</w:t>
      </w:r>
      <w:r>
        <w:t>, kdy globálně určuje osud planety epoše přiléhavě zvané termínem „</w:t>
      </w:r>
      <w:r w:rsidRPr="086436C4">
        <w:t>antropocén</w:t>
      </w:r>
      <w:r w:rsidR="00EE412A">
        <w:t>“. V případě Aischylovy</w:t>
      </w:r>
      <w:r w:rsidR="00EE412A" w:rsidRPr="00EE412A">
        <w:t xml:space="preserve"> trilogie </w:t>
      </w:r>
      <w:r w:rsidR="00EE412A" w:rsidRPr="00EE412A">
        <w:rPr>
          <w:i/>
        </w:rPr>
        <w:t>Oresteia</w:t>
      </w:r>
      <w:r w:rsidR="00EE412A" w:rsidRPr="00EE412A">
        <w:t xml:space="preserve"> </w:t>
      </w:r>
      <w:r w:rsidR="00EE412A">
        <w:t>se jedná o scénu</w:t>
      </w:r>
      <w:r w:rsidR="00EE412A" w:rsidRPr="00EE412A">
        <w:t>, kdy je Agamemnón, vracející se domů z</w:t>
      </w:r>
      <w:r w:rsidR="00EE412A">
        <w:t> vítězné Trojské války, zabit svou ženou Klytaimné</w:t>
      </w:r>
      <w:r w:rsidR="00EE412A" w:rsidRPr="00EE412A">
        <w:t xml:space="preserve">strou a jejím milencem Aigisthem. </w:t>
      </w:r>
      <w:r w:rsidR="004F00AA">
        <w:t>Tyranská a iracionální</w:t>
      </w:r>
      <w:r w:rsidR="00E021E1">
        <w:t xml:space="preserve"> o</w:t>
      </w:r>
      <w:r w:rsidR="00EE412A" w:rsidRPr="00EE412A">
        <w:t>bjektivita je již mrtvá,</w:t>
      </w:r>
      <w:r w:rsidR="00B84D1C">
        <w:t xml:space="preserve"> což </w:t>
      </w:r>
      <w:r w:rsidR="00B60A4E">
        <w:t xml:space="preserve">vzato </w:t>
      </w:r>
      <w:r w:rsidR="00B84D1C">
        <w:t xml:space="preserve">samo o sobě </w:t>
      </w:r>
      <w:r w:rsidR="00B60A4E">
        <w:t xml:space="preserve">je </w:t>
      </w:r>
      <w:r w:rsidR="00B84D1C">
        <w:t>dobrá věc. A</w:t>
      </w:r>
      <w:r w:rsidR="00EE412A" w:rsidRPr="00EE412A">
        <w:t xml:space="preserve">le </w:t>
      </w:r>
      <w:r w:rsidR="00E021E1">
        <w:t xml:space="preserve">bohužel </w:t>
      </w:r>
      <w:r w:rsidR="00EE412A" w:rsidRPr="00EE412A">
        <w:t xml:space="preserve">na světě není dost moudrých </w:t>
      </w:r>
      <w:r w:rsidR="00EE412A">
        <w:t>světo</w:t>
      </w:r>
      <w:r w:rsidR="00EE412A" w:rsidRPr="00EE412A">
        <w:t>občanů, kteří by soud</w:t>
      </w:r>
      <w:r w:rsidR="00EE412A">
        <w:t xml:space="preserve"> na Areopagu</w:t>
      </w:r>
      <w:r w:rsidR="00EE412A" w:rsidRPr="00EE412A">
        <w:t xml:space="preserve"> uspořádali ta</w:t>
      </w:r>
      <w:r w:rsidR="00EE412A">
        <w:t>k moudře, aby akademicky vzdělané bohyně P</w:t>
      </w:r>
      <w:r w:rsidR="00EE412A" w:rsidRPr="00EE412A">
        <w:t>omsty v</w:t>
      </w:r>
      <w:r w:rsidR="008530B5">
        <w:t> </w:t>
      </w:r>
      <w:r w:rsidR="00EE412A" w:rsidRPr="00EE412A">
        <w:t>subjektivní podobě</w:t>
      </w:r>
      <w:r w:rsidR="00EE412A">
        <w:t xml:space="preserve"> konečně </w:t>
      </w:r>
      <w:r w:rsidR="00EE412A" w:rsidRPr="00EE412A">
        <w:t xml:space="preserve">poslali </w:t>
      </w:r>
      <w:r w:rsidR="00EE412A">
        <w:t xml:space="preserve">rituálně usmířené </w:t>
      </w:r>
      <w:r w:rsidR="00501D98">
        <w:t>(</w:t>
      </w:r>
      <w:r w:rsidR="00501D98">
        <w:rPr>
          <w:i/>
        </w:rPr>
        <w:t>Eumenidy</w:t>
      </w:r>
      <w:r w:rsidR="00501D98">
        <w:t xml:space="preserve">) </w:t>
      </w:r>
      <w:r w:rsidR="00EE412A">
        <w:t>na onen svět</w:t>
      </w:r>
      <w:r w:rsidR="00EE412A" w:rsidRPr="00EE412A">
        <w:t>.</w:t>
      </w:r>
      <w:r w:rsidR="00EE412A">
        <w:t xml:space="preserve"> </w:t>
      </w:r>
      <w:r w:rsidR="00113A2A">
        <w:t xml:space="preserve">Tyto démonické síly napojené na současné tyrany si také dnes zaslouží </w:t>
      </w:r>
      <w:r w:rsidR="00B16A8C">
        <w:t xml:space="preserve">ve filosofické Attice </w:t>
      </w:r>
      <w:r w:rsidR="00113A2A">
        <w:t xml:space="preserve">svůj chrám a kult, protože jsou globálně nebezpečné. </w:t>
      </w:r>
      <w:r w:rsidR="00604EB0">
        <w:t>Kritická h</w:t>
      </w:r>
      <w:r>
        <w:t xml:space="preserve">ermeneutika </w:t>
      </w:r>
      <w:r w:rsidR="00604EB0">
        <w:t xml:space="preserve">stojí v epoše </w:t>
      </w:r>
      <w:r w:rsidR="00604EB0">
        <w:lastRenderedPageBreak/>
        <w:t xml:space="preserve">objektivní </w:t>
      </w:r>
      <w:r w:rsidR="00604EB0" w:rsidRPr="087468CE">
        <w:rPr>
          <w:i/>
        </w:rPr>
        <w:t>Irre</w:t>
      </w:r>
      <w:r w:rsidR="00604EB0">
        <w:t xml:space="preserve"> a </w:t>
      </w:r>
      <w:r w:rsidR="00604EB0" w:rsidRPr="087468CE">
        <w:rPr>
          <w:i/>
        </w:rPr>
        <w:t>Irrtum</w:t>
      </w:r>
      <w:r w:rsidR="00F17215">
        <w:t xml:space="preserve">; </w:t>
      </w:r>
      <w:r w:rsidR="00604EB0">
        <w:t>proto musí sledovat</w:t>
      </w:r>
      <w:r>
        <w:t xml:space="preserve"> původní cestu filosofické moudrosti</w:t>
      </w:r>
      <w:r w:rsidR="00604EB0">
        <w:t xml:space="preserve"> a </w:t>
      </w:r>
      <w:r w:rsidR="00F17215">
        <w:t xml:space="preserve">tím </w:t>
      </w:r>
      <w:r w:rsidR="00BD0837">
        <w:t xml:space="preserve">i </w:t>
      </w:r>
      <w:r w:rsidR="00604EB0">
        <w:t xml:space="preserve">řešit </w:t>
      </w:r>
      <w:r w:rsidRPr="00273106">
        <w:t xml:space="preserve">otázku </w:t>
      </w:r>
      <w:r w:rsidR="00604EB0">
        <w:t xml:space="preserve">po </w:t>
      </w:r>
      <w:r w:rsidRPr="00273106">
        <w:t>původní pravdivosti a smyslu</w:t>
      </w:r>
      <w:r>
        <w:t xml:space="preserve"> objektivity</w:t>
      </w:r>
      <w:r w:rsidRPr="00273106">
        <w:t>.</w:t>
      </w:r>
    </w:p>
    <w:p w14:paraId="426BCDDB" w14:textId="77777777" w:rsidR="08667A19" w:rsidRDefault="08667A19" w:rsidP="082C4F27"/>
    <w:p w14:paraId="3CC51783" w14:textId="77777777" w:rsidR="00202CCD" w:rsidRPr="00273106" w:rsidRDefault="004B659A" w:rsidP="00490A9F">
      <w:pPr>
        <w:pStyle w:val="Nadpis1"/>
      </w:pPr>
      <w:r w:rsidRPr="00273106">
        <w:br w:type="page"/>
      </w:r>
      <w:bookmarkStart w:id="10" w:name="_Toc487234287"/>
      <w:bookmarkStart w:id="11" w:name="_Toc12558294"/>
      <w:bookmarkStart w:id="12" w:name="_Toc160449306"/>
      <w:r w:rsidR="08D20D28">
        <w:rPr>
          <w:lang w:val="cs-CZ"/>
        </w:rPr>
        <w:lastRenderedPageBreak/>
        <w:t>1</w:t>
      </w:r>
      <w:r w:rsidR="00D818E9" w:rsidRPr="00273106">
        <w:t xml:space="preserve">. </w:t>
      </w:r>
      <w:r w:rsidR="00587CFD" w:rsidRPr="00273106">
        <w:t xml:space="preserve">Dvojí </w:t>
      </w:r>
      <w:r w:rsidR="00B14EDC" w:rsidRPr="00273106">
        <w:t xml:space="preserve">pojetí pravdy </w:t>
      </w:r>
      <w:r w:rsidR="00587CFD" w:rsidRPr="00273106">
        <w:t xml:space="preserve">a intelektu </w:t>
      </w:r>
      <w:r w:rsidR="08D20D28">
        <w:t>(Matrice I</w:t>
      </w:r>
      <w:r w:rsidRPr="00273106">
        <w:t>)</w:t>
      </w:r>
      <w:bookmarkEnd w:id="10"/>
      <w:bookmarkEnd w:id="11"/>
      <w:bookmarkEnd w:id="12"/>
    </w:p>
    <w:p w14:paraId="157E1E1A" w14:textId="77777777" w:rsidR="002B1AB2" w:rsidRDefault="008F2CF4" w:rsidP="00A34975">
      <w:r w:rsidRPr="00273106">
        <w:t>Triáda</w:t>
      </w:r>
      <w:r>
        <w:fldChar w:fldCharType="begin"/>
      </w:r>
      <w:r>
        <w:instrText xml:space="preserve"> XE "</w:instrText>
      </w:r>
      <w:r w:rsidRPr="008F223F">
        <w:instrText>hermeneutická triáda</w:instrText>
      </w:r>
      <w:r>
        <w:instrText xml:space="preserve">" </w:instrText>
      </w:r>
      <w:r>
        <w:fldChar w:fldCharType="end"/>
      </w:r>
      <w:r w:rsidR="085427C6">
        <w:t xml:space="preserve"> </w:t>
      </w:r>
      <w:r w:rsidRPr="00273106">
        <w:t>dějinnost</w:t>
      </w:r>
      <w:r w:rsidR="085427C6">
        <w:t xml:space="preserve">i, </w:t>
      </w:r>
      <w:r w:rsidRPr="00273106">
        <w:t>dějin</w:t>
      </w:r>
      <w:r w:rsidR="085427C6">
        <w:t xml:space="preserve"> a </w:t>
      </w:r>
      <w:r w:rsidRPr="00273106">
        <w:t>historie</w:t>
      </w:r>
      <w:r w:rsidR="085427C6">
        <w:t xml:space="preserve"> </w:t>
      </w:r>
      <w:r w:rsidRPr="00273106">
        <w:t xml:space="preserve">dostala nový význam po </w:t>
      </w:r>
      <w:r w:rsidR="002E3B62">
        <w:t>Averroes</w:t>
      </w:r>
      <w:r w:rsidRPr="00273106">
        <w:t xml:space="preserve">ově </w:t>
      </w:r>
      <w:r w:rsidRPr="00273106">
        <w:rPr>
          <w:i/>
        </w:rPr>
        <w:t>epoché</w:t>
      </w:r>
      <w:r>
        <w:rPr>
          <w:i/>
        </w:rPr>
        <w:fldChar w:fldCharType="begin"/>
      </w:r>
      <w:r>
        <w:instrText xml:space="preserve"> XE "</w:instrText>
      </w:r>
      <w:r w:rsidRPr="001B0D03">
        <w:rPr>
          <w:i/>
        </w:rPr>
        <w:instrText>epoché</w:instrText>
      </w:r>
      <w:r>
        <w:instrText xml:space="preserve">" </w:instrText>
      </w:r>
      <w:r>
        <w:rPr>
          <w:i/>
        </w:rPr>
        <w:fldChar w:fldCharType="end"/>
      </w:r>
      <w:r w:rsidRPr="00273106">
        <w:t xml:space="preserve"> od neoplatonismu srovnatelné co do dějinného působení </w:t>
      </w:r>
      <w:r w:rsidR="08870330">
        <w:t xml:space="preserve">pouze </w:t>
      </w:r>
      <w:r w:rsidRPr="00273106">
        <w:t xml:space="preserve">s proměnou danou skrze </w:t>
      </w:r>
      <w:r w:rsidR="08064393">
        <w:t xml:space="preserve">Avicennovo objektivní </w:t>
      </w:r>
      <w:r w:rsidRPr="00273106">
        <w:t>ideové vidění světa.</w:t>
      </w:r>
      <w:r>
        <w:t xml:space="preserve"> </w:t>
      </w:r>
      <w:r w:rsidR="0099381E" w:rsidRPr="00273106">
        <w:t xml:space="preserve">První matrice objektivity analyzovala specifický modus </w:t>
      </w:r>
      <w:r w:rsidR="0099381E" w:rsidRPr="00273106">
        <w:rPr>
          <w:i/>
        </w:rPr>
        <w:t>Seinsvergessenheit</w:t>
      </w:r>
      <w:r w:rsidR="0099381E">
        <w:rPr>
          <w:i/>
        </w:rPr>
        <w:fldChar w:fldCharType="begin"/>
      </w:r>
      <w:r w:rsidR="0099381E">
        <w:instrText xml:space="preserve"> XE "</w:instrText>
      </w:r>
      <w:r w:rsidR="0099381E" w:rsidRPr="003B3CCF">
        <w:rPr>
          <w:i/>
        </w:rPr>
        <w:instrText>Seinsvergessenheit</w:instrText>
      </w:r>
      <w:r w:rsidR="0099381E">
        <w:instrText xml:space="preserve">" </w:instrText>
      </w:r>
      <w:r w:rsidR="0099381E">
        <w:rPr>
          <w:i/>
        </w:rPr>
        <w:fldChar w:fldCharType="end"/>
      </w:r>
      <w:r w:rsidR="005D3742">
        <w:t xml:space="preserve"> první substance, </w:t>
      </w:r>
      <w:r w:rsidR="0099381E">
        <w:t>který Averroe</w:t>
      </w:r>
      <w:r w:rsidR="0099381E" w:rsidRPr="00273106">
        <w:t xml:space="preserve">s </w:t>
      </w:r>
      <w:r w:rsidR="00693830">
        <w:t xml:space="preserve">kritizoval </w:t>
      </w:r>
      <w:r w:rsidR="0099381E" w:rsidRPr="00273106">
        <w:t xml:space="preserve">u Avicenny. </w:t>
      </w:r>
      <w:r w:rsidR="08C31664">
        <w:t>Jeho m</w:t>
      </w:r>
      <w:r w:rsidR="0099381E">
        <w:t xml:space="preserve">etafyzika </w:t>
      </w:r>
      <w:r w:rsidR="08A85D3C">
        <w:t>nasvítila cel</w:t>
      </w:r>
      <w:r w:rsidR="08C31664">
        <w:t xml:space="preserve">ek jsoucna zezadu skrze </w:t>
      </w:r>
      <w:r w:rsidR="00346578" w:rsidRPr="00273106">
        <w:rPr>
          <w:i/>
        </w:rPr>
        <w:t>intellectus agens</w:t>
      </w:r>
      <w:r w:rsidR="08C31664">
        <w:t xml:space="preserve"> </w:t>
      </w:r>
      <w:r w:rsidR="00346578" w:rsidRPr="00273106">
        <w:t>kosmických sfé</w:t>
      </w:r>
      <w:r w:rsidR="004D570A">
        <w:t>r</w:t>
      </w:r>
      <w:r w:rsidR="08C31664">
        <w:t xml:space="preserve">, který </w:t>
      </w:r>
      <w:r w:rsidR="089A2EBD">
        <w:t>vytváří díky spojení s naší poznávací schopností novou</w:t>
      </w:r>
      <w:r w:rsidR="08C31664">
        <w:t xml:space="preserve"> </w:t>
      </w:r>
      <w:r w:rsidR="089A2EBD">
        <w:t>formu</w:t>
      </w:r>
      <w:r w:rsidR="08C31664">
        <w:t xml:space="preserve"> objektivního poznání v aktu </w:t>
      </w:r>
      <w:r w:rsidR="00346578" w:rsidRPr="00273106">
        <w:rPr>
          <w:i/>
        </w:rPr>
        <w:t>intellectus adeptus</w:t>
      </w:r>
      <w:r w:rsidR="006F022D">
        <w:rPr>
          <w:rStyle w:val="Zkladntext1"/>
          <w:rFonts w:ascii="Calibri" w:eastAsia="Times" w:hAnsi="Calibri"/>
          <w:i/>
          <w:spacing w:val="0"/>
          <w:sz w:val="21"/>
          <w:u w:val="none"/>
          <w:lang w:val="cs-CZ"/>
        </w:rPr>
        <w:fldChar w:fldCharType="begin"/>
      </w:r>
      <w:r w:rsidR="006F022D">
        <w:instrText xml:space="preserve"> XE "zjevování:nasvícení zezadu" </w:instrText>
      </w:r>
      <w:r w:rsidR="006F022D">
        <w:rPr>
          <w:rStyle w:val="Zkladntext1"/>
          <w:rFonts w:ascii="Calibri" w:eastAsia="Times" w:hAnsi="Calibri"/>
          <w:i/>
          <w:spacing w:val="0"/>
          <w:sz w:val="21"/>
          <w:u w:val="none"/>
          <w:lang w:val="cs-CZ"/>
        </w:rPr>
        <w:fldChar w:fldCharType="end"/>
      </w:r>
      <w:r w:rsidR="00791440">
        <w:t xml:space="preserve">. </w:t>
      </w:r>
      <w:r w:rsidR="082057D2">
        <w:t>Komentátor</w:t>
      </w:r>
      <w:r w:rsidR="00C41985" w:rsidRPr="00273106">
        <w:t xml:space="preserve"> dosvědčil zapomenutí smyslu jso</w:t>
      </w:r>
      <w:r w:rsidR="00E43330">
        <w:t xml:space="preserve">ucího u Avicenny výkladem jeho </w:t>
      </w:r>
      <w:r w:rsidR="00C41985" w:rsidRPr="00273106">
        <w:rPr>
          <w:i/>
        </w:rPr>
        <w:t>obscurity</w:t>
      </w:r>
      <w:r w:rsidR="00B86F73">
        <w:rPr>
          <w:i/>
        </w:rPr>
        <w:fldChar w:fldCharType="begin"/>
      </w:r>
      <w:r w:rsidR="00B86F73">
        <w:instrText xml:space="preserve"> XE "</w:instrText>
      </w:r>
      <w:r w:rsidR="00B86F73" w:rsidRPr="000E608A">
        <w:instrText>zatmění:substance</w:instrText>
      </w:r>
      <w:r w:rsidR="00B86F73">
        <w:instrText xml:space="preserve">" </w:instrText>
      </w:r>
      <w:r w:rsidR="00B86F73">
        <w:rPr>
          <w:i/>
        </w:rPr>
        <w:fldChar w:fldCharType="end"/>
      </w:r>
      <w:r w:rsidR="00C41985" w:rsidRPr="00273106">
        <w:t xml:space="preserve"> a předal Západu nové pojetí metafyziky a poznání. </w:t>
      </w:r>
      <w:r w:rsidR="00A65ED2" w:rsidRPr="00273106">
        <w:t xml:space="preserve">Gigantomachie falsafy vytvořila </w:t>
      </w:r>
      <w:r w:rsidR="00852912">
        <w:t xml:space="preserve">první </w:t>
      </w:r>
      <w:r w:rsidR="08236C26">
        <w:t xml:space="preserve">matrici objektivity tím, že </w:t>
      </w:r>
      <w:r w:rsidR="08587A4A">
        <w:t xml:space="preserve">dějinně daná </w:t>
      </w:r>
      <w:r w:rsidR="00A65ED2" w:rsidRPr="00273106">
        <w:t xml:space="preserve">odhalenost </w:t>
      </w:r>
      <w:r w:rsidR="08587A4A" w:rsidRPr="00273106">
        <w:t>(</w:t>
      </w:r>
      <w:r w:rsidR="08587A4A">
        <w:rPr>
          <w:i/>
        </w:rPr>
        <w:t>a</w:t>
      </w:r>
      <w:r w:rsidR="08587A4A" w:rsidRPr="00273106">
        <w:rPr>
          <w:i/>
        </w:rPr>
        <w:t>létheia</w:t>
      </w:r>
      <w:r w:rsidR="08587A4A">
        <w:rPr>
          <w:i/>
        </w:rPr>
        <w:fldChar w:fldCharType="begin"/>
      </w:r>
      <w:r w:rsidR="08587A4A">
        <w:instrText xml:space="preserve"> XE "</w:instrText>
      </w:r>
      <w:r w:rsidR="08587A4A" w:rsidRPr="08937E60">
        <w:rPr>
          <w:i/>
          <w:lang w:eastAsia="en-US"/>
        </w:rPr>
        <w:instrText>a/létheia</w:instrText>
      </w:r>
      <w:r w:rsidR="08587A4A">
        <w:instrText xml:space="preserve">" </w:instrText>
      </w:r>
      <w:r w:rsidR="08587A4A">
        <w:rPr>
          <w:i/>
        </w:rPr>
        <w:fldChar w:fldCharType="end"/>
      </w:r>
      <w:r w:rsidR="08587A4A" w:rsidRPr="00273106">
        <w:t xml:space="preserve">) </w:t>
      </w:r>
      <w:r w:rsidR="00A65ED2" w:rsidRPr="00273106">
        <w:t xml:space="preserve">první substance dostala </w:t>
      </w:r>
      <w:r w:rsidR="00D90F8F" w:rsidRPr="00273106">
        <w:t xml:space="preserve">obě určení. </w:t>
      </w:r>
      <w:r w:rsidR="08427980" w:rsidRPr="00273106">
        <w:rPr>
          <w:rStyle w:val="Zkladntext158dkovn0pt"/>
          <w:color w:val="auto"/>
          <w:spacing w:val="0"/>
          <w:sz w:val="24"/>
          <w:lang w:val="cs-CZ"/>
        </w:rPr>
        <w:t xml:space="preserve">Aristotelova metafyzika dostala </w:t>
      </w:r>
      <w:r w:rsidR="08427980">
        <w:rPr>
          <w:rStyle w:val="Zkladntext158dkovn0pt"/>
          <w:color w:val="auto"/>
          <w:spacing w:val="0"/>
          <w:sz w:val="24"/>
          <w:lang w:val="cs-CZ"/>
        </w:rPr>
        <w:t xml:space="preserve">skrze Avicennovu metafyziku objektivní </w:t>
      </w:r>
      <w:r w:rsidR="08427980" w:rsidRPr="00273106">
        <w:rPr>
          <w:rStyle w:val="Zkladntext158dkovn0pt"/>
          <w:color w:val="auto"/>
          <w:spacing w:val="0"/>
          <w:sz w:val="24"/>
          <w:lang w:val="cs-CZ"/>
        </w:rPr>
        <w:t>formu</w:t>
      </w:r>
      <w:r w:rsidR="0890119C">
        <w:rPr>
          <w:rStyle w:val="Zkladntext158dkovn0pt"/>
          <w:color w:val="auto"/>
          <w:spacing w:val="0"/>
          <w:sz w:val="24"/>
          <w:lang w:val="cs-CZ"/>
        </w:rPr>
        <w:t>. T</w:t>
      </w:r>
      <w:r w:rsidR="08427980" w:rsidRPr="00273106">
        <w:rPr>
          <w:rStyle w:val="Zkladntext158dkovn0pt"/>
          <w:color w:val="auto"/>
          <w:spacing w:val="0"/>
          <w:sz w:val="24"/>
          <w:lang w:val="cs-CZ"/>
        </w:rPr>
        <w:t xml:space="preserve">ato událost myšlení a bytí změnila dějiny Západu. </w:t>
      </w:r>
      <w:r w:rsidR="083E04AD">
        <w:rPr>
          <w:rStyle w:val="Zkladntext158dkovn0pt"/>
          <w:color w:val="auto"/>
          <w:spacing w:val="0"/>
          <w:sz w:val="24"/>
          <w:lang w:val="cs-CZ"/>
        </w:rPr>
        <w:t>O</w:t>
      </w:r>
      <w:r w:rsidR="08427980" w:rsidRPr="00273106">
        <w:rPr>
          <w:lang w:eastAsia="en-US"/>
        </w:rPr>
        <w:t>dkr</w:t>
      </w:r>
      <w:r w:rsidR="083E04AD">
        <w:rPr>
          <w:lang w:eastAsia="en-US"/>
        </w:rPr>
        <w:t>ytost bytí jsoucna daná v rámci</w:t>
      </w:r>
      <w:r w:rsidR="082853B2">
        <w:rPr>
          <w:lang w:eastAsia="en-US"/>
        </w:rPr>
        <w:t xml:space="preserve"> </w:t>
      </w:r>
      <w:r w:rsidR="08427980">
        <w:rPr>
          <w:lang w:eastAsia="en-US"/>
        </w:rPr>
        <w:t xml:space="preserve">falsafy </w:t>
      </w:r>
      <w:r w:rsidR="08427980" w:rsidRPr="00273106">
        <w:rPr>
          <w:lang w:eastAsia="en-US"/>
        </w:rPr>
        <w:t xml:space="preserve">založila novou </w:t>
      </w:r>
      <w:r w:rsidR="08427980" w:rsidRPr="00273106">
        <w:t>událost bytí jsoucího (</w:t>
      </w:r>
      <w:r w:rsidR="08427980" w:rsidRPr="00273106">
        <w:rPr>
          <w:i/>
        </w:rPr>
        <w:t>Ereignis</w:t>
      </w:r>
      <w:r w:rsidR="08427980">
        <w:rPr>
          <w:i/>
        </w:rPr>
        <w:fldChar w:fldCharType="begin"/>
      </w:r>
      <w:r w:rsidR="08427980">
        <w:instrText xml:space="preserve"> XE "</w:instrText>
      </w:r>
      <w:r w:rsidR="08427980" w:rsidRPr="00120BB2">
        <w:rPr>
          <w:i/>
        </w:rPr>
        <w:instrText>Ereignis</w:instrText>
      </w:r>
      <w:r w:rsidR="08427980">
        <w:instrText xml:space="preserve">" </w:instrText>
      </w:r>
      <w:r w:rsidR="08427980">
        <w:rPr>
          <w:i/>
        </w:rPr>
        <w:fldChar w:fldCharType="end"/>
      </w:r>
      <w:r w:rsidR="0890119C">
        <w:t xml:space="preserve">). Nová metafyzika substance </w:t>
      </w:r>
      <w:r w:rsidR="08427980" w:rsidRPr="00273106">
        <w:t xml:space="preserve">vedla jak k objektivistickému zakrývání bytí jsoucna v pozdější </w:t>
      </w:r>
      <w:r w:rsidR="08427980">
        <w:rPr>
          <w:i/>
        </w:rPr>
        <w:t>via M</w:t>
      </w:r>
      <w:r w:rsidR="08427980" w:rsidRPr="00273106">
        <w:rPr>
          <w:i/>
        </w:rPr>
        <w:t>odernorum</w:t>
      </w:r>
      <w:r w:rsidR="08427980" w:rsidRPr="00273106">
        <w:t xml:space="preserve"> moderních avice</w:t>
      </w:r>
      <w:r w:rsidR="08427980">
        <w:t>n</w:t>
      </w:r>
      <w:r w:rsidR="08427980" w:rsidRPr="00273106">
        <w:t>nistů, tak i k realistickému odkrývání smyslu jsoucího ve filosofii následovníků Aver</w:t>
      </w:r>
      <w:r w:rsidR="08427980">
        <w:t>roe</w:t>
      </w:r>
      <w:r w:rsidR="08427980" w:rsidRPr="00273106">
        <w:t>se.</w:t>
      </w:r>
      <w:r w:rsidR="08427980">
        <w:t xml:space="preserve"> </w:t>
      </w:r>
      <w:r w:rsidR="00D90F8F" w:rsidRPr="00273106">
        <w:t>Následující epocha z</w:t>
      </w:r>
      <w:r w:rsidR="00DD280C">
        <w:rPr>
          <w:rFonts w:cs="Brill-Roman"/>
        </w:rPr>
        <w:t xml:space="preserve">ápadní metafyziky exponuje </w:t>
      </w:r>
      <w:r w:rsidR="00C84200">
        <w:rPr>
          <w:rFonts w:cs="Brill-Roman"/>
        </w:rPr>
        <w:t xml:space="preserve">jak </w:t>
      </w:r>
      <w:r w:rsidR="005B52DD" w:rsidRPr="00273106">
        <w:t>bytí jsoucna</w:t>
      </w:r>
      <w:r w:rsidR="00DD280C">
        <w:t xml:space="preserve"> </w:t>
      </w:r>
      <w:r w:rsidR="00034B38">
        <w:t>podle Averroe</w:t>
      </w:r>
      <w:r w:rsidR="00DD280C">
        <w:t>se</w:t>
      </w:r>
      <w:r w:rsidR="00A65ED2" w:rsidRPr="00273106">
        <w:t xml:space="preserve">, tak i původní formu </w:t>
      </w:r>
      <w:r w:rsidR="08103E52">
        <w:t xml:space="preserve">metafyzického </w:t>
      </w:r>
      <w:r w:rsidR="00A65ED2" w:rsidRPr="00273106">
        <w:rPr>
          <w:i/>
        </w:rPr>
        <w:t>Irrtum</w:t>
      </w:r>
      <w:r w:rsidR="00A65ED2" w:rsidRPr="00273106">
        <w:t xml:space="preserve"> daného zatměn</w:t>
      </w:r>
      <w:r w:rsidR="00DD280C">
        <w:t>ím první substance u Avicenny</w:t>
      </w:r>
      <w:r w:rsidR="00642450">
        <w:t>.</w:t>
      </w:r>
      <w:r w:rsidR="00D92799">
        <w:t xml:space="preserve"> Tento spor přebírá latinská scholastika</w:t>
      </w:r>
      <w:r w:rsidR="00034B38">
        <w:t>, protože čte Aristotela a Plato</w:t>
      </w:r>
      <w:r w:rsidR="00D92799">
        <w:t xml:space="preserve">na skrze oba geniální komentátory falsafy. </w:t>
      </w:r>
      <w:r w:rsidR="08103E52">
        <w:t>Současná gigantomachie o substanci</w:t>
      </w:r>
      <w:r w:rsidR="08A42A81">
        <w:rPr>
          <w:i/>
        </w:rPr>
        <w:fldChar w:fldCharType="begin"/>
      </w:r>
      <w:r w:rsidR="08A42A81">
        <w:instrText xml:space="preserve"> XE "metafyzika:gigantomachie" </w:instrText>
      </w:r>
      <w:r w:rsidR="08A42A81">
        <w:rPr>
          <w:i/>
        </w:rPr>
        <w:fldChar w:fldCharType="end"/>
      </w:r>
      <w:r w:rsidR="08103E52">
        <w:t xml:space="preserve"> je dána mezi avicennistickou fenomenologií Husserla a mezi existenciá</w:t>
      </w:r>
      <w:r w:rsidR="002B1AB2">
        <w:t>lním aristotelismem Heideggera.</w:t>
      </w:r>
    </w:p>
    <w:p w14:paraId="7023C4F8" w14:textId="311E67D3" w:rsidR="00A34975" w:rsidRPr="00273106" w:rsidRDefault="0890119C" w:rsidP="002B1AB2">
      <w:pPr>
        <w:ind w:firstLine="397"/>
        <w:rPr>
          <w:lang w:eastAsia="en-US"/>
        </w:rPr>
      </w:pPr>
      <w:r>
        <w:t xml:space="preserve">První </w:t>
      </w:r>
      <w:r w:rsidR="008154B7">
        <w:t xml:space="preserve">matrice </w:t>
      </w:r>
      <w:r w:rsidR="00642450">
        <w:t>musí vyložit</w:t>
      </w:r>
      <w:r w:rsidR="008154B7">
        <w:t xml:space="preserve"> první formu gigantomachie o substanci na latinském Západě</w:t>
      </w:r>
      <w:r w:rsidR="00F45199">
        <w:t xml:space="preserve">, kterou v </w:t>
      </w:r>
      <w:r w:rsidR="008B6EFA">
        <w:t xml:space="preserve">úvodní </w:t>
      </w:r>
      <w:r w:rsidR="00F45199">
        <w:t>fázi determinuje Avicennova metafyzika</w:t>
      </w:r>
      <w:r w:rsidR="008154B7">
        <w:t xml:space="preserve">. </w:t>
      </w:r>
      <w:r w:rsidR="00A34975" w:rsidRPr="00273106">
        <w:rPr>
          <w:lang w:eastAsia="en-US"/>
        </w:rPr>
        <w:t xml:space="preserve">Hermeneutika objektivity </w:t>
      </w:r>
      <w:r w:rsidR="00CF26AF" w:rsidRPr="00273106">
        <w:rPr>
          <w:lang w:eastAsia="en-US"/>
        </w:rPr>
        <w:t>rozlišuje</w:t>
      </w:r>
      <w:r w:rsidR="00D0488B" w:rsidRPr="00273106">
        <w:rPr>
          <w:lang w:eastAsia="en-US"/>
        </w:rPr>
        <w:t xml:space="preserve"> </w:t>
      </w:r>
      <w:r w:rsidR="08144DB3">
        <w:rPr>
          <w:lang w:eastAsia="en-US"/>
        </w:rPr>
        <w:t xml:space="preserve">v rané scholastice </w:t>
      </w:r>
      <w:r w:rsidR="00D0488B" w:rsidRPr="00273106">
        <w:rPr>
          <w:lang w:eastAsia="en-US"/>
        </w:rPr>
        <w:t xml:space="preserve">dvě </w:t>
      </w:r>
      <w:r w:rsidR="00A34975" w:rsidRPr="00273106">
        <w:rPr>
          <w:lang w:eastAsia="en-US"/>
        </w:rPr>
        <w:t>fáze vývoje</w:t>
      </w:r>
      <w:r w:rsidR="0032511C" w:rsidRPr="00273106">
        <w:rPr>
          <w:lang w:eastAsia="en-US"/>
        </w:rPr>
        <w:t xml:space="preserve"> </w:t>
      </w:r>
      <w:r w:rsidR="003403B8" w:rsidRPr="00273106">
        <w:rPr>
          <w:lang w:eastAsia="en-US"/>
        </w:rPr>
        <w:t>uz</w:t>
      </w:r>
      <w:r w:rsidR="0081005C" w:rsidRPr="00273106">
        <w:rPr>
          <w:lang w:eastAsia="en-US"/>
        </w:rPr>
        <w:t>av</w:t>
      </w:r>
      <w:r w:rsidR="003403B8" w:rsidRPr="00273106">
        <w:rPr>
          <w:lang w:eastAsia="en-US"/>
        </w:rPr>
        <w:t xml:space="preserve">řené vydáním </w:t>
      </w:r>
      <w:r w:rsidR="003403B8" w:rsidRPr="00273106">
        <w:t xml:space="preserve">Blundova průkopnického díla </w:t>
      </w:r>
      <w:r w:rsidR="003403B8" w:rsidRPr="00273106">
        <w:rPr>
          <w:i/>
        </w:rPr>
        <w:t>Tractatus de anima</w:t>
      </w:r>
      <w:r w:rsidR="003403B8" w:rsidRPr="00273106">
        <w:t xml:space="preserve"> (kolem </w:t>
      </w:r>
      <w:r w:rsidR="00A86AD6">
        <w:t xml:space="preserve">roku </w:t>
      </w:r>
      <w:r w:rsidR="003403B8" w:rsidRPr="00273106">
        <w:t>1200)</w:t>
      </w:r>
      <w:r w:rsidR="00A34975" w:rsidRPr="00273106">
        <w:rPr>
          <w:lang w:eastAsia="en-US"/>
        </w:rPr>
        <w:t xml:space="preserve">. </w:t>
      </w:r>
      <w:r w:rsidR="00CF26AF" w:rsidRPr="00273106">
        <w:rPr>
          <w:lang w:eastAsia="en-US"/>
        </w:rPr>
        <w:t xml:space="preserve">První fáze </w:t>
      </w:r>
      <w:r w:rsidR="081926C4" w:rsidRPr="00273106">
        <w:rPr>
          <w:lang w:eastAsia="en-US"/>
        </w:rPr>
        <w:t xml:space="preserve">sporu o správně pochopený aristotelismus </w:t>
      </w:r>
      <w:r w:rsidR="00B47CBE" w:rsidRPr="00273106">
        <w:rPr>
          <w:lang w:eastAsia="en-US"/>
        </w:rPr>
        <w:t xml:space="preserve">zkoumá kategoriální predikaci </w:t>
      </w:r>
      <w:r w:rsidR="00A34975" w:rsidRPr="00273106">
        <w:rPr>
          <w:lang w:eastAsia="en-US"/>
        </w:rPr>
        <w:t>v rám</w:t>
      </w:r>
      <w:r w:rsidR="088543CF" w:rsidRPr="00273106">
        <w:rPr>
          <w:lang w:eastAsia="en-US"/>
        </w:rPr>
        <w:t>ci gramatiky a logiky</w:t>
      </w:r>
      <w:r w:rsidR="00B47CBE" w:rsidRPr="00273106">
        <w:rPr>
          <w:lang w:eastAsia="en-US"/>
        </w:rPr>
        <w:t xml:space="preserve"> </w:t>
      </w:r>
      <w:r w:rsidR="087D2ABC">
        <w:rPr>
          <w:lang w:eastAsia="en-US"/>
        </w:rPr>
        <w:t xml:space="preserve">rané scholastiky </w:t>
      </w:r>
      <w:r w:rsidR="00B47CBE" w:rsidRPr="00273106">
        <w:rPr>
          <w:lang w:eastAsia="en-US"/>
        </w:rPr>
        <w:t>ovlivněné buď neoplatonismem nebo aristotelismem</w:t>
      </w:r>
      <w:r w:rsidR="003A3CCC" w:rsidRPr="00273106">
        <w:rPr>
          <w:lang w:eastAsia="en-US"/>
        </w:rPr>
        <w:t>.</w:t>
      </w:r>
      <w:r w:rsidR="088543CF" w:rsidRPr="00273106">
        <w:rPr>
          <w:lang w:eastAsia="en-US"/>
        </w:rPr>
        <w:t xml:space="preserve"> </w:t>
      </w:r>
      <w:r w:rsidR="00CB3E4F">
        <w:rPr>
          <w:lang w:eastAsia="en-US"/>
        </w:rPr>
        <w:t>Abélard</w:t>
      </w:r>
      <w:r w:rsidR="009F0CEF">
        <w:rPr>
          <w:lang w:eastAsia="en-US"/>
        </w:rPr>
        <w:fldChar w:fldCharType="begin"/>
      </w:r>
      <w:r w:rsidR="009F0CEF">
        <w:instrText xml:space="preserve"> XE "</w:instrText>
      </w:r>
      <w:r w:rsidR="009F0CEF" w:rsidRPr="00B55443">
        <w:rPr>
          <w:lang w:eastAsia="en-US"/>
        </w:rPr>
        <w:instrText>Abelard:</w:instrText>
      </w:r>
      <w:r w:rsidR="009F0CEF" w:rsidRPr="00B55443">
        <w:instrText xml:space="preserve">viz </w:instrText>
      </w:r>
      <w:r w:rsidR="009F0CEF" w:rsidRPr="009F0CEF">
        <w:rPr>
          <w:i/>
        </w:rPr>
        <w:instrText>Index locorum</w:instrText>
      </w:r>
      <w:r w:rsidR="009F0CEF">
        <w:instrText xml:space="preserve">" </w:instrText>
      </w:r>
      <w:r w:rsidR="009F0CEF">
        <w:rPr>
          <w:lang w:eastAsia="en-US"/>
        </w:rPr>
        <w:fldChar w:fldCharType="end"/>
      </w:r>
      <w:r w:rsidR="009D196F" w:rsidRPr="00273106">
        <w:rPr>
          <w:lang w:eastAsia="en-US"/>
        </w:rPr>
        <w:t xml:space="preserve"> nekompromisně hájí určení pravdy </w:t>
      </w:r>
      <w:r w:rsidR="009D196F">
        <w:rPr>
          <w:lang w:eastAsia="en-US"/>
        </w:rPr>
        <w:t xml:space="preserve">jako adekvace </w:t>
      </w:r>
      <w:r w:rsidR="009D196F" w:rsidRPr="00273106">
        <w:rPr>
          <w:lang w:eastAsia="en-US"/>
        </w:rPr>
        <w:t xml:space="preserve">podle </w:t>
      </w:r>
      <w:r w:rsidR="08E86B67">
        <w:rPr>
          <w:lang w:eastAsia="en-US"/>
        </w:rPr>
        <w:t xml:space="preserve">latinského překladu aristotelského Korpusu </w:t>
      </w:r>
      <w:r w:rsidR="00B74AF8">
        <w:rPr>
          <w:lang w:eastAsia="en-US"/>
        </w:rPr>
        <w:t>předaného Boethiem</w:t>
      </w:r>
      <w:r w:rsidR="009D196F" w:rsidRPr="00273106">
        <w:rPr>
          <w:lang w:eastAsia="en-US"/>
        </w:rPr>
        <w:t xml:space="preserve">. </w:t>
      </w:r>
      <w:r w:rsidR="00701FF1" w:rsidRPr="00273106">
        <w:rPr>
          <w:lang w:eastAsia="en-US"/>
        </w:rPr>
        <w:t>Neoplatonismus repreze</w:t>
      </w:r>
      <w:r w:rsidR="002F29C3">
        <w:rPr>
          <w:lang w:eastAsia="en-US"/>
        </w:rPr>
        <w:t>ntuje Anselm z Canterbury</w:t>
      </w:r>
      <w:r w:rsidR="00631197">
        <w:rPr>
          <w:lang w:eastAsia="en-US"/>
        </w:rPr>
        <w:fldChar w:fldCharType="begin"/>
      </w:r>
      <w:r w:rsidR="00631197">
        <w:instrText xml:space="preserve"> XE </w:instrText>
      </w:r>
      <w:r w:rsidR="00631197">
        <w:lastRenderedPageBreak/>
        <w:instrText>"</w:instrText>
      </w:r>
      <w:r w:rsidR="00631197" w:rsidRPr="0055576C">
        <w:instrText>Anselm z Canterbury</w:instrText>
      </w:r>
      <w:r w:rsidR="009F0CEF" w:rsidRPr="00B55443">
        <w:rPr>
          <w:lang w:eastAsia="en-US"/>
        </w:rPr>
        <w:instrText>:</w:instrText>
      </w:r>
      <w:r w:rsidR="009F0CEF" w:rsidRPr="00B55443">
        <w:instrText xml:space="preserve">viz </w:instrText>
      </w:r>
      <w:r w:rsidR="009F0CEF" w:rsidRPr="009F0CEF">
        <w:rPr>
          <w:i/>
        </w:rPr>
        <w:instrText>Index locorum</w:instrText>
      </w:r>
      <w:r w:rsidR="00631197">
        <w:instrText xml:space="preserve">" </w:instrText>
      </w:r>
      <w:r w:rsidR="00631197">
        <w:rPr>
          <w:lang w:eastAsia="en-US"/>
        </w:rPr>
        <w:fldChar w:fldCharType="end"/>
      </w:r>
      <w:r w:rsidR="002F29C3">
        <w:rPr>
          <w:lang w:eastAsia="en-US"/>
        </w:rPr>
        <w:t xml:space="preserve">, který vytvoří nové pojetí pravdy jako </w:t>
      </w:r>
      <w:r w:rsidR="002F29C3" w:rsidRPr="002F29C3">
        <w:rPr>
          <w:i/>
          <w:lang w:eastAsia="en-US"/>
        </w:rPr>
        <w:t>rectitudo</w:t>
      </w:r>
      <w:r w:rsidR="002F29C3">
        <w:rPr>
          <w:lang w:eastAsia="en-US"/>
        </w:rPr>
        <w:t xml:space="preserve">. </w:t>
      </w:r>
      <w:r w:rsidR="008B12D2">
        <w:rPr>
          <w:lang w:eastAsia="en-US"/>
        </w:rPr>
        <w:t>Neoplatonsk</w:t>
      </w:r>
      <w:r w:rsidR="006776C5">
        <w:rPr>
          <w:lang w:eastAsia="en-US"/>
        </w:rPr>
        <w:t xml:space="preserve">é pojetí pravdy </w:t>
      </w:r>
      <w:r w:rsidR="00CF26AF" w:rsidRPr="00273106">
        <w:rPr>
          <w:lang w:eastAsia="en-US"/>
        </w:rPr>
        <w:t xml:space="preserve">v následné fázi </w:t>
      </w:r>
      <w:r w:rsidR="00654DB7" w:rsidRPr="00273106">
        <w:rPr>
          <w:lang w:eastAsia="en-US"/>
        </w:rPr>
        <w:t xml:space="preserve">recepce Avicennovy filosofie na latinském Západě </w:t>
      </w:r>
      <w:r w:rsidR="08777187">
        <w:rPr>
          <w:lang w:eastAsia="en-US"/>
        </w:rPr>
        <w:t xml:space="preserve">skrze Gilberta </w:t>
      </w:r>
      <w:r w:rsidR="002239AA">
        <w:rPr>
          <w:lang w:eastAsia="en-US"/>
        </w:rPr>
        <w:t>de La Porrée</w:t>
      </w:r>
      <w:r w:rsidR="08777187">
        <w:rPr>
          <w:lang w:eastAsia="en-US"/>
        </w:rPr>
        <w:t xml:space="preserve"> a jeho školy </w:t>
      </w:r>
      <w:r w:rsidR="00B438F0" w:rsidRPr="00273106">
        <w:rPr>
          <w:lang w:eastAsia="en-US"/>
        </w:rPr>
        <w:t xml:space="preserve">vytvořilo </w:t>
      </w:r>
      <w:r w:rsidR="00273DDF">
        <w:rPr>
          <w:lang w:eastAsia="en-US"/>
        </w:rPr>
        <w:t xml:space="preserve">po </w:t>
      </w:r>
      <w:r w:rsidR="00A86AD6">
        <w:rPr>
          <w:lang w:eastAsia="en-US"/>
        </w:rPr>
        <w:t xml:space="preserve">roce </w:t>
      </w:r>
      <w:r w:rsidR="00273DDF">
        <w:rPr>
          <w:lang w:eastAsia="en-US"/>
        </w:rPr>
        <w:t xml:space="preserve">1180 </w:t>
      </w:r>
      <w:r w:rsidR="00B438F0" w:rsidRPr="00273106">
        <w:rPr>
          <w:lang w:eastAsia="en-US"/>
        </w:rPr>
        <w:t xml:space="preserve">nový druh </w:t>
      </w:r>
      <w:r w:rsidR="006776C5">
        <w:rPr>
          <w:lang w:eastAsia="en-US"/>
        </w:rPr>
        <w:t>atomární substance třetího druhu</w:t>
      </w:r>
      <w:r w:rsidR="00B438F0" w:rsidRPr="00273106">
        <w:rPr>
          <w:lang w:eastAsia="en-US"/>
        </w:rPr>
        <w:t xml:space="preserve">. </w:t>
      </w:r>
      <w:r w:rsidR="002F29C3" w:rsidRPr="00273106">
        <w:rPr>
          <w:lang w:eastAsia="en-US"/>
        </w:rPr>
        <w:t xml:space="preserve">První západní modernisté ve škole </w:t>
      </w:r>
      <w:r w:rsidR="002F29C3" w:rsidRPr="00273106">
        <w:rPr>
          <w:i/>
          <w:lang w:eastAsia="en-US"/>
        </w:rPr>
        <w:t>Nominales</w:t>
      </w:r>
      <w:r w:rsidR="002F29C3" w:rsidRPr="00273106">
        <w:rPr>
          <w:lang w:eastAsia="en-US"/>
        </w:rPr>
        <w:t xml:space="preserve"> změnili Aristotelovo určení první substance</w:t>
      </w:r>
      <w:r w:rsidR="006776C5">
        <w:rPr>
          <w:lang w:eastAsia="en-US"/>
        </w:rPr>
        <w:t xml:space="preserve"> na porretánské </w:t>
      </w:r>
      <w:r w:rsidR="006776C5" w:rsidRPr="08F92022">
        <w:rPr>
          <w:lang w:eastAsia="en-US"/>
        </w:rPr>
        <w:t>individuum</w:t>
      </w:r>
      <w:r w:rsidR="00813F4A">
        <w:rPr>
          <w:i/>
          <w:lang w:eastAsia="en-US"/>
        </w:rPr>
        <w:fldChar w:fldCharType="begin"/>
      </w:r>
      <w:r w:rsidR="00813F4A">
        <w:instrText xml:space="preserve"> XE "</w:instrText>
      </w:r>
      <w:r w:rsidR="00813F4A" w:rsidRPr="000A3BDF">
        <w:instrText>substance:porretán</w:instrText>
      </w:r>
      <w:r w:rsidR="00062206">
        <w:instrText>i</w:instrText>
      </w:r>
      <w:r w:rsidR="00813F4A">
        <w:instrText xml:space="preserve">" </w:instrText>
      </w:r>
      <w:r w:rsidR="00813F4A">
        <w:rPr>
          <w:i/>
          <w:lang w:eastAsia="en-US"/>
        </w:rPr>
        <w:fldChar w:fldCharType="end"/>
      </w:r>
      <w:r w:rsidR="002F29C3" w:rsidRPr="00273106">
        <w:rPr>
          <w:lang w:eastAsia="en-US"/>
        </w:rPr>
        <w:t>.</w:t>
      </w:r>
      <w:r w:rsidR="002F29C3">
        <w:rPr>
          <w:lang w:eastAsia="en-US"/>
        </w:rPr>
        <w:t xml:space="preserve"> </w:t>
      </w:r>
      <w:r w:rsidR="08E5731E">
        <w:rPr>
          <w:lang w:eastAsia="en-US"/>
        </w:rPr>
        <w:t>P</w:t>
      </w:r>
      <w:r w:rsidR="08E5731E">
        <w:t xml:space="preserve">ozdní scholastika po zániku původních škol </w:t>
      </w:r>
      <w:r w:rsidR="08E5731E" w:rsidRPr="08E5731E">
        <w:rPr>
          <w:i/>
        </w:rPr>
        <w:t>Nominales</w:t>
      </w:r>
      <w:r w:rsidR="08E5731E">
        <w:t xml:space="preserve"> otevřela nové kolo sporu </w:t>
      </w:r>
      <w:r w:rsidR="08E00B55">
        <w:t xml:space="preserve">s modernisty. Tento spor o </w:t>
      </w:r>
      <w:r w:rsidR="08E5731E" w:rsidRPr="00273106">
        <w:t>nominalismus</w:t>
      </w:r>
      <w:r w:rsidR="08E5731E">
        <w:t xml:space="preserve"> už má jako hlavní téma </w:t>
      </w:r>
      <w:r w:rsidR="08E5731E" w:rsidRPr="00273106">
        <w:t>spor o univerzália (</w:t>
      </w:r>
      <w:r w:rsidR="08E5731E" w:rsidRPr="00273106">
        <w:rPr>
          <w:szCs w:val="28"/>
        </w:rPr>
        <w:t>Courtenay 2008, 39–80</w:t>
      </w:r>
      <w:r w:rsidR="08E5731E" w:rsidRPr="00273106">
        <w:t xml:space="preserve">). </w:t>
      </w:r>
      <w:r w:rsidR="00B438F0" w:rsidRPr="00273106">
        <w:rPr>
          <w:lang w:eastAsia="en-US"/>
        </w:rPr>
        <w:t xml:space="preserve">Korekci </w:t>
      </w:r>
      <w:r w:rsidR="00164DA6">
        <w:rPr>
          <w:lang w:eastAsia="en-US"/>
        </w:rPr>
        <w:t xml:space="preserve">moderního </w:t>
      </w:r>
      <w:r w:rsidR="00B438F0" w:rsidRPr="00273106">
        <w:rPr>
          <w:lang w:eastAsia="en-US"/>
        </w:rPr>
        <w:t xml:space="preserve">postoje přineslo </w:t>
      </w:r>
      <w:r w:rsidR="00260C57">
        <w:rPr>
          <w:lang w:eastAsia="en-US"/>
        </w:rPr>
        <w:t xml:space="preserve">až </w:t>
      </w:r>
      <w:r w:rsidR="00B438F0" w:rsidRPr="00273106">
        <w:rPr>
          <w:lang w:eastAsia="en-US"/>
        </w:rPr>
        <w:t xml:space="preserve">Blundovo dílo </w:t>
      </w:r>
      <w:r w:rsidR="00B438F0" w:rsidRPr="00273106">
        <w:rPr>
          <w:i/>
        </w:rPr>
        <w:t>Tractatus de anima</w:t>
      </w:r>
      <w:r w:rsidR="00B438F0" w:rsidRPr="00273106">
        <w:t>, které předalo Západu autentické pojetí aristotelismu</w:t>
      </w:r>
      <w:r w:rsidR="00E876E1" w:rsidRPr="00273106">
        <w:t xml:space="preserve"> </w:t>
      </w:r>
      <w:r w:rsidR="00B05306">
        <w:rPr>
          <w:lang w:eastAsia="en-US"/>
        </w:rPr>
        <w:t xml:space="preserve">podle Abelarda a </w:t>
      </w:r>
      <w:r w:rsidR="00164DA6">
        <w:t xml:space="preserve">podle </w:t>
      </w:r>
      <w:r w:rsidR="00E876E1" w:rsidRPr="00273106">
        <w:t xml:space="preserve">spisu </w:t>
      </w:r>
      <w:r w:rsidR="00B713C5">
        <w:rPr>
          <w:i/>
        </w:rPr>
        <w:t>De anima</w:t>
      </w:r>
      <w:r w:rsidR="00E876E1" w:rsidRPr="00273106">
        <w:t xml:space="preserve">. Blundova obrana aristotelismu </w:t>
      </w:r>
      <w:r w:rsidR="000443E2" w:rsidRPr="00273106">
        <w:t>připravil</w:t>
      </w:r>
      <w:r w:rsidR="00E876E1" w:rsidRPr="00273106">
        <w:t>a</w:t>
      </w:r>
      <w:r w:rsidR="00EC10A8">
        <w:t xml:space="preserve"> půdu pro recepci Averroe</w:t>
      </w:r>
      <w:r w:rsidR="00BC4EA7">
        <w:t>sovy metafyziky</w:t>
      </w:r>
      <w:r w:rsidR="00C032B7">
        <w:t>, která proni</w:t>
      </w:r>
      <w:r w:rsidR="001531DB">
        <w:t>kl</w:t>
      </w:r>
      <w:r w:rsidR="00C032B7">
        <w:t xml:space="preserve">a na latinský Západ po roce 1220. Blundovi </w:t>
      </w:r>
      <w:r w:rsidR="006776C5">
        <w:t xml:space="preserve">žáci </w:t>
      </w:r>
      <w:r w:rsidR="00C032B7">
        <w:t xml:space="preserve">ze školy prvního averroismu odmítli již kolem roku </w:t>
      </w:r>
      <w:r w:rsidR="006776C5">
        <w:t xml:space="preserve">1225 </w:t>
      </w:r>
      <w:r w:rsidR="000443E2" w:rsidRPr="00273106">
        <w:t>objektivní vidění světa</w:t>
      </w:r>
      <w:r w:rsidR="00BC4EA7">
        <w:t xml:space="preserve"> </w:t>
      </w:r>
      <w:r w:rsidR="00BC215F">
        <w:t xml:space="preserve">avicennistických </w:t>
      </w:r>
      <w:r w:rsidR="00BC4EA7" w:rsidRPr="00BC4EA7">
        <w:rPr>
          <w:i/>
        </w:rPr>
        <w:t>Modernorum</w:t>
      </w:r>
      <w:r w:rsidR="00C032B7">
        <w:t xml:space="preserve"> a začali nové kolo gigantomachie o substanci.</w:t>
      </w:r>
    </w:p>
    <w:p w14:paraId="274849C4" w14:textId="3AA8B541" w:rsidR="00212D28" w:rsidRPr="00273106" w:rsidRDefault="08014581" w:rsidP="00212D28">
      <w:pPr>
        <w:pStyle w:val="Nadpis2"/>
      </w:pPr>
      <w:bookmarkStart w:id="13" w:name="_Toc487234288"/>
      <w:bookmarkStart w:id="14" w:name="_Toc12558295"/>
      <w:r>
        <w:rPr>
          <w:lang w:val="cs-CZ"/>
        </w:rPr>
        <w:br w:type="page"/>
      </w:r>
      <w:bookmarkStart w:id="15" w:name="_Toc160449307"/>
      <w:r w:rsidR="08D20D28">
        <w:rPr>
          <w:lang w:val="cs-CZ"/>
        </w:rPr>
        <w:lastRenderedPageBreak/>
        <w:t>1</w:t>
      </w:r>
      <w:r w:rsidR="00C02F2E" w:rsidRPr="00273106">
        <w:t xml:space="preserve">.1 </w:t>
      </w:r>
      <w:r w:rsidR="00403641" w:rsidRPr="00273106">
        <w:t>Latinská g</w:t>
      </w:r>
      <w:r w:rsidR="00DA4866" w:rsidRPr="00273106">
        <w:t xml:space="preserve">igantomachie </w:t>
      </w:r>
      <w:r w:rsidR="00403641" w:rsidRPr="00273106">
        <w:t xml:space="preserve">o substanci </w:t>
      </w:r>
      <w:r w:rsidR="00610148" w:rsidRPr="00273106">
        <w:t>(</w:t>
      </w:r>
      <w:r w:rsidR="00B30551">
        <w:rPr>
          <w:lang w:val="cs-CZ"/>
        </w:rPr>
        <w:t xml:space="preserve">Anicius </w:t>
      </w:r>
      <w:r w:rsidR="00610148" w:rsidRPr="00273106">
        <w:t>Boethius)</w:t>
      </w:r>
      <w:bookmarkEnd w:id="13"/>
      <w:bookmarkEnd w:id="14"/>
      <w:bookmarkEnd w:id="15"/>
    </w:p>
    <w:p w14:paraId="74F46723" w14:textId="306863B3" w:rsidR="009248AE" w:rsidRDefault="004935EE" w:rsidP="00212D28">
      <w:pPr>
        <w:rPr>
          <w:rStyle w:val="Zkladntext158dkovn0pt"/>
          <w:color w:val="auto"/>
          <w:spacing w:val="0"/>
          <w:sz w:val="24"/>
          <w:lang w:val="cs-CZ"/>
        </w:rPr>
      </w:pPr>
      <w:r w:rsidRPr="00273106">
        <w:rPr>
          <w:rStyle w:val="Zkladntext158dkovn0pt"/>
          <w:color w:val="auto"/>
          <w:spacing w:val="0"/>
          <w:sz w:val="24"/>
          <w:lang w:val="cs-CZ"/>
        </w:rPr>
        <w:t>Význam Boethia pro latin</w:t>
      </w:r>
      <w:r w:rsidR="001531DB">
        <w:rPr>
          <w:rStyle w:val="Zkladntext158dkovn0pt"/>
          <w:color w:val="auto"/>
          <w:spacing w:val="0"/>
          <w:sz w:val="24"/>
          <w:lang w:val="cs-CZ"/>
        </w:rPr>
        <w:t xml:space="preserve">ský Západ je srovnatelný s Porfyriovým </w:t>
      </w:r>
      <w:r w:rsidR="002E43A4">
        <w:rPr>
          <w:rStyle w:val="Zkladntext158dkovn0pt"/>
          <w:color w:val="auto"/>
          <w:spacing w:val="0"/>
          <w:sz w:val="24"/>
          <w:lang w:val="cs-CZ"/>
        </w:rPr>
        <w:t xml:space="preserve">dílem </w:t>
      </w:r>
      <w:r w:rsidR="001531DB" w:rsidRPr="001531DB">
        <w:rPr>
          <w:rStyle w:val="Zkladntext158dkovn0pt"/>
          <w:i/>
          <w:color w:val="auto"/>
          <w:spacing w:val="0"/>
          <w:sz w:val="24"/>
          <w:lang w:val="cs-CZ"/>
        </w:rPr>
        <w:t>Isagoge</w:t>
      </w:r>
      <w:r w:rsidRPr="00273106">
        <w:rPr>
          <w:rStyle w:val="Zkladntext158dkovn0pt"/>
          <w:color w:val="auto"/>
          <w:spacing w:val="0"/>
          <w:sz w:val="24"/>
          <w:lang w:val="cs-CZ"/>
        </w:rPr>
        <w:t xml:space="preserve"> pro předešlou antiku</w:t>
      </w:r>
      <w:r w:rsidR="08996DF8">
        <w:rPr>
          <w:rStyle w:val="Zkladntext158dkovn0pt"/>
          <w:color w:val="auto"/>
          <w:spacing w:val="0"/>
          <w:sz w:val="24"/>
          <w:lang w:val="cs-CZ"/>
        </w:rPr>
        <w:t xml:space="preserve"> </w:t>
      </w:r>
      <w:r w:rsidR="08996DF8" w:rsidRPr="08BE2778">
        <w:rPr>
          <w:szCs w:val="24"/>
        </w:rPr>
        <w:t>(OBJ I, kap. 1.3)</w:t>
      </w:r>
      <w:r w:rsidRPr="00273106">
        <w:rPr>
          <w:rStyle w:val="Zkladntext158dkovn0pt"/>
          <w:color w:val="auto"/>
          <w:spacing w:val="0"/>
          <w:sz w:val="24"/>
          <w:lang w:val="cs-CZ"/>
        </w:rPr>
        <w:t xml:space="preserve">. </w:t>
      </w:r>
      <w:r w:rsidR="006A3870" w:rsidRPr="00273106">
        <w:rPr>
          <w:rStyle w:val="Zkladntext158dkovn0pt"/>
          <w:color w:val="auto"/>
          <w:spacing w:val="0"/>
          <w:sz w:val="24"/>
          <w:lang w:val="cs-CZ"/>
        </w:rPr>
        <w:t xml:space="preserve">Boethiovy </w:t>
      </w:r>
      <w:r w:rsidRPr="00273106">
        <w:rPr>
          <w:rStyle w:val="Zkladntext158dkovn0pt"/>
          <w:color w:val="auto"/>
          <w:spacing w:val="0"/>
          <w:sz w:val="24"/>
          <w:lang w:val="cs-CZ"/>
        </w:rPr>
        <w:t xml:space="preserve">definice rodu, signifikace a kvantity určily další směřování </w:t>
      </w:r>
      <w:r w:rsidR="006A3870" w:rsidRPr="00273106">
        <w:rPr>
          <w:rStyle w:val="Zkladntext158dkovn0pt"/>
          <w:color w:val="auto"/>
          <w:spacing w:val="0"/>
          <w:sz w:val="24"/>
          <w:lang w:val="cs-CZ"/>
        </w:rPr>
        <w:t xml:space="preserve">scholastiky </w:t>
      </w:r>
      <w:r w:rsidR="08BC3A5E">
        <w:rPr>
          <w:rStyle w:val="Zkladntext158dkovn0pt"/>
          <w:color w:val="auto"/>
          <w:spacing w:val="0"/>
          <w:sz w:val="24"/>
          <w:lang w:val="cs-CZ"/>
        </w:rPr>
        <w:t xml:space="preserve">jak </w:t>
      </w:r>
      <w:r w:rsidRPr="00273106">
        <w:rPr>
          <w:rStyle w:val="Zkladntext158dkovn0pt"/>
          <w:color w:val="auto"/>
          <w:spacing w:val="0"/>
          <w:sz w:val="24"/>
          <w:lang w:val="cs-CZ"/>
        </w:rPr>
        <w:t>směrem k objektivitě</w:t>
      </w:r>
      <w:r w:rsidR="08BC3A5E">
        <w:rPr>
          <w:rStyle w:val="Zkladntext158dkovn0pt"/>
          <w:color w:val="auto"/>
          <w:spacing w:val="0"/>
          <w:sz w:val="24"/>
          <w:lang w:val="cs-CZ"/>
        </w:rPr>
        <w:t xml:space="preserve"> tak směrem k autentickému aristotelismu</w:t>
      </w:r>
      <w:r w:rsidRPr="00273106">
        <w:rPr>
          <w:rStyle w:val="Zkladntext158dkovn0pt"/>
          <w:color w:val="auto"/>
          <w:spacing w:val="0"/>
          <w:sz w:val="24"/>
          <w:lang w:val="cs-CZ"/>
        </w:rPr>
        <w:t>.</w:t>
      </w:r>
      <w:r w:rsidR="00B37022" w:rsidRPr="00273106">
        <w:rPr>
          <w:rStyle w:val="Zkladntext158dkovn0pt"/>
          <w:color w:val="auto"/>
          <w:spacing w:val="0"/>
          <w:sz w:val="24"/>
          <w:lang w:val="cs-CZ"/>
        </w:rPr>
        <w:t xml:space="preserve"> </w:t>
      </w:r>
      <w:r w:rsidR="00212D28" w:rsidRPr="00273106">
        <w:rPr>
          <w:rStyle w:val="Zkladntext158dkovn0pt"/>
          <w:color w:val="auto"/>
          <w:spacing w:val="0"/>
          <w:sz w:val="24"/>
          <w:lang w:val="cs-CZ"/>
        </w:rPr>
        <w:t>Vraťme se k debatě mezi A</w:t>
      </w:r>
      <w:r w:rsidR="003C3F22">
        <w:rPr>
          <w:rStyle w:val="Zkladntext158dkovn0pt"/>
          <w:color w:val="auto"/>
          <w:spacing w:val="0"/>
          <w:sz w:val="24"/>
          <w:lang w:val="cs-CZ"/>
        </w:rPr>
        <w:t>vicennou a Averroe</w:t>
      </w:r>
      <w:r w:rsidR="00212D28" w:rsidRPr="00273106">
        <w:rPr>
          <w:rStyle w:val="Zkladntext158dkovn0pt"/>
          <w:color w:val="auto"/>
          <w:spacing w:val="0"/>
          <w:sz w:val="24"/>
          <w:lang w:val="cs-CZ"/>
        </w:rPr>
        <w:t xml:space="preserve">sem, která ovlivnila osud scholastiky vzhledem ke zkoumanému </w:t>
      </w:r>
      <w:r w:rsidR="00212D28" w:rsidRPr="00273106">
        <w:rPr>
          <w:rStyle w:val="Zkladntext158dkovn0pt"/>
          <w:i/>
          <w:color w:val="auto"/>
          <w:spacing w:val="0"/>
          <w:sz w:val="24"/>
          <w:lang w:val="cs-CZ"/>
        </w:rPr>
        <w:t>tertium ens</w:t>
      </w:r>
      <w:r w:rsidR="00690F3E">
        <w:rPr>
          <w:rStyle w:val="Zkladntext158dkovn0pt"/>
          <w:color w:val="auto"/>
          <w:spacing w:val="0"/>
          <w:sz w:val="24"/>
          <w:lang w:val="cs-CZ"/>
        </w:rPr>
        <w:t xml:space="preserve">. </w:t>
      </w:r>
      <w:r w:rsidR="005D74F5">
        <w:rPr>
          <w:rStyle w:val="Zkladntext158dkovn0pt"/>
          <w:color w:val="auto"/>
          <w:spacing w:val="0"/>
          <w:sz w:val="24"/>
          <w:lang w:val="cs-CZ"/>
        </w:rPr>
        <w:t>Boethiův překlad Porfy</w:t>
      </w:r>
      <w:r w:rsidR="00212D28" w:rsidRPr="00273106">
        <w:rPr>
          <w:rStyle w:val="Zkladntext158dkovn0pt"/>
          <w:color w:val="auto"/>
          <w:spacing w:val="0"/>
          <w:sz w:val="24"/>
          <w:lang w:val="cs-CZ"/>
        </w:rPr>
        <w:t xml:space="preserve">riovy </w:t>
      </w:r>
      <w:r w:rsidR="00212D28" w:rsidRPr="00273106">
        <w:rPr>
          <w:rStyle w:val="Zkladntext158dkovn0pt"/>
          <w:i/>
          <w:color w:val="auto"/>
          <w:spacing w:val="0"/>
          <w:sz w:val="24"/>
          <w:lang w:val="cs-CZ"/>
        </w:rPr>
        <w:t>Isagog</w:t>
      </w:r>
      <w:r w:rsidR="00AB69BC">
        <w:rPr>
          <w:rStyle w:val="Zkladntext158dkovn0pt"/>
          <w:i/>
          <w:color w:val="auto"/>
          <w:spacing w:val="0"/>
          <w:sz w:val="24"/>
          <w:lang w:val="cs-CZ"/>
        </w:rPr>
        <w:t>e</w:t>
      </w:r>
      <w:r w:rsidR="00212D28" w:rsidRPr="00273106">
        <w:rPr>
          <w:rStyle w:val="Zkladntext158dkovn0pt"/>
          <w:color w:val="auto"/>
          <w:spacing w:val="0"/>
          <w:sz w:val="24"/>
          <w:lang w:val="cs-CZ"/>
        </w:rPr>
        <w:t xml:space="preserve"> stanovuje pro latinský Západ primát aktuálního jsoucna proti jeho konceptualizaci. Tím je dáno nasvícení jsoucna směrem od reálné věci</w:t>
      </w:r>
      <w:r w:rsidR="00691386">
        <w:rPr>
          <w:rStyle w:val="Zkladntext158dkovn0pt"/>
          <w:color w:val="auto"/>
          <w:spacing w:val="0"/>
          <w:sz w:val="24"/>
          <w:lang w:val="cs-CZ"/>
        </w:rPr>
        <w:t xml:space="preserve"> p</w:t>
      </w:r>
      <w:r w:rsidR="00281E7B">
        <w:rPr>
          <w:rStyle w:val="Zkladntext158dkovn0pt"/>
          <w:color w:val="auto"/>
          <w:spacing w:val="0"/>
          <w:sz w:val="24"/>
          <w:lang w:val="cs-CZ"/>
        </w:rPr>
        <w:t>o</w:t>
      </w:r>
      <w:r w:rsidR="00691386">
        <w:rPr>
          <w:rStyle w:val="Zkladntext158dkovn0pt"/>
          <w:color w:val="auto"/>
          <w:spacing w:val="0"/>
          <w:sz w:val="24"/>
          <w:lang w:val="cs-CZ"/>
        </w:rPr>
        <w:t>d</w:t>
      </w:r>
      <w:r w:rsidR="00281E7B">
        <w:rPr>
          <w:rStyle w:val="Zkladntext158dkovn0pt"/>
          <w:color w:val="auto"/>
          <w:spacing w:val="0"/>
          <w:sz w:val="24"/>
          <w:lang w:val="cs-CZ"/>
        </w:rPr>
        <w:t>l</w:t>
      </w:r>
      <w:r w:rsidR="00691386">
        <w:rPr>
          <w:rStyle w:val="Zkladntext158dkovn0pt"/>
          <w:color w:val="auto"/>
          <w:spacing w:val="0"/>
          <w:sz w:val="24"/>
          <w:lang w:val="cs-CZ"/>
        </w:rPr>
        <w:t>e</w:t>
      </w:r>
      <w:r w:rsidR="00281E7B">
        <w:rPr>
          <w:rStyle w:val="Zkladntext158dkovn0pt"/>
          <w:color w:val="auto"/>
          <w:spacing w:val="0"/>
          <w:sz w:val="24"/>
          <w:lang w:val="cs-CZ"/>
        </w:rPr>
        <w:t xml:space="preserve"> spis</w:t>
      </w:r>
      <w:r w:rsidR="00691386">
        <w:rPr>
          <w:rStyle w:val="Zkladntext158dkovn0pt"/>
          <w:color w:val="auto"/>
          <w:spacing w:val="0"/>
          <w:sz w:val="24"/>
          <w:lang w:val="cs-CZ"/>
        </w:rPr>
        <w:t>u</w:t>
      </w:r>
      <w:r w:rsidR="00281E7B">
        <w:rPr>
          <w:rStyle w:val="Zkladntext158dkovn0pt"/>
          <w:color w:val="auto"/>
          <w:spacing w:val="0"/>
          <w:sz w:val="24"/>
          <w:lang w:val="cs-CZ"/>
        </w:rPr>
        <w:t xml:space="preserve"> </w:t>
      </w:r>
      <w:r w:rsidR="00281E7B" w:rsidRPr="005D74F5">
        <w:rPr>
          <w:rStyle w:val="Zkladntext158dkovn0pt"/>
          <w:i/>
          <w:color w:val="auto"/>
          <w:spacing w:val="0"/>
          <w:sz w:val="24"/>
          <w:lang w:val="cs-CZ"/>
        </w:rPr>
        <w:t>Kategorie</w:t>
      </w:r>
      <w:r w:rsidR="00212D28" w:rsidRPr="00273106">
        <w:rPr>
          <w:rStyle w:val="Zkladntext158dkovn0pt"/>
          <w:color w:val="auto"/>
          <w:spacing w:val="0"/>
          <w:sz w:val="24"/>
          <w:lang w:val="cs-CZ"/>
        </w:rPr>
        <w:t xml:space="preserve">. </w:t>
      </w:r>
      <w:r w:rsidR="080603C0">
        <w:t xml:space="preserve">Boethiova pozice je striktně aristotelská. </w:t>
      </w:r>
      <w:r w:rsidR="00212D28" w:rsidRPr="00273106">
        <w:rPr>
          <w:rStyle w:val="Zkladntext158dkovn0pt"/>
          <w:color w:val="auto"/>
          <w:spacing w:val="0"/>
          <w:sz w:val="24"/>
          <w:lang w:val="cs-CZ"/>
        </w:rPr>
        <w:t xml:space="preserve">Univerzální predikáty se ptají na způsob, jak jsou věci dány </w:t>
      </w:r>
      <w:r w:rsidR="0874096B">
        <w:rPr>
          <w:rStyle w:val="Zkladntext158dkovn0pt"/>
          <w:color w:val="auto"/>
          <w:spacing w:val="0"/>
          <w:sz w:val="24"/>
          <w:lang w:val="cs-CZ"/>
        </w:rPr>
        <w:t xml:space="preserve">v mysli </w:t>
      </w:r>
      <w:r w:rsidR="00212D28" w:rsidRPr="00273106">
        <w:rPr>
          <w:rStyle w:val="Zkladntext158dkovn0pt"/>
          <w:color w:val="auto"/>
          <w:spacing w:val="0"/>
          <w:sz w:val="24"/>
          <w:lang w:val="cs-CZ"/>
        </w:rPr>
        <w:t>(</w:t>
      </w:r>
      <w:r w:rsidR="00212D28" w:rsidRPr="00273106">
        <w:rPr>
          <w:rStyle w:val="Zkladntext15dkovn0pt"/>
          <w:rFonts w:ascii="Calibri" w:eastAsia="Times" w:hAnsi="Calibri" w:cs="Times New Roman"/>
          <w:b w:val="0"/>
          <w:bCs w:val="0"/>
          <w:i/>
          <w:color w:val="auto"/>
          <w:sz w:val="24"/>
          <w:lang w:val="cs-CZ"/>
        </w:rPr>
        <w:t>quale quiddam est</w:t>
      </w:r>
      <w:r w:rsidR="00212D28" w:rsidRPr="00273106">
        <w:rPr>
          <w:rStyle w:val="Zkladntext15dkovn0pt"/>
          <w:rFonts w:ascii="Calibri" w:eastAsia="Times" w:hAnsi="Calibri" w:cs="Times New Roman"/>
          <w:b w:val="0"/>
          <w:bCs w:val="0"/>
          <w:color w:val="auto"/>
          <w:sz w:val="24"/>
          <w:lang w:val="cs-CZ"/>
        </w:rPr>
        <w:t xml:space="preserve">), a </w:t>
      </w:r>
      <w:r w:rsidR="087571F8">
        <w:rPr>
          <w:rStyle w:val="Zkladntext15dkovn0pt"/>
          <w:rFonts w:ascii="Calibri" w:eastAsia="Times" w:hAnsi="Calibri" w:cs="Times New Roman"/>
          <w:b w:val="0"/>
          <w:bCs w:val="0"/>
          <w:color w:val="auto"/>
          <w:sz w:val="24"/>
          <w:lang w:val="cs-CZ"/>
        </w:rPr>
        <w:t xml:space="preserve">neřeší </w:t>
      </w:r>
      <w:r w:rsidR="00212D28" w:rsidRPr="00273106">
        <w:rPr>
          <w:rStyle w:val="Zkladntext15dkovn0pt"/>
          <w:rFonts w:ascii="Calibri" w:eastAsia="Times" w:hAnsi="Calibri" w:cs="Times New Roman"/>
          <w:b w:val="0"/>
          <w:bCs w:val="0"/>
          <w:color w:val="auto"/>
          <w:sz w:val="24"/>
          <w:lang w:val="cs-CZ"/>
        </w:rPr>
        <w:t>bytí konkrétní věci v realitě (</w:t>
      </w:r>
      <w:r w:rsidR="00212D28" w:rsidRPr="00273106">
        <w:rPr>
          <w:rStyle w:val="Zkladntext15dkovn0pt"/>
          <w:rFonts w:ascii="Calibri" w:eastAsia="Times" w:hAnsi="Calibri" w:cs="Times New Roman"/>
          <w:b w:val="0"/>
          <w:bCs w:val="0"/>
          <w:i/>
          <w:color w:val="auto"/>
          <w:sz w:val="24"/>
          <w:lang w:val="cs-CZ"/>
        </w:rPr>
        <w:t>non in eo quod quid est</w:t>
      </w:r>
      <w:r w:rsidR="00212D28" w:rsidRPr="00273106">
        <w:rPr>
          <w:rStyle w:val="Zkladntext15dkovn0pt"/>
          <w:rFonts w:ascii="Calibri" w:eastAsia="Times" w:hAnsi="Calibri" w:cs="Times New Roman"/>
          <w:b w:val="0"/>
          <w:bCs w:val="0"/>
          <w:color w:val="auto"/>
          <w:sz w:val="24"/>
          <w:lang w:val="cs-CZ"/>
        </w:rPr>
        <w:t>)</w:t>
      </w:r>
      <w:r w:rsidR="00212D28" w:rsidRPr="00273106">
        <w:rPr>
          <w:rStyle w:val="Zkladntext158dkovn0pt"/>
          <w:color w:val="auto"/>
          <w:spacing w:val="0"/>
          <w:sz w:val="24"/>
          <w:lang w:val="cs-CZ"/>
        </w:rPr>
        <w:t>.</w:t>
      </w:r>
      <w:bookmarkStart w:id="16" w:name="_Ref387528130"/>
      <w:r w:rsidR="00212D28" w:rsidRPr="00273106">
        <w:rPr>
          <w:rStyle w:val="Znakapoznpodarou"/>
          <w:szCs w:val="27"/>
          <w:shd w:val="clear" w:color="auto" w:fill="FFFFFF"/>
        </w:rPr>
        <w:footnoteReference w:id="4"/>
      </w:r>
      <w:bookmarkEnd w:id="16"/>
      <w:r w:rsidR="00212D28" w:rsidRPr="00273106">
        <w:rPr>
          <w:rStyle w:val="Zkladntext158dkovn0pt"/>
          <w:color w:val="auto"/>
          <w:spacing w:val="0"/>
          <w:sz w:val="24"/>
          <w:lang w:val="cs-CZ"/>
        </w:rPr>
        <w:t xml:space="preserve"> </w:t>
      </w:r>
      <w:r w:rsidR="008173B3">
        <w:rPr>
          <w:rStyle w:val="Zkladntext158dkovn0pt"/>
          <w:color w:val="auto"/>
          <w:spacing w:val="0"/>
          <w:sz w:val="24"/>
          <w:lang w:val="cs-CZ"/>
        </w:rPr>
        <w:t xml:space="preserve">Hyparchická povaha </w:t>
      </w:r>
      <w:r w:rsidR="08793740" w:rsidRPr="00273106">
        <w:rPr>
          <w:rStyle w:val="Zkladntext158dkovn0pt"/>
          <w:color w:val="auto"/>
          <w:spacing w:val="0"/>
          <w:sz w:val="24"/>
          <w:lang w:val="cs-CZ"/>
        </w:rPr>
        <w:t>první substance (</w:t>
      </w:r>
      <w:r w:rsidR="08793740" w:rsidRPr="00273106">
        <w:rPr>
          <w:rStyle w:val="Zkladntext158dkovn0pt"/>
          <w:i/>
          <w:color w:val="auto"/>
          <w:spacing w:val="0"/>
          <w:sz w:val="24"/>
          <w:lang w:val="cs-CZ"/>
        </w:rPr>
        <w:t>hoc animal</w:t>
      </w:r>
      <w:r w:rsidR="08793740" w:rsidRPr="00273106">
        <w:rPr>
          <w:rStyle w:val="Zkladntext158dkovn0pt"/>
          <w:color w:val="auto"/>
          <w:spacing w:val="0"/>
          <w:sz w:val="24"/>
          <w:lang w:val="cs-CZ"/>
        </w:rPr>
        <w:t>) je univerzálně predikováno na úrovni nové jednotliviny pojaté univerzálně (</w:t>
      </w:r>
      <w:r w:rsidR="08793740" w:rsidRPr="00273106">
        <w:rPr>
          <w:rStyle w:val="Zkladntext158dkovn0pt"/>
          <w:i/>
          <w:color w:val="auto"/>
          <w:spacing w:val="0"/>
          <w:sz w:val="24"/>
          <w:lang w:val="cs-CZ"/>
        </w:rPr>
        <w:t>totum</w:t>
      </w:r>
      <w:r w:rsidR="082B67EC">
        <w:rPr>
          <w:rStyle w:val="Zkladntext158dkovn0pt"/>
          <w:i/>
          <w:color w:val="auto"/>
          <w:spacing w:val="0"/>
          <w:sz w:val="24"/>
          <w:lang w:val="cs-CZ"/>
        </w:rPr>
        <w:fldChar w:fldCharType="begin"/>
      </w:r>
      <w:r w:rsidR="082B67EC">
        <w:instrText xml:space="preserve"> XE "</w:instrText>
      </w:r>
      <w:r w:rsidR="082B67EC" w:rsidRPr="082B67EC">
        <w:rPr>
          <w:rStyle w:val="Zkladntext158dkovn0pt"/>
          <w:color w:val="auto"/>
          <w:spacing w:val="0"/>
          <w:sz w:val="24"/>
          <w:lang w:val="cs-CZ"/>
        </w:rPr>
        <w:instrText>substance</w:instrText>
      </w:r>
      <w:r w:rsidR="082B67EC" w:rsidRPr="086C7913">
        <w:rPr>
          <w:rStyle w:val="Zkladntext158dkovn0pt"/>
          <w:i/>
          <w:color w:val="auto"/>
          <w:spacing w:val="0"/>
          <w:sz w:val="24"/>
          <w:lang w:val="cs-CZ"/>
        </w:rPr>
        <w:instrText>:totum</w:instrText>
      </w:r>
      <w:r w:rsidR="082B67EC">
        <w:instrText xml:space="preserve">" </w:instrText>
      </w:r>
      <w:r w:rsidR="082B67EC">
        <w:rPr>
          <w:rStyle w:val="Zkladntext158dkovn0pt"/>
          <w:i/>
          <w:color w:val="auto"/>
          <w:spacing w:val="0"/>
          <w:sz w:val="24"/>
          <w:lang w:val="cs-CZ"/>
        </w:rPr>
        <w:fldChar w:fldCharType="end"/>
      </w:r>
      <w:r w:rsidR="08793740" w:rsidRPr="00273106">
        <w:rPr>
          <w:rStyle w:val="Zkladntext158dkovn0pt"/>
          <w:color w:val="auto"/>
          <w:spacing w:val="0"/>
          <w:sz w:val="24"/>
          <w:lang w:val="cs-CZ"/>
        </w:rPr>
        <w:t>)</w:t>
      </w:r>
      <w:r w:rsidR="08793740">
        <w:rPr>
          <w:rStyle w:val="Zkladntext158dkovn0pt"/>
          <w:color w:val="auto"/>
          <w:spacing w:val="0"/>
          <w:sz w:val="24"/>
          <w:lang w:val="cs-CZ"/>
        </w:rPr>
        <w:t xml:space="preserve"> jako výsledná minimální jednotka univerzálního významu daná na konci Porfýriova stromu</w:t>
      </w:r>
      <w:r w:rsidR="08793740" w:rsidRPr="00273106">
        <w:rPr>
          <w:rStyle w:val="Zkladntext158dkovn0pt"/>
          <w:color w:val="auto"/>
          <w:spacing w:val="0"/>
          <w:sz w:val="24"/>
          <w:lang w:val="cs-CZ"/>
        </w:rPr>
        <w:t xml:space="preserve">. </w:t>
      </w:r>
      <w:r w:rsidR="08AD701B">
        <w:t>S</w:t>
      </w:r>
      <w:r w:rsidR="08AD701B">
        <w:rPr>
          <w:lang w:eastAsia="en-US"/>
        </w:rPr>
        <w:t xml:space="preserve">por o určení termínu </w:t>
      </w:r>
      <w:r w:rsidR="002452D4">
        <w:rPr>
          <w:lang w:eastAsia="en-US"/>
        </w:rPr>
        <w:t>„</w:t>
      </w:r>
      <w:r w:rsidR="08AD701B" w:rsidRPr="00273106">
        <w:rPr>
          <w:i/>
        </w:rPr>
        <w:t>totum autem hoc animal</w:t>
      </w:r>
      <w:r w:rsidR="002452D4">
        <w:t>“</w:t>
      </w:r>
      <w:r w:rsidR="08296AC3">
        <w:t xml:space="preserve"> </w:t>
      </w:r>
      <w:r w:rsidR="08296AC3" w:rsidRPr="008A4216">
        <w:rPr>
          <w:szCs w:val="24"/>
        </w:rPr>
        <w:t>(</w:t>
      </w:r>
      <w:r w:rsidR="08296AC3" w:rsidRPr="00AE688E">
        <w:rPr>
          <w:i/>
        </w:rPr>
        <w:t>In Porph. Isag</w:t>
      </w:r>
      <w:r w:rsidR="08296AC3" w:rsidRPr="008A4216">
        <w:rPr>
          <w:szCs w:val="24"/>
        </w:rPr>
        <w:t>. III.10</w:t>
      </w:r>
      <w:r w:rsidR="08296AC3">
        <w:rPr>
          <w:rStyle w:val="TextpoznpodarouChar"/>
        </w:rPr>
        <w:fldChar w:fldCharType="begin"/>
      </w:r>
      <w:r w:rsidR="08296AC3">
        <w:instrText xml:space="preserve"> XE "</w:instrText>
      </w:r>
      <w:r w:rsidR="08296AC3" w:rsidRPr="00AE688E">
        <w:instrText>Boethius</w:instrText>
      </w:r>
      <w:r w:rsidR="08296AC3">
        <w:rPr>
          <w:i/>
        </w:rPr>
        <w:instrText>:In</w:instrText>
      </w:r>
      <w:r w:rsidR="08296AC3" w:rsidRPr="08FF4A01">
        <w:rPr>
          <w:i/>
        </w:rPr>
        <w:instrText xml:space="preserve"> Porph. </w:instrText>
      </w:r>
      <w:r w:rsidR="08296AC3">
        <w:rPr>
          <w:i/>
        </w:rPr>
        <w:instrText>Isag</w:instrText>
      </w:r>
      <w:r w:rsidR="08296AC3" w:rsidRPr="00A80686">
        <w:rPr>
          <w:lang w:eastAsia="en-US"/>
        </w:rPr>
        <w:instrText xml:space="preserve">. </w:instrText>
      </w:r>
      <w:r w:rsidR="08296AC3" w:rsidRPr="00A80686">
        <w:rPr>
          <w:rStyle w:val="TextpoznpodarouChar"/>
        </w:rPr>
        <w:instrText>3.10</w:instrText>
      </w:r>
      <w:r w:rsidR="08296AC3">
        <w:instrText xml:space="preserve">" </w:instrText>
      </w:r>
      <w:r w:rsidR="08296AC3">
        <w:rPr>
          <w:rStyle w:val="TextpoznpodarouChar"/>
        </w:rPr>
        <w:fldChar w:fldCharType="end"/>
      </w:r>
      <w:r w:rsidR="08296AC3" w:rsidRPr="008A4216">
        <w:rPr>
          <w:szCs w:val="24"/>
        </w:rPr>
        <w:t xml:space="preserve">) </w:t>
      </w:r>
      <w:r w:rsidR="08AD701B">
        <w:rPr>
          <w:rStyle w:val="TextpoznpodarouChar"/>
        </w:rPr>
        <w:t xml:space="preserve">hraje důležitou roli ve sporech </w:t>
      </w:r>
      <w:r w:rsidR="08AD701B" w:rsidRPr="00273106">
        <w:rPr>
          <w:rStyle w:val="TextpoznpodarouChar"/>
        </w:rPr>
        <w:t>12. a 13. století</w:t>
      </w:r>
      <w:r w:rsidR="08AD701B">
        <w:rPr>
          <w:lang w:eastAsia="en-US"/>
        </w:rPr>
        <w:t xml:space="preserve">. </w:t>
      </w:r>
      <w:r w:rsidR="08AD701B">
        <w:rPr>
          <w:rStyle w:val="Zkladntext158dkovn0pt"/>
          <w:color w:val="auto"/>
          <w:spacing w:val="0"/>
          <w:sz w:val="24"/>
          <w:lang w:val="cs-CZ"/>
        </w:rPr>
        <w:t>T</w:t>
      </w:r>
      <w:r w:rsidR="08AD701B" w:rsidRPr="00273106">
        <w:rPr>
          <w:rStyle w:val="Zkladntext158dkovn0pt"/>
          <w:color w:val="auto"/>
          <w:spacing w:val="0"/>
          <w:sz w:val="24"/>
          <w:lang w:val="cs-CZ"/>
        </w:rPr>
        <w:t>oto dvojí určení jednotliviny (</w:t>
      </w:r>
      <w:r w:rsidR="08AD701B" w:rsidRPr="00273106">
        <w:rPr>
          <w:rStyle w:val="Zkladntext158dkovn0pt"/>
          <w:i/>
          <w:color w:val="auto"/>
          <w:spacing w:val="0"/>
          <w:sz w:val="24"/>
          <w:lang w:val="cs-CZ"/>
        </w:rPr>
        <w:t>totum autem</w:t>
      </w:r>
      <w:r w:rsidR="002452D4">
        <w:rPr>
          <w:rStyle w:val="Zkladntext158dkovn0pt"/>
          <w:color w:val="auto"/>
          <w:spacing w:val="0"/>
          <w:sz w:val="24"/>
          <w:lang w:val="cs-CZ"/>
        </w:rPr>
        <w:t>–</w:t>
      </w:r>
      <w:r w:rsidR="08AD701B" w:rsidRPr="00273106">
        <w:rPr>
          <w:rStyle w:val="Zkladntext158dkovn0pt"/>
          <w:i/>
          <w:color w:val="auto"/>
          <w:spacing w:val="0"/>
          <w:sz w:val="24"/>
          <w:lang w:val="cs-CZ"/>
        </w:rPr>
        <w:t>hoc animal</w:t>
      </w:r>
      <w:r w:rsidR="08AD701B" w:rsidRPr="00273106">
        <w:rPr>
          <w:rStyle w:val="Zkladntext158dkovn0pt"/>
          <w:color w:val="auto"/>
          <w:spacing w:val="0"/>
          <w:sz w:val="24"/>
          <w:lang w:val="cs-CZ"/>
        </w:rPr>
        <w:t xml:space="preserve">) se stalo zásadním filosofickým problémem. </w:t>
      </w:r>
      <w:r w:rsidR="08AD701B">
        <w:rPr>
          <w:rStyle w:val="Zkladntext158dkovn0pt"/>
          <w:color w:val="auto"/>
          <w:spacing w:val="0"/>
          <w:sz w:val="24"/>
          <w:lang w:val="cs-CZ"/>
        </w:rPr>
        <w:t xml:space="preserve">Pozdní antika a neoplatonská scholastika našla kategoriální predikaci pro univerzální termíny tím, že je dala na úroveň individua. </w:t>
      </w:r>
      <w:r w:rsidR="08314D3E">
        <w:t>Tím se zásadně změnil</w:t>
      </w:r>
      <w:r w:rsidR="08AD701B">
        <w:t xml:space="preserve"> význam substance v</w:t>
      </w:r>
      <w:r w:rsidR="08204BF4">
        <w:t> </w:t>
      </w:r>
      <w:r w:rsidR="08AD701B" w:rsidRPr="00C83E3F">
        <w:rPr>
          <w:i/>
        </w:rPr>
        <w:t>Isagoge</w:t>
      </w:r>
      <w:r w:rsidR="08204BF4">
        <w:t>. D</w:t>
      </w:r>
      <w:r w:rsidR="08AD701B">
        <w:t>efinice celku (</w:t>
      </w:r>
      <w:r w:rsidR="08AD701B" w:rsidRPr="006A0786">
        <w:rPr>
          <w:i/>
        </w:rPr>
        <w:t>totum</w:t>
      </w:r>
      <w:r w:rsidR="08AD701B">
        <w:t xml:space="preserve">) se pak nerozlišeně vztahuje k první substanci i k individuu v modu nově pojaté univocity. </w:t>
      </w:r>
      <w:r w:rsidR="08964CF6">
        <w:rPr>
          <w:rStyle w:val="Zkladntext158dkovn0pt"/>
          <w:color w:val="auto"/>
          <w:spacing w:val="0"/>
          <w:sz w:val="24"/>
          <w:lang w:val="cs-CZ"/>
        </w:rPr>
        <w:t xml:space="preserve">Rodový význam druhé </w:t>
      </w:r>
      <w:r w:rsidR="000A6D93" w:rsidRPr="00273106">
        <w:rPr>
          <w:rStyle w:val="Zkladntext158dkovn0pt"/>
          <w:color w:val="auto"/>
          <w:spacing w:val="0"/>
          <w:sz w:val="24"/>
          <w:lang w:val="cs-CZ"/>
        </w:rPr>
        <w:t>substance</w:t>
      </w:r>
      <w:r w:rsidR="00A70FA4">
        <w:rPr>
          <w:rStyle w:val="Zkladntext158dkovn0pt"/>
          <w:color w:val="auto"/>
          <w:spacing w:val="0"/>
          <w:sz w:val="24"/>
          <w:lang w:val="cs-CZ"/>
        </w:rPr>
        <w:fldChar w:fldCharType="begin"/>
      </w:r>
      <w:r w:rsidR="00A70FA4">
        <w:instrText xml:space="preserve"> XE "</w:instrText>
      </w:r>
      <w:r w:rsidR="00A70FA4" w:rsidRPr="00DE2A32">
        <w:instrText>substance</w:instrText>
      </w:r>
      <w:r w:rsidR="00813F4A">
        <w:instrText>:Boethius</w:instrText>
      </w:r>
      <w:r w:rsidR="00A70FA4">
        <w:instrText xml:space="preserve">" </w:instrText>
      </w:r>
      <w:r w:rsidR="00A70FA4">
        <w:rPr>
          <w:rStyle w:val="Zkladntext158dkovn0pt"/>
          <w:color w:val="auto"/>
          <w:spacing w:val="0"/>
          <w:sz w:val="24"/>
          <w:lang w:val="cs-CZ"/>
        </w:rPr>
        <w:fldChar w:fldCharType="end"/>
      </w:r>
      <w:r w:rsidR="000A6D93" w:rsidRPr="00273106">
        <w:rPr>
          <w:rStyle w:val="Zkladntext158dkovn0pt"/>
          <w:color w:val="auto"/>
          <w:spacing w:val="0"/>
          <w:sz w:val="24"/>
          <w:lang w:val="cs-CZ"/>
        </w:rPr>
        <w:t xml:space="preserve"> </w:t>
      </w:r>
      <w:r w:rsidR="08964CF6">
        <w:rPr>
          <w:rStyle w:val="Zkladntext158dkovn0pt"/>
          <w:color w:val="auto"/>
          <w:spacing w:val="0"/>
          <w:sz w:val="24"/>
          <w:lang w:val="cs-CZ"/>
        </w:rPr>
        <w:t xml:space="preserve">predikované univerzálně </w:t>
      </w:r>
      <w:r w:rsidR="00FB6826" w:rsidRPr="00273106">
        <w:rPr>
          <w:rStyle w:val="Zkladntext158dkovn0pt"/>
          <w:color w:val="auto"/>
          <w:spacing w:val="0"/>
          <w:sz w:val="24"/>
          <w:lang w:val="cs-CZ"/>
        </w:rPr>
        <w:t xml:space="preserve">má </w:t>
      </w:r>
      <w:r w:rsidR="005D74F5">
        <w:rPr>
          <w:rStyle w:val="Zkladntext158dkovn0pt"/>
          <w:color w:val="auto"/>
          <w:spacing w:val="0"/>
          <w:sz w:val="24"/>
          <w:lang w:val="cs-CZ"/>
        </w:rPr>
        <w:t xml:space="preserve">podle </w:t>
      </w:r>
      <w:r w:rsidR="005D74F5" w:rsidRPr="005D74F5">
        <w:rPr>
          <w:rStyle w:val="Zkladntext158dkovn0pt"/>
          <w:i/>
          <w:color w:val="auto"/>
          <w:spacing w:val="0"/>
          <w:sz w:val="24"/>
          <w:lang w:val="cs-CZ"/>
        </w:rPr>
        <w:t>Isagoge</w:t>
      </w:r>
      <w:r w:rsidR="006B66EA">
        <w:rPr>
          <w:rStyle w:val="Zkladntext158dkovn0pt"/>
          <w:color w:val="auto"/>
          <w:spacing w:val="0"/>
          <w:sz w:val="24"/>
          <w:lang w:val="cs-CZ"/>
        </w:rPr>
        <w:t xml:space="preserve"> </w:t>
      </w:r>
      <w:r w:rsidR="000A6D93" w:rsidRPr="00273106">
        <w:rPr>
          <w:rStyle w:val="Zkladntext158dkovn0pt"/>
          <w:color w:val="auto"/>
          <w:spacing w:val="0"/>
          <w:sz w:val="24"/>
          <w:lang w:val="cs-CZ"/>
        </w:rPr>
        <w:t>podobnost s hylemorfickou složeninou</w:t>
      </w:r>
      <w:r w:rsidR="00212D28" w:rsidRPr="00273106">
        <w:rPr>
          <w:rStyle w:val="Zkladntext158dkovn0pt"/>
          <w:color w:val="auto"/>
          <w:spacing w:val="0"/>
          <w:sz w:val="24"/>
          <w:lang w:val="cs-CZ"/>
        </w:rPr>
        <w:t xml:space="preserve"> </w:t>
      </w:r>
      <w:r w:rsidR="086B073B">
        <w:rPr>
          <w:rStyle w:val="Zkladntext158dkovn0pt"/>
          <w:color w:val="auto"/>
          <w:spacing w:val="0"/>
          <w:sz w:val="24"/>
          <w:lang w:val="cs-CZ"/>
        </w:rPr>
        <w:t xml:space="preserve">pouze </w:t>
      </w:r>
      <w:r w:rsidR="000A6D93" w:rsidRPr="00273106">
        <w:rPr>
          <w:rStyle w:val="Zkladntext158dkovn0pt"/>
          <w:color w:val="auto"/>
          <w:spacing w:val="0"/>
          <w:sz w:val="24"/>
          <w:lang w:val="cs-CZ"/>
        </w:rPr>
        <w:t>v rámci analogie</w:t>
      </w:r>
      <w:r w:rsidR="00212D28" w:rsidRPr="00273106">
        <w:rPr>
          <w:rStyle w:val="Zkladntext158dkovn0pt"/>
          <w:color w:val="auto"/>
          <w:spacing w:val="0"/>
          <w:sz w:val="24"/>
          <w:lang w:val="cs-CZ"/>
        </w:rPr>
        <w:t xml:space="preserve"> (</w:t>
      </w:r>
      <w:r w:rsidR="00212D28" w:rsidRPr="00273106">
        <w:rPr>
          <w:color w:val="000000"/>
        </w:rPr>
        <w:t>ἀναλόγου συνέστηκεν τοῦ γένους</w:t>
      </w:r>
      <w:r w:rsidR="082853B2">
        <w:rPr>
          <w:color w:val="000000"/>
        </w:rPr>
        <w:t xml:space="preserve">, </w:t>
      </w:r>
      <w:r w:rsidR="082853B2" w:rsidRPr="082853B2">
        <w:rPr>
          <w:i/>
          <w:color w:val="000000"/>
        </w:rPr>
        <w:t>Isag</w:t>
      </w:r>
      <w:r w:rsidR="082853B2">
        <w:rPr>
          <w:color w:val="000000"/>
        </w:rPr>
        <w:t>. 11.15</w:t>
      </w:r>
      <w:r w:rsidR="082853B2">
        <w:rPr>
          <w:color w:val="000000"/>
        </w:rPr>
        <w:fldChar w:fldCharType="begin"/>
      </w:r>
      <w:r w:rsidR="082853B2">
        <w:instrText xml:space="preserve"> XE "Porfyrius:</w:instrText>
      </w:r>
      <w:r w:rsidR="082853B2" w:rsidRPr="08CB407D">
        <w:rPr>
          <w:i/>
          <w:color w:val="000000"/>
        </w:rPr>
        <w:instrText>Isag</w:instrText>
      </w:r>
      <w:r w:rsidR="082853B2" w:rsidRPr="08CB407D">
        <w:rPr>
          <w:color w:val="000000"/>
        </w:rPr>
        <w:instrText>. 11.15</w:instrText>
      </w:r>
      <w:r w:rsidR="082853B2">
        <w:instrText xml:space="preserve">" </w:instrText>
      </w:r>
      <w:r w:rsidR="082853B2">
        <w:rPr>
          <w:color w:val="000000"/>
        </w:rPr>
        <w:fldChar w:fldCharType="end"/>
      </w:r>
      <w:r w:rsidR="0833418E">
        <w:rPr>
          <w:color w:val="000000"/>
        </w:rPr>
        <w:t xml:space="preserve">). Kategoriální predikace se změnila </w:t>
      </w:r>
      <w:r w:rsidR="081C1832">
        <w:rPr>
          <w:color w:val="000000"/>
        </w:rPr>
        <w:t xml:space="preserve">v modu </w:t>
      </w:r>
      <w:r w:rsidR="08E33B40">
        <w:rPr>
          <w:color w:val="000000"/>
        </w:rPr>
        <w:t xml:space="preserve">dialektického dělení </w:t>
      </w:r>
      <w:r w:rsidR="089E55FD">
        <w:rPr>
          <w:color w:val="000000"/>
        </w:rPr>
        <w:t xml:space="preserve">a skládání </w:t>
      </w:r>
      <w:r w:rsidR="08E33B40">
        <w:rPr>
          <w:color w:val="000000"/>
        </w:rPr>
        <w:t xml:space="preserve">univerzálií </w:t>
      </w:r>
      <w:r w:rsidR="089E55FD">
        <w:rPr>
          <w:color w:val="000000"/>
        </w:rPr>
        <w:t xml:space="preserve">a esenciálních určení jsoucna </w:t>
      </w:r>
      <w:r w:rsidR="0833418E">
        <w:rPr>
          <w:color w:val="000000"/>
        </w:rPr>
        <w:t xml:space="preserve">na </w:t>
      </w:r>
      <w:r w:rsidR="089E55FD">
        <w:rPr>
          <w:color w:val="000000"/>
        </w:rPr>
        <w:t xml:space="preserve">pouhou </w:t>
      </w:r>
      <w:r w:rsidR="0833418E">
        <w:rPr>
          <w:color w:val="000000"/>
        </w:rPr>
        <w:t xml:space="preserve">analogickou podobnost, což </w:t>
      </w:r>
      <w:r w:rsidR="086E39D8">
        <w:rPr>
          <w:color w:val="000000"/>
        </w:rPr>
        <w:t xml:space="preserve">Boethiův </w:t>
      </w:r>
      <w:r w:rsidR="00E76429">
        <w:rPr>
          <w:color w:val="000000"/>
        </w:rPr>
        <w:t>překlad přesně převádí do latiny (</w:t>
      </w:r>
      <w:r w:rsidR="00212D28" w:rsidRPr="00273106">
        <w:rPr>
          <w:rStyle w:val="Zkladntext158dkovn0pt"/>
          <w:i/>
          <w:color w:val="auto"/>
          <w:spacing w:val="0"/>
          <w:sz w:val="24"/>
          <w:lang w:val="cs-CZ"/>
        </w:rPr>
        <w:t>similiter consistit genere</w:t>
      </w:r>
      <w:r w:rsidR="00212D28" w:rsidRPr="00273106">
        <w:rPr>
          <w:rStyle w:val="Zkladntext158dkovn0pt"/>
          <w:color w:val="auto"/>
          <w:spacing w:val="0"/>
          <w:sz w:val="24"/>
          <w:lang w:val="cs-CZ"/>
        </w:rPr>
        <w:t>).</w:t>
      </w:r>
      <w:r w:rsidR="003B5329" w:rsidRPr="00273106">
        <w:rPr>
          <w:rStyle w:val="Znakapoznpodarou"/>
          <w:szCs w:val="27"/>
          <w:shd w:val="clear" w:color="auto" w:fill="FFFFFF"/>
        </w:rPr>
        <w:footnoteReference w:id="5"/>
      </w:r>
      <w:r w:rsidR="00212D28" w:rsidRPr="00273106">
        <w:rPr>
          <w:rStyle w:val="Zkladntext158dkovn0pt"/>
          <w:color w:val="auto"/>
          <w:spacing w:val="0"/>
          <w:sz w:val="24"/>
          <w:lang w:val="cs-CZ"/>
        </w:rPr>
        <w:t xml:space="preserve"> Rod </w:t>
      </w:r>
      <w:r w:rsidR="0866476C">
        <w:rPr>
          <w:rStyle w:val="Zkladntext158dkovn0pt"/>
          <w:color w:val="auto"/>
          <w:spacing w:val="0"/>
          <w:sz w:val="24"/>
          <w:lang w:val="cs-CZ"/>
        </w:rPr>
        <w:t xml:space="preserve">predikovaný v rámci abstraktní dialektiky </w:t>
      </w:r>
      <w:r w:rsidR="088F64E6">
        <w:rPr>
          <w:rStyle w:val="Zkladntext158dkovn0pt"/>
          <w:color w:val="auto"/>
          <w:spacing w:val="0"/>
          <w:sz w:val="24"/>
          <w:lang w:val="cs-CZ"/>
        </w:rPr>
        <w:t xml:space="preserve">a syntézy </w:t>
      </w:r>
      <w:r w:rsidR="00212D28" w:rsidRPr="00273106">
        <w:rPr>
          <w:rStyle w:val="Zkladntext158dkovn0pt"/>
          <w:color w:val="auto"/>
          <w:spacing w:val="0"/>
          <w:sz w:val="24"/>
          <w:lang w:val="cs-CZ"/>
        </w:rPr>
        <w:t xml:space="preserve">vytváří novou jednotku významu na úrovni posledního </w:t>
      </w:r>
      <w:r w:rsidR="00212D28" w:rsidRPr="00273106">
        <w:rPr>
          <w:rStyle w:val="Zkladntext158dkovn0pt"/>
          <w:color w:val="auto"/>
          <w:spacing w:val="0"/>
          <w:sz w:val="24"/>
          <w:lang w:val="cs-CZ"/>
        </w:rPr>
        <w:lastRenderedPageBreak/>
        <w:t>univerzálního určení člověka</w:t>
      </w:r>
      <w:r w:rsidR="081326FC">
        <w:rPr>
          <w:rStyle w:val="Zkladntext158dkovn0pt"/>
          <w:color w:val="auto"/>
          <w:spacing w:val="0"/>
          <w:sz w:val="24"/>
          <w:lang w:val="cs-CZ"/>
        </w:rPr>
        <w:t xml:space="preserve">. Moderna je přímo fascinována tímto typem individua. Tato nedělitelná substance vzniká v </w:t>
      </w:r>
      <w:r w:rsidR="00212D28" w:rsidRPr="00273106">
        <w:rPr>
          <w:rStyle w:val="Zkladntext158dkovn0pt"/>
          <w:color w:val="auto"/>
          <w:spacing w:val="0"/>
          <w:sz w:val="24"/>
          <w:lang w:val="cs-CZ"/>
        </w:rPr>
        <w:t xml:space="preserve">rámci diference mezi </w:t>
      </w:r>
      <w:r w:rsidR="088F64E6">
        <w:rPr>
          <w:rStyle w:val="Zkladntext158dkovn0pt"/>
          <w:color w:val="auto"/>
          <w:spacing w:val="0"/>
          <w:sz w:val="24"/>
          <w:lang w:val="cs-CZ"/>
        </w:rPr>
        <w:t xml:space="preserve">rodovými </w:t>
      </w:r>
      <w:r w:rsidR="00212D28" w:rsidRPr="00273106">
        <w:rPr>
          <w:rStyle w:val="Zkladntext158dkovn0pt"/>
          <w:color w:val="auto"/>
          <w:spacing w:val="0"/>
          <w:sz w:val="24"/>
          <w:lang w:val="cs-CZ"/>
        </w:rPr>
        <w:t xml:space="preserve">a </w:t>
      </w:r>
      <w:r w:rsidR="088F64E6">
        <w:rPr>
          <w:rStyle w:val="Zkladntext158dkovn0pt"/>
          <w:color w:val="auto"/>
          <w:spacing w:val="0"/>
          <w:sz w:val="24"/>
          <w:lang w:val="cs-CZ"/>
        </w:rPr>
        <w:t>druhovými významy chápanými jako univerzálie</w:t>
      </w:r>
      <w:r w:rsidR="00212D28" w:rsidRPr="00273106">
        <w:rPr>
          <w:rStyle w:val="Zkladntext158dkovn0pt"/>
          <w:color w:val="auto"/>
          <w:spacing w:val="0"/>
          <w:sz w:val="24"/>
          <w:lang w:val="cs-CZ"/>
        </w:rPr>
        <w:t xml:space="preserve">. </w:t>
      </w:r>
      <w:r w:rsidR="00444D2E" w:rsidRPr="00273106">
        <w:rPr>
          <w:rStyle w:val="Zkladntext158dkovn0pt"/>
          <w:color w:val="auto"/>
          <w:spacing w:val="0"/>
          <w:sz w:val="24"/>
          <w:lang w:val="cs-CZ"/>
        </w:rPr>
        <w:t xml:space="preserve">Individuum typu „Sokrates“ umístěné na konci univerzálního dělení </w:t>
      </w:r>
      <w:r w:rsidR="006A04C6" w:rsidRPr="006A04C6">
        <w:rPr>
          <w:rStyle w:val="Zkladntext158dkovn0pt"/>
          <w:color w:val="auto"/>
          <w:spacing w:val="0"/>
          <w:sz w:val="24"/>
          <w:lang w:val="cs-CZ"/>
        </w:rPr>
        <w:t>species</w:t>
      </w:r>
      <w:r w:rsidR="00444D2E" w:rsidRPr="00273106">
        <w:rPr>
          <w:rStyle w:val="Zkladntext158dkovn0pt"/>
          <w:color w:val="auto"/>
          <w:spacing w:val="0"/>
          <w:sz w:val="24"/>
          <w:lang w:val="cs-CZ"/>
        </w:rPr>
        <w:t xml:space="preserve"> v rámci </w:t>
      </w:r>
      <w:r w:rsidR="00BB45B1">
        <w:rPr>
          <w:rStyle w:val="Zkladntext158dkovn0pt"/>
          <w:color w:val="auto"/>
          <w:spacing w:val="0"/>
          <w:sz w:val="24"/>
          <w:lang w:val="cs-CZ"/>
        </w:rPr>
        <w:t>Porfyri</w:t>
      </w:r>
      <w:r w:rsidR="00444D2E" w:rsidRPr="00273106">
        <w:rPr>
          <w:rStyle w:val="Zkladntext158dkovn0pt"/>
          <w:color w:val="auto"/>
          <w:spacing w:val="0"/>
          <w:sz w:val="24"/>
          <w:lang w:val="cs-CZ"/>
        </w:rPr>
        <w:t>ova stromu se proto zásadně liší od aktuální první substance</w:t>
      </w:r>
      <w:r w:rsidR="081D1CD5">
        <w:rPr>
          <w:rStyle w:val="Zkladntext158dkovn0pt"/>
          <w:color w:val="auto"/>
          <w:spacing w:val="0"/>
          <w:sz w:val="24"/>
          <w:lang w:val="cs-CZ"/>
        </w:rPr>
        <w:t xml:space="preserve"> svou minimální jsoucností danou pouze univerzálně</w:t>
      </w:r>
      <w:r w:rsidR="08111618">
        <w:rPr>
          <w:rStyle w:val="Zkladntext158dkovn0pt"/>
          <w:color w:val="auto"/>
          <w:spacing w:val="0"/>
          <w:sz w:val="24"/>
          <w:lang w:val="cs-CZ"/>
        </w:rPr>
        <w:t xml:space="preserve">. </w:t>
      </w:r>
      <w:r w:rsidR="084C5DF5">
        <w:rPr>
          <w:rStyle w:val="Zkladntext158dkovn0pt"/>
          <w:color w:val="auto"/>
          <w:spacing w:val="0"/>
          <w:sz w:val="24"/>
          <w:lang w:val="cs-CZ"/>
        </w:rPr>
        <w:t>N</w:t>
      </w:r>
      <w:r w:rsidR="08111618">
        <w:rPr>
          <w:rStyle w:val="Zkladntext158dkovn0pt"/>
          <w:color w:val="auto"/>
          <w:spacing w:val="0"/>
          <w:sz w:val="24"/>
          <w:lang w:val="cs-CZ"/>
        </w:rPr>
        <w:t xml:space="preserve">esamostatné specifické bytí </w:t>
      </w:r>
      <w:r w:rsidR="084C5DF5">
        <w:rPr>
          <w:rStyle w:val="Zkladntext158dkovn0pt"/>
          <w:color w:val="auto"/>
          <w:spacing w:val="0"/>
          <w:sz w:val="24"/>
          <w:lang w:val="cs-CZ"/>
        </w:rPr>
        <w:t xml:space="preserve">individua </w:t>
      </w:r>
      <w:r w:rsidR="08111618">
        <w:rPr>
          <w:rStyle w:val="Zkladntext158dkovn0pt"/>
          <w:color w:val="auto"/>
          <w:spacing w:val="0"/>
          <w:sz w:val="24"/>
          <w:lang w:val="cs-CZ"/>
        </w:rPr>
        <w:t xml:space="preserve">dané pouze v mysli proto vytváří pouze </w:t>
      </w:r>
      <w:r w:rsidR="089E55FD">
        <w:rPr>
          <w:rStyle w:val="Zkladntext158dkovn0pt"/>
          <w:color w:val="auto"/>
          <w:spacing w:val="0"/>
          <w:sz w:val="24"/>
          <w:lang w:val="cs-CZ"/>
        </w:rPr>
        <w:t>analogi</w:t>
      </w:r>
      <w:r w:rsidR="08111618">
        <w:rPr>
          <w:rStyle w:val="Zkladntext158dkovn0pt"/>
          <w:color w:val="auto"/>
          <w:spacing w:val="0"/>
          <w:sz w:val="24"/>
          <w:lang w:val="cs-CZ"/>
        </w:rPr>
        <w:t>ckou podobnost</w:t>
      </w:r>
      <w:r w:rsidR="089E55FD">
        <w:rPr>
          <w:rStyle w:val="Zkladntext158dkovn0pt"/>
          <w:color w:val="auto"/>
          <w:spacing w:val="0"/>
          <w:sz w:val="24"/>
          <w:lang w:val="cs-CZ"/>
        </w:rPr>
        <w:t xml:space="preserve"> s reálnou první substancí</w:t>
      </w:r>
      <w:r w:rsidR="00444D2E" w:rsidRPr="00273106">
        <w:rPr>
          <w:rStyle w:val="Zkladntext158dkovn0pt"/>
          <w:color w:val="auto"/>
          <w:spacing w:val="0"/>
          <w:sz w:val="24"/>
          <w:lang w:val="cs-CZ"/>
        </w:rPr>
        <w:t xml:space="preserve">. </w:t>
      </w:r>
      <w:r w:rsidR="08C1409B">
        <w:rPr>
          <w:lang w:eastAsia="en-US"/>
        </w:rPr>
        <w:t>C</w:t>
      </w:r>
      <w:r w:rsidR="00BB4C9B" w:rsidRPr="00273106">
        <w:rPr>
          <w:rStyle w:val="Zkladntext158dkovn0pt"/>
          <w:color w:val="auto"/>
          <w:spacing w:val="0"/>
          <w:sz w:val="24"/>
          <w:lang w:val="cs-CZ"/>
        </w:rPr>
        <w:t>elek (</w:t>
      </w:r>
      <w:r w:rsidR="00BB4C9B" w:rsidRPr="00273106">
        <w:rPr>
          <w:rStyle w:val="Zkladntext158dkovn0pt"/>
          <w:i/>
          <w:color w:val="auto"/>
          <w:spacing w:val="0"/>
          <w:sz w:val="24"/>
          <w:lang w:val="cs-CZ"/>
        </w:rPr>
        <w:t>totum</w:t>
      </w:r>
      <w:r w:rsidR="00BB4C9B" w:rsidRPr="00273106">
        <w:rPr>
          <w:rStyle w:val="Zkladntext158dkovn0pt"/>
          <w:color w:val="auto"/>
          <w:spacing w:val="0"/>
          <w:sz w:val="24"/>
          <w:lang w:val="cs-CZ"/>
        </w:rPr>
        <w:t xml:space="preserve">) shrnutý v </w:t>
      </w:r>
      <w:r w:rsidR="08793740">
        <w:rPr>
          <w:rStyle w:val="Zkladntext158dkovn0pt"/>
          <w:color w:val="auto"/>
          <w:spacing w:val="0"/>
          <w:sz w:val="24"/>
          <w:lang w:val="cs-CZ"/>
        </w:rPr>
        <w:t xml:space="preserve">univerzálním významu </w:t>
      </w:r>
      <w:r w:rsidR="00BB4C9B" w:rsidRPr="00273106">
        <w:rPr>
          <w:rStyle w:val="Zkladntext158dkovn0pt"/>
          <w:color w:val="auto"/>
          <w:spacing w:val="0"/>
          <w:sz w:val="24"/>
          <w:lang w:val="cs-CZ"/>
        </w:rPr>
        <w:t>„člověk“</w:t>
      </w:r>
      <w:r w:rsidR="08AD5993">
        <w:rPr>
          <w:rStyle w:val="Zkladntext158dkovn0pt"/>
          <w:color w:val="auto"/>
          <w:spacing w:val="0"/>
          <w:sz w:val="24"/>
          <w:lang w:val="cs-CZ"/>
        </w:rPr>
        <w:t xml:space="preserve"> </w:t>
      </w:r>
      <w:r w:rsidR="08793740">
        <w:rPr>
          <w:rStyle w:val="Zkladntext158dkovn0pt"/>
          <w:color w:val="auto"/>
          <w:spacing w:val="0"/>
          <w:sz w:val="24"/>
          <w:lang w:val="cs-CZ"/>
        </w:rPr>
        <w:t>nemůže být predikován v této univerzální podobě univočně-kategoriálně, ale pouze analogicky</w:t>
      </w:r>
      <w:r w:rsidR="00BB4C9B" w:rsidRPr="00273106">
        <w:rPr>
          <w:rStyle w:val="Zkladntext158dkovn0pt"/>
          <w:color w:val="auto"/>
          <w:spacing w:val="0"/>
          <w:sz w:val="24"/>
          <w:lang w:val="cs-CZ"/>
        </w:rPr>
        <w:t xml:space="preserve">. </w:t>
      </w:r>
      <w:r w:rsidR="08A04A03">
        <w:rPr>
          <w:rStyle w:val="Zkladntext158dkovn0pt"/>
          <w:color w:val="auto"/>
          <w:spacing w:val="0"/>
          <w:sz w:val="24"/>
          <w:lang w:val="cs-CZ"/>
        </w:rPr>
        <w:t xml:space="preserve">Boethiův překlad </w:t>
      </w:r>
      <w:r w:rsidR="08A04A03" w:rsidRPr="08A04A03">
        <w:rPr>
          <w:rStyle w:val="Zkladntext158dkovn0pt"/>
          <w:i/>
          <w:color w:val="auto"/>
          <w:spacing w:val="0"/>
          <w:sz w:val="24"/>
          <w:lang w:val="cs-CZ"/>
        </w:rPr>
        <w:t>Isagoge</w:t>
      </w:r>
      <w:r w:rsidR="087E0688">
        <w:rPr>
          <w:rStyle w:val="Zkladntext158dkovn0pt"/>
          <w:color w:val="auto"/>
          <w:spacing w:val="0"/>
          <w:sz w:val="24"/>
          <w:lang w:val="cs-CZ"/>
        </w:rPr>
        <w:t xml:space="preserve"> </w:t>
      </w:r>
      <w:r w:rsidR="08A04A03">
        <w:rPr>
          <w:rStyle w:val="Zkladntext158dkovn0pt"/>
          <w:color w:val="auto"/>
          <w:spacing w:val="0"/>
          <w:sz w:val="24"/>
          <w:lang w:val="cs-CZ"/>
        </w:rPr>
        <w:t>proto považuje termín „</w:t>
      </w:r>
      <w:r w:rsidR="000F71C8" w:rsidRPr="000F71C8">
        <w:rPr>
          <w:rStyle w:val="Zkladntext158dkovn0pt"/>
          <w:i/>
          <w:color w:val="auto"/>
          <w:spacing w:val="0"/>
          <w:sz w:val="24"/>
          <w:lang w:val="cs-CZ"/>
        </w:rPr>
        <w:t>homo</w:t>
      </w:r>
      <w:r w:rsidR="08A04A03">
        <w:rPr>
          <w:rStyle w:val="Zkladntext158dkovn0pt"/>
          <w:color w:val="auto"/>
          <w:spacing w:val="0"/>
          <w:sz w:val="24"/>
          <w:lang w:val="cs-CZ"/>
        </w:rPr>
        <w:t xml:space="preserve">“ za </w:t>
      </w:r>
      <w:r w:rsidR="08B1264F">
        <w:rPr>
          <w:rStyle w:val="Zkladntext158dkovn0pt"/>
          <w:color w:val="auto"/>
          <w:spacing w:val="0"/>
          <w:sz w:val="24"/>
          <w:lang w:val="cs-CZ"/>
        </w:rPr>
        <w:t>pouhé ekvivoční označení</w:t>
      </w:r>
      <w:r w:rsidR="08BB61AB">
        <w:rPr>
          <w:rStyle w:val="Zkladntext158dkovn0pt"/>
          <w:color w:val="auto"/>
          <w:spacing w:val="0"/>
          <w:sz w:val="24"/>
          <w:lang w:val="cs-CZ"/>
        </w:rPr>
        <w:t>. N</w:t>
      </w:r>
      <w:r w:rsidR="082C31CE">
        <w:rPr>
          <w:rStyle w:val="Zkladntext158dkovn0pt"/>
          <w:color w:val="auto"/>
          <w:spacing w:val="0"/>
          <w:sz w:val="24"/>
          <w:lang w:val="cs-CZ"/>
        </w:rPr>
        <w:t>ěco jiného je hypa</w:t>
      </w:r>
      <w:r w:rsidR="08285784">
        <w:rPr>
          <w:rStyle w:val="Zkladntext158dkovn0pt"/>
          <w:color w:val="auto"/>
          <w:spacing w:val="0"/>
          <w:sz w:val="24"/>
          <w:lang w:val="cs-CZ"/>
        </w:rPr>
        <w:t>r</w:t>
      </w:r>
      <w:r w:rsidR="082C31CE">
        <w:rPr>
          <w:rStyle w:val="Zkladntext158dkovn0pt"/>
          <w:color w:val="auto"/>
          <w:spacing w:val="0"/>
          <w:sz w:val="24"/>
          <w:lang w:val="cs-CZ"/>
        </w:rPr>
        <w:t xml:space="preserve">chická predikace </w:t>
      </w:r>
      <w:r w:rsidR="082C31CE" w:rsidRPr="08257A5F">
        <w:rPr>
          <w:rStyle w:val="Zkladntext158dkovn0pt"/>
          <w:i/>
          <w:color w:val="auto"/>
          <w:spacing w:val="0"/>
          <w:sz w:val="24"/>
          <w:lang w:val="cs-CZ"/>
        </w:rPr>
        <w:t>totum</w:t>
      </w:r>
      <w:r w:rsidR="082C31CE">
        <w:rPr>
          <w:rStyle w:val="Zkladntext158dkovn0pt"/>
          <w:color w:val="auto"/>
          <w:spacing w:val="0"/>
          <w:sz w:val="24"/>
          <w:lang w:val="cs-CZ"/>
        </w:rPr>
        <w:t xml:space="preserve"> jako druhé substance, která v modu impozice vypovídá o reálném bytí první substance. </w:t>
      </w:r>
      <w:r w:rsidR="08BA5548">
        <w:rPr>
          <w:rStyle w:val="Zkladntext158dkovn0pt"/>
          <w:color w:val="auto"/>
          <w:spacing w:val="0"/>
          <w:sz w:val="24"/>
          <w:lang w:val="cs-CZ"/>
        </w:rPr>
        <w:t>P</w:t>
      </w:r>
      <w:r w:rsidR="082C31CE">
        <w:t xml:space="preserve">ravdivé poznání druhé substance určuje kategoriální predikace daná ve </w:t>
      </w:r>
      <w:r w:rsidR="082C31CE" w:rsidRPr="00D34387">
        <w:rPr>
          <w:i/>
        </w:rPr>
        <w:t>Druhých analytikách</w:t>
      </w:r>
      <w:r w:rsidR="082C31CE">
        <w:t xml:space="preserve"> skrze vědeckou dedukci danou vzhledem ke kauzalitě reálných prvních substancí (</w:t>
      </w:r>
      <w:r w:rsidR="082C31CE" w:rsidRPr="002970D3">
        <w:rPr>
          <w:i/>
        </w:rPr>
        <w:t>demonstratio</w:t>
      </w:r>
      <w:r w:rsidR="082C31CE">
        <w:t xml:space="preserve">). </w:t>
      </w:r>
      <w:r w:rsidR="085D2A72">
        <w:rPr>
          <w:lang w:eastAsia="en-US"/>
        </w:rPr>
        <w:t>A</w:t>
      </w:r>
      <w:r w:rsidR="085D2A72" w:rsidRPr="00273106">
        <w:rPr>
          <w:lang w:eastAsia="en-US"/>
        </w:rPr>
        <w:t xml:space="preserve">mbivalentní pojetí </w:t>
      </w:r>
      <w:r w:rsidR="085D2A72" w:rsidRPr="00273106">
        <w:rPr>
          <w:i/>
          <w:lang w:eastAsia="en-US"/>
        </w:rPr>
        <w:t>totum</w:t>
      </w:r>
      <w:r w:rsidR="085D2A72" w:rsidRPr="00273106">
        <w:rPr>
          <w:lang w:eastAsia="en-US"/>
        </w:rPr>
        <w:t xml:space="preserve"> </w:t>
      </w:r>
      <w:r w:rsidR="004C5B0A">
        <w:rPr>
          <w:lang w:eastAsia="en-US"/>
        </w:rPr>
        <w:t xml:space="preserve">vzniklo tím, že individuum jako </w:t>
      </w:r>
      <w:r w:rsidR="004C5B0A" w:rsidRPr="004C5B0A">
        <w:rPr>
          <w:i/>
          <w:lang w:eastAsia="en-US"/>
        </w:rPr>
        <w:t>tertium ens</w:t>
      </w:r>
      <w:r w:rsidR="004C5B0A">
        <w:rPr>
          <w:lang w:eastAsia="en-US"/>
        </w:rPr>
        <w:t xml:space="preserve"> se vztáhlo k</w:t>
      </w:r>
      <w:r w:rsidR="085D2A72" w:rsidRPr="00273106">
        <w:rPr>
          <w:lang w:eastAsia="en-US"/>
        </w:rPr>
        <w:t xml:space="preserve"> substanci a k tělesu třetího druhu</w:t>
      </w:r>
      <w:r w:rsidR="004C5B0A">
        <w:rPr>
          <w:lang w:eastAsia="en-US"/>
        </w:rPr>
        <w:t>.</w:t>
      </w:r>
      <w:r w:rsidR="00285219">
        <w:rPr>
          <w:lang w:eastAsia="en-US"/>
        </w:rPr>
        <w:t xml:space="preserve"> Tento metafyzický </w:t>
      </w:r>
      <w:r w:rsidR="00285219" w:rsidRPr="00285219">
        <w:rPr>
          <w:i/>
          <w:lang w:eastAsia="en-US"/>
        </w:rPr>
        <w:t>Irrtum</w:t>
      </w:r>
      <w:r w:rsidR="00285219">
        <w:rPr>
          <w:lang w:eastAsia="en-US"/>
        </w:rPr>
        <w:t xml:space="preserve"> se na </w:t>
      </w:r>
      <w:r w:rsidR="08335050">
        <w:rPr>
          <w:lang w:eastAsia="en-US"/>
        </w:rPr>
        <w:t xml:space="preserve">latinském </w:t>
      </w:r>
      <w:r w:rsidR="00285219">
        <w:rPr>
          <w:lang w:eastAsia="en-US"/>
        </w:rPr>
        <w:t>Západě prosadil</w:t>
      </w:r>
      <w:r w:rsidR="085D2A72" w:rsidRPr="00273106">
        <w:rPr>
          <w:lang w:eastAsia="en-US"/>
        </w:rPr>
        <w:t xml:space="preserve"> se stejnou </w:t>
      </w:r>
      <w:r w:rsidR="00BD3553">
        <w:rPr>
          <w:lang w:eastAsia="en-US"/>
        </w:rPr>
        <w:t xml:space="preserve">fatalitou </w:t>
      </w:r>
      <w:r w:rsidR="085D2A72" w:rsidRPr="00273106">
        <w:rPr>
          <w:lang w:eastAsia="en-US"/>
        </w:rPr>
        <w:t xml:space="preserve">jako nové formy </w:t>
      </w:r>
      <w:r w:rsidR="085D2A72" w:rsidRPr="00273106">
        <w:rPr>
          <w:i/>
          <w:lang w:eastAsia="en-US"/>
        </w:rPr>
        <w:t xml:space="preserve">tertium ens </w:t>
      </w:r>
      <w:r w:rsidR="085D2A72" w:rsidRPr="00273106">
        <w:rPr>
          <w:lang w:eastAsia="en-US"/>
        </w:rPr>
        <w:t>v neoplatoni</w:t>
      </w:r>
      <w:r w:rsidR="085D2A72">
        <w:rPr>
          <w:lang w:eastAsia="en-US"/>
        </w:rPr>
        <w:t>s</w:t>
      </w:r>
      <w:r w:rsidR="085D2A72" w:rsidRPr="00273106">
        <w:rPr>
          <w:lang w:eastAsia="en-US"/>
        </w:rPr>
        <w:t>mu a ve falsafě.</w:t>
      </w:r>
    </w:p>
    <w:p w14:paraId="6B7A5825" w14:textId="48A69F80" w:rsidR="008B5A0F" w:rsidRDefault="08335050" w:rsidP="009248AE">
      <w:pPr>
        <w:ind w:firstLine="397"/>
      </w:pPr>
      <w:r>
        <w:rPr>
          <w:rStyle w:val="Zkladntext158dkovn0pt"/>
          <w:color w:val="auto"/>
          <w:spacing w:val="0"/>
          <w:sz w:val="24"/>
          <w:lang w:val="cs-CZ"/>
        </w:rPr>
        <w:t xml:space="preserve">Scholastika </w:t>
      </w:r>
      <w:r w:rsidR="00463A5E" w:rsidRPr="00273106">
        <w:t>neměl</w:t>
      </w:r>
      <w:r>
        <w:t>a</w:t>
      </w:r>
      <w:r w:rsidR="00463A5E" w:rsidRPr="00273106">
        <w:t xml:space="preserve"> jen Boethiův</w:t>
      </w:r>
      <w:r w:rsidR="00E73E21" w:rsidRPr="00273106">
        <w:t xml:space="preserve"> překlad </w:t>
      </w:r>
      <w:r w:rsidR="005D74F5" w:rsidRPr="005D74F5">
        <w:rPr>
          <w:i/>
        </w:rPr>
        <w:t>Isagoge</w:t>
      </w:r>
      <w:r w:rsidR="00E73E21" w:rsidRPr="00273106">
        <w:t xml:space="preserve">, </w:t>
      </w:r>
      <w:r w:rsidR="00463A5E" w:rsidRPr="00273106">
        <w:t xml:space="preserve">působila v něm i tradice </w:t>
      </w:r>
      <w:r w:rsidR="00874074">
        <w:t>neoplatonsk</w:t>
      </w:r>
      <w:r w:rsidR="08CB0026" w:rsidRPr="00273106">
        <w:t xml:space="preserve">é </w:t>
      </w:r>
      <w:r w:rsidR="00463A5E" w:rsidRPr="00273106">
        <w:t>falsafy</w:t>
      </w:r>
      <w:r w:rsidR="00D34387">
        <w:t xml:space="preserve"> předané Avicennou</w:t>
      </w:r>
      <w:r w:rsidR="00463A5E" w:rsidRPr="00273106">
        <w:t xml:space="preserve">. </w:t>
      </w:r>
      <w:r w:rsidR="00D5151C" w:rsidRPr="00273106">
        <w:t xml:space="preserve">Univerzální určení v rámci </w:t>
      </w:r>
      <w:r w:rsidR="08313D55" w:rsidRPr="00273106">
        <w:t xml:space="preserve">rodu a </w:t>
      </w:r>
      <w:r w:rsidR="08257A5F">
        <w:t xml:space="preserve">druhu </w:t>
      </w:r>
      <w:r w:rsidR="00941F7B" w:rsidRPr="00273106">
        <w:t>zača</w:t>
      </w:r>
      <w:r w:rsidR="00D5151C" w:rsidRPr="00273106">
        <w:t xml:space="preserve">lo expandovat </w:t>
      </w:r>
      <w:r w:rsidR="08AF0F98">
        <w:t xml:space="preserve">skrze Avicennovu metafyziku a amfibolní predikaci </w:t>
      </w:r>
      <w:r w:rsidR="08E17C15">
        <w:rPr>
          <w:rStyle w:val="Zkladntext158dkovn0pt"/>
          <w:color w:val="auto"/>
          <w:spacing w:val="0"/>
          <w:sz w:val="24"/>
          <w:lang w:val="cs-CZ"/>
        </w:rPr>
        <w:fldChar w:fldCharType="begin"/>
      </w:r>
      <w:r w:rsidR="08E17C15">
        <w:instrText xml:space="preserve"> XE "</w:instrText>
      </w:r>
      <w:r w:rsidR="08E17C15" w:rsidRPr="085770B6">
        <w:rPr>
          <w:rStyle w:val="Zkladntext158dkovn0pt"/>
          <w:color w:val="auto"/>
          <w:spacing w:val="0"/>
          <w:sz w:val="24"/>
          <w:lang w:val="cs-CZ"/>
        </w:rPr>
        <w:instrText>predikace:amfibolní</w:instrText>
      </w:r>
      <w:r w:rsidR="08E17C15">
        <w:instrText xml:space="preserve">" </w:instrText>
      </w:r>
      <w:r w:rsidR="08E17C15">
        <w:rPr>
          <w:rStyle w:val="Zkladntext158dkovn0pt"/>
          <w:color w:val="auto"/>
          <w:spacing w:val="0"/>
          <w:sz w:val="24"/>
          <w:lang w:val="cs-CZ"/>
        </w:rPr>
        <w:fldChar w:fldCharType="end"/>
      </w:r>
      <w:r w:rsidR="08313D55" w:rsidRPr="00273106">
        <w:t xml:space="preserve">do </w:t>
      </w:r>
      <w:r w:rsidR="08AF0F98">
        <w:t xml:space="preserve">hyparchického významu daného v </w:t>
      </w:r>
      <w:r w:rsidR="08AF0F98" w:rsidRPr="08AF0F98">
        <w:rPr>
          <w:i/>
        </w:rPr>
        <w:t>Kategoriích</w:t>
      </w:r>
      <w:r w:rsidR="08AF0F98">
        <w:t xml:space="preserve"> pouze vztahem k reálné první substanci. </w:t>
      </w:r>
      <w:r w:rsidR="00936361" w:rsidRPr="00273106">
        <w:t>Simplikiů</w:t>
      </w:r>
      <w:r w:rsidR="009F18B7">
        <w:t xml:space="preserve">v výklad </w:t>
      </w:r>
      <w:r w:rsidR="009F18B7" w:rsidRPr="08AF0F98">
        <w:rPr>
          <w:i/>
        </w:rPr>
        <w:t>Kategorií</w:t>
      </w:r>
      <w:r w:rsidR="009F18B7">
        <w:t xml:space="preserve"> posunul Porfy</w:t>
      </w:r>
      <w:r w:rsidR="00936361" w:rsidRPr="00273106">
        <w:t>riův ambivalentní termí</w:t>
      </w:r>
      <w:r w:rsidR="088A602B">
        <w:t>n nedělitelné</w:t>
      </w:r>
      <w:r w:rsidR="00936361" w:rsidRPr="00273106">
        <w:t xml:space="preserve"> substance </w:t>
      </w:r>
      <w:r w:rsidR="00A87E2E">
        <w:t>(</w:t>
      </w:r>
      <w:r w:rsidR="00A87E2E" w:rsidRPr="00273106">
        <w:t>ἄτομος οὐσία</w:t>
      </w:r>
      <w:r w:rsidR="00A87E2E">
        <w:t xml:space="preserve">) </w:t>
      </w:r>
      <w:r w:rsidR="00936361" w:rsidRPr="00273106">
        <w:t xml:space="preserve">k novému statutu na úrovni </w:t>
      </w:r>
      <w:r w:rsidR="006A04C6" w:rsidRPr="006A04C6">
        <w:t>species</w:t>
      </w:r>
      <w:r w:rsidR="084E7952">
        <w:t xml:space="preserve"> (</w:t>
      </w:r>
      <w:r w:rsidR="086F225B">
        <w:t xml:space="preserve">OBJ I, </w:t>
      </w:r>
      <w:r w:rsidR="084E7952">
        <w:t>kap. 1.3</w:t>
      </w:r>
      <w:r w:rsidR="00936361" w:rsidRPr="00273106">
        <w:t xml:space="preserve">.1). </w:t>
      </w:r>
      <w:r w:rsidR="00C44C99" w:rsidRPr="00273106">
        <w:t xml:space="preserve">Materie a rozsažnost se v pozdně antickém neoplatonismu staly další formou jsoucna třetího druhu. </w:t>
      </w:r>
      <w:r w:rsidR="009E3833" w:rsidRPr="00273106">
        <w:t xml:space="preserve">Univerzalita rodu univočně pojala materii jako </w:t>
      </w:r>
      <w:r w:rsidR="00874074">
        <w:t>neoplatonsk</w:t>
      </w:r>
      <w:r w:rsidR="009E3833" w:rsidRPr="00273106">
        <w:t>ou rozsažnost (</w:t>
      </w:r>
      <w:r w:rsidR="009E3833" w:rsidRPr="00273106">
        <w:rPr>
          <w:i/>
        </w:rPr>
        <w:t>extensio</w:t>
      </w:r>
      <w:r w:rsidR="009E3833" w:rsidRPr="00273106">
        <w:t>), což poprvé uskutečnil Simplikius</w:t>
      </w:r>
      <w:r w:rsidR="0005535B">
        <w:fldChar w:fldCharType="begin"/>
      </w:r>
      <w:r w:rsidR="0005535B">
        <w:instrText xml:space="preserve"> XE "</w:instrText>
      </w:r>
      <w:r w:rsidR="00813F4A">
        <w:instrText>těleso:třetího druhu</w:instrText>
      </w:r>
      <w:r w:rsidR="0005535B">
        <w:instrText xml:space="preserve">" </w:instrText>
      </w:r>
      <w:r w:rsidR="0005535B">
        <w:fldChar w:fldCharType="end"/>
      </w:r>
      <w:r w:rsidR="084E7952">
        <w:t xml:space="preserve"> a jeho následovníci (</w:t>
      </w:r>
      <w:r w:rsidR="086F225B">
        <w:t xml:space="preserve">OBJ I, </w:t>
      </w:r>
      <w:r w:rsidR="084E7952">
        <w:t>kap. 1.3</w:t>
      </w:r>
      <w:r w:rsidR="009E3833" w:rsidRPr="00273106">
        <w:t>.</w:t>
      </w:r>
      <w:r w:rsidR="009E3833">
        <w:t>3</w:t>
      </w:r>
      <w:r w:rsidR="009E3833" w:rsidRPr="00273106">
        <w:t xml:space="preserve">). </w:t>
      </w:r>
      <w:r w:rsidR="08C977FC">
        <w:t xml:space="preserve">Avicenna sledoval </w:t>
      </w:r>
      <w:r w:rsidR="08514CD9">
        <w:t xml:space="preserve">v případě určení </w:t>
      </w:r>
      <w:r w:rsidR="08E16791">
        <w:t>substance-</w:t>
      </w:r>
      <w:r w:rsidR="08514CD9">
        <w:t xml:space="preserve">individua </w:t>
      </w:r>
      <w:r w:rsidR="08C977FC">
        <w:t>neoplatonskou linii</w:t>
      </w:r>
      <w:r w:rsidR="08514CD9">
        <w:t xml:space="preserve"> danou pojetím </w:t>
      </w:r>
      <w:r w:rsidR="08514CD9" w:rsidRPr="08514CD9">
        <w:rPr>
          <w:i/>
        </w:rPr>
        <w:t>tertium ens</w:t>
      </w:r>
      <w:r w:rsidR="009E3833">
        <w:t xml:space="preserve">. </w:t>
      </w:r>
      <w:r w:rsidR="00A87E2E" w:rsidRPr="00273106">
        <w:t xml:space="preserve">Kategorie rodu a </w:t>
      </w:r>
      <w:r w:rsidR="00D30F1C">
        <w:t xml:space="preserve">druhu </w:t>
      </w:r>
      <w:r w:rsidR="00A87E2E" w:rsidRPr="00273106">
        <w:t xml:space="preserve">vytvořily v systému </w:t>
      </w:r>
      <w:r w:rsidR="00B4113F" w:rsidRPr="009F18B7">
        <w:t>Avicenn</w:t>
      </w:r>
      <w:r w:rsidR="00B4113F">
        <w:t>ov</w:t>
      </w:r>
      <w:r w:rsidR="00B4113F" w:rsidRPr="009F18B7">
        <w:t>y</w:t>
      </w:r>
      <w:r w:rsidR="00B4113F" w:rsidRPr="00273106">
        <w:t xml:space="preserve"> </w:t>
      </w:r>
      <w:r w:rsidR="00A87E2E" w:rsidRPr="00273106">
        <w:t xml:space="preserve">metafyziky univerzální určení tělesa </w:t>
      </w:r>
      <w:r w:rsidR="00A87E2E">
        <w:t xml:space="preserve">třetího druhu </w:t>
      </w:r>
      <w:r w:rsidR="00A87E2E" w:rsidRPr="00273106">
        <w:t xml:space="preserve">na úrovni </w:t>
      </w:r>
      <w:r w:rsidR="088A602B">
        <w:t xml:space="preserve">genericky pojaté </w:t>
      </w:r>
      <w:r w:rsidR="00A87E2E" w:rsidRPr="00273106">
        <w:t>jednotliviny</w:t>
      </w:r>
      <w:r w:rsidR="00A87E2E">
        <w:t xml:space="preserve"> (</w:t>
      </w:r>
      <w:r w:rsidR="00A87E2E" w:rsidRPr="08EB22B5">
        <w:rPr>
          <w:i/>
        </w:rPr>
        <w:t xml:space="preserve">hoc </w:t>
      </w:r>
      <w:r w:rsidR="08EB22B5" w:rsidRPr="08EB22B5">
        <w:rPr>
          <w:i/>
        </w:rPr>
        <w:t>esse tantum</w:t>
      </w:r>
      <w:r w:rsidR="08E16791">
        <w:rPr>
          <w:i/>
        </w:rPr>
        <w:fldChar w:fldCharType="begin"/>
      </w:r>
      <w:r w:rsidR="08E16791">
        <w:instrText xml:space="preserve"> XE "</w:instrText>
      </w:r>
      <w:r w:rsidR="08E16791" w:rsidRPr="087C0373">
        <w:rPr>
          <w:i/>
        </w:rPr>
        <w:instrText>hoc esse tantum</w:instrText>
      </w:r>
      <w:r w:rsidR="08E16791">
        <w:instrText xml:space="preserve">" </w:instrText>
      </w:r>
      <w:r w:rsidR="08E16791">
        <w:rPr>
          <w:i/>
        </w:rPr>
        <w:fldChar w:fldCharType="end"/>
      </w:r>
      <w:r w:rsidR="08E16791">
        <w:rPr>
          <w:i/>
        </w:rPr>
        <w:t xml:space="preserve">; </w:t>
      </w:r>
      <w:r w:rsidR="08E16791" w:rsidRPr="08E16791">
        <w:t xml:space="preserve">OBJ </w:t>
      </w:r>
      <w:r w:rsidR="08E16791">
        <w:t>I, kap. 2.3.1</w:t>
      </w:r>
      <w:r w:rsidR="00A87E2E">
        <w:t>)</w:t>
      </w:r>
      <w:r w:rsidR="00A87E2E" w:rsidRPr="00273106">
        <w:t>.</w:t>
      </w:r>
      <w:r w:rsidR="00A87E2E">
        <w:t xml:space="preserve"> </w:t>
      </w:r>
      <w:r w:rsidR="00853F97" w:rsidRPr="00273106">
        <w:t xml:space="preserve">Abstraktně pojatá látka </w:t>
      </w:r>
      <w:r w:rsidR="00216FCD">
        <w:t xml:space="preserve">dostala u Avicenny stejný status jako </w:t>
      </w:r>
      <w:r w:rsidR="00216FCD" w:rsidRPr="006A04C6">
        <w:t>species</w:t>
      </w:r>
      <w:r w:rsidR="00216FCD">
        <w:t>, které je určeno skrze nadřazenou formu</w:t>
      </w:r>
      <w:r w:rsidR="00C45E68">
        <w:t>. O</w:t>
      </w:r>
      <w:r w:rsidR="00EC10A8">
        <w:t xml:space="preserve">bjektivní materie třetího druhu umožňuje </w:t>
      </w:r>
      <w:r w:rsidR="0060262B">
        <w:lastRenderedPageBreak/>
        <w:t xml:space="preserve">přesah </w:t>
      </w:r>
      <w:r w:rsidR="00853F97" w:rsidRPr="00273106">
        <w:t>rodu</w:t>
      </w:r>
      <w:r w:rsidR="0060262B">
        <w:t xml:space="preserve"> směrem k nižším formám</w:t>
      </w:r>
      <w:r w:rsidR="00D37474">
        <w:t xml:space="preserve"> určení tělesa</w:t>
      </w:r>
      <w:r w:rsidR="00853F97" w:rsidRPr="00273106">
        <w:t>.</w:t>
      </w:r>
      <w:r w:rsidR="00853F97" w:rsidRPr="00273106">
        <w:rPr>
          <w:rStyle w:val="Znakapoznpodarou"/>
        </w:rPr>
        <w:footnoteReference w:id="6"/>
      </w:r>
      <w:r w:rsidR="00853F97" w:rsidRPr="00273106">
        <w:t xml:space="preserve"> </w:t>
      </w:r>
      <w:r w:rsidR="009C70C1">
        <w:t xml:space="preserve">Citát ukazuje, že </w:t>
      </w:r>
      <w:r w:rsidR="081444D2">
        <w:t>e</w:t>
      </w:r>
      <w:r w:rsidR="00CC150E">
        <w:t>xtenze</w:t>
      </w:r>
      <w:r w:rsidR="00DD059D">
        <w:t xml:space="preserve"> rodu </w:t>
      </w:r>
      <w:r w:rsidR="00B171A6">
        <w:t xml:space="preserve">a </w:t>
      </w:r>
      <w:r w:rsidR="00D30F1C">
        <w:t xml:space="preserve">druhu </w:t>
      </w:r>
      <w:r w:rsidR="009C70C1">
        <w:t xml:space="preserve">jde </w:t>
      </w:r>
      <w:r w:rsidR="00216FCD">
        <w:t xml:space="preserve">směrem ke kvazi-reálně pojatému tělesu. </w:t>
      </w:r>
      <w:r w:rsidR="009366A9">
        <w:t xml:space="preserve">To je typická amfibolní predikace neoplatonismu, kterou modernistická falsafa převzala od </w:t>
      </w:r>
      <w:r w:rsidR="009366A9" w:rsidRPr="003D1E07">
        <w:t>El</w:t>
      </w:r>
      <w:r w:rsidR="009366A9">
        <w:t>iaso</w:t>
      </w:r>
      <w:r w:rsidR="009366A9" w:rsidRPr="003D1E07">
        <w:t>v</w:t>
      </w:r>
      <w:r w:rsidR="009366A9">
        <w:t>a</w:t>
      </w:r>
      <w:r w:rsidR="009366A9" w:rsidRPr="003D1E07">
        <w:t xml:space="preserve"> komentář</w:t>
      </w:r>
      <w:r w:rsidR="009366A9">
        <w:t>e</w:t>
      </w:r>
      <w:r w:rsidR="009366A9" w:rsidRPr="003D1E07">
        <w:t xml:space="preserve"> </w:t>
      </w:r>
      <w:r w:rsidR="009366A9" w:rsidRPr="003D1E07">
        <w:rPr>
          <w:i/>
        </w:rPr>
        <w:t>Isagog</w:t>
      </w:r>
      <w:r w:rsidR="009366A9">
        <w:rPr>
          <w:i/>
        </w:rPr>
        <w:t>é</w:t>
      </w:r>
      <w:r w:rsidR="009366A9">
        <w:t xml:space="preserve"> (OBJ I, kap. 2.1.2). </w:t>
      </w:r>
      <w:r w:rsidR="009C70C1">
        <w:t xml:space="preserve">Tato dráha náhledu na </w:t>
      </w:r>
      <w:r w:rsidR="009366A9">
        <w:t>smysl</w:t>
      </w:r>
      <w:r w:rsidR="009C70C1">
        <w:t xml:space="preserve"> </w:t>
      </w:r>
      <w:r w:rsidR="009366A9">
        <w:t xml:space="preserve">objektivního </w:t>
      </w:r>
      <w:r w:rsidR="009C70C1">
        <w:t>jsoucna (</w:t>
      </w:r>
      <w:r w:rsidR="009C70C1" w:rsidRPr="009C70C1">
        <w:rPr>
          <w:i/>
        </w:rPr>
        <w:t>Vor-blickbahn</w:t>
      </w:r>
      <w:r w:rsidR="009C70C1">
        <w:rPr>
          <w:i/>
        </w:rPr>
        <w:fldChar w:fldCharType="begin"/>
      </w:r>
      <w:r w:rsidR="009C70C1">
        <w:instrText xml:space="preserve"> XE "</w:instrText>
      </w:r>
      <w:r w:rsidR="009C70C1" w:rsidRPr="00A521A4">
        <w:rPr>
          <w:i/>
        </w:rPr>
        <w:instrText>Vor-blickbahn</w:instrText>
      </w:r>
      <w:r w:rsidR="009C70C1">
        <w:instrText xml:space="preserve">" </w:instrText>
      </w:r>
      <w:r w:rsidR="009C70C1">
        <w:rPr>
          <w:i/>
        </w:rPr>
        <w:fldChar w:fldCharType="end"/>
      </w:r>
      <w:r w:rsidR="009C70C1">
        <w:t xml:space="preserve">) </w:t>
      </w:r>
      <w:r w:rsidR="00385081">
        <w:t xml:space="preserve">se znovu objeví </w:t>
      </w:r>
      <w:r w:rsidR="00DD059D">
        <w:t xml:space="preserve">v </w:t>
      </w:r>
      <w:r w:rsidR="00ED33BE">
        <w:t xml:space="preserve">latinském </w:t>
      </w:r>
      <w:r w:rsidR="0883313B">
        <w:t xml:space="preserve">pojmu </w:t>
      </w:r>
      <w:r w:rsidR="00DD059D">
        <w:rPr>
          <w:i/>
        </w:rPr>
        <w:t>ex</w:t>
      </w:r>
      <w:r w:rsidR="00DD059D" w:rsidRPr="00DD059D">
        <w:rPr>
          <w:i/>
        </w:rPr>
        <w:t>sistere</w:t>
      </w:r>
      <w:r w:rsidR="005A68A7">
        <w:rPr>
          <w:i/>
        </w:rPr>
        <w:fldChar w:fldCharType="begin"/>
      </w:r>
      <w:r w:rsidR="005A68A7">
        <w:instrText xml:space="preserve"> XE "</w:instrText>
      </w:r>
      <w:r w:rsidR="005A68A7" w:rsidRPr="008E07A9">
        <w:rPr>
          <w:i/>
        </w:rPr>
        <w:instrText>exsistere</w:instrText>
      </w:r>
      <w:r w:rsidR="00813F4A">
        <w:instrText>:Rufus</w:instrText>
      </w:r>
      <w:r w:rsidR="005A68A7">
        <w:instrText xml:space="preserve">" </w:instrText>
      </w:r>
      <w:r w:rsidR="005A68A7">
        <w:rPr>
          <w:i/>
        </w:rPr>
        <w:fldChar w:fldCharType="end"/>
      </w:r>
      <w:r w:rsidR="00C9572A">
        <w:t xml:space="preserve">. </w:t>
      </w:r>
      <w:r w:rsidR="00CB3EA3">
        <w:t>Rufus z Cornwallu zavedl</w:t>
      </w:r>
      <w:r w:rsidR="00DD059D">
        <w:t xml:space="preserve"> </w:t>
      </w:r>
      <w:r w:rsidR="00C9572A">
        <w:t xml:space="preserve">avicennovskou </w:t>
      </w:r>
      <w:r w:rsidR="00C9572A" w:rsidRPr="00D30F1C">
        <w:t>extenzi</w:t>
      </w:r>
      <w:r w:rsidR="00C9572A">
        <w:t xml:space="preserve"> </w:t>
      </w:r>
      <w:r w:rsidR="00B1298A">
        <w:rPr>
          <w:i/>
        </w:rPr>
        <w:t>genus</w:t>
      </w:r>
      <w:r w:rsidR="00D30F1C">
        <w:t xml:space="preserve"> </w:t>
      </w:r>
      <w:r w:rsidR="001611E7">
        <w:t xml:space="preserve">a </w:t>
      </w:r>
      <w:r w:rsidR="004B4D52" w:rsidRPr="004B4D52">
        <w:t>species</w:t>
      </w:r>
      <w:r w:rsidR="001611E7">
        <w:t xml:space="preserve"> do individua </w:t>
      </w:r>
      <w:r w:rsidR="00DD059D">
        <w:t>jako nový zp</w:t>
      </w:r>
      <w:r w:rsidR="001209D7">
        <w:t xml:space="preserve">ůsob objektivně dané existence, </w:t>
      </w:r>
      <w:r w:rsidR="00DD059D" w:rsidRPr="00273106">
        <w:t>v němž univoční hypostáze v mysli přechází do reality a naopak (</w:t>
      </w:r>
      <w:r w:rsidR="08944B9A">
        <w:rPr>
          <w:szCs w:val="22"/>
        </w:rPr>
        <w:t>kap. 3</w:t>
      </w:r>
      <w:r w:rsidR="00DD059D" w:rsidRPr="00273106">
        <w:rPr>
          <w:szCs w:val="22"/>
        </w:rPr>
        <w:t>.3.2</w:t>
      </w:r>
      <w:r w:rsidR="00DD059D" w:rsidRPr="00273106">
        <w:t>)</w:t>
      </w:r>
      <w:r w:rsidR="001209D7">
        <w:t xml:space="preserve">. </w:t>
      </w:r>
      <w:r w:rsidR="00A14853">
        <w:t>P</w:t>
      </w:r>
      <w:r w:rsidR="00C603A1">
        <w:t>řechod od univerzality do reality umožnilo nové pojetí kategoriální predikace</w:t>
      </w:r>
      <w:r w:rsidR="004E7410">
        <w:t xml:space="preserve"> v pozdní antice a ve falsafě</w:t>
      </w:r>
      <w:r w:rsidR="00C603A1">
        <w:t>.</w:t>
      </w:r>
      <w:r w:rsidR="004E7410">
        <w:t xml:space="preserve"> </w:t>
      </w:r>
      <w:r w:rsidR="0883313B">
        <w:t xml:space="preserve">Známý </w:t>
      </w:r>
      <w:r w:rsidR="00821CBB">
        <w:t>Porfy</w:t>
      </w:r>
      <w:r w:rsidR="0883313B">
        <w:t>riův strom</w:t>
      </w:r>
      <w:r w:rsidR="004E7410" w:rsidRPr="00273106">
        <w:t xml:space="preserve"> </w:t>
      </w:r>
      <w:r w:rsidR="08F11B4D">
        <w:t xml:space="preserve">měl </w:t>
      </w:r>
      <w:r w:rsidR="004E7410" w:rsidRPr="00273106">
        <w:t>dělení pouze na úrovni univerzálií</w:t>
      </w:r>
      <w:r w:rsidR="08937FB0">
        <w:t xml:space="preserve"> a v modu pouze analogické podobnosti</w:t>
      </w:r>
      <w:r w:rsidR="00410FD3">
        <w:t xml:space="preserve"> k první substanci</w:t>
      </w:r>
      <w:r w:rsidR="08937FB0">
        <w:t xml:space="preserve">, </w:t>
      </w:r>
      <w:r w:rsidR="00410FD3">
        <w:t>což nemohlo</w:t>
      </w:r>
      <w:r w:rsidR="08937FB0">
        <w:t xml:space="preserve"> založit univoční kategoriální predikaci. A</w:t>
      </w:r>
      <w:r w:rsidR="08F11B4D">
        <w:t xml:space="preserve">le </w:t>
      </w:r>
      <w:r w:rsidR="004E7410" w:rsidRPr="00273106">
        <w:t xml:space="preserve">v novém pojetí </w:t>
      </w:r>
      <w:r w:rsidR="004E7410" w:rsidRPr="00273106">
        <w:rPr>
          <w:i/>
        </w:rPr>
        <w:t>tertium ens</w:t>
      </w:r>
      <w:r w:rsidR="004E7410" w:rsidRPr="00273106">
        <w:t xml:space="preserve"> nahlíženém jako hyparchická první substance dostal</w:t>
      </w:r>
      <w:r w:rsidR="0830559E">
        <w:t xml:space="preserve">o dělení a syntéza univerzálních esencí a hypostází v rámci </w:t>
      </w:r>
      <w:r w:rsidR="0830559E" w:rsidRPr="0830559E">
        <w:rPr>
          <w:i/>
        </w:rPr>
        <w:t>Arbor Porphyriana</w:t>
      </w:r>
      <w:r w:rsidR="0830559E">
        <w:t xml:space="preserve"> </w:t>
      </w:r>
      <w:r w:rsidR="004E7410" w:rsidRPr="00273106">
        <w:t>nový význam.</w:t>
      </w:r>
      <w:r w:rsidR="004E7410">
        <w:t xml:space="preserve"> </w:t>
      </w:r>
      <w:r w:rsidR="00631443">
        <w:t xml:space="preserve">První substance </w:t>
      </w:r>
      <w:r w:rsidR="008F736D">
        <w:t xml:space="preserve">existující </w:t>
      </w:r>
      <w:r w:rsidR="00631443">
        <w:t xml:space="preserve">jako </w:t>
      </w:r>
      <w:r w:rsidR="00604DD9">
        <w:t xml:space="preserve">fyzikální </w:t>
      </w:r>
      <w:r w:rsidR="00631443">
        <w:t xml:space="preserve">těleso </w:t>
      </w:r>
      <w:r w:rsidR="008F736D">
        <w:t xml:space="preserve">pouze </w:t>
      </w:r>
      <w:r w:rsidR="00631443">
        <w:t>v reálu se stala</w:t>
      </w:r>
      <w:r w:rsidR="00212D28" w:rsidRPr="00273106">
        <w:t xml:space="preserve"> </w:t>
      </w:r>
      <w:r w:rsidR="00631443">
        <w:t>vinou univočního</w:t>
      </w:r>
      <w:r w:rsidR="08E92D22" w:rsidRPr="00273106">
        <w:t xml:space="preserve"> pojetí </w:t>
      </w:r>
      <w:r w:rsidR="00631443">
        <w:t xml:space="preserve">predikace </w:t>
      </w:r>
      <w:r w:rsidR="08E92D22" w:rsidRPr="00273106">
        <w:t xml:space="preserve">novým univerzálním rodem </w:t>
      </w:r>
      <w:r w:rsidR="00212D28" w:rsidRPr="00273106">
        <w:t xml:space="preserve">určeným v rámci </w:t>
      </w:r>
      <w:r w:rsidR="08E92D22" w:rsidRPr="00273106">
        <w:t xml:space="preserve">abstraktně </w:t>
      </w:r>
      <w:r w:rsidR="00212D28" w:rsidRPr="00273106">
        <w:t xml:space="preserve">specifikované </w:t>
      </w:r>
      <w:r w:rsidR="08E92D22" w:rsidRPr="00273106">
        <w:t xml:space="preserve">materie a </w:t>
      </w:r>
      <w:r w:rsidR="00212D28" w:rsidRPr="00273106">
        <w:t xml:space="preserve">rozsažnosti. </w:t>
      </w:r>
      <w:r w:rsidR="00853F97" w:rsidRPr="00273106">
        <w:t>Generická substance třetího dr</w:t>
      </w:r>
      <w:r w:rsidR="00B67BDB">
        <w:t xml:space="preserve">uhu produkuje na konci dělení univerzálií podle </w:t>
      </w:r>
      <w:r w:rsidR="001611E7">
        <w:t>Porfy</w:t>
      </w:r>
      <w:r w:rsidR="00B67BDB">
        <w:t xml:space="preserve">riova stromu objektivně určenou </w:t>
      </w:r>
      <w:r w:rsidR="00853F97" w:rsidRPr="00273106">
        <w:t>jednotlivinu</w:t>
      </w:r>
      <w:r w:rsidR="08446F40">
        <w:t xml:space="preserve">. </w:t>
      </w:r>
      <w:r w:rsidR="08C41A78" w:rsidRPr="00273106">
        <w:t xml:space="preserve">Nové dělení </w:t>
      </w:r>
      <w:r w:rsidR="08C41A78">
        <w:t xml:space="preserve">univerzálií zkombinované s pojetím tělesa třetího druhu </w:t>
      </w:r>
      <w:r w:rsidR="08C41A78" w:rsidRPr="00273106">
        <w:t>zakládá</w:t>
      </w:r>
      <w:r w:rsidR="08C41A78">
        <w:t xml:space="preserve"> objektivně definovanou atomární substanci (</w:t>
      </w:r>
      <w:r w:rsidR="08C41A78" w:rsidRPr="00631443">
        <w:rPr>
          <w:i/>
        </w:rPr>
        <w:t>individuum</w:t>
      </w:r>
      <w:r w:rsidR="08C41A78">
        <w:rPr>
          <w:i/>
        </w:rPr>
        <w:fldChar w:fldCharType="begin"/>
      </w:r>
      <w:r w:rsidR="08C41A78">
        <w:instrText xml:space="preserve"> XE "</w:instrText>
      </w:r>
      <w:r w:rsidR="08C41A78" w:rsidRPr="08601CA9">
        <w:rPr>
          <w:i/>
        </w:rPr>
        <w:instrText>individuum</w:instrText>
      </w:r>
      <w:r w:rsidR="08C41A78">
        <w:instrText xml:space="preserve">" </w:instrText>
      </w:r>
      <w:r w:rsidR="08C41A78">
        <w:rPr>
          <w:i/>
        </w:rPr>
        <w:fldChar w:fldCharType="end"/>
      </w:r>
      <w:r w:rsidR="08C41A78">
        <w:t>)</w:t>
      </w:r>
      <w:r w:rsidR="08C41A78" w:rsidRPr="00273106">
        <w:t>.</w:t>
      </w:r>
      <w:r w:rsidR="08C41A78">
        <w:t xml:space="preserve"> </w:t>
      </w:r>
      <w:r w:rsidR="08446F40">
        <w:t xml:space="preserve">Po zániku aristotelské metafyzické abstrakce už nelze toto individum </w:t>
      </w:r>
      <w:r w:rsidR="08446F40" w:rsidRPr="00273106">
        <w:t>rozliš</w:t>
      </w:r>
      <w:r w:rsidR="08446F40">
        <w:t>it od první substance. V logické a esenciální abstrakci nese individum a první substance už jen homonymický význam mylně pokládaný za univoční identitu</w:t>
      </w:r>
      <w:r w:rsidR="009547A6">
        <w:t>.</w:t>
      </w:r>
    </w:p>
    <w:p w14:paraId="1B42BECB" w14:textId="4F9471CF" w:rsidR="00212D28" w:rsidRPr="081444D2" w:rsidRDefault="00664595" w:rsidP="009248AE">
      <w:pPr>
        <w:ind w:firstLine="397"/>
      </w:pPr>
      <w:r>
        <w:t>Averroe</w:t>
      </w:r>
      <w:r w:rsidR="00212D28" w:rsidRPr="00273106">
        <w:t xml:space="preserve">s </w:t>
      </w:r>
      <w:r w:rsidR="00A17672">
        <w:t xml:space="preserve">toto </w:t>
      </w:r>
      <w:r w:rsidR="005266AE">
        <w:t>pojetí těl</w:t>
      </w:r>
      <w:r w:rsidR="00A44073">
        <w:t>esa třetího druhu zásadně odmítl. Metafyzika</w:t>
      </w:r>
      <w:r w:rsidR="00212D28" w:rsidRPr="00273106">
        <w:t xml:space="preserve"> </w:t>
      </w:r>
      <w:r w:rsidR="00A44073">
        <w:t>založená</w:t>
      </w:r>
      <w:r w:rsidR="08E42959">
        <w:t xml:space="preserve"> na </w:t>
      </w:r>
      <w:r w:rsidR="08787ECE">
        <w:t xml:space="preserve">metafyzickém </w:t>
      </w:r>
      <w:r w:rsidR="08E42959">
        <w:t>dativu</w:t>
      </w:r>
      <w:r w:rsidR="08E42959">
        <w:fldChar w:fldCharType="begin"/>
      </w:r>
      <w:r w:rsidR="08E42959">
        <w:instrText xml:space="preserve"> XE "</w:instrText>
      </w:r>
      <w:r w:rsidR="08787ECE">
        <w:rPr>
          <w:i/>
        </w:rPr>
        <w:instrText>dativus metaphysicus</w:instrText>
      </w:r>
      <w:r w:rsidR="08E42959">
        <w:instrText xml:space="preserve">" </w:instrText>
      </w:r>
      <w:r w:rsidR="08E42959">
        <w:fldChar w:fldCharType="end"/>
      </w:r>
      <w:r w:rsidR="08E42959">
        <w:t xml:space="preserve"> </w:t>
      </w:r>
      <w:r w:rsidR="00212D28" w:rsidRPr="00273106">
        <w:t xml:space="preserve">vylučuje </w:t>
      </w:r>
      <w:r w:rsidR="00A44073">
        <w:t xml:space="preserve">každou </w:t>
      </w:r>
      <w:r w:rsidR="00212D28" w:rsidRPr="00273106">
        <w:t xml:space="preserve">mesalianci mezi první a druhou substancí. </w:t>
      </w:r>
      <w:r>
        <w:t>Averroe</w:t>
      </w:r>
      <w:r w:rsidR="00D213BB" w:rsidRPr="00273106">
        <w:t>s ne</w:t>
      </w:r>
      <w:r w:rsidR="00D213BB" w:rsidRPr="00273106">
        <w:rPr>
          <w:lang w:eastAsia="en-US"/>
        </w:rPr>
        <w:t xml:space="preserve">zkoumá první principy jsoucna v </w:t>
      </w:r>
      <w:r w:rsidR="0842494E">
        <w:rPr>
          <w:lang w:eastAsia="en-US"/>
        </w:rPr>
        <w:t xml:space="preserve">parousijním </w:t>
      </w:r>
      <w:r w:rsidR="00D213BB" w:rsidRPr="00273106">
        <w:rPr>
          <w:lang w:eastAsia="en-US"/>
        </w:rPr>
        <w:t xml:space="preserve">modu </w:t>
      </w:r>
      <w:r w:rsidR="00D213BB" w:rsidRPr="00273106">
        <w:rPr>
          <w:i/>
          <w:lang w:eastAsia="en-US"/>
        </w:rPr>
        <w:t>ens inquantum ens</w:t>
      </w:r>
      <w:r w:rsidR="00160B80">
        <w:rPr>
          <w:i/>
          <w:lang w:eastAsia="en-US"/>
        </w:rPr>
        <w:fldChar w:fldCharType="begin"/>
      </w:r>
      <w:r w:rsidR="00160B80">
        <w:instrText xml:space="preserve"> XE "</w:instrText>
      </w:r>
      <w:r w:rsidR="00160B80" w:rsidRPr="005424E2">
        <w:rPr>
          <w:i/>
        </w:rPr>
        <w:instrText>ens inquantum ens</w:instrText>
      </w:r>
      <w:r w:rsidR="00160B80">
        <w:instrText xml:space="preserve">" </w:instrText>
      </w:r>
      <w:r w:rsidR="00160B80">
        <w:rPr>
          <w:i/>
          <w:lang w:eastAsia="en-US"/>
        </w:rPr>
        <w:fldChar w:fldCharType="end"/>
      </w:r>
      <w:r w:rsidR="00D213BB" w:rsidRPr="00273106">
        <w:rPr>
          <w:i/>
          <w:lang w:eastAsia="en-US"/>
        </w:rPr>
        <w:t xml:space="preserve"> </w:t>
      </w:r>
      <w:r w:rsidR="00D213BB" w:rsidRPr="00273106">
        <w:rPr>
          <w:lang w:eastAsia="en-US"/>
        </w:rPr>
        <w:t>jako Avicenna, ale analyzuje v modu fyz</w:t>
      </w:r>
      <w:r w:rsidR="00D213BB">
        <w:rPr>
          <w:lang w:eastAsia="en-US"/>
        </w:rPr>
        <w:t>iky a metafyziky první substance</w:t>
      </w:r>
      <w:r w:rsidR="00D213BB" w:rsidRPr="00273106">
        <w:rPr>
          <w:i/>
          <w:lang w:eastAsia="en-US"/>
        </w:rPr>
        <w:t xml:space="preserve"> qua </w:t>
      </w:r>
      <w:r w:rsidR="00D213BB">
        <w:rPr>
          <w:lang w:eastAsia="en-US"/>
        </w:rPr>
        <w:t>substance</w:t>
      </w:r>
      <w:r w:rsidR="00044D37">
        <w:rPr>
          <w:lang w:eastAsia="en-US"/>
        </w:rPr>
        <w:fldChar w:fldCharType="begin"/>
      </w:r>
      <w:r w:rsidR="00044D37">
        <w:instrText xml:space="preserve"> XE "</w:instrText>
      </w:r>
      <w:r w:rsidR="00044D37" w:rsidRPr="009C5362">
        <w:instrText>substance:</w:instrText>
      </w:r>
      <w:r w:rsidR="00044D37" w:rsidRPr="009C5362">
        <w:rPr>
          <w:i/>
        </w:rPr>
        <w:instrText>qua</w:instrText>
      </w:r>
      <w:r w:rsidR="00044D37" w:rsidRPr="009C5362">
        <w:instrText xml:space="preserve"> substance</w:instrText>
      </w:r>
      <w:r w:rsidR="00044D37">
        <w:instrText xml:space="preserve">" </w:instrText>
      </w:r>
      <w:r w:rsidR="00044D37">
        <w:rPr>
          <w:lang w:eastAsia="en-US"/>
        </w:rPr>
        <w:fldChar w:fldCharType="end"/>
      </w:r>
      <w:r w:rsidR="00F73848">
        <w:rPr>
          <w:lang w:eastAsia="en-US"/>
        </w:rPr>
        <w:t xml:space="preserve"> </w:t>
      </w:r>
      <w:r w:rsidR="00F73848" w:rsidRPr="00273106">
        <w:t>(</w:t>
      </w:r>
      <w:r w:rsidR="08EA0526" w:rsidRPr="08BE2778">
        <w:rPr>
          <w:szCs w:val="24"/>
        </w:rPr>
        <w:t>OBJ I, kap.</w:t>
      </w:r>
      <w:r w:rsidR="085B6E49" w:rsidRPr="08BE2778">
        <w:rPr>
          <w:szCs w:val="24"/>
        </w:rPr>
        <w:t xml:space="preserve"> 2.4.1</w:t>
      </w:r>
      <w:r w:rsidR="08EA0526" w:rsidRPr="08BE2778">
        <w:rPr>
          <w:szCs w:val="24"/>
        </w:rPr>
        <w:t>).</w:t>
      </w:r>
      <w:r w:rsidR="00D213BB">
        <w:rPr>
          <w:lang w:eastAsia="en-US"/>
        </w:rPr>
        <w:t xml:space="preserve"> </w:t>
      </w:r>
      <w:r w:rsidR="009547A6">
        <w:t>K</w:t>
      </w:r>
      <w:r w:rsidR="001611E7">
        <w:t>ritika neoplato</w:t>
      </w:r>
      <w:r w:rsidR="00212D28" w:rsidRPr="00273106">
        <w:t xml:space="preserve">nského </w:t>
      </w:r>
      <w:r w:rsidR="0067496E">
        <w:t xml:space="preserve">a Avicennova </w:t>
      </w:r>
      <w:r w:rsidR="00212D28" w:rsidRPr="00273106">
        <w:t>poje</w:t>
      </w:r>
      <w:r w:rsidR="00CE3535" w:rsidRPr="00273106">
        <w:t>tí tělesa a rozsažnosti</w:t>
      </w:r>
      <w:r w:rsidR="009547A6">
        <w:t xml:space="preserve"> </w:t>
      </w:r>
      <w:r w:rsidR="00F03EB6" w:rsidRPr="00273106">
        <w:t>t</w:t>
      </w:r>
      <w:r w:rsidR="006F48A1">
        <w:t>voří základ</w:t>
      </w:r>
      <w:r w:rsidR="0067496E">
        <w:t>n</w:t>
      </w:r>
      <w:r w:rsidR="006F48A1">
        <w:t>í rys jeho metafyziky</w:t>
      </w:r>
      <w:r w:rsidR="00F73848">
        <w:t xml:space="preserve"> a teorie poznání podle CMDA</w:t>
      </w:r>
      <w:r w:rsidR="00CE3535" w:rsidRPr="00273106">
        <w:t xml:space="preserve">. Analyzovali jsme </w:t>
      </w:r>
      <w:r w:rsidR="00212D28" w:rsidRPr="00273106">
        <w:t>klíčové citace</w:t>
      </w:r>
      <w:r w:rsidR="00CF1F72">
        <w:t xml:space="preserve"> z tohoto díla</w:t>
      </w:r>
      <w:r w:rsidR="00F03EB6" w:rsidRPr="00273106">
        <w:t>, které zásadně odmítly</w:t>
      </w:r>
      <w:r w:rsidR="00212D28" w:rsidRPr="00273106">
        <w:t xml:space="preserve"> existenci univerzálií mimo lidskou mysl</w:t>
      </w:r>
      <w:r w:rsidR="002525FB">
        <w:rPr>
          <w:i/>
          <w:lang w:eastAsia="en-US"/>
        </w:rPr>
        <w:fldChar w:fldCharType="begin"/>
      </w:r>
      <w:r w:rsidR="002525FB">
        <w:instrText xml:space="preserve"> XE "spor o univerzália" </w:instrText>
      </w:r>
      <w:r w:rsidR="002525FB">
        <w:rPr>
          <w:i/>
          <w:lang w:eastAsia="en-US"/>
        </w:rPr>
        <w:fldChar w:fldCharType="end"/>
      </w:r>
      <w:r w:rsidR="00212D28" w:rsidRPr="00273106">
        <w:t xml:space="preserve">. Odmítnutí </w:t>
      </w:r>
      <w:r w:rsidR="00212D28" w:rsidRPr="00273106">
        <w:lastRenderedPageBreak/>
        <w:t>autonomního statutu univerzálií na způso</w:t>
      </w:r>
      <w:r>
        <w:t>b první substance najdeme již v Averroesově středním komentáři</w:t>
      </w:r>
      <w:r w:rsidR="001611E7">
        <w:t xml:space="preserve"> k</w:t>
      </w:r>
      <w:r>
        <w:t xml:space="preserve"> </w:t>
      </w:r>
      <w:r w:rsidR="00212D28" w:rsidRPr="00664595">
        <w:rPr>
          <w:i/>
        </w:rPr>
        <w:t>Metafyzice</w:t>
      </w:r>
      <w:r w:rsidRPr="00664595">
        <w:t>.</w:t>
      </w:r>
      <w:r>
        <w:t xml:space="preserve"> Spis </w:t>
      </w:r>
      <w:r w:rsidRPr="00664595">
        <w:rPr>
          <w:i/>
        </w:rPr>
        <w:t>Epitome</w:t>
      </w:r>
      <w:r>
        <w:t xml:space="preserve"> komentuje a obhajuje Porfy</w:t>
      </w:r>
      <w:r w:rsidR="00212D28" w:rsidRPr="00273106">
        <w:t xml:space="preserve">riovu diferenci mezi </w:t>
      </w:r>
      <w:r w:rsidR="00D04A88">
        <w:t xml:space="preserve">první a druhou </w:t>
      </w:r>
      <w:r w:rsidR="00212D28" w:rsidRPr="00273106">
        <w:t>substancí. Jednoznač</w:t>
      </w:r>
      <w:r w:rsidR="001611E7">
        <w:t>né vyvrácení Avicennovy neoplato</w:t>
      </w:r>
      <w:r w:rsidR="00212D28" w:rsidRPr="00273106">
        <w:t xml:space="preserve">nské koncepce </w:t>
      </w:r>
      <w:r w:rsidR="001611E7">
        <w:t xml:space="preserve">rodu </w:t>
      </w:r>
      <w:r w:rsidR="00212D28" w:rsidRPr="00273106">
        <w:t xml:space="preserve">jako rozsažného </w:t>
      </w:r>
      <w:r w:rsidR="00212D28" w:rsidRPr="00273106">
        <w:rPr>
          <w:i/>
        </w:rPr>
        <w:t>tertium ens</w:t>
      </w:r>
      <w:r w:rsidR="00212D28" w:rsidRPr="00273106">
        <w:t xml:space="preserve"> je</w:t>
      </w:r>
      <w:r w:rsidR="0049269E" w:rsidRPr="00273106">
        <w:t xml:space="preserve"> pod</w:t>
      </w:r>
      <w:r w:rsidR="081A31EE" w:rsidRPr="00273106">
        <w:t>l</w:t>
      </w:r>
      <w:r w:rsidR="0049269E" w:rsidRPr="00273106">
        <w:t>e</w:t>
      </w:r>
      <w:r w:rsidR="00C83E3F">
        <w:t xml:space="preserve"> Averroe</w:t>
      </w:r>
      <w:r w:rsidR="081A31EE" w:rsidRPr="00273106">
        <w:t xml:space="preserve">se </w:t>
      </w:r>
      <w:r w:rsidR="00212D28" w:rsidRPr="00273106">
        <w:t>dáno z hlediska fyziky reálných těles</w:t>
      </w:r>
      <w:r w:rsidR="08C95AD0">
        <w:t>.</w:t>
      </w:r>
      <w:r w:rsidR="08C95AD0" w:rsidRPr="08C95AD0">
        <w:t xml:space="preserve"> </w:t>
      </w:r>
      <w:r w:rsidR="08C95AD0" w:rsidRPr="00273106">
        <w:t>Reálná tělesa mají vlastnosti, které patří pouze první sub</w:t>
      </w:r>
      <w:r w:rsidR="08C95AD0">
        <w:t xml:space="preserve">stanci, například pohyb, náraz a identita </w:t>
      </w:r>
      <w:r w:rsidR="08C95AD0" w:rsidRPr="00273106">
        <w:t xml:space="preserve">tělesa </w:t>
      </w:r>
      <w:r w:rsidR="08C95AD0">
        <w:t xml:space="preserve">daná </w:t>
      </w:r>
      <w:r w:rsidR="08C95AD0" w:rsidRPr="00273106">
        <w:t>skrze materii.</w:t>
      </w:r>
      <w:r w:rsidR="00226C9C">
        <w:rPr>
          <w:rStyle w:val="Znakapoznpodarou"/>
        </w:rPr>
        <w:footnoteReference w:id="7"/>
      </w:r>
      <w:r w:rsidR="008C5292" w:rsidRPr="00273106">
        <w:t xml:space="preserve"> </w:t>
      </w:r>
      <w:r w:rsidR="009870A5" w:rsidRPr="00273106">
        <w:t>Závěr citace odmí</w:t>
      </w:r>
      <w:r w:rsidR="00550D68">
        <w:t>tá autonomní statut univerzálie, protože metafyzická určení</w:t>
      </w:r>
      <w:r w:rsidR="009870A5" w:rsidRPr="00273106">
        <w:t xml:space="preserve"> </w:t>
      </w:r>
      <w:r w:rsidR="00550D68">
        <w:t xml:space="preserve">jsoucna </w:t>
      </w:r>
      <w:r w:rsidR="009870A5" w:rsidRPr="00273106">
        <w:t>vycházejí</w:t>
      </w:r>
      <w:r w:rsidR="00550D68">
        <w:t xml:space="preserve"> pouze</w:t>
      </w:r>
      <w:r w:rsidR="009870A5" w:rsidRPr="00273106">
        <w:t xml:space="preserve"> z reálné substance. </w:t>
      </w:r>
      <w:r w:rsidR="00212D28" w:rsidRPr="00273106">
        <w:t xml:space="preserve">Fyzika usvědčuje metafyziku </w:t>
      </w:r>
      <w:r w:rsidR="000E08D3" w:rsidRPr="000E08D3">
        <w:rPr>
          <w:i/>
        </w:rPr>
        <w:t>Modernorum</w:t>
      </w:r>
      <w:r w:rsidR="000E08D3">
        <w:t xml:space="preserve"> </w:t>
      </w:r>
      <w:r w:rsidR="00077D5A">
        <w:t>z omylu, což tvoří</w:t>
      </w:r>
      <w:r w:rsidR="00C83E3F">
        <w:t xml:space="preserve"> jádro Averroe</w:t>
      </w:r>
      <w:r w:rsidR="00212D28" w:rsidRPr="00273106">
        <w:t xml:space="preserve">sovy kritiky Avicenny. </w:t>
      </w:r>
      <w:r w:rsidR="00634481" w:rsidRPr="00273106">
        <w:t xml:space="preserve">Stejný postoj najdeme později ve velkém komentáři k </w:t>
      </w:r>
      <w:r w:rsidR="00634481" w:rsidRPr="00C83E3F">
        <w:rPr>
          <w:i/>
        </w:rPr>
        <w:t>Metafyzice</w:t>
      </w:r>
      <w:r w:rsidR="00634481" w:rsidRPr="00273106">
        <w:t xml:space="preserve"> a dále v CMDA. </w:t>
      </w:r>
      <w:r w:rsidR="00D92BDE">
        <w:rPr>
          <w:lang w:eastAsia="en-US"/>
        </w:rPr>
        <w:t xml:space="preserve">Objektivizace </w:t>
      </w:r>
      <w:r w:rsidR="00621067" w:rsidRPr="00273106">
        <w:rPr>
          <w:lang w:eastAsia="en-US"/>
        </w:rPr>
        <w:t>reálného účinku první substance skrze nově definovaný střední člen soudu (</w:t>
      </w:r>
      <w:r w:rsidR="08541771" w:rsidRPr="08541771">
        <w:rPr>
          <w:lang w:eastAsia="en-US"/>
        </w:rPr>
        <w:t>μέ</w:t>
      </w:r>
      <w:r w:rsidR="08541771">
        <w:rPr>
          <w:lang w:eastAsia="en-US"/>
        </w:rPr>
        <w:t xml:space="preserve">σον, </w:t>
      </w:r>
      <w:r w:rsidR="08541771" w:rsidRPr="08541771">
        <w:rPr>
          <w:i/>
          <w:lang w:eastAsia="en-US"/>
        </w:rPr>
        <w:t>terminus medius</w:t>
      </w:r>
      <w:r w:rsidR="08541771" w:rsidRPr="08541771">
        <w:rPr>
          <w:lang w:eastAsia="en-US"/>
        </w:rPr>
        <w:t>)</w:t>
      </w:r>
      <w:r w:rsidR="08541771">
        <w:rPr>
          <w:lang w:eastAsia="en-US"/>
        </w:rPr>
        <w:t xml:space="preserve"> </w:t>
      </w:r>
      <w:r w:rsidR="00610F15">
        <w:rPr>
          <w:i/>
          <w:lang w:eastAsia="en-US"/>
        </w:rPr>
        <w:fldChar w:fldCharType="begin"/>
      </w:r>
      <w:r w:rsidR="00610F15">
        <w:instrText xml:space="preserve"> XE "</w:instrText>
      </w:r>
      <w:r w:rsidR="00610F15" w:rsidRPr="001618A5">
        <w:rPr>
          <w:i/>
        </w:rPr>
        <w:instrText>medium:</w:instrText>
      </w:r>
      <w:r w:rsidR="001D462F" w:rsidRPr="001D462F">
        <w:instrText>Averroes</w:instrText>
      </w:r>
      <w:r w:rsidR="00610F15">
        <w:instrText xml:space="preserve">" </w:instrText>
      </w:r>
      <w:r w:rsidR="00610F15">
        <w:rPr>
          <w:i/>
          <w:lang w:eastAsia="en-US"/>
        </w:rPr>
        <w:fldChar w:fldCharType="end"/>
      </w:r>
      <w:r w:rsidR="00621067" w:rsidRPr="00273106">
        <w:rPr>
          <w:lang w:eastAsia="en-US"/>
        </w:rPr>
        <w:t xml:space="preserve">bude hrát klíčovou </w:t>
      </w:r>
      <w:r w:rsidR="00A406E6">
        <w:rPr>
          <w:lang w:eastAsia="en-US"/>
        </w:rPr>
        <w:t xml:space="preserve">roli </w:t>
      </w:r>
      <w:r w:rsidR="00621067" w:rsidRPr="00273106">
        <w:rPr>
          <w:lang w:eastAsia="en-US"/>
        </w:rPr>
        <w:t xml:space="preserve">při Grossetesteho výkladu </w:t>
      </w:r>
      <w:r w:rsidR="00621067" w:rsidRPr="0861139E">
        <w:rPr>
          <w:i/>
          <w:lang w:eastAsia="en-US"/>
        </w:rPr>
        <w:t>Druhých analytik</w:t>
      </w:r>
      <w:r w:rsidR="08AF2009">
        <w:rPr>
          <w:lang w:eastAsia="en-US"/>
        </w:rPr>
        <w:t xml:space="preserve"> (kap. 3</w:t>
      </w:r>
      <w:r w:rsidR="00621067" w:rsidRPr="00273106">
        <w:rPr>
          <w:lang w:eastAsia="en-US"/>
        </w:rPr>
        <w:t xml:space="preserve">.1.1). </w:t>
      </w:r>
      <w:r w:rsidR="0861139E">
        <w:t>Latinský Západ pokračuje v zatmění první substance, kterou završí</w:t>
      </w:r>
      <w:r w:rsidR="0861139E">
        <w:fldChar w:fldCharType="begin"/>
      </w:r>
      <w:r w:rsidR="0861139E">
        <w:instrText xml:space="preserve"> XE "zatmění:</w:instrText>
      </w:r>
      <w:r w:rsidR="0861139E" w:rsidRPr="00C27681">
        <w:instrText>substance</w:instrText>
      </w:r>
      <w:r w:rsidR="0861139E">
        <w:instrText xml:space="preserve">" </w:instrText>
      </w:r>
      <w:r w:rsidR="0861139E">
        <w:fldChar w:fldCharType="end"/>
      </w:r>
      <w:r w:rsidR="0861139E">
        <w:t xml:space="preserve"> v avicennovské podobě metafyziky. </w:t>
      </w:r>
      <w:r w:rsidR="00212D28" w:rsidRPr="00273106">
        <w:rPr>
          <w:lang w:eastAsia="en-US"/>
        </w:rPr>
        <w:t xml:space="preserve">Jednotlivina </w:t>
      </w:r>
      <w:r w:rsidR="082B30DD">
        <w:rPr>
          <w:lang w:eastAsia="en-US"/>
        </w:rPr>
        <w:t xml:space="preserve">predikovaná </w:t>
      </w:r>
      <w:r w:rsidR="0841019F" w:rsidRPr="00273106">
        <w:rPr>
          <w:lang w:eastAsia="en-US"/>
        </w:rPr>
        <w:t xml:space="preserve">na úrovni první substance </w:t>
      </w:r>
      <w:r w:rsidR="00212D28" w:rsidRPr="00273106">
        <w:rPr>
          <w:lang w:eastAsia="en-US"/>
        </w:rPr>
        <w:t>(</w:t>
      </w:r>
      <w:r w:rsidR="00212D28" w:rsidRPr="00273106">
        <w:rPr>
          <w:i/>
          <w:lang w:eastAsia="en-US"/>
        </w:rPr>
        <w:t>hoc animal</w:t>
      </w:r>
      <w:r w:rsidR="082B30DD">
        <w:rPr>
          <w:lang w:eastAsia="en-US"/>
        </w:rPr>
        <w:t xml:space="preserve">) </w:t>
      </w:r>
      <w:r w:rsidR="007014AA">
        <w:rPr>
          <w:lang w:eastAsia="en-US"/>
        </w:rPr>
        <w:t>dostala statut první substance</w:t>
      </w:r>
      <w:r w:rsidR="080E3F44">
        <w:rPr>
          <w:lang w:eastAsia="en-US"/>
        </w:rPr>
        <w:t xml:space="preserve"> skrze kategoriální predikaci </w:t>
      </w:r>
      <w:r w:rsidR="080E3F44" w:rsidRPr="08FE028E">
        <w:rPr>
          <w:lang w:eastAsia="en-US"/>
        </w:rPr>
        <w:t>species</w:t>
      </w:r>
      <w:r w:rsidR="080E3F44">
        <w:rPr>
          <w:lang w:eastAsia="en-US"/>
        </w:rPr>
        <w:t xml:space="preserve"> a individua</w:t>
      </w:r>
      <w:r w:rsidR="00916623">
        <w:rPr>
          <w:lang w:eastAsia="en-US"/>
        </w:rPr>
        <w:t xml:space="preserve">. </w:t>
      </w:r>
      <w:r w:rsidR="080E3F44">
        <w:rPr>
          <w:lang w:eastAsia="en-US"/>
        </w:rPr>
        <w:t>Ta</w:t>
      </w:r>
      <w:r w:rsidR="004B4B6B">
        <w:rPr>
          <w:lang w:eastAsia="en-US"/>
        </w:rPr>
        <w:t>to objektivní s</w:t>
      </w:r>
      <w:r w:rsidR="080E3F44">
        <w:rPr>
          <w:lang w:eastAsia="en-US"/>
        </w:rPr>
        <w:t>imulákra</w:t>
      </w:r>
      <w:r w:rsidR="00916623">
        <w:rPr>
          <w:lang w:eastAsia="en-US"/>
        </w:rPr>
        <w:t xml:space="preserve"> </w:t>
      </w:r>
      <w:r w:rsidR="080E3F44">
        <w:rPr>
          <w:lang w:eastAsia="en-US"/>
        </w:rPr>
        <w:t xml:space="preserve">první </w:t>
      </w:r>
      <w:r w:rsidR="00916623">
        <w:rPr>
          <w:lang w:eastAsia="en-US"/>
        </w:rPr>
        <w:t>substan</w:t>
      </w:r>
      <w:r w:rsidR="00F25D96">
        <w:rPr>
          <w:lang w:eastAsia="en-US"/>
        </w:rPr>
        <w:t xml:space="preserve">ce </w:t>
      </w:r>
      <w:r w:rsidR="00212D28" w:rsidRPr="00273106">
        <w:rPr>
          <w:lang w:eastAsia="en-US"/>
        </w:rPr>
        <w:t>dostal</w:t>
      </w:r>
      <w:r w:rsidR="080E3F44">
        <w:rPr>
          <w:lang w:eastAsia="en-US"/>
        </w:rPr>
        <w:t>a</w:t>
      </w:r>
      <w:r w:rsidR="00212D28" w:rsidRPr="00273106">
        <w:rPr>
          <w:lang w:eastAsia="en-US"/>
        </w:rPr>
        <w:t xml:space="preserve"> smysl v rámci zvláštního druhu univocity</w:t>
      </w:r>
      <w:r w:rsidR="00F25D96">
        <w:rPr>
          <w:lang w:eastAsia="en-US"/>
        </w:rPr>
        <w:t xml:space="preserve"> a kategoriální predikace</w:t>
      </w:r>
      <w:r w:rsidR="00212D28" w:rsidRPr="00273106">
        <w:rPr>
          <w:lang w:eastAsia="en-US"/>
        </w:rPr>
        <w:t>, kterou středověk přebral od Avicenny.</w:t>
      </w:r>
    </w:p>
    <w:p w14:paraId="6A9E3C5F" w14:textId="67C06541" w:rsidR="008B0C1E" w:rsidRPr="00273106" w:rsidRDefault="00212D28" w:rsidP="00DE398B">
      <w:r w:rsidRPr="00273106">
        <w:rPr>
          <w:lang w:eastAsia="en-US"/>
        </w:rPr>
        <w:tab/>
      </w:r>
      <w:r w:rsidR="00AC4CC7" w:rsidRPr="00273106">
        <w:rPr>
          <w:lang w:eastAsia="en-US"/>
        </w:rPr>
        <w:t>Dru</w:t>
      </w:r>
      <w:r w:rsidR="00E61BC3" w:rsidRPr="00273106">
        <w:rPr>
          <w:lang w:eastAsia="en-US"/>
        </w:rPr>
        <w:t xml:space="preserve">hý pohled </w:t>
      </w:r>
      <w:r w:rsidR="0028074C" w:rsidRPr="00273106">
        <w:rPr>
          <w:lang w:eastAsia="en-US"/>
        </w:rPr>
        <w:t xml:space="preserve">na vznik objektivity </w:t>
      </w:r>
      <w:r w:rsidR="00DE398B" w:rsidRPr="00273106">
        <w:rPr>
          <w:lang w:eastAsia="en-US"/>
        </w:rPr>
        <w:t>sled</w:t>
      </w:r>
      <w:r w:rsidR="00514A44" w:rsidRPr="00273106">
        <w:rPr>
          <w:lang w:eastAsia="en-US"/>
        </w:rPr>
        <w:t>uje změnu ve vývoji signifikace</w:t>
      </w:r>
      <w:r w:rsidR="08E20FD7">
        <w:rPr>
          <w:lang w:eastAsia="en-US"/>
        </w:rPr>
        <w:t xml:space="preserve"> opět ustavenou Boethiem</w:t>
      </w:r>
      <w:r w:rsidR="00DE398B" w:rsidRPr="00273106">
        <w:rPr>
          <w:lang w:eastAsia="en-US"/>
        </w:rPr>
        <w:t xml:space="preserve">. </w:t>
      </w:r>
      <w:r w:rsidR="081103C3">
        <w:rPr>
          <w:lang w:eastAsia="en-US"/>
        </w:rPr>
        <w:t>M</w:t>
      </w:r>
      <w:r w:rsidR="081103C3">
        <w:t>oderna</w:t>
      </w:r>
      <w:r w:rsidR="00DE398B" w:rsidRPr="00273106">
        <w:t xml:space="preserve"> vzniká zapomenutím </w:t>
      </w:r>
      <w:r w:rsidR="080D402D" w:rsidRPr="00273106">
        <w:rPr>
          <w:lang w:eastAsia="en-US"/>
        </w:rPr>
        <w:t xml:space="preserve">rozdílu mezi </w:t>
      </w:r>
      <w:r w:rsidR="080D402D" w:rsidRPr="00273106">
        <w:t xml:space="preserve">symbolem a znamením, které obsahuje </w:t>
      </w:r>
      <w:r w:rsidR="08BF5147" w:rsidRPr="00273106">
        <w:t xml:space="preserve">původní Aristotelovo </w:t>
      </w:r>
      <w:r w:rsidR="080D402D" w:rsidRPr="00273106">
        <w:t xml:space="preserve">určení jazyka a signifikace </w:t>
      </w:r>
      <w:r w:rsidR="08BF5147" w:rsidRPr="00273106">
        <w:t>(</w:t>
      </w:r>
      <w:r w:rsidR="00DE398B" w:rsidRPr="00273106">
        <w:rPr>
          <w:i/>
          <w:lang w:eastAsia="en-US"/>
        </w:rPr>
        <w:t>De inte</w:t>
      </w:r>
      <w:r w:rsidR="087E3BF4">
        <w:rPr>
          <w:i/>
          <w:lang w:eastAsia="en-US"/>
        </w:rPr>
        <w:t>r</w:t>
      </w:r>
      <w:r w:rsidR="00DE398B" w:rsidRPr="00273106">
        <w:rPr>
          <w:i/>
          <w:lang w:eastAsia="en-US"/>
        </w:rPr>
        <w:t xml:space="preserve">pretatione </w:t>
      </w:r>
      <w:r w:rsidR="00DE398B" w:rsidRPr="00273106">
        <w:rPr>
          <w:lang w:eastAsia="en-US"/>
        </w:rPr>
        <w:t>16a3‒8</w:t>
      </w:r>
      <w:r w:rsidR="009F7114">
        <w:rPr>
          <w:lang w:eastAsia="en-US"/>
        </w:rPr>
        <w:fldChar w:fldCharType="begin"/>
      </w:r>
      <w:r w:rsidR="009F7114">
        <w:instrText xml:space="preserve"> XE "</w:instrText>
      </w:r>
      <w:r w:rsidR="008E02F5">
        <w:instrText>Aristoteles</w:instrText>
      </w:r>
      <w:r w:rsidR="009F7114">
        <w:instrText>:</w:instrText>
      </w:r>
      <w:r w:rsidR="009F7114" w:rsidRPr="00047A3A">
        <w:rPr>
          <w:i/>
          <w:lang w:eastAsia="en-US"/>
        </w:rPr>
        <w:instrText>De inte</w:instrText>
      </w:r>
      <w:r w:rsidR="087E3BF4">
        <w:rPr>
          <w:i/>
          <w:lang w:eastAsia="en-US"/>
        </w:rPr>
        <w:instrText>r</w:instrText>
      </w:r>
      <w:r w:rsidR="009F7114" w:rsidRPr="00047A3A">
        <w:rPr>
          <w:i/>
          <w:lang w:eastAsia="en-US"/>
        </w:rPr>
        <w:instrText xml:space="preserve">pretatione </w:instrText>
      </w:r>
      <w:r w:rsidR="009F7114" w:rsidRPr="00047A3A">
        <w:rPr>
          <w:lang w:eastAsia="en-US"/>
        </w:rPr>
        <w:instrText>16a3‒8</w:instrText>
      </w:r>
      <w:r w:rsidR="009F7114">
        <w:instrText xml:space="preserve">" </w:instrText>
      </w:r>
      <w:r w:rsidR="009F7114">
        <w:rPr>
          <w:lang w:eastAsia="en-US"/>
        </w:rPr>
        <w:fldChar w:fldCharType="end"/>
      </w:r>
      <w:r w:rsidR="08BF5147" w:rsidRPr="00273106">
        <w:rPr>
          <w:lang w:eastAsia="en-US"/>
        </w:rPr>
        <w:t>)</w:t>
      </w:r>
      <w:r w:rsidR="00DE398B" w:rsidRPr="00273106">
        <w:t xml:space="preserve">. </w:t>
      </w:r>
      <w:r w:rsidR="080D402D" w:rsidRPr="00273106">
        <w:t>Moderní pojetí signifikace</w:t>
      </w:r>
      <w:r w:rsidR="080D402D" w:rsidRPr="00273106">
        <w:rPr>
          <w:lang w:eastAsia="en-US"/>
        </w:rPr>
        <w:t xml:space="preserve"> vzniká </w:t>
      </w:r>
      <w:r w:rsidR="00666885">
        <w:rPr>
          <w:lang w:eastAsia="en-US"/>
        </w:rPr>
        <w:t xml:space="preserve">zavedením </w:t>
      </w:r>
      <w:r w:rsidR="006158EE">
        <w:rPr>
          <w:lang w:eastAsia="en-US"/>
        </w:rPr>
        <w:t xml:space="preserve">lingvistického </w:t>
      </w:r>
      <w:r w:rsidR="00666885">
        <w:rPr>
          <w:lang w:eastAsia="en-US"/>
        </w:rPr>
        <w:t xml:space="preserve">omylu. </w:t>
      </w:r>
      <w:r w:rsidR="00DE398B" w:rsidRPr="00273106">
        <w:rPr>
          <w:lang w:eastAsia="en-US"/>
        </w:rPr>
        <w:t xml:space="preserve">Boethiův překlad </w:t>
      </w:r>
      <w:r w:rsidR="005E652B" w:rsidRPr="00273106">
        <w:rPr>
          <w:lang w:eastAsia="en-US"/>
        </w:rPr>
        <w:t xml:space="preserve">v </w:t>
      </w:r>
      <w:r w:rsidR="00F70395">
        <w:rPr>
          <w:lang w:eastAsia="en-US"/>
        </w:rPr>
        <w:t>„</w:t>
      </w:r>
      <w:r w:rsidR="005E652B" w:rsidRPr="00273106">
        <w:rPr>
          <w:i/>
        </w:rPr>
        <w:t xml:space="preserve">Commentarii in librum Aristotelis </w:t>
      </w:r>
      <w:r w:rsidR="005E652B" w:rsidRPr="00F70395">
        <w:t>Περὶ ἐρμενείας</w:t>
      </w:r>
      <w:r w:rsidR="00F70395">
        <w:rPr>
          <w:lang w:eastAsia="en-US"/>
        </w:rPr>
        <w:t>“</w:t>
      </w:r>
      <w:r w:rsidR="005E652B" w:rsidRPr="00273106">
        <w:rPr>
          <w:lang w:eastAsia="en-US"/>
        </w:rPr>
        <w:t xml:space="preserve"> </w:t>
      </w:r>
      <w:r w:rsidR="00DE398B" w:rsidRPr="00273106">
        <w:rPr>
          <w:lang w:eastAsia="en-US"/>
        </w:rPr>
        <w:t xml:space="preserve">přestal </w:t>
      </w:r>
      <w:r w:rsidR="00CC3F7A">
        <w:rPr>
          <w:lang w:eastAsia="en-US"/>
        </w:rPr>
        <w:t xml:space="preserve">lexikálně </w:t>
      </w:r>
      <w:r w:rsidR="00DE398B" w:rsidRPr="00273106">
        <w:rPr>
          <w:lang w:eastAsia="en-US"/>
        </w:rPr>
        <w:t>rozlišovat dvojí určení signifikace</w:t>
      </w:r>
      <w:r w:rsidR="00514A44" w:rsidRPr="00273106">
        <w:rPr>
          <w:lang w:eastAsia="en-US"/>
        </w:rPr>
        <w:t>. O</w:t>
      </w:r>
      <w:r w:rsidR="00514A44" w:rsidRPr="00273106">
        <w:t>riginální řecký text</w:t>
      </w:r>
      <w:r w:rsidR="00514A44" w:rsidRPr="00273106">
        <w:rPr>
          <w:lang w:eastAsia="en-US"/>
        </w:rPr>
        <w:t xml:space="preserve"> </w:t>
      </w:r>
      <w:r w:rsidR="00514A44" w:rsidRPr="00273106">
        <w:t xml:space="preserve">jasně definuje </w:t>
      </w:r>
      <w:r w:rsidR="00DE398B" w:rsidRPr="00273106">
        <w:rPr>
          <w:lang w:eastAsia="en-US"/>
        </w:rPr>
        <w:t xml:space="preserve">rozdíl mezi </w:t>
      </w:r>
      <w:r w:rsidR="085B71D5">
        <w:t>symboly</w:t>
      </w:r>
      <w:r w:rsidR="00514A44" w:rsidRPr="00273106">
        <w:t xml:space="preserve"> </w:t>
      </w:r>
      <w:r w:rsidR="085B71D5">
        <w:t>(</w:t>
      </w:r>
      <w:r w:rsidR="085B71D5" w:rsidRPr="00273106">
        <w:rPr>
          <w:rStyle w:val="TextpoznpodarouChar"/>
        </w:rPr>
        <w:t>σύμβολα</w:t>
      </w:r>
      <w:r w:rsidR="085B71D5">
        <w:t xml:space="preserve">) </w:t>
      </w:r>
      <w:r w:rsidR="00514A44" w:rsidRPr="00273106">
        <w:t>a znamením</w:t>
      </w:r>
      <w:r w:rsidR="085B71D5">
        <w:t>i (</w:t>
      </w:r>
      <w:r w:rsidR="085B71D5" w:rsidRPr="00273106">
        <w:rPr>
          <w:rStyle w:val="TextpoznpodarouChar"/>
        </w:rPr>
        <w:t>σημεία</w:t>
      </w:r>
      <w:r w:rsidR="085B71D5">
        <w:t>)</w:t>
      </w:r>
      <w:r w:rsidR="00DE398B" w:rsidRPr="00273106">
        <w:t xml:space="preserve">. Boethiův latinský překlad oba významy pojmově nerozlišil a spojil je do jednoho výrazu </w:t>
      </w:r>
      <w:r w:rsidR="002E284C" w:rsidRPr="00273106">
        <w:rPr>
          <w:i/>
        </w:rPr>
        <w:t>notae</w:t>
      </w:r>
      <w:r w:rsidR="006E026D">
        <w:fldChar w:fldCharType="begin"/>
      </w:r>
      <w:r w:rsidR="006E026D">
        <w:instrText xml:space="preserve"> XE "signifikace:</w:instrText>
      </w:r>
      <w:r w:rsidR="00E41C0D">
        <w:instrText>Boethius</w:instrText>
      </w:r>
      <w:r w:rsidR="006E026D">
        <w:instrText xml:space="preserve">" </w:instrText>
      </w:r>
      <w:r w:rsidR="006E026D">
        <w:fldChar w:fldCharType="end"/>
      </w:r>
      <w:r w:rsidR="08444055">
        <w:t xml:space="preserve">. </w:t>
      </w:r>
      <w:r w:rsidR="084D675D">
        <w:t xml:space="preserve">Překlad vytvořil </w:t>
      </w:r>
      <w:r w:rsidR="08B023B0">
        <w:t xml:space="preserve">zásadní </w:t>
      </w:r>
      <w:r w:rsidR="084D675D">
        <w:t xml:space="preserve">nejasnost vůči </w:t>
      </w:r>
      <w:r w:rsidR="00DE398B" w:rsidRPr="00273106">
        <w:t xml:space="preserve">originálu rozlišujícího mezi </w:t>
      </w:r>
      <w:r w:rsidR="00DE398B" w:rsidRPr="00273106">
        <w:rPr>
          <w:i/>
        </w:rPr>
        <w:t>sýmbolon</w:t>
      </w:r>
      <w:r w:rsidR="00DE398B" w:rsidRPr="00273106">
        <w:t xml:space="preserve"> a </w:t>
      </w:r>
      <w:r w:rsidR="00034125">
        <w:rPr>
          <w:i/>
        </w:rPr>
        <w:t>semeí</w:t>
      </w:r>
      <w:r w:rsidR="00DE398B" w:rsidRPr="00273106">
        <w:rPr>
          <w:i/>
        </w:rPr>
        <w:t>on</w:t>
      </w:r>
      <w:r w:rsidR="00DE398B" w:rsidRPr="00273106">
        <w:t xml:space="preserve">. </w:t>
      </w:r>
    </w:p>
    <w:p w14:paraId="537F056B" w14:textId="77777777" w:rsidR="008B0C1E" w:rsidRPr="00273106" w:rsidRDefault="007E3AD1" w:rsidP="008B0C1E">
      <w:pPr>
        <w:pStyle w:val="Citace"/>
        <w:rPr>
          <w:rStyle w:val="TextpoznpodarouChar"/>
          <w:noProof/>
          <w:lang w:val="cs-CZ"/>
        </w:rPr>
      </w:pPr>
      <w:bookmarkStart w:id="17" w:name="_Ref391801662"/>
      <w:r>
        <w:rPr>
          <w:rStyle w:val="TextpoznpodarouChar"/>
          <w:noProof/>
          <w:lang w:val="cs-CZ"/>
        </w:rPr>
        <w:lastRenderedPageBreak/>
        <w:t>„Mluvená slova jsou symboly</w:t>
      </w:r>
      <w:r w:rsidR="008B0C1E" w:rsidRPr="00273106">
        <w:rPr>
          <w:rStyle w:val="TextpoznpodarouChar"/>
          <w:noProof/>
          <w:lang w:val="cs-CZ"/>
        </w:rPr>
        <w:t xml:space="preserve"> (σύμβολα, </w:t>
      </w:r>
      <w:r w:rsidR="008B0C1E" w:rsidRPr="00273106">
        <w:rPr>
          <w:rStyle w:val="TextpoznpodarouChar"/>
          <w:i/>
          <w:noProof/>
          <w:lang w:val="cs-CZ"/>
        </w:rPr>
        <w:t>notae</w:t>
      </w:r>
      <w:r w:rsidR="008B0C1E" w:rsidRPr="00273106">
        <w:rPr>
          <w:rStyle w:val="TextpoznpodarouChar"/>
          <w:noProof/>
          <w:lang w:val="cs-CZ"/>
        </w:rPr>
        <w:t>) duševních prožit</w:t>
      </w:r>
      <w:r>
        <w:rPr>
          <w:rStyle w:val="TextpoznpodarouChar"/>
          <w:noProof/>
          <w:lang w:val="cs-CZ"/>
        </w:rPr>
        <w:t>ků a napsaná slova jsou symboly</w:t>
      </w:r>
      <w:r w:rsidR="008B0C1E" w:rsidRPr="00273106">
        <w:rPr>
          <w:rStyle w:val="TextpoznpodarouChar"/>
          <w:noProof/>
          <w:lang w:val="cs-CZ"/>
        </w:rPr>
        <w:t xml:space="preserve"> slov mluvených. A jako všichni nemají totéž písmo, tak ani jejich mluva není táž; avšak to, čeho jsou mluva a písmo primárním znamením (σημεία πρώτων, </w:t>
      </w:r>
      <w:r w:rsidR="008B0C1E" w:rsidRPr="00273106">
        <w:rPr>
          <w:rStyle w:val="TextpoznpodarouChar"/>
          <w:i/>
          <w:noProof/>
          <w:lang w:val="cs-CZ"/>
        </w:rPr>
        <w:t>primorum notae</w:t>
      </w:r>
      <w:r w:rsidR="008B0C1E" w:rsidRPr="00273106">
        <w:rPr>
          <w:rStyle w:val="TextpoznpodarouChar"/>
          <w:noProof/>
          <w:lang w:val="cs-CZ"/>
        </w:rPr>
        <w:t xml:space="preserve">), je již všem společné, totiž duševní prožitky (παθήματα τῆς ψυχῆς, </w:t>
      </w:r>
      <w:r w:rsidR="008B0C1E" w:rsidRPr="00273106">
        <w:rPr>
          <w:rStyle w:val="TextpoznpodarouChar"/>
          <w:i/>
          <w:noProof/>
          <w:lang w:val="cs-CZ"/>
        </w:rPr>
        <w:t>passio animae</w:t>
      </w:r>
      <w:r w:rsidR="008B0C1E" w:rsidRPr="00273106">
        <w:rPr>
          <w:rStyle w:val="TextpoznpodarouChar"/>
          <w:noProof/>
          <w:lang w:val="cs-CZ"/>
        </w:rPr>
        <w:t xml:space="preserve">) a to, čeho jsou prožitky nápodobou (ὁμοιώματα, </w:t>
      </w:r>
      <w:r w:rsidR="008B0C1E" w:rsidRPr="00273106">
        <w:rPr>
          <w:rStyle w:val="TextpoznpodarouChar"/>
          <w:i/>
          <w:noProof/>
          <w:lang w:val="cs-CZ"/>
        </w:rPr>
        <w:t>similitudines</w:t>
      </w:r>
      <w:r w:rsidR="008B0C1E" w:rsidRPr="00273106">
        <w:rPr>
          <w:rStyle w:val="TextpoznpodarouChar"/>
          <w:noProof/>
          <w:lang w:val="cs-CZ"/>
        </w:rPr>
        <w:t>), totiž věcí.“</w:t>
      </w:r>
      <w:r w:rsidR="009647A0">
        <w:rPr>
          <w:rStyle w:val="TextpoznpodarouChar"/>
          <w:noProof/>
          <w:lang w:val="cs-CZ"/>
        </w:rPr>
        <w:t> </w:t>
      </w:r>
      <w:r w:rsidR="009C6CDF" w:rsidRPr="00273106">
        <w:rPr>
          <w:rStyle w:val="Znakapoznpodarou"/>
          <w:noProof/>
          <w:lang w:val="cs-CZ"/>
        </w:rPr>
        <w:footnoteReference w:id="8"/>
      </w:r>
      <w:r w:rsidR="008B0C1E" w:rsidRPr="00273106">
        <w:rPr>
          <w:rStyle w:val="TextpoznpodarouChar"/>
          <w:noProof/>
          <w:lang w:val="cs-CZ"/>
        </w:rPr>
        <w:t xml:space="preserve"> </w:t>
      </w:r>
    </w:p>
    <w:p w14:paraId="7F9C7ACD" w14:textId="621FC95E" w:rsidR="003578A2" w:rsidRDefault="00797864" w:rsidP="00B61897">
      <w:pPr>
        <w:rPr>
          <w:rStyle w:val="TextpoznpodarouChar"/>
        </w:rPr>
      </w:pPr>
      <w:r w:rsidRPr="00273106">
        <w:t xml:space="preserve">Výkon duše produkuje </w:t>
      </w:r>
      <w:r w:rsidR="003C2AF1">
        <w:t xml:space="preserve">na úrovni abstrakce </w:t>
      </w:r>
      <w:r w:rsidRPr="00273106">
        <w:t>první rovinu signifikace (σημεῖα πρώτων</w:t>
      </w:r>
      <w:r w:rsidR="08215A4D" w:rsidRPr="00273106">
        <w:t xml:space="preserve">), která nese </w:t>
      </w:r>
      <w:r w:rsidRPr="00273106">
        <w:t>univoční charakter pro všechny lidi (ταὐτὰ πᾶσι ὁμοιώματα)</w:t>
      </w:r>
      <w:r w:rsidR="08215A4D" w:rsidRPr="00273106">
        <w:t xml:space="preserve">. </w:t>
      </w:r>
      <w:r w:rsidR="081103C3">
        <w:t xml:space="preserve">Znamení </w:t>
      </w:r>
      <w:r w:rsidR="08215A4D" w:rsidRPr="00273106">
        <w:t xml:space="preserve">jsou skrze tuto </w:t>
      </w:r>
      <w:r w:rsidR="08EC448C">
        <w:t xml:space="preserve">formálně danou </w:t>
      </w:r>
      <w:r w:rsidR="08215A4D" w:rsidRPr="00273106">
        <w:t xml:space="preserve">univocitu na úrovni </w:t>
      </w:r>
      <w:r w:rsidR="08EC448C">
        <w:t xml:space="preserve">intencionální recepce </w:t>
      </w:r>
      <w:r w:rsidR="08215A4D" w:rsidRPr="00273106">
        <w:t xml:space="preserve">intelektu </w:t>
      </w:r>
      <w:r w:rsidR="08EC448C">
        <w:t>(</w:t>
      </w:r>
      <w:r w:rsidR="004B4D52" w:rsidRPr="004B4D52">
        <w:t>species</w:t>
      </w:r>
      <w:r w:rsidR="08EC448C" w:rsidRPr="08EC448C">
        <w:rPr>
          <w:i/>
        </w:rPr>
        <w:t xml:space="preserve"> intelligibilis</w:t>
      </w:r>
      <w:r w:rsidR="08EC448C">
        <w:t xml:space="preserve">) </w:t>
      </w:r>
      <w:r w:rsidR="08215A4D" w:rsidRPr="00273106">
        <w:t xml:space="preserve">adekvátně </w:t>
      </w:r>
      <w:r w:rsidR="081103C3">
        <w:t>spojena</w:t>
      </w:r>
      <w:r w:rsidRPr="00273106">
        <w:t xml:space="preserve"> se světem prvních substancí (ὁμοιώματα... πράγματα ταὐτά). </w:t>
      </w:r>
      <w:r w:rsidR="08A43799">
        <w:t xml:space="preserve">Podobnost jasně ukazuje primát </w:t>
      </w:r>
      <w:r w:rsidR="08787ECE">
        <w:t xml:space="preserve">metafyzického </w:t>
      </w:r>
      <w:r w:rsidR="08A43799">
        <w:t>dativu</w:t>
      </w:r>
      <w:r w:rsidR="08A43799">
        <w:fldChar w:fldCharType="begin"/>
      </w:r>
      <w:r w:rsidR="08A43799">
        <w:instrText xml:space="preserve"> XE "</w:instrText>
      </w:r>
      <w:r w:rsidR="08787ECE">
        <w:rPr>
          <w:i/>
        </w:rPr>
        <w:instrText>dativus metaphysi</w:instrText>
      </w:r>
      <w:r w:rsidR="08A43799" w:rsidRPr="08A43799">
        <w:rPr>
          <w:i/>
        </w:rPr>
        <w:instrText>cus</w:instrText>
      </w:r>
      <w:r w:rsidR="08A43799">
        <w:instrText xml:space="preserve">" </w:instrText>
      </w:r>
      <w:r w:rsidR="08A43799">
        <w:fldChar w:fldCharType="end"/>
      </w:r>
      <w:r w:rsidR="08A43799">
        <w:t xml:space="preserve">, v němž bytí reálné věci určuje poznání v modu původní sématické jednoty </w:t>
      </w:r>
      <w:r w:rsidR="081860EB">
        <w:t xml:space="preserve">reprezentující minulostní ráz první substance nepřímo obsažené v poznání </w:t>
      </w:r>
      <w:r w:rsidR="006576A4">
        <w:t xml:space="preserve">podle následujícího kognitivního řádu </w:t>
      </w:r>
      <w:r w:rsidR="08A43799">
        <w:t>(</w:t>
      </w:r>
      <w:r w:rsidR="08A43799" w:rsidRPr="00273106">
        <w:rPr>
          <w:rStyle w:val="TextpoznpodarouChar"/>
        </w:rPr>
        <w:t>ὁμοιώματα</w:t>
      </w:r>
      <w:r w:rsidR="00C93AE8">
        <w:rPr>
          <w:rStyle w:val="TextpoznpodarouChar"/>
        </w:rPr>
        <w:t xml:space="preserve"> –</w:t>
      </w:r>
      <w:r w:rsidR="08A43799">
        <w:rPr>
          <w:rStyle w:val="TextpoznpodarouChar"/>
        </w:rPr>
        <w:t xml:space="preserve"> </w:t>
      </w:r>
      <w:r w:rsidR="08A43799" w:rsidRPr="00273106">
        <w:rPr>
          <w:rStyle w:val="TextpoznpodarouChar"/>
        </w:rPr>
        <w:t>παθήματα</w:t>
      </w:r>
      <w:r w:rsidR="00C93AE8">
        <w:rPr>
          <w:rStyle w:val="TextpoznpodarouChar"/>
        </w:rPr>
        <w:t xml:space="preserve"> –</w:t>
      </w:r>
      <w:r w:rsidR="08A43799">
        <w:rPr>
          <w:rStyle w:val="TextpoznpodarouChar"/>
        </w:rPr>
        <w:t xml:space="preserve"> </w:t>
      </w:r>
      <w:r w:rsidR="08A43799" w:rsidRPr="00273106">
        <w:rPr>
          <w:rStyle w:val="TextpoznpodarouChar"/>
        </w:rPr>
        <w:t>σημεία πρώτων</w:t>
      </w:r>
      <w:r w:rsidR="00C93AE8">
        <w:rPr>
          <w:rStyle w:val="TextpoznpodarouChar"/>
        </w:rPr>
        <w:t xml:space="preserve"> –</w:t>
      </w:r>
      <w:r w:rsidR="08A43799">
        <w:rPr>
          <w:rStyle w:val="TextpoznpodarouChar"/>
        </w:rPr>
        <w:t xml:space="preserve"> </w:t>
      </w:r>
      <w:r w:rsidR="08A43799" w:rsidRPr="00273106">
        <w:rPr>
          <w:rStyle w:val="TextpoznpodarouChar"/>
        </w:rPr>
        <w:t>σύμβολα</w:t>
      </w:r>
      <w:r w:rsidR="08A43799">
        <w:t xml:space="preserve">). </w:t>
      </w:r>
      <w:r w:rsidR="08B023B0">
        <w:t xml:space="preserve">Metafyzická </w:t>
      </w:r>
      <w:r w:rsidR="00C60FD0">
        <w:t xml:space="preserve">sémantika </w:t>
      </w:r>
      <w:r w:rsidR="08B023B0">
        <w:t>(a nikoliv apollinská</w:t>
      </w:r>
      <w:r w:rsidR="00C60FD0">
        <w:t xml:space="preserve"> sémeiotika</w:t>
      </w:r>
      <w:r w:rsidR="08B023B0">
        <w:t xml:space="preserve">) </w:t>
      </w:r>
      <w:r w:rsidR="00AE727F">
        <w:t xml:space="preserve">vytváří základní </w:t>
      </w:r>
      <w:r w:rsidR="000C673A">
        <w:t xml:space="preserve">rovinu </w:t>
      </w:r>
      <w:r w:rsidR="00AE727F">
        <w:t xml:space="preserve">významu </w:t>
      </w:r>
      <w:r w:rsidR="000C673A">
        <w:t xml:space="preserve">díky </w:t>
      </w:r>
      <w:r w:rsidR="003C2AF1">
        <w:t xml:space="preserve">intencionálnímu </w:t>
      </w:r>
      <w:r w:rsidR="000C673A">
        <w:t>poznání reálné věci</w:t>
      </w:r>
      <w:r w:rsidR="08D6283E">
        <w:t xml:space="preserve">. První substance </w:t>
      </w:r>
      <w:r w:rsidR="003C2AF1">
        <w:t xml:space="preserve">působí </w:t>
      </w:r>
      <w:r w:rsidR="087235C2">
        <w:t>formálně-</w:t>
      </w:r>
      <w:r w:rsidR="003C2AF1">
        <w:t xml:space="preserve">kauzálně na naše </w:t>
      </w:r>
      <w:r w:rsidR="00231E49">
        <w:t xml:space="preserve">i animální </w:t>
      </w:r>
      <w:r w:rsidR="003C2AF1">
        <w:t>poznání</w:t>
      </w:r>
      <w:r w:rsidR="00AE727F">
        <w:t xml:space="preserve">, </w:t>
      </w:r>
      <w:r w:rsidR="000C673A">
        <w:t xml:space="preserve">což </w:t>
      </w:r>
      <w:r w:rsidR="00AE727F">
        <w:t xml:space="preserve">zkoumá spis </w:t>
      </w:r>
      <w:r w:rsidR="00AE727F" w:rsidRPr="00AE727F">
        <w:rPr>
          <w:i/>
        </w:rPr>
        <w:t>De anima</w:t>
      </w:r>
      <w:r w:rsidR="00AE727F">
        <w:t xml:space="preserve">. </w:t>
      </w:r>
      <w:r w:rsidR="00574EF6">
        <w:t xml:space="preserve">Vznik významu </w:t>
      </w:r>
      <w:r w:rsidR="08977393">
        <w:t xml:space="preserve">odpovídá </w:t>
      </w:r>
      <w:r w:rsidR="08F85E7F">
        <w:t xml:space="preserve">metafyzické </w:t>
      </w:r>
      <w:r w:rsidR="00574EF6">
        <w:t>pravdě</w:t>
      </w:r>
      <w:r w:rsidR="08F85E7F">
        <w:t>-</w:t>
      </w:r>
      <w:r w:rsidR="08F85E7F" w:rsidRPr="08F85E7F">
        <w:rPr>
          <w:i/>
        </w:rPr>
        <w:t>veritas</w:t>
      </w:r>
      <w:r w:rsidR="08F85E7F">
        <w:rPr>
          <w:i/>
        </w:rPr>
        <w:fldChar w:fldCharType="begin"/>
      </w:r>
      <w:r w:rsidR="08F85E7F">
        <w:instrText xml:space="preserve"> XE "</w:instrText>
      </w:r>
      <w:r w:rsidR="08F85E7F" w:rsidRPr="087A3FB7">
        <w:rPr>
          <w:i/>
        </w:rPr>
        <w:instrText>veritas</w:instrText>
      </w:r>
      <w:r w:rsidR="08F85E7F">
        <w:instrText xml:space="preserve">" </w:instrText>
      </w:r>
      <w:r w:rsidR="08F85E7F">
        <w:rPr>
          <w:i/>
        </w:rPr>
        <w:fldChar w:fldCharType="end"/>
      </w:r>
      <w:r w:rsidR="00574EF6">
        <w:t xml:space="preserve"> jako adekvaci</w:t>
      </w:r>
      <w:r w:rsidR="08F85E7F">
        <w:t xml:space="preserve"> věci a intelektu. Poznání proto </w:t>
      </w:r>
      <w:r w:rsidR="00574EF6" w:rsidRPr="00273106">
        <w:t xml:space="preserve">vychází z výkonu </w:t>
      </w:r>
      <w:r w:rsidR="082B63B3">
        <w:t xml:space="preserve">intencionality a </w:t>
      </w:r>
      <w:r w:rsidR="00574EF6" w:rsidRPr="00273106">
        <w:t xml:space="preserve">abstrakce </w:t>
      </w:r>
      <w:r w:rsidR="00897AC1">
        <w:t>v duši</w:t>
      </w:r>
      <w:r w:rsidR="08EE3C24">
        <w:t xml:space="preserve"> </w:t>
      </w:r>
      <w:r w:rsidR="08EE3C24" w:rsidRPr="00273106">
        <w:t>(</w:t>
      </w:r>
      <w:r w:rsidR="08EE3C24" w:rsidRPr="00273106">
        <w:rPr>
          <w:rStyle w:val="TextpoznpodarouChar"/>
        </w:rPr>
        <w:t>παθήματα τῆς ψυχῆς</w:t>
      </w:r>
      <w:r w:rsidR="08EE3C24" w:rsidRPr="00273106">
        <w:t>)</w:t>
      </w:r>
      <w:r w:rsidR="08EE3C24">
        <w:t xml:space="preserve">. Díky kauzalitě dané v duševním aktu poznání </w:t>
      </w:r>
      <w:r w:rsidR="00574EF6" w:rsidRPr="00273106">
        <w:t xml:space="preserve">vzniká </w:t>
      </w:r>
      <w:r w:rsidR="08EE3C24">
        <w:t>základ pro následnou primární adekvaci mluvy</w:t>
      </w:r>
      <w:r w:rsidR="00396B28">
        <w:t xml:space="preserve">. Ta je </w:t>
      </w:r>
      <w:r w:rsidR="00092CC7">
        <w:t xml:space="preserve">nejprve </w:t>
      </w:r>
      <w:r w:rsidR="00396B28">
        <w:t>orientována</w:t>
      </w:r>
      <w:r w:rsidR="08EE3C24">
        <w:t xml:space="preserve"> </w:t>
      </w:r>
      <w:r w:rsidR="00574EF6" w:rsidRPr="00273106">
        <w:t>směrem k věcem</w:t>
      </w:r>
      <w:r w:rsidR="08EE3C24">
        <w:t xml:space="preserve"> (</w:t>
      </w:r>
      <w:r w:rsidR="08EE3C24" w:rsidRPr="00273106">
        <w:t>σημεῖα πρώτων</w:t>
      </w:r>
      <w:r w:rsidR="08EE3C24">
        <w:t>)</w:t>
      </w:r>
      <w:r w:rsidR="00574EF6" w:rsidRPr="00273106">
        <w:t>.</w:t>
      </w:r>
      <w:r w:rsidR="00574EF6">
        <w:t xml:space="preserve"> </w:t>
      </w:r>
      <w:r w:rsidR="001E0982">
        <w:t>V</w:t>
      </w:r>
      <w:r w:rsidR="00A93428">
        <w:t xml:space="preserve">znik </w:t>
      </w:r>
      <w:r w:rsidR="08087689">
        <w:t>sém</w:t>
      </w:r>
      <w:r w:rsidR="08977393">
        <w:t>antické</w:t>
      </w:r>
      <w:r w:rsidR="00D9031B">
        <w:t xml:space="preserve"> podobnosti </w:t>
      </w:r>
      <w:r w:rsidR="00A93428">
        <w:t xml:space="preserve">je dán skrze účinnou a formální kauzalitu zprostředovanou intencionálně skrze dvojí </w:t>
      </w:r>
      <w:r w:rsidR="00A93428" w:rsidRPr="001420E5">
        <w:rPr>
          <w:i/>
        </w:rPr>
        <w:t>diafanum</w:t>
      </w:r>
      <w:r w:rsidR="00A93428">
        <w:t xml:space="preserve">, </w:t>
      </w:r>
      <w:r w:rsidR="001E0982">
        <w:t xml:space="preserve">a proto je na této úrovni </w:t>
      </w:r>
      <w:r w:rsidR="00A93428">
        <w:t>všem lidem společný</w:t>
      </w:r>
      <w:r w:rsidR="08EE3C24">
        <w:t xml:space="preserve"> (</w:t>
      </w:r>
      <w:r w:rsidR="08EE3C24" w:rsidRPr="00273106">
        <w:rPr>
          <w:rStyle w:val="TextpoznpodarouChar"/>
        </w:rPr>
        <w:t>ὁμοιώματα</w:t>
      </w:r>
      <w:r w:rsidR="08EE3C24">
        <w:t>)</w:t>
      </w:r>
      <w:r w:rsidR="089459C0">
        <w:t xml:space="preserve">. </w:t>
      </w:r>
      <w:r w:rsidR="00854DD5">
        <w:t xml:space="preserve">Proces </w:t>
      </w:r>
      <w:r w:rsidR="00375540" w:rsidRPr="00273106">
        <w:t xml:space="preserve">symbolizace </w:t>
      </w:r>
      <w:r w:rsidR="081B1042">
        <w:t>(</w:t>
      </w:r>
      <w:r w:rsidR="081B1042" w:rsidRPr="00273106">
        <w:rPr>
          <w:rStyle w:val="TextpoznpodarouChar"/>
        </w:rPr>
        <w:t>σύμβολα</w:t>
      </w:r>
      <w:r w:rsidR="081B1042">
        <w:t xml:space="preserve">) duševních aktů </w:t>
      </w:r>
      <w:r w:rsidR="00375540" w:rsidRPr="00273106">
        <w:t xml:space="preserve">začíná na úrovni slova, které je dané úmluvou. </w:t>
      </w:r>
      <w:r w:rsidR="00060D7D">
        <w:rPr>
          <w:szCs w:val="24"/>
        </w:rPr>
        <w:t xml:space="preserve">Aristotelská symbolizace začíná podle </w:t>
      </w:r>
      <w:r w:rsidR="00060D7D" w:rsidRPr="003C0B2D">
        <w:rPr>
          <w:i/>
          <w:szCs w:val="24"/>
        </w:rPr>
        <w:t>De anima</w:t>
      </w:r>
      <w:r w:rsidR="00060D7D">
        <w:rPr>
          <w:szCs w:val="24"/>
        </w:rPr>
        <w:t xml:space="preserve"> až na druhém stupni intelektuálního diafanum jako </w:t>
      </w:r>
      <w:r w:rsidR="004B4D52" w:rsidRPr="004B4D52">
        <w:rPr>
          <w:szCs w:val="24"/>
        </w:rPr>
        <w:t>species</w:t>
      </w:r>
      <w:r w:rsidR="00060D7D" w:rsidRPr="003C0B2D">
        <w:rPr>
          <w:i/>
          <w:szCs w:val="24"/>
        </w:rPr>
        <w:t xml:space="preserve"> intelligibilis</w:t>
      </w:r>
      <w:r w:rsidR="00060D7D">
        <w:rPr>
          <w:szCs w:val="24"/>
        </w:rPr>
        <w:t xml:space="preserve">, které nás spojuje s reálným světem na obecné rovině (OBJ I, kap. 2.4.4). </w:t>
      </w:r>
      <w:r w:rsidR="08712A73">
        <w:t>Sém</w:t>
      </w:r>
      <w:r w:rsidR="08120D19">
        <w:t xml:space="preserve">antika </w:t>
      </w:r>
      <w:r w:rsidR="083B74CD">
        <w:t xml:space="preserve">založená na </w:t>
      </w:r>
      <w:r w:rsidR="08712A73">
        <w:t>pozná</w:t>
      </w:r>
      <w:r w:rsidR="083B74CD">
        <w:t>vacích aktech</w:t>
      </w:r>
      <w:r w:rsidR="08712A73">
        <w:t xml:space="preserve"> duše </w:t>
      </w:r>
      <w:r w:rsidR="08120D19">
        <w:t xml:space="preserve">sleduje působení </w:t>
      </w:r>
      <w:r w:rsidR="08787ECE">
        <w:t xml:space="preserve">metafyzického </w:t>
      </w:r>
      <w:r w:rsidR="08120D19">
        <w:t xml:space="preserve">dativu. Impozice významu jako </w:t>
      </w:r>
      <w:r w:rsidR="08120D19" w:rsidRPr="08BE2778">
        <w:rPr>
          <w:i/>
          <w:szCs w:val="24"/>
        </w:rPr>
        <w:t>quiddditas</w:t>
      </w:r>
      <w:r w:rsidR="08120D19" w:rsidRPr="08BE2778">
        <w:rPr>
          <w:szCs w:val="24"/>
        </w:rPr>
        <w:t xml:space="preserve"> </w:t>
      </w:r>
      <w:r w:rsidR="08120D19">
        <w:t>(</w:t>
      </w:r>
      <w:r w:rsidR="08120D19" w:rsidRPr="08D57ABC">
        <w:t>τό τί ἦν εἶναι</w:t>
      </w:r>
      <w:r w:rsidR="08120D19">
        <w:fldChar w:fldCharType="begin"/>
      </w:r>
      <w:r w:rsidR="08120D19">
        <w:instrText xml:space="preserve"> XE "substance:</w:instrText>
      </w:r>
      <w:r w:rsidR="08120D19" w:rsidRPr="08D57ABC">
        <w:instrText>τό τί ἦν εἶναι</w:instrText>
      </w:r>
      <w:r w:rsidR="08120D19">
        <w:instrText xml:space="preserve">" </w:instrText>
      </w:r>
      <w:r w:rsidR="08120D19">
        <w:fldChar w:fldCharType="end"/>
      </w:r>
      <w:r w:rsidR="084B15E3">
        <w:t>; OBJ I, k</w:t>
      </w:r>
      <w:r w:rsidR="08120D19" w:rsidRPr="009B6645">
        <w:t>ap. 1.1</w:t>
      </w:r>
      <w:r w:rsidR="08120D19">
        <w:t xml:space="preserve">) zásadně odlišuje sémantiku původních znamení daných všem společně </w:t>
      </w:r>
      <w:r w:rsidR="08120D19" w:rsidRPr="08120D19">
        <w:t>(</w:t>
      </w:r>
      <w:r w:rsidR="08120D19" w:rsidRPr="08120D19">
        <w:rPr>
          <w:i/>
        </w:rPr>
        <w:t>sémeia</w:t>
      </w:r>
      <w:r w:rsidR="08120D19" w:rsidRPr="08120D19">
        <w:t xml:space="preserve">) </w:t>
      </w:r>
      <w:r w:rsidR="08120D19" w:rsidRPr="08BE2778">
        <w:rPr>
          <w:szCs w:val="24"/>
        </w:rPr>
        <w:t xml:space="preserve">od </w:t>
      </w:r>
      <w:r w:rsidR="086D4056" w:rsidRPr="08BE2778">
        <w:rPr>
          <w:szCs w:val="24"/>
        </w:rPr>
        <w:t xml:space="preserve">řečové a jiné </w:t>
      </w:r>
      <w:r w:rsidR="086D4056">
        <w:t>symbolizace</w:t>
      </w:r>
      <w:r w:rsidR="083D3727">
        <w:t xml:space="preserve"> (</w:t>
      </w:r>
      <w:r w:rsidR="083D3727" w:rsidRPr="08120D19">
        <w:rPr>
          <w:i/>
        </w:rPr>
        <w:t>sýmbola</w:t>
      </w:r>
      <w:r w:rsidR="083D3727">
        <w:t>)</w:t>
      </w:r>
      <w:r w:rsidR="086D4056">
        <w:t>.</w:t>
      </w:r>
      <w:r w:rsidR="080153C0">
        <w:t xml:space="preserve"> </w:t>
      </w:r>
      <w:r w:rsidR="00E82D73" w:rsidRPr="00E82D73">
        <w:t xml:space="preserve">Opět je zřejmé, že </w:t>
      </w:r>
      <w:r w:rsidR="00E82D73" w:rsidRPr="00E82D73">
        <w:lastRenderedPageBreak/>
        <w:t xml:space="preserve">definice přesně sleduje dvě úrovně </w:t>
      </w:r>
      <w:r w:rsidR="00E82D73">
        <w:t>mediace skrze intencionalitu</w:t>
      </w:r>
      <w:r w:rsidR="00E82D73" w:rsidRPr="00E82D73">
        <w:t>, což komentář v CMD</w:t>
      </w:r>
      <w:r w:rsidR="00E82D73">
        <w:t>A jasně uvádí (</w:t>
      </w:r>
      <w:r w:rsidR="00E82D73" w:rsidRPr="00E82D73">
        <w:rPr>
          <w:i/>
        </w:rPr>
        <w:t>esse spirituale</w:t>
      </w:r>
      <w:r w:rsidR="00E82D73" w:rsidRPr="00E82D73">
        <w:rPr>
          <w:i/>
          <w:vertAlign w:val="superscript"/>
        </w:rPr>
        <w:t>1–2</w:t>
      </w:r>
      <w:r w:rsidR="00E82D73" w:rsidRPr="00E82D73">
        <w:t>). Syntetická schopnost na smyslové úrovni (</w:t>
      </w:r>
      <w:r w:rsidR="00E82D73" w:rsidRPr="00E82D73">
        <w:rPr>
          <w:i/>
        </w:rPr>
        <w:t>sensus communis</w:t>
      </w:r>
      <w:r w:rsidR="00E82D73" w:rsidRPr="00E82D73">
        <w:t>) je společná všem lidem (a zvířatům); symbolizace naproti tomu odpovídá lidskému intelektu, který je dán na vyšší, nehmotné úrovni poznání (</w:t>
      </w:r>
      <w:r w:rsidR="00E82D73" w:rsidRPr="00E82D73">
        <w:rPr>
          <w:i/>
        </w:rPr>
        <w:t>intellectio</w:t>
      </w:r>
      <w:r w:rsidR="00E82D73" w:rsidRPr="00E82D73">
        <w:t>).</w:t>
      </w:r>
      <w:r w:rsidR="00E82D73">
        <w:t xml:space="preserve"> </w:t>
      </w:r>
      <w:r w:rsidR="007137FC">
        <w:rPr>
          <w:szCs w:val="24"/>
        </w:rPr>
        <w:t xml:space="preserve">Aristotelova definice jazyka jasně vysvětluje, proč takto vzniklý </w:t>
      </w:r>
      <w:r w:rsidR="007137FC" w:rsidRPr="00E727B1">
        <w:rPr>
          <w:i/>
          <w:szCs w:val="24"/>
        </w:rPr>
        <w:t>Lebenswelt</w:t>
      </w:r>
      <w:r w:rsidR="007137FC">
        <w:rPr>
          <w:i/>
          <w:szCs w:val="24"/>
        </w:rPr>
        <w:fldChar w:fldCharType="begin"/>
      </w:r>
      <w:r w:rsidR="007137FC">
        <w:instrText xml:space="preserve"> XE "</w:instrText>
      </w:r>
      <w:r w:rsidR="007137FC" w:rsidRPr="00310440">
        <w:rPr>
          <w:i/>
          <w:szCs w:val="24"/>
        </w:rPr>
        <w:instrText>Lebenswelt</w:instrText>
      </w:r>
      <w:r w:rsidR="007137FC">
        <w:instrText xml:space="preserve">" </w:instrText>
      </w:r>
      <w:r w:rsidR="007137FC">
        <w:rPr>
          <w:i/>
          <w:szCs w:val="24"/>
        </w:rPr>
        <w:fldChar w:fldCharType="end"/>
      </w:r>
      <w:r w:rsidR="007137FC">
        <w:rPr>
          <w:szCs w:val="24"/>
        </w:rPr>
        <w:t xml:space="preserve"> umožňuje komunikaci mezi lidmi a zvířaty. </w:t>
      </w:r>
      <w:r w:rsidR="080153C0">
        <w:t xml:space="preserve">Symbolizace je dána </w:t>
      </w:r>
      <w:r w:rsidR="080153C0" w:rsidRPr="08BE2778">
        <w:rPr>
          <w:szCs w:val="24"/>
        </w:rPr>
        <w:t xml:space="preserve">významem vzniklým kulturní či jinou úmluvou a </w:t>
      </w:r>
      <w:r w:rsidR="080153C0">
        <w:t xml:space="preserve">dává se skrze slovo, signál, znamení a symbol. Toto základní rozdělení na metafyzickou sémantiku společného světa a na kulturní symbolizaci tohoto společného světa se ztratilo v objektivní sémiotice založené na významu znaku jako </w:t>
      </w:r>
      <w:r w:rsidR="080153C0" w:rsidRPr="084B15E3">
        <w:rPr>
          <w:i/>
        </w:rPr>
        <w:t>tertium ens</w:t>
      </w:r>
      <w:r w:rsidR="080153C0">
        <w:t xml:space="preserve">. </w:t>
      </w:r>
      <w:r w:rsidR="083D3727">
        <w:t xml:space="preserve">Symbolizace </w:t>
      </w:r>
      <w:r w:rsidR="086D4056">
        <w:t xml:space="preserve">je dána </w:t>
      </w:r>
      <w:r w:rsidR="084B15E3" w:rsidRPr="08BE2778">
        <w:rPr>
          <w:szCs w:val="24"/>
        </w:rPr>
        <w:t xml:space="preserve">kulturní či jinou </w:t>
      </w:r>
      <w:r w:rsidR="08120D19" w:rsidRPr="08BE2778">
        <w:rPr>
          <w:szCs w:val="24"/>
        </w:rPr>
        <w:t xml:space="preserve">úmluvou </w:t>
      </w:r>
      <w:r w:rsidR="084B15E3" w:rsidRPr="08BE2778">
        <w:rPr>
          <w:szCs w:val="24"/>
        </w:rPr>
        <w:t>vzniklé</w:t>
      </w:r>
      <w:r w:rsidR="086D4056" w:rsidRPr="08BE2778">
        <w:rPr>
          <w:szCs w:val="24"/>
        </w:rPr>
        <w:t>ho významu</w:t>
      </w:r>
      <w:r w:rsidR="086D4056">
        <w:t>, který</w:t>
      </w:r>
      <w:r w:rsidR="084B15E3">
        <w:t xml:space="preserve"> se dává </w:t>
      </w:r>
      <w:r w:rsidR="08120D19">
        <w:t>skrze slovo</w:t>
      </w:r>
      <w:r w:rsidR="083B74CD">
        <w:t xml:space="preserve">, </w:t>
      </w:r>
      <w:r w:rsidR="08120D19">
        <w:t>signál</w:t>
      </w:r>
      <w:r w:rsidR="08510D15">
        <w:t xml:space="preserve">, </w:t>
      </w:r>
      <w:r w:rsidR="003F726E">
        <w:t>znamení a symbol.</w:t>
      </w:r>
      <w:r w:rsidR="00B61897">
        <w:t xml:space="preserve"> První signifikace je primární a pro všechny živé bystoti formálně stejná </w:t>
      </w:r>
      <w:r w:rsidR="00B61897">
        <w:rPr>
          <w:szCs w:val="24"/>
        </w:rPr>
        <w:t>(</w:t>
      </w:r>
      <w:r w:rsidR="00B61897" w:rsidRPr="006803BD">
        <w:rPr>
          <w:i/>
          <w:szCs w:val="24"/>
        </w:rPr>
        <w:t>esse sp</w:t>
      </w:r>
      <w:r w:rsidR="00B61897">
        <w:rPr>
          <w:i/>
          <w:szCs w:val="24"/>
        </w:rPr>
        <w:t>i</w:t>
      </w:r>
      <w:r w:rsidR="00B61897" w:rsidRPr="006803BD">
        <w:rPr>
          <w:i/>
          <w:szCs w:val="24"/>
        </w:rPr>
        <w:t>rituale</w:t>
      </w:r>
      <w:r w:rsidR="00B61897" w:rsidRPr="006803BD">
        <w:rPr>
          <w:i/>
          <w:szCs w:val="24"/>
          <w:vertAlign w:val="superscript"/>
        </w:rPr>
        <w:t>1</w:t>
      </w:r>
      <w:r w:rsidR="00B61897">
        <w:rPr>
          <w:szCs w:val="24"/>
        </w:rPr>
        <w:t>)</w:t>
      </w:r>
      <w:r w:rsidR="00B61897">
        <w:t xml:space="preserve">; druhá je sekundární a liší se kulturní a jakykovou úmluvou </w:t>
      </w:r>
      <w:r w:rsidR="00B61897">
        <w:rPr>
          <w:szCs w:val="24"/>
        </w:rPr>
        <w:t>(</w:t>
      </w:r>
      <w:r w:rsidR="00B61897" w:rsidRPr="006803BD">
        <w:rPr>
          <w:i/>
          <w:szCs w:val="24"/>
        </w:rPr>
        <w:t>esse sp</w:t>
      </w:r>
      <w:r w:rsidR="00B61897">
        <w:rPr>
          <w:i/>
          <w:szCs w:val="24"/>
        </w:rPr>
        <w:t>i</w:t>
      </w:r>
      <w:r w:rsidR="00B61897" w:rsidRPr="006803BD">
        <w:rPr>
          <w:i/>
          <w:szCs w:val="24"/>
        </w:rPr>
        <w:t>rituale</w:t>
      </w:r>
      <w:r w:rsidR="00B61897">
        <w:rPr>
          <w:i/>
          <w:szCs w:val="24"/>
          <w:vertAlign w:val="superscript"/>
        </w:rPr>
        <w:t>2</w:t>
      </w:r>
      <w:r w:rsidR="00B61897">
        <w:rPr>
          <w:szCs w:val="24"/>
        </w:rPr>
        <w:t>)</w:t>
      </w:r>
      <w:r w:rsidR="00B61897">
        <w:t xml:space="preserve">. </w:t>
      </w:r>
      <w:r w:rsidR="00B61897" w:rsidRPr="00273106">
        <w:t>Proto symbolizace skrze ten či onen jazyk není všem lidem společná</w:t>
      </w:r>
      <w:r w:rsidR="00B61897">
        <w:t>. Naopak je pravdou</w:t>
      </w:r>
      <w:r w:rsidR="00B61897" w:rsidRPr="00EA5CB8">
        <w:t xml:space="preserve">, že všechny včely na světě si docela dobře rozumějí, a to díky </w:t>
      </w:r>
      <w:r w:rsidR="00B61897">
        <w:t xml:space="preserve">těsnému kauzálnímu </w:t>
      </w:r>
      <w:r w:rsidR="00B61897" w:rsidRPr="00EA5CB8">
        <w:t>spojení první intencionality se smyslovými orgány.</w:t>
      </w:r>
      <w:r w:rsidR="00B61897">
        <w:t xml:space="preserve"> </w:t>
      </w:r>
      <w:r w:rsidR="084B15E3">
        <w:t xml:space="preserve">Toto základní rozdělení na metafyzickou sémantiku společného světa a na kulturní symbolizaci tohoto společného světa se zcela ztratilo </w:t>
      </w:r>
      <w:r w:rsidR="082D1F56">
        <w:t xml:space="preserve">v současné </w:t>
      </w:r>
      <w:r w:rsidR="084B15E3">
        <w:t xml:space="preserve">objektivní </w:t>
      </w:r>
      <w:r w:rsidR="082D1F56">
        <w:t xml:space="preserve">sémiotice </w:t>
      </w:r>
      <w:r w:rsidR="084B15E3">
        <w:t xml:space="preserve">založené na mytopoetickém významu znaku jako </w:t>
      </w:r>
      <w:r w:rsidR="084B15E3" w:rsidRPr="084B15E3">
        <w:rPr>
          <w:i/>
        </w:rPr>
        <w:t>tertium ens</w:t>
      </w:r>
      <w:r w:rsidR="08A336E8">
        <w:t xml:space="preserve">. </w:t>
      </w:r>
      <w:r w:rsidR="008B0C1E" w:rsidRPr="00273106">
        <w:rPr>
          <w:rStyle w:val="TextpoznpodarouChar"/>
        </w:rPr>
        <w:t xml:space="preserve">Boethiův překlad spojil </w:t>
      </w:r>
      <w:r w:rsidR="083B74CD">
        <w:rPr>
          <w:rStyle w:val="TextpoznpodarouChar"/>
          <w:i/>
        </w:rPr>
        <w:t>sý</w:t>
      </w:r>
      <w:r w:rsidR="008B0C1E" w:rsidRPr="00273106">
        <w:rPr>
          <w:rStyle w:val="TextpoznpodarouChar"/>
          <w:i/>
        </w:rPr>
        <w:t>mbola</w:t>
      </w:r>
      <w:r w:rsidR="008B0C1E" w:rsidRPr="00273106">
        <w:rPr>
          <w:rStyle w:val="TextpoznpodarouChar"/>
        </w:rPr>
        <w:t xml:space="preserve"> a </w:t>
      </w:r>
      <w:r w:rsidR="008B0C1E" w:rsidRPr="00273106">
        <w:rPr>
          <w:rStyle w:val="TextpoznpodarouChar"/>
          <w:i/>
        </w:rPr>
        <w:t>sémeia</w:t>
      </w:r>
      <w:r w:rsidR="008B0C1E" w:rsidRPr="00273106">
        <w:rPr>
          <w:rStyle w:val="TextpoznpodarouChar"/>
        </w:rPr>
        <w:t xml:space="preserve"> do jednoho významu</w:t>
      </w:r>
      <w:r w:rsidR="084F2BF0">
        <w:rPr>
          <w:rStyle w:val="TextpoznpodarouChar"/>
        </w:rPr>
        <w:t xml:space="preserve"> (</w:t>
      </w:r>
      <w:r w:rsidR="084F2BF0" w:rsidRPr="00A97BEF">
        <w:rPr>
          <w:rStyle w:val="TextpoznpodarouChar"/>
          <w:i/>
        </w:rPr>
        <w:t>notae</w:t>
      </w:r>
      <w:r w:rsidR="084F2BF0">
        <w:rPr>
          <w:rStyle w:val="TextpoznpodarouChar"/>
        </w:rPr>
        <w:t>)</w:t>
      </w:r>
      <w:r w:rsidR="08A336E8">
        <w:rPr>
          <w:rStyle w:val="TextpoznpodarouChar"/>
        </w:rPr>
        <w:t xml:space="preserve"> a tím dal </w:t>
      </w:r>
      <w:r w:rsidR="086209E1">
        <w:rPr>
          <w:rStyle w:val="TextpoznpodarouChar"/>
        </w:rPr>
        <w:t xml:space="preserve">pythické </w:t>
      </w:r>
      <w:r w:rsidR="08A336E8" w:rsidRPr="08A336E8">
        <w:rPr>
          <w:rStyle w:val="TextpoznpodarouChar"/>
          <w:i/>
        </w:rPr>
        <w:t>Lichtung</w:t>
      </w:r>
      <w:r w:rsidR="086209E1">
        <w:rPr>
          <w:rStyle w:val="TextpoznpodarouChar"/>
          <w:i/>
        </w:rPr>
        <w:fldChar w:fldCharType="begin"/>
      </w:r>
      <w:r w:rsidR="086209E1">
        <w:instrText xml:space="preserve"> XE "</w:instrText>
      </w:r>
      <w:r w:rsidR="086209E1" w:rsidRPr="088D793C">
        <w:rPr>
          <w:rStyle w:val="TextpoznpodarouChar"/>
          <w:i/>
        </w:rPr>
        <w:instrText>Lichtung</w:instrText>
      </w:r>
      <w:r w:rsidR="086209E1">
        <w:instrText xml:space="preserve">" </w:instrText>
      </w:r>
      <w:r w:rsidR="086209E1">
        <w:rPr>
          <w:rStyle w:val="TextpoznpodarouChar"/>
          <w:i/>
        </w:rPr>
        <w:fldChar w:fldCharType="end"/>
      </w:r>
      <w:r w:rsidR="08A336E8">
        <w:rPr>
          <w:rStyle w:val="TextpoznpodarouChar"/>
        </w:rPr>
        <w:t xml:space="preserve"> k </w:t>
      </w:r>
      <w:r w:rsidR="08514385">
        <w:rPr>
          <w:rStyle w:val="TextpoznpodarouChar"/>
        </w:rPr>
        <w:t xml:space="preserve">pravdě a nepravdě postmoderní sémiotiky, hermeneutiky </w:t>
      </w:r>
      <w:r w:rsidR="08A336E8">
        <w:rPr>
          <w:rStyle w:val="TextpoznpodarouChar"/>
        </w:rPr>
        <w:t>a filosofii jazyka</w:t>
      </w:r>
      <w:r w:rsidR="00DF72FA">
        <w:rPr>
          <w:rStyle w:val="TextpoznpodarouChar"/>
        </w:rPr>
        <w:t xml:space="preserve">. </w:t>
      </w:r>
      <w:r w:rsidR="08632369">
        <w:rPr>
          <w:rStyle w:val="TextpoznpodarouChar"/>
        </w:rPr>
        <w:t>Boethius jako z</w:t>
      </w:r>
      <w:r w:rsidR="08FF4F1C">
        <w:rPr>
          <w:rStyle w:val="TextpoznpodarouChar"/>
        </w:rPr>
        <w:t>nalec Aristo</w:t>
      </w:r>
      <w:r w:rsidR="0824280D">
        <w:rPr>
          <w:rStyle w:val="TextpoznpodarouChar"/>
        </w:rPr>
        <w:t xml:space="preserve">tela a Porfyria </w:t>
      </w:r>
      <w:r w:rsidR="08632369">
        <w:rPr>
          <w:rStyle w:val="TextpoznpodarouChar"/>
        </w:rPr>
        <w:t xml:space="preserve">dobře </w:t>
      </w:r>
      <w:r w:rsidR="08FF4F1C">
        <w:rPr>
          <w:rStyle w:val="TextpoznpodarouChar"/>
        </w:rPr>
        <w:t>věděl</w:t>
      </w:r>
      <w:r w:rsidR="08167D23">
        <w:rPr>
          <w:rStyle w:val="TextpoznpodarouChar"/>
        </w:rPr>
        <w:t>, že hyparchické (tj. sém</w:t>
      </w:r>
      <w:r w:rsidR="086209E1">
        <w:rPr>
          <w:rStyle w:val="TextpoznpodarouChar"/>
        </w:rPr>
        <w:t>antické</w:t>
      </w:r>
      <w:r w:rsidR="08FF4F1C">
        <w:rPr>
          <w:rStyle w:val="TextpoznpodarouChar"/>
        </w:rPr>
        <w:t xml:space="preserve">) postavení první substance </w:t>
      </w:r>
      <w:r w:rsidR="08167D23">
        <w:rPr>
          <w:rStyle w:val="TextpoznpodarouChar"/>
        </w:rPr>
        <w:t xml:space="preserve">zakládá </w:t>
      </w:r>
      <w:r w:rsidR="08527084">
        <w:rPr>
          <w:rStyle w:val="TextpoznpodarouChar"/>
        </w:rPr>
        <w:t>kauzalitu poznání</w:t>
      </w:r>
      <w:r w:rsidR="00A465AA">
        <w:rPr>
          <w:rStyle w:val="TextpoznpodarouChar"/>
        </w:rPr>
        <w:t>. První rovina</w:t>
      </w:r>
      <w:r w:rsidR="08FF4F1C">
        <w:rPr>
          <w:rStyle w:val="TextpoznpodarouChar"/>
        </w:rPr>
        <w:t xml:space="preserve"> signifikaci </w:t>
      </w:r>
      <w:r w:rsidR="00A465AA">
        <w:rPr>
          <w:rStyle w:val="TextpoznpodarouChar"/>
        </w:rPr>
        <w:t xml:space="preserve">proto běží </w:t>
      </w:r>
      <w:r w:rsidR="08FF4F1C">
        <w:rPr>
          <w:rStyle w:val="TextpoznpodarouChar"/>
        </w:rPr>
        <w:t>v</w:t>
      </w:r>
      <w:r w:rsidR="00A465AA">
        <w:rPr>
          <w:rStyle w:val="TextpoznpodarouChar"/>
        </w:rPr>
        <w:t xml:space="preserve"> kauzálně univerzálním </w:t>
      </w:r>
      <w:r w:rsidR="08FF4F1C">
        <w:rPr>
          <w:rStyle w:val="TextpoznpodarouChar"/>
        </w:rPr>
        <w:t xml:space="preserve">modu </w:t>
      </w:r>
      <w:r w:rsidR="08FF4F1C" w:rsidRPr="00A97BEF">
        <w:rPr>
          <w:rStyle w:val="TextpoznpodarouChar"/>
          <w:i/>
        </w:rPr>
        <w:t>primae notae</w:t>
      </w:r>
      <w:r w:rsidR="0824280D">
        <w:rPr>
          <w:rStyle w:val="TextpoznpodarouChar"/>
        </w:rPr>
        <w:t xml:space="preserve">. To </w:t>
      </w:r>
      <w:r w:rsidR="08FF4F1C">
        <w:rPr>
          <w:rStyle w:val="TextpoznpodarouChar"/>
        </w:rPr>
        <w:t>není př</w:t>
      </w:r>
      <w:r w:rsidR="08527084">
        <w:rPr>
          <w:rStyle w:val="TextpoznpodarouChar"/>
        </w:rPr>
        <w:t>ípad sekundární symbolické signi</w:t>
      </w:r>
      <w:r w:rsidR="08FF4F1C">
        <w:rPr>
          <w:rStyle w:val="TextpoznpodarouChar"/>
        </w:rPr>
        <w:t>fikace</w:t>
      </w:r>
      <w:r w:rsidR="085C6508">
        <w:rPr>
          <w:rStyle w:val="TextpoznpodarouChar"/>
        </w:rPr>
        <w:t xml:space="preserve"> </w:t>
      </w:r>
      <w:r w:rsidR="087D0236">
        <w:rPr>
          <w:rStyle w:val="TextpoznpodarouChar"/>
        </w:rPr>
        <w:t>determinované arbitrárně danou mluvou</w:t>
      </w:r>
      <w:r w:rsidR="00A465AA">
        <w:rPr>
          <w:rStyle w:val="TextpoznpodarouChar"/>
        </w:rPr>
        <w:t xml:space="preserve">. Ta se už přímo </w:t>
      </w:r>
      <w:r w:rsidR="08EC4E3A">
        <w:rPr>
          <w:rStyle w:val="TextpoznpodarouChar"/>
        </w:rPr>
        <w:t xml:space="preserve">neřídí </w:t>
      </w:r>
      <w:r w:rsidR="08DC0A67">
        <w:rPr>
          <w:rStyle w:val="TextpoznpodarouChar"/>
        </w:rPr>
        <w:t xml:space="preserve">účinnou a </w:t>
      </w:r>
      <w:r w:rsidR="08EC4E3A">
        <w:rPr>
          <w:rStyle w:val="TextpoznpodarouChar"/>
        </w:rPr>
        <w:t xml:space="preserve">formální </w:t>
      </w:r>
      <w:r w:rsidR="08251614">
        <w:rPr>
          <w:rStyle w:val="TextpoznpodarouChar"/>
        </w:rPr>
        <w:t xml:space="preserve">kauzalitou </w:t>
      </w:r>
      <w:r w:rsidR="088F577B">
        <w:rPr>
          <w:rStyle w:val="TextpoznpodarouChar"/>
        </w:rPr>
        <w:t xml:space="preserve">danou </w:t>
      </w:r>
      <w:r w:rsidR="08EC4E3A">
        <w:rPr>
          <w:rStyle w:val="TextpoznpodarouChar"/>
        </w:rPr>
        <w:t xml:space="preserve">skrze diafanum v aktu poznání </w:t>
      </w:r>
      <w:r w:rsidR="088F577B">
        <w:rPr>
          <w:rStyle w:val="TextpoznpodarouChar"/>
        </w:rPr>
        <w:t xml:space="preserve">směrem </w:t>
      </w:r>
      <w:r w:rsidR="08EC4E3A">
        <w:rPr>
          <w:rStyle w:val="TextpoznpodarouChar"/>
        </w:rPr>
        <w:t xml:space="preserve">od </w:t>
      </w:r>
      <w:r w:rsidR="08251614">
        <w:rPr>
          <w:rStyle w:val="TextpoznpodarouChar"/>
        </w:rPr>
        <w:t>externí věci</w:t>
      </w:r>
      <w:r w:rsidR="003578A2">
        <w:rPr>
          <w:rStyle w:val="TextpoznpodarouChar"/>
        </w:rPr>
        <w:t>.</w:t>
      </w:r>
    </w:p>
    <w:p w14:paraId="6E8902E6" w14:textId="44A832A4" w:rsidR="00E01245" w:rsidRDefault="003578A2" w:rsidP="006E49C6">
      <w:pPr>
        <w:ind w:firstLine="397"/>
        <w:rPr>
          <w:rStyle w:val="TextpoznpodarouChar"/>
        </w:rPr>
      </w:pPr>
      <w:r>
        <w:rPr>
          <w:rStyle w:val="TextpoznpodarouChar"/>
        </w:rPr>
        <w:t xml:space="preserve">Nyní je třeba definovat </w:t>
      </w:r>
      <w:r w:rsidR="08BC43F9">
        <w:rPr>
          <w:rStyle w:val="TextpoznpodarouChar"/>
        </w:rPr>
        <w:t xml:space="preserve">formu </w:t>
      </w:r>
      <w:r w:rsidR="08787ECE">
        <w:t xml:space="preserve">metafyzického </w:t>
      </w:r>
      <w:r w:rsidR="08BC43F9">
        <w:rPr>
          <w:rStyle w:val="TextpoznpodarouChar"/>
        </w:rPr>
        <w:t>dativu</w:t>
      </w:r>
      <w:r w:rsidR="08BC43F9">
        <w:rPr>
          <w:rStyle w:val="TextpoznpodarouChar"/>
        </w:rPr>
        <w:fldChar w:fldCharType="begin"/>
      </w:r>
      <w:r w:rsidR="08BC43F9">
        <w:instrText xml:space="preserve"> XE "</w:instrText>
      </w:r>
      <w:r w:rsidR="08787ECE">
        <w:rPr>
          <w:i/>
        </w:rPr>
        <w:instrText>dativus metaphysi</w:instrText>
      </w:r>
      <w:r w:rsidR="08BC43F9" w:rsidRPr="08BC43F9">
        <w:rPr>
          <w:i/>
        </w:rPr>
        <w:instrText>cus</w:instrText>
      </w:r>
      <w:r w:rsidR="08BC43F9">
        <w:instrText xml:space="preserve">" </w:instrText>
      </w:r>
      <w:r w:rsidR="08BC43F9">
        <w:rPr>
          <w:rStyle w:val="TextpoznpodarouChar"/>
        </w:rPr>
        <w:fldChar w:fldCharType="end"/>
      </w:r>
      <w:r w:rsidR="082D509B">
        <w:rPr>
          <w:rStyle w:val="TextpoznpodarouChar"/>
        </w:rPr>
        <w:t xml:space="preserve"> podle </w:t>
      </w:r>
      <w:r>
        <w:rPr>
          <w:rStyle w:val="TextpoznpodarouChar"/>
        </w:rPr>
        <w:t xml:space="preserve">spisu </w:t>
      </w:r>
      <w:r w:rsidR="082D509B" w:rsidRPr="082D509B">
        <w:rPr>
          <w:rStyle w:val="TextpoznpodarouChar"/>
          <w:i/>
        </w:rPr>
        <w:t>De intepretatione</w:t>
      </w:r>
      <w:r w:rsidR="08BC43F9">
        <w:rPr>
          <w:rStyle w:val="TextpoznpodarouChar"/>
        </w:rPr>
        <w:t xml:space="preserve">. </w:t>
      </w:r>
      <w:r w:rsidR="08721FBE">
        <w:t>Věc je dána v minulostním rázu jedinečného bytí, ale apofantický dativ vztažený k původu bytí jsoucna podržuje tuto nepřítomné a jedinečné bytí reálné věci v její univerzální signifikaci</w:t>
      </w:r>
      <w:r w:rsidR="006E49C6">
        <w:t xml:space="preserve">. Její první fáze je </w:t>
      </w:r>
      <w:r w:rsidR="08B44237">
        <w:t xml:space="preserve">primárně </w:t>
      </w:r>
      <w:r w:rsidR="006E49C6">
        <w:t>a proto „</w:t>
      </w:r>
      <w:r w:rsidR="08F60A56">
        <w:t>sém</w:t>
      </w:r>
      <w:r w:rsidR="08DC0A67">
        <w:t>anticky</w:t>
      </w:r>
      <w:r w:rsidR="006E49C6">
        <w:t>“ dána v</w:t>
      </w:r>
      <w:r w:rsidR="005F1E55">
        <w:t xml:space="preserve">e společné </w:t>
      </w:r>
      <w:r w:rsidR="006E49C6">
        <w:t>intencionalitě a druhá fáze je „</w:t>
      </w:r>
      <w:r w:rsidR="08F60A56">
        <w:t>symbolicky</w:t>
      </w:r>
      <w:r w:rsidR="006E49C6">
        <w:t>“ vyjádřena</w:t>
      </w:r>
      <w:r w:rsidR="08F60A56">
        <w:t xml:space="preserve"> </w:t>
      </w:r>
      <w:r w:rsidR="005F1E55">
        <w:t xml:space="preserve">lidským </w:t>
      </w:r>
      <w:r w:rsidR="08F60A56">
        <w:t>jazykem</w:t>
      </w:r>
      <w:r w:rsidR="08721FBE">
        <w:t xml:space="preserve">. </w:t>
      </w:r>
      <w:bookmarkEnd w:id="17"/>
      <w:r w:rsidR="082B6F51">
        <w:t xml:space="preserve">Simulákrum klamně univočních </w:t>
      </w:r>
      <w:r w:rsidR="082B6F51" w:rsidRPr="089258D3">
        <w:rPr>
          <w:i/>
        </w:rPr>
        <w:t>notae</w:t>
      </w:r>
      <w:r w:rsidR="082B6F51">
        <w:t xml:space="preserve"> vzniklo v epoše </w:t>
      </w:r>
      <w:r w:rsidR="082B6F51" w:rsidRPr="089258D3">
        <w:rPr>
          <w:i/>
        </w:rPr>
        <w:t>Seinsvergessenheit</w:t>
      </w:r>
      <w:r w:rsidR="082B6F51">
        <w:t xml:space="preserve"> pod aktivním vedením </w:t>
      </w:r>
      <w:r w:rsidR="00C06E39">
        <w:t xml:space="preserve">akademicky vzdělaných </w:t>
      </w:r>
      <w:r w:rsidR="082B6F51">
        <w:t>Fúrií</w:t>
      </w:r>
      <w:r w:rsidR="082B6F51">
        <w:fldChar w:fldCharType="begin"/>
      </w:r>
      <w:r w:rsidR="082B6F51">
        <w:instrText xml:space="preserve"> XE "</w:instrText>
      </w:r>
      <w:r w:rsidR="082B6F51" w:rsidRPr="08496E37">
        <w:instrText>Fúrie</w:instrText>
      </w:r>
      <w:r w:rsidR="082B6F51">
        <w:instrText xml:space="preserve">" </w:instrText>
      </w:r>
      <w:r w:rsidR="082B6F51">
        <w:fldChar w:fldCharType="end"/>
      </w:r>
      <w:r w:rsidR="082B6F51">
        <w:t xml:space="preserve">. Moderní </w:t>
      </w:r>
      <w:r w:rsidR="089E1EC4">
        <w:rPr>
          <w:i/>
        </w:rPr>
        <w:t>furor</w:t>
      </w:r>
      <w:r w:rsidR="082B6F51" w:rsidRPr="089258D3">
        <w:rPr>
          <w:i/>
        </w:rPr>
        <w:t xml:space="preserve"> inte</w:t>
      </w:r>
      <w:r w:rsidR="082B6F51">
        <w:rPr>
          <w:i/>
        </w:rPr>
        <w:t>rpretand</w:t>
      </w:r>
      <w:r w:rsidR="082B6F51" w:rsidRPr="089258D3">
        <w:rPr>
          <w:i/>
        </w:rPr>
        <w:t>i</w:t>
      </w:r>
      <w:r w:rsidR="003E27C7">
        <w:t xml:space="preserve"> filosofických nedo</w:t>
      </w:r>
      <w:r w:rsidR="082B6F51">
        <w:t>vzděl</w:t>
      </w:r>
      <w:r w:rsidR="08555B95">
        <w:t xml:space="preserve">anců na </w:t>
      </w:r>
      <w:r w:rsidR="08555B95">
        <w:lastRenderedPageBreak/>
        <w:t>latinském Západě spojil</w:t>
      </w:r>
      <w:r w:rsidR="082B6F51">
        <w:t xml:space="preserve"> v modu aristotelské </w:t>
      </w:r>
      <w:r w:rsidR="082B6F51" w:rsidRPr="08926883">
        <w:rPr>
          <w:i/>
        </w:rPr>
        <w:t>apaideusía</w:t>
      </w:r>
      <w:r w:rsidR="082B6F51">
        <w:rPr>
          <w:i/>
        </w:rPr>
        <w:fldChar w:fldCharType="begin"/>
      </w:r>
      <w:r w:rsidR="082B6F51">
        <w:instrText xml:space="preserve"> XE "</w:instrText>
      </w:r>
      <w:r w:rsidR="082B6F51" w:rsidRPr="0024735A">
        <w:rPr>
          <w:i/>
        </w:rPr>
        <w:instrText>apaideusía</w:instrText>
      </w:r>
      <w:r w:rsidR="082B6F51">
        <w:instrText xml:space="preserve">" </w:instrText>
      </w:r>
      <w:r w:rsidR="082B6F51">
        <w:rPr>
          <w:i/>
        </w:rPr>
        <w:fldChar w:fldCharType="end"/>
      </w:r>
      <w:r w:rsidR="082B6F51">
        <w:t xml:space="preserve"> </w:t>
      </w:r>
      <w:r w:rsidR="082B6F51">
        <w:rPr>
          <w:rStyle w:val="TextpoznpodarouChar"/>
        </w:rPr>
        <w:t xml:space="preserve">obě roviny signifikace a symbolizace do jednoho </w:t>
      </w:r>
      <w:r w:rsidR="003D4254">
        <w:rPr>
          <w:rStyle w:val="TextpoznpodarouChar"/>
        </w:rPr>
        <w:t xml:space="preserve">falešného </w:t>
      </w:r>
      <w:r w:rsidR="082B6F51">
        <w:rPr>
          <w:rStyle w:val="TextpoznpodarouChar"/>
        </w:rPr>
        <w:t>metafyzického a logického významu. Integrace rovin</w:t>
      </w:r>
      <w:r w:rsidR="085A5C84">
        <w:rPr>
          <w:rStyle w:val="TextpoznpodarouChar"/>
        </w:rPr>
        <w:t>y</w:t>
      </w:r>
      <w:r w:rsidR="082B6F51">
        <w:rPr>
          <w:rStyle w:val="TextpoznpodarouChar"/>
        </w:rPr>
        <w:t xml:space="preserve"> metafyzické signifikace a kulturní symbolizace do </w:t>
      </w:r>
      <w:r w:rsidR="085A5C84">
        <w:rPr>
          <w:rStyle w:val="TextpoznpodarouChar"/>
        </w:rPr>
        <w:t xml:space="preserve">jednoho </w:t>
      </w:r>
      <w:r w:rsidR="089E1EC4">
        <w:rPr>
          <w:rStyle w:val="TextpoznpodarouChar"/>
        </w:rPr>
        <w:t xml:space="preserve">objektivního významu </w:t>
      </w:r>
      <w:r w:rsidR="085A5C84">
        <w:rPr>
          <w:rStyle w:val="TextpoznpodarouChar"/>
        </w:rPr>
        <w:t xml:space="preserve">jazykového znaku </w:t>
      </w:r>
      <w:r w:rsidR="084F3CF6">
        <w:rPr>
          <w:rStyle w:val="TextpoznpodarouChar"/>
        </w:rPr>
        <w:t xml:space="preserve">určila </w:t>
      </w:r>
      <w:r w:rsidR="082B6F51">
        <w:rPr>
          <w:rStyle w:val="TextpoznpodarouChar"/>
        </w:rPr>
        <w:t xml:space="preserve">problematickou cestu moderny. </w:t>
      </w:r>
      <w:r w:rsidR="087642AD">
        <w:rPr>
          <w:rStyle w:val="TextpoznpodarouChar"/>
        </w:rPr>
        <w:t>A</w:t>
      </w:r>
      <w:r w:rsidR="08A742EF">
        <w:rPr>
          <w:rStyle w:val="TextpoznpodarouChar"/>
        </w:rPr>
        <w:t>ristote</w:t>
      </w:r>
      <w:r w:rsidR="087642AD">
        <w:rPr>
          <w:rStyle w:val="TextpoznpodarouChar"/>
        </w:rPr>
        <w:t>lské</w:t>
      </w:r>
      <w:r w:rsidR="08A742EF">
        <w:rPr>
          <w:rStyle w:val="TextpoznpodarouChar"/>
        </w:rPr>
        <w:t xml:space="preserve"> </w:t>
      </w:r>
      <w:r w:rsidR="08A742EF" w:rsidRPr="08A742EF">
        <w:rPr>
          <w:rStyle w:val="TextpoznpodarouChar"/>
          <w:i/>
        </w:rPr>
        <w:t>sýmbolon</w:t>
      </w:r>
      <w:r w:rsidR="08A742EF">
        <w:rPr>
          <w:rStyle w:val="TextpoznpodarouChar"/>
        </w:rPr>
        <w:t xml:space="preserve"> </w:t>
      </w:r>
      <w:r w:rsidR="087642AD">
        <w:rPr>
          <w:rStyle w:val="TextpoznpodarouChar"/>
        </w:rPr>
        <w:t>se změnilo na o</w:t>
      </w:r>
      <w:r w:rsidR="089A2A8C">
        <w:rPr>
          <w:rStyle w:val="TextpoznpodarouChar"/>
        </w:rPr>
        <w:t>bjektivní simulákrum</w:t>
      </w:r>
      <w:r w:rsidR="087D3505">
        <w:rPr>
          <w:rStyle w:val="TextpoznpodarouChar"/>
        </w:rPr>
        <w:t>, protože m</w:t>
      </w:r>
      <w:r w:rsidR="089A2A8C">
        <w:rPr>
          <w:rStyle w:val="TextpoznpodarouChar"/>
        </w:rPr>
        <w:t xml:space="preserve">oderna </w:t>
      </w:r>
      <w:r w:rsidR="08A742EF">
        <w:rPr>
          <w:rStyle w:val="TextpoznpodarouChar"/>
        </w:rPr>
        <w:t>absolutizoval</w:t>
      </w:r>
      <w:r w:rsidR="089A2A8C">
        <w:rPr>
          <w:rStyle w:val="TextpoznpodarouChar"/>
        </w:rPr>
        <w:t>a</w:t>
      </w:r>
      <w:r w:rsidR="087642AD">
        <w:rPr>
          <w:rStyle w:val="TextpoznpodarouChar"/>
        </w:rPr>
        <w:t xml:space="preserve"> význam </w:t>
      </w:r>
      <w:r w:rsidR="08A742EF">
        <w:rPr>
          <w:rStyle w:val="TextpoznpodarouChar"/>
        </w:rPr>
        <w:t>jazyk</w:t>
      </w:r>
      <w:r w:rsidR="087642AD">
        <w:rPr>
          <w:rStyle w:val="TextpoznpodarouChar"/>
        </w:rPr>
        <w:t>a</w:t>
      </w:r>
      <w:r w:rsidR="08A742EF">
        <w:rPr>
          <w:rStyle w:val="TextpoznpodarouChar"/>
        </w:rPr>
        <w:t xml:space="preserve"> jako </w:t>
      </w:r>
      <w:r w:rsidR="087642AD">
        <w:rPr>
          <w:rStyle w:val="TextpoznpodarouChar"/>
        </w:rPr>
        <w:t xml:space="preserve">další formy </w:t>
      </w:r>
      <w:r w:rsidR="08A742EF" w:rsidRPr="08BE2778">
        <w:rPr>
          <w:i/>
          <w:szCs w:val="24"/>
        </w:rPr>
        <w:t>tertium ens</w:t>
      </w:r>
      <w:r w:rsidR="08A742EF">
        <w:rPr>
          <w:i/>
          <w:szCs w:val="24"/>
          <w:lang w:val="de-DE"/>
        </w:rPr>
        <w:fldChar w:fldCharType="begin"/>
      </w:r>
      <w:r w:rsidR="08A742EF">
        <w:instrText xml:space="preserve"> XE "</w:instrText>
      </w:r>
      <w:r w:rsidR="08A742EF" w:rsidRPr="08BE2778">
        <w:rPr>
          <w:i/>
          <w:szCs w:val="24"/>
        </w:rPr>
        <w:instrText>tertium ens</w:instrText>
      </w:r>
      <w:r w:rsidR="08A742EF" w:rsidRPr="08BE2778">
        <w:rPr>
          <w:szCs w:val="24"/>
        </w:rPr>
        <w:instrText>:jazyk</w:instrText>
      </w:r>
      <w:r w:rsidR="08A742EF">
        <w:instrText xml:space="preserve">" </w:instrText>
      </w:r>
      <w:r w:rsidR="08A742EF">
        <w:rPr>
          <w:i/>
          <w:szCs w:val="24"/>
          <w:lang w:val="de-DE"/>
        </w:rPr>
        <w:fldChar w:fldCharType="end"/>
      </w:r>
      <w:r w:rsidR="087642AD" w:rsidRPr="08BE2778">
        <w:rPr>
          <w:szCs w:val="24"/>
        </w:rPr>
        <w:t xml:space="preserve">. Chybné pochopení </w:t>
      </w:r>
      <w:r w:rsidR="089A2A8C" w:rsidRPr="08BE2778">
        <w:rPr>
          <w:szCs w:val="24"/>
        </w:rPr>
        <w:t xml:space="preserve">klasické sémantiky jako postmoderní </w:t>
      </w:r>
      <w:r w:rsidR="087642AD" w:rsidRPr="08BE2778">
        <w:rPr>
          <w:szCs w:val="24"/>
        </w:rPr>
        <w:t xml:space="preserve">sémiotiky </w:t>
      </w:r>
      <w:r w:rsidR="08A742EF" w:rsidRPr="08BE2778">
        <w:rPr>
          <w:szCs w:val="24"/>
        </w:rPr>
        <w:t xml:space="preserve">zablokovalo metafyzický přístup k realitě, který je všem lidem společný. </w:t>
      </w:r>
      <w:r w:rsidR="008A71FD">
        <w:rPr>
          <w:szCs w:val="24"/>
        </w:rPr>
        <w:t>Neexistuje žádná</w:t>
      </w:r>
      <w:r w:rsidR="008A71FD" w:rsidRPr="008A71FD">
        <w:rPr>
          <w:szCs w:val="24"/>
        </w:rPr>
        <w:t xml:space="preserve"> </w:t>
      </w:r>
      <w:r w:rsidR="008A71FD">
        <w:rPr>
          <w:szCs w:val="24"/>
        </w:rPr>
        <w:t xml:space="preserve">impozice významu </w:t>
      </w:r>
      <w:r w:rsidR="006D74BA">
        <w:rPr>
          <w:szCs w:val="24"/>
        </w:rPr>
        <w:t xml:space="preserve">za základě </w:t>
      </w:r>
      <w:r w:rsidR="008A71FD">
        <w:rPr>
          <w:szCs w:val="24"/>
        </w:rPr>
        <w:t>inte</w:t>
      </w:r>
      <w:r w:rsidR="00EA7772">
        <w:rPr>
          <w:szCs w:val="24"/>
        </w:rPr>
        <w:t>n</w:t>
      </w:r>
      <w:r w:rsidR="006D74BA">
        <w:rPr>
          <w:szCs w:val="24"/>
        </w:rPr>
        <w:t>cionality dané</w:t>
      </w:r>
      <w:r w:rsidR="00EA7772">
        <w:rPr>
          <w:szCs w:val="24"/>
        </w:rPr>
        <w:t xml:space="preserve"> </w:t>
      </w:r>
      <w:r w:rsidR="006D74BA">
        <w:rPr>
          <w:szCs w:val="24"/>
        </w:rPr>
        <w:t>nasvícením smyslu jsoucna zepředu, od reálného světa (</w:t>
      </w:r>
      <w:r w:rsidR="006D74BA" w:rsidRPr="00EA7772">
        <w:rPr>
          <w:i/>
          <w:szCs w:val="24"/>
        </w:rPr>
        <w:t>esse spirituale</w:t>
      </w:r>
      <w:r w:rsidR="006D74BA" w:rsidRPr="00EA7772">
        <w:rPr>
          <w:i/>
          <w:szCs w:val="24"/>
          <w:vertAlign w:val="superscript"/>
        </w:rPr>
        <w:t>1</w:t>
      </w:r>
      <w:r w:rsidR="006D74BA">
        <w:rPr>
          <w:szCs w:val="24"/>
        </w:rPr>
        <w:t>), která</w:t>
      </w:r>
      <w:r w:rsidR="008A71FD">
        <w:rPr>
          <w:szCs w:val="24"/>
        </w:rPr>
        <w:t xml:space="preserve"> by zakládala</w:t>
      </w:r>
      <w:r w:rsidR="008A71FD" w:rsidRPr="008A71FD">
        <w:rPr>
          <w:szCs w:val="24"/>
        </w:rPr>
        <w:t xml:space="preserve"> společný svět smyslu.</w:t>
      </w:r>
      <w:r w:rsidR="008A71FD">
        <w:rPr>
          <w:szCs w:val="24"/>
        </w:rPr>
        <w:t xml:space="preserve"> </w:t>
      </w:r>
      <w:r w:rsidR="081341A9">
        <w:rPr>
          <w:rStyle w:val="TextpoznpodarouChar"/>
        </w:rPr>
        <w:t xml:space="preserve">Jazyk se stal </w:t>
      </w:r>
      <w:r w:rsidR="088E711A">
        <w:rPr>
          <w:rStyle w:val="TextpoznpodarouChar"/>
        </w:rPr>
        <w:t xml:space="preserve">ve věku objektivních simuláker </w:t>
      </w:r>
      <w:r w:rsidR="081341A9">
        <w:rPr>
          <w:rStyle w:val="TextpoznpodarouChar"/>
        </w:rPr>
        <w:t xml:space="preserve">všemocným nástrojem </w:t>
      </w:r>
      <w:r w:rsidR="08A742EF">
        <w:rPr>
          <w:rStyle w:val="TextpoznpodarouChar"/>
        </w:rPr>
        <w:t xml:space="preserve">a zcela zahradil metafyzický </w:t>
      </w:r>
      <w:r w:rsidR="0893083F">
        <w:rPr>
          <w:rStyle w:val="TextpoznpodarouChar"/>
        </w:rPr>
        <w:t>přístup k realitě. D</w:t>
      </w:r>
      <w:r w:rsidR="08C869A1">
        <w:rPr>
          <w:rStyle w:val="TextpoznpodarouChar"/>
        </w:rPr>
        <w:t xml:space="preserve">vojí základní význam </w:t>
      </w:r>
      <w:r w:rsidR="08E53941">
        <w:rPr>
          <w:rStyle w:val="TextpoznpodarouChar"/>
        </w:rPr>
        <w:t xml:space="preserve">sématiky daný v </w:t>
      </w:r>
      <w:r w:rsidR="08C869A1" w:rsidRPr="08E4235D">
        <w:rPr>
          <w:rStyle w:val="TextpoznpodarouChar"/>
          <w:i/>
        </w:rPr>
        <w:t>De intepretatione</w:t>
      </w:r>
      <w:r w:rsidR="08C869A1">
        <w:rPr>
          <w:rStyle w:val="TextpoznpodarouChar"/>
        </w:rPr>
        <w:t xml:space="preserve"> zanikl v</w:t>
      </w:r>
      <w:r w:rsidR="08E53941">
        <w:rPr>
          <w:rStyle w:val="TextpoznpodarouChar"/>
        </w:rPr>
        <w:t xml:space="preserve"> současné </w:t>
      </w:r>
      <w:r w:rsidR="081341A9">
        <w:rPr>
          <w:rStyle w:val="TextpoznpodarouChar"/>
        </w:rPr>
        <w:t xml:space="preserve">analytické a hermeneutické filosofii </w:t>
      </w:r>
      <w:r w:rsidR="080913DF">
        <w:rPr>
          <w:rStyle w:val="TextpoznpodarouChar"/>
        </w:rPr>
        <w:t>oslavu</w:t>
      </w:r>
      <w:r w:rsidR="08E4235D">
        <w:rPr>
          <w:rStyle w:val="TextpoznpodarouChar"/>
        </w:rPr>
        <w:t>jí</w:t>
      </w:r>
      <w:r w:rsidR="080913DF">
        <w:rPr>
          <w:rStyle w:val="TextpoznpodarouChar"/>
        </w:rPr>
        <w:t>cí</w:t>
      </w:r>
      <w:r w:rsidR="08E4235D">
        <w:rPr>
          <w:rStyle w:val="TextpoznpodarouChar"/>
        </w:rPr>
        <w:t xml:space="preserve"> všemoc jazyka ve věku metafyzického nihilismu. </w:t>
      </w:r>
      <w:r w:rsidR="08087689">
        <w:rPr>
          <w:rStyle w:val="TextpoznpodarouChar"/>
        </w:rPr>
        <w:t xml:space="preserve">Boethius obě roviny jasně rozlišil primárním postavením </w:t>
      </w:r>
      <w:r w:rsidR="08E53941">
        <w:rPr>
          <w:rStyle w:val="TextpoznpodarouChar"/>
        </w:rPr>
        <w:t xml:space="preserve">metafyzické </w:t>
      </w:r>
      <w:r w:rsidR="08087689">
        <w:rPr>
          <w:rStyle w:val="TextpoznpodarouChar"/>
        </w:rPr>
        <w:t>sém</w:t>
      </w:r>
      <w:r w:rsidR="08E53941">
        <w:rPr>
          <w:rStyle w:val="TextpoznpodarouChar"/>
        </w:rPr>
        <w:t>antiky</w:t>
      </w:r>
      <w:r w:rsidR="08087689">
        <w:rPr>
          <w:rStyle w:val="TextpoznpodarouChar"/>
        </w:rPr>
        <w:t xml:space="preserve"> (</w:t>
      </w:r>
      <w:r w:rsidR="08087689" w:rsidRPr="00A97BEF">
        <w:rPr>
          <w:rStyle w:val="TextpoznpodarouChar"/>
          <w:i/>
        </w:rPr>
        <w:t>primae notae</w:t>
      </w:r>
      <w:r w:rsidR="08087689">
        <w:rPr>
          <w:rStyle w:val="TextpoznpodarouChar"/>
        </w:rPr>
        <w:t xml:space="preserve">), což jeho </w:t>
      </w:r>
      <w:r w:rsidR="08D667A8">
        <w:rPr>
          <w:rStyle w:val="TextpoznpodarouChar"/>
        </w:rPr>
        <w:t xml:space="preserve">moderní a postmoderní </w:t>
      </w:r>
      <w:r w:rsidR="08087689">
        <w:rPr>
          <w:rStyle w:val="TextpoznpodarouChar"/>
        </w:rPr>
        <w:t xml:space="preserve">následovníci zrušili. </w:t>
      </w:r>
      <w:r w:rsidR="00AD7CE7">
        <w:rPr>
          <w:rStyle w:val="TextpoznpodarouChar"/>
        </w:rPr>
        <w:t>P</w:t>
      </w:r>
      <w:r w:rsidR="0803257E">
        <w:rPr>
          <w:rStyle w:val="TextpoznpodarouChar"/>
        </w:rPr>
        <w:t xml:space="preserve">ůvodní rovina společného lidského poznání není v řeči, ale v procesu formálně shodného vnímání a intencionální produkce významů společně žitého světa. </w:t>
      </w:r>
      <w:r w:rsidR="080913DF">
        <w:rPr>
          <w:rStyle w:val="TextpoznpodarouChar"/>
        </w:rPr>
        <w:t xml:space="preserve">Primární </w:t>
      </w:r>
      <w:r w:rsidR="085332F6">
        <w:rPr>
          <w:rStyle w:val="TextpoznpodarouChar"/>
        </w:rPr>
        <w:t xml:space="preserve">sémiotickou </w:t>
      </w:r>
      <w:r w:rsidR="080913DF">
        <w:rPr>
          <w:rStyle w:val="TextpoznpodarouChar"/>
        </w:rPr>
        <w:t>a</w:t>
      </w:r>
      <w:r w:rsidR="08783831">
        <w:t>dekvaci obhájila CMDA</w:t>
      </w:r>
      <w:r w:rsidR="085332F6">
        <w:t xml:space="preserve"> skrze výklad </w:t>
      </w:r>
      <w:r w:rsidR="08783831">
        <w:t xml:space="preserve">trojí formální mediace pomocí </w:t>
      </w:r>
      <w:r w:rsidR="08783831" w:rsidRPr="080A2889">
        <w:rPr>
          <w:i/>
        </w:rPr>
        <w:t>perspicuum</w:t>
      </w:r>
      <w:r w:rsidR="08783831">
        <w:t xml:space="preserve"> a dvojí podobu </w:t>
      </w:r>
      <w:r w:rsidR="08783831" w:rsidRPr="080A2889">
        <w:rPr>
          <w:i/>
        </w:rPr>
        <w:t>diaffonum</w:t>
      </w:r>
      <w:r w:rsidR="08783831">
        <w:t xml:space="preserve"> (</w:t>
      </w:r>
      <w:r w:rsidR="089D14A5">
        <w:t xml:space="preserve">OBJ I, </w:t>
      </w:r>
      <w:r w:rsidR="08783831">
        <w:t>kap. 2.4.4).</w:t>
      </w:r>
    </w:p>
    <w:p w14:paraId="4AFFABD8" w14:textId="11A7876D" w:rsidR="00DE398B" w:rsidRPr="00273106" w:rsidRDefault="087F506B" w:rsidP="00F66218">
      <w:pPr>
        <w:ind w:firstLine="397"/>
      </w:pPr>
      <w:r>
        <w:rPr>
          <w:rStyle w:val="TextpoznpodarouChar"/>
        </w:rPr>
        <w:t xml:space="preserve">Nová </w:t>
      </w:r>
      <w:r w:rsidR="000C7541">
        <w:rPr>
          <w:rStyle w:val="TextpoznpodarouChar"/>
        </w:rPr>
        <w:t xml:space="preserve">podoba </w:t>
      </w:r>
      <w:r>
        <w:t xml:space="preserve">signifikace a predikace </w:t>
      </w:r>
      <w:r w:rsidR="00DA70ED">
        <w:t xml:space="preserve">dále </w:t>
      </w:r>
      <w:r w:rsidR="00504FFE">
        <w:t>vznik</w:t>
      </w:r>
      <w:r>
        <w:t xml:space="preserve">la </w:t>
      </w:r>
      <w:r w:rsidR="00504FFE">
        <w:t xml:space="preserve">tím, že </w:t>
      </w:r>
      <w:r w:rsidR="00DA70ED">
        <w:t xml:space="preserve">Boethiův </w:t>
      </w:r>
      <w:r w:rsidR="00E41189">
        <w:t xml:space="preserve">výklad </w:t>
      </w:r>
      <w:r w:rsidR="082A193F" w:rsidRPr="08E4235D">
        <w:rPr>
          <w:rStyle w:val="TextpoznpodarouChar"/>
          <w:i/>
        </w:rPr>
        <w:t>De intepretatione</w:t>
      </w:r>
      <w:r w:rsidR="082A193F">
        <w:rPr>
          <w:rStyle w:val="TextpoznpodarouChar"/>
        </w:rPr>
        <w:t xml:space="preserve"> </w:t>
      </w:r>
      <w:r w:rsidR="00E41189">
        <w:t xml:space="preserve">dal </w:t>
      </w:r>
      <w:r w:rsidR="00DE398B" w:rsidRPr="00273106">
        <w:t xml:space="preserve">důraz na subjektivní význam znaku, </w:t>
      </w:r>
      <w:r w:rsidR="08B1770E">
        <w:t>který signifikuje sám ze sebe (</w:t>
      </w:r>
      <w:r w:rsidR="08B1770E" w:rsidRPr="08B1770E">
        <w:rPr>
          <w:i/>
        </w:rPr>
        <w:t>i</w:t>
      </w:r>
      <w:r w:rsidR="00DE398B" w:rsidRPr="08B1770E">
        <w:rPr>
          <w:i/>
        </w:rPr>
        <w:t>nterpretatio</w:t>
      </w:r>
      <w:r w:rsidR="00DE398B" w:rsidRPr="00273106">
        <w:rPr>
          <w:i/>
        </w:rPr>
        <w:t xml:space="preserve"> est vox significativa per se ipsam aliquid significans</w:t>
      </w:r>
      <w:r w:rsidR="08B1770E">
        <w:rPr>
          <w:i/>
        </w:rPr>
        <w:t xml:space="preserve">; </w:t>
      </w:r>
      <w:r w:rsidR="08340638" w:rsidRPr="00273106">
        <w:t xml:space="preserve">ibid, </w:t>
      </w:r>
      <w:r w:rsidR="00DE398B" w:rsidRPr="00273106">
        <w:t>p. 32.11</w:t>
      </w:r>
      <w:r w:rsidR="00DA70ED">
        <w:rPr>
          <w:rStyle w:val="TextpoznpodarouChar"/>
        </w:rPr>
        <w:fldChar w:fldCharType="begin"/>
      </w:r>
      <w:r w:rsidR="00DA70ED">
        <w:instrText xml:space="preserve"> XE "Boethius:</w:instrText>
      </w:r>
      <w:r w:rsidR="087E3BF4">
        <w:rPr>
          <w:rStyle w:val="TextpoznpodarouChar"/>
          <w:i/>
        </w:rPr>
        <w:instrText>I</w:instrText>
      </w:r>
      <w:r w:rsidR="00DA70ED" w:rsidRPr="00E24CB0">
        <w:rPr>
          <w:rStyle w:val="TextpoznpodarouChar"/>
          <w:i/>
        </w:rPr>
        <w:instrText>n librum Peri hermeneias</w:instrText>
      </w:r>
      <w:r w:rsidR="00DA70ED">
        <w:rPr>
          <w:rStyle w:val="TextpoznpodarouChar"/>
        </w:rPr>
        <w:instrText xml:space="preserve"> </w:instrText>
      </w:r>
      <w:r w:rsidR="00DA70ED" w:rsidRPr="00E24CB0">
        <w:rPr>
          <w:rStyle w:val="TextpoznpodarouChar"/>
        </w:rPr>
        <w:instrText>3</w:instrText>
      </w:r>
      <w:r w:rsidR="00DA70ED">
        <w:rPr>
          <w:rStyle w:val="TextpoznpodarouChar"/>
        </w:rPr>
        <w:instrText>2.</w:instrText>
      </w:r>
      <w:r w:rsidR="00DA70ED" w:rsidRPr="00E24CB0">
        <w:rPr>
          <w:rStyle w:val="TextpoznpodarouChar"/>
        </w:rPr>
        <w:instrText>11</w:instrText>
      </w:r>
      <w:r w:rsidR="00DA70ED">
        <w:instrText xml:space="preserve">" </w:instrText>
      </w:r>
      <w:r w:rsidR="00DA70ED">
        <w:rPr>
          <w:rStyle w:val="TextpoznpodarouChar"/>
        </w:rPr>
        <w:fldChar w:fldCharType="end"/>
      </w:r>
      <w:r w:rsidR="00DE398B" w:rsidRPr="00273106">
        <w:t xml:space="preserve">). Definice signifikace navázala v latinském překladu a výkladu </w:t>
      </w:r>
      <w:r w:rsidR="00DE398B" w:rsidRPr="00273106">
        <w:rPr>
          <w:i/>
        </w:rPr>
        <w:t>De interpretione</w:t>
      </w:r>
      <w:r w:rsidR="00DE398B" w:rsidRPr="00273106">
        <w:t xml:space="preserve"> na znak jako takový (</w:t>
      </w:r>
      <w:r w:rsidR="00DE398B" w:rsidRPr="00273106">
        <w:rPr>
          <w:i/>
        </w:rPr>
        <w:t>per se ipsam significans</w:t>
      </w:r>
      <w:r w:rsidR="08B64664">
        <w:t>)</w:t>
      </w:r>
      <w:r w:rsidR="00DE398B" w:rsidRPr="00273106">
        <w:t xml:space="preserve"> a ztratila spojení s </w:t>
      </w:r>
      <w:r w:rsidR="009152F9">
        <w:t xml:space="preserve">reálným </w:t>
      </w:r>
      <w:r w:rsidR="00DE398B" w:rsidRPr="00273106">
        <w:t>procesem po</w:t>
      </w:r>
      <w:r w:rsidR="00920130">
        <w:t>znání</w:t>
      </w:r>
      <w:r w:rsidR="00735D54">
        <w:t xml:space="preserve"> daným impozicí </w:t>
      </w:r>
      <w:r w:rsidR="08D667A8">
        <w:t>významu z reálné první substance</w:t>
      </w:r>
      <w:r w:rsidR="00920130">
        <w:t xml:space="preserve">. </w:t>
      </w:r>
      <w:r w:rsidR="004A02FC" w:rsidRPr="004A02FC">
        <w:t>Z aristotelského hlediska je to zcela správné, protože druhá úr</w:t>
      </w:r>
      <w:r w:rsidR="004A02FC">
        <w:t>oveň signifikace jako symbolického</w:t>
      </w:r>
      <w:r w:rsidR="004A02FC" w:rsidRPr="004A02FC">
        <w:t xml:space="preserve"> jazyk</w:t>
      </w:r>
      <w:r w:rsidR="004A02FC">
        <w:t>a</w:t>
      </w:r>
      <w:r w:rsidR="004A02FC" w:rsidRPr="004A02FC">
        <w:t xml:space="preserve"> již působí zcela autonomně.</w:t>
      </w:r>
      <w:r w:rsidR="004A02FC">
        <w:t xml:space="preserve"> </w:t>
      </w:r>
      <w:r w:rsidR="00735D54">
        <w:t xml:space="preserve">Signifikace byla </w:t>
      </w:r>
      <w:r w:rsidR="00DE398B" w:rsidRPr="00273106">
        <w:t xml:space="preserve">v </w:t>
      </w:r>
      <w:r w:rsidR="00DE398B" w:rsidRPr="08B64664">
        <w:rPr>
          <w:i/>
        </w:rPr>
        <w:t>Kategor</w:t>
      </w:r>
      <w:r w:rsidR="08E53EDC" w:rsidRPr="08B64664">
        <w:rPr>
          <w:i/>
        </w:rPr>
        <w:t>i</w:t>
      </w:r>
      <w:r w:rsidR="00DE398B" w:rsidRPr="08B64664">
        <w:rPr>
          <w:i/>
        </w:rPr>
        <w:t>ích</w:t>
      </w:r>
      <w:r w:rsidR="00DE398B" w:rsidRPr="00273106">
        <w:t xml:space="preserve"> determinován</w:t>
      </w:r>
      <w:r w:rsidR="00735D54">
        <w:t>a</w:t>
      </w:r>
      <w:r w:rsidR="00DE398B" w:rsidRPr="00273106">
        <w:t xml:space="preserve"> </w:t>
      </w:r>
      <w:r w:rsidR="088329D9" w:rsidRPr="00273106">
        <w:t>hyparchicky, tedy aktualitou první substance</w:t>
      </w:r>
      <w:r w:rsidR="00A70FA4">
        <w:fldChar w:fldCharType="begin"/>
      </w:r>
      <w:r w:rsidR="00A70FA4">
        <w:instrText xml:space="preserve"> XE "</w:instrText>
      </w:r>
      <w:r w:rsidR="00A70FA4" w:rsidRPr="00DE2A32">
        <w:instrText>substance</w:instrText>
      </w:r>
      <w:r w:rsidR="00C72136">
        <w:instrText>:první</w:instrText>
      </w:r>
      <w:r w:rsidR="00A70FA4">
        <w:instrText xml:space="preserve">" </w:instrText>
      </w:r>
      <w:r w:rsidR="00A70FA4">
        <w:fldChar w:fldCharType="end"/>
      </w:r>
      <w:r w:rsidR="00DE398B" w:rsidRPr="00273106">
        <w:t xml:space="preserve">. </w:t>
      </w:r>
      <w:r w:rsidR="004A02FC">
        <w:t xml:space="preserve">Správně vytvořená impozice na úrovni obecné intencionality dané sémanticky zakládá druhou rovinu supozice významu, což je lidský jazyk určený symbolizací. </w:t>
      </w:r>
      <w:r w:rsidR="00DE398B" w:rsidRPr="00273106">
        <w:t xml:space="preserve">Signifikace v modu </w:t>
      </w:r>
      <w:r w:rsidR="00DE398B" w:rsidRPr="00273106">
        <w:rPr>
          <w:i/>
        </w:rPr>
        <w:t xml:space="preserve">per se ipsam </w:t>
      </w:r>
      <w:r w:rsidR="08B304B1">
        <w:t xml:space="preserve">je už vázaná jen na </w:t>
      </w:r>
      <w:r w:rsidR="08A76A65">
        <w:t xml:space="preserve">významotvorný </w:t>
      </w:r>
      <w:r w:rsidR="08B304B1">
        <w:t xml:space="preserve">znak a na lidskou schopnost tomuto znaku rozumět. </w:t>
      </w:r>
      <w:r w:rsidR="00272F81">
        <w:t>V tomto případě význam v modu „</w:t>
      </w:r>
      <w:r w:rsidR="00272F81" w:rsidRPr="00272F81">
        <w:rPr>
          <w:i/>
        </w:rPr>
        <w:t>per se ipsam</w:t>
      </w:r>
      <w:r w:rsidR="00272F81">
        <w:t>“</w:t>
      </w:r>
      <w:r w:rsidR="00272F81" w:rsidRPr="00272F81">
        <w:t xml:space="preserve"> znamená, že univerzální význam je </w:t>
      </w:r>
      <w:r w:rsidR="00272F81" w:rsidRPr="00272F81">
        <w:lastRenderedPageBreak/>
        <w:t xml:space="preserve">autonomní a nepotřebuje vnější realitu, aby byl expresivní a smysluplný. Jednoznačná predikace a vědecký důkaz se však ustavuje pouze na základě </w:t>
      </w:r>
      <w:r w:rsidR="00272F81">
        <w:t>impozice</w:t>
      </w:r>
      <w:r w:rsidR="00272F81" w:rsidRPr="00272F81">
        <w:t>, neboť musí existovat kauzálně daná korespondence významu s realitou.</w:t>
      </w:r>
      <w:r w:rsidR="00272F81">
        <w:t xml:space="preserve"> T</w:t>
      </w:r>
      <w:r w:rsidR="004A02FC">
        <w:t xml:space="preserve">yto nuance může pochopit jen kritická metafyzika, která přesně jako Komentátor rozlišila mezi dvojí povahou intelektu a tím pádem i dvojí povahou jazyka jako </w:t>
      </w:r>
      <w:r w:rsidR="004A02FC" w:rsidRPr="004A02FC">
        <w:rPr>
          <w:i/>
        </w:rPr>
        <w:t xml:space="preserve">tertium </w:t>
      </w:r>
      <w:r w:rsidR="004A02FC" w:rsidRPr="004A02FC">
        <w:t>a</w:t>
      </w:r>
      <w:r w:rsidR="004A02FC" w:rsidRPr="004A02FC">
        <w:rPr>
          <w:i/>
        </w:rPr>
        <w:t xml:space="preserve"> quartum genus</w:t>
      </w:r>
      <w:r w:rsidR="004A02FC">
        <w:t xml:space="preserve">. </w:t>
      </w:r>
      <w:r w:rsidR="083872CA">
        <w:t xml:space="preserve">Akt signifikace dané </w:t>
      </w:r>
      <w:r w:rsidR="083872CA" w:rsidRPr="083872CA">
        <w:rPr>
          <w:i/>
        </w:rPr>
        <w:t>per se</w:t>
      </w:r>
      <w:r w:rsidR="083872CA">
        <w:t xml:space="preserve"> dává první </w:t>
      </w:r>
      <w:r w:rsidR="083872CA" w:rsidRPr="083872CA">
        <w:rPr>
          <w:i/>
        </w:rPr>
        <w:t>Lichtung</w:t>
      </w:r>
      <w:r w:rsidR="083872CA">
        <w:t xml:space="preserve"> pro moderní </w:t>
      </w:r>
      <w:r w:rsidR="00DE398B" w:rsidRPr="00273106">
        <w:t>pojetí pravdy dané mimo proces poznání vztažený k realitě</w:t>
      </w:r>
      <w:r w:rsidR="0083726D" w:rsidRPr="00273106">
        <w:t xml:space="preserve">. </w:t>
      </w:r>
      <w:r w:rsidR="009152F9">
        <w:rPr>
          <w:rStyle w:val="TextpoznpodarouChar"/>
        </w:rPr>
        <w:t>Boethius</w:t>
      </w:r>
      <w:r w:rsidR="00792B5C">
        <w:fldChar w:fldCharType="begin"/>
      </w:r>
      <w:r w:rsidR="00792B5C">
        <w:instrText xml:space="preserve"> XE "signifikace:Boethius" </w:instrText>
      </w:r>
      <w:r w:rsidR="00792B5C">
        <w:fldChar w:fldCharType="end"/>
      </w:r>
      <w:r w:rsidR="009152F9">
        <w:rPr>
          <w:rStyle w:val="TextpoznpodarouChar"/>
        </w:rPr>
        <w:t xml:space="preserve"> na lexikální úrovni (ale nikoliv ve své filosofii) zrušil rozdíl mezi impozicí významu od první substance </w:t>
      </w:r>
      <w:r w:rsidR="00516BDC">
        <w:rPr>
          <w:rStyle w:val="TextpoznpodarouChar"/>
        </w:rPr>
        <w:t xml:space="preserve">v modu nasvícení zepředu </w:t>
      </w:r>
      <w:r w:rsidR="009152F9">
        <w:rPr>
          <w:rStyle w:val="TextpoznpodarouChar"/>
        </w:rPr>
        <w:t xml:space="preserve">a </w:t>
      </w:r>
      <w:r w:rsidR="00516BDC">
        <w:rPr>
          <w:rStyle w:val="TextpoznpodarouChar"/>
        </w:rPr>
        <w:t xml:space="preserve">mezi </w:t>
      </w:r>
      <w:r w:rsidR="009152F9">
        <w:rPr>
          <w:rStyle w:val="TextpoznpodarouChar"/>
        </w:rPr>
        <w:t>supozicí významu danou v pojmu</w:t>
      </w:r>
      <w:r w:rsidR="08CF283A">
        <w:rPr>
          <w:rStyle w:val="TextpoznpodarouChar"/>
        </w:rPr>
        <w:t>. Obecný pojem stojí pro</w:t>
      </w:r>
      <w:r w:rsidR="009152F9">
        <w:rPr>
          <w:rStyle w:val="TextpoznpodarouChar"/>
        </w:rPr>
        <w:t xml:space="preserve"> (</w:t>
      </w:r>
      <w:r w:rsidR="009152F9" w:rsidRPr="00DF72FA">
        <w:rPr>
          <w:rStyle w:val="TextpoznpodarouChar"/>
          <w:i/>
        </w:rPr>
        <w:t>supponit pro</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rsidR="009152F9">
        <w:rPr>
          <w:rStyle w:val="TextpoznpodarouChar"/>
        </w:rPr>
        <w:t>) libovolný univerzální význam</w:t>
      </w:r>
      <w:r w:rsidR="009152F9" w:rsidRPr="00273106">
        <w:rPr>
          <w:rStyle w:val="TextpoznpodarouChar"/>
        </w:rPr>
        <w:t>.</w:t>
      </w:r>
      <w:r w:rsidR="009152F9">
        <w:rPr>
          <w:rStyle w:val="TextpoznpodarouChar"/>
        </w:rPr>
        <w:t xml:space="preserve"> </w:t>
      </w:r>
      <w:r w:rsidR="00E3292E">
        <w:rPr>
          <w:rStyle w:val="TextpoznpodarouChar"/>
        </w:rPr>
        <w:t>K</w:t>
      </w:r>
      <w:r w:rsidR="00D064DF">
        <w:t xml:space="preserve">omentář </w:t>
      </w:r>
      <w:r w:rsidR="00D064DF" w:rsidRPr="00D064DF">
        <w:rPr>
          <w:i/>
        </w:rPr>
        <w:t>De intepretatione</w:t>
      </w:r>
      <w:r w:rsidR="00D064DF">
        <w:t xml:space="preserve"> založil ambivalentní pojetí signifikace</w:t>
      </w:r>
      <w:r w:rsidR="006F7CE6">
        <w:t>, protože spojil oba mody v modu nejasnosti</w:t>
      </w:r>
      <w:r w:rsidR="081651B8">
        <w:t>,</w:t>
      </w:r>
      <w:r w:rsidR="006F7CE6">
        <w:t xml:space="preserve"> jako to měla Porfyriova </w:t>
      </w:r>
      <w:r w:rsidR="006F7CE6" w:rsidRPr="006F7CE6">
        <w:rPr>
          <w:i/>
        </w:rPr>
        <w:t>Isagoge</w:t>
      </w:r>
      <w:r w:rsidR="08CF283A">
        <w:t xml:space="preserve">. Termín </w:t>
      </w:r>
      <w:r w:rsidR="00D064DF" w:rsidRPr="00D064DF">
        <w:rPr>
          <w:i/>
        </w:rPr>
        <w:t>notae</w:t>
      </w:r>
      <w:r w:rsidR="00D064DF">
        <w:t xml:space="preserve"> </w:t>
      </w:r>
      <w:r w:rsidR="001C1F02">
        <w:t xml:space="preserve">a definice znaku </w:t>
      </w:r>
      <w:r w:rsidR="08CF283A">
        <w:t xml:space="preserve">daného </w:t>
      </w:r>
      <w:r w:rsidR="08CF283A" w:rsidRPr="08CF283A">
        <w:rPr>
          <w:i/>
        </w:rPr>
        <w:t>per se</w:t>
      </w:r>
      <w:r w:rsidR="08CF283A">
        <w:t xml:space="preserve"> </w:t>
      </w:r>
      <w:r w:rsidR="00DE398B" w:rsidRPr="00273106">
        <w:t>zastře</w:t>
      </w:r>
      <w:r w:rsidR="00D064DF">
        <w:t>l</w:t>
      </w:r>
      <w:r w:rsidR="001C1F02">
        <w:t>y</w:t>
      </w:r>
      <w:r w:rsidR="00D064DF">
        <w:t xml:space="preserve"> proces původní sém</w:t>
      </w:r>
      <w:r w:rsidR="08511AD9">
        <w:t>antické</w:t>
      </w:r>
      <w:r w:rsidR="0829460C">
        <w:t xml:space="preserve"> </w:t>
      </w:r>
      <w:r w:rsidR="00DE398B" w:rsidRPr="00273106">
        <w:t xml:space="preserve">adekvace a </w:t>
      </w:r>
      <w:r w:rsidR="00D064DF">
        <w:t>znejasnil</w:t>
      </w:r>
      <w:r w:rsidR="001C1F02">
        <w:t>y</w:t>
      </w:r>
      <w:r w:rsidR="00D064DF">
        <w:t xml:space="preserve"> </w:t>
      </w:r>
      <w:r w:rsidR="08511AD9">
        <w:t xml:space="preserve">metafyzický </w:t>
      </w:r>
      <w:r w:rsidR="00DE398B" w:rsidRPr="00273106">
        <w:t>vztah</w:t>
      </w:r>
      <w:r w:rsidR="00D064DF">
        <w:t xml:space="preserve"> slova</w:t>
      </w:r>
      <w:r w:rsidR="00DE398B" w:rsidRPr="00273106">
        <w:t xml:space="preserve"> k realitě</w:t>
      </w:r>
      <w:r w:rsidR="08F96CBC">
        <w:t xml:space="preserve"> daný skrze působení </w:t>
      </w:r>
      <w:r w:rsidR="08787ECE">
        <w:t xml:space="preserve">metafyzického </w:t>
      </w:r>
      <w:r w:rsidR="08F96CBC">
        <w:t>dativu</w:t>
      </w:r>
      <w:r w:rsidR="00D064DF">
        <w:t xml:space="preserve">. </w:t>
      </w:r>
      <w:r w:rsidR="08BE23FE">
        <w:t>Moderní d</w:t>
      </w:r>
      <w:r w:rsidR="00D064DF">
        <w:t>efinice znaku nepotřebuje triadickou strukturu</w:t>
      </w:r>
      <w:r w:rsidR="00A453F5">
        <w:t xml:space="preserve"> znaku</w:t>
      </w:r>
      <w:r w:rsidR="08C94532">
        <w:t xml:space="preserve"> danou v původní definici </w:t>
      </w:r>
      <w:r w:rsidR="08C94532" w:rsidRPr="00273106">
        <w:rPr>
          <w:i/>
          <w:lang w:eastAsia="en-US"/>
        </w:rPr>
        <w:t>De inte</w:t>
      </w:r>
      <w:r w:rsidR="087E3BF4">
        <w:rPr>
          <w:i/>
          <w:lang w:eastAsia="en-US"/>
        </w:rPr>
        <w:t>r</w:t>
      </w:r>
      <w:r w:rsidR="08C94532" w:rsidRPr="00273106">
        <w:rPr>
          <w:i/>
          <w:lang w:eastAsia="en-US"/>
        </w:rPr>
        <w:t xml:space="preserve">pretatione </w:t>
      </w:r>
      <w:r w:rsidR="08C94532" w:rsidRPr="00273106">
        <w:rPr>
          <w:lang w:eastAsia="en-US"/>
        </w:rPr>
        <w:t>16a3‒8</w:t>
      </w:r>
      <w:r w:rsidR="08C94532">
        <w:rPr>
          <w:lang w:eastAsia="en-US"/>
        </w:rPr>
        <w:fldChar w:fldCharType="begin"/>
      </w:r>
      <w:r w:rsidR="08C94532">
        <w:instrText xml:space="preserve"> XE "Aristoteles:</w:instrText>
      </w:r>
      <w:r w:rsidR="08C94532" w:rsidRPr="00047A3A">
        <w:rPr>
          <w:i/>
          <w:lang w:eastAsia="en-US"/>
        </w:rPr>
        <w:instrText>De inte</w:instrText>
      </w:r>
      <w:r w:rsidR="087E3BF4">
        <w:rPr>
          <w:i/>
          <w:lang w:eastAsia="en-US"/>
        </w:rPr>
        <w:instrText>r</w:instrText>
      </w:r>
      <w:r w:rsidR="08C94532" w:rsidRPr="00047A3A">
        <w:rPr>
          <w:i/>
          <w:lang w:eastAsia="en-US"/>
        </w:rPr>
        <w:instrText xml:space="preserve">pretatione </w:instrText>
      </w:r>
      <w:r w:rsidR="08C94532" w:rsidRPr="00047A3A">
        <w:rPr>
          <w:lang w:eastAsia="en-US"/>
        </w:rPr>
        <w:instrText>16a3‒8</w:instrText>
      </w:r>
      <w:r w:rsidR="08C94532">
        <w:instrText xml:space="preserve">" </w:instrText>
      </w:r>
      <w:r w:rsidR="08C94532">
        <w:rPr>
          <w:lang w:eastAsia="en-US"/>
        </w:rPr>
        <w:fldChar w:fldCharType="end"/>
      </w:r>
      <w:r w:rsidR="08511AD9">
        <w:t>. P</w:t>
      </w:r>
      <w:r w:rsidR="08AF6214">
        <w:t>oznávající člověk</w:t>
      </w:r>
      <w:r w:rsidR="00D064DF">
        <w:t xml:space="preserve"> </w:t>
      </w:r>
      <w:r w:rsidR="08511AD9">
        <w:t xml:space="preserve">vytváří skrze adekvaci intelektu a poznané věci </w:t>
      </w:r>
      <w:r w:rsidR="08E43CFF">
        <w:t>společný sém</w:t>
      </w:r>
      <w:r w:rsidR="08511AD9">
        <w:t xml:space="preserve">antický význam světa. Tento </w:t>
      </w:r>
      <w:r w:rsidR="08615E0C">
        <w:t xml:space="preserve">intencionální smysl společně žitého světa </w:t>
      </w:r>
      <w:r w:rsidR="08511AD9">
        <w:t xml:space="preserve">se </w:t>
      </w:r>
      <w:r w:rsidR="08AF6214">
        <w:t xml:space="preserve">symbolicky </w:t>
      </w:r>
      <w:r w:rsidR="00D064DF">
        <w:t xml:space="preserve">vypovídá </w:t>
      </w:r>
      <w:r w:rsidR="08AF6214">
        <w:t xml:space="preserve">v řádu </w:t>
      </w:r>
      <w:r w:rsidR="08DC4C0D">
        <w:t xml:space="preserve">určitého </w:t>
      </w:r>
      <w:r w:rsidR="08511AD9">
        <w:t>jazyka</w:t>
      </w:r>
      <w:r w:rsidR="008E6A3C">
        <w:t xml:space="preserve">. </w:t>
      </w:r>
      <w:r w:rsidR="0826047A">
        <w:t>Z</w:t>
      </w:r>
      <w:r w:rsidR="0826047A" w:rsidRPr="00273106">
        <w:t xml:space="preserve"> procesu </w:t>
      </w:r>
      <w:r w:rsidR="0826047A">
        <w:t xml:space="preserve">moderně pojaté </w:t>
      </w:r>
      <w:r w:rsidR="0826047A" w:rsidRPr="00273106">
        <w:t xml:space="preserve">signifikace </w:t>
      </w:r>
      <w:r w:rsidR="0826047A">
        <w:t xml:space="preserve">vypadla metafyzická jednota světa daná sémanticky. Veritativní vazba sémantiky na realitu je kauzálně zajištěna skrze </w:t>
      </w:r>
      <w:r w:rsidR="0826047A" w:rsidRPr="00273106">
        <w:t>receptivní složku intelektu (</w:t>
      </w:r>
      <w:r w:rsidR="0826047A" w:rsidRPr="00273106">
        <w:rPr>
          <w:i/>
        </w:rPr>
        <w:t>intellectus possibilis</w:t>
      </w:r>
      <w:r w:rsidR="0826047A">
        <w:rPr>
          <w:i/>
        </w:rPr>
        <w:fldChar w:fldCharType="begin"/>
      </w:r>
      <w:r w:rsidR="0826047A">
        <w:instrText xml:space="preserve"> XE "</w:instrText>
      </w:r>
      <w:r w:rsidR="0826047A" w:rsidRPr="08433858">
        <w:rPr>
          <w:i/>
        </w:rPr>
        <w:instrText>intellectus possibilis</w:instrText>
      </w:r>
      <w:r w:rsidR="0826047A">
        <w:instrText xml:space="preserve">" </w:instrText>
      </w:r>
      <w:r w:rsidR="0826047A">
        <w:rPr>
          <w:i/>
        </w:rPr>
        <w:fldChar w:fldCharType="end"/>
      </w:r>
      <w:r w:rsidR="0826047A" w:rsidRPr="00273106">
        <w:t>)</w:t>
      </w:r>
      <w:r w:rsidR="0826047A">
        <w:t>. Receptivní intelekt zajišťuje univerzálně a proto společně danou recepci vnějšího světa, který je nejprve poznávaný smyslově</w:t>
      </w:r>
      <w:r w:rsidR="0826047A" w:rsidRPr="00273106">
        <w:t>.</w:t>
      </w:r>
      <w:r w:rsidR="0826047A">
        <w:t xml:space="preserve"> Tuto klíčovou funkci </w:t>
      </w:r>
      <w:r w:rsidR="0826047A" w:rsidRPr="00273106">
        <w:rPr>
          <w:i/>
        </w:rPr>
        <w:t>intellectus possibilis</w:t>
      </w:r>
      <w:r w:rsidR="0826047A">
        <w:t xml:space="preserve"> odhalil Al-Farábí, zavrhl ji Avicenna a naopak přesně vysvětlil Averroes. </w:t>
      </w:r>
      <w:r w:rsidR="002F2D51">
        <w:t>Aristotele</w:t>
      </w:r>
      <w:r w:rsidR="08155660" w:rsidRPr="00273106">
        <w:t>s</w:t>
      </w:r>
      <w:r w:rsidR="00DE398B" w:rsidRPr="00273106">
        <w:t xml:space="preserve"> </w:t>
      </w:r>
      <w:r w:rsidR="08FD0790">
        <w:t xml:space="preserve">a Boethiův překlad </w:t>
      </w:r>
      <w:r w:rsidR="08FD0790" w:rsidRPr="00273106">
        <w:t>(</w:t>
      </w:r>
      <w:r w:rsidR="08FD0790" w:rsidRPr="00273106">
        <w:rPr>
          <w:i/>
        </w:rPr>
        <w:t>De int</w:t>
      </w:r>
      <w:r w:rsidR="08FD0790" w:rsidRPr="00273106">
        <w:t>. 16a9</w:t>
      </w:r>
      <w:r w:rsidR="08FD0790">
        <w:rPr>
          <w:lang w:eastAsia="en-US"/>
        </w:rPr>
        <w:fldChar w:fldCharType="begin"/>
      </w:r>
      <w:r w:rsidR="08FD0790">
        <w:instrText xml:space="preserve"> XE "Aristoteles:</w:instrText>
      </w:r>
      <w:r w:rsidR="08FD0790" w:rsidRPr="00047A3A">
        <w:rPr>
          <w:i/>
          <w:lang w:eastAsia="en-US"/>
        </w:rPr>
        <w:instrText>De inte</w:instrText>
      </w:r>
      <w:r w:rsidR="08FD0790">
        <w:rPr>
          <w:i/>
          <w:lang w:eastAsia="en-US"/>
        </w:rPr>
        <w:instrText>r</w:instrText>
      </w:r>
      <w:r w:rsidR="08FD0790" w:rsidRPr="00047A3A">
        <w:rPr>
          <w:i/>
          <w:lang w:eastAsia="en-US"/>
        </w:rPr>
        <w:instrText xml:space="preserve">pretatione </w:instrText>
      </w:r>
      <w:r w:rsidR="08FD0790">
        <w:rPr>
          <w:lang w:eastAsia="en-US"/>
        </w:rPr>
        <w:instrText>16a9</w:instrText>
      </w:r>
      <w:r w:rsidR="08FD0790">
        <w:instrText xml:space="preserve">" </w:instrText>
      </w:r>
      <w:r w:rsidR="08FD0790">
        <w:rPr>
          <w:lang w:eastAsia="en-US"/>
        </w:rPr>
        <w:fldChar w:fldCharType="end"/>
      </w:r>
      <w:r w:rsidR="08FD0790">
        <w:rPr>
          <w:lang w:eastAsia="en-US"/>
        </w:rPr>
        <w:t xml:space="preserve">) </w:t>
      </w:r>
      <w:r w:rsidR="00DE398B" w:rsidRPr="00273106">
        <w:t>u</w:t>
      </w:r>
      <w:r w:rsidR="08203FBC">
        <w:t>pozorňují</w:t>
      </w:r>
      <w:r w:rsidR="003E3036">
        <w:t xml:space="preserve"> h</w:t>
      </w:r>
      <w:r w:rsidR="00AC1DBA" w:rsidRPr="00273106">
        <w:t>n</w:t>
      </w:r>
      <w:r w:rsidR="003E3036">
        <w:t>e</w:t>
      </w:r>
      <w:r w:rsidR="00AC1DBA" w:rsidRPr="00273106">
        <w:t>d v další větě</w:t>
      </w:r>
      <w:r w:rsidR="00DE398B" w:rsidRPr="00273106">
        <w:t xml:space="preserve">, že citovaná pasáž </w:t>
      </w:r>
      <w:r w:rsidR="00AC1DBA" w:rsidRPr="00273106">
        <w:rPr>
          <w:rStyle w:val="TextpoznpodarouChar"/>
          <w:i/>
        </w:rPr>
        <w:t>De Int</w:t>
      </w:r>
      <w:r w:rsidR="00AC1DBA" w:rsidRPr="00273106">
        <w:rPr>
          <w:rStyle w:val="TextpoznpodarouChar"/>
        </w:rPr>
        <w:t xml:space="preserve">. 16a3‒8 </w:t>
      </w:r>
      <w:r w:rsidR="00DE398B" w:rsidRPr="00273106">
        <w:t xml:space="preserve">se musí číst v souvislosti se spisem </w:t>
      </w:r>
      <w:r w:rsidR="00B713C5">
        <w:rPr>
          <w:i/>
        </w:rPr>
        <w:t>De anima</w:t>
      </w:r>
      <w:r w:rsidR="08FD0790">
        <w:t xml:space="preserve"> (</w:t>
      </w:r>
      <w:r w:rsidR="00DE398B" w:rsidRPr="00273106">
        <w:rPr>
          <w:i/>
        </w:rPr>
        <w:t>de his quidem dictum est in his quae sunt dicta de anima</w:t>
      </w:r>
      <w:r w:rsidR="08A4402F" w:rsidRPr="00273106">
        <w:t>;</w:t>
      </w:r>
      <w:r w:rsidR="00DE398B" w:rsidRPr="00273106">
        <w:t xml:space="preserve"> </w:t>
      </w:r>
      <w:r w:rsidR="08A4402F" w:rsidRPr="00273106">
        <w:t xml:space="preserve">ibid, </w:t>
      </w:r>
      <w:r w:rsidR="00DE398B" w:rsidRPr="00273106">
        <w:rPr>
          <w:rStyle w:val="TextpoznpodarouChar"/>
        </w:rPr>
        <w:t>p. 3.11‒12</w:t>
      </w:r>
      <w:r w:rsidR="002F2D51">
        <w:rPr>
          <w:rStyle w:val="TextpoznpodarouChar"/>
        </w:rPr>
        <w:fldChar w:fldCharType="begin"/>
      </w:r>
      <w:r w:rsidR="002F2D51">
        <w:instrText xml:space="preserve"> XE "Boethius:</w:instrText>
      </w:r>
      <w:r w:rsidR="087E3BF4">
        <w:rPr>
          <w:rStyle w:val="TextpoznpodarouChar"/>
          <w:i/>
        </w:rPr>
        <w:instrText>I</w:instrText>
      </w:r>
      <w:r w:rsidR="002F2D51" w:rsidRPr="00E24CB0">
        <w:rPr>
          <w:rStyle w:val="TextpoznpodarouChar"/>
          <w:i/>
        </w:rPr>
        <w:instrText>n librum Peri hermeneias</w:instrText>
      </w:r>
      <w:r w:rsidR="002F2D51">
        <w:rPr>
          <w:rStyle w:val="TextpoznpodarouChar"/>
        </w:rPr>
        <w:instrText xml:space="preserve"> 3.11</w:instrText>
      </w:r>
      <w:r w:rsidR="002F2D51" w:rsidRPr="00E24CB0">
        <w:rPr>
          <w:rStyle w:val="TextpoznpodarouChar"/>
        </w:rPr>
        <w:instrText>‒</w:instrText>
      </w:r>
      <w:r w:rsidR="002F2D51">
        <w:rPr>
          <w:rStyle w:val="TextpoznpodarouChar"/>
        </w:rPr>
        <w:instrText>12</w:instrText>
      </w:r>
      <w:r w:rsidR="002F2D51">
        <w:instrText xml:space="preserve">" </w:instrText>
      </w:r>
      <w:r w:rsidR="002F2D51">
        <w:rPr>
          <w:rStyle w:val="TextpoznpodarouChar"/>
        </w:rPr>
        <w:fldChar w:fldCharType="end"/>
      </w:r>
      <w:r w:rsidR="00DE398B" w:rsidRPr="00273106">
        <w:t xml:space="preserve">). </w:t>
      </w:r>
      <w:r w:rsidR="00F66218">
        <w:t xml:space="preserve">Kritičtí aristotelikové velmi pozorně sledovali vnitřní hierarchii a vzájemnou provázanost </w:t>
      </w:r>
      <w:r w:rsidR="003E7B00">
        <w:t xml:space="preserve">argumentace v </w:t>
      </w:r>
      <w:r w:rsidR="00F66218" w:rsidRPr="00DA3755">
        <w:rPr>
          <w:i/>
          <w:lang w:eastAsia="x-none"/>
        </w:rPr>
        <w:t>Corpus Aristotelicum</w:t>
      </w:r>
      <w:r w:rsidR="00F66218">
        <w:rPr>
          <w:rFonts w:cs="Calibri"/>
          <w:szCs w:val="24"/>
        </w:rPr>
        <w:t xml:space="preserve">. </w:t>
      </w:r>
      <w:r w:rsidR="0000553B" w:rsidRPr="00273106">
        <w:t xml:space="preserve">Pozdější interpretace signifikace </w:t>
      </w:r>
      <w:r w:rsidR="009473C4" w:rsidRPr="009473C4">
        <w:rPr>
          <w:i/>
        </w:rPr>
        <w:t>Modernorum</w:t>
      </w:r>
      <w:r w:rsidR="009473C4">
        <w:t xml:space="preserve"> </w:t>
      </w:r>
      <w:r w:rsidR="00792B5C">
        <w:t xml:space="preserve">a </w:t>
      </w:r>
      <w:r w:rsidR="009473C4">
        <w:t xml:space="preserve">v </w:t>
      </w:r>
      <w:r w:rsidR="00792B5C">
        <w:t xml:space="preserve">postmoderně </w:t>
      </w:r>
      <w:r w:rsidR="00E12545">
        <w:t xml:space="preserve">zcela pominula zásadní </w:t>
      </w:r>
      <w:r w:rsidR="083C3619">
        <w:t xml:space="preserve">distinkce přeložené Boethiem. Z </w:t>
      </w:r>
      <w:r w:rsidR="080C0BE0">
        <w:t xml:space="preserve">původní </w:t>
      </w:r>
      <w:r w:rsidR="083C3619">
        <w:t xml:space="preserve">ambivalence se stala nová sofistická jasnost a </w:t>
      </w:r>
      <w:r w:rsidR="08BB08F6">
        <w:t xml:space="preserve">tím </w:t>
      </w:r>
      <w:r w:rsidR="083C3619">
        <w:t xml:space="preserve">se </w:t>
      </w:r>
      <w:r w:rsidR="00E12545">
        <w:t xml:space="preserve">zrušila </w:t>
      </w:r>
      <w:r w:rsidR="0000553B" w:rsidRPr="00273106">
        <w:t>základn</w:t>
      </w:r>
      <w:r w:rsidR="00E12545">
        <w:t>í argume</w:t>
      </w:r>
      <w:r w:rsidR="083C3619">
        <w:t>ntační linie</w:t>
      </w:r>
      <w:r w:rsidR="0000553B" w:rsidRPr="00273106">
        <w:t xml:space="preserve"> spisu </w:t>
      </w:r>
      <w:r w:rsidR="0000553B">
        <w:rPr>
          <w:i/>
        </w:rPr>
        <w:t>De anima</w:t>
      </w:r>
      <w:r w:rsidR="083C3619">
        <w:t xml:space="preserve"> a </w:t>
      </w:r>
      <w:r w:rsidR="083C3619" w:rsidRPr="083C3619">
        <w:rPr>
          <w:i/>
        </w:rPr>
        <w:t>De interpretatione</w:t>
      </w:r>
      <w:r w:rsidR="083C3619">
        <w:t xml:space="preserve">. </w:t>
      </w:r>
      <w:r w:rsidR="00DE398B" w:rsidRPr="00273106">
        <w:t xml:space="preserve">Západní filosofie na začátku </w:t>
      </w:r>
      <w:r w:rsidR="001C536B">
        <w:t xml:space="preserve">vlastní </w:t>
      </w:r>
      <w:r w:rsidR="00DE398B" w:rsidRPr="00273106">
        <w:t xml:space="preserve">cesty </w:t>
      </w:r>
      <w:r w:rsidR="001C536B">
        <w:t xml:space="preserve">k substanci </w:t>
      </w:r>
      <w:r w:rsidR="00DE398B" w:rsidRPr="00273106">
        <w:t xml:space="preserve">ztratila </w:t>
      </w:r>
      <w:r w:rsidR="008E396C" w:rsidRPr="00273106">
        <w:t xml:space="preserve">autentickou </w:t>
      </w:r>
      <w:r w:rsidR="085F3986">
        <w:lastRenderedPageBreak/>
        <w:t>vazbu na zakládající dění určující adekvaci</w:t>
      </w:r>
      <w:r w:rsidR="00270133">
        <w:t xml:space="preserve"> mezi věcí a jejím </w:t>
      </w:r>
      <w:r w:rsidR="08674C60">
        <w:t>poznáním. Ten</w:t>
      </w:r>
      <w:r w:rsidR="00DE398B" w:rsidRPr="00273106">
        <w:t xml:space="preserve">to zvláštní </w:t>
      </w:r>
      <w:r w:rsidR="00916807" w:rsidRPr="00916807">
        <w:rPr>
          <w:i/>
        </w:rPr>
        <w:t>E</w:t>
      </w:r>
      <w:r w:rsidR="00DE398B" w:rsidRPr="00916807">
        <w:rPr>
          <w:i/>
        </w:rPr>
        <w:t>reignis</w:t>
      </w:r>
      <w:r w:rsidR="003B7894">
        <w:rPr>
          <w:i/>
        </w:rPr>
        <w:fldChar w:fldCharType="begin"/>
      </w:r>
      <w:r w:rsidR="003B7894">
        <w:instrText xml:space="preserve"> XE "</w:instrText>
      </w:r>
      <w:r w:rsidR="003B7894" w:rsidRPr="00120BB2">
        <w:rPr>
          <w:i/>
        </w:rPr>
        <w:instrText>Ereignis</w:instrText>
      </w:r>
      <w:r w:rsidR="003B7894">
        <w:instrText xml:space="preserve">" </w:instrText>
      </w:r>
      <w:r w:rsidR="003B7894">
        <w:rPr>
          <w:i/>
        </w:rPr>
        <w:fldChar w:fldCharType="end"/>
      </w:r>
      <w:r w:rsidR="00DE398B" w:rsidRPr="00273106">
        <w:t xml:space="preserve"> ve formě </w:t>
      </w:r>
      <w:r w:rsidR="08674C60">
        <w:t xml:space="preserve">metafyzické </w:t>
      </w:r>
      <w:r w:rsidR="00DE398B" w:rsidRPr="082C2832">
        <w:rPr>
          <w:i/>
        </w:rPr>
        <w:t>léthé</w:t>
      </w:r>
      <w:r w:rsidR="00DE398B" w:rsidRPr="00273106">
        <w:t xml:space="preserve"> určil </w:t>
      </w:r>
      <w:r w:rsidR="00916807">
        <w:t xml:space="preserve">epochální </w:t>
      </w:r>
      <w:r w:rsidR="00DE398B" w:rsidRPr="00273106">
        <w:rPr>
          <w:i/>
        </w:rPr>
        <w:t>Lichtung</w:t>
      </w:r>
      <w:r w:rsidR="00C84D1D" w:rsidRPr="00273106">
        <w:t xml:space="preserve"> </w:t>
      </w:r>
      <w:r w:rsidR="001C536B">
        <w:t xml:space="preserve">latinské </w:t>
      </w:r>
      <w:r w:rsidR="00C84D1D" w:rsidRPr="00273106">
        <w:t>metafyziky</w:t>
      </w:r>
      <w:r w:rsidR="00916807">
        <w:t xml:space="preserve"> ohledně </w:t>
      </w:r>
      <w:r w:rsidR="08674C60">
        <w:t xml:space="preserve">první </w:t>
      </w:r>
      <w:r w:rsidR="00916807">
        <w:t>signifikace</w:t>
      </w:r>
      <w:r w:rsidR="00DE398B" w:rsidRPr="00273106">
        <w:t>.</w:t>
      </w:r>
      <w:r w:rsidR="08674C60">
        <w:t xml:space="preserve"> Moderna vytěsnila původní význam signifikace vztažený k</w:t>
      </w:r>
      <w:r w:rsidR="08787ECE">
        <w:t xml:space="preserve"> metafyzickému </w:t>
      </w:r>
      <w:r w:rsidR="086E6771">
        <w:t xml:space="preserve">dativu skrze spojení </w:t>
      </w:r>
      <w:r w:rsidR="08674C60" w:rsidRPr="00561807">
        <w:rPr>
          <w:szCs w:val="24"/>
        </w:rPr>
        <w:t>„</w:t>
      </w:r>
      <w:r w:rsidR="08674C60" w:rsidRPr="007B25AD">
        <w:rPr>
          <w:i/>
          <w:szCs w:val="24"/>
        </w:rPr>
        <w:t>semeía prótón</w:t>
      </w:r>
      <w:r w:rsidR="08674C60">
        <w:rPr>
          <w:szCs w:val="24"/>
        </w:rPr>
        <w:t xml:space="preserve"> </w:t>
      </w:r>
      <w:r w:rsidR="08674C60" w:rsidRPr="00561807">
        <w:rPr>
          <w:szCs w:val="24"/>
        </w:rPr>
        <w:t>‒</w:t>
      </w:r>
      <w:r w:rsidR="08674C60">
        <w:rPr>
          <w:szCs w:val="24"/>
        </w:rPr>
        <w:t xml:space="preserve"> </w:t>
      </w:r>
      <w:r w:rsidR="08674C60" w:rsidRPr="007B25AD">
        <w:rPr>
          <w:i/>
          <w:szCs w:val="24"/>
        </w:rPr>
        <w:t>homoiómata</w:t>
      </w:r>
      <w:r w:rsidR="08674C60" w:rsidRPr="00561807">
        <w:rPr>
          <w:szCs w:val="24"/>
        </w:rPr>
        <w:t>“</w:t>
      </w:r>
      <w:r w:rsidR="08674C60">
        <w:t xml:space="preserve">. </w:t>
      </w:r>
      <w:r w:rsidR="08185425">
        <w:t xml:space="preserve">Novou příčinou </w:t>
      </w:r>
      <w:r w:rsidR="00214A56">
        <w:t>významu už není první substance, ale člověk</w:t>
      </w:r>
      <w:r w:rsidR="006D6AB7">
        <w:t xml:space="preserve"> a jeho</w:t>
      </w:r>
      <w:r w:rsidR="086B234C">
        <w:t xml:space="preserve"> mluva</w:t>
      </w:r>
      <w:r w:rsidR="08D6494C">
        <w:t xml:space="preserve">. </w:t>
      </w:r>
      <w:r w:rsidR="081A4977">
        <w:t xml:space="preserve">Nový řád světa </w:t>
      </w:r>
      <w:r w:rsidR="00954AA2">
        <w:t>vznik</w:t>
      </w:r>
      <w:r w:rsidR="08DD5595">
        <w:t xml:space="preserve">á </w:t>
      </w:r>
      <w:r w:rsidR="00954AA2">
        <w:t>nasvícením jsoucna zezadu</w:t>
      </w:r>
      <w:r w:rsidR="08DD5595">
        <w:t xml:space="preserve">, </w:t>
      </w:r>
      <w:r w:rsidR="085777D2">
        <w:t>od lidského subjektu</w:t>
      </w:r>
      <w:r w:rsidR="08DD5595">
        <w:t>. O</w:t>
      </w:r>
      <w:r w:rsidR="00DE398B" w:rsidRPr="00273106">
        <w:t xml:space="preserve">tázka </w:t>
      </w:r>
      <w:r w:rsidR="000A6878">
        <w:t xml:space="preserve">subjektivní </w:t>
      </w:r>
      <w:r w:rsidR="08DD5595">
        <w:t>pravdivosti (</w:t>
      </w:r>
      <w:r w:rsidR="08DD5595" w:rsidRPr="08DD5595">
        <w:rPr>
          <w:i/>
        </w:rPr>
        <w:t>verum</w:t>
      </w:r>
      <w:r w:rsidR="08DD5595">
        <w:t>) se redukuje na moderní jistotu a správnost</w:t>
      </w:r>
      <w:r w:rsidR="00DE398B" w:rsidRPr="00273106">
        <w:t xml:space="preserve"> </w:t>
      </w:r>
      <w:r w:rsidR="08DD5595">
        <w:t>(</w:t>
      </w:r>
      <w:r w:rsidR="08DD5595" w:rsidRPr="08DD5595">
        <w:rPr>
          <w:i/>
        </w:rPr>
        <w:t>certum</w:t>
      </w:r>
      <w:r w:rsidR="082773DB">
        <w:rPr>
          <w:i/>
        </w:rPr>
        <w:fldChar w:fldCharType="begin"/>
      </w:r>
      <w:r w:rsidR="082773DB">
        <w:instrText xml:space="preserve"> XE "</w:instrText>
      </w:r>
      <w:r w:rsidR="082773DB" w:rsidRPr="080948C0">
        <w:rPr>
          <w:i/>
        </w:rPr>
        <w:instrText>certum</w:instrText>
      </w:r>
      <w:r w:rsidR="082773DB">
        <w:instrText xml:space="preserve">" </w:instrText>
      </w:r>
      <w:r w:rsidR="082773DB">
        <w:rPr>
          <w:i/>
        </w:rPr>
        <w:fldChar w:fldCharType="end"/>
      </w:r>
      <w:r w:rsidR="08DD5595">
        <w:t xml:space="preserve">, </w:t>
      </w:r>
      <w:r w:rsidR="08DD5595" w:rsidRPr="08DD5595">
        <w:rPr>
          <w:i/>
        </w:rPr>
        <w:t>rectum</w:t>
      </w:r>
      <w:r w:rsidR="082773DB">
        <w:rPr>
          <w:i/>
        </w:rPr>
        <w:fldChar w:fldCharType="begin"/>
      </w:r>
      <w:r w:rsidR="082773DB">
        <w:instrText xml:space="preserve"> XE "</w:instrText>
      </w:r>
      <w:r w:rsidR="082773DB" w:rsidRPr="083238A9">
        <w:rPr>
          <w:i/>
        </w:rPr>
        <w:instrText>rectum</w:instrText>
      </w:r>
      <w:r w:rsidR="082773DB">
        <w:instrText xml:space="preserve">" </w:instrText>
      </w:r>
      <w:r w:rsidR="082773DB">
        <w:rPr>
          <w:i/>
        </w:rPr>
        <w:fldChar w:fldCharType="end"/>
      </w:r>
      <w:r w:rsidR="08DD5595">
        <w:t xml:space="preserve">). Subjektivní </w:t>
      </w:r>
      <w:r w:rsidR="08DD5595" w:rsidRPr="08DD5595">
        <w:rPr>
          <w:i/>
        </w:rPr>
        <w:t>veritas</w:t>
      </w:r>
      <w:r w:rsidR="08DD5595">
        <w:t xml:space="preserve"> je </w:t>
      </w:r>
      <w:r w:rsidR="0823451B">
        <w:t xml:space="preserve">primárně </w:t>
      </w:r>
      <w:r w:rsidR="00DE398B" w:rsidRPr="00273106">
        <w:t xml:space="preserve">navázaná na </w:t>
      </w:r>
      <w:r w:rsidR="005A0D5A">
        <w:t xml:space="preserve">správnost </w:t>
      </w:r>
      <w:r w:rsidR="00DE398B" w:rsidRPr="00273106">
        <w:t xml:space="preserve">jednání </w:t>
      </w:r>
      <w:r w:rsidR="00214A56">
        <w:t xml:space="preserve">subjektu </w:t>
      </w:r>
      <w:r w:rsidR="00DE398B" w:rsidRPr="00273106">
        <w:t xml:space="preserve">a na jistotu </w:t>
      </w:r>
      <w:r w:rsidR="005A0D5A">
        <w:t xml:space="preserve">danou tímto </w:t>
      </w:r>
      <w:r w:rsidR="00DE398B" w:rsidRPr="00273106">
        <w:t>jednání</w:t>
      </w:r>
      <w:r w:rsidR="005A0D5A">
        <w:t>m</w:t>
      </w:r>
      <w:r w:rsidR="00214A56">
        <w:t>. Lidský subjekt kopíruje demiurgické dispozice a vůli božského demiurga</w:t>
      </w:r>
      <w:r w:rsidR="00640BE5">
        <w:fldChar w:fldCharType="begin"/>
      </w:r>
      <w:r w:rsidR="00640BE5">
        <w:instrText xml:space="preserve"> XE "</w:instrText>
      </w:r>
      <w:r w:rsidR="00640BE5" w:rsidRPr="005C2F4A">
        <w:rPr>
          <w:rStyle w:val="addmd"/>
        </w:rPr>
        <w:instrText>demiurg</w:instrText>
      </w:r>
      <w:r w:rsidR="00640BE5">
        <w:instrText xml:space="preserve">" </w:instrText>
      </w:r>
      <w:r w:rsidR="00640BE5">
        <w:fldChar w:fldCharType="end"/>
      </w:r>
      <w:r w:rsidR="0823451B">
        <w:t xml:space="preserve"> v modu jistoty a správnosti. Zavedením demiurgické analogie vznikl nový ontoteologický </w:t>
      </w:r>
      <w:r w:rsidR="0823451B" w:rsidRPr="00273106">
        <w:t xml:space="preserve">systém </w:t>
      </w:r>
      <w:r w:rsidR="0823451B">
        <w:t xml:space="preserve">křesťanské </w:t>
      </w:r>
      <w:r w:rsidR="0823451B" w:rsidRPr="00273106">
        <w:t>metafyziky.</w:t>
      </w:r>
      <w:r w:rsidR="0823451B">
        <w:t xml:space="preserve"> </w:t>
      </w:r>
      <w:r w:rsidR="080E497B" w:rsidRPr="00273106">
        <w:t xml:space="preserve">Anselm </w:t>
      </w:r>
      <w:r w:rsidR="080E497B">
        <w:t xml:space="preserve">z Canterbury </w:t>
      </w:r>
      <w:r w:rsidR="080E497B" w:rsidRPr="00273106">
        <w:t xml:space="preserve">zavádí skrze toto pojetí </w:t>
      </w:r>
      <w:r w:rsidR="080E497B">
        <w:t>signifikace neoplatonsk</w:t>
      </w:r>
      <w:r w:rsidR="080E497B" w:rsidRPr="00273106">
        <w:t xml:space="preserve">ý koncept pravdy jako </w:t>
      </w:r>
      <w:r w:rsidR="080E497B" w:rsidRPr="00273106">
        <w:rPr>
          <w:i/>
        </w:rPr>
        <w:t>rectitudo</w:t>
      </w:r>
      <w:r w:rsidR="080E497B">
        <w:t xml:space="preserve"> a obnovuje </w:t>
      </w:r>
      <w:r w:rsidR="080E497B" w:rsidRPr="00273106">
        <w:t xml:space="preserve">avicennovské pojetí pravdy spojené s jistotou myšlení v samotném subjektu. </w:t>
      </w:r>
      <w:r w:rsidR="008E396C" w:rsidRPr="00273106">
        <w:t>Pravda determinovaná subjektem a navázaná na změněné poje</w:t>
      </w:r>
      <w:r w:rsidR="00B12E03">
        <w:t xml:space="preserve">tí signifikace nakonec založí </w:t>
      </w:r>
      <w:r w:rsidR="008E396C" w:rsidRPr="00273106">
        <w:t xml:space="preserve">novou metafyziku v rámci </w:t>
      </w:r>
      <w:r w:rsidR="008E396C"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8E396C" w:rsidRPr="00273106">
        <w:t>.</w:t>
      </w:r>
    </w:p>
    <w:p w14:paraId="4D0FA3C1" w14:textId="379B21DB" w:rsidR="009A1E79" w:rsidRDefault="00DE398B" w:rsidP="00D95064">
      <w:pPr>
        <w:rPr>
          <w:lang w:eastAsia="en-US"/>
        </w:rPr>
      </w:pPr>
      <w:r w:rsidRPr="00273106">
        <w:rPr>
          <w:lang w:eastAsia="en-US"/>
        </w:rPr>
        <w:tab/>
      </w:r>
      <w:r w:rsidR="00AC4CC7" w:rsidRPr="00273106">
        <w:rPr>
          <w:lang w:eastAsia="en-US"/>
        </w:rPr>
        <w:t xml:space="preserve">Třetí krok </w:t>
      </w:r>
      <w:r w:rsidR="00845F63">
        <w:rPr>
          <w:lang w:eastAsia="en-US"/>
        </w:rPr>
        <w:t xml:space="preserve">hermeneutiky </w:t>
      </w:r>
      <w:r w:rsidR="003C1336" w:rsidRPr="00273106">
        <w:rPr>
          <w:lang w:eastAsia="en-US"/>
        </w:rPr>
        <w:t xml:space="preserve">sleduje vývoj substanční formy </w:t>
      </w:r>
      <w:r w:rsidR="003C1336" w:rsidRPr="00273106">
        <w:rPr>
          <w:i/>
          <w:lang w:eastAsia="en-US"/>
        </w:rPr>
        <w:t>tertium ens</w:t>
      </w:r>
      <w:r w:rsidR="003F16A5">
        <w:rPr>
          <w:i/>
          <w:lang w:eastAsia="en-US"/>
        </w:rPr>
        <w:fldChar w:fldCharType="begin"/>
      </w:r>
      <w:r w:rsidR="003F16A5">
        <w:instrText xml:space="preserve"> XE "</w:instrText>
      </w:r>
      <w:r w:rsidR="003F16A5" w:rsidRPr="002F10B4">
        <w:rPr>
          <w:rStyle w:val="Zvraznn"/>
        </w:rPr>
        <w:instrText>tertium ens</w:instrText>
      </w:r>
      <w:r w:rsidR="00B91874" w:rsidRPr="00B91874">
        <w:rPr>
          <w:rStyle w:val="Zvraznn"/>
          <w:i w:val="0"/>
        </w:rPr>
        <w:instrText>:logické školy</w:instrText>
      </w:r>
      <w:r w:rsidR="003F16A5">
        <w:instrText xml:space="preserve">" </w:instrText>
      </w:r>
      <w:r w:rsidR="003F16A5">
        <w:rPr>
          <w:i/>
          <w:lang w:eastAsia="en-US"/>
        </w:rPr>
        <w:fldChar w:fldCharType="end"/>
      </w:r>
      <w:r w:rsidR="003C1336" w:rsidRPr="00273106">
        <w:rPr>
          <w:lang w:eastAsia="en-US"/>
        </w:rPr>
        <w:t xml:space="preserve"> určené </w:t>
      </w:r>
      <w:r w:rsidR="00DE4491">
        <w:rPr>
          <w:lang w:eastAsia="en-US"/>
        </w:rPr>
        <w:t xml:space="preserve">skrze matematickou </w:t>
      </w:r>
      <w:r w:rsidR="08A42D4D">
        <w:rPr>
          <w:lang w:eastAsia="en-US"/>
        </w:rPr>
        <w:t>analogii</w:t>
      </w:r>
      <w:r w:rsidR="003C1336" w:rsidRPr="00273106">
        <w:rPr>
          <w:lang w:eastAsia="en-US"/>
        </w:rPr>
        <w:t xml:space="preserve">. </w:t>
      </w:r>
      <w:r w:rsidR="0081754A" w:rsidRPr="00273106">
        <w:rPr>
          <w:lang w:eastAsia="en-US"/>
        </w:rPr>
        <w:t xml:space="preserve">Celý spor začíná </w:t>
      </w:r>
      <w:r w:rsidR="08EB710F">
        <w:rPr>
          <w:lang w:eastAsia="en-US"/>
        </w:rPr>
        <w:t xml:space="preserve">nominálním </w:t>
      </w:r>
      <w:r w:rsidR="0081754A" w:rsidRPr="00273106">
        <w:rPr>
          <w:lang w:eastAsia="en-US"/>
        </w:rPr>
        <w:t xml:space="preserve">určením </w:t>
      </w:r>
      <w:r w:rsidR="08EB710F">
        <w:rPr>
          <w:lang w:eastAsia="en-US"/>
        </w:rPr>
        <w:t xml:space="preserve">jsoucna </w:t>
      </w:r>
      <w:r w:rsidR="0081754A" w:rsidRPr="00273106">
        <w:rPr>
          <w:lang w:eastAsia="en-US"/>
        </w:rPr>
        <w:t xml:space="preserve">v rámci gramaticky daného substantiva. </w:t>
      </w:r>
      <w:r w:rsidR="009B7AA4" w:rsidRPr="00273106">
        <w:rPr>
          <w:lang w:eastAsia="en-US"/>
        </w:rPr>
        <w:t xml:space="preserve">Antický učitel gramatiky </w:t>
      </w:r>
      <w:r w:rsidR="001710D8" w:rsidRPr="00273106">
        <w:rPr>
          <w:lang w:eastAsia="en-US"/>
        </w:rPr>
        <w:t>Priscián</w:t>
      </w:r>
      <w:r w:rsidR="008702E5">
        <w:rPr>
          <w:lang w:eastAsia="en-US"/>
        </w:rPr>
        <w:fldChar w:fldCharType="begin"/>
      </w:r>
      <w:r w:rsidR="008702E5">
        <w:instrText xml:space="preserve"> XE "</w:instrText>
      </w:r>
      <w:r w:rsidR="008702E5" w:rsidRPr="0061514F">
        <w:rPr>
          <w:lang w:eastAsia="en-US"/>
        </w:rPr>
        <w:instrText>Priscián</w:instrText>
      </w:r>
      <w:r w:rsidR="008702E5">
        <w:instrText xml:space="preserve">" </w:instrText>
      </w:r>
      <w:r w:rsidR="008702E5">
        <w:rPr>
          <w:lang w:eastAsia="en-US"/>
        </w:rPr>
        <w:fldChar w:fldCharType="end"/>
      </w:r>
      <w:r w:rsidR="001710D8" w:rsidRPr="00273106">
        <w:rPr>
          <w:lang w:eastAsia="en-US"/>
        </w:rPr>
        <w:t xml:space="preserve"> </w:t>
      </w:r>
      <w:r w:rsidR="003B7AC2" w:rsidRPr="00273106">
        <w:t xml:space="preserve">definuje </w:t>
      </w:r>
      <w:r w:rsidR="003C1AE0">
        <w:t xml:space="preserve">ve druhé polovině 5. století </w:t>
      </w:r>
      <w:r w:rsidR="007674BA" w:rsidRPr="00273106">
        <w:t xml:space="preserve">nominální </w:t>
      </w:r>
      <w:r w:rsidR="003B7AC2" w:rsidRPr="00273106">
        <w:rPr>
          <w:lang w:eastAsia="en-US"/>
        </w:rPr>
        <w:t>význam substant</w:t>
      </w:r>
      <w:r w:rsidR="007674BA" w:rsidRPr="00273106">
        <w:rPr>
          <w:lang w:eastAsia="en-US"/>
        </w:rPr>
        <w:t>iva v rámci řečnického diskurzu</w:t>
      </w:r>
      <w:r w:rsidR="003B7AC2" w:rsidRPr="00273106">
        <w:rPr>
          <w:lang w:eastAsia="en-US"/>
        </w:rPr>
        <w:t>.</w:t>
      </w:r>
      <w:r w:rsidR="00627FCF" w:rsidRPr="00273106">
        <w:rPr>
          <w:rStyle w:val="Znakapoznpodarou"/>
          <w:lang w:eastAsia="en-US"/>
        </w:rPr>
        <w:footnoteReference w:id="9"/>
      </w:r>
      <w:r w:rsidR="00F734C9" w:rsidRPr="00273106">
        <w:rPr>
          <w:lang w:eastAsia="en-US"/>
        </w:rPr>
        <w:t xml:space="preserve"> </w:t>
      </w:r>
      <w:r w:rsidR="00F561D2" w:rsidRPr="00273106">
        <w:rPr>
          <w:lang w:eastAsia="en-US"/>
        </w:rPr>
        <w:t>Priscián vztáhnul z</w:t>
      </w:r>
      <w:r w:rsidR="001577DE" w:rsidRPr="00273106">
        <w:rPr>
          <w:lang w:eastAsia="en-US"/>
        </w:rPr>
        <w:t xml:space="preserve">ákladní určení </w:t>
      </w:r>
      <w:r w:rsidR="007674BA" w:rsidRPr="00273106">
        <w:rPr>
          <w:lang w:eastAsia="en-US"/>
        </w:rPr>
        <w:t xml:space="preserve">substantiva </w:t>
      </w:r>
      <w:r w:rsidR="00F561D2" w:rsidRPr="00273106">
        <w:rPr>
          <w:lang w:eastAsia="en-US"/>
        </w:rPr>
        <w:t>(</w:t>
      </w:r>
      <w:r w:rsidR="00F561D2" w:rsidRPr="00273106">
        <w:rPr>
          <w:i/>
          <w:lang w:eastAsia="en-US"/>
        </w:rPr>
        <w:t>proprium</w:t>
      </w:r>
      <w:r w:rsidR="00F561D2" w:rsidRPr="00273106">
        <w:rPr>
          <w:lang w:eastAsia="en-US"/>
        </w:rPr>
        <w:t xml:space="preserve">) </w:t>
      </w:r>
      <w:r w:rsidR="00863709" w:rsidRPr="00273106">
        <w:rPr>
          <w:lang w:eastAsia="en-US"/>
        </w:rPr>
        <w:t xml:space="preserve">nerozlišeně k substanci a ke kvalitě </w:t>
      </w:r>
      <w:r w:rsidR="001577DE" w:rsidRPr="00273106">
        <w:rPr>
          <w:lang w:eastAsia="en-US"/>
        </w:rPr>
        <w:t>(</w:t>
      </w:r>
      <w:r w:rsidR="001577DE" w:rsidRPr="00273106">
        <w:rPr>
          <w:i/>
          <w:lang w:eastAsia="en-US"/>
        </w:rPr>
        <w:t>proprium est nominis substantiam et qualitatem significare</w:t>
      </w:r>
      <w:r w:rsidR="00F561D2" w:rsidRPr="00273106">
        <w:rPr>
          <w:lang w:eastAsia="en-US"/>
        </w:rPr>
        <w:t xml:space="preserve">). </w:t>
      </w:r>
      <w:r w:rsidR="006B4EB2">
        <w:rPr>
          <w:lang w:eastAsia="en-US"/>
        </w:rPr>
        <w:t xml:space="preserve">Definice </w:t>
      </w:r>
      <w:r w:rsidR="00872CAA" w:rsidRPr="00273106">
        <w:rPr>
          <w:lang w:eastAsia="en-US"/>
        </w:rPr>
        <w:t>obsa</w:t>
      </w:r>
      <w:r w:rsidR="006B4EB2">
        <w:rPr>
          <w:lang w:eastAsia="en-US"/>
        </w:rPr>
        <w:t>huje jak obecnou teorii signifikace danou</w:t>
      </w:r>
      <w:r w:rsidR="00872CAA" w:rsidRPr="00273106">
        <w:rPr>
          <w:lang w:eastAsia="en-US"/>
        </w:rPr>
        <w:t xml:space="preserve"> v úvodu </w:t>
      </w:r>
      <w:r w:rsidR="08FC6083" w:rsidRPr="00273106">
        <w:rPr>
          <w:i/>
          <w:lang w:eastAsia="en-US"/>
        </w:rPr>
        <w:t>De Interpretatione</w:t>
      </w:r>
      <w:r w:rsidR="006B4EB2">
        <w:rPr>
          <w:lang w:eastAsia="en-US"/>
        </w:rPr>
        <w:t>, tak i kategoriální predikaci</w:t>
      </w:r>
      <w:r w:rsidR="001678AE" w:rsidRPr="00273106">
        <w:rPr>
          <w:lang w:eastAsia="en-US"/>
        </w:rPr>
        <w:t xml:space="preserve"> ze spisu </w:t>
      </w:r>
      <w:r w:rsidR="001678AE" w:rsidRPr="00F82C98">
        <w:rPr>
          <w:i/>
          <w:lang w:eastAsia="en-US"/>
        </w:rPr>
        <w:t>Kategorie</w:t>
      </w:r>
      <w:r w:rsidR="08DB55CD">
        <w:rPr>
          <w:lang w:eastAsia="en-US"/>
        </w:rPr>
        <w:t xml:space="preserve"> navázanou v definici na substanci a na akcident kvality. </w:t>
      </w:r>
      <w:r w:rsidR="08A80F7C">
        <w:rPr>
          <w:lang w:eastAsia="en-US"/>
        </w:rPr>
        <w:t>Smíš</w:t>
      </w:r>
      <w:r w:rsidR="00772278">
        <w:rPr>
          <w:lang w:eastAsia="en-US"/>
        </w:rPr>
        <w:t xml:space="preserve">ení nauky </w:t>
      </w:r>
      <w:r w:rsidR="00772278" w:rsidRPr="00772278">
        <w:rPr>
          <w:i/>
          <w:lang w:eastAsia="en-US"/>
        </w:rPr>
        <w:t>Kategorií</w:t>
      </w:r>
      <w:r w:rsidR="00772278">
        <w:rPr>
          <w:lang w:eastAsia="en-US"/>
        </w:rPr>
        <w:t xml:space="preserve"> a </w:t>
      </w:r>
      <w:r w:rsidR="00772278" w:rsidRPr="00772278">
        <w:rPr>
          <w:i/>
          <w:lang w:eastAsia="en-US"/>
        </w:rPr>
        <w:t>De intepretatione</w:t>
      </w:r>
      <w:r w:rsidR="00772278">
        <w:rPr>
          <w:lang w:eastAsia="en-US"/>
        </w:rPr>
        <w:t xml:space="preserve"> přešlo do </w:t>
      </w:r>
      <w:r w:rsidR="00AD09B5">
        <w:rPr>
          <w:lang w:eastAsia="en-US"/>
        </w:rPr>
        <w:t xml:space="preserve">scholastické </w:t>
      </w:r>
      <w:r w:rsidR="00772278">
        <w:rPr>
          <w:lang w:eastAsia="en-US"/>
        </w:rPr>
        <w:t>gramatiky</w:t>
      </w:r>
      <w:r w:rsidR="00BF419F">
        <w:rPr>
          <w:lang w:eastAsia="en-US"/>
        </w:rPr>
        <w:t>. Vznikla mnohoznačná „kategoriální“</w:t>
      </w:r>
      <w:r w:rsidR="00BF419F" w:rsidRPr="00BF419F">
        <w:rPr>
          <w:lang w:eastAsia="en-US"/>
        </w:rPr>
        <w:t xml:space="preserve"> predikace, která se sofisti</w:t>
      </w:r>
      <w:r w:rsidR="00BF419F">
        <w:rPr>
          <w:lang w:eastAsia="en-US"/>
        </w:rPr>
        <w:t xml:space="preserve">cky </w:t>
      </w:r>
      <w:r w:rsidR="00BF419F" w:rsidRPr="00BF419F">
        <w:rPr>
          <w:lang w:eastAsia="en-US"/>
        </w:rPr>
        <w:t>chápala jako aristotelská kategoriální</w:t>
      </w:r>
      <w:r w:rsidR="00BF419F">
        <w:rPr>
          <w:lang w:eastAsia="en-US"/>
        </w:rPr>
        <w:t xml:space="preserve"> univocita</w:t>
      </w:r>
      <w:r w:rsidR="00BF419F" w:rsidRPr="00BF419F">
        <w:rPr>
          <w:lang w:eastAsia="en-US"/>
        </w:rPr>
        <w:t>.</w:t>
      </w:r>
      <w:r w:rsidR="00BF419F">
        <w:rPr>
          <w:lang w:eastAsia="en-US"/>
        </w:rPr>
        <w:t xml:space="preserve"> </w:t>
      </w:r>
      <w:r w:rsidR="00F561D2" w:rsidRPr="00273106">
        <w:rPr>
          <w:lang w:eastAsia="en-US"/>
        </w:rPr>
        <w:t>Klasická definice určující nominální status substance (</w:t>
      </w:r>
      <w:r w:rsidR="00F561D2" w:rsidRPr="00273106">
        <w:rPr>
          <w:i/>
          <w:lang w:eastAsia="en-US"/>
        </w:rPr>
        <w:t>substantiam significare</w:t>
      </w:r>
      <w:r w:rsidR="00F561D2" w:rsidRPr="00273106">
        <w:rPr>
          <w:lang w:eastAsia="en-US"/>
        </w:rPr>
        <w:t>) byla nově uchopena</w:t>
      </w:r>
      <w:r w:rsidR="00863709" w:rsidRPr="00273106">
        <w:rPr>
          <w:lang w:eastAsia="en-US"/>
        </w:rPr>
        <w:t xml:space="preserve"> v debatách </w:t>
      </w:r>
      <w:r w:rsidR="0857346C">
        <w:rPr>
          <w:lang w:eastAsia="en-US"/>
        </w:rPr>
        <w:t xml:space="preserve">v první </w:t>
      </w:r>
      <w:r w:rsidR="00592244">
        <w:rPr>
          <w:lang w:eastAsia="en-US"/>
        </w:rPr>
        <w:t xml:space="preserve">polovině </w:t>
      </w:r>
      <w:r w:rsidR="0857346C">
        <w:rPr>
          <w:lang w:eastAsia="en-US"/>
        </w:rPr>
        <w:t xml:space="preserve">12. století, kdy se v rámci </w:t>
      </w:r>
      <w:r w:rsidR="08A42DC5">
        <w:rPr>
          <w:lang w:eastAsia="en-US"/>
        </w:rPr>
        <w:t xml:space="preserve">kategoriální predikace </w:t>
      </w:r>
      <w:r w:rsidR="0857346C">
        <w:rPr>
          <w:lang w:eastAsia="en-US"/>
        </w:rPr>
        <w:t xml:space="preserve">nově </w:t>
      </w:r>
      <w:r w:rsidR="0857346C">
        <w:rPr>
          <w:lang w:eastAsia="en-US"/>
        </w:rPr>
        <w:lastRenderedPageBreak/>
        <w:t>definoval</w:t>
      </w:r>
      <w:r w:rsidR="00427634" w:rsidRPr="00273106">
        <w:rPr>
          <w:lang w:eastAsia="en-US"/>
        </w:rPr>
        <w:t xml:space="preserve"> </w:t>
      </w:r>
      <w:r w:rsidR="0087292A" w:rsidRPr="00273106">
        <w:rPr>
          <w:lang w:eastAsia="en-US"/>
        </w:rPr>
        <w:t xml:space="preserve">statut </w:t>
      </w:r>
      <w:r w:rsidR="002E745F" w:rsidRPr="00273106">
        <w:rPr>
          <w:lang w:eastAsia="en-US"/>
        </w:rPr>
        <w:t>logického soudu (</w:t>
      </w:r>
      <w:r w:rsidR="00863709" w:rsidRPr="00273106">
        <w:rPr>
          <w:i/>
          <w:lang w:eastAsia="en-US"/>
        </w:rPr>
        <w:t>enuntiabile</w:t>
      </w:r>
      <w:r w:rsidR="002E745F" w:rsidRPr="00273106">
        <w:rPr>
          <w:lang w:eastAsia="en-US"/>
        </w:rPr>
        <w:t>)</w:t>
      </w:r>
      <w:r w:rsidR="00863709" w:rsidRPr="00273106">
        <w:rPr>
          <w:lang w:eastAsia="en-US"/>
        </w:rPr>
        <w:t>.</w:t>
      </w:r>
      <w:r w:rsidR="008A3479" w:rsidRPr="00273106">
        <w:rPr>
          <w:rStyle w:val="Znakapoznpodarou"/>
          <w:lang w:eastAsia="en-US"/>
        </w:rPr>
        <w:footnoteReference w:id="10"/>
      </w:r>
      <w:r w:rsidR="00863709" w:rsidRPr="00273106">
        <w:rPr>
          <w:lang w:eastAsia="en-US"/>
        </w:rPr>
        <w:t xml:space="preserve"> </w:t>
      </w:r>
      <w:r w:rsidR="00EF2158" w:rsidRPr="00273106">
        <w:rPr>
          <w:lang w:eastAsia="en-US"/>
        </w:rPr>
        <w:t>Bernard ze Chart</w:t>
      </w:r>
      <w:r w:rsidR="08C41DDC">
        <w:rPr>
          <w:lang w:eastAsia="en-US"/>
        </w:rPr>
        <w:t>r</w:t>
      </w:r>
      <w:r w:rsidR="00EF2158" w:rsidRPr="00273106">
        <w:rPr>
          <w:lang w:eastAsia="en-US"/>
        </w:rPr>
        <w:t>es</w:t>
      </w:r>
      <w:r w:rsidR="00084241">
        <w:rPr>
          <w:lang w:eastAsia="en-US"/>
        </w:rPr>
        <w:fldChar w:fldCharType="begin"/>
      </w:r>
      <w:r w:rsidR="00084241">
        <w:instrText xml:space="preserve"> XE "</w:instrText>
      </w:r>
      <w:r w:rsidR="087E3BF4">
        <w:rPr>
          <w:lang w:eastAsia="en-US"/>
        </w:rPr>
        <w:instrText xml:space="preserve">Bernard </w:instrText>
      </w:r>
      <w:r w:rsidR="082F0EAD">
        <w:rPr>
          <w:lang w:eastAsia="en-US"/>
        </w:rPr>
        <w:instrText xml:space="preserve">ze </w:instrText>
      </w:r>
      <w:r w:rsidR="00084241" w:rsidRPr="00A07141">
        <w:rPr>
          <w:lang w:eastAsia="en-US"/>
        </w:rPr>
        <w:instrText>Chart</w:instrText>
      </w:r>
      <w:r w:rsidR="0026017E">
        <w:rPr>
          <w:lang w:eastAsia="en-US"/>
        </w:rPr>
        <w:instrText>r</w:instrText>
      </w:r>
      <w:r w:rsidR="00084241" w:rsidRPr="00A07141">
        <w:rPr>
          <w:lang w:eastAsia="en-US"/>
        </w:rPr>
        <w:instrText>es</w:instrText>
      </w:r>
      <w:r w:rsidR="00084241">
        <w:instrText xml:space="preserve">" </w:instrText>
      </w:r>
      <w:r w:rsidR="00084241">
        <w:rPr>
          <w:lang w:eastAsia="en-US"/>
        </w:rPr>
        <w:fldChar w:fldCharType="end"/>
      </w:r>
      <w:r w:rsidR="00EF2158" w:rsidRPr="00273106">
        <w:rPr>
          <w:lang w:eastAsia="en-US"/>
        </w:rPr>
        <w:t xml:space="preserve"> (</w:t>
      </w:r>
      <w:r w:rsidR="00132DD6">
        <w:rPr>
          <w:lang w:eastAsia="en-US"/>
        </w:rPr>
        <w:t>†</w:t>
      </w:r>
      <w:r w:rsidR="00EF2158" w:rsidRPr="00273106">
        <w:rPr>
          <w:lang w:eastAsia="en-US"/>
        </w:rPr>
        <w:t xml:space="preserve">1124) kodifikoval rozdíl mezi Prisciánem a Aristotelem ve dvojím významu </w:t>
      </w:r>
      <w:r w:rsidR="0088530B">
        <w:rPr>
          <w:lang w:eastAsia="en-US"/>
        </w:rPr>
        <w:t>signifikace</w:t>
      </w:r>
      <w:r w:rsidR="0088530B" w:rsidRPr="00273106">
        <w:rPr>
          <w:lang w:eastAsia="en-US"/>
        </w:rPr>
        <w:t xml:space="preserve"> </w:t>
      </w:r>
      <w:r w:rsidR="0088530B">
        <w:rPr>
          <w:lang w:eastAsia="en-US"/>
        </w:rPr>
        <w:t>vztažené</w:t>
      </w:r>
      <w:r w:rsidR="00EF2158" w:rsidRPr="00273106">
        <w:rPr>
          <w:lang w:eastAsia="en-US"/>
        </w:rPr>
        <w:t xml:space="preserve"> k substanci (</w:t>
      </w:r>
      <w:r w:rsidR="00EF2158" w:rsidRPr="00273106">
        <w:rPr>
          <w:i/>
        </w:rPr>
        <w:t>significatio substantialis</w:t>
      </w:r>
      <w:r w:rsidR="0088530B">
        <w:rPr>
          <w:i/>
        </w:rPr>
        <w:fldChar w:fldCharType="begin"/>
      </w:r>
      <w:r w:rsidR="0088530B">
        <w:instrText xml:space="preserve"> XE "</w:instrText>
      </w:r>
      <w:r w:rsidR="0088530B" w:rsidRPr="006269B4">
        <w:rPr>
          <w:lang w:eastAsia="en-US"/>
        </w:rPr>
        <w:instrText>signifikace:</w:instrText>
      </w:r>
      <w:r w:rsidR="0088530B" w:rsidRPr="006269B4">
        <w:rPr>
          <w:i/>
        </w:rPr>
        <w:instrText>significatio substantialis</w:instrText>
      </w:r>
      <w:r w:rsidR="0088530B">
        <w:instrText xml:space="preserve">" </w:instrText>
      </w:r>
      <w:r w:rsidR="0088530B">
        <w:rPr>
          <w:i/>
        </w:rPr>
        <w:fldChar w:fldCharType="end"/>
      </w:r>
      <w:r w:rsidR="00EF2158" w:rsidRPr="00273106">
        <w:rPr>
          <w:lang w:eastAsia="en-US"/>
        </w:rPr>
        <w:t>) a k případku (</w:t>
      </w:r>
      <w:r w:rsidR="00EF2158" w:rsidRPr="00273106">
        <w:rPr>
          <w:i/>
        </w:rPr>
        <w:t>significatio accidentalis</w:t>
      </w:r>
      <w:r w:rsidR="00EF2158" w:rsidRPr="00273106">
        <w:rPr>
          <w:lang w:eastAsia="en-US"/>
        </w:rPr>
        <w:t xml:space="preserve">). </w:t>
      </w:r>
      <w:r w:rsidR="08C41DDC">
        <w:rPr>
          <w:lang w:eastAsia="en-US"/>
        </w:rPr>
        <w:t xml:space="preserve">Signifikace </w:t>
      </w:r>
      <w:r w:rsidR="08D85ACB">
        <w:rPr>
          <w:lang w:eastAsia="en-US"/>
        </w:rPr>
        <w:t xml:space="preserve">akcidentu </w:t>
      </w:r>
      <w:r w:rsidR="08C41DDC">
        <w:rPr>
          <w:lang w:eastAsia="en-US"/>
        </w:rPr>
        <w:t xml:space="preserve">dostala hypostázovaný status, který byl určený nezávisle na významu druhé substance. </w:t>
      </w:r>
      <w:r w:rsidR="00A40C77">
        <w:rPr>
          <w:lang w:eastAsia="en-US"/>
        </w:rPr>
        <w:t xml:space="preserve">Smíšením predikace dané mimo </w:t>
      </w:r>
      <w:r w:rsidR="005E7BD7">
        <w:rPr>
          <w:lang w:eastAsia="en-US"/>
        </w:rPr>
        <w:t>hyparch</w:t>
      </w:r>
      <w:r w:rsidR="00A40C77">
        <w:rPr>
          <w:lang w:eastAsia="en-US"/>
        </w:rPr>
        <w:t>ický</w:t>
      </w:r>
      <w:r w:rsidR="08C428AE">
        <w:rPr>
          <w:lang w:eastAsia="en-US"/>
        </w:rPr>
        <w:t xml:space="preserve"> </w:t>
      </w:r>
      <w:r w:rsidR="00A40C77">
        <w:rPr>
          <w:lang w:eastAsia="en-US"/>
        </w:rPr>
        <w:t>status p</w:t>
      </w:r>
      <w:r w:rsidR="08C428AE">
        <w:rPr>
          <w:lang w:eastAsia="en-US"/>
        </w:rPr>
        <w:t xml:space="preserve">rvní substanci začal nový </w:t>
      </w:r>
      <w:r w:rsidR="00EF2158" w:rsidRPr="00273106">
        <w:rPr>
          <w:lang w:eastAsia="en-US"/>
        </w:rPr>
        <w:t xml:space="preserve">spor o </w:t>
      </w:r>
      <w:r w:rsidR="08C428AE">
        <w:rPr>
          <w:lang w:eastAsia="en-US"/>
        </w:rPr>
        <w:t>status</w:t>
      </w:r>
      <w:r w:rsidR="000B1BEB" w:rsidRPr="00273106">
        <w:rPr>
          <w:lang w:eastAsia="en-US"/>
        </w:rPr>
        <w:t xml:space="preserve"> první a druhé substance</w:t>
      </w:r>
      <w:r w:rsidR="00A40C77">
        <w:rPr>
          <w:lang w:eastAsia="en-US"/>
        </w:rPr>
        <w:t xml:space="preserve">. Ten </w:t>
      </w:r>
      <w:r w:rsidR="000B1BEB" w:rsidRPr="00273106">
        <w:rPr>
          <w:lang w:eastAsia="en-US"/>
        </w:rPr>
        <w:t>nastínil</w:t>
      </w:r>
      <w:r w:rsidR="00852881">
        <w:rPr>
          <w:lang w:eastAsia="en-US"/>
        </w:rPr>
        <w:t xml:space="preserve">a úvodní část </w:t>
      </w:r>
      <w:r w:rsidR="008C2FF8">
        <w:rPr>
          <w:lang w:eastAsia="en-US"/>
        </w:rPr>
        <w:t xml:space="preserve">studie </w:t>
      </w:r>
      <w:r w:rsidR="000B1BEB" w:rsidRPr="00273106">
        <w:rPr>
          <w:lang w:eastAsia="en-US"/>
        </w:rPr>
        <w:t>popisující dvojí</w:t>
      </w:r>
      <w:r w:rsidR="00EF2158" w:rsidRPr="00273106">
        <w:rPr>
          <w:lang w:eastAsia="en-US"/>
        </w:rPr>
        <w:t xml:space="preserve"> určení substance</w:t>
      </w:r>
      <w:r w:rsidR="008C2FF8">
        <w:rPr>
          <w:lang w:eastAsia="en-US"/>
        </w:rPr>
        <w:t xml:space="preserve"> v </w:t>
      </w:r>
      <w:r w:rsidR="008C2FF8" w:rsidRPr="008C2FF8">
        <w:rPr>
          <w:i/>
          <w:lang w:eastAsia="en-US"/>
        </w:rPr>
        <w:t>Isagoge</w:t>
      </w:r>
      <w:r w:rsidR="00EF2158" w:rsidRPr="00273106">
        <w:rPr>
          <w:lang w:eastAsia="en-US"/>
        </w:rPr>
        <w:t>.</w:t>
      </w:r>
      <w:r w:rsidR="008A7292" w:rsidRPr="00273106">
        <w:rPr>
          <w:lang w:eastAsia="en-US"/>
        </w:rPr>
        <w:t xml:space="preserve"> </w:t>
      </w:r>
      <w:r w:rsidR="00F82C98">
        <w:rPr>
          <w:lang w:eastAsia="en-US"/>
        </w:rPr>
        <w:t>Signifikace neoplato</w:t>
      </w:r>
      <w:r w:rsidR="000C0765">
        <w:rPr>
          <w:lang w:eastAsia="en-US"/>
        </w:rPr>
        <w:t>nských gramatiků nahradila kategoriální vztah mezi první a druhou substancí</w:t>
      </w:r>
      <w:r w:rsidR="08AC69A8">
        <w:rPr>
          <w:lang w:eastAsia="en-US"/>
        </w:rPr>
        <w:t xml:space="preserve"> tím, že hypo</w:t>
      </w:r>
      <w:r w:rsidR="08D85ACB">
        <w:rPr>
          <w:lang w:eastAsia="en-US"/>
        </w:rPr>
        <w:t>s</w:t>
      </w:r>
      <w:r w:rsidR="08AC69A8">
        <w:rPr>
          <w:lang w:eastAsia="en-US"/>
        </w:rPr>
        <w:t xml:space="preserve">tázovala </w:t>
      </w:r>
      <w:r w:rsidR="00D12167">
        <w:t xml:space="preserve">znak jako takový, a to </w:t>
      </w:r>
      <w:r w:rsidR="08BC44ED">
        <w:t xml:space="preserve">podle výše uvedené </w:t>
      </w:r>
      <w:r w:rsidR="08AC69A8">
        <w:t>Boethiov</w:t>
      </w:r>
      <w:r w:rsidR="08BC44ED">
        <w:t>y definice (</w:t>
      </w:r>
      <w:r w:rsidR="08AC69A8" w:rsidRPr="00273106">
        <w:rPr>
          <w:i/>
        </w:rPr>
        <w:t>per se ipsam significans</w:t>
      </w:r>
      <w:r w:rsidR="08BC44ED">
        <w:t>)</w:t>
      </w:r>
      <w:r w:rsidR="08AC69A8">
        <w:t>.</w:t>
      </w:r>
    </w:p>
    <w:p w14:paraId="4D704C5E" w14:textId="6C09EE57" w:rsidR="00505B3A" w:rsidRPr="0857346C" w:rsidRDefault="008A7292" w:rsidP="009A1E79">
      <w:pPr>
        <w:ind w:firstLine="397"/>
        <w:rPr>
          <w:lang w:eastAsia="en-US"/>
        </w:rPr>
      </w:pPr>
      <w:r w:rsidRPr="00273106">
        <w:t>První změnu směrem k nominali</w:t>
      </w:r>
      <w:r w:rsidR="00643023" w:rsidRPr="00273106">
        <w:t>s</w:t>
      </w:r>
      <w:r w:rsidRPr="00273106">
        <w:t>tickému pojetí Prisciánovy defini</w:t>
      </w:r>
      <w:r w:rsidR="00643023" w:rsidRPr="00273106">
        <w:t xml:space="preserve">ce </w:t>
      </w:r>
      <w:r w:rsidRPr="00273106">
        <w:t xml:space="preserve">obsahuje anonymní komentář k </w:t>
      </w:r>
      <w:r w:rsidRPr="00273106">
        <w:rPr>
          <w:i/>
        </w:rPr>
        <w:t>Institutiones</w:t>
      </w:r>
      <w:r w:rsidRPr="00273106">
        <w:t xml:space="preserve"> </w:t>
      </w:r>
      <w:r w:rsidR="003E172F" w:rsidRPr="00273106">
        <w:t>psaný na kon</w:t>
      </w:r>
      <w:r w:rsidRPr="00273106">
        <w:t>c</w:t>
      </w:r>
      <w:r w:rsidR="003E172F" w:rsidRPr="00273106">
        <w:t>i</w:t>
      </w:r>
      <w:r w:rsidRPr="00273106">
        <w:t xml:space="preserve"> 11. stol</w:t>
      </w:r>
      <w:r w:rsidR="003E172F" w:rsidRPr="00273106">
        <w:t>etí</w:t>
      </w:r>
      <w:r w:rsidR="00044F10" w:rsidRPr="00273106">
        <w:t xml:space="preserve"> pod názvem </w:t>
      </w:r>
      <w:r w:rsidR="00044F10" w:rsidRPr="00273106">
        <w:rPr>
          <w:i/>
        </w:rPr>
        <w:t>Glosulae</w:t>
      </w:r>
      <w:r w:rsidRPr="00273106">
        <w:t xml:space="preserve">. Autor vědomě rozšiřuje pojetí substance mimo Aristotelovy kategorie a mimo Prisciánovu definici </w:t>
      </w:r>
      <w:r w:rsidR="000578EF" w:rsidRPr="00273106">
        <w:t xml:space="preserve">díky novému pojetí </w:t>
      </w:r>
      <w:r w:rsidR="000578EF" w:rsidRPr="00273106">
        <w:rPr>
          <w:i/>
        </w:rPr>
        <w:t>quantitas</w:t>
      </w:r>
      <w:r w:rsidR="000578EF" w:rsidRPr="00273106">
        <w:t xml:space="preserve"> </w:t>
      </w:r>
      <w:r w:rsidR="006622C7" w:rsidRPr="00273106">
        <w:rPr>
          <w:szCs w:val="21"/>
        </w:rPr>
        <w:t xml:space="preserve">(Mews 1992). </w:t>
      </w:r>
      <w:r w:rsidR="00041BAA" w:rsidRPr="00273106">
        <w:rPr>
          <w:lang w:eastAsia="en-US"/>
        </w:rPr>
        <w:t>Proměna akcidentů směrem k novým formám jsoucna třetího druhu ukazuje podobný vývoj jako v příp</w:t>
      </w:r>
      <w:r w:rsidR="00680EB5">
        <w:rPr>
          <w:lang w:eastAsia="en-US"/>
        </w:rPr>
        <w:t>adě Avicennova univočního status</w:t>
      </w:r>
      <w:r w:rsidR="00041BAA" w:rsidRPr="00273106">
        <w:rPr>
          <w:lang w:eastAsia="en-US"/>
        </w:rPr>
        <w:t xml:space="preserve">u rodu, který </w:t>
      </w:r>
      <w:r w:rsidR="00A40C77">
        <w:rPr>
          <w:lang w:eastAsia="en-US"/>
        </w:rPr>
        <w:t xml:space="preserve">se stal </w:t>
      </w:r>
      <w:r w:rsidR="0015145D">
        <w:rPr>
          <w:lang w:eastAsia="en-US"/>
        </w:rPr>
        <w:t xml:space="preserve">dokonce </w:t>
      </w:r>
      <w:r w:rsidR="00041BAA" w:rsidRPr="00273106">
        <w:rPr>
          <w:lang w:eastAsia="en-US"/>
        </w:rPr>
        <w:t>nadřaz</w:t>
      </w:r>
      <w:r w:rsidR="000F19C8">
        <w:rPr>
          <w:lang w:eastAsia="en-US"/>
        </w:rPr>
        <w:t>ený první substanci</w:t>
      </w:r>
      <w:r w:rsidR="08E97118">
        <w:rPr>
          <w:lang w:eastAsia="en-US"/>
        </w:rPr>
        <w:t xml:space="preserve"> (OBJ I, kap.</w:t>
      </w:r>
      <w:r w:rsidR="08243A5C">
        <w:rPr>
          <w:lang w:eastAsia="en-US"/>
        </w:rPr>
        <w:t xml:space="preserve"> 2.3.2</w:t>
      </w:r>
      <w:r w:rsidR="08E97118">
        <w:rPr>
          <w:lang w:eastAsia="en-US"/>
        </w:rPr>
        <w:t>)</w:t>
      </w:r>
      <w:r w:rsidR="00041BAA" w:rsidRPr="00273106">
        <w:rPr>
          <w:lang w:eastAsia="en-US"/>
        </w:rPr>
        <w:t xml:space="preserve">. </w:t>
      </w:r>
      <w:r w:rsidR="00303A03" w:rsidRPr="00273106">
        <w:rPr>
          <w:szCs w:val="21"/>
        </w:rPr>
        <w:t>Klasický příklad a</w:t>
      </w:r>
      <w:r w:rsidR="00254B93" w:rsidRPr="00273106">
        <w:rPr>
          <w:szCs w:val="21"/>
        </w:rPr>
        <w:t>kcidentální</w:t>
      </w:r>
      <w:r w:rsidR="00303A03" w:rsidRPr="00273106">
        <w:rPr>
          <w:szCs w:val="21"/>
        </w:rPr>
        <w:t>ho</w:t>
      </w:r>
      <w:r w:rsidR="00254B93" w:rsidRPr="00273106">
        <w:rPr>
          <w:szCs w:val="21"/>
        </w:rPr>
        <w:t xml:space="preserve"> určení kvantity </w:t>
      </w:r>
      <w:r w:rsidR="007041BE">
        <w:rPr>
          <w:szCs w:val="21"/>
        </w:rPr>
        <w:t>podá</w:t>
      </w:r>
      <w:r w:rsidR="00303A03" w:rsidRPr="00273106">
        <w:rPr>
          <w:szCs w:val="21"/>
        </w:rPr>
        <w:t xml:space="preserve">vají </w:t>
      </w:r>
      <w:r w:rsidR="00303A03" w:rsidRPr="007041BE">
        <w:rPr>
          <w:i/>
        </w:rPr>
        <w:t>Kategorie</w:t>
      </w:r>
      <w:r w:rsidR="00303A03" w:rsidRPr="00273106">
        <w:t>, kde je primární určení běloby</w:t>
      </w:r>
      <w:r w:rsidR="00086BC3" w:rsidRPr="00273106">
        <w:t xml:space="preserve"> vztažené ke druhé </w:t>
      </w:r>
      <w:r w:rsidR="006622C7" w:rsidRPr="00273106">
        <w:t>substanci (</w:t>
      </w:r>
      <w:r w:rsidR="00086BC3" w:rsidRPr="00273106">
        <w:rPr>
          <w:i/>
        </w:rPr>
        <w:t xml:space="preserve">Cat. </w:t>
      </w:r>
      <w:r w:rsidR="00086BC3" w:rsidRPr="00273106">
        <w:t>3b19</w:t>
      </w:r>
      <w:r w:rsidR="007041BE">
        <w:fldChar w:fldCharType="begin"/>
      </w:r>
      <w:r w:rsidR="007041BE">
        <w:instrText xml:space="preserve"> XE "</w:instrText>
      </w:r>
      <w:r w:rsidR="008E02F5">
        <w:instrText>Aristoteles</w:instrText>
      </w:r>
      <w:r w:rsidR="007041BE">
        <w:instrText>:</w:instrText>
      </w:r>
      <w:r w:rsidR="007041BE" w:rsidRPr="001C10C0">
        <w:rPr>
          <w:i/>
        </w:rPr>
        <w:instrText xml:space="preserve">Cat. </w:instrText>
      </w:r>
      <w:r w:rsidR="007041BE" w:rsidRPr="001C10C0">
        <w:instrText>3b19</w:instrText>
      </w:r>
      <w:r w:rsidR="007041BE">
        <w:instrText xml:space="preserve">" </w:instrText>
      </w:r>
      <w:r w:rsidR="007041BE">
        <w:fldChar w:fldCharType="end"/>
      </w:r>
      <w:r w:rsidR="006622C7" w:rsidRPr="00273106">
        <w:t xml:space="preserve">). </w:t>
      </w:r>
      <w:r w:rsidR="00EC0179">
        <w:t xml:space="preserve">Citovaný </w:t>
      </w:r>
      <w:r w:rsidR="006622C7" w:rsidRPr="00273106">
        <w:t xml:space="preserve">Boethiův komentář </w:t>
      </w:r>
      <w:r w:rsidR="00F042D8" w:rsidRPr="00273106">
        <w:t xml:space="preserve">ke </w:t>
      </w:r>
      <w:r w:rsidR="00F042D8" w:rsidRPr="002A0479">
        <w:rPr>
          <w:i/>
        </w:rPr>
        <w:t>Kategoriím</w:t>
      </w:r>
      <w:r w:rsidR="00F042D8" w:rsidRPr="00273106">
        <w:t xml:space="preserve"> </w:t>
      </w:r>
      <w:r w:rsidR="006622C7" w:rsidRPr="00273106">
        <w:t xml:space="preserve">již přidává </w:t>
      </w:r>
      <w:r w:rsidR="00FB4A76" w:rsidRPr="00273106">
        <w:t xml:space="preserve">k aktuálnímu a </w:t>
      </w:r>
      <w:r w:rsidR="004E44FF" w:rsidRPr="00273106">
        <w:t xml:space="preserve">ke </w:t>
      </w:r>
      <w:r w:rsidR="006622C7" w:rsidRPr="00273106">
        <w:t>kategoriálnímu určení běloby (</w:t>
      </w:r>
      <w:r w:rsidR="00FB4A76" w:rsidRPr="00273106">
        <w:rPr>
          <w:i/>
        </w:rPr>
        <w:t>determinatio circa substantiam qualitatis</w:t>
      </w:r>
      <w:r w:rsidR="006622C7" w:rsidRPr="00273106">
        <w:t>) i nové určení pojaté absolutně (</w:t>
      </w:r>
      <w:r w:rsidR="006622C7" w:rsidRPr="00273106">
        <w:rPr>
          <w:i/>
        </w:rPr>
        <w:t>qualitas per se</w:t>
      </w:r>
      <w:r w:rsidR="006622C7" w:rsidRPr="00273106">
        <w:t>)</w:t>
      </w:r>
      <w:r w:rsidR="004E44FF" w:rsidRPr="00273106">
        <w:t>.</w:t>
      </w:r>
      <w:r w:rsidR="00F57659" w:rsidRPr="00273106">
        <w:rPr>
          <w:rStyle w:val="Znakapoznpodarou"/>
        </w:rPr>
        <w:footnoteReference w:id="11"/>
      </w:r>
      <w:r w:rsidR="004E44FF" w:rsidRPr="00273106">
        <w:t xml:space="preserve"> Toto nové určení běloby dané </w:t>
      </w:r>
      <w:r w:rsidR="004E44FF" w:rsidRPr="00273106">
        <w:rPr>
          <w:i/>
        </w:rPr>
        <w:t>per se</w:t>
      </w:r>
      <w:r w:rsidR="004E44FF" w:rsidRPr="00273106">
        <w:t xml:space="preserve"> </w:t>
      </w:r>
      <w:r w:rsidR="00F042D8" w:rsidRPr="00273106">
        <w:t xml:space="preserve">Boethius </w:t>
      </w:r>
      <w:r w:rsidR="00B86712" w:rsidRPr="00273106">
        <w:t>vědomě vyloučil z</w:t>
      </w:r>
      <w:r w:rsidR="00432EAB" w:rsidRPr="00273106">
        <w:t>e</w:t>
      </w:r>
      <w:r w:rsidR="00B86712" w:rsidRPr="00273106">
        <w:t xml:space="preserve"> substance dané</w:t>
      </w:r>
      <w:r w:rsidR="00FB4A76" w:rsidRPr="00273106">
        <w:t xml:space="preserve"> j</w:t>
      </w:r>
      <w:r w:rsidR="00432EAB" w:rsidRPr="00273106">
        <w:t xml:space="preserve">ak </w:t>
      </w:r>
      <w:r w:rsidR="08516671" w:rsidRPr="00273106">
        <w:t>individuálně, tak i kategoriálně</w:t>
      </w:r>
      <w:r w:rsidR="006622C7" w:rsidRPr="00273106">
        <w:t>.</w:t>
      </w:r>
      <w:r w:rsidR="00333F58" w:rsidRPr="00273106">
        <w:t xml:space="preserve"> P</w:t>
      </w:r>
      <w:r w:rsidR="00227146" w:rsidRPr="00273106">
        <w:t xml:space="preserve">ro Boethia </w:t>
      </w:r>
      <w:r w:rsidR="00333F58" w:rsidRPr="00273106">
        <w:t xml:space="preserve">toto </w:t>
      </w:r>
      <w:r w:rsidR="00227146" w:rsidRPr="00273106">
        <w:t xml:space="preserve">verbální </w:t>
      </w:r>
      <w:r w:rsidR="006622C7" w:rsidRPr="00273106">
        <w:t xml:space="preserve">určení kvality </w:t>
      </w:r>
      <w:r w:rsidR="00303A03" w:rsidRPr="00273106">
        <w:t xml:space="preserve">dané </w:t>
      </w:r>
      <w:r w:rsidR="00303A03" w:rsidRPr="00273106">
        <w:rPr>
          <w:i/>
        </w:rPr>
        <w:t>per se</w:t>
      </w:r>
      <w:r w:rsidR="00303A03" w:rsidRPr="00273106">
        <w:t xml:space="preserve"> </w:t>
      </w:r>
      <w:r w:rsidR="00333F58" w:rsidRPr="00273106">
        <w:t>nehrálo žádnou velkou roli</w:t>
      </w:r>
      <w:r w:rsidR="08E72A01" w:rsidRPr="00273106">
        <w:t>. S</w:t>
      </w:r>
      <w:r w:rsidR="00303A03" w:rsidRPr="00273106">
        <w:t xml:space="preserve">ystém </w:t>
      </w:r>
      <w:r w:rsidR="08E72A01" w:rsidRPr="00273106">
        <w:t xml:space="preserve">kategoriální </w:t>
      </w:r>
      <w:r w:rsidR="00303A03" w:rsidRPr="00273106">
        <w:t xml:space="preserve">predikace </w:t>
      </w:r>
      <w:r w:rsidR="00303A03" w:rsidRPr="00273106">
        <w:rPr>
          <w:i/>
        </w:rPr>
        <w:t>per prius</w:t>
      </w:r>
      <w:r w:rsidR="00303A03" w:rsidRPr="00273106">
        <w:t xml:space="preserve"> a </w:t>
      </w:r>
      <w:r w:rsidR="00303A03" w:rsidRPr="00273106">
        <w:rPr>
          <w:i/>
        </w:rPr>
        <w:t>per posterius</w:t>
      </w:r>
      <w:r w:rsidR="00303A03" w:rsidRPr="00273106">
        <w:t xml:space="preserve"> měl </w:t>
      </w:r>
      <w:r w:rsidR="00DF17F0">
        <w:t xml:space="preserve">daný </w:t>
      </w:r>
      <w:r w:rsidR="00303A03" w:rsidRPr="00273106">
        <w:t xml:space="preserve">podle </w:t>
      </w:r>
      <w:r w:rsidR="00303A03" w:rsidRPr="007372FD">
        <w:rPr>
          <w:i/>
        </w:rPr>
        <w:t>Kategorií</w:t>
      </w:r>
      <w:r w:rsidR="084E7952">
        <w:t xml:space="preserve"> (</w:t>
      </w:r>
      <w:r w:rsidR="08FB0359">
        <w:t xml:space="preserve">OBJ I, </w:t>
      </w:r>
      <w:r w:rsidR="084E7952">
        <w:t>kap. 1.3</w:t>
      </w:r>
      <w:r w:rsidR="00303A03" w:rsidRPr="00273106">
        <w:t>)</w:t>
      </w:r>
      <w:r w:rsidR="084E7903">
        <w:t xml:space="preserve"> a n</w:t>
      </w:r>
      <w:r w:rsidR="0811171A" w:rsidRPr="00273106">
        <w:t>e</w:t>
      </w:r>
      <w:r w:rsidR="084E7903">
        <w:t>připustil</w:t>
      </w:r>
      <w:r w:rsidR="0811171A" w:rsidRPr="00273106">
        <w:t xml:space="preserve"> </w:t>
      </w:r>
      <w:r w:rsidR="08E72A01" w:rsidRPr="00273106">
        <w:t>žádné urče</w:t>
      </w:r>
      <w:r w:rsidR="0811171A" w:rsidRPr="00273106">
        <w:t>ní jsoucna</w:t>
      </w:r>
      <w:r w:rsidR="084E7903" w:rsidRPr="084E7903">
        <w:t xml:space="preserve"> </w:t>
      </w:r>
      <w:r w:rsidR="084E7903" w:rsidRPr="00273106">
        <w:t>třetí</w:t>
      </w:r>
      <w:r w:rsidR="084E7903">
        <w:t>ho druhu</w:t>
      </w:r>
      <w:r w:rsidR="00832E0A" w:rsidRPr="00273106">
        <w:t>. A</w:t>
      </w:r>
      <w:r w:rsidR="00333F58" w:rsidRPr="00273106">
        <w:t xml:space="preserve">le </w:t>
      </w:r>
      <w:r w:rsidR="00985E6F" w:rsidRPr="00273106">
        <w:t>jím zavedená nominace pro kategorii kvantity daná</w:t>
      </w:r>
      <w:r w:rsidR="00333F58" w:rsidRPr="00273106">
        <w:t xml:space="preserve"> </w:t>
      </w:r>
      <w:r w:rsidR="00333F58" w:rsidRPr="00273106">
        <w:rPr>
          <w:i/>
        </w:rPr>
        <w:t>simpliciter</w:t>
      </w:r>
      <w:r w:rsidR="00333F58" w:rsidRPr="00273106">
        <w:t xml:space="preserve"> </w:t>
      </w:r>
      <w:r w:rsidR="006622C7" w:rsidRPr="00273106">
        <w:t>bude mít velkou budoucnost</w:t>
      </w:r>
      <w:r w:rsidR="00FB4A76" w:rsidRPr="00273106">
        <w:t xml:space="preserve"> v pozdějších školách</w:t>
      </w:r>
      <w:r w:rsidR="00B86712" w:rsidRPr="00273106">
        <w:t xml:space="preserve"> </w:t>
      </w:r>
      <w:r w:rsidR="00333F58" w:rsidRPr="00273106">
        <w:rPr>
          <w:i/>
        </w:rPr>
        <w:t>Nominales</w:t>
      </w:r>
      <w:r w:rsidR="006622C7" w:rsidRPr="00273106">
        <w:t>.</w:t>
      </w:r>
      <w:r w:rsidR="006F1A96" w:rsidRPr="00273106">
        <w:t xml:space="preserve"> </w:t>
      </w:r>
      <w:r w:rsidR="00512181" w:rsidRPr="00273106">
        <w:rPr>
          <w:lang w:eastAsia="en-US"/>
        </w:rPr>
        <w:t xml:space="preserve">Novou </w:t>
      </w:r>
      <w:r w:rsidR="000F1E84" w:rsidRPr="00273106">
        <w:rPr>
          <w:lang w:eastAsia="en-US"/>
        </w:rPr>
        <w:t xml:space="preserve">diferenciaci </w:t>
      </w:r>
      <w:r w:rsidR="00E90737" w:rsidRPr="00273106">
        <w:rPr>
          <w:lang w:eastAsia="en-US"/>
        </w:rPr>
        <w:t xml:space="preserve">gramatického </w:t>
      </w:r>
      <w:r w:rsidR="000F1E84" w:rsidRPr="00273106">
        <w:rPr>
          <w:lang w:eastAsia="en-US"/>
        </w:rPr>
        <w:t xml:space="preserve">významu </w:t>
      </w:r>
      <w:r w:rsidR="00863709" w:rsidRPr="00273106">
        <w:rPr>
          <w:lang w:eastAsia="en-US"/>
        </w:rPr>
        <w:t xml:space="preserve">ukazuje komentář </w:t>
      </w:r>
      <w:r w:rsidR="00C4251E" w:rsidRPr="00273106">
        <w:rPr>
          <w:lang w:eastAsia="en-US"/>
        </w:rPr>
        <w:t xml:space="preserve">k Prisciánově Gramatice </w:t>
      </w:r>
      <w:r w:rsidR="00863709" w:rsidRPr="00273106">
        <w:rPr>
          <w:lang w:eastAsia="en-US"/>
        </w:rPr>
        <w:t xml:space="preserve">zvaný </w:t>
      </w:r>
      <w:r w:rsidR="00863709" w:rsidRPr="00273106">
        <w:rPr>
          <w:i/>
          <w:lang w:eastAsia="en-US"/>
        </w:rPr>
        <w:t>Notae Du</w:t>
      </w:r>
      <w:r w:rsidR="002637B7" w:rsidRPr="00273106">
        <w:rPr>
          <w:i/>
          <w:lang w:eastAsia="en-US"/>
        </w:rPr>
        <w:t>nelmen</w:t>
      </w:r>
      <w:r w:rsidR="00863709" w:rsidRPr="00273106">
        <w:rPr>
          <w:i/>
          <w:lang w:eastAsia="en-US"/>
        </w:rPr>
        <w:t>ses</w:t>
      </w:r>
      <w:r w:rsidR="00BB4F08" w:rsidRPr="00273106">
        <w:rPr>
          <w:lang w:eastAsia="en-US"/>
        </w:rPr>
        <w:t>. A</w:t>
      </w:r>
      <w:r w:rsidR="00863709" w:rsidRPr="00273106">
        <w:rPr>
          <w:lang w:eastAsia="en-US"/>
        </w:rPr>
        <w:t xml:space="preserve">utor </w:t>
      </w:r>
      <w:r w:rsidR="00A95415" w:rsidRPr="00273106">
        <w:rPr>
          <w:lang w:eastAsia="en-US"/>
        </w:rPr>
        <w:t>(</w:t>
      </w:r>
      <w:r w:rsidR="00B10596" w:rsidRPr="00273106">
        <w:rPr>
          <w:lang w:eastAsia="en-US"/>
        </w:rPr>
        <w:t xml:space="preserve">snad William </w:t>
      </w:r>
      <w:r w:rsidR="00084241">
        <w:rPr>
          <w:lang w:eastAsia="en-US"/>
        </w:rPr>
        <w:t xml:space="preserve">ze </w:t>
      </w:r>
      <w:r w:rsidR="00B10596" w:rsidRPr="00273106">
        <w:rPr>
          <w:lang w:eastAsia="en-US"/>
        </w:rPr>
        <w:t>Champaux</w:t>
      </w:r>
      <w:r w:rsidR="00084241">
        <w:rPr>
          <w:lang w:eastAsia="en-US"/>
        </w:rPr>
        <w:fldChar w:fldCharType="begin"/>
      </w:r>
      <w:r w:rsidR="00084241">
        <w:instrText xml:space="preserve"> XE "</w:instrText>
      </w:r>
      <w:r w:rsidR="087E3BF4">
        <w:rPr>
          <w:lang w:eastAsia="en-US"/>
        </w:rPr>
        <w:instrText>William de</w:instrText>
      </w:r>
      <w:r w:rsidR="00084241" w:rsidRPr="00BE0082">
        <w:rPr>
          <w:lang w:eastAsia="en-US"/>
        </w:rPr>
        <w:instrText xml:space="preserve"> </w:instrText>
      </w:r>
      <w:r w:rsidR="00084241" w:rsidRPr="00BE0082">
        <w:rPr>
          <w:lang w:eastAsia="en-US"/>
        </w:rPr>
        <w:lastRenderedPageBreak/>
        <w:instrText>Champaux</w:instrText>
      </w:r>
      <w:r w:rsidR="00084241">
        <w:instrText xml:space="preserve">" </w:instrText>
      </w:r>
      <w:r w:rsidR="00084241">
        <w:rPr>
          <w:lang w:eastAsia="en-US"/>
        </w:rPr>
        <w:fldChar w:fldCharType="end"/>
      </w:r>
      <w:r w:rsidR="00B10596" w:rsidRPr="00273106">
        <w:rPr>
          <w:lang w:eastAsia="en-US"/>
        </w:rPr>
        <w:t xml:space="preserve">, </w:t>
      </w:r>
      <w:r w:rsidR="006E68E0" w:rsidRPr="00273106">
        <w:rPr>
          <w:lang w:eastAsia="en-US"/>
        </w:rPr>
        <w:t>†</w:t>
      </w:r>
      <w:r w:rsidR="00A95415" w:rsidRPr="00273106">
        <w:rPr>
          <w:lang w:eastAsia="en-US"/>
        </w:rPr>
        <w:t xml:space="preserve">1121) </w:t>
      </w:r>
      <w:r w:rsidR="00863709" w:rsidRPr="00273106">
        <w:rPr>
          <w:lang w:eastAsia="en-US"/>
        </w:rPr>
        <w:t xml:space="preserve">vidí rozpor mezi Prisciánovým důrazem na etymologii a Aristotelovým důrazem na </w:t>
      </w:r>
      <w:r w:rsidR="084F6929" w:rsidRPr="00273106">
        <w:rPr>
          <w:lang w:eastAsia="en-US"/>
        </w:rPr>
        <w:t xml:space="preserve">kategoriální </w:t>
      </w:r>
      <w:r w:rsidR="002637B7" w:rsidRPr="00273106">
        <w:rPr>
          <w:lang w:eastAsia="en-US"/>
        </w:rPr>
        <w:t>vazbu mezi jménem a realitou.</w:t>
      </w:r>
      <w:r w:rsidR="002637B7" w:rsidRPr="00273106">
        <w:rPr>
          <w:rStyle w:val="Znakapoznpodarou"/>
          <w:lang w:eastAsia="en-US"/>
        </w:rPr>
        <w:footnoteReference w:id="12"/>
      </w:r>
      <w:r w:rsidR="00424CFE" w:rsidRPr="00273106">
        <w:rPr>
          <w:lang w:eastAsia="en-US"/>
        </w:rPr>
        <w:t xml:space="preserve"> </w:t>
      </w:r>
      <w:r w:rsidR="00487E18" w:rsidRPr="00273106">
        <w:rPr>
          <w:lang w:eastAsia="en-US"/>
        </w:rPr>
        <w:t xml:space="preserve">Autor vnesl do aktu denominace </w:t>
      </w:r>
      <w:r w:rsidR="009470AF" w:rsidRPr="00273106">
        <w:rPr>
          <w:lang w:eastAsia="en-US"/>
        </w:rPr>
        <w:t xml:space="preserve">skrytý </w:t>
      </w:r>
      <w:r w:rsidR="00487E18" w:rsidRPr="00273106">
        <w:rPr>
          <w:lang w:eastAsia="en-US"/>
        </w:rPr>
        <w:t>vylučovací význam, kter</w:t>
      </w:r>
      <w:r w:rsidR="009470AF" w:rsidRPr="00273106">
        <w:rPr>
          <w:lang w:eastAsia="en-US"/>
        </w:rPr>
        <w:t>ý tam předtím neexistoval. V</w:t>
      </w:r>
      <w:r w:rsidR="00487E18" w:rsidRPr="00273106">
        <w:rPr>
          <w:lang w:eastAsia="en-US"/>
        </w:rPr>
        <w:t xml:space="preserve">ýznam vzniká </w:t>
      </w:r>
      <w:r w:rsidR="08415694">
        <w:rPr>
          <w:lang w:eastAsia="en-US"/>
        </w:rPr>
        <w:t>jinak</w:t>
      </w:r>
      <w:r w:rsidR="009470AF" w:rsidRPr="00273106">
        <w:rPr>
          <w:lang w:eastAsia="en-US"/>
        </w:rPr>
        <w:t xml:space="preserve"> (</w:t>
      </w:r>
      <w:r w:rsidR="009470AF" w:rsidRPr="00273106">
        <w:rPr>
          <w:i/>
          <w:lang w:eastAsia="en-US"/>
        </w:rPr>
        <w:t>aliter</w:t>
      </w:r>
      <w:r w:rsidR="08415694">
        <w:rPr>
          <w:lang w:eastAsia="en-US"/>
        </w:rPr>
        <w:t>) gramaticky a jinak</w:t>
      </w:r>
      <w:r w:rsidR="009470AF" w:rsidRPr="00273106">
        <w:rPr>
          <w:lang w:eastAsia="en-US"/>
        </w:rPr>
        <w:t xml:space="preserve"> (</w:t>
      </w:r>
      <w:r w:rsidR="009470AF" w:rsidRPr="00273106">
        <w:rPr>
          <w:i/>
          <w:lang w:eastAsia="en-US"/>
        </w:rPr>
        <w:t>aliter</w:t>
      </w:r>
      <w:r w:rsidR="009470AF" w:rsidRPr="00273106">
        <w:rPr>
          <w:lang w:eastAsia="en-US"/>
        </w:rPr>
        <w:t xml:space="preserve">) v rámci vztahu k realitě. </w:t>
      </w:r>
      <w:r w:rsidR="007372FD">
        <w:rPr>
          <w:lang w:eastAsia="en-US"/>
        </w:rPr>
        <w:t xml:space="preserve">Tím se oddělila signifikace substance od její hyparchické funkce dané vztahem k realitě a kategorie substance dostala autonomní význam. </w:t>
      </w:r>
      <w:r w:rsidR="00487E18" w:rsidRPr="00273106">
        <w:rPr>
          <w:lang w:eastAsia="en-US"/>
        </w:rPr>
        <w:t xml:space="preserve">Tímto dilematem začíná další vývoj </w:t>
      </w:r>
      <w:r w:rsidR="00BD300A">
        <w:rPr>
          <w:lang w:eastAsia="en-US"/>
        </w:rPr>
        <w:t>metafyziky</w:t>
      </w:r>
      <w:r w:rsidR="00FF69C1" w:rsidRPr="00273106">
        <w:rPr>
          <w:lang w:eastAsia="en-US"/>
        </w:rPr>
        <w:t xml:space="preserve">, který </w:t>
      </w:r>
      <w:r w:rsidR="00BD300A">
        <w:rPr>
          <w:lang w:eastAsia="en-US"/>
        </w:rPr>
        <w:t>sleduje výklad</w:t>
      </w:r>
      <w:r w:rsidR="007372FD">
        <w:rPr>
          <w:lang w:eastAsia="en-US"/>
        </w:rPr>
        <w:t xml:space="preserve"> </w:t>
      </w:r>
      <w:r w:rsidR="007372FD" w:rsidRPr="00F82C98">
        <w:rPr>
          <w:i/>
          <w:lang w:eastAsia="en-US"/>
        </w:rPr>
        <w:t>Isagoge</w:t>
      </w:r>
      <w:r w:rsidR="00FF69C1" w:rsidRPr="00273106">
        <w:rPr>
          <w:lang w:eastAsia="en-US"/>
        </w:rPr>
        <w:t xml:space="preserve"> </w:t>
      </w:r>
      <w:r w:rsidR="00696C45" w:rsidRPr="00273106">
        <w:rPr>
          <w:lang w:eastAsia="en-US"/>
        </w:rPr>
        <w:t xml:space="preserve">podle </w:t>
      </w:r>
      <w:r w:rsidR="00FF69C1" w:rsidRPr="00273106">
        <w:rPr>
          <w:lang w:eastAsia="en-US"/>
        </w:rPr>
        <w:t>Avicenny</w:t>
      </w:r>
      <w:r w:rsidR="00BD300A">
        <w:rPr>
          <w:lang w:eastAsia="en-US"/>
        </w:rPr>
        <w:t xml:space="preserve">. Tuto cestu zásadně </w:t>
      </w:r>
      <w:r w:rsidR="007372FD">
        <w:rPr>
          <w:lang w:eastAsia="en-US"/>
        </w:rPr>
        <w:t>odmítl Averroe</w:t>
      </w:r>
      <w:r w:rsidR="006B67FE" w:rsidRPr="00273106">
        <w:rPr>
          <w:lang w:eastAsia="en-US"/>
        </w:rPr>
        <w:t>s</w:t>
      </w:r>
      <w:r w:rsidR="003B78A8" w:rsidRPr="00273106">
        <w:rPr>
          <w:lang w:eastAsia="en-US"/>
        </w:rPr>
        <w:t xml:space="preserve">. </w:t>
      </w:r>
      <w:r w:rsidR="00424413">
        <w:rPr>
          <w:lang w:eastAsia="en-US"/>
        </w:rPr>
        <w:t xml:space="preserve">Latinský Západ </w:t>
      </w:r>
      <w:r w:rsidR="001A2EBE">
        <w:rPr>
          <w:lang w:eastAsia="en-US"/>
        </w:rPr>
        <w:t xml:space="preserve">tedy </w:t>
      </w:r>
      <w:r w:rsidR="00424413">
        <w:rPr>
          <w:lang w:eastAsia="en-US"/>
        </w:rPr>
        <w:t xml:space="preserve">opakuje </w:t>
      </w:r>
      <w:r w:rsidR="08F001B8">
        <w:rPr>
          <w:lang w:eastAsia="en-US"/>
        </w:rPr>
        <w:t xml:space="preserve">předešlou gigantomachii o substanci, ale </w:t>
      </w:r>
      <w:r w:rsidR="00424413">
        <w:rPr>
          <w:lang w:eastAsia="en-US"/>
        </w:rPr>
        <w:t>v</w:t>
      </w:r>
      <w:r w:rsidR="08F001B8">
        <w:rPr>
          <w:lang w:eastAsia="en-US"/>
        </w:rPr>
        <w:t xml:space="preserve"> nové dějinné konfiguraci</w:t>
      </w:r>
      <w:r w:rsidR="00424413">
        <w:rPr>
          <w:lang w:eastAsia="en-US"/>
        </w:rPr>
        <w:t>.</w:t>
      </w:r>
    </w:p>
    <w:p w14:paraId="682E9640" w14:textId="77777777" w:rsidR="001B156E" w:rsidRPr="00273106" w:rsidRDefault="08626077" w:rsidP="001B156E">
      <w:pPr>
        <w:pStyle w:val="Nadpis2"/>
      </w:pPr>
      <w:bookmarkStart w:id="18" w:name="_Toc487234289"/>
      <w:bookmarkStart w:id="19" w:name="_Toc12558296"/>
      <w:r>
        <w:rPr>
          <w:lang w:val="cs-CZ"/>
        </w:rPr>
        <w:br w:type="page"/>
      </w:r>
      <w:bookmarkStart w:id="20" w:name="_Toc160449308"/>
      <w:r w:rsidR="08D20D28">
        <w:rPr>
          <w:lang w:val="cs-CZ"/>
        </w:rPr>
        <w:lastRenderedPageBreak/>
        <w:t>1</w:t>
      </w:r>
      <w:r w:rsidR="001B156E">
        <w:t>.2</w:t>
      </w:r>
      <w:r w:rsidR="001B156E" w:rsidRPr="00273106">
        <w:t xml:space="preserve"> Pravda jako </w:t>
      </w:r>
      <w:r w:rsidR="001B156E" w:rsidRPr="00273106">
        <w:rPr>
          <w:i/>
        </w:rPr>
        <w:t>rectitudo</w:t>
      </w:r>
      <w:r w:rsidR="001B156E" w:rsidRPr="00273106">
        <w:t xml:space="preserve"> (Anselm z Canterbury)</w:t>
      </w:r>
      <w:bookmarkEnd w:id="18"/>
      <w:bookmarkEnd w:id="19"/>
      <w:bookmarkEnd w:id="20"/>
    </w:p>
    <w:p w14:paraId="5E4708DD" w14:textId="5989FF2E" w:rsidR="001B156E" w:rsidRPr="00273106" w:rsidRDefault="00B710E7" w:rsidP="001B156E">
      <w:bookmarkStart w:id="21" w:name="_Ref391724803"/>
      <w:r w:rsidRPr="00273106">
        <w:rPr>
          <w:lang w:eastAsia="en-US"/>
        </w:rPr>
        <w:t xml:space="preserve">Spor mezi Abelardem a školou </w:t>
      </w:r>
      <w:r w:rsidRPr="00273106">
        <w:rPr>
          <w:i/>
          <w:lang w:eastAsia="en-US"/>
        </w:rPr>
        <w:t>Nominales</w:t>
      </w:r>
      <w:r w:rsidRPr="00273106">
        <w:rPr>
          <w:lang w:eastAsia="en-US"/>
        </w:rPr>
        <w:t xml:space="preserve"> </w:t>
      </w:r>
      <w:r w:rsidR="00741126">
        <w:rPr>
          <w:lang w:eastAsia="en-US"/>
        </w:rPr>
        <w:t xml:space="preserve">představuje </w:t>
      </w:r>
      <w:r w:rsidRPr="00273106">
        <w:rPr>
          <w:lang w:eastAsia="en-US"/>
        </w:rPr>
        <w:t xml:space="preserve">první </w:t>
      </w:r>
      <w:r w:rsidR="00741126">
        <w:rPr>
          <w:lang w:eastAsia="en-US"/>
        </w:rPr>
        <w:t xml:space="preserve">zásadní </w:t>
      </w:r>
      <w:r w:rsidR="0898670E">
        <w:rPr>
          <w:lang w:eastAsia="en-US"/>
        </w:rPr>
        <w:t>spor na latinském Západě, kdy</w:t>
      </w:r>
      <w:r w:rsidRPr="00273106">
        <w:rPr>
          <w:lang w:eastAsia="en-US"/>
        </w:rPr>
        <w:t xml:space="preserve"> byl ve hře statut substance a pojetí pravdy.</w:t>
      </w:r>
      <w:r>
        <w:rPr>
          <w:lang w:eastAsia="en-US"/>
        </w:rPr>
        <w:t xml:space="preserve"> </w:t>
      </w:r>
      <w:r w:rsidR="00DD1673">
        <w:rPr>
          <w:lang w:eastAsia="en-US"/>
        </w:rPr>
        <w:t>Ponecháváme latinský název školy „</w:t>
      </w:r>
      <w:r w:rsidR="00DD1673" w:rsidRPr="00DD1673">
        <w:rPr>
          <w:i/>
          <w:lang w:eastAsia="en-US"/>
        </w:rPr>
        <w:t>Nominales</w:t>
      </w:r>
      <w:r w:rsidR="00DD1673">
        <w:rPr>
          <w:lang w:eastAsia="en-US"/>
        </w:rPr>
        <w:t>“, abychom tento směr</w:t>
      </w:r>
      <w:r w:rsidR="00DD1673" w:rsidRPr="00DD1673">
        <w:rPr>
          <w:lang w:eastAsia="en-US"/>
        </w:rPr>
        <w:t xml:space="preserve"> oddělili</w:t>
      </w:r>
      <w:r w:rsidR="00DD1673">
        <w:rPr>
          <w:lang w:eastAsia="en-US"/>
        </w:rPr>
        <w:t xml:space="preserve"> od nejasného pojmenování tzv. „</w:t>
      </w:r>
      <w:r w:rsidR="00F92CF6">
        <w:rPr>
          <w:lang w:eastAsia="en-US"/>
        </w:rPr>
        <w:t>nominalistů</w:t>
      </w:r>
      <w:r w:rsidR="00DD1673">
        <w:rPr>
          <w:lang w:eastAsia="en-US"/>
        </w:rPr>
        <w:t>“</w:t>
      </w:r>
      <w:r w:rsidR="00DD1673" w:rsidRPr="00DD1673">
        <w:rPr>
          <w:lang w:eastAsia="en-US"/>
        </w:rPr>
        <w:t>.</w:t>
      </w:r>
      <w:r w:rsidR="00DD1673">
        <w:rPr>
          <w:lang w:eastAsia="en-US"/>
        </w:rPr>
        <w:t xml:space="preserve"> </w:t>
      </w:r>
      <w:r w:rsidR="001B156E" w:rsidRPr="00273106">
        <w:t xml:space="preserve">Adekvační teorie pravdy aristotelika Abelarda stojí v </w:t>
      </w:r>
      <w:r w:rsidR="00294277">
        <w:t>protikladu k</w:t>
      </w:r>
      <w:r w:rsidR="001B156E" w:rsidRPr="00273106">
        <w:t xml:space="preserve"> pojetí Anselma</w:t>
      </w:r>
      <w:r w:rsidR="001B156E">
        <w:t xml:space="preserve"> </w:t>
      </w:r>
      <w:r w:rsidR="001B156E" w:rsidRPr="00273106">
        <w:t>z Canterbury</w:t>
      </w:r>
      <w:r w:rsidR="001B156E">
        <w:fldChar w:fldCharType="begin"/>
      </w:r>
      <w:r w:rsidR="001B156E">
        <w:instrText xml:space="preserve"> XE "Anselm</w:instrText>
      </w:r>
      <w:r w:rsidR="001B156E" w:rsidRPr="009C73B5">
        <w:instrText xml:space="preserve"> z Canterbury:viz </w:instrText>
      </w:r>
      <w:r w:rsidR="001B156E" w:rsidRPr="00D85E46">
        <w:rPr>
          <w:i/>
        </w:rPr>
        <w:instrText>Index locorum</w:instrText>
      </w:r>
      <w:r w:rsidR="001B156E">
        <w:instrText xml:space="preserve">" </w:instrText>
      </w:r>
      <w:r w:rsidR="001B156E">
        <w:fldChar w:fldCharType="end"/>
      </w:r>
      <w:r w:rsidR="001B156E">
        <w:t xml:space="preserve"> </w:t>
      </w:r>
      <w:r w:rsidR="001B156E" w:rsidRPr="00273106">
        <w:t>(†1109), jenž se stal klíčovou postavou dalšího kola sporu o substanci</w:t>
      </w:r>
      <w:r w:rsidR="001B156E">
        <w:t xml:space="preserve">. </w:t>
      </w:r>
      <w:r w:rsidR="001B156E">
        <w:rPr>
          <w:rStyle w:val="st"/>
        </w:rPr>
        <w:t>K</w:t>
      </w:r>
      <w:r w:rsidR="001B156E" w:rsidRPr="00273106">
        <w:t>dyž dva říkají totéž, nemusí to znamenat totéž, což ukazuje spor o definici pravdy mezi Abelardem a Anselmem.</w:t>
      </w:r>
      <w:r w:rsidR="001B156E">
        <w:t xml:space="preserve"> D</w:t>
      </w:r>
      <w:r w:rsidR="001B156E" w:rsidRPr="00273106">
        <w:t xml:space="preserve">ílo </w:t>
      </w:r>
      <w:r w:rsidR="001B156E">
        <w:rPr>
          <w:i/>
        </w:rPr>
        <w:t>Dialogus de v</w:t>
      </w:r>
      <w:r w:rsidR="001B156E" w:rsidRPr="00273106">
        <w:rPr>
          <w:i/>
        </w:rPr>
        <w:t>eritate</w:t>
      </w:r>
      <w:r w:rsidR="001B156E" w:rsidRPr="00273106">
        <w:t xml:space="preserve"> </w:t>
      </w:r>
      <w:r w:rsidR="001B156E">
        <w:t xml:space="preserve">(kolem 1083) </w:t>
      </w:r>
      <w:r w:rsidR="001B156E" w:rsidRPr="00273106">
        <w:t>dal</w:t>
      </w:r>
      <w:r w:rsidR="001B156E">
        <w:t>o</w:t>
      </w:r>
      <w:r w:rsidR="00062ECD">
        <w:t xml:space="preserve"> pravdu do neoplato</w:t>
      </w:r>
      <w:r w:rsidR="001B156E" w:rsidRPr="00273106">
        <w:t>nské hierarchie forem. Bůh jako jistota bytí garantuje pravdu jako věčnou správnost esencí, z níž na úrovni stvoření vychází kontingentní pravda jako adekvace našeho poznání a existence věci.</w:t>
      </w:r>
      <w:r w:rsidR="001B156E">
        <w:t xml:space="preserve"> </w:t>
      </w:r>
      <w:r w:rsidR="001B156E" w:rsidRPr="00273106">
        <w:t>Správnost není vztažena primárně k lids</w:t>
      </w:r>
      <w:r w:rsidR="005150BE">
        <w:t xml:space="preserve">kému poznání, ale k autonomním hodnotám </w:t>
      </w:r>
      <w:r w:rsidR="001B156E" w:rsidRPr="00273106">
        <w:t xml:space="preserve">v rámci božského řádu. Následující citát z rozhovoru mezi mistrem a žákem představuje </w:t>
      </w:r>
      <w:r w:rsidR="001B156E" w:rsidRPr="00273106">
        <w:rPr>
          <w:i/>
        </w:rPr>
        <w:t>Lichtung</w:t>
      </w:r>
      <w:r w:rsidR="001B156E" w:rsidRPr="00273106">
        <w:t xml:space="preserve"> budoucí objektivity, protože zakládá nové určení pravdy</w:t>
      </w:r>
      <w:r w:rsidR="001B156E">
        <w:rPr>
          <w:i/>
        </w:rPr>
        <w:fldChar w:fldCharType="begin"/>
      </w:r>
      <w:r w:rsidR="001B156E">
        <w:instrText xml:space="preserve"> XE "pravda</w:instrText>
      </w:r>
      <w:r w:rsidR="001B156E" w:rsidRPr="00A9170D">
        <w:rPr>
          <w:i/>
        </w:rPr>
        <w:instrText>:</w:instrText>
      </w:r>
      <w:r w:rsidR="001B156E">
        <w:rPr>
          <w:i/>
        </w:rPr>
        <w:instrText>rectitudo</w:instrText>
      </w:r>
      <w:r w:rsidR="001B156E">
        <w:instrText xml:space="preserve">" </w:instrText>
      </w:r>
      <w:r w:rsidR="001B156E">
        <w:rPr>
          <w:i/>
        </w:rPr>
        <w:fldChar w:fldCharType="end"/>
      </w:r>
      <w:r w:rsidR="001B156E" w:rsidRPr="00273106">
        <w:t>.</w:t>
      </w:r>
    </w:p>
    <w:p w14:paraId="662BEA8A" w14:textId="77777777" w:rsidR="001B156E" w:rsidRPr="00273106" w:rsidRDefault="001B156E" w:rsidP="001B156E">
      <w:pPr>
        <w:pStyle w:val="Citace"/>
        <w:rPr>
          <w:noProof/>
          <w:lang w:val="cs-CZ"/>
        </w:rPr>
      </w:pPr>
      <w:r w:rsidRPr="00273106">
        <w:rPr>
          <w:noProof/>
          <w:lang w:val="cs-CZ"/>
        </w:rPr>
        <w:t>„</w:t>
      </w:r>
      <w:r w:rsidRPr="00273106">
        <w:rPr>
          <w:i/>
          <w:noProof/>
          <w:lang w:val="cs-CZ"/>
        </w:rPr>
        <w:t>Mistr</w:t>
      </w:r>
      <w:r w:rsidRPr="00273106">
        <w:rPr>
          <w:noProof/>
          <w:lang w:val="cs-CZ"/>
        </w:rPr>
        <w:t xml:space="preserve">. </w:t>
      </w:r>
      <w:r w:rsidR="00062ECD">
        <w:rPr>
          <w:noProof/>
          <w:lang w:val="cs-CZ"/>
        </w:rPr>
        <w:t xml:space="preserve">Cokoliv </w:t>
      </w:r>
      <w:r w:rsidR="0898670E">
        <w:rPr>
          <w:noProof/>
          <w:lang w:val="cs-CZ"/>
        </w:rPr>
        <w:t xml:space="preserve">je opravdu </w:t>
      </w:r>
      <w:r w:rsidR="00062ECD">
        <w:rPr>
          <w:noProof/>
          <w:lang w:val="cs-CZ"/>
        </w:rPr>
        <w:t>tak</w:t>
      </w:r>
      <w:r w:rsidR="0898670E">
        <w:rPr>
          <w:noProof/>
          <w:lang w:val="cs-CZ"/>
        </w:rPr>
        <w:t xml:space="preserve"> (</w:t>
      </w:r>
      <w:r w:rsidR="0898670E" w:rsidRPr="0898670E">
        <w:rPr>
          <w:i/>
        </w:rPr>
        <w:t>vero est</w:t>
      </w:r>
      <w:r w:rsidR="0898670E">
        <w:rPr>
          <w:noProof/>
          <w:lang w:val="cs-CZ"/>
        </w:rPr>
        <w:t>)</w:t>
      </w:r>
      <w:r w:rsidR="00062ECD">
        <w:rPr>
          <w:noProof/>
          <w:lang w:val="cs-CZ"/>
        </w:rPr>
        <w:t>, jak má být</w:t>
      </w:r>
      <w:r w:rsidR="0898670E">
        <w:rPr>
          <w:noProof/>
          <w:lang w:val="cs-CZ"/>
        </w:rPr>
        <w:t xml:space="preserve"> (</w:t>
      </w:r>
      <w:r w:rsidR="0898670E" w:rsidRPr="00062ECD">
        <w:rPr>
          <w:i/>
        </w:rPr>
        <w:t>quod debet esse</w:t>
      </w:r>
      <w:r w:rsidR="0898670E">
        <w:rPr>
          <w:noProof/>
          <w:lang w:val="cs-CZ"/>
        </w:rPr>
        <w:t>)</w:t>
      </w:r>
      <w:r w:rsidR="00AF2673">
        <w:rPr>
          <w:noProof/>
          <w:lang w:val="cs-CZ"/>
        </w:rPr>
        <w:t xml:space="preserve">, </w:t>
      </w:r>
      <w:r w:rsidRPr="00273106">
        <w:rPr>
          <w:noProof/>
          <w:lang w:val="cs-CZ"/>
        </w:rPr>
        <w:t xml:space="preserve">to je </w:t>
      </w:r>
      <w:r w:rsidR="0031609A">
        <w:rPr>
          <w:noProof/>
          <w:lang w:val="cs-CZ"/>
        </w:rPr>
        <w:t xml:space="preserve">dáno </w:t>
      </w:r>
      <w:r w:rsidRPr="00273106">
        <w:rPr>
          <w:noProof/>
          <w:lang w:val="cs-CZ"/>
        </w:rPr>
        <w:t>správně</w:t>
      </w:r>
      <w:r w:rsidR="00062ECD">
        <w:rPr>
          <w:noProof/>
          <w:lang w:val="cs-CZ"/>
        </w:rPr>
        <w:t xml:space="preserve"> (</w:t>
      </w:r>
      <w:r w:rsidR="00062ECD" w:rsidRPr="00062ECD">
        <w:rPr>
          <w:i/>
        </w:rPr>
        <w:t>recte est</w:t>
      </w:r>
      <w:r w:rsidR="00062ECD">
        <w:rPr>
          <w:noProof/>
          <w:lang w:val="cs-CZ"/>
        </w:rPr>
        <w:t>)</w:t>
      </w:r>
      <w:r w:rsidRPr="00273106">
        <w:rPr>
          <w:noProof/>
          <w:lang w:val="cs-CZ"/>
        </w:rPr>
        <w:t xml:space="preserve">. </w:t>
      </w:r>
      <w:r w:rsidRPr="00273106">
        <w:rPr>
          <w:i/>
          <w:noProof/>
          <w:lang w:val="cs-CZ"/>
        </w:rPr>
        <w:t>Žák</w:t>
      </w:r>
      <w:r w:rsidRPr="00273106">
        <w:rPr>
          <w:noProof/>
          <w:lang w:val="cs-CZ"/>
        </w:rPr>
        <w:t xml:space="preserve">. Jinak to nemůže být. </w:t>
      </w:r>
      <w:r w:rsidRPr="00273106">
        <w:rPr>
          <w:i/>
          <w:noProof/>
          <w:lang w:val="cs-CZ"/>
        </w:rPr>
        <w:t>Mistr</w:t>
      </w:r>
      <w:r w:rsidRPr="00273106">
        <w:rPr>
          <w:noProof/>
          <w:lang w:val="cs-CZ"/>
        </w:rPr>
        <w:t xml:space="preserve">. Pak všechno, co jest, je dáno správně.  </w:t>
      </w:r>
      <w:r w:rsidRPr="00273106">
        <w:rPr>
          <w:i/>
          <w:noProof/>
          <w:lang w:val="cs-CZ"/>
        </w:rPr>
        <w:t>Žák</w:t>
      </w:r>
      <w:r w:rsidRPr="00273106">
        <w:rPr>
          <w:noProof/>
          <w:lang w:val="cs-CZ"/>
        </w:rPr>
        <w:t xml:space="preserve">. Jiný závěr ani nemůže být.  </w:t>
      </w:r>
      <w:r w:rsidRPr="00273106">
        <w:rPr>
          <w:i/>
          <w:noProof/>
          <w:lang w:val="cs-CZ"/>
        </w:rPr>
        <w:t>Mistr</w:t>
      </w:r>
      <w:r w:rsidRPr="00273106">
        <w:rPr>
          <w:noProof/>
          <w:lang w:val="cs-CZ"/>
        </w:rPr>
        <w:t xml:space="preserve">. </w:t>
      </w:r>
      <w:r>
        <w:rPr>
          <w:noProof/>
          <w:lang w:val="cs-CZ"/>
        </w:rPr>
        <w:t>P</w:t>
      </w:r>
      <w:r w:rsidRPr="00273106">
        <w:rPr>
          <w:noProof/>
          <w:lang w:val="cs-CZ"/>
        </w:rPr>
        <w:t>ravda a správnost jsou dán</w:t>
      </w:r>
      <w:r w:rsidR="08451411">
        <w:rPr>
          <w:noProof/>
          <w:lang w:val="cs-CZ"/>
        </w:rPr>
        <w:t xml:space="preserve">y v bytí </w:t>
      </w:r>
      <w:r>
        <w:rPr>
          <w:noProof/>
          <w:lang w:val="cs-CZ"/>
        </w:rPr>
        <w:t>věcí</w:t>
      </w:r>
      <w:r w:rsidR="08451411">
        <w:rPr>
          <w:noProof/>
          <w:lang w:val="cs-CZ"/>
        </w:rPr>
        <w:t xml:space="preserve"> (</w:t>
      </w:r>
      <w:r w:rsidR="08451411" w:rsidRPr="08451411">
        <w:rPr>
          <w:i/>
        </w:rPr>
        <w:t>in rerum essentia</w:t>
      </w:r>
      <w:r w:rsidR="08451411">
        <w:rPr>
          <w:noProof/>
          <w:lang w:val="cs-CZ"/>
        </w:rPr>
        <w:t>)</w:t>
      </w:r>
      <w:r>
        <w:rPr>
          <w:noProof/>
          <w:lang w:val="cs-CZ"/>
        </w:rPr>
        <w:t>, protože takto věci</w:t>
      </w:r>
      <w:r w:rsidRPr="00273106">
        <w:rPr>
          <w:noProof/>
          <w:lang w:val="cs-CZ"/>
        </w:rPr>
        <w:t xml:space="preserve"> jsou </w:t>
      </w:r>
      <w:r>
        <w:rPr>
          <w:noProof/>
          <w:lang w:val="cs-CZ"/>
        </w:rPr>
        <w:t>tím, čím jsou v nejvyšší pravdě</w:t>
      </w:r>
      <w:r w:rsidR="08EB3CB3">
        <w:rPr>
          <w:noProof/>
          <w:lang w:val="cs-CZ"/>
        </w:rPr>
        <w:t xml:space="preserve"> (</w:t>
      </w:r>
      <w:r w:rsidR="08EB3CB3" w:rsidRPr="08EB3CB3">
        <w:rPr>
          <w:i/>
        </w:rPr>
        <w:t>quod sunt in summa veritate</w:t>
      </w:r>
      <w:r w:rsidR="08EB3CB3">
        <w:rPr>
          <w:noProof/>
          <w:lang w:val="cs-CZ"/>
        </w:rPr>
        <w:t>)</w:t>
      </w:r>
      <w:r>
        <w:rPr>
          <w:noProof/>
          <w:lang w:val="cs-CZ"/>
        </w:rPr>
        <w:t>. Pak</w:t>
      </w:r>
      <w:r w:rsidRPr="00273106">
        <w:rPr>
          <w:noProof/>
          <w:lang w:val="cs-CZ"/>
        </w:rPr>
        <w:t xml:space="preserve"> je jisté, že pravda je správnost věcí</w:t>
      </w:r>
      <w:r>
        <w:rPr>
          <w:noProof/>
          <w:lang w:val="cs-CZ"/>
        </w:rPr>
        <w:t xml:space="preserve"> (</w:t>
      </w:r>
      <w:r w:rsidRPr="0027301E">
        <w:rPr>
          <w:i/>
        </w:rPr>
        <w:t>certum est veritatem rerum esse rectitudinem</w:t>
      </w:r>
      <w:r>
        <w:rPr>
          <w:noProof/>
          <w:lang w:val="cs-CZ"/>
        </w:rPr>
        <w:t>)</w:t>
      </w:r>
      <w:r w:rsidRPr="00273106">
        <w:rPr>
          <w:noProof/>
          <w:lang w:val="cs-CZ"/>
        </w:rPr>
        <w:t xml:space="preserve">.“ </w:t>
      </w:r>
      <w:r w:rsidRPr="00273106">
        <w:rPr>
          <w:rStyle w:val="Znakapoznpodarou"/>
          <w:noProof/>
          <w:lang w:val="cs-CZ"/>
        </w:rPr>
        <w:footnoteReference w:id="13"/>
      </w:r>
      <w:r w:rsidRPr="00273106">
        <w:rPr>
          <w:noProof/>
          <w:lang w:val="cs-CZ"/>
        </w:rPr>
        <w:t xml:space="preserve"> </w:t>
      </w:r>
    </w:p>
    <w:p w14:paraId="2E5C37E2" w14:textId="3F77B715" w:rsidR="00AD1DFF" w:rsidRDefault="001B156E" w:rsidP="001B156E">
      <w:r w:rsidRPr="00273106">
        <w:t xml:space="preserve">Věci jsou </w:t>
      </w:r>
      <w:r w:rsidR="084F6456" w:rsidRPr="00273106">
        <w:t xml:space="preserve">vůlí stvořitele </w:t>
      </w:r>
      <w:r w:rsidRPr="00273106">
        <w:t>povolány do bytí, což tvoří jejich pravdu jako oprávnění existence (</w:t>
      </w:r>
      <w:r w:rsidRPr="00273106">
        <w:rPr>
          <w:i/>
        </w:rPr>
        <w:t>quod debet esse, recte est</w:t>
      </w:r>
      <w:r w:rsidRPr="00273106">
        <w:t xml:space="preserve">). </w:t>
      </w:r>
      <w:r w:rsidR="08117107">
        <w:t xml:space="preserve">Pak je pravda dána tím, že stvořené věci jsou tím, čím reálně jsou. </w:t>
      </w:r>
      <w:r w:rsidR="08721FCA">
        <w:t>Produ</w:t>
      </w:r>
      <w:r w:rsidR="08117107">
        <w:t xml:space="preserve">kce stvoření </w:t>
      </w:r>
      <w:r w:rsidR="08721FCA">
        <w:t xml:space="preserve">zakládá </w:t>
      </w:r>
      <w:r w:rsidR="08A95D9C">
        <w:t xml:space="preserve">první </w:t>
      </w:r>
      <w:r w:rsidR="08721FCA">
        <w:t xml:space="preserve">určení </w:t>
      </w:r>
      <w:r w:rsidR="08117107">
        <w:t>deontologické pravdy-</w:t>
      </w:r>
      <w:r w:rsidR="08117107" w:rsidRPr="08117107">
        <w:rPr>
          <w:i/>
        </w:rPr>
        <w:t>rectitudo</w:t>
      </w:r>
      <w:r w:rsidR="08117107">
        <w:t xml:space="preserve"> a </w:t>
      </w:r>
      <w:r w:rsidR="08117107" w:rsidRPr="08117107">
        <w:rPr>
          <w:i/>
        </w:rPr>
        <w:t>certitudo</w:t>
      </w:r>
      <w:r w:rsidR="08117107">
        <w:t>.</w:t>
      </w:r>
      <w:r w:rsidR="00465965">
        <w:t xml:space="preserve"> </w:t>
      </w:r>
      <w:r w:rsidR="00121730" w:rsidRPr="00121730">
        <w:t xml:space="preserve">Smysl a pravda nepocházejí z prvních substancí </w:t>
      </w:r>
      <w:r w:rsidR="00121730">
        <w:t xml:space="preserve">daných </w:t>
      </w:r>
      <w:r w:rsidR="00121730" w:rsidRPr="00121730">
        <w:t>v</w:t>
      </w:r>
      <w:r w:rsidR="00121730">
        <w:t xml:space="preserve"> realitě</w:t>
      </w:r>
      <w:r w:rsidR="00121730" w:rsidRPr="00121730">
        <w:t xml:space="preserve">, ale od Boha, v rámci osvícení </w:t>
      </w:r>
      <w:r w:rsidR="00121730">
        <w:t xml:space="preserve">smyslu jsoucna </w:t>
      </w:r>
      <w:r w:rsidR="00121730" w:rsidRPr="00121730">
        <w:t>zezadu. Scénář nové metafyziky je založen ontoteologicky</w:t>
      </w:r>
      <w:r w:rsidR="00465965">
        <w:t xml:space="preserve">, na </w:t>
      </w:r>
      <w:r w:rsidR="008436E4">
        <w:t xml:space="preserve">scholastické </w:t>
      </w:r>
      <w:r w:rsidR="00465965">
        <w:t>verzi neoplatonismu</w:t>
      </w:r>
      <w:r w:rsidR="00121730" w:rsidRPr="00121730">
        <w:t>.</w:t>
      </w:r>
      <w:r w:rsidR="00121730">
        <w:t xml:space="preserve"> </w:t>
      </w:r>
      <w:r w:rsidR="08A95D9C">
        <w:t>Toto pojetí</w:t>
      </w:r>
      <w:r w:rsidR="084535C1">
        <w:t xml:space="preserve"> pravdy</w:t>
      </w:r>
      <w:r w:rsidR="0881740A">
        <w:t>-</w:t>
      </w:r>
      <w:r w:rsidR="0881740A" w:rsidRPr="08A95D9C">
        <w:rPr>
          <w:i/>
        </w:rPr>
        <w:t>veritas</w:t>
      </w:r>
      <w:r w:rsidR="0881740A">
        <w:t xml:space="preserve"> </w:t>
      </w:r>
      <w:r w:rsidR="084535C1">
        <w:t>spojené s nov</w:t>
      </w:r>
      <w:r w:rsidR="005F079F">
        <w:t>o</w:t>
      </w:r>
      <w:r w:rsidR="084535C1">
        <w:t>u ro</w:t>
      </w:r>
      <w:r w:rsidR="08A95D9C">
        <w:t>l</w:t>
      </w:r>
      <w:r w:rsidR="084535C1">
        <w:t>í subjektu ukázal Heidegger v rozboru Platonova pojetí pravdy (</w:t>
      </w:r>
      <w:r w:rsidR="08E11F7A">
        <w:t xml:space="preserve">OBJ I, </w:t>
      </w:r>
      <w:r w:rsidR="084535C1">
        <w:t xml:space="preserve">kap. 1). </w:t>
      </w:r>
      <w:r w:rsidRPr="00273106">
        <w:t xml:space="preserve">Posledním garantem deontologické pravdy </w:t>
      </w:r>
      <w:r>
        <w:t xml:space="preserve">určené od boha </w:t>
      </w:r>
      <w:r w:rsidRPr="00273106">
        <w:t>(</w:t>
      </w:r>
      <w:r w:rsidRPr="00273106">
        <w:rPr>
          <w:i/>
        </w:rPr>
        <w:t>debet esse</w:t>
      </w:r>
      <w:r w:rsidRPr="00273106">
        <w:t>) není plnost adekvace</w:t>
      </w:r>
      <w:r w:rsidR="00087FFC">
        <w:t xml:space="preserve"> věci a intelektu</w:t>
      </w:r>
      <w:r w:rsidRPr="00273106">
        <w:t>, ale plnost bytí věci vzhledem k nejvyšší pravdě (</w:t>
      </w:r>
      <w:r w:rsidRPr="00273106">
        <w:rPr>
          <w:i/>
        </w:rPr>
        <w:t>quod sunt in summa veritate</w:t>
      </w:r>
      <w:r w:rsidRPr="00273106">
        <w:t xml:space="preserve">). </w:t>
      </w:r>
      <w:r>
        <w:t xml:space="preserve">Ideová předloha </w:t>
      </w:r>
      <w:r>
        <w:lastRenderedPageBreak/>
        <w:t xml:space="preserve">této </w:t>
      </w:r>
      <w:r w:rsidR="088B0FE1">
        <w:t xml:space="preserve">ontoteologické </w:t>
      </w:r>
      <w:r>
        <w:t xml:space="preserve">konstrukce </w:t>
      </w:r>
      <w:r w:rsidR="088B0FE1">
        <w:t xml:space="preserve">pravdy </w:t>
      </w:r>
      <w:r w:rsidR="087B03CD">
        <w:t>existovala ve falsafě skrze  Al-</w:t>
      </w:r>
      <w:r>
        <w:t>Kindího participaci jsoucen na nejvyšším Dobru (</w:t>
      </w:r>
      <w:r w:rsidRPr="00273106">
        <w:rPr>
          <w:i/>
          <w:lang w:eastAsia="en-US"/>
        </w:rPr>
        <w:t>ifāda</w:t>
      </w:r>
      <w:r>
        <w:rPr>
          <w:i/>
          <w:lang w:eastAsia="en-US"/>
        </w:rPr>
        <w:fldChar w:fldCharType="begin"/>
      </w:r>
      <w:r>
        <w:instrText xml:space="preserve"> XE "</w:instrText>
      </w:r>
      <w:r w:rsidRPr="00E72E3D">
        <w:rPr>
          <w:i/>
          <w:lang w:eastAsia="en-US"/>
        </w:rPr>
        <w:instrText>ifāda</w:instrText>
      </w:r>
      <w:r>
        <w:instrText xml:space="preserve">" </w:instrText>
      </w:r>
      <w:r>
        <w:rPr>
          <w:i/>
          <w:lang w:eastAsia="en-US"/>
        </w:rPr>
        <w:fldChar w:fldCharType="end"/>
      </w:r>
      <w:r w:rsidR="08C00141">
        <w:rPr>
          <w:lang w:eastAsia="en-US"/>
        </w:rPr>
        <w:t xml:space="preserve">; OBJ I, </w:t>
      </w:r>
      <w:r w:rsidRPr="004C20B4">
        <w:rPr>
          <w:lang w:eastAsia="en-US"/>
        </w:rPr>
        <w:t>kap. 2.1</w:t>
      </w:r>
      <w:r>
        <w:t xml:space="preserve">). Anselm </w:t>
      </w:r>
      <w:r w:rsidR="007F5057">
        <w:t xml:space="preserve">používá </w:t>
      </w:r>
      <w:r>
        <w:t xml:space="preserve">pro tvorbu objektivity ve scholastice stejný </w:t>
      </w:r>
      <w:r w:rsidR="007F5057">
        <w:t xml:space="preserve">postup </w:t>
      </w:r>
      <w:r>
        <w:t xml:space="preserve">jako </w:t>
      </w:r>
      <w:r w:rsidR="00874074">
        <w:t>neoplatonsk</w:t>
      </w:r>
      <w:r>
        <w:t>á</w:t>
      </w:r>
      <w:r w:rsidR="087B03CD">
        <w:t xml:space="preserve"> škola falsafy představovaná Al-</w:t>
      </w:r>
      <w:r>
        <w:t>K</w:t>
      </w:r>
      <w:r w:rsidRPr="001E70C6">
        <w:t xml:space="preserve">indím a </w:t>
      </w:r>
      <w:r w:rsidRPr="08DE5DFD">
        <w:t xml:space="preserve">Avicennou. </w:t>
      </w:r>
      <w:r w:rsidR="08DE5DFD" w:rsidRPr="08DE5DFD">
        <w:t>Bytí</w:t>
      </w:r>
      <w:r w:rsidR="08DE5DFD">
        <w:rPr>
          <w:smallCaps/>
        </w:rPr>
        <w:t xml:space="preserve"> </w:t>
      </w:r>
      <w:r w:rsidRPr="00273106">
        <w:t xml:space="preserve">věcí je </w:t>
      </w:r>
      <w:r w:rsidR="08DE5DFD">
        <w:t>dáno</w:t>
      </w:r>
      <w:r w:rsidRPr="00273106">
        <w:t xml:space="preserve"> v bohu jako nejvyšší pravdě</w:t>
      </w:r>
      <w:r>
        <w:rPr>
          <w:i/>
          <w:iCs/>
        </w:rPr>
        <w:fldChar w:fldCharType="begin"/>
      </w:r>
      <w:r>
        <w:instrText xml:space="preserve"> XE "esence:druhý averroismus" </w:instrText>
      </w:r>
      <w:r>
        <w:rPr>
          <w:i/>
          <w:iCs/>
        </w:rPr>
        <w:fldChar w:fldCharType="end"/>
      </w:r>
      <w:r w:rsidRPr="00273106">
        <w:t xml:space="preserve">. Tato primární plnost bytí v bohu dává potřebnou jistotu pro pravdu </w:t>
      </w:r>
      <w:r w:rsidR="00CB39FE">
        <w:t xml:space="preserve">danou </w:t>
      </w:r>
      <w:r w:rsidRPr="00273106">
        <w:t>jako správnost věcí (</w:t>
      </w:r>
      <w:r w:rsidRPr="00273106">
        <w:rPr>
          <w:i/>
        </w:rPr>
        <w:t>certum est veritatem rerum esse rectitudinem</w:t>
      </w:r>
      <w:r w:rsidRPr="00273106">
        <w:t xml:space="preserve">). Pravda jako </w:t>
      </w:r>
      <w:r w:rsidRPr="00273106">
        <w:rPr>
          <w:i/>
        </w:rPr>
        <w:t>rectitudo</w:t>
      </w:r>
      <w:r w:rsidRPr="00273106">
        <w:t xml:space="preserve"> je vyvázána z procesu smyslového poznání. Stala se mírou plnosti stvoření daného ve stále vyšší, a tím i stále pravdivější hierarchii esencí </w:t>
      </w:r>
      <w:r w:rsidR="08DE5DFD">
        <w:t xml:space="preserve">nazíraných přímo v bytí jsoucen </w:t>
      </w:r>
      <w:r w:rsidRPr="00273106">
        <w:t>(</w:t>
      </w:r>
      <w:r w:rsidRPr="00273106">
        <w:rPr>
          <w:i/>
        </w:rPr>
        <w:t>veritas et rectitudo idcirco sunt in rerum essentia</w:t>
      </w:r>
      <w:r w:rsidRPr="00273106">
        <w:t xml:space="preserve">). </w:t>
      </w:r>
      <w:r>
        <w:t>P</w:t>
      </w:r>
      <w:r w:rsidRPr="00273106">
        <w:t xml:space="preserve">ravda jako </w:t>
      </w:r>
      <w:r w:rsidRPr="00273106">
        <w:rPr>
          <w:i/>
        </w:rPr>
        <w:t>rectitudo</w:t>
      </w:r>
      <w:r w:rsidRPr="00273106">
        <w:t xml:space="preserve"> dostala podobný primát nad </w:t>
      </w:r>
      <w:r w:rsidRPr="00273106">
        <w:rPr>
          <w:i/>
        </w:rPr>
        <w:t>veritas</w:t>
      </w:r>
      <w:r>
        <w:rPr>
          <w:i/>
        </w:rPr>
        <w:fldChar w:fldCharType="begin"/>
      </w:r>
      <w:r>
        <w:instrText xml:space="preserve"> XE "</w:instrText>
      </w:r>
      <w:r w:rsidRPr="0038128E">
        <w:rPr>
          <w:i/>
        </w:rPr>
        <w:instrText>enuntiatio:</w:instrText>
      </w:r>
      <w:r w:rsidRPr="0038128E">
        <w:instrText>A</w:instrText>
      </w:r>
      <w:r>
        <w:instrText xml:space="preserve">nselm" </w:instrText>
      </w:r>
      <w:r>
        <w:rPr>
          <w:i/>
        </w:rPr>
        <w:fldChar w:fldCharType="end"/>
      </w:r>
      <w:r w:rsidR="00BC2A67">
        <w:t>, jako měla plato</w:t>
      </w:r>
      <w:r w:rsidRPr="00273106">
        <w:t>nská idea Dobra nad ideou Jsoucna.</w:t>
      </w:r>
      <w:r>
        <w:t xml:space="preserve"> </w:t>
      </w:r>
      <w:r w:rsidR="086B6524">
        <w:t>Aristotelova adekvační teorie pravdy má jen druhotný význam proti plnosti pravdy dané ontoteologické</w:t>
      </w:r>
      <w:r w:rsidR="08454BE7">
        <w:t xml:space="preserve"> pravdě </w:t>
      </w:r>
      <w:r w:rsidR="08BF2325">
        <w:t xml:space="preserve">jako </w:t>
      </w:r>
      <w:r w:rsidR="086B6524">
        <w:t>bytí</w:t>
      </w:r>
      <w:r w:rsidR="08BF2325">
        <w:t xml:space="preserve"> jsoucna</w:t>
      </w:r>
      <w:r w:rsidR="086B6524">
        <w:t>. D</w:t>
      </w:r>
      <w:r w:rsidR="086B6524" w:rsidRPr="00273106">
        <w:t xml:space="preserve">ebata mezi mistrem a žákem </w:t>
      </w:r>
      <w:r w:rsidR="08E0158F">
        <w:t>ukazuje</w:t>
      </w:r>
      <w:r w:rsidR="086B6524" w:rsidRPr="00273106">
        <w:t xml:space="preserve">, že definice pravdy stanovuje zásadní rozdíl mezi věčnou správností a nahodilou pravdou. </w:t>
      </w:r>
      <w:r w:rsidR="0857317D" w:rsidRPr="00273106">
        <w:t xml:space="preserve">Pojem pravdy je </w:t>
      </w:r>
      <w:r w:rsidR="004444C3">
        <w:t xml:space="preserve">už jen nepřímo </w:t>
      </w:r>
      <w:r w:rsidR="0857317D" w:rsidRPr="00273106">
        <w:t>navázaný jak na aristotelské pojetí pravdy (</w:t>
      </w:r>
      <w:r w:rsidR="0857317D" w:rsidRPr="00273106">
        <w:rPr>
          <w:i/>
        </w:rPr>
        <w:t>veritas</w:t>
      </w:r>
      <w:r w:rsidR="0857317D">
        <w:rPr>
          <w:i/>
        </w:rPr>
        <w:fldChar w:fldCharType="begin"/>
      </w:r>
      <w:r w:rsidR="0857317D">
        <w:instrText xml:space="preserve"> XE "pravda:</w:instrText>
      </w:r>
      <w:r w:rsidR="0857317D" w:rsidRPr="006803F5">
        <w:rPr>
          <w:i/>
        </w:rPr>
        <w:instrText>veritas</w:instrText>
      </w:r>
      <w:r w:rsidR="0857317D">
        <w:instrText xml:space="preserve">" </w:instrText>
      </w:r>
      <w:r w:rsidR="0857317D">
        <w:rPr>
          <w:i/>
        </w:rPr>
        <w:fldChar w:fldCharType="end"/>
      </w:r>
      <w:r w:rsidR="0857317D">
        <w:t>)</w:t>
      </w:r>
      <w:r w:rsidR="004444C3">
        <w:t>; n</w:t>
      </w:r>
      <w:r w:rsidR="0857317D">
        <w:t>eoplato</w:t>
      </w:r>
      <w:r w:rsidR="0857317D" w:rsidRPr="00273106">
        <w:t>nské pojetí p</w:t>
      </w:r>
      <w:r w:rsidR="004444C3">
        <w:t>ravdy jako neměnné míry určuje</w:t>
      </w:r>
      <w:r w:rsidR="0857317D" w:rsidRPr="00273106">
        <w:t xml:space="preserve"> správnost nahodilých věcí (</w:t>
      </w:r>
      <w:r w:rsidR="0857317D" w:rsidRPr="00273106">
        <w:rPr>
          <w:i/>
        </w:rPr>
        <w:t>rectitudo</w:t>
      </w:r>
      <w:r w:rsidR="0857317D" w:rsidRPr="00273106">
        <w:t>)</w:t>
      </w:r>
      <w:r w:rsidR="004444C3">
        <w:t xml:space="preserve"> na prvním místě</w:t>
      </w:r>
      <w:r w:rsidR="0857317D" w:rsidRPr="00273106">
        <w:t>.</w:t>
      </w:r>
      <w:r w:rsidR="0857317D">
        <w:t xml:space="preserve"> </w:t>
      </w:r>
      <w:r w:rsidRPr="00273106">
        <w:t xml:space="preserve">Anselmovo dílo přebírá </w:t>
      </w:r>
      <w:r>
        <w:t xml:space="preserve">do nové definice i klasické pojetí </w:t>
      </w:r>
      <w:r w:rsidRPr="00273106">
        <w:t xml:space="preserve">pravdy podle Aristotelovy </w:t>
      </w:r>
      <w:r w:rsidRPr="086B6524">
        <w:rPr>
          <w:i/>
        </w:rPr>
        <w:t>Metafyziky</w:t>
      </w:r>
      <w:r w:rsidRPr="00273106">
        <w:t>.</w:t>
      </w:r>
      <w:r w:rsidRPr="00273106">
        <w:rPr>
          <w:rStyle w:val="Znakapoznpodarou"/>
        </w:rPr>
        <w:footnoteReference w:id="14"/>
      </w:r>
      <w:r w:rsidRPr="00273106">
        <w:t xml:space="preserve"> </w:t>
      </w:r>
      <w:bookmarkEnd w:id="21"/>
      <w:r w:rsidRPr="00273106">
        <w:t>První věta spojuje správnost a pravdu (</w:t>
      </w:r>
      <w:r w:rsidRPr="00273106">
        <w:rPr>
          <w:i/>
        </w:rPr>
        <w:t>hanc rectitudinem et veritatem</w:t>
      </w:r>
      <w:r w:rsidRPr="00273106">
        <w:t>) v rámci signifikace vztažené k aktuálnímu bytí věci (</w:t>
      </w:r>
      <w:r w:rsidRPr="00273106">
        <w:rPr>
          <w:i/>
        </w:rPr>
        <w:t>qua significat esse quod est</w:t>
      </w:r>
      <w:r w:rsidRPr="00273106">
        <w:t>). Pravda je vázána na predikaci v rámci správně utvořeného logického soudu (</w:t>
      </w:r>
      <w:r w:rsidRPr="00273106">
        <w:rPr>
          <w:i/>
        </w:rPr>
        <w:t>usu recta et vera dicitur enuntiatio</w:t>
      </w:r>
      <w:r w:rsidR="008F6944">
        <w:t>). P</w:t>
      </w:r>
      <w:r w:rsidRPr="00273106">
        <w:t>oslední věta citace toto spojení potvrzuje vzhledem ke klasické teorii adekvace vztažené ke správnosti a pravdě dané v soudu (</w:t>
      </w:r>
      <w:r w:rsidRPr="00273106">
        <w:rPr>
          <w:i/>
        </w:rPr>
        <w:t>rectitudo et veritas enuntiationis</w:t>
      </w:r>
      <w:r w:rsidRPr="00273106">
        <w:t>). Oba termíny určují definici pravdy vzhledem k aristotelskému pojetí pravdy v rámci deduktivního soudu opřeného o existenci věci (</w:t>
      </w:r>
      <w:r w:rsidRPr="00273106">
        <w:rPr>
          <w:i/>
        </w:rPr>
        <w:t>enuntiatio</w:t>
      </w:r>
      <w:r w:rsidRPr="00273106">
        <w:t xml:space="preserve">). </w:t>
      </w:r>
      <w:r w:rsidR="00E811C9" w:rsidRPr="00273106">
        <w:t>Pravda vědeckého soudu (</w:t>
      </w:r>
      <w:r w:rsidR="00E811C9" w:rsidRPr="00273106">
        <w:rPr>
          <w:i/>
        </w:rPr>
        <w:t>veritas enuntiationis</w:t>
      </w:r>
      <w:r w:rsidR="00E811C9" w:rsidRPr="00273106">
        <w:t xml:space="preserve">) má proměnlivou signifikaci danou </w:t>
      </w:r>
      <w:r w:rsidR="000877BA">
        <w:t xml:space="preserve">v rámci </w:t>
      </w:r>
      <w:r w:rsidR="00E811C9" w:rsidRPr="00273106">
        <w:t>jazyka</w:t>
      </w:r>
      <w:r w:rsidR="000877BA">
        <w:t xml:space="preserve">. Ten </w:t>
      </w:r>
      <w:r w:rsidR="00E811C9" w:rsidRPr="00273106">
        <w:t>determinuj</w:t>
      </w:r>
      <w:r w:rsidR="000877BA">
        <w:t xml:space="preserve">e </w:t>
      </w:r>
      <w:r w:rsidR="00E811C9" w:rsidRPr="00273106">
        <w:rPr>
          <w:i/>
        </w:rPr>
        <w:t>ad hoc</w:t>
      </w:r>
      <w:r w:rsidR="000877BA">
        <w:t xml:space="preserve"> dané</w:t>
      </w:r>
      <w:r w:rsidR="00E811C9" w:rsidRPr="00273106">
        <w:t xml:space="preserve"> výrok</w:t>
      </w:r>
      <w:r w:rsidR="000877BA">
        <w:t>y, které</w:t>
      </w:r>
      <w:r w:rsidR="00E811C9" w:rsidRPr="00273106">
        <w:t xml:space="preserve"> se vztah</w:t>
      </w:r>
      <w:r w:rsidR="000877BA">
        <w:t>ují</w:t>
      </w:r>
      <w:r w:rsidR="005D4799">
        <w:t xml:space="preserve"> k nahodilým </w:t>
      </w:r>
      <w:r w:rsidR="000877BA">
        <w:t>věc</w:t>
      </w:r>
      <w:r w:rsidR="005D4799">
        <w:t>em poznaným smyslově</w:t>
      </w:r>
      <w:r w:rsidR="00E811C9" w:rsidRPr="00273106">
        <w:t xml:space="preserve">. Zato pravda jako </w:t>
      </w:r>
      <w:r w:rsidR="08E81FC4">
        <w:t xml:space="preserve">deontologické </w:t>
      </w:r>
      <w:r w:rsidR="00E811C9" w:rsidRPr="00273106">
        <w:rPr>
          <w:i/>
        </w:rPr>
        <w:t>rectitudo</w:t>
      </w:r>
      <w:r w:rsidR="085B4B86">
        <w:t xml:space="preserve"> staví na </w:t>
      </w:r>
      <w:r w:rsidR="005D4799">
        <w:t>věčných pravdách založených na neoplatonském</w:t>
      </w:r>
      <w:r w:rsidR="00E811C9" w:rsidRPr="00273106">
        <w:t xml:space="preserve"> pojetí dobra, které má normativní a suverénní charakter poslední míry všeho jsoucího.</w:t>
      </w:r>
      <w:r w:rsidR="00E811C9">
        <w:t xml:space="preserve"> </w:t>
      </w:r>
      <w:r>
        <w:t xml:space="preserve">Neoplatonik </w:t>
      </w:r>
      <w:r w:rsidRPr="00273106">
        <w:lastRenderedPageBreak/>
        <w:t xml:space="preserve">Anselm řadí </w:t>
      </w:r>
      <w:r w:rsidR="00FE145C">
        <w:t xml:space="preserve">aristotelskou definici pravdy do řádu pomíjivých pravd. Zato </w:t>
      </w:r>
      <w:r w:rsidRPr="00273106">
        <w:t xml:space="preserve">pravdu jako </w:t>
      </w:r>
      <w:r w:rsidRPr="00273106">
        <w:rPr>
          <w:i/>
        </w:rPr>
        <w:t>rectitudo</w:t>
      </w:r>
      <w:r w:rsidR="00FE145C">
        <w:t xml:space="preserve"> umístil do říše trvalých hodnot</w:t>
      </w:r>
      <w:r w:rsidRPr="00273106">
        <w:t xml:space="preserve"> </w:t>
      </w:r>
      <w:r w:rsidR="00FE145C">
        <w:t>spojených</w:t>
      </w:r>
      <w:r w:rsidRPr="00273106">
        <w:t xml:space="preserve"> s božským řádem</w:t>
      </w:r>
      <w:r>
        <w:fldChar w:fldCharType="begin"/>
      </w:r>
      <w:r>
        <w:instrText xml:space="preserve"> XE "signifikace:Anselm" </w:instrText>
      </w:r>
      <w:r>
        <w:fldChar w:fldCharType="end"/>
      </w:r>
      <w:r w:rsidRPr="00273106">
        <w:t>.</w:t>
      </w:r>
      <w:r w:rsidR="00802FFF" w:rsidRPr="00273106">
        <w:rPr>
          <w:rStyle w:val="Znakapoznpodarou"/>
        </w:rPr>
        <w:footnoteReference w:id="15"/>
      </w:r>
      <w:r w:rsidRPr="00273106">
        <w:t xml:space="preserve"> Správnost stojí v řádu bytí na úrovni trvalých pravd (</w:t>
      </w:r>
      <w:r w:rsidRPr="00273106">
        <w:rPr>
          <w:i/>
        </w:rPr>
        <w:t>secundum rectitudinem, quae semper est</w:t>
      </w:r>
      <w:r w:rsidRPr="00273106">
        <w:t xml:space="preserve">). </w:t>
      </w:r>
      <w:r w:rsidR="0871355D">
        <w:t>P</w:t>
      </w:r>
      <w:r w:rsidRPr="00273106">
        <w:t xml:space="preserve">rvní věta citátu vylučuje plnost pravdy jako </w:t>
      </w:r>
      <w:r w:rsidRPr="00273106">
        <w:rPr>
          <w:i/>
        </w:rPr>
        <w:t>rectitudo</w:t>
      </w:r>
      <w:r w:rsidRPr="00273106">
        <w:t xml:space="preserve"> pro </w:t>
      </w:r>
      <w:r w:rsidR="08E0158F">
        <w:t xml:space="preserve">materiální </w:t>
      </w:r>
      <w:r w:rsidRPr="00273106">
        <w:t xml:space="preserve">věci, </w:t>
      </w:r>
      <w:r w:rsidR="00212DF0">
        <w:t xml:space="preserve">protože ty </w:t>
      </w:r>
      <w:r w:rsidRPr="00273106">
        <w:t xml:space="preserve">přicházejí do bytí </w:t>
      </w:r>
      <w:r w:rsidR="00212DF0">
        <w:t xml:space="preserve">jen </w:t>
      </w:r>
      <w:r w:rsidRPr="00273106">
        <w:t>nahodilým způsobem (</w:t>
      </w:r>
      <w:r w:rsidRPr="00273106">
        <w:rPr>
          <w:i/>
        </w:rPr>
        <w:t>non est rectitudo in significatione, quia tunc incipit esse</w:t>
      </w:r>
      <w:r w:rsidRPr="00273106">
        <w:t>). Takto daná jsoucna mají primární signifikaci</w:t>
      </w:r>
      <w:r w:rsidR="00D16C49">
        <w:t xml:space="preserve"> v mysli a </w:t>
      </w:r>
      <w:r w:rsidRPr="00273106">
        <w:t xml:space="preserve">pravdu jako adekvaci věci a rozumu, ale chybí jim plnost věčné pravdy. Vyšší pravda jako </w:t>
      </w:r>
      <w:r w:rsidRPr="00273106">
        <w:rPr>
          <w:i/>
        </w:rPr>
        <w:t>rectitudo</w:t>
      </w:r>
      <w:r w:rsidRPr="00273106">
        <w:t xml:space="preserve"> determinuje nižší signifikaci (</w:t>
      </w:r>
      <w:r w:rsidRPr="00273106">
        <w:rPr>
          <w:i/>
        </w:rPr>
        <w:t>significatio tunc fit secundum rectitudinem</w:t>
      </w:r>
      <w:r w:rsidRPr="00273106">
        <w:t xml:space="preserve">). </w:t>
      </w:r>
      <w:r w:rsidR="00D405E9">
        <w:t xml:space="preserve">Pořadí kategoriální predikace </w:t>
      </w:r>
      <w:r w:rsidR="00D405E9" w:rsidRPr="00745ECA">
        <w:rPr>
          <w:i/>
        </w:rPr>
        <w:t>per prius</w:t>
      </w:r>
      <w:r w:rsidR="00D405E9">
        <w:t xml:space="preserve"> je postaveno přesně opačně než v </w:t>
      </w:r>
      <w:r w:rsidR="00D405E9" w:rsidRPr="00745ECA">
        <w:rPr>
          <w:i/>
        </w:rPr>
        <w:t>Kategoriích</w:t>
      </w:r>
      <w:r w:rsidR="08843164">
        <w:t>. H</w:t>
      </w:r>
      <w:r w:rsidR="00D405E9">
        <w:t xml:space="preserve">yparchická predikace je založena v božím bytí jako svrchované míře pravdy. </w:t>
      </w:r>
      <w:r w:rsidRPr="00273106">
        <w:t xml:space="preserve">Anselm </w:t>
      </w:r>
      <w:r w:rsidR="006C2A1B">
        <w:t xml:space="preserve">ve shodě s Avicennou </w:t>
      </w:r>
      <w:r w:rsidRPr="00273106">
        <w:t>vztahuje pravdu-</w:t>
      </w:r>
      <w:r w:rsidRPr="00273106">
        <w:rPr>
          <w:i/>
        </w:rPr>
        <w:t>rectitudo</w:t>
      </w:r>
      <w:r w:rsidRPr="00273106">
        <w:t xml:space="preserve"> primárně k</w:t>
      </w:r>
      <w:r w:rsidR="005726C4">
        <w:t>e smyslu</w:t>
      </w:r>
      <w:r w:rsidRPr="00273106">
        <w:t xml:space="preserve"> (</w:t>
      </w:r>
      <w:r w:rsidRPr="00273106">
        <w:rPr>
          <w:i/>
        </w:rPr>
        <w:t>recta significatio est</w:t>
      </w:r>
      <w:r w:rsidR="005726C4">
        <w:t xml:space="preserve">), který zakládá </w:t>
      </w:r>
      <w:r w:rsidRPr="00273106">
        <w:t xml:space="preserve">pravdu </w:t>
      </w:r>
      <w:r w:rsidR="003637C9">
        <w:t xml:space="preserve">o sobě </w:t>
      </w:r>
      <w:r w:rsidRPr="00273106">
        <w:t>(</w:t>
      </w:r>
      <w:r w:rsidRPr="00273106">
        <w:rPr>
          <w:i/>
        </w:rPr>
        <w:t>constat esse rectitudinem</w:t>
      </w:r>
      <w:r w:rsidRPr="00273106">
        <w:t>). Pravd</w:t>
      </w:r>
      <w:r w:rsidR="003637C9">
        <w:t>a je nazírána sama v sobě, ve s</w:t>
      </w:r>
      <w:r w:rsidR="003B4819">
        <w:t xml:space="preserve">myslu </w:t>
      </w:r>
      <w:r w:rsidR="00DA384D">
        <w:t>přímého nazírání</w:t>
      </w:r>
      <w:r w:rsidR="003B4819">
        <w:t xml:space="preserve"> </w:t>
      </w:r>
      <w:r w:rsidR="00DA384D">
        <w:t xml:space="preserve">věčné </w:t>
      </w:r>
      <w:r w:rsidR="0871355D">
        <w:t>esence v modu Avicennovy</w:t>
      </w:r>
      <w:r w:rsidR="003B4819">
        <w:t xml:space="preserve"> </w:t>
      </w:r>
      <w:r w:rsidR="003B4819" w:rsidRPr="003B4819">
        <w:rPr>
          <w:i/>
        </w:rPr>
        <w:t>equinitas tantum</w:t>
      </w:r>
      <w:r w:rsidR="0871355D">
        <w:rPr>
          <w:i/>
        </w:rPr>
        <w:t xml:space="preserve"> </w:t>
      </w:r>
      <w:r w:rsidR="0871355D" w:rsidRPr="0871355D">
        <w:t>(</w:t>
      </w:r>
      <w:r w:rsidR="001157C5">
        <w:t xml:space="preserve">OBJ I, </w:t>
      </w:r>
      <w:r w:rsidR="003B4819">
        <w:t>kap. 2.3.2)</w:t>
      </w:r>
      <w:r w:rsidRPr="00273106">
        <w:t xml:space="preserve">. </w:t>
      </w:r>
      <w:r w:rsidR="08401C3E">
        <w:t xml:space="preserve">Opět je vidět neoplatonský výklad pravdy podle </w:t>
      </w:r>
      <w:r w:rsidR="08401C3E" w:rsidRPr="00273106">
        <w:rPr>
          <w:i/>
          <w:lang w:eastAsia="en-US"/>
        </w:rPr>
        <w:t>Met</w:t>
      </w:r>
      <w:r w:rsidR="08401C3E" w:rsidRPr="00273106">
        <w:rPr>
          <w:lang w:eastAsia="en-US"/>
        </w:rPr>
        <w:t>. 1026a33–b2</w:t>
      </w:r>
      <w:r w:rsidR="08401C3E">
        <w:rPr>
          <w:lang w:eastAsia="en-US"/>
        </w:rPr>
        <w:t xml:space="preserve">, kde je bytí a pravda predikována univočně </w:t>
      </w:r>
      <w:r w:rsidR="0005688B">
        <w:rPr>
          <w:lang w:eastAsia="en-US"/>
        </w:rPr>
        <w:t xml:space="preserve">a na stejné úrovni </w:t>
      </w:r>
      <w:r w:rsidR="08401C3E" w:rsidRPr="00273106">
        <w:rPr>
          <w:lang w:eastAsia="en-US"/>
        </w:rPr>
        <w:t>(</w:t>
      </w:r>
      <w:r w:rsidR="08BF2325">
        <w:rPr>
          <w:lang w:eastAsia="en-US"/>
        </w:rPr>
        <w:t xml:space="preserve">OBJ I, </w:t>
      </w:r>
      <w:r w:rsidR="08401C3E">
        <w:rPr>
          <w:lang w:eastAsia="en-US"/>
        </w:rPr>
        <w:t>kap. 2.1</w:t>
      </w:r>
      <w:r w:rsidR="08401C3E">
        <w:rPr>
          <w:szCs w:val="15"/>
        </w:rPr>
        <w:fldChar w:fldCharType="begin"/>
      </w:r>
      <w:r w:rsidR="08401C3E">
        <w:instrText xml:space="preserve"> XE "Aristoteles:</w:instrText>
      </w:r>
      <w:r w:rsidR="08401C3E" w:rsidRPr="00273106">
        <w:rPr>
          <w:i/>
          <w:lang w:eastAsia="en-US"/>
        </w:rPr>
        <w:instrText>Met</w:instrText>
      </w:r>
      <w:r w:rsidR="08401C3E">
        <w:rPr>
          <w:lang w:eastAsia="en-US"/>
        </w:rPr>
        <w:instrText xml:space="preserve">. </w:instrText>
      </w:r>
      <w:r w:rsidR="08401C3E" w:rsidRPr="00273106">
        <w:rPr>
          <w:lang w:eastAsia="en-US"/>
        </w:rPr>
        <w:instrText>1026a33–b2</w:instrText>
      </w:r>
      <w:r w:rsidR="08401C3E">
        <w:instrText xml:space="preserve">" </w:instrText>
      </w:r>
      <w:r w:rsidR="08401C3E">
        <w:rPr>
          <w:szCs w:val="15"/>
        </w:rPr>
        <w:fldChar w:fldCharType="end"/>
      </w:r>
      <w:r w:rsidR="08401C3E" w:rsidRPr="00273106">
        <w:rPr>
          <w:lang w:eastAsia="en-US"/>
        </w:rPr>
        <w:t>).</w:t>
      </w:r>
      <w:r w:rsidR="08401C3E">
        <w:rPr>
          <w:lang w:eastAsia="en-US"/>
        </w:rPr>
        <w:t xml:space="preserve"> </w:t>
      </w:r>
      <w:r w:rsidRPr="00273106">
        <w:t xml:space="preserve">Definice </w:t>
      </w:r>
      <w:r w:rsidR="085F58FF">
        <w:t xml:space="preserve">navíc v pojmu </w:t>
      </w:r>
      <w:r w:rsidR="085F58FF" w:rsidRPr="085F58FF">
        <w:rPr>
          <w:i/>
        </w:rPr>
        <w:t>rectitudo</w:t>
      </w:r>
      <w:r w:rsidR="085F58FF">
        <w:t xml:space="preserve"> </w:t>
      </w:r>
      <w:r w:rsidRPr="00273106">
        <w:t xml:space="preserve">rozšířila pojetí pravdy za existenciální výroky </w:t>
      </w:r>
      <w:r w:rsidR="085F58FF">
        <w:t xml:space="preserve">kategoriálně </w:t>
      </w:r>
      <w:r w:rsidRPr="00273106">
        <w:t>vázané na bytí a nebytí věci v</w:t>
      </w:r>
      <w:r w:rsidR="0005688B">
        <w:t> </w:t>
      </w:r>
      <w:r w:rsidRPr="00273106">
        <w:t>realitě</w:t>
      </w:r>
      <w:r w:rsidR="0005688B">
        <w:t xml:space="preserve">. Anselm navázal nazírání pravdy </w:t>
      </w:r>
      <w:r w:rsidR="085F58FF">
        <w:t xml:space="preserve">podle </w:t>
      </w:r>
      <w:r w:rsidR="082A2B88">
        <w:t xml:space="preserve">mystického </w:t>
      </w:r>
      <w:r w:rsidR="085F58FF">
        <w:t xml:space="preserve">augustinianismu </w:t>
      </w:r>
      <w:r w:rsidRPr="00273106">
        <w:t xml:space="preserve">přímo na akt porozumění a </w:t>
      </w:r>
      <w:r w:rsidR="0893711C">
        <w:t xml:space="preserve">na </w:t>
      </w:r>
      <w:r w:rsidRPr="00273106">
        <w:t>výz</w:t>
      </w:r>
      <w:r w:rsidR="0893711C">
        <w:t>nam</w:t>
      </w:r>
      <w:r w:rsidR="00AD1DFF">
        <w:t xml:space="preserve"> slova.</w:t>
      </w:r>
    </w:p>
    <w:p w14:paraId="3DD18B52" w14:textId="65CCD55D" w:rsidR="08C72A71" w:rsidRDefault="001B156E" w:rsidP="00AD1DFF">
      <w:pPr>
        <w:ind w:firstLine="397"/>
      </w:pPr>
      <w:r w:rsidRPr="00273106">
        <w:t>Anselm nezávisle na Avicennově systému a zhruba ve stejné době založil podobné pojetí metafyziky</w:t>
      </w:r>
      <w:r w:rsidR="00973A93">
        <w:t xml:space="preserve"> na latinském Západě</w:t>
      </w:r>
      <w:r w:rsidRPr="00273106">
        <w:t xml:space="preserve">. V rámci </w:t>
      </w:r>
      <w:r>
        <w:t xml:space="preserve">určení pravdy jako </w:t>
      </w:r>
      <w:r w:rsidRPr="00273106">
        <w:rPr>
          <w:i/>
        </w:rPr>
        <w:t>rectitudo</w:t>
      </w:r>
      <w:r w:rsidRPr="00273106">
        <w:t xml:space="preserve"> </w:t>
      </w:r>
      <w:r w:rsidR="00973A93">
        <w:t xml:space="preserve">oddělil smysl </w:t>
      </w:r>
      <w:r>
        <w:t>jsoucna od smyslové zkušenosti a naplnil program Avicennova</w:t>
      </w:r>
      <w:r w:rsidRPr="00273106">
        <w:t xml:space="preserve"> </w:t>
      </w:r>
      <w:r w:rsidRPr="00273106">
        <w:rPr>
          <w:i/>
        </w:rPr>
        <w:t>denudatio</w:t>
      </w:r>
      <w:r>
        <w:rPr>
          <w:i/>
        </w:rPr>
        <w:fldChar w:fldCharType="begin"/>
      </w:r>
      <w:r>
        <w:instrText xml:space="preserve"> XE "</w:instrText>
      </w:r>
      <w:r w:rsidRPr="00C23100">
        <w:rPr>
          <w:i/>
        </w:rPr>
        <w:instrText>denudatio</w:instrText>
      </w:r>
      <w:r w:rsidRPr="00057A1C">
        <w:instrText>:Anselm</w:instrText>
      </w:r>
      <w:r>
        <w:instrText xml:space="preserve">" </w:instrText>
      </w:r>
      <w:r>
        <w:rPr>
          <w:i/>
        </w:rPr>
        <w:fldChar w:fldCharType="end"/>
      </w:r>
      <w:r>
        <w:t xml:space="preserve">. Anselm </w:t>
      </w:r>
      <w:r w:rsidR="00574B5A">
        <w:t xml:space="preserve">optoval pro definici </w:t>
      </w:r>
      <w:r w:rsidRPr="00273106">
        <w:t xml:space="preserve">věcí v jejich archetypické správnosti dané boží stvořitelskou vůlí. </w:t>
      </w:r>
      <w:r>
        <w:t xml:space="preserve">Pravda jako </w:t>
      </w:r>
      <w:r w:rsidRPr="00273106">
        <w:rPr>
          <w:i/>
        </w:rPr>
        <w:t>rectitudo</w:t>
      </w:r>
      <w:r>
        <w:t xml:space="preserve"> dostala metafyzický </w:t>
      </w:r>
      <w:r w:rsidRPr="00273106">
        <w:t xml:space="preserve">statut v rámci ontoteologické konstrukce dané skrze </w:t>
      </w:r>
      <w:r w:rsidR="00874074">
        <w:t>neoplatonsk</w:t>
      </w:r>
      <w:r w:rsidRPr="00273106">
        <w:t>é pojetí pravdy jako ideové míry všech existujících věcí (</w:t>
      </w:r>
      <w:r w:rsidRPr="00273106">
        <w:rPr>
          <w:i/>
        </w:rPr>
        <w:t>manifestum est earum omnium unam solam esse rectitudinem</w:t>
      </w:r>
      <w:r>
        <w:t xml:space="preserve">; </w:t>
      </w:r>
      <w:r w:rsidRPr="00533592">
        <w:rPr>
          <w:i/>
        </w:rPr>
        <w:t>Dialogus de Veritate</w:t>
      </w:r>
      <w:r w:rsidR="082E409D">
        <w:t xml:space="preserve">, </w:t>
      </w:r>
      <w:r w:rsidRPr="00273106">
        <w:t>486C</w:t>
      </w:r>
      <w:r>
        <w:fldChar w:fldCharType="begin"/>
      </w:r>
      <w:r>
        <w:instrText xml:space="preserve"> XE "Anselm:</w:instrText>
      </w:r>
      <w:r w:rsidRPr="004C51E1">
        <w:rPr>
          <w:i/>
        </w:rPr>
        <w:instrText>Dialogus de Veritate</w:instrText>
      </w:r>
      <w:r>
        <w:instrText xml:space="preserve"> </w:instrText>
      </w:r>
      <w:r w:rsidRPr="004C51E1">
        <w:instrText>4</w:instrText>
      </w:r>
      <w:r>
        <w:instrText xml:space="preserve">86C" </w:instrText>
      </w:r>
      <w:r>
        <w:fldChar w:fldCharType="end"/>
      </w:r>
      <w:r w:rsidRPr="00273106">
        <w:t xml:space="preserve">). Avicenna k etablování správnosti a jistoty na boží úrovni použil nikoliv </w:t>
      </w:r>
      <w:r>
        <w:t xml:space="preserve">demiurgickou </w:t>
      </w:r>
      <w:r w:rsidRPr="00273106">
        <w:t>vůli</w:t>
      </w:r>
      <w:r>
        <w:t xml:space="preserve"> jako Anselm</w:t>
      </w:r>
      <w:r w:rsidRPr="00273106">
        <w:t xml:space="preserve">, ale </w:t>
      </w:r>
      <w:r w:rsidR="00574B5A">
        <w:t xml:space="preserve">čistě filosofický </w:t>
      </w:r>
      <w:r w:rsidRPr="00273106">
        <w:t>koncept druhé intencionality a komitace</w:t>
      </w:r>
      <w:r>
        <w:fldChar w:fldCharType="begin"/>
      </w:r>
      <w:r>
        <w:instrText xml:space="preserve"> XE "</w:instrText>
      </w:r>
      <w:r w:rsidRPr="00467B7F">
        <w:instrText>komitace</w:instrText>
      </w:r>
      <w:r>
        <w:instrText xml:space="preserve">" </w:instrText>
      </w:r>
      <w:r>
        <w:fldChar w:fldCharType="end"/>
      </w:r>
      <w:r w:rsidRPr="00273106">
        <w:t xml:space="preserve"> (</w:t>
      </w:r>
      <w:r w:rsidR="082E409D">
        <w:t xml:space="preserve">OBJ I, </w:t>
      </w:r>
      <w:r w:rsidRPr="00273106">
        <w:t xml:space="preserve">kap. 2.3.2). Oba neoplatonikové </w:t>
      </w:r>
      <w:r>
        <w:t xml:space="preserve">falsafy a scholastiky </w:t>
      </w:r>
      <w:r w:rsidRPr="00273106">
        <w:t xml:space="preserve">se shodují v tom, že </w:t>
      </w:r>
      <w:r w:rsidR="00597E75">
        <w:t xml:space="preserve">význam </w:t>
      </w:r>
      <w:r w:rsidRPr="00273106">
        <w:t xml:space="preserve">věcí ustavených v archetypické sféře </w:t>
      </w:r>
      <w:r w:rsidR="08D65FFD">
        <w:t xml:space="preserve">boží </w:t>
      </w:r>
      <w:r w:rsidRPr="00273106">
        <w:t xml:space="preserve">vůle a </w:t>
      </w:r>
      <w:r w:rsidRPr="00273106">
        <w:lastRenderedPageBreak/>
        <w:t xml:space="preserve">intelektu </w:t>
      </w:r>
      <w:r w:rsidR="00597E75">
        <w:t xml:space="preserve">zajišťuje </w:t>
      </w:r>
      <w:r w:rsidRPr="00273106">
        <w:t xml:space="preserve">normativní bytí věci. </w:t>
      </w:r>
      <w:r>
        <w:t>Její následná a pouze kontingentní existence v realitě má potřebné univerzální, věčné a nutné oprávnění ke svému individuálnímu aktu bytí. Toto pojetí aktualizuje Leibniz skrze princip dosta</w:t>
      </w:r>
      <w:r w:rsidRPr="00273106">
        <w:t>tečného důvodu</w:t>
      </w:r>
      <w:r>
        <w:fldChar w:fldCharType="begin"/>
      </w:r>
      <w:r>
        <w:instrText xml:space="preserve"> XE "</w:instrText>
      </w:r>
      <w:r w:rsidRPr="00E165B0">
        <w:instrText>princip dostatečného důvodu</w:instrText>
      </w:r>
      <w:r>
        <w:instrText xml:space="preserve">" </w:instrText>
      </w:r>
      <w:r>
        <w:fldChar w:fldCharType="end"/>
      </w:r>
      <w:r w:rsidRPr="00273106">
        <w:t xml:space="preserve"> </w:t>
      </w:r>
      <w:r w:rsidR="00D74B2F">
        <w:t>pro postmodernu</w:t>
      </w:r>
      <w:r>
        <w:t>. Anselmovo pojetí pravdy zahájilo na latinském Západě proces zatmění první substance</w:t>
      </w:r>
      <w:r>
        <w:fldChar w:fldCharType="begin"/>
      </w:r>
      <w:r>
        <w:instrText xml:space="preserve"> XE "</w:instrText>
      </w:r>
      <w:r w:rsidRPr="00DE2A32">
        <w:instrText>substance</w:instrText>
      </w:r>
      <w:r>
        <w:instrText xml:space="preserve">:zatmění" </w:instrText>
      </w:r>
      <w:r>
        <w:fldChar w:fldCharType="end"/>
      </w:r>
      <w:r>
        <w:t xml:space="preserve"> skrze demiurgickou vůli subjektu (</w:t>
      </w:r>
      <w:r w:rsidRPr="00883156">
        <w:rPr>
          <w:i/>
        </w:rPr>
        <w:t>Seinsverge</w:t>
      </w:r>
      <w:r w:rsidR="081629CF">
        <w:rPr>
          <w:i/>
        </w:rPr>
        <w:t>s</w:t>
      </w:r>
      <w:r w:rsidRPr="00883156">
        <w:rPr>
          <w:i/>
        </w:rPr>
        <w:t>senheit</w:t>
      </w:r>
      <w:r w:rsidR="083D4DDF">
        <w:rPr>
          <w:i/>
        </w:rPr>
        <w:fldChar w:fldCharType="begin"/>
      </w:r>
      <w:r w:rsidR="083D4DDF">
        <w:instrText xml:space="preserve"> XE "</w:instrText>
      </w:r>
      <w:r w:rsidR="083D4DDF" w:rsidRPr="08A719C4">
        <w:rPr>
          <w:i/>
        </w:rPr>
        <w:instrText>Seinsvergessenheit</w:instrText>
      </w:r>
      <w:r w:rsidR="083D4DDF">
        <w:instrText xml:space="preserve">" </w:instrText>
      </w:r>
      <w:r w:rsidR="083D4DDF">
        <w:rPr>
          <w:i/>
        </w:rPr>
        <w:fldChar w:fldCharType="end"/>
      </w:r>
      <w:r>
        <w:t xml:space="preserve">). </w:t>
      </w:r>
      <w:r w:rsidRPr="00273106">
        <w:t xml:space="preserve">V západní scholastice navazující na dědictví falsafy vznikla nová větev neoplatonismu propagující pojetí pravdy jako přímé iluminace intelektu dané nasvícením smyslu jsoucna zezadu. </w:t>
      </w:r>
      <w:r>
        <w:t xml:space="preserve">Zatmění první substance v modu Anselmova moderního </w:t>
      </w:r>
      <w:r w:rsidRPr="003D272A">
        <w:rPr>
          <w:i/>
        </w:rPr>
        <w:t>Irrtum</w:t>
      </w:r>
      <w:r>
        <w:rPr>
          <w:i/>
        </w:rPr>
        <w:fldChar w:fldCharType="begin"/>
      </w:r>
      <w:r>
        <w:instrText xml:space="preserve"> XE "</w:instrText>
      </w:r>
      <w:r w:rsidRPr="00453B3F">
        <w:rPr>
          <w:i/>
        </w:rPr>
        <w:instrText>Irrtum</w:instrText>
      </w:r>
      <w:r>
        <w:instrText xml:space="preserve">:Anselm" </w:instrText>
      </w:r>
      <w:r>
        <w:rPr>
          <w:i/>
        </w:rPr>
        <w:fldChar w:fldCharType="end"/>
      </w:r>
      <w:r>
        <w:t xml:space="preserve"> zásadně </w:t>
      </w:r>
      <w:r w:rsidR="080D596E">
        <w:t xml:space="preserve">kritizoval </w:t>
      </w:r>
      <w:r>
        <w:t xml:space="preserve">aristotelik </w:t>
      </w:r>
      <w:r w:rsidR="00CB3E4F">
        <w:t>Abélard</w:t>
      </w:r>
      <w:r>
        <w:t xml:space="preserve">, jenž </w:t>
      </w:r>
      <w:r w:rsidRPr="00273106">
        <w:t xml:space="preserve">odmítl </w:t>
      </w:r>
      <w:r w:rsidR="08D70F9A">
        <w:t xml:space="preserve">Anselmovo </w:t>
      </w:r>
      <w:r w:rsidRPr="00273106">
        <w:t xml:space="preserve">čistě nominální </w:t>
      </w:r>
      <w:r w:rsidRPr="00273106">
        <w:rPr>
          <w:i/>
        </w:rPr>
        <w:t xml:space="preserve">significatio </w:t>
      </w:r>
      <w:r w:rsidRPr="00273106">
        <w:t>pro adekvační teorii pravdy.</w:t>
      </w:r>
      <w:r>
        <w:t xml:space="preserve"> </w:t>
      </w:r>
      <w:r w:rsidR="00CE6413">
        <w:t xml:space="preserve">Následující </w:t>
      </w:r>
      <w:r w:rsidRPr="00273106">
        <w:t>kapitola</w:t>
      </w:r>
      <w:r>
        <w:t xml:space="preserve"> analyz</w:t>
      </w:r>
      <w:r w:rsidR="00CE6413">
        <w:t xml:space="preserve">uje </w:t>
      </w:r>
      <w:r>
        <w:t xml:space="preserve">jeho brilantní rozlišení </w:t>
      </w:r>
      <w:r w:rsidR="00D54A24">
        <w:t xml:space="preserve">kategoriálních výpovědí </w:t>
      </w:r>
      <w:r>
        <w:t xml:space="preserve">podle impozice a supozice. Pojetí pravdy jako </w:t>
      </w:r>
      <w:r w:rsidRPr="000053EA">
        <w:rPr>
          <w:i/>
        </w:rPr>
        <w:t>rectitudo</w:t>
      </w:r>
      <w:r>
        <w:t xml:space="preserve"> dané </w:t>
      </w:r>
      <w:r w:rsidR="00A13058">
        <w:t xml:space="preserve">supozicí </w:t>
      </w:r>
      <w:r>
        <w:t xml:space="preserve">významu mimo reálnou věc </w:t>
      </w:r>
      <w:r>
        <w:fldChar w:fldCharType="begin"/>
      </w:r>
      <w:r>
        <w:instrText xml:space="preserve"> XE "impozice:Abelard" </w:instrText>
      </w:r>
      <w:r>
        <w:fldChar w:fldCharType="end"/>
      </w:r>
      <w:r>
        <w:t>má pro Abelarda pouze ekvivoční význam. Supozice takového významu zůstává na úrovni pouhého slova (</w:t>
      </w:r>
      <w:r w:rsidRPr="00AE7D13">
        <w:rPr>
          <w:i/>
        </w:rPr>
        <w:t>oratio</w:t>
      </w:r>
      <w:r>
        <w:t xml:space="preserve">, </w:t>
      </w:r>
      <w:r w:rsidRPr="00AE7D13">
        <w:rPr>
          <w:i/>
        </w:rPr>
        <w:t>nominatio</w:t>
      </w:r>
      <w:r>
        <w:t xml:space="preserve">). </w:t>
      </w:r>
      <w:r w:rsidR="08211204">
        <w:t>V</w:t>
      </w:r>
      <w:r w:rsidR="08211204" w:rsidRPr="00273106">
        <w:t>ýznam determinovan</w:t>
      </w:r>
      <w:r w:rsidR="08211204">
        <w:t>ý</w:t>
      </w:r>
      <w:r w:rsidR="08211204" w:rsidRPr="00273106">
        <w:t xml:space="preserve"> pouze z mysli nemá univoční význam nutný pro kategoriální určení </w:t>
      </w:r>
      <w:r w:rsidR="08211204">
        <w:t xml:space="preserve">druhé </w:t>
      </w:r>
      <w:r w:rsidR="08211204" w:rsidRPr="00273106">
        <w:t xml:space="preserve">substance. </w:t>
      </w:r>
      <w:r w:rsidR="08EE16C8">
        <w:t>A</w:t>
      </w:r>
      <w:r w:rsidRPr="00273106">
        <w:t xml:space="preserve">ktualita první substance </w:t>
      </w:r>
      <w:r w:rsidR="00EF6302">
        <w:t xml:space="preserve">jako jediná </w:t>
      </w:r>
      <w:r w:rsidRPr="00273106">
        <w:t xml:space="preserve">zakládá </w:t>
      </w:r>
      <w:r w:rsidR="00EF6302">
        <w:t xml:space="preserve">jednoznačné </w:t>
      </w:r>
      <w:r w:rsidRPr="00273106">
        <w:t>určení pravdy v</w:t>
      </w:r>
      <w:r w:rsidR="00BB553A">
        <w:t> </w:t>
      </w:r>
      <w:r w:rsidRPr="00273106">
        <w:t>rámci</w:t>
      </w:r>
      <w:r w:rsidR="00BB553A">
        <w:t xml:space="preserve"> impozice </w:t>
      </w:r>
      <w:r w:rsidR="00272870">
        <w:t>smyslu z reality na druhou substanci</w:t>
      </w:r>
      <w:r w:rsidR="08C72A71">
        <w:t>.</w:t>
      </w:r>
    </w:p>
    <w:p w14:paraId="697B1A3A" w14:textId="6C8C576D" w:rsidR="00742735" w:rsidRDefault="08C72A71" w:rsidP="001B156E">
      <w:r>
        <w:tab/>
      </w:r>
      <w:r w:rsidR="001B156E">
        <w:t xml:space="preserve">Klíčový krok k objektivně pojaté </w:t>
      </w:r>
      <w:r w:rsidR="001B156E" w:rsidRPr="00273106">
        <w:t xml:space="preserve">substanci třetího druhu obsahuje </w:t>
      </w:r>
      <w:r w:rsidR="001B156E">
        <w:t xml:space="preserve">Anselmův </w:t>
      </w:r>
      <w:r w:rsidR="001B156E" w:rsidRPr="00273106">
        <w:t xml:space="preserve">spis </w:t>
      </w:r>
      <w:r w:rsidR="001B156E" w:rsidRPr="00273106">
        <w:rPr>
          <w:i/>
        </w:rPr>
        <w:t>Monologion</w:t>
      </w:r>
      <w:r w:rsidR="001B156E">
        <w:t xml:space="preserve"> (1076). Kapitola</w:t>
      </w:r>
      <w:r w:rsidR="001B156E" w:rsidRPr="00273106">
        <w:t xml:space="preserve"> 65 definuje rozdíl mezi niterným bytím boží Trojice a </w:t>
      </w:r>
      <w:r w:rsidR="001B156E">
        <w:t xml:space="preserve">mezi </w:t>
      </w:r>
      <w:r w:rsidR="001B156E" w:rsidRPr="00273106">
        <w:t>jejími projevy</w:t>
      </w:r>
      <w:r w:rsidR="001B156E">
        <w:t xml:space="preserve"> směrem do stvoření</w:t>
      </w:r>
      <w:r w:rsidR="001B156E" w:rsidRPr="00273106">
        <w:t xml:space="preserve">. </w:t>
      </w:r>
      <w:r w:rsidR="001B156E">
        <w:t xml:space="preserve">Ve falsafě řešil podobný problém </w:t>
      </w:r>
      <w:r w:rsidR="08B03E4B">
        <w:t xml:space="preserve">rektor </w:t>
      </w:r>
      <w:r w:rsidR="001B156E">
        <w:t>tehdejší univerzity v Bagdádu, jakobitský křesťan Ibn Ádí (</w:t>
      </w:r>
      <w:r w:rsidR="089E2530">
        <w:t xml:space="preserve">OBJ I, </w:t>
      </w:r>
      <w:r w:rsidR="001B156E">
        <w:t xml:space="preserve">kap. 2.2). </w:t>
      </w:r>
      <w:r w:rsidR="001B156E" w:rsidRPr="00273106">
        <w:t>Anselm musí určit charakter podobnosti (</w:t>
      </w:r>
      <w:r w:rsidR="001B156E" w:rsidRPr="00273106">
        <w:rPr>
          <w:i/>
        </w:rPr>
        <w:t>similitudo</w:t>
      </w:r>
      <w:r w:rsidR="001B156E" w:rsidRPr="00273106">
        <w:t>) mezi Stvořitelem a stvořením tak, aby zachránil boží nepoznatelnost, a zároveň ji uvedl do poznatelného vztahu směrem k nám.</w:t>
      </w:r>
      <w:r w:rsidR="001B156E" w:rsidRPr="00273106">
        <w:rPr>
          <w:rStyle w:val="Znakapoznpodarou"/>
        </w:rPr>
        <w:footnoteReference w:id="16"/>
      </w:r>
      <w:r w:rsidR="001B156E" w:rsidRPr="00273106">
        <w:t xml:space="preserve"> Hermeneutiku zajímá</w:t>
      </w:r>
      <w:r w:rsidR="08A20128">
        <w:t xml:space="preserve"> v uvedeném citátu rozdíl mezi </w:t>
      </w:r>
      <w:r w:rsidR="001B156E" w:rsidRPr="00273106">
        <w:rPr>
          <w:i/>
        </w:rPr>
        <w:t>proprietas expressa</w:t>
      </w:r>
      <w:r w:rsidR="001B156E" w:rsidRPr="00273106">
        <w:t xml:space="preserve"> a</w:t>
      </w:r>
      <w:r w:rsidR="08A20128">
        <w:t xml:space="preserve"> </w:t>
      </w:r>
      <w:r w:rsidR="001B156E" w:rsidRPr="00273106">
        <w:rPr>
          <w:i/>
        </w:rPr>
        <w:t>proprietas designata</w:t>
      </w:r>
      <w:r w:rsidR="001B156E" w:rsidRPr="00273106">
        <w:t>. Boha nevidíme, jak bytuje o sobě (</w:t>
      </w:r>
      <w:r w:rsidR="001B156E" w:rsidRPr="00273106">
        <w:rPr>
          <w:i/>
        </w:rPr>
        <w:t>non videmus per suam proprietatem</w:t>
      </w:r>
      <w:r w:rsidR="001B156E" w:rsidRPr="00273106">
        <w:t>). Tím pádem neznáme ani jeho interní vlastnosti přímo navázané na jeho substanci (</w:t>
      </w:r>
      <w:r w:rsidR="001B156E" w:rsidRPr="00273106">
        <w:rPr>
          <w:i/>
        </w:rPr>
        <w:t>per essentiae suae proprietatem expressa</w:t>
      </w:r>
      <w:r w:rsidR="001B156E" w:rsidRPr="00273106">
        <w:t xml:space="preserve">). Ale jsme schopni v řádu jazyka a podobnosti provést správnou designaci božích vlastností, i když v modu </w:t>
      </w:r>
      <w:r w:rsidR="001B156E" w:rsidRPr="00273106">
        <w:lastRenderedPageBreak/>
        <w:t>nepodobnosti (</w:t>
      </w:r>
      <w:r w:rsidR="001B156E" w:rsidRPr="00273106">
        <w:rPr>
          <w:i/>
        </w:rPr>
        <w:t>per aliud designata</w:t>
      </w:r>
      <w:r w:rsidR="001B156E" w:rsidRPr="00273106">
        <w:t xml:space="preserve">). </w:t>
      </w:r>
      <w:r w:rsidR="08A20128">
        <w:t>Expresivita popisuje boha jako věc o sobě</w:t>
      </w:r>
      <w:r w:rsidR="001B156E" w:rsidRPr="00273106">
        <w:t>, zatímco designace jej určuje v jeho fenomenalitě</w:t>
      </w:r>
      <w:r w:rsidR="08A20128">
        <w:t xml:space="preserve"> pro nás. </w:t>
      </w:r>
      <w:r w:rsidR="080C3A21">
        <w:t xml:space="preserve">Tím vznikla na latinském Západě nová varianta </w:t>
      </w:r>
      <w:r w:rsidR="080C3A21" w:rsidRPr="08473612">
        <w:rPr>
          <w:i/>
        </w:rPr>
        <w:t>esse ad</w:t>
      </w:r>
      <w:r w:rsidR="080C3A21">
        <w:rPr>
          <w:i/>
        </w:rPr>
        <w:fldChar w:fldCharType="begin"/>
      </w:r>
      <w:r w:rsidR="080C3A21">
        <w:instrText xml:space="preserve"> XE "</w:instrText>
      </w:r>
      <w:r w:rsidR="080C3A21" w:rsidRPr="089F33BC">
        <w:rPr>
          <w:i/>
        </w:rPr>
        <w:instrText>esse ad</w:instrText>
      </w:r>
      <w:r w:rsidR="080C3A21" w:rsidRPr="082810B4">
        <w:instrText>:Anselm</w:instrText>
      </w:r>
      <w:r w:rsidR="080C3A21">
        <w:instrText xml:space="preserve">" </w:instrText>
      </w:r>
      <w:r w:rsidR="080C3A21">
        <w:rPr>
          <w:i/>
        </w:rPr>
        <w:fldChar w:fldCharType="end"/>
      </w:r>
      <w:r w:rsidR="080C3A21">
        <w:t xml:space="preserve">, kterou ve falsafě zavedl Ibn Ádí. </w:t>
      </w:r>
      <w:r w:rsidR="080C3A21" w:rsidRPr="00273106">
        <w:t xml:space="preserve">Modernisté </w:t>
      </w:r>
      <w:r w:rsidR="080C3A21" w:rsidRPr="00273106">
        <w:rPr>
          <w:rStyle w:val="s"/>
        </w:rPr>
        <w:t xml:space="preserve">převedli uvedený scénář podobnosti </w:t>
      </w:r>
      <w:r w:rsidR="080C3A21">
        <w:rPr>
          <w:rStyle w:val="s"/>
        </w:rPr>
        <w:t xml:space="preserve">boha a stvoření v modu </w:t>
      </w:r>
      <w:r w:rsidR="080C3A21" w:rsidRPr="00273106">
        <w:rPr>
          <w:i/>
        </w:rPr>
        <w:t>proprietas designata</w:t>
      </w:r>
      <w:r w:rsidR="080C3A21">
        <w:t xml:space="preserve"> </w:t>
      </w:r>
      <w:r w:rsidR="080C3A21" w:rsidRPr="00273106">
        <w:rPr>
          <w:rStyle w:val="s"/>
        </w:rPr>
        <w:t>do nové formy soudu, kde střední člen je dán čistě univerzálně a mimo vztah k reálné substanci.</w:t>
      </w:r>
      <w:r w:rsidR="080C3A21">
        <w:rPr>
          <w:rStyle w:val="s"/>
        </w:rPr>
        <w:t xml:space="preserve"> </w:t>
      </w:r>
      <w:r w:rsidR="001B156E">
        <w:t>Rozdíl mezi expresivitou a designací dokoná zatmění první substance</w:t>
      </w:r>
      <w:r w:rsidR="001B156E">
        <w:fldChar w:fldCharType="begin"/>
      </w:r>
      <w:r w:rsidR="001B156E">
        <w:instrText xml:space="preserve"> XE "</w:instrText>
      </w:r>
      <w:r w:rsidR="001B156E" w:rsidRPr="00C27681">
        <w:instrText>zatmění</w:instrText>
      </w:r>
      <w:r w:rsidR="001B156E">
        <w:instrText>:</w:instrText>
      </w:r>
      <w:r w:rsidR="001B156E" w:rsidRPr="00C27681">
        <w:instrText>substance</w:instrText>
      </w:r>
      <w:r w:rsidR="001B156E">
        <w:instrText xml:space="preserve">" </w:instrText>
      </w:r>
      <w:r w:rsidR="001B156E">
        <w:fldChar w:fldCharType="end"/>
      </w:r>
      <w:r w:rsidR="001B156E">
        <w:t xml:space="preserve">, která se stane ve své bytnosti stejně nepoznatelnou jako bůh ve svém bytí. </w:t>
      </w:r>
      <w:r w:rsidR="08927CC8">
        <w:rPr>
          <w:rStyle w:val="s"/>
        </w:rPr>
        <w:t xml:space="preserve">Anselm </w:t>
      </w:r>
      <w:r w:rsidR="007A6530">
        <w:rPr>
          <w:rStyle w:val="s"/>
        </w:rPr>
        <w:t xml:space="preserve">definuje </w:t>
      </w:r>
      <w:r w:rsidR="08927CC8">
        <w:rPr>
          <w:rStyle w:val="s"/>
        </w:rPr>
        <w:t>první substanci</w:t>
      </w:r>
      <w:r w:rsidR="08927CC8" w:rsidRPr="00273106">
        <w:rPr>
          <w:rStyle w:val="s"/>
        </w:rPr>
        <w:t xml:space="preserve"> </w:t>
      </w:r>
      <w:r w:rsidR="08927CC8">
        <w:rPr>
          <w:rStyle w:val="s"/>
        </w:rPr>
        <w:t xml:space="preserve">v modu pravdy jako správnosti a jistoty pouze </w:t>
      </w:r>
      <w:r w:rsidR="08927CC8" w:rsidRPr="00273106">
        <w:rPr>
          <w:rStyle w:val="s"/>
        </w:rPr>
        <w:t>pomocí esence (</w:t>
      </w:r>
      <w:r w:rsidR="08927CC8" w:rsidRPr="00273106">
        <w:rPr>
          <w:i/>
        </w:rPr>
        <w:t>per essentiae suae proprietatem expressa</w:t>
      </w:r>
      <w:r w:rsidR="08927CC8">
        <w:t xml:space="preserve">), která je dána pouze </w:t>
      </w:r>
      <w:r w:rsidR="08927CC8" w:rsidRPr="00273106">
        <w:t>jako čistý poznatek v mysli</w:t>
      </w:r>
      <w:r w:rsidR="08927CC8">
        <w:t xml:space="preserve"> napojené na boží demiurgickou pravdu. </w:t>
      </w:r>
      <w:r w:rsidR="008E7458">
        <w:t>Poznání reálného světa vzalo</w:t>
      </w:r>
      <w:r w:rsidR="008E7458" w:rsidRPr="008E7458">
        <w:t xml:space="preserve"> demiurgickou božskou pravdu jako </w:t>
      </w:r>
      <w:r w:rsidR="008E7458" w:rsidRPr="008E7458">
        <w:rPr>
          <w:i/>
        </w:rPr>
        <w:t>conditio sine qua non</w:t>
      </w:r>
      <w:r w:rsidR="008E7458" w:rsidRPr="008E7458">
        <w:t xml:space="preserve"> přirozeného poznání ve filozofii a vědách. Další generace modernistů tuto ontoteologii převedly přímo do koncepce aristotelské vědy.</w:t>
      </w:r>
      <w:r w:rsidR="008E7458">
        <w:t xml:space="preserve"> </w:t>
      </w:r>
      <w:r w:rsidR="08C90633">
        <w:rPr>
          <w:rStyle w:val="s"/>
        </w:rPr>
        <w:t xml:space="preserve">Zavedením </w:t>
      </w:r>
      <w:r w:rsidR="08C90633" w:rsidRPr="00580364">
        <w:rPr>
          <w:rStyle w:val="s"/>
          <w:i/>
        </w:rPr>
        <w:t>Oxfordian Fallacy</w:t>
      </w:r>
      <w:r w:rsidR="08C90633">
        <w:rPr>
          <w:rStyle w:val="s"/>
        </w:rPr>
        <w:t xml:space="preserve"> vzniklo kompletní zatmění první substa</w:t>
      </w:r>
      <w:r w:rsidR="08F40819">
        <w:rPr>
          <w:rStyle w:val="s"/>
        </w:rPr>
        <w:t>nce v moderní metafyzice (kap. 3</w:t>
      </w:r>
      <w:r w:rsidR="08C90633">
        <w:rPr>
          <w:rStyle w:val="s"/>
        </w:rPr>
        <w:t xml:space="preserve">.1.1). </w:t>
      </w:r>
      <w:r w:rsidR="089755AA" w:rsidRPr="00273106">
        <w:rPr>
          <w:rStyle w:val="s"/>
        </w:rPr>
        <w:t>Rufus z Cornwallu</w:t>
      </w:r>
      <w:r w:rsidR="089755AA">
        <w:rPr>
          <w:rStyle w:val="s"/>
        </w:rPr>
        <w:t xml:space="preserve"> nechal boží nepostižitelnost </w:t>
      </w:r>
      <w:r w:rsidR="089755AA" w:rsidRPr="00273106">
        <w:rPr>
          <w:rStyle w:val="s"/>
        </w:rPr>
        <w:t>platit i pro první substanci danou v realitě</w:t>
      </w:r>
      <w:r w:rsidR="08BD2876">
        <w:rPr>
          <w:rStyle w:val="s"/>
        </w:rPr>
        <w:t xml:space="preserve">, která se stala nepoznatelnou stejně jako bůh </w:t>
      </w:r>
      <w:r w:rsidR="089755AA" w:rsidRPr="00273106">
        <w:rPr>
          <w:rStyle w:val="s"/>
        </w:rPr>
        <w:t>(</w:t>
      </w:r>
      <w:r w:rsidR="089755AA" w:rsidRPr="00273106">
        <w:rPr>
          <w:i/>
        </w:rPr>
        <w:t>ipsam ineffabilem persistere</w:t>
      </w:r>
      <w:r w:rsidR="089755AA">
        <w:rPr>
          <w:rStyle w:val="s"/>
        </w:rPr>
        <w:t xml:space="preserve">, </w:t>
      </w:r>
      <w:r w:rsidR="08F40819">
        <w:rPr>
          <w:rStyle w:val="s"/>
        </w:rPr>
        <w:t>kap. 3</w:t>
      </w:r>
      <w:r w:rsidR="089755AA" w:rsidRPr="00273106">
        <w:rPr>
          <w:rStyle w:val="s"/>
        </w:rPr>
        <w:t xml:space="preserve">.3.4). </w:t>
      </w:r>
      <w:r w:rsidR="089755AA">
        <w:t>Expresivita se oddělila od nepoznatelné první subst</w:t>
      </w:r>
      <w:r w:rsidR="00EA0FCF">
        <w:t xml:space="preserve">ance dané v realitě (viz Kantův pojem </w:t>
      </w:r>
      <w:r w:rsidR="089755AA" w:rsidRPr="082E3739">
        <w:rPr>
          <w:i/>
        </w:rPr>
        <w:t>Noumenon</w:t>
      </w:r>
      <w:r w:rsidR="089755AA">
        <w:t xml:space="preserve">) a začala se predikovat pomocí hypostázovaných vlastností daných univerzálně. </w:t>
      </w:r>
      <w:r w:rsidR="08927CC8">
        <w:t xml:space="preserve">Rufus udělá z </w:t>
      </w:r>
      <w:r w:rsidR="08B71D78">
        <w:t xml:space="preserve">mystického </w:t>
      </w:r>
      <w:r w:rsidR="08927CC8">
        <w:t xml:space="preserve">náhledu </w:t>
      </w:r>
      <w:r w:rsidR="08B71D78">
        <w:t xml:space="preserve">na </w:t>
      </w:r>
      <w:r w:rsidR="00622D7E">
        <w:t xml:space="preserve">tuto </w:t>
      </w:r>
      <w:r w:rsidR="08B71D78">
        <w:t xml:space="preserve">nevýstižnou první substanci </w:t>
      </w:r>
      <w:r w:rsidR="00622D7E">
        <w:t xml:space="preserve">další </w:t>
      </w:r>
      <w:r w:rsidR="08927CC8">
        <w:t xml:space="preserve">verzi objektivního jsoucna </w:t>
      </w:r>
      <w:r w:rsidR="08927CC8" w:rsidRPr="00273106">
        <w:t>(</w:t>
      </w:r>
      <w:r w:rsidR="08927CC8" w:rsidRPr="00273106">
        <w:rPr>
          <w:i/>
        </w:rPr>
        <w:t>scibile</w:t>
      </w:r>
      <w:r w:rsidR="08927CC8">
        <w:rPr>
          <w:i/>
        </w:rPr>
        <w:fldChar w:fldCharType="begin"/>
      </w:r>
      <w:r w:rsidR="08927CC8">
        <w:instrText xml:space="preserve"> XE "</w:instrText>
      </w:r>
      <w:r w:rsidR="08927CC8" w:rsidRPr="00AA4F67">
        <w:rPr>
          <w:i/>
        </w:rPr>
        <w:instrText>scibile</w:instrText>
      </w:r>
      <w:r w:rsidR="08927CC8" w:rsidRPr="00057A1C">
        <w:instrText>:Anselm</w:instrText>
      </w:r>
      <w:r w:rsidR="08927CC8">
        <w:instrText xml:space="preserve">" </w:instrText>
      </w:r>
      <w:r w:rsidR="08927CC8">
        <w:rPr>
          <w:i/>
        </w:rPr>
        <w:fldChar w:fldCharType="end"/>
      </w:r>
      <w:r w:rsidR="088D7D36">
        <w:t>, kap. 3</w:t>
      </w:r>
      <w:r w:rsidR="08927CC8">
        <w:t>.3.2</w:t>
      </w:r>
      <w:r w:rsidR="08927CC8" w:rsidRPr="00273106">
        <w:t>).</w:t>
      </w:r>
      <w:r w:rsidR="08927CC8">
        <w:t xml:space="preserve"> </w:t>
      </w:r>
      <w:r w:rsidR="001B156E" w:rsidRPr="00273106">
        <w:t xml:space="preserve">Nástupci Anselma v první polovině 13. století už nepotřebovali první substanci definovanou ve spisu </w:t>
      </w:r>
      <w:r w:rsidR="001B156E" w:rsidRPr="009C3161">
        <w:rPr>
          <w:i/>
        </w:rPr>
        <w:t>Kategorie</w:t>
      </w:r>
      <w:r w:rsidR="000F5050">
        <w:t xml:space="preserve">. Modernisté redukovali hyparchickou </w:t>
      </w:r>
      <w:r w:rsidR="001B156E" w:rsidRPr="00273106">
        <w:t xml:space="preserve"> </w:t>
      </w:r>
      <w:r w:rsidR="000F5050">
        <w:t xml:space="preserve">substanci </w:t>
      </w:r>
      <w:r w:rsidR="001B156E" w:rsidRPr="00273106">
        <w:t xml:space="preserve">na sbírku </w:t>
      </w:r>
      <w:r w:rsidR="007916FD">
        <w:t xml:space="preserve">hypostázovaných </w:t>
      </w:r>
      <w:r w:rsidR="001B156E" w:rsidRPr="00273106">
        <w:t xml:space="preserve">akcidentů a různých transcendentálií vytvořených </w:t>
      </w:r>
      <w:r w:rsidR="001B156E" w:rsidRPr="00273106">
        <w:rPr>
          <w:i/>
        </w:rPr>
        <w:t>ad hoc</w:t>
      </w:r>
      <w:r w:rsidR="001B156E" w:rsidRPr="00273106">
        <w:t>.</w:t>
      </w:r>
      <w:r w:rsidR="001B156E">
        <w:t xml:space="preserve"> </w:t>
      </w:r>
      <w:r w:rsidR="001B156E">
        <w:rPr>
          <w:rStyle w:val="s"/>
        </w:rPr>
        <w:t xml:space="preserve">Designace první substance se provede sběrem </w:t>
      </w:r>
      <w:r w:rsidR="001B156E" w:rsidRPr="00273106">
        <w:rPr>
          <w:rStyle w:val="s"/>
        </w:rPr>
        <w:t>akcidentů postavených mimo substanci</w:t>
      </w:r>
      <w:r w:rsidR="001B156E">
        <w:rPr>
          <w:rStyle w:val="s"/>
        </w:rPr>
        <w:t xml:space="preserve">. Toto moderní určení atomární substance třetího druhu </w:t>
      </w:r>
      <w:r w:rsidR="000E3EEB">
        <w:rPr>
          <w:rStyle w:val="s"/>
        </w:rPr>
        <w:t xml:space="preserve">později </w:t>
      </w:r>
      <w:r w:rsidR="001B156E">
        <w:rPr>
          <w:rStyle w:val="s"/>
        </w:rPr>
        <w:t>indikuj</w:t>
      </w:r>
      <w:r w:rsidR="08FD3E25">
        <w:rPr>
          <w:rStyle w:val="s"/>
        </w:rPr>
        <w:t xml:space="preserve">í </w:t>
      </w:r>
      <w:r w:rsidR="08123ECA">
        <w:rPr>
          <w:rStyle w:val="s"/>
        </w:rPr>
        <w:t>termín</w:t>
      </w:r>
      <w:r w:rsidR="08FD3E25">
        <w:rPr>
          <w:rStyle w:val="s"/>
        </w:rPr>
        <w:t xml:space="preserve">y </w:t>
      </w:r>
      <w:r w:rsidR="08FD3E25" w:rsidRPr="08FD3E25">
        <w:rPr>
          <w:rStyle w:val="s"/>
          <w:i/>
        </w:rPr>
        <w:t>collectio</w:t>
      </w:r>
      <w:r w:rsidR="08FD3E25">
        <w:rPr>
          <w:rStyle w:val="s"/>
        </w:rPr>
        <w:t xml:space="preserve"> a </w:t>
      </w:r>
      <w:r w:rsidR="001B156E" w:rsidRPr="00273106">
        <w:rPr>
          <w:rStyle w:val="s"/>
          <w:i/>
        </w:rPr>
        <w:t>collecta</w:t>
      </w:r>
      <w:r w:rsidR="001B156E">
        <w:rPr>
          <w:rStyle w:val="s"/>
          <w:i/>
        </w:rPr>
        <w:fldChar w:fldCharType="begin"/>
      </w:r>
      <w:r w:rsidR="001B156E">
        <w:instrText xml:space="preserve"> XE "</w:instrText>
      </w:r>
      <w:r w:rsidR="001B156E" w:rsidRPr="00B424A1">
        <w:rPr>
          <w:i/>
        </w:rPr>
        <w:instrText>collecta</w:instrText>
      </w:r>
      <w:r w:rsidR="001B156E">
        <w:instrText xml:space="preserve">" </w:instrText>
      </w:r>
      <w:r w:rsidR="001B156E">
        <w:rPr>
          <w:rStyle w:val="s"/>
          <w:i/>
        </w:rPr>
        <w:fldChar w:fldCharType="end"/>
      </w:r>
      <w:r w:rsidR="08FD3E25">
        <w:t xml:space="preserve">, které vznikly na konci </w:t>
      </w:r>
      <w:r w:rsidR="08FD3E25" w:rsidRPr="00273106">
        <w:t xml:space="preserve">12. století </w:t>
      </w:r>
      <w:r w:rsidR="08FD3E25">
        <w:t xml:space="preserve">v porretánské škole </w:t>
      </w:r>
      <w:r w:rsidR="08FD3E25" w:rsidRPr="08CC7188">
        <w:rPr>
          <w:i/>
        </w:rPr>
        <w:t>Nominales</w:t>
      </w:r>
      <w:r w:rsidR="08FB3766">
        <w:t xml:space="preserve"> (kap. 1</w:t>
      </w:r>
      <w:r w:rsidR="08FD3E25">
        <w:t>.5</w:t>
      </w:r>
      <w:r w:rsidR="08FD3E25" w:rsidRPr="00273106">
        <w:t>).</w:t>
      </w:r>
      <w:r w:rsidR="087211A4">
        <w:rPr>
          <w:rStyle w:val="s"/>
        </w:rPr>
        <w:t xml:space="preserve"> </w:t>
      </w:r>
      <w:r w:rsidR="001B156E" w:rsidRPr="00273106">
        <w:t xml:space="preserve">Kolekta různorodých vlastností a poznatků nahradila ve škole </w:t>
      </w:r>
      <w:r w:rsidR="001B156E" w:rsidRPr="00774D3C">
        <w:rPr>
          <w:i/>
        </w:rPr>
        <w:t>Modernorum</w:t>
      </w:r>
      <w:r w:rsidR="001B156E">
        <w:t xml:space="preserve"> </w:t>
      </w:r>
      <w:r w:rsidR="001B156E" w:rsidRPr="00273106">
        <w:t xml:space="preserve">hyparchickou funkci první substance. </w:t>
      </w:r>
      <w:r w:rsidR="00CA33DA">
        <w:t xml:space="preserve">Moderní </w:t>
      </w:r>
      <w:r w:rsidR="001B156E" w:rsidRPr="00273106">
        <w:t>správnost (</w:t>
      </w:r>
      <w:r w:rsidR="001B156E" w:rsidRPr="00273106">
        <w:rPr>
          <w:i/>
        </w:rPr>
        <w:t>rectitudo</w:t>
      </w:r>
      <w:r w:rsidR="001B156E" w:rsidRPr="00273106">
        <w:t xml:space="preserve">) garantuje boží, a později už jen lidský subjekt. </w:t>
      </w:r>
      <w:r w:rsidR="08726061" w:rsidRPr="00273106">
        <w:t>Další generace avicennistů včetně postmoderního Descarta a Husserla</w:t>
      </w:r>
      <w:r w:rsidR="08726061">
        <w:fldChar w:fldCharType="begin"/>
      </w:r>
      <w:r w:rsidR="08726061">
        <w:instrText xml:space="preserve"> XE "</w:instrText>
      </w:r>
      <w:r w:rsidR="08726061" w:rsidRPr="000710C4">
        <w:instrText>Husserl, E.</w:instrText>
      </w:r>
      <w:r w:rsidR="08726061">
        <w:instrText xml:space="preserve">" </w:instrText>
      </w:r>
      <w:r w:rsidR="08726061">
        <w:fldChar w:fldCharType="end"/>
      </w:r>
      <w:r w:rsidR="08726061" w:rsidRPr="00273106">
        <w:t xml:space="preserve"> již zcela uzávorkovaly existenci první substance a začaly ji definovat pomocí přímého vidění její esence a exaktních popisů </w:t>
      </w:r>
      <w:r w:rsidR="00872CCA">
        <w:t>jejich gnostických vizí</w:t>
      </w:r>
      <w:r w:rsidR="08726061">
        <w:rPr>
          <w:i/>
          <w:iCs/>
        </w:rPr>
        <w:fldChar w:fldCharType="begin"/>
      </w:r>
      <w:r w:rsidR="08726061">
        <w:instrText xml:space="preserve"> XE "esence:moderna" </w:instrText>
      </w:r>
      <w:r w:rsidR="08726061">
        <w:rPr>
          <w:i/>
          <w:iCs/>
        </w:rPr>
        <w:fldChar w:fldCharType="end"/>
      </w:r>
      <w:r w:rsidR="08726061" w:rsidRPr="00273106">
        <w:t xml:space="preserve">. </w:t>
      </w:r>
      <w:r w:rsidR="089755AA">
        <w:t xml:space="preserve">Postmoderně definovaná </w:t>
      </w:r>
      <w:r w:rsidR="082C3DFC">
        <w:t xml:space="preserve">esence </w:t>
      </w:r>
      <w:r w:rsidR="001B156E" w:rsidRPr="00273106">
        <w:t>vzniklá v rámci noematické kolekty definitivně vytěsnila reálnou první substanci.</w:t>
      </w:r>
      <w:r w:rsidR="001B156E">
        <w:t xml:space="preserve"> </w:t>
      </w:r>
      <w:r w:rsidR="008B12D2">
        <w:t>Neoplatonsk</w:t>
      </w:r>
      <w:r w:rsidR="001B156E" w:rsidRPr="00273106">
        <w:t xml:space="preserve">á moderna </w:t>
      </w:r>
      <w:r w:rsidR="001B156E">
        <w:t xml:space="preserve">a </w:t>
      </w:r>
      <w:r w:rsidR="001B156E">
        <w:lastRenderedPageBreak/>
        <w:t xml:space="preserve">postmoderna </w:t>
      </w:r>
      <w:r w:rsidR="001B156E" w:rsidRPr="00273106">
        <w:t>posunula definici pravdy mimo hyparchický vztah determinovaný reálně existující věcí.</w:t>
      </w:r>
      <w:r w:rsidR="00C81B31">
        <w:t xml:space="preserve"> Neoplato</w:t>
      </w:r>
      <w:r w:rsidR="001B156E">
        <w:t xml:space="preserve">nská univočně pojatá esence zasazená do </w:t>
      </w:r>
      <w:r w:rsidR="001B156E" w:rsidRPr="00273106">
        <w:t xml:space="preserve">analogie boží a lidské vůle spojila </w:t>
      </w:r>
      <w:r w:rsidR="001B156E" w:rsidRPr="00273106">
        <w:rPr>
          <w:i/>
        </w:rPr>
        <w:t>significatio</w:t>
      </w:r>
      <w:r w:rsidR="001B156E" w:rsidRPr="00273106">
        <w:t xml:space="preserve"> a kategoriální </w:t>
      </w:r>
      <w:r w:rsidR="001B156E" w:rsidRPr="00273106">
        <w:rPr>
          <w:i/>
        </w:rPr>
        <w:t>enuntiatio</w:t>
      </w:r>
      <w:r w:rsidR="001B156E">
        <w:rPr>
          <w:i/>
        </w:rPr>
        <w:fldChar w:fldCharType="begin"/>
      </w:r>
      <w:r w:rsidR="001B156E">
        <w:instrText xml:space="preserve"> XE "ontoteologie:</w:instrText>
      </w:r>
      <w:r w:rsidR="001B156E" w:rsidRPr="0038128E">
        <w:instrText>A</w:instrText>
      </w:r>
      <w:r w:rsidR="001B156E">
        <w:instrText xml:space="preserve">nselm" </w:instrText>
      </w:r>
      <w:r w:rsidR="001B156E">
        <w:rPr>
          <w:i/>
        </w:rPr>
        <w:fldChar w:fldCharType="end"/>
      </w:r>
      <w:r w:rsidR="001B156E">
        <w:t xml:space="preserve"> do jedné ontoteologicky definované pravdy. </w:t>
      </w:r>
      <w:r w:rsidR="001B156E" w:rsidRPr="00273106">
        <w:t xml:space="preserve">Pravda jako </w:t>
      </w:r>
      <w:r w:rsidR="001B156E" w:rsidRPr="00273106">
        <w:rPr>
          <w:i/>
        </w:rPr>
        <w:t>rectitudo</w:t>
      </w:r>
      <w:r w:rsidR="001B156E" w:rsidRPr="00273106">
        <w:t xml:space="preserve"> se univočním způsobem vztahuje jak ke statutu </w:t>
      </w:r>
      <w:r w:rsidR="006A04C6" w:rsidRPr="006A04C6">
        <w:t>species</w:t>
      </w:r>
      <w:r w:rsidR="001B156E" w:rsidRPr="00273106">
        <w:t>, tak i k existenci první substance</w:t>
      </w:r>
      <w:r w:rsidR="001B156E">
        <w:t>, kterou nahradila kolekta různých určení a vlastností</w:t>
      </w:r>
      <w:r w:rsidR="001B156E" w:rsidRPr="00273106">
        <w:t xml:space="preserve">. Pojetí pravdy vázané na výskyt a na predikaci první substance bylo vytěsněno </w:t>
      </w:r>
      <w:r w:rsidR="001B156E">
        <w:t xml:space="preserve">nejprve </w:t>
      </w:r>
      <w:r w:rsidR="001B156E" w:rsidRPr="00273106">
        <w:t xml:space="preserve">u Anselma, </w:t>
      </w:r>
      <w:r w:rsidR="001B156E">
        <w:t xml:space="preserve">a zejména </w:t>
      </w:r>
      <w:r w:rsidR="001B156E" w:rsidRPr="00273106">
        <w:t>u jeho nástu</w:t>
      </w:r>
      <w:r w:rsidR="00C81B31">
        <w:t>pců v porretánské škole. Averroe</w:t>
      </w:r>
      <w:r w:rsidR="001B156E" w:rsidRPr="00273106">
        <w:t xml:space="preserve">s definoval </w:t>
      </w:r>
      <w:r w:rsidR="08DA39A2">
        <w:t xml:space="preserve">avicennistickou </w:t>
      </w:r>
      <w:r w:rsidR="001B156E" w:rsidRPr="00273106">
        <w:t>modernu skrze t</w:t>
      </w:r>
      <w:r w:rsidR="00C81B31">
        <w:t xml:space="preserve">ermín </w:t>
      </w:r>
      <w:r w:rsidR="001B156E" w:rsidRPr="00273106">
        <w:rPr>
          <w:i/>
        </w:rPr>
        <w:t>obscurity</w:t>
      </w:r>
      <w:r w:rsidR="001B156E">
        <w:rPr>
          <w:i/>
        </w:rPr>
        <w:fldChar w:fldCharType="begin"/>
      </w:r>
      <w:r w:rsidR="001B156E">
        <w:instrText xml:space="preserve"> XE "</w:instrText>
      </w:r>
      <w:r w:rsidR="001B156E" w:rsidRPr="000E608A">
        <w:instrText>zatmění:substance</w:instrText>
      </w:r>
      <w:r w:rsidR="001B156E">
        <w:instrText xml:space="preserve">" </w:instrText>
      </w:r>
      <w:r w:rsidR="001B156E">
        <w:rPr>
          <w:i/>
        </w:rPr>
        <w:fldChar w:fldCharType="end"/>
      </w:r>
      <w:r w:rsidR="001B156E" w:rsidRPr="00273106">
        <w:t xml:space="preserve"> (</w:t>
      </w:r>
      <w:r w:rsidR="08FB4706">
        <w:t xml:space="preserve">OBJ I, </w:t>
      </w:r>
      <w:r w:rsidR="001B156E" w:rsidRPr="00273106">
        <w:t xml:space="preserve">kap. </w:t>
      </w:r>
      <w:r w:rsidR="001B156E" w:rsidRPr="00273106">
        <w:rPr>
          <w:rStyle w:val="Zkladntext158dkovn0pt"/>
          <w:color w:val="auto"/>
          <w:spacing w:val="0"/>
          <w:sz w:val="24"/>
          <w:lang w:val="cs-CZ"/>
        </w:rPr>
        <w:t>2.4.1</w:t>
      </w:r>
      <w:r w:rsidR="001B156E" w:rsidRPr="00273106">
        <w:t>)</w:t>
      </w:r>
      <w:r w:rsidR="08DA39A2">
        <w:t xml:space="preserve"> a p</w:t>
      </w:r>
      <w:r w:rsidR="001B156E" w:rsidRPr="00273106">
        <w:t>opsal tímto termínem za</w:t>
      </w:r>
      <w:r w:rsidR="00C81B31">
        <w:t xml:space="preserve">tmění první substance u </w:t>
      </w:r>
      <w:r w:rsidR="001B156E" w:rsidRPr="00273106">
        <w:t>současníků</w:t>
      </w:r>
      <w:r w:rsidR="00C81B31">
        <w:t xml:space="preserve">, kteří pokračovali ve </w:t>
      </w:r>
      <w:r w:rsidR="001B156E">
        <w:t xml:space="preserve">výkladu atomární substance </w:t>
      </w:r>
      <w:r w:rsidR="00C81B31">
        <w:t>podle neoplatonské linie Porfy</w:t>
      </w:r>
      <w:r w:rsidR="001B156E">
        <w:t>ria (</w:t>
      </w:r>
      <w:r w:rsidR="08FB3766">
        <w:t xml:space="preserve">OBJ I, </w:t>
      </w:r>
      <w:r w:rsidR="001B156E">
        <w:t>kap. 1.</w:t>
      </w:r>
      <w:r w:rsidR="084E7952">
        <w:t>3</w:t>
      </w:r>
      <w:r w:rsidR="001B156E">
        <w:t>)</w:t>
      </w:r>
      <w:r w:rsidR="001B156E" w:rsidRPr="00273106">
        <w:t>. Spor mezi Anselmem a Abelardem opakuje tuto gigantomachii</w:t>
      </w:r>
      <w:r w:rsidR="001B156E">
        <w:fldChar w:fldCharType="begin"/>
      </w:r>
      <w:r w:rsidR="001B156E">
        <w:instrText xml:space="preserve"> XE "substance:</w:instrText>
      </w:r>
      <w:r w:rsidR="001B156E" w:rsidRPr="00204E33">
        <w:instrText>gigantomachie</w:instrText>
      </w:r>
      <w:r w:rsidR="001B156E">
        <w:instrText xml:space="preserve">" </w:instrText>
      </w:r>
      <w:r w:rsidR="001B156E">
        <w:fldChar w:fldCharType="end"/>
      </w:r>
      <w:r w:rsidR="001B156E" w:rsidRPr="00273106">
        <w:t xml:space="preserve"> o substanci na latinském Západě.</w:t>
      </w:r>
      <w:r w:rsidR="08227B50">
        <w:t xml:space="preserve"> </w:t>
      </w:r>
      <w:r w:rsidR="00CB3E4F">
        <w:t>Abélard</w:t>
      </w:r>
      <w:r w:rsidR="001B156E" w:rsidRPr="00273106">
        <w:t xml:space="preserve"> se při výkladu pravdy striktně drží </w:t>
      </w:r>
      <w:r w:rsidR="001B156E" w:rsidRPr="00874565">
        <w:rPr>
          <w:i/>
        </w:rPr>
        <w:t>Metafyziky</w:t>
      </w:r>
      <w:r w:rsidR="001B156E" w:rsidRPr="00273106">
        <w:t xml:space="preserve"> a </w:t>
      </w:r>
      <w:r w:rsidR="001B156E" w:rsidRPr="00874565">
        <w:rPr>
          <w:i/>
        </w:rPr>
        <w:t>Organonu</w:t>
      </w:r>
      <w:r w:rsidR="001B156E" w:rsidRPr="00273106">
        <w:t>, protože potřebuje pravdu jako adekvaci rozumu a reálně existující věci.</w:t>
      </w:r>
      <w:r w:rsidR="001B156E">
        <w:t xml:space="preserve"> Moderní </w:t>
      </w:r>
      <w:r w:rsidR="001B156E" w:rsidRPr="00273106">
        <w:t xml:space="preserve">forma metafyziky je </w:t>
      </w:r>
      <w:r w:rsidR="08721570">
        <w:t xml:space="preserve">poprvé u Anselma </w:t>
      </w:r>
      <w:r w:rsidR="001B156E" w:rsidRPr="00273106">
        <w:t>dána tím, že aristotelská adekvace rozumu a konkrétního jsoucna (</w:t>
      </w:r>
      <w:r w:rsidR="001B156E" w:rsidRPr="00273106">
        <w:rPr>
          <w:i/>
        </w:rPr>
        <w:t>hoc aliquid</w:t>
      </w:r>
      <w:r w:rsidR="001B156E">
        <w:rPr>
          <w:i/>
        </w:rPr>
        <w:fldChar w:fldCharType="begin"/>
      </w:r>
      <w:r w:rsidR="001B156E">
        <w:instrText xml:space="preserve"> XE "</w:instrText>
      </w:r>
      <w:r w:rsidR="001B156E" w:rsidRPr="006B0AC6">
        <w:rPr>
          <w:rStyle w:val="FontStyle129"/>
          <w:rFonts w:ascii="Calibri" w:hAnsi="Calibri"/>
          <w:i/>
          <w:sz w:val="24"/>
        </w:rPr>
        <w:instrText>hoc aliquid:</w:instrText>
      </w:r>
      <w:r w:rsidR="001B156E" w:rsidRPr="006B0AC6">
        <w:instrText>A</w:instrText>
      </w:r>
      <w:r w:rsidR="001B156E">
        <w:instrText xml:space="preserve">nselm" </w:instrText>
      </w:r>
      <w:r w:rsidR="001B156E">
        <w:rPr>
          <w:i/>
        </w:rPr>
        <w:fldChar w:fldCharType="end"/>
      </w:r>
      <w:r w:rsidR="001B156E" w:rsidRPr="00273106">
        <w:t>) se stala částečnou nepravdou</w:t>
      </w:r>
      <w:r w:rsidR="08227B50">
        <w:t>, protože byla nahrazena vyšší</w:t>
      </w:r>
      <w:r w:rsidR="001B156E">
        <w:t xml:space="preserve"> pravdou </w:t>
      </w:r>
      <w:r w:rsidR="08375CAD">
        <w:t xml:space="preserve">mystického augustinianismu a </w:t>
      </w:r>
      <w:r w:rsidR="001B156E">
        <w:t>neoplatonismu</w:t>
      </w:r>
      <w:r w:rsidR="001B156E" w:rsidRPr="00273106">
        <w:t>. Vinou kontingence první substance</w:t>
      </w:r>
      <w:r w:rsidR="001B156E">
        <w:fldChar w:fldCharType="begin"/>
      </w:r>
      <w:r w:rsidR="001B156E">
        <w:instrText xml:space="preserve"> XE "</w:instrText>
      </w:r>
      <w:r w:rsidR="001B156E" w:rsidRPr="00DE2A32">
        <w:instrText>substance</w:instrText>
      </w:r>
      <w:r w:rsidR="001B156E">
        <w:instrText xml:space="preserve">:kontingence" </w:instrText>
      </w:r>
      <w:r w:rsidR="001B156E">
        <w:fldChar w:fldCharType="end"/>
      </w:r>
      <w:r w:rsidR="001B156E" w:rsidRPr="00273106">
        <w:t xml:space="preserve"> bylo třeba etablovat </w:t>
      </w:r>
      <w:r w:rsidR="001B156E">
        <w:t xml:space="preserve">věčnou a trvalou </w:t>
      </w:r>
      <w:r w:rsidR="001B156E" w:rsidRPr="00273106">
        <w:t xml:space="preserve">pravdu jako </w:t>
      </w:r>
      <w:r w:rsidR="00137D64">
        <w:t xml:space="preserve">demiurgickou a voluntaristickou </w:t>
      </w:r>
      <w:r w:rsidR="001B156E" w:rsidRPr="00273106">
        <w:t>správnost ultimativního nositele (</w:t>
      </w:r>
      <w:r w:rsidR="001B156E" w:rsidRPr="00273106">
        <w:rPr>
          <w:i/>
        </w:rPr>
        <w:t>subiectum</w:t>
      </w:r>
      <w:r w:rsidR="001B156E">
        <w:rPr>
          <w:i/>
        </w:rPr>
        <w:fldChar w:fldCharType="begin"/>
      </w:r>
      <w:r w:rsidR="001B156E">
        <w:instrText xml:space="preserve"> XE "</w:instrText>
      </w:r>
      <w:r w:rsidR="001B156E" w:rsidRPr="00360013">
        <w:rPr>
          <w:i/>
        </w:rPr>
        <w:instrText>subiectum</w:instrText>
      </w:r>
      <w:r w:rsidR="001B156E" w:rsidRPr="00CB220D">
        <w:instrText>:Anselm</w:instrText>
      </w:r>
      <w:r w:rsidR="001B156E">
        <w:instrText xml:space="preserve">" </w:instrText>
      </w:r>
      <w:r w:rsidR="001B156E">
        <w:rPr>
          <w:i/>
        </w:rPr>
        <w:fldChar w:fldCharType="end"/>
      </w:r>
      <w:r w:rsidR="001B156E" w:rsidRPr="00273106">
        <w:t xml:space="preserve">) postaveného mimo nahodilé bytí samotné věci. </w:t>
      </w:r>
      <w:r w:rsidR="00942084">
        <w:t>Božský nebo lidský s</w:t>
      </w:r>
      <w:r w:rsidR="001B156E" w:rsidRPr="00273106">
        <w:t xml:space="preserve">ubjekt svým bytím a stvořitelskou či tvořitelskou činností danou skrze absolutně </w:t>
      </w:r>
      <w:r w:rsidR="0063168C">
        <w:t>ne</w:t>
      </w:r>
      <w:r w:rsidR="00942084">
        <w:t xml:space="preserve">bo relativně </w:t>
      </w:r>
      <w:r w:rsidR="001B156E" w:rsidRPr="00273106">
        <w:t>danou vůli garant</w:t>
      </w:r>
      <w:r w:rsidR="001B156E">
        <w:t>uje nárok jsoucen na pravdivost</w:t>
      </w:r>
      <w:r w:rsidR="00137D64">
        <w:t xml:space="preserve"> v modu </w:t>
      </w:r>
      <w:r w:rsidR="00137D64" w:rsidRPr="00137D64">
        <w:rPr>
          <w:i/>
        </w:rPr>
        <w:t>rectitudo</w:t>
      </w:r>
      <w:r w:rsidR="00137D64">
        <w:t xml:space="preserve"> a </w:t>
      </w:r>
      <w:r w:rsidR="00137D64" w:rsidRPr="00137D64">
        <w:rPr>
          <w:i/>
        </w:rPr>
        <w:t>certitudo</w:t>
      </w:r>
      <w:r w:rsidR="001B156E">
        <w:t xml:space="preserve">. </w:t>
      </w:r>
      <w:r w:rsidR="00137D64">
        <w:t xml:space="preserve">Vůle demiurga má pro určení pravdy </w:t>
      </w:r>
      <w:r w:rsidR="08C04A8F">
        <w:t xml:space="preserve">primární </w:t>
      </w:r>
      <w:r w:rsidR="00137D64">
        <w:t>charakter, který nahradil primární postavení reálně existující první substance</w:t>
      </w:r>
      <w:r w:rsidR="08C04A8F">
        <w:t xml:space="preserve"> v </w:t>
      </w:r>
      <w:r w:rsidR="08C04A8F" w:rsidRPr="08C04A8F">
        <w:rPr>
          <w:i/>
        </w:rPr>
        <w:t>Kategoriích</w:t>
      </w:r>
      <w:r w:rsidR="00137D64">
        <w:t xml:space="preserve">. </w:t>
      </w:r>
      <w:r w:rsidR="00871A59">
        <w:t>Základ pravdy není stanoven z první substance, ale z božského a lidského demiurgického subjektu. Nové místo pravdy v subjektu (</w:t>
      </w:r>
      <w:r w:rsidR="00871A59" w:rsidRPr="00B43FBA">
        <w:rPr>
          <w:i/>
        </w:rPr>
        <w:t>ortus scientiarum</w:t>
      </w:r>
      <w:r w:rsidR="00B43FBA">
        <w:rPr>
          <w:i/>
        </w:rPr>
        <w:fldChar w:fldCharType="begin"/>
      </w:r>
      <w:r w:rsidR="00B43FBA">
        <w:instrText xml:space="preserve"> XE "</w:instrText>
      </w:r>
      <w:r w:rsidR="00B43FBA" w:rsidRPr="002805BC">
        <w:rPr>
          <w:i/>
        </w:rPr>
        <w:instrText>ortus scientiarum</w:instrText>
      </w:r>
      <w:r w:rsidR="00B43FBA">
        <w:instrText xml:space="preserve">" </w:instrText>
      </w:r>
      <w:r w:rsidR="00B43FBA">
        <w:rPr>
          <w:i/>
        </w:rPr>
        <w:fldChar w:fldCharType="end"/>
      </w:r>
      <w:r w:rsidR="00B43FBA">
        <w:t xml:space="preserve">) vytvořilo novou triádu </w:t>
      </w:r>
      <w:r w:rsidR="00853342">
        <w:t xml:space="preserve">pravdivosti jako </w:t>
      </w:r>
      <w:r w:rsidR="00B43FBA">
        <w:t>„</w:t>
      </w:r>
      <w:r w:rsidR="00B43FBA">
        <w:rPr>
          <w:i/>
        </w:rPr>
        <w:t>veritas – certitudo</w:t>
      </w:r>
      <w:r w:rsidR="00611317">
        <w:rPr>
          <w:i/>
        </w:rPr>
        <w:fldChar w:fldCharType="begin"/>
      </w:r>
      <w:r w:rsidR="00611317">
        <w:instrText xml:space="preserve"> XE "</w:instrText>
      </w:r>
      <w:r w:rsidR="00611317" w:rsidRPr="00845ED8">
        <w:rPr>
          <w:i/>
        </w:rPr>
        <w:instrText>certitudo</w:instrText>
      </w:r>
      <w:r w:rsidR="00611317">
        <w:instrText xml:space="preserve">" </w:instrText>
      </w:r>
      <w:r w:rsidR="00611317">
        <w:rPr>
          <w:i/>
        </w:rPr>
        <w:fldChar w:fldCharType="end"/>
      </w:r>
      <w:r w:rsidR="00B43FBA">
        <w:rPr>
          <w:i/>
        </w:rPr>
        <w:t xml:space="preserve"> –</w:t>
      </w:r>
      <w:r w:rsidR="00871A59" w:rsidRPr="00B43FBA">
        <w:rPr>
          <w:i/>
        </w:rPr>
        <w:t xml:space="preserve"> rectitudo</w:t>
      </w:r>
      <w:r w:rsidR="00611317">
        <w:rPr>
          <w:i/>
        </w:rPr>
        <w:fldChar w:fldCharType="begin"/>
      </w:r>
      <w:r w:rsidR="00611317">
        <w:instrText xml:space="preserve"> XE "</w:instrText>
      </w:r>
      <w:r w:rsidR="00611317" w:rsidRPr="00A657E9">
        <w:rPr>
          <w:i/>
        </w:rPr>
        <w:instrText>rectitudo</w:instrText>
      </w:r>
      <w:r w:rsidR="00611317">
        <w:instrText xml:space="preserve">" </w:instrText>
      </w:r>
      <w:r w:rsidR="00611317">
        <w:rPr>
          <w:i/>
        </w:rPr>
        <w:fldChar w:fldCharType="end"/>
      </w:r>
      <w:r w:rsidR="00B43FBA">
        <w:t>“</w:t>
      </w:r>
      <w:r w:rsidR="00871A59">
        <w:t xml:space="preserve">, která nově definuje </w:t>
      </w:r>
      <w:r w:rsidR="00871A59" w:rsidRPr="00B43FBA">
        <w:rPr>
          <w:i/>
        </w:rPr>
        <w:t>Ge-</w:t>
      </w:r>
      <w:r w:rsidR="00B43FBA" w:rsidRPr="00B43FBA">
        <w:rPr>
          <w:i/>
        </w:rPr>
        <w:t>S</w:t>
      </w:r>
      <w:r w:rsidR="00871A59" w:rsidRPr="00B43FBA">
        <w:rPr>
          <w:i/>
        </w:rPr>
        <w:t>tel</w:t>
      </w:r>
      <w:r w:rsidR="00B43FBA" w:rsidRPr="00B43FBA">
        <w:rPr>
          <w:i/>
        </w:rPr>
        <w:t>l</w:t>
      </w:r>
      <w:r w:rsidR="00611317">
        <w:rPr>
          <w:i/>
        </w:rPr>
        <w:fldChar w:fldCharType="begin"/>
      </w:r>
      <w:r w:rsidR="00611317">
        <w:instrText xml:space="preserve"> XE "</w:instrText>
      </w:r>
      <w:r w:rsidR="00611317" w:rsidRPr="00C54FD3">
        <w:rPr>
          <w:i/>
        </w:rPr>
        <w:instrText>Ge-Stell</w:instrText>
      </w:r>
      <w:r w:rsidR="00611317">
        <w:instrText xml:space="preserve">" </w:instrText>
      </w:r>
      <w:r w:rsidR="00611317">
        <w:rPr>
          <w:i/>
        </w:rPr>
        <w:fldChar w:fldCharType="end"/>
      </w:r>
      <w:r w:rsidR="00871A59">
        <w:t xml:space="preserve"> bytí </w:t>
      </w:r>
      <w:r w:rsidR="00B43FBA">
        <w:t xml:space="preserve">jsoucna </w:t>
      </w:r>
      <w:r w:rsidR="00871A59">
        <w:t xml:space="preserve">(OBJ I, kap. 2.3.1). </w:t>
      </w:r>
      <w:r w:rsidR="00853342">
        <w:t>Klasické metafyzice stačilo jedno určení pravdy jako adekvace</w:t>
      </w:r>
      <w:r w:rsidR="008E4997">
        <w:t>;</w:t>
      </w:r>
      <w:r w:rsidR="00853342">
        <w:t xml:space="preserve"> modern</w:t>
      </w:r>
      <w:r w:rsidR="008E4997">
        <w:t>a už potřebuje tři určení pravdy a všechny jsou maximálně problematické</w:t>
      </w:r>
      <w:r w:rsidR="00853342">
        <w:t xml:space="preserve">. </w:t>
      </w:r>
      <w:r w:rsidR="00871A59">
        <w:t xml:space="preserve">Metafyzika </w:t>
      </w:r>
      <w:r w:rsidR="00B43FBA">
        <w:t xml:space="preserve">v novém </w:t>
      </w:r>
      <w:r w:rsidR="00B43FBA" w:rsidRPr="00B43FBA">
        <w:rPr>
          <w:i/>
        </w:rPr>
        <w:t>Lichtung</w:t>
      </w:r>
      <w:r w:rsidR="00B43FBA">
        <w:t xml:space="preserve"> </w:t>
      </w:r>
      <w:r w:rsidR="00871A59">
        <w:t>pravdy a nepravdy na základě prvních principů objektivně-mystického pohledu (</w:t>
      </w:r>
      <w:r w:rsidR="00871A59" w:rsidRPr="00611317">
        <w:rPr>
          <w:i/>
        </w:rPr>
        <w:t>certitudo</w:t>
      </w:r>
      <w:r w:rsidR="00871A59">
        <w:t>), který jako zrcadlo (</w:t>
      </w:r>
      <w:r w:rsidR="00871A59" w:rsidRPr="00611317">
        <w:rPr>
          <w:i/>
        </w:rPr>
        <w:t>speculum</w:t>
      </w:r>
      <w:r w:rsidR="00871A59">
        <w:t>) odráží kosmický řád (</w:t>
      </w:r>
      <w:r w:rsidR="00871A59" w:rsidRPr="00611317">
        <w:rPr>
          <w:i/>
        </w:rPr>
        <w:t>rectitudo</w:t>
      </w:r>
      <w:r w:rsidR="00871A59">
        <w:t>). Ta</w:t>
      </w:r>
      <w:r w:rsidR="00611317">
        <w:t xml:space="preserve">to </w:t>
      </w:r>
      <w:r w:rsidR="00871A59">
        <w:t xml:space="preserve">spekulativní podobnost obou demiurgických subjektů je prohlašována </w:t>
      </w:r>
      <w:r w:rsidR="00871A59">
        <w:lastRenderedPageBreak/>
        <w:t xml:space="preserve">za </w:t>
      </w:r>
      <w:r w:rsidR="00611317">
        <w:t xml:space="preserve">„aristotelskou“ adekvaci v modu </w:t>
      </w:r>
      <w:r w:rsidR="00871A59">
        <w:t xml:space="preserve">moderní </w:t>
      </w:r>
      <w:r w:rsidR="00871A59" w:rsidRPr="00611317">
        <w:rPr>
          <w:i/>
        </w:rPr>
        <w:t>veritas</w:t>
      </w:r>
      <w:r w:rsidR="00611317">
        <w:t>. Tímto způsobem vznikla</w:t>
      </w:r>
      <w:r w:rsidR="00871A59">
        <w:t xml:space="preserve"> historická determinace metafyziky v modu Heideggerova </w:t>
      </w:r>
      <w:r w:rsidR="00611317" w:rsidRPr="00611317">
        <w:rPr>
          <w:i/>
        </w:rPr>
        <w:t>Irrtum</w:t>
      </w:r>
      <w:r w:rsidR="00871A59">
        <w:t>.</w:t>
      </w:r>
    </w:p>
    <w:p w14:paraId="2ADAA4CD" w14:textId="32CF8D8A" w:rsidR="001B156E" w:rsidRPr="00273106" w:rsidRDefault="001B156E" w:rsidP="006604C7">
      <w:pPr>
        <w:ind w:firstLine="397"/>
      </w:pPr>
      <w:r>
        <w:t>Anselm dává o</w:t>
      </w:r>
      <w:r w:rsidRPr="00273106">
        <w:t>tázku pravdy jako správnosti (</w:t>
      </w:r>
      <w:r w:rsidRPr="00273106">
        <w:rPr>
          <w:i/>
        </w:rPr>
        <w:t>rectitudo</w:t>
      </w:r>
      <w:r w:rsidR="08394126">
        <w:t xml:space="preserve">) podle Senecovy </w:t>
      </w:r>
      <w:r w:rsidRPr="00273106">
        <w:rPr>
          <w:i/>
        </w:rPr>
        <w:t>voluntas recta</w:t>
      </w:r>
      <w:r w:rsidRPr="00273106">
        <w:t xml:space="preserve"> do oblasti morálky jako činného poznání</w:t>
      </w:r>
      <w:r>
        <w:fldChar w:fldCharType="begin"/>
      </w:r>
      <w:r>
        <w:instrText xml:space="preserve"> XE "vůle:Anselm" </w:instrText>
      </w:r>
      <w:r>
        <w:fldChar w:fldCharType="end"/>
      </w:r>
      <w:r w:rsidRPr="00273106">
        <w:t>, které určuje otázka po dobru jako předmětu vůle. Konformita vůle s</w:t>
      </w:r>
      <w:r>
        <w:t>e zjeveným D</w:t>
      </w:r>
      <w:r w:rsidRPr="00273106">
        <w:t xml:space="preserve">obrem představuje jinou formu pravdy, než </w:t>
      </w:r>
      <w:r w:rsidR="08D957BD">
        <w:t xml:space="preserve">aristotelské </w:t>
      </w:r>
      <w:r w:rsidRPr="00273106">
        <w:t xml:space="preserve">poznání </w:t>
      </w:r>
      <w:r>
        <w:t xml:space="preserve">reálné věci </w:t>
      </w:r>
      <w:r w:rsidRPr="00273106">
        <w:t xml:space="preserve">v rámci intelektu. </w:t>
      </w:r>
      <w:r w:rsidR="08C65C0E">
        <w:t xml:space="preserve">Svoboda vůle není napojena na primát intelektu, jak tomu je v aristotelismu. </w:t>
      </w:r>
      <w:r w:rsidR="08C65C0E" w:rsidRPr="08BE2778">
        <w:rPr>
          <w:szCs w:val="24"/>
        </w:rPr>
        <w:t xml:space="preserve">Vůle </w:t>
      </w:r>
      <w:r w:rsidR="08D957BD" w:rsidRPr="08BE2778">
        <w:rPr>
          <w:szCs w:val="24"/>
        </w:rPr>
        <w:t xml:space="preserve">není </w:t>
      </w:r>
      <w:r w:rsidR="08C65C0E" w:rsidRPr="08BE2778">
        <w:rPr>
          <w:szCs w:val="24"/>
        </w:rPr>
        <w:t>primárně určena aristotelským pojetím pravdy jako adekvace mezi reálnou věcí a její poznáním daným smysly a pak intelektem.</w:t>
      </w:r>
      <w:r w:rsidR="08D957BD">
        <w:t xml:space="preserve"> </w:t>
      </w:r>
      <w:r w:rsidR="084D71D6">
        <w:t>C</w:t>
      </w:r>
      <w:r w:rsidR="084D71D6" w:rsidRPr="00273106">
        <w:t xml:space="preserve">htění v </w:t>
      </w:r>
      <w:r w:rsidR="084D71D6" w:rsidRPr="08171145">
        <w:rPr>
          <w:i/>
        </w:rPr>
        <w:t>Etice Nikomachově</w:t>
      </w:r>
      <w:r w:rsidR="084D71D6" w:rsidRPr="00273106">
        <w:t xml:space="preserve"> respektuje poznání intelektu a dává mu singulární rozměr dobra prakticky poznaného a chtěného vzhledem k nám (λόγου πρακτικὴν περὶ τὰ ἀνθρώπῳ ἀγαθὰ, E.N. 1140b5</w:t>
      </w:r>
      <w:r w:rsidR="084D71D6">
        <w:fldChar w:fldCharType="begin"/>
      </w:r>
      <w:r w:rsidR="084D71D6">
        <w:instrText xml:space="preserve"> XE "Aristoteles:</w:instrText>
      </w:r>
      <w:r w:rsidR="084D71D6" w:rsidRPr="007B7D3A">
        <w:instrText>E.N. 1140b5</w:instrText>
      </w:r>
      <w:r w:rsidR="084D71D6">
        <w:instrText xml:space="preserve">" </w:instrText>
      </w:r>
      <w:r w:rsidR="084D71D6">
        <w:fldChar w:fldCharType="end"/>
      </w:r>
      <w:r w:rsidR="084D71D6" w:rsidRPr="00273106">
        <w:t>).</w:t>
      </w:r>
      <w:r w:rsidR="004B5AA2">
        <w:t xml:space="preserve"> Vůle </w:t>
      </w:r>
      <w:r w:rsidR="084D71D6">
        <w:t>neurčuje sama</w:t>
      </w:r>
      <w:r w:rsidR="004B5AA2">
        <w:t xml:space="preserve"> sebe</w:t>
      </w:r>
      <w:r w:rsidR="084D71D6">
        <w:t xml:space="preserve">, protože ji určuje intelekt. </w:t>
      </w:r>
      <w:r w:rsidR="004B5AA2">
        <w:t>Pouze j</w:t>
      </w:r>
      <w:r w:rsidR="084D71D6">
        <w:t xml:space="preserve">eho poznání adekvátně predikuje jedinečné bytí reálné věci. Pravda jako Averroesovo </w:t>
      </w:r>
      <w:r w:rsidR="084D71D6" w:rsidRPr="00273106">
        <w:rPr>
          <w:i/>
        </w:rPr>
        <w:t>proportio</w:t>
      </w:r>
      <w:r w:rsidR="084D71D6">
        <w:t xml:space="preserve"> zajišťuje, že rozumové </w:t>
      </w:r>
      <w:r w:rsidR="084D71D6" w:rsidRPr="00273106">
        <w:t xml:space="preserve">poznání </w:t>
      </w:r>
      <w:r w:rsidR="084D71D6">
        <w:t xml:space="preserve">drží </w:t>
      </w:r>
      <w:r w:rsidR="084D71D6" w:rsidRPr="00273106">
        <w:t>dete</w:t>
      </w:r>
      <w:r w:rsidR="084D71D6">
        <w:t>r</w:t>
      </w:r>
      <w:r w:rsidR="084D71D6" w:rsidRPr="00273106">
        <w:t>minaci intelektu a smyslů směrem od kauzality dané na úrovni prvních substancí (</w:t>
      </w:r>
      <w:r w:rsidR="084D71D6">
        <w:t xml:space="preserve">OBJ I, </w:t>
      </w:r>
      <w:r w:rsidR="084D71D6" w:rsidRPr="00273106">
        <w:rPr>
          <w:rStyle w:val="Zkladntext158dkovn0pt"/>
          <w:color w:val="auto"/>
          <w:spacing w:val="0"/>
          <w:sz w:val="24"/>
          <w:lang w:val="cs-CZ"/>
        </w:rPr>
        <w:t>kap. 2.4.3</w:t>
      </w:r>
      <w:r w:rsidR="084D71D6" w:rsidRPr="00273106">
        <w:t>).</w:t>
      </w:r>
      <w:r w:rsidR="084D71D6">
        <w:t xml:space="preserve"> </w:t>
      </w:r>
      <w:r w:rsidRPr="00273106">
        <w:t>Latinský neoplatonismus chápal vůli univerzálně vzhledem k bohu i člověku a tím dal zatmění první substance nový rozměr. Místo pasivně poznávajícího intelektu přichází na scénu aktivně tvořící subjekt</w:t>
      </w:r>
      <w:r>
        <w:t xml:space="preserve">, který </w:t>
      </w:r>
      <w:r w:rsidR="082E13A7">
        <w:t xml:space="preserve">dává pravdě definitivní a ultimativní míru </w:t>
      </w:r>
      <w:r>
        <w:t>svou vlastní jistotou</w:t>
      </w:r>
      <w:r w:rsidRPr="00273106">
        <w:t>. Míru pravdy jako správnosti určuje</w:t>
      </w:r>
      <w:r w:rsidR="086A573B">
        <w:t xml:space="preserve"> boží</w:t>
      </w:r>
      <w:r w:rsidR="08CA3C81">
        <w:t xml:space="preserve"> a </w:t>
      </w:r>
      <w:r w:rsidRPr="00273106">
        <w:t xml:space="preserve">později pouze </w:t>
      </w:r>
      <w:r w:rsidR="086A573B">
        <w:t>lidská</w:t>
      </w:r>
      <w:r w:rsidRPr="00273106">
        <w:t xml:space="preserve"> vůle</w:t>
      </w:r>
      <w:r w:rsidR="00C83671">
        <w:t xml:space="preserve"> v modu její neomezené nebo omezené </w:t>
      </w:r>
      <w:r w:rsidR="00C83671" w:rsidRPr="00C83671">
        <w:rPr>
          <w:i/>
        </w:rPr>
        <w:t>potestas</w:t>
      </w:r>
      <w:r w:rsidRPr="00273106">
        <w:t xml:space="preserve">. Co tato suverénní vůle chce, to také jest, a tím je takto dané jsoucno pravdivé. </w:t>
      </w:r>
      <w:r w:rsidR="08E25979">
        <w:t>Z</w:t>
      </w:r>
      <w:r w:rsidR="08C82993">
        <w:t>avedení</w:t>
      </w:r>
      <w:r w:rsidR="006604C7">
        <w:t xml:space="preserve"> vůle jako deontologické a ontologické kategorie určuje </w:t>
      </w:r>
      <w:r w:rsidR="007613B0">
        <w:t xml:space="preserve">povahu </w:t>
      </w:r>
      <w:r w:rsidR="08E25979">
        <w:t>jsoucn</w:t>
      </w:r>
      <w:r w:rsidR="007613B0">
        <w:t xml:space="preserve">a podle </w:t>
      </w:r>
      <w:r w:rsidR="08E25979">
        <w:t xml:space="preserve">demiurgicky </w:t>
      </w:r>
      <w:r w:rsidR="007613B0">
        <w:t>organizovaného chtění</w:t>
      </w:r>
      <w:r w:rsidR="006C6A8C">
        <w:t xml:space="preserve"> nejvyššího subjektu</w:t>
      </w:r>
      <w:r w:rsidR="08E25979">
        <w:t xml:space="preserve">. Jsoucno, které existuje a je poznané dané skrze </w:t>
      </w:r>
      <w:r w:rsidR="08E25979" w:rsidRPr="08E25979">
        <w:rPr>
          <w:i/>
        </w:rPr>
        <w:t>quidditas</w:t>
      </w:r>
      <w:r w:rsidR="08E25979">
        <w:t xml:space="preserve">, se stalo druhořadým. </w:t>
      </w:r>
      <w:r w:rsidR="080E2AF4">
        <w:t xml:space="preserve">Anselm zahájil epochu zatmění první substance na latinském Západě. </w:t>
      </w:r>
      <w:r w:rsidR="08C82993">
        <w:t>To ukázala výše uvedená deontologická definice pravdy-</w:t>
      </w:r>
      <w:r w:rsidR="08C82993" w:rsidRPr="002956F6">
        <w:rPr>
          <w:i/>
        </w:rPr>
        <w:t>rectitudo</w:t>
      </w:r>
      <w:r w:rsidR="08C82993">
        <w:t xml:space="preserve"> </w:t>
      </w:r>
      <w:r w:rsidR="08C82993" w:rsidRPr="00273106">
        <w:t>(</w:t>
      </w:r>
      <w:r w:rsidR="08C82993" w:rsidRPr="005C7427">
        <w:rPr>
          <w:i/>
        </w:rPr>
        <w:t>quod debet esse, recte est</w:t>
      </w:r>
      <w:r w:rsidR="08C82993" w:rsidRPr="00273106">
        <w:t xml:space="preserve">). </w:t>
      </w:r>
      <w:r w:rsidR="08C82993">
        <w:t>Pravdu primárně určuje demiurgická vůle</w:t>
      </w:r>
      <w:r w:rsidR="080D7A44">
        <w:fldChar w:fldCharType="begin"/>
      </w:r>
      <w:r w:rsidR="080D7A44">
        <w:instrText xml:space="preserve"> XE "</w:instrText>
      </w:r>
      <w:r w:rsidR="080D7A44" w:rsidRPr="08313BC0">
        <w:instrText>demiurg</w:instrText>
      </w:r>
      <w:r w:rsidR="080D7A44">
        <w:instrText xml:space="preserve">" </w:instrText>
      </w:r>
      <w:r w:rsidR="080D7A44">
        <w:fldChar w:fldCharType="end"/>
      </w:r>
      <w:r w:rsidR="08C82993">
        <w:t xml:space="preserve">, nikoliv reálná danost věci. </w:t>
      </w:r>
      <w:r w:rsidR="081A509B">
        <w:t xml:space="preserve">Západní subjekt se stal pod vedením zbožných </w:t>
      </w:r>
      <w:r w:rsidR="00363910">
        <w:t xml:space="preserve">křesťanských </w:t>
      </w:r>
      <w:r w:rsidR="081A509B">
        <w:t xml:space="preserve">Fúrií mytopoetickým tvůrcem pravdy. </w:t>
      </w:r>
      <w:r w:rsidR="08C82993" w:rsidRPr="00273106">
        <w:t>Následující matrice ukáží, že tato deontologie</w:t>
      </w:r>
      <w:r w:rsidR="08C82993">
        <w:fldChar w:fldCharType="begin"/>
      </w:r>
      <w:r w:rsidR="08C82993">
        <w:instrText xml:space="preserve"> XE "</w:instrText>
      </w:r>
      <w:r w:rsidR="08C82993" w:rsidRPr="00FB1792">
        <w:instrText>pravda:deontologie</w:instrText>
      </w:r>
      <w:r w:rsidR="08C82993">
        <w:instrText xml:space="preserve">" </w:instrText>
      </w:r>
      <w:r w:rsidR="08C82993">
        <w:fldChar w:fldCharType="end"/>
      </w:r>
      <w:r w:rsidR="08C82993" w:rsidRPr="00273106">
        <w:t xml:space="preserve"> pravdy jako správnosti </w:t>
      </w:r>
      <w:r w:rsidR="08C82993">
        <w:t>je nejprve garantovaná</w:t>
      </w:r>
      <w:r w:rsidR="08C82993" w:rsidRPr="00273106">
        <w:t xml:space="preserve"> </w:t>
      </w:r>
      <w:r w:rsidR="08C82993">
        <w:t xml:space="preserve">moderním </w:t>
      </w:r>
      <w:r w:rsidR="08C82993" w:rsidRPr="00273106">
        <w:t>bohem</w:t>
      </w:r>
      <w:r w:rsidR="08C82993">
        <w:t xml:space="preserve"> a po jeho smrti </w:t>
      </w:r>
      <w:r w:rsidR="08C82993">
        <w:rPr>
          <w:color w:val="000000"/>
        </w:rPr>
        <w:fldChar w:fldCharType="begin"/>
      </w:r>
      <w:r w:rsidR="08C82993">
        <w:instrText xml:space="preserve"> XE "smrt boha" </w:instrText>
      </w:r>
      <w:r w:rsidR="08C82993">
        <w:rPr>
          <w:color w:val="000000"/>
        </w:rPr>
        <w:fldChar w:fldCharType="end"/>
      </w:r>
      <w:r w:rsidR="08C82993">
        <w:t xml:space="preserve">v 19. století už </w:t>
      </w:r>
      <w:r w:rsidR="08C82993" w:rsidRPr="00273106">
        <w:t>jen</w:t>
      </w:r>
      <w:r w:rsidR="08C82993">
        <w:t xml:space="preserve"> postmoderními ilumináty. </w:t>
      </w:r>
      <w:r w:rsidRPr="00273106">
        <w:t xml:space="preserve">Povýšení vůle na garanta pravdy obsahuje dialog </w:t>
      </w:r>
      <w:r w:rsidRPr="00273106">
        <w:rPr>
          <w:i/>
        </w:rPr>
        <w:t>De libero arbitrio</w:t>
      </w:r>
      <w:r w:rsidRPr="00273106">
        <w:t xml:space="preserve">, v němž Anselm napojil lidskou vůli na pojetí pravdy jako </w:t>
      </w:r>
      <w:r w:rsidRPr="00273106">
        <w:rPr>
          <w:i/>
        </w:rPr>
        <w:t>rectitudo</w:t>
      </w:r>
      <w:r>
        <w:rPr>
          <w:i/>
        </w:rPr>
        <w:fldChar w:fldCharType="begin"/>
      </w:r>
      <w:r>
        <w:instrText xml:space="preserve"> XE "pravda:</w:instrText>
      </w:r>
      <w:r w:rsidRPr="00197419">
        <w:rPr>
          <w:i/>
        </w:rPr>
        <w:instrText>rectitudo</w:instrText>
      </w:r>
      <w:r>
        <w:instrText xml:space="preserve">" </w:instrText>
      </w:r>
      <w:r>
        <w:rPr>
          <w:i/>
        </w:rPr>
        <w:fldChar w:fldCharType="end"/>
      </w:r>
      <w:r w:rsidR="00187C29">
        <w:t xml:space="preserve">. To </w:t>
      </w:r>
      <w:r w:rsidRPr="00273106">
        <w:t>subsistuje jak v lidské vůli, tak i mimo ni</w:t>
      </w:r>
      <w:r w:rsidR="00187C29">
        <w:t>, ve světě a v bohu</w:t>
      </w:r>
      <w:r w:rsidRPr="00273106">
        <w:t>.</w:t>
      </w:r>
    </w:p>
    <w:p w14:paraId="20F12869" w14:textId="547DD7CB" w:rsidR="001B156E" w:rsidRPr="00273106" w:rsidRDefault="001B156E" w:rsidP="001B156E">
      <w:pPr>
        <w:pStyle w:val="Citace"/>
        <w:rPr>
          <w:noProof/>
          <w:lang w:val="cs-CZ"/>
        </w:rPr>
      </w:pPr>
      <w:r w:rsidRPr="00273106">
        <w:rPr>
          <w:noProof/>
          <w:lang w:val="cs-CZ"/>
        </w:rPr>
        <w:lastRenderedPageBreak/>
        <w:t>„</w:t>
      </w:r>
      <w:r w:rsidR="08530CE2">
        <w:rPr>
          <w:noProof/>
          <w:lang w:val="cs-CZ"/>
        </w:rPr>
        <w:t>A proto veškerá svoboda je určitá schopnost</w:t>
      </w:r>
      <w:r w:rsidR="00187C29">
        <w:rPr>
          <w:noProof/>
          <w:lang w:val="cs-CZ"/>
        </w:rPr>
        <w:t xml:space="preserve"> k moci </w:t>
      </w:r>
      <w:r w:rsidR="00187C29">
        <w:rPr>
          <w:lang w:val="en-US"/>
        </w:rPr>
        <w:t>(</w:t>
      </w:r>
      <w:r w:rsidR="00187C29" w:rsidRPr="00BC03BD">
        <w:rPr>
          <w:i/>
          <w:lang w:val="en-US"/>
        </w:rPr>
        <w:t>potestas</w:t>
      </w:r>
      <w:r w:rsidR="00187C29">
        <w:rPr>
          <w:lang w:val="en-US"/>
        </w:rPr>
        <w:t>)</w:t>
      </w:r>
      <w:r w:rsidR="08530CE2">
        <w:rPr>
          <w:noProof/>
          <w:lang w:val="cs-CZ"/>
        </w:rPr>
        <w:t xml:space="preserve">; </w:t>
      </w:r>
      <w:r w:rsidRPr="00273106">
        <w:rPr>
          <w:noProof/>
          <w:lang w:val="cs-CZ"/>
        </w:rPr>
        <w:t>tato svoboda vůle je možností sloužit s</w:t>
      </w:r>
      <w:r w:rsidR="08530CE2">
        <w:rPr>
          <w:noProof/>
          <w:lang w:val="cs-CZ"/>
        </w:rPr>
        <w:t xml:space="preserve">právnosti vůle, a to kvůli </w:t>
      </w:r>
      <w:r w:rsidR="08D50E52">
        <w:rPr>
          <w:noProof/>
          <w:lang w:val="cs-CZ"/>
        </w:rPr>
        <w:t>pravdě dané v</w:t>
      </w:r>
      <w:r w:rsidR="08DB155B">
        <w:rPr>
          <w:noProof/>
          <w:lang w:val="cs-CZ"/>
        </w:rPr>
        <w:t xml:space="preserve">e schopnosti </w:t>
      </w:r>
      <w:r w:rsidR="00C8022C">
        <w:rPr>
          <w:noProof/>
          <w:lang w:val="cs-CZ"/>
        </w:rPr>
        <w:t>svobodné vůle</w:t>
      </w:r>
      <w:r w:rsidR="08530CE2">
        <w:rPr>
          <w:noProof/>
          <w:lang w:val="cs-CZ"/>
        </w:rPr>
        <w:t>.</w:t>
      </w:r>
      <w:r w:rsidRPr="00273106">
        <w:rPr>
          <w:noProof/>
          <w:lang w:val="cs-CZ"/>
        </w:rPr>
        <w:t xml:space="preserve">“ </w:t>
      </w:r>
      <w:r w:rsidRPr="00273106">
        <w:rPr>
          <w:rStyle w:val="Znakapoznpodarou"/>
          <w:noProof/>
          <w:lang w:val="cs-CZ"/>
        </w:rPr>
        <w:footnoteReference w:id="17"/>
      </w:r>
    </w:p>
    <w:p w14:paraId="5EA8191D" w14:textId="583D625A" w:rsidR="001B156E" w:rsidRDefault="001B156E" w:rsidP="001B156E">
      <w:r w:rsidRPr="00273106">
        <w:t xml:space="preserve">Možnost pravdy je daná přímo v lidské svobodě jako základní možnosti </w:t>
      </w:r>
      <w:r w:rsidR="085E3B61">
        <w:t xml:space="preserve">člověka </w:t>
      </w:r>
      <w:r w:rsidRPr="00273106">
        <w:t>(</w:t>
      </w:r>
      <w:r w:rsidRPr="00273106">
        <w:rPr>
          <w:i/>
        </w:rPr>
        <w:t>omnis libertas est potestas</w:t>
      </w:r>
      <w:r w:rsidRPr="00273106">
        <w:t xml:space="preserve">). </w:t>
      </w:r>
      <w:r w:rsidR="08844264">
        <w:t>P</w:t>
      </w:r>
      <w:r w:rsidR="08844264" w:rsidRPr="00273106">
        <w:t xml:space="preserve">lnost svobody je </w:t>
      </w:r>
      <w:r w:rsidR="08D22DB4">
        <w:t xml:space="preserve">definovaná </w:t>
      </w:r>
      <w:r w:rsidR="08844264" w:rsidRPr="00273106">
        <w:t xml:space="preserve">v možnosti </w:t>
      </w:r>
      <w:r w:rsidR="00206A20">
        <w:t xml:space="preserve">svobodné </w:t>
      </w:r>
      <w:r w:rsidR="08844264" w:rsidRPr="00273106">
        <w:t>volby</w:t>
      </w:r>
      <w:r w:rsidR="08844264">
        <w:t xml:space="preserve"> </w:t>
      </w:r>
      <w:r w:rsidR="08627606">
        <w:t>(</w:t>
      </w:r>
      <w:r w:rsidR="08844264" w:rsidRPr="08844264">
        <w:rPr>
          <w:i/>
        </w:rPr>
        <w:t>liberum arbitrium</w:t>
      </w:r>
      <w:r w:rsidR="084D2767">
        <w:rPr>
          <w:i/>
        </w:rPr>
        <w:fldChar w:fldCharType="begin"/>
      </w:r>
      <w:r w:rsidR="084D2767">
        <w:instrText xml:space="preserve"> XE "</w:instrText>
      </w:r>
      <w:r w:rsidR="084D2767" w:rsidRPr="08BC3EBF">
        <w:rPr>
          <w:i/>
        </w:rPr>
        <w:instrText>liberum arbitrium</w:instrText>
      </w:r>
      <w:r w:rsidR="084D2767">
        <w:instrText xml:space="preserve">" </w:instrText>
      </w:r>
      <w:r w:rsidR="084D2767">
        <w:rPr>
          <w:i/>
        </w:rPr>
        <w:fldChar w:fldCharType="end"/>
      </w:r>
      <w:r w:rsidR="08627606">
        <w:t>)</w:t>
      </w:r>
      <w:r w:rsidR="08844264">
        <w:t xml:space="preserve">. </w:t>
      </w:r>
      <w:r w:rsidRPr="00273106">
        <w:t xml:space="preserve">Svobodná vůle je tím, čím chce být a není ničím omezena. </w:t>
      </w:r>
      <w:r w:rsidR="08844264">
        <w:t xml:space="preserve">Její omezení je dané pouze Stvořitelem, který udělal přirozenost </w:t>
      </w:r>
      <w:r w:rsidR="08FF1E9A">
        <w:t>vůle tak, aby Augustinova</w:t>
      </w:r>
      <w:r w:rsidR="08844264">
        <w:t xml:space="preserve"> </w:t>
      </w:r>
      <w:r w:rsidR="08FF1E9A">
        <w:t xml:space="preserve">mystická </w:t>
      </w:r>
      <w:r w:rsidR="08844264" w:rsidRPr="08844264">
        <w:rPr>
          <w:i/>
        </w:rPr>
        <w:t>voluntas</w:t>
      </w:r>
      <w:r w:rsidR="08D22DB4">
        <w:t xml:space="preserve"> byla v imanentně zaměřená k bohu</w:t>
      </w:r>
      <w:r w:rsidR="08844264">
        <w:t xml:space="preserve"> jako nejvyššímu dobru</w:t>
      </w:r>
      <w:r w:rsidR="08D22DB4">
        <w:t xml:space="preserve"> (</w:t>
      </w:r>
      <w:r w:rsidR="08D22DB4" w:rsidRPr="08D22DB4">
        <w:rPr>
          <w:i/>
        </w:rPr>
        <w:t>propter ipsam rectitudinem</w:t>
      </w:r>
      <w:r w:rsidR="08D22DB4">
        <w:t>)</w:t>
      </w:r>
      <w:r w:rsidR="08844264">
        <w:t xml:space="preserve">. </w:t>
      </w:r>
      <w:r w:rsidR="08810607" w:rsidRPr="00273106">
        <w:t>Ipseita vůle tvoří identitu osoby ve smyslu její původní pravdivosti.</w:t>
      </w:r>
      <w:r w:rsidR="08810607">
        <w:t xml:space="preserve"> </w:t>
      </w:r>
      <w:r w:rsidR="08F675F3">
        <w:t xml:space="preserve">Ipseita opřená o správnost vůle obsahuje </w:t>
      </w:r>
      <w:r w:rsidR="08F675F3" w:rsidRPr="00273106">
        <w:t xml:space="preserve">jádro suverenity západního subjektu. </w:t>
      </w:r>
      <w:r w:rsidRPr="00273106">
        <w:t>Vůle má schopnost být pravdivá vzhledem ke svobodně nalézané správnosti v sobě samé (</w:t>
      </w:r>
      <w:r w:rsidRPr="00273106">
        <w:rPr>
          <w:i/>
        </w:rPr>
        <w:t>potestas servandi rectitudinem voluntatis</w:t>
      </w:r>
      <w:r w:rsidRPr="00273106">
        <w:t>). Tato pravdivost svobodné vůle zakl</w:t>
      </w:r>
      <w:r>
        <w:t>ádá konformitu s pravdou danou mimo adekvaci k realitě</w:t>
      </w:r>
      <w:r w:rsidRPr="00273106">
        <w:t xml:space="preserve">. </w:t>
      </w:r>
      <w:r w:rsidR="08AF4F10">
        <w:t>Anselmovo voluntaristické určení pravdy jako správnosti není dáno</w:t>
      </w:r>
      <w:r w:rsidR="08AF4F10" w:rsidRPr="00273106">
        <w:t xml:space="preserve"> vzhledem k poznání první substance, ale vzhledem k </w:t>
      </w:r>
      <w:r w:rsidR="08AF4F10">
        <w:t xml:space="preserve">demiurgické podobě stvořitelské vůle. </w:t>
      </w:r>
      <w:r w:rsidRPr="00273106">
        <w:t>Pravdu moderny navazující na dědictví Anselma determinuje niterný vztah vůle vztažené k sobě samé a k vlastní správnosti. Chtění je pravdivé svou esenciální demiurgickou pravdivostí</w:t>
      </w:r>
      <w:r w:rsidR="08A73931">
        <w:t xml:space="preserve"> danou imanent</w:t>
      </w:r>
      <w:r w:rsidR="08037A75">
        <w:t>n</w:t>
      </w:r>
      <w:r w:rsidR="08A73931">
        <w:t>ě</w:t>
      </w:r>
      <w:r w:rsidR="08037A75">
        <w:t xml:space="preserve"> k bohu</w:t>
      </w:r>
      <w:r w:rsidRPr="00273106">
        <w:t xml:space="preserve"> bez vztahu k čemukoliv jinému. </w:t>
      </w:r>
      <w:r w:rsidR="08AF4F10" w:rsidRPr="00273106">
        <w:t xml:space="preserve">Zavedení teorie pravdy </w:t>
      </w:r>
      <w:r w:rsidR="08AF4F10">
        <w:t xml:space="preserve">založené na imanentně správné vůli </w:t>
      </w:r>
      <w:r w:rsidR="08AF4F10" w:rsidRPr="00273106">
        <w:t xml:space="preserve">představuje klíčovou změnu v pojetí pravdy proti výše uvedenému výkladu adekvační teorie podle Aristotela. </w:t>
      </w:r>
      <w:r w:rsidR="083A4484" w:rsidRPr="00273106">
        <w:t xml:space="preserve">Anselm dává plnou demiurgickou svobodu a pravdu pouze bohu. Boží vůle je svrchovaně tvořivá a zakládá normativní charakter morální pravdy platné za všech okolností, tj. i mimo </w:t>
      </w:r>
      <w:r w:rsidR="083A4484" w:rsidRPr="00273106">
        <w:rPr>
          <w:i/>
        </w:rPr>
        <w:t>ad hoc</w:t>
      </w:r>
      <w:r w:rsidR="083A4484" w:rsidRPr="00273106">
        <w:t xml:space="preserve"> danou signifikaci a výrokovou pravdu jako </w:t>
      </w:r>
      <w:r w:rsidR="083A4484" w:rsidRPr="00273106">
        <w:rPr>
          <w:i/>
        </w:rPr>
        <w:t>veritas</w:t>
      </w:r>
      <w:r w:rsidR="083A4484" w:rsidRPr="00273106">
        <w:t xml:space="preserve">. </w:t>
      </w:r>
      <w:r w:rsidRPr="00273106">
        <w:t>Morální, filosofické a teologické pojetí pravdy jako správnosti je nakonec dané zcela subjektivně, a tím i svobodně, což rozvedl františkán Olivi (</w:t>
      </w:r>
      <w:r w:rsidR="085856A3">
        <w:t>OB</w:t>
      </w:r>
      <w:r w:rsidR="08066B12">
        <w:t>J</w:t>
      </w:r>
      <w:r w:rsidR="085856A3">
        <w:t xml:space="preserve"> III, kap. 5</w:t>
      </w:r>
      <w:r w:rsidRPr="00273106">
        <w:t>.1</w:t>
      </w:r>
      <w:r w:rsidR="085856A3">
        <w:t>.2</w:t>
      </w:r>
      <w:r w:rsidRPr="00273106">
        <w:t>).</w:t>
      </w:r>
      <w:r w:rsidR="08A71530">
        <w:t xml:space="preserve"> </w:t>
      </w:r>
      <w:r w:rsidRPr="00273106">
        <w:t xml:space="preserve">Anselm zakotvuje </w:t>
      </w:r>
      <w:r w:rsidR="084004C7">
        <w:t xml:space="preserve">neoplatonské </w:t>
      </w:r>
      <w:r w:rsidRPr="00273106">
        <w:t xml:space="preserve">pojetí pravdy, kterého se budou </w:t>
      </w:r>
      <w:r w:rsidR="084276C2">
        <w:t xml:space="preserve">po importu Avicenny na latinský Západ </w:t>
      </w:r>
      <w:r w:rsidRPr="00273106">
        <w:t>dovolávat zakladatelé objektivity ve druhé třetině 13. století.</w:t>
      </w:r>
    </w:p>
    <w:p w14:paraId="71D8469F" w14:textId="717E40F0" w:rsidR="001B156E" w:rsidRDefault="001B156E" w:rsidP="08B92B45">
      <w:r>
        <w:tab/>
        <w:t xml:space="preserve">Ontoteologické </w:t>
      </w:r>
      <w:r w:rsidRPr="00273106">
        <w:t xml:space="preserve">pojetí </w:t>
      </w:r>
      <w:r>
        <w:t xml:space="preserve">pravdy </w:t>
      </w:r>
      <w:r w:rsidRPr="00273106">
        <w:t xml:space="preserve">znejasnilo </w:t>
      </w:r>
      <w:r w:rsidR="00557BBD">
        <w:t xml:space="preserve">aristotelskou definici </w:t>
      </w:r>
      <w:r w:rsidRPr="00273106">
        <w:t xml:space="preserve">pravdy dokonce dvojnásobně. </w:t>
      </w:r>
      <w:r w:rsidR="0064150D">
        <w:t xml:space="preserve">Za prvé, </w:t>
      </w:r>
      <w:r w:rsidRPr="00273106">
        <w:t xml:space="preserve">Anselm smazal rozdíl mezi pravdou danou </w:t>
      </w:r>
      <w:r w:rsidR="00BF274A">
        <w:t xml:space="preserve">v kategoriálním </w:t>
      </w:r>
      <w:r w:rsidRPr="00273106">
        <w:t>výroku (</w:t>
      </w:r>
      <w:r w:rsidRPr="00273106">
        <w:rPr>
          <w:i/>
        </w:rPr>
        <w:t>enuntiatio</w:t>
      </w:r>
      <w:r>
        <w:rPr>
          <w:i/>
        </w:rPr>
        <w:fldChar w:fldCharType="begin"/>
      </w:r>
      <w:r>
        <w:instrText xml:space="preserve"> XE "</w:instrText>
      </w:r>
      <w:r w:rsidRPr="0038128E">
        <w:rPr>
          <w:i/>
        </w:rPr>
        <w:instrText>enuntiatio:</w:instrText>
      </w:r>
      <w:r w:rsidRPr="0038128E">
        <w:instrText>A</w:instrText>
      </w:r>
      <w:r>
        <w:instrText xml:space="preserve">nselm" </w:instrText>
      </w:r>
      <w:r>
        <w:rPr>
          <w:i/>
        </w:rPr>
        <w:fldChar w:fldCharType="end"/>
      </w:r>
      <w:r w:rsidRPr="00273106">
        <w:t>) a pouhým nominálním významem slova (</w:t>
      </w:r>
      <w:r w:rsidRPr="00273106">
        <w:rPr>
          <w:i/>
        </w:rPr>
        <w:t>significatio</w:t>
      </w:r>
      <w:r w:rsidR="006D1C0E">
        <w:t xml:space="preserve">). Nově založená </w:t>
      </w:r>
      <w:r w:rsidR="00207215">
        <w:t xml:space="preserve">predikace </w:t>
      </w:r>
      <w:r w:rsidR="006D1C0E">
        <w:t xml:space="preserve">existuje </w:t>
      </w:r>
      <w:r w:rsidRPr="00273106">
        <w:t>mimo reálné vztahy</w:t>
      </w:r>
      <w:r>
        <w:t xml:space="preserve"> prvních substancí</w:t>
      </w:r>
      <w:r w:rsidR="006D1C0E">
        <w:t xml:space="preserve">. Její základ tvoří </w:t>
      </w:r>
      <w:r w:rsidR="006D1C0E">
        <w:lastRenderedPageBreak/>
        <w:t>demiurgická</w:t>
      </w:r>
      <w:r w:rsidR="08776175">
        <w:t xml:space="preserve"> </w:t>
      </w:r>
      <w:r w:rsidR="006D1C0E">
        <w:t>suverenita</w:t>
      </w:r>
      <w:r w:rsidRPr="00273106">
        <w:t xml:space="preserve"> boží vůle. </w:t>
      </w:r>
      <w:r w:rsidR="0064150D">
        <w:t>Za druhé, v</w:t>
      </w:r>
      <w:r w:rsidRPr="00273106">
        <w:t xml:space="preserve"> rámci určení pravdy jako </w:t>
      </w:r>
      <w:r w:rsidRPr="00273106">
        <w:rPr>
          <w:i/>
        </w:rPr>
        <w:t>rectitudo</w:t>
      </w:r>
      <w:r w:rsidRPr="00273106">
        <w:t xml:space="preserve"> </w:t>
      </w:r>
      <w:r w:rsidR="00D56887">
        <w:t xml:space="preserve">vznikl </w:t>
      </w:r>
      <w:r w:rsidRPr="00273106">
        <w:t>pravdiv</w:t>
      </w:r>
      <w:r w:rsidR="00D56887">
        <w:t>ý v</w:t>
      </w:r>
      <w:r w:rsidRPr="00273106">
        <w:t>ýrok už na úrovni nominálně daného slova</w:t>
      </w:r>
      <w:r>
        <w:fldChar w:fldCharType="begin"/>
      </w:r>
      <w:r>
        <w:instrText xml:space="preserve"> XE "homonymie" </w:instrText>
      </w:r>
      <w:r>
        <w:fldChar w:fldCharType="end"/>
      </w:r>
      <w:r>
        <w:t xml:space="preserve">. </w:t>
      </w:r>
      <w:r w:rsidR="00804C62">
        <w:t xml:space="preserve">Takové pojetí prvdy je možné postavit pouze dogmaticky a </w:t>
      </w:r>
      <w:r w:rsidR="00650EE7">
        <w:t>v rámci ontoteologie</w:t>
      </w:r>
      <w:r w:rsidR="00804C62">
        <w:t xml:space="preserve">, protože je </w:t>
      </w:r>
      <w:r>
        <w:t>napojen</w:t>
      </w:r>
      <w:r w:rsidR="00804C62">
        <w:t>o</w:t>
      </w:r>
      <w:r>
        <w:t xml:space="preserve"> </w:t>
      </w:r>
      <w:r w:rsidRPr="00273106">
        <w:t>na věčnou a neměnnou boží vůli. Toto dvojnásobně nejasné pojetí pravdy založi</w:t>
      </w:r>
      <w:r w:rsidR="00176113">
        <w:t>lo nový vztah myšlení k neoplato</w:t>
      </w:r>
      <w:r w:rsidRPr="00273106">
        <w:t xml:space="preserve">nsky pojaté realitě. </w:t>
      </w:r>
      <w:bookmarkStart w:id="22" w:name="_Ref396648018"/>
      <w:r w:rsidRPr="00273106">
        <w:t xml:space="preserve">Věc byla v pojetí pravdy jako </w:t>
      </w:r>
      <w:r w:rsidRPr="00273106">
        <w:rPr>
          <w:i/>
        </w:rPr>
        <w:t>rectitudo</w:t>
      </w:r>
      <w:r w:rsidRPr="00273106">
        <w:t xml:space="preserve"> </w:t>
      </w:r>
      <w:r>
        <w:t xml:space="preserve">nasvícena </w:t>
      </w:r>
      <w:r w:rsidRPr="00273106">
        <w:t>zeza</w:t>
      </w:r>
      <w:r>
        <w:t>du</w:t>
      </w:r>
      <w:r w:rsidRPr="00273106">
        <w:t>, tedy od věčného božího úradku</w:t>
      </w:r>
      <w:r w:rsidR="08776175">
        <w:t xml:space="preserve"> a vůle</w:t>
      </w:r>
      <w:r w:rsidRPr="00273106">
        <w:t xml:space="preserve">. Toto pojetí pravdy převzaly skrze porretány následné školy </w:t>
      </w:r>
      <w:r w:rsidRPr="00273106">
        <w:rPr>
          <w:i/>
        </w:rPr>
        <w:t>Logica modernorum</w:t>
      </w:r>
      <w:r w:rsidRPr="00273106">
        <w:t xml:space="preserve">, a nakonec i první objektivisté </w:t>
      </w:r>
      <w:r w:rsidR="08BF60A7">
        <w:t>okolo roku</w:t>
      </w:r>
      <w:r w:rsidRPr="00273106">
        <w:t xml:space="preserve"> 1240. </w:t>
      </w:r>
      <w:bookmarkEnd w:id="22"/>
      <w:r>
        <w:t>P</w:t>
      </w:r>
      <w:r w:rsidRPr="00273106">
        <w:t>ojetí pravdy</w:t>
      </w:r>
      <w:r>
        <w:t>-</w:t>
      </w:r>
      <w:r w:rsidRPr="009C133D">
        <w:rPr>
          <w:i/>
        </w:rPr>
        <w:t>rectitudo</w:t>
      </w:r>
      <w:r w:rsidRPr="00273106">
        <w:t xml:space="preserve"> </w:t>
      </w:r>
      <w:r w:rsidR="00D2654D">
        <w:t>má a</w:t>
      </w:r>
      <w:r w:rsidR="000626BC">
        <w:t>dekvaci</w:t>
      </w:r>
      <w:r w:rsidRPr="00273106">
        <w:t xml:space="preserve"> mezi </w:t>
      </w:r>
      <w:r w:rsidR="000626BC">
        <w:t xml:space="preserve">hypostázovanými </w:t>
      </w:r>
      <w:r w:rsidR="00B1298A" w:rsidRPr="000626BC">
        <w:t>species</w:t>
      </w:r>
      <w:r w:rsidR="000626BC">
        <w:t xml:space="preserve"> a </w:t>
      </w:r>
      <w:r w:rsidRPr="00273106">
        <w:t>čistými formami</w:t>
      </w:r>
      <w:r w:rsidR="00D2654D">
        <w:t xml:space="preserve">, </w:t>
      </w:r>
      <w:r w:rsidRPr="00273106">
        <w:t>a</w:t>
      </w:r>
      <w:r w:rsidR="00E82F80">
        <w:t xml:space="preserve"> </w:t>
      </w:r>
      <w:r w:rsidR="00AA5A5A">
        <w:t>na úrovni reálných substancí</w:t>
      </w:r>
      <w:r w:rsidR="00D2654D">
        <w:t xml:space="preserve">. Toto pojetí </w:t>
      </w:r>
      <w:r w:rsidR="00E82F80">
        <w:t>se prosadilo</w:t>
      </w:r>
      <w:r w:rsidRPr="00273106">
        <w:t xml:space="preserve"> hned v další gen</w:t>
      </w:r>
      <w:r w:rsidR="00FB3383">
        <w:t>eraci díky Gilbertovi</w:t>
      </w:r>
      <w:r w:rsidR="003900C1">
        <w:t xml:space="preserve"> de</w:t>
      </w:r>
      <w:r w:rsidR="00FB3383">
        <w:t xml:space="preserve"> </w:t>
      </w:r>
      <w:r w:rsidR="003B7230">
        <w:t xml:space="preserve">La </w:t>
      </w:r>
      <w:r w:rsidR="00FB3383">
        <w:t>Porrée</w:t>
      </w:r>
      <w:r w:rsidR="00176113">
        <w:t xml:space="preserve"> jako eminentním představ</w:t>
      </w:r>
      <w:r w:rsidR="08B80879">
        <w:t xml:space="preserve">iteli katedrální školy z Laonu. Tuto neoplatonskou školu </w:t>
      </w:r>
      <w:r w:rsidR="00CB3E4F">
        <w:t>Abélard</w:t>
      </w:r>
      <w:r w:rsidR="00176113">
        <w:t xml:space="preserve"> opus</w:t>
      </w:r>
      <w:r w:rsidR="0016662D">
        <w:t>til hned n</w:t>
      </w:r>
      <w:r w:rsidR="089B0394">
        <w:t>a začátk</w:t>
      </w:r>
      <w:r w:rsidR="00176113">
        <w:t xml:space="preserve">u své myslitelské dráhy. </w:t>
      </w:r>
      <w:r w:rsidR="08B73E48" w:rsidRPr="00273106">
        <w:t xml:space="preserve">Spor mezi jednoznačností Abelarda a mezi Anselmovou ambivaletní teorií signifikace a ambivalentního pojetí pravdy otevírá </w:t>
      </w:r>
      <w:r w:rsidR="08B73E48">
        <w:t xml:space="preserve">následný </w:t>
      </w:r>
      <w:r w:rsidR="08B73E48" w:rsidRPr="00273106">
        <w:t>konflikt mezi prvním a druhým averroismem, který ukazují další matrice.</w:t>
      </w:r>
      <w:r w:rsidR="08B73E48">
        <w:t xml:space="preserve"> </w:t>
      </w:r>
      <w:r w:rsidRPr="00273106">
        <w:t xml:space="preserve">Logické školy inspirované porretány </w:t>
      </w:r>
      <w:r w:rsidR="08B92B45">
        <w:t xml:space="preserve">zrušily primát aristotelské </w:t>
      </w:r>
      <w:r w:rsidR="001E19DA">
        <w:t xml:space="preserve">predikace </w:t>
      </w:r>
      <w:r w:rsidR="08B92B45">
        <w:t>vázané</w:t>
      </w:r>
      <w:r w:rsidR="08B92B45" w:rsidRPr="00273106">
        <w:t xml:space="preserve"> na </w:t>
      </w:r>
      <w:r w:rsidR="00E72134">
        <w:t xml:space="preserve">kauzalitu </w:t>
      </w:r>
      <w:r w:rsidR="08B92B45" w:rsidRPr="00273106">
        <w:t>první</w:t>
      </w:r>
      <w:r w:rsidR="00E72134">
        <w:t>ch substancí</w:t>
      </w:r>
      <w:r w:rsidR="08B92B45">
        <w:t xml:space="preserve">. </w:t>
      </w:r>
      <w:r w:rsidRPr="00273106">
        <w:t xml:space="preserve">Vinou nejasné adekvace přestala první moderna latinského Západu rozlišovat mezi impozicí významu od reálné substance a mezi </w:t>
      </w:r>
      <w:r>
        <w:t xml:space="preserve">supozicí </w:t>
      </w:r>
      <w:r w:rsidRPr="00273106">
        <w:t xml:space="preserve">danou pouze od intelektu. </w:t>
      </w:r>
      <w:r w:rsidR="0053550A">
        <w:t>Verbální tvrzení dostaly</w:t>
      </w:r>
      <w:r w:rsidRPr="00273106">
        <w:t xml:space="preserve"> absolutní význam </w:t>
      </w:r>
      <w:r>
        <w:t xml:space="preserve">a </w:t>
      </w:r>
      <w:r w:rsidR="0053550A">
        <w:t xml:space="preserve">jejich supozice </w:t>
      </w:r>
      <w:r>
        <w:t xml:space="preserve">se </w:t>
      </w:r>
      <w:r w:rsidRPr="00273106">
        <w:t>odděl</w:t>
      </w:r>
      <w:r>
        <w:t xml:space="preserve">ila </w:t>
      </w:r>
      <w:r w:rsidR="005320BA">
        <w:t>od reálného světa</w:t>
      </w:r>
      <w:r w:rsidRPr="00273106">
        <w:t xml:space="preserve">. </w:t>
      </w:r>
      <w:r w:rsidR="08BB5B65">
        <w:t>Nová signi</w:t>
      </w:r>
      <w:r w:rsidR="00DE33D3">
        <w:t xml:space="preserve">fikace se odvozuje od </w:t>
      </w:r>
      <w:r w:rsidR="0053550A">
        <w:t>„</w:t>
      </w:r>
      <w:r w:rsidR="00DE33D3">
        <w:t>substance–</w:t>
      </w:r>
      <w:r w:rsidR="08BB5B65">
        <w:t>individua</w:t>
      </w:r>
      <w:r w:rsidR="0053550A">
        <w:t>“</w:t>
      </w:r>
      <w:r w:rsidR="08BB5B65">
        <w:t xml:space="preserve">, které </w:t>
      </w:r>
      <w:r w:rsidR="0053550A">
        <w:t>předstírá, že je reálnou první substancí</w:t>
      </w:r>
      <w:r w:rsidR="08BB5B65">
        <w:t>. Toto jsoucno třetího druhu</w:t>
      </w:r>
      <w:r w:rsidR="08BB5B65">
        <w:fldChar w:fldCharType="begin"/>
      </w:r>
      <w:r w:rsidR="08BB5B65">
        <w:instrText xml:space="preserve"> XE "</w:instrText>
      </w:r>
      <w:r w:rsidR="08BB5B65" w:rsidRPr="00DE2A32">
        <w:instrText>substance</w:instrText>
      </w:r>
      <w:r w:rsidR="08BB5B65">
        <w:instrText xml:space="preserve">:třetího druhu" </w:instrText>
      </w:r>
      <w:r w:rsidR="08BB5B65">
        <w:fldChar w:fldCharType="end"/>
      </w:r>
      <w:r w:rsidR="08BB5B65">
        <w:t xml:space="preserve"> se stalo myto</w:t>
      </w:r>
      <w:r w:rsidR="00AF097B">
        <w:t xml:space="preserve">logickým </w:t>
      </w:r>
      <w:r w:rsidR="08BB5B65">
        <w:t xml:space="preserve">zdrojem </w:t>
      </w:r>
      <w:r w:rsidR="00A20EE6">
        <w:t xml:space="preserve">objektivně určeného </w:t>
      </w:r>
      <w:r w:rsidR="08BB5B65">
        <w:t>významu</w:t>
      </w:r>
      <w:r w:rsidR="08BB5B65" w:rsidRPr="00273106">
        <w:t>.</w:t>
      </w:r>
      <w:r w:rsidR="08BB5B65">
        <w:t xml:space="preserve"> </w:t>
      </w:r>
      <w:r w:rsidRPr="00273106">
        <w:t xml:space="preserve">Ontoteologická absoluce </w:t>
      </w:r>
      <w:r>
        <w:t xml:space="preserve">myšlení od </w:t>
      </w:r>
      <w:r w:rsidR="00CE5F92">
        <w:t>první substance dostala</w:t>
      </w:r>
      <w:r w:rsidRPr="00273106">
        <w:t xml:space="preserve"> centrální význam </w:t>
      </w:r>
      <w:r w:rsidR="00CE5F92">
        <w:t xml:space="preserve">v moderní metafyzice, což vedlo </w:t>
      </w:r>
      <w:r>
        <w:t xml:space="preserve">k založení </w:t>
      </w:r>
      <w:r w:rsidR="0040646C">
        <w:t xml:space="preserve">západní </w:t>
      </w:r>
      <w:r>
        <w:t>objektivity.</w:t>
      </w:r>
    </w:p>
    <w:p w14:paraId="111A40D8" w14:textId="7A9A3048" w:rsidR="00CF6FA2" w:rsidRPr="00273106" w:rsidRDefault="08626077" w:rsidP="00B14EDC">
      <w:pPr>
        <w:pStyle w:val="Nadpis2"/>
      </w:pPr>
      <w:bookmarkStart w:id="23" w:name="_Toc487234290"/>
      <w:bookmarkStart w:id="24" w:name="_Toc12558297"/>
      <w:r>
        <w:rPr>
          <w:lang w:val="cs-CZ"/>
        </w:rPr>
        <w:br w:type="page"/>
      </w:r>
      <w:bookmarkStart w:id="25" w:name="_Toc160449309"/>
      <w:r w:rsidR="08D20D28">
        <w:rPr>
          <w:lang w:val="cs-CZ"/>
        </w:rPr>
        <w:lastRenderedPageBreak/>
        <w:t>1</w:t>
      </w:r>
      <w:r w:rsidR="00610148" w:rsidRPr="00273106">
        <w:t>.</w:t>
      </w:r>
      <w:r w:rsidR="001B156E">
        <w:t>3</w:t>
      </w:r>
      <w:r w:rsidR="0083576D" w:rsidRPr="00273106">
        <w:t xml:space="preserve"> </w:t>
      </w:r>
      <w:r w:rsidR="002538DF" w:rsidRPr="00273106">
        <w:t xml:space="preserve">Pravda </w:t>
      </w:r>
      <w:r w:rsidR="002506D9" w:rsidRPr="00273106">
        <w:t xml:space="preserve">jako </w:t>
      </w:r>
      <w:r w:rsidR="002E3B62">
        <w:rPr>
          <w:i/>
        </w:rPr>
        <w:t>adaequatio</w:t>
      </w:r>
      <w:r w:rsidR="002506D9" w:rsidRPr="00273106">
        <w:t xml:space="preserve"> (</w:t>
      </w:r>
      <w:r w:rsidR="00CB3E4F">
        <w:rPr>
          <w:lang w:val="cs-CZ"/>
        </w:rPr>
        <w:t xml:space="preserve">Pierre </w:t>
      </w:r>
      <w:r w:rsidR="00CB3E4F">
        <w:t>Ab</w:t>
      </w:r>
      <w:r w:rsidR="00CB3E4F">
        <w:rPr>
          <w:lang w:val="cs-CZ"/>
        </w:rPr>
        <w:t>é</w:t>
      </w:r>
      <w:r w:rsidR="002506D9" w:rsidRPr="00273106">
        <w:t>lard</w:t>
      </w:r>
      <w:r w:rsidR="00CF6FA2" w:rsidRPr="00273106">
        <w:t>)</w:t>
      </w:r>
      <w:bookmarkEnd w:id="23"/>
      <w:bookmarkEnd w:id="24"/>
      <w:bookmarkEnd w:id="25"/>
    </w:p>
    <w:p w14:paraId="37365458" w14:textId="26BD3E55" w:rsidR="001C26FE" w:rsidRDefault="005A499A" w:rsidP="00A71912">
      <w:r w:rsidRPr="00273106">
        <w:rPr>
          <w:lang w:eastAsia="en-US"/>
        </w:rPr>
        <w:t xml:space="preserve">Abelardův </w:t>
      </w:r>
      <w:r w:rsidR="0823599E">
        <w:rPr>
          <w:lang w:eastAsia="en-US"/>
        </w:rPr>
        <w:t xml:space="preserve">dopis psaný někdy </w:t>
      </w:r>
      <w:r w:rsidR="00F82C98">
        <w:rPr>
          <w:lang w:eastAsia="en-US"/>
        </w:rPr>
        <w:t xml:space="preserve">roku </w:t>
      </w:r>
      <w:r w:rsidR="0077238F" w:rsidRPr="00273106">
        <w:rPr>
          <w:lang w:eastAsia="en-US"/>
        </w:rPr>
        <w:t>1120 neznámému biskupovi pod značkou G. (PL 178</w:t>
      </w:r>
      <w:r w:rsidR="007B5C7B" w:rsidRPr="00273106">
        <w:rPr>
          <w:lang w:eastAsia="en-US"/>
        </w:rPr>
        <w:t>,</w:t>
      </w:r>
      <w:r w:rsidR="0077238F" w:rsidRPr="00273106">
        <w:rPr>
          <w:lang w:eastAsia="en-US"/>
        </w:rPr>
        <w:t xml:space="preserve"> 357</w:t>
      </w:r>
      <w:r w:rsidR="00A71B3B" w:rsidRPr="00273106">
        <w:rPr>
          <w:lang w:eastAsia="en-US"/>
        </w:rPr>
        <w:t>–</w:t>
      </w:r>
      <w:r w:rsidR="002E4923" w:rsidRPr="00273106">
        <w:rPr>
          <w:lang w:eastAsia="en-US"/>
        </w:rPr>
        <w:t>72</w:t>
      </w:r>
      <w:r w:rsidR="0077238F" w:rsidRPr="00273106">
        <w:rPr>
          <w:lang w:eastAsia="en-US"/>
        </w:rPr>
        <w:t xml:space="preserve">) ukazuje první filosofický a mocenský spor o </w:t>
      </w:r>
      <w:r w:rsidR="0077238F" w:rsidRPr="00273106">
        <w:rPr>
          <w:i/>
          <w:lang w:eastAsia="en-US"/>
        </w:rPr>
        <w:t>tertiums ens</w:t>
      </w:r>
      <w:r w:rsidR="002B06ED" w:rsidRPr="00273106">
        <w:rPr>
          <w:lang w:eastAsia="en-US"/>
        </w:rPr>
        <w:t xml:space="preserve"> na latinském Západě</w:t>
      </w:r>
      <w:r w:rsidR="00DE200B" w:rsidRPr="00273106">
        <w:rPr>
          <w:i/>
          <w:lang w:eastAsia="en-US"/>
        </w:rPr>
        <w:t>.</w:t>
      </w:r>
      <w:r w:rsidR="0077238F" w:rsidRPr="00273106">
        <w:rPr>
          <w:lang w:eastAsia="en-US"/>
        </w:rPr>
        <w:t xml:space="preserve"> </w:t>
      </w:r>
      <w:r w:rsidR="00751D5F" w:rsidRPr="00273106">
        <w:rPr>
          <w:lang w:eastAsia="en-US"/>
        </w:rPr>
        <w:t>Oslovený b</w:t>
      </w:r>
      <w:r w:rsidR="00DD3ECB" w:rsidRPr="00273106">
        <w:rPr>
          <w:lang w:eastAsia="en-US"/>
        </w:rPr>
        <w:t xml:space="preserve">iskup </w:t>
      </w:r>
      <w:r w:rsidR="00031E83">
        <w:rPr>
          <w:lang w:eastAsia="en-US"/>
        </w:rPr>
        <w:t xml:space="preserve">G. </w:t>
      </w:r>
      <w:r w:rsidR="00DD3ECB" w:rsidRPr="00273106">
        <w:rPr>
          <w:lang w:eastAsia="en-US"/>
        </w:rPr>
        <w:t>měl sehnat kompenten</w:t>
      </w:r>
      <w:r w:rsidR="00DE200B" w:rsidRPr="00273106">
        <w:rPr>
          <w:lang w:eastAsia="en-US"/>
        </w:rPr>
        <w:t>tn</w:t>
      </w:r>
      <w:r w:rsidR="00DD3ECB" w:rsidRPr="00273106">
        <w:rPr>
          <w:lang w:eastAsia="en-US"/>
        </w:rPr>
        <w:t xml:space="preserve">í církevní soudce, kteří by rozhodli Abelardův spor s </w:t>
      </w:r>
      <w:r w:rsidR="000717F6" w:rsidRPr="00273106">
        <w:rPr>
          <w:lang w:eastAsia="en-US"/>
        </w:rPr>
        <w:t xml:space="preserve">jeho bývalým učitelem </w:t>
      </w:r>
      <w:r w:rsidR="00DD3ECB" w:rsidRPr="00273106">
        <w:rPr>
          <w:lang w:eastAsia="en-US"/>
        </w:rPr>
        <w:t xml:space="preserve">Roscelinem. </w:t>
      </w:r>
      <w:r w:rsidR="00CB3E4F">
        <w:rPr>
          <w:lang w:eastAsia="en-US"/>
        </w:rPr>
        <w:t>Abélard</w:t>
      </w:r>
      <w:r w:rsidR="08EC1475" w:rsidRPr="00273106">
        <w:rPr>
          <w:lang w:eastAsia="en-US"/>
        </w:rPr>
        <w:t xml:space="preserve"> stál v </w:t>
      </w:r>
      <w:r w:rsidR="08EC1475">
        <w:rPr>
          <w:lang w:eastAsia="en-US"/>
        </w:rPr>
        <w:t xml:space="preserve">otázce výkladu </w:t>
      </w:r>
      <w:r w:rsidR="08EC1475" w:rsidRPr="00F82C98">
        <w:rPr>
          <w:i/>
          <w:lang w:eastAsia="en-US"/>
        </w:rPr>
        <w:t>Isagoge</w:t>
      </w:r>
      <w:r w:rsidR="08EC1475">
        <w:rPr>
          <w:lang w:eastAsia="en-US"/>
        </w:rPr>
        <w:t xml:space="preserve"> </w:t>
      </w:r>
      <w:r w:rsidR="08EC1475" w:rsidRPr="00273106">
        <w:rPr>
          <w:lang w:eastAsia="en-US"/>
        </w:rPr>
        <w:t>proti Roscelino</w:t>
      </w:r>
      <w:r w:rsidR="002239AA">
        <w:rPr>
          <w:lang w:eastAsia="en-US"/>
        </w:rPr>
        <w:t>vi (†1225) a proti Gilbertovi de La Porrée</w:t>
      </w:r>
      <w:r w:rsidR="08EC1475" w:rsidRPr="00273106">
        <w:rPr>
          <w:lang w:eastAsia="en-US"/>
        </w:rPr>
        <w:t xml:space="preserve"> (†1154). </w:t>
      </w:r>
      <w:r w:rsidR="00A94069" w:rsidRPr="00273106">
        <w:rPr>
          <w:lang w:eastAsia="en-US"/>
        </w:rPr>
        <w:t>Vraťme se na začá</w:t>
      </w:r>
      <w:r w:rsidR="00784CA2" w:rsidRPr="00273106">
        <w:rPr>
          <w:lang w:eastAsia="en-US"/>
        </w:rPr>
        <w:t>tek tohoto sporu</w:t>
      </w:r>
      <w:r w:rsidR="08A33C93">
        <w:rPr>
          <w:lang w:eastAsia="en-US"/>
        </w:rPr>
        <w:t xml:space="preserve"> o status poznání reality</w:t>
      </w:r>
      <w:r w:rsidR="00784CA2" w:rsidRPr="00273106">
        <w:rPr>
          <w:lang w:eastAsia="en-US"/>
        </w:rPr>
        <w:t xml:space="preserve">, který v nové síle vypukne po roce 1250. </w:t>
      </w:r>
      <w:r w:rsidR="00FB0E63" w:rsidRPr="00273106">
        <w:t>Boethius</w:t>
      </w:r>
      <w:r w:rsidR="00DF1F0F">
        <w:fldChar w:fldCharType="begin"/>
      </w:r>
      <w:r w:rsidR="00DF1F0F">
        <w:instrText xml:space="preserve"> XE "</w:instrText>
      </w:r>
      <w:r w:rsidR="00DF1F0F" w:rsidRPr="00521677">
        <w:rPr>
          <w:lang w:eastAsia="en-US"/>
        </w:rPr>
        <w:instrText>Boethius, Anicius</w:instrText>
      </w:r>
      <w:r w:rsidR="00DF1F0F">
        <w:instrText xml:space="preserve">" </w:instrText>
      </w:r>
      <w:r w:rsidR="00DF1F0F">
        <w:fldChar w:fldCharType="end"/>
      </w:r>
      <w:r w:rsidR="00FB0E63" w:rsidRPr="00273106">
        <w:t xml:space="preserve"> v díle </w:t>
      </w:r>
      <w:r w:rsidR="00FB0E63" w:rsidRPr="00273106">
        <w:rPr>
          <w:i/>
        </w:rPr>
        <w:t>Liber de divisione</w:t>
      </w:r>
      <w:r w:rsidR="00FB0E63" w:rsidRPr="00273106">
        <w:t xml:space="preserve"> stanovuje rozdíl mezi první substancí existující </w:t>
      </w:r>
      <w:r w:rsidR="00FB0E63" w:rsidRPr="00273106">
        <w:rPr>
          <w:i/>
        </w:rPr>
        <w:t>simpliciter</w:t>
      </w:r>
      <w:r w:rsidR="00FB0E63" w:rsidRPr="00273106">
        <w:t xml:space="preserve"> v re</w:t>
      </w:r>
      <w:r w:rsidR="00252BA4" w:rsidRPr="00273106">
        <w:t>alitě a mezi jejím poznáním</w:t>
      </w:r>
      <w:r w:rsidR="009E4EFF" w:rsidRPr="00273106">
        <w:t xml:space="preserve"> v mysli</w:t>
      </w:r>
      <w:r w:rsidR="00252BA4" w:rsidRPr="00273106">
        <w:t>. První substanci v realitě d</w:t>
      </w:r>
      <w:r w:rsidR="00FB0E63" w:rsidRPr="00273106">
        <w:t>ě</w:t>
      </w:r>
      <w:r w:rsidR="00252BA4" w:rsidRPr="00273106">
        <w:t>l</w:t>
      </w:r>
      <w:r w:rsidR="00FB0E63" w:rsidRPr="00273106">
        <w:t xml:space="preserve">it nelze, </w:t>
      </w:r>
      <w:r w:rsidR="00E87176">
        <w:t xml:space="preserve">protože </w:t>
      </w:r>
      <w:r w:rsidR="00FB0E63" w:rsidRPr="00273106">
        <w:t xml:space="preserve">akt její existence je daný </w:t>
      </w:r>
      <w:r w:rsidR="00FB0E63" w:rsidRPr="00273106">
        <w:rPr>
          <w:i/>
        </w:rPr>
        <w:t>per se</w:t>
      </w:r>
      <w:r w:rsidR="00252BA4" w:rsidRPr="00273106">
        <w:t xml:space="preserve">. </w:t>
      </w:r>
      <w:r w:rsidR="00614EEC">
        <w:t>D</w:t>
      </w:r>
      <w:r w:rsidR="00252BA4" w:rsidRPr="00273106">
        <w:t>ělení pomocí univerzál</w:t>
      </w:r>
      <w:r w:rsidR="00F82C98">
        <w:t>ií v rámci Porfy</w:t>
      </w:r>
      <w:r w:rsidR="00B100C6" w:rsidRPr="00273106">
        <w:t xml:space="preserve">riova stromu </w:t>
      </w:r>
      <w:r w:rsidR="00FB0E63" w:rsidRPr="00273106">
        <w:t>je možné, ale odpovídá jinému řádu</w:t>
      </w:r>
      <w:r w:rsidR="006D5284" w:rsidRPr="00273106">
        <w:t xml:space="preserve"> bytí</w:t>
      </w:r>
      <w:r w:rsidR="00B100C6" w:rsidRPr="00273106">
        <w:t>,</w:t>
      </w:r>
      <w:r w:rsidR="00FB0E63" w:rsidRPr="00273106">
        <w:t xml:space="preserve"> než věc</w:t>
      </w:r>
      <w:r w:rsidR="00B100C6" w:rsidRPr="00273106">
        <w:t xml:space="preserve"> existující v realitě. </w:t>
      </w:r>
      <w:r w:rsidR="081438D5">
        <w:rPr>
          <w:rStyle w:val="Zkladntext158dkovn0pt"/>
          <w:color w:val="auto"/>
          <w:spacing w:val="0"/>
          <w:sz w:val="24"/>
          <w:lang w:val="cs-CZ"/>
        </w:rPr>
        <w:t>C</w:t>
      </w:r>
      <w:r w:rsidR="081438D5" w:rsidRPr="00273106">
        <w:t>o je nedělitel</w:t>
      </w:r>
      <w:r w:rsidR="081438D5">
        <w:t>né v realitě</w:t>
      </w:r>
      <w:r w:rsidR="081438D5" w:rsidRPr="00273106">
        <w:t xml:space="preserve">, </w:t>
      </w:r>
      <w:r w:rsidR="081438D5">
        <w:t xml:space="preserve">to </w:t>
      </w:r>
      <w:r w:rsidR="081438D5" w:rsidRPr="00273106">
        <w:t>může být univerzálně dělitelné lidmi v Evropě nebo v Africe.</w:t>
      </w:r>
      <w:r w:rsidR="081438D5">
        <w:t xml:space="preserve"> </w:t>
      </w:r>
      <w:r w:rsidR="00C43FEA">
        <w:t xml:space="preserve">Analyzovaná </w:t>
      </w:r>
      <w:r w:rsidR="00D52192">
        <w:rPr>
          <w:rStyle w:val="Zkladntext158dkovn0pt"/>
          <w:color w:val="auto"/>
          <w:spacing w:val="0"/>
          <w:sz w:val="24"/>
          <w:lang w:val="cs-CZ"/>
        </w:rPr>
        <w:t xml:space="preserve">část </w:t>
      </w:r>
      <w:r w:rsidR="00D52192" w:rsidRPr="00D52192">
        <w:rPr>
          <w:rStyle w:val="Zkladntext158dkovn0pt"/>
          <w:i/>
          <w:color w:val="auto"/>
          <w:spacing w:val="0"/>
          <w:sz w:val="24"/>
          <w:lang w:val="cs-CZ"/>
        </w:rPr>
        <w:t>Isagoge</w:t>
      </w:r>
      <w:r w:rsidR="00C43FEA">
        <w:rPr>
          <w:rStyle w:val="Zkladntext158dkovn0pt"/>
          <w:color w:val="auto"/>
          <w:spacing w:val="0"/>
          <w:sz w:val="24"/>
          <w:lang w:val="cs-CZ"/>
        </w:rPr>
        <w:t xml:space="preserve"> ukázala, že c</w:t>
      </w:r>
      <w:r w:rsidR="00C1160C" w:rsidRPr="00273106">
        <w:rPr>
          <w:rStyle w:val="Zkladntext158dkovn0pt"/>
          <w:color w:val="auto"/>
          <w:spacing w:val="0"/>
          <w:sz w:val="24"/>
          <w:lang w:val="cs-CZ"/>
        </w:rPr>
        <w:t>elek (</w:t>
      </w:r>
      <w:r w:rsidR="00C1160C" w:rsidRPr="00273106">
        <w:rPr>
          <w:rStyle w:val="Zkladntext158dkovn0pt"/>
          <w:i/>
          <w:color w:val="auto"/>
          <w:spacing w:val="0"/>
          <w:sz w:val="24"/>
          <w:lang w:val="cs-CZ"/>
        </w:rPr>
        <w:t>totum</w:t>
      </w:r>
      <w:r w:rsidR="00C1160C" w:rsidRPr="00273106">
        <w:rPr>
          <w:rStyle w:val="Zkladntext158dkovn0pt"/>
          <w:color w:val="auto"/>
          <w:spacing w:val="0"/>
          <w:sz w:val="24"/>
          <w:lang w:val="cs-CZ"/>
        </w:rPr>
        <w:t xml:space="preserve">) shrnutý v termínu „člověk“ </w:t>
      </w:r>
      <w:r w:rsidR="08635E92">
        <w:rPr>
          <w:rStyle w:val="Zkladntext158dkovn0pt"/>
          <w:color w:val="auto"/>
          <w:spacing w:val="0"/>
          <w:sz w:val="24"/>
          <w:lang w:val="cs-CZ"/>
        </w:rPr>
        <w:t>vyjadřuje pouze analogickou</w:t>
      </w:r>
      <w:r w:rsidR="00C1160C">
        <w:rPr>
          <w:rStyle w:val="Zkladntext158dkovn0pt"/>
          <w:color w:val="auto"/>
          <w:spacing w:val="0"/>
          <w:sz w:val="24"/>
          <w:lang w:val="cs-CZ"/>
        </w:rPr>
        <w:t xml:space="preserve"> </w:t>
      </w:r>
      <w:r w:rsidR="00C1160C" w:rsidRPr="00273106">
        <w:rPr>
          <w:rStyle w:val="Zkladntext158dkovn0pt"/>
          <w:color w:val="auto"/>
          <w:spacing w:val="0"/>
          <w:sz w:val="24"/>
          <w:lang w:val="cs-CZ"/>
        </w:rPr>
        <w:t>podobnost</w:t>
      </w:r>
      <w:r w:rsidR="00C1160C">
        <w:rPr>
          <w:rStyle w:val="Zkladntext158dkovn0pt"/>
          <w:color w:val="auto"/>
          <w:spacing w:val="0"/>
          <w:sz w:val="24"/>
          <w:lang w:val="cs-CZ"/>
        </w:rPr>
        <w:t xml:space="preserve"> mezi singulárním a univerzálním</w:t>
      </w:r>
      <w:r w:rsidR="00240344">
        <w:rPr>
          <w:rStyle w:val="Zkladntext158dkovn0pt"/>
          <w:color w:val="auto"/>
          <w:spacing w:val="0"/>
          <w:sz w:val="24"/>
          <w:lang w:val="cs-CZ"/>
        </w:rPr>
        <w:t xml:space="preserve"> pojetím jsoucna</w:t>
      </w:r>
      <w:r w:rsidR="080855C7">
        <w:rPr>
          <w:rStyle w:val="Zkladntext158dkovn0pt"/>
          <w:color w:val="auto"/>
          <w:spacing w:val="0"/>
          <w:sz w:val="24"/>
          <w:lang w:val="cs-CZ"/>
        </w:rPr>
        <w:t xml:space="preserve"> (kap. 1</w:t>
      </w:r>
      <w:r w:rsidR="00C43FEA">
        <w:rPr>
          <w:rStyle w:val="Zkladntext158dkovn0pt"/>
          <w:color w:val="auto"/>
          <w:spacing w:val="0"/>
          <w:sz w:val="24"/>
          <w:lang w:val="cs-CZ"/>
        </w:rPr>
        <w:t>.1)</w:t>
      </w:r>
      <w:r w:rsidR="00C1160C" w:rsidRPr="00273106">
        <w:rPr>
          <w:rStyle w:val="Zkladntext158dkovn0pt"/>
          <w:color w:val="auto"/>
          <w:spacing w:val="0"/>
          <w:sz w:val="24"/>
          <w:lang w:val="cs-CZ"/>
        </w:rPr>
        <w:t>.</w:t>
      </w:r>
      <w:r w:rsidR="00C1160C">
        <w:rPr>
          <w:rStyle w:val="Zkladntext158dkovn0pt"/>
          <w:color w:val="auto"/>
          <w:spacing w:val="0"/>
          <w:sz w:val="24"/>
          <w:lang w:val="cs-CZ"/>
        </w:rPr>
        <w:t xml:space="preserve"> </w:t>
      </w:r>
      <w:r w:rsidR="00FB0E63" w:rsidRPr="00273106">
        <w:t>Pro duši platí totéž, protože existuje jako forma těla a zároveň je místem, kde univer</w:t>
      </w:r>
      <w:r w:rsidR="00B06ADE" w:rsidRPr="00273106">
        <w:t>z</w:t>
      </w:r>
      <w:r w:rsidR="00FB0E63" w:rsidRPr="00273106">
        <w:t xml:space="preserve">álie vznikají díky aktu intelektuálního poznání. </w:t>
      </w:r>
      <w:r w:rsidR="00EB4396" w:rsidRPr="00273106">
        <w:t xml:space="preserve">Reálného člověka dělit nelze, abstraktní schopnosti duše dělit lze. </w:t>
      </w:r>
      <w:r w:rsidR="00782A48" w:rsidRPr="00273106">
        <w:t>Boethius provedl první rozlišení mezi dvěma pojetími duše</w:t>
      </w:r>
      <w:r w:rsidR="081438D5">
        <w:t xml:space="preserve"> danými existenciálně a univerzálně</w:t>
      </w:r>
      <w:r w:rsidR="00782A48" w:rsidRPr="00273106">
        <w:t>.</w:t>
      </w:r>
      <w:r w:rsidR="00782A48" w:rsidRPr="00273106">
        <w:rPr>
          <w:rStyle w:val="Znakapoznpodarou"/>
        </w:rPr>
        <w:footnoteReference w:id="18"/>
      </w:r>
      <w:r w:rsidR="00782A48" w:rsidRPr="00273106">
        <w:t xml:space="preserve"> Jasně oddělil</w:t>
      </w:r>
      <w:r w:rsidR="00FB0E63" w:rsidRPr="00273106">
        <w:t xml:space="preserve"> určení duše jako svébytného celku (</w:t>
      </w:r>
      <w:r w:rsidR="00FB0E63" w:rsidRPr="00273106">
        <w:rPr>
          <w:i/>
        </w:rPr>
        <w:t>totum</w:t>
      </w:r>
      <w:r w:rsidR="00FB0E63" w:rsidRPr="00273106">
        <w:t>) a odliši</w:t>
      </w:r>
      <w:r w:rsidR="00782A48" w:rsidRPr="00273106">
        <w:t>l</w:t>
      </w:r>
      <w:r w:rsidR="00FB0E63" w:rsidRPr="00273106">
        <w:t xml:space="preserve"> tento celek od </w:t>
      </w:r>
      <w:r w:rsidR="00C43FEA">
        <w:t xml:space="preserve">formálně a abstraktně pojatých </w:t>
      </w:r>
      <w:r w:rsidR="00FB0E63" w:rsidRPr="00273106">
        <w:t>schopností duše (</w:t>
      </w:r>
      <w:r w:rsidR="00FB0E63" w:rsidRPr="00273106">
        <w:rPr>
          <w:i/>
        </w:rPr>
        <w:t>partes enim hae animae</w:t>
      </w:r>
      <w:r w:rsidR="00421912" w:rsidRPr="00273106">
        <w:t>).</w:t>
      </w:r>
      <w:r w:rsidR="00782A48" w:rsidRPr="00273106">
        <w:t xml:space="preserve"> </w:t>
      </w:r>
      <w:r w:rsidR="0017423F" w:rsidRPr="00273106">
        <w:t>Z</w:t>
      </w:r>
      <w:r w:rsidR="007905C9" w:rsidRPr="00273106">
        <w:t>a prv</w:t>
      </w:r>
      <w:r w:rsidR="0017423F" w:rsidRPr="00273106">
        <w:t xml:space="preserve">é a zásadně existuje v reálu </w:t>
      </w:r>
      <w:r w:rsidR="007905C9" w:rsidRPr="00273106">
        <w:t xml:space="preserve">jeden nedělitelný </w:t>
      </w:r>
      <w:r w:rsidR="0017423F" w:rsidRPr="00273106">
        <w:t xml:space="preserve">celek </w:t>
      </w:r>
      <w:r w:rsidR="00A7261B" w:rsidRPr="00273106">
        <w:t>da</w:t>
      </w:r>
      <w:r w:rsidR="00765C99" w:rsidRPr="00273106">
        <w:t>n</w:t>
      </w:r>
      <w:r w:rsidR="00A7261B" w:rsidRPr="00273106">
        <w:t>ý v rámci a</w:t>
      </w:r>
      <w:r w:rsidR="003660A5" w:rsidRPr="00273106">
        <w:t xml:space="preserve">ktu </w:t>
      </w:r>
      <w:r w:rsidR="00FB78DF" w:rsidRPr="00273106">
        <w:t xml:space="preserve">jedinečné </w:t>
      </w:r>
      <w:r w:rsidR="003660A5" w:rsidRPr="00273106">
        <w:t>subsistence</w:t>
      </w:r>
      <w:r w:rsidR="00015564">
        <w:fldChar w:fldCharType="begin"/>
      </w:r>
      <w:r w:rsidR="00015564">
        <w:instrText xml:space="preserve"> XE "</w:instrText>
      </w:r>
      <w:r w:rsidR="00015564" w:rsidRPr="001D1E42">
        <w:instrText>subsistence</w:instrText>
      </w:r>
      <w:r w:rsidR="00BA4B86">
        <w:instrText>:duše</w:instrText>
      </w:r>
      <w:r w:rsidR="00015564">
        <w:instrText xml:space="preserve">" </w:instrText>
      </w:r>
      <w:r w:rsidR="00015564">
        <w:fldChar w:fldCharType="end"/>
      </w:r>
      <w:r w:rsidR="003660A5" w:rsidRPr="00273106">
        <w:t xml:space="preserve"> </w:t>
      </w:r>
      <w:r w:rsidR="0017423F" w:rsidRPr="00273106">
        <w:t>duše</w:t>
      </w:r>
      <w:r w:rsidR="089E1F10" w:rsidRPr="089E1F10">
        <w:t xml:space="preserve"> (</w:t>
      </w:r>
      <w:r w:rsidR="089E1F10" w:rsidRPr="089E1F10">
        <w:rPr>
          <w:i/>
        </w:rPr>
        <w:t>totum integrum</w:t>
      </w:r>
      <w:r w:rsidR="089E1F10" w:rsidRPr="089E1F10">
        <w:t>)</w:t>
      </w:r>
      <w:r w:rsidR="088C239E">
        <w:t>. T</w:t>
      </w:r>
      <w:r w:rsidR="089E1F10">
        <w:t>a</w:t>
      </w:r>
      <w:r w:rsidR="088C239E">
        <w:t xml:space="preserve">to </w:t>
      </w:r>
      <w:r w:rsidR="00273AC6" w:rsidRPr="00273106">
        <w:t xml:space="preserve">existující </w:t>
      </w:r>
      <w:r w:rsidR="089E1F10">
        <w:t xml:space="preserve">duše v těle </w:t>
      </w:r>
      <w:r w:rsidR="0017423F" w:rsidRPr="00273106">
        <w:t>není genericky danou jednotou nějakých částí (</w:t>
      </w:r>
      <w:r w:rsidR="0017423F" w:rsidRPr="00273106">
        <w:rPr>
          <w:i/>
        </w:rPr>
        <w:t xml:space="preserve">non est anima horum </w:t>
      </w:r>
      <w:r w:rsidR="00B1298A">
        <w:rPr>
          <w:i/>
        </w:rPr>
        <w:t>genus</w:t>
      </w:r>
      <w:r w:rsidR="0017423F" w:rsidRPr="00273106">
        <w:t xml:space="preserve">). Za druhé, existuje </w:t>
      </w:r>
      <w:r w:rsidR="00765C99" w:rsidRPr="00273106">
        <w:t>formální pohled</w:t>
      </w:r>
      <w:r w:rsidR="00A20AEE" w:rsidRPr="00273106">
        <w:t xml:space="preserve"> na výkon duše </w:t>
      </w:r>
      <w:r w:rsidR="00765C99" w:rsidRPr="00273106">
        <w:t xml:space="preserve">daný </w:t>
      </w:r>
      <w:r w:rsidR="00A20AEE" w:rsidRPr="00273106">
        <w:t xml:space="preserve">buď </w:t>
      </w:r>
      <w:r w:rsidR="00765C99" w:rsidRPr="00273106">
        <w:t xml:space="preserve">v rámci abstrahovaných </w:t>
      </w:r>
      <w:r w:rsidR="003660A5" w:rsidRPr="00273106">
        <w:t xml:space="preserve">částí </w:t>
      </w:r>
      <w:r w:rsidR="00765C99" w:rsidRPr="00273106">
        <w:t>(</w:t>
      </w:r>
      <w:r w:rsidR="00765C99" w:rsidRPr="00273106">
        <w:rPr>
          <w:i/>
        </w:rPr>
        <w:t>partes animae</w:t>
      </w:r>
      <w:r w:rsidR="00A20AEE" w:rsidRPr="00273106">
        <w:t xml:space="preserve">), </w:t>
      </w:r>
      <w:r w:rsidR="00765C99" w:rsidRPr="00273106">
        <w:t xml:space="preserve">nebo </w:t>
      </w:r>
      <w:r w:rsidR="00A20AEE" w:rsidRPr="00273106">
        <w:t xml:space="preserve">abstrahovaných </w:t>
      </w:r>
      <w:r w:rsidR="00E55014" w:rsidRPr="00273106">
        <w:t xml:space="preserve">potencí a </w:t>
      </w:r>
      <w:r w:rsidR="00A7261B" w:rsidRPr="00273106">
        <w:t>schopností (</w:t>
      </w:r>
      <w:r w:rsidR="00A7261B" w:rsidRPr="00273106">
        <w:rPr>
          <w:i/>
        </w:rPr>
        <w:t>in aliqua potestate et virtute</w:t>
      </w:r>
      <w:r w:rsidR="00A7261B" w:rsidRPr="00273106">
        <w:t xml:space="preserve">). </w:t>
      </w:r>
      <w:r w:rsidR="00273AC6" w:rsidRPr="00273106">
        <w:t xml:space="preserve">Pak je možné duši </w:t>
      </w:r>
      <w:r w:rsidR="00FB7D2F" w:rsidRPr="00273106">
        <w:t xml:space="preserve">v rámci univerzálního určení </w:t>
      </w:r>
      <w:r w:rsidR="00CE1DEF">
        <w:t xml:space="preserve">specifických schopností a potencí </w:t>
      </w:r>
      <w:r w:rsidR="00FB7D2F" w:rsidRPr="00273106">
        <w:t xml:space="preserve">také </w:t>
      </w:r>
      <w:r w:rsidR="00273AC6" w:rsidRPr="00273106">
        <w:t>dělit, protože</w:t>
      </w:r>
      <w:r w:rsidR="00946DE9" w:rsidRPr="00273106">
        <w:t xml:space="preserve"> tvoří celek abstrak</w:t>
      </w:r>
      <w:r w:rsidR="00273AC6" w:rsidRPr="00273106">
        <w:t>tních vlastností (</w:t>
      </w:r>
      <w:r w:rsidR="00273AC6" w:rsidRPr="00273106">
        <w:rPr>
          <w:i/>
        </w:rPr>
        <w:t>totius divisionis</w:t>
      </w:r>
      <w:r w:rsidR="00273AC6" w:rsidRPr="00273106">
        <w:t xml:space="preserve">). </w:t>
      </w:r>
      <w:r w:rsidR="084D509C">
        <w:t>Z</w:t>
      </w:r>
      <w:r w:rsidR="08A06168">
        <w:t> </w:t>
      </w:r>
      <w:r w:rsidR="084D509C">
        <w:t>p</w:t>
      </w:r>
      <w:r w:rsidR="08A06168">
        <w:t>ředešlé analýzy</w:t>
      </w:r>
      <w:r w:rsidR="084D509C">
        <w:t xml:space="preserve"> je jasné, že t</w:t>
      </w:r>
      <w:r w:rsidR="08AB7D0F" w:rsidRPr="00273106">
        <w:t xml:space="preserve">uto dvojí signifikaci </w:t>
      </w:r>
      <w:r w:rsidR="084D509C">
        <w:t>celku (</w:t>
      </w:r>
      <w:r w:rsidR="08482803" w:rsidRPr="08482803">
        <w:rPr>
          <w:i/>
        </w:rPr>
        <w:t>totum</w:t>
      </w:r>
      <w:r w:rsidR="084D509C">
        <w:t xml:space="preserve">) nelze pojat univočně. </w:t>
      </w:r>
      <w:r w:rsidR="003660A5" w:rsidRPr="00273106">
        <w:t>Boeth</w:t>
      </w:r>
      <w:r w:rsidR="00784CA2" w:rsidRPr="00273106">
        <w:t>i</w:t>
      </w:r>
      <w:r w:rsidR="003660A5" w:rsidRPr="00273106">
        <w:t>us</w:t>
      </w:r>
      <w:r w:rsidR="00DF1F0F">
        <w:fldChar w:fldCharType="begin"/>
      </w:r>
      <w:r w:rsidR="00DF1F0F">
        <w:instrText xml:space="preserve"> XE "</w:instrText>
      </w:r>
      <w:r w:rsidR="00801AEE">
        <w:instrText>substance:</w:instrText>
      </w:r>
      <w:r w:rsidR="00DF1F0F" w:rsidRPr="00521677">
        <w:rPr>
          <w:lang w:eastAsia="en-US"/>
        </w:rPr>
        <w:instrText>Boethius</w:instrText>
      </w:r>
      <w:r w:rsidR="00DF1F0F">
        <w:instrText xml:space="preserve">" </w:instrText>
      </w:r>
      <w:r w:rsidR="00DF1F0F">
        <w:fldChar w:fldCharType="end"/>
      </w:r>
      <w:r w:rsidR="003660A5" w:rsidRPr="00273106">
        <w:t xml:space="preserve"> navázal </w:t>
      </w:r>
      <w:r w:rsidR="00784CA2" w:rsidRPr="00273106">
        <w:t xml:space="preserve">určení duše </w:t>
      </w:r>
      <w:r w:rsidR="003660A5" w:rsidRPr="00273106">
        <w:t xml:space="preserve">na klasický rozdíl mezi první substancí danou </w:t>
      </w:r>
      <w:r w:rsidR="003660A5" w:rsidRPr="00273106">
        <w:rPr>
          <w:i/>
        </w:rPr>
        <w:t>per se</w:t>
      </w:r>
      <w:r w:rsidR="003660A5" w:rsidRPr="00273106">
        <w:t xml:space="preserve"> a </w:t>
      </w:r>
      <w:r w:rsidR="00286050" w:rsidRPr="00273106">
        <w:t xml:space="preserve">mezi </w:t>
      </w:r>
      <w:r w:rsidR="00D52192">
        <w:t xml:space="preserve">kategoriálními </w:t>
      </w:r>
      <w:r w:rsidR="003660A5" w:rsidRPr="00273106">
        <w:t>určeními druhé substance</w:t>
      </w:r>
      <w:r w:rsidR="08002AE5">
        <w:t xml:space="preserve"> danými genericky v </w:t>
      </w:r>
      <w:r w:rsidR="08002AE5">
        <w:lastRenderedPageBreak/>
        <w:t>rámci Aristotelem provedené</w:t>
      </w:r>
      <w:r w:rsidR="08DC4A20">
        <w:t>ho dělení (</w:t>
      </w:r>
      <w:r w:rsidR="08002AE5">
        <w:rPr>
          <w:rStyle w:val="st"/>
        </w:rPr>
        <w:t>διαίρεσις</w:t>
      </w:r>
      <w:r w:rsidR="08DC4A20">
        <w:rPr>
          <w:rStyle w:val="st"/>
        </w:rPr>
        <w:t>)</w:t>
      </w:r>
      <w:r w:rsidR="08002AE5">
        <w:rPr>
          <w:rStyle w:val="st"/>
        </w:rPr>
        <w:t xml:space="preserve"> definující </w:t>
      </w:r>
      <w:r w:rsidR="080B349E">
        <w:rPr>
          <w:rStyle w:val="st"/>
        </w:rPr>
        <w:t>univerzálně daný rod a pak druh</w:t>
      </w:r>
      <w:r w:rsidR="08002AE5">
        <w:rPr>
          <w:rStyle w:val="st"/>
        </w:rPr>
        <w:t xml:space="preserve"> </w:t>
      </w:r>
      <w:r w:rsidR="084E7952">
        <w:t>(</w:t>
      </w:r>
      <w:r w:rsidR="080B349E">
        <w:t xml:space="preserve">OBJ I, </w:t>
      </w:r>
      <w:r w:rsidR="084E7952">
        <w:t>kap. 1.3</w:t>
      </w:r>
      <w:r w:rsidR="08002AE5">
        <w:t>)</w:t>
      </w:r>
      <w:r w:rsidR="003660A5" w:rsidRPr="00273106">
        <w:t xml:space="preserve">. </w:t>
      </w:r>
      <w:r w:rsidR="00D52192">
        <w:t>Stejný rozdíl měl Averroe</w:t>
      </w:r>
      <w:r w:rsidR="00F07A43">
        <w:t xml:space="preserve">s v rozdílu intelektu jako </w:t>
      </w:r>
      <w:r w:rsidR="00F07A43" w:rsidRPr="00356777">
        <w:rPr>
          <w:i/>
        </w:rPr>
        <w:t>tertium</w:t>
      </w:r>
      <w:r w:rsidR="00801AEE">
        <w:rPr>
          <w:i/>
        </w:rPr>
        <w:fldChar w:fldCharType="begin"/>
      </w:r>
      <w:r w:rsidR="00801AEE">
        <w:instrText xml:space="preserve"> XE "</w:instrText>
      </w:r>
      <w:r w:rsidR="00801AEE" w:rsidRPr="00801AEE">
        <w:rPr>
          <w:i/>
        </w:rPr>
        <w:instrText>tertium</w:instrText>
      </w:r>
      <w:r w:rsidR="00801AEE">
        <w:instrText xml:space="preserve"> </w:instrText>
      </w:r>
      <w:r w:rsidR="00801AEE" w:rsidRPr="00191848">
        <w:rPr>
          <w:i/>
        </w:rPr>
        <w:instrText>genus</w:instrText>
      </w:r>
      <w:r w:rsidR="00801AEE">
        <w:instrText xml:space="preserve">" </w:instrText>
      </w:r>
      <w:r w:rsidR="00801AEE">
        <w:rPr>
          <w:i/>
        </w:rPr>
        <w:fldChar w:fldCharType="end"/>
      </w:r>
      <w:r w:rsidR="00F07A43">
        <w:t xml:space="preserve"> a </w:t>
      </w:r>
      <w:r w:rsidR="00F07A43" w:rsidRPr="00356777">
        <w:rPr>
          <w:i/>
        </w:rPr>
        <w:t xml:space="preserve">quartum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F07A43">
        <w:t xml:space="preserve"> (</w:t>
      </w:r>
      <w:r w:rsidR="08911130">
        <w:t xml:space="preserve">OBJ I, </w:t>
      </w:r>
      <w:r w:rsidR="00F07A43">
        <w:t xml:space="preserve">kap. 2.4.3). </w:t>
      </w:r>
      <w:r w:rsidR="08C265D1" w:rsidRPr="00273106">
        <w:t xml:space="preserve">Duše jako </w:t>
      </w:r>
      <w:r w:rsidR="08097AC5">
        <w:t>entelechická forma tohoto</w:t>
      </w:r>
      <w:r w:rsidR="08C265D1" w:rsidRPr="00273106">
        <w:t xml:space="preserve"> těla </w:t>
      </w:r>
      <w:r w:rsidR="08097AC5" w:rsidRPr="00273106">
        <w:t xml:space="preserve">není totéž jsoucno </w:t>
      </w:r>
      <w:r w:rsidR="08097AC5">
        <w:t xml:space="preserve">jako </w:t>
      </w:r>
      <w:r w:rsidR="08C265D1" w:rsidRPr="00273106">
        <w:t xml:space="preserve">formálně určený </w:t>
      </w:r>
      <w:r w:rsidR="00B1298A">
        <w:rPr>
          <w:i/>
        </w:rPr>
        <w:t>genus</w:t>
      </w:r>
      <w:r w:rsidR="08C265D1" w:rsidRPr="00273106">
        <w:t xml:space="preserve"> </w:t>
      </w:r>
      <w:r w:rsidR="08097AC5">
        <w:t xml:space="preserve">duše </w:t>
      </w:r>
      <w:r w:rsidR="08C265D1" w:rsidRPr="00273106">
        <w:t>daný v intelektu.</w:t>
      </w:r>
      <w:r w:rsidR="002D07C5">
        <w:t xml:space="preserve"> </w:t>
      </w:r>
      <w:r w:rsidR="00892025" w:rsidRPr="00892025">
        <w:t xml:space="preserve">Dějiny západní objektivity a pozdějšího averroismu začínají sporem mezi Abelardem a jeho kritiky o povahu metafyziky. Na stole je význam pojmů </w:t>
      </w:r>
      <w:r w:rsidR="00892025" w:rsidRPr="00273106">
        <w:rPr>
          <w:i/>
        </w:rPr>
        <w:t>totum universale</w:t>
      </w:r>
      <w:r w:rsidR="00892025">
        <w:rPr>
          <w:i/>
        </w:rPr>
        <w:fldChar w:fldCharType="begin"/>
      </w:r>
      <w:r w:rsidR="00892025">
        <w:instrText xml:space="preserve"> XE "</w:instrText>
      </w:r>
      <w:r w:rsidR="00892025" w:rsidRPr="00F92D1B">
        <w:rPr>
          <w:i/>
        </w:rPr>
        <w:instrText>totum universale</w:instrText>
      </w:r>
      <w:r w:rsidR="00892025">
        <w:instrText xml:space="preserve">" </w:instrText>
      </w:r>
      <w:r w:rsidR="00892025">
        <w:rPr>
          <w:i/>
        </w:rPr>
        <w:fldChar w:fldCharType="end"/>
      </w:r>
      <w:r w:rsidR="00892025">
        <w:t xml:space="preserve"> a </w:t>
      </w:r>
      <w:r w:rsidR="00892025" w:rsidRPr="00273106">
        <w:rPr>
          <w:i/>
        </w:rPr>
        <w:t>totum integrum</w:t>
      </w:r>
      <w:r w:rsidR="00892025">
        <w:rPr>
          <w:i/>
        </w:rPr>
        <w:fldChar w:fldCharType="begin"/>
      </w:r>
      <w:r w:rsidR="00892025">
        <w:instrText xml:space="preserve"> XE "</w:instrText>
      </w:r>
      <w:r w:rsidR="00892025" w:rsidRPr="00A61533">
        <w:rPr>
          <w:i/>
        </w:rPr>
        <w:instrText>totum integrum</w:instrText>
      </w:r>
      <w:r w:rsidR="00892025">
        <w:instrText xml:space="preserve">" </w:instrText>
      </w:r>
      <w:r w:rsidR="00892025">
        <w:rPr>
          <w:i/>
        </w:rPr>
        <w:fldChar w:fldCharType="end"/>
      </w:r>
      <w:r w:rsidR="00892025" w:rsidRPr="00273106">
        <w:t xml:space="preserve"> </w:t>
      </w:r>
      <w:r w:rsidR="00892025" w:rsidRPr="00273106">
        <w:rPr>
          <w:lang w:eastAsia="en-US"/>
        </w:rPr>
        <w:t>(Jolivet 1992)</w:t>
      </w:r>
      <w:r w:rsidR="00892025" w:rsidRPr="00892025">
        <w:t xml:space="preserve">. Spor </w:t>
      </w:r>
      <w:r w:rsidR="00892025">
        <w:t xml:space="preserve">ukazuje </w:t>
      </w:r>
      <w:r w:rsidR="00892025" w:rsidRPr="00892025">
        <w:rPr>
          <w:i/>
        </w:rPr>
        <w:t>Lichtung</w:t>
      </w:r>
      <w:r w:rsidR="00892025">
        <w:rPr>
          <w:i/>
        </w:rPr>
        <w:fldChar w:fldCharType="begin"/>
      </w:r>
      <w:r w:rsidR="00892025">
        <w:instrText xml:space="preserve"> XE "</w:instrText>
      </w:r>
      <w:r w:rsidR="00892025" w:rsidRPr="005A0BE2">
        <w:rPr>
          <w:i/>
        </w:rPr>
        <w:instrText>Lichtung</w:instrText>
      </w:r>
      <w:r w:rsidR="00892025">
        <w:instrText xml:space="preserve">" </w:instrText>
      </w:r>
      <w:r w:rsidR="00892025">
        <w:rPr>
          <w:i/>
        </w:rPr>
        <w:fldChar w:fldCharType="end"/>
      </w:r>
      <w:r w:rsidR="00892025">
        <w:t xml:space="preserve"> latinské objektivity. M</w:t>
      </w:r>
      <w:r w:rsidR="00892025" w:rsidRPr="00892025">
        <w:t>odernisté na neoplat</w:t>
      </w:r>
      <w:r w:rsidR="00892025">
        <w:t>o</w:t>
      </w:r>
      <w:r w:rsidR="00892025" w:rsidRPr="00892025">
        <w:t>n</w:t>
      </w:r>
      <w:r w:rsidR="00892025">
        <w:t>s</w:t>
      </w:r>
      <w:r w:rsidR="00892025" w:rsidRPr="00892025">
        <w:t>kých kate</w:t>
      </w:r>
      <w:r w:rsidR="00892025">
        <w:t xml:space="preserve">drálních </w:t>
      </w:r>
      <w:r w:rsidR="00047C1C">
        <w:t xml:space="preserve">školách </w:t>
      </w:r>
      <w:r w:rsidR="00892025">
        <w:t>použili c</w:t>
      </w:r>
      <w:r w:rsidR="00892025" w:rsidRPr="00892025">
        <w:t>írkevní</w:t>
      </w:r>
      <w:r w:rsidR="00892025">
        <w:t xml:space="preserve"> moc, aby prosadili novou formu </w:t>
      </w:r>
      <w:r w:rsidR="00892025" w:rsidRPr="00892025">
        <w:rPr>
          <w:i/>
        </w:rPr>
        <w:t>tertium ens</w:t>
      </w:r>
      <w:r w:rsidR="00892025" w:rsidRPr="00892025">
        <w:t>.</w:t>
      </w:r>
      <w:r w:rsidR="00892025">
        <w:t xml:space="preserve"> </w:t>
      </w:r>
      <w:r w:rsidR="00CB3E4F">
        <w:t>Abélard</w:t>
      </w:r>
      <w:r w:rsidR="00371A08" w:rsidRPr="00273106">
        <w:t xml:space="preserve"> </w:t>
      </w:r>
      <w:r w:rsidR="00995662" w:rsidRPr="00273106">
        <w:t xml:space="preserve">brání </w:t>
      </w:r>
      <w:r w:rsidR="087F56F4">
        <w:t xml:space="preserve">aristotelismus </w:t>
      </w:r>
      <w:r w:rsidR="00A938E4">
        <w:t>Porfy</w:t>
      </w:r>
      <w:r w:rsidR="00371A08" w:rsidRPr="00273106">
        <w:t>ria</w:t>
      </w:r>
      <w:r w:rsidR="0007616B" w:rsidRPr="00273106">
        <w:t xml:space="preserve">, </w:t>
      </w:r>
      <w:r w:rsidR="00556484" w:rsidRPr="00273106">
        <w:t xml:space="preserve">což dokazuje jeho </w:t>
      </w:r>
      <w:r w:rsidR="00E82C7E" w:rsidRPr="00273106">
        <w:t xml:space="preserve">spis </w:t>
      </w:r>
      <w:r w:rsidR="00E82C7E" w:rsidRPr="00273106">
        <w:rPr>
          <w:i/>
        </w:rPr>
        <w:t>Diale</w:t>
      </w:r>
      <w:r w:rsidR="009071EF" w:rsidRPr="00273106">
        <w:rPr>
          <w:i/>
        </w:rPr>
        <w:t>c</w:t>
      </w:r>
      <w:r w:rsidR="00E82C7E" w:rsidRPr="00273106">
        <w:rPr>
          <w:i/>
        </w:rPr>
        <w:t>t</w:t>
      </w:r>
      <w:r w:rsidR="009071EF" w:rsidRPr="00273106">
        <w:rPr>
          <w:i/>
        </w:rPr>
        <w:t>ic</w:t>
      </w:r>
      <w:r w:rsidR="0007616B" w:rsidRPr="00273106">
        <w:rPr>
          <w:i/>
        </w:rPr>
        <w:t>a</w:t>
      </w:r>
      <w:r w:rsidR="0007616B" w:rsidRPr="00273106">
        <w:t>.</w:t>
      </w:r>
      <w:r w:rsidR="00371A08" w:rsidRPr="00273106">
        <w:t xml:space="preserve"> </w:t>
      </w:r>
    </w:p>
    <w:p w14:paraId="3A4E7E73" w14:textId="5F4AA358" w:rsidR="001C26FE" w:rsidRPr="00B1454C" w:rsidRDefault="001C26FE" w:rsidP="00B1454C">
      <w:pPr>
        <w:pStyle w:val="Citace"/>
        <w:rPr>
          <w:lang w:val="cs-CZ"/>
        </w:rPr>
      </w:pPr>
      <w:r>
        <w:t>„</w:t>
      </w:r>
      <w:r w:rsidR="00013C2E">
        <w:rPr>
          <w:lang w:val="cs-CZ"/>
        </w:rPr>
        <w:t xml:space="preserve">Tyto </w:t>
      </w:r>
      <w:r>
        <w:rPr>
          <w:lang w:val="cs-CZ"/>
        </w:rPr>
        <w:t xml:space="preserve">rozdíly zakládají význam jak </w:t>
      </w:r>
      <w:r w:rsidR="083A724E">
        <w:rPr>
          <w:lang w:val="cs-CZ"/>
        </w:rPr>
        <w:t xml:space="preserve">reálného </w:t>
      </w:r>
      <w:r>
        <w:rPr>
          <w:lang w:val="cs-CZ"/>
        </w:rPr>
        <w:t>Sokrata, tak člověka obecně, jak</w:t>
      </w:r>
      <w:r w:rsidR="00ED4893">
        <w:rPr>
          <w:lang w:val="cs-CZ"/>
        </w:rPr>
        <w:t>o</w:t>
      </w:r>
      <w:r>
        <w:rPr>
          <w:lang w:val="cs-CZ"/>
        </w:rPr>
        <w:t xml:space="preserve"> například rozumnost, smrtelnost a další, které </w:t>
      </w:r>
      <w:r w:rsidR="00013C2E">
        <w:rPr>
          <w:lang w:val="cs-CZ"/>
        </w:rPr>
        <w:t>však jsou univerzální</w:t>
      </w:r>
      <w:r>
        <w:rPr>
          <w:lang w:val="cs-CZ"/>
        </w:rPr>
        <w:t xml:space="preserve">, nikoliv singulární. </w:t>
      </w:r>
      <w:r w:rsidR="00013C2E">
        <w:rPr>
          <w:lang w:val="cs-CZ"/>
        </w:rPr>
        <w:t xml:space="preserve">Pak </w:t>
      </w:r>
      <w:r>
        <w:rPr>
          <w:lang w:val="cs-CZ"/>
        </w:rPr>
        <w:t xml:space="preserve">platí, že první druh racionality je substanciální vlastnost </w:t>
      </w:r>
      <w:r w:rsidR="083A724E">
        <w:rPr>
          <w:lang w:val="cs-CZ"/>
        </w:rPr>
        <w:t xml:space="preserve">reálného </w:t>
      </w:r>
      <w:r>
        <w:rPr>
          <w:lang w:val="cs-CZ"/>
        </w:rPr>
        <w:t>Sokrata, nikoliv člověka obecně. Proto všechny formy, které jsou individuál</w:t>
      </w:r>
      <w:r w:rsidR="00B1454C">
        <w:rPr>
          <w:lang w:val="cs-CZ"/>
        </w:rPr>
        <w:t xml:space="preserve">ními vlastnostmi </w:t>
      </w:r>
      <w:r w:rsidR="083A724E">
        <w:rPr>
          <w:lang w:val="cs-CZ"/>
        </w:rPr>
        <w:t xml:space="preserve">reálné </w:t>
      </w:r>
      <w:r w:rsidR="00B1454C">
        <w:rPr>
          <w:lang w:val="cs-CZ"/>
        </w:rPr>
        <w:t xml:space="preserve">substance, </w:t>
      </w:r>
      <w:r w:rsidR="00484ACD">
        <w:rPr>
          <w:lang w:val="cs-CZ"/>
        </w:rPr>
        <w:t xml:space="preserve">tvoří </w:t>
      </w:r>
      <w:r w:rsidR="006A04C6" w:rsidRPr="006A04C6">
        <w:rPr>
          <w:lang w:val="cs-CZ"/>
        </w:rPr>
        <w:t>species</w:t>
      </w:r>
      <w:r w:rsidR="00484ACD">
        <w:rPr>
          <w:lang w:val="cs-CZ"/>
        </w:rPr>
        <w:t xml:space="preserve"> </w:t>
      </w:r>
      <w:r w:rsidR="00CE2870">
        <w:rPr>
          <w:lang w:val="cs-CZ"/>
        </w:rPr>
        <w:t xml:space="preserve">pouze </w:t>
      </w:r>
      <w:r w:rsidR="00484ACD">
        <w:rPr>
          <w:lang w:val="cs-CZ"/>
        </w:rPr>
        <w:t xml:space="preserve">na základě specifického </w:t>
      </w:r>
      <w:r>
        <w:rPr>
          <w:lang w:val="cs-CZ"/>
        </w:rPr>
        <w:t xml:space="preserve">určení. Proto nemohou mít </w:t>
      </w:r>
      <w:r w:rsidR="00484ACD">
        <w:rPr>
          <w:lang w:val="cs-CZ"/>
        </w:rPr>
        <w:t xml:space="preserve">aktuální </w:t>
      </w:r>
      <w:r w:rsidR="00AB59DF">
        <w:rPr>
          <w:lang w:val="cs-CZ"/>
        </w:rPr>
        <w:t>charakter, i když to tvrdí všechny pomluvy</w:t>
      </w:r>
      <w:r>
        <w:rPr>
          <w:lang w:val="cs-CZ"/>
        </w:rPr>
        <w:t>.“</w:t>
      </w:r>
      <w:r w:rsidR="00B1454C">
        <w:rPr>
          <w:lang w:val="cs-CZ"/>
        </w:rPr>
        <w:t> </w:t>
      </w:r>
      <w:r w:rsidRPr="00273106">
        <w:rPr>
          <w:rStyle w:val="Znakapoznpodarou"/>
        </w:rPr>
        <w:footnoteReference w:id="19"/>
      </w:r>
    </w:p>
    <w:p w14:paraId="7055CA61" w14:textId="6BC1F31F" w:rsidR="00A85444" w:rsidRDefault="00CB3E4F" w:rsidP="00BF596F">
      <w:r>
        <w:t>Abélard</w:t>
      </w:r>
      <w:r w:rsidR="08611B3F" w:rsidRPr="00273106">
        <w:t xml:space="preserve"> tvrdí, že o</w:t>
      </w:r>
      <w:r w:rsidR="08611B3F">
        <w:t>becné</w:t>
      </w:r>
      <w:r w:rsidR="08611B3F" w:rsidRPr="00273106">
        <w:t xml:space="preserve"> určení v rámci druhé substance má univerzální statut a je odděleno od bytí </w:t>
      </w:r>
      <w:r w:rsidR="08611B3F">
        <w:t xml:space="preserve">aktuální </w:t>
      </w:r>
      <w:r w:rsidR="08611B3F" w:rsidRPr="00273106">
        <w:t>jednotliviny (</w:t>
      </w:r>
      <w:r w:rsidR="08611B3F">
        <w:rPr>
          <w:i/>
        </w:rPr>
        <w:t>univ</w:t>
      </w:r>
      <w:r w:rsidR="08611B3F" w:rsidRPr="00273106">
        <w:rPr>
          <w:i/>
        </w:rPr>
        <w:t>ersales sunt, non singulares</w:t>
      </w:r>
      <w:r w:rsidR="08611B3F" w:rsidRPr="00273106">
        <w:t xml:space="preserve">). </w:t>
      </w:r>
      <w:r w:rsidR="0007616B" w:rsidRPr="00273106">
        <w:t>První substance</w:t>
      </w:r>
      <w:r w:rsidR="00A70FA4">
        <w:fldChar w:fldCharType="begin"/>
      </w:r>
      <w:r w:rsidR="00A70FA4">
        <w:instrText xml:space="preserve"> XE "</w:instrText>
      </w:r>
      <w:r w:rsidR="00A70FA4" w:rsidRPr="00DE2A32">
        <w:instrText>substance</w:instrText>
      </w:r>
      <w:r w:rsidR="00801AEE">
        <w:instrText>:Abelard</w:instrText>
      </w:r>
      <w:r w:rsidR="00A70FA4">
        <w:instrText xml:space="preserve">" </w:instrText>
      </w:r>
      <w:r w:rsidR="00A70FA4">
        <w:fldChar w:fldCharType="end"/>
      </w:r>
      <w:r w:rsidR="0007616B" w:rsidRPr="00273106">
        <w:t xml:space="preserve"> žádné diference nemá, existuje vcelku a nedělitelně. Formální určení (</w:t>
      </w:r>
      <w:r w:rsidR="0007616B" w:rsidRPr="00273106">
        <w:rPr>
          <w:i/>
        </w:rPr>
        <w:t>rationalitas</w:t>
      </w:r>
      <w:r w:rsidR="0007616B" w:rsidRPr="00273106">
        <w:t xml:space="preserve">, </w:t>
      </w:r>
      <w:r w:rsidR="0007616B" w:rsidRPr="00273106">
        <w:rPr>
          <w:i/>
        </w:rPr>
        <w:t>mortalitas</w:t>
      </w:r>
      <w:r w:rsidR="0007616B" w:rsidRPr="00273106">
        <w:t xml:space="preserve">) nepatří k </w:t>
      </w:r>
      <w:r w:rsidR="0818089F">
        <w:t xml:space="preserve">existenciálnímu </w:t>
      </w:r>
      <w:r w:rsidR="00014FDE" w:rsidRPr="00273106">
        <w:t>určení Sokrata</w:t>
      </w:r>
      <w:r w:rsidR="00C53DF3">
        <w:t xml:space="preserve"> (</w:t>
      </w:r>
      <w:r w:rsidR="00C53DF3" w:rsidRPr="00273106">
        <w:rPr>
          <w:i/>
        </w:rPr>
        <w:t>non homini</w:t>
      </w:r>
      <w:r w:rsidR="00C53DF3">
        <w:t>)</w:t>
      </w:r>
      <w:r w:rsidR="00014FDE" w:rsidRPr="00273106">
        <w:t xml:space="preserve">, ale k </w:t>
      </w:r>
      <w:r w:rsidR="0007616B" w:rsidRPr="00273106">
        <w:t>rodové</w:t>
      </w:r>
      <w:r w:rsidR="00014FDE" w:rsidRPr="00273106">
        <w:t>mu</w:t>
      </w:r>
      <w:r w:rsidR="0007616B" w:rsidRPr="00273106">
        <w:t xml:space="preserve"> a druhové</w:t>
      </w:r>
      <w:r w:rsidR="00014FDE" w:rsidRPr="00273106">
        <w:t>mu</w:t>
      </w:r>
      <w:r w:rsidR="0007616B" w:rsidRPr="00273106">
        <w:t xml:space="preserve"> určení </w:t>
      </w:r>
      <w:r w:rsidR="00C27567" w:rsidRPr="00273106">
        <w:t xml:space="preserve">v rámci druhé </w:t>
      </w:r>
      <w:r w:rsidR="0007616B" w:rsidRPr="00273106">
        <w:t>substance (</w:t>
      </w:r>
      <w:r w:rsidR="0007616B" w:rsidRPr="00273106">
        <w:rPr>
          <w:i/>
        </w:rPr>
        <w:t>Socrati substantialis est</w:t>
      </w:r>
      <w:r w:rsidR="00376A5C" w:rsidRPr="00273106">
        <w:t xml:space="preserve">). </w:t>
      </w:r>
      <w:r w:rsidR="08E41D74">
        <w:t>U</w:t>
      </w:r>
      <w:r w:rsidR="00755581">
        <w:t>niverzál</w:t>
      </w:r>
      <w:r w:rsidR="00174E42">
        <w:t>i</w:t>
      </w:r>
      <w:r w:rsidR="00755581">
        <w:t xml:space="preserve">e </w:t>
      </w:r>
      <w:r w:rsidR="08E41D74">
        <w:t xml:space="preserve">vypovídají o Sokratovi </w:t>
      </w:r>
      <w:r w:rsidR="008A05BE">
        <w:t xml:space="preserve">v </w:t>
      </w:r>
      <w:r w:rsidR="002E2FC1">
        <w:t xml:space="preserve">univerzálním </w:t>
      </w:r>
      <w:r w:rsidR="008A05BE">
        <w:t>modu</w:t>
      </w:r>
      <w:r w:rsidR="08640CD4">
        <w:t xml:space="preserve"> druhé substance</w:t>
      </w:r>
      <w:r w:rsidR="008A05BE">
        <w:t xml:space="preserve">, </w:t>
      </w:r>
      <w:r w:rsidR="002E2FC1">
        <w:t>kter</w:t>
      </w:r>
      <w:r w:rsidR="08640CD4">
        <w:t>á</w:t>
      </w:r>
      <w:r w:rsidR="002E2FC1">
        <w:t xml:space="preserve"> se zásadně liší od singulární a aktuální </w:t>
      </w:r>
      <w:r w:rsidR="008A05BE">
        <w:t>existence</w:t>
      </w:r>
      <w:r w:rsidR="08640CD4">
        <w:t xml:space="preserve"> první substance</w:t>
      </w:r>
      <w:r w:rsidR="08D06BCC">
        <w:fldChar w:fldCharType="begin"/>
      </w:r>
      <w:r w:rsidR="08D06BCC">
        <w:instrText xml:space="preserve"> XE "</w:instrText>
      </w:r>
      <w:r w:rsidR="08D06BCC" w:rsidRPr="08CE51E5">
        <w:instrText>substance:první</w:instrText>
      </w:r>
      <w:r w:rsidR="08D06BCC">
        <w:instrText xml:space="preserve">" </w:instrText>
      </w:r>
      <w:r w:rsidR="08D06BCC">
        <w:fldChar w:fldCharType="end"/>
      </w:r>
      <w:r w:rsidR="008A05BE">
        <w:t xml:space="preserve">. </w:t>
      </w:r>
      <w:r w:rsidR="08E41D74" w:rsidRPr="00273106">
        <w:t xml:space="preserve">Akt subsistentního bytí způsobuje, že jedna věc je </w:t>
      </w:r>
      <w:r w:rsidR="08E41D74">
        <w:t xml:space="preserve">v reálu </w:t>
      </w:r>
      <w:r w:rsidR="08E41D74" w:rsidRPr="00273106">
        <w:t xml:space="preserve">odlišná od druhé. </w:t>
      </w:r>
      <w:r w:rsidR="08E41D74">
        <w:t>Aktuální j</w:t>
      </w:r>
      <w:r w:rsidR="08E41D74" w:rsidRPr="00273106">
        <w:t xml:space="preserve">ednotlivina díky substanciální jednoduchosti </w:t>
      </w:r>
      <w:r w:rsidR="08E41D74">
        <w:t xml:space="preserve">a vlastnímu aktu existence </w:t>
      </w:r>
      <w:r w:rsidR="08E41D74" w:rsidRPr="00273106">
        <w:t xml:space="preserve">neobsahuje žádné diference. </w:t>
      </w:r>
      <w:r w:rsidR="08024431">
        <w:t>Definice</w:t>
      </w:r>
      <w:r w:rsidR="00FE191D" w:rsidRPr="00273106">
        <w:t xml:space="preserve"> </w:t>
      </w:r>
      <w:r w:rsidR="00D65219" w:rsidRPr="00273106">
        <w:t xml:space="preserve">individua </w:t>
      </w:r>
      <w:r w:rsidR="005E128B">
        <w:t xml:space="preserve">jako </w:t>
      </w:r>
      <w:r w:rsidR="009D5558">
        <w:t>uni</w:t>
      </w:r>
      <w:r w:rsidR="00C42BAF" w:rsidRPr="00273106">
        <w:t>verzá</w:t>
      </w:r>
      <w:r w:rsidR="005E128B">
        <w:t xml:space="preserve">lní formy </w:t>
      </w:r>
      <w:r w:rsidR="00D65219" w:rsidRPr="00273106">
        <w:t xml:space="preserve">se </w:t>
      </w:r>
      <w:r w:rsidR="004C4F5E" w:rsidRPr="00273106">
        <w:t xml:space="preserve">netýká </w:t>
      </w:r>
      <w:r w:rsidR="005E128B">
        <w:t>a</w:t>
      </w:r>
      <w:r w:rsidR="00AF3C4C" w:rsidRPr="00273106">
        <w:t>ktuální první substance</w:t>
      </w:r>
      <w:r w:rsidR="00C42BAF" w:rsidRPr="00273106">
        <w:t xml:space="preserve">, ale </w:t>
      </w:r>
      <w:r w:rsidR="08E41D74">
        <w:t xml:space="preserve">obecného významu </w:t>
      </w:r>
      <w:r w:rsidR="00C42BAF" w:rsidRPr="00273106">
        <w:t xml:space="preserve">v rámci </w:t>
      </w:r>
      <w:r w:rsidR="002B5AFE">
        <w:t xml:space="preserve">druhu </w:t>
      </w:r>
      <w:r w:rsidR="00C42BAF" w:rsidRPr="00273106">
        <w:t>(</w:t>
      </w:r>
      <w:r w:rsidR="00C42BAF" w:rsidRPr="00273106">
        <w:rPr>
          <w:i/>
        </w:rPr>
        <w:t xml:space="preserve">substantiales etiam sint speciebus secundum </w:t>
      </w:r>
      <w:r w:rsidR="004B4D52" w:rsidRPr="004B4D52">
        <w:t>species</w:t>
      </w:r>
      <w:r w:rsidR="00C42BAF" w:rsidRPr="00273106">
        <w:t>)</w:t>
      </w:r>
      <w:r w:rsidR="00FE191D" w:rsidRPr="00273106">
        <w:t xml:space="preserve">. </w:t>
      </w:r>
      <w:r>
        <w:t>Abélard</w:t>
      </w:r>
      <w:r w:rsidR="00BC2AA8" w:rsidRPr="00273106">
        <w:t xml:space="preserve"> vylučuje </w:t>
      </w:r>
      <w:r w:rsidR="00782478" w:rsidRPr="00273106">
        <w:t>univocit</w:t>
      </w:r>
      <w:r w:rsidR="00BC2AA8" w:rsidRPr="00273106">
        <w:t>u</w:t>
      </w:r>
      <w:r w:rsidR="00782478" w:rsidRPr="00273106">
        <w:t xml:space="preserve"> první a </w:t>
      </w:r>
      <w:r w:rsidR="005F42EA">
        <w:t>druhé substance, která by založila</w:t>
      </w:r>
      <w:r w:rsidR="00782478" w:rsidRPr="00273106">
        <w:t xml:space="preserve"> nějakou formu </w:t>
      </w:r>
      <w:r w:rsidR="00782478"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801AEE" w:rsidRPr="00801AEE">
        <w:rPr>
          <w:rStyle w:val="Zvraznn"/>
          <w:i w:val="0"/>
        </w:rPr>
        <w:instrText>:Abelardova kritika</w:instrText>
      </w:r>
      <w:r w:rsidR="003F16A5">
        <w:instrText xml:space="preserve">" </w:instrText>
      </w:r>
      <w:r w:rsidR="003F16A5">
        <w:rPr>
          <w:i/>
        </w:rPr>
        <w:fldChar w:fldCharType="end"/>
      </w:r>
      <w:r w:rsidR="00782478" w:rsidRPr="00273106">
        <w:t xml:space="preserve">. </w:t>
      </w:r>
      <w:r w:rsidR="08E41D74" w:rsidRPr="00273106">
        <w:t xml:space="preserve">To odpovídá pojetí první </w:t>
      </w:r>
      <w:r w:rsidR="00154650">
        <w:t xml:space="preserve">hyparchické </w:t>
      </w:r>
      <w:r w:rsidR="08E41D74" w:rsidRPr="00273106">
        <w:t xml:space="preserve">substance </w:t>
      </w:r>
      <w:r w:rsidR="08E41D74" w:rsidRPr="00273106">
        <w:lastRenderedPageBreak/>
        <w:t>v </w:t>
      </w:r>
      <w:r w:rsidR="08E41D74" w:rsidRPr="00242E0E">
        <w:rPr>
          <w:i/>
        </w:rPr>
        <w:t>Kategoriích</w:t>
      </w:r>
      <w:r w:rsidR="08E41D74" w:rsidRPr="00273106">
        <w:t xml:space="preserve"> a v </w:t>
      </w:r>
      <w:r w:rsidR="08E41D74" w:rsidRPr="00242E0E">
        <w:rPr>
          <w:i/>
        </w:rPr>
        <w:t>Metafyzice</w:t>
      </w:r>
      <w:r w:rsidR="08E41D74" w:rsidRPr="00273106">
        <w:t xml:space="preserve"> (</w:t>
      </w:r>
      <w:r w:rsidR="08021BA5">
        <w:t xml:space="preserve">OBJ I, </w:t>
      </w:r>
      <w:r w:rsidR="084E7952">
        <w:t>kap. 1.3</w:t>
      </w:r>
      <w:r w:rsidR="08E41D74" w:rsidRPr="00273106">
        <w:t>).</w:t>
      </w:r>
      <w:r w:rsidR="08E41D74">
        <w:t xml:space="preserve"> </w:t>
      </w:r>
      <w:r w:rsidR="00D14FA2" w:rsidRPr="00273106">
        <w:t xml:space="preserve">Pojem </w:t>
      </w:r>
      <w:r w:rsidR="00731BF4">
        <w:t xml:space="preserve">první a druhé </w:t>
      </w:r>
      <w:r w:rsidR="00D14FA2" w:rsidRPr="00273106">
        <w:t>substance není univoční, protože její určení je dvojí: buď existuj</w:t>
      </w:r>
      <w:r w:rsidR="00242E0E">
        <w:t>e jako univerzálie v rámci Porfy</w:t>
      </w:r>
      <w:r w:rsidR="00D14FA2" w:rsidRPr="00273106">
        <w:t>riova stromu</w:t>
      </w:r>
      <w:r w:rsidR="00B72788">
        <w:t>,</w:t>
      </w:r>
      <w:r w:rsidR="00D14FA2" w:rsidRPr="00273106">
        <w:t xml:space="preserve"> nebo jako jednotlivina v rámci aktuální</w:t>
      </w:r>
      <w:r w:rsidR="005A7A87" w:rsidRPr="00273106">
        <w:t>ho</w:t>
      </w:r>
      <w:r w:rsidR="00D14FA2" w:rsidRPr="00273106">
        <w:t xml:space="preserve"> bytí </w:t>
      </w:r>
      <w:r w:rsidR="005A7A87" w:rsidRPr="00273106">
        <w:t xml:space="preserve">daného </w:t>
      </w:r>
      <w:r w:rsidR="00D14FA2" w:rsidRPr="00273106">
        <w:t xml:space="preserve">mimo </w:t>
      </w:r>
      <w:r w:rsidR="00470AB1" w:rsidRPr="00273106">
        <w:t xml:space="preserve">lidskou </w:t>
      </w:r>
      <w:r w:rsidR="00D14FA2" w:rsidRPr="00273106">
        <w:t xml:space="preserve">mysl. </w:t>
      </w:r>
      <w:r w:rsidR="00242E0E">
        <w:t>Specifická diference Porfy</w:t>
      </w:r>
      <w:r w:rsidR="002070C2" w:rsidRPr="00273106">
        <w:t>riova stromu se podle Abel</w:t>
      </w:r>
      <w:r w:rsidR="00242E0E">
        <w:t xml:space="preserve">arda </w:t>
      </w:r>
      <w:r w:rsidR="00B72788" w:rsidRPr="00273106">
        <w:t xml:space="preserve">vztahuje </w:t>
      </w:r>
      <w:r w:rsidR="00242E0E">
        <w:t xml:space="preserve">navzdory všem </w:t>
      </w:r>
      <w:r w:rsidR="0023119C">
        <w:t>intele</w:t>
      </w:r>
      <w:r w:rsidR="000501F8">
        <w:t>k</w:t>
      </w:r>
      <w:r w:rsidR="0023119C">
        <w:t xml:space="preserve">tuálním manipulacím </w:t>
      </w:r>
      <w:r w:rsidR="002070C2" w:rsidRPr="00273106">
        <w:t>(</w:t>
      </w:r>
      <w:r w:rsidR="002070C2" w:rsidRPr="00273106">
        <w:rPr>
          <w:i/>
        </w:rPr>
        <w:t>absque omni calumnia</w:t>
      </w:r>
      <w:r w:rsidR="002070C2" w:rsidRPr="00273106">
        <w:t xml:space="preserve">) na </w:t>
      </w:r>
      <w:r w:rsidR="004B4D52" w:rsidRPr="004B4D52">
        <w:t>species</w:t>
      </w:r>
      <w:r w:rsidR="002070C2" w:rsidRPr="00273106">
        <w:t xml:space="preserve"> a </w:t>
      </w:r>
      <w:r w:rsidR="00B1298A">
        <w:rPr>
          <w:i/>
        </w:rPr>
        <w:t>genus</w:t>
      </w:r>
      <w:r w:rsidR="002070C2" w:rsidRPr="00273106">
        <w:t xml:space="preserve">, kde běží jiný druh diferenciace, než </w:t>
      </w:r>
      <w:r w:rsidR="00641CDD">
        <w:t xml:space="preserve">je </w:t>
      </w:r>
      <w:r w:rsidR="002070C2">
        <w:t xml:space="preserve">kauzální působení </w:t>
      </w:r>
      <w:r w:rsidR="002070C2" w:rsidRPr="00273106">
        <w:t>mezi aktuálními substancemi v reálu.</w:t>
      </w:r>
      <w:r w:rsidR="005D549F">
        <w:t xml:space="preserve"> </w:t>
      </w:r>
      <w:r w:rsidR="00363988" w:rsidRPr="00273106">
        <w:t xml:space="preserve">Spis </w:t>
      </w:r>
      <w:r w:rsidR="00363988" w:rsidRPr="00273106">
        <w:rPr>
          <w:i/>
        </w:rPr>
        <w:t>Dialektika</w:t>
      </w:r>
      <w:r w:rsidR="00625205" w:rsidRPr="00273106">
        <w:t xml:space="preserve"> </w:t>
      </w:r>
      <w:r w:rsidR="000C5624">
        <w:t xml:space="preserve">drží </w:t>
      </w:r>
      <w:r w:rsidR="00625205" w:rsidRPr="00273106">
        <w:t xml:space="preserve">zásadní rozdíl mezi oběma pojetími </w:t>
      </w:r>
      <w:r w:rsidR="00CB5320" w:rsidRPr="00273106">
        <w:t xml:space="preserve">nedělitelného celku </w:t>
      </w:r>
      <w:r w:rsidR="00242E0E">
        <w:t>jsoucna</w:t>
      </w:r>
      <w:r w:rsidR="00F8339D" w:rsidRPr="00273106">
        <w:t xml:space="preserve">, protože </w:t>
      </w:r>
      <w:r w:rsidR="00DB39ED" w:rsidRPr="00273106">
        <w:t xml:space="preserve">existuje </w:t>
      </w:r>
      <w:r w:rsidR="00A1416F" w:rsidRPr="00273106">
        <w:t>dvojí</w:t>
      </w:r>
      <w:r w:rsidR="00DC6448" w:rsidRPr="00273106">
        <w:t xml:space="preserve"> </w:t>
      </w:r>
      <w:r w:rsidR="00A1416F" w:rsidRPr="00273106">
        <w:t>pojetí</w:t>
      </w:r>
      <w:r w:rsidR="00782478" w:rsidRPr="00273106">
        <w:t xml:space="preserve"> celku jsoucího</w:t>
      </w:r>
      <w:r w:rsidR="005D549F">
        <w:t xml:space="preserve"> (</w:t>
      </w:r>
      <w:r w:rsidR="005D549F" w:rsidRPr="005D549F">
        <w:rPr>
          <w:i/>
        </w:rPr>
        <w:t>aliud</w:t>
      </w:r>
      <w:r w:rsidR="005D549F" w:rsidRPr="00BF188E">
        <w:t xml:space="preserve"> </w:t>
      </w:r>
      <w:r w:rsidR="005D549F" w:rsidRPr="009A7496">
        <w:rPr>
          <w:i/>
        </w:rPr>
        <w:t>secundum substantiam</w:t>
      </w:r>
      <w:r w:rsidR="005D549F" w:rsidRPr="00BF188E">
        <w:t xml:space="preserve">, </w:t>
      </w:r>
      <w:r w:rsidR="005D549F" w:rsidRPr="005D549F">
        <w:rPr>
          <w:i/>
        </w:rPr>
        <w:t>aliud</w:t>
      </w:r>
      <w:r w:rsidR="005D549F" w:rsidRPr="00BF188E">
        <w:t xml:space="preserve"> </w:t>
      </w:r>
      <w:r w:rsidR="005D549F" w:rsidRPr="009A7496">
        <w:rPr>
          <w:i/>
        </w:rPr>
        <w:t>secundum formam</w:t>
      </w:r>
      <w:r w:rsidR="005D549F">
        <w:t>)</w:t>
      </w:r>
      <w:r w:rsidR="00782478" w:rsidRPr="00273106">
        <w:t>.</w:t>
      </w:r>
      <w:bookmarkStart w:id="26" w:name="_Ref387525690"/>
      <w:r w:rsidR="009A7496" w:rsidRPr="00273106">
        <w:rPr>
          <w:rStyle w:val="Znakapoznpodarou"/>
        </w:rPr>
        <w:footnoteReference w:id="20"/>
      </w:r>
      <w:bookmarkEnd w:id="26"/>
      <w:r w:rsidR="009A7496" w:rsidRPr="00273106">
        <w:t xml:space="preserve"> </w:t>
      </w:r>
      <w:r w:rsidR="009A0961" w:rsidRPr="00273106">
        <w:t xml:space="preserve">Kategoriální určení </w:t>
      </w:r>
      <w:r w:rsidR="00782478" w:rsidRPr="00273106">
        <w:t xml:space="preserve">celku </w:t>
      </w:r>
      <w:r w:rsidR="00FA3C6F" w:rsidRPr="00273106">
        <w:t xml:space="preserve">existuje </w:t>
      </w:r>
      <w:r w:rsidR="00782478" w:rsidRPr="00273106">
        <w:t>vzhledem k</w:t>
      </w:r>
      <w:r w:rsidR="008A20D3" w:rsidRPr="00273106">
        <w:t> </w:t>
      </w:r>
      <w:r w:rsidR="003E2EB9">
        <w:t xml:space="preserve">první </w:t>
      </w:r>
      <w:r w:rsidR="00782478" w:rsidRPr="00273106">
        <w:t>substanci (</w:t>
      </w:r>
      <w:r w:rsidR="00782478" w:rsidRPr="00273106">
        <w:rPr>
          <w:i/>
        </w:rPr>
        <w:t>'totum' autem aliud secundum substantiam</w:t>
      </w:r>
      <w:r w:rsidR="00782478" w:rsidRPr="00273106">
        <w:t>)</w:t>
      </w:r>
      <w:r w:rsidR="00BA45D8" w:rsidRPr="00273106">
        <w:t xml:space="preserve">. </w:t>
      </w:r>
      <w:r w:rsidR="00CD7D9E">
        <w:t>A</w:t>
      </w:r>
      <w:r w:rsidR="00BA45D8" w:rsidRPr="00273106">
        <w:t xml:space="preserve">ktualita </w:t>
      </w:r>
      <w:r w:rsidR="00CD7D9E">
        <w:t xml:space="preserve">první substance </w:t>
      </w:r>
      <w:r w:rsidR="00BA45D8" w:rsidRPr="00273106">
        <w:t>z</w:t>
      </w:r>
      <w:r w:rsidR="008A20D3" w:rsidRPr="00273106">
        <w:t xml:space="preserve">akládá </w:t>
      </w:r>
      <w:r w:rsidR="00BA45D8" w:rsidRPr="00273106">
        <w:t xml:space="preserve">atomární, čili dále nedělitelný </w:t>
      </w:r>
      <w:r w:rsidR="08B712B8">
        <w:t xml:space="preserve">obecný </w:t>
      </w:r>
      <w:r w:rsidR="00FA3C6F" w:rsidRPr="00273106">
        <w:t xml:space="preserve">význam </w:t>
      </w:r>
      <w:r w:rsidR="00FF15DA" w:rsidRPr="00273106">
        <w:t xml:space="preserve">v mysli </w:t>
      </w:r>
      <w:r w:rsidR="00331F40" w:rsidRPr="00273106">
        <w:t>(</w:t>
      </w:r>
      <w:r w:rsidR="00331F40" w:rsidRPr="00273106">
        <w:rPr>
          <w:i/>
        </w:rPr>
        <w:t>individuum</w:t>
      </w:r>
      <w:r w:rsidR="00345D28">
        <w:rPr>
          <w:i/>
        </w:rPr>
        <w:fldChar w:fldCharType="begin"/>
      </w:r>
      <w:r w:rsidR="00345D28">
        <w:instrText xml:space="preserve"> XE "substance:atomární" </w:instrText>
      </w:r>
      <w:r w:rsidR="00345D28">
        <w:rPr>
          <w:i/>
        </w:rPr>
        <w:fldChar w:fldCharType="end"/>
      </w:r>
      <w:r w:rsidR="00BA45D8" w:rsidRPr="00273106">
        <w:t xml:space="preserve">), a tím je odlišná od </w:t>
      </w:r>
      <w:r w:rsidR="08B712B8">
        <w:t xml:space="preserve">jedinečné </w:t>
      </w:r>
      <w:r w:rsidR="00BA45D8" w:rsidRPr="00273106">
        <w:t>reality</w:t>
      </w:r>
      <w:r w:rsidR="00FF15DA" w:rsidRPr="00273106">
        <w:t xml:space="preserve"> externí věci</w:t>
      </w:r>
      <w:r w:rsidR="00EC3B28" w:rsidRPr="00273106">
        <w:t xml:space="preserve"> </w:t>
      </w:r>
      <w:r w:rsidR="00331F40" w:rsidRPr="00273106">
        <w:t>existující o sobě</w:t>
      </w:r>
      <w:r w:rsidR="00331F40" w:rsidRPr="00273106">
        <w:rPr>
          <w:i/>
        </w:rPr>
        <w:t xml:space="preserve"> </w:t>
      </w:r>
      <w:r w:rsidR="00331F40" w:rsidRPr="00273106">
        <w:t>(</w:t>
      </w:r>
      <w:r w:rsidR="00331F40" w:rsidRPr="00273106">
        <w:rPr>
          <w:i/>
        </w:rPr>
        <w:t>substantia</w:t>
      </w:r>
      <w:r w:rsidR="00331F40" w:rsidRPr="00273106">
        <w:t>)</w:t>
      </w:r>
      <w:r w:rsidR="00EC3B28" w:rsidRPr="00273106">
        <w:t xml:space="preserve">. </w:t>
      </w:r>
      <w:r w:rsidR="00E162BB">
        <w:t xml:space="preserve">Kritický filosof četl Porfyriovu </w:t>
      </w:r>
      <w:r w:rsidR="00E162BB" w:rsidRPr="00621154">
        <w:rPr>
          <w:i/>
        </w:rPr>
        <w:t>Isagoge</w:t>
      </w:r>
      <w:r w:rsidR="00E162BB" w:rsidRPr="00273106">
        <w:t xml:space="preserve"> stejně jako Boethius</w:t>
      </w:r>
      <w:r w:rsidR="00E162BB">
        <w:fldChar w:fldCharType="begin"/>
      </w:r>
      <w:r w:rsidR="00E162BB">
        <w:instrText xml:space="preserve"> XE "</w:instrText>
      </w:r>
      <w:r w:rsidR="00E162BB" w:rsidRPr="00521677">
        <w:rPr>
          <w:lang w:eastAsia="en-US"/>
        </w:rPr>
        <w:instrText>Boethius, Anicius</w:instrText>
      </w:r>
      <w:r w:rsidR="00E162BB">
        <w:instrText xml:space="preserve">" </w:instrText>
      </w:r>
      <w:r w:rsidR="00E162BB">
        <w:fldChar w:fldCharType="end"/>
      </w:r>
      <w:r w:rsidR="00E162BB">
        <w:t xml:space="preserve">. </w:t>
      </w:r>
      <w:r>
        <w:t>Abélard</w:t>
      </w:r>
      <w:r w:rsidR="00C00195">
        <w:t xml:space="preserve"> </w:t>
      </w:r>
      <w:r w:rsidR="0860388F" w:rsidRPr="00273106">
        <w:t>dobře věděl, že d</w:t>
      </w:r>
      <w:r w:rsidR="0860388F" w:rsidRPr="00273106">
        <w:rPr>
          <w:rStyle w:val="Zkladntext158dkovn0pt"/>
          <w:color w:val="auto"/>
          <w:spacing w:val="0"/>
          <w:sz w:val="24"/>
          <w:lang w:val="cs-CZ"/>
        </w:rPr>
        <w:t>ruhá substance daná univerzálně a univočně na úrovni rodu má podobnost s hylemorfickou složeninou pouze v rámci určité analogie (</w:t>
      </w:r>
      <w:r w:rsidR="0860388F" w:rsidRPr="00273106">
        <w:rPr>
          <w:i/>
        </w:rPr>
        <w:t>proportionaliter consistit genere</w:t>
      </w:r>
      <w:r w:rsidR="0860388F" w:rsidRPr="00273106">
        <w:rPr>
          <w:rStyle w:val="Zkladntext158dkovn0pt"/>
          <w:i/>
          <w:color w:val="auto"/>
          <w:spacing w:val="0"/>
          <w:sz w:val="24"/>
          <w:lang w:val="cs-CZ"/>
        </w:rPr>
        <w:t xml:space="preserve">; </w:t>
      </w:r>
      <w:r w:rsidR="087E3BF4">
        <w:rPr>
          <w:rStyle w:val="Zkladntext158dkovn0pt"/>
          <w:i/>
          <w:color w:val="auto"/>
          <w:spacing w:val="0"/>
          <w:sz w:val="24"/>
          <w:lang w:val="cs-CZ"/>
        </w:rPr>
        <w:t xml:space="preserve">In Porph. </w:t>
      </w:r>
      <w:r w:rsidR="0860388F" w:rsidRPr="00273106">
        <w:rPr>
          <w:rStyle w:val="Zkladntext158dkovn0pt"/>
          <w:i/>
          <w:color w:val="auto"/>
          <w:spacing w:val="0"/>
          <w:sz w:val="24"/>
          <w:lang w:val="cs-CZ"/>
        </w:rPr>
        <w:t>Isag</w:t>
      </w:r>
      <w:r w:rsidR="0860388F" w:rsidRPr="00273106">
        <w:rPr>
          <w:rStyle w:val="Zkladntext158dkovn0pt"/>
          <w:color w:val="auto"/>
          <w:spacing w:val="0"/>
          <w:sz w:val="24"/>
          <w:lang w:val="cs-CZ"/>
        </w:rPr>
        <w:t>. III.10</w:t>
      </w:r>
      <w:r w:rsidR="0860388F">
        <w:rPr>
          <w:i/>
        </w:rPr>
        <w:fldChar w:fldCharType="begin"/>
      </w:r>
      <w:r w:rsidR="0860388F">
        <w:instrText xml:space="preserve"> XE "Boethius</w:instrText>
      </w:r>
      <w:r w:rsidR="0860388F" w:rsidRPr="00801AEE">
        <w:instrText>:</w:instrText>
      </w:r>
      <w:r w:rsidR="087E3BF4" w:rsidRPr="087E3BF4">
        <w:rPr>
          <w:i/>
        </w:rPr>
        <w:instrText xml:space="preserve">In Porph. </w:instrText>
      </w:r>
      <w:r w:rsidR="0860388F" w:rsidRPr="087E3BF4">
        <w:rPr>
          <w:rStyle w:val="Zkladntext158dkovn0pt"/>
          <w:i/>
          <w:color w:val="auto"/>
          <w:spacing w:val="0"/>
          <w:sz w:val="24"/>
          <w:lang w:val="cs-CZ"/>
        </w:rPr>
        <w:instrText>Isag</w:instrText>
      </w:r>
      <w:r w:rsidR="0860388F">
        <w:rPr>
          <w:rStyle w:val="Zkladntext158dkovn0pt"/>
          <w:color w:val="auto"/>
          <w:spacing w:val="0"/>
          <w:sz w:val="24"/>
          <w:lang w:val="cs-CZ"/>
        </w:rPr>
        <w:instrText>. 3</w:instrText>
      </w:r>
      <w:r w:rsidR="0860388F" w:rsidRPr="00273106">
        <w:rPr>
          <w:rStyle w:val="Zkladntext158dkovn0pt"/>
          <w:color w:val="auto"/>
          <w:spacing w:val="0"/>
          <w:sz w:val="24"/>
          <w:lang w:val="cs-CZ"/>
        </w:rPr>
        <w:instrText>.10</w:instrText>
      </w:r>
      <w:r w:rsidR="0860388F">
        <w:instrText xml:space="preserve">" </w:instrText>
      </w:r>
      <w:r w:rsidR="0860388F">
        <w:rPr>
          <w:i/>
        </w:rPr>
        <w:fldChar w:fldCharType="end"/>
      </w:r>
      <w:r w:rsidR="0860388F">
        <w:rPr>
          <w:rStyle w:val="Zkladntext158dkovn0pt"/>
          <w:color w:val="auto"/>
          <w:spacing w:val="0"/>
          <w:sz w:val="24"/>
          <w:lang w:val="cs-CZ"/>
        </w:rPr>
        <w:t xml:space="preserve">). </w:t>
      </w:r>
      <w:r w:rsidR="00797F8A" w:rsidRPr="00273106">
        <w:t>Diferenciace daná v mysli a rozdíly mezi reálnými věcmi dávají dva odlišné celky jsoucího</w:t>
      </w:r>
      <w:r w:rsidR="005E398E">
        <w:t xml:space="preserve"> a pravdivá predikace</w:t>
      </w:r>
      <w:r w:rsidR="00797F8A">
        <w:t xml:space="preserve"> </w:t>
      </w:r>
      <w:r w:rsidR="005E398E">
        <w:t xml:space="preserve">to musí zohlednit </w:t>
      </w:r>
      <w:r w:rsidR="00797F8A">
        <w:t>(</w:t>
      </w:r>
      <w:r w:rsidR="00797F8A" w:rsidRPr="009A7496">
        <w:rPr>
          <w:i/>
        </w:rPr>
        <w:t>secundum utrumque</w:t>
      </w:r>
      <w:r w:rsidR="00797F8A" w:rsidRPr="000F12B5">
        <w:t xml:space="preserve"> </w:t>
      </w:r>
      <w:r w:rsidR="00797F8A" w:rsidRPr="008C3B58">
        <w:rPr>
          <w:i/>
        </w:rPr>
        <w:t>dicitur</w:t>
      </w:r>
      <w:r w:rsidR="00797F8A">
        <w:t>)</w:t>
      </w:r>
      <w:r w:rsidR="00797F8A" w:rsidRPr="00273106">
        <w:t xml:space="preserve">. </w:t>
      </w:r>
      <w:r w:rsidR="00670E3D" w:rsidRPr="00B2340A">
        <w:t>Když mluvíme o první substanci, máme na mysli existující věc; když mluvíme o in</w:t>
      </w:r>
      <w:r w:rsidR="00670E3D">
        <w:t>dividuu, máme na mysli univerzálii</w:t>
      </w:r>
      <w:r w:rsidR="00E162BB">
        <w:t>, která</w:t>
      </w:r>
      <w:r w:rsidR="00670E3D" w:rsidRPr="00B2340A">
        <w:t xml:space="preserve"> nemá téměř žádný vlastní význam.</w:t>
      </w:r>
      <w:r w:rsidR="00670E3D">
        <w:t xml:space="preserve"> </w:t>
      </w:r>
      <w:r w:rsidR="00256963">
        <w:t xml:space="preserve">Rozdíl mezi </w:t>
      </w:r>
      <w:r w:rsidR="08592279">
        <w:t xml:space="preserve">abstraktním </w:t>
      </w:r>
      <w:r w:rsidR="00256963">
        <w:t xml:space="preserve">individuem a </w:t>
      </w:r>
      <w:r w:rsidR="08592279">
        <w:t xml:space="preserve">reálnou </w:t>
      </w:r>
      <w:r w:rsidR="00256963">
        <w:t xml:space="preserve">substancí má pro </w:t>
      </w:r>
      <w:r w:rsidR="00C014B0">
        <w:t xml:space="preserve">scholastiku </w:t>
      </w:r>
      <w:r w:rsidR="00256963">
        <w:t xml:space="preserve">zásadní </w:t>
      </w:r>
      <w:r w:rsidR="00BF596F">
        <w:t>hodnotu</w:t>
      </w:r>
      <w:r w:rsidR="004F0647">
        <w:t xml:space="preserve">. Objektivní ilumináti formovaní ve škole Avicenny </w:t>
      </w:r>
      <w:r w:rsidR="00256963">
        <w:t xml:space="preserve">vidí </w:t>
      </w:r>
      <w:r w:rsidR="005315DD">
        <w:t>jsouc</w:t>
      </w:r>
      <w:r w:rsidR="00256963">
        <w:t>n</w:t>
      </w:r>
      <w:r w:rsidR="005315DD">
        <w:t>o</w:t>
      </w:r>
      <w:r w:rsidR="00256963">
        <w:t xml:space="preserve"> třetího druhu</w:t>
      </w:r>
      <w:r w:rsidR="005315DD">
        <w:t xml:space="preserve"> a přitom si namlouvají, že vypovídají o hyparchické reálné první substanci</w:t>
      </w:r>
      <w:r w:rsidR="003009EA">
        <w:t xml:space="preserve">. </w:t>
      </w:r>
      <w:r>
        <w:t>Abélard</w:t>
      </w:r>
      <w:r w:rsidR="003A6636">
        <w:t xml:space="preserve"> je myslitel vychovaný v klasické škole Boethia, která četla Aristotela</w:t>
      </w:r>
      <w:r w:rsidR="00DC2BAD">
        <w:t xml:space="preserve"> skrze aristotelismus</w:t>
      </w:r>
      <w:r w:rsidR="083A6B4A">
        <w:t>, a nikoliv skrze neoplatonismus</w:t>
      </w:r>
      <w:r w:rsidR="003A6636">
        <w:t xml:space="preserve">. </w:t>
      </w:r>
      <w:r w:rsidR="008A20D3" w:rsidRPr="00273106">
        <w:t>Univoční u</w:t>
      </w:r>
      <w:r w:rsidR="00FA3C6F" w:rsidRPr="00273106">
        <w:t xml:space="preserve">rčení substance </w:t>
      </w:r>
      <w:r w:rsidR="00DB39ED" w:rsidRPr="00273106">
        <w:t xml:space="preserve">je </w:t>
      </w:r>
      <w:r w:rsidR="008C3B58">
        <w:t xml:space="preserve">hyparchicky </w:t>
      </w:r>
      <w:r w:rsidR="00DB39ED" w:rsidRPr="00273106">
        <w:t xml:space="preserve">dáno </w:t>
      </w:r>
      <w:r w:rsidR="009C2C02">
        <w:t xml:space="preserve">jako impozice </w:t>
      </w:r>
      <w:r w:rsidR="0001354B">
        <w:t xml:space="preserve">významu </w:t>
      </w:r>
      <w:r w:rsidR="00DB39ED" w:rsidRPr="00273106">
        <w:t>vzhlede</w:t>
      </w:r>
      <w:r w:rsidR="086746ED">
        <w:t xml:space="preserve">m k </w:t>
      </w:r>
      <w:r w:rsidR="004807A8" w:rsidRPr="00273106">
        <w:t>i</w:t>
      </w:r>
      <w:r w:rsidR="086746ED">
        <w:t>ntegrálnímu celku</w:t>
      </w:r>
      <w:r w:rsidR="004807A8" w:rsidRPr="00273106">
        <w:t xml:space="preserve"> </w:t>
      </w:r>
      <w:r w:rsidR="008C3B58">
        <w:t xml:space="preserve">tělesa </w:t>
      </w:r>
      <w:r w:rsidR="004807A8" w:rsidRPr="00273106">
        <w:t xml:space="preserve">jako </w:t>
      </w:r>
      <w:r w:rsidR="008C3B58">
        <w:t xml:space="preserve">reálné </w:t>
      </w:r>
      <w:r w:rsidR="00A91BA2" w:rsidRPr="00273106">
        <w:t>jedno</w:t>
      </w:r>
      <w:r w:rsidR="004807A8" w:rsidRPr="00273106">
        <w:t>t</w:t>
      </w:r>
      <w:r w:rsidR="00A91BA2" w:rsidRPr="00273106">
        <w:t>l</w:t>
      </w:r>
      <w:r w:rsidR="008C3B58">
        <w:t>iviny</w:t>
      </w:r>
      <w:r w:rsidR="004807A8" w:rsidRPr="00273106">
        <w:t xml:space="preserve"> cháp</w:t>
      </w:r>
      <w:r w:rsidR="00E01B94" w:rsidRPr="00273106">
        <w:t>ané</w:t>
      </w:r>
      <w:r w:rsidR="004807A8" w:rsidRPr="00273106">
        <w:t xml:space="preserve"> z hlediska aktuální rozsažnosti (</w:t>
      </w:r>
      <w:r w:rsidR="004807A8" w:rsidRPr="00273106">
        <w:rPr>
          <w:i/>
        </w:rPr>
        <w:t>secundum comprehensionem quantitatis, quod dicitur integrum</w:t>
      </w:r>
      <w:r w:rsidR="008C3B58">
        <w:t xml:space="preserve">). </w:t>
      </w:r>
      <w:r w:rsidR="009C2C02">
        <w:t xml:space="preserve">Pak </w:t>
      </w:r>
      <w:r w:rsidR="008C3B58">
        <w:t xml:space="preserve">je toto určení </w:t>
      </w:r>
      <w:r w:rsidR="00A71C0A">
        <w:t>vypovídá</w:t>
      </w:r>
      <w:r w:rsidR="00E040A6">
        <w:t xml:space="preserve">no </w:t>
      </w:r>
      <w:r w:rsidR="009C2C02">
        <w:t xml:space="preserve">jako univoční </w:t>
      </w:r>
      <w:r w:rsidR="00E040A6">
        <w:t xml:space="preserve">kategoriální </w:t>
      </w:r>
      <w:r w:rsidR="009C2C02">
        <w:t xml:space="preserve">supozice </w:t>
      </w:r>
      <w:r w:rsidR="00DB39ED" w:rsidRPr="00273106">
        <w:t>vz</w:t>
      </w:r>
      <w:r w:rsidR="004807A8" w:rsidRPr="00273106">
        <w:t>hledem k obe</w:t>
      </w:r>
      <w:r w:rsidR="00D149DA" w:rsidRPr="00273106">
        <w:t>cnému substančnímu určení</w:t>
      </w:r>
      <w:r w:rsidR="004807A8" w:rsidRPr="00273106">
        <w:t xml:space="preserve"> v rámci univerzální signifikace (</w:t>
      </w:r>
      <w:r w:rsidR="004807A8" w:rsidRPr="00273106">
        <w:rPr>
          <w:i/>
        </w:rPr>
        <w:t>secundum diffusion</w:t>
      </w:r>
      <w:r w:rsidR="006D400E" w:rsidRPr="00273106">
        <w:rPr>
          <w:i/>
        </w:rPr>
        <w:t>em communis essentiae, quod univ</w:t>
      </w:r>
      <w:r w:rsidR="004807A8" w:rsidRPr="00273106">
        <w:rPr>
          <w:i/>
        </w:rPr>
        <w:t>ersale est</w:t>
      </w:r>
      <w:r w:rsidR="004807A8" w:rsidRPr="00273106">
        <w:t>)</w:t>
      </w:r>
      <w:r w:rsidR="00DB39ED" w:rsidRPr="00273106">
        <w:t xml:space="preserve">. </w:t>
      </w:r>
      <w:r w:rsidR="00AA1279">
        <w:t xml:space="preserve">Mrtvola není člověkem </w:t>
      </w:r>
      <w:r w:rsidR="00915401">
        <w:rPr>
          <w:i/>
        </w:rPr>
        <w:fldChar w:fldCharType="begin"/>
      </w:r>
      <w:r w:rsidR="00915401">
        <w:instrText xml:space="preserve"> </w:instrText>
      </w:r>
      <w:r w:rsidR="00915401">
        <w:lastRenderedPageBreak/>
        <w:instrText xml:space="preserve">XE "sofisma člověk-mrtvola" </w:instrText>
      </w:r>
      <w:r w:rsidR="00915401">
        <w:rPr>
          <w:i/>
        </w:rPr>
        <w:fldChar w:fldCharType="end"/>
      </w:r>
      <w:r w:rsidR="007A7759">
        <w:t xml:space="preserve">ve smyslu </w:t>
      </w:r>
      <w:r w:rsidR="00BD1022">
        <w:t>takto chápaného „</w:t>
      </w:r>
      <w:r w:rsidR="00AA1279" w:rsidRPr="005F42EA">
        <w:rPr>
          <w:i/>
        </w:rPr>
        <w:t>totum integrum</w:t>
      </w:r>
      <w:r w:rsidR="00BD1022">
        <w:t>“</w:t>
      </w:r>
      <w:r w:rsidR="00345D28">
        <w:rPr>
          <w:i/>
        </w:rPr>
        <w:fldChar w:fldCharType="begin"/>
      </w:r>
      <w:r w:rsidR="00345D28">
        <w:instrText xml:space="preserve"> XE "</w:instrText>
      </w:r>
      <w:r w:rsidR="00345D28" w:rsidRPr="00A61533">
        <w:rPr>
          <w:i/>
        </w:rPr>
        <w:instrText>totum integrum</w:instrText>
      </w:r>
      <w:r w:rsidR="00345D28">
        <w:instrText xml:space="preserve">" </w:instrText>
      </w:r>
      <w:r w:rsidR="00345D28">
        <w:rPr>
          <w:i/>
        </w:rPr>
        <w:fldChar w:fldCharType="end"/>
      </w:r>
      <w:r w:rsidR="008E3216">
        <w:t>. Č</w:t>
      </w:r>
      <w:r w:rsidR="002679C2">
        <w:t>lověk z hledisk</w:t>
      </w:r>
      <w:r w:rsidR="000149CB">
        <w:t xml:space="preserve">a impozice významu je predikovaný od </w:t>
      </w:r>
      <w:r w:rsidR="08507015">
        <w:t xml:space="preserve">hyparchicky dané </w:t>
      </w:r>
      <w:r w:rsidR="000149CB">
        <w:t>reálné první subst</w:t>
      </w:r>
      <w:r w:rsidR="002679C2">
        <w:t>a</w:t>
      </w:r>
      <w:r w:rsidR="000149CB">
        <w:t xml:space="preserve">nce. </w:t>
      </w:r>
      <w:r w:rsidR="0825198B">
        <w:t xml:space="preserve">Po příchodu Averroesova korpusu </w:t>
      </w:r>
      <w:r w:rsidR="08F31E11">
        <w:t xml:space="preserve">na latinský Západ </w:t>
      </w:r>
      <w:r w:rsidR="0825198B">
        <w:t xml:space="preserve">se znovu </w:t>
      </w:r>
      <w:r w:rsidR="08592279" w:rsidRPr="00273106">
        <w:t xml:space="preserve">rozběhl již zmíněný spor o určení </w:t>
      </w:r>
      <w:r w:rsidR="08592279">
        <w:rPr>
          <w:lang w:eastAsia="en-US"/>
        </w:rPr>
        <w:t xml:space="preserve">termínu </w:t>
      </w:r>
      <w:r w:rsidR="002452D4">
        <w:rPr>
          <w:lang w:eastAsia="en-US"/>
        </w:rPr>
        <w:t>„</w:t>
      </w:r>
      <w:r w:rsidR="08592279" w:rsidRPr="00273106">
        <w:rPr>
          <w:i/>
        </w:rPr>
        <w:t>totum autem ...hoc animal</w:t>
      </w:r>
      <w:r w:rsidR="002452D4" w:rsidRPr="002452D4">
        <w:t>“</w:t>
      </w:r>
      <w:r w:rsidR="08592279" w:rsidRPr="00273106">
        <w:t xml:space="preserve"> </w:t>
      </w:r>
      <w:r w:rsidR="08087742">
        <w:t xml:space="preserve">daný u Boethia </w:t>
      </w:r>
      <w:r w:rsidR="080563A0">
        <w:rPr>
          <w:lang w:eastAsia="en-US"/>
        </w:rPr>
        <w:t>(kap. 1</w:t>
      </w:r>
      <w:r w:rsidR="08592279" w:rsidRPr="00273106">
        <w:rPr>
          <w:lang w:eastAsia="en-US"/>
        </w:rPr>
        <w:t>.1</w:t>
      </w:r>
      <w:r w:rsidR="08592279" w:rsidRPr="00273106">
        <w:rPr>
          <w:rStyle w:val="TextpoznpodarouChar"/>
        </w:rPr>
        <w:t xml:space="preserve">). </w:t>
      </w:r>
      <w:r w:rsidR="007A7759">
        <w:t xml:space="preserve">Rozdíl mezi </w:t>
      </w:r>
      <w:r w:rsidR="005F42EA" w:rsidRPr="005F42EA">
        <w:rPr>
          <w:i/>
        </w:rPr>
        <w:t>totum integrum</w:t>
      </w:r>
      <w:r w:rsidR="007A7759">
        <w:t xml:space="preserve"> a </w:t>
      </w:r>
      <w:r w:rsidR="005F42EA" w:rsidRPr="005F42EA">
        <w:rPr>
          <w:i/>
        </w:rPr>
        <w:t>totum universale</w:t>
      </w:r>
      <w:r w:rsidR="00345D28">
        <w:rPr>
          <w:i/>
        </w:rPr>
        <w:fldChar w:fldCharType="begin"/>
      </w:r>
      <w:r w:rsidR="00345D28">
        <w:instrText xml:space="preserve"> XE "</w:instrText>
      </w:r>
      <w:r w:rsidR="00345D28" w:rsidRPr="00F92D1B">
        <w:rPr>
          <w:i/>
        </w:rPr>
        <w:instrText>totum universale</w:instrText>
      </w:r>
      <w:r w:rsidR="00345D28">
        <w:instrText xml:space="preserve">" </w:instrText>
      </w:r>
      <w:r w:rsidR="00345D28">
        <w:rPr>
          <w:i/>
        </w:rPr>
        <w:fldChar w:fldCharType="end"/>
      </w:r>
      <w:r w:rsidR="005F42EA">
        <w:t xml:space="preserve"> má zá</w:t>
      </w:r>
      <w:r w:rsidR="00E253FA">
        <w:t>sadní charakter</w:t>
      </w:r>
      <w:r w:rsidR="086746ED">
        <w:t xml:space="preserve"> pro další gigantomachii Západu. N</w:t>
      </w:r>
      <w:r w:rsidR="005F42EA">
        <w:t>ově jej určí Blundova škola</w:t>
      </w:r>
      <w:r w:rsidR="086746ED">
        <w:t xml:space="preserve"> po roce 1220 podobným sporem o status mrtvoly</w:t>
      </w:r>
      <w:r w:rsidR="00AB5F88">
        <w:t xml:space="preserve"> (kap. 2.2.1). Aristotelikové se postavili proti Avicennově metafyzice </w:t>
      </w:r>
      <w:r w:rsidR="086746ED">
        <w:t>na stranu tehdy</w:t>
      </w:r>
      <w:r w:rsidR="080563A0">
        <w:t xml:space="preserve"> importovaného </w:t>
      </w:r>
      <w:r w:rsidR="000D55CA">
        <w:t>Averroesova korpusu</w:t>
      </w:r>
      <w:r w:rsidR="005F42EA">
        <w:t>.</w:t>
      </w:r>
      <w:r w:rsidR="08345B33" w:rsidRPr="08345B33">
        <w:t xml:space="preserve"> </w:t>
      </w:r>
      <w:r>
        <w:t>Abélard</w:t>
      </w:r>
      <w:r w:rsidR="08345B33">
        <w:t xml:space="preserve"> je pro hermeneutiku dějinným současníkem Averroe</w:t>
      </w:r>
      <w:r w:rsidR="08345B33" w:rsidRPr="00273106">
        <w:t xml:space="preserve">se, nejen </w:t>
      </w:r>
      <w:r w:rsidR="008E15F6">
        <w:t xml:space="preserve">jeho </w:t>
      </w:r>
      <w:r w:rsidR="08345B33" w:rsidRPr="00273106">
        <w:t>historickým souputníkem</w:t>
      </w:r>
      <w:r w:rsidR="08345B33">
        <w:t>.</w:t>
      </w:r>
    </w:p>
    <w:p w14:paraId="2641EBD1" w14:textId="0A98D11E" w:rsidR="003F5666" w:rsidRDefault="00A85444" w:rsidP="00124B67">
      <w:r>
        <w:tab/>
      </w:r>
      <w:r w:rsidR="000501F8">
        <w:t xml:space="preserve">Hermeneutika objektivity tím etablovala první dějinnou podobu moderního </w:t>
      </w:r>
      <w:r w:rsidR="000501F8" w:rsidRPr="003009EA">
        <w:rPr>
          <w:i/>
        </w:rPr>
        <w:t>Irrtum</w:t>
      </w:r>
      <w:r w:rsidR="000501F8">
        <w:t xml:space="preserve"> v rané scholastice. Od této chvíle začíná vše schoalstice epocha zapomenutí první substance (</w:t>
      </w:r>
      <w:r w:rsidR="000501F8" w:rsidRPr="003009EA">
        <w:rPr>
          <w:i/>
        </w:rPr>
        <w:t>Seinsvergessenheit</w:t>
      </w:r>
      <w:r w:rsidR="000501F8">
        <w:rPr>
          <w:i/>
        </w:rPr>
        <w:fldChar w:fldCharType="begin"/>
      </w:r>
      <w:r w:rsidR="000501F8">
        <w:instrText xml:space="preserve"> XE "</w:instrText>
      </w:r>
      <w:r w:rsidR="000501F8" w:rsidRPr="001A55E4">
        <w:rPr>
          <w:i/>
        </w:rPr>
        <w:instrText>Seinsvergessenheit</w:instrText>
      </w:r>
      <w:r w:rsidR="000501F8">
        <w:instrText xml:space="preserve">" </w:instrText>
      </w:r>
      <w:r w:rsidR="000501F8">
        <w:rPr>
          <w:i/>
        </w:rPr>
        <w:fldChar w:fldCharType="end"/>
      </w:r>
      <w:r w:rsidR="000501F8">
        <w:t xml:space="preserve">). </w:t>
      </w:r>
      <w:r w:rsidR="082A096F">
        <w:t xml:space="preserve">Rozdíl mezi obecnou predikací a </w:t>
      </w:r>
      <w:r w:rsidR="08345B33">
        <w:t>aktu</w:t>
      </w:r>
      <w:r w:rsidR="082A096F">
        <w:t xml:space="preserve">ální existencí věci nutně vedl Abelarda k jinému pojetí pravdy než měl Anselm. </w:t>
      </w:r>
      <w:r w:rsidR="00CB3E4F">
        <w:t>Abélard</w:t>
      </w:r>
      <w:r w:rsidR="086D37A2" w:rsidRPr="00273106">
        <w:t xml:space="preserve"> se vyhnul </w:t>
      </w:r>
      <w:r w:rsidR="086D37A2">
        <w:t xml:space="preserve">pojetí jedné univoční pravdy postavené ontoteologicky tím, že zavedl </w:t>
      </w:r>
      <w:r w:rsidR="086D37A2" w:rsidRPr="00273106">
        <w:t>striktní</w:t>
      </w:r>
      <w:r w:rsidR="086D37A2">
        <w:t xml:space="preserve"> rozdíl</w:t>
      </w:r>
      <w:r w:rsidR="086D37A2" w:rsidRPr="00273106">
        <w:t xml:space="preserve"> mezi </w:t>
      </w:r>
      <w:r w:rsidR="086D37A2" w:rsidRPr="00273106">
        <w:rPr>
          <w:i/>
        </w:rPr>
        <w:t>oratio</w:t>
      </w:r>
      <w:r w:rsidR="086D37A2" w:rsidRPr="00273106">
        <w:t xml:space="preserve"> daném pouze verbálně, a mezi </w:t>
      </w:r>
      <w:r w:rsidR="086D37A2" w:rsidRPr="00273106">
        <w:rPr>
          <w:i/>
        </w:rPr>
        <w:t>enuntiatio</w:t>
      </w:r>
      <w:r w:rsidR="086D37A2">
        <w:rPr>
          <w:i/>
        </w:rPr>
        <w:fldChar w:fldCharType="begin"/>
      </w:r>
      <w:r w:rsidR="086D37A2">
        <w:instrText xml:space="preserve"> XE "</w:instrText>
      </w:r>
      <w:r w:rsidR="086D37A2" w:rsidRPr="0038128E">
        <w:rPr>
          <w:i/>
        </w:rPr>
        <w:instrText>enuntiatio:</w:instrText>
      </w:r>
      <w:r w:rsidR="086D37A2" w:rsidRPr="0038128E">
        <w:instrText>Abelard</w:instrText>
      </w:r>
      <w:r w:rsidR="086D37A2">
        <w:instrText xml:space="preserve">" </w:instrText>
      </w:r>
      <w:r w:rsidR="086D37A2">
        <w:rPr>
          <w:i/>
        </w:rPr>
        <w:fldChar w:fldCharType="end"/>
      </w:r>
      <w:r w:rsidR="086D37A2" w:rsidRPr="00273106">
        <w:t xml:space="preserve"> daném skrze kategoriální výpověď vztaženou k existujícímu stavu věcí ve světě.</w:t>
      </w:r>
      <w:r w:rsidR="086D37A2">
        <w:t xml:space="preserve"> </w:t>
      </w:r>
      <w:r w:rsidR="00CB3E4F">
        <w:t>Abélard</w:t>
      </w:r>
      <w:r w:rsidR="080B2210" w:rsidRPr="00273106">
        <w:t xml:space="preserve"> </w:t>
      </w:r>
      <w:r w:rsidR="08B80879">
        <w:t xml:space="preserve">proto </w:t>
      </w:r>
      <w:r w:rsidR="080B2210" w:rsidRPr="00273106">
        <w:t>nepři</w:t>
      </w:r>
      <w:r w:rsidR="080B2210">
        <w:t>jal</w:t>
      </w:r>
      <w:r w:rsidR="08C52D0C">
        <w:t xml:space="preserve"> </w:t>
      </w:r>
      <w:r w:rsidR="08DF5BED">
        <w:t xml:space="preserve">augustiniánskou </w:t>
      </w:r>
      <w:r w:rsidR="08C52D0C">
        <w:t xml:space="preserve">tezi o </w:t>
      </w:r>
      <w:r w:rsidR="080B2210">
        <w:t>primátu vůle</w:t>
      </w:r>
      <w:r w:rsidR="08C52D0C">
        <w:t>. D</w:t>
      </w:r>
      <w:r w:rsidR="080B2210">
        <w:t xml:space="preserve">efinice pravdy musí být z podstaty zdravého a přirozeného rozumu primárně </w:t>
      </w:r>
      <w:r w:rsidR="080B2210" w:rsidRPr="00273106">
        <w:t xml:space="preserve">filosofická záležitost, ne teologická. </w:t>
      </w:r>
      <w:r w:rsidR="00CB3E4F">
        <w:t>Abélard</w:t>
      </w:r>
      <w:r w:rsidR="080B2210" w:rsidRPr="00273106">
        <w:t xml:space="preserve"> s odvoláním na Boethia obhajuje klasickou teorii vůle určené směrem od rozumového</w:t>
      </w:r>
      <w:r w:rsidR="080B2210">
        <w:t xml:space="preserve"> poznání dobra determinovaného </w:t>
      </w:r>
      <w:r w:rsidR="080B2210" w:rsidRPr="00273106">
        <w:t>nasvícením zepředu od smyslů.</w:t>
      </w:r>
      <w:r w:rsidR="080B2210" w:rsidRPr="00273106">
        <w:rPr>
          <w:rStyle w:val="Znakapoznpodarou"/>
        </w:rPr>
        <w:footnoteReference w:id="21"/>
      </w:r>
      <w:r w:rsidR="08C52D0C">
        <w:t xml:space="preserve"> </w:t>
      </w:r>
      <w:r w:rsidR="00CB3E4F">
        <w:t>Abélard</w:t>
      </w:r>
      <w:r w:rsidR="08592279">
        <w:t xml:space="preserve"> brání </w:t>
      </w:r>
      <w:r w:rsidR="08592279">
        <w:rPr>
          <w:rStyle w:val="Zkladntext158dkovn0pt"/>
          <w:color w:val="auto"/>
          <w:spacing w:val="0"/>
          <w:sz w:val="24"/>
          <w:lang w:val="cs-CZ"/>
        </w:rPr>
        <w:t>aristotelskou teorii</w:t>
      </w:r>
      <w:r w:rsidR="08592279" w:rsidRPr="00273106">
        <w:rPr>
          <w:rStyle w:val="Zkladntext158dkovn0pt"/>
          <w:color w:val="auto"/>
          <w:spacing w:val="0"/>
          <w:sz w:val="24"/>
          <w:lang w:val="cs-CZ"/>
        </w:rPr>
        <w:t xml:space="preserve"> prav</w:t>
      </w:r>
      <w:r w:rsidR="08592279">
        <w:rPr>
          <w:rStyle w:val="Zkladntext158dkovn0pt"/>
          <w:color w:val="auto"/>
          <w:spacing w:val="0"/>
          <w:sz w:val="24"/>
          <w:lang w:val="cs-CZ"/>
        </w:rPr>
        <w:t>dy, kterou Západu předal Averroe</w:t>
      </w:r>
      <w:r w:rsidR="08592279" w:rsidRPr="00273106">
        <w:rPr>
          <w:rStyle w:val="Zkladntext158dkovn0pt"/>
          <w:color w:val="auto"/>
          <w:spacing w:val="0"/>
          <w:sz w:val="24"/>
          <w:lang w:val="cs-CZ"/>
        </w:rPr>
        <w:t xml:space="preserve">s </w:t>
      </w:r>
      <w:r w:rsidR="08592279">
        <w:rPr>
          <w:rStyle w:val="Zkladntext158dkovn0pt"/>
          <w:color w:val="auto"/>
          <w:spacing w:val="0"/>
          <w:sz w:val="24"/>
          <w:lang w:val="cs-CZ"/>
        </w:rPr>
        <w:t xml:space="preserve">v modu </w:t>
      </w:r>
      <w:r w:rsidR="08592279" w:rsidRPr="00273106">
        <w:rPr>
          <w:rStyle w:val="Zkladntext158dkovn0pt"/>
          <w:i/>
          <w:color w:val="auto"/>
          <w:spacing w:val="0"/>
          <w:sz w:val="24"/>
          <w:lang w:val="cs-CZ"/>
        </w:rPr>
        <w:t>proportio</w:t>
      </w:r>
      <w:r w:rsidR="08592279">
        <w:rPr>
          <w:rStyle w:val="Zkladntext158dkovn0pt"/>
          <w:i/>
          <w:color w:val="auto"/>
          <w:spacing w:val="0"/>
          <w:sz w:val="24"/>
          <w:lang w:val="cs-CZ"/>
        </w:rPr>
        <w:fldChar w:fldCharType="begin"/>
      </w:r>
      <w:r w:rsidR="08592279">
        <w:instrText xml:space="preserve"> XE "pravda:</w:instrText>
      </w:r>
      <w:r w:rsidR="08592279" w:rsidRPr="003B6FCC">
        <w:rPr>
          <w:rStyle w:val="Zkladntext158dkovn0pt"/>
          <w:i/>
          <w:color w:val="auto"/>
          <w:spacing w:val="0"/>
          <w:sz w:val="24"/>
          <w:lang w:val="cs-CZ"/>
        </w:rPr>
        <w:instrText>proportio</w:instrText>
      </w:r>
      <w:r w:rsidR="08592279">
        <w:instrText xml:space="preserve">" </w:instrText>
      </w:r>
      <w:r w:rsidR="08592279">
        <w:rPr>
          <w:rStyle w:val="Zkladntext158dkovn0pt"/>
          <w:i/>
          <w:color w:val="auto"/>
          <w:spacing w:val="0"/>
          <w:sz w:val="24"/>
          <w:lang w:val="cs-CZ"/>
        </w:rPr>
        <w:fldChar w:fldCharType="end"/>
      </w:r>
      <w:r w:rsidR="08592279" w:rsidRPr="00273106">
        <w:rPr>
          <w:rStyle w:val="Zkladntext158dkovn0pt"/>
          <w:color w:val="auto"/>
          <w:spacing w:val="0"/>
          <w:sz w:val="24"/>
          <w:lang w:val="cs-CZ"/>
        </w:rPr>
        <w:t xml:space="preserve"> (</w:t>
      </w:r>
      <w:r w:rsidR="08223141">
        <w:rPr>
          <w:rStyle w:val="Zkladntext158dkovn0pt"/>
          <w:color w:val="auto"/>
          <w:spacing w:val="0"/>
          <w:sz w:val="24"/>
          <w:lang w:val="cs-CZ"/>
        </w:rPr>
        <w:t xml:space="preserve">OBJ I, </w:t>
      </w:r>
      <w:r w:rsidR="08592279" w:rsidRPr="00273106">
        <w:rPr>
          <w:rStyle w:val="Zkladntext158dkovn0pt"/>
          <w:color w:val="auto"/>
          <w:spacing w:val="0"/>
          <w:sz w:val="24"/>
          <w:lang w:val="cs-CZ"/>
        </w:rPr>
        <w:t>kap. 2.4.3).</w:t>
      </w:r>
      <w:r w:rsidR="08592279">
        <w:rPr>
          <w:rStyle w:val="Zkladntext158dkovn0pt"/>
          <w:color w:val="auto"/>
          <w:spacing w:val="0"/>
          <w:sz w:val="24"/>
          <w:lang w:val="cs-CZ"/>
        </w:rPr>
        <w:t xml:space="preserve"> </w:t>
      </w:r>
      <w:r w:rsidR="001A7FBE">
        <w:t xml:space="preserve">Jeho </w:t>
      </w:r>
      <w:r w:rsidR="001A7FBE" w:rsidRPr="00273106">
        <w:rPr>
          <w:i/>
        </w:rPr>
        <w:t>Dialektika</w:t>
      </w:r>
      <w:r w:rsidR="001A7FBE" w:rsidRPr="00273106">
        <w:t xml:space="preserve"> odmítá </w:t>
      </w:r>
      <w:r w:rsidR="001A7FBE">
        <w:t xml:space="preserve">hyparchickou funkci </w:t>
      </w:r>
      <w:r w:rsidR="001A7FBE" w:rsidRPr="00273106">
        <w:t>význam</w:t>
      </w:r>
      <w:r w:rsidR="001A7FBE">
        <w:t>u</w:t>
      </w:r>
      <w:r w:rsidR="001A7FBE" w:rsidRPr="00273106">
        <w:t xml:space="preserve"> založen</w:t>
      </w:r>
      <w:r w:rsidR="088309AF">
        <w:t>ého</w:t>
      </w:r>
      <w:r w:rsidR="001A7FBE">
        <w:t xml:space="preserve"> pouze nominálně, protože impozice </w:t>
      </w:r>
      <w:r w:rsidR="006367B7">
        <w:t xml:space="preserve">významu </w:t>
      </w:r>
      <w:r w:rsidR="088309AF">
        <w:t xml:space="preserve">z reality </w:t>
      </w:r>
      <w:r w:rsidR="001A7FBE">
        <w:t xml:space="preserve">není totéž, </w:t>
      </w:r>
      <w:r w:rsidR="088309AF">
        <w:t xml:space="preserve">jako </w:t>
      </w:r>
      <w:r w:rsidR="006367B7">
        <w:t xml:space="preserve">jeho </w:t>
      </w:r>
      <w:r w:rsidR="001A7FBE">
        <w:t>supozice</w:t>
      </w:r>
      <w:r w:rsidR="088309AF">
        <w:t xml:space="preserve"> v mysli</w:t>
      </w:r>
      <w:r w:rsidR="00345D28">
        <w:rPr>
          <w:rStyle w:val="Zkladntext158dkovn0pt"/>
          <w:i/>
          <w:color w:val="auto"/>
          <w:spacing w:val="0"/>
          <w:sz w:val="24"/>
          <w:lang w:val="cs-CZ"/>
        </w:rPr>
        <w:fldChar w:fldCharType="begin"/>
      </w:r>
      <w:r w:rsidR="00345D28">
        <w:instrText xml:space="preserve"> XE "</w:instrText>
      </w:r>
      <w:r w:rsidR="08E76C89">
        <w:instrText>supozice</w:instrText>
      </w:r>
      <w:r w:rsidR="00541CB2">
        <w:instrText>:Abelard</w:instrText>
      </w:r>
      <w:r w:rsidR="00345D28">
        <w:instrText xml:space="preserve">" </w:instrText>
      </w:r>
      <w:r w:rsidR="00345D28">
        <w:rPr>
          <w:rStyle w:val="Zkladntext158dkovn0pt"/>
          <w:i/>
          <w:color w:val="auto"/>
          <w:spacing w:val="0"/>
          <w:sz w:val="24"/>
          <w:lang w:val="cs-CZ"/>
        </w:rPr>
        <w:fldChar w:fldCharType="end"/>
      </w:r>
      <w:r w:rsidR="001A7FBE">
        <w:t>.</w:t>
      </w:r>
      <w:r w:rsidR="001A7FBE" w:rsidRPr="006B6339">
        <w:t xml:space="preserve"> </w:t>
      </w:r>
      <w:r w:rsidR="00C700C0">
        <w:t>E</w:t>
      </w:r>
      <w:r w:rsidR="008A20D3" w:rsidRPr="00273106">
        <w:t xml:space="preserve">xistuje </w:t>
      </w:r>
      <w:r w:rsidR="00C700C0">
        <w:t xml:space="preserve">dvojí </w:t>
      </w:r>
      <w:r w:rsidR="008A20D3" w:rsidRPr="00273106">
        <w:t>urč</w:t>
      </w:r>
      <w:r w:rsidR="00BC68D3" w:rsidRPr="00273106">
        <w:t xml:space="preserve">ení nedělitelného celku, protože </w:t>
      </w:r>
      <w:r w:rsidR="00C700C0">
        <w:t xml:space="preserve">význam </w:t>
      </w:r>
      <w:r w:rsidR="00BC68D3" w:rsidRPr="00273106">
        <w:t>v mysli a jeho exist</w:t>
      </w:r>
      <w:r w:rsidR="006D400E" w:rsidRPr="00273106">
        <w:t xml:space="preserve">ence v reálu </w:t>
      </w:r>
      <w:r w:rsidR="080135DC" w:rsidRPr="00273106">
        <w:t xml:space="preserve">zakládají </w:t>
      </w:r>
      <w:r w:rsidR="006D400E" w:rsidRPr="00273106">
        <w:t>dva odlišné významy</w:t>
      </w:r>
      <w:r w:rsidR="008A20D3" w:rsidRPr="00273106">
        <w:t xml:space="preserve">. </w:t>
      </w:r>
      <w:r w:rsidR="00F00BFC">
        <w:t xml:space="preserve">Dům má jedinečné bytí </w:t>
      </w:r>
      <w:r w:rsidR="00CF1A2A" w:rsidRPr="00273106">
        <w:t>jako první subst</w:t>
      </w:r>
      <w:r w:rsidR="08BE6BC7">
        <w:t xml:space="preserve">ance v reálu, ale význam domu </w:t>
      </w:r>
      <w:r w:rsidR="00CF1A2A" w:rsidRPr="00273106">
        <w:t>signifikuje univerzálně</w:t>
      </w:r>
      <w:r w:rsidR="005506CC">
        <w:t xml:space="preserve"> a potenciálně</w:t>
      </w:r>
      <w:r w:rsidR="00CF1A2A" w:rsidRPr="00273106">
        <w:t xml:space="preserve">. </w:t>
      </w:r>
      <w:r w:rsidR="00122170" w:rsidRPr="00273106">
        <w:t>Z hlediska osmyslňování jsoucna jde o dvě zcela odlišné operace</w:t>
      </w:r>
      <w:r w:rsidR="00105290">
        <w:t xml:space="preserve">, které rozlišují pojmy </w:t>
      </w:r>
      <w:r w:rsidR="00105290" w:rsidRPr="00105290">
        <w:rPr>
          <w:i/>
        </w:rPr>
        <w:t>impositio</w:t>
      </w:r>
      <w:r w:rsidR="00541CB2">
        <w:fldChar w:fldCharType="begin"/>
      </w:r>
      <w:r w:rsidR="00541CB2">
        <w:instrText xml:space="preserve"> XE "impozice:Abelard" </w:instrText>
      </w:r>
      <w:r w:rsidR="00541CB2">
        <w:fldChar w:fldCharType="end"/>
      </w:r>
      <w:r w:rsidR="007A7759">
        <w:t xml:space="preserve"> a </w:t>
      </w:r>
      <w:r w:rsidR="00105290" w:rsidRPr="00105290">
        <w:rPr>
          <w:i/>
        </w:rPr>
        <w:t>suppositio</w:t>
      </w:r>
      <w:r w:rsidR="08D5218B" w:rsidRPr="00273106">
        <w:t xml:space="preserve">. </w:t>
      </w:r>
      <w:r w:rsidR="00196EC5">
        <w:t xml:space="preserve">Impozice významu </w:t>
      </w:r>
      <w:r w:rsidR="08E62A32" w:rsidRPr="00273106">
        <w:t>jde směrem od věci</w:t>
      </w:r>
      <w:r w:rsidR="00663A94">
        <w:t xml:space="preserve"> k abstrahujícímu</w:t>
      </w:r>
      <w:r w:rsidR="00663A94" w:rsidRPr="00273106">
        <w:t xml:space="preserve"> </w:t>
      </w:r>
      <w:r w:rsidR="00663A94">
        <w:t xml:space="preserve">intelektu. </w:t>
      </w:r>
      <w:r w:rsidR="005B35B0">
        <w:t xml:space="preserve">Věc zakládá v hyparchickém modu </w:t>
      </w:r>
      <w:r w:rsidR="005B35B0" w:rsidRPr="003E2894">
        <w:rPr>
          <w:i/>
        </w:rPr>
        <w:t>per prius</w:t>
      </w:r>
      <w:r w:rsidR="005B35B0">
        <w:t xml:space="preserve"> základní sém</w:t>
      </w:r>
      <w:r w:rsidR="08EA7B28">
        <w:t>io</w:t>
      </w:r>
      <w:r w:rsidR="005B35B0">
        <w:t xml:space="preserve">tickou vazbu na realitu v modu podobnosti. </w:t>
      </w:r>
      <w:r w:rsidR="08331FE2">
        <w:lastRenderedPageBreak/>
        <w:t xml:space="preserve">Připomeňme původní rozdíl v </w:t>
      </w:r>
      <w:r w:rsidR="08331FE2" w:rsidRPr="00196EC5">
        <w:rPr>
          <w:i/>
        </w:rPr>
        <w:t>De int</w:t>
      </w:r>
      <w:r w:rsidR="08331FE2">
        <w:rPr>
          <w:i/>
        </w:rPr>
        <w:t>.</w:t>
      </w:r>
      <w:r w:rsidR="08331FE2">
        <w:t xml:space="preserve"> </w:t>
      </w:r>
      <w:r w:rsidR="08331FE2" w:rsidRPr="00273106">
        <w:rPr>
          <w:lang w:eastAsia="en-US"/>
        </w:rPr>
        <w:t>16a3‒8</w:t>
      </w:r>
      <w:r w:rsidR="08331FE2">
        <w:rPr>
          <w:rStyle w:val="Zkladntext158dkovn0pt"/>
          <w:i/>
          <w:color w:val="auto"/>
          <w:spacing w:val="0"/>
          <w:sz w:val="24"/>
          <w:lang w:val="cs-CZ"/>
        </w:rPr>
        <w:fldChar w:fldCharType="begin"/>
      </w:r>
      <w:r w:rsidR="08331FE2">
        <w:instrText xml:space="preserve"> XE "Aristoteles:</w:instrText>
      </w:r>
      <w:r w:rsidR="08331FE2" w:rsidRPr="00196EC5">
        <w:rPr>
          <w:i/>
        </w:rPr>
        <w:instrText>De int</w:instrText>
      </w:r>
      <w:r w:rsidR="08B21958">
        <w:rPr>
          <w:i/>
        </w:rPr>
        <w:instrText>erpretiatione</w:instrText>
      </w:r>
      <w:r w:rsidR="08331FE2">
        <w:instrText xml:space="preserve"> </w:instrText>
      </w:r>
      <w:r w:rsidR="08331FE2" w:rsidRPr="00273106">
        <w:rPr>
          <w:lang w:eastAsia="en-US"/>
        </w:rPr>
        <w:instrText>16a3‒8</w:instrText>
      </w:r>
      <w:r w:rsidR="08331FE2">
        <w:instrText xml:space="preserve">" </w:instrText>
      </w:r>
      <w:r w:rsidR="08331FE2">
        <w:rPr>
          <w:rStyle w:val="Zkladntext158dkovn0pt"/>
          <w:i/>
          <w:color w:val="auto"/>
          <w:spacing w:val="0"/>
          <w:sz w:val="24"/>
          <w:lang w:val="cs-CZ"/>
        </w:rPr>
        <w:fldChar w:fldCharType="end"/>
      </w:r>
      <w:r w:rsidR="08331FE2">
        <w:rPr>
          <w:lang w:eastAsia="en-US"/>
        </w:rPr>
        <w:t xml:space="preserve"> </w:t>
      </w:r>
      <w:r w:rsidR="08331FE2">
        <w:t xml:space="preserve">mezi primátem impozice významu od reálných věcí a </w:t>
      </w:r>
      <w:r w:rsidR="08331FE2">
        <w:rPr>
          <w:rStyle w:val="TextpoznpodarouChar"/>
        </w:rPr>
        <w:t xml:space="preserve">jejich druhotné symbolizace v jazyku </w:t>
      </w:r>
      <w:r w:rsidR="08331FE2">
        <w:t xml:space="preserve">(kap. </w:t>
      </w:r>
      <w:r w:rsidR="081601B1">
        <w:t>1</w:t>
      </w:r>
      <w:r w:rsidR="08331FE2">
        <w:t>.1)</w:t>
      </w:r>
      <w:r w:rsidR="08331FE2">
        <w:rPr>
          <w:rStyle w:val="TextpoznpodarouChar"/>
        </w:rPr>
        <w:t xml:space="preserve">. </w:t>
      </w:r>
      <w:r w:rsidR="009647A0">
        <w:rPr>
          <w:rStyle w:val="TextpoznpodarouChar"/>
        </w:rPr>
        <w:t>Triadická struktura signifikace</w:t>
      </w:r>
      <w:r w:rsidR="00A620DD">
        <w:rPr>
          <w:rStyle w:val="TextpoznpodarouChar"/>
        </w:rPr>
        <w:fldChar w:fldCharType="begin"/>
      </w:r>
      <w:r w:rsidR="00A620DD">
        <w:instrText xml:space="preserve"> XE "</w:instrText>
      </w:r>
      <w:r w:rsidR="00A620DD" w:rsidRPr="00D8371C">
        <w:rPr>
          <w:rStyle w:val="TextpoznpodarouChar"/>
        </w:rPr>
        <w:instrText>signifikace:</w:instrText>
      </w:r>
      <w:r w:rsidR="00A620DD" w:rsidRPr="00D8371C">
        <w:instrText>Abelard</w:instrText>
      </w:r>
      <w:r w:rsidR="00A620DD">
        <w:instrText xml:space="preserve">" </w:instrText>
      </w:r>
      <w:r w:rsidR="00A620DD">
        <w:rPr>
          <w:rStyle w:val="TextpoznpodarouChar"/>
        </w:rPr>
        <w:fldChar w:fldCharType="end"/>
      </w:r>
      <w:r w:rsidR="009647A0">
        <w:rPr>
          <w:rStyle w:val="TextpoznpodarouChar"/>
        </w:rPr>
        <w:t xml:space="preserve"> vychází ze skutečného poznání podle </w:t>
      </w:r>
      <w:r w:rsidR="009647A0" w:rsidRPr="009647A0">
        <w:rPr>
          <w:rStyle w:val="TextpoznpodarouChar"/>
          <w:i/>
        </w:rPr>
        <w:t>De anima</w:t>
      </w:r>
      <w:r w:rsidR="009647A0">
        <w:rPr>
          <w:rStyle w:val="TextpoznpodarouChar"/>
        </w:rPr>
        <w:t xml:space="preserve">. </w:t>
      </w:r>
      <w:r w:rsidR="00A80FCC">
        <w:rPr>
          <w:rStyle w:val="TextpoznpodarouChar"/>
        </w:rPr>
        <w:t xml:space="preserve">Význam </w:t>
      </w:r>
      <w:r w:rsidR="009647A0">
        <w:rPr>
          <w:rStyle w:val="TextpoznpodarouChar"/>
        </w:rPr>
        <w:t xml:space="preserve">vzniká skrze </w:t>
      </w:r>
      <w:r w:rsidR="00172820">
        <w:rPr>
          <w:rStyle w:val="TextpoznpodarouChar"/>
        </w:rPr>
        <w:t>intencionalitu</w:t>
      </w:r>
      <w:r w:rsidR="009647A0">
        <w:rPr>
          <w:rStyle w:val="TextpoznpodarouChar"/>
        </w:rPr>
        <w:t xml:space="preserve"> </w:t>
      </w:r>
      <w:r w:rsidR="00420AFC">
        <w:rPr>
          <w:rStyle w:val="TextpoznpodarouChar"/>
        </w:rPr>
        <w:t>danou v</w:t>
      </w:r>
      <w:r w:rsidR="00172820">
        <w:rPr>
          <w:rStyle w:val="TextpoznpodarouChar"/>
        </w:rPr>
        <w:t> </w:t>
      </w:r>
      <w:r w:rsidR="00420AFC">
        <w:rPr>
          <w:rStyle w:val="TextpoznpodarouChar"/>
        </w:rPr>
        <w:t>duši</w:t>
      </w:r>
      <w:r w:rsidR="00172820">
        <w:rPr>
          <w:rStyle w:val="TextpoznpodarouChar"/>
        </w:rPr>
        <w:t>, což je model formální kauzality</w:t>
      </w:r>
      <w:r w:rsidR="001C7C7D">
        <w:rPr>
          <w:rStyle w:val="Zkladntext158dkovn0pt"/>
          <w:i/>
          <w:color w:val="auto"/>
          <w:spacing w:val="0"/>
          <w:sz w:val="24"/>
          <w:lang w:val="cs-CZ"/>
        </w:rPr>
        <w:fldChar w:fldCharType="begin"/>
      </w:r>
      <w:r w:rsidR="001C7C7D">
        <w:instrText xml:space="preserve"> XE "intencionalita:</w:instrText>
      </w:r>
      <w:r w:rsidR="008E02F5">
        <w:instrText>Aristoteles</w:instrText>
      </w:r>
      <w:r w:rsidR="001C7C7D">
        <w:instrText xml:space="preserve">" </w:instrText>
      </w:r>
      <w:r w:rsidR="001C7C7D">
        <w:rPr>
          <w:rStyle w:val="Zkladntext158dkovn0pt"/>
          <w:i/>
          <w:color w:val="auto"/>
          <w:spacing w:val="0"/>
          <w:sz w:val="24"/>
          <w:lang w:val="cs-CZ"/>
        </w:rPr>
        <w:fldChar w:fldCharType="end"/>
      </w:r>
      <w:r w:rsidR="00B7722F">
        <w:rPr>
          <w:rStyle w:val="TextpoznpodarouChar"/>
        </w:rPr>
        <w:t xml:space="preserve">. </w:t>
      </w:r>
      <w:r w:rsidR="00F41FC6">
        <w:rPr>
          <w:rStyle w:val="TextpoznpodarouChar"/>
        </w:rPr>
        <w:t xml:space="preserve">Intencionální poznání </w:t>
      </w:r>
      <w:r w:rsidR="005960B7">
        <w:rPr>
          <w:rStyle w:val="TextpoznpodarouChar"/>
        </w:rPr>
        <w:t xml:space="preserve">dané skrze </w:t>
      </w:r>
      <w:r w:rsidR="005960B7" w:rsidRPr="005960B7">
        <w:rPr>
          <w:rStyle w:val="TextpoznpodarouChar"/>
          <w:i/>
        </w:rPr>
        <w:t>intellectus possibilis</w:t>
      </w:r>
      <w:r w:rsidR="005960B7">
        <w:rPr>
          <w:rStyle w:val="TextpoznpodarouChar"/>
        </w:rPr>
        <w:t xml:space="preserve"> </w:t>
      </w:r>
      <w:r w:rsidR="009647A0">
        <w:rPr>
          <w:rStyle w:val="TextpoznpodarouChar"/>
        </w:rPr>
        <w:t xml:space="preserve">ve všech lidech formálně stejným způsobem zakládá původní </w:t>
      </w:r>
      <w:r w:rsidR="005B35B0">
        <w:rPr>
          <w:rStyle w:val="TextpoznpodarouChar"/>
        </w:rPr>
        <w:t>podobnost věci a intelektu (</w:t>
      </w:r>
      <w:r w:rsidR="005B35B0" w:rsidRPr="00273106">
        <w:rPr>
          <w:rStyle w:val="TextpoznpodarouChar"/>
        </w:rPr>
        <w:t>ὁμοιώματα</w:t>
      </w:r>
      <w:r w:rsidR="005B35B0">
        <w:rPr>
          <w:rStyle w:val="TextpoznpodarouChar"/>
        </w:rPr>
        <w:t>)</w:t>
      </w:r>
      <w:r w:rsidR="00B7722F">
        <w:rPr>
          <w:rStyle w:val="TextpoznpodarouChar"/>
        </w:rPr>
        <w:t xml:space="preserve">, která je dána v rámci </w:t>
      </w:r>
      <w:r w:rsidR="00525786">
        <w:rPr>
          <w:rStyle w:val="TextpoznpodarouChar"/>
        </w:rPr>
        <w:t xml:space="preserve">univerzálně intendovaného </w:t>
      </w:r>
      <w:r w:rsidR="001406D7">
        <w:rPr>
          <w:rStyle w:val="TextpoznpodarouChar"/>
        </w:rPr>
        <w:t xml:space="preserve">významu </w:t>
      </w:r>
      <w:r w:rsidR="00B7722F">
        <w:rPr>
          <w:rStyle w:val="TextpoznpodarouChar"/>
        </w:rPr>
        <w:t>(</w:t>
      </w:r>
      <w:r w:rsidR="00B7722F" w:rsidRPr="00273106">
        <w:rPr>
          <w:rStyle w:val="TextpoznpodarouChar"/>
        </w:rPr>
        <w:t>σημεία πρώτων</w:t>
      </w:r>
      <w:r w:rsidR="00B7722F">
        <w:rPr>
          <w:rStyle w:val="TextpoznpodarouChar"/>
        </w:rPr>
        <w:t>)</w:t>
      </w:r>
      <w:r w:rsidR="005B35B0">
        <w:t xml:space="preserve">. </w:t>
      </w:r>
      <w:r w:rsidR="00525786">
        <w:t xml:space="preserve">Intence </w:t>
      </w:r>
      <w:r w:rsidR="003C1575">
        <w:t xml:space="preserve">reality je ve všech lidech </w:t>
      </w:r>
      <w:r w:rsidR="00525786">
        <w:t>stejná</w:t>
      </w:r>
      <w:r w:rsidR="003C1575">
        <w:t xml:space="preserve"> díky trojí mediaci </w:t>
      </w:r>
      <w:r w:rsidR="003C1575" w:rsidRPr="003C1575">
        <w:rPr>
          <w:i/>
        </w:rPr>
        <w:t>diafanum</w:t>
      </w:r>
      <w:r w:rsidR="003C1575">
        <w:t xml:space="preserve"> založené na formální kauzalitě</w:t>
      </w:r>
      <w:r w:rsidR="002825BB">
        <w:t xml:space="preserve"> dané potenciálně</w:t>
      </w:r>
      <w:r w:rsidR="003C1575">
        <w:t xml:space="preserve">.  Ale na dalším stupni syntézy je už </w:t>
      </w:r>
      <w:r w:rsidR="002825BB">
        <w:t xml:space="preserve">aktuálně </w:t>
      </w:r>
      <w:r w:rsidR="003C1575">
        <w:t xml:space="preserve">odlišná </w:t>
      </w:r>
      <w:r w:rsidR="006133FC">
        <w:t>symbolizace daná</w:t>
      </w:r>
      <w:r w:rsidR="00525786">
        <w:t xml:space="preserve"> jak indiv</w:t>
      </w:r>
      <w:r w:rsidR="006133FC">
        <w:t>i</w:t>
      </w:r>
      <w:r w:rsidR="00525786">
        <w:t>d</w:t>
      </w:r>
      <w:r w:rsidR="006133FC">
        <w:t>u</w:t>
      </w:r>
      <w:r w:rsidR="00525786">
        <w:t xml:space="preserve">álně, tak jazykově. </w:t>
      </w:r>
      <w:r w:rsidR="005F75E2">
        <w:t xml:space="preserve">Na rozdíl od tehdejších a dnešních </w:t>
      </w:r>
      <w:r w:rsidR="005F75E2" w:rsidRPr="003474C2">
        <w:rPr>
          <w:i/>
        </w:rPr>
        <w:t>Modernorum</w:t>
      </w:r>
      <w:r w:rsidR="005F75E2">
        <w:t xml:space="preserve"> </w:t>
      </w:r>
      <w:r w:rsidR="00AB6F38">
        <w:t xml:space="preserve">četl </w:t>
      </w:r>
      <w:r w:rsidR="00CB3E4F">
        <w:t>Abélard</w:t>
      </w:r>
      <w:r w:rsidR="005F75E2">
        <w:t xml:space="preserve"> spis </w:t>
      </w:r>
      <w:r w:rsidR="00AB6F38" w:rsidRPr="00B45671">
        <w:rPr>
          <w:i/>
        </w:rPr>
        <w:t>De interpetatione</w:t>
      </w:r>
      <w:r w:rsidR="00AB6F38">
        <w:t xml:space="preserve"> podle Aristotelova výslovně uvedeného návodu, tedy ve</w:t>
      </w:r>
      <w:r w:rsidR="00865728">
        <w:t xml:space="preserve"> spojení se spisem </w:t>
      </w:r>
      <w:r w:rsidR="00AB6F38" w:rsidRPr="00B45671">
        <w:rPr>
          <w:i/>
        </w:rPr>
        <w:t>De anima</w:t>
      </w:r>
      <w:r w:rsidR="00AB6F38">
        <w:t>.</w:t>
      </w:r>
      <w:r w:rsidR="0022155E">
        <w:t xml:space="preserve"> </w:t>
      </w:r>
      <w:r w:rsidR="00E06FF1" w:rsidRPr="00273106">
        <w:t xml:space="preserve">Impozice </w:t>
      </w:r>
      <w:r w:rsidR="00151968">
        <w:t xml:space="preserve">a supozice </w:t>
      </w:r>
      <w:r w:rsidR="00B146AC" w:rsidRPr="00273106">
        <w:t xml:space="preserve">se týká buď </w:t>
      </w:r>
      <w:r w:rsidR="005015E2" w:rsidRPr="00273106">
        <w:t xml:space="preserve">aktuální </w:t>
      </w:r>
      <w:r w:rsidR="00E06FF1" w:rsidRPr="00273106">
        <w:t>jednotliviny</w:t>
      </w:r>
      <w:r w:rsidR="00C55774" w:rsidRPr="00273106">
        <w:t xml:space="preserve"> (</w:t>
      </w:r>
      <w:r w:rsidR="00C55774" w:rsidRPr="00273106">
        <w:rPr>
          <w:i/>
        </w:rPr>
        <w:t>totum integrum</w:t>
      </w:r>
      <w:r w:rsidR="00E16CEB">
        <w:rPr>
          <w:i/>
        </w:rPr>
        <w:fldChar w:fldCharType="begin"/>
      </w:r>
      <w:r w:rsidR="00E16CEB">
        <w:instrText xml:space="preserve"> XE "</w:instrText>
      </w:r>
      <w:r w:rsidR="00E16CEB" w:rsidRPr="00197AB1">
        <w:rPr>
          <w:i/>
        </w:rPr>
        <w:instrText>totum integrum</w:instrText>
      </w:r>
      <w:r w:rsidR="00E16CEB">
        <w:instrText xml:space="preserve">" </w:instrText>
      </w:r>
      <w:r w:rsidR="00E16CEB">
        <w:rPr>
          <w:i/>
        </w:rPr>
        <w:fldChar w:fldCharType="end"/>
      </w:r>
      <w:r w:rsidR="00C55774" w:rsidRPr="00273106">
        <w:t>)</w:t>
      </w:r>
      <w:r w:rsidR="00865728">
        <w:t>,</w:t>
      </w:r>
      <w:r w:rsidR="0030285D" w:rsidRPr="00273106">
        <w:t xml:space="preserve"> </w:t>
      </w:r>
      <w:r w:rsidR="00E06FF1" w:rsidRPr="00273106">
        <w:t xml:space="preserve">nebo </w:t>
      </w:r>
      <w:r w:rsidR="001609B9" w:rsidRPr="00273106">
        <w:t>unive</w:t>
      </w:r>
      <w:r w:rsidR="0030285D" w:rsidRPr="00273106">
        <w:t>r</w:t>
      </w:r>
      <w:r w:rsidR="001609B9" w:rsidRPr="00273106">
        <w:t xml:space="preserve">zálního </w:t>
      </w:r>
      <w:r w:rsidR="00E06FF1" w:rsidRPr="00273106">
        <w:t>konceptu v mysli</w:t>
      </w:r>
      <w:r w:rsidR="00C55774" w:rsidRPr="00273106">
        <w:t xml:space="preserve"> (</w:t>
      </w:r>
      <w:r w:rsidR="00C55774" w:rsidRPr="00273106">
        <w:rPr>
          <w:i/>
        </w:rPr>
        <w:t>totum universale</w:t>
      </w:r>
      <w:r w:rsidR="00E16CEB">
        <w:rPr>
          <w:i/>
        </w:rPr>
        <w:fldChar w:fldCharType="begin"/>
      </w:r>
      <w:r w:rsidR="00E16CEB">
        <w:instrText xml:space="preserve"> XE "</w:instrText>
      </w:r>
      <w:r w:rsidR="00E16CEB" w:rsidRPr="000E5F36">
        <w:rPr>
          <w:i/>
        </w:rPr>
        <w:instrText>totum universale</w:instrText>
      </w:r>
      <w:r w:rsidR="00E16CEB">
        <w:instrText xml:space="preserve">" </w:instrText>
      </w:r>
      <w:r w:rsidR="00E16CEB">
        <w:rPr>
          <w:i/>
        </w:rPr>
        <w:fldChar w:fldCharType="end"/>
      </w:r>
      <w:r w:rsidR="00C55774" w:rsidRPr="00273106">
        <w:t>)</w:t>
      </w:r>
      <w:r w:rsidR="0030285D" w:rsidRPr="00273106">
        <w:t xml:space="preserve">. </w:t>
      </w:r>
      <w:r w:rsidR="00150DD6" w:rsidRPr="00273106">
        <w:t xml:space="preserve">Mezi </w:t>
      </w:r>
      <w:r w:rsidR="004411F1">
        <w:t xml:space="preserve">bytím první a druhé </w:t>
      </w:r>
      <w:r w:rsidR="00FE1B80">
        <w:t xml:space="preserve">substance </w:t>
      </w:r>
      <w:r w:rsidR="004807A8" w:rsidRPr="00273106">
        <w:t xml:space="preserve">není </w:t>
      </w:r>
      <w:r w:rsidR="00865728">
        <w:t>identita</w:t>
      </w:r>
      <w:r w:rsidR="004411F1">
        <w:t>, ale pouze podobnost</w:t>
      </w:r>
      <w:r w:rsidR="00FE1B80">
        <w:t xml:space="preserve">, protože </w:t>
      </w:r>
      <w:r w:rsidR="00A80FCC">
        <w:t xml:space="preserve">obě substance </w:t>
      </w:r>
      <w:r w:rsidR="00FE1B80">
        <w:t xml:space="preserve">nemají </w:t>
      </w:r>
      <w:r w:rsidR="00A80FCC">
        <w:t xml:space="preserve">genericky </w:t>
      </w:r>
      <w:r w:rsidR="00FE1B80">
        <w:t>stejný způsob</w:t>
      </w:r>
      <w:r w:rsidR="001406D7">
        <w:t xml:space="preserve"> existence</w:t>
      </w:r>
      <w:r w:rsidR="004807A8" w:rsidRPr="00273106">
        <w:t>.</w:t>
      </w:r>
      <w:r w:rsidR="00A855C9" w:rsidRPr="00273106">
        <w:t xml:space="preserve"> </w:t>
      </w:r>
      <w:r w:rsidR="00A80FCC">
        <w:t>V pravdivé adekvaci kate</w:t>
      </w:r>
      <w:r w:rsidR="009E7FD9">
        <w:t>g</w:t>
      </w:r>
      <w:r w:rsidR="00A80FCC">
        <w:t xml:space="preserve">oriální predikace </w:t>
      </w:r>
      <w:r w:rsidR="00055826">
        <w:t xml:space="preserve">specificky a </w:t>
      </w:r>
      <w:r w:rsidR="009E7FD9">
        <w:t xml:space="preserve">genericky univoční druhé substance </w:t>
      </w:r>
      <w:r w:rsidR="00A80FCC">
        <w:t xml:space="preserve">navíc platí, že impozice není supozice. </w:t>
      </w:r>
      <w:r w:rsidR="000B2827">
        <w:t xml:space="preserve">Opomenutí těchto základních daností klasické metafyziky produkuje hrubé chyby modernistů. </w:t>
      </w:r>
      <w:r w:rsidR="00AB08B0">
        <w:t>Predikace proto musí při</w:t>
      </w:r>
      <w:r w:rsidR="001D5B3E">
        <w:t>hlédnout ke směru, odku</w:t>
      </w:r>
      <w:r w:rsidR="00AB08B0">
        <w:t>d</w:t>
      </w:r>
      <w:r w:rsidR="001D5B3E">
        <w:t xml:space="preserve"> se v mysli generuje obecný význam</w:t>
      </w:r>
      <w:r w:rsidR="000B2827">
        <w:t xml:space="preserve"> </w:t>
      </w:r>
      <w:r w:rsidR="000B2827">
        <w:rPr>
          <w:szCs w:val="24"/>
          <w:lang w:val="de-DE"/>
        </w:rPr>
        <w:t>(</w:t>
      </w:r>
      <w:r w:rsidR="000B2827" w:rsidRPr="000B2827">
        <w:rPr>
          <w:i/>
          <w:szCs w:val="24"/>
          <w:lang w:val="de-DE"/>
        </w:rPr>
        <w:t>Vor-blickbahn</w:t>
      </w:r>
      <w:r w:rsidR="000B2827">
        <w:rPr>
          <w:i/>
          <w:szCs w:val="24"/>
          <w:lang w:val="de-DE"/>
        </w:rPr>
        <w:fldChar w:fldCharType="begin"/>
      </w:r>
      <w:r w:rsidR="000B2827">
        <w:instrText xml:space="preserve"> XE "</w:instrText>
      </w:r>
      <w:r w:rsidR="000B2827" w:rsidRPr="00F34C1D">
        <w:rPr>
          <w:i/>
          <w:szCs w:val="24"/>
          <w:lang w:val="de-DE"/>
        </w:rPr>
        <w:instrText>Vor-blickbahn</w:instrText>
      </w:r>
      <w:r w:rsidR="000B2827">
        <w:instrText xml:space="preserve">" </w:instrText>
      </w:r>
      <w:r w:rsidR="000B2827">
        <w:rPr>
          <w:i/>
          <w:szCs w:val="24"/>
          <w:lang w:val="de-DE"/>
        </w:rPr>
        <w:fldChar w:fldCharType="end"/>
      </w:r>
      <w:r w:rsidR="000B2827">
        <w:rPr>
          <w:szCs w:val="24"/>
          <w:lang w:val="de-DE"/>
        </w:rPr>
        <w:t>)</w:t>
      </w:r>
      <w:r w:rsidR="001D5B3E">
        <w:t>.</w:t>
      </w:r>
    </w:p>
    <w:p w14:paraId="4A007F13" w14:textId="646EA530" w:rsidR="003F5666" w:rsidRPr="003F5666" w:rsidRDefault="003F5666" w:rsidP="003F5666">
      <w:pPr>
        <w:pStyle w:val="Citace"/>
        <w:rPr>
          <w:lang w:val="cs-CZ"/>
        </w:rPr>
      </w:pPr>
      <w:r>
        <w:rPr>
          <w:lang w:val="cs-CZ"/>
        </w:rPr>
        <w:t>„</w:t>
      </w:r>
      <w:r>
        <w:t>Je třeba věnovat pozornost tomu, že termín 'signifikovat' (</w:t>
      </w:r>
      <w:r w:rsidRPr="009B6BB5">
        <w:rPr>
          <w:i/>
          <w:szCs w:val="19"/>
        </w:rPr>
        <w:t>significare</w:t>
      </w:r>
      <w:r>
        <w:t xml:space="preserve">) </w:t>
      </w:r>
      <w:r w:rsidR="00AD0E0A">
        <w:rPr>
          <w:lang w:val="cs-CZ"/>
        </w:rPr>
        <w:t>se používá v různých významech</w:t>
      </w:r>
      <w:r>
        <w:t>. Buď je dán jako způsob, kterým v mysli vzniká libovolný význam (</w:t>
      </w:r>
      <w:r w:rsidRPr="005D6F2E">
        <w:rPr>
          <w:i/>
          <w:szCs w:val="18"/>
        </w:rPr>
        <w:t>intellectum generat</w:t>
      </w:r>
      <w:r>
        <w:t>). Nebo jako způsob, kterým jsou významy pravdivě přiřazeny k věcem, o nichž jsou vypovídány (</w:t>
      </w:r>
      <w:r w:rsidRPr="005D6F2E">
        <w:rPr>
          <w:i/>
          <w:szCs w:val="18"/>
        </w:rPr>
        <w:t>modo vero circa omnia</w:t>
      </w:r>
      <w:r w:rsidRPr="005D6F2E">
        <w:rPr>
          <w:i/>
        </w:rPr>
        <w:t xml:space="preserve"> </w:t>
      </w:r>
      <w:r w:rsidRPr="005D6F2E">
        <w:rPr>
          <w:i/>
          <w:szCs w:val="18"/>
        </w:rPr>
        <w:t>quibus est impositum</w:t>
      </w:r>
      <w:r>
        <w:t>). Tento význam impozice je třeba držet</w:t>
      </w:r>
      <w:r w:rsidR="00300811">
        <w:rPr>
          <w:lang w:val="cs-CZ"/>
        </w:rPr>
        <w:t xml:space="preserve"> na prvním místě</w:t>
      </w:r>
      <w:r>
        <w:t>, protože představuje primární a vlastní termín pro signifikaci.</w:t>
      </w:r>
      <w:r w:rsidR="089A2E25">
        <w:rPr>
          <w:lang w:val="cs-CZ"/>
        </w:rPr>
        <w:t>..</w:t>
      </w:r>
      <w:r>
        <w:rPr>
          <w:lang w:val="cs-CZ"/>
        </w:rPr>
        <w:t xml:space="preserve">“ </w:t>
      </w:r>
      <w:r>
        <w:rPr>
          <w:rStyle w:val="Znakapoznpodarou"/>
          <w:lang w:val="cs-CZ"/>
        </w:rPr>
        <w:footnoteReference w:id="22"/>
      </w:r>
    </w:p>
    <w:p w14:paraId="1017E70E" w14:textId="02F6ABFE" w:rsidR="00124B67" w:rsidRPr="001E2F87" w:rsidRDefault="001D5B3E" w:rsidP="00124B67">
      <w:pPr>
        <w:rPr>
          <w:szCs w:val="24"/>
          <w:lang w:val="de-DE"/>
        </w:rPr>
      </w:pPr>
      <w:r>
        <w:t>Jedině nasv</w:t>
      </w:r>
      <w:r w:rsidR="080D4819">
        <w:t xml:space="preserve">ícení signifikace zepředu </w:t>
      </w:r>
      <w:r>
        <w:t>od reálné první substance, zakládá kategoriální predi</w:t>
      </w:r>
      <w:r w:rsidR="005B049B">
        <w:t>k</w:t>
      </w:r>
      <w:r>
        <w:t>aci nut</w:t>
      </w:r>
      <w:r w:rsidR="005B049B">
        <w:t>n</w:t>
      </w:r>
      <w:r>
        <w:t>ou pro vědecké pozná</w:t>
      </w:r>
      <w:r w:rsidR="005B049B">
        <w:t>n</w:t>
      </w:r>
      <w:r>
        <w:t xml:space="preserve">í reality. </w:t>
      </w:r>
      <w:r w:rsidR="080D4819">
        <w:t xml:space="preserve">Pravdu určuje aristotelský </w:t>
      </w:r>
      <w:r w:rsidR="08787ECE">
        <w:t xml:space="preserve">metafyzický </w:t>
      </w:r>
      <w:r w:rsidR="080D4819">
        <w:t>dativ</w:t>
      </w:r>
      <w:r w:rsidR="080D4819">
        <w:fldChar w:fldCharType="begin"/>
      </w:r>
      <w:r w:rsidR="080D4819">
        <w:instrText xml:space="preserve"> XE "</w:instrText>
      </w:r>
      <w:r w:rsidR="08787ECE">
        <w:rPr>
          <w:i/>
        </w:rPr>
        <w:instrText>dativus metaphysicus</w:instrText>
      </w:r>
      <w:r w:rsidR="080D4819">
        <w:instrText xml:space="preserve">" </w:instrText>
      </w:r>
      <w:r w:rsidR="080D4819">
        <w:fldChar w:fldCharType="end"/>
      </w:r>
      <w:r w:rsidR="080D4819">
        <w:t xml:space="preserve">, protože </w:t>
      </w:r>
      <w:r w:rsidR="08AC51AE">
        <w:t xml:space="preserve">v poznání musí být adekvátně predikovaný </w:t>
      </w:r>
      <w:r w:rsidR="080D4819">
        <w:t xml:space="preserve">minulostní ráz reálně existující věci. </w:t>
      </w:r>
      <w:r w:rsidR="00EB3795">
        <w:t xml:space="preserve">Opět je ve hře dvojí typ kategoriální predikace ve dvojím modu </w:t>
      </w:r>
      <w:r w:rsidR="00EB3795" w:rsidRPr="008E2A69">
        <w:rPr>
          <w:i/>
        </w:rPr>
        <w:t>per prius</w:t>
      </w:r>
      <w:r w:rsidR="00EB3795">
        <w:t xml:space="preserve"> a </w:t>
      </w:r>
      <w:r w:rsidR="00EB3795" w:rsidRPr="008E2A69">
        <w:rPr>
          <w:i/>
        </w:rPr>
        <w:t>per posterius</w:t>
      </w:r>
      <w:r w:rsidR="00EB3795">
        <w:t xml:space="preserve"> (</w:t>
      </w:r>
      <w:r w:rsidR="00EB3795" w:rsidRPr="00273106">
        <w:rPr>
          <w:i/>
        </w:rPr>
        <w:t>Cat</w:t>
      </w:r>
      <w:r w:rsidR="00EB3795" w:rsidRPr="00273106">
        <w:t>. 2a14–15</w:t>
      </w:r>
      <w:r w:rsidR="00E16CEB">
        <w:rPr>
          <w:rStyle w:val="Zkladntext158dkovn0pt"/>
          <w:i/>
          <w:color w:val="auto"/>
          <w:spacing w:val="0"/>
          <w:sz w:val="24"/>
          <w:lang w:val="cs-CZ"/>
        </w:rPr>
        <w:fldChar w:fldCharType="begin"/>
      </w:r>
      <w:r w:rsidR="00E16CEB">
        <w:instrText xml:space="preserve"> XE "</w:instrText>
      </w:r>
      <w:r w:rsidR="008E02F5">
        <w:instrText>Aristoteles</w:instrText>
      </w:r>
      <w:r w:rsidR="00E16CEB">
        <w:instrText>:</w:instrText>
      </w:r>
      <w:r w:rsidR="00E16CEB" w:rsidRPr="00E16CEB">
        <w:rPr>
          <w:i/>
        </w:rPr>
        <w:instrText>Cat</w:instrText>
      </w:r>
      <w:r w:rsidR="00E16CEB" w:rsidRPr="00273106">
        <w:instrText>. 2a14–15</w:instrText>
      </w:r>
      <w:r w:rsidR="00E16CEB">
        <w:instrText xml:space="preserve">" </w:instrText>
      </w:r>
      <w:r w:rsidR="00E16CEB">
        <w:rPr>
          <w:rStyle w:val="Zkladntext158dkovn0pt"/>
          <w:i/>
          <w:color w:val="auto"/>
          <w:spacing w:val="0"/>
          <w:sz w:val="24"/>
          <w:lang w:val="cs-CZ"/>
        </w:rPr>
        <w:fldChar w:fldCharType="end"/>
      </w:r>
      <w:r w:rsidR="00EB3795">
        <w:t xml:space="preserve">). </w:t>
      </w:r>
      <w:r w:rsidR="00124B67">
        <w:t xml:space="preserve">Rozlišení mezi </w:t>
      </w:r>
      <w:r w:rsidR="00124B67">
        <w:lastRenderedPageBreak/>
        <w:t xml:space="preserve">kategoriální a nominální predikací založilo </w:t>
      </w:r>
      <w:r w:rsidR="00124B67" w:rsidRPr="00273106">
        <w:t xml:space="preserve">důležitý rozdíl mezi </w:t>
      </w:r>
      <w:r w:rsidR="00124B67">
        <w:t xml:space="preserve">impozicí </w:t>
      </w:r>
      <w:r w:rsidR="00124B67" w:rsidRPr="00273106">
        <w:t>v</w:t>
      </w:r>
      <w:r w:rsidR="00AB08B0">
        <w:t>ýznamu od první substance (</w:t>
      </w:r>
      <w:r w:rsidR="00124B67" w:rsidRPr="00273106">
        <w:rPr>
          <w:i/>
        </w:rPr>
        <w:t>substantia significata</w:t>
      </w:r>
      <w:r w:rsidR="00AB08B0">
        <w:t>) a supozicí danou v rámci pouhé verbální signifikace (</w:t>
      </w:r>
      <w:r w:rsidR="00124B67" w:rsidRPr="00273106">
        <w:rPr>
          <w:i/>
        </w:rPr>
        <w:t>vox substantiam significatam</w:t>
      </w:r>
      <w:r w:rsidR="00AB08B0">
        <w:t>)</w:t>
      </w:r>
      <w:r w:rsidR="00124B67" w:rsidRPr="00273106">
        <w:t xml:space="preserve">. </w:t>
      </w:r>
      <w:r w:rsidR="001E2F87">
        <w:rPr>
          <w:szCs w:val="24"/>
          <w:lang w:val="de-DE"/>
        </w:rPr>
        <w:t>Logický význam na základě supozice (</w:t>
      </w:r>
      <w:r w:rsidR="001E2F87" w:rsidRPr="00273FCB">
        <w:rPr>
          <w:i/>
          <w:szCs w:val="24"/>
          <w:lang w:val="de-DE"/>
        </w:rPr>
        <w:t>aequivoce</w:t>
      </w:r>
      <w:r w:rsidR="001E2F87">
        <w:rPr>
          <w:szCs w:val="24"/>
          <w:lang w:val="de-DE"/>
        </w:rPr>
        <w:t>) není metafyzický význam na základě impozice (</w:t>
      </w:r>
      <w:r w:rsidR="001E2F87" w:rsidRPr="00273FCB">
        <w:rPr>
          <w:i/>
          <w:szCs w:val="24"/>
          <w:lang w:val="de-DE"/>
        </w:rPr>
        <w:t>univoce</w:t>
      </w:r>
      <w:r w:rsidR="001E2F87">
        <w:rPr>
          <w:szCs w:val="24"/>
          <w:lang w:val="de-DE"/>
        </w:rPr>
        <w:t xml:space="preserve">). </w:t>
      </w:r>
      <w:r w:rsidR="00124B67">
        <w:t>Tuto analýzu</w:t>
      </w:r>
      <w:r w:rsidR="00124B67" w:rsidRPr="00273106">
        <w:t xml:space="preserve"> </w:t>
      </w:r>
      <w:r w:rsidR="00124B67">
        <w:t xml:space="preserve">jazyka </w:t>
      </w:r>
      <w:r w:rsidR="00124B67" w:rsidRPr="00273106">
        <w:t xml:space="preserve">najdeme v Abelardově komentáři ke </w:t>
      </w:r>
      <w:r w:rsidR="00124B67" w:rsidRPr="001F5C17">
        <w:rPr>
          <w:i/>
        </w:rPr>
        <w:t>Kategoriím</w:t>
      </w:r>
      <w:r w:rsidR="00124B67" w:rsidRPr="00273106">
        <w:t xml:space="preserve"> </w:t>
      </w:r>
      <w:r w:rsidR="080E2970">
        <w:t xml:space="preserve">podanou </w:t>
      </w:r>
      <w:r w:rsidR="00124B67" w:rsidRPr="00273106">
        <w:t xml:space="preserve">ve druhé části </w:t>
      </w:r>
      <w:r w:rsidR="080E2970">
        <w:t xml:space="preserve">logiky </w:t>
      </w:r>
      <w:r w:rsidR="08E71C09">
        <w:t>vylož</w:t>
      </w:r>
      <w:r w:rsidR="081C7EE4">
        <w:t>e</w:t>
      </w:r>
      <w:r w:rsidR="08E71C09">
        <w:t xml:space="preserve">né </w:t>
      </w:r>
      <w:r w:rsidR="080E2970">
        <w:t xml:space="preserve">pro </w:t>
      </w:r>
      <w:r w:rsidR="08E71C09">
        <w:t xml:space="preserve">filosofické </w:t>
      </w:r>
      <w:r w:rsidR="080E2970">
        <w:t>začátečníky (</w:t>
      </w:r>
      <w:r w:rsidR="00124B67" w:rsidRPr="00273106">
        <w:rPr>
          <w:i/>
        </w:rPr>
        <w:t>Logica ingredientibus</w:t>
      </w:r>
      <w:r w:rsidR="080E2970">
        <w:t>)</w:t>
      </w:r>
      <w:r w:rsidR="00124B67" w:rsidRPr="00273106">
        <w:t>. Rozdíl se týká určení jsoucna ve smyslu hylemorfické substance (</w:t>
      </w:r>
      <w:r w:rsidR="00124B67" w:rsidRPr="00273106">
        <w:rPr>
          <w:i/>
        </w:rPr>
        <w:t>complexum</w:t>
      </w:r>
      <w:r w:rsidR="00A620DD">
        <w:rPr>
          <w:i/>
        </w:rPr>
        <w:fldChar w:fldCharType="begin"/>
      </w:r>
      <w:r w:rsidR="00A620DD">
        <w:instrText xml:space="preserve"> XE "</w:instrText>
      </w:r>
      <w:r w:rsidR="00A620DD" w:rsidRPr="00412AA6">
        <w:instrText>substance:</w:instrText>
      </w:r>
      <w:r w:rsidR="00A620DD" w:rsidRPr="00A620DD">
        <w:rPr>
          <w:i/>
        </w:rPr>
        <w:instrText>complexum</w:instrText>
      </w:r>
      <w:r w:rsidR="00A620DD">
        <w:instrText xml:space="preserve">" </w:instrText>
      </w:r>
      <w:r w:rsidR="00A620DD">
        <w:rPr>
          <w:i/>
        </w:rPr>
        <w:fldChar w:fldCharType="end"/>
      </w:r>
      <w:r w:rsidR="00124B67" w:rsidRPr="00273106">
        <w:t>) nebo jejího univerzálního významu (</w:t>
      </w:r>
      <w:r w:rsidR="00124B67" w:rsidRPr="00273106">
        <w:rPr>
          <w:i/>
        </w:rPr>
        <w:t>incomplexum</w:t>
      </w:r>
      <w:r w:rsidR="00A620DD">
        <w:rPr>
          <w:i/>
        </w:rPr>
        <w:fldChar w:fldCharType="begin"/>
      </w:r>
      <w:r w:rsidR="00A620DD">
        <w:instrText xml:space="preserve"> XE "</w:instrText>
      </w:r>
      <w:r w:rsidR="00A620DD" w:rsidRPr="00B6500B">
        <w:instrText>substance:</w:instrText>
      </w:r>
      <w:r w:rsidR="00CC641A">
        <w:instrText xml:space="preserve"> </w:instrText>
      </w:r>
      <w:r w:rsidR="00CC641A" w:rsidRPr="00CC641A">
        <w:rPr>
          <w:i/>
        </w:rPr>
        <w:instrText>ens</w:instrText>
      </w:r>
      <w:r w:rsidR="00CC641A">
        <w:instrText xml:space="preserve"> </w:instrText>
      </w:r>
      <w:r w:rsidR="00A620DD" w:rsidRPr="00A620DD">
        <w:rPr>
          <w:i/>
        </w:rPr>
        <w:instrText>incomplexum</w:instrText>
      </w:r>
      <w:r w:rsidR="00A620DD">
        <w:instrText xml:space="preserve">" </w:instrText>
      </w:r>
      <w:r w:rsidR="00A620DD">
        <w:rPr>
          <w:i/>
        </w:rPr>
        <w:fldChar w:fldCharType="end"/>
      </w:r>
      <w:r w:rsidR="00124B67" w:rsidRPr="00273106">
        <w:t>).</w:t>
      </w:r>
      <w:r w:rsidR="00124B67" w:rsidRPr="00273106">
        <w:rPr>
          <w:rStyle w:val="Znakapoznpodarou"/>
        </w:rPr>
        <w:footnoteReference w:id="23"/>
      </w:r>
      <w:r w:rsidR="00124B67" w:rsidRPr="00273106">
        <w:t xml:space="preserve"> </w:t>
      </w:r>
      <w:r w:rsidR="00124B67">
        <w:t>P</w:t>
      </w:r>
      <w:r w:rsidR="00124B67" w:rsidRPr="00273106">
        <w:t>ravdu na úrovni soudu nemůžeme vypovídat o jednotlivinách v realitě (</w:t>
      </w:r>
      <w:r w:rsidR="00124B67" w:rsidRPr="00273106">
        <w:rPr>
          <w:i/>
        </w:rPr>
        <w:t>secundum nullam complexionem dicuntur</w:t>
      </w:r>
      <w:r w:rsidR="00124B67" w:rsidRPr="00273106">
        <w:t xml:space="preserve">), ale pouze o významech daných v mysli. Pak se zásadně liší impozice významu, protože může být chápána buď směrem od věci v reálu, nebo směrem od jejího významu v mysli. </w:t>
      </w:r>
      <w:r w:rsidR="00124B67">
        <w:t>Univoční predikace vzniká pouze na základě impozice</w:t>
      </w:r>
      <w:r w:rsidR="00EA0942">
        <w:fldChar w:fldCharType="begin"/>
      </w:r>
      <w:r w:rsidR="00EA0942">
        <w:instrText xml:space="preserve"> XE "</w:instrText>
      </w:r>
      <w:r w:rsidR="00EA0942" w:rsidRPr="00B50CCF">
        <w:instrText>predikace:univoční</w:instrText>
      </w:r>
      <w:r w:rsidR="00EA0942">
        <w:instrText xml:space="preserve">" </w:instrText>
      </w:r>
      <w:r w:rsidR="00EA0942">
        <w:fldChar w:fldCharType="end"/>
      </w:r>
      <w:r w:rsidR="00124B67">
        <w:t xml:space="preserve">, tedy nasvícením univerzální signifikace zepředu, od první substance. </w:t>
      </w:r>
    </w:p>
    <w:p w14:paraId="0007ADD3" w14:textId="77777777" w:rsidR="00124B67" w:rsidRDefault="00124B67" w:rsidP="00124B67">
      <w:pPr>
        <w:pStyle w:val="Citace"/>
        <w:rPr>
          <w:lang w:val="cs-CZ"/>
        </w:rPr>
      </w:pPr>
      <w:r w:rsidRPr="008B37C4">
        <w:t>„</w:t>
      </w:r>
      <w:r>
        <w:rPr>
          <w:lang w:val="cs-CZ"/>
        </w:rPr>
        <w:t>Z toho je zřejmé, že druhé substance vypovídají univočně o první substanci (</w:t>
      </w:r>
      <w:r w:rsidRPr="00BC6155">
        <w:rPr>
          <w:i/>
        </w:rPr>
        <w:t>secundae</w:t>
      </w:r>
      <w:r>
        <w:t xml:space="preserve"> </w:t>
      </w:r>
      <w:r w:rsidRPr="00A967AB">
        <w:rPr>
          <w:i/>
        </w:rPr>
        <w:t>substantiae de primis univoce praedicantur</w:t>
      </w:r>
      <w:r>
        <w:rPr>
          <w:lang w:val="cs-CZ"/>
        </w:rPr>
        <w:t>). Pojmenování a definice je dána jako substance, a stejně tak i diference.“ </w:t>
      </w:r>
      <w:r w:rsidRPr="00273106">
        <w:rPr>
          <w:rStyle w:val="Znakapoznpodarou"/>
        </w:rPr>
        <w:footnoteReference w:id="24"/>
      </w:r>
    </w:p>
    <w:p w14:paraId="6ACE512F" w14:textId="13486A08" w:rsidR="006C33F6" w:rsidRDefault="00124B67" w:rsidP="00894F26">
      <w:r w:rsidRPr="00273106">
        <w:t>Existence první substance</w:t>
      </w:r>
      <w:r w:rsidR="00A70FA4">
        <w:fldChar w:fldCharType="begin"/>
      </w:r>
      <w:r w:rsidR="00A70FA4">
        <w:instrText xml:space="preserve"> XE "</w:instrText>
      </w:r>
      <w:r w:rsidR="00A70FA4" w:rsidRPr="00DE2A32">
        <w:instrText>substance</w:instrText>
      </w:r>
      <w:r w:rsidR="00EA0942">
        <w:instrText>:první</w:instrText>
      </w:r>
      <w:r w:rsidR="00A70FA4">
        <w:instrText xml:space="preserve">" </w:instrText>
      </w:r>
      <w:r w:rsidR="00A70FA4">
        <w:fldChar w:fldCharType="end"/>
      </w:r>
      <w:r w:rsidRPr="00273106">
        <w:t xml:space="preserve"> zakládá univoční signifikaci druhé substance a tím i její definici danou skrze specifickou diferenci. Univoční predikace existuje pouze ve vztahu, kdy druhé substance </w:t>
      </w:r>
      <w:r w:rsidR="08F56ED7">
        <w:t xml:space="preserve">jednoznačně </w:t>
      </w:r>
      <w:r w:rsidRPr="00273106">
        <w:t>signifikují první substance (</w:t>
      </w:r>
      <w:r w:rsidRPr="00273106">
        <w:rPr>
          <w:i/>
        </w:rPr>
        <w:t>univoce praedicantur</w:t>
      </w:r>
      <w:r>
        <w:t xml:space="preserve">). Tuto </w:t>
      </w:r>
      <w:r w:rsidR="081B6F55">
        <w:t xml:space="preserve">impozici </w:t>
      </w:r>
      <w:r>
        <w:t xml:space="preserve">významu směrem od reálné první substance </w:t>
      </w:r>
      <w:r w:rsidRPr="00273106">
        <w:t xml:space="preserve">označuje spis </w:t>
      </w:r>
      <w:r w:rsidRPr="000D0B19">
        <w:rPr>
          <w:i/>
        </w:rPr>
        <w:t>Kategorie</w:t>
      </w:r>
      <w:r w:rsidRPr="00273106">
        <w:t xml:space="preserve"> za </w:t>
      </w:r>
      <w:r>
        <w:t xml:space="preserve">kategoriální </w:t>
      </w:r>
      <w:r w:rsidRPr="00273106">
        <w:t xml:space="preserve">predikaci </w:t>
      </w:r>
      <w:r w:rsidR="08826819">
        <w:t xml:space="preserve">v hyparchickém modu </w:t>
      </w:r>
      <w:r w:rsidR="08826819" w:rsidRPr="08826819">
        <w:rPr>
          <w:i/>
        </w:rPr>
        <w:t>per prius</w:t>
      </w:r>
      <w:r w:rsidR="08826819">
        <w:t xml:space="preserve"> </w:t>
      </w:r>
      <w:r w:rsidRPr="00273106">
        <w:t>(</w:t>
      </w:r>
      <w:r w:rsidR="08826819">
        <w:t xml:space="preserve">OBJ I, </w:t>
      </w:r>
      <w:r w:rsidR="084E7952">
        <w:t>kap. 1.3</w:t>
      </w:r>
      <w:r w:rsidRPr="00273106">
        <w:t xml:space="preserve">). </w:t>
      </w:r>
      <w:r>
        <w:t xml:space="preserve">Pokud platí, že se v tomto </w:t>
      </w:r>
      <w:r w:rsidR="08603967">
        <w:t xml:space="preserve">univerzálním </w:t>
      </w:r>
      <w:r>
        <w:t xml:space="preserve">vztahu vypovídá adekvátně o první </w:t>
      </w:r>
      <w:r w:rsidR="08603967">
        <w:t xml:space="preserve">hyparchické </w:t>
      </w:r>
      <w:r>
        <w:t>substanci</w:t>
      </w:r>
      <w:r w:rsidR="00EA0942">
        <w:fldChar w:fldCharType="begin"/>
      </w:r>
      <w:r w:rsidR="00EA0942">
        <w:instrText xml:space="preserve"> XE "</w:instrText>
      </w:r>
      <w:r w:rsidR="00EA0942" w:rsidRPr="00B50CCF">
        <w:instrText>predikace:</w:instrText>
      </w:r>
      <w:r w:rsidR="00EA0942">
        <w:instrText xml:space="preserve">hyparchická" </w:instrText>
      </w:r>
      <w:r w:rsidR="00EA0942">
        <w:fldChar w:fldCharType="end"/>
      </w:r>
      <w:r>
        <w:t xml:space="preserve">, pak </w:t>
      </w:r>
      <w:r w:rsidRPr="00273106">
        <w:t xml:space="preserve">nominální definice nese </w:t>
      </w:r>
      <w:r w:rsidR="081B6F55">
        <w:t xml:space="preserve">také </w:t>
      </w:r>
      <w:r w:rsidRPr="00273106">
        <w:t xml:space="preserve">kategoriální </w:t>
      </w:r>
      <w:r w:rsidR="08EE64BC">
        <w:t>a tím i univoční</w:t>
      </w:r>
      <w:r>
        <w:t xml:space="preserve"> </w:t>
      </w:r>
      <w:r w:rsidRPr="00273106">
        <w:t>význam rodu, druhu a jejich diference</w:t>
      </w:r>
      <w:r>
        <w:t>.</w:t>
      </w:r>
      <w:r w:rsidRPr="00273106">
        <w:t xml:space="preserve"> </w:t>
      </w:r>
      <w:r w:rsidR="08CA4B52">
        <w:t>Nyní otočme dráhu náhledu a predikujme univerzální supozici podle (</w:t>
      </w:r>
      <w:r w:rsidR="08CA4B52" w:rsidRPr="00273106">
        <w:rPr>
          <w:i/>
        </w:rPr>
        <w:t>Cat</w:t>
      </w:r>
      <w:r w:rsidR="08CA4B52" w:rsidRPr="00273106">
        <w:t>. 2a14–15</w:t>
      </w:r>
      <w:r w:rsidR="08CA4B52">
        <w:rPr>
          <w:rStyle w:val="Zkladntext158dkovn0pt"/>
          <w:i/>
          <w:color w:val="auto"/>
          <w:spacing w:val="0"/>
          <w:sz w:val="24"/>
          <w:lang w:val="cs-CZ"/>
        </w:rPr>
        <w:fldChar w:fldCharType="begin"/>
      </w:r>
      <w:r w:rsidR="08CA4B52">
        <w:instrText xml:space="preserve"> XE "Aristoteles:</w:instrText>
      </w:r>
      <w:r w:rsidR="08CA4B52" w:rsidRPr="00E16CEB">
        <w:rPr>
          <w:i/>
        </w:rPr>
        <w:instrText>Cat</w:instrText>
      </w:r>
      <w:r w:rsidR="08CA4B52" w:rsidRPr="00273106">
        <w:instrText>. 2a14–15</w:instrText>
      </w:r>
      <w:r w:rsidR="08CA4B52">
        <w:instrText xml:space="preserve">" </w:instrText>
      </w:r>
      <w:r w:rsidR="08CA4B52">
        <w:rPr>
          <w:rStyle w:val="Zkladntext158dkovn0pt"/>
          <w:i/>
          <w:color w:val="auto"/>
          <w:spacing w:val="0"/>
          <w:sz w:val="24"/>
          <w:lang w:val="cs-CZ"/>
        </w:rPr>
        <w:fldChar w:fldCharType="end"/>
      </w:r>
      <w:r w:rsidR="08CA4B52">
        <w:t xml:space="preserve">). Dostaneme nový typ predikace </w:t>
      </w:r>
      <w:r w:rsidR="08CA4B52" w:rsidRPr="008E2A69">
        <w:rPr>
          <w:i/>
        </w:rPr>
        <w:t>per prius</w:t>
      </w:r>
      <w:r w:rsidR="08CA4B52">
        <w:t xml:space="preserve">, protože dialektik stojí na straně univerzálního významu a zjišťuje jeho </w:t>
      </w:r>
      <w:r w:rsidR="08CA4B52">
        <w:lastRenderedPageBreak/>
        <w:t xml:space="preserve">vztah k první substanci. </w:t>
      </w:r>
      <w:r w:rsidR="081B6F55">
        <w:t xml:space="preserve">Kategoriální supozice významu </w:t>
      </w:r>
      <w:r w:rsidR="089766AB">
        <w:t xml:space="preserve">daná v modu </w:t>
      </w:r>
      <w:r w:rsidR="089766AB" w:rsidRPr="089766AB">
        <w:rPr>
          <w:i/>
        </w:rPr>
        <w:t xml:space="preserve">per prius </w:t>
      </w:r>
      <w:r w:rsidR="081B6F55">
        <w:t xml:space="preserve">je tedy možná jen tehdy, když je etablována impozice významu od reálné první substance. </w:t>
      </w:r>
      <w:r w:rsidR="08222646">
        <w:t>V k</w:t>
      </w:r>
      <w:r w:rsidR="081B6F55">
        <w:t>ate</w:t>
      </w:r>
      <w:r w:rsidR="08222646">
        <w:t xml:space="preserve">goriální </w:t>
      </w:r>
      <w:r w:rsidR="081B6F55">
        <w:t>predik</w:t>
      </w:r>
      <w:r w:rsidR="08222646">
        <w:t xml:space="preserve">aci </w:t>
      </w:r>
      <w:r w:rsidR="084678C6">
        <w:t xml:space="preserve">dané </w:t>
      </w:r>
      <w:r w:rsidR="084678C6" w:rsidRPr="084678C6">
        <w:rPr>
          <w:i/>
        </w:rPr>
        <w:t>per prius</w:t>
      </w:r>
      <w:r w:rsidR="084678C6">
        <w:t xml:space="preserve"> </w:t>
      </w:r>
      <w:r w:rsidR="081B6F55">
        <w:t xml:space="preserve">platí, že mrtvola není člověk, ale v modu ekvivoční supozice dané čistě sématicky a gramaticky </w:t>
      </w:r>
      <w:r w:rsidR="084678C6">
        <w:t>dané v</w:t>
      </w:r>
      <w:r w:rsidR="00783B21">
        <w:t xml:space="preserve"> logickém </w:t>
      </w:r>
      <w:r w:rsidR="084678C6">
        <w:t xml:space="preserve">modu </w:t>
      </w:r>
      <w:r w:rsidR="084678C6" w:rsidRPr="084678C6">
        <w:rPr>
          <w:i/>
        </w:rPr>
        <w:t>per posterius</w:t>
      </w:r>
      <w:r w:rsidR="084678C6">
        <w:t xml:space="preserve"> </w:t>
      </w:r>
      <w:r w:rsidR="081B6F55">
        <w:t xml:space="preserve">to lze říci. </w:t>
      </w:r>
      <w:r w:rsidR="00741A51">
        <w:t xml:space="preserve">Tento logicky pravdivý výrok, to je ve skutečnosti metafyzicky falešný výrok. </w:t>
      </w:r>
      <w:r w:rsidR="081950FF">
        <w:t xml:space="preserve">Hyparchicky orientovaná </w:t>
      </w:r>
      <w:r w:rsidRPr="00273106">
        <w:t xml:space="preserve">definice </w:t>
      </w:r>
      <w:r>
        <w:t xml:space="preserve">v rámci impozice </w:t>
      </w:r>
      <w:r w:rsidR="081950FF">
        <w:t xml:space="preserve">dané </w:t>
      </w:r>
      <w:r w:rsidR="08787ECE">
        <w:t xml:space="preserve">metafyzickým </w:t>
      </w:r>
      <w:r w:rsidR="081950FF">
        <w:t xml:space="preserve">dativem </w:t>
      </w:r>
      <w:r w:rsidRPr="00273106">
        <w:t xml:space="preserve">zajišťuje, že druhé substance jsou predikovány o realitě v rámci kategoriálně a akcidenciálně daných vztahů. </w:t>
      </w:r>
      <w:r>
        <w:t>Pokud tato vazba druhé substance na první chybí, pak je signifikace dána jen nominálně a ekvivočně</w:t>
      </w:r>
      <w:r w:rsidR="00EE4D40">
        <w:fldChar w:fldCharType="begin"/>
      </w:r>
      <w:r w:rsidR="00EE4D40">
        <w:instrText xml:space="preserve"> XE "</w:instrText>
      </w:r>
      <w:r w:rsidR="00EE4D40" w:rsidRPr="00B50CCF">
        <w:instrText>predikace:</w:instrText>
      </w:r>
      <w:r w:rsidR="00EE4D40">
        <w:instrText xml:space="preserve">nominální" </w:instrText>
      </w:r>
      <w:r w:rsidR="00EE4D40">
        <w:fldChar w:fldCharType="end"/>
      </w:r>
      <w:r w:rsidR="00741A51">
        <w:t xml:space="preserve">. </w:t>
      </w:r>
      <w:r w:rsidR="00741A51">
        <w:rPr>
          <w:szCs w:val="24"/>
          <w:lang w:val="de-DE"/>
        </w:rPr>
        <w:t>Takové vágní pojmenování (</w:t>
      </w:r>
      <w:r w:rsidR="00741A51" w:rsidRPr="00CB618B">
        <w:rPr>
          <w:i/>
          <w:szCs w:val="24"/>
          <w:lang w:val="de-DE"/>
        </w:rPr>
        <w:t>oratio</w:t>
      </w:r>
      <w:r w:rsidR="00741A51">
        <w:rPr>
          <w:szCs w:val="24"/>
          <w:lang w:val="de-DE"/>
        </w:rPr>
        <w:t>) nemůže založit kritickou vědu a metafyzik</w:t>
      </w:r>
      <w:r w:rsidR="00CE5704">
        <w:rPr>
          <w:szCs w:val="24"/>
          <w:lang w:val="de-DE"/>
        </w:rPr>
        <w:t>u</w:t>
      </w:r>
      <w:r w:rsidR="00741A51">
        <w:rPr>
          <w:szCs w:val="24"/>
          <w:lang w:val="de-DE"/>
        </w:rPr>
        <w:t>, maximálně její moderní verzi</w:t>
      </w:r>
      <w:r w:rsidR="00E57376">
        <w:rPr>
          <w:szCs w:val="24"/>
          <w:lang w:val="de-DE"/>
        </w:rPr>
        <w:t xml:space="preserve"> v modu epochální </w:t>
      </w:r>
      <w:r w:rsidR="00E57376" w:rsidRPr="00E57376">
        <w:rPr>
          <w:i/>
          <w:szCs w:val="24"/>
          <w:lang w:val="de-DE"/>
        </w:rPr>
        <w:t>Irre</w:t>
      </w:r>
      <w:r w:rsidR="00E57376">
        <w:rPr>
          <w:i/>
          <w:szCs w:val="24"/>
          <w:lang w:val="de-DE"/>
        </w:rPr>
        <w:fldChar w:fldCharType="begin"/>
      </w:r>
      <w:r w:rsidR="00E57376">
        <w:instrText xml:space="preserve"> XE "</w:instrText>
      </w:r>
      <w:r w:rsidR="00E57376" w:rsidRPr="00021D32">
        <w:rPr>
          <w:i/>
          <w:szCs w:val="24"/>
          <w:lang w:val="de-DE"/>
        </w:rPr>
        <w:instrText>Irre</w:instrText>
      </w:r>
      <w:r w:rsidR="00E57376">
        <w:instrText xml:space="preserve">" </w:instrText>
      </w:r>
      <w:r w:rsidR="00E57376">
        <w:rPr>
          <w:i/>
          <w:szCs w:val="24"/>
          <w:lang w:val="de-DE"/>
        </w:rPr>
        <w:fldChar w:fldCharType="end"/>
      </w:r>
      <w:r w:rsidR="00741A51">
        <w:rPr>
          <w:szCs w:val="24"/>
          <w:lang w:val="de-DE"/>
        </w:rPr>
        <w:t xml:space="preserve">. </w:t>
      </w:r>
      <w:r>
        <w:t>Supozice směrem od druhé substance k první nemá sama o sobě univoční charakter, jak to dogm</w:t>
      </w:r>
      <w:r w:rsidR="000D0B19">
        <w:t>aticky tvrdili tehdejší neoplato</w:t>
      </w:r>
      <w:r w:rsidR="088A240B">
        <w:t>nští modernisté a škola Nominales.</w:t>
      </w:r>
      <w:r w:rsidR="088A240B" w:rsidRPr="00273106">
        <w:rPr>
          <w:rStyle w:val="Znakapoznpodarou"/>
          <w:lang w:eastAsia="en-US"/>
        </w:rPr>
        <w:footnoteReference w:id="25"/>
      </w:r>
      <w:r w:rsidR="088A240B">
        <w:t xml:space="preserve"> </w:t>
      </w:r>
      <w:r w:rsidR="08057FD9">
        <w:t xml:space="preserve">Podle Abelarda není možné rozhodnout jen ze samotné supozice, zda je predikace determinována </w:t>
      </w:r>
      <w:r w:rsidR="08057FD9" w:rsidRPr="08057FD9">
        <w:rPr>
          <w:i/>
        </w:rPr>
        <w:t>per prius</w:t>
      </w:r>
      <w:r w:rsidR="08057FD9">
        <w:t xml:space="preserve"> a je tedy daná hyparchicky, nebo je určena jen </w:t>
      </w:r>
      <w:r w:rsidR="08057FD9" w:rsidRPr="08057FD9">
        <w:rPr>
          <w:i/>
        </w:rPr>
        <w:t>per posterius</w:t>
      </w:r>
      <w:r w:rsidR="08057FD9">
        <w:t xml:space="preserve"> a je daná jen nominálně. </w:t>
      </w:r>
      <w:r w:rsidR="0871606A">
        <w:t xml:space="preserve">Pak je jasné, že </w:t>
      </w:r>
      <w:r w:rsidR="08EE64BC">
        <w:t xml:space="preserve">kvalita a </w:t>
      </w:r>
      <w:r w:rsidR="08EE64BC" w:rsidRPr="00273106">
        <w:t>rozsažnost</w:t>
      </w:r>
      <w:r w:rsidR="08EE64BC">
        <w:t xml:space="preserve"> </w:t>
      </w:r>
      <w:r w:rsidR="08CA3723">
        <w:t xml:space="preserve">a hypostázované akcidenty </w:t>
      </w:r>
      <w:r w:rsidR="000C3AB3">
        <w:t>neoplatoniků vznikají</w:t>
      </w:r>
      <w:r w:rsidR="08EE64BC">
        <w:t xml:space="preserve"> až na úrovni signifikace</w:t>
      </w:r>
      <w:r w:rsidR="085C6B71">
        <w:t xml:space="preserve"> jako </w:t>
      </w:r>
      <w:r w:rsidR="0871606A">
        <w:t xml:space="preserve">nominální </w:t>
      </w:r>
      <w:r w:rsidR="08EE64BC">
        <w:t>supozice</w:t>
      </w:r>
      <w:r w:rsidR="085C6B71">
        <w:t>. Kladení významu</w:t>
      </w:r>
      <w:r w:rsidR="08EE64BC">
        <w:t xml:space="preserve"> těchto univerzálií </w:t>
      </w:r>
      <w:r w:rsidR="08E037ED">
        <w:t xml:space="preserve">v rámci logické supozice </w:t>
      </w:r>
      <w:r w:rsidR="08EE64BC">
        <w:t xml:space="preserve">jde </w:t>
      </w:r>
      <w:r w:rsidR="00BC1580">
        <w:t xml:space="preserve">opačně, </w:t>
      </w:r>
      <w:r w:rsidR="08EE64BC">
        <w:t xml:space="preserve">od aktu mysli směrem k </w:t>
      </w:r>
      <w:r w:rsidR="085B1DD2">
        <w:t>první substanci</w:t>
      </w:r>
      <w:r w:rsidR="085C6B71">
        <w:t xml:space="preserve">, což je ekvivoční </w:t>
      </w:r>
      <w:r w:rsidR="00F60C75">
        <w:t xml:space="preserve">supozice, </w:t>
      </w:r>
      <w:r w:rsidR="085C6B71">
        <w:t>a ne univoční impozice</w:t>
      </w:r>
      <w:r w:rsidR="08EE64BC">
        <w:fldChar w:fldCharType="begin"/>
      </w:r>
      <w:r w:rsidR="08EE64BC">
        <w:instrText xml:space="preserve"> XE "supozice:Abelard" </w:instrText>
      </w:r>
      <w:r w:rsidR="08EE64BC">
        <w:fldChar w:fldCharType="end"/>
      </w:r>
      <w:r w:rsidR="08EE64BC">
        <w:t xml:space="preserve">. </w:t>
      </w:r>
      <w:r w:rsidR="00F60C75">
        <w:t xml:space="preserve">Připomeňme původní „probalistickou“ dráhu náhledu na jsoucno u prvních neoplatoniků, jako byl Simplikius (OBJ I, kap. 1.3.2). </w:t>
      </w:r>
      <w:r w:rsidR="00EB3795">
        <w:t>Intelekt již má univerzáln</w:t>
      </w:r>
      <w:r w:rsidR="001A7FBE">
        <w:t xml:space="preserve">í signifikaci </w:t>
      </w:r>
      <w:r w:rsidR="0847370C">
        <w:t>danou od hyparchicky predikovaného tělesa jako prvn</w:t>
      </w:r>
      <w:r w:rsidR="081A1CA9">
        <w:t xml:space="preserve">í substance. Nyní metafyzik </w:t>
      </w:r>
      <w:r w:rsidR="001A7FBE">
        <w:t>z</w:t>
      </w:r>
      <w:r w:rsidR="00EB3795">
        <w:t xml:space="preserve">jišťuje, zda </w:t>
      </w:r>
      <w:r w:rsidR="08246BCA">
        <w:t xml:space="preserve">univerzální význam opravdu zastupuje </w:t>
      </w:r>
      <w:r w:rsidR="00EB3795">
        <w:t>(</w:t>
      </w:r>
      <w:r w:rsidR="00EB3795" w:rsidRPr="00196EC5">
        <w:rPr>
          <w:i/>
        </w:rPr>
        <w:t>supponit pro</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rsidR="00EB3795">
        <w:t xml:space="preserve">) reálnou singulární první substanci. </w:t>
      </w:r>
      <w:r w:rsidR="08C82D54">
        <w:t xml:space="preserve">Metafyzik musí </w:t>
      </w:r>
      <w:r w:rsidR="088432CE">
        <w:t xml:space="preserve">absolutně pojatou </w:t>
      </w:r>
      <w:r w:rsidR="08C82D54">
        <w:t>supozici odmítnout jako nepravdivou</w:t>
      </w:r>
      <w:r w:rsidR="087705A8">
        <w:t xml:space="preserve">. </w:t>
      </w:r>
      <w:r w:rsidR="085761F4">
        <w:t>Tyto</w:t>
      </w:r>
      <w:r w:rsidR="087705A8">
        <w:t xml:space="preserve"> univerzálie </w:t>
      </w:r>
      <w:r w:rsidR="085761F4">
        <w:t>ve smyslu Lock</w:t>
      </w:r>
      <w:r w:rsidR="088951D8">
        <w:t>ov</w:t>
      </w:r>
      <w:r w:rsidR="087C5FEE">
        <w:t>ých</w:t>
      </w:r>
      <w:r w:rsidR="088951D8">
        <w:fldChar w:fldCharType="begin"/>
      </w:r>
      <w:r w:rsidR="088951D8">
        <w:instrText xml:space="preserve"> XE "</w:instrText>
      </w:r>
      <w:r w:rsidR="088951D8" w:rsidRPr="08100638">
        <w:instrText>Locke</w:instrText>
      </w:r>
      <w:r w:rsidR="089D66BF">
        <w:instrText>, J.</w:instrText>
      </w:r>
      <w:r w:rsidR="088951D8">
        <w:instrText xml:space="preserve">" </w:instrText>
      </w:r>
      <w:r w:rsidR="088951D8">
        <w:fldChar w:fldCharType="end"/>
      </w:r>
      <w:r w:rsidR="087C5FEE">
        <w:t xml:space="preserve"> </w:t>
      </w:r>
      <w:r w:rsidR="085761F4">
        <w:t>primárních kvalit (</w:t>
      </w:r>
      <w:r w:rsidR="085761F4">
        <w:rPr>
          <w:i/>
        </w:rPr>
        <w:t>primary qualities</w:t>
      </w:r>
      <w:r w:rsidR="085761F4">
        <w:rPr>
          <w:i/>
        </w:rPr>
        <w:fldChar w:fldCharType="begin"/>
      </w:r>
      <w:r w:rsidR="085761F4">
        <w:instrText xml:space="preserve"> XE "</w:instrText>
      </w:r>
      <w:r w:rsidR="088951D8">
        <w:rPr>
          <w:i/>
        </w:rPr>
        <w:instrText>primary qualities</w:instrText>
      </w:r>
      <w:r w:rsidR="085761F4">
        <w:instrText xml:space="preserve">" </w:instrText>
      </w:r>
      <w:r w:rsidR="085761F4">
        <w:rPr>
          <w:i/>
        </w:rPr>
        <w:fldChar w:fldCharType="end"/>
      </w:r>
      <w:r w:rsidR="085761F4">
        <w:t xml:space="preserve">) </w:t>
      </w:r>
      <w:r w:rsidR="087705A8">
        <w:t>nejsou metafyzicky pravdi</w:t>
      </w:r>
      <w:r w:rsidR="085761F4">
        <w:t xml:space="preserve">vé, ale </w:t>
      </w:r>
      <w:r w:rsidR="087705A8">
        <w:t>logicky ano</w:t>
      </w:r>
      <w:r w:rsidR="085761F4">
        <w:t xml:space="preserve"> (OBJ I, kap. 2.4.4</w:t>
      </w:r>
      <w:r w:rsidR="087705A8">
        <w:t>)</w:t>
      </w:r>
      <w:r w:rsidR="085761F4">
        <w:t xml:space="preserve">. Jejich </w:t>
      </w:r>
      <w:r w:rsidR="087705A8">
        <w:t>význam nemá žádné krytí z</w:t>
      </w:r>
      <w:r w:rsidR="087526EF">
        <w:t> </w:t>
      </w:r>
      <w:r w:rsidR="087705A8">
        <w:t>reality</w:t>
      </w:r>
      <w:r w:rsidR="087526EF">
        <w:t>, protože i</w:t>
      </w:r>
      <w:r w:rsidR="08C82D54">
        <w:t xml:space="preserve">mpozice významu </w:t>
      </w:r>
      <w:r w:rsidR="087526EF">
        <w:t>ne</w:t>
      </w:r>
      <w:r w:rsidR="087705A8">
        <w:t>j</w:t>
      </w:r>
      <w:r w:rsidR="087526EF">
        <w:t>d</w:t>
      </w:r>
      <w:r w:rsidR="087705A8">
        <w:t xml:space="preserve">e </w:t>
      </w:r>
      <w:r w:rsidR="086F05B6">
        <w:t xml:space="preserve">skrze </w:t>
      </w:r>
      <w:r w:rsidR="08787ECE">
        <w:t xml:space="preserve">metafyzický </w:t>
      </w:r>
      <w:r w:rsidR="086F05B6">
        <w:t>dativ</w:t>
      </w:r>
      <w:r w:rsidR="08D31795">
        <w:fldChar w:fldCharType="begin"/>
      </w:r>
      <w:r w:rsidR="08D31795">
        <w:instrText xml:space="preserve"> XE "</w:instrText>
      </w:r>
      <w:r w:rsidR="08787ECE">
        <w:rPr>
          <w:i/>
        </w:rPr>
        <w:instrText>dativus metaphysicus</w:instrText>
      </w:r>
      <w:r w:rsidR="08D31795">
        <w:instrText xml:space="preserve">" </w:instrText>
      </w:r>
      <w:r w:rsidR="08D31795">
        <w:fldChar w:fldCharType="end"/>
      </w:r>
      <w:r w:rsidR="086F05B6">
        <w:t xml:space="preserve"> </w:t>
      </w:r>
      <w:r w:rsidR="087705A8">
        <w:t xml:space="preserve">od </w:t>
      </w:r>
      <w:r w:rsidR="086F05B6">
        <w:t>první substance</w:t>
      </w:r>
      <w:r w:rsidR="08C82D54">
        <w:t>. Substanciálně pojaté</w:t>
      </w:r>
      <w:r w:rsidR="08C82D54" w:rsidRPr="08EE64BC">
        <w:t xml:space="preserve"> </w:t>
      </w:r>
      <w:r w:rsidR="08C82D54">
        <w:t xml:space="preserve">kvalitě a </w:t>
      </w:r>
      <w:r w:rsidR="08C82D54" w:rsidRPr="00273106">
        <w:t>rozsažnost</w:t>
      </w:r>
      <w:r w:rsidR="08C82D54">
        <w:t>i v realitě nic neodpovídá</w:t>
      </w:r>
      <w:r w:rsidR="087526EF">
        <w:t>, protože toto jsou obecná určení daná pouze v mysli</w:t>
      </w:r>
      <w:r w:rsidR="006C33F6">
        <w:t>.</w:t>
      </w:r>
    </w:p>
    <w:p w14:paraId="41A431CC" w14:textId="1731C5CD" w:rsidR="005D6F2E" w:rsidRDefault="006B6339" w:rsidP="006C33F6">
      <w:pPr>
        <w:ind w:firstLine="397"/>
      </w:pPr>
      <w:r w:rsidRPr="00273106">
        <w:lastRenderedPageBreak/>
        <w:t xml:space="preserve">Nominální esencialismus </w:t>
      </w:r>
      <w:r w:rsidR="00AD3690">
        <w:t xml:space="preserve">Abelardových současníků </w:t>
      </w:r>
      <w:r w:rsidR="0048659B">
        <w:t xml:space="preserve">usazených </w:t>
      </w:r>
      <w:r w:rsidR="00CC7BF6">
        <w:t xml:space="preserve">v neoplatonských školách Anselmových žáků v Laonu a jinde </w:t>
      </w:r>
      <w:r w:rsidRPr="00273106">
        <w:t>založil falešný kategoriální význam postavený mimo reálné vztahy</w:t>
      </w:r>
      <w:r w:rsidR="00247182">
        <w:t xml:space="preserve"> mezi </w:t>
      </w:r>
      <w:r w:rsidRPr="00273106">
        <w:t>aktuálními substancemi.</w:t>
      </w:r>
      <w:r w:rsidR="00BF2EA0">
        <w:t xml:space="preserve"> </w:t>
      </w:r>
      <w:r w:rsidR="00CB3E4F">
        <w:t>Abélard</w:t>
      </w:r>
      <w:r w:rsidR="00AD3690">
        <w:t xml:space="preserve"> nemůže ustoupit z </w:t>
      </w:r>
      <w:r w:rsidR="00F544C0">
        <w:t xml:space="preserve">aristotelského </w:t>
      </w:r>
      <w:r w:rsidR="00AD3690">
        <w:t>pojetí pravdy</w:t>
      </w:r>
      <w:r w:rsidR="08CF215B">
        <w:t xml:space="preserve">, protože by musel </w:t>
      </w:r>
      <w:r w:rsidR="08315842">
        <w:t>přijmout</w:t>
      </w:r>
      <w:r w:rsidR="00AD3690">
        <w:t xml:space="preserve"> </w:t>
      </w:r>
      <w:r w:rsidR="00A169D2">
        <w:t xml:space="preserve">zmatené </w:t>
      </w:r>
      <w:r w:rsidR="082C650E">
        <w:t xml:space="preserve">pojetí signifikace, které hájili </w:t>
      </w:r>
      <w:r w:rsidR="00A169D2">
        <w:t xml:space="preserve">první západní </w:t>
      </w:r>
      <w:r w:rsidR="082C650E">
        <w:t>modernisté</w:t>
      </w:r>
      <w:r w:rsidR="00AD3690">
        <w:t xml:space="preserve">. </w:t>
      </w:r>
      <w:r w:rsidR="004156BD">
        <w:t>Protože existuje první substance, p</w:t>
      </w:r>
      <w:r w:rsidR="000D0B19">
        <w:t>a</w:t>
      </w:r>
      <w:r w:rsidR="004156BD">
        <w:t xml:space="preserve">k lze založit impozici. </w:t>
      </w:r>
      <w:r w:rsidR="082C650E">
        <w:t xml:space="preserve">Protože je impozice, pak lze adekvátně, tedy pravdivě predikovat supozici. </w:t>
      </w:r>
      <w:r w:rsidR="005E2B61">
        <w:t>P</w:t>
      </w:r>
      <w:r w:rsidR="004156BD">
        <w:t>okud mám</w:t>
      </w:r>
      <w:r w:rsidR="00F62DF5">
        <w:t>e</w:t>
      </w:r>
      <w:r w:rsidR="004156BD">
        <w:t xml:space="preserve"> jen supozici v rámci </w:t>
      </w:r>
      <w:r w:rsidR="004156BD" w:rsidRPr="004156BD">
        <w:rPr>
          <w:i/>
        </w:rPr>
        <w:t>ad hoc</w:t>
      </w:r>
      <w:r w:rsidR="004156BD">
        <w:t xml:space="preserve"> daného významu </w:t>
      </w:r>
      <w:r w:rsidR="08600B2A">
        <w:t xml:space="preserve">daného </w:t>
      </w:r>
      <w:r w:rsidR="004156BD">
        <w:t xml:space="preserve">mimo existenci první substance, tak tento význam nemůže být univoční. </w:t>
      </w:r>
      <w:r w:rsidR="088A4202">
        <w:t xml:space="preserve">Tento dvojí pohled na hermeneutické </w:t>
      </w:r>
      <w:r w:rsidR="08525773" w:rsidRPr="00273106">
        <w:t xml:space="preserve">„jak“ </w:t>
      </w:r>
      <w:r w:rsidR="088A4202">
        <w:t>(</w:t>
      </w:r>
      <w:r w:rsidR="08525773" w:rsidRPr="00273106">
        <w:rPr>
          <w:i/>
        </w:rPr>
        <w:t>Wie</w:t>
      </w:r>
      <w:r w:rsidR="08525773" w:rsidRPr="00273106">
        <w:t xml:space="preserve">) je </w:t>
      </w:r>
      <w:r w:rsidR="08525773">
        <w:t>dána predikace</w:t>
      </w:r>
      <w:r w:rsidR="088A4202">
        <w:t>,</w:t>
      </w:r>
      <w:r w:rsidR="08525773" w:rsidRPr="00273106">
        <w:t xml:space="preserve"> zakládá klíčový rozdíl mezi </w:t>
      </w:r>
      <w:r w:rsidR="08525773">
        <w:t xml:space="preserve">vědeckým </w:t>
      </w:r>
      <w:r w:rsidR="08525773" w:rsidRPr="00F544C0">
        <w:rPr>
          <w:i/>
        </w:rPr>
        <w:t>demonstratio</w:t>
      </w:r>
      <w:r w:rsidR="08525773">
        <w:t xml:space="preserve">, logickým </w:t>
      </w:r>
      <w:r w:rsidR="08525773" w:rsidRPr="00273106">
        <w:rPr>
          <w:i/>
        </w:rPr>
        <w:t>enuntiatio</w:t>
      </w:r>
      <w:r w:rsidR="08525773">
        <w:rPr>
          <w:i/>
        </w:rPr>
        <w:fldChar w:fldCharType="begin"/>
      </w:r>
      <w:r w:rsidR="08525773">
        <w:instrText xml:space="preserve"> XE "</w:instrText>
      </w:r>
      <w:r w:rsidR="08525773" w:rsidRPr="0038128E">
        <w:rPr>
          <w:i/>
        </w:rPr>
        <w:instrText>enuntiatio:</w:instrText>
      </w:r>
      <w:r w:rsidR="08525773" w:rsidRPr="0038128E">
        <w:instrText>Abelard</w:instrText>
      </w:r>
      <w:r w:rsidR="08525773">
        <w:instrText xml:space="preserve">" </w:instrText>
      </w:r>
      <w:r w:rsidR="08525773">
        <w:rPr>
          <w:i/>
        </w:rPr>
        <w:fldChar w:fldCharType="end"/>
      </w:r>
      <w:r w:rsidR="08525773" w:rsidRPr="00273106">
        <w:t xml:space="preserve"> a </w:t>
      </w:r>
      <w:r w:rsidR="08525773">
        <w:t xml:space="preserve">verbálním </w:t>
      </w:r>
      <w:r w:rsidR="08525773" w:rsidRPr="00273106">
        <w:rPr>
          <w:i/>
        </w:rPr>
        <w:t>significatio</w:t>
      </w:r>
      <w:r w:rsidR="08525773" w:rsidRPr="00273106">
        <w:t>.</w:t>
      </w:r>
      <w:r w:rsidR="08525773">
        <w:t xml:space="preserve"> </w:t>
      </w:r>
      <w:r w:rsidR="084517EA">
        <w:t>Pro Abelarda, Averroese a první averroismus nemůže být pravdivý výrok: „Mrtvola je člověk“</w:t>
      </w:r>
      <w:r w:rsidR="08597B57">
        <w:fldChar w:fldCharType="begin"/>
      </w:r>
      <w:r w:rsidR="08597B57">
        <w:instrText xml:space="preserve"> XE "</w:instrText>
      </w:r>
      <w:r w:rsidR="08597B57" w:rsidRPr="081E4F21">
        <w:instrText>sofisma člověk-mrtvola</w:instrText>
      </w:r>
      <w:r w:rsidR="08597B57">
        <w:instrText xml:space="preserve">" </w:instrText>
      </w:r>
      <w:r w:rsidR="08597B57">
        <w:fldChar w:fldCharType="end"/>
      </w:r>
      <w:r w:rsidR="084517EA">
        <w:t xml:space="preserve">. </w:t>
      </w:r>
      <w:r w:rsidR="08CE1B3E">
        <w:t>M</w:t>
      </w:r>
      <w:r w:rsidR="008A7F2C">
        <w:t>rtvola je člověkem pouze v modu plu</w:t>
      </w:r>
      <w:r w:rsidR="084517EA">
        <w:t>ri</w:t>
      </w:r>
      <w:r w:rsidR="008A7F2C">
        <w:t>vocity, která není kategoriálně danou predikací</w:t>
      </w:r>
      <w:r w:rsidR="00857053">
        <w:t xml:space="preserve">, protože jen ta </w:t>
      </w:r>
      <w:r w:rsidR="008A7F2C">
        <w:t xml:space="preserve">může založit vědecké poznání. </w:t>
      </w:r>
      <w:r w:rsidR="08600B2A">
        <w:t xml:space="preserve">Metafyzicky adekvátní a tedy pravdivý význam člověka lze odvodit pouze od osoby jako existující první substance. </w:t>
      </w:r>
      <w:r w:rsidR="08B871CE">
        <w:t xml:space="preserve">Abelardův spis </w:t>
      </w:r>
      <w:r w:rsidR="08B871CE" w:rsidRPr="009134B1">
        <w:rPr>
          <w:i/>
        </w:rPr>
        <w:t>Dialectica</w:t>
      </w:r>
      <w:r w:rsidR="08B871CE">
        <w:t xml:space="preserve"> předkládá tuto argumentaci v tezi „tato mrtvola je zemřelý člověk“ (</w:t>
      </w:r>
      <w:r w:rsidR="08B871CE" w:rsidRPr="00273106">
        <w:rPr>
          <w:i/>
        </w:rPr>
        <w:t>hoc cadaver est homo mortuus</w:t>
      </w:r>
      <w:r w:rsidR="08B871CE">
        <w:t>)</w:t>
      </w:r>
      <w:r w:rsidR="08B871CE" w:rsidRPr="00273106">
        <w:t>.</w:t>
      </w:r>
      <w:r w:rsidR="08B871CE" w:rsidRPr="00273106">
        <w:rPr>
          <w:rStyle w:val="Znakapoznpodarou"/>
        </w:rPr>
        <w:footnoteReference w:id="26"/>
      </w:r>
      <w:r w:rsidR="08B871CE">
        <w:t xml:space="preserve"> Aristotelik kritizuje univoční</w:t>
      </w:r>
      <w:r w:rsidR="08B871CE" w:rsidRPr="00273106">
        <w:t xml:space="preserve"> užití</w:t>
      </w:r>
      <w:r w:rsidR="08B871CE">
        <w:t xml:space="preserve"> supozice, </w:t>
      </w:r>
      <w:r w:rsidR="08B871CE" w:rsidRPr="00273106">
        <w:t xml:space="preserve">což zavedl </w:t>
      </w:r>
      <w:r w:rsidR="089B46E3">
        <w:t xml:space="preserve">neoplatonik </w:t>
      </w:r>
      <w:r w:rsidR="08B871CE">
        <w:t xml:space="preserve">Gilbert </w:t>
      </w:r>
      <w:r w:rsidR="002239AA">
        <w:t>de La Porrée</w:t>
      </w:r>
      <w:r w:rsidR="08B871CE" w:rsidRPr="00273106">
        <w:t xml:space="preserve"> skrze hypostázovanou subsistenci (</w:t>
      </w:r>
      <w:r w:rsidR="08B871CE" w:rsidRPr="00273106">
        <w:rPr>
          <w:i/>
          <w:color w:val="000000"/>
        </w:rPr>
        <w:t>aliquid, id est subsistens</w:t>
      </w:r>
      <w:r w:rsidR="08315766">
        <w:t>; kap. 1</w:t>
      </w:r>
      <w:r w:rsidR="08B871CE" w:rsidRPr="00273106">
        <w:t>.4).</w:t>
      </w:r>
      <w:r w:rsidR="08B871CE">
        <w:t xml:space="preserve"> </w:t>
      </w:r>
      <w:r w:rsidR="08600B2A">
        <w:t xml:space="preserve">Logikovi stačí k určení člověka pouze mrtvola, protože pracuje v řádu abstrakce a provádí pouhou supozici významu. </w:t>
      </w:r>
      <w:r w:rsidR="00247182">
        <w:t>Hyparchickou vazbu</w:t>
      </w:r>
      <w:r w:rsidR="00F62DF5">
        <w:t>,</w:t>
      </w:r>
      <w:r w:rsidR="00247182">
        <w:t xml:space="preserve"> a tím i univoční impozici významu od reálné věci</w:t>
      </w:r>
      <w:r w:rsidR="00F62DF5">
        <w:t>,</w:t>
      </w:r>
      <w:r w:rsidR="00247182">
        <w:t xml:space="preserve"> </w:t>
      </w:r>
      <w:r w:rsidR="00247182" w:rsidRPr="00273106">
        <w:t>postihuje podle Abelarda pouze kategor</w:t>
      </w:r>
      <w:r w:rsidR="00F62DF5">
        <w:t>i</w:t>
      </w:r>
      <w:r w:rsidR="00247182" w:rsidRPr="00273106">
        <w:t xml:space="preserve">ální predikace </w:t>
      </w:r>
      <w:r w:rsidR="0898453A">
        <w:t xml:space="preserve">signifikující hyparchické bytí </w:t>
      </w:r>
      <w:r w:rsidR="00247182" w:rsidRPr="00273106">
        <w:t>první substa</w:t>
      </w:r>
      <w:r w:rsidR="0898453A">
        <w:t xml:space="preserve">nce. Jen takto daný kategoriální význam druhé substance </w:t>
      </w:r>
      <w:r w:rsidR="00247182" w:rsidRPr="00273106">
        <w:t>zakládá univoční v</w:t>
      </w:r>
      <w:r w:rsidR="002A07B4">
        <w:t>ýznam a vědecké poznání reality (</w:t>
      </w:r>
      <w:r w:rsidR="002A07B4" w:rsidRPr="002A07B4">
        <w:rPr>
          <w:i/>
        </w:rPr>
        <w:t>demonstratio</w:t>
      </w:r>
      <w:r w:rsidR="002A07B4">
        <w:t xml:space="preserve">). Logik a matematik již pracuje v řádu abstrakce a jeho </w:t>
      </w:r>
      <w:r w:rsidR="08CA4406">
        <w:t xml:space="preserve">logickou </w:t>
      </w:r>
      <w:r w:rsidR="002A07B4">
        <w:t xml:space="preserve">pravdu </w:t>
      </w:r>
      <w:r w:rsidR="002A07B4" w:rsidRPr="00273106">
        <w:t>(</w:t>
      </w:r>
      <w:r w:rsidR="002A07B4" w:rsidRPr="00273106">
        <w:rPr>
          <w:i/>
        </w:rPr>
        <w:t>enuntiatio</w:t>
      </w:r>
      <w:r w:rsidR="002A07B4">
        <w:rPr>
          <w:i/>
        </w:rPr>
        <w:fldChar w:fldCharType="begin"/>
      </w:r>
      <w:r w:rsidR="002A07B4">
        <w:instrText xml:space="preserve"> XE "</w:instrText>
      </w:r>
      <w:r w:rsidR="002A07B4" w:rsidRPr="0038128E">
        <w:rPr>
          <w:i/>
        </w:rPr>
        <w:instrText>enuntiatio:</w:instrText>
      </w:r>
      <w:r w:rsidR="002A07B4" w:rsidRPr="0038128E">
        <w:instrText>Abelard</w:instrText>
      </w:r>
      <w:r w:rsidR="002A07B4">
        <w:instrText xml:space="preserve">" </w:instrText>
      </w:r>
      <w:r w:rsidR="002A07B4">
        <w:rPr>
          <w:i/>
        </w:rPr>
        <w:fldChar w:fldCharType="end"/>
      </w:r>
      <w:r w:rsidR="002A07B4" w:rsidRPr="00273106">
        <w:t>)</w:t>
      </w:r>
      <w:r w:rsidR="085241A5">
        <w:t xml:space="preserve"> </w:t>
      </w:r>
      <w:r w:rsidR="002A07B4">
        <w:t>neurčují kauzální vztahy mezi prvními substancemi</w:t>
      </w:r>
      <w:r w:rsidR="00247182" w:rsidRPr="00273106">
        <w:t xml:space="preserve">. </w:t>
      </w:r>
      <w:r w:rsidR="08DC66FA" w:rsidRPr="00273106">
        <w:t>V</w:t>
      </w:r>
      <w:r w:rsidR="0849000C" w:rsidRPr="00273106">
        <w:t>erbální signifikace na úrovni pouhého pojmenování (</w:t>
      </w:r>
      <w:r w:rsidR="0849000C" w:rsidRPr="00273106">
        <w:rPr>
          <w:i/>
        </w:rPr>
        <w:t>nomen</w:t>
      </w:r>
      <w:r w:rsidR="0849000C" w:rsidRPr="00273106">
        <w:t xml:space="preserve">) určuje </w:t>
      </w:r>
      <w:r w:rsidR="001D65CE" w:rsidRPr="00273106">
        <w:t xml:space="preserve">první </w:t>
      </w:r>
      <w:r w:rsidR="0849000C" w:rsidRPr="00273106">
        <w:t>substanci</w:t>
      </w:r>
      <w:r w:rsidR="00284D16" w:rsidRPr="00273106">
        <w:t xml:space="preserve"> pouze ekvivočně, tedy v rámci gramatického a lexikálního určení slova</w:t>
      </w:r>
      <w:r w:rsidR="08DC66FA" w:rsidRPr="00273106">
        <w:t xml:space="preserve"> (</w:t>
      </w:r>
      <w:r w:rsidR="08DC66FA" w:rsidRPr="00273106">
        <w:rPr>
          <w:i/>
        </w:rPr>
        <w:t>significatio</w:t>
      </w:r>
      <w:r w:rsidR="08DC66FA" w:rsidRPr="00273106">
        <w:t>)</w:t>
      </w:r>
      <w:r w:rsidR="000E4365">
        <w:t>.</w:t>
      </w:r>
      <w:r w:rsidR="002A07B4">
        <w:t xml:space="preserve"> </w:t>
      </w:r>
      <w:r w:rsidR="00CB3E4F">
        <w:t>Abélard</w:t>
      </w:r>
      <w:r w:rsidR="00AD78A6">
        <w:t xml:space="preserve"> </w:t>
      </w:r>
      <w:r w:rsidR="002A07B4">
        <w:t xml:space="preserve">proto </w:t>
      </w:r>
      <w:r w:rsidR="00F15626" w:rsidRPr="00273106">
        <w:t xml:space="preserve">rozlišuje </w:t>
      </w:r>
      <w:r w:rsidR="00AD78A6">
        <w:t xml:space="preserve">čtyři </w:t>
      </w:r>
      <w:r w:rsidR="00F15626" w:rsidRPr="00273106">
        <w:t>složky signifikace</w:t>
      </w:r>
      <w:r w:rsidR="086B1602" w:rsidRPr="00273106">
        <w:t xml:space="preserve"> dané skrze promluvu</w:t>
      </w:r>
      <w:r w:rsidR="00871B1D">
        <w:t>. Za prvé</w:t>
      </w:r>
      <w:r w:rsidR="00F6756F">
        <w:t>, s</w:t>
      </w:r>
      <w:r w:rsidR="00F15626" w:rsidRPr="00273106">
        <w:t xml:space="preserve">mysluplnou řeč, která je sama o sobě kompletní co do významu a nepotřebuje doplňující </w:t>
      </w:r>
      <w:r w:rsidR="00F15626" w:rsidRPr="00273106">
        <w:lastRenderedPageBreak/>
        <w:t>otázky na straně adresáta (</w:t>
      </w:r>
      <w:r w:rsidR="00F15626" w:rsidRPr="00273106">
        <w:rPr>
          <w:i/>
        </w:rPr>
        <w:t>oratio</w:t>
      </w:r>
      <w:r w:rsidR="00871B1D">
        <w:t>). Za druhé</w:t>
      </w:r>
      <w:r w:rsidR="00F6756F">
        <w:t>, t</w:t>
      </w:r>
      <w:r w:rsidR="004F6528" w:rsidRPr="00273106">
        <w:t>ento projev může navíc obsahovat</w:t>
      </w:r>
      <w:r w:rsidR="00F15626" w:rsidRPr="00273106">
        <w:t xml:space="preserve"> kompletní gramatická určení vztažená k času a k modalitě pomocí určitých sloves (</w:t>
      </w:r>
      <w:r w:rsidR="00F15626" w:rsidRPr="00273106">
        <w:rPr>
          <w:i/>
        </w:rPr>
        <w:t>oratio perfect</w:t>
      </w:r>
      <w:r w:rsidR="0013558F">
        <w:rPr>
          <w:i/>
        </w:rPr>
        <w:t>a</w:t>
      </w:r>
      <w:r w:rsidR="00871B1D">
        <w:t>). Za třetí</w:t>
      </w:r>
      <w:r w:rsidR="00F6756F">
        <w:t>, s</w:t>
      </w:r>
      <w:r w:rsidR="00F15626" w:rsidRPr="00273106">
        <w:t xml:space="preserve">ignifikace daná skrze </w:t>
      </w:r>
      <w:r w:rsidR="00D54B4A">
        <w:t xml:space="preserve">logický </w:t>
      </w:r>
      <w:r w:rsidR="00F15626" w:rsidRPr="00273106">
        <w:t xml:space="preserve">výrok vyjadřuje pravdu a nepravdu </w:t>
      </w:r>
      <w:r w:rsidR="008D2AD4">
        <w:t xml:space="preserve">danou adekvací formálních vztahů mezi </w:t>
      </w:r>
      <w:r w:rsidR="00B94399">
        <w:t xml:space="preserve">univerzálními </w:t>
      </w:r>
      <w:r w:rsidR="008D2AD4">
        <w:t xml:space="preserve">esencemi </w:t>
      </w:r>
      <w:r w:rsidR="00F15626" w:rsidRPr="00273106">
        <w:t>(</w:t>
      </w:r>
      <w:r w:rsidR="00F15626"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38128E">
        <w:instrText>Abelard</w:instrText>
      </w:r>
      <w:r w:rsidR="00EE4D40">
        <w:instrText xml:space="preserve">" </w:instrText>
      </w:r>
      <w:r w:rsidR="00EE4D40">
        <w:rPr>
          <w:i/>
        </w:rPr>
        <w:fldChar w:fldCharType="end"/>
      </w:r>
      <w:r w:rsidR="00F15626" w:rsidRPr="00273106">
        <w:t xml:space="preserve">). </w:t>
      </w:r>
      <w:r w:rsidR="00D54B4A">
        <w:t>Za čtvrté</w:t>
      </w:r>
      <w:r w:rsidR="00F6756F">
        <w:t>, p</w:t>
      </w:r>
      <w:r w:rsidR="00D54B4A">
        <w:t xml:space="preserve">oznání pravdy zajišťuje vědecký deduktivní soud opřený o reálné působení první substance v realitě, jejíž kauzalitu predikuje střední člen soudu </w:t>
      </w:r>
      <w:r w:rsidR="006E1DC7">
        <w:t xml:space="preserve">na základě impozice </w:t>
      </w:r>
      <w:r w:rsidR="00D54B4A">
        <w:t>(</w:t>
      </w:r>
      <w:r w:rsidR="00D54B4A" w:rsidRPr="00D54B4A">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EE4D40">
        <w:instrText>belard</w:instrText>
      </w:r>
      <w:r w:rsidR="007A6052">
        <w:instrText xml:space="preserve">" </w:instrText>
      </w:r>
      <w:r w:rsidR="007A6052">
        <w:rPr>
          <w:i/>
        </w:rPr>
        <w:fldChar w:fldCharType="end"/>
      </w:r>
      <w:r w:rsidR="00AD78A6">
        <w:t>).</w:t>
      </w:r>
      <w:r w:rsidR="00A20DD4">
        <w:t xml:space="preserve"> </w:t>
      </w:r>
      <w:r w:rsidR="006E1DC7">
        <w:t xml:space="preserve">Tato </w:t>
      </w:r>
      <w:r w:rsidR="08A616DC" w:rsidRPr="00273106">
        <w:t>adekvace mezi věcí a myšlen</w:t>
      </w:r>
      <w:r w:rsidR="006E1DC7">
        <w:t>ím vypovídá kauzalitu hyparchických substancí v realitě, proto má plně deduktivní charakter</w:t>
      </w:r>
      <w:r w:rsidR="08A616DC" w:rsidRPr="00273106">
        <w:t>.</w:t>
      </w:r>
      <w:r w:rsidR="08A616DC">
        <w:t xml:space="preserve"> </w:t>
      </w:r>
      <w:r w:rsidR="002E77EE">
        <w:t>Plná p</w:t>
      </w:r>
      <w:r w:rsidR="005E03CF" w:rsidRPr="00273106">
        <w:t xml:space="preserve">ravda </w:t>
      </w:r>
      <w:r w:rsidR="002E77EE">
        <w:t xml:space="preserve">na úrovni vědeckého soudu </w:t>
      </w:r>
      <w:r w:rsidR="005E03CF" w:rsidRPr="00273106">
        <w:t>je dána vzhledem k první substanci</w:t>
      </w:r>
      <w:r w:rsidR="08A616DC">
        <w:t xml:space="preserve"> a n</w:t>
      </w:r>
      <w:r w:rsidR="00AD78A6" w:rsidRPr="00273106">
        <w:t>eúplná signifikace (</w:t>
      </w:r>
      <w:r w:rsidR="00AD78A6" w:rsidRPr="00273106">
        <w:rPr>
          <w:i/>
        </w:rPr>
        <w:t>oratio</w:t>
      </w:r>
      <w:r w:rsidR="00AD78A6" w:rsidRPr="00273106">
        <w:t>) podle Abelarda nezakládá pravdivý výrok.</w:t>
      </w:r>
      <w:r w:rsidR="00AD78A6">
        <w:t xml:space="preserve"> </w:t>
      </w:r>
      <w:r w:rsidR="00AE05E6" w:rsidRPr="00273106">
        <w:t>Smysluplná řeč sama o sobě ještě nemá hodnotu komplexní signifikace determinované kauzálně a v rámci deduktivního vědeckého soudu</w:t>
      </w:r>
      <w:r w:rsidR="00B60E75">
        <w:t xml:space="preserve"> (</w:t>
      </w:r>
      <w:r w:rsidR="00B60E75" w:rsidRPr="00D54B4A">
        <w:rPr>
          <w:i/>
        </w:rPr>
        <w:t>demonstratio</w:t>
      </w:r>
      <w:r w:rsidR="00B60E75">
        <w:t>)</w:t>
      </w:r>
      <w:r w:rsidR="0043380C">
        <w:t>.</w:t>
      </w:r>
      <w:r w:rsidR="00A20DD4">
        <w:t xml:space="preserve"> </w:t>
      </w:r>
      <w:r w:rsidR="08952620">
        <w:t xml:space="preserve">Vědecký důkaz </w:t>
      </w:r>
      <w:r w:rsidR="0043359E">
        <w:t>se impozicí od reálné první substance liší od logické predikace</w:t>
      </w:r>
      <w:r w:rsidR="00B60E75">
        <w:t xml:space="preserve"> </w:t>
      </w:r>
      <w:r w:rsidR="00B60E75" w:rsidRPr="00273106">
        <w:t>(</w:t>
      </w:r>
      <w:r w:rsidR="00B60E75" w:rsidRPr="00273106">
        <w:rPr>
          <w:i/>
        </w:rPr>
        <w:t>enuntiatio</w:t>
      </w:r>
      <w:r w:rsidR="00B60E75" w:rsidRPr="00273106">
        <w:t>)</w:t>
      </w:r>
      <w:r w:rsidR="08160A96">
        <w:t>. P</w:t>
      </w:r>
      <w:r w:rsidR="0043359E">
        <w:t xml:space="preserve">ravda </w:t>
      </w:r>
      <w:r w:rsidR="08817871">
        <w:t xml:space="preserve">logiky </w:t>
      </w:r>
      <w:r w:rsidR="0043359E">
        <w:t xml:space="preserve">je dána na úrovni abstrakce, tedy mimo impozici významu z reality. </w:t>
      </w:r>
      <w:r w:rsidR="00CB3E4F">
        <w:t>Abélard</w:t>
      </w:r>
      <w:r w:rsidR="00F73E6A" w:rsidRPr="00273106">
        <w:t xml:space="preserve"> jasně říká, že slovo „substance“ nese u Aristotela pouze homonymický charakter (</w:t>
      </w:r>
      <w:r w:rsidR="00F73E6A" w:rsidRPr="00273106">
        <w:rPr>
          <w:i/>
        </w:rPr>
        <w:t>figuraliter</w:t>
      </w:r>
      <w:r w:rsidR="00F73E6A" w:rsidRPr="00273106">
        <w:t>) a je úkolem dialektika, a</w:t>
      </w:r>
      <w:r w:rsidR="000A2979" w:rsidRPr="00273106">
        <w:t>by jasně rozlišil dané významy.</w:t>
      </w:r>
      <w:r w:rsidR="000A2979" w:rsidRPr="00273106">
        <w:rPr>
          <w:rStyle w:val="Znakapoznpodarou"/>
        </w:rPr>
        <w:footnoteReference w:id="27"/>
      </w:r>
      <w:r w:rsidR="002E4CE9" w:rsidRPr="00273106">
        <w:t xml:space="preserve"> </w:t>
      </w:r>
      <w:r w:rsidR="08160A96">
        <w:t xml:space="preserve">Nominální </w:t>
      </w:r>
      <w:r w:rsidR="004F084C" w:rsidRPr="00273106">
        <w:t>vyjádření vztažená k substanci (</w:t>
      </w:r>
      <w:r w:rsidR="004F084C" w:rsidRPr="00273106">
        <w:rPr>
          <w:i/>
        </w:rPr>
        <w:t>id est vox significans substantiam</w:t>
      </w:r>
      <w:r w:rsidR="004F084C" w:rsidRPr="00273106">
        <w:t xml:space="preserve">) jsou vztažena k existující hylemorfické substanci pouze </w:t>
      </w:r>
      <w:r w:rsidR="08160A96">
        <w:t xml:space="preserve">metaforicky </w:t>
      </w:r>
      <w:r w:rsidR="004F084C" w:rsidRPr="00273106">
        <w:t>(</w:t>
      </w:r>
      <w:r w:rsidR="004F084C" w:rsidRPr="00273106">
        <w:rPr>
          <w:i/>
        </w:rPr>
        <w:t>translata sunt ad significandum nomina rerum</w:t>
      </w:r>
      <w:r w:rsidR="00C24485">
        <w:t>). P</w:t>
      </w:r>
      <w:r w:rsidR="004F084C" w:rsidRPr="00273106">
        <w:t xml:space="preserve">roto </w:t>
      </w:r>
      <w:r w:rsidR="00B65C9C" w:rsidRPr="00273106">
        <w:t xml:space="preserve">nemají </w:t>
      </w:r>
      <w:r w:rsidR="004E6E6D">
        <w:t xml:space="preserve">univoční </w:t>
      </w:r>
      <w:r w:rsidR="00B65C9C" w:rsidRPr="00273106">
        <w:t xml:space="preserve">vazbu na realitu </w:t>
      </w:r>
      <w:r w:rsidR="00711EC4" w:rsidRPr="00273106">
        <w:t xml:space="preserve">hylemorfické složeniny </w:t>
      </w:r>
      <w:r w:rsidR="00B65C9C" w:rsidRPr="00273106">
        <w:t>(</w:t>
      </w:r>
      <w:r w:rsidR="00B65C9C" w:rsidRPr="00273106">
        <w:rPr>
          <w:i/>
        </w:rPr>
        <w:t>non sunt complexae voces</w:t>
      </w:r>
      <w:r w:rsidR="00B65C9C" w:rsidRPr="00273106">
        <w:t>)</w:t>
      </w:r>
      <w:r w:rsidR="004F084C" w:rsidRPr="00273106">
        <w:t xml:space="preserve">. </w:t>
      </w:r>
      <w:r w:rsidR="00234A3E" w:rsidRPr="00273106">
        <w:t xml:space="preserve">Aby vznikl soud, je třeba provést </w:t>
      </w:r>
      <w:r w:rsidR="08160A96">
        <w:t xml:space="preserve">kategoriální </w:t>
      </w:r>
      <w:r w:rsidR="08B0457C">
        <w:t>přeložení</w:t>
      </w:r>
      <w:r w:rsidR="00D86B02" w:rsidRPr="00273106">
        <w:t xml:space="preserve"> (</w:t>
      </w:r>
      <w:r w:rsidR="00234A3E" w:rsidRPr="00273106">
        <w:rPr>
          <w:i/>
        </w:rPr>
        <w:t>translatio</w:t>
      </w:r>
      <w:r w:rsidR="080F6E83">
        <w:rPr>
          <w:i/>
        </w:rPr>
        <w:fldChar w:fldCharType="begin"/>
      </w:r>
      <w:r w:rsidR="080F6E83">
        <w:instrText xml:space="preserve"> XE "</w:instrText>
      </w:r>
      <w:r w:rsidR="080F6E83" w:rsidRPr="08D33189">
        <w:rPr>
          <w:i/>
        </w:rPr>
        <w:instrText>translatio</w:instrText>
      </w:r>
      <w:r w:rsidR="080F6E83">
        <w:instrText xml:space="preserve">" </w:instrText>
      </w:r>
      <w:r w:rsidR="080F6E83">
        <w:rPr>
          <w:i/>
        </w:rPr>
        <w:fldChar w:fldCharType="end"/>
      </w:r>
      <w:r w:rsidR="00D86B02" w:rsidRPr="00273106">
        <w:t>)</w:t>
      </w:r>
      <w:r w:rsidR="00234A3E" w:rsidRPr="00273106">
        <w:t xml:space="preserve"> významu, kdy vlastní schopnost signifikace daná obecně v jakémkoliv znaku (</w:t>
      </w:r>
      <w:r w:rsidR="00234A3E" w:rsidRPr="00273106">
        <w:rPr>
          <w:i/>
        </w:rPr>
        <w:t>ad se ipsam significandam</w:t>
      </w:r>
      <w:r w:rsidR="00234A3E" w:rsidRPr="00273106">
        <w:t xml:space="preserve">), se stane </w:t>
      </w:r>
      <w:r w:rsidR="00452B23">
        <w:t>sig</w:t>
      </w:r>
      <w:r w:rsidR="00C074FA">
        <w:t>n</w:t>
      </w:r>
      <w:r w:rsidR="00452B23">
        <w:t xml:space="preserve">ifikací </w:t>
      </w:r>
      <w:r w:rsidR="00234A3E" w:rsidRPr="00273106">
        <w:t xml:space="preserve">vztahu daného i reálně </w:t>
      </w:r>
      <w:r w:rsidR="00452B23">
        <w:t xml:space="preserve">vzhledem k prvním substancím </w:t>
      </w:r>
      <w:r w:rsidR="00234A3E" w:rsidRPr="00273106">
        <w:t>(</w:t>
      </w:r>
      <w:r w:rsidR="00234A3E" w:rsidRPr="00273106">
        <w:rPr>
          <w:i/>
        </w:rPr>
        <w:t>figura facta in translatione vocis de re</w:t>
      </w:r>
      <w:r w:rsidR="00234A3E" w:rsidRPr="00273106">
        <w:t xml:space="preserve">). </w:t>
      </w:r>
      <w:r w:rsidR="088E1ECF" w:rsidRPr="088C18B2">
        <w:rPr>
          <w:szCs w:val="24"/>
        </w:rPr>
        <w:t>Termín „</w:t>
      </w:r>
      <w:r w:rsidR="088E1ECF" w:rsidRPr="088C18B2">
        <w:rPr>
          <w:i/>
          <w:szCs w:val="24"/>
        </w:rPr>
        <w:t>translatio</w:t>
      </w:r>
      <w:r w:rsidR="088E1ECF" w:rsidRPr="088C18B2">
        <w:rPr>
          <w:szCs w:val="24"/>
        </w:rPr>
        <w:t xml:space="preserve">“ přesně popisuje hermeneutickou funkci </w:t>
      </w:r>
      <w:r w:rsidR="08787ECE">
        <w:t xml:space="preserve">metafyzického </w:t>
      </w:r>
      <w:r w:rsidR="088E1ECF" w:rsidRPr="088C18B2">
        <w:rPr>
          <w:szCs w:val="24"/>
        </w:rPr>
        <w:t>dativu (</w:t>
      </w:r>
      <w:r w:rsidR="088E1ECF" w:rsidRPr="088C18B2">
        <w:rPr>
          <w:i/>
          <w:szCs w:val="24"/>
        </w:rPr>
        <w:t>dativ</w:t>
      </w:r>
      <w:r w:rsidR="08787ECE">
        <w:rPr>
          <w:i/>
          <w:szCs w:val="24"/>
        </w:rPr>
        <w:t>us metaphysi</w:t>
      </w:r>
      <w:r w:rsidR="088E1ECF" w:rsidRPr="088C18B2">
        <w:rPr>
          <w:i/>
          <w:szCs w:val="24"/>
        </w:rPr>
        <w:t>cus</w:t>
      </w:r>
      <w:r w:rsidR="088E1ECF">
        <w:rPr>
          <w:i/>
          <w:szCs w:val="24"/>
          <w:lang w:val="de-DE"/>
        </w:rPr>
        <w:fldChar w:fldCharType="begin"/>
      </w:r>
      <w:r w:rsidR="088E1ECF">
        <w:instrText xml:space="preserve"> XE "</w:instrText>
      </w:r>
      <w:r w:rsidR="08787ECE">
        <w:rPr>
          <w:i/>
          <w:szCs w:val="24"/>
        </w:rPr>
        <w:instrText>dativus metaphysi</w:instrText>
      </w:r>
      <w:r w:rsidR="088E1ECF" w:rsidRPr="088C18B2">
        <w:rPr>
          <w:i/>
          <w:szCs w:val="24"/>
        </w:rPr>
        <w:instrText>cus</w:instrText>
      </w:r>
      <w:r w:rsidR="088E1ECF">
        <w:instrText xml:space="preserve">" </w:instrText>
      </w:r>
      <w:r w:rsidR="088E1ECF">
        <w:rPr>
          <w:i/>
          <w:szCs w:val="24"/>
          <w:lang w:val="de-DE"/>
        </w:rPr>
        <w:fldChar w:fldCharType="end"/>
      </w:r>
      <w:r w:rsidR="088E1ECF" w:rsidRPr="088C18B2">
        <w:rPr>
          <w:szCs w:val="24"/>
        </w:rPr>
        <w:t xml:space="preserve">). </w:t>
      </w:r>
      <w:r w:rsidR="00234A3E" w:rsidRPr="00273106">
        <w:t xml:space="preserve">Věta „Fénix existuje“ má význam, ale nemá </w:t>
      </w:r>
      <w:r w:rsidR="00A241BD" w:rsidRPr="00273106">
        <w:t xml:space="preserve">determinaci </w:t>
      </w:r>
      <w:r w:rsidR="00234A3E" w:rsidRPr="00273106">
        <w:t>významu směrem od existující věci</w:t>
      </w:r>
      <w:r w:rsidR="08952620">
        <w:t>. A jedině toto spojení zakládá</w:t>
      </w:r>
      <w:r w:rsidR="00CE72F5" w:rsidRPr="00273106">
        <w:t xml:space="preserve"> hyparchickou </w:t>
      </w:r>
      <w:r w:rsidR="006E1DC7">
        <w:t xml:space="preserve">impozici </w:t>
      </w:r>
      <w:r w:rsidR="00CE72F5" w:rsidRPr="00273106">
        <w:t xml:space="preserve">nutnou k ustavení pravdy jako </w:t>
      </w:r>
      <w:r w:rsidR="08B0457C">
        <w:t xml:space="preserve">univoční </w:t>
      </w:r>
      <w:r w:rsidR="002E3B62">
        <w:rPr>
          <w:i/>
        </w:rPr>
        <w:t>adaequatio</w:t>
      </w:r>
      <w:r w:rsidR="00C161A5">
        <w:rPr>
          <w:i/>
        </w:rPr>
        <w:fldChar w:fldCharType="begin"/>
      </w:r>
      <w:r w:rsidR="00C161A5">
        <w:instrText xml:space="preserve"> XE "</w:instrText>
      </w:r>
      <w:r w:rsidR="002E3B62">
        <w:rPr>
          <w:i/>
        </w:rPr>
        <w:instrText>adaequatio</w:instrText>
      </w:r>
      <w:r w:rsidR="00C161A5" w:rsidRPr="00BD02BA">
        <w:rPr>
          <w:i/>
        </w:rPr>
        <w:instrText>:</w:instrText>
      </w:r>
      <w:r w:rsidR="00C161A5" w:rsidRPr="00BD02BA">
        <w:instrText>A</w:instrText>
      </w:r>
      <w:r w:rsidR="00EE4D40">
        <w:instrText>belard</w:instrText>
      </w:r>
      <w:r w:rsidR="00C161A5">
        <w:instrText xml:space="preserve">" </w:instrText>
      </w:r>
      <w:r w:rsidR="00C161A5">
        <w:rPr>
          <w:i/>
        </w:rPr>
        <w:fldChar w:fldCharType="end"/>
      </w:r>
      <w:r w:rsidR="08B0457C">
        <w:t xml:space="preserve"> dané v kategoriální výpovědi. </w:t>
      </w:r>
      <w:r w:rsidR="08ED1FF4">
        <w:t xml:space="preserve">V případě Fénixe chybí </w:t>
      </w:r>
      <w:r w:rsidR="00172FA5">
        <w:t>vazba na hyparchickou</w:t>
      </w:r>
      <w:r w:rsidR="084115D8">
        <w:t xml:space="preserve"> </w:t>
      </w:r>
      <w:r w:rsidR="00912574">
        <w:t>první substanci</w:t>
      </w:r>
      <w:r w:rsidR="080B5EE6">
        <w:t xml:space="preserve">. </w:t>
      </w:r>
      <w:r w:rsidR="00172FA5">
        <w:t xml:space="preserve">Supozice významu </w:t>
      </w:r>
      <w:r w:rsidR="08325B17" w:rsidRPr="00273106">
        <w:lastRenderedPageBreak/>
        <w:t xml:space="preserve">jde pouze z mysli, nikoliv z reality. </w:t>
      </w:r>
      <w:r w:rsidR="004E7C19" w:rsidRPr="00273106">
        <w:t xml:space="preserve">Pak se jedná </w:t>
      </w:r>
      <w:r w:rsidR="00737578" w:rsidRPr="00273106">
        <w:t xml:space="preserve">o </w:t>
      </w:r>
      <w:r w:rsidR="00F33B05">
        <w:t xml:space="preserve">homonymickou </w:t>
      </w:r>
      <w:r w:rsidR="00737578" w:rsidRPr="00273106">
        <w:t>signifikaci bez odpovídající adekvace k reálné věci</w:t>
      </w:r>
      <w:r w:rsidR="00541CB2">
        <w:fldChar w:fldCharType="begin"/>
      </w:r>
      <w:r w:rsidR="00541CB2">
        <w:instrText xml:space="preserve"> XE "supozice:univerzální" </w:instrText>
      </w:r>
      <w:r w:rsidR="00541CB2">
        <w:fldChar w:fldCharType="end"/>
      </w:r>
      <w:r w:rsidR="00737578" w:rsidRPr="00273106">
        <w:t xml:space="preserve">. </w:t>
      </w:r>
      <w:r w:rsidR="08C45DA5" w:rsidRPr="00273106">
        <w:t xml:space="preserve">Pokud je </w:t>
      </w:r>
      <w:r w:rsidR="08630577" w:rsidRPr="00273106">
        <w:t xml:space="preserve">přenesení </w:t>
      </w:r>
      <w:r w:rsidR="00234A3E" w:rsidRPr="00273106">
        <w:t xml:space="preserve">signifikace </w:t>
      </w:r>
      <w:r w:rsidR="08C45DA5" w:rsidRPr="00273106">
        <w:t>(</w:t>
      </w:r>
      <w:r w:rsidR="08C45DA5" w:rsidRPr="00273106">
        <w:rPr>
          <w:i/>
        </w:rPr>
        <w:t>translatio</w:t>
      </w:r>
      <w:r w:rsidR="08C45DA5" w:rsidRPr="00273106">
        <w:t xml:space="preserve">) </w:t>
      </w:r>
      <w:r w:rsidR="00234A3E" w:rsidRPr="00273106">
        <w:t xml:space="preserve">dáno </w:t>
      </w:r>
      <w:r w:rsidR="08876978" w:rsidRPr="00273106">
        <w:t>směrem od existující první substance</w:t>
      </w:r>
      <w:r w:rsidR="00234A3E" w:rsidRPr="00273106">
        <w:t xml:space="preserve">, pak mluvíme o </w:t>
      </w:r>
      <w:r w:rsidR="00120FF4">
        <w:t>formálně-</w:t>
      </w:r>
      <w:r w:rsidR="00F33B05">
        <w:t xml:space="preserve">univoční </w:t>
      </w:r>
      <w:r w:rsidR="00234A3E" w:rsidRPr="00273106">
        <w:t>shodě výroku a věci (</w:t>
      </w:r>
      <w:r w:rsidR="00234A3E"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38128E">
        <w:instrText>Abelard</w:instrText>
      </w:r>
      <w:r w:rsidR="00EE4D40">
        <w:instrText xml:space="preserve">" </w:instrText>
      </w:r>
      <w:r w:rsidR="00EE4D40">
        <w:rPr>
          <w:i/>
        </w:rPr>
        <w:fldChar w:fldCharType="end"/>
      </w:r>
      <w:r w:rsidR="00234A3E" w:rsidRPr="00273106">
        <w:t>)</w:t>
      </w:r>
      <w:r w:rsidR="00837085">
        <w:t xml:space="preserve">, kterou lze </w:t>
      </w:r>
      <w:r w:rsidR="08A97E90">
        <w:t xml:space="preserve">eventuálně </w:t>
      </w:r>
      <w:r w:rsidR="00837085">
        <w:t xml:space="preserve">i dokázat </w:t>
      </w:r>
      <w:r w:rsidR="08A97E90">
        <w:t xml:space="preserve">kategorickou výpovědí opřenou o reálnou kauzalitu </w:t>
      </w:r>
      <w:r w:rsidR="083665AE">
        <w:t xml:space="preserve">na úrovni prvních substancí </w:t>
      </w:r>
      <w:r w:rsidR="00837085">
        <w:t>(</w:t>
      </w:r>
      <w:r w:rsidR="00837085" w:rsidRPr="00837085">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EE4D40">
        <w:instrText>belard</w:instrText>
      </w:r>
      <w:r w:rsidR="007A6052">
        <w:instrText xml:space="preserve">" </w:instrText>
      </w:r>
      <w:r w:rsidR="007A6052">
        <w:rPr>
          <w:i/>
        </w:rPr>
        <w:fldChar w:fldCharType="end"/>
      </w:r>
      <w:r w:rsidR="00C074FA">
        <w:t>)</w:t>
      </w:r>
      <w:r w:rsidR="00234A3E" w:rsidRPr="00273106">
        <w:t>.</w:t>
      </w:r>
      <w:r w:rsidR="088555F5">
        <w:t xml:space="preserve"> </w:t>
      </w:r>
      <w:r w:rsidR="084B2081">
        <w:t>Lo</w:t>
      </w:r>
      <w:r w:rsidR="00C074FA">
        <w:t>gick</w:t>
      </w:r>
      <w:r w:rsidR="084B2081">
        <w:t xml:space="preserve">á </w:t>
      </w:r>
      <w:r w:rsidR="08A04E0A">
        <w:t>výpově</w:t>
      </w:r>
      <w:r w:rsidR="084B2081">
        <w:t xml:space="preserve">ď daná supozicí </w:t>
      </w:r>
      <w:r w:rsidR="08A04E0A">
        <w:t xml:space="preserve">se liší od kategoriální výpovědi </w:t>
      </w:r>
      <w:r w:rsidR="089D47F3">
        <w:t>metafyziky a kauz</w:t>
      </w:r>
      <w:r w:rsidR="088555F5">
        <w:t xml:space="preserve">álně založené vědy. </w:t>
      </w:r>
      <w:r w:rsidR="089D47F3">
        <w:t>Metafyzická signifikace daná v rámci d</w:t>
      </w:r>
      <w:r w:rsidR="00673B34" w:rsidRPr="00273106">
        <w:t>emonstrativní</w:t>
      </w:r>
      <w:r w:rsidR="089D47F3">
        <w:t>ho</w:t>
      </w:r>
      <w:r w:rsidR="00673B34" w:rsidRPr="00273106">
        <w:t xml:space="preserve"> soud</w:t>
      </w:r>
      <w:r w:rsidR="089D47F3">
        <w:t>u</w:t>
      </w:r>
      <w:r w:rsidR="088555F5">
        <w:t xml:space="preserve"> </w:t>
      </w:r>
      <w:r w:rsidR="089D47F3">
        <w:t xml:space="preserve">vzniká </w:t>
      </w:r>
      <w:r w:rsidR="084B2081">
        <w:t>zásadně a pouze impozicí</w:t>
      </w:r>
      <w:r w:rsidR="087D33AA">
        <w:t xml:space="preserve"> významu z hyparchicky dané reality</w:t>
      </w:r>
      <w:r w:rsidR="00361E40" w:rsidRPr="00273106">
        <w:t>.</w:t>
      </w:r>
      <w:r w:rsidR="00234A3E" w:rsidRPr="00273106">
        <w:t xml:space="preserve"> </w:t>
      </w:r>
      <w:r w:rsidR="087D33AA">
        <w:t xml:space="preserve">Opět platí metafyzická nutnost </w:t>
      </w:r>
      <w:r w:rsidR="08787ECE">
        <w:t xml:space="preserve">metafyzického </w:t>
      </w:r>
      <w:r w:rsidR="087D33AA">
        <w:t xml:space="preserve">dativu určujícího pravdivou donaci významu od reality první substance. Ta už ve významu není přímo dána, ale musí být pravdivě signifikována. </w:t>
      </w:r>
      <w:r w:rsidR="00CB3E4F">
        <w:t>Abélard</w:t>
      </w:r>
      <w:r w:rsidR="00125802">
        <w:t xml:space="preserve"> odmítl zmatené pojetí </w:t>
      </w:r>
      <w:r w:rsidR="00E710D4">
        <w:t xml:space="preserve">pravdy </w:t>
      </w:r>
      <w:r w:rsidR="00125802">
        <w:t xml:space="preserve">v Anselmově neoplatonské škole a u tehdejších porretánů. </w:t>
      </w:r>
      <w:r w:rsidR="00CE615C">
        <w:t xml:space="preserve">Následující citát </w:t>
      </w:r>
      <w:r w:rsidR="00C32377">
        <w:t xml:space="preserve">ukazuje </w:t>
      </w:r>
      <w:r w:rsidR="006C661A">
        <w:t xml:space="preserve">oba </w:t>
      </w:r>
      <w:r w:rsidR="00C32377">
        <w:t>zásadní vztahy, které determinují Abelardovo určení s</w:t>
      </w:r>
      <w:r w:rsidR="0031547C" w:rsidRPr="00273106">
        <w:t>ignifikace</w:t>
      </w:r>
      <w:r w:rsidR="00EE4D40">
        <w:rPr>
          <w:i/>
        </w:rPr>
        <w:fldChar w:fldCharType="begin"/>
      </w:r>
      <w:r w:rsidR="00EE4D40">
        <w:instrText xml:space="preserve"> XE "signifikace</w:instrText>
      </w:r>
      <w:r w:rsidR="00EA5A9C">
        <w:instrText>:Abelard</w:instrText>
      </w:r>
      <w:r w:rsidR="00EE4D40">
        <w:instrText xml:space="preserve">" </w:instrText>
      </w:r>
      <w:r w:rsidR="00EE4D40">
        <w:rPr>
          <w:i/>
        </w:rPr>
        <w:fldChar w:fldCharType="end"/>
      </w:r>
      <w:r w:rsidR="0031547C" w:rsidRPr="00273106">
        <w:t>.</w:t>
      </w:r>
    </w:p>
    <w:p w14:paraId="53173727" w14:textId="468DDF71" w:rsidR="00455B88" w:rsidRDefault="005D6F2E" w:rsidP="00455B88">
      <w:pPr>
        <w:pStyle w:val="Citace"/>
        <w:rPr>
          <w:lang w:val="cs-CZ"/>
        </w:rPr>
      </w:pPr>
      <w:r w:rsidRPr="009B6BB5">
        <w:t>„</w:t>
      </w:r>
      <w:r w:rsidR="00D62B5C">
        <w:rPr>
          <w:szCs w:val="19"/>
          <w:lang w:val="cs-CZ"/>
        </w:rPr>
        <w:t>Například slovo 'člověk' má specifickou povahu danou vzhledem ke smrtelnému a rozumovému živočichu. Primárně je imp</w:t>
      </w:r>
      <w:r w:rsidR="00AF693E">
        <w:rPr>
          <w:szCs w:val="19"/>
          <w:lang w:val="cs-CZ"/>
        </w:rPr>
        <w:t>o</w:t>
      </w:r>
      <w:r w:rsidR="00D62B5C">
        <w:rPr>
          <w:szCs w:val="19"/>
          <w:lang w:val="cs-CZ"/>
        </w:rPr>
        <w:t>zice významu provedena směrem od dané osoby (</w:t>
      </w:r>
      <w:r w:rsidR="00D62B5C" w:rsidRPr="00D62B5C">
        <w:rPr>
          <w:i/>
          <w:szCs w:val="18"/>
        </w:rPr>
        <w:t>ex ipsa individuis</w:t>
      </w:r>
      <w:r w:rsidR="00D62B5C" w:rsidRPr="00D62B5C">
        <w:rPr>
          <w:i/>
        </w:rPr>
        <w:t xml:space="preserve"> </w:t>
      </w:r>
      <w:r w:rsidR="00D62B5C" w:rsidRPr="00D62B5C">
        <w:rPr>
          <w:i/>
          <w:szCs w:val="18"/>
        </w:rPr>
        <w:t>ipsius</w:t>
      </w:r>
      <w:r w:rsidR="00D62B5C">
        <w:rPr>
          <w:szCs w:val="19"/>
          <w:lang w:val="cs-CZ"/>
        </w:rPr>
        <w:t xml:space="preserve">), jako je Sokrates a jiní. </w:t>
      </w:r>
      <w:r w:rsidR="001126DC">
        <w:rPr>
          <w:szCs w:val="19"/>
          <w:lang w:val="cs-CZ"/>
        </w:rPr>
        <w:t>Takto daná imp</w:t>
      </w:r>
      <w:r w:rsidR="087A3793">
        <w:rPr>
          <w:szCs w:val="19"/>
          <w:lang w:val="cs-CZ"/>
        </w:rPr>
        <w:t>ozice si podržuje význam v jaké</w:t>
      </w:r>
      <w:r w:rsidR="001126DC">
        <w:rPr>
          <w:szCs w:val="19"/>
          <w:lang w:val="cs-CZ"/>
        </w:rPr>
        <w:t xml:space="preserve">koliv </w:t>
      </w:r>
      <w:r w:rsidR="006A04C6" w:rsidRPr="006A04C6">
        <w:rPr>
          <w:szCs w:val="19"/>
          <w:lang w:val="cs-CZ"/>
        </w:rPr>
        <w:t>species</w:t>
      </w:r>
      <w:r w:rsidR="001126DC">
        <w:rPr>
          <w:szCs w:val="19"/>
          <w:lang w:val="cs-CZ"/>
        </w:rPr>
        <w:t xml:space="preserve"> (</w:t>
      </w:r>
      <w:r w:rsidR="001126DC" w:rsidRPr="001126DC">
        <w:rPr>
          <w:i/>
          <w:szCs w:val="18"/>
        </w:rPr>
        <w:t>significationem in se ubique speciei in se tenet</w:t>
      </w:r>
      <w:r w:rsidR="001126DC">
        <w:rPr>
          <w:szCs w:val="19"/>
          <w:lang w:val="cs-CZ"/>
        </w:rPr>
        <w:t xml:space="preserve">) a není dána tím, že Sokrates a jiní participují na významu </w:t>
      </w:r>
      <w:r w:rsidR="006A04C6" w:rsidRPr="006A04C6">
        <w:rPr>
          <w:szCs w:val="19"/>
          <w:lang w:val="cs-CZ"/>
        </w:rPr>
        <w:t>species</w:t>
      </w:r>
      <w:r w:rsidR="003A66E1">
        <w:rPr>
          <w:szCs w:val="19"/>
          <w:lang w:val="cs-CZ"/>
        </w:rPr>
        <w:t xml:space="preserve"> (</w:t>
      </w:r>
      <w:r w:rsidR="003A66E1" w:rsidRPr="00C059E6">
        <w:rPr>
          <w:i/>
          <w:szCs w:val="18"/>
        </w:rPr>
        <w:t>non</w:t>
      </w:r>
      <w:r w:rsidR="003A66E1" w:rsidRPr="009B6BB5">
        <w:rPr>
          <w:szCs w:val="18"/>
        </w:rPr>
        <w:t xml:space="preserve"> </w:t>
      </w:r>
      <w:r w:rsidR="003A66E1" w:rsidRPr="003A66E1">
        <w:rPr>
          <w:i/>
          <w:szCs w:val="18"/>
        </w:rPr>
        <w:t>Socratis et ceterorum quae speciem participant</w:t>
      </w:r>
      <w:r w:rsidR="003A66E1">
        <w:rPr>
          <w:szCs w:val="19"/>
          <w:lang w:val="cs-CZ"/>
        </w:rPr>
        <w:t>)</w:t>
      </w:r>
      <w:r w:rsidR="001126DC">
        <w:rPr>
          <w:szCs w:val="19"/>
          <w:lang w:val="cs-CZ"/>
        </w:rPr>
        <w:t>. Ze slova 'člověk'</w:t>
      </w:r>
      <w:r w:rsidR="001126DC" w:rsidRPr="001126DC">
        <w:rPr>
          <w:szCs w:val="19"/>
          <w:lang w:val="cs-CZ"/>
        </w:rPr>
        <w:t xml:space="preserve"> </w:t>
      </w:r>
      <w:r w:rsidR="001126DC">
        <w:rPr>
          <w:szCs w:val="19"/>
          <w:lang w:val="cs-CZ"/>
        </w:rPr>
        <w:t>(</w:t>
      </w:r>
      <w:r w:rsidR="001126DC" w:rsidRPr="001126DC">
        <w:rPr>
          <w:i/>
          <w:szCs w:val="18"/>
          <w:lang w:val="cs-CZ"/>
        </w:rPr>
        <w:t>e</w:t>
      </w:r>
      <w:r w:rsidR="001126DC" w:rsidRPr="001126DC">
        <w:rPr>
          <w:i/>
          <w:szCs w:val="18"/>
        </w:rPr>
        <w:t xml:space="preserve">x </w:t>
      </w:r>
      <w:r w:rsidR="001126DC" w:rsidRPr="001126DC">
        <w:rPr>
          <w:i/>
          <w:szCs w:val="19"/>
        </w:rPr>
        <w:t xml:space="preserve">'hominis' </w:t>
      </w:r>
      <w:r w:rsidR="001126DC" w:rsidRPr="001126DC">
        <w:rPr>
          <w:i/>
          <w:szCs w:val="18"/>
        </w:rPr>
        <w:t>enim vocabulo</w:t>
      </w:r>
      <w:r w:rsidR="001126DC">
        <w:rPr>
          <w:szCs w:val="19"/>
          <w:lang w:val="cs-CZ"/>
        </w:rPr>
        <w:t xml:space="preserve">) </w:t>
      </w:r>
      <w:r w:rsidR="00455B88">
        <w:rPr>
          <w:szCs w:val="19"/>
          <w:lang w:val="cs-CZ"/>
        </w:rPr>
        <w:t xml:space="preserve">totiž </w:t>
      </w:r>
      <w:r w:rsidR="001126DC">
        <w:rPr>
          <w:szCs w:val="19"/>
          <w:lang w:val="cs-CZ"/>
        </w:rPr>
        <w:t xml:space="preserve">vznikne porozumění 'smrtelný rozumový živočich', ale nikoliv porozumění toho, co je </w:t>
      </w:r>
      <w:r w:rsidR="08F074CB">
        <w:rPr>
          <w:szCs w:val="19"/>
          <w:lang w:val="cs-CZ"/>
        </w:rPr>
        <w:t xml:space="preserve">existence </w:t>
      </w:r>
      <w:r w:rsidR="001126DC">
        <w:rPr>
          <w:szCs w:val="19"/>
          <w:lang w:val="cs-CZ"/>
        </w:rPr>
        <w:t>Sok</w:t>
      </w:r>
      <w:r w:rsidR="08F074CB">
        <w:rPr>
          <w:szCs w:val="19"/>
          <w:lang w:val="cs-CZ"/>
        </w:rPr>
        <w:t>rata</w:t>
      </w:r>
      <w:r w:rsidR="001126DC">
        <w:rPr>
          <w:szCs w:val="19"/>
          <w:lang w:val="cs-CZ"/>
        </w:rPr>
        <w:t xml:space="preserve"> </w:t>
      </w:r>
      <w:r w:rsidR="00A97F43">
        <w:rPr>
          <w:szCs w:val="19"/>
          <w:lang w:val="cs-CZ"/>
        </w:rPr>
        <w:t>v </w:t>
      </w:r>
      <w:r w:rsidR="004C7D9F">
        <w:rPr>
          <w:szCs w:val="19"/>
          <w:lang w:val="cs-CZ"/>
        </w:rPr>
        <w:t>realitě</w:t>
      </w:r>
      <w:r w:rsidR="00A97F43">
        <w:rPr>
          <w:szCs w:val="19"/>
          <w:lang w:val="cs-CZ"/>
        </w:rPr>
        <w:t xml:space="preserve"> </w:t>
      </w:r>
      <w:r w:rsidR="001126DC">
        <w:rPr>
          <w:szCs w:val="19"/>
          <w:lang w:val="cs-CZ"/>
        </w:rPr>
        <w:t>(</w:t>
      </w:r>
      <w:r w:rsidR="001126DC" w:rsidRPr="00455B88">
        <w:rPr>
          <w:i/>
          <w:szCs w:val="18"/>
        </w:rPr>
        <w:t>non etiam</w:t>
      </w:r>
      <w:r w:rsidR="001126DC" w:rsidRPr="00455B88">
        <w:rPr>
          <w:i/>
        </w:rPr>
        <w:t xml:space="preserve"> </w:t>
      </w:r>
      <w:r w:rsidR="001126DC" w:rsidRPr="00455B88">
        <w:rPr>
          <w:i/>
          <w:szCs w:val="18"/>
        </w:rPr>
        <w:t>Socratem intelligimus</w:t>
      </w:r>
      <w:r w:rsidR="001126DC">
        <w:rPr>
          <w:szCs w:val="19"/>
          <w:lang w:val="cs-CZ"/>
        </w:rPr>
        <w:t>).“</w:t>
      </w:r>
      <w:r w:rsidR="00455B88">
        <w:rPr>
          <w:szCs w:val="19"/>
          <w:lang w:val="cs-CZ"/>
        </w:rPr>
        <w:t> </w:t>
      </w:r>
      <w:r w:rsidR="003D679D" w:rsidRPr="00273106">
        <w:rPr>
          <w:rStyle w:val="Znakapoznpodarou"/>
        </w:rPr>
        <w:footnoteReference w:id="28"/>
      </w:r>
    </w:p>
    <w:p w14:paraId="2BC47F07" w14:textId="77777777" w:rsidR="00D33C33" w:rsidRDefault="0031547C" w:rsidP="00455B88">
      <w:r w:rsidRPr="00273106">
        <w:t xml:space="preserve">Impozice signifikace </w:t>
      </w:r>
      <w:r w:rsidR="00EB14A9">
        <w:t>směrem od reálné</w:t>
      </w:r>
      <w:r w:rsidR="00800F7D">
        <w:t xml:space="preserve"> věci </w:t>
      </w:r>
      <w:r w:rsidRPr="00273106">
        <w:t>se děje různými způsoby (</w:t>
      </w:r>
      <w:r w:rsidRPr="00273106">
        <w:rPr>
          <w:i/>
        </w:rPr>
        <w:t>diversis modis accipitur</w:t>
      </w:r>
      <w:r w:rsidRPr="00273106">
        <w:t>), přičemž Abelarda zajímají dva základní mody. V prvním případě sleduje vznik univerzálního významu v mysli (</w:t>
      </w:r>
      <w:r w:rsidRPr="00273106">
        <w:rPr>
          <w:i/>
          <w:szCs w:val="18"/>
        </w:rPr>
        <w:t>intellectum generat</w:t>
      </w:r>
      <w:r w:rsidRPr="00273106">
        <w:t xml:space="preserve">) a ve druhém případě </w:t>
      </w:r>
      <w:r w:rsidR="08D00D41" w:rsidRPr="00273106">
        <w:t xml:space="preserve">sleduje </w:t>
      </w:r>
      <w:r w:rsidR="00EC3764">
        <w:t xml:space="preserve">pravdivou </w:t>
      </w:r>
      <w:r w:rsidR="08D00D41" w:rsidRPr="00273106">
        <w:t xml:space="preserve">impozici tohoto významu </w:t>
      </w:r>
      <w:r w:rsidRPr="00273106">
        <w:t>na pojmenovanou či predikovanou věc (</w:t>
      </w:r>
      <w:r w:rsidR="00EC3764" w:rsidRPr="005D6F2E">
        <w:rPr>
          <w:i/>
          <w:szCs w:val="18"/>
        </w:rPr>
        <w:t>modo vero</w:t>
      </w:r>
      <w:r w:rsidRPr="00273106">
        <w:t xml:space="preserve">). První skupina je popsaná odkazem na </w:t>
      </w:r>
      <w:r w:rsidRPr="00273106">
        <w:rPr>
          <w:i/>
        </w:rPr>
        <w:t xml:space="preserve">De Int. </w:t>
      </w:r>
      <w:r w:rsidRPr="00273106">
        <w:t>16a3–8</w:t>
      </w:r>
      <w:r w:rsidR="00140CDF">
        <w:fldChar w:fldCharType="begin"/>
      </w:r>
      <w:r w:rsidR="00140CDF">
        <w:instrText xml:space="preserve"> XE "</w:instrText>
      </w:r>
      <w:r w:rsidR="008E02F5">
        <w:instrText>Aristoteles</w:instrText>
      </w:r>
      <w:r w:rsidR="00140CDF">
        <w:instrText>:</w:instrText>
      </w:r>
      <w:r w:rsidR="00140CDF" w:rsidRPr="00A86830">
        <w:rPr>
          <w:i/>
        </w:rPr>
        <w:instrText>De Int</w:instrText>
      </w:r>
      <w:r w:rsidR="08B21958">
        <w:rPr>
          <w:i/>
        </w:rPr>
        <w:instrText>erpretatione</w:instrText>
      </w:r>
      <w:r w:rsidR="00140CDF" w:rsidRPr="00A86830">
        <w:rPr>
          <w:i/>
        </w:rPr>
        <w:instrText xml:space="preserve"> </w:instrText>
      </w:r>
      <w:r w:rsidR="00140CDF" w:rsidRPr="00A86830">
        <w:instrText>16a3–8</w:instrText>
      </w:r>
      <w:r w:rsidR="00140CDF">
        <w:instrText xml:space="preserve">" </w:instrText>
      </w:r>
      <w:r w:rsidR="00140CDF">
        <w:fldChar w:fldCharType="end"/>
      </w:r>
      <w:r w:rsidRPr="00273106">
        <w:t xml:space="preserve">, kde je komplexně řešen celý problém vzniku významu </w:t>
      </w:r>
      <w:r w:rsidR="00B953F6">
        <w:t xml:space="preserve">skrze přímou impozici </w:t>
      </w:r>
      <w:r w:rsidRPr="00273106">
        <w:t xml:space="preserve">(kap. </w:t>
      </w:r>
      <w:r w:rsidR="08A643CC">
        <w:t>1</w:t>
      </w:r>
      <w:r w:rsidR="008A5278" w:rsidRPr="00273106">
        <w:t>.1</w:t>
      </w:r>
      <w:r w:rsidRPr="00273106">
        <w:t>).</w:t>
      </w:r>
      <w:r w:rsidR="00201F31" w:rsidRPr="00273106">
        <w:t xml:space="preserve"> </w:t>
      </w:r>
      <w:r w:rsidR="00CB3E4F">
        <w:t>Abélard</w:t>
      </w:r>
      <w:r w:rsidRPr="00273106">
        <w:t xml:space="preserve"> zdůrazňuje odkazem na Aristotela, že vznik významu </w:t>
      </w:r>
      <w:r w:rsidR="004777C6">
        <w:t xml:space="preserve">musí mít univerzálně pravdivý charakter </w:t>
      </w:r>
      <w:r w:rsidRPr="00273106">
        <w:t>(</w:t>
      </w:r>
      <w:r w:rsidR="004777C6" w:rsidRPr="00D63C80">
        <w:rPr>
          <w:i/>
          <w:szCs w:val="18"/>
        </w:rPr>
        <w:t>constituit enim qui dicit intellectum</w:t>
      </w:r>
      <w:r w:rsidRPr="00273106">
        <w:t xml:space="preserve">). </w:t>
      </w:r>
      <w:r w:rsidR="004777C6">
        <w:t xml:space="preserve">Primárně je impozice významu vztažená k reálným </w:t>
      </w:r>
      <w:r w:rsidR="004777C6">
        <w:lastRenderedPageBreak/>
        <w:t xml:space="preserve">jednotlivinám typu Sokrates. Protože existují samy o sobě, pak zakládají v modu </w:t>
      </w:r>
      <w:r w:rsidR="004777C6" w:rsidRPr="004777C6">
        <w:rPr>
          <w:i/>
        </w:rPr>
        <w:t>per prius</w:t>
      </w:r>
      <w:r w:rsidR="004777C6">
        <w:t xml:space="preserve"> hyparchickou signifikaci (</w:t>
      </w:r>
      <w:r w:rsidR="004777C6" w:rsidRPr="001126DC">
        <w:rPr>
          <w:i/>
          <w:szCs w:val="18"/>
        </w:rPr>
        <w:t>significationem</w:t>
      </w:r>
      <w:r w:rsidR="004777C6">
        <w:rPr>
          <w:i/>
          <w:szCs w:val="18"/>
        </w:rPr>
        <w:t xml:space="preserve"> ...in se tenet</w:t>
      </w:r>
      <w:r w:rsidR="004777C6">
        <w:t>), která není vázá</w:t>
      </w:r>
      <w:r w:rsidR="00C61EA0">
        <w:t xml:space="preserve">na na </w:t>
      </w:r>
      <w:r w:rsidR="008B5DFE">
        <w:t>plato</w:t>
      </w:r>
      <w:r w:rsidR="004777C6">
        <w:t xml:space="preserve">nskou </w:t>
      </w:r>
      <w:r w:rsidR="00C61EA0">
        <w:t xml:space="preserve">participaci </w:t>
      </w:r>
      <w:r w:rsidR="004777C6">
        <w:t xml:space="preserve">jednotlivin v </w:t>
      </w:r>
      <w:r w:rsidR="00C75405">
        <w:t xml:space="preserve">subsistentním bytí </w:t>
      </w:r>
      <w:r w:rsidR="004777C6">
        <w:t xml:space="preserve">univerzálních </w:t>
      </w:r>
      <w:r w:rsidR="006A04C6" w:rsidRPr="006A04C6">
        <w:t>species</w:t>
      </w:r>
      <w:r w:rsidR="004777C6">
        <w:t xml:space="preserve">. Tato specifická predikace založená na úrovni univerzálií je vzhledem Sokratovi až druhotná. </w:t>
      </w:r>
      <w:r w:rsidR="087D5589" w:rsidRPr="00273106">
        <w:t xml:space="preserve">Na </w:t>
      </w:r>
      <w:r w:rsidR="08681B32">
        <w:t xml:space="preserve">této </w:t>
      </w:r>
      <w:r w:rsidR="087D5589" w:rsidRPr="00273106">
        <w:t xml:space="preserve">obecné úrovni </w:t>
      </w:r>
      <w:r w:rsidR="08295666" w:rsidRPr="00273106">
        <w:t>vzniká dělení a skládá univerz</w:t>
      </w:r>
      <w:r w:rsidR="08F17FE5" w:rsidRPr="00273106">
        <w:t>ál</w:t>
      </w:r>
      <w:r w:rsidR="008B5DFE">
        <w:t>ií podle Porfy</w:t>
      </w:r>
      <w:r w:rsidR="08F17269">
        <w:t xml:space="preserve">riova stromu. </w:t>
      </w:r>
      <w:r w:rsidR="08681B32">
        <w:t xml:space="preserve">Pak lze například dělit druh </w:t>
      </w:r>
      <w:r w:rsidR="08295666" w:rsidRPr="00273106">
        <w:rPr>
          <w:i/>
        </w:rPr>
        <w:t>homo</w:t>
      </w:r>
      <w:r w:rsidR="08295666" w:rsidRPr="00273106">
        <w:t xml:space="preserve"> a jeho specifické určení v rámci racionality nebo obecné rodové určení v rámci animality (</w:t>
      </w:r>
      <w:r w:rsidR="08295666" w:rsidRPr="00273106">
        <w:rPr>
          <w:i/>
          <w:szCs w:val="18"/>
        </w:rPr>
        <w:t>animali rationali</w:t>
      </w:r>
      <w:r w:rsidR="08295666" w:rsidRPr="00273106">
        <w:rPr>
          <w:i/>
        </w:rPr>
        <w:t xml:space="preserve"> </w:t>
      </w:r>
      <w:r w:rsidR="08295666" w:rsidRPr="00273106">
        <w:rPr>
          <w:i/>
          <w:szCs w:val="18"/>
        </w:rPr>
        <w:t>mortali</w:t>
      </w:r>
      <w:r w:rsidR="08295666" w:rsidRPr="00273106">
        <w:t xml:space="preserve">). </w:t>
      </w:r>
      <w:r w:rsidR="004777C6">
        <w:t xml:space="preserve">Ale z modu kategoriální hyparchické predikace </w:t>
      </w:r>
      <w:r w:rsidR="006A40D2">
        <w:t xml:space="preserve">dané </w:t>
      </w:r>
      <w:r w:rsidR="006A40D2" w:rsidRPr="006A40D2">
        <w:rPr>
          <w:i/>
        </w:rPr>
        <w:t>per prius</w:t>
      </w:r>
      <w:r w:rsidR="006A40D2">
        <w:t xml:space="preserve"> </w:t>
      </w:r>
      <w:r w:rsidR="004777C6">
        <w:t xml:space="preserve">platí, že obecný význam </w:t>
      </w:r>
      <w:r w:rsidR="08F17269" w:rsidRPr="08F17269">
        <w:rPr>
          <w:i/>
        </w:rPr>
        <w:t>homo</w:t>
      </w:r>
      <w:r w:rsidR="08F17269">
        <w:t xml:space="preserve"> </w:t>
      </w:r>
      <w:r w:rsidR="08530AA1">
        <w:t xml:space="preserve">nemůže jít </w:t>
      </w:r>
      <w:r w:rsidR="004777C6">
        <w:t>k</w:t>
      </w:r>
      <w:r w:rsidR="08F17269">
        <w:t xml:space="preserve"> reálnému </w:t>
      </w:r>
      <w:r w:rsidR="004777C6">
        <w:t>Sokratovi</w:t>
      </w:r>
      <w:r w:rsidR="006A40D2">
        <w:t xml:space="preserve"> (</w:t>
      </w:r>
      <w:r w:rsidR="006A40D2" w:rsidRPr="00455B88">
        <w:rPr>
          <w:i/>
          <w:szCs w:val="18"/>
        </w:rPr>
        <w:t>non etiam</w:t>
      </w:r>
      <w:r w:rsidR="006A40D2" w:rsidRPr="00455B88">
        <w:rPr>
          <w:i/>
        </w:rPr>
        <w:t xml:space="preserve"> </w:t>
      </w:r>
      <w:r w:rsidR="006A40D2" w:rsidRPr="00455B88">
        <w:rPr>
          <w:i/>
          <w:szCs w:val="18"/>
        </w:rPr>
        <w:t>Socratem intelligimus</w:t>
      </w:r>
      <w:r w:rsidR="006A40D2">
        <w:t>)</w:t>
      </w:r>
      <w:r w:rsidR="087056C5">
        <w:t>.</w:t>
      </w:r>
      <w:r w:rsidR="087379C7">
        <w:t xml:space="preserve"> </w:t>
      </w:r>
      <w:r w:rsidR="087056C5">
        <w:t xml:space="preserve">Kategoriální </w:t>
      </w:r>
      <w:r w:rsidR="08844A1D">
        <w:t xml:space="preserve">význam vytváří </w:t>
      </w:r>
      <w:r w:rsidR="004777C6">
        <w:t>obecné určení</w:t>
      </w:r>
      <w:r w:rsidR="087056C5">
        <w:t>, které stojí na místě Sokrata (</w:t>
      </w:r>
      <w:r w:rsidR="087056C5" w:rsidRPr="087056C5">
        <w:rPr>
          <w:i/>
        </w:rPr>
        <w:t>supponit pro</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rsidR="087056C5">
        <w:t>)</w:t>
      </w:r>
      <w:r w:rsidR="004777C6">
        <w:t xml:space="preserve">. </w:t>
      </w:r>
      <w:r w:rsidR="003D5137">
        <w:t xml:space="preserve">Opět je ve hře pojetí pojetí </w:t>
      </w:r>
      <w:r w:rsidR="08530AA1">
        <w:t xml:space="preserve">univoční </w:t>
      </w:r>
      <w:r w:rsidR="003D5137">
        <w:t xml:space="preserve">impozice </w:t>
      </w:r>
      <w:r w:rsidR="08530AA1">
        <w:t xml:space="preserve">významu </w:t>
      </w:r>
      <w:r w:rsidR="003D5137">
        <w:t xml:space="preserve">od </w:t>
      </w:r>
      <w:r w:rsidR="08530AA1">
        <w:t xml:space="preserve">hyparchické </w:t>
      </w:r>
      <w:r w:rsidR="003D5137">
        <w:t>reálné jednotliviny a z něj vyplývající univoční kategoriální supozice</w:t>
      </w:r>
      <w:r w:rsidR="00541CB2">
        <w:fldChar w:fldCharType="begin"/>
      </w:r>
      <w:r w:rsidR="00541CB2">
        <w:instrText xml:space="preserve"> XE "supozice:kategoriální" </w:instrText>
      </w:r>
      <w:r w:rsidR="00541CB2">
        <w:fldChar w:fldCharType="end"/>
      </w:r>
      <w:r w:rsidR="003D5137">
        <w:t xml:space="preserve">. </w:t>
      </w:r>
      <w:r w:rsidR="00CB3E4F">
        <w:rPr>
          <w:szCs w:val="18"/>
        </w:rPr>
        <w:t>Abélard</w:t>
      </w:r>
      <w:r w:rsidR="004777C6">
        <w:rPr>
          <w:szCs w:val="18"/>
        </w:rPr>
        <w:t xml:space="preserve"> v této pasáži </w:t>
      </w:r>
      <w:r w:rsidRPr="00273106">
        <w:rPr>
          <w:szCs w:val="18"/>
        </w:rPr>
        <w:t>varuje před omylem</w:t>
      </w:r>
      <w:r w:rsidR="00E91BCC" w:rsidRPr="00273106">
        <w:rPr>
          <w:szCs w:val="18"/>
        </w:rPr>
        <w:t xml:space="preserve"> </w:t>
      </w:r>
      <w:r w:rsidR="006C1C27">
        <w:rPr>
          <w:szCs w:val="18"/>
        </w:rPr>
        <w:t>jeho sofistických současníků</w:t>
      </w:r>
      <w:r w:rsidRPr="00273106">
        <w:rPr>
          <w:szCs w:val="18"/>
        </w:rPr>
        <w:t xml:space="preserve">, kteří otočili pořadí impozice. Citát zdůrazňuje s odkazem na Aristotela, že univerzální </w:t>
      </w:r>
      <w:r w:rsidR="006A04C6" w:rsidRPr="006A04C6">
        <w:rPr>
          <w:szCs w:val="18"/>
        </w:rPr>
        <w:t>species</w:t>
      </w:r>
      <w:r w:rsidRPr="00273106">
        <w:rPr>
          <w:szCs w:val="18"/>
        </w:rPr>
        <w:t xml:space="preserve"> je dan</w:t>
      </w:r>
      <w:r w:rsidR="08A84214">
        <w:rPr>
          <w:szCs w:val="18"/>
        </w:rPr>
        <w:t>á</w:t>
      </w:r>
      <w:r w:rsidRPr="00273106">
        <w:rPr>
          <w:szCs w:val="18"/>
        </w:rPr>
        <w:t xml:space="preserve"> </w:t>
      </w:r>
      <w:r w:rsidR="00F02987" w:rsidRPr="00F02987">
        <w:rPr>
          <w:i/>
          <w:szCs w:val="18"/>
        </w:rPr>
        <w:t>per prius</w:t>
      </w:r>
      <w:r w:rsidR="00F02987">
        <w:rPr>
          <w:szCs w:val="18"/>
        </w:rPr>
        <w:t xml:space="preserve"> pouze </w:t>
      </w:r>
      <w:r w:rsidRPr="00273106">
        <w:rPr>
          <w:szCs w:val="18"/>
        </w:rPr>
        <w:t xml:space="preserve">v mysli a v následném aktu </w:t>
      </w:r>
      <w:r w:rsidR="08A84214">
        <w:rPr>
          <w:szCs w:val="18"/>
        </w:rPr>
        <w:t xml:space="preserve">supozice </w:t>
      </w:r>
      <w:r w:rsidRPr="00273106">
        <w:rPr>
          <w:szCs w:val="18"/>
        </w:rPr>
        <w:t>determinuje jednotlivinu</w:t>
      </w:r>
      <w:r w:rsidR="00E1295D">
        <w:rPr>
          <w:szCs w:val="18"/>
        </w:rPr>
        <w:t xml:space="preserve"> pouze specificky</w:t>
      </w:r>
      <w:r w:rsidRPr="00273106">
        <w:rPr>
          <w:szCs w:val="18"/>
        </w:rPr>
        <w:t xml:space="preserve">. </w:t>
      </w:r>
      <w:r w:rsidR="084C76A6">
        <w:t xml:space="preserve">Pak má supozice daná nominálně pouze </w:t>
      </w:r>
      <w:r w:rsidR="084C76A6">
        <w:rPr>
          <w:szCs w:val="18"/>
        </w:rPr>
        <w:t xml:space="preserve">univerzální </w:t>
      </w:r>
      <w:r w:rsidR="00A115FD" w:rsidRPr="00273106">
        <w:rPr>
          <w:szCs w:val="18"/>
        </w:rPr>
        <w:t>význam (</w:t>
      </w:r>
      <w:r w:rsidR="00A115FD" w:rsidRPr="00273106">
        <w:rPr>
          <w:i/>
          <w:szCs w:val="18"/>
        </w:rPr>
        <w:t xml:space="preserve">ex </w:t>
      </w:r>
      <w:r w:rsidR="00A115FD" w:rsidRPr="00273106">
        <w:rPr>
          <w:i/>
          <w:szCs w:val="19"/>
        </w:rPr>
        <w:t xml:space="preserve">'hominis' </w:t>
      </w:r>
      <w:r w:rsidR="00A115FD" w:rsidRPr="00273106">
        <w:rPr>
          <w:i/>
          <w:szCs w:val="18"/>
        </w:rPr>
        <w:t xml:space="preserve">enim vocabulo tantum </w:t>
      </w:r>
      <w:r w:rsidR="00A115FD" w:rsidRPr="00273106">
        <w:rPr>
          <w:i/>
          <w:szCs w:val="19"/>
        </w:rPr>
        <w:t xml:space="preserve">'animal rationale mortale' </w:t>
      </w:r>
      <w:r w:rsidR="00A115FD" w:rsidRPr="00273106">
        <w:rPr>
          <w:i/>
          <w:szCs w:val="18"/>
        </w:rPr>
        <w:t>concipimus</w:t>
      </w:r>
      <w:r w:rsidR="00A115FD" w:rsidRPr="00273106">
        <w:rPr>
          <w:szCs w:val="18"/>
        </w:rPr>
        <w:t xml:space="preserve">). </w:t>
      </w:r>
      <w:r w:rsidR="00BA7B82">
        <w:rPr>
          <w:szCs w:val="18"/>
        </w:rPr>
        <w:t>Koncept, neboli početí významu v mysli, nemá univoční charakter</w:t>
      </w:r>
      <w:r w:rsidR="084C76A6">
        <w:rPr>
          <w:szCs w:val="18"/>
        </w:rPr>
        <w:t xml:space="preserve"> sám od sebe</w:t>
      </w:r>
      <w:r w:rsidR="00BA7B82">
        <w:rPr>
          <w:szCs w:val="18"/>
        </w:rPr>
        <w:t xml:space="preserve">, jak se domnívá </w:t>
      </w:r>
      <w:r w:rsidR="080145FE">
        <w:rPr>
          <w:szCs w:val="18"/>
        </w:rPr>
        <w:t xml:space="preserve">pomýlená </w:t>
      </w:r>
      <w:r w:rsidR="00BA7B82">
        <w:rPr>
          <w:szCs w:val="18"/>
        </w:rPr>
        <w:t xml:space="preserve">moderna. </w:t>
      </w:r>
      <w:r w:rsidR="006D79F5">
        <w:rPr>
          <w:szCs w:val="18"/>
        </w:rPr>
        <w:t xml:space="preserve">Supozice významu v mysli může a nemusí být dána skrze impozici významu od první substance. </w:t>
      </w:r>
      <w:r w:rsidR="08E31F95">
        <w:rPr>
          <w:szCs w:val="18"/>
        </w:rPr>
        <w:t>Člověk existuje, ale ch</w:t>
      </w:r>
      <w:r w:rsidR="088D2046">
        <w:rPr>
          <w:szCs w:val="18"/>
        </w:rPr>
        <w:t>imé</w:t>
      </w:r>
      <w:r w:rsidR="08E31F95">
        <w:rPr>
          <w:szCs w:val="18"/>
        </w:rPr>
        <w:t>ra</w:t>
      </w:r>
      <w:r w:rsidR="088D2046">
        <w:rPr>
          <w:szCs w:val="18"/>
        </w:rPr>
        <w:fldChar w:fldCharType="begin"/>
      </w:r>
      <w:r w:rsidR="088D2046">
        <w:instrText xml:space="preserve"> XE "</w:instrText>
      </w:r>
      <w:r w:rsidR="088D2046" w:rsidRPr="088775E0">
        <w:rPr>
          <w:szCs w:val="18"/>
        </w:rPr>
        <w:instrText>chiméra</w:instrText>
      </w:r>
      <w:r w:rsidR="088D2046">
        <w:instrText xml:space="preserve">" </w:instrText>
      </w:r>
      <w:r w:rsidR="088D2046">
        <w:rPr>
          <w:szCs w:val="18"/>
        </w:rPr>
        <w:fldChar w:fldCharType="end"/>
      </w:r>
      <w:r w:rsidR="08E31F95">
        <w:rPr>
          <w:szCs w:val="18"/>
        </w:rPr>
        <w:t xml:space="preserve"> nikoliv. </w:t>
      </w:r>
      <w:r w:rsidR="084C76A6" w:rsidRPr="00273106">
        <w:rPr>
          <w:szCs w:val="18"/>
        </w:rPr>
        <w:t xml:space="preserve">Konkrétní věc participuje na univerzálním určení  </w:t>
      </w:r>
      <w:r w:rsidR="006A04C6" w:rsidRPr="006A04C6">
        <w:rPr>
          <w:szCs w:val="18"/>
        </w:rPr>
        <w:t>species</w:t>
      </w:r>
      <w:r w:rsidR="084C76A6" w:rsidRPr="00273106">
        <w:rPr>
          <w:szCs w:val="18"/>
        </w:rPr>
        <w:t xml:space="preserve"> aktem impozice (</w:t>
      </w:r>
      <w:r w:rsidR="084C76A6" w:rsidRPr="00273106">
        <w:rPr>
          <w:i/>
          <w:szCs w:val="18"/>
        </w:rPr>
        <w:t>speciem participant</w:t>
      </w:r>
      <w:r w:rsidR="084C76A6" w:rsidRPr="00273106">
        <w:t xml:space="preserve">). </w:t>
      </w:r>
      <w:r w:rsidR="00B84C75">
        <w:rPr>
          <w:szCs w:val="18"/>
        </w:rPr>
        <w:t>Nominální k</w:t>
      </w:r>
      <w:r w:rsidR="00B84C75" w:rsidRPr="00273106">
        <w:rPr>
          <w:szCs w:val="18"/>
        </w:rPr>
        <w:t xml:space="preserve">oncept </w:t>
      </w:r>
      <w:r w:rsidR="00B84C75">
        <w:rPr>
          <w:szCs w:val="18"/>
        </w:rPr>
        <w:t xml:space="preserve">člověka jako abstraktního individua </w:t>
      </w:r>
      <w:r w:rsidR="08E20832">
        <w:rPr>
          <w:szCs w:val="18"/>
        </w:rPr>
        <w:t xml:space="preserve">daný supozicí univerzálního významu </w:t>
      </w:r>
      <w:r w:rsidR="08E20832" w:rsidRPr="08E20832">
        <w:rPr>
          <w:i/>
          <w:szCs w:val="18"/>
        </w:rPr>
        <w:t>homo</w:t>
      </w:r>
      <w:r w:rsidR="08E20832">
        <w:rPr>
          <w:szCs w:val="18"/>
        </w:rPr>
        <w:t xml:space="preserve"> </w:t>
      </w:r>
      <w:r w:rsidR="00B84C75" w:rsidRPr="00273106">
        <w:rPr>
          <w:szCs w:val="18"/>
        </w:rPr>
        <w:t xml:space="preserve">se </w:t>
      </w:r>
      <w:r w:rsidR="00B84C75">
        <w:rPr>
          <w:szCs w:val="18"/>
        </w:rPr>
        <w:t xml:space="preserve">proto </w:t>
      </w:r>
      <w:r w:rsidR="00B84C75" w:rsidRPr="00273106">
        <w:rPr>
          <w:szCs w:val="18"/>
        </w:rPr>
        <w:t xml:space="preserve">zásadně liší od </w:t>
      </w:r>
      <w:r w:rsidR="08E20832">
        <w:rPr>
          <w:szCs w:val="18"/>
        </w:rPr>
        <w:t xml:space="preserve">kategoriální </w:t>
      </w:r>
      <w:r w:rsidR="08906B71">
        <w:rPr>
          <w:szCs w:val="18"/>
        </w:rPr>
        <w:t xml:space="preserve">univoční </w:t>
      </w:r>
      <w:r w:rsidR="08E20832">
        <w:rPr>
          <w:szCs w:val="18"/>
        </w:rPr>
        <w:t xml:space="preserve">predikace dané impozicí významu „Sokrates“ od </w:t>
      </w:r>
      <w:r w:rsidR="00B84C75">
        <w:rPr>
          <w:szCs w:val="18"/>
        </w:rPr>
        <w:t xml:space="preserve">reálné osoby. </w:t>
      </w:r>
      <w:r w:rsidR="08906B71">
        <w:rPr>
          <w:szCs w:val="18"/>
        </w:rPr>
        <w:t>N</w:t>
      </w:r>
      <w:r w:rsidR="00455680">
        <w:rPr>
          <w:szCs w:val="18"/>
        </w:rPr>
        <w:t xml:space="preserve">avíc zásadně platí, že </w:t>
      </w:r>
      <w:r w:rsidR="006A04C6" w:rsidRPr="006A04C6">
        <w:rPr>
          <w:szCs w:val="18"/>
        </w:rPr>
        <w:t>species</w:t>
      </w:r>
      <w:r w:rsidRPr="00273106">
        <w:rPr>
          <w:szCs w:val="18"/>
        </w:rPr>
        <w:t xml:space="preserve"> </w:t>
      </w:r>
      <w:r w:rsidR="008B5DFE">
        <w:rPr>
          <w:szCs w:val="18"/>
        </w:rPr>
        <w:t xml:space="preserve">jako univerzálie </w:t>
      </w:r>
      <w:r w:rsidRPr="00273106">
        <w:rPr>
          <w:szCs w:val="18"/>
        </w:rPr>
        <w:t xml:space="preserve">nemůže v žádném případě tvořit součást </w:t>
      </w:r>
      <w:r w:rsidR="002A6AF6">
        <w:rPr>
          <w:szCs w:val="18"/>
        </w:rPr>
        <w:t xml:space="preserve">bytí </w:t>
      </w:r>
      <w:r w:rsidR="002C57F9">
        <w:rPr>
          <w:szCs w:val="18"/>
        </w:rPr>
        <w:t>Sokrata jako reálné první substance</w:t>
      </w:r>
      <w:r w:rsidR="00A70FA4">
        <w:rPr>
          <w:szCs w:val="18"/>
        </w:rPr>
        <w:fldChar w:fldCharType="begin"/>
      </w:r>
      <w:r w:rsidR="00A70FA4">
        <w:instrText xml:space="preserve"> XE "</w:instrText>
      </w:r>
      <w:r w:rsidR="00A70FA4" w:rsidRPr="00DE2A32">
        <w:instrText>substance</w:instrText>
      </w:r>
      <w:r w:rsidR="00140CDF">
        <w:instrText>:</w:instrText>
      </w:r>
      <w:r w:rsidR="00140CDF" w:rsidRPr="08CE63C5">
        <w:rPr>
          <w:i/>
        </w:rPr>
        <w:instrText>species</w:instrText>
      </w:r>
      <w:r w:rsidR="00A70FA4">
        <w:instrText xml:space="preserve">" </w:instrText>
      </w:r>
      <w:r w:rsidR="00A70FA4">
        <w:rPr>
          <w:szCs w:val="18"/>
        </w:rPr>
        <w:fldChar w:fldCharType="end"/>
      </w:r>
      <w:r w:rsidRPr="00273106">
        <w:rPr>
          <w:szCs w:val="18"/>
        </w:rPr>
        <w:t xml:space="preserve">. </w:t>
      </w:r>
      <w:r w:rsidR="00A70345">
        <w:rPr>
          <w:szCs w:val="18"/>
        </w:rPr>
        <w:t>Pravdivé p</w:t>
      </w:r>
      <w:r w:rsidR="00886568">
        <w:rPr>
          <w:szCs w:val="18"/>
        </w:rPr>
        <w:t xml:space="preserve">oznání jednotliviny je </w:t>
      </w:r>
      <w:r w:rsidR="00A70345">
        <w:rPr>
          <w:szCs w:val="18"/>
        </w:rPr>
        <w:t xml:space="preserve">vytvořeno </w:t>
      </w:r>
      <w:r w:rsidR="003531C1">
        <w:rPr>
          <w:szCs w:val="18"/>
        </w:rPr>
        <w:t xml:space="preserve">pouze a jedině </w:t>
      </w:r>
      <w:r w:rsidR="00886568">
        <w:rPr>
          <w:szCs w:val="18"/>
        </w:rPr>
        <w:t xml:space="preserve">skrze </w:t>
      </w:r>
      <w:r w:rsidR="006059D8">
        <w:rPr>
          <w:szCs w:val="18"/>
        </w:rPr>
        <w:t xml:space="preserve">impozici významu směrem od reálné </w:t>
      </w:r>
      <w:r w:rsidR="00F46649">
        <w:rPr>
          <w:szCs w:val="18"/>
        </w:rPr>
        <w:t>první substance</w:t>
      </w:r>
      <w:r w:rsidRPr="00273106">
        <w:rPr>
          <w:szCs w:val="18"/>
        </w:rPr>
        <w:t xml:space="preserve">. </w:t>
      </w:r>
      <w:r w:rsidR="003531C1">
        <w:rPr>
          <w:szCs w:val="18"/>
        </w:rPr>
        <w:t>Čím je první substance v reálu, takovou podobnost musí vytvořit mysl v rámci uni</w:t>
      </w:r>
      <w:r w:rsidR="00ED521A">
        <w:rPr>
          <w:szCs w:val="18"/>
        </w:rPr>
        <w:t>voční kategoriální predikace v univer</w:t>
      </w:r>
      <w:r w:rsidR="00E61429">
        <w:rPr>
          <w:szCs w:val="18"/>
        </w:rPr>
        <w:t>z</w:t>
      </w:r>
      <w:r w:rsidR="00ED521A">
        <w:rPr>
          <w:szCs w:val="18"/>
        </w:rPr>
        <w:t xml:space="preserve">ální </w:t>
      </w:r>
      <w:r w:rsidR="003531C1">
        <w:rPr>
          <w:szCs w:val="18"/>
        </w:rPr>
        <w:t xml:space="preserve">druhé substanci. </w:t>
      </w:r>
      <w:r w:rsidR="00F2336A" w:rsidRPr="00273106">
        <w:t xml:space="preserve">Pojmenování v rámci </w:t>
      </w:r>
      <w:r w:rsidR="002E18FD">
        <w:t xml:space="preserve">pravdivého a univočního </w:t>
      </w:r>
      <w:r w:rsidR="00F2336A" w:rsidRPr="00273106">
        <w:t xml:space="preserve">významu </w:t>
      </w:r>
      <w:r w:rsidRPr="00273106">
        <w:t xml:space="preserve">vzniká v aktu abstrakce </w:t>
      </w:r>
      <w:r w:rsidR="08396AF3">
        <w:t>od</w:t>
      </w:r>
      <w:r w:rsidR="00F2336A" w:rsidRPr="00273106">
        <w:t xml:space="preserve"> jednotlivé věci</w:t>
      </w:r>
      <w:r w:rsidR="00035353">
        <w:t>,</w:t>
      </w:r>
      <w:r w:rsidR="00D81F2B" w:rsidRPr="00273106">
        <w:t xml:space="preserve"> a to</w:t>
      </w:r>
      <w:r w:rsidR="00DB54D5" w:rsidRPr="00273106">
        <w:t xml:space="preserve"> </w:t>
      </w:r>
      <w:r w:rsidR="00D81F2B" w:rsidRPr="00273106">
        <w:t xml:space="preserve">rámci </w:t>
      </w:r>
      <w:r w:rsidR="08B9566B">
        <w:t xml:space="preserve">univočního </w:t>
      </w:r>
      <w:r w:rsidR="00D81F2B" w:rsidRPr="00273106">
        <w:t xml:space="preserve">určení </w:t>
      </w:r>
      <w:r w:rsidR="08B9566B">
        <w:t>hyparchické</w:t>
      </w:r>
      <w:r w:rsidR="08B9566B" w:rsidRPr="00273106">
        <w:t xml:space="preserve"> </w:t>
      </w:r>
      <w:r w:rsidR="00D81F2B" w:rsidRPr="00273106">
        <w:t>prvn</w:t>
      </w:r>
      <w:r w:rsidR="00DB54D5" w:rsidRPr="00273106">
        <w:t>í substance</w:t>
      </w:r>
      <w:r w:rsidR="00E05437">
        <w:t xml:space="preserve"> </w:t>
      </w:r>
      <w:r w:rsidR="00FB224F">
        <w:t xml:space="preserve">dané </w:t>
      </w:r>
      <w:r w:rsidR="00FB224F" w:rsidRPr="00FB224F">
        <w:rPr>
          <w:i/>
        </w:rPr>
        <w:t>per se</w:t>
      </w:r>
      <w:r w:rsidR="00FB224F">
        <w:t xml:space="preserve"> a nedělitelně (</w:t>
      </w:r>
      <w:r w:rsidR="00E05437" w:rsidRPr="00F77403">
        <w:rPr>
          <w:i/>
          <w:szCs w:val="18"/>
        </w:rPr>
        <w:t>ex ipsa individuis</w:t>
      </w:r>
      <w:r w:rsidR="00E05437" w:rsidRPr="00F77403">
        <w:rPr>
          <w:i/>
        </w:rPr>
        <w:t xml:space="preserve"> </w:t>
      </w:r>
      <w:r w:rsidR="00E05437" w:rsidRPr="00F77403">
        <w:rPr>
          <w:i/>
          <w:szCs w:val="18"/>
        </w:rPr>
        <w:t>ipsius</w:t>
      </w:r>
      <w:r w:rsidR="00E05437">
        <w:t>)</w:t>
      </w:r>
      <w:r w:rsidR="009F20E7">
        <w:t xml:space="preserve">. </w:t>
      </w:r>
      <w:r w:rsidR="003F2B6B">
        <w:t>Epochální indikace skr</w:t>
      </w:r>
      <w:r w:rsidR="08396AF3">
        <w:t xml:space="preserve">ytá v termínu </w:t>
      </w:r>
      <w:r w:rsidR="00035353" w:rsidRPr="00035353">
        <w:rPr>
          <w:i/>
        </w:rPr>
        <w:t>ex ipsa individuis</w:t>
      </w:r>
      <w:r w:rsidR="00035353">
        <w:t xml:space="preserve"> má klíčový charakter, protože ukazuje </w:t>
      </w:r>
      <w:r w:rsidR="00035353" w:rsidRPr="00035353">
        <w:rPr>
          <w:i/>
        </w:rPr>
        <w:t>Lichtung</w:t>
      </w:r>
      <w:r w:rsidR="00035353">
        <w:t xml:space="preserve"> dalšího kola sporu</w:t>
      </w:r>
      <w:r w:rsidR="000A65AF">
        <w:t xml:space="preserve"> o objektivitu</w:t>
      </w:r>
      <w:r w:rsidR="00035353">
        <w:t xml:space="preserve">. Buď jde impozice od porretánského </w:t>
      </w:r>
      <w:r w:rsidR="00035353">
        <w:lastRenderedPageBreak/>
        <w:t>jsoucna třetího druhu (</w:t>
      </w:r>
      <w:r w:rsidR="00035353" w:rsidRPr="00035353">
        <w:rPr>
          <w:i/>
        </w:rPr>
        <w:t>individuum</w:t>
      </w:r>
      <w:r w:rsidR="00035353">
        <w:t>), nebo od první substance</w:t>
      </w:r>
      <w:r w:rsidR="00140CDF">
        <w:rPr>
          <w:i/>
        </w:rPr>
        <w:fldChar w:fldCharType="begin"/>
      </w:r>
      <w:r w:rsidR="00140CDF">
        <w:instrText xml:space="preserve"> XE "</w:instrText>
      </w:r>
      <w:r w:rsidR="00140CDF" w:rsidRPr="002F10B4">
        <w:rPr>
          <w:rStyle w:val="Zvraznn"/>
        </w:rPr>
        <w:instrText>tertium ens</w:instrText>
      </w:r>
      <w:r w:rsidR="00140CDF" w:rsidRPr="00801AEE">
        <w:rPr>
          <w:rStyle w:val="Zvraznn"/>
          <w:i w:val="0"/>
        </w:rPr>
        <w:instrText>:Abelardova kritika</w:instrText>
      </w:r>
      <w:r w:rsidR="00140CDF">
        <w:instrText xml:space="preserve">" </w:instrText>
      </w:r>
      <w:r w:rsidR="00140CDF">
        <w:rPr>
          <w:i/>
        </w:rPr>
        <w:fldChar w:fldCharType="end"/>
      </w:r>
      <w:r w:rsidR="00035353">
        <w:t xml:space="preserve">. </w:t>
      </w:r>
      <w:r w:rsidR="00941B92">
        <w:t>G</w:t>
      </w:r>
      <w:r w:rsidR="009F20E7">
        <w:t xml:space="preserve">enerace moderních </w:t>
      </w:r>
      <w:r w:rsidR="009F20E7" w:rsidRPr="00941B92">
        <w:rPr>
          <w:i/>
        </w:rPr>
        <w:t>Nominales</w:t>
      </w:r>
      <w:r w:rsidR="009F20E7">
        <w:t xml:space="preserve"> na Oxfordu </w:t>
      </w:r>
      <w:r w:rsidR="00941B92">
        <w:t xml:space="preserve">ovlivněná porretány </w:t>
      </w:r>
      <w:r w:rsidR="009F20E7">
        <w:t>zanedbala základní dráhu náhledu na jsoucna (</w:t>
      </w:r>
      <w:r w:rsidR="0045057B">
        <w:rPr>
          <w:i/>
        </w:rPr>
        <w:t>Vor</w:t>
      </w:r>
      <w:r w:rsidR="0045057B">
        <w:rPr>
          <w:i/>
        </w:rPr>
        <w:noBreakHyphen/>
      </w:r>
      <w:r w:rsidR="009F20E7" w:rsidRPr="009F20E7">
        <w:rPr>
          <w:i/>
        </w:rPr>
        <w:t>blickbahn</w:t>
      </w:r>
      <w:r w:rsidR="006B28CF">
        <w:rPr>
          <w:i/>
        </w:rPr>
        <w:fldChar w:fldCharType="begin"/>
      </w:r>
      <w:r w:rsidR="006B28CF">
        <w:instrText xml:space="preserve"> XE "</w:instrText>
      </w:r>
      <w:r w:rsidR="08106DC9">
        <w:rPr>
          <w:i/>
        </w:rPr>
        <w:instrText>Vor-</w:instrText>
      </w:r>
      <w:r w:rsidR="006B28CF" w:rsidRPr="000C66F2">
        <w:rPr>
          <w:i/>
        </w:rPr>
        <w:instrText>b</w:instrText>
      </w:r>
      <w:r w:rsidR="006B28CF" w:rsidRPr="000C66F2">
        <w:rPr>
          <w:i/>
          <w:iCs/>
        </w:rPr>
        <w:instrText>lickbahn</w:instrText>
      </w:r>
      <w:r w:rsidR="005F66C3" w:rsidRPr="005F66C3">
        <w:rPr>
          <w:iCs/>
        </w:rPr>
        <w:instrText>:porretáni</w:instrText>
      </w:r>
      <w:r w:rsidR="006B28CF">
        <w:instrText xml:space="preserve">" </w:instrText>
      </w:r>
      <w:r w:rsidR="006B28CF">
        <w:rPr>
          <w:i/>
        </w:rPr>
        <w:fldChar w:fldCharType="end"/>
      </w:r>
      <w:r w:rsidR="009F20E7">
        <w:t xml:space="preserve">), odkud vzniká </w:t>
      </w:r>
      <w:r w:rsidR="00AB592A">
        <w:t>pravdivé poznání</w:t>
      </w:r>
      <w:r w:rsidR="009F20E7">
        <w:t xml:space="preserve">. </w:t>
      </w:r>
      <w:r w:rsidR="082F6469">
        <w:t xml:space="preserve">Moderna čte </w:t>
      </w:r>
      <w:r w:rsidR="00B821FB">
        <w:t>význam světa teologicko-dogmaticky</w:t>
      </w:r>
      <w:r w:rsidR="08FA3536">
        <w:t xml:space="preserve"> </w:t>
      </w:r>
      <w:r w:rsidR="00B821FB">
        <w:t>podle anglického neoplatonika Anselma, a ne filosoficko-kriticky podle pa</w:t>
      </w:r>
      <w:r w:rsidR="00D33C33">
        <w:t>řížského aristotelika Abelarda.</w:t>
      </w:r>
    </w:p>
    <w:p w14:paraId="3CABA4B1" w14:textId="2C49FE4B" w:rsidR="00D43020" w:rsidRDefault="004D2151" w:rsidP="00D33C33">
      <w:pPr>
        <w:ind w:firstLine="360"/>
      </w:pPr>
      <w:r>
        <w:t xml:space="preserve">Tento </w:t>
      </w:r>
      <w:r w:rsidR="08185179">
        <w:t xml:space="preserve">epochální </w:t>
      </w:r>
      <w:r w:rsidR="08185179" w:rsidRPr="00B821FB">
        <w:rPr>
          <w:i/>
        </w:rPr>
        <w:t>Ereignis</w:t>
      </w:r>
      <w:r w:rsidR="08185179">
        <w:t xml:space="preserve"> určuj</w:t>
      </w:r>
      <w:r>
        <w:t xml:space="preserve">e </w:t>
      </w:r>
      <w:r w:rsidR="08185179">
        <w:t>následné dějiny Západu</w:t>
      </w:r>
      <w:r>
        <w:t xml:space="preserve">. V něm </w:t>
      </w:r>
      <w:r w:rsidR="08185179">
        <w:t xml:space="preserve">je dána původní forma </w:t>
      </w:r>
      <w:r w:rsidR="08185179">
        <w:rPr>
          <w:i/>
        </w:rPr>
        <w:t>Oxford‒Paris S</w:t>
      </w:r>
      <w:r w:rsidR="08185179" w:rsidRPr="0809181A">
        <w:rPr>
          <w:i/>
        </w:rPr>
        <w:t>plit</w:t>
      </w:r>
      <w:r w:rsidR="08185179">
        <w:rPr>
          <w:i/>
        </w:rPr>
        <w:fldChar w:fldCharType="begin"/>
      </w:r>
      <w:r w:rsidR="08185179">
        <w:instrText xml:space="preserve"> XE "</w:instrText>
      </w:r>
      <w:r w:rsidR="08185179">
        <w:rPr>
          <w:i/>
        </w:rPr>
        <w:instrText>Oxford‒Paris S</w:instrText>
      </w:r>
      <w:r w:rsidR="08185179" w:rsidRPr="00B82DBD">
        <w:rPr>
          <w:i/>
        </w:rPr>
        <w:instrText>plit</w:instrText>
      </w:r>
      <w:r w:rsidR="08185179">
        <w:instrText xml:space="preserve">" </w:instrText>
      </w:r>
      <w:r w:rsidR="08185179">
        <w:rPr>
          <w:i/>
        </w:rPr>
        <w:fldChar w:fldCharType="end"/>
      </w:r>
      <w:r w:rsidR="08185179">
        <w:t xml:space="preserve">, který rozebírá </w:t>
      </w:r>
      <w:r w:rsidR="00076815">
        <w:t xml:space="preserve">Alain de </w:t>
      </w:r>
      <w:r w:rsidR="08185179">
        <w:t>Libera</w:t>
      </w:r>
      <w:r w:rsidR="08185179">
        <w:fldChar w:fldCharType="begin"/>
      </w:r>
      <w:r w:rsidR="08185179">
        <w:instrText xml:space="preserve"> XE "</w:instrText>
      </w:r>
      <w:r w:rsidR="08185179" w:rsidRPr="00E7016C">
        <w:instrText>Libera, A.</w:instrText>
      </w:r>
      <w:r w:rsidR="08185179">
        <w:instrText xml:space="preserve">" </w:instrText>
      </w:r>
      <w:r w:rsidR="08185179">
        <w:fldChar w:fldCharType="end"/>
      </w:r>
      <w:r w:rsidR="08185179">
        <w:t xml:space="preserve"> (</w:t>
      </w:r>
      <w:r w:rsidR="085E1615">
        <w:t>kap. 3.1.1</w:t>
      </w:r>
      <w:r w:rsidR="08185179">
        <w:t xml:space="preserve">). </w:t>
      </w:r>
      <w:r w:rsidR="009F20E7">
        <w:t xml:space="preserve">Další matrice ukáže, že tentýž spor </w:t>
      </w:r>
      <w:r w:rsidR="0868378F">
        <w:t xml:space="preserve">vedený na Pařížské univerzitě </w:t>
      </w:r>
      <w:r w:rsidR="009F20E7">
        <w:t>(Albert</w:t>
      </w:r>
      <w:r w:rsidR="00F07CAB">
        <w:t xml:space="preserve"> </w:t>
      </w:r>
      <w:r w:rsidR="00486021">
        <w:t xml:space="preserve">Veliký </w:t>
      </w:r>
      <w:r w:rsidR="00F07CAB">
        <w:t xml:space="preserve">a </w:t>
      </w:r>
      <w:r w:rsidR="00486021">
        <w:t xml:space="preserve">Roger </w:t>
      </w:r>
      <w:r w:rsidR="009F20E7">
        <w:t xml:space="preserve">Bacon versus </w:t>
      </w:r>
      <w:r w:rsidR="00F07CAB">
        <w:t xml:space="preserve">Rufus </w:t>
      </w:r>
      <w:r w:rsidR="00486021">
        <w:t xml:space="preserve">z Cornwallu </w:t>
      </w:r>
      <w:r w:rsidR="00F07CAB">
        <w:t xml:space="preserve">a </w:t>
      </w:r>
      <w:r w:rsidR="00486021">
        <w:t xml:space="preserve">Robert </w:t>
      </w:r>
      <w:r w:rsidR="009F20E7">
        <w:t xml:space="preserve">Kilwardby) </w:t>
      </w:r>
      <w:r w:rsidR="00941B92">
        <w:t xml:space="preserve">se </w:t>
      </w:r>
      <w:r w:rsidR="00EF564A">
        <w:t xml:space="preserve">již </w:t>
      </w:r>
      <w:r w:rsidR="009F20E7">
        <w:t xml:space="preserve">týkal výkladu </w:t>
      </w:r>
      <w:r w:rsidR="009F20E7" w:rsidRPr="00006236">
        <w:rPr>
          <w:i/>
        </w:rPr>
        <w:t>Druhých analytik</w:t>
      </w:r>
      <w:r w:rsidR="00CA408A">
        <w:rPr>
          <w:i/>
        </w:rPr>
        <w:t xml:space="preserve"> </w:t>
      </w:r>
      <w:r w:rsidR="00CA408A" w:rsidRPr="00CA408A">
        <w:t>a spisu</w:t>
      </w:r>
      <w:r w:rsidR="00CA408A">
        <w:rPr>
          <w:i/>
        </w:rPr>
        <w:t xml:space="preserve"> De anima</w:t>
      </w:r>
      <w:r w:rsidR="002D1CC8">
        <w:t>, nikoliv je</w:t>
      </w:r>
      <w:r w:rsidR="00AE51D8">
        <w:t>n</w:t>
      </w:r>
      <w:r w:rsidR="002D1CC8">
        <w:t xml:space="preserve"> </w:t>
      </w:r>
      <w:r w:rsidR="002D1CC8" w:rsidRPr="00006236">
        <w:rPr>
          <w:i/>
        </w:rPr>
        <w:t>Kategorií</w:t>
      </w:r>
      <w:r w:rsidR="002D1CC8">
        <w:t xml:space="preserve"> a </w:t>
      </w:r>
      <w:r w:rsidR="00006236">
        <w:rPr>
          <w:i/>
        </w:rPr>
        <w:t>Isagoge</w:t>
      </w:r>
      <w:r w:rsidR="00EF564A">
        <w:t xml:space="preserve">. Abelardem bráněný </w:t>
      </w:r>
      <w:r w:rsidR="009F20E7">
        <w:t xml:space="preserve">směr </w:t>
      </w:r>
      <w:r w:rsidR="08031554">
        <w:t xml:space="preserve">hyparchické </w:t>
      </w:r>
      <w:r w:rsidR="009F20E7">
        <w:t xml:space="preserve">predikace </w:t>
      </w:r>
      <w:r w:rsidR="08873810">
        <w:t xml:space="preserve">podle </w:t>
      </w:r>
      <w:r w:rsidR="08787ECE">
        <w:t xml:space="preserve">metafyzického </w:t>
      </w:r>
      <w:r w:rsidR="08873810">
        <w:t xml:space="preserve">dativu </w:t>
      </w:r>
      <w:r w:rsidR="080F6E83">
        <w:t>(</w:t>
      </w:r>
      <w:r w:rsidR="080F6E83" w:rsidRPr="080F6E83">
        <w:rPr>
          <w:i/>
        </w:rPr>
        <w:t>translatio</w:t>
      </w:r>
      <w:r w:rsidR="080F6E83">
        <w:rPr>
          <w:i/>
        </w:rPr>
        <w:fldChar w:fldCharType="begin"/>
      </w:r>
      <w:r w:rsidR="080F6E83">
        <w:instrText xml:space="preserve"> XE "</w:instrText>
      </w:r>
      <w:r w:rsidR="080F6E83" w:rsidRPr="0894333B">
        <w:rPr>
          <w:i/>
        </w:rPr>
        <w:instrText>translatio</w:instrText>
      </w:r>
      <w:r w:rsidR="080F6E83">
        <w:instrText xml:space="preserve">" </w:instrText>
      </w:r>
      <w:r w:rsidR="080F6E83">
        <w:rPr>
          <w:i/>
        </w:rPr>
        <w:fldChar w:fldCharType="end"/>
      </w:r>
      <w:r w:rsidR="080F6E83">
        <w:t xml:space="preserve">) </w:t>
      </w:r>
      <w:r w:rsidR="00AE51D8">
        <w:t xml:space="preserve">tematizují </w:t>
      </w:r>
      <w:r w:rsidR="00EF564A" w:rsidRPr="00006236">
        <w:rPr>
          <w:i/>
        </w:rPr>
        <w:t>Druh</w:t>
      </w:r>
      <w:r w:rsidR="00AE51D8" w:rsidRPr="00006236">
        <w:rPr>
          <w:i/>
        </w:rPr>
        <w:t xml:space="preserve">é </w:t>
      </w:r>
      <w:r w:rsidR="00EF564A" w:rsidRPr="00006236">
        <w:rPr>
          <w:i/>
        </w:rPr>
        <w:t>analytik</w:t>
      </w:r>
      <w:r w:rsidR="00AE51D8" w:rsidRPr="00006236">
        <w:rPr>
          <w:i/>
        </w:rPr>
        <w:t>y</w:t>
      </w:r>
      <w:r w:rsidR="00AE51D8">
        <w:t xml:space="preserve"> </w:t>
      </w:r>
      <w:r w:rsidR="009F20E7">
        <w:t>vý</w:t>
      </w:r>
      <w:r w:rsidR="088E28E5">
        <w:t xml:space="preserve">razem </w:t>
      </w:r>
      <w:r w:rsidR="08D91F67">
        <w:rPr>
          <w:i/>
        </w:rPr>
        <w:t>ex in</w:t>
      </w:r>
      <w:r w:rsidR="009F20E7" w:rsidRPr="009F20E7">
        <w:rPr>
          <w:i/>
        </w:rPr>
        <w:t>mediatis</w:t>
      </w:r>
      <w:r w:rsidR="005F66C3">
        <w:rPr>
          <w:i/>
        </w:rPr>
        <w:fldChar w:fldCharType="begin"/>
      </w:r>
      <w:r w:rsidR="005F66C3">
        <w:instrText xml:space="preserve"> XE "</w:instrText>
      </w:r>
      <w:r w:rsidR="002C39A5">
        <w:instrText>kauzalita:</w:instrText>
      </w:r>
      <w:r w:rsidR="08D91F67">
        <w:rPr>
          <w:i/>
        </w:rPr>
        <w:instrText>ex in</w:instrText>
      </w:r>
      <w:r w:rsidR="005F66C3" w:rsidRPr="00C70BD9">
        <w:rPr>
          <w:i/>
        </w:rPr>
        <w:instrText>mediatis</w:instrText>
      </w:r>
      <w:r w:rsidR="005F66C3">
        <w:instrText xml:space="preserve">" </w:instrText>
      </w:r>
      <w:r w:rsidR="005F66C3">
        <w:rPr>
          <w:i/>
        </w:rPr>
        <w:fldChar w:fldCharType="end"/>
      </w:r>
      <w:r w:rsidR="00476C75">
        <w:t xml:space="preserve"> postihujícím reálnou kauzalitu první substance ve středním členu demonstrativního soudu</w:t>
      </w:r>
      <w:r w:rsidR="00EF564A">
        <w:t xml:space="preserve"> </w:t>
      </w:r>
      <w:r w:rsidR="00EF564A" w:rsidRPr="00273106">
        <w:t>(ἔστι μέσον αὐτοῦ ἢ οὐκ ἔ</w:t>
      </w:r>
      <w:r w:rsidR="00EF564A">
        <w:t xml:space="preserve">στιν; </w:t>
      </w:r>
      <w:r w:rsidR="00EF564A" w:rsidRPr="000D0A80">
        <w:rPr>
          <w:i/>
        </w:rPr>
        <w:t>Anal. Post</w:t>
      </w:r>
      <w:r w:rsidR="00EF564A">
        <w:t xml:space="preserve">. </w:t>
      </w:r>
      <w:r w:rsidR="00EF564A" w:rsidRPr="00273106">
        <w:t>89b39</w:t>
      </w:r>
      <w:r w:rsidR="002C39A5">
        <w:fldChar w:fldCharType="begin"/>
      </w:r>
      <w:r w:rsidR="002C39A5">
        <w:instrText xml:space="preserve"> XE "</w:instrText>
      </w:r>
      <w:r w:rsidR="008E02F5">
        <w:instrText>Aristoteles</w:instrText>
      </w:r>
      <w:r w:rsidR="002C39A5">
        <w:instrText>:</w:instrText>
      </w:r>
      <w:r w:rsidR="002C39A5" w:rsidRPr="006A30AF">
        <w:rPr>
          <w:i/>
        </w:rPr>
        <w:instrText>Anal. Post</w:instrText>
      </w:r>
      <w:r w:rsidR="002C39A5" w:rsidRPr="006A30AF">
        <w:instrText>. 89b39</w:instrText>
      </w:r>
      <w:r w:rsidR="002C39A5">
        <w:instrText xml:space="preserve">" </w:instrText>
      </w:r>
      <w:r w:rsidR="002C39A5">
        <w:fldChar w:fldCharType="end"/>
      </w:r>
      <w:r w:rsidR="00EF564A" w:rsidRPr="00273106">
        <w:t>)</w:t>
      </w:r>
      <w:r w:rsidR="009F20E7">
        <w:t xml:space="preserve">. </w:t>
      </w:r>
      <w:r w:rsidR="00064D35">
        <w:t xml:space="preserve">Abelardova kritika </w:t>
      </w:r>
      <w:r w:rsidR="00064D35" w:rsidRPr="00064D35">
        <w:rPr>
          <w:i/>
        </w:rPr>
        <w:t>Nominales</w:t>
      </w:r>
      <w:r w:rsidR="00064D35">
        <w:t xml:space="preserve"> jasně ukazuje, kam se bude ubírat další vývoj. Buď univočně predikujeme stav reálné první substance</w:t>
      </w:r>
      <w:r w:rsidR="002A7664">
        <w:t xml:space="preserve"> pro</w:t>
      </w:r>
      <w:r w:rsidR="08031554">
        <w:t xml:space="preserve"> střední člen vědeckého důkazu v modu impozice</w:t>
      </w:r>
      <w:r w:rsidR="08CB1A11">
        <w:t>; n</w:t>
      </w:r>
      <w:r w:rsidR="00064D35">
        <w:t xml:space="preserve">ebo </w:t>
      </w:r>
      <w:r w:rsidR="002E18FD">
        <w:t xml:space="preserve">je </w:t>
      </w:r>
      <w:r w:rsidR="08031554">
        <w:t xml:space="preserve">supozice </w:t>
      </w:r>
      <w:r w:rsidR="002E18FD">
        <w:t xml:space="preserve">významu </w:t>
      </w:r>
      <w:r w:rsidR="002A7664">
        <w:t>dána pouze v mysli jako obecná</w:t>
      </w:r>
      <w:r w:rsidR="002E18FD">
        <w:t xml:space="preserve"> ekvivokace. </w:t>
      </w:r>
      <w:r w:rsidR="00F77403">
        <w:t>V</w:t>
      </w:r>
      <w:r w:rsidR="00AF0C0E">
        <w:t xml:space="preserve">ýznam a porozumění </w:t>
      </w:r>
      <w:r w:rsidR="006C661A">
        <w:t xml:space="preserve">univerzálie </w:t>
      </w:r>
      <w:r w:rsidR="00F77403">
        <w:t xml:space="preserve">je </w:t>
      </w:r>
      <w:r w:rsidR="00DB54D5" w:rsidRPr="00273106">
        <w:t xml:space="preserve">dán </w:t>
      </w:r>
      <w:r w:rsidR="00D11BA8">
        <w:t xml:space="preserve">místo samotné </w:t>
      </w:r>
      <w:r w:rsidR="08A956D0">
        <w:t>věci</w:t>
      </w:r>
      <w:r w:rsidR="006915DC">
        <w:t xml:space="preserve">, což označuje </w:t>
      </w:r>
      <w:r w:rsidR="00FB441F">
        <w:t xml:space="preserve">scholastický </w:t>
      </w:r>
      <w:r w:rsidR="08A956D0">
        <w:t xml:space="preserve">termín </w:t>
      </w:r>
      <w:r w:rsidR="006E52A6">
        <w:t>„</w:t>
      </w:r>
      <w:r w:rsidR="006915DC" w:rsidRPr="006915DC">
        <w:rPr>
          <w:i/>
        </w:rPr>
        <w:t>supponit pro</w:t>
      </w:r>
      <w:r w:rsidR="006E52A6">
        <w:t>“</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rsidR="00E61429">
        <w:t xml:space="preserve">. </w:t>
      </w:r>
      <w:r w:rsidR="08946E9B">
        <w:t>Pravdivá univoční s</w:t>
      </w:r>
      <w:r w:rsidR="00006236">
        <w:t>upozice o</w:t>
      </w:r>
      <w:r w:rsidR="00E61429">
        <w:t>značuje</w:t>
      </w:r>
      <w:r w:rsidR="00FD5D74">
        <w:t xml:space="preserve"> fakt, že druhá substance stojí v řádu </w:t>
      </w:r>
      <w:r w:rsidR="00BC094C">
        <w:t xml:space="preserve">obecné </w:t>
      </w:r>
      <w:r w:rsidR="005C1074">
        <w:t xml:space="preserve">impozice </w:t>
      </w:r>
      <w:r w:rsidR="08A956D0">
        <w:t>na místě</w:t>
      </w:r>
      <w:r w:rsidR="00FD5D74">
        <w:t xml:space="preserve"> </w:t>
      </w:r>
      <w:r w:rsidR="0897489F">
        <w:t xml:space="preserve">hyparchicky dané </w:t>
      </w:r>
      <w:r w:rsidR="00FD5D74">
        <w:t>první substance</w:t>
      </w:r>
      <w:r w:rsidR="006915DC">
        <w:t xml:space="preserve">. Pravdivá supozice je dána </w:t>
      </w:r>
      <w:r w:rsidR="00DB54D5" w:rsidRPr="00273106">
        <w:t xml:space="preserve">modu pravdivé řeči </w:t>
      </w:r>
      <w:r w:rsidR="00D81F2B" w:rsidRPr="00273106">
        <w:t>(</w:t>
      </w:r>
      <w:r w:rsidR="00D81F2B" w:rsidRPr="00273106">
        <w:rPr>
          <w:i/>
        </w:rPr>
        <w:t>oratio</w:t>
      </w:r>
      <w:r w:rsidR="00D81F2B" w:rsidRPr="00273106">
        <w:t xml:space="preserve">), </w:t>
      </w:r>
      <w:r w:rsidR="00DB54D5" w:rsidRPr="00273106">
        <w:t xml:space="preserve">nebo dokonce vědecké výpovědi </w:t>
      </w:r>
      <w:r w:rsidR="00D81F2B" w:rsidRPr="00273106">
        <w:t>(</w:t>
      </w:r>
      <w:r w:rsidR="00D81F2B"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38128E">
        <w:instrText>Abelard</w:instrText>
      </w:r>
      <w:r w:rsidR="00EE4D40">
        <w:instrText xml:space="preserve">" </w:instrText>
      </w:r>
      <w:r w:rsidR="00EE4D40">
        <w:rPr>
          <w:i/>
        </w:rPr>
        <w:fldChar w:fldCharType="end"/>
      </w:r>
      <w:r w:rsidR="0021033A">
        <w:t>), kdy o věci vypovídáme v modu katego</w:t>
      </w:r>
      <w:r w:rsidR="003B3D5F">
        <w:t>riální univočn</w:t>
      </w:r>
      <w:r w:rsidR="0021033A">
        <w:t>í predikace</w:t>
      </w:r>
      <w:r w:rsidR="0031547C" w:rsidRPr="00273106">
        <w:t xml:space="preserve">. </w:t>
      </w:r>
      <w:r w:rsidR="00CB3E4F">
        <w:t>Abélard</w:t>
      </w:r>
      <w:r w:rsidR="003C508E" w:rsidRPr="00273106">
        <w:t xml:space="preserve"> drží adekvační teorii pravdy, protože jasně rozlišuje mezi realitou a mezi její signifikací v mysli (Jacobi et al. 1996, 18–19). </w:t>
      </w:r>
      <w:r w:rsidR="00CB3E4F">
        <w:t>Abélard</w:t>
      </w:r>
      <w:r w:rsidR="00706109">
        <w:t xml:space="preserve"> jako g</w:t>
      </w:r>
      <w:r w:rsidR="00706109" w:rsidRPr="00273106">
        <w:t>ramatik oceňuje obecnější schopnost signifikace (</w:t>
      </w:r>
      <w:r w:rsidR="00706109" w:rsidRPr="00273106">
        <w:rPr>
          <w:i/>
        </w:rPr>
        <w:t>significare</w:t>
      </w:r>
      <w:r w:rsidR="00706109" w:rsidRPr="00273106">
        <w:t>) postavené</w:t>
      </w:r>
      <w:r w:rsidR="00706109">
        <w:t xml:space="preserve"> mimo existenciální propo</w:t>
      </w:r>
      <w:r w:rsidR="00035FFC">
        <w:t>zice. P</w:t>
      </w:r>
      <w:r w:rsidR="00706109">
        <w:t xml:space="preserve">odle Abelardova komentáře k </w:t>
      </w:r>
      <w:r w:rsidR="00706109" w:rsidRPr="00F55549">
        <w:rPr>
          <w:i/>
        </w:rPr>
        <w:t>De interpretatione</w:t>
      </w:r>
      <w:r w:rsidR="00706109">
        <w:t xml:space="preserve"> tato verbální forma signifikace otevírá porozumění</w:t>
      </w:r>
      <w:r w:rsidR="002B3D16">
        <w:t>.</w:t>
      </w:r>
      <w:r w:rsidR="002B3D16">
        <w:rPr>
          <w:rStyle w:val="Znakapoznpodarou"/>
        </w:rPr>
        <w:footnoteReference w:id="29"/>
      </w:r>
      <w:r w:rsidR="002B3D16">
        <w:t xml:space="preserve"> </w:t>
      </w:r>
      <w:r w:rsidR="0863444A">
        <w:t>Pravdivá b</w:t>
      </w:r>
      <w:r w:rsidR="00834ED8">
        <w:t>ásnická i</w:t>
      </w:r>
      <w:r w:rsidR="002B3D16">
        <w:t xml:space="preserve">nterpretace </w:t>
      </w:r>
      <w:r w:rsidR="089D1D2D">
        <w:t xml:space="preserve">ale </w:t>
      </w:r>
      <w:r w:rsidR="0863444A">
        <w:t xml:space="preserve">není </w:t>
      </w:r>
      <w:r w:rsidR="00834ED8">
        <w:t xml:space="preserve">vědeckou </w:t>
      </w:r>
      <w:r w:rsidR="087A01CB">
        <w:t>asignací</w:t>
      </w:r>
      <w:r w:rsidR="002B3D16">
        <w:t xml:space="preserve"> významu, pr</w:t>
      </w:r>
      <w:r w:rsidR="087A01CB">
        <w:t>otože obě formy sig</w:t>
      </w:r>
      <w:r w:rsidR="002B3D16">
        <w:t>nifikace se zásadně liší  (</w:t>
      </w:r>
      <w:r w:rsidR="002B3D16" w:rsidRPr="002B3D16">
        <w:rPr>
          <w:i/>
        </w:rPr>
        <w:t>interpretari vocem non est rem assignare, sed intellectum aperire</w:t>
      </w:r>
      <w:r w:rsidR="002B3D16">
        <w:t>)</w:t>
      </w:r>
      <w:r w:rsidR="00706109">
        <w:t xml:space="preserve">. </w:t>
      </w:r>
      <w:r w:rsidR="00834ED8">
        <w:t xml:space="preserve">Aristotelský </w:t>
      </w:r>
      <w:r w:rsidR="00706109">
        <w:t xml:space="preserve">metafyzik </w:t>
      </w:r>
      <w:r w:rsidR="00035FFC">
        <w:t xml:space="preserve">dobře </w:t>
      </w:r>
      <w:r w:rsidR="00706109">
        <w:t xml:space="preserve">ví, že jedině univoční kategoriální propozice </w:t>
      </w:r>
      <w:r w:rsidR="0857386B">
        <w:t xml:space="preserve">filosoficky </w:t>
      </w:r>
      <w:r w:rsidR="00706109" w:rsidRPr="00273106">
        <w:lastRenderedPageBreak/>
        <w:t>determinují pravdu a nepravdu.</w:t>
      </w:r>
      <w:r w:rsidR="00706109">
        <w:t xml:space="preserve"> </w:t>
      </w:r>
      <w:r w:rsidR="00CB3E4F">
        <w:t>Abélard</w:t>
      </w:r>
      <w:r w:rsidR="080E362A" w:rsidRPr="00273106">
        <w:t xml:space="preserve"> dělá jasný rozdíl mezi </w:t>
      </w:r>
      <w:r w:rsidR="080E362A">
        <w:t xml:space="preserve">dvěma druhy </w:t>
      </w:r>
      <w:r w:rsidR="080E362A" w:rsidRPr="00273106">
        <w:t>signifikac</w:t>
      </w:r>
      <w:r w:rsidR="080E362A">
        <w:t>e. Buď je impozice daná od věci; nebo je supozice daná jak od věci tak pouze z intelektu. Ale pouze v případě směrem od věci má výpov</w:t>
      </w:r>
      <w:r w:rsidR="000F088B">
        <w:t>ěď univoční kategoriální význam</w:t>
      </w:r>
      <w:r w:rsidR="080E362A" w:rsidRPr="08BE2778">
        <w:rPr>
          <w:szCs w:val="24"/>
        </w:rPr>
        <w:t>.</w:t>
      </w:r>
      <w:r w:rsidR="080E362A">
        <w:t xml:space="preserve"> </w:t>
      </w:r>
      <w:r w:rsidR="00FB441F" w:rsidRPr="00273106">
        <w:t>Proto má chiméra</w:t>
      </w:r>
      <w:r w:rsidR="00B2610C">
        <w:fldChar w:fldCharType="begin"/>
      </w:r>
      <w:r w:rsidR="00B2610C">
        <w:instrText xml:space="preserve"> XE "</w:instrText>
      </w:r>
      <w:r w:rsidR="00B2610C" w:rsidRPr="009316B3">
        <w:instrText>chiméra</w:instrText>
      </w:r>
      <w:r w:rsidR="00B2610C">
        <w:instrText xml:space="preserve">" </w:instrText>
      </w:r>
      <w:r w:rsidR="00B2610C">
        <w:fldChar w:fldCharType="end"/>
      </w:r>
      <w:r w:rsidR="00FB441F" w:rsidRPr="00273106">
        <w:t xml:space="preserve"> </w:t>
      </w:r>
      <w:r w:rsidR="002B3D16">
        <w:t xml:space="preserve">obecnou </w:t>
      </w:r>
      <w:r w:rsidR="00FB441F" w:rsidRPr="00273106">
        <w:t>signifikaci v řádu mluvy</w:t>
      </w:r>
      <w:r w:rsidR="00FB441F">
        <w:t xml:space="preserve">, kde v rámci supozice </w:t>
      </w:r>
      <w:r w:rsidR="08971931">
        <w:t xml:space="preserve">otevírá význam </w:t>
      </w:r>
      <w:r w:rsidR="002B3D16">
        <w:t>v mysli</w:t>
      </w:r>
      <w:r w:rsidR="00FB441F" w:rsidRPr="00273106">
        <w:t xml:space="preserve">, ale </w:t>
      </w:r>
      <w:r w:rsidR="00FB441F">
        <w:t xml:space="preserve">nemá </w:t>
      </w:r>
      <w:r w:rsidR="00C71DA6">
        <w:t xml:space="preserve">pravdivou </w:t>
      </w:r>
      <w:r w:rsidR="00FB441F" w:rsidRPr="00273106">
        <w:t>impozici od první substance</w:t>
      </w:r>
      <w:r w:rsidR="00541CB2">
        <w:fldChar w:fldCharType="begin"/>
      </w:r>
      <w:r w:rsidR="00541CB2">
        <w:instrText xml:space="preserve"> XE "supozice:univerzální" </w:instrText>
      </w:r>
      <w:r w:rsidR="00541CB2">
        <w:fldChar w:fldCharType="end"/>
      </w:r>
      <w:r w:rsidR="00FB441F" w:rsidRPr="00273106">
        <w:t>.</w:t>
      </w:r>
      <w:r w:rsidR="005C5E5F">
        <w:t xml:space="preserve"> </w:t>
      </w:r>
      <w:r w:rsidR="00884DAA">
        <w:t xml:space="preserve">Abelardův výklad </w:t>
      </w:r>
      <w:r w:rsidR="00884DAA" w:rsidRPr="00884DAA">
        <w:rPr>
          <w:i/>
        </w:rPr>
        <w:t>De int</w:t>
      </w:r>
      <w:r w:rsidR="00884DAA">
        <w:t>. 16a3‒8</w:t>
      </w:r>
      <w:r w:rsidR="00884DAA">
        <w:fldChar w:fldCharType="begin"/>
      </w:r>
      <w:r w:rsidR="00884DAA">
        <w:instrText xml:space="preserve"> XE "</w:instrText>
      </w:r>
      <w:r w:rsidR="008E02F5">
        <w:instrText>Aristoteles</w:instrText>
      </w:r>
      <w:r w:rsidR="00884DAA">
        <w:instrText>:</w:instrText>
      </w:r>
      <w:r w:rsidR="00884DAA" w:rsidRPr="00A86830">
        <w:rPr>
          <w:i/>
        </w:rPr>
        <w:instrText>De Int</w:instrText>
      </w:r>
      <w:r w:rsidR="08B21958">
        <w:rPr>
          <w:i/>
        </w:rPr>
        <w:instrText>erpretatione</w:instrText>
      </w:r>
      <w:r w:rsidR="00884DAA" w:rsidRPr="00A86830">
        <w:rPr>
          <w:i/>
        </w:rPr>
        <w:instrText xml:space="preserve"> </w:instrText>
      </w:r>
      <w:r w:rsidR="00884DAA" w:rsidRPr="00A86830">
        <w:instrText>16a3–8</w:instrText>
      </w:r>
      <w:r w:rsidR="00884DAA">
        <w:instrText xml:space="preserve">" </w:instrText>
      </w:r>
      <w:r w:rsidR="00884DAA">
        <w:fldChar w:fldCharType="end"/>
      </w:r>
      <w:r w:rsidR="08971931">
        <w:t xml:space="preserve"> ukazuje vznik signifikace dané nasvícením zepředu od kauzálně působící první substance na hnutí duše</w:t>
      </w:r>
      <w:r w:rsidR="00884DAA">
        <w:t>.</w:t>
      </w:r>
      <w:r w:rsidR="00884DAA">
        <w:rPr>
          <w:rStyle w:val="Znakapoznpodarou"/>
        </w:rPr>
        <w:footnoteReference w:id="30"/>
      </w:r>
      <w:r w:rsidR="00884DAA">
        <w:t xml:space="preserve"> Komentář s odvoláním na Boethia výslovně zdůrazňuje, že založení signifikace v modu metafyzicky pojaté intenci</w:t>
      </w:r>
      <w:r w:rsidR="08BA522C">
        <w:t xml:space="preserve">onality jde primárně a zásadně </w:t>
      </w:r>
      <w:r w:rsidR="00884DAA" w:rsidRPr="00884DAA">
        <w:rPr>
          <w:i/>
        </w:rPr>
        <w:t>a causa</w:t>
      </w:r>
      <w:r w:rsidR="00884DAA">
        <w:t>, tedy nasvícením smyslu jsoucna zepředu, od reálných prvních substancí</w:t>
      </w:r>
      <w:r w:rsidR="00437DEB">
        <w:t xml:space="preserve">. </w:t>
      </w:r>
      <w:r w:rsidR="082709C9">
        <w:t xml:space="preserve">Toto první </w:t>
      </w:r>
      <w:r w:rsidR="084A10B0">
        <w:t xml:space="preserve">sématické </w:t>
      </w:r>
      <w:r w:rsidR="082709C9">
        <w:t xml:space="preserve">přenesení významu </w:t>
      </w:r>
      <w:r w:rsidR="082709C9" w:rsidRPr="08BE2778">
        <w:rPr>
          <w:szCs w:val="24"/>
        </w:rPr>
        <w:t>(</w:t>
      </w:r>
      <w:r w:rsidR="082709C9" w:rsidRPr="08BE2778">
        <w:rPr>
          <w:i/>
          <w:szCs w:val="24"/>
        </w:rPr>
        <w:t>translatio</w:t>
      </w:r>
      <w:r w:rsidR="082709C9">
        <w:rPr>
          <w:i/>
          <w:szCs w:val="24"/>
          <w:lang w:val="de-LU"/>
        </w:rPr>
        <w:fldChar w:fldCharType="begin"/>
      </w:r>
      <w:r w:rsidR="082709C9">
        <w:instrText xml:space="preserve"> XE "</w:instrText>
      </w:r>
      <w:r w:rsidR="082709C9" w:rsidRPr="08BE2778">
        <w:rPr>
          <w:i/>
          <w:szCs w:val="24"/>
        </w:rPr>
        <w:instrText>translatio</w:instrText>
      </w:r>
      <w:r w:rsidR="082709C9">
        <w:instrText xml:space="preserve">" </w:instrText>
      </w:r>
      <w:r w:rsidR="082709C9">
        <w:rPr>
          <w:i/>
          <w:szCs w:val="24"/>
          <w:lang w:val="de-LU"/>
        </w:rPr>
        <w:fldChar w:fldCharType="end"/>
      </w:r>
      <w:r w:rsidR="082709C9" w:rsidRPr="08BE2778">
        <w:rPr>
          <w:szCs w:val="24"/>
        </w:rPr>
        <w:t xml:space="preserve">) dané působením </w:t>
      </w:r>
      <w:r w:rsidR="08787ECE">
        <w:t xml:space="preserve">metafyzického </w:t>
      </w:r>
      <w:r w:rsidR="082709C9" w:rsidRPr="08BE2778">
        <w:rPr>
          <w:szCs w:val="24"/>
        </w:rPr>
        <w:t>dativu již známe (</w:t>
      </w:r>
      <w:r w:rsidR="082709C9" w:rsidRPr="00273106">
        <w:rPr>
          <w:rStyle w:val="TextpoznpodarouChar"/>
        </w:rPr>
        <w:t>σημεία πρώτων</w:t>
      </w:r>
      <w:r w:rsidR="082709C9" w:rsidRPr="08BE2778">
        <w:rPr>
          <w:szCs w:val="24"/>
        </w:rPr>
        <w:t xml:space="preserve">, </w:t>
      </w:r>
      <w:r w:rsidR="082709C9" w:rsidRPr="08BE2778">
        <w:rPr>
          <w:i/>
          <w:szCs w:val="24"/>
        </w:rPr>
        <w:t>primae notae</w:t>
      </w:r>
      <w:r w:rsidR="08A94F33" w:rsidRPr="08BE2778">
        <w:rPr>
          <w:szCs w:val="24"/>
        </w:rPr>
        <w:t>, k</w:t>
      </w:r>
      <w:r w:rsidR="082709C9" w:rsidRPr="08BE2778">
        <w:rPr>
          <w:szCs w:val="24"/>
        </w:rPr>
        <w:t xml:space="preserve">ap. 1.1). </w:t>
      </w:r>
      <w:r w:rsidR="08971931">
        <w:t>E</w:t>
      </w:r>
      <w:r w:rsidR="00437DEB">
        <w:t xml:space="preserve">xistence </w:t>
      </w:r>
      <w:r w:rsidR="08971931">
        <w:t xml:space="preserve">externích věcí </w:t>
      </w:r>
      <w:r w:rsidR="00437DEB">
        <w:t xml:space="preserve">daná </w:t>
      </w:r>
      <w:r w:rsidR="00437DEB" w:rsidRPr="00437DEB">
        <w:rPr>
          <w:i/>
        </w:rPr>
        <w:t>simpliciter</w:t>
      </w:r>
      <w:r w:rsidR="00437DEB">
        <w:t xml:space="preserve"> a </w:t>
      </w:r>
      <w:r w:rsidR="00437DEB" w:rsidRPr="00437DEB">
        <w:rPr>
          <w:i/>
        </w:rPr>
        <w:t>per se</w:t>
      </w:r>
      <w:r w:rsidR="00437DEB">
        <w:t xml:space="preserve"> zakládá </w:t>
      </w:r>
      <w:r w:rsidR="00884DAA">
        <w:t>sekundární kauzalitu poznání</w:t>
      </w:r>
      <w:r w:rsidR="00DE05BC">
        <w:t xml:space="preserve"> danou vůči reálně existujícím věcem pouze jako univerzální akcident</w:t>
      </w:r>
      <w:r w:rsidR="00884DAA">
        <w:t xml:space="preserve">. </w:t>
      </w:r>
      <w:r w:rsidR="009A306E" w:rsidRPr="00273106">
        <w:t>Vědecký důkaz (</w:t>
      </w:r>
      <w:r w:rsidR="009A306E" w:rsidRPr="00273106">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73212A">
        <w:instrText>belard</w:instrText>
      </w:r>
      <w:r w:rsidR="007A6052">
        <w:instrText xml:space="preserve">" </w:instrText>
      </w:r>
      <w:r w:rsidR="007A6052">
        <w:rPr>
          <w:i/>
        </w:rPr>
        <w:fldChar w:fldCharType="end"/>
      </w:r>
      <w:r w:rsidR="009A306E" w:rsidRPr="00273106">
        <w:t xml:space="preserve">) platí vzhledem k existenci konkrétních jednotlivin, a nemůže být etablován pouze v rámci mluvy. Mluva není </w:t>
      </w:r>
      <w:r w:rsidR="00186E89">
        <w:t xml:space="preserve">ani formálně správný logický </w:t>
      </w:r>
      <w:r w:rsidR="009A306E" w:rsidRPr="00273106">
        <w:t xml:space="preserve">soud o </w:t>
      </w:r>
      <w:r w:rsidR="08971931">
        <w:t xml:space="preserve">abstraktně pojednávaných </w:t>
      </w:r>
      <w:r w:rsidR="009A306E" w:rsidRPr="00273106">
        <w:t>věcech</w:t>
      </w:r>
      <w:r w:rsidR="000D662D">
        <w:t>, natož jejich vědecké poznání</w:t>
      </w:r>
      <w:r w:rsidR="08971931">
        <w:t xml:space="preserve"> dané predikací </w:t>
      </w:r>
      <w:r w:rsidR="089378E8">
        <w:t xml:space="preserve">reálné </w:t>
      </w:r>
      <w:r w:rsidR="08971931">
        <w:t>kauzality</w:t>
      </w:r>
      <w:r w:rsidR="009A306E" w:rsidRPr="00273106">
        <w:t xml:space="preserve">. </w:t>
      </w:r>
      <w:r w:rsidR="00237279">
        <w:t>R</w:t>
      </w:r>
      <w:r w:rsidR="0031547C" w:rsidRPr="00273106">
        <w:t xml:space="preserve">ozlišení </w:t>
      </w:r>
      <w:r w:rsidR="081D3F0B" w:rsidRPr="00273106">
        <w:t xml:space="preserve">mezi </w:t>
      </w:r>
      <w:r w:rsidR="00237279">
        <w:t xml:space="preserve">různými </w:t>
      </w:r>
      <w:r w:rsidR="081D3F0B" w:rsidRPr="00273106">
        <w:t xml:space="preserve">mody signifikace </w:t>
      </w:r>
      <w:r w:rsidR="00BC1318">
        <w:t xml:space="preserve">v modu impozice a supozice </w:t>
      </w:r>
      <w:r w:rsidR="0031547C" w:rsidRPr="00273106">
        <w:t xml:space="preserve">je </w:t>
      </w:r>
      <w:r w:rsidR="081D3F0B" w:rsidRPr="00273106">
        <w:t>zcela zásadní</w:t>
      </w:r>
      <w:r w:rsidR="0031547C" w:rsidRPr="00273106">
        <w:t xml:space="preserve">, protože zakládá </w:t>
      </w:r>
      <w:r w:rsidR="00654968">
        <w:t xml:space="preserve">následující </w:t>
      </w:r>
      <w:r w:rsidR="00D43020">
        <w:t xml:space="preserve">roviny </w:t>
      </w:r>
      <w:r w:rsidR="00192345">
        <w:t xml:space="preserve">postupně zpřesňovaného </w:t>
      </w:r>
      <w:r w:rsidR="00D43020">
        <w:t>významu</w:t>
      </w:r>
      <w:r w:rsidR="002C1A11">
        <w:rPr>
          <w:rStyle w:val="Zkladntext158dkovn0pt"/>
          <w:i/>
          <w:color w:val="auto"/>
          <w:spacing w:val="0"/>
          <w:sz w:val="24"/>
          <w:lang w:val="cs-CZ"/>
        </w:rPr>
        <w:fldChar w:fldCharType="begin"/>
      </w:r>
      <w:r w:rsidR="002C1A11">
        <w:instrText xml:space="preserve"> XE "signifikace:Abelard" </w:instrText>
      </w:r>
      <w:r w:rsidR="002C1A11">
        <w:rPr>
          <w:rStyle w:val="Zkladntext158dkovn0pt"/>
          <w:i/>
          <w:color w:val="auto"/>
          <w:spacing w:val="0"/>
          <w:sz w:val="24"/>
          <w:lang w:val="cs-CZ"/>
        </w:rPr>
        <w:fldChar w:fldCharType="end"/>
      </w:r>
      <w:r w:rsidR="00D43020">
        <w:t>.</w:t>
      </w:r>
    </w:p>
    <w:p w14:paraId="1FD9E5C2" w14:textId="77777777" w:rsidR="00D43020" w:rsidRDefault="00D43020" w:rsidP="00565C35">
      <w:pPr>
        <w:numPr>
          <w:ilvl w:val="0"/>
          <w:numId w:val="9"/>
        </w:numPr>
      </w:pPr>
      <w:r>
        <w:t>V</w:t>
      </w:r>
      <w:r w:rsidR="0031547C" w:rsidRPr="00273106">
        <w:t xml:space="preserve">ěc existující </w:t>
      </w:r>
      <w:r w:rsidR="0031547C" w:rsidRPr="00273106">
        <w:rPr>
          <w:i/>
        </w:rPr>
        <w:t>per se</w:t>
      </w:r>
      <w:r w:rsidR="0031547C" w:rsidRPr="00273106">
        <w:t xml:space="preserve"> v realitě (</w:t>
      </w:r>
      <w:r w:rsidR="0031547C" w:rsidRPr="00273106">
        <w:rPr>
          <w:i/>
        </w:rPr>
        <w:t>ipsum individuum</w:t>
      </w:r>
      <w:r w:rsidR="00654968">
        <w:rPr>
          <w:i/>
        </w:rPr>
        <w:t>, substantia</w:t>
      </w:r>
      <w:r>
        <w:t>).</w:t>
      </w:r>
    </w:p>
    <w:p w14:paraId="054FF396" w14:textId="77777777" w:rsidR="00D43020" w:rsidRDefault="00D43020" w:rsidP="00565C35">
      <w:pPr>
        <w:numPr>
          <w:ilvl w:val="0"/>
          <w:numId w:val="9"/>
        </w:numPr>
      </w:pPr>
      <w:r>
        <w:t>V</w:t>
      </w:r>
      <w:r w:rsidR="0031547C" w:rsidRPr="00273106">
        <w:t xml:space="preserve">znik </w:t>
      </w:r>
      <w:r w:rsidR="0046699B">
        <w:t xml:space="preserve">ekvivoční signifikace v mysli v modu </w:t>
      </w:r>
      <w:r w:rsidR="0013759D">
        <w:t xml:space="preserve">nominální a verbální </w:t>
      </w:r>
      <w:r w:rsidR="0046699B">
        <w:t xml:space="preserve">supozice významu </w:t>
      </w:r>
      <w:r w:rsidR="0031547C" w:rsidRPr="00273106">
        <w:t>(</w:t>
      </w:r>
      <w:r w:rsidR="0046699B" w:rsidRPr="0046699B">
        <w:rPr>
          <w:i/>
        </w:rPr>
        <w:t>intellectum</w:t>
      </w:r>
      <w:r>
        <w:t>).</w:t>
      </w:r>
    </w:p>
    <w:p w14:paraId="67406621" w14:textId="77777777" w:rsidR="08792835" w:rsidRDefault="08792835" w:rsidP="00565C35">
      <w:pPr>
        <w:numPr>
          <w:ilvl w:val="0"/>
          <w:numId w:val="9"/>
        </w:numPr>
      </w:pPr>
      <w:r>
        <w:t xml:space="preserve">Tento abstraktní význam </w:t>
      </w:r>
      <w:r w:rsidRPr="00273106">
        <w:t xml:space="preserve">se skládá do </w:t>
      </w:r>
      <w:r>
        <w:t xml:space="preserve">logických </w:t>
      </w:r>
      <w:r w:rsidRPr="00273106">
        <w:t xml:space="preserve">soudů a vzniká vztah </w:t>
      </w:r>
      <w:r>
        <w:t xml:space="preserve">formálně </w:t>
      </w:r>
      <w:r w:rsidRPr="00273106">
        <w:t>pravdivé adekvace mezi myslí a realitou (</w:t>
      </w:r>
      <w:r w:rsidRPr="00273106">
        <w:rPr>
          <w:i/>
        </w:rPr>
        <w:t>enuntiatio</w:t>
      </w:r>
      <w:r>
        <w:rPr>
          <w:i/>
        </w:rPr>
        <w:fldChar w:fldCharType="begin"/>
      </w:r>
      <w:r>
        <w:instrText xml:space="preserve"> XE "</w:instrText>
      </w:r>
      <w:r w:rsidRPr="0038128E">
        <w:rPr>
          <w:i/>
        </w:rPr>
        <w:instrText>enuntiatio:</w:instrText>
      </w:r>
      <w:r w:rsidRPr="0038128E">
        <w:instrText>Abelard</w:instrText>
      </w:r>
      <w:r>
        <w:instrText xml:space="preserve">" </w:instrText>
      </w:r>
      <w:r>
        <w:rPr>
          <w:i/>
        </w:rPr>
        <w:fldChar w:fldCharType="end"/>
      </w:r>
      <w:r w:rsidRPr="00273106">
        <w:t>)</w:t>
      </w:r>
      <w:r>
        <w:t>.</w:t>
      </w:r>
    </w:p>
    <w:p w14:paraId="2C9AF960" w14:textId="77777777" w:rsidR="00D43020" w:rsidRDefault="00D43020" w:rsidP="00565C35">
      <w:pPr>
        <w:numPr>
          <w:ilvl w:val="0"/>
          <w:numId w:val="9"/>
        </w:numPr>
      </w:pPr>
      <w:r>
        <w:t>T</w:t>
      </w:r>
      <w:r w:rsidR="08B917BE" w:rsidRPr="00273106">
        <w:t xml:space="preserve">ato signifikace </w:t>
      </w:r>
      <w:r w:rsidR="0046699B">
        <w:t xml:space="preserve">je </w:t>
      </w:r>
      <w:r w:rsidR="003A358D">
        <w:t xml:space="preserve">navíc </w:t>
      </w:r>
      <w:r w:rsidR="0046699B">
        <w:t xml:space="preserve">determinována vzhledem </w:t>
      </w:r>
      <w:r w:rsidR="080E22AC" w:rsidRPr="00273106">
        <w:t xml:space="preserve">k </w:t>
      </w:r>
      <w:r w:rsidR="008872F1" w:rsidRPr="00273106">
        <w:t>hyparchické funkci první substance</w:t>
      </w:r>
      <w:r w:rsidR="080E22AC" w:rsidRPr="00273106">
        <w:t xml:space="preserve"> </w:t>
      </w:r>
      <w:r w:rsidR="00690C0B">
        <w:t xml:space="preserve">zakládající univoční </w:t>
      </w:r>
      <w:r w:rsidR="009616E9">
        <w:t xml:space="preserve">a kategoriální </w:t>
      </w:r>
      <w:r w:rsidR="00690C0B">
        <w:t xml:space="preserve">impozici významu </w:t>
      </w:r>
      <w:r w:rsidR="0031547C" w:rsidRPr="00273106">
        <w:t>(</w:t>
      </w:r>
      <w:r w:rsidR="0031547C" w:rsidRPr="00273106">
        <w:rPr>
          <w:i/>
        </w:rPr>
        <w:t>impositio</w:t>
      </w:r>
      <w:r w:rsidR="00F744AF">
        <w:rPr>
          <w:i/>
        </w:rPr>
        <w:t xml:space="preserve"> vera</w:t>
      </w:r>
      <w:r w:rsidR="003A358D">
        <w:fldChar w:fldCharType="begin"/>
      </w:r>
      <w:r w:rsidR="003A358D">
        <w:instrText xml:space="preserve"> XE "signifikace:impozice" </w:instrText>
      </w:r>
      <w:r w:rsidR="003A358D">
        <w:fldChar w:fldCharType="end"/>
      </w:r>
      <w:r w:rsidR="0031547C" w:rsidRPr="00273106">
        <w:t>)</w:t>
      </w:r>
      <w:r>
        <w:t>.</w:t>
      </w:r>
    </w:p>
    <w:p w14:paraId="505D953E" w14:textId="0653717B" w:rsidR="008A3594" w:rsidRDefault="008A3594" w:rsidP="00565C35">
      <w:pPr>
        <w:numPr>
          <w:ilvl w:val="0"/>
          <w:numId w:val="9"/>
        </w:numPr>
      </w:pPr>
      <w:r>
        <w:lastRenderedPageBreak/>
        <w:t>Zda je tato adekvace pravdivá, to zjišťuje deduktivní soud</w:t>
      </w:r>
      <w:r w:rsidR="00193028">
        <w:t xml:space="preserve">; </w:t>
      </w:r>
      <w:r>
        <w:t>jeho základní impozici tvoří kauzální působení první</w:t>
      </w:r>
      <w:r w:rsidR="00193028">
        <w:t>ch substancí</w:t>
      </w:r>
      <w:r>
        <w:t xml:space="preserve"> v</w:t>
      </w:r>
      <w:r w:rsidR="00193028">
        <w:t> </w:t>
      </w:r>
      <w:r>
        <w:t>realitě</w:t>
      </w:r>
      <w:r w:rsidR="00193028">
        <w:t xml:space="preserve">, které je </w:t>
      </w:r>
      <w:r w:rsidR="08F94A09">
        <w:t xml:space="preserve">predikované </w:t>
      </w:r>
      <w:r w:rsidR="00193028">
        <w:t>skrze střední člen soudu (</w:t>
      </w:r>
      <w:r w:rsidR="00193028" w:rsidRPr="00193028">
        <w:rPr>
          <w:i/>
        </w:rPr>
        <w:t>medium</w:t>
      </w:r>
      <w:r w:rsidR="00193028">
        <w:t xml:space="preserve">) a to </w:t>
      </w:r>
      <w:r w:rsidR="08F94A09">
        <w:t xml:space="preserve">v modu </w:t>
      </w:r>
      <w:r w:rsidR="08D91F67">
        <w:rPr>
          <w:i/>
        </w:rPr>
        <w:t>ex in</w:t>
      </w:r>
      <w:r w:rsidR="08F94A09" w:rsidRPr="08F94A09">
        <w:rPr>
          <w:i/>
        </w:rPr>
        <w:t>mediatis</w:t>
      </w:r>
      <w:r w:rsidR="08F94A09">
        <w:t xml:space="preserve"> </w:t>
      </w:r>
      <w:r>
        <w:t>(</w:t>
      </w:r>
      <w:r w:rsidRPr="008A3594">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B14A5F">
        <w:instrText>belard</w:instrText>
      </w:r>
      <w:r w:rsidR="007A6052">
        <w:instrText xml:space="preserve">" </w:instrText>
      </w:r>
      <w:r w:rsidR="007A6052">
        <w:rPr>
          <w:i/>
        </w:rPr>
        <w:fldChar w:fldCharType="end"/>
      </w:r>
      <w:r>
        <w:t>)</w:t>
      </w:r>
      <w:r w:rsidR="0010119E">
        <w:t>. Pak je z</w:t>
      </w:r>
      <w:r w:rsidR="00193028">
        <w:t>al</w:t>
      </w:r>
      <w:r w:rsidR="0010119E">
        <w:t>oženo</w:t>
      </w:r>
      <w:r w:rsidR="00193028">
        <w:t xml:space="preserve"> vědecké poznání světa v modu pravdy jako kompletní adekvace</w:t>
      </w:r>
      <w:r>
        <w:t>.</w:t>
      </w:r>
    </w:p>
    <w:p w14:paraId="31333C4C" w14:textId="77777777" w:rsidR="087C0C91" w:rsidRDefault="0031547C" w:rsidP="00455B88">
      <w:r w:rsidRPr="00273106">
        <w:t xml:space="preserve">Tímto rozlišením </w:t>
      </w:r>
      <w:r w:rsidR="08FB51DD" w:rsidRPr="00273106">
        <w:t xml:space="preserve">významů </w:t>
      </w:r>
      <w:r w:rsidRPr="00273106">
        <w:t xml:space="preserve">je </w:t>
      </w:r>
      <w:r w:rsidR="00427045">
        <w:t xml:space="preserve">dáno </w:t>
      </w:r>
      <w:r w:rsidR="00CD5B98">
        <w:t xml:space="preserve">Abelardovo </w:t>
      </w:r>
      <w:r w:rsidR="00427045">
        <w:t xml:space="preserve">kompletní </w:t>
      </w:r>
      <w:r w:rsidRPr="00273106">
        <w:t>pojetí pravdy jako adekvace věci a intelektu</w:t>
      </w:r>
      <w:r w:rsidR="00B14A5F">
        <w:rPr>
          <w:rStyle w:val="Zkladntext158dkovn0pt"/>
          <w:i/>
          <w:color w:val="auto"/>
          <w:spacing w:val="0"/>
          <w:sz w:val="24"/>
          <w:lang w:val="cs-CZ"/>
        </w:rPr>
        <w:fldChar w:fldCharType="begin"/>
      </w:r>
      <w:r w:rsidR="00B14A5F">
        <w:instrText xml:space="preserve"> XE "</w:instrText>
      </w:r>
      <w:r w:rsidR="002E3B62">
        <w:rPr>
          <w:i/>
        </w:rPr>
        <w:instrText>adaequatio</w:instrText>
      </w:r>
      <w:r w:rsidR="00B14A5F">
        <w:instrText xml:space="preserve">:Abelard" </w:instrText>
      </w:r>
      <w:r w:rsidR="00B14A5F">
        <w:rPr>
          <w:rStyle w:val="Zkladntext158dkovn0pt"/>
          <w:i/>
          <w:color w:val="auto"/>
          <w:spacing w:val="0"/>
          <w:sz w:val="24"/>
          <w:lang w:val="cs-CZ"/>
        </w:rPr>
        <w:fldChar w:fldCharType="end"/>
      </w:r>
      <w:r w:rsidRPr="00273106">
        <w:t>.</w:t>
      </w:r>
      <w:r w:rsidR="004F507B">
        <w:t xml:space="preserve"> </w:t>
      </w:r>
      <w:r w:rsidR="009A306E" w:rsidRPr="00273106">
        <w:t xml:space="preserve">Univoční kategoriální význam jde </w:t>
      </w:r>
      <w:r w:rsidR="009A306E">
        <w:t xml:space="preserve">skrze impozici významu </w:t>
      </w:r>
      <w:r w:rsidR="009A306E" w:rsidRPr="00273106">
        <w:t xml:space="preserve">od reálné substance </w:t>
      </w:r>
      <w:r w:rsidR="00CD5B98">
        <w:t xml:space="preserve">kauzálně </w:t>
      </w:r>
      <w:r w:rsidR="009A306E" w:rsidRPr="00273106">
        <w:t>determinující naše poznání</w:t>
      </w:r>
      <w:r w:rsidR="009A306E">
        <w:t xml:space="preserve"> podle </w:t>
      </w:r>
      <w:r w:rsidR="009A306E" w:rsidRPr="00725593">
        <w:rPr>
          <w:i/>
        </w:rPr>
        <w:t>De anima</w:t>
      </w:r>
      <w:r w:rsidR="009A306E">
        <w:t xml:space="preserve">. Stejná univocita řídí adekvátní supozici </w:t>
      </w:r>
      <w:r w:rsidR="003038E5">
        <w:t xml:space="preserve">pravdivě </w:t>
      </w:r>
      <w:r w:rsidR="009A306E" w:rsidRPr="00273106">
        <w:t xml:space="preserve">poznaného stavu věcí ve světě </w:t>
      </w:r>
      <w:r w:rsidR="009A306E">
        <w:t xml:space="preserve">skrze univerzální signifikaci a symbolizaci podle </w:t>
      </w:r>
      <w:r w:rsidR="009A306E" w:rsidRPr="00725593">
        <w:rPr>
          <w:i/>
        </w:rPr>
        <w:t>De intepretation</w:t>
      </w:r>
      <w:r w:rsidR="009A306E">
        <w:rPr>
          <w:i/>
        </w:rPr>
        <w:t>e</w:t>
      </w:r>
      <w:r w:rsidR="009A306E" w:rsidRPr="00D57F5A">
        <w:t xml:space="preserve">. </w:t>
      </w:r>
      <w:r w:rsidR="00792619">
        <w:t xml:space="preserve">Univoční kategoriální </w:t>
      </w:r>
      <w:r w:rsidR="009A306E">
        <w:t xml:space="preserve">predikace </w:t>
      </w:r>
      <w:r w:rsidR="00135C50">
        <w:t>(</w:t>
      </w:r>
      <w:r w:rsidR="001A217D" w:rsidRPr="001A217D">
        <w:rPr>
          <w:i/>
        </w:rPr>
        <w:t>enuntiatio</w:t>
      </w:r>
      <w:r w:rsidR="00135C50">
        <w:t xml:space="preserve">) </w:t>
      </w:r>
      <w:r w:rsidR="00A81EFC">
        <w:t xml:space="preserve">provedená na základě impozice </w:t>
      </w:r>
      <w:r w:rsidR="009A306E">
        <w:t xml:space="preserve">pravdivě poznává svět </w:t>
      </w:r>
      <w:r w:rsidR="009A306E" w:rsidRPr="00273106">
        <w:t xml:space="preserve">skrze </w:t>
      </w:r>
      <w:r w:rsidR="009A306E">
        <w:t xml:space="preserve">vědecký </w:t>
      </w:r>
      <w:r w:rsidR="009A306E" w:rsidRPr="00273106">
        <w:t>soud</w:t>
      </w:r>
      <w:r w:rsidR="009A306E">
        <w:t xml:space="preserve"> </w:t>
      </w:r>
      <w:r w:rsidR="00135C50">
        <w:t>(</w:t>
      </w:r>
      <w:r w:rsidR="00135C50" w:rsidRPr="001A217D">
        <w:rPr>
          <w:i/>
        </w:rPr>
        <w:t>demonstratio</w:t>
      </w:r>
      <w:r w:rsidR="00135C50">
        <w:t xml:space="preserve">) </w:t>
      </w:r>
      <w:r w:rsidR="009A306E">
        <w:t xml:space="preserve">podle </w:t>
      </w:r>
      <w:r w:rsidR="009A306E" w:rsidRPr="00AE55CE">
        <w:rPr>
          <w:i/>
        </w:rPr>
        <w:t>Druhých analytik</w:t>
      </w:r>
      <w:r w:rsidR="087C0C91">
        <w:t>.</w:t>
      </w:r>
    </w:p>
    <w:p w14:paraId="159D021C" w14:textId="773E6A04" w:rsidR="00A56477" w:rsidRDefault="08C52209" w:rsidP="087C0C91">
      <w:pPr>
        <w:ind w:firstLine="397"/>
      </w:pPr>
      <w:r>
        <w:t>Moderna</w:t>
      </w:r>
      <w:r w:rsidR="08196FB3">
        <w:t xml:space="preserve"> založená</w:t>
      </w:r>
      <w:r w:rsidR="081B531E">
        <w:t xml:space="preserve"> Anselmem </w:t>
      </w:r>
      <w:r w:rsidRPr="00273106">
        <w:t xml:space="preserve">změnila statut impozice původně dané ve spisu </w:t>
      </w:r>
      <w:r w:rsidRPr="00AE55CE">
        <w:rPr>
          <w:i/>
        </w:rPr>
        <w:t>Kategorie</w:t>
      </w:r>
      <w:r w:rsidRPr="00273106">
        <w:t xml:space="preserve"> směrem od první sub</w:t>
      </w:r>
      <w:r>
        <w:t>stance</w:t>
      </w:r>
      <w:r w:rsidRPr="00273106">
        <w:t>.</w:t>
      </w:r>
      <w:r>
        <w:t xml:space="preserve"> Pak </w:t>
      </w:r>
      <w:r w:rsidR="081B531E">
        <w:t>stačí pro</w:t>
      </w:r>
      <w:r>
        <w:t xml:space="preserve"> pravdu </w:t>
      </w:r>
      <w:r w:rsidR="081B531E">
        <w:t xml:space="preserve">pouhá </w:t>
      </w:r>
      <w:r>
        <w:t xml:space="preserve">ekvivocita </w:t>
      </w:r>
      <w:r w:rsidR="081B531E">
        <w:t>založená na ontoteologické formě dogmaticky pojaté metafyziky</w:t>
      </w:r>
      <w:r>
        <w:t xml:space="preserve"> či subjektivní demiurgické vůli. </w:t>
      </w:r>
      <w:r w:rsidR="003C508E">
        <w:t>Abelardova obrana Boethiova</w:t>
      </w:r>
      <w:r w:rsidR="008B16FE" w:rsidRPr="00273106">
        <w:t xml:space="preserve"> </w:t>
      </w:r>
      <w:r w:rsidR="008501AC" w:rsidRPr="00273106">
        <w:t xml:space="preserve">pojetí </w:t>
      </w:r>
      <w:r w:rsidR="008B16FE" w:rsidRPr="00273106">
        <w:t xml:space="preserve">signifikace jsoucna </w:t>
      </w:r>
      <w:r w:rsidR="008501AC" w:rsidRPr="00273106">
        <w:t>vzhledem k realit</w:t>
      </w:r>
      <w:r>
        <w:t xml:space="preserve">ě </w:t>
      </w:r>
      <w:r w:rsidR="008B16FE" w:rsidRPr="00273106">
        <w:t>má zásadní charakter.</w:t>
      </w:r>
      <w:r w:rsidR="008B16FE" w:rsidRPr="00273106">
        <w:rPr>
          <w:rStyle w:val="Znakapoznpodarou"/>
        </w:rPr>
        <w:footnoteReference w:id="31"/>
      </w:r>
      <w:r w:rsidR="008B16FE" w:rsidRPr="00273106">
        <w:t xml:space="preserve"> </w:t>
      </w:r>
      <w:r w:rsidR="00A1456A" w:rsidRPr="00273106">
        <w:t xml:space="preserve">Pravda jako adekvace postihuje </w:t>
      </w:r>
      <w:r w:rsidR="004778FD" w:rsidRPr="00273106">
        <w:t>vztahy věcí v reálu (</w:t>
      </w:r>
      <w:r w:rsidR="004778FD" w:rsidRPr="00273106">
        <w:rPr>
          <w:i/>
        </w:rPr>
        <w:t>ad naturalem rerum relationem</w:t>
      </w:r>
      <w:r w:rsidR="004778FD" w:rsidRPr="00273106">
        <w:t>), a to v podobě rozdílu mezi bytím věci v reálu (</w:t>
      </w:r>
      <w:r w:rsidR="004778FD" w:rsidRPr="00273106">
        <w:rPr>
          <w:i/>
        </w:rPr>
        <w:t>rei esse</w:t>
      </w:r>
      <w:r w:rsidR="004778FD" w:rsidRPr="00273106">
        <w:t>) a mezi pravdivým poznáním odpovídající esence věci (</w:t>
      </w:r>
      <w:r w:rsidR="004778FD" w:rsidRPr="00273106">
        <w:rPr>
          <w:i/>
        </w:rPr>
        <w:t>rei essentiae demonstratio</w:t>
      </w:r>
      <w:r w:rsidR="004778FD" w:rsidRPr="00273106">
        <w:t xml:space="preserve">). Pro zavedení adekvačního pojetí pravdy ve scholastice udělal </w:t>
      </w:r>
      <w:r w:rsidR="00CB3E4F">
        <w:t>Abélard</w:t>
      </w:r>
      <w:r w:rsidR="004778FD" w:rsidRPr="00273106">
        <w:t xml:space="preserve"> rozhodující krok tím, že zavedl univoční </w:t>
      </w:r>
      <w:r w:rsidR="00C77B50">
        <w:t xml:space="preserve">predikaci v rámci </w:t>
      </w:r>
      <w:r w:rsidR="004778FD" w:rsidRPr="00273106">
        <w:rPr>
          <w:i/>
        </w:rPr>
        <w:t>similitudo</w:t>
      </w:r>
      <w:r w:rsidR="004778FD" w:rsidRPr="00273106">
        <w:t xml:space="preserve"> pouze na úrovni vztahu první a druhé substance (</w:t>
      </w:r>
      <w:r w:rsidR="004778FD" w:rsidRPr="00273106">
        <w:rPr>
          <w:i/>
        </w:rPr>
        <w:t>quantum ad naturalem rerum relationem</w:t>
      </w:r>
      <w:r w:rsidR="004778FD" w:rsidRPr="00273106">
        <w:t xml:space="preserve">), a nikoliv na </w:t>
      </w:r>
      <w:r w:rsidR="00512173" w:rsidRPr="00273106">
        <w:t>ekvi</w:t>
      </w:r>
      <w:r w:rsidR="003D24D4" w:rsidRPr="00273106">
        <w:t>vo</w:t>
      </w:r>
      <w:r w:rsidR="00512173" w:rsidRPr="00273106">
        <w:t xml:space="preserve">čním či analogickém </w:t>
      </w:r>
      <w:r w:rsidR="004778FD" w:rsidRPr="00273106">
        <w:t>vztahu mezi univerzálními species</w:t>
      </w:r>
      <w:r w:rsidR="08D16F4E" w:rsidRPr="00273106">
        <w:t xml:space="preserve"> (</w:t>
      </w:r>
      <w:r w:rsidR="08D16F4E" w:rsidRPr="00273106">
        <w:rPr>
          <w:i/>
        </w:rPr>
        <w:t>non tam visus ad vocalem constructionem</w:t>
      </w:r>
      <w:r w:rsidR="08D16F4E" w:rsidRPr="00273106">
        <w:t>)</w:t>
      </w:r>
      <w:r w:rsidR="004778FD" w:rsidRPr="00273106">
        <w:t>. Vědecké poznání se proto týká vztahu reálně existujících substancí, a ne jejich nominalistických derivátů (</w:t>
      </w:r>
      <w:r w:rsidR="004778FD" w:rsidRPr="00273106">
        <w:rPr>
          <w:i/>
        </w:rPr>
        <w:t>essentiam demonstravit, non vocabulum</w:t>
      </w:r>
      <w:r w:rsidR="00DC3465" w:rsidRPr="00273106">
        <w:t>). V</w:t>
      </w:r>
      <w:r w:rsidR="004778FD" w:rsidRPr="00273106">
        <w:t xml:space="preserve">ztah založený na </w:t>
      </w:r>
      <w:r w:rsidR="00DC3465" w:rsidRPr="00273106">
        <w:t>takto daném</w:t>
      </w:r>
      <w:r w:rsidR="004778FD" w:rsidRPr="00273106">
        <w:t xml:space="preserve"> </w:t>
      </w:r>
      <w:r w:rsidR="004778FD" w:rsidRPr="00273106">
        <w:rPr>
          <w:i/>
        </w:rPr>
        <w:t>demonstratio</w:t>
      </w:r>
      <w:r w:rsidR="004778FD" w:rsidRPr="00273106">
        <w:t xml:space="preserve"> </w:t>
      </w:r>
      <w:r w:rsidR="0010319B">
        <w:rPr>
          <w:i/>
        </w:rPr>
        <w:fldChar w:fldCharType="begin"/>
      </w:r>
      <w:r w:rsidR="0010319B">
        <w:instrText xml:space="preserve"> XE "</w:instrText>
      </w:r>
      <w:r w:rsidR="0010319B" w:rsidRPr="004E6075">
        <w:rPr>
          <w:i/>
        </w:rPr>
        <w:instrText>demonstratio:</w:instrText>
      </w:r>
      <w:r w:rsidR="0010319B" w:rsidRPr="004E6075">
        <w:instrText>A</w:instrText>
      </w:r>
      <w:r w:rsidR="0010319B">
        <w:instrText xml:space="preserve">belard" </w:instrText>
      </w:r>
      <w:r w:rsidR="0010319B">
        <w:rPr>
          <w:i/>
        </w:rPr>
        <w:fldChar w:fldCharType="end"/>
      </w:r>
      <w:r w:rsidR="004778FD" w:rsidRPr="00273106">
        <w:t xml:space="preserve">podle </w:t>
      </w:r>
      <w:r w:rsidR="004778FD" w:rsidRPr="00AE55CE">
        <w:rPr>
          <w:i/>
        </w:rPr>
        <w:t>Druhých analytik</w:t>
      </w:r>
      <w:r w:rsidR="004778FD" w:rsidRPr="00273106">
        <w:t xml:space="preserve"> nemůže být primárně dán na úrovni nominalistické podobnosti</w:t>
      </w:r>
      <w:r w:rsidR="0089482E" w:rsidRPr="00273106">
        <w:t xml:space="preserve"> v </w:t>
      </w:r>
      <w:r w:rsidR="0089482E" w:rsidRPr="00273106">
        <w:lastRenderedPageBreak/>
        <w:t>rámci slova</w:t>
      </w:r>
      <w:r w:rsidR="001F7CB5" w:rsidRPr="00273106">
        <w:t xml:space="preserve"> a jeho významu</w:t>
      </w:r>
      <w:r w:rsidR="004778FD" w:rsidRPr="00273106">
        <w:t>, ale na úrovni adekvace věci a myšlení.</w:t>
      </w:r>
      <w:r w:rsidR="004778FD" w:rsidRPr="00273106">
        <w:rPr>
          <w:rStyle w:val="Znakapoznpodarou"/>
        </w:rPr>
        <w:footnoteReference w:id="32"/>
      </w:r>
      <w:r w:rsidR="002C687D" w:rsidRPr="00273106">
        <w:t xml:space="preserve"> </w:t>
      </w:r>
      <w:r w:rsidR="00CB3E4F">
        <w:t>Abélard</w:t>
      </w:r>
      <w:r w:rsidR="004778FD" w:rsidRPr="00273106">
        <w:t xml:space="preserve"> vyložil vztah první a druhé substance a odpovídající teorii pravdy podobně jako j</w:t>
      </w:r>
      <w:r w:rsidR="00AE55CE">
        <w:t>eho historický současník Averroe</w:t>
      </w:r>
      <w:r w:rsidR="004778FD" w:rsidRPr="00273106">
        <w:t xml:space="preserve">s, jehož spisy neznal. Skutečný znalec Aristotela oddělil řád reality a poznání od univočního zmatku jeho </w:t>
      </w:r>
      <w:r w:rsidR="007272AB">
        <w:t xml:space="preserve">současníků. Tak </w:t>
      </w:r>
      <w:r w:rsidR="004778FD" w:rsidRPr="00273106">
        <w:t>připravil dalším generací</w:t>
      </w:r>
      <w:r w:rsidR="00D47748">
        <w:t>m zformovaným po recepci Averroe</w:t>
      </w:r>
      <w:r w:rsidR="004778FD" w:rsidRPr="00273106">
        <w:t xml:space="preserve">se </w:t>
      </w:r>
      <w:r w:rsidR="004F507B">
        <w:t xml:space="preserve">základní </w:t>
      </w:r>
      <w:r w:rsidR="004778FD" w:rsidRPr="00273106">
        <w:t xml:space="preserve">možnost, jak definovat skutečné </w:t>
      </w:r>
      <w:r w:rsidR="004778FD" w:rsidRPr="00273106">
        <w:rPr>
          <w:i/>
        </w:rPr>
        <w:t>proportio</w:t>
      </w:r>
      <w:r w:rsidR="0058171F">
        <w:rPr>
          <w:i/>
        </w:rPr>
        <w:fldChar w:fldCharType="begin"/>
      </w:r>
      <w:r w:rsidR="0058171F">
        <w:instrText xml:space="preserve"> XE "pravda:</w:instrText>
      </w:r>
      <w:r w:rsidR="0058171F" w:rsidRPr="00E6669B">
        <w:rPr>
          <w:i/>
        </w:rPr>
        <w:instrText>proportio</w:instrText>
      </w:r>
      <w:r w:rsidR="0058171F">
        <w:instrText xml:space="preserve">" </w:instrText>
      </w:r>
      <w:r w:rsidR="0058171F">
        <w:rPr>
          <w:i/>
        </w:rPr>
        <w:fldChar w:fldCharType="end"/>
      </w:r>
      <w:r w:rsidR="004F507B">
        <w:t xml:space="preserve"> mezi intelektem a realitou.</w:t>
      </w:r>
      <w:r w:rsidR="00A56477">
        <w:t xml:space="preserve"> </w:t>
      </w:r>
      <w:r w:rsidR="00B16C59">
        <w:t>Adekvační d</w:t>
      </w:r>
      <w:r w:rsidR="00B16C59" w:rsidRPr="00273106">
        <w:t xml:space="preserve">efinice pravdy </w:t>
      </w:r>
      <w:r w:rsidR="00AE55CE">
        <w:t xml:space="preserve">daná v </w:t>
      </w:r>
      <w:r w:rsidR="00AE55CE" w:rsidRPr="00AE55CE">
        <w:rPr>
          <w:i/>
        </w:rPr>
        <w:t>Metafyzice</w:t>
      </w:r>
      <w:r w:rsidR="00AE55CE">
        <w:t xml:space="preserve"> </w:t>
      </w:r>
      <w:r w:rsidR="0058171F">
        <w:fldChar w:fldCharType="begin"/>
      </w:r>
      <w:r w:rsidR="0058171F">
        <w:instrText xml:space="preserve"> XE "</w:instrText>
      </w:r>
      <w:r w:rsidR="008E02F5">
        <w:instrText>Aristoteles</w:instrText>
      </w:r>
      <w:r w:rsidR="0058171F">
        <w:instrText>:</w:instrText>
      </w:r>
      <w:r w:rsidR="0058171F" w:rsidRPr="000E535C">
        <w:rPr>
          <w:rStyle w:val="Zvraznn"/>
        </w:rPr>
        <w:instrText>Met</w:instrText>
      </w:r>
      <w:r w:rsidR="0058171F" w:rsidRPr="000E535C">
        <w:rPr>
          <w:rStyle w:val="Zvraznn"/>
          <w:i w:val="0"/>
        </w:rPr>
        <w:instrText>.</w:instrText>
      </w:r>
      <w:r w:rsidR="0058171F" w:rsidRPr="000E535C">
        <w:instrText xml:space="preserve"> 1011b26‒29</w:instrText>
      </w:r>
      <w:r w:rsidR="0058171F">
        <w:instrText xml:space="preserve">" </w:instrText>
      </w:r>
      <w:r w:rsidR="0058171F">
        <w:fldChar w:fldCharType="end"/>
      </w:r>
      <w:r w:rsidR="00AE55CE">
        <w:t xml:space="preserve">tak </w:t>
      </w:r>
      <w:r w:rsidR="00B16C59" w:rsidRPr="00273106">
        <w:t>dostává nové potvrzení (</w:t>
      </w:r>
      <w:r w:rsidR="08B11D0E">
        <w:t xml:space="preserve">OBJ I, </w:t>
      </w:r>
      <w:r w:rsidR="084E7952">
        <w:t>kap. 1.3</w:t>
      </w:r>
      <w:r w:rsidR="00B16C59" w:rsidRPr="00273106">
        <w:t>).</w:t>
      </w:r>
      <w:r w:rsidR="00B16C59">
        <w:t xml:space="preserve"> </w:t>
      </w:r>
      <w:r w:rsidR="002C0F23">
        <w:t xml:space="preserve">Abelardovu definici </w:t>
      </w:r>
      <w:r w:rsidR="004778FD" w:rsidRPr="00273106">
        <w:t xml:space="preserve">pravdy </w:t>
      </w:r>
      <w:r w:rsidR="001777CA">
        <w:t xml:space="preserve">obsahuje </w:t>
      </w:r>
      <w:r w:rsidR="00B16C59">
        <w:t xml:space="preserve">tato </w:t>
      </w:r>
      <w:r w:rsidR="001777CA">
        <w:t xml:space="preserve">pasáž </w:t>
      </w:r>
      <w:r w:rsidR="004778FD" w:rsidRPr="00273106">
        <w:t xml:space="preserve">v </w:t>
      </w:r>
      <w:r w:rsidR="004778FD" w:rsidRPr="00273106">
        <w:rPr>
          <w:i/>
        </w:rPr>
        <w:t>Dialektice</w:t>
      </w:r>
      <w:r w:rsidR="00B16C59">
        <w:rPr>
          <w:i/>
        </w:rPr>
        <w:t>.</w:t>
      </w:r>
      <w:r w:rsidR="00B16C59">
        <w:t xml:space="preserve"> </w:t>
      </w:r>
    </w:p>
    <w:p w14:paraId="43669F20" w14:textId="20A33892" w:rsidR="00A56477" w:rsidRPr="006C0D3C" w:rsidRDefault="00A56477" w:rsidP="00A56477">
      <w:pPr>
        <w:pStyle w:val="Citace"/>
        <w:rPr>
          <w:lang w:val="cs-CZ"/>
        </w:rPr>
      </w:pPr>
      <w:r>
        <w:t>„</w:t>
      </w:r>
      <w:r w:rsidR="00D47748">
        <w:rPr>
          <w:lang w:val="cs-CZ"/>
        </w:rPr>
        <w:t>Aristotele</w:t>
      </w:r>
      <w:r w:rsidR="006C0D3C">
        <w:rPr>
          <w:lang w:val="cs-CZ"/>
        </w:rPr>
        <w:t>s jednoznačně dokázal, že afirmace a negace v pre</w:t>
      </w:r>
      <w:r w:rsidR="0025426A">
        <w:rPr>
          <w:lang w:val="cs-CZ"/>
        </w:rPr>
        <w:t>dikaci pravdy a nepravdy sleduje</w:t>
      </w:r>
      <w:r w:rsidR="006C0D3C">
        <w:rPr>
          <w:lang w:val="cs-CZ"/>
        </w:rPr>
        <w:t xml:space="preserve"> dění reálných věcí, o nichž </w:t>
      </w:r>
      <w:r w:rsidR="00642FFA">
        <w:rPr>
          <w:lang w:val="cs-CZ"/>
        </w:rPr>
        <w:t>se vypovídá</w:t>
      </w:r>
      <w:r w:rsidR="006C0D3C">
        <w:rPr>
          <w:lang w:val="cs-CZ"/>
        </w:rPr>
        <w:t xml:space="preserve">. Díky existujícím věcem </w:t>
      </w:r>
      <w:r w:rsidR="0025426A">
        <w:rPr>
          <w:lang w:val="cs-CZ"/>
        </w:rPr>
        <w:t xml:space="preserve">se </w:t>
      </w:r>
      <w:r w:rsidR="00CC4962">
        <w:rPr>
          <w:lang w:val="cs-CZ"/>
        </w:rPr>
        <w:t xml:space="preserve">o nich </w:t>
      </w:r>
      <w:r w:rsidR="0025426A">
        <w:rPr>
          <w:lang w:val="cs-CZ"/>
        </w:rPr>
        <w:t>vypovídá</w:t>
      </w:r>
      <w:r w:rsidR="006C0D3C">
        <w:rPr>
          <w:lang w:val="cs-CZ"/>
        </w:rPr>
        <w:t xml:space="preserve"> pravdivě nebo nepravdivě. To je dáno tím, že bytí jednotlivé věci je nutně samo sebou (</w:t>
      </w:r>
      <w:r w:rsidR="006C0D3C" w:rsidRPr="006C0D3C">
        <w:rPr>
          <w:i/>
        </w:rPr>
        <w:t>rem necesse est esse</w:t>
      </w:r>
      <w:r w:rsidR="00962D77">
        <w:rPr>
          <w:lang w:val="cs-CZ"/>
        </w:rPr>
        <w:t xml:space="preserve">). </w:t>
      </w:r>
      <w:r w:rsidR="00616E3A">
        <w:rPr>
          <w:lang w:val="cs-CZ"/>
        </w:rPr>
        <w:t xml:space="preserve">Tato  existeční nutnost je dána </w:t>
      </w:r>
      <w:r w:rsidR="006C0D3C">
        <w:rPr>
          <w:lang w:val="cs-CZ"/>
        </w:rPr>
        <w:t xml:space="preserve">tím, že </w:t>
      </w:r>
      <w:r w:rsidR="00962D77">
        <w:rPr>
          <w:lang w:val="cs-CZ"/>
        </w:rPr>
        <w:t xml:space="preserve">věc </w:t>
      </w:r>
      <w:r w:rsidR="00616E3A">
        <w:rPr>
          <w:lang w:val="cs-CZ"/>
        </w:rPr>
        <w:t xml:space="preserve">buď jest, nebo </w:t>
      </w:r>
      <w:r w:rsidR="00CC4962">
        <w:rPr>
          <w:lang w:val="cs-CZ"/>
        </w:rPr>
        <w:t>není. P</w:t>
      </w:r>
      <w:r w:rsidR="006C0D3C">
        <w:rPr>
          <w:lang w:val="cs-CZ"/>
        </w:rPr>
        <w:t xml:space="preserve">ropozice </w:t>
      </w:r>
      <w:r w:rsidR="00CC4962">
        <w:rPr>
          <w:lang w:val="cs-CZ"/>
        </w:rPr>
        <w:t xml:space="preserve">daná na základě této </w:t>
      </w:r>
      <w:r w:rsidR="00825FB0">
        <w:rPr>
          <w:lang w:val="cs-CZ"/>
        </w:rPr>
        <w:t>existenčně pravdiv</w:t>
      </w:r>
      <w:r w:rsidR="00CC4962">
        <w:rPr>
          <w:lang w:val="cs-CZ"/>
        </w:rPr>
        <w:t xml:space="preserve">é nutnosti je nutně </w:t>
      </w:r>
      <w:r w:rsidR="006C0D3C">
        <w:rPr>
          <w:lang w:val="cs-CZ"/>
        </w:rPr>
        <w:t>pravdivá</w:t>
      </w:r>
      <w:r w:rsidR="00825FB0">
        <w:rPr>
          <w:lang w:val="cs-CZ"/>
        </w:rPr>
        <w:t xml:space="preserve"> i metafyzicky </w:t>
      </w:r>
      <w:r w:rsidR="006C0D3C">
        <w:rPr>
          <w:lang w:val="cs-CZ"/>
        </w:rPr>
        <w:t>(</w:t>
      </w:r>
      <w:r w:rsidR="006C0D3C" w:rsidRPr="0025426A">
        <w:rPr>
          <w:i/>
        </w:rPr>
        <w:t>p</w:t>
      </w:r>
      <w:r w:rsidR="00D47748">
        <w:rPr>
          <w:i/>
        </w:rPr>
        <w:t xml:space="preserve">ropositionem veram necesse est </w:t>
      </w:r>
      <w:r w:rsidR="00D47748">
        <w:rPr>
          <w:i/>
          <w:lang w:val="cs-CZ"/>
        </w:rPr>
        <w:t>v</w:t>
      </w:r>
      <w:r w:rsidR="006C0D3C" w:rsidRPr="0025426A">
        <w:rPr>
          <w:i/>
        </w:rPr>
        <w:t>eram esse</w:t>
      </w:r>
      <w:r w:rsidR="00AC64B0">
        <w:rPr>
          <w:lang w:val="cs-CZ"/>
        </w:rPr>
        <w:t>)</w:t>
      </w:r>
      <w:r w:rsidR="006C0D3C">
        <w:rPr>
          <w:lang w:val="cs-CZ"/>
        </w:rPr>
        <w:t xml:space="preserve">; pokud věc není </w:t>
      </w:r>
      <w:r w:rsidR="00CC4962">
        <w:rPr>
          <w:lang w:val="cs-CZ"/>
        </w:rPr>
        <w:t xml:space="preserve">správně </w:t>
      </w:r>
      <w:r w:rsidR="006C0D3C">
        <w:rPr>
          <w:lang w:val="cs-CZ"/>
        </w:rPr>
        <w:t xml:space="preserve">dána </w:t>
      </w:r>
      <w:r w:rsidR="00AC64B0">
        <w:rPr>
          <w:lang w:val="cs-CZ"/>
        </w:rPr>
        <w:t xml:space="preserve">vzhledem k této </w:t>
      </w:r>
      <w:r w:rsidR="001235C9">
        <w:rPr>
          <w:lang w:val="cs-CZ"/>
        </w:rPr>
        <w:t xml:space="preserve">existenční </w:t>
      </w:r>
      <w:r w:rsidR="00AC64B0">
        <w:rPr>
          <w:lang w:val="cs-CZ"/>
        </w:rPr>
        <w:t>nutnosti</w:t>
      </w:r>
      <w:r w:rsidR="006C0D3C">
        <w:rPr>
          <w:lang w:val="cs-CZ"/>
        </w:rPr>
        <w:t>, tak je</w:t>
      </w:r>
      <w:r w:rsidR="00AC64B0">
        <w:rPr>
          <w:lang w:val="cs-CZ"/>
        </w:rPr>
        <w:t xml:space="preserve"> výrok nepravdivý</w:t>
      </w:r>
      <w:r w:rsidR="006C0D3C">
        <w:rPr>
          <w:lang w:val="cs-CZ"/>
        </w:rPr>
        <w:t>.“ </w:t>
      </w:r>
      <w:r w:rsidRPr="00273106">
        <w:rPr>
          <w:rStyle w:val="Znakapoznpodarou"/>
        </w:rPr>
        <w:footnoteReference w:id="33"/>
      </w:r>
    </w:p>
    <w:p w14:paraId="52F355E2" w14:textId="3E89D776" w:rsidR="00F1663E" w:rsidRDefault="088E5DBF" w:rsidP="00EA0B82">
      <w:r w:rsidRPr="00273106">
        <w:t>V</w:t>
      </w:r>
      <w:r w:rsidR="004778FD" w:rsidRPr="00273106">
        <w:t>ědecké poznání dané v deduktivním soudu musí podávat stav reálně existujících věcí ve světě (</w:t>
      </w:r>
      <w:r w:rsidR="004778FD" w:rsidRPr="00273106">
        <w:rPr>
          <w:i/>
        </w:rPr>
        <w:t>sequi illos eventus rerum quos enuntiant</w:t>
      </w:r>
      <w:r w:rsidR="00A41AB0" w:rsidRPr="00273106">
        <w:t>). Protože první substan</w:t>
      </w:r>
      <w:r w:rsidR="004778FD" w:rsidRPr="00273106">
        <w:t xml:space="preserve">ce </w:t>
      </w:r>
      <w:r w:rsidR="00A41AB0" w:rsidRPr="00273106">
        <w:t>existují a</w:t>
      </w:r>
      <w:r w:rsidR="004778FD" w:rsidRPr="00273106">
        <w:t xml:space="preserve">ktuálně, pak je možné formulovat závazné a adekvátní výpovědi </w:t>
      </w:r>
      <w:r w:rsidR="0033382F">
        <w:t xml:space="preserve">o </w:t>
      </w:r>
      <w:r w:rsidR="004778FD" w:rsidRPr="00273106">
        <w:t>existenci či neexistenci prvních substancí (</w:t>
      </w:r>
      <w:r w:rsidR="004778FD" w:rsidRPr="00273106">
        <w:rPr>
          <w:i/>
        </w:rPr>
        <w:t>gratia quorum tantum verae esse uel falsae dicuntur</w:t>
      </w:r>
      <w:r w:rsidR="004778FD" w:rsidRPr="00273106">
        <w:t>). Nutnost není primárně dána v logické výpovědi, ale v realitě věci (</w:t>
      </w:r>
      <w:r w:rsidR="004778FD" w:rsidRPr="00273106">
        <w:rPr>
          <w:i/>
        </w:rPr>
        <w:t>quamlibet rem necesse est esse</w:t>
      </w:r>
      <w:r w:rsidR="004778FD" w:rsidRPr="00273106">
        <w:t>). A tato původní nutnost individuá</w:t>
      </w:r>
      <w:r w:rsidR="00FF6491" w:rsidRPr="00273106">
        <w:t>l</w:t>
      </w:r>
      <w:r w:rsidR="004778FD" w:rsidRPr="00273106">
        <w:t>ních vztahů na úrovni aktuálního jsoucna je vzata do obecné pravdy soudu (</w:t>
      </w:r>
      <w:r w:rsidR="004778FD" w:rsidRPr="00273106">
        <w:rPr>
          <w:i/>
        </w:rPr>
        <w:t>propositionem veram necesse est ueram esse</w:t>
      </w:r>
      <w:r w:rsidR="004778FD" w:rsidRPr="00273106">
        <w:t xml:space="preserve">). </w:t>
      </w:r>
      <w:r w:rsidR="00CB3E4F">
        <w:t>Abélard</w:t>
      </w:r>
      <w:r w:rsidR="004778FD" w:rsidRPr="00273106">
        <w:t xml:space="preserve"> na rozdíl od tehdejších </w:t>
      </w:r>
      <w:r w:rsidR="004778FD" w:rsidRPr="00273106">
        <w:rPr>
          <w:i/>
        </w:rPr>
        <w:t>Modernorum</w:t>
      </w:r>
      <w:r w:rsidR="004778FD" w:rsidRPr="00273106">
        <w:t xml:space="preserve"> jasně vidí rozdíl mezi </w:t>
      </w:r>
      <w:r w:rsidR="004778FD" w:rsidRPr="002F1118">
        <w:rPr>
          <w:i/>
        </w:rPr>
        <w:t>Druhými analytikami</w:t>
      </w:r>
      <w:r w:rsidR="004778FD" w:rsidRPr="00273106">
        <w:t xml:space="preserve"> a </w:t>
      </w:r>
      <w:r w:rsidR="004005B5">
        <w:t xml:space="preserve">mezi </w:t>
      </w:r>
      <w:r w:rsidR="004778FD" w:rsidRPr="00273106">
        <w:t xml:space="preserve">obecnou naukou významu danou v úvodu </w:t>
      </w:r>
      <w:r w:rsidR="08FC6083" w:rsidRPr="00273106">
        <w:rPr>
          <w:i/>
        </w:rPr>
        <w:t>De Interpretatione</w:t>
      </w:r>
      <w:r w:rsidR="004778FD" w:rsidRPr="00273106">
        <w:t xml:space="preserve">. </w:t>
      </w:r>
      <w:r w:rsidR="00257AD2" w:rsidRPr="00273106">
        <w:t xml:space="preserve">Následující </w:t>
      </w:r>
      <w:r w:rsidR="002F1118">
        <w:t>matrice objektivity ukáže, jak o</w:t>
      </w:r>
      <w:r w:rsidR="00257AD2" w:rsidRPr="00273106">
        <w:t xml:space="preserve">xfordská škola </w:t>
      </w:r>
      <w:r w:rsidR="002F1118">
        <w:t xml:space="preserve">Anselmových žáků </w:t>
      </w:r>
      <w:r w:rsidR="08033B89">
        <w:t>(Grosse</w:t>
      </w:r>
      <w:r w:rsidR="00257AD2" w:rsidRPr="00273106">
        <w:t>teste, Rufus, Kilwardby) proměnila pojetí středního členu soudu (</w:t>
      </w:r>
      <w:r w:rsidR="00257AD2" w:rsidRPr="00273106">
        <w:rPr>
          <w:i/>
        </w:rPr>
        <w:t>medium</w:t>
      </w:r>
      <w:r w:rsidR="00610F15">
        <w:rPr>
          <w:i/>
        </w:rPr>
        <w:fldChar w:fldCharType="begin"/>
      </w:r>
      <w:r w:rsidR="00610F15">
        <w:instrText xml:space="preserve"> XE "</w:instrText>
      </w:r>
      <w:r w:rsidR="00610F15" w:rsidRPr="001618A5">
        <w:rPr>
          <w:i/>
        </w:rPr>
        <w:instrText>medium:</w:instrText>
      </w:r>
      <w:r w:rsidR="00610F15" w:rsidRPr="001618A5">
        <w:instrText>Albert</w:instrText>
      </w:r>
      <w:r w:rsidR="00610F15">
        <w:instrText xml:space="preserve">" </w:instrText>
      </w:r>
      <w:r w:rsidR="00610F15">
        <w:rPr>
          <w:i/>
        </w:rPr>
        <w:fldChar w:fldCharType="end"/>
      </w:r>
      <w:r w:rsidR="00257AD2" w:rsidRPr="00273106">
        <w:t xml:space="preserve">) dané </w:t>
      </w:r>
      <w:r w:rsidR="004005B5">
        <w:t xml:space="preserve">v původním aristotelismu pouze </w:t>
      </w:r>
      <w:r w:rsidR="00257AD2" w:rsidRPr="00273106">
        <w:t xml:space="preserve">vztahem k reálnému působení prvních substancí. </w:t>
      </w:r>
      <w:r w:rsidR="00CB3E4F">
        <w:t>Abélard</w:t>
      </w:r>
      <w:r w:rsidR="00380942" w:rsidRPr="00273106">
        <w:t xml:space="preserve"> rozlišuje </w:t>
      </w:r>
      <w:r w:rsidR="00D81E1D">
        <w:t xml:space="preserve">proti modernistům ze školy Anselma </w:t>
      </w:r>
      <w:r w:rsidR="00380942" w:rsidRPr="00273106">
        <w:t xml:space="preserve">dvě pojetí </w:t>
      </w:r>
      <w:r w:rsidR="00380942" w:rsidRPr="00273106">
        <w:lastRenderedPageBreak/>
        <w:t>signifikace</w:t>
      </w:r>
      <w:r w:rsidR="00AD3FA9">
        <w:t>.</w:t>
      </w:r>
      <w:r w:rsidR="00380942" w:rsidRPr="00273106">
        <w:rPr>
          <w:rStyle w:val="Znakapoznpodarou"/>
        </w:rPr>
        <w:footnoteReference w:id="34"/>
      </w:r>
      <w:r w:rsidR="00380942" w:rsidRPr="00273106">
        <w:t xml:space="preserve"> Neúplná signifikace obsahuje pouze ekvivoční determinaci člověka (</w:t>
      </w:r>
      <w:r w:rsidR="00380942" w:rsidRPr="00273106">
        <w:rPr>
          <w:i/>
        </w:rPr>
        <w:t>animalitas et rationalitas hominem constituant</w:t>
      </w:r>
      <w:r w:rsidR="00380942" w:rsidRPr="00273106">
        <w:t>), ale tím ještě nevzniká univoční význam (</w:t>
      </w:r>
      <w:r w:rsidR="00380942" w:rsidRPr="00273106">
        <w:rPr>
          <w:i/>
        </w:rPr>
        <w:t>unus intellectus</w:t>
      </w:r>
      <w:r w:rsidR="00380942" w:rsidRPr="00273106">
        <w:t xml:space="preserve">). Ten </w:t>
      </w:r>
      <w:r w:rsidR="081506AA">
        <w:t xml:space="preserve">je </w:t>
      </w:r>
      <w:r w:rsidR="00380942" w:rsidRPr="00273106">
        <w:t>dán pouze v rámci signifikace dané hylemorfickou substancí. Tím se vztahuje ke konkrétnímu člověku a nese univoční význam</w:t>
      </w:r>
      <w:r w:rsidR="00AD3FA9">
        <w:rPr>
          <w:i/>
        </w:rPr>
        <w:fldChar w:fldCharType="begin"/>
      </w:r>
      <w:r w:rsidR="00AD3FA9">
        <w:instrText xml:space="preserve"> XE "signifikace:univoční" </w:instrText>
      </w:r>
      <w:r w:rsidR="00AD3FA9">
        <w:rPr>
          <w:i/>
        </w:rPr>
        <w:fldChar w:fldCharType="end"/>
      </w:r>
      <w:r w:rsidR="00380942" w:rsidRPr="00273106">
        <w:t>. Nominální signifi</w:t>
      </w:r>
      <w:r w:rsidR="00645238">
        <w:t>ka</w:t>
      </w:r>
      <w:r w:rsidR="00380942" w:rsidRPr="00273106">
        <w:t>ce sice stačí pro verbální určení smyslu (</w:t>
      </w:r>
      <w:r w:rsidR="00380942" w:rsidRPr="00273106">
        <w:rPr>
          <w:i/>
        </w:rPr>
        <w:t>'homo albus' una est in sensu oratio</w:t>
      </w:r>
      <w:r w:rsidR="00380942" w:rsidRPr="00273106">
        <w:t>), ale tato signifikace nestačí zajistit univocitu danou pouze v rámci první substance (</w:t>
      </w:r>
      <w:r w:rsidR="00380942" w:rsidRPr="00273106">
        <w:rPr>
          <w:i/>
        </w:rPr>
        <w:t>unius rei substantiam non perficiant res significatae</w:t>
      </w:r>
      <w:r w:rsidR="00380942" w:rsidRPr="00273106">
        <w:t>). Univerzální určení se vinou své mnohoznačnosti primárně nevztahují k první substanci (</w:t>
      </w:r>
      <w:r w:rsidR="00380942" w:rsidRPr="00273106">
        <w:rPr>
          <w:i/>
        </w:rPr>
        <w:t>multiplices dicuntur</w:t>
      </w:r>
      <w:r w:rsidR="00380942" w:rsidRPr="00273106">
        <w:t xml:space="preserve">). V žádném případě nemůže </w:t>
      </w:r>
      <w:r w:rsidR="087F3CE4">
        <w:t xml:space="preserve">univocita </w:t>
      </w:r>
      <w:r w:rsidR="00380942" w:rsidRPr="00273106">
        <w:t>vzniknout opačně, tj. složením abstraktních všeobecných určení (</w:t>
      </w:r>
      <w:r w:rsidR="00380942" w:rsidRPr="00273106">
        <w:rPr>
          <w:i/>
        </w:rPr>
        <w:t>ex albedine et homine nullius rei substantia constituatur</w:t>
      </w:r>
      <w:r w:rsidR="00380942" w:rsidRPr="00273106">
        <w:t>).</w:t>
      </w:r>
      <w:r w:rsidR="087F3CE4" w:rsidRPr="087F3CE4">
        <w:t xml:space="preserve"> </w:t>
      </w:r>
      <w:r w:rsidR="087F3CE4" w:rsidRPr="00273106">
        <w:t xml:space="preserve">Univocita </w:t>
      </w:r>
      <w:r w:rsidR="087F3CE4">
        <w:t xml:space="preserve">determinovaná hyparchicky danou první substancí </w:t>
      </w:r>
      <w:r w:rsidR="087F3CE4" w:rsidRPr="00273106">
        <w:t>je konečným cílem signifikace a pravdivého poznání světa.</w:t>
      </w:r>
      <w:r w:rsidR="084F756A">
        <w:t xml:space="preserve"> </w:t>
      </w:r>
      <w:r w:rsidR="00CB3E4F">
        <w:t>Abélard</w:t>
      </w:r>
      <w:r w:rsidR="00380942" w:rsidRPr="00273106">
        <w:t xml:space="preserve"> obhajuje rozdíl mezi složeninou formy a látky </w:t>
      </w:r>
      <w:r w:rsidR="0012704B">
        <w:t>(</w:t>
      </w:r>
      <w:r w:rsidR="00380942" w:rsidRPr="00273106">
        <w:rPr>
          <w:i/>
        </w:rPr>
        <w:t>totum integrum</w:t>
      </w:r>
      <w:r w:rsidR="0012704B">
        <w:t>), která je dána</w:t>
      </w:r>
      <w:r w:rsidR="00380942" w:rsidRPr="00273106">
        <w:t xml:space="preserve"> v reálu </w:t>
      </w:r>
      <w:r w:rsidR="00380942" w:rsidRPr="00273106">
        <w:rPr>
          <w:i/>
        </w:rPr>
        <w:t>simpliciter</w:t>
      </w:r>
      <w:r w:rsidR="0012704B">
        <w:t xml:space="preserve">, </w:t>
      </w:r>
      <w:r w:rsidR="00380942" w:rsidRPr="00273106">
        <w:t xml:space="preserve">a </w:t>
      </w:r>
      <w:r w:rsidR="00380942">
        <w:t xml:space="preserve">mezi </w:t>
      </w:r>
      <w:r w:rsidR="00380942" w:rsidRPr="00273106">
        <w:t xml:space="preserve">její složenou univerzální podobou danou v intelektuálním poznání </w:t>
      </w:r>
      <w:r w:rsidR="00380942" w:rsidRPr="00273106">
        <w:rPr>
          <w:i/>
        </w:rPr>
        <w:t>modo compositionis</w:t>
      </w:r>
      <w:r w:rsidR="00380942" w:rsidRPr="00273106">
        <w:t>.</w:t>
      </w:r>
      <w:r w:rsidR="00380942" w:rsidRPr="00273106">
        <w:rPr>
          <w:rStyle w:val="Znakapoznpodarou"/>
        </w:rPr>
        <w:footnoteReference w:id="35"/>
      </w:r>
      <w:r w:rsidR="00380942" w:rsidRPr="00273106">
        <w:t xml:space="preserve"> </w:t>
      </w:r>
      <w:r w:rsidR="00380942">
        <w:t>I</w:t>
      </w:r>
      <w:r w:rsidR="00380942" w:rsidRPr="00273106">
        <w:t>mpozic</w:t>
      </w:r>
      <w:r w:rsidR="00380942">
        <w:t>e</w:t>
      </w:r>
      <w:r w:rsidR="00380942" w:rsidRPr="00273106">
        <w:t xml:space="preserve"> substanciálního významu </w:t>
      </w:r>
      <w:r w:rsidR="00380942">
        <w:t xml:space="preserve">je dána </w:t>
      </w:r>
      <w:r w:rsidR="00380942" w:rsidRPr="00273106">
        <w:t>buď od konceptu v mysli (</w:t>
      </w:r>
      <w:r w:rsidR="00380942" w:rsidRPr="00273106">
        <w:rPr>
          <w:i/>
        </w:rPr>
        <w:t>totum universale</w:t>
      </w:r>
      <w:r w:rsidR="00345D28">
        <w:rPr>
          <w:i/>
        </w:rPr>
        <w:fldChar w:fldCharType="begin"/>
      </w:r>
      <w:r w:rsidR="00345D28">
        <w:instrText xml:space="preserve"> XE "</w:instrText>
      </w:r>
      <w:r w:rsidR="00345D28" w:rsidRPr="00F92D1B">
        <w:rPr>
          <w:i/>
        </w:rPr>
        <w:instrText>totum universale</w:instrText>
      </w:r>
      <w:r w:rsidR="00345D28">
        <w:instrText xml:space="preserve">" </w:instrText>
      </w:r>
      <w:r w:rsidR="00345D28">
        <w:rPr>
          <w:i/>
        </w:rPr>
        <w:fldChar w:fldCharType="end"/>
      </w:r>
      <w:r w:rsidR="00380942" w:rsidRPr="00273106">
        <w:t>), nebo od komplexní hylemorfické jednotliviny (</w:t>
      </w:r>
      <w:r w:rsidR="00380942" w:rsidRPr="00273106">
        <w:rPr>
          <w:i/>
        </w:rPr>
        <w:t>totum integrum</w:t>
      </w:r>
      <w:r w:rsidR="00652414">
        <w:rPr>
          <w:i/>
        </w:rPr>
        <w:fldChar w:fldCharType="begin"/>
      </w:r>
      <w:r w:rsidR="00652414">
        <w:instrText xml:space="preserve"> XE "</w:instrText>
      </w:r>
      <w:r w:rsidR="00652414" w:rsidRPr="00A61533">
        <w:rPr>
          <w:i/>
        </w:rPr>
        <w:instrText>totum integrum</w:instrText>
      </w:r>
      <w:r w:rsidR="00652414">
        <w:instrText xml:space="preserve">" </w:instrText>
      </w:r>
      <w:r w:rsidR="00652414">
        <w:rPr>
          <w:i/>
        </w:rPr>
        <w:fldChar w:fldCharType="end"/>
      </w:r>
      <w:r w:rsidR="00380942" w:rsidRPr="00273106">
        <w:t xml:space="preserve">). Rozdíl v obou impozicích směrem od univerzálií v mysli </w:t>
      </w:r>
      <w:r w:rsidR="00C57392">
        <w:t xml:space="preserve">nebo od reality je pro kritickou metafyziku naprosto zásadní. Buď </w:t>
      </w:r>
      <w:r w:rsidR="00380942" w:rsidRPr="00273106">
        <w:t>zakládá</w:t>
      </w:r>
      <w:r w:rsidR="00380942">
        <w:t xml:space="preserve"> </w:t>
      </w:r>
      <w:r w:rsidR="00380942" w:rsidRPr="00273106">
        <w:t>čistě nominální signifikaci v rámci řečové komunikace (</w:t>
      </w:r>
      <w:r w:rsidR="00380942" w:rsidRPr="00273106">
        <w:rPr>
          <w:i/>
        </w:rPr>
        <w:t>oratio</w:t>
      </w:r>
      <w:r w:rsidR="00380942" w:rsidRPr="00273106">
        <w:t>)</w:t>
      </w:r>
      <w:r w:rsidR="00380942">
        <w:t>. N</w:t>
      </w:r>
      <w:r w:rsidR="00380942" w:rsidRPr="00273106">
        <w:t>ebo může založit i kategoriální signifikaci nutnou pro určení pravdy v deduktivním vědeckém soudu (</w:t>
      </w:r>
      <w:r w:rsidR="00645238" w:rsidRPr="00645238">
        <w:rPr>
          <w:i/>
        </w:rPr>
        <w:t>demonstratio</w:t>
      </w:r>
      <w:r w:rsidR="007A6052">
        <w:rPr>
          <w:i/>
        </w:rPr>
        <w:fldChar w:fldCharType="begin"/>
      </w:r>
      <w:r w:rsidR="007A6052">
        <w:instrText xml:space="preserve"> XE "</w:instrText>
      </w:r>
      <w:r w:rsidR="007A6052" w:rsidRPr="004E6075">
        <w:rPr>
          <w:i/>
        </w:rPr>
        <w:instrText>demonstratio:</w:instrText>
      </w:r>
      <w:r w:rsidR="002E3B62">
        <w:instrText>Averroes</w:instrText>
      </w:r>
      <w:r w:rsidR="007A6052">
        <w:instrText xml:space="preserve">" </w:instrText>
      </w:r>
      <w:r w:rsidR="007A6052">
        <w:rPr>
          <w:i/>
        </w:rPr>
        <w:fldChar w:fldCharType="end"/>
      </w:r>
      <w:r w:rsidR="00380942" w:rsidRPr="00273106">
        <w:t>). Ale v žádném případě není možná impozice, která by do sebe univo</w:t>
      </w:r>
      <w:r w:rsidR="00C57392">
        <w:t xml:space="preserve">čně zahrnovala první substanci, nebo by byla postavena </w:t>
      </w:r>
      <w:r w:rsidR="084F5C19">
        <w:t xml:space="preserve">mimo </w:t>
      </w:r>
      <w:r w:rsidR="00920614">
        <w:t>existenciální nutnost danou na základě reálných</w:t>
      </w:r>
      <w:r w:rsidR="00C57392">
        <w:t xml:space="preserve"> věc</w:t>
      </w:r>
      <w:r w:rsidR="00920614">
        <w:t>í</w:t>
      </w:r>
      <w:r w:rsidR="00C57392">
        <w:t>. Filosofická pravda</w:t>
      </w:r>
      <w:r w:rsidR="0040732D">
        <w:t xml:space="preserve"> jako </w:t>
      </w:r>
      <w:r w:rsidR="00BA5A9A">
        <w:t>adekvace</w:t>
      </w:r>
      <w:r w:rsidR="00C57392">
        <w:t xml:space="preserve"> podle Aristotela nemůže být neoplatonská asimilace </w:t>
      </w:r>
      <w:r w:rsidR="00437BE4">
        <w:t xml:space="preserve">věčného a předem daného </w:t>
      </w:r>
      <w:r w:rsidR="00C57392">
        <w:t>významu podle Anselmovy teorie pravdy</w:t>
      </w:r>
      <w:r w:rsidR="00BA5A9A">
        <w:t>-správnosti a jistoty</w:t>
      </w:r>
      <w:r w:rsidR="00C57392">
        <w:t xml:space="preserve"> brané z boží perspektivy. </w:t>
      </w:r>
      <w:r w:rsidR="08FF6070" w:rsidRPr="00273106">
        <w:t xml:space="preserve">Prozíravý a kritický scholastik </w:t>
      </w:r>
      <w:r w:rsidR="00CB3E4F">
        <w:t>Abélard</w:t>
      </w:r>
      <w:r w:rsidR="00E54394">
        <w:t xml:space="preserve"> </w:t>
      </w:r>
      <w:r w:rsidR="08FF6070" w:rsidRPr="00273106">
        <w:t>dobře viděl nebezpečí univočního konceptu substance, který prosazovali jeho protivníci</w:t>
      </w:r>
      <w:r w:rsidR="00F4692C">
        <w:t xml:space="preserve">. </w:t>
      </w:r>
      <w:r w:rsidR="00E54394">
        <w:lastRenderedPageBreak/>
        <w:t>Následující matrice</w:t>
      </w:r>
      <w:r w:rsidR="00E54394" w:rsidRPr="00273106">
        <w:t xml:space="preserve"> </w:t>
      </w:r>
      <w:r w:rsidR="00E54394">
        <w:t>ukáže, jak n</w:t>
      </w:r>
      <w:r w:rsidR="00E54394" w:rsidRPr="00273106">
        <w:t xml:space="preserve">a </w:t>
      </w:r>
      <w:r w:rsidR="00E54394">
        <w:t xml:space="preserve">toto </w:t>
      </w:r>
      <w:r w:rsidR="08F7790F">
        <w:t xml:space="preserve">metafyzické </w:t>
      </w:r>
      <w:r w:rsidR="085D21F5">
        <w:t xml:space="preserve">pochybení </w:t>
      </w:r>
      <w:r w:rsidR="00E54394" w:rsidRPr="00273106">
        <w:t>mezi poznáním věci a mezi existen</w:t>
      </w:r>
      <w:r w:rsidR="00E54394">
        <w:t xml:space="preserve">cí věci </w:t>
      </w:r>
      <w:r w:rsidR="085D21F5">
        <w:t>ustavilo západní objektivitu</w:t>
      </w:r>
      <w:r w:rsidR="00E54394" w:rsidRPr="00273106">
        <w:t>.</w:t>
      </w:r>
    </w:p>
    <w:p w14:paraId="049361C9" w14:textId="5C018D53" w:rsidR="00A634A5" w:rsidRDefault="00F1663E" w:rsidP="00A41B10">
      <w:r>
        <w:tab/>
      </w:r>
      <w:r w:rsidR="00EA0B82" w:rsidRPr="00273106">
        <w:t>První latinská gigantomachie o substanci</w:t>
      </w:r>
      <w:r w:rsidR="00322604">
        <w:rPr>
          <w:i/>
        </w:rPr>
        <w:fldChar w:fldCharType="begin"/>
      </w:r>
      <w:r w:rsidR="00322604">
        <w:instrText xml:space="preserve"> XE "</w:instrText>
      </w:r>
      <w:r w:rsidR="00322604" w:rsidRPr="00322604">
        <w:instrText>substance:gigantomachie</w:instrText>
      </w:r>
      <w:r w:rsidR="00322604">
        <w:instrText xml:space="preserve">" </w:instrText>
      </w:r>
      <w:r w:rsidR="00322604">
        <w:rPr>
          <w:i/>
        </w:rPr>
        <w:fldChar w:fldCharType="end"/>
      </w:r>
      <w:r w:rsidR="00EA0B82" w:rsidRPr="00273106">
        <w:t xml:space="preserve"> měla zásadní dopad na teologii a na akademické instituce</w:t>
      </w:r>
      <w:r w:rsidR="00EA0B82">
        <w:t xml:space="preserve">, protože instrumentalizovala </w:t>
      </w:r>
      <w:r w:rsidR="00EA0B82" w:rsidRPr="00273106">
        <w:t>mocenské struktury v církvi</w:t>
      </w:r>
      <w:r w:rsidR="00EA0B82">
        <w:t xml:space="preserve"> pro </w:t>
      </w:r>
      <w:r w:rsidR="08984507">
        <w:t xml:space="preserve">první </w:t>
      </w:r>
      <w:r w:rsidR="009C3FD2">
        <w:t xml:space="preserve">vážný </w:t>
      </w:r>
      <w:r w:rsidR="00EA0B82">
        <w:t>filosofický spor</w:t>
      </w:r>
      <w:r w:rsidR="00717762">
        <w:t xml:space="preserve"> mezi platonismem a aristotelismem</w:t>
      </w:r>
      <w:r w:rsidR="00EA0B82">
        <w:t>.</w:t>
      </w:r>
      <w:r>
        <w:t xml:space="preserve"> </w:t>
      </w:r>
      <w:r w:rsidR="0852386E">
        <w:t>Gigantomachie o novou formu substance postihla</w:t>
      </w:r>
      <w:r w:rsidR="0852386E" w:rsidRPr="00273106">
        <w:t xml:space="preserve"> tehdy žhavé teologické téma definující vztahy v</w:t>
      </w:r>
      <w:r w:rsidR="08354D1B">
        <w:t xml:space="preserve"> Boží </w:t>
      </w:r>
      <w:r w:rsidR="0852386E" w:rsidRPr="00273106">
        <w:t>Trojici</w:t>
      </w:r>
      <w:r w:rsidR="0852386E">
        <w:t xml:space="preserve">, kdy si jednotlivé školy vzájemně předhazovaly </w:t>
      </w:r>
      <w:r w:rsidR="0852386E" w:rsidRPr="00273106">
        <w:rPr>
          <w:lang w:eastAsia="en-US"/>
        </w:rPr>
        <w:t>obvinění z tri-teismu</w:t>
      </w:r>
      <w:r w:rsidR="0852386E">
        <w:rPr>
          <w:lang w:eastAsia="en-US"/>
        </w:rPr>
        <w:fldChar w:fldCharType="begin"/>
      </w:r>
      <w:r w:rsidR="0852386E">
        <w:instrText xml:space="preserve"> XE "</w:instrText>
      </w:r>
      <w:r w:rsidR="0852386E" w:rsidRPr="00B332D5">
        <w:rPr>
          <w:lang w:eastAsia="en-US"/>
        </w:rPr>
        <w:instrText>triteismus</w:instrText>
      </w:r>
      <w:r w:rsidR="0852386E">
        <w:instrText xml:space="preserve">" </w:instrText>
      </w:r>
      <w:r w:rsidR="0852386E">
        <w:rPr>
          <w:lang w:eastAsia="en-US"/>
        </w:rPr>
        <w:fldChar w:fldCharType="end"/>
      </w:r>
      <w:r w:rsidR="0852386E" w:rsidRPr="00273106">
        <w:rPr>
          <w:lang w:eastAsia="en-US"/>
        </w:rPr>
        <w:t>.</w:t>
      </w:r>
      <w:r w:rsidR="00115ACC">
        <w:rPr>
          <w:lang w:eastAsia="en-US"/>
        </w:rPr>
        <w:t xml:space="preserve"> Metafyzicky nedovzdělaní modernisté podle Abéralda fatálně změnili definici Boží Trojice tím, že z akcidentů vytvořili hypostáze. A</w:t>
      </w:r>
      <w:r w:rsidR="00CB3E4F">
        <w:t>bélard</w:t>
      </w:r>
      <w:r w:rsidR="08C61ADC">
        <w:t xml:space="preserve"> zásadně odmítl </w:t>
      </w:r>
      <w:r w:rsidR="0044611F">
        <w:t xml:space="preserve">definovat vztahy na základě </w:t>
      </w:r>
      <w:r w:rsidR="08C61ADC">
        <w:t>supozi</w:t>
      </w:r>
      <w:r w:rsidR="0044611F">
        <w:t xml:space="preserve">ce, protože tím by padla impozice vztahů </w:t>
      </w:r>
      <w:r w:rsidR="08C61ADC">
        <w:t xml:space="preserve"> </w:t>
      </w:r>
      <w:r w:rsidR="00115ACC">
        <w:t>určených reálným děním p</w:t>
      </w:r>
      <w:r w:rsidR="08C61ADC">
        <w:t>rvní</w:t>
      </w:r>
      <w:r w:rsidR="00115ACC">
        <w:t>ch substancí</w:t>
      </w:r>
      <w:r w:rsidR="08C61ADC">
        <w:t xml:space="preserve">. </w:t>
      </w:r>
      <w:r w:rsidR="004335F8">
        <w:t xml:space="preserve">Význam založený </w:t>
      </w:r>
      <w:r w:rsidR="08B94878">
        <w:t xml:space="preserve">pouze v mysli vede k ekvivocitě a teologie je </w:t>
      </w:r>
      <w:r w:rsidR="00ED3248">
        <w:t xml:space="preserve">podle tohoto kritického aristotelika první a nejdůležitější </w:t>
      </w:r>
      <w:r w:rsidR="08B94878">
        <w:t xml:space="preserve">věda. </w:t>
      </w:r>
      <w:r w:rsidR="00BC5DCD">
        <w:t xml:space="preserve">Moderní básnění o bohu není metafyzická pravda založená na reálné kauzalitě boha jako první příčiny. </w:t>
      </w:r>
      <w:r w:rsidR="08B94878">
        <w:t xml:space="preserve">Verbalismus </w:t>
      </w:r>
      <w:r w:rsidR="08C61ADC">
        <w:t xml:space="preserve">nemůže založit kategoriální predikaci univočního významu nutnou pro demonstativní deduktivní vědecký soud. </w:t>
      </w:r>
      <w:r w:rsidR="08C23C6F">
        <w:t xml:space="preserve">Porretáni a školy </w:t>
      </w:r>
      <w:r w:rsidR="08C23C6F" w:rsidRPr="08C23C6F">
        <w:rPr>
          <w:i/>
        </w:rPr>
        <w:t>Nominales</w:t>
      </w:r>
      <w:r w:rsidR="08C23C6F">
        <w:t xml:space="preserve"> zrušily hyparchický </w:t>
      </w:r>
      <w:r w:rsidR="08C61ADC">
        <w:t xml:space="preserve">význam člověka a Boží Trojice a </w:t>
      </w:r>
      <w:r w:rsidR="08E23B69">
        <w:t xml:space="preserve">bránily </w:t>
      </w:r>
      <w:r w:rsidR="08C61ADC">
        <w:t xml:space="preserve">čistě nominální </w:t>
      </w:r>
      <w:r w:rsidR="08C23C6F">
        <w:t>definice</w:t>
      </w:r>
      <w:r w:rsidR="007E48C8">
        <w:t xml:space="preserve"> </w:t>
      </w:r>
      <w:r w:rsidR="08835596">
        <w:t xml:space="preserve">dnes již mrtvého </w:t>
      </w:r>
      <w:r w:rsidR="08C61ADC">
        <w:t xml:space="preserve">boha </w:t>
      </w:r>
      <w:r w:rsidR="08C23C6F" w:rsidRPr="08C23C6F">
        <w:rPr>
          <w:i/>
        </w:rPr>
        <w:t>Modernorum</w:t>
      </w:r>
      <w:r w:rsidR="007E48C8">
        <w:t xml:space="preserve">. Ten byl </w:t>
      </w:r>
      <w:r w:rsidR="08835596">
        <w:t>poj</w:t>
      </w:r>
      <w:r w:rsidR="007E48C8">
        <w:t>at j</w:t>
      </w:r>
      <w:r w:rsidR="08835596">
        <w:t xml:space="preserve">ako pouhé </w:t>
      </w:r>
      <w:r w:rsidR="08C61ADC" w:rsidRPr="08B23A92">
        <w:rPr>
          <w:i/>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8835596">
        <w:t xml:space="preserve"> dané</w:t>
      </w:r>
      <w:r w:rsidR="08C61ADC">
        <w:t xml:space="preserve"> na způsob chiméry. </w:t>
      </w:r>
      <w:r w:rsidR="006B183A" w:rsidRPr="00273106">
        <w:t xml:space="preserve">Je příznačné pro </w:t>
      </w:r>
      <w:r w:rsidR="00D7013F">
        <w:t xml:space="preserve">pomstychtivého </w:t>
      </w:r>
      <w:r w:rsidR="006B183A" w:rsidRPr="00273106">
        <w:t xml:space="preserve">ducha moderny, že aristotelské rysy Abelardovy filosofie byly nepochopeny, zkresleny a napadeny Abelardovými bývalými spolužáky ze školy </w:t>
      </w:r>
      <w:r w:rsidR="006B183A">
        <w:t xml:space="preserve">neoplatonika </w:t>
      </w:r>
      <w:r w:rsidR="006B183A" w:rsidRPr="00273106">
        <w:t>Anselma z Laonu</w:t>
      </w:r>
      <w:r w:rsidR="006B183A">
        <w:fldChar w:fldCharType="begin"/>
      </w:r>
      <w:r w:rsidR="006B183A">
        <w:instrText xml:space="preserve"> XE "</w:instrText>
      </w:r>
      <w:r w:rsidR="006B183A" w:rsidRPr="00DC3CDD">
        <w:instrText>Anselm z Laonu</w:instrText>
      </w:r>
      <w:r w:rsidR="006B183A">
        <w:instrText xml:space="preserve">" </w:instrText>
      </w:r>
      <w:r w:rsidR="006B183A">
        <w:fldChar w:fldCharType="end"/>
      </w:r>
      <w:r w:rsidR="006B183A" w:rsidRPr="00273106">
        <w:t xml:space="preserve"> (†1117). </w:t>
      </w:r>
      <w:r w:rsidR="0812678F">
        <w:t xml:space="preserve">Od učení Anselma z Laonu se mladý </w:t>
      </w:r>
      <w:r w:rsidR="00CB3E4F">
        <w:t>Abélard</w:t>
      </w:r>
      <w:r w:rsidR="0812678F">
        <w:t xml:space="preserve"> odvrátil někdy roku 1113, kdy odešel jako magistr na katedrální školu Notre Dame v Paříži.</w:t>
      </w:r>
      <w:r w:rsidR="0812678F" w:rsidRPr="00273106">
        <w:t xml:space="preserve"> </w:t>
      </w:r>
      <w:r w:rsidR="000F4594">
        <w:t>Heloisa</w:t>
      </w:r>
      <w:r w:rsidR="000F4594">
        <w:fldChar w:fldCharType="begin"/>
      </w:r>
      <w:r w:rsidR="000F4594">
        <w:instrText xml:space="preserve"> XE "</w:instrText>
      </w:r>
      <w:r w:rsidR="000F4594" w:rsidRPr="00E220AB">
        <w:instrText>Heloisa</w:instrText>
      </w:r>
      <w:r w:rsidR="000F4594">
        <w:instrText xml:space="preserve">" </w:instrText>
      </w:r>
      <w:r w:rsidR="000F4594">
        <w:fldChar w:fldCharType="end"/>
      </w:r>
      <w:r w:rsidR="000F4594">
        <w:t xml:space="preserve"> v dopise Abelardovi </w:t>
      </w:r>
      <w:r w:rsidR="085A5EED">
        <w:t xml:space="preserve">odsoudila Albericha z Remeše a Lotulfa Lombardského jako dva </w:t>
      </w:r>
      <w:r w:rsidR="000F4594">
        <w:t>hlavní ideové odpůrce Abelarda.</w:t>
      </w:r>
      <w:r w:rsidR="000F4594" w:rsidRPr="00273106">
        <w:rPr>
          <w:rStyle w:val="Znakapoznpodarou"/>
        </w:rPr>
        <w:footnoteReference w:id="36"/>
      </w:r>
      <w:r w:rsidR="000F4594">
        <w:t xml:space="preserve"> </w:t>
      </w:r>
      <w:r w:rsidR="085A5EED">
        <w:t>Oba neoplatonikové vystupovali jako žalobci</w:t>
      </w:r>
      <w:r w:rsidR="0812678F">
        <w:t xml:space="preserve"> </w:t>
      </w:r>
      <w:r w:rsidR="00FE4C48">
        <w:t xml:space="preserve">proti Abelardovi </w:t>
      </w:r>
      <w:r w:rsidR="0812678F">
        <w:t xml:space="preserve">na koncilu v Soissons (1121). </w:t>
      </w:r>
      <w:r w:rsidR="00CB3E4F">
        <w:t>Abélard</w:t>
      </w:r>
      <w:r w:rsidR="085A5EED">
        <w:t xml:space="preserve"> </w:t>
      </w:r>
      <w:r w:rsidR="006B183A">
        <w:t xml:space="preserve">ve svém životopise udává, že </w:t>
      </w:r>
      <w:r w:rsidR="085A5EED">
        <w:t>byli ž</w:t>
      </w:r>
      <w:r w:rsidR="006B183A">
        <w:t>áci Anselma z Laonu (</w:t>
      </w:r>
      <w:r w:rsidR="006B183A" w:rsidRPr="00E349BC">
        <w:rPr>
          <w:bCs/>
          <w:i/>
        </w:rPr>
        <w:t xml:space="preserve">Historia </w:t>
      </w:r>
      <w:r w:rsidR="006B183A" w:rsidRPr="007C339A">
        <w:rPr>
          <w:bCs/>
          <w:i/>
        </w:rPr>
        <w:t>calamitatum</w:t>
      </w:r>
      <w:r w:rsidR="006B183A">
        <w:rPr>
          <w:bCs/>
        </w:rPr>
        <w:t xml:space="preserve"> I.</w:t>
      </w:r>
      <w:r w:rsidR="006B183A" w:rsidRPr="007C339A">
        <w:rPr>
          <w:bCs/>
        </w:rPr>
        <w:t>4</w:t>
      </w:r>
      <w:r w:rsidR="003976E1">
        <w:rPr>
          <w:bCs/>
        </w:rPr>
        <w:t>;</w:t>
      </w:r>
      <w:r w:rsidR="006B183A" w:rsidRPr="0076025B">
        <w:rPr>
          <w:bCs/>
        </w:rPr>
        <w:t xml:space="preserve"> PL 197, 125C</w:t>
      </w:r>
      <w:r w:rsidR="006B183A">
        <w:rPr>
          <w:bCs/>
        </w:rPr>
        <w:fldChar w:fldCharType="begin"/>
      </w:r>
      <w:r w:rsidR="006B183A">
        <w:instrText xml:space="preserve"> XE "Abelard:</w:instrText>
      </w:r>
      <w:r w:rsidR="006B183A" w:rsidRPr="00933DF3">
        <w:rPr>
          <w:bCs/>
          <w:i/>
        </w:rPr>
        <w:instrText>Historia calamitatum</w:instrText>
      </w:r>
      <w:r w:rsidR="006B183A">
        <w:rPr>
          <w:bCs/>
        </w:rPr>
        <w:instrText xml:space="preserve"> </w:instrText>
      </w:r>
      <w:r w:rsidR="006B183A" w:rsidRPr="00933DF3">
        <w:rPr>
          <w:bCs/>
        </w:rPr>
        <w:instrText>125C</w:instrText>
      </w:r>
      <w:r w:rsidR="006B183A">
        <w:instrText xml:space="preserve">" </w:instrText>
      </w:r>
      <w:r w:rsidR="006B183A">
        <w:rPr>
          <w:bCs/>
        </w:rPr>
        <w:fldChar w:fldCharType="end"/>
      </w:r>
      <w:r w:rsidR="006B183A">
        <w:t xml:space="preserve">). Význačným představitelem Laonské katedrální školy byl </w:t>
      </w:r>
      <w:r w:rsidR="00226DCE">
        <w:rPr>
          <w:lang w:eastAsia="x-none"/>
        </w:rPr>
        <w:t>Gilbert de La Porrée (</w:t>
      </w:r>
      <w:r w:rsidR="006B183A">
        <w:rPr>
          <w:rStyle w:val="st"/>
        </w:rPr>
        <w:t>Gilbertus Porretanus</w:t>
      </w:r>
      <w:r w:rsidR="00226DCE">
        <w:rPr>
          <w:rStyle w:val="st"/>
        </w:rPr>
        <w:t>)</w:t>
      </w:r>
      <w:r w:rsidR="006B183A">
        <w:rPr>
          <w:rStyle w:val="st"/>
        </w:rPr>
        <w:fldChar w:fldCharType="begin"/>
      </w:r>
      <w:r w:rsidR="006B183A">
        <w:instrText xml:space="preserve"> XE "</w:instrText>
      </w:r>
      <w:r w:rsidR="006B183A" w:rsidRPr="00D25235">
        <w:rPr>
          <w:rStyle w:val="st"/>
        </w:rPr>
        <w:instrText>Gilbertus Porretanus:</w:instrText>
      </w:r>
      <w:r w:rsidR="006B183A" w:rsidRPr="00D25235">
        <w:instrText xml:space="preserve">viz </w:instrText>
      </w:r>
      <w:r w:rsidR="006B183A" w:rsidRPr="008E2FBD">
        <w:rPr>
          <w:i/>
        </w:rPr>
        <w:instrText>Index locorum</w:instrText>
      </w:r>
      <w:r w:rsidR="006B183A">
        <w:instrText xml:space="preserve">" </w:instrText>
      </w:r>
      <w:r w:rsidR="006B183A">
        <w:rPr>
          <w:rStyle w:val="st"/>
        </w:rPr>
        <w:fldChar w:fldCharType="end"/>
      </w:r>
      <w:r w:rsidR="006B183A">
        <w:rPr>
          <w:rStyle w:val="st"/>
        </w:rPr>
        <w:t xml:space="preserve">, který hraje v ustavení latinské verze objektivity stejnou roli jako Avicenna ve falsafě. </w:t>
      </w:r>
      <w:r w:rsidR="006B183A" w:rsidRPr="00273106">
        <w:t xml:space="preserve">Anselm z Laonu a jeho škola reprezentovaná zejména </w:t>
      </w:r>
      <w:r w:rsidR="006B183A" w:rsidRPr="00273106">
        <w:lastRenderedPageBreak/>
        <w:t xml:space="preserve">Gilbertem </w:t>
      </w:r>
      <w:r w:rsidR="002239AA">
        <w:t>de La Porrée</w:t>
      </w:r>
      <w:r w:rsidR="006B183A" w:rsidRPr="00273106">
        <w:t xml:space="preserve"> je filosoficky spřízněna s myšlením Anselma z Canterbury, kterého Laonský katedrální učitel možná znal i osobně.</w:t>
      </w:r>
      <w:r w:rsidR="006B183A">
        <w:t xml:space="preserve"> </w:t>
      </w:r>
      <w:r w:rsidR="00CB3E4F">
        <w:t>Abélard</w:t>
      </w:r>
      <w:r w:rsidR="00D14B9B">
        <w:t xml:space="preserve"> hájí </w:t>
      </w:r>
      <w:r w:rsidR="00F91B99">
        <w:t xml:space="preserve">po vzoru Averroese </w:t>
      </w:r>
      <w:r w:rsidR="08984507">
        <w:t>autonomii f</w:t>
      </w:r>
      <w:r w:rsidR="00D14B9B">
        <w:t>ilosofie</w:t>
      </w:r>
      <w:r w:rsidR="00206444">
        <w:t xml:space="preserve">. Ta je </w:t>
      </w:r>
      <w:r w:rsidR="08984507">
        <w:t>oddělen</w:t>
      </w:r>
      <w:r w:rsidR="00206444">
        <w:t xml:space="preserve">á </w:t>
      </w:r>
      <w:r w:rsidR="08984507">
        <w:t xml:space="preserve">od </w:t>
      </w:r>
      <w:r w:rsidR="00D14B9B">
        <w:t>teologie</w:t>
      </w:r>
      <w:r w:rsidR="08984507">
        <w:t xml:space="preserve"> odlišným pojetím pravdy hledané přirozeným rozumem. </w:t>
      </w:r>
      <w:r w:rsidR="00D14B9B">
        <w:fldChar w:fldCharType="begin"/>
      </w:r>
      <w:r w:rsidR="00D14B9B">
        <w:instrText xml:space="preserve"> XE "teorie dvojí pravdy" </w:instrText>
      </w:r>
      <w:r w:rsidR="00D14B9B">
        <w:fldChar w:fldCharType="end"/>
      </w:r>
      <w:r w:rsidR="08984507">
        <w:t>Proto</w:t>
      </w:r>
      <w:r w:rsidR="00D14B9B">
        <w:t xml:space="preserve"> </w:t>
      </w:r>
      <w:r w:rsidR="00CB3E4F">
        <w:t>Abélard</w:t>
      </w:r>
      <w:r w:rsidR="00206444">
        <w:t xml:space="preserve"> </w:t>
      </w:r>
      <w:r w:rsidR="00D14B9B">
        <w:t xml:space="preserve">odmítá ontoteologickou konstrukci </w:t>
      </w:r>
      <w:r w:rsidR="00226F57">
        <w:t>vytvořenou na základě neoplato</w:t>
      </w:r>
      <w:r w:rsidR="00D14B9B">
        <w:t>nské a augustin</w:t>
      </w:r>
      <w:r w:rsidR="00226F57">
        <w:t>i</w:t>
      </w:r>
      <w:r w:rsidR="00D14B9B">
        <w:t xml:space="preserve">ánské iluminace. </w:t>
      </w:r>
      <w:r w:rsidR="08875AC8" w:rsidRPr="00273106">
        <w:t xml:space="preserve">Filosof </w:t>
      </w:r>
      <w:r w:rsidR="00042A5C">
        <w:t xml:space="preserve">nemůže dokázat </w:t>
      </w:r>
      <w:r w:rsidR="00916F03">
        <w:t xml:space="preserve">teologické konstrukce </w:t>
      </w:r>
      <w:r w:rsidR="00042A5C">
        <w:t>boží intencionalit</w:t>
      </w:r>
      <w:r w:rsidR="00916F03">
        <w:t>y</w:t>
      </w:r>
      <w:r w:rsidR="08875AC8">
        <w:fldChar w:fldCharType="begin"/>
      </w:r>
      <w:r w:rsidR="08875AC8">
        <w:instrText xml:space="preserve"> XE "</w:instrText>
      </w:r>
      <w:r w:rsidR="08875AC8" w:rsidRPr="00FC1648">
        <w:instrText>intencionalita:boží</w:instrText>
      </w:r>
      <w:r w:rsidR="08875AC8">
        <w:instrText xml:space="preserve">" </w:instrText>
      </w:r>
      <w:r w:rsidR="08875AC8">
        <w:fldChar w:fldCharType="end"/>
      </w:r>
      <w:r w:rsidR="00042A5C">
        <w:t>, kterou mají různá náboženství</w:t>
      </w:r>
      <w:r w:rsidR="08875AC8" w:rsidRPr="00273106">
        <w:t>, například židovství.</w:t>
      </w:r>
      <w:r w:rsidR="08875AC8" w:rsidRPr="00273106">
        <w:rPr>
          <w:rStyle w:val="Znakapoznpodarou"/>
        </w:rPr>
        <w:footnoteReference w:id="37"/>
      </w:r>
      <w:r w:rsidR="08875AC8">
        <w:t xml:space="preserve"> </w:t>
      </w:r>
      <w:r w:rsidR="081A08D0">
        <w:t>Al-Ghazálí</w:t>
      </w:r>
      <w:r w:rsidR="087F7464">
        <w:fldChar w:fldCharType="begin"/>
      </w:r>
      <w:r w:rsidR="087F7464">
        <w:instrText xml:space="preserve"> XE "</w:instrText>
      </w:r>
      <w:r w:rsidR="087F7464" w:rsidRPr="08C15BC7">
        <w:instrText>Al-Ghazálí</w:instrText>
      </w:r>
      <w:r w:rsidR="087F7464">
        <w:instrText xml:space="preserve">" </w:instrText>
      </w:r>
      <w:r w:rsidR="087F7464">
        <w:fldChar w:fldCharType="end"/>
      </w:r>
      <w:r w:rsidR="081A08D0">
        <w:t xml:space="preserve"> zastával p</w:t>
      </w:r>
      <w:r w:rsidR="08875AC8">
        <w:t>odobný kritický postoj k</w:t>
      </w:r>
      <w:r w:rsidR="081A08D0">
        <w:t> </w:t>
      </w:r>
      <w:r w:rsidR="08875AC8">
        <w:t>antropomorfizaci</w:t>
      </w:r>
      <w:r w:rsidR="081A08D0">
        <w:t xml:space="preserve"> boha skrze intencionalitu </w:t>
      </w:r>
      <w:r w:rsidR="08875AC8">
        <w:t>a k</w:t>
      </w:r>
      <w:r w:rsidR="081277A2">
        <w:t>e</w:t>
      </w:r>
      <w:r w:rsidR="08875AC8">
        <w:t xml:space="preserve"> smrti boha v modernistické filosofii Avicenny (</w:t>
      </w:r>
      <w:r w:rsidR="087F7464">
        <w:t xml:space="preserve">OBJ I, </w:t>
      </w:r>
      <w:r w:rsidR="08875AC8">
        <w:t xml:space="preserve">kap. 2.5). </w:t>
      </w:r>
      <w:r w:rsidR="00D14B9B">
        <w:t xml:space="preserve">Aristotelikové jako </w:t>
      </w:r>
      <w:r w:rsidR="00CB3E4F">
        <w:t>Abélard</w:t>
      </w:r>
      <w:r w:rsidR="00D14B9B">
        <w:t xml:space="preserve"> a po něm škola prvního averroismu odmítli </w:t>
      </w:r>
      <w:r w:rsidR="00D14B9B" w:rsidRPr="00273106">
        <w:t xml:space="preserve">zavedení </w:t>
      </w:r>
      <w:r w:rsidR="08355106">
        <w:t xml:space="preserve">moderní </w:t>
      </w:r>
      <w:r w:rsidR="08E26CDB">
        <w:t xml:space="preserve">intencionality </w:t>
      </w:r>
      <w:r w:rsidR="00D14B9B" w:rsidRPr="00273106">
        <w:t xml:space="preserve">do </w:t>
      </w:r>
      <w:r w:rsidR="00D14B9B">
        <w:t>filosofického poznání</w:t>
      </w:r>
      <w:r w:rsidR="08E26CDB">
        <w:t xml:space="preserve"> boha</w:t>
      </w:r>
      <w:r w:rsidR="00D14B9B">
        <w:t xml:space="preserve">. Jiná věc je, jak se bůh zjevuje člověku, což patří do oblasti teologického zkoumání. </w:t>
      </w:r>
      <w:r w:rsidRPr="00273106">
        <w:t xml:space="preserve">Spor mezi Gilbertem a Abelardem </w:t>
      </w:r>
      <w:r w:rsidR="08093C88">
        <w:t>ohledně hypostázovaných vztahů v Boží Trojici se týkal předešlé formy gigantomachie o substanci</w:t>
      </w:r>
      <w:r w:rsidR="08206094">
        <w:t xml:space="preserve"> (</w:t>
      </w:r>
      <w:r w:rsidR="08255238">
        <w:t xml:space="preserve">OBJ I, </w:t>
      </w:r>
      <w:r w:rsidR="084E7952">
        <w:t>kap. 1.3</w:t>
      </w:r>
      <w:r w:rsidR="08206094">
        <w:t>.2)</w:t>
      </w:r>
      <w:r>
        <w:t xml:space="preserve">. </w:t>
      </w:r>
      <w:r w:rsidR="0063157E" w:rsidRPr="00273106">
        <w:t xml:space="preserve">Neoplatonismus změnil akcidentální predikaci na esenciální danost samotného jsoucna a tuto </w:t>
      </w:r>
      <w:r w:rsidR="0063157E">
        <w:t xml:space="preserve">esenci </w:t>
      </w:r>
      <w:r w:rsidR="08E7408D">
        <w:t>predikoval</w:t>
      </w:r>
      <w:r w:rsidR="0063157E" w:rsidRPr="00273106">
        <w:t xml:space="preserve"> </w:t>
      </w:r>
      <w:r w:rsidR="08206094">
        <w:t>univočně</w:t>
      </w:r>
      <w:r w:rsidR="0063157E" w:rsidRPr="00273106">
        <w:t xml:space="preserve"> </w:t>
      </w:r>
      <w:r w:rsidR="0063157E">
        <w:t xml:space="preserve">v kategoriálním  modu </w:t>
      </w:r>
      <w:r w:rsidR="0063157E" w:rsidRPr="00DB1997">
        <w:rPr>
          <w:i/>
        </w:rPr>
        <w:t>per prius</w:t>
      </w:r>
      <w:r w:rsidR="0063157E">
        <w:rPr>
          <w:i/>
        </w:rPr>
        <w:fldChar w:fldCharType="begin"/>
      </w:r>
      <w:r w:rsidR="0063157E">
        <w:instrText xml:space="preserve"> XE "predikace:kategoriální" </w:instrText>
      </w:r>
      <w:r w:rsidR="0063157E">
        <w:rPr>
          <w:i/>
        </w:rPr>
        <w:fldChar w:fldCharType="end"/>
      </w:r>
      <w:r w:rsidR="0063157E" w:rsidRPr="00273106">
        <w:t>.</w:t>
      </w:r>
      <w:r w:rsidR="0063157E">
        <w:t xml:space="preserve"> </w:t>
      </w:r>
      <w:r w:rsidR="00913373">
        <w:t xml:space="preserve">Novým určením </w:t>
      </w:r>
      <w:r w:rsidR="08EF2198">
        <w:t xml:space="preserve">akcidentů </w:t>
      </w:r>
      <w:r w:rsidR="00913373">
        <w:t xml:space="preserve">vzniklo jsoucno třetího druhu, </w:t>
      </w:r>
      <w:r w:rsidR="08D21E5E">
        <w:t xml:space="preserve">které převzali neoplatonici z katedrální Laonské školy a škola porretánů založená Gilbertem </w:t>
      </w:r>
      <w:r w:rsidR="002239AA">
        <w:t>de La Porrée</w:t>
      </w:r>
      <w:r w:rsidR="08D616C0">
        <w:t xml:space="preserve">. </w:t>
      </w:r>
      <w:r w:rsidR="08D21E5E">
        <w:t xml:space="preserve">Hypostázovaná kategorie </w:t>
      </w:r>
      <w:r w:rsidR="00F205DF">
        <w:t xml:space="preserve">vztahů mezi božskými Osobami </w:t>
      </w:r>
      <w:r w:rsidR="08D21E5E">
        <w:t>přešla do d</w:t>
      </w:r>
      <w:r w:rsidR="08C62DD9">
        <w:t>efinic</w:t>
      </w:r>
      <w:r w:rsidR="08DC22F2">
        <w:t xml:space="preserve">e </w:t>
      </w:r>
      <w:r w:rsidR="08C62DD9">
        <w:t>Boží Trojice</w:t>
      </w:r>
      <w:r w:rsidR="00913373">
        <w:t xml:space="preserve">. </w:t>
      </w:r>
      <w:r w:rsidR="00CB3E4F">
        <w:t>Abélard</w:t>
      </w:r>
      <w:r w:rsidRPr="00273106">
        <w:t xml:space="preserve"> </w:t>
      </w:r>
      <w:r w:rsidR="0803783A">
        <w:t xml:space="preserve">zásadně odmítl zavést do trinitární teologie </w:t>
      </w:r>
      <w:r>
        <w:t>substancializ</w:t>
      </w:r>
      <w:r w:rsidR="08A1748D">
        <w:t xml:space="preserve">aci </w:t>
      </w:r>
      <w:r w:rsidR="001C2C10">
        <w:t>akcidentů na způsob neoplato</w:t>
      </w:r>
      <w:r>
        <w:t xml:space="preserve">nských hypostází. Tento aristotelik </w:t>
      </w:r>
      <w:r w:rsidR="00FD1CA1">
        <w:t xml:space="preserve">definuje </w:t>
      </w:r>
      <w:r w:rsidRPr="00273106">
        <w:t xml:space="preserve">impozici </w:t>
      </w:r>
      <w:r>
        <w:t xml:space="preserve">metafyzického </w:t>
      </w:r>
      <w:r w:rsidRPr="00273106">
        <w:t xml:space="preserve">významu směrem od reálné věci, protože </w:t>
      </w:r>
      <w:r w:rsidR="00CA1278">
        <w:t xml:space="preserve">aktuální </w:t>
      </w:r>
      <w:r w:rsidRPr="00273106">
        <w:t>první subs</w:t>
      </w:r>
      <w:r w:rsidR="00303399">
        <w:t xml:space="preserve">tance </w:t>
      </w:r>
      <w:r>
        <w:t>zaklád</w:t>
      </w:r>
      <w:r w:rsidR="00303399">
        <w:t>á</w:t>
      </w:r>
      <w:r>
        <w:t xml:space="preserve"> reálné vztahy. </w:t>
      </w:r>
      <w:r w:rsidR="08EB0D34">
        <w:t xml:space="preserve">Bůh je reálný a boží Osoby také, proto musí mít adekvátně pravdivou definici. </w:t>
      </w:r>
      <w:r w:rsidR="089B2D8A">
        <w:t xml:space="preserve">Z hlediska vyložené </w:t>
      </w:r>
      <w:r w:rsidR="088D232C">
        <w:t xml:space="preserve">teorie </w:t>
      </w:r>
      <w:r w:rsidR="089B2D8A">
        <w:t xml:space="preserve">signifikace je jasné, že </w:t>
      </w:r>
      <w:r w:rsidR="00CB3E4F">
        <w:t>Abélard</w:t>
      </w:r>
      <w:r w:rsidR="089B2D8A">
        <w:t xml:space="preserve"> zásadně odmítl všechny </w:t>
      </w:r>
      <w:r w:rsidR="08831DDB">
        <w:t xml:space="preserve">moderní </w:t>
      </w:r>
      <w:r w:rsidR="089B2D8A">
        <w:t>formy hypostázovaných</w:t>
      </w:r>
      <w:r w:rsidR="00FD1CA1">
        <w:t xml:space="preserve"> vztahů v Boží Trojici jako tri-</w:t>
      </w:r>
      <w:r w:rsidR="089B2D8A">
        <w:t xml:space="preserve">teismus, protože akcidentální vztahy dostaly charakter substance třetího druhu. </w:t>
      </w:r>
      <w:r w:rsidR="08EF2198">
        <w:t>Filosofická d</w:t>
      </w:r>
      <w:r w:rsidR="08886761">
        <w:t>efinice Boží Trojice</w:t>
      </w:r>
      <w:r w:rsidR="08886761">
        <w:fldChar w:fldCharType="begin"/>
      </w:r>
      <w:r w:rsidR="08886761">
        <w:instrText xml:space="preserve"> XE "</w:instrText>
      </w:r>
      <w:r w:rsidR="08934DBD">
        <w:instrText xml:space="preserve">Boží </w:instrText>
      </w:r>
      <w:r w:rsidR="08886761" w:rsidRPr="000B7ED5">
        <w:instrText>Trojice</w:instrText>
      </w:r>
      <w:r w:rsidR="08886761">
        <w:instrText xml:space="preserve">:Abelard" </w:instrText>
      </w:r>
      <w:r w:rsidR="08886761">
        <w:fldChar w:fldCharType="end"/>
      </w:r>
      <w:r w:rsidR="08886761">
        <w:t xml:space="preserve"> musí </w:t>
      </w:r>
      <w:r w:rsidR="081E674D">
        <w:t xml:space="preserve">teologicky </w:t>
      </w:r>
      <w:r w:rsidR="08886761">
        <w:t xml:space="preserve">vyjít z reálné boží esence, </w:t>
      </w:r>
      <w:r w:rsidR="081E674D">
        <w:t xml:space="preserve">filosoficky </w:t>
      </w:r>
      <w:r w:rsidR="08886761">
        <w:t xml:space="preserve">z její kauzality ve stvořeném světě a pak z následné kategoriální predikace této kauzality ve vědeckém deduktivním soudu. </w:t>
      </w:r>
      <w:r>
        <w:t xml:space="preserve">Vztah otce a syna </w:t>
      </w:r>
      <w:r w:rsidR="08375ADE">
        <w:t xml:space="preserve">v klasické </w:t>
      </w:r>
      <w:r w:rsidR="087548E5">
        <w:t xml:space="preserve">kategoriální </w:t>
      </w:r>
      <w:r w:rsidR="08375ADE">
        <w:t xml:space="preserve">predikaci </w:t>
      </w:r>
      <w:r>
        <w:t xml:space="preserve">vzniká proto, že </w:t>
      </w:r>
      <w:r>
        <w:lastRenderedPageBreak/>
        <w:t xml:space="preserve">existují dvě </w:t>
      </w:r>
      <w:r w:rsidR="08117818">
        <w:t xml:space="preserve">osoby jako </w:t>
      </w:r>
      <w:r>
        <w:t>reálné první substance</w:t>
      </w:r>
      <w:r w:rsidR="00A70FA4">
        <w:fldChar w:fldCharType="begin"/>
      </w:r>
      <w:r w:rsidR="00A70FA4">
        <w:instrText xml:space="preserve"> XE "</w:instrText>
      </w:r>
      <w:r w:rsidR="00794875" w:rsidRPr="00794875">
        <w:rPr>
          <w:i/>
        </w:rPr>
        <w:instrText>esse ad</w:instrText>
      </w:r>
      <w:r w:rsidR="00794875">
        <w:instrText>:Abelard</w:instrText>
      </w:r>
      <w:r w:rsidR="00A70FA4">
        <w:instrText xml:space="preserve">" </w:instrText>
      </w:r>
      <w:r w:rsidR="00A70FA4">
        <w:fldChar w:fldCharType="end"/>
      </w:r>
      <w:r>
        <w:t xml:space="preserve"> </w:t>
      </w:r>
      <w:r w:rsidRPr="00273106">
        <w:t>(</w:t>
      </w:r>
      <w:r w:rsidRPr="00273106">
        <w:rPr>
          <w:i/>
        </w:rPr>
        <w:t>dicimus 'pater filii pater'</w:t>
      </w:r>
      <w:r w:rsidRPr="00273106">
        <w:t>).</w:t>
      </w:r>
      <w:r w:rsidRPr="00273106">
        <w:rPr>
          <w:rStyle w:val="Znakapoznpodarou"/>
        </w:rPr>
        <w:footnoteReference w:id="38"/>
      </w:r>
      <w:r w:rsidRPr="00273106">
        <w:t xml:space="preserve"> Reálná </w:t>
      </w:r>
      <w:r w:rsidR="08117818">
        <w:t xml:space="preserve">osoba </w:t>
      </w:r>
      <w:r w:rsidRPr="00273106">
        <w:t>je sama o sobě jednoduchá a aktuální jednotliv</w:t>
      </w:r>
      <w:r w:rsidR="00A70C1F">
        <w:t xml:space="preserve">ina, která existuje sama pro sebe a mimo </w:t>
      </w:r>
      <w:r>
        <w:t xml:space="preserve">jakýkoliv </w:t>
      </w:r>
      <w:r w:rsidR="00A70C1F">
        <w:t xml:space="preserve">univerzální </w:t>
      </w:r>
      <w:r>
        <w:t xml:space="preserve">význam. </w:t>
      </w:r>
      <w:r w:rsidR="00CB3E4F">
        <w:t>Abélard</w:t>
      </w:r>
      <w:r w:rsidR="00311645" w:rsidRPr="00273106">
        <w:t xml:space="preserve"> hodnotí esencialitu na úrovni univerzální druhé substance jako hodně pochybnou věc (</w:t>
      </w:r>
      <w:r w:rsidR="00311645" w:rsidRPr="00273106">
        <w:rPr>
          <w:i/>
        </w:rPr>
        <w:t>mihi quidem nihil videtur sonare haec constructio substantivorum</w:t>
      </w:r>
      <w:r w:rsidR="00311645" w:rsidRPr="00273106">
        <w:t xml:space="preserve">). </w:t>
      </w:r>
      <w:r w:rsidR="08D72FE8" w:rsidRPr="00273106">
        <w:t>Vztahy dané na rovině substanciální univerzalizace akcidentů dostávají vzhledem k realitě nanejvýš analogický význam, který je zásadně odlišný od vzájemného vztahu existujících substancí (</w:t>
      </w:r>
      <w:r w:rsidR="08D72FE8" w:rsidRPr="00273106">
        <w:rPr>
          <w:i/>
        </w:rPr>
        <w:t>ita etiam dicamus: 'paternitas filiationis paternitas'</w:t>
      </w:r>
      <w:r w:rsidR="08D72FE8" w:rsidRPr="00273106">
        <w:t xml:space="preserve">). </w:t>
      </w:r>
      <w:r w:rsidR="08D72FE8">
        <w:t>Definice založená</w:t>
      </w:r>
      <w:r w:rsidR="08886761" w:rsidRPr="00273106">
        <w:t xml:space="preserve"> na pouhé </w:t>
      </w:r>
      <w:r w:rsidR="08886761">
        <w:t xml:space="preserve">verbálně signifikované </w:t>
      </w:r>
      <w:r w:rsidR="08886761" w:rsidRPr="00273106">
        <w:t>esenci (</w:t>
      </w:r>
      <w:r w:rsidR="08886761" w:rsidRPr="00273106">
        <w:rPr>
          <w:i/>
        </w:rPr>
        <w:t>constructio substantivorum</w:t>
      </w:r>
      <w:r w:rsidR="08886761" w:rsidRPr="00273106">
        <w:t xml:space="preserve">) není totéž jako </w:t>
      </w:r>
      <w:r w:rsidR="08E74A62">
        <w:t xml:space="preserve">kategoriální univoční </w:t>
      </w:r>
      <w:r w:rsidR="08886761">
        <w:t xml:space="preserve">predikace </w:t>
      </w:r>
      <w:r w:rsidR="08EA5AF8">
        <w:t xml:space="preserve">vyjadřující </w:t>
      </w:r>
      <w:r w:rsidR="00050233">
        <w:t xml:space="preserve">impozici </w:t>
      </w:r>
      <w:r w:rsidR="08886761">
        <w:t xml:space="preserve">reálné kauzality </w:t>
      </w:r>
      <w:r w:rsidR="08EA5AF8">
        <w:t xml:space="preserve">a </w:t>
      </w:r>
      <w:r w:rsidR="08E74A62">
        <w:t xml:space="preserve">hyparchické </w:t>
      </w:r>
      <w:r w:rsidR="08EA5AF8">
        <w:t xml:space="preserve">bytí </w:t>
      </w:r>
      <w:r w:rsidR="08886761" w:rsidRPr="00273106">
        <w:t xml:space="preserve">prvních substancí působících mimo nás. </w:t>
      </w:r>
      <w:r w:rsidR="00311645">
        <w:t xml:space="preserve">Klasicky vzdělaný filosof a teolog </w:t>
      </w:r>
      <w:r w:rsidR="00311645" w:rsidRPr="00273106">
        <w:t xml:space="preserve">bránil </w:t>
      </w:r>
      <w:r w:rsidR="00311645">
        <w:t xml:space="preserve">proti modernistům </w:t>
      </w:r>
      <w:r w:rsidR="00311645" w:rsidRPr="00273106">
        <w:t xml:space="preserve">Aristotelovo </w:t>
      </w:r>
      <w:r w:rsidR="00311645">
        <w:t xml:space="preserve">a Boethiovo </w:t>
      </w:r>
      <w:r w:rsidR="00311645" w:rsidRPr="00273106">
        <w:t xml:space="preserve">určení rozdílu mezi existující věcí a její signifikací. </w:t>
      </w:r>
      <w:r w:rsidR="009A4ACF">
        <w:t>T</w:t>
      </w:r>
      <w:r>
        <w:t>e</w:t>
      </w:r>
      <w:r w:rsidR="00A95633">
        <w:t>nto směr odpovídá Averroe</w:t>
      </w:r>
      <w:r>
        <w:t xml:space="preserve">sově polemice s Avicennou ohledně statutu první vědy, která zkoumá substanci </w:t>
      </w:r>
      <w:r w:rsidRPr="004916B7">
        <w:rPr>
          <w:i/>
        </w:rPr>
        <w:t>qua</w:t>
      </w:r>
      <w:r>
        <w:t xml:space="preserve"> substanci</w:t>
      </w:r>
      <w:r w:rsidR="08934DBD">
        <w:rPr>
          <w:szCs w:val="24"/>
          <w:lang w:val="de-LU"/>
        </w:rPr>
        <w:fldChar w:fldCharType="begin"/>
      </w:r>
      <w:r w:rsidR="08934DBD">
        <w:instrText xml:space="preserve"> XE "s</w:instrText>
      </w:r>
      <w:r w:rsidR="08934DBD" w:rsidRPr="08BE2778">
        <w:rPr>
          <w:szCs w:val="24"/>
        </w:rPr>
        <w:instrText>ubstance:</w:instrText>
      </w:r>
      <w:r w:rsidR="08934DBD" w:rsidRPr="08BE2778">
        <w:rPr>
          <w:i/>
          <w:szCs w:val="24"/>
        </w:rPr>
        <w:instrText>qua</w:instrText>
      </w:r>
      <w:r w:rsidR="0804465E" w:rsidRPr="08BE2778">
        <w:rPr>
          <w:szCs w:val="24"/>
        </w:rPr>
        <w:instrText xml:space="preserve"> substance</w:instrText>
      </w:r>
      <w:r w:rsidR="08934DBD">
        <w:instrText xml:space="preserve">" </w:instrText>
      </w:r>
      <w:r w:rsidR="08934DBD">
        <w:rPr>
          <w:szCs w:val="24"/>
          <w:lang w:val="de-LU"/>
        </w:rPr>
        <w:fldChar w:fldCharType="end"/>
      </w:r>
      <w:r w:rsidR="00E50F4F">
        <w:t xml:space="preserve"> (</w:t>
      </w:r>
      <w:r w:rsidR="086B1861">
        <w:t xml:space="preserve">OBJ I, </w:t>
      </w:r>
      <w:r w:rsidR="00E50F4F">
        <w:t>kap. 2.3.1)</w:t>
      </w:r>
      <w:r>
        <w:t xml:space="preserve">. Metafyzik nemůže </w:t>
      </w:r>
      <w:r w:rsidR="009A38A6">
        <w:t xml:space="preserve">zkoumat abstraktní jsoucno </w:t>
      </w:r>
      <w:r w:rsidR="08EE240E">
        <w:t xml:space="preserve">jen </w:t>
      </w:r>
      <w:r w:rsidR="009A38A6">
        <w:t>v</w:t>
      </w:r>
      <w:r w:rsidR="085774FB">
        <w:t xml:space="preserve"> logickém </w:t>
      </w:r>
      <w:r w:rsidR="08EE240E">
        <w:t xml:space="preserve">ekvivočním </w:t>
      </w:r>
      <w:r w:rsidR="009A38A6">
        <w:t xml:space="preserve">modu </w:t>
      </w:r>
      <w:r w:rsidR="009A38A6" w:rsidRPr="00FF75DF">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t xml:space="preserve">. </w:t>
      </w:r>
      <w:r w:rsidR="009A38A6">
        <w:t xml:space="preserve">Pak zkoumáme v modu </w:t>
      </w:r>
      <w:r w:rsidR="009A38A6" w:rsidRPr="00FF75DF">
        <w:rPr>
          <w:i/>
        </w:rPr>
        <w:t>per prius</w:t>
      </w:r>
      <w:r w:rsidR="009A38A6">
        <w:t xml:space="preserve"> pouze univerzálii danou v mysli, a ne první substanci danou v realitě. </w:t>
      </w:r>
      <w:r>
        <w:t xml:space="preserve">Škola </w:t>
      </w:r>
      <w:r w:rsidR="089A0AA8">
        <w:t xml:space="preserve">neoplatoniků </w:t>
      </w:r>
      <w:r>
        <w:t>vedená</w:t>
      </w:r>
      <w:r w:rsidR="00425CA1">
        <w:t xml:space="preserve"> Gilbertem z Poitires a neoplato</w:t>
      </w:r>
      <w:r>
        <w:t xml:space="preserve">nskými katedrálními magistry </w:t>
      </w:r>
      <w:r w:rsidR="00D7556F">
        <w:t xml:space="preserve">z Laonu a z Remeše </w:t>
      </w:r>
      <w:r>
        <w:t>trval</w:t>
      </w:r>
      <w:r w:rsidR="00C00315">
        <w:t>a</w:t>
      </w:r>
      <w:r>
        <w:t xml:space="preserve"> na hypostázovaných vztazích v boží Trojici, které šly málem až k</w:t>
      </w:r>
      <w:r w:rsidR="0044563A">
        <w:t> </w:t>
      </w:r>
      <w:r>
        <w:t>triteismu</w:t>
      </w:r>
      <w:r w:rsidR="0044563A">
        <w:t xml:space="preserve">. Ale </w:t>
      </w:r>
      <w:r>
        <w:t>tito vlivní neoplatonici obvinili Abelarda</w:t>
      </w:r>
      <w:r w:rsidR="0044563A">
        <w:t xml:space="preserve"> z triteismu</w:t>
      </w:r>
      <w:r>
        <w:t xml:space="preserve">. </w:t>
      </w:r>
      <w:r w:rsidR="0044563A">
        <w:t>T</w:t>
      </w:r>
      <w:r w:rsidR="080617C2">
        <w:t xml:space="preserve">ito neoplatonikové považovali za triteismus vztahy tří Osob v Trojici, protože </w:t>
      </w:r>
      <w:r w:rsidR="00CB3E4F">
        <w:t>Abélard</w:t>
      </w:r>
      <w:r w:rsidR="080617C2">
        <w:t xml:space="preserve"> je vázal na Osoby jako reálné substance spojené jednou esencí</w:t>
      </w:r>
      <w:r w:rsidR="08026D39">
        <w:t xml:space="preserve">. </w:t>
      </w:r>
      <w:r w:rsidR="08D3507F" w:rsidRPr="00273106">
        <w:t xml:space="preserve">Abelardovo dílo </w:t>
      </w:r>
      <w:r w:rsidR="00150A16">
        <w:rPr>
          <w:i/>
          <w:iCs/>
        </w:rPr>
        <w:t>Theologia S</w:t>
      </w:r>
      <w:r w:rsidR="08D3507F" w:rsidRPr="00273106">
        <w:rPr>
          <w:i/>
          <w:iCs/>
        </w:rPr>
        <w:t xml:space="preserve">ummi </w:t>
      </w:r>
      <w:r w:rsidR="00150A16">
        <w:rPr>
          <w:i/>
          <w:iCs/>
        </w:rPr>
        <w:t>B</w:t>
      </w:r>
      <w:r w:rsidR="08D3507F" w:rsidRPr="00273106">
        <w:rPr>
          <w:i/>
          <w:iCs/>
        </w:rPr>
        <w:t>oni</w:t>
      </w:r>
      <w:r w:rsidR="08D3507F">
        <w:rPr>
          <w:iCs/>
        </w:rPr>
        <w:t xml:space="preserve"> (</w:t>
      </w:r>
      <w:r w:rsidR="08D3507F" w:rsidRPr="00273106">
        <w:rPr>
          <w:rStyle w:val="st"/>
        </w:rPr>
        <w:t>1118‒21</w:t>
      </w:r>
      <w:r w:rsidR="08D3507F" w:rsidRPr="00273106">
        <w:rPr>
          <w:iCs/>
        </w:rPr>
        <w:t xml:space="preserve">) </w:t>
      </w:r>
      <w:r w:rsidR="08D3507F" w:rsidRPr="00273106">
        <w:t xml:space="preserve">obhajuje aristotelskou koncepci Trojice </w:t>
      </w:r>
      <w:r w:rsidR="08D3507F">
        <w:fldChar w:fldCharType="begin"/>
      </w:r>
      <w:r w:rsidR="08D3507F">
        <w:instrText xml:space="preserve"> XE "B</w:instrText>
      </w:r>
      <w:r w:rsidR="08D3507F" w:rsidRPr="000B7ED5">
        <w:instrText>oží Trojice</w:instrText>
      </w:r>
      <w:r w:rsidR="08D3507F">
        <w:instrText xml:space="preserve">:Abelard" </w:instrText>
      </w:r>
      <w:r w:rsidR="08D3507F">
        <w:fldChar w:fldCharType="end"/>
      </w:r>
      <w:r w:rsidR="08D3507F" w:rsidRPr="00273106">
        <w:t>a od</w:t>
      </w:r>
      <w:r w:rsidR="08D3507F">
        <w:t>suzuje neoplato</w:t>
      </w:r>
      <w:r w:rsidR="08D3507F" w:rsidRPr="00273106">
        <w:t>nské užití univerzálií třetího druhu v teologii Roscelina a jeho současníků.</w:t>
      </w:r>
      <w:r w:rsidR="08D3507F">
        <w:t xml:space="preserve"> </w:t>
      </w:r>
      <w:r w:rsidR="00CB3E4F">
        <w:t>Abélard</w:t>
      </w:r>
      <w:r w:rsidR="08026D39">
        <w:t xml:space="preserve"> odmítl hypostázovat Trojici z hlediska čísla, protože aritmetická abstrakce nepatří do metafyziky</w:t>
      </w:r>
      <w:r w:rsidR="087F4A9A">
        <w:t xml:space="preserve"> (</w:t>
      </w:r>
      <w:r w:rsidR="087F4A9A" w:rsidRPr="087F4A9A">
        <w:rPr>
          <w:i/>
        </w:rPr>
        <w:t>tres quidem, ut diximus, secundum definitiones aut proprietates, non secundum numerum</w:t>
      </w:r>
      <w:r w:rsidR="087F4A9A">
        <w:t xml:space="preserve">; </w:t>
      </w:r>
      <w:r w:rsidR="087F4A9A" w:rsidRPr="08026D39">
        <w:rPr>
          <w:i/>
        </w:rPr>
        <w:t xml:space="preserve">Theologia Summi Boni </w:t>
      </w:r>
      <w:r w:rsidR="087F4A9A">
        <w:t>3.1)</w:t>
      </w:r>
      <w:r w:rsidR="080617C2">
        <w:t xml:space="preserve">. </w:t>
      </w:r>
      <w:r w:rsidR="08D3507F">
        <w:t xml:space="preserve">Citovali jsme příslušnou pasáž </w:t>
      </w:r>
      <w:r w:rsidR="08D3507F" w:rsidRPr="087F4A9A">
        <w:rPr>
          <w:i/>
        </w:rPr>
        <w:t>Metafyziky</w:t>
      </w:r>
      <w:r w:rsidR="08D3507F">
        <w:t>, která odmítla vzít numerickou jednotu za základ kategoriálního určení substance (</w:t>
      </w:r>
      <w:r w:rsidR="08AB4E5A">
        <w:t xml:space="preserve">OBJ I, </w:t>
      </w:r>
      <w:r w:rsidR="084E7952">
        <w:t>kap. 1.3</w:t>
      </w:r>
      <w:r w:rsidR="08D3507F">
        <w:t xml:space="preserve">). </w:t>
      </w:r>
      <w:r w:rsidR="00103266">
        <w:t>První formu m</w:t>
      </w:r>
      <w:r w:rsidR="000D36D8">
        <w:t xml:space="preserve">odernismu prosadilo </w:t>
      </w:r>
      <w:r w:rsidR="00AF6E78" w:rsidRPr="00273106">
        <w:t>osudové rozhodnutí koncilu v Soissons</w:t>
      </w:r>
      <w:r w:rsidR="001422C5">
        <w:fldChar w:fldCharType="begin"/>
      </w:r>
      <w:r w:rsidR="001422C5">
        <w:instrText xml:space="preserve"> XE "</w:instrText>
      </w:r>
      <w:r w:rsidR="001422C5" w:rsidRPr="001D08B0">
        <w:instrText>koncil v Soissons</w:instrText>
      </w:r>
      <w:r w:rsidR="001422C5">
        <w:instrText xml:space="preserve">" </w:instrText>
      </w:r>
      <w:r w:rsidR="001422C5">
        <w:fldChar w:fldCharType="end"/>
      </w:r>
      <w:r w:rsidR="00AF6E78" w:rsidRPr="00273106">
        <w:t xml:space="preserve"> (1121), jehož</w:t>
      </w:r>
      <w:r w:rsidR="001D39A1">
        <w:t xml:space="preserve"> průběh určili </w:t>
      </w:r>
      <w:r w:rsidR="001D39A1">
        <w:lastRenderedPageBreak/>
        <w:t>zástupci neoplato</w:t>
      </w:r>
      <w:r w:rsidR="00AF6E78" w:rsidRPr="00273106">
        <w:t>nských škol z Remeše a Chartres.</w:t>
      </w:r>
      <w:r w:rsidR="00AF6E78" w:rsidRPr="00273106">
        <w:rPr>
          <w:rStyle w:val="Znakapoznpodarou"/>
        </w:rPr>
        <w:footnoteReference w:id="39"/>
      </w:r>
      <w:r w:rsidR="00AF6E78" w:rsidRPr="00273106">
        <w:t xml:space="preserve"> Tento koncil zahájil přechod k moderně tím, že odmítl Abelar</w:t>
      </w:r>
      <w:r w:rsidR="00AF6E78">
        <w:t>d</w:t>
      </w:r>
      <w:r w:rsidR="00AF6E78" w:rsidRPr="00273106">
        <w:t xml:space="preserve">ovo </w:t>
      </w:r>
      <w:r w:rsidR="00D54D9D">
        <w:t xml:space="preserve">kritické </w:t>
      </w:r>
      <w:r w:rsidR="00AF6E78" w:rsidRPr="00273106">
        <w:t xml:space="preserve">pojetí a </w:t>
      </w:r>
      <w:r w:rsidR="00AF6E78">
        <w:t xml:space="preserve">dogmaticky </w:t>
      </w:r>
      <w:r w:rsidR="00AF6E78" w:rsidRPr="00273106">
        <w:t xml:space="preserve">bránil neoplatonismus v teologii. </w:t>
      </w:r>
      <w:r w:rsidR="084F0F69">
        <w:t>Ale c</w:t>
      </w:r>
      <w:r w:rsidR="00AF6E78" w:rsidRPr="00273106">
        <w:t>itovaní porretáni</w:t>
      </w:r>
      <w:r w:rsidR="00AF6E78">
        <w:t xml:space="preserve"> </w:t>
      </w:r>
      <w:r w:rsidR="0040495D">
        <w:t>neoplato</w:t>
      </w:r>
      <w:r w:rsidR="00AF6E78" w:rsidRPr="00273106">
        <w:t>nských škol z Remeše a Chartres</w:t>
      </w:r>
      <w:r w:rsidR="00AF6E78">
        <w:t xml:space="preserve"> se </w:t>
      </w:r>
      <w:r w:rsidR="00AF6E78" w:rsidRPr="00273106">
        <w:t xml:space="preserve">díky </w:t>
      </w:r>
      <w:r w:rsidR="00D54D9D">
        <w:t xml:space="preserve">kritice </w:t>
      </w:r>
      <w:r w:rsidR="00AF6E78" w:rsidRPr="00273106">
        <w:t>Abelard</w:t>
      </w:r>
      <w:r w:rsidR="00D54D9D">
        <w:t>a</w:t>
      </w:r>
      <w:r w:rsidR="00AF6E78">
        <w:t xml:space="preserve"> a jeho školy oddělili od </w:t>
      </w:r>
      <w:r w:rsidR="00AF6E78" w:rsidRPr="00273106">
        <w:t xml:space="preserve">nominalistických excesů </w:t>
      </w:r>
      <w:r w:rsidR="00AF6E78">
        <w:t xml:space="preserve">školy </w:t>
      </w:r>
      <w:r w:rsidR="00AF6E78" w:rsidRPr="00273106">
        <w:t>Roscelin</w:t>
      </w:r>
      <w:r w:rsidR="00AF6E78">
        <w:t>a</w:t>
      </w:r>
      <w:r w:rsidR="00AF6E78" w:rsidRPr="00273106">
        <w:t>. Poslední ránu z milosti zasadil Abelardovi známý mystik Bernard z Clairvaux</w:t>
      </w:r>
      <w:r w:rsidR="002D7AC6">
        <w:fldChar w:fldCharType="begin"/>
      </w:r>
      <w:r w:rsidR="002D7AC6">
        <w:instrText xml:space="preserve"> XE "</w:instrText>
      </w:r>
      <w:r w:rsidR="002D7AC6" w:rsidRPr="000C6687">
        <w:instrText>Bernard z Clairvaux</w:instrText>
      </w:r>
      <w:r w:rsidR="002D7AC6">
        <w:instrText xml:space="preserve">" </w:instrText>
      </w:r>
      <w:r w:rsidR="002D7AC6">
        <w:fldChar w:fldCharType="end"/>
      </w:r>
      <w:r w:rsidR="00AF6E78" w:rsidRPr="00273106">
        <w:t xml:space="preserve"> na koncilu</w:t>
      </w:r>
      <w:r w:rsidR="002D7AC6">
        <w:fldChar w:fldCharType="begin"/>
      </w:r>
      <w:r w:rsidR="002D7AC6">
        <w:instrText xml:space="preserve"> XE "</w:instrText>
      </w:r>
      <w:r w:rsidR="002D7AC6" w:rsidRPr="000C6687">
        <w:instrText>koncil:Sens</w:instrText>
      </w:r>
      <w:r w:rsidR="002D7AC6">
        <w:instrText xml:space="preserve">" </w:instrText>
      </w:r>
      <w:r w:rsidR="002D7AC6">
        <w:fldChar w:fldCharType="end"/>
      </w:r>
      <w:r w:rsidR="00697C98">
        <w:t xml:space="preserve"> v  Sens (1140</w:t>
      </w:r>
      <w:r w:rsidR="00AF6E78" w:rsidRPr="00273106">
        <w:t>)</w:t>
      </w:r>
      <w:r w:rsidR="001A1573">
        <w:t xml:space="preserve">, který se pustil i do Gilberta </w:t>
      </w:r>
      <w:r w:rsidR="002239AA">
        <w:t>de La Porrée</w:t>
      </w:r>
      <w:r w:rsidR="08A71631">
        <w:t xml:space="preserve">. Ten </w:t>
      </w:r>
      <w:r w:rsidR="001A1573">
        <w:t xml:space="preserve">byl </w:t>
      </w:r>
      <w:r w:rsidR="00A634A5">
        <w:t xml:space="preserve">zásadní </w:t>
      </w:r>
      <w:r w:rsidR="001A1573">
        <w:t>protivník Abelarda</w:t>
      </w:r>
      <w:r w:rsidR="00AF6E78" w:rsidRPr="00273106">
        <w:t xml:space="preserve">. </w:t>
      </w:r>
      <w:r w:rsidR="000C5759" w:rsidRPr="00273106">
        <w:t>Historicky poučné je zděšení filosoficky málo vzdělaného Bernarda z</w:t>
      </w:r>
      <w:r w:rsidR="08EC263B">
        <w:t xml:space="preserve"> Clairvaux ve sporu o definici </w:t>
      </w:r>
      <w:r w:rsidR="003B5CD8">
        <w:t>„</w:t>
      </w:r>
      <w:r w:rsidR="000C5759" w:rsidRPr="00273106">
        <w:rPr>
          <w:i/>
        </w:rPr>
        <w:t>Deus est deitas</w:t>
      </w:r>
      <w:r w:rsidR="003B5CD8">
        <w:t>“</w:t>
      </w:r>
      <w:r w:rsidR="000C5759" w:rsidRPr="00273106">
        <w:t xml:space="preserve">, která tvořila jádro sporu Abelarda, Roscelina a Gilberta. </w:t>
      </w:r>
      <w:r w:rsidR="083F7F7B">
        <w:t xml:space="preserve">Bérenger </w:t>
      </w:r>
      <w:r w:rsidR="002239AA">
        <w:t>de La Porrée</w:t>
      </w:r>
      <w:r w:rsidR="083F7F7B">
        <w:t xml:space="preserve"> byl žák a obhájce Abelarda a jeho dopis </w:t>
      </w:r>
      <w:r w:rsidR="08752799">
        <w:t xml:space="preserve">psaný </w:t>
      </w:r>
      <w:r w:rsidR="083F7F7B">
        <w:t>Bernardovi z Clairvaux jasně říká, že Bernardovo odsouzení Abelarda mělo osobní motiv.</w:t>
      </w:r>
      <w:r w:rsidR="083F7F7B">
        <w:rPr>
          <w:rStyle w:val="Znakapoznpodarou"/>
        </w:rPr>
        <w:footnoteReference w:id="40"/>
      </w:r>
      <w:r w:rsidR="083F7F7B" w:rsidRPr="00273106">
        <w:t xml:space="preserve"> </w:t>
      </w:r>
      <w:r w:rsidR="000C5759" w:rsidRPr="00273106">
        <w:t xml:space="preserve">Autoritářské gesto Bernarda </w:t>
      </w:r>
      <w:r w:rsidR="00190CFE">
        <w:t>z Clairvaux</w:t>
      </w:r>
      <w:r w:rsidR="00190CFE">
        <w:fldChar w:fldCharType="begin"/>
      </w:r>
      <w:r w:rsidR="00190CFE">
        <w:instrText xml:space="preserve"> XE "</w:instrText>
      </w:r>
      <w:r w:rsidR="00190CFE" w:rsidRPr="003F66E8">
        <w:instrText>Bernard z Clairvaux</w:instrText>
      </w:r>
      <w:r w:rsidR="00190CFE">
        <w:instrText xml:space="preserve">" </w:instrText>
      </w:r>
      <w:r w:rsidR="00190CFE">
        <w:fldChar w:fldCharType="end"/>
      </w:r>
      <w:r w:rsidR="00190CFE">
        <w:t xml:space="preserve"> </w:t>
      </w:r>
      <w:r w:rsidR="000C5759" w:rsidRPr="00273106">
        <w:t>provedené na synodě v S</w:t>
      </w:r>
      <w:r w:rsidR="00190CFE">
        <w:t xml:space="preserve">ens </w:t>
      </w:r>
      <w:r w:rsidR="086C476F">
        <w:t xml:space="preserve">proti Abelardovi </w:t>
      </w:r>
      <w:r w:rsidR="00190CFE">
        <w:t>z</w:t>
      </w:r>
      <w:r w:rsidR="000C5759" w:rsidRPr="00273106">
        <w:t>opakuje v nové konstelaci dekret pařížského biskupa Tempiera v březn</w:t>
      </w:r>
      <w:r w:rsidR="000C5759">
        <w:t xml:space="preserve">u 1277 </w:t>
      </w:r>
      <w:r w:rsidR="008E2FBD">
        <w:fldChar w:fldCharType="begin"/>
      </w:r>
      <w:r w:rsidR="008E2FBD">
        <w:instrText xml:space="preserve"> XE "odsouzení 1277" </w:instrText>
      </w:r>
      <w:r w:rsidR="008E2FBD">
        <w:fldChar w:fldCharType="end"/>
      </w:r>
      <w:r w:rsidR="000C5759">
        <w:t>vůči aristotelikům ze školy prvního averroismu</w:t>
      </w:r>
      <w:r w:rsidR="000C5759" w:rsidRPr="00273106">
        <w:t>.</w:t>
      </w:r>
      <w:r w:rsidR="083F7F7B">
        <w:t xml:space="preserve"> </w:t>
      </w:r>
      <w:r w:rsidR="00AF6E78" w:rsidRPr="00273106">
        <w:t xml:space="preserve">Spor o tzv. teorii </w:t>
      </w:r>
      <w:r w:rsidR="00AF6E78">
        <w:t>„</w:t>
      </w:r>
      <w:r w:rsidR="00AF6E78" w:rsidRPr="00273106">
        <w:t>dvojí pravdy“ odsouzenou pařížským dekretem z března 1277 předznamenávají dva dopisy psané na jaře 1141, v nichž teolog Petrus Venerabilis</w:t>
      </w:r>
      <w:r w:rsidR="008E2FBD">
        <w:fldChar w:fldCharType="begin"/>
      </w:r>
      <w:r w:rsidR="008E2FBD">
        <w:instrText xml:space="preserve"> XE "</w:instrText>
      </w:r>
      <w:r w:rsidR="008E2FBD" w:rsidRPr="0012482E">
        <w:instrText>Petrus Venerabilis</w:instrText>
      </w:r>
      <w:r w:rsidR="008E2FBD">
        <w:instrText xml:space="preserve">" </w:instrText>
      </w:r>
      <w:r w:rsidR="008E2FBD">
        <w:fldChar w:fldCharType="end"/>
      </w:r>
      <w:r w:rsidR="00AF6E78" w:rsidRPr="00273106">
        <w:t xml:space="preserve"> (</w:t>
      </w:r>
      <w:r w:rsidR="08635D3D">
        <w:t xml:space="preserve">†1156) zapřísahá učence jménem </w:t>
      </w:r>
      <w:r w:rsidR="00AF6E78" w:rsidRPr="00273106">
        <w:rPr>
          <w:i/>
          <w:iCs/>
        </w:rPr>
        <w:t>Magister Petrus</w:t>
      </w:r>
      <w:r w:rsidR="00AF6E78">
        <w:t xml:space="preserve"> (velmi pravděpodobně </w:t>
      </w:r>
      <w:r w:rsidR="00CB3E4F">
        <w:t>Abélard</w:t>
      </w:r>
      <w:r w:rsidR="00AF6E78" w:rsidRPr="00273106">
        <w:t>), aby se vzal světské moudrosti a odebral se do opatství v Cluny.</w:t>
      </w:r>
      <w:r w:rsidR="00AF6E78">
        <w:t xml:space="preserve"> Citujme klíčovou část dopisu 9, v níž Petrus Venerabilis zpochybňuje roli filosofie při hledání pravdy a obhajuje pojetí jedné pravdy dané v rámci ultimativní formy blaženosti.</w:t>
      </w:r>
      <w:r w:rsidR="00D602D2" w:rsidRPr="00273106">
        <w:rPr>
          <w:rStyle w:val="Znakapoznpodarou"/>
        </w:rPr>
        <w:footnoteReference w:id="41"/>
      </w:r>
      <w:r w:rsidR="00D602D2">
        <w:t xml:space="preserve"> Celý text se opírá o citát o boží moudrosti, která „z</w:t>
      </w:r>
      <w:r w:rsidR="00D602D2" w:rsidRPr="00273106">
        <w:t>ahubí</w:t>
      </w:r>
      <w:r w:rsidR="00D602D2">
        <w:t xml:space="preserve"> moudrost moudrých“ (</w:t>
      </w:r>
      <w:r w:rsidR="00D602D2">
        <w:rPr>
          <w:i/>
          <w:iCs/>
        </w:rPr>
        <w:t xml:space="preserve">1 Kor </w:t>
      </w:r>
      <w:r w:rsidR="00D602D2" w:rsidRPr="00D602D2">
        <w:rPr>
          <w:iCs/>
        </w:rPr>
        <w:t>1:19</w:t>
      </w:r>
      <w:r w:rsidR="08914D92">
        <w:rPr>
          <w:iCs/>
        </w:rPr>
        <w:fldChar w:fldCharType="begin"/>
      </w:r>
      <w:r w:rsidR="08914D92">
        <w:instrText xml:space="preserve"> XE "</w:instrText>
      </w:r>
      <w:r w:rsidR="08914D92" w:rsidRPr="0046213D">
        <w:instrText>Nový zákon:</w:instrText>
      </w:r>
      <w:r w:rsidR="08914D92" w:rsidRPr="00977053">
        <w:rPr>
          <w:iCs/>
        </w:rPr>
        <w:instrText xml:space="preserve">1 </w:instrText>
      </w:r>
      <w:r w:rsidR="08914D92" w:rsidRPr="085F7738">
        <w:rPr>
          <w:i/>
          <w:iCs/>
        </w:rPr>
        <w:instrText>Kor</w:instrText>
      </w:r>
      <w:r w:rsidR="08914D92" w:rsidRPr="00895FC0">
        <w:rPr>
          <w:i/>
          <w:iCs/>
        </w:rPr>
        <w:instrText xml:space="preserve"> </w:instrText>
      </w:r>
      <w:r w:rsidR="08914D92">
        <w:rPr>
          <w:iCs/>
        </w:rPr>
        <w:instrText>1.</w:instrText>
      </w:r>
      <w:r w:rsidR="08914D92" w:rsidRPr="00895FC0">
        <w:rPr>
          <w:iCs/>
        </w:rPr>
        <w:instrText>19</w:instrText>
      </w:r>
      <w:r w:rsidR="08914D92">
        <w:instrText xml:space="preserve">" </w:instrText>
      </w:r>
      <w:r w:rsidR="08914D92">
        <w:rPr>
          <w:iCs/>
        </w:rPr>
        <w:fldChar w:fldCharType="end"/>
      </w:r>
      <w:r w:rsidR="00D602D2">
        <w:t xml:space="preserve">), což doslovně použije preambule odsouzení </w:t>
      </w:r>
      <w:r w:rsidR="00AA2206">
        <w:t xml:space="preserve">roku </w:t>
      </w:r>
      <w:r w:rsidR="00D602D2">
        <w:t>1277</w:t>
      </w:r>
      <w:r w:rsidR="08A60D58">
        <w:t xml:space="preserve"> koncipovaného především </w:t>
      </w:r>
      <w:r w:rsidR="08500131">
        <w:t>proti škole prvního averroismu</w:t>
      </w:r>
      <w:r w:rsidR="00D602D2">
        <w:t>.</w:t>
      </w:r>
      <w:r w:rsidR="00AF6E78" w:rsidRPr="00273106">
        <w:t xml:space="preserve"> </w:t>
      </w:r>
      <w:r w:rsidR="08016787">
        <w:t>Modernistické odsouzení tzv. „dvojí pravdy“ roku 1277</w:t>
      </w:r>
      <w:r w:rsidR="08BC4A69">
        <w:fldChar w:fldCharType="begin"/>
      </w:r>
      <w:r w:rsidR="08BC4A69">
        <w:instrText xml:space="preserve"> XE "</w:instrText>
      </w:r>
      <w:r w:rsidR="08BC4A69" w:rsidRPr="086923BD">
        <w:instrText>odsouzení 1277</w:instrText>
      </w:r>
      <w:r w:rsidR="08BC4A69">
        <w:instrText xml:space="preserve">" </w:instrText>
      </w:r>
      <w:r w:rsidR="08BC4A69">
        <w:fldChar w:fldCharType="end"/>
      </w:r>
      <w:r w:rsidR="08016787">
        <w:t xml:space="preserve"> v </w:t>
      </w:r>
      <w:r w:rsidR="08016787">
        <w:lastRenderedPageBreak/>
        <w:t xml:space="preserve">Paříži a v Oxfordu </w:t>
      </w:r>
      <w:r w:rsidR="08016787" w:rsidRPr="00273106">
        <w:t xml:space="preserve">naváže </w:t>
      </w:r>
      <w:r w:rsidR="08016787">
        <w:t xml:space="preserve">svým stylem a průběhem </w:t>
      </w:r>
      <w:r w:rsidR="08016787" w:rsidRPr="00273106">
        <w:t>na osudové rozhodnutí koncilu v Soissons</w:t>
      </w:r>
      <w:r w:rsidR="00A634A5">
        <w:t>.</w:t>
      </w:r>
    </w:p>
    <w:p w14:paraId="5C328EF9" w14:textId="14310E2A" w:rsidR="00A41B10" w:rsidRDefault="00E82DBE" w:rsidP="00A634A5">
      <w:pPr>
        <w:ind w:firstLine="397"/>
      </w:pPr>
      <w:r>
        <w:t xml:space="preserve">Skrytá dějinnost gigantomachie </w:t>
      </w:r>
      <w:r w:rsidR="08D91B21">
        <w:t>o substanci</w:t>
      </w:r>
      <w:r w:rsidR="08A42A81">
        <w:rPr>
          <w:i/>
        </w:rPr>
        <w:fldChar w:fldCharType="begin"/>
      </w:r>
      <w:r w:rsidR="08A42A81">
        <w:instrText xml:space="preserve"> XE "metafyzika:gigantomachie" </w:instrText>
      </w:r>
      <w:r w:rsidR="08A42A81">
        <w:rPr>
          <w:i/>
        </w:rPr>
        <w:fldChar w:fldCharType="end"/>
      </w:r>
      <w:r w:rsidR="08D91B21">
        <w:t xml:space="preserve"> </w:t>
      </w:r>
      <w:r w:rsidR="08986CC4">
        <w:t xml:space="preserve">jednoho </w:t>
      </w:r>
      <w:r w:rsidR="08D91B21">
        <w:t xml:space="preserve">boha </w:t>
      </w:r>
      <w:r w:rsidR="088D51B5">
        <w:t xml:space="preserve">běžela </w:t>
      </w:r>
      <w:r>
        <w:t>skrze odkry</w:t>
      </w:r>
      <w:r w:rsidR="088D51B5">
        <w:t>té dějiny metafyzické dogmatiky. S</w:t>
      </w:r>
      <w:r w:rsidR="08740BBA">
        <w:t xml:space="preserve">por o status božských osob </w:t>
      </w:r>
      <w:r w:rsidR="088D51B5">
        <w:t xml:space="preserve">prosadil myšlení prvních modernistů </w:t>
      </w:r>
      <w:r w:rsidR="00C23DC6">
        <w:t>skrze mocenská rozhodnutí církevních a akademických institucí</w:t>
      </w:r>
      <w:r w:rsidR="00D0055F">
        <w:t xml:space="preserve">. </w:t>
      </w:r>
      <w:r w:rsidR="08504958" w:rsidRPr="00273106">
        <w:t xml:space="preserve">Moderna </w:t>
      </w:r>
      <w:r w:rsidR="08504958">
        <w:t xml:space="preserve">se na latinském Západě prosadila mocensky pomocí církevních dekretů, které zasáhly do filosofických sporů. </w:t>
      </w:r>
      <w:r w:rsidR="08753453">
        <w:t xml:space="preserve">Neoplatonské církevní magisterium dogmatizovalo objektivní </w:t>
      </w:r>
      <w:r w:rsidR="001D0C09">
        <w:t>omyly v onteoteologii</w:t>
      </w:r>
      <w:r w:rsidR="08753453">
        <w:t xml:space="preserve"> </w:t>
      </w:r>
      <w:r w:rsidR="08753453" w:rsidRPr="00585DC2">
        <w:rPr>
          <w:i/>
        </w:rPr>
        <w:t>Modernorum</w:t>
      </w:r>
      <w:r w:rsidR="007E3EA6">
        <w:t>. Ty byly produko</w:t>
      </w:r>
      <w:r w:rsidR="001D0C09">
        <w:t xml:space="preserve">vány v modu pravdy jako </w:t>
      </w:r>
      <w:r w:rsidR="08753453">
        <w:t>jistoty a správnosti dané Anselmovou definicí pravdy-</w:t>
      </w:r>
      <w:r w:rsidR="08753453" w:rsidRPr="00AC6FB4">
        <w:rPr>
          <w:i/>
        </w:rPr>
        <w:t>rectitudo</w:t>
      </w:r>
      <w:r w:rsidR="08753453">
        <w:t xml:space="preserve">. </w:t>
      </w:r>
      <w:r w:rsidR="08C902DF" w:rsidRPr="00273106">
        <w:t xml:space="preserve">Vlivem citovaných kritiků Abelarda jako byli </w:t>
      </w:r>
      <w:r w:rsidR="08C902DF" w:rsidRPr="00273106">
        <w:rPr>
          <w:rStyle w:val="st"/>
        </w:rPr>
        <w:t>Alberic</w:t>
      </w:r>
      <w:r w:rsidR="08C902DF">
        <w:rPr>
          <w:rStyle w:val="st"/>
        </w:rPr>
        <w:t xml:space="preserve">h a </w:t>
      </w:r>
      <w:r w:rsidR="08C902DF" w:rsidRPr="00273106">
        <w:rPr>
          <w:rStyle w:val="st"/>
        </w:rPr>
        <w:t>Lotulf</w:t>
      </w:r>
      <w:r w:rsidR="08C902DF" w:rsidRPr="00273106">
        <w:t xml:space="preserve"> </w:t>
      </w:r>
      <w:r w:rsidR="08C902DF">
        <w:t xml:space="preserve">založila neoplatonská dogmatika podpořená citovanými koncily moderní </w:t>
      </w:r>
      <w:r w:rsidR="08C902DF" w:rsidRPr="00B4325F">
        <w:rPr>
          <w:i/>
        </w:rPr>
        <w:t>Wirkungsgeschichte</w:t>
      </w:r>
      <w:r w:rsidR="08C902DF">
        <w:t xml:space="preserve"> dogmatiky, logiky a gramatiky </w:t>
      </w:r>
      <w:r w:rsidR="08C902DF" w:rsidRPr="00273106">
        <w:t xml:space="preserve">porretánů sdružených ve školách </w:t>
      </w:r>
      <w:r w:rsidR="08C902DF" w:rsidRPr="00273106">
        <w:rPr>
          <w:i/>
        </w:rPr>
        <w:t>Nominales</w:t>
      </w:r>
      <w:r w:rsidR="08C902DF" w:rsidRPr="00273106">
        <w:t xml:space="preserve">. </w:t>
      </w:r>
      <w:r w:rsidR="08C902DF">
        <w:t xml:space="preserve">V této škole vznikla západní objektivita, jak uvidíme dále. </w:t>
      </w:r>
      <w:r w:rsidR="00527DBC" w:rsidRPr="00527DBC">
        <w:t>Takto definovaný Bůh modernistů je nesmysl. Smrt tohoto objektivního idolu v 19. století tyto znalce metafyziky vůbec nepřekvapila</w:t>
      </w:r>
      <w:r w:rsidR="00527DBC">
        <w:t>, a d</w:t>
      </w:r>
      <w:r w:rsidR="00527DBC" w:rsidRPr="00527DBC">
        <w:t>okonce tuto skutečnost vděčně uvítali.</w:t>
      </w:r>
      <w:r w:rsidR="00527DBC">
        <w:t xml:space="preserve"> </w:t>
      </w:r>
      <w:r w:rsidR="08DE7BF1">
        <w:t>Triadická struktura hermeneutiky (dějinnost, dějiny, historie</w:t>
      </w:r>
      <w:r w:rsidR="08C17EFA">
        <w:t>) ukazuje základní hermeneutický způsob, j</w:t>
      </w:r>
      <w:r w:rsidR="08DE7BF1">
        <w:t>ak (</w:t>
      </w:r>
      <w:r w:rsidR="08C17EFA">
        <w:t xml:space="preserve">Heideggerovo </w:t>
      </w:r>
      <w:r w:rsidR="08DE7BF1" w:rsidRPr="08DE7BF1">
        <w:rPr>
          <w:i/>
        </w:rPr>
        <w:t>Wie</w:t>
      </w:r>
      <w:r w:rsidR="08D01026">
        <w:t>; OBJ I, kap 1</w:t>
      </w:r>
      <w:r w:rsidR="08DE7BF1">
        <w:t xml:space="preserve">) gigantomachie o Boží Trojici určuje </w:t>
      </w:r>
      <w:r w:rsidR="08DE7BF1" w:rsidRPr="085731AF">
        <w:rPr>
          <w:i/>
        </w:rPr>
        <w:t>Lichtung</w:t>
      </w:r>
      <w:r w:rsidR="08DE7BF1">
        <w:t xml:space="preserve"> objektivity s její pravdou a nepravdou. </w:t>
      </w:r>
      <w:r w:rsidR="089520B3">
        <w:t>K</w:t>
      </w:r>
      <w:r w:rsidR="006F5898">
        <w:t>oncily v Soissons a v Sens řídili zástupci neoplatonských katedrálních škol, k nimž se přidali teologičtí zélóti jako byl</w:t>
      </w:r>
      <w:r w:rsidR="08F503EF">
        <w:t>i Bernard</w:t>
      </w:r>
      <w:r w:rsidR="08F503EF" w:rsidRPr="00273106">
        <w:t xml:space="preserve"> </w:t>
      </w:r>
      <w:r w:rsidR="08F503EF">
        <w:t>z Clairvaux</w:t>
      </w:r>
      <w:r w:rsidR="08F503EF">
        <w:fldChar w:fldCharType="begin"/>
      </w:r>
      <w:r w:rsidR="08F503EF">
        <w:instrText xml:space="preserve"> XE "</w:instrText>
      </w:r>
      <w:r w:rsidR="08F503EF" w:rsidRPr="003F66E8">
        <w:instrText>Bernard z Clairvaux</w:instrText>
      </w:r>
      <w:r w:rsidR="08F503EF">
        <w:instrText xml:space="preserve">" </w:instrText>
      </w:r>
      <w:r w:rsidR="08F503EF">
        <w:fldChar w:fldCharType="end"/>
      </w:r>
      <w:r w:rsidR="08F503EF">
        <w:t xml:space="preserve"> a </w:t>
      </w:r>
      <w:r w:rsidR="006F5898">
        <w:t xml:space="preserve">Petrus Venerabilis. </w:t>
      </w:r>
      <w:r w:rsidR="08F503EF">
        <w:t xml:space="preserve">Posledně zmíněný teolog </w:t>
      </w:r>
      <w:r w:rsidR="006F5898">
        <w:t>požadoval také křížové tažení proti Židům, aby doplnil Druhou kruciátu</w:t>
      </w:r>
      <w:r w:rsidR="006F5898">
        <w:fldChar w:fldCharType="begin"/>
      </w:r>
      <w:r w:rsidR="006F5898">
        <w:instrText xml:space="preserve"> XE "</w:instrText>
      </w:r>
      <w:r w:rsidR="006F5898" w:rsidRPr="000A4A95">
        <w:instrText>křížové výpravy</w:instrText>
      </w:r>
      <w:r w:rsidR="006F5898">
        <w:instrText xml:space="preserve">" </w:instrText>
      </w:r>
      <w:r w:rsidR="006F5898">
        <w:fldChar w:fldCharType="end"/>
      </w:r>
      <w:r w:rsidR="006F5898">
        <w:t xml:space="preserve">, kterou jeho současník Bernard z Clairvaux roku 1146 vyhlásil proti Saracénům. </w:t>
      </w:r>
      <w:r w:rsidR="08175265">
        <w:t>K</w:t>
      </w:r>
      <w:r w:rsidR="08175265" w:rsidRPr="00273106">
        <w:t>oncil</w:t>
      </w:r>
      <w:r w:rsidR="08175265">
        <w:t xml:space="preserve"> </w:t>
      </w:r>
      <w:r w:rsidR="08175265" w:rsidRPr="00273106">
        <w:t>v Soissons</w:t>
      </w:r>
      <w:r w:rsidR="08175265">
        <w:fldChar w:fldCharType="begin"/>
      </w:r>
      <w:r w:rsidR="08175265">
        <w:instrText xml:space="preserve"> XE "</w:instrText>
      </w:r>
      <w:r w:rsidR="08175265" w:rsidRPr="00B6714E">
        <w:instrText>koncil:Soissons</w:instrText>
      </w:r>
      <w:r w:rsidR="08175265">
        <w:instrText xml:space="preserve">" </w:instrText>
      </w:r>
      <w:r w:rsidR="08175265">
        <w:fldChar w:fldCharType="end"/>
      </w:r>
      <w:r w:rsidR="08175265" w:rsidRPr="00273106">
        <w:t xml:space="preserve"> nařídil </w:t>
      </w:r>
      <w:r w:rsidR="08175265">
        <w:t>veřejně spálit</w:t>
      </w:r>
      <w:r w:rsidR="08175265" w:rsidRPr="00273106">
        <w:t xml:space="preserve"> Abelardovo dílo </w:t>
      </w:r>
      <w:r w:rsidR="00902E81" w:rsidRPr="00902E81">
        <w:rPr>
          <w:i/>
          <w:iCs/>
        </w:rPr>
        <w:t>Theologia Summi Boni</w:t>
      </w:r>
      <w:r w:rsidR="08175265">
        <w:rPr>
          <w:iCs/>
        </w:rPr>
        <w:t xml:space="preserve">, které </w:t>
      </w:r>
      <w:r w:rsidR="08175265" w:rsidRPr="00273106">
        <w:t xml:space="preserve">obhajuje aristotelskou koncepci Trojice </w:t>
      </w:r>
      <w:r w:rsidR="08175265">
        <w:fldChar w:fldCharType="begin"/>
      </w:r>
      <w:r w:rsidR="08175265">
        <w:instrText xml:space="preserve"> XE "B</w:instrText>
      </w:r>
      <w:r w:rsidR="08175265" w:rsidRPr="000B7ED5">
        <w:instrText>oží Trojice</w:instrText>
      </w:r>
      <w:r w:rsidR="08175265">
        <w:instrText xml:space="preserve">:Abelard" </w:instrText>
      </w:r>
      <w:r w:rsidR="08175265">
        <w:fldChar w:fldCharType="end"/>
      </w:r>
      <w:r w:rsidR="08175265" w:rsidRPr="00273106">
        <w:t>a od</w:t>
      </w:r>
      <w:r w:rsidR="08175265">
        <w:t>suzuje neoplato</w:t>
      </w:r>
      <w:r w:rsidR="08175265" w:rsidRPr="00273106">
        <w:t>nské užití univerzálií třetího druhu v teolog</w:t>
      </w:r>
      <w:r w:rsidR="08175265">
        <w:t xml:space="preserve">ii Roscelina a jeho současníků. </w:t>
      </w:r>
      <w:r w:rsidR="08F417A0">
        <w:t xml:space="preserve">Církevní magisterium na křesťanském Západě se přiklonilo na stranu neoplatonských filosofických modernistů, ale nepřijalo extrémní neoplatonskou pozici školy </w:t>
      </w:r>
      <w:r w:rsidR="08F417A0" w:rsidRPr="08C57EE1">
        <w:rPr>
          <w:i/>
        </w:rPr>
        <w:t>Nominales</w:t>
      </w:r>
      <w:r w:rsidR="08F417A0">
        <w:t xml:space="preserve">. </w:t>
      </w:r>
      <w:r w:rsidR="08EE6130">
        <w:t xml:space="preserve">O generaci později </w:t>
      </w:r>
      <w:r w:rsidR="08C5737F">
        <w:t xml:space="preserve">dochází </w:t>
      </w:r>
      <w:r w:rsidR="08384B77">
        <w:t xml:space="preserve">v jiné části Západu </w:t>
      </w:r>
      <w:r w:rsidR="08C5737F">
        <w:t>ke zničení falsafy. M</w:t>
      </w:r>
      <w:r w:rsidR="08B25D04">
        <w:rPr>
          <w:lang w:eastAsia="en-US"/>
        </w:rPr>
        <w:t xml:space="preserve">arocký chalíf </w:t>
      </w:r>
      <w:r w:rsidR="08C5737F">
        <w:rPr>
          <w:lang w:eastAsia="en-US"/>
        </w:rPr>
        <w:t xml:space="preserve">nařídil </w:t>
      </w:r>
      <w:r w:rsidR="08B25D04">
        <w:rPr>
          <w:lang w:eastAsia="en-US"/>
        </w:rPr>
        <w:t>veřejně spálit Averroesovy spisy jako heretické</w:t>
      </w:r>
      <w:r w:rsidR="08C5737F" w:rsidRPr="08C5737F">
        <w:rPr>
          <w:lang w:eastAsia="en-US"/>
        </w:rPr>
        <w:t xml:space="preserve"> </w:t>
      </w:r>
      <w:r w:rsidR="08C5737F">
        <w:rPr>
          <w:lang w:eastAsia="en-US"/>
        </w:rPr>
        <w:t>roku 1197</w:t>
      </w:r>
      <w:r w:rsidR="08B25D04">
        <w:rPr>
          <w:lang w:eastAsia="en-US"/>
        </w:rPr>
        <w:t xml:space="preserve">. </w:t>
      </w:r>
      <w:r w:rsidR="08A26565">
        <w:t>O</w:t>
      </w:r>
      <w:r w:rsidR="08B25D04">
        <w:rPr>
          <w:lang w:eastAsia="en-US"/>
        </w:rPr>
        <w:t xml:space="preserve">ba </w:t>
      </w:r>
      <w:r w:rsidR="08E95FFF">
        <w:rPr>
          <w:lang w:eastAsia="en-US"/>
        </w:rPr>
        <w:t xml:space="preserve">geniální </w:t>
      </w:r>
      <w:r w:rsidR="08B25D04">
        <w:rPr>
          <w:lang w:eastAsia="en-US"/>
        </w:rPr>
        <w:t xml:space="preserve">aristotelikové Západu měli v začínající moderně stejný osud. </w:t>
      </w:r>
      <w:r w:rsidR="08634F37">
        <w:t xml:space="preserve">Vítězství moderny </w:t>
      </w:r>
      <w:r w:rsidR="08E95FFF">
        <w:t xml:space="preserve">vedlo ke smrti </w:t>
      </w:r>
      <w:r w:rsidR="08634F37">
        <w:t xml:space="preserve">antropocentrického </w:t>
      </w:r>
      <w:r w:rsidR="08E95FFF">
        <w:t xml:space="preserve">boha </w:t>
      </w:r>
      <w:r w:rsidR="08E95FFF" w:rsidRPr="087C1722">
        <w:rPr>
          <w:i/>
        </w:rPr>
        <w:t>Modernorum</w:t>
      </w:r>
      <w:r w:rsidR="08E95FFF">
        <w:t xml:space="preserve"> </w:t>
      </w:r>
      <w:r w:rsidR="08E95FFF">
        <w:rPr>
          <w:color w:val="000000"/>
        </w:rPr>
        <w:fldChar w:fldCharType="begin"/>
      </w:r>
      <w:r w:rsidR="08E95FFF">
        <w:instrText xml:space="preserve"> XE "smrt boha" </w:instrText>
      </w:r>
      <w:r w:rsidR="08E95FFF">
        <w:rPr>
          <w:color w:val="000000"/>
        </w:rPr>
        <w:fldChar w:fldCharType="end"/>
      </w:r>
      <w:r w:rsidR="08E95FFF">
        <w:t>v následné postmoderně, což modernistickém proudu ve falsafě předpověděl už Al</w:t>
      </w:r>
      <w:r w:rsidR="08E95FFF">
        <w:noBreakHyphen/>
        <w:t>Ghazálí</w:t>
      </w:r>
      <w:r w:rsidR="0814176F">
        <w:t xml:space="preserve"> (kap. 2.5)</w:t>
      </w:r>
      <w:r w:rsidR="08E95FFF">
        <w:fldChar w:fldCharType="begin"/>
      </w:r>
      <w:r w:rsidR="08E95FFF">
        <w:instrText xml:space="preserve"> XE "</w:instrText>
      </w:r>
      <w:r w:rsidR="08E95FFF" w:rsidRPr="000F01FE">
        <w:rPr>
          <w:rStyle w:val="FontStyle129"/>
          <w:rFonts w:ascii="Calibri" w:hAnsi="Calibri"/>
          <w:sz w:val="24"/>
        </w:rPr>
        <w:instrText>Al-Ghazálí</w:instrText>
      </w:r>
      <w:r w:rsidR="08E95FFF">
        <w:instrText xml:space="preserve">" </w:instrText>
      </w:r>
      <w:r w:rsidR="08E95FFF">
        <w:fldChar w:fldCharType="end"/>
      </w:r>
      <w:r w:rsidR="08E95FFF">
        <w:t xml:space="preserve">. </w:t>
      </w:r>
      <w:r w:rsidR="00847A91">
        <w:t>Oba c</w:t>
      </w:r>
      <w:r w:rsidR="08DE7BF1">
        <w:t xml:space="preserve">itované církevní koncily postavené proti </w:t>
      </w:r>
      <w:r w:rsidR="08DE7BF1">
        <w:lastRenderedPageBreak/>
        <w:t xml:space="preserve">Abelardovi definitivně určily osud latinského Západu v modu </w:t>
      </w:r>
      <w:r w:rsidR="08DE7BF1" w:rsidRPr="00CE2FBD">
        <w:rPr>
          <w:i/>
        </w:rPr>
        <w:t>de fine</w:t>
      </w:r>
      <w:r w:rsidR="08DE7BF1">
        <w:t xml:space="preserve">, tedy skrze smrt boha </w:t>
      </w:r>
      <w:r w:rsidR="08DE7BF1" w:rsidRPr="00CE2FBD">
        <w:rPr>
          <w:i/>
        </w:rPr>
        <w:t>Modernorum</w:t>
      </w:r>
      <w:r w:rsidR="08DE7BF1">
        <w:t xml:space="preserve">. Nihilistická postmoderna smrt sekularizovaného boha </w:t>
      </w:r>
      <w:r w:rsidR="08DE7BF1" w:rsidRPr="00D26361">
        <w:rPr>
          <w:i/>
        </w:rPr>
        <w:t>Modernorum</w:t>
      </w:r>
      <w:r w:rsidR="08DE7BF1">
        <w:t xml:space="preserve"> konstatovala v 19. století objektivně správně. Jenže kritika Feuerbacha přičetla metafyzický </w:t>
      </w:r>
      <w:r w:rsidR="08DE7BF1" w:rsidRPr="00ED2B60">
        <w:rPr>
          <w:i/>
        </w:rPr>
        <w:t>Irrtum</w:t>
      </w:r>
      <w:r w:rsidR="08DE7BF1">
        <w:t xml:space="preserve"> moderny skrze epochální projekci ve Freudově modu </w:t>
      </w:r>
      <w:r w:rsidR="08DE7BF1" w:rsidRPr="08E73784">
        <w:rPr>
          <w:i/>
        </w:rPr>
        <w:t>Ver</w:t>
      </w:r>
      <w:r w:rsidR="08DE7BF1">
        <w:rPr>
          <w:i/>
        </w:rPr>
        <w:t xml:space="preserve">kehrung </w:t>
      </w:r>
      <w:r w:rsidR="08DE7BF1" w:rsidRPr="08E73784">
        <w:rPr>
          <w:i/>
        </w:rPr>
        <w:t>ins Gegenteil</w:t>
      </w:r>
      <w:r w:rsidR="08DE7BF1">
        <w:rPr>
          <w:i/>
        </w:rPr>
        <w:fldChar w:fldCharType="begin"/>
      </w:r>
      <w:r w:rsidR="08DE7BF1">
        <w:instrText xml:space="preserve"> XE "</w:instrText>
      </w:r>
      <w:r w:rsidR="08DE7BF1" w:rsidRPr="08C71E1E">
        <w:rPr>
          <w:i/>
        </w:rPr>
        <w:instrText>Ver</w:instrText>
      </w:r>
      <w:r w:rsidR="08DE7BF1">
        <w:rPr>
          <w:i/>
        </w:rPr>
        <w:instrText>kehrung</w:instrText>
      </w:r>
      <w:r w:rsidR="08DE7BF1" w:rsidRPr="08C71E1E">
        <w:rPr>
          <w:i/>
        </w:rPr>
        <w:instrText xml:space="preserve"> ins Gegenteil</w:instrText>
      </w:r>
      <w:r w:rsidR="08DE7BF1">
        <w:instrText xml:space="preserve">" </w:instrText>
      </w:r>
      <w:r w:rsidR="08DE7BF1">
        <w:rPr>
          <w:i/>
        </w:rPr>
        <w:fldChar w:fldCharType="end"/>
      </w:r>
      <w:r w:rsidR="08DE7BF1">
        <w:t xml:space="preserve"> na vrub </w:t>
      </w:r>
      <w:r w:rsidR="08F417A0">
        <w:t xml:space="preserve">samotného </w:t>
      </w:r>
      <w:r w:rsidR="08DE7BF1">
        <w:t>křesťanství.</w:t>
      </w:r>
      <w:r w:rsidR="08DE7BF1">
        <w:rPr>
          <w:rStyle w:val="Znakapoznpodarou"/>
        </w:rPr>
        <w:footnoteReference w:id="42"/>
      </w:r>
      <w:r w:rsidR="08DE7BF1">
        <w:t xml:space="preserve"> </w:t>
      </w:r>
      <w:r w:rsidR="08C80E06">
        <w:t xml:space="preserve">Odlišným zaměřením islámu a křesťanství </w:t>
      </w:r>
      <w:r w:rsidR="08E27A37">
        <w:t xml:space="preserve">byl dokonán </w:t>
      </w:r>
      <w:r w:rsidR="08C80E06">
        <w:t xml:space="preserve">rozpad synkretistické </w:t>
      </w:r>
      <w:r w:rsidR="083C51BE">
        <w:t xml:space="preserve">filosofie </w:t>
      </w:r>
      <w:r w:rsidR="08872B54">
        <w:t xml:space="preserve">a ontoteologie vzniklé </w:t>
      </w:r>
      <w:r w:rsidR="08AE3430">
        <w:t>v pozdní antice</w:t>
      </w:r>
      <w:r w:rsidR="08AB4AB1">
        <w:t xml:space="preserve"> po zániku mystérií</w:t>
      </w:r>
      <w:r w:rsidR="086B494F">
        <w:t xml:space="preserve"> (</w:t>
      </w:r>
      <w:r w:rsidR="008766E7">
        <w:t xml:space="preserve">OBJ I, </w:t>
      </w:r>
      <w:r w:rsidR="086B494F">
        <w:t>kap. 2.5)</w:t>
      </w:r>
      <w:r w:rsidR="08E27A37">
        <w:t xml:space="preserve">. Další rozchod mezi šíiity a sunnity a mezi katolíky a protestanty už proběhl uvnitř příslušného monoteistického náboženství. </w:t>
      </w:r>
      <w:r w:rsidR="080F7601">
        <w:t>P</w:t>
      </w:r>
      <w:r w:rsidR="08AC2DDE">
        <w:t xml:space="preserve">ůsobení </w:t>
      </w:r>
      <w:r w:rsidR="080F7601">
        <w:t xml:space="preserve">falsafy </w:t>
      </w:r>
      <w:r w:rsidR="08121158">
        <w:t xml:space="preserve">pokračovalo </w:t>
      </w:r>
      <w:r w:rsidR="08AC2DDE">
        <w:t>skrze</w:t>
      </w:r>
      <w:r w:rsidR="08121158">
        <w:t xml:space="preserve"> skrytý modus dějinnosti ve školách </w:t>
      </w:r>
      <w:r w:rsidR="08AC2DDE">
        <w:t>avicennistick</w:t>
      </w:r>
      <w:r w:rsidR="08121158">
        <w:t>é</w:t>
      </w:r>
      <w:r w:rsidR="08AC2DDE">
        <w:t xml:space="preserve"> modern</w:t>
      </w:r>
      <w:r w:rsidR="08121158">
        <w:t>y</w:t>
      </w:r>
      <w:r w:rsidR="08AC2DDE">
        <w:t xml:space="preserve"> na latin</w:t>
      </w:r>
      <w:r w:rsidR="089E6B1E">
        <w:t>sk</w:t>
      </w:r>
      <w:r w:rsidR="08AC2DDE">
        <w:t>ém Západě</w:t>
      </w:r>
      <w:r w:rsidR="08134FFC">
        <w:t xml:space="preserve"> až k dnešnímu metafyzickému nihilismu</w:t>
      </w:r>
      <w:r w:rsidR="08AC2DDE">
        <w:t xml:space="preserve">. </w:t>
      </w:r>
      <w:r w:rsidR="006F224B">
        <w:t xml:space="preserve">Na latinském Západě </w:t>
      </w:r>
      <w:r w:rsidR="0899164B">
        <w:t xml:space="preserve">také existovala </w:t>
      </w:r>
      <w:r w:rsidR="006F224B">
        <w:t xml:space="preserve">anti-filosofická škola </w:t>
      </w:r>
      <w:r w:rsidR="088443E6">
        <w:t xml:space="preserve">fundamentalistických </w:t>
      </w:r>
      <w:r w:rsidR="006F224B">
        <w:t>teologů</w:t>
      </w:r>
      <w:r w:rsidR="085F2E4A">
        <w:t>.</w:t>
      </w:r>
      <w:r w:rsidR="085F2E4A">
        <w:rPr>
          <w:rStyle w:val="Znakapoznpodarou"/>
        </w:rPr>
        <w:footnoteReference w:id="43"/>
      </w:r>
      <w:r w:rsidR="085F2E4A">
        <w:t xml:space="preserve"> Tato škola </w:t>
      </w:r>
      <w:r w:rsidR="0834774B">
        <w:t xml:space="preserve">ale </w:t>
      </w:r>
      <w:r w:rsidR="006F224B">
        <w:t xml:space="preserve">neměla na chod dějin </w:t>
      </w:r>
      <w:r w:rsidR="088B1EDC">
        <w:t xml:space="preserve">západního </w:t>
      </w:r>
      <w:r w:rsidR="003D34B3">
        <w:t xml:space="preserve">myšlení </w:t>
      </w:r>
      <w:r w:rsidR="006F224B">
        <w:t>podstatný vliv</w:t>
      </w:r>
      <w:r w:rsidR="08C6471B">
        <w:t>. P</w:t>
      </w:r>
      <w:r w:rsidR="005F55A8">
        <w:t xml:space="preserve">okud </w:t>
      </w:r>
      <w:r w:rsidR="08C6471B">
        <w:t xml:space="preserve">ovšem </w:t>
      </w:r>
      <w:r w:rsidR="003D34B3">
        <w:t xml:space="preserve">do něj </w:t>
      </w:r>
      <w:r w:rsidR="005F55A8">
        <w:t xml:space="preserve">nepočítáme </w:t>
      </w:r>
      <w:r w:rsidR="00CE68ED">
        <w:t xml:space="preserve">průběh </w:t>
      </w:r>
      <w:r w:rsidR="005F55A8">
        <w:t>křížových výprav</w:t>
      </w:r>
      <w:r w:rsidR="0823335B">
        <w:t xml:space="preserve"> vyvolaných vizionářskými teology jako byl Bernard z</w:t>
      </w:r>
      <w:r w:rsidR="085F2E4A">
        <w:t> </w:t>
      </w:r>
      <w:r w:rsidR="0823335B">
        <w:t>Clairvaux</w:t>
      </w:r>
      <w:r w:rsidR="085F2E4A">
        <w:t xml:space="preserve">. </w:t>
      </w:r>
      <w:r w:rsidR="085D13E2">
        <w:t xml:space="preserve">Latinský </w:t>
      </w:r>
      <w:r w:rsidR="003E47AD">
        <w:t xml:space="preserve">Západ </w:t>
      </w:r>
      <w:r w:rsidR="08336608">
        <w:t xml:space="preserve">řízený katedrálními školami </w:t>
      </w:r>
      <w:r w:rsidR="003E47AD">
        <w:t xml:space="preserve">šel vlastní cestou </w:t>
      </w:r>
      <w:r w:rsidR="004D6B58">
        <w:t xml:space="preserve">moderního </w:t>
      </w:r>
      <w:r w:rsidR="003E47AD">
        <w:t xml:space="preserve">filosofického </w:t>
      </w:r>
      <w:r w:rsidR="003E47AD" w:rsidRPr="009A02FA">
        <w:rPr>
          <w:i/>
        </w:rPr>
        <w:t>Irrtum</w:t>
      </w:r>
      <w:r w:rsidR="00B75AD5">
        <w:t xml:space="preserve">, z něhož Petrus Venerabilis v </w:t>
      </w:r>
      <w:r w:rsidR="00B75AD5" w:rsidRPr="00B75AD5">
        <w:rPr>
          <w:i/>
        </w:rPr>
        <w:t>D</w:t>
      </w:r>
      <w:r w:rsidR="004D1E1C" w:rsidRPr="00B75AD5">
        <w:rPr>
          <w:i/>
        </w:rPr>
        <w:t>opise 115</w:t>
      </w:r>
      <w:r w:rsidR="004D1E1C">
        <w:t xml:space="preserve"> neprávem obvinil Abelarda.</w:t>
      </w:r>
      <w:r w:rsidR="004D1E1C">
        <w:rPr>
          <w:rStyle w:val="Znakapoznpodarou"/>
        </w:rPr>
        <w:footnoteReference w:id="44"/>
      </w:r>
      <w:r w:rsidR="004D1E1C">
        <w:t xml:space="preserve"> </w:t>
      </w:r>
      <w:r w:rsidR="00A17300">
        <w:t xml:space="preserve">Tento brilantní aristotelik na sebe </w:t>
      </w:r>
      <w:r w:rsidR="0008194E">
        <w:t>vzal</w:t>
      </w:r>
      <w:r w:rsidR="00A17300">
        <w:t xml:space="preserve"> ve formě obětníh</w:t>
      </w:r>
      <w:r w:rsidR="0008194E">
        <w:t>o beránka</w:t>
      </w:r>
      <w:r w:rsidR="00A17300">
        <w:t xml:space="preserve"> </w:t>
      </w:r>
      <w:r w:rsidR="0008194E">
        <w:t xml:space="preserve">z knihy </w:t>
      </w:r>
      <w:r w:rsidR="0008194E" w:rsidRPr="0008194E">
        <w:rPr>
          <w:i/>
        </w:rPr>
        <w:t>Leviticus</w:t>
      </w:r>
      <w:r w:rsidR="0008194E">
        <w:t xml:space="preserve"> </w:t>
      </w:r>
      <w:r w:rsidR="00D80EEC">
        <w:t>16:10</w:t>
      </w:r>
      <w:r w:rsidR="001A09C3">
        <w:fldChar w:fldCharType="begin"/>
      </w:r>
      <w:r w:rsidR="001A09C3">
        <w:instrText xml:space="preserve"> XE "</w:instrText>
      </w:r>
      <w:r w:rsidR="001A09C3" w:rsidRPr="001A09C3">
        <w:instrText>Starý zákon</w:instrText>
      </w:r>
      <w:r w:rsidR="001A09C3" w:rsidRPr="0041160C">
        <w:rPr>
          <w:i/>
        </w:rPr>
        <w:instrText>:</w:instrText>
      </w:r>
      <w:r w:rsidR="001A09C3" w:rsidRPr="089A2E25">
        <w:rPr>
          <w:i/>
        </w:rPr>
        <w:instrText>Leviticus</w:instrText>
      </w:r>
      <w:r w:rsidR="001A09C3" w:rsidRPr="0041160C">
        <w:instrText xml:space="preserve"> 16.10</w:instrText>
      </w:r>
      <w:r w:rsidR="001A09C3">
        <w:instrText xml:space="preserve">" </w:instrText>
      </w:r>
      <w:r w:rsidR="001A09C3">
        <w:fldChar w:fldCharType="end"/>
      </w:r>
      <w:r w:rsidR="00D80EEC">
        <w:t xml:space="preserve"> </w:t>
      </w:r>
      <w:r w:rsidR="00A17300">
        <w:t>všec</w:t>
      </w:r>
      <w:r w:rsidR="003B77F5">
        <w:t xml:space="preserve">hny viny moderního </w:t>
      </w:r>
      <w:r w:rsidR="00112C52">
        <w:t>neo</w:t>
      </w:r>
      <w:r w:rsidR="003B77F5">
        <w:t xml:space="preserve">platonismu. Pak </w:t>
      </w:r>
      <w:r w:rsidR="00A17300">
        <w:t xml:space="preserve">byl </w:t>
      </w:r>
      <w:r w:rsidR="00023E12">
        <w:t xml:space="preserve">nutně a pochopitelně </w:t>
      </w:r>
      <w:r w:rsidR="00A17300">
        <w:t xml:space="preserve">zavržen </w:t>
      </w:r>
      <w:r w:rsidR="00D04465">
        <w:t xml:space="preserve">i s Heloisou </w:t>
      </w:r>
      <w:r w:rsidR="0008194E">
        <w:t xml:space="preserve">do </w:t>
      </w:r>
      <w:r w:rsidR="008C7677">
        <w:t xml:space="preserve">akademické </w:t>
      </w:r>
      <w:r w:rsidR="0008194E">
        <w:t xml:space="preserve">pouště </w:t>
      </w:r>
      <w:r w:rsidR="00A17300">
        <w:t xml:space="preserve">v modu </w:t>
      </w:r>
      <w:r w:rsidR="0008194E">
        <w:t xml:space="preserve">filosofického </w:t>
      </w:r>
      <w:r w:rsidR="00A17300" w:rsidRPr="00A17300">
        <w:rPr>
          <w:i/>
        </w:rPr>
        <w:t>damnatio memoriae</w:t>
      </w:r>
      <w:r w:rsidR="00A17300">
        <w:rPr>
          <w:i/>
        </w:rPr>
        <w:fldChar w:fldCharType="begin"/>
      </w:r>
      <w:r w:rsidR="00A17300">
        <w:instrText xml:space="preserve"> XE "</w:instrText>
      </w:r>
      <w:r w:rsidR="00A17300" w:rsidRPr="000515DA">
        <w:rPr>
          <w:i/>
        </w:rPr>
        <w:instrText>damnatio memoriae</w:instrText>
      </w:r>
      <w:r w:rsidR="00A17300">
        <w:instrText xml:space="preserve">" </w:instrText>
      </w:r>
      <w:r w:rsidR="00A17300">
        <w:rPr>
          <w:i/>
        </w:rPr>
        <w:fldChar w:fldCharType="end"/>
      </w:r>
      <w:r w:rsidR="008C7677">
        <w:t>. N</w:t>
      </w:r>
      <w:r w:rsidR="008015A6">
        <w:t>eoplatonská moderna a postmoderna odmít</w:t>
      </w:r>
      <w:r w:rsidR="008C7677">
        <w:t>la</w:t>
      </w:r>
      <w:r w:rsidR="008015A6">
        <w:t xml:space="preserve"> vidět jeho </w:t>
      </w:r>
      <w:r w:rsidR="00D85BF3">
        <w:t xml:space="preserve">autentický a kritický </w:t>
      </w:r>
      <w:r w:rsidR="008015A6">
        <w:t xml:space="preserve">aristotelismus. </w:t>
      </w:r>
      <w:r w:rsidR="007A7579">
        <w:rPr>
          <w:rStyle w:val="Zvraznn"/>
          <w:i w:val="0"/>
        </w:rPr>
        <w:t>S</w:t>
      </w:r>
      <w:r w:rsidR="00CD64A2">
        <w:t>cénář sofistické manipulace a falešných obvinění Abelarda se bude o</w:t>
      </w:r>
      <w:r w:rsidR="0823087F">
        <w:t xml:space="preserve">pakovat </w:t>
      </w:r>
      <w:r w:rsidR="0823087F">
        <w:lastRenderedPageBreak/>
        <w:t xml:space="preserve">v případě sporu o </w:t>
      </w:r>
      <w:r w:rsidR="00CD64A2">
        <w:t>averroismus</w:t>
      </w:r>
      <w:r w:rsidR="00CD64A2">
        <w:fldChar w:fldCharType="begin"/>
      </w:r>
      <w:r w:rsidR="00CD64A2">
        <w:instrText xml:space="preserve"> XE "</w:instrText>
      </w:r>
      <w:r w:rsidR="00CD64A2" w:rsidRPr="009C01CF">
        <w:instrText>druhý averroismus:vznik</w:instrText>
      </w:r>
      <w:r w:rsidR="00CD64A2">
        <w:instrText xml:space="preserve">" </w:instrText>
      </w:r>
      <w:r w:rsidR="00CD64A2">
        <w:fldChar w:fldCharType="end"/>
      </w:r>
      <w:r w:rsidR="00CD64A2">
        <w:t xml:space="preserve">. </w:t>
      </w:r>
      <w:r w:rsidR="00A41B10">
        <w:t xml:space="preserve">Moderní neoplatonikové akademicky </w:t>
      </w:r>
      <w:r w:rsidR="00F21D73">
        <w:t xml:space="preserve">a mocensky </w:t>
      </w:r>
      <w:r w:rsidR="00A41B10">
        <w:t xml:space="preserve">zničili </w:t>
      </w:r>
      <w:r w:rsidR="002E2B10">
        <w:t xml:space="preserve">aristotelika </w:t>
      </w:r>
      <w:r w:rsidR="00A41B10">
        <w:t xml:space="preserve">Abelarda stejně důkladně, jako moderní </w:t>
      </w:r>
      <w:r w:rsidR="00A41B10" w:rsidRPr="00AE302D">
        <w:rPr>
          <w:i/>
        </w:rPr>
        <w:t>Nominales</w:t>
      </w:r>
      <w:r w:rsidR="00A41B10">
        <w:t xml:space="preserve"> zničili aristotelika Sigera z Brabantu a jeho kolegy na artistické fakultě v Paříži </w:t>
      </w:r>
      <w:r w:rsidR="081A7A58">
        <w:t xml:space="preserve">roku </w:t>
      </w:r>
      <w:r w:rsidR="00A41B10">
        <w:t>1277.</w:t>
      </w:r>
      <w:r w:rsidR="00796FA0">
        <w:t xml:space="preserve"> </w:t>
      </w:r>
      <w:r w:rsidR="08102EC9">
        <w:t xml:space="preserve">Ale na </w:t>
      </w:r>
      <w:r w:rsidR="00EE73A6">
        <w:t xml:space="preserve">odsouzeného </w:t>
      </w:r>
      <w:r w:rsidR="08102EC9">
        <w:t xml:space="preserve">Sigera navázal </w:t>
      </w:r>
      <w:r w:rsidR="08487202">
        <w:t xml:space="preserve">William </w:t>
      </w:r>
      <w:r w:rsidR="08BA63A6">
        <w:t xml:space="preserve">Ockham a </w:t>
      </w:r>
      <w:r w:rsidR="08102EC9">
        <w:t>Dante</w:t>
      </w:r>
      <w:r w:rsidR="08487202">
        <w:t xml:space="preserve"> Alighieri</w:t>
      </w:r>
      <w:r w:rsidR="08BA63A6">
        <w:t xml:space="preserve">. Stejně tak mělo </w:t>
      </w:r>
      <w:r w:rsidR="00564402">
        <w:t xml:space="preserve">Abelardovo působení na katedrální škole Sainte Geneviève v Paříži </w:t>
      </w:r>
      <w:r w:rsidR="08B6024F">
        <w:t xml:space="preserve">zásadní </w:t>
      </w:r>
      <w:r w:rsidR="00564402">
        <w:t xml:space="preserve">význam pro </w:t>
      </w:r>
      <w:r w:rsidR="008C2E9E">
        <w:t xml:space="preserve">následující </w:t>
      </w:r>
      <w:r w:rsidR="00564402">
        <w:t>matric</w:t>
      </w:r>
      <w:r w:rsidR="008C2E9E">
        <w:t>i</w:t>
      </w:r>
      <w:r w:rsidR="00564402">
        <w:t xml:space="preserve"> sporů</w:t>
      </w:r>
      <w:r w:rsidR="008C2E9E">
        <w:t xml:space="preserve"> o objektivitu. </w:t>
      </w:r>
      <w:r w:rsidR="08277446">
        <w:t xml:space="preserve">Z jeho školy </w:t>
      </w:r>
      <w:r w:rsidR="08E92DFC">
        <w:t xml:space="preserve">sloučené s katedrální školou </w:t>
      </w:r>
      <w:r w:rsidR="08E92DFC" w:rsidRPr="08E92DFC">
        <w:t>Notre-</w:t>
      </w:r>
      <w:r w:rsidR="08E92DFC">
        <w:t>D</w:t>
      </w:r>
      <w:r w:rsidR="08E92DFC" w:rsidRPr="08E92DFC">
        <w:t>ame</w:t>
      </w:r>
      <w:r w:rsidR="08E92DFC">
        <w:t xml:space="preserve"> </w:t>
      </w:r>
      <w:r w:rsidR="08277446">
        <w:t xml:space="preserve">vzešly dvě desítky kardinálů a kolem padesáti biskupů a arcibiskupů. </w:t>
      </w:r>
      <w:r w:rsidR="008C2E9E">
        <w:t>Abelardova</w:t>
      </w:r>
      <w:r w:rsidR="00564402">
        <w:t xml:space="preserve"> škola </w:t>
      </w:r>
      <w:r w:rsidR="00F14754">
        <w:t xml:space="preserve">měla důležitou klášterní knihovnu a </w:t>
      </w:r>
      <w:r w:rsidR="00CE57D2">
        <w:t xml:space="preserve">společně s katedrální školou St. Germain des Pré </w:t>
      </w:r>
      <w:r w:rsidR="00AF5DF5">
        <w:t xml:space="preserve">založila </w:t>
      </w:r>
      <w:r w:rsidR="00996E2E">
        <w:t xml:space="preserve">první </w:t>
      </w:r>
      <w:r w:rsidR="00996E2E">
        <w:rPr>
          <w:i/>
          <w:iCs/>
        </w:rPr>
        <w:t xml:space="preserve">Universitas scholarium </w:t>
      </w:r>
      <w:r w:rsidR="08EE21AA">
        <w:rPr>
          <w:iCs/>
        </w:rPr>
        <w:t>studentů a magistrů</w:t>
      </w:r>
      <w:r w:rsidR="08C57303">
        <w:rPr>
          <w:iCs/>
        </w:rPr>
        <w:t xml:space="preserve">. Toto společenství bylo </w:t>
      </w:r>
      <w:r w:rsidR="00996E2E">
        <w:rPr>
          <w:iCs/>
        </w:rPr>
        <w:t xml:space="preserve">roku </w:t>
      </w:r>
      <w:r w:rsidR="00291CC2">
        <w:t>120</w:t>
      </w:r>
      <w:r w:rsidR="00001F51">
        <w:t>0</w:t>
      </w:r>
      <w:r w:rsidR="08C57303">
        <w:t xml:space="preserve"> uznáno</w:t>
      </w:r>
      <w:r w:rsidR="00996E2E">
        <w:t xml:space="preserve"> za </w:t>
      </w:r>
      <w:r w:rsidR="00564402">
        <w:t>Pařížskou univerzitu</w:t>
      </w:r>
      <w:r w:rsidR="08480A1D">
        <w:t xml:space="preserve"> dekretem francouzského krále Filipa</w:t>
      </w:r>
      <w:r w:rsidR="08480A1D" w:rsidRPr="08480A1D">
        <w:t xml:space="preserve"> II</w:t>
      </w:r>
      <w:r w:rsidR="08480A1D">
        <w:t>.</w:t>
      </w:r>
      <w:r w:rsidR="08480A1D" w:rsidRPr="08480A1D">
        <w:t xml:space="preserve"> (Philippe-Auguste) </w:t>
      </w:r>
      <w:r w:rsidR="08480A1D">
        <w:t xml:space="preserve">a papež Innocent III. ji uznal </w:t>
      </w:r>
      <w:r w:rsidR="086F62D7">
        <w:t xml:space="preserve">jako samostatnou instituci </w:t>
      </w:r>
      <w:r w:rsidR="08480A1D">
        <w:t>roku 1215</w:t>
      </w:r>
      <w:r w:rsidR="085B13D0">
        <w:t xml:space="preserve">. V tomtéž roce také vznikl její první statut, v němž magistři filosofie dostali </w:t>
      </w:r>
      <w:r w:rsidR="08752ECF">
        <w:t xml:space="preserve">papežská </w:t>
      </w:r>
      <w:r w:rsidR="085B13D0">
        <w:t>univerzitní práva</w:t>
      </w:r>
      <w:r w:rsidR="00564402">
        <w:t xml:space="preserve">. </w:t>
      </w:r>
      <w:r w:rsidR="085B13D0">
        <w:t>Magistři</w:t>
      </w:r>
      <w:r w:rsidR="08752ECF">
        <w:t xml:space="preserve"> práv a medicíny </w:t>
      </w:r>
      <w:r w:rsidR="085B13D0">
        <w:t xml:space="preserve">působili </w:t>
      </w:r>
      <w:r w:rsidR="08752ECF">
        <w:t xml:space="preserve">v Paříži </w:t>
      </w:r>
      <w:r w:rsidR="083E3EE3">
        <w:t xml:space="preserve">pod ochranou papežských práv už </w:t>
      </w:r>
      <w:r w:rsidR="085B13D0">
        <w:t>před</w:t>
      </w:r>
      <w:r w:rsidR="083E3EE3">
        <w:t xml:space="preserve"> </w:t>
      </w:r>
      <w:r w:rsidR="085B13D0">
        <w:t>tím</w:t>
      </w:r>
      <w:r w:rsidR="083E3EE3">
        <w:t>to datem</w:t>
      </w:r>
      <w:r w:rsidR="085B13D0">
        <w:t xml:space="preserve">. </w:t>
      </w:r>
      <w:r w:rsidR="00E763C7">
        <w:t xml:space="preserve">Katedrální škola </w:t>
      </w:r>
      <w:r w:rsidR="08334F4E">
        <w:t xml:space="preserve">pod vlivem Abelarda později zvaná </w:t>
      </w:r>
      <w:r w:rsidR="08334F4E" w:rsidRPr="08334F4E">
        <w:rPr>
          <w:i/>
        </w:rPr>
        <w:t>L'École cathédrale de Paris</w:t>
      </w:r>
      <w:r w:rsidR="08334F4E">
        <w:rPr>
          <w:rStyle w:val="st"/>
        </w:rPr>
        <w:t xml:space="preserve"> </w:t>
      </w:r>
      <w:r w:rsidR="083C331F">
        <w:rPr>
          <w:i/>
        </w:rPr>
        <w:fldChar w:fldCharType="begin"/>
      </w:r>
      <w:r w:rsidR="083C331F">
        <w:instrText xml:space="preserve"> XE "</w:instrText>
      </w:r>
      <w:r w:rsidR="083C331F">
        <w:rPr>
          <w:i/>
        </w:rPr>
        <w:instrText>É</w:instrText>
      </w:r>
      <w:r w:rsidR="083C331F" w:rsidRPr="083C331F">
        <w:rPr>
          <w:i/>
        </w:rPr>
        <w:instrText>cole cathédrale de Paris</w:instrText>
      </w:r>
      <w:r w:rsidR="083C331F">
        <w:instrText xml:space="preserve">" </w:instrText>
      </w:r>
      <w:r w:rsidR="083C331F">
        <w:rPr>
          <w:i/>
        </w:rPr>
        <w:fldChar w:fldCharType="end"/>
      </w:r>
      <w:r w:rsidR="08334F4E">
        <w:t xml:space="preserve">držela linii </w:t>
      </w:r>
      <w:r w:rsidR="007D176B">
        <w:t>klasic</w:t>
      </w:r>
      <w:r w:rsidR="08334F4E">
        <w:t>ké metafyziky</w:t>
      </w:r>
      <w:r w:rsidR="00D34ED0">
        <w:t xml:space="preserve"> a logi</w:t>
      </w:r>
      <w:r w:rsidR="08334F4E">
        <w:t xml:space="preserve">ky. Tím se </w:t>
      </w:r>
      <w:r w:rsidR="00D34ED0">
        <w:t xml:space="preserve">zásadně lišila od </w:t>
      </w:r>
      <w:r w:rsidR="00147D90">
        <w:t xml:space="preserve">porretánských </w:t>
      </w:r>
      <w:r w:rsidR="00D34ED0">
        <w:t xml:space="preserve">škol typu </w:t>
      </w:r>
      <w:r w:rsidR="00D34ED0" w:rsidRPr="00D34ED0">
        <w:rPr>
          <w:i/>
        </w:rPr>
        <w:t>Logica Modernorum</w:t>
      </w:r>
      <w:r w:rsidR="00D34ED0">
        <w:t xml:space="preserve"> jako byla například škola </w:t>
      </w:r>
      <w:r w:rsidR="00D34ED0" w:rsidRPr="00D34ED0">
        <w:rPr>
          <w:i/>
        </w:rPr>
        <w:t>Parvipontani</w:t>
      </w:r>
      <w:r w:rsidR="0064013A">
        <w:rPr>
          <w:i/>
        </w:rPr>
        <w:fldChar w:fldCharType="begin"/>
      </w:r>
      <w:r w:rsidR="0064013A">
        <w:instrText xml:space="preserve"> XE "</w:instrText>
      </w:r>
      <w:r w:rsidR="0064013A" w:rsidRPr="00D14F74">
        <w:instrText>logické školy</w:instrText>
      </w:r>
      <w:r w:rsidR="0064013A">
        <w:instrText>:</w:instrText>
      </w:r>
      <w:r w:rsidR="0064013A" w:rsidRPr="00D14F74">
        <w:rPr>
          <w:i/>
        </w:rPr>
        <w:instrText>Parvipontani</w:instrText>
      </w:r>
      <w:r w:rsidR="0064013A">
        <w:instrText xml:space="preserve">" </w:instrText>
      </w:r>
      <w:r w:rsidR="0064013A">
        <w:rPr>
          <w:i/>
        </w:rPr>
        <w:fldChar w:fldCharType="end"/>
      </w:r>
      <w:r w:rsidR="00D34ED0">
        <w:t>, kterou v Pař</w:t>
      </w:r>
      <w:r w:rsidR="00313CEF">
        <w:t>íži založil Adam z</w:t>
      </w:r>
      <w:r w:rsidR="00D34ED0">
        <w:t xml:space="preserve"> Balsham</w:t>
      </w:r>
      <w:r w:rsidR="00313CEF">
        <w:t>u (</w:t>
      </w:r>
      <w:r w:rsidR="00313CEF" w:rsidRPr="00313CEF">
        <w:t>Adam Parvipontanus</w:t>
      </w:r>
      <w:r w:rsidR="00FF61AC">
        <w:fldChar w:fldCharType="begin"/>
      </w:r>
      <w:r w:rsidR="00FF61AC">
        <w:instrText xml:space="preserve"> XE "</w:instrText>
      </w:r>
      <w:r w:rsidR="00FF61AC" w:rsidRPr="008F11FC">
        <w:instrText>Adam Parvipontanus</w:instrText>
      </w:r>
      <w:r w:rsidR="00FF61AC">
        <w:instrText xml:space="preserve">" </w:instrText>
      </w:r>
      <w:r w:rsidR="00FF61AC">
        <w:fldChar w:fldCharType="end"/>
      </w:r>
      <w:r w:rsidR="00313CEF">
        <w:t>)</w:t>
      </w:r>
      <w:r w:rsidR="00D34ED0">
        <w:t xml:space="preserve">. </w:t>
      </w:r>
      <w:r w:rsidR="08623337">
        <w:t>P</w:t>
      </w:r>
      <w:r w:rsidR="00564402">
        <w:t xml:space="preserve">rvní </w:t>
      </w:r>
      <w:r w:rsidR="08CF0D1A">
        <w:t xml:space="preserve">význační </w:t>
      </w:r>
      <w:r w:rsidR="0807201E">
        <w:t xml:space="preserve">filosofové </w:t>
      </w:r>
      <w:r w:rsidR="00564402">
        <w:t xml:space="preserve">Pařížské univerzity jako byl Johannes Blund a </w:t>
      </w:r>
      <w:r w:rsidR="00564402" w:rsidRPr="00273106">
        <w:t xml:space="preserve">William z Auvergne </w:t>
      </w:r>
      <w:r w:rsidR="08623337">
        <w:t xml:space="preserve">nebyli </w:t>
      </w:r>
      <w:r w:rsidR="00564402">
        <w:t>porretánští modernisté</w:t>
      </w:r>
      <w:r w:rsidR="00E60FFA">
        <w:t xml:space="preserve"> ze škol</w:t>
      </w:r>
      <w:r w:rsidR="00387121">
        <w:t>y</w:t>
      </w:r>
      <w:r w:rsidR="00E60FFA">
        <w:t xml:space="preserve"> neoplatonika Anselma z Canterbury</w:t>
      </w:r>
      <w:r w:rsidR="00564402">
        <w:t>, al</w:t>
      </w:r>
      <w:r w:rsidR="004A6C42">
        <w:t>e aristotelikové typu Boethia</w:t>
      </w:r>
      <w:r w:rsidR="009B2764">
        <w:t xml:space="preserve"> a Abelarda</w:t>
      </w:r>
      <w:r w:rsidR="004A6C42">
        <w:t xml:space="preserve">. </w:t>
      </w:r>
      <w:r w:rsidR="0888288F">
        <w:t xml:space="preserve">Tito myslitelé </w:t>
      </w:r>
      <w:r w:rsidR="082A2A1B">
        <w:t xml:space="preserve">uznali autentický </w:t>
      </w:r>
      <w:r w:rsidR="004A6C42">
        <w:t xml:space="preserve">aristotelismus </w:t>
      </w:r>
      <w:r w:rsidR="00564402">
        <w:t>Averroese p</w:t>
      </w:r>
      <w:r w:rsidR="080335A6">
        <w:t xml:space="preserve">oté, co jeho spisy přišly po roce </w:t>
      </w:r>
      <w:r w:rsidR="00564402">
        <w:t>1220 na latinský Západ.</w:t>
      </w:r>
    </w:p>
    <w:p w14:paraId="1AA3D86D" w14:textId="2F083B9C" w:rsidR="003B2A1A" w:rsidRPr="00555444" w:rsidRDefault="08626077" w:rsidP="00712437">
      <w:pPr>
        <w:pStyle w:val="Nadpis2"/>
      </w:pPr>
      <w:bookmarkStart w:id="27" w:name="_Toc487234291"/>
      <w:bookmarkStart w:id="28" w:name="_Toc12558298"/>
      <w:r>
        <w:rPr>
          <w:lang w:val="cs-CZ"/>
        </w:rPr>
        <w:br w:type="page"/>
      </w:r>
      <w:bookmarkStart w:id="29" w:name="_Toc160449310"/>
      <w:r w:rsidR="08D20D28">
        <w:rPr>
          <w:lang w:val="cs-CZ"/>
        </w:rPr>
        <w:lastRenderedPageBreak/>
        <w:t>1</w:t>
      </w:r>
      <w:r w:rsidR="001A10C8" w:rsidRPr="00555444">
        <w:t xml:space="preserve">.4 </w:t>
      </w:r>
      <w:r w:rsidR="004123AE">
        <w:rPr>
          <w:lang w:val="cs-CZ"/>
        </w:rPr>
        <w:t xml:space="preserve">Theorie </w:t>
      </w:r>
      <w:r w:rsidR="00DA5CF1">
        <w:t xml:space="preserve">objektivního </w:t>
      </w:r>
      <w:r w:rsidR="001A10C8" w:rsidRPr="00555444">
        <w:t>jsoucna (</w:t>
      </w:r>
      <w:r w:rsidR="001A10C8" w:rsidRPr="00555444">
        <w:rPr>
          <w:rStyle w:val="st"/>
        </w:rPr>
        <w:t>Gilbertus Porretanus</w:t>
      </w:r>
      <w:r w:rsidR="001A10C8" w:rsidRPr="00555444">
        <w:t>)</w:t>
      </w:r>
      <w:bookmarkEnd w:id="27"/>
      <w:bookmarkEnd w:id="28"/>
      <w:bookmarkEnd w:id="29"/>
    </w:p>
    <w:p w14:paraId="1AB28BA4" w14:textId="6FC4AC8E" w:rsidR="00460FC9" w:rsidRPr="00273106" w:rsidRDefault="00890968" w:rsidP="00712437">
      <w:r w:rsidRPr="00273106">
        <w:t>Nejvlivnějším žákem Anselma z Laonu byl b</w:t>
      </w:r>
      <w:r w:rsidR="00E32C0C" w:rsidRPr="00273106">
        <w:t xml:space="preserve">iskup </w:t>
      </w:r>
      <w:r w:rsidR="00E65881" w:rsidRPr="00273106">
        <w:t xml:space="preserve">Gilbert </w:t>
      </w:r>
      <w:r w:rsidR="002239AA">
        <w:t>de La Porrée</w:t>
      </w:r>
      <w:r w:rsidR="0011067D" w:rsidRPr="00273106">
        <w:t xml:space="preserve"> </w:t>
      </w:r>
      <w:r w:rsidR="0011067D" w:rsidRPr="00273106">
        <w:rPr>
          <w:rStyle w:val="Zkladntext15dkovn0pt"/>
          <w:rFonts w:ascii="Calibri" w:eastAsia="Times" w:hAnsi="Calibri" w:cs="Times New Roman"/>
          <w:b w:val="0"/>
          <w:bCs w:val="0"/>
          <w:color w:val="auto"/>
          <w:sz w:val="24"/>
          <w:lang w:val="cs-CZ"/>
        </w:rPr>
        <w:t>(</w:t>
      </w:r>
      <w:r w:rsidR="0011067D" w:rsidRPr="00273106">
        <w:rPr>
          <w:rStyle w:val="st"/>
        </w:rPr>
        <w:t>Gilbertus Porretanus</w:t>
      </w:r>
      <w:r w:rsidR="006D1584">
        <w:rPr>
          <w:rStyle w:val="st"/>
        </w:rPr>
        <w:fldChar w:fldCharType="begin"/>
      </w:r>
      <w:r w:rsidR="006D1584">
        <w:instrText xml:space="preserve"> XE "</w:instrText>
      </w:r>
      <w:r w:rsidR="006D1584" w:rsidRPr="00EC7CE8">
        <w:rPr>
          <w:rStyle w:val="st"/>
        </w:rPr>
        <w:instrText>Gilbertus Porretanus:</w:instrText>
      </w:r>
      <w:r w:rsidR="006D1584" w:rsidRPr="00EC7CE8">
        <w:instrText xml:space="preserve">viz </w:instrText>
      </w:r>
      <w:r w:rsidR="006D1584" w:rsidRPr="006D1584">
        <w:rPr>
          <w:i/>
        </w:rPr>
        <w:instrText>Index locorum</w:instrText>
      </w:r>
      <w:r w:rsidR="006D1584">
        <w:instrText xml:space="preserve">" </w:instrText>
      </w:r>
      <w:r w:rsidR="006D1584">
        <w:rPr>
          <w:rStyle w:val="st"/>
        </w:rPr>
        <w:fldChar w:fldCharType="end"/>
      </w:r>
      <w:r w:rsidR="00632FC7" w:rsidRPr="00273106">
        <w:rPr>
          <w:rStyle w:val="st"/>
        </w:rPr>
        <w:t>, †1154</w:t>
      </w:r>
      <w:r w:rsidR="0011067D" w:rsidRPr="00273106">
        <w:rPr>
          <w:rStyle w:val="Zkladntext15dkovn0pt"/>
          <w:rFonts w:ascii="Calibri" w:eastAsia="Times" w:hAnsi="Calibri" w:cs="Times New Roman"/>
          <w:b w:val="0"/>
          <w:bCs w:val="0"/>
          <w:color w:val="auto"/>
          <w:sz w:val="24"/>
          <w:lang w:val="cs-CZ"/>
        </w:rPr>
        <w:t>)</w:t>
      </w:r>
      <w:r w:rsidRPr="00273106">
        <w:rPr>
          <w:rStyle w:val="Zkladntext15dkovn0pt"/>
          <w:rFonts w:ascii="Calibri" w:eastAsia="Times" w:hAnsi="Calibri" w:cs="Times New Roman"/>
          <w:b w:val="0"/>
          <w:bCs w:val="0"/>
          <w:color w:val="auto"/>
          <w:sz w:val="24"/>
          <w:lang w:val="cs-CZ"/>
        </w:rPr>
        <w:t>, jehož žáci veheme</w:t>
      </w:r>
      <w:r w:rsidR="00681F59" w:rsidRPr="00273106">
        <w:rPr>
          <w:rStyle w:val="Zkladntext15dkovn0pt"/>
          <w:rFonts w:ascii="Calibri" w:eastAsia="Times" w:hAnsi="Calibri" w:cs="Times New Roman"/>
          <w:b w:val="0"/>
          <w:bCs w:val="0"/>
          <w:color w:val="auto"/>
          <w:sz w:val="24"/>
          <w:lang w:val="cs-CZ"/>
        </w:rPr>
        <w:t>n</w:t>
      </w:r>
      <w:r w:rsidRPr="00273106">
        <w:rPr>
          <w:rStyle w:val="Zkladntext15dkovn0pt"/>
          <w:rFonts w:ascii="Calibri" w:eastAsia="Times" w:hAnsi="Calibri" w:cs="Times New Roman"/>
          <w:b w:val="0"/>
          <w:bCs w:val="0"/>
          <w:color w:val="auto"/>
          <w:sz w:val="24"/>
          <w:lang w:val="cs-CZ"/>
        </w:rPr>
        <w:t xml:space="preserve">tně napadli Abelarda. </w:t>
      </w:r>
      <w:r w:rsidR="00EF7915">
        <w:rPr>
          <w:rStyle w:val="Zkladntext15dkovn0pt"/>
          <w:rFonts w:ascii="Calibri" w:eastAsia="Times" w:hAnsi="Calibri" w:cs="Times New Roman"/>
          <w:b w:val="0"/>
          <w:bCs w:val="0"/>
          <w:color w:val="auto"/>
          <w:sz w:val="24"/>
          <w:lang w:val="cs-CZ"/>
        </w:rPr>
        <w:t xml:space="preserve">Vraťme ke klíčovému tématu tohoto sporu, tedy k </w:t>
      </w:r>
      <w:r w:rsidR="00EF7915">
        <w:rPr>
          <w:lang w:eastAsia="en-US"/>
        </w:rPr>
        <w:t>distinkci</w:t>
      </w:r>
      <w:r w:rsidR="087656C5">
        <w:rPr>
          <w:lang w:eastAsia="en-US"/>
        </w:rPr>
        <w:t xml:space="preserve"> mezi </w:t>
      </w:r>
      <w:r w:rsidR="00EF7915" w:rsidRPr="00273106">
        <w:rPr>
          <w:i/>
        </w:rPr>
        <w:t>totum universale</w:t>
      </w:r>
      <w:r w:rsidR="00345D28">
        <w:rPr>
          <w:i/>
        </w:rPr>
        <w:fldChar w:fldCharType="begin"/>
      </w:r>
      <w:r w:rsidR="00345D28">
        <w:instrText xml:space="preserve"> XE "</w:instrText>
      </w:r>
      <w:r w:rsidR="00345D28" w:rsidRPr="00F92D1B">
        <w:rPr>
          <w:i/>
        </w:rPr>
        <w:instrText>totum universale</w:instrText>
      </w:r>
      <w:r w:rsidR="00345D28">
        <w:instrText xml:space="preserve">" </w:instrText>
      </w:r>
      <w:r w:rsidR="00345D28">
        <w:rPr>
          <w:i/>
        </w:rPr>
        <w:fldChar w:fldCharType="end"/>
      </w:r>
      <w:r w:rsidR="087656C5">
        <w:t xml:space="preserve"> a </w:t>
      </w:r>
      <w:r w:rsidR="00EF7915" w:rsidRPr="00273106">
        <w:rPr>
          <w:i/>
        </w:rPr>
        <w:t>totum integrum</w:t>
      </w:r>
      <w:r w:rsidR="00345D28">
        <w:rPr>
          <w:i/>
        </w:rPr>
        <w:fldChar w:fldCharType="begin"/>
      </w:r>
      <w:r w:rsidR="00345D28">
        <w:instrText xml:space="preserve"> XE "</w:instrText>
      </w:r>
      <w:r w:rsidR="00345D28" w:rsidRPr="00A61533">
        <w:rPr>
          <w:i/>
        </w:rPr>
        <w:instrText>totum integrum</w:instrText>
      </w:r>
      <w:r w:rsidR="00345D28">
        <w:instrText xml:space="preserve">" </w:instrText>
      </w:r>
      <w:r w:rsidR="00345D28">
        <w:rPr>
          <w:i/>
        </w:rPr>
        <w:fldChar w:fldCharType="end"/>
      </w:r>
      <w:r w:rsidR="081337D5">
        <w:t xml:space="preserve"> (kap. 3.1</w:t>
      </w:r>
      <w:r w:rsidR="00EF7915">
        <w:t xml:space="preserve">). </w:t>
      </w:r>
      <w:r w:rsidR="008E6389" w:rsidRPr="00273106">
        <w:rPr>
          <w:rStyle w:val="Zkladntext15dkovn0pt"/>
          <w:rFonts w:ascii="Calibri" w:eastAsia="Times" w:hAnsi="Calibri" w:cs="Times New Roman"/>
          <w:b w:val="0"/>
          <w:bCs w:val="0"/>
          <w:color w:val="auto"/>
          <w:sz w:val="24"/>
          <w:lang w:val="cs-CZ"/>
        </w:rPr>
        <w:t>S</w:t>
      </w:r>
      <w:r w:rsidRPr="00273106">
        <w:rPr>
          <w:rStyle w:val="Zkladntext15dkovn0pt"/>
          <w:rFonts w:ascii="Calibri" w:eastAsia="Times" w:hAnsi="Calibri" w:cs="Times New Roman"/>
          <w:b w:val="0"/>
          <w:bCs w:val="0"/>
          <w:color w:val="auto"/>
          <w:sz w:val="24"/>
          <w:lang w:val="cs-CZ"/>
        </w:rPr>
        <w:t xml:space="preserve">por </w:t>
      </w:r>
      <w:r w:rsidR="008E6389" w:rsidRPr="00273106">
        <w:rPr>
          <w:rStyle w:val="Zkladntext15dkovn0pt"/>
          <w:rFonts w:ascii="Calibri" w:eastAsia="Times" w:hAnsi="Calibri" w:cs="Times New Roman"/>
          <w:b w:val="0"/>
          <w:bCs w:val="0"/>
          <w:color w:val="auto"/>
          <w:sz w:val="24"/>
          <w:lang w:val="cs-CZ"/>
        </w:rPr>
        <w:t>Abelarda</w:t>
      </w:r>
      <w:r w:rsidR="00157572" w:rsidRPr="00273106">
        <w:rPr>
          <w:rStyle w:val="Zkladntext15dkovn0pt"/>
          <w:rFonts w:ascii="Calibri" w:eastAsia="Times" w:hAnsi="Calibri" w:cs="Times New Roman"/>
          <w:b w:val="0"/>
          <w:bCs w:val="0"/>
          <w:color w:val="auto"/>
          <w:sz w:val="24"/>
          <w:lang w:val="cs-CZ"/>
        </w:rPr>
        <w:t xml:space="preserve">, Jana </w:t>
      </w:r>
      <w:r w:rsidR="00ED27A4">
        <w:rPr>
          <w:rStyle w:val="Zkladntext15dkovn0pt"/>
          <w:rFonts w:ascii="Calibri" w:eastAsia="Times" w:hAnsi="Calibri" w:cs="Times New Roman"/>
          <w:b w:val="0"/>
          <w:bCs w:val="0"/>
          <w:color w:val="auto"/>
          <w:sz w:val="24"/>
          <w:lang w:val="cs-CZ"/>
        </w:rPr>
        <w:t xml:space="preserve">ze </w:t>
      </w:r>
      <w:r w:rsidR="00157572" w:rsidRPr="00273106">
        <w:rPr>
          <w:rStyle w:val="Zkladntext15dkovn0pt"/>
          <w:rFonts w:ascii="Calibri" w:eastAsia="Times" w:hAnsi="Calibri" w:cs="Times New Roman"/>
          <w:b w:val="0"/>
          <w:bCs w:val="0"/>
          <w:color w:val="auto"/>
          <w:sz w:val="24"/>
          <w:lang w:val="cs-CZ"/>
        </w:rPr>
        <w:t xml:space="preserve">Salisbury a dalších aristoteliků </w:t>
      </w:r>
      <w:r w:rsidR="00C86E8C" w:rsidRPr="00273106">
        <w:rPr>
          <w:rStyle w:val="Zkladntext15dkovn0pt"/>
          <w:rFonts w:ascii="Calibri" w:eastAsia="Times" w:hAnsi="Calibri" w:cs="Times New Roman"/>
          <w:b w:val="0"/>
          <w:bCs w:val="0"/>
          <w:color w:val="auto"/>
          <w:sz w:val="24"/>
          <w:lang w:val="cs-CZ"/>
        </w:rPr>
        <w:t xml:space="preserve">s </w:t>
      </w:r>
      <w:r w:rsidR="00B5517D">
        <w:rPr>
          <w:rStyle w:val="Zkladntext15dkovn0pt"/>
          <w:rFonts w:ascii="Calibri" w:eastAsia="Times" w:hAnsi="Calibri" w:cs="Times New Roman"/>
          <w:b w:val="0"/>
          <w:bCs w:val="0"/>
          <w:color w:val="auto"/>
          <w:sz w:val="24"/>
          <w:lang w:val="cs-CZ"/>
        </w:rPr>
        <w:t>neoplato</w:t>
      </w:r>
      <w:r w:rsidR="00C86E8C">
        <w:rPr>
          <w:rStyle w:val="Zkladntext15dkovn0pt"/>
          <w:rFonts w:ascii="Calibri" w:eastAsia="Times" w:hAnsi="Calibri" w:cs="Times New Roman"/>
          <w:b w:val="0"/>
          <w:bCs w:val="0"/>
          <w:color w:val="auto"/>
          <w:sz w:val="24"/>
          <w:lang w:val="cs-CZ"/>
        </w:rPr>
        <w:t xml:space="preserve">nskými </w:t>
      </w:r>
      <w:r w:rsidR="00C86E8C" w:rsidRPr="00273106">
        <w:rPr>
          <w:rStyle w:val="Zkladntext15dkovn0pt"/>
          <w:rFonts w:ascii="Calibri" w:eastAsia="Times" w:hAnsi="Calibri" w:cs="Times New Roman"/>
          <w:b w:val="0"/>
          <w:bCs w:val="0"/>
          <w:color w:val="auto"/>
          <w:sz w:val="24"/>
          <w:lang w:val="cs-CZ"/>
        </w:rPr>
        <w:t xml:space="preserve">porretány </w:t>
      </w:r>
      <w:r w:rsidR="0082612C">
        <w:rPr>
          <w:rStyle w:val="Zkladntext15dkovn0pt"/>
          <w:rFonts w:ascii="Calibri" w:eastAsia="Times" w:hAnsi="Calibri" w:cs="Times New Roman"/>
          <w:b w:val="0"/>
          <w:bCs w:val="0"/>
          <w:color w:val="auto"/>
          <w:sz w:val="24"/>
          <w:lang w:val="cs-CZ"/>
        </w:rPr>
        <w:t>o statut nedělitelné substance</w:t>
      </w:r>
      <w:r w:rsidR="00A70FA4">
        <w:rPr>
          <w:rStyle w:val="Zkladntext15dkovn0pt"/>
          <w:rFonts w:ascii="Calibri" w:eastAsia="Times" w:hAnsi="Calibri" w:cs="Times New Roman"/>
          <w:b w:val="0"/>
          <w:bCs w:val="0"/>
          <w:color w:val="auto"/>
          <w:sz w:val="24"/>
          <w:lang w:val="cs-CZ"/>
        </w:rPr>
        <w:fldChar w:fldCharType="begin"/>
      </w:r>
      <w:r w:rsidR="00A70FA4">
        <w:instrText xml:space="preserve"> XE "</w:instrText>
      </w:r>
      <w:r w:rsidR="00A70FA4" w:rsidRPr="00DE2A32">
        <w:instrText>substance</w:instrText>
      </w:r>
      <w:r w:rsidR="00ED27A4">
        <w:instrText>:nedělitelná</w:instrText>
      </w:r>
      <w:r w:rsidR="00A70FA4">
        <w:instrText xml:space="preserve">" </w:instrText>
      </w:r>
      <w:r w:rsidR="00A70FA4">
        <w:rPr>
          <w:rStyle w:val="Zkladntext15dkovn0pt"/>
          <w:rFonts w:ascii="Calibri" w:eastAsia="Times" w:hAnsi="Calibri" w:cs="Times New Roman"/>
          <w:b w:val="0"/>
          <w:bCs w:val="0"/>
          <w:color w:val="auto"/>
          <w:sz w:val="24"/>
          <w:lang w:val="cs-CZ"/>
        </w:rPr>
        <w:fldChar w:fldCharType="end"/>
      </w:r>
      <w:r w:rsidR="0082612C">
        <w:rPr>
          <w:rStyle w:val="Zkladntext15dkovn0pt"/>
          <w:rFonts w:ascii="Calibri" w:eastAsia="Times" w:hAnsi="Calibri" w:cs="Times New Roman"/>
          <w:b w:val="0"/>
          <w:bCs w:val="0"/>
          <w:color w:val="auto"/>
          <w:sz w:val="24"/>
          <w:lang w:val="cs-CZ"/>
        </w:rPr>
        <w:t xml:space="preserve"> </w:t>
      </w:r>
      <w:r w:rsidRPr="00273106">
        <w:rPr>
          <w:rStyle w:val="Zkladntext15dkovn0pt"/>
          <w:rFonts w:ascii="Calibri" w:eastAsia="Times" w:hAnsi="Calibri" w:cs="Times New Roman"/>
          <w:b w:val="0"/>
          <w:bCs w:val="0"/>
          <w:color w:val="auto"/>
          <w:sz w:val="24"/>
          <w:lang w:val="cs-CZ"/>
        </w:rPr>
        <w:t xml:space="preserve">tvořil </w:t>
      </w:r>
      <w:r w:rsidR="0017422D">
        <w:rPr>
          <w:rStyle w:val="Zkladntext15dkovn0pt"/>
          <w:rFonts w:ascii="Calibri" w:eastAsia="Times" w:hAnsi="Calibri" w:cs="Times New Roman"/>
          <w:b w:val="0"/>
          <w:bCs w:val="0"/>
          <w:color w:val="auto"/>
          <w:sz w:val="24"/>
          <w:lang w:val="cs-CZ"/>
        </w:rPr>
        <w:t xml:space="preserve">jádro </w:t>
      </w:r>
      <w:r w:rsidRPr="00273106">
        <w:rPr>
          <w:rStyle w:val="Zkladntext15dkovn0pt"/>
          <w:rFonts w:ascii="Calibri" w:eastAsia="Times" w:hAnsi="Calibri" w:cs="Times New Roman"/>
          <w:b w:val="0"/>
          <w:bCs w:val="0"/>
          <w:color w:val="auto"/>
          <w:sz w:val="24"/>
          <w:lang w:val="cs-CZ"/>
        </w:rPr>
        <w:t xml:space="preserve">gigantomachie </w:t>
      </w:r>
      <w:r w:rsidR="0017422D">
        <w:rPr>
          <w:rStyle w:val="Zkladntext15dkovn0pt"/>
          <w:rFonts w:ascii="Calibri" w:eastAsia="Times" w:hAnsi="Calibri" w:cs="Times New Roman"/>
          <w:b w:val="0"/>
          <w:bCs w:val="0"/>
          <w:color w:val="auto"/>
          <w:sz w:val="24"/>
          <w:lang w:val="cs-CZ"/>
        </w:rPr>
        <w:t xml:space="preserve">ve </w:t>
      </w:r>
      <w:r w:rsidR="00D12486">
        <w:rPr>
          <w:rStyle w:val="Zkladntext15dkovn0pt"/>
          <w:rFonts w:ascii="Calibri" w:eastAsia="Times" w:hAnsi="Calibri" w:cs="Times New Roman"/>
          <w:b w:val="0"/>
          <w:bCs w:val="0"/>
          <w:color w:val="auto"/>
          <w:sz w:val="24"/>
          <w:lang w:val="cs-CZ"/>
        </w:rPr>
        <w:t xml:space="preserve">druhé polovině </w:t>
      </w:r>
      <w:r w:rsidR="00591B4E" w:rsidRPr="00273106">
        <w:rPr>
          <w:rStyle w:val="Zkladntext15dkovn0pt"/>
          <w:rFonts w:ascii="Calibri" w:eastAsia="Times" w:hAnsi="Calibri" w:cs="Times New Roman"/>
          <w:b w:val="0"/>
          <w:bCs w:val="0"/>
          <w:color w:val="auto"/>
          <w:sz w:val="24"/>
          <w:lang w:val="cs-CZ"/>
        </w:rPr>
        <w:t>12. století</w:t>
      </w:r>
      <w:r w:rsidR="00B234E9">
        <w:rPr>
          <w:rStyle w:val="Zkladntext15dkovn0pt"/>
          <w:rFonts w:ascii="Calibri" w:eastAsia="Times" w:hAnsi="Calibri" w:cs="Times New Roman"/>
          <w:b w:val="0"/>
          <w:bCs w:val="0"/>
          <w:color w:val="auto"/>
          <w:sz w:val="24"/>
          <w:lang w:val="cs-CZ"/>
        </w:rPr>
        <w:t xml:space="preserve">. </w:t>
      </w:r>
      <w:r w:rsidR="0017422D">
        <w:rPr>
          <w:rStyle w:val="Zkladntext15dkovn0pt"/>
          <w:rFonts w:ascii="Calibri" w:eastAsia="Times" w:hAnsi="Calibri" w:cs="Times New Roman"/>
          <w:b w:val="0"/>
          <w:bCs w:val="0"/>
          <w:color w:val="auto"/>
          <w:sz w:val="24"/>
          <w:lang w:val="cs-CZ"/>
        </w:rPr>
        <w:t xml:space="preserve">Klíčovým místem </w:t>
      </w:r>
      <w:r w:rsidR="00B234E9">
        <w:rPr>
          <w:rStyle w:val="Zkladntext15dkovn0pt"/>
          <w:rFonts w:ascii="Calibri" w:eastAsia="Times" w:hAnsi="Calibri" w:cs="Times New Roman"/>
          <w:b w:val="0"/>
          <w:bCs w:val="0"/>
          <w:color w:val="auto"/>
          <w:sz w:val="24"/>
          <w:lang w:val="cs-CZ"/>
        </w:rPr>
        <w:t xml:space="preserve">sporu byla </w:t>
      </w:r>
      <w:r w:rsidRPr="00273106">
        <w:rPr>
          <w:rStyle w:val="Zkladntext15dkovn0pt"/>
          <w:rFonts w:ascii="Calibri" w:eastAsia="Times" w:hAnsi="Calibri" w:cs="Times New Roman"/>
          <w:b w:val="0"/>
          <w:bCs w:val="0"/>
          <w:color w:val="auto"/>
          <w:sz w:val="24"/>
          <w:lang w:val="cs-CZ"/>
        </w:rPr>
        <w:t xml:space="preserve">exegeze </w:t>
      </w:r>
      <w:r w:rsidR="0019575C" w:rsidRPr="00273106">
        <w:t xml:space="preserve">Boethiova traktátu </w:t>
      </w:r>
      <w:r w:rsidR="0019575C" w:rsidRPr="00273106">
        <w:rPr>
          <w:i/>
        </w:rPr>
        <w:t>De hebdomadibus</w:t>
      </w:r>
      <w:r w:rsidR="00777330" w:rsidRPr="00273106">
        <w:t xml:space="preserve">. </w:t>
      </w:r>
      <w:r w:rsidR="08B34612">
        <w:t>Boethius aristotelsky tvrdí, že p</w:t>
      </w:r>
      <w:r w:rsidR="00B94E9C">
        <w:t xml:space="preserve">articipace je možná jen na úrovni </w:t>
      </w:r>
      <w:r w:rsidR="00B94E9C" w:rsidRPr="00273106">
        <w:t xml:space="preserve">bytí </w:t>
      </w:r>
      <w:r w:rsidR="00B94E9C">
        <w:t xml:space="preserve">substance </w:t>
      </w:r>
      <w:r w:rsidR="00B94E9C" w:rsidRPr="00273106">
        <w:t>v rámci obecniny</w:t>
      </w:r>
      <w:r w:rsidR="08B34612">
        <w:t xml:space="preserve">, tedy </w:t>
      </w:r>
      <w:r w:rsidR="00D328C1" w:rsidRPr="00273106">
        <w:t xml:space="preserve">v rámci </w:t>
      </w:r>
      <w:r w:rsidR="00D328C1" w:rsidRPr="00273106">
        <w:rPr>
          <w:i/>
        </w:rPr>
        <w:t>ens commune</w:t>
      </w:r>
      <w:r w:rsidR="00D328C1" w:rsidRPr="00273106">
        <w:t xml:space="preserve"> </w:t>
      </w:r>
      <w:r w:rsidR="00796330" w:rsidRPr="00273106">
        <w:t xml:space="preserve">na úrovni </w:t>
      </w:r>
      <w:r w:rsidR="00C97508" w:rsidRPr="00273106">
        <w:t>druhé substance</w:t>
      </w:r>
      <w:r w:rsidR="0019575C" w:rsidRPr="00273106">
        <w:t>.</w:t>
      </w:r>
      <w:r w:rsidR="0019575C" w:rsidRPr="00273106">
        <w:rPr>
          <w:rStyle w:val="Zkladntext15dkovn0pt"/>
          <w:rFonts w:ascii="Calibri" w:eastAsia="Times" w:hAnsi="Calibri" w:cs="Times New Roman"/>
          <w:b w:val="0"/>
          <w:bCs w:val="0"/>
          <w:color w:val="auto"/>
          <w:sz w:val="24"/>
          <w:lang w:val="cs-CZ"/>
        </w:rPr>
        <w:t xml:space="preserve"> </w:t>
      </w:r>
      <w:r w:rsidR="08E049AD">
        <w:t>A</w:t>
      </w:r>
      <w:r w:rsidR="08E049AD" w:rsidRPr="00273106">
        <w:t>ktuální určení subsistence</w:t>
      </w:r>
      <w:r w:rsidR="08E049AD">
        <w:fldChar w:fldCharType="begin"/>
      </w:r>
      <w:r w:rsidR="08E049AD">
        <w:instrText xml:space="preserve"> XE "</w:instrText>
      </w:r>
      <w:r w:rsidR="08E049AD" w:rsidRPr="001D1E42">
        <w:instrText>subsistence</w:instrText>
      </w:r>
      <w:r w:rsidR="08E049AD">
        <w:instrText xml:space="preserve">:porretáni" </w:instrText>
      </w:r>
      <w:r w:rsidR="08E049AD">
        <w:fldChar w:fldCharType="end"/>
      </w:r>
      <w:r w:rsidR="08E049AD" w:rsidRPr="00273106">
        <w:t xml:space="preserve"> je dáno v modu absolutní priority první substance</w:t>
      </w:r>
      <w:r w:rsidR="08E049AD">
        <w:t xml:space="preserve"> </w:t>
      </w:r>
      <w:r w:rsidR="08E049AD" w:rsidRPr="00273106">
        <w:t>(</w:t>
      </w:r>
      <w:r w:rsidR="08E049AD" w:rsidRPr="00273106">
        <w:rPr>
          <w:i/>
        </w:rPr>
        <w:t>Cat</w:t>
      </w:r>
      <w:r w:rsidR="08E049AD" w:rsidRPr="00273106">
        <w:t>. 2a11</w:t>
      </w:r>
      <w:r w:rsidR="08E049AD">
        <w:fldChar w:fldCharType="begin"/>
      </w:r>
      <w:r w:rsidR="08E049AD">
        <w:instrText xml:space="preserve"> XE "Aristoteles:</w:instrText>
      </w:r>
      <w:r w:rsidR="08E049AD" w:rsidRPr="00262763">
        <w:rPr>
          <w:i/>
        </w:rPr>
        <w:instrText>Cat</w:instrText>
      </w:r>
      <w:r w:rsidR="08E049AD" w:rsidRPr="00262763">
        <w:instrText>. 2a11</w:instrText>
      </w:r>
      <w:r w:rsidR="08E049AD">
        <w:instrText xml:space="preserve">" </w:instrText>
      </w:r>
      <w:r w:rsidR="08E049AD">
        <w:fldChar w:fldCharType="end"/>
      </w:r>
      <w:r w:rsidR="08E049AD" w:rsidRPr="00273106">
        <w:t xml:space="preserve">). Uvedená pasáž </w:t>
      </w:r>
      <w:r w:rsidR="08E049AD" w:rsidRPr="004D0817">
        <w:rPr>
          <w:i/>
        </w:rPr>
        <w:t>Kategorií</w:t>
      </w:r>
      <w:r w:rsidR="08E049AD">
        <w:t xml:space="preserve"> se vztahuje</w:t>
      </w:r>
      <w:r w:rsidR="08E049AD" w:rsidRPr="00273106">
        <w:t xml:space="preserve"> k hyparchickému pojetí substance, kdy první substance existuje v</w:t>
      </w:r>
      <w:r w:rsidR="08E049AD">
        <w:t>e</w:t>
      </w:r>
      <w:r w:rsidR="08E049AD" w:rsidRPr="00273106">
        <w:t xml:space="preserve"> vlastním modu subsistence daném </w:t>
      </w:r>
      <w:r w:rsidR="08E049AD" w:rsidRPr="00273106">
        <w:rPr>
          <w:i/>
        </w:rPr>
        <w:t>simplex</w:t>
      </w:r>
      <w:r w:rsidR="08E049AD" w:rsidRPr="00273106">
        <w:t xml:space="preserve"> a </w:t>
      </w:r>
      <w:r w:rsidR="08E049AD" w:rsidRPr="00273106">
        <w:rPr>
          <w:i/>
        </w:rPr>
        <w:t>absolute</w:t>
      </w:r>
      <w:r w:rsidR="08E049AD" w:rsidRPr="00273106">
        <w:t xml:space="preserve"> (</w:t>
      </w:r>
      <w:r w:rsidR="084E7952">
        <w:t>kap. 1.3</w:t>
      </w:r>
      <w:r w:rsidR="08E049AD" w:rsidRPr="00273106">
        <w:t>).</w:t>
      </w:r>
      <w:r w:rsidR="08E049AD">
        <w:t xml:space="preserve"> </w:t>
      </w:r>
      <w:r w:rsidR="084152EB" w:rsidRPr="00273106">
        <w:t>Boethius</w:t>
      </w:r>
      <w:r w:rsidR="084152EB">
        <w:fldChar w:fldCharType="begin"/>
      </w:r>
      <w:r w:rsidR="084152EB">
        <w:instrText xml:space="preserve"> XE "</w:instrText>
      </w:r>
      <w:r w:rsidR="084152EB" w:rsidRPr="00521677">
        <w:rPr>
          <w:lang w:eastAsia="en-US"/>
        </w:rPr>
        <w:instrText>Boethius, Anicius</w:instrText>
      </w:r>
      <w:r w:rsidR="084152EB">
        <w:instrText xml:space="preserve">" </w:instrText>
      </w:r>
      <w:r w:rsidR="084152EB">
        <w:fldChar w:fldCharType="end"/>
      </w:r>
      <w:r w:rsidR="084152EB" w:rsidRPr="00273106">
        <w:t xml:space="preserve"> říká v části zvané </w:t>
      </w:r>
      <w:r w:rsidR="084152EB" w:rsidRPr="00273106">
        <w:rPr>
          <w:i/>
          <w:color w:val="000000"/>
        </w:rPr>
        <w:t>Tertia</w:t>
      </w:r>
      <w:r w:rsidR="084152EB" w:rsidRPr="00273106">
        <w:rPr>
          <w:color w:val="000000"/>
        </w:rPr>
        <w:t xml:space="preserve"> </w:t>
      </w:r>
      <w:r w:rsidR="084152EB" w:rsidRPr="00273106">
        <w:rPr>
          <w:i/>
          <w:color w:val="000000"/>
        </w:rPr>
        <w:t>regula</w:t>
      </w:r>
      <w:r w:rsidR="084152EB" w:rsidRPr="00273106">
        <w:t xml:space="preserve">, že </w:t>
      </w:r>
      <w:r w:rsidR="00EE6743">
        <w:t xml:space="preserve">reálně </w:t>
      </w:r>
      <w:r w:rsidR="084152EB" w:rsidRPr="00273106">
        <w:t>existující jednotlivina není schopna participace na jiné věci</w:t>
      </w:r>
      <w:r w:rsidR="084152EB">
        <w:t xml:space="preserve"> (</w:t>
      </w:r>
      <w:r w:rsidR="084152EB" w:rsidRPr="00B94E9C">
        <w:rPr>
          <w:i/>
          <w:color w:val="000000"/>
        </w:rPr>
        <w:t>i</w:t>
      </w:r>
      <w:r w:rsidR="084152EB">
        <w:rPr>
          <w:i/>
          <w:color w:val="000000"/>
        </w:rPr>
        <w:t xml:space="preserve">psum esse </w:t>
      </w:r>
      <w:r w:rsidR="084152EB" w:rsidRPr="00B94E9C">
        <w:rPr>
          <w:i/>
          <w:color w:val="000000"/>
        </w:rPr>
        <w:t>nullo modo aliquo participat</w:t>
      </w:r>
      <w:r w:rsidR="084152EB">
        <w:t>)</w:t>
      </w:r>
      <w:r w:rsidR="084152EB" w:rsidRPr="00273106">
        <w:t>.</w:t>
      </w:r>
      <w:r w:rsidR="084152EB" w:rsidRPr="00273106">
        <w:rPr>
          <w:rStyle w:val="Znakapoznpodarou"/>
        </w:rPr>
        <w:footnoteReference w:id="45"/>
      </w:r>
      <w:r w:rsidR="084152EB" w:rsidRPr="00273106">
        <w:t xml:space="preserve"> </w:t>
      </w:r>
      <w:r w:rsidR="0019575C" w:rsidRPr="00273106">
        <w:rPr>
          <w:color w:val="000000"/>
        </w:rPr>
        <w:t xml:space="preserve">Gilbertův komentář k </w:t>
      </w:r>
      <w:r w:rsidR="0019575C" w:rsidRPr="00273106">
        <w:rPr>
          <w:i/>
          <w:color w:val="000000"/>
        </w:rPr>
        <w:t>De hebdom</w:t>
      </w:r>
      <w:r w:rsidR="00A040DB" w:rsidRPr="00273106">
        <w:rPr>
          <w:i/>
          <w:color w:val="000000"/>
        </w:rPr>
        <w:t>adibus</w:t>
      </w:r>
      <w:r w:rsidR="00A040DB" w:rsidRPr="00273106">
        <w:rPr>
          <w:color w:val="000000"/>
        </w:rPr>
        <w:t xml:space="preserve"> </w:t>
      </w:r>
      <w:r w:rsidR="0019575C" w:rsidRPr="00273106">
        <w:rPr>
          <w:color w:val="000000"/>
        </w:rPr>
        <w:t xml:space="preserve">dává </w:t>
      </w:r>
      <w:r w:rsidR="00174EED" w:rsidRPr="00EF6C23">
        <w:rPr>
          <w:i/>
          <w:color w:val="000000"/>
        </w:rPr>
        <w:t>Třetí reguli</w:t>
      </w:r>
      <w:r w:rsidR="00174EED">
        <w:rPr>
          <w:color w:val="000000"/>
        </w:rPr>
        <w:t xml:space="preserve"> </w:t>
      </w:r>
      <w:r w:rsidR="009874E5" w:rsidRPr="00273106">
        <w:rPr>
          <w:color w:val="000000"/>
        </w:rPr>
        <w:t>nový význam</w:t>
      </w:r>
      <w:r w:rsidR="008202EA" w:rsidRPr="00273106">
        <w:rPr>
          <w:color w:val="000000"/>
        </w:rPr>
        <w:t>.</w:t>
      </w:r>
      <w:r w:rsidR="00DF077B" w:rsidRPr="00273106">
        <w:t xml:space="preserve"> </w:t>
      </w:r>
      <w:r w:rsidR="00F10346" w:rsidRPr="00273106">
        <w:t>Citá</w:t>
      </w:r>
      <w:r w:rsidR="00145FD1" w:rsidRPr="00273106">
        <w:t>t</w:t>
      </w:r>
      <w:r w:rsidR="00F10346" w:rsidRPr="00273106">
        <w:t xml:space="preserve"> ukazuje </w:t>
      </w:r>
      <w:r w:rsidR="08B34612">
        <w:t xml:space="preserve">sofistickou </w:t>
      </w:r>
      <w:r w:rsidR="00F10346" w:rsidRPr="00273106">
        <w:t xml:space="preserve">záměnu </w:t>
      </w:r>
      <w:r w:rsidR="00A327DD">
        <w:t xml:space="preserve">hyparchické </w:t>
      </w:r>
      <w:r w:rsidR="00F10346" w:rsidRPr="00273106">
        <w:t xml:space="preserve">substance za její </w:t>
      </w:r>
      <w:r w:rsidR="001A702B" w:rsidRPr="00273106">
        <w:t>nově určenou subsistenci</w:t>
      </w:r>
      <w:r w:rsidR="00940182">
        <w:t xml:space="preserve"> a </w:t>
      </w:r>
      <w:r w:rsidR="00FF0CEC">
        <w:t>uvád</w:t>
      </w:r>
      <w:r w:rsidR="00940182">
        <w:t xml:space="preserve">í na svět </w:t>
      </w:r>
      <w:r w:rsidR="006F10E5">
        <w:t>novou verzi jsoucna třetího druhu</w:t>
      </w:r>
      <w:r w:rsidR="002B3703" w:rsidRPr="00273106">
        <w:t>.</w:t>
      </w:r>
    </w:p>
    <w:p w14:paraId="4EA3D557" w14:textId="2010AEA2" w:rsidR="00460FC9" w:rsidRPr="00273106" w:rsidRDefault="00460FC9" w:rsidP="00712437">
      <w:pPr>
        <w:pStyle w:val="Citace"/>
        <w:rPr>
          <w:noProof/>
          <w:lang w:val="cs-CZ"/>
        </w:rPr>
      </w:pPr>
      <w:r w:rsidRPr="00273106">
        <w:rPr>
          <w:noProof/>
          <w:lang w:val="cs-CZ"/>
        </w:rPr>
        <w:t xml:space="preserve">„Jsoucno je </w:t>
      </w:r>
      <w:r w:rsidR="008C3707">
        <w:rPr>
          <w:noProof/>
          <w:lang w:val="cs-CZ"/>
        </w:rPr>
        <w:t xml:space="preserve">samo o sobě </w:t>
      </w:r>
      <w:r w:rsidRPr="00273106">
        <w:rPr>
          <w:noProof/>
          <w:lang w:val="cs-CZ"/>
        </w:rPr>
        <w:t xml:space="preserve">subsistence, </w:t>
      </w:r>
      <w:r w:rsidR="00425500">
        <w:rPr>
          <w:noProof/>
          <w:lang w:val="cs-CZ"/>
        </w:rPr>
        <w:t xml:space="preserve">a </w:t>
      </w:r>
      <w:r w:rsidRPr="00273106">
        <w:rPr>
          <w:noProof/>
          <w:lang w:val="cs-CZ"/>
        </w:rPr>
        <w:t>nikoliv substance</w:t>
      </w:r>
      <w:r w:rsidR="005F3D8B">
        <w:rPr>
          <w:noProof/>
          <w:lang w:val="cs-CZ"/>
        </w:rPr>
        <w:t xml:space="preserve"> (</w:t>
      </w:r>
      <w:r w:rsidR="005F3D8B" w:rsidRPr="005F3D8B">
        <w:rPr>
          <w:i/>
          <w:lang w:val="cs-CZ"/>
        </w:rPr>
        <w:t>e</w:t>
      </w:r>
      <w:r w:rsidR="005F3D8B" w:rsidRPr="005F3D8B">
        <w:rPr>
          <w:i/>
        </w:rPr>
        <w:t>sse namque subsistentia est, non substantia</w:t>
      </w:r>
      <w:r w:rsidR="005F3D8B">
        <w:rPr>
          <w:noProof/>
          <w:lang w:val="cs-CZ"/>
        </w:rPr>
        <w:t>)</w:t>
      </w:r>
      <w:r w:rsidRPr="00273106">
        <w:rPr>
          <w:noProof/>
          <w:lang w:val="cs-CZ"/>
        </w:rPr>
        <w:t>. Proto platí</w:t>
      </w:r>
      <w:r w:rsidR="008C7929">
        <w:rPr>
          <w:noProof/>
          <w:lang w:val="cs-CZ"/>
        </w:rPr>
        <w:t xml:space="preserve"> z hlediska aktu </w:t>
      </w:r>
      <w:r w:rsidR="008D2317">
        <w:rPr>
          <w:noProof/>
          <w:lang w:val="cs-CZ"/>
        </w:rPr>
        <w:t xml:space="preserve">takto určené </w:t>
      </w:r>
      <w:r w:rsidR="008C7929">
        <w:rPr>
          <w:noProof/>
          <w:lang w:val="cs-CZ"/>
        </w:rPr>
        <w:t xml:space="preserve">existence </w:t>
      </w:r>
      <w:r w:rsidR="00BD161B">
        <w:rPr>
          <w:noProof/>
          <w:lang w:val="cs-CZ"/>
        </w:rPr>
        <w:t xml:space="preserve">jsoucna </w:t>
      </w:r>
      <w:r w:rsidR="008C7929">
        <w:rPr>
          <w:noProof/>
          <w:lang w:val="cs-CZ"/>
        </w:rPr>
        <w:t>(</w:t>
      </w:r>
      <w:r w:rsidR="008C7929" w:rsidRPr="00CC1109">
        <w:rPr>
          <w:i/>
          <w:noProof/>
          <w:lang w:val="cs-CZ"/>
        </w:rPr>
        <w:t>quo est</w:t>
      </w:r>
      <w:r w:rsidR="008C7929">
        <w:rPr>
          <w:noProof/>
          <w:lang w:val="cs-CZ"/>
        </w:rPr>
        <w:t>)</w:t>
      </w:r>
      <w:r w:rsidRPr="00273106">
        <w:rPr>
          <w:noProof/>
          <w:lang w:val="cs-CZ"/>
        </w:rPr>
        <w:t xml:space="preserve">, že </w:t>
      </w:r>
      <w:r w:rsidR="0091387A">
        <w:rPr>
          <w:noProof/>
          <w:lang w:val="cs-CZ"/>
        </w:rPr>
        <w:t xml:space="preserve">jsoucno jako subsistující </w:t>
      </w:r>
      <w:r w:rsidR="00CF3DD0">
        <w:rPr>
          <w:noProof/>
          <w:lang w:val="cs-CZ"/>
        </w:rPr>
        <w:t xml:space="preserve">bytí </w:t>
      </w:r>
      <w:r w:rsidRPr="00273106">
        <w:rPr>
          <w:noProof/>
          <w:lang w:val="cs-CZ"/>
        </w:rPr>
        <w:t xml:space="preserve">nemůže participovat na </w:t>
      </w:r>
      <w:r w:rsidR="0091387A">
        <w:rPr>
          <w:noProof/>
          <w:lang w:val="cs-CZ"/>
        </w:rPr>
        <w:t xml:space="preserve">něčem </w:t>
      </w:r>
      <w:r w:rsidRPr="00273106">
        <w:rPr>
          <w:noProof/>
          <w:lang w:val="cs-CZ"/>
        </w:rPr>
        <w:t xml:space="preserve">jiném. </w:t>
      </w:r>
      <w:r w:rsidR="001751D3">
        <w:rPr>
          <w:noProof/>
          <w:lang w:val="cs-CZ"/>
        </w:rPr>
        <w:t>C</w:t>
      </w:r>
      <w:r w:rsidRPr="00273106">
        <w:rPr>
          <w:noProof/>
          <w:lang w:val="cs-CZ"/>
        </w:rPr>
        <w:t xml:space="preserve">okoliv, co </w:t>
      </w:r>
      <w:r w:rsidR="000F6EAE">
        <w:rPr>
          <w:noProof/>
          <w:lang w:val="cs-CZ"/>
        </w:rPr>
        <w:t xml:space="preserve">aktuálně </w:t>
      </w:r>
      <w:r w:rsidR="00F84052">
        <w:rPr>
          <w:noProof/>
          <w:lang w:val="cs-CZ"/>
        </w:rPr>
        <w:t xml:space="preserve">subsistuje, je samo o sobě </w:t>
      </w:r>
      <w:r w:rsidR="003A1967">
        <w:rPr>
          <w:noProof/>
          <w:lang w:val="cs-CZ"/>
        </w:rPr>
        <w:t xml:space="preserve">hypostázovanou </w:t>
      </w:r>
      <w:r w:rsidRPr="00273106">
        <w:rPr>
          <w:noProof/>
          <w:lang w:val="cs-CZ"/>
        </w:rPr>
        <w:t>subsistencí</w:t>
      </w:r>
      <w:r w:rsidR="00083CD7">
        <w:rPr>
          <w:noProof/>
          <w:lang w:val="cs-CZ"/>
        </w:rPr>
        <w:t xml:space="preserve"> (</w:t>
      </w:r>
      <w:r w:rsidR="00083CD7" w:rsidRPr="00083CD7">
        <w:rPr>
          <w:i/>
        </w:rPr>
        <w:t>aliquid, id est subsistens jam est aliqua subsistentia</w:t>
      </w:r>
      <w:r w:rsidR="00083CD7">
        <w:rPr>
          <w:noProof/>
          <w:lang w:val="cs-CZ"/>
        </w:rPr>
        <w:t>)</w:t>
      </w:r>
      <w:r w:rsidR="00A947CC">
        <w:rPr>
          <w:noProof/>
          <w:lang w:val="cs-CZ"/>
        </w:rPr>
        <w:t>. P</w:t>
      </w:r>
      <w:r w:rsidR="00085394" w:rsidRPr="00273106">
        <w:rPr>
          <w:noProof/>
          <w:lang w:val="cs-CZ"/>
        </w:rPr>
        <w:t xml:space="preserve">ak </w:t>
      </w:r>
      <w:r w:rsidR="00343D7F">
        <w:rPr>
          <w:noProof/>
          <w:lang w:val="cs-CZ"/>
        </w:rPr>
        <w:t xml:space="preserve">platí, že k této subsistenci jsou přiřazena další potenciální určení, která mají jinou povahu, </w:t>
      </w:r>
      <w:r w:rsidR="00196381">
        <w:rPr>
          <w:noProof/>
          <w:lang w:val="cs-CZ"/>
        </w:rPr>
        <w:t>jako je kvalita nebo kvantita</w:t>
      </w:r>
      <w:r w:rsidR="00085394" w:rsidRPr="00273106">
        <w:rPr>
          <w:noProof/>
          <w:lang w:val="cs-CZ"/>
        </w:rPr>
        <w:t xml:space="preserve">.“ </w:t>
      </w:r>
      <w:r w:rsidR="00085394" w:rsidRPr="00273106">
        <w:rPr>
          <w:rStyle w:val="Znakapoznpodarou"/>
          <w:noProof/>
          <w:lang w:val="cs-CZ"/>
        </w:rPr>
        <w:footnoteReference w:id="46"/>
      </w:r>
    </w:p>
    <w:p w14:paraId="317D3866" w14:textId="77777777" w:rsidR="00043EF3" w:rsidRDefault="085E59BF" w:rsidP="00712437">
      <w:r w:rsidRPr="00273106">
        <w:t xml:space="preserve">Gilbert </w:t>
      </w:r>
      <w:r w:rsidR="0006360B">
        <w:t xml:space="preserve">začíná </w:t>
      </w:r>
      <w:r w:rsidRPr="00273106">
        <w:t xml:space="preserve">věcně správně </w:t>
      </w:r>
      <w:r w:rsidR="0006360B">
        <w:t xml:space="preserve">a </w:t>
      </w:r>
      <w:r w:rsidRPr="00273106">
        <w:t>definuje oddělený statut aktuální p</w:t>
      </w:r>
      <w:r>
        <w:t xml:space="preserve">rvní substance podle </w:t>
      </w:r>
      <w:r w:rsidRPr="004D0817">
        <w:rPr>
          <w:i/>
        </w:rPr>
        <w:t>Třetí regule</w:t>
      </w:r>
      <w:r w:rsidRPr="004D0817">
        <w:rPr>
          <w:i/>
        </w:rPr>
        <w:fldChar w:fldCharType="begin"/>
      </w:r>
      <w:r w:rsidRPr="004D0817">
        <w:rPr>
          <w:i/>
        </w:rPr>
        <w:instrText xml:space="preserve"> XE "regule:Boethius" </w:instrText>
      </w:r>
      <w:r w:rsidRPr="004D0817">
        <w:rPr>
          <w:i/>
        </w:rPr>
        <w:fldChar w:fldCharType="end"/>
      </w:r>
      <w:r w:rsidRPr="00273106">
        <w:t xml:space="preserve"> (</w:t>
      </w:r>
      <w:r w:rsidRPr="00273106">
        <w:rPr>
          <w:i/>
        </w:rPr>
        <w:t>nec participatione aliud aliquid in se habebit</w:t>
      </w:r>
      <w:r w:rsidRPr="00273106">
        <w:t xml:space="preserve">). </w:t>
      </w:r>
      <w:r>
        <w:t xml:space="preserve">Boethius </w:t>
      </w:r>
      <w:r>
        <w:lastRenderedPageBreak/>
        <w:t>oddělil</w:t>
      </w:r>
      <w:r w:rsidRPr="00273106">
        <w:t xml:space="preserve"> akt existence reálné věci (</w:t>
      </w:r>
      <w:r w:rsidRPr="00273106">
        <w:rPr>
          <w:i/>
        </w:rPr>
        <w:t>quo sit</w:t>
      </w:r>
      <w:r w:rsidRPr="00273106">
        <w:t xml:space="preserve">) od jakékoliv mesaliance s univerzálním a pouze potenciálním konceptem daným v mysli. </w:t>
      </w:r>
      <w:r w:rsidR="081C6FAF" w:rsidRPr="00273106">
        <w:t xml:space="preserve">Citát </w:t>
      </w:r>
      <w:r w:rsidR="081C6FAF">
        <w:t xml:space="preserve">začíná aristotelsky a tvrdí, že subsistující reálné jsoucno není totéž, co univerzální druhá </w:t>
      </w:r>
      <w:r w:rsidR="081C6FAF" w:rsidRPr="00273106">
        <w:t>substance (</w:t>
      </w:r>
      <w:r w:rsidR="081C6FAF" w:rsidRPr="00273106">
        <w:rPr>
          <w:i/>
        </w:rPr>
        <w:t>esse namque subsistentia est, non substantia</w:t>
      </w:r>
      <w:r w:rsidR="081C6FAF" w:rsidRPr="00273106">
        <w:t>).</w:t>
      </w:r>
      <w:r w:rsidR="081C6FAF">
        <w:t xml:space="preserve"> </w:t>
      </w:r>
      <w:r w:rsidR="081C6FAF" w:rsidRPr="00273106">
        <w:t>Gilbert s definicí výslovně souhlasí a považuje ji za pravdivou (</w:t>
      </w:r>
      <w:r w:rsidR="081C6FAF" w:rsidRPr="00273106">
        <w:rPr>
          <w:i/>
        </w:rPr>
        <w:t>vere</w:t>
      </w:r>
      <w:r w:rsidR="081C6FAF" w:rsidRPr="00273106">
        <w:t xml:space="preserve">). Klíčové je následující určení, </w:t>
      </w:r>
      <w:r w:rsidR="081C6FAF">
        <w:t>v němž Boethius</w:t>
      </w:r>
      <w:r w:rsidR="081C6FAF">
        <w:fldChar w:fldCharType="begin"/>
      </w:r>
      <w:r w:rsidR="081C6FAF">
        <w:instrText xml:space="preserve"> XE "</w:instrText>
      </w:r>
      <w:r w:rsidR="081C6FAF" w:rsidRPr="00521677">
        <w:rPr>
          <w:lang w:eastAsia="en-US"/>
        </w:rPr>
        <w:instrText>Boethius, Anicius</w:instrText>
      </w:r>
      <w:r w:rsidR="081C6FAF">
        <w:instrText xml:space="preserve">" </w:instrText>
      </w:r>
      <w:r w:rsidR="081C6FAF">
        <w:fldChar w:fldCharType="end"/>
      </w:r>
      <w:r w:rsidR="081C6FAF">
        <w:t xml:space="preserve"> </w:t>
      </w:r>
      <w:r w:rsidR="081C6FAF" w:rsidRPr="00273106">
        <w:t xml:space="preserve">dává </w:t>
      </w:r>
      <w:r w:rsidR="081C6FAF">
        <w:t xml:space="preserve">význam </w:t>
      </w:r>
      <w:r w:rsidR="089A2E25">
        <w:t xml:space="preserve">esence </w:t>
      </w:r>
      <w:r w:rsidR="081C6FAF" w:rsidRPr="00273106">
        <w:t xml:space="preserve">mimo první substanci tím, že z ní dělá </w:t>
      </w:r>
      <w:r w:rsidR="00C677FB">
        <w:t>hypostázované jsoucno</w:t>
      </w:r>
      <w:r w:rsidR="081C6FAF" w:rsidRPr="00273106">
        <w:t xml:space="preserve">. </w:t>
      </w:r>
      <w:r w:rsidR="081C6FAF">
        <w:t xml:space="preserve">Porretanus </w:t>
      </w:r>
      <w:r w:rsidR="08441E2D">
        <w:t>znejasnil existenci (</w:t>
      </w:r>
      <w:r w:rsidR="08441E2D" w:rsidRPr="08726288">
        <w:rPr>
          <w:i/>
        </w:rPr>
        <w:t>subsistentia</w:t>
      </w:r>
      <w:r w:rsidR="08441E2D">
        <w:t xml:space="preserve">) vázanou na první substanci tím, že spojil v modu sofistické univocity dva </w:t>
      </w:r>
      <w:r w:rsidR="08441E2D" w:rsidRPr="00273106">
        <w:t xml:space="preserve">odlišné </w:t>
      </w:r>
      <w:r w:rsidR="08441E2D">
        <w:t>významy predikace: aktuální bytí první substance a potenciální bytí esence jako konceptu v mysli</w:t>
      </w:r>
      <w:r w:rsidR="08441E2D" w:rsidRPr="00273106">
        <w:t>. Jedna forma subsistence patří aktuální první substanci</w:t>
      </w:r>
      <w:r w:rsidR="08441E2D">
        <w:t>, což zdůrazňuje Boethiova definice</w:t>
      </w:r>
      <w:r w:rsidR="08441E2D">
        <w:rPr>
          <w:color w:val="000000"/>
        </w:rPr>
        <w:fldChar w:fldCharType="begin"/>
      </w:r>
      <w:r w:rsidR="08441E2D">
        <w:instrText xml:space="preserve"> XE "substance:Gilbertus Porretanus" </w:instrText>
      </w:r>
      <w:r w:rsidR="08441E2D">
        <w:rPr>
          <w:color w:val="000000"/>
        </w:rPr>
        <w:fldChar w:fldCharType="end"/>
      </w:r>
      <w:r w:rsidR="08441E2D" w:rsidRPr="00273106">
        <w:t xml:space="preserve">. Druhá forma </w:t>
      </w:r>
      <w:r w:rsidR="08441E2D">
        <w:t xml:space="preserve">porretánské existence </w:t>
      </w:r>
      <w:r w:rsidR="08441E2D" w:rsidRPr="00273106">
        <w:t xml:space="preserve">definuje zvláštní koncept subsistence vzaté </w:t>
      </w:r>
      <w:r w:rsidR="00800647">
        <w:t>jako hypostáze</w:t>
      </w:r>
      <w:r w:rsidR="00C677FB">
        <w:t xml:space="preserve"> (</w:t>
      </w:r>
      <w:r w:rsidR="00C677FB" w:rsidRPr="00083CD7">
        <w:rPr>
          <w:i/>
        </w:rPr>
        <w:t>aliquid, id est subsistens jam est aliqua subsistentia</w:t>
      </w:r>
      <w:r w:rsidR="00C677FB">
        <w:t>)</w:t>
      </w:r>
      <w:r w:rsidR="08892DA5">
        <w:t xml:space="preserve">. Gilbert </w:t>
      </w:r>
      <w:r w:rsidR="08441E2D">
        <w:t>definuje</w:t>
      </w:r>
      <w:r w:rsidR="08441E2D" w:rsidRPr="00273106">
        <w:t xml:space="preserve"> </w:t>
      </w:r>
      <w:r w:rsidR="08892DA5">
        <w:t xml:space="preserve">novou formu subsistence, který zakládá substanci třetího druhu. </w:t>
      </w:r>
      <w:r w:rsidR="08C76282">
        <w:t>C</w:t>
      </w:r>
      <w:r w:rsidR="08C76282" w:rsidRPr="00273106">
        <w:t xml:space="preserve">okoliv, co </w:t>
      </w:r>
      <w:r w:rsidR="08C76282">
        <w:t xml:space="preserve">nějak </w:t>
      </w:r>
      <w:r w:rsidR="004106D8">
        <w:t xml:space="preserve">aktuálně </w:t>
      </w:r>
      <w:r w:rsidR="08C76282">
        <w:t xml:space="preserve">subsistuje, je </w:t>
      </w:r>
      <w:r w:rsidR="004106D8">
        <w:t xml:space="preserve">hypostázovanou </w:t>
      </w:r>
      <w:r w:rsidR="08C76282" w:rsidRPr="00273106">
        <w:t>subsistencí</w:t>
      </w:r>
      <w:r w:rsidR="08C76282">
        <w:t xml:space="preserve"> </w:t>
      </w:r>
      <w:r w:rsidR="00C677FB">
        <w:t>o sobě</w:t>
      </w:r>
      <w:r w:rsidR="08C76282">
        <w:t xml:space="preserve">. </w:t>
      </w:r>
      <w:r w:rsidR="08892DA5">
        <w:t xml:space="preserve">Zdvojení bytí nové substance vzhledem </w:t>
      </w:r>
      <w:r w:rsidR="08441E2D">
        <w:t xml:space="preserve">bytí </w:t>
      </w:r>
      <w:r w:rsidR="08441E2D" w:rsidRPr="00273106">
        <w:t>první substance</w:t>
      </w:r>
      <w:r w:rsidR="08441E2D">
        <w:t xml:space="preserve"> </w:t>
      </w:r>
      <w:r w:rsidR="08892DA5">
        <w:t xml:space="preserve">je provedeno v modu </w:t>
      </w:r>
      <w:r w:rsidR="08892DA5">
        <w:rPr>
          <w:i/>
        </w:rPr>
        <w:t xml:space="preserve">simpliciter </w:t>
      </w:r>
      <w:r w:rsidR="08892DA5">
        <w:t>podle Simplikiova hypostázovaného</w:t>
      </w:r>
      <w:r w:rsidR="08441E2D">
        <w:t xml:space="preserve"> modu </w:t>
      </w:r>
      <w:r w:rsidR="08A44F2D" w:rsidRPr="00C83D43">
        <w:rPr>
          <w:rStyle w:val="TextpoznpodarouChar"/>
          <w:i/>
        </w:rPr>
        <w:t>esse ad</w:t>
      </w:r>
      <w:r w:rsidR="08A44F2D">
        <w:rPr>
          <w:rStyle w:val="TextpoznpodarouChar"/>
        </w:rPr>
        <w:t xml:space="preserve"> </w:t>
      </w:r>
      <w:r w:rsidR="08A44F2D">
        <w:t>daného pro hypostázovanou kategorii vztahu (</w:t>
      </w:r>
      <w:r w:rsidR="08A44F2D" w:rsidRPr="004C6AC0">
        <w:t>πρός τι τὸ ἁπλῶς</w:t>
      </w:r>
      <w:r w:rsidR="08A44F2D">
        <w:t xml:space="preserve">, kap. 1.3.2). Hypostázovaný vztah </w:t>
      </w:r>
      <w:r w:rsidR="009C34DF">
        <w:t xml:space="preserve">zdvojuje první substanci, která dostala dvojníka v modu supozice </w:t>
      </w:r>
      <w:r w:rsidR="08441E2D">
        <w:t xml:space="preserve">vzaté čistě abstraktně </w:t>
      </w:r>
      <w:r w:rsidR="08441E2D" w:rsidRPr="00273106">
        <w:t>(</w:t>
      </w:r>
      <w:r w:rsidR="08441E2D">
        <w:rPr>
          <w:i/>
        </w:rPr>
        <w:t>ad illius subsistentiae</w:t>
      </w:r>
      <w:r w:rsidR="08441E2D" w:rsidRPr="00273106">
        <w:t xml:space="preserve">). </w:t>
      </w:r>
      <w:r w:rsidR="006B4A64">
        <w:t xml:space="preserve">Druhá část </w:t>
      </w:r>
      <w:r w:rsidR="006B4A64" w:rsidRPr="00273106">
        <w:t xml:space="preserve">citátu </w:t>
      </w:r>
      <w:r w:rsidR="00DB10C4">
        <w:t xml:space="preserve">spojila subsistenci vzatou v modu </w:t>
      </w:r>
      <w:r w:rsidR="006B4A64" w:rsidRPr="00273106">
        <w:rPr>
          <w:i/>
        </w:rPr>
        <w:t>simpliciter</w:t>
      </w:r>
      <w:r w:rsidR="08DA1E9A">
        <w:t xml:space="preserve"> </w:t>
      </w:r>
      <w:r w:rsidR="00DB10C4">
        <w:t>s první substanci danou</w:t>
      </w:r>
      <w:r w:rsidR="006B4A64" w:rsidRPr="00273106">
        <w:t xml:space="preserve"> také </w:t>
      </w:r>
      <w:r w:rsidR="006B4A64" w:rsidRPr="00273106">
        <w:rPr>
          <w:i/>
        </w:rPr>
        <w:t>simpliciter</w:t>
      </w:r>
      <w:r w:rsidR="006B4A64" w:rsidRPr="00273106">
        <w:t xml:space="preserve">, ale existující aktuálně v realitě. </w:t>
      </w:r>
      <w:r w:rsidR="08EA373A">
        <w:t xml:space="preserve">Gilbert tvrdí, že </w:t>
      </w:r>
      <w:r w:rsidR="083E0744">
        <w:t xml:space="preserve">subsistenci lze predikovat i mimo první substanci </w:t>
      </w:r>
      <w:r w:rsidR="08EA373A">
        <w:t xml:space="preserve">ve smyslu </w:t>
      </w:r>
      <w:r w:rsidR="087F304B">
        <w:t>obecně daného vztahu</w:t>
      </w:r>
      <w:r w:rsidR="083E0744">
        <w:t>. Jenže taková ex</w:t>
      </w:r>
      <w:r w:rsidR="00B92486">
        <w:t xml:space="preserve">istence </w:t>
      </w:r>
      <w:r w:rsidR="083E0744">
        <w:t>je</w:t>
      </w:r>
      <w:r w:rsidR="08EA373A" w:rsidRPr="00273106">
        <w:t xml:space="preserve"> dána </w:t>
      </w:r>
      <w:r w:rsidR="085A4A62">
        <w:t xml:space="preserve">podle Boethia </w:t>
      </w:r>
      <w:r w:rsidR="08EA373A" w:rsidRPr="00273106">
        <w:t>pouze v potenci</w:t>
      </w:r>
      <w:r w:rsidR="083E0744">
        <w:t xml:space="preserve"> jako </w:t>
      </w:r>
      <w:r w:rsidR="085A4A62">
        <w:t xml:space="preserve">myšlený </w:t>
      </w:r>
      <w:r w:rsidR="083E0744">
        <w:t>koncept</w:t>
      </w:r>
      <w:r w:rsidR="002B3CBA">
        <w:t>,</w:t>
      </w:r>
      <w:r w:rsidR="085A4A62">
        <w:t xml:space="preserve"> a tím je oddělena od subsistence reálné věci. </w:t>
      </w:r>
      <w:r w:rsidR="001827BA">
        <w:t xml:space="preserve">Porretanus </w:t>
      </w:r>
      <w:r w:rsidR="006145AE">
        <w:t xml:space="preserve">vytvořil </w:t>
      </w:r>
      <w:r w:rsidR="002C4FAE">
        <w:t xml:space="preserve">novou </w:t>
      </w:r>
      <w:r w:rsidR="00622C09" w:rsidRPr="00273106">
        <w:t>sub</w:t>
      </w:r>
      <w:r w:rsidR="006145AE">
        <w:t>sistenci vzatou</w:t>
      </w:r>
      <w:r w:rsidR="007D59B6" w:rsidRPr="00273106">
        <w:t xml:space="preserve"> čistě formálně</w:t>
      </w:r>
      <w:r w:rsidR="08570898">
        <w:t>, což odpovídá Boethiovu esenciálnímu a univerzálnímu určení v modu</w:t>
      </w:r>
      <w:r w:rsidR="00472F84">
        <w:t xml:space="preserve"> </w:t>
      </w:r>
      <w:r w:rsidR="00472F84" w:rsidRPr="00273106">
        <w:rPr>
          <w:i/>
        </w:rPr>
        <w:t>quo</w:t>
      </w:r>
      <w:r w:rsidR="00472F84">
        <w:rPr>
          <w:i/>
        </w:rPr>
        <w:t>d</w:t>
      </w:r>
      <w:r w:rsidR="00472F84" w:rsidRPr="00273106">
        <w:rPr>
          <w:i/>
        </w:rPr>
        <w:t xml:space="preserve"> est</w:t>
      </w:r>
      <w:r w:rsidR="00472F84">
        <w:rPr>
          <w:i/>
        </w:rPr>
        <w:fldChar w:fldCharType="begin"/>
      </w:r>
      <w:r w:rsidR="00472F84">
        <w:instrText xml:space="preserve"> XE "</w:instrText>
      </w:r>
      <w:r w:rsidR="00472F84" w:rsidRPr="003C4F2E">
        <w:rPr>
          <w:i/>
        </w:rPr>
        <w:instrText>quo</w:instrText>
      </w:r>
      <w:r w:rsidR="00072749">
        <w:rPr>
          <w:i/>
        </w:rPr>
        <w:instrText>d</w:instrText>
      </w:r>
      <w:r w:rsidR="00472F84" w:rsidRPr="003C4F2E">
        <w:rPr>
          <w:i/>
        </w:rPr>
        <w:instrText xml:space="preserve"> est</w:instrText>
      </w:r>
      <w:r w:rsidR="00472F84">
        <w:instrText xml:space="preserve">" </w:instrText>
      </w:r>
      <w:r w:rsidR="00472F84">
        <w:rPr>
          <w:i/>
        </w:rPr>
        <w:fldChar w:fldCharType="end"/>
      </w:r>
      <w:r w:rsidR="007D59B6" w:rsidRPr="00273106">
        <w:t xml:space="preserve">. </w:t>
      </w:r>
      <w:r w:rsidR="00721412">
        <w:t xml:space="preserve">To bylo a je fatální provinění modernistů v modu </w:t>
      </w:r>
      <w:r w:rsidR="00721412" w:rsidRPr="00721412">
        <w:rPr>
          <w:i/>
        </w:rPr>
        <w:t>peccatum originale</w:t>
      </w:r>
      <w:r w:rsidR="00721412">
        <w:t>. Gilbert zrušil impozici danou od aktuálně existující první substance (</w:t>
      </w:r>
      <w:r w:rsidR="00721412" w:rsidRPr="00812708">
        <w:rPr>
          <w:i/>
          <w:szCs w:val="24"/>
          <w:lang w:val="de-DE"/>
        </w:rPr>
        <w:t>actus essendi</w:t>
      </w:r>
      <w:r w:rsidR="00721412">
        <w:rPr>
          <w:i/>
          <w:szCs w:val="24"/>
          <w:lang w:val="de-DE"/>
        </w:rPr>
        <w:fldChar w:fldCharType="begin"/>
      </w:r>
      <w:r w:rsidR="00721412">
        <w:instrText xml:space="preserve"> XE "</w:instrText>
      </w:r>
      <w:r w:rsidR="00721412" w:rsidRPr="00F612B8">
        <w:rPr>
          <w:i/>
          <w:szCs w:val="24"/>
          <w:lang w:val="de-DE"/>
        </w:rPr>
        <w:instrText>actus essendi</w:instrText>
      </w:r>
      <w:r w:rsidR="00721412">
        <w:instrText xml:space="preserve">" </w:instrText>
      </w:r>
      <w:r w:rsidR="00721412">
        <w:rPr>
          <w:i/>
          <w:szCs w:val="24"/>
          <w:lang w:val="de-DE"/>
        </w:rPr>
        <w:fldChar w:fldCharType="end"/>
      </w:r>
      <w:r w:rsidR="00721412">
        <w:rPr>
          <w:szCs w:val="24"/>
          <w:lang w:val="de-DE"/>
        </w:rPr>
        <w:t xml:space="preserve">, </w:t>
      </w:r>
      <w:r w:rsidR="00721412" w:rsidRPr="00812708">
        <w:rPr>
          <w:i/>
          <w:szCs w:val="24"/>
          <w:lang w:val="de-DE"/>
        </w:rPr>
        <w:t>quo est</w:t>
      </w:r>
      <w:r w:rsidR="00721412">
        <w:rPr>
          <w:i/>
          <w:szCs w:val="24"/>
          <w:lang w:val="de-DE"/>
        </w:rPr>
        <w:fldChar w:fldCharType="begin"/>
      </w:r>
      <w:r w:rsidR="00721412">
        <w:instrText xml:space="preserve"> XE "</w:instrText>
      </w:r>
      <w:r w:rsidR="00721412" w:rsidRPr="00111883">
        <w:rPr>
          <w:i/>
          <w:szCs w:val="24"/>
          <w:lang w:val="de-DE"/>
        </w:rPr>
        <w:instrText>quo est</w:instrText>
      </w:r>
      <w:r w:rsidR="00721412">
        <w:instrText xml:space="preserve">" </w:instrText>
      </w:r>
      <w:r w:rsidR="00721412">
        <w:rPr>
          <w:i/>
          <w:szCs w:val="24"/>
          <w:lang w:val="de-DE"/>
        </w:rPr>
        <w:fldChar w:fldCharType="end"/>
      </w:r>
      <w:r w:rsidR="00721412">
        <w:rPr>
          <w:szCs w:val="24"/>
          <w:lang w:val="de-DE"/>
        </w:rPr>
        <w:t xml:space="preserve">) </w:t>
      </w:r>
      <w:r w:rsidR="00721412">
        <w:t>a falešně ji nahradil pouhým formálním konceptem existence, který je supozičně dán pouze v mysli (</w:t>
      </w:r>
      <w:r w:rsidR="00721412" w:rsidRPr="00721412">
        <w:rPr>
          <w:i/>
        </w:rPr>
        <w:t>quod est, essentia</w:t>
      </w:r>
      <w:r w:rsidR="00721412">
        <w:t xml:space="preserve">). Tím vznikla nová forma </w:t>
      </w:r>
      <w:r w:rsidR="00E0248A">
        <w:rPr>
          <w:szCs w:val="24"/>
          <w:lang w:val="de-DE"/>
        </w:rPr>
        <w:t>amfibolické pr</w:t>
      </w:r>
      <w:r w:rsidR="00E0248A">
        <w:rPr>
          <w:rFonts w:cs="Calibri"/>
          <w:szCs w:val="24"/>
          <w:lang w:val="de-DE"/>
        </w:rPr>
        <w:t>e</w:t>
      </w:r>
      <w:r w:rsidR="00E0248A">
        <w:rPr>
          <w:szCs w:val="24"/>
          <w:lang w:val="de-DE"/>
        </w:rPr>
        <w:t>dikace podle Eliase (OBJ I, Kap. 2.1.2).</w:t>
      </w:r>
      <w:r w:rsidR="00E0248A">
        <w:t xml:space="preserve"> </w:t>
      </w:r>
      <w:r w:rsidR="08EA256F">
        <w:t xml:space="preserve">Hypostázovaná </w:t>
      </w:r>
      <w:r w:rsidR="00EA38C3">
        <w:t>„</w:t>
      </w:r>
      <w:r w:rsidR="08EA256F">
        <w:t>ex</w:t>
      </w:r>
      <w:r w:rsidR="00EA38C3">
        <w:t>s</w:t>
      </w:r>
      <w:r w:rsidR="08EA256F">
        <w:t>istence</w:t>
      </w:r>
      <w:r w:rsidR="00EA38C3">
        <w:t>“</w:t>
      </w:r>
      <w:r w:rsidR="08EA256F" w:rsidRPr="00273106">
        <w:t xml:space="preserve"> </w:t>
      </w:r>
      <w:r w:rsidR="00EA38C3">
        <w:t xml:space="preserve">je daná mimo první substanci. </w:t>
      </w:r>
      <w:r w:rsidR="00733C38">
        <w:t>P</w:t>
      </w:r>
      <w:r w:rsidR="083B783C">
        <w:t xml:space="preserve">rvní </w:t>
      </w:r>
      <w:r w:rsidR="00733C38">
        <w:t xml:space="preserve">moderní </w:t>
      </w:r>
      <w:r w:rsidR="083B783C">
        <w:t xml:space="preserve">substance </w:t>
      </w:r>
      <w:r w:rsidR="08EA256F">
        <w:t xml:space="preserve">doslova naplnila latinský význam slova </w:t>
      </w:r>
      <w:r w:rsidR="08EA256F">
        <w:rPr>
          <w:i/>
        </w:rPr>
        <w:t>ex</w:t>
      </w:r>
      <w:r w:rsidR="08EA256F" w:rsidRPr="00B760AC">
        <w:rPr>
          <w:i/>
        </w:rPr>
        <w:t>sistere</w:t>
      </w:r>
      <w:r w:rsidR="08EA256F">
        <w:rPr>
          <w:i/>
        </w:rPr>
        <w:fldChar w:fldCharType="begin"/>
      </w:r>
      <w:r w:rsidR="08EA256F">
        <w:instrText xml:space="preserve"> XE "</w:instrText>
      </w:r>
      <w:r w:rsidR="08EA256F" w:rsidRPr="00B760AC">
        <w:rPr>
          <w:i/>
        </w:rPr>
        <w:instrText>tertium ens</w:instrText>
      </w:r>
      <w:r w:rsidR="08EA256F" w:rsidRPr="00CB06A0">
        <w:instrText>:</w:instrText>
      </w:r>
      <w:r w:rsidR="08EA256F">
        <w:instrText xml:space="preserve">Gilbertus Porretanus" </w:instrText>
      </w:r>
      <w:r w:rsidR="08EA256F">
        <w:rPr>
          <w:i/>
        </w:rPr>
        <w:fldChar w:fldCharType="end"/>
      </w:r>
      <w:r w:rsidR="00733C38">
        <w:t>, protože „povstala“ (</w:t>
      </w:r>
      <w:r w:rsidR="00733C38" w:rsidRPr="00733C38">
        <w:rPr>
          <w:i/>
        </w:rPr>
        <w:t>exsistit</w:t>
      </w:r>
      <w:r w:rsidR="00733C38">
        <w:t xml:space="preserve">) z ničeho a provedla kompletní exodus z reality. </w:t>
      </w:r>
      <w:r w:rsidR="089F4BAC" w:rsidRPr="00273106">
        <w:t xml:space="preserve">Učenec </w:t>
      </w:r>
      <w:r w:rsidR="002239AA">
        <w:t>de La Porrée</w:t>
      </w:r>
      <w:r w:rsidR="089F4BAC" w:rsidRPr="00273106">
        <w:t xml:space="preserve"> </w:t>
      </w:r>
      <w:r w:rsidR="003D0186">
        <w:t xml:space="preserve">se stal moderním bohem a provedl první </w:t>
      </w:r>
      <w:r w:rsidR="003D0186" w:rsidRPr="003D0186">
        <w:rPr>
          <w:i/>
        </w:rPr>
        <w:t xml:space="preserve">creatio ex </w:t>
      </w:r>
      <w:r w:rsidR="003D0186" w:rsidRPr="003D0186">
        <w:rPr>
          <w:i/>
        </w:rPr>
        <w:lastRenderedPageBreak/>
        <w:t>nihilo</w:t>
      </w:r>
      <w:r w:rsidR="003D0186">
        <w:t xml:space="preserve">, která založilo objektivní metafyziku. </w:t>
      </w:r>
      <w:r w:rsidR="083B783C">
        <w:t>Nově pojatá „ex</w:t>
      </w:r>
      <w:r w:rsidR="003D0186">
        <w:t>s</w:t>
      </w:r>
      <w:r w:rsidR="083B783C">
        <w:t xml:space="preserve">istence“ porretánů </w:t>
      </w:r>
      <w:r w:rsidR="08EA256F">
        <w:t xml:space="preserve">založila </w:t>
      </w:r>
      <w:r w:rsidR="08EA256F" w:rsidRPr="00273106">
        <w:t>epochálně novou hylemorfickou substanci třetího druhu (</w:t>
      </w:r>
      <w:r w:rsidR="08EA256F" w:rsidRPr="00273106">
        <w:rPr>
          <w:i/>
        </w:rPr>
        <w:t>aliquid, id est subsistens</w:t>
      </w:r>
      <w:r w:rsidR="08EA256F" w:rsidRPr="00273106">
        <w:t xml:space="preserve">). Existence </w:t>
      </w:r>
      <w:r w:rsidR="08EA256F">
        <w:t>„čeho</w:t>
      </w:r>
      <w:r w:rsidR="003D0186">
        <w:t>koliv</w:t>
      </w:r>
      <w:r w:rsidR="08EA256F">
        <w:t>“ (</w:t>
      </w:r>
      <w:r w:rsidR="08EA256F" w:rsidRPr="00EA555A">
        <w:rPr>
          <w:i/>
        </w:rPr>
        <w:t>aliquid</w:t>
      </w:r>
      <w:r w:rsidR="08EA256F">
        <w:t xml:space="preserve">) </w:t>
      </w:r>
      <w:r w:rsidR="08053AC6">
        <w:t xml:space="preserve">nyní </w:t>
      </w:r>
      <w:r w:rsidR="08EA256F" w:rsidRPr="00273106">
        <w:t xml:space="preserve">dostala </w:t>
      </w:r>
      <w:r w:rsidR="08EA256F">
        <w:t xml:space="preserve">akt subsistence na úrovni první substance </w:t>
      </w:r>
      <w:r w:rsidR="08EA256F" w:rsidRPr="00273106">
        <w:t xml:space="preserve">a </w:t>
      </w:r>
      <w:r w:rsidR="08EA256F">
        <w:t xml:space="preserve">současně se stala </w:t>
      </w:r>
      <w:r w:rsidR="08EA256F" w:rsidRPr="00273106">
        <w:t>novou univerzálií (</w:t>
      </w:r>
      <w:r w:rsidR="08EA256F" w:rsidRPr="00273106">
        <w:rPr>
          <w:i/>
        </w:rPr>
        <w:t>est aliqua subsistentia</w:t>
      </w:r>
      <w:r w:rsidR="08EA256F" w:rsidRPr="00273106">
        <w:t xml:space="preserve">). Citát zakládá participaci </w:t>
      </w:r>
      <w:r w:rsidR="08EA256F">
        <w:t xml:space="preserve">jsoucna třetího druhu </w:t>
      </w:r>
      <w:r w:rsidR="08EA256F" w:rsidRPr="00273106">
        <w:t>na nové univerzálii (</w:t>
      </w:r>
      <w:r w:rsidR="08EA256F" w:rsidRPr="00273106">
        <w:rPr>
          <w:i/>
        </w:rPr>
        <w:t>aliquid...id est</w:t>
      </w:r>
      <w:r w:rsidR="08EA256F" w:rsidRPr="00273106">
        <w:t xml:space="preserve">), a to v rámci </w:t>
      </w:r>
      <w:r w:rsidR="08EA256F">
        <w:t xml:space="preserve">rodově pojaté </w:t>
      </w:r>
      <w:r w:rsidR="08EA256F" w:rsidRPr="00273106">
        <w:t>predikace „existence“ sdílené ve formě hypostázované subsistence</w:t>
      </w:r>
      <w:r w:rsidR="08EA256F">
        <w:fldChar w:fldCharType="begin"/>
      </w:r>
      <w:r w:rsidR="08EA256F">
        <w:instrText xml:space="preserve"> XE "</w:instrText>
      </w:r>
      <w:r w:rsidR="08EA256F" w:rsidRPr="00331C8F">
        <w:instrText>subsistence</w:instrText>
      </w:r>
      <w:r w:rsidR="08EA256F">
        <w:instrText xml:space="preserve">:Gilbertus Porretanus" </w:instrText>
      </w:r>
      <w:r w:rsidR="08EA256F">
        <w:fldChar w:fldCharType="end"/>
      </w:r>
      <w:r w:rsidR="08EA256F">
        <w:t xml:space="preserve">. </w:t>
      </w:r>
      <w:r w:rsidR="08B03FED">
        <w:t xml:space="preserve">Gilbert </w:t>
      </w:r>
      <w:r w:rsidR="08EE48C3">
        <w:t xml:space="preserve">za prvé </w:t>
      </w:r>
      <w:r w:rsidR="08B03FED">
        <w:t xml:space="preserve">hypostázoval </w:t>
      </w:r>
      <w:r w:rsidR="08B03FED" w:rsidRPr="00273106">
        <w:t xml:space="preserve">akt bytí </w:t>
      </w:r>
      <w:r w:rsidR="08B03FED">
        <w:t xml:space="preserve">potenciální esence a </w:t>
      </w:r>
      <w:r w:rsidR="08EE48C3">
        <w:t xml:space="preserve">za druhé </w:t>
      </w:r>
      <w:r w:rsidR="00F77C5A">
        <w:t xml:space="preserve">úplně mylně </w:t>
      </w:r>
      <w:r w:rsidR="08B03FED">
        <w:t xml:space="preserve">predikuje </w:t>
      </w:r>
      <w:r w:rsidR="08B03FED" w:rsidRPr="08352A46">
        <w:rPr>
          <w:i/>
        </w:rPr>
        <w:t>actus essendi</w:t>
      </w:r>
      <w:r w:rsidR="08B03FED">
        <w:t xml:space="preserve"> vlastní pouze první substanci i na potenciální koncept esence. </w:t>
      </w:r>
      <w:r w:rsidR="08ED4AE2">
        <w:t xml:space="preserve">Touto dvojí sofistickou operací se hypostázovaná existence vázaná na esenci oddělila od </w:t>
      </w:r>
      <w:r w:rsidR="08A27388">
        <w:t xml:space="preserve">reálné existence </w:t>
      </w:r>
      <w:r w:rsidR="08ED4AE2">
        <w:t xml:space="preserve">první substance a dostala vlastnosti </w:t>
      </w:r>
      <w:r w:rsidR="08B03FED">
        <w:t xml:space="preserve">Avicennovy </w:t>
      </w:r>
      <w:r w:rsidR="08ED4AE2">
        <w:t xml:space="preserve">amfibolní predikace </w:t>
      </w:r>
      <w:r w:rsidR="08E17C15">
        <w:rPr>
          <w:rStyle w:val="Zkladntext158dkovn0pt"/>
          <w:color w:val="auto"/>
          <w:spacing w:val="0"/>
          <w:sz w:val="24"/>
          <w:lang w:val="cs-CZ"/>
        </w:rPr>
        <w:fldChar w:fldCharType="begin"/>
      </w:r>
      <w:r w:rsidR="08E17C15">
        <w:instrText xml:space="preserve"> XE "</w:instrText>
      </w:r>
      <w:r w:rsidR="08E17C15" w:rsidRPr="085770B6">
        <w:rPr>
          <w:rStyle w:val="Zkladntext158dkovn0pt"/>
          <w:color w:val="auto"/>
          <w:spacing w:val="0"/>
          <w:sz w:val="24"/>
          <w:lang w:val="cs-CZ"/>
        </w:rPr>
        <w:instrText>predikace:amfibolní</w:instrText>
      </w:r>
      <w:r w:rsidR="08E17C15">
        <w:instrText xml:space="preserve">" </w:instrText>
      </w:r>
      <w:r w:rsidR="08E17C15">
        <w:rPr>
          <w:rStyle w:val="Zkladntext158dkovn0pt"/>
          <w:color w:val="auto"/>
          <w:spacing w:val="0"/>
          <w:sz w:val="24"/>
          <w:lang w:val="cs-CZ"/>
        </w:rPr>
        <w:fldChar w:fldCharType="end"/>
      </w:r>
      <w:r w:rsidR="08ED4AE2">
        <w:t>vázané na dělení univer</w:t>
      </w:r>
      <w:r w:rsidR="088620A0">
        <w:t>z</w:t>
      </w:r>
      <w:r w:rsidR="08ED4AE2">
        <w:t>ál</w:t>
      </w:r>
      <w:r w:rsidR="084220F9">
        <w:t>ií</w:t>
      </w:r>
      <w:r w:rsidR="08ED4AE2">
        <w:t xml:space="preserve"> v rámci Porfýriova stromu. </w:t>
      </w:r>
      <w:r w:rsidR="083876C4">
        <w:t xml:space="preserve">Porretanus vytvořil </w:t>
      </w:r>
      <w:r w:rsidR="00652939">
        <w:t xml:space="preserve">na základě smíšení impozice a supozice </w:t>
      </w:r>
      <w:r w:rsidR="003260B9">
        <w:t>novou nezávislou a nedělitelnou entitu (</w:t>
      </w:r>
      <w:r w:rsidR="083876C4" w:rsidRPr="003260B9">
        <w:rPr>
          <w:i/>
        </w:rPr>
        <w:t>individuum</w:t>
      </w:r>
      <w:r w:rsidR="003260B9">
        <w:t>) sofisticky danou</w:t>
      </w:r>
      <w:r w:rsidR="083876C4">
        <w:t xml:space="preserve"> jako první substance. </w:t>
      </w:r>
      <w:r w:rsidR="08F14A79">
        <w:rPr>
          <w:color w:val="000000"/>
        </w:rPr>
        <w:t>M</w:t>
      </w:r>
      <w:r w:rsidR="08F14A79" w:rsidRPr="00273106">
        <w:rPr>
          <w:color w:val="000000"/>
        </w:rPr>
        <w:t xml:space="preserve">ožnost participace na epochálně novém konceptu existence třetího druhu </w:t>
      </w:r>
      <w:r w:rsidR="084D6BCA">
        <w:rPr>
          <w:color w:val="000000"/>
        </w:rPr>
        <w:t>je dána tím, že něco</w:t>
      </w:r>
      <w:r w:rsidR="08F14A79">
        <w:rPr>
          <w:color w:val="000000"/>
        </w:rPr>
        <w:t xml:space="preserve"> </w:t>
      </w:r>
      <w:r w:rsidR="084D6BCA">
        <w:rPr>
          <w:color w:val="000000"/>
        </w:rPr>
        <w:t>„</w:t>
      </w:r>
      <w:r w:rsidR="08F14A79">
        <w:rPr>
          <w:color w:val="000000"/>
        </w:rPr>
        <w:t>ex</w:t>
      </w:r>
      <w:r w:rsidR="084D6BCA">
        <w:rPr>
          <w:color w:val="000000"/>
        </w:rPr>
        <w:t>s</w:t>
      </w:r>
      <w:r w:rsidR="08F14A79">
        <w:rPr>
          <w:color w:val="000000"/>
        </w:rPr>
        <w:t>istuje</w:t>
      </w:r>
      <w:r w:rsidR="084D6BCA">
        <w:rPr>
          <w:color w:val="000000"/>
        </w:rPr>
        <w:t>“</w:t>
      </w:r>
      <w:r w:rsidR="08F14A79">
        <w:rPr>
          <w:color w:val="000000"/>
        </w:rPr>
        <w:t xml:space="preserve"> </w:t>
      </w:r>
      <w:r w:rsidR="084D6BCA">
        <w:rPr>
          <w:color w:val="000000"/>
        </w:rPr>
        <w:t xml:space="preserve">díky subsistenci </w:t>
      </w:r>
      <w:r w:rsidR="003666FE">
        <w:rPr>
          <w:color w:val="000000"/>
        </w:rPr>
        <w:t xml:space="preserve">zdvojeného </w:t>
      </w:r>
      <w:r w:rsidR="084D6BCA">
        <w:rPr>
          <w:color w:val="000000"/>
        </w:rPr>
        <w:t xml:space="preserve">vztahu </w:t>
      </w:r>
      <w:r w:rsidR="003666FE">
        <w:rPr>
          <w:color w:val="000000"/>
        </w:rPr>
        <w:t xml:space="preserve">k sobě samému </w:t>
      </w:r>
      <w:r w:rsidR="08F14A79" w:rsidRPr="00273106">
        <w:rPr>
          <w:color w:val="000000"/>
        </w:rPr>
        <w:t>(</w:t>
      </w:r>
      <w:r w:rsidR="08F14A79" w:rsidRPr="00273106">
        <w:rPr>
          <w:i/>
          <w:color w:val="000000"/>
        </w:rPr>
        <w:t>participatio, qua subsistens</w:t>
      </w:r>
      <w:r w:rsidR="00F77E6F">
        <w:rPr>
          <w:i/>
          <w:color w:val="000000"/>
        </w:rPr>
        <w:t xml:space="preserve">, </w:t>
      </w:r>
      <w:r w:rsidR="00F77E6F">
        <w:rPr>
          <w:i/>
          <w:szCs w:val="24"/>
        </w:rPr>
        <w:t>exsistere</w:t>
      </w:r>
      <w:r w:rsidR="08F14A79" w:rsidRPr="00273106">
        <w:rPr>
          <w:color w:val="000000"/>
        </w:rPr>
        <w:t xml:space="preserve">). </w:t>
      </w:r>
      <w:r w:rsidR="003D0C33">
        <w:t xml:space="preserve">Specifická forma neoplatonské partipace umožnila porretánům hypostázovat také fyzikálně určené akcidenty (kvalita, kvantita) jako sekundární vlastnosti nově pojaté „exsistence“. </w:t>
      </w:r>
      <w:r w:rsidR="089A6F5A">
        <w:rPr>
          <w:color w:val="000000"/>
        </w:rPr>
        <w:t xml:space="preserve">Z neoplatonské </w:t>
      </w:r>
      <w:r w:rsidR="00D95769">
        <w:rPr>
          <w:color w:val="000000"/>
        </w:rPr>
        <w:t xml:space="preserve">participace na </w:t>
      </w:r>
      <w:r w:rsidR="089A6F5A">
        <w:t>nejvyšší</w:t>
      </w:r>
      <w:r w:rsidR="00D95769">
        <w:t>ch</w:t>
      </w:r>
      <w:r w:rsidR="089A6F5A">
        <w:t xml:space="preserve"> rod</w:t>
      </w:r>
      <w:r w:rsidR="00D95769">
        <w:t xml:space="preserve">ech </w:t>
      </w:r>
      <w:r w:rsidR="08C10B56">
        <w:t xml:space="preserve">jsoucna </w:t>
      </w:r>
      <w:r w:rsidR="00D95769">
        <w:t xml:space="preserve">(μέθεξις) </w:t>
      </w:r>
      <w:r w:rsidR="089A6F5A">
        <w:t xml:space="preserve">se stala nová transcendentálie, která </w:t>
      </w:r>
      <w:r w:rsidR="08C10B56">
        <w:t xml:space="preserve">vytěsnila druhou substanci skrze </w:t>
      </w:r>
      <w:r w:rsidR="089A6F5A">
        <w:t>nov</w:t>
      </w:r>
      <w:r w:rsidR="08C10B56">
        <w:t>ou</w:t>
      </w:r>
      <w:r w:rsidR="089A6F5A">
        <w:t xml:space="preserve"> form</w:t>
      </w:r>
      <w:r w:rsidR="08C10B56">
        <w:t>u</w:t>
      </w:r>
      <w:r w:rsidR="089A6F5A">
        <w:t xml:space="preserve"> amfibolní predikace </w:t>
      </w:r>
      <w:r w:rsidR="08E17C15">
        <w:rPr>
          <w:rStyle w:val="Zkladntext158dkovn0pt"/>
          <w:color w:val="auto"/>
          <w:spacing w:val="0"/>
          <w:sz w:val="24"/>
          <w:lang w:val="cs-CZ"/>
        </w:rPr>
        <w:fldChar w:fldCharType="begin"/>
      </w:r>
      <w:r w:rsidR="08E17C15">
        <w:instrText xml:space="preserve"> XE "</w:instrText>
      </w:r>
      <w:r w:rsidR="08E17C15" w:rsidRPr="085770B6">
        <w:rPr>
          <w:rStyle w:val="Zkladntext158dkovn0pt"/>
          <w:color w:val="auto"/>
          <w:spacing w:val="0"/>
          <w:sz w:val="24"/>
          <w:lang w:val="cs-CZ"/>
        </w:rPr>
        <w:instrText>predikace:amfibolní</w:instrText>
      </w:r>
      <w:r w:rsidR="08E17C15">
        <w:instrText xml:space="preserve">" </w:instrText>
      </w:r>
      <w:r w:rsidR="08E17C15">
        <w:rPr>
          <w:rStyle w:val="Zkladntext158dkovn0pt"/>
          <w:color w:val="auto"/>
          <w:spacing w:val="0"/>
          <w:sz w:val="24"/>
          <w:lang w:val="cs-CZ"/>
        </w:rPr>
        <w:fldChar w:fldCharType="end"/>
      </w:r>
      <w:r w:rsidR="089A6F5A">
        <w:t xml:space="preserve">dané podle </w:t>
      </w:r>
      <w:r w:rsidR="089A6F5A" w:rsidRPr="089A6F5A">
        <w:rPr>
          <w:i/>
        </w:rPr>
        <w:t>Kategorií</w:t>
      </w:r>
      <w:r w:rsidR="089A6F5A">
        <w:t xml:space="preserve">. </w:t>
      </w:r>
      <w:r w:rsidR="084D6BCA">
        <w:rPr>
          <w:color w:val="000000"/>
        </w:rPr>
        <w:t>To je typická pozice S</w:t>
      </w:r>
      <w:r w:rsidR="08102DAD">
        <w:rPr>
          <w:color w:val="000000"/>
        </w:rPr>
        <w:t>implikia a Avicenny uvedená v předešlých matricích</w:t>
      </w:r>
      <w:r w:rsidR="084D6BCA">
        <w:rPr>
          <w:color w:val="000000"/>
        </w:rPr>
        <w:t xml:space="preserve">. </w:t>
      </w:r>
      <w:r w:rsidR="08F14A79">
        <w:t>Boethius postuloval e</w:t>
      </w:r>
      <w:r w:rsidR="08AD7FD8">
        <w:t xml:space="preserve">xistenci v modu </w:t>
      </w:r>
      <w:r w:rsidR="00A26264">
        <w:t>„</w:t>
      </w:r>
      <w:r w:rsidR="08AD7FD8" w:rsidRPr="08AD7FD8">
        <w:rPr>
          <w:i/>
        </w:rPr>
        <w:t>quo est</w:t>
      </w:r>
      <w:r w:rsidR="00A26264">
        <w:t>“</w:t>
      </w:r>
      <w:r w:rsidR="08AD7FD8">
        <w:t xml:space="preserve"> </w:t>
      </w:r>
      <w:r w:rsidR="08C11129">
        <w:t xml:space="preserve">pouze pro akt bytí první substance. </w:t>
      </w:r>
      <w:r w:rsidR="080106FD" w:rsidRPr="00273106">
        <w:t xml:space="preserve">Gilbert zavedl vedle kategoriální predikace </w:t>
      </w:r>
      <w:r w:rsidR="080106FD">
        <w:t xml:space="preserve">první substance </w:t>
      </w:r>
      <w:r w:rsidR="080106FD" w:rsidRPr="00273106">
        <w:t xml:space="preserve">i </w:t>
      </w:r>
      <w:r w:rsidR="080106FD">
        <w:t>predikaci</w:t>
      </w:r>
      <w:r w:rsidR="080106FD" w:rsidRPr="00273106">
        <w:t xml:space="preserve"> </w:t>
      </w:r>
      <w:r w:rsidR="080106FD">
        <w:t xml:space="preserve">její hypostázované subsistence. </w:t>
      </w:r>
      <w:r w:rsidR="088C2FA1" w:rsidRPr="00273106">
        <w:t xml:space="preserve">Gilbertův komentář </w:t>
      </w:r>
      <w:r w:rsidR="088C2FA1">
        <w:t xml:space="preserve">k Boethiově </w:t>
      </w:r>
      <w:r w:rsidR="088C2FA1" w:rsidRPr="00273106">
        <w:rPr>
          <w:i/>
          <w:color w:val="000000"/>
        </w:rPr>
        <w:t>Tertia</w:t>
      </w:r>
      <w:r w:rsidR="088C2FA1" w:rsidRPr="00273106">
        <w:rPr>
          <w:color w:val="000000"/>
        </w:rPr>
        <w:t xml:space="preserve"> </w:t>
      </w:r>
      <w:r w:rsidR="088C2FA1" w:rsidRPr="00273106">
        <w:rPr>
          <w:i/>
          <w:color w:val="000000"/>
        </w:rPr>
        <w:t>regula</w:t>
      </w:r>
      <w:r w:rsidR="088C2FA1">
        <w:t xml:space="preserve"> ukazuje, že jím postulovaná </w:t>
      </w:r>
      <w:r w:rsidR="00187E08">
        <w:t>„</w:t>
      </w:r>
      <w:r w:rsidR="088C2FA1">
        <w:t>existence třetího druhu</w:t>
      </w:r>
      <w:r w:rsidR="00187E08">
        <w:t>“</w:t>
      </w:r>
      <w:r w:rsidR="088C2FA1" w:rsidRPr="00273106">
        <w:t xml:space="preserve"> (</w:t>
      </w:r>
      <w:r w:rsidR="088C2FA1" w:rsidRPr="00273106">
        <w:rPr>
          <w:i/>
        </w:rPr>
        <w:t>qua subsistens</w:t>
      </w:r>
      <w:r w:rsidR="088C2FA1" w:rsidRPr="00273106">
        <w:t>) umožnila substanční predikaci i čistým</w:t>
      </w:r>
      <w:r w:rsidR="0039215B">
        <w:t xml:space="preserve"> akcidentům</w:t>
      </w:r>
      <w:r w:rsidR="089B3C75">
        <w:t>, jako byl</w:t>
      </w:r>
      <w:r w:rsidR="00B0255E">
        <w:t xml:space="preserve">a výše uvedená </w:t>
      </w:r>
      <w:r w:rsidR="088C2FA1" w:rsidRPr="00273106">
        <w:t>kvalita a kvantita (</w:t>
      </w:r>
      <w:r w:rsidR="088C2FA1" w:rsidRPr="00273106">
        <w:rPr>
          <w:i/>
        </w:rPr>
        <w:t>ipsum quale vel quantum</w:t>
      </w:r>
      <w:r w:rsidR="088C2FA1" w:rsidRPr="00273106">
        <w:t xml:space="preserve">). </w:t>
      </w:r>
      <w:r w:rsidR="082D3D09">
        <w:t>Tyto tři akcidenty (kvalita, kvantita, vztah) dostanou v moderně zásadní význam nový</w:t>
      </w:r>
      <w:r w:rsidR="08A15830">
        <w:t>ch</w:t>
      </w:r>
      <w:r w:rsidR="082D3D09">
        <w:t xml:space="preserve"> transcendentálních určení jsoucna, což ukáže </w:t>
      </w:r>
      <w:r w:rsidR="08AF79DA">
        <w:t xml:space="preserve">exegeze </w:t>
      </w:r>
      <w:r w:rsidR="082D3D09">
        <w:t xml:space="preserve">spisu </w:t>
      </w:r>
      <w:r w:rsidR="082D3D09" w:rsidRPr="082D3D09">
        <w:rPr>
          <w:i/>
        </w:rPr>
        <w:t>Kategorie</w:t>
      </w:r>
      <w:r w:rsidR="082D3D09">
        <w:t xml:space="preserve"> okolo roku 1230 (kap. </w:t>
      </w:r>
      <w:r w:rsidR="08DE6CFE">
        <w:t>3</w:t>
      </w:r>
      <w:r w:rsidR="08AF79DA">
        <w:t>.1.2</w:t>
      </w:r>
      <w:r w:rsidR="082D3D09">
        <w:t xml:space="preserve">). </w:t>
      </w:r>
      <w:r w:rsidR="000644D1">
        <w:rPr>
          <w:color w:val="000000"/>
        </w:rPr>
        <w:t xml:space="preserve">Nová </w:t>
      </w:r>
      <w:r w:rsidR="00575ED7" w:rsidRPr="00273106">
        <w:rPr>
          <w:color w:val="000000"/>
        </w:rPr>
        <w:t>„ex</w:t>
      </w:r>
      <w:r w:rsidR="00676B07">
        <w:rPr>
          <w:color w:val="000000"/>
        </w:rPr>
        <w:t>s</w:t>
      </w:r>
      <w:r w:rsidR="00575ED7" w:rsidRPr="00273106">
        <w:rPr>
          <w:color w:val="000000"/>
        </w:rPr>
        <w:t xml:space="preserve">istence“ </w:t>
      </w:r>
      <w:r w:rsidR="089D1D25">
        <w:rPr>
          <w:color w:val="000000"/>
        </w:rPr>
        <w:t>hypostází třetího druhu postavených</w:t>
      </w:r>
      <w:r w:rsidR="00741963">
        <w:rPr>
          <w:color w:val="000000"/>
        </w:rPr>
        <w:t xml:space="preserve"> mimo bytí první substance a mimo její univerzální predikaci ve druhé substanci </w:t>
      </w:r>
      <w:r w:rsidR="00575ED7" w:rsidRPr="00273106">
        <w:rPr>
          <w:color w:val="000000"/>
        </w:rPr>
        <w:t xml:space="preserve">se stala </w:t>
      </w:r>
      <w:r w:rsidR="00741963">
        <w:rPr>
          <w:color w:val="000000"/>
        </w:rPr>
        <w:t xml:space="preserve">zvláštním typem </w:t>
      </w:r>
      <w:r w:rsidR="08BE1A75">
        <w:rPr>
          <w:color w:val="000000"/>
        </w:rPr>
        <w:t xml:space="preserve">amfibolní </w:t>
      </w:r>
      <w:r w:rsidR="00575ED7" w:rsidRPr="00273106">
        <w:rPr>
          <w:color w:val="000000"/>
        </w:rPr>
        <w:t>univerzáli</w:t>
      </w:r>
      <w:r w:rsidR="00741963">
        <w:rPr>
          <w:color w:val="000000"/>
        </w:rPr>
        <w:t xml:space="preserve">e. </w:t>
      </w:r>
      <w:r w:rsidR="001F1ED9">
        <w:t xml:space="preserve">Nové určení substance </w:t>
      </w:r>
      <w:r w:rsidR="001F1ED9" w:rsidRPr="00273106">
        <w:t>se liší od kate</w:t>
      </w:r>
      <w:r w:rsidR="001F1ED9">
        <w:t xml:space="preserve">goriální predikace tím, že </w:t>
      </w:r>
      <w:r w:rsidR="00716FED">
        <w:t xml:space="preserve">je </w:t>
      </w:r>
      <w:r w:rsidR="001F1ED9">
        <w:t>vzato</w:t>
      </w:r>
      <w:r w:rsidR="001F1ED9" w:rsidRPr="00273106">
        <w:t xml:space="preserve"> čistě potenciálně, ale přesto funguje jako </w:t>
      </w:r>
      <w:r w:rsidR="001F1ED9">
        <w:t xml:space="preserve">kategoriální </w:t>
      </w:r>
      <w:r w:rsidR="00AF5DB3">
        <w:t xml:space="preserve">impozice významu </w:t>
      </w:r>
      <w:r w:rsidR="084A38E4">
        <w:t xml:space="preserve">původně </w:t>
      </w:r>
      <w:r w:rsidR="084A38E4">
        <w:lastRenderedPageBreak/>
        <w:t>predikované</w:t>
      </w:r>
      <w:r w:rsidR="00AF5DB3">
        <w:t xml:space="preserve">ho vzhledem k </w:t>
      </w:r>
      <w:r w:rsidR="084A38E4">
        <w:t xml:space="preserve">první </w:t>
      </w:r>
      <w:r w:rsidR="00AF5DB3">
        <w:t>substanci</w:t>
      </w:r>
      <w:r w:rsidR="001F1ED9" w:rsidRPr="00273106">
        <w:t xml:space="preserve">. </w:t>
      </w:r>
      <w:r w:rsidR="00AF5DB3">
        <w:t>A protože jde o existenciální soud</w:t>
      </w:r>
      <w:r w:rsidR="001F1ED9">
        <w:t xml:space="preserve">, toto určení musí být nutně v </w:t>
      </w:r>
      <w:r w:rsidR="089116BF">
        <w:t xml:space="preserve">kategoriálním </w:t>
      </w:r>
      <w:r w:rsidR="001F1ED9">
        <w:t xml:space="preserve">modu </w:t>
      </w:r>
      <w:r w:rsidR="001F1ED9" w:rsidRPr="009C3D41">
        <w:rPr>
          <w:i/>
        </w:rPr>
        <w:t>per prius</w:t>
      </w:r>
      <w:r w:rsidR="00AF5DB3">
        <w:t>, aby naplnilo funkci aristotelské</w:t>
      </w:r>
      <w:r w:rsidR="089116BF">
        <w:t xml:space="preserve"> </w:t>
      </w:r>
      <w:r w:rsidR="00AF5DB3">
        <w:t>druhé</w:t>
      </w:r>
      <w:r w:rsidR="001F1ED9">
        <w:t xml:space="preserve"> substance. </w:t>
      </w:r>
      <w:r w:rsidR="08595765">
        <w:rPr>
          <w:color w:val="000000"/>
        </w:rPr>
        <w:t>Gilbert</w:t>
      </w:r>
      <w:r w:rsidR="083A53C7" w:rsidRPr="083A53C7">
        <w:rPr>
          <w:color w:val="000000"/>
        </w:rPr>
        <w:t xml:space="preserve"> </w:t>
      </w:r>
      <w:r w:rsidR="083A53C7">
        <w:rPr>
          <w:color w:val="000000"/>
        </w:rPr>
        <w:t xml:space="preserve">vytvořil </w:t>
      </w:r>
      <w:r w:rsidR="08595765">
        <w:rPr>
          <w:color w:val="000000"/>
        </w:rPr>
        <w:t xml:space="preserve">spojením esence a první substance nové jsoucno třetího druhu. </w:t>
      </w:r>
      <w:r w:rsidR="08FE5A56">
        <w:rPr>
          <w:color w:val="000000"/>
        </w:rPr>
        <w:t xml:space="preserve">Pro </w:t>
      </w:r>
      <w:r w:rsidR="00907839">
        <w:rPr>
          <w:color w:val="000000"/>
        </w:rPr>
        <w:t xml:space="preserve">tohoto </w:t>
      </w:r>
      <w:r w:rsidR="006C4778">
        <w:rPr>
          <w:color w:val="000000"/>
        </w:rPr>
        <w:t xml:space="preserve">latinského </w:t>
      </w:r>
      <w:r w:rsidR="08FE5A56">
        <w:rPr>
          <w:color w:val="000000"/>
        </w:rPr>
        <w:t>ilumináta není existence či neexistence rálné věci důležitá</w:t>
      </w:r>
      <w:r w:rsidR="085F2491">
        <w:rPr>
          <w:color w:val="000000"/>
        </w:rPr>
        <w:t>, protože definoval její objektivní simulákrum</w:t>
      </w:r>
      <w:r w:rsidR="08FE5A56">
        <w:rPr>
          <w:color w:val="000000"/>
        </w:rPr>
        <w:t xml:space="preserve">. </w:t>
      </w:r>
      <w:r w:rsidR="08595765">
        <w:rPr>
          <w:color w:val="000000"/>
        </w:rPr>
        <w:t>Neoplatonské moderně stačí k univoční kategoriální predikaci</w:t>
      </w:r>
      <w:r w:rsidR="08A16C64">
        <w:rPr>
          <w:color w:val="000000"/>
        </w:rPr>
        <w:t xml:space="preserve"> fakt, že </w:t>
      </w:r>
      <w:r w:rsidR="08595765">
        <w:rPr>
          <w:color w:val="000000"/>
        </w:rPr>
        <w:t xml:space="preserve"> první substance </w:t>
      </w:r>
      <w:r w:rsidR="08A16C64">
        <w:rPr>
          <w:color w:val="000000"/>
        </w:rPr>
        <w:t xml:space="preserve">je </w:t>
      </w:r>
      <w:r w:rsidR="08595765">
        <w:rPr>
          <w:color w:val="000000"/>
        </w:rPr>
        <w:t xml:space="preserve">dána v modu esence. </w:t>
      </w:r>
      <w:r w:rsidR="08EE4E82">
        <w:rPr>
          <w:color w:val="000000"/>
        </w:rPr>
        <w:t xml:space="preserve">Tuto zásadní deformaci metafyzické predikace u porretánců rozhodně odmítl </w:t>
      </w:r>
      <w:r w:rsidR="00CB3E4F">
        <w:rPr>
          <w:color w:val="000000"/>
        </w:rPr>
        <w:t>Abélard</w:t>
      </w:r>
      <w:r w:rsidR="08EE4E82">
        <w:rPr>
          <w:color w:val="000000"/>
        </w:rPr>
        <w:t xml:space="preserve"> (kap. </w:t>
      </w:r>
      <w:r w:rsidR="002E0BE7">
        <w:rPr>
          <w:color w:val="000000"/>
        </w:rPr>
        <w:t>1.3</w:t>
      </w:r>
      <w:r w:rsidR="08EE4E82">
        <w:rPr>
          <w:color w:val="000000"/>
        </w:rPr>
        <w:t xml:space="preserve">). </w:t>
      </w:r>
      <w:r w:rsidR="08F25922">
        <w:rPr>
          <w:color w:val="000000"/>
        </w:rPr>
        <w:t>P</w:t>
      </w:r>
      <w:r w:rsidR="08F25922">
        <w:t>řeměna</w:t>
      </w:r>
      <w:r w:rsidR="00782561" w:rsidRPr="00273106">
        <w:t xml:space="preserve"> první </w:t>
      </w:r>
      <w:r w:rsidR="0071622D">
        <w:t xml:space="preserve">hyparchické </w:t>
      </w:r>
      <w:r w:rsidR="00782561" w:rsidRPr="00273106">
        <w:t xml:space="preserve">substance na potenciální koncept </w:t>
      </w:r>
      <w:r w:rsidR="08652EC7">
        <w:t>esence</w:t>
      </w:r>
      <w:r w:rsidR="08F25922">
        <w:t xml:space="preserve"> umožnila </w:t>
      </w:r>
      <w:r w:rsidR="00BB7317">
        <w:t xml:space="preserve">univoční </w:t>
      </w:r>
      <w:r w:rsidR="08F25922">
        <w:t>participaci</w:t>
      </w:r>
      <w:r w:rsidR="00782561" w:rsidRPr="00273106">
        <w:t xml:space="preserve"> </w:t>
      </w:r>
      <w:r w:rsidR="08652EC7">
        <w:t xml:space="preserve">existence jako generického predikátu </w:t>
      </w:r>
      <w:r w:rsidR="00782561" w:rsidRPr="00273106">
        <w:t xml:space="preserve">na jakékoliv jiné obecnině. </w:t>
      </w:r>
      <w:r w:rsidR="08652EC7">
        <w:t>Bytí jsoucna se opět stalo nejvyšším rodem jako u Platona</w:t>
      </w:r>
      <w:r w:rsidR="0864793A">
        <w:t xml:space="preserve"> a je vyvázáno z reálné existence první substance</w:t>
      </w:r>
      <w:r w:rsidR="00D85EC3">
        <w:t xml:space="preserve"> </w:t>
      </w:r>
      <w:r w:rsidR="00D85EC3">
        <w:rPr>
          <w:szCs w:val="24"/>
        </w:rPr>
        <w:t>(</w:t>
      </w:r>
      <w:r w:rsidR="00D85EC3" w:rsidRPr="00CD3B20">
        <w:rPr>
          <w:i/>
          <w:szCs w:val="24"/>
        </w:rPr>
        <w:t>exsistere</w:t>
      </w:r>
      <w:r w:rsidR="00D85EC3">
        <w:rPr>
          <w:i/>
          <w:szCs w:val="24"/>
        </w:rPr>
        <w:fldChar w:fldCharType="begin"/>
      </w:r>
      <w:r w:rsidR="00D85EC3">
        <w:instrText xml:space="preserve"> XE "</w:instrText>
      </w:r>
      <w:r w:rsidR="00D85EC3" w:rsidRPr="007041B7">
        <w:rPr>
          <w:i/>
          <w:szCs w:val="24"/>
        </w:rPr>
        <w:instrText>exsistere</w:instrText>
      </w:r>
      <w:r w:rsidR="00D85EC3">
        <w:instrText xml:space="preserve">" </w:instrText>
      </w:r>
      <w:r w:rsidR="00D85EC3">
        <w:rPr>
          <w:i/>
          <w:szCs w:val="24"/>
        </w:rPr>
        <w:fldChar w:fldCharType="end"/>
      </w:r>
      <w:r w:rsidR="00D85EC3">
        <w:rPr>
          <w:szCs w:val="24"/>
        </w:rPr>
        <w:t>)</w:t>
      </w:r>
      <w:r w:rsidR="08652EC7">
        <w:t xml:space="preserve">. </w:t>
      </w:r>
      <w:r w:rsidR="00782561" w:rsidRPr="00273106">
        <w:t>Existence se stala kvazi-sub</w:t>
      </w:r>
      <w:r w:rsidR="00782561">
        <w:t>stancí</w:t>
      </w:r>
      <w:r w:rsidR="00F61DD2">
        <w:t xml:space="preserve"> a začala </w:t>
      </w:r>
      <w:r w:rsidR="00782561">
        <w:t>fungovat v rámci kategoriální predikace</w:t>
      </w:r>
      <w:r w:rsidR="00782561" w:rsidRPr="00273106">
        <w:t>.</w:t>
      </w:r>
      <w:r w:rsidR="001F50AB">
        <w:t xml:space="preserve"> </w:t>
      </w:r>
      <w:r w:rsidR="001F50AB" w:rsidRPr="00273106">
        <w:t xml:space="preserve">Připomeňme první model tohoto </w:t>
      </w:r>
      <w:r w:rsidR="001F50AB" w:rsidRPr="00273106">
        <w:rPr>
          <w:rStyle w:val="FontStyle129"/>
          <w:rFonts w:ascii="Calibri" w:hAnsi="Calibri"/>
          <w:sz w:val="24"/>
        </w:rPr>
        <w:t>zdvojení bytí</w:t>
      </w:r>
      <w:r w:rsidR="00015564">
        <w:rPr>
          <w:rStyle w:val="FontStyle129"/>
          <w:rFonts w:ascii="Calibri" w:hAnsi="Calibri"/>
          <w:sz w:val="24"/>
        </w:rPr>
        <w:fldChar w:fldCharType="begin"/>
      </w:r>
      <w:r w:rsidR="00015564">
        <w:instrText xml:space="preserve"> XE "</w:instrText>
      </w:r>
      <w:r w:rsidR="00007C85">
        <w:rPr>
          <w:rStyle w:val="FontStyle129"/>
          <w:rFonts w:ascii="Calibri" w:hAnsi="Calibri"/>
          <w:sz w:val="24"/>
        </w:rPr>
        <w:instrText>zdvojení</w:instrText>
      </w:r>
      <w:r w:rsidR="00015564" w:rsidRPr="00317487">
        <w:rPr>
          <w:rStyle w:val="FontStyle129"/>
          <w:rFonts w:ascii="Calibri" w:hAnsi="Calibri"/>
          <w:sz w:val="24"/>
        </w:rPr>
        <w:instrText xml:space="preserve"> bytí</w:instrText>
      </w:r>
      <w:r w:rsidR="00015564">
        <w:instrText xml:space="preserve">" </w:instrText>
      </w:r>
      <w:r w:rsidR="00015564">
        <w:rPr>
          <w:rStyle w:val="FontStyle129"/>
          <w:rFonts w:ascii="Calibri" w:hAnsi="Calibri"/>
          <w:sz w:val="24"/>
        </w:rPr>
        <w:fldChar w:fldCharType="end"/>
      </w:r>
      <w:r w:rsidR="00144E6E">
        <w:rPr>
          <w:rStyle w:val="FontStyle129"/>
          <w:rFonts w:ascii="Calibri" w:hAnsi="Calibri"/>
          <w:sz w:val="24"/>
        </w:rPr>
        <w:t xml:space="preserve"> v Porfy</w:t>
      </w:r>
      <w:r w:rsidR="001F50AB" w:rsidRPr="00273106">
        <w:rPr>
          <w:rStyle w:val="FontStyle129"/>
          <w:rFonts w:ascii="Calibri" w:hAnsi="Calibri"/>
          <w:sz w:val="24"/>
        </w:rPr>
        <w:t>rio</w:t>
      </w:r>
      <w:r w:rsidR="00144E6E">
        <w:rPr>
          <w:rStyle w:val="FontStyle129"/>
          <w:rFonts w:ascii="Calibri" w:hAnsi="Calibri"/>
          <w:sz w:val="24"/>
        </w:rPr>
        <w:t xml:space="preserve">vě komentáři k dialogu </w:t>
      </w:r>
      <w:r w:rsidR="00144E6E" w:rsidRPr="00144E6E">
        <w:rPr>
          <w:rStyle w:val="FontStyle129"/>
          <w:rFonts w:ascii="Calibri" w:hAnsi="Calibri"/>
          <w:i/>
          <w:sz w:val="24"/>
        </w:rPr>
        <w:t>Parmenide</w:t>
      </w:r>
      <w:r w:rsidR="001F50AB" w:rsidRPr="00144E6E">
        <w:rPr>
          <w:rStyle w:val="FontStyle129"/>
          <w:rFonts w:ascii="Calibri" w:hAnsi="Calibri"/>
          <w:i/>
          <w:sz w:val="24"/>
        </w:rPr>
        <w:t>s</w:t>
      </w:r>
      <w:r w:rsidR="001F50AB" w:rsidRPr="00273106">
        <w:rPr>
          <w:rStyle w:val="FontStyle129"/>
          <w:rFonts w:ascii="Calibri" w:hAnsi="Calibri"/>
          <w:sz w:val="24"/>
        </w:rPr>
        <w:t xml:space="preserve"> </w:t>
      </w:r>
      <w:r w:rsidR="001F50AB" w:rsidRPr="00273106">
        <w:t>(</w:t>
      </w:r>
      <w:r w:rsidR="084E7952">
        <w:t>kap. 1.3</w:t>
      </w:r>
      <w:r w:rsidR="001F50AB" w:rsidRPr="00273106">
        <w:t>.1).</w:t>
      </w:r>
      <w:r w:rsidR="00940DC9">
        <w:t xml:space="preserve"> </w:t>
      </w:r>
      <w:r w:rsidR="00144E6E">
        <w:t xml:space="preserve">Bytí </w:t>
      </w:r>
      <w:r w:rsidR="08474FDD">
        <w:t xml:space="preserve">jsoucna </w:t>
      </w:r>
      <w:r w:rsidR="00144E6E">
        <w:t xml:space="preserve">se stalo </w:t>
      </w:r>
      <w:r w:rsidR="08474FDD">
        <w:t xml:space="preserve">v porretánské škole nejvyšším </w:t>
      </w:r>
      <w:r w:rsidR="00144E6E">
        <w:t>rodem a začalo fungovat v kategoriální predikaci jako druhá substance</w:t>
      </w:r>
      <w:r w:rsidR="00F05DB1">
        <w:t>. T</w:t>
      </w:r>
      <w:r w:rsidR="001765C7">
        <w:t>aková metafyzická</w:t>
      </w:r>
      <w:r w:rsidR="000F2451">
        <w:t xml:space="preserve"> hereze byla</w:t>
      </w:r>
      <w:r w:rsidR="00144E6E">
        <w:t xml:space="preserve"> pro </w:t>
      </w:r>
      <w:r w:rsidR="000F2451">
        <w:t xml:space="preserve">skutečné </w:t>
      </w:r>
      <w:r w:rsidR="00144E6E">
        <w:t xml:space="preserve">aristoteliky jako </w:t>
      </w:r>
      <w:r w:rsidR="00CB3E4F">
        <w:t>Abélard</w:t>
      </w:r>
      <w:r w:rsidR="000F2451">
        <w:t xml:space="preserve"> naprosto vyloučena</w:t>
      </w:r>
      <w:r w:rsidR="00043EF3">
        <w:t>.</w:t>
      </w:r>
    </w:p>
    <w:p w14:paraId="2621BE80" w14:textId="67E0ADED" w:rsidR="008E69D5" w:rsidRPr="003D0186" w:rsidRDefault="00A273A4" w:rsidP="00043EF3">
      <w:pPr>
        <w:ind w:firstLine="397"/>
      </w:pPr>
      <w:r w:rsidRPr="00273106">
        <w:t>Nová predikace</w:t>
      </w:r>
      <w:r w:rsidR="0053005B">
        <w:fldChar w:fldCharType="begin"/>
      </w:r>
      <w:r w:rsidR="0053005B">
        <w:instrText xml:space="preserve"> XE "</w:instrText>
      </w:r>
      <w:r w:rsidR="0053005B" w:rsidRPr="00BF5100">
        <w:instrText>predikace:objektivní</w:instrText>
      </w:r>
      <w:r w:rsidR="0053005B">
        <w:instrText xml:space="preserve">" </w:instrText>
      </w:r>
      <w:r w:rsidR="0053005B">
        <w:fldChar w:fldCharType="end"/>
      </w:r>
      <w:r w:rsidRPr="00273106">
        <w:t xml:space="preserve"> </w:t>
      </w:r>
      <w:r w:rsidR="00773B8B">
        <w:t xml:space="preserve">bytí substance jako hypostáze třetího druhu </w:t>
      </w:r>
      <w:r w:rsidRPr="00273106">
        <w:t xml:space="preserve">změnila klasickou tabulku </w:t>
      </w:r>
      <w:r w:rsidR="00CA353B">
        <w:t xml:space="preserve">aristotelských </w:t>
      </w:r>
      <w:r w:rsidRPr="00273106">
        <w:t xml:space="preserve">kategorií. </w:t>
      </w:r>
      <w:r w:rsidR="00BB7317" w:rsidRPr="00273106">
        <w:rPr>
          <w:color w:val="000000"/>
        </w:rPr>
        <w:t>K formálně určené existenci se přidají příslušná akcidentální určení v rámci univočně pojaté participace (</w:t>
      </w:r>
      <w:r w:rsidR="00BB7317" w:rsidRPr="00273106">
        <w:rPr>
          <w:i/>
          <w:color w:val="000000"/>
        </w:rPr>
        <w:t>ipsum quale vel quantum sit</w:t>
      </w:r>
      <w:r w:rsidR="00BB7317" w:rsidRPr="00273106">
        <w:rPr>
          <w:color w:val="000000"/>
        </w:rPr>
        <w:t xml:space="preserve">). </w:t>
      </w:r>
      <w:r w:rsidR="009F013C" w:rsidRPr="00273106">
        <w:rPr>
          <w:szCs w:val="21"/>
        </w:rPr>
        <w:t xml:space="preserve">Boethiův komentář ke </w:t>
      </w:r>
      <w:r w:rsidR="009F013C" w:rsidRPr="007D3719">
        <w:rPr>
          <w:i/>
          <w:szCs w:val="21"/>
        </w:rPr>
        <w:t>Kategoriím</w:t>
      </w:r>
      <w:r w:rsidR="087656C5">
        <w:rPr>
          <w:szCs w:val="21"/>
        </w:rPr>
        <w:t xml:space="preserve"> tvrdí, že určení typu </w:t>
      </w:r>
      <w:r w:rsidR="009F013C" w:rsidRPr="00273106">
        <w:rPr>
          <w:i/>
        </w:rPr>
        <w:t>quale</w:t>
      </w:r>
      <w:r w:rsidR="009F013C" w:rsidRPr="00273106">
        <w:t xml:space="preserve"> je možné pouze jako </w:t>
      </w:r>
      <w:r w:rsidR="009F013C" w:rsidRPr="00273106">
        <w:rPr>
          <w:szCs w:val="21"/>
        </w:rPr>
        <w:t>akcidentální determinace druhé substance.</w:t>
      </w:r>
      <w:r w:rsidR="009F013C" w:rsidRPr="00273106">
        <w:rPr>
          <w:rStyle w:val="Znakapoznpodarou"/>
          <w:szCs w:val="21"/>
        </w:rPr>
        <w:footnoteReference w:id="47"/>
      </w:r>
      <w:r w:rsidR="009F013C" w:rsidRPr="00273106">
        <w:rPr>
          <w:szCs w:val="21"/>
        </w:rPr>
        <w:t xml:space="preserve"> </w:t>
      </w:r>
      <w:r w:rsidR="00981439" w:rsidRPr="00273106">
        <w:rPr>
          <w:szCs w:val="21"/>
        </w:rPr>
        <w:t xml:space="preserve">Kvalita aktuálně </w:t>
      </w:r>
      <w:r w:rsidR="00981439">
        <w:rPr>
          <w:szCs w:val="21"/>
        </w:rPr>
        <w:t xml:space="preserve">subsistující v </w:t>
      </w:r>
      <w:r w:rsidR="00981439" w:rsidRPr="00273106">
        <w:rPr>
          <w:szCs w:val="21"/>
        </w:rPr>
        <w:t xml:space="preserve">první substanci je univerzálně predikována </w:t>
      </w:r>
      <w:r w:rsidR="00A95A81">
        <w:rPr>
          <w:szCs w:val="21"/>
        </w:rPr>
        <w:t xml:space="preserve">vzhledem ke </w:t>
      </w:r>
      <w:r w:rsidR="00981439" w:rsidRPr="00273106">
        <w:rPr>
          <w:szCs w:val="21"/>
        </w:rPr>
        <w:t>dr</w:t>
      </w:r>
      <w:r w:rsidR="00A95A81">
        <w:rPr>
          <w:szCs w:val="21"/>
        </w:rPr>
        <w:t>uhé</w:t>
      </w:r>
      <w:r w:rsidR="00981439" w:rsidRPr="00273106">
        <w:rPr>
          <w:szCs w:val="21"/>
        </w:rPr>
        <w:t xml:space="preserve"> substanci (</w:t>
      </w:r>
      <w:r w:rsidR="00981439" w:rsidRPr="00273106">
        <w:rPr>
          <w:i/>
        </w:rPr>
        <w:t>ipsam qualitatem circa substantias determinent</w:t>
      </w:r>
      <w:r w:rsidR="00981439" w:rsidRPr="00273106">
        <w:rPr>
          <w:szCs w:val="21"/>
        </w:rPr>
        <w:t>).</w:t>
      </w:r>
      <w:r w:rsidR="00981439">
        <w:rPr>
          <w:szCs w:val="21"/>
        </w:rPr>
        <w:t xml:space="preserve"> </w:t>
      </w:r>
      <w:r w:rsidR="009E0786">
        <w:rPr>
          <w:szCs w:val="21"/>
        </w:rPr>
        <w:t xml:space="preserve">Boethiův výklad </w:t>
      </w:r>
      <w:r w:rsidR="009F013C" w:rsidRPr="00273106">
        <w:rPr>
          <w:szCs w:val="21"/>
        </w:rPr>
        <w:t xml:space="preserve">jasně rozlišuje kategoriální </w:t>
      </w:r>
      <w:r w:rsidR="004A4665" w:rsidRPr="00273106">
        <w:rPr>
          <w:szCs w:val="21"/>
        </w:rPr>
        <w:t xml:space="preserve">akcidenty </w:t>
      </w:r>
      <w:r w:rsidR="08EE4E82">
        <w:rPr>
          <w:szCs w:val="21"/>
        </w:rPr>
        <w:t xml:space="preserve">dané univerzálně </w:t>
      </w:r>
      <w:r w:rsidR="009F013C" w:rsidRPr="00273106">
        <w:rPr>
          <w:szCs w:val="21"/>
        </w:rPr>
        <w:t>od singulární jednotliviny (</w:t>
      </w:r>
      <w:r w:rsidR="009F013C" w:rsidRPr="00273106">
        <w:rPr>
          <w:i/>
          <w:szCs w:val="21"/>
        </w:rPr>
        <w:t>non</w:t>
      </w:r>
      <w:r w:rsidR="009F013C" w:rsidRPr="00273106">
        <w:rPr>
          <w:szCs w:val="21"/>
        </w:rPr>
        <w:t xml:space="preserve"> </w:t>
      </w:r>
      <w:r w:rsidR="009F013C" w:rsidRPr="00273106">
        <w:rPr>
          <w:i/>
        </w:rPr>
        <w:t>hoc aliquid sed quale aliquid</w:t>
      </w:r>
      <w:r w:rsidR="00553958" w:rsidRPr="00273106">
        <w:rPr>
          <w:szCs w:val="21"/>
        </w:rPr>
        <w:t>)</w:t>
      </w:r>
      <w:r w:rsidR="005D5AF0" w:rsidRPr="00273106">
        <w:rPr>
          <w:szCs w:val="21"/>
        </w:rPr>
        <w:t xml:space="preserve">. </w:t>
      </w:r>
      <w:r w:rsidR="082965BD">
        <w:rPr>
          <w:szCs w:val="21"/>
        </w:rPr>
        <w:t>D</w:t>
      </w:r>
      <w:r w:rsidR="082965BD" w:rsidRPr="00273106">
        <w:rPr>
          <w:szCs w:val="21"/>
        </w:rPr>
        <w:t>ruhá substance v řádu signifikace univočně konstatuje</w:t>
      </w:r>
      <w:r w:rsidR="080D6289">
        <w:rPr>
          <w:szCs w:val="21"/>
        </w:rPr>
        <w:t xml:space="preserve"> skrze akcidenty, </w:t>
      </w:r>
      <w:r w:rsidR="082965BD" w:rsidRPr="00273106">
        <w:rPr>
          <w:szCs w:val="21"/>
        </w:rPr>
        <w:t>ja</w:t>
      </w:r>
      <w:r w:rsidR="080D6289">
        <w:rPr>
          <w:szCs w:val="21"/>
        </w:rPr>
        <w:t>k e</w:t>
      </w:r>
      <w:r w:rsidR="082965BD" w:rsidRPr="00273106">
        <w:rPr>
          <w:szCs w:val="21"/>
        </w:rPr>
        <w:t xml:space="preserve">xistuje </w:t>
      </w:r>
      <w:r w:rsidR="080D6289">
        <w:rPr>
          <w:szCs w:val="21"/>
        </w:rPr>
        <w:t xml:space="preserve">hyparchická </w:t>
      </w:r>
      <w:r w:rsidR="082965BD" w:rsidRPr="00273106">
        <w:rPr>
          <w:szCs w:val="21"/>
        </w:rPr>
        <w:t xml:space="preserve">první substance. </w:t>
      </w:r>
      <w:r w:rsidR="082965BD">
        <w:rPr>
          <w:szCs w:val="21"/>
        </w:rPr>
        <w:t>Jak je dána první subst</w:t>
      </w:r>
      <w:r w:rsidR="00226E85">
        <w:rPr>
          <w:szCs w:val="21"/>
        </w:rPr>
        <w:t>ance v reálu, taková je k</w:t>
      </w:r>
      <w:r w:rsidR="000F6015" w:rsidRPr="00273106">
        <w:rPr>
          <w:szCs w:val="21"/>
        </w:rPr>
        <w:t xml:space="preserve">ategoriálně predikovaná </w:t>
      </w:r>
      <w:r w:rsidR="00553958" w:rsidRPr="00273106">
        <w:rPr>
          <w:szCs w:val="21"/>
        </w:rPr>
        <w:t>„jakost“</w:t>
      </w:r>
      <w:r w:rsidR="005D5AF0" w:rsidRPr="00273106">
        <w:rPr>
          <w:szCs w:val="21"/>
        </w:rPr>
        <w:t xml:space="preserve"> </w:t>
      </w:r>
      <w:r w:rsidR="00226E85">
        <w:rPr>
          <w:szCs w:val="21"/>
        </w:rPr>
        <w:t xml:space="preserve">této </w:t>
      </w:r>
      <w:r w:rsidR="005D5AF0" w:rsidRPr="00273106">
        <w:rPr>
          <w:szCs w:val="21"/>
        </w:rPr>
        <w:t xml:space="preserve">věci </w:t>
      </w:r>
      <w:r w:rsidR="00F105EB" w:rsidRPr="00273106">
        <w:rPr>
          <w:szCs w:val="21"/>
        </w:rPr>
        <w:t>v</w:t>
      </w:r>
      <w:r w:rsidR="0093433C" w:rsidRPr="00273106">
        <w:rPr>
          <w:szCs w:val="21"/>
        </w:rPr>
        <w:t xml:space="preserve"> </w:t>
      </w:r>
      <w:r w:rsidR="00F105EB" w:rsidRPr="00273106">
        <w:rPr>
          <w:szCs w:val="21"/>
        </w:rPr>
        <w:t>rámci akcidenciálního určení</w:t>
      </w:r>
      <w:r w:rsidR="00226E85">
        <w:rPr>
          <w:szCs w:val="21"/>
        </w:rPr>
        <w:t xml:space="preserve"> druhé substrance</w:t>
      </w:r>
      <w:r w:rsidR="00BB7317">
        <w:rPr>
          <w:szCs w:val="21"/>
        </w:rPr>
        <w:t xml:space="preserve">. </w:t>
      </w:r>
      <w:r w:rsidR="004B2AA6">
        <w:rPr>
          <w:szCs w:val="21"/>
        </w:rPr>
        <w:t xml:space="preserve">Proto lze </w:t>
      </w:r>
      <w:r w:rsidR="08BD5AA9">
        <w:rPr>
          <w:szCs w:val="21"/>
        </w:rPr>
        <w:t xml:space="preserve">kategorizovat a </w:t>
      </w:r>
      <w:r w:rsidR="004B2AA6">
        <w:rPr>
          <w:szCs w:val="21"/>
        </w:rPr>
        <w:t>dělit jen univerzální významy</w:t>
      </w:r>
      <w:r w:rsidR="08BD5AA9">
        <w:rPr>
          <w:szCs w:val="21"/>
        </w:rPr>
        <w:t>,</w:t>
      </w:r>
      <w:r w:rsidR="004B2AA6">
        <w:rPr>
          <w:szCs w:val="21"/>
        </w:rPr>
        <w:t xml:space="preserve"> a ne reálné věci. </w:t>
      </w:r>
      <w:r w:rsidR="000C3116" w:rsidRPr="00273106">
        <w:rPr>
          <w:color w:val="000000"/>
        </w:rPr>
        <w:t>Citovaný Gilbertův výklad</w:t>
      </w:r>
      <w:r w:rsidR="00E30536" w:rsidRPr="00273106">
        <w:rPr>
          <w:color w:val="000000"/>
        </w:rPr>
        <w:t xml:space="preserve"> </w:t>
      </w:r>
      <w:r w:rsidR="00E30536" w:rsidRPr="00273106">
        <w:t>směšuje akt exist</w:t>
      </w:r>
      <w:r w:rsidR="087656C5">
        <w:t xml:space="preserve">ence daný v subsistentním modu </w:t>
      </w:r>
      <w:r w:rsidR="00E30536" w:rsidRPr="00273106">
        <w:rPr>
          <w:i/>
        </w:rPr>
        <w:t>qua</w:t>
      </w:r>
      <w:r w:rsidR="00E30536" w:rsidRPr="00273106">
        <w:t xml:space="preserve"> („toto bílé auto“) a pouhou ekvivoční signifikaci akcidentu vzatého </w:t>
      </w:r>
      <w:r w:rsidR="00E30536" w:rsidRPr="00273106">
        <w:lastRenderedPageBreak/>
        <w:t>ve formě kvazi</w:t>
      </w:r>
      <w:r w:rsidR="00E30536" w:rsidRPr="00273106">
        <w:noBreakHyphen/>
        <w:t>subsistence („běloba</w:t>
      </w:r>
      <w:r w:rsidR="00447BAB">
        <w:fldChar w:fldCharType="begin"/>
      </w:r>
      <w:r w:rsidR="00447BAB">
        <w:instrText xml:space="preserve"> XE "</w:instrText>
      </w:r>
      <w:r w:rsidR="00447BAB" w:rsidRPr="00C0177F">
        <w:instrText>predikace:běloba</w:instrText>
      </w:r>
      <w:r w:rsidR="00447BAB">
        <w:instrText xml:space="preserve">" </w:instrText>
      </w:r>
      <w:r w:rsidR="00447BAB">
        <w:fldChar w:fldCharType="end"/>
      </w:r>
      <w:r w:rsidR="00E30536" w:rsidRPr="00273106">
        <w:t xml:space="preserve">“). </w:t>
      </w:r>
      <w:r w:rsidR="004F1BE9" w:rsidRPr="00273106">
        <w:t xml:space="preserve">Gilbert </w:t>
      </w:r>
      <w:r w:rsidR="003A7FB1" w:rsidRPr="00273106">
        <w:t xml:space="preserve">zrušil </w:t>
      </w:r>
      <w:r w:rsidR="00615E6D" w:rsidRPr="00273106">
        <w:rPr>
          <w:color w:val="000000"/>
        </w:rPr>
        <w:t>dvojí statut</w:t>
      </w:r>
      <w:r w:rsidR="003A7FB1" w:rsidRPr="00273106">
        <w:rPr>
          <w:color w:val="000000"/>
        </w:rPr>
        <w:t xml:space="preserve"> </w:t>
      </w:r>
      <w:r w:rsidR="00615E6D" w:rsidRPr="00273106">
        <w:rPr>
          <w:color w:val="000000"/>
        </w:rPr>
        <w:t xml:space="preserve">jsoucna </w:t>
      </w:r>
      <w:r w:rsidR="0018271A" w:rsidRPr="00273106">
        <w:rPr>
          <w:color w:val="000000"/>
        </w:rPr>
        <w:t xml:space="preserve">a vytvořil sofistickou kombinaci dvojího statutu existence. </w:t>
      </w:r>
      <w:r w:rsidR="004F1BE9" w:rsidRPr="00273106">
        <w:rPr>
          <w:color w:val="000000"/>
        </w:rPr>
        <w:t>B</w:t>
      </w:r>
      <w:r w:rsidR="0018271A" w:rsidRPr="00273106">
        <w:rPr>
          <w:color w:val="000000"/>
        </w:rPr>
        <w:t xml:space="preserve">ytí substance dané </w:t>
      </w:r>
      <w:r w:rsidR="003A3BDF" w:rsidRPr="00273106">
        <w:rPr>
          <w:color w:val="000000"/>
        </w:rPr>
        <w:t>reálně (</w:t>
      </w:r>
      <w:r w:rsidR="00FF5B58" w:rsidRPr="00273106">
        <w:rPr>
          <w:i/>
          <w:color w:val="000000"/>
        </w:rPr>
        <w:t>id est subsistens</w:t>
      </w:r>
      <w:r w:rsidR="003A3BDF" w:rsidRPr="00273106">
        <w:rPr>
          <w:color w:val="000000"/>
        </w:rPr>
        <w:t>)</w:t>
      </w:r>
      <w:r w:rsidR="00E56B8A" w:rsidRPr="00273106">
        <w:rPr>
          <w:color w:val="000000"/>
        </w:rPr>
        <w:t xml:space="preserve"> </w:t>
      </w:r>
      <w:r w:rsidR="004F1BE9" w:rsidRPr="00273106">
        <w:rPr>
          <w:color w:val="000000"/>
        </w:rPr>
        <w:t xml:space="preserve">se spojilo </w:t>
      </w:r>
      <w:r w:rsidR="0018271A" w:rsidRPr="00273106">
        <w:rPr>
          <w:color w:val="000000"/>
        </w:rPr>
        <w:t xml:space="preserve">s abstrahovaným bytím na úrovni </w:t>
      </w:r>
      <w:r w:rsidR="003A7FB1" w:rsidRPr="00273106">
        <w:rPr>
          <w:color w:val="000000"/>
        </w:rPr>
        <w:t>predikátu</w:t>
      </w:r>
      <w:r w:rsidR="003E45D1">
        <w:rPr>
          <w:color w:val="000000"/>
        </w:rPr>
        <w:t xml:space="preserve">. Ale ten podle Boethia může </w:t>
      </w:r>
      <w:r w:rsidR="003A7FB1" w:rsidRPr="00273106">
        <w:rPr>
          <w:color w:val="000000"/>
        </w:rPr>
        <w:t>exist</w:t>
      </w:r>
      <w:r w:rsidR="003E45D1">
        <w:rPr>
          <w:color w:val="000000"/>
        </w:rPr>
        <w:t xml:space="preserve">ovat jen </w:t>
      </w:r>
      <w:r w:rsidR="003A3BDF" w:rsidRPr="00273106">
        <w:rPr>
          <w:color w:val="000000"/>
        </w:rPr>
        <w:t>nominálně</w:t>
      </w:r>
      <w:r w:rsidR="08EC1A87">
        <w:rPr>
          <w:color w:val="000000"/>
        </w:rPr>
        <w:t xml:space="preserve"> a </w:t>
      </w:r>
      <w:r w:rsidR="00E56B8A" w:rsidRPr="00273106">
        <w:rPr>
          <w:color w:val="000000"/>
        </w:rPr>
        <w:t xml:space="preserve">tedy pouze </w:t>
      </w:r>
      <w:r w:rsidR="0018271A" w:rsidRPr="00273106">
        <w:rPr>
          <w:color w:val="000000"/>
        </w:rPr>
        <w:t xml:space="preserve">v mysli </w:t>
      </w:r>
      <w:r w:rsidR="003A3BDF" w:rsidRPr="00273106">
        <w:rPr>
          <w:color w:val="000000"/>
        </w:rPr>
        <w:t>(</w:t>
      </w:r>
      <w:r w:rsidR="00FF5B58" w:rsidRPr="00273106">
        <w:rPr>
          <w:i/>
          <w:color w:val="000000"/>
        </w:rPr>
        <w:t>subsistens quale</w:t>
      </w:r>
      <w:r w:rsidR="0018271A" w:rsidRPr="00273106">
        <w:rPr>
          <w:color w:val="000000"/>
        </w:rPr>
        <w:t xml:space="preserve">). </w:t>
      </w:r>
      <w:r w:rsidR="000E10C1" w:rsidRPr="00273106">
        <w:t>Hypostázovaná kvalita a kvantita se oddělila od otázky po akcidentálním určení druhé substance v její kategoriální danosti (</w:t>
      </w:r>
      <w:r w:rsidR="000E10C1" w:rsidRPr="00273106">
        <w:rPr>
          <w:i/>
        </w:rPr>
        <w:t>quale</w:t>
      </w:r>
      <w:r w:rsidR="000E10C1" w:rsidRPr="00273106">
        <w:t>) a dostala</w:t>
      </w:r>
      <w:r w:rsidR="00C230D6">
        <w:t xml:space="preserve"> </w:t>
      </w:r>
      <w:r w:rsidR="08D46E31">
        <w:t xml:space="preserve">substanční význam moderního </w:t>
      </w:r>
      <w:r w:rsidR="00940DC9">
        <w:t>kvá</w:t>
      </w:r>
      <w:r w:rsidR="000E10C1" w:rsidRPr="00273106">
        <w:t>lia</w:t>
      </w:r>
      <w:r w:rsidR="0053005B">
        <w:fldChar w:fldCharType="begin"/>
      </w:r>
      <w:r w:rsidR="0053005B">
        <w:instrText xml:space="preserve"> XE "</w:instrText>
      </w:r>
      <w:r w:rsidR="0053005B" w:rsidRPr="000368A3">
        <w:instrText>kvália</w:instrText>
      </w:r>
      <w:r w:rsidR="0053005B">
        <w:instrText xml:space="preserve">" </w:instrText>
      </w:r>
      <w:r w:rsidR="0053005B">
        <w:fldChar w:fldCharType="end"/>
      </w:r>
      <w:r w:rsidR="000E10C1" w:rsidRPr="00273106">
        <w:t xml:space="preserve"> po vzoru neoplatoniků jako byl Simplikius.</w:t>
      </w:r>
      <w:r w:rsidR="00AC02DD">
        <w:t xml:space="preserve"> </w:t>
      </w:r>
      <w:r w:rsidR="00AC02DD" w:rsidRPr="00273106">
        <w:rPr>
          <w:rStyle w:val="Zkladntext15dkovn0pt"/>
          <w:rFonts w:ascii="Calibri" w:eastAsia="Times" w:hAnsi="Calibri" w:cs="Times New Roman"/>
          <w:b w:val="0"/>
          <w:bCs w:val="0"/>
          <w:color w:val="auto"/>
          <w:sz w:val="24"/>
          <w:lang w:val="cs-CZ"/>
        </w:rPr>
        <w:t xml:space="preserve">Zatím jsou kvália chápána nikoliv jako </w:t>
      </w:r>
      <w:r w:rsidR="00AC02DD">
        <w:rPr>
          <w:rStyle w:val="Zkladntext15dkovn0pt"/>
          <w:rFonts w:ascii="Calibri" w:eastAsia="Times" w:hAnsi="Calibri" w:cs="Times New Roman"/>
          <w:b w:val="0"/>
          <w:bCs w:val="0"/>
          <w:color w:val="auto"/>
          <w:sz w:val="24"/>
          <w:lang w:val="cs-CZ"/>
        </w:rPr>
        <w:t xml:space="preserve">postmoderní </w:t>
      </w:r>
      <w:r w:rsidR="00AC02DD" w:rsidRPr="00273106">
        <w:rPr>
          <w:rStyle w:val="Zkladntext15dkovn0pt"/>
          <w:rFonts w:ascii="Calibri" w:eastAsia="Times" w:hAnsi="Calibri" w:cs="Times New Roman"/>
          <w:b w:val="0"/>
          <w:bCs w:val="0"/>
          <w:color w:val="auto"/>
          <w:sz w:val="24"/>
          <w:lang w:val="cs-CZ"/>
        </w:rPr>
        <w:t xml:space="preserve">stavy vědomí, ale jako </w:t>
      </w:r>
      <w:r w:rsidR="088E15C3">
        <w:rPr>
          <w:rStyle w:val="Zkladntext15dkovn0pt"/>
          <w:rFonts w:ascii="Calibri" w:eastAsia="Times" w:hAnsi="Calibri" w:cs="Times New Roman"/>
          <w:b w:val="0"/>
          <w:bCs w:val="0"/>
          <w:color w:val="auto"/>
          <w:sz w:val="24"/>
          <w:lang w:val="cs-CZ"/>
        </w:rPr>
        <w:t xml:space="preserve">metafyzické </w:t>
      </w:r>
      <w:r w:rsidR="08D46E31">
        <w:rPr>
          <w:rStyle w:val="Zkladntext15dkovn0pt"/>
          <w:rFonts w:ascii="Calibri" w:eastAsia="Times" w:hAnsi="Calibri" w:cs="Times New Roman"/>
          <w:b w:val="0"/>
          <w:bCs w:val="0"/>
          <w:color w:val="auto"/>
          <w:sz w:val="24"/>
          <w:lang w:val="cs-CZ"/>
        </w:rPr>
        <w:t>termín</w:t>
      </w:r>
      <w:r w:rsidR="088E15C3">
        <w:rPr>
          <w:rStyle w:val="Zkladntext15dkovn0pt"/>
          <w:rFonts w:ascii="Calibri" w:eastAsia="Times" w:hAnsi="Calibri" w:cs="Times New Roman"/>
          <w:b w:val="0"/>
          <w:bCs w:val="0"/>
          <w:color w:val="auto"/>
          <w:sz w:val="24"/>
          <w:lang w:val="cs-CZ"/>
        </w:rPr>
        <w:t xml:space="preserve">y zasazené do </w:t>
      </w:r>
      <w:r w:rsidR="00AC02DD" w:rsidRPr="00273106">
        <w:rPr>
          <w:rStyle w:val="Zkladntext15dkovn0pt"/>
          <w:rFonts w:ascii="Calibri" w:eastAsia="Times" w:hAnsi="Calibri" w:cs="Times New Roman"/>
          <w:b w:val="0"/>
          <w:bCs w:val="0"/>
          <w:color w:val="auto"/>
          <w:sz w:val="24"/>
          <w:lang w:val="cs-CZ"/>
        </w:rPr>
        <w:t>dogmatických debat teologů</w:t>
      </w:r>
      <w:r w:rsidR="088E15C3">
        <w:rPr>
          <w:rStyle w:val="Zkladntext15dkovn0pt"/>
          <w:rFonts w:ascii="Calibri" w:eastAsia="Times" w:hAnsi="Calibri" w:cs="Times New Roman"/>
          <w:b w:val="0"/>
          <w:bCs w:val="0"/>
          <w:color w:val="auto"/>
          <w:sz w:val="24"/>
          <w:lang w:val="cs-CZ"/>
        </w:rPr>
        <w:t xml:space="preserve"> o triteismu</w:t>
      </w:r>
      <w:r w:rsidR="00AC02DD" w:rsidRPr="00273106">
        <w:rPr>
          <w:rStyle w:val="Zkladntext15dkovn0pt"/>
          <w:rFonts w:ascii="Calibri" w:eastAsia="Times" w:hAnsi="Calibri" w:cs="Times New Roman"/>
          <w:b w:val="0"/>
          <w:bCs w:val="0"/>
          <w:color w:val="auto"/>
          <w:sz w:val="24"/>
          <w:lang w:val="cs-CZ"/>
        </w:rPr>
        <w:t>.</w:t>
      </w:r>
      <w:r w:rsidR="00E96918">
        <w:rPr>
          <w:rStyle w:val="Zkladntext15dkovn0pt"/>
          <w:rFonts w:ascii="Calibri" w:eastAsia="Times" w:hAnsi="Calibri" w:cs="Times New Roman"/>
          <w:b w:val="0"/>
          <w:bCs w:val="0"/>
          <w:color w:val="auto"/>
          <w:sz w:val="24"/>
          <w:lang w:val="cs-CZ"/>
        </w:rPr>
        <w:t xml:space="preserve"> </w:t>
      </w:r>
      <w:r w:rsidR="08AD04F9">
        <w:rPr>
          <w:color w:val="000000"/>
        </w:rPr>
        <w:t xml:space="preserve">Nová forma neoplatonské </w:t>
      </w:r>
      <w:r w:rsidR="08AD04F9" w:rsidRPr="00273106">
        <w:rPr>
          <w:color w:val="000000"/>
        </w:rPr>
        <w:t xml:space="preserve">predikace </w:t>
      </w:r>
      <w:r w:rsidR="00295BF9">
        <w:rPr>
          <w:color w:val="000000"/>
        </w:rPr>
        <w:t xml:space="preserve">chápe </w:t>
      </w:r>
      <w:r w:rsidR="08AD04F9" w:rsidRPr="00273106">
        <w:rPr>
          <w:color w:val="000000"/>
        </w:rPr>
        <w:t xml:space="preserve">subsistenci individuálních věcí naprosto ambivalentně, protože ekvivočně predikuje modus první a druhé substance směrem k jakékoliv abstraktní kvalitě. </w:t>
      </w:r>
      <w:r w:rsidR="08AD04F9">
        <w:t xml:space="preserve">Modernista Gilbert otevírá cestu postmoderně. </w:t>
      </w:r>
      <w:r w:rsidR="009A35C2">
        <w:t xml:space="preserve">Současný metafyzický nihilismus už umístil hypostázované akcidenty </w:t>
      </w:r>
      <w:r w:rsidR="089C66D4">
        <w:t xml:space="preserve">ve formě postmoderních </w:t>
      </w:r>
      <w:r w:rsidR="009A35C2">
        <w:t xml:space="preserve">kválií pouze do prožitků individuálního vědomí. </w:t>
      </w:r>
      <w:r w:rsidR="00F603F0">
        <w:t xml:space="preserve">Postmoderna vybavila kvália proměnlivostí a smrtelností, což by </w:t>
      </w:r>
      <w:r w:rsidR="00627D42">
        <w:t>neoplatonš</w:t>
      </w:r>
      <w:r w:rsidR="00F603F0">
        <w:t xml:space="preserve">tí porretáni ze školy </w:t>
      </w:r>
      <w:r w:rsidR="00F603F0" w:rsidRPr="00200307">
        <w:rPr>
          <w:i/>
        </w:rPr>
        <w:t>Nominales</w:t>
      </w:r>
      <w:r w:rsidR="00F603F0">
        <w:t xml:space="preserve"> zásadně odmítli.</w:t>
      </w:r>
      <w:r w:rsidR="08020A67">
        <w:t xml:space="preserve"> </w:t>
      </w:r>
      <w:r w:rsidR="00F603F0" w:rsidRPr="00273106">
        <w:rPr>
          <w:color w:val="000000"/>
        </w:rPr>
        <w:t xml:space="preserve">Porretáni </w:t>
      </w:r>
      <w:r w:rsidR="00F603F0">
        <w:rPr>
          <w:color w:val="000000"/>
        </w:rPr>
        <w:t xml:space="preserve">spojili </w:t>
      </w:r>
      <w:r w:rsidR="00F603F0" w:rsidRPr="00273106">
        <w:rPr>
          <w:color w:val="000000"/>
        </w:rPr>
        <w:t>kategoriální význam s čistě nominální signifikací</w:t>
      </w:r>
      <w:r w:rsidR="00F603F0">
        <w:rPr>
          <w:color w:val="000000"/>
        </w:rPr>
        <w:t xml:space="preserve"> a začali nový spor o statut nedělitelné substance (</w:t>
      </w:r>
      <w:r w:rsidR="084E7952">
        <w:rPr>
          <w:color w:val="000000"/>
        </w:rPr>
        <w:t>kap. 1.3</w:t>
      </w:r>
      <w:r w:rsidR="00F603F0">
        <w:rPr>
          <w:color w:val="000000"/>
        </w:rPr>
        <w:t xml:space="preserve">.1). </w:t>
      </w:r>
      <w:r w:rsidR="085F0CED">
        <w:t xml:space="preserve">Postmoderna hypostázovala </w:t>
      </w:r>
      <w:r w:rsidR="00B128DA">
        <w:t xml:space="preserve">ještě jednou </w:t>
      </w:r>
      <w:r w:rsidR="009A35C2">
        <w:t xml:space="preserve">akcidenty dané v tabulce </w:t>
      </w:r>
      <w:r w:rsidR="009A35C2" w:rsidRPr="00460619">
        <w:rPr>
          <w:i/>
        </w:rPr>
        <w:t>Kategorií</w:t>
      </w:r>
      <w:r w:rsidR="009A35C2">
        <w:t xml:space="preserve"> tím, že </w:t>
      </w:r>
      <w:r w:rsidR="00B128DA">
        <w:t xml:space="preserve">provedla </w:t>
      </w:r>
      <w:r w:rsidR="009A35C2">
        <w:t xml:space="preserve">matematizaci reality </w:t>
      </w:r>
      <w:r w:rsidR="00B128DA">
        <w:t xml:space="preserve">a takto vytvořené hypostázované vlastnosti promítla </w:t>
      </w:r>
      <w:r w:rsidR="009A35C2">
        <w:t>přímo do prvních substancí. První krok na této cestě učinil po Descartovi jeho souputník Arnauld</w:t>
      </w:r>
      <w:r w:rsidR="0087544C">
        <w:fldChar w:fldCharType="begin"/>
      </w:r>
      <w:r w:rsidR="0087544C">
        <w:instrText xml:space="preserve"> XE "</w:instrText>
      </w:r>
      <w:r w:rsidR="0087544C" w:rsidRPr="00EF1828">
        <w:instrText>Arnauld, A.</w:instrText>
      </w:r>
      <w:r w:rsidR="0087544C">
        <w:instrText xml:space="preserve">" </w:instrText>
      </w:r>
      <w:r w:rsidR="0087544C">
        <w:fldChar w:fldCharType="end"/>
      </w:r>
      <w:r w:rsidR="0827520C">
        <w:t>, který viděl</w:t>
      </w:r>
      <w:r w:rsidR="009A35C2">
        <w:t xml:space="preserve"> matematizované ideje přímo ve věcech (kap. 2.4.4). </w:t>
      </w:r>
      <w:r w:rsidR="00A62E10">
        <w:t xml:space="preserve">Kategoriální predikace </w:t>
      </w:r>
      <w:r w:rsidR="00A62E10">
        <w:rPr>
          <w:color w:val="000000"/>
        </w:rPr>
        <w:t xml:space="preserve">porretánů </w:t>
      </w:r>
      <w:r w:rsidR="00DE5AF6" w:rsidRPr="00273106">
        <w:rPr>
          <w:color w:val="000000"/>
        </w:rPr>
        <w:t>zásadně odporuje hyparchické predikaci</w:t>
      </w:r>
      <w:r w:rsidR="00CC0102">
        <w:rPr>
          <w:color w:val="000000"/>
        </w:rPr>
        <w:t xml:space="preserve"> ve </w:t>
      </w:r>
      <w:r w:rsidR="00DE5AF6" w:rsidRPr="00273106">
        <w:rPr>
          <w:color w:val="000000"/>
        </w:rPr>
        <w:t>spis</w:t>
      </w:r>
      <w:r w:rsidR="00CC0102">
        <w:rPr>
          <w:color w:val="000000"/>
        </w:rPr>
        <w:t>u</w:t>
      </w:r>
      <w:r w:rsidR="00DE5AF6" w:rsidRPr="00273106">
        <w:rPr>
          <w:color w:val="000000"/>
        </w:rPr>
        <w:t xml:space="preserve"> </w:t>
      </w:r>
      <w:r w:rsidR="00DE5AF6" w:rsidRPr="00A62E10">
        <w:rPr>
          <w:i/>
          <w:color w:val="000000"/>
        </w:rPr>
        <w:t>Kategorie</w:t>
      </w:r>
      <w:r w:rsidR="001F205B" w:rsidRPr="00273106">
        <w:rPr>
          <w:color w:val="000000"/>
        </w:rPr>
        <w:t xml:space="preserve"> a </w:t>
      </w:r>
      <w:r w:rsidR="00A62E10">
        <w:rPr>
          <w:color w:val="000000"/>
        </w:rPr>
        <w:t xml:space="preserve">ze své podstaty </w:t>
      </w:r>
      <w:r w:rsidR="001F205B" w:rsidRPr="00273106">
        <w:rPr>
          <w:color w:val="000000"/>
        </w:rPr>
        <w:t>vylučuje pojetí pravdy jako adekvace věci a intelektu</w:t>
      </w:r>
      <w:r w:rsidR="009C32E9">
        <w:rPr>
          <w:color w:val="000000"/>
        </w:rPr>
        <w:t>.</w:t>
      </w:r>
      <w:r w:rsidR="00DB79CB">
        <w:rPr>
          <w:color w:val="000000"/>
        </w:rPr>
        <w:t xml:space="preserve"> </w:t>
      </w:r>
      <w:r w:rsidR="00FC06D5">
        <w:rPr>
          <w:color w:val="000000"/>
        </w:rPr>
        <w:t>Moderní myšlení porretánů nemá co adekvovat vzhled</w:t>
      </w:r>
      <w:r w:rsidR="087060CF">
        <w:rPr>
          <w:color w:val="000000"/>
        </w:rPr>
        <w:t>em</w:t>
      </w:r>
      <w:r w:rsidR="00FC06D5">
        <w:rPr>
          <w:color w:val="000000"/>
        </w:rPr>
        <w:t xml:space="preserve"> k realitě, protože existenci chápe jako rodově danou esenci, univerzální hypos</w:t>
      </w:r>
      <w:r w:rsidR="008E69D5">
        <w:rPr>
          <w:color w:val="000000"/>
        </w:rPr>
        <w:t>tázi nebo formální subsistenci.</w:t>
      </w:r>
    </w:p>
    <w:p w14:paraId="22AE21BF" w14:textId="424D4EAA" w:rsidR="00C50B2F" w:rsidRDefault="00FC06D5" w:rsidP="00BA1C37">
      <w:pPr>
        <w:ind w:firstLine="397"/>
      </w:pPr>
      <w:r>
        <w:rPr>
          <w:color w:val="000000"/>
        </w:rPr>
        <w:t>Zatmění</w:t>
      </w:r>
      <w:r w:rsidR="00F63758">
        <w:rPr>
          <w:color w:val="000000"/>
        </w:rPr>
        <w:t xml:space="preserve"> první substance je nyní komple</w:t>
      </w:r>
      <w:r>
        <w:rPr>
          <w:color w:val="000000"/>
        </w:rPr>
        <w:t>tní</w:t>
      </w:r>
      <w:r w:rsidR="00F63758">
        <w:rPr>
          <w:color w:val="000000"/>
        </w:rPr>
        <w:t>, protože její</w:t>
      </w:r>
      <w:r>
        <w:rPr>
          <w:color w:val="000000"/>
        </w:rPr>
        <w:t xml:space="preserve"> existence přešla do metafyzického modu </w:t>
      </w:r>
      <w:r w:rsidRPr="00FC06D5">
        <w:rPr>
          <w:i/>
          <w:color w:val="000000"/>
        </w:rPr>
        <w:t>Seinsvergessenheit</w:t>
      </w:r>
      <w:r w:rsidR="004C6323">
        <w:rPr>
          <w:i/>
          <w:color w:val="000000"/>
        </w:rPr>
        <w:fldChar w:fldCharType="begin"/>
      </w:r>
      <w:r w:rsidR="004C6323">
        <w:instrText xml:space="preserve"> XE "</w:instrText>
      </w:r>
      <w:r w:rsidR="004C6323" w:rsidRPr="00237771">
        <w:rPr>
          <w:i/>
          <w:color w:val="000000"/>
        </w:rPr>
        <w:instrText>Seinsvergessenheit</w:instrText>
      </w:r>
      <w:r w:rsidR="004C6323">
        <w:instrText xml:space="preserve">" </w:instrText>
      </w:r>
      <w:r w:rsidR="004C6323">
        <w:rPr>
          <w:i/>
          <w:color w:val="000000"/>
        </w:rPr>
        <w:fldChar w:fldCharType="end"/>
      </w:r>
      <w:r w:rsidR="087060CF">
        <w:rPr>
          <w:color w:val="000000"/>
        </w:rPr>
        <w:t xml:space="preserve">. Moderna </w:t>
      </w:r>
      <w:r w:rsidR="087428A0">
        <w:rPr>
          <w:color w:val="000000"/>
        </w:rPr>
        <w:t xml:space="preserve">řízená dogmaticky vzdělanými Fúriemi </w:t>
      </w:r>
      <w:r w:rsidR="087060CF">
        <w:rPr>
          <w:color w:val="000000"/>
        </w:rPr>
        <w:t xml:space="preserve">vidí okem osvíceného </w:t>
      </w:r>
      <w:r w:rsidR="0827520C">
        <w:rPr>
          <w:color w:val="000000"/>
        </w:rPr>
        <w:t xml:space="preserve">Gilberta </w:t>
      </w:r>
      <w:r w:rsidR="087060CF">
        <w:rPr>
          <w:color w:val="000000"/>
        </w:rPr>
        <w:t>novou „ex</w:t>
      </w:r>
      <w:r>
        <w:rPr>
          <w:color w:val="000000"/>
        </w:rPr>
        <w:t>sistenci“ jsoucna třet</w:t>
      </w:r>
      <w:r w:rsidR="087060CF">
        <w:rPr>
          <w:color w:val="000000"/>
        </w:rPr>
        <w:t>ího druhu</w:t>
      </w:r>
      <w:r>
        <w:rPr>
          <w:color w:val="000000"/>
        </w:rPr>
        <w:t xml:space="preserve">. </w:t>
      </w:r>
      <w:r w:rsidR="00EA5459">
        <w:rPr>
          <w:color w:val="000000"/>
        </w:rPr>
        <w:t>Nová substance byla doslova „vytažena“  (</w:t>
      </w:r>
      <w:r w:rsidR="00EA5459">
        <w:rPr>
          <w:i/>
          <w:szCs w:val="24"/>
        </w:rPr>
        <w:t>ex-sistere</w:t>
      </w:r>
      <w:r w:rsidR="00EA5459">
        <w:rPr>
          <w:szCs w:val="24"/>
        </w:rPr>
        <w:t>) z mysli i</w:t>
      </w:r>
      <w:r w:rsidR="002E6D43">
        <w:rPr>
          <w:szCs w:val="24"/>
        </w:rPr>
        <w:t>lu</w:t>
      </w:r>
      <w:r w:rsidR="00EA5459">
        <w:rPr>
          <w:szCs w:val="24"/>
        </w:rPr>
        <w:t>minátů a začala nové dějiny působení (</w:t>
      </w:r>
      <w:r w:rsidR="00EA5459" w:rsidRPr="00EA5459">
        <w:rPr>
          <w:i/>
          <w:lang w:eastAsia="en-US"/>
        </w:rPr>
        <w:t>Wirkungsgeschichte</w:t>
      </w:r>
      <w:r w:rsidR="00EA5459">
        <w:rPr>
          <w:szCs w:val="24"/>
        </w:rPr>
        <w:t xml:space="preserve">) mytopoetického myšlení. </w:t>
      </w:r>
      <w:r w:rsidR="08B15C7E">
        <w:rPr>
          <w:color w:val="000000"/>
        </w:rPr>
        <w:t>P</w:t>
      </w:r>
      <w:r w:rsidR="08B15C7E" w:rsidRPr="00273106">
        <w:rPr>
          <w:color w:val="000000"/>
        </w:rPr>
        <w:t xml:space="preserve">ro aristoteliky </w:t>
      </w:r>
      <w:r w:rsidR="08B15C7E">
        <w:rPr>
          <w:color w:val="000000"/>
        </w:rPr>
        <w:t xml:space="preserve">typu Abelarda </w:t>
      </w:r>
      <w:r w:rsidR="08B15C7E" w:rsidRPr="00273106">
        <w:rPr>
          <w:color w:val="000000"/>
        </w:rPr>
        <w:t xml:space="preserve">byla </w:t>
      </w:r>
      <w:r w:rsidR="08B15C7E">
        <w:rPr>
          <w:color w:val="000000"/>
        </w:rPr>
        <w:t xml:space="preserve">naprosto </w:t>
      </w:r>
      <w:r w:rsidR="08B15C7E" w:rsidRPr="00273106">
        <w:rPr>
          <w:color w:val="000000"/>
        </w:rPr>
        <w:t>nepřijatelná</w:t>
      </w:r>
      <w:r w:rsidR="08B15C7E">
        <w:rPr>
          <w:color w:val="000000"/>
        </w:rPr>
        <w:t xml:space="preserve"> p</w:t>
      </w:r>
      <w:r w:rsidR="00B101E8" w:rsidRPr="00273106">
        <w:rPr>
          <w:color w:val="000000"/>
        </w:rPr>
        <w:t xml:space="preserve">redikace </w:t>
      </w:r>
      <w:r w:rsidR="00185257">
        <w:rPr>
          <w:color w:val="000000"/>
        </w:rPr>
        <w:t>existence jako akcidentu</w:t>
      </w:r>
      <w:r w:rsidR="00EE65B9">
        <w:rPr>
          <w:color w:val="000000"/>
        </w:rPr>
        <w:t xml:space="preserve"> </w:t>
      </w:r>
      <w:r w:rsidR="00EE65B9" w:rsidRPr="00273106">
        <w:rPr>
          <w:color w:val="000000"/>
        </w:rPr>
        <w:t xml:space="preserve">v rámci porretánského </w:t>
      </w:r>
      <w:r w:rsidR="00EE65B9" w:rsidRPr="00273106">
        <w:rPr>
          <w:i/>
          <w:color w:val="000000"/>
        </w:rPr>
        <w:t>participatio</w:t>
      </w:r>
      <w:r w:rsidR="00EE65B9">
        <w:rPr>
          <w:color w:val="000000"/>
        </w:rPr>
        <w:t xml:space="preserve">. K simulákru </w:t>
      </w:r>
      <w:r w:rsidR="00B101E8" w:rsidRPr="00273106">
        <w:rPr>
          <w:color w:val="000000"/>
        </w:rPr>
        <w:t xml:space="preserve"> </w:t>
      </w:r>
      <w:r w:rsidR="006B38EF">
        <w:rPr>
          <w:color w:val="000000"/>
        </w:rPr>
        <w:t>první substance</w:t>
      </w:r>
      <w:r w:rsidR="00C6254F">
        <w:rPr>
          <w:color w:val="000000"/>
        </w:rPr>
        <w:t xml:space="preserve"> se přičítají hypos</w:t>
      </w:r>
      <w:r w:rsidR="00EE65B9">
        <w:rPr>
          <w:color w:val="000000"/>
        </w:rPr>
        <w:t>t</w:t>
      </w:r>
      <w:r w:rsidR="00C6254F">
        <w:rPr>
          <w:color w:val="000000"/>
        </w:rPr>
        <w:t xml:space="preserve">ázované </w:t>
      </w:r>
      <w:r w:rsidR="00C6254F">
        <w:rPr>
          <w:color w:val="000000"/>
        </w:rPr>
        <w:lastRenderedPageBreak/>
        <w:t xml:space="preserve">akcidenty, které jsou </w:t>
      </w:r>
      <w:r w:rsidR="00EE65B9">
        <w:rPr>
          <w:color w:val="000000"/>
        </w:rPr>
        <w:t xml:space="preserve">na stejné úrovni jako moderní substance typu </w:t>
      </w:r>
      <w:r w:rsidR="00EE65B9" w:rsidRPr="00EE65B9">
        <w:rPr>
          <w:i/>
          <w:color w:val="000000"/>
        </w:rPr>
        <w:t>tertium ens</w:t>
      </w:r>
      <w:r w:rsidR="00C14E1D">
        <w:rPr>
          <w:rStyle w:val="Zkladntext184"/>
          <w:rFonts w:ascii="Calibri" w:eastAsia="Times" w:hAnsi="Calibri" w:cs="Times New Roman"/>
          <w:i/>
          <w:color w:val="auto"/>
          <w:spacing w:val="0"/>
          <w:sz w:val="24"/>
          <w:lang w:val="cs-CZ"/>
        </w:rPr>
        <w:fldChar w:fldCharType="begin"/>
      </w:r>
      <w:r w:rsidR="00C14E1D">
        <w:instrText xml:space="preserve"> XE "</w:instrText>
      </w:r>
      <w:r w:rsidR="00C14E1D" w:rsidRPr="00C14E1D">
        <w:rPr>
          <w:i/>
        </w:rPr>
        <w:instrText>tertium ens</w:instrText>
      </w:r>
      <w:r w:rsidR="00C14E1D">
        <w:instrText xml:space="preserve">:Gilbertus Porretanus" </w:instrText>
      </w:r>
      <w:r w:rsidR="00C14E1D">
        <w:rPr>
          <w:rStyle w:val="Zkladntext184"/>
          <w:rFonts w:ascii="Calibri" w:eastAsia="Times" w:hAnsi="Calibri" w:cs="Times New Roman"/>
          <w:i/>
          <w:color w:val="auto"/>
          <w:spacing w:val="0"/>
          <w:sz w:val="24"/>
          <w:lang w:val="cs-CZ"/>
        </w:rPr>
        <w:fldChar w:fldCharType="end"/>
      </w:r>
      <w:r w:rsidR="00B101E8" w:rsidRPr="00273106">
        <w:rPr>
          <w:color w:val="000000"/>
        </w:rPr>
        <w:t xml:space="preserve">. </w:t>
      </w:r>
      <w:r w:rsidR="00C6254F">
        <w:rPr>
          <w:szCs w:val="24"/>
        </w:rPr>
        <w:t xml:space="preserve">Avicenna vytvořil první predikaci tohoto typu skrze pojem </w:t>
      </w:r>
      <w:r w:rsidR="00C6254F" w:rsidRPr="00D47F23">
        <w:rPr>
          <w:i/>
          <w:szCs w:val="24"/>
        </w:rPr>
        <w:t>comitatio</w:t>
      </w:r>
      <w:r w:rsidR="00C6254F">
        <w:rPr>
          <w:szCs w:val="24"/>
        </w:rPr>
        <w:t xml:space="preserve"> (OBJ I, kap. 2.3.2). </w:t>
      </w:r>
      <w:r w:rsidR="00CB3E4F">
        <w:rPr>
          <w:color w:val="000000"/>
        </w:rPr>
        <w:t>Abélard</w:t>
      </w:r>
      <w:r w:rsidR="00186043" w:rsidRPr="00273106">
        <w:rPr>
          <w:color w:val="000000"/>
        </w:rPr>
        <w:t xml:space="preserve"> přiřazuje rozsažnost p</w:t>
      </w:r>
      <w:r w:rsidR="084726E6">
        <w:rPr>
          <w:color w:val="000000"/>
        </w:rPr>
        <w:t>ouze k první substanci</w:t>
      </w:r>
      <w:r w:rsidR="005D0D35">
        <w:rPr>
          <w:color w:val="000000"/>
        </w:rPr>
        <w:t>. T</w:t>
      </w:r>
      <w:r w:rsidR="00186043" w:rsidRPr="00273106">
        <w:rPr>
          <w:color w:val="000000"/>
        </w:rPr>
        <w:t>ím navazuje</w:t>
      </w:r>
      <w:r w:rsidR="005D0D35">
        <w:rPr>
          <w:color w:val="000000"/>
        </w:rPr>
        <w:t xml:space="preserve"> na Ibn Rušdovu kritiku neoplato</w:t>
      </w:r>
      <w:r w:rsidR="00186043" w:rsidRPr="00273106">
        <w:rPr>
          <w:color w:val="000000"/>
        </w:rPr>
        <w:t>nského pojetí rozsažnosti u Avicenny (kap. 2.4.1).</w:t>
      </w:r>
      <w:r w:rsidR="00186043">
        <w:rPr>
          <w:color w:val="000000"/>
        </w:rPr>
        <w:t xml:space="preserve"> </w:t>
      </w:r>
      <w:r w:rsidR="00322CA7">
        <w:rPr>
          <w:color w:val="000000"/>
        </w:rPr>
        <w:t>M</w:t>
      </w:r>
      <w:r w:rsidR="003E2849">
        <w:rPr>
          <w:color w:val="000000"/>
        </w:rPr>
        <w:t xml:space="preserve">yšlenkové experimenty </w:t>
      </w:r>
      <w:r w:rsidR="00322CA7">
        <w:rPr>
          <w:color w:val="000000"/>
        </w:rPr>
        <w:t xml:space="preserve">porretánů </w:t>
      </w:r>
      <w:r w:rsidR="003E2849">
        <w:rPr>
          <w:color w:val="000000"/>
        </w:rPr>
        <w:t>patří do logické abstrakce</w:t>
      </w:r>
      <w:r w:rsidR="00A27CE4">
        <w:rPr>
          <w:color w:val="000000"/>
        </w:rPr>
        <w:t xml:space="preserve"> t</w:t>
      </w:r>
      <w:r w:rsidR="003E7161">
        <w:rPr>
          <w:color w:val="000000"/>
        </w:rPr>
        <w:t>ypu „hora zlata“ či „chiméra“</w:t>
      </w:r>
      <w:r w:rsidR="003E2849">
        <w:rPr>
          <w:color w:val="000000"/>
        </w:rPr>
        <w:t xml:space="preserve">, kde je možné vzít bytí jako </w:t>
      </w:r>
      <w:r w:rsidR="00A27CE4">
        <w:rPr>
          <w:color w:val="000000"/>
        </w:rPr>
        <w:t xml:space="preserve">logický </w:t>
      </w:r>
      <w:r w:rsidR="003E2849">
        <w:rPr>
          <w:color w:val="000000"/>
        </w:rPr>
        <w:t>koncept a dát m</w:t>
      </w:r>
      <w:r w:rsidR="00322CA7">
        <w:rPr>
          <w:color w:val="000000"/>
        </w:rPr>
        <w:t>u charakter univerzálního rodu</w:t>
      </w:r>
      <w:r w:rsidR="00A27CE4">
        <w:rPr>
          <w:color w:val="000000"/>
        </w:rPr>
        <w:t xml:space="preserve"> v modu logické abstrakce</w:t>
      </w:r>
      <w:r w:rsidR="00322CA7">
        <w:rPr>
          <w:color w:val="000000"/>
        </w:rPr>
        <w:t xml:space="preserve">. </w:t>
      </w:r>
      <w:r w:rsidR="00356087">
        <w:rPr>
          <w:color w:val="000000"/>
        </w:rPr>
        <w:t>Aristotelská</w:t>
      </w:r>
      <w:r w:rsidR="005360A8">
        <w:rPr>
          <w:color w:val="000000"/>
        </w:rPr>
        <w:t xml:space="preserve"> </w:t>
      </w:r>
      <w:r w:rsidR="00356087">
        <w:rPr>
          <w:color w:val="000000"/>
        </w:rPr>
        <w:t>kritika</w:t>
      </w:r>
      <w:r w:rsidR="00322CA7">
        <w:rPr>
          <w:color w:val="000000"/>
        </w:rPr>
        <w:t xml:space="preserve"> </w:t>
      </w:r>
      <w:r w:rsidR="00356087">
        <w:rPr>
          <w:color w:val="000000"/>
        </w:rPr>
        <w:t>proto odmítla takto danou „existenci</w:t>
      </w:r>
      <w:r w:rsidR="00322CA7">
        <w:rPr>
          <w:color w:val="000000"/>
        </w:rPr>
        <w:t xml:space="preserve">“ boha v Anselmově </w:t>
      </w:r>
      <w:r w:rsidR="005360A8">
        <w:rPr>
          <w:color w:val="000000"/>
        </w:rPr>
        <w:t xml:space="preserve">neoplatonském </w:t>
      </w:r>
      <w:r w:rsidR="00322CA7">
        <w:rPr>
          <w:color w:val="000000"/>
        </w:rPr>
        <w:t xml:space="preserve">důkazu boží </w:t>
      </w:r>
      <w:r w:rsidR="003E7161">
        <w:rPr>
          <w:color w:val="000000"/>
        </w:rPr>
        <w:t>existence</w:t>
      </w:r>
      <w:r w:rsidR="00322CA7">
        <w:rPr>
          <w:color w:val="000000"/>
        </w:rPr>
        <w:t>.</w:t>
      </w:r>
      <w:r w:rsidR="004A2A93">
        <w:rPr>
          <w:color w:val="000000"/>
        </w:rPr>
        <w:t xml:space="preserve"> </w:t>
      </w:r>
      <w:r w:rsidR="000E568F">
        <w:rPr>
          <w:color w:val="000000"/>
        </w:rPr>
        <w:t xml:space="preserve">Mnich </w:t>
      </w:r>
      <w:r w:rsidR="004A2A93">
        <w:rPr>
          <w:color w:val="000000"/>
        </w:rPr>
        <w:t>G</w:t>
      </w:r>
      <w:r w:rsidR="000E568F">
        <w:rPr>
          <w:color w:val="000000"/>
        </w:rPr>
        <w:t xml:space="preserve">aunilo z </w:t>
      </w:r>
      <w:r w:rsidR="005D0D35">
        <w:rPr>
          <w:color w:val="000000"/>
        </w:rPr>
        <w:t xml:space="preserve">toulouského </w:t>
      </w:r>
      <w:r w:rsidR="00B718DB">
        <w:rPr>
          <w:color w:val="000000"/>
        </w:rPr>
        <w:t xml:space="preserve">opatství </w:t>
      </w:r>
      <w:r w:rsidR="00B718DB" w:rsidRPr="00B718DB">
        <w:t>Marmoutiers</w:t>
      </w:r>
      <w:r w:rsidR="00924A94">
        <w:fldChar w:fldCharType="begin"/>
      </w:r>
      <w:r w:rsidR="00924A94">
        <w:instrText xml:space="preserve"> XE "</w:instrText>
      </w:r>
      <w:r w:rsidR="00924A94" w:rsidRPr="00613A34">
        <w:rPr>
          <w:color w:val="000000"/>
        </w:rPr>
        <w:instrText xml:space="preserve">Gaunilo de </w:instrText>
      </w:r>
      <w:r w:rsidR="00924A94" w:rsidRPr="00613A34">
        <w:instrText>Marmoutiers</w:instrText>
      </w:r>
      <w:r w:rsidR="00924A94">
        <w:instrText xml:space="preserve">" </w:instrText>
      </w:r>
      <w:r w:rsidR="00924A94">
        <w:fldChar w:fldCharType="end"/>
      </w:r>
      <w:r w:rsidR="00B718DB">
        <w:t xml:space="preserve"> </w:t>
      </w:r>
      <w:r w:rsidR="00481A71">
        <w:rPr>
          <w:color w:val="000000"/>
        </w:rPr>
        <w:t>napadl klíčovou část a</w:t>
      </w:r>
      <w:r w:rsidR="004A2A93">
        <w:rPr>
          <w:color w:val="000000"/>
        </w:rPr>
        <w:t>rgumentace</w:t>
      </w:r>
      <w:r w:rsidR="00B718DB">
        <w:rPr>
          <w:color w:val="000000"/>
        </w:rPr>
        <w:t xml:space="preserve"> Anselmova spisu </w:t>
      </w:r>
      <w:r w:rsidR="00B718DB" w:rsidRPr="00B718DB">
        <w:rPr>
          <w:i/>
          <w:color w:val="000000"/>
        </w:rPr>
        <w:t>Proslogion</w:t>
      </w:r>
      <w:r w:rsidR="00B718DB">
        <w:rPr>
          <w:color w:val="000000"/>
        </w:rPr>
        <w:t>, což byla zám</w:t>
      </w:r>
      <w:r w:rsidR="004A2A93">
        <w:rPr>
          <w:color w:val="000000"/>
        </w:rPr>
        <w:t xml:space="preserve">ěna kategoriální predikace za predikaci </w:t>
      </w:r>
      <w:r w:rsidR="004A2A93" w:rsidRPr="004A2A93">
        <w:rPr>
          <w:i/>
          <w:color w:val="000000"/>
        </w:rPr>
        <w:t>in artificialibus</w:t>
      </w:r>
      <w:r w:rsidR="004A2A93">
        <w:rPr>
          <w:i/>
          <w:color w:val="000000"/>
        </w:rPr>
        <w:fldChar w:fldCharType="begin"/>
      </w:r>
      <w:r w:rsidR="004A2A93">
        <w:instrText xml:space="preserve"> XE "</w:instrText>
      </w:r>
      <w:r w:rsidR="004A2A93" w:rsidRPr="004A2A93">
        <w:rPr>
          <w:color w:val="000000"/>
        </w:rPr>
        <w:instrText>predikace</w:instrText>
      </w:r>
      <w:r w:rsidR="004A2A93" w:rsidRPr="00ED7045">
        <w:rPr>
          <w:i/>
          <w:color w:val="000000"/>
        </w:rPr>
        <w:instrText>:in artificialibus</w:instrText>
      </w:r>
      <w:r w:rsidR="004A2A93">
        <w:instrText xml:space="preserve">" </w:instrText>
      </w:r>
      <w:r w:rsidR="004A2A93">
        <w:rPr>
          <w:i/>
          <w:color w:val="000000"/>
        </w:rPr>
        <w:fldChar w:fldCharType="end"/>
      </w:r>
      <w:r w:rsidR="004A2A93">
        <w:rPr>
          <w:color w:val="000000"/>
        </w:rPr>
        <w:t xml:space="preserve">. </w:t>
      </w:r>
      <w:r w:rsidR="00CB0A9C">
        <w:rPr>
          <w:color w:val="000000"/>
        </w:rPr>
        <w:t>Řemeslné vyrábění lodi nebo malba obrazu je možná jen proto, že existuje první substance řemeslníka nebo malíře, která zakládá danou kauzalitu.</w:t>
      </w:r>
      <w:r w:rsidR="00263464">
        <w:rPr>
          <w:rStyle w:val="Znakapoznpodarou"/>
          <w:color w:val="000000"/>
        </w:rPr>
        <w:footnoteReference w:id="48"/>
      </w:r>
      <w:r w:rsidR="00263464">
        <w:rPr>
          <w:color w:val="000000"/>
        </w:rPr>
        <w:t xml:space="preserve"> </w:t>
      </w:r>
      <w:r w:rsidR="001752EC">
        <w:rPr>
          <w:color w:val="000000"/>
        </w:rPr>
        <w:t>Bytí není materie k opracování, protože existují</w:t>
      </w:r>
      <w:r w:rsidR="006A5CAC">
        <w:rPr>
          <w:color w:val="000000"/>
        </w:rPr>
        <w:t>cí</w:t>
      </w:r>
      <w:r w:rsidR="001752EC">
        <w:rPr>
          <w:color w:val="000000"/>
        </w:rPr>
        <w:t xml:space="preserve"> </w:t>
      </w:r>
      <w:r w:rsidR="006A5CAC">
        <w:rPr>
          <w:color w:val="000000"/>
        </w:rPr>
        <w:t xml:space="preserve">a pak poznaná </w:t>
      </w:r>
      <w:r w:rsidR="001752EC">
        <w:rPr>
          <w:color w:val="000000"/>
        </w:rPr>
        <w:t xml:space="preserve">věc nemá charakter formální a materiální kauzality aplikované na vyrábění. </w:t>
      </w:r>
      <w:r w:rsidR="006A5CAC">
        <w:rPr>
          <w:color w:val="000000"/>
        </w:rPr>
        <w:t>Impozice v kategoriální predikaci se zásadně liší od predikace „</w:t>
      </w:r>
      <w:r w:rsidR="006A5CAC" w:rsidRPr="006A5CAC">
        <w:rPr>
          <w:i/>
          <w:color w:val="000000"/>
        </w:rPr>
        <w:t>in artificialibus</w:t>
      </w:r>
      <w:r w:rsidR="006A5CAC">
        <w:rPr>
          <w:color w:val="000000"/>
        </w:rPr>
        <w:t xml:space="preserve">“. </w:t>
      </w:r>
      <w:r w:rsidR="006A5CAC" w:rsidRPr="006A5CAC">
        <w:rPr>
          <w:color w:val="000000"/>
        </w:rPr>
        <w:t>Existující věc, kterou vnímáme smysly, si zachovává svou vlastní kauzalitu mimo nás. Teprve pak vzniká v intelektu formální poznání věci. Řemeslník přechází od formální kauzality v mysli (tvůrčí myšlenka) k její realizaci ve hmotě, což je přesně opačný proces.</w:t>
      </w:r>
      <w:r w:rsidR="006A5CAC">
        <w:rPr>
          <w:color w:val="000000"/>
        </w:rPr>
        <w:t xml:space="preserve"> </w:t>
      </w:r>
      <w:r w:rsidR="00BD58D8" w:rsidRPr="00BD58D8">
        <w:t xml:space="preserve">Kritické myšlení nemůže vzít mytopoetický scénář „poznání“ světa, který představuje naprostou paranoiu intelektu. Modernista myšlením „tvoří“ hyparchickou první substanci (tedy jeho vlastní </w:t>
      </w:r>
      <w:r w:rsidR="00BD58D8" w:rsidRPr="00063CA9">
        <w:rPr>
          <w:i/>
        </w:rPr>
        <w:t>tertium ens</w:t>
      </w:r>
      <w:r w:rsidR="00BD58D8" w:rsidRPr="00BD58D8">
        <w:t>), což je z hlediska akademicky vzdělaných Fúr</w:t>
      </w:r>
      <w:r w:rsidR="00063CA9">
        <w:t xml:space="preserve">ií opravdu božská tragikomedie. </w:t>
      </w:r>
      <w:r w:rsidR="004A2A93">
        <w:rPr>
          <w:color w:val="000000"/>
        </w:rPr>
        <w:t xml:space="preserve">Stejnou kritiku zopakuje </w:t>
      </w:r>
      <w:r w:rsidR="006A4786">
        <w:rPr>
          <w:color w:val="000000"/>
        </w:rPr>
        <w:t xml:space="preserve">Roger </w:t>
      </w:r>
      <w:r w:rsidR="004A2A93">
        <w:rPr>
          <w:color w:val="000000"/>
        </w:rPr>
        <w:t xml:space="preserve">Bacon vůči </w:t>
      </w:r>
      <w:r w:rsidR="006919E4">
        <w:rPr>
          <w:color w:val="000000"/>
        </w:rPr>
        <w:t xml:space="preserve">modernistickým </w:t>
      </w:r>
      <w:r w:rsidR="00D36F57">
        <w:rPr>
          <w:color w:val="000000"/>
        </w:rPr>
        <w:t xml:space="preserve">studentům </w:t>
      </w:r>
      <w:r w:rsidR="004A2A93">
        <w:rPr>
          <w:color w:val="000000"/>
        </w:rPr>
        <w:t>na Oxfordu (</w:t>
      </w:r>
      <w:r w:rsidR="085F6FB7">
        <w:t>kap. 2</w:t>
      </w:r>
      <w:r w:rsidR="004A2A93">
        <w:t>.4.3</w:t>
      </w:r>
      <w:r w:rsidR="004A2A93">
        <w:rPr>
          <w:color w:val="000000"/>
        </w:rPr>
        <w:t>).</w:t>
      </w:r>
      <w:r w:rsidR="000E568F">
        <w:rPr>
          <w:color w:val="000000"/>
        </w:rPr>
        <w:t xml:space="preserve"> </w:t>
      </w:r>
      <w:r w:rsidR="00CB3E4F">
        <w:rPr>
          <w:color w:val="000000"/>
        </w:rPr>
        <w:t>Abélard</w:t>
      </w:r>
      <w:r w:rsidR="00A27CE4">
        <w:rPr>
          <w:color w:val="000000"/>
        </w:rPr>
        <w:t xml:space="preserve"> a Averroe</w:t>
      </w:r>
      <w:r w:rsidR="003E2849" w:rsidRPr="00273106">
        <w:rPr>
          <w:color w:val="000000"/>
        </w:rPr>
        <w:t xml:space="preserve">s </w:t>
      </w:r>
      <w:r w:rsidR="00F4295A">
        <w:rPr>
          <w:color w:val="000000"/>
        </w:rPr>
        <w:t xml:space="preserve">jako </w:t>
      </w:r>
      <w:r w:rsidR="08B974D9">
        <w:rPr>
          <w:color w:val="000000"/>
        </w:rPr>
        <w:t xml:space="preserve">vrcholně moudří </w:t>
      </w:r>
      <w:r w:rsidR="00F4295A">
        <w:rPr>
          <w:color w:val="000000"/>
        </w:rPr>
        <w:t xml:space="preserve">myslitelé své epochy </w:t>
      </w:r>
      <w:r w:rsidR="083021C8" w:rsidRPr="00273106">
        <w:rPr>
          <w:color w:val="000000"/>
        </w:rPr>
        <w:t xml:space="preserve">odmítli </w:t>
      </w:r>
      <w:r w:rsidR="083021C8">
        <w:rPr>
          <w:color w:val="000000"/>
        </w:rPr>
        <w:t>neoplatonskou metafyziku</w:t>
      </w:r>
      <w:r w:rsidR="00A27CE4">
        <w:rPr>
          <w:color w:val="000000"/>
        </w:rPr>
        <w:t xml:space="preserve"> a </w:t>
      </w:r>
      <w:r w:rsidR="003E2849" w:rsidRPr="00273106">
        <w:rPr>
          <w:color w:val="000000"/>
        </w:rPr>
        <w:t xml:space="preserve">participaci </w:t>
      </w:r>
      <w:r w:rsidR="00B16D64">
        <w:rPr>
          <w:color w:val="000000"/>
        </w:rPr>
        <w:t xml:space="preserve">na </w:t>
      </w:r>
      <w:r w:rsidR="00647C26">
        <w:rPr>
          <w:color w:val="000000"/>
        </w:rPr>
        <w:t xml:space="preserve">bytí </w:t>
      </w:r>
      <w:r w:rsidR="003E2849">
        <w:rPr>
          <w:color w:val="000000"/>
        </w:rPr>
        <w:t>jako rodu</w:t>
      </w:r>
      <w:r w:rsidR="003E2849" w:rsidRPr="00273106">
        <w:rPr>
          <w:color w:val="000000"/>
        </w:rPr>
        <w:t xml:space="preserve">. </w:t>
      </w:r>
      <w:r w:rsidR="00B101E8" w:rsidRPr="00273106">
        <w:rPr>
          <w:color w:val="000000"/>
        </w:rPr>
        <w:t>Kategor</w:t>
      </w:r>
      <w:r w:rsidR="00FB7EF5">
        <w:rPr>
          <w:color w:val="000000"/>
        </w:rPr>
        <w:t>i</w:t>
      </w:r>
      <w:r w:rsidR="00B101E8" w:rsidRPr="00273106">
        <w:rPr>
          <w:color w:val="000000"/>
        </w:rPr>
        <w:t xml:space="preserve">ální predikace vyžaduje v řádu univerzality univocitu vzhledem k </w:t>
      </w:r>
      <w:r w:rsidR="00647C26">
        <w:rPr>
          <w:color w:val="000000"/>
        </w:rPr>
        <w:t xml:space="preserve">bytí </w:t>
      </w:r>
      <w:r w:rsidR="00243E06">
        <w:rPr>
          <w:color w:val="000000"/>
        </w:rPr>
        <w:t xml:space="preserve">první </w:t>
      </w:r>
      <w:r w:rsidR="00647C26">
        <w:rPr>
          <w:color w:val="000000"/>
        </w:rPr>
        <w:t>substance</w:t>
      </w:r>
      <w:r w:rsidR="08A46014">
        <w:rPr>
          <w:color w:val="000000"/>
        </w:rPr>
        <w:t xml:space="preserve"> nebo k bohu jako první příčině</w:t>
      </w:r>
      <w:r w:rsidR="00814268">
        <w:rPr>
          <w:color w:val="000000"/>
        </w:rPr>
        <w:t xml:space="preserve">. </w:t>
      </w:r>
      <w:r w:rsidR="00262482">
        <w:rPr>
          <w:color w:val="000000"/>
        </w:rPr>
        <w:t>U</w:t>
      </w:r>
      <w:r w:rsidR="08957353">
        <w:rPr>
          <w:color w:val="000000"/>
        </w:rPr>
        <w:t xml:space="preserve">niverzální význam </w:t>
      </w:r>
      <w:r w:rsidR="00262482">
        <w:rPr>
          <w:color w:val="000000"/>
        </w:rPr>
        <w:t xml:space="preserve">druhé substance </w:t>
      </w:r>
      <w:r w:rsidR="00814268">
        <w:rPr>
          <w:color w:val="000000"/>
        </w:rPr>
        <w:t>je daný skrze impozici</w:t>
      </w:r>
      <w:r w:rsidR="00165B92">
        <w:rPr>
          <w:color w:val="000000"/>
        </w:rPr>
        <w:fldChar w:fldCharType="begin"/>
      </w:r>
      <w:r w:rsidR="00165B92">
        <w:instrText xml:space="preserve"> XE "</w:instrText>
      </w:r>
      <w:r w:rsidR="00165B92" w:rsidRPr="00A85FE4">
        <w:rPr>
          <w:color w:val="000000"/>
        </w:rPr>
        <w:instrText>impozice:Gaunilo</w:instrText>
      </w:r>
      <w:r w:rsidR="00165B92">
        <w:instrText xml:space="preserve">" </w:instrText>
      </w:r>
      <w:r w:rsidR="00165B92">
        <w:rPr>
          <w:color w:val="000000"/>
        </w:rPr>
        <w:fldChar w:fldCharType="end"/>
      </w:r>
      <w:r w:rsidR="00814268">
        <w:rPr>
          <w:color w:val="000000"/>
        </w:rPr>
        <w:t xml:space="preserve"> </w:t>
      </w:r>
      <w:r w:rsidR="00930925">
        <w:rPr>
          <w:color w:val="000000"/>
        </w:rPr>
        <w:t xml:space="preserve">univerzálního a pouze potenciálního významu určeného vzhledem </w:t>
      </w:r>
      <w:r w:rsidR="00B5173D">
        <w:rPr>
          <w:color w:val="000000"/>
        </w:rPr>
        <w:t xml:space="preserve">k </w:t>
      </w:r>
      <w:r w:rsidR="00A97635">
        <w:rPr>
          <w:color w:val="000000"/>
        </w:rPr>
        <w:t>hyparchick</w:t>
      </w:r>
      <w:r w:rsidR="00B5173D">
        <w:rPr>
          <w:color w:val="000000"/>
        </w:rPr>
        <w:t>é</w:t>
      </w:r>
      <w:r w:rsidR="00A97635">
        <w:rPr>
          <w:color w:val="000000"/>
        </w:rPr>
        <w:t xml:space="preserve"> existenci první substance. Porretánská p</w:t>
      </w:r>
      <w:r w:rsidR="00B101E8" w:rsidRPr="00273106">
        <w:rPr>
          <w:color w:val="000000"/>
        </w:rPr>
        <w:t xml:space="preserve">articipace </w:t>
      </w:r>
      <w:r w:rsidR="00B101E8" w:rsidRPr="00273106">
        <w:rPr>
          <w:i/>
          <w:color w:val="000000"/>
        </w:rPr>
        <w:t>ad hoc</w:t>
      </w:r>
      <w:r w:rsidR="00B101E8" w:rsidRPr="00273106">
        <w:rPr>
          <w:color w:val="000000"/>
        </w:rPr>
        <w:t xml:space="preserve"> daných akcidentů na hypostázované existenci je čistou homonymií. </w:t>
      </w:r>
      <w:r w:rsidR="007D1B80">
        <w:rPr>
          <w:color w:val="000000"/>
        </w:rPr>
        <w:t xml:space="preserve">Příkladem může být statut rozsažnosti, který </w:t>
      </w:r>
      <w:r w:rsidR="007D1B80">
        <w:rPr>
          <w:color w:val="000000"/>
        </w:rPr>
        <w:lastRenderedPageBreak/>
        <w:t xml:space="preserve">hypostázoval už neoplatonismus. </w:t>
      </w:r>
      <w:r w:rsidR="00540B2B">
        <w:rPr>
          <w:color w:val="000000"/>
        </w:rPr>
        <w:t>Porfy</w:t>
      </w:r>
      <w:r w:rsidR="0091691F" w:rsidRPr="00273106">
        <w:rPr>
          <w:color w:val="000000"/>
        </w:rPr>
        <w:t xml:space="preserve">rius a po něm Boethius ve výše citované </w:t>
      </w:r>
      <w:r w:rsidR="0091691F" w:rsidRPr="00273106">
        <w:rPr>
          <w:i/>
          <w:color w:val="000000"/>
        </w:rPr>
        <w:t>Tertia regula</w:t>
      </w:r>
      <w:r w:rsidR="0091691F" w:rsidRPr="00273106">
        <w:rPr>
          <w:color w:val="000000"/>
        </w:rPr>
        <w:t xml:space="preserve"> jasně </w:t>
      </w:r>
      <w:r w:rsidR="00B0481C" w:rsidRPr="00273106">
        <w:rPr>
          <w:color w:val="000000"/>
        </w:rPr>
        <w:t xml:space="preserve">řekl, že participace v rámci univerzálií může být pouze v modu </w:t>
      </w:r>
      <w:r w:rsidR="006B43DC" w:rsidRPr="00273106">
        <w:rPr>
          <w:color w:val="000000"/>
        </w:rPr>
        <w:t xml:space="preserve">univerzálních </w:t>
      </w:r>
      <w:r w:rsidR="006A04C6" w:rsidRPr="006A04C6">
        <w:rPr>
          <w:color w:val="000000"/>
        </w:rPr>
        <w:t>species</w:t>
      </w:r>
      <w:r w:rsidR="08957353">
        <w:rPr>
          <w:color w:val="000000"/>
        </w:rPr>
        <w:t xml:space="preserve"> a ne </w:t>
      </w:r>
      <w:r w:rsidR="00B0481C" w:rsidRPr="00273106">
        <w:rPr>
          <w:color w:val="000000"/>
        </w:rPr>
        <w:t xml:space="preserve">na úrovni jednotlivin. </w:t>
      </w:r>
      <w:r w:rsidR="003D7026">
        <w:rPr>
          <w:color w:val="000000"/>
        </w:rPr>
        <w:t xml:space="preserve">Univocita modu </w:t>
      </w:r>
      <w:r w:rsidR="003D7026" w:rsidRPr="00566B5A">
        <w:rPr>
          <w:i/>
          <w:color w:val="000000"/>
        </w:rPr>
        <w:t>simpliciter</w:t>
      </w:r>
      <w:r w:rsidR="0079792D">
        <w:rPr>
          <w:color w:val="000000"/>
        </w:rPr>
        <w:t xml:space="preserve"> vzhledem ke smíšenému </w:t>
      </w:r>
      <w:r w:rsidR="003D7026">
        <w:rPr>
          <w:color w:val="000000"/>
        </w:rPr>
        <w:t>bytí první a druhé substance je čistý sofismus</w:t>
      </w:r>
      <w:r w:rsidR="003078AF">
        <w:rPr>
          <w:rStyle w:val="Zkladntext184"/>
          <w:rFonts w:ascii="Calibri" w:eastAsia="Times" w:hAnsi="Calibri" w:cs="Times New Roman"/>
          <w:i/>
          <w:color w:val="auto"/>
          <w:spacing w:val="0"/>
          <w:sz w:val="24"/>
          <w:lang w:val="cs-CZ"/>
        </w:rPr>
        <w:fldChar w:fldCharType="begin"/>
      </w:r>
      <w:r w:rsidR="003078AF">
        <w:instrText xml:space="preserve"> XE "predikace:objektivní" </w:instrText>
      </w:r>
      <w:r w:rsidR="003078AF">
        <w:rPr>
          <w:rStyle w:val="Zkladntext184"/>
          <w:rFonts w:ascii="Calibri" w:eastAsia="Times" w:hAnsi="Calibri" w:cs="Times New Roman"/>
          <w:i/>
          <w:color w:val="auto"/>
          <w:spacing w:val="0"/>
          <w:sz w:val="24"/>
          <w:lang w:val="cs-CZ"/>
        </w:rPr>
        <w:fldChar w:fldCharType="end"/>
      </w:r>
      <w:r w:rsidR="003D7026">
        <w:rPr>
          <w:color w:val="000000"/>
        </w:rPr>
        <w:t>.</w:t>
      </w:r>
      <w:r w:rsidR="08695F87">
        <w:rPr>
          <w:color w:val="000000"/>
        </w:rPr>
        <w:t xml:space="preserve"> </w:t>
      </w:r>
      <w:r w:rsidR="081F76F6">
        <w:t xml:space="preserve">Porretáni </w:t>
      </w:r>
      <w:r w:rsidR="081F76F6" w:rsidRPr="00273106">
        <w:t>znejasnil</w:t>
      </w:r>
      <w:r w:rsidR="081F76F6">
        <w:t>i</w:t>
      </w:r>
      <w:r w:rsidR="081F76F6" w:rsidRPr="00273106">
        <w:t xml:space="preserve"> existenci první substance tím, že </w:t>
      </w:r>
      <w:r w:rsidR="081F76F6">
        <w:t xml:space="preserve">sofisticky </w:t>
      </w:r>
      <w:r w:rsidR="081F76F6" w:rsidRPr="00273106">
        <w:t>definoval</w:t>
      </w:r>
      <w:r w:rsidR="081F76F6">
        <w:t>i</w:t>
      </w:r>
      <w:r w:rsidR="081F76F6" w:rsidRPr="00273106">
        <w:t xml:space="preserve"> akt subsistence a participace</w:t>
      </w:r>
      <w:r w:rsidR="081F76F6">
        <w:t>, aby vytvořili moderní definici Boží Trojice</w:t>
      </w:r>
      <w:r w:rsidR="081F76F6" w:rsidRPr="00273106">
        <w:t xml:space="preserve">. </w:t>
      </w:r>
      <w:r w:rsidR="081F76F6">
        <w:t>Simplikius</w:t>
      </w:r>
      <w:r w:rsidR="081F76F6">
        <w:fldChar w:fldCharType="begin"/>
      </w:r>
      <w:r w:rsidR="081F76F6">
        <w:instrText xml:space="preserve"> XE "</w:instrText>
      </w:r>
      <w:r w:rsidR="081F76F6" w:rsidRPr="00650976">
        <w:instrText>Simplikius</w:instrText>
      </w:r>
      <w:r w:rsidR="081F76F6">
        <w:instrText xml:space="preserve">" </w:instrText>
      </w:r>
      <w:r w:rsidR="081F76F6">
        <w:fldChar w:fldCharType="end"/>
      </w:r>
      <w:r w:rsidR="081F76F6">
        <w:t xml:space="preserve"> změnil status kategorie vztahu (</w:t>
      </w:r>
      <w:r w:rsidR="081F76F6" w:rsidRPr="00967906">
        <w:rPr>
          <w:i/>
        </w:rPr>
        <w:t>relatio</w:t>
      </w:r>
      <w:r w:rsidR="081F76F6">
        <w:rPr>
          <w:i/>
        </w:rPr>
        <w:fldChar w:fldCharType="begin"/>
      </w:r>
      <w:r w:rsidR="081F76F6">
        <w:instrText xml:space="preserve"> XE "</w:instrText>
      </w:r>
      <w:r w:rsidR="081F76F6" w:rsidRPr="008C4662">
        <w:rPr>
          <w:i/>
        </w:rPr>
        <w:instrText>relatio</w:instrText>
      </w:r>
      <w:r w:rsidR="081F76F6">
        <w:instrText xml:space="preserve">" </w:instrText>
      </w:r>
      <w:r w:rsidR="081F76F6">
        <w:rPr>
          <w:i/>
        </w:rPr>
        <w:fldChar w:fldCharType="end"/>
      </w:r>
      <w:r w:rsidR="081F76F6">
        <w:rPr>
          <w:i/>
        </w:rPr>
        <w:t>, esse ad</w:t>
      </w:r>
      <w:r w:rsidR="081F76F6">
        <w:rPr>
          <w:i/>
        </w:rPr>
        <w:fldChar w:fldCharType="begin"/>
      </w:r>
      <w:r w:rsidR="081F76F6">
        <w:instrText xml:space="preserve"> XE "</w:instrText>
      </w:r>
      <w:r w:rsidR="081F76F6" w:rsidRPr="008F3381">
        <w:rPr>
          <w:i/>
        </w:rPr>
        <w:instrText>esse ad:</w:instrText>
      </w:r>
      <w:r w:rsidR="081F76F6" w:rsidRPr="008F3381">
        <w:instrText>Simplikius</w:instrText>
      </w:r>
      <w:r w:rsidR="081F76F6">
        <w:instrText xml:space="preserve">" </w:instrText>
      </w:r>
      <w:r w:rsidR="081F76F6">
        <w:rPr>
          <w:i/>
        </w:rPr>
        <w:fldChar w:fldCharType="end"/>
      </w:r>
      <w:r w:rsidR="081F76F6">
        <w:t xml:space="preserve">), která byla pro Aristotela pouhým akcidentem (τὸ πρός τι, </w:t>
      </w:r>
      <w:r w:rsidR="081F76F6" w:rsidRPr="00913203">
        <w:rPr>
          <w:i/>
        </w:rPr>
        <w:t>Cat</w:t>
      </w:r>
      <w:r w:rsidR="081F76F6">
        <w:t>. 6a36</w:t>
      </w:r>
      <w:r w:rsidR="081F76F6">
        <w:fldChar w:fldCharType="begin"/>
      </w:r>
      <w:r w:rsidR="081F76F6">
        <w:instrText xml:space="preserve"> XE "Aristoteles:</w:instrText>
      </w:r>
      <w:r w:rsidR="081F76F6" w:rsidRPr="00913203">
        <w:rPr>
          <w:i/>
        </w:rPr>
        <w:instrText>Cat</w:instrText>
      </w:r>
      <w:r w:rsidR="081F76F6">
        <w:instrText xml:space="preserve">. 6a36" </w:instrText>
      </w:r>
      <w:r w:rsidR="081F76F6">
        <w:fldChar w:fldCharType="end"/>
      </w:r>
      <w:r w:rsidR="081F76F6">
        <w:t xml:space="preserve">; </w:t>
      </w:r>
      <w:r w:rsidR="081F76F6" w:rsidRPr="00913203">
        <w:rPr>
          <w:i/>
        </w:rPr>
        <w:t>Met</w:t>
      </w:r>
      <w:r w:rsidR="081F76F6">
        <w:t>. 1088a34</w:t>
      </w:r>
      <w:r w:rsidR="081F76F6">
        <w:fldChar w:fldCharType="begin"/>
      </w:r>
      <w:r w:rsidR="081F76F6">
        <w:instrText xml:space="preserve"> XE "Aristoteles:</w:instrText>
      </w:r>
      <w:r w:rsidR="081F76F6" w:rsidRPr="00913203">
        <w:rPr>
          <w:i/>
        </w:rPr>
        <w:instrText>Met</w:instrText>
      </w:r>
      <w:r w:rsidR="081F76F6">
        <w:instrText xml:space="preserve">. 1088a34" </w:instrText>
      </w:r>
      <w:r w:rsidR="081F76F6">
        <w:fldChar w:fldCharType="end"/>
      </w:r>
      <w:r w:rsidR="081F76F6">
        <w:t xml:space="preserve">). Falsafa převzala nové jsoucno třetího druhu vytvořené hypostázovaním akcidentů v neoplatonské formě fyziky Simplikia a Filopona (kap. 1.3.3). Avicenna převzal toto abstraktní určení tělesa a přeměnil původní význam akcidentu na esenci definovanou univočně. </w:t>
      </w:r>
      <w:r w:rsidR="00DE25B9" w:rsidRPr="00273106">
        <w:t xml:space="preserve">Gilbert </w:t>
      </w:r>
      <w:r w:rsidR="00AD4FCA">
        <w:t>vzal teologické</w:t>
      </w:r>
      <w:r w:rsidR="00DE25B9" w:rsidRPr="00273106">
        <w:t xml:space="preserve"> určení </w:t>
      </w:r>
      <w:r w:rsidR="081F76F6">
        <w:t xml:space="preserve">druhé </w:t>
      </w:r>
      <w:r w:rsidR="00DE25B9" w:rsidRPr="00273106">
        <w:t>substance</w:t>
      </w:r>
      <w:r w:rsidR="00AD4FCA">
        <w:t xml:space="preserve"> a tím vytvořil „reálnou“ první substanci; ve druhém kroku hypostázoval</w:t>
      </w:r>
      <w:r w:rsidR="081F76F6">
        <w:t xml:space="preserve"> akcident</w:t>
      </w:r>
      <w:r w:rsidR="00AD4FCA">
        <w:t>y</w:t>
      </w:r>
      <w:r w:rsidR="081F76F6">
        <w:t xml:space="preserve"> jako druhou substanci. </w:t>
      </w:r>
      <w:r w:rsidR="08AE4265">
        <w:t>P</w:t>
      </w:r>
      <w:r w:rsidR="00AD4FCA">
        <w:t xml:space="preserve">aranoický postoj k realitě </w:t>
      </w:r>
      <w:r w:rsidR="081F76F6">
        <w:t xml:space="preserve">a zrušení </w:t>
      </w:r>
      <w:r w:rsidR="08787ECE">
        <w:t xml:space="preserve">metafyzického </w:t>
      </w:r>
      <w:r w:rsidR="081F76F6">
        <w:t>dativu</w:t>
      </w:r>
      <w:r w:rsidR="086137D3">
        <w:fldChar w:fldCharType="begin"/>
      </w:r>
      <w:r w:rsidR="086137D3">
        <w:instrText xml:space="preserve"> XE "</w:instrText>
      </w:r>
      <w:r w:rsidR="08787ECE">
        <w:rPr>
          <w:i/>
        </w:rPr>
        <w:instrText>dativus metaphysicus</w:instrText>
      </w:r>
      <w:r w:rsidR="086137D3">
        <w:instrText xml:space="preserve">" </w:instrText>
      </w:r>
      <w:r w:rsidR="086137D3">
        <w:fldChar w:fldCharType="end"/>
      </w:r>
      <w:r w:rsidR="081F76F6">
        <w:t xml:space="preserve"> (kap. 1.2) bylo nutné z teologických důvodů. </w:t>
      </w:r>
      <w:r w:rsidR="00BC412E">
        <w:t>Gilbert potřeboval</w:t>
      </w:r>
      <w:r w:rsidR="08AE4265">
        <w:t xml:space="preserve"> pevně fixovat </w:t>
      </w:r>
      <w:r w:rsidR="00BC412E">
        <w:t xml:space="preserve">boží přítomnost </w:t>
      </w:r>
      <w:r w:rsidR="006B0DE0">
        <w:t xml:space="preserve">do ideového pojmu, který dostal plně reálný význam. Teologie modernistů se stala totálním platonismem, kde se mísila existence boha jako první substance a predikace božských vlastností ve formě „exsistence“ určené jako pseudo-substance. </w:t>
      </w:r>
      <w:r w:rsidR="08AE4265">
        <w:t xml:space="preserve">Proto musel tento iluminát zrušit aristotelskou metafyziku, která takovou </w:t>
      </w:r>
      <w:r w:rsidR="006B0DE0" w:rsidRPr="006B0DE0">
        <w:t>m</w:t>
      </w:r>
      <w:r w:rsidR="006B0DE0">
        <w:t>esalianci n</w:t>
      </w:r>
      <w:r w:rsidR="08AE4265">
        <w:t>emůže p</w:t>
      </w:r>
      <w:r w:rsidR="086957CE">
        <w:t>řipustit</w:t>
      </w:r>
      <w:r w:rsidR="006B0DE0">
        <w:t xml:space="preserve">. </w:t>
      </w:r>
      <w:r w:rsidR="00DE25B9">
        <w:t xml:space="preserve">Jeho teze </w:t>
      </w:r>
      <w:r w:rsidR="00DE25B9" w:rsidRPr="00273106">
        <w:t xml:space="preserve">navazuje na teologické spory o určení podstaty proměněného chleba a vína při eucharistii a na spor o hypostatickou unii </w:t>
      </w:r>
      <w:r w:rsidR="00DE25B9">
        <w:t xml:space="preserve">poprvé </w:t>
      </w:r>
      <w:r w:rsidR="00DE25B9" w:rsidRPr="00273106">
        <w:t>řešenou na Efezském koncilu</w:t>
      </w:r>
      <w:r w:rsidR="00DE25B9">
        <w:fldChar w:fldCharType="begin"/>
      </w:r>
      <w:r w:rsidR="00DE25B9">
        <w:instrText xml:space="preserve"> XE "</w:instrText>
      </w:r>
      <w:r w:rsidR="00DE25B9" w:rsidRPr="00FA03B4">
        <w:instrText>koncil:Efezský</w:instrText>
      </w:r>
      <w:r w:rsidR="00DE25B9">
        <w:instrText xml:space="preserve">" </w:instrText>
      </w:r>
      <w:r w:rsidR="00DE25B9">
        <w:fldChar w:fldCharType="end"/>
      </w:r>
      <w:r w:rsidR="00DE25B9" w:rsidRPr="00273106">
        <w:t xml:space="preserve"> (451).</w:t>
      </w:r>
      <w:r w:rsidR="00DE25B9">
        <w:t xml:space="preserve"> </w:t>
      </w:r>
      <w:r w:rsidR="009E0B26">
        <w:t>Gilbert hypostázoval v</w:t>
      </w:r>
      <w:r w:rsidR="00CD4E53">
        <w:t>ztah Otce a S</w:t>
      </w:r>
      <w:r w:rsidR="009E0B26">
        <w:t xml:space="preserve">yna po vzoru Simplikia v modu </w:t>
      </w:r>
      <w:r w:rsidR="009E0B26" w:rsidRPr="08A2300D">
        <w:rPr>
          <w:i/>
        </w:rPr>
        <w:t>dispositio</w:t>
      </w:r>
      <w:r w:rsidR="009E0B26">
        <w:t>.</w:t>
      </w:r>
      <w:r w:rsidR="009E0B26">
        <w:rPr>
          <w:rStyle w:val="Znakapoznpodarou"/>
        </w:rPr>
        <w:footnoteReference w:id="49"/>
      </w:r>
      <w:r w:rsidR="009E0B26">
        <w:t xml:space="preserve"> Vztah obou božských Osob j</w:t>
      </w:r>
      <w:r w:rsidR="08D616C0">
        <w:t xml:space="preserve">e metafyzicky určen jako </w:t>
      </w:r>
      <w:r w:rsidR="08D616C0" w:rsidRPr="08BD5B0C">
        <w:rPr>
          <w:i/>
        </w:rPr>
        <w:t>tertium ens</w:t>
      </w:r>
      <w:r w:rsidR="009E0B26">
        <w:t xml:space="preserve"> a dostal substanční podobu mimo </w:t>
      </w:r>
      <w:r w:rsidR="008B637F">
        <w:t>obě první substance O</w:t>
      </w:r>
      <w:r w:rsidR="08D616C0">
        <w:t>t</w:t>
      </w:r>
      <w:r w:rsidR="008B637F">
        <w:t>ce a S</w:t>
      </w:r>
      <w:r w:rsidR="009E0B26">
        <w:t xml:space="preserve">yna </w:t>
      </w:r>
      <w:r w:rsidR="009E0B26">
        <w:rPr>
          <w:szCs w:val="24"/>
        </w:rPr>
        <w:t>(</w:t>
      </w:r>
      <w:r w:rsidR="009E0B26" w:rsidRPr="00FC2A90">
        <w:rPr>
          <w:i/>
          <w:szCs w:val="24"/>
        </w:rPr>
        <w:t>paternitas</w:t>
      </w:r>
      <w:r w:rsidR="009E0B26">
        <w:rPr>
          <w:i/>
          <w:szCs w:val="24"/>
        </w:rPr>
        <w:t>...</w:t>
      </w:r>
      <w:r w:rsidR="009E0B26" w:rsidRPr="00FC2A90">
        <w:rPr>
          <w:i/>
        </w:rPr>
        <w:t>est dispositio filii respectu patris</w:t>
      </w:r>
      <w:r w:rsidR="009E0B26">
        <w:rPr>
          <w:szCs w:val="24"/>
        </w:rPr>
        <w:t>)</w:t>
      </w:r>
      <w:r w:rsidR="08D616C0">
        <w:t xml:space="preserve">. </w:t>
      </w:r>
      <w:r w:rsidR="0815768F">
        <w:t xml:space="preserve">Toto </w:t>
      </w:r>
      <w:r w:rsidR="08040289">
        <w:t xml:space="preserve">původně </w:t>
      </w:r>
      <w:r w:rsidR="0815768F">
        <w:t>a</w:t>
      </w:r>
      <w:r w:rsidR="08681C5E">
        <w:t xml:space="preserve">vicennovské pojetí </w:t>
      </w:r>
      <w:r w:rsidR="007E13D8">
        <w:t xml:space="preserve">kategorie </w:t>
      </w:r>
      <w:r w:rsidR="08681C5E">
        <w:t xml:space="preserve">vztahu jako hypostáze přebírá nová forma moderní teologie. </w:t>
      </w:r>
      <w:r w:rsidR="007457AE" w:rsidRPr="00273106">
        <w:t xml:space="preserve">Porretanus provádí první západní redukci jsoucna na principy determinované </w:t>
      </w:r>
      <w:r w:rsidR="007457AE">
        <w:t>logicky, teologicky a dogmaticky</w:t>
      </w:r>
      <w:r w:rsidR="00E91559">
        <w:t xml:space="preserve">. </w:t>
      </w:r>
      <w:r w:rsidR="00BA1C37">
        <w:t xml:space="preserve">Tyto principy jsou stejně reálné jako samotná realita, protože predikace ztratila aristotelskou reprezentativní funkci. </w:t>
      </w:r>
      <w:r w:rsidR="00E91559">
        <w:t xml:space="preserve">Paranoické slovo moderny se </w:t>
      </w:r>
      <w:r w:rsidR="00E91559">
        <w:lastRenderedPageBreak/>
        <w:t xml:space="preserve">stalo první substancí a tím založilo </w:t>
      </w:r>
      <w:r w:rsidR="00FD7E32">
        <w:t>epochální bloudění (</w:t>
      </w:r>
      <w:r w:rsidR="00FD7E32" w:rsidRPr="00456AC2">
        <w:rPr>
          <w:i/>
        </w:rPr>
        <w:t>Irre</w:t>
      </w:r>
      <w:r w:rsidR="00FD7E32">
        <w:t xml:space="preserve">) </w:t>
      </w:r>
      <w:r w:rsidR="00E91559">
        <w:t>s</w:t>
      </w:r>
      <w:r w:rsidR="00FD7E32">
        <w:t xml:space="preserve">krze </w:t>
      </w:r>
      <w:r w:rsidR="00CD3DCE">
        <w:t xml:space="preserve">zásadní </w:t>
      </w:r>
      <w:r w:rsidR="00FD7E32">
        <w:t>metafyzické pochybení (</w:t>
      </w:r>
      <w:r w:rsidR="00FD7E32" w:rsidRPr="00456AC2">
        <w:rPr>
          <w:i/>
        </w:rPr>
        <w:t>Irrtum</w:t>
      </w:r>
      <w:r w:rsidR="00FD7E32">
        <w:t>).</w:t>
      </w:r>
    </w:p>
    <w:p w14:paraId="7E3C3E5F" w14:textId="070A0044" w:rsidR="001F1192" w:rsidRPr="006B0DE0" w:rsidRDefault="08686ACF" w:rsidP="00C04F26">
      <w:pPr>
        <w:ind w:firstLine="397"/>
      </w:pPr>
      <w:r>
        <w:t xml:space="preserve">Podívejme se na další verzi </w:t>
      </w:r>
      <w:r w:rsidR="089424B0">
        <w:t>neo</w:t>
      </w:r>
      <w:r>
        <w:t xml:space="preserve">platonského zdvojení jsoucna, kterou měl poprvé Porfyriův komentář k dialogu </w:t>
      </w:r>
      <w:r w:rsidRPr="08686ACF">
        <w:rPr>
          <w:i/>
        </w:rPr>
        <w:t>Parmenides</w:t>
      </w:r>
      <w:r>
        <w:t xml:space="preserve"> (kap. 1.3</w:t>
      </w:r>
      <w:r w:rsidR="088A72E8">
        <w:t>.1</w:t>
      </w:r>
      <w:r>
        <w:t xml:space="preserve">). </w:t>
      </w:r>
      <w:r w:rsidR="089424B0">
        <w:t xml:space="preserve">Následující citát zakládá cestu </w:t>
      </w:r>
      <w:r w:rsidR="089F6009">
        <w:t xml:space="preserve">Moderních </w:t>
      </w:r>
      <w:r w:rsidR="089424B0">
        <w:t>(</w:t>
      </w:r>
      <w:r w:rsidR="089424B0" w:rsidRPr="00456AC2">
        <w:rPr>
          <w:i/>
        </w:rPr>
        <w:t>via Modernorum</w:t>
      </w:r>
      <w:r w:rsidR="089424B0">
        <w:rPr>
          <w:i/>
        </w:rPr>
        <w:fldChar w:fldCharType="begin"/>
      </w:r>
      <w:r w:rsidR="089424B0">
        <w:instrText xml:space="preserve"> XE "</w:instrText>
      </w:r>
      <w:r w:rsidR="089424B0" w:rsidRPr="001D1983">
        <w:rPr>
          <w:i/>
        </w:rPr>
        <w:instrText>via Modernorum</w:instrText>
      </w:r>
      <w:r w:rsidR="089424B0">
        <w:instrText xml:space="preserve">" </w:instrText>
      </w:r>
      <w:r w:rsidR="089424B0">
        <w:rPr>
          <w:i/>
        </w:rPr>
        <w:fldChar w:fldCharType="end"/>
      </w:r>
      <w:r w:rsidR="089424B0">
        <w:t xml:space="preserve">), po níž začali kráčet nástupci Gilberta </w:t>
      </w:r>
      <w:r w:rsidR="002239AA">
        <w:t>de La Porrée</w:t>
      </w:r>
      <w:r w:rsidR="089424B0">
        <w:t>.</w:t>
      </w:r>
      <w:r w:rsidR="083A727D" w:rsidRPr="083A727D">
        <w:t xml:space="preserve"> </w:t>
      </w:r>
      <w:r w:rsidR="083A727D" w:rsidRPr="00273106">
        <w:t xml:space="preserve">Synkretisticky pojaté „bytí </w:t>
      </w:r>
      <w:r w:rsidR="00C04F26">
        <w:t>čehokoliv</w:t>
      </w:r>
      <w:r w:rsidR="083A727D" w:rsidRPr="00273106">
        <w:t>“ (</w:t>
      </w:r>
      <w:r w:rsidR="083A727D" w:rsidRPr="00273106">
        <w:rPr>
          <w:i/>
        </w:rPr>
        <w:t>esse aliquid</w:t>
      </w:r>
      <w:r w:rsidR="083A727D" w:rsidRPr="00273106">
        <w:t xml:space="preserve">) zakládá smíšením nominální, </w:t>
      </w:r>
      <w:r w:rsidR="083A727D">
        <w:t xml:space="preserve">amfibolní </w:t>
      </w:r>
      <w:r w:rsidR="083A727D" w:rsidRPr="00273106">
        <w:t xml:space="preserve">a kategoriální predikace </w:t>
      </w:r>
      <w:r w:rsidR="083A727D" w:rsidRPr="003D213B">
        <w:rPr>
          <w:i/>
        </w:rPr>
        <w:t>Lichtung</w:t>
      </w:r>
      <w:r w:rsidR="083A727D">
        <w:t xml:space="preserve"> </w:t>
      </w:r>
      <w:r w:rsidR="083A727D" w:rsidRPr="00273106">
        <w:t>moderny</w:t>
      </w:r>
      <w:r w:rsidR="083A727D">
        <w:rPr>
          <w:rStyle w:val="Zkladntext184"/>
          <w:rFonts w:ascii="Calibri" w:eastAsia="Times" w:hAnsi="Calibri" w:cs="Times New Roman"/>
          <w:i/>
          <w:color w:val="auto"/>
          <w:spacing w:val="0"/>
          <w:sz w:val="24"/>
          <w:lang w:val="cs-CZ"/>
        </w:rPr>
        <w:fldChar w:fldCharType="begin"/>
      </w:r>
      <w:r w:rsidR="083A727D">
        <w:instrText xml:space="preserve"> XE "objektivita:Gilbertus Porretanus" </w:instrText>
      </w:r>
      <w:r w:rsidR="083A727D">
        <w:rPr>
          <w:rStyle w:val="Zkladntext184"/>
          <w:rFonts w:ascii="Calibri" w:eastAsia="Times" w:hAnsi="Calibri" w:cs="Times New Roman"/>
          <w:i/>
          <w:color w:val="auto"/>
          <w:spacing w:val="0"/>
          <w:sz w:val="24"/>
          <w:lang w:val="cs-CZ"/>
        </w:rPr>
        <w:fldChar w:fldCharType="end"/>
      </w:r>
      <w:r w:rsidR="00C04F26">
        <w:t>. Její nepravdu odmítl klasický aristotelismus a její „pravdu“ uvidíme později. V Gilbertově pojmu „</w:t>
      </w:r>
      <w:r w:rsidR="00C04F26" w:rsidRPr="08EA5C67">
        <w:rPr>
          <w:i/>
        </w:rPr>
        <w:t>esse aliquid</w:t>
      </w:r>
      <w:r w:rsidR="00C04F26">
        <w:t xml:space="preserve">“ je dán počátek </w:t>
      </w:r>
      <w:r w:rsidR="083A727D" w:rsidRPr="00273106">
        <w:t>objektivního jsoucna</w:t>
      </w:r>
      <w:r w:rsidR="08EA5C67">
        <w:t>.</w:t>
      </w:r>
    </w:p>
    <w:p w14:paraId="6831C58F" w14:textId="672ADC04" w:rsidR="00BC7CD3" w:rsidRPr="00273106" w:rsidRDefault="001F1192" w:rsidP="00712437">
      <w:pPr>
        <w:pStyle w:val="Citace"/>
        <w:rPr>
          <w:noProof/>
          <w:lang w:val="cs-CZ"/>
        </w:rPr>
      </w:pPr>
      <w:r w:rsidRPr="00273106">
        <w:rPr>
          <w:noProof/>
          <w:lang w:val="cs-CZ"/>
        </w:rPr>
        <w:t>„</w:t>
      </w:r>
      <w:r w:rsidR="00C2122F" w:rsidRPr="00273106">
        <w:rPr>
          <w:noProof/>
          <w:lang w:val="cs-CZ"/>
        </w:rPr>
        <w:t>Pra</w:t>
      </w:r>
      <w:r w:rsidR="00FD781E" w:rsidRPr="00273106">
        <w:rPr>
          <w:noProof/>
          <w:lang w:val="cs-CZ"/>
        </w:rPr>
        <w:t xml:space="preserve">víme-li, že 'těleso jest' nebo </w:t>
      </w:r>
      <w:r w:rsidR="00C2122F" w:rsidRPr="00273106">
        <w:rPr>
          <w:noProof/>
          <w:lang w:val="cs-CZ"/>
        </w:rPr>
        <w:t xml:space="preserve">'člověk jest' a podobně, teologové chápou existenci takto řečeného jako vnější denominaci odvozenou od esence </w:t>
      </w:r>
      <w:r w:rsidR="00FC1682" w:rsidRPr="00273106">
        <w:rPr>
          <w:noProof/>
          <w:lang w:val="cs-CZ"/>
        </w:rPr>
        <w:t>původního</w:t>
      </w:r>
      <w:r w:rsidR="088832DA">
        <w:rPr>
          <w:noProof/>
          <w:lang w:val="cs-CZ"/>
        </w:rPr>
        <w:t xml:space="preserve"> principu (</w:t>
      </w:r>
      <w:r w:rsidR="088832DA" w:rsidRPr="08DE7A40">
        <w:rPr>
          <w:i/>
        </w:rPr>
        <w:t>extrinseca denominatione ab essentia sui principii</w:t>
      </w:r>
      <w:r w:rsidR="088832DA">
        <w:rPr>
          <w:noProof/>
          <w:lang w:val="cs-CZ"/>
        </w:rPr>
        <w:t>)</w:t>
      </w:r>
      <w:r w:rsidR="00C2122F" w:rsidRPr="00273106">
        <w:rPr>
          <w:noProof/>
          <w:lang w:val="cs-CZ"/>
        </w:rPr>
        <w:t>. Neříkají o tělesnosti, že je tělem, nýbrž že je nějakým druhem jsoucna (</w:t>
      </w:r>
      <w:r w:rsidR="00C2122F" w:rsidRPr="00273106">
        <w:rPr>
          <w:i/>
          <w:noProof/>
          <w:lang w:val="cs-CZ"/>
        </w:rPr>
        <w:t>esse aliquid</w:t>
      </w:r>
      <w:r w:rsidR="00C2122F" w:rsidRPr="00273106">
        <w:rPr>
          <w:noProof/>
          <w:lang w:val="cs-CZ"/>
        </w:rPr>
        <w:t>); ani lidství není bytím člověka, ale je ně</w:t>
      </w:r>
      <w:r w:rsidR="00206C31" w:rsidRPr="00273106">
        <w:rPr>
          <w:noProof/>
          <w:lang w:val="cs-CZ"/>
        </w:rPr>
        <w:t>jakým jsoucnem. A podobně lze každou</w:t>
      </w:r>
      <w:r w:rsidR="00C2122F" w:rsidRPr="00273106">
        <w:rPr>
          <w:noProof/>
          <w:lang w:val="cs-CZ"/>
        </w:rPr>
        <w:t xml:space="preserve"> </w:t>
      </w:r>
      <w:r w:rsidR="00070E26" w:rsidRPr="00273106">
        <w:rPr>
          <w:noProof/>
          <w:lang w:val="cs-CZ"/>
        </w:rPr>
        <w:t xml:space="preserve">subsistující esenci predikovat </w:t>
      </w:r>
      <w:r w:rsidR="00C2122F" w:rsidRPr="00273106">
        <w:rPr>
          <w:noProof/>
          <w:lang w:val="cs-CZ"/>
        </w:rPr>
        <w:t xml:space="preserve">vzhledem k jejímu principu </w:t>
      </w:r>
      <w:r w:rsidR="00070E26" w:rsidRPr="00273106">
        <w:rPr>
          <w:noProof/>
          <w:lang w:val="cs-CZ"/>
        </w:rPr>
        <w:t>(</w:t>
      </w:r>
      <w:r w:rsidR="00070E26" w:rsidRPr="00273106">
        <w:rPr>
          <w:i/>
          <w:noProof/>
          <w:lang w:val="cs-CZ"/>
        </w:rPr>
        <w:t>sui principii predicant</w:t>
      </w:r>
      <w:r w:rsidR="00206C31" w:rsidRPr="00273106">
        <w:rPr>
          <w:noProof/>
          <w:lang w:val="cs-CZ"/>
        </w:rPr>
        <w:t>). N</w:t>
      </w:r>
      <w:r w:rsidR="00C2122F" w:rsidRPr="00273106">
        <w:rPr>
          <w:noProof/>
          <w:lang w:val="cs-CZ"/>
        </w:rPr>
        <w:t>ikoliv, že je nějakým určitým jsoucnem, ale že prostě jest (</w:t>
      </w:r>
      <w:r w:rsidR="00C2122F" w:rsidRPr="00273106">
        <w:rPr>
          <w:i/>
          <w:noProof/>
          <w:lang w:val="cs-CZ"/>
        </w:rPr>
        <w:t>non esse aliquid sed esse</w:t>
      </w:r>
      <w:r w:rsidR="00C2122F" w:rsidRPr="00273106">
        <w:rPr>
          <w:noProof/>
          <w:lang w:val="cs-CZ"/>
        </w:rPr>
        <w:t xml:space="preserve">). Každá </w:t>
      </w:r>
      <w:r w:rsidR="00FC1682" w:rsidRPr="00273106">
        <w:rPr>
          <w:noProof/>
          <w:lang w:val="cs-CZ"/>
        </w:rPr>
        <w:t xml:space="preserve">jednotlivá </w:t>
      </w:r>
      <w:r w:rsidR="00C2122F" w:rsidRPr="00273106">
        <w:rPr>
          <w:noProof/>
          <w:lang w:val="cs-CZ"/>
        </w:rPr>
        <w:t>subsistující esence je stvořena pro sebe samu (</w:t>
      </w:r>
      <w:r w:rsidR="00C2122F" w:rsidRPr="00273106">
        <w:rPr>
          <w:i/>
          <w:noProof/>
          <w:lang w:val="cs-CZ"/>
        </w:rPr>
        <w:t>illa vero que in ipso creata est</w:t>
      </w:r>
      <w:r w:rsidR="00070E26" w:rsidRPr="00273106">
        <w:rPr>
          <w:noProof/>
          <w:lang w:val="cs-CZ"/>
        </w:rPr>
        <w:t>), proto již není čistou subsistencí (</w:t>
      </w:r>
      <w:r w:rsidR="00070E26" w:rsidRPr="00273106">
        <w:rPr>
          <w:i/>
          <w:noProof/>
          <w:lang w:val="cs-CZ"/>
        </w:rPr>
        <w:t>subsistentia non esse</w:t>
      </w:r>
      <w:r w:rsidR="00160C02">
        <w:rPr>
          <w:noProof/>
          <w:lang w:val="cs-CZ"/>
        </w:rPr>
        <w:t xml:space="preserve">), ale je </w:t>
      </w:r>
      <w:r w:rsidR="00180FDF">
        <w:rPr>
          <w:lang w:val="cs-CZ"/>
        </w:rPr>
        <w:t xml:space="preserve">objektivní </w:t>
      </w:r>
      <w:r w:rsidR="085A4BD7">
        <w:rPr>
          <w:noProof/>
          <w:lang w:val="cs-CZ"/>
        </w:rPr>
        <w:t xml:space="preserve">jsoucností </w:t>
      </w:r>
      <w:r w:rsidR="00070E26" w:rsidRPr="00273106">
        <w:rPr>
          <w:noProof/>
          <w:lang w:val="cs-CZ"/>
        </w:rPr>
        <w:t>(</w:t>
      </w:r>
      <w:r w:rsidR="00070E26" w:rsidRPr="00273106">
        <w:rPr>
          <w:i/>
          <w:noProof/>
          <w:lang w:val="cs-CZ"/>
        </w:rPr>
        <w:t>sed esse aliquid</w:t>
      </w:r>
      <w:r w:rsidR="00070E26" w:rsidRPr="00273106">
        <w:rPr>
          <w:noProof/>
          <w:lang w:val="cs-CZ"/>
        </w:rPr>
        <w:t>).“</w:t>
      </w:r>
      <w:r w:rsidR="00FC1682" w:rsidRPr="00273106">
        <w:rPr>
          <w:noProof/>
          <w:lang w:val="cs-CZ"/>
        </w:rPr>
        <w:t xml:space="preserve"> </w:t>
      </w:r>
      <w:r w:rsidR="00BC7CD3" w:rsidRPr="00273106">
        <w:rPr>
          <w:rStyle w:val="Znakapoznpodarou"/>
          <w:noProof/>
          <w:lang w:val="cs-CZ"/>
        </w:rPr>
        <w:footnoteReference w:id="50"/>
      </w:r>
    </w:p>
    <w:p w14:paraId="43D99738" w14:textId="5D18A50A" w:rsidR="00A14F30" w:rsidRDefault="00EF30C8" w:rsidP="086A1715">
      <w:r w:rsidRPr="00273106">
        <w:t>Bytí principu jako čisté hypostázované esence (</w:t>
      </w:r>
      <w:r w:rsidRPr="00273106">
        <w:rPr>
          <w:i/>
        </w:rPr>
        <w:t>corporeitas</w:t>
      </w:r>
      <w:r w:rsidRPr="00273106">
        <w:t xml:space="preserve">, </w:t>
      </w:r>
      <w:r w:rsidRPr="00273106">
        <w:rPr>
          <w:i/>
        </w:rPr>
        <w:t>humanitas</w:t>
      </w:r>
      <w:r w:rsidR="00FC0C75">
        <w:rPr>
          <w:i/>
        </w:rPr>
        <w:fldChar w:fldCharType="begin"/>
      </w:r>
      <w:r w:rsidR="00FC0C75">
        <w:instrText xml:space="preserve"> XE "</w:instrText>
      </w:r>
      <w:r w:rsidR="00FC0C75" w:rsidRPr="00420622">
        <w:rPr>
          <w:i/>
        </w:rPr>
        <w:instrText>humanitas</w:instrText>
      </w:r>
      <w:r w:rsidR="00FC0C75" w:rsidRPr="009523DF">
        <w:instrText>:</w:instrText>
      </w:r>
      <w:r w:rsidR="009523DF" w:rsidRPr="009523DF">
        <w:instrText>Gilbertus Porretanus</w:instrText>
      </w:r>
      <w:r w:rsidR="00FC0C75">
        <w:instrText xml:space="preserve">" </w:instrText>
      </w:r>
      <w:r w:rsidR="00FC0C75">
        <w:rPr>
          <w:i/>
        </w:rPr>
        <w:fldChar w:fldCharType="end"/>
      </w:r>
      <w:r w:rsidRPr="00273106">
        <w:t xml:space="preserve">) </w:t>
      </w:r>
      <w:r w:rsidR="082156AD">
        <w:t>se o</w:t>
      </w:r>
      <w:r w:rsidRPr="00273106">
        <w:t>dděl</w:t>
      </w:r>
      <w:r w:rsidR="082156AD">
        <w:t>ilo</w:t>
      </w:r>
      <w:r w:rsidRPr="00273106">
        <w:t xml:space="preserve"> od reálného bytí první substance (</w:t>
      </w:r>
      <w:r w:rsidRPr="00273106">
        <w:rPr>
          <w:i/>
        </w:rPr>
        <w:t>hoc est</w:t>
      </w:r>
      <w:r w:rsidRPr="00273106">
        <w:t xml:space="preserve"> </w:t>
      </w:r>
      <w:r w:rsidRPr="00273106">
        <w:rPr>
          <w:i/>
        </w:rPr>
        <w:t>corpus</w:t>
      </w:r>
      <w:r w:rsidRPr="00273106">
        <w:t xml:space="preserve">, </w:t>
      </w:r>
      <w:r w:rsidRPr="00273106">
        <w:rPr>
          <w:i/>
        </w:rPr>
        <w:t>homo</w:t>
      </w:r>
      <w:r w:rsidRPr="00273106">
        <w:t>)</w:t>
      </w:r>
      <w:r w:rsidR="006F3DCC">
        <w:t xml:space="preserve">. Tato hypostatická unie </w:t>
      </w:r>
      <w:r w:rsidR="003239F8">
        <w:t xml:space="preserve">obou zcela odlišných významů </w:t>
      </w:r>
      <w:r w:rsidR="006F3DCC">
        <w:t>byla</w:t>
      </w:r>
      <w:r w:rsidRPr="00273106">
        <w:t xml:space="preserve"> sofisticky </w:t>
      </w:r>
      <w:r w:rsidR="006F3DCC">
        <w:t>importována</w:t>
      </w:r>
      <w:r>
        <w:t xml:space="preserve"> do jsoucna třetího druhu </w:t>
      </w:r>
      <w:r w:rsidRPr="00273106">
        <w:t>(</w:t>
      </w:r>
      <w:r w:rsidRPr="00273106">
        <w:rPr>
          <w:i/>
        </w:rPr>
        <w:t>subsistentia non esse sed esse aliquid</w:t>
      </w:r>
      <w:r w:rsidRPr="00273106">
        <w:t xml:space="preserve">). </w:t>
      </w:r>
      <w:r w:rsidR="00FB368B" w:rsidRPr="00273106">
        <w:t>Gilbert zachází s novým bytím jsoucna jako se substancí třetího druhu, kterou známe od Simplikia (</w:t>
      </w:r>
      <w:r w:rsidR="084E7952">
        <w:t>kap. 1.3</w:t>
      </w:r>
      <w:r w:rsidR="08EA5C67">
        <w:t xml:space="preserve">.1) a ve falsafě sporem o status </w:t>
      </w:r>
      <w:r w:rsidR="08EA5C67" w:rsidRPr="0803312C">
        <w:rPr>
          <w:i/>
        </w:rPr>
        <w:t>aliud esse</w:t>
      </w:r>
      <w:r w:rsidR="08EA5C67">
        <w:rPr>
          <w:i/>
        </w:rPr>
        <w:t xml:space="preserve"> </w:t>
      </w:r>
      <w:r w:rsidR="08EA5C67">
        <w:t>u Al</w:t>
      </w:r>
      <w:r w:rsidR="08EA5C67" w:rsidRPr="08EA5C67">
        <w:t xml:space="preserve">-Fárábího (kap. 2.1.2). </w:t>
      </w:r>
      <w:r w:rsidR="08803310">
        <w:t>Gilbertův c</w:t>
      </w:r>
      <w:r>
        <w:t>itát v</w:t>
      </w:r>
      <w:r w:rsidRPr="00273106">
        <w:t xml:space="preserve">ybavil </w:t>
      </w:r>
      <w:r>
        <w:t xml:space="preserve">toto neurčité jsoucno </w:t>
      </w:r>
      <w:r w:rsidRPr="00273106">
        <w:t>novým druhem subsistující jsoucnosti odlišné od reálného aktu existence</w:t>
      </w:r>
      <w:r w:rsidR="08C670D6">
        <w:t xml:space="preserve"> první substance</w:t>
      </w:r>
      <w:r w:rsidRPr="00273106">
        <w:t>.</w:t>
      </w:r>
      <w:r>
        <w:t xml:space="preserve"> </w:t>
      </w:r>
      <w:r w:rsidRPr="00273106">
        <w:t xml:space="preserve">Existence oddělené první substance je redukována na určení věci v modu </w:t>
      </w:r>
      <w:r>
        <w:t>či</w:t>
      </w:r>
      <w:r w:rsidR="080B2824">
        <w:t xml:space="preserve">sté jsoucnosti typu Avicennova </w:t>
      </w:r>
      <w:r w:rsidRPr="007636F3">
        <w:rPr>
          <w:i/>
        </w:rPr>
        <w:t>hoc esse tantum</w:t>
      </w:r>
      <w:r w:rsidR="00C63957">
        <w:rPr>
          <w:i/>
        </w:rPr>
        <w:fldChar w:fldCharType="begin"/>
      </w:r>
      <w:r w:rsidR="00C63957">
        <w:instrText xml:space="preserve"> XE "</w:instrText>
      </w:r>
      <w:r w:rsidR="08343152">
        <w:rPr>
          <w:i/>
          <w:lang w:eastAsia="en-US"/>
        </w:rPr>
        <w:instrText>tertium ens:</w:instrText>
      </w:r>
      <w:r w:rsidR="009523DF" w:rsidRPr="009523DF">
        <w:instrText>Gilbertus Porretanus</w:instrText>
      </w:r>
      <w:r w:rsidR="00C63957">
        <w:instrText xml:space="preserve">" </w:instrText>
      </w:r>
      <w:r w:rsidR="00C63957">
        <w:rPr>
          <w:i/>
        </w:rPr>
        <w:fldChar w:fldCharType="end"/>
      </w:r>
      <w:r>
        <w:t xml:space="preserve"> </w:t>
      </w:r>
      <w:r w:rsidRPr="00273106">
        <w:t xml:space="preserve">(kap. 2.3.2). </w:t>
      </w:r>
      <w:r w:rsidR="08972F57" w:rsidRPr="00273106">
        <w:t>Určení jsoucna platí vzhledem k teologicky a k dogmaticky danému významu (</w:t>
      </w:r>
      <w:r w:rsidR="08972F57" w:rsidRPr="00273106">
        <w:rPr>
          <w:i/>
        </w:rPr>
        <w:t>esse aliquid</w:t>
      </w:r>
      <w:r w:rsidR="08972F57" w:rsidRPr="00273106">
        <w:t xml:space="preserve">), který </w:t>
      </w:r>
      <w:r w:rsidR="08972F57">
        <w:t xml:space="preserve">dostal </w:t>
      </w:r>
      <w:r w:rsidR="08972F57" w:rsidRPr="00273106">
        <w:t xml:space="preserve">určení </w:t>
      </w:r>
      <w:r w:rsidR="08972F57">
        <w:t xml:space="preserve">dané zvnějšku </w:t>
      </w:r>
      <w:r w:rsidR="08972F57" w:rsidRPr="00273106">
        <w:t>(</w:t>
      </w:r>
      <w:r w:rsidR="08972F57" w:rsidRPr="00273106">
        <w:rPr>
          <w:i/>
        </w:rPr>
        <w:t xml:space="preserve">extrinseca </w:t>
      </w:r>
      <w:r w:rsidR="08972F57" w:rsidRPr="00273106">
        <w:rPr>
          <w:i/>
        </w:rPr>
        <w:lastRenderedPageBreak/>
        <w:t>denominatione</w:t>
      </w:r>
      <w:r w:rsidR="08972F57" w:rsidRPr="00273106">
        <w:t xml:space="preserve">). </w:t>
      </w:r>
      <w:r w:rsidR="08A76C8E" w:rsidRPr="00273106">
        <w:t>Nové určení jsoucna je dáno vzhledem k původnímu bytí principu, z něhož vychází kontingentní existence reálné věci (</w:t>
      </w:r>
      <w:r w:rsidR="08A76C8E" w:rsidRPr="00273106">
        <w:rPr>
          <w:i/>
        </w:rPr>
        <w:t>ab essentia sui principii</w:t>
      </w:r>
      <w:r w:rsidR="08A76C8E" w:rsidRPr="00273106">
        <w:t xml:space="preserve">). </w:t>
      </w:r>
      <w:r w:rsidR="08A76C8E">
        <w:t xml:space="preserve">Dogmatikové </w:t>
      </w:r>
      <w:r w:rsidR="005E3755">
        <w:t xml:space="preserve">v </w:t>
      </w:r>
      <w:r w:rsidR="08A76C8E">
        <w:t>neoplatonských klášt</w:t>
      </w:r>
      <w:r w:rsidR="005E3755">
        <w:t>e</w:t>
      </w:r>
      <w:r w:rsidR="08A76C8E">
        <w:t>rních škol</w:t>
      </w:r>
      <w:r w:rsidR="005E3755">
        <w:t>ách</w:t>
      </w:r>
      <w:r w:rsidR="08A76C8E">
        <w:t xml:space="preserve"> a porr</w:t>
      </w:r>
      <w:r w:rsidR="08084E64">
        <w:t xml:space="preserve">etáni </w:t>
      </w:r>
      <w:r w:rsidR="005E3755">
        <w:t xml:space="preserve">začali dávat </w:t>
      </w:r>
      <w:r w:rsidR="08A76C8E">
        <w:t xml:space="preserve">hypostatická určení věcem </w:t>
      </w:r>
      <w:r w:rsidR="00336BD7">
        <w:t>(</w:t>
      </w:r>
      <w:r w:rsidR="00336BD7" w:rsidRPr="00336BD7">
        <w:rPr>
          <w:i/>
        </w:rPr>
        <w:t>quo est</w:t>
      </w:r>
      <w:r w:rsidR="00336BD7">
        <w:t xml:space="preserve">) </w:t>
      </w:r>
      <w:r w:rsidR="08A76C8E">
        <w:t xml:space="preserve">na základě toho, </w:t>
      </w:r>
      <w:r w:rsidR="001166E7">
        <w:t xml:space="preserve">co </w:t>
      </w:r>
      <w:r w:rsidR="08A76C8E">
        <w:t xml:space="preserve">lze hypostázovat </w:t>
      </w:r>
      <w:r w:rsidR="08084E64">
        <w:t>v logické abstrakci</w:t>
      </w:r>
      <w:r w:rsidR="00336BD7">
        <w:t xml:space="preserve"> (</w:t>
      </w:r>
      <w:r w:rsidR="00336BD7" w:rsidRPr="00336BD7">
        <w:rPr>
          <w:i/>
        </w:rPr>
        <w:t>quod est</w:t>
      </w:r>
      <w:r w:rsidR="00336BD7">
        <w:t>)</w:t>
      </w:r>
      <w:r w:rsidR="08A76C8E">
        <w:t xml:space="preserve">. </w:t>
      </w:r>
      <w:r w:rsidR="00336BD7">
        <w:t xml:space="preserve">V moderní dogmatice neoplatoniků začalo první tvoření objektivního světa, které bylo paranoicky provedené kompletně </w:t>
      </w:r>
      <w:r w:rsidR="00336BD7" w:rsidRPr="00336BD7">
        <w:rPr>
          <w:i/>
        </w:rPr>
        <w:t>ex nihilo</w:t>
      </w:r>
      <w:r w:rsidR="00336BD7">
        <w:t>.</w:t>
      </w:r>
      <w:r w:rsidR="00B4616B">
        <w:t xml:space="preserve"> </w:t>
      </w:r>
      <w:r w:rsidR="009D049E">
        <w:t xml:space="preserve">Předávání významu </w:t>
      </w:r>
      <w:r w:rsidR="00FD2B4B">
        <w:t>ztratilo p</w:t>
      </w:r>
      <w:r w:rsidR="08E339AD" w:rsidRPr="00273106">
        <w:t>ůvodní impozici od reality</w:t>
      </w:r>
      <w:r w:rsidR="00B63494">
        <w:t xml:space="preserve">. Tuto impozici </w:t>
      </w:r>
      <w:r w:rsidR="08E339AD" w:rsidRPr="00273106">
        <w:t xml:space="preserve">bránil </w:t>
      </w:r>
      <w:r w:rsidR="00B63494">
        <w:t xml:space="preserve">nejprve </w:t>
      </w:r>
      <w:r w:rsidR="00CB3E4F">
        <w:t>Abélard</w:t>
      </w:r>
      <w:r w:rsidR="08E339AD" w:rsidRPr="00273106">
        <w:t xml:space="preserve"> </w:t>
      </w:r>
      <w:r w:rsidR="08E339AD">
        <w:t xml:space="preserve">a později Akvinský ve výkladu </w:t>
      </w:r>
      <w:r w:rsidR="08E339AD" w:rsidRPr="00273106">
        <w:rPr>
          <w:i/>
        </w:rPr>
        <w:t>De hebdomadibus</w:t>
      </w:r>
      <w:r w:rsidR="08E339AD">
        <w:t xml:space="preserve"> zaměřeném proti </w:t>
      </w:r>
      <w:r w:rsidR="08E339AD" w:rsidRPr="00273106">
        <w:t>Gilbertov</w:t>
      </w:r>
      <w:r w:rsidR="00B63494">
        <w:t xml:space="preserve">ě profanaci Boethia </w:t>
      </w:r>
      <w:r w:rsidR="08B33D13">
        <w:t>(</w:t>
      </w:r>
      <w:r w:rsidR="085F6FB7">
        <w:t xml:space="preserve">OBJ III, </w:t>
      </w:r>
      <w:r w:rsidR="08B33D13">
        <w:t>kap. 4</w:t>
      </w:r>
      <w:r w:rsidR="08E339AD">
        <w:t xml:space="preserve">.5.1). </w:t>
      </w:r>
      <w:r w:rsidR="08E339AD" w:rsidRPr="00273106">
        <w:t>Porretánské hypostázované akcidenty se vinou chybně pojaté subsistence</w:t>
      </w:r>
      <w:r w:rsidR="005C3F58">
        <w:t xml:space="preserve"> jako univerzálního rodu</w:t>
      </w:r>
      <w:r w:rsidR="08E339AD">
        <w:fldChar w:fldCharType="begin"/>
      </w:r>
      <w:r w:rsidR="08E339AD">
        <w:instrText xml:space="preserve"> XE "</w:instrText>
      </w:r>
      <w:r w:rsidR="08E339AD" w:rsidRPr="001D1E42">
        <w:instrText>subsistence</w:instrText>
      </w:r>
      <w:r w:rsidR="08E339AD">
        <w:instrText xml:space="preserve">:porretáni" </w:instrText>
      </w:r>
      <w:r w:rsidR="08E339AD">
        <w:fldChar w:fldCharType="end"/>
      </w:r>
      <w:r w:rsidR="08E339AD" w:rsidRPr="00273106">
        <w:t xml:space="preserve"> přestaly univočně vztahov</w:t>
      </w:r>
      <w:r w:rsidR="08E339AD">
        <w:t>at ke druhé substanci. J</w:t>
      </w:r>
      <w:r w:rsidR="08E339AD" w:rsidRPr="00273106">
        <w:t>soucn</w:t>
      </w:r>
      <w:r w:rsidR="08E339AD">
        <w:t>o</w:t>
      </w:r>
      <w:r w:rsidR="08E339AD" w:rsidRPr="00273106">
        <w:t xml:space="preserve"> </w:t>
      </w:r>
      <w:r w:rsidR="08E339AD">
        <w:t xml:space="preserve">třetího druhu nakonec dostane </w:t>
      </w:r>
      <w:r w:rsidR="08E339AD" w:rsidRPr="00273106">
        <w:t xml:space="preserve">v aktu </w:t>
      </w:r>
      <w:r w:rsidR="08B81B27">
        <w:t xml:space="preserve">logické </w:t>
      </w:r>
      <w:r w:rsidR="08E339AD" w:rsidRPr="00273106">
        <w:t xml:space="preserve">predikace </w:t>
      </w:r>
      <w:r w:rsidR="00243E35">
        <w:t xml:space="preserve">zcela chybně také </w:t>
      </w:r>
      <w:r w:rsidR="08E339AD" w:rsidRPr="00273106">
        <w:t>univočně pojaté bytí</w:t>
      </w:r>
      <w:r w:rsidR="08E339AD">
        <w:t xml:space="preserve"> (</w:t>
      </w:r>
      <w:r w:rsidR="08E339AD" w:rsidRPr="004D09B2">
        <w:rPr>
          <w:i/>
        </w:rPr>
        <w:t>esse aliquid</w:t>
      </w:r>
      <w:r w:rsidR="08E339AD">
        <w:t>)</w:t>
      </w:r>
      <w:r w:rsidR="08E339AD" w:rsidRPr="00273106">
        <w:t xml:space="preserve">. </w:t>
      </w:r>
      <w:r w:rsidR="086D25D2">
        <w:t xml:space="preserve">Protože Boží Trojice nepochybně existuje, tak lze hypostázovat vztahy typu </w:t>
      </w:r>
      <w:r w:rsidR="086D25D2" w:rsidRPr="08704622">
        <w:rPr>
          <w:i/>
        </w:rPr>
        <w:t>paternitas</w:t>
      </w:r>
      <w:r w:rsidR="086D25D2">
        <w:t xml:space="preserve"> jako božské Osoby. </w:t>
      </w:r>
      <w:r w:rsidR="00457A6C" w:rsidRPr="00273106">
        <w:t>P</w:t>
      </w:r>
      <w:r w:rsidR="001F1192" w:rsidRPr="00273106">
        <w:t>oj</w:t>
      </w:r>
      <w:r w:rsidR="00457A6C" w:rsidRPr="00273106">
        <w:t>e</w:t>
      </w:r>
      <w:r w:rsidR="001F1192" w:rsidRPr="00273106">
        <w:t>m</w:t>
      </w:r>
      <w:r w:rsidR="007C7496" w:rsidRPr="00273106">
        <w:t xml:space="preserve"> transsubstanciace, vztah</w:t>
      </w:r>
      <w:r w:rsidR="001F1192" w:rsidRPr="00273106">
        <w:t xml:space="preserve"> božsk</w:t>
      </w:r>
      <w:r w:rsidR="007C7496" w:rsidRPr="00273106">
        <w:t>ých osob v Trojici, nebo statut</w:t>
      </w:r>
      <w:r w:rsidR="001F1192" w:rsidRPr="00273106">
        <w:t xml:space="preserve"> Ježíšova těla po zmrtvýchvstání </w:t>
      </w:r>
      <w:r w:rsidR="080B2824">
        <w:t xml:space="preserve">dostal </w:t>
      </w:r>
      <w:r w:rsidR="001F1192" w:rsidRPr="00273106">
        <w:t xml:space="preserve">určení </w:t>
      </w:r>
      <w:r w:rsidR="080B2824">
        <w:t xml:space="preserve">první substance existující </w:t>
      </w:r>
      <w:r w:rsidR="00E013F7">
        <w:t xml:space="preserve">mimo realitu </w:t>
      </w:r>
      <w:r w:rsidR="001F1192" w:rsidRPr="00273106">
        <w:t>(</w:t>
      </w:r>
      <w:r w:rsidR="001F1192" w:rsidRPr="00273106">
        <w:rPr>
          <w:i/>
        </w:rPr>
        <w:t>theologici hoc esse dictum intelligunt quadam extrinseca denominatione</w:t>
      </w:r>
      <w:r w:rsidR="001F1192" w:rsidRPr="00273106">
        <w:t>)</w:t>
      </w:r>
      <w:r w:rsidR="08A519A5" w:rsidRPr="00273106">
        <w:t xml:space="preserve">. </w:t>
      </w:r>
      <w:r w:rsidR="086C7B16" w:rsidRPr="00273106">
        <w:t xml:space="preserve">Zmatením reálné a nominální existence vznikla třída čistě nominálních určení v modu </w:t>
      </w:r>
      <w:r w:rsidR="00D435B1">
        <w:t xml:space="preserve">moderní (později objektivní) </w:t>
      </w:r>
      <w:r w:rsidR="086C7B16" w:rsidRPr="00273106">
        <w:t>substance a akcidentu</w:t>
      </w:r>
      <w:r w:rsidR="00697432">
        <w:t xml:space="preserve"> primárně vztažených</w:t>
      </w:r>
      <w:r w:rsidR="084C0AD1">
        <w:t xml:space="preserve"> k</w:t>
      </w:r>
      <w:r w:rsidR="00697432">
        <w:t xml:space="preserve"> modernímu </w:t>
      </w:r>
      <w:r w:rsidR="084C0AD1">
        <w:t>bohu</w:t>
      </w:r>
      <w:r w:rsidR="00670770">
        <w:t xml:space="preserve"> nominalistů</w:t>
      </w:r>
      <w:r w:rsidR="086C7B16" w:rsidRPr="00273106">
        <w:t xml:space="preserve">. </w:t>
      </w:r>
      <w:r w:rsidR="086C7B16">
        <w:t xml:space="preserve">Teologické určení </w:t>
      </w:r>
      <w:r w:rsidR="08653402">
        <w:t>božskosti (</w:t>
      </w:r>
      <w:r w:rsidR="08653402" w:rsidRPr="08653402">
        <w:rPr>
          <w:i/>
        </w:rPr>
        <w:t>deitas</w:t>
      </w:r>
      <w:r w:rsidR="08653402">
        <w:t xml:space="preserve">), </w:t>
      </w:r>
      <w:r w:rsidR="086C7B16" w:rsidRPr="00273106">
        <w:t xml:space="preserve">tělesnosti </w:t>
      </w:r>
      <w:r w:rsidR="08653402">
        <w:t>(</w:t>
      </w:r>
      <w:r w:rsidR="08653402" w:rsidRPr="08653402">
        <w:rPr>
          <w:i/>
        </w:rPr>
        <w:t>corporeitas</w:t>
      </w:r>
      <w:r w:rsidR="08653402">
        <w:t xml:space="preserve">) </w:t>
      </w:r>
      <w:r w:rsidR="086C7B16" w:rsidRPr="00273106">
        <w:t xml:space="preserve">nebo lidskosti </w:t>
      </w:r>
      <w:r w:rsidR="08653402">
        <w:t>(</w:t>
      </w:r>
      <w:r w:rsidR="08653402" w:rsidRPr="08653402">
        <w:rPr>
          <w:i/>
        </w:rPr>
        <w:t>humanitas</w:t>
      </w:r>
      <w:r w:rsidR="08653402">
        <w:t xml:space="preserve">) </w:t>
      </w:r>
      <w:r w:rsidR="086C7B16">
        <w:t xml:space="preserve">zakládá </w:t>
      </w:r>
      <w:r w:rsidR="086C7B16" w:rsidRPr="00273106">
        <w:t>nové určení jsoucna třetího druhu</w:t>
      </w:r>
      <w:r w:rsidR="086C7B16">
        <w:fldChar w:fldCharType="begin"/>
      </w:r>
      <w:r w:rsidR="086C7B16">
        <w:instrText xml:space="preserve"> XE "</w:instrText>
      </w:r>
      <w:r w:rsidR="086C7B16" w:rsidRPr="003A1AE8">
        <w:instrText>těleso:třetího druhu</w:instrText>
      </w:r>
      <w:r w:rsidR="086C7B16">
        <w:instrText xml:space="preserve">" </w:instrText>
      </w:r>
      <w:r w:rsidR="086C7B16">
        <w:fldChar w:fldCharType="end"/>
      </w:r>
      <w:r w:rsidR="086C7B16" w:rsidRPr="00273106">
        <w:t xml:space="preserve">. </w:t>
      </w:r>
      <w:r w:rsidR="084C0AD1">
        <w:t xml:space="preserve">Bůh se stal moderním simulákrem, což vyvolalo citované spory o triteismus. </w:t>
      </w:r>
      <w:r w:rsidR="085A1C47" w:rsidRPr="00273106">
        <w:t xml:space="preserve">Nové určení </w:t>
      </w:r>
      <w:r w:rsidR="084C0AD1">
        <w:t xml:space="preserve">božství nebo </w:t>
      </w:r>
      <w:r w:rsidR="085A1C47" w:rsidRPr="00273106">
        <w:t xml:space="preserve">lidskosti už není determinováno existencí </w:t>
      </w:r>
      <w:r w:rsidR="085A1C47">
        <w:t xml:space="preserve">první </w:t>
      </w:r>
      <w:r w:rsidR="085A1C47" w:rsidRPr="00273106">
        <w:t>substance</w:t>
      </w:r>
      <w:r w:rsidR="085A1C47">
        <w:t>, ale fo</w:t>
      </w:r>
      <w:r w:rsidR="00A14F30">
        <w:t>rmálním bytím prvního principu.</w:t>
      </w:r>
    </w:p>
    <w:p w14:paraId="75ABC162" w14:textId="77777777" w:rsidR="00146F66" w:rsidRDefault="08331849" w:rsidP="005024E5">
      <w:pPr>
        <w:ind w:firstLine="397"/>
      </w:pPr>
      <w:r>
        <w:t xml:space="preserve">Pro aristoteliky jako </w:t>
      </w:r>
      <w:r w:rsidR="00CB3E4F">
        <w:t>Abélard</w:t>
      </w:r>
      <w:r>
        <w:t xml:space="preserve"> předsta</w:t>
      </w:r>
      <w:r w:rsidR="00A14F30">
        <w:t>vovala</w:t>
      </w:r>
      <w:r>
        <w:t xml:space="preserve"> </w:t>
      </w:r>
      <w:r w:rsidR="087929F1">
        <w:t xml:space="preserve">moderní teologie </w:t>
      </w:r>
      <w:r>
        <w:t>naprostou devalvaci kritického myšlení</w:t>
      </w:r>
      <w:r w:rsidR="00856DC9">
        <w:t>. Klasická metafyzika je určena</w:t>
      </w:r>
      <w:r w:rsidR="084A43A4">
        <w:t xml:space="preserve"> v modu </w:t>
      </w:r>
      <w:r w:rsidR="08787ECE">
        <w:t xml:space="preserve">metafyzického </w:t>
      </w:r>
      <w:r w:rsidR="084A43A4">
        <w:t xml:space="preserve">dativu </w:t>
      </w:r>
      <w:r w:rsidR="00856DC9">
        <w:t xml:space="preserve">a </w:t>
      </w:r>
      <w:r w:rsidR="084A43A4">
        <w:t xml:space="preserve">kauzálně daným </w:t>
      </w:r>
      <w:r w:rsidR="087917F9">
        <w:t>vztah</w:t>
      </w:r>
      <w:r w:rsidR="084A43A4">
        <w:t>em</w:t>
      </w:r>
      <w:r w:rsidR="087917F9">
        <w:t xml:space="preserve"> k realitě</w:t>
      </w:r>
      <w:r w:rsidR="087929F1">
        <w:t xml:space="preserve">. Sofistická </w:t>
      </w:r>
      <w:r>
        <w:t>teologi</w:t>
      </w:r>
      <w:r w:rsidR="087929F1">
        <w:t>e</w:t>
      </w:r>
      <w:r>
        <w:t xml:space="preserve"> zničila Boethiovu definici osoby jako neděl</w:t>
      </w:r>
      <w:r w:rsidR="087917F9">
        <w:t>itelné první substance</w:t>
      </w:r>
      <w:r w:rsidR="004C135D">
        <w:t xml:space="preserve">. </w:t>
      </w:r>
      <w:r w:rsidR="004C135D" w:rsidRPr="004C135D">
        <w:t xml:space="preserve">Nové paranoidní pojetí objektivního </w:t>
      </w:r>
      <w:r w:rsidR="004C135D">
        <w:t xml:space="preserve">humanismu </w:t>
      </w:r>
      <w:r w:rsidR="004C135D" w:rsidRPr="004C135D">
        <w:t xml:space="preserve">se nyní opírá o </w:t>
      </w:r>
      <w:r w:rsidR="004C135D">
        <w:t>neexistujícího b</w:t>
      </w:r>
      <w:r w:rsidR="004C135D" w:rsidRPr="004C135D">
        <w:t xml:space="preserve">oha </w:t>
      </w:r>
      <w:r w:rsidR="004C135D" w:rsidRPr="004C135D">
        <w:rPr>
          <w:i/>
        </w:rPr>
        <w:t>Modernorum</w:t>
      </w:r>
      <w:r w:rsidR="004C135D" w:rsidRPr="004C135D">
        <w:t>, který až do své smrti v 19. století garantoval tuto říši nesmyslů.</w:t>
      </w:r>
      <w:r w:rsidR="087917F9">
        <w:t xml:space="preserve"> </w:t>
      </w:r>
      <w:r w:rsidR="004C135D">
        <w:t xml:space="preserve">Toto zajímavé božstvo garantuje </w:t>
      </w:r>
      <w:r w:rsidR="087917F9">
        <w:t>v modu logické atribuce ese</w:t>
      </w:r>
      <w:r w:rsidR="004C135D">
        <w:t>nce a existence dokonce trojité</w:t>
      </w:r>
      <w:r w:rsidR="087917F9">
        <w:t xml:space="preserve"> jsoucn</w:t>
      </w:r>
      <w:r w:rsidR="004C135D">
        <w:t>o třetího druhu</w:t>
      </w:r>
      <w:r w:rsidR="00462D5F">
        <w:t>. Moderna</w:t>
      </w:r>
      <w:r w:rsidR="004C135D">
        <w:t xml:space="preserve"> vytvořila neexistujícího moderního boha, kterýmu vidí až do</w:t>
      </w:r>
      <w:r w:rsidR="00462D5F">
        <w:t xml:space="preserve"> jeho mytologické intenci</w:t>
      </w:r>
      <w:r w:rsidR="004C135D">
        <w:t>onality; pak vytvořila neexistujícího objektivního člověka složeného z hypostázovaných akcidentů;  a nakonec neexistující svět daný jako složenina hypostázovaných esencí.</w:t>
      </w:r>
      <w:r w:rsidR="005024E5">
        <w:t xml:space="preserve"> </w:t>
      </w:r>
      <w:r w:rsidR="087917F9">
        <w:t>Udrž</w:t>
      </w:r>
      <w:r w:rsidR="0848516E">
        <w:t>et v objek</w:t>
      </w:r>
      <w:r w:rsidR="087917F9">
        <w:t>tivní „exsistenci“ ta</w:t>
      </w:r>
      <w:r w:rsidR="0848516E">
        <w:t xml:space="preserve">k komplikovanou </w:t>
      </w:r>
      <w:r w:rsidR="005024E5">
        <w:lastRenderedPageBreak/>
        <w:t>mytologii v</w:t>
      </w:r>
      <w:r w:rsidR="0848516E">
        <w:t>yžadovalo</w:t>
      </w:r>
      <w:r w:rsidR="087917F9">
        <w:t xml:space="preserve"> od dogmatických modernistů nemalé usilí, což platí o </w:t>
      </w:r>
      <w:r w:rsidR="08A83541">
        <w:t xml:space="preserve">postmoderních </w:t>
      </w:r>
      <w:r w:rsidR="081A1DE3">
        <w:t xml:space="preserve">sekulárních </w:t>
      </w:r>
      <w:r w:rsidR="087917F9">
        <w:t xml:space="preserve">náhražkách tohoto simulákra až dodnes. </w:t>
      </w:r>
      <w:r w:rsidR="00B1030F">
        <w:t>C</w:t>
      </w:r>
      <w:r w:rsidR="004A748E">
        <w:t xml:space="preserve">itát z Gilbertova komentáře Boethia ukazuje, že </w:t>
      </w:r>
      <w:r w:rsidR="08E66EAC">
        <w:t xml:space="preserve">signifikace </w:t>
      </w:r>
      <w:r w:rsidR="08E66EAC" w:rsidRPr="08E66EAC">
        <w:rPr>
          <w:i/>
        </w:rPr>
        <w:t>humanitas</w:t>
      </w:r>
      <w:r w:rsidR="006254F5">
        <w:t xml:space="preserve"> nepotřebuje impozici od existence </w:t>
      </w:r>
      <w:r w:rsidR="08E66EAC">
        <w:t>reálné osoby</w:t>
      </w:r>
      <w:r w:rsidR="004D09B2">
        <w:t xml:space="preserve">, protože jí stačí moderní forma hypostázované </w:t>
      </w:r>
      <w:r w:rsidR="08E66EAC">
        <w:t>„ex</w:t>
      </w:r>
      <w:r w:rsidR="004D09B2">
        <w:t>s</w:t>
      </w:r>
      <w:r w:rsidR="08E66EAC">
        <w:t>is</w:t>
      </w:r>
      <w:r w:rsidR="004D09B2">
        <w:t>tence</w:t>
      </w:r>
      <w:r w:rsidR="08E66EAC">
        <w:t>“</w:t>
      </w:r>
      <w:r w:rsidR="004D09B2">
        <w:t xml:space="preserve"> </w:t>
      </w:r>
      <w:r w:rsidR="08E66EAC">
        <w:t xml:space="preserve">individua </w:t>
      </w:r>
      <w:r w:rsidR="08EB2217">
        <w:t xml:space="preserve">jako jsoucna třetího druhu </w:t>
      </w:r>
      <w:r w:rsidR="00DE13D8" w:rsidRPr="00273106">
        <w:t>(</w:t>
      </w:r>
      <w:r w:rsidR="004D09B2" w:rsidRPr="004D09B2">
        <w:rPr>
          <w:i/>
        </w:rPr>
        <w:t>nec humanitate hominem esse, sed esse aliquid</w:t>
      </w:r>
      <w:r w:rsidR="00DE13D8" w:rsidRPr="00273106">
        <w:t xml:space="preserve">). </w:t>
      </w:r>
      <w:r w:rsidR="00B1030F">
        <w:t>O</w:t>
      </w:r>
      <w:r w:rsidR="001F1192" w:rsidRPr="00273106">
        <w:t>becná určení substance, jako např. tělesnost, už nejsou vázány na existenci první substance (</w:t>
      </w:r>
      <w:r w:rsidR="001F1192" w:rsidRPr="00273106">
        <w:rPr>
          <w:i/>
        </w:rPr>
        <w:t>non enim dicunt corporalitate corpus esse</w:t>
      </w:r>
      <w:r w:rsidR="001F1192" w:rsidRPr="00273106">
        <w:t xml:space="preserve">). </w:t>
      </w:r>
      <w:r w:rsidR="00882E80">
        <w:t xml:space="preserve">Supozice přestala </w:t>
      </w:r>
      <w:r w:rsidR="00A33D4A">
        <w:t xml:space="preserve">mít vztah </w:t>
      </w:r>
      <w:r w:rsidR="007A79E5">
        <w:t xml:space="preserve">k reálné první substanci, </w:t>
      </w:r>
      <w:r w:rsidR="007C3755">
        <w:t xml:space="preserve">protože impozice významu je dána v modu </w:t>
      </w:r>
      <w:r w:rsidR="007C3755" w:rsidRPr="007C3755">
        <w:rPr>
          <w:i/>
        </w:rPr>
        <w:t>per prius</w:t>
      </w:r>
      <w:r w:rsidR="007C3755">
        <w:t xml:space="preserve"> od hypostázované esence.</w:t>
      </w:r>
      <w:r w:rsidR="08163D28">
        <w:t xml:space="preserve"> Pak je i mrtvola člověkem a bůh je d</w:t>
      </w:r>
      <w:r w:rsidR="0842356D">
        <w:t xml:space="preserve">án v hypostázované aritmetické </w:t>
      </w:r>
      <w:r w:rsidR="08163D28">
        <w:t>Trojičnosti (</w:t>
      </w:r>
      <w:r w:rsidR="08163D28" w:rsidRPr="08163D28">
        <w:rPr>
          <w:i/>
        </w:rPr>
        <w:t>Trinitas</w:t>
      </w:r>
      <w:r w:rsidR="08163D28">
        <w:t>).</w:t>
      </w:r>
      <w:r w:rsidR="089F1BCD">
        <w:t xml:space="preserve"> </w:t>
      </w:r>
      <w:r w:rsidR="004C086B">
        <w:t>Neoplato</w:t>
      </w:r>
      <w:r w:rsidR="002610CA">
        <w:t xml:space="preserve">nské školy </w:t>
      </w:r>
      <w:r w:rsidR="004C086B">
        <w:t xml:space="preserve">bez námitek přijaly nový </w:t>
      </w:r>
      <w:r w:rsidR="002610CA">
        <w:t>výklad</w:t>
      </w:r>
      <w:r w:rsidR="089F1BCD">
        <w:t xml:space="preserve"> porretánů</w:t>
      </w:r>
      <w:r w:rsidR="002610CA">
        <w:t xml:space="preserve">, protože odpovídal </w:t>
      </w:r>
      <w:r w:rsidR="00C30C9A">
        <w:t>jejich pojetí absolutizované logické abstrakce</w:t>
      </w:r>
      <w:r w:rsidR="08B254B8" w:rsidRPr="08B254B8">
        <w:t xml:space="preserve"> </w:t>
      </w:r>
      <w:r w:rsidR="08B254B8">
        <w:t xml:space="preserve">provozované v rámci </w:t>
      </w:r>
      <w:r w:rsidR="00E80AD7">
        <w:rPr>
          <w:i/>
        </w:rPr>
        <w:t>L</w:t>
      </w:r>
      <w:r w:rsidR="08B254B8" w:rsidRPr="002610CA">
        <w:rPr>
          <w:i/>
        </w:rPr>
        <w:t>ogica Modernorum</w:t>
      </w:r>
      <w:r w:rsidR="08B254B8">
        <w:rPr>
          <w:i/>
        </w:rPr>
        <w:fldChar w:fldCharType="begin"/>
      </w:r>
      <w:r w:rsidR="08B254B8">
        <w:instrText xml:space="preserve"> XE "</w:instrText>
      </w:r>
      <w:r w:rsidR="08B254B8" w:rsidRPr="001100BE">
        <w:rPr>
          <w:i/>
        </w:rPr>
        <w:instrText>logica Modernorum</w:instrText>
      </w:r>
      <w:r w:rsidR="08B254B8">
        <w:instrText xml:space="preserve">" </w:instrText>
      </w:r>
      <w:r w:rsidR="08B254B8">
        <w:rPr>
          <w:i/>
        </w:rPr>
        <w:fldChar w:fldCharType="end"/>
      </w:r>
      <w:r w:rsidR="007457AE">
        <w:t>.</w:t>
      </w:r>
      <w:r w:rsidR="004C086B">
        <w:t xml:space="preserve"> </w:t>
      </w:r>
      <w:r w:rsidR="00B14F56" w:rsidRPr="00273106">
        <w:t xml:space="preserve">Původní místo těchto modernistických tezí najdeme v logické škole </w:t>
      </w:r>
      <w:r w:rsidR="00B14F56" w:rsidRPr="00273106">
        <w:rPr>
          <w:i/>
        </w:rPr>
        <w:t>Parvipontani</w:t>
      </w:r>
      <w:r w:rsidR="00D57C1A">
        <w:rPr>
          <w:i/>
        </w:rPr>
        <w:fldChar w:fldCharType="begin"/>
      </w:r>
      <w:r w:rsidR="00D57C1A">
        <w:instrText xml:space="preserve"> XE "</w:instrText>
      </w:r>
      <w:r w:rsidR="00D57C1A" w:rsidRPr="00D14F74">
        <w:instrText>logické školy</w:instrText>
      </w:r>
      <w:r w:rsidR="00D57C1A">
        <w:instrText>:</w:instrText>
      </w:r>
      <w:r w:rsidR="00D57C1A" w:rsidRPr="00D14F74">
        <w:rPr>
          <w:i/>
        </w:rPr>
        <w:instrText>Parvipontani</w:instrText>
      </w:r>
      <w:r w:rsidR="00D57C1A">
        <w:instrText xml:space="preserve">" </w:instrText>
      </w:r>
      <w:r w:rsidR="00D57C1A">
        <w:rPr>
          <w:i/>
        </w:rPr>
        <w:fldChar w:fldCharType="end"/>
      </w:r>
      <w:r w:rsidR="00146F66">
        <w:t>.</w:t>
      </w:r>
    </w:p>
    <w:p w14:paraId="196E3C0D" w14:textId="77777777" w:rsidR="00F23CEF" w:rsidRDefault="00B14F56" w:rsidP="002D5ABF">
      <w:pPr>
        <w:ind w:firstLine="397"/>
      </w:pPr>
      <w:r w:rsidRPr="00273106">
        <w:t xml:space="preserve">Podívejme se na </w:t>
      </w:r>
      <w:r w:rsidR="08C02944">
        <w:t xml:space="preserve">zcela </w:t>
      </w:r>
      <w:r w:rsidR="08D446D9">
        <w:t xml:space="preserve">moderní </w:t>
      </w:r>
      <w:r w:rsidRPr="00273106">
        <w:t xml:space="preserve">způsob, jak </w:t>
      </w:r>
      <w:r w:rsidR="00AA5748">
        <w:t xml:space="preserve">Parvipontánci </w:t>
      </w:r>
      <w:r w:rsidR="087F02A9">
        <w:t xml:space="preserve">argumentují v případě pravidla, že z nemožnosti je možné odvodit něco </w:t>
      </w:r>
      <w:r w:rsidR="08D446D9">
        <w:t xml:space="preserve">obecně </w:t>
      </w:r>
      <w:r w:rsidR="087F02A9">
        <w:t>platného na úrovni jsoucna (</w:t>
      </w:r>
      <w:r w:rsidRPr="00273106">
        <w:rPr>
          <w:i/>
        </w:rPr>
        <w:t>ex impossibili quidlibet</w:t>
      </w:r>
      <w:r w:rsidR="001448F0">
        <w:rPr>
          <w:i/>
        </w:rPr>
        <w:t xml:space="preserve"> sequitur</w:t>
      </w:r>
      <w:r w:rsidR="087F02A9">
        <w:t>)</w:t>
      </w:r>
      <w:r w:rsidRPr="00273106">
        <w:t>.</w:t>
      </w:r>
      <w:r w:rsidR="007241B4" w:rsidRPr="00273106">
        <w:rPr>
          <w:rStyle w:val="Znakapoznpodarou"/>
        </w:rPr>
        <w:footnoteReference w:id="51"/>
      </w:r>
      <w:r w:rsidRPr="00273106">
        <w:t xml:space="preserve"> Disjunktivní soud </w:t>
      </w:r>
      <w:r w:rsidR="08D64632" w:rsidRPr="00273106">
        <w:t xml:space="preserve">nejprve </w:t>
      </w:r>
      <w:r w:rsidR="08D64632">
        <w:t xml:space="preserve">sofisticky </w:t>
      </w:r>
      <w:r w:rsidRPr="00273106">
        <w:t>sleduje cestu klasické</w:t>
      </w:r>
      <w:r w:rsidR="00B333A6">
        <w:t xml:space="preserve"> impozice, která </w:t>
      </w:r>
      <w:r w:rsidR="08D64632">
        <w:t xml:space="preserve">ale </w:t>
      </w:r>
      <w:r w:rsidR="00B333A6">
        <w:t>není dána</w:t>
      </w:r>
      <w:r w:rsidR="00BF6DCA">
        <w:t xml:space="preserve"> </w:t>
      </w:r>
      <w:r w:rsidR="00AC0042">
        <w:t xml:space="preserve">vzhledem k </w:t>
      </w:r>
      <w:r w:rsidR="0049133D">
        <w:t>rea</w:t>
      </w:r>
      <w:r w:rsidR="00BF6DCA">
        <w:t>l</w:t>
      </w:r>
      <w:r w:rsidR="00AC0042">
        <w:t>itě</w:t>
      </w:r>
      <w:r w:rsidR="00B333A6">
        <w:t>. Protože v realitě není nic dáno, tak So</w:t>
      </w:r>
      <w:r w:rsidR="08091306">
        <w:t xml:space="preserve">rtes </w:t>
      </w:r>
      <w:r w:rsidR="00B333A6">
        <w:t xml:space="preserve">nic neví </w:t>
      </w:r>
      <w:r w:rsidRPr="00273106">
        <w:t>(</w:t>
      </w:r>
      <w:r w:rsidRPr="00273106">
        <w:rPr>
          <w:i/>
        </w:rPr>
        <w:t>si hoc, nihil scit</w:t>
      </w:r>
      <w:r w:rsidRPr="00273106">
        <w:t>). Druhá cesta dává modernímu nihilismu první epochální obsah</w:t>
      </w:r>
      <w:r w:rsidR="00D57C1A">
        <w:fldChar w:fldCharType="begin"/>
      </w:r>
      <w:r w:rsidR="00D57C1A">
        <w:instrText xml:space="preserve"> XE "</w:instrText>
      </w:r>
      <w:r w:rsidR="00D57C1A" w:rsidRPr="00241449">
        <w:instrText>nihilismus</w:instrText>
      </w:r>
      <w:r w:rsidR="00D57C1A">
        <w:instrText xml:space="preserve">" </w:instrText>
      </w:r>
      <w:r w:rsidR="00D57C1A">
        <w:fldChar w:fldCharType="end"/>
      </w:r>
      <w:r w:rsidR="0026781D">
        <w:t>. P</w:t>
      </w:r>
      <w:r w:rsidRPr="00273106">
        <w:t xml:space="preserve">o vzoru Hegelovy </w:t>
      </w:r>
      <w:r w:rsidR="0026781D">
        <w:t xml:space="preserve">absolutní </w:t>
      </w:r>
      <w:r w:rsidRPr="00273106">
        <w:t xml:space="preserve">logiky </w:t>
      </w:r>
      <w:r w:rsidR="0026781D">
        <w:t xml:space="preserve">výrok </w:t>
      </w:r>
      <w:r w:rsidR="083050B3">
        <w:t xml:space="preserve">definuje </w:t>
      </w:r>
      <w:r w:rsidRPr="00273106">
        <w:rPr>
          <w:i/>
        </w:rPr>
        <w:t>aliquid</w:t>
      </w:r>
      <w:r w:rsidRPr="00273106">
        <w:t xml:space="preserve"> vzhledem k nicotě</w:t>
      </w:r>
      <w:r w:rsidR="007C07CC">
        <w:t xml:space="preserve"> </w:t>
      </w:r>
      <w:r w:rsidR="002021EC">
        <w:t xml:space="preserve">koncipované </w:t>
      </w:r>
      <w:r w:rsidR="0026781D">
        <w:t xml:space="preserve">ve vědomí logického subjektu. </w:t>
      </w:r>
      <w:r w:rsidR="00046E8C">
        <w:t>R</w:t>
      </w:r>
      <w:r w:rsidR="0026781D">
        <w:t>eflexivní sebevědomí nahrazuje nicotu prvním p</w:t>
      </w:r>
      <w:r w:rsidR="00046E8C">
        <w:t>ředmětn</w:t>
      </w:r>
      <w:r w:rsidR="0026781D">
        <w:t xml:space="preserve">ým obsahem </w:t>
      </w:r>
      <w:r w:rsidR="007C07CC">
        <w:t>(</w:t>
      </w:r>
      <w:r w:rsidR="007C07CC" w:rsidRPr="007C07CC">
        <w:rPr>
          <w:i/>
        </w:rPr>
        <w:t>Sortes scit hoc</w:t>
      </w:r>
      <w:r w:rsidR="007C07CC">
        <w:rPr>
          <w:i/>
        </w:rPr>
        <w:t>, e</w:t>
      </w:r>
      <w:r w:rsidR="007C07CC" w:rsidRPr="007C07CC">
        <w:rPr>
          <w:i/>
        </w:rPr>
        <w:t>rgo aliquid</w:t>
      </w:r>
      <w:r w:rsidR="007C07CC">
        <w:t>)</w:t>
      </w:r>
      <w:r w:rsidRPr="00273106">
        <w:t xml:space="preserve">. </w:t>
      </w:r>
      <w:r w:rsidR="08017ECD">
        <w:t>Logická e</w:t>
      </w:r>
      <w:r w:rsidR="00991CA0">
        <w:t>kvivalence t</w:t>
      </w:r>
      <w:r w:rsidR="00C014FD">
        <w:t>ermín</w:t>
      </w:r>
      <w:r w:rsidR="00991CA0">
        <w:t>ů</w:t>
      </w:r>
      <w:r w:rsidR="08282038">
        <w:t xml:space="preserve"> </w:t>
      </w:r>
      <w:r w:rsidR="00F303F1">
        <w:t>„</w:t>
      </w:r>
      <w:r w:rsidR="00991CA0" w:rsidRPr="00991CA0">
        <w:rPr>
          <w:i/>
        </w:rPr>
        <w:t>nihil</w:t>
      </w:r>
      <w:r w:rsidR="00991CA0">
        <w:t>‒</w:t>
      </w:r>
      <w:r w:rsidR="00C014FD" w:rsidRPr="00046E8C">
        <w:rPr>
          <w:i/>
        </w:rPr>
        <w:t>aliquid</w:t>
      </w:r>
      <w:r w:rsidR="00F303F1">
        <w:t>“</w:t>
      </w:r>
      <w:r w:rsidR="00C014FD">
        <w:t xml:space="preserve"> </w:t>
      </w:r>
      <w:r w:rsidR="002021EC">
        <w:t>je klíčová</w:t>
      </w:r>
      <w:r w:rsidR="00046E8C">
        <w:t xml:space="preserve"> pro další vývoj objektivity. </w:t>
      </w:r>
      <w:r w:rsidR="002021EC">
        <w:t>V</w:t>
      </w:r>
      <w:r w:rsidR="00046E8C">
        <w:t>ýznam</w:t>
      </w:r>
      <w:r w:rsidR="00C014FD">
        <w:t xml:space="preserve"> </w:t>
      </w:r>
      <w:r w:rsidR="00F303F1">
        <w:t>daný chybně danou logickou impozicí (</w:t>
      </w:r>
      <w:r w:rsidR="002021EC" w:rsidRPr="002021EC">
        <w:rPr>
          <w:i/>
        </w:rPr>
        <w:t>ergo</w:t>
      </w:r>
      <w:r w:rsidR="00F303F1">
        <w:t xml:space="preserve">) </w:t>
      </w:r>
      <w:r w:rsidR="08282038">
        <w:t xml:space="preserve">vznikl v subjektu </w:t>
      </w:r>
      <w:r w:rsidR="00C014FD" w:rsidRPr="00C014FD">
        <w:rPr>
          <w:i/>
        </w:rPr>
        <w:t>ex nihilo</w:t>
      </w:r>
      <w:r w:rsidR="00C014FD">
        <w:rPr>
          <w:i/>
        </w:rPr>
        <w:fldChar w:fldCharType="begin"/>
      </w:r>
      <w:r w:rsidR="00C014FD">
        <w:instrText xml:space="preserve"> XE "</w:instrText>
      </w:r>
      <w:r w:rsidR="00C014FD" w:rsidRPr="00A46AC8">
        <w:rPr>
          <w:i/>
        </w:rPr>
        <w:instrText>creatio ex nihilo</w:instrText>
      </w:r>
      <w:r w:rsidR="00C014FD">
        <w:instrText xml:space="preserve">" </w:instrText>
      </w:r>
      <w:r w:rsidR="00C014FD">
        <w:rPr>
          <w:i/>
        </w:rPr>
        <w:fldChar w:fldCharType="end"/>
      </w:r>
      <w:r w:rsidR="00C014FD">
        <w:t xml:space="preserve">, tedy pouhou </w:t>
      </w:r>
      <w:r w:rsidR="08163C0C">
        <w:t>sebe</w:t>
      </w:r>
      <w:r w:rsidR="00C014FD">
        <w:t xml:space="preserve">reflexí </w:t>
      </w:r>
      <w:r w:rsidR="009C3739">
        <w:t xml:space="preserve">logika </w:t>
      </w:r>
      <w:r w:rsidR="08163C0C">
        <w:t xml:space="preserve">na sématický význam slova </w:t>
      </w:r>
      <w:r w:rsidR="0055719D">
        <w:t>„</w:t>
      </w:r>
      <w:r w:rsidR="00C014FD" w:rsidRPr="00C014FD">
        <w:rPr>
          <w:i/>
        </w:rPr>
        <w:t>nihil</w:t>
      </w:r>
      <w:r w:rsidR="0055719D">
        <w:t>“</w:t>
      </w:r>
      <w:r w:rsidR="00AB28A2" w:rsidRPr="00AB28A2">
        <w:t xml:space="preserve"> </w:t>
      </w:r>
      <w:r w:rsidR="00AB28A2">
        <w:t>(</w:t>
      </w:r>
      <w:r w:rsidR="00AB28A2" w:rsidRPr="00D3782B">
        <w:rPr>
          <w:i/>
        </w:rPr>
        <w:t>Sortes scit se nihil scire</w:t>
      </w:r>
      <w:r w:rsidR="00AB28A2">
        <w:t>)</w:t>
      </w:r>
      <w:r w:rsidR="00C014FD">
        <w:t xml:space="preserve">. </w:t>
      </w:r>
      <w:r w:rsidR="0055719D">
        <w:t xml:space="preserve">Na základě aktu sebereflexe se z </w:t>
      </w:r>
      <w:r w:rsidR="086414B2">
        <w:t>metafyzické</w:t>
      </w:r>
      <w:r w:rsidR="0055719D">
        <w:t xml:space="preserve">ho nihilismu </w:t>
      </w:r>
      <w:r w:rsidR="00B165BF">
        <w:t xml:space="preserve">se </w:t>
      </w:r>
      <w:r w:rsidR="0055719D">
        <w:t xml:space="preserve">stal moderní pozitivismus </w:t>
      </w:r>
      <w:r w:rsidR="086414B2">
        <w:t>logické</w:t>
      </w:r>
      <w:r w:rsidR="0055719D">
        <w:t>ho</w:t>
      </w:r>
      <w:r w:rsidR="086414B2">
        <w:t xml:space="preserve"> </w:t>
      </w:r>
      <w:r w:rsidR="0055719D">
        <w:t>„čehokoliv</w:t>
      </w:r>
      <w:r w:rsidR="00B165BF">
        <w:t>“</w:t>
      </w:r>
      <w:r w:rsidR="08163C0C">
        <w:t xml:space="preserve"> (</w:t>
      </w:r>
      <w:r w:rsidR="08163C0C" w:rsidRPr="08163C0C">
        <w:rPr>
          <w:i/>
        </w:rPr>
        <w:t>aliquid</w:t>
      </w:r>
      <w:r w:rsidR="08163C0C">
        <w:t xml:space="preserve">). </w:t>
      </w:r>
      <w:r w:rsidR="080D4334">
        <w:t>Parvipontánci zavedli do logiky</w:t>
      </w:r>
      <w:r w:rsidR="00B165BF">
        <w:t xml:space="preserve"> </w:t>
      </w:r>
      <w:r w:rsidR="080D4334">
        <w:t xml:space="preserve">první </w:t>
      </w:r>
      <w:r w:rsidR="00B165BF">
        <w:t>proces Hegelovy</w:t>
      </w:r>
      <w:r w:rsidR="00D57C1A">
        <w:fldChar w:fldCharType="begin"/>
      </w:r>
      <w:r w:rsidR="00D57C1A">
        <w:instrText xml:space="preserve"> XE "</w:instrText>
      </w:r>
      <w:r w:rsidR="00D57C1A" w:rsidRPr="00E823E1">
        <w:instrText>Hegel, G. W.</w:instrText>
      </w:r>
      <w:r w:rsidR="00D57C1A">
        <w:instrText xml:space="preserve">" </w:instrText>
      </w:r>
      <w:r w:rsidR="00D57C1A">
        <w:fldChar w:fldCharType="end"/>
      </w:r>
      <w:r w:rsidR="00B165BF">
        <w:t xml:space="preserve"> dialektiky</w:t>
      </w:r>
      <w:r w:rsidR="007B0E7A">
        <w:t xml:space="preserve"> (</w:t>
      </w:r>
      <w:r w:rsidR="007B0E7A" w:rsidRPr="007B0E7A">
        <w:rPr>
          <w:i/>
        </w:rPr>
        <w:t>Einheit von Sein und Nichts</w:t>
      </w:r>
      <w:r w:rsidR="007B0E7A">
        <w:t>)</w:t>
      </w:r>
      <w:r w:rsidR="00B165BF">
        <w:t>.</w:t>
      </w:r>
      <w:r w:rsidR="00B165BF">
        <w:rPr>
          <w:rStyle w:val="Znakapoznpodarou"/>
        </w:rPr>
        <w:footnoteReference w:id="52"/>
      </w:r>
      <w:r w:rsidR="00B165BF">
        <w:t xml:space="preserve"> </w:t>
      </w:r>
      <w:r w:rsidR="00D92DAD">
        <w:t xml:space="preserve">Moderní porretáni a po nich postmoderní karteziáni </w:t>
      </w:r>
      <w:r w:rsidR="08163C0C">
        <w:t xml:space="preserve">a hegeliáni </w:t>
      </w:r>
      <w:r w:rsidR="00D92DAD">
        <w:lastRenderedPageBreak/>
        <w:t xml:space="preserve">vnímají jsoucno a nejsoucno jako </w:t>
      </w:r>
      <w:r w:rsidR="00D92DAD" w:rsidRPr="00273106">
        <w:t xml:space="preserve">předmět </w:t>
      </w:r>
      <w:r w:rsidR="00D92DAD">
        <w:t>logické sebe</w:t>
      </w:r>
      <w:r w:rsidR="00D92DAD" w:rsidRPr="00273106">
        <w:t>reflexe</w:t>
      </w:r>
      <w:r w:rsidR="00D92DAD">
        <w:t xml:space="preserve">, která dostala metafyzický status. </w:t>
      </w:r>
      <w:r w:rsidR="008357AC">
        <w:t xml:space="preserve">Univočně pojatý význam </w:t>
      </w:r>
      <w:r w:rsidR="009C3739">
        <w:t>vybavuje všechny reálné i myšlené věci hypostázovanou jsouc</w:t>
      </w:r>
      <w:r w:rsidR="002D5ABF">
        <w:t>ností v modu logické abstrakce. Současný filos</w:t>
      </w:r>
      <w:r w:rsidR="002D5ABF" w:rsidRPr="002D5ABF">
        <w:t xml:space="preserve">ofický nihilismus zná </w:t>
      </w:r>
      <w:r w:rsidR="002D5ABF">
        <w:t>tento proces pod známou větou: „</w:t>
      </w:r>
      <w:r w:rsidR="002D5ABF" w:rsidRPr="002D5ABF">
        <w:rPr>
          <w:i/>
        </w:rPr>
        <w:t>Anything goes</w:t>
      </w:r>
      <w:r w:rsidR="002D5ABF">
        <w:t>“</w:t>
      </w:r>
      <w:r w:rsidR="002D5ABF" w:rsidRPr="002D5ABF">
        <w:t>.</w:t>
      </w:r>
      <w:r w:rsidR="002D5ABF">
        <w:t xml:space="preserve"> </w:t>
      </w:r>
      <w:r w:rsidR="004E7ABB">
        <w:t>Citovaná š</w:t>
      </w:r>
      <w:r w:rsidRPr="00273106">
        <w:t xml:space="preserve">kola </w:t>
      </w:r>
      <w:r w:rsidRPr="00273106">
        <w:rPr>
          <w:i/>
        </w:rPr>
        <w:t>Nominales</w:t>
      </w:r>
      <w:r w:rsidRPr="00273106">
        <w:t xml:space="preserve"> ne</w:t>
      </w:r>
      <w:r w:rsidR="009F4EC9">
        <w:t xml:space="preserve">byla </w:t>
      </w:r>
      <w:r w:rsidRPr="00273106">
        <w:t xml:space="preserve">schopna rozlišit </w:t>
      </w:r>
      <w:r w:rsidR="009F4EC9">
        <w:t xml:space="preserve">logickou </w:t>
      </w:r>
      <w:r w:rsidRPr="00273106">
        <w:t xml:space="preserve">supozici danou </w:t>
      </w:r>
      <w:r w:rsidR="08FE5D87">
        <w:t xml:space="preserve">pouze </w:t>
      </w:r>
      <w:r w:rsidRPr="00273106">
        <w:t xml:space="preserve">v mysli </w:t>
      </w:r>
      <w:r w:rsidR="007C07CC">
        <w:t>(</w:t>
      </w:r>
      <w:r w:rsidR="007C07CC" w:rsidRPr="007C07CC">
        <w:rPr>
          <w:i/>
        </w:rPr>
        <w:t>scit se nihil scire</w:t>
      </w:r>
      <w:r w:rsidR="007C07CC">
        <w:t>)</w:t>
      </w:r>
      <w:r w:rsidR="00C74017">
        <w:t xml:space="preserve"> a my</w:t>
      </w:r>
      <w:r w:rsidR="009F4EC9">
        <w:t>lně ji vzala jako metafyzi</w:t>
      </w:r>
      <w:r w:rsidR="00C74017">
        <w:t>c</w:t>
      </w:r>
      <w:r w:rsidR="009F4EC9">
        <w:t xml:space="preserve">kou impozici, která </w:t>
      </w:r>
      <w:r w:rsidR="00C74017">
        <w:t xml:space="preserve">ale </w:t>
      </w:r>
      <w:r w:rsidR="009F4EC9">
        <w:t>platí pouze vzhledem k realitě</w:t>
      </w:r>
      <w:r w:rsidR="007C07CC">
        <w:t xml:space="preserve"> (</w:t>
      </w:r>
      <w:r w:rsidR="007C07CC" w:rsidRPr="007C07CC">
        <w:rPr>
          <w:i/>
        </w:rPr>
        <w:t>scit hoc</w:t>
      </w:r>
      <w:r w:rsidR="007C07CC">
        <w:rPr>
          <w:i/>
        </w:rPr>
        <w:t>, e</w:t>
      </w:r>
      <w:r w:rsidR="007C07CC" w:rsidRPr="007C07CC">
        <w:rPr>
          <w:i/>
        </w:rPr>
        <w:t>rgo aliquid</w:t>
      </w:r>
      <w:r w:rsidR="007C07CC">
        <w:t>)</w:t>
      </w:r>
      <w:r w:rsidRPr="00273106">
        <w:t xml:space="preserve">. </w:t>
      </w:r>
      <w:r w:rsidR="00316D2F">
        <w:t>Z</w:t>
      </w:r>
      <w:r w:rsidR="00316D2F" w:rsidRPr="00273106">
        <w:t xml:space="preserve">ávěr </w:t>
      </w:r>
      <w:r w:rsidR="002A174E">
        <w:t xml:space="preserve">modernistů </w:t>
      </w:r>
      <w:r w:rsidR="00316D2F">
        <w:t xml:space="preserve">pak </w:t>
      </w:r>
      <w:r w:rsidR="00316D2F" w:rsidRPr="00273106">
        <w:t xml:space="preserve">univočně </w:t>
      </w:r>
      <w:r w:rsidR="00316D2F">
        <w:t xml:space="preserve">spojí </w:t>
      </w:r>
      <w:r w:rsidR="00316D2F" w:rsidRPr="00273106">
        <w:t xml:space="preserve">dva </w:t>
      </w:r>
      <w:r w:rsidR="003A10C9">
        <w:t xml:space="preserve">genericky zcela odlišné </w:t>
      </w:r>
      <w:r w:rsidR="00316D2F" w:rsidRPr="00273106">
        <w:t>významy</w:t>
      </w:r>
      <w:r w:rsidR="00795D7A">
        <w:t xml:space="preserve"> (</w:t>
      </w:r>
      <w:r w:rsidR="00795D7A" w:rsidRPr="00273106">
        <w:rPr>
          <w:i/>
        </w:rPr>
        <w:t>aliquid scit et nihil scit</w:t>
      </w:r>
      <w:r w:rsidR="00795D7A" w:rsidRPr="00273106">
        <w:t>)</w:t>
      </w:r>
      <w:r w:rsidR="00085F06">
        <w:t xml:space="preserve">. Falešná impozice daná </w:t>
      </w:r>
      <w:r w:rsidR="00085F06" w:rsidRPr="00085F06">
        <w:rPr>
          <w:i/>
        </w:rPr>
        <w:t>ex nihilo</w:t>
      </w:r>
      <w:r w:rsidR="00085F06">
        <w:t xml:space="preserve"> vytvořila metafyzicky neexistující druhou substanci jako </w:t>
      </w:r>
      <w:r w:rsidR="00085F06" w:rsidRPr="00085F06">
        <w:rPr>
          <w:i/>
        </w:rPr>
        <w:t>tertium ens</w:t>
      </w:r>
      <w:r w:rsidR="00085F06">
        <w:t xml:space="preserve">, které je ale supozičně definované logicky správně, stejně jako jakákoliv jiná logická chiméra. </w:t>
      </w:r>
      <w:r w:rsidR="0074395B">
        <w:t xml:space="preserve">Cesta nejsoucna je podle Parmenida naprosto </w:t>
      </w:r>
      <w:r w:rsidR="0074395B" w:rsidRPr="000A6F15">
        <w:t>ne</w:t>
      </w:r>
      <w:r w:rsidR="08EB6491">
        <w:t>s</w:t>
      </w:r>
      <w:r w:rsidR="0074395B" w:rsidRPr="000A6F15">
        <w:t>chůdná (παναπευθέα, B 2.6</w:t>
      </w:r>
      <w:r w:rsidR="00D57C1A">
        <w:fldChar w:fldCharType="begin"/>
      </w:r>
      <w:r w:rsidR="00D57C1A">
        <w:instrText xml:space="preserve"> XE "</w:instrText>
      </w:r>
      <w:r w:rsidR="08CC69B0">
        <w:instrText>Parmenides</w:instrText>
      </w:r>
      <w:r w:rsidR="00D57C1A">
        <w:instrText>:</w:instrText>
      </w:r>
      <w:r w:rsidR="00D57C1A" w:rsidRPr="00CA7160">
        <w:instrText>B 2.6</w:instrText>
      </w:r>
      <w:r w:rsidR="00D57C1A">
        <w:instrText xml:space="preserve">" </w:instrText>
      </w:r>
      <w:r w:rsidR="00D57C1A">
        <w:fldChar w:fldCharType="end"/>
      </w:r>
      <w:r w:rsidR="0074395B" w:rsidRPr="000A6F15">
        <w:t>)</w:t>
      </w:r>
      <w:r w:rsidR="00D62073">
        <w:t xml:space="preserve">. Ale </w:t>
      </w:r>
      <w:r w:rsidR="08DA7154">
        <w:t>nikoliv pro modernu</w:t>
      </w:r>
      <w:r w:rsidR="003C7ED7">
        <w:t>, která jde cestou absolutizovaného</w:t>
      </w:r>
      <w:r w:rsidR="002E3C88">
        <w:t xml:space="preserve"> </w:t>
      </w:r>
      <w:r w:rsidR="003C7ED7">
        <w:t>logického</w:t>
      </w:r>
      <w:r w:rsidR="0074395B">
        <w:t xml:space="preserve"> významu jsoucna</w:t>
      </w:r>
      <w:r w:rsidR="0074395B" w:rsidRPr="000A6F15">
        <w:t>.</w:t>
      </w:r>
      <w:r w:rsidR="0074395B">
        <w:t xml:space="preserve"> </w:t>
      </w:r>
      <w:r w:rsidR="08DB38C1">
        <w:t>Moderní</w:t>
      </w:r>
      <w:r w:rsidR="08EB6491">
        <w:t xml:space="preserve"> logik</w:t>
      </w:r>
      <w:r w:rsidR="08DB38C1">
        <w:t xml:space="preserve">a </w:t>
      </w:r>
      <w:r w:rsidR="08EB6491">
        <w:t>zač</w:t>
      </w:r>
      <w:r w:rsidR="08DB38C1">
        <w:t>íná</w:t>
      </w:r>
      <w:r w:rsidR="08EB6491">
        <w:t xml:space="preserve"> dedukci od nicoty</w:t>
      </w:r>
      <w:r w:rsidR="08DB38C1">
        <w:t>, pro</w:t>
      </w:r>
      <w:r w:rsidR="08EB6491">
        <w:t>t</w:t>
      </w:r>
      <w:r w:rsidR="08DB38C1">
        <w:t>o</w:t>
      </w:r>
      <w:r w:rsidR="08EB6491">
        <w:t>že je od reali</w:t>
      </w:r>
      <w:r w:rsidR="08DB38C1">
        <w:t xml:space="preserve">ty oddělena v modu </w:t>
      </w:r>
      <w:r w:rsidR="08DB38C1" w:rsidRPr="08DB38C1">
        <w:rPr>
          <w:i/>
        </w:rPr>
        <w:t>absolute</w:t>
      </w:r>
      <w:r w:rsidR="08DB38C1">
        <w:t>, tedy skrze logickou abstrakci</w:t>
      </w:r>
      <w:r w:rsidR="08EB6491">
        <w:t>. Metafyzik nemůže použít tento typ nihili</w:t>
      </w:r>
      <w:r w:rsidR="08DB38C1">
        <w:t>s</w:t>
      </w:r>
      <w:r w:rsidR="08EB6491">
        <w:t xml:space="preserve">tické abstrakce a uvažování, protože by přestal být kritickým myslitelem. </w:t>
      </w:r>
      <w:r w:rsidR="08BD7B51">
        <w:t xml:space="preserve">Logik může být paranoický, protože je od reality oddělen formou logické abstrakce. </w:t>
      </w:r>
      <w:r w:rsidR="086D404C">
        <w:t xml:space="preserve">Paranoia pod vedením Fúrií je logicky pravdivá a dokonce absolutním způsobem. </w:t>
      </w:r>
      <w:r w:rsidR="00B92A83">
        <w:t xml:space="preserve">Klasický logik typu Abelarda </w:t>
      </w:r>
      <w:r w:rsidR="00795D7A">
        <w:t>zásadně odlišuje význam daný supozicí pouze v mysli od významu daného impozicí z</w:t>
      </w:r>
      <w:r w:rsidR="00085F06">
        <w:t> </w:t>
      </w:r>
      <w:r w:rsidR="00795D7A">
        <w:t>reality</w:t>
      </w:r>
      <w:r w:rsidR="00085F06">
        <w:t xml:space="preserve">, která je transponována do pravdivých výroků na základě metafyzického dativu. </w:t>
      </w:r>
      <w:r w:rsidR="00B92A83">
        <w:t xml:space="preserve">Moderní logika </w:t>
      </w:r>
      <w:r w:rsidR="00B05B36">
        <w:t xml:space="preserve">porretánců </w:t>
      </w:r>
      <w:r w:rsidR="00795D7A">
        <w:t xml:space="preserve">pracuje </w:t>
      </w:r>
      <w:r w:rsidR="007C07CC">
        <w:t xml:space="preserve">v rámci </w:t>
      </w:r>
      <w:r w:rsidR="00795D7A">
        <w:t xml:space="preserve">logické </w:t>
      </w:r>
      <w:r w:rsidR="007C07CC">
        <w:t>abstrakce</w:t>
      </w:r>
      <w:r w:rsidR="0074395B">
        <w:t xml:space="preserve"> dané jako absolutní supozice</w:t>
      </w:r>
      <w:r w:rsidR="00795D7A">
        <w:t xml:space="preserve">, proto </w:t>
      </w:r>
      <w:r w:rsidR="00B92A83">
        <w:t>přestala vnímat diferenci mezi logickou a metafyzickou</w:t>
      </w:r>
      <w:r w:rsidR="00B92A83" w:rsidRPr="00B92A83">
        <w:t xml:space="preserve"> </w:t>
      </w:r>
      <w:r w:rsidR="00B92A83">
        <w:t xml:space="preserve">abstrakcí. </w:t>
      </w:r>
      <w:r w:rsidR="00B05B36">
        <w:t xml:space="preserve">Citované dialektické postupy dané v korpusu </w:t>
      </w:r>
      <w:r w:rsidR="00B05B36" w:rsidRPr="00D57C1A">
        <w:rPr>
          <w:i/>
        </w:rPr>
        <w:t>Logica</w:t>
      </w:r>
      <w:r w:rsidR="00B05B36" w:rsidRPr="00853BAC">
        <w:rPr>
          <w:i/>
        </w:rPr>
        <w:t xml:space="preserve"> Modernorum</w:t>
      </w:r>
      <w:r w:rsidR="00B05B36">
        <w:t xml:space="preserve"> přešly do metafyziky tím, že školy </w:t>
      </w:r>
      <w:r w:rsidR="00B05B36" w:rsidRPr="00AD0E98">
        <w:rPr>
          <w:i/>
        </w:rPr>
        <w:t>Nominales</w:t>
      </w:r>
      <w:r w:rsidR="00B05B36">
        <w:t xml:space="preserve"> a porretánů zavedly </w:t>
      </w:r>
      <w:r w:rsidR="08DE0A99">
        <w:t xml:space="preserve">sofistickou </w:t>
      </w:r>
      <w:r w:rsidR="00B05B36">
        <w:t>ekvivalenci mezi impozicí a supozicí, mezi metafyzickým bytím věci a jejím bytím</w:t>
      </w:r>
      <w:r w:rsidR="08DE0A99">
        <w:t xml:space="preserve"> dan</w:t>
      </w:r>
      <w:r w:rsidR="083628B6">
        <w:t>ým pouze v mysli poznávajícího</w:t>
      </w:r>
      <w:r w:rsidR="00B05B36">
        <w:t xml:space="preserve">. </w:t>
      </w:r>
      <w:r w:rsidRPr="00273106">
        <w:t xml:space="preserve">Argumentace </w:t>
      </w:r>
      <w:r w:rsidR="009E6F18">
        <w:t xml:space="preserve">porretánských logických škol </w:t>
      </w:r>
      <w:r w:rsidRPr="00273106">
        <w:t xml:space="preserve">v rámci sofismat </w:t>
      </w:r>
      <w:r w:rsidR="083C6D1C">
        <w:t xml:space="preserve">typu </w:t>
      </w:r>
      <w:r w:rsidR="086A1715" w:rsidRPr="086A1715">
        <w:rPr>
          <w:i/>
        </w:rPr>
        <w:t>Ex impossibili sequitur quidlibet</w:t>
      </w:r>
      <w:r w:rsidR="086A1715" w:rsidRPr="00273106">
        <w:t xml:space="preserve"> </w:t>
      </w:r>
      <w:r w:rsidR="003C7ED7" w:rsidRPr="00273106">
        <w:t>vybavila nejsoucno</w:t>
      </w:r>
      <w:r w:rsidR="003C7ED7">
        <w:t xml:space="preserve"> zvláštním druhem existence. Podobné případy se debatovaly</w:t>
      </w:r>
      <w:r w:rsidRPr="00273106">
        <w:t xml:space="preserve"> v rámci studentských cvičení typu </w:t>
      </w:r>
      <w:r w:rsidRPr="00273106">
        <w:rPr>
          <w:i/>
          <w:iCs/>
        </w:rPr>
        <w:t>Insolubilia</w:t>
      </w:r>
      <w:r w:rsidRPr="00273106">
        <w:t xml:space="preserve"> (ed. Roure 1970) nebo </w:t>
      </w:r>
      <w:r w:rsidRPr="00273106">
        <w:rPr>
          <w:i/>
        </w:rPr>
        <w:t>Obligationes</w:t>
      </w:r>
      <w:r w:rsidR="003C7ED7">
        <w:t xml:space="preserve"> (ed. Braakhuis 1998)</w:t>
      </w:r>
      <w:r w:rsidR="009477D6">
        <w:t xml:space="preserve">. </w:t>
      </w:r>
      <w:r w:rsidR="003C6E12">
        <w:t xml:space="preserve">Impozice </w:t>
      </w:r>
      <w:r w:rsidR="00156AB3">
        <w:t xml:space="preserve">vzniká </w:t>
      </w:r>
      <w:r w:rsidR="00090E23">
        <w:t>nikoliv od reálné první substance</w:t>
      </w:r>
      <w:r w:rsidR="00A70FA4">
        <w:fldChar w:fldCharType="begin"/>
      </w:r>
      <w:r w:rsidR="00A70FA4">
        <w:instrText xml:space="preserve"> XE "</w:instrText>
      </w:r>
      <w:r w:rsidR="00063C99">
        <w:instrText xml:space="preserve">signifikace:škola </w:instrText>
      </w:r>
      <w:r w:rsidR="00063C99" w:rsidRPr="00063C99">
        <w:rPr>
          <w:i/>
        </w:rPr>
        <w:instrText>Nominales</w:instrText>
      </w:r>
      <w:r w:rsidR="00A70FA4">
        <w:instrText xml:space="preserve">" </w:instrText>
      </w:r>
      <w:r w:rsidR="00A70FA4">
        <w:fldChar w:fldCharType="end"/>
      </w:r>
      <w:r w:rsidR="00090E23">
        <w:t xml:space="preserve">, ale </w:t>
      </w:r>
      <w:r w:rsidR="003C6E12">
        <w:t xml:space="preserve">od </w:t>
      </w:r>
      <w:r w:rsidR="00156AB3">
        <w:t xml:space="preserve">poznávajícího </w:t>
      </w:r>
      <w:r w:rsidR="003C6E12">
        <w:t>subjektu</w:t>
      </w:r>
      <w:r w:rsidR="00156AB3">
        <w:t xml:space="preserve"> daného jako </w:t>
      </w:r>
      <w:r w:rsidR="00156AB3" w:rsidRPr="00273106">
        <w:t>avicennovsk</w:t>
      </w:r>
      <w:r w:rsidR="00156AB3">
        <w:t>ý</w:t>
      </w:r>
      <w:r w:rsidR="00F23CEF">
        <w:t xml:space="preserve"> sebevztah aktivního intelektu.</w:t>
      </w:r>
    </w:p>
    <w:p w14:paraId="3FA4B9B6" w14:textId="35026D67" w:rsidR="00036758" w:rsidRDefault="00B05B36" w:rsidP="002D5ABF">
      <w:pPr>
        <w:ind w:firstLine="397"/>
      </w:pPr>
      <w:r>
        <w:t xml:space="preserve">Metafyzické rozlišení dané impozicí významu od první substance padlo pod stůl a tato tristní situace pokračuje v současné filosofii jazyka krizí reference. </w:t>
      </w:r>
      <w:r w:rsidR="08DE3D2C">
        <w:t xml:space="preserve">V době </w:t>
      </w:r>
      <w:r w:rsidR="081802E1">
        <w:t xml:space="preserve">metafyzického nihilismu </w:t>
      </w:r>
      <w:r w:rsidR="08DE3D2C">
        <w:t xml:space="preserve">se tento vskutku nepatrný rozdíl mezi metafyzickou a logickou abstrakcí projevuje v </w:t>
      </w:r>
      <w:r w:rsidR="08503457">
        <w:lastRenderedPageBreak/>
        <w:t xml:space="preserve">sofistické </w:t>
      </w:r>
      <w:r w:rsidR="08DE3D2C">
        <w:t>„exsistenci“ finančních derivátů</w:t>
      </w:r>
      <w:r w:rsidR="0076359A">
        <w:t>. Ty jsou</w:t>
      </w:r>
      <w:r w:rsidR="08DE3D2C">
        <w:fldChar w:fldCharType="begin"/>
      </w:r>
      <w:r w:rsidR="08DE3D2C">
        <w:instrText xml:space="preserve"> XE "</w:instrText>
      </w:r>
      <w:r w:rsidR="08DE3D2C" w:rsidRPr="0853060B">
        <w:instrText>finanční deriváty</w:instrText>
      </w:r>
      <w:r w:rsidR="08DE3D2C">
        <w:instrText xml:space="preserve">" </w:instrText>
      </w:r>
      <w:r w:rsidR="08DE3D2C">
        <w:fldChar w:fldCharType="end"/>
      </w:r>
      <w:r w:rsidR="0076359A">
        <w:t xml:space="preserve"> vytvořeny</w:t>
      </w:r>
      <w:r w:rsidR="08DE3D2C">
        <w:t xml:space="preserve"> plně </w:t>
      </w:r>
      <w:r w:rsidR="08DE3D2C" w:rsidRPr="083628B6">
        <w:rPr>
          <w:i/>
        </w:rPr>
        <w:t>absolute</w:t>
      </w:r>
      <w:r w:rsidR="08DE3D2C">
        <w:t>, tedy sebereflexivním množením virtálního dluhu</w:t>
      </w:r>
      <w:r w:rsidR="00DA57BF">
        <w:t xml:space="preserve"> v myslích bankovních iluminátů</w:t>
      </w:r>
      <w:r w:rsidR="08DE3D2C">
        <w:t xml:space="preserve">. </w:t>
      </w:r>
      <w:r w:rsidR="006654D3" w:rsidRPr="00273106">
        <w:t xml:space="preserve">Pro Abelarda jako současníka </w:t>
      </w:r>
      <w:r>
        <w:t>logických</w:t>
      </w:r>
      <w:r w:rsidRPr="00273106">
        <w:t xml:space="preserve"> </w:t>
      </w:r>
      <w:r w:rsidR="006654D3" w:rsidRPr="00273106">
        <w:t xml:space="preserve">škol </w:t>
      </w:r>
      <w:r w:rsidR="084F116A" w:rsidRPr="084F116A">
        <w:rPr>
          <w:i/>
        </w:rPr>
        <w:t>Modernorum</w:t>
      </w:r>
      <w:r w:rsidR="084F116A">
        <w:t xml:space="preserve"> </w:t>
      </w:r>
      <w:r w:rsidR="006654D3" w:rsidRPr="00273106">
        <w:t xml:space="preserve">je </w:t>
      </w:r>
      <w:r w:rsidR="00774C02">
        <w:t xml:space="preserve">metafyzické </w:t>
      </w:r>
      <w:r w:rsidR="006654D3" w:rsidRPr="00273106">
        <w:t xml:space="preserve">pojetí nejsoucna </w:t>
      </w:r>
      <w:r w:rsidR="00774C02">
        <w:t xml:space="preserve">naprosto </w:t>
      </w:r>
      <w:r w:rsidR="006654D3" w:rsidRPr="00273106">
        <w:t>vyloučeno</w:t>
      </w:r>
      <w:r w:rsidR="004877D2">
        <w:t xml:space="preserve">. </w:t>
      </w:r>
      <w:r w:rsidR="006654D3" w:rsidRPr="00273106">
        <w:t>Absolutně pojaté negace typu vylučují vztah k reálnému jsoucnu zakládajícímu signifikaci</w:t>
      </w:r>
      <w:r w:rsidR="088F3CF6">
        <w:t xml:space="preserve"> (</w:t>
      </w:r>
      <w:r w:rsidR="088F3CF6" w:rsidRPr="00273106">
        <w:rPr>
          <w:rStyle w:val="Zvraznn"/>
        </w:rPr>
        <w:t>nil omnino,</w:t>
      </w:r>
      <w:r w:rsidR="088F3CF6" w:rsidRPr="00273106">
        <w:t xml:space="preserve"> </w:t>
      </w:r>
      <w:r w:rsidR="088F3CF6" w:rsidRPr="00273106">
        <w:rPr>
          <w:rStyle w:val="Zvraznn"/>
        </w:rPr>
        <w:t>nullam omnino rem</w:t>
      </w:r>
      <w:r w:rsidR="088F3CF6">
        <w:t xml:space="preserve">). </w:t>
      </w:r>
      <w:r w:rsidR="009A2468">
        <w:t>P</w:t>
      </w:r>
      <w:r w:rsidR="00D00E3A">
        <w:t xml:space="preserve">odle Abelardovy </w:t>
      </w:r>
      <w:r w:rsidR="085A78B7">
        <w:t xml:space="preserve">logické školy, kterou povinně </w:t>
      </w:r>
      <w:r w:rsidR="081B5C30">
        <w:t>absolvovali tehdejší filosofič</w:t>
      </w:r>
      <w:r w:rsidR="085A78B7">
        <w:t>tí začátečníci</w:t>
      </w:r>
      <w:r w:rsidR="084B24CD">
        <w:t xml:space="preserve"> na katedrální škole v Paříži</w:t>
      </w:r>
      <w:r w:rsidR="085A78B7">
        <w:t xml:space="preserve">, </w:t>
      </w:r>
      <w:r w:rsidR="00D00E3A">
        <w:t xml:space="preserve">obsahují </w:t>
      </w:r>
      <w:r w:rsidR="00373AB9">
        <w:t xml:space="preserve">podobné logické abstrakce pouze </w:t>
      </w:r>
      <w:r w:rsidR="001C03EC">
        <w:t>intransitivní</w:t>
      </w:r>
      <w:r w:rsidR="006654D3" w:rsidRPr="00273106">
        <w:t xml:space="preserve"> modu</w:t>
      </w:r>
      <w:r w:rsidR="001C03EC">
        <w:t>s</w:t>
      </w:r>
      <w:r w:rsidR="006654D3" w:rsidRPr="00273106">
        <w:t xml:space="preserve"> </w:t>
      </w:r>
      <w:r w:rsidR="006654D3" w:rsidRPr="00273106">
        <w:rPr>
          <w:i/>
        </w:rPr>
        <w:t>copulatio</w:t>
      </w:r>
      <w:r w:rsidR="006654D3" w:rsidRPr="00273106">
        <w:t xml:space="preserve">. </w:t>
      </w:r>
      <w:r w:rsidR="007668C7">
        <w:t xml:space="preserve">Kopula </w:t>
      </w:r>
      <w:r w:rsidR="00C967E9">
        <w:rPr>
          <w:szCs w:val="24"/>
        </w:rPr>
        <w:t>“</w:t>
      </w:r>
      <w:r w:rsidR="00C967E9" w:rsidRPr="00A3659F">
        <w:rPr>
          <w:i/>
          <w:szCs w:val="24"/>
        </w:rPr>
        <w:t>est</w:t>
      </w:r>
      <w:r w:rsidR="00C967E9">
        <w:rPr>
          <w:szCs w:val="24"/>
        </w:rPr>
        <w:t xml:space="preserve">” </w:t>
      </w:r>
      <w:r w:rsidR="00286FE4" w:rsidRPr="00273106">
        <w:t xml:space="preserve">vytváří </w:t>
      </w:r>
      <w:r w:rsidR="00C36DAC">
        <w:t xml:space="preserve">čistě formální </w:t>
      </w:r>
      <w:r w:rsidR="00286FE4">
        <w:t xml:space="preserve">predikaci tím, že </w:t>
      </w:r>
      <w:r w:rsidR="007668C7">
        <w:t xml:space="preserve">spojuje nepřechodně (čili v modu </w:t>
      </w:r>
      <w:r w:rsidR="007668C7" w:rsidRPr="007668C7">
        <w:rPr>
          <w:i/>
        </w:rPr>
        <w:t>absolute</w:t>
      </w:r>
      <w:r w:rsidR="004E2BC4">
        <w:rPr>
          <w:rStyle w:val="addmd"/>
          <w:i/>
        </w:rPr>
        <w:fldChar w:fldCharType="begin"/>
      </w:r>
      <w:r w:rsidR="004E2BC4">
        <w:instrText xml:space="preserve"> 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07668C7">
        <w:t xml:space="preserve">) </w:t>
      </w:r>
      <w:r w:rsidR="006654D3" w:rsidRPr="00273106">
        <w:t>predi</w:t>
      </w:r>
      <w:r w:rsidR="00286FE4">
        <w:t>káty vzhledem k substanci</w:t>
      </w:r>
      <w:r w:rsidR="00F24234">
        <w:t xml:space="preserve">. </w:t>
      </w:r>
      <w:r w:rsidR="0888299E">
        <w:t>Pařížská katedrální škola postavená na Abelardem hájené aristotelské logice brala tranzitivní predikaci</w:t>
      </w:r>
      <w:r w:rsidR="0888299E" w:rsidRPr="00273106">
        <w:t xml:space="preserve"> typu „chiméra</w:t>
      </w:r>
      <w:r w:rsidR="0888299E">
        <w:fldChar w:fldCharType="begin"/>
      </w:r>
      <w:r w:rsidR="0888299E">
        <w:instrText xml:space="preserve"> XE "</w:instrText>
      </w:r>
      <w:r w:rsidR="0888299E" w:rsidRPr="009316B3">
        <w:instrText>chiméra</w:instrText>
      </w:r>
      <w:r w:rsidR="0888299E">
        <w:instrText xml:space="preserve">" </w:instrText>
      </w:r>
      <w:r w:rsidR="0888299E">
        <w:fldChar w:fldCharType="end"/>
      </w:r>
      <w:r w:rsidR="0888299E" w:rsidRPr="00273106">
        <w:t xml:space="preserve"> je nejsoucno “ (</w:t>
      </w:r>
      <w:r w:rsidR="0888299E" w:rsidRPr="00273106">
        <w:rPr>
          <w:i/>
        </w:rPr>
        <w:t>chimaera est non-ens</w:t>
      </w:r>
      <w:r w:rsidR="0888299E" w:rsidRPr="00273106">
        <w:t>) pouze v modu</w:t>
      </w:r>
      <w:r w:rsidR="0888299E">
        <w:t xml:space="preserve"> ekvivočního významu.</w:t>
      </w:r>
      <w:r w:rsidR="0888299E" w:rsidRPr="00273106">
        <w:rPr>
          <w:rStyle w:val="Znakapoznpodarou"/>
        </w:rPr>
        <w:footnoteReference w:id="53"/>
      </w:r>
      <w:r w:rsidR="00D45871">
        <w:t xml:space="preserve"> Koncept chiméry nemá pravdivý metafyzický význam (</w:t>
      </w:r>
      <w:r w:rsidR="00D45871" w:rsidRPr="00D45871">
        <w:rPr>
          <w:i/>
        </w:rPr>
        <w:t>supponit pro</w:t>
      </w:r>
      <w:r w:rsidR="00D45871">
        <w:t xml:space="preserve">), protože nemá </w:t>
      </w:r>
      <w:r w:rsidR="0888299E">
        <w:t>supozici, která by obsahovala vztah k reálné první substanci v modu hypachické kategoriální impozice</w:t>
      </w:r>
      <w:r w:rsidR="0888299E" w:rsidRPr="00273106">
        <w:t xml:space="preserve">. </w:t>
      </w:r>
      <w:r w:rsidR="087C17D0">
        <w:t>Citovaný výrok (</w:t>
      </w:r>
      <w:r w:rsidR="087C17D0" w:rsidRPr="00F47354">
        <w:rPr>
          <w:i/>
        </w:rPr>
        <w:t>enuntiatio</w:t>
      </w:r>
      <w:r w:rsidR="087C17D0">
        <w:rPr>
          <w:i/>
        </w:rPr>
        <w:fldChar w:fldCharType="begin"/>
      </w:r>
      <w:r w:rsidR="087C17D0">
        <w:instrText xml:space="preserve"> XE "</w:instrText>
      </w:r>
      <w:r w:rsidR="087C17D0" w:rsidRPr="0038128E">
        <w:rPr>
          <w:i/>
        </w:rPr>
        <w:instrText>enuntiatio:</w:instrText>
      </w:r>
      <w:r w:rsidR="087C17D0" w:rsidRPr="0038128E">
        <w:instrText>Abelard</w:instrText>
      </w:r>
      <w:r w:rsidR="087C17D0">
        <w:instrText xml:space="preserve">" </w:instrText>
      </w:r>
      <w:r w:rsidR="087C17D0">
        <w:rPr>
          <w:i/>
        </w:rPr>
        <w:fldChar w:fldCharType="end"/>
      </w:r>
      <w:r w:rsidR="087C17D0">
        <w:t xml:space="preserve">) </w:t>
      </w:r>
      <w:r w:rsidR="087C17D0" w:rsidRPr="00273106">
        <w:t xml:space="preserve">vytváří významy </w:t>
      </w:r>
      <w:r w:rsidR="087C17D0">
        <w:t xml:space="preserve">pouze </w:t>
      </w:r>
      <w:r w:rsidR="087C17D0" w:rsidRPr="00273106">
        <w:t>na úrovni slova</w:t>
      </w:r>
      <w:r w:rsidR="087C17D0">
        <w:t xml:space="preserve"> (</w:t>
      </w:r>
      <w:r w:rsidR="087C17D0" w:rsidRPr="004A50A8">
        <w:rPr>
          <w:i/>
        </w:rPr>
        <w:t>oratio</w:t>
      </w:r>
      <w:r w:rsidR="087C17D0">
        <w:t>)</w:t>
      </w:r>
      <w:r w:rsidR="0032794A">
        <w:t>. Pak se porovnávají</w:t>
      </w:r>
      <w:r w:rsidR="087C17D0">
        <w:t xml:space="preserve"> formální obsahy konceptů v modu logické abstrakce. Význam chiméry je dán v modu pouhého mínění (</w:t>
      </w:r>
      <w:r w:rsidR="087C17D0" w:rsidRPr="00D80DF2">
        <w:rPr>
          <w:i/>
        </w:rPr>
        <w:t>opinabile</w:t>
      </w:r>
      <w:r w:rsidR="087C17D0">
        <w:rPr>
          <w:i/>
        </w:rPr>
        <w:fldChar w:fldCharType="begin"/>
      </w:r>
      <w:r w:rsidR="087C17D0">
        <w:instrText xml:space="preserve"> XE "</w:instrText>
      </w:r>
      <w:r w:rsidR="087C17D0" w:rsidRPr="084633EC">
        <w:rPr>
          <w:i/>
        </w:rPr>
        <w:instrText>opinabile</w:instrText>
      </w:r>
      <w:r w:rsidR="087C17D0">
        <w:instrText xml:space="preserve">" </w:instrText>
      </w:r>
      <w:r w:rsidR="087C17D0">
        <w:rPr>
          <w:i/>
        </w:rPr>
        <w:fldChar w:fldCharType="end"/>
      </w:r>
      <w:r w:rsidR="087C17D0">
        <w:t>). Chimérické myšlení nemá žádnou impozici z reality, a tím pádem ani pravdivou supozici</w:t>
      </w:r>
      <w:r w:rsidR="087C17D0" w:rsidRPr="00273106">
        <w:t xml:space="preserve">. </w:t>
      </w:r>
      <w:r w:rsidR="009A2468">
        <w:t>Logická abstrakce provedla akt absoluce od reality, což metafyzik udělat nesmí</w:t>
      </w:r>
      <w:r w:rsidR="0032794A">
        <w:t>. J</w:t>
      </w:r>
      <w:r w:rsidR="00EB0535">
        <w:t>eho myšlení</w:t>
      </w:r>
      <w:r w:rsidR="0032794A">
        <w:t xml:space="preserve"> je „tranzitivní“</w:t>
      </w:r>
      <w:r w:rsidR="005002D2">
        <w:t xml:space="preserve">, </w:t>
      </w:r>
      <w:r w:rsidR="0032794A">
        <w:t xml:space="preserve">protože </w:t>
      </w:r>
      <w:r w:rsidR="00EB0535">
        <w:t xml:space="preserve">jde k realitě v modu impozice a </w:t>
      </w:r>
      <w:r w:rsidR="00EB0535" w:rsidRPr="00EB0535">
        <w:rPr>
          <w:i/>
        </w:rPr>
        <w:t>demonstratio</w:t>
      </w:r>
      <w:r w:rsidR="007A6052">
        <w:rPr>
          <w:i/>
        </w:rPr>
        <w:fldChar w:fldCharType="begin"/>
      </w:r>
      <w:r w:rsidR="007A6052">
        <w:instrText xml:space="preserve"> XE "</w:instrText>
      </w:r>
      <w:r w:rsidR="007A6052" w:rsidRPr="004E6075">
        <w:rPr>
          <w:i/>
        </w:rPr>
        <w:instrText>demonstratio:</w:instrText>
      </w:r>
      <w:r w:rsidR="008E02F5">
        <w:instrText>Aristoteles</w:instrText>
      </w:r>
      <w:r w:rsidR="007A6052">
        <w:instrText xml:space="preserve">" </w:instrText>
      </w:r>
      <w:r w:rsidR="007A6052">
        <w:rPr>
          <w:i/>
        </w:rPr>
        <w:fldChar w:fldCharType="end"/>
      </w:r>
      <w:r w:rsidR="009A2468">
        <w:t xml:space="preserve">. </w:t>
      </w:r>
      <w:r w:rsidR="088B3038">
        <w:t>Proto</w:t>
      </w:r>
      <w:r w:rsidR="009C2AF2">
        <w:t>že</w:t>
      </w:r>
      <w:r w:rsidR="088B3038">
        <w:t xml:space="preserve"> </w:t>
      </w:r>
      <w:r w:rsidR="08CD3C13">
        <w:t xml:space="preserve">chiméra neexistuje, </w:t>
      </w:r>
      <w:r w:rsidR="009C2AF2">
        <w:t>pak může existovat</w:t>
      </w:r>
      <w:r w:rsidR="088B3038">
        <w:t xml:space="preserve"> pravdivá metafyzika a ekonomika</w:t>
      </w:r>
      <w:r w:rsidR="08445795">
        <w:t xml:space="preserve">, v níž mrtvola není člověkem a sofistikovaný finanční derivát není skutečnou ceninou. </w:t>
      </w:r>
      <w:r w:rsidR="00E52309">
        <w:t xml:space="preserve">Moderní metafyzika začala u Henryho z Gentu tím, že bytí chiméry se stalo </w:t>
      </w:r>
      <w:r w:rsidR="08787ECE">
        <w:t>základem první filosofie (</w:t>
      </w:r>
      <w:r w:rsidR="0812075E">
        <w:t xml:space="preserve">OBJ III, </w:t>
      </w:r>
      <w:r w:rsidR="08787ECE">
        <w:t>kap. 5</w:t>
      </w:r>
      <w:r w:rsidR="00E52309">
        <w:t xml:space="preserve">.2.1). </w:t>
      </w:r>
      <w:r w:rsidR="00E72BB9">
        <w:t xml:space="preserve">Chiméricky postavenou metafyziku </w:t>
      </w:r>
      <w:r w:rsidR="001356DD">
        <w:t xml:space="preserve">porretánské </w:t>
      </w:r>
      <w:r w:rsidR="00E72BB9">
        <w:t xml:space="preserve">moderny nemůže aristotelismus přijmout. </w:t>
      </w:r>
      <w:r w:rsidR="08BA18A1">
        <w:t xml:space="preserve">Popsaný spor obou logických škol ukazuje zásadní odmítnutí budoucí </w:t>
      </w:r>
      <w:r w:rsidR="08BA18A1" w:rsidRPr="08BA18A1">
        <w:rPr>
          <w:i/>
        </w:rPr>
        <w:t>via Modernorum</w:t>
      </w:r>
      <w:r w:rsidR="08BA18A1">
        <w:t xml:space="preserve"> v momentu jejího </w:t>
      </w:r>
      <w:r w:rsidR="00A375EB">
        <w:t>dějinného počátku (</w:t>
      </w:r>
      <w:r w:rsidR="00A375EB">
        <w:rPr>
          <w:i/>
        </w:rPr>
        <w:t>Beginn</w:t>
      </w:r>
      <w:r w:rsidR="00A375EB" w:rsidRPr="00A375EB">
        <w:t>)</w:t>
      </w:r>
      <w:r w:rsidR="00455824">
        <w:t xml:space="preserve">. Moderna </w:t>
      </w:r>
      <w:r w:rsidR="08BA18A1">
        <w:t xml:space="preserve">se poprvé snažila proniknout do klasické metafyziky skrze porretány a jimi ovládané školy </w:t>
      </w:r>
      <w:r w:rsidR="002A5FF8">
        <w:rPr>
          <w:i/>
        </w:rPr>
        <w:t>L</w:t>
      </w:r>
      <w:r w:rsidR="08BA18A1" w:rsidRPr="08BA18A1">
        <w:rPr>
          <w:i/>
        </w:rPr>
        <w:t>ogica Modernorum</w:t>
      </w:r>
      <w:r w:rsidR="08BA18A1">
        <w:t xml:space="preserve">. </w:t>
      </w:r>
      <w:r w:rsidR="08787ECE">
        <w:t xml:space="preserve">Parmenidův </w:t>
      </w:r>
      <w:r w:rsidR="0004513F">
        <w:t xml:space="preserve">fragment </w:t>
      </w:r>
      <w:r w:rsidR="087F50C8">
        <w:t>(</w:t>
      </w:r>
      <w:r w:rsidR="087F50C8" w:rsidRPr="00273106">
        <w:t xml:space="preserve">τὸ γὰρ αὐτὸ νοεῖν ἐστίν τε καὶ εἶναι, </w:t>
      </w:r>
      <w:r w:rsidR="087F50C8" w:rsidRPr="00273106">
        <w:rPr>
          <w:i/>
        </w:rPr>
        <w:t>Parm</w:t>
      </w:r>
      <w:r w:rsidR="087F50C8" w:rsidRPr="00273106">
        <w:t>. B 3</w:t>
      </w:r>
      <w:r w:rsidR="087F50C8">
        <w:t xml:space="preserve">) </w:t>
      </w:r>
      <w:r w:rsidR="08787ECE">
        <w:t xml:space="preserve">ukazuje </w:t>
      </w:r>
      <w:r w:rsidR="08C052E8">
        <w:lastRenderedPageBreak/>
        <w:t xml:space="preserve">nejstarší formu </w:t>
      </w:r>
      <w:r w:rsidR="08787ECE">
        <w:t xml:space="preserve">principiálního </w:t>
      </w:r>
      <w:r w:rsidR="08C052E8">
        <w:t>dativu</w:t>
      </w:r>
      <w:r w:rsidR="08787ECE">
        <w:t xml:space="preserve"> (</w:t>
      </w:r>
      <w:r w:rsidR="08787ECE" w:rsidRPr="08787ECE">
        <w:rPr>
          <w:i/>
        </w:rPr>
        <w:t>dativus principialis</w:t>
      </w:r>
      <w:r w:rsidR="08787ECE">
        <w:rPr>
          <w:i/>
        </w:rPr>
        <w:fldChar w:fldCharType="begin"/>
      </w:r>
      <w:r w:rsidR="08787ECE">
        <w:instrText xml:space="preserve"> XE "</w:instrText>
      </w:r>
      <w:r w:rsidR="08787ECE" w:rsidRPr="08B86D56">
        <w:rPr>
          <w:i/>
        </w:rPr>
        <w:instrText>dativus principalis</w:instrText>
      </w:r>
      <w:r w:rsidR="08787ECE">
        <w:instrText xml:space="preserve">" </w:instrText>
      </w:r>
      <w:r w:rsidR="08787ECE">
        <w:rPr>
          <w:i/>
        </w:rPr>
        <w:fldChar w:fldCharType="end"/>
      </w:r>
      <w:r w:rsidR="08787ECE">
        <w:t xml:space="preserve">). Pak </w:t>
      </w:r>
      <w:r w:rsidR="000E3199">
        <w:t xml:space="preserve">platí, že </w:t>
      </w:r>
      <w:r w:rsidR="087D4546">
        <w:t xml:space="preserve">v pojetí filosofické pravdy jako fundamentální adekvace myšlení a reality </w:t>
      </w:r>
      <w:r w:rsidR="000E3199">
        <w:t xml:space="preserve">není co </w:t>
      </w:r>
      <w:r w:rsidR="006C539F">
        <w:t>myslet</w:t>
      </w:r>
      <w:r w:rsidR="087D4546">
        <w:t>, pokud u</w:t>
      </w:r>
      <w:r w:rsidR="08E729EF">
        <w:t>rčujeme realitu směrem od nejsoucna</w:t>
      </w:r>
      <w:r w:rsidR="000E3199">
        <w:t xml:space="preserve">. </w:t>
      </w:r>
      <w:r w:rsidR="08E729EF">
        <w:t xml:space="preserve">Ale do nebytí se dostal i metafyzický dativ Aristotela. </w:t>
      </w:r>
      <w:r w:rsidR="086278CB">
        <w:t>Moderna i postmoderna je charakterizována tím, že není schopna vidět zásadní (tj. metafyzický) rozdíl mezi kategoriální a logickou predikací. Logická</w:t>
      </w:r>
      <w:r w:rsidR="001356DD">
        <w:t xml:space="preserve"> </w:t>
      </w:r>
      <w:r w:rsidR="001B3955">
        <w:t xml:space="preserve">abstrakce </w:t>
      </w:r>
      <w:r w:rsidR="001356DD">
        <w:t xml:space="preserve">parvipontánů </w:t>
      </w:r>
      <w:r w:rsidR="001B3955">
        <w:t xml:space="preserve">není schopna vidět </w:t>
      </w:r>
      <w:r w:rsidR="009A2468">
        <w:t xml:space="preserve">vlastní omezení </w:t>
      </w:r>
      <w:r w:rsidR="00F24234">
        <w:t xml:space="preserve">a </w:t>
      </w:r>
      <w:r w:rsidR="009A2468">
        <w:t>naivně předpokládá</w:t>
      </w:r>
      <w:r w:rsidR="00F24234">
        <w:t xml:space="preserve">, že impozice od reálné substance </w:t>
      </w:r>
      <w:r w:rsidR="08E043CF">
        <w:t xml:space="preserve">chiméricky </w:t>
      </w:r>
      <w:r w:rsidR="00F24234">
        <w:t>existuje</w:t>
      </w:r>
      <w:r w:rsidR="00D37731">
        <w:t xml:space="preserve"> v modu </w:t>
      </w:r>
      <w:r w:rsidR="08FF20FB">
        <w:t xml:space="preserve">hypostázované participace dané jako </w:t>
      </w:r>
      <w:r w:rsidR="0038620F">
        <w:t>Gi</w:t>
      </w:r>
      <w:r w:rsidR="080A6EDD">
        <w:t xml:space="preserve">lbertovo </w:t>
      </w:r>
      <w:r w:rsidR="0893038E">
        <w:t xml:space="preserve">derivované </w:t>
      </w:r>
      <w:r w:rsidR="080A6EDD">
        <w:t xml:space="preserve">určení jsoucna </w:t>
      </w:r>
      <w:r w:rsidR="0893038E">
        <w:t>(</w:t>
      </w:r>
      <w:r w:rsidR="0038620F" w:rsidRPr="00273106">
        <w:rPr>
          <w:i/>
        </w:rPr>
        <w:t>subsistentia non esse sed esse aliquid</w:t>
      </w:r>
      <w:r w:rsidR="0893038E">
        <w:t xml:space="preserve">). </w:t>
      </w:r>
      <w:r w:rsidR="00495DE6">
        <w:t>Logická pravda se přestala lišit od metafyzické uni</w:t>
      </w:r>
      <w:r w:rsidR="00036758">
        <w:t>voční a kategoriální predikace.</w:t>
      </w:r>
    </w:p>
    <w:p w14:paraId="6F83A60A" w14:textId="0E4A5E08" w:rsidR="00D7705A" w:rsidRDefault="08E57BA2" w:rsidP="00D7705A">
      <w:pPr>
        <w:ind w:firstLine="397"/>
        <w:rPr>
          <w:color w:val="000000"/>
        </w:rPr>
      </w:pPr>
      <w:r w:rsidRPr="00273106">
        <w:rPr>
          <w:color w:val="000000"/>
        </w:rPr>
        <w:t xml:space="preserve">Gilbert postupoval stejně jako Avicenna a vytvořil novou formu </w:t>
      </w:r>
      <w:r w:rsidRPr="00273106">
        <w:rPr>
          <w:i/>
          <w:color w:val="000000"/>
        </w:rPr>
        <w:t>tertium ens</w:t>
      </w:r>
      <w:r>
        <w:rPr>
          <w:i/>
          <w:color w:val="000000"/>
        </w:rPr>
        <w:fldChar w:fldCharType="begin"/>
      </w:r>
      <w:r>
        <w:instrText xml:space="preserve"> XE "</w:instrText>
      </w:r>
      <w:r w:rsidRPr="002F10B4">
        <w:rPr>
          <w:rStyle w:val="Zvraznn"/>
        </w:rPr>
        <w:instrText>tertium ens</w:instrText>
      </w:r>
      <w:r w:rsidRPr="00AA6019">
        <w:rPr>
          <w:rStyle w:val="Zvraznn"/>
          <w:i w:val="0"/>
        </w:rPr>
        <w:instrText>:Gilbertus Porretanus</w:instrText>
      </w:r>
      <w:r>
        <w:instrText xml:space="preserve">" </w:instrText>
      </w:r>
      <w:r>
        <w:rPr>
          <w:i/>
          <w:color w:val="000000"/>
        </w:rPr>
        <w:fldChar w:fldCharType="end"/>
      </w:r>
      <w:r w:rsidRPr="00273106">
        <w:rPr>
          <w:color w:val="000000"/>
        </w:rPr>
        <w:t>.</w:t>
      </w:r>
      <w:r>
        <w:rPr>
          <w:color w:val="000000"/>
        </w:rPr>
        <w:t xml:space="preserve"> Například rozsažnost </w:t>
      </w:r>
      <w:r w:rsidRPr="00273106">
        <w:rPr>
          <w:color w:val="000000"/>
        </w:rPr>
        <w:t>přestala mít status akcidentu určeného vzhledem ke druhé substanci. Historii vzniku tohoto hypostázovaného akcidentu jsme se věnovali u neoplatoniků (</w:t>
      </w:r>
      <w:r>
        <w:rPr>
          <w:color w:val="000000"/>
        </w:rPr>
        <w:t>kap. 1.3</w:t>
      </w:r>
      <w:r w:rsidRPr="00273106">
        <w:rPr>
          <w:color w:val="000000"/>
        </w:rPr>
        <w:t xml:space="preserve">.2). </w:t>
      </w:r>
      <w:r w:rsidRPr="00273106">
        <w:t>Rozsažnost třetího druhu vznikla v rámci Avicennovy d</w:t>
      </w:r>
      <w:r w:rsidRPr="00273106">
        <w:rPr>
          <w:rStyle w:val="addmd"/>
        </w:rPr>
        <w:t xml:space="preserve">efinice tělesa jako </w:t>
      </w:r>
      <w:r>
        <w:rPr>
          <w:rStyle w:val="addmd"/>
        </w:rPr>
        <w:t>objektivně</w:t>
      </w:r>
      <w:r w:rsidRPr="00273106">
        <w:rPr>
          <w:rStyle w:val="addmd"/>
        </w:rPr>
        <w:t xml:space="preserve"> </w:t>
      </w:r>
      <w:r>
        <w:rPr>
          <w:color w:val="000000"/>
        </w:rPr>
        <w:fldChar w:fldCharType="begin"/>
      </w:r>
      <w:r>
        <w:instrText xml:space="preserve"> XE "těleso:třetího druhu" </w:instrText>
      </w:r>
      <w:r>
        <w:rPr>
          <w:color w:val="000000"/>
        </w:rPr>
        <w:fldChar w:fldCharType="end"/>
      </w:r>
      <w:r w:rsidRPr="00273106">
        <w:rPr>
          <w:rStyle w:val="addmd"/>
        </w:rPr>
        <w:t>určené substance (</w:t>
      </w:r>
      <w:r w:rsidRPr="00273106">
        <w:rPr>
          <w:i/>
        </w:rPr>
        <w:t>non est necesse esse in corpore tres dimensiones in effectu</w:t>
      </w:r>
      <w:r w:rsidRPr="00273106">
        <w:rPr>
          <w:rStyle w:val="addmd"/>
        </w:rPr>
        <w:t>, k</w:t>
      </w:r>
      <w:r w:rsidRPr="00273106">
        <w:t xml:space="preserve">ap. 2.3.2). </w:t>
      </w:r>
      <w:r w:rsidR="00F24234">
        <w:t xml:space="preserve">Zmatením různých rovin signifikace v logických školách </w:t>
      </w:r>
      <w:r w:rsidR="00F24234" w:rsidRPr="00F24234">
        <w:rPr>
          <w:i/>
        </w:rPr>
        <w:t>Modernorum</w:t>
      </w:r>
      <w:r w:rsidR="00F24234">
        <w:t xml:space="preserve"> </w:t>
      </w:r>
      <w:r w:rsidR="00F86373">
        <w:t>ovlivněných</w:t>
      </w:r>
      <w:r w:rsidR="008B413B">
        <w:t xml:space="preserve"> Gilbertem </w:t>
      </w:r>
      <w:r w:rsidR="002239AA">
        <w:t>de La Porrée</w:t>
      </w:r>
      <w:r w:rsidR="008B413B">
        <w:t xml:space="preserve"> </w:t>
      </w:r>
      <w:r w:rsidR="000F6DAB" w:rsidRPr="00273106">
        <w:rPr>
          <w:color w:val="000000"/>
        </w:rPr>
        <w:t>vzniklo nové určení jsoucna</w:t>
      </w:r>
      <w:r w:rsidR="0074028F">
        <w:rPr>
          <w:color w:val="000000"/>
        </w:rPr>
        <w:t xml:space="preserve">. </w:t>
      </w:r>
      <w:r w:rsidR="00CB3E4F">
        <w:rPr>
          <w:color w:val="000000"/>
        </w:rPr>
        <w:t>Abélard</w:t>
      </w:r>
      <w:r w:rsidR="085E0CD3">
        <w:rPr>
          <w:color w:val="000000"/>
        </w:rPr>
        <w:t>, který zemřel hned následující rok po koncilu v Sens (1141), by proti porretánům namítl stejně jako Petr Lombardský, že e</w:t>
      </w:r>
      <w:r w:rsidR="085E0CD3" w:rsidRPr="000A6F15">
        <w:t>kvivočně</w:t>
      </w:r>
      <w:r w:rsidR="085E0CD3">
        <w:t xml:space="preserve"> je možné říkat cokoliv. Signifikace daná v modu pouhého </w:t>
      </w:r>
      <w:r w:rsidR="085E0CD3" w:rsidRPr="083C04EB">
        <w:rPr>
          <w:i/>
        </w:rPr>
        <w:t>opinabile</w:t>
      </w:r>
      <w:r w:rsidR="085E0CD3">
        <w:rPr>
          <w:i/>
        </w:rPr>
        <w:fldChar w:fldCharType="begin"/>
      </w:r>
      <w:r w:rsidR="085E0CD3">
        <w:instrText xml:space="preserve"> XE "</w:instrText>
      </w:r>
      <w:r w:rsidR="085E0CD3" w:rsidRPr="084633EC">
        <w:rPr>
          <w:i/>
        </w:rPr>
        <w:instrText>opinabile</w:instrText>
      </w:r>
      <w:r w:rsidR="085E0CD3">
        <w:instrText xml:space="preserve">" </w:instrText>
      </w:r>
      <w:r w:rsidR="085E0CD3">
        <w:rPr>
          <w:i/>
        </w:rPr>
        <w:fldChar w:fldCharType="end"/>
      </w:r>
      <w:r w:rsidR="085E0CD3">
        <w:t xml:space="preserve"> neobsahuje ani pravdu ani nepravdu. Vztah adekvace má až pravdivý vztah významu k realitě.</w:t>
      </w:r>
      <w:r w:rsidR="085E0CD3" w:rsidRPr="001B3955">
        <w:t xml:space="preserve"> </w:t>
      </w:r>
      <w:r w:rsidR="089A5AA7">
        <w:rPr>
          <w:color w:val="000000"/>
        </w:rPr>
        <w:t xml:space="preserve">Nástupce Abelarda v Pařížské </w:t>
      </w:r>
      <w:r w:rsidR="08BE6563">
        <w:rPr>
          <w:color w:val="000000"/>
        </w:rPr>
        <w:t xml:space="preserve">katedrální </w:t>
      </w:r>
      <w:r w:rsidR="089A5AA7">
        <w:rPr>
          <w:color w:val="000000"/>
        </w:rPr>
        <w:t xml:space="preserve">škole byl </w:t>
      </w:r>
      <w:r w:rsidR="086A1CAE">
        <w:rPr>
          <w:color w:val="000000"/>
        </w:rPr>
        <w:t xml:space="preserve">aristotelik </w:t>
      </w:r>
      <w:r w:rsidR="008B2BEF">
        <w:rPr>
          <w:color w:val="000000"/>
        </w:rPr>
        <w:t>Petr</w:t>
      </w:r>
      <w:r w:rsidR="00FB614E">
        <w:rPr>
          <w:color w:val="000000"/>
        </w:rPr>
        <w:t xml:space="preserve"> Lombardský </w:t>
      </w:r>
      <w:r w:rsidR="089A5AA7">
        <w:rPr>
          <w:color w:val="000000"/>
        </w:rPr>
        <w:t xml:space="preserve">a ten celkem </w:t>
      </w:r>
      <w:r w:rsidR="08DA2116">
        <w:rPr>
          <w:color w:val="000000"/>
        </w:rPr>
        <w:t xml:space="preserve">pochopitelně obžaloval </w:t>
      </w:r>
      <w:r w:rsidR="083C04EB">
        <w:rPr>
          <w:color w:val="000000"/>
        </w:rPr>
        <w:t xml:space="preserve">moderního </w:t>
      </w:r>
      <w:r w:rsidR="08DA2116">
        <w:rPr>
          <w:color w:val="000000"/>
        </w:rPr>
        <w:t xml:space="preserve">Gilberta </w:t>
      </w:r>
      <w:r w:rsidR="083C04EB">
        <w:rPr>
          <w:color w:val="000000"/>
        </w:rPr>
        <w:t xml:space="preserve">a jeho logicko-teologickou školu </w:t>
      </w:r>
      <w:r w:rsidR="08DA2116">
        <w:rPr>
          <w:color w:val="000000"/>
        </w:rPr>
        <w:t xml:space="preserve">z triteismu. </w:t>
      </w:r>
      <w:r w:rsidR="000E72D7">
        <w:rPr>
          <w:color w:val="000000"/>
        </w:rPr>
        <w:t xml:space="preserve">Pařížský koncil řešil tuto žalobu </w:t>
      </w:r>
      <w:r w:rsidR="00FB614E">
        <w:rPr>
          <w:color w:val="000000"/>
        </w:rPr>
        <w:t>roku 1147</w:t>
      </w:r>
      <w:r w:rsidR="009A0950">
        <w:rPr>
          <w:color w:val="000000"/>
        </w:rPr>
        <w:t>. C</w:t>
      </w:r>
      <w:r w:rsidR="08887BF8">
        <w:rPr>
          <w:color w:val="000000"/>
        </w:rPr>
        <w:t xml:space="preserve">elý spor ukazuje na první </w:t>
      </w:r>
      <w:r w:rsidR="08887BF8" w:rsidRPr="08887BF8">
        <w:rPr>
          <w:i/>
          <w:color w:val="000000"/>
        </w:rPr>
        <w:t>Lichtung</w:t>
      </w:r>
      <w:r w:rsidR="08887BF8">
        <w:rPr>
          <w:color w:val="000000"/>
        </w:rPr>
        <w:t xml:space="preserve"> </w:t>
      </w:r>
      <w:r w:rsidR="009A0950">
        <w:rPr>
          <w:color w:val="000000"/>
        </w:rPr>
        <w:t xml:space="preserve">metafyzické </w:t>
      </w:r>
      <w:r w:rsidR="009A0950" w:rsidRPr="009A0950">
        <w:rPr>
          <w:i/>
          <w:color w:val="000000"/>
        </w:rPr>
        <w:t>Wahrheit</w:t>
      </w:r>
      <w:r w:rsidR="009A0950">
        <w:rPr>
          <w:color w:val="000000"/>
        </w:rPr>
        <w:t xml:space="preserve"> a mytopoetického </w:t>
      </w:r>
      <w:r w:rsidR="009A0950" w:rsidRPr="009A0950">
        <w:rPr>
          <w:i/>
          <w:color w:val="000000"/>
        </w:rPr>
        <w:t>Dichtung</w:t>
      </w:r>
      <w:r w:rsidR="009A0950">
        <w:rPr>
          <w:color w:val="000000"/>
        </w:rPr>
        <w:t xml:space="preserve">, které vedlo ke zrození a pak ke </w:t>
      </w:r>
      <w:r w:rsidR="08887BF8">
        <w:rPr>
          <w:color w:val="000000"/>
        </w:rPr>
        <w:t xml:space="preserve">smrti boha </w:t>
      </w:r>
      <w:r w:rsidR="08887BF8" w:rsidRPr="08887BF8">
        <w:rPr>
          <w:i/>
          <w:color w:val="000000"/>
        </w:rPr>
        <w:t>Modernorum</w:t>
      </w:r>
      <w:r w:rsidR="000E72D7">
        <w:rPr>
          <w:color w:val="000000"/>
        </w:rPr>
        <w:t xml:space="preserve">. </w:t>
      </w:r>
      <w:r w:rsidR="009C431B">
        <w:rPr>
          <w:color w:val="000000"/>
        </w:rPr>
        <w:t>Porretán</w:t>
      </w:r>
      <w:r w:rsidR="0051025F">
        <w:rPr>
          <w:color w:val="000000"/>
        </w:rPr>
        <w:t>i byl</w:t>
      </w:r>
      <w:r w:rsidR="009C431B">
        <w:rPr>
          <w:color w:val="000000"/>
        </w:rPr>
        <w:t>i obviněni</w:t>
      </w:r>
      <w:r w:rsidR="000E72D7">
        <w:rPr>
          <w:color w:val="000000"/>
        </w:rPr>
        <w:t xml:space="preserve"> z hereze </w:t>
      </w:r>
      <w:r w:rsidR="009C431B">
        <w:rPr>
          <w:color w:val="000000"/>
        </w:rPr>
        <w:t xml:space="preserve">a tentokrát se </w:t>
      </w:r>
      <w:r w:rsidR="085E0CD3">
        <w:rPr>
          <w:color w:val="000000"/>
        </w:rPr>
        <w:t>mystik</w:t>
      </w:r>
      <w:r w:rsidR="009C431B">
        <w:rPr>
          <w:color w:val="000000"/>
        </w:rPr>
        <w:t xml:space="preserve"> </w:t>
      </w:r>
      <w:r w:rsidR="0051025F">
        <w:rPr>
          <w:color w:val="000000"/>
        </w:rPr>
        <w:t>Bernard</w:t>
      </w:r>
      <w:r w:rsidR="0010308C">
        <w:rPr>
          <w:color w:val="000000"/>
        </w:rPr>
        <w:t xml:space="preserve"> z Clairvaux </w:t>
      </w:r>
      <w:r w:rsidR="009C431B">
        <w:rPr>
          <w:color w:val="000000"/>
        </w:rPr>
        <w:t xml:space="preserve">postavil proti nim. Spor </w:t>
      </w:r>
      <w:r w:rsidR="00FB614E">
        <w:rPr>
          <w:color w:val="000000"/>
        </w:rPr>
        <w:t xml:space="preserve">potvrzuje vznik filosofického učení </w:t>
      </w:r>
      <w:r w:rsidR="005F4B47">
        <w:rPr>
          <w:color w:val="000000"/>
        </w:rPr>
        <w:t>založené na novém pojetí substance jako individua</w:t>
      </w:r>
      <w:r w:rsidR="085E0CD3">
        <w:rPr>
          <w:color w:val="000000"/>
        </w:rPr>
        <w:t xml:space="preserve">. </w:t>
      </w:r>
      <w:r w:rsidR="0074028F">
        <w:rPr>
          <w:color w:val="000000"/>
        </w:rPr>
        <w:t xml:space="preserve">Predikace </w:t>
      </w:r>
      <w:r w:rsidR="0075550D">
        <w:rPr>
          <w:color w:val="000000"/>
        </w:rPr>
        <w:t xml:space="preserve">ve škole porretánů </w:t>
      </w:r>
      <w:r w:rsidR="0074028F">
        <w:rPr>
          <w:color w:val="000000"/>
        </w:rPr>
        <w:t xml:space="preserve">definuje jak </w:t>
      </w:r>
      <w:r w:rsidR="000F6DAB" w:rsidRPr="00273106">
        <w:rPr>
          <w:color w:val="000000"/>
        </w:rPr>
        <w:t>klasick</w:t>
      </w:r>
      <w:r w:rsidR="0074028F">
        <w:rPr>
          <w:color w:val="000000"/>
        </w:rPr>
        <w:t xml:space="preserve">ý </w:t>
      </w:r>
      <w:r w:rsidR="000F6DAB" w:rsidRPr="00273106">
        <w:rPr>
          <w:color w:val="000000"/>
        </w:rPr>
        <w:t>akcident</w:t>
      </w:r>
      <w:r w:rsidR="0074028F">
        <w:rPr>
          <w:color w:val="000000"/>
        </w:rPr>
        <w:t xml:space="preserve"> v tabulce deseti kategorií, tak i nový</w:t>
      </w:r>
      <w:r w:rsidR="000F6DAB" w:rsidRPr="00273106">
        <w:rPr>
          <w:color w:val="000000"/>
        </w:rPr>
        <w:t xml:space="preserve"> význam dan</w:t>
      </w:r>
      <w:r w:rsidR="0074028F">
        <w:rPr>
          <w:color w:val="000000"/>
        </w:rPr>
        <w:t xml:space="preserve">ý </w:t>
      </w:r>
      <w:r w:rsidR="000F6DAB" w:rsidRPr="00273106">
        <w:rPr>
          <w:color w:val="000000"/>
        </w:rPr>
        <w:t>jako univoční participace autonomně subsistujících kvalit přičítaných jednotlivině dané jako jsoucno třetího druhu (</w:t>
      </w:r>
      <w:r w:rsidR="000F6DAB" w:rsidRPr="00273106">
        <w:rPr>
          <w:i/>
        </w:rPr>
        <w:t>esse aliquid</w:t>
      </w:r>
      <w:r w:rsidR="005A3EA7" w:rsidRPr="00273106">
        <w:rPr>
          <w:color w:val="000000"/>
        </w:rPr>
        <w:t>).</w:t>
      </w:r>
      <w:r w:rsidR="00D900A3" w:rsidRPr="00273106">
        <w:rPr>
          <w:color w:val="000000"/>
        </w:rPr>
        <w:t xml:space="preserve"> </w:t>
      </w:r>
      <w:r w:rsidR="08613E8F">
        <w:rPr>
          <w:color w:val="000000"/>
        </w:rPr>
        <w:t xml:space="preserve">Pařížská škola proti modernistům tvrdí, že </w:t>
      </w:r>
      <w:r w:rsidR="08D35B1A">
        <w:rPr>
          <w:color w:val="000000"/>
        </w:rPr>
        <w:t xml:space="preserve">Boží Trojice </w:t>
      </w:r>
      <w:r w:rsidR="08613E8F">
        <w:rPr>
          <w:color w:val="000000"/>
        </w:rPr>
        <w:t xml:space="preserve">není </w:t>
      </w:r>
      <w:r w:rsidR="08D35B1A">
        <w:rPr>
          <w:color w:val="000000"/>
        </w:rPr>
        <w:t xml:space="preserve">metafyzické „cokoliv“ vytvořené logikou v modu </w:t>
      </w:r>
      <w:r w:rsidR="08D35B1A" w:rsidRPr="08D35B1A">
        <w:rPr>
          <w:i/>
          <w:color w:val="000000"/>
        </w:rPr>
        <w:t>ex nih</w:t>
      </w:r>
      <w:r w:rsidR="08D35B1A">
        <w:rPr>
          <w:i/>
          <w:color w:val="000000"/>
        </w:rPr>
        <w:t>il</w:t>
      </w:r>
      <w:r w:rsidR="08D35B1A" w:rsidRPr="08D35B1A">
        <w:rPr>
          <w:i/>
          <w:color w:val="000000"/>
        </w:rPr>
        <w:t>o</w:t>
      </w:r>
      <w:r w:rsidR="08D35B1A">
        <w:rPr>
          <w:color w:val="000000"/>
        </w:rPr>
        <w:t xml:space="preserve"> na úrovni chiméry jako pouhého </w:t>
      </w:r>
      <w:r w:rsidR="08D35B1A" w:rsidRPr="08D35B1A">
        <w:rPr>
          <w:i/>
          <w:color w:val="000000"/>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8D35B1A">
        <w:rPr>
          <w:color w:val="000000"/>
        </w:rPr>
        <w:t xml:space="preserve">. </w:t>
      </w:r>
      <w:r w:rsidR="0869419D">
        <w:rPr>
          <w:color w:val="000000"/>
        </w:rPr>
        <w:t>Bůh tehdy měl</w:t>
      </w:r>
      <w:r w:rsidR="08063987">
        <w:rPr>
          <w:color w:val="000000"/>
        </w:rPr>
        <w:t xml:space="preserve"> chimérické znaky pouze u </w:t>
      </w:r>
      <w:r w:rsidR="08063987">
        <w:rPr>
          <w:color w:val="000000"/>
        </w:rPr>
        <w:lastRenderedPageBreak/>
        <w:t>porretánských modern</w:t>
      </w:r>
      <w:r w:rsidR="0869419D">
        <w:rPr>
          <w:color w:val="000000"/>
        </w:rPr>
        <w:t>istů, kteří pilně připravovali příchod toho teologického simulákra stejně jako předtím Avicenna</w:t>
      </w:r>
      <w:r w:rsidR="08063987">
        <w:rPr>
          <w:color w:val="000000"/>
        </w:rPr>
        <w:t xml:space="preserve"> (kap. 2.5)</w:t>
      </w:r>
      <w:r w:rsidR="0869419D">
        <w:rPr>
          <w:color w:val="000000"/>
        </w:rPr>
        <w:t xml:space="preserve">. </w:t>
      </w:r>
      <w:r w:rsidR="08D35B1A">
        <w:rPr>
          <w:color w:val="000000"/>
        </w:rPr>
        <w:t xml:space="preserve">Tato moderní </w:t>
      </w:r>
      <w:r w:rsidR="080C11E2">
        <w:rPr>
          <w:color w:val="000000"/>
        </w:rPr>
        <w:t xml:space="preserve">nominalistická </w:t>
      </w:r>
      <w:r w:rsidR="08D35B1A">
        <w:rPr>
          <w:color w:val="000000"/>
        </w:rPr>
        <w:t xml:space="preserve">teze byla v době kritického myšlení Pařížské školy považována za zásadní </w:t>
      </w:r>
      <w:r w:rsidR="08FD66A3">
        <w:rPr>
          <w:color w:val="000000"/>
        </w:rPr>
        <w:t>omyl likvidující podstatu křesťanství</w:t>
      </w:r>
      <w:r w:rsidR="08D35B1A">
        <w:rPr>
          <w:color w:val="000000"/>
        </w:rPr>
        <w:t xml:space="preserve">. </w:t>
      </w:r>
      <w:r w:rsidR="08D470C8">
        <w:rPr>
          <w:color w:val="000000"/>
        </w:rPr>
        <w:t xml:space="preserve">Koncily věnované otázce triteismu ve druhé polovině 12. století ukazují, jak koexistovala v tehdejší metafyzice a dogmatice pravda a omyl. Bůh moderny se stal sofistickým simulákrem v modu metafyzického </w:t>
      </w:r>
      <w:r w:rsidR="08D470C8" w:rsidRPr="08B62BF8">
        <w:rPr>
          <w:i/>
          <w:color w:val="000000"/>
        </w:rPr>
        <w:t>Irrtum</w:t>
      </w:r>
      <w:r w:rsidR="00DB5EA5">
        <w:rPr>
          <w:color w:val="000000"/>
        </w:rPr>
        <w:t>. D</w:t>
      </w:r>
      <w:r w:rsidR="08D470C8">
        <w:rPr>
          <w:color w:val="000000"/>
        </w:rPr>
        <w:t xml:space="preserve">ostal v porretánské metafyzice první podobu dějinné zjevnosti v modu </w:t>
      </w:r>
      <w:r w:rsidR="08D470C8">
        <w:rPr>
          <w:i/>
          <w:color w:val="000000"/>
        </w:rPr>
        <w:t>a</w:t>
      </w:r>
      <w:r w:rsidR="08D470C8" w:rsidRPr="08D35B1A">
        <w:rPr>
          <w:i/>
          <w:color w:val="000000"/>
        </w:rPr>
        <w:t>létheia</w:t>
      </w:r>
      <w:r w:rsidR="00DB5EA5">
        <w:rPr>
          <w:color w:val="000000"/>
        </w:rPr>
        <w:t xml:space="preserve">, kterou formovaly akademicky vzdělané Fúrie. </w:t>
      </w:r>
      <w:r w:rsidR="005A3EA7" w:rsidRPr="00273106">
        <w:rPr>
          <w:color w:val="000000"/>
        </w:rPr>
        <w:t xml:space="preserve">Zásadní změna se týkala epochálně nové </w:t>
      </w:r>
      <w:r w:rsidR="000D0633" w:rsidRPr="00273106">
        <w:rPr>
          <w:color w:val="000000"/>
        </w:rPr>
        <w:t>s</w:t>
      </w:r>
      <w:r w:rsidR="005A3EA7" w:rsidRPr="00273106">
        <w:rPr>
          <w:color w:val="000000"/>
        </w:rPr>
        <w:t xml:space="preserve">ubsistence </w:t>
      </w:r>
      <w:r w:rsidR="00D10774">
        <w:rPr>
          <w:color w:val="000000"/>
        </w:rPr>
        <w:t>akcidentů dříve predikovaných</w:t>
      </w:r>
      <w:r w:rsidR="005A3EA7" w:rsidRPr="00273106">
        <w:rPr>
          <w:color w:val="000000"/>
        </w:rPr>
        <w:t xml:space="preserve"> pouze akcidentálně vzhledem ke druhé substanci</w:t>
      </w:r>
      <w:r w:rsidR="000A083A">
        <w:rPr>
          <w:color w:val="000000"/>
        </w:rPr>
        <w:fldChar w:fldCharType="begin"/>
      </w:r>
      <w:r w:rsidR="000A083A">
        <w:instrText xml:space="preserve"> XE "</w:instrText>
      </w:r>
      <w:r w:rsidR="000A083A" w:rsidRPr="001D1E42">
        <w:instrText>subsistence</w:instrText>
      </w:r>
      <w:r w:rsidR="000A083A">
        <w:instrText xml:space="preserve">:akcidentu" </w:instrText>
      </w:r>
      <w:r w:rsidR="000A083A">
        <w:rPr>
          <w:color w:val="000000"/>
        </w:rPr>
        <w:fldChar w:fldCharType="end"/>
      </w:r>
      <w:r w:rsidR="00266A65">
        <w:rPr>
          <w:color w:val="000000"/>
        </w:rPr>
        <w:t>. Tyto kategorie zakládají</w:t>
      </w:r>
      <w:r w:rsidR="006B0CA8" w:rsidRPr="00273106">
        <w:rPr>
          <w:color w:val="000000"/>
        </w:rPr>
        <w:t xml:space="preserve"> u Gilberta </w:t>
      </w:r>
      <w:r w:rsidR="002239AA">
        <w:rPr>
          <w:color w:val="000000"/>
        </w:rPr>
        <w:t>de La Porrée</w:t>
      </w:r>
      <w:r w:rsidR="006B0CA8" w:rsidRPr="00273106">
        <w:rPr>
          <w:color w:val="000000"/>
        </w:rPr>
        <w:t xml:space="preserve"> novou </w:t>
      </w:r>
      <w:r w:rsidR="00266A65">
        <w:rPr>
          <w:color w:val="000000"/>
        </w:rPr>
        <w:t>třídu generických univerzálií</w:t>
      </w:r>
      <w:r w:rsidR="003E7BF9">
        <w:rPr>
          <w:color w:val="000000"/>
        </w:rPr>
        <w:t xml:space="preserve"> typu </w:t>
      </w:r>
      <w:r w:rsidR="00CE1313">
        <w:rPr>
          <w:color w:val="000000"/>
        </w:rPr>
        <w:t>„</w:t>
      </w:r>
      <w:r w:rsidR="003E7BF9" w:rsidRPr="003E7BF9">
        <w:rPr>
          <w:i/>
          <w:color w:val="000000"/>
        </w:rPr>
        <w:t>Deus est deitas</w:t>
      </w:r>
      <w:r w:rsidR="00CE1313">
        <w:rPr>
          <w:color w:val="000000"/>
        </w:rPr>
        <w:t>“</w:t>
      </w:r>
      <w:r w:rsidR="006B0CA8" w:rsidRPr="00273106">
        <w:rPr>
          <w:color w:val="000000"/>
        </w:rPr>
        <w:t xml:space="preserve">. </w:t>
      </w:r>
      <w:r w:rsidR="005F2FA2">
        <w:rPr>
          <w:color w:val="000000"/>
        </w:rPr>
        <w:t xml:space="preserve">Gilbert predikuje </w:t>
      </w:r>
      <w:r w:rsidR="005F2FA2" w:rsidRPr="005F2FA2">
        <w:rPr>
          <w:i/>
          <w:color w:val="000000"/>
        </w:rPr>
        <w:t>deitas</w:t>
      </w:r>
      <w:r w:rsidR="005F2FA2">
        <w:rPr>
          <w:color w:val="000000"/>
        </w:rPr>
        <w:t xml:space="preserve"> modu univerzální supozice, zatímco Anselm v</w:t>
      </w:r>
      <w:r w:rsidR="08CA156B">
        <w:rPr>
          <w:color w:val="000000"/>
        </w:rPr>
        <w:t xml:space="preserve"> modu kategoriální impozice</w:t>
      </w:r>
      <w:r w:rsidR="08A2223B">
        <w:rPr>
          <w:color w:val="000000"/>
        </w:rPr>
        <w:t xml:space="preserve"> dané od </w:t>
      </w:r>
      <w:r w:rsidR="08DB4E74">
        <w:rPr>
          <w:color w:val="000000"/>
        </w:rPr>
        <w:t xml:space="preserve">reálné </w:t>
      </w:r>
      <w:r w:rsidR="08A2223B">
        <w:rPr>
          <w:color w:val="000000"/>
        </w:rPr>
        <w:t>boží esence</w:t>
      </w:r>
      <w:r w:rsidR="08CA156B">
        <w:rPr>
          <w:color w:val="000000"/>
        </w:rPr>
        <w:t>. K</w:t>
      </w:r>
      <w:r w:rsidR="005F2FA2">
        <w:rPr>
          <w:color w:val="000000"/>
        </w:rPr>
        <w:t xml:space="preserve">dyž aristotelik a modernista říká totéž, </w:t>
      </w:r>
      <w:r w:rsidR="08CA156B">
        <w:rPr>
          <w:color w:val="000000"/>
        </w:rPr>
        <w:t xml:space="preserve">nemíní tím totéž, protože </w:t>
      </w:r>
      <w:r w:rsidR="005F2FA2">
        <w:rPr>
          <w:color w:val="000000"/>
        </w:rPr>
        <w:t xml:space="preserve">nepredikují význam </w:t>
      </w:r>
      <w:r w:rsidR="08CA156B">
        <w:rPr>
          <w:color w:val="000000"/>
        </w:rPr>
        <w:t xml:space="preserve">jsoucna </w:t>
      </w:r>
      <w:r w:rsidR="085B63D8">
        <w:rPr>
          <w:color w:val="000000"/>
        </w:rPr>
        <w:t>ve stejném modu.</w:t>
      </w:r>
      <w:r w:rsidR="086B45CC">
        <w:rPr>
          <w:color w:val="000000"/>
        </w:rPr>
        <w:t xml:space="preserve"> </w:t>
      </w:r>
      <w:r w:rsidR="085957CA">
        <w:rPr>
          <w:color w:val="000000"/>
        </w:rPr>
        <w:t xml:space="preserve">Moderní logika není klasická metafyzika. </w:t>
      </w:r>
      <w:r w:rsidR="00860C79" w:rsidRPr="00273106">
        <w:rPr>
          <w:color w:val="000000"/>
        </w:rPr>
        <w:t xml:space="preserve">Vytvořením nového konceptu substance a predikací univočních </w:t>
      </w:r>
      <w:r w:rsidR="00860C79">
        <w:rPr>
          <w:color w:val="000000"/>
        </w:rPr>
        <w:t xml:space="preserve">generických hypostází </w:t>
      </w:r>
      <w:r w:rsidR="00860C79" w:rsidRPr="00273106">
        <w:rPr>
          <w:color w:val="000000"/>
        </w:rPr>
        <w:t>na subsistentní substrát trvalých určení (</w:t>
      </w:r>
      <w:r w:rsidR="00860C79" w:rsidRPr="00273106">
        <w:rPr>
          <w:i/>
          <w:color w:val="000000"/>
        </w:rPr>
        <w:t>subsistens quale</w:t>
      </w:r>
      <w:r w:rsidR="00860C79">
        <w:rPr>
          <w:color w:val="000000"/>
        </w:rPr>
        <w:fldChar w:fldCharType="begin"/>
      </w:r>
      <w:r w:rsidR="00860C79">
        <w:instrText xml:space="preserve"> XE "</w:instrText>
      </w:r>
      <w:r w:rsidR="00860C79" w:rsidRPr="001D1E42">
        <w:instrText>subsistence</w:instrText>
      </w:r>
      <w:r w:rsidR="00860C79">
        <w:instrText>:</w:instrText>
      </w:r>
      <w:r w:rsidR="00860C79" w:rsidRPr="00273106">
        <w:rPr>
          <w:i/>
          <w:color w:val="000000"/>
        </w:rPr>
        <w:instrText>subsistens quale</w:instrText>
      </w:r>
      <w:r w:rsidR="00860C79">
        <w:instrText xml:space="preserve">" </w:instrText>
      </w:r>
      <w:r w:rsidR="00860C79">
        <w:rPr>
          <w:color w:val="000000"/>
        </w:rPr>
        <w:fldChar w:fldCharType="end"/>
      </w:r>
      <w:r w:rsidR="00860C79" w:rsidRPr="00273106">
        <w:rPr>
          <w:color w:val="000000"/>
        </w:rPr>
        <w:t xml:space="preserve">) vzniká </w:t>
      </w:r>
      <w:r w:rsidR="00860C79">
        <w:rPr>
          <w:color w:val="000000"/>
        </w:rPr>
        <w:t xml:space="preserve">na latinském Západě první model objektivního </w:t>
      </w:r>
      <w:r w:rsidR="00860C79" w:rsidRPr="00273106">
        <w:rPr>
          <w:color w:val="000000"/>
        </w:rPr>
        <w:t>jsoucna třetího druhu.</w:t>
      </w:r>
      <w:r w:rsidR="00D7705A">
        <w:rPr>
          <w:color w:val="000000"/>
        </w:rPr>
        <w:t xml:space="preserve"> </w:t>
      </w:r>
      <w:r w:rsidR="08012946">
        <w:rPr>
          <w:color w:val="000000"/>
        </w:rPr>
        <w:t xml:space="preserve">Aristotelikové správně viděli, že tím dochází k destrukci boha i člověka, protože definice dostaly nominální charakter pouhého </w:t>
      </w:r>
      <w:r w:rsidR="08012946" w:rsidRPr="08012946">
        <w:rPr>
          <w:i/>
          <w:color w:val="000000"/>
        </w:rPr>
        <w:t>opinabile</w:t>
      </w:r>
      <w:r w:rsidR="08012946">
        <w:rPr>
          <w:color w:val="000000"/>
        </w:rPr>
        <w:t>.</w:t>
      </w:r>
    </w:p>
    <w:p w14:paraId="5874F350" w14:textId="150AE739" w:rsidR="087E3644" w:rsidRPr="004D01E2" w:rsidRDefault="00A60398" w:rsidP="004D01E2">
      <w:pPr>
        <w:ind w:firstLine="397"/>
      </w:pPr>
      <w:r w:rsidRPr="00273106">
        <w:rPr>
          <w:rFonts w:eastAsia="NewAster"/>
        </w:rPr>
        <w:t xml:space="preserve">Porretáni </w:t>
      </w:r>
      <w:r>
        <w:rPr>
          <w:rFonts w:eastAsia="NewAster"/>
        </w:rPr>
        <w:t xml:space="preserve">umožnili </w:t>
      </w:r>
      <w:r w:rsidRPr="00273106">
        <w:rPr>
          <w:rFonts w:eastAsia="NewAster"/>
        </w:rPr>
        <w:t>dějinné</w:t>
      </w:r>
      <w:r>
        <w:rPr>
          <w:rFonts w:eastAsia="NewAster"/>
        </w:rPr>
        <w:t xml:space="preserve"> působení neoplatonismu </w:t>
      </w:r>
      <w:r w:rsidRPr="00273106">
        <w:rPr>
          <w:rFonts w:eastAsia="NewAster"/>
        </w:rPr>
        <w:t xml:space="preserve">díky recepci Avicenny ve druhé polovině 12. století. </w:t>
      </w:r>
      <w:r w:rsidRPr="00273106">
        <w:t>Stoupenci Gilberta převezmou nová určení jsoucna daná</w:t>
      </w:r>
      <w:r>
        <w:t xml:space="preserve"> v rámci hypostázované existence</w:t>
      </w:r>
      <w:r w:rsidRPr="00273106">
        <w:t xml:space="preserve"> a jejíc</w:t>
      </w:r>
      <w:r>
        <w:t>h kvalit</w:t>
      </w:r>
      <w:r w:rsidR="08572224">
        <w:t xml:space="preserve"> v Avicennově amfibolním modu </w:t>
      </w:r>
      <w:r w:rsidR="08E17C15">
        <w:rPr>
          <w:rStyle w:val="Zkladntext158dkovn0pt"/>
          <w:color w:val="auto"/>
          <w:spacing w:val="0"/>
          <w:sz w:val="24"/>
          <w:lang w:val="cs-CZ"/>
        </w:rPr>
        <w:fldChar w:fldCharType="begin"/>
      </w:r>
      <w:r w:rsidR="08E17C15">
        <w:instrText xml:space="preserve"> XE "</w:instrText>
      </w:r>
      <w:r w:rsidR="08E17C15" w:rsidRPr="085770B6">
        <w:rPr>
          <w:rStyle w:val="Zkladntext158dkovn0pt"/>
          <w:color w:val="auto"/>
          <w:spacing w:val="0"/>
          <w:sz w:val="24"/>
          <w:lang w:val="cs-CZ"/>
        </w:rPr>
        <w:instrText>predikace:amfibolní</w:instrText>
      </w:r>
      <w:r w:rsidR="08E17C15">
        <w:instrText xml:space="preserve">" </w:instrText>
      </w:r>
      <w:r w:rsidR="08E17C15">
        <w:rPr>
          <w:rStyle w:val="Zkladntext158dkovn0pt"/>
          <w:color w:val="auto"/>
          <w:spacing w:val="0"/>
          <w:sz w:val="24"/>
          <w:lang w:val="cs-CZ"/>
        </w:rPr>
        <w:fldChar w:fldCharType="end"/>
      </w:r>
      <w:r w:rsidR="08572224" w:rsidRPr="08572224">
        <w:rPr>
          <w:i/>
        </w:rPr>
        <w:t>hoc esse tantum</w:t>
      </w:r>
      <w:r w:rsidRPr="00273106">
        <w:t>. Porretáni napojili tyto dogmaticko-filosofické hypostáze od druhé poloviny 12. s</w:t>
      </w:r>
      <w:r w:rsidR="007462B1">
        <w:t xml:space="preserve">toletí jak na platonismus </w:t>
      </w:r>
      <w:r w:rsidR="00CB1630">
        <w:t xml:space="preserve">katedrálních </w:t>
      </w:r>
      <w:r w:rsidR="007462B1">
        <w:t xml:space="preserve">škol typu </w:t>
      </w:r>
      <w:r w:rsidRPr="00273106">
        <w:t>Chartres</w:t>
      </w:r>
      <w:r w:rsidR="007462B1">
        <w:t xml:space="preserve"> </w:t>
      </w:r>
      <w:r w:rsidR="089B6360">
        <w:t xml:space="preserve"> a </w:t>
      </w:r>
      <w:r w:rsidR="007462B1">
        <w:t>Laonu</w:t>
      </w:r>
      <w:r w:rsidRPr="00273106">
        <w:t xml:space="preserve">, tak na </w:t>
      </w:r>
      <w:r w:rsidR="08572224">
        <w:t xml:space="preserve">nominalistické </w:t>
      </w:r>
      <w:r w:rsidRPr="00273106">
        <w:t xml:space="preserve">logické školy, které známe z korpusu </w:t>
      </w:r>
      <w:r w:rsidRPr="00273106">
        <w:rPr>
          <w:i/>
        </w:rPr>
        <w:t>Logica Modernorum</w:t>
      </w:r>
      <w:r w:rsidRPr="00273106">
        <w:t>.</w:t>
      </w:r>
      <w:r>
        <w:t xml:space="preserve"> </w:t>
      </w:r>
      <w:r w:rsidR="081D5075">
        <w:t xml:space="preserve">Nové hypostáze dostaly </w:t>
      </w:r>
      <w:r w:rsidR="00FD26ED">
        <w:t xml:space="preserve">charakter </w:t>
      </w:r>
      <w:r w:rsidR="081D5075">
        <w:t>jsoucn</w:t>
      </w:r>
      <w:r w:rsidR="00FD26ED">
        <w:t>a</w:t>
      </w:r>
      <w:r w:rsidR="081D5075">
        <w:t xml:space="preserve"> třetího druhu. </w:t>
      </w:r>
      <w:r w:rsidR="00FD26ED">
        <w:t xml:space="preserve">Nová forma </w:t>
      </w:r>
      <w:r w:rsidR="009860D1" w:rsidRPr="00273106">
        <w:t>jsoucna</w:t>
      </w:r>
      <w:r w:rsidR="00FD26ED">
        <w:t xml:space="preserve"> založila </w:t>
      </w:r>
      <w:r w:rsidR="009860D1">
        <w:t xml:space="preserve">novou kategoriální predikaci. </w:t>
      </w:r>
      <w:r w:rsidR="008B12D2">
        <w:rPr>
          <w:rStyle w:val="Zkladntext15dkovn0pt"/>
          <w:rFonts w:ascii="Calibri" w:eastAsia="Times" w:hAnsi="Calibri" w:cs="Times New Roman"/>
          <w:b w:val="0"/>
          <w:bCs w:val="0"/>
          <w:color w:val="auto"/>
          <w:sz w:val="24"/>
          <w:lang w:val="cs-CZ"/>
        </w:rPr>
        <w:t>Neoplatonsk</w:t>
      </w:r>
      <w:r w:rsidR="00207B4C" w:rsidRPr="00273106">
        <w:t>ý výklad</w:t>
      </w:r>
      <w:r w:rsidR="00207B4C">
        <w:t xml:space="preserve"> </w:t>
      </w:r>
      <w:r w:rsidR="00207B4C" w:rsidRPr="00273106">
        <w:t xml:space="preserve">udělal z Aristotelových kategorií nejvyšší rody jsoucna a umožnil jejich participaci </w:t>
      </w:r>
      <w:r w:rsidR="00207B4C">
        <w:t xml:space="preserve">na Jednom </w:t>
      </w:r>
      <w:r w:rsidR="00207B4C" w:rsidRPr="00273106">
        <w:t>podle hierarchie autonomně subsistujících forem (</w:t>
      </w:r>
      <w:r w:rsidR="00E05972">
        <w:rPr>
          <w:szCs w:val="24"/>
          <w:lang w:val="de-DE"/>
        </w:rPr>
        <w:t xml:space="preserve">OBJ I, </w:t>
      </w:r>
      <w:r w:rsidR="084E7952">
        <w:t>kap. 1.3</w:t>
      </w:r>
      <w:r w:rsidR="00207B4C" w:rsidRPr="00273106">
        <w:t>.2).</w:t>
      </w:r>
      <w:r w:rsidR="00207B4C">
        <w:t xml:space="preserve"> </w:t>
      </w:r>
      <w:r w:rsidR="0031264C">
        <w:t xml:space="preserve">Tím vznikla predikace </w:t>
      </w:r>
      <w:r w:rsidR="0031264C" w:rsidRPr="0031264C">
        <w:rPr>
          <w:i/>
        </w:rPr>
        <w:t>magis</w:t>
      </w:r>
      <w:r w:rsidR="0031264C">
        <w:t xml:space="preserve"> a </w:t>
      </w:r>
      <w:r w:rsidR="0031264C" w:rsidRPr="0031264C">
        <w:rPr>
          <w:i/>
        </w:rPr>
        <w:t>minus</w:t>
      </w:r>
      <w:r w:rsidR="0031264C">
        <w:t>, kterou klasický ari</w:t>
      </w:r>
      <w:r w:rsidR="08DE37EC">
        <w:t>s</w:t>
      </w:r>
      <w:r w:rsidR="0031264C">
        <w:t>totelismus zásadně odmítal pro univerzálie</w:t>
      </w:r>
      <w:r w:rsidR="089F262E">
        <w:t>, protože jejich bytí je pouhá potence daná v mysli</w:t>
      </w:r>
      <w:r w:rsidR="0031264C">
        <w:t xml:space="preserve">. </w:t>
      </w:r>
      <w:r w:rsidR="005A3B43">
        <w:t>Potence nemá více nebo méně bytí</w:t>
      </w:r>
      <w:r w:rsidR="002F06EC">
        <w:t>, protože je holt čistá potence</w:t>
      </w:r>
      <w:r w:rsidR="005A3B43">
        <w:t xml:space="preserve">. </w:t>
      </w:r>
      <w:r w:rsidR="002A57B1">
        <w:t xml:space="preserve">Z kategorií se staly </w:t>
      </w:r>
      <w:r w:rsidR="00874074">
        <w:t>neoplatonsk</w:t>
      </w:r>
      <w:r w:rsidR="002A57B1">
        <w:t xml:space="preserve">é nejvyšší rody jsoucna, a ty byly pojaty v hierachii více či méně subsistentních forem. </w:t>
      </w:r>
      <w:r w:rsidRPr="00273106">
        <w:lastRenderedPageBreak/>
        <w:t xml:space="preserve">Simplikiův komentář ke Kategoriím zakládá první </w:t>
      </w:r>
      <w:r w:rsidR="006931E7">
        <w:t xml:space="preserve">moderní </w:t>
      </w:r>
      <w:r w:rsidRPr="00273106">
        <w:t>predi</w:t>
      </w:r>
      <w:r w:rsidR="08A10E13">
        <w:t xml:space="preserve">kaci univerzálií v rámci </w:t>
      </w:r>
      <w:r w:rsidRPr="00273106">
        <w:rPr>
          <w:i/>
        </w:rPr>
        <w:t>magis</w:t>
      </w:r>
      <w:r w:rsidR="08A10E13">
        <w:t xml:space="preserve"> a </w:t>
      </w:r>
      <w:r w:rsidRPr="00273106">
        <w:rPr>
          <w:i/>
        </w:rPr>
        <w:t>minus</w:t>
      </w:r>
      <w:r w:rsidR="00A63A30" w:rsidRPr="00A63A30">
        <w:t xml:space="preserve"> </w:t>
      </w:r>
      <w:r w:rsidR="00A63A30">
        <w:t>(</w:t>
      </w:r>
      <w:r w:rsidR="00A63A30" w:rsidRPr="00E0356E">
        <w:t>κατηγορίας</w:t>
      </w:r>
      <w:r w:rsidR="00A63A30">
        <w:t xml:space="preserve"> ...</w:t>
      </w:r>
      <w:r w:rsidR="00A63A30" w:rsidRPr="00E0356E">
        <w:t>τὰ πρός τι δέχεσθαι τὸ μᾶλλον καὶ τὸ ἧττον</w:t>
      </w:r>
      <w:r w:rsidR="00A63A30">
        <w:t xml:space="preserve">, </w:t>
      </w:r>
      <w:r w:rsidR="007230DE" w:rsidRPr="007230DE">
        <w:rPr>
          <w:i/>
        </w:rPr>
        <w:t>Simpl</w:t>
      </w:r>
      <w:r w:rsidR="007230DE">
        <w:t xml:space="preserve">. </w:t>
      </w:r>
      <w:r w:rsidR="007230DE">
        <w:rPr>
          <w:i/>
        </w:rPr>
        <w:t>i</w:t>
      </w:r>
      <w:r w:rsidR="00A63A30" w:rsidRPr="00A36BCD">
        <w:rPr>
          <w:i/>
        </w:rPr>
        <w:t>n Cat</w:t>
      </w:r>
      <w:r w:rsidR="00A63A30">
        <w:t>. 286.11‒13</w:t>
      </w:r>
      <w:r w:rsidR="007230DE">
        <w:fldChar w:fldCharType="begin"/>
      </w:r>
      <w:r w:rsidR="007230DE">
        <w:instrText xml:space="preserve"> XE "Simplikius:</w:instrText>
      </w:r>
      <w:r w:rsidR="007230DE" w:rsidRPr="00092C42">
        <w:rPr>
          <w:i/>
        </w:rPr>
        <w:instrText>Simpl</w:instrText>
      </w:r>
      <w:r w:rsidR="007230DE" w:rsidRPr="00092C42">
        <w:instrText xml:space="preserve">. </w:instrText>
      </w:r>
      <w:r w:rsidR="007230DE" w:rsidRPr="00092C42">
        <w:rPr>
          <w:i/>
        </w:rPr>
        <w:instrText>in Cat</w:instrText>
      </w:r>
      <w:r w:rsidR="007230DE" w:rsidRPr="00092C42">
        <w:instrText>. 286.11‒13</w:instrText>
      </w:r>
      <w:r w:rsidR="007230DE">
        <w:instrText xml:space="preserve">" </w:instrText>
      </w:r>
      <w:r w:rsidR="007230DE">
        <w:fldChar w:fldCharType="end"/>
      </w:r>
      <w:r w:rsidR="00A63A30">
        <w:t>)</w:t>
      </w:r>
      <w:r w:rsidRPr="00273106">
        <w:t>.</w:t>
      </w:r>
      <w:r>
        <w:t xml:space="preserve"> </w:t>
      </w:r>
      <w:r w:rsidR="00B7008A">
        <w:t xml:space="preserve">Tuto linii sledovala </w:t>
      </w:r>
      <w:r w:rsidR="00874074">
        <w:t>neoplatonsk</w:t>
      </w:r>
      <w:r w:rsidR="00B7008A">
        <w:t>á škola falsafy a po ní i Avicenna</w:t>
      </w:r>
      <w:r w:rsidR="004536C3">
        <w:t xml:space="preserve"> </w:t>
      </w:r>
      <w:r w:rsidR="001D1B3E">
        <w:t xml:space="preserve">skrze predikaci pomocí </w:t>
      </w:r>
      <w:r w:rsidR="004536C3">
        <w:t>komitace</w:t>
      </w:r>
      <w:r w:rsidR="00EB71B3">
        <w:fldChar w:fldCharType="begin"/>
      </w:r>
      <w:r w:rsidR="00EB71B3">
        <w:instrText xml:space="preserve"> XE "</w:instrText>
      </w:r>
      <w:r w:rsidR="00EB71B3" w:rsidRPr="00467B7F">
        <w:instrText>komitace</w:instrText>
      </w:r>
      <w:r w:rsidR="00EB71B3">
        <w:instrText xml:space="preserve">" </w:instrText>
      </w:r>
      <w:r w:rsidR="00EB71B3">
        <w:fldChar w:fldCharType="end"/>
      </w:r>
      <w:r w:rsidR="004536C3">
        <w:t xml:space="preserve"> (kap. 2.3.2)</w:t>
      </w:r>
      <w:r w:rsidR="00B7008A">
        <w:t xml:space="preserve">. </w:t>
      </w:r>
      <w:r w:rsidR="00834F39" w:rsidRPr="00273106">
        <w:rPr>
          <w:rStyle w:val="Zkladntext15dkovn0pt"/>
          <w:rFonts w:ascii="Calibri" w:eastAsia="Times" w:hAnsi="Calibri" w:cs="Times New Roman"/>
          <w:b w:val="0"/>
          <w:bCs w:val="0"/>
          <w:color w:val="auto"/>
          <w:sz w:val="24"/>
          <w:lang w:val="cs-CZ"/>
        </w:rPr>
        <w:t>P</w:t>
      </w:r>
      <w:r w:rsidR="00834F39" w:rsidRPr="00273106">
        <w:t xml:space="preserve">ojednání o predikamentech </w:t>
      </w:r>
      <w:r w:rsidR="001A0F7D">
        <w:t xml:space="preserve">nazvané </w:t>
      </w:r>
      <w:r w:rsidR="00834F39" w:rsidRPr="00273106">
        <w:rPr>
          <w:i/>
        </w:rPr>
        <w:t>Liber sex Principiorum</w:t>
      </w:r>
      <w:r w:rsidR="00834F39" w:rsidRPr="00273106">
        <w:t xml:space="preserve"> (kolem 1150</w:t>
      </w:r>
      <w:r w:rsidR="00FD250A" w:rsidRPr="00273106">
        <w:t xml:space="preserve">) </w:t>
      </w:r>
      <w:r w:rsidR="001A0F7D">
        <w:t xml:space="preserve">bylo připsané porretánské škole. Tento spis </w:t>
      </w:r>
      <w:r w:rsidR="00834F39" w:rsidRPr="00273106">
        <w:t xml:space="preserve">provádí </w:t>
      </w:r>
      <w:r w:rsidR="00BB581C" w:rsidRPr="00273106">
        <w:t>asi poprv</w:t>
      </w:r>
      <w:r w:rsidR="00FD250A" w:rsidRPr="00273106">
        <w:t xml:space="preserve">é na latinském Západě </w:t>
      </w:r>
      <w:r w:rsidR="00834F39" w:rsidRPr="00273106">
        <w:t>predikaci substancí třetího druhu (např. „běloba</w:t>
      </w:r>
      <w:r w:rsidR="00447BAB">
        <w:fldChar w:fldCharType="begin"/>
      </w:r>
      <w:r w:rsidR="00447BAB">
        <w:instrText xml:space="preserve"> XE "</w:instrText>
      </w:r>
      <w:r w:rsidR="00447BAB" w:rsidRPr="00C0177F">
        <w:instrText>predikace:běloba</w:instrText>
      </w:r>
      <w:r w:rsidR="00447BAB">
        <w:instrText xml:space="preserve">" </w:instrText>
      </w:r>
      <w:r w:rsidR="00447BAB">
        <w:fldChar w:fldCharType="end"/>
      </w:r>
      <w:r w:rsidR="00834F39" w:rsidRPr="00273106">
        <w:t>“) v modu</w:t>
      </w:r>
      <w:r w:rsidR="08233685">
        <w:t xml:space="preserve"> </w:t>
      </w:r>
      <w:r w:rsidR="000A08DC" w:rsidRPr="00273106">
        <w:rPr>
          <w:i/>
        </w:rPr>
        <w:t>magis</w:t>
      </w:r>
      <w:r w:rsidR="08233685">
        <w:t xml:space="preserve"> a </w:t>
      </w:r>
      <w:r w:rsidR="000A08DC" w:rsidRPr="00273106">
        <w:rPr>
          <w:i/>
        </w:rPr>
        <w:t>minus</w:t>
      </w:r>
      <w:r w:rsidR="00945CC6">
        <w:t xml:space="preserve"> a </w:t>
      </w:r>
      <w:r w:rsidR="001A0F7D">
        <w:t>tím zavedl</w:t>
      </w:r>
      <w:r w:rsidR="0082552D">
        <w:t xml:space="preserve"> novou formu impozice</w:t>
      </w:r>
      <w:r w:rsidR="00834F39" w:rsidRPr="00273106">
        <w:t>.</w:t>
      </w:r>
      <w:r w:rsidR="00834F39" w:rsidRPr="00273106">
        <w:rPr>
          <w:rStyle w:val="Znakapoznpodarou"/>
        </w:rPr>
        <w:footnoteReference w:id="54"/>
      </w:r>
      <w:r w:rsidR="00834F39" w:rsidRPr="00273106">
        <w:t xml:space="preserve"> </w:t>
      </w:r>
      <w:r>
        <w:t xml:space="preserve"> </w:t>
      </w:r>
      <w:r w:rsidR="004D01E2">
        <w:t xml:space="preserve">Moderní logika </w:t>
      </w:r>
      <w:r w:rsidR="004D01E2" w:rsidRPr="00273106">
        <w:t xml:space="preserve">naroubovala </w:t>
      </w:r>
      <w:r w:rsidR="004D01E2">
        <w:t xml:space="preserve">„exsistenci“ třetího druhu </w:t>
      </w:r>
      <w:r w:rsidR="004D01E2" w:rsidRPr="00273106">
        <w:t xml:space="preserve">na </w:t>
      </w:r>
      <w:r w:rsidR="004D01E2">
        <w:t xml:space="preserve">kategoriální </w:t>
      </w:r>
      <w:r w:rsidR="004D01E2" w:rsidRPr="00273106">
        <w:t>určení nejvyšších rodů a forem</w:t>
      </w:r>
      <w:r w:rsidR="004D01E2">
        <w:t>. Tím vznikla p</w:t>
      </w:r>
      <w:r w:rsidR="08233685">
        <w:t xml:space="preserve">redikace </w:t>
      </w:r>
      <w:r w:rsidR="006C40B4">
        <w:t xml:space="preserve">„první“ </w:t>
      </w:r>
      <w:r w:rsidR="08233685">
        <w:t xml:space="preserve">substance třetího druhu v modu </w:t>
      </w:r>
      <w:r w:rsidRPr="00273106">
        <w:rPr>
          <w:i/>
        </w:rPr>
        <w:t>magis</w:t>
      </w:r>
      <w:r w:rsidR="08233685">
        <w:t xml:space="preserve"> a </w:t>
      </w:r>
      <w:r w:rsidRPr="00273106">
        <w:rPr>
          <w:i/>
        </w:rPr>
        <w:t>minus</w:t>
      </w:r>
      <w:r w:rsidR="001E4222">
        <w:fldChar w:fldCharType="begin"/>
      </w:r>
      <w:r w:rsidR="001E4222">
        <w:instrText xml:space="preserve"> XE "</w:instrText>
      </w:r>
      <w:r w:rsidR="001E4222" w:rsidRPr="0082058F">
        <w:instrText>predikace:</w:instrText>
      </w:r>
      <w:r w:rsidR="001E4222" w:rsidRPr="001E4222">
        <w:rPr>
          <w:i/>
        </w:rPr>
        <w:instrText>magis</w:instrText>
      </w:r>
      <w:r w:rsidR="001E4222" w:rsidRPr="0082058F">
        <w:instrText>/</w:instrText>
      </w:r>
      <w:r w:rsidR="001E4222" w:rsidRPr="001E4222">
        <w:rPr>
          <w:i/>
        </w:rPr>
        <w:instrText>minus</w:instrText>
      </w:r>
      <w:r w:rsidR="001E4222">
        <w:instrText xml:space="preserve">" </w:instrText>
      </w:r>
      <w:r w:rsidR="001E4222">
        <w:fldChar w:fldCharType="end"/>
      </w:r>
      <w:r w:rsidR="004D01E2">
        <w:t xml:space="preserve">. </w:t>
      </w:r>
      <w:r w:rsidR="08E305BB">
        <w:t>To je podle klasického aristo</w:t>
      </w:r>
      <w:r w:rsidR="000255C0">
        <w:t xml:space="preserve">telismu naprosto vyloučeno. </w:t>
      </w:r>
      <w:r w:rsidR="08E608A5">
        <w:rPr>
          <w:rStyle w:val="Zkladntext15dkovn0pt"/>
          <w:rFonts w:ascii="Calibri" w:eastAsia="Times" w:hAnsi="Calibri" w:cs="Times New Roman"/>
          <w:b w:val="0"/>
          <w:bCs w:val="0"/>
          <w:color w:val="auto"/>
          <w:sz w:val="24"/>
          <w:lang w:val="cs-CZ"/>
        </w:rPr>
        <w:t xml:space="preserve">Univerzální </w:t>
      </w:r>
      <w:r w:rsidR="08E608A5" w:rsidRPr="00273106">
        <w:rPr>
          <w:rStyle w:val="Zkladntext15dkovn0pt"/>
          <w:rFonts w:ascii="Calibri" w:eastAsia="Times" w:hAnsi="Calibri" w:cs="Times New Roman"/>
          <w:b w:val="0"/>
          <w:bCs w:val="0"/>
          <w:color w:val="auto"/>
          <w:sz w:val="24"/>
          <w:lang w:val="cs-CZ"/>
        </w:rPr>
        <w:t>význam buď existuje nebo neexistuje</w:t>
      </w:r>
      <w:r w:rsidR="08E608A5">
        <w:rPr>
          <w:rStyle w:val="Zkladntext15dkovn0pt"/>
          <w:rFonts w:ascii="Calibri" w:eastAsia="Times" w:hAnsi="Calibri" w:cs="Times New Roman"/>
          <w:b w:val="0"/>
          <w:bCs w:val="0"/>
          <w:color w:val="auto"/>
          <w:sz w:val="24"/>
          <w:lang w:val="cs-CZ"/>
        </w:rPr>
        <w:t>. Každý univerzální význam je pouze potenciální a do potence není možné zavést žádné stupně aktuality</w:t>
      </w:r>
      <w:r w:rsidR="08E608A5" w:rsidRPr="00273106">
        <w:rPr>
          <w:rStyle w:val="Zkladntext15dkovn0pt"/>
          <w:rFonts w:ascii="Calibri" w:eastAsia="Times" w:hAnsi="Calibri" w:cs="Times New Roman"/>
          <w:b w:val="0"/>
          <w:bCs w:val="0"/>
          <w:color w:val="auto"/>
          <w:sz w:val="24"/>
          <w:lang w:val="cs-CZ"/>
        </w:rPr>
        <w:t>.</w:t>
      </w:r>
      <w:r w:rsidR="08E608A5">
        <w:rPr>
          <w:rStyle w:val="Zkladntext15dkovn0pt"/>
          <w:rFonts w:ascii="Calibri" w:eastAsia="Times" w:hAnsi="Calibri" w:cs="Times New Roman"/>
          <w:b w:val="0"/>
          <w:bCs w:val="0"/>
          <w:color w:val="auto"/>
          <w:sz w:val="24"/>
          <w:lang w:val="cs-CZ"/>
        </w:rPr>
        <w:t xml:space="preserve"> </w:t>
      </w:r>
      <w:r w:rsidR="08E305BB">
        <w:rPr>
          <w:rStyle w:val="Zkladntext15dkovn0pt"/>
          <w:rFonts w:ascii="Calibri" w:eastAsia="Times" w:hAnsi="Calibri" w:cs="Times New Roman"/>
          <w:b w:val="0"/>
          <w:bCs w:val="0"/>
          <w:color w:val="auto"/>
          <w:sz w:val="24"/>
          <w:lang w:val="cs-CZ"/>
        </w:rPr>
        <w:t>Rozdíl</w:t>
      </w:r>
      <w:r w:rsidR="08E305BB" w:rsidRPr="00273106">
        <w:rPr>
          <w:rStyle w:val="Zkladntext15dkovn0pt"/>
          <w:rFonts w:ascii="Calibri" w:eastAsia="Times" w:hAnsi="Calibri" w:cs="Times New Roman"/>
          <w:b w:val="0"/>
          <w:bCs w:val="0"/>
          <w:color w:val="auto"/>
          <w:sz w:val="24"/>
          <w:lang w:val="cs-CZ"/>
        </w:rPr>
        <w:t xml:space="preserve"> </w:t>
      </w:r>
      <w:r w:rsidR="000255C0">
        <w:rPr>
          <w:rStyle w:val="Zkladntext15dkovn0pt"/>
          <w:rFonts w:ascii="Calibri" w:eastAsia="Times" w:hAnsi="Calibri" w:cs="Times New Roman"/>
          <w:b w:val="0"/>
          <w:bCs w:val="0"/>
          <w:color w:val="auto"/>
          <w:sz w:val="24"/>
          <w:lang w:val="cs-CZ"/>
        </w:rPr>
        <w:t>„</w:t>
      </w:r>
      <w:r w:rsidR="08E305BB" w:rsidRPr="00273106">
        <w:rPr>
          <w:rStyle w:val="Zkladntext15dkovn0pt"/>
          <w:rFonts w:ascii="Calibri" w:eastAsia="Times" w:hAnsi="Calibri" w:cs="Times New Roman"/>
          <w:b w:val="0"/>
          <w:bCs w:val="0"/>
          <w:i/>
          <w:color w:val="auto"/>
          <w:sz w:val="24"/>
          <w:lang w:val="cs-CZ"/>
        </w:rPr>
        <w:t>magis</w:t>
      </w:r>
      <w:r w:rsidR="08E305BB">
        <w:rPr>
          <w:rStyle w:val="Zkladntext15dkovn0pt"/>
          <w:rFonts w:ascii="Calibri" w:eastAsia="Times" w:hAnsi="Calibri" w:cs="Times New Roman"/>
          <w:b w:val="0"/>
          <w:bCs w:val="0"/>
          <w:color w:val="auto"/>
          <w:sz w:val="24"/>
          <w:lang w:val="cs-CZ"/>
        </w:rPr>
        <w:t>‒</w:t>
      </w:r>
      <w:r w:rsidR="08E305BB" w:rsidRPr="00273106">
        <w:rPr>
          <w:rStyle w:val="Zkladntext15dkovn0pt"/>
          <w:rFonts w:ascii="Calibri" w:eastAsia="Times" w:hAnsi="Calibri" w:cs="Times New Roman"/>
          <w:b w:val="0"/>
          <w:bCs w:val="0"/>
          <w:i/>
          <w:color w:val="auto"/>
          <w:sz w:val="24"/>
          <w:lang w:val="cs-CZ"/>
        </w:rPr>
        <w:t>minus</w:t>
      </w:r>
      <w:r w:rsidR="000255C0">
        <w:rPr>
          <w:rStyle w:val="Zkladntext15dkovn0pt"/>
          <w:rFonts w:ascii="Calibri" w:eastAsia="Times" w:hAnsi="Calibri" w:cs="Times New Roman"/>
          <w:b w:val="0"/>
          <w:bCs w:val="0"/>
          <w:color w:val="auto"/>
          <w:sz w:val="24"/>
          <w:lang w:val="cs-CZ"/>
        </w:rPr>
        <w:t>“</w:t>
      </w:r>
      <w:r w:rsidR="08E305BB">
        <w:rPr>
          <w:rStyle w:val="Zkladntext15dkovn0pt"/>
          <w:rFonts w:ascii="Calibri" w:eastAsia="Times" w:hAnsi="Calibri" w:cs="Times New Roman"/>
          <w:b w:val="0"/>
          <w:bCs w:val="0"/>
          <w:color w:val="auto"/>
          <w:sz w:val="24"/>
          <w:lang w:val="cs-CZ"/>
        </w:rPr>
        <w:t xml:space="preserve"> podle Boethia neexistuje</w:t>
      </w:r>
      <w:r w:rsidRPr="00273106">
        <w:rPr>
          <w:rStyle w:val="Zkladntext15dkovn0pt"/>
          <w:rFonts w:ascii="Calibri" w:eastAsia="Times" w:hAnsi="Calibri" w:cs="Times New Roman"/>
          <w:b w:val="0"/>
          <w:bCs w:val="0"/>
          <w:color w:val="auto"/>
          <w:sz w:val="24"/>
          <w:lang w:val="cs-CZ"/>
        </w:rPr>
        <w:t xml:space="preserve"> na úrovni univerzální signifikace</w:t>
      </w:r>
      <w:r w:rsidR="0871765E">
        <w:rPr>
          <w:rStyle w:val="Zkladntext15dkovn0pt"/>
          <w:rFonts w:ascii="Calibri" w:eastAsia="Times" w:hAnsi="Calibri" w:cs="Times New Roman"/>
          <w:b w:val="0"/>
          <w:bCs w:val="0"/>
          <w:color w:val="auto"/>
          <w:sz w:val="24"/>
          <w:lang w:val="cs-CZ"/>
        </w:rPr>
        <w:t>, protože ta je pouze potenciálním jsoucnem</w:t>
      </w:r>
      <w:r w:rsidRPr="00273106">
        <w:rPr>
          <w:rStyle w:val="Zkladntext15dkovn0pt"/>
          <w:rFonts w:ascii="Calibri" w:eastAsia="Times" w:hAnsi="Calibri" w:cs="Times New Roman"/>
          <w:b w:val="0"/>
          <w:bCs w:val="0"/>
          <w:color w:val="auto"/>
          <w:sz w:val="24"/>
          <w:lang w:val="cs-CZ"/>
        </w:rPr>
        <w:t>.</w:t>
      </w:r>
      <w:r w:rsidR="00B94311" w:rsidRPr="00273106">
        <w:rPr>
          <w:rStyle w:val="Znakapoznpodarou"/>
          <w:szCs w:val="22"/>
          <w:shd w:val="clear" w:color="auto" w:fill="FFFFFF"/>
        </w:rPr>
        <w:footnoteReference w:id="55"/>
      </w:r>
      <w:r w:rsidR="00B94311" w:rsidRPr="00273106">
        <w:rPr>
          <w:rStyle w:val="Zkladntext15dkovn0pt"/>
          <w:rFonts w:ascii="Calibri" w:eastAsia="Times" w:hAnsi="Calibri" w:cs="Times New Roman"/>
          <w:b w:val="0"/>
          <w:bCs w:val="0"/>
          <w:color w:val="auto"/>
          <w:sz w:val="24"/>
          <w:lang w:val="cs-CZ"/>
        </w:rPr>
        <w:t xml:space="preserve"> </w:t>
      </w:r>
      <w:r w:rsidRPr="00273106">
        <w:rPr>
          <w:rStyle w:val="Zkladntext15dkovn0pt"/>
          <w:rFonts w:ascii="Calibri" w:eastAsia="Times" w:hAnsi="Calibri" w:cs="Times New Roman"/>
          <w:b w:val="0"/>
          <w:bCs w:val="0"/>
          <w:color w:val="auto"/>
          <w:sz w:val="24"/>
          <w:lang w:val="cs-CZ"/>
        </w:rPr>
        <w:t xml:space="preserve"> Akcidenty typu „více“ či „méně“ (</w:t>
      </w:r>
      <w:r w:rsidRPr="00273106">
        <w:rPr>
          <w:i/>
        </w:rPr>
        <w:t>magis esse sanitatem</w:t>
      </w:r>
      <w:r w:rsidRPr="00273106">
        <w:rPr>
          <w:rStyle w:val="Zkladntext15dkovn0pt"/>
          <w:rFonts w:ascii="Calibri" w:eastAsia="Times" w:hAnsi="Calibri" w:cs="Times New Roman"/>
          <w:b w:val="0"/>
          <w:bCs w:val="0"/>
          <w:color w:val="auto"/>
          <w:sz w:val="24"/>
          <w:lang w:val="cs-CZ"/>
        </w:rPr>
        <w:t>) se vždy predikují jen vzhledem k příslušné substanci, která je jejich nositelem v té či oné míře aktuality a potenciality (</w:t>
      </w:r>
      <w:r w:rsidR="004A14E9">
        <w:rPr>
          <w:i/>
        </w:rPr>
        <w:t>esse sanio</w:t>
      </w:r>
      <w:r w:rsidRPr="00273106">
        <w:rPr>
          <w:i/>
        </w:rPr>
        <w:t>rem</w:t>
      </w:r>
      <w:r w:rsidRPr="00273106">
        <w:rPr>
          <w:rStyle w:val="Zkladntext15dkovn0pt"/>
          <w:rFonts w:ascii="Calibri" w:eastAsia="Times" w:hAnsi="Calibri" w:cs="Times New Roman"/>
          <w:b w:val="0"/>
          <w:bCs w:val="0"/>
          <w:color w:val="auto"/>
          <w:sz w:val="24"/>
          <w:lang w:val="cs-CZ"/>
        </w:rPr>
        <w:t xml:space="preserve">). </w:t>
      </w:r>
      <w:r w:rsidR="00627141" w:rsidRPr="00273106">
        <w:t>Zavedením univoční predikace pro hypostázované entity vytvořené školou porretánů vzniká nová kvazi</w:t>
      </w:r>
      <w:r w:rsidR="00627141" w:rsidRPr="00273106">
        <w:noBreakHyphen/>
        <w:t xml:space="preserve">kategoriální predikace, která postupně nahradí aristotelskou predikaci vztaženou k první substanci. </w:t>
      </w:r>
      <w:r w:rsidR="087F30C3">
        <w:t xml:space="preserve">Nástup moderny umožnilo nové </w:t>
      </w:r>
      <w:r w:rsidR="003B5C11">
        <w:rPr>
          <w:szCs w:val="22"/>
          <w:shd w:val="clear" w:color="auto" w:fill="FFFFFF"/>
        </w:rPr>
        <w:t xml:space="preserve">určení </w:t>
      </w:r>
      <w:r w:rsidR="087F30C3">
        <w:rPr>
          <w:szCs w:val="22"/>
          <w:shd w:val="clear" w:color="auto" w:fill="FFFFFF"/>
        </w:rPr>
        <w:t xml:space="preserve">hypostázovaných </w:t>
      </w:r>
      <w:r w:rsidR="00FE7B9D">
        <w:rPr>
          <w:szCs w:val="22"/>
          <w:shd w:val="clear" w:color="auto" w:fill="FFFFFF"/>
        </w:rPr>
        <w:t xml:space="preserve">kvalit, bytí, esence atd. podle </w:t>
      </w:r>
      <w:r w:rsidR="00CF16BE">
        <w:rPr>
          <w:szCs w:val="22"/>
          <w:shd w:val="clear" w:color="auto" w:fill="FFFFFF"/>
        </w:rPr>
        <w:t xml:space="preserve">diferenciačního </w:t>
      </w:r>
      <w:r w:rsidR="00FE7B9D">
        <w:rPr>
          <w:szCs w:val="22"/>
          <w:shd w:val="clear" w:color="auto" w:fill="FFFFFF"/>
        </w:rPr>
        <w:t xml:space="preserve">principu </w:t>
      </w:r>
      <w:r w:rsidR="003B5C11">
        <w:rPr>
          <w:szCs w:val="22"/>
          <w:shd w:val="clear" w:color="auto" w:fill="FFFFFF"/>
        </w:rPr>
        <w:t>„méně“ a „více“</w:t>
      </w:r>
      <w:r w:rsidR="00785DDF">
        <w:rPr>
          <w:szCs w:val="22"/>
          <w:shd w:val="clear" w:color="auto" w:fill="FFFFFF"/>
        </w:rPr>
        <w:t xml:space="preserve">. Toto rozlišení v modu </w:t>
      </w:r>
      <w:r w:rsidR="00785DDF" w:rsidRPr="00785DDF">
        <w:rPr>
          <w:i/>
          <w:szCs w:val="22"/>
          <w:shd w:val="clear" w:color="auto" w:fill="FFFFFF"/>
        </w:rPr>
        <w:t>per prius</w:t>
      </w:r>
      <w:r w:rsidR="004A14E9">
        <w:fldChar w:fldCharType="begin"/>
      </w:r>
      <w:r w:rsidR="004A14E9">
        <w:instrText xml:space="preserve"> XE "</w:instrText>
      </w:r>
      <w:r w:rsidR="004A14E9" w:rsidRPr="0082058F">
        <w:instrText>predikace:</w:instrText>
      </w:r>
      <w:r w:rsidR="004A14E9">
        <w:rPr>
          <w:i/>
        </w:rPr>
        <w:instrText>per prius</w:instrText>
      </w:r>
      <w:r w:rsidR="004A14E9">
        <w:instrText xml:space="preserve">" </w:instrText>
      </w:r>
      <w:r w:rsidR="004A14E9">
        <w:fldChar w:fldCharType="end"/>
      </w:r>
      <w:r w:rsidR="00785DDF">
        <w:rPr>
          <w:szCs w:val="22"/>
          <w:shd w:val="clear" w:color="auto" w:fill="FFFFFF"/>
        </w:rPr>
        <w:t xml:space="preserve"> a </w:t>
      </w:r>
      <w:r w:rsidR="00785DDF" w:rsidRPr="00785DDF">
        <w:rPr>
          <w:i/>
          <w:szCs w:val="22"/>
          <w:shd w:val="clear" w:color="auto" w:fill="FFFFFF"/>
        </w:rPr>
        <w:t>per posterius</w:t>
      </w:r>
      <w:r w:rsidR="00785DDF">
        <w:rPr>
          <w:szCs w:val="22"/>
          <w:shd w:val="clear" w:color="auto" w:fill="FFFFFF"/>
        </w:rPr>
        <w:t xml:space="preserve"> </w:t>
      </w:r>
      <w:r w:rsidR="003B5C11">
        <w:rPr>
          <w:szCs w:val="22"/>
          <w:shd w:val="clear" w:color="auto" w:fill="FFFFFF"/>
        </w:rPr>
        <w:t xml:space="preserve">umožnilo vytvořit novou hierachii </w:t>
      </w:r>
      <w:r w:rsidR="000A1980">
        <w:rPr>
          <w:szCs w:val="22"/>
          <w:shd w:val="clear" w:color="auto" w:fill="FFFFFF"/>
        </w:rPr>
        <w:t xml:space="preserve">subsistentních forem </w:t>
      </w:r>
      <w:r w:rsidR="003B5C11">
        <w:rPr>
          <w:szCs w:val="22"/>
          <w:shd w:val="clear" w:color="auto" w:fill="FFFFFF"/>
        </w:rPr>
        <w:t xml:space="preserve">podle </w:t>
      </w:r>
      <w:r w:rsidR="003B5C11" w:rsidRPr="003B5C11">
        <w:rPr>
          <w:i/>
          <w:szCs w:val="22"/>
          <w:shd w:val="clear" w:color="auto" w:fill="FFFFFF"/>
        </w:rPr>
        <w:t>Liber de causis</w:t>
      </w:r>
      <w:r w:rsidR="00274A40">
        <w:rPr>
          <w:i/>
          <w:szCs w:val="22"/>
          <w:shd w:val="clear" w:color="auto" w:fill="FFFFFF"/>
        </w:rPr>
        <w:fldChar w:fldCharType="begin"/>
      </w:r>
      <w:r w:rsidR="00274A40">
        <w:instrText xml:space="preserve"> XE "</w:instrText>
      </w:r>
      <w:r w:rsidR="00274A40" w:rsidRPr="00C46BD8">
        <w:rPr>
          <w:i/>
        </w:rPr>
        <w:instrText>Liber de causis</w:instrText>
      </w:r>
      <w:r w:rsidR="00274A40">
        <w:instrText xml:space="preserve">" </w:instrText>
      </w:r>
      <w:r w:rsidR="00274A40">
        <w:rPr>
          <w:i/>
          <w:szCs w:val="22"/>
          <w:shd w:val="clear" w:color="auto" w:fill="FFFFFF"/>
        </w:rPr>
        <w:fldChar w:fldCharType="end"/>
      </w:r>
      <w:r w:rsidR="003B5C11">
        <w:rPr>
          <w:szCs w:val="22"/>
          <w:shd w:val="clear" w:color="auto" w:fill="FFFFFF"/>
        </w:rPr>
        <w:t xml:space="preserve">. </w:t>
      </w:r>
      <w:r w:rsidR="00FA1823" w:rsidRPr="00273106">
        <w:rPr>
          <w:color w:val="000000"/>
        </w:rPr>
        <w:t>Porretáni chápou jedinečnost nového individua a jeho hypostázovaných vlastností nikoliv vzhledem k aktuální existenci první substance</w:t>
      </w:r>
      <w:r w:rsidR="00A70FA4">
        <w:rPr>
          <w:color w:val="000000"/>
        </w:rPr>
        <w:fldChar w:fldCharType="begin"/>
      </w:r>
      <w:r w:rsidR="00A70FA4">
        <w:instrText xml:space="preserve"> XE "</w:instrText>
      </w:r>
      <w:r w:rsidR="00A70FA4" w:rsidRPr="00DE2A32">
        <w:instrText>substance</w:instrText>
      </w:r>
      <w:r w:rsidR="004A14E9">
        <w:instrText>:porretáni</w:instrText>
      </w:r>
      <w:r w:rsidR="00A70FA4">
        <w:instrText xml:space="preserve">" </w:instrText>
      </w:r>
      <w:r w:rsidR="00A70FA4">
        <w:rPr>
          <w:color w:val="000000"/>
        </w:rPr>
        <w:fldChar w:fldCharType="end"/>
      </w:r>
      <w:r w:rsidR="00FA1823" w:rsidRPr="00273106">
        <w:rPr>
          <w:color w:val="000000"/>
        </w:rPr>
        <w:t xml:space="preserve"> v realitě, ale vzhledem k nemožnosti dalšího nominálního dělení té či oné univerzálie</w:t>
      </w:r>
      <w:r w:rsidR="00FA1823">
        <w:rPr>
          <w:color w:val="000000"/>
        </w:rPr>
        <w:t xml:space="preserve"> (</w:t>
      </w:r>
      <w:r w:rsidR="00FA1823" w:rsidRPr="00C35F12">
        <w:rPr>
          <w:i/>
          <w:color w:val="000000"/>
        </w:rPr>
        <w:t>individuum</w:t>
      </w:r>
      <w:r w:rsidR="00FA1823">
        <w:rPr>
          <w:color w:val="000000"/>
        </w:rPr>
        <w:t>)</w:t>
      </w:r>
      <w:r w:rsidR="00FA1823" w:rsidRPr="00273106">
        <w:rPr>
          <w:color w:val="000000"/>
        </w:rPr>
        <w:t xml:space="preserve">. Existence individuální věci se stala nejprve pouhou potencí, a nakonec komitačním </w:t>
      </w:r>
      <w:r w:rsidR="00FA1823" w:rsidRPr="00273106">
        <w:rPr>
          <w:color w:val="000000"/>
        </w:rPr>
        <w:lastRenderedPageBreak/>
        <w:t>predikátem daným</w:t>
      </w:r>
      <w:r w:rsidR="08AC077E">
        <w:rPr>
          <w:color w:val="000000"/>
        </w:rPr>
        <w:t xml:space="preserve"> na základě poslední diference čehokoliv</w:t>
      </w:r>
      <w:r w:rsidR="00FA1823" w:rsidRPr="00273106">
        <w:rPr>
          <w:color w:val="000000"/>
        </w:rPr>
        <w:t xml:space="preserve"> odlišného od čehokoliv jiného</w:t>
      </w:r>
      <w:r w:rsidR="08AC077E">
        <w:rPr>
          <w:color w:val="000000"/>
        </w:rPr>
        <w:t xml:space="preserve"> </w:t>
      </w:r>
      <w:r w:rsidR="08AC077E" w:rsidRPr="00273106">
        <w:rPr>
          <w:color w:val="000000"/>
        </w:rPr>
        <w:t>(</w:t>
      </w:r>
      <w:r w:rsidR="08AC077E" w:rsidRPr="00273106">
        <w:rPr>
          <w:i/>
          <w:color w:val="000000"/>
        </w:rPr>
        <w:t>aliquid esse</w:t>
      </w:r>
      <w:r w:rsidR="08AC077E" w:rsidRPr="00273106">
        <w:rPr>
          <w:color w:val="000000"/>
        </w:rPr>
        <w:t>)</w:t>
      </w:r>
      <w:r w:rsidR="00FA1823" w:rsidRPr="00273106">
        <w:rPr>
          <w:color w:val="000000"/>
        </w:rPr>
        <w:t>.</w:t>
      </w:r>
      <w:r w:rsidR="00FA1823" w:rsidRPr="00273106">
        <w:rPr>
          <w:szCs w:val="22"/>
          <w:shd w:val="clear" w:color="auto" w:fill="FFFFFF"/>
        </w:rPr>
        <w:t xml:space="preserve"> </w:t>
      </w:r>
      <w:r w:rsidR="00FA1823" w:rsidRPr="00273106">
        <w:rPr>
          <w:color w:val="000000"/>
        </w:rPr>
        <w:t>Toto  moderní individuum se stalo další substancí třetího druhu.</w:t>
      </w:r>
      <w:r w:rsidR="001451E5">
        <w:rPr>
          <w:color w:val="000000"/>
        </w:rPr>
        <w:t xml:space="preserve"> </w:t>
      </w:r>
      <w:r w:rsidR="087474F1">
        <w:rPr>
          <w:color w:val="000000"/>
        </w:rPr>
        <w:t>P</w:t>
      </w:r>
      <w:r w:rsidR="086C1D41" w:rsidRPr="00273106">
        <w:t xml:space="preserve">redikace </w:t>
      </w:r>
      <w:r w:rsidR="087474F1">
        <w:t xml:space="preserve">moderního individua </w:t>
      </w:r>
      <w:r w:rsidR="086C1D41" w:rsidRPr="00273106">
        <w:t>má klíčový význam pro vznik nové formy objektivní metafyziky</w:t>
      </w:r>
      <w:r w:rsidR="086C1D41">
        <w:t xml:space="preserve"> dané matematicky</w:t>
      </w:r>
      <w:r w:rsidR="086C1D41" w:rsidRPr="00273106">
        <w:t xml:space="preserve">, protože zakládá </w:t>
      </w:r>
      <w:r w:rsidR="086C1D41">
        <w:t xml:space="preserve">systém hierarchické infinitezimální predikace dané </w:t>
      </w:r>
      <w:r w:rsidR="086C1D41" w:rsidRPr="00273106">
        <w:t>mimo reálnou věc a mimo kategoriální substanci.</w:t>
      </w:r>
      <w:r w:rsidR="007D404F">
        <w:t xml:space="preserve"> </w:t>
      </w:r>
      <w:r w:rsidR="007D404F">
        <w:rPr>
          <w:rStyle w:val="Zkladntext15dkovn0pt"/>
          <w:rFonts w:ascii="Calibri" w:eastAsia="Times" w:hAnsi="Calibri" w:cs="Times New Roman"/>
          <w:b w:val="0"/>
          <w:bCs w:val="0"/>
          <w:color w:val="auto"/>
          <w:sz w:val="24"/>
          <w:lang w:val="cs-CZ"/>
        </w:rPr>
        <w:t>Na příkladu Gilberta a porretánů ukazuje hermeneutika způsob, jak teologická dogmatika</w:t>
      </w:r>
      <w:r w:rsidR="007D404F" w:rsidRPr="00273106">
        <w:rPr>
          <w:rStyle w:val="Zkladntext15dkovn0pt"/>
          <w:rFonts w:ascii="Calibri" w:eastAsia="Times" w:hAnsi="Calibri" w:cs="Times New Roman"/>
          <w:b w:val="0"/>
          <w:bCs w:val="0"/>
          <w:color w:val="auto"/>
          <w:sz w:val="24"/>
          <w:lang w:val="cs-CZ"/>
        </w:rPr>
        <w:t xml:space="preserve"> </w:t>
      </w:r>
      <w:r w:rsidR="007D404F">
        <w:rPr>
          <w:rStyle w:val="Zkladntext15dkovn0pt"/>
          <w:rFonts w:ascii="Calibri" w:eastAsia="Times" w:hAnsi="Calibri" w:cs="Times New Roman"/>
          <w:b w:val="0"/>
          <w:bCs w:val="0"/>
          <w:color w:val="auto"/>
          <w:sz w:val="24"/>
          <w:lang w:val="cs-CZ"/>
        </w:rPr>
        <w:t xml:space="preserve">vytvořila modlu moderního boha a moderní osobu rozštěpenou na několik substancí. Obě schizofrenické formy </w:t>
      </w:r>
      <w:r w:rsidR="007D404F" w:rsidRPr="00D5781A">
        <w:rPr>
          <w:rStyle w:val="Zkladntext15dkovn0pt"/>
          <w:rFonts w:ascii="Calibri" w:eastAsia="Times" w:hAnsi="Calibri" w:cs="Times New Roman"/>
          <w:b w:val="0"/>
          <w:bCs w:val="0"/>
          <w:i/>
          <w:color w:val="auto"/>
          <w:sz w:val="24"/>
          <w:lang w:val="cs-CZ"/>
        </w:rPr>
        <w:t xml:space="preserve">tertium ens </w:t>
      </w:r>
      <w:r w:rsidR="007D404F">
        <w:rPr>
          <w:rStyle w:val="Zkladntext15dkovn0pt"/>
          <w:rFonts w:ascii="Calibri" w:eastAsia="Times" w:hAnsi="Calibri" w:cs="Times New Roman"/>
          <w:b w:val="0"/>
          <w:bCs w:val="0"/>
          <w:color w:val="auto"/>
          <w:sz w:val="24"/>
          <w:lang w:val="cs-CZ"/>
        </w:rPr>
        <w:t xml:space="preserve">tvoří nezbytný základ západní objektivity. Jejich zmizení znamená zánik objektivního vidění světa. Vzniklé prázdno nyní zaplňují nihilistická simulákra globálních korporací a jimi koupené politické </w:t>
      </w:r>
      <w:r w:rsidR="00FE0DC9">
        <w:rPr>
          <w:rStyle w:val="Zkladntext15dkovn0pt"/>
          <w:rFonts w:ascii="Calibri" w:eastAsia="Times" w:hAnsi="Calibri" w:cs="Times New Roman"/>
          <w:b w:val="0"/>
          <w:bCs w:val="0"/>
          <w:color w:val="auto"/>
          <w:sz w:val="24"/>
          <w:lang w:val="cs-CZ"/>
        </w:rPr>
        <w:t xml:space="preserve">a ideologické </w:t>
      </w:r>
      <w:r w:rsidR="007D404F">
        <w:rPr>
          <w:rStyle w:val="Zkladntext15dkovn0pt"/>
          <w:rFonts w:ascii="Calibri" w:eastAsia="Times" w:hAnsi="Calibri" w:cs="Times New Roman"/>
          <w:b w:val="0"/>
          <w:bCs w:val="0"/>
          <w:color w:val="auto"/>
          <w:sz w:val="24"/>
          <w:lang w:val="cs-CZ"/>
        </w:rPr>
        <w:t>moci</w:t>
      </w:r>
      <w:r w:rsidR="00EC40C9">
        <w:rPr>
          <w:rStyle w:val="Zkladntext15dkovn0pt"/>
          <w:rFonts w:ascii="Calibri" w:eastAsia="Times" w:hAnsi="Calibri" w:cs="Times New Roman"/>
          <w:b w:val="0"/>
          <w:bCs w:val="0"/>
          <w:color w:val="auto"/>
          <w:sz w:val="24"/>
          <w:lang w:val="cs-CZ"/>
        </w:rPr>
        <w:t xml:space="preserve">, které </w:t>
      </w:r>
      <w:r w:rsidR="009F65A6">
        <w:rPr>
          <w:rStyle w:val="Zkladntext15dkovn0pt"/>
          <w:rFonts w:ascii="Calibri" w:eastAsia="Times" w:hAnsi="Calibri" w:cs="Times New Roman"/>
          <w:b w:val="0"/>
          <w:bCs w:val="0"/>
          <w:color w:val="auto"/>
          <w:sz w:val="24"/>
          <w:lang w:val="cs-CZ"/>
        </w:rPr>
        <w:t>obohatily jejich virtuální konto</w:t>
      </w:r>
      <w:r w:rsidR="007D404F">
        <w:rPr>
          <w:rStyle w:val="Zkladntext15dkovn0pt"/>
          <w:rFonts w:ascii="Calibri" w:eastAsia="Times" w:hAnsi="Calibri" w:cs="Times New Roman"/>
          <w:b w:val="0"/>
          <w:bCs w:val="0"/>
          <w:color w:val="auto"/>
          <w:sz w:val="24"/>
          <w:lang w:val="cs-CZ"/>
        </w:rPr>
        <w:t xml:space="preserve">. </w:t>
      </w:r>
    </w:p>
    <w:p w14:paraId="13BB2AEB" w14:textId="77777777" w:rsidR="001A0A62" w:rsidRDefault="087E3644" w:rsidP="00712437">
      <w:pPr>
        <w:rPr>
          <w:color w:val="000000"/>
        </w:rPr>
      </w:pPr>
      <w:r>
        <w:tab/>
      </w:r>
      <w:r w:rsidRPr="00273106">
        <w:rPr>
          <w:rStyle w:val="Zkladntext15dkovn0pt"/>
          <w:rFonts w:ascii="Calibri" w:eastAsia="Times" w:hAnsi="Calibri" w:cs="Times New Roman"/>
          <w:b w:val="0"/>
          <w:bCs w:val="0"/>
          <w:color w:val="auto"/>
          <w:sz w:val="24"/>
          <w:lang w:val="cs-CZ"/>
        </w:rPr>
        <w:t xml:space="preserve">Gilbert </w:t>
      </w:r>
      <w:r w:rsidRPr="00273106">
        <w:rPr>
          <w:rStyle w:val="FontStyle129"/>
          <w:rFonts w:ascii="Calibri" w:hAnsi="Calibri"/>
          <w:sz w:val="24"/>
        </w:rPr>
        <w:t>z Poitires</w:t>
      </w:r>
      <w:r w:rsidRPr="00273106">
        <w:rPr>
          <w:rStyle w:val="Zkladntext15dkovn0pt"/>
          <w:rFonts w:ascii="Calibri" w:eastAsia="Times" w:hAnsi="Calibri" w:cs="Times New Roman"/>
          <w:b w:val="0"/>
          <w:bCs w:val="0"/>
          <w:color w:val="auto"/>
          <w:sz w:val="24"/>
          <w:lang w:val="cs-CZ"/>
        </w:rPr>
        <w:t xml:space="preserve"> zahájil přeměnu křesťanské dogmatiky na moderní objektivitu.</w:t>
      </w:r>
      <w:r>
        <w:rPr>
          <w:rStyle w:val="Zkladntext15dkovn0pt"/>
          <w:rFonts w:ascii="Calibri" w:eastAsia="Times" w:hAnsi="Calibri" w:cs="Times New Roman"/>
          <w:b w:val="0"/>
          <w:bCs w:val="0"/>
          <w:color w:val="auto"/>
          <w:sz w:val="24"/>
          <w:lang w:val="cs-CZ"/>
        </w:rPr>
        <w:t xml:space="preserve"> Mocensky prosazovaná dogmatika pomohla neoplatonským iluminátům ve druhé polovině 12. století, aby zůstali slepí k filosofické pravdě jsoucna. </w:t>
      </w:r>
      <w:r w:rsidR="00E21FFA">
        <w:rPr>
          <w:rStyle w:val="Zkladntext15dkovn0pt"/>
          <w:rFonts w:ascii="Calibri" w:eastAsia="Times" w:hAnsi="Calibri" w:cs="Times New Roman"/>
          <w:b w:val="0"/>
          <w:bCs w:val="0"/>
          <w:color w:val="auto"/>
          <w:sz w:val="24"/>
          <w:lang w:val="cs-CZ"/>
        </w:rPr>
        <w:t xml:space="preserve">První latinští modernisté </w:t>
      </w:r>
      <w:r>
        <w:rPr>
          <w:rStyle w:val="Zkladntext15dkovn0pt"/>
          <w:rFonts w:ascii="Calibri" w:eastAsia="Times" w:hAnsi="Calibri" w:cs="Times New Roman"/>
          <w:b w:val="0"/>
          <w:bCs w:val="0"/>
          <w:color w:val="auto"/>
          <w:sz w:val="24"/>
          <w:lang w:val="cs-CZ"/>
        </w:rPr>
        <w:t>nahradili realitu v myšlení vlastním prefabrikátem v podobě jsoucna třetího druhu</w:t>
      </w:r>
      <w:r w:rsidR="003678CE">
        <w:rPr>
          <w:rStyle w:val="Zkladntext15dkovn0pt"/>
          <w:rFonts w:ascii="Calibri" w:eastAsia="Times" w:hAnsi="Calibri" w:cs="Times New Roman"/>
          <w:b w:val="0"/>
          <w:bCs w:val="0"/>
          <w:color w:val="auto"/>
          <w:sz w:val="24"/>
          <w:lang w:val="cs-CZ"/>
        </w:rPr>
        <w:t xml:space="preserve">. Tím se </w:t>
      </w:r>
      <w:r>
        <w:rPr>
          <w:rStyle w:val="Zkladntext15dkovn0pt"/>
          <w:rFonts w:ascii="Calibri" w:eastAsia="Times" w:hAnsi="Calibri" w:cs="Times New Roman"/>
          <w:b w:val="0"/>
          <w:bCs w:val="0"/>
          <w:color w:val="auto"/>
          <w:sz w:val="24"/>
          <w:lang w:val="cs-CZ"/>
        </w:rPr>
        <w:t>zatemnil</w:t>
      </w:r>
      <w:r w:rsidR="003678CE">
        <w:rPr>
          <w:rStyle w:val="Zkladntext15dkovn0pt"/>
          <w:rFonts w:ascii="Calibri" w:eastAsia="Times" w:hAnsi="Calibri" w:cs="Times New Roman"/>
          <w:b w:val="0"/>
          <w:bCs w:val="0"/>
          <w:color w:val="auto"/>
          <w:sz w:val="24"/>
          <w:lang w:val="cs-CZ"/>
        </w:rPr>
        <w:t>o hyparchické postavení</w:t>
      </w:r>
      <w:r>
        <w:rPr>
          <w:rStyle w:val="Zkladntext15dkovn0pt"/>
          <w:rFonts w:ascii="Calibri" w:eastAsia="Times" w:hAnsi="Calibri" w:cs="Times New Roman"/>
          <w:b w:val="0"/>
          <w:bCs w:val="0"/>
          <w:color w:val="auto"/>
          <w:sz w:val="24"/>
          <w:lang w:val="cs-CZ"/>
        </w:rPr>
        <w:t xml:space="preserve"> </w:t>
      </w:r>
      <w:r w:rsidR="003678CE">
        <w:rPr>
          <w:rStyle w:val="Zkladntext15dkovn0pt"/>
          <w:rFonts w:ascii="Calibri" w:eastAsia="Times" w:hAnsi="Calibri" w:cs="Times New Roman"/>
          <w:b w:val="0"/>
          <w:bCs w:val="0"/>
          <w:color w:val="auto"/>
          <w:sz w:val="24"/>
          <w:lang w:val="cs-CZ"/>
        </w:rPr>
        <w:t>první substance a impoziční forma predikace, což trvá až dodnes</w:t>
      </w:r>
      <w:r>
        <w:rPr>
          <w:rStyle w:val="Zkladntext15dkovn0pt"/>
          <w:rFonts w:ascii="Calibri" w:eastAsia="Times" w:hAnsi="Calibri" w:cs="Times New Roman"/>
          <w:b w:val="0"/>
          <w:bCs w:val="0"/>
          <w:color w:val="auto"/>
          <w:sz w:val="24"/>
          <w:lang w:val="cs-CZ"/>
        </w:rPr>
        <w:t>.</w:t>
      </w:r>
      <w:r>
        <w:rPr>
          <w:rStyle w:val="Zkladntext15dkovn0pt"/>
          <w:rFonts w:ascii="Calibri" w:eastAsia="Times" w:hAnsi="Calibri" w:cs="Times New Roman"/>
          <w:b w:val="0"/>
          <w:bCs w:val="0"/>
          <w:sz w:val="24"/>
          <w:szCs w:val="20"/>
          <w:shd w:val="clear" w:color="auto" w:fill="auto"/>
          <w:lang w:val="cs-CZ"/>
        </w:rPr>
        <w:t xml:space="preserve"> </w:t>
      </w:r>
      <w:r w:rsidRPr="00273106">
        <w:t xml:space="preserve">Vlna neoplatoniků na latinském Západě provedla </w:t>
      </w:r>
      <w:r w:rsidR="006E28E5">
        <w:t xml:space="preserve">filosofickou </w:t>
      </w:r>
      <w:r w:rsidRPr="00273106">
        <w:t xml:space="preserve">destrukci první substance, protože ji redukovala </w:t>
      </w:r>
      <w:r w:rsidRPr="00273106">
        <w:rPr>
          <w:color w:val="000000"/>
        </w:rPr>
        <w:t>na pouhý sémantický význam (</w:t>
      </w:r>
      <w:r w:rsidRPr="00273106">
        <w:rPr>
          <w:i/>
          <w:color w:val="000000"/>
        </w:rPr>
        <w:t>individuum</w:t>
      </w:r>
      <w:r w:rsidRPr="00273106">
        <w:rPr>
          <w:color w:val="000000"/>
        </w:rPr>
        <w:t>). Bytí individuálního jsoucna jako první substance, které Boethius vidí jako jedinečné a mimo participaci, dostane ve škole porretánů nový význam universality a individuality</w:t>
      </w:r>
      <w:r w:rsidR="006E28E5">
        <w:rPr>
          <w:color w:val="000000"/>
        </w:rPr>
        <w:t>. Tato fakta jsou začleněna do systému moderní „ex</w:t>
      </w:r>
      <w:r>
        <w:rPr>
          <w:color w:val="000000"/>
        </w:rPr>
        <w:t>sistence“ predikované v hierarchickém modu univerzálně pojaté jsoucnosti jako nejvyššího rodu</w:t>
      </w:r>
      <w:r w:rsidRPr="00273106">
        <w:rPr>
          <w:color w:val="000000"/>
        </w:rPr>
        <w:t xml:space="preserve">. </w:t>
      </w:r>
      <w:r w:rsidR="00FA1823" w:rsidRPr="00273106">
        <w:rPr>
          <w:color w:val="000000"/>
        </w:rPr>
        <w:t xml:space="preserve">Předešlá matrice popsala spor antických neoplatoniků o pojem </w:t>
      </w:r>
      <w:r w:rsidR="086C1D41">
        <w:t>nedělitelná substance</w:t>
      </w:r>
      <w:r w:rsidR="00FA1823" w:rsidRPr="00273106">
        <w:t xml:space="preserve"> (ἄτομος οὐσία</w:t>
      </w:r>
      <w:r w:rsidR="00372E82">
        <w:fldChar w:fldCharType="begin"/>
      </w:r>
      <w:r w:rsidR="00372E82">
        <w:instrText xml:space="preserve"> XE "</w:instrText>
      </w:r>
      <w:r w:rsidR="00372E82" w:rsidRPr="00644D5F">
        <w:instrText>substance:atomární</w:instrText>
      </w:r>
      <w:r w:rsidR="00372E82">
        <w:instrText xml:space="preserve">" </w:instrText>
      </w:r>
      <w:r w:rsidR="00372E82">
        <w:fldChar w:fldCharType="end"/>
      </w:r>
      <w:r w:rsidR="00FA1823" w:rsidRPr="00273106">
        <w:t xml:space="preserve">) v rámci nového statutu </w:t>
      </w:r>
      <w:r w:rsidR="00B1298A" w:rsidRPr="00EC2A53">
        <w:t>species</w:t>
      </w:r>
      <w:r w:rsidR="00FA1823" w:rsidRPr="00273106">
        <w:t xml:space="preserve"> (</w:t>
      </w:r>
      <w:r w:rsidR="00EC2A53">
        <w:t xml:space="preserve">OBJ I, </w:t>
      </w:r>
      <w:r w:rsidR="084E7952">
        <w:t>kap. 1.3</w:t>
      </w:r>
      <w:r w:rsidR="00FA1823" w:rsidRPr="00273106">
        <w:t xml:space="preserve">.1). Vinou záměny </w:t>
      </w:r>
      <w:r w:rsidR="00B1298A" w:rsidRPr="00EC2A53">
        <w:t>species</w:t>
      </w:r>
      <w:r w:rsidR="00FA1823" w:rsidRPr="00273106">
        <w:t xml:space="preserve"> za první substance typu kosmických inteligencí vznikl </w:t>
      </w:r>
      <w:r w:rsidR="00EC2A53">
        <w:t xml:space="preserve">první </w:t>
      </w:r>
      <w:r w:rsidR="00FA1823" w:rsidRPr="00273106">
        <w:t xml:space="preserve">ontotologický model </w:t>
      </w:r>
      <w:r w:rsidR="00FA1823"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4A14E9" w:rsidRPr="004A14E9">
        <w:rPr>
          <w:rStyle w:val="Zvraznn"/>
          <w:i w:val="0"/>
        </w:rPr>
        <w:instrText>:ontologie</w:instrText>
      </w:r>
      <w:r w:rsidR="003F16A5">
        <w:instrText xml:space="preserve">" </w:instrText>
      </w:r>
      <w:r w:rsidR="003F16A5">
        <w:rPr>
          <w:i/>
        </w:rPr>
        <w:fldChar w:fldCharType="end"/>
      </w:r>
      <w:r w:rsidR="00FA1823" w:rsidRPr="00273106">
        <w:t xml:space="preserve"> u Jamblicha a Simplikia.</w:t>
      </w:r>
      <w:r w:rsidR="00FA1823">
        <w:t xml:space="preserve"> V </w:t>
      </w:r>
      <w:r w:rsidR="00874074">
        <w:t>neoplatonsk</w:t>
      </w:r>
      <w:r w:rsidR="00FA1823">
        <w:t xml:space="preserve">ém univerzu Simplikia se nedělitelnost vztahuje k primárním kosmickým </w:t>
      </w:r>
      <w:r w:rsidR="00B1298A" w:rsidRPr="00CF1827">
        <w:t>species</w:t>
      </w:r>
      <w:r w:rsidR="00FA1823">
        <w:t xml:space="preserve"> jako čistým formám </w:t>
      </w:r>
      <w:r w:rsidR="00FA1823" w:rsidRPr="005E2B99">
        <w:t xml:space="preserve">(κυριώτερόν ἐστι τῶν ἀτόμων κατὰ τὸν τῆς φύσεως λόγον, </w:t>
      </w:r>
      <w:r w:rsidR="004A14E9" w:rsidRPr="004A14E9">
        <w:rPr>
          <w:i/>
        </w:rPr>
        <w:t>Simpl. i</w:t>
      </w:r>
      <w:r w:rsidR="00FA1823" w:rsidRPr="004A14E9">
        <w:rPr>
          <w:i/>
        </w:rPr>
        <w:t>n</w:t>
      </w:r>
      <w:r w:rsidR="00FA1823" w:rsidRPr="00430BBD">
        <w:rPr>
          <w:i/>
        </w:rPr>
        <w:t xml:space="preserve"> Cat</w:t>
      </w:r>
      <w:r w:rsidR="00FA1823" w:rsidRPr="005E2B99">
        <w:t>. 85.12</w:t>
      </w:r>
      <w:r w:rsidR="00FA1823">
        <w:t>–</w:t>
      </w:r>
      <w:r w:rsidR="00FA1823" w:rsidRPr="005E2B99">
        <w:t>13</w:t>
      </w:r>
      <w:r w:rsidR="004A14E9">
        <w:fldChar w:fldCharType="begin"/>
      </w:r>
      <w:r w:rsidR="004A14E9">
        <w:instrText xml:space="preserve"> XE "Simplikius:</w:instrText>
      </w:r>
      <w:r w:rsidR="004A14E9" w:rsidRPr="00BE4507">
        <w:rPr>
          <w:i/>
        </w:rPr>
        <w:instrText>Simpl. in Cat</w:instrText>
      </w:r>
      <w:r w:rsidR="004A14E9" w:rsidRPr="00BE4507">
        <w:instrText>. 85.12–13</w:instrText>
      </w:r>
      <w:r w:rsidR="004A14E9">
        <w:instrText xml:space="preserve">" </w:instrText>
      </w:r>
      <w:r w:rsidR="004A14E9">
        <w:fldChar w:fldCharType="end"/>
      </w:r>
      <w:r w:rsidR="00FA1823" w:rsidRPr="005E2B99">
        <w:t>)</w:t>
      </w:r>
      <w:r w:rsidR="00FA1823">
        <w:t xml:space="preserve">. </w:t>
      </w:r>
      <w:r w:rsidR="006C2F98">
        <w:t xml:space="preserve">Význam </w:t>
      </w:r>
      <w:r w:rsidR="00FA1823">
        <w:t xml:space="preserve">individua je </w:t>
      </w:r>
      <w:r w:rsidR="006C2F98">
        <w:t xml:space="preserve">odvozen </w:t>
      </w:r>
      <w:r w:rsidR="00FA1823">
        <w:t>o</w:t>
      </w:r>
      <w:r w:rsidR="006C2F98">
        <w:t xml:space="preserve">d nadřazených </w:t>
      </w:r>
      <w:r w:rsidR="0099025D">
        <w:t>generických</w:t>
      </w:r>
      <w:r w:rsidR="00CF1827">
        <w:t xml:space="preserve"> </w:t>
      </w:r>
      <w:r w:rsidR="006C2F98">
        <w:t>forem</w:t>
      </w:r>
      <w:r w:rsidR="0099025D">
        <w:t xml:space="preserve"> jako </w:t>
      </w:r>
      <w:r w:rsidR="006C2F98">
        <w:t>hypostatic</w:t>
      </w:r>
      <w:r w:rsidR="0099025D">
        <w:t>kých</w:t>
      </w:r>
      <w:r w:rsidR="006C2F98">
        <w:t xml:space="preserve"> s</w:t>
      </w:r>
      <w:r w:rsidR="0099025D">
        <w:t>ubstancí</w:t>
      </w:r>
      <w:r w:rsidR="006179A2">
        <w:t xml:space="preserve">. Čím je moderní schizofrenický bůh, tím je i moderní člověk a jeho svět. </w:t>
      </w:r>
      <w:r w:rsidR="00FA1823">
        <w:t>Systém přechodu od vyšších forem k nižším je koncipován v rámci ontoteologické konstrukce metafyziky</w:t>
      </w:r>
      <w:r w:rsidR="009E67A2">
        <w:fldChar w:fldCharType="begin"/>
      </w:r>
      <w:r w:rsidR="009E67A2">
        <w:instrText xml:space="preserve"> XE "ontoteologie:porretáni" </w:instrText>
      </w:r>
      <w:r w:rsidR="009E67A2">
        <w:fldChar w:fldCharType="end"/>
      </w:r>
      <w:r w:rsidR="00FA1823">
        <w:rPr>
          <w:i/>
        </w:rPr>
        <w:t>.</w:t>
      </w:r>
      <w:r w:rsidR="00FA1823">
        <w:t xml:space="preserve"> </w:t>
      </w:r>
      <w:r w:rsidR="00FA1823" w:rsidRPr="00273106">
        <w:rPr>
          <w:color w:val="000000"/>
        </w:rPr>
        <w:t xml:space="preserve">Nedělitelná substance postavená mimo realitu tvoří konečnou </w:t>
      </w:r>
      <w:r w:rsidR="00FA1823" w:rsidRPr="00273106">
        <w:rPr>
          <w:color w:val="000000"/>
        </w:rPr>
        <w:lastRenderedPageBreak/>
        <w:t>zastávku myšlení (</w:t>
      </w:r>
      <w:r w:rsidR="00FA1823" w:rsidRPr="00273106">
        <w:rPr>
          <w:i/>
          <w:color w:val="000000"/>
        </w:rPr>
        <w:t>terminus</w:t>
      </w:r>
      <w:r w:rsidR="009E67A2">
        <w:rPr>
          <w:i/>
          <w:color w:val="000000"/>
        </w:rPr>
        <w:fldChar w:fldCharType="begin"/>
      </w:r>
      <w:r w:rsidR="009E67A2">
        <w:instrText xml:space="preserve"> XE "</w:instrText>
      </w:r>
      <w:r w:rsidR="009E67A2" w:rsidRPr="00F1366A">
        <w:rPr>
          <w:i/>
          <w:color w:val="000000"/>
        </w:rPr>
        <w:instrText>terminus</w:instrText>
      </w:r>
      <w:r w:rsidR="009E67A2">
        <w:instrText xml:space="preserve">" </w:instrText>
      </w:r>
      <w:r w:rsidR="009E67A2">
        <w:rPr>
          <w:i/>
          <w:color w:val="000000"/>
        </w:rPr>
        <w:fldChar w:fldCharType="end"/>
      </w:r>
      <w:r w:rsidR="00FA1823" w:rsidRPr="00273106">
        <w:rPr>
          <w:color w:val="000000"/>
        </w:rPr>
        <w:t xml:space="preserve">) vzhledem k nemožnosti dále dělit obecný význam na nižší formy univerzálií. </w:t>
      </w:r>
      <w:r w:rsidR="006759FD">
        <w:rPr>
          <w:color w:val="000000"/>
        </w:rPr>
        <w:t xml:space="preserve">Poslední zastávkou na cestě dělení významů je </w:t>
      </w:r>
      <w:r w:rsidR="08EE533E">
        <w:rPr>
          <w:color w:val="000000"/>
        </w:rPr>
        <w:t xml:space="preserve">individuum, protože jeho význam už nelze dále dělit. Pak je možné sofisticky </w:t>
      </w:r>
      <w:r w:rsidR="08305BE7">
        <w:rPr>
          <w:color w:val="000000"/>
        </w:rPr>
        <w:t xml:space="preserve">spojit </w:t>
      </w:r>
      <w:r w:rsidR="08EE533E">
        <w:rPr>
          <w:color w:val="000000"/>
        </w:rPr>
        <w:t xml:space="preserve">oba terminály do jedné </w:t>
      </w:r>
      <w:r w:rsidR="08305BE7">
        <w:rPr>
          <w:color w:val="000000"/>
        </w:rPr>
        <w:t xml:space="preserve">cesty </w:t>
      </w:r>
      <w:r w:rsidR="08FC3489">
        <w:rPr>
          <w:color w:val="000000"/>
        </w:rPr>
        <w:t xml:space="preserve">paranoického </w:t>
      </w:r>
      <w:r w:rsidR="08EE533E">
        <w:rPr>
          <w:color w:val="000000"/>
        </w:rPr>
        <w:t xml:space="preserve">myšlení, které se </w:t>
      </w:r>
      <w:r w:rsidR="08D50572">
        <w:rPr>
          <w:color w:val="000000"/>
        </w:rPr>
        <w:t>skrze</w:t>
      </w:r>
      <w:r w:rsidR="08FC3489">
        <w:rPr>
          <w:color w:val="000000"/>
        </w:rPr>
        <w:t xml:space="preserve"> takto zahájenou </w:t>
      </w:r>
      <w:r w:rsidR="08FC3489" w:rsidRPr="08FC3489">
        <w:rPr>
          <w:i/>
          <w:color w:val="000000"/>
        </w:rPr>
        <w:t>via Modernorum</w:t>
      </w:r>
      <w:r w:rsidR="08FC3489">
        <w:rPr>
          <w:color w:val="000000"/>
        </w:rPr>
        <w:t xml:space="preserve"> </w:t>
      </w:r>
      <w:r w:rsidR="08EE533E">
        <w:rPr>
          <w:color w:val="000000"/>
        </w:rPr>
        <w:t>stalo alfou a omegou</w:t>
      </w:r>
      <w:r w:rsidR="08D50572">
        <w:rPr>
          <w:color w:val="000000"/>
        </w:rPr>
        <w:t xml:space="preserve"> současného Západu</w:t>
      </w:r>
      <w:r w:rsidR="08EE533E">
        <w:rPr>
          <w:color w:val="000000"/>
        </w:rPr>
        <w:t xml:space="preserve">. </w:t>
      </w:r>
      <w:r w:rsidR="080F1A00">
        <w:rPr>
          <w:color w:val="000000"/>
        </w:rPr>
        <w:t>Porretáni se stali prvními nihilistickými terminátory metafyziky</w:t>
      </w:r>
      <w:r w:rsidR="08D52DD8">
        <w:rPr>
          <w:color w:val="000000"/>
        </w:rPr>
        <w:t xml:space="preserve">, protože absolutizací logiky založili dějinnou podobu </w:t>
      </w:r>
      <w:r w:rsidR="08D52DD8" w:rsidRPr="08D52DD8">
        <w:rPr>
          <w:i/>
          <w:color w:val="000000"/>
        </w:rPr>
        <w:t>circulus vitiosus</w:t>
      </w:r>
      <w:r w:rsidR="08D52DD8">
        <w:rPr>
          <w:i/>
          <w:color w:val="000000"/>
        </w:rPr>
        <w:fldChar w:fldCharType="begin"/>
      </w:r>
      <w:r w:rsidR="08D52DD8">
        <w:instrText xml:space="preserve"> XE "</w:instrText>
      </w:r>
      <w:r w:rsidR="08D52DD8" w:rsidRPr="08AB6442">
        <w:rPr>
          <w:i/>
          <w:color w:val="000000"/>
        </w:rPr>
        <w:instrText>circulus vitiosus</w:instrText>
      </w:r>
      <w:r w:rsidR="08D52DD8">
        <w:instrText xml:space="preserve">" </w:instrText>
      </w:r>
      <w:r w:rsidR="08D52DD8">
        <w:rPr>
          <w:i/>
          <w:color w:val="000000"/>
        </w:rPr>
        <w:fldChar w:fldCharType="end"/>
      </w:r>
      <w:r w:rsidR="08D52DD8">
        <w:rPr>
          <w:color w:val="000000"/>
        </w:rPr>
        <w:t xml:space="preserve"> charakterující myšlení nové epochy.</w:t>
      </w:r>
      <w:r w:rsidR="08BD6948">
        <w:rPr>
          <w:color w:val="000000"/>
        </w:rPr>
        <w:t xml:space="preserve"> To je hlav</w:t>
      </w:r>
      <w:r w:rsidR="08D52DD8">
        <w:rPr>
          <w:color w:val="000000"/>
        </w:rPr>
        <w:t>n</w:t>
      </w:r>
      <w:r w:rsidR="08BD6948">
        <w:rPr>
          <w:color w:val="000000"/>
        </w:rPr>
        <w:t>í důvod, proč h</w:t>
      </w:r>
      <w:r w:rsidR="080F1A00">
        <w:rPr>
          <w:color w:val="000000"/>
        </w:rPr>
        <w:t>ermeneutika obj</w:t>
      </w:r>
      <w:r w:rsidR="08521185">
        <w:rPr>
          <w:color w:val="000000"/>
        </w:rPr>
        <w:t>ek</w:t>
      </w:r>
      <w:r w:rsidR="080F1A00">
        <w:rPr>
          <w:color w:val="000000"/>
        </w:rPr>
        <w:t>tiv</w:t>
      </w:r>
      <w:r w:rsidR="08521185">
        <w:rPr>
          <w:color w:val="000000"/>
        </w:rPr>
        <w:t>i</w:t>
      </w:r>
      <w:r w:rsidR="080F1A00">
        <w:rPr>
          <w:color w:val="000000"/>
        </w:rPr>
        <w:t xml:space="preserve">ty považuje </w:t>
      </w:r>
      <w:r w:rsidR="08521185">
        <w:rPr>
          <w:color w:val="000000"/>
        </w:rPr>
        <w:t xml:space="preserve">tyto sofisty </w:t>
      </w:r>
      <w:r w:rsidR="080F1A00">
        <w:rPr>
          <w:color w:val="000000"/>
        </w:rPr>
        <w:t xml:space="preserve">za zakladatele </w:t>
      </w:r>
      <w:r w:rsidR="08521185">
        <w:rPr>
          <w:color w:val="000000"/>
        </w:rPr>
        <w:t xml:space="preserve">latinské </w:t>
      </w:r>
      <w:r w:rsidR="080F1A00">
        <w:rPr>
          <w:color w:val="000000"/>
        </w:rPr>
        <w:t xml:space="preserve">moderny. </w:t>
      </w:r>
      <w:r w:rsidR="08B323E1">
        <w:t xml:space="preserve">Latinský výraz </w:t>
      </w:r>
      <w:r w:rsidR="08B323E1" w:rsidRPr="00273106">
        <w:rPr>
          <w:i/>
        </w:rPr>
        <w:t>terminus</w:t>
      </w:r>
      <w:r w:rsidR="08B323E1" w:rsidRPr="00273106">
        <w:t xml:space="preserve"> přesně vystihuje celý proces nominalistické abstrakce a individuace, který končí u nové formy první substance. </w:t>
      </w:r>
      <w:r w:rsidR="08B323E1" w:rsidRPr="00273106">
        <w:rPr>
          <w:color w:val="000000"/>
        </w:rPr>
        <w:t>Pohyb specifické diference se zastaví u posledního členu série univočního dělení</w:t>
      </w:r>
      <w:r w:rsidR="08B323E1">
        <w:rPr>
          <w:color w:val="000000"/>
        </w:rPr>
        <w:t xml:space="preserve"> </w:t>
      </w:r>
      <w:r w:rsidR="006A04C6" w:rsidRPr="006A04C6">
        <w:rPr>
          <w:color w:val="000000"/>
        </w:rPr>
        <w:t>species</w:t>
      </w:r>
      <w:r w:rsidR="08B323E1" w:rsidRPr="00273106">
        <w:rPr>
          <w:color w:val="000000"/>
        </w:rPr>
        <w:t xml:space="preserve">, který již nelze dále dělit v rámci </w:t>
      </w:r>
      <w:r w:rsidR="08B323E1">
        <w:rPr>
          <w:color w:val="000000"/>
        </w:rPr>
        <w:t>Porfyri</w:t>
      </w:r>
      <w:r w:rsidR="08B323E1" w:rsidRPr="00273106">
        <w:rPr>
          <w:color w:val="000000"/>
        </w:rPr>
        <w:t>ova stromu (</w:t>
      </w:r>
      <w:r w:rsidR="08B323E1" w:rsidRPr="00273106">
        <w:rPr>
          <w:i/>
          <w:color w:val="000000"/>
        </w:rPr>
        <w:t>individuum</w:t>
      </w:r>
      <w:r w:rsidR="08B323E1" w:rsidRPr="00273106">
        <w:rPr>
          <w:color w:val="000000"/>
        </w:rPr>
        <w:t xml:space="preserve">). </w:t>
      </w:r>
      <w:r w:rsidR="00FA1823" w:rsidRPr="00273106">
        <w:t>Dialektické dělení negativně vymezuje poslední „zá</w:t>
      </w:r>
      <w:r w:rsidR="00FA1823" w:rsidRPr="00273106">
        <w:noBreakHyphen/>
        <w:t>mezí“ (</w:t>
      </w:r>
      <w:r w:rsidR="00FA1823" w:rsidRPr="00273106">
        <w:rPr>
          <w:i/>
        </w:rPr>
        <w:t>de</w:t>
      </w:r>
      <w:r w:rsidR="00FA1823" w:rsidRPr="00273106">
        <w:rPr>
          <w:i/>
        </w:rPr>
        <w:noBreakHyphen/>
        <w:t>terminatio</w:t>
      </w:r>
      <w:r w:rsidR="00FA1823" w:rsidRPr="00273106">
        <w:t>) dané za poslední operací univerzálního třídě</w:t>
      </w:r>
      <w:r w:rsidR="08B323E1">
        <w:t xml:space="preserve">ní a predikace. </w:t>
      </w:r>
      <w:r w:rsidR="00FA1823" w:rsidRPr="00273106">
        <w:t>N</w:t>
      </w:r>
      <w:r w:rsidR="00FA1823" w:rsidRPr="00273106">
        <w:rPr>
          <w:color w:val="000000"/>
        </w:rPr>
        <w:t>emožnost dělení je pozitivně vyvážena nekonečnou možností predikace specifických kvalit vzhledem k nově utvořenému substrátu (</w:t>
      </w:r>
      <w:r w:rsidR="00FA1823" w:rsidRPr="00273106">
        <w:rPr>
          <w:i/>
          <w:color w:val="000000"/>
        </w:rPr>
        <w:t>aliquid, id est subsistens</w:t>
      </w:r>
      <w:r w:rsidR="009E67A2">
        <w:fldChar w:fldCharType="begin"/>
      </w:r>
      <w:r w:rsidR="009E67A2">
        <w:instrText xml:space="preserve"> XE "subsistence:porretáni" </w:instrText>
      </w:r>
      <w:r w:rsidR="009E67A2">
        <w:fldChar w:fldCharType="end"/>
      </w:r>
      <w:r w:rsidR="00FA1823" w:rsidRPr="00273106">
        <w:rPr>
          <w:color w:val="000000"/>
        </w:rPr>
        <w:t xml:space="preserve">) determinovanému </w:t>
      </w:r>
      <w:r w:rsidR="00184EE2">
        <w:rPr>
          <w:color w:val="000000"/>
        </w:rPr>
        <w:t xml:space="preserve">univerzální </w:t>
      </w:r>
      <w:r w:rsidR="00FA1823" w:rsidRPr="00273106">
        <w:rPr>
          <w:color w:val="000000"/>
        </w:rPr>
        <w:t>dělitelností formálně určené esence</w:t>
      </w:r>
      <w:r w:rsidR="00485643">
        <w:rPr>
          <w:i/>
          <w:iCs/>
        </w:rPr>
        <w:fldChar w:fldCharType="begin"/>
      </w:r>
      <w:r w:rsidR="00485643">
        <w:instrText xml:space="preserve"> XE "esence:druhý averroismus" </w:instrText>
      </w:r>
      <w:r w:rsidR="00485643">
        <w:rPr>
          <w:i/>
          <w:iCs/>
        </w:rPr>
        <w:fldChar w:fldCharType="end"/>
      </w:r>
      <w:r w:rsidR="00FA1823" w:rsidRPr="00273106">
        <w:rPr>
          <w:color w:val="000000"/>
        </w:rPr>
        <w:t>.</w:t>
      </w:r>
    </w:p>
    <w:p w14:paraId="7DC9583E" w14:textId="0E6A3578" w:rsidR="00C02751" w:rsidRDefault="082A4F1C" w:rsidP="001A0A62">
      <w:pPr>
        <w:ind w:firstLine="397"/>
        <w:rPr>
          <w:iCs/>
        </w:rPr>
      </w:pPr>
      <w:r>
        <w:t>S</w:t>
      </w:r>
      <w:r w:rsidRPr="00273106">
        <w:t xml:space="preserve">chopnost formálního dělení reality založila skrze novověký avicennismus známou jansenistickou logickou školu v pařížském klášteře </w:t>
      </w:r>
      <w:r w:rsidRPr="00273106">
        <w:rPr>
          <w:rStyle w:val="mw-headline"/>
        </w:rPr>
        <w:t>Port-Royal</w:t>
      </w:r>
      <w:r>
        <w:t xml:space="preserve">. Antoine </w:t>
      </w:r>
      <w:r w:rsidRPr="00273106">
        <w:t>Arnauld</w:t>
      </w:r>
      <w:r>
        <w:fldChar w:fldCharType="begin"/>
      </w:r>
      <w:r>
        <w:instrText xml:space="preserve"> XE "Arnauld, A</w:instrText>
      </w:r>
      <w:r w:rsidRPr="00EF1828">
        <w:instrText>.</w:instrText>
      </w:r>
      <w:r>
        <w:instrText xml:space="preserve">" </w:instrText>
      </w:r>
      <w:r>
        <w:fldChar w:fldCharType="end"/>
      </w:r>
      <w:r w:rsidRPr="00273106">
        <w:t xml:space="preserve"> a Blaise Pascal</w:t>
      </w:r>
      <w:r>
        <w:fldChar w:fldCharType="begin"/>
      </w:r>
      <w:r>
        <w:instrText xml:space="preserve"> XE "</w:instrText>
      </w:r>
      <w:r w:rsidRPr="002D3C8D">
        <w:instrText>Pascal, B.</w:instrText>
      </w:r>
      <w:r>
        <w:instrText xml:space="preserve">" </w:instrText>
      </w:r>
      <w:r>
        <w:fldChar w:fldCharType="end"/>
      </w:r>
      <w:r w:rsidRPr="00273106">
        <w:t xml:space="preserve"> spisem </w:t>
      </w:r>
      <w:r w:rsidRPr="00273106">
        <w:rPr>
          <w:i/>
          <w:iCs/>
        </w:rPr>
        <w:t>La logique, ou l'art de penser</w:t>
      </w:r>
      <w:r w:rsidR="00630B2A">
        <w:t xml:space="preserve"> (166</w:t>
      </w:r>
      <w:r w:rsidR="0093385B">
        <w:t>2</w:t>
      </w:r>
      <w:r w:rsidRPr="00273106">
        <w:t>) odkázali světu objektivní třídění realit</w:t>
      </w:r>
      <w:r>
        <w:t>y v řádu logicky čistého jazyka</w:t>
      </w:r>
      <w:r w:rsidRPr="00273106">
        <w:t>.</w:t>
      </w:r>
      <w:r w:rsidR="0093385B">
        <w:rPr>
          <w:rStyle w:val="Znakapoznpodarou"/>
        </w:rPr>
        <w:footnoteReference w:id="56"/>
      </w:r>
      <w:r>
        <w:t xml:space="preserve"> </w:t>
      </w:r>
      <w:r w:rsidR="00FA1823" w:rsidRPr="00273106">
        <w:rPr>
          <w:color w:val="000000"/>
        </w:rPr>
        <w:t xml:space="preserve">Nové dělení kvalit v rámci </w:t>
      </w:r>
      <w:r w:rsidR="00BB45B1">
        <w:rPr>
          <w:color w:val="000000"/>
        </w:rPr>
        <w:t>Porfyri</w:t>
      </w:r>
      <w:r w:rsidR="00FA1823" w:rsidRPr="00273106">
        <w:rPr>
          <w:color w:val="000000"/>
        </w:rPr>
        <w:t xml:space="preserve">ova stromu univerzálií nezakládá jen </w:t>
      </w:r>
      <w:r w:rsidR="084B7BCF">
        <w:rPr>
          <w:color w:val="000000"/>
        </w:rPr>
        <w:t xml:space="preserve">osvícenou </w:t>
      </w:r>
      <w:r w:rsidR="08DE7AF9">
        <w:rPr>
          <w:color w:val="000000"/>
        </w:rPr>
        <w:t xml:space="preserve">postmodernu, ale i </w:t>
      </w:r>
      <w:r w:rsidR="084B7BCF">
        <w:rPr>
          <w:color w:val="000000"/>
        </w:rPr>
        <w:t xml:space="preserve">současný </w:t>
      </w:r>
      <w:r w:rsidR="00FA1823" w:rsidRPr="00273106">
        <w:rPr>
          <w:color w:val="000000"/>
        </w:rPr>
        <w:t>post</w:t>
      </w:r>
      <w:r w:rsidR="00FA1823" w:rsidRPr="00273106">
        <w:rPr>
          <w:color w:val="000000"/>
        </w:rPr>
        <w:noBreakHyphen/>
        <w:t>strukturalismu</w:t>
      </w:r>
      <w:r w:rsidR="08DE7AF9">
        <w:rPr>
          <w:color w:val="000000"/>
        </w:rPr>
        <w:t>s daný v epoše metafyzického nihilismu</w:t>
      </w:r>
      <w:r w:rsidR="00FA1823" w:rsidRPr="00273106">
        <w:rPr>
          <w:color w:val="000000"/>
        </w:rPr>
        <w:t>.</w:t>
      </w:r>
      <w:r w:rsidR="08343152">
        <w:rPr>
          <w:color w:val="000000"/>
        </w:rPr>
        <w:t xml:space="preserve"> </w:t>
      </w:r>
      <w:r w:rsidR="004E4F37">
        <w:rPr>
          <w:color w:val="000000"/>
        </w:rPr>
        <w:t xml:space="preserve">Ferdinand de </w:t>
      </w:r>
      <w:r w:rsidR="085E727E">
        <w:t>Saussure</w:t>
      </w:r>
      <w:r w:rsidR="085E727E">
        <w:fldChar w:fldCharType="begin"/>
      </w:r>
      <w:r w:rsidR="085E727E">
        <w:instrText xml:space="preserve"> XE "</w:instrText>
      </w:r>
      <w:r w:rsidR="085E727E" w:rsidRPr="00FE4D63">
        <w:instrText>Saussure, F.</w:instrText>
      </w:r>
      <w:r w:rsidR="085E727E">
        <w:instrText xml:space="preserve">" </w:instrText>
      </w:r>
      <w:r w:rsidR="085E727E">
        <w:fldChar w:fldCharType="end"/>
      </w:r>
      <w:r w:rsidR="085E727E">
        <w:t xml:space="preserve"> jako z</w:t>
      </w:r>
      <w:r w:rsidR="085E727E" w:rsidRPr="00273106">
        <w:t xml:space="preserve">akladatel moderní lingvistiky ukázal, jak v systému diferencí vzniká význam </w:t>
      </w:r>
      <w:r w:rsidR="085E727E">
        <w:t xml:space="preserve">plně </w:t>
      </w:r>
      <w:r w:rsidR="085E727E" w:rsidRPr="082701E5">
        <w:rPr>
          <w:i/>
        </w:rPr>
        <w:t>ex nihilo</w:t>
      </w:r>
      <w:r w:rsidR="085E727E">
        <w:rPr>
          <w:i/>
        </w:rPr>
        <w:fldChar w:fldCharType="begin"/>
      </w:r>
      <w:r w:rsidR="085E727E">
        <w:instrText xml:space="preserve"> XE "</w:instrText>
      </w:r>
      <w:r w:rsidR="085E727E" w:rsidRPr="08BB4BBF">
        <w:rPr>
          <w:i/>
        </w:rPr>
        <w:instrText>creatio ex nihilo</w:instrText>
      </w:r>
      <w:r w:rsidR="085E727E">
        <w:instrText xml:space="preserve">" </w:instrText>
      </w:r>
      <w:r w:rsidR="085E727E">
        <w:rPr>
          <w:i/>
        </w:rPr>
        <w:fldChar w:fldCharType="end"/>
      </w:r>
      <w:r w:rsidR="085E727E" w:rsidRPr="00273106">
        <w:t>.</w:t>
      </w:r>
      <w:r w:rsidR="085E727E" w:rsidRPr="00273106">
        <w:rPr>
          <w:rStyle w:val="Znakapoznpodarou"/>
        </w:rPr>
        <w:footnoteReference w:id="57"/>
      </w:r>
      <w:r w:rsidR="085E727E" w:rsidRPr="00273106">
        <w:t xml:space="preserve"> </w:t>
      </w:r>
      <w:r w:rsidR="08026C75">
        <w:t xml:space="preserve">Stejným způsobem post-strukturalista </w:t>
      </w:r>
      <w:r w:rsidR="00597D47">
        <w:lastRenderedPageBreak/>
        <w:t xml:space="preserve">Michel </w:t>
      </w:r>
      <w:r w:rsidR="08026C75">
        <w:t>Foucault</w:t>
      </w:r>
      <w:r w:rsidR="08026C75">
        <w:fldChar w:fldCharType="begin"/>
      </w:r>
      <w:r w:rsidR="08026C75">
        <w:instrText xml:space="preserve"> XE "</w:instrText>
      </w:r>
      <w:r w:rsidR="08026C75" w:rsidRPr="000E387F">
        <w:instrText>Foucault, M.</w:instrText>
      </w:r>
      <w:r w:rsidR="08026C75">
        <w:instrText xml:space="preserve">" </w:instrText>
      </w:r>
      <w:r w:rsidR="08026C75">
        <w:fldChar w:fldCharType="end"/>
      </w:r>
      <w:r w:rsidR="08026C75">
        <w:t xml:space="preserve"> určil základní místo produkce významu pro vědy o člověku (</w:t>
      </w:r>
      <w:r w:rsidR="08026C75">
        <w:rPr>
          <w:i/>
        </w:rPr>
        <w:t xml:space="preserve">Les mots et les choses, </w:t>
      </w:r>
      <w:r w:rsidR="08026C75" w:rsidRPr="00273106">
        <w:t>1966).</w:t>
      </w:r>
      <w:r w:rsidR="08026C75">
        <w:t xml:space="preserve"> </w:t>
      </w:r>
      <w:r w:rsidR="00597D47">
        <w:t>Jacques Derrida</w:t>
      </w:r>
      <w:r w:rsidR="085E727E">
        <w:fldChar w:fldCharType="begin"/>
      </w:r>
      <w:r w:rsidR="085E727E">
        <w:instrText xml:space="preserve"> XE "</w:instrText>
      </w:r>
      <w:r w:rsidR="085E727E" w:rsidRPr="00BF49AA">
        <w:instrText>Derrida, J.</w:instrText>
      </w:r>
      <w:r w:rsidR="085E727E">
        <w:instrText xml:space="preserve">" </w:instrText>
      </w:r>
      <w:r w:rsidR="085E727E">
        <w:fldChar w:fldCharType="end"/>
      </w:r>
      <w:r w:rsidR="00597D47">
        <w:t xml:space="preserve"> popírající</w:t>
      </w:r>
      <w:r w:rsidR="085E727E" w:rsidRPr="00273106">
        <w:t xml:space="preserve"> </w:t>
      </w:r>
      <w:r w:rsidR="00597D47">
        <w:t>tzv. „</w:t>
      </w:r>
      <w:r w:rsidR="085E727E" w:rsidRPr="00273106">
        <w:t>logocentrismus</w:t>
      </w:r>
      <w:r w:rsidR="00597D47">
        <w:t>“</w:t>
      </w:r>
      <w:r w:rsidR="085E727E">
        <w:fldChar w:fldCharType="begin"/>
      </w:r>
      <w:r w:rsidR="085E727E">
        <w:instrText xml:space="preserve"> XE "</w:instrText>
      </w:r>
      <w:r w:rsidR="085E727E" w:rsidRPr="003311B5">
        <w:instrText>logocentrismus</w:instrText>
      </w:r>
      <w:r w:rsidR="085E727E">
        <w:instrText xml:space="preserve">" </w:instrText>
      </w:r>
      <w:r w:rsidR="085E727E">
        <w:fldChar w:fldCharType="end"/>
      </w:r>
      <w:r w:rsidR="085E727E" w:rsidRPr="00273106">
        <w:t xml:space="preserve"> </w:t>
      </w:r>
      <w:r w:rsidR="085E727E">
        <w:t xml:space="preserve">ve filosofii </w:t>
      </w:r>
      <w:r w:rsidR="00597D47">
        <w:t>si vystačil</w:t>
      </w:r>
      <w:r w:rsidR="085E727E" w:rsidRPr="00273106">
        <w:t xml:space="preserve"> k ustavení významu </w:t>
      </w:r>
      <w:r w:rsidR="00597D47">
        <w:t xml:space="preserve">s </w:t>
      </w:r>
      <w:r w:rsidR="085E727E" w:rsidRPr="00273106">
        <w:t>pouhý</w:t>
      </w:r>
      <w:r w:rsidR="00597D47">
        <w:t>m</w:t>
      </w:r>
      <w:r w:rsidR="085E727E" w:rsidRPr="00273106">
        <w:t xml:space="preserve"> pohyb</w:t>
      </w:r>
      <w:r w:rsidR="00597D47">
        <w:t>em</w:t>
      </w:r>
      <w:r w:rsidR="085E727E" w:rsidRPr="00273106">
        <w:t xml:space="preserve"> diference jako takové</w:t>
      </w:r>
      <w:r w:rsidR="08395EFE">
        <w:t xml:space="preserve">. </w:t>
      </w:r>
      <w:r w:rsidR="08F05D48">
        <w:t>P</w:t>
      </w:r>
      <w:r w:rsidR="08343152">
        <w:t>ojem „différ</w:t>
      </w:r>
      <w:r w:rsidR="08343152" w:rsidRPr="00215BA5">
        <w:rPr>
          <w:i/>
        </w:rPr>
        <w:t>a</w:t>
      </w:r>
      <w:r w:rsidR="08343152">
        <w:t>nce</w:t>
      </w:r>
      <w:r w:rsidR="085E727E">
        <w:rPr>
          <w:color w:val="000000"/>
        </w:rPr>
        <w:fldChar w:fldCharType="begin"/>
      </w:r>
      <w:r w:rsidR="085E727E">
        <w:instrText xml:space="preserve"> XE "</w:instrText>
      </w:r>
      <w:r w:rsidR="085E727E" w:rsidRPr="00015CB8">
        <w:rPr>
          <w:color w:val="000000"/>
        </w:rPr>
        <w:instrText>différ</w:instrText>
      </w:r>
      <w:r w:rsidR="085E727E" w:rsidRPr="00015CB8">
        <w:rPr>
          <w:i/>
          <w:color w:val="000000"/>
        </w:rPr>
        <w:instrText>a</w:instrText>
      </w:r>
      <w:r w:rsidR="085E727E" w:rsidRPr="00015CB8">
        <w:rPr>
          <w:color w:val="000000"/>
        </w:rPr>
        <w:instrText>nce</w:instrText>
      </w:r>
      <w:r w:rsidR="085E727E">
        <w:instrText xml:space="preserve">" </w:instrText>
      </w:r>
      <w:r w:rsidR="085E727E">
        <w:rPr>
          <w:color w:val="000000"/>
        </w:rPr>
        <w:fldChar w:fldCharType="end"/>
      </w:r>
      <w:r w:rsidR="08343152">
        <w:t>“ («</w:t>
      </w:r>
      <w:r w:rsidR="08343152">
        <w:rPr>
          <w:i/>
        </w:rPr>
        <w:t>Genè</w:t>
      </w:r>
      <w:r w:rsidR="08343152" w:rsidRPr="00215BA5">
        <w:rPr>
          <w:i/>
        </w:rPr>
        <w:t>se et structure</w:t>
      </w:r>
      <w:r w:rsidR="08343152">
        <w:rPr>
          <w:i/>
        </w:rPr>
        <w:t>»</w:t>
      </w:r>
      <w:r w:rsidR="08343152" w:rsidRPr="00215BA5">
        <w:rPr>
          <w:i/>
        </w:rPr>
        <w:t xml:space="preserve"> et la phénoménologie</w:t>
      </w:r>
      <w:r w:rsidR="08343152">
        <w:t>, 1959) aplikuje princip porretánského dělení nejprve v rámci Saussurovy</w:t>
      </w:r>
      <w:r w:rsidR="08343152">
        <w:fldChar w:fldCharType="begin"/>
      </w:r>
      <w:r w:rsidR="08343152">
        <w:instrText xml:space="preserve"> XE "</w:instrText>
      </w:r>
      <w:r w:rsidR="08343152" w:rsidRPr="00393285">
        <w:instrText>Saussure, F.</w:instrText>
      </w:r>
      <w:r w:rsidR="08343152">
        <w:instrText xml:space="preserve">" </w:instrText>
      </w:r>
      <w:r w:rsidR="08343152">
        <w:fldChar w:fldCharType="end"/>
      </w:r>
      <w:r w:rsidR="08343152">
        <w:t xml:space="preserve"> diferenciační hodnoty ligivistického znaku (</w:t>
      </w:r>
      <w:r w:rsidR="08343152" w:rsidRPr="006A0070">
        <w:rPr>
          <w:i/>
        </w:rPr>
        <w:t>valeur</w:t>
      </w:r>
      <w:r w:rsidR="08343152">
        <w:t>) a následné strukturalistické diference uplatňované v nejprve v systému fonologie a později i struktuální antropologie</w:t>
      </w:r>
      <w:r w:rsidR="08343152">
        <w:fldChar w:fldCharType="begin"/>
      </w:r>
      <w:r w:rsidR="08343152">
        <w:instrText xml:space="preserve"> XE "</w:instrText>
      </w:r>
      <w:r w:rsidR="08343152" w:rsidRPr="00FE342E">
        <w:instrText>antropologie</w:instrText>
      </w:r>
      <w:r w:rsidR="08343152">
        <w:instrText xml:space="preserve">" </w:instrText>
      </w:r>
      <w:r w:rsidR="08343152">
        <w:fldChar w:fldCharType="end"/>
      </w:r>
      <w:r w:rsidR="08343152">
        <w:t xml:space="preserve"> (</w:t>
      </w:r>
      <w:r w:rsidR="08343152" w:rsidRPr="001736CA">
        <w:rPr>
          <w:rStyle w:val="st"/>
          <w:bCs/>
          <w:i/>
        </w:rPr>
        <w:t>écart différentiel</w:t>
      </w:r>
      <w:r w:rsidR="08343152">
        <w:t>).</w:t>
      </w:r>
      <w:r w:rsidR="00FA1823" w:rsidRPr="00273106">
        <w:rPr>
          <w:rStyle w:val="Znakapoznpodarou"/>
          <w:color w:val="000000"/>
        </w:rPr>
        <w:footnoteReference w:id="58"/>
      </w:r>
      <w:r w:rsidR="00FA1823" w:rsidRPr="00273106">
        <w:rPr>
          <w:color w:val="000000"/>
        </w:rPr>
        <w:t xml:space="preserve"> </w:t>
      </w:r>
      <w:r w:rsidR="000A0072">
        <w:rPr>
          <w:iCs/>
        </w:rPr>
        <w:t>Metafyzický nihilismus v pojetí post</w:t>
      </w:r>
      <w:r w:rsidR="000A0072">
        <w:rPr>
          <w:iCs/>
        </w:rPr>
        <w:noBreakHyphen/>
        <w:t xml:space="preserve">strukturalistického </w:t>
      </w:r>
      <w:r w:rsidR="08160609">
        <w:rPr>
          <w:iCs/>
        </w:rPr>
        <w:t xml:space="preserve">Foucaulta a </w:t>
      </w:r>
      <w:r w:rsidR="000A0072">
        <w:rPr>
          <w:iCs/>
        </w:rPr>
        <w:t xml:space="preserve">Derridy zopakoval na konci 20. století původní postup </w:t>
      </w:r>
      <w:r w:rsidR="000A0072" w:rsidRPr="00215BA5">
        <w:rPr>
          <w:i/>
          <w:iCs/>
        </w:rPr>
        <w:t>Nominales</w:t>
      </w:r>
      <w:r w:rsidR="000A0072">
        <w:rPr>
          <w:iCs/>
        </w:rPr>
        <w:t xml:space="preserve"> začínajících u nejsoucna a končících u individua jako </w:t>
      </w:r>
      <w:r w:rsidR="000A0072" w:rsidRPr="00861D3C">
        <w:rPr>
          <w:iCs/>
        </w:rPr>
        <w:t>terminálního pohybu</w:t>
      </w:r>
      <w:r w:rsidR="000A0072">
        <w:rPr>
          <w:i/>
          <w:iCs/>
        </w:rPr>
        <w:t xml:space="preserve"> </w:t>
      </w:r>
      <w:r w:rsidR="000A0072">
        <w:rPr>
          <w:iCs/>
        </w:rPr>
        <w:t>čisté d</w:t>
      </w:r>
      <w:r w:rsidR="00C02751">
        <w:rPr>
          <w:iCs/>
        </w:rPr>
        <w:t>iference.</w:t>
      </w:r>
    </w:p>
    <w:p w14:paraId="19A72147" w14:textId="532E6CE9" w:rsidR="005778FF" w:rsidRPr="086474D7" w:rsidRDefault="00FA1823" w:rsidP="00C02751">
      <w:pPr>
        <w:ind w:firstLine="397"/>
        <w:rPr>
          <w:rStyle w:val="st"/>
          <w:iCs/>
        </w:rPr>
      </w:pPr>
      <w:r w:rsidRPr="00140634">
        <w:t xml:space="preserve">Porretáni se vrátili k </w:t>
      </w:r>
      <w:r w:rsidR="00874074">
        <w:t>neoplatonsk</w:t>
      </w:r>
      <w:r w:rsidRPr="00140634">
        <w:t xml:space="preserve">é tradici a zrušili návaznost kategoriální predikace na aristotelský výklad </w:t>
      </w:r>
      <w:r w:rsidRPr="086B45CC">
        <w:rPr>
          <w:i/>
        </w:rPr>
        <w:t>Kategorií</w:t>
      </w:r>
      <w:r w:rsidRPr="00140634">
        <w:t>, který Boethius</w:t>
      </w:r>
      <w:r w:rsidR="00DF1F0F">
        <w:fldChar w:fldCharType="begin"/>
      </w:r>
      <w:r w:rsidR="00DF1F0F">
        <w:instrText xml:space="preserve"> XE "</w:instrText>
      </w:r>
      <w:r w:rsidR="00DF1F0F" w:rsidRPr="00521677">
        <w:rPr>
          <w:lang w:eastAsia="en-US"/>
        </w:rPr>
        <w:instrText>Boethius, Anicius</w:instrText>
      </w:r>
      <w:r w:rsidR="00DF1F0F">
        <w:instrText xml:space="preserve">" </w:instrText>
      </w:r>
      <w:r w:rsidR="00DF1F0F">
        <w:fldChar w:fldCharType="end"/>
      </w:r>
      <w:r w:rsidRPr="00140634">
        <w:t xml:space="preserve"> v otázce participace výslovně postavil proti neoplatonismu.</w:t>
      </w:r>
      <w:r w:rsidR="087E3644">
        <w:rPr>
          <w:rStyle w:val="Zkladntext15dkovn0pt"/>
          <w:rFonts w:ascii="Calibri" w:eastAsia="Times" w:hAnsi="Calibri" w:cs="Times New Roman"/>
          <w:b w:val="0"/>
          <w:bCs w:val="0"/>
          <w:sz w:val="24"/>
          <w:szCs w:val="20"/>
          <w:shd w:val="clear" w:color="auto" w:fill="auto"/>
          <w:lang w:val="cs-CZ"/>
        </w:rPr>
        <w:t xml:space="preserve"> </w:t>
      </w:r>
      <w:r w:rsidR="083E04BB">
        <w:t xml:space="preserve">Ve druhé polovině 12. století </w:t>
      </w:r>
      <w:r w:rsidR="083E04BB" w:rsidRPr="00273106">
        <w:t>začíná na Západ pronikat Avicennova metafyzika, která tematizovala jsoucno třetího druhu jako čistou esenci (</w:t>
      </w:r>
      <w:r w:rsidR="083E04BB" w:rsidRPr="00273106">
        <w:rPr>
          <w:i/>
        </w:rPr>
        <w:t>hoc esse tantum</w:t>
      </w:r>
      <w:r w:rsidR="083E04BB">
        <w:rPr>
          <w:i/>
        </w:rPr>
        <w:fldChar w:fldCharType="begin"/>
      </w:r>
      <w:r w:rsidR="083E04BB">
        <w:instrText xml:space="preserve"> XE "</w:instrText>
      </w:r>
      <w:r w:rsidR="083E04BB" w:rsidRPr="005A071C">
        <w:rPr>
          <w:i/>
          <w:lang w:eastAsia="en-US"/>
        </w:rPr>
        <w:instrText>hoc esse tantum</w:instrText>
      </w:r>
      <w:r w:rsidR="083E04BB" w:rsidRPr="007D2500">
        <w:rPr>
          <w:lang w:eastAsia="en-US"/>
        </w:rPr>
        <w:instrText>:porretáni</w:instrText>
      </w:r>
      <w:r w:rsidR="083E04BB">
        <w:instrText xml:space="preserve">" </w:instrText>
      </w:r>
      <w:r w:rsidR="083E04BB">
        <w:rPr>
          <w:i/>
        </w:rPr>
        <w:fldChar w:fldCharType="end"/>
      </w:r>
      <w:r w:rsidR="083E04BB" w:rsidRPr="00273106">
        <w:t xml:space="preserve">, </w:t>
      </w:r>
      <w:r w:rsidR="008850EA">
        <w:t xml:space="preserve">OBJ I, </w:t>
      </w:r>
      <w:r w:rsidR="083E04BB" w:rsidRPr="00273106">
        <w:t>kap. 2.3.2). V</w:t>
      </w:r>
      <w:r w:rsidR="083E04BB">
        <w:t xml:space="preserve"> následující epoše dostane ono </w:t>
      </w:r>
      <w:r w:rsidR="083E04BB" w:rsidRPr="00273106">
        <w:rPr>
          <w:i/>
        </w:rPr>
        <w:t>tantum esse</w:t>
      </w:r>
      <w:r w:rsidR="083E04BB" w:rsidRPr="00273106">
        <w:t xml:space="preserve"> logiků a </w:t>
      </w:r>
      <w:r w:rsidR="083E04BB">
        <w:t xml:space="preserve">gramatiků </w:t>
      </w:r>
      <w:r w:rsidR="083E04BB" w:rsidRPr="00273106">
        <w:t>porretánské školy úplně nový charakter</w:t>
      </w:r>
      <w:r w:rsidR="08E94944">
        <w:t xml:space="preserve"> daný již metafyzicky. Důkaz</w:t>
      </w:r>
      <w:r w:rsidR="083E04BB" w:rsidRPr="00273106">
        <w:t xml:space="preserve"> této syntézy </w:t>
      </w:r>
      <w:r w:rsidR="08E94944">
        <w:t>podávají logické spisy</w:t>
      </w:r>
      <w:r w:rsidR="083E04BB">
        <w:t xml:space="preserve"> porretánských škol, v nichž lze najít první přechod z logického pojmu</w:t>
      </w:r>
      <w:r w:rsidR="082B7C11">
        <w:t xml:space="preserve"> bytí, nutnosti, substance atd. do systému nové metafyzi</w:t>
      </w:r>
      <w:r w:rsidR="083E04BB">
        <w:t>k</w:t>
      </w:r>
      <w:r w:rsidR="082B7C11">
        <w:t>y</w:t>
      </w:r>
      <w:r w:rsidR="08BB6DFB">
        <w:t xml:space="preserve"> škol </w:t>
      </w:r>
      <w:r w:rsidR="08BB6DFB" w:rsidRPr="08BB6DFB">
        <w:rPr>
          <w:i/>
        </w:rPr>
        <w:t>Nominales</w:t>
      </w:r>
      <w:r w:rsidR="083E04BB">
        <w:t xml:space="preserve">. </w:t>
      </w:r>
      <w:r w:rsidR="08352AA7">
        <w:t>J</w:t>
      </w:r>
      <w:r w:rsidR="08352AA7" w:rsidRPr="00273106">
        <w:t xml:space="preserve">edno z prvních určení </w:t>
      </w:r>
      <w:r w:rsidR="08352AA7">
        <w:t xml:space="preserve">objektivního </w:t>
      </w:r>
      <w:r w:rsidR="08352AA7" w:rsidRPr="00273106">
        <w:t xml:space="preserve">jsoucna </w:t>
      </w:r>
      <w:r w:rsidR="08352AA7">
        <w:t xml:space="preserve">jako nové formy věci </w:t>
      </w:r>
      <w:r w:rsidR="08352AA7" w:rsidRPr="00273106">
        <w:t xml:space="preserve">obsahuje </w:t>
      </w:r>
      <w:r w:rsidR="08BB6DFB">
        <w:t xml:space="preserve">spis </w:t>
      </w:r>
      <w:r w:rsidR="08352AA7" w:rsidRPr="00273106">
        <w:rPr>
          <w:i/>
        </w:rPr>
        <w:t>Dialectica monacensis</w:t>
      </w:r>
      <w:r w:rsidR="08BB6DFB">
        <w:t xml:space="preserve"> datovaný</w:t>
      </w:r>
      <w:r w:rsidR="08352AA7" w:rsidRPr="00273106">
        <w:t xml:space="preserve"> </w:t>
      </w:r>
      <w:r w:rsidR="08BB6DFB">
        <w:t xml:space="preserve">okolo </w:t>
      </w:r>
      <w:r w:rsidR="08352AA7">
        <w:t xml:space="preserve">roku </w:t>
      </w:r>
      <w:r w:rsidR="08352AA7" w:rsidRPr="00273106">
        <w:t xml:space="preserve">1160. </w:t>
      </w:r>
      <w:r w:rsidR="08885189">
        <w:t xml:space="preserve">Možnost se asi poprvé na latinském Západě stala generickou vlastností univočně predikovaného jsoucna chápaného </w:t>
      </w:r>
      <w:r w:rsidR="08E86B12">
        <w:t>neopl</w:t>
      </w:r>
      <w:r w:rsidR="08885189">
        <w:t>atonsky jako nejvyšší  rod bytí (</w:t>
      </w:r>
      <w:r w:rsidR="08885189" w:rsidRPr="08885189">
        <w:rPr>
          <w:i/>
          <w:szCs w:val="19"/>
        </w:rPr>
        <w:t xml:space="preserve">possibile superius et quasi </w:t>
      </w:r>
      <w:r w:rsidR="00B1298A">
        <w:rPr>
          <w:i/>
          <w:szCs w:val="19"/>
        </w:rPr>
        <w:t>genus</w:t>
      </w:r>
      <w:r w:rsidR="08885189">
        <w:t>).</w:t>
      </w:r>
      <w:r w:rsidR="08885189" w:rsidRPr="00273106">
        <w:rPr>
          <w:rStyle w:val="Znakapoznpodarou"/>
        </w:rPr>
        <w:footnoteReference w:id="59"/>
      </w:r>
      <w:r w:rsidR="08885189">
        <w:t xml:space="preserve"> Logické školy porretánů spojily </w:t>
      </w:r>
      <w:r w:rsidR="08352AA7">
        <w:t xml:space="preserve">formální určení věci jako </w:t>
      </w:r>
      <w:r w:rsidR="08352AA7" w:rsidRPr="00273106">
        <w:rPr>
          <w:i/>
        </w:rPr>
        <w:t>possibile</w:t>
      </w:r>
      <w:r w:rsidR="08352AA7" w:rsidRPr="00273106">
        <w:t xml:space="preserve"> </w:t>
      </w:r>
      <w:r w:rsidR="08885189">
        <w:t xml:space="preserve">v modu </w:t>
      </w:r>
      <w:r w:rsidR="001E6CD9">
        <w:t xml:space="preserve">logické </w:t>
      </w:r>
      <w:r w:rsidR="08885189">
        <w:t xml:space="preserve">signifikace </w:t>
      </w:r>
      <w:r w:rsidR="00191924">
        <w:t>(</w:t>
      </w:r>
      <w:r w:rsidR="00191924" w:rsidRPr="08885189">
        <w:rPr>
          <w:i/>
          <w:szCs w:val="19"/>
        </w:rPr>
        <w:t xml:space="preserve">predicabile </w:t>
      </w:r>
      <w:r w:rsidR="00191924" w:rsidRPr="08885189">
        <w:rPr>
          <w:i/>
          <w:szCs w:val="19"/>
        </w:rPr>
        <w:lastRenderedPageBreak/>
        <w:t>est de omni dicto</w:t>
      </w:r>
      <w:r w:rsidR="00191924">
        <w:t xml:space="preserve">) </w:t>
      </w:r>
      <w:r w:rsidR="08885189">
        <w:t>s</w:t>
      </w:r>
      <w:r w:rsidR="00DB43E1">
        <w:t xml:space="preserve"> impozicí hyparchické </w:t>
      </w:r>
      <w:r w:rsidR="00191924">
        <w:t xml:space="preserve">první substance, která </w:t>
      </w:r>
      <w:r w:rsidR="00BF0E6B">
        <w:t xml:space="preserve">ale </w:t>
      </w:r>
      <w:r w:rsidR="00191924">
        <w:t xml:space="preserve">vykazuje kauzálně určenou </w:t>
      </w:r>
      <w:r w:rsidR="00BF0E6B">
        <w:t>nutnost skrze metafyzick</w:t>
      </w:r>
      <w:r w:rsidR="00191924">
        <w:t>u (</w:t>
      </w:r>
      <w:r w:rsidR="00191924" w:rsidRPr="00191924">
        <w:rPr>
          <w:i/>
          <w:szCs w:val="19"/>
        </w:rPr>
        <w:t>scilicet</w:t>
      </w:r>
      <w:r w:rsidR="00191924" w:rsidRPr="004F7FAC">
        <w:rPr>
          <w:szCs w:val="19"/>
        </w:rPr>
        <w:t xml:space="preserve"> </w:t>
      </w:r>
      <w:r w:rsidR="00191924" w:rsidRPr="004F7FAC">
        <w:rPr>
          <w:i/>
          <w:szCs w:val="18"/>
        </w:rPr>
        <w:t>necessarium</w:t>
      </w:r>
      <w:r w:rsidR="00191924" w:rsidRPr="004F7FAC">
        <w:rPr>
          <w:szCs w:val="18"/>
        </w:rPr>
        <w:t xml:space="preserve"> </w:t>
      </w:r>
      <w:r w:rsidR="00191924" w:rsidRPr="00191924">
        <w:rPr>
          <w:i/>
          <w:szCs w:val="19"/>
        </w:rPr>
        <w:t>et</w:t>
      </w:r>
      <w:r w:rsidR="00191924" w:rsidRPr="004F7FAC">
        <w:rPr>
          <w:szCs w:val="19"/>
        </w:rPr>
        <w:t xml:space="preserve"> </w:t>
      </w:r>
      <w:r w:rsidR="00191924" w:rsidRPr="004F7FAC">
        <w:rPr>
          <w:i/>
          <w:szCs w:val="18"/>
        </w:rPr>
        <w:t>contingens</w:t>
      </w:r>
      <w:r w:rsidR="00191924">
        <w:t>)</w:t>
      </w:r>
      <w:r w:rsidR="08885189" w:rsidRPr="00273106">
        <w:t>.</w:t>
      </w:r>
      <w:r w:rsidR="08885189">
        <w:t xml:space="preserve"> </w:t>
      </w:r>
      <w:r w:rsidR="00E673E6">
        <w:t xml:space="preserve">Logicky čistému iluminátovi je vše stejně logicky čisté. </w:t>
      </w:r>
      <w:r w:rsidR="08885189">
        <w:t xml:space="preserve">Toto </w:t>
      </w:r>
      <w:r w:rsidR="00E673E6">
        <w:t xml:space="preserve">chybné univoční </w:t>
      </w:r>
      <w:r w:rsidR="00F87F0A">
        <w:t>spojení logiky a metafyz</w:t>
      </w:r>
      <w:r w:rsidR="08885189">
        <w:t xml:space="preserve">iky založilo </w:t>
      </w:r>
      <w:r w:rsidR="08885189" w:rsidRPr="08885189">
        <w:rPr>
          <w:i/>
        </w:rPr>
        <w:t>Lichtung</w:t>
      </w:r>
      <w:r w:rsidR="08A145CB">
        <w:rPr>
          <w:i/>
        </w:rPr>
        <w:fldChar w:fldCharType="begin"/>
      </w:r>
      <w:r w:rsidR="08A145CB">
        <w:instrText xml:space="preserve"> XE "</w:instrText>
      </w:r>
      <w:r w:rsidR="08A145CB" w:rsidRPr="088D3A76">
        <w:rPr>
          <w:i/>
        </w:rPr>
        <w:instrText>Lichtung:</w:instrText>
      </w:r>
      <w:r w:rsidR="08A145CB">
        <w:instrText xml:space="preserve">moderna" </w:instrText>
      </w:r>
      <w:r w:rsidR="08A145CB">
        <w:rPr>
          <w:i/>
        </w:rPr>
        <w:fldChar w:fldCharType="end"/>
      </w:r>
      <w:r w:rsidR="08DF7C67">
        <w:rPr>
          <w:i/>
        </w:rPr>
        <w:t xml:space="preserve"> </w:t>
      </w:r>
      <w:r w:rsidR="08885189">
        <w:t xml:space="preserve">pravdy a nepravdy </w:t>
      </w:r>
      <w:r w:rsidR="00E56B38">
        <w:t>všech verzí</w:t>
      </w:r>
      <w:r w:rsidR="08885189">
        <w:t xml:space="preserve"> </w:t>
      </w:r>
      <w:r w:rsidR="08885189" w:rsidRPr="08885189">
        <w:rPr>
          <w:i/>
        </w:rPr>
        <w:t>Oxfordian Fallacy</w:t>
      </w:r>
      <w:r w:rsidR="08885189">
        <w:rPr>
          <w:i/>
        </w:rPr>
        <w:fldChar w:fldCharType="begin"/>
      </w:r>
      <w:r w:rsidR="08885189">
        <w:instrText xml:space="preserve"> XE "</w:instrText>
      </w:r>
      <w:r w:rsidR="08885189" w:rsidRPr="083E23DD">
        <w:rPr>
          <w:i/>
        </w:rPr>
        <w:instrText>Oxfordian Fallacy</w:instrText>
      </w:r>
      <w:r w:rsidR="08885189" w:rsidRPr="08885189">
        <w:instrText>:původ</w:instrText>
      </w:r>
      <w:r w:rsidR="08885189">
        <w:instrText xml:space="preserve">" </w:instrText>
      </w:r>
      <w:r w:rsidR="08885189">
        <w:rPr>
          <w:i/>
        </w:rPr>
        <w:fldChar w:fldCharType="end"/>
      </w:r>
      <w:r w:rsidR="00E56B38">
        <w:t xml:space="preserve"> a následných verzí </w:t>
      </w:r>
      <w:r w:rsidR="08885189">
        <w:t xml:space="preserve">postmoderní </w:t>
      </w:r>
      <w:r w:rsidR="08885189" w:rsidRPr="08885189">
        <w:rPr>
          <w:i/>
        </w:rPr>
        <w:t>metaphysica generalis</w:t>
      </w:r>
      <w:r w:rsidR="08885189">
        <w:rPr>
          <w:i/>
        </w:rPr>
        <w:fldChar w:fldCharType="begin"/>
      </w:r>
      <w:r w:rsidR="08885189">
        <w:instrText xml:space="preserve"> XE "</w:instrText>
      </w:r>
      <w:r w:rsidR="08885189" w:rsidRPr="087F3C17">
        <w:rPr>
          <w:i/>
        </w:rPr>
        <w:instrText>metaphysica generalis</w:instrText>
      </w:r>
      <w:r w:rsidR="08885189">
        <w:instrText xml:space="preserve">" </w:instrText>
      </w:r>
      <w:r w:rsidR="08885189">
        <w:rPr>
          <w:i/>
        </w:rPr>
        <w:fldChar w:fldCharType="end"/>
      </w:r>
      <w:r w:rsidR="08885189">
        <w:t xml:space="preserve">. </w:t>
      </w:r>
      <w:r w:rsidR="08352AA7" w:rsidRPr="00273106">
        <w:t xml:space="preserve">Rozdělení modálních kategorií má univoční charakter a začíná od potence jako nejvyššího </w:t>
      </w:r>
      <w:r w:rsidR="00C229B9">
        <w:t xml:space="preserve">hypostázovaného </w:t>
      </w:r>
      <w:r w:rsidR="08352AA7" w:rsidRPr="00273106">
        <w:t>rodu, který je nadřazený kontigenci a nutnosti (</w:t>
      </w:r>
      <w:r w:rsidR="08352AA7" w:rsidRPr="00273106">
        <w:rPr>
          <w:i/>
          <w:szCs w:val="19"/>
        </w:rPr>
        <w:t xml:space="preserve">ad hec duo, scilicet </w:t>
      </w:r>
      <w:r w:rsidR="08352AA7" w:rsidRPr="00273106">
        <w:rPr>
          <w:i/>
          <w:szCs w:val="18"/>
        </w:rPr>
        <w:t xml:space="preserve">necessarium </w:t>
      </w:r>
      <w:r w:rsidR="08352AA7" w:rsidRPr="00273106">
        <w:rPr>
          <w:i/>
          <w:szCs w:val="19"/>
        </w:rPr>
        <w:t xml:space="preserve">et </w:t>
      </w:r>
      <w:r w:rsidR="08352AA7" w:rsidRPr="00273106">
        <w:rPr>
          <w:i/>
          <w:szCs w:val="18"/>
        </w:rPr>
        <w:t>contingens</w:t>
      </w:r>
      <w:r w:rsidR="08352AA7" w:rsidRPr="00273106">
        <w:t>). Klíčové je určení kontingen</w:t>
      </w:r>
      <w:r w:rsidR="08352AA7">
        <w:t xml:space="preserve">ce z hlediska logicky pojatého </w:t>
      </w:r>
      <w:r w:rsidR="08352AA7" w:rsidRPr="00273106">
        <w:rPr>
          <w:i/>
        </w:rPr>
        <w:t>tantum esse</w:t>
      </w:r>
      <w:r w:rsidR="08352AA7">
        <w:t xml:space="preserve">. Pro </w:t>
      </w:r>
      <w:r w:rsidR="08F8740F">
        <w:t>Abelardovu školu představoval</w:t>
      </w:r>
      <w:r w:rsidR="08352AA7">
        <w:t xml:space="preserve"> </w:t>
      </w:r>
      <w:r w:rsidR="08F8740F">
        <w:t xml:space="preserve">logický pojem jsoucna importovaný </w:t>
      </w:r>
      <w:r w:rsidR="08663C08">
        <w:t xml:space="preserve">do metafyziky </w:t>
      </w:r>
      <w:r w:rsidR="08352AA7">
        <w:t xml:space="preserve">naprostou prohru </w:t>
      </w:r>
      <w:r w:rsidR="08F8740F">
        <w:t>kritického myšlení</w:t>
      </w:r>
      <w:r w:rsidR="08352AA7">
        <w:t>. Tot</w:t>
      </w:r>
      <w:r w:rsidR="08C9353F">
        <w:t>éž se bude opakovat po roce 1220</w:t>
      </w:r>
      <w:r w:rsidR="08352AA7">
        <w:t xml:space="preserve">, když se na latinském Západě plně rozšíří Averroesovy spisy. </w:t>
      </w:r>
      <w:r w:rsidR="08CD3D10">
        <w:rPr>
          <w:color w:val="000000"/>
        </w:rPr>
        <w:t>P</w:t>
      </w:r>
      <w:r w:rsidR="00576C1C" w:rsidRPr="00273106">
        <w:rPr>
          <w:color w:val="000000"/>
        </w:rPr>
        <w:t xml:space="preserve">o Gilbertově </w:t>
      </w:r>
      <w:r w:rsidR="00C04F91" w:rsidRPr="00273106">
        <w:rPr>
          <w:color w:val="000000"/>
        </w:rPr>
        <w:t xml:space="preserve">smrti </w:t>
      </w:r>
      <w:r w:rsidR="00576C1C" w:rsidRPr="00273106">
        <w:rPr>
          <w:color w:val="000000"/>
        </w:rPr>
        <w:t>(</w:t>
      </w:r>
      <w:r w:rsidR="000934B5" w:rsidRPr="00273106">
        <w:rPr>
          <w:color w:val="000000"/>
        </w:rPr>
        <w:t>†</w:t>
      </w:r>
      <w:r w:rsidR="00576C1C" w:rsidRPr="00273106">
        <w:rPr>
          <w:color w:val="000000"/>
        </w:rPr>
        <w:t xml:space="preserve">1154) označí </w:t>
      </w:r>
      <w:r w:rsidR="08CD3D10">
        <w:rPr>
          <w:color w:val="000000"/>
        </w:rPr>
        <w:t xml:space="preserve">jeho odpůrci </w:t>
      </w:r>
      <w:r w:rsidR="00095D23">
        <w:rPr>
          <w:color w:val="000000"/>
        </w:rPr>
        <w:t xml:space="preserve">porretánské </w:t>
      </w:r>
      <w:r w:rsidR="00576C1C" w:rsidRPr="00273106">
        <w:rPr>
          <w:color w:val="000000"/>
        </w:rPr>
        <w:t xml:space="preserve">jsoucno třetího druhu pejorativním názvem </w:t>
      </w:r>
      <w:r w:rsidR="00576C1C" w:rsidRPr="00273106">
        <w:rPr>
          <w:i/>
          <w:color w:val="000000"/>
        </w:rPr>
        <w:t>nomen</w:t>
      </w:r>
      <w:r w:rsidR="00576C1C" w:rsidRPr="00273106">
        <w:rPr>
          <w:color w:val="000000"/>
        </w:rPr>
        <w:t>.</w:t>
      </w:r>
      <w:r w:rsidR="086932CC" w:rsidRPr="00273106">
        <w:rPr>
          <w:color w:val="000000"/>
        </w:rPr>
        <w:t xml:space="preserve"> </w:t>
      </w:r>
      <w:r w:rsidR="08E8272E">
        <w:rPr>
          <w:color w:val="000000"/>
        </w:rPr>
        <w:t>P</w:t>
      </w:r>
      <w:r w:rsidR="086932CC" w:rsidRPr="00273106">
        <w:rPr>
          <w:lang w:eastAsia="en-US"/>
        </w:rPr>
        <w:t xml:space="preserve">ojmenování školy </w:t>
      </w:r>
      <w:r w:rsidR="086932CC" w:rsidRPr="00273106">
        <w:rPr>
          <w:i/>
          <w:lang w:eastAsia="en-US"/>
        </w:rPr>
        <w:t>Nominales</w:t>
      </w:r>
      <w:r w:rsidR="086932CC" w:rsidRPr="00273106">
        <w:rPr>
          <w:lang w:eastAsia="en-US"/>
        </w:rPr>
        <w:t xml:space="preserve"> </w:t>
      </w:r>
      <w:r w:rsidR="08E8272E">
        <w:rPr>
          <w:lang w:eastAsia="en-US"/>
        </w:rPr>
        <w:t>dané trans</w:t>
      </w:r>
      <w:r w:rsidR="087D76FB">
        <w:rPr>
          <w:lang w:eastAsia="en-US"/>
        </w:rPr>
        <w:t>f</w:t>
      </w:r>
      <w:r w:rsidR="08E8272E">
        <w:rPr>
          <w:lang w:eastAsia="en-US"/>
        </w:rPr>
        <w:t>o</w:t>
      </w:r>
      <w:r w:rsidR="087D76FB">
        <w:rPr>
          <w:lang w:eastAsia="en-US"/>
        </w:rPr>
        <w:t>r</w:t>
      </w:r>
      <w:r w:rsidR="08E8272E">
        <w:rPr>
          <w:lang w:eastAsia="en-US"/>
        </w:rPr>
        <w:t xml:space="preserve">mací porretánských škol do nové formy metafyziky </w:t>
      </w:r>
      <w:r w:rsidR="086932CC" w:rsidRPr="00273106">
        <w:rPr>
          <w:lang w:eastAsia="en-US"/>
        </w:rPr>
        <w:t xml:space="preserve">je doloženo </w:t>
      </w:r>
      <w:r w:rsidR="08A40378">
        <w:rPr>
          <w:lang w:eastAsia="en-US"/>
        </w:rPr>
        <w:t xml:space="preserve">okolo </w:t>
      </w:r>
      <w:r w:rsidR="08720156">
        <w:rPr>
          <w:lang w:eastAsia="en-US"/>
        </w:rPr>
        <w:t xml:space="preserve">roku </w:t>
      </w:r>
      <w:r w:rsidR="086932CC" w:rsidRPr="00273106">
        <w:rPr>
          <w:lang w:eastAsia="en-US"/>
        </w:rPr>
        <w:t xml:space="preserve">1160 v díle </w:t>
      </w:r>
      <w:r w:rsidR="086932CC" w:rsidRPr="00273106">
        <w:rPr>
          <w:i/>
        </w:rPr>
        <w:t>Metalogicon</w:t>
      </w:r>
      <w:r w:rsidR="086932CC" w:rsidRPr="00273106">
        <w:rPr>
          <w:lang w:eastAsia="en-US"/>
        </w:rPr>
        <w:t>.</w:t>
      </w:r>
      <w:r w:rsidR="00CF0F8B" w:rsidRPr="00273106">
        <w:rPr>
          <w:rStyle w:val="Znakapoznpodarou"/>
        </w:rPr>
        <w:footnoteReference w:id="60"/>
      </w:r>
      <w:r w:rsidR="086932CC" w:rsidRPr="00273106">
        <w:rPr>
          <w:lang w:eastAsia="en-US"/>
        </w:rPr>
        <w:t xml:space="preserve"> </w:t>
      </w:r>
      <w:r w:rsidR="007A5F91" w:rsidRPr="00273106">
        <w:t>J</w:t>
      </w:r>
      <w:r w:rsidR="00DC22E6">
        <w:t>an</w:t>
      </w:r>
      <w:r w:rsidR="007A5F91" w:rsidRPr="00273106">
        <w:t xml:space="preserve"> ze Salisbury</w:t>
      </w:r>
      <w:r w:rsidR="003F03EE">
        <w:fldChar w:fldCharType="begin"/>
      </w:r>
      <w:r w:rsidR="003F03EE">
        <w:instrText xml:space="preserve"> XE "</w:instrText>
      </w:r>
      <w:r w:rsidR="003F03EE" w:rsidRPr="00763295">
        <w:instrText>Jan ze Salisbury</w:instrText>
      </w:r>
      <w:r w:rsidR="003F03EE">
        <w:instrText xml:space="preserve">" </w:instrText>
      </w:r>
      <w:r w:rsidR="003F03EE">
        <w:fldChar w:fldCharType="end"/>
      </w:r>
      <w:r w:rsidR="007A5F91" w:rsidRPr="00273106">
        <w:rPr>
          <w:lang w:eastAsia="en-US"/>
        </w:rPr>
        <w:t xml:space="preserve"> k</w:t>
      </w:r>
      <w:r w:rsidR="00CF0F8B" w:rsidRPr="00273106">
        <w:rPr>
          <w:color w:val="000000"/>
        </w:rPr>
        <w:t xml:space="preserve">ritizuje </w:t>
      </w:r>
      <w:r w:rsidR="00CF0F8B" w:rsidRPr="00273106">
        <w:rPr>
          <w:i/>
          <w:color w:val="000000"/>
        </w:rPr>
        <w:t>Nominales</w:t>
      </w:r>
      <w:r w:rsidR="0009518B">
        <w:rPr>
          <w:color w:val="000000"/>
        </w:rPr>
        <w:t xml:space="preserve"> za plato</w:t>
      </w:r>
      <w:r w:rsidR="00CF0F8B" w:rsidRPr="00273106">
        <w:rPr>
          <w:color w:val="000000"/>
        </w:rPr>
        <w:t xml:space="preserve">nské pojetí reality převzaté od </w:t>
      </w:r>
      <w:r w:rsidR="00CF0F8B" w:rsidRPr="00273106">
        <w:rPr>
          <w:rStyle w:val="st"/>
        </w:rPr>
        <w:t>Bernarda ze Chartres</w:t>
      </w:r>
      <w:r w:rsidR="003F03EE">
        <w:rPr>
          <w:rStyle w:val="st"/>
        </w:rPr>
        <w:fldChar w:fldCharType="begin"/>
      </w:r>
      <w:r w:rsidR="003F03EE">
        <w:instrText xml:space="preserve"> XE "</w:instrText>
      </w:r>
      <w:r w:rsidR="003F03EE" w:rsidRPr="00673D46">
        <w:rPr>
          <w:rStyle w:val="st"/>
        </w:rPr>
        <w:instrText xml:space="preserve">Bernard </w:instrText>
      </w:r>
      <w:r w:rsidR="082F0EAD">
        <w:rPr>
          <w:rStyle w:val="st"/>
        </w:rPr>
        <w:instrText>ze</w:instrText>
      </w:r>
      <w:r w:rsidR="003F03EE" w:rsidRPr="00673D46">
        <w:rPr>
          <w:rStyle w:val="st"/>
        </w:rPr>
        <w:instrText xml:space="preserve"> Chartres</w:instrText>
      </w:r>
      <w:r w:rsidR="003F03EE">
        <w:instrText xml:space="preserve">" </w:instrText>
      </w:r>
      <w:r w:rsidR="003F03EE">
        <w:rPr>
          <w:rStyle w:val="st"/>
        </w:rPr>
        <w:fldChar w:fldCharType="end"/>
      </w:r>
      <w:r w:rsidR="00CF0F8B" w:rsidRPr="00273106">
        <w:rPr>
          <w:rStyle w:val="st"/>
        </w:rPr>
        <w:t xml:space="preserve"> (</w:t>
      </w:r>
      <w:r w:rsidR="00CF0F8B" w:rsidRPr="00273106">
        <w:rPr>
          <w:rStyle w:val="st"/>
          <w:bCs/>
        </w:rPr>
        <w:t>Bernardus Carnotensis</w:t>
      </w:r>
      <w:r w:rsidR="00CF0F8B" w:rsidRPr="00273106">
        <w:rPr>
          <w:rStyle w:val="st"/>
          <w:b/>
          <w:bCs/>
        </w:rPr>
        <w:t xml:space="preserve">, </w:t>
      </w:r>
      <w:r w:rsidR="00CF0F8B" w:rsidRPr="00273106">
        <w:rPr>
          <w:rStyle w:val="st"/>
          <w:bCs/>
        </w:rPr>
        <w:t>†</w:t>
      </w:r>
      <w:r w:rsidR="00CF0F8B" w:rsidRPr="00273106">
        <w:rPr>
          <w:rStyle w:val="st"/>
        </w:rPr>
        <w:t xml:space="preserve">1124). </w:t>
      </w:r>
      <w:r w:rsidR="00B17FC1" w:rsidRPr="00273106">
        <w:rPr>
          <w:lang w:eastAsia="en-US"/>
        </w:rPr>
        <w:t xml:space="preserve">Hermeneutiku zajímá zejména </w:t>
      </w:r>
      <w:r w:rsidR="086932CC" w:rsidRPr="00273106">
        <w:rPr>
          <w:lang w:eastAsia="en-US"/>
        </w:rPr>
        <w:t xml:space="preserve">Salisburyho </w:t>
      </w:r>
      <w:r w:rsidR="00705343" w:rsidRPr="00273106">
        <w:rPr>
          <w:lang w:eastAsia="en-US"/>
        </w:rPr>
        <w:t xml:space="preserve">pohrdlivý </w:t>
      </w:r>
      <w:r w:rsidR="086932CC" w:rsidRPr="00273106">
        <w:rPr>
          <w:lang w:eastAsia="en-US"/>
        </w:rPr>
        <w:t xml:space="preserve">titul </w:t>
      </w:r>
      <w:r w:rsidR="00125F68" w:rsidRPr="00273106">
        <w:rPr>
          <w:i/>
        </w:rPr>
        <w:t>impugnator nominalis sectae</w:t>
      </w:r>
      <w:r w:rsidR="00125F68" w:rsidRPr="00273106">
        <w:rPr>
          <w:lang w:eastAsia="en-US"/>
        </w:rPr>
        <w:t xml:space="preserve"> </w:t>
      </w:r>
      <w:r w:rsidR="086932CC" w:rsidRPr="00273106">
        <w:rPr>
          <w:lang w:eastAsia="en-US"/>
        </w:rPr>
        <w:t xml:space="preserve">pro </w:t>
      </w:r>
      <w:r w:rsidR="00731B79" w:rsidRPr="00273106">
        <w:rPr>
          <w:lang w:eastAsia="en-US"/>
        </w:rPr>
        <w:t xml:space="preserve">výše uvedeného </w:t>
      </w:r>
      <w:r w:rsidR="00125F68" w:rsidRPr="00273106">
        <w:rPr>
          <w:lang w:eastAsia="en-US"/>
        </w:rPr>
        <w:t>Alberic</w:t>
      </w:r>
      <w:r w:rsidR="0009518B">
        <w:rPr>
          <w:lang w:eastAsia="en-US"/>
        </w:rPr>
        <w:t>h</w:t>
      </w:r>
      <w:r w:rsidR="00125F68" w:rsidRPr="00273106">
        <w:rPr>
          <w:lang w:eastAsia="en-US"/>
        </w:rPr>
        <w:t>a z Remeše</w:t>
      </w:r>
      <w:r w:rsidR="003F03EE">
        <w:rPr>
          <w:lang w:eastAsia="en-US"/>
        </w:rPr>
        <w:fldChar w:fldCharType="begin"/>
      </w:r>
      <w:r w:rsidR="003F03EE">
        <w:instrText xml:space="preserve"> XE "</w:instrText>
      </w:r>
      <w:r w:rsidR="003F03EE" w:rsidRPr="00B95235">
        <w:rPr>
          <w:lang w:eastAsia="en-US"/>
        </w:rPr>
        <w:instrText>Alberic</w:instrText>
      </w:r>
      <w:r w:rsidR="0009518B">
        <w:rPr>
          <w:lang w:eastAsia="en-US"/>
        </w:rPr>
        <w:instrText>h</w:instrText>
      </w:r>
      <w:r w:rsidR="003F03EE" w:rsidRPr="00B95235">
        <w:rPr>
          <w:lang w:eastAsia="en-US"/>
        </w:rPr>
        <w:instrText xml:space="preserve"> z Remeše</w:instrText>
      </w:r>
      <w:r w:rsidR="003F03EE">
        <w:instrText xml:space="preserve">" </w:instrText>
      </w:r>
      <w:r w:rsidR="003F03EE">
        <w:rPr>
          <w:lang w:eastAsia="en-US"/>
        </w:rPr>
        <w:fldChar w:fldCharType="end"/>
      </w:r>
      <w:r w:rsidR="00705343" w:rsidRPr="00273106">
        <w:rPr>
          <w:lang w:eastAsia="en-US"/>
        </w:rPr>
        <w:t>, který patřil k rozhodným odpůrcům Abelarda</w:t>
      </w:r>
      <w:r w:rsidR="086932CC" w:rsidRPr="00273106">
        <w:rPr>
          <w:lang w:eastAsia="en-US"/>
        </w:rPr>
        <w:t xml:space="preserve">. </w:t>
      </w:r>
      <w:bookmarkStart w:id="30" w:name="_Ref394149198"/>
      <w:r w:rsidR="08AA7420">
        <w:rPr>
          <w:lang w:eastAsia="en-US"/>
        </w:rPr>
        <w:t>P</w:t>
      </w:r>
      <w:r w:rsidR="08092FE5">
        <w:rPr>
          <w:lang w:eastAsia="en-US"/>
        </w:rPr>
        <w:t xml:space="preserve">orretáni byli obžalováni z triteismu na Pařížském koncilu roku </w:t>
      </w:r>
      <w:r w:rsidR="08092FE5">
        <w:rPr>
          <w:color w:val="000000"/>
        </w:rPr>
        <w:t>1147, takže titul nomina</w:t>
      </w:r>
      <w:r w:rsidR="086510FE">
        <w:rPr>
          <w:color w:val="000000"/>
        </w:rPr>
        <w:t>l</w:t>
      </w:r>
      <w:r w:rsidR="08092FE5">
        <w:rPr>
          <w:color w:val="000000"/>
        </w:rPr>
        <w:t>i</w:t>
      </w:r>
      <w:r w:rsidR="086510FE">
        <w:rPr>
          <w:color w:val="000000"/>
        </w:rPr>
        <w:t>s</w:t>
      </w:r>
      <w:r w:rsidR="08092FE5">
        <w:rPr>
          <w:color w:val="000000"/>
        </w:rPr>
        <w:t>t</w:t>
      </w:r>
      <w:r w:rsidR="086510FE">
        <w:rPr>
          <w:color w:val="000000"/>
        </w:rPr>
        <w:t>i</w:t>
      </w:r>
      <w:r w:rsidR="08092FE5">
        <w:rPr>
          <w:color w:val="000000"/>
        </w:rPr>
        <w:t xml:space="preserve">ckých sektářů je zcela oprávněný. </w:t>
      </w:r>
      <w:r w:rsidR="08460BFC">
        <w:t>Š</w:t>
      </w:r>
      <w:r w:rsidR="08460BFC" w:rsidRPr="00273106">
        <w:t>kol</w:t>
      </w:r>
      <w:r w:rsidR="08460BFC">
        <w:t>a</w:t>
      </w:r>
      <w:r w:rsidR="08460BFC" w:rsidRPr="00273106">
        <w:t xml:space="preserve"> sofistických porretánů a </w:t>
      </w:r>
      <w:r w:rsidR="08460BFC">
        <w:t>neoplatonsk</w:t>
      </w:r>
      <w:r w:rsidR="08460BFC" w:rsidRPr="00273106">
        <w:t xml:space="preserve">ých </w:t>
      </w:r>
      <w:r w:rsidR="08460BFC" w:rsidRPr="00273106">
        <w:rPr>
          <w:i/>
        </w:rPr>
        <w:t>Nominales</w:t>
      </w:r>
      <w:r w:rsidR="08460BFC">
        <w:t xml:space="preserve"> vztahuje s</w:t>
      </w:r>
      <w:r w:rsidR="08460BFC" w:rsidRPr="00273106">
        <w:rPr>
          <w:rStyle w:val="Zkladntext15dkovn0pt"/>
          <w:rFonts w:ascii="Calibri" w:eastAsia="Times" w:hAnsi="Calibri" w:cs="Times New Roman"/>
          <w:b w:val="0"/>
          <w:bCs w:val="0"/>
          <w:color w:val="auto"/>
          <w:sz w:val="24"/>
          <w:lang w:val="cs-CZ"/>
        </w:rPr>
        <w:t>upozici (</w:t>
      </w:r>
      <w:r w:rsidR="08460BFC" w:rsidRPr="00273106">
        <w:rPr>
          <w:rStyle w:val="Zkladntext15dkovn0pt"/>
          <w:rFonts w:ascii="Calibri" w:eastAsia="Times" w:hAnsi="Calibri" w:cs="Times New Roman"/>
          <w:b w:val="0"/>
          <w:bCs w:val="0"/>
          <w:i/>
          <w:color w:val="auto"/>
          <w:sz w:val="24"/>
          <w:lang w:val="cs-CZ"/>
        </w:rPr>
        <w:t>supponere</w:t>
      </w:r>
      <w:r w:rsidR="08460BFC" w:rsidRPr="00273106">
        <w:rPr>
          <w:rStyle w:val="Zkladntext15dkovn0pt"/>
          <w:rFonts w:ascii="Calibri" w:eastAsia="Times" w:hAnsi="Calibri" w:cs="Times New Roman"/>
          <w:b w:val="0"/>
          <w:bCs w:val="0"/>
          <w:color w:val="auto"/>
          <w:sz w:val="24"/>
          <w:lang w:val="cs-CZ"/>
        </w:rPr>
        <w:t xml:space="preserve">) na </w:t>
      </w:r>
      <w:r w:rsidR="00DB731F">
        <w:rPr>
          <w:rStyle w:val="Zkladntext15dkovn0pt"/>
          <w:rFonts w:ascii="Calibri" w:eastAsia="Times" w:hAnsi="Calibri" w:cs="Times New Roman"/>
          <w:b w:val="0"/>
          <w:bCs w:val="0"/>
          <w:color w:val="auto"/>
          <w:sz w:val="24"/>
          <w:lang w:val="cs-CZ"/>
        </w:rPr>
        <w:t xml:space="preserve">hypostázované </w:t>
      </w:r>
      <w:r w:rsidR="08460BFC" w:rsidRPr="00273106">
        <w:rPr>
          <w:rStyle w:val="Zkladntext15dkovn0pt"/>
          <w:rFonts w:ascii="Calibri" w:eastAsia="Times" w:hAnsi="Calibri" w:cs="Times New Roman"/>
          <w:b w:val="0"/>
          <w:bCs w:val="0"/>
          <w:color w:val="auto"/>
          <w:sz w:val="24"/>
          <w:lang w:val="cs-CZ"/>
        </w:rPr>
        <w:t xml:space="preserve">vlastnosti </w:t>
      </w:r>
      <w:r w:rsidR="00DB731F">
        <w:rPr>
          <w:rStyle w:val="Zkladntext15dkovn0pt"/>
          <w:rFonts w:ascii="Calibri" w:eastAsia="Times" w:hAnsi="Calibri" w:cs="Times New Roman"/>
          <w:b w:val="0"/>
          <w:bCs w:val="0"/>
          <w:color w:val="auto"/>
          <w:sz w:val="24"/>
          <w:lang w:val="cs-CZ"/>
        </w:rPr>
        <w:t xml:space="preserve">nominálně definovaného </w:t>
      </w:r>
      <w:r w:rsidR="08460BFC" w:rsidRPr="00273106">
        <w:rPr>
          <w:rStyle w:val="Zkladntext15dkovn0pt"/>
          <w:rFonts w:ascii="Calibri" w:eastAsia="Times" w:hAnsi="Calibri" w:cs="Times New Roman"/>
          <w:b w:val="0"/>
          <w:bCs w:val="0"/>
          <w:color w:val="auto"/>
          <w:sz w:val="24"/>
          <w:lang w:val="cs-CZ"/>
        </w:rPr>
        <w:t>substrátu</w:t>
      </w:r>
      <w:r w:rsidR="08460BFC">
        <w:fldChar w:fldCharType="begin"/>
      </w:r>
      <w:r w:rsidR="08460BFC">
        <w:instrText xml:space="preserve"> XE "signifikace:škola </w:instrText>
      </w:r>
      <w:r w:rsidR="08460BFC" w:rsidRPr="007A2C59">
        <w:rPr>
          <w:i/>
        </w:rPr>
        <w:instrText>Nominales</w:instrText>
      </w:r>
      <w:r w:rsidR="08460BFC">
        <w:instrText xml:space="preserve">" </w:instrText>
      </w:r>
      <w:r w:rsidR="08460BFC">
        <w:fldChar w:fldCharType="end"/>
      </w:r>
      <w:r w:rsidR="08460BFC" w:rsidRPr="00273106">
        <w:rPr>
          <w:rStyle w:val="Zkladntext15dkovn0pt"/>
          <w:rFonts w:ascii="Calibri" w:eastAsia="Times" w:hAnsi="Calibri" w:cs="Times New Roman"/>
          <w:b w:val="0"/>
          <w:bCs w:val="0"/>
          <w:color w:val="auto"/>
          <w:sz w:val="24"/>
          <w:lang w:val="cs-CZ"/>
        </w:rPr>
        <w:t xml:space="preserve">. </w:t>
      </w:r>
      <w:r w:rsidR="08460BFC" w:rsidRPr="00273106">
        <w:t>Nová vize reality a z ní vycházejí</w:t>
      </w:r>
      <w:r w:rsidR="08460BFC">
        <w:t>cí</w:t>
      </w:r>
      <w:r w:rsidR="08460BFC" w:rsidRPr="00273106">
        <w:t xml:space="preserve"> pojetí pravdy</w:t>
      </w:r>
      <w:r w:rsidR="001D07FC">
        <w:t xml:space="preserve"> jako </w:t>
      </w:r>
      <w:r w:rsidR="08460BFC" w:rsidRPr="006C03D0">
        <w:rPr>
          <w:i/>
        </w:rPr>
        <w:t>rectitudo</w:t>
      </w:r>
      <w:r w:rsidR="08460BFC" w:rsidRPr="00273106">
        <w:t xml:space="preserve"> již nevidí první substance, ale pouhá abstraktní individua.</w:t>
      </w:r>
      <w:r w:rsidR="08460BFC">
        <w:t xml:space="preserve"> </w:t>
      </w:r>
      <w:r w:rsidR="006A2945">
        <w:t xml:space="preserve">Vzniklo </w:t>
      </w:r>
      <w:r w:rsidR="08C61D82">
        <w:t>nové určení atomární substance dané dialektickým dělením uni</w:t>
      </w:r>
      <w:r w:rsidR="006A2945">
        <w:t>verzálií v rámci Porfýriova stro</w:t>
      </w:r>
      <w:r w:rsidR="08C61D82">
        <w:t>mu (</w:t>
      </w:r>
      <w:r w:rsidR="08C61D82" w:rsidRPr="08C61D82">
        <w:rPr>
          <w:i/>
        </w:rPr>
        <w:t>individuum</w:t>
      </w:r>
      <w:r w:rsidR="08C61D82">
        <w:t>), z něhož se stal sofistický mix první a druhé substance (</w:t>
      </w:r>
      <w:r w:rsidR="003F306E">
        <w:t xml:space="preserve">OBJ I, </w:t>
      </w:r>
      <w:r w:rsidR="08C61D82">
        <w:t xml:space="preserve">kap. 1.3). </w:t>
      </w:r>
      <w:r w:rsidR="08C61D82" w:rsidRPr="00273106">
        <w:rPr>
          <w:rStyle w:val="st"/>
        </w:rPr>
        <w:t xml:space="preserve">Následující citát z díla </w:t>
      </w:r>
      <w:r w:rsidR="08C61D82" w:rsidRPr="00273106">
        <w:rPr>
          <w:i/>
        </w:rPr>
        <w:t>Metalogicon</w:t>
      </w:r>
      <w:r w:rsidR="08C61D82" w:rsidRPr="00273106">
        <w:t xml:space="preserve"> </w:t>
      </w:r>
      <w:r w:rsidR="08C61D82" w:rsidRPr="00273106">
        <w:rPr>
          <w:rStyle w:val="st"/>
        </w:rPr>
        <w:t xml:space="preserve">ukazuje podstatné rysy první školy </w:t>
      </w:r>
      <w:r w:rsidR="00EB0F24">
        <w:rPr>
          <w:rStyle w:val="st"/>
        </w:rPr>
        <w:t xml:space="preserve">latinských </w:t>
      </w:r>
      <w:r w:rsidR="08C61D82" w:rsidRPr="00273106">
        <w:rPr>
          <w:rStyle w:val="st"/>
          <w:i/>
        </w:rPr>
        <w:t>Modernorum</w:t>
      </w:r>
      <w:r w:rsidR="08C61D82" w:rsidRPr="00273106">
        <w:rPr>
          <w:rStyle w:val="st"/>
        </w:rPr>
        <w:t>.</w:t>
      </w:r>
    </w:p>
    <w:p w14:paraId="3BB452C5" w14:textId="1858BE39" w:rsidR="005778FF" w:rsidRPr="005778FF" w:rsidRDefault="005778FF" w:rsidP="00712437">
      <w:pPr>
        <w:pStyle w:val="Citace"/>
        <w:rPr>
          <w:lang w:val="cs-CZ"/>
        </w:rPr>
      </w:pPr>
      <w:r w:rsidRPr="08ED3541">
        <w:t>„</w:t>
      </w:r>
      <w:r>
        <w:rPr>
          <w:lang w:val="cs-CZ"/>
        </w:rPr>
        <w:t xml:space="preserve">Protože </w:t>
      </w:r>
      <w:r w:rsidR="00CC6739">
        <w:rPr>
          <w:lang w:val="cs-CZ"/>
        </w:rPr>
        <w:t>existence hypostazovaných substancí je považována za nutnou, t</w:t>
      </w:r>
      <w:r>
        <w:rPr>
          <w:lang w:val="cs-CZ"/>
        </w:rPr>
        <w:t xml:space="preserve">ak </w:t>
      </w:r>
      <w:r w:rsidR="08E86B12">
        <w:rPr>
          <w:lang w:val="cs-CZ"/>
        </w:rPr>
        <w:t xml:space="preserve">tuto </w:t>
      </w:r>
      <w:r>
        <w:rPr>
          <w:lang w:val="cs-CZ"/>
        </w:rPr>
        <w:t xml:space="preserve">existenci podsouvají </w:t>
      </w:r>
      <w:r w:rsidR="089A141B">
        <w:rPr>
          <w:lang w:val="cs-CZ"/>
        </w:rPr>
        <w:t xml:space="preserve">druhým </w:t>
      </w:r>
      <w:r>
        <w:rPr>
          <w:lang w:val="cs-CZ"/>
        </w:rPr>
        <w:t xml:space="preserve">substancím, znovu je skládají a přidávají univerzália </w:t>
      </w:r>
      <w:r w:rsidR="08E86B12">
        <w:rPr>
          <w:lang w:val="cs-CZ"/>
        </w:rPr>
        <w:t xml:space="preserve">k reálným </w:t>
      </w:r>
      <w:r>
        <w:rPr>
          <w:lang w:val="cs-CZ"/>
        </w:rPr>
        <w:t>jednotlivinám a tak je spojují s esencí</w:t>
      </w:r>
      <w:r w:rsidR="0046345F">
        <w:rPr>
          <w:lang w:val="cs-CZ"/>
        </w:rPr>
        <w:t xml:space="preserve"> (</w:t>
      </w:r>
      <w:r w:rsidR="0046345F" w:rsidRPr="0046345F">
        <w:rPr>
          <w:i/>
        </w:rPr>
        <w:t>denuo colligunt, universalia singularibus, quod ad essentiam, unienda</w:t>
      </w:r>
      <w:r w:rsidR="0046345F">
        <w:rPr>
          <w:lang w:val="cs-CZ"/>
        </w:rPr>
        <w:t>)</w:t>
      </w:r>
      <w:r>
        <w:rPr>
          <w:lang w:val="cs-CZ"/>
        </w:rPr>
        <w:t xml:space="preserve">.  Takto </w:t>
      </w:r>
      <w:r>
        <w:rPr>
          <w:lang w:val="cs-CZ"/>
        </w:rPr>
        <w:lastRenderedPageBreak/>
        <w:t xml:space="preserve">berou existenci </w:t>
      </w:r>
      <w:r w:rsidR="00A91283">
        <w:rPr>
          <w:lang w:val="cs-CZ"/>
        </w:rPr>
        <w:t xml:space="preserve">podle </w:t>
      </w:r>
      <w:r w:rsidR="00FD1ADE">
        <w:t>Gautiera de Mortagne</w:t>
      </w:r>
      <w:r w:rsidR="00FD1ADE">
        <w:rPr>
          <w:lang w:val="cs-CZ"/>
        </w:rPr>
        <w:t xml:space="preserve"> </w:t>
      </w:r>
      <w:r>
        <w:rPr>
          <w:lang w:val="cs-CZ"/>
        </w:rPr>
        <w:t xml:space="preserve">a </w:t>
      </w:r>
      <w:r w:rsidR="00A91283">
        <w:rPr>
          <w:lang w:val="cs-CZ"/>
        </w:rPr>
        <w:t xml:space="preserve">podle </w:t>
      </w:r>
      <w:r w:rsidR="00E90B9E">
        <w:rPr>
          <w:lang w:val="cs-CZ"/>
        </w:rPr>
        <w:t>Plato</w:t>
      </w:r>
      <w:r>
        <w:rPr>
          <w:lang w:val="cs-CZ"/>
        </w:rPr>
        <w:t>na. T</w:t>
      </w:r>
      <w:r w:rsidR="00E90B9E">
        <w:rPr>
          <w:lang w:val="cs-CZ"/>
        </w:rPr>
        <w:t>o, co zakládá vlastní bytí Plato</w:t>
      </w:r>
      <w:r>
        <w:rPr>
          <w:lang w:val="cs-CZ"/>
        </w:rPr>
        <w:t>na, nazývají jednotlivina (</w:t>
      </w:r>
      <w:r w:rsidRPr="005778FF">
        <w:rPr>
          <w:i/>
        </w:rPr>
        <w:t>in eo quod Plato est, dicunt individuum</w:t>
      </w:r>
      <w:r>
        <w:rPr>
          <w:lang w:val="cs-CZ"/>
        </w:rPr>
        <w:t xml:space="preserve">). To, co je člověk, je dáno jako </w:t>
      </w:r>
      <w:r w:rsidR="006A04C6" w:rsidRPr="006A04C6">
        <w:rPr>
          <w:lang w:val="cs-CZ"/>
        </w:rPr>
        <w:t>species</w:t>
      </w:r>
      <w:r>
        <w:rPr>
          <w:lang w:val="cs-CZ"/>
        </w:rPr>
        <w:t>. To, co je dáno jako živočich, je vzato jako rod, ale v sekundárním významu. Nejvyšší obecnina se vztahuje k substanci.“ </w:t>
      </w:r>
      <w:r w:rsidR="00A10E81" w:rsidRPr="00273106">
        <w:rPr>
          <w:rStyle w:val="Znakapoznpodarou"/>
        </w:rPr>
        <w:footnoteReference w:id="61"/>
      </w:r>
    </w:p>
    <w:p w14:paraId="49101667" w14:textId="01CEEBAF" w:rsidR="00026A07" w:rsidRDefault="08E4031A" w:rsidP="00026A07">
      <w:r>
        <w:t xml:space="preserve">Jan ze Salisbury jasně vidí základní omyl </w:t>
      </w:r>
      <w:r w:rsidR="08DD7F9B">
        <w:t xml:space="preserve">logických </w:t>
      </w:r>
      <w:r>
        <w:t xml:space="preserve">modernistů, kteří </w:t>
      </w:r>
      <w:r w:rsidR="08DD7F9B">
        <w:t xml:space="preserve">z neznalosti klasické metafyziky a aristotelské </w:t>
      </w:r>
      <w:r w:rsidR="08DD7F9B" w:rsidRPr="08DD7F9B">
        <w:rPr>
          <w:i/>
        </w:rPr>
        <w:t>logica Vetus</w:t>
      </w:r>
      <w:r w:rsidR="08DD7F9B">
        <w:rPr>
          <w:i/>
        </w:rPr>
        <w:fldChar w:fldCharType="begin"/>
      </w:r>
      <w:r w:rsidR="08DD7F9B">
        <w:instrText xml:space="preserve"> XE "</w:instrText>
      </w:r>
      <w:r w:rsidR="08DD7F9B" w:rsidRPr="08337751">
        <w:rPr>
          <w:i/>
        </w:rPr>
        <w:instrText>logica Vetus</w:instrText>
      </w:r>
      <w:r w:rsidR="08DD7F9B">
        <w:instrText xml:space="preserve">" </w:instrText>
      </w:r>
      <w:r w:rsidR="08DD7F9B">
        <w:rPr>
          <w:i/>
        </w:rPr>
        <w:fldChar w:fldCharType="end"/>
      </w:r>
      <w:r w:rsidR="08DD7F9B">
        <w:t xml:space="preserve"> </w:t>
      </w:r>
      <w:r>
        <w:t xml:space="preserve">spojili dva zásadně odlišné významy substance. </w:t>
      </w:r>
      <w:r w:rsidR="08AD2149">
        <w:t>Kategoriál</w:t>
      </w:r>
      <w:r>
        <w:t>n</w:t>
      </w:r>
      <w:r w:rsidR="08AD2149">
        <w:t>í predikace druhé substance daná</w:t>
      </w:r>
      <w:r>
        <w:t xml:space="preserve"> impozicí významu od hyparchické první substance </w:t>
      </w:r>
      <w:r w:rsidR="08CC5990">
        <w:t>se dostala na stejnou úrove</w:t>
      </w:r>
      <w:r w:rsidR="08AD2149">
        <w:t xml:space="preserve">ň jako </w:t>
      </w:r>
      <w:r>
        <w:t>neděliteln</w:t>
      </w:r>
      <w:r w:rsidR="08CC5990">
        <w:t xml:space="preserve">á </w:t>
      </w:r>
      <w:r>
        <w:t xml:space="preserve">část </w:t>
      </w:r>
      <w:r w:rsidR="006A04C6" w:rsidRPr="006A04C6">
        <w:t>species</w:t>
      </w:r>
      <w:r>
        <w:t xml:space="preserve"> dan</w:t>
      </w:r>
      <w:r w:rsidR="08AD2149">
        <w:t>á</w:t>
      </w:r>
      <w:r>
        <w:t xml:space="preserve"> na konci dělení univerzálií (</w:t>
      </w:r>
      <w:r w:rsidRPr="00070246">
        <w:rPr>
          <w:i/>
        </w:rPr>
        <w:t>individuum</w:t>
      </w:r>
      <w:r>
        <w:t xml:space="preserve">). </w:t>
      </w:r>
      <w:r w:rsidR="08656BB3">
        <w:t>S</w:t>
      </w:r>
      <w:r w:rsidR="08656BB3" w:rsidRPr="00273106">
        <w:t xml:space="preserve">ložení abstraktních určení vytváří z hlediska </w:t>
      </w:r>
      <w:r w:rsidR="08656BB3" w:rsidRPr="00273106">
        <w:rPr>
          <w:i/>
        </w:rPr>
        <w:t>Nominales</w:t>
      </w:r>
      <w:r w:rsidR="08656BB3" w:rsidRPr="00273106">
        <w:t xml:space="preserve"> zvláštní jednotlivinu (</w:t>
      </w:r>
      <w:r w:rsidR="08656BB3" w:rsidRPr="00273106">
        <w:rPr>
          <w:i/>
        </w:rPr>
        <w:t>individuum</w:t>
      </w:r>
      <w:r w:rsidR="08656BB3">
        <w:rPr>
          <w:i/>
        </w:rPr>
        <w:fldChar w:fldCharType="begin"/>
      </w:r>
      <w:r w:rsidR="08656BB3">
        <w:instrText xml:space="preserve"> XE "substance:objektivní" </w:instrText>
      </w:r>
      <w:r w:rsidR="08656BB3">
        <w:rPr>
          <w:i/>
        </w:rPr>
        <w:fldChar w:fldCharType="end"/>
      </w:r>
      <w:r w:rsidR="08656BB3" w:rsidRPr="00273106">
        <w:t xml:space="preserve">) danou na stejnou ontologickou úroveň jako první </w:t>
      </w:r>
      <w:r w:rsidR="00B45F98">
        <w:t xml:space="preserve">hyparchická </w:t>
      </w:r>
      <w:r w:rsidR="08656BB3" w:rsidRPr="00273106">
        <w:t>substance (</w:t>
      </w:r>
      <w:r w:rsidR="08656BB3" w:rsidRPr="00273106">
        <w:rPr>
          <w:i/>
        </w:rPr>
        <w:t>in eo quod Plato est, dicunt individuum</w:t>
      </w:r>
      <w:r w:rsidR="08656BB3" w:rsidRPr="00273106">
        <w:t xml:space="preserve">). </w:t>
      </w:r>
      <w:r w:rsidR="00B45F98">
        <w:t>Z reálného Platona se stalo moderní individuum</w:t>
      </w:r>
      <w:r w:rsidR="006C76EE">
        <w:t xml:space="preserve">; </w:t>
      </w:r>
      <w:r w:rsidR="006C76EE" w:rsidRPr="006C76EE">
        <w:t xml:space="preserve">jeho tragicky falešná verze filozofie </w:t>
      </w:r>
      <w:r w:rsidR="006C76EE">
        <w:t>se stala naprostou tragikomedií</w:t>
      </w:r>
      <w:r w:rsidR="00B45F98">
        <w:t xml:space="preserve">. </w:t>
      </w:r>
      <w:r w:rsidR="08656BB3" w:rsidRPr="00273106">
        <w:t>A další část popisu nové školy jasně ukazuje, že toto dělení probíhá podle míry obecnosti (</w:t>
      </w:r>
      <w:r w:rsidR="08656BB3" w:rsidRPr="00273106">
        <w:rPr>
          <w:i/>
        </w:rPr>
        <w:t>sed subalternum</w:t>
      </w:r>
      <w:r w:rsidR="08656BB3" w:rsidRPr="00273106">
        <w:t xml:space="preserve">) dané v rámci dělení univerzálií podle </w:t>
      </w:r>
      <w:r w:rsidR="08656BB3">
        <w:t>Porfyri</w:t>
      </w:r>
      <w:r w:rsidR="08656BB3" w:rsidRPr="00273106">
        <w:t>ova stromu (</w:t>
      </w:r>
      <w:r w:rsidR="08656BB3" w:rsidRPr="00273106">
        <w:rPr>
          <w:i/>
        </w:rPr>
        <w:t xml:space="preserve">in eo quod homo, speciem: in eo quod animal, </w:t>
      </w:r>
      <w:r w:rsidR="00B1298A">
        <w:rPr>
          <w:i/>
        </w:rPr>
        <w:t>genus</w:t>
      </w:r>
      <w:r w:rsidR="08656BB3">
        <w:t xml:space="preserve">). </w:t>
      </w:r>
      <w:r w:rsidR="08656BB3" w:rsidRPr="00273106">
        <w:t xml:space="preserve">Porretáni obešli realitu první substance tím, že nahradili </w:t>
      </w:r>
      <w:r w:rsidR="006D5F07" w:rsidRPr="002035A2">
        <w:rPr>
          <w:i/>
          <w:szCs w:val="24"/>
        </w:rPr>
        <w:t>modus essendi</w:t>
      </w:r>
      <w:r w:rsidR="006D5F07">
        <w:rPr>
          <w:i/>
          <w:szCs w:val="24"/>
        </w:rPr>
        <w:fldChar w:fldCharType="begin"/>
      </w:r>
      <w:r w:rsidR="006D5F07">
        <w:instrText xml:space="preserve"> XE "</w:instrText>
      </w:r>
      <w:r w:rsidR="006D5F07" w:rsidRPr="00583F9F">
        <w:rPr>
          <w:i/>
          <w:szCs w:val="24"/>
        </w:rPr>
        <w:instrText>modus essendi</w:instrText>
      </w:r>
      <w:r w:rsidR="006D5F07">
        <w:instrText xml:space="preserve">" </w:instrText>
      </w:r>
      <w:r w:rsidR="006D5F07">
        <w:rPr>
          <w:i/>
          <w:szCs w:val="24"/>
        </w:rPr>
        <w:fldChar w:fldCharType="end"/>
      </w:r>
      <w:r w:rsidR="006D5F07">
        <w:rPr>
          <w:i/>
          <w:szCs w:val="24"/>
        </w:rPr>
        <w:t xml:space="preserve"> </w:t>
      </w:r>
      <w:r w:rsidR="008714D3" w:rsidRPr="008714D3">
        <w:rPr>
          <w:szCs w:val="24"/>
        </w:rPr>
        <w:t>skrze</w:t>
      </w:r>
      <w:r w:rsidR="008714D3">
        <w:rPr>
          <w:i/>
          <w:szCs w:val="24"/>
        </w:rPr>
        <w:t xml:space="preserve"> </w:t>
      </w:r>
      <w:r w:rsidR="008714D3">
        <w:t>kolekci</w:t>
      </w:r>
      <w:r w:rsidR="08656BB3" w:rsidRPr="00273106">
        <w:t xml:space="preserve"> hypostázovaných univerzálních vlastností </w:t>
      </w:r>
      <w:r w:rsidR="08656BB3">
        <w:t xml:space="preserve">daných individuálně </w:t>
      </w:r>
      <w:r w:rsidR="08656BB3" w:rsidRPr="00273106">
        <w:t>(</w:t>
      </w:r>
      <w:r w:rsidR="08656BB3" w:rsidRPr="00273106">
        <w:rPr>
          <w:i/>
        </w:rPr>
        <w:t>existentibus his quorum sunt substantialia</w:t>
      </w:r>
      <w:r w:rsidR="08656BB3" w:rsidRPr="00273106">
        <w:t>), které přidali k abstraktnímu substrátu (</w:t>
      </w:r>
      <w:r w:rsidR="08656BB3" w:rsidRPr="00273106">
        <w:rPr>
          <w:i/>
        </w:rPr>
        <w:t>denuo colligunt</w:t>
      </w:r>
      <w:r w:rsidR="08656BB3" w:rsidRPr="00273106">
        <w:t>). Tento druh retroaktivní kolekty abstraktních určení (</w:t>
      </w:r>
      <w:r w:rsidR="08656BB3" w:rsidRPr="00273106">
        <w:rPr>
          <w:i/>
        </w:rPr>
        <w:t>universalia singularibus... unienda</w:t>
      </w:r>
      <w:r w:rsidR="08656BB3" w:rsidRPr="00273106">
        <w:t xml:space="preserve">) </w:t>
      </w:r>
      <w:r w:rsidR="08656BB3">
        <w:t xml:space="preserve">byl přidaný k nominálně určené </w:t>
      </w:r>
      <w:r w:rsidR="08656BB3" w:rsidRPr="00273106">
        <w:t>subst</w:t>
      </w:r>
      <w:r w:rsidR="08656BB3">
        <w:t>anci</w:t>
      </w:r>
      <w:r w:rsidR="08656BB3" w:rsidRPr="00273106">
        <w:t xml:space="preserve"> (</w:t>
      </w:r>
      <w:r w:rsidR="08656BB3" w:rsidRPr="00273106">
        <w:rPr>
          <w:i/>
        </w:rPr>
        <w:t>quod ad essentiam</w:t>
      </w:r>
      <w:r w:rsidR="08656BB3" w:rsidRPr="00273106">
        <w:t>)</w:t>
      </w:r>
      <w:r w:rsidR="08656BB3">
        <w:t>. Tato kolekta hypostázovaných akcidentů vytvořila</w:t>
      </w:r>
      <w:r w:rsidR="08656BB3" w:rsidRPr="00273106">
        <w:t xml:space="preserve"> n</w:t>
      </w:r>
      <w:r w:rsidR="08656BB3">
        <w:t>ovou atomární substanci třetího druhu</w:t>
      </w:r>
      <w:r w:rsidR="08656BB3" w:rsidRPr="00273106">
        <w:t>.</w:t>
      </w:r>
      <w:r w:rsidR="08656BB3">
        <w:t xml:space="preserve"> </w:t>
      </w:r>
      <w:r w:rsidR="0868106B" w:rsidRPr="00273106">
        <w:t xml:space="preserve">První věta </w:t>
      </w:r>
      <w:r w:rsidR="089B6E80">
        <w:t>citátu tvrdí</w:t>
      </w:r>
      <w:r w:rsidR="0868106B" w:rsidRPr="00273106">
        <w:t xml:space="preserve">, že </w:t>
      </w:r>
      <w:r w:rsidR="00E90B9E">
        <w:t xml:space="preserve">škola </w:t>
      </w:r>
      <w:r w:rsidR="0868106B" w:rsidRPr="00273106">
        <w:rPr>
          <w:i/>
        </w:rPr>
        <w:t>Nominales</w:t>
      </w:r>
      <w:r w:rsidR="00E90B9E">
        <w:t xml:space="preserve"> zdvojila</w:t>
      </w:r>
      <w:r w:rsidR="0868106B" w:rsidRPr="00273106">
        <w:t xml:space="preserve"> realitu vlastními výtvory</w:t>
      </w:r>
      <w:r w:rsidR="08CC5990">
        <w:t xml:space="preserve">. Záměnou logické </w:t>
      </w:r>
      <w:r w:rsidR="08907808">
        <w:t>abstrakce</w:t>
      </w:r>
      <w:r w:rsidR="08CC5990">
        <w:t xml:space="preserve"> (</w:t>
      </w:r>
      <w:r w:rsidR="08CC5990" w:rsidRPr="00070246">
        <w:rPr>
          <w:i/>
        </w:rPr>
        <w:t>individuum</w:t>
      </w:r>
      <w:r w:rsidR="08CC5990">
        <w:t xml:space="preserve">) za metafyzickou predikaci (druhá substance) zmizel </w:t>
      </w:r>
      <w:r w:rsidR="08907808">
        <w:t xml:space="preserve">hyparchický </w:t>
      </w:r>
      <w:r w:rsidR="08CC5990">
        <w:t>význam prvn</w:t>
      </w:r>
      <w:r w:rsidR="08907808">
        <w:t>í substance, kterou</w:t>
      </w:r>
      <w:r w:rsidR="00026A07">
        <w:t xml:space="preserve"> teď zastupuje druhá substance. Škola </w:t>
      </w:r>
      <w:r w:rsidR="00026A07" w:rsidRPr="00026A07">
        <w:rPr>
          <w:i/>
        </w:rPr>
        <w:t>Nominales</w:t>
      </w:r>
      <w:r w:rsidR="00026A07">
        <w:t xml:space="preserve"> </w:t>
      </w:r>
      <w:r w:rsidR="00026A07" w:rsidRPr="00026A07">
        <w:t xml:space="preserve">se stala naprosto logickou a </w:t>
      </w:r>
      <w:r w:rsidR="00026A07">
        <w:t>n</w:t>
      </w:r>
      <w:r w:rsidR="00026A07" w:rsidRPr="00026A07">
        <w:t>aprosto paranoidní. Tato zakladatelská událost (</w:t>
      </w:r>
      <w:r w:rsidR="00026A07" w:rsidRPr="00026A07">
        <w:rPr>
          <w:i/>
        </w:rPr>
        <w:t>Ereignis</w:t>
      </w:r>
      <w:r w:rsidR="000374C1">
        <w:rPr>
          <w:i/>
        </w:rPr>
        <w:fldChar w:fldCharType="begin"/>
      </w:r>
      <w:r w:rsidR="000374C1">
        <w:instrText xml:space="preserve"> XE "</w:instrText>
      </w:r>
      <w:r w:rsidR="000374C1" w:rsidRPr="001C0DA1">
        <w:rPr>
          <w:i/>
        </w:rPr>
        <w:instrText>Ereignis</w:instrText>
      </w:r>
      <w:r w:rsidR="000374C1">
        <w:instrText xml:space="preserve">" </w:instrText>
      </w:r>
      <w:r w:rsidR="000374C1">
        <w:rPr>
          <w:i/>
        </w:rPr>
        <w:fldChar w:fldCharType="end"/>
      </w:r>
      <w:r w:rsidR="00026A07" w:rsidRPr="00026A07">
        <w:t xml:space="preserve">) </w:t>
      </w:r>
      <w:r w:rsidR="000C1D9F">
        <w:t xml:space="preserve">daná zmizením zdravého rozumu </w:t>
      </w:r>
      <w:r w:rsidR="00026A07" w:rsidRPr="00026A07">
        <w:t>dala vzniknout latinskému modernismu.</w:t>
      </w:r>
    </w:p>
    <w:p w14:paraId="0FD82F54" w14:textId="1CD638B3" w:rsidR="087A5E6F" w:rsidRDefault="08CC5990" w:rsidP="00026A07">
      <w:pPr>
        <w:ind w:firstLine="397"/>
      </w:pPr>
      <w:r>
        <w:t xml:space="preserve">Prvním modernistům zmizela impozice kategoriálního významu z hyparchické reality. Moderna má jen supozici, kterou mylně považuje za impozici, protože místo </w:t>
      </w:r>
      <w:r w:rsidR="082A724F">
        <w:t xml:space="preserve">metafyzického </w:t>
      </w:r>
      <w:r>
        <w:lastRenderedPageBreak/>
        <w:t>dativu zavedla parousii danou v mysli</w:t>
      </w:r>
      <w:r w:rsidR="08A4793A">
        <w:t xml:space="preserve"> </w:t>
      </w:r>
      <w:r w:rsidR="08B52388">
        <w:t xml:space="preserve">iluminátů </w:t>
      </w:r>
      <w:r w:rsidR="08A4793A">
        <w:t>(</w:t>
      </w:r>
      <w:r w:rsidR="08A4793A" w:rsidRPr="00273106">
        <w:rPr>
          <w:i/>
        </w:rPr>
        <w:t>his quorum sunt substantialia</w:t>
      </w:r>
      <w:r w:rsidR="08A4793A">
        <w:t>)</w:t>
      </w:r>
      <w:r>
        <w:t xml:space="preserve">. </w:t>
      </w:r>
      <w:r w:rsidR="08B52388">
        <w:t xml:space="preserve">Ve škole </w:t>
      </w:r>
      <w:r w:rsidR="08B52388" w:rsidRPr="08B52388">
        <w:rPr>
          <w:i/>
        </w:rPr>
        <w:t>Nominales</w:t>
      </w:r>
      <w:r w:rsidR="08B52388">
        <w:t xml:space="preserve"> </w:t>
      </w:r>
      <w:r>
        <w:t xml:space="preserve">vznikla paranoická </w:t>
      </w:r>
      <w:r w:rsidR="00843144">
        <w:t xml:space="preserve">impozice </w:t>
      </w:r>
      <w:r>
        <w:t xml:space="preserve">významu od </w:t>
      </w:r>
      <w:r w:rsidR="00D80F6A">
        <w:t xml:space="preserve">univerzální </w:t>
      </w:r>
      <w:r w:rsidR="00454DE9">
        <w:t xml:space="preserve">druhé substance, která byla dříve určená skrze hyparchickou první substanci. Ze druhé substance se stalo moderní </w:t>
      </w:r>
      <w:r w:rsidR="00454DE9" w:rsidRPr="00933DE1">
        <w:rPr>
          <w:i/>
        </w:rPr>
        <w:t>i</w:t>
      </w:r>
      <w:r w:rsidRPr="00933DE1">
        <w:rPr>
          <w:i/>
        </w:rPr>
        <w:t>ndividuu</w:t>
      </w:r>
      <w:r w:rsidR="00454DE9" w:rsidRPr="00933DE1">
        <w:rPr>
          <w:i/>
        </w:rPr>
        <w:t>m</w:t>
      </w:r>
      <w:r w:rsidR="00933DE1">
        <w:t xml:space="preserve">, které </w:t>
      </w:r>
      <w:r w:rsidR="00454DE9">
        <w:t xml:space="preserve">vstoupilo jako </w:t>
      </w:r>
      <w:r w:rsidR="00933DE1">
        <w:t>„</w:t>
      </w:r>
      <w:r w:rsidR="00454DE9">
        <w:t>pravdivě</w:t>
      </w:r>
      <w:r w:rsidR="00933DE1">
        <w:t>“</w:t>
      </w:r>
      <w:r w:rsidR="00DD0D18">
        <w:t xml:space="preserve"> (tj. mytologick</w:t>
      </w:r>
      <w:r w:rsidR="00933DE1">
        <w:t xml:space="preserve">y a tudíž objektivně) </w:t>
      </w:r>
      <w:r w:rsidR="00454DE9">
        <w:t>určená supozice do kategoriá</w:t>
      </w:r>
      <w:r w:rsidR="00933DE1">
        <w:t>l</w:t>
      </w:r>
      <w:r w:rsidR="00454DE9">
        <w:t>ní aristotelské predikace</w:t>
      </w:r>
      <w:r>
        <w:t xml:space="preserve"> </w:t>
      </w:r>
      <w:r w:rsidRPr="00273106">
        <w:t>(</w:t>
      </w:r>
      <w:r w:rsidRPr="00273106">
        <w:rPr>
          <w:i/>
        </w:rPr>
        <w:t>his quorum sunt substantialia, denuo colligunt</w:t>
      </w:r>
      <w:r w:rsidRPr="00273106">
        <w:t>)</w:t>
      </w:r>
      <w:r>
        <w:t xml:space="preserve">. </w:t>
      </w:r>
      <w:r w:rsidR="08506E9E">
        <w:t xml:space="preserve">Nová kolekta hypostází se nyní predikuje směrem k individuu, které hraje roli kategoriální druhé substance. </w:t>
      </w:r>
      <w:r w:rsidR="00386D2B" w:rsidRPr="00273106">
        <w:t xml:space="preserve">Toto zdvojení </w:t>
      </w:r>
      <w:r w:rsidR="004C3E52">
        <w:t xml:space="preserve">reality </w:t>
      </w:r>
      <w:r w:rsidR="00195BD0" w:rsidRPr="00273106">
        <w:t xml:space="preserve">poprvé provedl Gilbert </w:t>
      </w:r>
      <w:r w:rsidR="002239AA">
        <w:t>de La Porrée</w:t>
      </w:r>
      <w:r w:rsidR="006A7802" w:rsidRPr="00273106">
        <w:t xml:space="preserve"> pomocí hypostázované subsistence</w:t>
      </w:r>
      <w:r w:rsidR="00015564">
        <w:fldChar w:fldCharType="begin"/>
      </w:r>
      <w:r w:rsidR="00015564">
        <w:instrText xml:space="preserve"> XE "</w:instrText>
      </w:r>
      <w:r w:rsidR="00015564" w:rsidRPr="001D1E42">
        <w:instrText>subsistence</w:instrText>
      </w:r>
      <w:r w:rsidR="007A2C59">
        <w:instrText xml:space="preserve">:škola </w:instrText>
      </w:r>
      <w:r w:rsidR="007A2C59" w:rsidRPr="007A2C59">
        <w:rPr>
          <w:i/>
        </w:rPr>
        <w:instrText>Nominales</w:instrText>
      </w:r>
      <w:r w:rsidR="00015564">
        <w:instrText xml:space="preserve">" </w:instrText>
      </w:r>
      <w:r w:rsidR="00015564">
        <w:fldChar w:fldCharType="end"/>
      </w:r>
      <w:r w:rsidR="00256214">
        <w:t>, kterou postavil na stejnou úroveň jako existenci reálné věci</w:t>
      </w:r>
      <w:r w:rsidR="0868106B" w:rsidRPr="00273106">
        <w:t>.</w:t>
      </w:r>
      <w:r w:rsidR="005B0080" w:rsidRPr="00273106">
        <w:t xml:space="preserve"> </w:t>
      </w:r>
      <w:bookmarkEnd w:id="30"/>
      <w:r w:rsidR="004415CA" w:rsidRPr="00273106">
        <w:t>Adekvační teorie pravdy podle</w:t>
      </w:r>
      <w:r w:rsidR="00B77454" w:rsidRPr="00273106">
        <w:t xml:space="preserve"> </w:t>
      </w:r>
      <w:r w:rsidR="00CD51FA" w:rsidRPr="00273106">
        <w:rPr>
          <w:i/>
        </w:rPr>
        <w:t>Nominales</w:t>
      </w:r>
      <w:r w:rsidR="00CD51FA" w:rsidRPr="00273106">
        <w:t xml:space="preserve"> porovnává </w:t>
      </w:r>
      <w:r w:rsidR="00EC7103">
        <w:t xml:space="preserve">ty či ony </w:t>
      </w:r>
      <w:r w:rsidR="00CD51FA" w:rsidRPr="00273106">
        <w:t>poznané formy v intelektu (</w:t>
      </w:r>
      <w:r w:rsidR="00CD51FA" w:rsidRPr="00273106">
        <w:rPr>
          <w:i/>
        </w:rPr>
        <w:t>denuo colligunt</w:t>
      </w:r>
      <w:r w:rsidR="000D0685">
        <w:rPr>
          <w:i/>
        </w:rPr>
        <w:fldChar w:fldCharType="begin"/>
      </w:r>
      <w:r w:rsidR="000D0685">
        <w:instrText xml:space="preserve"> XE "</w:instrText>
      </w:r>
      <w:r w:rsidR="000D0685" w:rsidRPr="00F57E3C">
        <w:rPr>
          <w:i/>
        </w:rPr>
        <w:instrText>colligatio</w:instrText>
      </w:r>
      <w:r w:rsidR="000D0685">
        <w:instrText xml:space="preserve">" </w:instrText>
      </w:r>
      <w:r w:rsidR="000D0685">
        <w:rPr>
          <w:i/>
        </w:rPr>
        <w:fldChar w:fldCharType="end"/>
      </w:r>
      <w:r w:rsidR="00CD51FA" w:rsidRPr="00273106">
        <w:t xml:space="preserve">), a neřeší kauzální vztah poznání k materiálním věcem působících na smysly. </w:t>
      </w:r>
      <w:r w:rsidR="08360EF7" w:rsidRPr="00273106">
        <w:t xml:space="preserve">Definici </w:t>
      </w:r>
      <w:r w:rsidR="08CC6981">
        <w:rPr>
          <w:rStyle w:val="Zkladntext15dkovn0pt"/>
          <w:rFonts w:ascii="Calibri" w:eastAsia="Times" w:hAnsi="Calibri" w:cs="Times New Roman"/>
          <w:b w:val="0"/>
          <w:bCs w:val="0"/>
          <w:color w:val="auto"/>
          <w:sz w:val="24"/>
          <w:lang w:val="cs-CZ"/>
        </w:rPr>
        <w:t xml:space="preserve">individua určuje termín </w:t>
      </w:r>
      <w:r w:rsidR="08CC6981" w:rsidRPr="08CC6981">
        <w:rPr>
          <w:rStyle w:val="Zkladntext15dkovn0pt"/>
          <w:rFonts w:ascii="Calibri" w:eastAsia="Times" w:hAnsi="Calibri" w:cs="Times New Roman"/>
          <w:b w:val="0"/>
          <w:bCs w:val="0"/>
          <w:i/>
          <w:color w:val="auto"/>
          <w:sz w:val="24"/>
          <w:lang w:val="cs-CZ"/>
        </w:rPr>
        <w:t>collecta</w:t>
      </w:r>
      <w:r w:rsidR="08360EF7" w:rsidRPr="00273106">
        <w:rPr>
          <w:rStyle w:val="Zkladntext15dkovn0pt"/>
          <w:rFonts w:ascii="Calibri" w:eastAsia="Times" w:hAnsi="Calibri" w:cs="Times New Roman"/>
          <w:b w:val="0"/>
          <w:bCs w:val="0"/>
          <w:color w:val="auto"/>
          <w:sz w:val="24"/>
          <w:lang w:val="cs-CZ"/>
        </w:rPr>
        <w:t>, který vyjadřuje apozici hypostázovaných predikátů k dále nedělitelnému základu dělení univerzálií (</w:t>
      </w:r>
      <w:r w:rsidR="08360EF7" w:rsidRPr="00273106">
        <w:rPr>
          <w:rStyle w:val="Zkladntext15dkovn0pt"/>
          <w:rFonts w:ascii="Calibri" w:eastAsia="Times" w:hAnsi="Calibri" w:cs="Times New Roman"/>
          <w:b w:val="0"/>
          <w:bCs w:val="0"/>
          <w:i/>
          <w:color w:val="auto"/>
          <w:sz w:val="24"/>
          <w:lang w:val="cs-CZ"/>
        </w:rPr>
        <w:t>individuum</w:t>
      </w:r>
      <w:r w:rsidR="08360EF7" w:rsidRPr="00273106">
        <w:rPr>
          <w:rStyle w:val="Zkladntext15dkovn0pt"/>
          <w:rFonts w:ascii="Calibri" w:eastAsia="Times" w:hAnsi="Calibri" w:cs="Times New Roman"/>
          <w:b w:val="0"/>
          <w:bCs w:val="0"/>
          <w:color w:val="auto"/>
          <w:sz w:val="24"/>
          <w:lang w:val="cs-CZ"/>
        </w:rPr>
        <w:t xml:space="preserve">). </w:t>
      </w:r>
      <w:r w:rsidR="00A9049D" w:rsidRPr="00273106">
        <w:t>Poznání ve škol</w:t>
      </w:r>
      <w:r w:rsidR="00A9049D">
        <w:t>e porretánů provádí Avicennovu kolektu</w:t>
      </w:r>
      <w:r w:rsidR="00A9049D" w:rsidRPr="00273106">
        <w:t xml:space="preserve"> (</w:t>
      </w:r>
      <w:r w:rsidR="00A9049D" w:rsidRPr="00273106">
        <w:rPr>
          <w:i/>
        </w:rPr>
        <w:t>iltaqaṭa</w:t>
      </w:r>
      <w:r w:rsidR="00A9049D">
        <w:rPr>
          <w:i/>
        </w:rPr>
        <w:fldChar w:fldCharType="begin"/>
      </w:r>
      <w:r w:rsidR="00A9049D">
        <w:instrText xml:space="preserve"> XE "</w:instrText>
      </w:r>
      <w:r w:rsidR="00A9049D" w:rsidRPr="00A53DFC">
        <w:rPr>
          <w:i/>
        </w:rPr>
        <w:instrText>iltaqaṭa</w:instrText>
      </w:r>
      <w:r w:rsidR="00A9049D">
        <w:instrText xml:space="preserve">" </w:instrText>
      </w:r>
      <w:r w:rsidR="00A9049D">
        <w:rPr>
          <w:i/>
        </w:rPr>
        <w:fldChar w:fldCharType="end"/>
      </w:r>
      <w:r w:rsidR="00A9049D" w:rsidRPr="00273106">
        <w:t xml:space="preserve">) formálních určení </w:t>
      </w:r>
      <w:r w:rsidR="00A9049D">
        <w:t xml:space="preserve">do jsoucna třetího druhu </w:t>
      </w:r>
      <w:r w:rsidR="00A9049D" w:rsidRPr="00273106">
        <w:t>(</w:t>
      </w:r>
      <w:r w:rsidR="00A9049D">
        <w:t xml:space="preserve">OBJ I, </w:t>
      </w:r>
      <w:r w:rsidR="00A9049D" w:rsidRPr="00273106">
        <w:t>kap. 2.3.1).</w:t>
      </w:r>
      <w:r w:rsidR="00A9049D">
        <w:t xml:space="preserve"> </w:t>
      </w:r>
      <w:r w:rsidR="08D65601">
        <w:t>Tento sběr vlastností do individuálního celku umožňu</w:t>
      </w:r>
      <w:r w:rsidR="08D65601" w:rsidRPr="00273106">
        <w:t xml:space="preserve">je avicennovská abstrakce chápaná jako </w:t>
      </w:r>
      <w:r w:rsidR="08D65601" w:rsidRPr="00273106">
        <w:rPr>
          <w:i/>
        </w:rPr>
        <w:t>denudatio</w:t>
      </w:r>
      <w:r w:rsidR="08D65601">
        <w:rPr>
          <w:i/>
        </w:rPr>
        <w:fldChar w:fldCharType="begin"/>
      </w:r>
      <w:r w:rsidR="08D65601">
        <w:instrText xml:space="preserve"> XE "</w:instrText>
      </w:r>
      <w:r w:rsidR="08D65601" w:rsidRPr="00C23100">
        <w:rPr>
          <w:i/>
        </w:rPr>
        <w:instrText>denudatio</w:instrText>
      </w:r>
      <w:r w:rsidR="08D65601">
        <w:instrText xml:space="preserve">:škola </w:instrText>
      </w:r>
      <w:r w:rsidR="08D65601" w:rsidRPr="007A2C59">
        <w:rPr>
          <w:i/>
        </w:rPr>
        <w:instrText>Nominales</w:instrText>
      </w:r>
      <w:r w:rsidR="08D65601">
        <w:instrText xml:space="preserve">" </w:instrText>
      </w:r>
      <w:r w:rsidR="08D65601">
        <w:rPr>
          <w:i/>
        </w:rPr>
        <w:fldChar w:fldCharType="end"/>
      </w:r>
      <w:r w:rsidR="08D65601" w:rsidRPr="00273106">
        <w:t xml:space="preserve">. </w:t>
      </w:r>
      <w:r w:rsidR="08360EF7" w:rsidRPr="00273106">
        <w:rPr>
          <w:rStyle w:val="Zkladntext15dkovn0pt"/>
          <w:rFonts w:ascii="Calibri" w:eastAsia="Times" w:hAnsi="Calibri" w:cs="Times New Roman"/>
          <w:b w:val="0"/>
          <w:bCs w:val="0"/>
          <w:color w:val="auto"/>
          <w:sz w:val="24"/>
          <w:lang w:val="cs-CZ"/>
        </w:rPr>
        <w:t xml:space="preserve">Tento individuální substrát daný na rovině species je </w:t>
      </w:r>
      <w:r w:rsidR="08360EF7">
        <w:rPr>
          <w:rStyle w:val="Zkladntext15dkovn0pt"/>
          <w:rFonts w:ascii="Calibri" w:eastAsia="Times" w:hAnsi="Calibri" w:cs="Times New Roman"/>
          <w:b w:val="0"/>
          <w:bCs w:val="0"/>
          <w:color w:val="auto"/>
          <w:sz w:val="24"/>
          <w:lang w:val="cs-CZ"/>
        </w:rPr>
        <w:t xml:space="preserve">dále </w:t>
      </w:r>
      <w:r w:rsidR="08CC6981">
        <w:rPr>
          <w:rStyle w:val="Zkladntext15dkovn0pt"/>
          <w:rFonts w:ascii="Calibri" w:eastAsia="Times" w:hAnsi="Calibri" w:cs="Times New Roman"/>
          <w:b w:val="0"/>
          <w:bCs w:val="0"/>
          <w:color w:val="auto"/>
          <w:sz w:val="24"/>
          <w:lang w:val="cs-CZ"/>
        </w:rPr>
        <w:t xml:space="preserve">určen </w:t>
      </w:r>
      <w:r w:rsidR="08360EF7" w:rsidRPr="00273106">
        <w:rPr>
          <w:rStyle w:val="Zkladntext15dkovn0pt"/>
          <w:rFonts w:ascii="Calibri" w:eastAsia="Times" w:hAnsi="Calibri" w:cs="Times New Roman"/>
          <w:b w:val="0"/>
          <w:bCs w:val="0"/>
          <w:color w:val="auto"/>
          <w:sz w:val="24"/>
          <w:lang w:val="cs-CZ"/>
        </w:rPr>
        <w:t>apozicí (</w:t>
      </w:r>
      <w:r w:rsidR="08360EF7" w:rsidRPr="00273106">
        <w:rPr>
          <w:rStyle w:val="Zkladntext15dkovn0pt"/>
          <w:rFonts w:ascii="Calibri" w:eastAsia="Times" w:hAnsi="Calibri" w:cs="Times New Roman"/>
          <w:b w:val="0"/>
          <w:bCs w:val="0"/>
          <w:i/>
          <w:color w:val="auto"/>
          <w:sz w:val="24"/>
          <w:lang w:val="cs-CZ"/>
        </w:rPr>
        <w:t>apponere</w:t>
      </w:r>
      <w:r w:rsidR="08360EF7" w:rsidRPr="00273106">
        <w:rPr>
          <w:rStyle w:val="Zkladntext15dkovn0pt"/>
          <w:rFonts w:ascii="Calibri" w:eastAsia="Times" w:hAnsi="Calibri" w:cs="Times New Roman"/>
          <w:b w:val="0"/>
          <w:bCs w:val="0"/>
          <w:color w:val="auto"/>
          <w:sz w:val="24"/>
          <w:lang w:val="cs-CZ"/>
        </w:rPr>
        <w:t xml:space="preserve">), čili přidáním dalších kvalitativních určení </w:t>
      </w:r>
      <w:r w:rsidR="08360EF7" w:rsidRPr="00273106">
        <w:t>(Valente 2013)</w:t>
      </w:r>
      <w:r w:rsidR="08360EF7" w:rsidRPr="00273106">
        <w:rPr>
          <w:rStyle w:val="Zkladntext15dkovn0pt"/>
          <w:rFonts w:ascii="Calibri" w:eastAsia="Times" w:hAnsi="Calibri" w:cs="Times New Roman"/>
          <w:b w:val="0"/>
          <w:bCs w:val="0"/>
          <w:color w:val="auto"/>
          <w:sz w:val="24"/>
          <w:lang w:val="cs-CZ"/>
        </w:rPr>
        <w:t>.</w:t>
      </w:r>
      <w:r w:rsidR="08360EF7">
        <w:rPr>
          <w:rStyle w:val="Zkladntext15dkovn0pt"/>
          <w:rFonts w:ascii="Calibri" w:eastAsia="Times" w:hAnsi="Calibri" w:cs="Times New Roman"/>
          <w:b w:val="0"/>
          <w:bCs w:val="0"/>
          <w:color w:val="auto"/>
          <w:sz w:val="24"/>
          <w:lang w:val="cs-CZ"/>
        </w:rPr>
        <w:t xml:space="preserve"> </w:t>
      </w:r>
      <w:r w:rsidR="08D65601">
        <w:t xml:space="preserve">Škola  </w:t>
      </w:r>
      <w:r w:rsidR="08D65601" w:rsidRPr="08D65601">
        <w:rPr>
          <w:i/>
        </w:rPr>
        <w:t>Nominales</w:t>
      </w:r>
      <w:r w:rsidR="08D65601">
        <w:t xml:space="preserve"> přestala sledovat cestu </w:t>
      </w:r>
      <w:r w:rsidR="082A724F">
        <w:t xml:space="preserve">metafyzického </w:t>
      </w:r>
      <w:r w:rsidR="08D65601">
        <w:t xml:space="preserve">dativu a sluní se v parousii nominálních významů vytvořených skrze vlastní intelekt-slunce. Mysl těchto iluminátů řízená Fúriemi ukazuje </w:t>
      </w:r>
      <w:r w:rsidR="005D6C03" w:rsidRPr="00273106">
        <w:t xml:space="preserve">odkud přichází </w:t>
      </w:r>
      <w:r w:rsidR="000C57DB" w:rsidRPr="00273106">
        <w:t xml:space="preserve">impozice významu </w:t>
      </w:r>
      <w:r w:rsidR="002B1F18" w:rsidRPr="00273106">
        <w:t xml:space="preserve">k </w:t>
      </w:r>
      <w:r w:rsidR="000C57DB">
        <w:t>novému individuu uchopeného jako první substance.</w:t>
      </w:r>
      <w:r w:rsidR="08CC7A72">
        <w:t xml:space="preserve"> </w:t>
      </w:r>
      <w:r w:rsidR="08CC7A72" w:rsidRPr="00273106">
        <w:t>První substance je syntetizovaná v procesu kolekty akcidentů a esenciálních vlastností, místo aby byla poznána ve své subsistenci díky na</w:t>
      </w:r>
      <w:r w:rsidR="08CC7A72">
        <w:t xml:space="preserve">svícení zepředu </w:t>
      </w:r>
      <w:r w:rsidR="08CC7A72" w:rsidRPr="00273106">
        <w:t>od reálné věci kauzálně působící na naše smysly.</w:t>
      </w:r>
      <w:r w:rsidR="08CC7A72">
        <w:t xml:space="preserve"> Porretáni již nemusí zkoumat reálnou první substanci, protože si ji ve své osvícené mysli sami složí a zase rozloží. Tyto s</w:t>
      </w:r>
      <w:r w:rsidR="08CC7A72" w:rsidRPr="00273106">
        <w:rPr>
          <w:rStyle w:val="FontStyle129"/>
          <w:rFonts w:ascii="Calibri" w:hAnsi="Calibri"/>
          <w:sz w:val="24"/>
        </w:rPr>
        <w:t xml:space="preserve">ofistické výtvory nových forem </w:t>
      </w:r>
      <w:r w:rsidR="08CC7A72" w:rsidRPr="00273106">
        <w:rPr>
          <w:rStyle w:val="FontStyle129"/>
          <w:rFonts w:ascii="Calibri" w:hAnsi="Calibri"/>
          <w:i/>
          <w:sz w:val="24"/>
        </w:rPr>
        <w:t>tertium ens</w:t>
      </w:r>
      <w:r w:rsidR="08CC7A72">
        <w:rPr>
          <w:rStyle w:val="FontStyle129"/>
          <w:rFonts w:ascii="Calibri" w:hAnsi="Calibri"/>
          <w:i/>
          <w:sz w:val="24"/>
        </w:rPr>
        <w:fldChar w:fldCharType="begin"/>
      </w:r>
      <w:r w:rsidR="08CC7A72">
        <w:instrText xml:space="preserve"> XE "</w:instrText>
      </w:r>
      <w:r w:rsidR="08CC7A72" w:rsidRPr="002F10B4">
        <w:rPr>
          <w:rStyle w:val="Zvraznn"/>
        </w:rPr>
        <w:instrText>tertium ens</w:instrText>
      </w:r>
      <w:r w:rsidR="08CC7A72" w:rsidRPr="004E7A90">
        <w:instrText xml:space="preserve">:škola </w:instrText>
      </w:r>
      <w:r w:rsidR="08CC7A72" w:rsidRPr="00CF4A5F">
        <w:rPr>
          <w:i/>
        </w:rPr>
        <w:instrText>Nominales</w:instrText>
      </w:r>
      <w:r w:rsidR="08CC7A72">
        <w:instrText xml:space="preserve">" </w:instrText>
      </w:r>
      <w:r w:rsidR="08CC7A72">
        <w:rPr>
          <w:rStyle w:val="FontStyle129"/>
          <w:rFonts w:ascii="Calibri" w:hAnsi="Calibri"/>
          <w:i/>
          <w:sz w:val="24"/>
        </w:rPr>
        <w:fldChar w:fldCharType="end"/>
      </w:r>
      <w:r w:rsidR="08CC7A72" w:rsidRPr="00273106">
        <w:rPr>
          <w:rStyle w:val="FontStyle129"/>
          <w:rFonts w:ascii="Calibri" w:hAnsi="Calibri"/>
          <w:sz w:val="24"/>
        </w:rPr>
        <w:t xml:space="preserve"> koncipují první moderní podobu metafyziky </w:t>
      </w:r>
      <w:r w:rsidR="08CC7A72">
        <w:rPr>
          <w:rStyle w:val="FontStyle129"/>
          <w:rFonts w:ascii="Calibri" w:hAnsi="Calibri"/>
          <w:sz w:val="24"/>
        </w:rPr>
        <w:t>ve druhé polovině 12. století, kterou odmítli význační aristotelikové Abelardem založené Pařížské školy</w:t>
      </w:r>
      <w:r w:rsidR="00C72A94">
        <w:rPr>
          <w:rStyle w:val="FontStyle129"/>
          <w:rFonts w:ascii="Calibri" w:hAnsi="Calibri"/>
          <w:sz w:val="24"/>
        </w:rPr>
        <w:t>,</w:t>
      </w:r>
      <w:r w:rsidR="08CC7A72">
        <w:rPr>
          <w:rStyle w:val="FontStyle129"/>
          <w:rFonts w:ascii="Calibri" w:hAnsi="Calibri"/>
          <w:sz w:val="24"/>
        </w:rPr>
        <w:t xml:space="preserve"> jako byl Petr Lombardský a Jan ze Salisbury.</w:t>
      </w:r>
      <w:r w:rsidR="000C57DB">
        <w:t xml:space="preserve"> </w:t>
      </w:r>
      <w:r w:rsidR="00C72A94">
        <w:rPr>
          <w:rStyle w:val="st"/>
        </w:rPr>
        <w:t>V</w:t>
      </w:r>
      <w:r w:rsidR="00C72A94" w:rsidRPr="00273106">
        <w:rPr>
          <w:rStyle w:val="st"/>
        </w:rPr>
        <w:t>znik objektivního jsoucna</w:t>
      </w:r>
      <w:r w:rsidR="00C72A94">
        <w:rPr>
          <w:rStyle w:val="st"/>
        </w:rPr>
        <w:t xml:space="preserve"> se skrývá v termínu „</w:t>
      </w:r>
      <w:r w:rsidR="08CC7A72" w:rsidRPr="00273106">
        <w:rPr>
          <w:rStyle w:val="st"/>
          <w:i/>
        </w:rPr>
        <w:t>collectio</w:t>
      </w:r>
      <w:r w:rsidR="00C72A94">
        <w:rPr>
          <w:rStyle w:val="st"/>
        </w:rPr>
        <w:t>“</w:t>
      </w:r>
      <w:r w:rsidR="08CC7A72">
        <w:rPr>
          <w:rStyle w:val="st"/>
          <w:i/>
        </w:rPr>
        <w:fldChar w:fldCharType="begin"/>
      </w:r>
      <w:r w:rsidR="08CC7A72">
        <w:instrText xml:space="preserve"> XE "</w:instrText>
      </w:r>
      <w:r w:rsidR="08CC7A72" w:rsidRPr="003360BC">
        <w:rPr>
          <w:i/>
        </w:rPr>
        <w:instrText>collectio</w:instrText>
      </w:r>
      <w:r w:rsidR="08CC7A72">
        <w:instrText xml:space="preserve">" </w:instrText>
      </w:r>
      <w:r w:rsidR="08CC7A72">
        <w:rPr>
          <w:rStyle w:val="st"/>
          <w:i/>
        </w:rPr>
        <w:fldChar w:fldCharType="end"/>
      </w:r>
      <w:r w:rsidR="08CC7A72" w:rsidRPr="00273106">
        <w:rPr>
          <w:rStyle w:val="st"/>
        </w:rPr>
        <w:t xml:space="preserve"> vázaného na formu avicennovského vi</w:t>
      </w:r>
      <w:r w:rsidR="00C72A94">
        <w:rPr>
          <w:rStyle w:val="st"/>
        </w:rPr>
        <w:t xml:space="preserve">dění světa skrze </w:t>
      </w:r>
      <w:r w:rsidR="00D70C8D">
        <w:rPr>
          <w:rStyle w:val="st"/>
        </w:rPr>
        <w:t xml:space="preserve">oddělený </w:t>
      </w:r>
      <w:r w:rsidR="00D70C8D" w:rsidRPr="00DE418E">
        <w:rPr>
          <w:i/>
          <w:szCs w:val="24"/>
        </w:rPr>
        <w:t>intellectus agens</w:t>
      </w:r>
      <w:r w:rsidR="08CC7A72">
        <w:rPr>
          <w:rStyle w:val="st"/>
        </w:rPr>
        <w:t xml:space="preserve">. </w:t>
      </w:r>
      <w:r w:rsidR="08CC7A72" w:rsidRPr="00273106">
        <w:t>Esenciální vlastnosti se shromáždí v intelektu (</w:t>
      </w:r>
      <w:r w:rsidR="08CC7A72" w:rsidRPr="00273106">
        <w:rPr>
          <w:i/>
        </w:rPr>
        <w:t>collectio</w:t>
      </w:r>
      <w:r w:rsidR="08CC7A72" w:rsidRPr="00273106">
        <w:t>) a tento soubor formálních esencí je porovnán mezi sebou (</w:t>
      </w:r>
      <w:r w:rsidR="08CC7A72" w:rsidRPr="00273106">
        <w:rPr>
          <w:i/>
        </w:rPr>
        <w:t>collatio</w:t>
      </w:r>
      <w:r w:rsidR="08CC7A72" w:rsidRPr="00273106">
        <w:t>). Podle známého rozboru scholastických teorií abstrakce</w:t>
      </w:r>
      <w:r w:rsidR="08CC7A72">
        <w:fldChar w:fldCharType="begin"/>
      </w:r>
      <w:r w:rsidR="08CC7A72">
        <w:instrText xml:space="preserve"> XE </w:instrText>
      </w:r>
      <w:r w:rsidR="08CC7A72">
        <w:lastRenderedPageBreak/>
        <w:instrText>"</w:instrText>
      </w:r>
      <w:r w:rsidR="08CC7A72" w:rsidRPr="004E7A90">
        <w:instrText xml:space="preserve">abstrakce:škola </w:instrText>
      </w:r>
      <w:r w:rsidR="08CC7A72" w:rsidRPr="00CF4A5F">
        <w:rPr>
          <w:i/>
        </w:rPr>
        <w:instrText>Nominales</w:instrText>
      </w:r>
      <w:r w:rsidR="08CC7A72">
        <w:instrText xml:space="preserve">" </w:instrText>
      </w:r>
      <w:r w:rsidR="08CC7A72">
        <w:fldChar w:fldCharType="end"/>
      </w:r>
      <w:r w:rsidR="08CC7A72" w:rsidRPr="00273106">
        <w:t xml:space="preserve"> pramení v tomto pojetí </w:t>
      </w:r>
      <w:r w:rsidR="08CC7A72" w:rsidRPr="00273106">
        <w:rPr>
          <w:i/>
        </w:rPr>
        <w:t>Nominales</w:t>
      </w:r>
      <w:r w:rsidR="08CC7A72" w:rsidRPr="00273106">
        <w:t xml:space="preserve"> nové pojetí abstrakce jako </w:t>
      </w:r>
      <w:r w:rsidR="08CC7A72" w:rsidRPr="00273106">
        <w:rPr>
          <w:i/>
        </w:rPr>
        <w:t>collectio</w:t>
      </w:r>
      <w:r w:rsidR="08CC7A72" w:rsidRPr="00273106">
        <w:t xml:space="preserve">, </w:t>
      </w:r>
      <w:r w:rsidR="08CC7A72" w:rsidRPr="00273106">
        <w:rPr>
          <w:i/>
        </w:rPr>
        <w:t>colligatio, collatio</w:t>
      </w:r>
      <w:r w:rsidR="08CC7A72" w:rsidRPr="00273106">
        <w:t xml:space="preserve"> vázané na zásadně modifikovaný statut </w:t>
      </w:r>
      <w:r w:rsidR="006A04C6" w:rsidRPr="006A04C6">
        <w:t>species</w:t>
      </w:r>
      <w:r w:rsidR="08CC7A72" w:rsidRPr="00273106">
        <w:t xml:space="preserve"> (Chenu 1927</w:t>
      </w:r>
      <w:r w:rsidR="08CC7A72">
        <w:t xml:space="preserve">, </w:t>
      </w:r>
      <w:r w:rsidR="08CC7A72" w:rsidRPr="00273106">
        <w:t>Libera</w:t>
      </w:r>
      <w:r w:rsidR="08CC7A72">
        <w:t xml:space="preserve"> 1999, 224‒</w:t>
      </w:r>
      <w:r w:rsidR="08CC7A72" w:rsidRPr="00273106">
        <w:t xml:space="preserve">80). </w:t>
      </w:r>
      <w:r w:rsidR="087504AD" w:rsidRPr="00273106">
        <w:t xml:space="preserve">Moderní postup univoční kolekty doložený u výše uvedeného </w:t>
      </w:r>
      <w:r w:rsidR="087504AD">
        <w:t>Gautiera de Mortagne</w:t>
      </w:r>
      <w:r w:rsidR="08BF055E">
        <w:t xml:space="preserve"> </w:t>
      </w:r>
      <w:r w:rsidR="087504AD" w:rsidRPr="00273106">
        <w:t xml:space="preserve">bude hrát významnou roli u pozdějších </w:t>
      </w:r>
      <w:r w:rsidR="087504AD" w:rsidRPr="00273106">
        <w:rPr>
          <w:i/>
        </w:rPr>
        <w:t>Modernorum</w:t>
      </w:r>
      <w:r w:rsidR="087504AD" w:rsidRPr="00273106">
        <w:t>.</w:t>
      </w:r>
      <w:r w:rsidR="087504AD" w:rsidRPr="00273106">
        <w:rPr>
          <w:rStyle w:val="st"/>
        </w:rPr>
        <w:t xml:space="preserve"> </w:t>
      </w:r>
      <w:r w:rsidR="080A0794">
        <w:t xml:space="preserve">Gualterus </w:t>
      </w:r>
      <w:r w:rsidR="080A0794" w:rsidRPr="00AC42CC">
        <w:t xml:space="preserve"> de Mauritania</w:t>
      </w:r>
      <w:r w:rsidR="080A0794">
        <w:fldChar w:fldCharType="begin"/>
      </w:r>
      <w:r w:rsidR="080A0794">
        <w:instrText xml:space="preserve"> XE "</w:instrText>
      </w:r>
      <w:r w:rsidR="080A0794" w:rsidRPr="006510D4">
        <w:instrText>G</w:instrText>
      </w:r>
      <w:r w:rsidR="080A0794">
        <w:instrText>ualterus</w:instrText>
      </w:r>
      <w:r w:rsidR="080A0794" w:rsidRPr="006510D4">
        <w:instrText xml:space="preserve"> de Mauritania</w:instrText>
      </w:r>
      <w:r w:rsidR="080A0794">
        <w:instrText xml:space="preserve">" </w:instrText>
      </w:r>
      <w:r w:rsidR="080A0794">
        <w:fldChar w:fldCharType="end"/>
      </w:r>
      <w:r w:rsidR="080A0794">
        <w:t xml:space="preserve"> (†1174) vystudoval u Albericha v remešské katedrální škole a t</w:t>
      </w:r>
      <w:r w:rsidR="08CC7A72">
        <w:t>ento současník Salisburyho</w:t>
      </w:r>
      <w:r w:rsidR="08CC7A72" w:rsidRPr="004E6124">
        <w:t xml:space="preserve"> </w:t>
      </w:r>
      <w:r w:rsidR="08CC7A72">
        <w:t>se stal magistrem v Paříži po roce 1150 a biskupem v Laonu</w:t>
      </w:r>
      <w:r w:rsidR="083F17CC">
        <w:t xml:space="preserve"> (1155)</w:t>
      </w:r>
      <w:r w:rsidR="08CC7A72">
        <w:t>.</w:t>
      </w:r>
      <w:r w:rsidR="082A57D3">
        <w:t xml:space="preserve"> Z citovaných textů je jasné, že Salisbury kritizuje nikoliv jednotlivce, ale vlivnou katedrální školu moderního myšlení.</w:t>
      </w:r>
    </w:p>
    <w:p w14:paraId="739C623C" w14:textId="12FECCA7" w:rsidR="00536C33" w:rsidRPr="087A5E6F" w:rsidRDefault="087A5E6F" w:rsidP="00712437">
      <w:r>
        <w:tab/>
      </w:r>
      <w:r w:rsidR="000F3DFC">
        <w:t>A</w:t>
      </w:r>
      <w:r w:rsidR="000F3DFC" w:rsidRPr="00273106">
        <w:t xml:space="preserve">nonymní dílo </w:t>
      </w:r>
      <w:r w:rsidR="000F3DFC" w:rsidRPr="00273106">
        <w:rPr>
          <w:i/>
        </w:rPr>
        <w:t>Tractatus</w:t>
      </w:r>
      <w:r w:rsidR="000F3DFC" w:rsidRPr="00273106">
        <w:t xml:space="preserve"> psané po roce 1160</w:t>
      </w:r>
      <w:r w:rsidR="000F3DFC">
        <w:t xml:space="preserve"> </w:t>
      </w:r>
      <w:r w:rsidR="000F3DFC" w:rsidRPr="00273106">
        <w:t xml:space="preserve">dosvědčuje </w:t>
      </w:r>
      <w:r w:rsidR="000F3DFC">
        <w:rPr>
          <w:rStyle w:val="Zkladntext15dkovn0pt"/>
          <w:rFonts w:ascii="Calibri" w:eastAsia="Times" w:hAnsi="Calibri" w:cs="Times New Roman"/>
          <w:b w:val="0"/>
          <w:bCs w:val="0"/>
          <w:color w:val="auto"/>
          <w:sz w:val="24"/>
          <w:lang w:val="cs-CZ"/>
        </w:rPr>
        <w:t>n</w:t>
      </w:r>
      <w:r w:rsidR="0023554C">
        <w:rPr>
          <w:rStyle w:val="Zkladntext15dkovn0pt"/>
          <w:rFonts w:ascii="Calibri" w:eastAsia="Times" w:hAnsi="Calibri" w:cs="Times New Roman"/>
          <w:b w:val="0"/>
          <w:bCs w:val="0"/>
          <w:color w:val="auto"/>
          <w:sz w:val="24"/>
          <w:lang w:val="cs-CZ"/>
        </w:rPr>
        <w:t xml:space="preserve">ový </w:t>
      </w:r>
      <w:r w:rsidR="00536C33" w:rsidRPr="00273106">
        <w:t xml:space="preserve">statut </w:t>
      </w:r>
      <w:r w:rsidR="00C65786">
        <w:t xml:space="preserve">individua, </w:t>
      </w:r>
      <w:r w:rsidR="00536C33" w:rsidRPr="00273106">
        <w:t xml:space="preserve">materie a </w:t>
      </w:r>
      <w:r w:rsidR="000F3DFC">
        <w:t>hypostázované predikace</w:t>
      </w:r>
      <w:r w:rsidR="00E44666" w:rsidRPr="00273106">
        <w:t xml:space="preserve">. Traktát </w:t>
      </w:r>
      <w:r w:rsidR="009F07FD" w:rsidRPr="00273106">
        <w:t xml:space="preserve">vznikl </w:t>
      </w:r>
      <w:r w:rsidR="00536C33" w:rsidRPr="00273106">
        <w:t xml:space="preserve">zhruba ve stejné době </w:t>
      </w:r>
      <w:r w:rsidR="009F07FD" w:rsidRPr="00273106">
        <w:t xml:space="preserve">jako </w:t>
      </w:r>
      <w:r w:rsidR="08891C3B">
        <w:t xml:space="preserve">výše citovaný </w:t>
      </w:r>
      <w:r w:rsidR="00A538A8" w:rsidRPr="00273106">
        <w:t xml:space="preserve">porretánský spis </w:t>
      </w:r>
      <w:r w:rsidR="00536C33" w:rsidRPr="00273106">
        <w:rPr>
          <w:i/>
        </w:rPr>
        <w:t>Notae Dunelmenses</w:t>
      </w:r>
      <w:r w:rsidR="00536C33" w:rsidRPr="00273106">
        <w:t xml:space="preserve">. Pro porovnání </w:t>
      </w:r>
      <w:r w:rsidR="08F36279">
        <w:t xml:space="preserve">díla </w:t>
      </w:r>
      <w:r w:rsidR="08F36279" w:rsidRPr="00273106">
        <w:rPr>
          <w:i/>
        </w:rPr>
        <w:t>Tractatus</w:t>
      </w:r>
      <w:r w:rsidR="08F36279" w:rsidRPr="00273106">
        <w:t xml:space="preserve"> </w:t>
      </w:r>
      <w:r w:rsidR="00690F01">
        <w:t xml:space="preserve">s aristoteliky </w:t>
      </w:r>
      <w:r w:rsidR="08207182">
        <w:t xml:space="preserve">Pařížské školy </w:t>
      </w:r>
      <w:r w:rsidR="00536C33" w:rsidRPr="00273106">
        <w:t xml:space="preserve">se vraťme </w:t>
      </w:r>
      <w:r w:rsidR="00314C99">
        <w:t>k Abelardovi, který vypočítává</w:t>
      </w:r>
      <w:r w:rsidR="00536C33" w:rsidRPr="00273106">
        <w:t xml:space="preserve"> </w:t>
      </w:r>
      <w:r w:rsidR="08EB2A7E" w:rsidRPr="00273106">
        <w:t xml:space="preserve">různorodý </w:t>
      </w:r>
      <w:r w:rsidR="00536C33" w:rsidRPr="00273106">
        <w:t xml:space="preserve">status substance </w:t>
      </w:r>
      <w:r w:rsidR="08EB2A7E" w:rsidRPr="00273106">
        <w:t xml:space="preserve">vzhledem k impozici významu </w:t>
      </w:r>
      <w:r w:rsidR="001B156E">
        <w:t>(kap. 3.3</w:t>
      </w:r>
      <w:r w:rsidR="00536C33" w:rsidRPr="00273106">
        <w:t>). Substance z hlediska kategoriálního určení (</w:t>
      </w:r>
      <w:r w:rsidR="00536C33" w:rsidRPr="00273106">
        <w:rPr>
          <w:i/>
        </w:rPr>
        <w:t>'totum' autem aliud secundum substantiam</w:t>
      </w:r>
      <w:r w:rsidR="00536C33" w:rsidRPr="00273106">
        <w:t>) je determinovaná buď od obecniny (</w:t>
      </w:r>
      <w:r w:rsidR="00536C33" w:rsidRPr="00273106">
        <w:rPr>
          <w:i/>
        </w:rPr>
        <w:t>aliud secundum formam</w:t>
      </w:r>
      <w:r w:rsidR="00536C33" w:rsidRPr="00273106">
        <w:t>) nebo od jednotliviny dané složením formy a látky (</w:t>
      </w:r>
      <w:r w:rsidR="00536C33" w:rsidRPr="00273106">
        <w:rPr>
          <w:i/>
        </w:rPr>
        <w:t>aliud secundum utrumque dicitur</w:t>
      </w:r>
      <w:r w:rsidR="00536C33" w:rsidRPr="00273106">
        <w:t xml:space="preserve">). </w:t>
      </w:r>
      <w:r w:rsidR="00070420" w:rsidRPr="00273106">
        <w:t>Aristotelik</w:t>
      </w:r>
      <w:r w:rsidR="00070420">
        <w:t>ové</w:t>
      </w:r>
      <w:r w:rsidR="00070420" w:rsidRPr="00273106">
        <w:t xml:space="preserve"> </w:t>
      </w:r>
      <w:r w:rsidR="0030025B">
        <w:t xml:space="preserve">Boethius,  </w:t>
      </w:r>
      <w:r w:rsidR="00CB3E4F">
        <w:t>Abélard</w:t>
      </w:r>
      <w:r w:rsidR="0030025B">
        <w:t xml:space="preserve"> </w:t>
      </w:r>
      <w:r w:rsidR="00070420">
        <w:t xml:space="preserve">a </w:t>
      </w:r>
      <w:r w:rsidR="004969CD">
        <w:t>Jan z</w:t>
      </w:r>
      <w:r w:rsidR="0030025B">
        <w:t>e</w:t>
      </w:r>
      <w:r w:rsidR="004969CD">
        <w:t xml:space="preserve"> Salisbury</w:t>
      </w:r>
      <w:r w:rsidR="00070420">
        <w:t xml:space="preserve"> </w:t>
      </w:r>
      <w:r w:rsidR="00427BDA">
        <w:t xml:space="preserve">absolutně </w:t>
      </w:r>
      <w:r w:rsidR="00070420" w:rsidRPr="00273106">
        <w:t>vyloučil</w:t>
      </w:r>
      <w:r w:rsidR="00070420">
        <w:t>i</w:t>
      </w:r>
      <w:r w:rsidR="00070420" w:rsidRPr="00273106">
        <w:t xml:space="preserve"> univoční diferenciaci univerzálií až na úroveň </w:t>
      </w:r>
      <w:r w:rsidR="0857429C">
        <w:t xml:space="preserve">hylemorfické </w:t>
      </w:r>
      <w:r w:rsidR="00427BDA">
        <w:t xml:space="preserve">jednotliviny, </w:t>
      </w:r>
      <w:r w:rsidR="00070420" w:rsidRPr="00273106">
        <w:t xml:space="preserve">jako je Sokrates. Podle </w:t>
      </w:r>
      <w:r w:rsidR="00070420">
        <w:t xml:space="preserve">výše uvedené </w:t>
      </w:r>
      <w:r w:rsidR="0857429C">
        <w:t xml:space="preserve">Boethiovy interpretace </w:t>
      </w:r>
      <w:r w:rsidR="00BF6146" w:rsidRPr="00BF6146">
        <w:rPr>
          <w:i/>
        </w:rPr>
        <w:t>Isagoge</w:t>
      </w:r>
      <w:r w:rsidR="00070420" w:rsidRPr="00273106">
        <w:t xml:space="preserve"> se u</w:t>
      </w:r>
      <w:r w:rsidR="00070420" w:rsidRPr="00273106">
        <w:rPr>
          <w:rStyle w:val="Zkladntext158dkovn0pt"/>
          <w:color w:val="auto"/>
          <w:spacing w:val="0"/>
          <w:sz w:val="24"/>
          <w:lang w:val="cs-CZ"/>
        </w:rPr>
        <w:t xml:space="preserve">niverzální predikáty ptají na způsob, jak jsou věci dány </w:t>
      </w:r>
      <w:r w:rsidR="00AD3211">
        <w:rPr>
          <w:rStyle w:val="Zkladntext158dkovn0pt"/>
          <w:color w:val="auto"/>
          <w:spacing w:val="0"/>
          <w:sz w:val="24"/>
          <w:lang w:val="cs-CZ"/>
        </w:rPr>
        <w:t xml:space="preserve">v mysli </w:t>
      </w:r>
      <w:r w:rsidR="00070420" w:rsidRPr="00273106">
        <w:rPr>
          <w:rStyle w:val="Zkladntext158dkovn0pt"/>
          <w:color w:val="auto"/>
          <w:spacing w:val="0"/>
          <w:sz w:val="24"/>
          <w:lang w:val="cs-CZ"/>
        </w:rPr>
        <w:t>(</w:t>
      </w:r>
      <w:r w:rsidR="00070420" w:rsidRPr="00273106">
        <w:rPr>
          <w:rStyle w:val="Zkladntext15dkovn0pt"/>
          <w:rFonts w:ascii="Calibri" w:eastAsia="Times" w:hAnsi="Calibri" w:cs="Times New Roman"/>
          <w:b w:val="0"/>
          <w:bCs w:val="0"/>
          <w:i/>
          <w:color w:val="auto"/>
          <w:sz w:val="24"/>
          <w:lang w:val="cs-CZ"/>
        </w:rPr>
        <w:t>quale quiddam est</w:t>
      </w:r>
      <w:r w:rsidR="00070420" w:rsidRPr="00273106">
        <w:rPr>
          <w:rStyle w:val="Zkladntext15dkovn0pt"/>
          <w:rFonts w:ascii="Calibri" w:eastAsia="Times" w:hAnsi="Calibri" w:cs="Times New Roman"/>
          <w:b w:val="0"/>
          <w:bCs w:val="0"/>
          <w:color w:val="auto"/>
          <w:sz w:val="24"/>
          <w:lang w:val="cs-CZ"/>
        </w:rPr>
        <w:t>), a nikoliv na otázku po bytí konkrétní věci v realitě (</w:t>
      </w:r>
      <w:r w:rsidR="00070420" w:rsidRPr="00273106">
        <w:rPr>
          <w:rStyle w:val="Zkladntext15dkovn0pt"/>
          <w:rFonts w:ascii="Calibri" w:eastAsia="Times" w:hAnsi="Calibri" w:cs="Times New Roman"/>
          <w:b w:val="0"/>
          <w:bCs w:val="0"/>
          <w:i/>
          <w:color w:val="auto"/>
          <w:sz w:val="24"/>
          <w:lang w:val="cs-CZ"/>
        </w:rPr>
        <w:t>non in eo quod quid est</w:t>
      </w:r>
      <w:r w:rsidR="00070420">
        <w:rPr>
          <w:rStyle w:val="Zkladntext15dkovn0pt"/>
          <w:rFonts w:ascii="Calibri" w:eastAsia="Times" w:hAnsi="Calibri" w:cs="Times New Roman"/>
          <w:b w:val="0"/>
          <w:bCs w:val="0"/>
          <w:i/>
          <w:color w:val="auto"/>
          <w:sz w:val="24"/>
          <w:lang w:val="cs-CZ"/>
        </w:rPr>
        <w:t xml:space="preserve">, </w:t>
      </w:r>
      <w:r w:rsidR="00070420" w:rsidRPr="00B77672">
        <w:rPr>
          <w:rStyle w:val="Zkladntext15dkovn0pt"/>
          <w:rFonts w:ascii="Calibri" w:eastAsia="Times" w:hAnsi="Calibri" w:cs="Times New Roman"/>
          <w:b w:val="0"/>
          <w:bCs w:val="0"/>
          <w:color w:val="auto"/>
          <w:sz w:val="24"/>
          <w:lang w:val="cs-CZ"/>
        </w:rPr>
        <w:t>kap. 3.1</w:t>
      </w:r>
      <w:r w:rsidR="00070420" w:rsidRPr="00273106">
        <w:rPr>
          <w:rStyle w:val="Zkladntext15dkovn0pt"/>
          <w:rFonts w:ascii="Calibri" w:eastAsia="Times" w:hAnsi="Calibri" w:cs="Times New Roman"/>
          <w:b w:val="0"/>
          <w:bCs w:val="0"/>
          <w:color w:val="auto"/>
          <w:sz w:val="24"/>
          <w:lang w:val="cs-CZ"/>
        </w:rPr>
        <w:t>).</w:t>
      </w:r>
      <w:r w:rsidR="00070420" w:rsidRPr="00273106">
        <w:t xml:space="preserve"> </w:t>
      </w:r>
      <w:r w:rsidR="08060FB9">
        <w:t xml:space="preserve">Boethiovo zaměření </w:t>
      </w:r>
      <w:r w:rsidR="00070420" w:rsidRPr="00273106">
        <w:t xml:space="preserve">predikace </w:t>
      </w:r>
      <w:r w:rsidR="08060FB9">
        <w:t xml:space="preserve">na univerzální význam </w:t>
      </w:r>
      <w:r w:rsidR="00070420" w:rsidRPr="00273106">
        <w:t xml:space="preserve">u </w:t>
      </w:r>
      <w:r w:rsidR="00070420" w:rsidRPr="00273106">
        <w:rPr>
          <w:i/>
        </w:rPr>
        <w:t>Nominales</w:t>
      </w:r>
      <w:r w:rsidR="00070420" w:rsidRPr="00273106">
        <w:t xml:space="preserve"> zmizel</w:t>
      </w:r>
      <w:r w:rsidR="08060FB9">
        <w:t>o</w:t>
      </w:r>
      <w:r w:rsidR="00070420" w:rsidRPr="00273106">
        <w:t xml:space="preserve"> a tím zanikl i rozdíl mezi první a druhou substancí.</w:t>
      </w:r>
      <w:r w:rsidR="00070420">
        <w:t xml:space="preserve"> </w:t>
      </w:r>
      <w:r w:rsidR="008256F6">
        <w:t xml:space="preserve">Ale ztráta </w:t>
      </w:r>
      <w:r w:rsidR="00C21CBB">
        <w:t xml:space="preserve">metafyzické </w:t>
      </w:r>
      <w:r w:rsidR="008256F6">
        <w:t>impozice a na ni navázan</w:t>
      </w:r>
      <w:r w:rsidR="00B4648A">
        <w:t>é</w:t>
      </w:r>
      <w:r w:rsidR="008256F6">
        <w:t xml:space="preserve"> univoční supozice znamenala, že zmizel rozdíl mezi kategoriální druhou substancí a pouze všeobecným nominálním významem logické druhé substance (</w:t>
      </w:r>
      <w:r w:rsidR="008256F6">
        <w:rPr>
          <w:szCs w:val="24"/>
          <w:lang w:val="de-DE"/>
        </w:rPr>
        <w:t xml:space="preserve">Abelardovo </w:t>
      </w:r>
      <w:r w:rsidR="008256F6" w:rsidRPr="00A3280A">
        <w:rPr>
          <w:i/>
          <w:szCs w:val="24"/>
          <w:lang w:val="de-DE"/>
        </w:rPr>
        <w:t>oratio</w:t>
      </w:r>
      <w:r w:rsidR="008256F6">
        <w:t xml:space="preserve">). Modernisté vytvořili první metafyziku chiméry, což pro klasické aristoteliky znamenalo jasnou paranoiu. </w:t>
      </w:r>
      <w:r w:rsidR="0857429C">
        <w:t>Klíčovou roli v přeměně substance na objek</w:t>
      </w:r>
      <w:r w:rsidR="00B56C9A">
        <w:t xml:space="preserve">tivní individuum hraje termín </w:t>
      </w:r>
      <w:r w:rsidR="004B4D52" w:rsidRPr="004B4D52">
        <w:t>species</w:t>
      </w:r>
      <w:r w:rsidR="00B56C9A" w:rsidRPr="00273106">
        <w:rPr>
          <w:i/>
        </w:rPr>
        <w:t xml:space="preserve"> specialissima</w:t>
      </w:r>
      <w:r w:rsidR="00B56C9A">
        <w:rPr>
          <w:i/>
        </w:rPr>
        <w:fldChar w:fldCharType="begin"/>
      </w:r>
      <w:r w:rsidR="00B56C9A">
        <w:instrText xml:space="preserve"> XE "</w:instrText>
      </w:r>
      <w:r w:rsidR="00B56C9A" w:rsidRPr="00A94442">
        <w:rPr>
          <w:i/>
        </w:rPr>
        <w:instrText>species specialissima</w:instrText>
      </w:r>
      <w:r w:rsidR="00B56C9A">
        <w:instrText xml:space="preserve">" </w:instrText>
      </w:r>
      <w:r w:rsidR="00B56C9A">
        <w:rPr>
          <w:i/>
        </w:rPr>
        <w:fldChar w:fldCharType="end"/>
      </w:r>
      <w:r w:rsidR="00B56C9A">
        <w:t xml:space="preserve">. </w:t>
      </w:r>
      <w:r w:rsidR="00070420" w:rsidRPr="00273106">
        <w:t xml:space="preserve">Původní model </w:t>
      </w:r>
      <w:r w:rsidR="00070420">
        <w:t xml:space="preserve">porretánské </w:t>
      </w:r>
      <w:r w:rsidR="00070420" w:rsidRPr="00273106">
        <w:t>individuální p</w:t>
      </w:r>
      <w:r w:rsidR="00B56C9A">
        <w:t xml:space="preserve">redikace </w:t>
      </w:r>
      <w:r w:rsidR="004B4D52" w:rsidRPr="004B4D52">
        <w:t>species</w:t>
      </w:r>
      <w:r w:rsidR="00070420"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BF6146">
        <w:t xml:space="preserve"> je třeba hledat v Porfyriově </w:t>
      </w:r>
      <w:r w:rsidR="00BF6146" w:rsidRPr="00BF6146">
        <w:rPr>
          <w:i/>
        </w:rPr>
        <w:t>Isagoge</w:t>
      </w:r>
      <w:r w:rsidR="00070420" w:rsidRPr="00273106">
        <w:t xml:space="preserve">, kde však nese aristotelský význam a ne </w:t>
      </w:r>
      <w:r w:rsidR="00874074">
        <w:t>neoplatonsk</w:t>
      </w:r>
      <w:r w:rsidR="00070420" w:rsidRPr="00273106">
        <w:t>ý.</w:t>
      </w:r>
      <w:bookmarkStart w:id="31" w:name="_Ref396309168"/>
      <w:r w:rsidR="00070420" w:rsidRPr="00273106">
        <w:rPr>
          <w:rStyle w:val="Znakapoznpodarou"/>
        </w:rPr>
        <w:footnoteReference w:id="62"/>
      </w:r>
      <w:bookmarkEnd w:id="31"/>
      <w:r w:rsidR="00070420" w:rsidRPr="00273106">
        <w:t xml:space="preserve"> Boethius</w:t>
      </w:r>
      <w:r w:rsidR="00DF1F0F">
        <w:fldChar w:fldCharType="begin"/>
      </w:r>
      <w:r w:rsidR="00DF1F0F">
        <w:instrText xml:space="preserve"> XE </w:instrText>
      </w:r>
      <w:r w:rsidR="00DF1F0F">
        <w:lastRenderedPageBreak/>
        <w:instrText>"</w:instrText>
      </w:r>
      <w:r w:rsidR="00DF1F0F" w:rsidRPr="00521677">
        <w:rPr>
          <w:lang w:eastAsia="en-US"/>
        </w:rPr>
        <w:instrText>Boethius, Anicius</w:instrText>
      </w:r>
      <w:r w:rsidR="00DF1F0F">
        <w:instrText xml:space="preserve">" </w:instrText>
      </w:r>
      <w:r w:rsidR="00DF1F0F">
        <w:fldChar w:fldCharType="end"/>
      </w:r>
      <w:r w:rsidR="00844794">
        <w:t xml:space="preserve"> chápe </w:t>
      </w:r>
      <w:r w:rsidR="00070420" w:rsidRPr="00273106">
        <w:t xml:space="preserve">poslední </w:t>
      </w:r>
      <w:r w:rsidR="00844794">
        <w:t xml:space="preserve">druh </w:t>
      </w:r>
      <w:r w:rsidR="00070420" w:rsidRPr="00273106">
        <w:t xml:space="preserve">v řádu </w:t>
      </w:r>
      <w:r w:rsidR="00070420" w:rsidRPr="00273106">
        <w:rPr>
          <w:i/>
        </w:rPr>
        <w:t>Arbor Porphyriana</w:t>
      </w:r>
      <w:r w:rsidR="00B65DFD">
        <w:rPr>
          <w:i/>
        </w:rPr>
        <w:fldChar w:fldCharType="begin"/>
      </w:r>
      <w:r w:rsidR="00B65DFD">
        <w:instrText xml:space="preserve"> XE "</w:instrText>
      </w:r>
      <w:r w:rsidR="00B65DFD" w:rsidRPr="00227C7B">
        <w:rPr>
          <w:i/>
        </w:rPr>
        <w:instrText>Arbor Porphyriana</w:instrText>
      </w:r>
      <w:r w:rsidR="00B65DFD">
        <w:instrText xml:space="preserve">" </w:instrText>
      </w:r>
      <w:r w:rsidR="00B65DFD">
        <w:rPr>
          <w:i/>
        </w:rPr>
        <w:fldChar w:fldCharType="end"/>
      </w:r>
      <w:r w:rsidR="00070420" w:rsidRPr="00273106">
        <w:t xml:space="preserve"> daný v protikladu k obecnosti nejvyššího rodu. Specifické </w:t>
      </w:r>
      <w:r w:rsidR="006A04C6" w:rsidRPr="006A04C6">
        <w:t>species</w:t>
      </w:r>
      <w:r w:rsidR="00070420" w:rsidRPr="00273106">
        <w:t xml:space="preserve"> univočně definuje v Boeth</w:t>
      </w:r>
      <w:r w:rsidR="003F6E21">
        <w:t xml:space="preserve">iově překladu </w:t>
      </w:r>
      <w:r w:rsidR="003F6E21" w:rsidRPr="003F6E21">
        <w:rPr>
          <w:i/>
        </w:rPr>
        <w:t>Isagoge</w:t>
      </w:r>
      <w:r w:rsidR="00070420" w:rsidRPr="00273106">
        <w:t xml:space="preserve"> poslední úroveň univerzality, která je dána směrem od jednoho určitého rodu.</w:t>
      </w:r>
      <w:r w:rsidR="00070420" w:rsidRPr="00273106">
        <w:rPr>
          <w:rStyle w:val="Znakapoznpodarou"/>
        </w:rPr>
        <w:footnoteReference w:id="63"/>
      </w:r>
      <w:r w:rsidR="00070420" w:rsidRPr="00273106">
        <w:t xml:space="preserve"> Poslední </w:t>
      </w:r>
      <w:r w:rsidR="00844794">
        <w:t xml:space="preserve">univerzální specifikum </w:t>
      </w:r>
      <w:r w:rsidR="00070420" w:rsidRPr="00273106">
        <w:t xml:space="preserve">na opačné straně dělení už neobsahuje nic z generického významu jemu nadřazeného rodu, </w:t>
      </w:r>
      <w:r w:rsidR="00B24743">
        <w:t xml:space="preserve">protože </w:t>
      </w:r>
      <w:r w:rsidR="00070420" w:rsidRPr="00273106">
        <w:t xml:space="preserve">drží </w:t>
      </w:r>
      <w:r w:rsidR="00B24743">
        <w:t xml:space="preserve">identitu </w:t>
      </w:r>
      <w:r w:rsidR="0862146A">
        <w:t xml:space="preserve">univerzálního </w:t>
      </w:r>
      <w:r w:rsidR="00B24743">
        <w:t xml:space="preserve">významu </w:t>
      </w:r>
      <w:r w:rsidR="08165F1E" w:rsidRPr="00273106">
        <w:t xml:space="preserve">pouze </w:t>
      </w:r>
      <w:r w:rsidR="0862146A">
        <w:t xml:space="preserve">na úrovni </w:t>
      </w:r>
      <w:r w:rsidR="006A04C6" w:rsidRPr="006A04C6">
        <w:t>species</w:t>
      </w:r>
      <w:r w:rsidR="00070420" w:rsidRPr="00273106">
        <w:t xml:space="preserve">. </w:t>
      </w:r>
      <w:r w:rsidR="00070420">
        <w:t xml:space="preserve">Ale toto dělení je samozřejmě možné jen u univerzálií a jeho mix s reálnou první substancí je vyloučen. </w:t>
      </w:r>
      <w:r w:rsidR="00070420" w:rsidRPr="00273106">
        <w:t>Dvojí statut</w:t>
      </w:r>
      <w:r w:rsidR="003F6E21">
        <w:t xml:space="preserve"> </w:t>
      </w:r>
      <w:r w:rsidR="006A04C6" w:rsidRPr="006A04C6">
        <w:t>species</w:t>
      </w:r>
      <w:r w:rsidR="003F6E21">
        <w:t xml:space="preserve"> pojednávaných v </w:t>
      </w:r>
      <w:r w:rsidR="003F6E21" w:rsidRPr="003F6E21">
        <w:rPr>
          <w:i/>
        </w:rPr>
        <w:t>Isagoge</w:t>
      </w:r>
      <w:r w:rsidR="00070420" w:rsidRPr="00273106">
        <w:t xml:space="preserve"> vzhledem k rodu a k jednotlivinám v modu </w:t>
      </w:r>
      <w:r w:rsidR="00070420" w:rsidRPr="00273106">
        <w:rPr>
          <w:i/>
        </w:rPr>
        <w:t>per prius</w:t>
      </w:r>
      <w:r w:rsidR="00070420" w:rsidRPr="00273106">
        <w:t xml:space="preserve"> a </w:t>
      </w:r>
      <w:r w:rsidR="00070420" w:rsidRPr="00273106">
        <w:rPr>
          <w:i/>
        </w:rPr>
        <w:t>per posterius</w:t>
      </w:r>
      <w:r w:rsidR="00070420" w:rsidRPr="00273106">
        <w:t xml:space="preserve"> jsme řešili v úvodu studie (</w:t>
      </w:r>
      <w:r w:rsidR="084E7952">
        <w:t>kap. 1.3</w:t>
      </w:r>
      <w:r w:rsidR="00070420" w:rsidRPr="00273106">
        <w:t>).</w:t>
      </w:r>
      <w:r w:rsidR="00070420">
        <w:t xml:space="preserve"> </w:t>
      </w:r>
      <w:r w:rsidR="00F25AF0">
        <w:t>Moderna zvolila cestu jsoucna třetího druhu a musí k němu najít i třetí formu signifikace</w:t>
      </w:r>
      <w:r w:rsidR="005D771C">
        <w:t xml:space="preserve"> substance, která neexistuje ani v realitě, ani pouze v mysli</w:t>
      </w:r>
      <w:r w:rsidR="00F25AF0">
        <w:t xml:space="preserve">. </w:t>
      </w:r>
      <w:r w:rsidR="00EA6802" w:rsidRPr="00273106">
        <w:t xml:space="preserve">Autor </w:t>
      </w:r>
      <w:r w:rsidR="00EA6802" w:rsidRPr="00634D4E">
        <w:rPr>
          <w:i/>
        </w:rPr>
        <w:t>Traktátu</w:t>
      </w:r>
      <w:r w:rsidR="00EA6802" w:rsidRPr="00273106">
        <w:t xml:space="preserve"> pracuje s trojím pojetím substance </w:t>
      </w:r>
      <w:r w:rsidR="00EA6802">
        <w:t xml:space="preserve">a </w:t>
      </w:r>
      <w:r w:rsidR="000B6EB3">
        <w:t xml:space="preserve">ruší rozdíl mezi supozicí </w:t>
      </w:r>
      <w:r w:rsidR="00A36AF2">
        <w:t xml:space="preserve">danou od poznávajícího subjektu </w:t>
      </w:r>
      <w:r w:rsidR="000B6EB3">
        <w:t xml:space="preserve">a impozicí </w:t>
      </w:r>
      <w:r w:rsidR="00A36AF2">
        <w:t>danou od reality</w:t>
      </w:r>
      <w:r w:rsidR="000B6EB3">
        <w:t xml:space="preserve"> první substance.</w:t>
      </w:r>
      <w:r w:rsidR="00634D4E">
        <w:t xml:space="preserve"> </w:t>
      </w:r>
      <w:r>
        <w:t>Vidění moderny vzniklo nasvícením individua ze zezadu</w:t>
      </w:r>
      <w:r w:rsidR="0810691D">
        <w:t>, tedy od hypostázovan</w:t>
      </w:r>
      <w:r>
        <w:t xml:space="preserve">é kolekty predikátů daných pouze v mysli. </w:t>
      </w:r>
      <w:r w:rsidR="08E41F5F">
        <w:t>Absolutizací parousie</w:t>
      </w:r>
      <w:r w:rsidR="08E41F5F">
        <w:fldChar w:fldCharType="begin"/>
      </w:r>
      <w:r w:rsidR="08E41F5F">
        <w:instrText xml:space="preserve"> XE "</w:instrText>
      </w:r>
      <w:r w:rsidR="08E41F5F" w:rsidRPr="084B1E38">
        <w:instrText>parousie</w:instrText>
      </w:r>
      <w:r w:rsidR="08E41F5F">
        <w:instrText xml:space="preserve">" </w:instrText>
      </w:r>
      <w:r w:rsidR="08E41F5F">
        <w:fldChar w:fldCharType="end"/>
      </w:r>
      <w:r w:rsidR="08E41F5F">
        <w:t xml:space="preserve"> v mysli iluminátů </w:t>
      </w:r>
      <w:r w:rsidR="0810691D">
        <w:t xml:space="preserve">vzniká </w:t>
      </w:r>
      <w:r w:rsidR="08B203B3">
        <w:t xml:space="preserve">první dějinná </w:t>
      </w:r>
      <w:r w:rsidR="0810691D">
        <w:t>odkryt</w:t>
      </w:r>
      <w:r w:rsidR="08B203B3">
        <w:t xml:space="preserve">ost </w:t>
      </w:r>
      <w:r w:rsidR="0810691D">
        <w:t>(</w:t>
      </w:r>
      <w:r w:rsidR="0810691D" w:rsidRPr="0810691D">
        <w:rPr>
          <w:i/>
        </w:rPr>
        <w:t>alétheia</w:t>
      </w:r>
      <w:r w:rsidR="0810691D">
        <w:t xml:space="preserve">) </w:t>
      </w:r>
      <w:r w:rsidR="089A3ED6">
        <w:t>objektivní</w:t>
      </w:r>
      <w:r w:rsidR="0810691D">
        <w:t>ho</w:t>
      </w:r>
      <w:r w:rsidR="089A3ED6">
        <w:t xml:space="preserve"> </w:t>
      </w:r>
      <w:r w:rsidR="00634D4E">
        <w:t>vidění světa</w:t>
      </w:r>
      <w:r w:rsidR="0810691D">
        <w:t xml:space="preserve">. Následující citace </w:t>
      </w:r>
      <w:r w:rsidR="08B203B3">
        <w:t>zakládá</w:t>
      </w:r>
      <w:r w:rsidR="0885131E">
        <w:t xml:space="preserve"> epochu</w:t>
      </w:r>
      <w:r w:rsidR="0810691D">
        <w:t xml:space="preserve"> moderny</w:t>
      </w:r>
      <w:r w:rsidR="0810691D" w:rsidRPr="0810691D">
        <w:t xml:space="preserve"> </w:t>
      </w:r>
      <w:r w:rsidR="0810691D">
        <w:t xml:space="preserve">v modu </w:t>
      </w:r>
      <w:r w:rsidR="0810691D" w:rsidRPr="00273106">
        <w:rPr>
          <w:i/>
        </w:rPr>
        <w:t>discrete videamus</w:t>
      </w:r>
      <w:r w:rsidR="0885131E">
        <w:t xml:space="preserve">. </w:t>
      </w:r>
    </w:p>
    <w:p w14:paraId="517184E4" w14:textId="77777777" w:rsidR="008319F4" w:rsidRPr="00273106" w:rsidRDefault="00536C33" w:rsidP="00712437">
      <w:pPr>
        <w:pStyle w:val="Citace"/>
        <w:rPr>
          <w:noProof/>
          <w:lang w:val="cs-CZ"/>
        </w:rPr>
      </w:pPr>
      <w:r w:rsidRPr="00273106">
        <w:rPr>
          <w:noProof/>
          <w:lang w:val="cs-CZ"/>
        </w:rPr>
        <w:t>„</w:t>
      </w:r>
      <w:r w:rsidR="08561E06">
        <w:rPr>
          <w:noProof/>
          <w:lang w:val="cs-CZ"/>
        </w:rPr>
        <w:t xml:space="preserve">Lze pozorovat </w:t>
      </w:r>
      <w:r w:rsidR="003D3F23" w:rsidRPr="00273106">
        <w:rPr>
          <w:noProof/>
          <w:lang w:val="cs-CZ"/>
        </w:rPr>
        <w:t xml:space="preserve">trojí </w:t>
      </w:r>
      <w:r w:rsidR="007A489C">
        <w:rPr>
          <w:noProof/>
          <w:lang w:val="cs-CZ"/>
        </w:rPr>
        <w:t xml:space="preserve">význam </w:t>
      </w:r>
      <w:r w:rsidR="00B9645D">
        <w:rPr>
          <w:noProof/>
          <w:lang w:val="cs-CZ"/>
        </w:rPr>
        <w:t>pojmu (</w:t>
      </w:r>
      <w:r w:rsidR="00B9645D" w:rsidRPr="00B9645D">
        <w:rPr>
          <w:i/>
        </w:rPr>
        <w:t>triplicem nominum significationem</w:t>
      </w:r>
      <w:r w:rsidR="00B9645D">
        <w:rPr>
          <w:noProof/>
          <w:lang w:val="cs-CZ"/>
        </w:rPr>
        <w:t>)</w:t>
      </w:r>
      <w:r w:rsidR="008319F4" w:rsidRPr="00273106">
        <w:rPr>
          <w:noProof/>
          <w:lang w:val="cs-CZ"/>
        </w:rPr>
        <w:t xml:space="preserve">: první </w:t>
      </w:r>
      <w:r w:rsidR="08645BAD">
        <w:rPr>
          <w:noProof/>
          <w:lang w:val="cs-CZ"/>
        </w:rPr>
        <w:t xml:space="preserve">význam </w:t>
      </w:r>
      <w:r w:rsidR="008319F4" w:rsidRPr="00273106">
        <w:rPr>
          <w:noProof/>
          <w:lang w:val="cs-CZ"/>
        </w:rPr>
        <w:t>je</w:t>
      </w:r>
      <w:r w:rsidR="08645BAD">
        <w:rPr>
          <w:noProof/>
          <w:lang w:val="cs-CZ"/>
        </w:rPr>
        <w:t xml:space="preserve"> v substanci, druhý</w:t>
      </w:r>
      <w:r w:rsidR="08C35B65">
        <w:rPr>
          <w:noProof/>
          <w:lang w:val="cs-CZ"/>
        </w:rPr>
        <w:t xml:space="preserve"> v</w:t>
      </w:r>
      <w:r w:rsidR="006D0F35">
        <w:rPr>
          <w:noProof/>
          <w:lang w:val="cs-CZ"/>
        </w:rPr>
        <w:t xml:space="preserve"> kvalitě. T</w:t>
      </w:r>
      <w:r w:rsidR="008319F4" w:rsidRPr="00273106">
        <w:rPr>
          <w:noProof/>
          <w:lang w:val="cs-CZ"/>
        </w:rPr>
        <w:t xml:space="preserve">řetí </w:t>
      </w:r>
      <w:r w:rsidR="08645BAD">
        <w:rPr>
          <w:noProof/>
          <w:lang w:val="cs-CZ"/>
        </w:rPr>
        <w:t xml:space="preserve">význam </w:t>
      </w:r>
      <w:r w:rsidR="006D0F35">
        <w:rPr>
          <w:noProof/>
          <w:lang w:val="cs-CZ"/>
        </w:rPr>
        <w:t>pojmenovává</w:t>
      </w:r>
      <w:r w:rsidR="008319F4" w:rsidRPr="00273106">
        <w:rPr>
          <w:noProof/>
          <w:lang w:val="cs-CZ"/>
        </w:rPr>
        <w:t xml:space="preserve"> to, co </w:t>
      </w:r>
      <w:r w:rsidR="00E15C9B" w:rsidRPr="00273106">
        <w:rPr>
          <w:noProof/>
          <w:lang w:val="cs-CZ"/>
        </w:rPr>
        <w:t xml:space="preserve">nedělitelně </w:t>
      </w:r>
      <w:r w:rsidR="008319F4" w:rsidRPr="00273106">
        <w:rPr>
          <w:noProof/>
          <w:lang w:val="cs-CZ"/>
        </w:rPr>
        <w:t>vidíme (</w:t>
      </w:r>
      <w:r w:rsidR="008319F4" w:rsidRPr="00273106">
        <w:rPr>
          <w:i/>
          <w:noProof/>
          <w:lang w:val="cs-CZ"/>
        </w:rPr>
        <w:t>di</w:t>
      </w:r>
      <w:r w:rsidR="00DD5A22" w:rsidRPr="00273106">
        <w:rPr>
          <w:i/>
          <w:noProof/>
          <w:lang w:val="cs-CZ"/>
        </w:rPr>
        <w:t>screte v</w:t>
      </w:r>
      <w:r w:rsidR="008319F4" w:rsidRPr="00273106">
        <w:rPr>
          <w:i/>
          <w:noProof/>
          <w:lang w:val="cs-CZ"/>
        </w:rPr>
        <w:t>ideamus</w:t>
      </w:r>
      <w:r w:rsidR="008319F4" w:rsidRPr="00273106">
        <w:rPr>
          <w:noProof/>
          <w:lang w:val="cs-CZ"/>
        </w:rPr>
        <w:t xml:space="preserve">) v substantivech a v adjektivech. </w:t>
      </w:r>
      <w:r w:rsidR="0013075C" w:rsidRPr="00273106">
        <w:rPr>
          <w:noProof/>
          <w:lang w:val="cs-CZ"/>
        </w:rPr>
        <w:t xml:space="preserve">Konkrétní jméno 'Sokrates' má specifickou přirozenost člověka </w:t>
      </w:r>
      <w:r w:rsidR="009F4930" w:rsidRPr="00273106">
        <w:rPr>
          <w:noProof/>
          <w:lang w:val="cs-CZ"/>
        </w:rPr>
        <w:t>(</w:t>
      </w:r>
      <w:r w:rsidR="009F4930" w:rsidRPr="00273106">
        <w:rPr>
          <w:i/>
          <w:noProof/>
          <w:lang w:val="cs-CZ"/>
        </w:rPr>
        <w:t>specialem naturam hominis</w:t>
      </w:r>
      <w:r w:rsidR="009F4930" w:rsidRPr="00273106">
        <w:rPr>
          <w:noProof/>
          <w:lang w:val="cs-CZ"/>
        </w:rPr>
        <w:t xml:space="preserve">) </w:t>
      </w:r>
      <w:r w:rsidR="0013075C" w:rsidRPr="00273106">
        <w:rPr>
          <w:noProof/>
          <w:lang w:val="cs-CZ"/>
        </w:rPr>
        <w:t xml:space="preserve">a stejně tak i </w:t>
      </w:r>
      <w:r w:rsidR="007A489C">
        <w:rPr>
          <w:noProof/>
          <w:lang w:val="cs-CZ"/>
        </w:rPr>
        <w:t xml:space="preserve">stejnou </w:t>
      </w:r>
      <w:r w:rsidR="0013075C" w:rsidRPr="00273106">
        <w:rPr>
          <w:noProof/>
          <w:lang w:val="cs-CZ"/>
        </w:rPr>
        <w:t>kva</w:t>
      </w:r>
      <w:r w:rsidR="00DD5A22" w:rsidRPr="00273106">
        <w:rPr>
          <w:noProof/>
          <w:lang w:val="cs-CZ"/>
        </w:rPr>
        <w:t>litu</w:t>
      </w:r>
      <w:r w:rsidR="009F4930" w:rsidRPr="00273106">
        <w:rPr>
          <w:noProof/>
          <w:lang w:val="cs-CZ"/>
        </w:rPr>
        <w:t xml:space="preserve"> (</w:t>
      </w:r>
      <w:r w:rsidR="009F4930" w:rsidRPr="00273106">
        <w:rPr>
          <w:i/>
          <w:noProof/>
          <w:lang w:val="cs-CZ"/>
        </w:rPr>
        <w:t>qualitatem eandem</w:t>
      </w:r>
      <w:r w:rsidR="009F4930" w:rsidRPr="00273106">
        <w:rPr>
          <w:noProof/>
          <w:lang w:val="cs-CZ"/>
        </w:rPr>
        <w:t>)</w:t>
      </w:r>
      <w:r w:rsidR="00DD5A22" w:rsidRPr="00273106">
        <w:rPr>
          <w:noProof/>
          <w:lang w:val="cs-CZ"/>
        </w:rPr>
        <w:t>, o níž jsme mluvili výše</w:t>
      </w:r>
      <w:r w:rsidR="00B264E6">
        <w:rPr>
          <w:noProof/>
          <w:lang w:val="cs-CZ"/>
        </w:rPr>
        <w:t>. Jméno p</w:t>
      </w:r>
      <w:r w:rsidR="00DD5A22" w:rsidRPr="00273106">
        <w:rPr>
          <w:noProof/>
          <w:lang w:val="cs-CZ"/>
        </w:rPr>
        <w:t xml:space="preserve">ravdivě </w:t>
      </w:r>
      <w:r w:rsidR="0013075C" w:rsidRPr="00273106">
        <w:rPr>
          <w:noProof/>
          <w:lang w:val="cs-CZ"/>
        </w:rPr>
        <w:t>pojmenovává individuální věc</w:t>
      </w:r>
      <w:r w:rsidR="00DD5A22" w:rsidRPr="00273106">
        <w:rPr>
          <w:noProof/>
          <w:lang w:val="cs-CZ"/>
        </w:rPr>
        <w:t xml:space="preserve"> (</w:t>
      </w:r>
      <w:r w:rsidR="00DD5A22" w:rsidRPr="00273106">
        <w:rPr>
          <w:i/>
          <w:noProof/>
          <w:lang w:val="cs-CZ"/>
        </w:rPr>
        <w:t>nominat v</w:t>
      </w:r>
      <w:r w:rsidR="00395C81" w:rsidRPr="00273106">
        <w:rPr>
          <w:i/>
          <w:noProof/>
          <w:lang w:val="cs-CZ"/>
        </w:rPr>
        <w:t>ero indiv</w:t>
      </w:r>
      <w:r w:rsidR="00DD5A22" w:rsidRPr="00273106">
        <w:rPr>
          <w:i/>
          <w:noProof/>
          <w:lang w:val="cs-CZ"/>
        </w:rPr>
        <w:t>iduam rem</w:t>
      </w:r>
      <w:r w:rsidR="00DD5A22" w:rsidRPr="00273106">
        <w:rPr>
          <w:noProof/>
          <w:lang w:val="cs-CZ"/>
        </w:rPr>
        <w:t>)</w:t>
      </w:r>
      <w:r w:rsidR="00B34645" w:rsidRPr="00273106">
        <w:rPr>
          <w:noProof/>
          <w:lang w:val="cs-CZ"/>
        </w:rPr>
        <w:t>, které je přiřazeno</w:t>
      </w:r>
      <w:r w:rsidR="0013075C" w:rsidRPr="00273106">
        <w:rPr>
          <w:noProof/>
          <w:lang w:val="cs-CZ"/>
        </w:rPr>
        <w:t xml:space="preserve"> (</w:t>
      </w:r>
      <w:r w:rsidR="0013075C" w:rsidRPr="00273106">
        <w:rPr>
          <w:i/>
          <w:noProof/>
          <w:lang w:val="cs-CZ"/>
        </w:rPr>
        <w:t>cui positum est</w:t>
      </w:r>
      <w:r w:rsidR="0013075C" w:rsidRPr="00273106">
        <w:rPr>
          <w:noProof/>
          <w:lang w:val="cs-CZ"/>
        </w:rPr>
        <w:t>).“</w:t>
      </w:r>
      <w:r w:rsidR="00B2131D">
        <w:rPr>
          <w:noProof/>
          <w:lang w:val="cs-CZ"/>
        </w:rPr>
        <w:t> </w:t>
      </w:r>
      <w:r w:rsidR="00DD5A22" w:rsidRPr="00273106">
        <w:rPr>
          <w:rStyle w:val="Znakapoznpodarou"/>
          <w:noProof/>
          <w:lang w:val="cs-CZ"/>
        </w:rPr>
        <w:footnoteReference w:id="64"/>
      </w:r>
    </w:p>
    <w:p w14:paraId="68C11F9F" w14:textId="1D1C4241" w:rsidR="000E25B6" w:rsidRDefault="08433A4A" w:rsidP="08AD705E">
      <w:r w:rsidRPr="00273106">
        <w:t>Aut</w:t>
      </w:r>
      <w:r w:rsidR="0802400B" w:rsidRPr="00273106">
        <w:t xml:space="preserve">or pracuje </w:t>
      </w:r>
      <w:r w:rsidR="000C7953" w:rsidRPr="00273106">
        <w:t xml:space="preserve">s </w:t>
      </w:r>
      <w:r w:rsidR="0802400B" w:rsidRPr="00273106">
        <w:t>určením</w:t>
      </w:r>
      <w:r w:rsidR="00F91F0D" w:rsidRPr="00273106">
        <w:t xml:space="preserve"> jsoucna</w:t>
      </w:r>
      <w:r w:rsidR="000C7953" w:rsidRPr="00273106">
        <w:t xml:space="preserve"> podle školy </w:t>
      </w:r>
      <w:r w:rsidR="000C7953" w:rsidRPr="00273106">
        <w:rPr>
          <w:i/>
        </w:rPr>
        <w:t>Nominales</w:t>
      </w:r>
      <w:r w:rsidR="0802400B" w:rsidRPr="00273106">
        <w:t xml:space="preserve">, které </w:t>
      </w:r>
      <w:r w:rsidRPr="00273106">
        <w:t>univočně přičítá různým instancím</w:t>
      </w:r>
      <w:r w:rsidR="000C7953" w:rsidRPr="00273106">
        <w:t xml:space="preserve"> signifikace</w:t>
      </w:r>
      <w:r w:rsidRPr="00273106">
        <w:t>: substanci (</w:t>
      </w:r>
      <w:r w:rsidRPr="00273106">
        <w:rPr>
          <w:i/>
        </w:rPr>
        <w:t>in substantia</w:t>
      </w:r>
      <w:r w:rsidRPr="00273106">
        <w:t xml:space="preserve">), </w:t>
      </w:r>
      <w:r w:rsidR="08BB6A7D">
        <w:t xml:space="preserve">v akcidentu </w:t>
      </w:r>
      <w:r w:rsidRPr="00273106">
        <w:t>(</w:t>
      </w:r>
      <w:r w:rsidRPr="00273106">
        <w:rPr>
          <w:i/>
        </w:rPr>
        <w:t>in qualitate</w:t>
      </w:r>
      <w:r w:rsidRPr="00273106">
        <w:t>) a nominální definici (</w:t>
      </w:r>
      <w:r w:rsidRPr="00273106">
        <w:rPr>
          <w:i/>
        </w:rPr>
        <w:t>quod nominatur</w:t>
      </w:r>
      <w:r w:rsidRPr="00273106">
        <w:t xml:space="preserve">). </w:t>
      </w:r>
      <w:r w:rsidR="006C45BB">
        <w:t>Univoční supozice</w:t>
      </w:r>
      <w:r w:rsidR="007D3204">
        <w:t xml:space="preserve"> </w:t>
      </w:r>
      <w:r w:rsidR="006C45BB">
        <w:t xml:space="preserve">se nerozlišeně vztahuje na </w:t>
      </w:r>
      <w:r w:rsidR="007D3204">
        <w:t>tří určení</w:t>
      </w:r>
      <w:r w:rsidR="006C45BB">
        <w:t xml:space="preserve"> hypostázované </w:t>
      </w:r>
      <w:r w:rsidR="08D303B7">
        <w:t>substance</w:t>
      </w:r>
      <w:r w:rsidR="006C45BB">
        <w:t>. I</w:t>
      </w:r>
      <w:r w:rsidR="007D3204">
        <w:t xml:space="preserve">mpozice </w:t>
      </w:r>
      <w:r w:rsidR="08405888">
        <w:t xml:space="preserve">významu </w:t>
      </w:r>
      <w:r w:rsidR="08104213">
        <w:t xml:space="preserve">z </w:t>
      </w:r>
      <w:r w:rsidR="08BB6A7D">
        <w:t xml:space="preserve">hyparchické </w:t>
      </w:r>
      <w:r w:rsidR="08104213">
        <w:t xml:space="preserve">reality </w:t>
      </w:r>
      <w:r w:rsidR="007D3204">
        <w:t>není zmíněn</w:t>
      </w:r>
      <w:r w:rsidR="00C712E9">
        <w:t>a</w:t>
      </w:r>
      <w:r w:rsidR="007D3204">
        <w:t xml:space="preserve"> vůbec</w:t>
      </w:r>
      <w:r w:rsidR="006C45BB">
        <w:t>. Zmíněná signifikace „</w:t>
      </w:r>
      <w:r w:rsidR="006C45BB" w:rsidRPr="006C45BB">
        <w:rPr>
          <w:i/>
        </w:rPr>
        <w:t>in substantia</w:t>
      </w:r>
      <w:r w:rsidR="006C45BB">
        <w:t xml:space="preserve">“ je zmateně pojata jako přímá účast poznávajícího intelektu na hyparchické </w:t>
      </w:r>
      <w:r w:rsidR="006C45BB">
        <w:lastRenderedPageBreak/>
        <w:t xml:space="preserve">bytí první substance v realitě. </w:t>
      </w:r>
      <w:r w:rsidR="08561E06">
        <w:t>Jsoucna třetího druhu se manifestují jako reálné první substance.</w:t>
      </w:r>
      <w:r w:rsidR="08561E06">
        <w:rPr>
          <w:szCs w:val="22"/>
          <w:shd w:val="clear" w:color="auto" w:fill="FFFFFF"/>
        </w:rPr>
        <w:t xml:space="preserve"> </w:t>
      </w:r>
      <w:r w:rsidRPr="00273106">
        <w:t xml:space="preserve">Nominální definice </w:t>
      </w:r>
      <w:r w:rsidR="009957A6" w:rsidRPr="00273106">
        <w:t xml:space="preserve">určuje </w:t>
      </w:r>
      <w:r w:rsidRPr="00273106">
        <w:t>poslední</w:t>
      </w:r>
      <w:r w:rsidR="00417D12">
        <w:t xml:space="preserve"> </w:t>
      </w:r>
      <w:r w:rsidR="009957A6" w:rsidRPr="00273106">
        <w:t>nedělitelnou jednotku</w:t>
      </w:r>
      <w:r w:rsidR="080364CC" w:rsidRPr="00273106">
        <w:t xml:space="preserve"> význ</w:t>
      </w:r>
      <w:r w:rsidRPr="00273106">
        <w:t xml:space="preserve">amu </w:t>
      </w:r>
      <w:r w:rsidR="084F03CE">
        <w:t xml:space="preserve">daného univerzálně a individuálně </w:t>
      </w:r>
      <w:r w:rsidRPr="00273106">
        <w:t>(</w:t>
      </w:r>
      <w:r w:rsidR="0032377A" w:rsidRPr="00273106">
        <w:rPr>
          <w:i/>
        </w:rPr>
        <w:t>quod in substantivis et adiectiv</w:t>
      </w:r>
      <w:r w:rsidR="005C3B6E" w:rsidRPr="00273106">
        <w:rPr>
          <w:i/>
        </w:rPr>
        <w:t>is discrete v</w:t>
      </w:r>
      <w:r w:rsidRPr="00273106">
        <w:rPr>
          <w:i/>
        </w:rPr>
        <w:t>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Pr="00273106">
        <w:t>).</w:t>
      </w:r>
      <w:r w:rsidR="08794AE2" w:rsidRPr="00273106">
        <w:t xml:space="preserve"> Dělení na poslední jednotky </w:t>
      </w:r>
      <w:r w:rsidR="08734188" w:rsidRPr="00273106">
        <w:t xml:space="preserve">nominálně daného </w:t>
      </w:r>
      <w:r w:rsidR="08794AE2" w:rsidRPr="00273106">
        <w:t xml:space="preserve">významu </w:t>
      </w:r>
      <w:r w:rsidR="002B0D5C" w:rsidRPr="00273106">
        <w:t xml:space="preserve">pokračuje až k individuu. </w:t>
      </w:r>
      <w:r w:rsidR="00534642" w:rsidRPr="00273106">
        <w:t xml:space="preserve">Pohyb diskrétního dělení </w:t>
      </w:r>
      <w:r w:rsidR="006A04C6" w:rsidRPr="006A04C6">
        <w:t>species</w:t>
      </w:r>
      <w:r w:rsidR="08AE2152">
        <w:t xml:space="preserve"> se zastaví u posledního významu, který </w:t>
      </w:r>
      <w:r w:rsidR="003878BB">
        <w:t xml:space="preserve">není dále dělitelný. </w:t>
      </w:r>
      <w:r w:rsidR="08AE2152" w:rsidRPr="00273106">
        <w:t xml:space="preserve">Autor </w:t>
      </w:r>
      <w:r w:rsidR="08AE2152" w:rsidRPr="00BA718A">
        <w:rPr>
          <w:i/>
        </w:rPr>
        <w:t>Traktátu</w:t>
      </w:r>
      <w:r w:rsidR="08AE2152" w:rsidRPr="00273106">
        <w:t xml:space="preserve"> </w:t>
      </w:r>
      <w:r w:rsidR="08AE2152">
        <w:t xml:space="preserve">ovlivněný Gilbertem </w:t>
      </w:r>
      <w:r w:rsidR="002239AA">
        <w:t>de La Porrée</w:t>
      </w:r>
      <w:r w:rsidR="08AE2152">
        <w:t xml:space="preserve"> vztahuje definici </w:t>
      </w:r>
      <w:r w:rsidR="08DA4BED">
        <w:t xml:space="preserve">substance </w:t>
      </w:r>
      <w:r w:rsidR="08AE2152" w:rsidRPr="00273106">
        <w:t>k jednotlivině, která předsta</w:t>
      </w:r>
      <w:r w:rsidR="08AE2152">
        <w:t xml:space="preserve">vuje </w:t>
      </w:r>
      <w:r w:rsidR="08DA4BED">
        <w:t xml:space="preserve">atomární </w:t>
      </w:r>
      <w:r w:rsidR="08AE2152">
        <w:t xml:space="preserve">substanci třetího druhu. Dělení až k nedělitelnému individuu spojuje první a druhou substanci do nové podoby </w:t>
      </w:r>
      <w:r w:rsidR="085025E3">
        <w:t xml:space="preserve">nedělitelné </w:t>
      </w:r>
      <w:r w:rsidR="08AE2152">
        <w:t xml:space="preserve">substance. </w:t>
      </w:r>
      <w:r w:rsidR="003878BB">
        <w:t xml:space="preserve">Tím vzniká </w:t>
      </w:r>
      <w:r w:rsidR="08036215">
        <w:t xml:space="preserve">moderní </w:t>
      </w:r>
      <w:r w:rsidR="003878BB" w:rsidRPr="08036215">
        <w:t>individuum</w:t>
      </w:r>
      <w:r w:rsidR="003878BB">
        <w:t xml:space="preserve"> zvané „</w:t>
      </w:r>
      <w:r w:rsidR="00BE5B9C" w:rsidRPr="00573263">
        <w:t>So</w:t>
      </w:r>
      <w:r w:rsidR="00573263" w:rsidRPr="00573263">
        <w:t>k</w:t>
      </w:r>
      <w:r w:rsidR="00BE5B9C" w:rsidRPr="00573263">
        <w:t>r</w:t>
      </w:r>
      <w:r w:rsidR="00534642" w:rsidRPr="00573263">
        <w:t>ates</w:t>
      </w:r>
      <w:r w:rsidR="003878BB">
        <w:t>“</w:t>
      </w:r>
      <w:r w:rsidR="00C25C83">
        <w:t xml:space="preserve">. </w:t>
      </w:r>
      <w:r w:rsidR="0008677C">
        <w:t>K</w:t>
      </w:r>
      <w:r w:rsidR="00573263">
        <w:t xml:space="preserve"> tomuto </w:t>
      </w:r>
      <w:r w:rsidR="0008677C">
        <w:t>i</w:t>
      </w:r>
      <w:r w:rsidR="00C25C83">
        <w:t xml:space="preserve">ndividuu se </w:t>
      </w:r>
      <w:r w:rsidR="0008677C">
        <w:t xml:space="preserve">pak univočně </w:t>
      </w:r>
      <w:r w:rsidR="00C25C83">
        <w:t>přidají</w:t>
      </w:r>
      <w:r w:rsidR="00534642" w:rsidRPr="00273106">
        <w:t xml:space="preserve"> </w:t>
      </w:r>
      <w:r w:rsidR="08AE2152">
        <w:t xml:space="preserve">v modu apozice </w:t>
      </w:r>
      <w:r w:rsidR="00536205" w:rsidRPr="00273106">
        <w:t>p</w:t>
      </w:r>
      <w:r w:rsidR="002D3502" w:rsidRPr="00273106">
        <w:t xml:space="preserve">orretánské </w:t>
      </w:r>
      <w:r w:rsidR="00C25C83">
        <w:t>hypostázované predikáty,</w:t>
      </w:r>
      <w:r w:rsidR="00C1127E">
        <w:t xml:space="preserve"> které</w:t>
      </w:r>
      <w:r w:rsidR="00C25C83">
        <w:t xml:space="preserve"> </w:t>
      </w:r>
      <w:r w:rsidR="0008677C">
        <w:t xml:space="preserve">rozšiřují </w:t>
      </w:r>
      <w:r w:rsidR="00C25C83">
        <w:t xml:space="preserve">individuální </w:t>
      </w:r>
      <w:r w:rsidR="00534642" w:rsidRPr="00273106">
        <w:t xml:space="preserve">určení </w:t>
      </w:r>
      <w:r w:rsidR="0055204C">
        <w:t>dané konečný</w:t>
      </w:r>
      <w:r w:rsidR="00C1127E">
        <w:t xml:space="preserve">m dělením univerzálií </w:t>
      </w:r>
      <w:r w:rsidR="00534642" w:rsidRPr="00273106">
        <w:t>(</w:t>
      </w:r>
      <w:r w:rsidR="00D402DB" w:rsidRPr="00273106">
        <w:rPr>
          <w:i/>
        </w:rPr>
        <w:t>nominat v</w:t>
      </w:r>
      <w:r w:rsidR="0032377A" w:rsidRPr="00273106">
        <w:rPr>
          <w:i/>
        </w:rPr>
        <w:t>ero indiv</w:t>
      </w:r>
      <w:r w:rsidR="00534642" w:rsidRPr="00273106">
        <w:rPr>
          <w:i/>
        </w:rPr>
        <w:t>iduam rem cui positum est</w:t>
      </w:r>
      <w:r w:rsidR="00534642" w:rsidRPr="00273106">
        <w:t xml:space="preserve">). </w:t>
      </w:r>
      <w:r w:rsidR="08AF7368">
        <w:t xml:space="preserve">Sokrates dostává transcendentální určení typu </w:t>
      </w:r>
      <w:r w:rsidR="08AF7368" w:rsidRPr="08AF7368">
        <w:rPr>
          <w:i/>
        </w:rPr>
        <w:t>res</w:t>
      </w:r>
      <w:r w:rsidR="08AF7368">
        <w:t xml:space="preserve"> a </w:t>
      </w:r>
      <w:r w:rsidR="08AF7368" w:rsidRPr="08AF7368">
        <w:rPr>
          <w:i/>
        </w:rPr>
        <w:t>corpus</w:t>
      </w:r>
      <w:r w:rsidR="08AF7368">
        <w:t xml:space="preserve">. </w:t>
      </w:r>
      <w:r w:rsidR="00534642" w:rsidRPr="00273106">
        <w:t>Objektivní rozsažnost zná</w:t>
      </w:r>
      <w:r w:rsidR="00BA718A">
        <w:t>má od Jamblicha a Simplikia se přičetla</w:t>
      </w:r>
      <w:r w:rsidR="00534642" w:rsidRPr="00273106">
        <w:t xml:space="preserve"> k určení vlastního jména (</w:t>
      </w:r>
      <w:r w:rsidR="00534642" w:rsidRPr="00273106">
        <w:rPr>
          <w:i/>
        </w:rPr>
        <w:t>cui positum est</w:t>
      </w:r>
      <w:r w:rsidR="00534642" w:rsidRPr="00273106">
        <w:t>), čímž rozšířila signifikaci nominace až do oblasti reálně existujícího individua (</w:t>
      </w:r>
      <w:r w:rsidR="0032377A" w:rsidRPr="00273106">
        <w:rPr>
          <w:i/>
        </w:rPr>
        <w:t>indiv</w:t>
      </w:r>
      <w:r w:rsidR="00534642" w:rsidRPr="00273106">
        <w:rPr>
          <w:i/>
        </w:rPr>
        <w:t>iduam rem</w:t>
      </w:r>
      <w:r w:rsidR="00534642" w:rsidRPr="00273106">
        <w:t xml:space="preserve">). </w:t>
      </w:r>
      <w:r w:rsidR="001C5F6A">
        <w:t xml:space="preserve">K individuu </w:t>
      </w:r>
      <w:r w:rsidR="08F83839">
        <w:t xml:space="preserve">danému ve formě objektivního neoplatonského a avicennovského tělesa </w:t>
      </w:r>
      <w:r w:rsidR="001C5F6A">
        <w:t xml:space="preserve">je možno přičítat různé externí hypostázované vlastnosti, které </w:t>
      </w:r>
      <w:r w:rsidR="08B80864">
        <w:t xml:space="preserve">pro klasické aristoteliky Pařížské školy </w:t>
      </w:r>
      <w:r w:rsidR="001C5F6A">
        <w:t xml:space="preserve">představovaly pouze akcidenty dané na druhé substanci. </w:t>
      </w:r>
      <w:r w:rsidR="00424F3A">
        <w:t>Místo druhé substan</w:t>
      </w:r>
      <w:r w:rsidR="001C5F6A">
        <w:t xml:space="preserve">ce zvané „moudrý Sokrates“ máme složení </w:t>
      </w:r>
      <w:r w:rsidR="002A67CF">
        <w:t xml:space="preserve">dvou hypostází: </w:t>
      </w:r>
      <w:r w:rsidR="00424F3A">
        <w:t>indivi</w:t>
      </w:r>
      <w:r w:rsidR="001C5F6A">
        <w:t>d</w:t>
      </w:r>
      <w:r w:rsidR="00424F3A">
        <w:t>uá</w:t>
      </w:r>
      <w:r w:rsidR="001C5F6A">
        <w:t xml:space="preserve">lní „sokratovosti“ a k ní apozičně přidané „moudrosti“. </w:t>
      </w:r>
      <w:r w:rsidR="00C2094C" w:rsidRPr="00273106">
        <w:t xml:space="preserve">Dílo </w:t>
      </w:r>
      <w:r w:rsidR="00C2094C" w:rsidRPr="00273106">
        <w:rPr>
          <w:i/>
        </w:rPr>
        <w:t>Tractatus</w:t>
      </w:r>
      <w:r w:rsidR="00C2094C" w:rsidRPr="00273106">
        <w:t xml:space="preserve"> už vidí jiný svět než aristotelská filosofie podle Boethia,  Abelarda, </w:t>
      </w:r>
      <w:r w:rsidR="08A06123">
        <w:t xml:space="preserve">Petra Lombardského </w:t>
      </w:r>
      <w:r w:rsidR="00C2094C" w:rsidRPr="00273106">
        <w:t>či Jana ze Salisbury.</w:t>
      </w:r>
      <w:r w:rsidR="00C2094C">
        <w:t xml:space="preserve"> </w:t>
      </w:r>
      <w:r w:rsidR="00EC76C3">
        <w:t>Nové i</w:t>
      </w:r>
      <w:r w:rsidR="00C90D4A">
        <w:t xml:space="preserve">ndividuum </w:t>
      </w:r>
      <w:r w:rsidR="00FC767A" w:rsidRPr="00273106">
        <w:t>má jak singulární</w:t>
      </w:r>
      <w:r w:rsidR="0897104F">
        <w:t xml:space="preserve"> </w:t>
      </w:r>
      <w:r w:rsidR="08D80A65">
        <w:t xml:space="preserve">charakter </w:t>
      </w:r>
      <w:r w:rsidR="0897104F">
        <w:t>první substance</w:t>
      </w:r>
      <w:r w:rsidR="00FC767A" w:rsidRPr="00273106">
        <w:t>, tak i univerzální charakter</w:t>
      </w:r>
      <w:r w:rsidR="0897104F">
        <w:t xml:space="preserve"> druhé substance</w:t>
      </w:r>
      <w:r w:rsidR="000E25B6">
        <w:t>.</w:t>
      </w:r>
    </w:p>
    <w:p w14:paraId="29928B3F" w14:textId="77777777" w:rsidR="00CF7B91" w:rsidRDefault="00992CB6" w:rsidP="000E25B6">
      <w:pPr>
        <w:ind w:firstLine="397"/>
      </w:pPr>
      <w:r>
        <w:t>Porretáni vytvořili novou neděl</w:t>
      </w:r>
      <w:r w:rsidR="00BA718A">
        <w:t xml:space="preserve">itelnou první substanci v modu </w:t>
      </w:r>
      <w:r w:rsidRPr="00A05A15">
        <w:rPr>
          <w:i/>
        </w:rPr>
        <w:t>totum integrum</w:t>
      </w:r>
      <w:r w:rsidR="00345D28">
        <w:rPr>
          <w:i/>
        </w:rPr>
        <w:fldChar w:fldCharType="begin"/>
      </w:r>
      <w:r w:rsidR="00345D28">
        <w:instrText xml:space="preserve"> XE "</w:instrText>
      </w:r>
      <w:r w:rsidR="00345D28" w:rsidRPr="00A61533">
        <w:rPr>
          <w:i/>
        </w:rPr>
        <w:instrText>totum integrum</w:instrText>
      </w:r>
      <w:r w:rsidR="00345D28">
        <w:instrText xml:space="preserve">" </w:instrText>
      </w:r>
      <w:r w:rsidR="00345D28">
        <w:rPr>
          <w:i/>
        </w:rPr>
        <w:fldChar w:fldCharType="end"/>
      </w:r>
      <w:r w:rsidR="00BA718A">
        <w:t>, který</w:t>
      </w:r>
      <w:r w:rsidR="083838A7">
        <w:t xml:space="preserve"> dříve</w:t>
      </w:r>
      <w:r w:rsidR="00BA718A">
        <w:t xml:space="preserve"> patřil pouze první substanci</w:t>
      </w:r>
      <w:r w:rsidRPr="00273106">
        <w:t>.</w:t>
      </w:r>
      <w:r>
        <w:t xml:space="preserve"> </w:t>
      </w:r>
      <w:r w:rsidR="00F421C8">
        <w:t>I</w:t>
      </w:r>
      <w:r w:rsidR="00A273BD">
        <w:t xml:space="preserve">ndividuum zvané </w:t>
      </w:r>
      <w:r w:rsidR="00C045DA">
        <w:t>„Sokrates“ vznikl</w:t>
      </w:r>
      <w:r w:rsidR="00A273BD">
        <w:t>o</w:t>
      </w:r>
      <w:r w:rsidR="00C045DA">
        <w:t xml:space="preserve"> </w:t>
      </w:r>
      <w:r w:rsidR="00C045DA" w:rsidRPr="00992CB6">
        <w:rPr>
          <w:i/>
        </w:rPr>
        <w:t>ex nihilo</w:t>
      </w:r>
      <w:r w:rsidR="00A273BD">
        <w:rPr>
          <w:i/>
        </w:rPr>
        <w:fldChar w:fldCharType="begin"/>
      </w:r>
      <w:r w:rsidR="00A273BD">
        <w:instrText xml:space="preserve"> XE "</w:instrText>
      </w:r>
      <w:r w:rsidR="00A273BD" w:rsidRPr="00470EA0">
        <w:rPr>
          <w:i/>
        </w:rPr>
        <w:instrText>creatio ex nihilo</w:instrText>
      </w:r>
      <w:r w:rsidR="00A273BD">
        <w:instrText xml:space="preserve">" </w:instrText>
      </w:r>
      <w:r w:rsidR="00A273BD">
        <w:rPr>
          <w:i/>
        </w:rPr>
        <w:fldChar w:fldCharType="end"/>
      </w:r>
      <w:r w:rsidR="08D80A65">
        <w:t xml:space="preserve"> jako čistá supozice</w:t>
      </w:r>
      <w:r w:rsidR="000D4344">
        <w:fldChar w:fldCharType="begin"/>
      </w:r>
      <w:r w:rsidR="000D4344">
        <w:instrText xml:space="preserve"> XE "</w:instrText>
      </w:r>
      <w:r w:rsidR="000D4344" w:rsidRPr="00FA26EB">
        <w:instrText>supozice:porretáni</w:instrText>
      </w:r>
      <w:r w:rsidR="000D4344">
        <w:instrText xml:space="preserve">" </w:instrText>
      </w:r>
      <w:r w:rsidR="000D4344">
        <w:fldChar w:fldCharType="end"/>
      </w:r>
      <w:r w:rsidR="00C045DA">
        <w:t xml:space="preserve"> moderní mysli</w:t>
      </w:r>
      <w:r w:rsidR="00F421C8">
        <w:t xml:space="preserve">. Škola </w:t>
      </w:r>
      <w:r w:rsidR="00F421C8" w:rsidRPr="000D1DF0">
        <w:rPr>
          <w:i/>
        </w:rPr>
        <w:t>Nominales</w:t>
      </w:r>
      <w:r w:rsidR="00F421C8">
        <w:t xml:space="preserve"> </w:t>
      </w:r>
      <w:r w:rsidR="001812D4">
        <w:t xml:space="preserve">vidí </w:t>
      </w:r>
      <w:r w:rsidR="00F421C8">
        <w:t xml:space="preserve">první substanci </w:t>
      </w:r>
      <w:r w:rsidR="08CE3390">
        <w:t>v epochálně novém modu diskrétního</w:t>
      </w:r>
      <w:r w:rsidR="001812D4">
        <w:t xml:space="preserve"> vidění světa</w:t>
      </w:r>
      <w:r w:rsidR="08CE3390">
        <w:t xml:space="preserve"> (</w:t>
      </w:r>
      <w:r w:rsidR="08CE3390">
        <w:rPr>
          <w:i/>
        </w:rPr>
        <w:t>discrete v</w:t>
      </w:r>
      <w:r w:rsidR="08CE3390" w:rsidRPr="08CE3390">
        <w:rPr>
          <w:i/>
        </w:rPr>
        <w:t>ideamus</w:t>
      </w:r>
      <w:r w:rsidR="08CE3390">
        <w:t>)</w:t>
      </w:r>
      <w:r w:rsidR="001812D4">
        <w:t xml:space="preserve">, který </w:t>
      </w:r>
      <w:r w:rsidR="00C44BC3">
        <w:t xml:space="preserve">je završen skrze </w:t>
      </w:r>
      <w:r w:rsidR="001812D4">
        <w:t>infinitezimální počet v matematice</w:t>
      </w:r>
      <w:r w:rsidR="00C045DA">
        <w:t xml:space="preserve">. </w:t>
      </w:r>
      <w:r w:rsidR="000D1DF0">
        <w:t xml:space="preserve">Anonymní </w:t>
      </w:r>
      <w:r w:rsidR="002A6FF9" w:rsidRPr="000D1DF0">
        <w:rPr>
          <w:i/>
        </w:rPr>
        <w:t>Traktát</w:t>
      </w:r>
      <w:r w:rsidR="002A6FF9" w:rsidRPr="00273106">
        <w:t xml:space="preserve"> </w:t>
      </w:r>
      <w:r w:rsidR="00536C33" w:rsidRPr="00273106">
        <w:t xml:space="preserve">používá </w:t>
      </w:r>
      <w:r w:rsidR="083838A7">
        <w:t xml:space="preserve">neoplatonskou </w:t>
      </w:r>
      <w:r w:rsidR="00536C33" w:rsidRPr="00273106">
        <w:t>sofis</w:t>
      </w:r>
      <w:r w:rsidR="088B5FA0" w:rsidRPr="00273106">
        <w:t>tiku vzhledem k první substanci</w:t>
      </w:r>
      <w:r w:rsidR="003566E0">
        <w:t xml:space="preserve"> a vzhledem k materiálnímu tělesu</w:t>
      </w:r>
      <w:r w:rsidR="088B5FA0" w:rsidRPr="00273106">
        <w:t xml:space="preserve">, </w:t>
      </w:r>
      <w:r w:rsidR="00E25907">
        <w:t xml:space="preserve">což ukazuje </w:t>
      </w:r>
      <w:r w:rsidR="088B5FA0" w:rsidRPr="00273106">
        <w:t xml:space="preserve">pokračování </w:t>
      </w:r>
      <w:r w:rsidR="004238C0" w:rsidRPr="00273106">
        <w:t xml:space="preserve">uvedeného </w:t>
      </w:r>
      <w:r w:rsidR="088B5FA0" w:rsidRPr="00273106">
        <w:t>citátu.</w:t>
      </w:r>
      <w:r w:rsidR="00E14806" w:rsidRPr="00273106">
        <w:rPr>
          <w:rStyle w:val="Znakapoznpodarou"/>
        </w:rPr>
        <w:footnoteReference w:id="65"/>
      </w:r>
      <w:r w:rsidR="08B14D89" w:rsidRPr="00273106">
        <w:t xml:space="preserve"> </w:t>
      </w:r>
      <w:r w:rsidR="086A0822">
        <w:t xml:space="preserve">Porretánské dílo pracuje s </w:t>
      </w:r>
      <w:r w:rsidR="086A0822">
        <w:lastRenderedPageBreak/>
        <w:t xml:space="preserve">termínem </w:t>
      </w:r>
      <w:r w:rsidR="086A0822" w:rsidRPr="00273106">
        <w:rPr>
          <w:rStyle w:val="Zkladntext15dkovn0pt"/>
          <w:rFonts w:ascii="Calibri" w:eastAsia="Times" w:hAnsi="Calibri" w:cs="Times New Roman"/>
          <w:b w:val="0"/>
          <w:bCs w:val="0"/>
          <w:i/>
          <w:color w:val="auto"/>
          <w:sz w:val="24"/>
          <w:lang w:val="cs-CZ"/>
        </w:rPr>
        <w:t>substantia nominis</w:t>
      </w:r>
      <w:r w:rsidR="086A0822" w:rsidRPr="00273106">
        <w:rPr>
          <w:rStyle w:val="Zkladntext15dkovn0pt"/>
          <w:rFonts w:ascii="Calibri" w:eastAsia="Times" w:hAnsi="Calibri" w:cs="Times New Roman"/>
          <w:b w:val="0"/>
          <w:bCs w:val="0"/>
          <w:color w:val="auto"/>
          <w:sz w:val="24"/>
          <w:lang w:val="cs-CZ"/>
        </w:rPr>
        <w:t xml:space="preserve">, který vyjadřuje novou subsistenci individuálního nositele daného jména („Sokrates“). </w:t>
      </w:r>
      <w:r w:rsidR="001A5987" w:rsidRPr="00273106">
        <w:t xml:space="preserve">Sokratova </w:t>
      </w:r>
      <w:r w:rsidR="08737A8A">
        <w:t xml:space="preserve">individuální </w:t>
      </w:r>
      <w:r w:rsidR="001A5987" w:rsidRPr="00273106">
        <w:t>jedinečnost je ob</w:t>
      </w:r>
      <w:r w:rsidR="08737A8A">
        <w:t xml:space="preserve">sažena přímo ve vlastním jménu </w:t>
      </w:r>
      <w:r w:rsidR="001A5987" w:rsidRPr="00273106">
        <w:t>(</w:t>
      </w:r>
      <w:r w:rsidR="001A5987" w:rsidRPr="00273106">
        <w:rPr>
          <w:i/>
        </w:rPr>
        <w:t>hoc nomen substantiam habet specialem naturam hominis</w:t>
      </w:r>
      <w:r w:rsidR="001A5987" w:rsidRPr="00273106">
        <w:t xml:space="preserve">). </w:t>
      </w:r>
      <w:r w:rsidR="08B14D89" w:rsidRPr="00273106">
        <w:t xml:space="preserve">Anonym nevidí </w:t>
      </w:r>
      <w:r w:rsidR="08737A8A">
        <w:t xml:space="preserve">osobu jako </w:t>
      </w:r>
      <w:r w:rsidR="08B14D89" w:rsidRPr="00273106">
        <w:t>první substanci, ale soubor nominálních určení</w:t>
      </w:r>
      <w:r w:rsidR="00CA62A8">
        <w:t xml:space="preserve"> predikovaných</w:t>
      </w:r>
      <w:r w:rsidR="00C3232D" w:rsidRPr="00273106">
        <w:t xml:space="preserve"> vzhledem k individuu </w:t>
      </w:r>
      <w:r w:rsidR="008A652C" w:rsidRPr="00273106">
        <w:t>(</w:t>
      </w:r>
      <w:r w:rsidR="008A652C" w:rsidRPr="00273106">
        <w:rPr>
          <w:i/>
        </w:rPr>
        <w:t>nominat vero specialem rem</w:t>
      </w:r>
      <w:r w:rsidR="008A652C" w:rsidRPr="00273106">
        <w:t>)</w:t>
      </w:r>
      <w:r w:rsidR="08B14D89" w:rsidRPr="00273106">
        <w:t>.</w:t>
      </w:r>
      <w:r w:rsidR="00D44209" w:rsidRPr="00273106">
        <w:t xml:space="preserve"> </w:t>
      </w:r>
      <w:r w:rsidR="00F5523A" w:rsidRPr="00273106">
        <w:rPr>
          <w:rStyle w:val="Zkladntext15dkovn0pt"/>
          <w:rFonts w:ascii="Calibri" w:eastAsia="Times" w:hAnsi="Calibri" w:cs="Times New Roman"/>
          <w:b w:val="0"/>
          <w:bCs w:val="0"/>
          <w:color w:val="auto"/>
          <w:sz w:val="24"/>
          <w:lang w:val="cs-CZ"/>
        </w:rPr>
        <w:t>Toto ind</w:t>
      </w:r>
      <w:r w:rsidR="006F7ECE">
        <w:rPr>
          <w:rStyle w:val="Zkladntext15dkovn0pt"/>
          <w:rFonts w:ascii="Calibri" w:eastAsia="Times" w:hAnsi="Calibri" w:cs="Times New Roman"/>
          <w:b w:val="0"/>
          <w:bCs w:val="0"/>
          <w:color w:val="auto"/>
          <w:sz w:val="24"/>
          <w:lang w:val="cs-CZ"/>
        </w:rPr>
        <w:t>ividuum je nositelem příslušné</w:t>
      </w:r>
      <w:r w:rsidR="00F5523A" w:rsidRPr="00273106">
        <w:rPr>
          <w:rStyle w:val="Zkladntext15dkovn0pt"/>
          <w:rFonts w:ascii="Calibri" w:eastAsia="Times" w:hAnsi="Calibri" w:cs="Times New Roman"/>
          <w:b w:val="0"/>
          <w:bCs w:val="0"/>
          <w:color w:val="auto"/>
          <w:sz w:val="24"/>
          <w:lang w:val="cs-CZ"/>
        </w:rPr>
        <w:t xml:space="preserve"> univerzální</w:t>
      </w:r>
      <w:r w:rsidR="006F7ECE">
        <w:rPr>
          <w:rStyle w:val="Zkladntext15dkovn0pt"/>
          <w:rFonts w:ascii="Calibri" w:eastAsia="Times" w:hAnsi="Calibri" w:cs="Times New Roman"/>
          <w:b w:val="0"/>
          <w:bCs w:val="0"/>
          <w:color w:val="auto"/>
          <w:sz w:val="24"/>
          <w:lang w:val="cs-CZ"/>
        </w:rPr>
        <w:t xml:space="preserve"> hypostáze </w:t>
      </w:r>
      <w:r w:rsidR="00F5523A" w:rsidRPr="00273106">
        <w:rPr>
          <w:rStyle w:val="Zkladntext15dkovn0pt"/>
          <w:rFonts w:ascii="Calibri" w:eastAsia="Times" w:hAnsi="Calibri" w:cs="Times New Roman"/>
          <w:b w:val="0"/>
          <w:bCs w:val="0"/>
          <w:color w:val="auto"/>
          <w:sz w:val="24"/>
          <w:lang w:val="cs-CZ"/>
        </w:rPr>
        <w:t>(</w:t>
      </w:r>
      <w:r w:rsidR="00F5523A" w:rsidRPr="00273106">
        <w:rPr>
          <w:rStyle w:val="Zkladntext15dkovn0pt"/>
          <w:rFonts w:ascii="Calibri" w:eastAsia="Times" w:hAnsi="Calibri" w:cs="Times New Roman"/>
          <w:b w:val="0"/>
          <w:bCs w:val="0"/>
          <w:i/>
          <w:color w:val="auto"/>
          <w:sz w:val="24"/>
          <w:lang w:val="cs-CZ"/>
        </w:rPr>
        <w:t>humanitas</w:t>
      </w:r>
      <w:r w:rsidR="00FC0C75">
        <w:rPr>
          <w:rStyle w:val="Zkladntext15dkovn0pt"/>
          <w:rFonts w:ascii="Calibri" w:eastAsia="Times" w:hAnsi="Calibri" w:cs="Times New Roman"/>
          <w:b w:val="0"/>
          <w:bCs w:val="0"/>
          <w:i/>
          <w:color w:val="auto"/>
          <w:sz w:val="24"/>
          <w:lang w:val="cs-CZ"/>
        </w:rPr>
        <w:fldChar w:fldCharType="begin"/>
      </w:r>
      <w:r w:rsidR="00FC0C75">
        <w:instrText xml:space="preserve"> XE "</w:instrText>
      </w:r>
      <w:r w:rsidR="00FC0C75" w:rsidRPr="00420622">
        <w:rPr>
          <w:i/>
        </w:rPr>
        <w:instrText>humanitas</w:instrText>
      </w:r>
      <w:r w:rsidR="00FC0C75" w:rsidRPr="002627B9">
        <w:instrText>:</w:instrText>
      </w:r>
      <w:r w:rsidR="002627B9" w:rsidRPr="002627B9">
        <w:instrText>škola Nominales</w:instrText>
      </w:r>
      <w:r w:rsidR="00FC0C75">
        <w:instrText xml:space="preserve">" </w:instrText>
      </w:r>
      <w:r w:rsidR="00FC0C75">
        <w:rPr>
          <w:rStyle w:val="Zkladntext15dkovn0pt"/>
          <w:rFonts w:ascii="Calibri" w:eastAsia="Times" w:hAnsi="Calibri" w:cs="Times New Roman"/>
          <w:b w:val="0"/>
          <w:bCs w:val="0"/>
          <w:i/>
          <w:color w:val="auto"/>
          <w:sz w:val="24"/>
          <w:lang w:val="cs-CZ"/>
        </w:rPr>
        <w:fldChar w:fldCharType="end"/>
      </w:r>
      <w:r w:rsidR="00F5523A" w:rsidRPr="00273106">
        <w:rPr>
          <w:rStyle w:val="Zkladntext15dkovn0pt"/>
          <w:rFonts w:ascii="Calibri" w:eastAsia="Times" w:hAnsi="Calibri" w:cs="Times New Roman"/>
          <w:b w:val="0"/>
          <w:bCs w:val="0"/>
          <w:color w:val="auto"/>
          <w:sz w:val="24"/>
          <w:lang w:val="cs-CZ"/>
        </w:rPr>
        <w:t>),</w:t>
      </w:r>
      <w:r w:rsidR="006F7ECE">
        <w:rPr>
          <w:rStyle w:val="Zkladntext15dkovn0pt"/>
          <w:rFonts w:ascii="Calibri" w:eastAsia="Times" w:hAnsi="Calibri" w:cs="Times New Roman"/>
          <w:b w:val="0"/>
          <w:bCs w:val="0"/>
          <w:color w:val="auto"/>
          <w:sz w:val="24"/>
          <w:lang w:val="cs-CZ"/>
        </w:rPr>
        <w:t xml:space="preserve"> která</w:t>
      </w:r>
      <w:r w:rsidR="00F5523A" w:rsidRPr="00273106">
        <w:rPr>
          <w:rStyle w:val="Zkladntext15dkovn0pt"/>
          <w:rFonts w:ascii="Calibri" w:eastAsia="Times" w:hAnsi="Calibri" w:cs="Times New Roman"/>
          <w:b w:val="0"/>
          <w:bCs w:val="0"/>
          <w:color w:val="auto"/>
          <w:sz w:val="24"/>
          <w:lang w:val="cs-CZ"/>
        </w:rPr>
        <w:t xml:space="preserve"> specifickým a dále nedělitelným způsobem určuje nominaci daného individua (</w:t>
      </w:r>
      <w:r w:rsidR="00F5523A" w:rsidRPr="00273106">
        <w:rPr>
          <w:rStyle w:val="Zkladntext15dkovn0pt"/>
          <w:rFonts w:ascii="Calibri" w:eastAsia="Times" w:hAnsi="Calibri" w:cs="Times New Roman"/>
          <w:b w:val="0"/>
          <w:bCs w:val="0"/>
          <w:i/>
          <w:color w:val="auto"/>
          <w:sz w:val="24"/>
          <w:lang w:val="cs-CZ"/>
        </w:rPr>
        <w:t>qualitas nominis</w:t>
      </w:r>
      <w:r w:rsidR="00F5523A" w:rsidRPr="00273106">
        <w:rPr>
          <w:rStyle w:val="Zkladntext15dkovn0pt"/>
          <w:rFonts w:ascii="Calibri" w:eastAsia="Times" w:hAnsi="Calibri" w:cs="Times New Roman"/>
          <w:b w:val="0"/>
          <w:bCs w:val="0"/>
          <w:color w:val="auto"/>
          <w:sz w:val="24"/>
          <w:lang w:val="cs-CZ"/>
        </w:rPr>
        <w:t xml:space="preserve">). </w:t>
      </w:r>
      <w:r w:rsidR="00F5523A" w:rsidRPr="00273106">
        <w:t xml:space="preserve">Individuace </w:t>
      </w:r>
      <w:r w:rsidR="08071673">
        <w:t xml:space="preserve">Sokrata </w:t>
      </w:r>
      <w:r w:rsidR="00F5523A" w:rsidRPr="00273106">
        <w:t>na posledním stupni probíhá tím, že určení substance v rámci nominace postihne i určení materie dané v externí věci (</w:t>
      </w:r>
      <w:r w:rsidR="00F5523A" w:rsidRPr="00273106">
        <w:rPr>
          <w:i/>
        </w:rPr>
        <w:t>quam nominant uel quasi materiam</w:t>
      </w:r>
      <w:r w:rsidR="00F5523A" w:rsidRPr="00273106">
        <w:t xml:space="preserve">). </w:t>
      </w:r>
      <w:r w:rsidR="006C5643">
        <w:t>Citovaná m</w:t>
      </w:r>
      <w:r w:rsidR="00F5523A" w:rsidRPr="00273106">
        <w:t>aterie</w:t>
      </w:r>
      <w:r w:rsidR="006C5643">
        <w:t xml:space="preserve"> třetího druhu (</w:t>
      </w:r>
      <w:r w:rsidR="006C5643" w:rsidRPr="006C5643">
        <w:rPr>
          <w:i/>
        </w:rPr>
        <w:t>quasi materia</w:t>
      </w:r>
      <w:r w:rsidR="006C5643">
        <w:t xml:space="preserve">) je dána jako kvantifikovaná extenze </w:t>
      </w:r>
      <w:r w:rsidR="08B92F45">
        <w:t xml:space="preserve">daná univerzálně </w:t>
      </w:r>
      <w:r w:rsidR="006C5643">
        <w:t xml:space="preserve">a </w:t>
      </w:r>
      <w:r w:rsidR="00F5523A" w:rsidRPr="00273106">
        <w:t xml:space="preserve">přejde do </w:t>
      </w:r>
      <w:r w:rsidR="08AF7DDA">
        <w:t xml:space="preserve">nominálního </w:t>
      </w:r>
      <w:r w:rsidR="00F5523A" w:rsidRPr="00273106">
        <w:t xml:space="preserve">určení </w:t>
      </w:r>
      <w:r w:rsidR="007A3BB7">
        <w:t xml:space="preserve">porretánského </w:t>
      </w:r>
      <w:r w:rsidR="00F5523A" w:rsidRPr="00273106">
        <w:t>individua (</w:t>
      </w:r>
      <w:r w:rsidR="00F5523A" w:rsidRPr="00273106">
        <w:rPr>
          <w:i/>
        </w:rPr>
        <w:t>id quod redigit materiam in id quod nominatur</w:t>
      </w:r>
      <w:r w:rsidR="002958F2">
        <w:t xml:space="preserve">). </w:t>
      </w:r>
      <w:r w:rsidR="08AF7DDA">
        <w:t>S</w:t>
      </w:r>
      <w:r w:rsidR="002958F2">
        <w:t>pecifická</w:t>
      </w:r>
      <w:r w:rsidR="00F5523A" w:rsidRPr="00273106">
        <w:t xml:space="preserve"> přirozenost a jedinečnost odvozená posledním dělením </w:t>
      </w:r>
      <w:r w:rsidR="006A04C6" w:rsidRPr="006A04C6">
        <w:t>species</w:t>
      </w:r>
      <w:r w:rsidR="00F5523A" w:rsidRPr="00273106">
        <w:t xml:space="preserve"> až na úroveň individua vznikne tím, že k danému určení substance se přidá příslušná „rozsažnost“ (</w:t>
      </w:r>
      <w:r w:rsidR="00F5523A" w:rsidRPr="00273106">
        <w:rPr>
          <w:i/>
        </w:rPr>
        <w:t>qualitas</w:t>
      </w:r>
      <w:r w:rsidR="00F5523A" w:rsidRPr="00273106">
        <w:t>) vlastní pouze Sokratovi (</w:t>
      </w:r>
      <w:r w:rsidR="00F5523A" w:rsidRPr="00273106">
        <w:rPr>
          <w:i/>
        </w:rPr>
        <w:t>qualitatem eandem quam superius diximus</w:t>
      </w:r>
      <w:r w:rsidR="00F5523A" w:rsidRPr="00273106">
        <w:t>).</w:t>
      </w:r>
      <w:r w:rsidR="00F5523A" w:rsidRPr="00273106">
        <w:rPr>
          <w:rStyle w:val="Zkladntext15dkovn0pt"/>
          <w:rFonts w:ascii="Calibri" w:eastAsia="Times" w:hAnsi="Calibri" w:cs="Times New Roman"/>
          <w:b w:val="0"/>
          <w:bCs w:val="0"/>
          <w:color w:val="auto"/>
          <w:sz w:val="24"/>
          <w:lang w:val="cs-CZ"/>
        </w:rPr>
        <w:t xml:space="preserve"> </w:t>
      </w:r>
      <w:r w:rsidR="08100CCB">
        <w:rPr>
          <w:rStyle w:val="Zkladntext15dkovn0pt"/>
          <w:rFonts w:ascii="Calibri" w:eastAsia="Times" w:hAnsi="Calibri" w:cs="Times New Roman"/>
          <w:b w:val="0"/>
          <w:bCs w:val="0"/>
          <w:color w:val="auto"/>
          <w:sz w:val="24"/>
          <w:lang w:val="cs-CZ"/>
        </w:rPr>
        <w:t xml:space="preserve">Specifickou věcí a tělese už byl genericky a nyní dostal </w:t>
      </w:r>
      <w:r w:rsidR="08826FBF">
        <w:rPr>
          <w:rStyle w:val="Zkladntext15dkovn0pt"/>
          <w:rFonts w:ascii="Calibri" w:eastAsia="Times" w:hAnsi="Calibri" w:cs="Times New Roman"/>
          <w:b w:val="0"/>
          <w:bCs w:val="0"/>
          <w:color w:val="auto"/>
          <w:sz w:val="24"/>
          <w:lang w:val="cs-CZ"/>
        </w:rPr>
        <w:t xml:space="preserve">individuální </w:t>
      </w:r>
      <w:r w:rsidR="08100CCB">
        <w:rPr>
          <w:rStyle w:val="Zkladntext15dkovn0pt"/>
          <w:rFonts w:ascii="Calibri" w:eastAsia="Times" w:hAnsi="Calibri" w:cs="Times New Roman"/>
          <w:b w:val="0"/>
          <w:bCs w:val="0"/>
          <w:color w:val="auto"/>
          <w:sz w:val="24"/>
          <w:lang w:val="cs-CZ"/>
        </w:rPr>
        <w:t>určení</w:t>
      </w:r>
      <w:r w:rsidR="08826FBF">
        <w:rPr>
          <w:rStyle w:val="Zkladntext15dkovn0pt"/>
          <w:rFonts w:ascii="Calibri" w:eastAsia="Times" w:hAnsi="Calibri" w:cs="Times New Roman"/>
          <w:b w:val="0"/>
          <w:bCs w:val="0"/>
          <w:color w:val="auto"/>
          <w:sz w:val="24"/>
          <w:lang w:val="cs-CZ"/>
        </w:rPr>
        <w:t xml:space="preserve"> </w:t>
      </w:r>
      <w:r w:rsidR="086360F5">
        <w:rPr>
          <w:rStyle w:val="Zkladntext15dkovn0pt"/>
          <w:rFonts w:ascii="Calibri" w:eastAsia="Times" w:hAnsi="Calibri" w:cs="Times New Roman"/>
          <w:b w:val="0"/>
          <w:bCs w:val="0"/>
          <w:color w:val="auto"/>
          <w:sz w:val="24"/>
          <w:lang w:val="cs-CZ"/>
        </w:rPr>
        <w:t xml:space="preserve">třetího druhu v podobě </w:t>
      </w:r>
      <w:r w:rsidR="08826FBF">
        <w:rPr>
          <w:rStyle w:val="Zkladntext15dkovn0pt"/>
          <w:rFonts w:ascii="Calibri" w:eastAsia="Times" w:hAnsi="Calibri" w:cs="Times New Roman"/>
          <w:b w:val="0"/>
          <w:bCs w:val="0"/>
          <w:color w:val="auto"/>
          <w:sz w:val="24"/>
          <w:lang w:val="cs-CZ"/>
        </w:rPr>
        <w:t>materie, kvantity a rozsažnosti</w:t>
      </w:r>
      <w:r w:rsidR="08100CCB">
        <w:rPr>
          <w:rStyle w:val="Zkladntext15dkovn0pt"/>
          <w:rFonts w:ascii="Calibri" w:eastAsia="Times" w:hAnsi="Calibri" w:cs="Times New Roman"/>
          <w:b w:val="0"/>
          <w:bCs w:val="0"/>
          <w:color w:val="auto"/>
          <w:sz w:val="24"/>
          <w:lang w:val="cs-CZ"/>
        </w:rPr>
        <w:t xml:space="preserve">. Připomeňme, že takového diskrétního „Sokrata“ je možné naskenovat a přidat do matematického modelu. </w:t>
      </w:r>
      <w:r w:rsidR="00F5523A" w:rsidRPr="00273106">
        <w:rPr>
          <w:rStyle w:val="Zkladntext15dkovn0pt"/>
          <w:rFonts w:ascii="Calibri" w:eastAsia="Times" w:hAnsi="Calibri" w:cs="Times New Roman"/>
          <w:b w:val="0"/>
          <w:bCs w:val="0"/>
          <w:color w:val="auto"/>
          <w:sz w:val="24"/>
          <w:lang w:val="cs-CZ"/>
        </w:rPr>
        <w:t xml:space="preserve">Specifikace individua „Sokrates“ ve smyslu poslední určité a dále nedělitelné diferenciace </w:t>
      </w:r>
      <w:r w:rsidR="002958F2">
        <w:rPr>
          <w:rStyle w:val="Zkladntext15dkovn0pt"/>
          <w:rFonts w:ascii="Calibri" w:eastAsia="Times" w:hAnsi="Calibri" w:cs="Times New Roman"/>
          <w:b w:val="0"/>
          <w:bCs w:val="0"/>
          <w:color w:val="auto"/>
          <w:sz w:val="24"/>
          <w:lang w:val="cs-CZ"/>
        </w:rPr>
        <w:t xml:space="preserve">druhového významu </w:t>
      </w:r>
      <w:r w:rsidR="00F5523A" w:rsidRPr="00273106">
        <w:rPr>
          <w:rStyle w:val="Zkladntext15dkovn0pt"/>
          <w:rFonts w:ascii="Calibri" w:eastAsia="Times" w:hAnsi="Calibri" w:cs="Times New Roman"/>
          <w:b w:val="0"/>
          <w:bCs w:val="0"/>
          <w:color w:val="auto"/>
          <w:sz w:val="24"/>
          <w:lang w:val="cs-CZ"/>
        </w:rPr>
        <w:t xml:space="preserve">„člověk“ </w:t>
      </w:r>
      <w:r w:rsidR="00F5523A" w:rsidRPr="00273106">
        <w:t>je dána přímo ve verbálním aktu signifikace, proto není třeba jít až do reality.</w:t>
      </w:r>
      <w:r w:rsidR="003308EE" w:rsidRPr="00273106">
        <w:t xml:space="preserve"> </w:t>
      </w:r>
      <w:r w:rsidR="00883BEE" w:rsidRPr="00273106">
        <w:t xml:space="preserve">Signifikace </w:t>
      </w:r>
      <w:r w:rsidR="08DB48E6" w:rsidRPr="00273106">
        <w:t xml:space="preserve">substance nejde v hyparchickém řádu </w:t>
      </w:r>
      <w:r w:rsidR="08DB48E6" w:rsidRPr="00273106">
        <w:rPr>
          <w:i/>
        </w:rPr>
        <w:t>per prius</w:t>
      </w:r>
      <w:r w:rsidR="08DB48E6" w:rsidRPr="00273106">
        <w:t xml:space="preserve"> od první substance ke druhé. Substance je nejprve určena rodově (</w:t>
      </w:r>
      <w:r w:rsidR="08DB48E6" w:rsidRPr="00273106">
        <w:rPr>
          <w:i/>
        </w:rPr>
        <w:t>habet animal ipsum</w:t>
      </w:r>
      <w:r w:rsidR="08DB48E6" w:rsidRPr="00273106">
        <w:t xml:space="preserve">) a diferencí směrem ke </w:t>
      </w:r>
      <w:r w:rsidR="003613CC">
        <w:t>druhu (</w:t>
      </w:r>
      <w:r w:rsidR="08DB48E6" w:rsidRPr="00273106">
        <w:rPr>
          <w:i/>
        </w:rPr>
        <w:t>homo</w:t>
      </w:r>
      <w:r w:rsidR="003613CC">
        <w:t>)</w:t>
      </w:r>
      <w:r w:rsidR="08DB48E6" w:rsidRPr="00273106">
        <w:t xml:space="preserve">. </w:t>
      </w:r>
      <w:r w:rsidR="00ED027C">
        <w:t>Koneč</w:t>
      </w:r>
      <w:r w:rsidR="00475ADC">
        <w:t xml:space="preserve">nou zastávkou dělení </w:t>
      </w:r>
      <w:r w:rsidR="007D0583">
        <w:t>(</w:t>
      </w:r>
      <w:r w:rsidR="004A7322" w:rsidRPr="004A7322">
        <w:rPr>
          <w:i/>
        </w:rPr>
        <w:t>terminus</w:t>
      </w:r>
      <w:r w:rsidR="009E67A2">
        <w:rPr>
          <w:i/>
        </w:rPr>
        <w:fldChar w:fldCharType="begin"/>
      </w:r>
      <w:r w:rsidR="009E67A2">
        <w:instrText xml:space="preserve"> XE "</w:instrText>
      </w:r>
      <w:r w:rsidR="009E67A2" w:rsidRPr="00F1366A">
        <w:rPr>
          <w:i/>
          <w:color w:val="000000"/>
        </w:rPr>
        <w:instrText>terminus</w:instrText>
      </w:r>
      <w:r w:rsidR="009E67A2">
        <w:instrText xml:space="preserve">" </w:instrText>
      </w:r>
      <w:r w:rsidR="009E67A2">
        <w:rPr>
          <w:i/>
        </w:rPr>
        <w:fldChar w:fldCharType="end"/>
      </w:r>
      <w:r w:rsidR="007D0583">
        <w:t>)</w:t>
      </w:r>
      <w:r w:rsidR="00357251">
        <w:t xml:space="preserve"> je individuum. To vzniká </w:t>
      </w:r>
      <w:r w:rsidR="00475ADC">
        <w:t xml:space="preserve">derivací významů </w:t>
      </w:r>
      <w:r w:rsidR="00357251">
        <w:t>skrze diferenciaci</w:t>
      </w:r>
      <w:r w:rsidR="004737AB">
        <w:t xml:space="preserve"> univerzálií </w:t>
      </w:r>
      <w:r w:rsidR="00475ADC">
        <w:t xml:space="preserve">podle </w:t>
      </w:r>
      <w:r w:rsidR="00475ADC" w:rsidRPr="00475ADC">
        <w:rPr>
          <w:i/>
        </w:rPr>
        <w:t>Arbor Por</w:t>
      </w:r>
      <w:r w:rsidR="00ED027C">
        <w:rPr>
          <w:i/>
        </w:rPr>
        <w:t>p</w:t>
      </w:r>
      <w:r w:rsidR="00475ADC" w:rsidRPr="00475ADC">
        <w:rPr>
          <w:i/>
        </w:rPr>
        <w:t>hyriana</w:t>
      </w:r>
      <w:r w:rsidR="00B65DFD">
        <w:rPr>
          <w:i/>
        </w:rPr>
        <w:fldChar w:fldCharType="begin"/>
      </w:r>
      <w:r w:rsidR="00B65DFD">
        <w:instrText xml:space="preserve"> XE "</w:instrText>
      </w:r>
      <w:r w:rsidR="00B65DFD" w:rsidRPr="00227C7B">
        <w:rPr>
          <w:i/>
        </w:rPr>
        <w:instrText>Arbor Porphyriana</w:instrText>
      </w:r>
      <w:r w:rsidR="00B65DFD">
        <w:instrText xml:space="preserve">" </w:instrText>
      </w:r>
      <w:r w:rsidR="00B65DFD">
        <w:rPr>
          <w:i/>
        </w:rPr>
        <w:fldChar w:fldCharType="end"/>
      </w:r>
      <w:r w:rsidR="00357251">
        <w:t xml:space="preserve"> na stále specifičtější </w:t>
      </w:r>
      <w:r w:rsidR="009B0283">
        <w:t xml:space="preserve">univerzální </w:t>
      </w:r>
      <w:r w:rsidR="00357251">
        <w:t xml:space="preserve">význam. </w:t>
      </w:r>
      <w:r w:rsidR="08D82359">
        <w:t>Klíčová část terminologické</w:t>
      </w:r>
      <w:r w:rsidR="08D82359" w:rsidRPr="00273106">
        <w:t xml:space="preserve"> </w:t>
      </w:r>
      <w:r w:rsidR="08D82359">
        <w:t xml:space="preserve">predikace </w:t>
      </w:r>
      <w:r w:rsidR="08D82359" w:rsidRPr="00273106">
        <w:t>dané dělen</w:t>
      </w:r>
      <w:r w:rsidR="08D82359">
        <w:t>ím specifických významů nebo jejich kolektou</w:t>
      </w:r>
      <w:r w:rsidR="08D82359" w:rsidRPr="00273106">
        <w:t xml:space="preserve"> spočívá podle citace </w:t>
      </w:r>
      <w:r w:rsidR="08D82359" w:rsidRPr="00713620">
        <w:rPr>
          <w:i/>
        </w:rPr>
        <w:t>Traktátu</w:t>
      </w:r>
      <w:r w:rsidR="08D82359" w:rsidRPr="00273106">
        <w:t xml:space="preserve"> v logickém soudu (</w:t>
      </w:r>
      <w:r w:rsidR="08D82359" w:rsidRPr="00273106">
        <w:rPr>
          <w:i/>
        </w:rPr>
        <w:t>enuntiatio</w:t>
      </w:r>
      <w:r w:rsidR="08D82359">
        <w:rPr>
          <w:i/>
        </w:rPr>
        <w:fldChar w:fldCharType="begin"/>
      </w:r>
      <w:r w:rsidR="08D82359">
        <w:instrText xml:space="preserve"> XE "</w:instrText>
      </w:r>
      <w:r w:rsidR="08D82359" w:rsidRPr="0038128E">
        <w:rPr>
          <w:i/>
        </w:rPr>
        <w:instrText>enuntiatio</w:instrText>
      </w:r>
      <w:r w:rsidR="08D82359" w:rsidRPr="007A3BB7">
        <w:instrText>:porretáni</w:instrText>
      </w:r>
      <w:r w:rsidR="08D82359">
        <w:instrText xml:space="preserve">" </w:instrText>
      </w:r>
      <w:r w:rsidR="08D82359">
        <w:rPr>
          <w:i/>
        </w:rPr>
        <w:fldChar w:fldCharType="end"/>
      </w:r>
      <w:r w:rsidR="08D82359" w:rsidRPr="00273106">
        <w:t>). Výrok spojí skrze kopulu specifické „S“ (</w:t>
      </w:r>
      <w:r w:rsidR="08D82359" w:rsidRPr="00273106">
        <w:rPr>
          <w:i/>
        </w:rPr>
        <w:t>specialem rem</w:t>
      </w:r>
      <w:r w:rsidR="08D82359" w:rsidRPr="00273106">
        <w:t xml:space="preserve">, </w:t>
      </w:r>
      <w:r w:rsidR="08D82359" w:rsidRPr="00273106">
        <w:rPr>
          <w:i/>
        </w:rPr>
        <w:t>specialem naturam hominis</w:t>
      </w:r>
      <w:r w:rsidR="08D82359">
        <w:t>) s příslušným komitač</w:t>
      </w:r>
      <w:r w:rsidR="08D82359" w:rsidRPr="00273106">
        <w:t>ním určením „P“ (</w:t>
      </w:r>
      <w:r w:rsidR="08D82359" w:rsidRPr="00273106">
        <w:rPr>
          <w:i/>
        </w:rPr>
        <w:t>qualitas</w:t>
      </w:r>
      <w:r w:rsidR="08D82359" w:rsidRPr="00273106">
        <w:t>). Výrok p</w:t>
      </w:r>
      <w:r w:rsidR="08D82359">
        <w:t xml:space="preserve">orretánů ve formě specifického </w:t>
      </w:r>
      <w:r w:rsidR="08D82359" w:rsidRPr="00273106">
        <w:rPr>
          <w:i/>
        </w:rPr>
        <w:t>colligatio</w:t>
      </w:r>
      <w:r w:rsidR="08D82359" w:rsidRPr="00273106">
        <w:t xml:space="preserve"> pak dává výslednou složeninu moderní substance </w:t>
      </w:r>
      <w:r w:rsidR="08D82359">
        <w:t xml:space="preserve">danou jako individuum </w:t>
      </w:r>
      <w:r w:rsidR="08D82359" w:rsidRPr="00273106">
        <w:t>(</w:t>
      </w:r>
      <w:r w:rsidR="08D82359" w:rsidRPr="00273106">
        <w:rPr>
          <w:i/>
        </w:rPr>
        <w:t>hoc nomen</w:t>
      </w:r>
      <w:r w:rsidR="00CF7B91">
        <w:t>).</w:t>
      </w:r>
    </w:p>
    <w:p w14:paraId="4C5B370A" w14:textId="75F4B98A" w:rsidR="00BC200F" w:rsidRDefault="08D82359" w:rsidP="000E25B6">
      <w:pPr>
        <w:ind w:firstLine="397"/>
      </w:pPr>
      <w:r w:rsidRPr="00273106">
        <w:rPr>
          <w:color w:val="000000"/>
        </w:rPr>
        <w:t xml:space="preserve">Porretáni navázali na Anselmovu dvojí suppozici, zejména na její neproměnlivou část </w:t>
      </w:r>
      <w:r w:rsidRPr="00273106">
        <w:t>(</w:t>
      </w:r>
      <w:r w:rsidRPr="00273106">
        <w:rPr>
          <w:i/>
        </w:rPr>
        <w:t>significat ad quod significandum facta est</w:t>
      </w:r>
      <w:r>
        <w:t>, kap. 3.2</w:t>
      </w:r>
      <w:r w:rsidRPr="00273106">
        <w:t>)</w:t>
      </w:r>
      <w:r w:rsidRPr="00273106">
        <w:rPr>
          <w:color w:val="000000"/>
        </w:rPr>
        <w:t xml:space="preserve">. </w:t>
      </w:r>
      <w:r w:rsidRPr="00273106">
        <w:t xml:space="preserve">Škola </w:t>
      </w:r>
      <w:r w:rsidRPr="00273106">
        <w:rPr>
          <w:i/>
        </w:rPr>
        <w:t>Nominales</w:t>
      </w:r>
      <w:r w:rsidRPr="00273106">
        <w:t xml:space="preserve"> zařadila v rámci </w:t>
      </w:r>
      <w:r w:rsidRPr="00273106">
        <w:lastRenderedPageBreak/>
        <w:t xml:space="preserve">logické gramatiky třídu abstraktně pojatých významů do tzv. „denominativ“, jejichž aktualizace byla dána v konkrétní jednotlivině. </w:t>
      </w:r>
      <w:r w:rsidRPr="00273106">
        <w:rPr>
          <w:color w:val="000000"/>
        </w:rPr>
        <w:t xml:space="preserve">Citovaný Boethiův traktát </w:t>
      </w:r>
      <w:r w:rsidRPr="00273106">
        <w:rPr>
          <w:i/>
          <w:color w:val="000000"/>
        </w:rPr>
        <w:t>De hebdomadibus</w:t>
      </w:r>
      <w:r w:rsidRPr="00273106">
        <w:rPr>
          <w:color w:val="000000"/>
        </w:rPr>
        <w:t xml:space="preserve"> označuje podobný typ komitace</w:t>
      </w:r>
      <w:r>
        <w:rPr>
          <w:color w:val="000000"/>
        </w:rPr>
        <w:fldChar w:fldCharType="begin"/>
      </w:r>
      <w:r>
        <w:instrText xml:space="preserve"> XE "</w:instrText>
      </w:r>
      <w:r w:rsidRPr="00467B7F">
        <w:instrText>komitace</w:instrText>
      </w:r>
      <w:r>
        <w:instrText xml:space="preserve">" </w:instrText>
      </w:r>
      <w:r>
        <w:rPr>
          <w:color w:val="000000"/>
        </w:rPr>
        <w:fldChar w:fldCharType="end"/>
      </w:r>
      <w:r w:rsidRPr="00273106">
        <w:rPr>
          <w:color w:val="000000"/>
        </w:rPr>
        <w:t xml:space="preserve"> </w:t>
      </w:r>
      <w:r>
        <w:rPr>
          <w:color w:val="000000"/>
        </w:rPr>
        <w:t xml:space="preserve">hypostázovaných vlastností </w:t>
      </w:r>
      <w:r w:rsidRPr="00273106">
        <w:rPr>
          <w:color w:val="000000"/>
        </w:rPr>
        <w:t xml:space="preserve">za nemožný </w:t>
      </w:r>
      <w:r w:rsidR="08AA7195">
        <w:rPr>
          <w:color w:val="000000"/>
        </w:rPr>
        <w:t>dokonce i pro boha. B</w:t>
      </w:r>
      <w:r w:rsidRPr="00273106">
        <w:rPr>
          <w:color w:val="000000"/>
        </w:rPr>
        <w:t xml:space="preserve">ůh netvoří </w:t>
      </w:r>
      <w:r w:rsidR="08AA7195">
        <w:rPr>
          <w:color w:val="000000"/>
        </w:rPr>
        <w:t>nesmysl zvaný „běloba</w:t>
      </w:r>
      <w:r w:rsidRPr="00273106">
        <w:rPr>
          <w:color w:val="000000"/>
        </w:rPr>
        <w:t>“, ale bílou věc.</w:t>
      </w:r>
      <w:r>
        <w:rPr>
          <w:color w:val="000000"/>
        </w:rPr>
        <w:t xml:space="preserve"> </w:t>
      </w:r>
      <w:r>
        <w:t>Boethius zásadně odmítl predikaci subsistentních kvalit na způsob neoplatonismu.</w:t>
      </w:r>
      <w:r w:rsidRPr="00273106">
        <w:rPr>
          <w:rStyle w:val="Znakapoznpodarou"/>
          <w:color w:val="000000"/>
        </w:rPr>
        <w:footnoteReference w:id="66"/>
      </w:r>
      <w:r w:rsidRPr="00273106">
        <w:rPr>
          <w:color w:val="000000"/>
        </w:rPr>
        <w:t xml:space="preserve"> </w:t>
      </w:r>
      <w:r w:rsidRPr="00273106">
        <w:t xml:space="preserve">Anonymní autor </w:t>
      </w:r>
      <w:r w:rsidRPr="0026661D">
        <w:rPr>
          <w:i/>
        </w:rPr>
        <w:t>Traktátu</w:t>
      </w:r>
      <w:r>
        <w:t xml:space="preserve"> zná spis </w:t>
      </w:r>
      <w:r w:rsidRPr="0026661D">
        <w:rPr>
          <w:i/>
        </w:rPr>
        <w:t>Isagoge</w:t>
      </w:r>
      <w:r w:rsidRPr="00273106">
        <w:t xml:space="preserve"> </w:t>
      </w:r>
      <w:r>
        <w:t xml:space="preserve">a dobře </w:t>
      </w:r>
      <w:r w:rsidRPr="00273106">
        <w:t xml:space="preserve">ví, že </w:t>
      </w:r>
      <w:r>
        <w:t xml:space="preserve">specificky derivovaná </w:t>
      </w:r>
      <w:r w:rsidRPr="00273106">
        <w:t xml:space="preserve">animalita představuje vzhledem k reálnému </w:t>
      </w:r>
      <w:r>
        <w:t xml:space="preserve">Sokratovi jen </w:t>
      </w:r>
      <w:r w:rsidRPr="00273106">
        <w:t>sekundární určení</w:t>
      </w:r>
      <w:r>
        <w:t>. A</w:t>
      </w:r>
      <w:r w:rsidRPr="00273106">
        <w:t xml:space="preserve">le už ji staví v řádu </w:t>
      </w:r>
      <w:r w:rsidRPr="00273106">
        <w:rPr>
          <w:i/>
        </w:rPr>
        <w:t>per prius</w:t>
      </w:r>
      <w:r w:rsidRPr="00273106">
        <w:t>, protože ji pojal v modu porretánské hypostatické existence.</w:t>
      </w:r>
      <w:r>
        <w:t xml:space="preserve"> </w:t>
      </w:r>
      <w:r w:rsidR="001043DE">
        <w:t>P</w:t>
      </w:r>
      <w:r w:rsidR="001A5987" w:rsidRPr="00273106">
        <w:t xml:space="preserve">růběh identifikace moderního individua </w:t>
      </w:r>
      <w:r w:rsidR="009E6B56">
        <w:t xml:space="preserve">na způsob </w:t>
      </w:r>
      <w:r w:rsidR="0029718F">
        <w:t xml:space="preserve">porretánské </w:t>
      </w:r>
      <w:r w:rsidR="009E6B56">
        <w:t xml:space="preserve">kolekty </w:t>
      </w:r>
      <w:r w:rsidR="0029718F">
        <w:t xml:space="preserve">dané ve škole </w:t>
      </w:r>
      <w:r w:rsidR="0029718F" w:rsidRPr="0029718F">
        <w:rPr>
          <w:i/>
        </w:rPr>
        <w:t>Nominales</w:t>
      </w:r>
      <w:r w:rsidR="0029718F">
        <w:t xml:space="preserve"> </w:t>
      </w:r>
      <w:r w:rsidR="08AF7DDA">
        <w:t xml:space="preserve">také </w:t>
      </w:r>
      <w:r w:rsidR="001A5987" w:rsidRPr="00273106">
        <w:t xml:space="preserve">ukazuje, že pojetí hypostázované existence </w:t>
      </w:r>
      <w:r w:rsidR="00D6169D" w:rsidRPr="00273106">
        <w:t xml:space="preserve">umožňuje </w:t>
      </w:r>
      <w:r w:rsidR="001A5987" w:rsidRPr="00273106">
        <w:t>dialektický proces dělení otočit</w:t>
      </w:r>
      <w:r w:rsidR="00245567">
        <w:t xml:space="preserve">, a tak přejít </w:t>
      </w:r>
      <w:r w:rsidR="00206035" w:rsidRPr="00273106">
        <w:t xml:space="preserve">od analýzy k syntéze. </w:t>
      </w:r>
      <w:r w:rsidR="001043DE">
        <w:t>O</w:t>
      </w:r>
      <w:r w:rsidR="001043DE" w:rsidRPr="00273106">
        <w:t>bec</w:t>
      </w:r>
      <w:r w:rsidR="00086366">
        <w:t xml:space="preserve">ná určení definují jednotlivinu jako </w:t>
      </w:r>
      <w:r w:rsidR="001043DE" w:rsidRPr="00273106">
        <w:t>individuum, k níž jsou dodatečně přiřazena další hypostatická určení</w:t>
      </w:r>
      <w:r w:rsidR="001043DE">
        <w:t xml:space="preserve">. </w:t>
      </w:r>
      <w:r w:rsidR="001B3F03" w:rsidRPr="00273106">
        <w:t xml:space="preserve">Sokrates není nic jiného, než lidské </w:t>
      </w:r>
      <w:r w:rsidR="006A04C6" w:rsidRPr="006A04C6">
        <w:t>species</w:t>
      </w:r>
      <w:r w:rsidR="001B3F03" w:rsidRPr="00273106">
        <w:t xml:space="preserve"> (</w:t>
      </w:r>
      <w:r w:rsidR="001B3F03" w:rsidRPr="00273106">
        <w:rPr>
          <w:i/>
        </w:rPr>
        <w:t>specialem naturam hominis</w:t>
      </w:r>
      <w:r w:rsidR="001B3F03" w:rsidRPr="00273106">
        <w:t xml:space="preserve">), které dostalo specifickou extenzi v podobě hypostázovaných </w:t>
      </w:r>
      <w:r w:rsidR="008A16E0">
        <w:t xml:space="preserve">kvalit </w:t>
      </w:r>
      <w:r w:rsidR="001B3F03" w:rsidRPr="00273106">
        <w:t>šitých na míru tomuto individuu v podobě individualizované rozsažnosti a materie</w:t>
      </w:r>
      <w:r w:rsidR="007A3BB7">
        <w:fldChar w:fldCharType="begin"/>
      </w:r>
      <w:r w:rsidR="007A3BB7">
        <w:instrText xml:space="preserve"> XE "substance:porretáni" </w:instrText>
      </w:r>
      <w:r w:rsidR="007A3BB7">
        <w:fldChar w:fldCharType="end"/>
      </w:r>
      <w:r w:rsidR="001B3F03" w:rsidRPr="00273106">
        <w:t xml:space="preserve">. </w:t>
      </w:r>
      <w:r w:rsidR="00656DC7">
        <w:t>Takto integrované i</w:t>
      </w:r>
      <w:r w:rsidR="00206035" w:rsidRPr="00273106">
        <w:t xml:space="preserve">ndividuum </w:t>
      </w:r>
      <w:r w:rsidR="08650A45">
        <w:t xml:space="preserve">zvané „Sokrates“ </w:t>
      </w:r>
      <w:r w:rsidR="00206035" w:rsidRPr="00273106">
        <w:t xml:space="preserve">nevzniká jen dělením univerzálií, ale také </w:t>
      </w:r>
      <w:r w:rsidR="001A5987" w:rsidRPr="00273106">
        <w:t>kolekt</w:t>
      </w:r>
      <w:r w:rsidR="00206035" w:rsidRPr="00273106">
        <w:t xml:space="preserve">ou </w:t>
      </w:r>
      <w:r w:rsidR="000365EC">
        <w:t xml:space="preserve">různorodých </w:t>
      </w:r>
      <w:r w:rsidR="00206035" w:rsidRPr="00273106">
        <w:t>hypostází, tedy syntetickým</w:t>
      </w:r>
      <w:r w:rsidR="001A5987" w:rsidRPr="00273106">
        <w:t xml:space="preserve"> skládání</w:t>
      </w:r>
      <w:r w:rsidR="00206035" w:rsidRPr="00273106">
        <w:t>m</w:t>
      </w:r>
      <w:r w:rsidR="001A5987" w:rsidRPr="00273106">
        <w:t xml:space="preserve"> o</w:t>
      </w:r>
      <w:r w:rsidR="00206035" w:rsidRPr="00273106">
        <w:t>becnin</w:t>
      </w:r>
      <w:r w:rsidR="000365EC">
        <w:t xml:space="preserve"> daných </w:t>
      </w:r>
      <w:r w:rsidR="000365EC" w:rsidRPr="000365EC">
        <w:rPr>
          <w:i/>
        </w:rPr>
        <w:t>ad hoc</w:t>
      </w:r>
      <w:r w:rsidR="001A5987" w:rsidRPr="00273106">
        <w:t xml:space="preserve">. </w:t>
      </w:r>
      <w:r w:rsidR="08650A45">
        <w:t xml:space="preserve">Aristotelik Jan z Salisbury tuto kolektu odmítl jako metafyzický nesmysl a kvůli tomuto zásadnímu omylu </w:t>
      </w:r>
      <w:r w:rsidR="08A90367">
        <w:t xml:space="preserve">danému na úrovni </w:t>
      </w:r>
      <w:r w:rsidR="08A90367" w:rsidRPr="08A90367">
        <w:rPr>
          <w:i/>
        </w:rPr>
        <w:t>nomen</w:t>
      </w:r>
      <w:r w:rsidR="08A90367">
        <w:t xml:space="preserve"> </w:t>
      </w:r>
      <w:r w:rsidR="08650A45">
        <w:t xml:space="preserve">dal </w:t>
      </w:r>
      <w:r w:rsidR="0880579E">
        <w:t xml:space="preserve">této </w:t>
      </w:r>
      <w:r w:rsidR="08650A45">
        <w:t xml:space="preserve">sektě modernistů její známé jméno. </w:t>
      </w:r>
      <w:r w:rsidR="00F85CB9" w:rsidRPr="00273106">
        <w:t xml:space="preserve">Stejný univoční proces dělení a syntézy univerzálií </w:t>
      </w:r>
      <w:r w:rsidR="00F85CB9">
        <w:t xml:space="preserve">rozvedený derivací a integrací </w:t>
      </w:r>
      <w:r w:rsidR="00F85CB9" w:rsidRPr="00273106">
        <w:t>najdeme ve škol</w:t>
      </w:r>
      <w:r w:rsidR="089B3478">
        <w:t xml:space="preserve">e druhého averroismu v termínu </w:t>
      </w:r>
      <w:r w:rsidR="00F85CB9" w:rsidRPr="00273106">
        <w:rPr>
          <w:i/>
        </w:rPr>
        <w:t>resolutio</w:t>
      </w:r>
      <w:r w:rsidR="00F85CB9">
        <w:rPr>
          <w:i/>
        </w:rPr>
        <w:fldChar w:fldCharType="begin"/>
      </w:r>
      <w:r w:rsidR="00F85CB9">
        <w:instrText xml:space="preserve"> XE "</w:instrText>
      </w:r>
      <w:r w:rsidR="00F85CB9" w:rsidRPr="00111E9E">
        <w:rPr>
          <w:i/>
        </w:rPr>
        <w:instrText>resolutio</w:instrText>
      </w:r>
      <w:r w:rsidR="00F85CB9">
        <w:instrText xml:space="preserve">:druhý averroismus" </w:instrText>
      </w:r>
      <w:r w:rsidR="00F85CB9">
        <w:rPr>
          <w:i/>
        </w:rPr>
        <w:fldChar w:fldCharType="end"/>
      </w:r>
      <w:r w:rsidR="089B3478">
        <w:t xml:space="preserve"> a </w:t>
      </w:r>
      <w:r w:rsidR="00F85CB9" w:rsidRPr="00273106">
        <w:rPr>
          <w:i/>
        </w:rPr>
        <w:t>compositio</w:t>
      </w:r>
      <w:r w:rsidR="00F85CB9">
        <w:rPr>
          <w:i/>
        </w:rPr>
        <w:fldChar w:fldCharType="begin"/>
      </w:r>
      <w:r w:rsidR="00F85CB9">
        <w:instrText xml:space="preserve"> XE "</w:instrText>
      </w:r>
      <w:r w:rsidR="00F85CB9" w:rsidRPr="006B120B">
        <w:rPr>
          <w:i/>
        </w:rPr>
        <w:instrText>compositio</w:instrText>
      </w:r>
      <w:r w:rsidR="00F85CB9">
        <w:instrText xml:space="preserve">" </w:instrText>
      </w:r>
      <w:r w:rsidR="00F85CB9">
        <w:rPr>
          <w:i/>
        </w:rPr>
        <w:fldChar w:fldCharType="end"/>
      </w:r>
      <w:r w:rsidR="08DE6CFE">
        <w:t xml:space="preserve"> (kap. 3</w:t>
      </w:r>
      <w:r w:rsidR="00F85CB9" w:rsidRPr="00273106">
        <w:t xml:space="preserve">.3.2). </w:t>
      </w:r>
      <w:r w:rsidR="004A050B">
        <w:t>Leibnizův diferenciální počet</w:t>
      </w:r>
      <w:r w:rsidR="004A050B" w:rsidRPr="003613CC">
        <w:t xml:space="preserve"> </w:t>
      </w:r>
      <w:r w:rsidR="004A050B">
        <w:t>zopakuje v postmoderně tento pos</w:t>
      </w:r>
      <w:r w:rsidR="00BC200F">
        <w:t>tup diskrétního vidění reality.</w:t>
      </w:r>
    </w:p>
    <w:p w14:paraId="0E0B343C" w14:textId="77777777" w:rsidR="007E336D" w:rsidRDefault="08B264AA" w:rsidP="000B56A0">
      <w:pPr>
        <w:ind w:firstLine="397"/>
      </w:pPr>
      <w:r>
        <w:t xml:space="preserve">Matematika se stala novou </w:t>
      </w:r>
      <w:r w:rsidRPr="009B6406">
        <w:rPr>
          <w:i/>
        </w:rPr>
        <w:t>mathesis universalis</w:t>
      </w:r>
      <w:r>
        <w:t xml:space="preserve"> a v současné epoše karteziánského nihilismu tento typ myšlení vytlačil kritickou metafyziku první substance. </w:t>
      </w:r>
      <w:r w:rsidR="004A050B">
        <w:t>Matematická derivace</w:t>
      </w:r>
      <w:r w:rsidR="004A050B">
        <w:fldChar w:fldCharType="begin"/>
      </w:r>
      <w:r w:rsidR="004A050B">
        <w:instrText xml:space="preserve"> XE "</w:instrText>
      </w:r>
      <w:r w:rsidR="004A050B" w:rsidRPr="00D8784E">
        <w:instrText>derivace</w:instrText>
      </w:r>
      <w:r w:rsidR="004A050B">
        <w:instrText xml:space="preserve">" </w:instrText>
      </w:r>
      <w:r w:rsidR="004A050B">
        <w:fldChar w:fldCharType="end"/>
      </w:r>
      <w:r w:rsidR="004A050B">
        <w:t xml:space="preserve"> stojí n</w:t>
      </w:r>
      <w:r w:rsidR="089B3478">
        <w:t xml:space="preserve">a logické predikaci a odděluje </w:t>
      </w:r>
      <w:r w:rsidR="004A050B" w:rsidRPr="006903EF">
        <w:rPr>
          <w:i/>
        </w:rPr>
        <w:t>magis</w:t>
      </w:r>
      <w:r w:rsidR="089B3478">
        <w:t xml:space="preserve"> a </w:t>
      </w:r>
      <w:r w:rsidR="004A050B" w:rsidRPr="006903EF">
        <w:rPr>
          <w:i/>
        </w:rPr>
        <w:t>minus</w:t>
      </w:r>
      <w:r w:rsidR="004A050B">
        <w:t xml:space="preserve"> průběhu funkce od </w:t>
      </w:r>
      <w:r w:rsidR="001610E7">
        <w:t xml:space="preserve">objektivní </w:t>
      </w:r>
      <w:r w:rsidR="004A050B">
        <w:t xml:space="preserve"> atomární substance</w:t>
      </w:r>
      <w:r w:rsidR="08143427">
        <w:t>, která tvoří poslední limitu funkce</w:t>
      </w:r>
      <w:r w:rsidR="08061928">
        <w:t xml:space="preserve">. Tato substance třetího druhu  </w:t>
      </w:r>
      <w:r w:rsidR="004A050B">
        <w:t xml:space="preserve">je </w:t>
      </w:r>
      <w:r w:rsidR="088C7360">
        <w:t xml:space="preserve">v </w:t>
      </w:r>
      <w:r w:rsidR="08061928">
        <w:t xml:space="preserve">infinitezimálním počtu </w:t>
      </w:r>
      <w:r w:rsidR="004A050B">
        <w:t>definována</w:t>
      </w:r>
      <w:r w:rsidR="08061928">
        <w:t xml:space="preserve"> jako </w:t>
      </w:r>
      <w:r w:rsidR="084F721B" w:rsidRPr="084F721B">
        <w:rPr>
          <w:i/>
        </w:rPr>
        <w:t>principium</w:t>
      </w:r>
      <w:r w:rsidR="088C7360">
        <w:t>, č</w:t>
      </w:r>
      <w:r w:rsidR="084F721B">
        <w:t xml:space="preserve">ili dogmaticky a logicky dané </w:t>
      </w:r>
      <w:r w:rsidR="08C57424">
        <w:t xml:space="preserve">formální </w:t>
      </w:r>
      <w:r w:rsidR="00377757">
        <w:t xml:space="preserve">jsoucno. </w:t>
      </w:r>
      <w:r w:rsidR="0083089E">
        <w:t xml:space="preserve">Nové </w:t>
      </w:r>
      <w:r w:rsidR="0083089E" w:rsidRPr="0083089E">
        <w:rPr>
          <w:i/>
        </w:rPr>
        <w:t>tertium ens</w:t>
      </w:r>
      <w:r w:rsidR="0083089E">
        <w:t xml:space="preserve"> </w:t>
      </w:r>
      <w:r w:rsidR="00377757">
        <w:t xml:space="preserve">se </w:t>
      </w:r>
      <w:r w:rsidR="082E73D7">
        <w:t>defin</w:t>
      </w:r>
      <w:r w:rsidR="00377757">
        <w:t>uje vzhledem k matematickému souboru (</w:t>
      </w:r>
      <w:r w:rsidR="00377757" w:rsidRPr="00377757">
        <w:rPr>
          <w:i/>
        </w:rPr>
        <w:t>collectio</w:t>
      </w:r>
      <w:r w:rsidR="00D511A1">
        <w:rPr>
          <w:i/>
        </w:rPr>
        <w:fldChar w:fldCharType="begin"/>
      </w:r>
      <w:r w:rsidR="00D511A1">
        <w:instrText xml:space="preserve"> XE "</w:instrText>
      </w:r>
      <w:r w:rsidR="00D511A1" w:rsidRPr="004D3DAB">
        <w:rPr>
          <w:i/>
        </w:rPr>
        <w:instrText>collectio</w:instrText>
      </w:r>
      <w:r w:rsidR="00D511A1">
        <w:instrText xml:space="preserve">" </w:instrText>
      </w:r>
      <w:r w:rsidR="00D511A1">
        <w:rPr>
          <w:i/>
        </w:rPr>
        <w:fldChar w:fldCharType="end"/>
      </w:r>
      <w:r w:rsidR="00377757">
        <w:t xml:space="preserve">), který vytváří formální soubor </w:t>
      </w:r>
      <w:r w:rsidR="088C7360">
        <w:t>logických vztahů a operací</w:t>
      </w:r>
      <w:r w:rsidR="004A050B">
        <w:t xml:space="preserve">. </w:t>
      </w:r>
      <w:r w:rsidR="006D51D9">
        <w:t xml:space="preserve">Soubor </w:t>
      </w:r>
      <w:r w:rsidR="006D51D9">
        <w:lastRenderedPageBreak/>
        <w:t xml:space="preserve">funkcí vytváří nominální matrici </w:t>
      </w:r>
      <w:r w:rsidR="006D51D9">
        <w:rPr>
          <w:szCs w:val="24"/>
          <w:lang w:val="de-DE"/>
        </w:rPr>
        <w:t>(</w:t>
      </w:r>
      <w:r w:rsidR="006D51D9">
        <w:rPr>
          <w:i/>
          <w:szCs w:val="24"/>
          <w:lang w:val="de-DE"/>
        </w:rPr>
        <w:t>essentia</w:t>
      </w:r>
      <w:r w:rsidR="006D51D9">
        <w:rPr>
          <w:szCs w:val="24"/>
          <w:lang w:val="de-DE"/>
        </w:rPr>
        <w:t>) a nositele (</w:t>
      </w:r>
      <w:r w:rsidR="006D51D9">
        <w:rPr>
          <w:i/>
          <w:szCs w:val="24"/>
          <w:lang w:val="de-DE"/>
        </w:rPr>
        <w:t>subiectum</w:t>
      </w:r>
      <w:r w:rsidR="006D51D9">
        <w:rPr>
          <w:szCs w:val="24"/>
          <w:lang w:val="de-DE"/>
        </w:rPr>
        <w:t xml:space="preserve">) všech logických vztahů a operací. </w:t>
      </w:r>
      <w:r w:rsidR="087366DB">
        <w:t xml:space="preserve">V </w:t>
      </w:r>
      <w:r w:rsidR="004A050B">
        <w:t>matematicky založen</w:t>
      </w:r>
      <w:r w:rsidR="087366DB">
        <w:t xml:space="preserve">é postmoderně </w:t>
      </w:r>
      <w:r w:rsidR="004A050B">
        <w:t xml:space="preserve">musela reálná první substance </w:t>
      </w:r>
      <w:r w:rsidR="087366DB">
        <w:t xml:space="preserve">infinitezimálně </w:t>
      </w:r>
      <w:r w:rsidR="004A050B">
        <w:t>zmizet</w:t>
      </w:r>
      <w:r w:rsidR="087366DB">
        <w:t xml:space="preserve">, protože </w:t>
      </w:r>
      <w:r w:rsidR="004A050B">
        <w:t xml:space="preserve">místo </w:t>
      </w:r>
      <w:r w:rsidR="087366DB">
        <w:t xml:space="preserve">porretánského </w:t>
      </w:r>
      <w:r w:rsidR="004A050B">
        <w:t xml:space="preserve">individua dosadila </w:t>
      </w:r>
      <w:r w:rsidR="087366DB">
        <w:t xml:space="preserve">matematika v modu </w:t>
      </w:r>
      <w:r w:rsidR="087366DB">
        <w:rPr>
          <w:i/>
        </w:rPr>
        <w:t>disc</w:t>
      </w:r>
      <w:r w:rsidR="087366DB" w:rsidRPr="087366DB">
        <w:rPr>
          <w:i/>
        </w:rPr>
        <w:t>rete videamus</w:t>
      </w:r>
      <w:r w:rsidR="087366DB">
        <w:t xml:space="preserve"> </w:t>
      </w:r>
      <w:r w:rsidR="004A050B">
        <w:t>pouze formálně definovanou nicotu</w:t>
      </w:r>
      <w:r w:rsidR="087366DB">
        <w:t xml:space="preserve"> bodu jako čistého nejsoucna</w:t>
      </w:r>
      <w:r w:rsidR="004A050B">
        <w:t xml:space="preserve">. </w:t>
      </w:r>
      <w:r w:rsidR="08CA0CCC">
        <w:t xml:space="preserve">Diferenciální počet dosadí </w:t>
      </w:r>
      <w:r w:rsidR="004A050B">
        <w:t>místo individua do formální</w:t>
      </w:r>
      <w:r w:rsidR="080F1E83">
        <w:t>ho dělení</w:t>
      </w:r>
      <w:r w:rsidR="08CA0CCC">
        <w:t xml:space="preserve"> nekonečně malý rozdíl mezi </w:t>
      </w:r>
      <w:r w:rsidR="004A050B" w:rsidRPr="002D0713">
        <w:rPr>
          <w:i/>
        </w:rPr>
        <w:t>magis</w:t>
      </w:r>
      <w:r w:rsidR="08CA0CCC">
        <w:t xml:space="preserve"> a </w:t>
      </w:r>
      <w:r w:rsidR="004A050B" w:rsidRPr="002D0713">
        <w:rPr>
          <w:i/>
        </w:rPr>
        <w:t>minus</w:t>
      </w:r>
      <w:r w:rsidR="004A050B">
        <w:t xml:space="preserve">. Leibniz na základě nihilisticky určené diference vytvoří specifickou derivaci (tj. odvození tohoto </w:t>
      </w:r>
      <w:r w:rsidR="081B1770">
        <w:t xml:space="preserve">nekonečně malého </w:t>
      </w:r>
      <w:r w:rsidR="004A050B">
        <w:t xml:space="preserve">dělení) danou pouze formálně, tedy vzhledem ke kladnému nebo zápornému průběhu libovolně určené funkce. </w:t>
      </w:r>
      <w:r w:rsidR="081B1770">
        <w:t xml:space="preserve">Buď je </w:t>
      </w:r>
      <w:r w:rsidR="00A237A2">
        <w:t>„</w:t>
      </w:r>
      <w:r w:rsidR="081B1770">
        <w:t>něčeh</w:t>
      </w:r>
      <w:r w:rsidR="08550B60">
        <w:t>o</w:t>
      </w:r>
      <w:r w:rsidR="00A237A2">
        <w:t xml:space="preserve">“ </w:t>
      </w:r>
      <w:r w:rsidR="00A237A2">
        <w:rPr>
          <w:szCs w:val="24"/>
          <w:lang w:val="de-DE"/>
        </w:rPr>
        <w:t>(</w:t>
      </w:r>
      <w:r w:rsidR="00A237A2" w:rsidRPr="00A41091">
        <w:rPr>
          <w:i/>
          <w:szCs w:val="24"/>
          <w:lang w:val="de-DE"/>
        </w:rPr>
        <w:t>tertium ens</w:t>
      </w:r>
      <w:r w:rsidR="00A237A2">
        <w:rPr>
          <w:szCs w:val="24"/>
          <w:lang w:val="de-DE"/>
        </w:rPr>
        <w:t xml:space="preserve">) </w:t>
      </w:r>
      <w:r w:rsidR="08550B60">
        <w:t>více nebo méně</w:t>
      </w:r>
      <w:r w:rsidR="00A237A2">
        <w:t xml:space="preserve">. V libovolném </w:t>
      </w:r>
      <w:r w:rsidR="08550B60">
        <w:t>mom</w:t>
      </w:r>
      <w:r w:rsidR="081B1770">
        <w:t>entu dojde k</w:t>
      </w:r>
      <w:r w:rsidR="00070117">
        <w:t xml:space="preserve"> takto dané </w:t>
      </w:r>
      <w:r w:rsidR="081B1770">
        <w:t>diferenciaci matematického významu daného určitou funkcí</w:t>
      </w:r>
      <w:r w:rsidR="081E0555">
        <w:t xml:space="preserve"> a její proměnnou</w:t>
      </w:r>
      <w:r w:rsidR="081B1770">
        <w:t xml:space="preserve">. </w:t>
      </w:r>
      <w:r w:rsidR="004A050B">
        <w:t>Toto dělení v rámci derivace odpovídá porretánskému třídění ukončenému specifickou nemožností dalšího dělení.</w:t>
      </w:r>
      <w:r w:rsidR="00A07ACA">
        <w:t xml:space="preserve"> Skládání hypostázovaných kvalit do příslušného individua </w:t>
      </w:r>
      <w:r w:rsidR="08A13143">
        <w:t xml:space="preserve">v modu porretánské kolekty </w:t>
      </w:r>
      <w:r w:rsidR="00741F8A">
        <w:t xml:space="preserve">zopakuje </w:t>
      </w:r>
      <w:r w:rsidR="005C7D8A">
        <w:t xml:space="preserve">v matematice </w:t>
      </w:r>
      <w:r w:rsidR="00741F8A">
        <w:t>integrální počet</w:t>
      </w:r>
      <w:r w:rsidR="008A16E0">
        <w:t>. N</w:t>
      </w:r>
      <w:r w:rsidR="00741F8A">
        <w:t xml:space="preserve">ekonečně malý rozdíl </w:t>
      </w:r>
      <w:r w:rsidR="007E6F4A">
        <w:t xml:space="preserve">daný </w:t>
      </w:r>
      <w:r w:rsidR="00E96929">
        <w:t xml:space="preserve">výše uvedenou </w:t>
      </w:r>
      <w:r w:rsidR="007E6F4A">
        <w:t xml:space="preserve">derivací </w:t>
      </w:r>
      <w:r w:rsidR="008A16E0">
        <w:t xml:space="preserve">se </w:t>
      </w:r>
      <w:r w:rsidR="00634567">
        <w:t xml:space="preserve">nyní </w:t>
      </w:r>
      <w:r w:rsidR="0019734B">
        <w:t xml:space="preserve">skládá </w:t>
      </w:r>
      <w:r w:rsidR="00733482">
        <w:t xml:space="preserve">do </w:t>
      </w:r>
      <w:r w:rsidR="008A16E0">
        <w:t xml:space="preserve">formálního </w:t>
      </w:r>
      <w:r w:rsidR="00733482">
        <w:t>celku</w:t>
      </w:r>
      <w:r w:rsidR="006447A8">
        <w:t>, který je</w:t>
      </w:r>
      <w:r w:rsidR="00B24C36">
        <w:t xml:space="preserve"> dan</w:t>
      </w:r>
      <w:r w:rsidR="006447A8">
        <w:t>ý</w:t>
      </w:r>
      <w:r w:rsidR="00B24C36">
        <w:t xml:space="preserve"> v </w:t>
      </w:r>
      <w:r w:rsidR="08D11F28">
        <w:t>modu Gilbertovy substance jako něčeho určeného</w:t>
      </w:r>
      <w:r w:rsidR="00B24C36">
        <w:t xml:space="preserve"> (</w:t>
      </w:r>
      <w:r w:rsidR="00B24C36" w:rsidRPr="00273106">
        <w:rPr>
          <w:i/>
        </w:rPr>
        <w:t>subsistentia non esse sed esse aliquid</w:t>
      </w:r>
      <w:r w:rsidR="00B24C36">
        <w:t>)</w:t>
      </w:r>
      <w:r w:rsidR="006A317C">
        <w:t xml:space="preserve">. </w:t>
      </w:r>
      <w:r w:rsidR="00B24C36">
        <w:t xml:space="preserve">Tím přešla původní první substance v </w:t>
      </w:r>
      <w:r w:rsidR="0015096F">
        <w:t xml:space="preserve">Porfyriově a Boethiově </w:t>
      </w:r>
      <w:r w:rsidR="00B24C36">
        <w:t xml:space="preserve">modu </w:t>
      </w:r>
      <w:r w:rsidR="00B24C36" w:rsidRPr="00B24C36">
        <w:rPr>
          <w:i/>
        </w:rPr>
        <w:t>totum integrum</w:t>
      </w:r>
      <w:r w:rsidR="00634567">
        <w:t xml:space="preserve"> do matematických operací </w:t>
      </w:r>
      <w:r w:rsidR="00B24C36">
        <w:t xml:space="preserve">jako integrální počet. </w:t>
      </w:r>
      <w:r w:rsidR="006A317C">
        <w:t>D</w:t>
      </w:r>
      <w:r w:rsidR="00E96929">
        <w:t xml:space="preserve">olní a horní mez </w:t>
      </w:r>
      <w:r w:rsidR="08AF1A87">
        <w:t xml:space="preserve">určitého </w:t>
      </w:r>
      <w:r w:rsidR="006A317C">
        <w:t xml:space="preserve">integrálu pak </w:t>
      </w:r>
      <w:r w:rsidR="00E96929">
        <w:t>definuje dané matematické individuum</w:t>
      </w:r>
      <w:r w:rsidR="008444E3">
        <w:t xml:space="preserve"> dané součtem </w:t>
      </w:r>
      <w:r w:rsidR="00F85CB9">
        <w:t xml:space="preserve">formálních </w:t>
      </w:r>
      <w:r w:rsidR="008444E3">
        <w:t>diferencí</w:t>
      </w:r>
      <w:r w:rsidR="00741F8A">
        <w:t xml:space="preserve">. </w:t>
      </w:r>
      <w:r w:rsidR="00506B9A">
        <w:t>Matemat</w:t>
      </w:r>
      <w:r w:rsidR="00634567">
        <w:t>ická diference je odvozená od ne</w:t>
      </w:r>
      <w:r w:rsidR="00506B9A">
        <w:t>konečného dělení</w:t>
      </w:r>
      <w:r w:rsidR="00634567">
        <w:t xml:space="preserve"> jako derivace </w:t>
      </w:r>
      <w:r w:rsidR="00506B9A">
        <w:t xml:space="preserve">a </w:t>
      </w:r>
      <w:r w:rsidR="00634567">
        <w:t xml:space="preserve">nekonečné kolekty jako </w:t>
      </w:r>
      <w:r w:rsidR="00506B9A">
        <w:t>integrace</w:t>
      </w:r>
      <w:r w:rsidR="00634567">
        <w:t xml:space="preserve">. Oba postupy </w:t>
      </w:r>
      <w:r w:rsidR="00506B9A">
        <w:t>vychází z hypostázovaného a diskrétního vidění reality v rámci logické abstrakce</w:t>
      </w:r>
      <w:r w:rsidR="083418B3">
        <w:t xml:space="preserve"> v modu </w:t>
      </w:r>
      <w:r w:rsidR="083418B3" w:rsidRPr="083418B3">
        <w:rPr>
          <w:i/>
        </w:rPr>
        <w:t>magis</w:t>
      </w:r>
      <w:r w:rsidR="083418B3">
        <w:t xml:space="preserve"> a </w:t>
      </w:r>
      <w:r w:rsidR="083418B3" w:rsidRPr="083418B3">
        <w:rPr>
          <w:i/>
        </w:rPr>
        <w:t>minus</w:t>
      </w:r>
      <w:r w:rsidR="00506B9A">
        <w:t xml:space="preserve">. </w:t>
      </w:r>
      <w:r w:rsidR="08D62B06">
        <w:t>Tím se původní disk</w:t>
      </w:r>
      <w:r w:rsidR="08FE2C08">
        <w:t xml:space="preserve">rétní vidění světa dané ve škole </w:t>
      </w:r>
      <w:r w:rsidR="08FE2C08" w:rsidRPr="08FE2C08">
        <w:rPr>
          <w:i/>
        </w:rPr>
        <w:t>Nominales</w:t>
      </w:r>
      <w:r w:rsidR="08FE2C08">
        <w:t xml:space="preserve"> stalo postmoderním matematickým faktem. </w:t>
      </w:r>
      <w:r w:rsidR="00D90B37">
        <w:t xml:space="preserve">Autor </w:t>
      </w:r>
      <w:r w:rsidR="00D90B37" w:rsidRPr="00D90B37">
        <w:rPr>
          <w:i/>
        </w:rPr>
        <w:t>Traktátu</w:t>
      </w:r>
      <w:r w:rsidR="00D90B37">
        <w:t xml:space="preserve"> </w:t>
      </w:r>
      <w:r w:rsidR="00EC3722">
        <w:t xml:space="preserve">vskutku </w:t>
      </w:r>
      <w:r w:rsidR="00D90B37">
        <w:t xml:space="preserve">diskrétně zahajuje moderní </w:t>
      </w:r>
      <w:r w:rsidR="00D90B37" w:rsidRPr="00D90B37">
        <w:rPr>
          <w:i/>
        </w:rPr>
        <w:t>revolutio</w:t>
      </w:r>
      <w:r w:rsidR="084349C5">
        <w:t xml:space="preserve">, neboli epochální návrat </w:t>
      </w:r>
      <w:r w:rsidR="00892FE7">
        <w:t xml:space="preserve">k </w:t>
      </w:r>
      <w:r w:rsidR="084349C5">
        <w:t>neoplatonskému</w:t>
      </w:r>
      <w:r w:rsidR="085A12C5">
        <w:t xml:space="preserve"> </w:t>
      </w:r>
      <w:r w:rsidR="084349C5">
        <w:t>zatmění</w:t>
      </w:r>
      <w:r w:rsidR="00D90B37">
        <w:t xml:space="preserve"> první substance. </w:t>
      </w:r>
      <w:r w:rsidR="00776B75" w:rsidRPr="00273106">
        <w:rPr>
          <w:rStyle w:val="Zkladntext15dkovn0pt"/>
          <w:rFonts w:ascii="Calibri" w:eastAsia="Times" w:hAnsi="Calibri" w:cs="Times New Roman"/>
          <w:b w:val="0"/>
          <w:bCs w:val="0"/>
          <w:color w:val="auto"/>
          <w:sz w:val="24"/>
          <w:lang w:val="cs-CZ"/>
        </w:rPr>
        <w:t xml:space="preserve">Nový význam hypostázované existence vázané na poslední člen dělení rozšířil původní </w:t>
      </w:r>
      <w:r w:rsidR="008E12A1" w:rsidRPr="00273106">
        <w:rPr>
          <w:lang w:eastAsia="en-US"/>
        </w:rPr>
        <w:t>dvojí význam substance</w:t>
      </w:r>
      <w:r w:rsidR="00776B75" w:rsidRPr="00273106">
        <w:rPr>
          <w:lang w:eastAsia="en-US"/>
        </w:rPr>
        <w:t xml:space="preserve"> daný pouze v</w:t>
      </w:r>
      <w:r w:rsidR="009862DA">
        <w:rPr>
          <w:lang w:eastAsia="en-US"/>
        </w:rPr>
        <w:t>e</w:t>
      </w:r>
      <w:r w:rsidR="00776B75" w:rsidRPr="00273106">
        <w:rPr>
          <w:lang w:eastAsia="en-US"/>
        </w:rPr>
        <w:t xml:space="preserve"> dvou registrech, tj. </w:t>
      </w:r>
      <w:r w:rsidR="008E12A1" w:rsidRPr="00273106">
        <w:rPr>
          <w:lang w:eastAsia="en-US"/>
        </w:rPr>
        <w:t>vzhledem k substanci (</w:t>
      </w:r>
      <w:r w:rsidR="008E12A1" w:rsidRPr="00273106">
        <w:rPr>
          <w:i/>
        </w:rPr>
        <w:t>significatio substantialis</w:t>
      </w:r>
      <w:r w:rsidR="007A3BB7">
        <w:rPr>
          <w:i/>
        </w:rPr>
        <w:fldChar w:fldCharType="begin"/>
      </w:r>
      <w:r w:rsidR="007A3BB7">
        <w:instrText xml:space="preserve"> XE "</w:instrText>
      </w:r>
      <w:r w:rsidR="00DD1509">
        <w:instrText>signifikace:</w:instrText>
      </w:r>
      <w:r w:rsidR="007A3BB7" w:rsidRPr="002A6560">
        <w:rPr>
          <w:i/>
        </w:rPr>
        <w:instrText>significatio substantialis</w:instrText>
      </w:r>
      <w:r w:rsidR="007A3BB7">
        <w:instrText xml:space="preserve">" </w:instrText>
      </w:r>
      <w:r w:rsidR="007A3BB7">
        <w:rPr>
          <w:i/>
        </w:rPr>
        <w:fldChar w:fldCharType="end"/>
      </w:r>
      <w:r w:rsidR="008E12A1" w:rsidRPr="00273106">
        <w:rPr>
          <w:lang w:eastAsia="en-US"/>
        </w:rPr>
        <w:t>)</w:t>
      </w:r>
      <w:r w:rsidR="00776B75" w:rsidRPr="00273106">
        <w:rPr>
          <w:lang w:eastAsia="en-US"/>
        </w:rPr>
        <w:t xml:space="preserve"> a </w:t>
      </w:r>
      <w:r w:rsidR="008E12A1" w:rsidRPr="00273106">
        <w:rPr>
          <w:lang w:eastAsia="en-US"/>
        </w:rPr>
        <w:t>vzhledem k případku (</w:t>
      </w:r>
      <w:r w:rsidR="008E12A1" w:rsidRPr="00273106">
        <w:rPr>
          <w:i/>
        </w:rPr>
        <w:t>significatio accidentalis</w:t>
      </w:r>
      <w:r w:rsidR="008E12A1" w:rsidRPr="00273106">
        <w:rPr>
          <w:lang w:eastAsia="en-US"/>
        </w:rPr>
        <w:t xml:space="preserve">). </w:t>
      </w:r>
      <w:r w:rsidR="00657736" w:rsidRPr="00273106">
        <w:rPr>
          <w:lang w:eastAsia="en-US"/>
        </w:rPr>
        <w:t xml:space="preserve">Signifikace predikovaná směrem ke druhé substanci se stala v porretánské škole hypostázovaným jsoucnem, které dovádí akt </w:t>
      </w:r>
      <w:r w:rsidR="009862DA">
        <w:rPr>
          <w:lang w:eastAsia="en-US"/>
        </w:rPr>
        <w:t xml:space="preserve">kategoriální predikace </w:t>
      </w:r>
      <w:r w:rsidR="00657736" w:rsidRPr="00273106">
        <w:t>až na úroveň individua</w:t>
      </w:r>
      <w:r w:rsidR="00657736" w:rsidRPr="00273106">
        <w:rPr>
          <w:lang w:eastAsia="en-US"/>
        </w:rPr>
        <w:t xml:space="preserve">. </w:t>
      </w:r>
      <w:r w:rsidR="00127421" w:rsidRPr="00273106">
        <w:rPr>
          <w:lang w:eastAsia="en-US"/>
        </w:rPr>
        <w:t xml:space="preserve">Tuto nově pojatou jsoucnost predikovali první modernisté ve formě </w:t>
      </w:r>
      <w:r w:rsidR="001666F1" w:rsidRPr="00273106">
        <w:rPr>
          <w:lang w:eastAsia="en-US"/>
        </w:rPr>
        <w:t>kategoriální</w:t>
      </w:r>
      <w:r w:rsidR="00127421" w:rsidRPr="00273106">
        <w:rPr>
          <w:lang w:eastAsia="en-US"/>
        </w:rPr>
        <w:t>ho</w:t>
      </w:r>
      <w:r w:rsidR="001666F1" w:rsidRPr="00273106">
        <w:rPr>
          <w:lang w:eastAsia="en-US"/>
        </w:rPr>
        <w:t xml:space="preserve"> význam</w:t>
      </w:r>
      <w:r w:rsidR="00127421" w:rsidRPr="00273106">
        <w:rPr>
          <w:lang w:eastAsia="en-US"/>
        </w:rPr>
        <w:t>u</w:t>
      </w:r>
      <w:r w:rsidR="001666F1" w:rsidRPr="00273106">
        <w:rPr>
          <w:lang w:eastAsia="en-US"/>
        </w:rPr>
        <w:t xml:space="preserve"> druhé sub</w:t>
      </w:r>
      <w:r w:rsidR="00127421" w:rsidRPr="00273106">
        <w:rPr>
          <w:lang w:eastAsia="en-US"/>
        </w:rPr>
        <w:t>stance</w:t>
      </w:r>
      <w:r w:rsidR="001666F1" w:rsidRPr="00273106">
        <w:rPr>
          <w:lang w:eastAsia="en-US"/>
        </w:rPr>
        <w:t xml:space="preserve"> </w:t>
      </w:r>
      <w:r w:rsidR="00127421" w:rsidRPr="00273106">
        <w:rPr>
          <w:lang w:eastAsia="en-US"/>
        </w:rPr>
        <w:t xml:space="preserve">k </w:t>
      </w:r>
      <w:r w:rsidR="00145F1D" w:rsidRPr="00273106">
        <w:rPr>
          <w:lang w:eastAsia="en-US"/>
        </w:rPr>
        <w:t>libovolně</w:t>
      </w:r>
      <w:r w:rsidR="001666F1" w:rsidRPr="00273106">
        <w:rPr>
          <w:lang w:eastAsia="en-US"/>
        </w:rPr>
        <w:t xml:space="preserve"> </w:t>
      </w:r>
      <w:r w:rsidR="00127421" w:rsidRPr="00273106">
        <w:rPr>
          <w:lang w:eastAsia="en-US"/>
        </w:rPr>
        <w:t xml:space="preserve">určené </w:t>
      </w:r>
      <w:r w:rsidR="001666F1" w:rsidRPr="00273106">
        <w:rPr>
          <w:lang w:eastAsia="en-US"/>
        </w:rPr>
        <w:t>sbírce akcidentů</w:t>
      </w:r>
      <w:r w:rsidR="00E4531F">
        <w:rPr>
          <w:lang w:eastAsia="en-US"/>
        </w:rPr>
        <w:t>. Jedná se o derivaci</w:t>
      </w:r>
      <w:r w:rsidR="00E4531F" w:rsidRPr="008E2BF3">
        <w:rPr>
          <w:szCs w:val="24"/>
        </w:rPr>
        <w:fldChar w:fldCharType="begin"/>
      </w:r>
      <w:r w:rsidR="00E4531F" w:rsidRPr="008E2BF3">
        <w:rPr>
          <w:szCs w:val="24"/>
        </w:rPr>
        <w:instrText xml:space="preserve"> XE "</w:instrText>
      </w:r>
      <w:r w:rsidR="00E4531F">
        <w:rPr>
          <w:szCs w:val="24"/>
        </w:rPr>
        <w:instrText>d</w:instrText>
      </w:r>
      <w:r w:rsidR="00E4531F" w:rsidRPr="008E2BF3">
        <w:rPr>
          <w:szCs w:val="24"/>
        </w:rPr>
        <w:instrText>eriva</w:instrText>
      </w:r>
      <w:r w:rsidR="00E4531F">
        <w:rPr>
          <w:szCs w:val="24"/>
        </w:rPr>
        <w:instrText>ce</w:instrText>
      </w:r>
      <w:r w:rsidR="00E4531F" w:rsidRPr="008E2BF3">
        <w:rPr>
          <w:szCs w:val="24"/>
        </w:rPr>
        <w:instrText xml:space="preserve">" </w:instrText>
      </w:r>
      <w:r w:rsidR="00E4531F" w:rsidRPr="008E2BF3">
        <w:rPr>
          <w:szCs w:val="24"/>
        </w:rPr>
        <w:fldChar w:fldCharType="end"/>
      </w:r>
      <w:r w:rsidR="00E4531F">
        <w:rPr>
          <w:lang w:eastAsia="en-US"/>
        </w:rPr>
        <w:t xml:space="preserve"> jako neoplatonskou</w:t>
      </w:r>
      <w:r w:rsidR="00E4531F">
        <w:rPr>
          <w:szCs w:val="24"/>
        </w:rPr>
        <w:t xml:space="preserve"> „</w:t>
      </w:r>
      <w:r w:rsidR="00E4531F">
        <w:t>διαίρεσις“</w:t>
      </w:r>
      <w:r w:rsidR="00FE11EA">
        <w:t>, kdy</w:t>
      </w:r>
      <w:r w:rsidR="00E4531F">
        <w:t xml:space="preserve"> se přijde k poslednímu formálnímu určení na úrovni </w:t>
      </w:r>
      <w:r w:rsidR="004B4D52" w:rsidRPr="004B4D52">
        <w:t>species</w:t>
      </w:r>
      <w:r w:rsidR="00E4531F" w:rsidRPr="008F533D">
        <w:rPr>
          <w:i/>
        </w:rPr>
        <w:t xml:space="preserve"> specialissima</w:t>
      </w:r>
      <w:r w:rsidR="00E4531F">
        <w:t>. Nebo jde o integraci</w:t>
      </w:r>
      <w:r w:rsidR="00E4531F" w:rsidRPr="008E2BF3">
        <w:rPr>
          <w:szCs w:val="24"/>
        </w:rPr>
        <w:fldChar w:fldCharType="begin"/>
      </w:r>
      <w:r w:rsidR="00E4531F">
        <w:rPr>
          <w:szCs w:val="24"/>
        </w:rPr>
        <w:instrText xml:space="preserve"> XE </w:instrText>
      </w:r>
      <w:r w:rsidR="00E4531F">
        <w:rPr>
          <w:szCs w:val="24"/>
        </w:rPr>
        <w:lastRenderedPageBreak/>
        <w:instrText>"integrace</w:instrText>
      </w:r>
      <w:r w:rsidR="00E4531F" w:rsidRPr="008E2BF3">
        <w:rPr>
          <w:szCs w:val="24"/>
        </w:rPr>
        <w:instrText xml:space="preserve">" </w:instrText>
      </w:r>
      <w:r w:rsidR="00E4531F" w:rsidRPr="008E2BF3">
        <w:rPr>
          <w:szCs w:val="24"/>
        </w:rPr>
        <w:fldChar w:fldCharType="end"/>
      </w:r>
      <w:r w:rsidR="00E4531F">
        <w:t xml:space="preserve"> jako nominalistickou kolektu </w:t>
      </w:r>
      <w:r w:rsidR="00E4531F">
        <w:rPr>
          <w:szCs w:val="24"/>
          <w:lang w:val="de-DE"/>
        </w:rPr>
        <w:t>(či avicennistickou komitaci) hypostází, kte</w:t>
      </w:r>
      <w:r w:rsidR="008F533D">
        <w:rPr>
          <w:szCs w:val="24"/>
          <w:lang w:val="de-DE"/>
        </w:rPr>
        <w:t xml:space="preserve">rá </w:t>
      </w:r>
      <w:r w:rsidR="00E4531F">
        <w:rPr>
          <w:szCs w:val="24"/>
          <w:lang w:val="de-DE"/>
        </w:rPr>
        <w:t xml:space="preserve">pak tvoří </w:t>
      </w:r>
      <w:r w:rsidR="008F533D">
        <w:rPr>
          <w:szCs w:val="24"/>
          <w:lang w:val="de-DE"/>
        </w:rPr>
        <w:t>moderní individuum</w:t>
      </w:r>
      <w:r w:rsidR="00FE11EA">
        <w:rPr>
          <w:szCs w:val="24"/>
          <w:lang w:val="de-DE"/>
        </w:rPr>
        <w:t xml:space="preserve">. </w:t>
      </w:r>
      <w:r w:rsidR="00657736" w:rsidRPr="00273106">
        <w:rPr>
          <w:rStyle w:val="Zkladntext15dkovn0pt"/>
          <w:rFonts w:ascii="Calibri" w:eastAsia="Times" w:hAnsi="Calibri" w:cs="Times New Roman"/>
          <w:b w:val="0"/>
          <w:bCs w:val="0"/>
          <w:color w:val="auto"/>
          <w:sz w:val="24"/>
          <w:lang w:val="cs-CZ"/>
        </w:rPr>
        <w:t xml:space="preserve">Škola </w:t>
      </w:r>
      <w:r w:rsidR="00657736" w:rsidRPr="00273106">
        <w:rPr>
          <w:rStyle w:val="Zkladntext15dkovn0pt"/>
          <w:rFonts w:ascii="Calibri" w:eastAsia="Times" w:hAnsi="Calibri" w:cs="Times New Roman"/>
          <w:b w:val="0"/>
          <w:bCs w:val="0"/>
          <w:i/>
          <w:color w:val="auto"/>
          <w:sz w:val="24"/>
          <w:lang w:val="cs-CZ"/>
        </w:rPr>
        <w:t>Nominales</w:t>
      </w:r>
      <w:r w:rsidR="00657736" w:rsidRPr="00273106">
        <w:rPr>
          <w:rStyle w:val="Zkladntext15dkovn0pt"/>
          <w:rFonts w:ascii="Calibri" w:eastAsia="Times" w:hAnsi="Calibri" w:cs="Times New Roman"/>
          <w:b w:val="0"/>
          <w:bCs w:val="0"/>
          <w:color w:val="auto"/>
          <w:sz w:val="24"/>
          <w:lang w:val="cs-CZ"/>
        </w:rPr>
        <w:t xml:space="preserve"> </w:t>
      </w:r>
      <w:r w:rsidR="000477DA">
        <w:rPr>
          <w:rStyle w:val="Zkladntext15dkovn0pt"/>
          <w:rFonts w:ascii="Calibri" w:eastAsia="Times" w:hAnsi="Calibri" w:cs="Times New Roman"/>
          <w:b w:val="0"/>
          <w:bCs w:val="0"/>
          <w:color w:val="auto"/>
          <w:sz w:val="24"/>
          <w:lang w:val="cs-CZ"/>
        </w:rPr>
        <w:t>napojená na nový typ univoční logiky (</w:t>
      </w:r>
      <w:r w:rsidR="000477DA" w:rsidRPr="000477DA">
        <w:rPr>
          <w:rStyle w:val="Zkladntext15dkovn0pt"/>
          <w:rFonts w:ascii="Calibri" w:eastAsia="Times" w:hAnsi="Calibri" w:cs="Times New Roman"/>
          <w:b w:val="0"/>
          <w:bCs w:val="0"/>
          <w:i/>
          <w:color w:val="auto"/>
          <w:sz w:val="24"/>
          <w:lang w:val="cs-CZ"/>
        </w:rPr>
        <w:t>logica Modernorum</w:t>
      </w:r>
      <w:r w:rsidR="082F0EAD">
        <w:rPr>
          <w:rStyle w:val="Zkladntext15dkovn0pt"/>
          <w:rFonts w:ascii="Calibri" w:eastAsia="Times" w:hAnsi="Calibri" w:cs="Times New Roman"/>
          <w:b w:val="0"/>
          <w:bCs w:val="0"/>
          <w:i/>
          <w:color w:val="auto"/>
          <w:sz w:val="24"/>
          <w:lang w:val="cs-CZ"/>
        </w:rPr>
        <w:fldChar w:fldCharType="begin"/>
      </w:r>
      <w:r w:rsidR="082F0EAD">
        <w:instrText xml:space="preserve"> XE "</w:instrText>
      </w:r>
      <w:r w:rsidR="082F0EAD" w:rsidRPr="08F76CE4">
        <w:rPr>
          <w:rStyle w:val="Zkladntext15dkovn0pt"/>
          <w:rFonts w:ascii="Calibri" w:eastAsia="Times" w:hAnsi="Calibri" w:cs="Times New Roman"/>
          <w:b w:val="0"/>
          <w:bCs w:val="0"/>
          <w:i/>
          <w:color w:val="auto"/>
          <w:sz w:val="24"/>
          <w:lang w:val="cs-CZ"/>
        </w:rPr>
        <w:instrText>logica Modernorum</w:instrText>
      </w:r>
      <w:r w:rsidR="082F0EAD">
        <w:instrText xml:space="preserve">" </w:instrText>
      </w:r>
      <w:r w:rsidR="082F0EAD">
        <w:rPr>
          <w:rStyle w:val="Zkladntext15dkovn0pt"/>
          <w:rFonts w:ascii="Calibri" w:eastAsia="Times" w:hAnsi="Calibri" w:cs="Times New Roman"/>
          <w:b w:val="0"/>
          <w:bCs w:val="0"/>
          <w:i/>
          <w:color w:val="auto"/>
          <w:sz w:val="24"/>
          <w:lang w:val="cs-CZ"/>
        </w:rPr>
        <w:fldChar w:fldCharType="end"/>
      </w:r>
      <w:r w:rsidR="000477DA">
        <w:rPr>
          <w:rStyle w:val="Zkladntext15dkovn0pt"/>
          <w:rFonts w:ascii="Calibri" w:eastAsia="Times" w:hAnsi="Calibri" w:cs="Times New Roman"/>
          <w:b w:val="0"/>
          <w:bCs w:val="0"/>
          <w:color w:val="auto"/>
          <w:sz w:val="24"/>
          <w:lang w:val="cs-CZ"/>
        </w:rPr>
        <w:t xml:space="preserve">) </w:t>
      </w:r>
      <w:r w:rsidR="00E71AF1">
        <w:rPr>
          <w:rStyle w:val="Zkladntext15dkovn0pt"/>
          <w:rFonts w:ascii="Calibri" w:eastAsia="Times" w:hAnsi="Calibri" w:cs="Times New Roman"/>
          <w:b w:val="0"/>
          <w:bCs w:val="0"/>
          <w:color w:val="auto"/>
          <w:sz w:val="24"/>
          <w:lang w:val="cs-CZ"/>
        </w:rPr>
        <w:t xml:space="preserve">tím </w:t>
      </w:r>
      <w:r w:rsidR="00657736" w:rsidRPr="00273106">
        <w:rPr>
          <w:rStyle w:val="Zkladntext15dkovn0pt"/>
          <w:rFonts w:ascii="Calibri" w:eastAsia="Times" w:hAnsi="Calibri" w:cs="Times New Roman"/>
          <w:b w:val="0"/>
          <w:bCs w:val="0"/>
          <w:color w:val="auto"/>
          <w:sz w:val="24"/>
          <w:lang w:val="cs-CZ"/>
        </w:rPr>
        <w:t>popřela klasický aristotelismus</w:t>
      </w:r>
      <w:r w:rsidR="000477DA">
        <w:rPr>
          <w:rStyle w:val="Zkladntext15dkovn0pt"/>
          <w:rFonts w:ascii="Calibri" w:eastAsia="Times" w:hAnsi="Calibri" w:cs="Times New Roman"/>
          <w:b w:val="0"/>
          <w:bCs w:val="0"/>
          <w:color w:val="auto"/>
          <w:sz w:val="24"/>
          <w:lang w:val="cs-CZ"/>
        </w:rPr>
        <w:t xml:space="preserve">, což neušlo žádnému </w:t>
      </w:r>
      <w:r w:rsidR="000454EF">
        <w:rPr>
          <w:rStyle w:val="Zkladntext15dkovn0pt"/>
          <w:rFonts w:ascii="Calibri" w:eastAsia="Times" w:hAnsi="Calibri" w:cs="Times New Roman"/>
          <w:b w:val="0"/>
          <w:bCs w:val="0"/>
          <w:color w:val="auto"/>
          <w:sz w:val="24"/>
          <w:lang w:val="cs-CZ"/>
        </w:rPr>
        <w:t xml:space="preserve">solidně </w:t>
      </w:r>
      <w:r w:rsidR="000477DA">
        <w:rPr>
          <w:rStyle w:val="Zkladntext15dkovn0pt"/>
          <w:rFonts w:ascii="Calibri" w:eastAsia="Times" w:hAnsi="Calibri" w:cs="Times New Roman"/>
          <w:b w:val="0"/>
          <w:bCs w:val="0"/>
          <w:color w:val="auto"/>
          <w:sz w:val="24"/>
          <w:lang w:val="cs-CZ"/>
        </w:rPr>
        <w:t>vzdělanému příslušníku Abelardovy filosofické školy</w:t>
      </w:r>
      <w:r w:rsidR="00657736">
        <w:rPr>
          <w:rStyle w:val="Zkladntext15dkovn0pt"/>
          <w:rFonts w:ascii="Calibri" w:eastAsia="Times" w:hAnsi="Calibri" w:cs="Times New Roman"/>
          <w:b w:val="0"/>
          <w:bCs w:val="0"/>
          <w:color w:val="auto"/>
          <w:sz w:val="24"/>
          <w:lang w:val="cs-CZ"/>
        </w:rPr>
        <w:t xml:space="preserve">. </w:t>
      </w:r>
      <w:r w:rsidR="08D62B06">
        <w:t xml:space="preserve">A matematika nahradila v modu epochálního </w:t>
      </w:r>
      <w:r w:rsidR="08D62B06" w:rsidRPr="08FE2C08">
        <w:rPr>
          <w:i/>
        </w:rPr>
        <w:t>Irrtum</w:t>
      </w:r>
      <w:r w:rsidR="08D62B06">
        <w:t xml:space="preserve"> metafyziku </w:t>
      </w:r>
      <w:r w:rsidR="08D62B06" w:rsidRPr="08FE2C08">
        <w:rPr>
          <w:i/>
        </w:rPr>
        <w:t>Modernorum</w:t>
      </w:r>
      <w:r w:rsidR="0051242C">
        <w:t xml:space="preserve">. Ta </w:t>
      </w:r>
      <w:r w:rsidR="08D62B06">
        <w:t>se stala v postmoderně úplně zbytečnou</w:t>
      </w:r>
      <w:r w:rsidR="0051242C">
        <w:t>, protože porretánská logika</w:t>
      </w:r>
      <w:r w:rsidR="08D62B06">
        <w:t xml:space="preserve"> </w:t>
      </w:r>
      <w:r w:rsidR="0051242C">
        <w:t xml:space="preserve">byla ještě jednou redukována </w:t>
      </w:r>
      <w:r w:rsidR="00F5035C">
        <w:t xml:space="preserve">a formalizována, tentokrát </w:t>
      </w:r>
      <w:r w:rsidR="0051242C">
        <w:t xml:space="preserve">na </w:t>
      </w:r>
      <w:r w:rsidR="08D62B06">
        <w:t>infinitezimální</w:t>
      </w:r>
      <w:r w:rsidR="08D24715">
        <w:t xml:space="preserve"> kalkul</w:t>
      </w:r>
      <w:r w:rsidR="007E336D">
        <w:t>.</w:t>
      </w:r>
    </w:p>
    <w:p w14:paraId="0B040AA7" w14:textId="5EDF8F80" w:rsidR="08572F64" w:rsidRPr="006C45BB" w:rsidRDefault="009C569A" w:rsidP="000B56A0">
      <w:pPr>
        <w:ind w:firstLine="397"/>
      </w:pPr>
      <w:r w:rsidRPr="00273106">
        <w:t xml:space="preserve">Nyní je jasné, odkud </w:t>
      </w:r>
      <w:r w:rsidRPr="00273106">
        <w:rPr>
          <w:i/>
        </w:rPr>
        <w:t>Nominales</w:t>
      </w:r>
      <w:r w:rsidRPr="00273106">
        <w:t xml:space="preserve"> dostali své p</w:t>
      </w:r>
      <w:r w:rsidR="082446FC">
        <w:t>ejorativní pojmenování. Jejich diskrétní vidění</w:t>
      </w:r>
      <w:r w:rsidRPr="00273106">
        <w:t xml:space="preserve"> </w:t>
      </w:r>
      <w:r w:rsidR="082446FC" w:rsidRPr="00273106">
        <w:t xml:space="preserve">světa </w:t>
      </w:r>
      <w:r w:rsidRPr="00273106">
        <w:t>(</w:t>
      </w:r>
      <w:r w:rsidRPr="00273106">
        <w:rPr>
          <w:i/>
        </w:rPr>
        <w:t>discrete videamus</w:t>
      </w:r>
      <w:r w:rsidRPr="00273106">
        <w:t xml:space="preserve">) pomocí </w:t>
      </w:r>
      <w:r w:rsidR="00AD1079">
        <w:t xml:space="preserve">matematické </w:t>
      </w:r>
      <w:r w:rsidRPr="00273106">
        <w:t>analogi</w:t>
      </w:r>
      <w:r w:rsidR="00102E8C">
        <w:t>e nemá nic společného s původní</w:t>
      </w:r>
      <w:r w:rsidRPr="00273106">
        <w:t xml:space="preserve"> </w:t>
      </w:r>
      <w:r w:rsidR="08E31384">
        <w:t>Porfyriov</w:t>
      </w:r>
      <w:r w:rsidR="00102E8C">
        <w:t xml:space="preserve">ou </w:t>
      </w:r>
      <w:r w:rsidR="08E31384">
        <w:t xml:space="preserve">a </w:t>
      </w:r>
      <w:r w:rsidRPr="00273106">
        <w:t>Abelardo</w:t>
      </w:r>
      <w:r w:rsidR="00102E8C">
        <w:t xml:space="preserve">vou predikací určenou generickou odlišností </w:t>
      </w:r>
      <w:r w:rsidRPr="00273106">
        <w:t>nedělit</w:t>
      </w:r>
      <w:r w:rsidR="006E020A">
        <w:t xml:space="preserve">elné první a druhé substance. A navíc toto pojetí </w:t>
      </w:r>
      <w:r w:rsidRPr="00273106">
        <w:t xml:space="preserve">zcela změnilo </w:t>
      </w:r>
      <w:r w:rsidR="006E020A">
        <w:t xml:space="preserve">původní predikaci </w:t>
      </w:r>
      <w:r w:rsidRPr="00273106">
        <w:t xml:space="preserve">univerzálií v rámci </w:t>
      </w:r>
      <w:r w:rsidR="00BB45B1">
        <w:t>Porfyri</w:t>
      </w:r>
      <w:r w:rsidRPr="00273106">
        <w:t xml:space="preserve">ova stromu. Nedělitelnost je u Abelarda a stoupenců Boethia chápaná ve dvou odlišných registrech smyslu jsoucího. </w:t>
      </w:r>
      <w:r w:rsidR="00AD1079">
        <w:t xml:space="preserve">Impozice </w:t>
      </w:r>
      <w:r w:rsidRPr="00273106">
        <w:t xml:space="preserve">je dána vzhledem k první substanci </w:t>
      </w:r>
      <w:r w:rsidR="08DB6B22">
        <w:t xml:space="preserve">hyparchicky </w:t>
      </w:r>
      <w:r w:rsidR="00590325">
        <w:t xml:space="preserve">bytující </w:t>
      </w:r>
      <w:r w:rsidRPr="00273106">
        <w:t>aktu své jedinečné a nedělitelné existence (</w:t>
      </w:r>
      <w:r w:rsidRPr="00273106">
        <w:rPr>
          <w:i/>
        </w:rPr>
        <w:t>simpliciter</w:t>
      </w:r>
      <w:r w:rsidRPr="00273106">
        <w:t>) v hylemorfické formě (</w:t>
      </w:r>
      <w:r w:rsidRPr="00273106">
        <w:rPr>
          <w:i/>
        </w:rPr>
        <w:t>compositio</w:t>
      </w:r>
      <w:r w:rsidRPr="00273106">
        <w:t xml:space="preserve">). </w:t>
      </w:r>
      <w:r w:rsidR="08CC2930">
        <w:t xml:space="preserve">Tuto nedělitelnost významu </w:t>
      </w:r>
      <w:r w:rsidR="08CC2930" w:rsidRPr="00273106">
        <w:t>určuje výroková forma v rámci univocity dané v deduktivním soudu zakládajícím vědecké poznání světa (</w:t>
      </w:r>
      <w:r w:rsidR="08CC2930" w:rsidRPr="08411127">
        <w:rPr>
          <w:i/>
        </w:rPr>
        <w:t>demonstratio</w:t>
      </w:r>
      <w:r w:rsidR="08CC2930">
        <w:rPr>
          <w:i/>
        </w:rPr>
        <w:fldChar w:fldCharType="begin"/>
      </w:r>
      <w:r w:rsidR="08CC2930">
        <w:instrText xml:space="preserve"> XE "</w:instrText>
      </w:r>
      <w:r w:rsidR="08CC2930" w:rsidRPr="0038128E">
        <w:rPr>
          <w:i/>
        </w:rPr>
        <w:instrText>enuntiatio:</w:instrText>
      </w:r>
      <w:r w:rsidR="08CC2930" w:rsidRPr="0038128E">
        <w:instrText>Abelard</w:instrText>
      </w:r>
      <w:r w:rsidR="08CC2930">
        <w:instrText xml:space="preserve">" </w:instrText>
      </w:r>
      <w:r w:rsidR="08CC2930">
        <w:rPr>
          <w:i/>
        </w:rPr>
        <w:fldChar w:fldCharType="end"/>
      </w:r>
      <w:r w:rsidR="08CC2930" w:rsidRPr="00273106">
        <w:t xml:space="preserve">). </w:t>
      </w:r>
      <w:r w:rsidR="08DB6B22">
        <w:t>N</w:t>
      </w:r>
      <w:r w:rsidRPr="00273106">
        <w:t xml:space="preserve">edělitelnost </w:t>
      </w:r>
      <w:r w:rsidR="00590325">
        <w:t>v rám</w:t>
      </w:r>
      <w:r w:rsidR="008662A7">
        <w:t xml:space="preserve">ci </w:t>
      </w:r>
      <w:r w:rsidR="00590325">
        <w:t xml:space="preserve">myšlené a predikované </w:t>
      </w:r>
      <w:r w:rsidR="008662A7">
        <w:t xml:space="preserve">univerzality </w:t>
      </w:r>
      <w:r w:rsidRPr="00273106">
        <w:t xml:space="preserve">je dána </w:t>
      </w:r>
      <w:r w:rsidR="00AD1079">
        <w:t xml:space="preserve">supozicí </w:t>
      </w:r>
      <w:r w:rsidR="08DB6B22">
        <w:t xml:space="preserve">významu daného ve </w:t>
      </w:r>
      <w:r w:rsidRPr="00273106">
        <w:t>druhé substanci</w:t>
      </w:r>
      <w:r w:rsidR="003D5E72">
        <w:t>.</w:t>
      </w:r>
      <w:r w:rsidR="000B56A0">
        <w:t xml:space="preserve"> </w:t>
      </w:r>
      <w:r w:rsidRPr="00273106">
        <w:t xml:space="preserve">Nominalistický </w:t>
      </w:r>
      <w:r w:rsidR="003D5E72">
        <w:t>subjekt vznikl</w:t>
      </w:r>
      <w:r w:rsidRPr="00273106">
        <w:t xml:space="preserve"> poslední</w:t>
      </w:r>
      <w:r w:rsidR="000046F8">
        <w:t xml:space="preserve">m dělením </w:t>
      </w:r>
      <w:r w:rsidR="00B1298A" w:rsidRPr="009E2910">
        <w:t>species</w:t>
      </w:r>
      <w:r w:rsidR="000046F8">
        <w:t xml:space="preserve"> a následným součtem n</w:t>
      </w:r>
      <w:r w:rsidRPr="00273106">
        <w:t>eměnných vlastností k tomuto nedělitelnému základu (</w:t>
      </w:r>
      <w:r w:rsidRPr="00273106">
        <w:rPr>
          <w:i/>
        </w:rPr>
        <w:t>subiectum</w:t>
      </w:r>
      <w:r w:rsidR="004C27BA">
        <w:rPr>
          <w:i/>
        </w:rPr>
        <w:fldChar w:fldCharType="begin"/>
      </w:r>
      <w:r w:rsidR="004C27BA">
        <w:instrText xml:space="preserve"> XE "</w:instrText>
      </w:r>
      <w:r w:rsidR="004C27BA" w:rsidRPr="00360013">
        <w:rPr>
          <w:i/>
        </w:rPr>
        <w:instrText>subiectum:</w:instrText>
      </w:r>
      <w:r w:rsidR="004C27BA" w:rsidRPr="00360013">
        <w:instrText>třetího druhu</w:instrText>
      </w:r>
      <w:r w:rsidR="004C27BA">
        <w:instrText xml:space="preserve">" </w:instrText>
      </w:r>
      <w:r w:rsidR="004C27BA">
        <w:rPr>
          <w:i/>
        </w:rPr>
        <w:fldChar w:fldCharType="end"/>
      </w:r>
      <w:r w:rsidRPr="00273106">
        <w:t>)</w:t>
      </w:r>
      <w:r w:rsidR="003D5E72">
        <w:t xml:space="preserve">. Tento postup založil </w:t>
      </w:r>
      <w:r w:rsidRPr="00273106">
        <w:t>zásadně odlišný význam individua</w:t>
      </w:r>
      <w:r w:rsidR="009E2910">
        <w:t>, než měla klasická metafyzika</w:t>
      </w:r>
      <w:r w:rsidRPr="00273106">
        <w:t xml:space="preserve">. </w:t>
      </w:r>
      <w:r w:rsidR="08411127">
        <w:t>Podle Abelarda</w:t>
      </w:r>
      <w:r w:rsidR="086A73C3">
        <w:t xml:space="preserve"> představuje porretánské individuum </w:t>
      </w:r>
      <w:r w:rsidR="009E2910">
        <w:t>čistě nominalis</w:t>
      </w:r>
      <w:r w:rsidR="006E7C0E">
        <w:t xml:space="preserve">tickou definici </w:t>
      </w:r>
      <w:r w:rsidR="009E2910">
        <w:t>(</w:t>
      </w:r>
      <w:r w:rsidR="009E2910" w:rsidRPr="08411127">
        <w:rPr>
          <w:i/>
        </w:rPr>
        <w:t>opinabile</w:t>
      </w:r>
      <w:r w:rsidR="009E2910">
        <w:rPr>
          <w:i/>
        </w:rPr>
        <w:fldChar w:fldCharType="begin"/>
      </w:r>
      <w:r w:rsidR="009E2910">
        <w:instrText xml:space="preserve"> XE "</w:instrText>
      </w:r>
      <w:r w:rsidR="009E2910" w:rsidRPr="08AD0845">
        <w:rPr>
          <w:i/>
        </w:rPr>
        <w:instrText>opinabile</w:instrText>
      </w:r>
      <w:r w:rsidR="009E2910">
        <w:instrText xml:space="preserve">" </w:instrText>
      </w:r>
      <w:r w:rsidR="009E2910">
        <w:rPr>
          <w:i/>
        </w:rPr>
        <w:fldChar w:fldCharType="end"/>
      </w:r>
      <w:r w:rsidR="009E2910">
        <w:t>)</w:t>
      </w:r>
      <w:r w:rsidR="00FA68CA">
        <w:t>,</w:t>
      </w:r>
      <w:r w:rsidR="009E2910">
        <w:t xml:space="preserve"> jako je slovo „chiméra“</w:t>
      </w:r>
      <w:r w:rsidR="08411127">
        <w:t xml:space="preserve">. </w:t>
      </w:r>
      <w:r w:rsidR="00C87F2B">
        <w:t>Kategoriální j</w:t>
      </w:r>
      <w:r w:rsidRPr="00273106">
        <w:t>soucno dostalo smysl v rámci nového způsobu dělení na základě rodově postulované subsistence</w:t>
      </w:r>
      <w:r w:rsidR="00015564">
        <w:fldChar w:fldCharType="begin"/>
      </w:r>
      <w:r w:rsidR="00015564">
        <w:instrText xml:space="preserve"> XE "</w:instrText>
      </w:r>
      <w:r w:rsidR="00015564" w:rsidRPr="001D1E42">
        <w:instrText>subsistence</w:instrText>
      </w:r>
      <w:r w:rsidR="006D4E61">
        <w:instrText>:porretáni</w:instrText>
      </w:r>
      <w:r w:rsidR="00015564">
        <w:instrText xml:space="preserve">" </w:instrText>
      </w:r>
      <w:r w:rsidR="00015564">
        <w:fldChar w:fldCharType="end"/>
      </w:r>
      <w:r w:rsidRPr="00273106">
        <w:t xml:space="preserve"> jako posledního substrátu čehokoliv </w:t>
      </w:r>
      <w:r w:rsidR="08DB213B">
        <w:t xml:space="preserve">individuálně </w:t>
      </w:r>
      <w:r w:rsidRPr="00273106">
        <w:t>jsoucího</w:t>
      </w:r>
      <w:r w:rsidR="00DC3645">
        <w:t xml:space="preserve"> (</w:t>
      </w:r>
      <w:r w:rsidR="00DC3645" w:rsidRPr="00DC3645">
        <w:rPr>
          <w:i/>
        </w:rPr>
        <w:t>aliquid esse</w:t>
      </w:r>
      <w:r w:rsidR="00DC3645">
        <w:t>)</w:t>
      </w:r>
      <w:r w:rsidRPr="00273106">
        <w:t xml:space="preserve">. </w:t>
      </w:r>
      <w:r w:rsidR="009C16BA">
        <w:t>Impozice kategoriálního významu jde pouze z mysli a supozice</w:t>
      </w:r>
      <w:r w:rsidR="00541CB2">
        <w:fldChar w:fldCharType="begin"/>
      </w:r>
      <w:r w:rsidR="00541CB2">
        <w:instrText xml:space="preserve"> XE "supozice:nominální" </w:instrText>
      </w:r>
      <w:r w:rsidR="00541CB2">
        <w:fldChar w:fldCharType="end"/>
      </w:r>
      <w:r w:rsidR="009C16BA">
        <w:t xml:space="preserve"> </w:t>
      </w:r>
      <w:r w:rsidR="00A529BE">
        <w:t xml:space="preserve">univočně </w:t>
      </w:r>
      <w:r w:rsidR="009C16BA">
        <w:t>zahrnuje jakoukoliv univerzálii</w:t>
      </w:r>
      <w:r w:rsidR="08DB213B">
        <w:t xml:space="preserve"> danou nominálně</w:t>
      </w:r>
      <w:r w:rsidR="00C14542">
        <w:t xml:space="preserve">. </w:t>
      </w:r>
      <w:r w:rsidR="00D93B7F">
        <w:t xml:space="preserve">Tím se úplně smazal rozdíl mezi impozicí významu z reality a supozicí tohoto </w:t>
      </w:r>
      <w:r w:rsidR="00636078">
        <w:t xml:space="preserve">významu daného v mysli. Nový </w:t>
      </w:r>
      <w:r w:rsidR="00636078" w:rsidRPr="00636078">
        <w:t xml:space="preserve">význam je dán pouze </w:t>
      </w:r>
      <w:r w:rsidR="00636078">
        <w:t xml:space="preserve">ekvivočně </w:t>
      </w:r>
      <w:r w:rsidR="00636078" w:rsidRPr="00636078">
        <w:t>v logickém pojmu (</w:t>
      </w:r>
      <w:r w:rsidR="00636078" w:rsidRPr="00636078">
        <w:rPr>
          <w:i/>
        </w:rPr>
        <w:t>supponit pro</w:t>
      </w:r>
      <w:r w:rsidR="00636078" w:rsidRPr="00636078">
        <w:t xml:space="preserve">). Supozice je dána </w:t>
      </w:r>
      <w:r w:rsidR="00636078" w:rsidRPr="00636078">
        <w:rPr>
          <w:i/>
        </w:rPr>
        <w:t>univoce</w:t>
      </w:r>
      <w:r w:rsidR="00636078" w:rsidRPr="00636078">
        <w:t xml:space="preserve"> pouze v metafyzickém pojmu, který z tohoto základního důvodu zajišťuje pravdivou predikaci univerzality vzhledem k odpovídající skutečnosti. Moderní a klasická metafyzika se v zásadě liší v tom, v čem spočívá subjekt a kauzalita </w:t>
      </w:r>
      <w:r w:rsidR="00636078" w:rsidRPr="00636078">
        <w:lastRenderedPageBreak/>
        <w:t>pravdivé predikace. Oba typy metafyziky proto nemají stejné pojetí pravdy. Nominalistický subjekt vznikl konečným rozdělením druhu a následným součtem neměnných vlastností a určuje tomuto nedělitelnému základu (</w:t>
      </w:r>
      <w:r w:rsidR="00636078" w:rsidRPr="00636078">
        <w:rPr>
          <w:i/>
        </w:rPr>
        <w:t>subiectum</w:t>
      </w:r>
      <w:r w:rsidR="00636078" w:rsidRPr="00636078">
        <w:t xml:space="preserve">) pouze význam </w:t>
      </w:r>
      <w:r w:rsidR="00636078">
        <w:t>nejasného individua, a nikoliv univoční</w:t>
      </w:r>
      <w:r w:rsidR="00636078" w:rsidRPr="00636078">
        <w:t xml:space="preserve"> druhé substance. Podle Abelarda představuje individuum </w:t>
      </w:r>
      <w:r w:rsidR="00636078">
        <w:t xml:space="preserve">porretánů </w:t>
      </w:r>
      <w:r w:rsidR="00636078" w:rsidRPr="00636078">
        <w:t xml:space="preserve">pouze </w:t>
      </w:r>
      <w:r w:rsidR="00636078" w:rsidRPr="00636078">
        <w:rPr>
          <w:i/>
        </w:rPr>
        <w:t>opinabile</w:t>
      </w:r>
      <w:r w:rsidR="00636078">
        <w:t xml:space="preserve"> typu chiméry</w:t>
      </w:r>
      <w:r w:rsidR="00636078" w:rsidRPr="00636078">
        <w:t>. Bytí dostalo význam v rámci nového způsobu dělení na základě obecně postulované subsistence jako konečného substrátu každého individuálního jsoucna (</w:t>
      </w:r>
      <w:r w:rsidR="00636078" w:rsidRPr="00636078">
        <w:rPr>
          <w:i/>
        </w:rPr>
        <w:t>aliquid esse</w:t>
      </w:r>
      <w:r w:rsidR="00636078" w:rsidRPr="00636078">
        <w:t xml:space="preserve">). </w:t>
      </w:r>
      <w:r w:rsidR="00636078">
        <w:t xml:space="preserve">Impozice </w:t>
      </w:r>
      <w:r w:rsidR="00636078" w:rsidRPr="00636078">
        <w:t>kategoriálního významu vychází pouze z</w:t>
      </w:r>
      <w:r w:rsidR="00560494">
        <w:t> </w:t>
      </w:r>
      <w:r w:rsidR="00636078" w:rsidRPr="00636078">
        <w:t>myšlení</w:t>
      </w:r>
      <w:r w:rsidR="00560494">
        <w:t xml:space="preserve"> </w:t>
      </w:r>
      <w:r w:rsidR="00636078">
        <w:t xml:space="preserve">subjektu </w:t>
      </w:r>
      <w:r w:rsidR="00636078" w:rsidRPr="00636078">
        <w:t xml:space="preserve">a </w:t>
      </w:r>
      <w:r w:rsidR="00636078">
        <w:t xml:space="preserve">supozice </w:t>
      </w:r>
      <w:r w:rsidR="00636078" w:rsidRPr="00636078">
        <w:t xml:space="preserve">zahrnuje </w:t>
      </w:r>
      <w:r w:rsidR="00636078">
        <w:t>univočně ja</w:t>
      </w:r>
      <w:r w:rsidR="00636078" w:rsidRPr="00636078">
        <w:t>ko</w:t>
      </w:r>
      <w:r w:rsidR="00636078">
        <w:t xml:space="preserve">ukoliv </w:t>
      </w:r>
      <w:r w:rsidR="00636078" w:rsidRPr="00636078">
        <w:t>nomi</w:t>
      </w:r>
      <w:r w:rsidR="00636078">
        <w:t>nálně určenou univerzálii</w:t>
      </w:r>
      <w:r w:rsidR="00636078" w:rsidRPr="00636078">
        <w:t xml:space="preserve">. Tím </w:t>
      </w:r>
      <w:r w:rsidR="00636078">
        <w:t xml:space="preserve">zmizel </w:t>
      </w:r>
      <w:r w:rsidR="00636078" w:rsidRPr="00636078">
        <w:t xml:space="preserve">rozdíl mezi </w:t>
      </w:r>
      <w:r w:rsidR="00636078">
        <w:t xml:space="preserve">impozicí </w:t>
      </w:r>
      <w:r w:rsidR="00636078" w:rsidRPr="00636078">
        <w:t>významu ze skutečnosti a supozicí toho</w:t>
      </w:r>
      <w:r w:rsidR="00636078">
        <w:t xml:space="preserve">to významu daného v myšlení. To kriticky srovnává predikaci univerzálního významu vzhledem k </w:t>
      </w:r>
      <w:r w:rsidR="00636078" w:rsidRPr="00636078">
        <w:t>jedinečné skutečnosti.</w:t>
      </w:r>
      <w:r w:rsidR="00636078">
        <w:t xml:space="preserve"> </w:t>
      </w:r>
      <w:r w:rsidR="08CC2930">
        <w:t>B</w:t>
      </w:r>
      <w:r w:rsidR="08E649FF" w:rsidRPr="00273106">
        <w:t>ezprostřední</w:t>
      </w:r>
      <w:r w:rsidR="08E649FF">
        <w:t xml:space="preserve"> nazírání </w:t>
      </w:r>
      <w:r w:rsidR="08CC2930">
        <w:t xml:space="preserve">moderních iluminátů </w:t>
      </w:r>
      <w:r w:rsidR="08E649FF">
        <w:t>je dáno Augustinovým okem duše</w:t>
      </w:r>
      <w:r w:rsidR="08E649FF" w:rsidRPr="00273106">
        <w:t xml:space="preserve"> (</w:t>
      </w:r>
      <w:r w:rsidR="08E649FF" w:rsidRPr="00273106">
        <w:rPr>
          <w:i/>
        </w:rPr>
        <w:t>mens nostra, qui est oculus animae</w:t>
      </w:r>
      <w:r w:rsidR="08E649FF" w:rsidRPr="00273106">
        <w:t>) a je vyloženo autonomním významem daným mimo smysly (</w:t>
      </w:r>
      <w:r w:rsidR="08E649FF" w:rsidRPr="00273106">
        <w:rPr>
          <w:i/>
        </w:rPr>
        <w:t>verbum mentis</w:t>
      </w:r>
      <w:r w:rsidR="08E649FF">
        <w:rPr>
          <w:i/>
        </w:rPr>
        <w:fldChar w:fldCharType="begin"/>
      </w:r>
      <w:r w:rsidR="08E649FF">
        <w:instrText xml:space="preserve"> XE "</w:instrText>
      </w:r>
      <w:r w:rsidR="08E649FF" w:rsidRPr="00B80E84">
        <w:rPr>
          <w:i/>
        </w:rPr>
        <w:instrText>verbum mentis</w:instrText>
      </w:r>
      <w:r w:rsidR="08E649FF">
        <w:instrText xml:space="preserve">" </w:instrText>
      </w:r>
      <w:r w:rsidR="08E649FF">
        <w:rPr>
          <w:i/>
        </w:rPr>
        <w:fldChar w:fldCharType="end"/>
      </w:r>
      <w:r w:rsidR="08E649FF" w:rsidRPr="00273106">
        <w:t>).</w:t>
      </w:r>
      <w:r w:rsidR="08E649FF">
        <w:rPr>
          <w:rStyle w:val="Znakapoznpodarou"/>
        </w:rPr>
        <w:footnoteReference w:id="67"/>
      </w:r>
      <w:r w:rsidR="08E649FF">
        <w:t xml:space="preserve"> </w:t>
      </w:r>
      <w:r w:rsidR="083D0686">
        <w:rPr>
          <w:rStyle w:val="Zkladntext15dkovn0pt"/>
          <w:rFonts w:ascii="Calibri" w:eastAsia="Times" w:hAnsi="Calibri" w:cs="Times New Roman"/>
          <w:b w:val="0"/>
          <w:bCs w:val="0"/>
          <w:color w:val="auto"/>
          <w:sz w:val="24"/>
          <w:lang w:val="cs-CZ"/>
        </w:rPr>
        <w:t>U</w:t>
      </w:r>
      <w:r w:rsidR="083D0686" w:rsidRPr="00273106">
        <w:t xml:space="preserve">rčení </w:t>
      </w:r>
      <w:r w:rsidR="00560494">
        <w:t xml:space="preserve">kategoriálního </w:t>
      </w:r>
      <w:r w:rsidR="083D0686" w:rsidRPr="00273106">
        <w:t>jsoucna zásadně změnil</w:t>
      </w:r>
      <w:r w:rsidR="083D0686">
        <w:t xml:space="preserve">o výše uvedenou definici </w:t>
      </w:r>
      <w:r w:rsidR="083D0686" w:rsidRPr="004A050B">
        <w:rPr>
          <w:i/>
        </w:rPr>
        <w:t>Isagoge</w:t>
      </w:r>
      <w:r w:rsidR="083D0686" w:rsidRPr="00273106">
        <w:t xml:space="preserve"> určující </w:t>
      </w:r>
      <w:r w:rsidR="083D0686" w:rsidRPr="00273106">
        <w:rPr>
          <w:rStyle w:val="Zkladntext158dkovn0pt"/>
          <w:color w:val="auto"/>
          <w:spacing w:val="0"/>
          <w:sz w:val="24"/>
          <w:lang w:val="cs-CZ"/>
        </w:rPr>
        <w:t>ontologický rozdíl mezi první a druhou substancí</w:t>
      </w:r>
      <w:r w:rsidR="083D0686" w:rsidRPr="00273106">
        <w:t xml:space="preserve"> (kap. 3.1). Škola avicennovského augustinianismu navázala </w:t>
      </w:r>
      <w:r w:rsidR="083D0686">
        <w:t xml:space="preserve">diskrétní vidění světa </w:t>
      </w:r>
      <w:r w:rsidR="083D0686" w:rsidRPr="00273106">
        <w:t xml:space="preserve">na </w:t>
      </w:r>
      <w:r w:rsidR="083D0686">
        <w:t xml:space="preserve">diakosmos neoplatonských </w:t>
      </w:r>
      <w:r w:rsidR="083D0686" w:rsidRPr="00273106">
        <w:t xml:space="preserve">hypostází </w:t>
      </w:r>
      <w:r w:rsidR="08572F64">
        <w:t>daný mytopoetickým</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572F64">
        <w:t xml:space="preserve"> výkladem dialogu </w:t>
      </w:r>
      <w:r w:rsidR="08572F64" w:rsidRPr="08651E7D">
        <w:rPr>
          <w:i/>
        </w:rPr>
        <w:t>Timaios</w:t>
      </w:r>
      <w:r w:rsidR="08AD678F">
        <w:t>. Chytré Mú</w:t>
      </w:r>
      <w:r w:rsidR="08572F64">
        <w:t>zy</w:t>
      </w:r>
      <w:r w:rsidR="08AD678F">
        <w:fldChar w:fldCharType="begin"/>
      </w:r>
      <w:r w:rsidR="08AD678F">
        <w:instrText xml:space="preserve"> XE "</w:instrText>
      </w:r>
      <w:r w:rsidR="08AD678F" w:rsidRPr="089F0DCE">
        <w:instrText>Múzy</w:instrText>
      </w:r>
      <w:r w:rsidR="08AD678F">
        <w:instrText xml:space="preserve">" </w:instrText>
      </w:r>
      <w:r w:rsidR="08AD678F">
        <w:fldChar w:fldCharType="end"/>
      </w:r>
      <w:r w:rsidR="08572F64">
        <w:t xml:space="preserve"> se naučily matematiku a dovedly modernu skrze tento ději</w:t>
      </w:r>
      <w:r w:rsidR="08AE2B1D">
        <w:t>n</w:t>
      </w:r>
      <w:r w:rsidR="08572F64">
        <w:t xml:space="preserve">ný omyl vědění předělaného na diskrétní infinitezimální vidění do nihilistické fáze myšlení Západu. </w:t>
      </w:r>
      <w:r w:rsidR="08651E7D">
        <w:t>V matematicky dané slepotě první substance vzniklo tragické oidipovské bloudění západního myšlení, jemuž se věnuje závěrečný epilog.</w:t>
      </w:r>
    </w:p>
    <w:p w14:paraId="4FDF5000" w14:textId="6EB9D810" w:rsidR="006328B7" w:rsidRDefault="083D0686" w:rsidP="08AD705E">
      <w:r>
        <w:tab/>
      </w:r>
      <w:r w:rsidR="00D93B7F">
        <w:t xml:space="preserve">Pojetí pravdy </w:t>
      </w:r>
      <w:r w:rsidR="002A0E64">
        <w:t xml:space="preserve">u porretánů a </w:t>
      </w:r>
      <w:r w:rsidR="002A0E64" w:rsidRPr="002A0E64">
        <w:rPr>
          <w:i/>
        </w:rPr>
        <w:t>Nominales</w:t>
      </w:r>
      <w:r w:rsidR="002A0E64">
        <w:t xml:space="preserve"> </w:t>
      </w:r>
      <w:r w:rsidR="00D93B7F">
        <w:t xml:space="preserve">přestalo mít adekvační charakter daný v </w:t>
      </w:r>
      <w:r w:rsidR="00D93B7F" w:rsidRPr="00D93B7F">
        <w:rPr>
          <w:i/>
        </w:rPr>
        <w:t>Organonu</w:t>
      </w:r>
      <w:r w:rsidR="00D93B7F">
        <w:t xml:space="preserve"> a dostalo moderní </w:t>
      </w:r>
      <w:r w:rsidR="00CB1A15">
        <w:t xml:space="preserve">povahu </w:t>
      </w:r>
      <w:r w:rsidR="00D93B7F">
        <w:t xml:space="preserve">jako správnosti a jistoty osvíceného </w:t>
      </w:r>
      <w:r w:rsidR="00E51F09">
        <w:t xml:space="preserve">subjektu. </w:t>
      </w:r>
      <w:r w:rsidR="00E51F09" w:rsidRPr="00273106">
        <w:t xml:space="preserve">Anonymní komentář ke </w:t>
      </w:r>
      <w:r w:rsidR="00E51F09" w:rsidRPr="00E51F09">
        <w:rPr>
          <w:i/>
        </w:rPr>
        <w:t>Kategoriím</w:t>
      </w:r>
      <w:r w:rsidR="00E51F09" w:rsidRPr="00273106">
        <w:t xml:space="preserve"> z porretánské školy (</w:t>
      </w:r>
      <w:r w:rsidR="00130EE5">
        <w:rPr>
          <w:i/>
        </w:rPr>
        <w:t>Compendium L</w:t>
      </w:r>
      <w:r w:rsidR="00E51F09" w:rsidRPr="00273106">
        <w:rPr>
          <w:i/>
        </w:rPr>
        <w:t>ogicae Porretanum</w:t>
      </w:r>
      <w:r w:rsidR="00E51F09">
        <w:t xml:space="preserve">) komentuje v letech </w:t>
      </w:r>
      <w:r w:rsidR="08EF6C3E">
        <w:t>1155–</w:t>
      </w:r>
      <w:r w:rsidR="08DB213B">
        <w:t xml:space="preserve">70 výrok </w:t>
      </w:r>
      <w:r w:rsidR="086E1DAF">
        <w:t>„</w:t>
      </w:r>
      <w:r w:rsidR="00E51F09" w:rsidRPr="00273106">
        <w:rPr>
          <w:i/>
        </w:rPr>
        <w:t>significans verum falsumve</w:t>
      </w:r>
      <w:r w:rsidR="086E1DAF">
        <w:t>“</w:t>
      </w:r>
      <w:r w:rsidR="00E51F09" w:rsidRPr="00E51F09">
        <w:t xml:space="preserve"> </w:t>
      </w:r>
      <w:r w:rsidR="00E51F09" w:rsidRPr="00273106">
        <w:t xml:space="preserve">(Ebbesen 2009, 90). </w:t>
      </w:r>
      <w:r w:rsidR="00541125">
        <w:t xml:space="preserve">Definice pravdy </w:t>
      </w:r>
      <w:r w:rsidR="00E51F09" w:rsidRPr="00273106">
        <w:t xml:space="preserve">odkazuje na model </w:t>
      </w:r>
      <w:r w:rsidR="08AD3C85">
        <w:t xml:space="preserve">avicennovské </w:t>
      </w:r>
      <w:r w:rsidR="00E51F09" w:rsidRPr="00273106">
        <w:t>komitace</w:t>
      </w:r>
      <w:r w:rsidR="00E51F09">
        <w:fldChar w:fldCharType="begin"/>
      </w:r>
      <w:r w:rsidR="00E51F09">
        <w:instrText xml:space="preserve"> XE "</w:instrText>
      </w:r>
      <w:r w:rsidR="00E51F09" w:rsidRPr="00467B7F">
        <w:instrText>komitace</w:instrText>
      </w:r>
      <w:r w:rsidR="00E51F09">
        <w:instrText xml:space="preserve">" </w:instrText>
      </w:r>
      <w:r w:rsidR="00E51F09">
        <w:fldChar w:fldCharType="end"/>
      </w:r>
      <w:r w:rsidR="08AD3C85">
        <w:t>. P</w:t>
      </w:r>
      <w:r w:rsidR="08EF6C3E">
        <w:t xml:space="preserve">ravdivost </w:t>
      </w:r>
      <w:r w:rsidR="08AD3C85">
        <w:t xml:space="preserve">kategoriální predikace prý </w:t>
      </w:r>
      <w:r w:rsidR="08EF6C3E">
        <w:t xml:space="preserve">zajišťuje pouhý fakt </w:t>
      </w:r>
      <w:r w:rsidR="08201A6A">
        <w:t>danosti v mysli (</w:t>
      </w:r>
      <w:r w:rsidR="00E51F09" w:rsidRPr="00273106">
        <w:rPr>
          <w:i/>
        </w:rPr>
        <w:t>that some composition is</w:t>
      </w:r>
      <w:r w:rsidR="08201A6A">
        <w:t>)</w:t>
      </w:r>
      <w:r w:rsidR="08EF6C3E">
        <w:t>. Fakt něčeho</w:t>
      </w:r>
      <w:r w:rsidR="005A2886">
        <w:t xml:space="preserve"> daného v</w:t>
      </w:r>
      <w:r w:rsidR="08ED039E">
        <w:t xml:space="preserve"> mysli </w:t>
      </w:r>
      <w:r w:rsidR="00E51F09" w:rsidRPr="00273106">
        <w:t xml:space="preserve">vytváří z prosté věty formální logický výrok vztažený k pravdě a nepravdě. </w:t>
      </w:r>
      <w:r w:rsidR="08ED039E">
        <w:t>Tím</w:t>
      </w:r>
      <w:r w:rsidR="00D270C6">
        <w:t xml:space="preserve"> došlo k destrukci aristotelských spisů </w:t>
      </w:r>
      <w:r w:rsidR="00D270C6">
        <w:rPr>
          <w:i/>
        </w:rPr>
        <w:t>Metafyzika</w:t>
      </w:r>
      <w:r w:rsidR="00D270C6">
        <w:t xml:space="preserve"> a </w:t>
      </w:r>
      <w:r w:rsidR="00D270C6">
        <w:rPr>
          <w:i/>
        </w:rPr>
        <w:t>Kategorie</w:t>
      </w:r>
      <w:r w:rsidR="08ED039E">
        <w:t xml:space="preserve">. </w:t>
      </w:r>
      <w:r w:rsidR="00E51F09" w:rsidRPr="00273106">
        <w:t>Kopula spojuje</w:t>
      </w:r>
      <w:r w:rsidR="08CB64D9">
        <w:t xml:space="preserve"> </w:t>
      </w:r>
      <w:r w:rsidR="00E51F09" w:rsidRPr="00273106">
        <w:t xml:space="preserve">význam individuální entity </w:t>
      </w:r>
      <w:r w:rsidR="08CB64D9">
        <w:t xml:space="preserve">jako subjekt </w:t>
      </w:r>
      <w:r w:rsidR="00E51F09" w:rsidRPr="00273106">
        <w:t xml:space="preserve">a </w:t>
      </w:r>
      <w:r w:rsidR="08CB64D9">
        <w:t xml:space="preserve">specifická </w:t>
      </w:r>
      <w:r w:rsidR="00E51F09" w:rsidRPr="00273106">
        <w:t xml:space="preserve">formální </w:t>
      </w:r>
      <w:r w:rsidR="00E51F09">
        <w:t xml:space="preserve">určení </w:t>
      </w:r>
      <w:r w:rsidR="08CB64D9">
        <w:t xml:space="preserve">jako predikát </w:t>
      </w:r>
      <w:r w:rsidR="08EF6C3E">
        <w:t>(</w:t>
      </w:r>
      <w:r w:rsidR="00E51F09" w:rsidRPr="00273106">
        <w:rPr>
          <w:i/>
        </w:rPr>
        <w:t xml:space="preserve">verum facit </w:t>
      </w:r>
      <w:r w:rsidR="00E51F09" w:rsidRPr="00273106">
        <w:rPr>
          <w:i/>
        </w:rPr>
        <w:lastRenderedPageBreak/>
        <w:t>in qualitate</w:t>
      </w:r>
      <w:r w:rsidR="00E51F09" w:rsidRPr="00273106">
        <w:t xml:space="preserve">). </w:t>
      </w:r>
      <w:r w:rsidR="08303A71">
        <w:t xml:space="preserve">Porretáni tvořili v mysli a </w:t>
      </w:r>
      <w:r w:rsidR="08303A71" w:rsidRPr="08303A71">
        <w:rPr>
          <w:i/>
        </w:rPr>
        <w:t>ex nihilo</w:t>
      </w:r>
      <w:r w:rsidR="08303A71">
        <w:rPr>
          <w:i/>
        </w:rPr>
        <w:fldChar w:fldCharType="begin"/>
      </w:r>
      <w:r w:rsidR="08303A71">
        <w:instrText xml:space="preserve"> XE "</w:instrText>
      </w:r>
      <w:r w:rsidR="08303A71" w:rsidRPr="08F8052B">
        <w:rPr>
          <w:i/>
        </w:rPr>
        <w:instrText>creatio ex nihilo</w:instrText>
      </w:r>
      <w:r w:rsidR="08303A71">
        <w:instrText xml:space="preserve">" </w:instrText>
      </w:r>
      <w:r w:rsidR="08303A71">
        <w:rPr>
          <w:i/>
        </w:rPr>
        <w:fldChar w:fldCharType="end"/>
      </w:r>
      <w:r w:rsidR="08303A71">
        <w:t xml:space="preserve"> nové jsoucno třetího druhu, které dostalo </w:t>
      </w:r>
      <w:r w:rsidR="000B0885">
        <w:t xml:space="preserve">statut </w:t>
      </w:r>
      <w:r w:rsidR="00DD273B">
        <w:t>„</w:t>
      </w:r>
      <w:r w:rsidR="08303A71">
        <w:t>hyparchické</w:t>
      </w:r>
      <w:r w:rsidR="00DD273B">
        <w:t>“</w:t>
      </w:r>
      <w:r w:rsidR="08303A71">
        <w:t xml:space="preserve"> </w:t>
      </w:r>
      <w:r w:rsidR="000B0885">
        <w:t xml:space="preserve">první substance a přičítají se jí </w:t>
      </w:r>
      <w:r w:rsidR="08303A71">
        <w:t xml:space="preserve">významy </w:t>
      </w:r>
      <w:r w:rsidR="007D3494">
        <w:t>aristotelské druhé substance</w:t>
      </w:r>
      <w:r w:rsidR="08303A71">
        <w:t xml:space="preserve">. </w:t>
      </w:r>
      <w:r w:rsidR="00E51F09" w:rsidRPr="00273106">
        <w:t xml:space="preserve">Až druhý význam pravdivosti odpovídá </w:t>
      </w:r>
      <w:r w:rsidR="08267795">
        <w:t xml:space="preserve">aristotelské </w:t>
      </w:r>
      <w:r w:rsidR="08EF6C3E">
        <w:t>adekvaci (</w:t>
      </w:r>
      <w:r w:rsidR="00E51F09" w:rsidRPr="00273106">
        <w:rPr>
          <w:i/>
        </w:rPr>
        <w:t>significat verum</w:t>
      </w:r>
      <w:r w:rsidR="00E51F09" w:rsidRPr="00273106">
        <w:t>), protože směřuje k afirmaci věci v reálu.</w:t>
      </w:r>
      <w:r w:rsidR="00E51F09">
        <w:t xml:space="preserve"> Predikace </w:t>
      </w:r>
      <w:r w:rsidR="08267795">
        <w:t xml:space="preserve">porretánů </w:t>
      </w:r>
      <w:r w:rsidR="00E51F09">
        <w:t xml:space="preserve">ukazuje, že realita dostala svého </w:t>
      </w:r>
      <w:r w:rsidR="08FF04DA">
        <w:t>logického a nominálního dvojníka, což změnilo pojetí pravdy. A</w:t>
      </w:r>
      <w:r w:rsidR="00E51F09">
        <w:t xml:space="preserve">dekvace </w:t>
      </w:r>
      <w:r w:rsidR="08FF04DA">
        <w:t xml:space="preserve">moderních logiků a matematiků nejde k </w:t>
      </w:r>
      <w:r w:rsidR="00E51F09">
        <w:t>hy</w:t>
      </w:r>
      <w:r w:rsidR="08D91897">
        <w:t>parchicky dané první substanci, ale k simulákru první substance vytvořené logickou abstrakcí. To byla pro aristoteliky čistá paranoia</w:t>
      </w:r>
      <w:r w:rsidR="08697C6F">
        <w:t xml:space="preserve"> myšlení</w:t>
      </w:r>
      <w:r w:rsidR="08D91897">
        <w:t xml:space="preserve">. </w:t>
      </w:r>
      <w:r w:rsidR="00E51F09" w:rsidRPr="00273106">
        <w:t xml:space="preserve">Proces specifického dělení a syntézy univerzálií odmítl </w:t>
      </w:r>
      <w:r w:rsidR="08D75860">
        <w:t xml:space="preserve">metafyzický statut Abelardova termínu </w:t>
      </w:r>
      <w:r w:rsidR="00E51F09" w:rsidRPr="00273106">
        <w:rPr>
          <w:i/>
        </w:rPr>
        <w:t>totum integrum</w:t>
      </w:r>
      <w:r w:rsidR="00E51F09">
        <w:rPr>
          <w:i/>
        </w:rPr>
        <w:fldChar w:fldCharType="begin"/>
      </w:r>
      <w:r w:rsidR="00E51F09">
        <w:instrText xml:space="preserve"> XE "</w:instrText>
      </w:r>
      <w:r w:rsidR="00E51F09" w:rsidRPr="00A61533">
        <w:rPr>
          <w:i/>
        </w:rPr>
        <w:instrText>totum integrum</w:instrText>
      </w:r>
      <w:r w:rsidR="00E51F09">
        <w:instrText xml:space="preserve">" </w:instrText>
      </w:r>
      <w:r w:rsidR="00E51F09">
        <w:rPr>
          <w:i/>
        </w:rPr>
        <w:fldChar w:fldCharType="end"/>
      </w:r>
      <w:r w:rsidR="00E67270">
        <w:t xml:space="preserve"> (kap. 1</w:t>
      </w:r>
      <w:r w:rsidR="00E51F09">
        <w:t>.3</w:t>
      </w:r>
      <w:r w:rsidR="00E51F09" w:rsidRPr="00273106">
        <w:t xml:space="preserve">). K doketické subsistenci moderního </w:t>
      </w:r>
      <w:r w:rsidR="00E51F09" w:rsidRPr="00273106">
        <w:rPr>
          <w:i/>
        </w:rPr>
        <w:t>tertium ens</w:t>
      </w:r>
      <w:r w:rsidR="00E51F09">
        <w:rPr>
          <w:i/>
        </w:rPr>
        <w:fldChar w:fldCharType="begin"/>
      </w:r>
      <w:r w:rsidR="00E51F09">
        <w:instrText xml:space="preserve"> XE "</w:instrText>
      </w:r>
      <w:r w:rsidR="00E51F09" w:rsidRPr="002F10B4">
        <w:rPr>
          <w:rStyle w:val="Zvraznn"/>
        </w:rPr>
        <w:instrText>tertium ens</w:instrText>
      </w:r>
      <w:r w:rsidR="00E51F09">
        <w:instrText xml:space="preserve">" </w:instrText>
      </w:r>
      <w:r w:rsidR="00E51F09">
        <w:rPr>
          <w:i/>
        </w:rPr>
        <w:fldChar w:fldCharType="end"/>
      </w:r>
      <w:r w:rsidR="00E51F09" w:rsidRPr="00273106">
        <w:t xml:space="preserve"> se začaly přičítat fundamentální hypostázované vlastnosti urč</w:t>
      </w:r>
      <w:r w:rsidR="08D75860">
        <w:t xml:space="preserve">ené matematickou úměrou v modu </w:t>
      </w:r>
      <w:r w:rsidR="00E51F09" w:rsidRPr="00273106">
        <w:rPr>
          <w:i/>
        </w:rPr>
        <w:t>magis</w:t>
      </w:r>
      <w:r w:rsidR="08D75860">
        <w:t xml:space="preserve"> a </w:t>
      </w:r>
      <w:r w:rsidR="00E51F09" w:rsidRPr="00273106">
        <w:rPr>
          <w:i/>
        </w:rPr>
        <w:t>minus</w:t>
      </w:r>
      <w:r w:rsidR="00E51F09" w:rsidRPr="00273106">
        <w:t>.</w:t>
      </w:r>
      <w:r w:rsidR="00B3019C">
        <w:t xml:space="preserve"> </w:t>
      </w:r>
      <w:r w:rsidR="002A0E64">
        <w:t xml:space="preserve">Nové pojetí pravdy zahrnuje i </w:t>
      </w:r>
      <w:r w:rsidR="009C16BA">
        <w:t xml:space="preserve">sofisticky </w:t>
      </w:r>
      <w:r w:rsidR="00C14542">
        <w:t xml:space="preserve">definovanou </w:t>
      </w:r>
      <w:r w:rsidR="009C16BA">
        <w:t>první substanci danou jako individuum</w:t>
      </w:r>
      <w:r w:rsidR="00C14542">
        <w:t>, v</w:t>
      </w:r>
      <w:r w:rsidR="009C569A" w:rsidRPr="00273106">
        <w:t>iz</w:t>
      </w:r>
      <w:r w:rsidR="00C14542">
        <w:t xml:space="preserve"> výše uvedený Gilbertův termín (</w:t>
      </w:r>
      <w:r w:rsidR="009C569A" w:rsidRPr="00273106">
        <w:rPr>
          <w:i/>
          <w:color w:val="000000"/>
        </w:rPr>
        <w:t>aliquid, id est subsistens</w:t>
      </w:r>
      <w:r w:rsidR="00C14542">
        <w:rPr>
          <w:color w:val="000000"/>
        </w:rPr>
        <w:t>)</w:t>
      </w:r>
      <w:r w:rsidR="009C569A" w:rsidRPr="00273106">
        <w:t xml:space="preserve">. Příslušníci školy </w:t>
      </w:r>
      <w:r w:rsidR="009C569A" w:rsidRPr="00273106">
        <w:rPr>
          <w:i/>
        </w:rPr>
        <w:t>Nominales</w:t>
      </w:r>
      <w:r w:rsidR="009C569A" w:rsidRPr="00273106">
        <w:t xml:space="preserve"> po vzoru Gilberta </w:t>
      </w:r>
      <w:r w:rsidR="002239AA">
        <w:t>de La Porrée</w:t>
      </w:r>
      <w:r w:rsidR="009C569A" w:rsidRPr="00273106">
        <w:t xml:space="preserve"> a jeho následovníků spojili oba významy individua jako </w:t>
      </w:r>
      <w:r w:rsidR="08F12041">
        <w:t xml:space="preserve">nedělitelné </w:t>
      </w:r>
      <w:r w:rsidR="009C569A" w:rsidRPr="00273106">
        <w:t xml:space="preserve">první a druhé substance </w:t>
      </w:r>
      <w:r w:rsidR="08F12041">
        <w:t xml:space="preserve">dané </w:t>
      </w:r>
      <w:r w:rsidR="08F12041" w:rsidRPr="08F12041">
        <w:rPr>
          <w:i/>
        </w:rPr>
        <w:t>simpliciter</w:t>
      </w:r>
      <w:r w:rsidR="08F12041">
        <w:t xml:space="preserve"> </w:t>
      </w:r>
      <w:r w:rsidR="009C569A" w:rsidRPr="00273106">
        <w:t xml:space="preserve">do univočního celku. Tím vytvořili predikaci </w:t>
      </w:r>
      <w:r w:rsidR="009C569A" w:rsidRPr="00273106">
        <w:rPr>
          <w:i/>
        </w:rPr>
        <w:t>per prius</w:t>
      </w:r>
      <w:r w:rsidR="009C569A" w:rsidRPr="00273106">
        <w:t xml:space="preserve"> pro</w:t>
      </w:r>
      <w:r w:rsidR="08F12041">
        <w:t xml:space="preserve"> univočně pojatou substanci či </w:t>
      </w:r>
      <w:r w:rsidR="009C569A" w:rsidRPr="00273106">
        <w:rPr>
          <w:i/>
        </w:rPr>
        <w:t>qualitas</w:t>
      </w:r>
      <w:r w:rsidR="009C569A" w:rsidRPr="00273106">
        <w:t xml:space="preserve"> danou jako jsoucno třetího druhu. Základním charak</w:t>
      </w:r>
      <w:r w:rsidR="08D42E89">
        <w:t>terem moderně pojaté kvality</w:t>
      </w:r>
      <w:r w:rsidR="009C569A" w:rsidRPr="00273106">
        <w:t xml:space="preserve"> je rozsažnost, protože </w:t>
      </w:r>
      <w:r w:rsidR="00946001" w:rsidRPr="00273106">
        <w:t xml:space="preserve">univerzálně a individuálně </w:t>
      </w:r>
      <w:r w:rsidR="009C569A" w:rsidRPr="00273106">
        <w:t>určuje Sokrata jako nedělitelné jsoucno. Citovaný Jan ze Salisbury</w:t>
      </w:r>
      <w:r w:rsidR="003F03EE">
        <w:fldChar w:fldCharType="begin"/>
      </w:r>
      <w:r w:rsidR="003F03EE">
        <w:instrText xml:space="preserve"> XE "</w:instrText>
      </w:r>
      <w:r w:rsidR="003F03EE" w:rsidRPr="00763295">
        <w:instrText>Jan ze Salisbury</w:instrText>
      </w:r>
      <w:r w:rsidR="003F03EE">
        <w:instrText xml:space="preserve">" </w:instrText>
      </w:r>
      <w:r w:rsidR="003F03EE">
        <w:fldChar w:fldCharType="end"/>
      </w:r>
      <w:r w:rsidR="009C569A" w:rsidRPr="00273106">
        <w:t xml:space="preserve"> k tomuto postupu poznamenal, že </w:t>
      </w:r>
      <w:r w:rsidR="00D52232">
        <w:t xml:space="preserve">podivuhodní </w:t>
      </w:r>
      <w:r w:rsidR="009C569A" w:rsidRPr="00273106">
        <w:rPr>
          <w:i/>
        </w:rPr>
        <w:t>Nominales</w:t>
      </w:r>
      <w:r w:rsidR="009C569A" w:rsidRPr="00273106">
        <w:t xml:space="preserve"> tvoří jednotlivinu mimo reálnou substanci, a pak toto jsoucno třetího druhu univočně připojí k reálné substanci (</w:t>
      </w:r>
      <w:r w:rsidR="009C569A" w:rsidRPr="00273106">
        <w:rPr>
          <w:i/>
        </w:rPr>
        <w:t>substantialia denuo colligunt</w:t>
      </w:r>
      <w:r w:rsidR="009C569A" w:rsidRPr="00273106">
        <w:t xml:space="preserve">). Rozsažnost dostala v spise </w:t>
      </w:r>
      <w:r w:rsidR="009C569A" w:rsidRPr="00273106">
        <w:rPr>
          <w:i/>
        </w:rPr>
        <w:t>Tractatus</w:t>
      </w:r>
      <w:r w:rsidR="009C569A" w:rsidRPr="00273106">
        <w:t xml:space="preserve"> </w:t>
      </w:r>
      <w:r w:rsidR="00874074">
        <w:t>neoplatonsk</w:t>
      </w:r>
      <w:r w:rsidR="009C569A" w:rsidRPr="00273106">
        <w:t xml:space="preserve">ý a avicennovský status jsoucna třetího druhu. </w:t>
      </w:r>
      <w:r w:rsidR="08D46A22">
        <w:t xml:space="preserve">Tím došlo </w:t>
      </w:r>
      <w:r w:rsidR="009C569A" w:rsidRPr="00273106">
        <w:t>v prostředí latinské</w:t>
      </w:r>
      <w:r w:rsidR="08D46A22">
        <w:t>ho neoplatonismu ke konstrukci tělesa</w:t>
      </w:r>
      <w:r w:rsidR="009C569A" w:rsidRPr="00273106">
        <w:t xml:space="preserve"> třetího druhu, jako to v pozdní antice provedl Simpliki</w:t>
      </w:r>
      <w:r w:rsidR="008E5CD8">
        <w:t>us a jeho současníci (</w:t>
      </w:r>
      <w:r w:rsidR="00F10800">
        <w:t xml:space="preserve">OBJ I, </w:t>
      </w:r>
      <w:r w:rsidR="084E7952">
        <w:t>kap. 1.3</w:t>
      </w:r>
      <w:r w:rsidR="008E5CD8">
        <w:t>.3</w:t>
      </w:r>
      <w:r w:rsidR="08D46A22">
        <w:t>). Moderní pojem tělesa</w:t>
      </w:r>
      <w:r w:rsidR="009C569A" w:rsidRPr="00273106">
        <w:t xml:space="preserve"> </w:t>
      </w:r>
      <w:r w:rsidR="00DD6CDC">
        <w:fldChar w:fldCharType="begin"/>
      </w:r>
      <w:r w:rsidR="00DD6CDC">
        <w:instrText xml:space="preserve"> XE "</w:instrText>
      </w:r>
      <w:r w:rsidR="00DD6CDC" w:rsidRPr="000B28F8">
        <w:instrText>těleso:třetího druhu</w:instrText>
      </w:r>
      <w:r w:rsidR="00DD6CDC">
        <w:instrText xml:space="preserve">" </w:instrText>
      </w:r>
      <w:r w:rsidR="00DD6CDC">
        <w:fldChar w:fldCharType="end"/>
      </w:r>
      <w:r w:rsidR="009C569A" w:rsidRPr="00273106">
        <w:t>dostal hypostázované vlastnosti, jež dříve patřily pouze k určení reálné první substance</w:t>
      </w:r>
      <w:r w:rsidR="00E539CE" w:rsidRPr="00273106">
        <w:t>.</w:t>
      </w:r>
      <w:r w:rsidR="00EB3299">
        <w:t xml:space="preserve"> Neoplatonský iluminát komponující </w:t>
      </w:r>
      <w:r w:rsidR="00EB3299" w:rsidRPr="00C00C48">
        <w:rPr>
          <w:i/>
        </w:rPr>
        <w:t>Tractatus</w:t>
      </w:r>
      <w:r w:rsidR="006E59BC">
        <w:t xml:space="preserve"> už má kompletní </w:t>
      </w:r>
      <w:r w:rsidR="00F10800">
        <w:rPr>
          <w:szCs w:val="24"/>
        </w:rPr>
        <w:t xml:space="preserve">„hyparchickou“ první </w:t>
      </w:r>
      <w:r w:rsidR="006E59BC">
        <w:t>substanci danou mimo realitu. D</w:t>
      </w:r>
      <w:r w:rsidR="00EB3299">
        <w:t>o kontingentní první substance pouze promítá vlastní závěry a představy dané na základě osvíceného viděn</w:t>
      </w:r>
      <w:r w:rsidR="08C72672">
        <w:t>í.</w:t>
      </w:r>
      <w:r w:rsidR="08040AD9" w:rsidRPr="08040AD9">
        <w:t xml:space="preserve"> </w:t>
      </w:r>
      <w:r w:rsidR="08040AD9" w:rsidRPr="00273106">
        <w:t xml:space="preserve">Předešlá kapitola analyzovala pojetí pravdy v </w:t>
      </w:r>
      <w:r w:rsidR="08040AD9">
        <w:t xml:space="preserve">Anselmově </w:t>
      </w:r>
      <w:r w:rsidR="08040AD9" w:rsidRPr="00273106">
        <w:t xml:space="preserve">díle </w:t>
      </w:r>
      <w:r w:rsidR="08040AD9" w:rsidRPr="00273106">
        <w:rPr>
          <w:i/>
        </w:rPr>
        <w:t xml:space="preserve">Dialogus de Veritate </w:t>
      </w:r>
      <w:r w:rsidR="08040AD9" w:rsidRPr="00273106">
        <w:t xml:space="preserve">navázané na pojetí pravdy jako </w:t>
      </w:r>
      <w:r w:rsidR="08040AD9" w:rsidRPr="00273106">
        <w:rPr>
          <w:i/>
        </w:rPr>
        <w:t>rectitudo</w:t>
      </w:r>
      <w:r w:rsidR="08040AD9" w:rsidRPr="00273106">
        <w:t xml:space="preserve">. Pojetí jsoucna jako čisté hypostázované pravdivosti oddělené od kontingentní </w:t>
      </w:r>
      <w:r w:rsidR="08040AD9" w:rsidRPr="00273106">
        <w:rPr>
          <w:i/>
        </w:rPr>
        <w:t>veritas</w:t>
      </w:r>
      <w:r w:rsidR="08040AD9" w:rsidRPr="00273106">
        <w:t xml:space="preserve"> vázané na existenci první substance</w:t>
      </w:r>
      <w:r w:rsidR="08040AD9">
        <w:fldChar w:fldCharType="begin"/>
      </w:r>
      <w:r w:rsidR="08040AD9">
        <w:instrText xml:space="preserve"> XE "pravda:</w:instrText>
      </w:r>
      <w:r w:rsidR="08040AD9" w:rsidRPr="00DD6CDC">
        <w:rPr>
          <w:i/>
        </w:rPr>
        <w:instrText>veritas</w:instrText>
      </w:r>
      <w:r w:rsidR="08040AD9">
        <w:instrText xml:space="preserve">" </w:instrText>
      </w:r>
      <w:r w:rsidR="08040AD9">
        <w:fldChar w:fldCharType="end"/>
      </w:r>
      <w:r w:rsidR="08040AD9" w:rsidRPr="00273106">
        <w:t xml:space="preserve"> je poprvé dáno u Gilberta </w:t>
      </w:r>
      <w:r w:rsidR="002239AA">
        <w:t>de La Porrée</w:t>
      </w:r>
      <w:r w:rsidR="08040AD9" w:rsidRPr="00273106">
        <w:t xml:space="preserve">. </w:t>
      </w:r>
      <w:r w:rsidR="08040AD9" w:rsidRPr="00273106">
        <w:rPr>
          <w:rStyle w:val="Zkladntext15dkovn0pt"/>
          <w:rFonts w:ascii="Calibri" w:eastAsia="Times" w:hAnsi="Calibri" w:cs="Times New Roman"/>
          <w:b w:val="0"/>
          <w:bCs w:val="0"/>
          <w:color w:val="auto"/>
          <w:sz w:val="24"/>
          <w:lang w:val="cs-CZ"/>
        </w:rPr>
        <w:t>Supozice významu jde od univerzálií (</w:t>
      </w:r>
      <w:r w:rsidR="00B1298A">
        <w:rPr>
          <w:rStyle w:val="Zkladntext15dkovn0pt"/>
          <w:rFonts w:ascii="Calibri" w:eastAsia="Times" w:hAnsi="Calibri" w:cs="Times New Roman"/>
          <w:b w:val="0"/>
          <w:bCs w:val="0"/>
          <w:i/>
          <w:color w:val="auto"/>
          <w:sz w:val="24"/>
          <w:lang w:val="cs-CZ"/>
        </w:rPr>
        <w:t>genus</w:t>
      </w:r>
      <w:r w:rsidR="08040AD9" w:rsidRPr="00273106">
        <w:rPr>
          <w:rStyle w:val="Zkladntext15dkovn0pt"/>
          <w:rFonts w:ascii="Calibri" w:eastAsia="Times" w:hAnsi="Calibri" w:cs="Times New Roman"/>
          <w:b w:val="0"/>
          <w:bCs w:val="0"/>
          <w:color w:val="auto"/>
          <w:sz w:val="24"/>
          <w:lang w:val="cs-CZ"/>
        </w:rPr>
        <w:t xml:space="preserve">, </w:t>
      </w:r>
      <w:r w:rsidR="004B4D52" w:rsidRPr="004B4D52">
        <w:rPr>
          <w:rStyle w:val="Zkladntext15dkovn0pt"/>
          <w:rFonts w:ascii="Calibri" w:eastAsia="Times" w:hAnsi="Calibri" w:cs="Times New Roman"/>
          <w:b w:val="0"/>
          <w:bCs w:val="0"/>
          <w:color w:val="auto"/>
          <w:sz w:val="24"/>
          <w:lang w:val="cs-CZ"/>
        </w:rPr>
        <w:t>species</w:t>
      </w:r>
      <w:r w:rsidR="08040AD9" w:rsidRPr="00273106">
        <w:rPr>
          <w:rStyle w:val="Zkladntext15dkovn0pt"/>
          <w:rFonts w:ascii="Calibri" w:eastAsia="Times" w:hAnsi="Calibri" w:cs="Times New Roman"/>
          <w:b w:val="0"/>
          <w:bCs w:val="0"/>
          <w:color w:val="auto"/>
          <w:sz w:val="24"/>
          <w:lang w:val="cs-CZ"/>
        </w:rPr>
        <w:t xml:space="preserve">, </w:t>
      </w:r>
      <w:r w:rsidR="004B4D52" w:rsidRPr="004B4D52">
        <w:rPr>
          <w:rStyle w:val="Zkladntext15dkovn0pt"/>
          <w:rFonts w:ascii="Calibri" w:eastAsia="Times" w:hAnsi="Calibri" w:cs="Times New Roman"/>
          <w:b w:val="0"/>
          <w:bCs w:val="0"/>
          <w:color w:val="auto"/>
          <w:sz w:val="24"/>
          <w:lang w:val="cs-CZ"/>
        </w:rPr>
        <w:t>species</w:t>
      </w:r>
      <w:r w:rsidR="08040AD9" w:rsidRPr="00273106">
        <w:rPr>
          <w:rStyle w:val="Zkladntext15dkovn0pt"/>
          <w:rFonts w:ascii="Calibri" w:eastAsia="Times" w:hAnsi="Calibri" w:cs="Times New Roman"/>
          <w:b w:val="0"/>
          <w:bCs w:val="0"/>
          <w:i/>
          <w:color w:val="auto"/>
          <w:sz w:val="24"/>
          <w:lang w:val="cs-CZ"/>
        </w:rPr>
        <w:t xml:space="preserve"> </w:t>
      </w:r>
      <w:r w:rsidR="08040AD9" w:rsidRPr="00273106">
        <w:rPr>
          <w:rStyle w:val="Zkladntext15dkovn0pt"/>
          <w:rFonts w:ascii="Calibri" w:eastAsia="Times" w:hAnsi="Calibri" w:cs="Times New Roman"/>
          <w:b w:val="0"/>
          <w:bCs w:val="0"/>
          <w:i/>
          <w:color w:val="auto"/>
          <w:sz w:val="24"/>
          <w:lang w:val="cs-CZ"/>
        </w:rPr>
        <w:lastRenderedPageBreak/>
        <w:t>specialissima</w:t>
      </w:r>
      <w:r w:rsidR="08040AD9">
        <w:rPr>
          <w:rStyle w:val="Zkladntext15dkovn0pt"/>
          <w:rFonts w:ascii="Calibri" w:eastAsia="Times" w:hAnsi="Calibri" w:cs="Times New Roman"/>
          <w:b w:val="0"/>
          <w:bCs w:val="0"/>
          <w:i/>
          <w:color w:val="auto"/>
          <w:sz w:val="24"/>
          <w:lang w:val="cs-CZ"/>
        </w:rPr>
        <w:fldChar w:fldCharType="begin"/>
      </w:r>
      <w:r w:rsidR="08040AD9">
        <w:instrText xml:space="preserve"> XE "</w:instrText>
      </w:r>
      <w:r w:rsidR="08040AD9" w:rsidRPr="00A94442">
        <w:rPr>
          <w:i/>
        </w:rPr>
        <w:instrText>species specialissima</w:instrText>
      </w:r>
      <w:r w:rsidR="08040AD9">
        <w:instrText xml:space="preserve">" </w:instrText>
      </w:r>
      <w:r w:rsidR="08040AD9">
        <w:rPr>
          <w:rStyle w:val="Zkladntext15dkovn0pt"/>
          <w:rFonts w:ascii="Calibri" w:eastAsia="Times" w:hAnsi="Calibri" w:cs="Times New Roman"/>
          <w:b w:val="0"/>
          <w:bCs w:val="0"/>
          <w:i/>
          <w:color w:val="auto"/>
          <w:sz w:val="24"/>
          <w:lang w:val="cs-CZ"/>
        </w:rPr>
        <w:fldChar w:fldCharType="end"/>
      </w:r>
      <w:r w:rsidR="08040AD9" w:rsidRPr="00273106">
        <w:rPr>
          <w:rStyle w:val="Zkladntext15dkovn0pt"/>
          <w:rFonts w:ascii="Calibri" w:eastAsia="Times" w:hAnsi="Calibri" w:cs="Times New Roman"/>
          <w:b w:val="0"/>
          <w:bCs w:val="0"/>
          <w:color w:val="auto"/>
          <w:sz w:val="24"/>
          <w:lang w:val="cs-CZ"/>
        </w:rPr>
        <w:t>) až k poslední dále nedělitelné jednotce významu (</w:t>
      </w:r>
      <w:r w:rsidR="08040AD9" w:rsidRPr="00BD4C00">
        <w:rPr>
          <w:rStyle w:val="Zkladntext15dkovn0pt"/>
          <w:rFonts w:ascii="Calibri" w:eastAsia="Times" w:hAnsi="Calibri" w:cs="Times New Roman"/>
          <w:b w:val="0"/>
          <w:bCs w:val="0"/>
          <w:i/>
          <w:color w:val="auto"/>
          <w:sz w:val="24"/>
          <w:lang w:val="cs-CZ"/>
        </w:rPr>
        <w:t>individuum</w:t>
      </w:r>
      <w:r w:rsidR="08040AD9" w:rsidRPr="00273106">
        <w:rPr>
          <w:rStyle w:val="Zkladntext15dkovn0pt"/>
          <w:rFonts w:ascii="Calibri" w:eastAsia="Times" w:hAnsi="Calibri" w:cs="Times New Roman"/>
          <w:b w:val="0"/>
          <w:bCs w:val="0"/>
          <w:color w:val="auto"/>
          <w:sz w:val="24"/>
          <w:lang w:val="cs-CZ"/>
        </w:rPr>
        <w:t xml:space="preserve">). </w:t>
      </w:r>
      <w:r w:rsidR="08040AD9" w:rsidRPr="00273106">
        <w:t xml:space="preserve">Nová forma signifikace založila jiné pojetí smyslu jsoucna, než u Abelarda. Ten jasně rozlišuje </w:t>
      </w:r>
      <w:r w:rsidR="08040AD9">
        <w:t xml:space="preserve">různé druhy impozice v rámci </w:t>
      </w:r>
      <w:r w:rsidR="08040AD9" w:rsidRPr="00273106">
        <w:t>rozdíl</w:t>
      </w:r>
      <w:r w:rsidR="08040AD9">
        <w:t>u</w:t>
      </w:r>
      <w:r w:rsidR="08040AD9" w:rsidRPr="00273106">
        <w:t xml:space="preserve"> mezi pr</w:t>
      </w:r>
      <w:r w:rsidR="00E67270">
        <w:t>vní a druhou substancí (kap. 1</w:t>
      </w:r>
      <w:r w:rsidR="08040AD9">
        <w:t>.3</w:t>
      </w:r>
      <w:r w:rsidR="08040AD9" w:rsidRPr="00273106">
        <w:t xml:space="preserve">). Výsledkem Abelardovy impozice kategoriální signifikace směrem od první substance dané </w:t>
      </w:r>
      <w:r w:rsidR="08040AD9" w:rsidRPr="00273106">
        <w:rPr>
          <w:i/>
        </w:rPr>
        <w:t>simpliciter</w:t>
      </w:r>
      <w:r w:rsidR="08040AD9" w:rsidRPr="00273106">
        <w:t xml:space="preserve"> je adekvační pojetí pravdy a nikoliv asimilace aktuálního bytí a jeho univerzálního významu na způsob Anselmova </w:t>
      </w:r>
      <w:r w:rsidR="08040AD9" w:rsidRPr="00273106">
        <w:rPr>
          <w:i/>
        </w:rPr>
        <w:t>rectitudo</w:t>
      </w:r>
      <w:r w:rsidR="0009536D">
        <w:t xml:space="preserve"> (kap. 1</w:t>
      </w:r>
      <w:r w:rsidR="08040AD9">
        <w:t>.2</w:t>
      </w:r>
      <w:r w:rsidR="08040AD9" w:rsidRPr="00273106">
        <w:t>).</w:t>
      </w:r>
      <w:r w:rsidR="08040AD9" w:rsidRPr="08040AD9">
        <w:rPr>
          <w:lang w:eastAsia="en-US"/>
        </w:rPr>
        <w:t xml:space="preserve"> </w:t>
      </w:r>
      <w:r w:rsidR="08040AD9">
        <w:rPr>
          <w:lang w:eastAsia="en-US"/>
        </w:rPr>
        <w:t>N</w:t>
      </w:r>
      <w:r w:rsidR="08040AD9" w:rsidRPr="00273106">
        <w:rPr>
          <w:lang w:eastAsia="en-US"/>
        </w:rPr>
        <w:t xml:space="preserve">ové pojetí reality </w:t>
      </w:r>
      <w:r w:rsidR="08040AD9" w:rsidRPr="00273106">
        <w:t>doložila škola porretánů hned v další generaci po Gilbertovi změnou v pojetí pravdy.</w:t>
      </w:r>
    </w:p>
    <w:p w14:paraId="75658815" w14:textId="28048393" w:rsidR="00494411" w:rsidRDefault="00B3019C" w:rsidP="00E7674A">
      <w:pPr>
        <w:ind w:firstLine="397"/>
      </w:pPr>
      <w:r>
        <w:t>Výše uvedené teologické spory druhé poloviny 12. století o triteismus</w:t>
      </w:r>
      <w:r>
        <w:fldChar w:fldCharType="begin"/>
      </w:r>
      <w:r>
        <w:instrText xml:space="preserve"> XE "</w:instrText>
      </w:r>
      <w:r w:rsidRPr="0093445A">
        <w:instrText>triteismus</w:instrText>
      </w:r>
      <w:r>
        <w:instrText xml:space="preserve">" </w:instrText>
      </w:r>
      <w:r>
        <w:fldChar w:fldCharType="end"/>
      </w:r>
      <w:r>
        <w:t xml:space="preserve"> ukazují z hlediska dějinné hermeneutiky první rozpad adekvační teorie pravdy na latinském Západě. Tím vzniklo první </w:t>
      </w:r>
      <w:r w:rsidRPr="00C00C48">
        <w:rPr>
          <w:i/>
        </w:rPr>
        <w:t>Lichtung</w:t>
      </w:r>
      <w:r>
        <w:t xml:space="preserve"> objektivity</w:t>
      </w:r>
      <w:r w:rsidR="002E1B28">
        <w:t xml:space="preserve">, kde </w:t>
      </w:r>
      <w:r w:rsidR="08C72672">
        <w:t xml:space="preserve">se ukazuje pravda a nepravda diskrétního vidění světa v modu </w:t>
      </w:r>
      <w:r w:rsidR="002E1B28">
        <w:t xml:space="preserve">múzické </w:t>
      </w:r>
      <w:r w:rsidR="08C72672" w:rsidRPr="08C72672">
        <w:rPr>
          <w:i/>
        </w:rPr>
        <w:t>a/létheia</w:t>
      </w:r>
      <w:r w:rsidR="002E1B28">
        <w:t xml:space="preserve">. Tato pravda a nepravda nové formy objektivity </w:t>
      </w:r>
      <w:r w:rsidR="08280BF8">
        <w:t xml:space="preserve">nyní </w:t>
      </w:r>
      <w:r w:rsidR="002E1B28">
        <w:t xml:space="preserve">platí </w:t>
      </w:r>
      <w:r w:rsidR="08280BF8">
        <w:t>už je</w:t>
      </w:r>
      <w:r w:rsidR="002E1B28">
        <w:t>n</w:t>
      </w:r>
      <w:r w:rsidR="08280BF8">
        <w:t xml:space="preserve"> pro latinský Západ. </w:t>
      </w:r>
      <w:r w:rsidR="00926B52" w:rsidRPr="00273106">
        <w:t xml:space="preserve">Perspektiva </w:t>
      </w:r>
      <w:r w:rsidR="00926B52" w:rsidRPr="00BD4C00">
        <w:rPr>
          <w:i/>
        </w:rPr>
        <w:t>Traktátu</w:t>
      </w:r>
      <w:r w:rsidR="00926B52" w:rsidRPr="00273106">
        <w:t xml:space="preserve"> sleduje pojetí pravdy jako </w:t>
      </w:r>
      <w:r w:rsidR="00926B52" w:rsidRPr="00273106">
        <w:rPr>
          <w:i/>
        </w:rPr>
        <w:t>rectitudo</w:t>
      </w:r>
      <w:r w:rsidR="08B57503">
        <w:t xml:space="preserve"> a d</w:t>
      </w:r>
      <w:r w:rsidR="00926B52" w:rsidRPr="00273106">
        <w:t xml:space="preserve">eterminaci univerzálního poznání jsoucna nebere z první substance, ale z univerzálního určení </w:t>
      </w:r>
      <w:r w:rsidR="00576079">
        <w:t xml:space="preserve">jsoucna </w:t>
      </w:r>
      <w:r w:rsidR="08B57503">
        <w:t xml:space="preserve">podle Avicenny. Jeho filosofie </w:t>
      </w:r>
      <w:r w:rsidR="00926B52" w:rsidRPr="00273106">
        <w:t>tehdy přicházel</w:t>
      </w:r>
      <w:r w:rsidR="08B57503">
        <w:t>a</w:t>
      </w:r>
      <w:r w:rsidR="00926B52" w:rsidRPr="00273106">
        <w:t xml:space="preserve"> na Západ v prvních latinských překladech</w:t>
      </w:r>
      <w:r w:rsidR="08B247E4">
        <w:t xml:space="preserve"> Toledské překladatelské školy</w:t>
      </w:r>
      <w:r w:rsidR="08B247E4">
        <w:fldChar w:fldCharType="begin"/>
      </w:r>
      <w:r w:rsidR="08B247E4">
        <w:instrText xml:space="preserve"> XE "</w:instrText>
      </w:r>
      <w:r w:rsidR="08B247E4" w:rsidRPr="089735DA">
        <w:instrText>Toledská škola</w:instrText>
      </w:r>
      <w:r w:rsidR="08B247E4">
        <w:instrText xml:space="preserve">" </w:instrText>
      </w:r>
      <w:r w:rsidR="08B247E4">
        <w:fldChar w:fldCharType="end"/>
      </w:r>
      <w:r w:rsidR="00926B52" w:rsidRPr="00273106">
        <w:t>.</w:t>
      </w:r>
      <w:r w:rsidR="00926B52">
        <w:t xml:space="preserve"> </w:t>
      </w:r>
      <w:r w:rsidR="00926B52" w:rsidRPr="00273106">
        <w:t xml:space="preserve">Anonymní </w:t>
      </w:r>
      <w:r w:rsidR="00926B52" w:rsidRPr="00273106">
        <w:rPr>
          <w:i/>
        </w:rPr>
        <w:t>Tractatus</w:t>
      </w:r>
      <w:r w:rsidR="00926B52" w:rsidRPr="00273106">
        <w:t xml:space="preserve"> již nepotřebuje vnější realitu, protože si zajistil signifikaci speciální jednotliviny čistě imanentně</w:t>
      </w:r>
      <w:r w:rsidR="08A813D1">
        <w:t xml:space="preserve"> </w:t>
      </w:r>
      <w:r w:rsidR="00926B52" w:rsidRPr="00273106">
        <w:t xml:space="preserve">v modu univerzální nedělitelnosti </w:t>
      </w:r>
      <w:r w:rsidR="08277D0E">
        <w:t>derivované z mytopoetické</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277D0E">
        <w:t xml:space="preserve"> ideje jedinečné</w:t>
      </w:r>
      <w:r w:rsidR="00F073FE">
        <w:t xml:space="preserve"> </w:t>
      </w:r>
      <w:r w:rsidR="08277D0E">
        <w:t>a diskrétní substance</w:t>
      </w:r>
      <w:r w:rsidR="00926B52" w:rsidRPr="00273106">
        <w:t>-</w:t>
      </w:r>
      <w:r w:rsidR="006A04C6" w:rsidRPr="006A04C6">
        <w:t>species</w:t>
      </w:r>
      <w:r w:rsidR="000860AA">
        <w:fldChar w:fldCharType="begin"/>
      </w:r>
      <w:r w:rsidR="000860AA">
        <w:instrText xml:space="preserve"> XE "substance:</w:instrText>
      </w:r>
      <w:r w:rsidR="000860AA" w:rsidRPr="08616081">
        <w:rPr>
          <w:i/>
        </w:rPr>
        <w:instrText>species</w:instrText>
      </w:r>
      <w:r w:rsidR="000860AA">
        <w:instrText xml:space="preserve">" </w:instrText>
      </w:r>
      <w:r w:rsidR="000860AA">
        <w:fldChar w:fldCharType="end"/>
      </w:r>
      <w:r w:rsidR="00926B52" w:rsidRPr="00273106">
        <w:t xml:space="preserve">. </w:t>
      </w:r>
      <w:r w:rsidR="00926B52">
        <w:t xml:space="preserve">Impozice </w:t>
      </w:r>
      <w:r w:rsidR="00926B52" w:rsidRPr="00273106">
        <w:t>významu nejde od reálné jednotliviny, ale od univerzální signifikace rodu, druhu a specifické diference směrem k jednotlivině. Přiřazení specifické kvality k poslednímu členu dělení vytvoří moderní pojetí jednotliviny (</w:t>
      </w:r>
      <w:r w:rsidR="00926B52" w:rsidRPr="00273106">
        <w:rPr>
          <w:i/>
        </w:rPr>
        <w:t>individuam rem</w:t>
      </w:r>
      <w:r w:rsidR="00BD4C00">
        <w:t xml:space="preserve">) dané </w:t>
      </w:r>
      <w:r w:rsidR="08CD29D8">
        <w:t xml:space="preserve">atomárním a infinitezimálním viděním </w:t>
      </w:r>
      <w:r w:rsidR="00926B52" w:rsidRPr="00273106">
        <w:t>reality</w:t>
      </w:r>
      <w:r w:rsidR="00926B52">
        <w:t xml:space="preserve"> (</w:t>
      </w:r>
      <w:r w:rsidR="00926B52" w:rsidRPr="00273106">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926B52">
        <w:t>)</w:t>
      </w:r>
      <w:r w:rsidR="00926B52" w:rsidRPr="00273106">
        <w:t xml:space="preserve">. </w:t>
      </w:r>
      <w:r w:rsidR="006611EF" w:rsidRPr="00273106">
        <w:rPr>
          <w:rStyle w:val="Zkladntext15dkovn0pt"/>
          <w:rFonts w:ascii="Calibri" w:eastAsia="Times" w:hAnsi="Calibri" w:cs="Times New Roman"/>
          <w:b w:val="0"/>
          <w:bCs w:val="0"/>
          <w:color w:val="auto"/>
          <w:sz w:val="24"/>
          <w:lang w:val="cs-CZ"/>
        </w:rPr>
        <w:t xml:space="preserve">Ve škole </w:t>
      </w:r>
      <w:r w:rsidR="006611EF" w:rsidRPr="00273106">
        <w:rPr>
          <w:rStyle w:val="Zkladntext15dkovn0pt"/>
          <w:rFonts w:ascii="Calibri" w:eastAsia="Times" w:hAnsi="Calibri" w:cs="Times New Roman"/>
          <w:b w:val="0"/>
          <w:bCs w:val="0"/>
          <w:i/>
          <w:color w:val="auto"/>
          <w:sz w:val="24"/>
          <w:lang w:val="cs-CZ"/>
        </w:rPr>
        <w:t>Nominales</w:t>
      </w:r>
      <w:r w:rsidR="006611EF" w:rsidRPr="00273106">
        <w:rPr>
          <w:rStyle w:val="Zkladntext15dkovn0pt"/>
          <w:rFonts w:ascii="Calibri" w:eastAsia="Times" w:hAnsi="Calibri" w:cs="Times New Roman"/>
          <w:b w:val="0"/>
          <w:bCs w:val="0"/>
          <w:color w:val="auto"/>
          <w:sz w:val="24"/>
          <w:lang w:val="cs-CZ"/>
        </w:rPr>
        <w:t xml:space="preserve"> padl rozdíl mezi externí věcí a mezi modem jejího poznání daným skrze abstrakci a skrze univerzální pojmy.</w:t>
      </w:r>
      <w:r w:rsidR="001537C3">
        <w:rPr>
          <w:rStyle w:val="Zkladntext15dkovn0pt"/>
          <w:rFonts w:ascii="Calibri" w:eastAsia="Times" w:hAnsi="Calibri" w:cs="Times New Roman"/>
          <w:b w:val="0"/>
          <w:bCs w:val="0"/>
          <w:color w:val="auto"/>
          <w:sz w:val="24"/>
          <w:lang w:val="cs-CZ"/>
        </w:rPr>
        <w:t xml:space="preserve"> </w:t>
      </w:r>
      <w:r w:rsidR="00BD4C00">
        <w:rPr>
          <w:rStyle w:val="Zkladntext15dkovn0pt"/>
          <w:rFonts w:ascii="Calibri" w:eastAsia="Times" w:hAnsi="Calibri" w:cs="Times New Roman"/>
          <w:b w:val="0"/>
          <w:bCs w:val="0"/>
          <w:color w:val="auto"/>
          <w:sz w:val="24"/>
          <w:lang w:val="cs-CZ"/>
        </w:rPr>
        <w:t xml:space="preserve">Citovaný </w:t>
      </w:r>
      <w:r w:rsidR="00C47CBC" w:rsidRPr="00BD4C00">
        <w:rPr>
          <w:i/>
        </w:rPr>
        <w:t>Traktát</w:t>
      </w:r>
      <w:r w:rsidR="00C47CBC" w:rsidRPr="00273106">
        <w:t xml:space="preserve"> postavil specifický význam jména a jeho abstraktní extenzi v modu </w:t>
      </w:r>
      <w:r w:rsidR="00C47CBC" w:rsidRPr="00273106">
        <w:rPr>
          <w:i/>
        </w:rPr>
        <w:t>per prius</w:t>
      </w:r>
      <w:r w:rsidR="00C47CBC" w:rsidRPr="00273106">
        <w:t xml:space="preserve"> na úroveň </w:t>
      </w:r>
      <w:r w:rsidR="00C47CBC" w:rsidRPr="00273106">
        <w:rPr>
          <w:rStyle w:val="Zkladntext15dkovn0pt"/>
          <w:rFonts w:ascii="Calibri" w:eastAsia="Times" w:hAnsi="Calibri" w:cs="Times New Roman"/>
          <w:b w:val="0"/>
          <w:bCs w:val="0"/>
          <w:color w:val="auto"/>
          <w:sz w:val="24"/>
          <w:lang w:val="cs-CZ"/>
        </w:rPr>
        <w:t>bytí konkrétní věci v realitě</w:t>
      </w:r>
      <w:r w:rsidR="00C47CBC" w:rsidRPr="00273106">
        <w:rPr>
          <w:i/>
        </w:rPr>
        <w:t xml:space="preserve"> </w:t>
      </w:r>
      <w:r w:rsidR="00C47CBC" w:rsidRPr="00273106">
        <w:t>(</w:t>
      </w:r>
      <w:r w:rsidR="00C47CBC" w:rsidRPr="00273106">
        <w:rPr>
          <w:i/>
        </w:rPr>
        <w:t>qualitatem quam prius</w:t>
      </w:r>
      <w:r w:rsidR="00C47CBC" w:rsidRPr="00273106">
        <w:t>)</w:t>
      </w:r>
      <w:r w:rsidR="00C47CBC" w:rsidRPr="00273106">
        <w:rPr>
          <w:rStyle w:val="Zkladntext15dkovn0pt"/>
          <w:rFonts w:ascii="Calibri" w:eastAsia="Times" w:hAnsi="Calibri" w:cs="Times New Roman"/>
          <w:b w:val="0"/>
          <w:bCs w:val="0"/>
          <w:color w:val="auto"/>
          <w:sz w:val="24"/>
          <w:lang w:val="cs-CZ"/>
        </w:rPr>
        <w:t xml:space="preserve">. </w:t>
      </w:r>
      <w:r w:rsidR="00C47CBC" w:rsidRPr="00273106">
        <w:t xml:space="preserve">Z hlediska hermeneutiky platí, že smysl jsoucna je </w:t>
      </w:r>
      <w:r w:rsidR="00397521" w:rsidRPr="00273106">
        <w:t xml:space="preserve">ve škole </w:t>
      </w:r>
      <w:r w:rsidR="00397521" w:rsidRPr="00273106">
        <w:rPr>
          <w:i/>
        </w:rPr>
        <w:t>Nominales</w:t>
      </w:r>
      <w:r w:rsidR="00397521" w:rsidRPr="00273106">
        <w:t xml:space="preserve"> </w:t>
      </w:r>
      <w:r w:rsidR="004D6A09">
        <w:t xml:space="preserve">nasvícen zezadu </w:t>
      </w:r>
      <w:r w:rsidR="00133507" w:rsidRPr="00273106">
        <w:t xml:space="preserve">od </w:t>
      </w:r>
      <w:r w:rsidR="00B7710D" w:rsidRPr="00273106">
        <w:t xml:space="preserve">specifického </w:t>
      </w:r>
      <w:r w:rsidR="00133507" w:rsidRPr="00273106">
        <w:t xml:space="preserve">individua </w:t>
      </w:r>
      <w:r w:rsidR="00C47CBC" w:rsidRPr="00273106">
        <w:t xml:space="preserve">místo zepředu od reálné věci. </w:t>
      </w:r>
      <w:r w:rsidR="005E4BDA" w:rsidRPr="00273106">
        <w:t xml:space="preserve">Nové pojetí pravdy jako </w:t>
      </w:r>
      <w:r w:rsidR="005E4BDA" w:rsidRPr="00273106">
        <w:rPr>
          <w:i/>
        </w:rPr>
        <w:t>rectitudo</w:t>
      </w:r>
      <w:r w:rsidR="00240AC9">
        <w:rPr>
          <w:i/>
        </w:rPr>
        <w:fldChar w:fldCharType="begin"/>
      </w:r>
      <w:r w:rsidR="00240AC9">
        <w:instrText xml:space="preserve"> XE "pravda:</w:instrText>
      </w:r>
      <w:r w:rsidR="00240AC9" w:rsidRPr="00E83264">
        <w:rPr>
          <w:i/>
        </w:rPr>
        <w:instrText>rectitudo</w:instrText>
      </w:r>
      <w:r w:rsidR="00240AC9">
        <w:instrText xml:space="preserve">" </w:instrText>
      </w:r>
      <w:r w:rsidR="00240AC9">
        <w:rPr>
          <w:i/>
        </w:rPr>
        <w:fldChar w:fldCharType="end"/>
      </w:r>
      <w:r w:rsidR="005E4BDA" w:rsidRPr="00273106">
        <w:t xml:space="preserve"> nastolilo skrze hypostázovano</w:t>
      </w:r>
      <w:r w:rsidR="00BD4C00">
        <w:t>u realitu epochálně nové, tedy diskrétní</w:t>
      </w:r>
      <w:r w:rsidR="005E4BDA" w:rsidRPr="00273106">
        <w:t xml:space="preserve"> vidění jsoucna.</w:t>
      </w:r>
      <w:r w:rsidR="005E4BDA">
        <w:t xml:space="preserve"> </w:t>
      </w:r>
      <w:r w:rsidR="0077153B" w:rsidRPr="00273106">
        <w:rPr>
          <w:rStyle w:val="Zkladntext15dkovn0pt"/>
          <w:rFonts w:ascii="Calibri" w:eastAsia="Times" w:hAnsi="Calibri" w:cs="Times New Roman"/>
          <w:b w:val="0"/>
          <w:bCs w:val="0"/>
          <w:color w:val="auto"/>
          <w:sz w:val="24"/>
          <w:lang w:val="cs-CZ"/>
        </w:rPr>
        <w:t>Rozdíl mezi první a druhou su</w:t>
      </w:r>
      <w:r w:rsidR="00BD4C00">
        <w:rPr>
          <w:rStyle w:val="Zkladntext15dkovn0pt"/>
          <w:rFonts w:ascii="Calibri" w:eastAsia="Times" w:hAnsi="Calibri" w:cs="Times New Roman"/>
          <w:b w:val="0"/>
          <w:bCs w:val="0"/>
          <w:color w:val="auto"/>
          <w:sz w:val="24"/>
          <w:lang w:val="cs-CZ"/>
        </w:rPr>
        <w:t xml:space="preserve">bstancí jasně držel spis </w:t>
      </w:r>
      <w:r w:rsidR="00BD4C00" w:rsidRPr="00BD4C00">
        <w:rPr>
          <w:rStyle w:val="Zkladntext15dkovn0pt"/>
          <w:rFonts w:ascii="Calibri" w:eastAsia="Times" w:hAnsi="Calibri" w:cs="Times New Roman"/>
          <w:b w:val="0"/>
          <w:bCs w:val="0"/>
          <w:i/>
          <w:color w:val="auto"/>
          <w:sz w:val="24"/>
          <w:lang w:val="cs-CZ"/>
        </w:rPr>
        <w:t>Isagoge</w:t>
      </w:r>
      <w:r w:rsidR="0077153B" w:rsidRPr="00273106">
        <w:rPr>
          <w:rStyle w:val="Zkladntext15dkovn0pt"/>
          <w:rFonts w:ascii="Calibri" w:eastAsia="Times" w:hAnsi="Calibri" w:cs="Times New Roman"/>
          <w:b w:val="0"/>
          <w:bCs w:val="0"/>
          <w:color w:val="auto"/>
          <w:sz w:val="24"/>
          <w:lang w:val="cs-CZ"/>
        </w:rPr>
        <w:t xml:space="preserve"> a po něm i Boethius</w:t>
      </w:r>
      <w:r w:rsidR="004E55C1">
        <w:rPr>
          <w:rStyle w:val="Zkladntext15dkovn0pt"/>
          <w:rFonts w:ascii="Calibri" w:eastAsia="Times" w:hAnsi="Calibri" w:cs="Times New Roman"/>
          <w:b w:val="0"/>
          <w:bCs w:val="0"/>
          <w:color w:val="auto"/>
          <w:sz w:val="24"/>
          <w:lang w:val="cs-CZ"/>
        </w:rPr>
        <w:t xml:space="preserve"> (</w:t>
      </w:r>
      <w:r w:rsidR="003C32E8">
        <w:rPr>
          <w:rStyle w:val="Zkladntext15dkovn0pt"/>
          <w:rFonts w:ascii="Calibri" w:eastAsia="Times" w:hAnsi="Calibri" w:cs="Times New Roman"/>
          <w:b w:val="0"/>
          <w:bCs w:val="0"/>
          <w:color w:val="auto"/>
          <w:sz w:val="24"/>
          <w:lang w:val="cs-CZ"/>
        </w:rPr>
        <w:t xml:space="preserve">OBJ I, </w:t>
      </w:r>
      <w:r w:rsidR="004E55C1">
        <w:rPr>
          <w:rStyle w:val="Zkladntext15dkovn0pt"/>
          <w:rFonts w:ascii="Calibri" w:eastAsia="Times" w:hAnsi="Calibri" w:cs="Times New Roman"/>
          <w:b w:val="0"/>
          <w:bCs w:val="0"/>
          <w:color w:val="auto"/>
          <w:sz w:val="24"/>
          <w:lang w:val="cs-CZ"/>
        </w:rPr>
        <w:t xml:space="preserve">kap. </w:t>
      </w:r>
      <w:r w:rsidR="081206F7">
        <w:rPr>
          <w:rStyle w:val="Zkladntext15dkovn0pt"/>
          <w:rFonts w:ascii="Calibri" w:eastAsia="Times" w:hAnsi="Calibri" w:cs="Times New Roman"/>
          <w:b w:val="0"/>
          <w:bCs w:val="0"/>
          <w:color w:val="auto"/>
          <w:sz w:val="24"/>
          <w:lang w:val="cs-CZ"/>
        </w:rPr>
        <w:t>1</w:t>
      </w:r>
      <w:r w:rsidR="004E55C1">
        <w:rPr>
          <w:rStyle w:val="Zkladntext15dkovn0pt"/>
          <w:rFonts w:ascii="Calibri" w:eastAsia="Times" w:hAnsi="Calibri" w:cs="Times New Roman"/>
          <w:b w:val="0"/>
          <w:bCs w:val="0"/>
          <w:color w:val="auto"/>
          <w:sz w:val="24"/>
          <w:lang w:val="cs-CZ"/>
        </w:rPr>
        <w:t>.3</w:t>
      </w:r>
      <w:r w:rsidR="081206F7">
        <w:rPr>
          <w:rStyle w:val="Zkladntext15dkovn0pt"/>
          <w:rFonts w:ascii="Calibri" w:eastAsia="Times" w:hAnsi="Calibri" w:cs="Times New Roman"/>
          <w:b w:val="0"/>
          <w:bCs w:val="0"/>
          <w:color w:val="auto"/>
          <w:sz w:val="24"/>
          <w:lang w:val="cs-CZ"/>
        </w:rPr>
        <w:t>)</w:t>
      </w:r>
      <w:r w:rsidR="00DF1F0F">
        <w:rPr>
          <w:rStyle w:val="Zkladntext15dkovn0pt"/>
          <w:rFonts w:ascii="Calibri" w:eastAsia="Times" w:hAnsi="Calibri" w:cs="Times New Roman"/>
          <w:b w:val="0"/>
          <w:bCs w:val="0"/>
          <w:color w:val="auto"/>
          <w:sz w:val="24"/>
          <w:lang w:val="cs-CZ"/>
        </w:rPr>
        <w:fldChar w:fldCharType="begin"/>
      </w:r>
      <w:r w:rsidR="00DF1F0F">
        <w:instrText xml:space="preserve"> XE "</w:instrText>
      </w:r>
      <w:r w:rsidR="00DF1F0F" w:rsidRPr="00521677">
        <w:rPr>
          <w:lang w:eastAsia="en-US"/>
        </w:rPr>
        <w:instrText>Boethius, Anicius</w:instrText>
      </w:r>
      <w:r w:rsidR="00DF1F0F">
        <w:instrText xml:space="preserve">" </w:instrText>
      </w:r>
      <w:r w:rsidR="00DF1F0F">
        <w:rPr>
          <w:rStyle w:val="Zkladntext15dkovn0pt"/>
          <w:rFonts w:ascii="Calibri" w:eastAsia="Times" w:hAnsi="Calibri" w:cs="Times New Roman"/>
          <w:b w:val="0"/>
          <w:bCs w:val="0"/>
          <w:color w:val="auto"/>
          <w:sz w:val="24"/>
          <w:lang w:val="cs-CZ"/>
        </w:rPr>
        <w:fldChar w:fldCharType="end"/>
      </w:r>
      <w:r w:rsidR="00BD4C00">
        <w:rPr>
          <w:rStyle w:val="Zkladntext15dkovn0pt"/>
          <w:rFonts w:ascii="Calibri" w:eastAsia="Times" w:hAnsi="Calibri" w:cs="Times New Roman"/>
          <w:b w:val="0"/>
          <w:bCs w:val="0"/>
          <w:color w:val="auto"/>
          <w:sz w:val="24"/>
          <w:lang w:val="cs-CZ"/>
        </w:rPr>
        <w:t xml:space="preserve">. Viz citovanou pasáž v </w:t>
      </w:r>
      <w:r w:rsidR="00BD4C00" w:rsidRPr="00BD4C00">
        <w:rPr>
          <w:rStyle w:val="Zkladntext15dkovn0pt"/>
          <w:rFonts w:ascii="Calibri" w:eastAsia="Times" w:hAnsi="Calibri" w:cs="Times New Roman"/>
          <w:b w:val="0"/>
          <w:bCs w:val="0"/>
          <w:i/>
          <w:color w:val="auto"/>
          <w:sz w:val="24"/>
          <w:lang w:val="cs-CZ"/>
        </w:rPr>
        <w:t>Isagoge</w:t>
      </w:r>
      <w:r w:rsidR="0077153B" w:rsidRPr="00273106">
        <w:rPr>
          <w:rStyle w:val="Zkladntext15dkovn0pt"/>
          <w:rFonts w:ascii="Calibri" w:eastAsia="Times" w:hAnsi="Calibri" w:cs="Times New Roman"/>
          <w:b w:val="0"/>
          <w:bCs w:val="0"/>
          <w:color w:val="auto"/>
          <w:sz w:val="24"/>
          <w:lang w:val="cs-CZ"/>
        </w:rPr>
        <w:t xml:space="preserve"> určující proces dělení od rodu ke</w:t>
      </w:r>
      <w:r w:rsidR="00BD4C00">
        <w:rPr>
          <w:rStyle w:val="Zkladntext15dkovn0pt"/>
          <w:rFonts w:ascii="Calibri" w:eastAsia="Times" w:hAnsi="Calibri" w:cs="Times New Roman"/>
          <w:b w:val="0"/>
          <w:bCs w:val="0"/>
          <w:color w:val="auto"/>
          <w:sz w:val="24"/>
          <w:lang w:val="cs-CZ"/>
        </w:rPr>
        <w:t xml:space="preserve"> druhu</w:t>
      </w:r>
      <w:r w:rsidR="0077153B" w:rsidRPr="00273106">
        <w:rPr>
          <w:rStyle w:val="Zkladntext15dkovn0pt"/>
          <w:rFonts w:ascii="Calibri" w:eastAsia="Times" w:hAnsi="Calibri" w:cs="Times New Roman"/>
          <w:b w:val="0"/>
          <w:bCs w:val="0"/>
          <w:color w:val="auto"/>
          <w:sz w:val="24"/>
          <w:lang w:val="cs-CZ"/>
        </w:rPr>
        <w:t>, až k jednotlivině (</w:t>
      </w:r>
      <w:r w:rsidR="0077153B" w:rsidRPr="00273106">
        <w:rPr>
          <w:rStyle w:val="TextpoznpodarouChar"/>
          <w:i/>
        </w:rPr>
        <w:t>quod quale quiddam est homo dicitur</w:t>
      </w:r>
      <w:r w:rsidR="0077153B" w:rsidRPr="00273106">
        <w:rPr>
          <w:rStyle w:val="TextpoznpodarouChar"/>
        </w:rPr>
        <w:t xml:space="preserve">) a zásadním oddělením této atomární </w:t>
      </w:r>
      <w:r w:rsidR="0077153B" w:rsidRPr="00273106">
        <w:rPr>
          <w:rStyle w:val="TextpoznpodarouChar"/>
        </w:rPr>
        <w:lastRenderedPageBreak/>
        <w:t xml:space="preserve">jednotky významu od nedělitelné </w:t>
      </w:r>
      <w:r w:rsidR="00390752">
        <w:rPr>
          <w:rStyle w:val="TextpoznpodarouChar"/>
        </w:rPr>
        <w:t xml:space="preserve">hyparchické </w:t>
      </w:r>
      <w:r w:rsidR="0077153B" w:rsidRPr="00273106">
        <w:rPr>
          <w:rStyle w:val="TextpoznpodarouChar"/>
        </w:rPr>
        <w:t>substance (</w:t>
      </w:r>
      <w:r w:rsidR="0077153B" w:rsidRPr="00273106">
        <w:rPr>
          <w:rStyle w:val="TextpoznpodarouChar"/>
          <w:i/>
        </w:rPr>
        <w:t>sed non in eo quod quid est</w:t>
      </w:r>
      <w:r w:rsidR="0077153B" w:rsidRPr="00273106">
        <w:rPr>
          <w:rStyle w:val="TextpoznpodarouChar"/>
        </w:rPr>
        <w:t xml:space="preserve">, </w:t>
      </w:r>
      <w:r w:rsidR="00073608" w:rsidRPr="00273106">
        <w:rPr>
          <w:rStyle w:val="TextpoznpodarouChar"/>
          <w:i/>
        </w:rPr>
        <w:t>Isag</w:t>
      </w:r>
      <w:r w:rsidR="00073608" w:rsidRPr="00273106">
        <w:rPr>
          <w:rStyle w:val="TextpoznpodarouChar"/>
        </w:rPr>
        <w:t>.</w:t>
      </w:r>
      <w:r w:rsidR="0077153B" w:rsidRPr="00273106">
        <w:rPr>
          <w:rStyle w:val="TextpoznpodarouChar"/>
        </w:rPr>
        <w:t xml:space="preserve"> III.10</w:t>
      </w:r>
      <w:r w:rsidR="00240AC9">
        <w:rPr>
          <w:rStyle w:val="TextpoznpodarouChar"/>
        </w:rPr>
        <w:fldChar w:fldCharType="begin"/>
      </w:r>
      <w:r w:rsidR="00240AC9">
        <w:instrText xml:space="preserve"> XE "</w:instrText>
      </w:r>
      <w:r w:rsidR="08767F02">
        <w:instrText>Boethius:</w:instrText>
      </w:r>
      <w:r w:rsidR="08767F02" w:rsidRPr="08767F02">
        <w:rPr>
          <w:i/>
        </w:rPr>
        <w:instrText>In Porph. Isag</w:instrText>
      </w:r>
      <w:r w:rsidR="08767F02">
        <w:instrText>.</w:instrText>
      </w:r>
      <w:r w:rsidR="00976C0C">
        <w:rPr>
          <w:rStyle w:val="TextpoznpodarouChar"/>
        </w:rPr>
        <w:instrText xml:space="preserve"> 3</w:instrText>
      </w:r>
      <w:r w:rsidR="00240AC9" w:rsidRPr="00A51F7F">
        <w:rPr>
          <w:rStyle w:val="TextpoznpodarouChar"/>
        </w:rPr>
        <w:instrText>.10</w:instrText>
      </w:r>
      <w:r w:rsidR="00240AC9">
        <w:instrText xml:space="preserve">" </w:instrText>
      </w:r>
      <w:r w:rsidR="00240AC9">
        <w:rPr>
          <w:rStyle w:val="TextpoznpodarouChar"/>
        </w:rPr>
        <w:fldChar w:fldCharType="end"/>
      </w:r>
      <w:r w:rsidR="0077153B" w:rsidRPr="00273106">
        <w:rPr>
          <w:rStyle w:val="TextpoznpodarouChar"/>
        </w:rPr>
        <w:t xml:space="preserve">). </w:t>
      </w:r>
      <w:r w:rsidR="00C47CBC" w:rsidRPr="00273106">
        <w:t>Klíčové je zmizení první</w:t>
      </w:r>
      <w:r w:rsidR="00BD4C00">
        <w:t xml:space="preserve"> substance</w:t>
      </w:r>
      <w:r w:rsidR="003C32E8">
        <w:t xml:space="preserve"> z moderní metafyziky. P</w:t>
      </w:r>
      <w:r w:rsidR="003C32E8" w:rsidRPr="00273106">
        <w:t>rvní</w:t>
      </w:r>
      <w:r w:rsidR="003C32E8">
        <w:t xml:space="preserve"> substance je </w:t>
      </w:r>
      <w:r w:rsidR="00BD4C00">
        <w:t xml:space="preserve">v </w:t>
      </w:r>
      <w:r w:rsidR="00BD4C00" w:rsidRPr="00BD4C00">
        <w:rPr>
          <w:i/>
        </w:rPr>
        <w:t>Isagoge</w:t>
      </w:r>
      <w:r w:rsidR="08446D09">
        <w:t xml:space="preserve"> </w:t>
      </w:r>
      <w:r w:rsidR="00C47CBC" w:rsidRPr="00273106">
        <w:t>zásadně nedělitelná</w:t>
      </w:r>
      <w:r w:rsidR="003C32E8">
        <w:t xml:space="preserve"> a plně oddělená</w:t>
      </w:r>
      <w:r w:rsidR="08446D09">
        <w:t xml:space="preserve">. Proto pro Boethia a </w:t>
      </w:r>
      <w:r w:rsidR="08446D09" w:rsidRPr="00273106">
        <w:t>Abelarda</w:t>
      </w:r>
      <w:r w:rsidR="00C47CBC" w:rsidRPr="00273106">
        <w:t xml:space="preserve"> </w:t>
      </w:r>
      <w:r w:rsidR="08446D09">
        <w:t xml:space="preserve">první substance nikdy </w:t>
      </w:r>
      <w:r w:rsidR="00C47CBC" w:rsidRPr="00273106">
        <w:t xml:space="preserve">není konceptem. </w:t>
      </w:r>
      <w:r w:rsidR="00150DDF">
        <w:t xml:space="preserve">A čistě potenciální koncept </w:t>
      </w:r>
      <w:r w:rsidR="08A31283">
        <w:t>nelze dělit v modu v</w:t>
      </w:r>
      <w:r w:rsidR="00150DDF">
        <w:t>íce</w:t>
      </w:r>
      <w:r w:rsidR="08A31283">
        <w:t xml:space="preserve"> či méně</w:t>
      </w:r>
      <w:r w:rsidR="08BC64A4">
        <w:t xml:space="preserve">, protože potence nemá aktualitu, kterou je možné určit v nějakém pohybu </w:t>
      </w:r>
      <w:r w:rsidR="087A062E">
        <w:t xml:space="preserve">nemateriální </w:t>
      </w:r>
      <w:r w:rsidR="08BC64A4">
        <w:t xml:space="preserve">kosmické formy nebo hylemorfického tělesa. </w:t>
      </w:r>
      <w:r w:rsidR="00C47CBC" w:rsidRPr="00273106">
        <w:t xml:space="preserve">Kvalita už nemá sekundární význam akcidentu vztaženého ke kategoriálně určené druhé substanci, ale stala se </w:t>
      </w:r>
      <w:r w:rsidR="00AB467E" w:rsidRPr="00273106">
        <w:t xml:space="preserve">hypostatickým </w:t>
      </w:r>
      <w:r w:rsidR="00E746D7">
        <w:t xml:space="preserve">jsoucnem </w:t>
      </w:r>
      <w:r w:rsidR="00C47CBC" w:rsidRPr="00273106">
        <w:t xml:space="preserve">určujícím </w:t>
      </w:r>
      <w:r w:rsidR="00AB467E" w:rsidRPr="00273106">
        <w:t xml:space="preserve">novou sérii </w:t>
      </w:r>
      <w:r w:rsidR="00C47CBC" w:rsidRPr="00273106">
        <w:t>jsouc</w:t>
      </w:r>
      <w:r w:rsidR="00AB467E" w:rsidRPr="00273106">
        <w:t>en</w:t>
      </w:r>
      <w:r w:rsidR="00C47CBC" w:rsidRPr="00273106">
        <w:t xml:space="preserve"> třetího druhu. </w:t>
      </w:r>
      <w:r w:rsidR="00733B1E" w:rsidRPr="00273106">
        <w:t xml:space="preserve">Moderní </w:t>
      </w:r>
      <w:r w:rsidR="00763817" w:rsidRPr="00BD4C00">
        <w:rPr>
          <w:i/>
        </w:rPr>
        <w:t>Traktát</w:t>
      </w:r>
      <w:r w:rsidR="00763817" w:rsidRPr="00273106">
        <w:t xml:space="preserve"> definuje predikaci </w:t>
      </w:r>
      <w:r w:rsidR="00D97AAC" w:rsidRPr="00273106">
        <w:rPr>
          <w:i/>
        </w:rPr>
        <w:t>per prius</w:t>
      </w:r>
      <w:r w:rsidR="00D97AAC" w:rsidRPr="00273106">
        <w:t xml:space="preserve"> </w:t>
      </w:r>
      <w:r w:rsidR="00D97AAC">
        <w:t xml:space="preserve">pro </w:t>
      </w:r>
      <w:r w:rsidR="00D97AAC" w:rsidRPr="00273106">
        <w:t xml:space="preserve">moderní </w:t>
      </w:r>
      <w:r w:rsidR="08D6519B">
        <w:t xml:space="preserve">matematické </w:t>
      </w:r>
      <w:r w:rsidR="00D97AAC" w:rsidRPr="00273106">
        <w:t>univerzáli</w:t>
      </w:r>
      <w:r w:rsidR="00D97AAC">
        <w:t>e jako kvantita či diference</w:t>
      </w:r>
      <w:r w:rsidR="00655E06">
        <w:t xml:space="preserve"> v modu </w:t>
      </w:r>
      <w:r w:rsidR="00655E06" w:rsidRPr="00655E06">
        <w:rPr>
          <w:i/>
        </w:rPr>
        <w:t>magis</w:t>
      </w:r>
      <w:r w:rsidR="00655E06">
        <w:t xml:space="preserve"> a </w:t>
      </w:r>
      <w:r w:rsidR="00655E06" w:rsidRPr="00655E06">
        <w:rPr>
          <w:i/>
        </w:rPr>
        <w:t>minus</w:t>
      </w:r>
      <w:r w:rsidR="00240AC9">
        <w:rPr>
          <w:i/>
        </w:rPr>
        <w:fldChar w:fldCharType="begin"/>
      </w:r>
      <w:r w:rsidR="00240AC9">
        <w:instrText xml:space="preserve"> XE "</w:instrText>
      </w:r>
      <w:r w:rsidR="00240AC9" w:rsidRPr="00CC4B24">
        <w:instrText>predikace</w:instrText>
      </w:r>
      <w:r w:rsidR="00240AC9">
        <w:instrText>:</w:instrText>
      </w:r>
      <w:r w:rsidR="00240AC9" w:rsidRPr="00240AC9">
        <w:rPr>
          <w:i/>
        </w:rPr>
        <w:instrText>magis</w:instrText>
      </w:r>
      <w:r w:rsidR="00240AC9">
        <w:instrText>/</w:instrText>
      </w:r>
      <w:r w:rsidR="00240AC9" w:rsidRPr="00240AC9">
        <w:rPr>
          <w:i/>
        </w:rPr>
        <w:instrText>minus</w:instrText>
      </w:r>
      <w:r w:rsidR="00240AC9">
        <w:instrText xml:space="preserve">" </w:instrText>
      </w:r>
      <w:r w:rsidR="00240AC9">
        <w:rPr>
          <w:i/>
        </w:rPr>
        <w:fldChar w:fldCharType="end"/>
      </w:r>
      <w:r w:rsidR="00D97AAC">
        <w:t xml:space="preserve">. Roli druhé substance supluje </w:t>
      </w:r>
      <w:r w:rsidR="001E7890">
        <w:t xml:space="preserve">moderní </w:t>
      </w:r>
      <w:r w:rsidR="00D97AAC">
        <w:t>indiv</w:t>
      </w:r>
      <w:r w:rsidR="001E7890">
        <w:t>i</w:t>
      </w:r>
      <w:r w:rsidR="00D97AAC">
        <w:t>d</w:t>
      </w:r>
      <w:r w:rsidR="001E7890">
        <w:t>u</w:t>
      </w:r>
      <w:r w:rsidR="00D97AAC">
        <w:t>um</w:t>
      </w:r>
      <w:r w:rsidR="00655E06">
        <w:t xml:space="preserve"> a </w:t>
      </w:r>
      <w:r w:rsidR="08011F75">
        <w:t xml:space="preserve">hyparchická </w:t>
      </w:r>
      <w:r w:rsidR="00655E06">
        <w:t>první substance zmizela z predikace úplně</w:t>
      </w:r>
      <w:r w:rsidR="00CB628F">
        <w:fldChar w:fldCharType="begin"/>
      </w:r>
      <w:r w:rsidR="00CB628F">
        <w:instrText xml:space="preserve"> XE "zatmění:substance" </w:instrText>
      </w:r>
      <w:r w:rsidR="00CB628F">
        <w:fldChar w:fldCharType="end"/>
      </w:r>
      <w:r w:rsidR="001E7890">
        <w:t xml:space="preserve">. </w:t>
      </w:r>
      <w:r w:rsidR="00655E06">
        <w:t xml:space="preserve">Individum </w:t>
      </w:r>
      <w:r w:rsidR="00D97AAC">
        <w:t>vzniklo derivací</w:t>
      </w:r>
      <w:r w:rsidR="00322DDA">
        <w:t xml:space="preserve"> </w:t>
      </w:r>
      <w:r w:rsidR="006A04C6" w:rsidRPr="006A04C6">
        <w:t>species</w:t>
      </w:r>
      <w:r w:rsidR="00322DDA">
        <w:t xml:space="preserve"> na poslední úroveň diferenciace dané v rámci dělení</w:t>
      </w:r>
      <w:r w:rsidR="00D97AAC">
        <w:t xml:space="preserve"> </w:t>
      </w:r>
      <w:r w:rsidR="00BB45B1">
        <w:t>Porfyri</w:t>
      </w:r>
      <w:r w:rsidR="00D97AAC">
        <w:t>ova stromu</w:t>
      </w:r>
      <w:r w:rsidR="00322DDA">
        <w:t>. N</w:t>
      </w:r>
      <w:r w:rsidR="00D97AAC">
        <w:t xml:space="preserve">ebo </w:t>
      </w:r>
      <w:r w:rsidR="00322DDA">
        <w:t xml:space="preserve">moderní individuum vzniká </w:t>
      </w:r>
      <w:r w:rsidR="00BD4C00">
        <w:t>v procesu integrace, tedy</w:t>
      </w:r>
      <w:r w:rsidR="00D97AAC">
        <w:t xml:space="preserve"> </w:t>
      </w:r>
      <w:r w:rsidR="00BD4C00">
        <w:t>kolektou</w:t>
      </w:r>
      <w:r w:rsidR="00763817" w:rsidRPr="00273106">
        <w:t xml:space="preserve"> různých pseudo-substancí</w:t>
      </w:r>
      <w:r w:rsidR="009510D5">
        <w:t xml:space="preserve"> a hypostázovaných</w:t>
      </w:r>
      <w:r w:rsidR="08011F75">
        <w:t xml:space="preserve"> </w:t>
      </w:r>
      <w:r w:rsidR="006A04C6" w:rsidRPr="006A04C6">
        <w:t>species</w:t>
      </w:r>
      <w:r w:rsidR="08542819">
        <w:t xml:space="preserve">, které se integrují do </w:t>
      </w:r>
      <w:r w:rsidR="08D92044">
        <w:t xml:space="preserve">takto seskládaného nominálního </w:t>
      </w:r>
      <w:r w:rsidR="08542819">
        <w:t>individua.</w:t>
      </w:r>
      <w:r w:rsidR="00763817" w:rsidRPr="00273106">
        <w:t xml:space="preserve"> </w:t>
      </w:r>
      <w:r w:rsidR="00C47CBC" w:rsidRPr="00273106">
        <w:t>Realita dostala v novém nazírání světa i nový druh rozlišujícího dělení (</w:t>
      </w:r>
      <w:r w:rsidR="00C47CBC" w:rsidRPr="00273106">
        <w:rPr>
          <w:i/>
        </w:rPr>
        <w:t>discretio</w:t>
      </w:r>
      <w:r w:rsidR="00C47CBC" w:rsidRPr="00273106">
        <w:t xml:space="preserve">) určující poslední významový prvek daný až na konci řady dělení jsoucna. Připomeňme </w:t>
      </w:r>
      <w:r w:rsidR="08632812">
        <w:t xml:space="preserve">původ </w:t>
      </w:r>
      <w:r w:rsidR="00C47CBC" w:rsidRPr="00273106">
        <w:t xml:space="preserve">tohoto </w:t>
      </w:r>
      <w:r w:rsidR="00E879F0">
        <w:t xml:space="preserve">dialektického </w:t>
      </w:r>
      <w:r w:rsidR="00C47CBC" w:rsidRPr="00273106">
        <w:t xml:space="preserve">dělení v dialogu </w:t>
      </w:r>
      <w:r w:rsidR="00BD4C00">
        <w:rPr>
          <w:i/>
        </w:rPr>
        <w:t>Sofiste</w:t>
      </w:r>
      <w:r w:rsidR="00C47CBC" w:rsidRPr="00BD4C00">
        <w:rPr>
          <w:i/>
        </w:rPr>
        <w:t>s</w:t>
      </w:r>
      <w:r w:rsidR="00C47CBC" w:rsidRPr="00273106">
        <w:t xml:space="preserve">, kde se tímto dělením rodů na </w:t>
      </w:r>
      <w:r w:rsidR="08606F99">
        <w:t xml:space="preserve">druhy </w:t>
      </w:r>
      <w:r w:rsidR="00C47CBC" w:rsidRPr="00273106">
        <w:t xml:space="preserve">hledá poslední definice sofisty (τῆς τῶν γενῶν κατ᾽ εἴδη διαιρέσεως, </w:t>
      </w:r>
      <w:r w:rsidR="00C47CBC" w:rsidRPr="00273106">
        <w:rPr>
          <w:i/>
        </w:rPr>
        <w:t>Soph</w:t>
      </w:r>
      <w:r w:rsidR="00C47CBC" w:rsidRPr="00273106">
        <w:t>. 267d5‒6</w:t>
      </w:r>
      <w:r w:rsidR="00E67D4E">
        <w:fldChar w:fldCharType="begin"/>
      </w:r>
      <w:r w:rsidR="00E67D4E">
        <w:instrText xml:space="preserve"> XE "</w:instrText>
      </w:r>
      <w:r w:rsidR="008E02F5">
        <w:instrText>Platon</w:instrText>
      </w:r>
      <w:r w:rsidR="00E67D4E">
        <w:instrText>:</w:instrText>
      </w:r>
      <w:r w:rsidR="00E67D4E" w:rsidRPr="00456E7E">
        <w:rPr>
          <w:i/>
        </w:rPr>
        <w:instrText>Soph</w:instrText>
      </w:r>
      <w:r w:rsidR="00E67D4E" w:rsidRPr="00456E7E">
        <w:instrText>. 267d5‒6</w:instrText>
      </w:r>
      <w:r w:rsidR="00E67D4E">
        <w:instrText xml:space="preserve">" </w:instrText>
      </w:r>
      <w:r w:rsidR="00E67D4E">
        <w:fldChar w:fldCharType="end"/>
      </w:r>
      <w:r w:rsidR="00C47CBC" w:rsidRPr="00273106">
        <w:t xml:space="preserve">). </w:t>
      </w:r>
      <w:r w:rsidR="08471EA7">
        <w:t xml:space="preserve">Platon je realista a dobře ví, že nejprve existuje reálný sofista a pak se teprve hledá jeho problematické umění, které vyrábí simulákra. Proto nelze otočit dělení univerzálií a jít od pojmu k realitě, protože tím by vznikla nová produkce simuláker. </w:t>
      </w:r>
      <w:r w:rsidR="08BF1852">
        <w:t xml:space="preserve">Dialog </w:t>
      </w:r>
      <w:r w:rsidR="08471EA7">
        <w:t xml:space="preserve">přikazuje, že se musí dělit významy pouze doprava, tedy jedním směrem. </w:t>
      </w:r>
      <w:r w:rsidR="08471EA7" w:rsidRPr="08471EA7">
        <w:t xml:space="preserve">Platón jako první dialektik navrhuje metodický postup v modu </w:t>
      </w:r>
      <w:r w:rsidR="085F3FF1">
        <w:t xml:space="preserve">trvalé </w:t>
      </w:r>
      <w:r w:rsidR="08471EA7" w:rsidRPr="08471EA7">
        <w:t>orthotomie</w:t>
      </w:r>
      <w:r w:rsidR="08EB44A7">
        <w:fldChar w:fldCharType="begin"/>
      </w:r>
      <w:r w:rsidR="08EB44A7">
        <w:instrText xml:space="preserve"> XE "</w:instrText>
      </w:r>
      <w:r w:rsidR="08EB44A7" w:rsidRPr="08DB16B4">
        <w:instrText>orthotomie</w:instrText>
      </w:r>
      <w:r w:rsidR="08EB44A7">
        <w:instrText xml:space="preserve">" </w:instrText>
      </w:r>
      <w:r w:rsidR="08EB44A7">
        <w:fldChar w:fldCharType="end"/>
      </w:r>
      <w:r w:rsidR="08471EA7">
        <w:t xml:space="preserve"> a odděluje</w:t>
      </w:r>
      <w:r w:rsidR="08471EA7" w:rsidRPr="08471EA7">
        <w:t xml:space="preserve"> v modu </w:t>
      </w:r>
      <w:r w:rsidR="08471EA7" w:rsidRPr="08471EA7">
        <w:rPr>
          <w:i/>
        </w:rPr>
        <w:t>per prius</w:t>
      </w:r>
      <w:r w:rsidR="08471EA7" w:rsidRPr="08471EA7">
        <w:t xml:space="preserve"> sofistická simulákra od reality (πορεύεσθαι κατὰ τοὐπὶ δεξιὰ ἀεὶ, </w:t>
      </w:r>
      <w:r w:rsidR="08471EA7" w:rsidRPr="08BF1852">
        <w:rPr>
          <w:i/>
        </w:rPr>
        <w:t>Soph</w:t>
      </w:r>
      <w:r w:rsidR="084A3999">
        <w:t xml:space="preserve">. </w:t>
      </w:r>
      <w:r w:rsidR="08471EA7" w:rsidRPr="08471EA7">
        <w:t>265a1</w:t>
      </w:r>
      <w:r w:rsidR="08471EA7" w:rsidRPr="08471EA7">
        <w:fldChar w:fldCharType="begin"/>
      </w:r>
      <w:r w:rsidR="084A3999">
        <w:instrText xml:space="preserve"> XE "Platon:</w:instrText>
      </w:r>
      <w:r w:rsidR="084A3999" w:rsidRPr="084A3999">
        <w:rPr>
          <w:i/>
        </w:rPr>
        <w:instrText>Soph</w:instrText>
      </w:r>
      <w:r w:rsidR="084A3999">
        <w:instrText xml:space="preserve">. </w:instrText>
      </w:r>
      <w:r w:rsidR="08471EA7" w:rsidRPr="08471EA7">
        <w:instrText xml:space="preserve">265a1" </w:instrText>
      </w:r>
      <w:r w:rsidR="08471EA7" w:rsidRPr="08471EA7">
        <w:fldChar w:fldCharType="end"/>
      </w:r>
      <w:r w:rsidR="08471EA7" w:rsidRPr="08471EA7">
        <w:t>).</w:t>
      </w:r>
      <w:r w:rsidR="08471EA7">
        <w:t xml:space="preserve"> </w:t>
      </w:r>
      <w:r w:rsidR="00E7674A" w:rsidRPr="00E7674A">
        <w:t>Ortotomie zajišťuje jediný správný směr dělení významu. Naproti tomu diskrétní vidění světa získalo zcela homonymní charakter poznamenaný matematikou.</w:t>
      </w:r>
      <w:r w:rsidR="00E7674A">
        <w:t xml:space="preserve"> </w:t>
      </w:r>
      <w:r w:rsidR="088B4B74">
        <w:t xml:space="preserve">Moderní ilumináti typu porretánů a </w:t>
      </w:r>
      <w:r w:rsidR="088B4B74" w:rsidRPr="085F3FF1">
        <w:rPr>
          <w:i/>
        </w:rPr>
        <w:t>Nominales</w:t>
      </w:r>
      <w:r w:rsidR="088B4B74">
        <w:t xml:space="preserve"> už běhají po mystickém Jakubově žebříku</w:t>
      </w:r>
      <w:r w:rsidR="088B4B74">
        <w:fldChar w:fldCharType="begin"/>
      </w:r>
      <w:r w:rsidR="088B4B74">
        <w:instrText xml:space="preserve"> XE "</w:instrText>
      </w:r>
      <w:r w:rsidR="088B4B74" w:rsidRPr="087178DC">
        <w:instrText>Jakubův žebřík</w:instrText>
      </w:r>
      <w:r w:rsidR="088B4B74">
        <w:instrText xml:space="preserve">" </w:instrText>
      </w:r>
      <w:r w:rsidR="088B4B74">
        <w:fldChar w:fldCharType="end"/>
      </w:r>
      <w:r w:rsidR="088B4B74">
        <w:t xml:space="preserve"> simuláker nahoru a dolů, od reality k objektivitě a zase zpět, protože mohou </w:t>
      </w:r>
      <w:r w:rsidR="00AF287B">
        <w:t xml:space="preserve">a musí </w:t>
      </w:r>
      <w:r w:rsidR="088B4B74">
        <w:t>cokoliv mytopoeticky rozložit a zase</w:t>
      </w:r>
      <w:r w:rsidR="088B4B74" w:rsidRPr="088B4B74">
        <w:t xml:space="preserve"> </w:t>
      </w:r>
      <w:r w:rsidR="088B4B74">
        <w:t xml:space="preserve">složit. </w:t>
      </w:r>
      <w:r w:rsidR="083B49E6">
        <w:t xml:space="preserve">Múzické vědění celku </w:t>
      </w:r>
      <w:r w:rsidR="08781CB1">
        <w:t>přeš</w:t>
      </w:r>
      <w:r w:rsidR="083B49E6">
        <w:t xml:space="preserve">lo pod vlivem Fúrií na </w:t>
      </w:r>
      <w:r w:rsidR="00800661">
        <w:t>formu objektivně pojaté matematiky</w:t>
      </w:r>
      <w:r w:rsidR="00274E43">
        <w:t xml:space="preserve"> jako první vědy</w:t>
      </w:r>
      <w:r w:rsidR="00800661">
        <w:t>. Metafyzicky viděno, jde o čistou paranoiu</w:t>
      </w:r>
      <w:r w:rsidR="083B49E6">
        <w:t xml:space="preserve">. </w:t>
      </w:r>
      <w:r w:rsidR="00C47CBC" w:rsidRPr="00273106">
        <w:lastRenderedPageBreak/>
        <w:t xml:space="preserve">Místo první substance nastupuje ve škole </w:t>
      </w:r>
      <w:r w:rsidR="00C47CBC" w:rsidRPr="00273106">
        <w:rPr>
          <w:i/>
        </w:rPr>
        <w:t>Nominales</w:t>
      </w:r>
      <w:r w:rsidR="00C47CBC" w:rsidRPr="00273106">
        <w:t xml:space="preserve"> univoční substance třetího druhu, která nakonec zrušila i kategoriální smysl druhé substance.</w:t>
      </w:r>
      <w:r w:rsidR="00AC32FB" w:rsidRPr="00273106">
        <w:t xml:space="preserve"> </w:t>
      </w:r>
      <w:r w:rsidR="007F6B20">
        <w:t>V</w:t>
      </w:r>
      <w:r w:rsidR="007F6B20" w:rsidRPr="00273106">
        <w:t xml:space="preserve"> rámci metafyzické abstrakce Aristotela</w:t>
      </w:r>
      <w:r w:rsidR="007F6B20">
        <w:t xml:space="preserve"> je u</w:t>
      </w:r>
      <w:r w:rsidR="00AC32FB" w:rsidRPr="00273106">
        <w:t xml:space="preserve">nivočně daná podobnost moderních hypostází </w:t>
      </w:r>
      <w:r w:rsidR="007F6B20">
        <w:t>vyloučena</w:t>
      </w:r>
      <w:r w:rsidR="08BF0315">
        <w:t>. Mystické mytopoetické</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BF0315">
        <w:t xml:space="preserve"> určení jsoucna šlo o jeden řád výš, až k nově koncipovanému bohu křesťanských </w:t>
      </w:r>
      <w:r w:rsidR="08BF0315" w:rsidRPr="08BF0315">
        <w:rPr>
          <w:i/>
        </w:rPr>
        <w:t>Modernorum</w:t>
      </w:r>
      <w:r w:rsidR="08BF0315">
        <w:t>. Aristotelské určení pravdy a kategoriální predikace bylo</w:t>
      </w:r>
      <w:r w:rsidR="00AC32FB" w:rsidRPr="00273106">
        <w:t xml:space="preserve"> </w:t>
      </w:r>
      <w:r w:rsidR="08BF0315">
        <w:t xml:space="preserve">naopak </w:t>
      </w:r>
      <w:r w:rsidR="00763817" w:rsidRPr="00273106">
        <w:t>umístě</w:t>
      </w:r>
      <w:r w:rsidR="08BF0315">
        <w:t>no</w:t>
      </w:r>
      <w:r w:rsidR="00763817" w:rsidRPr="00273106">
        <w:t xml:space="preserve"> o </w:t>
      </w:r>
      <w:r w:rsidR="08BF0315">
        <w:t xml:space="preserve">jedno </w:t>
      </w:r>
      <w:r w:rsidR="00AC32FB" w:rsidRPr="00273106">
        <w:t>patro níž</w:t>
      </w:r>
      <w:r w:rsidR="08781CB1">
        <w:t>, do reálné substance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AC32FB" w:rsidRPr="00273106">
        <w:t>.</w:t>
      </w:r>
    </w:p>
    <w:p w14:paraId="35196AC1" w14:textId="13CEBB89" w:rsidR="08487D66" w:rsidRDefault="00CB3E4F" w:rsidP="006328B7">
      <w:pPr>
        <w:ind w:firstLine="397"/>
      </w:pPr>
      <w:r>
        <w:t>Abélard</w:t>
      </w:r>
      <w:r w:rsidR="00BD51C2" w:rsidRPr="00273106">
        <w:t xml:space="preserve"> drží </w:t>
      </w:r>
      <w:r w:rsidR="00BD51C2">
        <w:t xml:space="preserve">metafyzické </w:t>
      </w:r>
      <w:r w:rsidR="00BD51C2" w:rsidRPr="00273106">
        <w:t xml:space="preserve">určení </w:t>
      </w:r>
      <w:r w:rsidR="00BD51C2" w:rsidRPr="00273106">
        <w:rPr>
          <w:i/>
        </w:rPr>
        <w:t>per prius</w:t>
      </w:r>
      <w:r w:rsidR="00BD51C2" w:rsidRPr="00273106">
        <w:t xml:space="preserve"> </w:t>
      </w:r>
      <w:r w:rsidR="00BD51C2">
        <w:t xml:space="preserve">pouze </w:t>
      </w:r>
      <w:r w:rsidR="00BD51C2" w:rsidRPr="00273106">
        <w:t xml:space="preserve">od reálné věci, protože jen ta je dána </w:t>
      </w:r>
      <w:r w:rsidR="00BD51C2" w:rsidRPr="00273106">
        <w:rPr>
          <w:i/>
        </w:rPr>
        <w:t>simpliciter</w:t>
      </w:r>
      <w:r w:rsidR="00BD51C2" w:rsidRPr="00273106">
        <w:t xml:space="preserve"> v podobě </w:t>
      </w:r>
      <w:r w:rsidR="00295F70">
        <w:t xml:space="preserve">nedělitelné, aktuální a  zcela soběstačné první substance </w:t>
      </w:r>
      <w:r w:rsidR="00BD51C2" w:rsidRPr="00273106">
        <w:t>(</w:t>
      </w:r>
      <w:r w:rsidR="00BD51C2" w:rsidRPr="00273106">
        <w:rPr>
          <w:i/>
        </w:rPr>
        <w:t>totum integrum</w:t>
      </w:r>
      <w:r w:rsidR="00345D28">
        <w:rPr>
          <w:i/>
        </w:rPr>
        <w:fldChar w:fldCharType="begin"/>
      </w:r>
      <w:r w:rsidR="00345D28">
        <w:instrText xml:space="preserve"> XE "</w:instrText>
      </w:r>
      <w:r w:rsidR="00345D28" w:rsidRPr="00A61533">
        <w:rPr>
          <w:i/>
        </w:rPr>
        <w:instrText>totum integrum</w:instrText>
      </w:r>
      <w:r w:rsidR="00345D28">
        <w:instrText xml:space="preserve">" </w:instrText>
      </w:r>
      <w:r w:rsidR="00345D28">
        <w:rPr>
          <w:i/>
        </w:rPr>
        <w:fldChar w:fldCharType="end"/>
      </w:r>
      <w:r w:rsidR="00BD51C2" w:rsidRPr="00273106">
        <w:t xml:space="preserve">). </w:t>
      </w:r>
      <w:r w:rsidR="00BD4C00">
        <w:t>Místo první substance začala vláda nihilistického individua</w:t>
      </w:r>
      <w:r w:rsidR="08A91F7B">
        <w:t xml:space="preserve"> </w:t>
      </w:r>
      <w:r w:rsidR="088D6A5F">
        <w:t xml:space="preserve">manifestovaného jako simulákrum reality </w:t>
      </w:r>
      <w:r w:rsidR="08A91F7B">
        <w:t>v poli neoplato</w:t>
      </w:r>
      <w:r w:rsidR="08A91F7B" w:rsidRPr="00273106">
        <w:t>nské matematické abstrakce</w:t>
      </w:r>
      <w:r w:rsidR="00BD4C00">
        <w:t xml:space="preserve">. </w:t>
      </w:r>
      <w:r w:rsidR="08781CB1">
        <w:t xml:space="preserve">Porfýriovo </w:t>
      </w:r>
      <w:r w:rsidR="08781CB1" w:rsidRPr="00273106">
        <w:t xml:space="preserve">dělení </w:t>
      </w:r>
      <w:r w:rsidR="08781CB1">
        <w:t>univerzálií převzaté</w:t>
      </w:r>
      <w:r w:rsidR="08781CB1" w:rsidRPr="00273106">
        <w:t xml:space="preserve"> latinským Západem v </w:t>
      </w:r>
      <w:r w:rsidR="08781CB1">
        <w:t xml:space="preserve">pohybu </w:t>
      </w:r>
      <w:r w:rsidR="08781CB1" w:rsidRPr="00273106">
        <w:t xml:space="preserve">diferencí </w:t>
      </w:r>
      <w:r w:rsidR="08781CB1">
        <w:t xml:space="preserve">určujících </w:t>
      </w:r>
      <w:r w:rsidR="08781CB1" w:rsidRPr="00273106">
        <w:rPr>
          <w:i/>
        </w:rPr>
        <w:t>Arbor Porphyriana</w:t>
      </w:r>
      <w:r w:rsidR="08781CB1">
        <w:rPr>
          <w:i/>
        </w:rPr>
        <w:fldChar w:fldCharType="begin"/>
      </w:r>
      <w:r w:rsidR="08781CB1">
        <w:instrText xml:space="preserve"> XE "</w:instrText>
      </w:r>
      <w:r w:rsidR="08781CB1" w:rsidRPr="00227C7B">
        <w:rPr>
          <w:i/>
        </w:rPr>
        <w:instrText>Arbor Porphyriana</w:instrText>
      </w:r>
      <w:r w:rsidR="08781CB1">
        <w:instrText xml:space="preserve">" </w:instrText>
      </w:r>
      <w:r w:rsidR="08781CB1">
        <w:rPr>
          <w:i/>
        </w:rPr>
        <w:fldChar w:fldCharType="end"/>
      </w:r>
      <w:r w:rsidR="08781CB1">
        <w:t xml:space="preserve"> se stalo základním viděním reality. </w:t>
      </w:r>
      <w:r w:rsidR="00AC32FB" w:rsidRPr="00273106">
        <w:t>Na latinském Západě vznikl po vzoru Jamblicha a Simplikia nový druh kvazi-materie individualizující moderní jsoucno třetího druhu</w:t>
      </w:r>
      <w:r w:rsidR="008E1FA9" w:rsidRPr="00273106">
        <w:t xml:space="preserve"> v hypostatických veličinách čísla a rozsažnosti</w:t>
      </w:r>
      <w:r w:rsidR="084A444D">
        <w:t xml:space="preserve"> určujících v modu </w:t>
      </w:r>
      <w:r w:rsidR="00634500" w:rsidRPr="00634500">
        <w:rPr>
          <w:i/>
        </w:rPr>
        <w:t>magis</w:t>
      </w:r>
      <w:r w:rsidR="084A444D">
        <w:t xml:space="preserve"> a </w:t>
      </w:r>
      <w:r w:rsidR="00634500" w:rsidRPr="00634500">
        <w:rPr>
          <w:i/>
        </w:rPr>
        <w:t>minus</w:t>
      </w:r>
      <w:r w:rsidR="00634500">
        <w:t xml:space="preserve"> nové bytí jsoucna třetího druhu</w:t>
      </w:r>
      <w:r w:rsidR="00994CDC">
        <w:t>. Matematika</w:t>
      </w:r>
      <w:r w:rsidR="00E67D4E">
        <w:fldChar w:fldCharType="begin"/>
      </w:r>
      <w:r w:rsidR="00E67D4E">
        <w:instrText xml:space="preserve"> XE "</w:instrText>
      </w:r>
      <w:r w:rsidR="00E67D4E" w:rsidRPr="00DC040D">
        <w:instrText>matematika</w:instrText>
      </w:r>
      <w:r w:rsidR="00E67D4E">
        <w:instrText xml:space="preserve">" </w:instrText>
      </w:r>
      <w:r w:rsidR="00E67D4E">
        <w:fldChar w:fldCharType="end"/>
      </w:r>
      <w:r w:rsidR="00994CDC">
        <w:t xml:space="preserve"> </w:t>
      </w:r>
      <w:r w:rsidR="00AC32FB" w:rsidRPr="00273106">
        <w:t>dostala v nově upraveném neoplatoni</w:t>
      </w:r>
      <w:r w:rsidR="00BD4C00">
        <w:t>s</w:t>
      </w:r>
      <w:r w:rsidR="00AC32FB" w:rsidRPr="00273106">
        <w:t>mu metafyzický status, který nemohla mít v klasickém aristotelismu</w:t>
      </w:r>
      <w:r w:rsidR="00F446B3" w:rsidRPr="00273106">
        <w:t xml:space="preserve">. </w:t>
      </w:r>
      <w:r w:rsidR="001537C3" w:rsidRPr="00273106">
        <w:t>Autor</w:t>
      </w:r>
      <w:r w:rsidR="084A444D">
        <w:t xml:space="preserve"> </w:t>
      </w:r>
      <w:r w:rsidR="084A444D" w:rsidRPr="084A444D">
        <w:rPr>
          <w:i/>
        </w:rPr>
        <w:t>Traktátu</w:t>
      </w:r>
      <w:r w:rsidR="084A444D">
        <w:t xml:space="preserve"> majestátním plurálem </w:t>
      </w:r>
      <w:r w:rsidR="001537C3" w:rsidRPr="00273106">
        <w:rPr>
          <w:i/>
        </w:rPr>
        <w:t>discrete videamus</w:t>
      </w:r>
      <w:r w:rsidR="00E67D4E">
        <w:rPr>
          <w:i/>
        </w:rPr>
        <w:fldChar w:fldCharType="begin"/>
      </w:r>
      <w:r w:rsidR="00E67D4E">
        <w:instrText xml:space="preserve"> XE "</w:instrText>
      </w:r>
      <w:r w:rsidR="00E67D4E" w:rsidRPr="00C3766F">
        <w:rPr>
          <w:i/>
        </w:rPr>
        <w:instrText>discrete videamus</w:instrText>
      </w:r>
      <w:r w:rsidR="00E67D4E">
        <w:instrText xml:space="preserve">" </w:instrText>
      </w:r>
      <w:r w:rsidR="00E67D4E">
        <w:rPr>
          <w:i/>
        </w:rPr>
        <w:fldChar w:fldCharType="end"/>
      </w:r>
      <w:r w:rsidR="001537C3" w:rsidRPr="00273106">
        <w:t xml:space="preserve"> ohlašuje jménem prvních modernistů vznik nového </w:t>
      </w:r>
      <w:r w:rsidR="001537C3" w:rsidRPr="00273106">
        <w:rPr>
          <w:i/>
        </w:rPr>
        <w:t>Weltanschauung</w:t>
      </w:r>
      <w:r w:rsidR="00ED633A">
        <w:rPr>
          <w:i/>
        </w:rPr>
        <w:fldChar w:fldCharType="begin"/>
      </w:r>
      <w:r w:rsidR="00ED633A">
        <w:instrText xml:space="preserve"> XE "</w:instrText>
      </w:r>
      <w:r w:rsidR="00ED633A" w:rsidRPr="001E5389">
        <w:rPr>
          <w:i/>
        </w:rPr>
        <w:instrText>Weltanschauung</w:instrText>
      </w:r>
      <w:r w:rsidR="00ED633A">
        <w:instrText xml:space="preserve">" </w:instrText>
      </w:r>
      <w:r w:rsidR="00ED633A">
        <w:rPr>
          <w:i/>
        </w:rPr>
        <w:fldChar w:fldCharType="end"/>
      </w:r>
      <w:r w:rsidR="00BB47EC">
        <w:t xml:space="preserve"> daného infinitezimálním počtem. </w:t>
      </w:r>
      <w:r w:rsidR="00AB468F" w:rsidRPr="00273106">
        <w:t xml:space="preserve">Zavedení univerzální analogie </w:t>
      </w:r>
      <w:r w:rsidR="0856479F">
        <w:t xml:space="preserve">a třídění jsoucen třetího druhu </w:t>
      </w:r>
      <w:r w:rsidR="00AB468F" w:rsidRPr="00273106">
        <w:t xml:space="preserve">umožnilo, aby </w:t>
      </w:r>
      <w:r w:rsidR="00FA48CA">
        <w:t xml:space="preserve">formální </w:t>
      </w:r>
      <w:r w:rsidR="00AB468F" w:rsidRPr="00273106">
        <w:t xml:space="preserve">matematika </w:t>
      </w:r>
      <w:r w:rsidR="00FA48CA">
        <w:t xml:space="preserve">esencí </w:t>
      </w:r>
      <w:r w:rsidR="00AB468F" w:rsidRPr="00273106">
        <w:t>determinovala nové pojetí kvantity a materie, čímž zásadně urychlila zavedení nového vidění světa.</w:t>
      </w:r>
      <w:r w:rsidR="00AB468F">
        <w:t xml:space="preserve"> </w:t>
      </w:r>
      <w:r w:rsidR="00AB468F" w:rsidRPr="00273106">
        <w:rPr>
          <w:rStyle w:val="Zkladntext15dkovn0pt"/>
          <w:rFonts w:ascii="Calibri" w:eastAsia="Times" w:hAnsi="Calibri" w:cs="Times New Roman"/>
          <w:b w:val="0"/>
          <w:bCs w:val="0"/>
          <w:color w:val="auto"/>
          <w:sz w:val="24"/>
          <w:lang w:val="cs-CZ"/>
        </w:rPr>
        <w:t>V</w:t>
      </w:r>
      <w:r w:rsidR="00AB468F" w:rsidRPr="00273106">
        <w:rPr>
          <w:rStyle w:val="Zkladntext158dkovn0pt"/>
          <w:color w:val="auto"/>
          <w:spacing w:val="0"/>
          <w:sz w:val="24"/>
          <w:lang w:val="cs-CZ"/>
        </w:rPr>
        <w:t xml:space="preserve">zniklo </w:t>
      </w:r>
      <w:r w:rsidR="00AB468F" w:rsidRPr="00273106">
        <w:rPr>
          <w:rStyle w:val="Zkladntext15dkovn0pt"/>
          <w:rFonts w:ascii="Calibri" w:eastAsia="Times" w:hAnsi="Calibri" w:cs="Times New Roman"/>
          <w:b w:val="0"/>
          <w:bCs w:val="0"/>
          <w:color w:val="auto"/>
          <w:sz w:val="24"/>
          <w:lang w:val="cs-CZ"/>
        </w:rPr>
        <w:t>nové univerzální určení jsoucna v rámci diskrétního vidění matematické abstrakce</w:t>
      </w:r>
      <w:r w:rsidR="00EB4045">
        <w:rPr>
          <w:rStyle w:val="Zkladntext15dkovn0pt"/>
          <w:rFonts w:ascii="Calibri" w:eastAsia="Times" w:hAnsi="Calibri" w:cs="Times New Roman"/>
          <w:b w:val="0"/>
          <w:bCs w:val="0"/>
          <w:color w:val="auto"/>
          <w:sz w:val="24"/>
          <w:lang w:val="cs-CZ"/>
        </w:rPr>
        <w:fldChar w:fldCharType="begin"/>
      </w:r>
      <w:r w:rsidR="00EB4045">
        <w:instrText xml:space="preserve"> XE "</w:instrText>
      </w:r>
      <w:r w:rsidR="00EB4045" w:rsidRPr="00A824F0">
        <w:instrText>abstrakce:matematická</w:instrText>
      </w:r>
      <w:r w:rsidR="00EB4045">
        <w:instrText xml:space="preserve">" </w:instrText>
      </w:r>
      <w:r w:rsidR="00EB4045">
        <w:rPr>
          <w:rStyle w:val="Zkladntext15dkovn0pt"/>
          <w:rFonts w:ascii="Calibri" w:eastAsia="Times" w:hAnsi="Calibri" w:cs="Times New Roman"/>
          <w:b w:val="0"/>
          <w:bCs w:val="0"/>
          <w:color w:val="auto"/>
          <w:sz w:val="24"/>
          <w:lang w:val="cs-CZ"/>
        </w:rPr>
        <w:fldChar w:fldCharType="end"/>
      </w:r>
      <w:r w:rsidR="00AB468F" w:rsidRPr="00273106">
        <w:rPr>
          <w:rStyle w:val="Zkladntext15dkovn0pt"/>
          <w:rFonts w:ascii="Calibri" w:eastAsia="Times" w:hAnsi="Calibri" w:cs="Times New Roman"/>
          <w:b w:val="0"/>
          <w:bCs w:val="0"/>
          <w:color w:val="auto"/>
          <w:sz w:val="24"/>
          <w:lang w:val="cs-CZ"/>
        </w:rPr>
        <w:t xml:space="preserve"> směřující k poslednímu již nedělitelnému prvku reality. </w:t>
      </w:r>
      <w:r w:rsidR="00AB468F" w:rsidRPr="00273106">
        <w:rPr>
          <w:rStyle w:val="Zkladntext158dkovn0pt"/>
          <w:color w:val="auto"/>
          <w:spacing w:val="0"/>
          <w:sz w:val="24"/>
          <w:lang w:val="cs-CZ"/>
        </w:rPr>
        <w:t>Toto diskrétní vidění reality převzala matematika 17. století v podobě derivace</w:t>
      </w:r>
      <w:r w:rsidR="007A3BB7">
        <w:rPr>
          <w:rStyle w:val="Zkladntext158dkovn0pt"/>
          <w:color w:val="auto"/>
          <w:spacing w:val="0"/>
          <w:sz w:val="24"/>
          <w:lang w:val="cs-CZ"/>
        </w:rPr>
        <w:fldChar w:fldCharType="begin"/>
      </w:r>
      <w:r w:rsidR="007A3BB7">
        <w:instrText xml:space="preserve"> XE "</w:instrText>
      </w:r>
      <w:r w:rsidR="007A3BB7" w:rsidRPr="00D8784E">
        <w:instrText>derivace</w:instrText>
      </w:r>
      <w:r w:rsidR="007A3BB7">
        <w:instrText xml:space="preserve">" </w:instrText>
      </w:r>
      <w:r w:rsidR="007A3BB7">
        <w:rPr>
          <w:rStyle w:val="Zkladntext158dkovn0pt"/>
          <w:color w:val="auto"/>
          <w:spacing w:val="0"/>
          <w:sz w:val="24"/>
          <w:lang w:val="cs-CZ"/>
        </w:rPr>
        <w:fldChar w:fldCharType="end"/>
      </w:r>
      <w:r w:rsidR="00AB468F" w:rsidRPr="00273106">
        <w:rPr>
          <w:rStyle w:val="Zkladntext158dkovn0pt"/>
          <w:color w:val="auto"/>
          <w:spacing w:val="0"/>
          <w:sz w:val="24"/>
          <w:lang w:val="cs-CZ"/>
        </w:rPr>
        <w:t xml:space="preserve"> a integrace (</w:t>
      </w:r>
      <w:r w:rsidR="00AB468F" w:rsidRPr="00273106">
        <w:rPr>
          <w:bCs/>
        </w:rPr>
        <w:t>I. Barrow</w:t>
      </w:r>
      <w:r w:rsidR="00AB468F" w:rsidRPr="00273106">
        <w:rPr>
          <w:b/>
          <w:bCs/>
        </w:rPr>
        <w:t xml:space="preserve">, </w:t>
      </w:r>
      <w:r w:rsidR="00AB468F" w:rsidRPr="00273106">
        <w:t>G. W. Leibniz</w:t>
      </w:r>
      <w:r w:rsidR="00AB468F" w:rsidRPr="00273106">
        <w:rPr>
          <w:rStyle w:val="Zkladntext158dkovn0pt"/>
          <w:color w:val="auto"/>
          <w:spacing w:val="0"/>
          <w:sz w:val="24"/>
          <w:lang w:val="cs-CZ"/>
        </w:rPr>
        <w:t xml:space="preserve">). Postmoderní </w:t>
      </w:r>
      <w:r w:rsidR="00AB468F" w:rsidRPr="00273106">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07D3515" w:rsidRPr="007D3515">
        <w:instrText>matematika</w:instrText>
      </w:r>
      <w:r w:rsidR="005A68A7">
        <w:instrText xml:space="preserve">" </w:instrText>
      </w:r>
      <w:r w:rsidR="005A68A7">
        <w:rPr>
          <w:i/>
        </w:rPr>
        <w:fldChar w:fldCharType="end"/>
      </w:r>
      <w:r w:rsidR="084A444D">
        <w:t xml:space="preserve"> a </w:t>
      </w:r>
      <w:r w:rsidR="00AB468F" w:rsidRPr="00273106">
        <w:rPr>
          <w:i/>
        </w:rPr>
        <w:t>compositio</w:t>
      </w:r>
      <w:r w:rsidR="007A3BB7">
        <w:rPr>
          <w:i/>
        </w:rPr>
        <w:fldChar w:fldCharType="begin"/>
      </w:r>
      <w:r w:rsidR="007A3BB7">
        <w:instrText xml:space="preserve"> XE "</w:instrText>
      </w:r>
      <w:r w:rsidR="007A3BB7" w:rsidRPr="006B120B">
        <w:rPr>
          <w:i/>
        </w:rPr>
        <w:instrText>compositio</w:instrText>
      </w:r>
      <w:r w:rsidR="007A3BB7">
        <w:instrText xml:space="preserve">" </w:instrText>
      </w:r>
      <w:r w:rsidR="007A3BB7">
        <w:rPr>
          <w:i/>
        </w:rPr>
        <w:fldChar w:fldCharType="end"/>
      </w:r>
      <w:r w:rsidR="00AB468F" w:rsidRPr="00273106">
        <w:t xml:space="preserve"> </w:t>
      </w:r>
      <w:r w:rsidR="00AB468F" w:rsidRPr="00273106">
        <w:rPr>
          <w:rStyle w:val="Zkladntext158dkovn0pt"/>
          <w:color w:val="auto"/>
          <w:spacing w:val="0"/>
          <w:sz w:val="24"/>
          <w:lang w:val="cs-CZ"/>
        </w:rPr>
        <w:t>diferenciálního a integrálního počtu</w:t>
      </w:r>
      <w:r w:rsidR="00AB468F" w:rsidRPr="00273106">
        <w:t xml:space="preserve"> </w:t>
      </w:r>
      <w:r w:rsidR="00E67D4E">
        <w:rPr>
          <w:rStyle w:val="Zkladntext158dkovn0pt"/>
          <w:color w:val="auto"/>
          <w:spacing w:val="0"/>
          <w:sz w:val="24"/>
          <w:lang w:val="cs-CZ"/>
        </w:rPr>
        <w:fldChar w:fldCharType="begin"/>
      </w:r>
      <w:r w:rsidR="00E67D4E">
        <w:instrText xml:space="preserve"> XE "integrace" </w:instrText>
      </w:r>
      <w:r w:rsidR="00E67D4E">
        <w:rPr>
          <w:rStyle w:val="Zkladntext158dkovn0pt"/>
          <w:color w:val="auto"/>
          <w:spacing w:val="0"/>
          <w:sz w:val="24"/>
          <w:lang w:val="cs-CZ"/>
        </w:rPr>
        <w:fldChar w:fldCharType="end"/>
      </w:r>
      <w:r w:rsidR="00AB468F" w:rsidRPr="00273106">
        <w:t xml:space="preserve">už charakterizuje nihilistickou formu metafyziky </w:t>
      </w:r>
      <w:r w:rsidR="00AB468F" w:rsidRPr="00273106">
        <w:rPr>
          <w:i/>
        </w:rPr>
        <w:t>Modernorum</w:t>
      </w:r>
      <w:r w:rsidR="00AB468F" w:rsidRPr="00273106">
        <w:t xml:space="preserve">, kdy je diskrétní vidění </w:t>
      </w:r>
      <w:r w:rsidR="08F5660D">
        <w:t xml:space="preserve">světa dané v aritmetickém modu </w:t>
      </w:r>
      <w:r w:rsidR="00AB468F" w:rsidRPr="00273106">
        <w:rPr>
          <w:i/>
        </w:rPr>
        <w:t>magis</w:t>
      </w:r>
      <w:r w:rsidR="08F5660D">
        <w:t xml:space="preserve"> a </w:t>
      </w:r>
      <w:r w:rsidR="00AB468F" w:rsidRPr="00273106">
        <w:rPr>
          <w:i/>
        </w:rPr>
        <w:t>minus</w:t>
      </w:r>
      <w:r w:rsidR="00066491">
        <w:t xml:space="preserve"> na vzestupné či sestupné číselné řadě (</w:t>
      </w:r>
      <w:r w:rsidR="00066491" w:rsidRPr="00066491">
        <w:rPr>
          <w:i/>
        </w:rPr>
        <w:t>numerus</w:t>
      </w:r>
      <w:r w:rsidR="00066491">
        <w:t>)</w:t>
      </w:r>
      <w:r w:rsidR="08F5660D">
        <w:t xml:space="preserve"> či formální funkce</w:t>
      </w:r>
      <w:r w:rsidR="085D5CE9">
        <w:t xml:space="preserve"> (</w:t>
      </w:r>
      <w:r w:rsidR="085D5CE9" w:rsidRPr="00273106">
        <w:rPr>
          <w:i/>
        </w:rPr>
        <w:t>subsistentia non esse sed esse aliquid</w:t>
      </w:r>
      <w:r w:rsidR="085D5CE9">
        <w:t>)</w:t>
      </w:r>
      <w:r w:rsidR="00AB468F" w:rsidRPr="00273106">
        <w:t>.</w:t>
      </w:r>
      <w:r w:rsidR="00AB468F" w:rsidRPr="005D1710">
        <w:t xml:space="preserve"> </w:t>
      </w:r>
      <w:r w:rsidR="08993914">
        <w:t>Mytopoetická harmonie</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993914">
        <w:t xml:space="preserve"> dostala v pokračujícím nihilismu první substance tragickou vážnost </w:t>
      </w:r>
      <w:r w:rsidR="08993914">
        <w:lastRenderedPageBreak/>
        <w:t xml:space="preserve">matematiky jako první vědy latinského Západu. </w:t>
      </w:r>
      <w:r w:rsidR="001537C3" w:rsidRPr="00273106">
        <w:t>Logičtí n</w:t>
      </w:r>
      <w:r w:rsidR="001537C3" w:rsidRPr="00273106">
        <w:rPr>
          <w:rStyle w:val="Zkladntext15dkovn0pt"/>
          <w:rFonts w:ascii="Calibri" w:eastAsia="Times" w:hAnsi="Calibri" w:cs="Times New Roman"/>
          <w:b w:val="0"/>
          <w:bCs w:val="0"/>
          <w:color w:val="auto"/>
          <w:sz w:val="24"/>
          <w:lang w:val="cs-CZ"/>
        </w:rPr>
        <w:t>ominalisté a porretáni udělali z bytí, kvality, kvantity a</w:t>
      </w:r>
      <w:r w:rsidR="00594201">
        <w:rPr>
          <w:rStyle w:val="Zkladntext15dkovn0pt"/>
          <w:rFonts w:ascii="Calibri" w:eastAsia="Times" w:hAnsi="Calibri" w:cs="Times New Roman"/>
          <w:b w:val="0"/>
          <w:bCs w:val="0"/>
          <w:color w:val="auto"/>
          <w:sz w:val="24"/>
          <w:lang w:val="cs-CZ"/>
        </w:rPr>
        <w:t xml:space="preserve"> dalších akcidentů nejvyšší rod. T</w:t>
      </w:r>
      <w:r w:rsidR="001537C3" w:rsidRPr="00273106">
        <w:rPr>
          <w:rStyle w:val="Zkladntext15dkovn0pt"/>
          <w:rFonts w:ascii="Calibri" w:eastAsia="Times" w:hAnsi="Calibri" w:cs="Times New Roman"/>
          <w:b w:val="0"/>
          <w:bCs w:val="0"/>
          <w:color w:val="auto"/>
          <w:sz w:val="24"/>
          <w:lang w:val="cs-CZ"/>
        </w:rPr>
        <w:t>yto pseudo-substanční formy a vlastnosti univerzálně přičítali rodu a druhu</w:t>
      </w:r>
      <w:r w:rsidR="00594201">
        <w:rPr>
          <w:rStyle w:val="Zkladntext15dkovn0pt"/>
          <w:rFonts w:ascii="Calibri" w:eastAsia="Times" w:hAnsi="Calibri" w:cs="Times New Roman"/>
          <w:b w:val="0"/>
          <w:bCs w:val="0"/>
          <w:color w:val="auto"/>
          <w:sz w:val="24"/>
          <w:lang w:val="cs-CZ"/>
        </w:rPr>
        <w:t xml:space="preserve"> (</w:t>
      </w:r>
      <w:r w:rsidR="00594201" w:rsidRPr="00273106">
        <w:rPr>
          <w:i/>
        </w:rPr>
        <w:t>qualitatem id quod redigit materiam</w:t>
      </w:r>
      <w:r w:rsidR="00594201">
        <w:rPr>
          <w:rStyle w:val="Zkladntext15dkovn0pt"/>
          <w:rFonts w:ascii="Calibri" w:eastAsia="Times" w:hAnsi="Calibri" w:cs="Times New Roman"/>
          <w:b w:val="0"/>
          <w:bCs w:val="0"/>
          <w:color w:val="auto"/>
          <w:sz w:val="24"/>
          <w:lang w:val="cs-CZ"/>
        </w:rPr>
        <w:t>)</w:t>
      </w:r>
      <w:r w:rsidR="001537C3" w:rsidRPr="00273106">
        <w:rPr>
          <w:rStyle w:val="Zkladntext15dkovn0pt"/>
          <w:rFonts w:ascii="Calibri" w:eastAsia="Times" w:hAnsi="Calibri" w:cs="Times New Roman"/>
          <w:b w:val="0"/>
          <w:bCs w:val="0"/>
          <w:color w:val="auto"/>
          <w:sz w:val="24"/>
          <w:lang w:val="cs-CZ"/>
        </w:rPr>
        <w:t>, až na úroveň dále nedělitelného substrátu</w:t>
      </w:r>
      <w:r w:rsidR="00594201">
        <w:rPr>
          <w:rStyle w:val="Zkladntext15dkovn0pt"/>
          <w:rFonts w:ascii="Calibri" w:eastAsia="Times" w:hAnsi="Calibri" w:cs="Times New Roman"/>
          <w:b w:val="0"/>
          <w:bCs w:val="0"/>
          <w:color w:val="auto"/>
          <w:sz w:val="24"/>
          <w:lang w:val="cs-CZ"/>
        </w:rPr>
        <w:t xml:space="preserve"> určeného nominálně </w:t>
      </w:r>
      <w:r w:rsidR="00594201" w:rsidRPr="00273106">
        <w:rPr>
          <w:rStyle w:val="Zkladntext15dkovn0pt"/>
          <w:rFonts w:ascii="Calibri" w:eastAsia="Times" w:hAnsi="Calibri" w:cs="Times New Roman"/>
          <w:b w:val="0"/>
          <w:bCs w:val="0"/>
          <w:color w:val="auto"/>
          <w:sz w:val="24"/>
          <w:lang w:val="cs-CZ"/>
        </w:rPr>
        <w:t>(</w:t>
      </w:r>
      <w:r w:rsidR="00594201" w:rsidRPr="00273106">
        <w:rPr>
          <w:i/>
        </w:rPr>
        <w:t>in id quod nominatur</w:t>
      </w:r>
      <w:r w:rsidR="00594201" w:rsidRPr="00273106">
        <w:rPr>
          <w:rStyle w:val="Zkladntext15dkovn0pt"/>
          <w:rFonts w:ascii="Calibri" w:eastAsia="Times" w:hAnsi="Calibri" w:cs="Times New Roman"/>
          <w:b w:val="0"/>
          <w:bCs w:val="0"/>
          <w:color w:val="auto"/>
          <w:sz w:val="24"/>
          <w:lang w:val="cs-CZ"/>
        </w:rPr>
        <w:t>)</w:t>
      </w:r>
      <w:r w:rsidR="001537C3" w:rsidRPr="00273106">
        <w:rPr>
          <w:rStyle w:val="Zkladntext15dkovn0pt"/>
          <w:rFonts w:ascii="Calibri" w:eastAsia="Times" w:hAnsi="Calibri" w:cs="Times New Roman"/>
          <w:b w:val="0"/>
          <w:bCs w:val="0"/>
          <w:color w:val="auto"/>
          <w:sz w:val="24"/>
          <w:lang w:val="cs-CZ"/>
        </w:rPr>
        <w:t xml:space="preserve">. </w:t>
      </w:r>
      <w:r w:rsidR="00A109D6" w:rsidRPr="00273106">
        <w:rPr>
          <w:rStyle w:val="Zkladntext15dkovn0pt"/>
          <w:rFonts w:ascii="Calibri" w:eastAsia="Times" w:hAnsi="Calibri" w:cs="Times New Roman"/>
          <w:b w:val="0"/>
          <w:bCs w:val="0"/>
          <w:color w:val="auto"/>
          <w:sz w:val="24"/>
          <w:lang w:val="cs-CZ"/>
        </w:rPr>
        <w:t xml:space="preserve">Hypostázované univerzálie </w:t>
      </w:r>
      <w:r w:rsidR="081D6171">
        <w:rPr>
          <w:rStyle w:val="Zkladntext15dkovn0pt"/>
          <w:rFonts w:ascii="Calibri" w:eastAsia="Times" w:hAnsi="Calibri" w:cs="Times New Roman"/>
          <w:b w:val="0"/>
          <w:bCs w:val="0"/>
          <w:color w:val="auto"/>
          <w:sz w:val="24"/>
          <w:lang w:val="cs-CZ"/>
        </w:rPr>
        <w:t xml:space="preserve">dané jako matematická funkce v modu </w:t>
      </w:r>
      <w:r w:rsidR="081D6171">
        <w:t xml:space="preserve">modu </w:t>
      </w:r>
      <w:r w:rsidR="081D6171" w:rsidRPr="00273106">
        <w:rPr>
          <w:i/>
        </w:rPr>
        <w:t>magis</w:t>
      </w:r>
      <w:r w:rsidR="081D6171">
        <w:t xml:space="preserve"> a </w:t>
      </w:r>
      <w:r w:rsidR="081D6171" w:rsidRPr="00273106">
        <w:rPr>
          <w:i/>
        </w:rPr>
        <w:t>minus</w:t>
      </w:r>
      <w:r w:rsidR="081D6171">
        <w:t xml:space="preserve"> </w:t>
      </w:r>
      <w:r w:rsidR="00A109D6" w:rsidRPr="00273106">
        <w:rPr>
          <w:rStyle w:val="Zkladntext15dkovn0pt"/>
          <w:rFonts w:ascii="Calibri" w:eastAsia="Times" w:hAnsi="Calibri" w:cs="Times New Roman"/>
          <w:b w:val="0"/>
          <w:bCs w:val="0"/>
          <w:color w:val="auto"/>
          <w:sz w:val="24"/>
          <w:lang w:val="cs-CZ"/>
        </w:rPr>
        <w:t xml:space="preserve">zakládají </w:t>
      </w:r>
      <w:r w:rsidR="08C835CC">
        <w:rPr>
          <w:rStyle w:val="Zkladntext15dkovn0pt"/>
          <w:rFonts w:ascii="Calibri" w:eastAsia="Times" w:hAnsi="Calibri" w:cs="Times New Roman"/>
          <w:b w:val="0"/>
          <w:bCs w:val="0"/>
          <w:color w:val="auto"/>
          <w:sz w:val="24"/>
          <w:lang w:val="cs-CZ"/>
        </w:rPr>
        <w:t>kauzálním</w:t>
      </w:r>
      <w:r w:rsidR="00A109D6">
        <w:rPr>
          <w:rStyle w:val="Zkladntext15dkovn0pt"/>
          <w:rFonts w:ascii="Calibri" w:eastAsia="Times" w:hAnsi="Calibri" w:cs="Times New Roman"/>
          <w:b w:val="0"/>
          <w:bCs w:val="0"/>
          <w:color w:val="auto"/>
          <w:sz w:val="24"/>
          <w:lang w:val="cs-CZ"/>
        </w:rPr>
        <w:t xml:space="preserve"> </w:t>
      </w:r>
      <w:r w:rsidR="08C835CC">
        <w:rPr>
          <w:rStyle w:val="Zkladntext15dkovn0pt"/>
          <w:rFonts w:ascii="Calibri" w:eastAsia="Times" w:hAnsi="Calibri" w:cs="Times New Roman"/>
          <w:b w:val="0"/>
          <w:bCs w:val="0"/>
          <w:color w:val="auto"/>
          <w:sz w:val="24"/>
          <w:lang w:val="cs-CZ"/>
        </w:rPr>
        <w:t xml:space="preserve">působením </w:t>
      </w:r>
      <w:r w:rsidR="00A109D6" w:rsidRPr="00273106">
        <w:rPr>
          <w:rStyle w:val="Zkladntext15dkovn0pt"/>
          <w:rFonts w:ascii="Calibri" w:eastAsia="Times" w:hAnsi="Calibri" w:cs="Times New Roman"/>
          <w:b w:val="0"/>
          <w:bCs w:val="0"/>
          <w:color w:val="auto"/>
          <w:sz w:val="24"/>
          <w:lang w:val="cs-CZ"/>
        </w:rPr>
        <w:t xml:space="preserve">v porretánské škole </w:t>
      </w:r>
      <w:r w:rsidR="00A109D6" w:rsidRPr="00273106">
        <w:rPr>
          <w:rStyle w:val="Zkladntext15dkovn0pt"/>
          <w:rFonts w:ascii="Calibri" w:eastAsia="Times" w:hAnsi="Calibri" w:cs="Times New Roman"/>
          <w:b w:val="0"/>
          <w:bCs w:val="0"/>
          <w:i/>
          <w:color w:val="auto"/>
          <w:sz w:val="24"/>
          <w:lang w:val="cs-CZ"/>
        </w:rPr>
        <w:t>Nominales</w:t>
      </w:r>
      <w:r w:rsidR="00A109D6" w:rsidRPr="00273106">
        <w:rPr>
          <w:rStyle w:val="Zkladntext15dkovn0pt"/>
          <w:rFonts w:ascii="Calibri" w:eastAsia="Times" w:hAnsi="Calibri" w:cs="Times New Roman"/>
          <w:b w:val="0"/>
          <w:bCs w:val="0"/>
          <w:color w:val="auto"/>
          <w:sz w:val="24"/>
          <w:lang w:val="cs-CZ"/>
        </w:rPr>
        <w:t xml:space="preserve"> význam první substance</w:t>
      </w:r>
      <w:r w:rsidR="08E506E5">
        <w:rPr>
          <w:rStyle w:val="Zkladntext15dkovn0pt"/>
          <w:rFonts w:ascii="Calibri" w:eastAsia="Times" w:hAnsi="Calibri" w:cs="Times New Roman"/>
          <w:b w:val="0"/>
          <w:bCs w:val="0"/>
          <w:color w:val="auto"/>
          <w:sz w:val="24"/>
          <w:lang w:val="cs-CZ"/>
        </w:rPr>
        <w:t xml:space="preserve">. Po zmizení </w:t>
      </w:r>
      <w:r w:rsidR="082A724F">
        <w:t xml:space="preserve">metafyzického </w:t>
      </w:r>
      <w:r w:rsidR="08E506E5">
        <w:rPr>
          <w:rStyle w:val="Zkladntext15dkovn0pt"/>
          <w:rFonts w:ascii="Calibri" w:eastAsia="Times" w:hAnsi="Calibri" w:cs="Times New Roman"/>
          <w:b w:val="0"/>
          <w:bCs w:val="0"/>
          <w:color w:val="auto"/>
          <w:sz w:val="24"/>
          <w:lang w:val="cs-CZ"/>
        </w:rPr>
        <w:t xml:space="preserve">dativu je </w:t>
      </w:r>
      <w:r w:rsidR="08095DC0">
        <w:rPr>
          <w:rStyle w:val="Zkladntext15dkovn0pt"/>
          <w:rFonts w:ascii="Calibri" w:eastAsia="Times" w:hAnsi="Calibri" w:cs="Times New Roman"/>
          <w:b w:val="0"/>
          <w:bCs w:val="0"/>
          <w:color w:val="auto"/>
          <w:sz w:val="24"/>
          <w:lang w:val="cs-CZ"/>
        </w:rPr>
        <w:t xml:space="preserve">v </w:t>
      </w:r>
      <w:r w:rsidR="08E506E5">
        <w:rPr>
          <w:rStyle w:val="Zkladntext15dkovn0pt"/>
          <w:rFonts w:ascii="Calibri" w:eastAsia="Times" w:hAnsi="Calibri" w:cs="Times New Roman"/>
          <w:b w:val="0"/>
          <w:bCs w:val="0"/>
          <w:color w:val="auto"/>
          <w:sz w:val="24"/>
          <w:lang w:val="cs-CZ"/>
        </w:rPr>
        <w:t xml:space="preserve">parousii matematiky zredukován význam první substance na </w:t>
      </w:r>
      <w:r w:rsidR="085A29F6">
        <w:rPr>
          <w:rStyle w:val="Zkladntext15dkovn0pt"/>
          <w:rFonts w:ascii="Calibri" w:eastAsia="Times" w:hAnsi="Calibri" w:cs="Times New Roman"/>
          <w:b w:val="0"/>
          <w:bCs w:val="0"/>
          <w:color w:val="auto"/>
          <w:sz w:val="24"/>
          <w:lang w:val="cs-CZ"/>
        </w:rPr>
        <w:t xml:space="preserve">roli </w:t>
      </w:r>
      <w:r w:rsidR="08E506E5">
        <w:rPr>
          <w:rStyle w:val="Zkladntext15dkovn0pt"/>
          <w:rFonts w:ascii="Calibri" w:eastAsia="Times" w:hAnsi="Calibri" w:cs="Times New Roman"/>
          <w:b w:val="0"/>
          <w:bCs w:val="0"/>
          <w:color w:val="auto"/>
          <w:sz w:val="24"/>
          <w:lang w:val="cs-CZ"/>
        </w:rPr>
        <w:t xml:space="preserve">pouhé </w:t>
      </w:r>
      <w:r w:rsidR="08072542">
        <w:rPr>
          <w:rStyle w:val="Zkladntext15dkovn0pt"/>
          <w:rFonts w:ascii="Calibri" w:eastAsia="Times" w:hAnsi="Calibri" w:cs="Times New Roman"/>
          <w:b w:val="0"/>
          <w:bCs w:val="0"/>
          <w:color w:val="auto"/>
          <w:sz w:val="24"/>
          <w:lang w:val="cs-CZ"/>
        </w:rPr>
        <w:t xml:space="preserve">proměnné </w:t>
      </w:r>
      <w:r w:rsidR="08E506E5">
        <w:rPr>
          <w:rStyle w:val="Zkladntext15dkovn0pt"/>
          <w:rFonts w:ascii="Calibri" w:eastAsia="Times" w:hAnsi="Calibri" w:cs="Times New Roman"/>
          <w:b w:val="0"/>
          <w:bCs w:val="0"/>
          <w:color w:val="auto"/>
          <w:sz w:val="24"/>
          <w:lang w:val="cs-CZ"/>
        </w:rPr>
        <w:t xml:space="preserve">dané </w:t>
      </w:r>
      <w:r w:rsidR="08072542">
        <w:rPr>
          <w:rStyle w:val="Zkladntext15dkovn0pt"/>
          <w:rFonts w:ascii="Calibri" w:eastAsia="Times" w:hAnsi="Calibri" w:cs="Times New Roman"/>
          <w:b w:val="0"/>
          <w:bCs w:val="0"/>
          <w:color w:val="auto"/>
          <w:sz w:val="24"/>
          <w:lang w:val="cs-CZ"/>
        </w:rPr>
        <w:t xml:space="preserve">vůči trvalé </w:t>
      </w:r>
      <w:r w:rsidR="085A29F6">
        <w:rPr>
          <w:rStyle w:val="Zkladntext15dkovn0pt"/>
          <w:rFonts w:ascii="Calibri" w:eastAsia="Times" w:hAnsi="Calibri" w:cs="Times New Roman"/>
          <w:b w:val="0"/>
          <w:bCs w:val="0"/>
          <w:color w:val="auto"/>
          <w:sz w:val="24"/>
          <w:lang w:val="cs-CZ"/>
        </w:rPr>
        <w:t xml:space="preserve">matematické </w:t>
      </w:r>
      <w:r w:rsidR="08072542">
        <w:rPr>
          <w:rStyle w:val="Zkladntext15dkovn0pt"/>
          <w:rFonts w:ascii="Calibri" w:eastAsia="Times" w:hAnsi="Calibri" w:cs="Times New Roman"/>
          <w:b w:val="0"/>
          <w:bCs w:val="0"/>
          <w:color w:val="auto"/>
          <w:sz w:val="24"/>
          <w:lang w:val="cs-CZ"/>
        </w:rPr>
        <w:t>funkci</w:t>
      </w:r>
      <w:r w:rsidR="00A109D6" w:rsidRPr="00273106">
        <w:rPr>
          <w:rStyle w:val="Zkladntext15dkovn0pt"/>
          <w:rFonts w:ascii="Calibri" w:eastAsia="Times" w:hAnsi="Calibri" w:cs="Times New Roman"/>
          <w:b w:val="0"/>
          <w:bCs w:val="0"/>
          <w:color w:val="auto"/>
          <w:sz w:val="24"/>
          <w:lang w:val="cs-CZ"/>
        </w:rPr>
        <w:t xml:space="preserve">. </w:t>
      </w:r>
      <w:r w:rsidR="08C835CC">
        <w:rPr>
          <w:rStyle w:val="Zkladntext15dkovn0pt"/>
          <w:rFonts w:ascii="Calibri" w:eastAsia="Times" w:hAnsi="Calibri" w:cs="Times New Roman"/>
          <w:b w:val="0"/>
          <w:bCs w:val="0"/>
          <w:color w:val="auto"/>
          <w:sz w:val="24"/>
          <w:lang w:val="cs-CZ"/>
        </w:rPr>
        <w:t xml:space="preserve">Matematické simulákrum reálného světa </w:t>
      </w:r>
      <w:r w:rsidR="08095DC0">
        <w:rPr>
          <w:rStyle w:val="Zkladntext15dkovn0pt"/>
          <w:rFonts w:ascii="Calibri" w:eastAsia="Times" w:hAnsi="Calibri" w:cs="Times New Roman"/>
          <w:b w:val="0"/>
          <w:bCs w:val="0"/>
          <w:color w:val="auto"/>
          <w:sz w:val="24"/>
          <w:lang w:val="cs-CZ"/>
        </w:rPr>
        <w:t xml:space="preserve">se </w:t>
      </w:r>
      <w:r w:rsidR="08C835CC">
        <w:rPr>
          <w:rStyle w:val="Zkladntext15dkovn0pt"/>
          <w:rFonts w:ascii="Calibri" w:eastAsia="Times" w:hAnsi="Calibri" w:cs="Times New Roman"/>
          <w:b w:val="0"/>
          <w:bCs w:val="0"/>
          <w:color w:val="auto"/>
          <w:sz w:val="24"/>
          <w:lang w:val="cs-CZ"/>
        </w:rPr>
        <w:t xml:space="preserve">vyrobí buď </w:t>
      </w:r>
      <w:r w:rsidR="00A109D6" w:rsidRPr="00273106">
        <w:rPr>
          <w:rStyle w:val="Zkladntext15dkovn0pt"/>
          <w:rFonts w:ascii="Calibri" w:eastAsia="Times" w:hAnsi="Calibri" w:cs="Times New Roman"/>
          <w:b w:val="0"/>
          <w:bCs w:val="0"/>
          <w:color w:val="auto"/>
          <w:sz w:val="24"/>
          <w:lang w:val="cs-CZ"/>
        </w:rPr>
        <w:t>dělení</w:t>
      </w:r>
      <w:r w:rsidR="08C835CC">
        <w:rPr>
          <w:rStyle w:val="Zkladntext15dkovn0pt"/>
          <w:rFonts w:ascii="Calibri" w:eastAsia="Times" w:hAnsi="Calibri" w:cs="Times New Roman"/>
          <w:b w:val="0"/>
          <w:bCs w:val="0"/>
          <w:color w:val="auto"/>
          <w:sz w:val="24"/>
          <w:lang w:val="cs-CZ"/>
        </w:rPr>
        <w:t>m</w:t>
      </w:r>
      <w:r w:rsidR="00A109D6" w:rsidRPr="00273106">
        <w:rPr>
          <w:rStyle w:val="Zkladntext15dkovn0pt"/>
          <w:rFonts w:ascii="Calibri" w:eastAsia="Times" w:hAnsi="Calibri" w:cs="Times New Roman"/>
          <w:b w:val="0"/>
          <w:bCs w:val="0"/>
          <w:color w:val="auto"/>
          <w:sz w:val="24"/>
          <w:lang w:val="cs-CZ"/>
        </w:rPr>
        <w:t xml:space="preserve"> rodu na poslední specifický význam</w:t>
      </w:r>
      <w:r w:rsidR="08C835CC">
        <w:rPr>
          <w:rStyle w:val="Zkladntext15dkovn0pt"/>
          <w:rFonts w:ascii="Calibri" w:eastAsia="Times" w:hAnsi="Calibri" w:cs="Times New Roman"/>
          <w:b w:val="0"/>
          <w:bCs w:val="0"/>
          <w:color w:val="auto"/>
          <w:sz w:val="24"/>
          <w:lang w:val="cs-CZ"/>
        </w:rPr>
        <w:t xml:space="preserve"> a individuum. N</w:t>
      </w:r>
      <w:r w:rsidR="00A109D6" w:rsidRPr="00273106">
        <w:rPr>
          <w:rStyle w:val="Zkladntext15dkovn0pt"/>
          <w:rFonts w:ascii="Calibri" w:eastAsia="Times" w:hAnsi="Calibri" w:cs="Times New Roman"/>
          <w:b w:val="0"/>
          <w:bCs w:val="0"/>
          <w:color w:val="auto"/>
          <w:sz w:val="24"/>
          <w:lang w:val="cs-CZ"/>
        </w:rPr>
        <w:t xml:space="preserve">ebo </w:t>
      </w:r>
      <w:r w:rsidR="08095DC0">
        <w:rPr>
          <w:rStyle w:val="Zkladntext15dkovn0pt"/>
          <w:rFonts w:ascii="Calibri" w:eastAsia="Times" w:hAnsi="Calibri" w:cs="Times New Roman"/>
          <w:b w:val="0"/>
          <w:bCs w:val="0"/>
          <w:color w:val="auto"/>
          <w:sz w:val="24"/>
          <w:lang w:val="cs-CZ"/>
        </w:rPr>
        <w:t>se syntetizuje</w:t>
      </w:r>
      <w:r w:rsidR="00A109D6" w:rsidRPr="00273106">
        <w:rPr>
          <w:rStyle w:val="Zkladntext15dkovn0pt"/>
          <w:rFonts w:ascii="Calibri" w:eastAsia="Times" w:hAnsi="Calibri" w:cs="Times New Roman"/>
          <w:b w:val="0"/>
          <w:bCs w:val="0"/>
          <w:color w:val="auto"/>
          <w:sz w:val="24"/>
          <w:lang w:val="cs-CZ"/>
        </w:rPr>
        <w:t xml:space="preserve"> </w:t>
      </w:r>
      <w:r w:rsidR="08C835CC">
        <w:rPr>
          <w:rStyle w:val="Zkladntext15dkovn0pt"/>
          <w:rFonts w:ascii="Calibri" w:eastAsia="Times" w:hAnsi="Calibri" w:cs="Times New Roman"/>
          <w:b w:val="0"/>
          <w:bCs w:val="0"/>
          <w:color w:val="auto"/>
          <w:sz w:val="24"/>
          <w:lang w:val="cs-CZ"/>
        </w:rPr>
        <w:t xml:space="preserve">nominální </w:t>
      </w:r>
      <w:r w:rsidR="08095DC0">
        <w:rPr>
          <w:rStyle w:val="Zkladntext15dkovn0pt"/>
          <w:rFonts w:ascii="Calibri" w:eastAsia="Times" w:hAnsi="Calibri" w:cs="Times New Roman"/>
          <w:b w:val="0"/>
          <w:bCs w:val="0"/>
          <w:color w:val="auto"/>
          <w:sz w:val="24"/>
          <w:lang w:val="cs-CZ"/>
        </w:rPr>
        <w:t xml:space="preserve">první substance </w:t>
      </w:r>
      <w:r w:rsidR="00A109D6" w:rsidRPr="00273106">
        <w:rPr>
          <w:rStyle w:val="Zkladntext15dkovn0pt"/>
          <w:rFonts w:ascii="Calibri" w:eastAsia="Times" w:hAnsi="Calibri" w:cs="Times New Roman"/>
          <w:b w:val="0"/>
          <w:bCs w:val="0"/>
          <w:color w:val="auto"/>
          <w:sz w:val="24"/>
          <w:lang w:val="cs-CZ"/>
        </w:rPr>
        <w:t xml:space="preserve">v rámci kolekty subsistentních určení. V každém případě individuum stojí na konci řady </w:t>
      </w:r>
      <w:r w:rsidR="08487130">
        <w:rPr>
          <w:rStyle w:val="Zkladntext15dkovn0pt"/>
          <w:rFonts w:ascii="Calibri" w:eastAsia="Times" w:hAnsi="Calibri" w:cs="Times New Roman"/>
          <w:b w:val="0"/>
          <w:bCs w:val="0"/>
          <w:color w:val="auto"/>
          <w:sz w:val="24"/>
          <w:lang w:val="cs-CZ"/>
        </w:rPr>
        <w:t>(derivace dělením</w:t>
      </w:r>
      <w:r w:rsidR="087E08F5">
        <w:rPr>
          <w:rStyle w:val="Zkladntext15dkovn0pt"/>
          <w:rFonts w:ascii="Calibri" w:eastAsia="Times" w:hAnsi="Calibri" w:cs="Times New Roman"/>
          <w:b w:val="0"/>
          <w:bCs w:val="0"/>
          <w:color w:val="auto"/>
          <w:sz w:val="24"/>
          <w:lang w:val="cs-CZ"/>
        </w:rPr>
        <w:t xml:space="preserve"> nebo </w:t>
      </w:r>
      <w:r w:rsidR="08487130">
        <w:rPr>
          <w:rStyle w:val="Zkladntext15dkovn0pt"/>
          <w:rFonts w:ascii="Calibri" w:eastAsia="Times" w:hAnsi="Calibri" w:cs="Times New Roman"/>
          <w:b w:val="0"/>
          <w:bCs w:val="0"/>
          <w:color w:val="auto"/>
          <w:sz w:val="24"/>
          <w:lang w:val="cs-CZ"/>
        </w:rPr>
        <w:t xml:space="preserve">integrace kolektou) </w:t>
      </w:r>
      <w:r w:rsidR="00A109D6" w:rsidRPr="00273106">
        <w:rPr>
          <w:rStyle w:val="Zkladntext15dkovn0pt"/>
          <w:rFonts w:ascii="Calibri" w:eastAsia="Times" w:hAnsi="Calibri" w:cs="Times New Roman"/>
          <w:b w:val="0"/>
          <w:bCs w:val="0"/>
          <w:color w:val="auto"/>
          <w:sz w:val="24"/>
          <w:lang w:val="cs-CZ"/>
        </w:rPr>
        <w:t xml:space="preserve">jako poslední dále nedělitelná jednotka analyzovaného nebo syntetizovaného významu. </w:t>
      </w:r>
      <w:r w:rsidR="089635FF">
        <w:t xml:space="preserve">Diskrétní vidění postmoderně převedené z logické roviny do infinitezimálního počtu a do dnešního digitálního rozdílu mezi jedničkou a nulou zakládá současné nihilistické vidění světa určené zatměním první substance. </w:t>
      </w:r>
      <w:r w:rsidR="00594201">
        <w:rPr>
          <w:rStyle w:val="Zkladntext15dkovn0pt"/>
          <w:rFonts w:ascii="Calibri" w:eastAsia="Times" w:hAnsi="Calibri" w:cs="Times New Roman"/>
          <w:b w:val="0"/>
          <w:bCs w:val="0"/>
          <w:color w:val="auto"/>
          <w:sz w:val="24"/>
          <w:lang w:val="cs-CZ"/>
        </w:rPr>
        <w:t xml:space="preserve">Postmoderna upravila diskrétní vidění </w:t>
      </w:r>
      <w:r w:rsidR="00594201" w:rsidRPr="00B32885">
        <w:rPr>
          <w:rStyle w:val="Zkladntext15dkovn0pt"/>
          <w:rFonts w:ascii="Calibri" w:eastAsia="Times" w:hAnsi="Calibri" w:cs="Times New Roman"/>
          <w:b w:val="0"/>
          <w:bCs w:val="0"/>
          <w:i/>
          <w:color w:val="auto"/>
          <w:sz w:val="24"/>
          <w:lang w:val="cs-CZ"/>
        </w:rPr>
        <w:t>Traktátu</w:t>
      </w:r>
      <w:r w:rsidR="00594201">
        <w:rPr>
          <w:rStyle w:val="Zkladntext15dkovn0pt"/>
          <w:rFonts w:ascii="Calibri" w:eastAsia="Times" w:hAnsi="Calibri" w:cs="Times New Roman"/>
          <w:b w:val="0"/>
          <w:bCs w:val="0"/>
          <w:color w:val="auto"/>
          <w:sz w:val="24"/>
          <w:lang w:val="cs-CZ"/>
        </w:rPr>
        <w:t xml:space="preserve"> tím, že skrze matematickou funkci </w:t>
      </w:r>
      <w:r w:rsidR="08CF21FE">
        <w:rPr>
          <w:rStyle w:val="Zkladntext15dkovn0pt"/>
          <w:rFonts w:ascii="Calibri" w:eastAsia="Times" w:hAnsi="Calibri" w:cs="Times New Roman"/>
          <w:b w:val="0"/>
          <w:bCs w:val="0"/>
          <w:color w:val="auto"/>
          <w:sz w:val="24"/>
          <w:lang w:val="cs-CZ"/>
        </w:rPr>
        <w:t xml:space="preserve">integruje nebo derivuje vzhledem k </w:t>
      </w:r>
      <w:r w:rsidR="000129C3">
        <w:rPr>
          <w:rStyle w:val="Zkladntext15dkovn0pt"/>
          <w:rFonts w:ascii="Calibri" w:eastAsia="Times" w:hAnsi="Calibri" w:cs="Times New Roman"/>
          <w:b w:val="0"/>
          <w:bCs w:val="0"/>
          <w:color w:val="auto"/>
          <w:sz w:val="24"/>
          <w:lang w:val="cs-CZ"/>
        </w:rPr>
        <w:t xml:space="preserve">individuální proměnné </w:t>
      </w:r>
      <w:r w:rsidR="08291102">
        <w:rPr>
          <w:rStyle w:val="Zkladntext15dkovn0pt"/>
          <w:rFonts w:ascii="Calibri" w:eastAsia="Times" w:hAnsi="Calibri" w:cs="Times New Roman"/>
          <w:b w:val="0"/>
          <w:bCs w:val="0"/>
          <w:color w:val="auto"/>
          <w:sz w:val="24"/>
          <w:lang w:val="cs-CZ"/>
        </w:rPr>
        <w:t xml:space="preserve">dané jako limita funkce </w:t>
      </w:r>
      <w:r w:rsidR="000129C3">
        <w:rPr>
          <w:rStyle w:val="Zkladntext15dkovn0pt"/>
          <w:rFonts w:ascii="Calibri" w:eastAsia="Times" w:hAnsi="Calibri" w:cs="Times New Roman"/>
          <w:b w:val="0"/>
          <w:bCs w:val="0"/>
          <w:color w:val="auto"/>
          <w:sz w:val="24"/>
          <w:lang w:val="cs-CZ"/>
        </w:rPr>
        <w:t>jakoukoliv formálně určenou kvalitu</w:t>
      </w:r>
      <w:r w:rsidR="08CF21FE">
        <w:rPr>
          <w:rStyle w:val="Zkladntext15dkovn0pt"/>
          <w:rFonts w:ascii="Calibri" w:eastAsia="Times" w:hAnsi="Calibri" w:cs="Times New Roman"/>
          <w:b w:val="0"/>
          <w:bCs w:val="0"/>
          <w:color w:val="auto"/>
          <w:sz w:val="24"/>
          <w:lang w:val="cs-CZ"/>
        </w:rPr>
        <w:t>, rozsažnost nebo dění</w:t>
      </w:r>
      <w:r w:rsidR="00594201" w:rsidRPr="00273106">
        <w:rPr>
          <w:rStyle w:val="Zkladntext15dkovn0pt"/>
          <w:rFonts w:ascii="Calibri" w:eastAsia="Times" w:hAnsi="Calibri" w:cs="Times New Roman"/>
          <w:b w:val="0"/>
          <w:bCs w:val="0"/>
          <w:color w:val="auto"/>
          <w:sz w:val="24"/>
          <w:lang w:val="cs-CZ"/>
        </w:rPr>
        <w:t>.</w:t>
      </w:r>
      <w:r w:rsidR="00594201">
        <w:rPr>
          <w:rStyle w:val="Zkladntext15dkovn0pt"/>
          <w:rFonts w:ascii="Calibri" w:eastAsia="Times" w:hAnsi="Calibri" w:cs="Times New Roman"/>
          <w:b w:val="0"/>
          <w:bCs w:val="0"/>
          <w:color w:val="auto"/>
          <w:sz w:val="24"/>
          <w:lang w:val="cs-CZ"/>
        </w:rPr>
        <w:t xml:space="preserve"> </w:t>
      </w:r>
      <w:r w:rsidR="000129C3">
        <w:rPr>
          <w:rStyle w:val="Zkladntext15dkovn0pt"/>
          <w:rFonts w:ascii="Calibri" w:eastAsia="Times" w:hAnsi="Calibri" w:cs="Times New Roman"/>
          <w:b w:val="0"/>
          <w:bCs w:val="0"/>
          <w:color w:val="auto"/>
          <w:sz w:val="24"/>
          <w:lang w:val="cs-CZ"/>
        </w:rPr>
        <w:t>Derivace</w:t>
      </w:r>
      <w:r w:rsidR="00313A2B">
        <w:rPr>
          <w:rStyle w:val="Zkladntext15dkovn0pt"/>
          <w:rFonts w:ascii="Calibri" w:eastAsia="Times" w:hAnsi="Calibri" w:cs="Times New Roman"/>
          <w:b w:val="0"/>
          <w:bCs w:val="0"/>
          <w:color w:val="auto"/>
          <w:sz w:val="24"/>
          <w:lang w:val="cs-CZ"/>
        </w:rPr>
        <w:fldChar w:fldCharType="begin"/>
      </w:r>
      <w:r w:rsidR="00313A2B">
        <w:instrText xml:space="preserve"> XE "</w:instrText>
      </w:r>
      <w:r w:rsidR="00313A2B" w:rsidRPr="008A3B31">
        <w:rPr>
          <w:rStyle w:val="Zkladntext15dkovn0pt"/>
          <w:rFonts w:ascii="Calibri" w:eastAsia="Times" w:hAnsi="Calibri" w:cs="Times New Roman"/>
          <w:b w:val="0"/>
          <w:bCs w:val="0"/>
          <w:color w:val="auto"/>
          <w:sz w:val="24"/>
          <w:lang w:val="cs-CZ"/>
        </w:rPr>
        <w:instrText>derivace</w:instrText>
      </w:r>
      <w:r w:rsidR="00313A2B">
        <w:instrText xml:space="preserve">" </w:instrText>
      </w:r>
      <w:r w:rsidR="00313A2B">
        <w:rPr>
          <w:rStyle w:val="Zkladntext15dkovn0pt"/>
          <w:rFonts w:ascii="Calibri" w:eastAsia="Times" w:hAnsi="Calibri" w:cs="Times New Roman"/>
          <w:b w:val="0"/>
          <w:bCs w:val="0"/>
          <w:color w:val="auto"/>
          <w:sz w:val="24"/>
          <w:lang w:val="cs-CZ"/>
        </w:rPr>
        <w:fldChar w:fldCharType="end"/>
      </w:r>
      <w:r w:rsidR="000129C3">
        <w:rPr>
          <w:rStyle w:val="Zkladntext15dkovn0pt"/>
          <w:rFonts w:ascii="Calibri" w:eastAsia="Times" w:hAnsi="Calibri" w:cs="Times New Roman"/>
          <w:b w:val="0"/>
          <w:bCs w:val="0"/>
          <w:color w:val="auto"/>
          <w:sz w:val="24"/>
          <w:lang w:val="cs-CZ"/>
        </w:rPr>
        <w:t xml:space="preserve"> a integrace</w:t>
      </w:r>
      <w:r w:rsidR="00313A2B">
        <w:rPr>
          <w:rStyle w:val="Zkladntext15dkovn0pt"/>
          <w:rFonts w:ascii="Calibri" w:eastAsia="Times" w:hAnsi="Calibri" w:cs="Times New Roman"/>
          <w:b w:val="0"/>
          <w:bCs w:val="0"/>
          <w:color w:val="auto"/>
          <w:sz w:val="24"/>
          <w:lang w:val="cs-CZ"/>
        </w:rPr>
        <w:fldChar w:fldCharType="begin"/>
      </w:r>
      <w:r w:rsidR="00313A2B">
        <w:instrText xml:space="preserve"> XE "</w:instrText>
      </w:r>
      <w:r w:rsidR="00313A2B" w:rsidRPr="001706AC">
        <w:rPr>
          <w:rStyle w:val="Zkladntext15dkovn0pt"/>
          <w:rFonts w:ascii="Calibri" w:eastAsia="Times" w:hAnsi="Calibri" w:cs="Times New Roman"/>
          <w:b w:val="0"/>
          <w:bCs w:val="0"/>
          <w:color w:val="auto"/>
          <w:sz w:val="24"/>
          <w:lang w:val="cs-CZ"/>
        </w:rPr>
        <w:instrText>integrace</w:instrText>
      </w:r>
      <w:r w:rsidR="00313A2B">
        <w:instrText xml:space="preserve">" </w:instrText>
      </w:r>
      <w:r w:rsidR="00313A2B">
        <w:rPr>
          <w:rStyle w:val="Zkladntext15dkovn0pt"/>
          <w:rFonts w:ascii="Calibri" w:eastAsia="Times" w:hAnsi="Calibri" w:cs="Times New Roman"/>
          <w:b w:val="0"/>
          <w:bCs w:val="0"/>
          <w:color w:val="auto"/>
          <w:sz w:val="24"/>
          <w:lang w:val="cs-CZ"/>
        </w:rPr>
        <w:fldChar w:fldCharType="end"/>
      </w:r>
      <w:r w:rsidR="000129C3">
        <w:rPr>
          <w:rStyle w:val="Zkladntext15dkovn0pt"/>
          <w:rFonts w:ascii="Calibri" w:eastAsia="Times" w:hAnsi="Calibri" w:cs="Times New Roman"/>
          <w:b w:val="0"/>
          <w:bCs w:val="0"/>
          <w:color w:val="auto"/>
          <w:sz w:val="24"/>
          <w:lang w:val="cs-CZ"/>
        </w:rPr>
        <w:t xml:space="preserve"> </w:t>
      </w:r>
      <w:r w:rsidR="0858113E">
        <w:rPr>
          <w:rStyle w:val="Zkladntext15dkovn0pt"/>
          <w:rFonts w:ascii="Calibri" w:eastAsia="Times" w:hAnsi="Calibri" w:cs="Times New Roman"/>
          <w:b w:val="0"/>
          <w:bCs w:val="0"/>
          <w:color w:val="auto"/>
          <w:sz w:val="24"/>
          <w:lang w:val="cs-CZ"/>
        </w:rPr>
        <w:t xml:space="preserve">proměnných individuí definovaných v rámci formální funkce </w:t>
      </w:r>
      <w:r w:rsidR="000129C3">
        <w:rPr>
          <w:rStyle w:val="Zkladntext15dkovn0pt"/>
          <w:rFonts w:ascii="Calibri" w:eastAsia="Times" w:hAnsi="Calibri" w:cs="Times New Roman"/>
          <w:b w:val="0"/>
          <w:bCs w:val="0"/>
          <w:color w:val="auto"/>
          <w:sz w:val="24"/>
          <w:lang w:val="cs-CZ"/>
        </w:rPr>
        <w:t xml:space="preserve">hraje roli </w:t>
      </w:r>
      <w:r w:rsidR="005B1FDE">
        <w:rPr>
          <w:rStyle w:val="Zkladntext15dkovn0pt"/>
          <w:rFonts w:ascii="Calibri" w:eastAsia="Times" w:hAnsi="Calibri" w:cs="Times New Roman"/>
          <w:b w:val="0"/>
          <w:bCs w:val="0"/>
          <w:color w:val="auto"/>
          <w:sz w:val="24"/>
          <w:lang w:val="cs-CZ"/>
        </w:rPr>
        <w:t>porretánského třídění</w:t>
      </w:r>
      <w:r w:rsidR="000129C3">
        <w:rPr>
          <w:rStyle w:val="Zkladntext15dkovn0pt"/>
          <w:rFonts w:ascii="Calibri" w:eastAsia="Times" w:hAnsi="Calibri" w:cs="Times New Roman"/>
          <w:b w:val="0"/>
          <w:bCs w:val="0"/>
          <w:color w:val="auto"/>
          <w:sz w:val="24"/>
          <w:lang w:val="cs-CZ"/>
        </w:rPr>
        <w:t xml:space="preserve">. Parametr funkce určuje subjekt </w:t>
      </w:r>
      <w:r w:rsidR="00B32885">
        <w:rPr>
          <w:rStyle w:val="Zkladntext15dkovn0pt"/>
          <w:rFonts w:ascii="Calibri" w:eastAsia="Times" w:hAnsi="Calibri" w:cs="Times New Roman"/>
          <w:b w:val="0"/>
          <w:bCs w:val="0"/>
          <w:color w:val="auto"/>
          <w:sz w:val="24"/>
          <w:lang w:val="cs-CZ"/>
        </w:rPr>
        <w:t xml:space="preserve">jako poslední individuum, čili atomárního </w:t>
      </w:r>
      <w:r w:rsidR="08476B34">
        <w:rPr>
          <w:rStyle w:val="Zkladntext15dkovn0pt"/>
          <w:rFonts w:ascii="Calibri" w:eastAsia="Times" w:hAnsi="Calibri" w:cs="Times New Roman"/>
          <w:b w:val="0"/>
          <w:bCs w:val="0"/>
          <w:color w:val="auto"/>
          <w:sz w:val="24"/>
          <w:lang w:val="cs-CZ"/>
        </w:rPr>
        <w:t>nositel</w:t>
      </w:r>
      <w:r w:rsidR="00B32885">
        <w:rPr>
          <w:rStyle w:val="Zkladntext15dkovn0pt"/>
          <w:rFonts w:ascii="Calibri" w:eastAsia="Times" w:hAnsi="Calibri" w:cs="Times New Roman"/>
          <w:b w:val="0"/>
          <w:bCs w:val="0"/>
          <w:color w:val="auto"/>
          <w:sz w:val="24"/>
          <w:lang w:val="cs-CZ"/>
        </w:rPr>
        <w:t xml:space="preserve">e </w:t>
      </w:r>
      <w:r w:rsidR="000129C3">
        <w:rPr>
          <w:rStyle w:val="Zkladntext15dkovn0pt"/>
          <w:rFonts w:ascii="Calibri" w:eastAsia="Times" w:hAnsi="Calibri" w:cs="Times New Roman"/>
          <w:b w:val="0"/>
          <w:bCs w:val="0"/>
          <w:color w:val="auto"/>
          <w:sz w:val="24"/>
          <w:lang w:val="cs-CZ"/>
        </w:rPr>
        <w:t>této operace dělení a skládání</w:t>
      </w:r>
      <w:r w:rsidR="00B32885">
        <w:rPr>
          <w:rStyle w:val="Zkladntext15dkovn0pt"/>
          <w:rFonts w:ascii="Calibri" w:eastAsia="Times" w:hAnsi="Calibri" w:cs="Times New Roman"/>
          <w:b w:val="0"/>
          <w:bCs w:val="0"/>
          <w:color w:val="auto"/>
          <w:sz w:val="24"/>
          <w:lang w:val="cs-CZ"/>
        </w:rPr>
        <w:t>. Tomuto subjektu se pak přičítají formální</w:t>
      </w:r>
      <w:r w:rsidR="083D29A2">
        <w:rPr>
          <w:rStyle w:val="Zkladntext15dkovn0pt"/>
          <w:rFonts w:ascii="Calibri" w:eastAsia="Times" w:hAnsi="Calibri" w:cs="Times New Roman"/>
          <w:b w:val="0"/>
          <w:bCs w:val="0"/>
          <w:color w:val="auto"/>
          <w:sz w:val="24"/>
          <w:lang w:val="cs-CZ"/>
        </w:rPr>
        <w:t xml:space="preserve"> </w:t>
      </w:r>
      <w:r w:rsidR="08140DEB">
        <w:rPr>
          <w:rStyle w:val="Zkladntext15dkovn0pt"/>
          <w:rFonts w:ascii="Calibri" w:eastAsia="Times" w:hAnsi="Calibri" w:cs="Times New Roman"/>
          <w:b w:val="0"/>
          <w:bCs w:val="0"/>
          <w:color w:val="auto"/>
          <w:sz w:val="24"/>
          <w:lang w:val="cs-CZ"/>
        </w:rPr>
        <w:t xml:space="preserve">vlastnosti dané na základě příslušné </w:t>
      </w:r>
      <w:r w:rsidR="005B1FDE">
        <w:rPr>
          <w:rStyle w:val="Zkladntext15dkovn0pt"/>
          <w:rFonts w:ascii="Calibri" w:eastAsia="Times" w:hAnsi="Calibri" w:cs="Times New Roman"/>
          <w:b w:val="0"/>
          <w:bCs w:val="0"/>
          <w:color w:val="auto"/>
          <w:sz w:val="24"/>
          <w:lang w:val="cs-CZ"/>
        </w:rPr>
        <w:t>funkce</w:t>
      </w:r>
      <w:r w:rsidR="000129C3">
        <w:rPr>
          <w:rStyle w:val="Zkladntext15dkovn0pt"/>
          <w:rFonts w:ascii="Calibri" w:eastAsia="Times" w:hAnsi="Calibri" w:cs="Times New Roman"/>
          <w:b w:val="0"/>
          <w:bCs w:val="0"/>
          <w:color w:val="auto"/>
          <w:sz w:val="24"/>
          <w:lang w:val="cs-CZ"/>
        </w:rPr>
        <w:t xml:space="preserve">. </w:t>
      </w:r>
      <w:r w:rsidR="00465562">
        <w:rPr>
          <w:rStyle w:val="Zkladntext15dkovn0pt"/>
          <w:rFonts w:ascii="Calibri" w:eastAsia="Times" w:hAnsi="Calibri" w:cs="Times New Roman"/>
          <w:b w:val="0"/>
          <w:bCs w:val="0"/>
          <w:color w:val="auto"/>
          <w:sz w:val="24"/>
          <w:lang w:val="cs-CZ"/>
        </w:rPr>
        <w:t>Diference buď roste nebo se zme</w:t>
      </w:r>
      <w:r w:rsidR="08100967">
        <w:rPr>
          <w:rStyle w:val="Zkladntext15dkovn0pt"/>
          <w:rFonts w:ascii="Calibri" w:eastAsia="Times" w:hAnsi="Calibri" w:cs="Times New Roman"/>
          <w:b w:val="0"/>
          <w:bCs w:val="0"/>
          <w:color w:val="auto"/>
          <w:sz w:val="24"/>
          <w:lang w:val="cs-CZ"/>
        </w:rPr>
        <w:t>n</w:t>
      </w:r>
      <w:r w:rsidR="00465562">
        <w:rPr>
          <w:rStyle w:val="Zkladntext15dkovn0pt"/>
          <w:rFonts w:ascii="Calibri" w:eastAsia="Times" w:hAnsi="Calibri" w:cs="Times New Roman"/>
          <w:b w:val="0"/>
          <w:bCs w:val="0"/>
          <w:color w:val="auto"/>
          <w:sz w:val="24"/>
          <w:lang w:val="cs-CZ"/>
        </w:rPr>
        <w:t xml:space="preserve">šuje až dále nedělitelnému individuu, které představuje </w:t>
      </w:r>
      <w:r w:rsidR="000D7F9B">
        <w:rPr>
          <w:rStyle w:val="Zkladntext15dkovn0pt"/>
          <w:rFonts w:ascii="Calibri" w:eastAsia="Times" w:hAnsi="Calibri" w:cs="Times New Roman"/>
          <w:b w:val="0"/>
          <w:bCs w:val="0"/>
          <w:color w:val="auto"/>
          <w:sz w:val="24"/>
          <w:lang w:val="cs-CZ"/>
        </w:rPr>
        <w:t xml:space="preserve">poslední </w:t>
      </w:r>
      <w:r w:rsidR="00465562">
        <w:rPr>
          <w:rStyle w:val="Zkladntext15dkovn0pt"/>
          <w:rFonts w:ascii="Calibri" w:eastAsia="Times" w:hAnsi="Calibri" w:cs="Times New Roman"/>
          <w:b w:val="0"/>
          <w:bCs w:val="0"/>
          <w:color w:val="auto"/>
          <w:sz w:val="24"/>
          <w:lang w:val="cs-CZ"/>
        </w:rPr>
        <w:t xml:space="preserve">limitu </w:t>
      </w:r>
      <w:r w:rsidR="00B32885">
        <w:rPr>
          <w:rStyle w:val="Zkladntext15dkovn0pt"/>
          <w:rFonts w:ascii="Calibri" w:eastAsia="Times" w:hAnsi="Calibri" w:cs="Times New Roman"/>
          <w:b w:val="0"/>
          <w:bCs w:val="0"/>
          <w:color w:val="auto"/>
          <w:sz w:val="24"/>
          <w:lang w:val="cs-CZ"/>
        </w:rPr>
        <w:t xml:space="preserve">každé infinitezimální </w:t>
      </w:r>
      <w:r w:rsidR="00465562">
        <w:rPr>
          <w:rStyle w:val="Zkladntext15dkovn0pt"/>
          <w:rFonts w:ascii="Calibri" w:eastAsia="Times" w:hAnsi="Calibri" w:cs="Times New Roman"/>
          <w:b w:val="0"/>
          <w:bCs w:val="0"/>
          <w:color w:val="auto"/>
          <w:sz w:val="24"/>
          <w:lang w:val="cs-CZ"/>
        </w:rPr>
        <w:t>fun</w:t>
      </w:r>
      <w:r w:rsidR="00B32885">
        <w:rPr>
          <w:rStyle w:val="Zkladntext15dkovn0pt"/>
          <w:rFonts w:ascii="Calibri" w:eastAsia="Times" w:hAnsi="Calibri" w:cs="Times New Roman"/>
          <w:b w:val="0"/>
          <w:bCs w:val="0"/>
          <w:color w:val="auto"/>
          <w:sz w:val="24"/>
          <w:lang w:val="cs-CZ"/>
        </w:rPr>
        <w:t>k</w:t>
      </w:r>
      <w:r w:rsidR="00465562">
        <w:rPr>
          <w:rStyle w:val="Zkladntext15dkovn0pt"/>
          <w:rFonts w:ascii="Calibri" w:eastAsia="Times" w:hAnsi="Calibri" w:cs="Times New Roman"/>
          <w:b w:val="0"/>
          <w:bCs w:val="0"/>
          <w:color w:val="auto"/>
          <w:sz w:val="24"/>
          <w:lang w:val="cs-CZ"/>
        </w:rPr>
        <w:t xml:space="preserve">ce. </w:t>
      </w:r>
      <w:r w:rsidR="08AC34B5">
        <w:rPr>
          <w:rStyle w:val="Zkladntext15dkovn0pt"/>
          <w:rFonts w:ascii="Calibri" w:eastAsia="Times" w:hAnsi="Calibri" w:cs="Times New Roman"/>
          <w:b w:val="0"/>
          <w:bCs w:val="0"/>
          <w:color w:val="auto"/>
          <w:sz w:val="24"/>
          <w:lang w:val="cs-CZ"/>
        </w:rPr>
        <w:t>Post</w:t>
      </w:r>
      <w:r w:rsidR="089A51C9">
        <w:rPr>
          <w:rStyle w:val="Zkladntext15dkovn0pt"/>
          <w:rFonts w:ascii="Calibri" w:eastAsia="Times" w:hAnsi="Calibri" w:cs="Times New Roman"/>
          <w:b w:val="0"/>
          <w:bCs w:val="0"/>
          <w:color w:val="auto"/>
          <w:sz w:val="24"/>
          <w:lang w:val="cs-CZ"/>
        </w:rPr>
        <w:t>moderní i</w:t>
      </w:r>
      <w:r w:rsidR="001537C3" w:rsidRPr="00273106">
        <w:t>ndividuum a jeho „ex</w:t>
      </w:r>
      <w:r w:rsidR="08A755F7">
        <w:t>s</w:t>
      </w:r>
      <w:r w:rsidR="001537C3" w:rsidRPr="00273106">
        <w:t>istence“ již nerozlišeně zahrnuje jakoukoliv logicky a sémanticky jednotl</w:t>
      </w:r>
      <w:r w:rsidR="08A755F7">
        <w:t>ivinu pojatou v univočním modu atomického</w:t>
      </w:r>
      <w:r w:rsidR="001537C3" w:rsidRPr="00273106">
        <w:t xml:space="preserve"> jsoucna</w:t>
      </w:r>
      <w:r w:rsidR="00DD2E4B">
        <w:rPr>
          <w:rStyle w:val="Zkladntext158dkovn0pt"/>
          <w:color w:val="auto"/>
          <w:spacing w:val="0"/>
          <w:sz w:val="24"/>
          <w:lang w:val="cs-CZ"/>
        </w:rPr>
        <w:fldChar w:fldCharType="begin"/>
      </w:r>
      <w:r w:rsidR="00DD2E4B">
        <w:instrText xml:space="preserve"> XE "substance:</w:instrText>
      </w:r>
      <w:r w:rsidR="00CE23AF">
        <w:instrText xml:space="preserve">Wittgenstein </w:instrText>
      </w:r>
      <w:r w:rsidR="00DD2E4B">
        <w:instrText xml:space="preserve">" </w:instrText>
      </w:r>
      <w:r w:rsidR="00DD2E4B">
        <w:rPr>
          <w:rStyle w:val="Zkladntext158dkovn0pt"/>
          <w:color w:val="auto"/>
          <w:spacing w:val="0"/>
          <w:sz w:val="24"/>
          <w:lang w:val="cs-CZ"/>
        </w:rPr>
        <w:fldChar w:fldCharType="end"/>
      </w:r>
      <w:r w:rsidR="001537C3" w:rsidRPr="00273106">
        <w:t xml:space="preserve"> nebo pozdějšího Wittgensteinova</w:t>
      </w:r>
      <w:r w:rsidR="00CE572D">
        <w:fldChar w:fldCharType="begin"/>
      </w:r>
      <w:r w:rsidR="00CE572D">
        <w:instrText xml:space="preserve"> XE "</w:instrText>
      </w:r>
      <w:r w:rsidR="00CE572D" w:rsidRPr="00280267">
        <w:instrText>Wittgenstein, L.</w:instrText>
      </w:r>
      <w:r w:rsidR="00CE572D">
        <w:instrText xml:space="preserve">" </w:instrText>
      </w:r>
      <w:r w:rsidR="00CE572D">
        <w:fldChar w:fldCharType="end"/>
      </w:r>
      <w:r w:rsidR="08A755F7">
        <w:t xml:space="preserve"> atomárního faktu</w:t>
      </w:r>
      <w:r w:rsidR="001537C3" w:rsidRPr="00273106">
        <w:t>.</w:t>
      </w:r>
      <w:r w:rsidR="001537C3" w:rsidRPr="00273106">
        <w:rPr>
          <w:rStyle w:val="Znakapoznpodarou"/>
        </w:rPr>
        <w:footnoteReference w:id="68"/>
      </w:r>
      <w:r w:rsidR="001537C3" w:rsidRPr="00273106">
        <w:t xml:space="preserve"> </w:t>
      </w:r>
      <w:r w:rsidR="00A75A7B">
        <w:t>V čisté možnosti kvalit danýc</w:t>
      </w:r>
      <w:r w:rsidR="00A109D6">
        <w:t xml:space="preserve">h hypostatickým a potenciálním </w:t>
      </w:r>
      <w:r w:rsidR="00A75A7B" w:rsidRPr="00FF5C26">
        <w:rPr>
          <w:i/>
        </w:rPr>
        <w:t>Sachve</w:t>
      </w:r>
      <w:r w:rsidR="00A75A7B">
        <w:rPr>
          <w:i/>
        </w:rPr>
        <w:t>r</w:t>
      </w:r>
      <w:r w:rsidR="00A75A7B" w:rsidRPr="00FF5C26">
        <w:rPr>
          <w:i/>
        </w:rPr>
        <w:t>halt</w:t>
      </w:r>
      <w:r w:rsidR="00A75A7B">
        <w:t xml:space="preserve"> pak už není problém hypostázovat jakýkoliv význam podle porretánské kolekty</w:t>
      </w:r>
      <w:r w:rsidR="08AC34B5">
        <w:t xml:space="preserve">. </w:t>
      </w:r>
      <w:r w:rsidR="08B86C5F">
        <w:t xml:space="preserve">Nasvícení zezadu podle věty </w:t>
      </w:r>
      <w:r w:rsidR="08B86C5F" w:rsidRPr="000744AA">
        <w:rPr>
          <w:i/>
        </w:rPr>
        <w:t>discrete videamus</w:t>
      </w:r>
      <w:r w:rsidR="08B86C5F">
        <w:rPr>
          <w:i/>
        </w:rPr>
        <w:fldChar w:fldCharType="begin"/>
      </w:r>
      <w:r w:rsidR="08B86C5F">
        <w:instrText xml:space="preserve"> XE "</w:instrText>
      </w:r>
      <w:r w:rsidR="08B86C5F" w:rsidRPr="0070230D">
        <w:rPr>
          <w:i/>
        </w:rPr>
        <w:instrText>discrete videamus</w:instrText>
      </w:r>
      <w:r w:rsidR="08B86C5F">
        <w:instrText xml:space="preserve">" </w:instrText>
      </w:r>
      <w:r w:rsidR="08B86C5F">
        <w:rPr>
          <w:i/>
        </w:rPr>
        <w:fldChar w:fldCharType="end"/>
      </w:r>
      <w:r w:rsidR="08B86C5F">
        <w:t xml:space="preserve"> provádí Wittgensteinův traktát stejně jako jeho porretánská předloha, tedy podle kolekty </w:t>
      </w:r>
      <w:r w:rsidR="08B86C5F">
        <w:lastRenderedPageBreak/>
        <w:t>hypostázovaných vlastností</w:t>
      </w:r>
      <w:r w:rsidR="08B86C5F">
        <w:rPr>
          <w:rStyle w:val="Zkladntext15dkovn0pt"/>
          <w:rFonts w:ascii="Calibri" w:eastAsia="Times" w:hAnsi="Calibri" w:cs="Times New Roman"/>
          <w:b w:val="0"/>
          <w:bCs w:val="0"/>
          <w:color w:val="auto"/>
          <w:sz w:val="24"/>
          <w:lang w:val="cs-CZ"/>
        </w:rPr>
        <w:t xml:space="preserve">. </w:t>
      </w:r>
      <w:r w:rsidR="08B86C5F">
        <w:t>Sběr neopozitivistických hypostází aktualizuje skrze kolektu interních vlastností.</w:t>
      </w:r>
      <w:r w:rsidR="08B86C5F">
        <w:rPr>
          <w:rStyle w:val="Znakapoznpodarou"/>
        </w:rPr>
        <w:footnoteReference w:id="69"/>
      </w:r>
      <w:r w:rsidR="08B86C5F">
        <w:t xml:space="preserve"> </w:t>
      </w:r>
      <w:r w:rsidR="08EB0E13">
        <w:rPr>
          <w:rStyle w:val="Zkladntext15dkovn0pt"/>
          <w:rFonts w:ascii="Calibri" w:eastAsia="Times" w:hAnsi="Calibri" w:cs="Times New Roman"/>
          <w:b w:val="0"/>
          <w:bCs w:val="0"/>
          <w:color w:val="auto"/>
          <w:sz w:val="24"/>
          <w:lang w:val="cs-CZ"/>
        </w:rPr>
        <w:t>Porretáni transformovali hylemorfické</w:t>
      </w:r>
      <w:r w:rsidR="08EB0E13" w:rsidRPr="00273106">
        <w:rPr>
          <w:rStyle w:val="Zkladntext15dkovn0pt"/>
          <w:rFonts w:ascii="Calibri" w:eastAsia="Times" w:hAnsi="Calibri" w:cs="Times New Roman"/>
          <w:b w:val="0"/>
          <w:bCs w:val="0"/>
          <w:color w:val="auto"/>
          <w:sz w:val="24"/>
          <w:lang w:val="cs-CZ"/>
        </w:rPr>
        <w:t xml:space="preserve"> složenin</w:t>
      </w:r>
      <w:r w:rsidR="08EB0E13">
        <w:rPr>
          <w:rStyle w:val="Zkladntext15dkovn0pt"/>
          <w:rFonts w:ascii="Calibri" w:eastAsia="Times" w:hAnsi="Calibri" w:cs="Times New Roman"/>
          <w:b w:val="0"/>
          <w:bCs w:val="0"/>
          <w:color w:val="auto"/>
          <w:sz w:val="24"/>
          <w:lang w:val="cs-CZ"/>
        </w:rPr>
        <w:t>y</w:t>
      </w:r>
      <w:r w:rsidR="08EB0E13" w:rsidRPr="00273106">
        <w:rPr>
          <w:rStyle w:val="Zkladntext15dkovn0pt"/>
          <w:rFonts w:ascii="Calibri" w:eastAsia="Times" w:hAnsi="Calibri" w:cs="Times New Roman"/>
          <w:b w:val="0"/>
          <w:bCs w:val="0"/>
          <w:color w:val="auto"/>
          <w:sz w:val="24"/>
          <w:lang w:val="cs-CZ"/>
        </w:rPr>
        <w:t xml:space="preserve"> jako Sokrates </w:t>
      </w:r>
      <w:r w:rsidR="08EB0E13">
        <w:rPr>
          <w:rStyle w:val="Zkladntext15dkovn0pt"/>
          <w:rFonts w:ascii="Calibri" w:eastAsia="Times" w:hAnsi="Calibri" w:cs="Times New Roman"/>
          <w:b w:val="0"/>
          <w:bCs w:val="0"/>
          <w:color w:val="auto"/>
          <w:sz w:val="24"/>
          <w:lang w:val="cs-CZ"/>
        </w:rPr>
        <w:t xml:space="preserve">na individuum specifikované </w:t>
      </w:r>
      <w:r w:rsidR="08EB0E13" w:rsidRPr="00273106">
        <w:rPr>
          <w:rStyle w:val="Zkladntext15dkovn0pt"/>
          <w:rFonts w:ascii="Calibri" w:eastAsia="Times" w:hAnsi="Calibri" w:cs="Times New Roman"/>
          <w:b w:val="0"/>
          <w:bCs w:val="0"/>
          <w:color w:val="auto"/>
          <w:sz w:val="24"/>
          <w:lang w:val="cs-CZ"/>
        </w:rPr>
        <w:t xml:space="preserve">materií </w:t>
      </w:r>
      <w:r w:rsidR="08EB0E13">
        <w:rPr>
          <w:rStyle w:val="Zkladntext15dkovn0pt"/>
          <w:rFonts w:ascii="Calibri" w:eastAsia="Times" w:hAnsi="Calibri" w:cs="Times New Roman"/>
          <w:b w:val="0"/>
          <w:bCs w:val="0"/>
          <w:color w:val="auto"/>
          <w:sz w:val="24"/>
          <w:lang w:val="cs-CZ"/>
        </w:rPr>
        <w:t>třetího druhu danou</w:t>
      </w:r>
      <w:r w:rsidR="08EB0E13" w:rsidRPr="00273106">
        <w:rPr>
          <w:rStyle w:val="Zkladntext15dkovn0pt"/>
          <w:rFonts w:ascii="Calibri" w:eastAsia="Times" w:hAnsi="Calibri" w:cs="Times New Roman"/>
          <w:b w:val="0"/>
          <w:bCs w:val="0"/>
          <w:color w:val="auto"/>
          <w:sz w:val="24"/>
          <w:lang w:val="cs-CZ"/>
        </w:rPr>
        <w:t xml:space="preserve"> v podobě kvantifikované rozsažnosti.</w:t>
      </w:r>
      <w:r w:rsidR="08EB0E13">
        <w:rPr>
          <w:rStyle w:val="Zkladntext15dkovn0pt"/>
          <w:rFonts w:ascii="Calibri" w:eastAsia="Times" w:hAnsi="Calibri" w:cs="Times New Roman"/>
          <w:b w:val="0"/>
          <w:bCs w:val="0"/>
          <w:color w:val="auto"/>
          <w:sz w:val="24"/>
          <w:lang w:val="cs-CZ"/>
        </w:rPr>
        <w:t xml:space="preserve"> </w:t>
      </w:r>
      <w:r w:rsidR="08AC34B5">
        <w:t xml:space="preserve">Na začátku 20. století v novém traktátovém věku neopozitivistů </w:t>
      </w:r>
      <w:r w:rsidR="0882722E">
        <w:t>to</w:t>
      </w:r>
      <w:r w:rsidR="08AC34B5">
        <w:t>to</w:t>
      </w:r>
      <w:r w:rsidR="0882722E">
        <w:t xml:space="preserve"> dělení a </w:t>
      </w:r>
      <w:r w:rsidR="08AC34B5">
        <w:t xml:space="preserve"> kolekta funguje v nihilistické verzi čistě logické asimilace světa hlásané analytickou filosofií (tzv. </w:t>
      </w:r>
      <w:r w:rsidR="089E11D8">
        <w:rPr>
          <w:i/>
        </w:rPr>
        <w:t>P</w:t>
      </w:r>
      <w:r w:rsidR="08AC34B5" w:rsidRPr="08AC34B5">
        <w:rPr>
          <w:i/>
        </w:rPr>
        <w:t>icture</w:t>
      </w:r>
      <w:r w:rsidR="089E11D8">
        <w:rPr>
          <w:i/>
        </w:rPr>
        <w:t xml:space="preserve"> Theory of M</w:t>
      </w:r>
      <w:r w:rsidR="08AC34B5" w:rsidRPr="08AC34B5">
        <w:rPr>
          <w:i/>
        </w:rPr>
        <w:t>eaning</w:t>
      </w:r>
      <w:r w:rsidR="08AC34B5">
        <w:t>)</w:t>
      </w:r>
      <w:r w:rsidR="00A75A7B">
        <w:t>.</w:t>
      </w:r>
      <w:r w:rsidR="089A51C9">
        <w:t xml:space="preserve"> </w:t>
      </w:r>
      <w:r w:rsidR="08B02B4D">
        <w:t>Pojetí interních vlastností jako hypostatické</w:t>
      </w:r>
      <w:r w:rsidR="08701EFE">
        <w:t>ho</w:t>
      </w:r>
      <w:r w:rsidR="08B02B4D">
        <w:t xml:space="preserve"> </w:t>
      </w:r>
      <w:r w:rsidR="08B02B4D" w:rsidRPr="08B02B4D">
        <w:rPr>
          <w:i/>
        </w:rPr>
        <w:t>scibile</w:t>
      </w:r>
      <w:r w:rsidR="08B02B4D">
        <w:t xml:space="preserve"> zavedl</w:t>
      </w:r>
      <w:r w:rsidR="08701EFE">
        <w:t xml:space="preserve">i porretáni vedení </w:t>
      </w:r>
      <w:r w:rsidR="08B02B4D">
        <w:t>Rufuse</w:t>
      </w:r>
      <w:r w:rsidR="08701EFE">
        <w:t>m</w:t>
      </w:r>
      <w:r w:rsidR="08713BDF">
        <w:t xml:space="preserve"> z Cornwallu</w:t>
      </w:r>
      <w:r w:rsidR="084060A0">
        <w:t xml:space="preserve">, který </w:t>
      </w:r>
      <w:r w:rsidR="08AE00CB">
        <w:t xml:space="preserve">hned </w:t>
      </w:r>
      <w:r w:rsidR="08092175">
        <w:t xml:space="preserve">v první generaci moderních učenců </w:t>
      </w:r>
      <w:r w:rsidR="08CA411A">
        <w:t xml:space="preserve">na univerzitě v </w:t>
      </w:r>
      <w:r w:rsidR="08713BDF">
        <w:t xml:space="preserve">Oxfordu </w:t>
      </w:r>
      <w:r w:rsidR="084060A0">
        <w:t>založil plnohodnotnou verzi analytické filosofie a vědy</w:t>
      </w:r>
      <w:r w:rsidR="08613C0A">
        <w:t xml:space="preserve">. </w:t>
      </w:r>
      <w:r w:rsidR="08B226C9">
        <w:t>V</w:t>
      </w:r>
      <w:r w:rsidR="08B226C9" w:rsidRPr="00273106">
        <w:t xml:space="preserve">iz další vývoj myšlení </w:t>
      </w:r>
      <w:r w:rsidR="08B226C9" w:rsidRPr="00273106">
        <w:rPr>
          <w:i/>
        </w:rPr>
        <w:t>Modernorum</w:t>
      </w:r>
      <w:r w:rsidR="08B226C9">
        <w:t xml:space="preserve"> analyzovaný v termínu </w:t>
      </w:r>
      <w:r w:rsidR="08B226C9" w:rsidRPr="00273106">
        <w:rPr>
          <w:i/>
        </w:rPr>
        <w:t>Oxfordian Fallacy</w:t>
      </w:r>
      <w:r w:rsidR="08B226C9" w:rsidRPr="00273106">
        <w:t>.</w:t>
      </w:r>
      <w:r w:rsidR="08B226C9">
        <w:t xml:space="preserve"> </w:t>
      </w:r>
      <w:r w:rsidR="083B7DEA">
        <w:t xml:space="preserve">Pak je možné objektivně </w:t>
      </w:r>
      <w:r w:rsidR="00FF6102">
        <w:t xml:space="preserve">vytvořit </w:t>
      </w:r>
      <w:r w:rsidR="000B0A06">
        <w:t>„</w:t>
      </w:r>
      <w:r w:rsidR="008B7809" w:rsidRPr="00273106">
        <w:t>Sokrata</w:t>
      </w:r>
      <w:r w:rsidR="000B0A06">
        <w:t>“</w:t>
      </w:r>
      <w:r w:rsidR="008B7809" w:rsidRPr="00273106">
        <w:t xml:space="preserve"> jako individuum tím, že </w:t>
      </w:r>
      <w:r w:rsidR="083B7DEA">
        <w:t>se hypostázuje jeho materie</w:t>
      </w:r>
      <w:r w:rsidR="08DB7A94">
        <w:t xml:space="preserve"> a existence</w:t>
      </w:r>
      <w:r w:rsidR="008B7809" w:rsidRPr="00273106">
        <w:t xml:space="preserve"> jako nové jsoucno třetího druhu</w:t>
      </w:r>
      <w:r w:rsidR="08DB7A94">
        <w:t xml:space="preserve">, které se </w:t>
      </w:r>
      <w:r w:rsidR="008B7809" w:rsidRPr="00273106">
        <w:t xml:space="preserve">univočně </w:t>
      </w:r>
      <w:r w:rsidR="08DB7A94">
        <w:t>predikuje na úrovni</w:t>
      </w:r>
      <w:r w:rsidR="008B7809" w:rsidRPr="00273106">
        <w:t xml:space="preserve"> první substance.</w:t>
      </w:r>
      <w:r w:rsidR="008B7809">
        <w:t xml:space="preserve"> </w:t>
      </w:r>
      <w:r w:rsidR="082216DB">
        <w:t>Aristotelští k</w:t>
      </w:r>
      <w:r w:rsidR="008C796C" w:rsidRPr="00273106">
        <w:t xml:space="preserve">ritikové </w:t>
      </w:r>
      <w:r w:rsidR="082216DB">
        <w:t xml:space="preserve">škol </w:t>
      </w:r>
      <w:r w:rsidR="008C796C" w:rsidRPr="00273106">
        <w:rPr>
          <w:i/>
        </w:rPr>
        <w:t>Nominales</w:t>
      </w:r>
      <w:r w:rsidR="008C796C" w:rsidRPr="00273106">
        <w:t xml:space="preserve"> obhajující realistické poznání existujících substancí nemohli připustit </w:t>
      </w:r>
      <w:r w:rsidR="082216DB">
        <w:t xml:space="preserve">likvidaci </w:t>
      </w:r>
      <w:r w:rsidR="008C796C" w:rsidRPr="00273106">
        <w:t>reality</w:t>
      </w:r>
      <w:r w:rsidR="082216DB">
        <w:t xml:space="preserve"> na koncept</w:t>
      </w:r>
      <w:r w:rsidR="008C796C" w:rsidRPr="00273106">
        <w:t>. O</w:t>
      </w:r>
      <w:r w:rsidR="085F70D4">
        <w:t xml:space="preserve">dtud pochází pejorativní název </w:t>
      </w:r>
      <w:r w:rsidR="008C796C" w:rsidRPr="00273106">
        <w:rPr>
          <w:i/>
        </w:rPr>
        <w:t>nomen</w:t>
      </w:r>
      <w:r w:rsidR="085F70D4">
        <w:t xml:space="preserve"> nebo </w:t>
      </w:r>
      <w:r w:rsidR="008C796C" w:rsidRPr="00273106">
        <w:rPr>
          <w:i/>
        </w:rPr>
        <w:t>flatus vocis</w:t>
      </w:r>
      <w:r w:rsidR="080C54B5">
        <w:t xml:space="preserve">, který zavedli </w:t>
      </w:r>
      <w:r w:rsidR="008C796C" w:rsidRPr="00273106">
        <w:t>odpůrci této nové formy neoplatonismu</w:t>
      </w:r>
      <w:r w:rsidR="080C54B5" w:rsidRPr="080C54B5">
        <w:t xml:space="preserve"> </w:t>
      </w:r>
      <w:r w:rsidR="080C54B5">
        <w:t xml:space="preserve">shromáždění v </w:t>
      </w:r>
      <w:r w:rsidR="08151CB0">
        <w:t xml:space="preserve">Abelardem založené </w:t>
      </w:r>
      <w:r w:rsidR="080C54B5">
        <w:t>Pařížské škole</w:t>
      </w:r>
      <w:r w:rsidR="08487D66">
        <w:t xml:space="preserve"> myšlení</w:t>
      </w:r>
      <w:r w:rsidR="008C796C" w:rsidRPr="00273106">
        <w:t>.</w:t>
      </w:r>
      <w:r w:rsidR="00A109D6">
        <w:t xml:space="preserve"> Ve falsafě se tento typ iluminátů neprosadil vůbec. Avicennovu školu kritizovali jak ortodoxní právníci a teologové koránských tradic, tak vzdělaní filosofičtí </w:t>
      </w:r>
      <w:r w:rsidR="0848122C">
        <w:t xml:space="preserve">teologové </w:t>
      </w:r>
      <w:r w:rsidR="00A109D6">
        <w:t>typu Al-Ghazálího</w:t>
      </w:r>
      <w:r w:rsidR="00A109D6">
        <w:fldChar w:fldCharType="begin"/>
      </w:r>
      <w:r w:rsidR="00A109D6">
        <w:instrText xml:space="preserve"> XE "</w:instrText>
      </w:r>
      <w:r w:rsidR="00A109D6" w:rsidRPr="00C86C59">
        <w:instrText>Al-Ghazálí</w:instrText>
      </w:r>
      <w:r w:rsidR="00A109D6">
        <w:instrText xml:space="preserve">" </w:instrText>
      </w:r>
      <w:r w:rsidR="00A109D6">
        <w:fldChar w:fldCharType="end"/>
      </w:r>
      <w:r w:rsidR="00A109D6">
        <w:t xml:space="preserve">, tak aristotelští </w:t>
      </w:r>
      <w:r w:rsidR="08C67450">
        <w:t xml:space="preserve">myslitelé </w:t>
      </w:r>
      <w:r w:rsidR="00A109D6">
        <w:t xml:space="preserve">jako </w:t>
      </w:r>
      <w:r w:rsidR="0849180F">
        <w:t xml:space="preserve">byl </w:t>
      </w:r>
      <w:r w:rsidR="08C67450">
        <w:t>geniální Komentátor</w:t>
      </w:r>
      <w:r w:rsidR="00A109D6">
        <w:t xml:space="preserve">. Moudrost islámské civilizace </w:t>
      </w:r>
      <w:r w:rsidR="087F0FF3">
        <w:t xml:space="preserve">Západu </w:t>
      </w:r>
      <w:r w:rsidR="00F24C27">
        <w:fldChar w:fldCharType="begin"/>
      </w:r>
      <w:r w:rsidR="00F24C27">
        <w:instrText xml:space="preserve"> XE "</w:instrText>
      </w:r>
      <w:r w:rsidR="00F24C27" w:rsidRPr="00CA1ABF">
        <w:instrText>islám</w:instrText>
      </w:r>
      <w:r w:rsidR="00F24C27">
        <w:instrText xml:space="preserve">" </w:instrText>
      </w:r>
      <w:r w:rsidR="00F24C27">
        <w:fldChar w:fldCharType="end"/>
      </w:r>
      <w:r w:rsidR="00A109D6">
        <w:t xml:space="preserve">se nutně rozešla s moderní filosofií, která připravovala smrt </w:t>
      </w:r>
      <w:r w:rsidR="005036A2">
        <w:t xml:space="preserve">moderního </w:t>
      </w:r>
      <w:r w:rsidR="00A109D6">
        <w:t>boha</w:t>
      </w:r>
      <w:r w:rsidR="00A109D6">
        <w:fldChar w:fldCharType="begin"/>
      </w:r>
      <w:r w:rsidR="00A109D6">
        <w:instrText xml:space="preserve"> XE "</w:instrText>
      </w:r>
      <w:r w:rsidR="00A109D6" w:rsidRPr="00D80779">
        <w:instrText>smrt boha</w:instrText>
      </w:r>
      <w:r w:rsidR="00A109D6">
        <w:instrText xml:space="preserve">" </w:instrText>
      </w:r>
      <w:r w:rsidR="00A109D6">
        <w:fldChar w:fldCharType="end"/>
      </w:r>
      <w:r w:rsidR="00A109D6">
        <w:t xml:space="preserve"> dokonanou v</w:t>
      </w:r>
      <w:r w:rsidR="087F0FF3">
        <w:t> latinské verzi západní objektivity</w:t>
      </w:r>
      <w:r w:rsidR="08487D66">
        <w:t>.</w:t>
      </w:r>
    </w:p>
    <w:p w14:paraId="3D3AC91F" w14:textId="03C1FF4F" w:rsidR="00985EF2" w:rsidRDefault="08487D66" w:rsidP="08AD705E">
      <w:r>
        <w:tab/>
      </w:r>
      <w:r w:rsidR="083838F9">
        <w:t>Diskrétní vidění svět</w:t>
      </w:r>
      <w:r>
        <w:t>a je dáno v dogmatické unitární verzi filosofie jako hypostatická uni</w:t>
      </w:r>
      <w:r w:rsidR="083838F9">
        <w:t xml:space="preserve">e myšlení se svým objektem. </w:t>
      </w:r>
      <w:r w:rsidR="002643A0">
        <w:rPr>
          <w:rStyle w:val="TextpoznpodarouChar"/>
        </w:rPr>
        <w:t xml:space="preserve">Na základě této </w:t>
      </w:r>
      <w:r w:rsidR="002643A0" w:rsidRPr="00273106">
        <w:t>moderní hypostatické unie</w:t>
      </w:r>
      <w:r w:rsidR="002643A0">
        <w:fldChar w:fldCharType="begin"/>
      </w:r>
      <w:r w:rsidR="002643A0">
        <w:instrText xml:space="preserve"> XE "</w:instrText>
      </w:r>
      <w:r w:rsidR="002643A0" w:rsidRPr="007C58C2">
        <w:instrText>hypostatická unie</w:instrText>
      </w:r>
      <w:r w:rsidR="002643A0">
        <w:instrText xml:space="preserve">" </w:instrText>
      </w:r>
      <w:r w:rsidR="002643A0">
        <w:fldChar w:fldCharType="end"/>
      </w:r>
      <w:r w:rsidR="002643A0" w:rsidRPr="00273106">
        <w:t xml:space="preserve"> </w:t>
      </w:r>
      <w:r w:rsidR="00BD61AB">
        <w:t>genericky odlišných subst</w:t>
      </w:r>
      <w:r w:rsidR="009D3402">
        <w:t>a</w:t>
      </w:r>
      <w:r w:rsidR="00BD61AB">
        <w:t xml:space="preserve">ncí </w:t>
      </w:r>
      <w:r w:rsidR="002643A0" w:rsidRPr="00273106">
        <w:rPr>
          <w:rStyle w:val="TextpoznpodarouChar"/>
        </w:rPr>
        <w:t>vznikl epochálně nový způsob</w:t>
      </w:r>
      <w:r w:rsidR="002643A0">
        <w:rPr>
          <w:rStyle w:val="TextpoznpodarouChar"/>
        </w:rPr>
        <w:t xml:space="preserve"> manifestace určující fundamentální </w:t>
      </w:r>
      <w:r w:rsidR="002643A0">
        <w:rPr>
          <w:rStyle w:val="Zkladntext15dkovn0pt"/>
          <w:rFonts w:ascii="Calibri" w:eastAsia="Times" w:hAnsi="Calibri" w:cs="Times New Roman"/>
          <w:b w:val="0"/>
          <w:bCs w:val="0"/>
          <w:color w:val="auto"/>
          <w:sz w:val="24"/>
          <w:lang w:val="cs-CZ"/>
        </w:rPr>
        <w:t>„j</w:t>
      </w:r>
      <w:r w:rsidR="002643A0" w:rsidRPr="00273106">
        <w:rPr>
          <w:rStyle w:val="Zkladntext15dkovn0pt"/>
          <w:rFonts w:ascii="Calibri" w:eastAsia="Times" w:hAnsi="Calibri" w:cs="Times New Roman"/>
          <w:b w:val="0"/>
          <w:bCs w:val="0"/>
          <w:color w:val="auto"/>
          <w:sz w:val="24"/>
          <w:lang w:val="cs-CZ"/>
        </w:rPr>
        <w:t xml:space="preserve">ak“ </w:t>
      </w:r>
      <w:r w:rsidR="002643A0">
        <w:rPr>
          <w:rStyle w:val="Zkladntext15dkovn0pt"/>
          <w:rFonts w:ascii="Calibri" w:eastAsia="Times" w:hAnsi="Calibri" w:cs="Times New Roman"/>
          <w:b w:val="0"/>
          <w:bCs w:val="0"/>
          <w:color w:val="auto"/>
          <w:sz w:val="24"/>
          <w:lang w:val="cs-CZ"/>
        </w:rPr>
        <w:t>(</w:t>
      </w:r>
      <w:r w:rsidR="002643A0" w:rsidRPr="007516B9">
        <w:rPr>
          <w:rStyle w:val="Zkladntext15dkovn0pt"/>
          <w:rFonts w:ascii="Calibri" w:eastAsia="Times" w:hAnsi="Calibri" w:cs="Times New Roman"/>
          <w:b w:val="0"/>
          <w:bCs w:val="0"/>
          <w:i/>
          <w:color w:val="auto"/>
          <w:sz w:val="24"/>
          <w:lang w:val="cs-CZ"/>
        </w:rPr>
        <w:t>Wie</w:t>
      </w:r>
      <w:r w:rsidR="002643A0">
        <w:rPr>
          <w:rStyle w:val="Zkladntext15dkovn0pt"/>
          <w:rFonts w:ascii="Calibri" w:eastAsia="Times" w:hAnsi="Calibri" w:cs="Times New Roman"/>
          <w:b w:val="0"/>
          <w:bCs w:val="0"/>
          <w:color w:val="auto"/>
          <w:sz w:val="24"/>
          <w:lang w:val="cs-CZ"/>
        </w:rPr>
        <w:t xml:space="preserve">) </w:t>
      </w:r>
      <w:r w:rsidR="002643A0" w:rsidRPr="00273106">
        <w:rPr>
          <w:rStyle w:val="Zkladntext158dkovn0pt"/>
          <w:color w:val="auto"/>
          <w:spacing w:val="0"/>
          <w:sz w:val="24"/>
          <w:lang w:val="cs-CZ"/>
        </w:rPr>
        <w:t>jsou věci dány pro mysl poznávajícího.</w:t>
      </w:r>
      <w:r w:rsidR="002643A0">
        <w:t xml:space="preserve"> </w:t>
      </w:r>
      <w:r w:rsidR="0094339E" w:rsidRPr="00273106">
        <w:t>Zatměním první substance vznikla moderní produkce smyslu jsoucna vázaná na hypostázovaný nominální subjekt nesoucí a garantující neměnný význam (</w:t>
      </w:r>
      <w:r w:rsidR="0094339E" w:rsidRPr="00273106">
        <w:rPr>
          <w:i/>
        </w:rPr>
        <w:t>subiectum</w:t>
      </w:r>
      <w:r w:rsidR="0094339E">
        <w:rPr>
          <w:i/>
        </w:rPr>
        <w:fldChar w:fldCharType="begin"/>
      </w:r>
      <w:r w:rsidR="0094339E">
        <w:instrText xml:space="preserve"> XE "</w:instrText>
      </w:r>
      <w:r w:rsidR="0094339E" w:rsidRPr="00360013">
        <w:rPr>
          <w:i/>
        </w:rPr>
        <w:instrText>subiectum</w:instrText>
      </w:r>
      <w:r w:rsidR="0094339E" w:rsidRPr="00822E28">
        <w:instrText>:škola</w:instrText>
      </w:r>
      <w:r w:rsidR="0094339E">
        <w:rPr>
          <w:i/>
        </w:rPr>
        <w:instrText xml:space="preserve"> Nominales</w:instrText>
      </w:r>
      <w:r w:rsidR="0094339E">
        <w:instrText xml:space="preserve">" </w:instrText>
      </w:r>
      <w:r w:rsidR="0094339E">
        <w:rPr>
          <w:i/>
        </w:rPr>
        <w:fldChar w:fldCharType="end"/>
      </w:r>
      <w:r w:rsidR="0094339E" w:rsidRPr="00273106">
        <w:t xml:space="preserve">). Moderní individuum </w:t>
      </w:r>
      <w:r w:rsidR="0094339E">
        <w:t xml:space="preserve">dané dělením </w:t>
      </w:r>
      <w:r w:rsidR="0094339E" w:rsidRPr="08E07E9D">
        <w:rPr>
          <w:i/>
        </w:rPr>
        <w:t>humanitas</w:t>
      </w:r>
      <w:r w:rsidR="0094339E">
        <w:t xml:space="preserve"> </w:t>
      </w:r>
      <w:r w:rsidR="0094339E" w:rsidRPr="00273106">
        <w:t xml:space="preserve">zakládá </w:t>
      </w:r>
      <w:r w:rsidR="0094339E">
        <w:t xml:space="preserve">objektivní </w:t>
      </w:r>
      <w:r w:rsidR="0094339E" w:rsidRPr="00273106">
        <w:t>jsoucno ve smyslu subjektivního genitivu, protože je jeho ultimativním základem</w:t>
      </w:r>
      <w:r w:rsidR="0094339E">
        <w:t xml:space="preserve"> ve smyslu posledního atomárního významu čehokoliv jiného. Moderní subjekt </w:t>
      </w:r>
      <w:r w:rsidR="0094339E" w:rsidRPr="00273106">
        <w:t xml:space="preserve">pozoruje realitu jako předmět </w:t>
      </w:r>
      <w:r w:rsidR="0094339E" w:rsidRPr="00273106">
        <w:lastRenderedPageBreak/>
        <w:t>epochálně nového poznání</w:t>
      </w:r>
      <w:r w:rsidR="0094339E">
        <w:t xml:space="preserve"> ve formě objektivního genitivu, protože převádí všechny významy na dále nedělitelný základ posledního </w:t>
      </w:r>
      <w:r w:rsidR="007129C2">
        <w:t xml:space="preserve">subjektivního </w:t>
      </w:r>
      <w:r w:rsidR="0094339E">
        <w:t>určení</w:t>
      </w:r>
      <w:r w:rsidR="0094339E" w:rsidRPr="00273106">
        <w:t xml:space="preserve">. </w:t>
      </w:r>
      <w:r w:rsidR="083838F9">
        <w:t xml:space="preserve">Objektivní významy </w:t>
      </w:r>
      <w:r w:rsidR="083838F9" w:rsidRPr="00257529">
        <w:rPr>
          <w:i/>
        </w:rPr>
        <w:t>Nominales</w:t>
      </w:r>
      <w:r w:rsidR="083838F9">
        <w:t xml:space="preserve"> </w:t>
      </w:r>
      <w:r w:rsidR="083838F9" w:rsidRPr="00273106">
        <w:t xml:space="preserve">existují </w:t>
      </w:r>
      <w:r w:rsidR="083838F9">
        <w:t>v modu Anselmovy pravdy-</w:t>
      </w:r>
      <w:r w:rsidR="083838F9" w:rsidRPr="004D0163">
        <w:rPr>
          <w:i/>
        </w:rPr>
        <w:t>rectitudo</w:t>
      </w:r>
      <w:r w:rsidR="084C7BCE">
        <w:rPr>
          <w:i/>
        </w:rPr>
        <w:t xml:space="preserve"> </w:t>
      </w:r>
      <w:r w:rsidR="084C7BCE" w:rsidRPr="084C7BCE">
        <w:t>a od poloviny 12. s</w:t>
      </w:r>
      <w:r w:rsidR="084C7BCE">
        <w:t>tol</w:t>
      </w:r>
      <w:r w:rsidR="084C7BCE" w:rsidRPr="084C7BCE">
        <w:t>etí i v pojetí Avicennovy pravdy-</w:t>
      </w:r>
      <w:r w:rsidR="084C7BCE" w:rsidRPr="084C7BCE">
        <w:rPr>
          <w:i/>
        </w:rPr>
        <w:t>certitudo</w:t>
      </w:r>
      <w:r w:rsidR="084C7BCE" w:rsidRPr="084C7BCE">
        <w:t>. Pravda je dána</w:t>
      </w:r>
      <w:r w:rsidR="084C7BCE">
        <w:rPr>
          <w:i/>
        </w:rPr>
        <w:t xml:space="preserve"> </w:t>
      </w:r>
      <w:r w:rsidR="083838F9">
        <w:t xml:space="preserve">mimo </w:t>
      </w:r>
      <w:r w:rsidR="083838F9" w:rsidRPr="00273106">
        <w:t>reálnou věc</w:t>
      </w:r>
      <w:r w:rsidR="08C63028">
        <w:t>,</w:t>
      </w:r>
      <w:r w:rsidR="083838F9">
        <w:t xml:space="preserve"> proto bytí tohoto simulákra zajiš</w:t>
      </w:r>
      <w:r w:rsidR="08C63028">
        <w:t>ťuje</w:t>
      </w:r>
      <w:r w:rsidR="083838F9">
        <w:t xml:space="preserve"> bůh </w:t>
      </w:r>
      <w:r w:rsidR="083838F9" w:rsidRPr="083838F9">
        <w:rPr>
          <w:i/>
        </w:rPr>
        <w:t>Modernorum</w:t>
      </w:r>
      <w:r w:rsidR="083838F9">
        <w:t xml:space="preserve">. </w:t>
      </w:r>
      <w:r w:rsidR="08036F9A">
        <w:t xml:space="preserve">Ten byl </w:t>
      </w:r>
      <w:r w:rsidR="084F7D72">
        <w:t>v dějinách moderny v pravdě nezbytný a nutný, stejně</w:t>
      </w:r>
      <w:r w:rsidR="08036F9A">
        <w:t xml:space="preserve"> jako </w:t>
      </w:r>
      <w:r w:rsidR="00FE0290">
        <w:t xml:space="preserve">byl </w:t>
      </w:r>
      <w:r w:rsidR="08036F9A">
        <w:t>hřích Adamův připravující příchod Mesiáše. Logická moderna se ovšem chystala na příchod Anti</w:t>
      </w:r>
      <w:r w:rsidR="08DE6CFE">
        <w:t>krista, jak uvidíme dále (kap. 3</w:t>
      </w:r>
      <w:r w:rsidR="08036F9A">
        <w:t xml:space="preserve">.1.2). </w:t>
      </w:r>
      <w:r w:rsidR="004C6730">
        <w:rPr>
          <w:rStyle w:val="TextpoznpodarouChar"/>
        </w:rPr>
        <w:t>Š</w:t>
      </w:r>
      <w:r w:rsidR="004C6730" w:rsidRPr="00273106">
        <w:rPr>
          <w:rStyle w:val="TextpoznpodarouChar"/>
        </w:rPr>
        <w:t xml:space="preserve">kola </w:t>
      </w:r>
      <w:r w:rsidR="004C6730" w:rsidRPr="00273106">
        <w:rPr>
          <w:rStyle w:val="TextpoznpodarouChar"/>
          <w:i/>
        </w:rPr>
        <w:t>Nominales</w:t>
      </w:r>
      <w:r w:rsidR="004C6730" w:rsidRPr="00273106">
        <w:rPr>
          <w:rStyle w:val="TextpoznpodarouChar"/>
        </w:rPr>
        <w:t xml:space="preserve"> zrušila rozdíl mezi konkrétním bytím první substance a univerzální predikací druhé substance a spojila je do nové formy ontologické univocity. </w:t>
      </w:r>
      <w:r w:rsidR="00CC0692" w:rsidRPr="00273106">
        <w:t>Objektivní význam existuje díky pilné práci subjektu, který vyvádí</w:t>
      </w:r>
      <w:r w:rsidR="00CC0692">
        <w:t xml:space="preserve"> </w:t>
      </w:r>
      <w:r w:rsidR="00CC0692" w:rsidRPr="00273106">
        <w:t>dělení od univerzálií až k individuu</w:t>
      </w:r>
      <w:r w:rsidR="00CC0692">
        <w:t xml:space="preserve"> </w:t>
      </w:r>
      <w:r w:rsidR="00CC0692" w:rsidRPr="00273106">
        <w:t>(</w:t>
      </w:r>
      <w:r w:rsidR="00CC0692">
        <w:rPr>
          <w:i/>
        </w:rPr>
        <w:t>deductio</w:t>
      </w:r>
      <w:r w:rsidR="00C35E81">
        <w:rPr>
          <w:i/>
        </w:rPr>
        <w:fldChar w:fldCharType="begin"/>
      </w:r>
      <w:r w:rsidR="00C35E81">
        <w:instrText xml:space="preserve"> XE "</w:instrText>
      </w:r>
      <w:r w:rsidR="00C35E81" w:rsidRPr="003A4907">
        <w:instrText>dedukce:objektivní</w:instrText>
      </w:r>
      <w:r w:rsidR="00C35E81">
        <w:instrText xml:space="preserve">" </w:instrText>
      </w:r>
      <w:r w:rsidR="00C35E81">
        <w:rPr>
          <w:i/>
        </w:rPr>
        <w:fldChar w:fldCharType="end"/>
      </w:r>
      <w:r w:rsidR="00CC0692" w:rsidRPr="00273106">
        <w:t>)</w:t>
      </w:r>
      <w:r w:rsidR="00CC0692">
        <w:t>, které je poslední zastávkou myšlení (</w:t>
      </w:r>
      <w:r w:rsidR="00CC0692" w:rsidRPr="00745EF6">
        <w:rPr>
          <w:i/>
        </w:rPr>
        <w:t>terminus</w:t>
      </w:r>
      <w:r w:rsidR="009E67A2">
        <w:rPr>
          <w:i/>
        </w:rPr>
        <w:fldChar w:fldCharType="begin"/>
      </w:r>
      <w:r w:rsidR="009E67A2">
        <w:instrText xml:space="preserve"> XE "</w:instrText>
      </w:r>
      <w:r w:rsidR="009E67A2" w:rsidRPr="00F1366A">
        <w:rPr>
          <w:i/>
          <w:color w:val="000000"/>
        </w:rPr>
        <w:instrText>terminus</w:instrText>
      </w:r>
      <w:r w:rsidR="009E67A2">
        <w:instrText xml:space="preserve">" </w:instrText>
      </w:r>
      <w:r w:rsidR="009E67A2">
        <w:rPr>
          <w:i/>
        </w:rPr>
        <w:fldChar w:fldCharType="end"/>
      </w:r>
      <w:r w:rsidR="00CC0692">
        <w:t xml:space="preserve">). </w:t>
      </w:r>
      <w:r w:rsidR="00CC0692" w:rsidRPr="00273106">
        <w:t xml:space="preserve">Producentem moderní reality světa je pohyb </w:t>
      </w:r>
      <w:r w:rsidR="00E64EF7">
        <w:t xml:space="preserve">specifické diference vázaný na </w:t>
      </w:r>
      <w:r w:rsidR="00CC0692" w:rsidRPr="00273106">
        <w:t>diskrétní vidění světa popsaného ve výše uvedeném  </w:t>
      </w:r>
      <w:r w:rsidR="00CC0692" w:rsidRPr="00E64EF7">
        <w:rPr>
          <w:i/>
        </w:rPr>
        <w:t>Traktátu</w:t>
      </w:r>
      <w:r w:rsidR="00CC0692" w:rsidRPr="00273106">
        <w:t xml:space="preserve"> (</w:t>
      </w:r>
      <w:r w:rsidR="00CC0692" w:rsidRPr="00273106">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8056D7C">
        <w:t xml:space="preserve">, kap. 3.4). Postup </w:t>
      </w:r>
      <w:r w:rsidR="00CC0692" w:rsidRPr="00273106">
        <w:rPr>
          <w:i/>
        </w:rPr>
        <w:t>more geometrico</w:t>
      </w:r>
      <w:r w:rsidR="00160B80">
        <w:rPr>
          <w:i/>
        </w:rPr>
        <w:fldChar w:fldCharType="begin"/>
      </w:r>
      <w:r w:rsidR="00160B80">
        <w:instrText xml:space="preserve"> XE "</w:instrText>
      </w:r>
      <w:r w:rsidR="00160B80" w:rsidRPr="008C7098">
        <w:rPr>
          <w:i/>
          <w:lang w:eastAsia="en-US"/>
        </w:rPr>
        <w:instrText>more geometrico</w:instrText>
      </w:r>
      <w:r w:rsidR="00160B80">
        <w:instrText xml:space="preserve">" </w:instrText>
      </w:r>
      <w:r w:rsidR="00160B80">
        <w:rPr>
          <w:i/>
        </w:rPr>
        <w:fldChar w:fldCharType="end"/>
      </w:r>
      <w:r w:rsidR="00CC0692" w:rsidRPr="00273106">
        <w:t xml:space="preserve"> daný deduktivním odvozováním nižších axiomů z vyšších pře</w:t>
      </w:r>
      <w:r w:rsidR="00E64EF7">
        <w:t>dstavuje typický scénář neoplato</w:t>
      </w:r>
      <w:r w:rsidR="00CC0692" w:rsidRPr="00273106">
        <w:t xml:space="preserve">nského díla </w:t>
      </w:r>
      <w:r w:rsidR="00CC0692" w:rsidRPr="00273106">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CC0692" w:rsidRPr="00273106">
        <w:t>, které podobným způsobem vyložil Avicenna (</w:t>
      </w:r>
      <w:r w:rsidR="00993B26">
        <w:t xml:space="preserve">OBJ I, </w:t>
      </w:r>
      <w:r w:rsidR="00CC0692" w:rsidRPr="00273106">
        <w:t xml:space="preserve">kap. 2.1.2). Nové vidění </w:t>
      </w:r>
      <w:r w:rsidR="00CC0692">
        <w:t xml:space="preserve">světa vytváří první substanci tak, že derivuje poslední </w:t>
      </w:r>
      <w:r w:rsidR="00CC0692" w:rsidRPr="00273106">
        <w:t xml:space="preserve">univerzální význam </w:t>
      </w:r>
      <w:r w:rsidR="00E64EF7">
        <w:t>v řadě Porfy</w:t>
      </w:r>
      <w:r w:rsidR="00CC0692">
        <w:t xml:space="preserve">riova stromu </w:t>
      </w:r>
      <w:r w:rsidR="00CC0692" w:rsidRPr="00273106">
        <w:t>(</w:t>
      </w:r>
      <w:r w:rsidR="004B4D52" w:rsidRPr="004B4D52">
        <w:t>species</w:t>
      </w:r>
      <w:r w:rsidR="00CC0692"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CC0692" w:rsidRPr="00273106">
        <w:t xml:space="preserve">) </w:t>
      </w:r>
      <w:r w:rsidR="00CC0692">
        <w:t xml:space="preserve">už jen vzhledem k dále </w:t>
      </w:r>
      <w:r w:rsidR="00CC0692" w:rsidRPr="00273106">
        <w:t>nedělite</w:t>
      </w:r>
      <w:r w:rsidR="00CC0692">
        <w:t>lné jednotce</w:t>
      </w:r>
      <w:r w:rsidR="00CC0692" w:rsidRPr="00273106">
        <w:t xml:space="preserve"> významu (</w:t>
      </w:r>
      <w:r w:rsidR="00CC0692" w:rsidRPr="00273106">
        <w:rPr>
          <w:i/>
        </w:rPr>
        <w:t>individuum</w:t>
      </w:r>
      <w:r w:rsidR="00CC0692" w:rsidRPr="00273106">
        <w:t xml:space="preserve">). </w:t>
      </w:r>
      <w:r w:rsidR="00CC0692">
        <w:t>Myšlení porretánské moderny představuje inkarnaci specifické diference do kontingentního světa (</w:t>
      </w:r>
      <w:r w:rsidR="00CC0692">
        <w:rPr>
          <w:i/>
        </w:rPr>
        <w:t>productio</w:t>
      </w:r>
      <w:r w:rsidR="003547CC">
        <w:rPr>
          <w:i/>
        </w:rPr>
        <w:fldChar w:fldCharType="begin"/>
      </w:r>
      <w:r w:rsidR="003547CC">
        <w:instrText xml:space="preserve"> XE "produkce</w:instrText>
      </w:r>
      <w:r w:rsidR="003547CC" w:rsidRPr="003A4907">
        <w:instrText>:objektivní</w:instrText>
      </w:r>
      <w:r w:rsidR="003547CC">
        <w:instrText xml:space="preserve">" </w:instrText>
      </w:r>
      <w:r w:rsidR="003547CC">
        <w:rPr>
          <w:i/>
        </w:rPr>
        <w:fldChar w:fldCharType="end"/>
      </w:r>
      <w:r w:rsidR="00CC0692">
        <w:t>)</w:t>
      </w:r>
      <w:r w:rsidR="00CC0692" w:rsidRPr="00273106">
        <w:t xml:space="preserve">. </w:t>
      </w:r>
      <w:r w:rsidR="00CC0692">
        <w:t xml:space="preserve">Co je ve škole </w:t>
      </w:r>
      <w:r w:rsidR="00CC0692" w:rsidRPr="00EE6060">
        <w:rPr>
          <w:i/>
        </w:rPr>
        <w:t>Nominales</w:t>
      </w:r>
      <w:r w:rsidR="00CC0692">
        <w:t xml:space="preserve"> sofisticky a kategoriálně míněno, to je i produkováno, přesně podle známého postmoderního hesla určujícího princip jazykových her (</w:t>
      </w:r>
      <w:r w:rsidR="00CC0692" w:rsidRPr="00FF6C0E">
        <w:rPr>
          <w:i/>
        </w:rPr>
        <w:t>meaning is use</w:t>
      </w:r>
      <w:r w:rsidR="00CC0692">
        <w:t xml:space="preserve">). Kritický aristotelismus a </w:t>
      </w:r>
      <w:r w:rsidR="00CC0692" w:rsidRPr="00273106">
        <w:t xml:space="preserve">hermeneutika </w:t>
      </w:r>
      <w:r w:rsidR="00CC0692">
        <w:t xml:space="preserve">ale dobře ví, že taková produkce existuje </w:t>
      </w:r>
      <w:r w:rsidR="00034364">
        <w:t xml:space="preserve">jen v diakosmu </w:t>
      </w:r>
      <w:r w:rsidR="00CC0692" w:rsidRPr="00273106">
        <w:t>imaginárních jsoucen třetího druhu</w:t>
      </w:r>
      <w:r w:rsidR="0850079D">
        <w:t>.</w:t>
      </w:r>
      <w:r w:rsidR="00CC0692" w:rsidRPr="00273106">
        <w:t xml:space="preserve"> </w:t>
      </w:r>
      <w:r w:rsidR="00E64EF7">
        <w:t>Proto kritičt</w:t>
      </w:r>
      <w:r w:rsidR="0850079D">
        <w:t>í aristotelikové jako mnich Gaun</w:t>
      </w:r>
      <w:r w:rsidR="00E64EF7">
        <w:t xml:space="preserve">ilo kritizovali jako fatální omyl </w:t>
      </w:r>
      <w:r w:rsidR="00FF19E8">
        <w:t>univerz</w:t>
      </w:r>
      <w:r w:rsidR="00E64EF7">
        <w:t>ální predikac</w:t>
      </w:r>
      <w:r w:rsidR="00FF19E8">
        <w:t>i</w:t>
      </w:r>
      <w:r w:rsidR="0850079D">
        <w:t xml:space="preserve"> </w:t>
      </w:r>
      <w:r w:rsidR="00E64EF7" w:rsidRPr="00E64EF7">
        <w:rPr>
          <w:i/>
        </w:rPr>
        <w:t>in artificialibus</w:t>
      </w:r>
      <w:r w:rsidR="00E64EF7">
        <w:fldChar w:fldCharType="begin"/>
      </w:r>
      <w:r w:rsidR="00E64EF7">
        <w:instrText xml:space="preserve"> XE "</w:instrText>
      </w:r>
      <w:r w:rsidR="00E64EF7" w:rsidRPr="00202831">
        <w:instrText>predikace:</w:instrText>
      </w:r>
      <w:r w:rsidR="00E64EF7" w:rsidRPr="00E64EF7">
        <w:rPr>
          <w:i/>
        </w:rPr>
        <w:instrText>in artificialibus</w:instrText>
      </w:r>
      <w:r w:rsidR="00E64EF7">
        <w:instrText xml:space="preserve">" </w:instrText>
      </w:r>
      <w:r w:rsidR="00E64EF7">
        <w:fldChar w:fldCharType="end"/>
      </w:r>
      <w:r w:rsidR="00E64EF7">
        <w:t xml:space="preserve">, kterou neoplatonikové jako Anselm neoprávněně </w:t>
      </w:r>
      <w:r w:rsidR="005436A0">
        <w:t>rozšířili na celek všehomíra přes ontoteologický důkaz boží „exsistence“.</w:t>
      </w:r>
      <w:r w:rsidR="00E64EF7">
        <w:t xml:space="preserve"> </w:t>
      </w:r>
      <w:r w:rsidR="00332F5F" w:rsidRPr="00273106">
        <w:t xml:space="preserve">Naroubování </w:t>
      </w:r>
      <w:r w:rsidR="00FF5F1E">
        <w:t xml:space="preserve">škol </w:t>
      </w:r>
      <w:r w:rsidR="00332F5F" w:rsidRPr="00273106">
        <w:rPr>
          <w:i/>
        </w:rPr>
        <w:t>Nominales</w:t>
      </w:r>
      <w:r w:rsidR="00332F5F" w:rsidRPr="00273106">
        <w:t xml:space="preserve"> na avicennismus přišlý ve d</w:t>
      </w:r>
      <w:r w:rsidR="00332F5F">
        <w:t>ruhé polovině 12. století založilo</w:t>
      </w:r>
      <w:r w:rsidR="00332F5F" w:rsidRPr="00273106">
        <w:t xml:space="preserve"> první koncept </w:t>
      </w:r>
      <w:r w:rsidR="00332F5F">
        <w:t xml:space="preserve">třídění a kategorizace </w:t>
      </w:r>
      <w:r w:rsidR="00332F5F" w:rsidRPr="00273106">
        <w:t>objektivního jsoucna</w:t>
      </w:r>
      <w:r w:rsidR="00332F5F">
        <w:t xml:space="preserve"> pomocí hry diferencí daných v rámci </w:t>
      </w:r>
      <w:r w:rsidR="00BB45B1">
        <w:t>Porfyri</w:t>
      </w:r>
      <w:r w:rsidR="00332F5F">
        <w:t>ova stromu</w:t>
      </w:r>
      <w:r w:rsidR="00332F5F" w:rsidRPr="00273106">
        <w:t xml:space="preserve">. </w:t>
      </w:r>
      <w:r w:rsidR="00332F5F">
        <w:t>F</w:t>
      </w:r>
      <w:r w:rsidR="00332F5F" w:rsidRPr="00273106">
        <w:t xml:space="preserve">ilosofický doketismus </w:t>
      </w:r>
      <w:r w:rsidR="00332F5F">
        <w:t xml:space="preserve">porretánů </w:t>
      </w:r>
      <w:r w:rsidR="00332F5F" w:rsidRPr="00273106">
        <w:t>převzatý z teologie a z křesťanské dogmatiky bude mít v dalším století velký úspěch</w:t>
      </w:r>
      <w:r w:rsidR="00332F5F">
        <w:t xml:space="preserve">. </w:t>
      </w:r>
      <w:r w:rsidR="083D7D42">
        <w:t>Porretáni s</w:t>
      </w:r>
      <w:r w:rsidR="083D7D42" w:rsidRPr="00273106">
        <w:t>loučili první a druhou sub</w:t>
      </w:r>
      <w:r w:rsidR="083D7D42">
        <w:t xml:space="preserve">stanci do nového pojetí jsoucna a vytvořili novou hypostatickou unii </w:t>
      </w:r>
      <w:r w:rsidR="083D7D42">
        <w:lastRenderedPageBreak/>
        <w:t xml:space="preserve">zvanou individuum, která byla dána jako jsoucno třetího druhu. </w:t>
      </w:r>
      <w:r w:rsidR="006423B6">
        <w:t>Hypostázovaná existence postavená</w:t>
      </w:r>
      <w:r w:rsidR="006423B6" w:rsidRPr="00273106">
        <w:t xml:space="preserve"> mimo existenci reálné věci</w:t>
      </w:r>
      <w:r w:rsidR="006423B6">
        <w:t xml:space="preserve"> vytvořila první objektivní model </w:t>
      </w:r>
      <w:r w:rsidR="006423B6" w:rsidRPr="00273106">
        <w:t>nové hypostatické unie</w:t>
      </w:r>
      <w:r w:rsidR="006423B6">
        <w:fldChar w:fldCharType="begin"/>
      </w:r>
      <w:r w:rsidR="006423B6">
        <w:instrText xml:space="preserve"> XE "</w:instrText>
      </w:r>
      <w:r w:rsidR="006423B6" w:rsidRPr="007C58C2">
        <w:instrText>hypostatická unie</w:instrText>
      </w:r>
      <w:r w:rsidR="006423B6">
        <w:instrText xml:space="preserve">" </w:instrText>
      </w:r>
      <w:r w:rsidR="006423B6">
        <w:fldChar w:fldCharType="end"/>
      </w:r>
      <w:r w:rsidR="006423B6" w:rsidRPr="00273106">
        <w:t xml:space="preserve"> </w:t>
      </w:r>
      <w:r w:rsidR="006423B6" w:rsidRPr="0012290F">
        <w:rPr>
          <w:i/>
        </w:rPr>
        <w:t>Modernorum</w:t>
      </w:r>
      <w:r w:rsidR="006423B6">
        <w:t xml:space="preserve"> </w:t>
      </w:r>
      <w:r w:rsidR="006423B6" w:rsidRPr="00273106">
        <w:t>spojující první a druhou substanci</w:t>
      </w:r>
      <w:r w:rsidR="006423B6">
        <w:rPr>
          <w:rStyle w:val="Zkladntext158dkovn0pt"/>
          <w:color w:val="auto"/>
          <w:spacing w:val="0"/>
          <w:sz w:val="24"/>
          <w:lang w:val="cs-CZ"/>
        </w:rPr>
        <w:fldChar w:fldCharType="begin"/>
      </w:r>
      <w:r w:rsidR="006423B6">
        <w:instrText xml:space="preserve"> XE "substance:porretáni" </w:instrText>
      </w:r>
      <w:r w:rsidR="006423B6">
        <w:rPr>
          <w:rStyle w:val="Zkladntext158dkovn0pt"/>
          <w:color w:val="auto"/>
          <w:spacing w:val="0"/>
          <w:sz w:val="24"/>
          <w:lang w:val="cs-CZ"/>
        </w:rPr>
        <w:fldChar w:fldCharType="end"/>
      </w:r>
      <w:r w:rsidR="006423B6" w:rsidRPr="00273106">
        <w:t xml:space="preserve">. </w:t>
      </w:r>
      <w:r w:rsidR="006423B6">
        <w:t>Porretáni stvořili skřížením dvou naprosto</w:t>
      </w:r>
      <w:r w:rsidR="08C10717">
        <w:t xml:space="preserve"> odlišných řádů jsoucna nového </w:t>
      </w:r>
      <w:r w:rsidR="006423B6">
        <w:t>bohočlověka</w:t>
      </w:r>
      <w:r w:rsidR="08A81795">
        <w:t xml:space="preserve"> moderny. Sokrates se stal objektivně existujícím</w:t>
      </w:r>
      <w:r w:rsidR="006423B6">
        <w:t xml:space="preserve"> individuem, čímž modernisté </w:t>
      </w:r>
      <w:r w:rsidR="006423B6" w:rsidRPr="00273106">
        <w:t xml:space="preserve">provedli zázrak </w:t>
      </w:r>
      <w:r w:rsidR="006423B6">
        <w:t xml:space="preserve">objektivního </w:t>
      </w:r>
      <w:r w:rsidR="006423B6" w:rsidRPr="00273106">
        <w:t>vzkříšení reálnéh</w:t>
      </w:r>
      <w:r w:rsidR="006423B6">
        <w:t>o jsoucna v mysli poznávajícího. A navíc tuto pochybnou hypostatickou unii</w:t>
      </w:r>
      <w:r w:rsidR="006423B6">
        <w:fldChar w:fldCharType="begin"/>
      </w:r>
      <w:r w:rsidR="006423B6">
        <w:instrText xml:space="preserve"> XE "</w:instrText>
      </w:r>
      <w:r w:rsidR="006423B6" w:rsidRPr="007C58C2">
        <w:instrText>hypostatická unie</w:instrText>
      </w:r>
      <w:r w:rsidR="006423B6">
        <w:instrText xml:space="preserve">" </w:instrText>
      </w:r>
      <w:r w:rsidR="006423B6">
        <w:fldChar w:fldCharType="end"/>
      </w:r>
      <w:r w:rsidR="006423B6" w:rsidRPr="00273106">
        <w:t xml:space="preserve"> </w:t>
      </w:r>
      <w:r w:rsidR="006423B6">
        <w:t xml:space="preserve">sofisticky připsali Aristotelovi, což zásadně odmítli klasicky vzdělaní aristotelikové Abelardovy školy. </w:t>
      </w:r>
      <w:r w:rsidR="08C24170">
        <w:t>Teologické koncily a rozhodnutí dogmaticky vyhlášená církevními i akademickými institucemi vybavily</w:t>
      </w:r>
      <w:r w:rsidR="08C24170" w:rsidRPr="00273106">
        <w:t xml:space="preserve"> </w:t>
      </w:r>
      <w:r w:rsidR="08C24170">
        <w:t xml:space="preserve">tento </w:t>
      </w:r>
      <w:r w:rsidR="08C24170" w:rsidRPr="00273106">
        <w:t xml:space="preserve">dějinně </w:t>
      </w:r>
      <w:r w:rsidR="08C24170">
        <w:t xml:space="preserve">konstituovaný </w:t>
      </w:r>
      <w:r w:rsidR="08C24170" w:rsidRPr="00532861">
        <w:rPr>
          <w:i/>
        </w:rPr>
        <w:t>Irrtum</w:t>
      </w:r>
      <w:r w:rsidR="08C24170">
        <w:t xml:space="preserve"> moderny epochální účinností a založily první etapu </w:t>
      </w:r>
      <w:r w:rsidR="08C24170" w:rsidRPr="082F75F3">
        <w:rPr>
          <w:i/>
        </w:rPr>
        <w:t>Wirkungsgeschichte</w:t>
      </w:r>
      <w:r w:rsidR="08C24170">
        <w:t xml:space="preserve"> objektivity v </w:t>
      </w:r>
      <w:r w:rsidR="08C24170" w:rsidRPr="00273106">
        <w:t>historii latinského Západu.</w:t>
      </w:r>
      <w:r w:rsidR="08C24170">
        <w:t xml:space="preserve"> </w:t>
      </w:r>
      <w:r w:rsidR="00E64EF7">
        <w:t xml:space="preserve">Individum </w:t>
      </w:r>
      <w:r w:rsidR="00EE2740">
        <w:t xml:space="preserve">podle </w:t>
      </w:r>
      <w:r w:rsidR="00E64EF7">
        <w:t>moderního rozumu bylo třeba legitimovat v prostředí křesťanské ontoteologie</w:t>
      </w:r>
      <w:r w:rsidR="083674DD">
        <w:t xml:space="preserve"> dané vzh</w:t>
      </w:r>
      <w:r w:rsidR="08A81795">
        <w:t>ledem k</w:t>
      </w:r>
      <w:r w:rsidR="083674DD">
        <w:t xml:space="preserve"> nově definovanému </w:t>
      </w:r>
      <w:r w:rsidR="08A81795">
        <w:t xml:space="preserve">bohu </w:t>
      </w:r>
      <w:r w:rsidR="08A81795" w:rsidRPr="08A81795">
        <w:rPr>
          <w:i/>
        </w:rPr>
        <w:t>Modernorum</w:t>
      </w:r>
      <w:r w:rsidR="00E64EF7">
        <w:fldChar w:fldCharType="begin"/>
      </w:r>
      <w:r w:rsidR="00E64EF7">
        <w:instrText xml:space="preserve"> XE "</w:instrText>
      </w:r>
      <w:r w:rsidR="00E64EF7" w:rsidRPr="008A64F4">
        <w:instrText>ontoteologie</w:instrText>
      </w:r>
      <w:r w:rsidR="00E64EF7">
        <w:instrText xml:space="preserve">:porretáni" </w:instrText>
      </w:r>
      <w:r w:rsidR="00E64EF7">
        <w:fldChar w:fldCharType="end"/>
      </w:r>
      <w:r w:rsidR="00EE2740">
        <w:t>. M</w:t>
      </w:r>
      <w:r w:rsidR="00E64EF7">
        <w:t xml:space="preserve">odernisté z porretánských škol museli v následujícím století provést proces objektivního nanebevstoupení </w:t>
      </w:r>
      <w:r w:rsidR="08305DBC">
        <w:t xml:space="preserve">moderního boha </w:t>
      </w:r>
      <w:r w:rsidR="00E64EF7">
        <w:t xml:space="preserve">do metafyziky a do teologie. Epochální </w:t>
      </w:r>
      <w:r w:rsidR="00E64EF7" w:rsidRPr="00955628">
        <w:rPr>
          <w:i/>
        </w:rPr>
        <w:t>ascensio</w:t>
      </w:r>
      <w:r w:rsidR="00E64EF7">
        <w:t xml:space="preserve"> individua na úroveň první substance bylo možné jen tím, že teologická dogmatika </w:t>
      </w:r>
      <w:r w:rsidR="009841DD">
        <w:t xml:space="preserve">prvních </w:t>
      </w:r>
      <w:r w:rsidR="00E64EF7" w:rsidRPr="003461C1">
        <w:rPr>
          <w:i/>
        </w:rPr>
        <w:t>Modernorum</w:t>
      </w:r>
      <w:r w:rsidR="00E64EF7">
        <w:t xml:space="preserve"> zařídila objektivní sanktifikaci tohoto neexistujícího jsoucna třetího druhu</w:t>
      </w:r>
      <w:r w:rsidR="08305DBC">
        <w:t xml:space="preserve"> ve sféře božího myšlení ustaveného Ibn Ádím a Avicennou</w:t>
      </w:r>
      <w:r w:rsidR="00760833">
        <w:t xml:space="preserve">. </w:t>
      </w:r>
      <w:r w:rsidR="08C3501F">
        <w:t>T</w:t>
      </w:r>
      <w:r w:rsidR="00E64EF7">
        <w:t xml:space="preserve">outo cestou už </w:t>
      </w:r>
      <w:r w:rsidR="004D3470">
        <w:t xml:space="preserve">perské a </w:t>
      </w:r>
      <w:r w:rsidR="00E64EF7">
        <w:t xml:space="preserve">islámské myšlení </w:t>
      </w:r>
      <w:r w:rsidR="00F24C27">
        <w:fldChar w:fldCharType="begin"/>
      </w:r>
      <w:r w:rsidR="00F24C27">
        <w:instrText xml:space="preserve"> XE "</w:instrText>
      </w:r>
      <w:r w:rsidR="00F24C27" w:rsidRPr="00CA1ABF">
        <w:instrText>islám</w:instrText>
      </w:r>
      <w:r w:rsidR="00F24C27">
        <w:instrText xml:space="preserve">" </w:instrText>
      </w:r>
      <w:r w:rsidR="00F24C27">
        <w:fldChar w:fldCharType="end"/>
      </w:r>
      <w:r w:rsidR="00E64EF7">
        <w:t>nešlo, protože falsafu násilím zrušilo, aby předešlo nutné a nevyhnutelné smrti</w:t>
      </w:r>
      <w:r w:rsidR="00985EF2">
        <w:t xml:space="preserve"> boha v avicennistické moderně.</w:t>
      </w:r>
    </w:p>
    <w:p w14:paraId="2B214FE5" w14:textId="2398175A" w:rsidR="08430CB1" w:rsidRDefault="00E64EF7" w:rsidP="00985EF2">
      <w:pPr>
        <w:ind w:firstLine="397"/>
      </w:pPr>
      <w:r>
        <w:t xml:space="preserve">Klinickou smrt boha západních neoplatonských </w:t>
      </w:r>
      <w:r w:rsidRPr="007D7CF6">
        <w:rPr>
          <w:i/>
        </w:rPr>
        <w:t>Modernorum</w:t>
      </w:r>
      <w:r>
        <w:t xml:space="preserve"> odvrátila ve druhé polovině 12. století Abelardova myslitelská škola, z níž vznikla Pařížská univerzita</w:t>
      </w:r>
      <w:r w:rsidR="00D41440">
        <w:t xml:space="preserve"> v</w:t>
      </w:r>
      <w:r w:rsidR="08691539">
        <w:t xml:space="preserve"> době</w:t>
      </w:r>
      <w:r w:rsidR="00D41440">
        <w:t xml:space="preserve">, kdy přišly na Západ </w:t>
      </w:r>
      <w:r w:rsidR="08691539">
        <w:t xml:space="preserve">první </w:t>
      </w:r>
      <w:r w:rsidR="00D41440">
        <w:t>spisy Averroese</w:t>
      </w:r>
      <w:r>
        <w:t xml:space="preserve">. </w:t>
      </w:r>
      <w:r w:rsidR="08765F1A">
        <w:t xml:space="preserve">Ale </w:t>
      </w:r>
      <w:r>
        <w:t>moderna zvítězila</w:t>
      </w:r>
      <w:r w:rsidR="006E4193">
        <w:t xml:space="preserve"> na konci 13. století i na Pařížské univerzitě skrze dravou </w:t>
      </w:r>
      <w:r w:rsidR="009205FA">
        <w:t xml:space="preserve">a sebevědomou </w:t>
      </w:r>
      <w:r w:rsidR="006E4193" w:rsidRPr="006E4193">
        <w:rPr>
          <w:i/>
        </w:rPr>
        <w:t>via Modernorum</w:t>
      </w:r>
      <w:r w:rsidR="08EE01E6">
        <w:t xml:space="preserve">. </w:t>
      </w:r>
      <w:r w:rsidR="00CB3E4F">
        <w:t>Abélard</w:t>
      </w:r>
      <w:r>
        <w:t xml:space="preserve"> a jeho nástupci </w:t>
      </w:r>
      <w:r w:rsidR="08EE01E6">
        <w:t xml:space="preserve">ze školy prvního averroismu </w:t>
      </w:r>
      <w:r>
        <w:t xml:space="preserve">byli vyvrženi v rámci </w:t>
      </w:r>
      <w:r w:rsidR="08277155">
        <w:t xml:space="preserve">sofistické argumentace </w:t>
      </w:r>
      <w:r w:rsidR="0030223F">
        <w:t>moderny</w:t>
      </w:r>
      <w:r w:rsidR="08277155">
        <w:t xml:space="preserve"> skrze neurotický obranný mechanismus Freudova </w:t>
      </w:r>
      <w:r w:rsidR="08277155" w:rsidRPr="00622D11">
        <w:rPr>
          <w:rStyle w:val="Zvraznn"/>
        </w:rPr>
        <w:t>Verkehrung ins Gegenteil</w:t>
      </w:r>
      <w:r w:rsidR="08277155">
        <w:rPr>
          <w:rStyle w:val="Zvraznn"/>
        </w:rPr>
        <w:fldChar w:fldCharType="begin"/>
      </w:r>
      <w:r w:rsidR="08277155">
        <w:instrText xml:space="preserve"> XE "</w:instrText>
      </w:r>
      <w:r w:rsidR="08277155" w:rsidRPr="0089394E">
        <w:rPr>
          <w:rStyle w:val="Zvraznn"/>
        </w:rPr>
        <w:instrText>Verkehrung ins Gegenteil</w:instrText>
      </w:r>
      <w:r w:rsidR="08277155">
        <w:instrText xml:space="preserve">" </w:instrText>
      </w:r>
      <w:r w:rsidR="08277155">
        <w:rPr>
          <w:rStyle w:val="Zvraznn"/>
        </w:rPr>
        <w:fldChar w:fldCharType="end"/>
      </w:r>
      <w:r w:rsidR="08277155">
        <w:rPr>
          <w:rStyle w:val="Zvraznn"/>
          <w:i w:val="0"/>
        </w:rPr>
        <w:t xml:space="preserve">. </w:t>
      </w:r>
      <w:r w:rsidR="08277155" w:rsidRPr="00273106">
        <w:t xml:space="preserve">Pokrok ražený moderními sofisty pokládá autentické aristoteliky jako nutné oběti na oltář </w:t>
      </w:r>
      <w:r w:rsidR="08277155">
        <w:t xml:space="preserve">objektivního </w:t>
      </w:r>
      <w:r w:rsidR="08277155" w:rsidRPr="00273106">
        <w:t>vědění</w:t>
      </w:r>
      <w:r w:rsidR="0891022D">
        <w:t xml:space="preserve"> v rámci institu</w:t>
      </w:r>
      <w:r w:rsidR="08745861">
        <w:t>ci</w:t>
      </w:r>
      <w:r w:rsidR="0891022D">
        <w:t>alizovaného násilí moderny</w:t>
      </w:r>
      <w:r w:rsidR="08277155" w:rsidRPr="00273106">
        <w:t xml:space="preserve">. </w:t>
      </w:r>
      <w:r>
        <w:t>Kla</w:t>
      </w:r>
      <w:r w:rsidR="00775D29">
        <w:t>si</w:t>
      </w:r>
      <w:r>
        <w:t xml:space="preserve">cké </w:t>
      </w:r>
      <w:r w:rsidRPr="007D7CF6">
        <w:rPr>
          <w:i/>
        </w:rPr>
        <w:t>damnatio memoriae</w:t>
      </w:r>
      <w:r>
        <w:rPr>
          <w:i/>
        </w:rPr>
        <w:fldChar w:fldCharType="begin"/>
      </w:r>
      <w:r>
        <w:instrText xml:space="preserve"> XE "</w:instrText>
      </w:r>
      <w:r w:rsidRPr="00DA5150">
        <w:rPr>
          <w:i/>
        </w:rPr>
        <w:instrText>damnatio memoriae</w:instrText>
      </w:r>
      <w:r>
        <w:instrText xml:space="preserve">" </w:instrText>
      </w:r>
      <w:r>
        <w:rPr>
          <w:i/>
        </w:rPr>
        <w:fldChar w:fldCharType="end"/>
      </w:r>
      <w:r>
        <w:t xml:space="preserve"> </w:t>
      </w:r>
      <w:r w:rsidR="08277155">
        <w:t xml:space="preserve">prvního kritického aristotelismu </w:t>
      </w:r>
      <w:r>
        <w:t xml:space="preserve">bylo provedeno na místních koncilech v Soissons </w:t>
      </w:r>
      <w:r>
        <w:fldChar w:fldCharType="begin"/>
      </w:r>
      <w:r>
        <w:instrText xml:space="preserve"> XE "</w:instrText>
      </w:r>
      <w:r w:rsidRPr="00B6714E">
        <w:instrText>koncil:Soissons</w:instrText>
      </w:r>
      <w:r>
        <w:instrText xml:space="preserve">" </w:instrText>
      </w:r>
      <w:r>
        <w:fldChar w:fldCharType="end"/>
      </w:r>
      <w:r>
        <w:t xml:space="preserve">a v Sens </w:t>
      </w:r>
      <w:r>
        <w:fldChar w:fldCharType="begin"/>
      </w:r>
      <w:r>
        <w:instrText xml:space="preserve"> XE "koncil:Sen</w:instrText>
      </w:r>
      <w:r w:rsidRPr="00B6714E">
        <w:instrText>s</w:instrText>
      </w:r>
      <w:r>
        <w:instrText xml:space="preserve">" </w:instrText>
      </w:r>
      <w:r>
        <w:fldChar w:fldCharType="end"/>
      </w:r>
      <w:r>
        <w:t>rituálním teologickým vyhnáním obětního kozla</w:t>
      </w:r>
      <w:r w:rsidR="00525CE9">
        <w:t>-Abelarda</w:t>
      </w:r>
      <w:r>
        <w:t xml:space="preserve"> do </w:t>
      </w:r>
      <w:r w:rsidR="00525CE9">
        <w:t xml:space="preserve">heretické </w:t>
      </w:r>
      <w:r w:rsidR="08D73E95">
        <w:t xml:space="preserve">pouště podle starozákonního </w:t>
      </w:r>
      <w:r w:rsidR="08D73E95">
        <w:lastRenderedPageBreak/>
        <w:t>předpisu (</w:t>
      </w:r>
      <w:r w:rsidR="08D73E95" w:rsidRPr="0047630E">
        <w:rPr>
          <w:i/>
        </w:rPr>
        <w:t>Leviticus</w:t>
      </w:r>
      <w:r w:rsidR="08D73E95">
        <w:t xml:space="preserve"> 16:10</w:t>
      </w:r>
      <w:r w:rsidR="08D73E95">
        <w:fldChar w:fldCharType="begin"/>
      </w:r>
      <w:r w:rsidR="08D73E95">
        <w:instrText xml:space="preserve"> XE "Starý zákon:</w:instrText>
      </w:r>
      <w:r w:rsidR="085E727E" w:rsidRPr="0047630E">
        <w:rPr>
          <w:i/>
        </w:rPr>
        <w:instrText>Leviticus</w:instrText>
      </w:r>
      <w:r w:rsidR="08D73E95">
        <w:instrText xml:space="preserve"> 16.</w:instrText>
      </w:r>
      <w:r w:rsidR="08D73E95" w:rsidRPr="00BD17BC">
        <w:instrText>10</w:instrText>
      </w:r>
      <w:r w:rsidR="08D73E95">
        <w:instrText xml:space="preserve">" </w:instrText>
      </w:r>
      <w:r w:rsidR="08D73E95">
        <w:fldChar w:fldCharType="end"/>
      </w:r>
      <w:r w:rsidR="08D73E95">
        <w:t xml:space="preserve">). </w:t>
      </w:r>
      <w:r w:rsidR="006423B6">
        <w:t>Místo aristo</w:t>
      </w:r>
      <w:r w:rsidR="007E48AC">
        <w:t>te</w:t>
      </w:r>
      <w:r w:rsidR="006423B6">
        <w:t xml:space="preserve">lika </w:t>
      </w:r>
      <w:r w:rsidR="006423B6" w:rsidRPr="00273106">
        <w:t xml:space="preserve">Abelarda bude o </w:t>
      </w:r>
      <w:r w:rsidR="006423B6">
        <w:t xml:space="preserve">jedno </w:t>
      </w:r>
      <w:r w:rsidR="006423B6" w:rsidRPr="00273106">
        <w:t xml:space="preserve">století později obětován </w:t>
      </w:r>
      <w:r w:rsidR="006423B6">
        <w:t xml:space="preserve">na oltáři vítězné moderny </w:t>
      </w:r>
      <w:r w:rsidR="0891022D">
        <w:t xml:space="preserve">aristotelik </w:t>
      </w:r>
      <w:r w:rsidR="006423B6" w:rsidRPr="00273106">
        <w:t>Siger z</w:t>
      </w:r>
      <w:r w:rsidR="0891022D">
        <w:t> </w:t>
      </w:r>
      <w:r w:rsidR="006423B6" w:rsidRPr="00273106">
        <w:t>Brabantu</w:t>
      </w:r>
      <w:r w:rsidR="0891022D">
        <w:t xml:space="preserve"> </w:t>
      </w:r>
      <w:r w:rsidR="08661DA8">
        <w:t>a po něm William Ock</w:t>
      </w:r>
      <w:r w:rsidR="0891022D">
        <w:t>h</w:t>
      </w:r>
      <w:r w:rsidR="08661DA8">
        <w:t>a</w:t>
      </w:r>
      <w:r w:rsidR="0891022D">
        <w:t>m</w:t>
      </w:r>
      <w:r w:rsidR="006423B6" w:rsidRPr="00273106">
        <w:t xml:space="preserve">. </w:t>
      </w:r>
      <w:r w:rsidR="00212F15">
        <w:t>M</w:t>
      </w:r>
      <w:r w:rsidR="006423B6">
        <w:t xml:space="preserve">etafyzika moderny </w:t>
      </w:r>
      <w:r w:rsidR="08445892">
        <w:t>dokončí</w:t>
      </w:r>
      <w:r w:rsidR="00212F15">
        <w:t xml:space="preserve"> </w:t>
      </w:r>
      <w:r w:rsidR="08445892">
        <w:t xml:space="preserve">skrze Scota </w:t>
      </w:r>
      <w:r w:rsidR="006423B6">
        <w:t xml:space="preserve">epochální </w:t>
      </w:r>
      <w:r w:rsidR="006423B6" w:rsidRPr="00113853">
        <w:rPr>
          <w:i/>
        </w:rPr>
        <w:t>ascensio</w:t>
      </w:r>
      <w:r w:rsidR="006423B6">
        <w:t xml:space="preserve"> </w:t>
      </w:r>
      <w:r w:rsidR="007C7D3B">
        <w:t xml:space="preserve">objektivity </w:t>
      </w:r>
      <w:r w:rsidR="006423B6">
        <w:t>do plné slávy dějinné manifestace</w:t>
      </w:r>
      <w:r w:rsidR="007C7D3B">
        <w:t xml:space="preserve">. Tím se </w:t>
      </w:r>
      <w:r w:rsidR="08445892">
        <w:t>uzavře</w:t>
      </w:r>
      <w:r w:rsidR="00212F15">
        <w:t xml:space="preserve"> </w:t>
      </w:r>
      <w:r w:rsidR="00212F15" w:rsidRPr="00273106">
        <w:t xml:space="preserve">vývoj </w:t>
      </w:r>
      <w:r w:rsidR="00212F15">
        <w:t>objektivity zahájený porretány</w:t>
      </w:r>
      <w:r w:rsidR="006423B6">
        <w:t>.</w:t>
      </w:r>
      <w:r w:rsidR="006423B6" w:rsidRPr="006E1F4A">
        <w:t xml:space="preserve"> </w:t>
      </w:r>
      <w:r w:rsidR="08430CB1">
        <w:t xml:space="preserve">Myšlení latinského Západu vedené ilumináty přestalo být filosoficky moudré, proto skončilo v metafyzickém nihilismu. Nyní žijeme v současných postmoderních formách této racionality typu pohádek </w:t>
      </w:r>
      <w:r w:rsidR="08430CB1">
        <w:rPr>
          <w:i/>
        </w:rPr>
        <w:t>Tisíc a jedna noc</w:t>
      </w:r>
      <w:r w:rsidR="08430CB1">
        <w:t xml:space="preserve"> (</w:t>
      </w:r>
      <w:r w:rsidR="08430CB1">
        <w:rPr>
          <w:i/>
          <w:iCs/>
        </w:rPr>
        <w:t>Hazār-o Yak Šab</w:t>
      </w:r>
      <w:r w:rsidR="08430CB1">
        <w:t>) převedených do matrixového světa digitálních simuláker, které řídí chod dnešní západní globální vesnice</w:t>
      </w:r>
      <w:r w:rsidR="08340B2F">
        <w:t xml:space="preserve"> a jejích hybridních válek</w:t>
      </w:r>
      <w:r w:rsidR="08430CB1">
        <w:t>. V současné formy finan</w:t>
      </w:r>
      <w:r w:rsidR="085459EF">
        <w:t>čního nihilismu vidí svět</w:t>
      </w:r>
      <w:r w:rsidR="08430CB1">
        <w:t xml:space="preserve"> </w:t>
      </w:r>
      <w:r w:rsidR="085459EF">
        <w:t xml:space="preserve">v modu </w:t>
      </w:r>
      <w:r w:rsidR="085459EF" w:rsidRPr="085459EF">
        <w:rPr>
          <w:i/>
        </w:rPr>
        <w:t>discrete videamus</w:t>
      </w:r>
      <w:r w:rsidR="085459EF">
        <w:t xml:space="preserve"> </w:t>
      </w:r>
      <w:r w:rsidR="08430CB1">
        <w:t xml:space="preserve">skrze burzovní deriváty, které </w:t>
      </w:r>
      <w:r w:rsidR="08116209">
        <w:t xml:space="preserve">matematické </w:t>
      </w:r>
      <w:r w:rsidR="08430CB1">
        <w:t>algoritmy skládají a rozkládají do stále nové podoby finančních simuláker</w:t>
      </w:r>
      <w:r w:rsidR="08430CB1" w:rsidRPr="00273106">
        <w:t xml:space="preserve">. </w:t>
      </w:r>
      <w:r w:rsidR="08430CB1">
        <w:t xml:space="preserve">Neoliberální ekonomie Ali-Babova pokladu postavená mimo realitu freneticky diferencuje specificky chimérický virtuální </w:t>
      </w:r>
      <w:r w:rsidR="08430CB1" w:rsidRPr="00941633">
        <w:t>dluh</w:t>
      </w:r>
      <w:r w:rsidR="08430CB1">
        <w:t xml:space="preserve">, pak ho formalizuje do matematických operací. </w:t>
      </w:r>
      <w:r w:rsidR="08C66CF1">
        <w:t>P</w:t>
      </w:r>
      <w:r w:rsidR="08430CB1">
        <w:t>aranoick</w:t>
      </w:r>
      <w:r w:rsidR="08C66CF1">
        <w:t>á ekonomika</w:t>
      </w:r>
      <w:r w:rsidR="08430CB1">
        <w:t xml:space="preserve"> produkuje simulákrum f</w:t>
      </w:r>
      <w:r w:rsidR="08430CB1" w:rsidRPr="00941633">
        <w:t>inanční</w:t>
      </w:r>
      <w:r w:rsidR="08430CB1">
        <w:t xml:space="preserve">ch derivátů, které </w:t>
      </w:r>
      <w:r w:rsidR="08430CB1">
        <w:fldChar w:fldCharType="begin"/>
      </w:r>
      <w:r w:rsidR="08430CB1">
        <w:instrText xml:space="preserve"> XE "</w:instrText>
      </w:r>
      <w:r w:rsidR="08430CB1" w:rsidRPr="089E7504">
        <w:instrText>finanční deriváty</w:instrText>
      </w:r>
      <w:r w:rsidR="08430CB1">
        <w:instrText xml:space="preserve">" </w:instrText>
      </w:r>
      <w:r w:rsidR="08430CB1">
        <w:fldChar w:fldCharType="end"/>
      </w:r>
      <w:r w:rsidR="08430CB1">
        <w:t>jsou děleny a skládány v rámci formální ekonomické operace manipulující s neexistující budoucností (</w:t>
      </w:r>
      <w:r w:rsidR="08430CB1" w:rsidRPr="00941633">
        <w:rPr>
          <w:i/>
        </w:rPr>
        <w:t>hedging</w:t>
      </w:r>
      <w:r w:rsidR="08430CB1">
        <w:t>). Virtuální individualizací formálně pojaté nicoty dané digitálním rozdílem jedničky a nuly vznikají základní jednotky individuálního charakteru (</w:t>
      </w:r>
      <w:r w:rsidR="08430CB1" w:rsidRPr="00941633">
        <w:rPr>
          <w:i/>
        </w:rPr>
        <w:t>futures</w:t>
      </w:r>
      <w:r w:rsidR="08430CB1" w:rsidRPr="00941633">
        <w:t xml:space="preserve">, </w:t>
      </w:r>
      <w:r w:rsidR="08430CB1" w:rsidRPr="00941633">
        <w:rPr>
          <w:i/>
        </w:rPr>
        <w:t>forwards</w:t>
      </w:r>
      <w:r w:rsidR="08430CB1" w:rsidRPr="00941633">
        <w:t xml:space="preserve">, </w:t>
      </w:r>
      <w:r w:rsidR="08430CB1" w:rsidRPr="00941633">
        <w:rPr>
          <w:i/>
        </w:rPr>
        <w:t>swaps</w:t>
      </w:r>
      <w:r w:rsidR="08430CB1" w:rsidRPr="00941633">
        <w:t xml:space="preserve">, </w:t>
      </w:r>
      <w:r w:rsidR="08430CB1" w:rsidRPr="00941633">
        <w:rPr>
          <w:i/>
        </w:rPr>
        <w:t>options</w:t>
      </w:r>
      <w:r w:rsidR="08430CB1">
        <w:t xml:space="preserve">). Objektivní manipulaci s reálně neexistující budoucností typu burzovních </w:t>
      </w:r>
      <w:r w:rsidR="08430CB1" w:rsidRPr="08F63880">
        <w:rPr>
          <w:i/>
        </w:rPr>
        <w:t>futures</w:t>
      </w:r>
      <w:r w:rsidR="08430CB1">
        <w:t xml:space="preserve"> založil Grosseteste metafyzickou spekula</w:t>
      </w:r>
      <w:r w:rsidR="08DE6CFE">
        <w:t>cí o příchodu Antikrista (kap. 3</w:t>
      </w:r>
      <w:r w:rsidR="08430CB1">
        <w:t>.1.2). Matematika</w:t>
      </w:r>
      <w:r w:rsidR="08430CB1">
        <w:fldChar w:fldCharType="begin"/>
      </w:r>
      <w:r w:rsidR="08430CB1">
        <w:instrText xml:space="preserve"> XE "</w:instrText>
      </w:r>
      <w:r w:rsidR="08430CB1" w:rsidRPr="00DC040D">
        <w:instrText>matematika</w:instrText>
      </w:r>
      <w:r w:rsidR="08430CB1">
        <w:instrText xml:space="preserve">" </w:instrText>
      </w:r>
      <w:r w:rsidR="08430CB1">
        <w:fldChar w:fldCharType="end"/>
      </w:r>
      <w:r w:rsidR="08430CB1">
        <w:t xml:space="preserve"> při výměně zboží nahradila reálné vztahy skrze ekonomii složeného úroku a systém burzovních derivátů sofisticky produkovaných v modu </w:t>
      </w:r>
      <w:r w:rsidR="08430CB1" w:rsidRPr="00C0294E">
        <w:rPr>
          <w:i/>
        </w:rPr>
        <w:t>H</w:t>
      </w:r>
      <w:r w:rsidR="08430CB1">
        <w:rPr>
          <w:i/>
        </w:rPr>
        <w:t>igh Frequency T</w:t>
      </w:r>
      <w:r w:rsidR="08430CB1" w:rsidRPr="00C0294E">
        <w:rPr>
          <w:i/>
        </w:rPr>
        <w:t>rading</w:t>
      </w:r>
      <w:r w:rsidR="08430CB1">
        <w:rPr>
          <w:i/>
        </w:rPr>
        <w:fldChar w:fldCharType="begin"/>
      </w:r>
      <w:r w:rsidR="08430CB1">
        <w:instrText xml:space="preserve"> XE "</w:instrText>
      </w:r>
      <w:r w:rsidR="08430CB1" w:rsidRPr="00C56EEB">
        <w:rPr>
          <w:i/>
        </w:rPr>
        <w:instrText>High Frequency Trading</w:instrText>
      </w:r>
      <w:r w:rsidR="08430CB1">
        <w:instrText xml:space="preserve">" </w:instrText>
      </w:r>
      <w:r w:rsidR="08430CB1">
        <w:rPr>
          <w:i/>
        </w:rPr>
        <w:fldChar w:fldCharType="end"/>
      </w:r>
      <w:r w:rsidR="08430CB1">
        <w:t xml:space="preserve">. Moderní matematika a současná nihilistická ekonomie může formálně operovat s nejsoucnem. Ekonomičtí ilumináti předstírají v rámci nihilistické pravdy globálně dané jako mocenské </w:t>
      </w:r>
      <w:r w:rsidR="08430CB1" w:rsidRPr="08926618">
        <w:rPr>
          <w:i/>
        </w:rPr>
        <w:t>rectitudo</w:t>
      </w:r>
      <w:r w:rsidR="08430CB1">
        <w:t xml:space="preserve"> a </w:t>
      </w:r>
      <w:r w:rsidR="08430CB1" w:rsidRPr="08926618">
        <w:rPr>
          <w:i/>
        </w:rPr>
        <w:t>certitudo</w:t>
      </w:r>
      <w:r w:rsidR="08430CB1">
        <w:t xml:space="preserve">, že jde reálně existující ekonomické závazky typu dluhových </w:t>
      </w:r>
      <w:r w:rsidR="08430CB1" w:rsidRPr="0804513A">
        <w:rPr>
          <w:i/>
        </w:rPr>
        <w:t>fiat money</w:t>
      </w:r>
      <w:r w:rsidR="08430CB1">
        <w:rPr>
          <w:i/>
        </w:rPr>
        <w:fldChar w:fldCharType="begin"/>
      </w:r>
      <w:r w:rsidR="08430CB1">
        <w:instrText xml:space="preserve"> XE "</w:instrText>
      </w:r>
      <w:r w:rsidR="08430CB1" w:rsidRPr="082F0054">
        <w:rPr>
          <w:i/>
        </w:rPr>
        <w:instrText>fiat money</w:instrText>
      </w:r>
      <w:r w:rsidR="08430CB1">
        <w:instrText xml:space="preserve">" </w:instrText>
      </w:r>
      <w:r w:rsidR="08430CB1">
        <w:rPr>
          <w:i/>
        </w:rPr>
        <w:fldChar w:fldCharType="end"/>
      </w:r>
      <w:r w:rsidR="08430CB1">
        <w:t>.</w:t>
      </w:r>
      <w:r w:rsidR="083E598E">
        <w:t xml:space="preserve"> Ekonomika dluhu existovala již na konci neolitu, protože díky sezónním pracem, řemeslné výrobě, obchodu již bylo potřeba vyrovnávat pohledávky postupně. Tyto archaické </w:t>
      </w:r>
      <w:r w:rsidR="083E598E" w:rsidRPr="08926618">
        <w:rPr>
          <w:i/>
        </w:rPr>
        <w:t>fiat money</w:t>
      </w:r>
      <w:r w:rsidR="083E598E">
        <w:t xml:space="preserve"> ve formě dluhového závazku byly uloženy v úředních tabulkách ve svatyni či v královském paláci. Něco jiného je nihilistické finanční simulákrum dané na základě moderního jsoucna třetího druhu. </w:t>
      </w:r>
      <w:r w:rsidR="08430CB1">
        <w:t>Ekonomický nihilismus je daný tragicky</w:t>
      </w:r>
      <w:r w:rsidR="083F554C">
        <w:t xml:space="preserve">, </w:t>
      </w:r>
      <w:r w:rsidR="08430CB1">
        <w:t xml:space="preserve">proto je postižen dvojnásobnou slepotou vzhledem k realitě. </w:t>
      </w:r>
      <w:r w:rsidR="087B7776">
        <w:t xml:space="preserve">Neoliberální ilumináti vytvořili v epoše metafyzického nihilismu po vzoru </w:t>
      </w:r>
      <w:r w:rsidR="087B7776" w:rsidRPr="08AB20A7">
        <w:rPr>
          <w:i/>
        </w:rPr>
        <w:t>Nominales</w:t>
      </w:r>
      <w:r w:rsidR="087B7776">
        <w:t xml:space="preserve"> ekonomický platonismus pro </w:t>
      </w:r>
      <w:r w:rsidR="00B328B4">
        <w:t xml:space="preserve">prostý </w:t>
      </w:r>
      <w:r w:rsidR="087B7776">
        <w:t>lid</w:t>
      </w:r>
      <w:r w:rsidR="00B328B4">
        <w:t xml:space="preserve">. </w:t>
      </w:r>
      <w:r w:rsidR="00B328B4">
        <w:lastRenderedPageBreak/>
        <w:t xml:space="preserve">Tento nesmysl </w:t>
      </w:r>
      <w:r w:rsidR="087B7776">
        <w:t xml:space="preserve">se stal po smrti </w:t>
      </w:r>
      <w:r w:rsidR="00B328B4">
        <w:t xml:space="preserve">moderního boha dalším </w:t>
      </w:r>
      <w:r w:rsidR="087B7776">
        <w:t xml:space="preserve">globálním náboženstvím. </w:t>
      </w:r>
      <w:r w:rsidR="08430CB1">
        <w:t>Matematizovaná forma logické abstrakce vytvořila digitální soubor simuláker</w:t>
      </w:r>
      <w:r w:rsidR="00163332">
        <w:t xml:space="preserve">. Ty nahradily </w:t>
      </w:r>
      <w:r w:rsidR="0014222D">
        <w:t>v nové ekonomice chiméry</w:t>
      </w:r>
      <w:r w:rsidR="08430CB1">
        <w:t xml:space="preserve"> </w:t>
      </w:r>
      <w:r w:rsidR="0014222D">
        <w:t xml:space="preserve">či neoliberální </w:t>
      </w:r>
      <w:r w:rsidR="0014222D" w:rsidRPr="00163332">
        <w:rPr>
          <w:i/>
        </w:rPr>
        <w:t>voodoo economics</w:t>
      </w:r>
      <w:r w:rsidR="00163332" w:rsidRPr="00163332">
        <w:t xml:space="preserve"> m</w:t>
      </w:r>
      <w:r w:rsidR="08430CB1" w:rsidRPr="00163332">
        <w:t xml:space="preserve">etafyzickou slepotu </w:t>
      </w:r>
      <w:r w:rsidR="08430CB1" w:rsidRPr="00586CA0">
        <w:rPr>
          <w:i/>
        </w:rPr>
        <w:t>Nominales</w:t>
      </w:r>
      <w:r w:rsidR="08430CB1" w:rsidRPr="00163332">
        <w:t xml:space="preserve"> k první substanci.</w:t>
      </w:r>
      <w:r w:rsidR="08E74853" w:rsidRPr="00163332">
        <w:t xml:space="preserve"> </w:t>
      </w:r>
      <w:r w:rsidR="007C01FC" w:rsidRPr="00163332">
        <w:t>Klasická metafyzika si může</w:t>
      </w:r>
      <w:r w:rsidR="007C01FC">
        <w:t xml:space="preserve"> dovolit podobnou swapovou operaci jedině za cenu totálního myšlenkového bankrotu. </w:t>
      </w:r>
    </w:p>
    <w:p w14:paraId="3802DF9B" w14:textId="1932B982" w:rsidR="00CF6FA2" w:rsidRPr="00273106" w:rsidRDefault="08626077" w:rsidP="00B14EDC">
      <w:pPr>
        <w:pStyle w:val="Nadpis2"/>
      </w:pPr>
      <w:bookmarkStart w:id="32" w:name="_Toc487234292"/>
      <w:bookmarkStart w:id="33" w:name="_Toc12558299"/>
      <w:r>
        <w:rPr>
          <w:lang w:val="cs-CZ"/>
        </w:rPr>
        <w:br w:type="page"/>
      </w:r>
      <w:bookmarkStart w:id="34" w:name="_Toc160449311"/>
      <w:r w:rsidR="08D20D28">
        <w:rPr>
          <w:lang w:val="cs-CZ"/>
        </w:rPr>
        <w:lastRenderedPageBreak/>
        <w:t>1</w:t>
      </w:r>
      <w:r w:rsidR="001A10C8" w:rsidRPr="00273106">
        <w:t>.5</w:t>
      </w:r>
      <w:r w:rsidR="0026656F" w:rsidRPr="00273106">
        <w:t xml:space="preserve"> </w:t>
      </w:r>
      <w:r w:rsidR="00A80875">
        <w:rPr>
          <w:lang w:val="cs-CZ"/>
        </w:rPr>
        <w:t>Objektivní mytologie</w:t>
      </w:r>
      <w:r w:rsidR="08D77AE1">
        <w:rPr>
          <w:lang w:val="cs-CZ"/>
        </w:rPr>
        <w:t xml:space="preserve"> substance </w:t>
      </w:r>
      <w:r w:rsidR="00CF6FA2" w:rsidRPr="00273106">
        <w:t>(</w:t>
      </w:r>
      <w:r w:rsidR="00CF6FA2" w:rsidRPr="00273106">
        <w:rPr>
          <w:i/>
        </w:rPr>
        <w:t>Dialogus</w:t>
      </w:r>
      <w:r w:rsidR="00CF6FA2" w:rsidRPr="00273106">
        <w:t xml:space="preserve"> </w:t>
      </w:r>
      <w:r w:rsidR="00CF6FA2" w:rsidRPr="00273106">
        <w:rPr>
          <w:i/>
        </w:rPr>
        <w:t>Ratii et Everardi</w:t>
      </w:r>
      <w:r w:rsidR="00CF6FA2" w:rsidRPr="00273106">
        <w:t>)</w:t>
      </w:r>
      <w:bookmarkEnd w:id="32"/>
      <w:bookmarkEnd w:id="33"/>
      <w:bookmarkEnd w:id="34"/>
    </w:p>
    <w:p w14:paraId="679A0B98" w14:textId="44F18A0D" w:rsidR="009F6C81" w:rsidRPr="009F6C81" w:rsidRDefault="00C45B23" w:rsidP="086474D7">
      <w:pPr>
        <w:rPr>
          <w:i/>
        </w:rPr>
      </w:pPr>
      <w:r w:rsidRPr="00C45B23">
        <w:t xml:space="preserve">Nová metafyzika vznikla uprostřed různých obvinění z </w:t>
      </w:r>
      <w:r>
        <w:t>triteismu, která ovlivnila filos</w:t>
      </w:r>
      <w:r w:rsidRPr="00C45B23">
        <w:t>ofické debaty v druhé polovině 12. století.</w:t>
      </w:r>
      <w:r>
        <w:t xml:space="preserve"> Tyto hádky </w:t>
      </w:r>
      <w:r w:rsidR="08F65480">
        <w:t>v následujícím století vystříd</w:t>
      </w:r>
      <w:r w:rsidR="003D3CC8">
        <w:t>al</w:t>
      </w:r>
      <w:r w:rsidR="08F65480">
        <w:t xml:space="preserve"> stejně zmatený spor o averroismus. </w:t>
      </w:r>
      <w:r w:rsidR="08F65480" w:rsidRPr="00273106">
        <w:t xml:space="preserve">Spojením těchto různorodých proudů byly vytvořeny podmínky pro vznik </w:t>
      </w:r>
      <w:r w:rsidR="08F65480">
        <w:t xml:space="preserve">moderní </w:t>
      </w:r>
      <w:r w:rsidR="08F65480" w:rsidRPr="00273106">
        <w:t>formy metafyziky</w:t>
      </w:r>
      <w:r w:rsidR="00F66220">
        <w:t xml:space="preserve">. Ta </w:t>
      </w:r>
      <w:r w:rsidR="08F65480">
        <w:t xml:space="preserve">vykládala </w:t>
      </w:r>
      <w:r w:rsidR="08F65480" w:rsidRPr="00273106">
        <w:t xml:space="preserve">Aristotela z pozice </w:t>
      </w:r>
      <w:r w:rsidR="08793B54" w:rsidRPr="00273106">
        <w:t>neoplatonismu</w:t>
      </w:r>
      <w:r w:rsidR="08793B54">
        <w:t xml:space="preserve"> </w:t>
      </w:r>
      <w:r w:rsidR="08793B54" w:rsidRPr="00273106">
        <w:t xml:space="preserve">revidovaného </w:t>
      </w:r>
      <w:r w:rsidR="08793B54">
        <w:t>Avicennou</w:t>
      </w:r>
      <w:r w:rsidR="08F65480">
        <w:rPr>
          <w:color w:val="000000"/>
        </w:rPr>
        <w:fldChar w:fldCharType="begin"/>
      </w:r>
      <w:r w:rsidR="08F65480">
        <w:instrText xml:space="preserve"> XE "metafyzika:škola </w:instrText>
      </w:r>
      <w:r w:rsidR="08F65480" w:rsidRPr="00425811">
        <w:rPr>
          <w:i/>
        </w:rPr>
        <w:instrText>Nominales</w:instrText>
      </w:r>
      <w:r w:rsidR="08F65480">
        <w:instrText xml:space="preserve">" </w:instrText>
      </w:r>
      <w:r w:rsidR="08F65480">
        <w:rPr>
          <w:color w:val="000000"/>
        </w:rPr>
        <w:fldChar w:fldCharType="end"/>
      </w:r>
      <w:r w:rsidR="08F65480">
        <w:t xml:space="preserve">. </w:t>
      </w:r>
      <w:r w:rsidR="089C33EF">
        <w:t xml:space="preserve">Analýza termínu </w:t>
      </w:r>
      <w:r w:rsidR="089C33EF" w:rsidRPr="08EB3294">
        <w:rPr>
          <w:i/>
        </w:rPr>
        <w:t>individuum</w:t>
      </w:r>
      <w:r w:rsidR="089C33EF" w:rsidRPr="00273106">
        <w:t xml:space="preserve"> </w:t>
      </w:r>
      <w:r w:rsidR="089C33EF">
        <w:t xml:space="preserve">na základě derivace a integrace porretánských hypostází </w:t>
      </w:r>
      <w:r w:rsidR="089C33EF" w:rsidRPr="00273106">
        <w:t xml:space="preserve">ukázala, že škola </w:t>
      </w:r>
      <w:r w:rsidR="089C33EF" w:rsidRPr="00273106">
        <w:rPr>
          <w:i/>
        </w:rPr>
        <w:t>Nominales</w:t>
      </w:r>
      <w:r w:rsidR="089C33EF" w:rsidRPr="00273106">
        <w:t xml:space="preserve"> </w:t>
      </w:r>
      <w:r w:rsidR="089C33EF">
        <w:t xml:space="preserve">nepotřebuje pro </w:t>
      </w:r>
      <w:r w:rsidR="089C33EF" w:rsidRPr="00273106">
        <w:t xml:space="preserve">poznání </w:t>
      </w:r>
      <w:r w:rsidR="089C33EF">
        <w:t xml:space="preserve">aktuální existenci </w:t>
      </w:r>
      <w:r w:rsidR="089C33EF" w:rsidRPr="00273106">
        <w:t>první substance</w:t>
      </w:r>
      <w:r w:rsidR="00B2143F">
        <w:fldChar w:fldCharType="begin"/>
      </w:r>
      <w:r w:rsidR="00B2143F">
        <w:instrText xml:space="preserve"> XE "</w:instrText>
      </w:r>
      <w:r w:rsidR="00B2143F" w:rsidRPr="00DE2A32">
        <w:instrText>substance</w:instrText>
      </w:r>
      <w:r w:rsidR="00B2143F">
        <w:instrText xml:space="preserve">:objektivní" </w:instrText>
      </w:r>
      <w:r w:rsidR="00B2143F">
        <w:fldChar w:fldCharType="end"/>
      </w:r>
      <w:r w:rsidR="00B2143F">
        <w:t xml:space="preserve">. Nová forma „vědy“ potřebuje k logické dedukci pouze </w:t>
      </w:r>
      <w:r w:rsidR="08535E30">
        <w:t>univerzální esence</w:t>
      </w:r>
      <w:r w:rsidR="089C33EF" w:rsidRPr="00273106">
        <w:t>.</w:t>
      </w:r>
      <w:r w:rsidR="089C33EF">
        <w:t xml:space="preserve"> </w:t>
      </w:r>
      <w:r w:rsidR="00EB7406" w:rsidRPr="00EB7406">
        <w:t xml:space="preserve">Představitelé první latinské moderny nepotřebují skutečného Sokrata, který by existoval jako první substance, jež by založila poznání na úrovni moderní </w:t>
      </w:r>
      <w:r w:rsidR="00EB7406">
        <w:t xml:space="preserve">formy </w:t>
      </w:r>
      <w:r w:rsidR="00EB7406" w:rsidRPr="00EB7406">
        <w:rPr>
          <w:i/>
        </w:rPr>
        <w:t>rectitudo</w:t>
      </w:r>
      <w:r w:rsidR="00EB7406">
        <w:t xml:space="preserve">. </w:t>
      </w:r>
      <w:r w:rsidR="089C33EF" w:rsidRPr="00273106">
        <w:t xml:space="preserve">Nasvícení jsoucna zezadu dostalo nový impulz spojením Avicennovy metafyziky s učením Gilberta </w:t>
      </w:r>
      <w:r w:rsidR="002239AA">
        <w:t>de La Porrée</w:t>
      </w:r>
      <w:r w:rsidR="089C33EF" w:rsidRPr="00273106">
        <w:t xml:space="preserve">, což dosvědčují traktáty </w:t>
      </w:r>
      <w:r w:rsidR="089C33EF" w:rsidRPr="00273106">
        <w:rPr>
          <w:i/>
        </w:rPr>
        <w:t>Nominales</w:t>
      </w:r>
      <w:r w:rsidR="089C33EF" w:rsidRPr="00273106">
        <w:t xml:space="preserve"> psané po roce 1160. Díky spisům Dominica Gundissalina</w:t>
      </w:r>
      <w:r w:rsidR="089C33EF">
        <w:fldChar w:fldCharType="begin"/>
      </w:r>
      <w:r w:rsidR="089C33EF">
        <w:instrText xml:space="preserve"> XE "</w:instrText>
      </w:r>
      <w:r w:rsidR="089C33EF" w:rsidRPr="00AB6F57">
        <w:instrText>Gundissalinus, D.</w:instrText>
      </w:r>
      <w:r w:rsidR="089C33EF">
        <w:instrText xml:space="preserve">" </w:instrText>
      </w:r>
      <w:r w:rsidR="089C33EF">
        <w:fldChar w:fldCharType="end"/>
      </w:r>
      <w:r w:rsidR="089C33EF" w:rsidRPr="00273106">
        <w:t xml:space="preserve">  se rozšířil v letech 1150–75 latinský překlad Avicennova spisu </w:t>
      </w:r>
      <w:r w:rsidR="089C33EF" w:rsidRPr="00273106">
        <w:rPr>
          <w:i/>
        </w:rPr>
        <w:t>Kitáb al-Šifá</w:t>
      </w:r>
      <w:r w:rsidR="089C33EF" w:rsidRPr="00273106">
        <w:t xml:space="preserve"> (</w:t>
      </w:r>
      <w:r w:rsidR="089C33EF" w:rsidRPr="00273106">
        <w:rPr>
          <w:i/>
        </w:rPr>
        <w:t>Liber de Philosophia prima sive scientia divina</w:t>
      </w:r>
      <w:r w:rsidR="089C33EF" w:rsidRPr="00273106">
        <w:t>).</w:t>
      </w:r>
      <w:r w:rsidR="089C33EF" w:rsidRPr="00273106">
        <w:rPr>
          <w:rStyle w:val="Znakapoznpodarou"/>
          <w:sz w:val="22"/>
        </w:rPr>
        <w:footnoteReference w:id="70"/>
      </w:r>
      <w:r w:rsidR="089C33EF" w:rsidRPr="00273106">
        <w:t xml:space="preserve"> Avicennův náhled na jsoucno formou </w:t>
      </w:r>
      <w:r w:rsidR="089C33EF">
        <w:t xml:space="preserve">abstrakce jako </w:t>
      </w:r>
      <w:r w:rsidR="089C33EF" w:rsidRPr="00273106">
        <w:rPr>
          <w:i/>
        </w:rPr>
        <w:t>denudatio</w:t>
      </w:r>
      <w:r w:rsidR="089C33EF">
        <w:rPr>
          <w:i/>
        </w:rPr>
        <w:fldChar w:fldCharType="begin"/>
      </w:r>
      <w:r w:rsidR="089C33EF">
        <w:instrText xml:space="preserve"> XE "</w:instrText>
      </w:r>
      <w:r w:rsidR="089C33EF" w:rsidRPr="00C23100">
        <w:rPr>
          <w:i/>
        </w:rPr>
        <w:instrText>denudatio</w:instrText>
      </w:r>
      <w:r w:rsidR="089C33EF" w:rsidRPr="00CB2559">
        <w:instrText>:Avicenna</w:instrText>
      </w:r>
      <w:r w:rsidR="089C33EF">
        <w:instrText xml:space="preserve">" </w:instrText>
      </w:r>
      <w:r w:rsidR="089C33EF">
        <w:rPr>
          <w:i/>
        </w:rPr>
        <w:fldChar w:fldCharType="end"/>
      </w:r>
      <w:r w:rsidR="089C33EF" w:rsidRPr="00273106">
        <w:t xml:space="preserve"> a zavedení nového jsoucna třetího druhu (</w:t>
      </w:r>
      <w:r w:rsidR="089C33EF" w:rsidRPr="00273106">
        <w:rPr>
          <w:i/>
        </w:rPr>
        <w:t>equinitas tantum</w:t>
      </w:r>
      <w:r w:rsidR="089C33EF">
        <w:rPr>
          <w:i/>
        </w:rPr>
        <w:fldChar w:fldCharType="begin"/>
      </w:r>
      <w:r w:rsidR="089C33EF">
        <w:instrText xml:space="preserve"> XE "</w:instrText>
      </w:r>
      <w:r w:rsidR="089C33EF" w:rsidRPr="00553626">
        <w:instrText>objektivita:Avicenna</w:instrText>
      </w:r>
      <w:r w:rsidR="089C33EF">
        <w:instrText xml:space="preserve">" </w:instrText>
      </w:r>
      <w:r w:rsidR="089C33EF">
        <w:rPr>
          <w:i/>
        </w:rPr>
        <w:fldChar w:fldCharType="end"/>
      </w:r>
      <w:r w:rsidR="089C33EF" w:rsidRPr="00273106">
        <w:rPr>
          <w:i/>
        </w:rPr>
        <w:t>, hoc esse tantum</w:t>
      </w:r>
      <w:r w:rsidR="089C33EF">
        <w:rPr>
          <w:i/>
        </w:rPr>
        <w:fldChar w:fldCharType="begin"/>
      </w:r>
      <w:r w:rsidR="089C33EF">
        <w:instrText xml:space="preserve"> XE "</w:instrText>
      </w:r>
      <w:r w:rsidR="089C33EF" w:rsidRPr="005A071C">
        <w:rPr>
          <w:i/>
          <w:lang w:eastAsia="en-US"/>
        </w:rPr>
        <w:instrText>hoc esse tantum</w:instrText>
      </w:r>
      <w:r w:rsidR="089C33EF">
        <w:instrText xml:space="preserve">" </w:instrText>
      </w:r>
      <w:r w:rsidR="089C33EF">
        <w:rPr>
          <w:i/>
        </w:rPr>
        <w:fldChar w:fldCharType="end"/>
      </w:r>
      <w:r w:rsidR="089C33EF" w:rsidRPr="00273106">
        <w:t>) perfektně zapadlo do porretánského systému čisté subsistence</w:t>
      </w:r>
      <w:r w:rsidR="089C33EF">
        <w:fldChar w:fldCharType="begin"/>
      </w:r>
      <w:r w:rsidR="089C33EF">
        <w:instrText xml:space="preserve"> XE "</w:instrText>
      </w:r>
      <w:r w:rsidR="089C33EF" w:rsidRPr="001D1E42">
        <w:instrText>subsistence</w:instrText>
      </w:r>
      <w:r w:rsidR="089C33EF">
        <w:instrText xml:space="preserve">:porretáni" </w:instrText>
      </w:r>
      <w:r w:rsidR="089C33EF">
        <w:fldChar w:fldCharType="end"/>
      </w:r>
      <w:r w:rsidR="089C33EF" w:rsidRPr="00273106">
        <w:t xml:space="preserve"> dané </w:t>
      </w:r>
      <w:r w:rsidR="089C33EF" w:rsidRPr="00273106">
        <w:rPr>
          <w:i/>
        </w:rPr>
        <w:t>simpliciter</w:t>
      </w:r>
      <w:r w:rsidR="085B76D0">
        <w:t xml:space="preserve">. Na tuto subsistenci určenou logicky porretánci </w:t>
      </w:r>
      <w:r w:rsidR="089C33EF" w:rsidRPr="00273106">
        <w:t xml:space="preserve">napojili </w:t>
      </w:r>
      <w:r w:rsidR="085B76D0">
        <w:t xml:space="preserve">formou Avicennovy komitace </w:t>
      </w:r>
      <w:r w:rsidR="089C33EF" w:rsidRPr="00273106">
        <w:t xml:space="preserve">hypostáze všeho druhu. </w:t>
      </w:r>
      <w:r w:rsidR="089C33EF">
        <w:t xml:space="preserve">Predikace </w:t>
      </w:r>
      <w:r w:rsidR="089C33EF" w:rsidRPr="00273106">
        <w:t xml:space="preserve">jsoucna třetího druhu v modu komitace umožnila scholastikům od druhé poloviny 12. století predikaci v modelu univoční </w:t>
      </w:r>
      <w:r w:rsidR="089C33EF">
        <w:t xml:space="preserve">predikace </w:t>
      </w:r>
      <w:r w:rsidR="089C33EF" w:rsidRPr="00273106">
        <w:t xml:space="preserve">hypostází </w:t>
      </w:r>
      <w:r w:rsidR="089C33EF">
        <w:t>v modu apozice, kolekty, dělení, třídění atd. Porretáni v</w:t>
      </w:r>
      <w:r w:rsidR="089C33EF" w:rsidRPr="00273106">
        <w:rPr>
          <w:color w:val="000000"/>
        </w:rPr>
        <w:t>edeni příkladem svého mistra udělali z formálního určení typu „běloba</w:t>
      </w:r>
      <w:r w:rsidR="089C33EF">
        <w:rPr>
          <w:color w:val="000000"/>
        </w:rPr>
        <w:fldChar w:fldCharType="begin"/>
      </w:r>
      <w:r w:rsidR="089C33EF">
        <w:instrText xml:space="preserve"> XE "</w:instrText>
      </w:r>
      <w:r w:rsidR="089C33EF" w:rsidRPr="00C0177F">
        <w:instrText>predikace:běloba</w:instrText>
      </w:r>
      <w:r w:rsidR="089C33EF">
        <w:instrText xml:space="preserve">" </w:instrText>
      </w:r>
      <w:r w:rsidR="089C33EF">
        <w:rPr>
          <w:color w:val="000000"/>
        </w:rPr>
        <w:fldChar w:fldCharType="end"/>
      </w:r>
      <w:r w:rsidR="089C33EF" w:rsidRPr="00273106">
        <w:rPr>
          <w:color w:val="000000"/>
        </w:rPr>
        <w:t>“ (</w:t>
      </w:r>
      <w:r w:rsidR="089C33EF" w:rsidRPr="00273106">
        <w:rPr>
          <w:i/>
          <w:color w:val="000000"/>
        </w:rPr>
        <w:t>albedo</w:t>
      </w:r>
      <w:r w:rsidR="089C33EF" w:rsidRPr="00273106">
        <w:rPr>
          <w:color w:val="000000"/>
        </w:rPr>
        <w:t>) individuální substanci formou kvália</w:t>
      </w:r>
      <w:r w:rsidR="089C33EF">
        <w:rPr>
          <w:color w:val="000000"/>
        </w:rPr>
        <w:fldChar w:fldCharType="begin"/>
      </w:r>
      <w:r w:rsidR="089C33EF">
        <w:instrText xml:space="preserve"> XE "</w:instrText>
      </w:r>
      <w:r w:rsidR="089C33EF" w:rsidRPr="000368A3">
        <w:instrText>kvália</w:instrText>
      </w:r>
      <w:r w:rsidR="089C33EF">
        <w:instrText xml:space="preserve">" </w:instrText>
      </w:r>
      <w:r w:rsidR="089C33EF">
        <w:rPr>
          <w:color w:val="000000"/>
        </w:rPr>
        <w:fldChar w:fldCharType="end"/>
      </w:r>
      <w:r w:rsidR="089C33EF" w:rsidRPr="00273106">
        <w:rPr>
          <w:color w:val="000000"/>
        </w:rPr>
        <w:t xml:space="preserve"> (</w:t>
      </w:r>
      <w:r w:rsidR="089C33EF" w:rsidRPr="00273106">
        <w:rPr>
          <w:rStyle w:val="Zkladntext15dkovn0pt"/>
          <w:rFonts w:ascii="Calibri" w:eastAsia="Times" w:hAnsi="Calibri" w:cs="Times New Roman"/>
          <w:b w:val="0"/>
          <w:bCs w:val="0"/>
          <w:i/>
          <w:color w:val="auto"/>
          <w:sz w:val="24"/>
          <w:lang w:val="cs-CZ"/>
        </w:rPr>
        <w:t>quale quiddam est</w:t>
      </w:r>
      <w:r w:rsidR="089C33EF" w:rsidRPr="00273106">
        <w:rPr>
          <w:color w:val="000000"/>
        </w:rPr>
        <w:t>) a tuto specifickou extenzi běloby použili ve formě predikace směrem k jednotlivinám (</w:t>
      </w:r>
      <w:r w:rsidR="089C33EF" w:rsidRPr="00273106">
        <w:rPr>
          <w:i/>
        </w:rPr>
        <w:t>discretiva suppositio</w:t>
      </w:r>
      <w:r w:rsidR="089C33EF" w:rsidRPr="00273106">
        <w:rPr>
          <w:color w:val="000000"/>
        </w:rPr>
        <w:t xml:space="preserve">). </w:t>
      </w:r>
      <w:r w:rsidR="00BB4D0C">
        <w:rPr>
          <w:color w:val="000000"/>
        </w:rPr>
        <w:t xml:space="preserve">Nominalistům </w:t>
      </w:r>
      <w:r w:rsidR="08841137" w:rsidRPr="00273106">
        <w:t>nevadí, že běloba byla u Aristotela pouhým akcidentem</w:t>
      </w:r>
      <w:r w:rsidR="0014052F">
        <w:t xml:space="preserve">, který se v modu impozice </w:t>
      </w:r>
      <w:r w:rsidR="00F160CC">
        <w:t xml:space="preserve">univočně </w:t>
      </w:r>
      <w:r w:rsidR="0014052F">
        <w:t>predikuje vzhledem ke</w:t>
      </w:r>
      <w:r w:rsidR="08841137" w:rsidRPr="00273106">
        <w:t xml:space="preserve"> </w:t>
      </w:r>
      <w:r w:rsidR="08B97AFE">
        <w:t xml:space="preserve">druhé </w:t>
      </w:r>
      <w:r w:rsidR="0014052F">
        <w:t>substanci</w:t>
      </w:r>
      <w:r w:rsidR="08841137" w:rsidRPr="00273106">
        <w:t xml:space="preserve">. </w:t>
      </w:r>
      <w:r w:rsidR="08B97AFE">
        <w:t xml:space="preserve">A první reálné substance </w:t>
      </w:r>
      <w:r w:rsidR="007C01C7">
        <w:t>nezískávají „bělobu</w:t>
      </w:r>
      <w:r w:rsidR="08B97AFE">
        <w:t xml:space="preserve">“, protože existují </w:t>
      </w:r>
      <w:r w:rsidR="08B97AFE" w:rsidRPr="08B97AFE">
        <w:rPr>
          <w:i/>
        </w:rPr>
        <w:t>simpliciter</w:t>
      </w:r>
      <w:r w:rsidR="08B97AFE">
        <w:t xml:space="preserve"> </w:t>
      </w:r>
      <w:r w:rsidR="08A72203">
        <w:t xml:space="preserve">a </w:t>
      </w:r>
      <w:r w:rsidR="08B97AFE" w:rsidRPr="08B97AFE">
        <w:rPr>
          <w:i/>
        </w:rPr>
        <w:t>per se</w:t>
      </w:r>
      <w:r w:rsidR="08A72203">
        <w:t xml:space="preserve">, </w:t>
      </w:r>
      <w:r w:rsidR="08B97AFE">
        <w:lastRenderedPageBreak/>
        <w:t>tedy bez dodatečné</w:t>
      </w:r>
      <w:r w:rsidR="08A72203">
        <w:t xml:space="preserve">ho poznání a </w:t>
      </w:r>
      <w:r w:rsidR="08B97AFE">
        <w:t xml:space="preserve">predikace. </w:t>
      </w:r>
      <w:r w:rsidR="089C33EF" w:rsidRPr="00273106">
        <w:rPr>
          <w:rStyle w:val="Zkladntext15dkovn0pt"/>
          <w:rFonts w:ascii="Calibri" w:eastAsia="Times" w:hAnsi="Calibri" w:cs="Times New Roman"/>
          <w:b w:val="0"/>
          <w:bCs w:val="0"/>
          <w:color w:val="auto"/>
          <w:sz w:val="24"/>
          <w:lang w:val="cs-CZ"/>
        </w:rPr>
        <w:t xml:space="preserve">Termíny typu </w:t>
      </w:r>
      <w:r w:rsidR="089C33EF" w:rsidRPr="00273106">
        <w:rPr>
          <w:i/>
        </w:rPr>
        <w:t xml:space="preserve">propria appellatio </w:t>
      </w:r>
      <w:r w:rsidR="089C33EF">
        <w:t xml:space="preserve">a </w:t>
      </w:r>
      <w:r w:rsidR="089C33EF" w:rsidRPr="00273106">
        <w:rPr>
          <w:i/>
        </w:rPr>
        <w:t>discretiva suppositio</w:t>
      </w:r>
      <w:r w:rsidR="089C33EF" w:rsidRPr="00273106">
        <w:t xml:space="preserve"> ukazují v díle </w:t>
      </w:r>
      <w:r w:rsidR="089C33EF" w:rsidRPr="00273106">
        <w:rPr>
          <w:i/>
        </w:rPr>
        <w:t>Summa Zwettlensis</w:t>
      </w:r>
      <w:r w:rsidR="089C33EF" w:rsidRPr="00273106">
        <w:t xml:space="preserve"> (kolem 1180) </w:t>
      </w:r>
      <w:r w:rsidR="08586061">
        <w:t>diferenciaci</w:t>
      </w:r>
      <w:r w:rsidR="089C33EF" w:rsidRPr="00273106">
        <w:t xml:space="preserve"> </w:t>
      </w:r>
      <w:r w:rsidR="08586061">
        <w:t xml:space="preserve">významů </w:t>
      </w:r>
      <w:r w:rsidR="089C33EF" w:rsidRPr="00273106">
        <w:t>až k</w:t>
      </w:r>
      <w:r w:rsidR="082B2B24">
        <w:t> </w:t>
      </w:r>
      <w:r w:rsidR="089C33EF" w:rsidRPr="00273106">
        <w:t>individuu</w:t>
      </w:r>
      <w:r w:rsidR="082B2B24">
        <w:t xml:space="preserve"> chápaného jako substance třetího druhu</w:t>
      </w:r>
      <w:r w:rsidR="089C33EF">
        <w:rPr>
          <w:color w:val="000000"/>
        </w:rPr>
        <w:fldChar w:fldCharType="begin"/>
      </w:r>
      <w:r w:rsidR="089C33EF">
        <w:instrText xml:space="preserve"> XE "supozice:individuum" </w:instrText>
      </w:r>
      <w:r w:rsidR="089C33EF">
        <w:rPr>
          <w:color w:val="000000"/>
        </w:rPr>
        <w:fldChar w:fldCharType="end"/>
      </w:r>
      <w:r w:rsidR="089C33EF" w:rsidRPr="00273106">
        <w:t>.</w:t>
      </w:r>
      <w:r w:rsidR="089C33EF">
        <w:t xml:space="preserve"> </w:t>
      </w:r>
      <w:r w:rsidR="089C33EF" w:rsidRPr="00273106">
        <w:t xml:space="preserve">Nová vize reality vzniká v porretánské větvi tehdejších škol </w:t>
      </w:r>
      <w:r w:rsidR="089C33EF" w:rsidRPr="00273106">
        <w:rPr>
          <w:i/>
        </w:rPr>
        <w:t>Nominales</w:t>
      </w:r>
      <w:r w:rsidR="089C33EF" w:rsidRPr="00273106">
        <w:t xml:space="preserve"> díky působení vyššího rodového principu při určování nižší, a tím i specifičtější roviny významu. Výsledná nedělitelnost </w:t>
      </w:r>
      <w:r w:rsidR="089C33EF">
        <w:t>vznikne plato</w:t>
      </w:r>
      <w:r w:rsidR="089C33EF" w:rsidRPr="00273106">
        <w:t xml:space="preserve">nským dělením </w:t>
      </w:r>
      <w:r w:rsidR="08B006A4">
        <w:t>(</w:t>
      </w:r>
      <w:r w:rsidR="08B006A4">
        <w:rPr>
          <w:rStyle w:val="st"/>
        </w:rPr>
        <w:t>διαίρεσις</w:t>
      </w:r>
      <w:r w:rsidR="08B006A4">
        <w:t xml:space="preserve">) </w:t>
      </w:r>
      <w:r w:rsidR="089C33EF" w:rsidRPr="00273106">
        <w:t>významového kontinua na úrovni rodu a</w:t>
      </w:r>
      <w:r w:rsidR="089C33EF">
        <w:t xml:space="preserve"> druhu</w:t>
      </w:r>
      <w:r w:rsidR="00F160CC">
        <w:t>. Syntéza hypostáz</w:t>
      </w:r>
      <w:r w:rsidR="00F160CC" w:rsidRPr="00F160CC">
        <w:t xml:space="preserve">ovaných predikátů probíhá v rámci </w:t>
      </w:r>
      <w:r w:rsidR="00F160CC">
        <w:t xml:space="preserve">univoční nominace, což je nominalistická forma kolekty. </w:t>
      </w:r>
      <w:r w:rsidR="00846A42" w:rsidRPr="00846A42">
        <w:t>Alternativně v</w:t>
      </w:r>
      <w:r w:rsidR="00846A42">
        <w:t xml:space="preserve">zniká význam z nominalistické kolekty </w:t>
      </w:r>
      <w:r w:rsidR="00846A42" w:rsidRPr="00846A42">
        <w:t>zdola (</w:t>
      </w:r>
      <w:r w:rsidR="00846A42" w:rsidRPr="00846A42">
        <w:rPr>
          <w:i/>
        </w:rPr>
        <w:t>individuum</w:t>
      </w:r>
      <w:r w:rsidR="00846A42" w:rsidRPr="00846A42">
        <w:t xml:space="preserve">) </w:t>
      </w:r>
      <w:r w:rsidR="00846A42">
        <w:t xml:space="preserve">směrem </w:t>
      </w:r>
      <w:r w:rsidR="00846A42" w:rsidRPr="00846A42">
        <w:t>nahoru (</w:t>
      </w:r>
      <w:r w:rsidR="00846A42" w:rsidRPr="00846A42">
        <w:rPr>
          <w:i/>
        </w:rPr>
        <w:t>genus</w:t>
      </w:r>
      <w:r w:rsidR="00846A42" w:rsidRPr="00846A42">
        <w:t>).</w:t>
      </w:r>
      <w:r w:rsidR="00846A42">
        <w:t xml:space="preserve"> </w:t>
      </w:r>
      <w:r w:rsidR="00F160CC">
        <w:t xml:space="preserve">Různé hypostázované </w:t>
      </w:r>
      <w:r w:rsidR="00F160CC" w:rsidRPr="00F160CC">
        <w:t xml:space="preserve">vlastnosti se přidávají k substrátu jako </w:t>
      </w:r>
      <w:r w:rsidR="00F160CC" w:rsidRPr="00F160CC">
        <w:rPr>
          <w:i/>
        </w:rPr>
        <w:t>tertium ens</w:t>
      </w:r>
      <w:r w:rsidR="00F160CC" w:rsidRPr="00F160CC">
        <w:t xml:space="preserve"> </w:t>
      </w:r>
      <w:r w:rsidR="00F160CC">
        <w:t xml:space="preserve">na základě </w:t>
      </w:r>
      <w:r w:rsidR="00F160CC" w:rsidRPr="00F160CC">
        <w:t>komitace.</w:t>
      </w:r>
      <w:r w:rsidR="00F160CC">
        <w:t xml:space="preserve"> </w:t>
      </w:r>
      <w:r w:rsidR="089C33EF" w:rsidRPr="00273106">
        <w:t>Oba postupy analýzy a syntézy univerzálního významu vzhle</w:t>
      </w:r>
      <w:r w:rsidR="089C33EF">
        <w:t xml:space="preserve">dem individuu najdeme v podobě </w:t>
      </w:r>
      <w:r w:rsidR="089C33EF" w:rsidRPr="00273106">
        <w:rPr>
          <w:i/>
        </w:rPr>
        <w:t>resolutio</w:t>
      </w:r>
      <w:r w:rsidR="089C33EF">
        <w:rPr>
          <w:i/>
        </w:rPr>
        <w:fldChar w:fldCharType="begin"/>
      </w:r>
      <w:r w:rsidR="089C33EF">
        <w:instrText xml:space="preserve"> XE "</w:instrText>
      </w:r>
      <w:r w:rsidR="089C33EF" w:rsidRPr="00111E9E">
        <w:rPr>
          <w:i/>
        </w:rPr>
        <w:instrText>resolutio</w:instrText>
      </w:r>
      <w:r w:rsidR="089C33EF">
        <w:instrText xml:space="preserve">:porretáni" </w:instrText>
      </w:r>
      <w:r w:rsidR="089C33EF">
        <w:rPr>
          <w:i/>
        </w:rPr>
        <w:fldChar w:fldCharType="end"/>
      </w:r>
      <w:r w:rsidR="089C33EF">
        <w:t xml:space="preserve"> a </w:t>
      </w:r>
      <w:r w:rsidR="089C33EF" w:rsidRPr="00273106">
        <w:rPr>
          <w:i/>
        </w:rPr>
        <w:t>collectio</w:t>
      </w:r>
      <w:r w:rsidR="089C33EF">
        <w:rPr>
          <w:i/>
        </w:rPr>
        <w:fldChar w:fldCharType="begin"/>
      </w:r>
      <w:r w:rsidR="089C33EF">
        <w:instrText xml:space="preserve"> XE "</w:instrText>
      </w:r>
      <w:r w:rsidR="089C33EF" w:rsidRPr="003360BC">
        <w:rPr>
          <w:i/>
        </w:rPr>
        <w:instrText>collectio</w:instrText>
      </w:r>
      <w:r w:rsidR="089C33EF">
        <w:instrText xml:space="preserve">" </w:instrText>
      </w:r>
      <w:r w:rsidR="089C33EF">
        <w:rPr>
          <w:i/>
        </w:rPr>
        <w:fldChar w:fldCharType="end"/>
      </w:r>
      <w:r w:rsidR="089C33EF" w:rsidRPr="00273106">
        <w:t xml:space="preserve"> u pozdějších představitelů druhého averroismu.</w:t>
      </w:r>
      <w:r w:rsidR="089C33EF">
        <w:t xml:space="preserve"> </w:t>
      </w:r>
      <w:r w:rsidR="08201E42">
        <w:t xml:space="preserve">Metafyzický nihilismus přesvědčivě potvrzuje dvěma světovými válkami a globálním oteplováním, že dvojí dějinný úkol doketistů ohledně </w:t>
      </w:r>
      <w:r w:rsidR="08D57FE9">
        <w:t xml:space="preserve">ratifikace </w:t>
      </w:r>
      <w:r w:rsidR="08201E42">
        <w:t>neexistujícího jsoucna (</w:t>
      </w:r>
      <w:r w:rsidR="08201E42" w:rsidRPr="003452E6">
        <w:rPr>
          <w:i/>
        </w:rPr>
        <w:t>ascensio</w:t>
      </w:r>
      <w:r w:rsidR="08201E42">
        <w:t xml:space="preserve">, </w:t>
      </w:r>
      <w:r w:rsidR="08201E42" w:rsidRPr="003452E6">
        <w:rPr>
          <w:i/>
        </w:rPr>
        <w:t>sanctificatio</w:t>
      </w:r>
      <w:r w:rsidR="08201E42">
        <w:t>) se zdařil přímo epochálně</w:t>
      </w:r>
      <w:r w:rsidR="009F6C81">
        <w:t>, v</w:t>
      </w:r>
      <w:r w:rsidR="08201E42">
        <w:t>četně Al</w:t>
      </w:r>
      <w:r w:rsidR="08201E42">
        <w:noBreakHyphen/>
        <w:t>Ghazálím</w:t>
      </w:r>
      <w:r w:rsidR="08201E42">
        <w:fldChar w:fldCharType="begin"/>
      </w:r>
      <w:r w:rsidR="08201E42">
        <w:instrText xml:space="preserve"> XE "</w:instrText>
      </w:r>
      <w:r w:rsidR="08201E42" w:rsidRPr="00A36A4E">
        <w:instrText>Al</w:instrText>
      </w:r>
      <w:r w:rsidR="08201E42">
        <w:instrText xml:space="preserve">-Ghazálí" </w:instrText>
      </w:r>
      <w:r w:rsidR="08201E42">
        <w:fldChar w:fldCharType="end"/>
      </w:r>
      <w:r w:rsidR="08201E42">
        <w:t xml:space="preserve"> předpovězené smrti objektivního boha </w:t>
      </w:r>
      <w:r w:rsidR="08201E42" w:rsidRPr="00F24432">
        <w:rPr>
          <w:i/>
        </w:rPr>
        <w:t>Modernorum</w:t>
      </w:r>
      <w:r w:rsidR="009F6C81">
        <w:t xml:space="preserve">. </w:t>
      </w:r>
      <w:r w:rsidR="009F6C81" w:rsidRPr="009F6C81">
        <w:t xml:space="preserve">Toto lidské a důsledně modernistické </w:t>
      </w:r>
      <w:r w:rsidR="009F6C81" w:rsidRPr="009F6C81">
        <w:rPr>
          <w:i/>
        </w:rPr>
        <w:t>factum</w:t>
      </w:r>
      <w:r w:rsidR="009F6C81" w:rsidRPr="009F6C81">
        <w:t xml:space="preserve"> předpověděl al-Ghazálí a vítězně je dovršil postkřesťanský Západ, když Nietzsche začal filosofovat kladivem.</w:t>
      </w:r>
    </w:p>
    <w:p w14:paraId="614907DC" w14:textId="2F97621B" w:rsidR="00F8357B" w:rsidRPr="00273106" w:rsidRDefault="08201E42" w:rsidP="009F6C81">
      <w:pPr>
        <w:ind w:firstLine="397"/>
      </w:pPr>
      <w:r>
        <w:rPr>
          <w:color w:val="000000"/>
        </w:rPr>
        <w:fldChar w:fldCharType="begin"/>
      </w:r>
      <w:r>
        <w:instrText xml:space="preserve"> XE "smrt boha" </w:instrText>
      </w:r>
      <w:r>
        <w:rPr>
          <w:color w:val="000000"/>
        </w:rPr>
        <w:fldChar w:fldCharType="end"/>
      </w:r>
      <w:r w:rsidR="000A4E07">
        <w:rPr>
          <w:lang w:eastAsia="en-US"/>
        </w:rPr>
        <w:t>D</w:t>
      </w:r>
      <w:r w:rsidR="000A4E07" w:rsidRPr="00273106">
        <w:rPr>
          <w:lang w:eastAsia="en-US"/>
        </w:rPr>
        <w:t xml:space="preserve">ílo </w:t>
      </w:r>
      <w:r w:rsidR="000A4E07" w:rsidRPr="00273106">
        <w:rPr>
          <w:i/>
        </w:rPr>
        <w:t>Dialogus Ratii et Everardi</w:t>
      </w:r>
      <w:r w:rsidR="000A4E07" w:rsidRPr="00273106">
        <w:t xml:space="preserve"> psané asi opatem Everardem z Ypres</w:t>
      </w:r>
      <w:r w:rsidR="0023293F">
        <w:fldChar w:fldCharType="begin"/>
      </w:r>
      <w:r w:rsidR="0023293F">
        <w:instrText xml:space="preserve"> XE "</w:instrText>
      </w:r>
      <w:r w:rsidR="0023293F" w:rsidRPr="00372D88">
        <w:instrText>Everard z Ypres</w:instrText>
      </w:r>
      <w:r w:rsidR="0023293F">
        <w:instrText xml:space="preserve">" </w:instrText>
      </w:r>
      <w:r w:rsidR="0023293F">
        <w:fldChar w:fldCharType="end"/>
      </w:r>
      <w:r w:rsidR="000A4E07" w:rsidRPr="00273106">
        <w:t xml:space="preserve"> </w:t>
      </w:r>
      <w:r w:rsidR="087770DF">
        <w:t xml:space="preserve">někdy roku </w:t>
      </w:r>
      <w:r w:rsidR="000A4E07" w:rsidRPr="00273106">
        <w:t>1190</w:t>
      </w:r>
      <w:r w:rsidR="000A4E07">
        <w:t xml:space="preserve"> přineslo první s</w:t>
      </w:r>
      <w:r w:rsidR="000A4E07">
        <w:rPr>
          <w:lang w:eastAsia="en-US"/>
        </w:rPr>
        <w:t>yntézu</w:t>
      </w:r>
      <w:r w:rsidR="008F05FA" w:rsidRPr="00273106">
        <w:rPr>
          <w:lang w:eastAsia="en-US"/>
        </w:rPr>
        <w:t xml:space="preserve"> avicennismu</w:t>
      </w:r>
      <w:r w:rsidR="00C35860" w:rsidRPr="00273106">
        <w:rPr>
          <w:lang w:eastAsia="en-US"/>
        </w:rPr>
        <w:t xml:space="preserve"> </w:t>
      </w:r>
      <w:r w:rsidR="00553244" w:rsidRPr="00273106">
        <w:rPr>
          <w:lang w:eastAsia="en-US"/>
        </w:rPr>
        <w:t xml:space="preserve">se školou </w:t>
      </w:r>
      <w:r w:rsidR="00C35860" w:rsidRPr="00273106">
        <w:rPr>
          <w:i/>
          <w:lang w:eastAsia="en-US"/>
        </w:rPr>
        <w:t>Nominales</w:t>
      </w:r>
      <w:r w:rsidR="000A4E07">
        <w:rPr>
          <w:lang w:eastAsia="en-US"/>
        </w:rPr>
        <w:t>, v níž vzniká objektivní vidění světa</w:t>
      </w:r>
      <w:r w:rsidR="008C0D8B" w:rsidRPr="00273106">
        <w:t xml:space="preserve">. </w:t>
      </w:r>
      <w:r w:rsidR="00A3129D" w:rsidRPr="00273106">
        <w:t xml:space="preserve">Text </w:t>
      </w:r>
      <w:r w:rsidR="000A1D03" w:rsidRPr="00273106">
        <w:t xml:space="preserve">dialogu </w:t>
      </w:r>
      <w:r w:rsidR="00A3129D" w:rsidRPr="00273106">
        <w:t>bere krok za krokem klíčové argumenty Gilberta</w:t>
      </w:r>
      <w:r w:rsidR="00E85A62" w:rsidRPr="00273106">
        <w:t xml:space="preserve"> </w:t>
      </w:r>
      <w:r w:rsidR="002239AA">
        <w:t>de La Porrée</w:t>
      </w:r>
      <w:r w:rsidR="00E85A62" w:rsidRPr="00273106">
        <w:t xml:space="preserve"> </w:t>
      </w:r>
      <w:r w:rsidR="00415165" w:rsidRPr="00273106">
        <w:t xml:space="preserve">a </w:t>
      </w:r>
      <w:r w:rsidR="00E85A62" w:rsidRPr="00273106">
        <w:t xml:space="preserve">také </w:t>
      </w:r>
      <w:r w:rsidR="00415165" w:rsidRPr="00273106">
        <w:t xml:space="preserve">anonymního </w:t>
      </w:r>
      <w:r w:rsidR="0059620A" w:rsidRPr="00273106">
        <w:t xml:space="preserve">spisu </w:t>
      </w:r>
      <w:r w:rsidR="00415165" w:rsidRPr="00273106">
        <w:rPr>
          <w:i/>
        </w:rPr>
        <w:t>Tra</w:t>
      </w:r>
      <w:r w:rsidR="0059620A" w:rsidRPr="00273106">
        <w:rPr>
          <w:i/>
        </w:rPr>
        <w:t>ctatus</w:t>
      </w:r>
      <w:r w:rsidR="00415165" w:rsidRPr="00273106">
        <w:t xml:space="preserve"> </w:t>
      </w:r>
      <w:r w:rsidR="00A3129D" w:rsidRPr="00273106">
        <w:t>uvedené</w:t>
      </w:r>
      <w:r w:rsidR="00E85A62" w:rsidRPr="00273106">
        <w:t>ho</w:t>
      </w:r>
      <w:r w:rsidR="00A3129D" w:rsidRPr="00273106">
        <w:t xml:space="preserve"> výše. </w:t>
      </w:r>
      <w:r w:rsidR="00FD4B66">
        <w:t xml:space="preserve">Ale na rozdíl od </w:t>
      </w:r>
      <w:r w:rsidR="00FD4B66" w:rsidRPr="00E53D6D">
        <w:rPr>
          <w:i/>
        </w:rPr>
        <w:t>Traktátu</w:t>
      </w:r>
      <w:r w:rsidR="00FD4B66">
        <w:t xml:space="preserve"> už dostává porretánské dělení </w:t>
      </w:r>
      <w:r w:rsidR="00E53D6D">
        <w:t xml:space="preserve">jsoucen třetího druhu </w:t>
      </w:r>
      <w:r w:rsidR="00FD4B66">
        <w:t>kauzální účinnost vůči reálným věcem.</w:t>
      </w:r>
      <w:r w:rsidR="086C2023">
        <w:t xml:space="preserve"> Kompletní paranoiu moderny, která pouhým slovem tvoří realitu, ukazuje následující citát.</w:t>
      </w:r>
    </w:p>
    <w:p w14:paraId="49BF78DC" w14:textId="51C11DF9" w:rsidR="00735C17" w:rsidRPr="00273106" w:rsidRDefault="00F8357B" w:rsidP="00735C17">
      <w:pPr>
        <w:pStyle w:val="Citace"/>
        <w:rPr>
          <w:noProof/>
          <w:lang w:val="cs-CZ"/>
        </w:rPr>
      </w:pPr>
      <w:r w:rsidRPr="00273106">
        <w:rPr>
          <w:noProof/>
          <w:lang w:val="cs-CZ"/>
        </w:rPr>
        <w:t xml:space="preserve">„Lidství vyjádřené v konkrétním termínu 'člověk' je dáno vzhledem ke kvalitě jako </w:t>
      </w:r>
      <w:r w:rsidR="006A04C6" w:rsidRPr="006A04C6">
        <w:rPr>
          <w:noProof/>
          <w:lang w:val="cs-CZ"/>
        </w:rPr>
        <w:t>species</w:t>
      </w:r>
      <w:r w:rsidRPr="00273106">
        <w:rPr>
          <w:noProof/>
          <w:lang w:val="cs-CZ"/>
        </w:rPr>
        <w:t xml:space="preserve"> </w:t>
      </w:r>
      <w:r w:rsidR="00E0670F">
        <w:rPr>
          <w:noProof/>
          <w:lang w:val="cs-CZ"/>
        </w:rPr>
        <w:t xml:space="preserve">vzhledem k </w:t>
      </w:r>
      <w:r w:rsidRPr="00273106">
        <w:rPr>
          <w:noProof/>
          <w:lang w:val="cs-CZ"/>
        </w:rPr>
        <w:t>rodu, tedy animality</w:t>
      </w:r>
      <w:r w:rsidR="00E0670F">
        <w:rPr>
          <w:noProof/>
          <w:lang w:val="cs-CZ"/>
        </w:rPr>
        <w:t xml:space="preserve">; </w:t>
      </w:r>
      <w:r w:rsidRPr="00273106">
        <w:rPr>
          <w:noProof/>
          <w:lang w:val="cs-CZ"/>
        </w:rPr>
        <w:t xml:space="preserve">jak již bylo řečeno, </w:t>
      </w:r>
      <w:r w:rsidR="00E0670F">
        <w:rPr>
          <w:noProof/>
          <w:lang w:val="cs-CZ"/>
        </w:rPr>
        <w:t xml:space="preserve">ta </w:t>
      </w:r>
      <w:r w:rsidRPr="00273106">
        <w:rPr>
          <w:noProof/>
          <w:lang w:val="cs-CZ"/>
        </w:rPr>
        <w:t xml:space="preserve">dělí v tomto pojmenování rod animality, protože říkáme: 'toto zvíře je člověk', a zase 'tamto zvíře není člověk'. </w:t>
      </w:r>
      <w:r w:rsidR="00735C17" w:rsidRPr="00273106">
        <w:rPr>
          <w:noProof/>
          <w:lang w:val="cs-CZ"/>
        </w:rPr>
        <w:t>Ale jiná humanita, totiž její účinek</w:t>
      </w:r>
      <w:r w:rsidR="001F534B">
        <w:rPr>
          <w:noProof/>
          <w:lang w:val="cs-CZ"/>
        </w:rPr>
        <w:t xml:space="preserve"> (</w:t>
      </w:r>
      <w:r w:rsidR="001F534B" w:rsidRPr="001F534B">
        <w:rPr>
          <w:i/>
        </w:rPr>
        <w:t>humanitas, immo effectus ejus</w:t>
      </w:r>
      <w:r w:rsidR="001F534B">
        <w:rPr>
          <w:noProof/>
          <w:lang w:val="cs-CZ"/>
        </w:rPr>
        <w:t>)</w:t>
      </w:r>
      <w:r w:rsidR="00735C17" w:rsidRPr="00273106">
        <w:rPr>
          <w:noProof/>
          <w:lang w:val="cs-CZ"/>
        </w:rPr>
        <w:t xml:space="preserve">, je predikován skrze kvalitu jména „lidství“ jako </w:t>
      </w:r>
      <w:r w:rsidR="006A04C6" w:rsidRPr="006A04C6">
        <w:rPr>
          <w:noProof/>
          <w:lang w:val="cs-CZ"/>
        </w:rPr>
        <w:t>species</w:t>
      </w:r>
      <w:r w:rsidR="00735C17" w:rsidRPr="00273106">
        <w:rPr>
          <w:noProof/>
          <w:lang w:val="cs-CZ"/>
        </w:rPr>
        <w:t xml:space="preserve"> jednotlivin</w:t>
      </w:r>
      <w:r w:rsidR="085860DA">
        <w:rPr>
          <w:noProof/>
          <w:lang w:val="cs-CZ"/>
        </w:rPr>
        <w:t xml:space="preserve"> (</w:t>
      </w:r>
      <w:r w:rsidR="085860DA" w:rsidRPr="085860DA">
        <w:rPr>
          <w:i/>
        </w:rPr>
        <w:t xml:space="preserve">pro qualitate significatur hoc nomine 'humanitas', est </w:t>
      </w:r>
      <w:r w:rsidR="004B4D52" w:rsidRPr="004B4D52">
        <w:t>species</w:t>
      </w:r>
      <w:r w:rsidR="085860DA" w:rsidRPr="085860DA">
        <w:rPr>
          <w:i/>
        </w:rPr>
        <w:t xml:space="preserve"> individuorum</w:t>
      </w:r>
      <w:r w:rsidR="085860DA">
        <w:rPr>
          <w:noProof/>
          <w:lang w:val="cs-CZ"/>
        </w:rPr>
        <w:t>)</w:t>
      </w:r>
      <w:r w:rsidR="00735C17" w:rsidRPr="00273106">
        <w:rPr>
          <w:noProof/>
          <w:lang w:val="cs-CZ"/>
        </w:rPr>
        <w:t>, když říkáme: 'sokratovost je lidskost', 'platonovost je lidskost', a pod</w:t>
      </w:r>
      <w:r w:rsidR="00680AC4" w:rsidRPr="00273106">
        <w:rPr>
          <w:noProof/>
          <w:lang w:val="cs-CZ"/>
        </w:rPr>
        <w:t>obně vzhledem k jednotlivinám</w:t>
      </w:r>
      <w:r w:rsidR="00651D15">
        <w:rPr>
          <w:noProof/>
          <w:lang w:val="cs-CZ"/>
        </w:rPr>
        <w:t xml:space="preserve"> (</w:t>
      </w:r>
      <w:r w:rsidR="00651D15" w:rsidRPr="00651D15">
        <w:rPr>
          <w:i/>
        </w:rPr>
        <w:t>sic de singulis</w:t>
      </w:r>
      <w:r w:rsidR="00651D15">
        <w:rPr>
          <w:noProof/>
          <w:lang w:val="cs-CZ"/>
        </w:rPr>
        <w:t>)</w:t>
      </w:r>
      <w:r w:rsidR="00680AC4" w:rsidRPr="00273106">
        <w:rPr>
          <w:noProof/>
          <w:lang w:val="cs-CZ"/>
        </w:rPr>
        <w:t xml:space="preserve">. </w:t>
      </w:r>
      <w:r w:rsidR="00735C17" w:rsidRPr="00273106">
        <w:rPr>
          <w:noProof/>
          <w:lang w:val="cs-CZ"/>
        </w:rPr>
        <w:t xml:space="preserve">Toto specifické určení </w:t>
      </w:r>
      <w:r w:rsidR="00735C17" w:rsidRPr="00273106">
        <w:rPr>
          <w:noProof/>
          <w:lang w:val="cs-CZ"/>
        </w:rPr>
        <w:lastRenderedPageBreak/>
        <w:t>humanity zakládá individua skrze účinek své kauzality</w:t>
      </w:r>
      <w:r w:rsidR="00651D15">
        <w:rPr>
          <w:noProof/>
          <w:lang w:val="cs-CZ"/>
        </w:rPr>
        <w:t xml:space="preserve"> (</w:t>
      </w:r>
      <w:r w:rsidR="00651D15" w:rsidRPr="00740335">
        <w:rPr>
          <w:i/>
        </w:rPr>
        <w:t>individua</w:t>
      </w:r>
      <w:r w:rsidR="00651D15" w:rsidRPr="00BA49F5">
        <w:t xml:space="preserve"> </w:t>
      </w:r>
      <w:r w:rsidR="00651D15" w:rsidRPr="00651D15">
        <w:rPr>
          <w:i/>
        </w:rPr>
        <w:t>ibi subjiciuntur mediantibus effectibus suis</w:t>
      </w:r>
      <w:r w:rsidR="00651D15">
        <w:rPr>
          <w:noProof/>
          <w:lang w:val="cs-CZ"/>
        </w:rPr>
        <w:t>)</w:t>
      </w:r>
      <w:r w:rsidR="00735C17" w:rsidRPr="00273106">
        <w:rPr>
          <w:noProof/>
          <w:lang w:val="cs-CZ"/>
        </w:rPr>
        <w:t xml:space="preserve">.“ </w:t>
      </w:r>
      <w:r w:rsidR="00835645" w:rsidRPr="00273106">
        <w:rPr>
          <w:rStyle w:val="Znakapoznpodarou"/>
          <w:noProof/>
          <w:lang w:val="cs-CZ"/>
        </w:rPr>
        <w:footnoteReference w:id="71"/>
      </w:r>
    </w:p>
    <w:p w14:paraId="518C6604" w14:textId="70A316F1" w:rsidR="0065452C" w:rsidRPr="006D646D" w:rsidRDefault="08D917FF" w:rsidP="00735C17">
      <w:pPr>
        <w:rPr>
          <w:rStyle w:val="st"/>
        </w:rPr>
      </w:pPr>
      <w:r w:rsidRPr="00273106">
        <w:t xml:space="preserve">První věta ukazuje </w:t>
      </w:r>
      <w:r w:rsidR="00E47C75" w:rsidRPr="00273106">
        <w:t xml:space="preserve">normální svět </w:t>
      </w:r>
      <w:r w:rsidR="001731F1">
        <w:t>dělení univerzálií v rámci Porfy</w:t>
      </w:r>
      <w:r w:rsidR="00E47C75" w:rsidRPr="00273106">
        <w:t xml:space="preserve">riova stromu, kdy </w:t>
      </w:r>
      <w:r w:rsidR="00B143C7" w:rsidRPr="00273106">
        <w:t xml:space="preserve">rod </w:t>
      </w:r>
      <w:r w:rsidR="008B73B7">
        <w:t xml:space="preserve">určuje podřízené druhy </w:t>
      </w:r>
      <w:r w:rsidR="00E47C75" w:rsidRPr="00273106">
        <w:t>(</w:t>
      </w:r>
      <w:r w:rsidR="00E47C75" w:rsidRPr="00273106">
        <w:rPr>
          <w:i/>
        </w:rPr>
        <w:t>animal</w:t>
      </w:r>
      <w:r w:rsidR="00372290">
        <w:t xml:space="preserve"> –</w:t>
      </w:r>
      <w:r w:rsidR="00E47C75" w:rsidRPr="00273106">
        <w:t xml:space="preserve"> </w:t>
      </w:r>
      <w:r w:rsidR="00E47C75" w:rsidRPr="00273106">
        <w:rPr>
          <w:i/>
        </w:rPr>
        <w:t>homo</w:t>
      </w:r>
      <w:r w:rsidR="00E47C75" w:rsidRPr="00273106">
        <w:t xml:space="preserve">). Ale </w:t>
      </w:r>
      <w:r w:rsidR="00577234">
        <w:t xml:space="preserve">druhá věta ukazuje aristotelskou metafyziku </w:t>
      </w:r>
      <w:r w:rsidRPr="00273106">
        <w:t xml:space="preserve">naruby. </w:t>
      </w:r>
      <w:r w:rsidR="00F83320" w:rsidRPr="00273106">
        <w:t>Rodové určení (</w:t>
      </w:r>
      <w:r w:rsidR="00F83320" w:rsidRPr="00273106">
        <w:rPr>
          <w:i/>
        </w:rPr>
        <w:t>humanitas</w:t>
      </w:r>
      <w:r w:rsidR="00FC0C75">
        <w:rPr>
          <w:i/>
        </w:rPr>
        <w:fldChar w:fldCharType="begin"/>
      </w:r>
      <w:r w:rsidR="00FC0C75">
        <w:instrText xml:space="preserve"> XE "</w:instrText>
      </w:r>
      <w:r w:rsidR="00FC0C75" w:rsidRPr="00420622">
        <w:rPr>
          <w:i/>
        </w:rPr>
        <w:instrText>humanitas</w:instrText>
      </w:r>
      <w:r w:rsidR="00FC0C75" w:rsidRPr="0023293F">
        <w:instrText>:</w:instrText>
      </w:r>
      <w:r w:rsidR="0023293F" w:rsidRPr="0023293F">
        <w:instrText>porretáni</w:instrText>
      </w:r>
      <w:r w:rsidR="00FC0C75">
        <w:instrText xml:space="preserve">" </w:instrText>
      </w:r>
      <w:r w:rsidR="00FC0C75">
        <w:rPr>
          <w:i/>
        </w:rPr>
        <w:fldChar w:fldCharType="end"/>
      </w:r>
      <w:r w:rsidR="00F83320" w:rsidRPr="00273106">
        <w:t>) hraje kauzální roli první substance, která</w:t>
      </w:r>
      <w:r w:rsidRPr="00273106">
        <w:t xml:space="preserve"> skrze </w:t>
      </w:r>
      <w:r w:rsidR="009F58EA">
        <w:t xml:space="preserve">species </w:t>
      </w:r>
      <w:r w:rsidR="00F83320" w:rsidRPr="00273106">
        <w:t xml:space="preserve">definuje </w:t>
      </w:r>
      <w:r w:rsidR="009F58EA">
        <w:t xml:space="preserve">význam </w:t>
      </w:r>
      <w:r w:rsidR="001731F1">
        <w:t>Sokrata a Plato</w:t>
      </w:r>
      <w:r w:rsidR="00E50F04" w:rsidRPr="00273106">
        <w:t>na</w:t>
      </w:r>
      <w:r w:rsidR="00885A4C" w:rsidRPr="00273106">
        <w:t xml:space="preserve">. Toto určení </w:t>
      </w:r>
      <w:r w:rsidR="0059345A" w:rsidRPr="00273106">
        <w:t xml:space="preserve">se </w:t>
      </w:r>
      <w:r w:rsidR="00680AC4" w:rsidRPr="00273106">
        <w:t xml:space="preserve">vztahuje </w:t>
      </w:r>
      <w:r w:rsidR="0059345A" w:rsidRPr="00273106">
        <w:t xml:space="preserve">skrze </w:t>
      </w:r>
      <w:r w:rsidR="00680AC4" w:rsidRPr="00273106">
        <w:t>specifičnost vlastního</w:t>
      </w:r>
      <w:r w:rsidR="0059345A" w:rsidRPr="00273106">
        <w:t xml:space="preserve"> jména přímo k jednotlivinám (</w:t>
      </w:r>
      <w:r w:rsidR="0059345A" w:rsidRPr="00273106">
        <w:rPr>
          <w:i/>
        </w:rPr>
        <w:t xml:space="preserve">hoc nomine 'humanitas', est </w:t>
      </w:r>
      <w:r w:rsidR="004B4D52" w:rsidRPr="004B4D52">
        <w:t>species</w:t>
      </w:r>
      <w:r w:rsidR="0059345A" w:rsidRPr="00273106">
        <w:rPr>
          <w:i/>
        </w:rPr>
        <w:t xml:space="preserve"> individuorum</w:t>
      </w:r>
      <w:r w:rsidR="0059345A" w:rsidRPr="00273106">
        <w:t xml:space="preserve">). </w:t>
      </w:r>
      <w:r w:rsidR="0834321A">
        <w:t>Rodové určení</w:t>
      </w:r>
      <w:r w:rsidR="0829751B" w:rsidRPr="00273106">
        <w:t xml:space="preserve"> se stalo účinnou příčinou jednotliviny, protože dělí kontinuum univerzálií od rodu k druhu (</w:t>
      </w:r>
      <w:r w:rsidR="0829751B" w:rsidRPr="00273106">
        <w:rPr>
          <w:i/>
        </w:rPr>
        <w:t xml:space="preserve">hoc nomine dividit hoc </w:t>
      </w:r>
      <w:r w:rsidR="00B1298A">
        <w:rPr>
          <w:i/>
        </w:rPr>
        <w:t>genus</w:t>
      </w:r>
      <w:r w:rsidR="0829751B" w:rsidRPr="00273106">
        <w:rPr>
          <w:i/>
        </w:rPr>
        <w:t xml:space="preserve"> animalis</w:t>
      </w:r>
      <w:r w:rsidR="0829751B" w:rsidRPr="00273106">
        <w:t>).</w:t>
      </w:r>
      <w:r w:rsidR="0829751B">
        <w:t xml:space="preserve"> Univerzální význam jména má vlastní kauzalitu</w:t>
      </w:r>
      <w:r w:rsidR="00CD2C4D" w:rsidRPr="00273106">
        <w:t xml:space="preserve"> </w:t>
      </w:r>
      <w:r w:rsidR="0829751B" w:rsidRPr="00273106">
        <w:t>(</w:t>
      </w:r>
      <w:r w:rsidR="0829751B" w:rsidRPr="00273106">
        <w:rPr>
          <w:i/>
        </w:rPr>
        <w:t>mediantibus effectibus</w:t>
      </w:r>
      <w:r w:rsidR="0829751B" w:rsidRPr="00273106">
        <w:t xml:space="preserve">) </w:t>
      </w:r>
      <w:r w:rsidR="0829751B">
        <w:t>zakládající dělení, proto</w:t>
      </w:r>
      <w:r w:rsidR="0847054F">
        <w:t>že</w:t>
      </w:r>
      <w:r w:rsidR="0829751B">
        <w:t xml:space="preserve"> </w:t>
      </w:r>
      <w:r w:rsidR="0847054F">
        <w:t xml:space="preserve">nakonec určuje </w:t>
      </w:r>
      <w:r w:rsidR="00CD2C4D" w:rsidRPr="00273106">
        <w:t>jednotlivinu (</w:t>
      </w:r>
      <w:r w:rsidR="00CD2C4D" w:rsidRPr="00273106">
        <w:rPr>
          <w:i/>
        </w:rPr>
        <w:t>individua ibi subjiciuntur</w:t>
      </w:r>
      <w:r w:rsidR="00CD2C4D" w:rsidRPr="00273106">
        <w:t xml:space="preserve">). </w:t>
      </w:r>
      <w:r w:rsidR="0829751B">
        <w:t>I</w:t>
      </w:r>
      <w:r w:rsidR="0829751B" w:rsidRPr="00273106">
        <w:t xml:space="preserve">ndividuum je </w:t>
      </w:r>
      <w:r w:rsidR="0847054F">
        <w:t xml:space="preserve">pak </w:t>
      </w:r>
      <w:r w:rsidR="0829751B" w:rsidRPr="00273106">
        <w:t xml:space="preserve">determinováno pomocí hypostázované kvality jako </w:t>
      </w:r>
      <w:r w:rsidR="0829751B">
        <w:t>reálné těleso</w:t>
      </w:r>
      <w:r w:rsidR="0829751B" w:rsidRPr="00273106">
        <w:t xml:space="preserve"> (</w:t>
      </w:r>
      <w:r w:rsidR="0829751B" w:rsidRPr="00273106">
        <w:rPr>
          <w:i/>
        </w:rPr>
        <w:t>hoc nomine 'homo' pro qualitate</w:t>
      </w:r>
      <w:r w:rsidR="0829751B" w:rsidRPr="00273106">
        <w:t xml:space="preserve">). </w:t>
      </w:r>
      <w:r w:rsidR="00892B89" w:rsidRPr="00273106">
        <w:t>Dříve</w:t>
      </w:r>
      <w:r w:rsidR="001267E7" w:rsidRPr="00273106">
        <w:t xml:space="preserve"> čistě diale</w:t>
      </w:r>
      <w:r w:rsidR="00D36F51">
        <w:t>ktické dělení rodů v rámci Porfy</w:t>
      </w:r>
      <w:r w:rsidR="001267E7" w:rsidRPr="00273106">
        <w:t xml:space="preserve">riem </w:t>
      </w:r>
      <w:r w:rsidR="00B918A1" w:rsidRPr="00273106">
        <w:t xml:space="preserve">a Boethiem </w:t>
      </w:r>
      <w:r w:rsidR="001267E7" w:rsidRPr="00273106">
        <w:t>definovaných univer</w:t>
      </w:r>
      <w:r w:rsidR="007C6DE4" w:rsidRPr="00273106">
        <w:t>z</w:t>
      </w:r>
      <w:r w:rsidR="001267E7" w:rsidRPr="00273106">
        <w:t xml:space="preserve">álií </w:t>
      </w:r>
      <w:r w:rsidR="00487C41" w:rsidRPr="00273106">
        <w:t xml:space="preserve">na nižší jednotky významu </w:t>
      </w:r>
      <w:r w:rsidR="001267E7" w:rsidRPr="00273106">
        <w:t xml:space="preserve">dostalo </w:t>
      </w:r>
      <w:r w:rsidR="008947AF">
        <w:t>metafyzický status</w:t>
      </w:r>
      <w:r w:rsidR="0847054F">
        <w:t xml:space="preserve"> založený kauzálně</w:t>
      </w:r>
      <w:r w:rsidR="0023293F">
        <w:rPr>
          <w:color w:val="000000"/>
        </w:rPr>
        <w:fldChar w:fldCharType="begin"/>
      </w:r>
      <w:r w:rsidR="0023293F">
        <w:instrText xml:space="preserve"> XE "substance:individuum" </w:instrText>
      </w:r>
      <w:r w:rsidR="0023293F">
        <w:rPr>
          <w:color w:val="000000"/>
        </w:rPr>
        <w:fldChar w:fldCharType="end"/>
      </w:r>
      <w:r w:rsidR="008947AF">
        <w:t xml:space="preserve">. </w:t>
      </w:r>
      <w:r w:rsidR="00B347F5">
        <w:t>Zrušení impozice způsobilo, že p</w:t>
      </w:r>
      <w:r w:rsidR="00676A67" w:rsidRPr="00273106">
        <w:t xml:space="preserve">orretáni dali účinné příčině dělení v rámci </w:t>
      </w:r>
      <w:r w:rsidR="00BB45B1">
        <w:t>Porfyri</w:t>
      </w:r>
      <w:r w:rsidR="00676A67" w:rsidRPr="00273106">
        <w:t>ova stromu (</w:t>
      </w:r>
      <w:r w:rsidR="00676A67" w:rsidRPr="00273106">
        <w:rPr>
          <w:i/>
        </w:rPr>
        <w:t>mediantibus effectibus</w:t>
      </w:r>
      <w:r w:rsidR="00676A67" w:rsidRPr="00273106">
        <w:t xml:space="preserve">) </w:t>
      </w:r>
      <w:r w:rsidR="00B347F5" w:rsidRPr="00273106">
        <w:t>nový status</w:t>
      </w:r>
      <w:r w:rsidR="00B347F5">
        <w:t>.</w:t>
      </w:r>
      <w:r w:rsidR="00B347F5" w:rsidRPr="00273106">
        <w:t xml:space="preserve"> </w:t>
      </w:r>
      <w:r w:rsidR="08E33EC9" w:rsidRPr="00273106">
        <w:t xml:space="preserve">Dělení běží </w:t>
      </w:r>
      <w:r w:rsidR="00F22D9D" w:rsidRPr="00273106">
        <w:t>směrem od rodu (</w:t>
      </w:r>
      <w:r w:rsidR="00F22D9D" w:rsidRPr="00273106">
        <w:rPr>
          <w:i/>
        </w:rPr>
        <w:t>humanitas</w:t>
      </w:r>
      <w:r w:rsidR="00F22D9D" w:rsidRPr="00273106">
        <w:t>) až ke specifické substanci individua (</w:t>
      </w:r>
      <w:r w:rsidR="00F22D9D" w:rsidRPr="00273106">
        <w:rPr>
          <w:i/>
          <w:szCs w:val="22"/>
        </w:rPr>
        <w:t>socratitas est humanitas</w:t>
      </w:r>
      <w:r w:rsidR="00F22D9D" w:rsidRPr="00273106">
        <w:t xml:space="preserve">). </w:t>
      </w:r>
      <w:r w:rsidR="00583585" w:rsidRPr="00273106">
        <w:t>Hypostázované „lidství“ je aplikováno v procesu apozice</w:t>
      </w:r>
      <w:r w:rsidR="00B86B03">
        <w:fldChar w:fldCharType="begin"/>
      </w:r>
      <w:r w:rsidR="00B86B03">
        <w:instrText xml:space="preserve"> XE "predikace:</w:instrText>
      </w:r>
      <w:r w:rsidR="00B86B03" w:rsidRPr="00287A88">
        <w:instrText>apozice</w:instrText>
      </w:r>
      <w:r w:rsidR="00B86B03">
        <w:instrText xml:space="preserve">" </w:instrText>
      </w:r>
      <w:r w:rsidR="00B86B03">
        <w:fldChar w:fldCharType="end"/>
      </w:r>
      <w:r w:rsidR="0065165B">
        <w:t xml:space="preserve"> akcidentů (kap. 1</w:t>
      </w:r>
      <w:r w:rsidR="00583585" w:rsidRPr="00273106">
        <w:t>.4)</w:t>
      </w:r>
      <w:r w:rsidR="00653E7D">
        <w:t xml:space="preserve"> na nominální rozsažnou substanci</w:t>
      </w:r>
      <w:r w:rsidR="08632C8A" w:rsidRPr="00273106">
        <w:t xml:space="preserve"> (</w:t>
      </w:r>
      <w:r w:rsidR="08632C8A" w:rsidRPr="00273106">
        <w:rPr>
          <w:i/>
        </w:rPr>
        <w:t>Socrates</w:t>
      </w:r>
      <w:r w:rsidR="08632C8A" w:rsidRPr="00273106">
        <w:t xml:space="preserve">), která má </w:t>
      </w:r>
      <w:r w:rsidR="00653E7D">
        <w:t xml:space="preserve">ve formě habitu </w:t>
      </w:r>
      <w:r w:rsidR="00E3476A" w:rsidRPr="00273106">
        <w:t xml:space="preserve">trvalou </w:t>
      </w:r>
      <w:r w:rsidR="08632C8A" w:rsidRPr="00273106">
        <w:t>esenci „Sokrata“ (</w:t>
      </w:r>
      <w:r w:rsidR="08632C8A" w:rsidRPr="00273106">
        <w:rPr>
          <w:i/>
        </w:rPr>
        <w:t>socratitas</w:t>
      </w:r>
      <w:r w:rsidR="08632C8A" w:rsidRPr="00273106">
        <w:t xml:space="preserve">). </w:t>
      </w:r>
      <w:r w:rsidR="00204627">
        <w:t xml:space="preserve">Supozice individua obsahuje </w:t>
      </w:r>
      <w:r w:rsidR="00653E7D">
        <w:t xml:space="preserve">jak univerzální význam, tak vlastnosti dané pouze na </w:t>
      </w:r>
      <w:r w:rsidR="00204627">
        <w:t>první substanci</w:t>
      </w:r>
      <w:r w:rsidR="00541CB2">
        <w:fldChar w:fldCharType="begin"/>
      </w:r>
      <w:r w:rsidR="00541CB2">
        <w:instrText xml:space="preserve"> XE "supozice:individuum" </w:instrText>
      </w:r>
      <w:r w:rsidR="00541CB2">
        <w:fldChar w:fldCharType="end"/>
      </w:r>
      <w:r w:rsidR="00204627">
        <w:t xml:space="preserve">. </w:t>
      </w:r>
      <w:r w:rsidR="082B7F57">
        <w:t>D</w:t>
      </w:r>
      <w:r w:rsidR="082B7F57" w:rsidRPr="00273106">
        <w:t xml:space="preserve">ělení </w:t>
      </w:r>
      <w:r w:rsidR="082B7F57">
        <w:t xml:space="preserve">univerzálií funguje </w:t>
      </w:r>
      <w:r w:rsidR="082B7F57" w:rsidRPr="00273106">
        <w:t>v řádu nově pojaté aktuální reality</w:t>
      </w:r>
      <w:r w:rsidR="082B7F57">
        <w:t xml:space="preserve"> dané pouze na základě pojmenování první substance</w:t>
      </w:r>
      <w:r w:rsidR="082B7F57" w:rsidRPr="00273106">
        <w:t>.</w:t>
      </w:r>
      <w:r w:rsidR="082B7F57">
        <w:t xml:space="preserve"> </w:t>
      </w:r>
      <w:r w:rsidR="00755FA4">
        <w:t>A</w:t>
      </w:r>
      <w:r w:rsidR="00784D38" w:rsidRPr="00273106">
        <w:t xml:space="preserve">kcidentální určení substance </w:t>
      </w:r>
      <w:r w:rsidR="00755FA4">
        <w:t xml:space="preserve">se </w:t>
      </w:r>
      <w:r w:rsidR="00784D38" w:rsidRPr="00273106">
        <w:t>stávají rodem třetího druhu vybaveným rozsažností</w:t>
      </w:r>
      <w:r w:rsidR="004A0172">
        <w:fldChar w:fldCharType="begin"/>
      </w:r>
      <w:r w:rsidR="004A0172">
        <w:instrText xml:space="preserve"> XE "</w:instrText>
      </w:r>
      <w:r w:rsidR="004A0172" w:rsidRPr="000753BA">
        <w:instrText>rozsažnost</w:instrText>
      </w:r>
      <w:r w:rsidR="004A0172">
        <w:instrText xml:space="preserve">" </w:instrText>
      </w:r>
      <w:r w:rsidR="004A0172">
        <w:fldChar w:fldCharType="end"/>
      </w:r>
      <w:r w:rsidR="00784D38" w:rsidRPr="00273106">
        <w:t xml:space="preserve"> na způsob jednotliviny (</w:t>
      </w:r>
      <w:r w:rsidR="00784D38" w:rsidRPr="00273106">
        <w:rPr>
          <w:i/>
        </w:rPr>
        <w:t xml:space="preserve">quasi qualitatis </w:t>
      </w:r>
      <w:r w:rsidR="00B1298A">
        <w:rPr>
          <w:i/>
        </w:rPr>
        <w:t>genus</w:t>
      </w:r>
      <w:r w:rsidR="00784D38" w:rsidRPr="00273106">
        <w:t xml:space="preserve">). </w:t>
      </w:r>
      <w:r w:rsidR="08632C8A" w:rsidRPr="00273106">
        <w:t>Tento scéná</w:t>
      </w:r>
      <w:r w:rsidR="00840E0C" w:rsidRPr="00273106">
        <w:t>ř je inspirován</w:t>
      </w:r>
      <w:r w:rsidR="0005248B" w:rsidRPr="00273106">
        <w:t xml:space="preserve"> </w:t>
      </w:r>
      <w:r w:rsidR="008E2C0E">
        <w:t xml:space="preserve">objektivními </w:t>
      </w:r>
      <w:r w:rsidR="00840E0C" w:rsidRPr="00273106">
        <w:t>jsouc</w:t>
      </w:r>
      <w:r w:rsidR="00956435" w:rsidRPr="00273106">
        <w:t>n</w:t>
      </w:r>
      <w:r w:rsidR="00840E0C" w:rsidRPr="00273106">
        <w:t>y</w:t>
      </w:r>
      <w:r w:rsidR="00956435" w:rsidRPr="00273106">
        <w:t xml:space="preserve"> </w:t>
      </w:r>
      <w:r w:rsidR="08632C8A" w:rsidRPr="00273106">
        <w:t xml:space="preserve">třetího </w:t>
      </w:r>
      <w:r w:rsidR="00956435" w:rsidRPr="00273106">
        <w:t xml:space="preserve">druhu jako </w:t>
      </w:r>
      <w:r w:rsidR="00CD1EEB">
        <w:t xml:space="preserve">Avicennova </w:t>
      </w:r>
      <w:r w:rsidR="08632C8A" w:rsidRPr="00273106">
        <w:t>„koňovitost“ (</w:t>
      </w:r>
      <w:r w:rsidR="08632C8A" w:rsidRPr="00273106">
        <w:rPr>
          <w:i/>
        </w:rPr>
        <w:t>equinitas tantum</w:t>
      </w:r>
      <w:r w:rsidR="00D868A9">
        <w:rPr>
          <w:i/>
        </w:rPr>
        <w:fldChar w:fldCharType="begin"/>
      </w:r>
      <w:r w:rsidR="00D868A9">
        <w:instrText xml:space="preserve"> XE "</w:instrText>
      </w:r>
      <w:r w:rsidR="00140BD9" w:rsidRPr="00273106">
        <w:rPr>
          <w:i/>
        </w:rPr>
        <w:instrText>equinitas tantum</w:instrText>
      </w:r>
      <w:r w:rsidR="00D868A9">
        <w:instrText xml:space="preserve">" </w:instrText>
      </w:r>
      <w:r w:rsidR="00D868A9">
        <w:rPr>
          <w:i/>
        </w:rPr>
        <w:fldChar w:fldCharType="end"/>
      </w:r>
      <w:r w:rsidR="005217E5">
        <w:t xml:space="preserve">; OBJ I, </w:t>
      </w:r>
      <w:r w:rsidR="08632C8A" w:rsidRPr="00273106">
        <w:t>kap. 2.3.2)</w:t>
      </w:r>
      <w:r w:rsidR="00CD1EEB">
        <w:t>. V modu komitace</w:t>
      </w:r>
      <w:r w:rsidR="00EB71B3">
        <w:fldChar w:fldCharType="begin"/>
      </w:r>
      <w:r w:rsidR="00EB71B3">
        <w:instrText xml:space="preserve"> XE "</w:instrText>
      </w:r>
      <w:r w:rsidR="00EB71B3" w:rsidRPr="00467B7F">
        <w:instrText>komitace</w:instrText>
      </w:r>
      <w:r w:rsidR="00EB71B3">
        <w:instrText xml:space="preserve">" </w:instrText>
      </w:r>
      <w:r w:rsidR="00EB71B3">
        <w:fldChar w:fldCharType="end"/>
      </w:r>
      <w:r w:rsidR="00CD1EEB">
        <w:t xml:space="preserve"> k</w:t>
      </w:r>
      <w:r w:rsidR="00EA34A2">
        <w:t xml:space="preserve"> těmto objektivním esencím </w:t>
      </w:r>
      <w:r w:rsidR="009F29C8">
        <w:t xml:space="preserve">kontingentně </w:t>
      </w:r>
      <w:r w:rsidR="00EA34A2">
        <w:t xml:space="preserve">připadne </w:t>
      </w:r>
      <w:r w:rsidR="0005248B" w:rsidRPr="00273106">
        <w:t xml:space="preserve">i </w:t>
      </w:r>
      <w:r w:rsidR="00EA34A2">
        <w:t>„</w:t>
      </w:r>
      <w:r w:rsidR="0005248B" w:rsidRPr="00273106">
        <w:t>reálná</w:t>
      </w:r>
      <w:r w:rsidR="00EA34A2">
        <w:t xml:space="preserve">“ (tj. objektivní) </w:t>
      </w:r>
      <w:r w:rsidR="0005248B" w:rsidRPr="00273106">
        <w:t>existence</w:t>
      </w:r>
      <w:r w:rsidR="00EA34A2">
        <w:t xml:space="preserve">. </w:t>
      </w:r>
      <w:r w:rsidR="00A4383F">
        <w:t>Moderní „exsistence“</w:t>
      </w:r>
      <w:r w:rsidR="00A4383F" w:rsidRPr="00A4383F">
        <w:t xml:space="preserve"> je chápána jako </w:t>
      </w:r>
      <w:r w:rsidR="00A4383F" w:rsidRPr="00A4383F">
        <w:lastRenderedPageBreak/>
        <w:t xml:space="preserve">aktualizace trvale dané </w:t>
      </w:r>
      <w:r w:rsidR="00A4383F">
        <w:t>eseence</w:t>
      </w:r>
      <w:r w:rsidR="00A4383F" w:rsidRPr="00A4383F">
        <w:t>, která se objevuje (</w:t>
      </w:r>
      <w:r w:rsidR="00A4383F" w:rsidRPr="00A4383F">
        <w:rPr>
          <w:i/>
        </w:rPr>
        <w:t>exsistit</w:t>
      </w:r>
      <w:r w:rsidR="00A4383F">
        <w:rPr>
          <w:i/>
        </w:rPr>
        <w:fldChar w:fldCharType="begin"/>
      </w:r>
      <w:r w:rsidR="00A4383F">
        <w:instrText xml:space="preserve"> XE "</w:instrText>
      </w:r>
      <w:r w:rsidR="00A4383F" w:rsidRPr="001512A7">
        <w:rPr>
          <w:i/>
        </w:rPr>
        <w:instrText>exsistere</w:instrText>
      </w:r>
      <w:r w:rsidR="00A4383F">
        <w:instrText xml:space="preserve">" </w:instrText>
      </w:r>
      <w:r w:rsidR="00A4383F">
        <w:rPr>
          <w:i/>
        </w:rPr>
        <w:fldChar w:fldCharType="end"/>
      </w:r>
      <w:r w:rsidR="00A4383F" w:rsidRPr="00A4383F">
        <w:t>) v</w:t>
      </w:r>
      <w:r w:rsidR="00A4383F">
        <w:t xml:space="preserve"> reálném </w:t>
      </w:r>
      <w:r w:rsidR="00A4383F" w:rsidRPr="00A4383F">
        <w:t>světě.</w:t>
      </w:r>
      <w:r w:rsidR="00A4383F">
        <w:t xml:space="preserve"> </w:t>
      </w:r>
      <w:r w:rsidR="088A3D3A">
        <w:t xml:space="preserve">Porretánská škola </w:t>
      </w:r>
      <w:r w:rsidR="088A3D3A" w:rsidRPr="088A3D3A">
        <w:rPr>
          <w:i/>
        </w:rPr>
        <w:t>Nominales</w:t>
      </w:r>
      <w:r w:rsidR="082B5DC7">
        <w:t xml:space="preserve"> </w:t>
      </w:r>
      <w:r w:rsidR="087F7AC2">
        <w:t>převedla větu „Sokrates je člověk</w:t>
      </w:r>
      <w:r w:rsidR="088A3D3A">
        <w:t>“ na univoční kategoriální výpověď typu „individuální sokratičnost je univočně ob</w:t>
      </w:r>
      <w:r w:rsidR="087F7AC2">
        <w:t>sažena v genericky daném lidství</w:t>
      </w:r>
      <w:r w:rsidR="088A3D3A">
        <w:t xml:space="preserve">“. Tím úplně zmizela impozice významu od bytí první </w:t>
      </w:r>
      <w:r w:rsidR="00A47AB7">
        <w:t xml:space="preserve">hyparchické </w:t>
      </w:r>
      <w:r w:rsidR="088A3D3A">
        <w:t>substance. Metafyzický subjekt významu daný kategoriální výpovědí je zaměněn na logický ekvivoční pojem. Stejný postoj měla škola Gramatiků, kterou v Paříži kr</w:t>
      </w:r>
      <w:r w:rsidR="085F6FB7">
        <w:t>itizoval biskup Alvernus (kap. 2</w:t>
      </w:r>
      <w:r w:rsidR="088A3D3A">
        <w:t xml:space="preserve">.3.2). </w:t>
      </w:r>
      <w:r w:rsidR="0000329F">
        <w:t>Archetyp tohoto myšlení najdeme v neoplatonismu</w:t>
      </w:r>
      <w:r w:rsidR="0000329F" w:rsidRPr="00273106">
        <w:t>, kdy dy</w:t>
      </w:r>
      <w:r w:rsidR="08FD4774">
        <w:t xml:space="preserve">áda dělí neomezené kontinuum, </w:t>
      </w:r>
      <w:r w:rsidR="0000329F" w:rsidRPr="00273106">
        <w:t xml:space="preserve">v němž platí </w:t>
      </w:r>
      <w:r w:rsidR="00874074">
        <w:t>neoplatonsk</w:t>
      </w:r>
      <w:r w:rsidR="0000329F" w:rsidRPr="00273106">
        <w:t>á dialektika „Neomezené‒Omezené</w:t>
      </w:r>
      <w:r w:rsidR="001E1723">
        <w:fldChar w:fldCharType="begin"/>
      </w:r>
      <w:r w:rsidR="001E1723">
        <w:instrText xml:space="preserve"> XE "</w:instrText>
      </w:r>
      <w:r w:rsidR="001E1723" w:rsidRPr="00F13A62">
        <w:instrText>Omezené</w:instrText>
      </w:r>
      <w:r w:rsidR="00C715F7">
        <w:instrText>‒</w:instrText>
      </w:r>
      <w:r w:rsidR="00C715F7" w:rsidRPr="00F13A62">
        <w:instrText>Neomezené</w:instrText>
      </w:r>
      <w:r w:rsidR="001E1723">
        <w:instrText xml:space="preserve">" </w:instrText>
      </w:r>
      <w:r w:rsidR="001E1723">
        <w:fldChar w:fldCharType="end"/>
      </w:r>
      <w:r w:rsidR="0000329F" w:rsidRPr="00273106">
        <w:t>“ podle Jamblicha (</w:t>
      </w:r>
      <w:r w:rsidR="00575DB2">
        <w:t xml:space="preserve">OBJ I, </w:t>
      </w:r>
      <w:r w:rsidR="084E7952">
        <w:t>kap. 1.3</w:t>
      </w:r>
      <w:r w:rsidR="0000329F" w:rsidRPr="00273106">
        <w:t xml:space="preserve">.1). </w:t>
      </w:r>
      <w:r w:rsidR="00A36C9B" w:rsidRPr="00273106">
        <w:t>Klíčová změna nastala v pojetí kauzality</w:t>
      </w:r>
      <w:r w:rsidR="00A00AB9" w:rsidRPr="00273106">
        <w:t>. P</w:t>
      </w:r>
      <w:r w:rsidR="08FD4774">
        <w:t>ůsobení univerzálního lidství</w:t>
      </w:r>
      <w:r w:rsidR="00A36C9B" w:rsidRPr="00273106">
        <w:t xml:space="preserve"> </w:t>
      </w:r>
      <w:r w:rsidR="08FD4774">
        <w:t>determinuje účinek</w:t>
      </w:r>
      <w:r w:rsidR="00A36C9B" w:rsidRPr="00273106">
        <w:t xml:space="preserve"> </w:t>
      </w:r>
      <w:r w:rsidR="005527B4" w:rsidRPr="00273106">
        <w:t>(</w:t>
      </w:r>
      <w:r w:rsidR="005527B4" w:rsidRPr="00273106">
        <w:rPr>
          <w:i/>
        </w:rPr>
        <w:t>humanitas, immo effectus ejus</w:t>
      </w:r>
      <w:r w:rsidR="005527B4" w:rsidRPr="00273106">
        <w:t xml:space="preserve">) </w:t>
      </w:r>
      <w:r w:rsidR="008260EF" w:rsidRPr="00273106">
        <w:t xml:space="preserve">na </w:t>
      </w:r>
      <w:r w:rsidR="08FD4774">
        <w:t xml:space="preserve">kvalitativní utváření </w:t>
      </w:r>
      <w:r w:rsidR="00A36C9B" w:rsidRPr="00273106">
        <w:t>Sokrata (</w:t>
      </w:r>
      <w:r w:rsidR="00A36C9B" w:rsidRPr="00273106">
        <w:rPr>
          <w:i/>
        </w:rPr>
        <w:t>qui pro qualitate significatur</w:t>
      </w:r>
      <w:r w:rsidR="00A36C9B" w:rsidRPr="00273106">
        <w:t xml:space="preserve">). </w:t>
      </w:r>
      <w:r w:rsidR="007C644C">
        <w:t>O</w:t>
      </w:r>
      <w:r w:rsidR="007C644C" w:rsidRPr="00273106">
        <w:t xml:space="preserve">d druhé poloviny 12. století </w:t>
      </w:r>
      <w:r w:rsidR="007C644C">
        <w:t>působí p</w:t>
      </w:r>
      <w:r w:rsidR="088A1ADF" w:rsidRPr="00273106">
        <w:t>roces diferenciace v homogenním a univočním kontinuu univerzálií</w:t>
      </w:r>
      <w:r w:rsidR="007C644C">
        <w:t xml:space="preserve">. Pak začal každý pojem </w:t>
      </w:r>
      <w:r w:rsidR="088A1ADF" w:rsidRPr="00273106">
        <w:t xml:space="preserve">hrát roli </w:t>
      </w:r>
      <w:r w:rsidR="088A1ADF" w:rsidRPr="00273106">
        <w:rPr>
          <w:i/>
        </w:rPr>
        <w:t>causa efficiens</w:t>
      </w:r>
      <w:r w:rsidR="088A1ADF" w:rsidRPr="00273106">
        <w:t xml:space="preserve"> (a nikoliv jen </w:t>
      </w:r>
      <w:r w:rsidR="005C0213" w:rsidRPr="005C0213">
        <w:rPr>
          <w:i/>
        </w:rPr>
        <w:t>causa</w:t>
      </w:r>
      <w:r w:rsidR="005C0213">
        <w:t xml:space="preserve"> </w:t>
      </w:r>
      <w:r w:rsidR="088A1ADF" w:rsidRPr="00273106">
        <w:rPr>
          <w:i/>
        </w:rPr>
        <w:t>formalis</w:t>
      </w:r>
      <w:r w:rsidR="005C0213">
        <w:t xml:space="preserve">). Identita reálné </w:t>
      </w:r>
      <w:r w:rsidR="088A1ADF" w:rsidRPr="00273106">
        <w:t xml:space="preserve">jednotliviny </w:t>
      </w:r>
      <w:r w:rsidR="005C0213">
        <w:t xml:space="preserve">se změnila na </w:t>
      </w:r>
      <w:r w:rsidR="088A1ADF" w:rsidRPr="00273106">
        <w:t>dále nedělitelné</w:t>
      </w:r>
      <w:r w:rsidR="005C0213">
        <w:t xml:space="preserve"> individuum</w:t>
      </w:r>
      <w:r w:rsidR="088A1ADF">
        <w:fldChar w:fldCharType="begin"/>
      </w:r>
      <w:r w:rsidR="088A1ADF">
        <w:instrText xml:space="preserve"> XE "</w:instrText>
      </w:r>
      <w:r w:rsidR="088A1ADF" w:rsidRPr="00F425B5">
        <w:instrText>kauzalita:objektivní</w:instrText>
      </w:r>
      <w:r w:rsidR="088A1ADF">
        <w:instrText xml:space="preserve">" </w:instrText>
      </w:r>
      <w:r w:rsidR="088A1ADF">
        <w:fldChar w:fldCharType="end"/>
      </w:r>
      <w:r w:rsidR="088A1ADF" w:rsidRPr="00273106">
        <w:t xml:space="preserve">. </w:t>
      </w:r>
      <w:r w:rsidR="00666118" w:rsidRPr="00273106">
        <w:t>Kauzalita se vyňala z působení fyzikálních substancí a vztáhla se k formálnímu procesu diferenciálního určování signif</w:t>
      </w:r>
      <w:r w:rsidR="00860F02" w:rsidRPr="00273106">
        <w:t xml:space="preserve">ikace od rodu směrem ke druhu. Diference jde až </w:t>
      </w:r>
      <w:r w:rsidR="00666118" w:rsidRPr="00273106">
        <w:t>k dále nedělitelnému individuu</w:t>
      </w:r>
      <w:r w:rsidR="083853C2" w:rsidRPr="00273106">
        <w:t xml:space="preserve">, které může, ale nemusí dostat extenzivní akcidentální určení na úrovni </w:t>
      </w:r>
      <w:r w:rsidR="00CB4409">
        <w:t xml:space="preserve">reálné </w:t>
      </w:r>
      <w:r w:rsidR="083853C2" w:rsidRPr="00273106">
        <w:t>první substance.</w:t>
      </w:r>
      <w:r w:rsidR="00666118" w:rsidRPr="00273106">
        <w:t xml:space="preserve"> </w:t>
      </w:r>
      <w:r w:rsidR="0829751B">
        <w:t>Epochální působení toho</w:t>
      </w:r>
      <w:r w:rsidR="08A730AD">
        <w:t>to sofistického náhledu na svět</w:t>
      </w:r>
      <w:r w:rsidR="0829751B">
        <w:t xml:space="preserve"> dokončí v další generaci tvůrci </w:t>
      </w:r>
      <w:r w:rsidR="0829751B" w:rsidRPr="00AE15FB">
        <w:rPr>
          <w:i/>
        </w:rPr>
        <w:t>Oxfordian Fallacy</w:t>
      </w:r>
      <w:r w:rsidR="0829751B">
        <w:rPr>
          <w:i/>
        </w:rPr>
        <w:fldChar w:fldCharType="begin"/>
      </w:r>
      <w:r w:rsidR="0829751B">
        <w:instrText xml:space="preserve"> XE "</w:instrText>
      </w:r>
      <w:r w:rsidR="0829751B" w:rsidRPr="0015798D">
        <w:rPr>
          <w:i/>
        </w:rPr>
        <w:instrText>Oxfordian Fallacy:</w:instrText>
      </w:r>
      <w:r w:rsidR="0829751B" w:rsidRPr="0015798D">
        <w:instrText>původ</w:instrText>
      </w:r>
      <w:r w:rsidR="0829751B">
        <w:instrText xml:space="preserve">" </w:instrText>
      </w:r>
      <w:r w:rsidR="0829751B">
        <w:rPr>
          <w:i/>
        </w:rPr>
        <w:fldChar w:fldCharType="end"/>
      </w:r>
      <w:r w:rsidR="08A730AD">
        <w:t xml:space="preserve">. Rufus a Kilwardby </w:t>
      </w:r>
      <w:r w:rsidR="0829751B">
        <w:t>suspendují predikaci kauzality reálných substancí ve středn</w:t>
      </w:r>
      <w:r w:rsidR="08DE6CFE">
        <w:t>ím členu vědeckého soudu (kap. 3</w:t>
      </w:r>
      <w:r w:rsidR="0829751B">
        <w:t xml:space="preserve">.3.1). </w:t>
      </w:r>
      <w:r w:rsidR="009E7B26" w:rsidRPr="00273106">
        <w:t xml:space="preserve">Nové vidění univočního </w:t>
      </w:r>
      <w:r w:rsidR="009E7B26" w:rsidRPr="00273106">
        <w:rPr>
          <w:i/>
        </w:rPr>
        <w:t xml:space="preserve">tertium ens </w:t>
      </w:r>
      <w:r w:rsidR="009E7B26" w:rsidRPr="00273106">
        <w:t xml:space="preserve">zahájil o desetiletí dříve anonymus v díle </w:t>
      </w:r>
      <w:r w:rsidR="009E7B26" w:rsidRPr="00273106">
        <w:rPr>
          <w:i/>
        </w:rPr>
        <w:t>Tractatus</w:t>
      </w:r>
      <w:r w:rsidR="009E7B26" w:rsidRPr="00273106">
        <w:t xml:space="preserve">, jehož plurál </w:t>
      </w:r>
      <w:r w:rsidR="00CF19CB">
        <w:t>„</w:t>
      </w:r>
      <w:r w:rsidR="007064E1" w:rsidRPr="00273106">
        <w:rPr>
          <w:i/>
        </w:rPr>
        <w:t>discrete videamus</w:t>
      </w:r>
      <w:r w:rsidR="00CF19CB">
        <w:t>“</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7064E1" w:rsidRPr="00273106">
        <w:t xml:space="preserve"> </w:t>
      </w:r>
      <w:r w:rsidR="009E7B26" w:rsidRPr="00273106">
        <w:t xml:space="preserve">oznámil novou </w:t>
      </w:r>
      <w:r w:rsidR="006F3D2F" w:rsidRPr="00273106">
        <w:t xml:space="preserve">epochu </w:t>
      </w:r>
      <w:r w:rsidR="0033702E">
        <w:t xml:space="preserve">„traktátového“ </w:t>
      </w:r>
      <w:r w:rsidR="0033702E" w:rsidRPr="00273106">
        <w:t xml:space="preserve">vidění </w:t>
      </w:r>
      <w:r w:rsidR="007064E1" w:rsidRPr="00273106">
        <w:t>světa.</w:t>
      </w:r>
      <w:r w:rsidR="00BF4686" w:rsidRPr="00273106">
        <w:t xml:space="preserve"> </w:t>
      </w:r>
      <w:r w:rsidR="0033702E" w:rsidRPr="0033702E">
        <w:t xml:space="preserve">Spinoza a Wittgenstein dokončili </w:t>
      </w:r>
      <w:r w:rsidR="0033702E">
        <w:t xml:space="preserve">tento </w:t>
      </w:r>
      <w:r w:rsidR="0033702E" w:rsidRPr="0033702E">
        <w:t>vývoj v epoše postmodernismu a metafyzického nihilismu.</w:t>
      </w:r>
      <w:r w:rsidR="0033702E">
        <w:t xml:space="preserve"> </w:t>
      </w:r>
      <w:r w:rsidR="00784D38" w:rsidRPr="00273106">
        <w:t xml:space="preserve">Kauzalita dostala </w:t>
      </w:r>
      <w:r w:rsidR="00853EF0">
        <w:t xml:space="preserve">paranoický </w:t>
      </w:r>
      <w:r w:rsidR="08DA77D4">
        <w:t>význam</w:t>
      </w:r>
      <w:r w:rsidR="00784D38" w:rsidRPr="00273106">
        <w:t xml:space="preserve">, </w:t>
      </w:r>
      <w:r w:rsidR="00853EF0">
        <w:t xml:space="preserve">protože </w:t>
      </w:r>
      <w:r w:rsidR="004F6602">
        <w:t xml:space="preserve">nahradila reálné účinky </w:t>
      </w:r>
      <w:r w:rsidR="00784D38" w:rsidRPr="00273106">
        <w:t>na úrovni prvních substancí.</w:t>
      </w:r>
      <w:r w:rsidR="006D646D">
        <w:t xml:space="preserve"> </w:t>
      </w:r>
      <w:r w:rsidR="00DF59C5" w:rsidRPr="00273106">
        <w:t xml:space="preserve">Spis </w:t>
      </w:r>
      <w:r w:rsidR="00DF59C5" w:rsidRPr="00273106">
        <w:rPr>
          <w:i/>
        </w:rPr>
        <w:t>Dialogus Ratii et Everardi</w:t>
      </w:r>
      <w:r w:rsidR="00DF59C5" w:rsidRPr="00273106">
        <w:t xml:space="preserve"> pokračuje v linii</w:t>
      </w:r>
      <w:r w:rsidR="004F6602">
        <w:t xml:space="preserve"> neoplato</w:t>
      </w:r>
      <w:r w:rsidR="0080440C" w:rsidRPr="00273106">
        <w:t>nského povýšení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80440C" w:rsidRPr="00273106">
        <w:t xml:space="preserve"> na úroveň metafyziky</w:t>
      </w:r>
      <w:r w:rsidR="00DF59C5" w:rsidRPr="00273106">
        <w:t xml:space="preserve">. </w:t>
      </w:r>
      <w:r w:rsidR="006E2CB7" w:rsidRPr="00273106">
        <w:t xml:space="preserve">Diskrétní vidění reality dostalo </w:t>
      </w:r>
      <w:r w:rsidR="00782B7A">
        <w:t>status</w:t>
      </w:r>
      <w:r w:rsidR="006E2CB7" w:rsidRPr="00273106">
        <w:t xml:space="preserve"> formálně-účinné příčiny</w:t>
      </w:r>
      <w:r w:rsidR="00EB4045">
        <w:fldChar w:fldCharType="begin"/>
      </w:r>
      <w:r w:rsidR="00EB4045">
        <w:instrText xml:space="preserve"> XE "</w:instrText>
      </w:r>
      <w:r w:rsidR="00EB4045" w:rsidRPr="00FC7F70">
        <w:instrText>kauzalita:porretáni</w:instrText>
      </w:r>
      <w:r w:rsidR="00EB4045">
        <w:instrText xml:space="preserve">" </w:instrText>
      </w:r>
      <w:r w:rsidR="00EB4045">
        <w:fldChar w:fldCharType="end"/>
      </w:r>
      <w:r w:rsidR="006E2CB7" w:rsidRPr="00273106">
        <w:t xml:space="preserve"> a otevřelo cestu k matematizaci světa</w:t>
      </w:r>
      <w:r w:rsidR="00026D3B">
        <w:fldChar w:fldCharType="begin"/>
      </w:r>
      <w:r w:rsidR="00026D3B">
        <w:instrText xml:space="preserve"> XE "</w:instrText>
      </w:r>
      <w:r w:rsidR="00026D3B" w:rsidRPr="008E1AD0">
        <w:instrText>matematizace světa</w:instrText>
      </w:r>
      <w:r w:rsidR="00026D3B">
        <w:instrText xml:space="preserve">" </w:instrText>
      </w:r>
      <w:r w:rsidR="00026D3B">
        <w:fldChar w:fldCharType="end"/>
      </w:r>
      <w:r w:rsidR="006E2CB7" w:rsidRPr="00273106">
        <w:t xml:space="preserve"> </w:t>
      </w:r>
      <w:r w:rsidR="00914C75">
        <w:t xml:space="preserve">zahájené </w:t>
      </w:r>
      <w:r w:rsidR="006E2CB7" w:rsidRPr="00273106">
        <w:t xml:space="preserve">v antickém neoplatonismu a ve falsafě. </w:t>
      </w:r>
      <w:r w:rsidR="0065452C" w:rsidRPr="00273106">
        <w:t>Klíčové je primární postavení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65452C" w:rsidRPr="00273106">
        <w:t xml:space="preserve"> (</w:t>
      </w:r>
      <w:r w:rsidR="0065452C" w:rsidRPr="00273106">
        <w:rPr>
          <w:i/>
        </w:rPr>
        <w:t>mathematica abstractio</w:t>
      </w:r>
      <w:r w:rsidR="0065452C" w:rsidRPr="00273106">
        <w:t xml:space="preserve">), která zakládá moderní vidění světa. </w:t>
      </w:r>
      <w:r w:rsidR="00BE1346" w:rsidRPr="00273106">
        <w:t xml:space="preserve">Matematická podobnost daná číslem či úměrou existuje podle Aristotela pouze analogicky, </w:t>
      </w:r>
      <w:r w:rsidR="00BE1346" w:rsidRPr="00273106">
        <w:lastRenderedPageBreak/>
        <w:t>protože nejde k realitě první substance (</w:t>
      </w:r>
      <w:r w:rsidR="00C37FBD">
        <w:t xml:space="preserve">OBJ I, </w:t>
      </w:r>
      <w:r w:rsidR="084E7952">
        <w:t>kap. 1.3</w:t>
      </w:r>
      <w:r w:rsidR="00BE1346" w:rsidRPr="00273106">
        <w:t xml:space="preserve">). </w:t>
      </w:r>
      <w:r w:rsidR="00A41486" w:rsidRPr="00273106">
        <w:t>Matematická abstrakce rozšířila platnost trojčlenkové analogie vztahů (</w:t>
      </w:r>
      <w:r w:rsidR="00A41486" w:rsidRPr="00273106">
        <w:rPr>
          <w:i/>
        </w:rPr>
        <w:t>similitudo relationis</w:t>
      </w:r>
      <w:r w:rsidR="00A41486" w:rsidRPr="00273106">
        <w:t xml:space="preserve">). </w:t>
      </w:r>
      <w:r w:rsidR="08E743D1" w:rsidRPr="00273106">
        <w:rPr>
          <w:rStyle w:val="st"/>
          <w:bCs/>
        </w:rPr>
        <w:t xml:space="preserve">Nové abstraktní dělení </w:t>
      </w:r>
      <w:r w:rsidR="08E743D1">
        <w:rPr>
          <w:rStyle w:val="st"/>
          <w:bCs/>
        </w:rPr>
        <w:t xml:space="preserve">dané matematickou analogií </w:t>
      </w:r>
      <w:r w:rsidR="08E743D1" w:rsidRPr="00273106">
        <w:rPr>
          <w:rStyle w:val="st"/>
          <w:bCs/>
        </w:rPr>
        <w:t xml:space="preserve">vzniklo </w:t>
      </w:r>
      <w:r w:rsidR="08E743D1" w:rsidRPr="00273106">
        <w:t>díky determinací individua jako formálního substrátu nominálně přičítaných vlastností.</w:t>
      </w:r>
      <w:r w:rsidR="08E743D1">
        <w:t xml:space="preserve"> </w:t>
      </w:r>
      <w:r w:rsidR="00A41486" w:rsidRPr="00273106">
        <w:rPr>
          <w:rStyle w:val="st"/>
          <w:bCs/>
        </w:rPr>
        <w:t>Porretáni chápou matematickou abstrakci na úrovni univerzálií</w:t>
      </w:r>
      <w:r w:rsidR="00B57676">
        <w:rPr>
          <w:rStyle w:val="st"/>
          <w:bCs/>
        </w:rPr>
        <w:t xml:space="preserve"> třetího druhu</w:t>
      </w:r>
      <w:r w:rsidR="00A41486" w:rsidRPr="00273106">
        <w:rPr>
          <w:rStyle w:val="st"/>
          <w:bCs/>
        </w:rPr>
        <w:t>, které lze predikovat stejně univočn</w:t>
      </w:r>
      <w:r w:rsidR="0068331A">
        <w:rPr>
          <w:rStyle w:val="st"/>
          <w:bCs/>
        </w:rPr>
        <w:t>ě jako akcidenty nebo substance</w:t>
      </w:r>
      <w:r w:rsidR="00A41486" w:rsidRPr="00273106">
        <w:rPr>
          <w:rStyle w:val="st"/>
          <w:bCs/>
        </w:rPr>
        <w:t xml:space="preserve">. </w:t>
      </w:r>
    </w:p>
    <w:p w14:paraId="123275FB" w14:textId="6D2508E6" w:rsidR="0065452C" w:rsidRPr="00273106" w:rsidRDefault="00D4171C" w:rsidP="0065452C">
      <w:pPr>
        <w:pStyle w:val="Citace"/>
        <w:rPr>
          <w:noProof/>
          <w:lang w:val="cs-CZ"/>
        </w:rPr>
      </w:pPr>
      <w:r>
        <w:rPr>
          <w:noProof/>
          <w:lang w:val="cs-CZ"/>
        </w:rPr>
        <w:t xml:space="preserve">„Matematika je určitým druhem </w:t>
      </w:r>
      <w:r w:rsidR="0065452C" w:rsidRPr="00273106">
        <w:rPr>
          <w:noProof/>
          <w:lang w:val="cs-CZ"/>
        </w:rPr>
        <w:t>abstrakce</w:t>
      </w:r>
      <w:r w:rsidR="008408F2">
        <w:rPr>
          <w:noProof/>
          <w:lang w:val="cs-CZ"/>
        </w:rPr>
        <w:t xml:space="preserve"> (</w:t>
      </w:r>
      <w:r w:rsidR="008408F2" w:rsidRPr="008408F2">
        <w:rPr>
          <w:i/>
          <w:lang w:val="cs-CZ"/>
        </w:rPr>
        <w:t>m</w:t>
      </w:r>
      <w:r w:rsidR="08563667">
        <w:rPr>
          <w:i/>
        </w:rPr>
        <w:t>athematicum est quasi abstractiv</w:t>
      </w:r>
      <w:r w:rsidR="008408F2" w:rsidRPr="008408F2">
        <w:rPr>
          <w:i/>
        </w:rPr>
        <w:t>um</w:t>
      </w:r>
      <w:r w:rsidR="008408F2">
        <w:rPr>
          <w:noProof/>
          <w:lang w:val="cs-CZ"/>
        </w:rPr>
        <w:t>)</w:t>
      </w:r>
      <w:r w:rsidR="0065452C" w:rsidRPr="00273106">
        <w:rPr>
          <w:noProof/>
          <w:lang w:val="cs-CZ"/>
        </w:rPr>
        <w:t xml:space="preserve">, protože </w:t>
      </w:r>
      <w:r>
        <w:rPr>
          <w:noProof/>
          <w:lang w:val="cs-CZ"/>
        </w:rPr>
        <w:t xml:space="preserve">určuje </w:t>
      </w:r>
      <w:r w:rsidR="0065452C" w:rsidRPr="00273106">
        <w:rPr>
          <w:noProof/>
          <w:lang w:val="cs-CZ"/>
        </w:rPr>
        <w:t xml:space="preserve">formu </w:t>
      </w:r>
      <w:r>
        <w:rPr>
          <w:noProof/>
          <w:lang w:val="cs-CZ"/>
        </w:rPr>
        <w:t xml:space="preserve">na základě abstrakce od </w:t>
      </w:r>
      <w:r w:rsidR="0065452C" w:rsidRPr="00273106">
        <w:rPr>
          <w:noProof/>
          <w:lang w:val="cs-CZ"/>
        </w:rPr>
        <w:t xml:space="preserve">jejího nositele, </w:t>
      </w:r>
      <w:r>
        <w:rPr>
          <w:noProof/>
          <w:lang w:val="cs-CZ"/>
        </w:rPr>
        <w:t>na způsob běloby</w:t>
      </w:r>
      <w:r w:rsidR="0065452C" w:rsidRPr="00273106">
        <w:rPr>
          <w:noProof/>
          <w:lang w:val="cs-CZ"/>
        </w:rPr>
        <w:t>.“</w:t>
      </w:r>
      <w:r w:rsidR="0065452C" w:rsidRPr="00273106">
        <w:rPr>
          <w:rStyle w:val="Znakapoznpodarou"/>
          <w:noProof/>
          <w:lang w:val="cs-CZ"/>
        </w:rPr>
        <w:t xml:space="preserve"> </w:t>
      </w:r>
      <w:r w:rsidR="0065452C" w:rsidRPr="00273106">
        <w:rPr>
          <w:rStyle w:val="Znakapoznpodarou"/>
          <w:noProof/>
          <w:lang w:val="cs-CZ"/>
        </w:rPr>
        <w:footnoteReference w:id="72"/>
      </w:r>
    </w:p>
    <w:p w14:paraId="0442E77C" w14:textId="3BEAD8F0" w:rsidR="00FD0F4A" w:rsidRDefault="0068331A" w:rsidP="00B14EDC">
      <w:r>
        <w:t xml:space="preserve">Kategoriální predikace úplně pomíjí </w:t>
      </w:r>
      <w:r w:rsidRPr="00273106">
        <w:rPr>
          <w:rStyle w:val="st"/>
          <w:bCs/>
        </w:rPr>
        <w:t>hyparchickou vazbu na první substanci</w:t>
      </w:r>
      <w:r w:rsidR="00721F54">
        <w:rPr>
          <w:rStyle w:val="st"/>
          <w:bCs/>
        </w:rPr>
        <w:t xml:space="preserve">, což </w:t>
      </w:r>
      <w:r w:rsidR="004B4894">
        <w:rPr>
          <w:rStyle w:val="st"/>
          <w:bCs/>
        </w:rPr>
        <w:t xml:space="preserve">završuje zavedení </w:t>
      </w:r>
      <w:r w:rsidR="00FC0989">
        <w:rPr>
          <w:rStyle w:val="st"/>
          <w:bCs/>
        </w:rPr>
        <w:t xml:space="preserve">nominalistického </w:t>
      </w:r>
      <w:r w:rsidR="08B31D74">
        <w:t xml:space="preserve">pojmu </w:t>
      </w:r>
      <w:r w:rsidR="004B4D52" w:rsidRPr="004B4894">
        <w:rPr>
          <w:i/>
        </w:rPr>
        <w:t>species</w:t>
      </w:r>
      <w:r w:rsidR="006B7FA2"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6B7FA2" w:rsidRPr="00273106">
        <w:t xml:space="preserve">. </w:t>
      </w:r>
      <w:r w:rsidR="08103AEA" w:rsidRPr="00273106">
        <w:t xml:space="preserve">Autor dialogu úplně pomíjí </w:t>
      </w:r>
      <w:r w:rsidR="00E304B9" w:rsidRPr="00273106">
        <w:t xml:space="preserve">výše uvedené </w:t>
      </w:r>
      <w:r w:rsidR="08103AEA" w:rsidRPr="00273106">
        <w:t xml:space="preserve">Boethiovo určení </w:t>
      </w:r>
      <w:r w:rsidR="00970A04" w:rsidRPr="00273106">
        <w:t xml:space="preserve">tohoto termínu </w:t>
      </w:r>
      <w:r w:rsidR="08103AEA" w:rsidRPr="00273106">
        <w:t>dané v komentáři</w:t>
      </w:r>
      <w:r w:rsidR="0014520E">
        <w:t xml:space="preserve"> k Porfy</w:t>
      </w:r>
      <w:r w:rsidR="007D419E" w:rsidRPr="00273106">
        <w:t xml:space="preserve">riovým </w:t>
      </w:r>
      <w:r w:rsidR="007D419E" w:rsidRPr="0014520E">
        <w:rPr>
          <w:i/>
        </w:rPr>
        <w:t>Kategoriím</w:t>
      </w:r>
      <w:r w:rsidR="00825588" w:rsidRPr="00273106">
        <w:t xml:space="preserve"> (kap. 3.4)</w:t>
      </w:r>
      <w:r w:rsidR="007D419E" w:rsidRPr="00273106">
        <w:t xml:space="preserve">. </w:t>
      </w:r>
      <w:r w:rsidR="003845CB" w:rsidRPr="00273106">
        <w:t>Everardův d</w:t>
      </w:r>
      <w:r w:rsidR="08103AEA" w:rsidRPr="00273106">
        <w:t>ialog</w:t>
      </w:r>
      <w:r w:rsidR="000C53A0" w:rsidRPr="00273106">
        <w:t xml:space="preserve"> používá </w:t>
      </w:r>
      <w:r w:rsidR="08B31D74">
        <w:t xml:space="preserve">termín </w:t>
      </w:r>
      <w:r w:rsidR="004B4D52" w:rsidRPr="004B4D52">
        <w:t>species</w:t>
      </w:r>
      <w:r w:rsidR="006435EC" w:rsidRPr="00273106">
        <w:rPr>
          <w:i/>
        </w:rPr>
        <w:t xml:space="preserve"> specialissima</w:t>
      </w:r>
      <w:r w:rsidR="006435EC" w:rsidRPr="00273106">
        <w:t xml:space="preserve"> </w:t>
      </w:r>
      <w:r w:rsidR="000C53A0" w:rsidRPr="00273106">
        <w:t>ve stejném smyslu jako Avicenna</w:t>
      </w:r>
      <w:r w:rsidR="00825588" w:rsidRPr="00273106">
        <w:t xml:space="preserve"> (kap. 2.3.2)</w:t>
      </w:r>
      <w:r w:rsidR="006435EC" w:rsidRPr="00273106">
        <w:t xml:space="preserve">. </w:t>
      </w:r>
      <w:r w:rsidR="00FD0F4A">
        <w:t xml:space="preserve">Spis </w:t>
      </w:r>
      <w:r w:rsidR="009875E1" w:rsidRPr="00FD0F4A">
        <w:rPr>
          <w:i/>
        </w:rPr>
        <w:t>Dialog</w:t>
      </w:r>
      <w:r w:rsidR="00FD0F4A" w:rsidRPr="00FD0F4A">
        <w:rPr>
          <w:i/>
        </w:rPr>
        <w:t>us</w:t>
      </w:r>
      <w:r w:rsidR="009875E1">
        <w:t xml:space="preserve"> p</w:t>
      </w:r>
      <w:r w:rsidR="009875E1" w:rsidRPr="009875E1">
        <w:t xml:space="preserve">roto rozlišuje </w:t>
      </w:r>
      <w:r w:rsidR="009875E1">
        <w:t xml:space="preserve">nejprve </w:t>
      </w:r>
      <w:r w:rsidR="009875E1" w:rsidRPr="009875E1">
        <w:t xml:space="preserve">aristotelskou univerzalitu druhu vzhledem k rodu. Univerzalita v Porfyriově definici </w:t>
      </w:r>
      <w:r w:rsidR="006A04C6" w:rsidRPr="006A04C6">
        <w:t>species</w:t>
      </w:r>
      <w:r w:rsidR="009875E1" w:rsidRPr="009875E1">
        <w:rPr>
          <w:i/>
        </w:rPr>
        <w:t xml:space="preserve"> </w:t>
      </w:r>
      <w:r w:rsidR="009875E1" w:rsidRPr="009875E1">
        <w:t>zajišťuje poslední úroveň specifického významu, který je diferencován na poslední úrovni jednotlivin</w:t>
      </w:r>
      <w:r w:rsidR="009875E1">
        <w:t xml:space="preserve"> (</w:t>
      </w:r>
      <w:r w:rsidR="009875E1" w:rsidRPr="009875E1">
        <w:rPr>
          <w:i/>
        </w:rPr>
        <w:t>individuum</w:t>
      </w:r>
      <w:r w:rsidR="009875E1">
        <w:t>)</w:t>
      </w:r>
      <w:r w:rsidR="009875E1" w:rsidRPr="009875E1">
        <w:t xml:space="preserve">. </w:t>
      </w:r>
      <w:r w:rsidR="00637227">
        <w:t xml:space="preserve">Nový univerzální (tedy objektivní) význam </w:t>
      </w:r>
      <w:r w:rsidR="004B4D52" w:rsidRPr="004B4D52">
        <w:t>species</w:t>
      </w:r>
      <w:r w:rsidR="00637227">
        <w:t xml:space="preserve"> </w:t>
      </w:r>
      <w:r w:rsidR="00637227" w:rsidRPr="009875E1">
        <w:rPr>
          <w:i/>
        </w:rPr>
        <w:t>specialissima</w:t>
      </w:r>
      <w:r w:rsidR="00637227" w:rsidRPr="009875E1">
        <w:t xml:space="preserve"> </w:t>
      </w:r>
      <w:r w:rsidR="009875E1" w:rsidRPr="009875E1">
        <w:t>vymezuje nedělitelnou individuální věc jako hyparchickou první substanci</w:t>
      </w:r>
      <w:r w:rsidR="009875E1">
        <w:t xml:space="preserve">, tj. </w:t>
      </w:r>
      <w:r w:rsidR="001F475F">
        <w:t xml:space="preserve">„Sokrata“ jako </w:t>
      </w:r>
      <w:r w:rsidR="009875E1">
        <w:t xml:space="preserve">moderní individuum. </w:t>
      </w:r>
      <w:r w:rsidR="001F475F">
        <w:t>Pak m</w:t>
      </w:r>
      <w:r w:rsidR="009875E1">
        <w:t>áme „</w:t>
      </w:r>
      <w:r w:rsidR="009875E1" w:rsidRPr="009875E1">
        <w:rPr>
          <w:i/>
        </w:rPr>
        <w:t>socratitas</w:t>
      </w:r>
      <w:r w:rsidR="009875E1">
        <w:t>“</w:t>
      </w:r>
      <w:r w:rsidR="009875E1" w:rsidRPr="009875E1">
        <w:t xml:space="preserve"> jako </w:t>
      </w:r>
      <w:r w:rsidR="004B4D52" w:rsidRPr="004B4D52">
        <w:t>species</w:t>
      </w:r>
      <w:r w:rsidR="009875E1" w:rsidRPr="009875E1">
        <w:rPr>
          <w:i/>
        </w:rPr>
        <w:t xml:space="preserve"> specialissima</w:t>
      </w:r>
      <w:r w:rsidR="009875E1" w:rsidRPr="009875E1">
        <w:t xml:space="preserve"> </w:t>
      </w:r>
      <w:r w:rsidR="009875E1">
        <w:t xml:space="preserve">definovanou </w:t>
      </w:r>
      <w:r w:rsidR="009875E1" w:rsidRPr="009875E1">
        <w:t>na úrovn</w:t>
      </w:r>
      <w:r w:rsidR="009875E1">
        <w:t>i moderní supozice (kap. 1</w:t>
      </w:r>
      <w:r w:rsidR="009875E1" w:rsidRPr="00273106">
        <w:t>.4)</w:t>
      </w:r>
      <w:r w:rsidR="009875E1">
        <w:t>. Moderní „</w:t>
      </w:r>
      <w:r w:rsidR="009875E1" w:rsidRPr="005321A9">
        <w:t>So</w:t>
      </w:r>
      <w:r w:rsidR="005321A9" w:rsidRPr="005321A9">
        <w:t>k</w:t>
      </w:r>
      <w:r w:rsidR="009875E1" w:rsidRPr="005321A9">
        <w:t>rates</w:t>
      </w:r>
      <w:r w:rsidR="009875E1">
        <w:t>“</w:t>
      </w:r>
      <w:r w:rsidR="009875E1" w:rsidRPr="009875E1">
        <w:t xml:space="preserve"> přichází na řadu </w:t>
      </w:r>
      <w:r w:rsidR="00334163">
        <w:t xml:space="preserve">dělení </w:t>
      </w:r>
      <w:r w:rsidR="009875E1" w:rsidRPr="009875E1">
        <w:t>jako poslední deriv</w:t>
      </w:r>
      <w:r w:rsidR="009875E1">
        <w:t xml:space="preserve">át individuace. </w:t>
      </w:r>
      <w:r w:rsidR="0092363B">
        <w:t xml:space="preserve">Predikace daná skrze </w:t>
      </w:r>
      <w:r w:rsidR="004B4D52" w:rsidRPr="004B4D52">
        <w:t>species</w:t>
      </w:r>
      <w:r w:rsidR="0092363B" w:rsidRPr="00273106">
        <w:rPr>
          <w:i/>
        </w:rPr>
        <w:t xml:space="preserve"> specialissima</w:t>
      </w:r>
      <w:r w:rsidR="0092363B" w:rsidRPr="00273106">
        <w:t xml:space="preserve"> běží dvěma směry.</w:t>
      </w:r>
      <w:r w:rsidR="0092363B" w:rsidRPr="00273106">
        <w:rPr>
          <w:rStyle w:val="Znakapoznpodarou"/>
        </w:rPr>
        <w:footnoteReference w:id="73"/>
      </w:r>
      <w:r w:rsidR="0092363B">
        <w:t xml:space="preserve"> </w:t>
      </w:r>
      <w:r w:rsidR="00AB6099">
        <w:t xml:space="preserve">Každá kategoriální </w:t>
      </w:r>
      <w:r w:rsidR="001C718C">
        <w:t xml:space="preserve">species </w:t>
      </w:r>
      <w:r w:rsidR="0092363B">
        <w:t xml:space="preserve">je podle Porfýriovy </w:t>
      </w:r>
      <w:r w:rsidR="0092363B" w:rsidRPr="0092363B">
        <w:rPr>
          <w:i/>
        </w:rPr>
        <w:t>Isagoge</w:t>
      </w:r>
      <w:r w:rsidR="0092363B">
        <w:t xml:space="preserve"> nerozlučně spojen</w:t>
      </w:r>
      <w:r w:rsidR="00AB6099">
        <w:t>a</w:t>
      </w:r>
      <w:r w:rsidR="0092363B">
        <w:t xml:space="preserve"> s významem </w:t>
      </w:r>
      <w:r w:rsidR="082E7F74">
        <w:t>individua</w:t>
      </w:r>
      <w:r w:rsidR="003275B0">
        <w:t>, protože species dává individuu</w:t>
      </w:r>
      <w:r w:rsidR="004961DA">
        <w:t xml:space="preserve"> jeho smysl</w:t>
      </w:r>
      <w:r w:rsidR="00BF0F01">
        <w:t xml:space="preserve"> </w:t>
      </w:r>
      <w:r w:rsidR="00BF0F01" w:rsidRPr="003D1E07">
        <w:t>(τὸ μὲν ἄτομον ὑπὸ τοῦ εἴδους</w:t>
      </w:r>
      <w:r w:rsidR="00BF0F01">
        <w:t>; OBJ I, kap. 1.3</w:t>
      </w:r>
      <w:r w:rsidR="00BF0F01" w:rsidRPr="003D1E07">
        <w:t>)</w:t>
      </w:r>
      <w:r w:rsidR="001C718C">
        <w:t xml:space="preserve">. </w:t>
      </w:r>
      <w:r w:rsidR="0092363B" w:rsidRPr="003D1E07">
        <w:t xml:space="preserve">Definice </w:t>
      </w:r>
      <w:r w:rsidR="0092363B">
        <w:t>p</w:t>
      </w:r>
      <w:r w:rsidR="0092363B" w:rsidRPr="003D1E07">
        <w:t xml:space="preserve">osledního a dále nedělitelného individua </w:t>
      </w:r>
      <w:r w:rsidR="0092363B">
        <w:t xml:space="preserve">je dána vzhledem k </w:t>
      </w:r>
      <w:r w:rsidR="00BF0F01">
        <w:t>univerzální species</w:t>
      </w:r>
      <w:r w:rsidR="0092363B" w:rsidRPr="003D1E07">
        <w:t xml:space="preserve">. </w:t>
      </w:r>
      <w:r w:rsidR="0092363B">
        <w:t xml:space="preserve">Nyní je jasné, že </w:t>
      </w:r>
      <w:r w:rsidR="00657EC7">
        <w:t xml:space="preserve">moderní </w:t>
      </w:r>
      <w:r w:rsidR="0092363B">
        <w:t xml:space="preserve">individuum zvané „Sokrates“ je nedělitelně spojeno se </w:t>
      </w:r>
      <w:r w:rsidR="004B4D52" w:rsidRPr="004B4D52">
        <w:t>species</w:t>
      </w:r>
      <w:r w:rsidR="0092363B" w:rsidRPr="00273106">
        <w:rPr>
          <w:i/>
        </w:rPr>
        <w:t xml:space="preserve"> specialissima</w:t>
      </w:r>
      <w:r w:rsidR="00AB6099">
        <w:rPr>
          <w:i/>
        </w:rPr>
        <w:fldChar w:fldCharType="begin"/>
      </w:r>
      <w:r w:rsidR="00AB6099">
        <w:instrText xml:space="preserve"> XE "</w:instrText>
      </w:r>
      <w:r w:rsidR="00AB6099" w:rsidRPr="00E56A29">
        <w:rPr>
          <w:i/>
        </w:rPr>
        <w:instrText>species specialissima</w:instrText>
      </w:r>
      <w:r w:rsidR="00AB6099">
        <w:instrText xml:space="preserve">" </w:instrText>
      </w:r>
      <w:r w:rsidR="00AB6099">
        <w:rPr>
          <w:i/>
        </w:rPr>
        <w:fldChar w:fldCharType="end"/>
      </w:r>
      <w:r w:rsidR="00AB6099">
        <w:t>, což je jeho „</w:t>
      </w:r>
      <w:r w:rsidR="00AB6099" w:rsidRPr="00AB6099">
        <w:rPr>
          <w:i/>
        </w:rPr>
        <w:t>socratitas</w:t>
      </w:r>
      <w:r w:rsidR="00AB6099">
        <w:rPr>
          <w:i/>
        </w:rPr>
        <w:fldChar w:fldCharType="begin"/>
      </w:r>
      <w:r w:rsidR="00AB6099">
        <w:instrText xml:space="preserve"> XE "</w:instrText>
      </w:r>
      <w:r w:rsidR="00AB6099" w:rsidRPr="00D362DB">
        <w:rPr>
          <w:i/>
        </w:rPr>
        <w:instrText>socratitas</w:instrText>
      </w:r>
      <w:r w:rsidR="00AB6099">
        <w:instrText xml:space="preserve">" </w:instrText>
      </w:r>
      <w:r w:rsidR="00AB6099">
        <w:rPr>
          <w:i/>
        </w:rPr>
        <w:fldChar w:fldCharType="end"/>
      </w:r>
      <w:r w:rsidR="00AB6099">
        <w:t xml:space="preserve">“. Tomuto nominálně a </w:t>
      </w:r>
      <w:r w:rsidR="00AB6099" w:rsidRPr="00574CF8">
        <w:rPr>
          <w:i/>
        </w:rPr>
        <w:t>ex nihilo</w:t>
      </w:r>
      <w:r w:rsidR="00AB6099">
        <w:t xml:space="preserve"> vytvořenému „Sokratovi“ pak lze </w:t>
      </w:r>
      <w:r w:rsidR="0092363B" w:rsidRPr="009875E1">
        <w:t>kom</w:t>
      </w:r>
      <w:r w:rsidR="0092363B">
        <w:t xml:space="preserve">itativně predikovat kvazi-fyzikální vlastnosti těles. </w:t>
      </w:r>
      <w:r w:rsidR="00972B1C">
        <w:t xml:space="preserve">Individuální Sokrates </w:t>
      </w:r>
      <w:r w:rsidR="0092363B">
        <w:t xml:space="preserve">v jeho objektivní „exsistenci“ je postaven na úroveň </w:t>
      </w:r>
      <w:r w:rsidR="0092363B">
        <w:lastRenderedPageBreak/>
        <w:t>aristotelské</w:t>
      </w:r>
      <w:r w:rsidR="082E7F74">
        <w:t xml:space="preserve"> </w:t>
      </w:r>
      <w:r w:rsidR="00972B1C">
        <w:t xml:space="preserve">první </w:t>
      </w:r>
      <w:r w:rsidR="082E7F74">
        <w:t>substance</w:t>
      </w:r>
      <w:r w:rsidR="0092363B">
        <w:t xml:space="preserve">. Aristotelikové dobře viděli, že jde o úplně paranoický postup myšlení. Impozice hyparchického významu nejde z reality, ale z moderního subjektu. Roger Bacon  proto považoval modernisty za akademické šílence. Ale logika může být paranoická, hlavně když je logicky správná. Individuum jako „první substance“ formálně platně ustavuje </w:t>
      </w:r>
      <w:r w:rsidR="082E7F74" w:rsidRPr="082E7F74">
        <w:rPr>
          <w:i/>
        </w:rPr>
        <w:t>modus tollens</w:t>
      </w:r>
      <w:r w:rsidR="00AB6099">
        <w:rPr>
          <w:i/>
        </w:rPr>
        <w:fldChar w:fldCharType="begin"/>
      </w:r>
      <w:r w:rsidR="00AB6099">
        <w:instrText xml:space="preserve"> XE "</w:instrText>
      </w:r>
      <w:r w:rsidR="00AB6099" w:rsidRPr="00653454">
        <w:rPr>
          <w:i/>
        </w:rPr>
        <w:instrText>modus tollens</w:instrText>
      </w:r>
      <w:r w:rsidR="00AB6099">
        <w:instrText xml:space="preserve">" </w:instrText>
      </w:r>
      <w:r w:rsidR="00AB6099">
        <w:rPr>
          <w:i/>
        </w:rPr>
        <w:fldChar w:fldCharType="end"/>
      </w:r>
      <w:r w:rsidR="082E7F74">
        <w:t xml:space="preserve"> </w:t>
      </w:r>
      <w:r w:rsidR="001256C8">
        <w:t xml:space="preserve">nebo </w:t>
      </w:r>
      <w:r w:rsidR="001256C8" w:rsidRPr="001256C8">
        <w:rPr>
          <w:i/>
        </w:rPr>
        <w:t>destructio primis</w:t>
      </w:r>
      <w:r w:rsidR="001256C8">
        <w:t xml:space="preserve"> (OBJ I, kap. 1.3)</w:t>
      </w:r>
      <w:r w:rsidR="0092363B">
        <w:t xml:space="preserve">. Existencí individua je tedy </w:t>
      </w:r>
      <w:r w:rsidR="00972B1C">
        <w:t>zajiš</w:t>
      </w:r>
      <w:r w:rsidR="001256C8">
        <w:t>tě</w:t>
      </w:r>
      <w:r w:rsidR="00972B1C">
        <w:t xml:space="preserve">na </w:t>
      </w:r>
      <w:r w:rsidR="0092363B">
        <w:t xml:space="preserve">„univoční“ kategoriální predikace </w:t>
      </w:r>
      <w:r w:rsidR="082E7F74">
        <w:t>nadřaze</w:t>
      </w:r>
      <w:r w:rsidR="001C718C">
        <w:t>né univerzálie</w:t>
      </w:r>
      <w:r w:rsidR="0092363B">
        <w:t>, což je „</w:t>
      </w:r>
      <w:r w:rsidR="0092363B" w:rsidRPr="009875E1">
        <w:rPr>
          <w:i/>
        </w:rPr>
        <w:t>socratitas</w:t>
      </w:r>
      <w:r w:rsidR="0092363B">
        <w:t xml:space="preserve">“ jako </w:t>
      </w:r>
      <w:r w:rsidR="004B4D52" w:rsidRPr="00C509AC">
        <w:rPr>
          <w:i/>
        </w:rPr>
        <w:t>species</w:t>
      </w:r>
      <w:r w:rsidR="0092363B" w:rsidRPr="0092363B">
        <w:rPr>
          <w:i/>
        </w:rPr>
        <w:t xml:space="preserve"> specialissima</w:t>
      </w:r>
      <w:r w:rsidR="00FD0F4A">
        <w:t>.</w:t>
      </w:r>
      <w:r w:rsidR="000F061B">
        <w:t xml:space="preserve"> </w:t>
      </w:r>
      <w:r w:rsidR="000F061B">
        <w:rPr>
          <w:szCs w:val="24"/>
        </w:rPr>
        <w:t xml:space="preserve">Podle </w:t>
      </w:r>
      <w:r w:rsidR="000F061B" w:rsidRPr="00EC57F4">
        <w:rPr>
          <w:i/>
          <w:szCs w:val="24"/>
        </w:rPr>
        <w:t>Isagoge</w:t>
      </w:r>
      <w:r w:rsidR="000F061B">
        <w:rPr>
          <w:szCs w:val="24"/>
        </w:rPr>
        <w:t xml:space="preserve"> je </w:t>
      </w:r>
      <w:r w:rsidR="00AD4FFD">
        <w:rPr>
          <w:szCs w:val="24"/>
        </w:rPr>
        <w:t xml:space="preserve">přece </w:t>
      </w:r>
      <w:r w:rsidR="000F061B">
        <w:rPr>
          <w:szCs w:val="24"/>
        </w:rPr>
        <w:t>toto species ned</w:t>
      </w:r>
      <w:r w:rsidR="00AD4FFD">
        <w:rPr>
          <w:szCs w:val="24"/>
        </w:rPr>
        <w:t xml:space="preserve">ělitelně spojeno s individiuem zvaným </w:t>
      </w:r>
      <w:r w:rsidR="000F061B">
        <w:rPr>
          <w:szCs w:val="24"/>
        </w:rPr>
        <w:t>„Sokrate</w:t>
      </w:r>
      <w:r w:rsidR="00AD4FFD">
        <w:rPr>
          <w:szCs w:val="24"/>
        </w:rPr>
        <w:t>s</w:t>
      </w:r>
      <w:r w:rsidR="000F061B">
        <w:rPr>
          <w:szCs w:val="24"/>
        </w:rPr>
        <w:t xml:space="preserve">“, proto je specifické </w:t>
      </w:r>
      <w:r w:rsidR="00AD4FFD">
        <w:rPr>
          <w:szCs w:val="24"/>
        </w:rPr>
        <w:t xml:space="preserve">maximálně možným způsobem </w:t>
      </w:r>
      <w:r w:rsidR="00E23A2C">
        <w:rPr>
          <w:szCs w:val="24"/>
        </w:rPr>
        <w:t>(</w:t>
      </w:r>
      <w:r w:rsidR="00E23A2C" w:rsidRPr="00EC57F4">
        <w:rPr>
          <w:i/>
          <w:szCs w:val="24"/>
        </w:rPr>
        <w:t>specialissima</w:t>
      </w:r>
      <w:r w:rsidR="00E23A2C">
        <w:rPr>
          <w:szCs w:val="24"/>
        </w:rPr>
        <w:t>)</w:t>
      </w:r>
      <w:r w:rsidR="000F061B">
        <w:rPr>
          <w:szCs w:val="24"/>
        </w:rPr>
        <w:t xml:space="preserve">. </w:t>
      </w:r>
      <w:r w:rsidR="082E7F74">
        <w:t xml:space="preserve">Nominálně určené individuum „Sokrates“ zakládá rod zvaný </w:t>
      </w:r>
      <w:r w:rsidR="082E7F74" w:rsidRPr="082E7F74">
        <w:rPr>
          <w:i/>
        </w:rPr>
        <w:t>humanitas</w:t>
      </w:r>
      <w:r w:rsidR="082E7F74">
        <w:t xml:space="preserve">, který v řádu supozice univerzálních významů stojí nad individuem </w:t>
      </w:r>
      <w:r w:rsidR="082E7F74" w:rsidRPr="00273106">
        <w:t>(</w:t>
      </w:r>
      <w:r w:rsidR="082E7F74">
        <w:rPr>
          <w:i/>
        </w:rPr>
        <w:t>univ</w:t>
      </w:r>
      <w:r w:rsidR="082E7F74" w:rsidRPr="00273106">
        <w:rPr>
          <w:i/>
        </w:rPr>
        <w:t>ersaliter subiicitur suo generi</w:t>
      </w:r>
      <w:r w:rsidR="082E7F74" w:rsidRPr="00273106">
        <w:t>)</w:t>
      </w:r>
      <w:r w:rsidR="082E7F74">
        <w:t xml:space="preserve">. Pak je možné založit </w:t>
      </w:r>
      <w:r w:rsidR="00874F9A" w:rsidRPr="00273106">
        <w:t>dělení od rodu k</w:t>
      </w:r>
      <w:r w:rsidR="082E7F74">
        <w:t> </w:t>
      </w:r>
      <w:r w:rsidR="00874F9A" w:rsidRPr="00273106">
        <w:t>individuu (</w:t>
      </w:r>
      <w:r w:rsidR="00F768D3">
        <w:rPr>
          <w:i/>
        </w:rPr>
        <w:t>homo praedicatur de suis indiv</w:t>
      </w:r>
      <w:r w:rsidR="00874F9A" w:rsidRPr="00273106">
        <w:rPr>
          <w:i/>
        </w:rPr>
        <w:t>iduis</w:t>
      </w:r>
      <w:r w:rsidR="00874F9A" w:rsidRPr="00273106">
        <w:t xml:space="preserve">). </w:t>
      </w:r>
      <w:r w:rsidR="08B31D74">
        <w:t xml:space="preserve">Individuum je nakonec určeno </w:t>
      </w:r>
      <w:r w:rsidR="0880164C">
        <w:t xml:space="preserve">kategoriální </w:t>
      </w:r>
      <w:r w:rsidR="08B31D74">
        <w:t>ap</w:t>
      </w:r>
      <w:r w:rsidR="0880164C">
        <w:t>ozic</w:t>
      </w:r>
      <w:r w:rsidR="08B31D74">
        <w:t>í hypostázovaných vlastností typu neoplatonské rozsažnosti, z nichž se později s</w:t>
      </w:r>
      <w:r w:rsidR="00FD0F4A">
        <w:t>tanou čisté matematické funkce.</w:t>
      </w:r>
    </w:p>
    <w:p w14:paraId="035516E5" w14:textId="4DD2608D" w:rsidR="00396666" w:rsidRDefault="00874F9A" w:rsidP="004A32E6">
      <w:pPr>
        <w:ind w:firstLine="397"/>
      </w:pPr>
      <w:r w:rsidRPr="00273106">
        <w:t xml:space="preserve">Tento postup diskrétního dělení má zásadní charakter pro ustavení </w:t>
      </w:r>
      <w:r>
        <w:t xml:space="preserve">matematiky </w:t>
      </w:r>
      <w:r w:rsidRPr="00273106">
        <w:t>jako první vědy o jsoucnu</w:t>
      </w:r>
      <w:r w:rsidR="086C6821">
        <w:t xml:space="preserve">, což ukázala předešlá kapitola rozborem porretánských škol </w:t>
      </w:r>
      <w:r w:rsidR="086C6821" w:rsidRPr="086C6821">
        <w:rPr>
          <w:i/>
        </w:rPr>
        <w:t>Nominales</w:t>
      </w:r>
      <w:r w:rsidRPr="00273106">
        <w:t xml:space="preserve">. </w:t>
      </w:r>
      <w:r>
        <w:t xml:space="preserve">Infinitezimální </w:t>
      </w:r>
      <w:r w:rsidRPr="00273106">
        <w:t>způso</w:t>
      </w:r>
      <w:r w:rsidR="00FC0F5B">
        <w:t xml:space="preserve">b determinace potvrzuje </w:t>
      </w:r>
      <w:r w:rsidR="00552D35">
        <w:t xml:space="preserve">moderní </w:t>
      </w:r>
      <w:r w:rsidRPr="00273106">
        <w:t>vidění světa ustavené Gilbertem a jeho následovníky</w:t>
      </w:r>
      <w:r w:rsidRPr="00273106">
        <w:rPr>
          <w:rStyle w:val="st"/>
          <w:bCs/>
        </w:rPr>
        <w:t xml:space="preserve">. </w:t>
      </w:r>
      <w:r w:rsidRPr="00273106">
        <w:t>Individuum nakonec splývá s číslem v rámci hypostatické univocity</w:t>
      </w:r>
      <w:r w:rsidR="008A7AD5">
        <w:t xml:space="preserve">. Formálně viděno, </w:t>
      </w:r>
      <w:r w:rsidRPr="00273106">
        <w:t>oba prvky představují poslední člen specifického dělení reality</w:t>
      </w:r>
      <w:r w:rsidR="00EB4045">
        <w:fldChar w:fldCharType="begin"/>
      </w:r>
      <w:r w:rsidR="00EB4045">
        <w:instrText xml:space="preserve"> XE "substance:individuum" </w:instrText>
      </w:r>
      <w:r w:rsidR="00EB4045">
        <w:fldChar w:fldCharType="end"/>
      </w:r>
      <w:r w:rsidRPr="00273106">
        <w:t>.</w:t>
      </w:r>
      <w:r w:rsidRPr="00273106">
        <w:rPr>
          <w:rStyle w:val="Znakapoznpodarou"/>
        </w:rPr>
        <w:footnoteReference w:id="74"/>
      </w:r>
      <w:r>
        <w:t xml:space="preserve"> </w:t>
      </w:r>
      <w:r w:rsidR="00967A0A">
        <w:t xml:space="preserve">Porretáni změnili univerzálie typu </w:t>
      </w:r>
      <w:r w:rsidR="004B4D52" w:rsidRPr="00C509AC">
        <w:rPr>
          <w:i/>
        </w:rPr>
        <w:t>species</w:t>
      </w:r>
      <w:r w:rsidR="006F3FD5" w:rsidRPr="00273106">
        <w:rPr>
          <w:i/>
        </w:rPr>
        <w:t xml:space="preserve"> specialissima</w:t>
      </w:r>
      <w:r w:rsidR="006F3FD5" w:rsidRPr="00273106">
        <w:t xml:space="preserve"> na nové </w:t>
      </w:r>
      <w:r w:rsidR="006F3FD5">
        <w:t>individuum, které dostalo status</w:t>
      </w:r>
      <w:r w:rsidR="006F3FD5" w:rsidRPr="00273106">
        <w:t xml:space="preserve"> jsoucna třetího druhu. </w:t>
      </w:r>
      <w:r w:rsidR="082B58EF">
        <w:t>Individua daná vlast</w:t>
      </w:r>
      <w:r w:rsidR="08FF557A">
        <w:t xml:space="preserve">ními jmény </w:t>
      </w:r>
      <w:r w:rsidR="007820ED" w:rsidRPr="00273106">
        <w:t xml:space="preserve">mají </w:t>
      </w:r>
      <w:r w:rsidR="08FF557A">
        <w:t xml:space="preserve">navíc </w:t>
      </w:r>
      <w:r w:rsidR="007820ED" w:rsidRPr="00273106">
        <w:t>svou vlastní formu obecnosti, protože jsou urč</w:t>
      </w:r>
      <w:r w:rsidR="08CC2B07">
        <w:t>ena univerzální rozsažností. T</w:t>
      </w:r>
      <w:r w:rsidR="007820ED" w:rsidRPr="00273106">
        <w:t xml:space="preserve">ím jsou </w:t>
      </w:r>
      <w:r w:rsidR="008A7AD5">
        <w:t>substance–</w:t>
      </w:r>
      <w:r w:rsidR="08CC2B07">
        <w:t>individua univočně napojeny</w:t>
      </w:r>
      <w:r w:rsidR="007820ED" w:rsidRPr="00273106">
        <w:t xml:space="preserve"> na první rovinu obecnosti </w:t>
      </w:r>
      <w:r w:rsidR="08CC2B07">
        <w:t xml:space="preserve">určenou </w:t>
      </w:r>
      <w:r w:rsidR="007820ED" w:rsidRPr="00273106">
        <w:t>v rámci s</w:t>
      </w:r>
      <w:r w:rsidR="00552D35">
        <w:t xml:space="preserve">ignifikace </w:t>
      </w:r>
      <w:r w:rsidR="004B4D52" w:rsidRPr="00C509AC">
        <w:rPr>
          <w:i/>
        </w:rPr>
        <w:t>species</w:t>
      </w:r>
      <w:r w:rsidR="007820ED" w:rsidRPr="00273106">
        <w:rPr>
          <w:i/>
        </w:rPr>
        <w:t xml:space="preserve"> specialissima</w:t>
      </w:r>
      <w:r w:rsidR="007820ED" w:rsidRPr="00273106">
        <w:t>.</w:t>
      </w:r>
      <w:r w:rsidR="00552D35">
        <w:t xml:space="preserve"> </w:t>
      </w:r>
      <w:r w:rsidR="00790C65" w:rsidRPr="00273106">
        <w:t>Za p</w:t>
      </w:r>
      <w:r w:rsidR="007820ED" w:rsidRPr="00273106">
        <w:t xml:space="preserve">osledním </w:t>
      </w:r>
      <w:r w:rsidR="006A04C6" w:rsidRPr="006A04C6">
        <w:t>species</w:t>
      </w:r>
      <w:r w:rsidR="007820ED" w:rsidRPr="00273106">
        <w:t xml:space="preserve"> již následuje</w:t>
      </w:r>
      <w:r w:rsidR="00790C65" w:rsidRPr="00273106">
        <w:t xml:space="preserve"> pouze </w:t>
      </w:r>
      <w:r w:rsidR="00892B14">
        <w:t>individuum definované</w:t>
      </w:r>
      <w:r w:rsidR="00790C65" w:rsidRPr="00273106">
        <w:t xml:space="preserve"> hypostázovanou materií a rozsažností jako nových forem </w:t>
      </w:r>
      <w:r w:rsidR="00790C65" w:rsidRPr="00273106">
        <w:rPr>
          <w:i/>
        </w:rPr>
        <w:t>tertium ens</w:t>
      </w:r>
      <w:r w:rsidR="00790C65" w:rsidRPr="00273106">
        <w:t>. Až p</w:t>
      </w:r>
      <w:r w:rsidR="00260D3D" w:rsidRPr="00273106">
        <w:t xml:space="preserve">o </w:t>
      </w:r>
      <w:r w:rsidR="006068D3" w:rsidRPr="00273106">
        <w:t xml:space="preserve">tomto univerzálním </w:t>
      </w:r>
      <w:r w:rsidR="00790C65" w:rsidRPr="00273106">
        <w:t>dělení zakládají</w:t>
      </w:r>
      <w:r w:rsidR="007820ED" w:rsidRPr="00273106">
        <w:t>cí</w:t>
      </w:r>
      <w:r w:rsidR="00790C65" w:rsidRPr="00273106">
        <w:t xml:space="preserve">m moderní individuum </w:t>
      </w:r>
      <w:r w:rsidR="0058500E" w:rsidRPr="00273106">
        <w:t>následuje singulární bytí mater</w:t>
      </w:r>
      <w:r w:rsidR="009B4C3B" w:rsidRPr="00273106">
        <w:t>i</w:t>
      </w:r>
      <w:r w:rsidR="0058500E" w:rsidRPr="00273106">
        <w:t>ální jednotliviny jako první substance</w:t>
      </w:r>
      <w:r w:rsidR="008F76DA" w:rsidRPr="00273106">
        <w:t xml:space="preserve"> dané v realitě</w:t>
      </w:r>
      <w:r w:rsidR="0058500E" w:rsidRPr="00273106">
        <w:t>.</w:t>
      </w:r>
      <w:r w:rsidR="00005A31" w:rsidRPr="00273106">
        <w:t xml:space="preserve"> </w:t>
      </w:r>
      <w:r w:rsidR="006F3FD5" w:rsidRPr="00273106">
        <w:t xml:space="preserve">Škola </w:t>
      </w:r>
      <w:r w:rsidR="006F3FD5" w:rsidRPr="00273106">
        <w:rPr>
          <w:i/>
        </w:rPr>
        <w:t>Nominales</w:t>
      </w:r>
      <w:r w:rsidR="006F3FD5">
        <w:t xml:space="preserve"> a porretáni rozšířili neoplato</w:t>
      </w:r>
      <w:r w:rsidR="006F3FD5" w:rsidRPr="00273106">
        <w:t>nský statut tě</w:t>
      </w:r>
      <w:r w:rsidR="006F3FD5">
        <w:t>lesa a materie</w:t>
      </w:r>
      <w:r w:rsidR="006F3FD5" w:rsidRPr="00273106">
        <w:t xml:space="preserve">. </w:t>
      </w:r>
      <w:r w:rsidR="00373C33" w:rsidRPr="00273106">
        <w:t>Aristotelovo určení konkrétní jednotliviny jako „toto zde“ (τόδε τι</w:t>
      </w:r>
      <w:r w:rsidR="00500B31">
        <w:fldChar w:fldCharType="begin"/>
      </w:r>
      <w:r w:rsidR="00500B31">
        <w:instrText xml:space="preserve"> XE "</w:instrText>
      </w:r>
      <w:r w:rsidR="00500B31" w:rsidRPr="00E373E1">
        <w:instrText>substance:τόδε τι</w:instrText>
      </w:r>
      <w:r w:rsidR="00500B31">
        <w:instrText xml:space="preserve">" </w:instrText>
      </w:r>
      <w:r w:rsidR="00500B31">
        <w:fldChar w:fldCharType="end"/>
      </w:r>
      <w:r w:rsidR="00373C33" w:rsidRPr="00273106">
        <w:t xml:space="preserve">) poprvé změnilo charakter u Simplikia a </w:t>
      </w:r>
      <w:r w:rsidR="08194E22">
        <w:t xml:space="preserve">později </w:t>
      </w:r>
      <w:r w:rsidR="00373C33" w:rsidRPr="00273106">
        <w:t xml:space="preserve">v prostředí logických škol 12. století. </w:t>
      </w:r>
      <w:r w:rsidR="00FA35E1" w:rsidRPr="00273106">
        <w:t xml:space="preserve">Vývoj směrem ke specifické diferenci jako poslednímu </w:t>
      </w:r>
      <w:r w:rsidR="00FA35E1" w:rsidRPr="00273106">
        <w:lastRenderedPageBreak/>
        <w:t>zdroji významu každé jednotliviny byl potvrzen primátem matematiky, která založila vítězství homonymie</w:t>
      </w:r>
      <w:r w:rsidR="00447BAB">
        <w:fldChar w:fldCharType="begin"/>
      </w:r>
      <w:r w:rsidR="00447BAB">
        <w:instrText xml:space="preserve"> XE "</w:instrText>
      </w:r>
      <w:r w:rsidR="00447BAB" w:rsidRPr="006524F7">
        <w:instrText>homonymie</w:instrText>
      </w:r>
      <w:r w:rsidR="00447BAB">
        <w:instrText xml:space="preserve">" </w:instrText>
      </w:r>
      <w:r w:rsidR="00447BAB">
        <w:fldChar w:fldCharType="end"/>
      </w:r>
      <w:r w:rsidR="00FA35E1" w:rsidRPr="00273106">
        <w:t xml:space="preserve">. </w:t>
      </w:r>
      <w:r w:rsidR="003E76A8" w:rsidRPr="00273106">
        <w:t>Matematická abstrakce</w:t>
      </w:r>
      <w:r w:rsidR="00EB4045">
        <w:fldChar w:fldCharType="begin"/>
      </w:r>
      <w:r w:rsidR="00EB4045">
        <w:instrText xml:space="preserve"> XE "</w:instrText>
      </w:r>
      <w:r w:rsidR="00EB4045" w:rsidRPr="009B3D7D">
        <w:instrText>abstrakce:matematická</w:instrText>
      </w:r>
      <w:r w:rsidR="00EB4045">
        <w:instrText xml:space="preserve">" </w:instrText>
      </w:r>
      <w:r w:rsidR="00EB4045">
        <w:fldChar w:fldCharType="end"/>
      </w:r>
      <w:r w:rsidR="003E76A8" w:rsidRPr="00273106">
        <w:t xml:space="preserve"> </w:t>
      </w:r>
      <w:r w:rsidR="0059655C" w:rsidRPr="00273106">
        <w:t xml:space="preserve">v modu </w:t>
      </w:r>
      <w:r w:rsidR="003E76A8" w:rsidRPr="00273106">
        <w:t xml:space="preserve">predikace </w:t>
      </w:r>
      <w:r w:rsidR="0059655C" w:rsidRPr="00273106">
        <w:rPr>
          <w:i/>
        </w:rPr>
        <w:t>magis</w:t>
      </w:r>
      <w:r w:rsidR="08006629">
        <w:t xml:space="preserve"> a </w:t>
      </w:r>
      <w:r w:rsidR="0059655C" w:rsidRPr="00273106">
        <w:rPr>
          <w:i/>
        </w:rPr>
        <w:t>minus</w:t>
      </w:r>
      <w:r w:rsidR="00D95356" w:rsidRPr="00273106">
        <w:t xml:space="preserve"> </w:t>
      </w:r>
      <w:r w:rsidR="003E76A8" w:rsidRPr="00273106">
        <w:t xml:space="preserve">dala </w:t>
      </w:r>
      <w:r w:rsidR="00D95356" w:rsidRPr="00273106">
        <w:t xml:space="preserve">hypostázované entity porretánů </w:t>
      </w:r>
      <w:r w:rsidR="006464B7">
        <w:t xml:space="preserve">do nového systému </w:t>
      </w:r>
      <w:r w:rsidR="003E76A8" w:rsidRPr="00273106">
        <w:t>diskrétní</w:t>
      </w:r>
      <w:r w:rsidR="006464B7">
        <w:t xml:space="preserve">ho vidění </w:t>
      </w:r>
      <w:r w:rsidR="003E76A8" w:rsidRPr="00273106">
        <w:t>reality</w:t>
      </w:r>
      <w:r w:rsidR="00C035BC">
        <w:t xml:space="preserve">. Myšlení </w:t>
      </w:r>
      <w:r w:rsidR="00550B21" w:rsidRPr="00273106">
        <w:t xml:space="preserve">může nastupovat a vystupovat v procesu matematického dělení nové reality, kde chce a jak chce, protože </w:t>
      </w:r>
      <w:r w:rsidR="08006629">
        <w:t>logická abstrakce nepotřebuje hy</w:t>
      </w:r>
      <w:r w:rsidR="00550B21" w:rsidRPr="00273106">
        <w:t xml:space="preserve">parchický statut první substance. </w:t>
      </w:r>
      <w:r w:rsidR="00550B21">
        <w:t>Impozice jde z univerzálie dané v mysli a supozice zahrnuje i první substanci</w:t>
      </w:r>
      <w:r w:rsidR="08FE330F">
        <w:t xml:space="preserve"> chápanou jako jsoucno třetího druhu</w:t>
      </w:r>
      <w:r w:rsidR="00550B21">
        <w:t xml:space="preserve">. </w:t>
      </w:r>
      <w:r w:rsidR="08421AA4">
        <w:t xml:space="preserve">Neexistující </w:t>
      </w:r>
      <w:r w:rsidR="08421AA4" w:rsidRPr="00273106">
        <w:t xml:space="preserve">hypostáze </w:t>
      </w:r>
      <w:r w:rsidR="08421AA4">
        <w:t xml:space="preserve">daná pouze nominálně vytváří </w:t>
      </w:r>
      <w:r w:rsidR="08421AA4" w:rsidRPr="00273106">
        <w:t xml:space="preserve">moderní individuum </w:t>
      </w:r>
      <w:r w:rsidR="08421AA4">
        <w:t xml:space="preserve">a </w:t>
      </w:r>
      <w:r w:rsidR="08421AA4" w:rsidRPr="00273106">
        <w:t xml:space="preserve">nahradila </w:t>
      </w:r>
      <w:r w:rsidR="08421AA4">
        <w:t>a</w:t>
      </w:r>
      <w:r w:rsidR="00550B21" w:rsidRPr="00273106">
        <w:t xml:space="preserve">ristotelskou kategoriální </w:t>
      </w:r>
      <w:r w:rsidR="08421AA4">
        <w:t xml:space="preserve">predikaci </w:t>
      </w:r>
      <w:r w:rsidR="00550B21" w:rsidRPr="00273106">
        <w:t xml:space="preserve">determinovanou směrem od </w:t>
      </w:r>
      <w:r w:rsidR="08DB0530">
        <w:t xml:space="preserve">hyparchické </w:t>
      </w:r>
      <w:r w:rsidR="00550B21" w:rsidRPr="00273106">
        <w:t xml:space="preserve">první substance. </w:t>
      </w:r>
      <w:r w:rsidR="00E33402">
        <w:t xml:space="preserve">Hierachie objektivovaných forem se predikuje v modu </w:t>
      </w:r>
      <w:r w:rsidR="00E33402" w:rsidRPr="08F8684F">
        <w:rPr>
          <w:i/>
        </w:rPr>
        <w:t>magis</w:t>
      </w:r>
      <w:r w:rsidR="00E33402">
        <w:t>‒</w:t>
      </w:r>
      <w:r w:rsidR="00E33402">
        <w:rPr>
          <w:i/>
        </w:rPr>
        <w:t>minus</w:t>
      </w:r>
      <w:r w:rsidR="00E33402">
        <w:t xml:space="preserve"> podle neoplatónské </w:t>
      </w:r>
      <w:r w:rsidR="00E33402" w:rsidRPr="00273106">
        <w:rPr>
          <w:i/>
        </w:rPr>
        <w:t>Liber de causis</w:t>
      </w:r>
      <w:r w:rsidR="00E33402">
        <w:rPr>
          <w:i/>
        </w:rPr>
        <w:fldChar w:fldCharType="begin"/>
      </w:r>
      <w:r w:rsidR="00E33402">
        <w:instrText xml:space="preserve"> XE "</w:instrText>
      </w:r>
      <w:r w:rsidR="00E33402" w:rsidRPr="00C46BD8">
        <w:rPr>
          <w:i/>
        </w:rPr>
        <w:instrText>Liber de causis</w:instrText>
      </w:r>
      <w:r w:rsidR="00E33402">
        <w:instrText xml:space="preserve">" </w:instrText>
      </w:r>
      <w:r w:rsidR="00E33402">
        <w:rPr>
          <w:i/>
        </w:rPr>
        <w:fldChar w:fldCharType="end"/>
      </w:r>
      <w:r w:rsidR="00E33402" w:rsidRPr="00273106">
        <w:t xml:space="preserve">. </w:t>
      </w:r>
      <w:r w:rsidR="00550B21" w:rsidRPr="00273106">
        <w:t xml:space="preserve">Škola </w:t>
      </w:r>
      <w:r w:rsidR="00550B21" w:rsidRPr="00273106">
        <w:rPr>
          <w:i/>
        </w:rPr>
        <w:t>Nominales</w:t>
      </w:r>
      <w:r w:rsidR="00550B21" w:rsidRPr="00273106">
        <w:t xml:space="preserve"> upravila mystický Jakubův žebřík</w:t>
      </w:r>
      <w:r w:rsidR="006D1320">
        <w:fldChar w:fldCharType="begin"/>
      </w:r>
      <w:r w:rsidR="006D1320">
        <w:instrText xml:space="preserve"> XE "</w:instrText>
      </w:r>
      <w:r w:rsidR="006D1320" w:rsidRPr="00196C6E">
        <w:instrText>Jakubův žebřík</w:instrText>
      </w:r>
      <w:r w:rsidR="006D1320">
        <w:instrText xml:space="preserve">" </w:instrText>
      </w:r>
      <w:r w:rsidR="006D1320">
        <w:fldChar w:fldCharType="end"/>
      </w:r>
      <w:r w:rsidR="00550B21" w:rsidRPr="00273106">
        <w:t xml:space="preserve"> </w:t>
      </w:r>
      <w:r w:rsidR="08A555AE">
        <w:t>umožňují</w:t>
      </w:r>
      <w:r w:rsidR="08B429D8">
        <w:t>c</w:t>
      </w:r>
      <w:r w:rsidR="08A555AE">
        <w:t xml:space="preserve">í sestup a výstup do světa jsoucen třetího druhu. </w:t>
      </w:r>
      <w:r w:rsidR="00550B21" w:rsidRPr="00273106">
        <w:t xml:space="preserve">Mystickou podobu tohoto žebříku předloží františkán Bonaventura v díle </w:t>
      </w:r>
      <w:r w:rsidR="00550B21" w:rsidRPr="00273106">
        <w:rPr>
          <w:rStyle w:val="st"/>
          <w:i/>
        </w:rPr>
        <w:t>De reductione artium ad theologiam</w:t>
      </w:r>
      <w:r w:rsidR="00550B21" w:rsidRPr="00273106">
        <w:rPr>
          <w:rStyle w:val="st"/>
        </w:rPr>
        <w:t xml:space="preserve"> (asi 1256) a zejména ve známém spise </w:t>
      </w:r>
      <w:r w:rsidR="00550B21" w:rsidRPr="00273106">
        <w:rPr>
          <w:i/>
        </w:rPr>
        <w:t>Itinerarium mentis in Deum</w:t>
      </w:r>
      <w:r w:rsidR="00550B21" w:rsidRPr="00273106">
        <w:t xml:space="preserve"> (1259)</w:t>
      </w:r>
      <w:r w:rsidR="00550B21" w:rsidRPr="00273106">
        <w:rPr>
          <w:rStyle w:val="st"/>
        </w:rPr>
        <w:t xml:space="preserve">, </w:t>
      </w:r>
      <w:r w:rsidR="00550B21" w:rsidRPr="00273106">
        <w:t>který představuje první systém objekt</w:t>
      </w:r>
      <w:r w:rsidR="08B33D13">
        <w:t>ivní ontoteologie Západu (</w:t>
      </w:r>
      <w:r w:rsidR="085F6FB7">
        <w:t xml:space="preserve">OBJ III, </w:t>
      </w:r>
      <w:r w:rsidR="08B33D13">
        <w:t>kap. 4</w:t>
      </w:r>
      <w:r w:rsidR="00550B21" w:rsidRPr="00273106">
        <w:t xml:space="preserve">.1.2). </w:t>
      </w:r>
      <w:r w:rsidR="00A616E7">
        <w:t>Není divu, že ve stejné době Akvinský píše novou inte</w:t>
      </w:r>
      <w:r w:rsidR="00FC1370">
        <w:t>r</w:t>
      </w:r>
      <w:r w:rsidR="00A616E7">
        <w:t xml:space="preserve">pretaci </w:t>
      </w:r>
      <w:r w:rsidR="00A616E7" w:rsidRPr="00A616E7">
        <w:rPr>
          <w:i/>
        </w:rPr>
        <w:t>De hebdomadibus</w:t>
      </w:r>
      <w:r w:rsidR="00A616E7">
        <w:t xml:space="preserve"> nikoliv podle Gilberta, ale podle Boethia </w:t>
      </w:r>
      <w:r w:rsidR="08B33D13">
        <w:t>(</w:t>
      </w:r>
      <w:r w:rsidR="085F6FB7">
        <w:t xml:space="preserve">OBJ III, </w:t>
      </w:r>
      <w:r w:rsidR="08B33D13">
        <w:t>kap. 4</w:t>
      </w:r>
      <w:r w:rsidR="00A616E7">
        <w:t xml:space="preserve">.5.1). </w:t>
      </w:r>
      <w:r w:rsidR="08E6597F">
        <w:t xml:space="preserve">Představitelé školy prvního averroismu dobře věděli, že první </w:t>
      </w:r>
      <w:r w:rsidR="08E6597F" w:rsidRPr="08E6597F">
        <w:rPr>
          <w:i/>
        </w:rPr>
        <w:t>Irrtum</w:t>
      </w:r>
      <w:r w:rsidR="08E6597F">
        <w:t xml:space="preserve"> moderny vzniklo chybným výkladem tohoto </w:t>
      </w:r>
      <w:r w:rsidR="08D1400E">
        <w:t xml:space="preserve">Boethiova </w:t>
      </w:r>
      <w:r w:rsidR="08E6597F">
        <w:t xml:space="preserve">spisu v škole porretánů. </w:t>
      </w:r>
      <w:r w:rsidR="00550B21" w:rsidRPr="00273106">
        <w:t xml:space="preserve">Proměna matematiky a fyziky směrem k </w:t>
      </w:r>
      <w:r w:rsidR="00550B21" w:rsidRPr="00273106">
        <w:rPr>
          <w:rStyle w:val="st"/>
          <w:bCs/>
        </w:rPr>
        <w:t>infinitezimálnímu počtu, derivaci</w:t>
      </w:r>
      <w:r w:rsidR="00313A2B">
        <w:rPr>
          <w:rStyle w:val="st"/>
          <w:bCs/>
        </w:rPr>
        <w:fldChar w:fldCharType="begin"/>
      </w:r>
      <w:r w:rsidR="00313A2B">
        <w:instrText xml:space="preserve"> XE "</w:instrText>
      </w:r>
      <w:r w:rsidR="00313A2B" w:rsidRPr="00D31AD3">
        <w:rPr>
          <w:rStyle w:val="st"/>
          <w:bCs/>
        </w:rPr>
        <w:instrText>derivace</w:instrText>
      </w:r>
      <w:r w:rsidR="00313A2B">
        <w:instrText xml:space="preserve">" </w:instrText>
      </w:r>
      <w:r w:rsidR="00313A2B">
        <w:rPr>
          <w:rStyle w:val="st"/>
          <w:bCs/>
        </w:rPr>
        <w:fldChar w:fldCharType="end"/>
      </w:r>
      <w:r w:rsidR="00550B21" w:rsidRPr="00273106">
        <w:rPr>
          <w:rStyle w:val="st"/>
          <w:bCs/>
        </w:rPr>
        <w:t xml:space="preserve"> a integraci</w:t>
      </w:r>
      <w:r w:rsidR="00313A2B">
        <w:rPr>
          <w:rStyle w:val="st"/>
          <w:bCs/>
        </w:rPr>
        <w:fldChar w:fldCharType="begin"/>
      </w:r>
      <w:r w:rsidR="00313A2B">
        <w:instrText xml:space="preserve"> XE "</w:instrText>
      </w:r>
      <w:r w:rsidR="00313A2B" w:rsidRPr="00D31AD3">
        <w:rPr>
          <w:rStyle w:val="st"/>
          <w:bCs/>
        </w:rPr>
        <w:instrText>integrace</w:instrText>
      </w:r>
      <w:r w:rsidR="00313A2B">
        <w:instrText xml:space="preserve">" </w:instrText>
      </w:r>
      <w:r w:rsidR="00313A2B">
        <w:rPr>
          <w:rStyle w:val="st"/>
          <w:bCs/>
        </w:rPr>
        <w:fldChar w:fldCharType="end"/>
      </w:r>
      <w:r w:rsidR="00550B21" w:rsidRPr="00273106">
        <w:rPr>
          <w:rStyle w:val="st"/>
          <w:bCs/>
        </w:rPr>
        <w:t xml:space="preserve"> </w:t>
      </w:r>
      <w:r w:rsidR="00550B21" w:rsidRPr="00273106">
        <w:t>dokonala vývoj diferenciace zahájený neoplatoniky ve druhé polovině 12. století. Dokáže simulovat kauzalitu fyzi</w:t>
      </w:r>
      <w:r w:rsidR="00711963">
        <w:t>kálního světa tak, že už reálný svět vůbec nepotřebujeme, a dokonce ho</w:t>
      </w:r>
      <w:r w:rsidR="00550B21" w:rsidRPr="00273106">
        <w:t xml:space="preserve"> považujeme za zbytečnou přítěž teoretických modelů. </w:t>
      </w:r>
      <w:r w:rsidR="00843486">
        <w:t xml:space="preserve">Matematika představuje objektivní </w:t>
      </w:r>
      <w:r w:rsidR="000A110A" w:rsidRPr="00273106">
        <w:t xml:space="preserve">žebřík </w:t>
      </w:r>
      <w:r w:rsidR="08EE24C1">
        <w:fldChar w:fldCharType="begin"/>
      </w:r>
      <w:r w:rsidR="08EE24C1">
        <w:instrText xml:space="preserve"> XE "</w:instrText>
      </w:r>
      <w:r w:rsidR="08EE24C1" w:rsidRPr="08DA5F95">
        <w:instrText>Jakubův žebřík</w:instrText>
      </w:r>
      <w:r w:rsidR="08EE24C1">
        <w:instrText xml:space="preserve">" </w:instrText>
      </w:r>
      <w:r w:rsidR="08EE24C1">
        <w:fldChar w:fldCharType="end"/>
      </w:r>
      <w:r w:rsidR="000A110A" w:rsidRPr="00273106">
        <w:t xml:space="preserve">postmoderny, která v epoše nihilismu završila </w:t>
      </w:r>
      <w:r w:rsidR="00843486">
        <w:t xml:space="preserve">mystickou </w:t>
      </w:r>
      <w:r w:rsidR="000A110A" w:rsidRPr="00273106">
        <w:t>vizi Ireneje z Lyonu o Duchu svatém jako síle umožňující výstup člověka k bohu (</w:t>
      </w:r>
      <w:r w:rsidR="000A110A" w:rsidRPr="00273106">
        <w:rPr>
          <w:rStyle w:val="reference-text"/>
          <w:i/>
          <w:iCs/>
        </w:rPr>
        <w:t xml:space="preserve">Adversus haereses </w:t>
      </w:r>
      <w:r w:rsidR="000A110A" w:rsidRPr="00273106">
        <w:rPr>
          <w:rStyle w:val="reference-text"/>
        </w:rPr>
        <w:t>III.24.1</w:t>
      </w:r>
      <w:r w:rsidR="08F90FF2">
        <w:t xml:space="preserve">). </w:t>
      </w:r>
      <w:r w:rsidR="004A32E6">
        <w:t xml:space="preserve">Od konce 12. století začíná výstup moderního individua (a ne reálné osoby) k modernímu bohu. </w:t>
      </w:r>
      <w:r w:rsidR="08F90FF2">
        <w:t xml:space="preserve">Matematika zajistila </w:t>
      </w:r>
      <w:r w:rsidR="00D17830" w:rsidRPr="00273106">
        <w:t xml:space="preserve">přechod do čistého světa ducha </w:t>
      </w:r>
      <w:r w:rsidR="08F90FF2">
        <w:t xml:space="preserve">koncipovaného </w:t>
      </w:r>
      <w:r w:rsidR="00D17830" w:rsidRPr="00273106">
        <w:t xml:space="preserve">podle </w:t>
      </w:r>
      <w:r w:rsidR="00654C5C">
        <w:t>neoplato</w:t>
      </w:r>
      <w:r w:rsidR="000A110A" w:rsidRPr="00273106">
        <w:t>nských mystiků v židovství, křesťanství a islámu</w:t>
      </w:r>
      <w:r w:rsidR="00F24C27">
        <w:fldChar w:fldCharType="begin"/>
      </w:r>
      <w:r w:rsidR="00F24C27">
        <w:instrText xml:space="preserve"> XE "</w:instrText>
      </w:r>
      <w:r w:rsidR="00F24C27" w:rsidRPr="00CA1ABF">
        <w:instrText>islám</w:instrText>
      </w:r>
      <w:r w:rsidR="00F24C27">
        <w:instrText xml:space="preserve">" </w:instrText>
      </w:r>
      <w:r w:rsidR="00F24C27">
        <w:fldChar w:fldCharType="end"/>
      </w:r>
      <w:r w:rsidR="000A110A" w:rsidRPr="00273106">
        <w:t>.</w:t>
      </w:r>
      <w:r w:rsidR="083D07C3">
        <w:t xml:space="preserve"> Tuto novou formu </w:t>
      </w:r>
      <w:r w:rsidR="082361A1">
        <w:t>objek</w:t>
      </w:r>
      <w:r w:rsidR="08912240">
        <w:t>tiv</w:t>
      </w:r>
      <w:r w:rsidR="082361A1">
        <w:t>i</w:t>
      </w:r>
      <w:r w:rsidR="08912240">
        <w:t xml:space="preserve">ty jako účinné instrumentální racionality Západu založili v letech 1230‒35 </w:t>
      </w:r>
      <w:r w:rsidR="083D07C3">
        <w:t>osvícení</w:t>
      </w:r>
      <w:r w:rsidR="083D07C3" w:rsidRPr="00273106">
        <w:t xml:space="preserve"> </w:t>
      </w:r>
      <w:r w:rsidR="08912240">
        <w:t xml:space="preserve">akademičtí </w:t>
      </w:r>
      <w:r w:rsidR="083D07C3" w:rsidRPr="00273106">
        <w:rPr>
          <w:i/>
        </w:rPr>
        <w:t>spirituales</w:t>
      </w:r>
      <w:r w:rsidR="083D07C3" w:rsidRPr="00273106">
        <w:t xml:space="preserve"> </w:t>
      </w:r>
      <w:r w:rsidR="008D5298">
        <w:t xml:space="preserve">z františkánského řádu </w:t>
      </w:r>
      <w:r w:rsidR="083D07C3" w:rsidRPr="00273106">
        <w:t xml:space="preserve">působící </w:t>
      </w:r>
      <w:r w:rsidR="0027680D">
        <w:t>v porretány ovládané Oxfordské universitě</w:t>
      </w:r>
      <w:r w:rsidR="08912240">
        <w:t xml:space="preserve">. Zdejší františkáni </w:t>
      </w:r>
      <w:r w:rsidR="08303D92">
        <w:t>z </w:t>
      </w:r>
      <w:r w:rsidR="08770B88">
        <w:t>Grossete</w:t>
      </w:r>
      <w:r w:rsidR="08303D92">
        <w:t>s</w:t>
      </w:r>
      <w:r w:rsidR="08770B88">
        <w:t>t</w:t>
      </w:r>
      <w:r w:rsidR="08303D92">
        <w:t xml:space="preserve">eho školy </w:t>
      </w:r>
      <w:r w:rsidR="08912240">
        <w:t xml:space="preserve">pod vedením charismatického </w:t>
      </w:r>
      <w:r w:rsidR="08303D92">
        <w:t xml:space="preserve">intelektuála </w:t>
      </w:r>
      <w:r w:rsidR="08912240">
        <w:t xml:space="preserve">Rufuse </w:t>
      </w:r>
      <w:r w:rsidR="083D07C3" w:rsidRPr="00273106">
        <w:t>koncip</w:t>
      </w:r>
      <w:r w:rsidR="083D07C3">
        <w:t xml:space="preserve">ovali </w:t>
      </w:r>
      <w:r w:rsidR="083D07C3" w:rsidRPr="00273106">
        <w:t xml:space="preserve">moderní verzi </w:t>
      </w:r>
      <w:r w:rsidR="083D07C3" w:rsidRPr="00273106">
        <w:rPr>
          <w:i/>
          <w:iCs/>
        </w:rPr>
        <w:t>intelligentia spiritualis</w:t>
      </w:r>
      <w:r w:rsidR="083D07C3">
        <w:rPr>
          <w:i/>
          <w:iCs/>
        </w:rPr>
        <w:fldChar w:fldCharType="begin"/>
      </w:r>
      <w:r w:rsidR="083D07C3">
        <w:instrText xml:space="preserve"> XE </w:instrText>
      </w:r>
      <w:r w:rsidR="083D07C3">
        <w:lastRenderedPageBreak/>
        <w:instrText>"</w:instrText>
      </w:r>
      <w:r w:rsidR="083D07C3" w:rsidRPr="005E5011">
        <w:rPr>
          <w:i/>
          <w:iCs/>
        </w:rPr>
        <w:instrText>intelligentia spiritualis</w:instrText>
      </w:r>
      <w:r w:rsidR="083D07C3">
        <w:instrText xml:space="preserve">" </w:instrText>
      </w:r>
      <w:r w:rsidR="083D07C3">
        <w:rPr>
          <w:i/>
          <w:iCs/>
        </w:rPr>
        <w:fldChar w:fldCharType="end"/>
      </w:r>
      <w:r w:rsidR="083D07C3" w:rsidRPr="00273106">
        <w:rPr>
          <w:iCs/>
        </w:rPr>
        <w:t xml:space="preserve">, která měla vést třetí etapu dějin </w:t>
      </w:r>
      <w:r w:rsidR="083D07C3">
        <w:rPr>
          <w:iCs/>
        </w:rPr>
        <w:t xml:space="preserve">lidstva pod vládou Ducha svatého, jako to postulovala vize Joachima von </w:t>
      </w:r>
      <w:r w:rsidR="083D07C3" w:rsidRPr="00273106">
        <w:t xml:space="preserve">Fioreho </w:t>
      </w:r>
      <w:r w:rsidR="08DE6CFE">
        <w:t>(kap. 3</w:t>
      </w:r>
      <w:r w:rsidR="083D07C3">
        <w:t xml:space="preserve">.1.2). </w:t>
      </w:r>
      <w:r w:rsidR="083D07C3" w:rsidRPr="00273106">
        <w:t xml:space="preserve"> </w:t>
      </w:r>
      <w:r w:rsidR="082361A1" w:rsidRPr="00273106">
        <w:t xml:space="preserve">Latinský Západ inspirovaný Avicennou a </w:t>
      </w:r>
      <w:r w:rsidR="082361A1">
        <w:t>neoplatonsk</w:t>
      </w:r>
      <w:r w:rsidR="082361A1" w:rsidRPr="00273106">
        <w:t>ou falsafou koncipoval další formu abstraktní fyziky</w:t>
      </w:r>
      <w:r w:rsidR="082361A1">
        <w:t xml:space="preserve">, která </w:t>
      </w:r>
      <w:r w:rsidR="00F94F06">
        <w:t>nahradila filosofickou</w:t>
      </w:r>
      <w:r w:rsidR="082361A1">
        <w:t xml:space="preserve"> pohád</w:t>
      </w:r>
      <w:r w:rsidR="00F94F06">
        <w:t xml:space="preserve">ku </w:t>
      </w:r>
      <w:r w:rsidR="082361A1">
        <w:t xml:space="preserve">dialogu </w:t>
      </w:r>
      <w:r w:rsidR="082361A1" w:rsidRPr="084A1753">
        <w:rPr>
          <w:i/>
        </w:rPr>
        <w:t>Timaios</w:t>
      </w:r>
      <w:r w:rsidR="082361A1">
        <w:t xml:space="preserve">, z níž neoplatonikové udělali první formu západní objektivity. Její nová forma </w:t>
      </w:r>
      <w:r w:rsidR="082361A1" w:rsidRPr="00273106">
        <w:t xml:space="preserve">se zakládá na matematické abstrakci predikující hypostázovanou extenzi a materii směrem k diskrétně určenému tělesu třetího druhu, které je definováno mimo hyparchickou existenci první substance. </w:t>
      </w:r>
      <w:r w:rsidR="082361A1">
        <w:t xml:space="preserve">Toto sofistické simulákrum buď </w:t>
      </w:r>
      <w:r w:rsidR="006C4063">
        <w:t xml:space="preserve">modernisté </w:t>
      </w:r>
      <w:r w:rsidR="082361A1">
        <w:t>dělí derivací</w:t>
      </w:r>
      <w:r w:rsidR="082361A1">
        <w:fldChar w:fldCharType="begin"/>
      </w:r>
      <w:r w:rsidR="082361A1">
        <w:instrText xml:space="preserve"> XE "derivace" </w:instrText>
      </w:r>
      <w:r w:rsidR="082361A1">
        <w:fldChar w:fldCharType="end"/>
      </w:r>
      <w:r w:rsidR="082361A1">
        <w:t>, nebo naopak</w:t>
      </w:r>
      <w:r w:rsidR="006C4063">
        <w:t xml:space="preserve"> skládají skrze integraci</w:t>
      </w:r>
      <w:r w:rsidR="082361A1">
        <w:fldChar w:fldCharType="begin"/>
      </w:r>
      <w:r w:rsidR="082361A1">
        <w:instrText xml:space="preserve"> XE "integrace" </w:instrText>
      </w:r>
      <w:r w:rsidR="082361A1">
        <w:fldChar w:fldCharType="end"/>
      </w:r>
      <w:r w:rsidR="082361A1">
        <w:t>.</w:t>
      </w:r>
    </w:p>
    <w:p w14:paraId="34E4DF72" w14:textId="35010F09" w:rsidR="08770823" w:rsidRDefault="087C4164" w:rsidP="00F37BDD">
      <w:pPr>
        <w:ind w:firstLine="397"/>
      </w:pPr>
      <w:r w:rsidRPr="00273106">
        <w:t>Existence se stala formálním predikátem</w:t>
      </w:r>
      <w:r>
        <w:t>, což zásadně poznamenalo pojetí pravdy</w:t>
      </w:r>
      <w:r w:rsidRPr="00273106">
        <w:t>.</w:t>
      </w:r>
      <w:r w:rsidRPr="087C4164">
        <w:t xml:space="preserve"> </w:t>
      </w:r>
      <w:r w:rsidRPr="00273106">
        <w:t xml:space="preserve">Scholastikové v linii Gilberta nepotřebují chápat pravdu </w:t>
      </w:r>
      <w:r>
        <w:t xml:space="preserve">jako </w:t>
      </w:r>
      <w:r w:rsidRPr="00273106">
        <w:t>adekvaci mezi reálnou věcí a intelektem, protože znali Anselmovu teorii pravdy</w:t>
      </w:r>
      <w:r w:rsidR="002B1303">
        <w:t xml:space="preserve"> jako </w:t>
      </w:r>
      <w:r w:rsidRPr="00273106">
        <w:rPr>
          <w:i/>
        </w:rPr>
        <w:t>rectitudo</w:t>
      </w:r>
      <w:r>
        <w:rPr>
          <w:i/>
        </w:rPr>
        <w:fldChar w:fldCharType="begin"/>
      </w:r>
      <w:r>
        <w:instrText xml:space="preserve"> XE "pravda:</w:instrText>
      </w:r>
      <w:r w:rsidRPr="003036D9">
        <w:rPr>
          <w:i/>
        </w:rPr>
        <w:instrText>rectitudo</w:instrText>
      </w:r>
      <w:r>
        <w:instrText xml:space="preserve">" </w:instrText>
      </w:r>
      <w:r>
        <w:rPr>
          <w:i/>
        </w:rPr>
        <w:fldChar w:fldCharType="end"/>
      </w:r>
      <w:r w:rsidR="002B1303">
        <w:t xml:space="preserve"> (kap. 1</w:t>
      </w:r>
      <w:r>
        <w:t>.2</w:t>
      </w:r>
      <w:r w:rsidRPr="00273106">
        <w:t xml:space="preserve">). Předešlé kapitoly ukázaly, že reálná věc nemá pro Avicennovu teorii pravdy žádný zvláštní význam. Škola </w:t>
      </w:r>
      <w:r w:rsidRPr="00273106">
        <w:rPr>
          <w:i/>
        </w:rPr>
        <w:t>Nominales</w:t>
      </w:r>
      <w:r w:rsidRPr="00273106">
        <w:t xml:space="preserve"> definovala singulární věc v řádu univerzality</w:t>
      </w:r>
      <w:r w:rsidRPr="00912396">
        <w:t xml:space="preserve"> </w:t>
      </w:r>
      <w:r w:rsidRPr="00273106">
        <w:t>a pojetí pravdy dostalo avicennistický charakter.</w:t>
      </w:r>
      <w:r w:rsidR="08427F7C">
        <w:t xml:space="preserve"> </w:t>
      </w:r>
      <w:r w:rsidR="00C509C5" w:rsidRPr="00273106">
        <w:t xml:space="preserve">Everhardův </w:t>
      </w:r>
      <w:r w:rsidR="001703D4" w:rsidRPr="00273106">
        <w:t xml:space="preserve">dialog uznává </w:t>
      </w:r>
      <w:r w:rsidR="08FE3BD6" w:rsidRPr="00273106">
        <w:t xml:space="preserve">samostatný </w:t>
      </w:r>
      <w:r w:rsidR="001703D4" w:rsidRPr="00273106">
        <w:t>status reality</w:t>
      </w:r>
      <w:r w:rsidR="00F37BDD">
        <w:t>. I</w:t>
      </w:r>
      <w:r w:rsidR="004B3362" w:rsidRPr="00273106">
        <w:t xml:space="preserve">mpozice formálních </w:t>
      </w:r>
      <w:r w:rsidR="000D6B4D" w:rsidRPr="00273106">
        <w:t xml:space="preserve">a diskrétních </w:t>
      </w:r>
      <w:r w:rsidR="004B3362" w:rsidRPr="00273106">
        <w:t>určení</w:t>
      </w:r>
      <w:r w:rsidR="00F37BDD">
        <w:t xml:space="preserve"> netvoří reálné věci</w:t>
      </w:r>
      <w:r w:rsidR="001703D4" w:rsidRPr="00273106">
        <w:t xml:space="preserve"> (</w:t>
      </w:r>
      <w:r w:rsidR="001703D4" w:rsidRPr="00273106">
        <w:rPr>
          <w:i/>
          <w:szCs w:val="24"/>
        </w:rPr>
        <w:t>homo humanitate non facit hominem esse hominem</w:t>
      </w:r>
      <w:r w:rsidR="080772E6" w:rsidRPr="00273106">
        <w:t>;</w:t>
      </w:r>
      <w:r w:rsidR="001703D4" w:rsidRPr="00273106">
        <w:t xml:space="preserve"> </w:t>
      </w:r>
      <w:r w:rsidR="080772E6" w:rsidRPr="00273106">
        <w:t xml:space="preserve">ibid, </w:t>
      </w:r>
      <w:r w:rsidR="001703D4" w:rsidRPr="00273106">
        <w:t>p. 269</w:t>
      </w:r>
      <w:r w:rsidR="00534BB0">
        <w:fldChar w:fldCharType="begin"/>
      </w:r>
      <w:r w:rsidR="00534BB0">
        <w:instrText xml:space="preserve"> XE "</w:instrText>
      </w:r>
      <w:r w:rsidR="00534BB0" w:rsidRPr="00436BF3">
        <w:rPr>
          <w:i/>
        </w:rPr>
        <w:instrText>Dialogus Ratii et Everardi</w:instrText>
      </w:r>
      <w:r w:rsidR="00534BB0">
        <w:instrText xml:space="preserve"> 269" </w:instrText>
      </w:r>
      <w:r w:rsidR="00534BB0">
        <w:fldChar w:fldCharType="end"/>
      </w:r>
      <w:r w:rsidR="001703D4" w:rsidRPr="00273106">
        <w:t xml:space="preserve">). </w:t>
      </w:r>
      <w:r w:rsidR="00EC3C50" w:rsidRPr="00273106">
        <w:t>Přesto a</w:t>
      </w:r>
      <w:r w:rsidR="004B636D" w:rsidRPr="00273106">
        <w:t xml:space="preserve">utor po vzoru Gilberta </w:t>
      </w:r>
      <w:r w:rsidR="002239AA">
        <w:t>de La Porrée</w:t>
      </w:r>
      <w:r w:rsidR="08B06E68" w:rsidRPr="00273106">
        <w:t xml:space="preserve"> </w:t>
      </w:r>
      <w:r w:rsidR="002A272B" w:rsidRPr="00273106">
        <w:t xml:space="preserve">rozlišuje </w:t>
      </w:r>
      <w:r w:rsidR="00FB2EE5" w:rsidRPr="00273106">
        <w:t xml:space="preserve">mezi substancí a její subsistencí </w:t>
      </w:r>
      <w:r w:rsidR="00342CA7" w:rsidRPr="00273106">
        <w:t>už jen formálně</w:t>
      </w:r>
      <w:r w:rsidR="001703D4" w:rsidRPr="00273106">
        <w:t xml:space="preserve">, </w:t>
      </w:r>
      <w:r w:rsidR="08C9439E" w:rsidRPr="00273106">
        <w:t>protože chápe subsiste</w:t>
      </w:r>
      <w:r w:rsidR="00342CA7" w:rsidRPr="00273106">
        <w:t>nci v univočním významu s existencí</w:t>
      </w:r>
      <w:r w:rsidR="001703D4" w:rsidRPr="00273106">
        <w:t xml:space="preserve"> vnější věci (</w:t>
      </w:r>
      <w:r w:rsidR="00654C5C">
        <w:rPr>
          <w:i/>
          <w:szCs w:val="24"/>
        </w:rPr>
        <w:t>subsistentia v</w:t>
      </w:r>
      <w:r w:rsidR="001703D4" w:rsidRPr="00273106">
        <w:rPr>
          <w:i/>
          <w:szCs w:val="24"/>
        </w:rPr>
        <w:t>ero est substantia</w:t>
      </w:r>
      <w:r w:rsidR="080772E6" w:rsidRPr="00273106">
        <w:rPr>
          <w:szCs w:val="24"/>
        </w:rPr>
        <w:t>;</w:t>
      </w:r>
      <w:r w:rsidR="001703D4" w:rsidRPr="00273106">
        <w:rPr>
          <w:szCs w:val="24"/>
        </w:rPr>
        <w:t xml:space="preserve"> </w:t>
      </w:r>
      <w:r w:rsidR="080772E6" w:rsidRPr="00273106">
        <w:rPr>
          <w:szCs w:val="24"/>
        </w:rPr>
        <w:t>ibid</w:t>
      </w:r>
      <w:r w:rsidR="00D7497F">
        <w:rPr>
          <w:szCs w:val="24"/>
        </w:rPr>
        <w:t>.</w:t>
      </w:r>
      <w:r w:rsidR="080772E6" w:rsidRPr="00273106">
        <w:rPr>
          <w:szCs w:val="24"/>
        </w:rPr>
        <w:t xml:space="preserve">, </w:t>
      </w:r>
      <w:r w:rsidR="001703D4" w:rsidRPr="00273106">
        <w:rPr>
          <w:szCs w:val="24"/>
        </w:rPr>
        <w:t>p. 272</w:t>
      </w:r>
      <w:r w:rsidR="00534BB0">
        <w:fldChar w:fldCharType="begin"/>
      </w:r>
      <w:r w:rsidR="00534BB0">
        <w:instrText xml:space="preserve"> XE "</w:instrText>
      </w:r>
      <w:r w:rsidR="00534BB0" w:rsidRPr="00436BF3">
        <w:rPr>
          <w:i/>
        </w:rPr>
        <w:instrText>Dialogus Ratii et Everardi</w:instrText>
      </w:r>
      <w:r w:rsidR="00534BB0">
        <w:instrText xml:space="preserve"> 272" </w:instrText>
      </w:r>
      <w:r w:rsidR="00534BB0">
        <w:fldChar w:fldCharType="end"/>
      </w:r>
      <w:r w:rsidR="001703D4" w:rsidRPr="00273106">
        <w:t>).</w:t>
      </w:r>
      <w:r w:rsidR="00373BAB" w:rsidRPr="00273106">
        <w:t xml:space="preserve"> </w:t>
      </w:r>
      <w:r w:rsidR="0052719B" w:rsidRPr="00273106">
        <w:t>Reálná jednotlivina je pro neoplatoniky typu Anselma kontingentní jsoucno</w:t>
      </w:r>
      <w:r w:rsidR="00534BB0">
        <w:fldChar w:fldCharType="begin"/>
      </w:r>
      <w:r w:rsidR="00534BB0">
        <w:instrText xml:space="preserve"> XE "</w:instrText>
      </w:r>
      <w:r w:rsidR="00534BB0" w:rsidRPr="005456C4">
        <w:instrText>kontingentní jsoucno</w:instrText>
      </w:r>
      <w:r w:rsidR="00534BB0">
        <w:instrText xml:space="preserve">" </w:instrText>
      </w:r>
      <w:r w:rsidR="00534BB0">
        <w:fldChar w:fldCharType="end"/>
      </w:r>
      <w:r w:rsidR="0052719B" w:rsidRPr="00273106">
        <w:t xml:space="preserve"> poznávané v modu pravdy jako </w:t>
      </w:r>
      <w:r w:rsidR="0052719B" w:rsidRPr="00273106">
        <w:rPr>
          <w:i/>
        </w:rPr>
        <w:t>veritas</w:t>
      </w:r>
      <w:r w:rsidR="0052719B" w:rsidRPr="00273106">
        <w:t xml:space="preserve">. </w:t>
      </w:r>
      <w:r w:rsidR="08A4097D">
        <w:t xml:space="preserve">Nominálně určená esence </w:t>
      </w:r>
      <w:r w:rsidR="08B05716">
        <w:t>Sok</w:t>
      </w:r>
      <w:r w:rsidR="08A4097D">
        <w:t xml:space="preserve">rata v podobě </w:t>
      </w:r>
      <w:r w:rsidR="08A4097D" w:rsidRPr="08A4097D">
        <w:rPr>
          <w:i/>
        </w:rPr>
        <w:t>socratitas</w:t>
      </w:r>
      <w:r w:rsidR="08A4097D">
        <w:t xml:space="preserve"> může existovat t</w:t>
      </w:r>
      <w:r w:rsidR="08427F7C">
        <w:t>aké</w:t>
      </w:r>
      <w:r w:rsidR="0052719B" w:rsidRPr="00273106">
        <w:t xml:space="preserve"> jedinečným a kontigentním způsobem daným </w:t>
      </w:r>
      <w:r w:rsidR="08A4097D">
        <w:t xml:space="preserve">reálnou </w:t>
      </w:r>
      <w:r w:rsidR="0052719B" w:rsidRPr="00273106">
        <w:t>materií</w:t>
      </w:r>
      <w:r w:rsidR="08DE300F">
        <w:t xml:space="preserve">. </w:t>
      </w:r>
      <w:r w:rsidR="08C3141B">
        <w:t xml:space="preserve">Diskrétní </w:t>
      </w:r>
      <w:r w:rsidR="08DE300F">
        <w:t xml:space="preserve">vize světa </w:t>
      </w:r>
      <w:r w:rsidR="08B05716">
        <w:t xml:space="preserve">bere za základ </w:t>
      </w:r>
      <w:r w:rsidR="08DE300F" w:rsidRPr="00273106">
        <w:t>Avicenno</w:t>
      </w:r>
      <w:r w:rsidR="08DE300F">
        <w:t xml:space="preserve">vo </w:t>
      </w:r>
      <w:r w:rsidR="08DE300F" w:rsidRPr="00273106">
        <w:rPr>
          <w:i/>
        </w:rPr>
        <w:t>hoc esse tantum</w:t>
      </w:r>
      <w:r w:rsidR="08DE300F">
        <w:rPr>
          <w:i/>
        </w:rPr>
        <w:fldChar w:fldCharType="begin"/>
      </w:r>
      <w:r w:rsidR="08DE300F">
        <w:instrText xml:space="preserve"> XE "</w:instrText>
      </w:r>
      <w:r w:rsidR="08DE300F" w:rsidRPr="005A071C">
        <w:rPr>
          <w:i/>
          <w:lang w:eastAsia="en-US"/>
        </w:rPr>
        <w:instrText>hoc esse tantum</w:instrText>
      </w:r>
      <w:r w:rsidR="08DE300F" w:rsidRPr="00534BB0">
        <w:rPr>
          <w:lang w:eastAsia="en-US"/>
        </w:rPr>
        <w:instrText>:porretáni</w:instrText>
      </w:r>
      <w:r w:rsidR="08DE300F">
        <w:instrText xml:space="preserve">" </w:instrText>
      </w:r>
      <w:r w:rsidR="08DE300F">
        <w:rPr>
          <w:i/>
        </w:rPr>
        <w:fldChar w:fldCharType="end"/>
      </w:r>
      <w:r w:rsidR="08DE300F" w:rsidRPr="00273106">
        <w:t xml:space="preserve"> (</w:t>
      </w:r>
      <w:r w:rsidR="00802075">
        <w:t xml:space="preserve">OBJ I, </w:t>
      </w:r>
      <w:r w:rsidR="08DE300F" w:rsidRPr="00273106">
        <w:t>kap. 2.3.2)</w:t>
      </w:r>
      <w:r w:rsidR="08DE300F">
        <w:t xml:space="preserve"> dané jako singulárně-univerzální individuum</w:t>
      </w:r>
      <w:r w:rsidR="0052719B" w:rsidRPr="00273106">
        <w:t xml:space="preserve">. </w:t>
      </w:r>
      <w:r w:rsidR="08DE300F">
        <w:t>K němu lze formou formální apozice dané na úrovni logické abstrakce přidat jakoukoliv hypostázovanou funkci</w:t>
      </w:r>
      <w:r w:rsidR="08770823">
        <w:t xml:space="preserve"> skrze Avicennovu komitaci</w:t>
      </w:r>
      <w:r w:rsidR="08DE300F">
        <w:t xml:space="preserve">. </w:t>
      </w:r>
      <w:r w:rsidR="002753CB" w:rsidRPr="00273106">
        <w:t xml:space="preserve">Intelekt </w:t>
      </w:r>
      <w:r w:rsidR="00E92752" w:rsidRPr="00273106">
        <w:t>už nepotřeb</w:t>
      </w:r>
      <w:r w:rsidR="08BB0BC4" w:rsidRPr="00273106">
        <w:t>uje adekvaci rozumu s realitou</w:t>
      </w:r>
      <w:r w:rsidR="08A551AE" w:rsidRPr="00273106">
        <w:t xml:space="preserve">, protože </w:t>
      </w:r>
      <w:r w:rsidR="00D451E2">
        <w:t xml:space="preserve">poznává pravdu jako </w:t>
      </w:r>
      <w:r w:rsidR="08A551AE" w:rsidRPr="00273106">
        <w:rPr>
          <w:i/>
        </w:rPr>
        <w:t>rectitudo</w:t>
      </w:r>
      <w:r w:rsidR="08A551AE" w:rsidRPr="00273106">
        <w:t xml:space="preserve">. </w:t>
      </w:r>
      <w:r w:rsidR="08C3141B">
        <w:t xml:space="preserve">Matematická funkce je důležitější a trvalejší, než pouhá kontingentně daná proměnná. </w:t>
      </w:r>
      <w:r w:rsidR="00E07CD8" w:rsidRPr="00273106">
        <w:t xml:space="preserve">Citujme </w:t>
      </w:r>
      <w:r w:rsidR="002427E2" w:rsidRPr="00273106">
        <w:t>z </w:t>
      </w:r>
      <w:r w:rsidR="009D60C3" w:rsidRPr="00273106">
        <w:t xml:space="preserve">Everardova </w:t>
      </w:r>
      <w:r w:rsidR="002427E2" w:rsidRPr="00273106">
        <w:t xml:space="preserve">dialogu </w:t>
      </w:r>
      <w:r w:rsidR="00EE4F75" w:rsidRPr="00273106">
        <w:t xml:space="preserve">příklad </w:t>
      </w:r>
      <w:r w:rsidR="00E07CD8" w:rsidRPr="00273106">
        <w:t xml:space="preserve">moderní </w:t>
      </w:r>
      <w:r w:rsidR="08770823">
        <w:t>predikace dané na základě Avicennovy komitace.</w:t>
      </w:r>
    </w:p>
    <w:p w14:paraId="4B5CFA45" w14:textId="77777777" w:rsidR="08770823" w:rsidRPr="00273106" w:rsidRDefault="08770823" w:rsidP="08770823">
      <w:pPr>
        <w:pStyle w:val="Citace"/>
        <w:rPr>
          <w:noProof/>
          <w:lang w:val="cs-CZ"/>
        </w:rPr>
      </w:pPr>
      <w:r w:rsidRPr="00273106">
        <w:rPr>
          <w:noProof/>
          <w:lang w:val="cs-CZ"/>
        </w:rPr>
        <w:lastRenderedPageBreak/>
        <w:t>„Jako je Petr člověkem skrze své vlastní lidství</w:t>
      </w:r>
      <w:r w:rsidR="085438C7">
        <w:rPr>
          <w:noProof/>
          <w:lang w:val="cs-CZ"/>
        </w:rPr>
        <w:t xml:space="preserve"> (</w:t>
      </w:r>
      <w:r w:rsidR="085438C7" w:rsidRPr="085438C7">
        <w:rPr>
          <w:i/>
        </w:rPr>
        <w:t>petrus est homo humanitate</w:t>
      </w:r>
      <w:r w:rsidR="085438C7">
        <w:rPr>
          <w:noProof/>
          <w:lang w:val="cs-CZ"/>
        </w:rPr>
        <w:t>)</w:t>
      </w:r>
      <w:r w:rsidRPr="00273106">
        <w:rPr>
          <w:noProof/>
          <w:lang w:val="cs-CZ"/>
        </w:rPr>
        <w:t>, tak je v pravdě člověkem, díky takto přiřčené humanitě</w:t>
      </w:r>
      <w:r>
        <w:rPr>
          <w:noProof/>
          <w:lang w:val="cs-CZ"/>
        </w:rPr>
        <w:t xml:space="preserve"> (</w:t>
      </w:r>
      <w:r>
        <w:rPr>
          <w:i/>
          <w:lang w:val="cs-CZ"/>
        </w:rPr>
        <w:t>v</w:t>
      </w:r>
      <w:r>
        <w:rPr>
          <w:i/>
        </w:rPr>
        <w:t xml:space="preserve">erus homo </w:t>
      </w:r>
      <w:r>
        <w:rPr>
          <w:i/>
          <w:lang w:val="cs-CZ"/>
        </w:rPr>
        <w:t>v</w:t>
      </w:r>
      <w:r w:rsidRPr="00D023EA">
        <w:rPr>
          <w:i/>
        </w:rPr>
        <w:t>eritate humanitatem comitante</w:t>
      </w:r>
      <w:r>
        <w:rPr>
          <w:noProof/>
          <w:lang w:val="cs-CZ"/>
        </w:rPr>
        <w:t>)</w:t>
      </w:r>
      <w:r w:rsidRPr="00273106">
        <w:rPr>
          <w:noProof/>
          <w:lang w:val="cs-CZ"/>
        </w:rPr>
        <w:t>.“</w:t>
      </w:r>
      <w:r>
        <w:rPr>
          <w:noProof/>
          <w:lang w:val="cs-CZ"/>
        </w:rPr>
        <w:t> </w:t>
      </w:r>
      <w:r w:rsidRPr="00273106">
        <w:rPr>
          <w:rStyle w:val="Znakapoznpodarou"/>
          <w:noProof/>
          <w:lang w:val="cs-CZ"/>
        </w:rPr>
        <w:footnoteReference w:id="75"/>
      </w:r>
    </w:p>
    <w:p w14:paraId="1AD51DF6" w14:textId="145DC00D" w:rsidR="003C4558" w:rsidRDefault="008A014B" w:rsidP="08D64130">
      <w:r>
        <w:t xml:space="preserve">Latinský ablativ </w:t>
      </w:r>
      <w:r w:rsidR="00127296">
        <w:t>„</w:t>
      </w:r>
      <w:r w:rsidR="00127296" w:rsidRPr="00273106">
        <w:rPr>
          <w:i/>
        </w:rPr>
        <w:t>homo humanitate</w:t>
      </w:r>
      <w:r w:rsidR="00127296" w:rsidRPr="00127296">
        <w:t xml:space="preserve">“ </w:t>
      </w:r>
      <w:r w:rsidR="081150F3" w:rsidRPr="00273106">
        <w:t xml:space="preserve">ukazuje, že tato univerzálie </w:t>
      </w:r>
      <w:r w:rsidR="00B860AF">
        <w:rPr>
          <w:szCs w:val="24"/>
        </w:rPr>
        <w:t>(</w:t>
      </w:r>
      <w:r w:rsidR="00B860AF" w:rsidRPr="00732F94">
        <w:rPr>
          <w:i/>
          <w:szCs w:val="24"/>
        </w:rPr>
        <w:t>humanitas</w:t>
      </w:r>
      <w:r w:rsidR="00B860AF">
        <w:rPr>
          <w:szCs w:val="24"/>
        </w:rPr>
        <w:t xml:space="preserve">) </w:t>
      </w:r>
      <w:r w:rsidR="081150F3">
        <w:t xml:space="preserve">kauzálně </w:t>
      </w:r>
      <w:r w:rsidR="00127296">
        <w:t>zakládá Petrovu individualitu</w:t>
      </w:r>
      <w:r w:rsidR="081150F3">
        <w:fldChar w:fldCharType="begin"/>
      </w:r>
      <w:r w:rsidR="081150F3">
        <w:instrText xml:space="preserve"> XE "kauzalita:objekti</w:instrText>
      </w:r>
      <w:r w:rsidR="081150F3" w:rsidRPr="00534BB0">
        <w:instrText>vní</w:instrText>
      </w:r>
      <w:r w:rsidR="081150F3">
        <w:instrText xml:space="preserve">" </w:instrText>
      </w:r>
      <w:r w:rsidR="081150F3">
        <w:fldChar w:fldCharType="end"/>
      </w:r>
      <w:r w:rsidR="081150F3" w:rsidRPr="00273106">
        <w:t xml:space="preserve">. </w:t>
      </w:r>
      <w:r w:rsidRPr="008A014B">
        <w:t xml:space="preserve">Ve skutečnosti se nejedná o ablativ, ale o </w:t>
      </w:r>
      <w:r w:rsidRPr="008A014B">
        <w:rPr>
          <w:i/>
        </w:rPr>
        <w:t>casus in</w:t>
      </w:r>
      <w:r w:rsidR="00344334">
        <w:rPr>
          <w:i/>
        </w:rPr>
        <w:t>s</w:t>
      </w:r>
      <w:r w:rsidRPr="008A014B">
        <w:rPr>
          <w:i/>
        </w:rPr>
        <w:t>trumentalis</w:t>
      </w:r>
      <w:r w:rsidRPr="008A014B">
        <w:t>, kdy pouhé substantivum (</w:t>
      </w:r>
      <w:r w:rsidRPr="008A014B">
        <w:rPr>
          <w:i/>
        </w:rPr>
        <w:t>humanitas</w:t>
      </w:r>
      <w:r w:rsidRPr="008A014B">
        <w:t>) je nástrojem, který umožňuje subjektu (</w:t>
      </w:r>
      <w:r w:rsidRPr="008A014B">
        <w:rPr>
          <w:i/>
        </w:rPr>
        <w:t>homo</w:t>
      </w:r>
      <w:r>
        <w:t>) vykonat důležitou činnost „být člověkem“</w:t>
      </w:r>
      <w:r w:rsidRPr="008A014B">
        <w:t>. Citát označuje zrod instrumentální rac</w:t>
      </w:r>
      <w:r>
        <w:t xml:space="preserve">ionality latinského Západu v podobě </w:t>
      </w:r>
      <w:r w:rsidRPr="008A014B">
        <w:t>moderního západního humanismu</w:t>
      </w:r>
      <w:r>
        <w:fldChar w:fldCharType="begin"/>
      </w:r>
      <w:r>
        <w:instrText xml:space="preserve"> XE "</w:instrText>
      </w:r>
      <w:r w:rsidRPr="00C52643">
        <w:instrText>humanismus:moderní</w:instrText>
      </w:r>
      <w:r>
        <w:instrText xml:space="preserve">" </w:instrText>
      </w:r>
      <w:r>
        <w:fldChar w:fldCharType="end"/>
      </w:r>
      <w:r w:rsidRPr="008A014B">
        <w:t>. Toto paranoidní myšlení je dále rozvíjeno jako existenciál</w:t>
      </w:r>
      <w:r w:rsidR="001547BD">
        <w:t xml:space="preserve"> v rámci </w:t>
      </w:r>
      <w:r w:rsidRPr="008A014B">
        <w:rPr>
          <w:i/>
        </w:rPr>
        <w:t>dativus obiectivus</w:t>
      </w:r>
      <w:r>
        <w:rPr>
          <w:i/>
        </w:rPr>
        <w:fldChar w:fldCharType="begin"/>
      </w:r>
      <w:r>
        <w:instrText xml:space="preserve"> XE "</w:instrText>
      </w:r>
      <w:r w:rsidRPr="00AD5CE3">
        <w:rPr>
          <w:i/>
        </w:rPr>
        <w:instrText>dativus obiectivus</w:instrText>
      </w:r>
      <w:r>
        <w:instrText xml:space="preserve">" </w:instrText>
      </w:r>
      <w:r>
        <w:rPr>
          <w:i/>
        </w:rPr>
        <w:fldChar w:fldCharType="end"/>
      </w:r>
      <w:r w:rsidRPr="008A014B">
        <w:t xml:space="preserve"> (OBJ III, kap. 4).</w:t>
      </w:r>
      <w:r>
        <w:t xml:space="preserve"> </w:t>
      </w:r>
      <w:r w:rsidR="081150F3">
        <w:t xml:space="preserve">Nové určení pravdy </w:t>
      </w:r>
      <w:r w:rsidR="081150F3" w:rsidRPr="00273106">
        <w:t xml:space="preserve">vzniká tím, že k původnímu určení „petrovitosti“ se přidávají vyšší určení </w:t>
      </w:r>
      <w:r w:rsidR="081150F3">
        <w:t>v modu Avicennovy komitace</w:t>
      </w:r>
      <w:r w:rsidR="081150F3">
        <w:fldChar w:fldCharType="begin"/>
      </w:r>
      <w:r w:rsidR="081150F3">
        <w:instrText xml:space="preserve"> XE "</w:instrText>
      </w:r>
      <w:r w:rsidR="081150F3" w:rsidRPr="00467B7F">
        <w:instrText>komitace</w:instrText>
      </w:r>
      <w:r w:rsidR="081150F3">
        <w:instrText xml:space="preserve">" </w:instrText>
      </w:r>
      <w:r w:rsidR="081150F3">
        <w:fldChar w:fldCharType="end"/>
      </w:r>
      <w:r w:rsidR="081150F3">
        <w:t xml:space="preserve"> </w:t>
      </w:r>
      <w:r w:rsidR="081150F3" w:rsidRPr="00273106">
        <w:t>(</w:t>
      </w:r>
      <w:r w:rsidR="081150F3" w:rsidRPr="00273106">
        <w:rPr>
          <w:i/>
        </w:rPr>
        <w:t>humanitatem comitante</w:t>
      </w:r>
      <w:r w:rsidR="081150F3" w:rsidRPr="00273106">
        <w:t xml:space="preserve">). </w:t>
      </w:r>
      <w:r w:rsidR="08FA512A">
        <w:t xml:space="preserve">Nominálně a později objektivně určený </w:t>
      </w:r>
      <w:r w:rsidR="08434CD9" w:rsidRPr="00273106">
        <w:t>člověk (</w:t>
      </w:r>
      <w:r w:rsidR="08434CD9">
        <w:rPr>
          <w:i/>
        </w:rPr>
        <w:t>v</w:t>
      </w:r>
      <w:r w:rsidR="08434CD9" w:rsidRPr="00273106">
        <w:rPr>
          <w:i/>
        </w:rPr>
        <w:t>erus homo</w:t>
      </w:r>
      <w:r w:rsidR="08D54FE3">
        <w:t>) je dán mimo bytí pr</w:t>
      </w:r>
      <w:r w:rsidR="08434CD9" w:rsidRPr="00273106">
        <w:t>vní su</w:t>
      </w:r>
      <w:r w:rsidR="08CF042A">
        <w:t>b</w:t>
      </w:r>
      <w:r w:rsidR="08434CD9" w:rsidRPr="00273106">
        <w:t>stance.</w:t>
      </w:r>
      <w:r w:rsidR="08434CD9">
        <w:t xml:space="preserve"> </w:t>
      </w:r>
      <w:r w:rsidR="00A83C2D" w:rsidRPr="00A83C2D">
        <w:t>T</w:t>
      </w:r>
      <w:r w:rsidR="00A83C2D">
        <w:t xml:space="preserve">ímto paranoidním způsobem </w:t>
      </w:r>
      <w:r w:rsidR="00A83C2D" w:rsidRPr="00A83C2D">
        <w:t>vznikl moderní humanismus na latinském Západě.</w:t>
      </w:r>
      <w:r w:rsidR="00A83C2D">
        <w:t xml:space="preserve"> </w:t>
      </w:r>
      <w:r w:rsidR="08E05844">
        <w:t xml:space="preserve">Předešlá kapitola ukázala, že porretáni a škola </w:t>
      </w:r>
      <w:r w:rsidR="08E05844" w:rsidRPr="08E05844">
        <w:rPr>
          <w:i/>
        </w:rPr>
        <w:t>Nominales</w:t>
      </w:r>
      <w:r w:rsidR="08E05844">
        <w:t xml:space="preserve"> prováděla avicennistickou komitaci</w:t>
      </w:r>
      <w:r w:rsidR="08E05844" w:rsidRPr="08E05844">
        <w:t xml:space="preserve"> </w:t>
      </w:r>
      <w:r w:rsidR="08E05844">
        <w:t xml:space="preserve">podobným způsobem, </w:t>
      </w:r>
      <w:r w:rsidR="08E05844" w:rsidRPr="00273106">
        <w:t xml:space="preserve">viz </w:t>
      </w:r>
      <w:r w:rsidR="08E05844">
        <w:t xml:space="preserve">porretánský termín </w:t>
      </w:r>
      <w:r w:rsidR="08E05844" w:rsidRPr="00273106">
        <w:rPr>
          <w:i/>
        </w:rPr>
        <w:t>socratitas</w:t>
      </w:r>
      <w:r w:rsidR="08E05844">
        <w:t xml:space="preserve">. </w:t>
      </w:r>
      <w:r w:rsidR="08DE30ED" w:rsidRPr="00273106">
        <w:t>Porretánům stačí pojetí pravdy jako formálně správné predikace termínů</w:t>
      </w:r>
      <w:r w:rsidR="08DE30ED">
        <w:t xml:space="preserve"> a asimilace jsoucen třetího druhu predikovaných pomocí apozice</w:t>
      </w:r>
      <w:r w:rsidR="08DE30ED" w:rsidRPr="00273106">
        <w:t>. Tato predikace se děje avicennovskou formou komitace (</w:t>
      </w:r>
      <w:r w:rsidR="08DE30ED" w:rsidRPr="00273106">
        <w:rPr>
          <w:i/>
        </w:rPr>
        <w:t>luzūm</w:t>
      </w:r>
      <w:r w:rsidR="08DE30ED" w:rsidRPr="00273106">
        <w:t xml:space="preserve">), </w:t>
      </w:r>
      <w:r w:rsidR="08DE30ED">
        <w:t>kdy se přičítají hypostázovaná a subsistentní</w:t>
      </w:r>
      <w:r w:rsidR="08DE30ED" w:rsidRPr="00273106">
        <w:t xml:space="preserve"> určení k danému substrátu (</w:t>
      </w:r>
      <w:r w:rsidR="08DE30ED" w:rsidRPr="00273106">
        <w:rPr>
          <w:i/>
          <w:szCs w:val="24"/>
        </w:rPr>
        <w:t>humanitatem comitante</w:t>
      </w:r>
      <w:r w:rsidR="08DE30ED" w:rsidRPr="00273106">
        <w:t>).</w:t>
      </w:r>
      <w:r w:rsidR="00AF491E">
        <w:t xml:space="preserve"> </w:t>
      </w:r>
      <w:r w:rsidR="00D52AA0" w:rsidRPr="00D52AA0">
        <w:t xml:space="preserve">Zdvojení moderního člověka jako </w:t>
      </w:r>
      <w:r w:rsidR="00D52AA0" w:rsidRPr="00D52AA0">
        <w:rPr>
          <w:i/>
        </w:rPr>
        <w:t>tertium ens</w:t>
      </w:r>
      <w:r w:rsidR="00D52AA0" w:rsidRPr="00D52AA0">
        <w:t xml:space="preserve"> se uskutečňuje prostřednictvím nové kauzality odvozené z pojmů. Ty vytvářejí nový způsob korespondence, který je zcela určen poznávajícím subjektem.</w:t>
      </w:r>
      <w:r w:rsidR="00D52AA0">
        <w:t xml:space="preserve"> </w:t>
      </w:r>
      <w:r w:rsidR="00AF491E" w:rsidRPr="00AF491E">
        <w:t xml:space="preserve">Instrumentál </w:t>
      </w:r>
      <w:r w:rsidR="00AF491E" w:rsidRPr="00AF491E">
        <w:rPr>
          <w:i/>
        </w:rPr>
        <w:t>veritate</w:t>
      </w:r>
      <w:r w:rsidR="00AF491E" w:rsidRPr="00AF491E">
        <w:t xml:space="preserve"> zcela subjektivně </w:t>
      </w:r>
      <w:r w:rsidR="00AF491E">
        <w:t>určuje význam</w:t>
      </w:r>
      <w:r w:rsidR="00AF491E" w:rsidRPr="00AF491E">
        <w:t xml:space="preserve"> </w:t>
      </w:r>
      <w:r w:rsidR="00AF491E">
        <w:t>hypostáze „lidství“</w:t>
      </w:r>
      <w:r w:rsidR="00AF491E" w:rsidRPr="00AF491E">
        <w:t xml:space="preserve"> (</w:t>
      </w:r>
      <w:r w:rsidR="00AF491E" w:rsidRPr="00AF491E">
        <w:rPr>
          <w:i/>
        </w:rPr>
        <w:t>humanitatem</w:t>
      </w:r>
      <w:r w:rsidR="00AF491E" w:rsidRPr="00AF491E">
        <w:t>).</w:t>
      </w:r>
      <w:r w:rsidR="00AF491E">
        <w:t xml:space="preserve"> </w:t>
      </w:r>
      <w:r w:rsidR="08434CD9">
        <w:t xml:space="preserve">Zcela moderní instrumentální užití pravdy nihilisticky rozvinuté v dnešních ideologiích a mediálních manipulacích jasně ukazuje, že nominalistické dělení v rámci hypostází dostalo plně kauzální charakter. </w:t>
      </w:r>
      <w:r w:rsidR="085F5C26">
        <w:t xml:space="preserve">Komitace hypostází zakládá typ individua v modu </w:t>
      </w:r>
      <w:r w:rsidR="085F5C26" w:rsidRPr="085F5C26">
        <w:rPr>
          <w:i/>
        </w:rPr>
        <w:t>verus homo</w:t>
      </w:r>
      <w:r w:rsidR="085F5C26">
        <w:t xml:space="preserve">. Tím vznikla nová teorie </w:t>
      </w:r>
      <w:r w:rsidR="003D2DC3" w:rsidRPr="00273106">
        <w:t xml:space="preserve">pravdy, </w:t>
      </w:r>
      <w:r w:rsidR="085F5C26">
        <w:t xml:space="preserve">jejíž import do teologie </w:t>
      </w:r>
      <w:r w:rsidR="080D031A">
        <w:t>Bož</w:t>
      </w:r>
      <w:r w:rsidR="085F5C26">
        <w:t>í Trojice zásadně odmítly tehdejší teologické kruhy pod vedením Petra Lombardského jako triteismus</w:t>
      </w:r>
      <w:r w:rsidR="08AF7349" w:rsidRPr="00273106">
        <w:t>.</w:t>
      </w:r>
      <w:r w:rsidR="00206DBD" w:rsidRPr="00273106">
        <w:t xml:space="preserve"> </w:t>
      </w:r>
      <w:r w:rsidR="080D031A">
        <w:t xml:space="preserve">Z abstraktní hypostáze zvané „božství“ nebo „humanita“ nelze nic </w:t>
      </w:r>
      <w:r w:rsidR="000B25F7">
        <w:t xml:space="preserve">aristotelsky </w:t>
      </w:r>
      <w:r w:rsidR="080D031A">
        <w:t>pravdivého predikovat na způsob pozdějších neoplatonských mystiků ve druhé polovině 13. století</w:t>
      </w:r>
      <w:r w:rsidR="000B25F7">
        <w:t>,</w:t>
      </w:r>
      <w:r w:rsidR="080D031A">
        <w:t xml:space="preserve"> jako byl Dietrich z Freibergu </w:t>
      </w:r>
      <w:r w:rsidR="089C384D">
        <w:t xml:space="preserve">(†1320) </w:t>
      </w:r>
      <w:r w:rsidR="080D031A">
        <w:t>nebo mistr Eckhardt</w:t>
      </w:r>
      <w:r w:rsidR="089C384D">
        <w:t xml:space="preserve"> (†1327)</w:t>
      </w:r>
      <w:r w:rsidR="080D031A">
        <w:t>. Podle Abelardovy logiky před</w:t>
      </w:r>
      <w:r w:rsidR="08434CD9">
        <w:t>s</w:t>
      </w:r>
      <w:r w:rsidR="080D031A">
        <w:t xml:space="preserve">tavují tyto termíny pouhé </w:t>
      </w:r>
      <w:r w:rsidR="080D031A" w:rsidRPr="080D031A">
        <w:rPr>
          <w:i/>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8434CD9">
        <w:t xml:space="preserve">, </w:t>
      </w:r>
      <w:r w:rsidR="08434CD9">
        <w:lastRenderedPageBreak/>
        <w:t xml:space="preserve">protože </w:t>
      </w:r>
      <w:r w:rsidR="08A72A36">
        <w:t xml:space="preserve">moderní </w:t>
      </w:r>
      <w:r w:rsidR="08434CD9">
        <w:t>p</w:t>
      </w:r>
      <w:r w:rsidR="00D03E43" w:rsidRPr="00273106">
        <w:t xml:space="preserve">ravdu nevytváří shoda reálné věci a poznávajícího rozumu. </w:t>
      </w:r>
      <w:r w:rsidR="00D05BA9" w:rsidRPr="00273106">
        <w:t>Komitace formálních určení sehraje důležitou úlohu v dalším kole sporu o objektivitu.</w:t>
      </w:r>
    </w:p>
    <w:p w14:paraId="48FA0B72" w14:textId="2799B368" w:rsidR="0035402C" w:rsidRDefault="08067717" w:rsidP="005F50AE">
      <w:pPr>
        <w:ind w:firstLine="397"/>
      </w:pPr>
      <w:r>
        <w:t>P</w:t>
      </w:r>
      <w:r w:rsidR="008E6E13">
        <w:t xml:space="preserve">redikace </w:t>
      </w:r>
      <w:r w:rsidR="00912396">
        <w:t xml:space="preserve">těchto metafyzických doketistů </w:t>
      </w:r>
      <w:r>
        <w:t xml:space="preserve">v době recepce Avicennovy metafyziky </w:t>
      </w:r>
      <w:r w:rsidR="008E6E13">
        <w:t>je už zcela objektivní</w:t>
      </w:r>
      <w:r w:rsidR="00912396">
        <w:fldChar w:fldCharType="begin"/>
      </w:r>
      <w:r w:rsidR="00912396">
        <w:instrText xml:space="preserve"> XE "</w:instrText>
      </w:r>
      <w:r w:rsidR="00912396" w:rsidRPr="00E76C00">
        <w:instrText>predikace:objektivní</w:instrText>
      </w:r>
      <w:r w:rsidR="00912396">
        <w:instrText xml:space="preserve">" </w:instrText>
      </w:r>
      <w:r w:rsidR="00912396">
        <w:fldChar w:fldCharType="end"/>
      </w:r>
      <w:r w:rsidR="00912396">
        <w:t>, protože p</w:t>
      </w:r>
      <w:r w:rsidR="008E6E13">
        <w:t xml:space="preserve">redikuje hypostázované vlastnosti </w:t>
      </w:r>
      <w:r w:rsidR="080D6519">
        <w:t xml:space="preserve">k subjektu-individuu jako </w:t>
      </w:r>
      <w:r w:rsidR="080D6519" w:rsidRPr="080D6519">
        <w:rPr>
          <w:i/>
        </w:rPr>
        <w:t>hoc esse tantum</w:t>
      </w:r>
      <w:r w:rsidR="080D6519">
        <w:t xml:space="preserve"> a predikát funguje v modu </w:t>
      </w:r>
      <w:r w:rsidR="080D6519" w:rsidRPr="080D6519">
        <w:rPr>
          <w:i/>
        </w:rPr>
        <w:t>equinitas tantum</w:t>
      </w:r>
      <w:r w:rsidR="00912396">
        <w:t xml:space="preserve">. </w:t>
      </w:r>
      <w:r w:rsidR="002421D4">
        <w:t xml:space="preserve">Spis </w:t>
      </w:r>
      <w:r w:rsidR="00912396" w:rsidRPr="002421D4">
        <w:rPr>
          <w:i/>
        </w:rPr>
        <w:t>Dialog</w:t>
      </w:r>
      <w:r w:rsidR="00912396">
        <w:t xml:space="preserve"> se nestará </w:t>
      </w:r>
      <w:r w:rsidR="008E6E13">
        <w:t xml:space="preserve">o hyparchickou impozici </w:t>
      </w:r>
      <w:r w:rsidR="00703C20">
        <w:t xml:space="preserve">z reality </w:t>
      </w:r>
      <w:r w:rsidR="008E6E13">
        <w:t xml:space="preserve">a do </w:t>
      </w:r>
      <w:r w:rsidR="00703C20">
        <w:t xml:space="preserve">univerzální </w:t>
      </w:r>
      <w:r w:rsidR="008E6E13">
        <w:t>supozice</w:t>
      </w:r>
      <w:r w:rsidR="008D6104">
        <w:fldChar w:fldCharType="begin"/>
      </w:r>
      <w:r w:rsidR="008D6104">
        <w:instrText xml:space="preserve"> XE "supozice:porretáni" </w:instrText>
      </w:r>
      <w:r w:rsidR="008D6104">
        <w:fldChar w:fldCharType="end"/>
      </w:r>
      <w:r w:rsidR="008E6E13">
        <w:t xml:space="preserve"> </w:t>
      </w:r>
      <w:r w:rsidR="00485186">
        <w:t xml:space="preserve">nekriticky </w:t>
      </w:r>
      <w:r w:rsidR="008E6E13">
        <w:t xml:space="preserve">zahrnuje i první substanci. </w:t>
      </w:r>
      <w:r w:rsidR="00922DCA">
        <w:t>H</w:t>
      </w:r>
      <w:r w:rsidR="007E624B" w:rsidRPr="00273106">
        <w:t>ypostázovaná a subsi</w:t>
      </w:r>
      <w:r w:rsidR="00122C06" w:rsidRPr="00273106">
        <w:t>s</w:t>
      </w:r>
      <w:r w:rsidR="007E624B" w:rsidRPr="00273106">
        <w:t xml:space="preserve">tentní </w:t>
      </w:r>
      <w:r w:rsidR="085F24CF" w:rsidRPr="00273106">
        <w:t xml:space="preserve">určení </w:t>
      </w:r>
      <w:r w:rsidR="00922DCA">
        <w:t xml:space="preserve">nakonec dávají individuální subjekt těchto vlastností. </w:t>
      </w:r>
      <w:r w:rsidR="0077575F">
        <w:t>H</w:t>
      </w:r>
      <w:r w:rsidR="00ED6537" w:rsidRPr="00273106">
        <w:t xml:space="preserve">umanita </w:t>
      </w:r>
      <w:r w:rsidR="0077575F">
        <w:t xml:space="preserve">má </w:t>
      </w:r>
      <w:r w:rsidR="005479CA">
        <w:t>objektivně-</w:t>
      </w:r>
      <w:r w:rsidR="00ED6537" w:rsidRPr="00273106">
        <w:t>specifický charakter</w:t>
      </w:r>
      <w:r w:rsidR="00A22F56">
        <w:t xml:space="preserve"> </w:t>
      </w:r>
      <w:r w:rsidR="004B4D52" w:rsidRPr="004B4D52">
        <w:t>species</w:t>
      </w:r>
      <w:r w:rsidR="0077575F"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77575F">
        <w:t xml:space="preserve"> </w:t>
      </w:r>
      <w:r w:rsidR="001A6338">
        <w:t xml:space="preserve">a </w:t>
      </w:r>
      <w:r w:rsidR="0077575F">
        <w:t xml:space="preserve">určuje </w:t>
      </w:r>
      <w:r w:rsidR="00EB02FB">
        <w:t>individuum dané na konci řady</w:t>
      </w:r>
      <w:r w:rsidR="08923313">
        <w:t xml:space="preserve"> dělení nebo skládání jsoucen třetího druhu</w:t>
      </w:r>
      <w:r w:rsidR="00ED6537" w:rsidRPr="00273106">
        <w:t xml:space="preserve">. </w:t>
      </w:r>
      <w:r w:rsidR="009C0D01">
        <w:t xml:space="preserve">Systém diferencí umožňuje </w:t>
      </w:r>
      <w:r w:rsidR="00ED6537" w:rsidRPr="00273106">
        <w:t>přechod od vyšší univerzálie až k dále nedělitelnému individuu</w:t>
      </w:r>
      <w:r w:rsidR="00BD5BFD">
        <w:t xml:space="preserve"> „</w:t>
      </w:r>
      <w:r w:rsidR="00BD5BFD">
        <w:rPr>
          <w:i/>
        </w:rPr>
        <w:t>p</w:t>
      </w:r>
      <w:r w:rsidR="00BD5BFD" w:rsidRPr="00BD5BFD">
        <w:rPr>
          <w:i/>
        </w:rPr>
        <w:t>etrus</w:t>
      </w:r>
      <w:r w:rsidR="00BD5BFD">
        <w:t xml:space="preserve">“ </w:t>
      </w:r>
      <w:r w:rsidR="00B73F0A">
        <w:t>a naopak</w:t>
      </w:r>
      <w:r w:rsidR="00ED6537" w:rsidRPr="00273106">
        <w:t>.</w:t>
      </w:r>
      <w:r w:rsidR="00B31C89" w:rsidRPr="00273106">
        <w:t xml:space="preserve"> </w:t>
      </w:r>
      <w:r w:rsidR="00B73F0A">
        <w:t xml:space="preserve">Petr </w:t>
      </w:r>
      <w:r w:rsidR="00C65A9E">
        <w:t xml:space="preserve">subjektem </w:t>
      </w:r>
      <w:r w:rsidR="00B73F0A" w:rsidRPr="00B73F0A">
        <w:t xml:space="preserve">nebo funkcí, která </w:t>
      </w:r>
      <w:r w:rsidR="00B73F0A">
        <w:t xml:space="preserve">zajišťuje </w:t>
      </w:r>
      <w:r w:rsidR="00B73F0A" w:rsidRPr="00B73F0A">
        <w:t>projekce moderního intelektu (</w:t>
      </w:r>
      <w:r w:rsidR="00B73F0A" w:rsidRPr="00B73F0A">
        <w:rPr>
          <w:i/>
        </w:rPr>
        <w:t>petrus est homo humanitate</w:t>
      </w:r>
      <w:r w:rsidR="00B73F0A" w:rsidRPr="00B73F0A">
        <w:t xml:space="preserve">). </w:t>
      </w:r>
      <w:r w:rsidR="00B73F0A">
        <w:t>Jedinečná substance „</w:t>
      </w:r>
      <w:r w:rsidR="00B73F0A" w:rsidRPr="00B73F0A">
        <w:t>Petr</w:t>
      </w:r>
      <w:r w:rsidR="00B73F0A">
        <w:t>“</w:t>
      </w:r>
      <w:r w:rsidR="00B73F0A" w:rsidRPr="00B73F0A">
        <w:t xml:space="preserve"> je projekc</w:t>
      </w:r>
      <w:r w:rsidR="00B73F0A">
        <w:t>í druhu „homo“</w:t>
      </w:r>
      <w:r w:rsidR="00B73F0A" w:rsidRPr="00B73F0A">
        <w:t xml:space="preserve"> a tento druh je vytváře</w:t>
      </w:r>
      <w:r w:rsidR="00B73F0A">
        <w:t>n rodovou kauzalitou danou jako „</w:t>
      </w:r>
      <w:r w:rsidR="00B73F0A" w:rsidRPr="00B73F0A">
        <w:rPr>
          <w:i/>
        </w:rPr>
        <w:t>humanitas</w:t>
      </w:r>
      <w:r w:rsidR="00B73F0A">
        <w:t>“</w:t>
      </w:r>
      <w:r w:rsidR="00B73F0A" w:rsidRPr="00B73F0A">
        <w:t>.</w:t>
      </w:r>
      <w:r w:rsidR="005F50AE">
        <w:t xml:space="preserve"> </w:t>
      </w:r>
      <w:r w:rsidR="00B31C89" w:rsidRPr="00273106">
        <w:t>K</w:t>
      </w:r>
      <w:r w:rsidR="08923313">
        <w:t xml:space="preserve">omitace zase vytvoří </w:t>
      </w:r>
      <w:r w:rsidR="00B31C89" w:rsidRPr="00273106">
        <w:t>jednotlivinu</w:t>
      </w:r>
      <w:r w:rsidR="08A44E33" w:rsidRPr="00273106">
        <w:t xml:space="preserve"> doplněn</w:t>
      </w:r>
      <w:r w:rsidR="082C08F0" w:rsidRPr="00273106">
        <w:t>ím o vyšší řadu un</w:t>
      </w:r>
      <w:r w:rsidR="08A44E33" w:rsidRPr="00273106">
        <w:t>i</w:t>
      </w:r>
      <w:r w:rsidR="082C08F0" w:rsidRPr="00273106">
        <w:t>verzálií</w:t>
      </w:r>
      <w:r w:rsidR="00753DD2" w:rsidRPr="00273106">
        <w:t xml:space="preserve"> a dodatečných hypostází (</w:t>
      </w:r>
      <w:r w:rsidR="00753DD2" w:rsidRPr="00273106">
        <w:rPr>
          <w:i/>
        </w:rPr>
        <w:t>collecta</w:t>
      </w:r>
      <w:r w:rsidR="00E57E45">
        <w:rPr>
          <w:i/>
        </w:rPr>
        <w:fldChar w:fldCharType="begin"/>
      </w:r>
      <w:r w:rsidR="00E57E45">
        <w:instrText xml:space="preserve"> XE "</w:instrText>
      </w:r>
      <w:r w:rsidR="00E57E45" w:rsidRPr="00B424A1">
        <w:rPr>
          <w:i/>
        </w:rPr>
        <w:instrText>collecta</w:instrText>
      </w:r>
      <w:r w:rsidR="00E57E45">
        <w:instrText xml:space="preserve">" </w:instrText>
      </w:r>
      <w:r w:rsidR="00E57E45">
        <w:rPr>
          <w:i/>
        </w:rPr>
        <w:fldChar w:fldCharType="end"/>
      </w:r>
      <w:r w:rsidR="00753DD2" w:rsidRPr="00273106">
        <w:t>)</w:t>
      </w:r>
      <w:r w:rsidR="00B31C89" w:rsidRPr="00273106">
        <w:t xml:space="preserve">. </w:t>
      </w:r>
      <w:r w:rsidR="001A6338" w:rsidRPr="00273106">
        <w:t xml:space="preserve">Moderní subjekt </w:t>
      </w:r>
      <w:r w:rsidR="08923313">
        <w:t xml:space="preserve">ve formě individuální proměnné </w:t>
      </w:r>
      <w:r w:rsidR="001A6338" w:rsidRPr="00273106">
        <w:t>synteticky přijímá daná hypostázovaná určení (</w:t>
      </w:r>
      <w:r w:rsidR="001A6338" w:rsidRPr="00273106">
        <w:rPr>
          <w:i/>
        </w:rPr>
        <w:t>socratitas est humanitas</w:t>
      </w:r>
      <w:r w:rsidR="001A6338" w:rsidRPr="00273106">
        <w:t>).</w:t>
      </w:r>
      <w:r w:rsidR="001A6338">
        <w:t xml:space="preserve"> </w:t>
      </w:r>
      <w:r w:rsidR="00296BE1">
        <w:t xml:space="preserve">Anabází od takto sebraného individua směrem k věčnému </w:t>
      </w:r>
      <w:r w:rsidR="004B4D52" w:rsidRPr="004B4D52">
        <w:t>species</w:t>
      </w:r>
      <w:r w:rsidR="00296BE1">
        <w:t xml:space="preserve"> či </w:t>
      </w:r>
      <w:r w:rsidR="00B1298A">
        <w:rPr>
          <w:i/>
        </w:rPr>
        <w:t>genus</w:t>
      </w:r>
      <w:r w:rsidR="001A6338">
        <w:t xml:space="preserve"> </w:t>
      </w:r>
      <w:r w:rsidR="00A51FB8">
        <w:t xml:space="preserve">se </w:t>
      </w:r>
      <w:r w:rsidR="00B31C89" w:rsidRPr="00273106">
        <w:t>přejde</w:t>
      </w:r>
      <w:r w:rsidR="00C627EA" w:rsidRPr="00273106">
        <w:t xml:space="preserve"> z Anselmovy kontingentní </w:t>
      </w:r>
      <w:r w:rsidR="00C627EA" w:rsidRPr="00273106">
        <w:rPr>
          <w:i/>
        </w:rPr>
        <w:t>veritas</w:t>
      </w:r>
      <w:r w:rsidR="00C627EA" w:rsidRPr="00273106">
        <w:t xml:space="preserve"> na trvalé a plné </w:t>
      </w:r>
      <w:r w:rsidR="00C627EA" w:rsidRPr="00273106">
        <w:rPr>
          <w:i/>
        </w:rPr>
        <w:t>rectitudo</w:t>
      </w:r>
      <w:r w:rsidR="004517BA" w:rsidRPr="00273106">
        <w:t>. N</w:t>
      </w:r>
      <w:r w:rsidR="082C08F0" w:rsidRPr="00273106">
        <w:t xml:space="preserve">ebo </w:t>
      </w:r>
      <w:r w:rsidR="08A44E33" w:rsidRPr="00273106">
        <w:t xml:space="preserve">univerzálie </w:t>
      </w:r>
      <w:r w:rsidR="089D34E5" w:rsidRPr="00273106">
        <w:t>hled</w:t>
      </w:r>
      <w:r w:rsidR="082C08F0" w:rsidRPr="00273106">
        <w:t xml:space="preserve">á </w:t>
      </w:r>
      <w:r w:rsidR="001A6338">
        <w:t xml:space="preserve">kompletnost </w:t>
      </w:r>
      <w:r w:rsidR="082C08F0" w:rsidRPr="00273106">
        <w:t xml:space="preserve">aktem </w:t>
      </w:r>
      <w:r w:rsidR="00753DD2" w:rsidRPr="00273106">
        <w:t>kat</w:t>
      </w:r>
      <w:r w:rsidR="089D34E5" w:rsidRPr="00273106">
        <w:t>abasické</w:t>
      </w:r>
      <w:r w:rsidR="00753DD2" w:rsidRPr="00273106">
        <w:t>ho dělení vyšších univerzálií</w:t>
      </w:r>
      <w:r w:rsidR="082C08F0" w:rsidRPr="00273106">
        <w:t xml:space="preserve"> </w:t>
      </w:r>
      <w:r w:rsidR="00AF61F4" w:rsidRPr="00273106">
        <w:t xml:space="preserve">až </w:t>
      </w:r>
      <w:r w:rsidR="00753DD2" w:rsidRPr="00273106">
        <w:t xml:space="preserve">směrem </w:t>
      </w:r>
      <w:r w:rsidR="08A44E33" w:rsidRPr="00273106">
        <w:t>k individuu</w:t>
      </w:r>
      <w:r w:rsidR="004B5F3B" w:rsidRPr="00273106">
        <w:t xml:space="preserve"> jako poslední hypostázi nesoucí univoční signifikaci v rámci toho či onoho dělení</w:t>
      </w:r>
      <w:r w:rsidR="008660B4" w:rsidRPr="00273106">
        <w:t xml:space="preserve"> (</w:t>
      </w:r>
      <w:r w:rsidR="008660B4" w:rsidRPr="00273106">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07D3515" w:rsidRPr="007D3515">
        <w:instrText>porretáni</w:instrText>
      </w:r>
      <w:r w:rsidR="005A68A7">
        <w:instrText xml:space="preserve">" </w:instrText>
      </w:r>
      <w:r w:rsidR="005A68A7">
        <w:rPr>
          <w:i/>
        </w:rPr>
        <w:fldChar w:fldCharType="end"/>
      </w:r>
      <w:r w:rsidR="008660B4" w:rsidRPr="00273106">
        <w:t xml:space="preserve">). K tomuto poslednímu </w:t>
      </w:r>
      <w:r w:rsidR="08F1084E">
        <w:t xml:space="preserve">atomárnímu významu </w:t>
      </w:r>
      <w:r w:rsidR="001A2A84" w:rsidRPr="00273106">
        <w:t xml:space="preserve">definovanému </w:t>
      </w:r>
      <w:r w:rsidR="08F1084E">
        <w:t xml:space="preserve">na konci řady </w:t>
      </w:r>
      <w:r w:rsidR="004B4D52" w:rsidRPr="004B4D52">
        <w:t>species</w:t>
      </w:r>
      <w:r w:rsidR="008660B4" w:rsidRPr="00273106">
        <w:rPr>
          <w:i/>
        </w:rPr>
        <w:t xml:space="preserve"> specialissima</w:t>
      </w:r>
      <w:r w:rsidR="008660B4" w:rsidRPr="00273106">
        <w:t xml:space="preserve"> se pak přidá</w:t>
      </w:r>
      <w:r w:rsidR="00BC792E" w:rsidRPr="00273106">
        <w:t xml:space="preserve"> </w:t>
      </w:r>
      <w:r w:rsidR="08D05704">
        <w:t xml:space="preserve">skrze komitaci </w:t>
      </w:r>
      <w:r w:rsidR="00BC792E" w:rsidRPr="00273106">
        <w:t>extenze a materie třetího druhu</w:t>
      </w:r>
      <w:r w:rsidR="08F1084E">
        <w:t>. Tím vznikne</w:t>
      </w:r>
      <w:r w:rsidR="001A2A84" w:rsidRPr="00273106">
        <w:t xml:space="preserve"> </w:t>
      </w:r>
      <w:r w:rsidR="088B48DB">
        <w:t xml:space="preserve">jedinečný exemplář typu </w:t>
      </w:r>
      <w:r w:rsidR="08D97B41">
        <w:t xml:space="preserve">apoštola Petra nebo </w:t>
      </w:r>
      <w:r w:rsidR="088B48DB">
        <w:t>Sokrata</w:t>
      </w:r>
      <w:r w:rsidR="08A44E33" w:rsidRPr="00273106">
        <w:t xml:space="preserve">. </w:t>
      </w:r>
      <w:r w:rsidR="001A6338" w:rsidRPr="00273106">
        <w:t xml:space="preserve">Pravda v moderně a v postmoderně znamená dělení </w:t>
      </w:r>
      <w:r w:rsidR="001A6338">
        <w:t xml:space="preserve">významů daných </w:t>
      </w:r>
      <w:r w:rsidR="001A6338" w:rsidRPr="00273106">
        <w:t>v unifikované řadě až k</w:t>
      </w:r>
      <w:r w:rsidR="08755B08">
        <w:t> </w:t>
      </w:r>
      <w:r w:rsidR="001A6338" w:rsidRPr="00273106">
        <w:t>individuu</w:t>
      </w:r>
      <w:r w:rsidR="08755B08">
        <w:t xml:space="preserve"> nebo </w:t>
      </w:r>
      <w:r w:rsidR="001A6338">
        <w:t xml:space="preserve"> </w:t>
      </w:r>
      <w:r w:rsidR="08755B08">
        <w:t xml:space="preserve">proces </w:t>
      </w:r>
      <w:r w:rsidR="001A6338" w:rsidRPr="00273106">
        <w:t>kompletní komitace</w:t>
      </w:r>
      <w:r w:rsidR="08755B08">
        <w:t xml:space="preserve"> hypostázovaných vlastností přidaných k danému substrátu</w:t>
      </w:r>
      <w:r w:rsidR="08F46645">
        <w:t>. I</w:t>
      </w:r>
      <w:r w:rsidR="089B1462">
        <w:t xml:space="preserve">ndividuum </w:t>
      </w:r>
      <w:r w:rsidR="0834069C">
        <w:t xml:space="preserve">určené dělením univerzálií pak </w:t>
      </w:r>
      <w:r w:rsidR="089B1462">
        <w:t>dostane příslušné funkce dané neoplatonskou fyzikou</w:t>
      </w:r>
      <w:r w:rsidR="08F46645">
        <w:t xml:space="preserve">, která </w:t>
      </w:r>
      <w:r w:rsidR="083F1877">
        <w:t>mytopoeticky</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3F1877">
        <w:t xml:space="preserve"> simuluje </w:t>
      </w:r>
      <w:r w:rsidR="089B1462">
        <w:t>aristotelská fyzikální určení tělesa</w:t>
      </w:r>
      <w:r w:rsidR="001A6338" w:rsidRPr="00273106">
        <w:t>.</w:t>
      </w:r>
      <w:r w:rsidR="001A6338">
        <w:t xml:space="preserve"> </w:t>
      </w:r>
      <w:r w:rsidR="00941DB8" w:rsidRPr="00273106">
        <w:t xml:space="preserve">Definice pravdy </w:t>
      </w:r>
      <w:r w:rsidR="08CF7B72">
        <w:t xml:space="preserve">v první škole </w:t>
      </w:r>
      <w:r w:rsidR="08CF7B72" w:rsidRPr="08CF7B72">
        <w:rPr>
          <w:i/>
        </w:rPr>
        <w:t>Modernorum</w:t>
      </w:r>
      <w:r w:rsidR="08CF7B72">
        <w:t xml:space="preserve"> </w:t>
      </w:r>
      <w:r w:rsidR="00941DB8" w:rsidRPr="00273106">
        <w:t xml:space="preserve">nepotřebuje existenci první substance, protože v ní chybí skutečná adekvace mysli k realitě. </w:t>
      </w:r>
      <w:r w:rsidR="08F323E0" w:rsidRPr="00273106">
        <w:t xml:space="preserve">Individuum </w:t>
      </w:r>
      <w:r w:rsidR="00CC2817" w:rsidRPr="00273106">
        <w:t xml:space="preserve">typu Sokrata </w:t>
      </w:r>
      <w:r w:rsidR="08F323E0" w:rsidRPr="00273106">
        <w:t xml:space="preserve">představuje formální substrát </w:t>
      </w:r>
      <w:r w:rsidR="0057394A" w:rsidRPr="00273106">
        <w:t>(</w:t>
      </w:r>
      <w:r w:rsidR="0057394A" w:rsidRPr="00273106">
        <w:rPr>
          <w:i/>
        </w:rPr>
        <w:t>subiectum</w:t>
      </w:r>
      <w:r w:rsidR="0057394A">
        <w:rPr>
          <w:i/>
        </w:rPr>
        <w:fldChar w:fldCharType="begin"/>
      </w:r>
      <w:r w:rsidR="0057394A">
        <w:instrText xml:space="preserve"> XE "</w:instrText>
      </w:r>
      <w:r w:rsidR="0057394A" w:rsidRPr="00360013">
        <w:rPr>
          <w:i/>
        </w:rPr>
        <w:instrText>subiectum</w:instrText>
      </w:r>
      <w:r w:rsidR="0057394A" w:rsidRPr="00FE04B9">
        <w:instrText>:porretáni</w:instrText>
      </w:r>
      <w:r w:rsidR="0057394A">
        <w:instrText xml:space="preserve">" </w:instrText>
      </w:r>
      <w:r w:rsidR="0057394A">
        <w:rPr>
          <w:i/>
        </w:rPr>
        <w:fldChar w:fldCharType="end"/>
      </w:r>
      <w:r w:rsidR="0057394A" w:rsidRPr="00273106">
        <w:t>)</w:t>
      </w:r>
      <w:r w:rsidR="0057394A">
        <w:t xml:space="preserve"> </w:t>
      </w:r>
      <w:r w:rsidR="08F323E0" w:rsidRPr="00273106">
        <w:t xml:space="preserve">nadaný specifickou subsistencí </w:t>
      </w:r>
      <w:r w:rsidR="00AF3A51" w:rsidRPr="00273106">
        <w:t xml:space="preserve">třetího druhu </w:t>
      </w:r>
      <w:r w:rsidR="08F323E0" w:rsidRPr="00273106">
        <w:t xml:space="preserve">schopnou </w:t>
      </w:r>
      <w:r w:rsidR="004B5F3B" w:rsidRPr="00273106">
        <w:t>nést dané dělení</w:t>
      </w:r>
      <w:r w:rsidR="00AF3A51" w:rsidRPr="00273106">
        <w:t xml:space="preserve"> </w:t>
      </w:r>
      <w:r w:rsidR="0057394A">
        <w:t>nebo přijat apoziční určení</w:t>
      </w:r>
      <w:r w:rsidR="00AF3A51" w:rsidRPr="00273106">
        <w:t xml:space="preserve">. </w:t>
      </w:r>
      <w:r w:rsidR="005C315D">
        <w:t xml:space="preserve">Nihilismus moderny udělal z </w:t>
      </w:r>
      <w:r w:rsidR="08D97B41">
        <w:lastRenderedPageBreak/>
        <w:t xml:space="preserve">existující </w:t>
      </w:r>
      <w:r w:rsidR="005C315D">
        <w:t xml:space="preserve">osoby neosobní a neexistující individuum, které funguje jako </w:t>
      </w:r>
      <w:r w:rsidR="08476B34">
        <w:t>nositel</w:t>
      </w:r>
      <w:r w:rsidR="005C315D">
        <w:t xml:space="preserve"> či funkce </w:t>
      </w:r>
      <w:r w:rsidR="006136AB">
        <w:t xml:space="preserve">libovolných </w:t>
      </w:r>
      <w:r w:rsidR="005C315D">
        <w:t>projekcí</w:t>
      </w:r>
      <w:r w:rsidR="006136AB">
        <w:t xml:space="preserve"> moderního intelektu</w:t>
      </w:r>
      <w:r w:rsidR="0065594D">
        <w:t xml:space="preserve"> (</w:t>
      </w:r>
      <w:r w:rsidR="000F40F6">
        <w:rPr>
          <w:i/>
        </w:rPr>
        <w:t>p</w:t>
      </w:r>
      <w:r w:rsidR="0065594D" w:rsidRPr="00B345C6">
        <w:rPr>
          <w:i/>
        </w:rPr>
        <w:t>etrus est homo humanitate</w:t>
      </w:r>
      <w:r w:rsidR="0065594D">
        <w:t>)</w:t>
      </w:r>
      <w:r w:rsidR="005C315D">
        <w:t xml:space="preserve">. </w:t>
      </w:r>
      <w:r w:rsidR="00A05094">
        <w:t xml:space="preserve">Objektivní </w:t>
      </w:r>
      <w:r w:rsidR="081E7242">
        <w:t xml:space="preserve">význam termínu </w:t>
      </w:r>
      <w:r w:rsidR="00A05094" w:rsidRPr="00273106">
        <w:rPr>
          <w:i/>
        </w:rPr>
        <w:t>humanitas</w:t>
      </w:r>
      <w:r w:rsidR="00A05094" w:rsidRPr="00273106">
        <w:t xml:space="preserve"> dále </w:t>
      </w:r>
      <w:r w:rsidR="081E7242">
        <w:t>prohloubí Gro</w:t>
      </w:r>
      <w:r w:rsidR="0871686F">
        <w:t>sset</w:t>
      </w:r>
      <w:r w:rsidR="081E7242">
        <w:t xml:space="preserve">esteho termín </w:t>
      </w:r>
      <w:r w:rsidR="00A05094" w:rsidRPr="00273106">
        <w:rPr>
          <w:i/>
        </w:rPr>
        <w:t>exemplar</w:t>
      </w:r>
      <w:r w:rsidR="00B7167E">
        <w:rPr>
          <w:i/>
        </w:rPr>
        <w:fldChar w:fldCharType="begin"/>
      </w:r>
      <w:r w:rsidR="00B7167E">
        <w:instrText xml:space="preserve"> XE "</w:instrText>
      </w:r>
      <w:r w:rsidR="00B7167E" w:rsidRPr="003F72AE">
        <w:rPr>
          <w:i/>
        </w:rPr>
        <w:instrText>exemplar</w:instrText>
      </w:r>
      <w:r w:rsidR="00B7167E">
        <w:instrText xml:space="preserve">" </w:instrText>
      </w:r>
      <w:r w:rsidR="00B7167E">
        <w:rPr>
          <w:i/>
        </w:rPr>
        <w:fldChar w:fldCharType="end"/>
      </w:r>
      <w:r w:rsidR="08B00ABD">
        <w:t xml:space="preserve"> (kap. 3</w:t>
      </w:r>
      <w:r w:rsidR="00A05094" w:rsidRPr="00273106">
        <w:t>.1.1) převzatý</w:t>
      </w:r>
      <w:r w:rsidR="00A05094">
        <w:t xml:space="preserve"> Bonaventurou (</w:t>
      </w:r>
      <w:r w:rsidR="08B00ABD">
        <w:t>OBJ III, kap. 4</w:t>
      </w:r>
      <w:r w:rsidR="00A05094">
        <w:t xml:space="preserve">.1.2). Nová forma dělení vyprodukuje </w:t>
      </w:r>
      <w:r w:rsidR="00A05094" w:rsidRPr="00273106">
        <w:t xml:space="preserve">Rufusovo </w:t>
      </w:r>
      <w:r w:rsidR="00A05094">
        <w:t xml:space="preserve">objektivní </w:t>
      </w:r>
      <w:r w:rsidR="00A05094" w:rsidRPr="00273106">
        <w:rPr>
          <w:i/>
        </w:rPr>
        <w:t>scibile</w:t>
      </w:r>
      <w:r w:rsidR="003B4FA7">
        <w:rPr>
          <w:i/>
        </w:rPr>
        <w:fldChar w:fldCharType="begin"/>
      </w:r>
      <w:r w:rsidR="003B4FA7">
        <w:instrText xml:space="preserve"> XE "</w:instrText>
      </w:r>
      <w:r w:rsidR="003B4FA7" w:rsidRPr="00AA4F67">
        <w:rPr>
          <w:i/>
        </w:rPr>
        <w:instrText>scibile</w:instrText>
      </w:r>
      <w:r w:rsidR="00B7167E" w:rsidRPr="00B7167E">
        <w:instrText>:Rufus</w:instrText>
      </w:r>
      <w:r w:rsidR="003B4FA7">
        <w:instrText xml:space="preserve">" </w:instrText>
      </w:r>
      <w:r w:rsidR="003B4FA7">
        <w:rPr>
          <w:i/>
        </w:rPr>
        <w:fldChar w:fldCharType="end"/>
      </w:r>
      <w:r w:rsidR="08B00ABD">
        <w:t xml:space="preserve"> (kap. 3</w:t>
      </w:r>
      <w:r w:rsidR="00A05094">
        <w:t>.3.2</w:t>
      </w:r>
      <w:r w:rsidR="00A05094" w:rsidRPr="00273106">
        <w:t>) a Scotovo objektivní jsoucno dané na úrovni metafyzického pojmu (</w:t>
      </w:r>
      <w:r w:rsidR="00A05094" w:rsidRPr="00273106">
        <w:rPr>
          <w:i/>
        </w:rPr>
        <w:t>conceptus simpliciter simplex</w:t>
      </w:r>
      <w:r w:rsidR="001057F4">
        <w:rPr>
          <w:i/>
        </w:rPr>
        <w:fldChar w:fldCharType="begin"/>
      </w:r>
      <w:r w:rsidR="001057F4">
        <w:instrText xml:space="preserve"> XE "</w:instrText>
      </w:r>
      <w:r w:rsidR="001057F4" w:rsidRPr="00FF6A6C">
        <w:rPr>
          <w:i/>
        </w:rPr>
        <w:instrText>conceptus simpliciter simplex</w:instrText>
      </w:r>
      <w:r w:rsidR="001057F4">
        <w:instrText xml:space="preserve">" </w:instrText>
      </w:r>
      <w:r w:rsidR="001057F4">
        <w:rPr>
          <w:i/>
        </w:rPr>
        <w:fldChar w:fldCharType="end"/>
      </w:r>
      <w:r w:rsidR="08B00ABD">
        <w:t>; OBJ III, kap. 5</w:t>
      </w:r>
      <w:r w:rsidR="00A05094" w:rsidRPr="00273106">
        <w:t xml:space="preserve">.3.2). </w:t>
      </w:r>
      <w:r w:rsidR="0035402C" w:rsidRPr="00273106">
        <w:t>Jiný model humanity založí Siger z Brabantu v rámci prvního averroismu, který po něm převezme Dante</w:t>
      </w:r>
      <w:r w:rsidR="00DB7D90">
        <w:fldChar w:fldCharType="begin"/>
      </w:r>
      <w:r w:rsidR="00DB7D90">
        <w:instrText xml:space="preserve"> XE "</w:instrText>
      </w:r>
      <w:r w:rsidR="00DB7D90" w:rsidRPr="00E871B9">
        <w:instrText>Dante, A.</w:instrText>
      </w:r>
      <w:r w:rsidR="00DB7D90">
        <w:instrText xml:space="preserve">" </w:instrText>
      </w:r>
      <w:r w:rsidR="00DB7D90">
        <w:fldChar w:fldCharType="end"/>
      </w:r>
      <w:r w:rsidR="0871686F">
        <w:t xml:space="preserve"> do podoby </w:t>
      </w:r>
      <w:r w:rsidR="0035402C" w:rsidRPr="00273106">
        <w:t>antimoderníh</w:t>
      </w:r>
      <w:r w:rsidR="0871686F">
        <w:t>o</w:t>
      </w:r>
      <w:r w:rsidR="0035402C" w:rsidRPr="00273106">
        <w:t xml:space="preserve"> humanismu v rámci </w:t>
      </w:r>
      <w:r w:rsidR="0035402C" w:rsidRPr="00273106">
        <w:rPr>
          <w:i/>
        </w:rPr>
        <w:t>universitas humana</w:t>
      </w:r>
      <w:r w:rsidR="008B47B0">
        <w:rPr>
          <w:i/>
        </w:rPr>
        <w:fldChar w:fldCharType="begin"/>
      </w:r>
      <w:r w:rsidR="008B47B0">
        <w:instrText xml:space="preserve"> XE "</w:instrText>
      </w:r>
      <w:r w:rsidR="008B47B0" w:rsidRPr="00A16633">
        <w:rPr>
          <w:i/>
        </w:rPr>
        <w:instrText>universitas humana</w:instrText>
      </w:r>
      <w:r w:rsidR="008B47B0">
        <w:instrText xml:space="preserve">" </w:instrText>
      </w:r>
      <w:r w:rsidR="008B47B0">
        <w:rPr>
          <w:i/>
        </w:rPr>
        <w:fldChar w:fldCharType="end"/>
      </w:r>
      <w:r w:rsidR="00EC0975">
        <w:rPr>
          <w:i/>
        </w:rPr>
        <w:t xml:space="preserve"> </w:t>
      </w:r>
      <w:r w:rsidR="084E026F">
        <w:t>(</w:t>
      </w:r>
      <w:r w:rsidR="08B00ABD">
        <w:t>OBJ III, kap. 4</w:t>
      </w:r>
      <w:r w:rsidR="084E026F">
        <w:t>.4.3</w:t>
      </w:r>
      <w:r w:rsidR="0035402C" w:rsidRPr="00273106">
        <w:t>).</w:t>
      </w:r>
      <w:r w:rsidR="0035402C">
        <w:t xml:space="preserve"> </w:t>
      </w:r>
      <w:r w:rsidR="0035402C" w:rsidRPr="00273106">
        <w:t>Pojetí pravdy v modelu hypostázované predikace existence zásadně odmítli William z Auvergne, Albert Veliký a</w:t>
      </w:r>
      <w:r w:rsidR="00D83D58">
        <w:t xml:space="preserve"> Roger Bacon, když kolem </w:t>
      </w:r>
      <w:r w:rsidR="001731F1">
        <w:t xml:space="preserve">roku </w:t>
      </w:r>
      <w:r w:rsidR="00D83D58">
        <w:t>1240</w:t>
      </w:r>
      <w:r w:rsidR="0035402C" w:rsidRPr="00273106">
        <w:t xml:space="preserve"> polemizovali na Pařížské univerzitě s</w:t>
      </w:r>
      <w:r w:rsidR="08A03F21">
        <w:t xml:space="preserve"> druhou </w:t>
      </w:r>
      <w:r w:rsidR="0035402C" w:rsidRPr="00273106">
        <w:t xml:space="preserve">vlnou </w:t>
      </w:r>
      <w:r w:rsidR="0035402C" w:rsidRPr="00273106">
        <w:rPr>
          <w:i/>
        </w:rPr>
        <w:t>Modernorum</w:t>
      </w:r>
      <w:r w:rsidR="0035402C" w:rsidRPr="00273106">
        <w:t xml:space="preserve"> vzešlých z prostředí logických škol ovlivněných porretány a </w:t>
      </w:r>
      <w:r w:rsidR="0035402C" w:rsidRPr="00273106">
        <w:rPr>
          <w:i/>
        </w:rPr>
        <w:t>Nominales</w:t>
      </w:r>
      <w:r w:rsidR="0035402C" w:rsidRPr="00273106">
        <w:t xml:space="preserve">. Zhruba od </w:t>
      </w:r>
      <w:r w:rsidR="001731F1">
        <w:t xml:space="preserve">roku </w:t>
      </w:r>
      <w:r w:rsidR="083E7912">
        <w:t>1220</w:t>
      </w:r>
      <w:r w:rsidR="0035402C" w:rsidRPr="00273106">
        <w:t xml:space="preserve"> dostaly </w:t>
      </w:r>
      <w:r w:rsidR="08AF66B1">
        <w:t xml:space="preserve">aristotelské </w:t>
      </w:r>
      <w:r w:rsidR="0035402C" w:rsidRPr="00273106">
        <w:t xml:space="preserve">školy </w:t>
      </w:r>
      <w:r w:rsidR="08AF66B1">
        <w:t xml:space="preserve">vzniklé transformací Pařížské školy na Pařížskou univerzitu </w:t>
      </w:r>
      <w:r w:rsidR="0035402C" w:rsidRPr="00273106">
        <w:t xml:space="preserve">mohutný </w:t>
      </w:r>
      <w:r w:rsidR="00896B77">
        <w:t>impulz díky zavedení Averroe</w:t>
      </w:r>
      <w:r w:rsidR="0035402C">
        <w:t xml:space="preserve">sovy filosofie, která trvá na aristotelském pojetí pravdy jako </w:t>
      </w:r>
      <w:r w:rsidR="0035402C" w:rsidRPr="00273106">
        <w:rPr>
          <w:i/>
        </w:rPr>
        <w:t>proportio</w:t>
      </w:r>
      <w:r w:rsidR="00B7167E">
        <w:rPr>
          <w:i/>
        </w:rPr>
        <w:fldChar w:fldCharType="begin"/>
      </w:r>
      <w:r w:rsidR="00B7167E">
        <w:instrText xml:space="preserve"> XE "pravda:</w:instrText>
      </w:r>
      <w:r w:rsidR="00B7167E" w:rsidRPr="00947194">
        <w:rPr>
          <w:i/>
        </w:rPr>
        <w:instrText>proportio</w:instrText>
      </w:r>
      <w:r w:rsidR="00B7167E">
        <w:instrText xml:space="preserve">" </w:instrText>
      </w:r>
      <w:r w:rsidR="00B7167E">
        <w:rPr>
          <w:i/>
        </w:rPr>
        <w:fldChar w:fldCharType="end"/>
      </w:r>
      <w:r w:rsidR="0035402C" w:rsidRPr="00273106">
        <w:t xml:space="preserve"> (</w:t>
      </w:r>
      <w:r w:rsidR="08BA7AE8">
        <w:t xml:space="preserve">OBJ I, </w:t>
      </w:r>
      <w:r w:rsidR="0035402C" w:rsidRPr="00273106">
        <w:t>kap. 2.4.2). Pojetí pravd</w:t>
      </w:r>
      <w:r w:rsidR="0096145E">
        <w:t>ivosti</w:t>
      </w:r>
      <w:r w:rsidR="0035402C" w:rsidRPr="00273106">
        <w:t xml:space="preserve"> jako výčtu hypostází v rámci </w:t>
      </w:r>
      <w:r w:rsidR="08FF7E91">
        <w:t xml:space="preserve">pravdy jako </w:t>
      </w:r>
      <w:r w:rsidR="0035402C" w:rsidRPr="00273106">
        <w:rPr>
          <w:i/>
        </w:rPr>
        <w:t>rectitudo</w:t>
      </w:r>
      <w:r w:rsidR="0035402C" w:rsidRPr="00273106">
        <w:t xml:space="preserve"> </w:t>
      </w:r>
      <w:r w:rsidR="08FF7E91">
        <w:t xml:space="preserve">a </w:t>
      </w:r>
      <w:r w:rsidR="08FF7E91" w:rsidRPr="08FF7E91">
        <w:rPr>
          <w:i/>
        </w:rPr>
        <w:t>certitudo</w:t>
      </w:r>
      <w:r w:rsidR="08FF7E91">
        <w:t xml:space="preserve"> vytěsnilo </w:t>
      </w:r>
      <w:r w:rsidR="0035402C" w:rsidRPr="00273106">
        <w:t xml:space="preserve">první substanci </w:t>
      </w:r>
      <w:r w:rsidR="08FF7E91">
        <w:t xml:space="preserve">novým diakosmem hypostází. Vznik </w:t>
      </w:r>
      <w:r w:rsidR="085C3788">
        <w:t xml:space="preserve">latinské </w:t>
      </w:r>
      <w:r w:rsidR="08FF7E91">
        <w:t>formy mystického</w:t>
      </w:r>
      <w:r w:rsidR="08FF7E91" w:rsidRPr="00273106">
        <w:t xml:space="preserve"> </w:t>
      </w:r>
      <w:r w:rsidR="08FF7E91" w:rsidRPr="00273106">
        <w:rPr>
          <w:i/>
          <w:iCs/>
        </w:rPr>
        <w:t>mundus imaginalis</w:t>
      </w:r>
      <w:r w:rsidR="08FF7E91">
        <w:rPr>
          <w:i/>
          <w:iCs/>
        </w:rPr>
        <w:fldChar w:fldCharType="begin"/>
      </w:r>
      <w:r w:rsidR="08FF7E91">
        <w:instrText xml:space="preserve"> XE "</w:instrText>
      </w:r>
      <w:r w:rsidR="08FF7E91" w:rsidRPr="00FF0A6C">
        <w:rPr>
          <w:i/>
          <w:iCs/>
        </w:rPr>
        <w:instrText>mundus imaginalis</w:instrText>
      </w:r>
      <w:r w:rsidR="08FF7E91">
        <w:instrText xml:space="preserve">" </w:instrText>
      </w:r>
      <w:r w:rsidR="08FF7E91">
        <w:rPr>
          <w:i/>
          <w:iCs/>
        </w:rPr>
        <w:fldChar w:fldCharType="end"/>
      </w:r>
      <w:r w:rsidR="08FF7E91">
        <w:rPr>
          <w:i/>
          <w:iCs/>
        </w:rPr>
        <w:t xml:space="preserve"> </w:t>
      </w:r>
      <w:r w:rsidR="08FF7E91" w:rsidRPr="00273106">
        <w:rPr>
          <w:iCs/>
        </w:rPr>
        <w:t>súfismu</w:t>
      </w:r>
      <w:r w:rsidR="08FF7E91">
        <w:rPr>
          <w:iCs/>
        </w:rPr>
        <w:t xml:space="preserve"> objektivizovaného Avicennou </w:t>
      </w:r>
      <w:r w:rsidR="0035402C" w:rsidRPr="00273106">
        <w:t xml:space="preserve">zakládá epochální </w:t>
      </w:r>
      <w:r w:rsidR="0035402C" w:rsidRPr="00273106">
        <w:rPr>
          <w:i/>
        </w:rPr>
        <w:t>Irrtum</w:t>
      </w:r>
      <w:r w:rsidR="0035402C" w:rsidRPr="00273106">
        <w:t xml:space="preserve"> </w:t>
      </w:r>
      <w:r w:rsidR="085C3788">
        <w:t xml:space="preserve">latinské </w:t>
      </w:r>
      <w:r w:rsidR="08CA5EB0">
        <w:t xml:space="preserve">moderny, která </w:t>
      </w:r>
      <w:r w:rsidR="08CE1094">
        <w:t xml:space="preserve">skrze objektivně danou slepotu k první substanci logicky nutně a jistě </w:t>
      </w:r>
      <w:r w:rsidR="08CA5EB0">
        <w:t xml:space="preserve">vedla křesťanský Západ </w:t>
      </w:r>
      <w:r w:rsidR="00FF3144">
        <w:t>k </w:t>
      </w:r>
      <w:r w:rsidR="08CA5EB0">
        <w:t>metafyzické</w:t>
      </w:r>
      <w:r w:rsidR="00FF3144">
        <w:t xml:space="preserve">mu </w:t>
      </w:r>
      <w:r w:rsidR="08412381" w:rsidRPr="00273106">
        <w:t>nihilismu</w:t>
      </w:r>
      <w:r w:rsidR="0035402C" w:rsidRPr="00273106">
        <w:t>.</w:t>
      </w:r>
      <w:r w:rsidR="08A703F3">
        <w:t xml:space="preserve"> Myslitelské cesty </w:t>
      </w:r>
      <w:r w:rsidR="0878483B">
        <w:t xml:space="preserve">islámského </w:t>
      </w:r>
      <w:r w:rsidR="08A703F3">
        <w:t xml:space="preserve">Západu a </w:t>
      </w:r>
      <w:r w:rsidR="085D3733">
        <w:t xml:space="preserve">moderního </w:t>
      </w:r>
      <w:r w:rsidR="08A703F3">
        <w:t xml:space="preserve">latinského Západu utvářeného </w:t>
      </w:r>
      <w:r w:rsidR="085D3733">
        <w:t xml:space="preserve">první </w:t>
      </w:r>
      <w:r w:rsidR="08A703F3">
        <w:t xml:space="preserve">objektivní formou </w:t>
      </w:r>
      <w:r w:rsidR="08A703F3" w:rsidRPr="08A703F3">
        <w:rPr>
          <w:i/>
        </w:rPr>
        <w:t>Seinsvergessenheit</w:t>
      </w:r>
      <w:r w:rsidR="08A703F3">
        <w:t xml:space="preserve"> se </w:t>
      </w:r>
      <w:r w:rsidR="008E13A5">
        <w:t xml:space="preserve">nutně </w:t>
      </w:r>
      <w:r w:rsidR="08A703F3">
        <w:t>rozešly ve druh</w:t>
      </w:r>
      <w:r w:rsidR="08D64130">
        <w:t>é polovině 12. století</w:t>
      </w:r>
      <w:r w:rsidR="08A703F3">
        <w:t xml:space="preserve">. </w:t>
      </w:r>
      <w:r w:rsidR="00567FDE">
        <w:t xml:space="preserve">Další </w:t>
      </w:r>
      <w:r w:rsidR="08D64130">
        <w:t xml:space="preserve">setkání obou cest myšlení utvářeného </w:t>
      </w:r>
      <w:r w:rsidR="00567FDE">
        <w:t xml:space="preserve">aristotelskou </w:t>
      </w:r>
      <w:r w:rsidR="00D4087E">
        <w:t>falsafou vzniklo</w:t>
      </w:r>
      <w:r w:rsidR="08D64130">
        <w:t xml:space="preserve"> v Paříži v letech 1220‒30,</w:t>
      </w:r>
      <w:r w:rsidR="08914AE3">
        <w:t xml:space="preserve"> když</w:t>
      </w:r>
      <w:r w:rsidR="00D4087E">
        <w:t xml:space="preserve"> Blundova škola recipovala</w:t>
      </w:r>
      <w:r w:rsidR="08D64130">
        <w:t xml:space="preserve"> metafyziku Komentátora v modu Abelardova aristotelismu.</w:t>
      </w:r>
    </w:p>
    <w:p w14:paraId="3B960136" w14:textId="77777777" w:rsidR="00924C36" w:rsidRPr="00273106" w:rsidRDefault="08626077" w:rsidP="00BF02AC">
      <w:pPr>
        <w:pStyle w:val="Nadpis2"/>
      </w:pPr>
      <w:bookmarkStart w:id="35" w:name="_Toc487234293"/>
      <w:bookmarkStart w:id="36" w:name="_Toc12558300"/>
      <w:r>
        <w:rPr>
          <w:lang w:val="cs-CZ"/>
        </w:rPr>
        <w:br w:type="page"/>
      </w:r>
      <w:bookmarkStart w:id="37" w:name="_Toc160449312"/>
      <w:r w:rsidR="08D20D28">
        <w:rPr>
          <w:lang w:val="cs-CZ"/>
        </w:rPr>
        <w:lastRenderedPageBreak/>
        <w:t>1</w:t>
      </w:r>
      <w:r w:rsidR="0026656F" w:rsidRPr="00273106">
        <w:t>.6</w:t>
      </w:r>
      <w:r w:rsidR="00924C36" w:rsidRPr="00273106">
        <w:t xml:space="preserve"> </w:t>
      </w:r>
      <w:r w:rsidR="087207D9">
        <w:rPr>
          <w:lang w:val="cs-CZ"/>
        </w:rPr>
        <w:t>Vznik moderního nominalismu</w:t>
      </w:r>
      <w:bookmarkEnd w:id="35"/>
      <w:bookmarkEnd w:id="36"/>
      <w:bookmarkEnd w:id="37"/>
    </w:p>
    <w:p w14:paraId="655BCF0B" w14:textId="23E200EB" w:rsidR="00151AFE" w:rsidRDefault="08733E1F" w:rsidP="009B112D">
      <w:r>
        <w:t>S</w:t>
      </w:r>
      <w:r w:rsidR="008527DC" w:rsidRPr="00273106">
        <w:t xml:space="preserve">por o pojetí pravdy mezi Anselmem a Abelardem </w:t>
      </w:r>
      <w:r w:rsidR="08682C76">
        <w:t xml:space="preserve">určil původní místo </w:t>
      </w:r>
      <w:r w:rsidR="08682C76">
        <w:rPr>
          <w:rStyle w:val="st"/>
        </w:rPr>
        <w:t xml:space="preserve">vzniku </w:t>
      </w:r>
      <w:r w:rsidR="08682C76" w:rsidRPr="00273106">
        <w:rPr>
          <w:rStyle w:val="st"/>
        </w:rPr>
        <w:t>moderní vědy</w:t>
      </w:r>
      <w:r w:rsidR="08682C76">
        <w:rPr>
          <w:rStyle w:val="st"/>
        </w:rPr>
        <w:t xml:space="preserve"> (</w:t>
      </w:r>
      <w:r w:rsidR="08682C76" w:rsidRPr="082F1027">
        <w:rPr>
          <w:rStyle w:val="st"/>
          <w:i/>
        </w:rPr>
        <w:t>ortus scientiarum</w:t>
      </w:r>
      <w:r w:rsidR="08682C76">
        <w:rPr>
          <w:rStyle w:val="st"/>
          <w:i/>
        </w:rPr>
        <w:fldChar w:fldCharType="begin"/>
      </w:r>
      <w:r w:rsidR="08682C76">
        <w:instrText xml:space="preserve"> XE "</w:instrText>
      </w:r>
      <w:r w:rsidR="08682C76" w:rsidRPr="08472F12">
        <w:rPr>
          <w:rStyle w:val="st"/>
          <w:i/>
        </w:rPr>
        <w:instrText>ortus scientiarum</w:instrText>
      </w:r>
      <w:r w:rsidR="08682C76">
        <w:instrText xml:space="preserve">" </w:instrText>
      </w:r>
      <w:r w:rsidR="08682C76">
        <w:rPr>
          <w:rStyle w:val="st"/>
          <w:i/>
        </w:rPr>
        <w:fldChar w:fldCharType="end"/>
      </w:r>
      <w:r w:rsidR="08682C76">
        <w:rPr>
          <w:rStyle w:val="st"/>
        </w:rPr>
        <w:t>) na latinské</w:t>
      </w:r>
      <w:r w:rsidR="08F168A0">
        <w:rPr>
          <w:rStyle w:val="st"/>
        </w:rPr>
        <w:t>m</w:t>
      </w:r>
      <w:r w:rsidR="08682C76">
        <w:rPr>
          <w:rStyle w:val="st"/>
        </w:rPr>
        <w:t xml:space="preserve"> Západě. N</w:t>
      </w:r>
      <w:r w:rsidR="008527DC" w:rsidRPr="00273106">
        <w:t>ov</w:t>
      </w:r>
      <w:r w:rsidR="088717AB">
        <w:t xml:space="preserve">é určení substance </w:t>
      </w:r>
      <w:r w:rsidR="08682C76">
        <w:t>vznikl</w:t>
      </w:r>
      <w:r w:rsidR="088717AB">
        <w:t>o</w:t>
      </w:r>
      <w:r w:rsidR="08682C76">
        <w:t xml:space="preserve"> v momentu</w:t>
      </w:r>
      <w:r w:rsidR="008527DC" w:rsidRPr="00273106">
        <w:t>, kdy kvantita a materie začaly hrát roli nového jsoucna třetího druhu.</w:t>
      </w:r>
      <w:r w:rsidR="008527DC">
        <w:t xml:space="preserve"> </w:t>
      </w:r>
      <w:r w:rsidR="08931CA3">
        <w:t>Herme</w:t>
      </w:r>
      <w:r w:rsidR="08FC4FC4">
        <w:t>ne</w:t>
      </w:r>
      <w:r w:rsidR="08931CA3">
        <w:t>utika v modu apollinské séma</w:t>
      </w:r>
      <w:r w:rsidR="08FC4FC4">
        <w:t>n</w:t>
      </w:r>
      <w:r w:rsidR="08AF79CB">
        <w:t xml:space="preserve">tiky </w:t>
      </w:r>
      <w:r w:rsidR="08F2325F">
        <w:t xml:space="preserve">symbolizuje </w:t>
      </w:r>
      <w:r w:rsidR="08AF79CB">
        <w:t xml:space="preserve">vznik moderního </w:t>
      </w:r>
      <w:r w:rsidR="08AF79CB" w:rsidRPr="08AF79CB">
        <w:rPr>
          <w:i/>
        </w:rPr>
        <w:t>tertium ens</w:t>
      </w:r>
      <w:r w:rsidR="08AF79CB">
        <w:t xml:space="preserve"> skrze </w:t>
      </w:r>
      <w:r w:rsidR="000952E9">
        <w:t xml:space="preserve">nelítostný </w:t>
      </w:r>
      <w:r w:rsidR="085234B2">
        <w:t>spor</w:t>
      </w:r>
      <w:r w:rsidR="000952E9">
        <w:t xml:space="preserve"> dvou klášterních škol v Paříži.</w:t>
      </w:r>
      <w:r w:rsidR="08D75176">
        <w:t xml:space="preserve"> </w:t>
      </w:r>
      <w:r w:rsidR="00CB3E4F">
        <w:t>Abélard</w:t>
      </w:r>
      <w:r w:rsidR="000952E9">
        <w:t xml:space="preserve"> </w:t>
      </w:r>
      <w:r w:rsidR="08931CA3">
        <w:t xml:space="preserve">nastupuje </w:t>
      </w:r>
      <w:r w:rsidR="000952E9">
        <w:t xml:space="preserve">roku 1100 </w:t>
      </w:r>
      <w:r w:rsidR="08931CA3">
        <w:t xml:space="preserve">na katedrální </w:t>
      </w:r>
      <w:r w:rsidR="08931CA3" w:rsidRPr="000952E9">
        <w:t xml:space="preserve">školu </w:t>
      </w:r>
      <w:r w:rsidR="00355F28">
        <w:t>v opatství svaté Jenovéfy (</w:t>
      </w:r>
      <w:r w:rsidR="00355F28" w:rsidRPr="00355F28">
        <w:rPr>
          <w:i/>
        </w:rPr>
        <w:t>L'</w:t>
      </w:r>
      <w:r w:rsidR="00355F28">
        <w:rPr>
          <w:i/>
        </w:rPr>
        <w:t>abbaye Sainte-Geneviève</w:t>
      </w:r>
      <w:r w:rsidR="00355F28">
        <w:t>)</w:t>
      </w:r>
      <w:r w:rsidR="08BE0C6A">
        <w:t>,</w:t>
      </w:r>
      <w:r w:rsidR="08931CA3">
        <w:t xml:space="preserve"> </w:t>
      </w:r>
      <w:r w:rsidR="000952E9">
        <w:t xml:space="preserve">kde zahajuje výuku autentického aristotelismu. Neoplatonik a jeho filosofický protivník </w:t>
      </w:r>
      <w:r w:rsidR="000952E9" w:rsidRPr="08931CA3">
        <w:t>Guillaume de Champeaux</w:t>
      </w:r>
      <w:r w:rsidR="000952E9">
        <w:fldChar w:fldCharType="begin"/>
      </w:r>
      <w:r w:rsidR="000952E9">
        <w:instrText xml:space="preserve"> XE "</w:instrText>
      </w:r>
      <w:r w:rsidR="000952E9" w:rsidRPr="08023008">
        <w:instrText>Guillaume de Champeaux</w:instrText>
      </w:r>
      <w:r w:rsidR="000952E9">
        <w:instrText xml:space="preserve">" </w:instrText>
      </w:r>
      <w:r w:rsidR="000952E9">
        <w:fldChar w:fldCharType="end"/>
      </w:r>
      <w:r w:rsidR="000952E9">
        <w:t xml:space="preserve"> zakládá v roce 1108 jinou katedrální  školu v</w:t>
      </w:r>
      <w:r w:rsidR="08931CA3">
        <w:t xml:space="preserve"> opatství Svatého Viktora (</w:t>
      </w:r>
      <w:r w:rsidR="08931CA3" w:rsidRPr="08BE0C6A">
        <w:rPr>
          <w:i/>
        </w:rPr>
        <w:t>l'abbaye Saint-Victor</w:t>
      </w:r>
      <w:r w:rsidR="08931CA3">
        <w:t xml:space="preserve">) na opačném břehu Seiny. </w:t>
      </w:r>
      <w:r w:rsidR="08931CA3" w:rsidRPr="08931CA3">
        <w:t>Guillaume</w:t>
      </w:r>
      <w:r w:rsidR="08931CA3">
        <w:t xml:space="preserve"> prohrál ve veřejné disputaci </w:t>
      </w:r>
      <w:r w:rsidR="088D470D">
        <w:t xml:space="preserve">svou tezi o univerzáliích </w:t>
      </w:r>
      <w:r w:rsidR="08931CA3">
        <w:t>s </w:t>
      </w:r>
      <w:r w:rsidR="088D470D">
        <w:t>mladým</w:t>
      </w:r>
      <w:r w:rsidR="08931CA3">
        <w:t xml:space="preserve"> Abelarde</w:t>
      </w:r>
      <w:r w:rsidR="088D470D">
        <w:t>m</w:t>
      </w:r>
      <w:r w:rsidR="08931CA3">
        <w:t xml:space="preserve"> </w:t>
      </w:r>
      <w:r w:rsidR="08623EA4">
        <w:t>(</w:t>
      </w:r>
      <w:r w:rsidR="08CE1137">
        <w:t xml:space="preserve">tzv. </w:t>
      </w:r>
      <w:r w:rsidR="00CA2734">
        <w:t>„</w:t>
      </w:r>
      <w:r w:rsidR="08623EA4" w:rsidRPr="08931CA3">
        <w:rPr>
          <w:i/>
        </w:rPr>
        <w:t>Querelle des Universaux</w:t>
      </w:r>
      <w:r w:rsidR="00CA2734">
        <w:t>“</w:t>
      </w:r>
      <w:r w:rsidR="08623EA4">
        <w:t>). T</w:t>
      </w:r>
      <w:r w:rsidR="08931CA3">
        <w:t xml:space="preserve">ento osobní spor zahajuje éru </w:t>
      </w:r>
      <w:r w:rsidR="08553CA6">
        <w:t>tzv. „</w:t>
      </w:r>
      <w:r w:rsidR="08931CA3">
        <w:t>sporu o univerzália</w:t>
      </w:r>
      <w:r w:rsidR="08553CA6">
        <w:t>“</w:t>
      </w:r>
      <w:r w:rsidR="08206E74">
        <w:fldChar w:fldCharType="begin"/>
      </w:r>
      <w:r w:rsidR="08206E74">
        <w:instrText xml:space="preserve"> XE "</w:instrText>
      </w:r>
      <w:r w:rsidR="08206E74" w:rsidRPr="08204B89">
        <w:instrText>spor o univerzália</w:instrText>
      </w:r>
      <w:r w:rsidR="08206E74">
        <w:instrText xml:space="preserve">" </w:instrText>
      </w:r>
      <w:r w:rsidR="08206E74">
        <w:fldChar w:fldCharType="end"/>
      </w:r>
      <w:r w:rsidR="08553CA6">
        <w:t xml:space="preserve"> napojenou na </w:t>
      </w:r>
      <w:r w:rsidR="08680F05">
        <w:t xml:space="preserve">systematickou </w:t>
      </w:r>
      <w:r w:rsidR="08553CA6">
        <w:t xml:space="preserve">kritiku </w:t>
      </w:r>
      <w:r w:rsidR="08135824">
        <w:t>Abelar</w:t>
      </w:r>
      <w:r w:rsidR="080F79B2">
        <w:t>dovy filosofie a teologie vedenou</w:t>
      </w:r>
      <w:r w:rsidR="08135824">
        <w:t xml:space="preserve"> z opatství Svatého Viktora.</w:t>
      </w:r>
      <w:r w:rsidR="08135824">
        <w:rPr>
          <w:rStyle w:val="Znakapoznpodarou"/>
        </w:rPr>
        <w:footnoteReference w:id="76"/>
      </w:r>
      <w:r w:rsidR="08931CA3">
        <w:t xml:space="preserve"> Pokračováním tohoto boje mezi modernisty a aristoteliky bude boj o tzv. „averroismus“. </w:t>
      </w:r>
      <w:r w:rsidR="00E5574E">
        <w:t xml:space="preserve">Nové pojetí jsoucna a jeho </w:t>
      </w:r>
      <w:r>
        <w:t>asimilace skrze moderní subjekt</w:t>
      </w:r>
      <w:r w:rsidR="00E5574E">
        <w:t xml:space="preserve"> </w:t>
      </w:r>
      <w:r w:rsidR="00385A3B" w:rsidRPr="00273106">
        <w:t xml:space="preserve">rozběhlo nihilistické dobrodružství západní moderny, které shrnují Heideggerovy pojmy </w:t>
      </w:r>
      <w:r w:rsidR="00385A3B" w:rsidRPr="00273106">
        <w:rPr>
          <w:i/>
        </w:rPr>
        <w:t>Irre</w:t>
      </w:r>
      <w:r w:rsidR="00BC0DC9">
        <w:rPr>
          <w:i/>
        </w:rPr>
        <w:fldChar w:fldCharType="begin"/>
      </w:r>
      <w:r w:rsidR="00BC0DC9">
        <w:instrText xml:space="preserve"> XE "</w:instrText>
      </w:r>
      <w:r w:rsidR="00BC0DC9" w:rsidRPr="00E338E0">
        <w:rPr>
          <w:i/>
        </w:rPr>
        <w:instrText>Irre</w:instrText>
      </w:r>
      <w:r w:rsidR="00BC0DC9">
        <w:instrText xml:space="preserve">" </w:instrText>
      </w:r>
      <w:r w:rsidR="00BC0DC9">
        <w:rPr>
          <w:i/>
        </w:rPr>
        <w:fldChar w:fldCharType="end"/>
      </w:r>
      <w:r w:rsidR="00385A3B" w:rsidRPr="00273106">
        <w:t xml:space="preserve"> a </w:t>
      </w:r>
      <w:r w:rsidR="00385A3B" w:rsidRPr="00273106">
        <w:rPr>
          <w:i/>
        </w:rPr>
        <w:t>Irrtum</w:t>
      </w:r>
      <w:r w:rsidR="00385A3B" w:rsidRPr="00273106">
        <w:t xml:space="preserve">. Po uvedení Avicenny na Západ dostane pravda jako </w:t>
      </w:r>
      <w:r w:rsidR="00385A3B" w:rsidRPr="00273106">
        <w:rPr>
          <w:i/>
        </w:rPr>
        <w:t>rectitudo</w:t>
      </w:r>
      <w:r w:rsidR="00385A3B" w:rsidRPr="00273106">
        <w:t xml:space="preserve"> nové potvrzení ve františkánské škole </w:t>
      </w:r>
      <w:r w:rsidR="001263C9">
        <w:t xml:space="preserve">v Paříži </w:t>
      </w:r>
      <w:r w:rsidR="00385A3B" w:rsidRPr="00273106">
        <w:t xml:space="preserve">editující kolektivní dílo </w:t>
      </w:r>
      <w:r w:rsidR="00385A3B" w:rsidRPr="00273106">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385A3B" w:rsidRPr="00273106">
        <w:t xml:space="preserve">, které začal psát Alexander Hales. Tato škola </w:t>
      </w:r>
      <w:r w:rsidR="00B5421B">
        <w:t xml:space="preserve">odmítla </w:t>
      </w:r>
      <w:r w:rsidR="00385A3B" w:rsidRPr="00273106">
        <w:t xml:space="preserve">Abelardovo pojetí pravdy odvozené od </w:t>
      </w:r>
      <w:r w:rsidR="00B5421B">
        <w:t xml:space="preserve">kategoriální predikace substance </w:t>
      </w:r>
      <w:r w:rsidR="00385A3B" w:rsidRPr="00273106">
        <w:t xml:space="preserve">a vzala Anselmovo </w:t>
      </w:r>
      <w:r w:rsidR="00385A3B" w:rsidRPr="00273106">
        <w:rPr>
          <w:i/>
        </w:rPr>
        <w:t>rectitudo</w:t>
      </w:r>
      <w:r w:rsidR="00C14CEC">
        <w:rPr>
          <w:i/>
        </w:rPr>
        <w:fldChar w:fldCharType="begin"/>
      </w:r>
      <w:r w:rsidR="00C14CEC">
        <w:instrText xml:space="preserve"> XE "pravda:</w:instrText>
      </w:r>
      <w:r w:rsidR="00C14CEC" w:rsidRPr="00E42152">
        <w:rPr>
          <w:i/>
        </w:rPr>
        <w:instrText>rectitudo</w:instrText>
      </w:r>
      <w:r w:rsidR="00C14CEC">
        <w:instrText xml:space="preserve">" </w:instrText>
      </w:r>
      <w:r w:rsidR="00C14CEC">
        <w:rPr>
          <w:i/>
        </w:rPr>
        <w:fldChar w:fldCharType="end"/>
      </w:r>
      <w:r w:rsidR="00385A3B" w:rsidRPr="00273106">
        <w:t xml:space="preserve"> </w:t>
      </w:r>
      <w:r w:rsidR="08B70702">
        <w:t xml:space="preserve">a Avicennovo </w:t>
      </w:r>
      <w:r w:rsidR="08B70702" w:rsidRPr="08B70702">
        <w:rPr>
          <w:i/>
        </w:rPr>
        <w:t>certitudo</w:t>
      </w:r>
      <w:r w:rsidR="08B70702">
        <w:t xml:space="preserve"> </w:t>
      </w:r>
      <w:r w:rsidR="00385A3B" w:rsidRPr="00273106">
        <w:t xml:space="preserve">za základní teorii pravdy. Na konci tohoto vývoje najdeme první moderní koncept objektivně jistého jsoucna </w:t>
      </w:r>
      <w:r w:rsidR="00385A3B" w:rsidRPr="00273106">
        <w:rPr>
          <w:i/>
        </w:rPr>
        <w:t xml:space="preserve"> </w:t>
      </w:r>
      <w:r w:rsidR="00385A3B" w:rsidRPr="00273106">
        <w:t>v díle Henryho z Gentu</w:t>
      </w:r>
      <w:r w:rsidR="00FF3DCB">
        <w:t xml:space="preserve"> </w:t>
      </w:r>
      <w:r w:rsidR="00FF3DCB" w:rsidRPr="00273106">
        <w:t>(</w:t>
      </w:r>
      <w:r w:rsidR="00FF3DCB" w:rsidRPr="00136BB3">
        <w:rPr>
          <w:i/>
        </w:rPr>
        <w:t>res a reor reris</w:t>
      </w:r>
      <w:r w:rsidR="00FF3DCB" w:rsidRPr="00273106">
        <w:t>)</w:t>
      </w:r>
      <w:r w:rsidR="00385A3B" w:rsidRPr="00273106">
        <w:t xml:space="preserve">, který rozvine objektivní metafyzika Dunse Scota. </w:t>
      </w:r>
      <w:r w:rsidR="00CB3E4F">
        <w:t>Abélard</w:t>
      </w:r>
      <w:r w:rsidR="00385A3B" w:rsidRPr="00273106">
        <w:t xml:space="preserve"> a jeho nástupci ve škole prvního averroismu na</w:t>
      </w:r>
      <w:r w:rsidR="00605C54">
        <w:t>opak hájí Aristotelovo a Averroe</w:t>
      </w:r>
      <w:r w:rsidR="00385A3B" w:rsidRPr="00273106">
        <w:t xml:space="preserve">sovo pojetí pravdy jako </w:t>
      </w:r>
      <w:r w:rsidR="002E3B62">
        <w:rPr>
          <w:i/>
        </w:rPr>
        <w:t>adaequatio</w:t>
      </w:r>
      <w:r w:rsidR="00C161A5">
        <w:rPr>
          <w:i/>
        </w:rPr>
        <w:fldChar w:fldCharType="begin"/>
      </w:r>
      <w:r w:rsidR="00C161A5">
        <w:instrText xml:space="preserve"> XE "</w:instrText>
      </w:r>
      <w:r w:rsidR="002E3B62">
        <w:rPr>
          <w:i/>
        </w:rPr>
        <w:instrText>adaequatio</w:instrText>
      </w:r>
      <w:r w:rsidR="00C161A5" w:rsidRPr="00BD02BA">
        <w:rPr>
          <w:i/>
        </w:rPr>
        <w:instrText>:</w:instrText>
      </w:r>
      <w:r w:rsidR="00C161A5" w:rsidRPr="00BD02BA">
        <w:instrText>A</w:instrText>
      </w:r>
      <w:r w:rsidR="00C14CEC">
        <w:instrText>belard</w:instrText>
      </w:r>
      <w:r w:rsidR="00C161A5">
        <w:instrText xml:space="preserve">" </w:instrText>
      </w:r>
      <w:r w:rsidR="00C161A5">
        <w:rPr>
          <w:i/>
        </w:rPr>
        <w:fldChar w:fldCharType="end"/>
      </w:r>
      <w:r w:rsidR="00385A3B" w:rsidRPr="00273106">
        <w:t>, které vyvozují z interpretace Aristotelových spisů.</w:t>
      </w:r>
      <w:r w:rsidR="00385A3B">
        <w:t xml:space="preserve"> </w:t>
      </w:r>
      <w:r w:rsidR="08326C8D">
        <w:t xml:space="preserve">V současné gigantomachii uzavírající spor </w:t>
      </w:r>
      <w:r w:rsidR="08326C8D" w:rsidRPr="00273106">
        <w:t>Abelarda a An</w:t>
      </w:r>
      <w:r w:rsidR="08326C8D">
        <w:t xml:space="preserve">selma opustil mladý aristotelik Heidegger avicennistu Husserla, který patřil ke karteziánské škole Brentana. Heideggerovou osudovou Heloisou se stala Hana Arentová, která završila politickou interpretaci Aristotela v linii </w:t>
      </w:r>
      <w:r w:rsidR="08326C8D">
        <w:lastRenderedPageBreak/>
        <w:t>zapomenutého prvního averroismu, kterou na Z</w:t>
      </w:r>
      <w:r w:rsidR="0052464A">
        <w:t>ápad uvedl Albert Veliký (</w:t>
      </w:r>
      <w:r w:rsidR="00AE7047" w:rsidRPr="082F131C">
        <w:rPr>
          <w:i/>
          <w:szCs w:val="24"/>
        </w:rPr>
        <w:t>intellectus practicus</w:t>
      </w:r>
      <w:r w:rsidR="00AE7047">
        <w:rPr>
          <w:szCs w:val="24"/>
        </w:rPr>
        <w:t>, OBJ III, Kap. 6</w:t>
      </w:r>
      <w:r w:rsidR="002D2227">
        <w:rPr>
          <w:szCs w:val="24"/>
        </w:rPr>
        <w:t>.1</w:t>
      </w:r>
      <w:r w:rsidR="00151AFE">
        <w:t>).</w:t>
      </w:r>
      <w:r w:rsidR="004B3DC9">
        <w:t xml:space="preserve"> Aristotelská metafyzika a politická filosofie vždy sledovaly reálný stav světa, protože pravdivou vědu dělá pouze impozice smyslu od první </w:t>
      </w:r>
      <w:r w:rsidR="00952FEC">
        <w:t xml:space="preserve">hyparchické </w:t>
      </w:r>
      <w:r w:rsidR="004B3DC9">
        <w:t xml:space="preserve">substance. </w:t>
      </w:r>
    </w:p>
    <w:p w14:paraId="44A6E467" w14:textId="77777777" w:rsidR="007C716A" w:rsidRDefault="00C83E44" w:rsidP="00AD59AC">
      <w:pPr>
        <w:ind w:firstLine="397"/>
      </w:pPr>
      <w:r>
        <w:t>R</w:t>
      </w:r>
      <w:r w:rsidR="084B4D6E" w:rsidRPr="00273106">
        <w:t xml:space="preserve">ozbory dělení </w:t>
      </w:r>
      <w:r>
        <w:t xml:space="preserve">univerzálního významu podle </w:t>
      </w:r>
      <w:r w:rsidR="084B4D6E" w:rsidRPr="00273106">
        <w:rPr>
          <w:i/>
        </w:rPr>
        <w:t>Arbor Porphyriana</w:t>
      </w:r>
      <w:r w:rsidR="00B65DFD">
        <w:rPr>
          <w:i/>
        </w:rPr>
        <w:fldChar w:fldCharType="begin"/>
      </w:r>
      <w:r w:rsidR="00B65DFD">
        <w:instrText xml:space="preserve"> XE "</w:instrText>
      </w:r>
      <w:r w:rsidR="00B65DFD" w:rsidRPr="00227C7B">
        <w:rPr>
          <w:i/>
        </w:rPr>
        <w:instrText>Arbor Porphyriana</w:instrText>
      </w:r>
      <w:r w:rsidR="00B65DFD">
        <w:instrText xml:space="preserve">" </w:instrText>
      </w:r>
      <w:r w:rsidR="00B65DFD">
        <w:rPr>
          <w:i/>
        </w:rPr>
        <w:fldChar w:fldCharType="end"/>
      </w:r>
      <w:r w:rsidR="084B4D6E" w:rsidRPr="00273106">
        <w:t xml:space="preserve"> ukázaly, že nástupci Gilberta </w:t>
      </w:r>
      <w:r w:rsidR="002239AA">
        <w:t>de La Porrée</w:t>
      </w:r>
      <w:r w:rsidR="084B4D6E" w:rsidRPr="00273106">
        <w:t xml:space="preserve"> už nevyžadují existenci reálné věci k zajištění vědeckého poznání jednotliviny, jak to požadoval </w:t>
      </w:r>
      <w:r w:rsidR="00CB3E4F">
        <w:t>Abélard</w:t>
      </w:r>
      <w:r w:rsidR="084B4D6E" w:rsidRPr="00273106">
        <w:t>. Gilbert v rámci univocity jsoucna pracuje pouze s</w:t>
      </w:r>
      <w:r w:rsidR="00BE4A8A">
        <w:t xml:space="preserve"> nominálním </w:t>
      </w:r>
      <w:r w:rsidR="084B4D6E" w:rsidRPr="00273106">
        <w:t>určením subsistence</w:t>
      </w:r>
      <w:r w:rsidR="00015564">
        <w:fldChar w:fldCharType="begin"/>
      </w:r>
      <w:r w:rsidR="00015564">
        <w:instrText xml:space="preserve"> XE "</w:instrText>
      </w:r>
      <w:r w:rsidR="00015564" w:rsidRPr="001D1E42">
        <w:instrText>subsistence</w:instrText>
      </w:r>
      <w:r w:rsidR="00BA4143">
        <w:instrText>:porretáni</w:instrText>
      </w:r>
      <w:r w:rsidR="00015564">
        <w:instrText xml:space="preserve">" </w:instrText>
      </w:r>
      <w:r w:rsidR="00015564">
        <w:fldChar w:fldCharType="end"/>
      </w:r>
      <w:r w:rsidR="084B4D6E" w:rsidRPr="00273106">
        <w:t xml:space="preserve"> dané skrze její participaci na souboru neměnných </w:t>
      </w:r>
      <w:r w:rsidR="0840436E">
        <w:t>hypostází</w:t>
      </w:r>
      <w:r w:rsidR="00BA4143">
        <w:fldChar w:fldCharType="begin"/>
      </w:r>
      <w:r w:rsidR="00BA4143">
        <w:instrText xml:space="preserve"> XE "</w:instrText>
      </w:r>
      <w:r w:rsidR="00BA4143" w:rsidRPr="00887494">
        <w:instrText>kvália</w:instrText>
      </w:r>
      <w:r w:rsidR="00BA4143">
        <w:instrText xml:space="preserve">" </w:instrText>
      </w:r>
      <w:r w:rsidR="00BA4143">
        <w:fldChar w:fldCharType="end"/>
      </w:r>
      <w:r w:rsidR="084B4D6E" w:rsidRPr="00273106">
        <w:t xml:space="preserve">. </w:t>
      </w:r>
      <w:r w:rsidR="08AB212F" w:rsidRPr="00273106">
        <w:t>P</w:t>
      </w:r>
      <w:r w:rsidR="00C819F6" w:rsidRPr="00273106">
        <w:t>ojetí prav</w:t>
      </w:r>
      <w:r w:rsidR="004A055A" w:rsidRPr="00273106">
        <w:t>dy jako formálně správné komita</w:t>
      </w:r>
      <w:r w:rsidR="00C819F6" w:rsidRPr="00273106">
        <w:t>ce</w:t>
      </w:r>
      <w:r w:rsidR="00EB71B3">
        <w:fldChar w:fldCharType="begin"/>
      </w:r>
      <w:r w:rsidR="00EB71B3">
        <w:instrText xml:space="preserve"> XE "</w:instrText>
      </w:r>
      <w:r w:rsidR="00EB71B3" w:rsidRPr="00467B7F">
        <w:instrText>komitace</w:instrText>
      </w:r>
      <w:r w:rsidR="00EB71B3">
        <w:instrText xml:space="preserve">" </w:instrText>
      </w:r>
      <w:r w:rsidR="00EB71B3">
        <w:fldChar w:fldCharType="end"/>
      </w:r>
      <w:r w:rsidR="00C819F6" w:rsidRPr="00273106">
        <w:t xml:space="preserve"> </w:t>
      </w:r>
      <w:r w:rsidR="00987870" w:rsidRPr="00273106">
        <w:t xml:space="preserve">a </w:t>
      </w:r>
      <w:r w:rsidR="00000A89" w:rsidRPr="00273106">
        <w:t>univoční predi</w:t>
      </w:r>
      <w:r w:rsidR="08AB212F" w:rsidRPr="00273106">
        <w:t xml:space="preserve">kace </w:t>
      </w:r>
      <w:r w:rsidR="00EE6540" w:rsidRPr="00273106">
        <w:t>existence</w:t>
      </w:r>
      <w:r w:rsidR="00447B4A">
        <w:t xml:space="preserve"> </w:t>
      </w:r>
      <w:r w:rsidR="003A1F2C">
        <w:t>najdeme v logických</w:t>
      </w:r>
      <w:r w:rsidR="00447B4A" w:rsidRPr="00273106">
        <w:t xml:space="preserve"> škol</w:t>
      </w:r>
      <w:r w:rsidR="003A1F2C">
        <w:t xml:space="preserve">ách </w:t>
      </w:r>
      <w:r w:rsidR="00447B4A" w:rsidRPr="00273106">
        <w:t>navazující</w:t>
      </w:r>
      <w:r w:rsidR="003A1F2C">
        <w:t>ch</w:t>
      </w:r>
      <w:r w:rsidR="00447B4A" w:rsidRPr="00273106">
        <w:t xml:space="preserve"> na Gilberta </w:t>
      </w:r>
      <w:r w:rsidR="002239AA">
        <w:t>de La Porrée</w:t>
      </w:r>
      <w:r w:rsidR="00447B4A">
        <w:t>. D</w:t>
      </w:r>
      <w:r w:rsidR="00447B4A" w:rsidRPr="00273106">
        <w:t xml:space="preserve">ále nedělitelné individuum určené vlastním jménem </w:t>
      </w:r>
      <w:r w:rsidR="00447B4A">
        <w:t xml:space="preserve">dostalo </w:t>
      </w:r>
      <w:r w:rsidR="00D822EF">
        <w:t xml:space="preserve">nominální </w:t>
      </w:r>
      <w:r w:rsidR="00447B4A">
        <w:t xml:space="preserve">tělo </w:t>
      </w:r>
      <w:r w:rsidR="00530242" w:rsidRPr="00273106">
        <w:t xml:space="preserve">a </w:t>
      </w:r>
      <w:r w:rsidR="00447B4A">
        <w:t xml:space="preserve">k tomu soubor </w:t>
      </w:r>
      <w:r w:rsidR="00DD6CBC" w:rsidRPr="00273106">
        <w:t>hypostázovaných k</w:t>
      </w:r>
      <w:r w:rsidR="00530242" w:rsidRPr="00273106">
        <w:t>valit</w:t>
      </w:r>
      <w:r w:rsidR="00447B4A">
        <w:t xml:space="preserve">. </w:t>
      </w:r>
      <w:r w:rsidR="08E47800">
        <w:t>Traktáty</w:t>
      </w:r>
      <w:r w:rsidR="00A761CC" w:rsidRPr="00273106">
        <w:t xml:space="preserve"> typu </w:t>
      </w:r>
      <w:r w:rsidR="00A761CC" w:rsidRPr="00273106">
        <w:rPr>
          <w:i/>
        </w:rPr>
        <w:t xml:space="preserve">Sophismata, </w:t>
      </w:r>
      <w:r w:rsidR="00A046FB">
        <w:rPr>
          <w:i/>
        </w:rPr>
        <w:t>Quaestiones</w:t>
      </w:r>
      <w:r w:rsidR="00A761CC" w:rsidRPr="00273106">
        <w:rPr>
          <w:i/>
        </w:rPr>
        <w:t xml:space="preserve"> logicales </w:t>
      </w:r>
      <w:r w:rsidR="00A761CC" w:rsidRPr="00273106">
        <w:t>či</w:t>
      </w:r>
      <w:r w:rsidR="00A761CC" w:rsidRPr="00273106">
        <w:rPr>
          <w:i/>
        </w:rPr>
        <w:t xml:space="preserve"> Syncategoremata</w:t>
      </w:r>
      <w:r w:rsidR="08FA4BBC">
        <w:t xml:space="preserve"> tvrdí, že </w:t>
      </w:r>
      <w:r w:rsidR="08E47800">
        <w:t>i kdyby neexistovala žádná reálná osoba, tak objektivně určený člověk přesto bude mít rodové určení typu animality (</w:t>
      </w:r>
      <w:r w:rsidR="08E47800" w:rsidRPr="08E47800">
        <w:rPr>
          <w:i/>
        </w:rPr>
        <w:t>o</w:t>
      </w:r>
      <w:r w:rsidR="00A761CC" w:rsidRPr="08E47800">
        <w:rPr>
          <w:i/>
        </w:rPr>
        <w:t>mnis</w:t>
      </w:r>
      <w:r w:rsidR="00A761CC" w:rsidRPr="00273106">
        <w:rPr>
          <w:i/>
        </w:rPr>
        <w:t xml:space="preserve"> homo de necessitate est animal, nullo homine existente</w:t>
      </w:r>
      <w:r w:rsidR="08E47800">
        <w:t xml:space="preserve">). Stejně tak zněla odpověď na </w:t>
      </w:r>
      <w:r w:rsidR="00A761CC" w:rsidRPr="00273106">
        <w:t>problém autonomní signifikace pro jednotliviny</w:t>
      </w:r>
      <w:r w:rsidR="08E47800">
        <w:t>, protože i mrtvý César je stále Césarem (</w:t>
      </w:r>
      <w:r w:rsidR="00A761CC" w:rsidRPr="00273106">
        <w:rPr>
          <w:i/>
        </w:rPr>
        <w:t>Caesar est Caesar, Caesare mortuo</w:t>
      </w:r>
      <w:r w:rsidR="08E47800">
        <w:t>)</w:t>
      </w:r>
      <w:r w:rsidR="007D593F">
        <w:t xml:space="preserve">. </w:t>
      </w:r>
      <w:r w:rsidR="007D593F" w:rsidRPr="007D593F">
        <w:t xml:space="preserve">Filosofie jazyka v éře intelektuálního nihilismu opakovala tento argument větou </w:t>
      </w:r>
      <w:r w:rsidR="007D593F" w:rsidRPr="002C53B6">
        <w:t>„</w:t>
      </w:r>
      <w:r w:rsidR="007D593F" w:rsidRPr="002C53B6">
        <w:rPr>
          <w:i/>
        </w:rPr>
        <w:t>The present king of France is bald</w:t>
      </w:r>
      <w:r w:rsidR="007D593F" w:rsidRPr="002C53B6">
        <w:t>“ (Bertrand Russel</w:t>
      </w:r>
      <w:r w:rsidR="007D593F">
        <w:t>l</w:t>
      </w:r>
      <w:r w:rsidR="007D593F" w:rsidRPr="002C53B6">
        <w:t>)</w:t>
      </w:r>
      <w:r w:rsidR="007D593F">
        <w:t xml:space="preserve">, aby uzavřela </w:t>
      </w:r>
      <w:r w:rsidR="007D593F" w:rsidRPr="007D593F">
        <w:rPr>
          <w:i/>
        </w:rPr>
        <w:t>circulus vitiosus</w:t>
      </w:r>
      <w:r w:rsidR="007D593F">
        <w:t xml:space="preserve"> moderní logiky</w:t>
      </w:r>
      <w:r w:rsidR="00E3089B">
        <w:t xml:space="preserve"> v</w:t>
      </w:r>
      <w:r w:rsidR="00C90CF1">
        <w:t xml:space="preserve">e Freudově </w:t>
      </w:r>
      <w:r w:rsidR="00E3089B">
        <w:t>obranném mechanismu nutkavého opakování (</w:t>
      </w:r>
      <w:r w:rsidR="00E3089B" w:rsidRPr="00E3089B">
        <w:rPr>
          <w:i/>
          <w:szCs w:val="24"/>
        </w:rPr>
        <w:t>Wiederholungszwang</w:t>
      </w:r>
      <w:r w:rsidR="00E3089B">
        <w:rPr>
          <w:szCs w:val="24"/>
        </w:rPr>
        <w:t>)</w:t>
      </w:r>
      <w:r w:rsidR="007D593F">
        <w:t>.</w:t>
      </w:r>
      <w:r w:rsidR="008F47D2" w:rsidRPr="00273106">
        <w:rPr>
          <w:rStyle w:val="Znakapoznpodarou"/>
        </w:rPr>
        <w:footnoteReference w:id="77"/>
      </w:r>
      <w:r w:rsidR="006367C5">
        <w:t xml:space="preserve"> </w:t>
      </w:r>
      <w:r w:rsidR="082C36C7">
        <w:t>Přeměnou humanismu Avicenny na n</w:t>
      </w:r>
      <w:r w:rsidR="080D5C1D">
        <w:t>ominal</w:t>
      </w:r>
      <w:r w:rsidR="082C36C7">
        <w:t>i</w:t>
      </w:r>
      <w:r w:rsidR="080D5C1D">
        <w:t>s</w:t>
      </w:r>
      <w:r w:rsidR="082C36C7">
        <w:t>tický humanismu</w:t>
      </w:r>
      <w:r w:rsidR="080D5C1D">
        <w:t>s</w:t>
      </w:r>
      <w:r w:rsidR="082C36C7">
        <w:t xml:space="preserve"> porr</w:t>
      </w:r>
      <w:r w:rsidR="080D5C1D">
        <w:t>e</w:t>
      </w:r>
      <w:r w:rsidR="082C36C7">
        <w:t xml:space="preserve">tánů vznikl na latinském Západně první objektivní humanismus člověka-mrtvoly. </w:t>
      </w:r>
      <w:r w:rsidR="00163370">
        <w:t xml:space="preserve">Tehdejší </w:t>
      </w:r>
      <w:r w:rsidR="003D1AD7" w:rsidRPr="00273106">
        <w:rPr>
          <w:lang w:eastAsia="en-US"/>
        </w:rPr>
        <w:t xml:space="preserve">logické školy měly </w:t>
      </w:r>
      <w:r w:rsidR="00E43166">
        <w:rPr>
          <w:lang w:eastAsia="en-US"/>
        </w:rPr>
        <w:t xml:space="preserve">ve druhé polovině 12. století </w:t>
      </w:r>
      <w:r w:rsidR="003D1AD7" w:rsidRPr="00273106">
        <w:rPr>
          <w:lang w:eastAsia="en-US"/>
        </w:rPr>
        <w:t xml:space="preserve">s </w:t>
      </w:r>
      <w:r w:rsidR="003D1AD7" w:rsidRPr="00273106">
        <w:rPr>
          <w:i/>
          <w:lang w:eastAsia="en-US"/>
        </w:rPr>
        <w:t>Nominales</w:t>
      </w:r>
      <w:r w:rsidR="003D1AD7" w:rsidRPr="00273106">
        <w:rPr>
          <w:lang w:eastAsia="en-US"/>
        </w:rPr>
        <w:t xml:space="preserve"> </w:t>
      </w:r>
      <w:r w:rsidR="00E43166">
        <w:rPr>
          <w:lang w:eastAsia="en-US"/>
        </w:rPr>
        <w:t xml:space="preserve">společná </w:t>
      </w:r>
      <w:r w:rsidR="003D1AD7" w:rsidRPr="00273106">
        <w:rPr>
          <w:lang w:eastAsia="en-US"/>
        </w:rPr>
        <w:t xml:space="preserve">pouze některá témata, </w:t>
      </w:r>
      <w:r w:rsidR="008679A0">
        <w:rPr>
          <w:lang w:eastAsia="en-US"/>
        </w:rPr>
        <w:t xml:space="preserve">ale </w:t>
      </w:r>
      <w:r w:rsidR="003D1AD7" w:rsidRPr="00273106">
        <w:rPr>
          <w:lang w:eastAsia="en-US"/>
        </w:rPr>
        <w:t xml:space="preserve">netvořily koherentní celek. </w:t>
      </w:r>
      <w:r w:rsidR="005A6065" w:rsidRPr="00273106">
        <w:t xml:space="preserve">Vedle nové </w:t>
      </w:r>
      <w:r w:rsidR="005A6065" w:rsidRPr="00273106">
        <w:rPr>
          <w:i/>
        </w:rPr>
        <w:t>logica Modernorum</w:t>
      </w:r>
      <w:r w:rsidR="00667210">
        <w:rPr>
          <w:i/>
        </w:rPr>
        <w:fldChar w:fldCharType="begin"/>
      </w:r>
      <w:r w:rsidR="00667210">
        <w:instrText xml:space="preserve"> XE "</w:instrText>
      </w:r>
      <w:r w:rsidR="00667210" w:rsidRPr="001100BE">
        <w:rPr>
          <w:i/>
        </w:rPr>
        <w:instrText>logica Modernorum</w:instrText>
      </w:r>
      <w:r w:rsidR="00667210">
        <w:instrText xml:space="preserve">" </w:instrText>
      </w:r>
      <w:r w:rsidR="00667210">
        <w:rPr>
          <w:i/>
        </w:rPr>
        <w:fldChar w:fldCharType="end"/>
      </w:r>
      <w:r w:rsidR="005A6065" w:rsidRPr="00273106">
        <w:t xml:space="preserve"> existovaly školy v klasické aristotelské linii </w:t>
      </w:r>
      <w:r w:rsidR="005A6065" w:rsidRPr="00273106">
        <w:rPr>
          <w:i/>
        </w:rPr>
        <w:t>logica Vetus</w:t>
      </w:r>
      <w:r w:rsidR="005C6D76">
        <w:rPr>
          <w:i/>
        </w:rPr>
        <w:fldChar w:fldCharType="begin"/>
      </w:r>
      <w:r w:rsidR="005C6D76">
        <w:instrText xml:space="preserve"> XE "</w:instrText>
      </w:r>
      <w:r w:rsidR="005C6D76" w:rsidRPr="007C256F">
        <w:rPr>
          <w:i/>
        </w:rPr>
        <w:instrText>logica Vetus</w:instrText>
      </w:r>
      <w:r w:rsidR="005C6D76">
        <w:instrText xml:space="preserve">" </w:instrText>
      </w:r>
      <w:r w:rsidR="005C6D76">
        <w:rPr>
          <w:i/>
        </w:rPr>
        <w:fldChar w:fldCharType="end"/>
      </w:r>
      <w:r w:rsidR="005A6065" w:rsidRPr="00273106">
        <w:t xml:space="preserve"> dané od Boethia a Abelarda. Tito aristotelikové argumentovali proti tezím </w:t>
      </w:r>
      <w:r w:rsidR="005A6065" w:rsidRPr="00273106">
        <w:rPr>
          <w:i/>
        </w:rPr>
        <w:t>Nominales</w:t>
      </w:r>
      <w:r w:rsidR="005A6065" w:rsidRPr="00273106">
        <w:t xml:space="preserve"> v rámci </w:t>
      </w:r>
      <w:r w:rsidR="00605C54">
        <w:t xml:space="preserve">adekvačního </w:t>
      </w:r>
      <w:r w:rsidR="00A048BE">
        <w:t xml:space="preserve">pojetí pravdy, které bránilo </w:t>
      </w:r>
      <w:r w:rsidR="00766AC2">
        <w:t>impozici významu danou od</w:t>
      </w:r>
      <w:r w:rsidR="005A6065" w:rsidRPr="00273106">
        <w:t xml:space="preserve"> </w:t>
      </w:r>
      <w:r w:rsidR="00766AC2">
        <w:t>hyparchické</w:t>
      </w:r>
      <w:r w:rsidR="00766AC2" w:rsidRPr="00273106">
        <w:t xml:space="preserve"> </w:t>
      </w:r>
      <w:r w:rsidR="005A6065" w:rsidRPr="00273106">
        <w:t xml:space="preserve">první substance. </w:t>
      </w:r>
      <w:r w:rsidR="003D1AD7" w:rsidRPr="00273106">
        <w:rPr>
          <w:lang w:eastAsia="en-US"/>
        </w:rPr>
        <w:t>P</w:t>
      </w:r>
      <w:r w:rsidR="00DC08AB" w:rsidRPr="00273106">
        <w:t xml:space="preserve">říklad </w:t>
      </w:r>
      <w:r w:rsidR="00F016BD" w:rsidRPr="00273106">
        <w:t xml:space="preserve">autorů spisu </w:t>
      </w:r>
      <w:r w:rsidR="00DC08AB" w:rsidRPr="00273106">
        <w:rPr>
          <w:i/>
        </w:rPr>
        <w:t>Tractatus Anagnini</w:t>
      </w:r>
      <w:r w:rsidR="005C6D76">
        <w:rPr>
          <w:i/>
        </w:rPr>
        <w:fldChar w:fldCharType="begin"/>
      </w:r>
      <w:r w:rsidR="005C6D76">
        <w:instrText xml:space="preserve"> XE "logické školy:</w:instrText>
      </w:r>
      <w:r w:rsidR="005C6D76" w:rsidRPr="00436B3A">
        <w:rPr>
          <w:i/>
        </w:rPr>
        <w:instrText>Anagnini</w:instrText>
      </w:r>
      <w:r w:rsidR="005C6D76">
        <w:instrText xml:space="preserve">" </w:instrText>
      </w:r>
      <w:r w:rsidR="005C6D76">
        <w:rPr>
          <w:i/>
        </w:rPr>
        <w:fldChar w:fldCharType="end"/>
      </w:r>
      <w:r w:rsidR="00DC08AB" w:rsidRPr="00273106">
        <w:t xml:space="preserve"> </w:t>
      </w:r>
      <w:r w:rsidR="00944B08" w:rsidRPr="00273106">
        <w:t xml:space="preserve">(kolem </w:t>
      </w:r>
      <w:r w:rsidR="002C5FA9">
        <w:t xml:space="preserve">roku </w:t>
      </w:r>
      <w:r w:rsidR="00944B08" w:rsidRPr="00273106">
        <w:t>11</w:t>
      </w:r>
      <w:r w:rsidR="00A3004F" w:rsidRPr="00273106">
        <w:t>1</w:t>
      </w:r>
      <w:r w:rsidR="00DC08AB" w:rsidRPr="00273106">
        <w:t xml:space="preserve">0) ukazuje, že mnohé </w:t>
      </w:r>
      <w:r w:rsidR="001916BB" w:rsidRPr="00273106">
        <w:t xml:space="preserve">logické </w:t>
      </w:r>
      <w:r w:rsidR="00DC08AB" w:rsidRPr="00273106">
        <w:t xml:space="preserve">školy </w:t>
      </w:r>
      <w:r w:rsidR="086F0DF6">
        <w:t xml:space="preserve">ovlivněné </w:t>
      </w:r>
      <w:r w:rsidR="00291EA6" w:rsidRPr="00273106">
        <w:t>Abelard</w:t>
      </w:r>
      <w:r w:rsidR="00B10924">
        <w:t>em</w:t>
      </w:r>
      <w:r w:rsidR="00291EA6" w:rsidRPr="00273106">
        <w:t xml:space="preserve"> </w:t>
      </w:r>
      <w:r w:rsidR="00DC08AB" w:rsidRPr="00273106">
        <w:t xml:space="preserve">držely </w:t>
      </w:r>
      <w:r w:rsidR="00E20F4D" w:rsidRPr="00273106">
        <w:t xml:space="preserve">statut logického termínu </w:t>
      </w:r>
      <w:r w:rsidR="00897F13" w:rsidRPr="00273106">
        <w:t>(</w:t>
      </w:r>
      <w:r w:rsidR="00897F13" w:rsidRPr="00273106">
        <w:rPr>
          <w:i/>
        </w:rPr>
        <w:t>significatum per terminum</w:t>
      </w:r>
      <w:r w:rsidR="00897F13" w:rsidRPr="00273106">
        <w:t>)</w:t>
      </w:r>
      <w:r w:rsidR="00E20F4D" w:rsidRPr="00273106">
        <w:t xml:space="preserve"> </w:t>
      </w:r>
      <w:r w:rsidR="00B1613A" w:rsidRPr="00273106">
        <w:t xml:space="preserve">striktně </w:t>
      </w:r>
      <w:r w:rsidR="00E20F4D" w:rsidRPr="00273106">
        <w:t xml:space="preserve">na úrovni druhé </w:t>
      </w:r>
      <w:r w:rsidR="00E20F4D" w:rsidRPr="00273106">
        <w:lastRenderedPageBreak/>
        <w:t>substance</w:t>
      </w:r>
      <w:r w:rsidR="00B1613A">
        <w:t xml:space="preserve">, čili pouze </w:t>
      </w:r>
      <w:r w:rsidR="00E20F4D" w:rsidRPr="00273106">
        <w:t>jako logické supozice</w:t>
      </w:r>
      <w:r w:rsidR="00541CB2">
        <w:fldChar w:fldCharType="begin"/>
      </w:r>
      <w:r w:rsidR="008D6104">
        <w:instrText xml:space="preserve"> XE "</w:instrText>
      </w:r>
      <w:r w:rsidR="00541CB2" w:rsidRPr="00541CB2">
        <w:instrText>supozice</w:instrText>
      </w:r>
      <w:r w:rsidR="008D6104">
        <w:instrText>:</w:instrText>
      </w:r>
      <w:r w:rsidR="008D6104" w:rsidRPr="00644FD1">
        <w:rPr>
          <w:i/>
        </w:rPr>
        <w:instrText>Tractatus Anagnini</w:instrText>
      </w:r>
      <w:r w:rsidR="00541CB2">
        <w:instrText xml:space="preserve">" </w:instrText>
      </w:r>
      <w:r w:rsidR="00541CB2">
        <w:fldChar w:fldCharType="end"/>
      </w:r>
      <w:r w:rsidR="00E20F4D" w:rsidRPr="00273106">
        <w:t xml:space="preserve"> (</w:t>
      </w:r>
      <w:r w:rsidR="00E20F4D" w:rsidRPr="00273106">
        <w:rPr>
          <w:i/>
          <w:szCs w:val="18"/>
        </w:rPr>
        <w:t>dici</w:t>
      </w:r>
      <w:r w:rsidR="00E20F4D" w:rsidRPr="00273106">
        <w:rPr>
          <w:szCs w:val="18"/>
        </w:rPr>
        <w:t xml:space="preserve"> </w:t>
      </w:r>
      <w:r w:rsidR="00E20F4D" w:rsidRPr="00273106">
        <w:rPr>
          <w:i/>
          <w:szCs w:val="18"/>
        </w:rPr>
        <w:t>de subiecto</w:t>
      </w:r>
      <w:r w:rsidR="00E20F4D" w:rsidRPr="00273106">
        <w:t>).</w:t>
      </w:r>
      <w:bookmarkStart w:id="38" w:name="_Ref391120817"/>
      <w:r w:rsidR="00E50320" w:rsidRPr="00273106">
        <w:rPr>
          <w:rStyle w:val="Znakapoznpodarou"/>
          <w:sz w:val="22"/>
        </w:rPr>
        <w:footnoteReference w:id="78"/>
      </w:r>
      <w:bookmarkEnd w:id="38"/>
      <w:r w:rsidR="00CA7284">
        <w:t xml:space="preserve"> </w:t>
      </w:r>
      <w:r w:rsidR="006E1C3E">
        <w:t>Tito k</w:t>
      </w:r>
      <w:r w:rsidR="00C1743B" w:rsidRPr="00273106">
        <w:t>lasičtí logikové věděli n</w:t>
      </w:r>
      <w:r w:rsidR="00EE6B51" w:rsidRPr="00273106">
        <w:t xml:space="preserve">a rozdíl od logiky </w:t>
      </w:r>
      <w:r w:rsidR="00EE6B51" w:rsidRPr="00273106">
        <w:rPr>
          <w:i/>
        </w:rPr>
        <w:t>Modernorum</w:t>
      </w:r>
      <w:r w:rsidR="00375982" w:rsidRPr="00273106">
        <w:t xml:space="preserve">, </w:t>
      </w:r>
      <w:r w:rsidR="009D797F" w:rsidRPr="00273106">
        <w:t>že s</w:t>
      </w:r>
      <w:r w:rsidR="00375982" w:rsidRPr="00273106">
        <w:t xml:space="preserve">upozice </w:t>
      </w:r>
      <w:r w:rsidR="009D797F" w:rsidRPr="00273106">
        <w:t>nese trojí rozdílný význam</w:t>
      </w:r>
      <w:r w:rsidR="00384343" w:rsidRPr="00273106">
        <w:t xml:space="preserve"> (</w:t>
      </w:r>
      <w:r w:rsidR="00384343" w:rsidRPr="00273106">
        <w:rPr>
          <w:i/>
          <w:szCs w:val="18"/>
        </w:rPr>
        <w:t xml:space="preserve">'subiectus' </w:t>
      </w:r>
      <w:r w:rsidR="00384343" w:rsidRPr="00273106">
        <w:rPr>
          <w:i/>
        </w:rPr>
        <w:t>tripliciter dicitur</w:t>
      </w:r>
      <w:r w:rsidR="00384343" w:rsidRPr="00273106">
        <w:t>)</w:t>
      </w:r>
      <w:r w:rsidR="001B170D" w:rsidRPr="00273106">
        <w:t xml:space="preserve">. Supozice je dána: 1) </w:t>
      </w:r>
      <w:r w:rsidR="00B1613A">
        <w:t xml:space="preserve">metafyzicky </w:t>
      </w:r>
      <w:r w:rsidR="00375982" w:rsidRPr="00273106">
        <w:t xml:space="preserve">vzhledem k subjektu </w:t>
      </w:r>
      <w:r w:rsidR="00256BAB" w:rsidRPr="00273106">
        <w:t xml:space="preserve">jako </w:t>
      </w:r>
      <w:r w:rsidR="003F29D2">
        <w:t xml:space="preserve">druhé </w:t>
      </w:r>
      <w:r w:rsidR="00256BAB" w:rsidRPr="00273106">
        <w:t>substanci</w:t>
      </w:r>
      <w:r w:rsidR="00B1613A">
        <w:t xml:space="preserve">, kdy predikace zahrnuje význam </w:t>
      </w:r>
      <w:r w:rsidR="08D41D17">
        <w:t xml:space="preserve">daný impozicí od hyparchické </w:t>
      </w:r>
      <w:r w:rsidR="00B1613A">
        <w:t>první substance</w:t>
      </w:r>
      <w:r w:rsidR="00384343" w:rsidRPr="00273106">
        <w:t xml:space="preserve">; </w:t>
      </w:r>
      <w:r w:rsidR="001B170D" w:rsidRPr="00273106">
        <w:t xml:space="preserve">2) </w:t>
      </w:r>
      <w:r w:rsidR="00B1613A">
        <w:t xml:space="preserve">kategoriálně </w:t>
      </w:r>
      <w:r w:rsidR="00384343" w:rsidRPr="00273106">
        <w:t xml:space="preserve">vzhledem k </w:t>
      </w:r>
      <w:r w:rsidR="084A3B14">
        <w:t>supozici druhé substance</w:t>
      </w:r>
      <w:r w:rsidR="00B1613A" w:rsidRPr="00273106">
        <w:t xml:space="preserve"> </w:t>
      </w:r>
      <w:r w:rsidR="00B1613A">
        <w:t xml:space="preserve">a jejímu </w:t>
      </w:r>
      <w:r w:rsidR="00375982" w:rsidRPr="00273106">
        <w:t>akcidentu</w:t>
      </w:r>
      <w:r w:rsidR="00384343" w:rsidRPr="00273106">
        <w:t xml:space="preserve">; </w:t>
      </w:r>
      <w:r w:rsidR="001B170D" w:rsidRPr="00273106">
        <w:t xml:space="preserve">3) </w:t>
      </w:r>
      <w:r w:rsidR="08F142C9">
        <w:t xml:space="preserve">nominálně </w:t>
      </w:r>
      <w:r w:rsidR="00384343" w:rsidRPr="00273106">
        <w:t>vzhledem k subjektu</w:t>
      </w:r>
      <w:r w:rsidR="00375982" w:rsidRPr="00273106">
        <w:t xml:space="preserve"> </w:t>
      </w:r>
      <w:r w:rsidR="001B170D" w:rsidRPr="00273106">
        <w:t xml:space="preserve">jako prvku </w:t>
      </w:r>
      <w:r w:rsidR="00384343" w:rsidRPr="00273106">
        <w:t>výpovědi</w:t>
      </w:r>
      <w:r w:rsidR="001B170D" w:rsidRPr="00273106">
        <w:t xml:space="preserve"> v rámci pouhé </w:t>
      </w:r>
      <w:r w:rsidR="00B1613A">
        <w:t>nezáva</w:t>
      </w:r>
      <w:r w:rsidR="000A30E1">
        <w:t>zné</w:t>
      </w:r>
      <w:r w:rsidR="00B1613A">
        <w:t xml:space="preserve"> </w:t>
      </w:r>
      <w:r w:rsidR="001B170D" w:rsidRPr="00273106">
        <w:t>sign</w:t>
      </w:r>
      <w:r w:rsidR="004C3B64" w:rsidRPr="00273106">
        <w:t xml:space="preserve">ifikace. Poslední nejobecnější, ale pouze ekvivoční rovinu signifikace určuje </w:t>
      </w:r>
      <w:r w:rsidR="00D27B29">
        <w:t xml:space="preserve">na úrovni mluvy </w:t>
      </w:r>
      <w:r w:rsidR="001B170D" w:rsidRPr="00273106">
        <w:t xml:space="preserve">Abelardovo </w:t>
      </w:r>
      <w:r w:rsidR="001B170D" w:rsidRPr="00273106">
        <w:rPr>
          <w:i/>
        </w:rPr>
        <w:t>oratio</w:t>
      </w:r>
      <w:r w:rsidR="004C3B64" w:rsidRPr="00273106">
        <w:t xml:space="preserve"> (</w:t>
      </w:r>
      <w:r w:rsidR="001B156E">
        <w:t>kap. 3.3</w:t>
      </w:r>
      <w:r w:rsidR="004C3B64" w:rsidRPr="00273106">
        <w:t>)</w:t>
      </w:r>
      <w:r w:rsidR="00375982" w:rsidRPr="00273106">
        <w:t xml:space="preserve">. </w:t>
      </w:r>
      <w:r w:rsidR="001B170D" w:rsidRPr="00273106">
        <w:t>T</w:t>
      </w:r>
      <w:r w:rsidR="001569C1" w:rsidRPr="00273106">
        <w:t>en</w:t>
      </w:r>
      <w:r w:rsidR="00E20F4D" w:rsidRPr="00273106">
        <w:t xml:space="preserve">to </w:t>
      </w:r>
      <w:r w:rsidR="001569C1" w:rsidRPr="00273106">
        <w:t xml:space="preserve">všeobecný popis </w:t>
      </w:r>
      <w:r w:rsidR="00F627AB">
        <w:t xml:space="preserve">daný ve třetím druhu signifikace </w:t>
      </w:r>
      <w:r w:rsidR="00215FE6" w:rsidRPr="00273106">
        <w:t>(</w:t>
      </w:r>
      <w:r w:rsidR="00215FE6" w:rsidRPr="00273106">
        <w:rPr>
          <w:i/>
        </w:rPr>
        <w:t>descriptio universalitatis</w:t>
      </w:r>
      <w:r w:rsidR="00215FE6" w:rsidRPr="00273106">
        <w:t xml:space="preserve">) </w:t>
      </w:r>
      <w:r w:rsidR="00E20F4D" w:rsidRPr="00273106">
        <w:t>oddělili</w:t>
      </w:r>
      <w:r w:rsidR="00B16A21" w:rsidRPr="00273106">
        <w:t xml:space="preserve"> </w:t>
      </w:r>
      <w:r w:rsidR="00756683" w:rsidRPr="00273106">
        <w:t xml:space="preserve">Anagninci </w:t>
      </w:r>
      <w:r w:rsidR="00DC08AB" w:rsidRPr="00273106">
        <w:t xml:space="preserve">od </w:t>
      </w:r>
      <w:r w:rsidR="00E20F4D" w:rsidRPr="00273106">
        <w:t xml:space="preserve">kategoriálního </w:t>
      </w:r>
      <w:r w:rsidR="00DC08AB" w:rsidRPr="00273106">
        <w:t xml:space="preserve">určení </w:t>
      </w:r>
      <w:r w:rsidR="001569C1" w:rsidRPr="00273106">
        <w:t xml:space="preserve">druhé </w:t>
      </w:r>
      <w:r w:rsidR="00DC08AB" w:rsidRPr="00273106">
        <w:t>substance</w:t>
      </w:r>
      <w:r w:rsidR="00E20F4D" w:rsidRPr="00273106">
        <w:t xml:space="preserve"> </w:t>
      </w:r>
      <w:r w:rsidR="005A11D8" w:rsidRPr="00273106">
        <w:t>(</w:t>
      </w:r>
      <w:r w:rsidR="005A11D8" w:rsidRPr="00273106">
        <w:rPr>
          <w:i/>
          <w:szCs w:val="18"/>
        </w:rPr>
        <w:t>non esse in subiecto</w:t>
      </w:r>
      <w:r w:rsidR="005A11D8" w:rsidRPr="00273106">
        <w:t>)</w:t>
      </w:r>
      <w:r w:rsidR="005A11D8">
        <w:t xml:space="preserve"> </w:t>
      </w:r>
      <w:r w:rsidR="002A5188" w:rsidRPr="00273106">
        <w:t xml:space="preserve">univočně </w:t>
      </w:r>
      <w:r w:rsidR="00E20F4D" w:rsidRPr="00273106">
        <w:t xml:space="preserve">vázané na </w:t>
      </w:r>
      <w:r w:rsidR="00CA7284">
        <w:t xml:space="preserve">reálnou </w:t>
      </w:r>
      <w:r w:rsidR="00E20F4D" w:rsidRPr="00273106">
        <w:t>existenc</w:t>
      </w:r>
      <w:r w:rsidR="00516010" w:rsidRPr="00273106">
        <w:t xml:space="preserve">i </w:t>
      </w:r>
      <w:r w:rsidR="00E241D7">
        <w:t xml:space="preserve">oddělené </w:t>
      </w:r>
      <w:r w:rsidR="002A5188" w:rsidRPr="00273106">
        <w:t>první substance</w:t>
      </w:r>
      <w:r w:rsidR="005A11D8">
        <w:t xml:space="preserve"> (</w:t>
      </w:r>
      <w:r w:rsidR="005A11D8" w:rsidRPr="005A11D8">
        <w:rPr>
          <w:i/>
        </w:rPr>
        <w:t>inferius sue substantie</w:t>
      </w:r>
      <w:r w:rsidR="005A11D8">
        <w:t>)</w:t>
      </w:r>
      <w:r w:rsidR="00391034" w:rsidRPr="00273106">
        <w:t>. A d</w:t>
      </w:r>
      <w:r w:rsidR="00A80EBB" w:rsidRPr="00273106">
        <w:t xml:space="preserve">ruhá substance </w:t>
      </w:r>
      <w:r w:rsidR="00E20F4D" w:rsidRPr="00273106">
        <w:t xml:space="preserve">má </w:t>
      </w:r>
      <w:r w:rsidR="0040399A">
        <w:t>navíc jiný status v rámci kategoriální predikace</w:t>
      </w:r>
      <w:r w:rsidR="00391034" w:rsidRPr="00273106">
        <w:t>,</w:t>
      </w:r>
      <w:r w:rsidR="00E20F4D" w:rsidRPr="00273106">
        <w:t xml:space="preserve"> než její akcident (</w:t>
      </w:r>
      <w:r w:rsidR="00E20F4D" w:rsidRPr="00273106">
        <w:rPr>
          <w:i/>
          <w:szCs w:val="18"/>
        </w:rPr>
        <w:t>esse in subiecto</w:t>
      </w:r>
      <w:r w:rsidR="00E20F4D" w:rsidRPr="00273106">
        <w:t>)</w:t>
      </w:r>
      <w:r w:rsidR="00DC08AB" w:rsidRPr="00273106">
        <w:t>.</w:t>
      </w:r>
      <w:r w:rsidR="00D4717E" w:rsidRPr="00273106">
        <w:t xml:space="preserve"> </w:t>
      </w:r>
      <w:r w:rsidR="00B00EA5" w:rsidRPr="00273106">
        <w:t xml:space="preserve"> </w:t>
      </w:r>
      <w:r w:rsidR="001454A8">
        <w:t xml:space="preserve">Anagninci hájili aristotelské pojetí Porfyriova stromu proti univoční diferenci </w:t>
      </w:r>
      <w:r w:rsidR="001454A8" w:rsidRPr="0840418F">
        <w:rPr>
          <w:i/>
        </w:rPr>
        <w:t>Nominales</w:t>
      </w:r>
      <w:r w:rsidR="001454A8">
        <w:t xml:space="preserve"> na základě jasného oddělení první a druhé substance. </w:t>
      </w:r>
      <w:r w:rsidR="00763A3F" w:rsidRPr="00273106">
        <w:t>Sémantický, popřípadě logický t</w:t>
      </w:r>
      <w:r w:rsidR="0040399A">
        <w:t>ermín</w:t>
      </w:r>
      <w:r w:rsidR="00B00EA5" w:rsidRPr="00273106">
        <w:t xml:space="preserve"> </w:t>
      </w:r>
      <w:r w:rsidR="003543C0" w:rsidRPr="00273106">
        <w:t xml:space="preserve">nese pouze </w:t>
      </w:r>
      <w:r w:rsidR="006D0C2D" w:rsidRPr="00273106">
        <w:t xml:space="preserve">ekvivoční </w:t>
      </w:r>
      <w:r w:rsidR="003543C0" w:rsidRPr="00273106">
        <w:t>signifikaci, na rozdí</w:t>
      </w:r>
      <w:r w:rsidR="001569C1" w:rsidRPr="00273106">
        <w:t>l od kategoriálně predikovaného</w:t>
      </w:r>
      <w:r w:rsidR="003543C0" w:rsidRPr="00273106">
        <w:t xml:space="preserve"> bytí druhé substance</w:t>
      </w:r>
      <w:r w:rsidR="00F079FE" w:rsidRPr="00273106">
        <w:t xml:space="preserve">, </w:t>
      </w:r>
      <w:r w:rsidR="00982D23" w:rsidRPr="00273106">
        <w:t xml:space="preserve">navíc </w:t>
      </w:r>
      <w:r w:rsidR="00F079FE" w:rsidRPr="00273106">
        <w:t xml:space="preserve">odlišené od </w:t>
      </w:r>
      <w:r w:rsidR="00B00EA5" w:rsidRPr="00273106">
        <w:t>jejího akcidentálního určení</w:t>
      </w:r>
      <w:r w:rsidR="003543C0" w:rsidRPr="00273106">
        <w:t xml:space="preserve">. Pak nelze </w:t>
      </w:r>
      <w:r w:rsidR="00ED3516" w:rsidRPr="00273106">
        <w:t xml:space="preserve">identifikovat </w:t>
      </w:r>
      <w:r w:rsidR="00A11033">
        <w:t>individuum</w:t>
      </w:r>
      <w:r w:rsidR="000E55F4" w:rsidRPr="00273106">
        <w:t xml:space="preserve"> </w:t>
      </w:r>
      <w:r w:rsidR="00C07CBA">
        <w:t xml:space="preserve">moderně-univočně </w:t>
      </w:r>
      <w:r w:rsidR="003543C0" w:rsidRPr="00273106">
        <w:t xml:space="preserve">ve smyslu </w:t>
      </w:r>
      <w:r w:rsidR="000E55F4" w:rsidRPr="00273106">
        <w:t xml:space="preserve">nedělitelné </w:t>
      </w:r>
      <w:r w:rsidR="00523CF3" w:rsidRPr="00273106">
        <w:t xml:space="preserve">první </w:t>
      </w:r>
      <w:r w:rsidR="00410A58">
        <w:t>substance</w:t>
      </w:r>
      <w:r w:rsidR="08F142C9">
        <w:t xml:space="preserve"> a impozišně predikované kategoriální a univoční druhé substance</w:t>
      </w:r>
      <w:r w:rsidR="00410A58">
        <w:t xml:space="preserve">. </w:t>
      </w:r>
      <w:r w:rsidR="08F142C9">
        <w:t>Supozice individua jako subjektu kategoriá</w:t>
      </w:r>
      <w:r w:rsidR="08575E86">
        <w:t>l</w:t>
      </w:r>
      <w:r w:rsidR="08F142C9">
        <w:t xml:space="preserve">ní predikace ve smyslu druhé substance </w:t>
      </w:r>
      <w:r w:rsidR="00410A58">
        <w:t xml:space="preserve">je </w:t>
      </w:r>
      <w:r w:rsidR="002D4D16">
        <w:t xml:space="preserve">pro Anagnince </w:t>
      </w:r>
      <w:r w:rsidR="00410A58">
        <w:t>vždy mylná</w:t>
      </w:r>
      <w:r w:rsidR="00C26F71">
        <w:t>, pro</w:t>
      </w:r>
      <w:r w:rsidR="00410A58">
        <w:t>t</w:t>
      </w:r>
      <w:r w:rsidR="00C26F71">
        <w:t>o</w:t>
      </w:r>
      <w:r w:rsidR="00410A58">
        <w:t xml:space="preserve">že nerespektuje </w:t>
      </w:r>
      <w:r w:rsidR="08F4292C">
        <w:t xml:space="preserve">hyparchickou </w:t>
      </w:r>
      <w:r w:rsidR="00410A58">
        <w:t xml:space="preserve">modalitu </w:t>
      </w:r>
      <w:r w:rsidR="08F4292C">
        <w:t xml:space="preserve">kategoriální </w:t>
      </w:r>
      <w:r w:rsidR="00410A58">
        <w:t xml:space="preserve">predikace </w:t>
      </w:r>
      <w:r w:rsidR="08F4292C">
        <w:t xml:space="preserve">danou impozicí z reality </w:t>
      </w:r>
      <w:r w:rsidR="003F0341" w:rsidRPr="00273106">
        <w:t>(</w:t>
      </w:r>
      <w:r w:rsidR="003F0341" w:rsidRPr="00C26F71">
        <w:rPr>
          <w:i/>
          <w:szCs w:val="18"/>
        </w:rPr>
        <w:t xml:space="preserve">'individuum dicitur de subiecto', </w:t>
      </w:r>
      <w:r w:rsidR="003F0341" w:rsidRPr="00C26F71">
        <w:rPr>
          <w:i/>
        </w:rPr>
        <w:t>falsum est</w:t>
      </w:r>
      <w:r w:rsidR="003F0341" w:rsidRPr="00273106">
        <w:t>)</w:t>
      </w:r>
      <w:r w:rsidR="003F0341">
        <w:t xml:space="preserve">. </w:t>
      </w:r>
      <w:r w:rsidR="08575E86">
        <w:t>Sokrates není individuum dané na konci dělení univer</w:t>
      </w:r>
      <w:r w:rsidR="080336A2">
        <w:t>zálií podle Porfýriova stro</w:t>
      </w:r>
      <w:r w:rsidR="000D651D">
        <w:t>mu</w:t>
      </w:r>
      <w:r w:rsidR="08575E86">
        <w:t xml:space="preserve">.  Predikovat univoční existenci Sokrata v přítomném nebo minulém čase je možné jen na základě impozice </w:t>
      </w:r>
      <w:r w:rsidR="08F35B42">
        <w:t xml:space="preserve">významu </w:t>
      </w:r>
      <w:r w:rsidR="08575E86">
        <w:t xml:space="preserve">od bytí reálné osoby. </w:t>
      </w:r>
      <w:r w:rsidR="003F0341">
        <w:t xml:space="preserve">Ekvivoční význam individua </w:t>
      </w:r>
      <w:r w:rsidR="003F0341" w:rsidRPr="00273106">
        <w:t>určen</w:t>
      </w:r>
      <w:r w:rsidR="003F0341">
        <w:t>ého</w:t>
      </w:r>
      <w:r w:rsidR="003F0341" w:rsidRPr="00273106">
        <w:t xml:space="preserve"> čistě nominálně</w:t>
      </w:r>
      <w:r w:rsidR="003F0341">
        <w:t xml:space="preserve"> </w:t>
      </w:r>
      <w:r w:rsidR="08995561">
        <w:t xml:space="preserve">(Abelardovo </w:t>
      </w:r>
      <w:r w:rsidR="08995561" w:rsidRPr="08995561">
        <w:rPr>
          <w:i/>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8995561">
        <w:t>) nemá stejnou</w:t>
      </w:r>
      <w:r w:rsidR="003C6345" w:rsidRPr="00273106">
        <w:t xml:space="preserve"> úrov</w:t>
      </w:r>
      <w:r w:rsidR="08995561">
        <w:t>eň</w:t>
      </w:r>
      <w:r w:rsidR="003C6345" w:rsidRPr="00273106">
        <w:t xml:space="preserve"> signifikace </w:t>
      </w:r>
      <w:r w:rsidR="004E5AD6">
        <w:t xml:space="preserve">jako </w:t>
      </w:r>
      <w:r w:rsidR="003F0341" w:rsidRPr="003F0341">
        <w:rPr>
          <w:i/>
        </w:rPr>
        <w:t>subiectum</w:t>
      </w:r>
      <w:r w:rsidR="004C27BA">
        <w:rPr>
          <w:i/>
        </w:rPr>
        <w:fldChar w:fldCharType="begin"/>
      </w:r>
      <w:r w:rsidR="004C27BA">
        <w:instrText xml:space="preserve"> XE "</w:instrText>
      </w:r>
      <w:r w:rsidR="004C27BA" w:rsidRPr="00360013">
        <w:rPr>
          <w:i/>
        </w:rPr>
        <w:instrText>subiectum:</w:instrText>
      </w:r>
      <w:r w:rsidR="004C27BA" w:rsidRPr="00360013">
        <w:instrText>třetího druhu</w:instrText>
      </w:r>
      <w:r w:rsidR="004C27BA">
        <w:instrText xml:space="preserve">" </w:instrText>
      </w:r>
      <w:r w:rsidR="004C27BA">
        <w:rPr>
          <w:i/>
        </w:rPr>
        <w:fldChar w:fldCharType="end"/>
      </w:r>
      <w:r w:rsidR="003F0341">
        <w:t xml:space="preserve"> dané kategoriálně určenou impozicí od první substance</w:t>
      </w:r>
      <w:r w:rsidR="00E67FDD" w:rsidRPr="00273106">
        <w:t xml:space="preserve">. </w:t>
      </w:r>
      <w:r w:rsidR="00B90C0C" w:rsidRPr="00273106">
        <w:t xml:space="preserve">Na traktát </w:t>
      </w:r>
      <w:r w:rsidR="00B90C0C">
        <w:t xml:space="preserve">ze školy </w:t>
      </w:r>
      <w:r w:rsidR="00B90C0C" w:rsidRPr="00273106">
        <w:t>Anagnin</w:t>
      </w:r>
      <w:r w:rsidR="00B90C0C">
        <w:t>ců</w:t>
      </w:r>
      <w:r w:rsidR="00B90C0C" w:rsidRPr="00273106">
        <w:t xml:space="preserve"> naváží ve 13. století představitelé klasické </w:t>
      </w:r>
      <w:r w:rsidR="00B90C0C">
        <w:rPr>
          <w:i/>
        </w:rPr>
        <w:t>l</w:t>
      </w:r>
      <w:r w:rsidR="00B90C0C" w:rsidRPr="00273106">
        <w:rPr>
          <w:i/>
        </w:rPr>
        <w:t>ogica Vetus</w:t>
      </w:r>
      <w:r w:rsidR="00B90C0C">
        <w:rPr>
          <w:i/>
        </w:rPr>
        <w:fldChar w:fldCharType="begin"/>
      </w:r>
      <w:r w:rsidR="00B90C0C">
        <w:instrText xml:space="preserve"> XE "</w:instrText>
      </w:r>
      <w:r w:rsidR="00B90C0C" w:rsidRPr="001F309F">
        <w:rPr>
          <w:i/>
        </w:rPr>
        <w:instrText>logica Vetus</w:instrText>
      </w:r>
      <w:r w:rsidR="00B90C0C">
        <w:instrText xml:space="preserve">" </w:instrText>
      </w:r>
      <w:r w:rsidR="00B90C0C">
        <w:rPr>
          <w:i/>
        </w:rPr>
        <w:fldChar w:fldCharType="end"/>
      </w:r>
      <w:r w:rsidR="00B90C0C" w:rsidRPr="00273106">
        <w:t xml:space="preserve">, kteří odmítli teorii univočního </w:t>
      </w:r>
      <w:r w:rsidR="00B90C0C" w:rsidRPr="00273106">
        <w:rPr>
          <w:i/>
        </w:rPr>
        <w:t>suppositio</w:t>
      </w:r>
      <w:r w:rsidR="00B90C0C" w:rsidRPr="00273106">
        <w:t xml:space="preserve"> tehdejších modernistů pro individuum třetího druhu. </w:t>
      </w:r>
      <w:r w:rsidR="088E6737">
        <w:lastRenderedPageBreak/>
        <w:t xml:space="preserve">Spor na porretánů a aristoteliků na </w:t>
      </w:r>
      <w:r w:rsidR="00104CF5">
        <w:t>Pařížské univerzitě</w:t>
      </w:r>
      <w:r w:rsidR="088E6737">
        <w:t xml:space="preserve"> </w:t>
      </w:r>
      <w:r w:rsidR="088E6737" w:rsidRPr="00273106">
        <w:t xml:space="preserve">představuje další kolo sporu o statut logiky </w:t>
      </w:r>
      <w:r w:rsidR="00BB71E8">
        <w:t xml:space="preserve">a metafyziky, který vypukl na konci </w:t>
      </w:r>
      <w:r w:rsidR="088E6737" w:rsidRPr="00273106">
        <w:t xml:space="preserve">12. století. </w:t>
      </w:r>
      <w:r w:rsidR="088E6737">
        <w:t xml:space="preserve">Spis </w:t>
      </w:r>
      <w:r w:rsidR="088E6737" w:rsidRPr="08B74513">
        <w:rPr>
          <w:i/>
        </w:rPr>
        <w:t>Metafyzika</w:t>
      </w:r>
      <w:r w:rsidR="088E6737">
        <w:t xml:space="preserve"> předpokládá znalost spisu </w:t>
      </w:r>
      <w:r w:rsidR="088E6737" w:rsidRPr="00AC5E44">
        <w:rPr>
          <w:i/>
        </w:rPr>
        <w:t>De anima</w:t>
      </w:r>
      <w:r w:rsidR="088E6737">
        <w:t xml:space="preserve"> o poznání a jeho znalost zakládá sémantický výklad </w:t>
      </w:r>
      <w:r w:rsidR="088E6737" w:rsidRPr="00C27C30">
        <w:rPr>
          <w:i/>
        </w:rPr>
        <w:t>Kategorií</w:t>
      </w:r>
      <w:r w:rsidR="088E6737">
        <w:t xml:space="preserve"> a vědecký výklad </w:t>
      </w:r>
      <w:r w:rsidR="088E6737" w:rsidRPr="00C27C30">
        <w:rPr>
          <w:i/>
        </w:rPr>
        <w:t>Druhých analytik</w:t>
      </w:r>
      <w:r w:rsidR="088E6737">
        <w:t xml:space="preserve">. </w:t>
      </w:r>
      <w:r w:rsidR="088E6737" w:rsidRPr="00273106">
        <w:t xml:space="preserve">Porretáni </w:t>
      </w:r>
      <w:r w:rsidR="088E6737">
        <w:t xml:space="preserve">tuto původní strukturu </w:t>
      </w:r>
      <w:r w:rsidR="088E6737" w:rsidRPr="08B74513">
        <w:rPr>
          <w:i/>
        </w:rPr>
        <w:t>Corpus Aristotelicum</w:t>
      </w:r>
      <w:r w:rsidR="088E6737">
        <w:t xml:space="preserve"> jednoduše zrušili a nahradili </w:t>
      </w:r>
      <w:r w:rsidR="00EE1950">
        <w:t xml:space="preserve">svou vlastní </w:t>
      </w:r>
      <w:r w:rsidR="088E6737">
        <w:t xml:space="preserve">logikou. Žáci </w:t>
      </w:r>
      <w:r w:rsidR="088E6737" w:rsidRPr="00273106">
        <w:t xml:space="preserve">Gilberta </w:t>
      </w:r>
      <w:r w:rsidR="002239AA">
        <w:t>de La Porrée</w:t>
      </w:r>
      <w:r w:rsidR="088E6737" w:rsidRPr="00273106">
        <w:t xml:space="preserve"> rozšířili platnost univo</w:t>
      </w:r>
      <w:r w:rsidR="088E6737">
        <w:t>čně</w:t>
      </w:r>
      <w:r w:rsidR="088E6737" w:rsidRPr="00273106">
        <w:t xml:space="preserve"> chápaného logického jso</w:t>
      </w:r>
      <w:r w:rsidR="088E6737">
        <w:t xml:space="preserve">ucna až do metafyziky. </w:t>
      </w:r>
      <w:r w:rsidR="00D67D67">
        <w:t xml:space="preserve">Jan ze Salisbury </w:t>
      </w:r>
      <w:r w:rsidR="00D67D67">
        <w:fldChar w:fldCharType="begin"/>
      </w:r>
      <w:r w:rsidR="00D67D67">
        <w:instrText xml:space="preserve"> XE "</w:instrText>
      </w:r>
      <w:r w:rsidR="00D67D67" w:rsidRPr="00763295">
        <w:instrText>Jan ze Salisbury</w:instrText>
      </w:r>
      <w:r w:rsidR="00D67D67">
        <w:instrText xml:space="preserve">" </w:instrText>
      </w:r>
      <w:r w:rsidR="00D67D67">
        <w:fldChar w:fldCharType="end"/>
      </w:r>
      <w:r w:rsidR="00D67D67">
        <w:t>rozděluje po vzoru Abelarda tři roviny vzhledem k našemu uchopení externí věci: existenci věci, její poznání na základě smyslů a signifikaci tohoto poznání.</w:t>
      </w:r>
      <w:r w:rsidR="00D67D67">
        <w:rPr>
          <w:rStyle w:val="Znakapoznpodarou"/>
        </w:rPr>
        <w:footnoteReference w:id="79"/>
      </w:r>
      <w:r w:rsidR="00D67D67">
        <w:t xml:space="preserve"> </w:t>
      </w:r>
      <w:r w:rsidR="00123B0E" w:rsidRPr="00273106">
        <w:t xml:space="preserve">Klasická scholastika rozlišovala v návaznosti na Aristotela tři významové roviny jsoucího: jak věc bytuje ve své aktualitě </w:t>
      </w:r>
      <w:r w:rsidR="082600DE">
        <w:t xml:space="preserve">první substance </w:t>
      </w:r>
      <w:r w:rsidR="00123B0E" w:rsidRPr="00273106">
        <w:t>(</w:t>
      </w:r>
      <w:r w:rsidR="00123B0E" w:rsidRPr="00273106">
        <w:rPr>
          <w:i/>
        </w:rPr>
        <w:t>modus essendi</w:t>
      </w:r>
      <w:r w:rsidR="00123B0E" w:rsidRPr="00273106">
        <w:t>); jak je dána v našem poznání (</w:t>
      </w:r>
      <w:r w:rsidR="00123B0E" w:rsidRPr="00273106">
        <w:rPr>
          <w:i/>
        </w:rPr>
        <w:t>modus intelligendi</w:t>
      </w:r>
      <w:r w:rsidR="00123B0E" w:rsidRPr="00273106">
        <w:t>); jak je zachycena v pravdivém výroku o poznávané věci (</w:t>
      </w:r>
      <w:r w:rsidR="00123B0E" w:rsidRPr="00273106">
        <w:rPr>
          <w:i/>
        </w:rPr>
        <w:t>modus significandi</w:t>
      </w:r>
      <w:r w:rsidR="00123B0E" w:rsidRPr="00273106">
        <w:t>).</w:t>
      </w:r>
      <w:r w:rsidR="00A75BBC" w:rsidRPr="00273106">
        <w:rPr>
          <w:rStyle w:val="Znakapoznpodarou"/>
          <w:sz w:val="22"/>
        </w:rPr>
        <w:footnoteReference w:id="80"/>
      </w:r>
      <w:r w:rsidR="00123B0E" w:rsidRPr="00273106">
        <w:t xml:space="preserve"> </w:t>
      </w:r>
      <w:r w:rsidR="00D67D67" w:rsidRPr="00273106">
        <w:t xml:space="preserve">Škola aristotelských Modistů </w:t>
      </w:r>
      <w:r w:rsidR="00D67D67">
        <w:t xml:space="preserve">navázala na toto dědictví </w:t>
      </w:r>
      <w:r w:rsidR="08491F60">
        <w:t>aristotelských katedrálních škol</w:t>
      </w:r>
      <w:r w:rsidR="00D67D67">
        <w:fldChar w:fldCharType="begin"/>
      </w:r>
      <w:r w:rsidR="00D67D67">
        <w:instrText xml:space="preserve"> XE "první averroismus:</w:instrText>
      </w:r>
      <w:r w:rsidR="00D67D67" w:rsidRPr="00290367">
        <w:instrText>Modisté</w:instrText>
      </w:r>
      <w:r w:rsidR="00D67D67">
        <w:instrText xml:space="preserve">" </w:instrText>
      </w:r>
      <w:r w:rsidR="00D67D67">
        <w:fldChar w:fldCharType="end"/>
      </w:r>
      <w:r w:rsidR="08491F60">
        <w:t xml:space="preserve">, které skrze dominantní vliv Pařížské školy </w:t>
      </w:r>
      <w:r w:rsidR="007C716A">
        <w:t>zakládaly Pařížskou univerzitu.</w:t>
      </w:r>
    </w:p>
    <w:p w14:paraId="4F07F4AF" w14:textId="51952101" w:rsidR="00BB5A39" w:rsidRDefault="00DA06D7" w:rsidP="00AD59AC">
      <w:pPr>
        <w:ind w:firstLine="397"/>
      </w:pPr>
      <w:r>
        <w:t xml:space="preserve">Epochální </w:t>
      </w:r>
      <w:r w:rsidRPr="00273106">
        <w:t xml:space="preserve">omyl </w:t>
      </w:r>
      <w:r w:rsidRPr="00273106">
        <w:rPr>
          <w:i/>
        </w:rPr>
        <w:t>Nominales</w:t>
      </w:r>
      <w:r>
        <w:t xml:space="preserve"> </w:t>
      </w:r>
      <w:r w:rsidRPr="00273106">
        <w:t>vznikl</w:t>
      </w:r>
      <w:r w:rsidR="00E853FD">
        <w:t xml:space="preserve"> neschopností rozlišit rovinu metafyzické a logické abstrakce</w:t>
      </w:r>
      <w:r w:rsidR="08453209">
        <w:t xml:space="preserve"> danou různými patry abstrakce a syntéz poznání (smyslová, logická, metafyzická). </w:t>
      </w:r>
      <w:r w:rsidR="08251A88">
        <w:t xml:space="preserve">Averroes jako nejlepší </w:t>
      </w:r>
      <w:r w:rsidR="086F1552">
        <w:t>k</w:t>
      </w:r>
      <w:r w:rsidR="08251A88">
        <w:t xml:space="preserve">omentátor </w:t>
      </w:r>
      <w:r w:rsidR="0000286F">
        <w:t xml:space="preserve">Aristotela </w:t>
      </w:r>
      <w:r w:rsidR="08251A88">
        <w:t xml:space="preserve">v dějinách západní filosofie dobře věděl, že modernisté Aristotelovy spisy ve skutečnosti nečtou, protože </w:t>
      </w:r>
      <w:r w:rsidR="087771E3">
        <w:t>do litery</w:t>
      </w:r>
      <w:r w:rsidR="08251A88">
        <w:t xml:space="preserve"> textu </w:t>
      </w:r>
      <w:r w:rsidR="087771E3">
        <w:t xml:space="preserve">promítají </w:t>
      </w:r>
      <w:r w:rsidR="00967EF1">
        <w:t xml:space="preserve">jejich </w:t>
      </w:r>
      <w:r w:rsidR="08251A88">
        <w:t>vlastní výklady</w:t>
      </w:r>
      <w:r w:rsidR="08D82897">
        <w:t xml:space="preserve"> </w:t>
      </w:r>
      <w:r w:rsidR="08D82897" w:rsidRPr="08D82897">
        <w:t>(</w:t>
      </w:r>
      <w:r w:rsidR="08D82897" w:rsidRPr="08D82897">
        <w:rPr>
          <w:i/>
        </w:rPr>
        <w:t>Moderni dimittunt libros Aristotelis</w:t>
      </w:r>
      <w:r w:rsidR="08D82897" w:rsidRPr="08D82897">
        <w:t>, kap. 2.5)</w:t>
      </w:r>
      <w:r w:rsidR="08251A88" w:rsidRPr="08D82897">
        <w:t>.</w:t>
      </w:r>
      <w:r w:rsidR="08251A88">
        <w:t xml:space="preserve"> </w:t>
      </w:r>
      <w:r w:rsidR="00070E8B" w:rsidRPr="00273106">
        <w:t xml:space="preserve">Školy </w:t>
      </w:r>
      <w:r w:rsidR="00070E8B" w:rsidRPr="00273106">
        <w:rPr>
          <w:i/>
        </w:rPr>
        <w:t>Nominales</w:t>
      </w:r>
      <w:r w:rsidR="00070E8B" w:rsidRPr="00273106">
        <w:t xml:space="preserve">, porretáni a jejich postmoderní následovníci pominuli hyparchické určení substance ve prospěch univerzálního </w:t>
      </w:r>
      <w:r w:rsidR="00070E8B" w:rsidRPr="00273106">
        <w:rPr>
          <w:i/>
        </w:rPr>
        <w:t>significatio</w:t>
      </w:r>
      <w:r w:rsidR="00E853FD">
        <w:t xml:space="preserve"> </w:t>
      </w:r>
      <w:r w:rsidR="00070E8B" w:rsidRPr="00273106">
        <w:t xml:space="preserve">a </w:t>
      </w:r>
      <w:r w:rsidR="00E853FD">
        <w:t xml:space="preserve">zavedením této radikální univocity </w:t>
      </w:r>
      <w:r w:rsidR="00070E8B" w:rsidRPr="00273106">
        <w:t>vytvořili moderní vidění světa.</w:t>
      </w:r>
      <w:r w:rsidR="00070E8B">
        <w:t xml:space="preserve"> </w:t>
      </w:r>
      <w:r>
        <w:t xml:space="preserve">Modernisté </w:t>
      </w:r>
      <w:r w:rsidRPr="00273106">
        <w:t xml:space="preserve">určili </w:t>
      </w:r>
      <w:r w:rsidR="00762B25">
        <w:t xml:space="preserve">nedělitelnou substanci danou </w:t>
      </w:r>
      <w:r w:rsidRPr="00762B25">
        <w:rPr>
          <w:i/>
        </w:rPr>
        <w:t>simpliciter</w:t>
      </w:r>
      <w:r>
        <w:t xml:space="preserve"> </w:t>
      </w:r>
      <w:r w:rsidR="00762B25">
        <w:t xml:space="preserve">v realitě </w:t>
      </w:r>
      <w:r>
        <w:t xml:space="preserve">na stejné rovině významu jako byla jednoduchost obecniny dané pouze v mysli </w:t>
      </w:r>
      <w:r w:rsidR="00523CF3" w:rsidRPr="00273106">
        <w:t>(</w:t>
      </w:r>
      <w:r w:rsidR="00523CF3" w:rsidRPr="00273106">
        <w:rPr>
          <w:i/>
        </w:rPr>
        <w:t>intelligitur quod esset universale</w:t>
      </w:r>
      <w:r w:rsidR="00523CF3" w:rsidRPr="00273106">
        <w:t>)</w:t>
      </w:r>
      <w:r w:rsidR="003543C0" w:rsidRPr="00273106">
        <w:t>.</w:t>
      </w:r>
      <w:r w:rsidR="00ED3516" w:rsidRPr="00273106">
        <w:t xml:space="preserve"> </w:t>
      </w:r>
      <w:r w:rsidR="00C1743B" w:rsidRPr="00273106">
        <w:t xml:space="preserve">Asimilační a komitační pojetí pravdy u </w:t>
      </w:r>
      <w:r w:rsidR="00C1743B" w:rsidRPr="00273106">
        <w:rPr>
          <w:i/>
        </w:rPr>
        <w:t>Nominales</w:t>
      </w:r>
      <w:r w:rsidR="00C1743B" w:rsidRPr="00273106">
        <w:t xml:space="preserve"> a v nihilistické postmoderně ne</w:t>
      </w:r>
      <w:r w:rsidR="00974D75">
        <w:t xml:space="preserve">vidí rozdíl mezi kategoriálním </w:t>
      </w:r>
      <w:r w:rsidR="00C1743B"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38128E">
        <w:instrText>Abelard</w:instrText>
      </w:r>
      <w:r w:rsidR="00EE4D40">
        <w:instrText xml:space="preserve">" </w:instrText>
      </w:r>
      <w:r w:rsidR="00EE4D40">
        <w:rPr>
          <w:i/>
        </w:rPr>
        <w:fldChar w:fldCharType="end"/>
      </w:r>
      <w:r w:rsidR="00C1743B" w:rsidRPr="00273106">
        <w:rPr>
          <w:i/>
        </w:rPr>
        <w:t xml:space="preserve"> </w:t>
      </w:r>
      <w:r w:rsidR="00974D75">
        <w:t xml:space="preserve">a homonymickým </w:t>
      </w:r>
      <w:r w:rsidR="00C1743B" w:rsidRPr="00273106">
        <w:rPr>
          <w:i/>
        </w:rPr>
        <w:t>significatio</w:t>
      </w:r>
      <w:r w:rsidR="00C1743B" w:rsidRPr="00273106">
        <w:t xml:space="preserve">. </w:t>
      </w:r>
      <w:r w:rsidR="007374A8">
        <w:lastRenderedPageBreak/>
        <w:t xml:space="preserve">Popsané </w:t>
      </w:r>
      <w:r w:rsidR="00C1743B" w:rsidRPr="007374A8">
        <w:t>individuum</w:t>
      </w:r>
      <w:r w:rsidR="007D77DD">
        <w:t xml:space="preserve"> p</w:t>
      </w:r>
      <w:r w:rsidR="00C1743B" w:rsidRPr="00273106">
        <w:t xml:space="preserve">orretánů se stalo novou dějinnou formou </w:t>
      </w:r>
      <w:r w:rsidR="00C1743B"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3F16A5">
        <w:instrText xml:space="preserve">" </w:instrText>
      </w:r>
      <w:r w:rsidR="003F16A5">
        <w:rPr>
          <w:i/>
        </w:rPr>
        <w:fldChar w:fldCharType="end"/>
      </w:r>
      <w:r w:rsidR="00C1743B" w:rsidRPr="00273106">
        <w:rPr>
          <w:i/>
        </w:rPr>
        <w:t xml:space="preserve"> </w:t>
      </w:r>
      <w:r w:rsidR="00C1743B" w:rsidRPr="00273106">
        <w:t xml:space="preserve">a v </w:t>
      </w:r>
      <w:r w:rsidR="00CE7770">
        <w:t>pozdější nauce modernistů založilo</w:t>
      </w:r>
      <w:r w:rsidR="00C1743B" w:rsidRPr="00273106">
        <w:t xml:space="preserve"> objektivní formu západní metafyziky. </w:t>
      </w:r>
      <w:r w:rsidR="00CF276A">
        <w:t xml:space="preserve">Kvůli sofistickému spojení </w:t>
      </w:r>
      <w:r w:rsidR="00D65B35">
        <w:t xml:space="preserve">impozice a supozice se první modernisté </w:t>
      </w:r>
      <w:r w:rsidR="00023C43" w:rsidRPr="00273106">
        <w:t xml:space="preserve">zásadně liší od výše uvedeného Abelardova komentáře k Aristotelově spisu </w:t>
      </w:r>
      <w:r w:rsidR="00023C43" w:rsidRPr="00273106">
        <w:rPr>
          <w:i/>
        </w:rPr>
        <w:t>De Interpretatione</w:t>
      </w:r>
      <w:r w:rsidR="00023C43" w:rsidRPr="00273106">
        <w:t xml:space="preserve">. </w:t>
      </w:r>
      <w:r w:rsidR="00416CEA" w:rsidRPr="00273106">
        <w:t xml:space="preserve">Prubířským kamenem </w:t>
      </w:r>
      <w:r w:rsidR="005D5068">
        <w:t xml:space="preserve">klasické a moderní </w:t>
      </w:r>
      <w:r w:rsidR="00416CEA" w:rsidRPr="00273106">
        <w:t>logik</w:t>
      </w:r>
      <w:r w:rsidR="005D5068">
        <w:t>y</w:t>
      </w:r>
      <w:r w:rsidR="00416CEA" w:rsidRPr="00273106">
        <w:t xml:space="preserve"> se stalo Aristotelovo pojetí poznání v </w:t>
      </w:r>
      <w:r w:rsidR="00B713C5">
        <w:rPr>
          <w:i/>
        </w:rPr>
        <w:t>De anima</w:t>
      </w:r>
      <w:r w:rsidR="00CD6DD8" w:rsidRPr="00CD6DD8">
        <w:t>, což ukáže následují</w:t>
      </w:r>
      <w:r w:rsidR="00CD6DD8">
        <w:t>c</w:t>
      </w:r>
      <w:r w:rsidR="00CD6DD8" w:rsidRPr="00CD6DD8">
        <w:t>í matrice</w:t>
      </w:r>
      <w:r w:rsidR="00416CEA" w:rsidRPr="00273106">
        <w:t xml:space="preserve">. </w:t>
      </w:r>
      <w:r w:rsidR="0037210D">
        <w:t xml:space="preserve">Škola </w:t>
      </w:r>
      <w:r w:rsidR="0037210D" w:rsidRPr="081031C3">
        <w:rPr>
          <w:i/>
        </w:rPr>
        <w:t>Nominales</w:t>
      </w:r>
      <w:r w:rsidR="0037210D">
        <w:t xml:space="preserve"> </w:t>
      </w:r>
      <w:r w:rsidR="08BD6B03">
        <w:t xml:space="preserve">sofisticky </w:t>
      </w:r>
      <w:r w:rsidR="0037210D">
        <w:t xml:space="preserve">dokázala klasickou pravdu </w:t>
      </w:r>
      <w:r w:rsidR="0037210D" w:rsidRPr="00CD6DD8">
        <w:rPr>
          <w:i/>
        </w:rPr>
        <w:t>Druhých analytik</w:t>
      </w:r>
      <w:r w:rsidR="0037210D">
        <w:t>. Věda je možná pouze o nutných a univerzálních významech (</w:t>
      </w:r>
      <w:r w:rsidR="0037210D" w:rsidRPr="08E86C2B">
        <w:t>τὰ γὰρ μαθήματα περὶ εἴδη ἐστίν</w:t>
      </w:r>
      <w:r w:rsidR="083678D2">
        <w:t xml:space="preserve">) a první substance sama o sobě nemá tato obecná určení </w:t>
      </w:r>
      <w:r w:rsidR="0037210D" w:rsidRPr="08E86C2B">
        <w:t xml:space="preserve">(οὐ γὰρ καθ' ὑποκειμένου τινός, </w:t>
      </w:r>
      <w:r w:rsidR="0037210D" w:rsidRPr="08E86C2B">
        <w:rPr>
          <w:i/>
        </w:rPr>
        <w:t>Anal. Post</w:t>
      </w:r>
      <w:r w:rsidR="00CD6DD8">
        <w:t>. 79a7‒</w:t>
      </w:r>
      <w:r w:rsidR="0037210D" w:rsidRPr="08E86C2B">
        <w:t>8</w:t>
      </w:r>
      <w:r w:rsidR="0050325F">
        <w:fldChar w:fldCharType="begin"/>
      </w:r>
      <w:r w:rsidR="0050325F">
        <w:instrText xml:space="preserve"> XE "</w:instrText>
      </w:r>
      <w:r w:rsidR="008E02F5">
        <w:instrText>Aristoteles</w:instrText>
      </w:r>
      <w:r w:rsidR="0050325F">
        <w:instrText>:</w:instrText>
      </w:r>
      <w:r w:rsidR="0050325F" w:rsidRPr="001D3C99">
        <w:rPr>
          <w:i/>
        </w:rPr>
        <w:instrText>Anal. Post</w:instrText>
      </w:r>
      <w:r w:rsidR="00CD6DD8">
        <w:instrText>. 79a7‒</w:instrText>
      </w:r>
      <w:r w:rsidR="0050325F" w:rsidRPr="001D3C99">
        <w:instrText>8</w:instrText>
      </w:r>
      <w:r w:rsidR="0050325F">
        <w:instrText xml:space="preserve">" </w:instrText>
      </w:r>
      <w:r w:rsidR="0050325F">
        <w:fldChar w:fldCharType="end"/>
      </w:r>
      <w:r w:rsidR="0037210D" w:rsidRPr="08E86C2B">
        <w:t>).</w:t>
      </w:r>
      <w:r w:rsidR="0037210D">
        <w:t xml:space="preserve"> </w:t>
      </w:r>
      <w:r w:rsidR="004A239A">
        <w:t xml:space="preserve">Hyparchickou predikaci </w:t>
      </w:r>
      <w:r w:rsidR="004A239A" w:rsidRPr="00EF63F1">
        <w:rPr>
          <w:i/>
        </w:rPr>
        <w:t>per prius</w:t>
      </w:r>
      <w:r w:rsidR="004A239A">
        <w:rPr>
          <w:i/>
        </w:rPr>
        <w:fldChar w:fldCharType="begin"/>
      </w:r>
      <w:r w:rsidR="004A239A">
        <w:instrText xml:space="preserve"> XE "predikace:</w:instrText>
      </w:r>
      <w:r w:rsidR="004A239A" w:rsidRPr="00276929">
        <w:rPr>
          <w:i/>
        </w:rPr>
        <w:instrText>per prius</w:instrText>
      </w:r>
      <w:r w:rsidR="004A239A">
        <w:instrText xml:space="preserve">" </w:instrText>
      </w:r>
      <w:r w:rsidR="004A239A">
        <w:rPr>
          <w:i/>
        </w:rPr>
        <w:fldChar w:fldCharType="end"/>
      </w:r>
      <w:r w:rsidR="004A239A">
        <w:t xml:space="preserve"> směrem k první substanci nahradilo </w:t>
      </w:r>
      <w:r w:rsidR="08BD6B03">
        <w:t xml:space="preserve">po jejím zmizení </w:t>
      </w:r>
      <w:r w:rsidR="004A239A">
        <w:t xml:space="preserve">moderní individuum dané na konci dělení </w:t>
      </w:r>
      <w:r w:rsidR="00BB45B1">
        <w:t>Porfyri</w:t>
      </w:r>
      <w:r w:rsidR="004A239A">
        <w:t xml:space="preserve">ova stromu. Nově vytvořená atomární substance umožnila jakoukoliv myšlenkovou operaci a jakýkoliv myšlenkový experiment, protože </w:t>
      </w:r>
      <w:r w:rsidR="08E713E6">
        <w:t>logická</w:t>
      </w:r>
      <w:r w:rsidR="08637893">
        <w:t xml:space="preserve"> simplici</w:t>
      </w:r>
      <w:r w:rsidR="08E713E6">
        <w:t>ta</w:t>
      </w:r>
      <w:r w:rsidR="08637893">
        <w:t xml:space="preserve"> </w:t>
      </w:r>
      <w:r w:rsidR="004A239A">
        <w:t xml:space="preserve">není determinována principem </w:t>
      </w:r>
      <w:r w:rsidR="08637893">
        <w:t xml:space="preserve">aktuální a kauzální </w:t>
      </w:r>
      <w:r w:rsidR="004A239A">
        <w:t xml:space="preserve">reality. </w:t>
      </w:r>
      <w:r w:rsidR="004A239A" w:rsidRPr="00273106">
        <w:t>Nově definovaný účinek zjištěný v procesu dělení, čili diferenciální rozdíl daný směrem k již dále nedělitelné veličině (</w:t>
      </w:r>
      <w:r w:rsidR="004A239A" w:rsidRPr="00273106">
        <w:rPr>
          <w:i/>
        </w:rPr>
        <w:t>individuum</w:t>
      </w:r>
      <w:r w:rsidR="004A239A" w:rsidRPr="00273106">
        <w:t>), je d</w:t>
      </w:r>
      <w:r w:rsidR="08E713E6">
        <w:t xml:space="preserve">án v podobě </w:t>
      </w:r>
      <w:r w:rsidR="08DF687B">
        <w:t xml:space="preserve">tělesa </w:t>
      </w:r>
      <w:r w:rsidR="004A239A" w:rsidRPr="00273106">
        <w:t xml:space="preserve">třetího druhu vztaženého ke stejně hypostázované kauzalitě. </w:t>
      </w:r>
      <w:r w:rsidR="08DF687B">
        <w:t xml:space="preserve">Esence nahradila reálnou kauzalitu první substance. </w:t>
      </w:r>
      <w:r w:rsidR="0037210D">
        <w:t>Tím</w:t>
      </w:r>
      <w:r w:rsidR="00327D36">
        <w:t xml:space="preserve">to základním omylem </w:t>
      </w:r>
      <w:r w:rsidR="00922637">
        <w:t>moderna vyřadila první substanci</w:t>
      </w:r>
      <w:r w:rsidR="00327D36">
        <w:t xml:space="preserve"> </w:t>
      </w:r>
      <w:r w:rsidR="0037210D">
        <w:t xml:space="preserve">z vědeckého poznání moderny, což ukazuje analýza </w:t>
      </w:r>
      <w:r w:rsidR="0037210D" w:rsidRPr="007F420D">
        <w:rPr>
          <w:i/>
        </w:rPr>
        <w:t>Oxfordian Fallacy</w:t>
      </w:r>
      <w:r w:rsidR="0037210D">
        <w:t xml:space="preserve"> v následující matrici.</w:t>
      </w:r>
    </w:p>
    <w:p w14:paraId="04B94492" w14:textId="3D098E8C" w:rsidR="00A01F3A" w:rsidRDefault="08A3203B" w:rsidP="00AD59AC">
      <w:pPr>
        <w:ind w:firstLine="397"/>
      </w:pPr>
      <w:r>
        <w:t>Moderní individuum se stalo</w:t>
      </w:r>
      <w:r w:rsidR="00DF594A">
        <w:t xml:space="preserve"> ato</w:t>
      </w:r>
      <w:r>
        <w:t>mární substancí třetího druhu</w:t>
      </w:r>
      <w:r w:rsidR="08DF687B">
        <w:t xml:space="preserve"> a </w:t>
      </w:r>
      <w:r>
        <w:t xml:space="preserve">začalo </w:t>
      </w:r>
      <w:r w:rsidR="08DF687B">
        <w:t xml:space="preserve">fungovat </w:t>
      </w:r>
      <w:r>
        <w:t xml:space="preserve">jako </w:t>
      </w:r>
      <w:r w:rsidR="009C1036" w:rsidRPr="00273106">
        <w:t>účinn</w:t>
      </w:r>
      <w:r>
        <w:t>á příčina dříve vyhrazená pouze pro první substanci danou reálně</w:t>
      </w:r>
      <w:r w:rsidR="00485643">
        <w:rPr>
          <w:i/>
          <w:iCs/>
        </w:rPr>
        <w:fldChar w:fldCharType="begin"/>
      </w:r>
      <w:r w:rsidR="00485643">
        <w:instrText xml:space="preserve"> XE "esence:druhý averroismus" </w:instrText>
      </w:r>
      <w:r w:rsidR="00485643">
        <w:rPr>
          <w:i/>
          <w:iCs/>
        </w:rPr>
        <w:fldChar w:fldCharType="end"/>
      </w:r>
      <w:r w:rsidR="009C1036" w:rsidRPr="00273106">
        <w:t xml:space="preserve">. </w:t>
      </w:r>
      <w:r w:rsidR="008C2331">
        <w:t>K</w:t>
      </w:r>
      <w:r w:rsidR="088E3951" w:rsidRPr="00273106">
        <w:t>auzalit</w:t>
      </w:r>
      <w:r w:rsidR="008C2331">
        <w:t xml:space="preserve">a přešla </w:t>
      </w:r>
      <w:r w:rsidR="088E3951" w:rsidRPr="00273106">
        <w:t>z první substance na nominálně definovanou esenci</w:t>
      </w:r>
      <w:r w:rsidR="008C2331">
        <w:t>. Tato objektivně definovaná kauzalita</w:t>
      </w:r>
      <w:r w:rsidR="088E3951" w:rsidRPr="00273106">
        <w:t xml:space="preserve"> bude mít zásadní význam </w:t>
      </w:r>
      <w:r w:rsidR="088E3951">
        <w:t xml:space="preserve">v </w:t>
      </w:r>
      <w:r w:rsidR="088E3951" w:rsidRPr="00273106">
        <w:t xml:space="preserve">nové interpretaci </w:t>
      </w:r>
      <w:r w:rsidR="088E3951" w:rsidRPr="00B22AC4">
        <w:rPr>
          <w:i/>
        </w:rPr>
        <w:t>Druhých analytik</w:t>
      </w:r>
      <w:r w:rsidR="088E3951" w:rsidRPr="00273106">
        <w:t xml:space="preserve"> na Oxfordu</w:t>
      </w:r>
      <w:r w:rsidR="088E3951">
        <w:t xml:space="preserve"> od roku 1230</w:t>
      </w:r>
      <w:r w:rsidR="088E3951" w:rsidRPr="00273106">
        <w:t>.</w:t>
      </w:r>
      <w:r w:rsidR="088E3951">
        <w:t xml:space="preserve"> </w:t>
      </w:r>
      <w:r w:rsidR="00AB5A9D">
        <w:t>Aristotele</w:t>
      </w:r>
      <w:r w:rsidR="00B22AC4">
        <w:t>s a Averroe</w:t>
      </w:r>
      <w:r w:rsidR="00A31561" w:rsidRPr="00273106">
        <w:t>s chápali účinnou kauzalitu výhradně v rámci působení první substance, tj. na úrovni fyziky a následně i první vědy o příčinách pohybu, vzniku a zániku</w:t>
      </w:r>
      <w:r w:rsidR="00476AA1">
        <w:t xml:space="preserve"> hyparchických substancí</w:t>
      </w:r>
      <w:r w:rsidR="00A31561" w:rsidRPr="00273106">
        <w:t>.</w:t>
      </w:r>
      <w:r w:rsidR="00B22AC4">
        <w:t xml:space="preserve"> </w:t>
      </w:r>
      <w:r w:rsidR="085D256B" w:rsidRPr="00273106">
        <w:t>Původní hyparchické pojetí substance</w:t>
      </w:r>
      <w:r w:rsidR="085D256B">
        <w:fldChar w:fldCharType="begin"/>
      </w:r>
      <w:r w:rsidR="085D256B">
        <w:instrText xml:space="preserve"> XE "</w:instrText>
      </w:r>
      <w:r w:rsidR="085D256B" w:rsidRPr="00DE2A32">
        <w:instrText>substance</w:instrText>
      </w:r>
      <w:r w:rsidR="085D256B">
        <w:instrText xml:space="preserve">:první" </w:instrText>
      </w:r>
      <w:r w:rsidR="085D256B">
        <w:fldChar w:fldCharType="end"/>
      </w:r>
      <w:r w:rsidR="085D256B" w:rsidRPr="00273106">
        <w:t xml:space="preserve"> u Aristotela jsme rozebírali na začátku sporu o substanci</w:t>
      </w:r>
      <w:r w:rsidR="085D256B">
        <w:t xml:space="preserve"> podle </w:t>
      </w:r>
      <w:r w:rsidR="085D256B" w:rsidRPr="00273106">
        <w:rPr>
          <w:i/>
        </w:rPr>
        <w:t>locus classicus</w:t>
      </w:r>
      <w:r w:rsidR="085D256B" w:rsidRPr="00273106">
        <w:t xml:space="preserve"> (</w:t>
      </w:r>
      <w:r w:rsidR="085D256B" w:rsidRPr="00273106">
        <w:rPr>
          <w:i/>
        </w:rPr>
        <w:t>Cat</w:t>
      </w:r>
      <w:r w:rsidR="085D256B" w:rsidRPr="00273106">
        <w:t>. 2a11–16</w:t>
      </w:r>
      <w:r w:rsidR="085D256B">
        <w:fldChar w:fldCharType="begin"/>
      </w:r>
      <w:r w:rsidR="085D256B">
        <w:instrText xml:space="preserve"> XE "Aristoteles:</w:instrText>
      </w:r>
      <w:r w:rsidR="085D256B" w:rsidRPr="005760C2">
        <w:rPr>
          <w:i/>
        </w:rPr>
        <w:instrText>Cat</w:instrText>
      </w:r>
      <w:r w:rsidR="085D256B" w:rsidRPr="005760C2">
        <w:instrText>. 2a11–16</w:instrText>
      </w:r>
      <w:r w:rsidR="085D256B">
        <w:instrText xml:space="preserve">" </w:instrText>
      </w:r>
      <w:r w:rsidR="085D256B">
        <w:fldChar w:fldCharType="end"/>
      </w:r>
      <w:r w:rsidR="085D256B" w:rsidRPr="00273106">
        <w:t>) determinující celou pozdější gigantomachii (</w:t>
      </w:r>
      <w:r w:rsidR="00155E7B">
        <w:t xml:space="preserve">OBJ I, </w:t>
      </w:r>
      <w:r w:rsidR="085D256B">
        <w:rPr>
          <w:szCs w:val="15"/>
        </w:rPr>
        <w:t>kap. 1.3</w:t>
      </w:r>
      <w:r w:rsidR="085D256B" w:rsidRPr="00273106">
        <w:t>).</w:t>
      </w:r>
      <w:r w:rsidR="085D256B">
        <w:t xml:space="preserve"> </w:t>
      </w:r>
      <w:r w:rsidR="00B22AC4">
        <w:t xml:space="preserve">Pravdivá metafyzika musí </w:t>
      </w:r>
      <w:r w:rsidR="008E7F36">
        <w:t xml:space="preserve">kategoriálně </w:t>
      </w:r>
      <w:r w:rsidR="00B22AC4">
        <w:t xml:space="preserve">predikovat </w:t>
      </w:r>
      <w:r w:rsidR="00E73CC2">
        <w:t>„</w:t>
      </w:r>
      <w:r w:rsidR="00B22AC4">
        <w:t xml:space="preserve">substanci </w:t>
      </w:r>
      <w:r w:rsidR="00B22AC4" w:rsidRPr="00B22AC4">
        <w:rPr>
          <w:i/>
        </w:rPr>
        <w:t>qua</w:t>
      </w:r>
      <w:r w:rsidR="00B22AC4">
        <w:t xml:space="preserve"> substanci</w:t>
      </w:r>
      <w:r w:rsidR="00E73CC2">
        <w:t>“</w:t>
      </w:r>
      <w:r w:rsidR="00B22AC4">
        <w:t xml:space="preserve"> a ne </w:t>
      </w:r>
      <w:r w:rsidR="00E73CC2">
        <w:t>„</w:t>
      </w:r>
      <w:r w:rsidR="00B22AC4">
        <w:t xml:space="preserve">substanci </w:t>
      </w:r>
      <w:r w:rsidR="00B22AC4" w:rsidRPr="00B22AC4">
        <w:rPr>
          <w:i/>
        </w:rPr>
        <w:t>qua</w:t>
      </w:r>
      <w:r w:rsidR="00B22AC4">
        <w:t xml:space="preserve"> esenci</w:t>
      </w:r>
      <w:r w:rsidR="00E73CC2">
        <w:t>“</w:t>
      </w:r>
      <w:r w:rsidR="00B22AC4">
        <w:t>.</w:t>
      </w:r>
      <w:r w:rsidR="08BB0EE8">
        <w:t xml:space="preserve"> Převedení hyparchické predikace na univerzální supozici zakládá </w:t>
      </w:r>
      <w:r w:rsidR="000F167E">
        <w:t xml:space="preserve">podle </w:t>
      </w:r>
      <w:r w:rsidR="08440DFE">
        <w:t xml:space="preserve">Aristotela </w:t>
      </w:r>
      <w:r w:rsidR="08BB0EE8">
        <w:t>nanejvýš analogickou formu</w:t>
      </w:r>
      <w:r w:rsidR="008E7F36">
        <w:t xml:space="preserve"> podobnosti</w:t>
      </w:r>
      <w:r w:rsidR="08D554FF">
        <w:t xml:space="preserve">. Analogie nemůže založit </w:t>
      </w:r>
      <w:r w:rsidR="008E7F36">
        <w:t>pravdivé vědecké poznání světa</w:t>
      </w:r>
      <w:r w:rsidR="08C9123C">
        <w:t xml:space="preserve"> dané kauzálně-</w:t>
      </w:r>
      <w:r w:rsidR="00E23A38">
        <w:t xml:space="preserve">deduktivním soudem na úrovni </w:t>
      </w:r>
      <w:r w:rsidR="08C9123C">
        <w:lastRenderedPageBreak/>
        <w:t xml:space="preserve">predikace jako </w:t>
      </w:r>
      <w:r w:rsidR="00E23A38" w:rsidRPr="00E23A38">
        <w:rPr>
          <w:i/>
        </w:rPr>
        <w:t>demonstratio</w:t>
      </w:r>
      <w:r w:rsidR="008E7F36">
        <w:t>.</w:t>
      </w:r>
      <w:r w:rsidR="00AB5A9D">
        <w:t xml:space="preserve"> </w:t>
      </w:r>
      <w:r w:rsidR="08C9123C">
        <w:t xml:space="preserve">V epoše globálního působění objektivistického </w:t>
      </w:r>
      <w:r w:rsidR="08C9123C" w:rsidRPr="08C9123C">
        <w:rPr>
          <w:i/>
        </w:rPr>
        <w:t>Irrtum</w:t>
      </w:r>
      <w:r w:rsidR="08440DFE">
        <w:t xml:space="preserve"> </w:t>
      </w:r>
      <w:r w:rsidR="086E0675">
        <w:t xml:space="preserve">se </w:t>
      </w:r>
      <w:r w:rsidR="08C9123C">
        <w:t xml:space="preserve">sofismata </w:t>
      </w:r>
      <w:r w:rsidR="08440DFE" w:rsidRPr="08440DFE">
        <w:rPr>
          <w:i/>
        </w:rPr>
        <w:t>Nominales</w:t>
      </w:r>
      <w:r w:rsidR="08440DFE">
        <w:t xml:space="preserve"> </w:t>
      </w:r>
      <w:r w:rsidR="086E0675">
        <w:t>už zdají úplně normální, protože jsou napojena</w:t>
      </w:r>
      <w:r w:rsidR="08C9123C">
        <w:t xml:space="preserve"> na pojetí </w:t>
      </w:r>
      <w:r w:rsidR="081C7A59">
        <w:t>post</w:t>
      </w:r>
      <w:r w:rsidR="086E0675">
        <w:t xml:space="preserve">moderní </w:t>
      </w:r>
      <w:r w:rsidR="08C9123C">
        <w:t>vědy jako spekulace o matematicky daných esencích a jejich vlastnostech. Ale na konci 12. století existovali</w:t>
      </w:r>
      <w:r w:rsidR="081C7A59">
        <w:t xml:space="preserve"> velmi vlivní kritičtí myslitel</w:t>
      </w:r>
      <w:r w:rsidR="08C9123C">
        <w:t>é z řad klasické Boethiovy aristotelské školy</w:t>
      </w:r>
      <w:r w:rsidR="08440DFE">
        <w:t>, kteří nebyli paranoičtí</w:t>
      </w:r>
      <w:r w:rsidR="08015564">
        <w:t xml:space="preserve"> na moderní způsob</w:t>
      </w:r>
      <w:r w:rsidR="08C9123C">
        <w:t xml:space="preserve">. </w:t>
      </w:r>
      <w:r w:rsidR="0004296B" w:rsidRPr="00273106">
        <w:rPr>
          <w:lang w:eastAsia="en-US"/>
        </w:rPr>
        <w:t xml:space="preserve">Mnozí </w:t>
      </w:r>
      <w:r w:rsidR="082D5F4F" w:rsidRPr="00273106">
        <w:t xml:space="preserve">filosofičtí současníci </w:t>
      </w:r>
      <w:r w:rsidR="082D5F4F" w:rsidRPr="00273106">
        <w:rPr>
          <w:i/>
        </w:rPr>
        <w:t>Nominales</w:t>
      </w:r>
      <w:r w:rsidR="082D5F4F" w:rsidRPr="00273106">
        <w:t xml:space="preserve"> </w:t>
      </w:r>
      <w:r w:rsidR="0004296B" w:rsidRPr="00273106">
        <w:t>ne</w:t>
      </w:r>
      <w:r w:rsidR="00524706" w:rsidRPr="00273106">
        <w:t>souhlasili s avantgardním výkladem substance a reality zkonstruované pomocí hry slov</w:t>
      </w:r>
      <w:r w:rsidR="00CE6781" w:rsidRPr="00273106">
        <w:t xml:space="preserve"> a odmítli </w:t>
      </w:r>
      <w:r w:rsidR="00CC1F89">
        <w:t xml:space="preserve">zatmění </w:t>
      </w:r>
      <w:r w:rsidR="082D5F4F" w:rsidRPr="00273106">
        <w:t>první substance</w:t>
      </w:r>
      <w:r w:rsidR="00E27ABC">
        <w:fldChar w:fldCharType="begin"/>
      </w:r>
      <w:r w:rsidR="00E27ABC">
        <w:instrText xml:space="preserve"> XE "</w:instrText>
      </w:r>
      <w:r w:rsidR="00E27ABC" w:rsidRPr="00C27681">
        <w:instrText>zatmění</w:instrText>
      </w:r>
      <w:r w:rsidR="00085213">
        <w:instrText>:</w:instrText>
      </w:r>
      <w:r w:rsidR="00E27ABC" w:rsidRPr="00C27681">
        <w:instrText>substance</w:instrText>
      </w:r>
      <w:r w:rsidR="00E27ABC">
        <w:instrText xml:space="preserve">" </w:instrText>
      </w:r>
      <w:r w:rsidR="00E27ABC">
        <w:fldChar w:fldCharType="end"/>
      </w:r>
      <w:r w:rsidR="00524706" w:rsidRPr="00273106">
        <w:t xml:space="preserve">. </w:t>
      </w:r>
      <w:r w:rsidR="00417C9A">
        <w:t xml:space="preserve">Citovali jsme </w:t>
      </w:r>
      <w:r w:rsidR="003E2F08">
        <w:t>Jana ze Salisbury</w:t>
      </w:r>
      <w:r w:rsidR="00085213">
        <w:fldChar w:fldCharType="begin"/>
      </w:r>
      <w:r w:rsidR="00085213">
        <w:instrText xml:space="preserve"> XE "</w:instrText>
      </w:r>
      <w:r w:rsidR="00085213" w:rsidRPr="00471FF1">
        <w:instrText>Jan ze Salisbury</w:instrText>
      </w:r>
      <w:r w:rsidR="00085213">
        <w:instrText xml:space="preserve">" </w:instrText>
      </w:r>
      <w:r w:rsidR="00085213">
        <w:fldChar w:fldCharType="end"/>
      </w:r>
      <w:r w:rsidR="003E2F08">
        <w:t>, kter</w:t>
      </w:r>
      <w:r w:rsidR="081C7A59">
        <w:t xml:space="preserve">ý dal </w:t>
      </w:r>
      <w:r w:rsidR="003E2F08">
        <w:t xml:space="preserve">sektě </w:t>
      </w:r>
      <w:r w:rsidR="003E2F08" w:rsidRPr="003E2F08">
        <w:rPr>
          <w:i/>
        </w:rPr>
        <w:t>Nominales</w:t>
      </w:r>
      <w:r w:rsidR="003E2F08">
        <w:t xml:space="preserve"> její pejorativní pojmenování</w:t>
      </w:r>
      <w:r w:rsidR="009B108D">
        <w:t xml:space="preserve"> a provedl </w:t>
      </w:r>
      <w:r w:rsidR="00BD03BC">
        <w:t xml:space="preserve">první </w:t>
      </w:r>
      <w:r w:rsidR="009B108D">
        <w:t>výklad jejich omylů</w:t>
      </w:r>
      <w:r w:rsidR="003E2F08">
        <w:t xml:space="preserve">. Ale podobných kritických aristoteliků bylo více. </w:t>
      </w:r>
      <w:r w:rsidR="00BD03BC">
        <w:t xml:space="preserve">Magistr </w:t>
      </w:r>
      <w:r w:rsidR="00C77901">
        <w:t>Godfrey od s</w:t>
      </w:r>
      <w:r w:rsidR="002D4C9B" w:rsidRPr="00273106">
        <w:t>v</w:t>
      </w:r>
      <w:r w:rsidR="00C77901">
        <w:t>atého Vik</w:t>
      </w:r>
      <w:r w:rsidR="002D4C9B" w:rsidRPr="00273106">
        <w:t>tora</w:t>
      </w:r>
      <w:r w:rsidR="00085213">
        <w:fldChar w:fldCharType="begin"/>
      </w:r>
      <w:r w:rsidR="00085213">
        <w:instrText xml:space="preserve"> XE "</w:instrText>
      </w:r>
      <w:r w:rsidR="00085213" w:rsidRPr="00E76DF6">
        <w:instrText>Godfrey od Sv. Victora</w:instrText>
      </w:r>
      <w:r w:rsidR="00085213">
        <w:instrText xml:space="preserve">" </w:instrText>
      </w:r>
      <w:r w:rsidR="00085213">
        <w:fldChar w:fldCharType="end"/>
      </w:r>
      <w:r w:rsidR="002D4C9B" w:rsidRPr="00273106">
        <w:t xml:space="preserve"> </w:t>
      </w:r>
      <w:r w:rsidR="006B08EE" w:rsidRPr="00273106">
        <w:t xml:space="preserve">v </w:t>
      </w:r>
      <w:r w:rsidR="00BC7999" w:rsidRPr="00273106">
        <w:t xml:space="preserve">ironické knize </w:t>
      </w:r>
      <w:r w:rsidR="00503E0C" w:rsidRPr="00273106">
        <w:t>epigramů</w:t>
      </w:r>
      <w:r w:rsidR="002D4C9B" w:rsidRPr="00273106">
        <w:t xml:space="preserve"> </w:t>
      </w:r>
      <w:r w:rsidR="00B16555" w:rsidRPr="00273106">
        <w:t>(</w:t>
      </w:r>
      <w:r w:rsidR="00B16555" w:rsidRPr="00273106">
        <w:rPr>
          <w:i/>
        </w:rPr>
        <w:t>Fons philosophiae</w:t>
      </w:r>
      <w:r w:rsidR="00B16555" w:rsidRPr="00273106">
        <w:t xml:space="preserve">, 1178) </w:t>
      </w:r>
      <w:r w:rsidR="002D4C9B" w:rsidRPr="00273106">
        <w:t xml:space="preserve">přesně vystihuje </w:t>
      </w:r>
      <w:r w:rsidR="00B958B8" w:rsidRPr="00273106">
        <w:t>dilema tehdejších modernistů</w:t>
      </w:r>
      <w:r w:rsidR="00893284" w:rsidRPr="00273106">
        <w:t xml:space="preserve">. </w:t>
      </w:r>
      <w:r w:rsidR="0044285A" w:rsidRPr="00273106">
        <w:t xml:space="preserve">Godfrey odešel z Paříže někdy po </w:t>
      </w:r>
      <w:r w:rsidR="002F35CF">
        <w:t xml:space="preserve">roce </w:t>
      </w:r>
      <w:r w:rsidR="0044285A" w:rsidRPr="00273106">
        <w:t xml:space="preserve">1150 znechucen ze studií u tamějších </w:t>
      </w:r>
      <w:r w:rsidR="00690CDE">
        <w:rPr>
          <w:i/>
        </w:rPr>
        <w:t>Parvipont</w:t>
      </w:r>
      <w:r w:rsidR="0044285A" w:rsidRPr="00273106">
        <w:rPr>
          <w:i/>
        </w:rPr>
        <w:t>anes</w:t>
      </w:r>
      <w:r w:rsidR="0044285A" w:rsidRPr="00273106">
        <w:t xml:space="preserve"> a školu </w:t>
      </w:r>
      <w:r w:rsidR="0044285A" w:rsidRPr="00273106">
        <w:rPr>
          <w:i/>
        </w:rPr>
        <w:t>Nominales</w:t>
      </w:r>
      <w:r w:rsidR="0044285A" w:rsidRPr="00273106">
        <w:t xml:space="preserve"> považuje za blázny. </w:t>
      </w:r>
      <w:r w:rsidR="00197C29">
        <w:t xml:space="preserve">Lidé se zdravým selským rozumem nemají rádi nesmysly. </w:t>
      </w:r>
      <w:r w:rsidR="0044285A" w:rsidRPr="00273106">
        <w:t xml:space="preserve">Podívejme se na část filosofického epigramu, která přesně vystihuje hlavní znaky vidění světa podle </w:t>
      </w:r>
      <w:r w:rsidR="0044285A" w:rsidRPr="00273106">
        <w:rPr>
          <w:i/>
        </w:rPr>
        <w:t>Nominales</w:t>
      </w:r>
      <w:r w:rsidR="0044285A" w:rsidRPr="00273106">
        <w:t xml:space="preserve"> v jejich sporu s aristotelskou škol</w:t>
      </w:r>
      <w:r w:rsidR="084E0E99">
        <w:t>o</w:t>
      </w:r>
      <w:r w:rsidR="0044285A" w:rsidRPr="00273106">
        <w:t xml:space="preserve">u </w:t>
      </w:r>
      <w:r w:rsidR="08127ABB">
        <w:t xml:space="preserve">klasické </w:t>
      </w:r>
      <w:r w:rsidR="0044285A" w:rsidRPr="00273106">
        <w:t xml:space="preserve">logiky a metafyziky. </w:t>
      </w:r>
      <w:r w:rsidR="00690CDE">
        <w:t>E</w:t>
      </w:r>
      <w:r w:rsidR="08F01C4E" w:rsidRPr="00273106">
        <w:t xml:space="preserve">pigram </w:t>
      </w:r>
      <w:r w:rsidR="00690CDE">
        <w:t xml:space="preserve">věnovaný moderním porretánům </w:t>
      </w:r>
      <w:r w:rsidR="08F01C4E" w:rsidRPr="00273106">
        <w:t>vyniká vtipností a přesností.</w:t>
      </w:r>
      <w:r w:rsidR="002377DF" w:rsidRPr="00273106">
        <w:rPr>
          <w:rStyle w:val="Znakapoznpodarou"/>
        </w:rPr>
        <w:footnoteReference w:id="81"/>
      </w:r>
    </w:p>
    <w:p w14:paraId="5288413F" w14:textId="77E16CF2" w:rsidR="00A01F3A" w:rsidRDefault="00A01F3A" w:rsidP="00A01F3A">
      <w:pPr>
        <w:pStyle w:val="Citace"/>
      </w:pPr>
      <w:r w:rsidRPr="00273106">
        <w:rPr>
          <w:noProof/>
        </w:rPr>
        <w:t>„'Nominalist' friends join these (they themselves admitting!) / Friends 'in name,' but not 'in thought' – such the bonds they're knitting / Others they call 'realists' closer yet are sitting; / What is real their name supplies – here is how it's fitting / If to 'guilts,' reatibus, (terms deriving lamely) / We should trace realium, ('realists</w:t>
      </w:r>
      <w:r w:rsidR="008C6ACD">
        <w:rPr>
          <w:noProof/>
          <w:lang w:val="cs-CZ"/>
        </w:rPr>
        <w:t>,</w:t>
      </w:r>
      <w:r w:rsidR="00F563BD" w:rsidRPr="00F2073C">
        <w:t>'</w:t>
      </w:r>
      <w:r w:rsidRPr="00273106">
        <w:rPr>
          <w:noProof/>
        </w:rPr>
        <w:t xml:space="preserve"> of namely) / We must all their slips remit, though t</w:t>
      </w:r>
      <w:r w:rsidR="008C6ACD">
        <w:rPr>
          <w:noProof/>
        </w:rPr>
        <w:t xml:space="preserve">hey reason vainly / Clash with </w:t>
      </w:r>
      <w:r w:rsidR="008C6ACD">
        <w:rPr>
          <w:noProof/>
          <w:lang w:val="cs-CZ"/>
        </w:rPr>
        <w:t>m</w:t>
      </w:r>
      <w:r w:rsidRPr="00273106">
        <w:rPr>
          <w:noProof/>
        </w:rPr>
        <w:t>ind is normal for those who think insanely. / He who some mere name a class general is deeming / Gives by this sufficient proof that his brain is steaming; / World with classes multiple obviously teeming, / How bare names could fill the bill goes beyond all dreaming!“ (</w:t>
      </w:r>
      <w:r>
        <w:rPr>
          <w:rStyle w:val="st"/>
        </w:rPr>
        <w:t>Godfrey of Saint Victor</w:t>
      </w:r>
      <w:r w:rsidRPr="00273106">
        <w:rPr>
          <w:noProof/>
        </w:rPr>
        <w:t xml:space="preserve">, </w:t>
      </w:r>
      <w:r w:rsidRPr="00273106">
        <w:rPr>
          <w:i/>
          <w:noProof/>
        </w:rPr>
        <w:t>The Fountain of Philosophy</w:t>
      </w:r>
      <w:r w:rsidRPr="00273106">
        <w:rPr>
          <w:noProof/>
        </w:rPr>
        <w:t xml:space="preserve">, trad. </w:t>
      </w:r>
      <w:r w:rsidR="00A11485">
        <w:t>Edward A.</w:t>
      </w:r>
      <w:r w:rsidR="00A11485">
        <w:rPr>
          <w:lang w:val="cs-CZ"/>
        </w:rPr>
        <w:t xml:space="preserve"> </w:t>
      </w:r>
      <w:r w:rsidRPr="00273106">
        <w:rPr>
          <w:noProof/>
        </w:rPr>
        <w:t>Synan, p. 48)</w:t>
      </w:r>
      <w:r>
        <w:rPr>
          <w:noProof/>
          <w:lang w:val="cs-CZ"/>
        </w:rPr>
        <w:t> </w:t>
      </w:r>
    </w:p>
    <w:p w14:paraId="10645E13" w14:textId="795E8905" w:rsidR="00211A38" w:rsidRDefault="00F33C23" w:rsidP="00211A38">
      <w:r w:rsidRPr="00273106">
        <w:t>Porretáni p</w:t>
      </w:r>
      <w:r w:rsidR="0065667C" w:rsidRPr="00273106">
        <w:t>řeměnili</w:t>
      </w:r>
      <w:r w:rsidR="00897DE1" w:rsidRPr="00273106">
        <w:t xml:space="preserve"> </w:t>
      </w:r>
      <w:r w:rsidR="08DF4124">
        <w:t xml:space="preserve">rodové určení kategorie </w:t>
      </w:r>
      <w:r w:rsidR="00897DE1" w:rsidRPr="00273106">
        <w:t xml:space="preserve">na jsoucno třetího druhu </w:t>
      </w:r>
      <w:r w:rsidR="00A3361B" w:rsidRPr="00273106">
        <w:t xml:space="preserve">v rámci nové formy signifikace vázané na </w:t>
      </w:r>
      <w:r w:rsidR="00DE13EF" w:rsidRPr="00273106">
        <w:t>no</w:t>
      </w:r>
      <w:r w:rsidR="00A3361B" w:rsidRPr="00273106">
        <w:t>minaci</w:t>
      </w:r>
      <w:r w:rsidR="00DE13EF" w:rsidRPr="00273106">
        <w:t xml:space="preserve"> </w:t>
      </w:r>
      <w:r w:rsidR="00950300">
        <w:t xml:space="preserve">místo na kategoriální predikaci </w:t>
      </w:r>
      <w:r w:rsidR="005C16BA" w:rsidRPr="00273106">
        <w:t>(</w:t>
      </w:r>
      <w:r w:rsidR="00690CDE">
        <w:rPr>
          <w:i/>
        </w:rPr>
        <w:t xml:space="preserve">mens </w:t>
      </w:r>
      <w:r w:rsidR="005C16BA" w:rsidRPr="00273106">
        <w:rPr>
          <w:i/>
        </w:rPr>
        <w:t xml:space="preserve">cogitet nomen esse </w:t>
      </w:r>
      <w:r w:rsidR="00B1298A">
        <w:rPr>
          <w:i/>
        </w:rPr>
        <w:t>genus</w:t>
      </w:r>
      <w:r w:rsidR="00694ABC" w:rsidRPr="00273106">
        <w:t>).</w:t>
      </w:r>
      <w:r w:rsidR="00BA08DE" w:rsidRPr="00273106">
        <w:t xml:space="preserve"> </w:t>
      </w:r>
      <w:r w:rsidR="00694ABC" w:rsidRPr="00273106">
        <w:t>O</w:t>
      </w:r>
      <w:r w:rsidR="00897DE1" w:rsidRPr="00273106">
        <w:t>dmí</w:t>
      </w:r>
      <w:r w:rsidR="0065667C" w:rsidRPr="00273106">
        <w:t xml:space="preserve">tli </w:t>
      </w:r>
      <w:r w:rsidR="00897DE1" w:rsidRPr="00273106">
        <w:t>realis</w:t>
      </w:r>
      <w:r w:rsidR="0065667C" w:rsidRPr="00273106">
        <w:t>tickou diferenci</w:t>
      </w:r>
      <w:r w:rsidR="00352B02" w:rsidRPr="00273106">
        <w:t xml:space="preserve"> mezi </w:t>
      </w:r>
      <w:r w:rsidR="00DA6328" w:rsidRPr="00273106">
        <w:t xml:space="preserve">dvojím </w:t>
      </w:r>
      <w:r w:rsidR="0065667C" w:rsidRPr="00273106">
        <w:t xml:space="preserve">pojetím </w:t>
      </w:r>
      <w:r w:rsidR="08026182">
        <w:t xml:space="preserve">substance </w:t>
      </w:r>
      <w:r w:rsidR="00FA01F3" w:rsidRPr="00273106">
        <w:t xml:space="preserve">jako </w:t>
      </w:r>
      <w:r w:rsidR="004D18AA" w:rsidRPr="00273106">
        <w:t>jedine</w:t>
      </w:r>
      <w:r w:rsidR="08026182">
        <w:t>čně aktuální</w:t>
      </w:r>
      <w:r w:rsidR="00FA01F3" w:rsidRPr="00273106">
        <w:t xml:space="preserve"> a univerzálně pred</w:t>
      </w:r>
      <w:r w:rsidR="08026182">
        <w:t>ikované</w:t>
      </w:r>
      <w:r w:rsidR="00FA01F3" w:rsidRPr="00273106">
        <w:t xml:space="preserve"> </w:t>
      </w:r>
      <w:r w:rsidR="0065667C" w:rsidRPr="00273106">
        <w:t>(</w:t>
      </w:r>
      <w:r w:rsidR="0065667C" w:rsidRPr="00273106">
        <w:rPr>
          <w:i/>
        </w:rPr>
        <w:t>realium nomen dici horum</w:t>
      </w:r>
      <w:r w:rsidR="000847F7" w:rsidRPr="00273106">
        <w:t>)</w:t>
      </w:r>
      <w:r w:rsidR="00BA08DE" w:rsidRPr="00273106">
        <w:t xml:space="preserve">. </w:t>
      </w:r>
      <w:r w:rsidR="000847F7" w:rsidRPr="00273106">
        <w:t xml:space="preserve">Realitu zredukovali na nominální </w:t>
      </w:r>
      <w:r w:rsidR="000847F7" w:rsidRPr="00273106">
        <w:lastRenderedPageBreak/>
        <w:t xml:space="preserve">význam, k němuž </w:t>
      </w:r>
      <w:r w:rsidR="08DF4124">
        <w:t xml:space="preserve">se nominalisté </w:t>
      </w:r>
      <w:r w:rsidR="000847F7" w:rsidRPr="00273106">
        <w:t xml:space="preserve">sektářsky hlásí </w:t>
      </w:r>
      <w:r w:rsidR="0065667C" w:rsidRPr="00273106">
        <w:t>(</w:t>
      </w:r>
      <w:r w:rsidR="0065667C" w:rsidRPr="00273106">
        <w:rPr>
          <w:i/>
        </w:rPr>
        <w:t>nomine... sodales</w:t>
      </w:r>
      <w:r w:rsidR="0065667C" w:rsidRPr="00273106">
        <w:t>).</w:t>
      </w:r>
      <w:r w:rsidR="00BA08DE" w:rsidRPr="00273106">
        <w:t xml:space="preserve"> </w:t>
      </w:r>
      <w:r w:rsidR="0065667C" w:rsidRPr="00273106">
        <w:t xml:space="preserve">Tím se ocitli v rozporu sami se sebou, protože jejich „realismus“ </w:t>
      </w:r>
      <w:r w:rsidR="00E86F28" w:rsidRPr="00273106">
        <w:t xml:space="preserve">daný </w:t>
      </w:r>
      <w:r w:rsidR="0065667C" w:rsidRPr="00273106">
        <w:t xml:space="preserve">pro </w:t>
      </w:r>
      <w:r w:rsidR="005A2CC4">
        <w:t>n</w:t>
      </w:r>
      <w:r w:rsidR="00DF0032">
        <w:t>o</w:t>
      </w:r>
      <w:r w:rsidR="005A2CC4">
        <w:t xml:space="preserve">minální </w:t>
      </w:r>
      <w:r w:rsidR="00E86F28" w:rsidRPr="00273106">
        <w:t>substance</w:t>
      </w:r>
      <w:r w:rsidR="00A70FA4">
        <w:fldChar w:fldCharType="begin"/>
      </w:r>
      <w:r w:rsidR="00A70FA4">
        <w:instrText xml:space="preserve"> XE "</w:instrText>
      </w:r>
      <w:r w:rsidR="00A70FA4" w:rsidRPr="00DE2A32">
        <w:instrText>substance</w:instrText>
      </w:r>
      <w:r w:rsidR="00085213">
        <w:instrText>:porretáni</w:instrText>
      </w:r>
      <w:r w:rsidR="00A70FA4">
        <w:instrText xml:space="preserve">" </w:instrText>
      </w:r>
      <w:r w:rsidR="00A70FA4">
        <w:fldChar w:fldCharType="end"/>
      </w:r>
      <w:r w:rsidR="00E86F28" w:rsidRPr="00273106">
        <w:t xml:space="preserve"> je výplodem šílené mysli </w:t>
      </w:r>
      <w:r w:rsidR="005C16BA" w:rsidRPr="00273106">
        <w:t>(</w:t>
      </w:r>
      <w:r w:rsidR="086B5302" w:rsidRPr="00273106">
        <w:rPr>
          <w:i/>
        </w:rPr>
        <w:t>s</w:t>
      </w:r>
      <w:r w:rsidR="005C16BA" w:rsidRPr="00273106">
        <w:rPr>
          <w:i/>
        </w:rPr>
        <w:t>olus hoc crediderit mentis alienus</w:t>
      </w:r>
      <w:r w:rsidR="00DE13EF" w:rsidRPr="00273106">
        <w:t>)</w:t>
      </w:r>
      <w:r w:rsidR="005B7927">
        <w:t xml:space="preserve">. </w:t>
      </w:r>
      <w:r w:rsidR="00FE1B41" w:rsidRPr="00273106">
        <w:t>První nominalisté z</w:t>
      </w:r>
      <w:r w:rsidR="00BA08DE" w:rsidRPr="00273106">
        <w:t xml:space="preserve">abydleli </w:t>
      </w:r>
      <w:r w:rsidR="00897DE1" w:rsidRPr="00273106">
        <w:t xml:space="preserve">svět </w:t>
      </w:r>
      <w:r w:rsidR="00C94984" w:rsidRPr="00273106">
        <w:t xml:space="preserve">generickými </w:t>
      </w:r>
      <w:r w:rsidR="00897DE1" w:rsidRPr="00273106">
        <w:t xml:space="preserve">výplody mysli </w:t>
      </w:r>
      <w:r w:rsidR="005C16BA" w:rsidRPr="00273106">
        <w:t>(</w:t>
      </w:r>
      <w:r w:rsidR="086B5302" w:rsidRPr="00273106">
        <w:rPr>
          <w:i/>
        </w:rPr>
        <w:t>c</w:t>
      </w:r>
      <w:r w:rsidR="005C16BA" w:rsidRPr="00273106">
        <w:rPr>
          <w:i/>
        </w:rPr>
        <w:t>um sit tot generibus rerum mundus plenus</w:t>
      </w:r>
      <w:r w:rsidR="00DE13EF" w:rsidRPr="00273106">
        <w:t>)</w:t>
      </w:r>
      <w:r w:rsidR="00694ABC" w:rsidRPr="00273106">
        <w:t>.</w:t>
      </w:r>
      <w:r w:rsidR="00BA08DE" w:rsidRPr="00273106">
        <w:t xml:space="preserve"> A jejich p</w:t>
      </w:r>
      <w:r w:rsidR="00694ABC" w:rsidRPr="00273106">
        <w:t xml:space="preserve">rázdné výplody mysli </w:t>
      </w:r>
      <w:r w:rsidR="005C16BA" w:rsidRPr="00273106">
        <w:t>nemají nic spo</w:t>
      </w:r>
      <w:r w:rsidR="00897DE1" w:rsidRPr="00273106">
        <w:t>l</w:t>
      </w:r>
      <w:r w:rsidR="005C16BA" w:rsidRPr="00273106">
        <w:t>e</w:t>
      </w:r>
      <w:r w:rsidR="00897DE1" w:rsidRPr="00273106">
        <w:t xml:space="preserve">čného se </w:t>
      </w:r>
      <w:r w:rsidR="00C94984" w:rsidRPr="00273106">
        <w:t>skutečným určením rodu, protože jej neurčili podle aristotelské</w:t>
      </w:r>
      <w:r w:rsidR="0065667C" w:rsidRPr="00273106">
        <w:t xml:space="preserve"> </w:t>
      </w:r>
      <w:r w:rsidR="00C94984" w:rsidRPr="00273106">
        <w:t>substance</w:t>
      </w:r>
      <w:r w:rsidR="0065667C" w:rsidRPr="00273106">
        <w:t xml:space="preserve">, ale </w:t>
      </w:r>
      <w:r w:rsidR="00C94984" w:rsidRPr="00273106">
        <w:t>podle věčně daného</w:t>
      </w:r>
      <w:r w:rsidR="0065667C" w:rsidRPr="00273106">
        <w:t xml:space="preserve"> význam</w:t>
      </w:r>
      <w:r w:rsidR="00F85FA4" w:rsidRPr="00273106">
        <w:t>u</w:t>
      </w:r>
      <w:r w:rsidR="00897DE1" w:rsidRPr="00273106">
        <w:t xml:space="preserve"> (</w:t>
      </w:r>
      <w:r w:rsidR="086B5302" w:rsidRPr="00273106">
        <w:rPr>
          <w:i/>
        </w:rPr>
        <w:t>c</w:t>
      </w:r>
      <w:r w:rsidR="005C16BA" w:rsidRPr="00273106">
        <w:rPr>
          <w:i/>
        </w:rPr>
        <w:t xml:space="preserve">uius </w:t>
      </w:r>
      <w:r w:rsidR="00B1298A">
        <w:rPr>
          <w:i/>
        </w:rPr>
        <w:t>genus</w:t>
      </w:r>
      <w:r w:rsidR="005C16BA" w:rsidRPr="00273106">
        <w:rPr>
          <w:i/>
        </w:rPr>
        <w:t xml:space="preserve"> nomen est semper sit e</w:t>
      </w:r>
      <w:r w:rsidR="00B1298A">
        <w:rPr>
          <w:i/>
        </w:rPr>
        <w:t>genus</w:t>
      </w:r>
      <w:r w:rsidR="005C16BA" w:rsidRPr="00273106">
        <w:t>)</w:t>
      </w:r>
      <w:r w:rsidR="002D4C9B" w:rsidRPr="00273106">
        <w:t xml:space="preserve">. </w:t>
      </w:r>
      <w:r w:rsidR="08D15266">
        <w:t xml:space="preserve">Mysl těchto moderních sofistů </w:t>
      </w:r>
      <w:r w:rsidR="08D15266" w:rsidRPr="00273106">
        <w:t>pracuje na nesmyslech tak pilně, až se z ní kouří</w:t>
      </w:r>
      <w:r w:rsidR="08D15266">
        <w:fldChar w:fldCharType="begin"/>
      </w:r>
      <w:r w:rsidR="08D15266">
        <w:instrText xml:space="preserve"> XE "</w:instrText>
      </w:r>
      <w:r w:rsidR="08D15266" w:rsidRPr="008032BA">
        <w:instrText>intelekt:paranoický</w:instrText>
      </w:r>
      <w:r w:rsidR="08D15266">
        <w:instrText xml:space="preserve">" </w:instrText>
      </w:r>
      <w:r w:rsidR="08D15266">
        <w:fldChar w:fldCharType="end"/>
      </w:r>
      <w:r w:rsidR="08D15266" w:rsidRPr="00273106">
        <w:t xml:space="preserve">. </w:t>
      </w:r>
      <w:r w:rsidR="087E708D" w:rsidRPr="00273106">
        <w:t xml:space="preserve">Godfreyho </w:t>
      </w:r>
      <w:r w:rsidR="004D18AA" w:rsidRPr="00273106">
        <w:t xml:space="preserve">ironický </w:t>
      </w:r>
      <w:r w:rsidR="088940E2" w:rsidRPr="00273106">
        <w:t>postoj zopakuje Roger Bacon</w:t>
      </w:r>
      <w:r w:rsidR="08381CFF" w:rsidRPr="00273106">
        <w:t xml:space="preserve"> v další matrici sporu s </w:t>
      </w:r>
      <w:r w:rsidR="00F85FA4" w:rsidRPr="00273106">
        <w:t xml:space="preserve">následující skupinou </w:t>
      </w:r>
      <w:r w:rsidR="08381CFF" w:rsidRPr="00273106">
        <w:rPr>
          <w:i/>
        </w:rPr>
        <w:t>Modernorum</w:t>
      </w:r>
      <w:r w:rsidR="00AE1CF1" w:rsidRPr="00273106">
        <w:t xml:space="preserve">. Tento aristotelik </w:t>
      </w:r>
      <w:r w:rsidR="08671D04" w:rsidRPr="00273106">
        <w:t>za po</w:t>
      </w:r>
      <w:r w:rsidR="00AE1CF1" w:rsidRPr="00273106">
        <w:t xml:space="preserve">dobné blázny označí jeho </w:t>
      </w:r>
      <w:r w:rsidR="08194FD7">
        <w:t xml:space="preserve">modernistické </w:t>
      </w:r>
      <w:r w:rsidR="08671D04" w:rsidRPr="00273106">
        <w:t xml:space="preserve">souputníky na Oxfordu </w:t>
      </w:r>
      <w:r w:rsidR="088940E2" w:rsidRPr="00273106">
        <w:t xml:space="preserve"> (</w:t>
      </w:r>
      <w:r w:rsidR="088940E2" w:rsidRPr="00273106">
        <w:rPr>
          <w:i/>
        </w:rPr>
        <w:t>insaniunt contra veritatem</w:t>
      </w:r>
      <w:r w:rsidR="004C4957">
        <w:rPr>
          <w:i/>
        </w:rPr>
        <w:fldChar w:fldCharType="begin"/>
      </w:r>
      <w:r w:rsidR="004C4957">
        <w:instrText xml:space="preserve"> XE "</w:instrText>
      </w:r>
      <w:r w:rsidR="00A16549">
        <w:instrText>druhý</w:instrText>
      </w:r>
      <w:r w:rsidR="004C4957" w:rsidRPr="005B7E92">
        <w:instrText xml:space="preserve"> averroismu</w:instrText>
      </w:r>
      <w:r w:rsidR="00A16549">
        <w:instrText>s:kritika Bacona</w:instrText>
      </w:r>
      <w:r w:rsidR="004C4957">
        <w:instrText xml:space="preserve">" </w:instrText>
      </w:r>
      <w:r w:rsidR="004C4957">
        <w:rPr>
          <w:i/>
        </w:rPr>
        <w:fldChar w:fldCharType="end"/>
      </w:r>
      <w:r w:rsidR="08DE6CFE">
        <w:t>, kap. 3</w:t>
      </w:r>
      <w:r w:rsidR="008E4FFB" w:rsidRPr="00273106">
        <w:t>.</w:t>
      </w:r>
      <w:r w:rsidR="08E54617">
        <w:t>4.2</w:t>
      </w:r>
      <w:r w:rsidR="008E4FFB" w:rsidRPr="00273106">
        <w:t>).</w:t>
      </w:r>
      <w:r w:rsidR="00690CDE">
        <w:t xml:space="preserve"> </w:t>
      </w:r>
      <w:r w:rsidR="00690CDE" w:rsidRPr="00273106">
        <w:t xml:space="preserve">Nové schéma poznání již není principiálně determinováno poznáním extramentální věci, viz citovaný </w:t>
      </w:r>
      <w:r w:rsidR="00690CDE" w:rsidRPr="00273106">
        <w:rPr>
          <w:i/>
        </w:rPr>
        <w:t>Metalogicon</w:t>
      </w:r>
      <w:r w:rsidR="08DE6CFE">
        <w:t xml:space="preserve"> od Salisburyho (kap. 1</w:t>
      </w:r>
      <w:r w:rsidR="00690CDE" w:rsidRPr="00273106">
        <w:t>.4).</w:t>
      </w:r>
      <w:r w:rsidR="00690CDE">
        <w:t xml:space="preserve"> </w:t>
      </w:r>
      <w:r w:rsidR="001918C2" w:rsidRPr="00273106">
        <w:rPr>
          <w:lang w:eastAsia="en-US"/>
        </w:rPr>
        <w:t>Avicennou tematizovaný</w:t>
      </w:r>
      <w:r w:rsidR="008E4FFB" w:rsidRPr="00273106">
        <w:rPr>
          <w:lang w:eastAsia="en-US"/>
        </w:rPr>
        <w:t xml:space="preserve"> koncept </w:t>
      </w:r>
      <w:r w:rsidR="008E4FFB" w:rsidRPr="00273106">
        <w:rPr>
          <w:i/>
          <w:lang w:eastAsia="en-US"/>
        </w:rPr>
        <w:t>tertium ens</w:t>
      </w:r>
      <w:r w:rsidR="003F16A5">
        <w:rPr>
          <w:i/>
          <w:lang w:eastAsia="en-US"/>
        </w:rPr>
        <w:fldChar w:fldCharType="begin"/>
      </w:r>
      <w:r w:rsidR="003F16A5">
        <w:instrText xml:space="preserve"> XE "</w:instrText>
      </w:r>
      <w:r w:rsidR="003F16A5" w:rsidRPr="002F10B4">
        <w:rPr>
          <w:rStyle w:val="Zvraznn"/>
        </w:rPr>
        <w:instrText>tertium ens</w:instrText>
      </w:r>
      <w:r w:rsidR="00085213" w:rsidRPr="00085213">
        <w:rPr>
          <w:rStyle w:val="Zvraznn"/>
          <w:i w:val="0"/>
        </w:rPr>
        <w:instrText>:Avicenna</w:instrText>
      </w:r>
      <w:r w:rsidR="003F16A5">
        <w:instrText xml:space="preserve">" </w:instrText>
      </w:r>
      <w:r w:rsidR="003F16A5">
        <w:rPr>
          <w:i/>
          <w:lang w:eastAsia="en-US"/>
        </w:rPr>
        <w:fldChar w:fldCharType="end"/>
      </w:r>
      <w:r w:rsidR="008E4FFB" w:rsidRPr="00273106">
        <w:rPr>
          <w:lang w:eastAsia="en-US"/>
        </w:rPr>
        <w:t xml:space="preserve"> </w:t>
      </w:r>
      <w:r w:rsidR="001918C2" w:rsidRPr="00273106">
        <w:rPr>
          <w:lang w:eastAsia="en-US"/>
        </w:rPr>
        <w:t xml:space="preserve">začal působit </w:t>
      </w:r>
      <w:r w:rsidR="0089503D" w:rsidRPr="00273106">
        <w:rPr>
          <w:lang w:eastAsia="en-US"/>
        </w:rPr>
        <w:t>na latinském Západě</w:t>
      </w:r>
      <w:r w:rsidR="08C56D5F">
        <w:rPr>
          <w:lang w:eastAsia="en-US"/>
        </w:rPr>
        <w:t xml:space="preserve"> skrze </w:t>
      </w:r>
      <w:r w:rsidR="0089503D" w:rsidRPr="00273106">
        <w:rPr>
          <w:lang w:eastAsia="en-US"/>
        </w:rPr>
        <w:t xml:space="preserve">debatu ohledně změněného statutu </w:t>
      </w:r>
      <w:r w:rsidR="00B1298A">
        <w:rPr>
          <w:i/>
          <w:lang w:eastAsia="en-US"/>
        </w:rPr>
        <w:t>genus</w:t>
      </w:r>
      <w:r w:rsidR="0800724C">
        <w:rPr>
          <w:lang w:eastAsia="en-US"/>
        </w:rPr>
        <w:t xml:space="preserve">, </w:t>
      </w:r>
      <w:r w:rsidR="004B4D52" w:rsidRPr="004B4D52">
        <w:rPr>
          <w:lang w:eastAsia="en-US"/>
        </w:rPr>
        <w:t>species</w:t>
      </w:r>
      <w:r w:rsidR="00690CDE">
        <w:rPr>
          <w:lang w:eastAsia="en-US"/>
        </w:rPr>
        <w:t xml:space="preserve"> </w:t>
      </w:r>
      <w:r w:rsidR="0800724C">
        <w:rPr>
          <w:lang w:eastAsia="en-US"/>
        </w:rPr>
        <w:t xml:space="preserve">a </w:t>
      </w:r>
      <w:r w:rsidR="0800724C" w:rsidRPr="0800724C">
        <w:rPr>
          <w:i/>
          <w:lang w:eastAsia="en-US"/>
        </w:rPr>
        <w:t>individuum</w:t>
      </w:r>
      <w:r w:rsidR="0800724C">
        <w:rPr>
          <w:lang w:eastAsia="en-US"/>
        </w:rPr>
        <w:t xml:space="preserve"> </w:t>
      </w:r>
      <w:r w:rsidR="00690CDE">
        <w:rPr>
          <w:lang w:eastAsia="en-US"/>
        </w:rPr>
        <w:t xml:space="preserve">definovanými v </w:t>
      </w:r>
      <w:r w:rsidR="00690CDE" w:rsidRPr="00690CDE">
        <w:rPr>
          <w:i/>
          <w:lang w:eastAsia="en-US"/>
        </w:rPr>
        <w:t>Isagoge</w:t>
      </w:r>
      <w:r w:rsidR="0089503D" w:rsidRPr="00273106">
        <w:rPr>
          <w:lang w:eastAsia="en-US"/>
        </w:rPr>
        <w:t>.</w:t>
      </w:r>
      <w:r w:rsidR="00654379" w:rsidRPr="00273106">
        <w:rPr>
          <w:lang w:eastAsia="en-US"/>
        </w:rPr>
        <w:t xml:space="preserve"> </w:t>
      </w:r>
      <w:r w:rsidR="00690CDE" w:rsidRPr="00273106">
        <w:t xml:space="preserve">V modu metafyziky </w:t>
      </w:r>
      <w:r w:rsidR="00690CDE" w:rsidRPr="00273106">
        <w:rPr>
          <w:i/>
        </w:rPr>
        <w:t>ens inquantum ens</w:t>
      </w:r>
      <w:r w:rsidR="00690CDE">
        <w:rPr>
          <w:i/>
        </w:rPr>
        <w:fldChar w:fldCharType="begin"/>
      </w:r>
      <w:r w:rsidR="00690CDE">
        <w:instrText xml:space="preserve"> XE "</w:instrText>
      </w:r>
      <w:r w:rsidR="00690CDE" w:rsidRPr="005424E2">
        <w:rPr>
          <w:i/>
        </w:rPr>
        <w:instrText>ens inquantum ens</w:instrText>
      </w:r>
      <w:r w:rsidR="00690CDE">
        <w:instrText xml:space="preserve">" </w:instrText>
      </w:r>
      <w:r w:rsidR="00690CDE">
        <w:rPr>
          <w:i/>
        </w:rPr>
        <w:fldChar w:fldCharType="end"/>
      </w:r>
      <w:r w:rsidR="00690CDE" w:rsidRPr="00273106">
        <w:t xml:space="preserve"> platí univocita jsoucího vzhledem k libovolně d</w:t>
      </w:r>
      <w:r w:rsidR="00690CDE">
        <w:t>efinovaným vlastnostem</w:t>
      </w:r>
      <w:r w:rsidR="00690CDE" w:rsidRPr="00273106">
        <w:t>, a ne vzhledem k aktuálně existující substanci jako u Aristotela.</w:t>
      </w:r>
      <w:r w:rsidR="00690CDE">
        <w:t xml:space="preserve"> </w:t>
      </w:r>
      <w:r w:rsidR="081D1D0F" w:rsidRPr="00273106">
        <w:t xml:space="preserve">Formalizace a univocita jsoucnosti způsobila, že </w:t>
      </w:r>
      <w:r w:rsidR="00254D43">
        <w:t xml:space="preserve">základní </w:t>
      </w:r>
      <w:r w:rsidR="00837A3A">
        <w:t xml:space="preserve">vlastnosti </w:t>
      </w:r>
      <w:r w:rsidR="08556283">
        <w:t xml:space="preserve">fyzikálního tělesa </w:t>
      </w:r>
      <w:r w:rsidR="008E4FFB" w:rsidRPr="00273106">
        <w:t>(existence, materi</w:t>
      </w:r>
      <w:r w:rsidR="0004296B" w:rsidRPr="00273106">
        <w:t>e</w:t>
      </w:r>
      <w:r w:rsidR="00F21743">
        <w:t>, kvalita</w:t>
      </w:r>
      <w:r w:rsidR="00452A04">
        <w:t>, kvantita</w:t>
      </w:r>
      <w:r w:rsidR="008E4FFB" w:rsidRPr="00273106">
        <w:t xml:space="preserve">) </w:t>
      </w:r>
      <w:r w:rsidR="081D1D0F" w:rsidRPr="00273106">
        <w:t>dost</w:t>
      </w:r>
      <w:r w:rsidR="008E4FFB" w:rsidRPr="00273106">
        <w:t>aly hypostatický</w:t>
      </w:r>
      <w:r w:rsidR="081D1D0F" w:rsidRPr="00273106">
        <w:t xml:space="preserve"> univoční status</w:t>
      </w:r>
      <w:r w:rsidR="008E4FFB" w:rsidRPr="00273106">
        <w:t xml:space="preserve">. </w:t>
      </w:r>
      <w:r w:rsidR="00690CDE">
        <w:t>Registr komitačně při</w:t>
      </w:r>
      <w:r w:rsidR="00E96C05" w:rsidRPr="00273106">
        <w:t xml:space="preserve">čítaných univerzálií je možné rozšiřovat pomocí jakékoliv </w:t>
      </w:r>
      <w:r w:rsidR="00E96C05" w:rsidRPr="00273106">
        <w:rPr>
          <w:i/>
        </w:rPr>
        <w:t>ad hoc</w:t>
      </w:r>
      <w:r w:rsidR="00E96C05" w:rsidRPr="00273106">
        <w:t xml:space="preserve"> utvořené hypostáze. </w:t>
      </w:r>
      <w:r w:rsidR="00B77454" w:rsidRPr="00273106">
        <w:t>Školy p</w:t>
      </w:r>
      <w:r w:rsidR="08AF3919" w:rsidRPr="00273106">
        <w:t xml:space="preserve">orretánů a </w:t>
      </w:r>
      <w:r w:rsidR="08AF3919" w:rsidRPr="00273106">
        <w:rPr>
          <w:i/>
        </w:rPr>
        <w:t>Nominales</w:t>
      </w:r>
      <w:r w:rsidR="08AF3919" w:rsidRPr="00273106">
        <w:t xml:space="preserve"> </w:t>
      </w:r>
      <w:r w:rsidR="08640CBF">
        <w:t xml:space="preserve">vytvořily moderní individa jako </w:t>
      </w:r>
      <w:r w:rsidR="08157A0D">
        <w:t>kolekci</w:t>
      </w:r>
      <w:r w:rsidR="00FE08DE" w:rsidRPr="00273106">
        <w:t xml:space="preserve"> </w:t>
      </w:r>
      <w:r w:rsidR="08640CBF">
        <w:t xml:space="preserve">hypostázovaných </w:t>
      </w:r>
      <w:r w:rsidR="08157A0D">
        <w:t>významů</w:t>
      </w:r>
      <w:r w:rsidR="08640CBF">
        <w:t>, které přičítali k nominálnímu subjektu skrze avicennovskou k</w:t>
      </w:r>
      <w:r w:rsidR="00FE08DE" w:rsidRPr="00273106">
        <w:t>omi</w:t>
      </w:r>
      <w:r w:rsidR="006A3B7E" w:rsidRPr="00273106">
        <w:t>ta</w:t>
      </w:r>
      <w:r w:rsidR="08157A0D">
        <w:t>ci univerzálních vlastností</w:t>
      </w:r>
      <w:r w:rsidR="08AF3919" w:rsidRPr="00273106">
        <w:t xml:space="preserve">. </w:t>
      </w:r>
      <w:r w:rsidR="08842B74">
        <w:t>Avicennistick</w:t>
      </w:r>
      <w:r w:rsidR="08157A0D">
        <w:t>á komitace nahradila aristotelskou kategoriální predikaci</w:t>
      </w:r>
      <w:r w:rsidR="08842B74">
        <w:t xml:space="preserve">. Nominalisté založili pouze </w:t>
      </w:r>
      <w:r w:rsidR="08157A0D">
        <w:t xml:space="preserve">logické </w:t>
      </w:r>
      <w:r w:rsidR="08842B74">
        <w:t xml:space="preserve">pojetí </w:t>
      </w:r>
      <w:r w:rsidR="08157A0D">
        <w:t>pravdy a nepravdy</w:t>
      </w:r>
      <w:r w:rsidR="08842B74">
        <w:t xml:space="preserve">, které se kompletně odtrhlo od působení </w:t>
      </w:r>
      <w:r w:rsidR="082A724F">
        <w:t xml:space="preserve">metafyzického </w:t>
      </w:r>
      <w:r w:rsidR="08842B74">
        <w:t xml:space="preserve">dativu a od metafyzické abstrakce vázané na realitu hyparchické první substance. </w:t>
      </w:r>
      <w:r w:rsidR="08920882" w:rsidRPr="00273106">
        <w:t xml:space="preserve">Paranoické myšlení </w:t>
      </w:r>
      <w:r w:rsidR="08920882" w:rsidRPr="00273106">
        <w:rPr>
          <w:i/>
        </w:rPr>
        <w:t>Nominales</w:t>
      </w:r>
      <w:r w:rsidR="00FD617E" w:rsidRPr="00273106">
        <w:t xml:space="preserve"> </w:t>
      </w:r>
      <w:r w:rsidR="00647B5B" w:rsidRPr="00273106">
        <w:t>ironizované mysliteli</w:t>
      </w:r>
      <w:r w:rsidR="00FD617E" w:rsidRPr="00273106">
        <w:t xml:space="preserve"> jako Godfrey už </w:t>
      </w:r>
      <w:r w:rsidR="08920882" w:rsidRPr="00273106">
        <w:t xml:space="preserve">nepoznává reálný svět, ale pouze své vlastní výtvory. Tím určuje samo sebe s nepřímou pomocí reálné věci. </w:t>
      </w:r>
      <w:r w:rsidR="00654379" w:rsidRPr="00273106">
        <w:t xml:space="preserve">Klasicky vzdělaný </w:t>
      </w:r>
      <w:r w:rsidR="00CB3E4F">
        <w:t>Abélard</w:t>
      </w:r>
      <w:r w:rsidR="00654379" w:rsidRPr="00273106">
        <w:t xml:space="preserve"> vázal determinaci poznání na aktualitu první s</w:t>
      </w:r>
      <w:r w:rsidR="00E54051">
        <w:t>ubstance po vzoru Boethia. J</w:t>
      </w:r>
      <w:r w:rsidR="00654379" w:rsidRPr="00273106">
        <w:t xml:space="preserve">eho myslitelské úsilí </w:t>
      </w:r>
      <w:r w:rsidR="08755270">
        <w:t>se na latinském Západě neprosadilo</w:t>
      </w:r>
      <w:r w:rsidR="088566D5">
        <w:t>, protože modernisté zvítězili v novém převleku ve druhé polovině 13. století</w:t>
      </w:r>
      <w:r w:rsidR="08805E7A">
        <w:t xml:space="preserve">. </w:t>
      </w:r>
      <w:r w:rsidR="00CB3E4F">
        <w:rPr>
          <w:lang w:eastAsia="en-US"/>
        </w:rPr>
        <w:t>Abélard</w:t>
      </w:r>
      <w:r w:rsidR="08805E7A">
        <w:rPr>
          <w:lang w:eastAsia="en-US"/>
        </w:rPr>
        <w:t xml:space="preserve"> věděl, že v jeho zmatené proto</w:t>
      </w:r>
      <w:r w:rsidR="08805E7A">
        <w:rPr>
          <w:lang w:eastAsia="en-US"/>
        </w:rPr>
        <w:softHyphen/>
      </w:r>
      <w:r w:rsidR="08805E7A">
        <w:rPr>
          <w:lang w:eastAsia="en-US"/>
        </w:rPr>
        <w:noBreakHyphen/>
        <w:t xml:space="preserve">modernistické době představuje téměř jediného obránce autentického </w:t>
      </w:r>
      <w:r w:rsidR="08805E7A">
        <w:rPr>
          <w:lang w:eastAsia="en-US"/>
        </w:rPr>
        <w:lastRenderedPageBreak/>
        <w:t xml:space="preserve">aristotelismu. Stejně tak Siger jako jediný filosof své doby pochopil do hloubky fenomenologický smysl CMDA, Averroesovu ipseitu osoby a jeho zásadní kritiku Avicennovy metafyziky. </w:t>
      </w:r>
      <w:r w:rsidR="00654379" w:rsidRPr="00273106">
        <w:t xml:space="preserve">Zásadní novum </w:t>
      </w:r>
      <w:r w:rsidR="003A4594" w:rsidRPr="00273106">
        <w:t xml:space="preserve">porretánů a </w:t>
      </w:r>
      <w:r w:rsidR="00654379" w:rsidRPr="00273106">
        <w:rPr>
          <w:i/>
        </w:rPr>
        <w:t>Nominales</w:t>
      </w:r>
      <w:r w:rsidR="00654379" w:rsidRPr="00273106">
        <w:t xml:space="preserve"> </w:t>
      </w:r>
      <w:r w:rsidR="08C3212E" w:rsidRPr="00273106">
        <w:t xml:space="preserve">spočívalo </w:t>
      </w:r>
      <w:r w:rsidR="00654379" w:rsidRPr="00273106">
        <w:t xml:space="preserve">v tom, že napojili univoční rozsažnost na matematickou abstrakci. </w:t>
      </w:r>
      <w:r w:rsidR="00C90F5C" w:rsidRPr="00273106">
        <w:t>Matematicky určené individuum v rámci hypostázované materie a rozsažnosti se stalo</w:t>
      </w:r>
      <w:r w:rsidR="00654379" w:rsidRPr="00273106">
        <w:t xml:space="preserve"> novou univerzálií a </w:t>
      </w:r>
      <w:r w:rsidR="08373969">
        <w:t xml:space="preserve">jednotlivinou </w:t>
      </w:r>
      <w:r w:rsidR="00C90F5C" w:rsidRPr="00273106">
        <w:t>současně</w:t>
      </w:r>
      <w:r w:rsidR="00654379" w:rsidRPr="00273106">
        <w:t>. Roscelin, Gilbert, Alber</w:t>
      </w:r>
      <w:r w:rsidR="00243AEE" w:rsidRPr="00273106">
        <w:t>ic</w:t>
      </w:r>
      <w:r w:rsidR="002534ED">
        <w:t>h</w:t>
      </w:r>
      <w:r w:rsidR="00243AEE" w:rsidRPr="00273106">
        <w:t xml:space="preserve"> </w:t>
      </w:r>
      <w:r w:rsidR="00654379" w:rsidRPr="00273106">
        <w:t xml:space="preserve">a jejich následovníci zvaní </w:t>
      </w:r>
      <w:r w:rsidR="00654379" w:rsidRPr="00273106">
        <w:rPr>
          <w:i/>
        </w:rPr>
        <w:t>Nominales</w:t>
      </w:r>
      <w:r w:rsidR="002534ED">
        <w:t xml:space="preserve"> </w:t>
      </w:r>
      <w:r w:rsidR="00654379" w:rsidRPr="00273106">
        <w:t>představují z hlediska hermeneutiky typickou avicennovskou pozici. Jejich nauka bude mít velkou budoucnost zejména v logických školách (</w:t>
      </w:r>
      <w:r w:rsidR="00654379" w:rsidRPr="00273106">
        <w:rPr>
          <w:i/>
        </w:rPr>
        <w:t>Porretani, Parvipontani, Meludinenses</w:t>
      </w:r>
      <w:r w:rsidR="00F52990" w:rsidRPr="00273106">
        <w:t>). Z</w:t>
      </w:r>
      <w:r w:rsidR="00654379" w:rsidRPr="00273106">
        <w:t>ánik</w:t>
      </w:r>
      <w:r w:rsidR="08405906" w:rsidRPr="00273106">
        <w:t xml:space="preserve"> těchto škol po </w:t>
      </w:r>
      <w:r w:rsidR="002F35CF">
        <w:t xml:space="preserve">roce </w:t>
      </w:r>
      <w:r w:rsidR="08405906" w:rsidRPr="00273106">
        <w:t>120</w:t>
      </w:r>
      <w:r w:rsidR="00F52990" w:rsidRPr="00273106">
        <w:t xml:space="preserve">0 koresponduje </w:t>
      </w:r>
      <w:r w:rsidR="00654379" w:rsidRPr="00273106">
        <w:t>s příchodem autentických Ari</w:t>
      </w:r>
      <w:r w:rsidR="002534ED">
        <w:t>stotelových spisů a Averroe</w:t>
      </w:r>
      <w:r w:rsidR="08241526" w:rsidRPr="00273106">
        <w:t xml:space="preserve">sových komentářů </w:t>
      </w:r>
      <w:r w:rsidR="00F52990" w:rsidRPr="00273106">
        <w:t>na latinský Západ</w:t>
      </w:r>
      <w:r w:rsidR="086F570A">
        <w:t xml:space="preserve"> a přeměnou </w:t>
      </w:r>
      <w:r w:rsidR="086F570A" w:rsidRPr="086F570A">
        <w:rPr>
          <w:i/>
        </w:rPr>
        <w:t>logica Modernorum</w:t>
      </w:r>
      <w:r w:rsidR="086F570A">
        <w:t xml:space="preserve"> na </w:t>
      </w:r>
      <w:r w:rsidR="088E67CC">
        <w:t>ontoteologic</w:t>
      </w:r>
      <w:r w:rsidR="086F570A">
        <w:t>kou verzi modernismu ve škole druhého averroismu</w:t>
      </w:r>
      <w:r w:rsidR="088E67CC">
        <w:t xml:space="preserve">. Od roku 1200 </w:t>
      </w:r>
      <w:r w:rsidR="00654379" w:rsidRPr="00273106">
        <w:t xml:space="preserve">pokračuje spor </w:t>
      </w:r>
      <w:r w:rsidR="088E67CC">
        <w:t>modernistů s Blundovou školou spoluzakládající  Pařížskou univerzitu</w:t>
      </w:r>
      <w:r w:rsidR="08AE6722">
        <w:t xml:space="preserve"> </w:t>
      </w:r>
      <w:r w:rsidR="084B038A">
        <w:t xml:space="preserve">přeměnou </w:t>
      </w:r>
      <w:r w:rsidR="08AE6722">
        <w:t xml:space="preserve">katedrální </w:t>
      </w:r>
      <w:r w:rsidR="08AE6722" w:rsidRPr="08AE6722">
        <w:rPr>
          <w:i/>
        </w:rPr>
        <w:t>École de Paris</w:t>
      </w:r>
      <w:r w:rsidR="088E67CC">
        <w:t xml:space="preserve">. Moderní avicennisté odmítli Boethiovu a Abelardovu </w:t>
      </w:r>
      <w:r w:rsidR="006B6D04">
        <w:t xml:space="preserve">metafyziku </w:t>
      </w:r>
      <w:r w:rsidR="088E67CC">
        <w:t>danou</w:t>
      </w:r>
      <w:r w:rsidR="00654379" w:rsidRPr="00273106">
        <w:t xml:space="preserve"> </w:t>
      </w:r>
      <w:r w:rsidR="088E67CC">
        <w:t xml:space="preserve">v Blundově škole novým výkladem </w:t>
      </w:r>
      <w:r w:rsidR="00F52990" w:rsidRPr="00273106">
        <w:t xml:space="preserve">spisu </w:t>
      </w:r>
      <w:r w:rsidR="00B713C5">
        <w:rPr>
          <w:i/>
        </w:rPr>
        <w:t>De anima</w:t>
      </w:r>
      <w:r w:rsidR="00654379" w:rsidRPr="00273106">
        <w:t xml:space="preserve">. Tím se spor o signifikaci znovu přenese </w:t>
      </w:r>
      <w:r w:rsidR="08957B94" w:rsidRPr="00273106">
        <w:t xml:space="preserve">do výkladu spisu </w:t>
      </w:r>
      <w:r w:rsidR="08957B94">
        <w:rPr>
          <w:i/>
        </w:rPr>
        <w:t>De anima</w:t>
      </w:r>
      <w:r w:rsidR="00654379" w:rsidRPr="00273106">
        <w:t xml:space="preserve">, kde jej situoval </w:t>
      </w:r>
      <w:r w:rsidR="00174ECA">
        <w:t>Aristotele</w:t>
      </w:r>
      <w:r w:rsidR="08155660" w:rsidRPr="00273106">
        <w:t>s</w:t>
      </w:r>
      <w:r w:rsidR="00654379" w:rsidRPr="00273106">
        <w:t xml:space="preserve"> podle </w:t>
      </w:r>
      <w:r w:rsidR="08FC6083" w:rsidRPr="00273106">
        <w:rPr>
          <w:i/>
        </w:rPr>
        <w:t>De Interpretatione</w:t>
      </w:r>
      <w:r w:rsidR="08957B94">
        <w:t xml:space="preserve"> </w:t>
      </w:r>
      <w:r w:rsidR="00665931">
        <w:t>(kap. 1</w:t>
      </w:r>
      <w:r w:rsidR="08F06F5C" w:rsidRPr="00273106">
        <w:t>.1</w:t>
      </w:r>
      <w:r w:rsidR="008931F2" w:rsidRPr="00273106">
        <w:t xml:space="preserve">).  Výklad </w:t>
      </w:r>
      <w:r w:rsidR="00C5606B" w:rsidRPr="00273106">
        <w:t xml:space="preserve">citovaného spisu </w:t>
      </w:r>
      <w:r w:rsidR="008931F2" w:rsidRPr="00273106">
        <w:t>zakládá třetí matrici</w:t>
      </w:r>
      <w:r w:rsidR="00654379" w:rsidRPr="00273106">
        <w:t xml:space="preserve"> objektivity</w:t>
      </w:r>
      <w:r w:rsidR="008931F2" w:rsidRPr="00273106">
        <w:t xml:space="preserve">, protože </w:t>
      </w:r>
      <w:r w:rsidR="08CE3EB1">
        <w:t xml:space="preserve">tyto </w:t>
      </w:r>
      <w:r w:rsidR="008931F2" w:rsidRPr="00273106">
        <w:t xml:space="preserve">spory </w:t>
      </w:r>
      <w:r w:rsidR="00654379" w:rsidRPr="00273106">
        <w:t xml:space="preserve">již </w:t>
      </w:r>
      <w:r w:rsidR="00174ECA">
        <w:t>byly ovlivněny příchodem Averroe</w:t>
      </w:r>
      <w:r w:rsidR="00817540" w:rsidRPr="00273106">
        <w:t>sova magistrálního díla CMDA</w:t>
      </w:r>
      <w:r w:rsidR="08CE3EB1">
        <w:t xml:space="preserve"> na latinský Západ</w:t>
      </w:r>
      <w:r w:rsidR="08A23D7C" w:rsidRPr="00273106">
        <w:t>.</w:t>
      </w:r>
      <w:r w:rsidR="08A41297">
        <w:t xml:space="preserve"> </w:t>
      </w:r>
      <w:r w:rsidR="00AD1EA9">
        <w:t>V</w:t>
      </w:r>
      <w:r w:rsidR="000826FC" w:rsidRPr="00273106">
        <w:t xml:space="preserve">ědění </w:t>
      </w:r>
      <w:r w:rsidR="00031CAE">
        <w:t xml:space="preserve">první teologicky založené </w:t>
      </w:r>
      <w:r w:rsidR="00442879">
        <w:t xml:space="preserve">moderny </w:t>
      </w:r>
      <w:r w:rsidR="000826FC" w:rsidRPr="00273106">
        <w:t xml:space="preserve">zakládá </w:t>
      </w:r>
      <w:r w:rsidR="00DC6563">
        <w:t xml:space="preserve">církevní a akademická </w:t>
      </w:r>
      <w:r w:rsidR="000826FC" w:rsidRPr="00273106">
        <w:t xml:space="preserve">moc daná dogmatickým přesvědčením </w:t>
      </w:r>
      <w:r w:rsidR="00DC6563">
        <w:t>(</w:t>
      </w:r>
      <w:r w:rsidR="00DC6563" w:rsidRPr="00DC6563">
        <w:rPr>
          <w:i/>
        </w:rPr>
        <w:t>certitudo</w:t>
      </w:r>
      <w:r w:rsidR="00DC6563">
        <w:t xml:space="preserve">) </w:t>
      </w:r>
      <w:r w:rsidR="000826FC" w:rsidRPr="00273106">
        <w:t xml:space="preserve">o </w:t>
      </w:r>
      <w:r w:rsidR="00DC6563">
        <w:t xml:space="preserve">absolutně dané </w:t>
      </w:r>
      <w:r w:rsidR="000826FC" w:rsidRPr="00273106">
        <w:t xml:space="preserve">správnosti </w:t>
      </w:r>
      <w:r w:rsidR="00DC6563">
        <w:t xml:space="preserve">vlastního postupu </w:t>
      </w:r>
      <w:r w:rsidR="000826FC" w:rsidRPr="00273106">
        <w:t>(</w:t>
      </w:r>
      <w:r w:rsidR="000826FC" w:rsidRPr="00273106">
        <w:rPr>
          <w:i/>
        </w:rPr>
        <w:t>rectitudo</w:t>
      </w:r>
      <w:r w:rsidR="000826FC" w:rsidRPr="00273106">
        <w:t>).</w:t>
      </w:r>
      <w:r w:rsidR="009A5FCE">
        <w:t xml:space="preserve"> </w:t>
      </w:r>
      <w:r w:rsidR="00DC6563">
        <w:t>Moderní vědění není založeno na pravdě, ale na akademické moci. Ta</w:t>
      </w:r>
      <w:r w:rsidR="000F0DAA">
        <w:t xml:space="preserve">to moc </w:t>
      </w:r>
      <w:r w:rsidR="00DC6563">
        <w:t>generuje pravdu určenou moderním subjektem (</w:t>
      </w:r>
      <w:r w:rsidR="00DC6563" w:rsidRPr="00DC6563">
        <w:rPr>
          <w:i/>
        </w:rPr>
        <w:t>scientia potestas est</w:t>
      </w:r>
      <w:r w:rsidR="00DC6563">
        <w:t>), což Francis Bacon aplikoval na vědění moderního boha (</w:t>
      </w:r>
      <w:r w:rsidR="00DC6563" w:rsidRPr="00DC6563">
        <w:rPr>
          <w:i/>
        </w:rPr>
        <w:t>Meditationes Sacrae</w:t>
      </w:r>
      <w:r w:rsidR="00DC6563">
        <w:t>, 1597).</w:t>
      </w:r>
      <w:r w:rsidR="00211A38">
        <w:t xml:space="preserve"> </w:t>
      </w:r>
      <w:r w:rsidR="081C6260" w:rsidRPr="00273106">
        <w:t>Porretáni</w:t>
      </w:r>
      <w:r w:rsidR="081C6260" w:rsidRPr="00273106">
        <w:rPr>
          <w:rStyle w:val="Zkladntext15dkovn0pt"/>
          <w:rFonts w:ascii="Calibri" w:eastAsia="Times" w:hAnsi="Calibri" w:cs="Times New Roman"/>
          <w:b w:val="0"/>
          <w:bCs w:val="0"/>
          <w:color w:val="auto"/>
          <w:lang w:val="cs-CZ"/>
        </w:rPr>
        <w:t xml:space="preserve"> </w:t>
      </w:r>
      <w:r w:rsidR="081C6260" w:rsidRPr="00273106">
        <w:t xml:space="preserve">a jejich </w:t>
      </w:r>
      <w:r w:rsidR="00293FCF">
        <w:t>nástupci ve 13. století redukovali</w:t>
      </w:r>
      <w:r w:rsidR="081C6260" w:rsidRPr="00273106">
        <w:t xml:space="preserve"> věc na autonomní esenci</w:t>
      </w:r>
      <w:r w:rsidR="081C6260">
        <w:t xml:space="preserve"> v procesu avicennovské denudace</w:t>
      </w:r>
      <w:r w:rsidR="081C6260" w:rsidRPr="00273106">
        <w:t xml:space="preserve">. </w:t>
      </w:r>
      <w:r w:rsidR="081C6260">
        <w:t xml:space="preserve">Tato sofistika změnila klasickou </w:t>
      </w:r>
      <w:r w:rsidR="081C6260" w:rsidRPr="08157A0D">
        <w:rPr>
          <w:i/>
        </w:rPr>
        <w:t>logica Vetus</w:t>
      </w:r>
      <w:r w:rsidR="081C6260">
        <w:rPr>
          <w:i/>
        </w:rPr>
        <w:fldChar w:fldCharType="begin"/>
      </w:r>
      <w:r w:rsidR="081C6260">
        <w:instrText xml:space="preserve"> XE "</w:instrText>
      </w:r>
      <w:r w:rsidR="081C6260" w:rsidRPr="007C256F">
        <w:rPr>
          <w:i/>
        </w:rPr>
        <w:instrText>logica Vetus</w:instrText>
      </w:r>
      <w:r w:rsidR="081C6260">
        <w:instrText xml:space="preserve">" </w:instrText>
      </w:r>
      <w:r w:rsidR="081C6260">
        <w:rPr>
          <w:i/>
        </w:rPr>
        <w:fldChar w:fldCharType="end"/>
      </w:r>
      <w:r w:rsidR="081C6260">
        <w:t xml:space="preserve"> na </w:t>
      </w:r>
      <w:r w:rsidR="081C6260" w:rsidRPr="08157A0D">
        <w:rPr>
          <w:i/>
        </w:rPr>
        <w:t>logica Modernorum</w:t>
      </w:r>
      <w:r w:rsidR="081C6260">
        <w:t xml:space="preserve">. Škola analytických </w:t>
      </w:r>
      <w:r w:rsidR="081C6260" w:rsidRPr="08D96D21">
        <w:rPr>
          <w:i/>
        </w:rPr>
        <w:t>Modernorum</w:t>
      </w:r>
      <w:r w:rsidR="081C6260">
        <w:t xml:space="preserve"> založila nový </w:t>
      </w:r>
      <w:r w:rsidR="081C6260" w:rsidRPr="00273106">
        <w:t xml:space="preserve">vědecký nástroj poznání </w:t>
      </w:r>
      <w:r w:rsidR="081C6260">
        <w:t xml:space="preserve">a vytvořila nové pojetí pravdy okolo roku 1230. </w:t>
      </w:r>
      <w:r w:rsidR="009A5FCE">
        <w:t xml:space="preserve">Z hlediska </w:t>
      </w:r>
      <w:r w:rsidR="009A5FCE" w:rsidRPr="00442879">
        <w:rPr>
          <w:i/>
        </w:rPr>
        <w:t>Wirkungsgeschichte</w:t>
      </w:r>
      <w:r w:rsidR="009A5FCE">
        <w:t xml:space="preserve"> objektivity jsou </w:t>
      </w:r>
      <w:r w:rsidR="08406D63">
        <w:t xml:space="preserve">důležité </w:t>
      </w:r>
      <w:r w:rsidR="00664778">
        <w:t xml:space="preserve">místní </w:t>
      </w:r>
      <w:r w:rsidR="009A5FCE">
        <w:t>k</w:t>
      </w:r>
      <w:r w:rsidR="00E65BE3">
        <w:t>oncily v Soissons</w:t>
      </w:r>
      <w:r w:rsidR="002D7AC6">
        <w:fldChar w:fldCharType="begin"/>
      </w:r>
      <w:r w:rsidR="002D7AC6">
        <w:instrText xml:space="preserve"> XE "</w:instrText>
      </w:r>
      <w:r w:rsidR="002D7AC6" w:rsidRPr="003709BA">
        <w:instrText>koncil:Soissons</w:instrText>
      </w:r>
      <w:r w:rsidR="002D7AC6">
        <w:instrText xml:space="preserve">" </w:instrText>
      </w:r>
      <w:r w:rsidR="002D7AC6">
        <w:fldChar w:fldCharType="end"/>
      </w:r>
      <w:r w:rsidR="00E65BE3">
        <w:t xml:space="preserve"> </w:t>
      </w:r>
      <w:r w:rsidR="00A1720E">
        <w:t>(1121)</w:t>
      </w:r>
      <w:r w:rsidR="00664778">
        <w:t>,</w:t>
      </w:r>
      <w:r w:rsidR="00A1720E">
        <w:t xml:space="preserve"> </w:t>
      </w:r>
      <w:r w:rsidR="00E65BE3">
        <w:t>v Sens</w:t>
      </w:r>
      <w:r w:rsidR="002D7AC6">
        <w:fldChar w:fldCharType="begin"/>
      </w:r>
      <w:r w:rsidR="002D7AC6">
        <w:instrText xml:space="preserve"> XE "</w:instrText>
      </w:r>
      <w:r w:rsidR="002D7AC6" w:rsidRPr="003709BA">
        <w:instrText>koncil:Sens</w:instrText>
      </w:r>
      <w:r w:rsidR="002D7AC6">
        <w:instrText xml:space="preserve">" </w:instrText>
      </w:r>
      <w:r w:rsidR="002D7AC6">
        <w:fldChar w:fldCharType="end"/>
      </w:r>
      <w:r w:rsidR="00E65BE3">
        <w:t xml:space="preserve"> </w:t>
      </w:r>
      <w:r w:rsidR="00664778">
        <w:t xml:space="preserve">(1140) </w:t>
      </w:r>
      <w:r w:rsidR="00E65BE3">
        <w:t xml:space="preserve">a po nich Tempierův dekret </w:t>
      </w:r>
      <w:r w:rsidR="009A5FCE">
        <w:t xml:space="preserve">z března </w:t>
      </w:r>
      <w:r w:rsidR="002F35CF">
        <w:t xml:space="preserve">roku </w:t>
      </w:r>
      <w:r w:rsidR="009A5FCE">
        <w:t>1277</w:t>
      </w:r>
      <w:r w:rsidR="00664778">
        <w:fldChar w:fldCharType="begin"/>
      </w:r>
      <w:r w:rsidR="00664778">
        <w:instrText xml:space="preserve"> XE "</w:instrText>
      </w:r>
      <w:r w:rsidR="00664778" w:rsidRPr="00C50A3E">
        <w:instrText>odsouzení 1277</w:instrText>
      </w:r>
      <w:r w:rsidR="00664778">
        <w:instrText xml:space="preserve">" </w:instrText>
      </w:r>
      <w:r w:rsidR="00664778">
        <w:fldChar w:fldCharType="end"/>
      </w:r>
      <w:r w:rsidR="009A5FCE">
        <w:t xml:space="preserve">. Mocenské církevní instituce </w:t>
      </w:r>
      <w:r w:rsidR="088C4289">
        <w:t>nepochopily hledisko dvojího poznání nebo dvojí cesty</w:t>
      </w:r>
      <w:r w:rsidR="00E65BE3">
        <w:t xml:space="preserve"> </w:t>
      </w:r>
      <w:r w:rsidR="088C4289">
        <w:t>za pravdou danou</w:t>
      </w:r>
      <w:r w:rsidR="00E65BE3">
        <w:t xml:space="preserve"> </w:t>
      </w:r>
      <w:r w:rsidR="088C4289">
        <w:t>odlišným z</w:t>
      </w:r>
      <w:r w:rsidR="00E65BE3">
        <w:t>koumáním filosofie a teologie</w:t>
      </w:r>
      <w:r w:rsidR="08B90C54">
        <w:t>. V</w:t>
      </w:r>
      <w:r w:rsidR="088C4289">
        <w:t xml:space="preserve">ědecký důkaz podle </w:t>
      </w:r>
      <w:r w:rsidR="088C4289" w:rsidRPr="088C4289">
        <w:rPr>
          <w:i/>
        </w:rPr>
        <w:t>Druhých analytik</w:t>
      </w:r>
      <w:r w:rsidR="08B90C54">
        <w:t xml:space="preserve"> má poslední univocitu podle druhé </w:t>
      </w:r>
      <w:r w:rsidR="009D713B">
        <w:t xml:space="preserve">substance </w:t>
      </w:r>
      <w:r w:rsidR="08B90C54">
        <w:t xml:space="preserve">jako poslední roviny univočně predikovaného významu v rámci rodu. Rodově odlišné zkoumání teologie a </w:t>
      </w:r>
      <w:r w:rsidR="08B90C54">
        <w:lastRenderedPageBreak/>
        <w:t>filosofie nemůže postupovat podle jedné metody</w:t>
      </w:r>
      <w:r w:rsidR="08F0733A" w:rsidRPr="08F0733A">
        <w:t xml:space="preserve"> </w:t>
      </w:r>
      <w:r w:rsidR="0889550F">
        <w:t>dané</w:t>
      </w:r>
      <w:r w:rsidR="084262B3">
        <w:t xml:space="preserve"> v moderní teorii jedné pravdy</w:t>
      </w:r>
      <w:r w:rsidR="08F0733A">
        <w:t xml:space="preserve"> </w:t>
      </w:r>
      <w:r w:rsidR="084262B3">
        <w:t xml:space="preserve">podle </w:t>
      </w:r>
      <w:r w:rsidR="0889550F">
        <w:t xml:space="preserve">pařížského </w:t>
      </w:r>
      <w:r w:rsidR="08F0733A">
        <w:t xml:space="preserve">dekretu </w:t>
      </w:r>
      <w:r w:rsidR="0889550F">
        <w:t xml:space="preserve">z roku </w:t>
      </w:r>
      <w:r w:rsidR="08F0733A">
        <w:t xml:space="preserve">1277 nebo pozdější obdoby v postmoderní </w:t>
      </w:r>
      <w:r w:rsidR="08F0733A" w:rsidRPr="08F0733A">
        <w:rPr>
          <w:i/>
        </w:rPr>
        <w:t>Unified Science</w:t>
      </w:r>
      <w:r w:rsidR="085D2492">
        <w:rPr>
          <w:i/>
        </w:rPr>
        <w:fldChar w:fldCharType="begin"/>
      </w:r>
      <w:r w:rsidR="085D2492">
        <w:instrText xml:space="preserve"> XE "</w:instrText>
      </w:r>
      <w:r w:rsidR="085D2492" w:rsidRPr="08CA486E">
        <w:rPr>
          <w:i/>
        </w:rPr>
        <w:instrText>Unified Science</w:instrText>
      </w:r>
      <w:r w:rsidR="085D2492">
        <w:instrText xml:space="preserve">" </w:instrText>
      </w:r>
      <w:r w:rsidR="085D2492">
        <w:rPr>
          <w:i/>
        </w:rPr>
        <w:fldChar w:fldCharType="end"/>
      </w:r>
      <w:r w:rsidR="088743D2">
        <w:t>. Dog</w:t>
      </w:r>
      <w:r w:rsidR="085D2492">
        <w:t>maticky vedené zkoumání je postavené mimo realitu první substance univočně predikované ve druhé substanci</w:t>
      </w:r>
      <w:r w:rsidR="00B97AC0">
        <w:t xml:space="preserve"> skrze impozici</w:t>
      </w:r>
      <w:r w:rsidR="085D2492">
        <w:t xml:space="preserve">. Teorie jedné neoplatonské pravdy daná mytopoetickou predikací </w:t>
      </w:r>
      <w:r w:rsidR="085D2492" w:rsidRPr="085D2492">
        <w:rPr>
          <w:i/>
        </w:rPr>
        <w:t>ad unum</w:t>
      </w:r>
      <w:r w:rsidR="085D2492">
        <w:t xml:space="preserve"> přestala</w:t>
      </w:r>
      <w:r w:rsidR="08B90C54">
        <w:t xml:space="preserve"> být </w:t>
      </w:r>
      <w:r w:rsidR="0889550F">
        <w:t xml:space="preserve">kritickou aristotelskou </w:t>
      </w:r>
      <w:r w:rsidR="00211A38">
        <w:t>vědou.</w:t>
      </w:r>
    </w:p>
    <w:p w14:paraId="262CD11F" w14:textId="00107722" w:rsidR="009B112D" w:rsidRPr="00A01F3A" w:rsidRDefault="088743D2" w:rsidP="00211A38">
      <w:pPr>
        <w:ind w:firstLine="360"/>
      </w:pPr>
      <w:r>
        <w:t>S</w:t>
      </w:r>
      <w:r w:rsidR="00387846">
        <w:t>por o triteismus</w:t>
      </w:r>
      <w:r w:rsidR="00387846">
        <w:fldChar w:fldCharType="begin"/>
      </w:r>
      <w:r w:rsidR="00387846">
        <w:instrText xml:space="preserve"> XE "</w:instrText>
      </w:r>
      <w:r w:rsidR="00387846" w:rsidRPr="0039045A">
        <w:instrText>triteismus</w:instrText>
      </w:r>
      <w:r w:rsidR="00387846">
        <w:instrText xml:space="preserve">" </w:instrText>
      </w:r>
      <w:r w:rsidR="00387846">
        <w:fldChar w:fldCharType="end"/>
      </w:r>
      <w:r w:rsidR="00387846">
        <w:t xml:space="preserve"> ve druhé polovině 12. století maskuje z hlediska předložené hermeneutiky úplně jiný spor, totiž nástup avice</w:t>
      </w:r>
      <w:r w:rsidR="08550903">
        <w:t>n</w:t>
      </w:r>
      <w:r w:rsidR="00387846">
        <w:t xml:space="preserve">nistické moderny </w:t>
      </w:r>
      <w:r w:rsidR="08550903">
        <w:t>a její metodické cesty k </w:t>
      </w:r>
      <w:r w:rsidR="088656F4">
        <w:t xml:space="preserve">unitárně pojaté ontoteologické metafyzice. </w:t>
      </w:r>
      <w:r w:rsidR="0890091C">
        <w:t xml:space="preserve">Hypostázované osoby v Boží Trojici dané skrze esenciálně </w:t>
      </w:r>
      <w:r w:rsidR="08192F3D">
        <w:t xml:space="preserve">a nominálně </w:t>
      </w:r>
      <w:r w:rsidR="0890091C">
        <w:t xml:space="preserve">pojaté vztahy představují </w:t>
      </w:r>
      <w:r w:rsidR="08192F3D">
        <w:t>epochálně nové simulákrum, které uváděl</w:t>
      </w:r>
      <w:r w:rsidR="08F765DB">
        <w:t xml:space="preserve">o příchod </w:t>
      </w:r>
      <w:r w:rsidR="0890091C">
        <w:t>nové metafyziky</w:t>
      </w:r>
      <w:r w:rsidR="08192F3D">
        <w:t xml:space="preserve">. Toto pojetí boha </w:t>
      </w:r>
      <w:r w:rsidR="08192F3D" w:rsidRPr="08192F3D">
        <w:rPr>
          <w:i/>
        </w:rPr>
        <w:t>Modernorum</w:t>
      </w:r>
      <w:r w:rsidR="08192F3D">
        <w:t xml:space="preserve"> z</w:t>
      </w:r>
      <w:r w:rsidR="0890091C">
        <w:t xml:space="preserve">ásadně odmítli klasičtí aristotelikové. </w:t>
      </w:r>
      <w:r w:rsidR="088656F4">
        <w:t xml:space="preserve">Na </w:t>
      </w:r>
      <w:r w:rsidR="08550903">
        <w:t xml:space="preserve">konci </w:t>
      </w:r>
      <w:r w:rsidR="088656F4">
        <w:t xml:space="preserve">této cesty </w:t>
      </w:r>
      <w:r w:rsidR="08550903">
        <w:t>stojí smrt</w:t>
      </w:r>
      <w:r w:rsidR="00387846">
        <w:t xml:space="preserve"> </w:t>
      </w:r>
      <w:r w:rsidR="08796CE7">
        <w:t xml:space="preserve">moderního </w:t>
      </w:r>
      <w:r w:rsidR="00387846">
        <w:t>boha</w:t>
      </w:r>
      <w:r w:rsidR="08796CE7">
        <w:t xml:space="preserve"> </w:t>
      </w:r>
      <w:r w:rsidR="08D34B6B">
        <w:t xml:space="preserve">a zničení osoby </w:t>
      </w:r>
      <w:r w:rsidR="00EF41B0">
        <w:t>jako individua, což se poprvé uskutečnilo v porretánském triteismu</w:t>
      </w:r>
      <w:r w:rsidR="08D34B6B">
        <w:t xml:space="preserve">. </w:t>
      </w:r>
      <w:r w:rsidR="000C01A0">
        <w:t xml:space="preserve">Tento omyl </w:t>
      </w:r>
      <w:r w:rsidR="00387846">
        <w:t>i</w:t>
      </w:r>
      <w:r w:rsidR="002360ED">
        <w:t>slám</w:t>
      </w:r>
      <w:r w:rsidR="00F24C27">
        <w:fldChar w:fldCharType="begin"/>
      </w:r>
      <w:r w:rsidR="00F24C27">
        <w:instrText xml:space="preserve"> XE "</w:instrText>
      </w:r>
      <w:r w:rsidR="00F24C27" w:rsidRPr="00CA1ABF">
        <w:instrText>islám</w:instrText>
      </w:r>
      <w:r w:rsidR="00F24C27">
        <w:instrText xml:space="preserve">" </w:instrText>
      </w:r>
      <w:r w:rsidR="00F24C27">
        <w:fldChar w:fldCharType="end"/>
      </w:r>
      <w:r w:rsidR="002360ED">
        <w:t xml:space="preserve"> zásadně odmítl úředním pot</w:t>
      </w:r>
      <w:r w:rsidR="00387846">
        <w:t>l</w:t>
      </w:r>
      <w:r w:rsidR="002360ED">
        <w:t>a</w:t>
      </w:r>
      <w:r w:rsidR="00387846">
        <w:t xml:space="preserve">čením filosofie </w:t>
      </w:r>
      <w:r w:rsidR="002360ED">
        <w:t xml:space="preserve">a zachováním </w:t>
      </w:r>
      <w:r w:rsidR="08CA02F4">
        <w:t xml:space="preserve">teologicky založené </w:t>
      </w:r>
      <w:r w:rsidR="002360ED">
        <w:t xml:space="preserve">moudrosti dané v různých kulturách a </w:t>
      </w:r>
      <w:r w:rsidR="08304793">
        <w:t xml:space="preserve">náboženských </w:t>
      </w:r>
      <w:r w:rsidR="002360ED">
        <w:t>tradicích</w:t>
      </w:r>
      <w:r w:rsidR="00387846">
        <w:t xml:space="preserve">. </w:t>
      </w:r>
      <w:r w:rsidR="009B112D" w:rsidRPr="00273106">
        <w:rPr>
          <w:lang w:eastAsia="en-US"/>
        </w:rPr>
        <w:t xml:space="preserve">Spor o určení toho, co různí autoři od 1160 nazývali </w:t>
      </w:r>
      <w:r w:rsidR="000C01A0">
        <w:rPr>
          <w:lang w:eastAsia="en-US"/>
        </w:rPr>
        <w:t>„</w:t>
      </w:r>
      <w:r w:rsidR="009B112D" w:rsidRPr="00273106">
        <w:rPr>
          <w:i/>
        </w:rPr>
        <w:t>opinio Nominalium</w:t>
      </w:r>
      <w:r w:rsidR="000C01A0">
        <w:t>“</w:t>
      </w:r>
      <w:r w:rsidR="009B112D" w:rsidRPr="00273106">
        <w:t xml:space="preserve">, </w:t>
      </w:r>
      <w:r w:rsidR="009B112D" w:rsidRPr="00273106">
        <w:rPr>
          <w:lang w:eastAsia="en-US"/>
        </w:rPr>
        <w:t xml:space="preserve">má z hlediska předložené hermeneutiky mnohé společné rysy s pozdějším sporem o </w:t>
      </w:r>
      <w:r w:rsidR="083767B2">
        <w:rPr>
          <w:lang w:eastAsia="en-US"/>
        </w:rPr>
        <w:t>averroismus</w:t>
      </w:r>
      <w:r w:rsidR="009B112D" w:rsidRPr="00273106">
        <w:rPr>
          <w:lang w:eastAsia="en-US"/>
        </w:rPr>
        <w:t xml:space="preserve"> daný v rámci </w:t>
      </w:r>
      <w:r w:rsidR="003949A5">
        <w:rPr>
          <w:lang w:eastAsia="en-US"/>
        </w:rPr>
        <w:t>„</w:t>
      </w:r>
      <w:r w:rsidR="009B112D" w:rsidRPr="00273106">
        <w:rPr>
          <w:i/>
        </w:rPr>
        <w:t>opinio Latinorum</w:t>
      </w:r>
      <w:r w:rsidR="003949A5">
        <w:t>“</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009B112D" w:rsidRPr="00273106">
        <w:rPr>
          <w:lang w:eastAsia="en-US"/>
        </w:rPr>
        <w:t xml:space="preserve">. Následující body ukazují společné rysy </w:t>
      </w:r>
      <w:r w:rsidR="000B4B25">
        <w:rPr>
          <w:lang w:eastAsia="en-US"/>
        </w:rPr>
        <w:t xml:space="preserve">dějinného působení </w:t>
      </w:r>
      <w:r w:rsidR="009B112D" w:rsidRPr="00273106">
        <w:rPr>
          <w:lang w:eastAsia="en-US"/>
        </w:rPr>
        <w:t>avicennismu a averroismu.</w:t>
      </w:r>
    </w:p>
    <w:p w14:paraId="205F6283" w14:textId="56E33313" w:rsidR="009B112D" w:rsidRPr="00273106" w:rsidRDefault="00B81C9D" w:rsidP="00565C35">
      <w:pPr>
        <w:numPr>
          <w:ilvl w:val="0"/>
          <w:numId w:val="4"/>
        </w:numPr>
        <w:rPr>
          <w:lang w:eastAsia="en-US"/>
        </w:rPr>
      </w:pPr>
      <w:r>
        <w:rPr>
          <w:lang w:eastAsia="en-US"/>
        </w:rPr>
        <w:t>Averroe</w:t>
      </w:r>
      <w:r w:rsidR="009B112D" w:rsidRPr="00273106">
        <w:rPr>
          <w:lang w:eastAsia="en-US"/>
        </w:rPr>
        <w:t xml:space="preserve">s nebyl averroistou a </w:t>
      </w:r>
      <w:r w:rsidR="00CB3E4F">
        <w:rPr>
          <w:lang w:eastAsia="en-US"/>
        </w:rPr>
        <w:t>Abélard</w:t>
      </w:r>
      <w:r w:rsidR="009B112D" w:rsidRPr="00273106">
        <w:rPr>
          <w:lang w:eastAsia="en-US"/>
        </w:rPr>
        <w:t xml:space="preserve"> nepatřil ke škole </w:t>
      </w:r>
      <w:r w:rsidR="009B112D" w:rsidRPr="00273106">
        <w:rPr>
          <w:i/>
          <w:lang w:eastAsia="en-US"/>
        </w:rPr>
        <w:t>Nominales</w:t>
      </w:r>
      <w:r w:rsidR="009B112D" w:rsidRPr="00273106">
        <w:rPr>
          <w:lang w:eastAsia="en-US"/>
        </w:rPr>
        <w:t>, což dokazuje jak jeho dílo, tak l</w:t>
      </w:r>
      <w:r w:rsidR="002F25B9">
        <w:rPr>
          <w:lang w:eastAsia="en-US"/>
        </w:rPr>
        <w:t xml:space="preserve">ogické školy opřené o Boethiovu metafyziku </w:t>
      </w:r>
      <w:r w:rsidR="009B112D" w:rsidRPr="00273106">
        <w:rPr>
          <w:lang w:eastAsia="en-US"/>
        </w:rPr>
        <w:t>(</w:t>
      </w:r>
      <w:r w:rsidR="009B112D" w:rsidRPr="00273106">
        <w:rPr>
          <w:i/>
        </w:rPr>
        <w:t>Tractatus Anagnini</w:t>
      </w:r>
      <w:r w:rsidR="009B112D" w:rsidRPr="00273106">
        <w:rPr>
          <w:lang w:eastAsia="en-US"/>
        </w:rPr>
        <w:t>).</w:t>
      </w:r>
    </w:p>
    <w:p w14:paraId="065303AD" w14:textId="77777777" w:rsidR="009B112D" w:rsidRPr="00273106" w:rsidRDefault="087542F1" w:rsidP="00565C35">
      <w:pPr>
        <w:numPr>
          <w:ilvl w:val="0"/>
          <w:numId w:val="4"/>
        </w:numPr>
        <w:rPr>
          <w:lang w:eastAsia="en-US"/>
        </w:rPr>
      </w:pPr>
      <w:r>
        <w:rPr>
          <w:lang w:eastAsia="en-US"/>
        </w:rPr>
        <w:t xml:space="preserve">Pojmenování školy </w:t>
      </w:r>
      <w:r w:rsidR="009B112D" w:rsidRPr="00273106">
        <w:rPr>
          <w:i/>
          <w:lang w:eastAsia="en-US"/>
        </w:rPr>
        <w:t>Nominales</w:t>
      </w:r>
      <w:r w:rsidR="086E1851">
        <w:rPr>
          <w:lang w:eastAsia="en-US"/>
        </w:rPr>
        <w:t xml:space="preserve"> je doloženo až okolo roku </w:t>
      </w:r>
      <w:r w:rsidR="009B112D" w:rsidRPr="00273106">
        <w:rPr>
          <w:lang w:eastAsia="en-US"/>
        </w:rPr>
        <w:t xml:space="preserve">1160 od </w:t>
      </w:r>
      <w:r w:rsidR="00691624">
        <w:rPr>
          <w:lang w:eastAsia="en-US"/>
        </w:rPr>
        <w:t xml:space="preserve">filosofických </w:t>
      </w:r>
      <w:r w:rsidR="009B112D" w:rsidRPr="00273106">
        <w:rPr>
          <w:lang w:eastAsia="en-US"/>
        </w:rPr>
        <w:t>protivníků</w:t>
      </w:r>
      <w:r w:rsidR="00691624">
        <w:rPr>
          <w:lang w:eastAsia="en-US"/>
        </w:rPr>
        <w:t xml:space="preserve"> porretánců</w:t>
      </w:r>
      <w:r w:rsidR="009B112D" w:rsidRPr="00273106">
        <w:rPr>
          <w:lang w:eastAsia="en-US"/>
        </w:rPr>
        <w:t xml:space="preserve">, nikoliv od samotných představitelů této školy. Stejně tak termín </w:t>
      </w:r>
      <w:r w:rsidR="009B112D" w:rsidRPr="00273106">
        <w:rPr>
          <w:i/>
          <w:lang w:eastAsia="en-US"/>
        </w:rPr>
        <w:t>Averroistae</w:t>
      </w:r>
      <w:r w:rsidR="00226D12">
        <w:rPr>
          <w:i/>
          <w:lang w:eastAsia="en-US"/>
        </w:rPr>
        <w:fldChar w:fldCharType="begin"/>
      </w:r>
      <w:r w:rsidR="00226D12">
        <w:instrText xml:space="preserve"> XE "</w:instrText>
      </w:r>
      <w:r w:rsidR="008011F3">
        <w:instrText>druhý averroismus:</w:instrText>
      </w:r>
      <w:r w:rsidR="00226D12" w:rsidRPr="00851DB4">
        <w:rPr>
          <w:i/>
          <w:lang w:eastAsia="en-US"/>
        </w:rPr>
        <w:instrText>Averroistae</w:instrText>
      </w:r>
      <w:r w:rsidR="00226D12">
        <w:instrText xml:space="preserve">" </w:instrText>
      </w:r>
      <w:r w:rsidR="00226D12">
        <w:rPr>
          <w:i/>
          <w:lang w:eastAsia="en-US"/>
        </w:rPr>
        <w:fldChar w:fldCharType="end"/>
      </w:r>
      <w:r w:rsidR="009B112D" w:rsidRPr="00273106">
        <w:rPr>
          <w:lang w:eastAsia="en-US"/>
        </w:rPr>
        <w:t xml:space="preserve"> se stal f</w:t>
      </w:r>
      <w:r w:rsidR="00BA6B6A">
        <w:rPr>
          <w:lang w:eastAsia="en-US"/>
        </w:rPr>
        <w:t xml:space="preserve">ilosofickou </w:t>
      </w:r>
      <w:r>
        <w:rPr>
          <w:lang w:eastAsia="en-US"/>
        </w:rPr>
        <w:t xml:space="preserve">nálepkou </w:t>
      </w:r>
      <w:r w:rsidR="00BA6B6A">
        <w:rPr>
          <w:lang w:eastAsia="en-US"/>
        </w:rPr>
        <w:t>po roce 125</w:t>
      </w:r>
      <w:r w:rsidR="009B112D" w:rsidRPr="00273106">
        <w:rPr>
          <w:lang w:eastAsia="en-US"/>
        </w:rPr>
        <w:t>0 a nikoliv v době, kdy</w:t>
      </w:r>
      <w:r w:rsidR="00FE464C">
        <w:rPr>
          <w:lang w:eastAsia="en-US"/>
        </w:rPr>
        <w:t xml:space="preserve"> probíhala první recepce Averroe</w:t>
      </w:r>
      <w:r w:rsidR="009B112D" w:rsidRPr="00273106">
        <w:rPr>
          <w:lang w:eastAsia="en-US"/>
        </w:rPr>
        <w:t>se na latinském Západě.</w:t>
      </w:r>
    </w:p>
    <w:p w14:paraId="39C0AD49" w14:textId="77777777" w:rsidR="009B112D" w:rsidRPr="00273106" w:rsidRDefault="00A26B04" w:rsidP="00565C35">
      <w:pPr>
        <w:numPr>
          <w:ilvl w:val="0"/>
          <w:numId w:val="4"/>
        </w:numPr>
        <w:rPr>
          <w:lang w:eastAsia="en-US"/>
        </w:rPr>
      </w:pPr>
      <w:r w:rsidRPr="00273106">
        <w:rPr>
          <w:lang w:eastAsia="en-US"/>
        </w:rPr>
        <w:t xml:space="preserve">Teorie signifikace </w:t>
      </w:r>
      <w:r w:rsidR="009B112D" w:rsidRPr="00273106">
        <w:rPr>
          <w:lang w:eastAsia="en-US"/>
        </w:rPr>
        <w:t>nem</w:t>
      </w:r>
      <w:r w:rsidRPr="00273106">
        <w:rPr>
          <w:lang w:eastAsia="en-US"/>
        </w:rPr>
        <w:t xml:space="preserve">á </w:t>
      </w:r>
      <w:r w:rsidR="009B112D" w:rsidRPr="00273106">
        <w:rPr>
          <w:lang w:eastAsia="en-US"/>
        </w:rPr>
        <w:t xml:space="preserve">jednotný charakter v tehdy známých logických školách, proto není možné označit </w:t>
      </w:r>
      <w:r w:rsidRPr="00273106">
        <w:rPr>
          <w:lang w:eastAsia="en-US"/>
        </w:rPr>
        <w:t xml:space="preserve">všechny představitele kompilace </w:t>
      </w:r>
      <w:r w:rsidR="08136464">
        <w:rPr>
          <w:i/>
          <w:lang w:eastAsia="en-US"/>
        </w:rPr>
        <w:t>l</w:t>
      </w:r>
      <w:r w:rsidRPr="00273106">
        <w:rPr>
          <w:i/>
          <w:lang w:eastAsia="en-US"/>
        </w:rPr>
        <w:t>ogica Modernorum</w:t>
      </w:r>
      <w:r w:rsidR="00173C20">
        <w:rPr>
          <w:lang w:eastAsia="en-US"/>
        </w:rPr>
        <w:t xml:space="preserve"> </w:t>
      </w:r>
      <w:r w:rsidR="009B112D" w:rsidRPr="00273106">
        <w:rPr>
          <w:lang w:eastAsia="en-US"/>
        </w:rPr>
        <w:t xml:space="preserve">za </w:t>
      </w:r>
      <w:r w:rsidRPr="00273106">
        <w:rPr>
          <w:lang w:eastAsia="en-US"/>
        </w:rPr>
        <w:t xml:space="preserve">stoupence školy </w:t>
      </w:r>
      <w:r w:rsidR="009B112D" w:rsidRPr="00273106">
        <w:rPr>
          <w:i/>
          <w:lang w:eastAsia="en-US"/>
        </w:rPr>
        <w:t>Nominales</w:t>
      </w:r>
      <w:r w:rsidR="00FE464C">
        <w:rPr>
          <w:lang w:eastAsia="en-US"/>
        </w:rPr>
        <w:t>. Recepce Averroe</w:t>
      </w:r>
      <w:r w:rsidR="009B112D" w:rsidRPr="00273106">
        <w:rPr>
          <w:lang w:eastAsia="en-US"/>
        </w:rPr>
        <w:t>se po roce 1230 vyniká podobnou složitostí, díky zásadnímu rozdílu mezi prvním a druhým averroismem.</w:t>
      </w:r>
    </w:p>
    <w:p w14:paraId="2FC48E28" w14:textId="77777777" w:rsidR="009B112D" w:rsidRPr="00273106" w:rsidRDefault="087D3DCF" w:rsidP="00565C35">
      <w:pPr>
        <w:numPr>
          <w:ilvl w:val="0"/>
          <w:numId w:val="4"/>
        </w:numPr>
        <w:rPr>
          <w:lang w:eastAsia="en-US"/>
        </w:rPr>
      </w:pPr>
      <w:r>
        <w:t xml:space="preserve">V pozdní scholastice </w:t>
      </w:r>
      <w:r w:rsidR="009B112D" w:rsidRPr="00273106">
        <w:t>začíná nová etapa sporu o nominalismus, která překryla původní spor a nahr</w:t>
      </w:r>
      <w:r w:rsidR="08E5731E">
        <w:t>adila jej sporem o univerzália</w:t>
      </w:r>
      <w:r w:rsidR="009B112D" w:rsidRPr="00273106">
        <w:t>. Analogic</w:t>
      </w:r>
      <w:r>
        <w:t xml:space="preserve">ky proběhne tento vývoj v </w:t>
      </w:r>
      <w:r>
        <w:lastRenderedPageBreak/>
        <w:t>averroismu</w:t>
      </w:r>
      <w:r w:rsidR="009B112D" w:rsidRPr="00273106">
        <w:t xml:space="preserve"> po roce 1300, viz vystoupení Jana z Jandunu, Marsilia z Padovy a dalších modernistů.</w:t>
      </w:r>
    </w:p>
    <w:p w14:paraId="228E56B2" w14:textId="77777777" w:rsidR="00B318E8" w:rsidRDefault="009B112D" w:rsidP="00565C35">
      <w:pPr>
        <w:numPr>
          <w:ilvl w:val="0"/>
          <w:numId w:val="4"/>
        </w:numPr>
        <w:rPr>
          <w:lang w:eastAsia="en-US"/>
        </w:rPr>
      </w:pPr>
      <w:r w:rsidRPr="00273106">
        <w:rPr>
          <w:lang w:eastAsia="en-US"/>
        </w:rPr>
        <w:t xml:space="preserve">Jako neexistovali kolem </w:t>
      </w:r>
      <w:r w:rsidR="00FE464C">
        <w:rPr>
          <w:lang w:eastAsia="en-US"/>
        </w:rPr>
        <w:t xml:space="preserve">roku </w:t>
      </w:r>
      <w:r w:rsidR="087D3DCF">
        <w:rPr>
          <w:lang w:eastAsia="en-US"/>
        </w:rPr>
        <w:t xml:space="preserve">1270 </w:t>
      </w:r>
      <w:r w:rsidRPr="00273106">
        <w:rPr>
          <w:lang w:eastAsia="en-US"/>
        </w:rPr>
        <w:t>averro</w:t>
      </w:r>
      <w:r w:rsidR="087D3DCF">
        <w:rPr>
          <w:lang w:eastAsia="en-US"/>
        </w:rPr>
        <w:t>isté</w:t>
      </w:r>
      <w:r w:rsidRPr="00273106">
        <w:rPr>
          <w:lang w:eastAsia="en-US"/>
        </w:rPr>
        <w:t xml:space="preserve"> definovaní odsouzením </w:t>
      </w:r>
      <w:r w:rsidR="00854F1C">
        <w:rPr>
          <w:lang w:eastAsia="en-US"/>
        </w:rPr>
        <w:t xml:space="preserve">tzv. „dvojí pravdy“ z roku </w:t>
      </w:r>
      <w:r w:rsidRPr="00273106">
        <w:rPr>
          <w:lang w:eastAsia="en-US"/>
        </w:rPr>
        <w:t>1277 (Gilson</w:t>
      </w:r>
      <w:r w:rsidR="00DD4EDB">
        <w:rPr>
          <w:lang w:eastAsia="en-US"/>
        </w:rPr>
        <w:fldChar w:fldCharType="begin"/>
      </w:r>
      <w:r w:rsidR="00DD4EDB">
        <w:instrText xml:space="preserve"> XE "</w:instrText>
      </w:r>
      <w:r w:rsidR="00DD4EDB" w:rsidRPr="00141728">
        <w:instrText>Gilson, E.</w:instrText>
      </w:r>
      <w:r w:rsidR="00DD4EDB">
        <w:instrText xml:space="preserve">" </w:instrText>
      </w:r>
      <w:r w:rsidR="00DD4EDB">
        <w:rPr>
          <w:lang w:eastAsia="en-US"/>
        </w:rPr>
        <w:fldChar w:fldCharType="end"/>
      </w:r>
      <w:r w:rsidRPr="00273106">
        <w:rPr>
          <w:lang w:eastAsia="en-US"/>
        </w:rPr>
        <w:t xml:space="preserve"> </w:t>
      </w:r>
      <w:r w:rsidRPr="00273106">
        <w:rPr>
          <w:i/>
          <w:lang w:eastAsia="en-US"/>
        </w:rPr>
        <w:t>dixit</w:t>
      </w:r>
      <w:r w:rsidRPr="00273106">
        <w:rPr>
          <w:lang w:eastAsia="en-US"/>
        </w:rPr>
        <w:t xml:space="preserve">), tak neexistovalo doložené spojení </w:t>
      </w:r>
      <w:r w:rsidRPr="00273106">
        <w:rPr>
          <w:i/>
          <w:lang w:eastAsia="en-US"/>
        </w:rPr>
        <w:t>Nominales</w:t>
      </w:r>
      <w:r w:rsidRPr="00273106">
        <w:rPr>
          <w:lang w:eastAsia="en-US"/>
        </w:rPr>
        <w:t xml:space="preserve"> s Abelardem. Tento osudem zkoušen</w:t>
      </w:r>
      <w:r w:rsidR="08DF6381">
        <w:rPr>
          <w:lang w:eastAsia="en-US"/>
        </w:rPr>
        <w:t xml:space="preserve">ý </w:t>
      </w:r>
      <w:r w:rsidR="08D74CE4">
        <w:rPr>
          <w:lang w:eastAsia="en-US"/>
        </w:rPr>
        <w:t xml:space="preserve">aristotelik </w:t>
      </w:r>
      <w:r w:rsidR="08DF6381">
        <w:rPr>
          <w:lang w:eastAsia="en-US"/>
        </w:rPr>
        <w:t>dostal neprávem roli nominalisty</w:t>
      </w:r>
      <w:r w:rsidRPr="00273106">
        <w:rPr>
          <w:lang w:eastAsia="en-US"/>
        </w:rPr>
        <w:t xml:space="preserve"> stejně</w:t>
      </w:r>
      <w:r w:rsidR="08DF6381">
        <w:rPr>
          <w:lang w:eastAsia="en-US"/>
        </w:rPr>
        <w:t xml:space="preserve"> jako </w:t>
      </w:r>
      <w:r w:rsidR="08CD6B34">
        <w:rPr>
          <w:lang w:eastAsia="en-US"/>
        </w:rPr>
        <w:t xml:space="preserve">aristotelik </w:t>
      </w:r>
      <w:r w:rsidR="08DF6381">
        <w:rPr>
          <w:lang w:eastAsia="en-US"/>
        </w:rPr>
        <w:t>Siger z Bra</w:t>
      </w:r>
      <w:r w:rsidR="08CD6B34">
        <w:rPr>
          <w:lang w:eastAsia="en-US"/>
        </w:rPr>
        <w:t xml:space="preserve">bantu, který se </w:t>
      </w:r>
      <w:r w:rsidR="08DF6381">
        <w:rPr>
          <w:lang w:eastAsia="en-US"/>
        </w:rPr>
        <w:t>stal averroistou</w:t>
      </w:r>
      <w:r w:rsidRPr="00273106">
        <w:rPr>
          <w:lang w:eastAsia="en-US"/>
        </w:rPr>
        <w:t>.</w:t>
      </w:r>
    </w:p>
    <w:p w14:paraId="49A0AD0D" w14:textId="77777777" w:rsidR="009B112D" w:rsidRPr="00273106" w:rsidRDefault="009B112D" w:rsidP="00565C35">
      <w:pPr>
        <w:numPr>
          <w:ilvl w:val="0"/>
          <w:numId w:val="4"/>
        </w:numPr>
      </w:pPr>
      <w:r w:rsidRPr="00273106">
        <w:rPr>
          <w:lang w:eastAsia="en-US"/>
        </w:rPr>
        <w:t xml:space="preserve">Oživení nominalistické školy nastane v 15. století, viz královský edikt z roku </w:t>
      </w:r>
      <w:r w:rsidRPr="00273106">
        <w:t xml:space="preserve">1473 zakazující přednášky nominalistů v Paříži. Renesance italských averroistů </w:t>
      </w:r>
      <w:r w:rsidR="08652F97">
        <w:t xml:space="preserve">probíhala na </w:t>
      </w:r>
      <w:r w:rsidRPr="00273106">
        <w:t>univerzit</w:t>
      </w:r>
      <w:r w:rsidR="08652F97">
        <w:t>ách</w:t>
      </w:r>
      <w:r w:rsidRPr="00273106">
        <w:t xml:space="preserve"> v Padově a </w:t>
      </w:r>
      <w:r w:rsidR="08652F97">
        <w:t xml:space="preserve">v </w:t>
      </w:r>
      <w:r w:rsidR="0806134C">
        <w:t>Bologni během 15.–16</w:t>
      </w:r>
      <w:r w:rsidRPr="00273106">
        <w:t xml:space="preserve">. století. </w:t>
      </w:r>
    </w:p>
    <w:p w14:paraId="341BA304" w14:textId="0C9640E7" w:rsidR="009B112D" w:rsidRPr="00273106" w:rsidRDefault="00990160" w:rsidP="00565C35">
      <w:pPr>
        <w:numPr>
          <w:ilvl w:val="0"/>
          <w:numId w:val="4"/>
        </w:numPr>
        <w:rPr>
          <w:lang w:eastAsia="en-US"/>
        </w:rPr>
      </w:pPr>
      <w:r>
        <w:t xml:space="preserve">Dnešní tomisté </w:t>
      </w:r>
      <w:r w:rsidR="08572EE9">
        <w:t>odkryl</w:t>
      </w:r>
      <w:r>
        <w:t>i</w:t>
      </w:r>
      <w:r w:rsidR="08572EE9">
        <w:t xml:space="preserve"> a zakryl</w:t>
      </w:r>
      <w:r>
        <w:t>i</w:t>
      </w:r>
      <w:r w:rsidR="009B112D" w:rsidRPr="00273106">
        <w:t xml:space="preserve"> debatu vzhledem k </w:t>
      </w:r>
      <w:r w:rsidR="009B112D" w:rsidRPr="00273106">
        <w:rPr>
          <w:i/>
        </w:rPr>
        <w:t>enuntiatio</w:t>
      </w:r>
      <w:r w:rsidR="00EE4D40">
        <w:rPr>
          <w:i/>
        </w:rPr>
        <w:fldChar w:fldCharType="begin"/>
      </w:r>
      <w:r w:rsidR="00EE4D40">
        <w:instrText xml:space="preserve"> XE "</w:instrText>
      </w:r>
      <w:r w:rsidR="00EE4D40" w:rsidRPr="0038128E">
        <w:rPr>
          <w:i/>
        </w:rPr>
        <w:instrText>enuntiatio:</w:instrText>
      </w:r>
      <w:r w:rsidR="00277395">
        <w:instrText>porretáni</w:instrText>
      </w:r>
      <w:r w:rsidR="00EE4D40">
        <w:instrText xml:space="preserve">" </w:instrText>
      </w:r>
      <w:r w:rsidR="00EE4D40">
        <w:rPr>
          <w:i/>
        </w:rPr>
        <w:fldChar w:fldCharType="end"/>
      </w:r>
      <w:r w:rsidR="009B112D" w:rsidRPr="00273106">
        <w:t xml:space="preserve"> podle školy </w:t>
      </w:r>
      <w:r w:rsidR="009B112D" w:rsidRPr="00273106">
        <w:rPr>
          <w:i/>
        </w:rPr>
        <w:t>Nominales</w:t>
      </w:r>
      <w:r w:rsidR="009B112D" w:rsidRPr="00273106">
        <w:t xml:space="preserve"> stejně účinně jako to udělal Ernest Renan</w:t>
      </w:r>
      <w:r w:rsidR="003567E7">
        <w:fldChar w:fldCharType="begin"/>
      </w:r>
      <w:r w:rsidR="003567E7">
        <w:instrText xml:space="preserve"> XE "</w:instrText>
      </w:r>
      <w:r w:rsidR="003567E7" w:rsidRPr="0033182D">
        <w:instrText>Renan, E.</w:instrText>
      </w:r>
      <w:r w:rsidR="003567E7">
        <w:instrText xml:space="preserve">" </w:instrText>
      </w:r>
      <w:r w:rsidR="003567E7">
        <w:fldChar w:fldCharType="end"/>
      </w:r>
      <w:r w:rsidR="009B112D" w:rsidRPr="00273106">
        <w:t xml:space="preserve"> vzhledem k latinskému averrorismu. </w:t>
      </w:r>
    </w:p>
    <w:p w14:paraId="0CF682EE" w14:textId="77777777" w:rsidR="003F7E7F" w:rsidRDefault="009B112D" w:rsidP="009B112D">
      <w:pPr>
        <w:rPr>
          <w:lang w:eastAsia="en-US"/>
        </w:rPr>
      </w:pPr>
      <w:r w:rsidRPr="00273106">
        <w:rPr>
          <w:lang w:eastAsia="en-US"/>
        </w:rPr>
        <w:t>Z hlediska hermeneutiky zname</w:t>
      </w:r>
      <w:r w:rsidR="08572EE9">
        <w:rPr>
          <w:lang w:eastAsia="en-US"/>
        </w:rPr>
        <w:t xml:space="preserve">ná spor o ideologickou nálepku </w:t>
      </w:r>
      <w:r w:rsidRPr="00273106">
        <w:rPr>
          <w:i/>
          <w:lang w:eastAsia="en-US"/>
        </w:rPr>
        <w:t>Nominales</w:t>
      </w:r>
      <w:r w:rsidRPr="00273106">
        <w:rPr>
          <w:lang w:eastAsia="en-US"/>
        </w:rPr>
        <w:t xml:space="preserve"> skrytou přítomnost jiného dějinného fenoménu. Jde o recepci avicennismu na Západě v prostředí logických škol</w:t>
      </w:r>
      <w:r w:rsidR="00050719" w:rsidRPr="00273106">
        <w:rPr>
          <w:lang w:eastAsia="en-US"/>
        </w:rPr>
        <w:t xml:space="preserve"> ovlivněných neoplatonismem</w:t>
      </w:r>
      <w:r w:rsidRPr="00273106">
        <w:rPr>
          <w:lang w:eastAsia="en-US"/>
        </w:rPr>
        <w:t xml:space="preserve">, </w:t>
      </w:r>
      <w:r w:rsidR="00050719" w:rsidRPr="00273106">
        <w:rPr>
          <w:lang w:eastAsia="en-US"/>
        </w:rPr>
        <w:t>kdy vzniká nová</w:t>
      </w:r>
      <w:r w:rsidR="08EC271F">
        <w:rPr>
          <w:lang w:eastAsia="en-US"/>
        </w:rPr>
        <w:t xml:space="preserve"> </w:t>
      </w:r>
      <w:r w:rsidRPr="00273106">
        <w:rPr>
          <w:lang w:eastAsia="en-US"/>
        </w:rPr>
        <w:t>odkryto</w:t>
      </w:r>
      <w:r w:rsidR="08EC271F">
        <w:rPr>
          <w:lang w:eastAsia="en-US"/>
        </w:rPr>
        <w:t>st jsoucna třetího druhu. P</w:t>
      </w:r>
      <w:r w:rsidRPr="00273106">
        <w:rPr>
          <w:lang w:eastAsia="en-US"/>
        </w:rPr>
        <w:t xml:space="preserve">ojetí </w:t>
      </w:r>
      <w:r w:rsidR="08EC271F">
        <w:rPr>
          <w:lang w:eastAsia="en-US"/>
        </w:rPr>
        <w:t xml:space="preserve">objektivního </w:t>
      </w:r>
      <w:r w:rsidR="0033072F" w:rsidRPr="00273106">
        <w:rPr>
          <w:lang w:eastAsia="en-US"/>
        </w:rPr>
        <w:t xml:space="preserve">jsoucna </w:t>
      </w:r>
      <w:r w:rsidRPr="00273106">
        <w:rPr>
          <w:lang w:eastAsia="en-US"/>
        </w:rPr>
        <w:t xml:space="preserve">odmítli znalci Boethiova výkladu </w:t>
      </w:r>
      <w:r w:rsidRPr="006F2F5A">
        <w:rPr>
          <w:i/>
          <w:lang w:eastAsia="en-US"/>
        </w:rPr>
        <w:t>Organonu</w:t>
      </w:r>
      <w:r w:rsidR="006F2F5A">
        <w:rPr>
          <w:lang w:eastAsia="en-US"/>
        </w:rPr>
        <w:t xml:space="preserve"> a Porfyriovy </w:t>
      </w:r>
      <w:r w:rsidR="006F2F5A" w:rsidRPr="006F2F5A">
        <w:rPr>
          <w:i/>
          <w:lang w:eastAsia="en-US"/>
        </w:rPr>
        <w:t>Isagoge</w:t>
      </w:r>
      <w:r w:rsidR="006F2F5A">
        <w:rPr>
          <w:lang w:eastAsia="en-US"/>
        </w:rPr>
        <w:t>, j</w:t>
      </w:r>
      <w:r w:rsidR="0069147D">
        <w:rPr>
          <w:lang w:eastAsia="en-US"/>
        </w:rPr>
        <w:t xml:space="preserve">ejichž katedrální žáci v další generaci </w:t>
      </w:r>
      <w:r w:rsidR="006F2F5A">
        <w:rPr>
          <w:lang w:eastAsia="en-US"/>
        </w:rPr>
        <w:t xml:space="preserve">zakládali Pařížskou univerzitu. </w:t>
      </w:r>
      <w:r w:rsidR="00E32DD6">
        <w:rPr>
          <w:lang w:eastAsia="en-US"/>
        </w:rPr>
        <w:t>P</w:t>
      </w:r>
      <w:r w:rsidRPr="00273106">
        <w:rPr>
          <w:lang w:eastAsia="en-US"/>
        </w:rPr>
        <w:t xml:space="preserve">ozici </w:t>
      </w:r>
      <w:r w:rsidR="00E32DD6">
        <w:rPr>
          <w:lang w:eastAsia="en-US"/>
        </w:rPr>
        <w:t xml:space="preserve">aristoteliků </w:t>
      </w:r>
      <w:r w:rsidRPr="00273106">
        <w:rPr>
          <w:lang w:eastAsia="en-US"/>
        </w:rPr>
        <w:t xml:space="preserve">posílily první překlady </w:t>
      </w:r>
      <w:r w:rsidR="00EA3FE0" w:rsidRPr="00273106">
        <w:rPr>
          <w:lang w:eastAsia="en-US"/>
        </w:rPr>
        <w:t>originální</w:t>
      </w:r>
      <w:r w:rsidR="00EA3FE0">
        <w:rPr>
          <w:lang w:eastAsia="en-US"/>
        </w:rPr>
        <w:t>ho</w:t>
      </w:r>
      <w:r w:rsidR="00EA3FE0" w:rsidRPr="00273106">
        <w:rPr>
          <w:lang w:eastAsia="en-US"/>
        </w:rPr>
        <w:t xml:space="preserve"> </w:t>
      </w:r>
      <w:r w:rsidRPr="00273106">
        <w:rPr>
          <w:i/>
          <w:lang w:eastAsia="en-US"/>
        </w:rPr>
        <w:t>Corpus Aristotelicum</w:t>
      </w:r>
      <w:r w:rsidR="00EA3FE0">
        <w:rPr>
          <w:i/>
          <w:lang w:eastAsia="en-US"/>
        </w:rPr>
        <w:t xml:space="preserve"> </w:t>
      </w:r>
      <w:r w:rsidR="00EA3FE0" w:rsidRPr="00EA3FE0">
        <w:rPr>
          <w:lang w:eastAsia="en-US"/>
        </w:rPr>
        <w:t>do latiny</w:t>
      </w:r>
      <w:r w:rsidRPr="00273106">
        <w:rPr>
          <w:lang w:eastAsia="en-US"/>
        </w:rPr>
        <w:t xml:space="preserve">. Výklad latinské recepce </w:t>
      </w:r>
      <w:r w:rsidR="002E3B62">
        <w:rPr>
          <w:lang w:eastAsia="en-US"/>
        </w:rPr>
        <w:t>Averroes</w:t>
      </w:r>
      <w:r w:rsidRPr="00273106">
        <w:rPr>
          <w:lang w:eastAsia="en-US"/>
        </w:rPr>
        <w:t xml:space="preserve">e ukáže, že spor kolem školy </w:t>
      </w:r>
      <w:r w:rsidRPr="00273106">
        <w:rPr>
          <w:i/>
          <w:lang w:eastAsia="en-US"/>
        </w:rPr>
        <w:t>Nominales</w:t>
      </w:r>
      <w:r w:rsidRPr="00273106">
        <w:rPr>
          <w:lang w:eastAsia="en-US"/>
        </w:rPr>
        <w:t xml:space="preserve"> tvoří </w:t>
      </w:r>
      <w:r w:rsidR="006F79FE" w:rsidRPr="00273106">
        <w:rPr>
          <w:lang w:eastAsia="en-US"/>
        </w:rPr>
        <w:t xml:space="preserve">dějinné </w:t>
      </w:r>
      <w:r w:rsidRPr="00273106">
        <w:rPr>
          <w:lang w:eastAsia="en-US"/>
        </w:rPr>
        <w:t>komplementum k dalšímu sporu ohledn</w:t>
      </w:r>
      <w:r w:rsidR="08B741B4">
        <w:rPr>
          <w:lang w:eastAsia="en-US"/>
        </w:rPr>
        <w:t xml:space="preserve">ě stejně nejasné skupiny zvané </w:t>
      </w:r>
      <w:r w:rsidRPr="00273106">
        <w:rPr>
          <w:i/>
          <w:lang w:eastAsia="en-US"/>
        </w:rPr>
        <w:t>Averroistae</w:t>
      </w:r>
      <w:r w:rsidR="00226D12">
        <w:rPr>
          <w:i/>
          <w:lang w:eastAsia="en-US"/>
        </w:rPr>
        <w:fldChar w:fldCharType="begin"/>
      </w:r>
      <w:r w:rsidR="00226D12">
        <w:instrText xml:space="preserve"> XE "</w:instrText>
      </w:r>
      <w:r w:rsidR="008011F3">
        <w:instrText>druhý averroismus:</w:instrText>
      </w:r>
      <w:r w:rsidR="00226D12" w:rsidRPr="00851DB4">
        <w:rPr>
          <w:i/>
          <w:lang w:eastAsia="en-US"/>
        </w:rPr>
        <w:instrText>Averroistae</w:instrText>
      </w:r>
      <w:r w:rsidR="00226D12">
        <w:instrText xml:space="preserve">" </w:instrText>
      </w:r>
      <w:r w:rsidR="00226D12">
        <w:rPr>
          <w:i/>
          <w:lang w:eastAsia="en-US"/>
        </w:rPr>
        <w:fldChar w:fldCharType="end"/>
      </w:r>
      <w:r w:rsidR="003F7E7F">
        <w:rPr>
          <w:lang w:eastAsia="en-US"/>
        </w:rPr>
        <w:t>.</w:t>
      </w:r>
    </w:p>
    <w:p w14:paraId="4D920538" w14:textId="77777777" w:rsidR="004479FF" w:rsidRDefault="002F35CF" w:rsidP="003F7E7F">
      <w:pPr>
        <w:ind w:firstLine="397"/>
      </w:pPr>
      <w:r>
        <w:rPr>
          <w:lang w:eastAsia="en-US"/>
        </w:rPr>
        <w:t>Spor mezi Platonem a Aristotelem, Plotinem a Porfy</w:t>
      </w:r>
      <w:r w:rsidR="00A37113" w:rsidRPr="00273106">
        <w:rPr>
          <w:lang w:eastAsia="en-US"/>
        </w:rPr>
        <w:t>riem, Avicennou a Av</w:t>
      </w:r>
      <w:r>
        <w:rPr>
          <w:lang w:eastAsia="en-US"/>
        </w:rPr>
        <w:t>erroe</w:t>
      </w:r>
      <w:r w:rsidR="00A37113" w:rsidRPr="00273106">
        <w:rPr>
          <w:lang w:eastAsia="en-US"/>
        </w:rPr>
        <w:t>sem, Anselmem a Abelardem má charakter stále se opakující epochální</w:t>
      </w:r>
      <w:r w:rsidR="009C405C">
        <w:rPr>
          <w:lang w:eastAsia="en-US"/>
        </w:rPr>
        <w:t xml:space="preserve"> bitvy o substanci</w:t>
      </w:r>
      <w:r w:rsidR="00226D12">
        <w:rPr>
          <w:i/>
          <w:lang w:eastAsia="en-US"/>
        </w:rPr>
        <w:fldChar w:fldCharType="begin"/>
      </w:r>
      <w:r w:rsidR="00226D12">
        <w:instrText xml:space="preserve"> XE "</w:instrText>
      </w:r>
      <w:r w:rsidR="00226D12" w:rsidRPr="000E608A">
        <w:instrText>substance</w:instrText>
      </w:r>
      <w:r w:rsidR="00226D12">
        <w:instrText>:gigantomac</w:instrText>
      </w:r>
      <w:r w:rsidR="00AC3198">
        <w:instrText>h</w:instrText>
      </w:r>
      <w:r w:rsidR="00226D12">
        <w:instrText xml:space="preserve">ie" </w:instrText>
      </w:r>
      <w:r w:rsidR="00226D12">
        <w:rPr>
          <w:i/>
          <w:lang w:eastAsia="en-US"/>
        </w:rPr>
        <w:fldChar w:fldCharType="end"/>
      </w:r>
      <w:r>
        <w:rPr>
          <w:lang w:eastAsia="en-US"/>
        </w:rPr>
        <w:t xml:space="preserve">. Tato gigantomachie běží </w:t>
      </w:r>
      <w:r w:rsidR="0011506F">
        <w:rPr>
          <w:lang w:eastAsia="en-US"/>
        </w:rPr>
        <w:t xml:space="preserve">skrze sérii matric objektivity, v nichž se produkují stále nové formy </w:t>
      </w:r>
      <w:r w:rsidR="00A37113" w:rsidRPr="00273106">
        <w:rPr>
          <w:i/>
          <w:lang w:eastAsia="en-US"/>
        </w:rPr>
        <w:t>tertium ens</w:t>
      </w:r>
      <w:r w:rsidR="080E1649" w:rsidRPr="080E1649">
        <w:rPr>
          <w:lang w:eastAsia="en-US"/>
        </w:rPr>
        <w:t xml:space="preserve"> </w:t>
      </w:r>
      <w:r w:rsidR="080E1649" w:rsidRPr="00273106">
        <w:rPr>
          <w:lang w:eastAsia="en-US"/>
        </w:rPr>
        <w:t>v nové dějinné konstelaci</w:t>
      </w:r>
      <w:r w:rsidR="00A37113" w:rsidRPr="00273106">
        <w:rPr>
          <w:lang w:eastAsia="en-US"/>
        </w:rPr>
        <w:t xml:space="preserve">. </w:t>
      </w:r>
      <w:r w:rsidR="08AB4E09">
        <w:rPr>
          <w:lang w:eastAsia="en-US"/>
        </w:rPr>
        <w:t xml:space="preserve"> </w:t>
      </w:r>
      <w:r w:rsidR="08AB4E09" w:rsidRPr="00273106">
        <w:rPr>
          <w:rStyle w:val="Zkladntext158dkovn0pt"/>
          <w:color w:val="auto"/>
          <w:spacing w:val="0"/>
          <w:sz w:val="24"/>
          <w:lang w:val="cs-CZ"/>
        </w:rPr>
        <w:t>Avicen</w:t>
      </w:r>
      <w:r w:rsidR="08AB4E09">
        <w:rPr>
          <w:rStyle w:val="Zkladntext158dkovn0pt"/>
          <w:color w:val="auto"/>
          <w:spacing w:val="0"/>
          <w:sz w:val="24"/>
          <w:lang w:val="cs-CZ"/>
        </w:rPr>
        <w:t>n</w:t>
      </w:r>
      <w:r w:rsidR="08AB4E09" w:rsidRPr="00273106">
        <w:rPr>
          <w:rStyle w:val="Zkladntext158dkovn0pt"/>
          <w:color w:val="auto"/>
          <w:spacing w:val="0"/>
          <w:sz w:val="24"/>
          <w:lang w:val="cs-CZ"/>
        </w:rPr>
        <w:t xml:space="preserve">ovští </w:t>
      </w:r>
      <w:r w:rsidR="08AB4E09" w:rsidRPr="00273106">
        <w:rPr>
          <w:rStyle w:val="Zkladntext158dkovn0pt"/>
          <w:i/>
          <w:color w:val="auto"/>
          <w:spacing w:val="0"/>
          <w:sz w:val="24"/>
          <w:lang w:val="cs-CZ"/>
        </w:rPr>
        <w:t>Nominales</w:t>
      </w:r>
      <w:r w:rsidR="08AB4E09" w:rsidRPr="00273106">
        <w:rPr>
          <w:rStyle w:val="Zkladntext158dkovn0pt"/>
          <w:color w:val="auto"/>
          <w:spacing w:val="0"/>
          <w:sz w:val="24"/>
          <w:lang w:val="cs-CZ"/>
        </w:rPr>
        <w:t xml:space="preserve"> rozšířili od druhé poloviny 12. století statut </w:t>
      </w:r>
      <w:r w:rsidR="08AB4E09" w:rsidRPr="00273106">
        <w:rPr>
          <w:rStyle w:val="Zkladntext158dkovn0pt"/>
          <w:i/>
          <w:color w:val="auto"/>
          <w:spacing w:val="0"/>
          <w:sz w:val="24"/>
          <w:lang w:val="cs-CZ"/>
        </w:rPr>
        <w:t>tertium ens</w:t>
      </w:r>
      <w:r w:rsidR="08AB4E09">
        <w:rPr>
          <w:rStyle w:val="Zkladntext158dkovn0pt"/>
          <w:i/>
          <w:color w:val="auto"/>
          <w:spacing w:val="0"/>
          <w:sz w:val="24"/>
          <w:lang w:val="cs-CZ"/>
        </w:rPr>
        <w:fldChar w:fldCharType="begin"/>
      </w:r>
      <w:r w:rsidR="08AB4E09">
        <w:instrText xml:space="preserve"> XE "</w:instrText>
      </w:r>
      <w:r w:rsidR="08AB4E09" w:rsidRPr="002F10B4">
        <w:rPr>
          <w:rStyle w:val="Zvraznn"/>
        </w:rPr>
        <w:instrText>tertium ens</w:instrText>
      </w:r>
      <w:r w:rsidR="08AB4E09" w:rsidRPr="00E4280D">
        <w:rPr>
          <w:rStyle w:val="Zvraznn"/>
          <w:i w:val="0"/>
        </w:rPr>
        <w:instrText>:porretáni</w:instrText>
      </w:r>
      <w:r w:rsidR="08AB4E09">
        <w:instrText xml:space="preserve">" </w:instrText>
      </w:r>
      <w:r w:rsidR="08AB4E09">
        <w:rPr>
          <w:rStyle w:val="Zkladntext158dkovn0pt"/>
          <w:i/>
          <w:color w:val="auto"/>
          <w:spacing w:val="0"/>
          <w:sz w:val="24"/>
          <w:lang w:val="cs-CZ"/>
        </w:rPr>
        <w:fldChar w:fldCharType="end"/>
      </w:r>
      <w:r w:rsidR="08AB4E09" w:rsidRPr="00273106">
        <w:rPr>
          <w:rStyle w:val="Zkladntext158dkovn0pt"/>
          <w:color w:val="auto"/>
          <w:spacing w:val="0"/>
          <w:sz w:val="24"/>
          <w:lang w:val="cs-CZ"/>
        </w:rPr>
        <w:t xml:space="preserve"> tím, že do něj zavedli matematickou abstrakci, univoční hypostáze a nové pojetí </w:t>
      </w:r>
      <w:r w:rsidR="006A04C6" w:rsidRPr="006A04C6">
        <w:rPr>
          <w:rStyle w:val="Zkladntext158dkovn0pt"/>
          <w:color w:val="auto"/>
          <w:spacing w:val="0"/>
          <w:sz w:val="24"/>
          <w:lang w:val="cs-CZ"/>
        </w:rPr>
        <w:t>species</w:t>
      </w:r>
      <w:r w:rsidR="08AB4E09">
        <w:rPr>
          <w:rStyle w:val="Zkladntext158dkovn0pt"/>
          <w:color w:val="auto"/>
          <w:spacing w:val="0"/>
          <w:sz w:val="24"/>
          <w:lang w:val="cs-CZ"/>
        </w:rPr>
        <w:t xml:space="preserve"> </w:t>
      </w:r>
      <w:r w:rsidR="08AB4E09" w:rsidRPr="00273106">
        <w:rPr>
          <w:rStyle w:val="Zkladntext158dkovn0pt"/>
          <w:color w:val="auto"/>
          <w:spacing w:val="0"/>
          <w:sz w:val="24"/>
          <w:lang w:val="cs-CZ"/>
        </w:rPr>
        <w:t>jako účinné příčiny</w:t>
      </w:r>
      <w:r w:rsidR="08AB4E09">
        <w:rPr>
          <w:rStyle w:val="Zkladntext158dkovn0pt"/>
          <w:color w:val="auto"/>
          <w:spacing w:val="0"/>
          <w:sz w:val="24"/>
          <w:lang w:val="cs-CZ"/>
        </w:rPr>
        <w:t xml:space="preserve"> nahrazující kauzalitu první substance ve vědeckém soudu</w:t>
      </w:r>
      <w:r w:rsidR="08AB4E09">
        <w:rPr>
          <w:rStyle w:val="Zkladntext158dkovn0pt"/>
          <w:i/>
          <w:color w:val="auto"/>
          <w:spacing w:val="0"/>
          <w:sz w:val="24"/>
          <w:lang w:val="cs-CZ"/>
        </w:rPr>
        <w:fldChar w:fldCharType="begin"/>
      </w:r>
      <w:r w:rsidR="08AB4E09">
        <w:instrText xml:space="preserve"> XE "</w:instrText>
      </w:r>
      <w:r w:rsidR="08AB4E09" w:rsidRPr="00BD41E6">
        <w:rPr>
          <w:rStyle w:val="Zvraznn"/>
          <w:i w:val="0"/>
        </w:rPr>
        <w:instrText>kauzalita:</w:instrText>
      </w:r>
      <w:r w:rsidR="08AB4E09" w:rsidRPr="00E4280D">
        <w:rPr>
          <w:rStyle w:val="Zvraznn"/>
          <w:i w:val="0"/>
        </w:rPr>
        <w:instrText>porretáni</w:instrText>
      </w:r>
      <w:r w:rsidR="08AB4E09">
        <w:instrText xml:space="preserve">" </w:instrText>
      </w:r>
      <w:r w:rsidR="08AB4E09">
        <w:rPr>
          <w:rStyle w:val="Zkladntext158dkovn0pt"/>
          <w:i/>
          <w:color w:val="auto"/>
          <w:spacing w:val="0"/>
          <w:sz w:val="24"/>
          <w:lang w:val="cs-CZ"/>
        </w:rPr>
        <w:fldChar w:fldCharType="end"/>
      </w:r>
      <w:r w:rsidR="08AB4E09" w:rsidRPr="00273106">
        <w:rPr>
          <w:rStyle w:val="Zkladntext158dkovn0pt"/>
          <w:color w:val="auto"/>
          <w:spacing w:val="0"/>
          <w:sz w:val="24"/>
          <w:lang w:val="cs-CZ"/>
        </w:rPr>
        <w:t xml:space="preserve">. </w:t>
      </w:r>
      <w:r w:rsidR="08AB4E09">
        <w:rPr>
          <w:rStyle w:val="Zkladntext158dkovn0pt"/>
          <w:color w:val="auto"/>
          <w:spacing w:val="0"/>
          <w:sz w:val="24"/>
          <w:lang w:val="cs-CZ"/>
        </w:rPr>
        <w:t>S</w:t>
      </w:r>
      <w:r w:rsidR="08AB4E09">
        <w:t>pojení avicennismu a neoplato</w:t>
      </w:r>
      <w:r w:rsidR="08AB4E09" w:rsidRPr="00273106">
        <w:t xml:space="preserve">nské scholastiky se vázalo na pojetí pravdy jako </w:t>
      </w:r>
      <w:r w:rsidR="08AB4E09">
        <w:t xml:space="preserve">Anselmovo </w:t>
      </w:r>
      <w:r w:rsidR="08AB4E09" w:rsidRPr="00273106">
        <w:rPr>
          <w:i/>
        </w:rPr>
        <w:t>rectitudo</w:t>
      </w:r>
      <w:r w:rsidR="08AB4E09" w:rsidRPr="00273106">
        <w:t xml:space="preserve"> </w:t>
      </w:r>
      <w:r w:rsidR="08AB4E09">
        <w:t xml:space="preserve">a Avicennovo </w:t>
      </w:r>
      <w:r w:rsidR="08AB4E09" w:rsidRPr="08FA51E6">
        <w:rPr>
          <w:i/>
        </w:rPr>
        <w:t>certitudo</w:t>
      </w:r>
      <w:r w:rsidR="08AB4E09">
        <w:t>. V</w:t>
      </w:r>
      <w:r w:rsidR="08AB4E09" w:rsidRPr="00273106">
        <w:t>idění reality skrze sérii jsoucen třetího druhu</w:t>
      </w:r>
      <w:r w:rsidR="08AB4E09">
        <w:t xml:space="preserve"> vytvořilo</w:t>
      </w:r>
      <w:r w:rsidR="08AB4E09" w:rsidRPr="00273106">
        <w:t xml:space="preserve"> novou koncepci individuality a kauzality.</w:t>
      </w:r>
      <w:r w:rsidR="08AB4E09">
        <w:t xml:space="preserve"> </w:t>
      </w:r>
      <w:r w:rsidR="08AB4E09" w:rsidRPr="00273106">
        <w:t xml:space="preserve">Tento vývoj </w:t>
      </w:r>
      <w:r w:rsidR="08AB4E09" w:rsidRPr="00273106">
        <w:lastRenderedPageBreak/>
        <w:t xml:space="preserve">potvrzuje výše uvedená citace z díla </w:t>
      </w:r>
      <w:r w:rsidR="08AB4E09" w:rsidRPr="00273106">
        <w:rPr>
          <w:i/>
        </w:rPr>
        <w:t>Dialogus Ratii et Everardi</w:t>
      </w:r>
      <w:r w:rsidR="08AB4E09" w:rsidRPr="00273106">
        <w:t xml:space="preserve"> zakládající </w:t>
      </w:r>
      <w:r w:rsidR="08AB4E09">
        <w:t xml:space="preserve">epochálně nové určení člověka </w:t>
      </w:r>
      <w:r w:rsidR="08AB4E09" w:rsidRPr="00273106">
        <w:t>pouhou komitací abstraktních predikátů (</w:t>
      </w:r>
      <w:r w:rsidR="08AB4E09" w:rsidRPr="00273106">
        <w:rPr>
          <w:i/>
          <w:szCs w:val="24"/>
        </w:rPr>
        <w:t>sic est verus homo veritate humanitatem comitante</w:t>
      </w:r>
      <w:r w:rsidR="008D46A1">
        <w:rPr>
          <w:szCs w:val="24"/>
        </w:rPr>
        <w:t>; kap. 1</w:t>
      </w:r>
      <w:r w:rsidR="08AB4E09" w:rsidRPr="00273106">
        <w:rPr>
          <w:szCs w:val="24"/>
        </w:rPr>
        <w:t>.5)</w:t>
      </w:r>
      <w:r w:rsidR="08AB4E09" w:rsidRPr="00273106">
        <w:t xml:space="preserve">. </w:t>
      </w:r>
      <w:r w:rsidR="08AB4E09">
        <w:t>Pravda už není aristotelským predikátem daným hyparchicky, ale avicennovským komitátem daným v mystickém náhledu ilumináta. Subsistence</w:t>
      </w:r>
      <w:r w:rsidR="08AB4E09">
        <w:fldChar w:fldCharType="begin"/>
      </w:r>
      <w:r w:rsidR="08AB4E09">
        <w:instrText xml:space="preserve"> XE "</w:instrText>
      </w:r>
      <w:r w:rsidR="08AB4E09" w:rsidRPr="001D1E42">
        <w:instrText>subsistence</w:instrText>
      </w:r>
      <w:r w:rsidR="08AB4E09">
        <w:instrText xml:space="preserve">:objektivní" </w:instrText>
      </w:r>
      <w:r w:rsidR="08AB4E09">
        <w:fldChar w:fldCharType="end"/>
      </w:r>
      <w:r w:rsidR="08AB4E09">
        <w:t xml:space="preserve"> individua vytěsnila existenci reálné osoby a založila v sofistickém systému nominálních diferencí moderní simulákrum objektivně pojaté humanity</w:t>
      </w:r>
      <w:r w:rsidR="08AB4E09" w:rsidRPr="00273106">
        <w:t>.</w:t>
      </w:r>
      <w:r w:rsidR="08AB4E09">
        <w:t xml:space="preserve"> Nové </w:t>
      </w:r>
      <w:r w:rsidR="08AB4E09" w:rsidRPr="00273106">
        <w:t xml:space="preserve">určení </w:t>
      </w:r>
      <w:r w:rsidR="08AB4E09">
        <w:t xml:space="preserve">člověka </w:t>
      </w:r>
      <w:r w:rsidR="08AB4E09" w:rsidRPr="00273106">
        <w:t>se vztahuje skrze specifičnost vlastního jména přímo k jednotlivinám (</w:t>
      </w:r>
      <w:r w:rsidR="08AB4E09" w:rsidRPr="00273106">
        <w:rPr>
          <w:i/>
        </w:rPr>
        <w:t xml:space="preserve">hoc nomine 'humanitas', est </w:t>
      </w:r>
      <w:r w:rsidR="004B4D52" w:rsidRPr="004B4D52">
        <w:t>species</w:t>
      </w:r>
      <w:r w:rsidR="08AB4E09" w:rsidRPr="00273106">
        <w:rPr>
          <w:i/>
        </w:rPr>
        <w:t xml:space="preserve"> individuorum</w:t>
      </w:r>
      <w:r w:rsidR="08AB4E09" w:rsidRPr="08512405">
        <w:t xml:space="preserve">, kap. </w:t>
      </w:r>
      <w:r w:rsidR="008D46A1">
        <w:t>1</w:t>
      </w:r>
      <w:r w:rsidR="08AB4E09" w:rsidRPr="08512405">
        <w:t>.5</w:t>
      </w:r>
      <w:r w:rsidR="08AB4E09" w:rsidRPr="00273106">
        <w:t>).</w:t>
      </w:r>
      <w:r w:rsidR="08AB4E09">
        <w:t xml:space="preserve"> </w:t>
      </w:r>
      <w:r w:rsidR="08AB4E09" w:rsidRPr="00273106">
        <w:t>Vykupitelské slovo moderny (</w:t>
      </w:r>
      <w:r w:rsidR="08AB4E09" w:rsidRPr="00273106">
        <w:rPr>
          <w:i/>
        </w:rPr>
        <w:t>hoc nomine 'humanitas</w:t>
      </w:r>
      <w:r w:rsidR="08AB4E09">
        <w:rPr>
          <w:i/>
        </w:rPr>
        <w:fldChar w:fldCharType="begin"/>
      </w:r>
      <w:r w:rsidR="08AB4E09">
        <w:instrText xml:space="preserve"> XE "</w:instrText>
      </w:r>
      <w:r w:rsidR="08AB4E09" w:rsidRPr="00420622">
        <w:rPr>
          <w:i/>
        </w:rPr>
        <w:instrText>humanitas</w:instrText>
      </w:r>
      <w:r w:rsidR="08AB4E09" w:rsidRPr="00465230">
        <w:instrText>:porretáni</w:instrText>
      </w:r>
      <w:r w:rsidR="08AB4E09">
        <w:instrText xml:space="preserve">" </w:instrText>
      </w:r>
      <w:r w:rsidR="08AB4E09">
        <w:rPr>
          <w:i/>
        </w:rPr>
        <w:fldChar w:fldCharType="end"/>
      </w:r>
      <w:r w:rsidR="08AB4E09" w:rsidRPr="00273106">
        <w:rPr>
          <w:i/>
        </w:rPr>
        <w:t>'</w:t>
      </w:r>
      <w:r w:rsidR="08AB4E09" w:rsidRPr="00273106">
        <w:t xml:space="preserve">) ustavené na latinském Západě po zániku falsafy se stalo </w:t>
      </w:r>
      <w:r w:rsidR="08AB4E09">
        <w:t xml:space="preserve">nominalistickým </w:t>
      </w:r>
      <w:r w:rsidR="08AB4E09" w:rsidRPr="00273106">
        <w:t>tělem</w:t>
      </w:r>
      <w:r w:rsidR="08AB4E09">
        <w:t xml:space="preserve"> a začalo objektivně přebývat mezi námi. Objektivně viděný člověk se stal pouhým jménem. </w:t>
      </w:r>
      <w:r w:rsidR="08AB4E09" w:rsidRPr="00273106">
        <w:t xml:space="preserve">Změněný statut metafyziky vytváří i </w:t>
      </w:r>
      <w:r w:rsidR="08AB4E09">
        <w:t xml:space="preserve">objektivní </w:t>
      </w:r>
      <w:r w:rsidR="00317272">
        <w:t xml:space="preserve">dějinné </w:t>
      </w:r>
      <w:r w:rsidR="08AB4E09" w:rsidRPr="081E3883">
        <w:rPr>
          <w:i/>
        </w:rPr>
        <w:t>factum</w:t>
      </w:r>
      <w:r w:rsidR="08AB4E09">
        <w:t xml:space="preserve">, tedy </w:t>
      </w:r>
      <w:r w:rsidR="08AB4E09" w:rsidRPr="00273106">
        <w:t xml:space="preserve">nové </w:t>
      </w:r>
      <w:r w:rsidR="08AB4E09">
        <w:t xml:space="preserve">humanistické </w:t>
      </w:r>
      <w:r w:rsidR="08AB4E09" w:rsidRPr="00273106">
        <w:rPr>
          <w:i/>
        </w:rPr>
        <w:t>Weltanschauung</w:t>
      </w:r>
      <w:r w:rsidR="08AB4E09">
        <w:rPr>
          <w:i/>
        </w:rPr>
        <w:t xml:space="preserve"> </w:t>
      </w:r>
      <w:r w:rsidR="08AB4E09" w:rsidRPr="00294A21">
        <w:t>poznamenané začínajíc</w:t>
      </w:r>
      <w:r w:rsidR="08AB4E09">
        <w:t>í</w:t>
      </w:r>
      <w:r w:rsidR="08AB4E09" w:rsidRPr="00294A21">
        <w:t>m nihilismem moderny</w:t>
      </w:r>
      <w:r w:rsidR="08AB4E09" w:rsidRPr="00294A21">
        <w:fldChar w:fldCharType="begin"/>
      </w:r>
      <w:r w:rsidR="08AB4E09" w:rsidRPr="00294A21">
        <w:instrText xml:space="preserve"> XE "</w:instrText>
      </w:r>
      <w:r w:rsidR="08AB4E09" w:rsidRPr="00E072F5">
        <w:rPr>
          <w:i/>
        </w:rPr>
        <w:instrText>Weltanschauung</w:instrText>
      </w:r>
      <w:r w:rsidR="08AB4E09" w:rsidRPr="00294A21">
        <w:instrText xml:space="preserve">" </w:instrText>
      </w:r>
      <w:r w:rsidR="08AB4E09" w:rsidRPr="00294A21">
        <w:fldChar w:fldCharType="end"/>
      </w:r>
      <w:r w:rsidR="08AB4E09" w:rsidRPr="00294A21">
        <w:t xml:space="preserve">. </w:t>
      </w:r>
      <w:r w:rsidR="08AB4E09">
        <w:t xml:space="preserve">Tento humanismus </w:t>
      </w:r>
      <w:r w:rsidR="004B7371">
        <w:t xml:space="preserve">produkuje </w:t>
      </w:r>
      <w:r w:rsidR="08AB4E09">
        <w:rPr>
          <w:i/>
        </w:rPr>
        <w:fldChar w:fldCharType="begin"/>
      </w:r>
      <w:r w:rsidR="08AB4E09">
        <w:instrText xml:space="preserve"> XE "humanismus:objektivní" </w:instrText>
      </w:r>
      <w:r w:rsidR="08AB4E09">
        <w:rPr>
          <w:i/>
        </w:rPr>
        <w:fldChar w:fldCharType="end"/>
      </w:r>
      <w:r w:rsidR="004B7371">
        <w:t>dějinně účinnou</w:t>
      </w:r>
      <w:r w:rsidR="08AB4E09">
        <w:t xml:space="preserve"> ob</w:t>
      </w:r>
      <w:r w:rsidR="004B7371">
        <w:t>jektivitu</w:t>
      </w:r>
      <w:r w:rsidR="08AB4E09">
        <w:fldChar w:fldCharType="begin"/>
      </w:r>
      <w:r w:rsidR="08AB4E09">
        <w:instrText xml:space="preserve"> XE "dějinnost:porretáni" </w:instrText>
      </w:r>
      <w:r w:rsidR="08AB4E09">
        <w:fldChar w:fldCharType="end"/>
      </w:r>
      <w:r w:rsidR="08AB4E09" w:rsidRPr="00273106">
        <w:t xml:space="preserve">, </w:t>
      </w:r>
      <w:r w:rsidR="08AB4E09">
        <w:t>která vedla k historickým událostem</w:t>
      </w:r>
      <w:r w:rsidR="08AB4E09" w:rsidRPr="00273106">
        <w:t xml:space="preserve"> typu odsouzení z roku 1277</w:t>
      </w:r>
      <w:r w:rsidR="08AB4E09">
        <w:t xml:space="preserve"> a ve věku metafyzického nihilismu vytvořila </w:t>
      </w:r>
      <w:r w:rsidR="004479FF">
        <w:t>vyhlazovací tábory 20. století.</w:t>
      </w:r>
    </w:p>
    <w:p w14:paraId="43EF17A1" w14:textId="77777777" w:rsidR="00B265E3" w:rsidRDefault="08AB4E09" w:rsidP="00EA0863">
      <w:pPr>
        <w:ind w:firstLine="397"/>
      </w:pPr>
      <w:r>
        <w:t xml:space="preserve">Nové určení člověka skrze </w:t>
      </w:r>
      <w:r w:rsidR="00DD43EA">
        <w:t xml:space="preserve">matematicky </w:t>
      </w:r>
      <w:r>
        <w:t>hypostázované lidství třetího druhu založilo i</w:t>
      </w:r>
      <w:r w:rsidR="00DD43EA">
        <w:t xml:space="preserve"> moderní subjekt křesťanské religiosity</w:t>
      </w:r>
      <w:r>
        <w:t>.</w:t>
      </w:r>
      <w:r w:rsidRPr="003C36F8">
        <w:t xml:space="preserve"> </w:t>
      </w:r>
      <w:r w:rsidRPr="00273106">
        <w:rPr>
          <w:lang w:eastAsia="en-US"/>
        </w:rPr>
        <w:t xml:space="preserve">Zavedením </w:t>
      </w:r>
      <w:r w:rsidRPr="00273106">
        <w:rPr>
          <w:i/>
          <w:lang w:eastAsia="en-US"/>
        </w:rPr>
        <w:t>tertium ens</w:t>
      </w:r>
      <w:r>
        <w:rPr>
          <w:i/>
          <w:lang w:eastAsia="en-US"/>
        </w:rPr>
        <w:fldChar w:fldCharType="begin"/>
      </w:r>
      <w:r>
        <w:instrText xml:space="preserve"> XE "</w:instrText>
      </w:r>
      <w:r w:rsidRPr="002F10B4">
        <w:rPr>
          <w:rStyle w:val="Zvraznn"/>
        </w:rPr>
        <w:instrText>tertium ens</w:instrText>
      </w:r>
      <w:r>
        <w:rPr>
          <w:rStyle w:val="Zvraznn"/>
          <w:i w:val="0"/>
        </w:rPr>
        <w:instrText>:porretáni</w:instrText>
      </w:r>
      <w:r>
        <w:instrText xml:space="preserve">" </w:instrText>
      </w:r>
      <w:r>
        <w:rPr>
          <w:i/>
          <w:lang w:eastAsia="en-US"/>
        </w:rPr>
        <w:fldChar w:fldCharType="end"/>
      </w:r>
      <w:r w:rsidRPr="00273106">
        <w:rPr>
          <w:lang w:eastAsia="en-US"/>
        </w:rPr>
        <w:t xml:space="preserve"> do univočního konceptu substance </w:t>
      </w:r>
      <w:r>
        <w:rPr>
          <w:lang w:eastAsia="en-US"/>
        </w:rPr>
        <w:t>se promítlo d</w:t>
      </w:r>
      <w:r w:rsidR="0028151B">
        <w:rPr>
          <w:lang w:eastAsia="en-US"/>
        </w:rPr>
        <w:t xml:space="preserve">o teologického konceptu očistce. </w:t>
      </w:r>
      <w:r w:rsidR="00843E3F">
        <w:rPr>
          <w:lang w:eastAsia="en-US"/>
        </w:rPr>
        <w:t xml:space="preserve">Prodej odpustků vytvořil </w:t>
      </w:r>
      <w:r>
        <w:rPr>
          <w:lang w:eastAsia="en-US"/>
        </w:rPr>
        <w:t xml:space="preserve">první formu moderní ekonomie. </w:t>
      </w:r>
      <w:r w:rsidR="00CC6455">
        <w:rPr>
          <w:lang w:eastAsia="en-US"/>
        </w:rPr>
        <w:t xml:space="preserve">Moderna začala </w:t>
      </w:r>
      <w:r>
        <w:rPr>
          <w:lang w:eastAsia="en-US"/>
        </w:rPr>
        <w:t xml:space="preserve">ekonomickou manipulaci spásy </w:t>
      </w:r>
      <w:r w:rsidR="00CC6455">
        <w:rPr>
          <w:lang w:eastAsia="en-US"/>
        </w:rPr>
        <w:t xml:space="preserve">ve prospěch moderního subjektu a tím založila </w:t>
      </w:r>
      <w:r w:rsidRPr="00273106">
        <w:rPr>
          <w:lang w:eastAsia="en-US"/>
        </w:rPr>
        <w:t xml:space="preserve">nové kolo gigantomachie o </w:t>
      </w:r>
      <w:r w:rsidR="00CC6455">
        <w:rPr>
          <w:lang w:eastAsia="en-US"/>
        </w:rPr>
        <w:t xml:space="preserve">status substance třetího druhu. Předtím obskurní substance určená jako </w:t>
      </w:r>
      <w:r w:rsidR="00CC6455" w:rsidRPr="00CC6455">
        <w:rPr>
          <w:i/>
          <w:lang w:eastAsia="en-US"/>
        </w:rPr>
        <w:t>tertium ens</w:t>
      </w:r>
      <w:r w:rsidR="00CC6455">
        <w:rPr>
          <w:lang w:eastAsia="en-US"/>
        </w:rPr>
        <w:t xml:space="preserve"> vystoupila z neoplatonského filosofického limbu a stala se dějinně působícím faktorem v moderně utvářené ontoteologii. Vzdálený bůh se stal konečně srozumitelným, protože dostal moderní podobu a dal se koupit. </w:t>
      </w:r>
      <w:r>
        <w:t xml:space="preserve">Vize světa daná v očistcových spisech byla napojena na mystiku typu výstupu na nebesa podanou nejprve ve spisech židovské mystiky. Křesťany ovlivnila mystika nebeských sefír v kabalistických dílech typu </w:t>
      </w:r>
      <w:r w:rsidRPr="08EF4E71">
        <w:rPr>
          <w:rStyle w:val="st"/>
          <w:i/>
        </w:rPr>
        <w:t>Sefer Yetzirah</w:t>
      </w:r>
      <w:r>
        <w:rPr>
          <w:i/>
        </w:rPr>
        <w:t xml:space="preserve"> </w:t>
      </w:r>
      <w:r>
        <w:t>(</w:t>
      </w:r>
      <w:r>
        <w:rPr>
          <w:i/>
        </w:rPr>
        <w:t>Book of C</w:t>
      </w:r>
      <w:r w:rsidRPr="00406AA6">
        <w:rPr>
          <w:i/>
        </w:rPr>
        <w:t>reation</w:t>
      </w:r>
      <w:r>
        <w:t>)</w:t>
      </w:r>
      <w:r>
        <w:rPr>
          <w:i/>
        </w:rPr>
        <w:fldChar w:fldCharType="begin"/>
      </w:r>
      <w:r>
        <w:instrText xml:space="preserve"> XE "</w:instrText>
      </w:r>
      <w:r w:rsidRPr="0038163D">
        <w:rPr>
          <w:i/>
        </w:rPr>
        <w:instrText>Book of creation</w:instrText>
      </w:r>
      <w:r>
        <w:instrText xml:space="preserve">" </w:instrText>
      </w:r>
      <w:r>
        <w:rPr>
          <w:i/>
        </w:rPr>
        <w:fldChar w:fldCharType="end"/>
      </w:r>
      <w:r>
        <w:t xml:space="preserve"> či popis výstupu židovských mystiků do </w:t>
      </w:r>
      <w:r w:rsidRPr="001A71D4">
        <w:rPr>
          <w:i/>
        </w:rPr>
        <w:t>merkavy</w:t>
      </w:r>
      <w:r>
        <w:rPr>
          <w:i/>
        </w:rPr>
        <w:fldChar w:fldCharType="begin"/>
      </w:r>
      <w:r>
        <w:instrText xml:space="preserve"> XE "</w:instrText>
      </w:r>
      <w:r w:rsidRPr="00AA4026">
        <w:instrText>mystika merkavy</w:instrText>
      </w:r>
      <w:r>
        <w:instrText xml:space="preserve">" </w:instrText>
      </w:r>
      <w:r>
        <w:rPr>
          <w:i/>
        </w:rPr>
        <w:fldChar w:fldCharType="end"/>
      </w:r>
      <w:r>
        <w:t xml:space="preserve"> tradovaný v literatuře typu</w:t>
      </w:r>
      <w:r w:rsidRPr="006931F0">
        <w:rPr>
          <w:rStyle w:val="Znakapoznpodarou"/>
          <w:b/>
          <w:bCs/>
        </w:rPr>
        <w:t xml:space="preserve"> </w:t>
      </w:r>
      <w:r w:rsidRPr="006931F0">
        <w:rPr>
          <w:rStyle w:val="st"/>
          <w:bCs/>
          <w:i/>
        </w:rPr>
        <w:t>Hekhalot Rabbati</w:t>
      </w:r>
      <w:r>
        <w:t xml:space="preserve"> popisující cestu do nebeských paláců. Křesťanská mystika zná tuto tezi ze </w:t>
      </w:r>
      <w:r w:rsidRPr="08305173">
        <w:rPr>
          <w:i/>
        </w:rPr>
        <w:t>Druhého listu Korintským</w:t>
      </w:r>
      <w:r>
        <w:t xml:space="preserve">, v němž apoštol Pavel popisuje své vytržení do třetího nebe (2 </w:t>
      </w:r>
      <w:r>
        <w:rPr>
          <w:i/>
          <w:iCs/>
        </w:rPr>
        <w:t>Kor</w:t>
      </w:r>
      <w:r>
        <w:t xml:space="preserve"> 12:2‒4</w:t>
      </w:r>
      <w:r>
        <w:fldChar w:fldCharType="begin"/>
      </w:r>
      <w:r>
        <w:instrText xml:space="preserve"> XE "</w:instrText>
      </w:r>
      <w:r w:rsidRPr="007E0E07">
        <w:instrText xml:space="preserve">Nový zákon:2 </w:instrText>
      </w:r>
      <w:r w:rsidRPr="007E0E07">
        <w:rPr>
          <w:i/>
          <w:iCs/>
        </w:rPr>
        <w:instrText>Kor</w:instrText>
      </w:r>
      <w:r w:rsidRPr="007E0E07">
        <w:instrText xml:space="preserve"> 12.2‒4</w:instrText>
      </w:r>
      <w:r>
        <w:instrText xml:space="preserve">" </w:instrText>
      </w:r>
      <w:r>
        <w:fldChar w:fldCharType="end"/>
      </w:r>
      <w:r>
        <w:t xml:space="preserve">). Podobným </w:t>
      </w:r>
      <w:r>
        <w:lastRenderedPageBreak/>
        <w:t xml:space="preserve">způsobem vznikly islámské spisy typu </w:t>
      </w:r>
      <w:r w:rsidRPr="00406AA6">
        <w:rPr>
          <w:i/>
        </w:rPr>
        <w:t>Kitāb al miʼrādj</w:t>
      </w:r>
      <w:r>
        <w:rPr>
          <w:i/>
        </w:rPr>
        <w:t xml:space="preserve"> </w:t>
      </w:r>
      <w:r>
        <w:t>(</w:t>
      </w:r>
      <w:r w:rsidRPr="00406AA6">
        <w:rPr>
          <w:i/>
        </w:rPr>
        <w:t>Liber scala Machometi</w:t>
      </w:r>
      <w:r>
        <w:rPr>
          <w:i/>
        </w:rPr>
        <w:fldChar w:fldCharType="begin"/>
      </w:r>
      <w:r>
        <w:instrText xml:space="preserve"> XE "</w:instrText>
      </w:r>
      <w:r w:rsidRPr="003971CC">
        <w:rPr>
          <w:i/>
        </w:rPr>
        <w:instrText>Liber scala Machometi</w:instrText>
      </w:r>
      <w:r>
        <w:instrText xml:space="preserve">" </w:instrText>
      </w:r>
      <w:r>
        <w:rPr>
          <w:i/>
        </w:rPr>
        <w:fldChar w:fldCharType="end"/>
      </w:r>
      <w:r>
        <w:t xml:space="preserve">), které jsou inspirovány Henochovou apokalypsou, gnostickými a rabínskými spisy, mystikou židovské školy Geonim a </w:t>
      </w:r>
      <w:r w:rsidRPr="084A5667">
        <w:t>Novým zákonem</w:t>
      </w:r>
      <w:r>
        <w:t>. Mystik pronikl do původního demiurgického diakosmu a přímo kontemploval boží slávu. Očistcová cesta k objektivitě jde přes východní gnostické spisy typu Pavlovy Apokalypsy (</w:t>
      </w:r>
      <w:r w:rsidRPr="004C637E">
        <w:rPr>
          <w:i/>
        </w:rPr>
        <w:t>Visio Pauli</w:t>
      </w:r>
      <w:r>
        <w:t>), které byly přepracovány mezi 7. a 8. stoletím v podání Řehoře Velkého (</w:t>
      </w:r>
      <w:r w:rsidRPr="004C637E">
        <w:rPr>
          <w:i/>
        </w:rPr>
        <w:t>Libri dialogum</w:t>
      </w:r>
      <w:r w:rsidRPr="00951650">
        <w:t xml:space="preserve">, </w:t>
      </w:r>
      <w:r>
        <w:t>lib. 4, cap. 36) a Bedy Ctihodného (</w:t>
      </w:r>
      <w:r w:rsidRPr="004C637E">
        <w:rPr>
          <w:i/>
        </w:rPr>
        <w:t>Historia ecclesiastica gentis Anglorum</w:t>
      </w:r>
      <w:r>
        <w:t xml:space="preserve">, lib. 5, cap. 12). Obě citované pasáže inspirované popisem zásvětí v 10. knize Platonovy </w:t>
      </w:r>
      <w:r w:rsidRPr="003128AD">
        <w:rPr>
          <w:i/>
        </w:rPr>
        <w:t>Ústavy</w:t>
      </w:r>
      <w:r>
        <w:t xml:space="preserve"> a zmínkou o Pavlově mystickém vystoupení do třetího nebe tvoří předobraz moderních utopií latinského Západu popisujících nebeský Jeruzalém. Nebesa a země se spojily do nové jednoty tím, že osoby vzaté do diakosmu (prorok Eliáš, apoštol Pavel, rabi Nehunj</w:t>
      </w:r>
      <w:r w:rsidRPr="00C26964">
        <w:t>a ben HaKanah</w:t>
      </w:r>
      <w:r>
        <w:t>,</w:t>
      </w:r>
      <w:r w:rsidRPr="00FA14F6">
        <w:t xml:space="preserve"> </w:t>
      </w:r>
      <w:r>
        <w:t>prorok Mohamed</w:t>
      </w:r>
      <w:r>
        <w:fldChar w:fldCharType="begin"/>
      </w:r>
      <w:r>
        <w:instrText xml:space="preserve"> XE "</w:instrText>
      </w:r>
      <w:r w:rsidRPr="009D03C5">
        <w:instrText>Mohamed</w:instrText>
      </w:r>
      <w:r>
        <w:instrText xml:space="preserve">" </w:instrText>
      </w:r>
      <w:r>
        <w:fldChar w:fldCharType="end"/>
      </w:r>
      <w:r>
        <w:t>) vyložily toto mystické spojení s diakosmem skrze eidetické vidění boží slávy. Mystik byl vybaven schopností přímo vidět demiurgické boží zásvětí</w:t>
      </w:r>
      <w:r w:rsidR="00CC48A2">
        <w:t xml:space="preserve">. To </w:t>
      </w:r>
      <w:r>
        <w:t xml:space="preserve">mu umožnily filosoficko-iluminátské verze neoplatonského diakosmu šířené v křesťanství, v kabale a v islámu. </w:t>
      </w:r>
      <w:r w:rsidR="003A6610">
        <w:t xml:space="preserve">Moderna zrušila generickou diferenci mezi </w:t>
      </w:r>
      <w:r w:rsidR="003A6610" w:rsidRPr="003A6610">
        <w:t>teologií, mystikou a filozofií. Moderní iluminát, tj. nekritický intelektuál té doby, mohl p</w:t>
      </w:r>
      <w:r w:rsidR="003A6610">
        <w:t>rodávat vstupenky na trajekt spojující zemi</w:t>
      </w:r>
      <w:r w:rsidR="003A6610" w:rsidRPr="003A6610">
        <w:t xml:space="preserve"> </w:t>
      </w:r>
      <w:r w:rsidR="003A6610">
        <w:t>s nebem. Moderní b</w:t>
      </w:r>
      <w:r w:rsidR="003A6610" w:rsidRPr="003A6610">
        <w:t xml:space="preserve">ůh k němu byl v tomto </w:t>
      </w:r>
      <w:r w:rsidR="003A6610">
        <w:t xml:space="preserve">bodě zcela milosrdný, protože byl stejným druhem </w:t>
      </w:r>
      <w:r w:rsidR="003A6610" w:rsidRPr="003A6610">
        <w:rPr>
          <w:i/>
        </w:rPr>
        <w:t>tertium ens</w:t>
      </w:r>
      <w:r w:rsidR="003A6610">
        <w:t xml:space="preserve"> jako moderní subjekt</w:t>
      </w:r>
      <w:r w:rsidR="003A6610" w:rsidRPr="003A6610">
        <w:t>.</w:t>
      </w:r>
      <w:r w:rsidR="003A6610">
        <w:t xml:space="preserve"> </w:t>
      </w:r>
      <w:r>
        <w:t>Milenaristické utopie inspirovaly středověké ilumináty a posunuly vývoj dějin směrem k osvícenství danému jako sekularizovaná verze tisícileté boží vlády z Janovy apokalypsy (Mannheim 1995, kap. IV). Spojením m</w:t>
      </w:r>
      <w:r w:rsidR="00CC48A2">
        <w:t>ystiky, porretánských hypostází</w:t>
      </w:r>
      <w:r>
        <w:t xml:space="preserve">, matematiky a kvantifikované morálky odpustků vytvořili neoplatonští ilumináti na začátku 13. století základní </w:t>
      </w:r>
      <w:r w:rsidRPr="00406AA6">
        <w:rPr>
          <w:i/>
        </w:rPr>
        <w:t>Lichtung</w:t>
      </w:r>
      <w:r>
        <w:rPr>
          <w:i/>
        </w:rPr>
        <w:fldChar w:fldCharType="begin"/>
      </w:r>
      <w:r>
        <w:instrText xml:space="preserve"> XE "</w:instrText>
      </w:r>
      <w:r w:rsidRPr="006C237E">
        <w:rPr>
          <w:i/>
        </w:rPr>
        <w:instrText>Lichtung</w:instrText>
      </w:r>
      <w:r w:rsidRPr="00002495">
        <w:instrText>:objektivní ekonomie</w:instrText>
      </w:r>
      <w:r>
        <w:instrText xml:space="preserve">" </w:instrText>
      </w:r>
      <w:r>
        <w:rPr>
          <w:i/>
        </w:rPr>
        <w:fldChar w:fldCharType="end"/>
      </w:r>
      <w:r>
        <w:t xml:space="preserve"> pravdy a nepravdy moderní ekonomie. Současná </w:t>
      </w:r>
      <w:r w:rsidR="007664AD">
        <w:t xml:space="preserve">odpustková varianta neoliberalismu </w:t>
      </w:r>
      <w:r>
        <w:t xml:space="preserve">nabízí jednotlivcům a dokonce i státům iluzi sekulárního vykoupení skrze kvantifikovaný nihilismus virtuálního dluhu, který roste exponenciálně. Ale tento </w:t>
      </w:r>
      <w:r w:rsidRPr="00273106">
        <w:rPr>
          <w:i/>
        </w:rPr>
        <w:t xml:space="preserve">homo </w:t>
      </w:r>
      <w:r>
        <w:rPr>
          <w:i/>
        </w:rPr>
        <w:t>oeconomicus</w:t>
      </w:r>
      <w:r>
        <w:rPr>
          <w:i/>
        </w:rPr>
        <w:fldChar w:fldCharType="begin"/>
      </w:r>
      <w:r>
        <w:instrText xml:space="preserve"> XE "</w:instrText>
      </w:r>
      <w:r w:rsidRPr="006132EE">
        <w:rPr>
          <w:i/>
        </w:rPr>
        <w:instrText>homo oeconomicus</w:instrText>
      </w:r>
      <w:r>
        <w:instrText xml:space="preserve">" </w:instrText>
      </w:r>
      <w:r>
        <w:rPr>
          <w:i/>
        </w:rPr>
        <w:fldChar w:fldCharType="end"/>
      </w:r>
      <w:r>
        <w:t xml:space="preserve">, </w:t>
      </w:r>
      <w:r w:rsidRPr="00273106">
        <w:t>nový dějinný subjekt dalších historických zvratů a bojů, prozatím čeká v</w:t>
      </w:r>
      <w:r>
        <w:t xml:space="preserve"> metafyzicko-teologickém limbu (</w:t>
      </w:r>
      <w:r w:rsidRPr="00273106">
        <w:t>Jamblichův διάκοσμος, mezisvět-</w:t>
      </w:r>
      <w:r w:rsidRPr="00273106">
        <w:rPr>
          <w:i/>
        </w:rPr>
        <w:t>barzach</w:t>
      </w:r>
      <w:r w:rsidRPr="00273106">
        <w:t xml:space="preserve"> v Koránu</w:t>
      </w:r>
      <w:r>
        <w:fldChar w:fldCharType="begin"/>
      </w:r>
      <w:r>
        <w:instrText xml:space="preserve"> XE "</w:instrText>
      </w:r>
      <w:r w:rsidRPr="009C3FDD">
        <w:instrText>Korán</w:instrText>
      </w:r>
      <w:r>
        <w:instrText xml:space="preserve">" </w:instrText>
      </w:r>
      <w:r>
        <w:fldChar w:fldCharType="end"/>
      </w:r>
      <w:r w:rsidRPr="00273106">
        <w:t>, středověké</w:t>
      </w:r>
      <w:r w:rsidRPr="00273106">
        <w:rPr>
          <w:i/>
        </w:rPr>
        <w:t xml:space="preserve"> purgatorium</w:t>
      </w:r>
      <w:r>
        <w:rPr>
          <w:i/>
        </w:rPr>
        <w:fldChar w:fldCharType="begin"/>
      </w:r>
      <w:r>
        <w:instrText xml:space="preserve"> XE "</w:instrText>
      </w:r>
      <w:r w:rsidRPr="08E56D54">
        <w:instrText>očistec</w:instrText>
      </w:r>
      <w:r>
        <w:instrText xml:space="preserve">" </w:instrText>
      </w:r>
      <w:r>
        <w:rPr>
          <w:i/>
        </w:rPr>
        <w:fldChar w:fldCharType="end"/>
      </w:r>
      <w:r w:rsidRPr="00273106">
        <w:t xml:space="preserve">) na </w:t>
      </w:r>
      <w:r>
        <w:t xml:space="preserve">otevřenou </w:t>
      </w:r>
      <w:r w:rsidRPr="00273106">
        <w:t>dějinnou manifestaci.</w:t>
      </w:r>
    </w:p>
    <w:p w14:paraId="23499B62" w14:textId="586FCEDF" w:rsidR="009B112D" w:rsidRPr="00EA0863" w:rsidRDefault="00CA5FC1" w:rsidP="00EA0863">
      <w:pPr>
        <w:ind w:firstLine="397"/>
        <w:rPr>
          <w:rFonts w:eastAsia="Code2000"/>
        </w:rPr>
      </w:pPr>
      <w:r>
        <w:t xml:space="preserve">Zrod </w:t>
      </w:r>
      <w:r w:rsidR="08AB4E09">
        <w:t xml:space="preserve">západního kapitalismu v jeho historické </w:t>
      </w:r>
      <w:r w:rsidR="08AB4E09" w:rsidRPr="00FF5BF0">
        <w:rPr>
          <w:i/>
        </w:rPr>
        <w:t>veritas</w:t>
      </w:r>
      <w:r w:rsidR="08AB4E09">
        <w:t xml:space="preserve"> provede až Petrus Olivi založením moderní ekonomie (</w:t>
      </w:r>
      <w:r w:rsidR="08462E45">
        <w:t>OBJ III, kap. 5</w:t>
      </w:r>
      <w:r w:rsidR="08AB4E09">
        <w:t xml:space="preserve">.1.3). Na konci 12. století jsou všechny předpoklady </w:t>
      </w:r>
      <w:r w:rsidR="08AB4E09">
        <w:lastRenderedPageBreak/>
        <w:t xml:space="preserve">moderní ekonomiky již skrytě přítomny v nové formě metafyziky. Nové vidění zakládá diskrétní a proto plně kvantifikovatelnou vizi křesťanského diakosmu. Objektivní ekonomie vzniká mytopoeticky a iracionálně jako každá jiná verze objektivity na latinském Západě. Její základ tvoří matematická analogie spojující Pavlovo třetí nebe a křesťanskou první zemi. Moderní </w:t>
      </w:r>
      <w:r w:rsidR="002B7162">
        <w:t xml:space="preserve">latinští </w:t>
      </w:r>
      <w:r w:rsidR="08AB4E09">
        <w:t xml:space="preserve">ilumináti začali </w:t>
      </w:r>
      <w:r w:rsidR="00275296">
        <w:t xml:space="preserve">v modu </w:t>
      </w:r>
      <w:r w:rsidR="00275296">
        <w:rPr>
          <w:szCs w:val="24"/>
          <w:lang w:val="de-DE"/>
        </w:rPr>
        <w:t>„</w:t>
      </w:r>
      <w:r w:rsidR="00275296" w:rsidRPr="000C3173">
        <w:rPr>
          <w:i/>
          <w:szCs w:val="24"/>
          <w:lang w:val="de-DE"/>
        </w:rPr>
        <w:t>discrete videamus</w:t>
      </w:r>
      <w:r w:rsidR="00275296">
        <w:rPr>
          <w:szCs w:val="24"/>
          <w:lang w:val="de-DE"/>
        </w:rPr>
        <w:t xml:space="preserve">“ </w:t>
      </w:r>
      <w:r w:rsidR="08AB4E09">
        <w:t xml:space="preserve">nově vidět i pohanský diakosmos, který předtím existoval </w:t>
      </w:r>
      <w:r w:rsidR="00E4747C">
        <w:t xml:space="preserve">jen v Platonových dialozích </w:t>
      </w:r>
      <w:r w:rsidR="08AB4E09" w:rsidRPr="089E1164">
        <w:rPr>
          <w:i/>
        </w:rPr>
        <w:t>Ústav</w:t>
      </w:r>
      <w:r w:rsidR="00E4747C">
        <w:rPr>
          <w:i/>
        </w:rPr>
        <w:t>a</w:t>
      </w:r>
      <w:r w:rsidR="00E4747C">
        <w:t xml:space="preserve">, </w:t>
      </w:r>
      <w:r w:rsidR="00E4747C" w:rsidRPr="00E4747C">
        <w:rPr>
          <w:i/>
        </w:rPr>
        <w:t>Timaios</w:t>
      </w:r>
      <w:r w:rsidR="00E4747C">
        <w:t xml:space="preserve"> </w:t>
      </w:r>
      <w:r w:rsidR="08AB4E09">
        <w:t xml:space="preserve">a v islámské </w:t>
      </w:r>
      <w:r w:rsidR="00916D57">
        <w:t xml:space="preserve">a židovské </w:t>
      </w:r>
      <w:r w:rsidR="08AB4E09">
        <w:t xml:space="preserve">mystice. Tento mystický diakosmos pojali latinští neoplatonikové porretánských škol v modu matematické analogie napojené na numericky kvantifikované zásluhy. Na konci 12. století přešlo morální zadostiučinění dané v augustiniánské mystice do matematické vize světa dané v porretánských teologických školách. Základ moderní ekonomie tvoří kapitálový a úrokový systém očistkových odpustků, který sahá k Augustinově spisu </w:t>
      </w:r>
      <w:r w:rsidR="08AB4E09" w:rsidRPr="00726DE1">
        <w:rPr>
          <w:i/>
        </w:rPr>
        <w:t>Enchiridion ad Laurentium</w:t>
      </w:r>
      <w:r w:rsidR="08AB4E09">
        <w:t>.</w:t>
      </w:r>
      <w:r w:rsidR="08AB4E09">
        <w:rPr>
          <w:rStyle w:val="Znakapoznpodarou"/>
        </w:rPr>
        <w:footnoteReference w:id="82"/>
      </w:r>
      <w:r w:rsidR="08AB4E09">
        <w:t xml:space="preserve"> Citát zmiňuje možnost kapitalizace zásluh pro zemřelé duše blažených (</w:t>
      </w:r>
      <w:r w:rsidR="08AB4E09" w:rsidRPr="086268EE">
        <w:rPr>
          <w:i/>
        </w:rPr>
        <w:t>pro valde bonis gratiarum actiones sunt</w:t>
      </w:r>
      <w:r w:rsidR="08AB4E09">
        <w:t xml:space="preserve">) a zakládá první </w:t>
      </w:r>
      <w:r w:rsidR="08AB4E09" w:rsidRPr="08934887">
        <w:rPr>
          <w:i/>
        </w:rPr>
        <w:t>Lichtung</w:t>
      </w:r>
      <w:r w:rsidR="08AB4E09">
        <w:t xml:space="preserve"> očistcové ekonomiky pro nezdárné duše (</w:t>
      </w:r>
      <w:r w:rsidR="08AB4E09" w:rsidRPr="00DB55A6">
        <w:rPr>
          <w:i/>
        </w:rPr>
        <w:t>pro non valde bonis propitiationes sunt</w:t>
      </w:r>
      <w:r w:rsidR="08AB4E09">
        <w:t>). Matematicky a ekonomicky pojatý očistec rozšířil pojetí diakosmu</w:t>
      </w:r>
      <w:r w:rsidR="08AB4E09">
        <w:fldChar w:fldCharType="begin"/>
      </w:r>
      <w:r w:rsidR="08AB4E09">
        <w:instrText xml:space="preserve"> XE "</w:instrText>
      </w:r>
      <w:r w:rsidR="08AB4E09" w:rsidRPr="00322A43">
        <w:instrText>diakosmos</w:instrText>
      </w:r>
      <w:r w:rsidR="08AB4E09">
        <w:instrText xml:space="preserve">" </w:instrText>
      </w:r>
      <w:r w:rsidR="08AB4E09">
        <w:fldChar w:fldCharType="end"/>
      </w:r>
      <w:r w:rsidR="08AB4E09">
        <w:t xml:space="preserve"> </w:t>
      </w:r>
      <w:r w:rsidR="08AB4E09" w:rsidRPr="00273106">
        <w:t>neoplatoniků a mezisvět</w:t>
      </w:r>
      <w:r w:rsidR="08AB4E09">
        <w:t>a</w:t>
      </w:r>
      <w:r w:rsidR="08AB4E09" w:rsidRPr="00273106">
        <w:t>-</w:t>
      </w:r>
      <w:r w:rsidR="08AB4E09" w:rsidRPr="00273106">
        <w:rPr>
          <w:i/>
        </w:rPr>
        <w:t>barzach</w:t>
      </w:r>
      <w:r w:rsidR="08AB4E09">
        <w:t xml:space="preserve"> v </w:t>
      </w:r>
      <w:r w:rsidR="08AB4E09" w:rsidRPr="00273106">
        <w:t>Koránu</w:t>
      </w:r>
      <w:r w:rsidR="08AB4E09">
        <w:fldChar w:fldCharType="begin"/>
      </w:r>
      <w:r w:rsidR="08AB4E09">
        <w:instrText xml:space="preserve"> XE "</w:instrText>
      </w:r>
      <w:r w:rsidR="08AB4E09" w:rsidRPr="009C3FDD">
        <w:instrText>Korán</w:instrText>
      </w:r>
      <w:r w:rsidR="08AB4E09">
        <w:instrText xml:space="preserve">" </w:instrText>
      </w:r>
      <w:r w:rsidR="08AB4E09">
        <w:fldChar w:fldCharType="end"/>
      </w:r>
      <w:r w:rsidR="08AB4E09" w:rsidRPr="00273106">
        <w:t xml:space="preserve"> </w:t>
      </w:r>
      <w:r w:rsidR="08AB4E09">
        <w:t>(kap. 2.3.3)</w:t>
      </w:r>
      <w:r w:rsidR="08AB4E09" w:rsidRPr="00273106">
        <w:t>.</w:t>
      </w:r>
      <w:r w:rsidR="08AB4E09">
        <w:t xml:space="preserve"> Souběžně s novým pojetím pravdy jako </w:t>
      </w:r>
      <w:r w:rsidR="08AB4E09" w:rsidRPr="00744F6B">
        <w:rPr>
          <w:i/>
        </w:rPr>
        <w:t>rectitudo</w:t>
      </w:r>
      <w:r w:rsidR="08AB4E09">
        <w:t xml:space="preserve"> a </w:t>
      </w:r>
      <w:r w:rsidR="08AB4E09" w:rsidRPr="0824290E">
        <w:rPr>
          <w:i/>
        </w:rPr>
        <w:t>certitudo</w:t>
      </w:r>
      <w:r w:rsidR="08AB4E09">
        <w:t xml:space="preserve"> </w:t>
      </w:r>
      <w:r w:rsidR="08AB4E09" w:rsidRPr="00273106">
        <w:t xml:space="preserve">vzniká v křesťanství teologický </w:t>
      </w:r>
      <w:r w:rsidR="08AB4E09">
        <w:t xml:space="preserve">koncept očistce. Církevní model kvantifikovaných sankcí byl dán ve formě právně kodifikovaných pokání za těžké zločiny. Nyní bylo třeba převést tuto ekonomiku pokání do očistcového diakosmu. Idea očistce vzniká ve stejné době jako </w:t>
      </w:r>
      <w:r w:rsidR="08AB4E09" w:rsidRPr="00273106">
        <w:rPr>
          <w:i/>
        </w:rPr>
        <w:t>Dialogus</w:t>
      </w:r>
      <w:r w:rsidR="08AB4E09" w:rsidRPr="00273106">
        <w:t xml:space="preserve"> </w:t>
      </w:r>
      <w:r w:rsidR="08AB4E09" w:rsidRPr="00273106">
        <w:rPr>
          <w:i/>
        </w:rPr>
        <w:t>Ratii et Everardi</w:t>
      </w:r>
      <w:r w:rsidR="08AB4E09" w:rsidRPr="009655C3">
        <w:t>, což</w:t>
      </w:r>
      <w:r w:rsidR="08AB4E09">
        <w:rPr>
          <w:i/>
        </w:rPr>
        <w:t xml:space="preserve"> </w:t>
      </w:r>
      <w:r w:rsidR="08AB4E09">
        <w:t xml:space="preserve">dosvědčuje dílo </w:t>
      </w:r>
      <w:r w:rsidR="08AB4E09" w:rsidRPr="000E5F0C">
        <w:rPr>
          <w:bCs/>
          <w:i/>
          <w:iCs/>
        </w:rPr>
        <w:t>Tractatus de Purgatorio Sancti Patricii</w:t>
      </w:r>
      <w:r w:rsidR="08AB4E09">
        <w:t xml:space="preserve"> (asi 1190). Historický význam tohoto spisu interpretoval Jacques Le Goff</w:t>
      </w:r>
      <w:r w:rsidR="08AB4E09">
        <w:fldChar w:fldCharType="begin"/>
      </w:r>
      <w:r w:rsidR="08AB4E09">
        <w:instrText xml:space="preserve"> XE "</w:instrText>
      </w:r>
      <w:r w:rsidR="08AB4E09" w:rsidRPr="080B3060">
        <w:instrText>Le Goff, J.</w:instrText>
      </w:r>
      <w:r w:rsidR="08AB4E09">
        <w:instrText xml:space="preserve">" </w:instrText>
      </w:r>
      <w:r w:rsidR="08AB4E09">
        <w:fldChar w:fldCharType="end"/>
      </w:r>
      <w:r w:rsidR="08AB4E09">
        <w:t xml:space="preserve"> v díle </w:t>
      </w:r>
      <w:r w:rsidR="08AB4E09" w:rsidRPr="000E5F0C">
        <w:rPr>
          <w:i/>
        </w:rPr>
        <w:t>La Naissance du Purgatoire</w:t>
      </w:r>
      <w:r w:rsidR="08AB4E09">
        <w:t> (1981). Hermeneutika objektivity oceňuje zejména analýzu nově vzniklých významů světa v 7. kapitole (</w:t>
      </w:r>
      <w:r w:rsidR="08AB4E09">
        <w:rPr>
          <w:i/>
        </w:rPr>
        <w:t>L</w:t>
      </w:r>
      <w:r w:rsidR="08AB4E09" w:rsidRPr="007E0EFB">
        <w:rPr>
          <w:rFonts w:eastAsia="Code2000"/>
          <w:i/>
        </w:rPr>
        <w:t>es nouveaux sch</w:t>
      </w:r>
      <w:r w:rsidR="08AB4E09" w:rsidRPr="007E0EFB">
        <w:rPr>
          <w:rFonts w:eastAsia="Code2000" w:hint="eastAsia"/>
          <w:i/>
        </w:rPr>
        <w:t>é</w:t>
      </w:r>
      <w:r w:rsidR="08AB4E09" w:rsidRPr="007E0EFB">
        <w:rPr>
          <w:rFonts w:eastAsia="Code2000"/>
          <w:i/>
        </w:rPr>
        <w:t>mas mentaux non binaires</w:t>
      </w:r>
      <w:r w:rsidR="08AB4E09">
        <w:rPr>
          <w:rFonts w:eastAsia="Code2000"/>
        </w:rPr>
        <w:t xml:space="preserve">), která souzní s předloženým výkladem </w:t>
      </w:r>
      <w:r w:rsidR="08AB4E09" w:rsidRPr="002B3755">
        <w:rPr>
          <w:rFonts w:eastAsia="Code2000"/>
          <w:i/>
        </w:rPr>
        <w:t>tertium ens</w:t>
      </w:r>
      <w:r w:rsidR="08AB4E09">
        <w:rPr>
          <w:rFonts w:eastAsia="Code2000"/>
        </w:rPr>
        <w:t xml:space="preserve">. </w:t>
      </w:r>
      <w:r w:rsidR="008C5B61">
        <w:rPr>
          <w:rFonts w:eastAsia="Code2000"/>
        </w:rPr>
        <w:t>Produkce metafyzických simuláker byla posílena</w:t>
      </w:r>
      <w:r w:rsidR="008C5B61" w:rsidRPr="008C5B61">
        <w:rPr>
          <w:rFonts w:eastAsia="Code2000"/>
        </w:rPr>
        <w:t xml:space="preserve"> </w:t>
      </w:r>
      <w:r w:rsidR="008C5B61">
        <w:rPr>
          <w:rFonts w:eastAsia="Code2000"/>
        </w:rPr>
        <w:t xml:space="preserve">zavedením </w:t>
      </w:r>
      <w:r w:rsidR="008C5B61" w:rsidRPr="008C5B61">
        <w:rPr>
          <w:rFonts w:eastAsia="Code2000"/>
        </w:rPr>
        <w:t>zdvojené reality.</w:t>
      </w:r>
      <w:r w:rsidR="008C5B61">
        <w:rPr>
          <w:rFonts w:eastAsia="Code2000"/>
        </w:rPr>
        <w:t xml:space="preserve"> </w:t>
      </w:r>
      <w:r w:rsidR="00EA0863" w:rsidRPr="00EA0863">
        <w:rPr>
          <w:rFonts w:eastAsia="Code2000"/>
        </w:rPr>
        <w:t>Matematizace světa navazovala na teologii očistce. Tato moderní ontoteologie určuje existenciální otázku věčné spásy a zatracení analo</w:t>
      </w:r>
      <w:r w:rsidR="00444BCA">
        <w:rPr>
          <w:rFonts w:eastAsia="Code2000"/>
        </w:rPr>
        <w:t xml:space="preserve">gickým a matematickým způsobem </w:t>
      </w:r>
      <w:r w:rsidR="00EA0863" w:rsidRPr="00EA0863">
        <w:rPr>
          <w:rFonts w:eastAsia="Code2000"/>
        </w:rPr>
        <w:t>z</w:t>
      </w:r>
      <w:r w:rsidR="00EA0863">
        <w:rPr>
          <w:rFonts w:eastAsia="Code2000"/>
        </w:rPr>
        <w:t>aloženým na principu „</w:t>
      </w:r>
      <w:r w:rsidR="00EA0863" w:rsidRPr="00EA0863">
        <w:rPr>
          <w:rFonts w:eastAsia="Code2000"/>
          <w:i/>
        </w:rPr>
        <w:t>discerete videamus</w:t>
      </w:r>
      <w:r w:rsidR="00EA0863">
        <w:rPr>
          <w:rFonts w:eastAsia="Code2000"/>
        </w:rPr>
        <w:t xml:space="preserve">“. </w:t>
      </w:r>
      <w:r w:rsidR="08AB4E09" w:rsidRPr="00273106">
        <w:t xml:space="preserve">Abstraktní člověk </w:t>
      </w:r>
      <w:r w:rsidR="08AB4E09">
        <w:t xml:space="preserve">začal fungovat </w:t>
      </w:r>
      <w:r w:rsidR="08AB4E09" w:rsidRPr="00273106">
        <w:t>v účetním pojetí kupecké mentality vrcholného středověku</w:t>
      </w:r>
      <w:r w:rsidR="00761127">
        <w:t xml:space="preserve">. Očistcová </w:t>
      </w:r>
      <w:r w:rsidR="00761127">
        <w:lastRenderedPageBreak/>
        <w:t xml:space="preserve">struktura </w:t>
      </w:r>
      <w:r w:rsidR="08AB4E09" w:rsidRPr="00273106">
        <w:t xml:space="preserve">zadostiučinění </w:t>
      </w:r>
      <w:r w:rsidR="08AB4E09">
        <w:t xml:space="preserve">a </w:t>
      </w:r>
      <w:r w:rsidR="00761127">
        <w:t xml:space="preserve">obchodovatelných </w:t>
      </w:r>
      <w:r w:rsidR="08AB4E09">
        <w:t xml:space="preserve">odpustkových </w:t>
      </w:r>
      <w:r w:rsidR="00761127">
        <w:t>a později kapitálových jistin urychlila vývoj sekulární ekonomiky</w:t>
      </w:r>
      <w:r w:rsidR="00794A81">
        <w:t xml:space="preserve">. Matematika byla exportována </w:t>
      </w:r>
      <w:r w:rsidR="08AB4E09" w:rsidRPr="00273106">
        <w:t xml:space="preserve">i do dříve zcela odděleného dění svrchované boží milosti a soudu, čímž si </w:t>
      </w:r>
      <w:r w:rsidR="00794A81">
        <w:t xml:space="preserve">moderní subjekt </w:t>
      </w:r>
      <w:r w:rsidR="08AB4E09" w:rsidRPr="00273106">
        <w:t>zajistil spásu téměř za všech okolností.</w:t>
      </w:r>
      <w:r w:rsidR="08AB4E09">
        <w:t xml:space="preserve"> Idea </w:t>
      </w:r>
      <w:r w:rsidR="00B71025">
        <w:t xml:space="preserve">kapitalizovaného </w:t>
      </w:r>
      <w:r w:rsidR="08AB4E09">
        <w:t xml:space="preserve">očistce představuje </w:t>
      </w:r>
      <w:r w:rsidR="08AB4E09" w:rsidRPr="00F96CD8">
        <w:rPr>
          <w:i/>
        </w:rPr>
        <w:t>Lichtu</w:t>
      </w:r>
      <w:r w:rsidR="08AB4E09">
        <w:rPr>
          <w:i/>
        </w:rPr>
        <w:t>n</w:t>
      </w:r>
      <w:r w:rsidR="08AB4E09" w:rsidRPr="00F96CD8">
        <w:rPr>
          <w:i/>
        </w:rPr>
        <w:t>g</w:t>
      </w:r>
      <w:r w:rsidR="08AB4E09">
        <w:t xml:space="preserve"> západní sekularizace</w:t>
      </w:r>
      <w:r w:rsidR="08AB4E09">
        <w:fldChar w:fldCharType="begin"/>
      </w:r>
      <w:r w:rsidR="08AB4E09">
        <w:instrText xml:space="preserve"> XE "</w:instrText>
      </w:r>
      <w:r w:rsidR="08AB4E09" w:rsidRPr="00780AD2">
        <w:rPr>
          <w:i/>
        </w:rPr>
        <w:instrText>Lichtung</w:instrText>
      </w:r>
      <w:r w:rsidR="08AB4E09" w:rsidRPr="00780AD2">
        <w:instrText>:sekularizace</w:instrText>
      </w:r>
      <w:r w:rsidR="08AB4E09">
        <w:instrText xml:space="preserve">" </w:instrText>
      </w:r>
      <w:r w:rsidR="08AB4E09">
        <w:fldChar w:fldCharType="end"/>
      </w:r>
      <w:r w:rsidR="08AB4E09">
        <w:t xml:space="preserve">. Její </w:t>
      </w:r>
      <w:r w:rsidR="00F574A3">
        <w:t xml:space="preserve">poslední </w:t>
      </w:r>
      <w:r w:rsidR="08AB4E09">
        <w:t xml:space="preserve">pravda je dána v nutné a nevyhnutelné smrti boha </w:t>
      </w:r>
      <w:r w:rsidR="08AB4E09" w:rsidRPr="002C4067">
        <w:rPr>
          <w:i/>
        </w:rPr>
        <w:t>Modernorum</w:t>
      </w:r>
      <w:r w:rsidR="00CC75F3">
        <w:t xml:space="preserve">. Ale mrtvý bůh moderny byl rychle nahrazen matematickými burzovními deriváty. </w:t>
      </w:r>
      <w:r w:rsidR="00CC75F3" w:rsidRPr="00CC75F3">
        <w:rPr>
          <w:i/>
        </w:rPr>
        <w:t>Plus ça change, plus c</w:t>
      </w:r>
      <w:r w:rsidR="00CC75F3" w:rsidRPr="00CC75F3">
        <w:rPr>
          <w:rFonts w:cs="Calibri"/>
          <w:i/>
        </w:rPr>
        <w:t>’</w:t>
      </w:r>
      <w:r w:rsidR="00CC75F3" w:rsidRPr="00CC75F3">
        <w:rPr>
          <w:i/>
        </w:rPr>
        <w:t>est la même chose</w:t>
      </w:r>
      <w:r w:rsidR="00CC75F3">
        <w:t>. M</w:t>
      </w:r>
      <w:r w:rsidR="08AB4E09">
        <w:t xml:space="preserve">atematická ekonomie zásluh </w:t>
      </w:r>
      <w:r w:rsidR="00CC75F3">
        <w:t xml:space="preserve">je trvale </w:t>
      </w:r>
      <w:r w:rsidR="08AB4E09">
        <w:t xml:space="preserve">daná kupeckou nutností a výsledným vykoupením bez </w:t>
      </w:r>
      <w:r w:rsidR="00C15959">
        <w:t xml:space="preserve">moderního </w:t>
      </w:r>
      <w:r w:rsidR="08AB4E09">
        <w:t xml:space="preserve">boha. Očistcová mentalita </w:t>
      </w:r>
      <w:r w:rsidR="00CC75F3">
        <w:t>současné epochy</w:t>
      </w:r>
      <w:r w:rsidR="08AB4E09">
        <w:fldChar w:fldCharType="begin"/>
      </w:r>
      <w:r w:rsidR="08AB4E09">
        <w:instrText xml:space="preserve"> XE "</w:instrText>
      </w:r>
      <w:r w:rsidR="08AB4E09" w:rsidRPr="00DB42D5">
        <w:instrText>sekularizace</w:instrText>
      </w:r>
      <w:r w:rsidR="08AB4E09">
        <w:instrText xml:space="preserve">" </w:instrText>
      </w:r>
      <w:r w:rsidR="08AB4E09">
        <w:fldChar w:fldCharType="end"/>
      </w:r>
      <w:r w:rsidR="00884BEF">
        <w:t xml:space="preserve"> se skrývá ve virtuální ekonomii</w:t>
      </w:r>
      <w:r w:rsidR="08AB4E09">
        <w:t xml:space="preserve"> mysticky pojatého globálního dluhu</w:t>
      </w:r>
      <w:r w:rsidR="0068075C">
        <w:t xml:space="preserve">. Ten dostal </w:t>
      </w:r>
      <w:r w:rsidR="08AB4E09">
        <w:t>charakter absolutně daného simulákra</w:t>
      </w:r>
      <w:r w:rsidR="0068075C">
        <w:t xml:space="preserve"> a </w:t>
      </w:r>
      <w:r w:rsidR="08AB4E09">
        <w:t>nič</w:t>
      </w:r>
      <w:r w:rsidR="0068075C">
        <w:t xml:space="preserve">í </w:t>
      </w:r>
      <w:r w:rsidR="08AB4E09">
        <w:t>cel</w:t>
      </w:r>
      <w:r w:rsidR="0068075C">
        <w:t>é státy</w:t>
      </w:r>
      <w:r w:rsidR="08AB4E09">
        <w:t>.</w:t>
      </w:r>
      <w:r w:rsidR="08AB4E09" w:rsidRPr="086B1678">
        <w:t xml:space="preserve"> </w:t>
      </w:r>
      <w:r w:rsidR="08AB4E09">
        <w:t>Dnešní ekonomický nihilismus provozuje iracionální očistec burzovních derivátů</w:t>
      </w:r>
      <w:r w:rsidR="08AB4E09">
        <w:fldChar w:fldCharType="begin"/>
      </w:r>
      <w:r w:rsidR="08AB4E09">
        <w:instrText xml:space="preserve"> XE "</w:instrText>
      </w:r>
      <w:r w:rsidR="08AB4E09" w:rsidRPr="089E7504">
        <w:instrText>finanční deriváty</w:instrText>
      </w:r>
      <w:r w:rsidR="08AB4E09">
        <w:instrText xml:space="preserve">" </w:instrText>
      </w:r>
      <w:r w:rsidR="08AB4E09">
        <w:fldChar w:fldCharType="end"/>
      </w:r>
      <w:r w:rsidR="00E74FCD">
        <w:t xml:space="preserve">. Po smrti moderního boha zasedli na uprázdněný trůn současní </w:t>
      </w:r>
      <w:r w:rsidR="00E74FCD">
        <w:rPr>
          <w:i/>
        </w:rPr>
        <w:t>ban</w:t>
      </w:r>
      <w:r w:rsidR="00E74FCD" w:rsidRPr="08D9115E">
        <w:rPr>
          <w:i/>
        </w:rPr>
        <w:t>k</w:t>
      </w:r>
      <w:r w:rsidR="00E74FCD">
        <w:rPr>
          <w:i/>
        </w:rPr>
        <w:t>s</w:t>
      </w:r>
      <w:r w:rsidR="00E74FCD" w:rsidRPr="08D9115E">
        <w:rPr>
          <w:i/>
        </w:rPr>
        <w:t>ters</w:t>
      </w:r>
      <w:r w:rsidR="00E74FCD">
        <w:t xml:space="preserve">. </w:t>
      </w:r>
      <w:r w:rsidR="00CA5FC4" w:rsidRPr="00CA5FC4">
        <w:t xml:space="preserve">Tato skupina mimozemských subjektů spravuje ekonomickou sféru virtuálního </w:t>
      </w:r>
      <w:r w:rsidR="00CA5FC4" w:rsidRPr="00CA5FC4">
        <w:rPr>
          <w:i/>
        </w:rPr>
        <w:t>tertium ens</w:t>
      </w:r>
      <w:r w:rsidR="00CA5FC4" w:rsidRPr="00CA5FC4">
        <w:t xml:space="preserve"> a dává své digitální rozhřešení zbytku normálně žijícího lidstva. Ti, kdo neprojdou očistcem neoliberálního </w:t>
      </w:r>
      <w:r w:rsidR="00816D49">
        <w:t xml:space="preserve">dolarového </w:t>
      </w:r>
      <w:r w:rsidR="00CA5FC4" w:rsidRPr="00CA5FC4">
        <w:t>bankovnictví, sklidí peklo hybridní války.</w:t>
      </w:r>
      <w:r w:rsidR="00CA5FC4">
        <w:t xml:space="preserve"> </w:t>
      </w:r>
      <w:r w:rsidR="004976AC" w:rsidRPr="004976AC">
        <w:t xml:space="preserve">Spor aristoteliků s představiteli logických škol sdružených ve školách Nominales ukázal, že na latinském Západě vybaveném očistnou mentalitou přišlo určení </w:t>
      </w:r>
      <w:r w:rsidR="00D3590E">
        <w:t xml:space="preserve">jsoucna podle </w:t>
      </w:r>
      <w:r w:rsidR="004976AC" w:rsidRPr="004976AC">
        <w:t>Avicennovy komitace v pravou chvíli.</w:t>
      </w:r>
      <w:r w:rsidR="004976AC">
        <w:t xml:space="preserve"> </w:t>
      </w:r>
      <w:r w:rsidR="00CB3E4F">
        <w:rPr>
          <w:rStyle w:val="Zkladntext158dkovn0pt"/>
          <w:color w:val="auto"/>
          <w:spacing w:val="0"/>
          <w:sz w:val="24"/>
          <w:lang w:val="cs-CZ"/>
        </w:rPr>
        <w:t>Abélard</w:t>
      </w:r>
      <w:r w:rsidR="08091DE4" w:rsidRPr="00273106">
        <w:rPr>
          <w:rStyle w:val="Zkladntext158dkovn0pt"/>
          <w:color w:val="auto"/>
          <w:spacing w:val="0"/>
          <w:sz w:val="24"/>
          <w:lang w:val="cs-CZ"/>
        </w:rPr>
        <w:t xml:space="preserve"> </w:t>
      </w:r>
      <w:r w:rsidR="08091DE4">
        <w:rPr>
          <w:rStyle w:val="Zkladntext158dkovn0pt"/>
          <w:color w:val="auto"/>
          <w:spacing w:val="0"/>
          <w:sz w:val="24"/>
          <w:lang w:val="cs-CZ"/>
        </w:rPr>
        <w:t>a jeho škola věřila na zdravý rozum vědecky zkoumající reálný svět a nikoliv na mytopoetiku</w:t>
      </w:r>
      <w:r w:rsidR="08091DE4">
        <w:fldChar w:fldCharType="begin"/>
      </w:r>
      <w:r w:rsidR="08091DE4">
        <w:instrText xml:space="preserve"> XE "</w:instrText>
      </w:r>
      <w:r w:rsidR="08091DE4" w:rsidRPr="08FB3CFA">
        <w:instrText>mytopoiesis</w:instrText>
      </w:r>
      <w:r w:rsidR="08091DE4">
        <w:instrText xml:space="preserve">" </w:instrText>
      </w:r>
      <w:r w:rsidR="08091DE4">
        <w:fldChar w:fldCharType="end"/>
      </w:r>
      <w:r w:rsidR="08091DE4">
        <w:rPr>
          <w:rStyle w:val="Zkladntext158dkovn0pt"/>
          <w:color w:val="auto"/>
          <w:spacing w:val="0"/>
          <w:sz w:val="24"/>
          <w:lang w:val="cs-CZ"/>
        </w:rPr>
        <w:t xml:space="preserve"> moderny. </w:t>
      </w:r>
      <w:r w:rsidR="08AB4E09">
        <w:t xml:space="preserve">Bůh </w:t>
      </w:r>
      <w:r w:rsidR="08AB4E09" w:rsidRPr="089D34C1">
        <w:rPr>
          <w:i/>
        </w:rPr>
        <w:t>Modernorum</w:t>
      </w:r>
      <w:r w:rsidR="08AB4E09">
        <w:t xml:space="preserve"> dostal na začátku 13. století rysy laskavého a neomylného účetního s vyhraněnou kupeckou mentalitou, z něhož Olivi odvodí první formu kapitalistické ekonomie. N</w:t>
      </w:r>
      <w:r w:rsidR="00347915" w:rsidRPr="00273106">
        <w:rPr>
          <w:lang w:eastAsia="en-US"/>
        </w:rPr>
        <w:t xml:space="preserve">ásledující matrice ukáže, jak se </w:t>
      </w:r>
      <w:r w:rsidR="00B164AA" w:rsidRPr="00273106">
        <w:rPr>
          <w:lang w:eastAsia="en-US"/>
        </w:rPr>
        <w:t>znovu otevřel</w:t>
      </w:r>
      <w:r w:rsidR="00347915" w:rsidRPr="00273106">
        <w:rPr>
          <w:lang w:eastAsia="en-US"/>
        </w:rPr>
        <w:t>a otázka</w:t>
      </w:r>
      <w:r w:rsidR="08B741B4">
        <w:rPr>
          <w:lang w:eastAsia="en-US"/>
        </w:rPr>
        <w:t xml:space="preserve"> Avicennovy metafyzické </w:t>
      </w:r>
      <w:r w:rsidR="00B164AA" w:rsidRPr="00273106">
        <w:rPr>
          <w:i/>
          <w:lang w:eastAsia="en-US"/>
        </w:rPr>
        <w:t>obscurity</w:t>
      </w:r>
      <w:r w:rsidR="00B86F73">
        <w:rPr>
          <w:i/>
          <w:lang w:eastAsia="en-US"/>
        </w:rPr>
        <w:fldChar w:fldCharType="begin"/>
      </w:r>
      <w:r w:rsidR="00B86F73">
        <w:instrText xml:space="preserve"> XE "</w:instrText>
      </w:r>
      <w:r w:rsidR="00B86F73" w:rsidRPr="000E608A">
        <w:instrText>zatmění:substance</w:instrText>
      </w:r>
      <w:r w:rsidR="00B86F73">
        <w:instrText xml:space="preserve">" </w:instrText>
      </w:r>
      <w:r w:rsidR="00B86F73">
        <w:rPr>
          <w:i/>
          <w:lang w:eastAsia="en-US"/>
        </w:rPr>
        <w:fldChar w:fldCharType="end"/>
      </w:r>
      <w:r w:rsidR="00347915" w:rsidRPr="00273106">
        <w:rPr>
          <w:lang w:eastAsia="en-US"/>
        </w:rPr>
        <w:t>, kterou k</w:t>
      </w:r>
      <w:r w:rsidR="00B164AA" w:rsidRPr="00273106">
        <w:rPr>
          <w:lang w:eastAsia="en-US"/>
        </w:rPr>
        <w:t>ritizova</w:t>
      </w:r>
      <w:r w:rsidR="00347915" w:rsidRPr="00273106">
        <w:rPr>
          <w:lang w:eastAsia="en-US"/>
        </w:rPr>
        <w:t>l</w:t>
      </w:r>
      <w:r w:rsidR="002F35CF">
        <w:rPr>
          <w:lang w:eastAsia="en-US"/>
        </w:rPr>
        <w:t xml:space="preserve"> Averroe</w:t>
      </w:r>
      <w:r w:rsidR="00B164AA" w:rsidRPr="00273106">
        <w:rPr>
          <w:lang w:eastAsia="en-US"/>
        </w:rPr>
        <w:t>s</w:t>
      </w:r>
      <w:r w:rsidR="00563977">
        <w:rPr>
          <w:lang w:eastAsia="en-US"/>
        </w:rPr>
        <w:t xml:space="preserve"> </w:t>
      </w:r>
      <w:r w:rsidR="00563977">
        <w:rPr>
          <w:szCs w:val="24"/>
          <w:lang w:val="de-DE"/>
        </w:rPr>
        <w:t>(OBJ I, Kap. 2.4.1)</w:t>
      </w:r>
      <w:r w:rsidR="00B164AA" w:rsidRPr="00273106">
        <w:rPr>
          <w:lang w:eastAsia="en-US"/>
        </w:rPr>
        <w:t>.</w:t>
      </w:r>
      <w:r w:rsidR="00D53EB8" w:rsidRPr="00273106">
        <w:t xml:space="preserve"> Nový zvrat ve vývoji objektivního vidění světa nastal v momentu, kdy na latinský Z</w:t>
      </w:r>
      <w:r w:rsidR="002F35CF">
        <w:t>ápad přišly Averroe</w:t>
      </w:r>
      <w:r w:rsidR="003F7962">
        <w:t>s</w:t>
      </w:r>
      <w:r w:rsidR="002F35CF">
        <w:t>ov</w:t>
      </w:r>
      <w:r w:rsidR="003F7962">
        <w:t>y spisy</w:t>
      </w:r>
      <w:r w:rsidR="00D53EB8" w:rsidRPr="00273106">
        <w:t>.</w:t>
      </w:r>
    </w:p>
    <w:p w14:paraId="59DACAA7" w14:textId="77777777" w:rsidR="000415D1" w:rsidRPr="085F33A9" w:rsidRDefault="001C4F8A" w:rsidP="085F33A9">
      <w:pPr>
        <w:pStyle w:val="Nadpis1"/>
        <w:rPr>
          <w:rStyle w:val="Zkladntext158dkovn0pt"/>
          <w:color w:val="auto"/>
          <w:spacing w:val="0"/>
          <w:sz w:val="26"/>
          <w:szCs w:val="20"/>
          <w:shd w:val="clear" w:color="auto" w:fill="auto"/>
          <w:lang w:val="cs-CZ"/>
        </w:rPr>
      </w:pPr>
      <w:r>
        <w:rPr>
          <w:rStyle w:val="Zkladntext158dkovn0pt"/>
          <w:color w:val="auto"/>
          <w:spacing w:val="0"/>
          <w:sz w:val="24"/>
          <w:lang w:val="cs-CZ"/>
        </w:rPr>
        <w:br w:type="page"/>
      </w:r>
      <w:bookmarkStart w:id="39" w:name="_Toc487234294"/>
      <w:bookmarkStart w:id="40" w:name="_Toc12558301"/>
      <w:bookmarkStart w:id="41" w:name="_Toc160449313"/>
      <w:r w:rsidR="08D20D28">
        <w:rPr>
          <w:rStyle w:val="Zkladntext158dkovn0pt"/>
          <w:color w:val="auto"/>
          <w:spacing w:val="0"/>
          <w:sz w:val="26"/>
          <w:lang w:val="cs-CZ"/>
        </w:rPr>
        <w:lastRenderedPageBreak/>
        <w:t>2</w:t>
      </w:r>
      <w:r w:rsidR="00B14EDC" w:rsidRPr="085F33A9">
        <w:rPr>
          <w:rStyle w:val="Zkladntext158dkovn0pt"/>
          <w:color w:val="auto"/>
          <w:spacing w:val="0"/>
          <w:sz w:val="26"/>
          <w:lang w:val="x-none"/>
        </w:rPr>
        <w:t xml:space="preserve">. </w:t>
      </w:r>
      <w:r w:rsidR="00221596" w:rsidRPr="085F33A9">
        <w:rPr>
          <w:rStyle w:val="Zkladntext158dkovn0pt"/>
          <w:color w:val="auto"/>
          <w:spacing w:val="0"/>
          <w:sz w:val="26"/>
          <w:lang w:val="x-none"/>
        </w:rPr>
        <w:t xml:space="preserve">Vznik prvního </w:t>
      </w:r>
      <w:r w:rsidR="002E4DA4" w:rsidRPr="085F33A9">
        <w:rPr>
          <w:rStyle w:val="Zkladntext158dkovn0pt"/>
          <w:color w:val="auto"/>
          <w:spacing w:val="0"/>
          <w:sz w:val="26"/>
          <w:lang w:val="x-none"/>
        </w:rPr>
        <w:t>averroismu</w:t>
      </w:r>
      <w:r w:rsidR="00CF3DD7" w:rsidRPr="085F33A9">
        <w:rPr>
          <w:rStyle w:val="Zkladntext158dkovn0pt"/>
          <w:color w:val="auto"/>
          <w:spacing w:val="0"/>
          <w:sz w:val="26"/>
          <w:lang w:val="x-none"/>
        </w:rPr>
        <w:t xml:space="preserve"> (</w:t>
      </w:r>
      <w:r w:rsidR="08D20D28">
        <w:rPr>
          <w:rStyle w:val="Zkladntext158dkovn0pt"/>
          <w:color w:val="auto"/>
          <w:spacing w:val="0"/>
          <w:sz w:val="26"/>
          <w:lang w:val="x-none"/>
        </w:rPr>
        <w:t xml:space="preserve">Matrice </w:t>
      </w:r>
      <w:r w:rsidR="00B14EDC" w:rsidRPr="085F33A9">
        <w:rPr>
          <w:rStyle w:val="Zkladntext158dkovn0pt"/>
          <w:color w:val="auto"/>
          <w:spacing w:val="0"/>
          <w:sz w:val="26"/>
          <w:lang w:val="x-none"/>
        </w:rPr>
        <w:t>II</w:t>
      </w:r>
      <w:r w:rsidR="00CF3DD7" w:rsidRPr="085F33A9">
        <w:rPr>
          <w:rStyle w:val="Zkladntext158dkovn0pt"/>
          <w:color w:val="auto"/>
          <w:spacing w:val="0"/>
          <w:sz w:val="26"/>
          <w:lang w:val="x-none"/>
        </w:rPr>
        <w:t>)</w:t>
      </w:r>
      <w:bookmarkEnd w:id="39"/>
      <w:bookmarkEnd w:id="40"/>
      <w:bookmarkEnd w:id="41"/>
      <w:r w:rsidR="085F33A9">
        <w:rPr>
          <w:rStyle w:val="Zkladntext158dkovn0pt"/>
          <w:color w:val="auto"/>
          <w:spacing w:val="0"/>
          <w:sz w:val="26"/>
          <w:lang w:val="x-none"/>
        </w:rPr>
        <w:t xml:space="preserve"> </w:t>
      </w:r>
    </w:p>
    <w:p w14:paraId="0A55F04F" w14:textId="77777777" w:rsidR="00BB0EA0" w:rsidRDefault="002A6FE0" w:rsidP="08AB4E09">
      <w:r>
        <w:t>První m</w:t>
      </w:r>
      <w:r w:rsidRPr="00273106">
        <w:t xml:space="preserve">atrice </w:t>
      </w:r>
      <w:r>
        <w:t xml:space="preserve">objektivity </w:t>
      </w:r>
      <w:r w:rsidRPr="00273106">
        <w:t xml:space="preserve">vztažená k vývoji latinského Západu </w:t>
      </w:r>
      <w:r w:rsidR="00AE1CEC">
        <w:t xml:space="preserve">vzala hermeneutickou triádu </w:t>
      </w:r>
      <w:r>
        <w:t>dějinnost</w:t>
      </w:r>
      <w:r w:rsidR="08834949">
        <w:t>i</w:t>
      </w:r>
      <w:r>
        <w:t xml:space="preserve">, </w:t>
      </w:r>
      <w:r w:rsidR="086E6854">
        <w:t>dějin</w:t>
      </w:r>
      <w:r w:rsidR="08834949">
        <w:t xml:space="preserve"> a </w:t>
      </w:r>
      <w:r w:rsidRPr="00273106">
        <w:t>historie</w:t>
      </w:r>
      <w:r w:rsidR="00AE1CEC">
        <w:t xml:space="preserve"> a na tomto základě rozebírá hlavní gigantomachii o </w:t>
      </w:r>
      <w:r>
        <w:t>substanci</w:t>
      </w:r>
      <w:r w:rsidR="00A97556">
        <w:t xml:space="preserve"> mezi neoplatonismem a aristotelismem</w:t>
      </w:r>
      <w:r w:rsidR="00AE1CEC">
        <w:t xml:space="preserve"> na latinském Západě</w:t>
      </w:r>
      <w:r>
        <w:fldChar w:fldCharType="begin"/>
      </w:r>
      <w:r>
        <w:instrText xml:space="preserve"> XE "</w:instrText>
      </w:r>
      <w:r w:rsidRPr="00BD7B9E">
        <w:instrText>hermeneutická triáda</w:instrText>
      </w:r>
      <w:r>
        <w:instrText xml:space="preserve">" </w:instrText>
      </w:r>
      <w:r>
        <w:fldChar w:fldCharType="end"/>
      </w:r>
      <w:r w:rsidRPr="00273106">
        <w:t>.</w:t>
      </w:r>
      <w:r>
        <w:t xml:space="preserve"> </w:t>
      </w:r>
      <w:r w:rsidR="00F436D7">
        <w:t xml:space="preserve">Import Aristotelova korpusu na latinský Západ proběhl v několika vlnách. </w:t>
      </w:r>
      <w:r w:rsidR="00A22A5E">
        <w:t>S</w:t>
      </w:r>
      <w:r w:rsidR="00A22A5E" w:rsidRPr="00273106">
        <w:t xml:space="preserve">pis </w:t>
      </w:r>
      <w:r w:rsidR="00A22A5E">
        <w:rPr>
          <w:i/>
        </w:rPr>
        <w:t>De anima</w:t>
      </w:r>
      <w:r w:rsidR="08E843C8">
        <w:t xml:space="preserve">, </w:t>
      </w:r>
      <w:r w:rsidR="08E843C8">
        <w:rPr>
          <w:i/>
        </w:rPr>
        <w:t>Fyzika</w:t>
      </w:r>
      <w:r w:rsidR="08E843C8">
        <w:t xml:space="preserve">, </w:t>
      </w:r>
      <w:r w:rsidR="08E843C8">
        <w:rPr>
          <w:i/>
        </w:rPr>
        <w:t>Metafyzika</w:t>
      </w:r>
      <w:r w:rsidR="00A22A5E" w:rsidRPr="00273106">
        <w:t xml:space="preserve"> a soubor </w:t>
      </w:r>
      <w:r w:rsidR="00A22A5E" w:rsidRPr="00273106">
        <w:rPr>
          <w:i/>
        </w:rPr>
        <w:t>Parva naturalia</w:t>
      </w:r>
      <w:r w:rsidR="00A22A5E" w:rsidRPr="00273106">
        <w:t xml:space="preserve"> byl znám na Zá</w:t>
      </w:r>
      <w:r w:rsidR="08C23C0B">
        <w:t>padě už od 2. poloviny 12. století</w:t>
      </w:r>
      <w:r w:rsidR="08A66E10">
        <w:t>, například z překladů</w:t>
      </w:r>
      <w:r w:rsidR="00A22A5E" w:rsidRPr="00273106">
        <w:t xml:space="preserve"> Jakuba z Benátek</w:t>
      </w:r>
      <w:r w:rsidR="00A22A5E">
        <w:fldChar w:fldCharType="begin"/>
      </w:r>
      <w:r w:rsidR="00A22A5E">
        <w:instrText xml:space="preserve"> XE "</w:instrText>
      </w:r>
      <w:r w:rsidR="00A22A5E" w:rsidRPr="00B10E01">
        <w:instrText>Jakub z Benátek</w:instrText>
      </w:r>
      <w:r w:rsidR="00A22A5E">
        <w:instrText xml:space="preserve">" </w:instrText>
      </w:r>
      <w:r w:rsidR="00A22A5E">
        <w:fldChar w:fldCharType="end"/>
      </w:r>
      <w:r w:rsidR="00A22A5E" w:rsidRPr="00273106">
        <w:t xml:space="preserve"> (</w:t>
      </w:r>
      <w:r w:rsidR="00A22A5E" w:rsidRPr="00273106">
        <w:rPr>
          <w:color w:val="000000"/>
        </w:rPr>
        <w:t>Iacobus Veneticus Grecus, asi †1147).</w:t>
      </w:r>
      <w:r w:rsidR="00A22A5E" w:rsidRPr="00273106">
        <w:rPr>
          <w:lang w:eastAsia="en-US"/>
        </w:rPr>
        <w:t xml:space="preserve"> Zhruba ve stejné době začínají na Západ přicházet i spisy Avicenny přeložené do latiny. </w:t>
      </w:r>
      <w:r w:rsidR="00A22A5E" w:rsidRPr="00273106">
        <w:t>Avicennův korpus přijali magistři na začín</w:t>
      </w:r>
      <w:r w:rsidR="00A22A5E">
        <w:t xml:space="preserve">ající Pařížské univerzitě </w:t>
      </w:r>
      <w:r w:rsidR="00A22A5E" w:rsidRPr="00273106">
        <w:t>v latin</w:t>
      </w:r>
      <w:r w:rsidR="002A7A6D">
        <w:t>ských překladech Toledské školy</w:t>
      </w:r>
      <w:r w:rsidR="00A22A5E" w:rsidRPr="00273106">
        <w:t>.</w:t>
      </w:r>
      <w:r w:rsidR="00A22A5E">
        <w:t xml:space="preserve"> Avicennou objevená objektivita </w:t>
      </w:r>
      <w:r w:rsidR="00E37C7B">
        <w:t>rozšířila</w:t>
      </w:r>
      <w:r w:rsidR="00A22A5E" w:rsidRPr="00273106">
        <w:t xml:space="preserve"> </w:t>
      </w:r>
      <w:r w:rsidR="00E37C7B">
        <w:t>a doplnila</w:t>
      </w:r>
      <w:r w:rsidR="00A22A5E">
        <w:t xml:space="preserve"> již existující neoplato</w:t>
      </w:r>
      <w:r w:rsidR="00A22A5E" w:rsidRPr="00273106">
        <w:t>nské výklady dané na katedrálníc</w:t>
      </w:r>
      <w:r w:rsidR="083F4685">
        <w:t xml:space="preserve">h školách, například v Chartres, v Laonu a </w:t>
      </w:r>
      <w:r w:rsidR="00A22A5E" w:rsidRPr="00273106">
        <w:t>v Remeši.</w:t>
      </w:r>
      <w:r w:rsidR="00A22A5E">
        <w:t xml:space="preserve"> </w:t>
      </w:r>
      <w:r w:rsidR="005A6D84" w:rsidRPr="00273106">
        <w:rPr>
          <w:rStyle w:val="Zkladntext158dkovn0pt"/>
          <w:color w:val="auto"/>
          <w:spacing w:val="0"/>
          <w:sz w:val="24"/>
          <w:lang w:val="cs-CZ"/>
        </w:rPr>
        <w:t xml:space="preserve">Výsledkem západního usmíření </w:t>
      </w:r>
      <w:r w:rsidR="086E6854">
        <w:rPr>
          <w:rStyle w:val="Zkladntext158dkovn0pt"/>
          <w:color w:val="auto"/>
          <w:spacing w:val="0"/>
          <w:sz w:val="24"/>
          <w:lang w:val="cs-CZ"/>
        </w:rPr>
        <w:t>Aristotela a Plato</w:t>
      </w:r>
      <w:r w:rsidR="086E6854" w:rsidRPr="00273106">
        <w:rPr>
          <w:rStyle w:val="Zkladntext158dkovn0pt"/>
          <w:color w:val="auto"/>
          <w:spacing w:val="0"/>
          <w:sz w:val="24"/>
          <w:lang w:val="cs-CZ"/>
        </w:rPr>
        <w:t xml:space="preserve">na předaného falsafou </w:t>
      </w:r>
      <w:r w:rsidR="005A6D84" w:rsidRPr="00273106">
        <w:rPr>
          <w:rStyle w:val="Zkladntext158dkovn0pt"/>
          <w:color w:val="auto"/>
          <w:spacing w:val="0"/>
          <w:sz w:val="24"/>
          <w:lang w:val="cs-CZ"/>
        </w:rPr>
        <w:t>v prostředí křesťanského neoplatonismu a aristotelismu byla nová</w:t>
      </w:r>
      <w:r w:rsidR="005A6D84">
        <w:rPr>
          <w:rStyle w:val="Zkladntext158dkovn0pt"/>
          <w:color w:val="auto"/>
          <w:spacing w:val="0"/>
          <w:sz w:val="24"/>
          <w:lang w:val="cs-CZ"/>
        </w:rPr>
        <w:t xml:space="preserve"> produkce jsoucen třetího druhu, kterou zahájil </w:t>
      </w:r>
      <w:r w:rsidR="005A6D84" w:rsidRPr="00273106">
        <w:rPr>
          <w:rStyle w:val="Zkladntext158dkovn0pt"/>
          <w:color w:val="auto"/>
          <w:spacing w:val="0"/>
          <w:sz w:val="24"/>
          <w:lang w:val="cs-CZ"/>
        </w:rPr>
        <w:t xml:space="preserve">Gilbert </w:t>
      </w:r>
      <w:r w:rsidR="002239AA">
        <w:rPr>
          <w:rStyle w:val="Zkladntext158dkovn0pt"/>
          <w:color w:val="auto"/>
          <w:spacing w:val="0"/>
          <w:sz w:val="24"/>
          <w:lang w:val="cs-CZ"/>
        </w:rPr>
        <w:t>de La Porrée</w:t>
      </w:r>
      <w:r w:rsidR="08DB6B48">
        <w:rPr>
          <w:rStyle w:val="Zkladntext158dkovn0pt"/>
          <w:color w:val="auto"/>
          <w:spacing w:val="0"/>
          <w:sz w:val="24"/>
          <w:lang w:val="cs-CZ"/>
        </w:rPr>
        <w:t xml:space="preserve"> a po něm porretáni a škola </w:t>
      </w:r>
      <w:r w:rsidR="08DB6B48" w:rsidRPr="08DB6B48">
        <w:rPr>
          <w:rStyle w:val="Zkladntext158dkovn0pt"/>
          <w:i/>
          <w:color w:val="auto"/>
          <w:spacing w:val="0"/>
          <w:sz w:val="24"/>
          <w:lang w:val="cs-CZ"/>
        </w:rPr>
        <w:t>Nominales</w:t>
      </w:r>
      <w:r w:rsidR="005A6D84">
        <w:rPr>
          <w:rStyle w:val="Zkladntext158dkovn0pt"/>
          <w:color w:val="auto"/>
          <w:spacing w:val="0"/>
          <w:sz w:val="24"/>
          <w:lang w:val="cs-CZ"/>
        </w:rPr>
        <w:t xml:space="preserve">. </w:t>
      </w:r>
      <w:r w:rsidR="0040767E">
        <w:t xml:space="preserve">Nové </w:t>
      </w:r>
      <w:r w:rsidR="0040767E" w:rsidRPr="006E429D">
        <w:rPr>
          <w:i/>
        </w:rPr>
        <w:t>Weltanschuung</w:t>
      </w:r>
      <w:r w:rsidR="0040767E">
        <w:t xml:space="preserve"> vzniklo ve školách</w:t>
      </w:r>
      <w:r w:rsidR="0040767E" w:rsidRPr="00273106">
        <w:t xml:space="preserve"> </w:t>
      </w:r>
      <w:r w:rsidR="0040767E">
        <w:t>p</w:t>
      </w:r>
      <w:r w:rsidR="0040767E" w:rsidRPr="00273106">
        <w:t xml:space="preserve">orretánů </w:t>
      </w:r>
      <w:r w:rsidR="0040767E">
        <w:t xml:space="preserve">díky dvojímu impulzu. Za prvé. Církevní odsouzení Abelarda a jeho aristotelské školy povýšilo sofistickou filosofii </w:t>
      </w:r>
      <w:r w:rsidR="0040767E" w:rsidRPr="00AE7549">
        <w:rPr>
          <w:i/>
        </w:rPr>
        <w:t>Modernorum</w:t>
      </w:r>
      <w:r w:rsidR="0040767E">
        <w:t xml:space="preserve"> na oficiálně uznanou dogmatiku. Ale odsouzení Gilberta </w:t>
      </w:r>
      <w:r w:rsidR="002239AA">
        <w:t>de La Porrée</w:t>
      </w:r>
      <w:r w:rsidR="0040767E">
        <w:t xml:space="preserve"> na koncilech</w:t>
      </w:r>
      <w:r w:rsidR="0040767E">
        <w:fldChar w:fldCharType="begin"/>
      </w:r>
      <w:r w:rsidR="0040767E">
        <w:instrText xml:space="preserve"> XE "koncil</w:instrText>
      </w:r>
      <w:r w:rsidR="0040767E" w:rsidRPr="00620159">
        <w:instrText>:Paříž</w:instrText>
      </w:r>
      <w:r w:rsidR="0040767E">
        <w:instrText xml:space="preserve">" </w:instrText>
      </w:r>
      <w:r w:rsidR="0040767E">
        <w:fldChar w:fldCharType="end"/>
      </w:r>
      <w:r w:rsidR="0040767E">
        <w:t xml:space="preserve"> v Paříži (1147) a v Remeši</w:t>
      </w:r>
      <w:r w:rsidR="0040767E">
        <w:fldChar w:fldCharType="begin"/>
      </w:r>
      <w:r w:rsidR="0040767E">
        <w:instrText xml:space="preserve"> XE "koncil:Remeš" </w:instrText>
      </w:r>
      <w:r w:rsidR="0040767E">
        <w:fldChar w:fldCharType="end"/>
      </w:r>
      <w:r w:rsidR="0040767E">
        <w:t xml:space="preserve"> (1148)</w:t>
      </w:r>
      <w:r w:rsidR="086166B0">
        <w:t xml:space="preserve"> ukázalo, že nástup moderny nebude jednoduchý. Rozpad trinitární nauky a k tomu i jednoty osoby byla příliš vysoká cena </w:t>
      </w:r>
      <w:r w:rsidR="08A27342">
        <w:t xml:space="preserve">za zavedení moderny </w:t>
      </w:r>
      <w:r w:rsidR="086166B0">
        <w:t xml:space="preserve">pro tehdejší kritické církevní myšlení. </w:t>
      </w:r>
      <w:r w:rsidR="0040767E">
        <w:t>Za druhé. I</w:t>
      </w:r>
      <w:r w:rsidR="0040767E" w:rsidRPr="00273106">
        <w:t>mport Avicennových spisů na latinský Západ</w:t>
      </w:r>
      <w:r w:rsidR="0040767E">
        <w:t xml:space="preserve"> potvrdil porretánské pojetí predikace hypostází skrze komitační predikaci čistých esencí viděných v přímém náhledu prvního západního ilumináta</w:t>
      </w:r>
      <w:r w:rsidR="0040767E" w:rsidRPr="00273106">
        <w:t xml:space="preserve">. </w:t>
      </w:r>
      <w:r w:rsidR="088F019B">
        <w:t>P</w:t>
      </w:r>
      <w:r w:rsidR="0040767E">
        <w:t xml:space="preserve">orretáni ve </w:t>
      </w:r>
      <w:r w:rsidR="088F019B">
        <w:t>š</w:t>
      </w:r>
      <w:r w:rsidR="0040767E">
        <w:t>kol</w:t>
      </w:r>
      <w:r w:rsidR="088F019B">
        <w:t>ách</w:t>
      </w:r>
      <w:r w:rsidR="0040767E">
        <w:t xml:space="preserve"> </w:t>
      </w:r>
      <w:r w:rsidR="0040767E" w:rsidRPr="0084062A">
        <w:rPr>
          <w:i/>
        </w:rPr>
        <w:t>Nominales</w:t>
      </w:r>
      <w:r w:rsidR="088F019B">
        <w:t xml:space="preserve"> navrhli</w:t>
      </w:r>
      <w:r w:rsidR="0040767E">
        <w:t xml:space="preserve"> po příchodu </w:t>
      </w:r>
      <w:r w:rsidR="088F019B">
        <w:t xml:space="preserve">Avicennových </w:t>
      </w:r>
      <w:r w:rsidR="0040767E">
        <w:t xml:space="preserve">spisů na latinský Západ novou verzi neoplatonismu, která </w:t>
      </w:r>
      <w:r w:rsidR="08246A4A">
        <w:t>navázala na Aristotelovu metafyziku</w:t>
      </w:r>
      <w:r w:rsidR="0040767E">
        <w:t xml:space="preserve">. </w:t>
      </w:r>
      <w:r w:rsidR="088F019B">
        <w:t xml:space="preserve">Spojením </w:t>
      </w:r>
      <w:r w:rsidR="08A319BB">
        <w:t xml:space="preserve">aristotelské predikace, </w:t>
      </w:r>
      <w:r w:rsidR="088F019B">
        <w:t>neoplatonismu,</w:t>
      </w:r>
      <w:r w:rsidR="08A319BB">
        <w:t xml:space="preserve"> avicennismu, augustinianismu </w:t>
      </w:r>
      <w:r w:rsidR="088F019B" w:rsidRPr="00273106">
        <w:t xml:space="preserve">vznikla </w:t>
      </w:r>
      <w:r w:rsidR="005A6D84" w:rsidRPr="00273106">
        <w:t>nová manifestace smyslu jsoucna</w:t>
      </w:r>
      <w:r w:rsidR="005A6D84">
        <w:fldChar w:fldCharType="begin"/>
      </w:r>
      <w:r w:rsidR="005A6D84">
        <w:instrText xml:space="preserve"> XE "</w:instrText>
      </w:r>
      <w:r w:rsidR="005A6D84" w:rsidRPr="00FD198E">
        <w:instrText>metafyzika:</w:instrText>
      </w:r>
      <w:r w:rsidR="005A6D84" w:rsidRPr="0050325F">
        <w:rPr>
          <w:i/>
        </w:rPr>
        <w:instrText>Modernorum</w:instrText>
      </w:r>
      <w:r w:rsidR="005A6D84">
        <w:instrText xml:space="preserve">" </w:instrText>
      </w:r>
      <w:r w:rsidR="005A6D84">
        <w:fldChar w:fldCharType="end"/>
      </w:r>
      <w:r w:rsidR="005A6D84" w:rsidRPr="00273106">
        <w:t>. Dějinné působení jsoucna třetího druhu se účinně projevuje hned v následující generaci</w:t>
      </w:r>
      <w:r w:rsidR="005A6D84">
        <w:t xml:space="preserve"> porretánů a </w:t>
      </w:r>
      <w:r w:rsidR="005A6D84" w:rsidRPr="00273106">
        <w:t>soub</w:t>
      </w:r>
      <w:r w:rsidR="005A6D84">
        <w:t>ěžně s recepcí Avicenny (1160‒</w:t>
      </w:r>
      <w:r w:rsidR="005A6D84" w:rsidRPr="00273106">
        <w:t>90).</w:t>
      </w:r>
      <w:r w:rsidR="005A6D84">
        <w:t xml:space="preserve"> </w:t>
      </w:r>
      <w:r w:rsidR="086913BE" w:rsidRPr="00273106">
        <w:t xml:space="preserve">Škola </w:t>
      </w:r>
      <w:r w:rsidR="086913BE" w:rsidRPr="00273106">
        <w:rPr>
          <w:i/>
        </w:rPr>
        <w:t>Nominales</w:t>
      </w:r>
      <w:r w:rsidR="086913BE" w:rsidRPr="00273106">
        <w:t xml:space="preserve"> determinovala na základě matematické analogie minimální porci jsoucnosti mezi logikou a metafyzikou (</w:t>
      </w:r>
      <w:r w:rsidR="086913BE" w:rsidRPr="00273106">
        <w:rPr>
          <w:i/>
        </w:rPr>
        <w:t>individuum</w:t>
      </w:r>
      <w:r w:rsidR="089D3F64">
        <w:t>). T</w:t>
      </w:r>
      <w:r w:rsidR="086913BE" w:rsidRPr="00273106">
        <w:t xml:space="preserve">ato </w:t>
      </w:r>
      <w:r w:rsidR="089D3F64">
        <w:t>atomární substance</w:t>
      </w:r>
      <w:r w:rsidR="086913BE">
        <w:t xml:space="preserve"> třetího druhu </w:t>
      </w:r>
      <w:r w:rsidR="089D3F64">
        <w:t xml:space="preserve">byla umístěna </w:t>
      </w:r>
      <w:r w:rsidR="086913BE">
        <w:t>d</w:t>
      </w:r>
      <w:r w:rsidR="086913BE" w:rsidRPr="00273106">
        <w:t>o univerzálního syst</w:t>
      </w:r>
      <w:r w:rsidR="086913BE">
        <w:t>ému třídění daného v rámci univerzální kategoriální predikace</w:t>
      </w:r>
      <w:r w:rsidR="089D3F64">
        <w:t>,</w:t>
      </w:r>
      <w:r w:rsidR="086913BE">
        <w:t xml:space="preserve"> později známé jako </w:t>
      </w:r>
      <w:r w:rsidR="08B4668E">
        <w:t>„</w:t>
      </w:r>
      <w:r w:rsidR="086913BE">
        <w:t>Porfyriův</w:t>
      </w:r>
      <w:r w:rsidR="086913BE" w:rsidRPr="00273106">
        <w:t xml:space="preserve"> strom</w:t>
      </w:r>
      <w:r w:rsidR="08B4668E">
        <w:t>“</w:t>
      </w:r>
      <w:r w:rsidR="086913BE" w:rsidRPr="00273106">
        <w:t xml:space="preserve">. </w:t>
      </w:r>
      <w:r w:rsidR="005A6D84">
        <w:t>D</w:t>
      </w:r>
      <w:r w:rsidR="005A6D84" w:rsidRPr="00273106">
        <w:t xml:space="preserve">ělení univerzální reality </w:t>
      </w:r>
      <w:r w:rsidR="005A6D84">
        <w:t xml:space="preserve">jde </w:t>
      </w:r>
      <w:r w:rsidR="005A6D84" w:rsidRPr="00273106">
        <w:t xml:space="preserve">až k </w:t>
      </w:r>
      <w:r w:rsidR="08B80310">
        <w:t xml:space="preserve">poslední </w:t>
      </w:r>
      <w:r w:rsidR="005A6D84" w:rsidRPr="00273106">
        <w:lastRenderedPageBreak/>
        <w:t>nedělitelné jednotce významu, která dostala status první substance</w:t>
      </w:r>
      <w:r w:rsidR="005A6D84">
        <w:fldChar w:fldCharType="begin"/>
      </w:r>
      <w:r w:rsidR="005A6D84">
        <w:instrText xml:space="preserve"> XE "</w:instrText>
      </w:r>
      <w:r w:rsidR="005A6D84" w:rsidRPr="00DE2A32">
        <w:instrText>substance</w:instrText>
      </w:r>
      <w:r w:rsidR="005A6D84">
        <w:instrText xml:space="preserve">:atomární" </w:instrText>
      </w:r>
      <w:r w:rsidR="005A6D84">
        <w:fldChar w:fldCharType="end"/>
      </w:r>
      <w:r w:rsidR="005A6D84">
        <w:t xml:space="preserve">. Tím byla dána základní možnost hypostázování akcidentů, </w:t>
      </w:r>
      <w:r w:rsidR="005A6D84" w:rsidRPr="00273106">
        <w:t>existence</w:t>
      </w:r>
      <w:r w:rsidR="005A6D84">
        <w:t>, a</w:t>
      </w:r>
      <w:r w:rsidR="082B4B1F">
        <w:t xml:space="preserve"> dokonce i kauzality. </w:t>
      </w:r>
      <w:r w:rsidR="086B09F5" w:rsidRPr="00273106">
        <w:rPr>
          <w:rStyle w:val="Zkladntext158dkovn0pt"/>
          <w:color w:val="auto"/>
          <w:spacing w:val="0"/>
          <w:sz w:val="24"/>
          <w:lang w:val="cs-CZ"/>
        </w:rPr>
        <w:t xml:space="preserve">Škála subsistentních vlastností a substančních určení na úrovni rodu a </w:t>
      </w:r>
      <w:r w:rsidR="086B09F5">
        <w:rPr>
          <w:rStyle w:val="Zkladntext158dkovn0pt"/>
          <w:color w:val="auto"/>
          <w:spacing w:val="0"/>
          <w:sz w:val="24"/>
          <w:lang w:val="cs-CZ"/>
        </w:rPr>
        <w:t xml:space="preserve">druhu </w:t>
      </w:r>
      <w:r w:rsidR="086B09F5" w:rsidRPr="00273106">
        <w:rPr>
          <w:rStyle w:val="Zkladntext158dkovn0pt"/>
          <w:color w:val="auto"/>
          <w:spacing w:val="0"/>
          <w:sz w:val="24"/>
          <w:lang w:val="cs-CZ"/>
        </w:rPr>
        <w:t>byla predikována k dále nedělitelnému nositeli těchto určení (</w:t>
      </w:r>
      <w:r w:rsidR="086B09F5" w:rsidRPr="00273106">
        <w:rPr>
          <w:rStyle w:val="Zkladntext158dkovn0pt"/>
          <w:i/>
          <w:color w:val="auto"/>
          <w:spacing w:val="0"/>
          <w:sz w:val="24"/>
          <w:lang w:val="cs-CZ"/>
        </w:rPr>
        <w:t>individuum</w:t>
      </w:r>
      <w:r w:rsidR="086B09F5" w:rsidRPr="00273106">
        <w:rPr>
          <w:rStyle w:val="Zkladntext158dkovn0pt"/>
          <w:color w:val="auto"/>
          <w:spacing w:val="0"/>
          <w:sz w:val="24"/>
          <w:lang w:val="cs-CZ"/>
        </w:rPr>
        <w:t>)</w:t>
      </w:r>
      <w:r w:rsidR="086B09F5">
        <w:rPr>
          <w:rStyle w:val="Zkladntext158dkovn0pt"/>
          <w:color w:val="auto"/>
          <w:spacing w:val="0"/>
          <w:sz w:val="24"/>
          <w:lang w:val="cs-CZ"/>
        </w:rPr>
        <w:t xml:space="preserve">. </w:t>
      </w:r>
      <w:r w:rsidR="08A9510B">
        <w:t>V rámci abstraktně pojatého významu je možné sofisticky dělit a skládat naprosto všechno, co lze pojmenovat</w:t>
      </w:r>
      <w:r w:rsidR="08A9510B" w:rsidRPr="00273106">
        <w:t>.</w:t>
      </w:r>
      <w:r w:rsidR="08A9510B">
        <w:t xml:space="preserve"> </w:t>
      </w:r>
      <w:r w:rsidR="08D42938">
        <w:rPr>
          <w:rStyle w:val="Zkladntext158dkovn0pt"/>
          <w:color w:val="auto"/>
          <w:spacing w:val="0"/>
          <w:sz w:val="24"/>
          <w:lang w:val="cs-CZ"/>
        </w:rPr>
        <w:t xml:space="preserve">Nový druh dělení byl v rámci hypostázované predikace spojen se </w:t>
      </w:r>
      <w:r w:rsidR="08D42938" w:rsidRPr="00273106">
        <w:rPr>
          <w:rStyle w:val="Zkladntext158dkovn0pt"/>
          <w:color w:val="auto"/>
          <w:spacing w:val="0"/>
          <w:sz w:val="24"/>
          <w:lang w:val="cs-CZ"/>
        </w:rPr>
        <w:t>syntetick</w:t>
      </w:r>
      <w:r w:rsidR="08D42938">
        <w:rPr>
          <w:rStyle w:val="Zkladntext158dkovn0pt"/>
          <w:color w:val="auto"/>
          <w:spacing w:val="0"/>
          <w:sz w:val="24"/>
          <w:lang w:val="cs-CZ"/>
        </w:rPr>
        <w:t>ým modem (</w:t>
      </w:r>
      <w:r w:rsidR="08D42938" w:rsidRPr="00273106">
        <w:rPr>
          <w:rStyle w:val="Zkladntext158dkovn0pt"/>
          <w:i/>
          <w:color w:val="auto"/>
          <w:spacing w:val="0"/>
          <w:sz w:val="24"/>
          <w:lang w:val="cs-CZ"/>
        </w:rPr>
        <w:t>colligatio</w:t>
      </w:r>
      <w:r w:rsidR="08D42938" w:rsidRPr="00E4280D">
        <w:rPr>
          <w:rStyle w:val="Zkladntext158dkovn0pt"/>
          <w:color w:val="auto"/>
          <w:spacing w:val="0"/>
          <w:sz w:val="24"/>
          <w:lang w:val="cs-CZ"/>
        </w:rPr>
        <w:t>)</w:t>
      </w:r>
      <w:r w:rsidR="08D42938">
        <w:rPr>
          <w:rStyle w:val="Zkladntext158dkovn0pt"/>
          <w:color w:val="auto"/>
          <w:spacing w:val="0"/>
          <w:sz w:val="24"/>
          <w:lang w:val="cs-CZ"/>
        </w:rPr>
        <w:t>, jenž skládal substanci třetího druhu pomocí apozičních hypostázovaných určení individua (</w:t>
      </w:r>
      <w:r w:rsidR="08D42938" w:rsidRPr="00E4280D">
        <w:rPr>
          <w:rStyle w:val="Zkladntext158dkovn0pt"/>
          <w:i/>
          <w:color w:val="auto"/>
          <w:spacing w:val="0"/>
          <w:sz w:val="24"/>
          <w:lang w:val="cs-CZ"/>
        </w:rPr>
        <w:t>socratitas</w:t>
      </w:r>
      <w:r w:rsidR="08D42938">
        <w:rPr>
          <w:rStyle w:val="Zkladntext158dkovn0pt"/>
          <w:color w:val="auto"/>
          <w:spacing w:val="0"/>
          <w:sz w:val="24"/>
          <w:lang w:val="cs-CZ"/>
        </w:rPr>
        <w:t xml:space="preserve">). </w:t>
      </w:r>
      <w:r w:rsidR="082B4B1F" w:rsidRPr="00273106">
        <w:t>He</w:t>
      </w:r>
      <w:r w:rsidR="082B4B1F">
        <w:t>rmene</w:t>
      </w:r>
      <w:r w:rsidR="080B46D3">
        <w:t xml:space="preserve">utika vyložila tuto dějinnou </w:t>
      </w:r>
      <w:r w:rsidR="082B4B1F" w:rsidRPr="00273106">
        <w:t>odkrytost (</w:t>
      </w:r>
      <w:r w:rsidR="080B46D3">
        <w:rPr>
          <w:i/>
        </w:rPr>
        <w:t>a</w:t>
      </w:r>
      <w:r w:rsidR="082B4B1F" w:rsidRPr="00273106">
        <w:rPr>
          <w:i/>
        </w:rPr>
        <w:t>létheia</w:t>
      </w:r>
      <w:r w:rsidR="082B4B1F">
        <w:rPr>
          <w:i/>
        </w:rPr>
        <w:fldChar w:fldCharType="begin"/>
      </w:r>
      <w:r w:rsidR="082B4B1F">
        <w:instrText xml:space="preserve"> XE "pravda:po-odkrytost" </w:instrText>
      </w:r>
      <w:r w:rsidR="082B4B1F">
        <w:rPr>
          <w:i/>
        </w:rPr>
        <w:fldChar w:fldCharType="end"/>
      </w:r>
      <w:r w:rsidR="082B4B1F" w:rsidRPr="00273106">
        <w:t xml:space="preserve">) </w:t>
      </w:r>
      <w:r w:rsidR="082B4B1F">
        <w:t xml:space="preserve">objektivního jsoucna skrze termín </w:t>
      </w:r>
      <w:r w:rsidR="082B4B1F" w:rsidRPr="00273106">
        <w:rPr>
          <w:i/>
        </w:rPr>
        <w:t>discrete videamus</w:t>
      </w:r>
      <w:r w:rsidR="082B4B1F">
        <w:rPr>
          <w:i/>
        </w:rPr>
        <w:fldChar w:fldCharType="begin"/>
      </w:r>
      <w:r w:rsidR="082B4B1F">
        <w:instrText xml:space="preserve"> XE "</w:instrText>
      </w:r>
      <w:r w:rsidR="082B4B1F" w:rsidRPr="00E90B20">
        <w:rPr>
          <w:i/>
        </w:rPr>
        <w:instrText>discrete videamus</w:instrText>
      </w:r>
      <w:r w:rsidR="082B4B1F">
        <w:instrText xml:space="preserve">" </w:instrText>
      </w:r>
      <w:r w:rsidR="082B4B1F">
        <w:rPr>
          <w:i/>
        </w:rPr>
        <w:fldChar w:fldCharType="end"/>
      </w:r>
      <w:r w:rsidR="082B4B1F" w:rsidRPr="00273106">
        <w:t xml:space="preserve"> uvedený v anonymním díle </w:t>
      </w:r>
      <w:r w:rsidR="082B4B1F" w:rsidRPr="00273106">
        <w:rPr>
          <w:i/>
        </w:rPr>
        <w:t>Tractatus</w:t>
      </w:r>
      <w:r w:rsidR="08EE0AA4">
        <w:t xml:space="preserve"> (kap. 1</w:t>
      </w:r>
      <w:r w:rsidR="082B4B1F">
        <w:t>.4)</w:t>
      </w:r>
      <w:r w:rsidR="082B4B1F" w:rsidRPr="00273106">
        <w:t xml:space="preserve">. Tento </w:t>
      </w:r>
      <w:r w:rsidR="082B4B1F">
        <w:t xml:space="preserve">diskrétní </w:t>
      </w:r>
      <w:r w:rsidR="082B4B1F" w:rsidRPr="00273106">
        <w:rPr>
          <w:i/>
        </w:rPr>
        <w:t>Ereignis</w:t>
      </w:r>
      <w:r w:rsidR="082B4B1F" w:rsidRPr="00273106">
        <w:t xml:space="preserve"> zakládá podobu nové, ale prozatím skryté metafyziky. </w:t>
      </w:r>
      <w:r w:rsidR="001A174E">
        <w:rPr>
          <w:rStyle w:val="Zkladntext158dkovn0pt"/>
          <w:color w:val="auto"/>
          <w:spacing w:val="0"/>
          <w:sz w:val="24"/>
          <w:lang w:val="cs-CZ"/>
        </w:rPr>
        <w:t>P</w:t>
      </w:r>
      <w:r w:rsidR="001A174E" w:rsidRPr="00273106">
        <w:rPr>
          <w:rStyle w:val="Zkladntext158dkovn0pt"/>
          <w:color w:val="auto"/>
          <w:spacing w:val="0"/>
          <w:sz w:val="24"/>
          <w:lang w:val="cs-CZ"/>
        </w:rPr>
        <w:t>rvní substance</w:t>
      </w:r>
      <w:r w:rsidR="001A174E">
        <w:rPr>
          <w:rStyle w:val="Zkladntext158dkovn0pt"/>
          <w:color w:val="auto"/>
          <w:spacing w:val="0"/>
          <w:sz w:val="24"/>
          <w:lang w:val="cs-CZ"/>
        </w:rPr>
        <w:fldChar w:fldCharType="begin"/>
      </w:r>
      <w:r w:rsidR="001A174E">
        <w:instrText xml:space="preserve"> XE "</w:instrText>
      </w:r>
      <w:r w:rsidR="001A174E" w:rsidRPr="00DE2A32">
        <w:instrText>substance</w:instrText>
      </w:r>
      <w:r w:rsidR="001A174E">
        <w:instrText xml:space="preserve">:individuum" </w:instrText>
      </w:r>
      <w:r w:rsidR="001A174E">
        <w:rPr>
          <w:rStyle w:val="Zkladntext158dkovn0pt"/>
          <w:color w:val="auto"/>
          <w:spacing w:val="0"/>
          <w:sz w:val="24"/>
          <w:lang w:val="cs-CZ"/>
        </w:rPr>
        <w:fldChar w:fldCharType="end"/>
      </w:r>
      <w:r w:rsidR="001A174E" w:rsidRPr="00273106">
        <w:rPr>
          <w:rStyle w:val="Zkladntext158dkovn0pt"/>
          <w:color w:val="auto"/>
          <w:spacing w:val="0"/>
          <w:sz w:val="24"/>
          <w:lang w:val="cs-CZ"/>
        </w:rPr>
        <w:t xml:space="preserve"> </w:t>
      </w:r>
      <w:r w:rsidR="001A174E">
        <w:rPr>
          <w:rStyle w:val="Zkladntext158dkovn0pt"/>
          <w:color w:val="auto"/>
          <w:spacing w:val="0"/>
          <w:sz w:val="24"/>
          <w:lang w:val="cs-CZ"/>
        </w:rPr>
        <w:t xml:space="preserve">přeměněná na individuum </w:t>
      </w:r>
      <w:r w:rsidR="001A174E" w:rsidRPr="00273106">
        <w:rPr>
          <w:rStyle w:val="Zkladntext158dkovn0pt"/>
          <w:color w:val="auto"/>
          <w:spacing w:val="0"/>
          <w:sz w:val="24"/>
          <w:lang w:val="cs-CZ"/>
        </w:rPr>
        <w:t>dostala ve školách porretánů hypostázovanou existenci</w:t>
      </w:r>
      <w:r w:rsidR="001A174E">
        <w:rPr>
          <w:rStyle w:val="Zkladntext158dkovn0pt"/>
          <w:color w:val="auto"/>
          <w:spacing w:val="0"/>
          <w:sz w:val="24"/>
          <w:lang w:val="cs-CZ"/>
        </w:rPr>
        <w:t xml:space="preserve"> a začala fungovat jako druhá substance </w:t>
      </w:r>
      <w:r w:rsidR="003B0E31">
        <w:rPr>
          <w:rStyle w:val="Zkladntext158dkovn0pt"/>
          <w:color w:val="auto"/>
          <w:spacing w:val="0"/>
          <w:sz w:val="24"/>
          <w:lang w:val="cs-CZ"/>
        </w:rPr>
        <w:t xml:space="preserve">v </w:t>
      </w:r>
      <w:r w:rsidR="0840231F">
        <w:rPr>
          <w:rStyle w:val="Zkladntext158dkovn0pt"/>
          <w:color w:val="auto"/>
          <w:spacing w:val="0"/>
          <w:sz w:val="24"/>
          <w:lang w:val="cs-CZ"/>
        </w:rPr>
        <w:t xml:space="preserve">novém </w:t>
      </w:r>
      <w:r w:rsidR="003B0E31">
        <w:rPr>
          <w:rStyle w:val="Zkladntext158dkovn0pt"/>
          <w:color w:val="auto"/>
          <w:spacing w:val="0"/>
          <w:sz w:val="24"/>
          <w:lang w:val="cs-CZ"/>
        </w:rPr>
        <w:t>systému kategoriální predik</w:t>
      </w:r>
      <w:r w:rsidR="0840231F">
        <w:rPr>
          <w:rStyle w:val="Zkladntext158dkovn0pt"/>
          <w:color w:val="auto"/>
          <w:spacing w:val="0"/>
          <w:sz w:val="24"/>
          <w:lang w:val="cs-CZ"/>
        </w:rPr>
        <w:t xml:space="preserve">ace. Nové významy </w:t>
      </w:r>
      <w:r w:rsidR="08E17C15">
        <w:rPr>
          <w:rStyle w:val="Zkladntext158dkovn0pt"/>
          <w:color w:val="auto"/>
          <w:spacing w:val="0"/>
          <w:sz w:val="24"/>
          <w:lang w:val="cs-CZ"/>
        </w:rPr>
        <w:t>přešly do amfibolní predikace</w:t>
      </w:r>
      <w:r w:rsidR="0840231F">
        <w:rPr>
          <w:rStyle w:val="Zkladntext158dkovn0pt"/>
          <w:color w:val="auto"/>
          <w:spacing w:val="0"/>
          <w:sz w:val="24"/>
          <w:lang w:val="cs-CZ"/>
        </w:rPr>
        <w:t xml:space="preserve"> </w:t>
      </w:r>
      <w:r w:rsidR="08E17C15">
        <w:rPr>
          <w:rStyle w:val="Zkladntext158dkovn0pt"/>
          <w:color w:val="auto"/>
          <w:spacing w:val="0"/>
          <w:sz w:val="24"/>
          <w:lang w:val="cs-CZ"/>
        </w:rPr>
        <w:fldChar w:fldCharType="begin"/>
      </w:r>
      <w:r w:rsidR="08E17C15">
        <w:instrText xml:space="preserve"> XE "</w:instrText>
      </w:r>
      <w:r w:rsidR="08E17C15" w:rsidRPr="085770B6">
        <w:rPr>
          <w:rStyle w:val="Zkladntext158dkovn0pt"/>
          <w:color w:val="auto"/>
          <w:spacing w:val="0"/>
          <w:sz w:val="24"/>
          <w:lang w:val="cs-CZ"/>
        </w:rPr>
        <w:instrText>predikace:amfibolní</w:instrText>
      </w:r>
      <w:r w:rsidR="08E17C15">
        <w:instrText xml:space="preserve">" </w:instrText>
      </w:r>
      <w:r w:rsidR="08E17C15">
        <w:rPr>
          <w:rStyle w:val="Zkladntext158dkovn0pt"/>
          <w:color w:val="auto"/>
          <w:spacing w:val="0"/>
          <w:sz w:val="24"/>
          <w:lang w:val="cs-CZ"/>
        </w:rPr>
        <w:fldChar w:fldCharType="end"/>
      </w:r>
      <w:r w:rsidR="08E17C15">
        <w:rPr>
          <w:rStyle w:val="Zkladntext158dkovn0pt"/>
          <w:color w:val="auto"/>
          <w:spacing w:val="0"/>
          <w:sz w:val="24"/>
          <w:lang w:val="cs-CZ"/>
        </w:rPr>
        <w:t xml:space="preserve">dané už ve falsafě </w:t>
      </w:r>
      <w:r w:rsidR="08107B6F">
        <w:rPr>
          <w:rStyle w:val="Zkladntext158dkovn0pt"/>
          <w:color w:val="auto"/>
          <w:spacing w:val="0"/>
          <w:sz w:val="24"/>
          <w:lang w:val="cs-CZ"/>
        </w:rPr>
        <w:t>a vznikla nová třída jsoucen třetího druhu</w:t>
      </w:r>
      <w:r w:rsidR="0840231F">
        <w:rPr>
          <w:rStyle w:val="Zkladntext158dkovn0pt"/>
          <w:color w:val="auto"/>
          <w:spacing w:val="0"/>
          <w:sz w:val="24"/>
          <w:lang w:val="cs-CZ"/>
        </w:rPr>
        <w:t xml:space="preserve">. </w:t>
      </w:r>
      <w:r w:rsidR="085077EF">
        <w:rPr>
          <w:rStyle w:val="Zkladntext158dkovn0pt"/>
          <w:color w:val="auto"/>
          <w:spacing w:val="0"/>
          <w:sz w:val="24"/>
          <w:lang w:val="cs-CZ"/>
        </w:rPr>
        <w:t xml:space="preserve">Aristotelismus </w:t>
      </w:r>
      <w:r w:rsidR="00FC1444" w:rsidRPr="00273106">
        <w:rPr>
          <w:rStyle w:val="Zkladntext158dkovn0pt"/>
          <w:color w:val="auto"/>
          <w:spacing w:val="0"/>
          <w:sz w:val="24"/>
          <w:lang w:val="cs-CZ"/>
        </w:rPr>
        <w:t>bránil adekvaci intelektu a reálné věci</w:t>
      </w:r>
      <w:r w:rsidR="00FC1444" w:rsidRPr="00273106">
        <w:t xml:space="preserve"> respektující hyparchickou funkci první substance.</w:t>
      </w:r>
      <w:r w:rsidR="00FC1444">
        <w:t xml:space="preserve"> </w:t>
      </w:r>
      <w:r w:rsidR="00FC1444" w:rsidRPr="00273106">
        <w:t xml:space="preserve">Pojetí pravdy </w:t>
      </w:r>
      <w:r w:rsidR="08376624">
        <w:t xml:space="preserve">dané </w:t>
      </w:r>
      <w:r w:rsidR="00FC1444" w:rsidRPr="00273106">
        <w:t xml:space="preserve">podle </w:t>
      </w:r>
      <w:r w:rsidR="08376624">
        <w:t>spisů</w:t>
      </w:r>
      <w:r w:rsidR="00FC1444">
        <w:t xml:space="preserve"> </w:t>
      </w:r>
      <w:r w:rsidR="00FC1444" w:rsidRPr="00084629">
        <w:rPr>
          <w:i/>
        </w:rPr>
        <w:t>Kategorie</w:t>
      </w:r>
      <w:r w:rsidR="00FC1444">
        <w:t xml:space="preserve">, </w:t>
      </w:r>
      <w:r w:rsidR="00FC1444" w:rsidRPr="00084629">
        <w:rPr>
          <w:i/>
        </w:rPr>
        <w:t>Metafyzika</w:t>
      </w:r>
      <w:r w:rsidR="00FC1444">
        <w:t xml:space="preserve"> a </w:t>
      </w:r>
      <w:r w:rsidR="00FC1444" w:rsidRPr="00D47253">
        <w:rPr>
          <w:i/>
        </w:rPr>
        <w:t>De interpretatione</w:t>
      </w:r>
      <w:r w:rsidR="00FC1444">
        <w:t xml:space="preserve"> </w:t>
      </w:r>
      <w:r w:rsidR="00FC1444" w:rsidRPr="00273106">
        <w:t>se nutně dosta</w:t>
      </w:r>
      <w:r w:rsidR="00FC1444">
        <w:t>lo</w:t>
      </w:r>
      <w:r w:rsidR="00FC1444" w:rsidRPr="00273106">
        <w:t xml:space="preserve"> do sporu s myšlením porretánů</w:t>
      </w:r>
      <w:r w:rsidR="00FC1444">
        <w:t>. J</w:t>
      </w:r>
      <w:r w:rsidR="00FC1444" w:rsidRPr="00273106">
        <w:t xml:space="preserve">ejich </w:t>
      </w:r>
      <w:r w:rsidR="082F2BFB">
        <w:t>vidění světa fo</w:t>
      </w:r>
      <w:r w:rsidR="08227E82">
        <w:t>rmo</w:t>
      </w:r>
      <w:r w:rsidR="082F2BFB">
        <w:t xml:space="preserve">vala hierarchie </w:t>
      </w:r>
      <w:r w:rsidR="00FC1444" w:rsidRPr="00273106">
        <w:t xml:space="preserve">účinných </w:t>
      </w:r>
      <w:r w:rsidR="082F2BFB">
        <w:t xml:space="preserve">kosmických </w:t>
      </w:r>
      <w:r w:rsidR="00FC1444" w:rsidRPr="00273106">
        <w:t xml:space="preserve">forem </w:t>
      </w:r>
      <w:r w:rsidR="082F2BFB">
        <w:t xml:space="preserve">daná </w:t>
      </w:r>
      <w:r w:rsidR="082F2BFB" w:rsidRPr="082F2BFB">
        <w:rPr>
          <w:i/>
        </w:rPr>
        <w:t>more geometrico</w:t>
      </w:r>
      <w:r w:rsidR="08227E82">
        <w:rPr>
          <w:i/>
        </w:rPr>
        <w:fldChar w:fldCharType="begin"/>
      </w:r>
      <w:r w:rsidR="08227E82">
        <w:instrText xml:space="preserve"> XE "</w:instrText>
      </w:r>
      <w:r w:rsidR="08227E82" w:rsidRPr="08E616C2">
        <w:rPr>
          <w:i/>
        </w:rPr>
        <w:instrText>more geometrico</w:instrText>
      </w:r>
      <w:r w:rsidR="08227E82">
        <w:instrText xml:space="preserve">" </w:instrText>
      </w:r>
      <w:r w:rsidR="08227E82">
        <w:rPr>
          <w:i/>
        </w:rPr>
        <w:fldChar w:fldCharType="end"/>
      </w:r>
      <w:r w:rsidR="082F2BFB">
        <w:t xml:space="preserve"> </w:t>
      </w:r>
      <w:r w:rsidR="00FC1444" w:rsidRPr="00273106">
        <w:t xml:space="preserve">podle </w:t>
      </w:r>
      <w:r w:rsidR="00FC1444" w:rsidRPr="00084629">
        <w:t>spisu</w:t>
      </w:r>
      <w:r w:rsidR="00FC1444" w:rsidRPr="00273106">
        <w:rPr>
          <w:i/>
        </w:rPr>
        <w:t xml:space="preserve"> Liber de causis</w:t>
      </w:r>
      <w:r w:rsidR="00FC1444">
        <w:rPr>
          <w:i/>
        </w:rPr>
        <w:fldChar w:fldCharType="begin"/>
      </w:r>
      <w:r w:rsidR="00FC1444">
        <w:instrText xml:space="preserve"> XE "</w:instrText>
      </w:r>
      <w:r w:rsidR="00FC1444" w:rsidRPr="00C46BD8">
        <w:rPr>
          <w:i/>
        </w:rPr>
        <w:instrText>Liber de causis</w:instrText>
      </w:r>
      <w:r w:rsidR="00FC1444">
        <w:instrText xml:space="preserve">" </w:instrText>
      </w:r>
      <w:r w:rsidR="00FC1444">
        <w:rPr>
          <w:i/>
        </w:rPr>
        <w:fldChar w:fldCharType="end"/>
      </w:r>
      <w:r w:rsidR="00FC1444" w:rsidRPr="00273106">
        <w:t>.</w:t>
      </w:r>
      <w:r w:rsidR="00FC1444">
        <w:t xml:space="preserve"> </w:t>
      </w:r>
      <w:r w:rsidR="00F9476F">
        <w:t>Mezi univerzálií a jednotlivinou vzniklo nové zásvětí ducha, které v latinské scholastice nahradilo Jamblichův diakosmos a vytvořilo scholastickou teorii jedné ontoteologické pravdy.</w:t>
      </w:r>
      <w:r w:rsidR="08AE5C8E">
        <w:t xml:space="preserve"> </w:t>
      </w:r>
      <w:r w:rsidR="0832496C">
        <w:t>Spojením mystiky, matematiky, filosofie a očistcové ekonomie vznikla</w:t>
      </w:r>
      <w:r w:rsidR="00BB0EA0">
        <w:t xml:space="preserve"> nová verze atomární substance.</w:t>
      </w:r>
    </w:p>
    <w:p w14:paraId="399D5085" w14:textId="1B90CC92" w:rsidR="083C7582" w:rsidRDefault="08355C81" w:rsidP="00BB0EA0">
      <w:pPr>
        <w:ind w:firstLine="397"/>
      </w:pPr>
      <w:r>
        <w:t>Nová gigantomachie o substanci</w:t>
      </w:r>
      <w:r w:rsidR="08A42A81">
        <w:rPr>
          <w:i/>
        </w:rPr>
        <w:fldChar w:fldCharType="begin"/>
      </w:r>
      <w:r w:rsidR="08A42A81">
        <w:instrText xml:space="preserve"> XE "metafyzika:gigantomachie" </w:instrText>
      </w:r>
      <w:r w:rsidR="08A42A81">
        <w:rPr>
          <w:i/>
        </w:rPr>
        <w:fldChar w:fldCharType="end"/>
      </w:r>
      <w:r>
        <w:t xml:space="preserve"> začala v momentu, kdy na Pařížskou univerzitu přišly Averroesovy spisy. </w:t>
      </w:r>
      <w:r w:rsidR="000D33E5">
        <w:t>Recepce Averroe</w:t>
      </w:r>
      <w:r w:rsidR="00A67FD6" w:rsidRPr="00273106">
        <w:t xml:space="preserve">sových komentářů Aristotela způsobila částečný rozchod s ontoteologií Avicenny. </w:t>
      </w:r>
      <w:r w:rsidR="0052253E" w:rsidRPr="00273106">
        <w:t xml:space="preserve">Podle dvou známých mediavelistů přišla klíčová část překladů </w:t>
      </w:r>
      <w:r w:rsidR="002E3B62">
        <w:t>Averroes</w:t>
      </w:r>
      <w:r w:rsidR="0052253E" w:rsidRPr="00273106">
        <w:t>e do Paříže z překladatelské dílny Michela Scota buď v roce 1230 (De Vaux 1933)</w:t>
      </w:r>
      <w:r w:rsidR="08377A31">
        <w:t xml:space="preserve">, </w:t>
      </w:r>
      <w:r w:rsidR="0052253E" w:rsidRPr="00273106">
        <w:t xml:space="preserve">nebo už o deset let dříve </w:t>
      </w:r>
      <w:r w:rsidR="00067FFC">
        <w:t xml:space="preserve">z prostředí Toledské školy </w:t>
      </w:r>
      <w:r w:rsidR="0052253E" w:rsidRPr="00273106">
        <w:t xml:space="preserve">(Gauthier 1982). </w:t>
      </w:r>
      <w:r w:rsidR="00B350D5" w:rsidRPr="00273106">
        <w:rPr>
          <w:rFonts w:cs="Brill-Roman"/>
        </w:rPr>
        <w:t xml:space="preserve">Pod souhrnnou arabskou školou známou jako </w:t>
      </w:r>
      <w:r w:rsidR="00B350D5" w:rsidRPr="00273106">
        <w:rPr>
          <w:rFonts w:cs="Brill-Roman"/>
          <w:i/>
        </w:rPr>
        <w:t>Peripatetici novi</w:t>
      </w:r>
      <w:r w:rsidR="00B350D5" w:rsidRPr="00273106">
        <w:rPr>
          <w:rFonts w:cs="Brill-Roman"/>
        </w:rPr>
        <w:t xml:space="preserve"> nebo </w:t>
      </w:r>
      <w:r w:rsidR="00B350D5" w:rsidRPr="00273106">
        <w:rPr>
          <w:rFonts w:cs="Brill-Roman"/>
          <w:i/>
        </w:rPr>
        <w:t>Peripatetici posteriores</w:t>
      </w:r>
      <w:r w:rsidR="00B350D5" w:rsidRPr="00273106">
        <w:rPr>
          <w:rFonts w:cs="Brill-Roman"/>
        </w:rPr>
        <w:t xml:space="preserve"> </w:t>
      </w:r>
      <w:r w:rsidR="00B350D5" w:rsidRPr="00273106">
        <w:t xml:space="preserve">je doložena </w:t>
      </w:r>
      <w:r w:rsidR="00C32340">
        <w:t xml:space="preserve"> z let </w:t>
      </w:r>
      <w:r w:rsidR="00B350D5" w:rsidRPr="00273106">
        <w:rPr>
          <w:rFonts w:cs="Brill-Roman"/>
        </w:rPr>
        <w:t xml:space="preserve">1220–24 </w:t>
      </w:r>
      <w:r w:rsidR="00B350D5" w:rsidRPr="00273106">
        <w:t>a</w:t>
      </w:r>
      <w:r w:rsidR="000D33E5">
        <w:t>nonymní latinská recepce Averroe</w:t>
      </w:r>
      <w:r w:rsidR="00B350D5" w:rsidRPr="00273106">
        <w:t xml:space="preserve">sova velkého komentáře k </w:t>
      </w:r>
      <w:r w:rsidR="00B350D5" w:rsidRPr="085569A9">
        <w:rPr>
          <w:i/>
        </w:rPr>
        <w:t>Metafyzice</w:t>
      </w:r>
      <w:r w:rsidR="00B350D5" w:rsidRPr="00273106">
        <w:t xml:space="preserve"> v díle </w:t>
      </w:r>
      <w:r w:rsidR="00B350D5" w:rsidRPr="00273106">
        <w:rPr>
          <w:rFonts w:cs="Brill-Italic"/>
          <w:i/>
          <w:iCs/>
        </w:rPr>
        <w:t>Commentum in Metaphysicam</w:t>
      </w:r>
      <w:r w:rsidR="00B350D5" w:rsidRPr="00273106">
        <w:rPr>
          <w:rFonts w:cs="Brill-Roman"/>
        </w:rPr>
        <w:t xml:space="preserve"> (Bertolacci 2014, 99). </w:t>
      </w:r>
      <w:r w:rsidR="000D33E5">
        <w:t>Averroe</w:t>
      </w:r>
      <w:r w:rsidR="00B350D5" w:rsidRPr="00273106">
        <w:t xml:space="preserve">sův velký komentář k Aristotelově spisu </w:t>
      </w:r>
      <w:r w:rsidR="00B713C5">
        <w:rPr>
          <w:i/>
          <w:iCs/>
        </w:rPr>
        <w:t>De anima</w:t>
      </w:r>
      <w:r w:rsidR="00B350D5" w:rsidRPr="00273106">
        <w:t xml:space="preserve"> (CMDA) byl přeložen do latiny </w:t>
      </w:r>
      <w:r w:rsidR="00A67FD6">
        <w:t xml:space="preserve">asi </w:t>
      </w:r>
      <w:r w:rsidR="00B350D5" w:rsidRPr="00273106">
        <w:lastRenderedPageBreak/>
        <w:t xml:space="preserve">kolem </w:t>
      </w:r>
      <w:r w:rsidR="00C13FE0">
        <w:t xml:space="preserve">roku </w:t>
      </w:r>
      <w:r w:rsidR="00B350D5" w:rsidRPr="00273106">
        <w:t xml:space="preserve">1225. </w:t>
      </w:r>
      <w:r w:rsidR="007C27B7" w:rsidRPr="00273106">
        <w:t>Gauthier</w:t>
      </w:r>
      <w:r w:rsidR="009F574C">
        <w:fldChar w:fldCharType="begin"/>
      </w:r>
      <w:r w:rsidR="009F574C">
        <w:instrText xml:space="preserve"> XE "</w:instrText>
      </w:r>
      <w:r w:rsidR="009F574C" w:rsidRPr="00B030E6">
        <w:rPr>
          <w:lang w:eastAsia="en-US"/>
        </w:rPr>
        <w:instrText>Gauthier, A. R.</w:instrText>
      </w:r>
      <w:r w:rsidR="009F574C">
        <w:instrText xml:space="preserve">" </w:instrText>
      </w:r>
      <w:r w:rsidR="009F574C">
        <w:fldChar w:fldCharType="end"/>
      </w:r>
      <w:r w:rsidR="00C13FE0">
        <w:t xml:space="preserve"> řadí </w:t>
      </w:r>
      <w:r w:rsidR="08C86F2F">
        <w:t xml:space="preserve">první </w:t>
      </w:r>
      <w:r w:rsidR="00C13FE0">
        <w:t>recepci Averroe</w:t>
      </w:r>
      <w:r w:rsidR="08693F65">
        <w:t xml:space="preserve">se na </w:t>
      </w:r>
      <w:r w:rsidR="08C86F2F">
        <w:t xml:space="preserve">latinském </w:t>
      </w:r>
      <w:r w:rsidR="08693F65">
        <w:t>Západě do</w:t>
      </w:r>
      <w:r w:rsidR="08C86F2F">
        <w:t xml:space="preserve"> proudu</w:t>
      </w:r>
      <w:r w:rsidR="08693F65">
        <w:t xml:space="preserve"> </w:t>
      </w:r>
      <w:r w:rsidR="08C86F2F">
        <w:t>tzv. „</w:t>
      </w:r>
      <w:r w:rsidR="08693F65">
        <w:t>prvního averroismu</w:t>
      </w:r>
      <w:r w:rsidR="08C86F2F">
        <w:t>“</w:t>
      </w:r>
      <w:r w:rsidR="007C27B7" w:rsidRPr="00273106">
        <w:t>, který kl</w:t>
      </w:r>
      <w:r w:rsidR="0070523E">
        <w:t>adným způsobem recipoval učení C</w:t>
      </w:r>
      <w:r w:rsidR="007C27B7" w:rsidRPr="00273106">
        <w:t>ordóbského génia.</w:t>
      </w:r>
      <w:r w:rsidR="00135D10">
        <w:t xml:space="preserve"> Uvedený termín najdeme v jeho úvodu</w:t>
      </w:r>
      <w:r w:rsidR="00233ED9">
        <w:t xml:space="preserve"> kritického </w:t>
      </w:r>
      <w:r w:rsidR="00135D10">
        <w:t xml:space="preserve">vydání </w:t>
      </w:r>
      <w:r w:rsidR="00233ED9">
        <w:t xml:space="preserve">spisu </w:t>
      </w:r>
      <w:r w:rsidR="00135D10">
        <w:rPr>
          <w:i/>
          <w:iCs/>
        </w:rPr>
        <w:t>De anima et de potenciis eius</w:t>
      </w:r>
      <w:r w:rsidR="088D4855">
        <w:rPr>
          <w:iCs/>
        </w:rPr>
        <w:t xml:space="preserve"> (asi 1225)</w:t>
      </w:r>
      <w:r w:rsidR="00135D10">
        <w:rPr>
          <w:i/>
          <w:iCs/>
        </w:rPr>
        <w:t>.</w:t>
      </w:r>
      <w:r w:rsidR="007C27B7" w:rsidRPr="00273106">
        <w:rPr>
          <w:rStyle w:val="Znakapoznpodarou"/>
          <w:sz w:val="22"/>
        </w:rPr>
        <w:footnoteReference w:id="83"/>
      </w:r>
      <w:r w:rsidR="007C27B7" w:rsidRPr="00273106">
        <w:t xml:space="preserve"> </w:t>
      </w:r>
      <w:r w:rsidR="005B3C02" w:rsidRPr="00273106">
        <w:t xml:space="preserve">Hermeneutika se plně staví za Gauthierovu definici prvního averroismu, jehož stoupenci jasně identifikují </w:t>
      </w:r>
      <w:r w:rsidR="005B3C02"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BD41E6" w:rsidRPr="00BD41E6">
        <w:instrText>první averroismus</w:instrText>
      </w:r>
      <w:r w:rsidR="00DF1F0F">
        <w:instrText xml:space="preserve">" </w:instrText>
      </w:r>
      <w:r w:rsidR="00DF1F0F">
        <w:rPr>
          <w:i/>
        </w:rPr>
        <w:fldChar w:fldCharType="end"/>
      </w:r>
      <w:r w:rsidR="005B3C02" w:rsidRPr="00273106">
        <w:t xml:space="preserve"> jako individuální schopnost duše.</w:t>
      </w:r>
      <w:r w:rsidR="005B3C02" w:rsidRPr="00273106">
        <w:rPr>
          <w:rStyle w:val="Znakapoznpodarou"/>
        </w:rPr>
        <w:footnoteReference w:id="84"/>
      </w:r>
      <w:r w:rsidR="005B3C02" w:rsidRPr="00273106">
        <w:t xml:space="preserve"> </w:t>
      </w:r>
      <w:r w:rsidR="08AD6A54">
        <w:t xml:space="preserve">Přinesené spisy Komentátora </w:t>
      </w:r>
      <w:r w:rsidR="08EF4A6E">
        <w:t xml:space="preserve">z Toleda a </w:t>
      </w:r>
      <w:r w:rsidR="08D9569B">
        <w:t xml:space="preserve">ze </w:t>
      </w:r>
      <w:r w:rsidR="08EF4A6E">
        <w:t xml:space="preserve">Sicílie </w:t>
      </w:r>
      <w:r w:rsidR="08AD6A54">
        <w:t>zásadně napomohly k zavedení školy prvního averroismu, která existovala v okruhu žáků J</w:t>
      </w:r>
      <w:r w:rsidR="08D60FCB">
        <w:t xml:space="preserve">ana </w:t>
      </w:r>
      <w:r w:rsidR="08AD6A54">
        <w:t>Blunda</w:t>
      </w:r>
      <w:r w:rsidR="08D60FCB">
        <w:t xml:space="preserve">. </w:t>
      </w:r>
      <w:r w:rsidR="08FE3AC9">
        <w:t>P</w:t>
      </w:r>
      <w:r w:rsidR="08D60FCB">
        <w:t xml:space="preserve">ůsobení </w:t>
      </w:r>
      <w:r w:rsidR="08FE3AC9">
        <w:t xml:space="preserve">této školy </w:t>
      </w:r>
      <w:r w:rsidR="08C128A7">
        <w:t>po recepci Komentá</w:t>
      </w:r>
      <w:r w:rsidR="08D60FCB">
        <w:t>to</w:t>
      </w:r>
      <w:r w:rsidR="08C128A7">
        <w:t>ro</w:t>
      </w:r>
      <w:r w:rsidR="08D60FCB">
        <w:t>va korpusu dosvědčuje anonymní spis</w:t>
      </w:r>
      <w:r w:rsidR="08AD6A54">
        <w:t xml:space="preserve"> </w:t>
      </w:r>
      <w:r w:rsidR="089A1B6F">
        <w:rPr>
          <w:i/>
        </w:rPr>
        <w:t>De anima et de potenciis eius</w:t>
      </w:r>
      <w:r w:rsidR="08AD6A54">
        <w:t>. Zavedením možného intelektu na způsob CMDA vzniká v</w:t>
      </w:r>
      <w:r w:rsidR="086F5E45">
        <w:t>edle křesťanského</w:t>
      </w:r>
      <w:r w:rsidR="08AD6A54">
        <w:t xml:space="preserve"> neoplatonismu </w:t>
      </w:r>
      <w:r w:rsidR="08AD6A54" w:rsidRPr="00273106">
        <w:t xml:space="preserve">nové </w:t>
      </w:r>
      <w:r w:rsidR="08AD6A54">
        <w:t xml:space="preserve">pole zjevování jsoucna. </w:t>
      </w:r>
      <w:r w:rsidR="00324DC6">
        <w:t>Zastánci</w:t>
      </w:r>
      <w:r w:rsidR="00324DC6" w:rsidRPr="00273106">
        <w:t xml:space="preserve"> prvního averroismu </w:t>
      </w:r>
      <w:r w:rsidR="00324DC6">
        <w:t xml:space="preserve">by </w:t>
      </w:r>
      <w:r w:rsidR="00061842">
        <w:t xml:space="preserve">jistě souhlasili s </w:t>
      </w:r>
      <w:r w:rsidR="00324DC6">
        <w:t>výše uvedenou vět</w:t>
      </w:r>
      <w:r w:rsidR="00562252">
        <w:t>o</w:t>
      </w:r>
      <w:r w:rsidR="00324DC6">
        <w:t>u</w:t>
      </w:r>
      <w:r w:rsidR="00C13FE0">
        <w:t xml:space="preserve"> dnešních znalců, že Averroe</w:t>
      </w:r>
      <w:r w:rsidR="00324DC6" w:rsidRPr="00273106">
        <w:t>s nebyl averroistou (</w:t>
      </w:r>
      <w:r w:rsidR="089D3F64">
        <w:t xml:space="preserve">OBJ I, </w:t>
      </w:r>
      <w:r w:rsidR="00324DC6" w:rsidRPr="00273106">
        <w:t>kap. 2.4.2).</w:t>
      </w:r>
      <w:r w:rsidR="00324DC6">
        <w:t xml:space="preserve"> </w:t>
      </w:r>
      <w:r w:rsidR="007C27B7" w:rsidRPr="00273106">
        <w:t xml:space="preserve">Klasické studie </w:t>
      </w:r>
      <w:r w:rsidR="007C27B7" w:rsidRPr="00273106">
        <w:rPr>
          <w:rFonts w:cs="Brill-Roman"/>
        </w:rPr>
        <w:t>potvrdily, že první scholast</w:t>
      </w:r>
      <w:r w:rsidR="00C13FE0">
        <w:rPr>
          <w:rFonts w:cs="Brill-Roman"/>
        </w:rPr>
        <w:t xml:space="preserve">ičtí interpreti </w:t>
      </w:r>
      <w:r w:rsidR="007C27B7" w:rsidRPr="00273106">
        <w:rPr>
          <w:rFonts w:cs="Brill-Roman"/>
        </w:rPr>
        <w:t>(</w:t>
      </w:r>
      <w:r w:rsidR="007C27B7" w:rsidRPr="00273106">
        <w:t xml:space="preserve">William z Auvergne, </w:t>
      </w:r>
      <w:r w:rsidR="007C27B7" w:rsidRPr="00273106">
        <w:rPr>
          <w:rFonts w:cs="Brill-Roman"/>
        </w:rPr>
        <w:t xml:space="preserve">Albert Veliký, </w:t>
      </w:r>
      <w:r w:rsidR="00C71581">
        <w:rPr>
          <w:rFonts w:cs="Brill-Roman"/>
        </w:rPr>
        <w:t xml:space="preserve">Roger Bacon) postavili výklad </w:t>
      </w:r>
      <w:r w:rsidR="084034C9">
        <w:rPr>
          <w:rFonts w:cs="Brill-Roman"/>
        </w:rPr>
        <w:t xml:space="preserve">Komentátora </w:t>
      </w:r>
      <w:r w:rsidR="00477552">
        <w:rPr>
          <w:rFonts w:cs="Brill-Roman"/>
        </w:rPr>
        <w:t xml:space="preserve">mimo linii pozdějšího </w:t>
      </w:r>
      <w:r w:rsidR="007C27B7" w:rsidRPr="00273106">
        <w:rPr>
          <w:rFonts w:cs="Brill-Roman"/>
        </w:rPr>
        <w:t>aver</w:t>
      </w:r>
      <w:r w:rsidR="00477552">
        <w:rPr>
          <w:rFonts w:cs="Brill-Roman"/>
        </w:rPr>
        <w:t>roismu</w:t>
      </w:r>
      <w:r w:rsidR="00C13FE0">
        <w:rPr>
          <w:rFonts w:cs="Brill-Roman"/>
        </w:rPr>
        <w:t xml:space="preserve"> a jejich přijetí Averroe</w:t>
      </w:r>
      <w:r w:rsidR="007C27B7" w:rsidRPr="00273106">
        <w:rPr>
          <w:rFonts w:cs="Brill-Roman"/>
        </w:rPr>
        <w:t>se bylo zásadně pozitivní (Salman 1937).</w:t>
      </w:r>
      <w:r w:rsidR="007C27B7" w:rsidRPr="00273106">
        <w:rPr>
          <w:rStyle w:val="Zkladntext158dkovn0pt"/>
          <w:color w:val="auto"/>
          <w:spacing w:val="0"/>
          <w:sz w:val="22"/>
          <w:lang w:val="cs-CZ"/>
        </w:rPr>
        <w:t xml:space="preserve"> </w:t>
      </w:r>
      <w:r w:rsidR="00C32819" w:rsidRPr="00273106">
        <w:t>Ci</w:t>
      </w:r>
      <w:r w:rsidR="00C13FE0">
        <w:t>tace latinských autorů z Averroesových spisů v letech 1230−</w:t>
      </w:r>
      <w:r w:rsidR="00C32819" w:rsidRPr="00273106">
        <w:t xml:space="preserve">50 neobsahují kritiku jednoho intelektu ani narážky na údajné učení o jedné duši. </w:t>
      </w:r>
      <w:r w:rsidR="007C27B7" w:rsidRPr="00273106">
        <w:t>Zmí</w:t>
      </w:r>
      <w:r w:rsidR="0023437B">
        <w:t>něným autorům nevadí ani Averroe</w:t>
      </w:r>
      <w:r w:rsidR="007C27B7" w:rsidRPr="00273106">
        <w:t xml:space="preserve">sova teorie kosmického </w:t>
      </w:r>
      <w:r w:rsidR="007C27B7"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DE0106">
        <w:instrText>:</w:instrText>
      </w:r>
      <w:r w:rsidR="002E3B62">
        <w:instrText>Averroes</w:instrText>
      </w:r>
      <w:r w:rsidR="00DF1F0F">
        <w:instrText xml:space="preserve">" </w:instrText>
      </w:r>
      <w:r w:rsidR="00DF1F0F">
        <w:rPr>
          <w:i/>
        </w:rPr>
        <w:fldChar w:fldCharType="end"/>
      </w:r>
      <w:r w:rsidR="007C27B7" w:rsidRPr="00273106">
        <w:t xml:space="preserve"> vázaného na</w:t>
      </w:r>
      <w:r w:rsidR="0023437B">
        <w:t xml:space="preserve"> hvězdnou sféru (Baumgarten 2001</w:t>
      </w:r>
      <w:r w:rsidR="007C27B7" w:rsidRPr="00273106">
        <w:t xml:space="preserve">, 35−36). </w:t>
      </w:r>
      <w:r w:rsidR="00783BCB">
        <w:t>A</w:t>
      </w:r>
      <w:r w:rsidR="00084564" w:rsidRPr="00273106">
        <w:t xml:space="preserve">utoři </w:t>
      </w:r>
      <w:r w:rsidR="00783BCB">
        <w:t xml:space="preserve">prvního averroismu </w:t>
      </w:r>
      <w:r w:rsidR="00084564" w:rsidRPr="00273106">
        <w:t>neklasifikují Komentáto</w:t>
      </w:r>
      <w:r w:rsidR="00084564">
        <w:t>ra jako zastánce monopsychismu</w:t>
      </w:r>
      <w:r w:rsidR="08C17CFD">
        <w:t>. Tuto interp</w:t>
      </w:r>
      <w:r w:rsidR="084F1449">
        <w:t>r</w:t>
      </w:r>
      <w:r w:rsidR="08C17CFD">
        <w:t>e</w:t>
      </w:r>
      <w:r w:rsidR="084F1449">
        <w:t>taci p</w:t>
      </w:r>
      <w:r w:rsidR="00C32340">
        <w:t xml:space="preserve">oprvé </w:t>
      </w:r>
      <w:r w:rsidR="00783BCB">
        <w:t xml:space="preserve">provedl </w:t>
      </w:r>
      <w:r w:rsidR="084F1449">
        <w:t xml:space="preserve">zakladatel </w:t>
      </w:r>
      <w:r w:rsidR="00783BCB">
        <w:t>druhého averroismu Ruf</w:t>
      </w:r>
      <w:r w:rsidR="089D3F64">
        <w:t>us z Cornwallu roku 1236 (kap. 3</w:t>
      </w:r>
      <w:r w:rsidR="00783BCB">
        <w:t>.3.3)</w:t>
      </w:r>
      <w:r w:rsidR="089671DD">
        <w:t xml:space="preserve">. </w:t>
      </w:r>
      <w:r w:rsidR="007C27B7" w:rsidRPr="00273106">
        <w:t xml:space="preserve">Okolnosti první recepce </w:t>
      </w:r>
      <w:r w:rsidR="006439B8">
        <w:t>Averroe</w:t>
      </w:r>
      <w:r w:rsidR="00142278">
        <w:t xml:space="preserve">sovy metafyziky </w:t>
      </w:r>
      <w:r w:rsidR="007C27B7" w:rsidRPr="00273106">
        <w:t>potvrzují předešlou interpretaci CMDA</w:t>
      </w:r>
      <w:r w:rsidR="00521AC0" w:rsidRPr="00273106">
        <w:t xml:space="preserve">, která ukázala zásadní shodu mezi </w:t>
      </w:r>
      <w:r w:rsidR="08134B4B" w:rsidRPr="00273106">
        <w:t xml:space="preserve">výkladem Ibn Rušda </w:t>
      </w:r>
      <w:r w:rsidR="08134B4B">
        <w:t xml:space="preserve">a </w:t>
      </w:r>
      <w:r w:rsidR="00521AC0" w:rsidRPr="00273106">
        <w:t xml:space="preserve">aristotelismem </w:t>
      </w:r>
      <w:r w:rsidR="08134B4B">
        <w:t xml:space="preserve">Pařížské </w:t>
      </w:r>
      <w:r w:rsidR="00F576B2">
        <w:t xml:space="preserve">školy </w:t>
      </w:r>
      <w:r w:rsidR="08134B4B">
        <w:t xml:space="preserve">angažované v polemice proti avicennistickým porretánům a </w:t>
      </w:r>
      <w:r w:rsidR="08134B4B" w:rsidRPr="08134B4B">
        <w:rPr>
          <w:i/>
        </w:rPr>
        <w:t>Nominales</w:t>
      </w:r>
      <w:r w:rsidR="00521AC0" w:rsidRPr="00273106">
        <w:t xml:space="preserve">. </w:t>
      </w:r>
      <w:r w:rsidR="002A2C33" w:rsidRPr="00273106">
        <w:t xml:space="preserve">Aristotelsky </w:t>
      </w:r>
      <w:r w:rsidR="00D95B3F">
        <w:t xml:space="preserve">myslící </w:t>
      </w:r>
      <w:r w:rsidR="002A2C33" w:rsidRPr="00273106">
        <w:t xml:space="preserve">filosofové </w:t>
      </w:r>
      <w:r w:rsidR="008F3164">
        <w:t xml:space="preserve">v tradici Boethia a Abelarda </w:t>
      </w:r>
      <w:r w:rsidR="00250B0D">
        <w:t xml:space="preserve">vystupující proti porretánské škole </w:t>
      </w:r>
      <w:r w:rsidR="00250B0D" w:rsidRPr="00250B0D">
        <w:rPr>
          <w:i/>
        </w:rPr>
        <w:t>Nominales</w:t>
      </w:r>
      <w:r w:rsidR="00250B0D">
        <w:t xml:space="preserve"> </w:t>
      </w:r>
      <w:r w:rsidR="005518E5">
        <w:t>neměli s přijetím Averroe</w:t>
      </w:r>
      <w:r w:rsidR="002A2C33" w:rsidRPr="00273106">
        <w:t>se žád</w:t>
      </w:r>
      <w:r w:rsidR="006439B8">
        <w:t xml:space="preserve">né problémy. </w:t>
      </w:r>
      <w:r w:rsidR="08CA3DD2">
        <w:t xml:space="preserve">Znalci Averroese z Abelardovy a Blundovy školy hájili první substanci jako </w:t>
      </w:r>
      <w:r w:rsidR="08CA3DD2" w:rsidRPr="00075C37">
        <w:rPr>
          <w:i/>
        </w:rPr>
        <w:t>totum integrum</w:t>
      </w:r>
      <w:r w:rsidR="08CA3DD2">
        <w:t xml:space="preserve">, kterou </w:t>
      </w:r>
      <w:r w:rsidR="00685661">
        <w:t xml:space="preserve">při interpretaci CMDA </w:t>
      </w:r>
      <w:r w:rsidR="08CA3DD2">
        <w:rPr>
          <w:i/>
        </w:rPr>
        <w:fldChar w:fldCharType="begin"/>
      </w:r>
      <w:r w:rsidR="08CA3DD2">
        <w:instrText xml:space="preserve"> XE "</w:instrText>
      </w:r>
      <w:r w:rsidR="08CA3DD2" w:rsidRPr="00A61533">
        <w:rPr>
          <w:i/>
        </w:rPr>
        <w:instrText>totum integrum</w:instrText>
      </w:r>
      <w:r w:rsidR="08CA3DD2">
        <w:instrText xml:space="preserve">" </w:instrText>
      </w:r>
      <w:r w:rsidR="08CA3DD2">
        <w:rPr>
          <w:i/>
        </w:rPr>
        <w:fldChar w:fldCharType="end"/>
      </w:r>
      <w:r w:rsidR="08CA3DD2">
        <w:t xml:space="preserve">vázali </w:t>
      </w:r>
      <w:r w:rsidR="08CA3DD2">
        <w:lastRenderedPageBreak/>
        <w:t xml:space="preserve">na Boethiovu definici osoby jako nedělitelné hylemorfické substance. </w:t>
      </w:r>
      <w:r w:rsidR="08CA3DD2" w:rsidRPr="00273106">
        <w:t>Představitelé prvního averroismu odmítli</w:t>
      </w:r>
      <w:r w:rsidR="08CA3DD2">
        <w:t xml:space="preserve"> ve jménu Komentátora učení moderních </w:t>
      </w:r>
      <w:r w:rsidR="08CA3DD2" w:rsidRPr="00273106">
        <w:t>Latiníků</w:t>
      </w:r>
      <w:r w:rsidR="08CA3DD2">
        <w:t xml:space="preserve"> zavádějících do výkladu </w:t>
      </w:r>
      <w:r w:rsidR="08CA3DD2" w:rsidRPr="00385EE6">
        <w:rPr>
          <w:i/>
        </w:rPr>
        <w:t>De anima</w:t>
      </w:r>
      <w:r w:rsidR="08CA3DD2">
        <w:t xml:space="preserve"> neoplatonské prvky podle Avicenny. Proud augustiniánských avicennistů ničil</w:t>
      </w:r>
      <w:r w:rsidR="08CA3DD2" w:rsidRPr="00273106">
        <w:t xml:space="preserve"> základy kře</w:t>
      </w:r>
      <w:r w:rsidR="08CA3DD2">
        <w:t xml:space="preserve">sťanské nauky o bohu a o člověku, což ukázala debata o triteismu ve druhé polovině 12. století. </w:t>
      </w:r>
      <w:r w:rsidR="089D3FE4">
        <w:t>F</w:t>
      </w:r>
      <w:r w:rsidR="08CA3DD2">
        <w:t xml:space="preserve">ilosofičtí zakladatelé Pařížské univerzity ve shodě s </w:t>
      </w:r>
      <w:r w:rsidR="089D3FE4">
        <w:t>aristotelismem Boethia a Abelarda c</w:t>
      </w:r>
      <w:r w:rsidR="08CA3DD2" w:rsidRPr="00273106">
        <w:t>hápali poznání jako individuální vo</w:t>
      </w:r>
      <w:r w:rsidR="08CA3DD2">
        <w:t xml:space="preserve">lní akt </w:t>
      </w:r>
      <w:r w:rsidR="08CA3DD2" w:rsidRPr="00273106">
        <w:t xml:space="preserve">vázaný na tělesné schopnosti. </w:t>
      </w:r>
      <w:r w:rsidR="089D3FE4">
        <w:t xml:space="preserve">Stejně jako Komentátor hájili výklad metafyziky daný nasvícením zepředu od reálné substance a </w:t>
      </w:r>
      <w:r w:rsidR="089D3FE4" w:rsidRPr="00273106">
        <w:t xml:space="preserve">odmítli </w:t>
      </w:r>
      <w:r w:rsidR="089D3FE4">
        <w:t xml:space="preserve">moderní </w:t>
      </w:r>
      <w:r w:rsidR="089D3FE4" w:rsidRPr="00273106">
        <w:t>pluralitu substancí v člověku</w:t>
      </w:r>
      <w:r w:rsidR="089D3FE4">
        <w:t xml:space="preserve">. </w:t>
      </w:r>
      <w:r w:rsidR="08CA3DD2" w:rsidRPr="00273106">
        <w:t>Zastánci této školy odmítají nauky sv</w:t>
      </w:r>
      <w:r w:rsidR="08CA3DD2">
        <w:t xml:space="preserve">ých současníků zvaných </w:t>
      </w:r>
      <w:r w:rsidR="08CA3DD2" w:rsidRPr="00273106">
        <w:rPr>
          <w:i/>
        </w:rPr>
        <w:t>Latini</w:t>
      </w:r>
      <w:r w:rsidR="08CA3DD2">
        <w:t xml:space="preserve"> nebo </w:t>
      </w:r>
      <w:r w:rsidR="08CA3DD2" w:rsidRPr="00273106">
        <w:rPr>
          <w:i/>
        </w:rPr>
        <w:t>Moderni</w:t>
      </w:r>
      <w:r w:rsidR="08CA3DD2">
        <w:rPr>
          <w:i/>
        </w:rPr>
        <w:fldChar w:fldCharType="begin"/>
      </w:r>
      <w:r w:rsidR="08CA3DD2">
        <w:instrText xml:space="preserve"> XE "</w:instrText>
      </w:r>
      <w:r w:rsidR="08CA3DD2" w:rsidRPr="00B46F32">
        <w:instrText>averroismus:</w:instrText>
      </w:r>
      <w:r w:rsidR="08CA3DD2" w:rsidRPr="005F344F">
        <w:rPr>
          <w:i/>
        </w:rPr>
        <w:instrText>Moderni</w:instrText>
      </w:r>
      <w:r w:rsidR="08CA3DD2">
        <w:instrText xml:space="preserve">" </w:instrText>
      </w:r>
      <w:r w:rsidR="08CA3DD2">
        <w:rPr>
          <w:i/>
        </w:rPr>
        <w:fldChar w:fldCharType="end"/>
      </w:r>
      <w:r w:rsidR="08CA3DD2" w:rsidRPr="00273106">
        <w:t xml:space="preserve">, kteří nepochopili </w:t>
      </w:r>
      <w:r w:rsidR="08CA3DD2">
        <w:t xml:space="preserve">nebo nepřijali </w:t>
      </w:r>
      <w:r w:rsidR="08CA3DD2" w:rsidRPr="00273106">
        <w:t xml:space="preserve">výklad </w:t>
      </w:r>
      <w:r w:rsidR="08FA5DCD">
        <w:t xml:space="preserve">metafyziky podaný </w:t>
      </w:r>
      <w:r w:rsidR="08FA5DCD" w:rsidRPr="08FA5DCD">
        <w:rPr>
          <w:i/>
        </w:rPr>
        <w:t>ad mentem Averrois</w:t>
      </w:r>
      <w:r w:rsidR="08FA5DCD">
        <w:rPr>
          <w:i/>
        </w:rPr>
        <w:fldChar w:fldCharType="begin"/>
      </w:r>
      <w:r w:rsidR="08FA5DCD">
        <w:instrText xml:space="preserve"> XE "</w:instrText>
      </w:r>
      <w:r w:rsidR="08FA5DCD" w:rsidRPr="08E003E8">
        <w:rPr>
          <w:i/>
        </w:rPr>
        <w:instrText>ad mentem Averrois</w:instrText>
      </w:r>
      <w:r w:rsidR="08FA5DCD">
        <w:instrText xml:space="preserve">" </w:instrText>
      </w:r>
      <w:r w:rsidR="08FA5DCD">
        <w:rPr>
          <w:i/>
        </w:rPr>
        <w:fldChar w:fldCharType="end"/>
      </w:r>
      <w:r w:rsidR="08FA5DCD">
        <w:t xml:space="preserve">. </w:t>
      </w:r>
      <w:r w:rsidR="08CA3DD2" w:rsidRPr="00273106">
        <w:t xml:space="preserve"> </w:t>
      </w:r>
      <w:r w:rsidR="00385EE6">
        <w:t>Proto byla debata mezi prvním a druhým averroismem tak bouřlivá</w:t>
      </w:r>
      <w:r w:rsidR="084E647B">
        <w:t>, zejména v letech 1245</w:t>
      </w:r>
      <w:r w:rsidR="087D3D03">
        <w:t>‒55</w:t>
      </w:r>
      <w:r w:rsidR="002A2C33" w:rsidRPr="00273106">
        <w:t xml:space="preserve">. </w:t>
      </w:r>
      <w:r w:rsidR="0014415C">
        <w:t>Kladná recepce Averroe</w:t>
      </w:r>
      <w:r w:rsidR="006F3547" w:rsidRPr="00273106">
        <w:t xml:space="preserve">se daná v prvním averroismu byla vystřídána </w:t>
      </w:r>
      <w:r w:rsidR="084E647B">
        <w:t xml:space="preserve">po roce 1250 </w:t>
      </w:r>
      <w:r w:rsidR="006F3547" w:rsidRPr="00273106">
        <w:t xml:space="preserve">záporným pohledem, který ukazuje na novou konstelaci </w:t>
      </w:r>
      <w:r w:rsidR="006F3547" w:rsidRPr="00273106">
        <w:rPr>
          <w:i/>
        </w:rPr>
        <w:t>tertium ens</w:t>
      </w:r>
      <w:r w:rsidR="006F3547" w:rsidRPr="00273106">
        <w:t xml:space="preserve"> v tehdejší scholastice.</w:t>
      </w:r>
      <w:r w:rsidR="006F3547">
        <w:t xml:space="preserve"> </w:t>
      </w:r>
      <w:r w:rsidR="00551E53" w:rsidRPr="00273106">
        <w:t>O</w:t>
      </w:r>
      <w:r w:rsidR="003B495C" w:rsidRPr="00273106">
        <w:t xml:space="preserve">bvinění </w:t>
      </w:r>
      <w:r w:rsidR="00551E53" w:rsidRPr="00273106">
        <w:t>z averroismu</w:t>
      </w:r>
      <w:r w:rsidR="00DF6360">
        <w:t xml:space="preserve"> </w:t>
      </w:r>
      <w:r w:rsidR="000F1A22">
        <w:t>používali všichni interpreti</w:t>
      </w:r>
      <w:r w:rsidR="003B495C" w:rsidRPr="00273106">
        <w:t xml:space="preserve"> Ibn Rušda</w:t>
      </w:r>
      <w:r w:rsidR="00DF6360">
        <w:t xml:space="preserve">. Ale jen </w:t>
      </w:r>
      <w:r w:rsidR="0868212B" w:rsidRPr="0868212B">
        <w:rPr>
          <w:i/>
        </w:rPr>
        <w:t>Moderni</w:t>
      </w:r>
      <w:r w:rsidR="0868212B">
        <w:t xml:space="preserve"> zásadním způsobem změnili</w:t>
      </w:r>
      <w:r w:rsidR="00DF6360">
        <w:t xml:space="preserve"> </w:t>
      </w:r>
      <w:r w:rsidR="003B495C" w:rsidRPr="00273106">
        <w:t>učení Aristotela</w:t>
      </w:r>
      <w:r w:rsidR="00DF6360">
        <w:t xml:space="preserve"> </w:t>
      </w:r>
      <w:r w:rsidR="00842FCF">
        <w:t xml:space="preserve">směrem k objektivitě </w:t>
      </w:r>
      <w:r w:rsidR="0868212B">
        <w:t>a desinterpetovali</w:t>
      </w:r>
      <w:r w:rsidR="00DF6360">
        <w:t xml:space="preserve"> smysl CMDA</w:t>
      </w:r>
      <w:r w:rsidR="00842FCF">
        <w:t xml:space="preserve"> směrem k avicennismu</w:t>
      </w:r>
      <w:r w:rsidR="006439B8">
        <w:t>.</w:t>
      </w:r>
    </w:p>
    <w:p w14:paraId="08A5860C" w14:textId="77777777" w:rsidR="009B4CBE" w:rsidRDefault="00BB0296" w:rsidP="0868212B">
      <w:pPr>
        <w:ind w:firstLine="397"/>
      </w:pPr>
      <w:r w:rsidRPr="00273106">
        <w:t>Hermeneutika</w:t>
      </w:r>
      <w:r w:rsidR="08A31499">
        <w:t xml:space="preserve"> musí vyložit základní formy </w:t>
      </w:r>
      <w:r w:rsidRPr="00273106">
        <w:t>odkrytosti bytí jsoucího, které produkuje dějinné pole epochálního zjevování bytí (</w:t>
      </w:r>
      <w:r w:rsidRPr="00273106">
        <w:rPr>
          <w:i/>
        </w:rPr>
        <w:t>Lichtung</w:t>
      </w:r>
      <w:r w:rsidR="00025071">
        <w:rPr>
          <w:i/>
        </w:rPr>
        <w:fldChar w:fldCharType="begin"/>
      </w:r>
      <w:r w:rsidR="00025071">
        <w:instrText xml:space="preserve"> XE "</w:instrText>
      </w:r>
      <w:r w:rsidR="00025071" w:rsidRPr="009661DF">
        <w:rPr>
          <w:i/>
        </w:rPr>
        <w:instrText>Lichtung:</w:instrText>
      </w:r>
      <w:r w:rsidR="00025071" w:rsidRPr="009661DF">
        <w:instrText>první averroismus</w:instrText>
      </w:r>
      <w:r w:rsidR="00025071">
        <w:instrText xml:space="preserve">" </w:instrText>
      </w:r>
      <w:r w:rsidR="00025071">
        <w:rPr>
          <w:i/>
        </w:rPr>
        <w:fldChar w:fldCharType="end"/>
      </w:r>
      <w:r w:rsidRPr="00273106">
        <w:t>)</w:t>
      </w:r>
      <w:r w:rsidR="00395EBE">
        <w:t xml:space="preserve"> </w:t>
      </w:r>
      <w:r w:rsidR="08B46134">
        <w:t xml:space="preserve">před a </w:t>
      </w:r>
      <w:r w:rsidR="00395EBE">
        <w:t>po recepci Averroe</w:t>
      </w:r>
      <w:r>
        <w:t>sova korpusu</w:t>
      </w:r>
      <w:r w:rsidR="08B46134">
        <w:t xml:space="preserve"> v letech 1200</w:t>
      </w:r>
      <w:r w:rsidR="086D1BA4">
        <w:t>‒</w:t>
      </w:r>
      <w:r w:rsidR="08B46134">
        <w:t>125</w:t>
      </w:r>
      <w:r w:rsidR="086D1BA4">
        <w:t>0</w:t>
      </w:r>
      <w:r w:rsidRPr="00273106">
        <w:t>.</w:t>
      </w:r>
      <w:r w:rsidR="00D649F2">
        <w:rPr>
          <w:szCs w:val="27"/>
          <w:shd w:val="clear" w:color="auto" w:fill="FFFFFF"/>
        </w:rPr>
        <w:t xml:space="preserve"> </w:t>
      </w:r>
      <w:r w:rsidR="00410F5A" w:rsidRPr="00273106">
        <w:t xml:space="preserve">Metodologický úvod </w:t>
      </w:r>
      <w:r w:rsidR="00395EBE">
        <w:t xml:space="preserve">práce </w:t>
      </w:r>
      <w:r w:rsidR="00410F5A" w:rsidRPr="00273106">
        <w:t xml:space="preserve">zdůraznil, že odkryté </w:t>
      </w:r>
      <w:r w:rsidR="00410F5A" w:rsidRPr="00273106">
        <w:rPr>
          <w:i/>
        </w:rPr>
        <w:t>tertium ens</w:t>
      </w:r>
      <w:r w:rsidR="00410F5A" w:rsidRPr="00273106">
        <w:t xml:space="preserve"> se musí někomu ukazovat, protože jen tak přejde z letargické fáze </w:t>
      </w:r>
      <w:r w:rsidR="0069196A">
        <w:t xml:space="preserve">bytí dané v </w:t>
      </w:r>
      <w:r w:rsidR="0069196A" w:rsidRPr="0069196A">
        <w:rPr>
          <w:i/>
        </w:rPr>
        <w:t>Lichtung</w:t>
      </w:r>
      <w:r w:rsidR="0069196A">
        <w:t xml:space="preserve"> </w:t>
      </w:r>
      <w:r w:rsidR="00410F5A" w:rsidRPr="00273106">
        <w:t xml:space="preserve">do </w:t>
      </w:r>
      <w:r w:rsidR="00D2299D" w:rsidRPr="00273106">
        <w:t xml:space="preserve">přímého </w:t>
      </w:r>
      <w:r w:rsidR="00410F5A" w:rsidRPr="00273106">
        <w:t xml:space="preserve">dějinného působení </w:t>
      </w:r>
      <w:r w:rsidR="0069196A">
        <w:t xml:space="preserve">v rámci plné odkrytosti </w:t>
      </w:r>
      <w:r w:rsidR="00410F5A" w:rsidRPr="00273106">
        <w:t>(</w:t>
      </w:r>
      <w:r w:rsidR="085E12A8">
        <w:t xml:space="preserve">OBJ I, </w:t>
      </w:r>
      <w:r w:rsidR="00410F5A" w:rsidRPr="00273106">
        <w:t xml:space="preserve">kap. 1). </w:t>
      </w:r>
      <w:r w:rsidR="087D1304">
        <w:t>Objektivita</w:t>
      </w:r>
      <w:r w:rsidR="087D1304" w:rsidRPr="00273106">
        <w:t xml:space="preserve"> </w:t>
      </w:r>
      <w:r w:rsidR="087D1304">
        <w:t>po</w:t>
      </w:r>
      <w:r w:rsidR="087D1304">
        <w:noBreakHyphen/>
        <w:t>odkrytá</w:t>
      </w:r>
      <w:r w:rsidR="00E7409B">
        <w:t xml:space="preserve"> </w:t>
      </w:r>
      <w:r w:rsidR="087D1304">
        <w:t xml:space="preserve">v traktátech porretánů přešla </w:t>
      </w:r>
      <w:r w:rsidR="00410F5A" w:rsidRPr="00273106">
        <w:t xml:space="preserve">do epochální </w:t>
      </w:r>
      <w:r w:rsidR="00F26F2C">
        <w:t xml:space="preserve">formy pravdy jako </w:t>
      </w:r>
      <w:r w:rsidR="0069196A" w:rsidRPr="00E12118">
        <w:rPr>
          <w:i/>
        </w:rPr>
        <w:t>alétheia</w:t>
      </w:r>
      <w:r w:rsidR="0069196A">
        <w:t xml:space="preserve"> </w:t>
      </w:r>
      <w:r w:rsidR="00410F5A" w:rsidRPr="00273106">
        <w:t xml:space="preserve">v momentu, kdy se celý spor o substanci </w:t>
      </w:r>
      <w:r w:rsidR="087D1304">
        <w:t xml:space="preserve">dostal pod </w:t>
      </w:r>
      <w:r w:rsidR="08A171A1">
        <w:t xml:space="preserve">vliv </w:t>
      </w:r>
      <w:r w:rsidR="00395EBE">
        <w:t>Averroe</w:t>
      </w:r>
      <w:r w:rsidR="087D1304">
        <w:t>sovy metafyziky</w:t>
      </w:r>
      <w:r w:rsidR="00410F5A" w:rsidRPr="00273106">
        <w:t xml:space="preserve">. </w:t>
      </w:r>
      <w:r w:rsidR="00C612AC">
        <w:t xml:space="preserve">Tento dějinný fakt založil nový </w:t>
      </w:r>
      <w:r w:rsidR="00C612AC" w:rsidRPr="00C612AC">
        <w:rPr>
          <w:i/>
        </w:rPr>
        <w:t>Ereignis</w:t>
      </w:r>
      <w:r w:rsidR="00C612AC">
        <w:t xml:space="preserve"> západní metafyziky, protože určil pravdu a nepravdu </w:t>
      </w:r>
      <w:r w:rsidR="083C14DA">
        <w:t xml:space="preserve">západní </w:t>
      </w:r>
      <w:r w:rsidR="00C612AC">
        <w:t xml:space="preserve">objektivity. </w:t>
      </w:r>
      <w:r w:rsidR="00BA1FCD" w:rsidRPr="00273106">
        <w:t xml:space="preserve">Spor mezi školou prvního a druhého averroismu </w:t>
      </w:r>
      <w:r w:rsidR="00DE6B65">
        <w:t>založil ve vítězné metafyzice moderny novou skrytost jsoucna tematizovanou</w:t>
      </w:r>
      <w:r w:rsidR="00BA1FCD" w:rsidRPr="00273106">
        <w:t xml:space="preserve"> v Heideggerově termínu </w:t>
      </w:r>
      <w:r w:rsidR="00BA1FCD" w:rsidRPr="00273106">
        <w:rPr>
          <w:i/>
        </w:rPr>
        <w:t>Irre</w:t>
      </w:r>
      <w:r w:rsidR="00BC0DC9">
        <w:rPr>
          <w:i/>
        </w:rPr>
        <w:fldChar w:fldCharType="begin"/>
      </w:r>
      <w:r w:rsidR="00BC0DC9">
        <w:instrText xml:space="preserve"> XE "</w:instrText>
      </w:r>
      <w:r w:rsidR="00BC0DC9" w:rsidRPr="00E338E0">
        <w:rPr>
          <w:i/>
        </w:rPr>
        <w:instrText>Irre</w:instrText>
      </w:r>
      <w:r w:rsidR="00BC0DC9">
        <w:instrText xml:space="preserve">" </w:instrText>
      </w:r>
      <w:r w:rsidR="00BC0DC9">
        <w:rPr>
          <w:i/>
        </w:rPr>
        <w:fldChar w:fldCharType="end"/>
      </w:r>
      <w:r w:rsidR="00BA1FCD" w:rsidRPr="00273106">
        <w:t xml:space="preserve"> a </w:t>
      </w:r>
      <w:r w:rsidR="00BA1FCD" w:rsidRPr="00273106">
        <w:rPr>
          <w:i/>
        </w:rPr>
        <w:t>Irrtum</w:t>
      </w:r>
      <w:r w:rsidR="00BA1FCD" w:rsidRPr="00273106">
        <w:t xml:space="preserve"> (</w:t>
      </w:r>
      <w:r w:rsidR="085E12A8">
        <w:t xml:space="preserve">OBJ I, </w:t>
      </w:r>
      <w:r w:rsidR="084E7952">
        <w:t>kap. 1.3</w:t>
      </w:r>
      <w:r w:rsidR="00BA1FCD" w:rsidRPr="00273106">
        <w:t xml:space="preserve">). </w:t>
      </w:r>
      <w:r w:rsidR="08744643" w:rsidRPr="00273106">
        <w:t xml:space="preserve">Zatmění jsoucna vyložené v předešlé matrici sporem mezi aristoteliky a </w:t>
      </w:r>
      <w:r w:rsidR="08744643" w:rsidRPr="00273106">
        <w:rPr>
          <w:i/>
        </w:rPr>
        <w:t>Nominales</w:t>
      </w:r>
      <w:r w:rsidR="08744643" w:rsidRPr="00273106">
        <w:t xml:space="preserve"> dostalo novou dynamiku. </w:t>
      </w:r>
      <w:r w:rsidR="00BA1FCD" w:rsidRPr="00273106">
        <w:rPr>
          <w:lang w:eastAsia="en-US"/>
        </w:rPr>
        <w:t xml:space="preserve">V prvním averroismu, rezolutně odmítajícím jakékoliv formy </w:t>
      </w:r>
      <w:r w:rsidR="00BA1FCD" w:rsidRPr="00273106">
        <w:rPr>
          <w:i/>
          <w:lang w:eastAsia="en-US"/>
        </w:rPr>
        <w:t>tertium ens</w:t>
      </w:r>
      <w:r w:rsidR="00BA1FCD" w:rsidRPr="00273106">
        <w:rPr>
          <w:lang w:eastAsia="en-US"/>
        </w:rPr>
        <w:t>, nemohl vznikn</w:t>
      </w:r>
      <w:r w:rsidR="00471F3A">
        <w:rPr>
          <w:lang w:eastAsia="en-US"/>
        </w:rPr>
        <w:t>out konc</w:t>
      </w:r>
      <w:r w:rsidR="083657DB">
        <w:rPr>
          <w:lang w:eastAsia="en-US"/>
        </w:rPr>
        <w:t>ept objektivity. P</w:t>
      </w:r>
      <w:r w:rsidR="00471F3A">
        <w:rPr>
          <w:lang w:eastAsia="en-US"/>
        </w:rPr>
        <w:t xml:space="preserve">ředešlá matrice ukázala </w:t>
      </w:r>
      <w:r w:rsidR="083657DB">
        <w:rPr>
          <w:lang w:eastAsia="en-US"/>
        </w:rPr>
        <w:t xml:space="preserve">základní </w:t>
      </w:r>
      <w:r w:rsidR="00471F3A">
        <w:rPr>
          <w:lang w:eastAsia="en-US"/>
        </w:rPr>
        <w:t xml:space="preserve">důvody </w:t>
      </w:r>
      <w:r w:rsidR="08CA1863">
        <w:rPr>
          <w:lang w:eastAsia="en-US"/>
        </w:rPr>
        <w:t xml:space="preserve">pro </w:t>
      </w:r>
      <w:r w:rsidR="00471F3A">
        <w:rPr>
          <w:lang w:eastAsia="en-US"/>
        </w:rPr>
        <w:t>odmítnutí jsoucna třetího druhu</w:t>
      </w:r>
      <w:r w:rsidR="00395EBE">
        <w:rPr>
          <w:lang w:eastAsia="en-US"/>
        </w:rPr>
        <w:t xml:space="preserve">, které poprvé tematizoval aristotelik </w:t>
      </w:r>
      <w:r w:rsidR="00CB3E4F">
        <w:rPr>
          <w:lang w:eastAsia="en-US"/>
        </w:rPr>
        <w:t>Abélard</w:t>
      </w:r>
      <w:r w:rsidR="00395EBE">
        <w:rPr>
          <w:lang w:eastAsia="en-US"/>
        </w:rPr>
        <w:t xml:space="preserve"> a na něj napojené logické školy v linii Boethia</w:t>
      </w:r>
      <w:r w:rsidR="000E6756">
        <w:rPr>
          <w:lang w:eastAsia="en-US"/>
        </w:rPr>
        <w:t xml:space="preserve"> a klasické </w:t>
      </w:r>
      <w:r w:rsidR="000E6756" w:rsidRPr="000E6756">
        <w:rPr>
          <w:i/>
          <w:lang w:eastAsia="en-US"/>
        </w:rPr>
        <w:t xml:space="preserve">logica </w:t>
      </w:r>
      <w:r w:rsidR="000E6756">
        <w:rPr>
          <w:i/>
          <w:lang w:eastAsia="en-US"/>
        </w:rPr>
        <w:lastRenderedPageBreak/>
        <w:t>V</w:t>
      </w:r>
      <w:r w:rsidR="000E6756" w:rsidRPr="000E6756">
        <w:rPr>
          <w:i/>
          <w:lang w:eastAsia="en-US"/>
        </w:rPr>
        <w:t>etus</w:t>
      </w:r>
      <w:r w:rsidR="00D17D7D">
        <w:rPr>
          <w:i/>
          <w:lang w:eastAsia="en-US"/>
        </w:rPr>
        <w:fldChar w:fldCharType="begin"/>
      </w:r>
      <w:r w:rsidR="00D17D7D">
        <w:instrText xml:space="preserve"> XE "</w:instrText>
      </w:r>
      <w:r w:rsidR="00D17D7D" w:rsidRPr="00322813">
        <w:rPr>
          <w:i/>
          <w:lang w:eastAsia="en-US"/>
        </w:rPr>
        <w:instrText>logica Vetus</w:instrText>
      </w:r>
      <w:r w:rsidR="00D17D7D">
        <w:instrText xml:space="preserve">" </w:instrText>
      </w:r>
      <w:r w:rsidR="00D17D7D">
        <w:rPr>
          <w:i/>
          <w:lang w:eastAsia="en-US"/>
        </w:rPr>
        <w:fldChar w:fldCharType="end"/>
      </w:r>
      <w:r w:rsidR="00BA1FCD" w:rsidRPr="00273106">
        <w:rPr>
          <w:lang w:eastAsia="en-US"/>
        </w:rPr>
        <w:t>.</w:t>
      </w:r>
      <w:r w:rsidR="00BA1FCD">
        <w:rPr>
          <w:lang w:eastAsia="en-US"/>
        </w:rPr>
        <w:t xml:space="preserve"> </w:t>
      </w:r>
      <w:r w:rsidR="00597637">
        <w:rPr>
          <w:lang w:eastAsia="en-US"/>
        </w:rPr>
        <w:t xml:space="preserve">Jiná situace byla ve školách porretánských </w:t>
      </w:r>
      <w:r w:rsidR="00597637" w:rsidRPr="00597637">
        <w:rPr>
          <w:i/>
          <w:lang w:eastAsia="en-US"/>
        </w:rPr>
        <w:t>Nominales</w:t>
      </w:r>
      <w:r w:rsidR="00597637">
        <w:rPr>
          <w:lang w:eastAsia="en-US"/>
        </w:rPr>
        <w:t xml:space="preserve"> napojených na školy </w:t>
      </w:r>
      <w:r w:rsidR="00597637" w:rsidRPr="00597637">
        <w:rPr>
          <w:i/>
          <w:lang w:eastAsia="en-US"/>
        </w:rPr>
        <w:t>logica Modernorum</w:t>
      </w:r>
      <w:r w:rsidR="0883198F">
        <w:rPr>
          <w:lang w:eastAsia="en-US"/>
        </w:rPr>
        <w:t xml:space="preserve"> skrze metafyziku Avicenny. </w:t>
      </w:r>
      <w:r w:rsidR="00047CF2" w:rsidRPr="00273106">
        <w:rPr>
          <w:lang w:eastAsia="en-US"/>
        </w:rPr>
        <w:t xml:space="preserve">V letech </w:t>
      </w:r>
      <w:r w:rsidR="00047CF2" w:rsidRPr="00273106">
        <w:t xml:space="preserve">1230–40 </w:t>
      </w:r>
      <w:r w:rsidR="005E1B95">
        <w:rPr>
          <w:lang w:eastAsia="en-US"/>
        </w:rPr>
        <w:t xml:space="preserve">vznikla na Oxfordu a Paříži </w:t>
      </w:r>
      <w:r w:rsidR="00047CF2" w:rsidRPr="00273106">
        <w:rPr>
          <w:lang w:eastAsia="en-US"/>
        </w:rPr>
        <w:t xml:space="preserve">nová syntéza smyslu jsoucna v rámci nově založené cesty </w:t>
      </w:r>
      <w:r w:rsidR="00047CF2" w:rsidRPr="00273106">
        <w:rPr>
          <w:i/>
          <w:lang w:eastAsia="en-US"/>
        </w:rPr>
        <w:t>Modernorum</w:t>
      </w:r>
      <w:r w:rsidR="00047CF2" w:rsidRPr="00273106">
        <w:rPr>
          <w:lang w:eastAsia="en-US"/>
        </w:rPr>
        <w:t>, která</w:t>
      </w:r>
      <w:r w:rsidR="00E752E8">
        <w:rPr>
          <w:lang w:eastAsia="en-US"/>
        </w:rPr>
        <w:t xml:space="preserve"> vytvořila</w:t>
      </w:r>
      <w:r w:rsidR="00047CF2" w:rsidRPr="00273106">
        <w:rPr>
          <w:lang w:eastAsia="en-US"/>
        </w:rPr>
        <w:t xml:space="preserve"> první model objektivity vázané na moderní subjekt. </w:t>
      </w:r>
      <w:r w:rsidR="00E830CF">
        <w:t>Rozdílný výklad Averro</w:t>
      </w:r>
      <w:r w:rsidR="00E752E8">
        <w:t>e</w:t>
      </w:r>
      <w:r w:rsidR="002742E4" w:rsidRPr="00273106">
        <w:t xml:space="preserve">sovy metafyziky hraje ve třetí matrici klíčovou roli. </w:t>
      </w:r>
      <w:r w:rsidR="00952296" w:rsidRPr="00273106">
        <w:t>Ro</w:t>
      </w:r>
      <w:r w:rsidR="08C70B9F">
        <w:t>k 1230 tvoří symbolický mezník a podle R</w:t>
      </w:r>
      <w:r w:rsidR="08B4343A">
        <w:t>olanda</w:t>
      </w:r>
      <w:r w:rsidR="08C70B9F">
        <w:t xml:space="preserve"> de Vaux i reálný</w:t>
      </w:r>
      <w:r w:rsidR="00952296" w:rsidRPr="00273106">
        <w:t>, kdy začíná působit n</w:t>
      </w:r>
      <w:r w:rsidR="009B4CBE">
        <w:t>ové pojetí metafyziky a pravdy.</w:t>
      </w:r>
    </w:p>
    <w:p w14:paraId="436E05A7" w14:textId="354A11D8" w:rsidR="003C3F4E" w:rsidRDefault="0038587C" w:rsidP="0868212B">
      <w:pPr>
        <w:ind w:firstLine="397"/>
      </w:pPr>
      <w:r>
        <w:rPr>
          <w:color w:val="000000"/>
        </w:rPr>
        <w:t xml:space="preserve">Friedrichův dvorní astrolog a překladatel </w:t>
      </w:r>
      <w:r>
        <w:t>Michael Scotus</w:t>
      </w:r>
      <w:r w:rsidR="00281E52">
        <w:fldChar w:fldCharType="begin"/>
      </w:r>
      <w:r w:rsidR="00281E52">
        <w:instrText xml:space="preserve"> XE "</w:instrText>
      </w:r>
      <w:r w:rsidR="00281E52" w:rsidRPr="006619E2">
        <w:instrText>Scotus, Michael</w:instrText>
      </w:r>
      <w:r w:rsidR="00281E52">
        <w:instrText xml:space="preserve">" </w:instrText>
      </w:r>
      <w:r w:rsidR="00281E52">
        <w:fldChar w:fldCharType="end"/>
      </w:r>
      <w:r w:rsidR="009B4CBE">
        <w:t xml:space="preserve"> navštívil</w:t>
      </w:r>
      <w:r>
        <w:t xml:space="preserve"> Pařížskou univerzitu roku 1230. Jeho příchod a přinesené spisy zásadně napomohly k zavedení školy prvního averroismu, která existovala v okruhu žáků Johannese Blunda. </w:t>
      </w:r>
      <w:r w:rsidR="08A8188F">
        <w:t>Zavedením možného intelektu na způsob CMDA vzniká v</w:t>
      </w:r>
      <w:r w:rsidR="08B31DEA">
        <w:t>edle křesťanského</w:t>
      </w:r>
      <w:r w:rsidR="08A8188F">
        <w:t xml:space="preserve"> neoplatonismu </w:t>
      </w:r>
      <w:r w:rsidR="08F74B24">
        <w:t>b</w:t>
      </w:r>
      <w:r w:rsidR="085C23C1">
        <w:t xml:space="preserve">ráněného školou moderních porretánů také </w:t>
      </w:r>
      <w:r w:rsidR="08A8188F" w:rsidRPr="00273106">
        <w:t xml:space="preserve">nové </w:t>
      </w:r>
      <w:r w:rsidR="08A8188F">
        <w:t>pole zjevování jsoucna</w:t>
      </w:r>
      <w:r w:rsidR="085C23C1">
        <w:t xml:space="preserve"> v prvním averroismu</w:t>
      </w:r>
      <w:r w:rsidR="08A8188F">
        <w:t xml:space="preserve">. </w:t>
      </w:r>
      <w:r w:rsidR="085C23C1">
        <w:t>Proto je rok 1230 i historickým datem, kdy začíná nová gigantomachie o substanci mezi školou prvního a druhého averroismu</w:t>
      </w:r>
      <w:r w:rsidR="085C23C1">
        <w:rPr>
          <w:i/>
          <w:lang w:eastAsia="en-US"/>
        </w:rPr>
        <w:fldChar w:fldCharType="begin"/>
      </w:r>
      <w:r w:rsidR="085C23C1">
        <w:instrText xml:space="preserve"> XE "</w:instrText>
      </w:r>
      <w:r w:rsidR="085C23C1" w:rsidRPr="000E608A">
        <w:instrText>substance</w:instrText>
      </w:r>
      <w:r w:rsidR="085C23C1">
        <w:instrText xml:space="preserve">:gigantomachie" </w:instrText>
      </w:r>
      <w:r w:rsidR="085C23C1">
        <w:rPr>
          <w:i/>
          <w:lang w:eastAsia="en-US"/>
        </w:rPr>
        <w:fldChar w:fldCharType="end"/>
      </w:r>
      <w:r w:rsidR="085C23C1">
        <w:t xml:space="preserve">. </w:t>
      </w:r>
      <w:r w:rsidR="00821FAF">
        <w:t xml:space="preserve">Autonomní působení Averroesovy filosofie je poprvé </w:t>
      </w:r>
      <w:r w:rsidR="085E12A8">
        <w:t xml:space="preserve">doloženo </w:t>
      </w:r>
      <w:r w:rsidR="00821FAF">
        <w:t xml:space="preserve">kolem roku 1225 skrze tvůrce spisu </w:t>
      </w:r>
      <w:r w:rsidR="089A1B6F">
        <w:rPr>
          <w:i/>
        </w:rPr>
        <w:t>De anima et de potenciis eius</w:t>
      </w:r>
      <w:r w:rsidR="00821FAF">
        <w:t xml:space="preserve">. </w:t>
      </w:r>
      <w:r w:rsidR="086F026A">
        <w:t xml:space="preserve">Grosseteste jako předpokládaný autor tohoto spisu a významný </w:t>
      </w:r>
      <w:r w:rsidR="00821FAF">
        <w:t xml:space="preserve">představitel Blundovy školy odmítne </w:t>
      </w:r>
      <w:r w:rsidR="084C6DAD">
        <w:t xml:space="preserve">výklad Aristotela </w:t>
      </w:r>
      <w:r w:rsidR="00821FAF">
        <w:t xml:space="preserve">komentovaného Toledskými avicennisty, kteří dali univerzáliím nové bytí ve světě </w:t>
      </w:r>
      <w:r w:rsidR="084C6DAD">
        <w:t>po vz</w:t>
      </w:r>
      <w:r w:rsidR="081A6A80">
        <w:t>or</w:t>
      </w:r>
      <w:r w:rsidR="08FC38EC">
        <w:t xml:space="preserve">u Avicenny </w:t>
      </w:r>
      <w:r w:rsidR="00821FAF">
        <w:t>(</w:t>
      </w:r>
      <w:r w:rsidR="00821FAF" w:rsidRPr="009B7E35">
        <w:rPr>
          <w:i/>
          <w:szCs w:val="24"/>
        </w:rPr>
        <w:t>habent esse in mundo</w:t>
      </w:r>
      <w:r w:rsidR="085E12A8">
        <w:rPr>
          <w:szCs w:val="24"/>
        </w:rPr>
        <w:t xml:space="preserve">; OBJ I, </w:t>
      </w:r>
      <w:r w:rsidR="00821FAF">
        <w:rPr>
          <w:szCs w:val="24"/>
        </w:rPr>
        <w:t>kap. 2.1.1</w:t>
      </w:r>
      <w:r w:rsidR="00821FAF">
        <w:t xml:space="preserve">). </w:t>
      </w:r>
      <w:r w:rsidR="082D7038">
        <w:t xml:space="preserve">V následující dekádě vzniká v Oxfordu první analytický výklad </w:t>
      </w:r>
      <w:r w:rsidR="082D7038" w:rsidRPr="00B431F4">
        <w:rPr>
          <w:i/>
        </w:rPr>
        <w:t>Druhých analytik</w:t>
      </w:r>
      <w:r w:rsidR="085E12A8">
        <w:t xml:space="preserve"> (kap. 3</w:t>
      </w:r>
      <w:r w:rsidR="082D7038">
        <w:t xml:space="preserve">.1.1) zakládající moderní pojetí vědy. Aristotelik Grossesteste změnil po odchodu z pařížské Blundovy školy  výklad Korpusu směrem k neoplatonismu. Jeho nauku přijali v Oxfordu po roce 1230 zdejší porretáni a hlavně mladí františkánští modernisté, jejichž vůdčím duchem byl Rufus z Cornwallu. </w:t>
      </w:r>
      <w:r w:rsidR="00FE6F13" w:rsidRPr="00273106">
        <w:t xml:space="preserve">Studium nově etablovaného aristotelského korpusu a přeložených </w:t>
      </w:r>
      <w:r w:rsidR="00FE6F13">
        <w:t>Averroe</w:t>
      </w:r>
      <w:r w:rsidR="00FE6F13" w:rsidRPr="00273106">
        <w:t xml:space="preserve">sových komentářů zásadně poznamenalo podobu filosofie na latinském Západě. </w:t>
      </w:r>
      <w:r w:rsidR="00FE6F13">
        <w:t>Zanikající moudrost falsafy v islámu získala v prostředí prvních křesťanských univerzit důstojné nástupce. Mimo jiné i díky prozíravým panovníkům odmítajících papežské kruciáty a překladatelským mecenášům jako b</w:t>
      </w:r>
      <w:r w:rsidR="007D4C32">
        <w:t>yl sicilský císař Friedrich II.</w:t>
      </w:r>
      <w:r w:rsidR="00AF3FD4">
        <w:fldChar w:fldCharType="begin"/>
      </w:r>
      <w:r w:rsidR="00AF3FD4">
        <w:instrText xml:space="preserve"> XE "</w:instrText>
      </w:r>
      <w:r w:rsidR="00AF3FD4" w:rsidRPr="00DD7A8B">
        <w:instrText>Friedrich II.</w:instrText>
      </w:r>
      <w:r w:rsidR="00AF3FD4">
        <w:instrText xml:space="preserve">" </w:instrText>
      </w:r>
      <w:r w:rsidR="00AF3FD4">
        <w:fldChar w:fldCharType="end"/>
      </w:r>
      <w:r w:rsidR="00FE6F13">
        <w:t xml:space="preserve"> (†1250).</w:t>
      </w:r>
      <w:r w:rsidR="089D4936">
        <w:t xml:space="preserve"> Diabolizace Friedricha II. daná exkomunikací (1229) a církevním odnětím císařské hodnosti (1245) byla spojena jeho s bojem proti papežskému státu v Itálii. Papežská propaganda jej vylíčila ve figuře moderního Antikrista či šelmy podle Janovy apokalypsy. Příznivci z řad filosofů a patriciátu italských měst jej poctili titulem „úžas světa“ </w:t>
      </w:r>
      <w:r w:rsidR="089D4936" w:rsidRPr="00BB55A6">
        <w:rPr>
          <w:iCs/>
        </w:rPr>
        <w:t>(</w:t>
      </w:r>
      <w:r w:rsidR="089D4936">
        <w:rPr>
          <w:i/>
          <w:iCs/>
        </w:rPr>
        <w:t>stupor mundi</w:t>
      </w:r>
      <w:r w:rsidR="089D4936" w:rsidRPr="00BB55A6">
        <w:rPr>
          <w:iCs/>
        </w:rPr>
        <w:t>)</w:t>
      </w:r>
      <w:r w:rsidR="089D4936">
        <w:t xml:space="preserve"> a „nejvyšší z pozemských vládců“ </w:t>
      </w:r>
      <w:r w:rsidR="089D4936" w:rsidRPr="00BB55A6">
        <w:rPr>
          <w:iCs/>
        </w:rPr>
        <w:t>(</w:t>
      </w:r>
      <w:r w:rsidR="089D4936">
        <w:rPr>
          <w:i/>
          <w:iCs/>
        </w:rPr>
        <w:t>principum mundi maximus</w:t>
      </w:r>
      <w:r w:rsidR="089D4936" w:rsidRPr="00BB55A6">
        <w:rPr>
          <w:iCs/>
        </w:rPr>
        <w:t>)</w:t>
      </w:r>
      <w:r w:rsidR="089D4936">
        <w:t xml:space="preserve">. Pro </w:t>
      </w:r>
      <w:r w:rsidR="089D4936">
        <w:lastRenderedPageBreak/>
        <w:t xml:space="preserve">recepci Averroese na latinském Západě je klíčová kolekce překladů </w:t>
      </w:r>
      <w:r w:rsidR="089D4936" w:rsidRPr="00EF0C38">
        <w:rPr>
          <w:i/>
        </w:rPr>
        <w:t>corpus Aristotelicum</w:t>
      </w:r>
      <w:r w:rsidR="089D4936">
        <w:rPr>
          <w:i/>
        </w:rPr>
        <w:t xml:space="preserve"> </w:t>
      </w:r>
      <w:r w:rsidR="089D4936" w:rsidRPr="00EF0C38">
        <w:t xml:space="preserve">z </w:t>
      </w:r>
      <w:r w:rsidR="089D4936">
        <w:t xml:space="preserve">palácové </w:t>
      </w:r>
      <w:r w:rsidR="089D4936" w:rsidRPr="00EF0C38">
        <w:t xml:space="preserve">knihovny </w:t>
      </w:r>
      <w:r w:rsidR="089D4936">
        <w:t xml:space="preserve">Friedricha II., které tento obdivovatel Aristotela plynule mluvící sedmi jazyky nechal zhotovit ve vlastní překladatelské dílně vedené Michaelem Scotem a na své náklady je poslal univerzitě v Bologni. Jeho syn Manfred vytvořil podobnou kolekci latinských překladů </w:t>
      </w:r>
      <w:r w:rsidR="089D4936" w:rsidRPr="00FD6F2C">
        <w:rPr>
          <w:i/>
        </w:rPr>
        <w:t>Corpus aristotelicum</w:t>
      </w:r>
      <w:r w:rsidR="089D4936">
        <w:t xml:space="preserve"> pro Pařížskou univerzitu.</w:t>
      </w:r>
      <w:r w:rsidR="00FE6F13">
        <w:t xml:space="preserve"> </w:t>
      </w:r>
      <w:r w:rsidR="08E0303A">
        <w:t xml:space="preserve">Tyto překlady prezentovaly jiného Aristotela než neoplatonská mystika Toledské školy. </w:t>
      </w:r>
      <w:r w:rsidR="089E67BF">
        <w:t xml:space="preserve">Scotus </w:t>
      </w:r>
      <w:r w:rsidR="089E67BF">
        <w:fldChar w:fldCharType="begin"/>
      </w:r>
      <w:r w:rsidR="089E67BF">
        <w:instrText xml:space="preserve"> XE "</w:instrText>
      </w:r>
      <w:r w:rsidR="089E67BF" w:rsidRPr="006619E2">
        <w:instrText>Scotus, Michael</w:instrText>
      </w:r>
      <w:r w:rsidR="089E67BF">
        <w:instrText xml:space="preserve">" </w:instrText>
      </w:r>
      <w:r w:rsidR="089E67BF">
        <w:fldChar w:fldCharType="end"/>
      </w:r>
      <w:r w:rsidR="089E67BF">
        <w:t xml:space="preserve">přichází roku 1230 přednášet </w:t>
      </w:r>
      <w:r w:rsidR="00DB4785">
        <w:t xml:space="preserve">do Paříže. Scotus </w:t>
      </w:r>
      <w:r w:rsidR="089E67BF">
        <w:t>přin</w:t>
      </w:r>
      <w:r w:rsidR="00DB4785">
        <w:t xml:space="preserve">esl </w:t>
      </w:r>
      <w:r w:rsidR="089E67BF">
        <w:t xml:space="preserve">z aristotelské překladatelské dílny Friedricha II. Sicilského první znalost Averroesovy metafyziky, která nebyla zatížena avicennismem překladatelů z Toledské školy. </w:t>
      </w:r>
      <w:r w:rsidR="08581252">
        <w:t>Neoplatonskou interpretaci Averroese měli překladatelé Toledské školy</w:t>
      </w:r>
      <w:r w:rsidR="08581252">
        <w:fldChar w:fldCharType="begin"/>
      </w:r>
      <w:r w:rsidR="08581252">
        <w:instrText xml:space="preserve"> XE "Toledská škola" </w:instrText>
      </w:r>
      <w:r w:rsidR="08581252">
        <w:fldChar w:fldCharType="end"/>
      </w:r>
      <w:r w:rsidR="08581252" w:rsidRPr="00AD4B67">
        <w:t xml:space="preserve"> </w:t>
      </w:r>
      <w:r w:rsidR="08581252">
        <w:t>jako byl Dominik Gundissalinus</w:t>
      </w:r>
      <w:r w:rsidR="08581252">
        <w:fldChar w:fldCharType="begin"/>
      </w:r>
      <w:r w:rsidR="08581252">
        <w:instrText xml:space="preserve"> XE "</w:instrText>
      </w:r>
      <w:r w:rsidR="08581252" w:rsidRPr="00AB6F57">
        <w:instrText>Gundissalinus, D.</w:instrText>
      </w:r>
      <w:r w:rsidR="08581252">
        <w:instrText xml:space="preserve">" </w:instrText>
      </w:r>
      <w:r w:rsidR="08581252">
        <w:fldChar w:fldCharType="end"/>
      </w:r>
      <w:r w:rsidR="08581252">
        <w:t xml:space="preserve">, kteří změnili výklad Al-Fárábího komentáře </w:t>
      </w:r>
      <w:r w:rsidR="08581252" w:rsidRPr="00111255">
        <w:rPr>
          <w:i/>
        </w:rPr>
        <w:t>De Anima</w:t>
      </w:r>
      <w:r w:rsidR="08581252">
        <w:t xml:space="preserve"> směrem k neoplatonismu (</w:t>
      </w:r>
      <w:r w:rsidR="08013CBF">
        <w:t xml:space="preserve">OBJ I, </w:t>
      </w:r>
      <w:r w:rsidR="08581252">
        <w:t xml:space="preserve">kap. 2.1.1). </w:t>
      </w:r>
      <w:r w:rsidR="08DB77DB">
        <w:t xml:space="preserve">Vliv této školy ukazuje například spis </w:t>
      </w:r>
      <w:r w:rsidR="08DB77DB" w:rsidRPr="00B31541">
        <w:rPr>
          <w:i/>
        </w:rPr>
        <w:t>Summa Duacensis</w:t>
      </w:r>
      <w:r w:rsidR="08013CBF">
        <w:t xml:space="preserve"> psaný kolem roku 1230 (kap. 2</w:t>
      </w:r>
      <w:r w:rsidR="08DB77DB">
        <w:t>.2</w:t>
      </w:r>
      <w:r w:rsidR="085022FC">
        <w:t>.2</w:t>
      </w:r>
      <w:r w:rsidR="08DB77DB">
        <w:t xml:space="preserve">). </w:t>
      </w:r>
      <w:r w:rsidR="00862AC1" w:rsidRPr="00273106">
        <w:t xml:space="preserve">První latinští znalci </w:t>
      </w:r>
      <w:r w:rsidR="089E67BF">
        <w:t xml:space="preserve">sicilského </w:t>
      </w:r>
      <w:r w:rsidR="00862AC1">
        <w:t xml:space="preserve">Averroese </w:t>
      </w:r>
      <w:r w:rsidR="00862AC1" w:rsidRPr="00273106">
        <w:t>ocenili pojetí indivi</w:t>
      </w:r>
      <w:r w:rsidR="00862AC1">
        <w:t xml:space="preserve">duálního poznání a adekvační teorii pravdy. Obojí postavili </w:t>
      </w:r>
      <w:r w:rsidR="00862AC1" w:rsidRPr="00273106">
        <w:t xml:space="preserve">proti </w:t>
      </w:r>
      <w:r w:rsidR="00862AC1">
        <w:t>iluminačnímu scénáři avicennovských teologů, jež způsobilo zatmění první substance</w:t>
      </w:r>
      <w:r w:rsidR="00862AC1">
        <w:fldChar w:fldCharType="begin"/>
      </w:r>
      <w:r w:rsidR="00862AC1">
        <w:instrText xml:space="preserve"> XE "</w:instrText>
      </w:r>
      <w:r w:rsidR="00862AC1" w:rsidRPr="00C27681">
        <w:instrText>zatmění</w:instrText>
      </w:r>
      <w:r w:rsidR="00862AC1">
        <w:instrText>:</w:instrText>
      </w:r>
      <w:r w:rsidR="00862AC1" w:rsidRPr="00C27681">
        <w:instrText>substance</w:instrText>
      </w:r>
      <w:r w:rsidR="00862AC1">
        <w:instrText xml:space="preserve">" </w:instrText>
      </w:r>
      <w:r w:rsidR="00862AC1">
        <w:fldChar w:fldCharType="end"/>
      </w:r>
      <w:r w:rsidR="00862AC1">
        <w:t xml:space="preserve"> a změnilo aristotelské pojetí pravdy</w:t>
      </w:r>
      <w:r w:rsidR="08D15CEB">
        <w:t>-adekvace</w:t>
      </w:r>
      <w:r w:rsidR="00862AC1">
        <w:t xml:space="preserve"> na neoplatonskou správnost osvíceného intelektu</w:t>
      </w:r>
      <w:r w:rsidR="00862AC1" w:rsidRPr="00273106">
        <w:t xml:space="preserve">. Místo </w:t>
      </w:r>
      <w:r w:rsidR="00862AC1">
        <w:t xml:space="preserve">augustiniánského </w:t>
      </w:r>
      <w:r w:rsidR="00862AC1" w:rsidRPr="00273106">
        <w:t xml:space="preserve">exemplaru postavili </w:t>
      </w:r>
      <w:r w:rsidR="00862AC1">
        <w:t xml:space="preserve">první averroisté do centra metafyziky </w:t>
      </w:r>
      <w:r w:rsidR="00862AC1" w:rsidRPr="00273106">
        <w:t>bytí reálné věci a její adekvátní poznání.</w:t>
      </w:r>
      <w:r w:rsidR="00862AC1">
        <w:t xml:space="preserve"> </w:t>
      </w:r>
      <w:r w:rsidR="006C368A">
        <w:t xml:space="preserve">Tento </w:t>
      </w:r>
      <w:r w:rsidR="00862AC1">
        <w:t xml:space="preserve">směr </w:t>
      </w:r>
      <w:r w:rsidR="08C44B22">
        <w:t xml:space="preserve">daný v linii Abelarda a Blundovy školy </w:t>
      </w:r>
      <w:r w:rsidR="00862AC1">
        <w:t xml:space="preserve">podpořil na Pařížské univerzitě aristotelik Michael Scotus, jehož filosofie spojila tradice falsafy a scholastiky. </w:t>
      </w:r>
      <w:r w:rsidR="006F101D">
        <w:t xml:space="preserve">Střet obou výkladů Averroesova korpusu byl nevyhnutelný, protože reprodukoval na latinském Západě konflikt mezi Averroesem a Avicennou. </w:t>
      </w:r>
      <w:r w:rsidR="08566B93">
        <w:t xml:space="preserve">Michael Scotus potvrdil linii výkladu Komentátora danou na základě přírodovědných spisů Korpusu, která jasně ukázala Averroesův rozchod s Avicennou. </w:t>
      </w:r>
      <w:r w:rsidR="08906ECB">
        <w:t xml:space="preserve">Tato zásadní diference mezi Averrosem a Avicennou se týká </w:t>
      </w:r>
      <w:r w:rsidR="08840C5C">
        <w:t xml:space="preserve">pojetí poznání a </w:t>
      </w:r>
      <w:r w:rsidR="08906ECB">
        <w:t xml:space="preserve">definice </w:t>
      </w:r>
      <w:r w:rsidR="08804D3F">
        <w:t>metafyziky</w:t>
      </w:r>
      <w:r w:rsidR="08906ECB">
        <w:t>. Aristotelikové ocenili výklad CMDA a jeho zastánci se  ustavili</w:t>
      </w:r>
      <w:r w:rsidR="08840C5C">
        <w:t xml:space="preserve"> od roku 1230 jako škola prvního averroismu</w:t>
      </w:r>
      <w:r w:rsidR="08906ECB">
        <w:t xml:space="preserve">. </w:t>
      </w:r>
      <w:r w:rsidR="00A22906">
        <w:t xml:space="preserve">Recepci CMDA v této škole </w:t>
      </w:r>
      <w:r w:rsidR="08906ECB">
        <w:t xml:space="preserve">pokračovala v </w:t>
      </w:r>
      <w:r w:rsidR="081F7D39">
        <w:t>aristotelsk</w:t>
      </w:r>
      <w:r w:rsidR="08906ECB">
        <w:t>ém</w:t>
      </w:r>
      <w:r w:rsidR="081F7D39">
        <w:t xml:space="preserve"> výklad</w:t>
      </w:r>
      <w:r w:rsidR="08906ECB">
        <w:t>u</w:t>
      </w:r>
      <w:r w:rsidR="081F7D39">
        <w:t xml:space="preserve"> </w:t>
      </w:r>
      <w:r w:rsidR="081F7D39" w:rsidRPr="081F7D39">
        <w:rPr>
          <w:i/>
        </w:rPr>
        <w:t>De anima</w:t>
      </w:r>
      <w:r w:rsidR="081F7D39">
        <w:t xml:space="preserve"> podle Blundovy školy</w:t>
      </w:r>
      <w:r w:rsidR="08840C5C">
        <w:t>. Exegeze avicennistického Dominica Gundissalina z Toledské školy ovlivněné židovskou kabalou a přírodovědného Michaela Scota ze Sicilské školy ovlivněné Aristo</w:t>
      </w:r>
      <w:r w:rsidR="08E2425A">
        <w:t>telovy spisy o chování zvířat a výcviku sokolů</w:t>
      </w:r>
      <w:r w:rsidR="08840C5C">
        <w:t xml:space="preserve"> tvoří zásadní rozdíl v přístupu jak k Aristotelovu, tak i k Averroesovu korpusu. </w:t>
      </w:r>
      <w:r w:rsidR="08566B93">
        <w:t>Tento směr výkladu Averroese nazýváme souhrnným termínem „Sicilská škola</w:t>
      </w:r>
      <w:r w:rsidR="086836EE">
        <w:fldChar w:fldCharType="begin"/>
      </w:r>
      <w:r w:rsidR="086836EE">
        <w:instrText xml:space="preserve"> XE "</w:instrText>
      </w:r>
      <w:r w:rsidR="086836EE" w:rsidRPr="084B51D8">
        <w:instrText>Sicilská škola</w:instrText>
      </w:r>
      <w:r w:rsidR="086836EE">
        <w:instrText xml:space="preserve">" </w:instrText>
      </w:r>
      <w:r w:rsidR="086836EE">
        <w:fldChar w:fldCharType="end"/>
      </w:r>
      <w:r w:rsidR="08566B93">
        <w:t>“ a odlišujeme jej od neoplatonského v</w:t>
      </w:r>
      <w:r w:rsidR="08A171BC">
        <w:t xml:space="preserve">ýkladu Komentátora v rámci </w:t>
      </w:r>
      <w:r w:rsidR="08747213">
        <w:t xml:space="preserve">již </w:t>
      </w:r>
      <w:r w:rsidR="08747213">
        <w:lastRenderedPageBreak/>
        <w:t xml:space="preserve">známé </w:t>
      </w:r>
      <w:r w:rsidR="08566B93">
        <w:t>Toledské školy</w:t>
      </w:r>
      <w:r w:rsidR="086836EE">
        <w:fldChar w:fldCharType="begin"/>
      </w:r>
      <w:r w:rsidR="086836EE">
        <w:instrText xml:space="preserve"> XE "Toledská škola" </w:instrText>
      </w:r>
      <w:r w:rsidR="086836EE">
        <w:fldChar w:fldCharType="end"/>
      </w:r>
      <w:r w:rsidR="08566B93">
        <w:t xml:space="preserve">. </w:t>
      </w:r>
      <w:r w:rsidR="08A171BC">
        <w:t>Pozdějším svědkem tohoto dosud neprozkoumaného sporu dvou výkladů Averroese je biskup Alvernus a především Roger</w:t>
      </w:r>
      <w:r w:rsidR="086A20CE">
        <w:t xml:space="preserve"> Bacon, jak uvidíme dále (kap. 3</w:t>
      </w:r>
      <w:r w:rsidR="08A171BC">
        <w:t xml:space="preserve">.2). </w:t>
      </w:r>
      <w:r w:rsidR="08B852D7">
        <w:t xml:space="preserve">O přírodovědné spisy typu </w:t>
      </w:r>
      <w:r w:rsidR="08B852D7" w:rsidRPr="00273106">
        <w:rPr>
          <w:i/>
        </w:rPr>
        <w:t>De generatione animalium</w:t>
      </w:r>
      <w:r w:rsidR="08B852D7">
        <w:t xml:space="preserve"> se opírá fenomenologický výklad poznání</w:t>
      </w:r>
      <w:r w:rsidR="086A20CE">
        <w:t xml:space="preserve"> podle Sigera z Brabantu (OBJ III, kap. 4</w:t>
      </w:r>
      <w:r w:rsidR="08B852D7">
        <w:t xml:space="preserve">.4.1). </w:t>
      </w:r>
      <w:r w:rsidR="006C6C97">
        <w:t xml:space="preserve">Mezi léty 1225‒30 vzniká na půdě pařížské univerzity první spor o výklad autentického Averroesova korpusu, který rozhodne Michael Scotus </w:t>
      </w:r>
      <w:r w:rsidR="00281E52">
        <w:fldChar w:fldCharType="begin"/>
      </w:r>
      <w:r w:rsidR="00281E52">
        <w:instrText xml:space="preserve"> XE "</w:instrText>
      </w:r>
      <w:r w:rsidR="00281E52" w:rsidRPr="006619E2">
        <w:instrText>Scotus, Michael</w:instrText>
      </w:r>
      <w:r w:rsidR="00281E52">
        <w:instrText xml:space="preserve">" </w:instrText>
      </w:r>
      <w:r w:rsidR="00281E52">
        <w:fldChar w:fldCharType="end"/>
      </w:r>
      <w:r w:rsidR="006C6C97">
        <w:t>ve prospěch autentických aristoteliků proti neoplatonským interpretáto</w:t>
      </w:r>
      <w:r w:rsidR="08A171BC">
        <w:t>rům Averroese z Toledské školy</w:t>
      </w:r>
      <w:r w:rsidR="003C3F4E">
        <w:t>.</w:t>
      </w:r>
    </w:p>
    <w:p w14:paraId="4B3579CC" w14:textId="77777777" w:rsidR="003E1262" w:rsidRDefault="089E63D0" w:rsidP="0868212B">
      <w:pPr>
        <w:ind w:firstLine="397"/>
        <w:rPr>
          <w:color w:val="000000"/>
        </w:rPr>
      </w:pPr>
      <w:r>
        <w:rPr>
          <w:color w:val="000000"/>
        </w:rPr>
        <w:t>Hermeneutika musí zjistit, k</w:t>
      </w:r>
      <w:r w:rsidRPr="00273106">
        <w:t xml:space="preserve">dy </w:t>
      </w:r>
      <w:r>
        <w:t xml:space="preserve">a jak </w:t>
      </w:r>
      <w:r w:rsidRPr="00273106">
        <w:t>se</w:t>
      </w:r>
      <w:r w:rsidRPr="00273106">
        <w:rPr>
          <w:rStyle w:val="Zkladntext158dkovn0pt"/>
          <w:color w:val="auto"/>
          <w:spacing w:val="0"/>
          <w:sz w:val="22"/>
          <w:lang w:val="cs-CZ"/>
        </w:rPr>
        <w:t xml:space="preserve"> </w:t>
      </w:r>
      <w:r w:rsidRPr="00273106">
        <w:t xml:space="preserve">na Západě objevilo pojetí </w:t>
      </w:r>
      <w:r w:rsidRPr="00273106">
        <w:rPr>
          <w:i/>
        </w:rPr>
        <w:t>intellectus possibilis</w:t>
      </w:r>
      <w:r w:rsidRPr="00273106">
        <w:t>, které v zásadních rysech odpovídá pojetí CMDA determinujícího nasvícen</w:t>
      </w:r>
      <w:r>
        <w:t>í jsoucna zepředu od reálné věci</w:t>
      </w:r>
      <w:r>
        <w:fldChar w:fldCharType="begin"/>
      </w:r>
      <w:r>
        <w:instrText xml:space="preserve"> XE "</w:instrText>
      </w:r>
      <w:r w:rsidRPr="00944E78">
        <w:instrText>zjevování:nasvícení zepředu</w:instrText>
      </w:r>
      <w:r>
        <w:instrText xml:space="preserve">" </w:instrText>
      </w:r>
      <w:r>
        <w:fldChar w:fldCharType="end"/>
      </w:r>
      <w:r>
        <w:t>.</w:t>
      </w:r>
      <w:r w:rsidRPr="00273106">
        <w:t xml:space="preserve"> </w:t>
      </w:r>
      <w:r>
        <w:t xml:space="preserve">Tím se </w:t>
      </w:r>
      <w:r w:rsidRPr="00273106">
        <w:t>znovu řeší otázka dvojího nasvícení jsoucna, které předtím řešila falsafa</w:t>
      </w:r>
      <w:r>
        <w:t xml:space="preserve"> od Al-Fárábího </w:t>
      </w:r>
      <w:r w:rsidRPr="00273106">
        <w:t>a po ní i raná scholastika</w:t>
      </w:r>
      <w:r>
        <w:t xml:space="preserve"> v teoriích signifikace a predikace</w:t>
      </w:r>
      <w:r w:rsidRPr="00273106">
        <w:t>.</w:t>
      </w:r>
      <w:r>
        <w:t xml:space="preserve"> </w:t>
      </w:r>
      <w:r w:rsidR="009C673B" w:rsidRPr="00273106">
        <w:rPr>
          <w:color w:val="000000"/>
        </w:rPr>
        <w:t xml:space="preserve">Ontologický statut </w:t>
      </w:r>
      <w:r w:rsidR="009C673B" w:rsidRPr="00273106">
        <w:rPr>
          <w:i/>
          <w:color w:val="000000"/>
        </w:rPr>
        <w:t>intellectus possibilis</w:t>
      </w:r>
      <w:r w:rsidR="009D323B">
        <w:rPr>
          <w:i/>
          <w:color w:val="000000"/>
        </w:rPr>
        <w:fldChar w:fldCharType="begin"/>
      </w:r>
      <w:r w:rsidR="009D323B">
        <w:instrText xml:space="preserve"> XE "</w:instrText>
      </w:r>
      <w:r w:rsidR="009D323B" w:rsidRPr="00770D02">
        <w:rPr>
          <w:i/>
        </w:rPr>
        <w:instrText>intellectus possibilis</w:instrText>
      </w:r>
      <w:r w:rsidR="00025071" w:rsidRPr="009661DF">
        <w:rPr>
          <w:i/>
        </w:rPr>
        <w:instrText>:</w:instrText>
      </w:r>
      <w:r w:rsidR="00025071" w:rsidRPr="009661DF">
        <w:instrText>první averroismus</w:instrText>
      </w:r>
      <w:r w:rsidR="009D323B">
        <w:instrText xml:space="preserve">" </w:instrText>
      </w:r>
      <w:r w:rsidR="009D323B">
        <w:rPr>
          <w:i/>
          <w:color w:val="000000"/>
        </w:rPr>
        <w:fldChar w:fldCharType="end"/>
      </w:r>
      <w:r w:rsidR="009C673B" w:rsidRPr="00273106">
        <w:rPr>
          <w:color w:val="000000"/>
        </w:rPr>
        <w:t xml:space="preserve"> jako nové formy pasivně-aktivního poznání v individuální duši představuje pro hermeneutiku objektivity </w:t>
      </w:r>
      <w:r w:rsidR="00BB0296">
        <w:rPr>
          <w:color w:val="000000"/>
        </w:rPr>
        <w:t>základní pole zjevování nového smyslu jsoucna (</w:t>
      </w:r>
      <w:r w:rsidR="009C673B" w:rsidRPr="00273106">
        <w:rPr>
          <w:i/>
          <w:color w:val="000000"/>
        </w:rPr>
        <w:t>Lichtung</w:t>
      </w:r>
      <w:r w:rsidR="00BB0296" w:rsidRPr="00BB0296">
        <w:rPr>
          <w:color w:val="000000"/>
        </w:rPr>
        <w:t>)</w:t>
      </w:r>
      <w:r w:rsidR="007D1F02" w:rsidRPr="00273106">
        <w:rPr>
          <w:color w:val="000000"/>
        </w:rPr>
        <w:t xml:space="preserve">. </w:t>
      </w:r>
      <w:r w:rsidR="00424A97" w:rsidRPr="00273106">
        <w:rPr>
          <w:color w:val="000000"/>
        </w:rPr>
        <w:t xml:space="preserve">Proměny </w:t>
      </w:r>
      <w:r w:rsidR="00424A97">
        <w:rPr>
          <w:color w:val="000000"/>
        </w:rPr>
        <w:t xml:space="preserve">možného intelektu, inteligibilních </w:t>
      </w:r>
      <w:r w:rsidR="006A04C6" w:rsidRPr="006A04C6">
        <w:rPr>
          <w:color w:val="000000"/>
        </w:rPr>
        <w:t>species</w:t>
      </w:r>
      <w:r w:rsidR="00424A97">
        <w:rPr>
          <w:color w:val="000000"/>
        </w:rPr>
        <w:t xml:space="preserve"> a intencionality </w:t>
      </w:r>
      <w:r w:rsidR="00424A97" w:rsidRPr="00273106">
        <w:rPr>
          <w:color w:val="000000"/>
        </w:rPr>
        <w:t>ukazují působení skryté dějinnosti, která dává d</w:t>
      </w:r>
      <w:r w:rsidR="007D5639">
        <w:rPr>
          <w:color w:val="000000"/>
        </w:rPr>
        <w:t xml:space="preserve">o pole epochálního zjevování dějinnou </w:t>
      </w:r>
      <w:r w:rsidR="00424A97" w:rsidRPr="00273106">
        <w:rPr>
          <w:color w:val="000000"/>
        </w:rPr>
        <w:t xml:space="preserve">odkrytost západní objektivity. </w:t>
      </w:r>
      <w:r w:rsidR="00E830CF" w:rsidRPr="00273106">
        <w:t>Př</w:t>
      </w:r>
      <w:r w:rsidR="003968CE">
        <w:t>edešlé kapitoly věnované Averroe</w:t>
      </w:r>
      <w:r w:rsidR="00E830CF" w:rsidRPr="00273106">
        <w:t xml:space="preserve">sovi ukázaly, že jeho koncept metafyziky a poznání existuje </w:t>
      </w:r>
      <w:r w:rsidR="00835CBF">
        <w:t xml:space="preserve">pouze </w:t>
      </w:r>
      <w:r w:rsidR="00E830CF" w:rsidRPr="00273106">
        <w:t>v rámci první a druhé substance</w:t>
      </w:r>
      <w:r w:rsidR="00A70FA4">
        <w:fldChar w:fldCharType="begin"/>
      </w:r>
      <w:r w:rsidR="00A70FA4">
        <w:instrText xml:space="preserve"> XE "</w:instrText>
      </w:r>
      <w:r w:rsidR="00A70FA4" w:rsidRPr="00DE2A32">
        <w:instrText>substance</w:instrText>
      </w:r>
      <w:r w:rsidR="003968CE">
        <w:instrText>:Averroe</w:instrText>
      </w:r>
      <w:r w:rsidR="00025071">
        <w:instrText>s</w:instrText>
      </w:r>
      <w:r w:rsidR="00A70FA4">
        <w:instrText xml:space="preserve">" </w:instrText>
      </w:r>
      <w:r w:rsidR="00A70FA4">
        <w:fldChar w:fldCharType="end"/>
      </w:r>
      <w:r w:rsidR="00E830CF" w:rsidRPr="00273106">
        <w:t xml:space="preserve"> a nově definovaného </w:t>
      </w:r>
      <w:r w:rsidR="00E830CF" w:rsidRPr="00273106">
        <w:rPr>
          <w:i/>
        </w:rPr>
        <w:t>intellectus possibilis</w:t>
      </w:r>
      <w:r w:rsidR="00025071">
        <w:rPr>
          <w:i/>
        </w:rPr>
        <w:fldChar w:fldCharType="begin"/>
      </w:r>
      <w:r w:rsidR="00025071">
        <w:instrText xml:space="preserve"> XE "</w:instrText>
      </w:r>
      <w:r w:rsidR="00025071" w:rsidRPr="00372ACB">
        <w:rPr>
          <w:i/>
        </w:rPr>
        <w:instrText>intellectus possibilis</w:instrText>
      </w:r>
      <w:r w:rsidR="003968CE">
        <w:instrText>:Averroe</w:instrText>
      </w:r>
      <w:r w:rsidR="00025071" w:rsidRPr="00025071">
        <w:instrText>s</w:instrText>
      </w:r>
      <w:r w:rsidR="00025071">
        <w:instrText xml:space="preserve">" </w:instrText>
      </w:r>
      <w:r w:rsidR="00025071">
        <w:rPr>
          <w:i/>
        </w:rPr>
        <w:fldChar w:fldCharType="end"/>
      </w:r>
      <w:r w:rsidR="00060CEF">
        <w:t>. Averroe</w:t>
      </w:r>
      <w:r w:rsidR="00E830CF" w:rsidRPr="00273106">
        <w:t xml:space="preserve">s zásadně prosazuje </w:t>
      </w:r>
      <w:r w:rsidR="006F54AD">
        <w:t xml:space="preserve">personalizovaný </w:t>
      </w:r>
      <w:r w:rsidR="00424A97">
        <w:t xml:space="preserve">intelekt </w:t>
      </w:r>
      <w:r w:rsidR="00E830CF" w:rsidRPr="00273106">
        <w:t xml:space="preserve">jako </w:t>
      </w:r>
      <w:r w:rsidR="00974B11">
        <w:t xml:space="preserve">schopnost </w:t>
      </w:r>
      <w:r w:rsidR="00E830CF" w:rsidRPr="00273106">
        <w:t xml:space="preserve">lidské duše proti Avicennovi a </w:t>
      </w:r>
      <w:r w:rsidR="00974B11">
        <w:t xml:space="preserve">proti aristotelským </w:t>
      </w:r>
      <w:r w:rsidR="00E830CF" w:rsidRPr="00273106">
        <w:t>neoplatonikům</w:t>
      </w:r>
      <w:r w:rsidR="00974B11">
        <w:t xml:space="preserve"> ze školy Alexandra Afrodisia</w:t>
      </w:r>
      <w:r w:rsidR="00E830CF" w:rsidRPr="00273106">
        <w:t xml:space="preserve">. </w:t>
      </w:r>
      <w:r w:rsidR="00974B11">
        <w:t xml:space="preserve">Averroesův zápas převzal </w:t>
      </w:r>
      <w:r w:rsidR="00424A97">
        <w:t xml:space="preserve">první averroismus, který </w:t>
      </w:r>
      <w:r w:rsidR="00974B11">
        <w:t xml:space="preserve">znal autentickou aristotelskou </w:t>
      </w:r>
      <w:r w:rsidR="00424A97">
        <w:t>tradici z Boethiovy metafyziky</w:t>
      </w:r>
      <w:r w:rsidR="080C0FA6">
        <w:t xml:space="preserve">, </w:t>
      </w:r>
      <w:r w:rsidR="00424A97">
        <w:t xml:space="preserve">z Abelardovy </w:t>
      </w:r>
      <w:r w:rsidR="00DA47B4">
        <w:t>metafyzi</w:t>
      </w:r>
      <w:r w:rsidR="002E5B80">
        <w:t xml:space="preserve">ky </w:t>
      </w:r>
      <w:r w:rsidR="00DA47B4">
        <w:t>a l</w:t>
      </w:r>
      <w:r w:rsidR="00424A97">
        <w:t xml:space="preserve">ogiky. </w:t>
      </w:r>
      <w:r w:rsidR="003C4D97">
        <w:t xml:space="preserve">Myslitelé kolem Blundovy školy ovlivnění Scotem kolem 1230 uznali genialitu Averroesova řešení, které překonalo omezení a rozpory v originálním textu </w:t>
      </w:r>
      <w:r w:rsidR="003C4D97" w:rsidRPr="00F936DA">
        <w:rPr>
          <w:i/>
        </w:rPr>
        <w:t>De anima</w:t>
      </w:r>
      <w:r w:rsidR="003C4D97">
        <w:t xml:space="preserve">. </w:t>
      </w:r>
      <w:r w:rsidR="0095224A">
        <w:t xml:space="preserve">Protože tito </w:t>
      </w:r>
      <w:r w:rsidR="08C3511F">
        <w:t xml:space="preserve">aristotelští </w:t>
      </w:r>
      <w:r w:rsidR="0095224A">
        <w:t xml:space="preserve">myslitelé v linii Abelarda zakládali </w:t>
      </w:r>
      <w:r w:rsidR="08960A95">
        <w:t xml:space="preserve">Pařížskou univerzitu </w:t>
      </w:r>
      <w:r w:rsidR="0095224A">
        <w:t xml:space="preserve">spojením hlavních katedrálních škol, měli zásadní vliv na její </w:t>
      </w:r>
      <w:r w:rsidR="08960A95">
        <w:t xml:space="preserve">první </w:t>
      </w:r>
      <w:r w:rsidR="0095224A" w:rsidRPr="0095224A">
        <w:rPr>
          <w:i/>
        </w:rPr>
        <w:t>curiculum</w:t>
      </w:r>
      <w:r w:rsidR="0095224A">
        <w:t xml:space="preserve">. </w:t>
      </w:r>
      <w:r w:rsidR="00E0134B">
        <w:t>Scotův výklad Korpusu skrze Komentátora ja</w:t>
      </w:r>
      <w:r w:rsidR="003938D3">
        <w:t>s</w:t>
      </w:r>
      <w:r w:rsidR="00E0134B">
        <w:t>ně ukázal</w:t>
      </w:r>
      <w:r w:rsidR="005663A6">
        <w:t>,</w:t>
      </w:r>
      <w:r w:rsidR="00E0134B">
        <w:t xml:space="preserve"> že </w:t>
      </w:r>
      <w:r w:rsidR="003C4D97">
        <w:t xml:space="preserve">Aristotelovy spisy </w:t>
      </w:r>
      <w:r w:rsidR="08784444">
        <w:t xml:space="preserve">je </w:t>
      </w:r>
      <w:r w:rsidR="003C4D97">
        <w:t xml:space="preserve">možno </w:t>
      </w:r>
      <w:r w:rsidR="005663A6">
        <w:t>interpretovat plně křesťansky</w:t>
      </w:r>
      <w:r w:rsidR="08BA10F4">
        <w:t>,</w:t>
      </w:r>
      <w:r w:rsidR="08D41181">
        <w:t xml:space="preserve"> protože podpořily jednotu osoby a zejména osobní přičitatelnost zásluh a trestů nutných pro teologii</w:t>
      </w:r>
      <w:r w:rsidR="005663A6">
        <w:t xml:space="preserve">. </w:t>
      </w:r>
      <w:r w:rsidR="081F25B7">
        <w:t xml:space="preserve">Křesťanští myslitelé kolem biskupa Alverna ocenili Averroesovu obranu jednoty osoby danou i v úkonu poznání, která se plně shoduje s Boethiovou definicí osoby jako nedělitelné první substance. </w:t>
      </w:r>
      <w:r w:rsidR="00630FC0">
        <w:rPr>
          <w:rStyle w:val="Zkladntext158dkovn0pt"/>
          <w:color w:val="auto"/>
          <w:spacing w:val="0"/>
          <w:sz w:val="24"/>
          <w:lang w:val="cs-CZ"/>
        </w:rPr>
        <w:t xml:space="preserve">Pod </w:t>
      </w:r>
      <w:r w:rsidR="00630FC0">
        <w:rPr>
          <w:rStyle w:val="Zkladntext158dkovn0pt"/>
          <w:color w:val="auto"/>
          <w:spacing w:val="0"/>
          <w:sz w:val="24"/>
          <w:lang w:val="cs-CZ"/>
        </w:rPr>
        <w:lastRenderedPageBreak/>
        <w:t xml:space="preserve">vlivem importu </w:t>
      </w:r>
      <w:r w:rsidR="00EB730F">
        <w:rPr>
          <w:rStyle w:val="Zkladntext158dkovn0pt"/>
          <w:color w:val="auto"/>
          <w:spacing w:val="0"/>
          <w:sz w:val="24"/>
          <w:lang w:val="cs-CZ"/>
        </w:rPr>
        <w:t xml:space="preserve">autentických </w:t>
      </w:r>
      <w:r w:rsidR="00630FC0">
        <w:rPr>
          <w:rStyle w:val="Zkladntext158dkovn0pt"/>
          <w:color w:val="auto"/>
          <w:spacing w:val="0"/>
          <w:sz w:val="24"/>
          <w:lang w:val="cs-CZ"/>
        </w:rPr>
        <w:t xml:space="preserve">Averroesových spisů </w:t>
      </w:r>
      <w:r w:rsidR="00EB730F">
        <w:rPr>
          <w:rStyle w:val="Zkladntext158dkovn0pt"/>
          <w:color w:val="auto"/>
          <w:spacing w:val="0"/>
          <w:sz w:val="24"/>
          <w:lang w:val="cs-CZ"/>
        </w:rPr>
        <w:t xml:space="preserve">z dílny Scota </w:t>
      </w:r>
      <w:r w:rsidR="003D5CBD">
        <w:rPr>
          <w:rStyle w:val="Zkladntext158dkovn0pt"/>
          <w:color w:val="auto"/>
          <w:spacing w:val="0"/>
          <w:sz w:val="24"/>
          <w:lang w:val="cs-CZ"/>
        </w:rPr>
        <w:t xml:space="preserve">a jeho přednášek </w:t>
      </w:r>
      <w:r w:rsidR="0093191C">
        <w:rPr>
          <w:rStyle w:val="Zkladntext158dkovn0pt"/>
          <w:color w:val="auto"/>
          <w:spacing w:val="0"/>
          <w:sz w:val="24"/>
          <w:lang w:val="cs-CZ"/>
        </w:rPr>
        <w:t xml:space="preserve">v Paříži (1230) </w:t>
      </w:r>
      <w:r w:rsidR="00630FC0">
        <w:rPr>
          <w:rStyle w:val="Zkladntext158dkovn0pt"/>
          <w:color w:val="auto"/>
          <w:spacing w:val="0"/>
          <w:sz w:val="24"/>
          <w:lang w:val="cs-CZ"/>
        </w:rPr>
        <w:t xml:space="preserve">přestal </w:t>
      </w:r>
      <w:r w:rsidR="0093191C">
        <w:rPr>
          <w:rStyle w:val="Zkladntext158dkovn0pt"/>
          <w:color w:val="auto"/>
          <w:spacing w:val="0"/>
          <w:sz w:val="24"/>
          <w:lang w:val="cs-CZ"/>
        </w:rPr>
        <w:t xml:space="preserve">hned v následujícím </w:t>
      </w:r>
      <w:r w:rsidR="00630FC0" w:rsidRPr="00273106">
        <w:t xml:space="preserve">roce </w:t>
      </w:r>
      <w:r w:rsidR="0093191C">
        <w:t>(</w:t>
      </w:r>
      <w:r w:rsidR="00630FC0" w:rsidRPr="00273106">
        <w:t>1231</w:t>
      </w:r>
      <w:r w:rsidR="0093191C">
        <w:t>)</w:t>
      </w:r>
      <w:r w:rsidR="00630FC0" w:rsidRPr="00273106">
        <w:t xml:space="preserve"> oficiálně platit zákaz výuky Aristotelových spisů</w:t>
      </w:r>
      <w:r w:rsidR="00630FC0">
        <w:t xml:space="preserve"> na Pařížské univerzitě</w:t>
      </w:r>
      <w:r w:rsidR="00630FC0" w:rsidRPr="00273106">
        <w:t xml:space="preserve"> </w:t>
      </w:r>
      <w:r w:rsidR="00630FC0">
        <w:t xml:space="preserve">předtím </w:t>
      </w:r>
      <w:r w:rsidR="00630FC0" w:rsidRPr="00273106">
        <w:t xml:space="preserve">opakovaně potvrzený roku 1210 a 1215. </w:t>
      </w:r>
      <w:r w:rsidR="003760A7">
        <w:t xml:space="preserve">To byl zásadní rozdíl proti </w:t>
      </w:r>
      <w:r w:rsidR="00FD7BB4">
        <w:t xml:space="preserve">neoplatonskému výkladu </w:t>
      </w:r>
      <w:r w:rsidR="003760A7">
        <w:t>Toledské školy, která interpretoval</w:t>
      </w:r>
      <w:r w:rsidR="00AE2014">
        <w:t>a</w:t>
      </w:r>
      <w:r w:rsidR="003760A7">
        <w:t xml:space="preserve"> Averroese skrze </w:t>
      </w:r>
      <w:r w:rsidR="00526415">
        <w:t xml:space="preserve">zavedený </w:t>
      </w:r>
      <w:r w:rsidR="003760A7">
        <w:t>avicennismus</w:t>
      </w:r>
      <w:r w:rsidR="00AE2014">
        <w:t xml:space="preserve">. </w:t>
      </w:r>
      <w:r w:rsidR="08FF3F54">
        <w:t xml:space="preserve">Modernistický </w:t>
      </w:r>
      <w:r w:rsidR="0878429E">
        <w:t>výklad Averroese na Pařížské univerzitě</w:t>
      </w:r>
      <w:r w:rsidR="0878429E" w:rsidRPr="00214E8F">
        <w:t xml:space="preserve"> </w:t>
      </w:r>
      <w:r w:rsidR="0878429E">
        <w:t>ovlivňovaly překlady Averroesova korpusu podle Toledské školy</w:t>
      </w:r>
      <w:r w:rsidR="0878429E">
        <w:fldChar w:fldCharType="begin"/>
      </w:r>
      <w:r w:rsidR="0878429E">
        <w:instrText xml:space="preserve"> XE "Toledská škola" </w:instrText>
      </w:r>
      <w:r w:rsidR="0878429E">
        <w:fldChar w:fldCharType="end"/>
      </w:r>
      <w:r w:rsidR="0878429E">
        <w:t xml:space="preserve"> inspirované avicennismem. To se týkalo zejména filosofické školy kolem Kancléře Filipa, na kterou kolem roku 1240 navázala modernistická škola františkánů kolem Alexandra Halského sdružená </w:t>
      </w:r>
      <w:r w:rsidR="08B039F5">
        <w:t>p</w:t>
      </w:r>
      <w:r w:rsidR="0878429E">
        <w:t xml:space="preserve">ři editaci jeho hlavního díla </w:t>
      </w:r>
      <w:r w:rsidR="0878429E" w:rsidRPr="008963DD">
        <w:rPr>
          <w:i/>
        </w:rPr>
        <w:t>Summa Halensis</w:t>
      </w:r>
      <w:r w:rsidR="0878429E">
        <w:t xml:space="preserve">. Na této straně myslitelské fronty stáli novodobí </w:t>
      </w:r>
      <w:r w:rsidR="08DE18BB">
        <w:t>alexandrovc</w:t>
      </w:r>
      <w:r w:rsidR="0878429E">
        <w:t xml:space="preserve">i z porretánských škol napojených na moderní logiku škol </w:t>
      </w:r>
      <w:r w:rsidR="0878429E" w:rsidRPr="00252520">
        <w:rPr>
          <w:i/>
        </w:rPr>
        <w:t>Nominales</w:t>
      </w:r>
      <w:r w:rsidR="0878429E">
        <w:t xml:space="preserve">. </w:t>
      </w:r>
      <w:r w:rsidR="008604F7">
        <w:t xml:space="preserve">Odpor </w:t>
      </w:r>
      <w:r w:rsidR="00AE2014">
        <w:t xml:space="preserve">biskupa Alverna </w:t>
      </w:r>
      <w:r w:rsidR="008604F7">
        <w:t xml:space="preserve">k těmto </w:t>
      </w:r>
      <w:r w:rsidR="081C7573">
        <w:t xml:space="preserve">neoplatonským </w:t>
      </w:r>
      <w:r w:rsidR="00920BE8">
        <w:rPr>
          <w:rFonts w:cs="Brill-Roman"/>
        </w:rPr>
        <w:t>filosofům</w:t>
      </w:r>
      <w:r w:rsidR="00920BE8" w:rsidRPr="00273106">
        <w:rPr>
          <w:rFonts w:cs="Brill-Roman"/>
        </w:rPr>
        <w:t xml:space="preserve"> následující</w:t>
      </w:r>
      <w:r w:rsidR="00920BE8">
        <w:rPr>
          <w:rFonts w:cs="Brill-Roman"/>
        </w:rPr>
        <w:t>m</w:t>
      </w:r>
      <w:r w:rsidR="00920BE8" w:rsidRPr="00273106">
        <w:rPr>
          <w:rFonts w:cs="Brill-Roman"/>
        </w:rPr>
        <w:t xml:space="preserve"> Aristotela (</w:t>
      </w:r>
      <w:r w:rsidR="00920BE8" w:rsidRPr="00273106">
        <w:rPr>
          <w:rFonts w:cs="Brill-Roman"/>
          <w:i/>
        </w:rPr>
        <w:t>philosophi sequaces Aristotelis</w:t>
      </w:r>
      <w:r w:rsidR="00920BE8" w:rsidRPr="00273106">
        <w:rPr>
          <w:rFonts w:cs="Brill-Roman"/>
        </w:rPr>
        <w:t>)</w:t>
      </w:r>
      <w:r w:rsidR="008604F7">
        <w:rPr>
          <w:i/>
        </w:rPr>
        <w:fldChar w:fldCharType="begin"/>
      </w:r>
      <w:r w:rsidR="008604F7">
        <w:instrText xml:space="preserve"> XE "druhý averroismus:</w:instrText>
      </w:r>
      <w:r w:rsidR="008604F7" w:rsidRPr="0097040F">
        <w:rPr>
          <w:i/>
        </w:rPr>
        <w:instrText>sequaces Aristotelis</w:instrText>
      </w:r>
      <w:r w:rsidR="008604F7">
        <w:instrText xml:space="preserve">" </w:instrText>
      </w:r>
      <w:r w:rsidR="008604F7">
        <w:rPr>
          <w:i/>
        </w:rPr>
        <w:fldChar w:fldCharType="end"/>
      </w:r>
      <w:r w:rsidR="008604F7">
        <w:t xml:space="preserve"> </w:t>
      </w:r>
      <w:r w:rsidR="08D53C23">
        <w:t>u</w:t>
      </w:r>
      <w:r w:rsidR="081C7573">
        <w:t>ka</w:t>
      </w:r>
      <w:r w:rsidR="08D53C23">
        <w:t>zuje</w:t>
      </w:r>
      <w:r w:rsidR="00AE2014">
        <w:t xml:space="preserve">, že </w:t>
      </w:r>
      <w:r w:rsidR="081C7573">
        <w:t xml:space="preserve">tento </w:t>
      </w:r>
      <w:r w:rsidR="00AE2014">
        <w:t xml:space="preserve">výklad </w:t>
      </w:r>
      <w:r w:rsidR="008604F7">
        <w:t xml:space="preserve">Aristotela </w:t>
      </w:r>
      <w:r w:rsidR="08D53C23">
        <w:t xml:space="preserve">nebyl pro církevní úřady </w:t>
      </w:r>
      <w:r w:rsidR="003760A7">
        <w:t>přijatelný zejména kvůli pluralitě substancí v člověku, odděl</w:t>
      </w:r>
      <w:r w:rsidR="008E5183">
        <w:t>en</w:t>
      </w:r>
      <w:r w:rsidR="003760A7">
        <w:t xml:space="preserve">ého </w:t>
      </w:r>
      <w:r w:rsidR="003760A7" w:rsidRPr="003760A7">
        <w:rPr>
          <w:i/>
        </w:rPr>
        <w:t>intellectus agens</w:t>
      </w:r>
      <w:r w:rsidR="003760A7">
        <w:t xml:space="preserve"> v člověku a emanační teorii. Všechny tyto znak</w:t>
      </w:r>
      <w:r w:rsidR="00526415">
        <w:t>y</w:t>
      </w:r>
      <w:r w:rsidR="003760A7">
        <w:t xml:space="preserve"> </w:t>
      </w:r>
      <w:r w:rsidR="001272B7">
        <w:t xml:space="preserve">později </w:t>
      </w:r>
      <w:r w:rsidR="003760A7">
        <w:t xml:space="preserve">najdeme v účelových obviněních </w:t>
      </w:r>
      <w:r w:rsidR="002E3B62">
        <w:t>Averroes</w:t>
      </w:r>
      <w:r w:rsidR="08D1731C">
        <w:t>e z averroismu</w:t>
      </w:r>
      <w:r w:rsidR="085C7D3F">
        <w:t xml:space="preserve">, které moderní sofisté </w:t>
      </w:r>
      <w:r w:rsidR="08724681">
        <w:t>ko</w:t>
      </w:r>
      <w:r w:rsidR="085C7D3F">
        <w:t>le</w:t>
      </w:r>
      <w:r w:rsidR="08724681">
        <w:t>k</w:t>
      </w:r>
      <w:r w:rsidR="085C7D3F">
        <w:t>tivně prove</w:t>
      </w:r>
      <w:r w:rsidR="083E5DDC">
        <w:t xml:space="preserve">dli v duchu </w:t>
      </w:r>
      <w:r w:rsidR="08724681">
        <w:t xml:space="preserve">Freudova </w:t>
      </w:r>
      <w:r w:rsidR="085C7D3F">
        <w:t xml:space="preserve">obranného </w:t>
      </w:r>
      <w:r w:rsidR="083E5DDC">
        <w:t xml:space="preserve">mechanismu </w:t>
      </w:r>
      <w:r w:rsidR="083E5DDC" w:rsidRPr="00622D11">
        <w:rPr>
          <w:rStyle w:val="Zvraznn"/>
        </w:rPr>
        <w:t>Verkehrung ins Gegenteil</w:t>
      </w:r>
      <w:r w:rsidR="083E5DDC">
        <w:rPr>
          <w:rStyle w:val="Zvraznn"/>
        </w:rPr>
        <w:fldChar w:fldCharType="begin"/>
      </w:r>
      <w:r w:rsidR="083E5DDC">
        <w:instrText xml:space="preserve"> XE "</w:instrText>
      </w:r>
      <w:r w:rsidR="083E5DDC" w:rsidRPr="0089394E">
        <w:rPr>
          <w:rStyle w:val="Zvraznn"/>
        </w:rPr>
        <w:instrText>Verkehrung ins Gegenteil</w:instrText>
      </w:r>
      <w:r w:rsidR="083E5DDC">
        <w:instrText xml:space="preserve">" </w:instrText>
      </w:r>
      <w:r w:rsidR="083E5DDC">
        <w:rPr>
          <w:rStyle w:val="Zvraznn"/>
        </w:rPr>
        <w:fldChar w:fldCharType="end"/>
      </w:r>
      <w:r w:rsidR="083E5DDC">
        <w:rPr>
          <w:rStyle w:val="Zvraznn"/>
          <w:i w:val="0"/>
        </w:rPr>
        <w:t xml:space="preserve">. </w:t>
      </w:r>
      <w:r w:rsidR="08BE164B">
        <w:t>Vůdčí filosofové na Pař</w:t>
      </w:r>
      <w:r w:rsidR="081C7573">
        <w:t xml:space="preserve">ížské univerzitě </w:t>
      </w:r>
      <w:r w:rsidR="08A4297D">
        <w:t>do rok</w:t>
      </w:r>
      <w:r w:rsidR="00B35D29">
        <w:t>u 1255</w:t>
      </w:r>
      <w:r w:rsidR="08BE164B">
        <w:t xml:space="preserve"> nebyli moderní sof</w:t>
      </w:r>
      <w:r w:rsidR="081C7573">
        <w:t xml:space="preserve">isté, ale kritičtí myslitelé, kteří byli plně na výši svého historického úkolu a splnili jej na výbornou. </w:t>
      </w:r>
      <w:r w:rsidR="08A4297D">
        <w:t xml:space="preserve">Tento dosud zanedbávalý rozdíl </w:t>
      </w:r>
      <w:r w:rsidR="087E45AE">
        <w:t xml:space="preserve">v interpretaci Komentátora </w:t>
      </w:r>
      <w:r w:rsidR="08566B93">
        <w:t xml:space="preserve">podle Toledské nebo Sicilské školy </w:t>
      </w:r>
      <w:r w:rsidR="087E45AE">
        <w:t>má zá</w:t>
      </w:r>
      <w:r w:rsidR="08A4297D">
        <w:t>s</w:t>
      </w:r>
      <w:r w:rsidR="087E45AE">
        <w:t>a</w:t>
      </w:r>
      <w:r w:rsidR="08A4297D">
        <w:t>d</w:t>
      </w:r>
      <w:r w:rsidR="087E45AE">
        <w:t>n</w:t>
      </w:r>
      <w:r w:rsidR="08A4297D">
        <w:t xml:space="preserve">í </w:t>
      </w:r>
      <w:r w:rsidR="08942898">
        <w:t>význam</w:t>
      </w:r>
      <w:r w:rsidR="08343607">
        <w:t xml:space="preserve"> pro dějiny středověké filosof</w:t>
      </w:r>
      <w:r w:rsidR="088302E4">
        <w:t>i</w:t>
      </w:r>
      <w:r w:rsidR="08343607">
        <w:t>e</w:t>
      </w:r>
      <w:r w:rsidR="088302E4">
        <w:t xml:space="preserve"> postižené modernistickým </w:t>
      </w:r>
      <w:r w:rsidR="088302E4" w:rsidRPr="088302E4">
        <w:rPr>
          <w:i/>
        </w:rPr>
        <w:t>damnatio memoriae</w:t>
      </w:r>
      <w:r w:rsidR="081F25B7">
        <w:rPr>
          <w:i/>
        </w:rPr>
        <w:fldChar w:fldCharType="begin"/>
      </w:r>
      <w:r w:rsidR="081F25B7">
        <w:instrText xml:space="preserve"> XE "</w:instrText>
      </w:r>
      <w:r w:rsidR="081F25B7" w:rsidRPr="08F01EF6">
        <w:rPr>
          <w:i/>
        </w:rPr>
        <w:instrText>damnatio memoriae</w:instrText>
      </w:r>
      <w:r w:rsidR="081F25B7">
        <w:instrText xml:space="preserve">" </w:instrText>
      </w:r>
      <w:r w:rsidR="081F25B7">
        <w:rPr>
          <w:i/>
        </w:rPr>
        <w:fldChar w:fldCharType="end"/>
      </w:r>
      <w:r w:rsidR="08942898">
        <w:t>. V</w:t>
      </w:r>
      <w:r w:rsidR="08A4297D">
        <w:t>e spisech obou škol existuje diam</w:t>
      </w:r>
      <w:r w:rsidR="08A25141">
        <w:t>et</w:t>
      </w:r>
      <w:r w:rsidR="08A4297D">
        <w:t xml:space="preserve">rálně rozdílný výklad metafyziky podané v obou školách </w:t>
      </w:r>
      <w:r w:rsidR="082F2D63">
        <w:rPr>
          <w:i/>
        </w:rPr>
        <w:t>ad mentem Averrois</w:t>
      </w:r>
      <w:r w:rsidR="08A25141">
        <w:rPr>
          <w:i/>
        </w:rPr>
        <w:fldChar w:fldCharType="begin"/>
      </w:r>
      <w:r w:rsidR="08A25141">
        <w:instrText xml:space="preserve"> XE "</w:instrText>
      </w:r>
      <w:r w:rsidR="082F2D63">
        <w:rPr>
          <w:i/>
        </w:rPr>
        <w:instrText>ad mentem Averrois</w:instrText>
      </w:r>
      <w:r w:rsidR="08A25141">
        <w:instrText xml:space="preserve">" </w:instrText>
      </w:r>
      <w:r w:rsidR="08A25141">
        <w:rPr>
          <w:i/>
        </w:rPr>
        <w:fldChar w:fldCharType="end"/>
      </w:r>
      <w:r w:rsidR="08A4297D">
        <w:t xml:space="preserve">. </w:t>
      </w:r>
      <w:r w:rsidR="08942898">
        <w:t>Proto neexistuje jedna obje</w:t>
      </w:r>
      <w:r w:rsidR="08A66943">
        <w:t>k</w:t>
      </w:r>
      <w:r w:rsidR="08942898">
        <w:t xml:space="preserve">tivistická recepce Komentátora a Avicenny na latinském Západě, ale dvě </w:t>
      </w:r>
      <w:r w:rsidR="08DA6578">
        <w:t>recepce, které jsou zásadně odlišné a</w:t>
      </w:r>
      <w:r w:rsidR="08A66943">
        <w:t xml:space="preserve"> </w:t>
      </w:r>
      <w:r w:rsidR="081327BC">
        <w:t>vytvořil</w:t>
      </w:r>
      <w:r w:rsidR="08DA6578">
        <w:t xml:space="preserve">y různé </w:t>
      </w:r>
      <w:r w:rsidR="08A66943">
        <w:t>kombinace a mezistupně</w:t>
      </w:r>
      <w:r w:rsidR="08942898">
        <w:t xml:space="preserve">. </w:t>
      </w:r>
      <w:r w:rsidR="0851103F">
        <w:rPr>
          <w:rStyle w:val="Zkladntext158dkovn0pt"/>
          <w:color w:val="auto"/>
          <w:spacing w:val="0"/>
          <w:sz w:val="24"/>
          <w:lang w:val="cs-CZ"/>
        </w:rPr>
        <w:t>S</w:t>
      </w:r>
      <w:r w:rsidR="0851103F">
        <w:rPr>
          <w:color w:val="000000"/>
        </w:rPr>
        <w:t>pojením Avicenny a Averroe</w:t>
      </w:r>
      <w:r w:rsidR="0851103F" w:rsidRPr="00273106">
        <w:rPr>
          <w:color w:val="000000"/>
        </w:rPr>
        <w:t xml:space="preserve">se v latinské scholastice </w:t>
      </w:r>
      <w:r w:rsidR="0851103F">
        <w:rPr>
          <w:color w:val="000000"/>
        </w:rPr>
        <w:t xml:space="preserve">Toledské školy v okruhu kolem Kancléře Filipa </w:t>
      </w:r>
      <w:r w:rsidR="0851103F" w:rsidRPr="00273106">
        <w:rPr>
          <w:color w:val="000000"/>
        </w:rPr>
        <w:t>vznikl</w:t>
      </w:r>
      <w:r w:rsidR="0851103F">
        <w:rPr>
          <w:color w:val="000000"/>
        </w:rPr>
        <w:t>a</w:t>
      </w:r>
      <w:r w:rsidR="0851103F" w:rsidRPr="00273106">
        <w:rPr>
          <w:color w:val="000000"/>
        </w:rPr>
        <w:t xml:space="preserve"> </w:t>
      </w:r>
      <w:r w:rsidR="0851103F">
        <w:rPr>
          <w:color w:val="000000"/>
        </w:rPr>
        <w:t>nová metafyzika</w:t>
      </w:r>
      <w:r w:rsidR="0851103F">
        <w:rPr>
          <w:i/>
          <w:color w:val="000000"/>
        </w:rPr>
        <w:fldChar w:fldCharType="begin"/>
      </w:r>
      <w:r w:rsidR="0851103F">
        <w:instrText xml:space="preserve"> XE "</w:instrText>
      </w:r>
      <w:r w:rsidR="0851103F" w:rsidRPr="00120BB2">
        <w:rPr>
          <w:i/>
        </w:rPr>
        <w:instrText>Ereignis</w:instrText>
      </w:r>
      <w:r w:rsidR="0851103F">
        <w:instrText xml:space="preserve">" </w:instrText>
      </w:r>
      <w:r w:rsidR="0851103F">
        <w:rPr>
          <w:i/>
          <w:color w:val="000000"/>
        </w:rPr>
        <w:fldChar w:fldCharType="end"/>
      </w:r>
      <w:r w:rsidR="0851103F" w:rsidRPr="00273106">
        <w:rPr>
          <w:color w:val="000000"/>
        </w:rPr>
        <w:t xml:space="preserve">, </w:t>
      </w:r>
      <w:r w:rsidR="0851103F">
        <w:rPr>
          <w:color w:val="000000"/>
        </w:rPr>
        <w:t>která</w:t>
      </w:r>
      <w:r w:rsidR="0851103F" w:rsidRPr="00273106">
        <w:rPr>
          <w:color w:val="000000"/>
        </w:rPr>
        <w:t xml:space="preserve"> změnil</w:t>
      </w:r>
      <w:r w:rsidR="0851103F">
        <w:rPr>
          <w:color w:val="000000"/>
        </w:rPr>
        <w:t>a</w:t>
      </w:r>
      <w:r w:rsidR="0851103F" w:rsidRPr="00273106">
        <w:rPr>
          <w:color w:val="000000"/>
        </w:rPr>
        <w:t xml:space="preserve"> dějiny Západu.</w:t>
      </w:r>
      <w:r w:rsidR="0851103F">
        <w:rPr>
          <w:color w:val="000000"/>
        </w:rPr>
        <w:t xml:space="preserve"> </w:t>
      </w:r>
      <w:r w:rsidR="00BD591B" w:rsidRPr="00273106">
        <w:rPr>
          <w:rStyle w:val="Zkladntext158dkovn0pt"/>
          <w:color w:val="auto"/>
          <w:spacing w:val="0"/>
          <w:sz w:val="24"/>
          <w:lang w:val="cs-CZ"/>
        </w:rPr>
        <w:t xml:space="preserve">Latinští avicennisté bránili proti představitelům autentického aristotelismu </w:t>
      </w:r>
      <w:r w:rsidR="00BD591B" w:rsidRPr="00273106">
        <w:t xml:space="preserve">teorii odděleného </w:t>
      </w:r>
      <w:r w:rsidR="00BD591B" w:rsidRPr="00273106">
        <w:rPr>
          <w:i/>
        </w:rPr>
        <w:t>intellectus agens</w:t>
      </w:r>
      <w:r w:rsidR="00BD591B">
        <w:rPr>
          <w:i/>
        </w:rPr>
        <w:fldChar w:fldCharType="begin"/>
      </w:r>
      <w:r w:rsidR="00BD591B">
        <w:instrText xml:space="preserve"> XE "</w:instrText>
      </w:r>
      <w:r w:rsidR="00BD591B" w:rsidRPr="00490D32">
        <w:rPr>
          <w:i/>
        </w:rPr>
        <w:instrText>intellectus agens</w:instrText>
      </w:r>
      <w:r w:rsidR="00BD591B" w:rsidRPr="00920C26">
        <w:instrText>:druhý averroismus</w:instrText>
      </w:r>
      <w:r w:rsidR="00BD591B">
        <w:instrText xml:space="preserve">" </w:instrText>
      </w:r>
      <w:r w:rsidR="00BD591B">
        <w:rPr>
          <w:i/>
        </w:rPr>
        <w:fldChar w:fldCharType="end"/>
      </w:r>
      <w:r w:rsidR="00BD591B" w:rsidRPr="00273106">
        <w:t xml:space="preserve"> ozařujícího pasivní intelekt v duši</w:t>
      </w:r>
      <w:r w:rsidR="00BD591B">
        <w:t xml:space="preserve">. </w:t>
      </w:r>
      <w:r w:rsidR="00BC2B94" w:rsidRPr="00273106">
        <w:t xml:space="preserve">Teologičtí augustiniáni </w:t>
      </w:r>
      <w:r w:rsidR="00BC2B94">
        <w:t xml:space="preserve">byli </w:t>
      </w:r>
      <w:r w:rsidR="00BC2B94" w:rsidRPr="00273106">
        <w:t xml:space="preserve">ovlivnění </w:t>
      </w:r>
      <w:r w:rsidR="00BC2B94">
        <w:t xml:space="preserve">neoplatonským Anselmem </w:t>
      </w:r>
      <w:r w:rsidR="00BC2B94" w:rsidRPr="00273106">
        <w:t xml:space="preserve">a filosofickými školami </w:t>
      </w:r>
      <w:r w:rsidR="00BC2B94" w:rsidRPr="00273106">
        <w:rPr>
          <w:i/>
        </w:rPr>
        <w:t>Nominales</w:t>
      </w:r>
      <w:r w:rsidR="00BC2B94">
        <w:t xml:space="preserve">, proto </w:t>
      </w:r>
      <w:r w:rsidR="00BC2B94" w:rsidRPr="00273106">
        <w:t>vyznávali jednotu odděleného aktivního intelektu po vzoru metafory slunce u Avicenny (</w:t>
      </w:r>
      <w:r w:rsidR="086A20CE">
        <w:t xml:space="preserve">OBJ I, </w:t>
      </w:r>
      <w:r w:rsidR="00BC2B94" w:rsidRPr="00273106">
        <w:t>kap. 2.3.1).</w:t>
      </w:r>
      <w:r w:rsidR="00BC2B94">
        <w:t xml:space="preserve"> </w:t>
      </w:r>
      <w:r w:rsidR="0821411E">
        <w:rPr>
          <w:rStyle w:val="Zkladntext158dkovn0pt"/>
          <w:color w:val="auto"/>
          <w:spacing w:val="0"/>
          <w:sz w:val="24"/>
          <w:lang w:val="cs-CZ"/>
        </w:rPr>
        <w:t>Neoplatonská a</w:t>
      </w:r>
      <w:r w:rsidR="0821411E" w:rsidRPr="00273106">
        <w:rPr>
          <w:rStyle w:val="Zkladntext158dkovn0pt"/>
          <w:color w:val="auto"/>
          <w:spacing w:val="0"/>
          <w:sz w:val="24"/>
          <w:lang w:val="cs-CZ"/>
        </w:rPr>
        <w:t xml:space="preserve">bstrakce </w:t>
      </w:r>
      <w:r w:rsidR="0821411E">
        <w:rPr>
          <w:rStyle w:val="Zkladntext158dkovn0pt"/>
          <w:color w:val="auto"/>
          <w:spacing w:val="0"/>
          <w:sz w:val="24"/>
          <w:lang w:val="cs-CZ"/>
        </w:rPr>
        <w:t xml:space="preserve">chápaná skrze </w:t>
      </w:r>
      <w:r w:rsidR="0821411E">
        <w:rPr>
          <w:rStyle w:val="Zkladntext158dkovn0pt"/>
          <w:color w:val="auto"/>
          <w:spacing w:val="0"/>
          <w:sz w:val="24"/>
          <w:lang w:val="cs-CZ"/>
        </w:rPr>
        <w:lastRenderedPageBreak/>
        <w:t xml:space="preserve">Avicennovu </w:t>
      </w:r>
      <w:r w:rsidR="0821411E" w:rsidRPr="009F45EC">
        <w:rPr>
          <w:rStyle w:val="Zkladntext158dkovn0pt"/>
          <w:i/>
          <w:color w:val="auto"/>
          <w:spacing w:val="0"/>
          <w:sz w:val="24"/>
          <w:lang w:val="cs-CZ"/>
        </w:rPr>
        <w:t>equinitas tantum</w:t>
      </w:r>
      <w:r w:rsidR="0821411E">
        <w:rPr>
          <w:rStyle w:val="Zkladntext158dkovn0pt"/>
          <w:color w:val="auto"/>
          <w:spacing w:val="0"/>
          <w:sz w:val="24"/>
          <w:lang w:val="cs-CZ"/>
        </w:rPr>
        <w:t xml:space="preserve"> či augustiniánský </w:t>
      </w:r>
      <w:r w:rsidR="0821411E" w:rsidRPr="009F45EC">
        <w:rPr>
          <w:rStyle w:val="Zkladntext158dkovn0pt"/>
          <w:i/>
          <w:color w:val="auto"/>
          <w:spacing w:val="0"/>
          <w:sz w:val="24"/>
          <w:lang w:val="cs-CZ"/>
        </w:rPr>
        <w:t>exemplar</w:t>
      </w:r>
      <w:r w:rsidR="0821411E">
        <w:rPr>
          <w:rStyle w:val="Zkladntext158dkovn0pt"/>
          <w:color w:val="auto"/>
          <w:spacing w:val="0"/>
          <w:sz w:val="24"/>
          <w:lang w:val="cs-CZ"/>
        </w:rPr>
        <w:t xml:space="preserve"> </w:t>
      </w:r>
      <w:r w:rsidR="0821411E" w:rsidRPr="00273106">
        <w:rPr>
          <w:rStyle w:val="Zkladntext158dkovn0pt"/>
          <w:color w:val="auto"/>
          <w:spacing w:val="0"/>
          <w:sz w:val="24"/>
          <w:lang w:val="cs-CZ"/>
        </w:rPr>
        <w:t>nemusela řešit skutečný vztah poz</w:t>
      </w:r>
      <w:r w:rsidR="0821411E">
        <w:rPr>
          <w:rStyle w:val="Zkladntext158dkovn0pt"/>
          <w:color w:val="auto"/>
          <w:spacing w:val="0"/>
          <w:sz w:val="24"/>
          <w:lang w:val="cs-CZ"/>
        </w:rPr>
        <w:t>nání a reality ve smyslu Averroe</w:t>
      </w:r>
      <w:r w:rsidR="0821411E" w:rsidRPr="00273106">
        <w:rPr>
          <w:rStyle w:val="Zkladntext158dkovn0pt"/>
          <w:color w:val="auto"/>
          <w:spacing w:val="0"/>
          <w:sz w:val="24"/>
          <w:lang w:val="cs-CZ"/>
        </w:rPr>
        <w:t xml:space="preserve">sova </w:t>
      </w:r>
      <w:r w:rsidR="0821411E" w:rsidRPr="00273106">
        <w:rPr>
          <w:rStyle w:val="Zkladntext158dkovn0pt"/>
          <w:i/>
          <w:color w:val="auto"/>
          <w:spacing w:val="0"/>
          <w:sz w:val="24"/>
          <w:lang w:val="cs-CZ"/>
        </w:rPr>
        <w:t>proportio</w:t>
      </w:r>
      <w:r w:rsidR="0821411E">
        <w:rPr>
          <w:rStyle w:val="Zkladntext158dkovn0pt"/>
          <w:i/>
          <w:color w:val="auto"/>
          <w:spacing w:val="0"/>
          <w:sz w:val="24"/>
          <w:lang w:val="cs-CZ"/>
        </w:rPr>
        <w:fldChar w:fldCharType="begin"/>
      </w:r>
      <w:r w:rsidR="0821411E">
        <w:instrText xml:space="preserve"> XE "pravda:</w:instrText>
      </w:r>
      <w:r w:rsidR="0821411E" w:rsidRPr="008A30D0">
        <w:rPr>
          <w:rStyle w:val="Zkladntext158dkovn0pt"/>
          <w:i/>
          <w:color w:val="auto"/>
          <w:spacing w:val="0"/>
          <w:sz w:val="24"/>
          <w:lang w:val="cs-CZ"/>
        </w:rPr>
        <w:instrText>proportio</w:instrText>
      </w:r>
      <w:r w:rsidR="0821411E">
        <w:instrText xml:space="preserve">" </w:instrText>
      </w:r>
      <w:r w:rsidR="0821411E">
        <w:rPr>
          <w:rStyle w:val="Zkladntext158dkovn0pt"/>
          <w:i/>
          <w:color w:val="auto"/>
          <w:spacing w:val="0"/>
          <w:sz w:val="24"/>
          <w:lang w:val="cs-CZ"/>
        </w:rPr>
        <w:fldChar w:fldCharType="end"/>
      </w:r>
      <w:r w:rsidR="0821411E">
        <w:rPr>
          <w:rStyle w:val="Zkladntext158dkovn0pt"/>
          <w:color w:val="auto"/>
          <w:spacing w:val="0"/>
          <w:sz w:val="24"/>
          <w:lang w:val="cs-CZ"/>
        </w:rPr>
        <w:t xml:space="preserve"> mezi reálnou věcí, smysly a intelektem. </w:t>
      </w:r>
      <w:r w:rsidR="0821411E" w:rsidRPr="00273106">
        <w:rPr>
          <w:rStyle w:val="Zkladntext158dkovn0pt"/>
          <w:color w:val="auto"/>
          <w:spacing w:val="0"/>
          <w:sz w:val="24"/>
          <w:lang w:val="cs-CZ"/>
        </w:rPr>
        <w:t>Nasví</w:t>
      </w:r>
      <w:r w:rsidR="0821411E">
        <w:rPr>
          <w:rStyle w:val="Zkladntext158dkovn0pt"/>
          <w:color w:val="auto"/>
          <w:spacing w:val="0"/>
          <w:sz w:val="24"/>
          <w:lang w:val="cs-CZ"/>
        </w:rPr>
        <w:t>cení smyslu jsoucna přichází v moderně</w:t>
      </w:r>
      <w:r w:rsidR="0821411E" w:rsidRPr="00273106">
        <w:rPr>
          <w:rStyle w:val="Zkladntext158dkovn0pt"/>
          <w:color w:val="auto"/>
          <w:spacing w:val="0"/>
          <w:sz w:val="24"/>
          <w:lang w:val="cs-CZ"/>
        </w:rPr>
        <w:t xml:space="preserve"> zezadu, od autonomních forem intelektu.</w:t>
      </w:r>
      <w:r w:rsidR="0821411E">
        <w:rPr>
          <w:rStyle w:val="Zkladntext158dkovn0pt"/>
          <w:color w:val="auto"/>
          <w:spacing w:val="0"/>
          <w:sz w:val="24"/>
          <w:lang w:val="cs-CZ"/>
        </w:rPr>
        <w:t xml:space="preserve"> </w:t>
      </w:r>
      <w:r w:rsidR="087C4240" w:rsidRPr="00273106">
        <w:t>Scholastičtí myslitelelé první poloviny 13. století spojili Avicennovu analogii slunce s pseudo-Augustinovou iluminací</w:t>
      </w:r>
      <w:r w:rsidR="087C4240">
        <w:fldChar w:fldCharType="begin"/>
      </w:r>
      <w:r w:rsidR="087C4240">
        <w:instrText xml:space="preserve"> XE "</w:instrText>
      </w:r>
      <w:r w:rsidR="087C4240" w:rsidRPr="00357F90">
        <w:instrText>iluminace</w:instrText>
      </w:r>
      <w:r w:rsidR="087C4240">
        <w:instrText xml:space="preserve">" </w:instrText>
      </w:r>
      <w:r w:rsidR="087C4240">
        <w:fldChar w:fldCharType="end"/>
      </w:r>
      <w:r w:rsidR="087C4240" w:rsidRPr="00273106">
        <w:t xml:space="preserve"> ze spisu </w:t>
      </w:r>
      <w:r w:rsidR="087C4240" w:rsidRPr="00273106">
        <w:rPr>
          <w:i/>
        </w:rPr>
        <w:t>De spiritu et anima</w:t>
      </w:r>
      <w:r w:rsidR="087C4240" w:rsidRPr="00273106">
        <w:t>, včetně citací z autentických spisů Augustina (</w:t>
      </w:r>
      <w:hyperlink r:id="rId10" w:history="1">
        <w:r w:rsidR="087C4240" w:rsidRPr="00273106">
          <w:rPr>
            <w:i/>
          </w:rPr>
          <w:t>De gen</w:t>
        </w:r>
        <w:r w:rsidR="086A20CE">
          <w:rPr>
            <w:i/>
          </w:rPr>
          <w:t>esi</w:t>
        </w:r>
        <w:r w:rsidR="087C4240" w:rsidRPr="00273106">
          <w:rPr>
            <w:i/>
          </w:rPr>
          <w:t xml:space="preserve"> </w:t>
        </w:r>
      </w:hyperlink>
      <w:hyperlink r:id="rId11" w:history="1">
        <w:r w:rsidR="087C4240" w:rsidRPr="00273106">
          <w:rPr>
            <w:i/>
          </w:rPr>
          <w:t>a</w:t>
        </w:r>
      </w:hyperlink>
      <w:r w:rsidR="087C4240" w:rsidRPr="00273106">
        <w:rPr>
          <w:i/>
        </w:rPr>
        <w:t>d literam</w:t>
      </w:r>
      <w:r w:rsidR="087C4240" w:rsidRPr="00273106">
        <w:t xml:space="preserve"> XII; </w:t>
      </w:r>
      <w:r w:rsidR="087C4240">
        <w:rPr>
          <w:i/>
        </w:rPr>
        <w:t>De T</w:t>
      </w:r>
      <w:r w:rsidR="087C4240" w:rsidRPr="00273106">
        <w:rPr>
          <w:i/>
        </w:rPr>
        <w:t>rin</w:t>
      </w:r>
      <w:r w:rsidR="087C4240">
        <w:rPr>
          <w:i/>
        </w:rPr>
        <w:t>itate</w:t>
      </w:r>
      <w:r w:rsidR="087C4240" w:rsidRPr="00273106">
        <w:t xml:space="preserve"> IX.6). </w:t>
      </w:r>
      <w:r w:rsidR="083968C3">
        <w:rPr>
          <w:rStyle w:val="Zkladntext158dkovn0pt"/>
          <w:color w:val="auto"/>
          <w:spacing w:val="0"/>
          <w:sz w:val="24"/>
          <w:lang w:val="cs-CZ"/>
        </w:rPr>
        <w:t xml:space="preserve">V polemice s aristotelismem Abelardovy </w:t>
      </w:r>
      <w:r w:rsidR="08221E40">
        <w:rPr>
          <w:rStyle w:val="Zkladntext158dkovn0pt"/>
          <w:color w:val="auto"/>
          <w:spacing w:val="0"/>
          <w:sz w:val="24"/>
          <w:lang w:val="cs-CZ"/>
        </w:rPr>
        <w:t xml:space="preserve">a Blundovy </w:t>
      </w:r>
      <w:r w:rsidR="083968C3">
        <w:rPr>
          <w:rStyle w:val="Zkladntext158dkovn0pt"/>
          <w:color w:val="auto"/>
          <w:spacing w:val="0"/>
          <w:sz w:val="24"/>
          <w:lang w:val="cs-CZ"/>
        </w:rPr>
        <w:t>školy se m</w:t>
      </w:r>
      <w:r w:rsidR="08C70627">
        <w:rPr>
          <w:rStyle w:val="Zkladntext158dkovn0pt"/>
          <w:color w:val="auto"/>
          <w:spacing w:val="0"/>
          <w:sz w:val="24"/>
          <w:lang w:val="cs-CZ"/>
        </w:rPr>
        <w:t>odernisté odvolali na překlady t</w:t>
      </w:r>
      <w:r w:rsidR="083968C3">
        <w:rPr>
          <w:rStyle w:val="Zkladntext158dkovn0pt"/>
          <w:color w:val="auto"/>
          <w:spacing w:val="0"/>
          <w:sz w:val="24"/>
          <w:lang w:val="cs-CZ"/>
        </w:rPr>
        <w:t xml:space="preserve">oletánů. </w:t>
      </w:r>
      <w:r w:rsidR="083968C3" w:rsidRPr="00273106">
        <w:t>O</w:t>
      </w:r>
      <w:r w:rsidR="083968C3" w:rsidRPr="00273106">
        <w:rPr>
          <w:rStyle w:val="Zkladntext158dkovn0pt"/>
          <w:color w:val="auto"/>
          <w:spacing w:val="0"/>
          <w:sz w:val="24"/>
          <w:lang w:val="cs-CZ"/>
        </w:rPr>
        <w:t xml:space="preserve">svícení mysli v modelu avicennovského </w:t>
      </w:r>
      <w:r w:rsidR="083968C3" w:rsidRPr="00273106">
        <w:rPr>
          <w:rStyle w:val="Zkladntext158dkovn0pt"/>
          <w:i/>
          <w:color w:val="auto"/>
          <w:spacing w:val="0"/>
          <w:sz w:val="24"/>
          <w:lang w:val="cs-CZ"/>
        </w:rPr>
        <w:t>denudatio</w:t>
      </w:r>
      <w:r w:rsidR="083968C3" w:rsidRPr="00273106">
        <w:rPr>
          <w:rStyle w:val="Zkladntext158dkovn0pt"/>
          <w:color w:val="auto"/>
          <w:spacing w:val="0"/>
          <w:sz w:val="24"/>
          <w:lang w:val="cs-CZ"/>
        </w:rPr>
        <w:t xml:space="preserve"> dopln</w:t>
      </w:r>
      <w:r w:rsidR="083968C3">
        <w:rPr>
          <w:rStyle w:val="Zkladntext158dkovn0pt"/>
          <w:color w:val="auto"/>
          <w:spacing w:val="0"/>
          <w:sz w:val="24"/>
          <w:lang w:val="cs-CZ"/>
        </w:rPr>
        <w:t>il Al</w:t>
      </w:r>
      <w:r w:rsidR="083968C3">
        <w:rPr>
          <w:rStyle w:val="Zkladntext158dkovn0pt"/>
          <w:color w:val="auto"/>
          <w:spacing w:val="0"/>
          <w:sz w:val="24"/>
          <w:lang w:val="cs-CZ"/>
        </w:rPr>
        <w:noBreakHyphen/>
        <w:t>Fá</w:t>
      </w:r>
      <w:r w:rsidR="083968C3" w:rsidRPr="00273106">
        <w:rPr>
          <w:rStyle w:val="Zkladntext158dkovn0pt"/>
          <w:color w:val="auto"/>
          <w:spacing w:val="0"/>
          <w:sz w:val="24"/>
          <w:lang w:val="cs-CZ"/>
        </w:rPr>
        <w:t>rábí</w:t>
      </w:r>
      <w:r w:rsidR="083968C3">
        <w:rPr>
          <w:rStyle w:val="Zkladntext158dkovn0pt"/>
          <w:color w:val="auto"/>
          <w:spacing w:val="0"/>
          <w:sz w:val="24"/>
          <w:lang w:val="cs-CZ"/>
        </w:rPr>
        <w:t>ho</w:t>
      </w:r>
      <w:r w:rsidR="083968C3" w:rsidRPr="00273106">
        <w:rPr>
          <w:rStyle w:val="Zkladntext158dkovn0pt"/>
          <w:color w:val="auto"/>
          <w:spacing w:val="0"/>
          <w:sz w:val="24"/>
          <w:lang w:val="cs-CZ"/>
        </w:rPr>
        <w:t xml:space="preserve"> spis </w:t>
      </w:r>
      <w:r w:rsidR="083968C3" w:rsidRPr="00273106">
        <w:rPr>
          <w:i/>
          <w:iCs/>
        </w:rPr>
        <w:t>De Intellectu et intellecto</w:t>
      </w:r>
      <w:r w:rsidR="083968C3" w:rsidRPr="00273106">
        <w:rPr>
          <w:rStyle w:val="Zkladntext158dkovn0pt"/>
          <w:color w:val="auto"/>
          <w:spacing w:val="0"/>
          <w:sz w:val="24"/>
          <w:lang w:val="cs-CZ"/>
        </w:rPr>
        <w:t xml:space="preserve"> </w:t>
      </w:r>
      <w:r w:rsidR="083968C3">
        <w:rPr>
          <w:rStyle w:val="Zkladntext158dkovn0pt"/>
          <w:color w:val="auto"/>
          <w:spacing w:val="0"/>
          <w:sz w:val="24"/>
          <w:lang w:val="cs-CZ"/>
        </w:rPr>
        <w:t xml:space="preserve">o </w:t>
      </w:r>
      <w:r w:rsidR="083968C3" w:rsidRPr="00273106">
        <w:rPr>
          <w:rStyle w:val="Zkladntext158dkovn0pt"/>
          <w:color w:val="auto"/>
          <w:spacing w:val="0"/>
          <w:sz w:val="24"/>
          <w:lang w:val="cs-CZ"/>
        </w:rPr>
        <w:t>aristotelskou formou abstrakce, která se vztahovala na smyslové a inteligibilní poznání hylemorfické substance (</w:t>
      </w:r>
      <w:r w:rsidR="081F7D39">
        <w:rPr>
          <w:rStyle w:val="Zkladntext158dkovn0pt"/>
          <w:color w:val="auto"/>
          <w:spacing w:val="0"/>
          <w:sz w:val="24"/>
          <w:lang w:val="cs-CZ"/>
        </w:rPr>
        <w:t xml:space="preserve">OBJ I, </w:t>
      </w:r>
      <w:r w:rsidR="083968C3" w:rsidRPr="00273106">
        <w:t>kap. 2.1.1</w:t>
      </w:r>
      <w:r w:rsidR="083968C3" w:rsidRPr="00273106">
        <w:rPr>
          <w:rStyle w:val="Zkladntext158dkovn0pt"/>
          <w:color w:val="auto"/>
          <w:spacing w:val="0"/>
          <w:sz w:val="24"/>
          <w:lang w:val="cs-CZ"/>
        </w:rPr>
        <w:t>).</w:t>
      </w:r>
      <w:r w:rsidR="083968C3">
        <w:rPr>
          <w:rStyle w:val="Zkladntext158dkovn0pt"/>
          <w:color w:val="auto"/>
          <w:spacing w:val="0"/>
          <w:sz w:val="24"/>
          <w:lang w:val="cs-CZ"/>
        </w:rPr>
        <w:t xml:space="preserve"> </w:t>
      </w:r>
      <w:r w:rsidR="0895685B">
        <w:rPr>
          <w:rStyle w:val="Zkladntext158dkovn0pt"/>
          <w:color w:val="auto"/>
          <w:spacing w:val="0"/>
          <w:sz w:val="24"/>
          <w:lang w:val="cs-CZ"/>
        </w:rPr>
        <w:t xml:space="preserve">Transformace škol </w:t>
      </w:r>
      <w:r w:rsidR="0895685B" w:rsidRPr="000B0FA8">
        <w:rPr>
          <w:rStyle w:val="Zkladntext158dkovn0pt"/>
          <w:i/>
          <w:color w:val="auto"/>
          <w:spacing w:val="0"/>
          <w:sz w:val="24"/>
          <w:lang w:val="cs-CZ"/>
        </w:rPr>
        <w:t>Nominales</w:t>
      </w:r>
      <w:r w:rsidR="0895685B">
        <w:rPr>
          <w:rStyle w:val="Zkladntext158dkovn0pt"/>
          <w:color w:val="auto"/>
          <w:spacing w:val="0"/>
          <w:sz w:val="24"/>
          <w:lang w:val="cs-CZ"/>
        </w:rPr>
        <w:t xml:space="preserve"> ze druhé poloviny 12. století na modernisty z první poloviny 13. století proběhla mimo jiné i tím, že a</w:t>
      </w:r>
      <w:r w:rsidR="0895685B" w:rsidRPr="00273106">
        <w:rPr>
          <w:rStyle w:val="Zkladntext158dkovn0pt"/>
          <w:color w:val="auto"/>
          <w:spacing w:val="0"/>
          <w:sz w:val="24"/>
          <w:lang w:val="cs-CZ"/>
        </w:rPr>
        <w:t>vice</w:t>
      </w:r>
      <w:r w:rsidR="0895685B">
        <w:rPr>
          <w:rStyle w:val="Zkladntext158dkovn0pt"/>
          <w:color w:val="auto"/>
          <w:spacing w:val="0"/>
          <w:sz w:val="24"/>
          <w:lang w:val="cs-CZ"/>
        </w:rPr>
        <w:t xml:space="preserve">nnisté byli </w:t>
      </w:r>
      <w:r w:rsidR="0895685B" w:rsidRPr="00273106">
        <w:rPr>
          <w:rStyle w:val="Zkladntext158dkovn0pt"/>
          <w:color w:val="auto"/>
          <w:spacing w:val="0"/>
          <w:sz w:val="24"/>
          <w:lang w:val="cs-CZ"/>
        </w:rPr>
        <w:t xml:space="preserve">ovlivněni </w:t>
      </w:r>
      <w:r w:rsidR="0895685B">
        <w:rPr>
          <w:rStyle w:val="Zkladntext158dkovn0pt"/>
          <w:color w:val="auto"/>
          <w:spacing w:val="0"/>
          <w:sz w:val="24"/>
          <w:lang w:val="cs-CZ"/>
        </w:rPr>
        <w:t xml:space="preserve">soudobou </w:t>
      </w:r>
      <w:r w:rsidR="0895685B" w:rsidRPr="00273106">
        <w:rPr>
          <w:rStyle w:val="Zkladntext158dkovn0pt"/>
          <w:color w:val="auto"/>
          <w:spacing w:val="0"/>
          <w:sz w:val="24"/>
          <w:lang w:val="cs-CZ"/>
        </w:rPr>
        <w:t xml:space="preserve">recepcí Aristotelova korpusu. </w:t>
      </w:r>
      <w:r w:rsidR="0895685B">
        <w:rPr>
          <w:rStyle w:val="Zkladntext158dkovn0pt"/>
          <w:color w:val="auto"/>
          <w:spacing w:val="0"/>
          <w:sz w:val="24"/>
          <w:lang w:val="cs-CZ"/>
        </w:rPr>
        <w:t>V</w:t>
      </w:r>
      <w:r w:rsidR="0895685B">
        <w:t xml:space="preserve"> první polovině 13. století se avicennovská a augustiniánská teorie poznání mísila </w:t>
      </w:r>
      <w:r w:rsidR="0895685B" w:rsidRPr="00273106">
        <w:t xml:space="preserve">skrze </w:t>
      </w:r>
      <w:r w:rsidR="0895685B" w:rsidRPr="00273106">
        <w:rPr>
          <w:i/>
        </w:rPr>
        <w:t>ad hoc</w:t>
      </w:r>
      <w:r w:rsidR="0895685B" w:rsidRPr="00273106">
        <w:t xml:space="preserve"> dané teorie s textem originálního </w:t>
      </w:r>
      <w:r w:rsidR="0895685B">
        <w:t xml:space="preserve">aristotelského </w:t>
      </w:r>
      <w:r w:rsidR="0895685B" w:rsidRPr="00273106">
        <w:t xml:space="preserve">Korpusu </w:t>
      </w:r>
      <w:r w:rsidR="0895685B">
        <w:t xml:space="preserve">postupně překládaného </w:t>
      </w:r>
      <w:r w:rsidR="0895685B" w:rsidRPr="00273106">
        <w:t>do latiny</w:t>
      </w:r>
      <w:r w:rsidR="0895685B">
        <w:t xml:space="preserve"> skrze překlady Komentátora</w:t>
      </w:r>
      <w:r w:rsidR="0895685B" w:rsidRPr="00273106">
        <w:t>.</w:t>
      </w:r>
      <w:r w:rsidR="0895685B">
        <w:t xml:space="preserve"> </w:t>
      </w:r>
      <w:r w:rsidR="009C1B09">
        <w:rPr>
          <w:rStyle w:val="Zkladntext158dkovn0pt"/>
          <w:color w:val="auto"/>
          <w:spacing w:val="0"/>
          <w:sz w:val="24"/>
          <w:lang w:val="cs-CZ"/>
        </w:rPr>
        <w:t>Neoplato</w:t>
      </w:r>
      <w:r w:rsidR="009C1B09" w:rsidRPr="00273106">
        <w:rPr>
          <w:rStyle w:val="Zkladntext158dkovn0pt"/>
          <w:color w:val="auto"/>
          <w:spacing w:val="0"/>
          <w:sz w:val="24"/>
          <w:lang w:val="cs-CZ"/>
        </w:rPr>
        <w:t>nští ilumináti</w:t>
      </w:r>
      <w:r w:rsidR="009C1B09">
        <w:rPr>
          <w:rStyle w:val="Zkladntext158dkovn0pt"/>
          <w:color w:val="auto"/>
          <w:spacing w:val="0"/>
          <w:sz w:val="24"/>
          <w:lang w:val="cs-CZ"/>
        </w:rPr>
        <w:fldChar w:fldCharType="begin"/>
      </w:r>
      <w:r w:rsidR="009C1B09">
        <w:instrText xml:space="preserve"> XE "</w:instrText>
      </w:r>
      <w:r w:rsidR="009C1B09" w:rsidRPr="007D790D">
        <w:rPr>
          <w:rStyle w:val="Zkladntext158dkovn0pt"/>
          <w:color w:val="auto"/>
          <w:spacing w:val="0"/>
          <w:sz w:val="24"/>
          <w:lang w:val="cs-CZ"/>
        </w:rPr>
        <w:instrText>ilumináti</w:instrText>
      </w:r>
      <w:r w:rsidR="009C1B09">
        <w:instrText xml:space="preserve">" </w:instrText>
      </w:r>
      <w:r w:rsidR="009C1B09">
        <w:rPr>
          <w:rStyle w:val="Zkladntext158dkovn0pt"/>
          <w:color w:val="auto"/>
          <w:spacing w:val="0"/>
          <w:sz w:val="24"/>
          <w:lang w:val="cs-CZ"/>
        </w:rPr>
        <w:fldChar w:fldCharType="end"/>
      </w:r>
      <w:r w:rsidR="009C1B09" w:rsidRPr="00273106">
        <w:rPr>
          <w:rStyle w:val="Zkladntext158dkovn0pt"/>
          <w:color w:val="auto"/>
          <w:spacing w:val="0"/>
          <w:sz w:val="24"/>
          <w:lang w:val="cs-CZ"/>
        </w:rPr>
        <w:t xml:space="preserve"> byli ovlivnění aristotelismem</w:t>
      </w:r>
      <w:r w:rsidR="009C1B09">
        <w:rPr>
          <w:rStyle w:val="Zkladntext158dkovn0pt"/>
          <w:color w:val="auto"/>
          <w:spacing w:val="0"/>
          <w:sz w:val="24"/>
          <w:lang w:val="cs-CZ"/>
        </w:rPr>
        <w:t xml:space="preserve"> podle Averroese</w:t>
      </w:r>
      <w:r w:rsidR="009C1B09" w:rsidRPr="00273106">
        <w:rPr>
          <w:rStyle w:val="Zkladntext158dkovn0pt"/>
          <w:color w:val="auto"/>
          <w:spacing w:val="0"/>
          <w:sz w:val="24"/>
          <w:lang w:val="cs-CZ"/>
        </w:rPr>
        <w:t>, ale průběh poznání a smysl jsoucna vykládali</w:t>
      </w:r>
      <w:r w:rsidR="009C1B09">
        <w:rPr>
          <w:rStyle w:val="Zkladntext158dkovn0pt"/>
          <w:color w:val="auto"/>
          <w:spacing w:val="0"/>
          <w:sz w:val="24"/>
          <w:lang w:val="cs-CZ"/>
        </w:rPr>
        <w:t xml:space="preserve"> skrze augustiniánský exemplar</w:t>
      </w:r>
      <w:r w:rsidR="009C1B09">
        <w:rPr>
          <w:rStyle w:val="Zkladntext158dkovn0pt"/>
          <w:color w:val="auto"/>
          <w:spacing w:val="0"/>
          <w:sz w:val="24"/>
          <w:lang w:val="cs-CZ"/>
        </w:rPr>
        <w:fldChar w:fldCharType="begin"/>
      </w:r>
      <w:r w:rsidR="009C1B09">
        <w:instrText xml:space="preserve"> XE "</w:instrText>
      </w:r>
      <w:r w:rsidR="009C1B09" w:rsidRPr="003F72AE">
        <w:rPr>
          <w:i/>
        </w:rPr>
        <w:instrText>exemplar</w:instrText>
      </w:r>
      <w:r w:rsidR="009C1B09">
        <w:instrText xml:space="preserve">" </w:instrText>
      </w:r>
      <w:r w:rsidR="009C1B09">
        <w:rPr>
          <w:rStyle w:val="Zkladntext158dkovn0pt"/>
          <w:color w:val="auto"/>
          <w:spacing w:val="0"/>
          <w:sz w:val="24"/>
          <w:lang w:val="cs-CZ"/>
        </w:rPr>
        <w:fldChar w:fldCharType="end"/>
      </w:r>
      <w:r w:rsidR="009C1B09">
        <w:rPr>
          <w:rStyle w:val="Zkladntext158dkovn0pt"/>
          <w:color w:val="auto"/>
          <w:spacing w:val="0"/>
          <w:sz w:val="24"/>
          <w:lang w:val="cs-CZ"/>
        </w:rPr>
        <w:t xml:space="preserve">. </w:t>
      </w:r>
      <w:r w:rsidR="00252520">
        <w:rPr>
          <w:rStyle w:val="Zkladntext158dkovn0pt"/>
          <w:color w:val="auto"/>
          <w:spacing w:val="0"/>
          <w:sz w:val="24"/>
          <w:lang w:val="cs-CZ"/>
        </w:rPr>
        <w:t xml:space="preserve">Modernisté </w:t>
      </w:r>
      <w:r w:rsidR="080F2756">
        <w:rPr>
          <w:rStyle w:val="Zkladntext158dkovn0pt"/>
          <w:color w:val="auto"/>
          <w:spacing w:val="0"/>
          <w:sz w:val="24"/>
          <w:lang w:val="cs-CZ"/>
        </w:rPr>
        <w:t>ovlivnění avicennovským</w:t>
      </w:r>
      <w:r w:rsidR="080F2756" w:rsidRPr="00273106">
        <w:rPr>
          <w:rStyle w:val="Zkladntext158dkovn0pt"/>
          <w:color w:val="auto"/>
          <w:spacing w:val="0"/>
          <w:sz w:val="24"/>
          <w:lang w:val="cs-CZ"/>
        </w:rPr>
        <w:t xml:space="preserve"> pojetí</w:t>
      </w:r>
      <w:r w:rsidR="080F2756">
        <w:rPr>
          <w:rStyle w:val="Zkladntext158dkovn0pt"/>
          <w:color w:val="auto"/>
          <w:spacing w:val="0"/>
          <w:sz w:val="24"/>
          <w:lang w:val="cs-CZ"/>
        </w:rPr>
        <w:t>m</w:t>
      </w:r>
      <w:r w:rsidR="080F2756" w:rsidRPr="00273106">
        <w:rPr>
          <w:rStyle w:val="Zkladntext158dkovn0pt"/>
          <w:color w:val="auto"/>
          <w:spacing w:val="0"/>
          <w:sz w:val="24"/>
          <w:lang w:val="cs-CZ"/>
        </w:rPr>
        <w:t xml:space="preserve"> abstrakce </w:t>
      </w:r>
      <w:r w:rsidR="080F2756">
        <w:rPr>
          <w:rStyle w:val="Zkladntext158dkovn0pt"/>
          <w:color w:val="auto"/>
          <w:spacing w:val="0"/>
          <w:sz w:val="24"/>
          <w:lang w:val="cs-CZ"/>
        </w:rPr>
        <w:t xml:space="preserve">založili </w:t>
      </w:r>
      <w:r w:rsidR="00252520">
        <w:rPr>
          <w:rStyle w:val="Zkladntext158dkovn0pt"/>
          <w:color w:val="auto"/>
          <w:spacing w:val="0"/>
          <w:sz w:val="24"/>
          <w:lang w:val="cs-CZ"/>
        </w:rPr>
        <w:t xml:space="preserve">porretánskou </w:t>
      </w:r>
      <w:r w:rsidR="00C123C8">
        <w:rPr>
          <w:rStyle w:val="Zkladntext158dkovn0pt"/>
          <w:color w:val="auto"/>
          <w:spacing w:val="0"/>
          <w:sz w:val="24"/>
          <w:lang w:val="cs-CZ"/>
        </w:rPr>
        <w:t>vizi světa podle nemateriální</w:t>
      </w:r>
      <w:r w:rsidR="00C510C4">
        <w:rPr>
          <w:rStyle w:val="Zkladntext158dkovn0pt"/>
          <w:color w:val="auto"/>
          <w:spacing w:val="0"/>
          <w:sz w:val="24"/>
          <w:lang w:val="cs-CZ"/>
        </w:rPr>
        <w:t>ch</w:t>
      </w:r>
      <w:r w:rsidR="00C123C8">
        <w:rPr>
          <w:rStyle w:val="Zkladntext158dkovn0pt"/>
          <w:color w:val="auto"/>
          <w:spacing w:val="0"/>
          <w:sz w:val="24"/>
          <w:lang w:val="cs-CZ"/>
        </w:rPr>
        <w:t xml:space="preserve"> for</w:t>
      </w:r>
      <w:r w:rsidR="00C510C4">
        <w:rPr>
          <w:rStyle w:val="Zkladntext158dkovn0pt"/>
          <w:color w:val="auto"/>
          <w:spacing w:val="0"/>
          <w:sz w:val="24"/>
          <w:lang w:val="cs-CZ"/>
        </w:rPr>
        <w:t>em</w:t>
      </w:r>
      <w:r w:rsidR="00C123C8" w:rsidRPr="00273106">
        <w:rPr>
          <w:rStyle w:val="Zkladntext158dkovn0pt"/>
          <w:color w:val="auto"/>
          <w:spacing w:val="0"/>
          <w:sz w:val="24"/>
          <w:lang w:val="cs-CZ"/>
        </w:rPr>
        <w:t xml:space="preserve"> </w:t>
      </w:r>
      <w:r w:rsidR="00023315">
        <w:rPr>
          <w:rStyle w:val="Zkladntext158dkovn0pt"/>
          <w:color w:val="auto"/>
          <w:spacing w:val="0"/>
          <w:sz w:val="24"/>
          <w:lang w:val="cs-CZ"/>
        </w:rPr>
        <w:t>naz</w:t>
      </w:r>
      <w:r w:rsidR="00C510C4">
        <w:rPr>
          <w:rStyle w:val="Zkladntext158dkovn0pt"/>
          <w:color w:val="auto"/>
          <w:spacing w:val="0"/>
          <w:sz w:val="24"/>
          <w:lang w:val="cs-CZ"/>
        </w:rPr>
        <w:t xml:space="preserve">íraných osvícenou formou </w:t>
      </w:r>
      <w:r w:rsidR="00023315">
        <w:rPr>
          <w:rStyle w:val="Zkladntext158dkovn0pt"/>
          <w:color w:val="auto"/>
          <w:spacing w:val="0"/>
          <w:sz w:val="24"/>
          <w:lang w:val="cs-CZ"/>
        </w:rPr>
        <w:t xml:space="preserve">tak či onak odděleného aktivního </w:t>
      </w:r>
      <w:r w:rsidR="00C510C4">
        <w:rPr>
          <w:rStyle w:val="Zkladntext158dkovn0pt"/>
          <w:color w:val="auto"/>
          <w:spacing w:val="0"/>
          <w:sz w:val="24"/>
          <w:lang w:val="cs-CZ"/>
        </w:rPr>
        <w:t xml:space="preserve">intelektu, </w:t>
      </w:r>
      <w:r w:rsidR="00023315">
        <w:rPr>
          <w:rStyle w:val="Zkladntext158dkovn0pt"/>
          <w:color w:val="auto"/>
          <w:spacing w:val="0"/>
          <w:sz w:val="24"/>
          <w:lang w:val="cs-CZ"/>
        </w:rPr>
        <w:t xml:space="preserve">který </w:t>
      </w:r>
      <w:r w:rsidR="00C510C4">
        <w:rPr>
          <w:rStyle w:val="Zkladntext158dkovn0pt"/>
          <w:color w:val="auto"/>
          <w:spacing w:val="0"/>
          <w:sz w:val="24"/>
          <w:lang w:val="cs-CZ"/>
        </w:rPr>
        <w:t xml:space="preserve">díky nadřazenému postavení </w:t>
      </w:r>
      <w:r w:rsidR="00F936DA">
        <w:rPr>
          <w:rStyle w:val="Zkladntext158dkovn0pt"/>
          <w:color w:val="auto"/>
          <w:spacing w:val="0"/>
          <w:sz w:val="24"/>
          <w:lang w:val="cs-CZ"/>
        </w:rPr>
        <w:t>v lidské duši</w:t>
      </w:r>
      <w:r w:rsidR="00023315">
        <w:rPr>
          <w:rStyle w:val="Zkladntext158dkovn0pt"/>
          <w:color w:val="auto"/>
          <w:spacing w:val="0"/>
          <w:sz w:val="24"/>
          <w:lang w:val="cs-CZ"/>
        </w:rPr>
        <w:t xml:space="preserve"> </w:t>
      </w:r>
      <w:r w:rsidR="00C510C4">
        <w:rPr>
          <w:rStyle w:val="Zkladntext158dkovn0pt"/>
          <w:color w:val="auto"/>
          <w:spacing w:val="0"/>
          <w:sz w:val="24"/>
          <w:lang w:val="cs-CZ"/>
        </w:rPr>
        <w:t xml:space="preserve">sdílí </w:t>
      </w:r>
      <w:r w:rsidR="00023315">
        <w:rPr>
          <w:rStyle w:val="Zkladntext158dkovn0pt"/>
          <w:color w:val="auto"/>
          <w:spacing w:val="0"/>
          <w:sz w:val="24"/>
          <w:lang w:val="cs-CZ"/>
        </w:rPr>
        <w:t xml:space="preserve">tyto formy </w:t>
      </w:r>
      <w:r w:rsidR="00C510C4">
        <w:rPr>
          <w:rStyle w:val="Zkladntext158dkovn0pt"/>
          <w:color w:val="auto"/>
          <w:spacing w:val="0"/>
          <w:sz w:val="24"/>
          <w:lang w:val="cs-CZ"/>
        </w:rPr>
        <w:t xml:space="preserve">s </w:t>
      </w:r>
      <w:r w:rsidR="00C123C8" w:rsidRPr="00273106">
        <w:rPr>
          <w:rStyle w:val="Zkladntext158dkovn0pt"/>
          <w:color w:val="auto"/>
          <w:spacing w:val="0"/>
          <w:sz w:val="24"/>
          <w:lang w:val="cs-CZ"/>
        </w:rPr>
        <w:t xml:space="preserve">vyššími </w:t>
      </w:r>
      <w:r w:rsidR="00C510C4">
        <w:rPr>
          <w:rStyle w:val="Zkladntext158dkovn0pt"/>
          <w:color w:val="auto"/>
          <w:spacing w:val="0"/>
          <w:sz w:val="24"/>
          <w:lang w:val="cs-CZ"/>
        </w:rPr>
        <w:t xml:space="preserve">kosmickými </w:t>
      </w:r>
      <w:r w:rsidR="00C123C8" w:rsidRPr="00273106">
        <w:rPr>
          <w:rStyle w:val="Zkladntext158dkovn0pt"/>
          <w:color w:val="auto"/>
          <w:spacing w:val="0"/>
          <w:sz w:val="24"/>
          <w:lang w:val="cs-CZ"/>
        </w:rPr>
        <w:t>inteligencemi.</w:t>
      </w:r>
      <w:r w:rsidR="00C123C8">
        <w:rPr>
          <w:rStyle w:val="Zkladntext158dkovn0pt"/>
          <w:color w:val="auto"/>
          <w:spacing w:val="0"/>
          <w:sz w:val="24"/>
          <w:lang w:val="cs-CZ"/>
        </w:rPr>
        <w:t xml:space="preserve"> </w:t>
      </w:r>
      <w:r w:rsidR="001318CA">
        <w:rPr>
          <w:color w:val="000000"/>
        </w:rPr>
        <w:t>Filosofic</w:t>
      </w:r>
      <w:r w:rsidR="08503A65">
        <w:rPr>
          <w:color w:val="000000"/>
        </w:rPr>
        <w:t xml:space="preserve">ké školy v Paříži </w:t>
      </w:r>
      <w:r w:rsidR="001318CA" w:rsidRPr="00273106">
        <w:rPr>
          <w:color w:val="000000"/>
        </w:rPr>
        <w:t>a zejména v Oxfordu</w:t>
      </w:r>
      <w:r w:rsidR="001318CA">
        <w:rPr>
          <w:color w:val="000000"/>
        </w:rPr>
        <w:t xml:space="preserve"> </w:t>
      </w:r>
      <w:r w:rsidR="001318CA" w:rsidRPr="00273106">
        <w:rPr>
          <w:color w:val="000000"/>
        </w:rPr>
        <w:t xml:space="preserve">ve velké většině následovaly školu </w:t>
      </w:r>
      <w:r w:rsidR="001318CA" w:rsidRPr="00C46AE1">
        <w:rPr>
          <w:i/>
          <w:color w:val="000000"/>
        </w:rPr>
        <w:t>Nominales</w:t>
      </w:r>
      <w:r w:rsidR="001318CA">
        <w:rPr>
          <w:color w:val="000000"/>
        </w:rPr>
        <w:t xml:space="preserve"> </w:t>
      </w:r>
      <w:r w:rsidR="001318CA" w:rsidRPr="00C46AE1">
        <w:rPr>
          <w:color w:val="000000"/>
        </w:rPr>
        <w:t>a</w:t>
      </w:r>
      <w:r w:rsidR="001318CA">
        <w:rPr>
          <w:color w:val="000000"/>
        </w:rPr>
        <w:t xml:space="preserve"> její diskrétní vidění světa dané skrze jsoucna třetího druhu. </w:t>
      </w:r>
      <w:r w:rsidR="00541F79">
        <w:rPr>
          <w:color w:val="000000"/>
        </w:rPr>
        <w:t>Škola druhého averroismu</w:t>
      </w:r>
      <w:r w:rsidR="00541F79" w:rsidRPr="00273106">
        <w:rPr>
          <w:color w:val="000000"/>
        </w:rPr>
        <w:t xml:space="preserve"> </w:t>
      </w:r>
      <w:r w:rsidR="00541F79">
        <w:rPr>
          <w:color w:val="000000"/>
        </w:rPr>
        <w:t xml:space="preserve">změnila </w:t>
      </w:r>
      <w:r w:rsidR="002F5C56">
        <w:rPr>
          <w:color w:val="000000"/>
        </w:rPr>
        <w:t>kolem 12</w:t>
      </w:r>
      <w:r w:rsidR="084D5695">
        <w:rPr>
          <w:color w:val="000000"/>
        </w:rPr>
        <w:t>35‒</w:t>
      </w:r>
      <w:r w:rsidR="002F5C56">
        <w:rPr>
          <w:color w:val="000000"/>
        </w:rPr>
        <w:t xml:space="preserve">40 </w:t>
      </w:r>
      <w:r w:rsidR="00541F79" w:rsidRPr="00273106">
        <w:rPr>
          <w:color w:val="000000"/>
        </w:rPr>
        <w:t xml:space="preserve">metafyziku </w:t>
      </w:r>
      <w:r w:rsidR="004C0D64">
        <w:rPr>
          <w:color w:val="000000"/>
        </w:rPr>
        <w:t xml:space="preserve">a pojetí pravdy </w:t>
      </w:r>
      <w:r w:rsidR="00541F79" w:rsidRPr="00273106">
        <w:rPr>
          <w:color w:val="000000"/>
        </w:rPr>
        <w:t>natolik</w:t>
      </w:r>
      <w:r w:rsidR="00AD12F4" w:rsidRPr="00273106">
        <w:rPr>
          <w:color w:val="000000"/>
        </w:rPr>
        <w:t>, že došlo k epochální změně smyslu jsoucna</w:t>
      </w:r>
      <w:r w:rsidR="003E1262">
        <w:rPr>
          <w:color w:val="000000"/>
        </w:rPr>
        <w:t>.</w:t>
      </w:r>
    </w:p>
    <w:p w14:paraId="6326CEB6" w14:textId="697B2BA1" w:rsidR="008D49F4" w:rsidRPr="00C445DF" w:rsidRDefault="003E1262" w:rsidP="003E1262">
      <w:pPr>
        <w:ind w:firstLine="397"/>
      </w:pPr>
      <w:r>
        <w:rPr>
          <w:color w:val="000000"/>
        </w:rPr>
        <w:t>P</w:t>
      </w:r>
      <w:r w:rsidR="00B711AF">
        <w:rPr>
          <w:color w:val="000000"/>
        </w:rPr>
        <w:t>rvní averroismus</w:t>
      </w:r>
      <w:r>
        <w:rPr>
          <w:color w:val="000000"/>
        </w:rPr>
        <w:t xml:space="preserve"> zásadně odmítl moderní metafyziku</w:t>
      </w:r>
      <w:r w:rsidR="00AD12F4" w:rsidRPr="00273106">
        <w:rPr>
          <w:color w:val="000000"/>
        </w:rPr>
        <w:t>.</w:t>
      </w:r>
      <w:r w:rsidR="00AD12F4" w:rsidRPr="00273106">
        <w:t xml:space="preserve"> </w:t>
      </w:r>
      <w:r w:rsidR="00EC232D">
        <w:t>Pozitivní přijetí Averroe</w:t>
      </w:r>
      <w:r w:rsidR="00EC232D" w:rsidRPr="00273106">
        <w:t>s</w:t>
      </w:r>
      <w:r w:rsidR="00E335D4">
        <w:t xml:space="preserve">e v první etapě recepce </w:t>
      </w:r>
      <w:r w:rsidR="08664B84">
        <w:t>vrcholící kolem ro</w:t>
      </w:r>
      <w:r w:rsidR="083F2EF3">
        <w:t>ku 12</w:t>
      </w:r>
      <w:r w:rsidR="08664B84">
        <w:t>45</w:t>
      </w:r>
      <w:r w:rsidR="00FD1B2E">
        <w:t xml:space="preserve"> </w:t>
      </w:r>
      <w:r w:rsidR="00E335D4">
        <w:t>završují</w:t>
      </w:r>
      <w:r w:rsidR="00EC232D" w:rsidRPr="00273106">
        <w:t xml:space="preserve"> </w:t>
      </w:r>
      <w:r w:rsidR="00E335D4">
        <w:t xml:space="preserve">dominikán </w:t>
      </w:r>
      <w:r w:rsidR="00EC232D" w:rsidRPr="00273106">
        <w:t>Albert Veliký</w:t>
      </w:r>
      <w:r w:rsidR="00E335D4">
        <w:t xml:space="preserve"> a františkán Roger Bacon, dva největší znal</w:t>
      </w:r>
      <w:r w:rsidR="00EC232D" w:rsidRPr="00273106">
        <w:t>c</w:t>
      </w:r>
      <w:r w:rsidR="00E335D4">
        <w:t>i</w:t>
      </w:r>
      <w:r w:rsidR="00EC232D" w:rsidRPr="00273106">
        <w:t xml:space="preserve"> aristotelského korpusu tehdejší doby. V díle </w:t>
      </w:r>
      <w:r w:rsidR="00EC232D" w:rsidRPr="00273106">
        <w:rPr>
          <w:i/>
          <w:iCs/>
        </w:rPr>
        <w:t xml:space="preserve">De homine </w:t>
      </w:r>
      <w:r w:rsidR="00EC232D" w:rsidRPr="00273106">
        <w:t>(kolem 1242)</w:t>
      </w:r>
      <w:r w:rsidR="00EC232D">
        <w:t xml:space="preserve"> řadí kolínský dominikán Averroe</w:t>
      </w:r>
      <w:r w:rsidR="00EC232D" w:rsidRPr="00273106">
        <w:t>se do proudu individuálně pojatého aktivního intelektu</w:t>
      </w:r>
      <w:r w:rsidR="00EC232D">
        <w:t xml:space="preserve"> a odmítne oxfordský </w:t>
      </w:r>
      <w:r w:rsidR="00EC232D" w:rsidRPr="00273106">
        <w:t xml:space="preserve">výklad </w:t>
      </w:r>
      <w:r w:rsidR="00EC232D" w:rsidRPr="003B4576">
        <w:rPr>
          <w:i/>
        </w:rPr>
        <w:t>Druhých analytik</w:t>
      </w:r>
      <w:r w:rsidR="00EC232D">
        <w:t xml:space="preserve"> s odkazem na Averroe</w:t>
      </w:r>
      <w:r w:rsidR="00EC232D" w:rsidRPr="00273106">
        <w:t xml:space="preserve">sův výklad </w:t>
      </w:r>
      <w:r w:rsidR="0022703E">
        <w:t>poznání v CMDA</w:t>
      </w:r>
      <w:r w:rsidR="00EC232D" w:rsidRPr="00273106">
        <w:t>.</w:t>
      </w:r>
      <w:r w:rsidR="00EC232D">
        <w:t xml:space="preserve"> </w:t>
      </w:r>
      <w:r w:rsidR="082801EF">
        <w:t xml:space="preserve">Totéž provede Bacon v </w:t>
      </w:r>
      <w:r w:rsidR="00A371D5">
        <w:t xml:space="preserve">komentářích </w:t>
      </w:r>
      <w:r w:rsidR="00A371D5" w:rsidRPr="00A371D5">
        <w:rPr>
          <w:i/>
        </w:rPr>
        <w:t>Metafyziky</w:t>
      </w:r>
      <w:r w:rsidR="086A20CE">
        <w:t xml:space="preserve"> ze stejné doby (kap. 3</w:t>
      </w:r>
      <w:r w:rsidR="00A371D5">
        <w:t xml:space="preserve">.2). </w:t>
      </w:r>
      <w:r w:rsidR="00FD1B2E">
        <w:t xml:space="preserve">Zásadní spor mezi oběma školami </w:t>
      </w:r>
      <w:r w:rsidR="002679C1">
        <w:t xml:space="preserve">vykládajících Averroesův korpus </w:t>
      </w:r>
      <w:r w:rsidR="00FD1B2E">
        <w:t xml:space="preserve">vznikl po úmrtí </w:t>
      </w:r>
      <w:r w:rsidR="00D27787">
        <w:t xml:space="preserve">pařížského </w:t>
      </w:r>
      <w:r w:rsidR="00FD1B2E">
        <w:lastRenderedPageBreak/>
        <w:t xml:space="preserve">biskupa </w:t>
      </w:r>
      <w:r w:rsidR="00D27787">
        <w:t xml:space="preserve">Alverna </w:t>
      </w:r>
      <w:r w:rsidR="00FD1B2E">
        <w:t xml:space="preserve">a kancléře </w:t>
      </w:r>
      <w:r w:rsidR="00D27787">
        <w:t>univerzity</w:t>
      </w:r>
      <w:r w:rsidR="08451CE1">
        <w:t xml:space="preserve"> (†1249)</w:t>
      </w:r>
      <w:r w:rsidR="00FD1B2E">
        <w:t xml:space="preserve">. </w:t>
      </w:r>
      <w:r w:rsidR="00C8495F">
        <w:t>S</w:t>
      </w:r>
      <w:r w:rsidR="00AD12F4" w:rsidRPr="00273106">
        <w:t>por mezi prvním a druhým averroismem</w:t>
      </w:r>
      <w:r w:rsidR="00101892">
        <w:t xml:space="preserve"> </w:t>
      </w:r>
      <w:r w:rsidR="00AD12F4" w:rsidRPr="00273106">
        <w:t>mocensky završ</w:t>
      </w:r>
      <w:r w:rsidR="00D92013">
        <w:t>il</w:t>
      </w:r>
      <w:r w:rsidR="00AD12F4" w:rsidRPr="00273106">
        <w:t xml:space="preserve"> pařížský a oxfo</w:t>
      </w:r>
      <w:r w:rsidR="00C8495F">
        <w:t>rdský dekret z března 1277</w:t>
      </w:r>
      <w:r w:rsidR="00A40CEB">
        <w:fldChar w:fldCharType="begin"/>
      </w:r>
      <w:r w:rsidR="00A40CEB">
        <w:instrText xml:space="preserve"> XE "</w:instrText>
      </w:r>
      <w:r w:rsidR="00A40CEB" w:rsidRPr="005A446F">
        <w:instrText>odsouzení 1277</w:instrText>
      </w:r>
      <w:r w:rsidR="00A40CEB">
        <w:instrText xml:space="preserve">" </w:instrText>
      </w:r>
      <w:r w:rsidR="00A40CEB">
        <w:fldChar w:fldCharType="end"/>
      </w:r>
      <w:r w:rsidR="005168BE">
        <w:t xml:space="preserve">, který umlčel školu prvního averroismu soustředěnou na artistické fakultě </w:t>
      </w:r>
      <w:r w:rsidR="00B37185">
        <w:t xml:space="preserve">Pařížské univerzity </w:t>
      </w:r>
      <w:r w:rsidR="005168BE">
        <w:t xml:space="preserve">v </w:t>
      </w:r>
      <w:r w:rsidR="087E44B6">
        <w:t>Rue du Fouarre</w:t>
      </w:r>
      <w:r w:rsidR="005168BE">
        <w:t xml:space="preserve">. </w:t>
      </w:r>
      <w:r w:rsidR="00BB49EF">
        <w:t xml:space="preserve">Oxfordský dekret </w:t>
      </w:r>
      <w:r w:rsidR="08CB197E">
        <w:t xml:space="preserve">modernisty Kilwardbyho </w:t>
      </w:r>
      <w:r w:rsidR="00BB49EF">
        <w:t xml:space="preserve">umlčel </w:t>
      </w:r>
      <w:r w:rsidR="00B55DBC">
        <w:t xml:space="preserve">na zdejší </w:t>
      </w:r>
      <w:r w:rsidR="00B55DBC" w:rsidRPr="00B55DBC">
        <w:rPr>
          <w:i/>
        </w:rPr>
        <w:t>alma mater</w:t>
      </w:r>
      <w:r w:rsidR="00B55DBC">
        <w:t xml:space="preserve"> </w:t>
      </w:r>
      <w:r w:rsidR="08D63BE9">
        <w:t xml:space="preserve">už </w:t>
      </w:r>
      <w:r w:rsidR="00BB49EF">
        <w:t>pouze Rogera B</w:t>
      </w:r>
      <w:r w:rsidR="08051C26">
        <w:t xml:space="preserve">acona. </w:t>
      </w:r>
      <w:r w:rsidR="08D63BE9">
        <w:t xml:space="preserve">Vítězství modernistů dané dekretem roku 1277 bylo umožněno </w:t>
      </w:r>
      <w:r w:rsidR="08051C26">
        <w:t xml:space="preserve">vlivem </w:t>
      </w:r>
      <w:r w:rsidR="003D6AA0">
        <w:t xml:space="preserve">charismatického </w:t>
      </w:r>
      <w:r w:rsidR="08051C26">
        <w:t xml:space="preserve">akademika </w:t>
      </w:r>
      <w:r w:rsidR="0083556D">
        <w:t>Bonaventury</w:t>
      </w:r>
      <w:r w:rsidR="003D6AA0">
        <w:t>, který řídil me</w:t>
      </w:r>
      <w:r w:rsidR="006C7C00">
        <w:t>n</w:t>
      </w:r>
      <w:r w:rsidR="003D6AA0">
        <w:t xml:space="preserve">dikantská studia v Paříži a pak se stal generálem </w:t>
      </w:r>
      <w:r w:rsidR="08D63BE9">
        <w:t xml:space="preserve">františkánského </w:t>
      </w:r>
      <w:r w:rsidR="003D6AA0">
        <w:t>řádu</w:t>
      </w:r>
      <w:r w:rsidR="00BB49EF">
        <w:t xml:space="preserve">. </w:t>
      </w:r>
      <w:r w:rsidR="003146DA">
        <w:t xml:space="preserve">V epoše 1250‒77 </w:t>
      </w:r>
      <w:r w:rsidR="003146DA" w:rsidRPr="00273106">
        <w:t xml:space="preserve">přešla </w:t>
      </w:r>
      <w:r w:rsidR="003146DA">
        <w:t>o</w:t>
      </w:r>
      <w:r w:rsidR="003146DA" w:rsidRPr="00273106">
        <w:t>bjektivita do plně od</w:t>
      </w:r>
      <w:r w:rsidR="003146DA">
        <w:t>k</w:t>
      </w:r>
      <w:r w:rsidR="003146DA" w:rsidRPr="00273106">
        <w:t xml:space="preserve">ryté fáze dějin, kdy </w:t>
      </w:r>
      <w:r w:rsidR="003146DA">
        <w:t xml:space="preserve">už plně </w:t>
      </w:r>
      <w:r w:rsidR="003146DA" w:rsidRPr="00273106">
        <w:t xml:space="preserve">determinuje </w:t>
      </w:r>
      <w:r w:rsidR="003146DA">
        <w:t xml:space="preserve">klíčové </w:t>
      </w:r>
      <w:r w:rsidR="003146DA" w:rsidRPr="00273106">
        <w:t>aspekty historie Západu.</w:t>
      </w:r>
      <w:r w:rsidR="003146DA">
        <w:t xml:space="preserve"> </w:t>
      </w:r>
      <w:r w:rsidR="0034222A" w:rsidRPr="00273106">
        <w:t xml:space="preserve">Z dílny reformovaných avicennistů </w:t>
      </w:r>
      <w:r w:rsidR="008B7312">
        <w:t xml:space="preserve">Filipovy </w:t>
      </w:r>
      <w:r w:rsidR="00F704B7">
        <w:t xml:space="preserve">pařížské </w:t>
      </w:r>
      <w:r w:rsidR="008B7312">
        <w:t>školy (</w:t>
      </w:r>
      <w:r w:rsidR="0034222A" w:rsidRPr="00273106">
        <w:t>Henry z Gentu</w:t>
      </w:r>
      <w:r w:rsidR="008B7312">
        <w:t>)</w:t>
      </w:r>
      <w:r w:rsidR="0034222A" w:rsidRPr="00273106">
        <w:t xml:space="preserve"> a </w:t>
      </w:r>
      <w:r w:rsidR="008B7312">
        <w:t>Rufusov</w:t>
      </w:r>
      <w:r w:rsidR="00F704B7">
        <w:t>y</w:t>
      </w:r>
      <w:r w:rsidR="008B7312">
        <w:t xml:space="preserve"> oxfordské školy (</w:t>
      </w:r>
      <w:r w:rsidR="0034222A" w:rsidRPr="00273106">
        <w:t>Duns Scotus</w:t>
      </w:r>
      <w:r w:rsidR="008B7312">
        <w:t>)</w:t>
      </w:r>
      <w:r w:rsidR="0034222A" w:rsidRPr="00273106">
        <w:t xml:space="preserve"> nakonec vyšel </w:t>
      </w:r>
      <w:r w:rsidR="00826F38">
        <w:t xml:space="preserve">v letech 1290‒1300 </w:t>
      </w:r>
      <w:r w:rsidR="0034222A" w:rsidRPr="00273106">
        <w:t xml:space="preserve">vítězný koncept západní objektivity. </w:t>
      </w:r>
      <w:r w:rsidR="008D49F4" w:rsidRPr="00273106">
        <w:t xml:space="preserve">Znalci středověku znají tuto dobu jako </w:t>
      </w:r>
      <w:r w:rsidR="08350649">
        <w:t xml:space="preserve">druhý začátek metafyziky </w:t>
      </w:r>
      <w:r w:rsidR="008D49F4" w:rsidRPr="00273106">
        <w:t xml:space="preserve">přecházející do známé historické figury </w:t>
      </w:r>
      <w:r w:rsidR="008D49F4"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8D49F4" w:rsidRPr="00273106">
        <w:t>.</w:t>
      </w:r>
      <w:r w:rsidR="00F969B1" w:rsidRPr="00273106">
        <w:t xml:space="preserve"> Z hle</w:t>
      </w:r>
      <w:r w:rsidR="00ED1E6F" w:rsidRPr="00273106">
        <w:t>diska hermeneutiky objektivity platí, že metafyzika</w:t>
      </w:r>
      <w:r w:rsidR="00F969B1" w:rsidRPr="00273106">
        <w:t xml:space="preserve"> </w:t>
      </w:r>
      <w:r w:rsidR="00ED1E6F" w:rsidRPr="00273106">
        <w:rPr>
          <w:i/>
        </w:rPr>
        <w:t>Modernorum</w:t>
      </w:r>
      <w:r w:rsidR="00ED1E6F" w:rsidRPr="00273106">
        <w:t xml:space="preserve"> </w:t>
      </w:r>
      <w:r w:rsidR="00F969B1" w:rsidRPr="00273106">
        <w:t xml:space="preserve">přešla </w:t>
      </w:r>
      <w:r w:rsidR="00ED1E6F" w:rsidRPr="00273106">
        <w:t xml:space="preserve">od 14. století </w:t>
      </w:r>
      <w:r w:rsidR="00D87A2B">
        <w:t xml:space="preserve">skrze </w:t>
      </w:r>
      <w:r w:rsidR="00D87A2B" w:rsidRPr="00D87A2B">
        <w:rPr>
          <w:i/>
        </w:rPr>
        <w:t>via Modernorum</w:t>
      </w:r>
      <w:r w:rsidR="00D87A2B">
        <w:t xml:space="preserve"> </w:t>
      </w:r>
      <w:r w:rsidR="003F0677">
        <w:t xml:space="preserve">do </w:t>
      </w:r>
      <w:r w:rsidR="00D87A2B">
        <w:t>plného zatmění první substance (</w:t>
      </w:r>
      <w:r w:rsidR="00D87A2B" w:rsidRPr="00C21AFA">
        <w:rPr>
          <w:i/>
        </w:rPr>
        <w:t>Seinsvergessenheit</w:t>
      </w:r>
      <w:r w:rsidR="00D87A2B">
        <w:rPr>
          <w:i/>
        </w:rPr>
        <w:fldChar w:fldCharType="begin"/>
      </w:r>
      <w:r w:rsidR="00D87A2B">
        <w:instrText xml:space="preserve"> XE "</w:instrText>
      </w:r>
      <w:r w:rsidR="00D87A2B" w:rsidRPr="003B3CCF">
        <w:rPr>
          <w:i/>
        </w:rPr>
        <w:instrText>Seinsvergessenheit</w:instrText>
      </w:r>
      <w:r w:rsidR="00D87A2B">
        <w:instrText xml:space="preserve">" </w:instrText>
      </w:r>
      <w:r w:rsidR="00D87A2B">
        <w:rPr>
          <w:i/>
        </w:rPr>
        <w:fldChar w:fldCharType="end"/>
      </w:r>
      <w:r w:rsidR="00D87A2B">
        <w:t>)</w:t>
      </w:r>
      <w:r w:rsidR="003F0677">
        <w:t xml:space="preserve">, která </w:t>
      </w:r>
      <w:r w:rsidR="00D94E20">
        <w:t xml:space="preserve">založila </w:t>
      </w:r>
      <w:r w:rsidR="081F1800">
        <w:t xml:space="preserve">současnou </w:t>
      </w:r>
      <w:r w:rsidR="00D94E20">
        <w:t xml:space="preserve">epochu </w:t>
      </w:r>
      <w:r w:rsidR="00C21AFA">
        <w:t>nihilistické metafyziky</w:t>
      </w:r>
      <w:r w:rsidR="081F1800">
        <w:t xml:space="preserve"> a myšlení</w:t>
      </w:r>
      <w:r w:rsidR="0076745A">
        <w:t>. Původní poznání první substance v modu prvního averroismu skončilo</w:t>
      </w:r>
      <w:r w:rsidR="00F969B1" w:rsidRPr="00273106">
        <w:t xml:space="preserve"> v </w:t>
      </w:r>
      <w:r w:rsidR="0076745A">
        <w:t xml:space="preserve">epochální </w:t>
      </w:r>
      <w:r w:rsidR="00F969B1" w:rsidRPr="08FA7939">
        <w:rPr>
          <w:i/>
        </w:rPr>
        <w:t>léthé</w:t>
      </w:r>
      <w:r w:rsidR="08A625DC">
        <w:t xml:space="preserve">, v níž se nazírá </w:t>
      </w:r>
      <w:r w:rsidR="005C7162">
        <w:t>bytí jsoucna</w:t>
      </w:r>
      <w:r w:rsidR="00F458F6">
        <w:t xml:space="preserve"> </w:t>
      </w:r>
      <w:r w:rsidR="00F969B1" w:rsidRPr="00273106">
        <w:t xml:space="preserve">v modu </w:t>
      </w:r>
      <w:r w:rsidR="0076745A">
        <w:t xml:space="preserve">objektivní </w:t>
      </w:r>
      <w:r w:rsidR="0000793C">
        <w:t xml:space="preserve">a </w:t>
      </w:r>
      <w:r w:rsidR="08D86E9E">
        <w:t xml:space="preserve">nihilistické </w:t>
      </w:r>
      <w:r w:rsidR="00F969B1" w:rsidRPr="00273106">
        <w:rPr>
          <w:i/>
        </w:rPr>
        <w:t>veritas</w:t>
      </w:r>
      <w:r w:rsidR="00F969B1" w:rsidRPr="00273106">
        <w:t xml:space="preserve">. </w:t>
      </w:r>
    </w:p>
    <w:p w14:paraId="62D5187F" w14:textId="1B3A00D5" w:rsidR="00F81EC6" w:rsidRPr="00273106" w:rsidRDefault="08014581" w:rsidP="00F81EC6">
      <w:pPr>
        <w:pStyle w:val="Nadpis2"/>
      </w:pPr>
      <w:bookmarkStart w:id="42" w:name="_Toc487234295"/>
      <w:bookmarkStart w:id="43" w:name="_Toc12558302"/>
      <w:r>
        <w:rPr>
          <w:lang w:val="cs-CZ"/>
        </w:rPr>
        <w:br w:type="page"/>
      </w:r>
      <w:bookmarkStart w:id="44" w:name="_Toc160449314"/>
      <w:r w:rsidR="08D20D28">
        <w:rPr>
          <w:lang w:val="cs-CZ"/>
        </w:rPr>
        <w:lastRenderedPageBreak/>
        <w:t>2</w:t>
      </w:r>
      <w:r w:rsidR="00F81EC6" w:rsidRPr="00273106">
        <w:t xml:space="preserve">.1 </w:t>
      </w:r>
      <w:r w:rsidR="00591E7A" w:rsidRPr="00273106">
        <w:t xml:space="preserve">Aristotelská </w:t>
      </w:r>
      <w:r w:rsidR="00F81EC6" w:rsidRPr="00273106">
        <w:t xml:space="preserve">intepretace </w:t>
      </w:r>
      <w:r w:rsidR="00B713C5">
        <w:rPr>
          <w:i/>
        </w:rPr>
        <w:t>De anima</w:t>
      </w:r>
      <w:r w:rsidR="003238E3" w:rsidRPr="00273106">
        <w:t xml:space="preserve"> (John Blund)</w:t>
      </w:r>
      <w:bookmarkEnd w:id="42"/>
      <w:bookmarkEnd w:id="43"/>
      <w:bookmarkEnd w:id="44"/>
    </w:p>
    <w:p w14:paraId="2419AE0F" w14:textId="616C5C89" w:rsidR="08D45BB6" w:rsidRPr="08BE2778" w:rsidRDefault="0070453A" w:rsidP="08D45BB6">
      <w:pPr>
        <w:rPr>
          <w:szCs w:val="24"/>
        </w:rPr>
      </w:pPr>
      <w:r>
        <w:t>Brilantní aristotelik John</w:t>
      </w:r>
      <w:r w:rsidR="0083784E">
        <w:t xml:space="preserve"> </w:t>
      </w:r>
      <w:r w:rsidR="00AE6B44">
        <w:t>Blun</w:t>
      </w:r>
      <w:r w:rsidR="002F0978">
        <w:t>d</w:t>
      </w:r>
      <w:r w:rsidR="0083784E">
        <w:fldChar w:fldCharType="begin"/>
      </w:r>
      <w:r w:rsidR="0083784E">
        <w:instrText xml:space="preserve"> XE "</w:instrText>
      </w:r>
      <w:r w:rsidR="0083784E" w:rsidRPr="00002FE4">
        <w:instrText xml:space="preserve">Blund, J.:viz </w:instrText>
      </w:r>
      <w:r w:rsidR="0083784E" w:rsidRPr="0083784E">
        <w:rPr>
          <w:i/>
        </w:rPr>
        <w:instrText>Index locorum</w:instrText>
      </w:r>
      <w:r w:rsidR="0083784E">
        <w:instrText xml:space="preserve">" </w:instrText>
      </w:r>
      <w:r w:rsidR="0083784E">
        <w:fldChar w:fldCharType="end"/>
      </w:r>
      <w:r w:rsidR="00AE6B44">
        <w:t xml:space="preserve"> se vrátil k nasvícení jsoucna zepředu od reálné věci</w:t>
      </w:r>
      <w:r w:rsidR="008476AB">
        <w:t xml:space="preserve"> díky kritické revizi </w:t>
      </w:r>
      <w:r w:rsidR="00AE6B44">
        <w:t xml:space="preserve">spisu </w:t>
      </w:r>
      <w:r w:rsidR="00AE6B44" w:rsidRPr="005B5672">
        <w:rPr>
          <w:i/>
        </w:rPr>
        <w:t>De anima</w:t>
      </w:r>
      <w:r w:rsidR="00AE6B44">
        <w:t xml:space="preserve">. </w:t>
      </w:r>
      <w:r w:rsidR="00EF369B" w:rsidRPr="00273106">
        <w:t>Dominicus Gundissalinus</w:t>
      </w:r>
      <w:r w:rsidR="005B479E">
        <w:fldChar w:fldCharType="begin"/>
      </w:r>
      <w:r w:rsidR="005B479E">
        <w:instrText xml:space="preserve"> XE "</w:instrText>
      </w:r>
      <w:r w:rsidR="005B479E" w:rsidRPr="00AB6F57">
        <w:instrText>Gundissalinus, D.</w:instrText>
      </w:r>
      <w:r w:rsidR="005B479E">
        <w:instrText xml:space="preserve">" </w:instrText>
      </w:r>
      <w:r w:rsidR="005B479E">
        <w:fldChar w:fldCharType="end"/>
      </w:r>
      <w:r w:rsidR="00EF369B" w:rsidRPr="00273106">
        <w:t xml:space="preserve"> </w:t>
      </w:r>
      <w:r w:rsidR="08095F24">
        <w:t xml:space="preserve">z Toledské školy </w:t>
      </w:r>
      <w:r w:rsidR="00EF369B" w:rsidRPr="00273106">
        <w:t xml:space="preserve">vytvořil pro Západ </w:t>
      </w:r>
      <w:r w:rsidR="00001863">
        <w:t xml:space="preserve">ve druhé polovině </w:t>
      </w:r>
      <w:r w:rsidR="00EF369B" w:rsidRPr="00273106">
        <w:t>12. stolet</w:t>
      </w:r>
      <w:r w:rsidR="00701D9A" w:rsidRPr="00273106">
        <w:t xml:space="preserve">í originální syntézu Avicennovy filosofie </w:t>
      </w:r>
      <w:r w:rsidR="008438AC">
        <w:t xml:space="preserve">na základě </w:t>
      </w:r>
      <w:r w:rsidR="00EF369B" w:rsidRPr="00273106">
        <w:t xml:space="preserve">čtyř forem intelektu v lidské duši. Avicennův spis </w:t>
      </w:r>
      <w:r w:rsidR="00B713C5">
        <w:rPr>
          <w:i/>
        </w:rPr>
        <w:t>De anima</w:t>
      </w:r>
      <w:r w:rsidR="00EF369B" w:rsidRPr="00273106">
        <w:t xml:space="preserve"> indikuje různý stupeň aktualizace poznávacích schopností člověka (</w:t>
      </w:r>
      <w:r w:rsidR="00EF369B" w:rsidRPr="00273106">
        <w:rPr>
          <w:i/>
        </w:rPr>
        <w:t>intellectus</w:t>
      </w:r>
      <w:r w:rsidR="081A40DE">
        <w:rPr>
          <w:i/>
        </w:rPr>
        <w:t xml:space="preserve"> matelialis</w:t>
      </w:r>
      <w:r w:rsidR="00EF369B" w:rsidRPr="00273106">
        <w:t xml:space="preserve">, </w:t>
      </w:r>
      <w:r w:rsidR="00EF369B" w:rsidRPr="00273106">
        <w:rPr>
          <w:i/>
        </w:rPr>
        <w:t>in habitu</w:t>
      </w:r>
      <w:r w:rsidR="00EF369B" w:rsidRPr="00273106">
        <w:t xml:space="preserve">, </w:t>
      </w:r>
      <w:r w:rsidR="00EF369B" w:rsidRPr="00273106">
        <w:rPr>
          <w:i/>
        </w:rPr>
        <w:t>in effectu</w:t>
      </w:r>
      <w:r w:rsidR="00EF369B" w:rsidRPr="00273106">
        <w:t xml:space="preserve">, </w:t>
      </w:r>
      <w:r w:rsidR="00EF369B" w:rsidRPr="00273106">
        <w:rPr>
          <w:i/>
        </w:rPr>
        <w:t>adeptus</w:t>
      </w:r>
      <w:r w:rsidR="00EF369B" w:rsidRPr="00273106">
        <w:t xml:space="preserve">), který disponuje duši ke spojení s odděleným </w:t>
      </w:r>
      <w:r w:rsidR="00EF369B" w:rsidRPr="00273106">
        <w:rPr>
          <w:i/>
        </w:rPr>
        <w:t>intellectus agens</w:t>
      </w:r>
      <w:r w:rsidR="00EF369B" w:rsidRPr="00273106">
        <w:t xml:space="preserve"> (</w:t>
      </w:r>
      <w:r w:rsidR="080C535D">
        <w:t xml:space="preserve">OBJ I, </w:t>
      </w:r>
      <w:r w:rsidR="00EF369B" w:rsidRPr="00273106">
        <w:t xml:space="preserve">kap. 2.3.1). </w:t>
      </w:r>
      <w:r w:rsidR="00847E6B">
        <w:t>Al-Fá</w:t>
      </w:r>
      <w:r w:rsidR="009D3A85" w:rsidRPr="00273106">
        <w:t xml:space="preserve">rábího a Avicennův darovaný intelekt v člověku byl primárně spojen s odděleným </w:t>
      </w:r>
      <w:r w:rsidR="00D22AB3" w:rsidRPr="00273106">
        <w:t xml:space="preserve">kosmickým </w:t>
      </w:r>
      <w:r w:rsidR="009D3A85" w:rsidRPr="00273106">
        <w:rPr>
          <w:i/>
        </w:rPr>
        <w:t>intellectus agens</w:t>
      </w:r>
      <w:r w:rsidR="009D3A85" w:rsidRPr="00273106">
        <w:t xml:space="preserve">, jenž zajišťoval aktualitu poznání. </w:t>
      </w:r>
      <w:r w:rsidR="008B12D2">
        <w:t>Neoplatonsk</w:t>
      </w:r>
      <w:r w:rsidR="08FA014E">
        <w:t>ý</w:t>
      </w:r>
      <w:r w:rsidR="08F56C8D">
        <w:t xml:space="preserve"> výklad poznání zajistil plně pravdivé poznání skrze konjunkci darovaného intelektu (</w:t>
      </w:r>
      <w:r w:rsidR="08F56C8D" w:rsidRPr="08F56C8D">
        <w:rPr>
          <w:i/>
        </w:rPr>
        <w:t>intellectus adeptus</w:t>
      </w:r>
      <w:r w:rsidR="08F56C8D">
        <w:t xml:space="preserve">) s </w:t>
      </w:r>
      <w:r w:rsidR="08F56C8D" w:rsidRPr="00273106">
        <w:t>oddělený</w:t>
      </w:r>
      <w:r w:rsidR="08F56C8D">
        <w:t>m</w:t>
      </w:r>
      <w:r w:rsidR="08F56C8D" w:rsidRPr="00273106">
        <w:t xml:space="preserve"> činný</w:t>
      </w:r>
      <w:r w:rsidR="08F56C8D">
        <w:t>m</w:t>
      </w:r>
      <w:r w:rsidR="08F56C8D" w:rsidRPr="00273106">
        <w:t xml:space="preserve"> intelekt</w:t>
      </w:r>
      <w:r w:rsidR="08F56C8D">
        <w:t>em</w:t>
      </w:r>
      <w:r w:rsidR="08F56C8D" w:rsidRPr="00273106">
        <w:t xml:space="preserve"> společný</w:t>
      </w:r>
      <w:r w:rsidR="08F56C8D">
        <w:t>m</w:t>
      </w:r>
      <w:r w:rsidR="08F56C8D" w:rsidRPr="00273106">
        <w:t xml:space="preserve"> pro všechny lidi (</w:t>
      </w:r>
      <w:r w:rsidR="08F56C8D" w:rsidRPr="00273106">
        <w:rPr>
          <w:i/>
        </w:rPr>
        <w:t>intellectus agens</w:t>
      </w:r>
      <w:r w:rsidR="08F56C8D">
        <w:rPr>
          <w:i/>
        </w:rPr>
        <w:fldChar w:fldCharType="begin"/>
      </w:r>
      <w:r w:rsidR="08F56C8D">
        <w:instrText xml:space="preserve"> XE "</w:instrText>
      </w:r>
      <w:r w:rsidR="08F56C8D" w:rsidRPr="00490D32">
        <w:rPr>
          <w:i/>
        </w:rPr>
        <w:instrText>intellectus agens:</w:instrText>
      </w:r>
      <w:r w:rsidR="08F56C8D" w:rsidRPr="00490D32">
        <w:instrText>neoplatonismus</w:instrText>
      </w:r>
      <w:r w:rsidR="08F56C8D">
        <w:instrText xml:space="preserve">" </w:instrText>
      </w:r>
      <w:r w:rsidR="08F56C8D">
        <w:rPr>
          <w:i/>
        </w:rPr>
        <w:fldChar w:fldCharType="end"/>
      </w:r>
      <w:r w:rsidR="08F56C8D" w:rsidRPr="00273106">
        <w:t>).</w:t>
      </w:r>
      <w:r w:rsidR="08F56C8D">
        <w:t xml:space="preserve"> Na nižší aristotelské úrovni abstrakce šlo poznání skrze </w:t>
      </w:r>
      <w:r w:rsidR="00B63379" w:rsidRPr="00273106">
        <w:t>smyslově založené</w:t>
      </w:r>
      <w:r w:rsidR="00794A75">
        <w:t xml:space="preserve"> individuální</w:t>
      </w:r>
      <w:r w:rsidR="003B1170" w:rsidRPr="00273106">
        <w:t xml:space="preserve"> poznání (</w:t>
      </w:r>
      <w:r w:rsidR="003B1170"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6D2B5F" w:rsidRPr="00BE489A">
        <w:instrText>Avicenna</w:instrText>
      </w:r>
      <w:r w:rsidR="006D2B5F">
        <w:instrText xml:space="preserve">" </w:instrText>
      </w:r>
      <w:r w:rsidR="006D2B5F">
        <w:rPr>
          <w:i/>
        </w:rPr>
        <w:fldChar w:fldCharType="end"/>
      </w:r>
      <w:r w:rsidR="08F56C8D">
        <w:t>)</w:t>
      </w:r>
      <w:r w:rsidR="08373B6D">
        <w:t xml:space="preserve">. Materiální intelekt </w:t>
      </w:r>
      <w:r w:rsidR="08F56C8D">
        <w:t xml:space="preserve">prováděl </w:t>
      </w:r>
      <w:r w:rsidR="00D22AB3" w:rsidRPr="00273106">
        <w:t xml:space="preserve">akt </w:t>
      </w:r>
      <w:r w:rsidR="00B03112">
        <w:t xml:space="preserve">kontingentního </w:t>
      </w:r>
      <w:r w:rsidR="00D22AB3" w:rsidRPr="00273106">
        <w:t xml:space="preserve">poznání reálné věci </w:t>
      </w:r>
      <w:r w:rsidR="08F56C8D">
        <w:t xml:space="preserve">a byl </w:t>
      </w:r>
      <w:r w:rsidR="085811D3">
        <w:t xml:space="preserve">současně </w:t>
      </w:r>
      <w:r w:rsidR="08F56C8D">
        <w:t xml:space="preserve">aktualizován </w:t>
      </w:r>
      <w:r w:rsidR="085811D3">
        <w:t xml:space="preserve">ve formě </w:t>
      </w:r>
      <w:r w:rsidR="085811D3" w:rsidRPr="085811D3">
        <w:rPr>
          <w:i/>
        </w:rPr>
        <w:t>intellectus possib</w:t>
      </w:r>
      <w:r w:rsidR="085811D3">
        <w:rPr>
          <w:i/>
        </w:rPr>
        <w:t>i</w:t>
      </w:r>
      <w:r w:rsidR="085811D3" w:rsidRPr="085811D3">
        <w:rPr>
          <w:i/>
        </w:rPr>
        <w:t>lis</w:t>
      </w:r>
      <w:r w:rsidR="085811D3">
        <w:t xml:space="preserve"> také </w:t>
      </w:r>
      <w:r w:rsidR="08F56C8D">
        <w:t xml:space="preserve">nasvícením zezadu </w:t>
      </w:r>
      <w:r w:rsidR="00D22AB3" w:rsidRPr="00273106">
        <w:t>(</w:t>
      </w:r>
      <w:r w:rsidR="00D22AB3" w:rsidRPr="00273106">
        <w:rPr>
          <w:i/>
        </w:rPr>
        <w:t>intellectus in effectu</w:t>
      </w:r>
      <w:r w:rsidR="00D44795">
        <w:rPr>
          <w:i/>
        </w:rPr>
        <w:fldChar w:fldCharType="begin"/>
      </w:r>
      <w:r w:rsidR="00D44795">
        <w:instrText xml:space="preserve"> XE "</w:instrText>
      </w:r>
      <w:r w:rsidR="00D44795" w:rsidRPr="0017668B">
        <w:rPr>
          <w:i/>
        </w:rPr>
        <w:instrText>intellectus in effectu</w:instrText>
      </w:r>
      <w:r w:rsidR="00D44795">
        <w:instrText xml:space="preserve">" </w:instrText>
      </w:r>
      <w:r w:rsidR="00D44795">
        <w:rPr>
          <w:i/>
        </w:rPr>
        <w:fldChar w:fldCharType="end"/>
      </w:r>
      <w:r w:rsidR="00D22AB3" w:rsidRPr="00273106">
        <w:t>)</w:t>
      </w:r>
      <w:r w:rsidR="00B63379" w:rsidRPr="00273106">
        <w:t xml:space="preserve">. </w:t>
      </w:r>
      <w:r w:rsidR="00746E91">
        <w:t xml:space="preserve">Avicennův intelekt má vlastní náhled do prvních principů </w:t>
      </w:r>
      <w:r w:rsidR="08FA014E">
        <w:t xml:space="preserve">poznání, které jsou </w:t>
      </w:r>
      <w:r w:rsidR="081237CF">
        <w:t>aktualizov</w:t>
      </w:r>
      <w:r w:rsidR="00746E91">
        <w:t xml:space="preserve">ány smyslovým poznáním a završeny iluminací od kosmického činného intelektu. Toto </w:t>
      </w:r>
      <w:r w:rsidR="085E4740">
        <w:t>schéma obsahuje aktuální formu</w:t>
      </w:r>
      <w:r w:rsidR="00746E91">
        <w:t xml:space="preserve"> </w:t>
      </w:r>
      <w:r w:rsidR="080A6A15">
        <w:t>inte</w:t>
      </w:r>
      <w:r w:rsidR="085E4740">
        <w:t>l</w:t>
      </w:r>
      <w:r w:rsidR="080A6A15">
        <w:t>e</w:t>
      </w:r>
      <w:r w:rsidR="085E4740">
        <w:t>ktu-substance hned na začá</w:t>
      </w:r>
      <w:r w:rsidR="00746E91">
        <w:t xml:space="preserve">tku poznání a završení poznání jde od vnějšího aktivního intelektu. </w:t>
      </w:r>
      <w:r w:rsidR="080A6A15">
        <w:t xml:space="preserve">Avicennova hierarchie </w:t>
      </w:r>
      <w:r w:rsidR="08F4358F">
        <w:t xml:space="preserve">čtyř forem postupně hypostázovaných intelektů </w:t>
      </w:r>
      <w:r w:rsidR="080A6A15">
        <w:t xml:space="preserve">je </w:t>
      </w:r>
      <w:r w:rsidR="08F4358F">
        <w:t xml:space="preserve">postavena </w:t>
      </w:r>
      <w:r w:rsidR="080A6A15">
        <w:t xml:space="preserve">podle </w:t>
      </w:r>
      <w:r w:rsidR="08D86E9E" w:rsidRPr="08D86E9E">
        <w:rPr>
          <w:i/>
        </w:rPr>
        <w:t>Liber de causis</w:t>
      </w:r>
      <w:r w:rsidR="08D86E9E">
        <w:t xml:space="preserve"> na stupňovitě dané sebereflexi intelektu</w:t>
      </w:r>
      <w:r w:rsidR="08C57630">
        <w:t xml:space="preserve"> od lidské až po kosmickou variantu</w:t>
      </w:r>
      <w:r w:rsidR="08D86E9E">
        <w:t xml:space="preserve">. </w:t>
      </w:r>
      <w:r w:rsidR="088B237C">
        <w:t xml:space="preserve">Souběh dvou osvícení zezadu daný iniciací vrozených principů poznání a finální iluminací činného intelektu ustavil pro poznání novou dráhu náhledu danou nasvícením jsoucna zezadu. </w:t>
      </w:r>
      <w:r w:rsidR="08D86E9E">
        <w:t xml:space="preserve">Škola prvního averroismu v podání Blunda </w:t>
      </w:r>
      <w:r w:rsidR="087F00AF">
        <w:t xml:space="preserve">odmítla avicennovské </w:t>
      </w:r>
      <w:r w:rsidR="08D86E9E">
        <w:t xml:space="preserve">pojetí </w:t>
      </w:r>
      <w:r w:rsidR="088C34D9">
        <w:t>poznání</w:t>
      </w:r>
      <w:r w:rsidR="087F00AF">
        <w:t>, protože</w:t>
      </w:r>
      <w:r w:rsidR="088C34D9">
        <w:t xml:space="preserve"> </w:t>
      </w:r>
      <w:r w:rsidR="087F00AF">
        <w:t xml:space="preserve">neoplatonští ilumináti </w:t>
      </w:r>
      <w:r w:rsidR="08D52712">
        <w:t xml:space="preserve">správně </w:t>
      </w:r>
      <w:r w:rsidR="087F00AF">
        <w:t xml:space="preserve">nepochopili spis </w:t>
      </w:r>
      <w:r w:rsidR="087F00AF" w:rsidRPr="087F00AF">
        <w:rPr>
          <w:i/>
        </w:rPr>
        <w:t>De anima</w:t>
      </w:r>
      <w:r w:rsidR="08C217EA">
        <w:t xml:space="preserve">. Tato aristotelská škola v linii Boethia a Abelarda </w:t>
      </w:r>
      <w:r w:rsidR="08D86E9E">
        <w:t xml:space="preserve">vybudovala poznání na původním výkladu </w:t>
      </w:r>
      <w:r w:rsidR="08D86E9E" w:rsidRPr="081D0F79">
        <w:rPr>
          <w:i/>
        </w:rPr>
        <w:t>De anima</w:t>
      </w:r>
      <w:r w:rsidR="08D86E9E">
        <w:t xml:space="preserve"> podle rozdílného způsobu aktualizace poznání různých potencí </w:t>
      </w:r>
      <w:r w:rsidR="08D86E9E" w:rsidRPr="08F6307A">
        <w:rPr>
          <w:i/>
        </w:rPr>
        <w:t>anima intellectiva</w:t>
      </w:r>
      <w:r w:rsidR="08D86E9E">
        <w:t>, které jsou aktualizovány od smy</w:t>
      </w:r>
      <w:r w:rsidR="08D71E83">
        <w:t xml:space="preserve">slů. </w:t>
      </w:r>
      <w:r w:rsidR="08243CA7">
        <w:t xml:space="preserve">Aristotelské schéma poznání a pravdy </w:t>
      </w:r>
      <w:r w:rsidR="08D71E83">
        <w:t>magi</w:t>
      </w:r>
      <w:r w:rsidR="08D93193">
        <w:t>strálně obhájil</w:t>
      </w:r>
      <w:r w:rsidR="08D71E83">
        <w:t xml:space="preserve"> Albert </w:t>
      </w:r>
      <w:r w:rsidR="08653F7C">
        <w:t xml:space="preserve">po roce 1240 </w:t>
      </w:r>
      <w:r w:rsidR="08D71E83">
        <w:t>s odkazem na Sicilský výklad CMDA</w:t>
      </w:r>
      <w:r w:rsidR="08D93193">
        <w:t xml:space="preserve">. Tento brilantní aristotelik </w:t>
      </w:r>
      <w:r w:rsidR="08D71E83">
        <w:t>odmít</w:t>
      </w:r>
      <w:r w:rsidR="08D93193">
        <w:t xml:space="preserve">l </w:t>
      </w:r>
      <w:r w:rsidR="08D71E83">
        <w:t xml:space="preserve">Avicennovo </w:t>
      </w:r>
      <w:r w:rsidR="08F7348E">
        <w:t xml:space="preserve">spekulativní </w:t>
      </w:r>
      <w:r w:rsidR="08D71E83">
        <w:t xml:space="preserve">dělení </w:t>
      </w:r>
      <w:r w:rsidR="086F02EB">
        <w:t xml:space="preserve">intelektu </w:t>
      </w:r>
      <w:r w:rsidR="08F7348E">
        <w:t xml:space="preserve">jako neoplatonské hypostáze </w:t>
      </w:r>
      <w:r w:rsidR="08D71E83">
        <w:t>(</w:t>
      </w:r>
      <w:r w:rsidR="08D71E83" w:rsidRPr="08D86E9E">
        <w:rPr>
          <w:i/>
        </w:rPr>
        <w:t>quattuor sunt gradus</w:t>
      </w:r>
      <w:r w:rsidR="08D71E83">
        <w:t>)</w:t>
      </w:r>
      <w:r w:rsidR="08893045">
        <w:t xml:space="preserve"> a provedl</w:t>
      </w:r>
      <w:r w:rsidR="08D71E83">
        <w:t xml:space="preserve"> fenomen</w:t>
      </w:r>
      <w:r w:rsidR="08893045">
        <w:t>o</w:t>
      </w:r>
      <w:r w:rsidR="08D71E83">
        <w:t xml:space="preserve">logický výklad </w:t>
      </w:r>
      <w:r w:rsidR="086F02EB">
        <w:t xml:space="preserve">aktu </w:t>
      </w:r>
      <w:r w:rsidR="08D71E83">
        <w:t xml:space="preserve">poznání podle Komentátora </w:t>
      </w:r>
      <w:r w:rsidR="08D86E9E">
        <w:lastRenderedPageBreak/>
        <w:t>(</w:t>
      </w:r>
      <w:r w:rsidR="08D86E9E" w:rsidRPr="08203875">
        <w:rPr>
          <w:i/>
        </w:rPr>
        <w:t xml:space="preserve">tres sunt </w:t>
      </w:r>
      <w:r w:rsidR="004B4D52" w:rsidRPr="004B4D52">
        <w:t>species</w:t>
      </w:r>
      <w:r w:rsidR="08D45BB6">
        <w:t>, kap. 2</w:t>
      </w:r>
      <w:r w:rsidR="08D86E9E">
        <w:t xml:space="preserve">.4.2). Duše se nestává vším </w:t>
      </w:r>
      <w:r w:rsidR="086F1E04">
        <w:t xml:space="preserve">v průběhu </w:t>
      </w:r>
      <w:r w:rsidR="08A441EB">
        <w:t xml:space="preserve">intelektuální </w:t>
      </w:r>
      <w:r w:rsidR="086F1E04">
        <w:t>sebereflexe</w:t>
      </w:r>
      <w:r w:rsidR="08D86E9E">
        <w:t>, ale t</w:t>
      </w:r>
      <w:r w:rsidR="086F1E04">
        <w:t>ím</w:t>
      </w:r>
      <w:r w:rsidR="08A441EB">
        <w:t>,</w:t>
      </w:r>
      <w:r w:rsidR="086F1E04">
        <w:t xml:space="preserve"> že je univerzálně receptivní</w:t>
      </w:r>
      <w:r w:rsidR="08D86E9E">
        <w:t xml:space="preserve">. Nástupci Blundovy školy </w:t>
      </w:r>
      <w:r w:rsidR="086F1E04">
        <w:t xml:space="preserve">provedli podle </w:t>
      </w:r>
      <w:r w:rsidR="08BA751C">
        <w:t xml:space="preserve">nového výkladu </w:t>
      </w:r>
      <w:r w:rsidR="086F1E04" w:rsidRPr="086F1E04">
        <w:rPr>
          <w:i/>
        </w:rPr>
        <w:t>De anima</w:t>
      </w:r>
      <w:r w:rsidR="086F1E04">
        <w:t xml:space="preserve"> </w:t>
      </w:r>
      <w:r w:rsidR="08BA751C">
        <w:t xml:space="preserve">provedeného Blundem okolo roku 1200 také </w:t>
      </w:r>
      <w:r w:rsidR="086F1E04">
        <w:t xml:space="preserve">materiální i nemateriální adekvaci reality a poznání. </w:t>
      </w:r>
      <w:r w:rsidR="08BA751C">
        <w:t xml:space="preserve">Proto </w:t>
      </w:r>
      <w:r w:rsidR="086F1E04">
        <w:t xml:space="preserve">zavrhli </w:t>
      </w:r>
      <w:r w:rsidR="08D86E9E">
        <w:t xml:space="preserve">Avicennův </w:t>
      </w:r>
      <w:r w:rsidR="08F717D5">
        <w:t xml:space="preserve">iluminační </w:t>
      </w:r>
      <w:r w:rsidR="08D86E9E">
        <w:t xml:space="preserve">model poznání </w:t>
      </w:r>
      <w:r w:rsidR="08F717D5">
        <w:t xml:space="preserve">daný nasvícením zezadu. Blundova škola poprvé na latinském Západě </w:t>
      </w:r>
      <w:r w:rsidR="08D86E9E">
        <w:t>fenomenologick</w:t>
      </w:r>
      <w:r w:rsidR="08F717D5">
        <w:t>y popsala</w:t>
      </w:r>
      <w:r w:rsidR="08D86E9E">
        <w:t xml:space="preserve"> průběh poznání v modu hermeneutického </w:t>
      </w:r>
      <w:r w:rsidR="08D86E9E" w:rsidRPr="008F1893">
        <w:rPr>
          <w:i/>
        </w:rPr>
        <w:t>Wie</w:t>
      </w:r>
      <w:r w:rsidR="08D86E9E">
        <w:rPr>
          <w:i/>
        </w:rPr>
        <w:fldChar w:fldCharType="begin"/>
      </w:r>
      <w:r w:rsidR="08D86E9E">
        <w:instrText xml:space="preserve"> XE "</w:instrText>
      </w:r>
      <w:r w:rsidR="08D86E9E" w:rsidRPr="00EC616C">
        <w:instrText xml:space="preserve">hermeneutické </w:instrText>
      </w:r>
      <w:r w:rsidR="08D86E9E" w:rsidRPr="00EC616C">
        <w:rPr>
          <w:i/>
        </w:rPr>
        <w:instrText>Wie:</w:instrText>
      </w:r>
      <w:r w:rsidR="08D86E9E" w:rsidRPr="00AE0266">
        <w:instrText>Avicenna</w:instrText>
      </w:r>
      <w:r w:rsidR="08D86E9E">
        <w:instrText xml:space="preserve">" </w:instrText>
      </w:r>
      <w:r w:rsidR="08D86E9E">
        <w:rPr>
          <w:i/>
        </w:rPr>
        <w:fldChar w:fldCharType="end"/>
      </w:r>
      <w:r w:rsidR="08D86E9E">
        <w:t xml:space="preserve"> určujícího </w:t>
      </w:r>
      <w:r w:rsidR="086F1E04">
        <w:t xml:space="preserve">aristotelský </w:t>
      </w:r>
      <w:r w:rsidR="08D86E9E">
        <w:t>postup zjevování a nasvícení intelektu (</w:t>
      </w:r>
      <w:r w:rsidR="08D86E9E" w:rsidRPr="00273106">
        <w:t>πώς ἐστι πάντα</w:t>
      </w:r>
      <w:r w:rsidR="08D86E9E" w:rsidRPr="00273106">
        <w:rPr>
          <w:rStyle w:val="FontStyle129"/>
          <w:rFonts w:ascii="Calibri" w:hAnsi="Calibri"/>
          <w:sz w:val="24"/>
        </w:rPr>
        <w:t xml:space="preserve">, </w:t>
      </w:r>
      <w:r w:rsidR="08D86E9E">
        <w:rPr>
          <w:rStyle w:val="FontStyle129"/>
          <w:rFonts w:ascii="Calibri" w:hAnsi="Calibri"/>
          <w:i/>
          <w:sz w:val="24"/>
        </w:rPr>
        <w:t>De anima</w:t>
      </w:r>
      <w:r w:rsidR="08D86E9E" w:rsidRPr="00273106">
        <w:rPr>
          <w:rStyle w:val="FontStyle129"/>
          <w:rFonts w:ascii="Calibri" w:hAnsi="Calibri"/>
          <w:sz w:val="24"/>
        </w:rPr>
        <w:t xml:space="preserve"> 431b21</w:t>
      </w:r>
      <w:r w:rsidR="08D86E9E">
        <w:rPr>
          <w:i/>
        </w:rPr>
        <w:fldChar w:fldCharType="begin"/>
      </w:r>
      <w:r w:rsidR="08D86E9E">
        <w:instrText xml:space="preserve"> XE "Aristoteles:</w:instrText>
      </w:r>
      <w:r w:rsidR="08D86E9E">
        <w:rPr>
          <w:i/>
        </w:rPr>
        <w:instrText>De a</w:instrText>
      </w:r>
      <w:r w:rsidR="08D86E9E" w:rsidRPr="00CC4EF9">
        <w:rPr>
          <w:i/>
        </w:rPr>
        <w:instrText>nima</w:instrText>
      </w:r>
      <w:r w:rsidR="08D86E9E">
        <w:instrText xml:space="preserve"> </w:instrText>
      </w:r>
      <w:r w:rsidR="08D86E9E" w:rsidRPr="00273106">
        <w:rPr>
          <w:rStyle w:val="FontStyle129"/>
          <w:rFonts w:ascii="Calibri" w:hAnsi="Calibri"/>
          <w:sz w:val="24"/>
        </w:rPr>
        <w:instrText>431b21</w:instrText>
      </w:r>
      <w:r w:rsidR="08D86E9E">
        <w:instrText xml:space="preserve">" </w:instrText>
      </w:r>
      <w:r w:rsidR="08D86E9E">
        <w:rPr>
          <w:i/>
        </w:rPr>
        <w:fldChar w:fldCharType="end"/>
      </w:r>
      <w:r w:rsidR="08D86E9E">
        <w:t>).</w:t>
      </w:r>
      <w:r w:rsidR="080460FC">
        <w:t xml:space="preserve"> Rozchod </w:t>
      </w:r>
      <w:r w:rsidR="08E95654">
        <w:t>Blundovy</w:t>
      </w:r>
      <w:r w:rsidR="08D5733D">
        <w:t xml:space="preserve"> školy </w:t>
      </w:r>
      <w:r w:rsidR="080460FC">
        <w:t>s Toledskou školou</w:t>
      </w:r>
      <w:r w:rsidR="08715C33">
        <w:fldChar w:fldCharType="begin"/>
      </w:r>
      <w:r w:rsidR="08715C33">
        <w:instrText xml:space="preserve"> XE "</w:instrText>
      </w:r>
      <w:r w:rsidR="08715C33" w:rsidRPr="080949D7">
        <w:instrText>Toledská škola</w:instrText>
      </w:r>
      <w:r w:rsidR="08715C33">
        <w:instrText xml:space="preserve">" </w:instrText>
      </w:r>
      <w:r w:rsidR="08715C33">
        <w:fldChar w:fldCharType="end"/>
      </w:r>
      <w:r w:rsidR="080460FC">
        <w:t xml:space="preserve"> by</w:t>
      </w:r>
      <w:r w:rsidR="08715C33">
        <w:t>l</w:t>
      </w:r>
      <w:r w:rsidR="080460FC">
        <w:t xml:space="preserve"> nevyhnutelný</w:t>
      </w:r>
      <w:r w:rsidR="08D5733D">
        <w:t>. Magistři z Pařížské školy založené Abelardem viděli</w:t>
      </w:r>
      <w:r w:rsidR="085F62EA">
        <w:t xml:space="preserve"> </w:t>
      </w:r>
      <w:r w:rsidR="08425D65">
        <w:t xml:space="preserve">po </w:t>
      </w:r>
      <w:r w:rsidR="08976A47">
        <w:t xml:space="preserve">příchodu Komentátorovy </w:t>
      </w:r>
      <w:r w:rsidR="08AD601D">
        <w:t xml:space="preserve">latinské verze </w:t>
      </w:r>
      <w:r w:rsidR="08976A47" w:rsidRPr="08976A47">
        <w:rPr>
          <w:i/>
        </w:rPr>
        <w:t>Metafyziky</w:t>
      </w:r>
      <w:r w:rsidR="08976A47">
        <w:t xml:space="preserve"> a CMDA </w:t>
      </w:r>
      <w:r w:rsidR="08F122EE">
        <w:t xml:space="preserve">do Paříže </w:t>
      </w:r>
      <w:r w:rsidR="08A35E6D">
        <w:t xml:space="preserve">okolo roku 1220 </w:t>
      </w:r>
      <w:r w:rsidR="085F62EA">
        <w:t xml:space="preserve">jiného Averroese než avicennističtí Toletáni. </w:t>
      </w:r>
      <w:r w:rsidR="087A6924">
        <w:t xml:space="preserve">Pro klasický aristotelismus bylo naprosto nepřijatelné </w:t>
      </w:r>
      <w:r w:rsidR="00746E91">
        <w:t>n</w:t>
      </w:r>
      <w:r w:rsidR="080D2657">
        <w:t xml:space="preserve">asvícení intelektu zezadu. Moderní intelekt </w:t>
      </w:r>
      <w:r w:rsidR="00746E91">
        <w:t>rozb</w:t>
      </w:r>
      <w:r w:rsidR="080D2657">
        <w:t>íhá nemateriální</w:t>
      </w:r>
      <w:r w:rsidR="00746E91">
        <w:t xml:space="preserve"> poznání</w:t>
      </w:r>
      <w:r w:rsidR="087A6924">
        <w:t xml:space="preserve"> </w:t>
      </w:r>
      <w:r w:rsidR="08862FEF">
        <w:t xml:space="preserve">formou </w:t>
      </w:r>
      <w:r w:rsidR="080D2657">
        <w:t xml:space="preserve">aktuální </w:t>
      </w:r>
      <w:r w:rsidR="08862FEF">
        <w:t>sebereflexe</w:t>
      </w:r>
      <w:r w:rsidR="080D2657">
        <w:t xml:space="preserve"> a j</w:t>
      </w:r>
      <w:r w:rsidR="087A6924">
        <w:t>eho završení</w:t>
      </w:r>
      <w:r w:rsidR="08862FEF">
        <w:t xml:space="preserve"> </w:t>
      </w:r>
      <w:r w:rsidR="080D2657">
        <w:t xml:space="preserve">provádí </w:t>
      </w:r>
      <w:r w:rsidR="08862FEF">
        <w:t>skrze iluminaci</w:t>
      </w:r>
      <w:r w:rsidR="080D2657">
        <w:t xml:space="preserve"> od kosmického intelektu</w:t>
      </w:r>
      <w:r w:rsidR="00746E91">
        <w:t xml:space="preserve">. </w:t>
      </w:r>
      <w:r w:rsidR="00D950F1">
        <w:t>Z</w:t>
      </w:r>
      <w:r w:rsidR="00BA49E5">
        <w:t>atmění první substance</w:t>
      </w:r>
      <w:r w:rsidR="00D950F1">
        <w:t xml:space="preserve"> nastalo tím, že p</w:t>
      </w:r>
      <w:r w:rsidR="00BA49E5">
        <w:t xml:space="preserve">odle neoplatoniků má </w:t>
      </w:r>
      <w:r w:rsidR="00794A75">
        <w:t>f</w:t>
      </w:r>
      <w:r w:rsidR="00794A75" w:rsidRPr="00273106">
        <w:t>orm</w:t>
      </w:r>
      <w:r w:rsidR="00794A75">
        <w:t>a</w:t>
      </w:r>
      <w:r w:rsidR="00794A75" w:rsidRPr="00273106">
        <w:t xml:space="preserve"> v </w:t>
      </w:r>
      <w:r w:rsidR="00794A75">
        <w:t>m</w:t>
      </w:r>
      <w:r w:rsidR="00794A75" w:rsidRPr="00273106">
        <w:t>ateriální věc</w:t>
      </w:r>
      <w:r w:rsidR="00794A75">
        <w:t>i</w:t>
      </w:r>
      <w:r w:rsidR="00794A75" w:rsidRPr="00273106">
        <w:t xml:space="preserve"> pouze kontingentní danost, nikoliv trvale aktuální bytí nutné k náhledu plné pravdivosti. </w:t>
      </w:r>
      <w:r w:rsidR="00A94006">
        <w:t xml:space="preserve">Proto musí </w:t>
      </w:r>
      <w:r w:rsidR="00BD13E8">
        <w:t xml:space="preserve">být </w:t>
      </w:r>
      <w:r w:rsidR="00C4163D">
        <w:t xml:space="preserve">poznaná </w:t>
      </w:r>
      <w:r w:rsidR="00A94006">
        <w:t xml:space="preserve">forma </w:t>
      </w:r>
      <w:r w:rsidR="00C4163D">
        <w:t xml:space="preserve">externích věcí </w:t>
      </w:r>
      <w:r w:rsidR="00BD13E8">
        <w:t>recipována v</w:t>
      </w:r>
      <w:r w:rsidR="00A94006">
        <w:t xml:space="preserve"> im</w:t>
      </w:r>
      <w:r w:rsidR="00BD13E8">
        <w:t>anentně daných pri</w:t>
      </w:r>
      <w:r w:rsidR="00A94006">
        <w:t>n</w:t>
      </w:r>
      <w:r w:rsidR="00BD13E8">
        <w:t>c</w:t>
      </w:r>
      <w:r w:rsidR="00A94006">
        <w:t>ip</w:t>
      </w:r>
      <w:r w:rsidR="00BD13E8">
        <w:t>ech deduktivní</w:t>
      </w:r>
      <w:r w:rsidR="00A94006">
        <w:t>ho soudu</w:t>
      </w:r>
      <w:r w:rsidR="00BD13E8">
        <w:t xml:space="preserve">, které v nás existují trvale. Poznaný </w:t>
      </w:r>
      <w:r w:rsidR="00A94006">
        <w:t xml:space="preserve">závěr </w:t>
      </w:r>
      <w:r w:rsidR="00BD13E8">
        <w:t xml:space="preserve">získá plnou nutnost pouze </w:t>
      </w:r>
      <w:r w:rsidR="00CC293C">
        <w:t>v darovaném intelektu (</w:t>
      </w:r>
      <w:r w:rsidR="00CC293C" w:rsidRPr="00BD13E8">
        <w:rPr>
          <w:i/>
        </w:rPr>
        <w:t>intellectus adeptus</w:t>
      </w:r>
      <w:r w:rsidR="00CC293C">
        <w:t>), v němž dochází ke spojení</w:t>
      </w:r>
      <w:r w:rsidR="00BD13E8">
        <w:t xml:space="preserve"> konti</w:t>
      </w:r>
      <w:r w:rsidR="004604CA">
        <w:t>n</w:t>
      </w:r>
      <w:r w:rsidR="00BD13E8">
        <w:t>gentních poznaných forem se světem</w:t>
      </w:r>
      <w:r w:rsidR="00A94006">
        <w:t xml:space="preserve"> vyšších kosmických forem poznávaných skrze </w:t>
      </w:r>
      <w:r w:rsidR="00AF4972">
        <w:t xml:space="preserve">přijatý a zcela externí </w:t>
      </w:r>
      <w:r w:rsidR="00A94006" w:rsidRPr="00A94006">
        <w:rPr>
          <w:i/>
        </w:rPr>
        <w:t>intellectus agens</w:t>
      </w:r>
      <w:r w:rsidR="00A94006">
        <w:t xml:space="preserve">. </w:t>
      </w:r>
      <w:r w:rsidR="00B63379" w:rsidRPr="00273106">
        <w:t xml:space="preserve">Tato </w:t>
      </w:r>
      <w:r w:rsidR="00874074">
        <w:t>neoplatonsk</w:t>
      </w:r>
      <w:r w:rsidR="00B63379" w:rsidRPr="00273106">
        <w:t xml:space="preserve">á vize poznání </w:t>
      </w:r>
      <w:r w:rsidR="00C4163D">
        <w:t>daná</w:t>
      </w:r>
      <w:r w:rsidR="00AF4972">
        <w:t xml:space="preserve"> na základě metafory intelektu-slunce </w:t>
      </w:r>
      <w:r w:rsidR="003B1170" w:rsidRPr="00273106">
        <w:t xml:space="preserve">se zásadně změnila na přelomu </w:t>
      </w:r>
      <w:r w:rsidR="00FC4429">
        <w:t xml:space="preserve">12. a 13. </w:t>
      </w:r>
      <w:r w:rsidR="08CC3045">
        <w:t>století.</w:t>
      </w:r>
      <w:r w:rsidR="08D45BB6">
        <w:t xml:space="preserve"> První averroismus naopak trvá na poznání daném od </w:t>
      </w:r>
      <w:r w:rsidR="08D45BB6" w:rsidRPr="00273106">
        <w:t>aktuální</w:t>
      </w:r>
      <w:r w:rsidR="08D45BB6">
        <w:t xml:space="preserve"> první substance a toto aktuální bytí dané v realitě je nutné pro pravdivé poznání</w:t>
      </w:r>
      <w:r w:rsidR="08D45BB6" w:rsidRPr="00273106">
        <w:t>.</w:t>
      </w:r>
    </w:p>
    <w:p w14:paraId="08373AD6" w14:textId="29B92DEB" w:rsidR="00515CF3" w:rsidRDefault="08CC3045" w:rsidP="00F81EC6">
      <w:r>
        <w:tab/>
      </w:r>
      <w:r w:rsidR="00981FD1">
        <w:t xml:space="preserve">Hlavní změnou bylo zavedení </w:t>
      </w:r>
      <w:r w:rsidR="00981FD1" w:rsidRPr="00981FD1">
        <w:rPr>
          <w:i/>
        </w:rPr>
        <w:t>diafanum</w:t>
      </w:r>
      <w:r w:rsidR="0045423D">
        <w:rPr>
          <w:i/>
        </w:rPr>
        <w:fldChar w:fldCharType="begin"/>
      </w:r>
      <w:r w:rsidR="0045423D">
        <w:instrText xml:space="preserve"> XE "</w:instrText>
      </w:r>
      <w:r w:rsidR="0045423D" w:rsidRPr="0045423D">
        <w:instrText>diafanum</w:instrText>
      </w:r>
      <w:r w:rsidR="0045423D">
        <w:instrText xml:space="preserve">:Blund" </w:instrText>
      </w:r>
      <w:r w:rsidR="0045423D">
        <w:rPr>
          <w:i/>
        </w:rPr>
        <w:fldChar w:fldCharType="end"/>
      </w:r>
      <w:r w:rsidR="00981FD1">
        <w:t xml:space="preserve"> do schématu poznání</w:t>
      </w:r>
      <w:r w:rsidR="00F95AFA">
        <w:t>, které poprvé tematizoval Al-Fá</w:t>
      </w:r>
      <w:r w:rsidR="00981FD1">
        <w:t xml:space="preserve">rábí se spisu </w:t>
      </w:r>
      <w:r w:rsidR="00981FD1" w:rsidRPr="00981FD1">
        <w:rPr>
          <w:i/>
        </w:rPr>
        <w:t>De intellectu et intellecto</w:t>
      </w:r>
      <w:r w:rsidR="00981FD1">
        <w:t xml:space="preserve"> a které pominul avicennistický překl</w:t>
      </w:r>
      <w:r w:rsidR="0004107C">
        <w:t>ad Toledské školy (</w:t>
      </w:r>
      <w:r w:rsidR="083918D3">
        <w:t xml:space="preserve">OBJ I, </w:t>
      </w:r>
      <w:r w:rsidR="0004107C">
        <w:t>kap. 2.1</w:t>
      </w:r>
      <w:r w:rsidR="00F95AFA">
        <w:t xml:space="preserve">.1). </w:t>
      </w:r>
      <w:r w:rsidR="082E2E9C">
        <w:t xml:space="preserve">Tím vznikla trojí </w:t>
      </w:r>
      <w:r w:rsidR="006A04C6" w:rsidRPr="006A04C6">
        <w:t>species</w:t>
      </w:r>
      <w:r w:rsidR="082E2E9C">
        <w:t xml:space="preserve"> daná rozdílnými akty mediace, a ne rozdílnými stupni sebereflexe jako u Avicenny. </w:t>
      </w:r>
      <w:r w:rsidR="003D3B89">
        <w:t xml:space="preserve">Blund hledá originální význam </w:t>
      </w:r>
      <w:r w:rsidR="003D3B89" w:rsidRPr="00A14844">
        <w:rPr>
          <w:i/>
        </w:rPr>
        <w:t>De anima</w:t>
      </w:r>
      <w:r w:rsidR="003D3B89">
        <w:t xml:space="preserve"> a v procesu poznání rozlišuje tři složky: sluneční parsek (</w:t>
      </w:r>
      <w:r w:rsidR="003D3B89" w:rsidRPr="00A14844">
        <w:rPr>
          <w:i/>
        </w:rPr>
        <w:t>lux</w:t>
      </w:r>
      <w:r w:rsidR="003D3B89">
        <w:t>), průsvitné prostředí provádějící mediaci (</w:t>
      </w:r>
      <w:r w:rsidR="003D3B89" w:rsidRPr="00114AF2">
        <w:rPr>
          <w:i/>
        </w:rPr>
        <w:t>translucentis</w:t>
      </w:r>
      <w:r w:rsidR="003D3B89">
        <w:rPr>
          <w:i/>
        </w:rPr>
        <w:t>, splendor</w:t>
      </w:r>
      <w:r w:rsidR="003D3B89">
        <w:t>), výskyt barvy na barevném tělese (</w:t>
      </w:r>
      <w:r w:rsidR="003D3B89" w:rsidRPr="00114AF2">
        <w:rPr>
          <w:i/>
        </w:rPr>
        <w:t>color</w:t>
      </w:r>
      <w:r w:rsidR="003D3B89">
        <w:t>).</w:t>
      </w:r>
      <w:r w:rsidR="00515CF3">
        <w:t xml:space="preserve"> Výsledné sché</w:t>
      </w:r>
      <w:r w:rsidR="00001AB2">
        <w:t>ma</w:t>
      </w:r>
      <w:r w:rsidR="08080A58">
        <w:t xml:space="preserve"> přenosu barvy je založeno na mediaci mezi primární ak</w:t>
      </w:r>
      <w:r w:rsidR="086A30B0">
        <w:t>tualitou paprsku</w:t>
      </w:r>
      <w:r w:rsidR="08913D25">
        <w:t xml:space="preserve"> a barvy</w:t>
      </w:r>
      <w:r w:rsidR="08AE45C5">
        <w:t xml:space="preserve"> (</w:t>
      </w:r>
      <w:r w:rsidR="08AE45C5" w:rsidRPr="0836341A">
        <w:rPr>
          <w:i/>
        </w:rPr>
        <w:t>perfectio translucentis</w:t>
      </w:r>
      <w:r w:rsidR="08AE45C5">
        <w:t>)</w:t>
      </w:r>
      <w:r w:rsidR="08913D25">
        <w:t>. Primární aktualitě paprsku o</w:t>
      </w:r>
      <w:r w:rsidR="086A30B0">
        <w:t>dpovídá</w:t>
      </w:r>
      <w:r w:rsidR="08080A58">
        <w:t xml:space="preserve"> sekundární aktualizace</w:t>
      </w:r>
      <w:r w:rsidR="08EE2F2B">
        <w:t xml:space="preserve"> světla</w:t>
      </w:r>
      <w:r w:rsidR="08C263C3">
        <w:t>, která</w:t>
      </w:r>
      <w:r w:rsidR="08913D25">
        <w:t xml:space="preserve"> je adekvátně dán</w:t>
      </w:r>
      <w:r w:rsidR="08C263C3">
        <w:t>a</w:t>
      </w:r>
      <w:r w:rsidR="08913D25">
        <w:t xml:space="preserve"> </w:t>
      </w:r>
      <w:r w:rsidR="08080A58">
        <w:t xml:space="preserve">v </w:t>
      </w:r>
      <w:r w:rsidR="083D1B4E">
        <w:t xml:space="preserve">aktualizované </w:t>
      </w:r>
      <w:r w:rsidR="08080A58">
        <w:t>barvě</w:t>
      </w:r>
      <w:r w:rsidR="08EE2F2B">
        <w:t xml:space="preserve"> dané na </w:t>
      </w:r>
      <w:r w:rsidR="08EE2F2B">
        <w:lastRenderedPageBreak/>
        <w:t>nasvícené ploše tělesa</w:t>
      </w:r>
      <w:r w:rsidR="08C263C3">
        <w:t xml:space="preserve">. Přenos a tím i </w:t>
      </w:r>
      <w:r w:rsidR="08913D25">
        <w:t xml:space="preserve">zprostředkování aktuality </w:t>
      </w:r>
      <w:r w:rsidR="08C263C3">
        <w:t xml:space="preserve">běží </w:t>
      </w:r>
      <w:r w:rsidR="08913D25">
        <w:t xml:space="preserve">v potenciálním prostředí </w:t>
      </w:r>
      <w:r w:rsidR="083D1B4E">
        <w:t>diafanum</w:t>
      </w:r>
      <w:r w:rsidR="00515CF3">
        <w:t>.</w:t>
      </w:r>
    </w:p>
    <w:p w14:paraId="49D8DEDC" w14:textId="77777777" w:rsidR="001070FF" w:rsidRDefault="00515CF3" w:rsidP="001070FF">
      <w:pPr>
        <w:pStyle w:val="Citace"/>
        <w:rPr>
          <w:lang w:val="cs-CZ"/>
        </w:rPr>
      </w:pPr>
      <w:r>
        <w:t>„Světlo v tom, co jej činí světlem, je dáno jako kvalita, která ze své podstaty završuje diafanum (</w:t>
      </w:r>
      <w:r w:rsidR="087E2C9B" w:rsidRPr="087E2C9B">
        <w:rPr>
          <w:i/>
        </w:rPr>
        <w:t>qualitas que ex essentia sua est perfectio translucentis</w:t>
      </w:r>
      <w:r>
        <w:t xml:space="preserve">). Ale tu kvalitu, která výlučně patří barvě,  lze nazývat světlem pouze natolik, nakolik je schopna světlo generovat sama ze sebe, </w:t>
      </w:r>
      <w:r w:rsidR="001070FF">
        <w:rPr>
          <w:lang w:val="cs-CZ"/>
        </w:rPr>
        <w:t xml:space="preserve">čímž </w:t>
      </w:r>
      <w:r>
        <w:t>završuje diafanum</w:t>
      </w:r>
      <w:r w:rsidR="0836341A">
        <w:rPr>
          <w:lang w:val="cs-CZ"/>
        </w:rPr>
        <w:t xml:space="preserve"> (</w:t>
      </w:r>
      <w:r w:rsidR="08A22097" w:rsidRPr="08A22097">
        <w:rPr>
          <w:i/>
          <w:lang w:val="cs-CZ"/>
        </w:rPr>
        <w:t>color</w:t>
      </w:r>
      <w:r w:rsidR="08A22097">
        <w:rPr>
          <w:lang w:val="cs-CZ"/>
        </w:rPr>
        <w:t>...</w:t>
      </w:r>
      <w:r w:rsidR="0836341A" w:rsidRPr="0836341A">
        <w:rPr>
          <w:i/>
          <w:lang w:val="cs-CZ"/>
        </w:rPr>
        <w:t xml:space="preserve">est </w:t>
      </w:r>
      <w:r w:rsidR="0836341A" w:rsidRPr="0836341A">
        <w:rPr>
          <w:i/>
        </w:rPr>
        <w:t>perfectio translucentis</w:t>
      </w:r>
      <w:r w:rsidR="0836341A">
        <w:rPr>
          <w:lang w:val="cs-CZ"/>
        </w:rPr>
        <w:t>)</w:t>
      </w:r>
      <w:r>
        <w:t>. Pak platí, že tato kvalita je barva natolik, nakolik zabarvuje svého nositele. Proto je třeba v komentáři rozlišit mezi slunečním paprskem, přenášeným světlem a průsvitným prostředím (</w:t>
      </w:r>
      <w:r w:rsidRPr="00515CF3">
        <w:rPr>
          <w:i/>
        </w:rPr>
        <w:t>inter lucem et lumen et splendorem</w:t>
      </w:r>
      <w:r>
        <w:t>).“</w:t>
      </w:r>
      <w:r w:rsidR="001070FF">
        <w:rPr>
          <w:lang w:val="cs-CZ"/>
        </w:rPr>
        <w:t xml:space="preserve"> </w:t>
      </w:r>
      <w:r w:rsidR="003D3B89">
        <w:rPr>
          <w:rStyle w:val="Znakapoznpodarou"/>
        </w:rPr>
        <w:footnoteReference w:id="85"/>
      </w:r>
    </w:p>
    <w:p w14:paraId="1FEA83D4" w14:textId="77777777" w:rsidR="002E03F2" w:rsidRDefault="00001AB2" w:rsidP="001070FF">
      <w:r>
        <w:t xml:space="preserve">Paprsek vycházející ze slunce nevytváří barvu na tělese sám ze sebe, protože k tomu je třeba mediace skrze diafanum. Přenos aktuality </w:t>
      </w:r>
      <w:r w:rsidR="00526761">
        <w:t>slunečního paprsku (</w:t>
      </w:r>
      <w:r w:rsidR="00526761" w:rsidRPr="00526761">
        <w:rPr>
          <w:i/>
        </w:rPr>
        <w:t>lux</w:t>
      </w:r>
      <w:r w:rsidR="00526761">
        <w:t xml:space="preserve">) </w:t>
      </w:r>
      <w:r>
        <w:t>musí být provede sk</w:t>
      </w:r>
      <w:r w:rsidR="08583E90">
        <w:t xml:space="preserve">rze receptivní prostředí. Fyzikální diafanum přijme </w:t>
      </w:r>
      <w:r>
        <w:t xml:space="preserve">světlo </w:t>
      </w:r>
      <w:r w:rsidR="00526761">
        <w:t xml:space="preserve">do své </w:t>
      </w:r>
      <w:r w:rsidR="08583E90">
        <w:t xml:space="preserve">potence </w:t>
      </w:r>
      <w:r w:rsidR="00F673C6">
        <w:t>(</w:t>
      </w:r>
      <w:r w:rsidR="00F673C6" w:rsidRPr="00403545">
        <w:rPr>
          <w:i/>
        </w:rPr>
        <w:t>translucens</w:t>
      </w:r>
      <w:r w:rsidR="00F673C6">
        <w:t>)</w:t>
      </w:r>
      <w:r w:rsidR="00526761">
        <w:t xml:space="preserve"> </w:t>
      </w:r>
      <w:r w:rsidR="000A7FA0">
        <w:t xml:space="preserve">a </w:t>
      </w:r>
      <w:r w:rsidR="08583E90">
        <w:t>aktualizací této potence přenese</w:t>
      </w:r>
      <w:r w:rsidR="000A7FA0">
        <w:t xml:space="preserve"> světlo </w:t>
      </w:r>
      <w:r w:rsidR="08583E90">
        <w:t xml:space="preserve">na tělesa </w:t>
      </w:r>
      <w:r w:rsidR="00F673C6">
        <w:t>(</w:t>
      </w:r>
      <w:r w:rsidR="00F673C6" w:rsidRPr="00526761">
        <w:rPr>
          <w:i/>
        </w:rPr>
        <w:t>splendor</w:t>
      </w:r>
      <w:r w:rsidR="00F673C6">
        <w:t>)</w:t>
      </w:r>
      <w:r w:rsidR="000A7FA0">
        <w:t xml:space="preserve">. Takto završené diafanum </w:t>
      </w:r>
      <w:r w:rsidR="00F673C6">
        <w:t xml:space="preserve">v podobě </w:t>
      </w:r>
      <w:r w:rsidR="00BD73E8">
        <w:t xml:space="preserve">přeneseného </w:t>
      </w:r>
      <w:r w:rsidR="00F673C6">
        <w:t>světla (</w:t>
      </w:r>
      <w:r w:rsidR="00F673C6" w:rsidRPr="00526761">
        <w:rPr>
          <w:i/>
        </w:rPr>
        <w:t>lumen</w:t>
      </w:r>
      <w:r w:rsidR="00F673C6">
        <w:t xml:space="preserve">) </w:t>
      </w:r>
      <w:r w:rsidR="00315FDC">
        <w:t xml:space="preserve">se zjeví </w:t>
      </w:r>
      <w:r>
        <w:t xml:space="preserve">v nové kvalitě zvané „barva“ </w:t>
      </w:r>
      <w:r w:rsidR="00526761">
        <w:t>(</w:t>
      </w:r>
      <w:r w:rsidR="00526761" w:rsidRPr="00526761">
        <w:rPr>
          <w:i/>
        </w:rPr>
        <w:t>color</w:t>
      </w:r>
      <w:r w:rsidR="00526761">
        <w:t xml:space="preserve">) </w:t>
      </w:r>
      <w:r w:rsidR="00315FDC">
        <w:t>na ozářené</w:t>
      </w:r>
      <w:r>
        <w:t xml:space="preserve"> první substanci</w:t>
      </w:r>
      <w:r w:rsidR="00526761">
        <w:t xml:space="preserve"> (</w:t>
      </w:r>
      <w:r w:rsidR="00526761" w:rsidRPr="00526761">
        <w:rPr>
          <w:i/>
        </w:rPr>
        <w:t>colorat subiectum</w:t>
      </w:r>
      <w:r w:rsidR="00526761">
        <w:t>)</w:t>
      </w:r>
      <w:r w:rsidR="00FD32E1">
        <w:t xml:space="preserve">. </w:t>
      </w:r>
      <w:r w:rsidR="00BD73E8">
        <w:t>Mezi světlem vyzářeným ze slunce (</w:t>
      </w:r>
      <w:r w:rsidR="00BD73E8" w:rsidRPr="00BD73E8">
        <w:rPr>
          <w:i/>
        </w:rPr>
        <w:t>lux</w:t>
      </w:r>
      <w:r w:rsidR="00BD73E8">
        <w:t>) a světlem recipovaným skrze diafanum (</w:t>
      </w:r>
      <w:r w:rsidR="081771D9" w:rsidRPr="00403545">
        <w:rPr>
          <w:i/>
        </w:rPr>
        <w:t>translucens</w:t>
      </w:r>
      <w:r w:rsidR="08040C0C">
        <w:t xml:space="preserve">) a </w:t>
      </w:r>
      <w:r w:rsidR="00BD73E8">
        <w:t>nakonec i barvu (</w:t>
      </w:r>
      <w:r w:rsidR="00BD73E8" w:rsidRPr="00BD73E8">
        <w:rPr>
          <w:i/>
        </w:rPr>
        <w:t>color</w:t>
      </w:r>
      <w:r w:rsidR="00BD73E8">
        <w:t xml:space="preserve">), je tedy </w:t>
      </w:r>
      <w:r w:rsidR="08C01993">
        <w:t xml:space="preserve">trojí </w:t>
      </w:r>
      <w:r w:rsidR="00BD73E8">
        <w:t xml:space="preserve">zásadní rozdíl díky změněné povaze formy. </w:t>
      </w:r>
      <w:r w:rsidR="08C01993">
        <w:t xml:space="preserve">Stejná aktualita světla je </w:t>
      </w:r>
      <w:r w:rsidR="0006563B">
        <w:t>formána v různých aktech recepce</w:t>
      </w:r>
      <w:r w:rsidR="081771D9">
        <w:t xml:space="preserve"> </w:t>
      </w:r>
      <w:r w:rsidR="081771D9" w:rsidRPr="08BE2778">
        <w:rPr>
          <w:szCs w:val="24"/>
        </w:rPr>
        <w:t>(</w:t>
      </w:r>
      <w:r w:rsidR="081771D9" w:rsidRPr="08BE2778">
        <w:rPr>
          <w:i/>
          <w:szCs w:val="24"/>
        </w:rPr>
        <w:t>splendor</w:t>
      </w:r>
      <w:r w:rsidR="081771D9" w:rsidRPr="08BE2778">
        <w:rPr>
          <w:szCs w:val="24"/>
        </w:rPr>
        <w:t>)</w:t>
      </w:r>
      <w:r w:rsidR="000B6D69">
        <w:t xml:space="preserve">, které </w:t>
      </w:r>
      <w:r w:rsidR="08040C0C">
        <w:t xml:space="preserve">díky odlišnému diafanum </w:t>
      </w:r>
      <w:r w:rsidR="000B6D69">
        <w:t>generují různé podoby světla</w:t>
      </w:r>
      <w:r w:rsidR="081771D9">
        <w:t xml:space="preserve"> </w:t>
      </w:r>
      <w:r w:rsidR="081771D9" w:rsidRPr="08BE2778">
        <w:rPr>
          <w:szCs w:val="24"/>
        </w:rPr>
        <w:t>(</w:t>
      </w:r>
      <w:r w:rsidR="081771D9" w:rsidRPr="08BE2778">
        <w:rPr>
          <w:i/>
          <w:szCs w:val="24"/>
        </w:rPr>
        <w:t>lumen, color</w:t>
      </w:r>
      <w:r w:rsidR="081771D9" w:rsidRPr="08BE2778">
        <w:rPr>
          <w:szCs w:val="24"/>
        </w:rPr>
        <w:t>)</w:t>
      </w:r>
      <w:r w:rsidR="0006563B">
        <w:t xml:space="preserve">. </w:t>
      </w:r>
      <w:r w:rsidR="00B36AF4">
        <w:t>Blundovo pojetí diafanum předjímalo Averroesův výklad diafanum v CMDA (</w:t>
      </w:r>
      <w:r w:rsidR="081771D9">
        <w:t xml:space="preserve">OBJ I, </w:t>
      </w:r>
      <w:r w:rsidR="00B36AF4">
        <w:t xml:space="preserve">kap. 2.4.4). </w:t>
      </w:r>
      <w:r w:rsidR="08865D3B">
        <w:t xml:space="preserve">Myslitelé </w:t>
      </w:r>
      <w:r w:rsidR="08B342CC">
        <w:t xml:space="preserve">z Toledské školy </w:t>
      </w:r>
      <w:r w:rsidR="08081EE8">
        <w:t>nez</w:t>
      </w:r>
      <w:r w:rsidR="08865D3B">
        <w:t>koumali</w:t>
      </w:r>
      <w:r w:rsidR="08833C97">
        <w:t xml:space="preserve"> skutečný </w:t>
      </w:r>
      <w:r w:rsidR="08865D3B">
        <w:t xml:space="preserve">průběh přenosu světla na barvu. Moderní ilumináti </w:t>
      </w:r>
      <w:r w:rsidR="08833C97">
        <w:t xml:space="preserve">byli </w:t>
      </w:r>
      <w:r w:rsidR="08865D3B">
        <w:t xml:space="preserve">a jsou </w:t>
      </w:r>
      <w:r w:rsidR="08833C97">
        <w:t xml:space="preserve">osvíceni </w:t>
      </w:r>
      <w:r w:rsidR="08835712">
        <w:t xml:space="preserve">přímým </w:t>
      </w:r>
      <w:r w:rsidR="08833C97">
        <w:t>sluncem intelektu</w:t>
      </w:r>
      <w:r w:rsidR="08081EE8">
        <w:t xml:space="preserve">, stejně jako pozdější </w:t>
      </w:r>
      <w:r w:rsidR="08835712">
        <w:t>karteziánec Arnauld</w:t>
      </w:r>
      <w:r w:rsidR="08833C97">
        <w:t xml:space="preserve">. </w:t>
      </w:r>
      <w:r w:rsidR="00FD32E1">
        <w:t xml:space="preserve">Zavedení diafanum </w:t>
      </w:r>
      <w:r w:rsidR="08E31349">
        <w:t xml:space="preserve">a intencionality </w:t>
      </w:r>
      <w:r w:rsidR="00FD32E1">
        <w:t>pomohl</w:t>
      </w:r>
      <w:r w:rsidR="001B0881">
        <w:t>o</w:t>
      </w:r>
      <w:r w:rsidR="00FD32E1">
        <w:t xml:space="preserve"> restituovat význam</w:t>
      </w:r>
      <w:r w:rsidR="003D3B89">
        <w:t xml:space="preserve"> r</w:t>
      </w:r>
      <w:r w:rsidR="00486004">
        <w:t xml:space="preserve">eceptivní složky poznání skrze </w:t>
      </w:r>
      <w:r w:rsidR="003D3B89" w:rsidRPr="00114AF2">
        <w:rPr>
          <w:i/>
        </w:rPr>
        <w:t>intellectus in potentia</w:t>
      </w:r>
      <w:r w:rsidR="003D3B89">
        <w:rPr>
          <w:i/>
        </w:rPr>
        <w:fldChar w:fldCharType="begin"/>
      </w:r>
      <w:r w:rsidR="003D3B89">
        <w:instrText xml:space="preserve"> XE "</w:instrText>
      </w:r>
      <w:r w:rsidR="003D3B89" w:rsidRPr="00B54A03">
        <w:rPr>
          <w:i/>
        </w:rPr>
        <w:instrText>intellectus in potentia:</w:instrText>
      </w:r>
      <w:r w:rsidR="003D3B89" w:rsidRPr="00B54A03">
        <w:instrText>Blund</w:instrText>
      </w:r>
      <w:r w:rsidR="003D3B89">
        <w:instrText xml:space="preserve">" </w:instrText>
      </w:r>
      <w:r w:rsidR="003D3B89">
        <w:rPr>
          <w:i/>
        </w:rPr>
        <w:fldChar w:fldCharType="end"/>
      </w:r>
      <w:r w:rsidR="003D3B89">
        <w:t>,</w:t>
      </w:r>
      <w:r w:rsidR="00486004">
        <w:t xml:space="preserve"> který měl Al</w:t>
      </w:r>
      <w:r w:rsidR="00486004">
        <w:noBreakHyphen/>
        <w:t xml:space="preserve">Fárábí a Averroes. Diafanum bylo pojato </w:t>
      </w:r>
      <w:r w:rsidR="003D3B89">
        <w:t>v aristotelském smyslu pasivní schopnosti individuální duše aktualizované smys</w:t>
      </w:r>
      <w:r w:rsidR="002E03F2">
        <w:t>lovým poznáním první substance.</w:t>
      </w:r>
      <w:r w:rsidR="089F4C29">
        <w:t xml:space="preserve"> </w:t>
      </w:r>
      <w:r w:rsidR="089F4C29" w:rsidRPr="00273106">
        <w:t>Vznik</w:t>
      </w:r>
      <w:r w:rsidR="089F4C29">
        <w:t xml:space="preserve"> nové interp</w:t>
      </w:r>
      <w:r w:rsidR="089F4C29" w:rsidRPr="00273106">
        <w:t xml:space="preserve">retace </w:t>
      </w:r>
      <w:r w:rsidR="089F4C29">
        <w:rPr>
          <w:i/>
        </w:rPr>
        <w:t>De anima</w:t>
      </w:r>
      <w:r w:rsidR="089F4C29" w:rsidRPr="00273106">
        <w:t xml:space="preserve"> nepřímo ukazují studie systematizující výskyt různých forem intelektu během první poloviny 13. století. </w:t>
      </w:r>
      <w:r w:rsidR="089F4C29">
        <w:t xml:space="preserve">Současní badatelé </w:t>
      </w:r>
      <w:r w:rsidR="089F4C29" w:rsidRPr="00273106">
        <w:t xml:space="preserve">se marně snaží dostat Blundovo aristotelské pojetí duše do avicennovského </w:t>
      </w:r>
      <w:r w:rsidR="089F4C29">
        <w:t xml:space="preserve">schématu </w:t>
      </w:r>
      <w:r w:rsidR="089F4C29" w:rsidRPr="00273106">
        <w:t>čtyř forem intelektu.</w:t>
      </w:r>
      <w:r w:rsidR="089F4C29" w:rsidRPr="00273106">
        <w:rPr>
          <w:rStyle w:val="Znakapoznpodarou"/>
        </w:rPr>
        <w:footnoteReference w:id="86"/>
      </w:r>
      <w:r w:rsidR="08BD4218">
        <w:t xml:space="preserve"> </w:t>
      </w:r>
      <w:r w:rsidR="089F4C29">
        <w:t xml:space="preserve">Tento brilantní </w:t>
      </w:r>
      <w:r w:rsidR="089F4C29">
        <w:lastRenderedPageBreak/>
        <w:t xml:space="preserve">aristotelik přesně viděl novátorský přístup Al-Fárábího proti Alexandrově výkladu </w:t>
      </w:r>
      <w:r w:rsidR="089F4C29" w:rsidRPr="00B20BAE">
        <w:rPr>
          <w:i/>
        </w:rPr>
        <w:t xml:space="preserve">De </w:t>
      </w:r>
      <w:r w:rsidR="089F4C29">
        <w:rPr>
          <w:i/>
        </w:rPr>
        <w:t>ani</w:t>
      </w:r>
      <w:r w:rsidR="089F4C29" w:rsidRPr="00B20BAE">
        <w:rPr>
          <w:i/>
        </w:rPr>
        <w:t>ma</w:t>
      </w:r>
      <w:r w:rsidR="082B7215">
        <w:t>. Novátorství Druhé</w:t>
      </w:r>
      <w:r w:rsidR="080D5A5A">
        <w:t>ho</w:t>
      </w:r>
      <w:r w:rsidR="082B7215">
        <w:t xml:space="preserve"> mistra zcela </w:t>
      </w:r>
      <w:r w:rsidR="089F4C29">
        <w:t xml:space="preserve">pominuli jeho </w:t>
      </w:r>
      <w:r w:rsidR="087E299E">
        <w:t xml:space="preserve">latinští </w:t>
      </w:r>
      <w:r w:rsidR="089F4C29">
        <w:t>současníci, čili modernisté Toledské školy</w:t>
      </w:r>
      <w:r w:rsidR="087E299E">
        <w:t xml:space="preserve">. Toletány </w:t>
      </w:r>
      <w:r w:rsidR="089F4C29">
        <w:t xml:space="preserve">při překladu Alfarabiova </w:t>
      </w:r>
      <w:r w:rsidR="089F4C29" w:rsidRPr="00AF107E">
        <w:rPr>
          <w:i/>
        </w:rPr>
        <w:t>De intellecto et intellectu</w:t>
      </w:r>
      <w:r w:rsidR="089F4C29">
        <w:t xml:space="preserve"> osvěcoval vyšší intelekt</w:t>
      </w:r>
      <w:r w:rsidR="089F4C29" w:rsidRPr="00AF107E">
        <w:t xml:space="preserve"> </w:t>
      </w:r>
      <w:r w:rsidR="089F4C29">
        <w:t>Avicen</w:t>
      </w:r>
      <w:r w:rsidR="080D5A5A">
        <w:t>ny</w:t>
      </w:r>
      <w:r w:rsidR="08DD5571">
        <w:t>. S</w:t>
      </w:r>
      <w:r w:rsidR="080D5A5A">
        <w:t xml:space="preserve">tejný typ omylu řídí </w:t>
      </w:r>
      <w:r w:rsidR="089F4C29">
        <w:t xml:space="preserve">dnešní </w:t>
      </w:r>
      <w:r w:rsidR="087E299E">
        <w:t xml:space="preserve">iluminátské </w:t>
      </w:r>
      <w:r w:rsidR="089F4C29">
        <w:t xml:space="preserve">vykladače Blunda ovlivněné </w:t>
      </w:r>
      <w:r w:rsidR="080A54C1">
        <w:t xml:space="preserve">karteziánským </w:t>
      </w:r>
      <w:r w:rsidR="089F4C29">
        <w:t>objektivismem.</w:t>
      </w:r>
    </w:p>
    <w:p w14:paraId="02D010B2" w14:textId="1A8BF9C2" w:rsidR="002E03F2" w:rsidRDefault="00C51568" w:rsidP="086C1F19">
      <w:pPr>
        <w:pStyle w:val="Nadpis3"/>
      </w:pPr>
      <w:bookmarkStart w:id="45" w:name="_Toc487234296"/>
      <w:bookmarkStart w:id="46" w:name="_Toc12558303"/>
      <w:r>
        <w:rPr>
          <w:lang w:val="cs-CZ"/>
        </w:rPr>
        <w:br w:type="page"/>
      </w:r>
      <w:bookmarkStart w:id="47" w:name="_Toc160449315"/>
      <w:r w:rsidR="08D20D28">
        <w:rPr>
          <w:lang w:val="cs-CZ"/>
        </w:rPr>
        <w:lastRenderedPageBreak/>
        <w:t>2</w:t>
      </w:r>
      <w:r w:rsidR="002E03F2">
        <w:t xml:space="preserve">.1.1 </w:t>
      </w:r>
      <w:r w:rsidR="00CE6DCB">
        <w:t xml:space="preserve">Vznik </w:t>
      </w:r>
      <w:r w:rsidR="002E03F2">
        <w:t>formálního intelektu</w:t>
      </w:r>
      <w:bookmarkEnd w:id="45"/>
      <w:bookmarkEnd w:id="46"/>
      <w:bookmarkEnd w:id="47"/>
    </w:p>
    <w:p w14:paraId="031D2461" w14:textId="3D4D0F0E" w:rsidR="00D0526E" w:rsidRPr="00273106" w:rsidRDefault="00B20BAE" w:rsidP="001070FF">
      <w:r>
        <w:t xml:space="preserve">Blund četl spis </w:t>
      </w:r>
      <w:r w:rsidRPr="008832BC">
        <w:rPr>
          <w:i/>
        </w:rPr>
        <w:t>De anima</w:t>
      </w:r>
      <w:r>
        <w:t xml:space="preserve"> v realis</w:t>
      </w:r>
      <w:r w:rsidR="002E03F2">
        <w:t xml:space="preserve">tické linii Boethia a Abelarda. </w:t>
      </w:r>
      <w:r w:rsidR="00AC5098">
        <w:t xml:space="preserve">Tento </w:t>
      </w:r>
      <w:r w:rsidR="08F26496">
        <w:t xml:space="preserve">křesťanský a antimoderní </w:t>
      </w:r>
      <w:r w:rsidR="00AC5098">
        <w:t xml:space="preserve">myslitel </w:t>
      </w:r>
      <w:r w:rsidR="00AF1ED0">
        <w:t xml:space="preserve">zhasnul </w:t>
      </w:r>
      <w:r w:rsidR="08DD5571">
        <w:t xml:space="preserve">v lidské duši světlo kosmického </w:t>
      </w:r>
      <w:r w:rsidR="08DD5571" w:rsidRPr="08DD5571">
        <w:rPr>
          <w:i/>
        </w:rPr>
        <w:t xml:space="preserve">intellectus agens </w:t>
      </w:r>
      <w:r w:rsidR="00D43501">
        <w:t xml:space="preserve">a s ním spojenou </w:t>
      </w:r>
      <w:r w:rsidR="08DD5571">
        <w:t xml:space="preserve">vnější </w:t>
      </w:r>
      <w:r w:rsidR="00D43501">
        <w:t>iluminaci</w:t>
      </w:r>
      <w:r w:rsidR="08DD5571">
        <w:t xml:space="preserve">. V </w:t>
      </w:r>
      <w:r w:rsidR="00DD4EF8">
        <w:t xml:space="preserve">avicennistické moderně </w:t>
      </w:r>
      <w:r w:rsidR="00AF1ED0">
        <w:t>latinské</w:t>
      </w:r>
      <w:r w:rsidR="00DD4EF8">
        <w:t>ho</w:t>
      </w:r>
      <w:r w:rsidR="00AF1ED0">
        <w:t xml:space="preserve"> </w:t>
      </w:r>
      <w:r w:rsidR="00570AC1">
        <w:t>Západu</w:t>
      </w:r>
      <w:r w:rsidR="00AF1ED0">
        <w:t xml:space="preserve"> </w:t>
      </w:r>
      <w:r w:rsidR="08DD5571">
        <w:t xml:space="preserve">nastalo </w:t>
      </w:r>
      <w:r w:rsidR="00AF1ED0">
        <w:t xml:space="preserve">první </w:t>
      </w:r>
      <w:r w:rsidR="007305B5">
        <w:t xml:space="preserve">zatmění </w:t>
      </w:r>
      <w:r w:rsidR="001D4DAD">
        <w:t>k</w:t>
      </w:r>
      <w:r w:rsidR="007305B5">
        <w:t xml:space="preserve">osmického </w:t>
      </w:r>
      <w:r w:rsidR="001D4DAD">
        <w:t xml:space="preserve">a darovaného </w:t>
      </w:r>
      <w:r w:rsidR="007305B5">
        <w:t>intelektu</w:t>
      </w:r>
      <w:r w:rsidR="082C5383">
        <w:t>. V nasta</w:t>
      </w:r>
      <w:r w:rsidR="08D9364F">
        <w:t xml:space="preserve">lé tmě </w:t>
      </w:r>
      <w:r w:rsidR="08A91F10">
        <w:t>mytopoet</w:t>
      </w:r>
      <w:r w:rsidR="08D9364F">
        <w:t xml:space="preserve">iky iluminátů </w:t>
      </w:r>
      <w:r w:rsidR="08DD5571">
        <w:t xml:space="preserve">došlo ke vzkříšení původní formy aristotelského schématu poznání podle </w:t>
      </w:r>
      <w:r w:rsidR="08DD5571" w:rsidRPr="08DD5571">
        <w:rPr>
          <w:i/>
        </w:rPr>
        <w:t>De anima</w:t>
      </w:r>
      <w:r w:rsidR="00AF1ED0">
        <w:t xml:space="preserve">. </w:t>
      </w:r>
      <w:r w:rsidR="00DD4EF8">
        <w:t xml:space="preserve">První anti-moderní aristotelik </w:t>
      </w:r>
      <w:r w:rsidR="083802B1">
        <w:t xml:space="preserve">postavil proti takto </w:t>
      </w:r>
      <w:r w:rsidR="007305B5">
        <w:t xml:space="preserve">dané </w:t>
      </w:r>
      <w:r w:rsidR="00C248E7" w:rsidRPr="00C248E7">
        <w:rPr>
          <w:i/>
        </w:rPr>
        <w:t>epoché</w:t>
      </w:r>
      <w:r w:rsidR="00C248E7">
        <w:t xml:space="preserve"> </w:t>
      </w:r>
      <w:r w:rsidR="08097767">
        <w:t xml:space="preserve">neoplatonismu </w:t>
      </w:r>
      <w:r w:rsidR="00D43501">
        <w:t>skutečný průběh poznání</w:t>
      </w:r>
      <w:r w:rsidR="08097767">
        <w:t xml:space="preserve"> </w:t>
      </w:r>
      <w:r w:rsidR="083802B1">
        <w:t xml:space="preserve">daný </w:t>
      </w:r>
      <w:r w:rsidR="08097767">
        <w:t>nasvícením zepředu</w:t>
      </w:r>
      <w:r w:rsidR="08545F29">
        <w:t xml:space="preserve">. Význam druhé substance je opět utvářen podle aristotelského </w:t>
      </w:r>
      <w:r w:rsidR="082A724F">
        <w:t xml:space="preserve">metafyzického </w:t>
      </w:r>
      <w:r w:rsidR="08545F29">
        <w:t>dativu</w:t>
      </w:r>
      <w:r w:rsidR="08A25067">
        <w:fldChar w:fldCharType="begin"/>
      </w:r>
      <w:r w:rsidR="08A25067">
        <w:instrText xml:space="preserve"> XE "</w:instrText>
      </w:r>
      <w:r w:rsidR="082A724F">
        <w:rPr>
          <w:i/>
        </w:rPr>
        <w:instrText>dativus metaphysi</w:instrText>
      </w:r>
      <w:r w:rsidR="08A25067" w:rsidRPr="08A25067">
        <w:rPr>
          <w:i/>
        </w:rPr>
        <w:instrText>cus</w:instrText>
      </w:r>
      <w:r w:rsidR="08A25067">
        <w:instrText xml:space="preserve">" </w:instrText>
      </w:r>
      <w:r w:rsidR="08A25067">
        <w:fldChar w:fldCharType="end"/>
      </w:r>
      <w:r w:rsidR="08545F29">
        <w:t xml:space="preserve"> daného donací smyslu od minulostně dané první substance</w:t>
      </w:r>
      <w:r w:rsidR="08E22790">
        <w:t xml:space="preserve"> (OBJ I, kap. 1.2)</w:t>
      </w:r>
      <w:r w:rsidR="084A39F0">
        <w:t xml:space="preserve">. V </w:t>
      </w:r>
      <w:r w:rsidR="08093E53">
        <w:t xml:space="preserve">epochální temnotě </w:t>
      </w:r>
      <w:r w:rsidR="087A239A">
        <w:t>neo</w:t>
      </w:r>
      <w:r w:rsidR="084A39F0">
        <w:t>plato</w:t>
      </w:r>
      <w:r w:rsidR="087A239A">
        <w:t>nské</w:t>
      </w:r>
      <w:r w:rsidR="084A39F0">
        <w:t>ho inte</w:t>
      </w:r>
      <w:r w:rsidR="087A239A">
        <w:t>l</w:t>
      </w:r>
      <w:r w:rsidR="084A39F0">
        <w:t>e</w:t>
      </w:r>
      <w:r w:rsidR="087A239A">
        <w:t>kt</w:t>
      </w:r>
      <w:r w:rsidR="084A39F0">
        <w:t>u</w:t>
      </w:r>
      <w:r w:rsidR="087A239A">
        <w:t xml:space="preserve"> se znovu rozvítil kategoriální smysl první substance a její adekvátní poznání v lidském intelektu. </w:t>
      </w:r>
      <w:r w:rsidR="00C248E7">
        <w:t>Proto objektivní mediavelisté marně hledají</w:t>
      </w:r>
      <w:r w:rsidR="001D4DAD">
        <w:t xml:space="preserve"> </w:t>
      </w:r>
      <w:r w:rsidR="08B852E2">
        <w:t xml:space="preserve">původní </w:t>
      </w:r>
      <w:r w:rsidR="001D4DAD">
        <w:t>avicennistické formy intelektu v Blundově škole</w:t>
      </w:r>
      <w:r w:rsidR="00C248E7">
        <w:t xml:space="preserve">. </w:t>
      </w:r>
      <w:r w:rsidR="00F95AFA" w:rsidRPr="00273106">
        <w:t xml:space="preserve">Nový vztah ke způsobu poznání </w:t>
      </w:r>
      <w:r w:rsidR="00F95AFA">
        <w:t xml:space="preserve">podle aristotelské linie </w:t>
      </w:r>
      <w:r w:rsidR="00F95AFA" w:rsidRPr="00B179E8">
        <w:rPr>
          <w:i/>
        </w:rPr>
        <w:t>De anima</w:t>
      </w:r>
      <w:r w:rsidR="00F95AFA">
        <w:t xml:space="preserve"> </w:t>
      </w:r>
      <w:r w:rsidR="08027F84">
        <w:t xml:space="preserve">ukazuje termín </w:t>
      </w:r>
      <w:r w:rsidR="0056383F">
        <w:t>„</w:t>
      </w:r>
      <w:r w:rsidR="00F95AFA" w:rsidRPr="00273106">
        <w:rPr>
          <w:i/>
        </w:rPr>
        <w:t>intellectus formalis</w:t>
      </w:r>
      <w:r w:rsidR="0056383F">
        <w:t>“</w:t>
      </w:r>
      <w:r w:rsidR="00F95AFA">
        <w:rPr>
          <w:i/>
        </w:rPr>
        <w:fldChar w:fldCharType="begin"/>
      </w:r>
      <w:r w:rsidR="00F95AFA">
        <w:instrText xml:space="preserve"> XE "</w:instrText>
      </w:r>
      <w:r w:rsidR="00F95AFA" w:rsidRPr="000238B8">
        <w:rPr>
          <w:i/>
        </w:rPr>
        <w:instrText>intellectus formalis:</w:instrText>
      </w:r>
      <w:r w:rsidR="00F95AFA" w:rsidRPr="000238B8">
        <w:instrText>Blund</w:instrText>
      </w:r>
      <w:r w:rsidR="00F95AFA">
        <w:instrText xml:space="preserve">" </w:instrText>
      </w:r>
      <w:r w:rsidR="00F95AFA">
        <w:rPr>
          <w:i/>
        </w:rPr>
        <w:fldChar w:fldCharType="end"/>
      </w:r>
      <w:r w:rsidR="00F95AFA" w:rsidRPr="00273106">
        <w:t xml:space="preserve">. Vznik tohoto pojmu lze datovat podle Blundova průkopnického díla </w:t>
      </w:r>
      <w:r w:rsidR="00F95AFA" w:rsidRPr="00273106">
        <w:rPr>
          <w:i/>
        </w:rPr>
        <w:t>Tractatus de anima</w:t>
      </w:r>
      <w:r w:rsidR="00F95AFA" w:rsidRPr="00273106">
        <w:t xml:space="preserve"> (kolem 1200) a dále podle anonymního spisu </w:t>
      </w:r>
      <w:r w:rsidR="00F95AFA" w:rsidRPr="00273106">
        <w:rPr>
          <w:i/>
        </w:rPr>
        <w:t>Liber de causis primis et secundis</w:t>
      </w:r>
      <w:r w:rsidR="00F95AFA" w:rsidRPr="00273106">
        <w:t xml:space="preserve"> psaném ve stejné době (Gauthier</w:t>
      </w:r>
      <w:r w:rsidR="00F95AFA">
        <w:fldChar w:fldCharType="begin"/>
      </w:r>
      <w:r w:rsidR="00F95AFA">
        <w:instrText xml:space="preserve"> XE "</w:instrText>
      </w:r>
      <w:r w:rsidR="00F95AFA" w:rsidRPr="00B030E6">
        <w:rPr>
          <w:lang w:eastAsia="en-US"/>
        </w:rPr>
        <w:instrText>Gauthier, A. R.</w:instrText>
      </w:r>
      <w:r w:rsidR="00F95AFA">
        <w:instrText xml:space="preserve">" </w:instrText>
      </w:r>
      <w:r w:rsidR="00F95AFA">
        <w:fldChar w:fldCharType="end"/>
      </w:r>
      <w:r w:rsidR="00F95AFA" w:rsidRPr="00273106">
        <w:t xml:space="preserve"> 1982, 350).</w:t>
      </w:r>
      <w:r w:rsidR="00F95AFA">
        <w:t xml:space="preserve"> </w:t>
      </w:r>
      <w:r w:rsidR="00921F37">
        <w:t xml:space="preserve">Traktát o duši </w:t>
      </w:r>
      <w:r w:rsidR="00921F37" w:rsidRPr="00273106">
        <w:t>předchází vznik prvního averroismu tím, že zredukoval systém čtyř avicennovských intelektů na pouh</w:t>
      </w:r>
      <w:r w:rsidR="00921F37">
        <w:t xml:space="preserve">é dvě formy, pasivní a aktivní přesně podle litery </w:t>
      </w:r>
      <w:r w:rsidR="00921F37" w:rsidRPr="00B44A56">
        <w:rPr>
          <w:i/>
        </w:rPr>
        <w:t>De anima</w:t>
      </w:r>
      <w:r w:rsidR="00921F37">
        <w:t xml:space="preserve"> (</w:t>
      </w:r>
      <w:r w:rsidR="00921F37" w:rsidRPr="005D01A3">
        <w:t xml:space="preserve">νοῦς τῷ πάντα γίνεσθαι, ὁ δὲ τῷ πάντα ποιεῖν, </w:t>
      </w:r>
      <w:r w:rsidR="00921F37">
        <w:rPr>
          <w:i/>
        </w:rPr>
        <w:t>De anima</w:t>
      </w:r>
      <w:r w:rsidR="00921F37" w:rsidRPr="005D01A3">
        <w:t xml:space="preserve"> 430a14–15</w:t>
      </w:r>
      <w:r w:rsidR="00921F37">
        <w:fldChar w:fldCharType="begin"/>
      </w:r>
      <w:r w:rsidR="00921F37">
        <w:instrText xml:space="preserve"> XE "</w:instrText>
      </w:r>
      <w:r w:rsidR="008E02F5">
        <w:instrText>Aristoteles</w:instrText>
      </w:r>
      <w:r w:rsidR="00921F37">
        <w:instrText>:</w:instrText>
      </w:r>
      <w:r w:rsidR="00921F37" w:rsidRPr="00973AB2">
        <w:rPr>
          <w:i/>
        </w:rPr>
        <w:instrText>De anima</w:instrText>
      </w:r>
      <w:r w:rsidR="00921F37" w:rsidRPr="00973AB2">
        <w:instrText xml:space="preserve"> 430a14–15</w:instrText>
      </w:r>
      <w:r w:rsidR="00921F37">
        <w:instrText xml:space="preserve">" </w:instrText>
      </w:r>
      <w:r w:rsidR="00921F37">
        <w:fldChar w:fldCharType="end"/>
      </w:r>
      <w:r w:rsidR="00921F37">
        <w:rPr>
          <w:rStyle w:val="ZkladntextTundkovn0pt"/>
          <w:rFonts w:ascii="Calibri" w:eastAsia="Times" w:hAnsi="Calibri" w:cs="Times New Roman"/>
          <w:b w:val="0"/>
          <w:bCs w:val="0"/>
          <w:spacing w:val="0"/>
          <w:sz w:val="22"/>
          <w:lang w:val="cs-CZ"/>
        </w:rPr>
        <w:t xml:space="preserve">). </w:t>
      </w:r>
      <w:r w:rsidR="00DA3342" w:rsidRPr="00273106">
        <w:t xml:space="preserve">Blund nově interpretuje </w:t>
      </w:r>
      <w:r w:rsidR="00DA3342"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5423D">
        <w:instrText>:</w:instrText>
      </w:r>
      <w:r w:rsidR="0045423D" w:rsidRPr="0045423D">
        <w:instrText>Blund</w:instrText>
      </w:r>
      <w:r w:rsidR="00DF1F0F">
        <w:instrText xml:space="preserve">" </w:instrText>
      </w:r>
      <w:r w:rsidR="00DF1F0F">
        <w:rPr>
          <w:i/>
        </w:rPr>
        <w:fldChar w:fldCharType="end"/>
      </w:r>
      <w:r w:rsidR="00DA3342" w:rsidRPr="00273106">
        <w:t xml:space="preserve"> tím, že z něj učinil individuální schopnost duše. </w:t>
      </w:r>
    </w:p>
    <w:p w14:paraId="10095B0F" w14:textId="77777777" w:rsidR="00D0526E" w:rsidRPr="00273106" w:rsidRDefault="00D0526E" w:rsidP="00D0526E">
      <w:pPr>
        <w:pStyle w:val="Citace"/>
        <w:rPr>
          <w:noProof/>
          <w:lang w:val="cs-CZ"/>
        </w:rPr>
      </w:pPr>
      <w:r w:rsidRPr="00273106">
        <w:rPr>
          <w:noProof/>
          <w:lang w:val="cs-CZ"/>
        </w:rPr>
        <w:t>„Aktivní intelekt je život duše, která poznává uni</w:t>
      </w:r>
      <w:r w:rsidR="00A93E8F" w:rsidRPr="00273106">
        <w:rPr>
          <w:noProof/>
          <w:lang w:val="cs-CZ"/>
        </w:rPr>
        <w:t>v</w:t>
      </w:r>
      <w:r w:rsidRPr="00273106">
        <w:rPr>
          <w:noProof/>
          <w:lang w:val="cs-CZ"/>
        </w:rPr>
        <w:t>erzální věci tím, že je abstrahuje od</w:t>
      </w:r>
      <w:r w:rsidR="00E5050E" w:rsidRPr="00273106">
        <w:rPr>
          <w:noProof/>
          <w:lang w:val="cs-CZ"/>
        </w:rPr>
        <w:t xml:space="preserve"> </w:t>
      </w:r>
      <w:r w:rsidR="00456967">
        <w:rPr>
          <w:noProof/>
          <w:lang w:val="cs-CZ"/>
        </w:rPr>
        <w:t>akcidentálních vlastností</w:t>
      </w:r>
      <w:r w:rsidRPr="00273106">
        <w:rPr>
          <w:noProof/>
          <w:lang w:val="cs-CZ"/>
        </w:rPr>
        <w:t xml:space="preserve">.“ </w:t>
      </w:r>
      <w:r w:rsidRPr="00273106">
        <w:rPr>
          <w:rStyle w:val="Znakapoznpodarou"/>
          <w:noProof/>
          <w:lang w:val="cs-CZ"/>
        </w:rPr>
        <w:footnoteReference w:id="87"/>
      </w:r>
    </w:p>
    <w:p w14:paraId="3DAF3A79" w14:textId="77777777" w:rsidR="008B013A" w:rsidRDefault="007037DA" w:rsidP="00F81EC6">
      <w:r w:rsidRPr="00273106">
        <w:t xml:space="preserve">Činný intelekt je </w:t>
      </w:r>
      <w:r w:rsidR="00AC7538" w:rsidRPr="00273106">
        <w:t xml:space="preserve">integrován přímo do </w:t>
      </w:r>
      <w:r w:rsidR="006C3C9B" w:rsidRPr="00273106">
        <w:t xml:space="preserve">individuální existence a je definován jako součást výkonu žití </w:t>
      </w:r>
      <w:r w:rsidR="08EE53F7">
        <w:t xml:space="preserve">smyslové a inteligibilní </w:t>
      </w:r>
      <w:r w:rsidR="006C3C9B" w:rsidRPr="00273106">
        <w:t xml:space="preserve">duše ve výkonu poznání </w:t>
      </w:r>
      <w:r w:rsidR="00AC7538" w:rsidRPr="00273106">
        <w:t>(</w:t>
      </w:r>
      <w:r w:rsidR="00AC7538" w:rsidRPr="00273106">
        <w:rPr>
          <w:i/>
        </w:rPr>
        <w:t>intellectus agens est via animae</w:t>
      </w:r>
      <w:r w:rsidR="006C3C9B" w:rsidRPr="00273106">
        <w:rPr>
          <w:i/>
        </w:rPr>
        <w:t xml:space="preserve"> apprehensiva</w:t>
      </w:r>
      <w:r w:rsidR="00AC7538" w:rsidRPr="00273106">
        <w:t xml:space="preserve">). </w:t>
      </w:r>
      <w:r w:rsidR="08027F84">
        <w:t>Nově zavedený formální intelekt</w:t>
      </w:r>
      <w:r w:rsidR="007731D0" w:rsidRPr="00273106">
        <w:t xml:space="preserve"> (</w:t>
      </w:r>
      <w:r w:rsidR="007731D0" w:rsidRPr="00273106">
        <w:rPr>
          <w:i/>
        </w:rPr>
        <w:t>intellectus formalis</w:t>
      </w:r>
      <w:r w:rsidR="007731D0">
        <w:rPr>
          <w:i/>
        </w:rPr>
        <w:fldChar w:fldCharType="begin"/>
      </w:r>
      <w:r w:rsidR="007731D0">
        <w:instrText xml:space="preserve"> XE "</w:instrText>
      </w:r>
      <w:r w:rsidR="007731D0" w:rsidRPr="000238B8">
        <w:rPr>
          <w:i/>
        </w:rPr>
        <w:instrText>intellectus formalis:</w:instrText>
      </w:r>
      <w:r w:rsidR="007731D0" w:rsidRPr="000238B8">
        <w:instrText>Blund</w:instrText>
      </w:r>
      <w:r w:rsidR="007731D0">
        <w:instrText xml:space="preserve">" </w:instrText>
      </w:r>
      <w:r w:rsidR="007731D0">
        <w:rPr>
          <w:i/>
        </w:rPr>
        <w:fldChar w:fldCharType="end"/>
      </w:r>
      <w:r w:rsidR="007731D0" w:rsidRPr="00273106">
        <w:t xml:space="preserve">) zrušil nasvícení intelektu zezadu, směrem od separovaného </w:t>
      </w:r>
      <w:r w:rsidR="007731D0" w:rsidRPr="00273106">
        <w:rPr>
          <w:i/>
        </w:rPr>
        <w:t>intellectus agens</w:t>
      </w:r>
      <w:r w:rsidR="007731D0" w:rsidRPr="00273106">
        <w:t xml:space="preserve">. </w:t>
      </w:r>
      <w:r w:rsidR="007731D0">
        <w:t xml:space="preserve">Přijímání poznané formy je </w:t>
      </w:r>
      <w:r w:rsidRPr="00273106">
        <w:t>definován</w:t>
      </w:r>
      <w:r w:rsidR="007731D0">
        <w:t>o</w:t>
      </w:r>
      <w:r w:rsidRPr="00273106">
        <w:t xml:space="preserve"> směrem od procesu abstrakce podané podle </w:t>
      </w:r>
      <w:r w:rsidRPr="00273106">
        <w:lastRenderedPageBreak/>
        <w:t xml:space="preserve">spisu </w:t>
      </w:r>
      <w:r w:rsidR="00B713C5">
        <w:rPr>
          <w:i/>
        </w:rPr>
        <w:t>De anima</w:t>
      </w:r>
      <w:r w:rsidRPr="00273106">
        <w:t xml:space="preserve"> jako proces abstrahující od </w:t>
      </w:r>
      <w:r w:rsidR="00850E07">
        <w:t xml:space="preserve">případků </w:t>
      </w:r>
      <w:r w:rsidR="00B10C99" w:rsidRPr="00273106">
        <w:t>daných na první substanci</w:t>
      </w:r>
      <w:r w:rsidR="00FD03B4" w:rsidRPr="00273106">
        <w:t xml:space="preserve"> (</w:t>
      </w:r>
      <w:r w:rsidR="00FD03B4" w:rsidRPr="00273106">
        <w:rPr>
          <w:i/>
        </w:rPr>
        <w:t>abstrahendo eas ab accidentibus</w:t>
      </w:r>
      <w:r w:rsidR="00FD03B4" w:rsidRPr="00273106">
        <w:t>)</w:t>
      </w:r>
      <w:r w:rsidRPr="00273106">
        <w:t xml:space="preserve">. </w:t>
      </w:r>
      <w:r w:rsidR="00B10C99" w:rsidRPr="00273106">
        <w:t>Tento proces abstrakce je díky smyslům zcela individuální</w:t>
      </w:r>
      <w:r w:rsidR="00D454C0">
        <w:t xml:space="preserve">, </w:t>
      </w:r>
      <w:r w:rsidR="007731D0">
        <w:t xml:space="preserve">protože </w:t>
      </w:r>
      <w:r w:rsidR="00D454C0">
        <w:t>u</w:t>
      </w:r>
      <w:r w:rsidR="00A93E8F" w:rsidRPr="00273106">
        <w:t xml:space="preserve">niverzália </w:t>
      </w:r>
      <w:r w:rsidR="00D454C0">
        <w:t xml:space="preserve">tvoří </w:t>
      </w:r>
      <w:r w:rsidR="007731D0">
        <w:t xml:space="preserve">až </w:t>
      </w:r>
      <w:r w:rsidR="00D454C0">
        <w:t>v</w:t>
      </w:r>
      <w:r w:rsidR="00A93E8F" w:rsidRPr="00273106">
        <w:t>ýsledek abstrakce</w:t>
      </w:r>
      <w:r w:rsidR="00B10C99" w:rsidRPr="00273106">
        <w:t xml:space="preserve">. </w:t>
      </w:r>
      <w:r w:rsidR="084914D2">
        <w:t>Tím jsou dána</w:t>
      </w:r>
      <w:r w:rsidR="086A0A0B">
        <w:t xml:space="preserve"> na způsob předešlého rozboru diafanum tři základní </w:t>
      </w:r>
      <w:r w:rsidR="08924368">
        <w:t xml:space="preserve">jevy nutné </w:t>
      </w:r>
      <w:r w:rsidR="086A0A0B">
        <w:t xml:space="preserve">pro poznání v modu aristotelské adekvace: aktuální materiální první substance, její adekvátní mediace skrze smyslové a intelektuální poznání, výsledný nemateriální a tím i nově aktuální poznatek. </w:t>
      </w:r>
      <w:r w:rsidR="08E42154">
        <w:t>Poznání běží formálně podobně jako přenos světla na barvu, ale liší se výslednou aktualitou, která je v případě lidsk</w:t>
      </w:r>
      <w:r w:rsidR="008B013A">
        <w:t>ého poznání nemateriální.</w:t>
      </w:r>
    </w:p>
    <w:p w14:paraId="51F7134E" w14:textId="47714D56" w:rsidR="006E3D54" w:rsidRPr="00273106" w:rsidRDefault="00580375" w:rsidP="008B013A">
      <w:pPr>
        <w:ind w:firstLine="397"/>
      </w:pPr>
      <w:r w:rsidRPr="00273106">
        <w:t>Hermeneutiku zajímá klíčová část Blundova traktátu, která zásadně mění statut Avicennova darovaného intelektu (</w:t>
      </w:r>
      <w:r w:rsidRPr="00273106">
        <w:rPr>
          <w:i/>
        </w:rPr>
        <w:t>intellectus adeptus</w:t>
      </w:r>
      <w:r w:rsidR="00332701">
        <w:rPr>
          <w:i/>
        </w:rPr>
        <w:fldChar w:fldCharType="begin"/>
      </w:r>
      <w:r w:rsidR="00332701">
        <w:instrText xml:space="preserve"> XE "</w:instrText>
      </w:r>
      <w:r w:rsidR="00332701" w:rsidRPr="00F77FCE">
        <w:rPr>
          <w:i/>
        </w:rPr>
        <w:instrText>intellectus adeptus</w:instrText>
      </w:r>
      <w:r w:rsidR="0045423D">
        <w:instrText>:Blund</w:instrText>
      </w:r>
      <w:r w:rsidR="00332701">
        <w:instrText xml:space="preserve">" </w:instrText>
      </w:r>
      <w:r w:rsidR="00332701">
        <w:rPr>
          <w:i/>
        </w:rPr>
        <w:fldChar w:fldCharType="end"/>
      </w:r>
      <w:r w:rsidRPr="00273106">
        <w:t>)</w:t>
      </w:r>
      <w:r w:rsidR="00C25C6E" w:rsidRPr="00273106">
        <w:t xml:space="preserve">. </w:t>
      </w:r>
      <w:r w:rsidR="08B76FE7">
        <w:rPr>
          <w:rStyle w:val="Zkladntextdkovn0pt"/>
          <w:rFonts w:ascii="Calibri" w:eastAsia="Times" w:hAnsi="Calibri" w:cs="Times New Roman"/>
          <w:color w:val="auto"/>
          <w:spacing w:val="0"/>
          <w:sz w:val="24"/>
          <w:u w:val="none"/>
          <w:lang w:val="cs-CZ"/>
        </w:rPr>
        <w:t xml:space="preserve">Mediace skrze různé formy diafanum představuje čistou potenci duše v modu Alfarábího </w:t>
      </w:r>
      <w:r w:rsidR="08B76FE7" w:rsidRPr="08F91369">
        <w:rPr>
          <w:rStyle w:val="Zkladntextdkovn0pt"/>
          <w:rFonts w:ascii="Calibri" w:eastAsia="Times" w:hAnsi="Calibri" w:cs="Times New Roman"/>
          <w:i/>
          <w:color w:val="auto"/>
          <w:spacing w:val="0"/>
          <w:sz w:val="24"/>
          <w:u w:val="none"/>
          <w:lang w:val="cs-CZ"/>
        </w:rPr>
        <w:t>intellectus in potencia</w:t>
      </w:r>
      <w:r w:rsidR="08B76FE7">
        <w:rPr>
          <w:rStyle w:val="Zkladntextdkovn0pt"/>
          <w:rFonts w:ascii="Calibri" w:eastAsia="Times" w:hAnsi="Calibri" w:cs="Times New Roman"/>
          <w:color w:val="auto"/>
          <w:spacing w:val="0"/>
          <w:sz w:val="24"/>
          <w:u w:val="none"/>
          <w:lang w:val="cs-CZ"/>
        </w:rPr>
        <w:t xml:space="preserve">. </w:t>
      </w:r>
      <w:r w:rsidR="00C25C6E" w:rsidRPr="00273106">
        <w:t>Donace</w:t>
      </w:r>
      <w:r w:rsidRPr="00273106">
        <w:t xml:space="preserve"> </w:t>
      </w:r>
      <w:r w:rsidR="00C25C6E" w:rsidRPr="00273106">
        <w:t>smyslu jsoucna je dá</w:t>
      </w:r>
      <w:r w:rsidR="00167F51" w:rsidRPr="00273106">
        <w:t xml:space="preserve">na ve formálním intelektu díky aktu </w:t>
      </w:r>
      <w:r w:rsidR="003C6228">
        <w:t xml:space="preserve">nemateriální </w:t>
      </w:r>
      <w:r w:rsidR="00167F51" w:rsidRPr="00273106">
        <w:t>syntézy</w:t>
      </w:r>
      <w:r w:rsidR="003C6228">
        <w:t xml:space="preserve"> významu</w:t>
      </w:r>
      <w:r w:rsidR="00167F51" w:rsidRPr="00273106">
        <w:t xml:space="preserve">. </w:t>
      </w:r>
      <w:r w:rsidR="0822149B">
        <w:t xml:space="preserve">První definici formálního intelektu již obsahuje druhá část definice </w:t>
      </w:r>
      <w:r w:rsidR="0822149B" w:rsidRPr="08893AA5">
        <w:rPr>
          <w:i/>
        </w:rPr>
        <w:t>intellectus possibilis</w:t>
      </w:r>
      <w:r w:rsidR="0822149B">
        <w:t xml:space="preserve"> v Al-Fárábího pojednání </w:t>
      </w:r>
      <w:r w:rsidR="0822149B" w:rsidRPr="002544CB">
        <w:rPr>
          <w:i/>
        </w:rPr>
        <w:t>De intel</w:t>
      </w:r>
      <w:r w:rsidR="0822149B">
        <w:rPr>
          <w:i/>
        </w:rPr>
        <w:t>l</w:t>
      </w:r>
      <w:r w:rsidR="0822149B" w:rsidRPr="002544CB">
        <w:rPr>
          <w:i/>
        </w:rPr>
        <w:t>e</w:t>
      </w:r>
      <w:r w:rsidR="0822149B">
        <w:rPr>
          <w:i/>
        </w:rPr>
        <w:t>c</w:t>
      </w:r>
      <w:r w:rsidR="0822149B" w:rsidRPr="002544CB">
        <w:rPr>
          <w:i/>
        </w:rPr>
        <w:t>tu</w:t>
      </w:r>
      <w:r w:rsidR="08796DA7">
        <w:rPr>
          <w:i/>
        </w:rPr>
        <w:t xml:space="preserve"> et intellecto</w:t>
      </w:r>
      <w:r w:rsidR="0822149B">
        <w:t xml:space="preserve"> (</w:t>
      </w:r>
      <w:r w:rsidR="08796DA7">
        <w:t xml:space="preserve">OBJ I, </w:t>
      </w:r>
      <w:r w:rsidR="0822149B">
        <w:t xml:space="preserve">kap. 2.1.1). </w:t>
      </w:r>
      <w:r w:rsidR="0822149B" w:rsidRPr="08893AA5">
        <w:t>D</w:t>
      </w:r>
      <w:r w:rsidR="0822149B">
        <w:t xml:space="preserve">ruhý mistr </w:t>
      </w:r>
      <w:r w:rsidR="086B0894">
        <w:t xml:space="preserve">určuje </w:t>
      </w:r>
      <w:r w:rsidR="082E15A7">
        <w:t xml:space="preserve">vznik významu ve schopnostech duše, která </w:t>
      </w:r>
      <w:r w:rsidR="0822149B">
        <w:t>má aktivní schopnost abstrakce nemateriálních forem od materiálních věcí</w:t>
      </w:r>
      <w:r w:rsidR="082A47EC">
        <w:t xml:space="preserve"> (</w:t>
      </w:r>
      <w:r w:rsidR="082A47EC" w:rsidRPr="082A47EC">
        <w:rPr>
          <w:i/>
        </w:rPr>
        <w:t>die Formen von allem, was vorhanden ist, von den Stoffen derselben zu abstrahiren</w:t>
      </w:r>
      <w:r w:rsidR="082A47EC">
        <w:t>)</w:t>
      </w:r>
      <w:r w:rsidR="0822149B">
        <w:t>.</w:t>
      </w:r>
      <w:r w:rsidR="0822149B">
        <w:rPr>
          <w:rStyle w:val="Znakapoznpodarou"/>
        </w:rPr>
        <w:footnoteReference w:id="88"/>
      </w:r>
      <w:r w:rsidR="0822149B">
        <w:t xml:space="preserve"> Blundova škola </w:t>
      </w:r>
      <w:r w:rsidR="087765AC">
        <w:t>správně pochopila</w:t>
      </w:r>
      <w:r w:rsidR="0822149B">
        <w:t>, že tato aktivní schopnost abstrakce daná vzhledem k nemateriálním formám</w:t>
      </w:r>
      <w:r w:rsidR="08917286">
        <w:t xml:space="preserve"> v hylemorfických substancích se zásadně liší od recepce kosmických forem skrze </w:t>
      </w:r>
      <w:r w:rsidR="08917286" w:rsidRPr="08917286">
        <w:rPr>
          <w:i/>
        </w:rPr>
        <w:t>intellectus adeptus</w:t>
      </w:r>
      <w:r w:rsidR="08917286">
        <w:t>. Vzhledem k recepci for</w:t>
      </w:r>
      <w:r w:rsidR="08CB3B8A">
        <w:t>m</w:t>
      </w:r>
      <w:r w:rsidR="08917286">
        <w:t>y</w:t>
      </w:r>
      <w:r w:rsidR="088106AB">
        <w:t xml:space="preserve"> v procesu abtrakce tvoř</w:t>
      </w:r>
      <w:r w:rsidR="08CB3B8A">
        <w:t xml:space="preserve">í </w:t>
      </w:r>
      <w:r w:rsidR="08CB3B8A" w:rsidRPr="08CB3B8A">
        <w:rPr>
          <w:i/>
        </w:rPr>
        <w:t>intel</w:t>
      </w:r>
      <w:r w:rsidR="08917286" w:rsidRPr="08CB3B8A">
        <w:rPr>
          <w:i/>
        </w:rPr>
        <w:t>l</w:t>
      </w:r>
      <w:r w:rsidR="08CB3B8A" w:rsidRPr="08CB3B8A">
        <w:rPr>
          <w:i/>
        </w:rPr>
        <w:t>e</w:t>
      </w:r>
      <w:r w:rsidR="08917286" w:rsidRPr="08CB3B8A">
        <w:rPr>
          <w:i/>
        </w:rPr>
        <w:t>ctus formalis</w:t>
      </w:r>
      <w:r w:rsidR="08917286">
        <w:t xml:space="preserve"> a </w:t>
      </w:r>
      <w:r w:rsidR="08917286" w:rsidRPr="08893AA5">
        <w:rPr>
          <w:i/>
        </w:rPr>
        <w:t xml:space="preserve">intellectus </w:t>
      </w:r>
      <w:r w:rsidR="08917286">
        <w:rPr>
          <w:i/>
        </w:rPr>
        <w:t xml:space="preserve">in </w:t>
      </w:r>
      <w:r w:rsidR="08917286" w:rsidRPr="08893AA5">
        <w:rPr>
          <w:i/>
        </w:rPr>
        <w:t>po</w:t>
      </w:r>
      <w:r w:rsidR="08917286">
        <w:rPr>
          <w:i/>
        </w:rPr>
        <w:t>tencia</w:t>
      </w:r>
      <w:r w:rsidR="08917286">
        <w:t xml:space="preserve"> složenou schopno</w:t>
      </w:r>
      <w:r w:rsidR="08CB3B8A">
        <w:t>s</w:t>
      </w:r>
      <w:r w:rsidR="08917286">
        <w:t>t duše danou nasvícením poznání od smyslově vnímaných první</w:t>
      </w:r>
      <w:r w:rsidR="082D0E55">
        <w:t>ch</w:t>
      </w:r>
      <w:r w:rsidR="08917286">
        <w:t xml:space="preserve"> substancí. </w:t>
      </w:r>
      <w:r w:rsidR="0822149B">
        <w:t>Blundův t</w:t>
      </w:r>
      <w:r w:rsidR="008F0DAF" w:rsidRPr="00273106">
        <w:t xml:space="preserve">raktát </w:t>
      </w:r>
      <w:r w:rsidR="0822149B">
        <w:t xml:space="preserve">spojil </w:t>
      </w:r>
      <w:r w:rsidR="008F0DAF" w:rsidRPr="00273106">
        <w:t>darovaný a formální intelekt a oddělu</w:t>
      </w:r>
      <w:r w:rsidR="087162CF">
        <w:t xml:space="preserve">je tuto aktivní schopnost duše </w:t>
      </w:r>
      <w:r w:rsidR="008F0DAF">
        <w:t xml:space="preserve">od </w:t>
      </w:r>
      <w:r w:rsidR="0822149B">
        <w:t xml:space="preserve">receptivní složky </w:t>
      </w:r>
      <w:r w:rsidR="083F0644">
        <w:t xml:space="preserve">intelektu </w:t>
      </w:r>
      <w:r w:rsidR="0822149B">
        <w:t xml:space="preserve">a od </w:t>
      </w:r>
      <w:r w:rsidR="008F0DAF">
        <w:t>materiálního poznání</w:t>
      </w:r>
      <w:r w:rsidR="083F0644">
        <w:t xml:space="preserve"> smyslů</w:t>
      </w:r>
      <w:r w:rsidR="008F0DAF" w:rsidRPr="00273106">
        <w:t xml:space="preserve">. </w:t>
      </w:r>
      <w:r w:rsidR="003C6228">
        <w:t xml:space="preserve">Činný intelekt </w:t>
      </w:r>
      <w:r w:rsidR="00167F51" w:rsidRPr="00273106">
        <w:t xml:space="preserve">vytváří inteligibilní poznatek daný </w:t>
      </w:r>
      <w:r w:rsidRPr="00273106">
        <w:t xml:space="preserve">směrem od reálné hylemorfické věci, která aktualizuje </w:t>
      </w:r>
      <w:r w:rsidR="003C712C">
        <w:t xml:space="preserve">receptivní </w:t>
      </w:r>
      <w:r w:rsidRPr="00273106">
        <w:t>intelekt</w:t>
      </w:r>
      <w:r w:rsidR="008F0DAF" w:rsidRPr="008F0DAF">
        <w:t xml:space="preserve"> </w:t>
      </w:r>
      <w:r w:rsidR="008F0DAF">
        <w:t xml:space="preserve">skrze </w:t>
      </w:r>
      <w:r w:rsidR="08000E07">
        <w:t xml:space="preserve">smyslové a intelektuální </w:t>
      </w:r>
      <w:r w:rsidR="008F0DAF">
        <w:t>diafanum</w:t>
      </w:r>
      <w:r w:rsidR="08000E07">
        <w:t xml:space="preserve"> dané v duši</w:t>
      </w:r>
      <w:r w:rsidRPr="00273106">
        <w:t xml:space="preserve">. </w:t>
      </w:r>
      <w:r w:rsidR="008F52A8" w:rsidRPr="00273106">
        <w:t>Blund otočil směr nasvícení jsoucna</w:t>
      </w:r>
      <w:r w:rsidR="003C6228">
        <w:t xml:space="preserve"> a</w:t>
      </w:r>
      <w:r w:rsidRPr="00273106">
        <w:t xml:space="preserve"> </w:t>
      </w:r>
      <w:r w:rsidR="006473A2">
        <w:t>vytváří po vzoru Al</w:t>
      </w:r>
      <w:r w:rsidR="006473A2">
        <w:noBreakHyphen/>
        <w:t>Fá</w:t>
      </w:r>
      <w:r w:rsidR="003A721A">
        <w:t xml:space="preserve">rábího základní </w:t>
      </w:r>
      <w:r w:rsidR="003A721A" w:rsidRPr="003A721A">
        <w:rPr>
          <w:i/>
        </w:rPr>
        <w:t>Lichtung</w:t>
      </w:r>
      <w:r w:rsidR="003A721A">
        <w:t xml:space="preserve"> pro následný </w:t>
      </w:r>
      <w:r w:rsidRPr="00273106">
        <w:t>spor mezi první</w:t>
      </w:r>
      <w:r w:rsidR="008F52A8" w:rsidRPr="00273106">
        <w:t>m a druhým averroismem</w:t>
      </w:r>
      <w:r w:rsidR="08B86726">
        <w:t xml:space="preserve"> na latinském Západě</w:t>
      </w:r>
      <w:r w:rsidR="008F52A8" w:rsidRPr="00273106">
        <w:t xml:space="preserve">. </w:t>
      </w:r>
      <w:r w:rsidR="00260059">
        <w:t>Tento spor obou škol v nové epocháln</w:t>
      </w:r>
      <w:r w:rsidR="08B86726">
        <w:t>í konstelaci dějinnosti opakuje</w:t>
      </w:r>
      <w:r w:rsidR="00260059">
        <w:t xml:space="preserve"> gigantomachii mezi oběma </w:t>
      </w:r>
      <w:r w:rsidR="006473A2">
        <w:t>žáky</w:t>
      </w:r>
      <w:r w:rsidR="08EE3479">
        <w:t xml:space="preserve"> Druhého mistra</w:t>
      </w:r>
      <w:r w:rsidR="006473A2">
        <w:t xml:space="preserve">, </w:t>
      </w:r>
      <w:r w:rsidR="006473A2">
        <w:lastRenderedPageBreak/>
        <w:t>Avicennou a Averroe</w:t>
      </w:r>
      <w:r w:rsidR="00260059">
        <w:t>sem.</w:t>
      </w:r>
      <w:r w:rsidR="005348F2">
        <w:t xml:space="preserve"> </w:t>
      </w:r>
      <w:r w:rsidR="08231B21">
        <w:t xml:space="preserve">Hermeneutika upozorňuje na zásadní rozdíl mezi </w:t>
      </w:r>
      <w:r w:rsidR="08FC2033">
        <w:t>přijetím poznatku (</w:t>
      </w:r>
      <w:r w:rsidR="004C5939" w:rsidRPr="00414884">
        <w:rPr>
          <w:i/>
          <w:lang w:val="en-US"/>
        </w:rPr>
        <w:t>rem intellectam</w:t>
      </w:r>
      <w:r w:rsidR="08FC2033">
        <w:t xml:space="preserve">) </w:t>
      </w:r>
      <w:r w:rsidR="08231B21">
        <w:t xml:space="preserve">a </w:t>
      </w:r>
      <w:r w:rsidR="08FC2033">
        <w:t>lidskou schopností tohoto přijetí (</w:t>
      </w:r>
      <w:r w:rsidR="08231B21" w:rsidRPr="08231B21">
        <w:rPr>
          <w:i/>
        </w:rPr>
        <w:t>intellectus adeptus</w:t>
      </w:r>
      <w:r w:rsidR="08FC2033">
        <w:t xml:space="preserve">). Tento rozdíl </w:t>
      </w:r>
      <w:r w:rsidR="08847938">
        <w:t xml:space="preserve">daný nasvícením jsoucna zepředu </w:t>
      </w:r>
      <w:r w:rsidR="081453E2">
        <w:t>založil novou fo</w:t>
      </w:r>
      <w:r w:rsidR="08FC2033">
        <w:t xml:space="preserve">rmu poznání na latinském Západě, protože zrušil darovaný intelekt Avicenny jako zbytečný. </w:t>
      </w:r>
    </w:p>
    <w:p w14:paraId="0EAC66C8" w14:textId="77777777" w:rsidR="000879DC" w:rsidRDefault="000879DC" w:rsidP="00C765E1">
      <w:pPr>
        <w:pStyle w:val="Citace"/>
        <w:rPr>
          <w:rStyle w:val="Zkladntextdkovn0pt"/>
          <w:rFonts w:ascii="Calibri" w:eastAsia="Times" w:hAnsi="Calibri" w:cs="Times New Roman"/>
          <w:noProof/>
          <w:spacing w:val="0"/>
          <w:sz w:val="22"/>
          <w:u w:val="none"/>
          <w:lang w:val="cs-CZ"/>
        </w:rPr>
      </w:pPr>
      <w:r w:rsidRPr="00273106">
        <w:rPr>
          <w:rStyle w:val="Zkladntextdkovn0pt"/>
          <w:rFonts w:ascii="Calibri" w:eastAsia="Times" w:hAnsi="Calibri" w:cs="Times New Roman"/>
          <w:noProof/>
          <w:spacing w:val="0"/>
          <w:sz w:val="22"/>
          <w:u w:val="none"/>
          <w:lang w:val="cs-CZ"/>
        </w:rPr>
        <w:t>„Darovaný intelekt (</w:t>
      </w:r>
      <w:r w:rsidRPr="00273106">
        <w:rPr>
          <w:i/>
          <w:noProof/>
          <w:lang w:val="cs-CZ"/>
        </w:rPr>
        <w:t>intellectus adeptus</w:t>
      </w:r>
      <w:r w:rsidRPr="00273106">
        <w:rPr>
          <w:rStyle w:val="Zkladntextdkovn0pt"/>
          <w:rFonts w:ascii="Calibri" w:eastAsia="Times" w:hAnsi="Calibri" w:cs="Times New Roman"/>
          <w:noProof/>
          <w:spacing w:val="0"/>
          <w:sz w:val="22"/>
          <w:u w:val="none"/>
          <w:lang w:val="cs-CZ"/>
        </w:rPr>
        <w:t>) je účinek (</w:t>
      </w:r>
      <w:r w:rsidRPr="00273106">
        <w:rPr>
          <w:rStyle w:val="Zkladntextdkovn0pt"/>
          <w:rFonts w:ascii="Calibri" w:eastAsia="Times" w:hAnsi="Calibri" w:cs="Times New Roman"/>
          <w:i/>
          <w:noProof/>
          <w:spacing w:val="0"/>
          <w:sz w:val="22"/>
          <w:u w:val="none"/>
          <w:lang w:val="cs-CZ"/>
        </w:rPr>
        <w:t>passio</w:t>
      </w:r>
      <w:r w:rsidRPr="00273106">
        <w:rPr>
          <w:rStyle w:val="Zkladntextdkovn0pt"/>
          <w:rFonts w:ascii="Calibri" w:eastAsia="Times" w:hAnsi="Calibri" w:cs="Times New Roman"/>
          <w:noProof/>
          <w:spacing w:val="0"/>
          <w:sz w:val="22"/>
          <w:u w:val="none"/>
          <w:lang w:val="cs-CZ"/>
        </w:rPr>
        <w:t>) generovaný v duši, který je podobností vnější věci (</w:t>
      </w:r>
      <w:r w:rsidRPr="00273106">
        <w:rPr>
          <w:rStyle w:val="Zkladntextdkovn0pt"/>
          <w:rFonts w:ascii="Calibri" w:eastAsia="Times" w:hAnsi="Calibri" w:cs="Times New Roman"/>
          <w:i/>
          <w:noProof/>
          <w:spacing w:val="0"/>
          <w:sz w:val="22"/>
          <w:u w:val="none"/>
          <w:lang w:val="cs-CZ"/>
        </w:rPr>
        <w:t>similitudo rei extra</w:t>
      </w:r>
      <w:r w:rsidR="00E855DF">
        <w:rPr>
          <w:rStyle w:val="Zkladntextdkovn0pt"/>
          <w:rFonts w:ascii="Calibri" w:eastAsia="Times" w:hAnsi="Calibri" w:cs="Times New Roman"/>
          <w:noProof/>
          <w:spacing w:val="0"/>
          <w:sz w:val="22"/>
          <w:u w:val="none"/>
          <w:lang w:val="cs-CZ"/>
        </w:rPr>
        <w:t xml:space="preserve">). Takto pojaté poznání </w:t>
      </w:r>
      <w:r w:rsidRPr="00273106">
        <w:rPr>
          <w:rStyle w:val="Zkladntextdkovn0pt"/>
          <w:rFonts w:ascii="Calibri" w:eastAsia="Times" w:hAnsi="Calibri" w:cs="Times New Roman"/>
          <w:noProof/>
          <w:spacing w:val="0"/>
          <w:sz w:val="22"/>
          <w:u w:val="none"/>
          <w:lang w:val="cs-CZ"/>
        </w:rPr>
        <w:t>(</w:t>
      </w:r>
      <w:r w:rsidRPr="00273106">
        <w:rPr>
          <w:rStyle w:val="Zkladntextdkovn0pt"/>
          <w:rFonts w:ascii="Calibri" w:eastAsia="Times" w:hAnsi="Calibri" w:cs="Times New Roman"/>
          <w:i/>
          <w:noProof/>
          <w:spacing w:val="0"/>
          <w:sz w:val="22"/>
          <w:u w:val="none"/>
          <w:lang w:val="cs-CZ"/>
        </w:rPr>
        <w:t>de quo intellectu</w:t>
      </w:r>
      <w:r w:rsidR="00E855DF">
        <w:rPr>
          <w:rStyle w:val="Zkladntextdkovn0pt"/>
          <w:rFonts w:ascii="Calibri" w:eastAsia="Times" w:hAnsi="Calibri" w:cs="Times New Roman"/>
          <w:noProof/>
          <w:spacing w:val="0"/>
          <w:sz w:val="22"/>
          <w:u w:val="none"/>
          <w:lang w:val="cs-CZ"/>
        </w:rPr>
        <w:t>) máme od Aristotelo</w:t>
      </w:r>
      <w:r w:rsidRPr="00273106">
        <w:rPr>
          <w:rStyle w:val="Zkladntextdkovn0pt"/>
          <w:rFonts w:ascii="Calibri" w:eastAsia="Times" w:hAnsi="Calibri" w:cs="Times New Roman"/>
          <w:noProof/>
          <w:spacing w:val="0"/>
          <w:sz w:val="22"/>
          <w:u w:val="none"/>
          <w:lang w:val="cs-CZ"/>
        </w:rPr>
        <w:t>v</w:t>
      </w:r>
      <w:r w:rsidR="00E855DF">
        <w:rPr>
          <w:rStyle w:val="Zkladntextdkovn0pt"/>
          <w:rFonts w:ascii="Calibri" w:eastAsia="Times" w:hAnsi="Calibri" w:cs="Times New Roman"/>
          <w:noProof/>
          <w:spacing w:val="0"/>
          <w:sz w:val="22"/>
          <w:u w:val="none"/>
          <w:lang w:val="cs-CZ"/>
        </w:rPr>
        <w:t>a</w:t>
      </w:r>
      <w:r w:rsidRPr="00273106">
        <w:rPr>
          <w:rStyle w:val="Zkladntextdkovn0pt"/>
          <w:rFonts w:ascii="Calibri" w:eastAsia="Times" w:hAnsi="Calibri" w:cs="Times New Roman"/>
          <w:noProof/>
          <w:spacing w:val="0"/>
          <w:sz w:val="22"/>
          <w:u w:val="none"/>
          <w:lang w:val="cs-CZ"/>
        </w:rPr>
        <w:t xml:space="preserve"> spis</w:t>
      </w:r>
      <w:r w:rsidR="00E855DF">
        <w:rPr>
          <w:rStyle w:val="Zkladntextdkovn0pt"/>
          <w:rFonts w:ascii="Calibri" w:eastAsia="Times" w:hAnsi="Calibri" w:cs="Times New Roman"/>
          <w:noProof/>
          <w:spacing w:val="0"/>
          <w:sz w:val="22"/>
          <w:u w:val="none"/>
          <w:lang w:val="cs-CZ"/>
        </w:rPr>
        <w:t>u</w:t>
      </w:r>
      <w:r w:rsidRPr="00273106">
        <w:rPr>
          <w:rStyle w:val="Zkladntextdkovn0pt"/>
          <w:rFonts w:ascii="Calibri" w:eastAsia="Times" w:hAnsi="Calibri" w:cs="Times New Roman"/>
          <w:noProof/>
          <w:spacing w:val="0"/>
          <w:sz w:val="22"/>
          <w:u w:val="none"/>
          <w:lang w:val="cs-CZ"/>
        </w:rPr>
        <w:t xml:space="preserve"> </w:t>
      </w:r>
      <w:r w:rsidR="00B713C5">
        <w:rPr>
          <w:rStyle w:val="Zkladntextdkovn0pt"/>
          <w:rFonts w:ascii="Calibri" w:eastAsia="Times" w:hAnsi="Calibri" w:cs="Times New Roman"/>
          <w:i/>
          <w:noProof/>
          <w:spacing w:val="0"/>
          <w:sz w:val="22"/>
          <w:u w:val="none"/>
          <w:lang w:val="cs-CZ"/>
        </w:rPr>
        <w:t>De anima</w:t>
      </w:r>
      <w:r w:rsidR="00A17708">
        <w:rPr>
          <w:rStyle w:val="Zkladntextdkovn0pt"/>
          <w:rFonts w:ascii="Calibri" w:eastAsia="Times" w:hAnsi="Calibri" w:cs="Times New Roman"/>
          <w:noProof/>
          <w:spacing w:val="0"/>
          <w:sz w:val="22"/>
          <w:u w:val="none"/>
          <w:lang w:val="cs-CZ"/>
        </w:rPr>
        <w:t>. P</w:t>
      </w:r>
      <w:r w:rsidRPr="00273106">
        <w:rPr>
          <w:rStyle w:val="Zkladntextdkovn0pt"/>
          <w:rFonts w:ascii="Calibri" w:eastAsia="Times" w:hAnsi="Calibri" w:cs="Times New Roman"/>
          <w:noProof/>
          <w:spacing w:val="0"/>
          <w:sz w:val="22"/>
          <w:u w:val="none"/>
          <w:lang w:val="cs-CZ"/>
        </w:rPr>
        <w:t>ochopená věc</w:t>
      </w:r>
      <w:r w:rsidR="007A484D" w:rsidRPr="00273106">
        <w:rPr>
          <w:rStyle w:val="Zkladntextdkovn0pt"/>
          <w:rFonts w:ascii="Calibri" w:eastAsia="Times" w:hAnsi="Calibri" w:cs="Times New Roman"/>
          <w:noProof/>
          <w:spacing w:val="0"/>
          <w:sz w:val="22"/>
          <w:u w:val="none"/>
          <w:lang w:val="cs-CZ"/>
        </w:rPr>
        <w:t xml:space="preserve"> (</w:t>
      </w:r>
      <w:r w:rsidR="007A484D" w:rsidRPr="00273106">
        <w:rPr>
          <w:rStyle w:val="Zkladntextdkovn0pt"/>
          <w:rFonts w:ascii="Calibri" w:eastAsia="Times" w:hAnsi="Calibri" w:cs="Times New Roman"/>
          <w:i/>
          <w:noProof/>
          <w:spacing w:val="0"/>
          <w:sz w:val="22"/>
          <w:u w:val="none"/>
          <w:lang w:val="cs-CZ"/>
        </w:rPr>
        <w:t>res intellecta</w:t>
      </w:r>
      <w:r w:rsidR="007A484D" w:rsidRPr="00273106">
        <w:rPr>
          <w:rStyle w:val="Zkladntextdkovn0pt"/>
          <w:rFonts w:ascii="Calibri" w:eastAsia="Times" w:hAnsi="Calibri" w:cs="Times New Roman"/>
          <w:noProof/>
          <w:spacing w:val="0"/>
          <w:sz w:val="22"/>
          <w:u w:val="none"/>
          <w:lang w:val="cs-CZ"/>
        </w:rPr>
        <w:t xml:space="preserve">) </w:t>
      </w:r>
      <w:r w:rsidR="0093434F" w:rsidRPr="00273106">
        <w:rPr>
          <w:rStyle w:val="Zkladntextdkovn0pt"/>
          <w:rFonts w:ascii="Calibri" w:eastAsia="Times" w:hAnsi="Calibri" w:cs="Times New Roman"/>
          <w:noProof/>
          <w:spacing w:val="0"/>
          <w:sz w:val="22"/>
          <w:u w:val="none"/>
          <w:lang w:val="cs-CZ"/>
        </w:rPr>
        <w:t xml:space="preserve">představuje </w:t>
      </w:r>
      <w:r w:rsidRPr="00273106">
        <w:rPr>
          <w:rStyle w:val="Zkladntextdkovn0pt"/>
          <w:rFonts w:ascii="Calibri" w:eastAsia="Times" w:hAnsi="Calibri" w:cs="Times New Roman"/>
          <w:noProof/>
          <w:spacing w:val="0"/>
          <w:sz w:val="22"/>
          <w:u w:val="none"/>
          <w:lang w:val="cs-CZ"/>
        </w:rPr>
        <w:t>završení</w:t>
      </w:r>
      <w:r w:rsidR="0093434F" w:rsidRPr="00273106">
        <w:rPr>
          <w:rStyle w:val="Zkladntextdkovn0pt"/>
          <w:rFonts w:ascii="Calibri" w:eastAsia="Times" w:hAnsi="Calibri" w:cs="Times New Roman"/>
          <w:noProof/>
          <w:spacing w:val="0"/>
          <w:sz w:val="22"/>
          <w:u w:val="none"/>
          <w:lang w:val="cs-CZ"/>
        </w:rPr>
        <w:t xml:space="preserve"> duše</w:t>
      </w:r>
      <w:r w:rsidR="08D74321">
        <w:rPr>
          <w:rStyle w:val="Zkladntextdkovn0pt"/>
          <w:rFonts w:ascii="Calibri" w:eastAsia="Times" w:hAnsi="Calibri" w:cs="Times New Roman"/>
          <w:noProof/>
          <w:spacing w:val="0"/>
          <w:sz w:val="22"/>
          <w:u w:val="none"/>
          <w:lang w:val="cs-CZ"/>
        </w:rPr>
        <w:t xml:space="preserve"> </w:t>
      </w:r>
      <w:r w:rsidR="088D7E32">
        <w:rPr>
          <w:rStyle w:val="Zkladntextdkovn0pt"/>
          <w:rFonts w:ascii="Calibri" w:eastAsia="Times" w:hAnsi="Calibri" w:cs="Times New Roman"/>
          <w:noProof/>
          <w:spacing w:val="0"/>
          <w:sz w:val="22"/>
          <w:u w:val="none"/>
          <w:lang w:val="cs-CZ"/>
        </w:rPr>
        <w:t xml:space="preserve">dané </w:t>
      </w:r>
      <w:r w:rsidR="08EF01AB">
        <w:rPr>
          <w:rStyle w:val="Zkladntextdkovn0pt"/>
          <w:rFonts w:ascii="Calibri" w:eastAsia="Times" w:hAnsi="Calibri" w:cs="Times New Roman"/>
          <w:noProof/>
          <w:spacing w:val="0"/>
          <w:sz w:val="22"/>
          <w:u w:val="none"/>
          <w:lang w:val="cs-CZ"/>
        </w:rPr>
        <w:t xml:space="preserve">od jejího způsobu bytí </w:t>
      </w:r>
      <w:r w:rsidR="00A17708" w:rsidRPr="00D228EA">
        <w:t>(</w:t>
      </w:r>
      <w:r w:rsidR="00A17708" w:rsidRPr="00D228EA">
        <w:rPr>
          <w:i/>
        </w:rPr>
        <w:t>de eius essentia</w:t>
      </w:r>
      <w:r w:rsidR="00A17708" w:rsidRPr="00D228EA">
        <w:t>)</w:t>
      </w:r>
      <w:r w:rsidRPr="00D228EA">
        <w:t>.</w:t>
      </w:r>
      <w:r w:rsidRPr="00273106">
        <w:rPr>
          <w:rStyle w:val="Zkladntextdkovn0pt"/>
          <w:rFonts w:ascii="Calibri" w:eastAsia="Times" w:hAnsi="Calibri" w:cs="Times New Roman"/>
          <w:noProof/>
          <w:spacing w:val="0"/>
          <w:sz w:val="22"/>
          <w:u w:val="none"/>
          <w:lang w:val="cs-CZ"/>
        </w:rPr>
        <w:t xml:space="preserve"> </w:t>
      </w:r>
      <w:r w:rsidR="006473A2">
        <w:rPr>
          <w:rStyle w:val="Zkladntextdkovn0pt"/>
          <w:rFonts w:ascii="Calibri" w:eastAsia="Times" w:hAnsi="Calibri" w:cs="Times New Roman"/>
          <w:noProof/>
          <w:spacing w:val="0"/>
          <w:sz w:val="22"/>
          <w:u w:val="none"/>
          <w:lang w:val="cs-CZ"/>
        </w:rPr>
        <w:t>Aristotele</w:t>
      </w:r>
      <w:r w:rsidR="00E36C22" w:rsidRPr="00273106">
        <w:rPr>
          <w:rStyle w:val="Zkladntextdkovn0pt"/>
          <w:rFonts w:ascii="Calibri" w:eastAsia="Times" w:hAnsi="Calibri" w:cs="Times New Roman"/>
          <w:noProof/>
          <w:spacing w:val="0"/>
          <w:sz w:val="22"/>
          <w:u w:val="none"/>
          <w:lang w:val="cs-CZ"/>
        </w:rPr>
        <w:t>s</w:t>
      </w:r>
      <w:r w:rsidRPr="00273106">
        <w:rPr>
          <w:rStyle w:val="Zkladntextdkovn0pt"/>
          <w:rFonts w:ascii="Calibri" w:eastAsia="Times" w:hAnsi="Calibri" w:cs="Times New Roman"/>
          <w:noProof/>
          <w:spacing w:val="0"/>
          <w:sz w:val="22"/>
          <w:u w:val="none"/>
          <w:lang w:val="cs-CZ"/>
        </w:rPr>
        <w:t xml:space="preserve"> v tomto spise nazývá poznanou věc </w:t>
      </w:r>
      <w:r w:rsidR="00A17708">
        <w:rPr>
          <w:rStyle w:val="Zkladntextdkovn0pt"/>
          <w:rFonts w:ascii="Calibri" w:eastAsia="Times" w:hAnsi="Calibri" w:cs="Times New Roman"/>
          <w:noProof/>
          <w:spacing w:val="0"/>
          <w:sz w:val="22"/>
          <w:u w:val="none"/>
          <w:lang w:val="cs-CZ"/>
        </w:rPr>
        <w:t>(</w:t>
      </w:r>
      <w:r w:rsidR="00A17708" w:rsidRPr="00A17708">
        <w:rPr>
          <w:rStyle w:val="Zkladntextdkovn0pt"/>
          <w:rFonts w:ascii="Calibri" w:eastAsia="Times" w:hAnsi="Calibri" w:cs="Times New Roman"/>
          <w:i/>
          <w:noProof/>
          <w:spacing w:val="0"/>
          <w:sz w:val="22"/>
          <w:u w:val="none"/>
          <w:lang w:val="cs-CZ"/>
        </w:rPr>
        <w:t>res intellectam</w:t>
      </w:r>
      <w:r w:rsidR="00A17708">
        <w:rPr>
          <w:rStyle w:val="Zkladntextdkovn0pt"/>
          <w:rFonts w:ascii="Calibri" w:eastAsia="Times" w:hAnsi="Calibri" w:cs="Times New Roman"/>
          <w:noProof/>
          <w:spacing w:val="0"/>
          <w:sz w:val="22"/>
          <w:u w:val="none"/>
          <w:lang w:val="cs-CZ"/>
        </w:rPr>
        <w:t xml:space="preserve">) </w:t>
      </w:r>
      <w:r w:rsidR="007A484D" w:rsidRPr="00273106">
        <w:rPr>
          <w:rStyle w:val="Zkladntextdkovn0pt"/>
          <w:rFonts w:ascii="Calibri" w:eastAsia="Times" w:hAnsi="Calibri" w:cs="Times New Roman"/>
          <w:noProof/>
          <w:spacing w:val="0"/>
          <w:sz w:val="22"/>
          <w:u w:val="none"/>
          <w:lang w:val="cs-CZ"/>
        </w:rPr>
        <w:t xml:space="preserve">jako </w:t>
      </w:r>
      <w:r w:rsidRPr="00273106">
        <w:rPr>
          <w:rStyle w:val="Zkladntextdkovn0pt"/>
          <w:rFonts w:ascii="Calibri" w:eastAsia="Times" w:hAnsi="Calibri" w:cs="Times New Roman"/>
          <w:noProof/>
          <w:spacing w:val="0"/>
          <w:sz w:val="22"/>
          <w:u w:val="none"/>
          <w:lang w:val="cs-CZ"/>
        </w:rPr>
        <w:t>darova</w:t>
      </w:r>
      <w:r w:rsidR="007A484D" w:rsidRPr="00273106">
        <w:rPr>
          <w:rStyle w:val="Zkladntextdkovn0pt"/>
          <w:rFonts w:ascii="Calibri" w:eastAsia="Times" w:hAnsi="Calibri" w:cs="Times New Roman"/>
          <w:noProof/>
          <w:spacing w:val="0"/>
          <w:sz w:val="22"/>
          <w:u w:val="none"/>
          <w:lang w:val="cs-CZ"/>
        </w:rPr>
        <w:t>né pochopení (</w:t>
      </w:r>
      <w:r w:rsidR="007A484D" w:rsidRPr="00273106">
        <w:rPr>
          <w:rStyle w:val="Zkladntextdkovn0pt"/>
          <w:rFonts w:ascii="Calibri" w:eastAsia="Times" w:hAnsi="Calibri" w:cs="Times New Roman"/>
          <w:i/>
          <w:noProof/>
          <w:spacing w:val="0"/>
          <w:sz w:val="22"/>
          <w:u w:val="none"/>
          <w:lang w:val="cs-CZ"/>
        </w:rPr>
        <w:t>intellectum adeptum</w:t>
      </w:r>
      <w:r w:rsidR="007A484D" w:rsidRPr="00273106">
        <w:rPr>
          <w:rStyle w:val="Zkladntextdkovn0pt"/>
          <w:rFonts w:ascii="Calibri" w:eastAsia="Times" w:hAnsi="Calibri" w:cs="Times New Roman"/>
          <w:noProof/>
          <w:spacing w:val="0"/>
          <w:sz w:val="22"/>
          <w:u w:val="none"/>
          <w:lang w:val="cs-CZ"/>
        </w:rPr>
        <w:t>), které</w:t>
      </w:r>
      <w:r w:rsidRPr="00273106">
        <w:rPr>
          <w:rStyle w:val="Zkladntextdkovn0pt"/>
          <w:rFonts w:ascii="Calibri" w:eastAsia="Times" w:hAnsi="Calibri" w:cs="Times New Roman"/>
          <w:noProof/>
          <w:spacing w:val="0"/>
          <w:sz w:val="22"/>
          <w:u w:val="none"/>
          <w:lang w:val="cs-CZ"/>
        </w:rPr>
        <w:t xml:space="preserve"> je podobností </w:t>
      </w:r>
      <w:r w:rsidR="082A47EC">
        <w:rPr>
          <w:rStyle w:val="Zkladntextdkovn0pt"/>
          <w:rFonts w:ascii="Calibri" w:eastAsia="Times" w:hAnsi="Calibri" w:cs="Times New Roman"/>
          <w:noProof/>
          <w:spacing w:val="0"/>
          <w:sz w:val="22"/>
          <w:u w:val="none"/>
          <w:lang w:val="cs-CZ"/>
        </w:rPr>
        <w:t xml:space="preserve">reálné </w:t>
      </w:r>
      <w:r w:rsidRPr="00273106">
        <w:rPr>
          <w:rStyle w:val="Zkladntextdkovn0pt"/>
          <w:rFonts w:ascii="Calibri" w:eastAsia="Times" w:hAnsi="Calibri" w:cs="Times New Roman"/>
          <w:noProof/>
          <w:spacing w:val="0"/>
          <w:sz w:val="22"/>
          <w:u w:val="none"/>
          <w:lang w:val="cs-CZ"/>
        </w:rPr>
        <w:t>věci (</w:t>
      </w:r>
      <w:r w:rsidRPr="00273106">
        <w:rPr>
          <w:rStyle w:val="Zkladntextdkovn0pt"/>
          <w:rFonts w:ascii="Calibri" w:eastAsia="Times" w:hAnsi="Calibri" w:cs="Times New Roman"/>
          <w:i/>
          <w:noProof/>
          <w:spacing w:val="0"/>
          <w:sz w:val="22"/>
          <w:u w:val="none"/>
          <w:lang w:val="cs-CZ"/>
        </w:rPr>
        <w:t xml:space="preserve">qui est </w:t>
      </w:r>
      <w:r w:rsidRPr="00273106">
        <w:rPr>
          <w:rStyle w:val="Zkladntext75pt"/>
          <w:rFonts w:ascii="Calibri" w:eastAsia="Times" w:hAnsi="Calibri" w:cs="Times New Roman"/>
          <w:i/>
          <w:noProof/>
          <w:spacing w:val="0"/>
          <w:sz w:val="22"/>
          <w:lang w:val="cs-CZ"/>
        </w:rPr>
        <w:t xml:space="preserve"> </w:t>
      </w:r>
      <w:r w:rsidRPr="00273106">
        <w:rPr>
          <w:rStyle w:val="Zkladntextdkovn0pt"/>
          <w:rFonts w:ascii="Calibri" w:eastAsia="Times" w:hAnsi="Calibri" w:cs="Times New Roman"/>
          <w:i/>
          <w:noProof/>
          <w:spacing w:val="0"/>
          <w:sz w:val="22"/>
          <w:u w:val="none"/>
          <w:lang w:val="cs-CZ"/>
        </w:rPr>
        <w:t>ymago rei extra</w:t>
      </w:r>
      <w:r w:rsidRPr="00273106">
        <w:rPr>
          <w:rStyle w:val="Zkladntextdkovn0pt"/>
          <w:rFonts w:ascii="Calibri" w:eastAsia="Times" w:hAnsi="Calibri" w:cs="Times New Roman"/>
          <w:noProof/>
          <w:spacing w:val="0"/>
          <w:sz w:val="22"/>
          <w:u w:val="none"/>
          <w:lang w:val="cs-CZ"/>
        </w:rPr>
        <w:t>).</w:t>
      </w:r>
      <w:r w:rsidR="080D0CFD">
        <w:rPr>
          <w:rStyle w:val="Zkladntextdkovn0pt"/>
          <w:rFonts w:ascii="Calibri" w:eastAsia="Times" w:hAnsi="Calibri" w:cs="Times New Roman"/>
          <w:noProof/>
          <w:spacing w:val="0"/>
          <w:sz w:val="22"/>
          <w:u w:val="none"/>
          <w:lang w:val="cs-CZ"/>
        </w:rPr>
        <w:t>“</w:t>
      </w:r>
      <w:r w:rsidRPr="00273106">
        <w:rPr>
          <w:rStyle w:val="Znakapoznpodarou"/>
          <w:noProof/>
          <w:lang w:val="cs-CZ"/>
        </w:rPr>
        <w:footnoteReference w:id="89"/>
      </w:r>
    </w:p>
    <w:p w14:paraId="06EFC6F3" w14:textId="32799FBB" w:rsidR="080D0CFD" w:rsidRDefault="005956D5" w:rsidP="00F81EC6">
      <w:r w:rsidRPr="00273106">
        <w:t>Nová figura intelektu je determinována směrem od formy reálné věci (</w:t>
      </w:r>
      <w:r w:rsidRPr="00273106">
        <w:rPr>
          <w:rStyle w:val="Zkladntextdkovn0pt"/>
          <w:rFonts w:ascii="Calibri" w:eastAsia="Times" w:hAnsi="Calibri" w:cs="Times New Roman"/>
          <w:i/>
          <w:color w:val="auto"/>
          <w:spacing w:val="0"/>
          <w:sz w:val="24"/>
          <w:u w:val="none"/>
          <w:lang w:val="cs-CZ"/>
        </w:rPr>
        <w:t xml:space="preserve">est </w:t>
      </w:r>
      <w:r w:rsidRPr="00273106">
        <w:rPr>
          <w:rStyle w:val="Zkladntext75pt"/>
          <w:rFonts w:ascii="Calibri" w:eastAsia="Times" w:hAnsi="Calibri" w:cs="Times New Roman"/>
          <w:i/>
          <w:color w:val="auto"/>
          <w:spacing w:val="0"/>
          <w:sz w:val="24"/>
        </w:rPr>
        <w:t xml:space="preserve"> </w:t>
      </w:r>
      <w:r w:rsidRPr="00273106">
        <w:rPr>
          <w:rStyle w:val="Zkladntextdkovn0pt"/>
          <w:rFonts w:ascii="Calibri" w:eastAsia="Times" w:hAnsi="Calibri" w:cs="Times New Roman"/>
          <w:i/>
          <w:color w:val="auto"/>
          <w:spacing w:val="0"/>
          <w:sz w:val="24"/>
          <w:u w:val="none"/>
          <w:lang w:val="cs-CZ"/>
        </w:rPr>
        <w:t>ymago rei extra</w:t>
      </w:r>
      <w:r w:rsidRPr="00273106">
        <w:t xml:space="preserve">). </w:t>
      </w:r>
      <w:r w:rsidR="00F81EC6" w:rsidRPr="00273106">
        <w:t xml:space="preserve">Poznání </w:t>
      </w:r>
      <w:r w:rsidR="007C6104" w:rsidRPr="00273106">
        <w:t xml:space="preserve">věci v </w:t>
      </w:r>
      <w:r w:rsidR="00F81EC6" w:rsidRPr="00273106">
        <w:t>intelektu (</w:t>
      </w:r>
      <w:r w:rsidR="00F81EC6" w:rsidRPr="00273106">
        <w:rPr>
          <w:rStyle w:val="Zkladntextdkovn0pt"/>
          <w:rFonts w:ascii="Calibri" w:eastAsia="Times" w:hAnsi="Calibri" w:cs="Times New Roman"/>
          <w:i/>
          <w:color w:val="auto"/>
          <w:spacing w:val="0"/>
          <w:sz w:val="24"/>
          <w:u w:val="none"/>
          <w:lang w:val="cs-CZ"/>
        </w:rPr>
        <w:t>rem intellectam</w:t>
      </w:r>
      <w:r w:rsidR="00F81EC6" w:rsidRPr="00273106">
        <w:t xml:space="preserve">) je dáno od smyslového imaga vytvořeného působením externí věci poznávané smysly a přijímané do darovaného intelektu. </w:t>
      </w:r>
      <w:r w:rsidR="00810191">
        <w:t>Donace formy vychází z hyleformické věci, jejíž aktualita zakládá poznání</w:t>
      </w:r>
      <w:r w:rsidR="08BF5BA6">
        <w:t xml:space="preserve"> podle aristotelského </w:t>
      </w:r>
      <w:r w:rsidR="082A724F">
        <w:t xml:space="preserve">metafyzického </w:t>
      </w:r>
      <w:r w:rsidR="08BF5BA6">
        <w:t>dativu</w:t>
      </w:r>
      <w:r w:rsidR="00810191">
        <w:t xml:space="preserve">. </w:t>
      </w:r>
      <w:r w:rsidR="007414A4" w:rsidRPr="00273106">
        <w:t xml:space="preserve">Citát </w:t>
      </w:r>
      <w:r w:rsidR="00D20126" w:rsidRPr="00273106">
        <w:t xml:space="preserve">determinuje pojetí pravdy jako </w:t>
      </w:r>
      <w:r w:rsidR="00D20126" w:rsidRPr="00273106">
        <w:rPr>
          <w:i/>
        </w:rPr>
        <w:t>similitudo</w:t>
      </w:r>
      <w:r w:rsidR="00D20126" w:rsidRPr="00273106">
        <w:t xml:space="preserve"> a </w:t>
      </w:r>
      <w:r w:rsidR="00D20126" w:rsidRPr="00273106">
        <w:rPr>
          <w:i/>
        </w:rPr>
        <w:t>proportio</w:t>
      </w:r>
      <w:r w:rsidR="00BA3D92">
        <w:t xml:space="preserve"> vzhledem k </w:t>
      </w:r>
      <w:r w:rsidR="003C3872" w:rsidRPr="00273106">
        <w:t xml:space="preserve">formě v </w:t>
      </w:r>
      <w:r w:rsidR="00D20126" w:rsidRPr="00273106">
        <w:t>první substanc</w:t>
      </w:r>
      <w:r w:rsidR="003C3872" w:rsidRPr="00273106">
        <w:t>i</w:t>
      </w:r>
      <w:r w:rsidR="00BA3D92">
        <w:t xml:space="preserve">, která dostane podobnost jako kognitivní forma v duši </w:t>
      </w:r>
      <w:r w:rsidR="00D20126" w:rsidRPr="00273106">
        <w:t>(</w:t>
      </w:r>
      <w:r w:rsidR="00D20126" w:rsidRPr="00273106">
        <w:rPr>
          <w:rStyle w:val="Zkladntextdkovn0pt"/>
          <w:rFonts w:ascii="Calibri" w:eastAsia="Times" w:hAnsi="Calibri" w:cs="Times New Roman"/>
          <w:i/>
          <w:color w:val="auto"/>
          <w:spacing w:val="0"/>
          <w:sz w:val="24"/>
          <w:u w:val="none"/>
          <w:lang w:val="cs-CZ"/>
        </w:rPr>
        <w:t>ad similitudinem et proportionem form</w:t>
      </w:r>
      <w:r w:rsidR="00C56E0D">
        <w:rPr>
          <w:rStyle w:val="Zkladntextdkovn0pt"/>
          <w:rFonts w:ascii="Calibri" w:eastAsia="Times" w:hAnsi="Calibri" w:cs="Times New Roman"/>
          <w:i/>
          <w:color w:val="auto"/>
          <w:spacing w:val="0"/>
          <w:sz w:val="24"/>
          <w:u w:val="none"/>
          <w:lang w:val="cs-CZ"/>
        </w:rPr>
        <w:t>a</w:t>
      </w:r>
      <w:r w:rsidR="00D20126" w:rsidRPr="00273106">
        <w:rPr>
          <w:rStyle w:val="Zkladntextdkovn0pt"/>
          <w:rFonts w:ascii="Calibri" w:eastAsia="Times" w:hAnsi="Calibri" w:cs="Times New Roman"/>
          <w:i/>
          <w:color w:val="auto"/>
          <w:spacing w:val="0"/>
          <w:sz w:val="24"/>
          <w:u w:val="none"/>
          <w:lang w:val="cs-CZ"/>
        </w:rPr>
        <w:t>e</w:t>
      </w:r>
      <w:r w:rsidR="00D20126" w:rsidRPr="00273106">
        <w:t>).</w:t>
      </w:r>
      <w:r w:rsidR="083E15EF">
        <w:t xml:space="preserve"> Tím je zajištěna základní dis</w:t>
      </w:r>
      <w:r w:rsidR="080D0CFD">
        <w:t>tin</w:t>
      </w:r>
      <w:r w:rsidR="083E15EF">
        <w:t>k</w:t>
      </w:r>
      <w:r w:rsidR="080D0CFD">
        <w:t xml:space="preserve">ce </w:t>
      </w:r>
      <w:r w:rsidR="083E15EF">
        <w:t>m</w:t>
      </w:r>
      <w:r w:rsidR="080D0CFD">
        <w:t>ezi r</w:t>
      </w:r>
      <w:r w:rsidR="083E15EF">
        <w:t>e</w:t>
      </w:r>
      <w:r w:rsidR="080D0CFD">
        <w:t xml:space="preserve">álným průběhem </w:t>
      </w:r>
      <w:r w:rsidR="083E15EF">
        <w:t xml:space="preserve">poznání </w:t>
      </w:r>
      <w:r w:rsidR="00480984">
        <w:t xml:space="preserve">v duši </w:t>
      </w:r>
      <w:r w:rsidR="083E15EF">
        <w:t>a vznikem</w:t>
      </w:r>
      <w:r w:rsidR="080D0CFD">
        <w:t xml:space="preserve"> výsledného poznatku </w:t>
      </w:r>
      <w:r w:rsidR="00440D62">
        <w:t>darovaného od aktuální věci</w:t>
      </w:r>
      <w:r w:rsidR="083E15EF">
        <w:t xml:space="preserve">. </w:t>
      </w:r>
      <w:r w:rsidR="087C04DF">
        <w:t xml:space="preserve">Tato epochální změna v nasvícení poznání zepředu od aktuální hylemorfické formy první substance </w:t>
      </w:r>
      <w:r w:rsidR="08CE41CC">
        <w:t xml:space="preserve">vytvořila novou </w:t>
      </w:r>
      <w:r w:rsidR="087C04DF">
        <w:t>definici formálního inte</w:t>
      </w:r>
      <w:r w:rsidR="080D0CFD">
        <w:t>l</w:t>
      </w:r>
      <w:r w:rsidR="087C04DF">
        <w:t>e</w:t>
      </w:r>
      <w:r w:rsidR="080D0CFD">
        <w:t xml:space="preserve">ktu. </w:t>
      </w:r>
      <w:r w:rsidR="08CE41CC">
        <w:t>M</w:t>
      </w:r>
      <w:r w:rsidR="080D0CFD">
        <w:t xml:space="preserve">etodický postup od vzniku intencionálního předmětu v modu </w:t>
      </w:r>
      <w:r w:rsidR="080D0CFD" w:rsidRPr="080D0CFD">
        <w:rPr>
          <w:i/>
        </w:rPr>
        <w:t>per prius</w:t>
      </w:r>
      <w:r w:rsidR="080D0CFD">
        <w:t xml:space="preserve"> k abstraktnímu určení jeho duševní instance v modu </w:t>
      </w:r>
      <w:r w:rsidR="080D0CFD" w:rsidRPr="080D0CFD">
        <w:rPr>
          <w:i/>
        </w:rPr>
        <w:t>per posterius</w:t>
      </w:r>
      <w:r w:rsidR="088A1BAB">
        <w:t xml:space="preserve"> má zásadní charakter, protože odpovídá distinkci </w:t>
      </w:r>
      <w:r w:rsidR="085B5084">
        <w:t xml:space="preserve">mezi intelektem jako </w:t>
      </w:r>
      <w:r w:rsidR="088A1BAB" w:rsidRPr="088A1BAB">
        <w:rPr>
          <w:i/>
        </w:rPr>
        <w:t>tertium</w:t>
      </w:r>
      <w:r w:rsidR="088A1BAB">
        <w:t xml:space="preserve"> a </w:t>
      </w:r>
      <w:r w:rsidR="088A1BAB" w:rsidRPr="088A1BAB">
        <w:rPr>
          <w:i/>
        </w:rPr>
        <w:t xml:space="preserve">quartum </w:t>
      </w:r>
      <w:r w:rsidR="00B1298A">
        <w:rPr>
          <w:i/>
        </w:rPr>
        <w:t>genus</w:t>
      </w:r>
      <w:r w:rsidR="088A1BAB">
        <w:t xml:space="preserve"> podle CMDA (</w:t>
      </w:r>
      <w:r w:rsidR="082B7456">
        <w:t xml:space="preserve">OBJ I, </w:t>
      </w:r>
      <w:r w:rsidR="088A1BAB">
        <w:t>kap. 2.4.3</w:t>
      </w:r>
      <w:r w:rsidR="085B5084">
        <w:t xml:space="preserve">). </w:t>
      </w:r>
      <w:r w:rsidR="00AA13F0" w:rsidRPr="00AA13F0">
        <w:t xml:space="preserve">Existenciální akt </w:t>
      </w:r>
      <w:r w:rsidR="00AA13F0">
        <w:t xml:space="preserve">jako </w:t>
      </w:r>
      <w:r w:rsidR="00AA13F0" w:rsidRPr="00AA13F0">
        <w:rPr>
          <w:i/>
        </w:rPr>
        <w:t>intellectio</w:t>
      </w:r>
      <w:r w:rsidR="00AA13F0" w:rsidRPr="00AA13F0">
        <w:t xml:space="preserve"> (</w:t>
      </w:r>
      <w:r w:rsidR="00AA13F0" w:rsidRPr="00AA13F0">
        <w:rPr>
          <w:i/>
        </w:rPr>
        <w:t>tertium genus</w:t>
      </w:r>
      <w:r w:rsidR="00AA13F0" w:rsidRPr="00AA13F0">
        <w:t xml:space="preserve">) se liší od konečného poznání jako </w:t>
      </w:r>
      <w:r w:rsidR="00AA13F0" w:rsidRPr="00AA13F0">
        <w:rPr>
          <w:i/>
        </w:rPr>
        <w:t>intellectum</w:t>
      </w:r>
      <w:r w:rsidR="00AA13F0" w:rsidRPr="00AA13F0">
        <w:t xml:space="preserve"> (</w:t>
      </w:r>
      <w:r w:rsidR="00AA13F0" w:rsidRPr="00AA13F0">
        <w:rPr>
          <w:i/>
        </w:rPr>
        <w:t>quartum genus</w:t>
      </w:r>
      <w:r w:rsidR="00AA13F0" w:rsidRPr="00AA13F0">
        <w:t>).</w:t>
      </w:r>
      <w:r w:rsidR="00AA13F0">
        <w:t xml:space="preserve"> </w:t>
      </w:r>
      <w:r w:rsidR="085B5084">
        <w:t>P</w:t>
      </w:r>
      <w:r w:rsidR="08916B19">
        <w:t>ostu</w:t>
      </w:r>
      <w:r w:rsidR="080D0CFD">
        <w:t xml:space="preserve">p Blundovy školy </w:t>
      </w:r>
      <w:r w:rsidR="085B5084">
        <w:t xml:space="preserve">představuje první fenomenologický popis </w:t>
      </w:r>
      <w:r w:rsidR="08841B47">
        <w:t xml:space="preserve">lidského </w:t>
      </w:r>
      <w:r w:rsidR="080D0CFD">
        <w:t xml:space="preserve">poznání </w:t>
      </w:r>
      <w:r w:rsidR="085B5084">
        <w:t xml:space="preserve">na latinském Západě </w:t>
      </w:r>
      <w:r w:rsidR="080D0CFD">
        <w:t>dan</w:t>
      </w:r>
      <w:r w:rsidR="085B5084">
        <w:t xml:space="preserve">ý nasvícením </w:t>
      </w:r>
      <w:r w:rsidR="08954812">
        <w:t xml:space="preserve">jsoucna </w:t>
      </w:r>
      <w:r w:rsidR="085B5084">
        <w:t>zepředu</w:t>
      </w:r>
      <w:r w:rsidR="08954812">
        <w:t xml:space="preserve"> od reálné aktuální formy věci vnímané smysly</w:t>
      </w:r>
      <w:r w:rsidR="085B5084">
        <w:t xml:space="preserve">. Tento fakt </w:t>
      </w:r>
      <w:r w:rsidR="080D0CFD">
        <w:t xml:space="preserve">zcela unikl </w:t>
      </w:r>
      <w:r w:rsidR="08780EE7">
        <w:t xml:space="preserve">moderním a postmoderním objektivistům, ale </w:t>
      </w:r>
      <w:r w:rsidR="080D0CFD">
        <w:t xml:space="preserve">nikoliv </w:t>
      </w:r>
      <w:r w:rsidR="081E0A86">
        <w:t xml:space="preserve">Albertovi, Baconovi a </w:t>
      </w:r>
      <w:r w:rsidR="080D0CFD">
        <w:t xml:space="preserve">Sigerovi ze Sicilské školy prvního averroismu. </w:t>
      </w:r>
      <w:r w:rsidR="00D20126" w:rsidRPr="00273106">
        <w:t xml:space="preserve"> </w:t>
      </w:r>
      <w:r w:rsidR="080D0CFD">
        <w:t>Teprve po etablování skutečného charakteru poznání přichází známá Blundova definice formálního intelektu.</w:t>
      </w:r>
    </w:p>
    <w:p w14:paraId="37B005E9" w14:textId="4E365BD6" w:rsidR="080D0CFD" w:rsidRDefault="080D0CFD" w:rsidP="080D0CFD">
      <w:pPr>
        <w:pStyle w:val="Citace"/>
      </w:pPr>
      <w:r>
        <w:rPr>
          <w:rStyle w:val="Zkladntextdkovn0pt"/>
          <w:rFonts w:ascii="Calibri" w:eastAsia="Times" w:hAnsi="Calibri" w:cs="Times New Roman"/>
          <w:noProof/>
          <w:spacing w:val="0"/>
          <w:sz w:val="22"/>
          <w:u w:val="none"/>
          <w:lang w:val="cs-CZ"/>
        </w:rPr>
        <w:lastRenderedPageBreak/>
        <w:t>„</w:t>
      </w:r>
      <w:r w:rsidRPr="00273106">
        <w:rPr>
          <w:rStyle w:val="Zkladntextdkovn0pt"/>
          <w:rFonts w:ascii="Calibri" w:eastAsia="Times" w:hAnsi="Calibri" w:cs="Times New Roman"/>
          <w:noProof/>
          <w:spacing w:val="0"/>
          <w:sz w:val="22"/>
          <w:u w:val="none"/>
          <w:lang w:val="cs-CZ"/>
        </w:rPr>
        <w:t xml:space="preserve">Tento darovaný intelekt </w:t>
      </w:r>
      <w:r>
        <w:rPr>
          <w:rStyle w:val="Zkladntextdkovn0pt"/>
          <w:rFonts w:ascii="Calibri" w:eastAsia="Times" w:hAnsi="Calibri" w:cs="Times New Roman"/>
          <w:noProof/>
          <w:spacing w:val="0"/>
          <w:sz w:val="22"/>
          <w:u w:val="none"/>
          <w:lang w:val="cs-CZ"/>
        </w:rPr>
        <w:t>(</w:t>
      </w:r>
      <w:r w:rsidRPr="00273106">
        <w:rPr>
          <w:i/>
        </w:rPr>
        <w:t>ille intellectus adeptus</w:t>
      </w:r>
      <w:r>
        <w:rPr>
          <w:rStyle w:val="Zkladntextdkovn0pt"/>
          <w:rFonts w:ascii="Calibri" w:eastAsia="Times" w:hAnsi="Calibri" w:cs="Times New Roman"/>
          <w:noProof/>
          <w:spacing w:val="0"/>
          <w:sz w:val="22"/>
          <w:u w:val="none"/>
          <w:lang w:val="cs-CZ"/>
        </w:rPr>
        <w:t xml:space="preserve">) </w:t>
      </w:r>
      <w:r w:rsidRPr="00273106">
        <w:rPr>
          <w:rStyle w:val="Zkladntextdkovn0pt"/>
          <w:rFonts w:ascii="Calibri" w:eastAsia="Times" w:hAnsi="Calibri" w:cs="Times New Roman"/>
          <w:noProof/>
          <w:spacing w:val="0"/>
          <w:sz w:val="22"/>
          <w:u w:val="none"/>
          <w:lang w:val="cs-CZ"/>
        </w:rPr>
        <w:t>se také nazývá formální intelekt (</w:t>
      </w:r>
      <w:r w:rsidRPr="00273106">
        <w:rPr>
          <w:i/>
        </w:rPr>
        <w:t>dicitur esse intellectus formalis</w:t>
      </w:r>
      <w:r w:rsidRPr="00273106">
        <w:rPr>
          <w:rStyle w:val="Zkladntextdkovn0pt"/>
          <w:rFonts w:ascii="Calibri" w:eastAsia="Times" w:hAnsi="Calibri" w:cs="Times New Roman"/>
          <w:noProof/>
          <w:spacing w:val="0"/>
          <w:sz w:val="22"/>
          <w:u w:val="none"/>
          <w:lang w:val="cs-CZ"/>
        </w:rPr>
        <w:t xml:space="preserve">), protože </w:t>
      </w:r>
      <w:r>
        <w:rPr>
          <w:rStyle w:val="Zkladntextdkovn0pt"/>
          <w:rFonts w:ascii="Calibri" w:eastAsia="Times" w:hAnsi="Calibri" w:cs="Times New Roman"/>
          <w:noProof/>
          <w:spacing w:val="0"/>
          <w:sz w:val="22"/>
          <w:u w:val="none"/>
          <w:lang w:val="cs-CZ"/>
        </w:rPr>
        <w:t xml:space="preserve">v sobě obsahuje vztah podobnosti </w:t>
      </w:r>
      <w:r w:rsidRPr="00273106">
        <w:rPr>
          <w:rStyle w:val="Zkladntextdkovn0pt"/>
          <w:rFonts w:ascii="Calibri" w:eastAsia="Times" w:hAnsi="Calibri" w:cs="Times New Roman"/>
          <w:noProof/>
          <w:spacing w:val="0"/>
          <w:sz w:val="22"/>
          <w:u w:val="none"/>
          <w:lang w:val="cs-CZ"/>
        </w:rPr>
        <w:t>a proporci formy (</w:t>
      </w:r>
      <w:r w:rsidRPr="00273106">
        <w:rPr>
          <w:rStyle w:val="Zkladntextdkovn0pt"/>
          <w:rFonts w:ascii="Calibri" w:eastAsia="Times" w:hAnsi="Calibri" w:cs="Times New Roman"/>
          <w:i/>
          <w:noProof/>
          <w:spacing w:val="0"/>
          <w:sz w:val="22"/>
          <w:u w:val="none"/>
          <w:lang w:val="cs-CZ"/>
        </w:rPr>
        <w:t>ad similitudinem et proportionem formae</w:t>
      </w:r>
      <w:r>
        <w:rPr>
          <w:rStyle w:val="Zkladntextdkovn0pt"/>
          <w:rFonts w:ascii="Calibri" w:eastAsia="Times" w:hAnsi="Calibri" w:cs="Times New Roman"/>
          <w:noProof/>
          <w:spacing w:val="0"/>
          <w:sz w:val="22"/>
          <w:u w:val="none"/>
          <w:lang w:val="cs-CZ"/>
        </w:rPr>
        <w:t xml:space="preserve">). </w:t>
      </w:r>
      <w:r w:rsidR="00FB017E">
        <w:rPr>
          <w:rStyle w:val="Zkladntextdkovn0pt"/>
          <w:rFonts w:ascii="Calibri" w:eastAsia="Times" w:hAnsi="Calibri" w:cs="Times New Roman"/>
          <w:noProof/>
          <w:spacing w:val="0"/>
          <w:sz w:val="22"/>
          <w:u w:val="none"/>
          <w:lang w:val="cs-CZ"/>
        </w:rPr>
        <w:t>Stejně jako f</w:t>
      </w:r>
      <w:r w:rsidRPr="00273106">
        <w:rPr>
          <w:rStyle w:val="Zkladntextdkovn0pt"/>
          <w:rFonts w:ascii="Calibri" w:eastAsia="Times" w:hAnsi="Calibri" w:cs="Times New Roman"/>
          <w:noProof/>
          <w:spacing w:val="0"/>
          <w:sz w:val="22"/>
          <w:u w:val="none"/>
          <w:lang w:val="cs-CZ"/>
        </w:rPr>
        <w:t xml:space="preserve">orma završuje </w:t>
      </w:r>
      <w:r w:rsidR="00D76F58">
        <w:rPr>
          <w:rStyle w:val="Zkladntextdkovn0pt"/>
          <w:rFonts w:ascii="Calibri" w:eastAsia="Times" w:hAnsi="Calibri" w:cs="Times New Roman"/>
          <w:noProof/>
          <w:spacing w:val="0"/>
          <w:sz w:val="22"/>
          <w:u w:val="none"/>
          <w:lang w:val="cs-CZ"/>
        </w:rPr>
        <w:t>materii</w:t>
      </w:r>
      <w:r w:rsidRPr="00273106">
        <w:rPr>
          <w:rStyle w:val="Zkladntextdkovn0pt"/>
          <w:rFonts w:ascii="Calibri" w:eastAsia="Times" w:hAnsi="Calibri" w:cs="Times New Roman"/>
          <w:noProof/>
          <w:spacing w:val="0"/>
          <w:sz w:val="22"/>
          <w:u w:val="none"/>
          <w:lang w:val="cs-CZ"/>
        </w:rPr>
        <w:t xml:space="preserve"> tím, že jí dává aktuální existenci</w:t>
      </w:r>
      <w:r w:rsidR="00FB017E">
        <w:rPr>
          <w:rStyle w:val="Zkladntextdkovn0pt"/>
          <w:rFonts w:ascii="Calibri" w:eastAsia="Times" w:hAnsi="Calibri" w:cs="Times New Roman"/>
          <w:noProof/>
          <w:spacing w:val="0"/>
          <w:sz w:val="22"/>
          <w:u w:val="none"/>
          <w:lang w:val="cs-CZ"/>
        </w:rPr>
        <w:t>, p</w:t>
      </w:r>
      <w:r w:rsidR="00D76F58">
        <w:rPr>
          <w:rStyle w:val="Zkladntextdkovn0pt"/>
          <w:rFonts w:ascii="Calibri" w:eastAsia="Times" w:hAnsi="Calibri" w:cs="Times New Roman"/>
          <w:noProof/>
          <w:spacing w:val="0"/>
          <w:sz w:val="22"/>
          <w:u w:val="none"/>
          <w:lang w:val="cs-CZ"/>
        </w:rPr>
        <w:t>odobným způsobem d</w:t>
      </w:r>
      <w:r w:rsidRPr="00273106">
        <w:rPr>
          <w:rStyle w:val="Zkladntextdkovn0pt"/>
          <w:rFonts w:ascii="Calibri" w:eastAsia="Times" w:hAnsi="Calibri" w:cs="Times New Roman"/>
          <w:noProof/>
          <w:spacing w:val="0"/>
          <w:sz w:val="22"/>
          <w:u w:val="none"/>
          <w:lang w:val="cs-CZ"/>
        </w:rPr>
        <w:t xml:space="preserve">arovaný intelekt završuje materiální intelekt tím, že </w:t>
      </w:r>
      <w:r>
        <w:rPr>
          <w:rStyle w:val="Zkladntextdkovn0pt"/>
          <w:rFonts w:ascii="Calibri" w:eastAsia="Times" w:hAnsi="Calibri" w:cs="Times New Roman"/>
          <w:noProof/>
          <w:spacing w:val="0"/>
          <w:sz w:val="22"/>
          <w:u w:val="none"/>
          <w:lang w:val="cs-CZ"/>
        </w:rPr>
        <w:t>jej převádí do účinné aktuality</w:t>
      </w:r>
      <w:r w:rsidRPr="00273106">
        <w:rPr>
          <w:rStyle w:val="Zkladntextdkovn0pt"/>
          <w:rFonts w:ascii="Calibri" w:eastAsia="Times" w:hAnsi="Calibri" w:cs="Times New Roman"/>
          <w:noProof/>
          <w:spacing w:val="0"/>
          <w:sz w:val="22"/>
          <w:u w:val="none"/>
          <w:lang w:val="cs-CZ"/>
        </w:rPr>
        <w:t xml:space="preserve"> (</w:t>
      </w:r>
      <w:r w:rsidRPr="00273106">
        <w:rPr>
          <w:rStyle w:val="Zkladntextdkovn0pt"/>
          <w:rFonts w:ascii="Calibri" w:eastAsia="Times" w:hAnsi="Calibri" w:cs="Times New Roman"/>
          <w:i/>
          <w:noProof/>
          <w:spacing w:val="0"/>
          <w:sz w:val="22"/>
          <w:u w:val="none"/>
          <w:lang w:val="cs-CZ"/>
        </w:rPr>
        <w:t>intellectus adeptus perficit intellectum materialem dando ei esse in effectu</w:t>
      </w:r>
      <w:r w:rsidRPr="00273106">
        <w:rPr>
          <w:rStyle w:val="Zkladntextdkovn0pt"/>
          <w:rFonts w:ascii="Calibri" w:eastAsia="Times" w:hAnsi="Calibri" w:cs="Times New Roman"/>
          <w:noProof/>
          <w:spacing w:val="0"/>
          <w:sz w:val="22"/>
          <w:u w:val="none"/>
          <w:lang w:val="cs-CZ"/>
        </w:rPr>
        <w:t>). Tím duše získává druhou formu dokonalosti směrem od darovaného intelektu.“</w:t>
      </w:r>
      <w:r w:rsidRPr="080D0CFD">
        <w:rPr>
          <w:rStyle w:val="Znakapoznpodarou"/>
          <w:noProof/>
          <w:lang w:val="cs-CZ"/>
        </w:rPr>
        <w:t xml:space="preserve"> </w:t>
      </w:r>
      <w:r w:rsidRPr="00273106">
        <w:rPr>
          <w:rStyle w:val="Znakapoznpodarou"/>
          <w:noProof/>
          <w:lang w:val="cs-CZ"/>
        </w:rPr>
        <w:footnoteReference w:id="90"/>
      </w:r>
    </w:p>
    <w:p w14:paraId="5B9DD6CF" w14:textId="52B1ACCC" w:rsidR="00E44751" w:rsidRDefault="007068A6" w:rsidP="00F81EC6">
      <w:r w:rsidRPr="00273106">
        <w:t>Klíčové je n</w:t>
      </w:r>
      <w:r w:rsidR="009B419F" w:rsidRPr="00273106">
        <w:t>e</w:t>
      </w:r>
      <w:r w:rsidRPr="00273106">
        <w:t>n</w:t>
      </w:r>
      <w:r w:rsidR="089E479D">
        <w:t xml:space="preserve">ápadné slůvko </w:t>
      </w:r>
      <w:r w:rsidR="009B419F" w:rsidRPr="00273106">
        <w:rPr>
          <w:i/>
        </w:rPr>
        <w:t>ille</w:t>
      </w:r>
      <w:r w:rsidR="009B419F" w:rsidRPr="00273106">
        <w:t xml:space="preserve">, které mění status Avicennova darovaného intelektu na nově definovaný </w:t>
      </w:r>
      <w:r w:rsidR="009B419F" w:rsidRPr="00273106">
        <w:rPr>
          <w:i/>
        </w:rPr>
        <w:t>intellectus formalis</w:t>
      </w:r>
      <w:r w:rsidR="009377CE" w:rsidRPr="00273106">
        <w:t xml:space="preserve"> </w:t>
      </w:r>
      <w:r w:rsidR="085E0F6E">
        <w:t xml:space="preserve">podle Al-Fárábího schématu poznání </w:t>
      </w:r>
      <w:r w:rsidR="009377CE" w:rsidRPr="00273106">
        <w:t>(</w:t>
      </w:r>
      <w:r w:rsidR="009377CE" w:rsidRPr="00273106">
        <w:rPr>
          <w:i/>
        </w:rPr>
        <w:t>ille intellectus adeptus dicitur esse 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09377CE" w:rsidRPr="00273106">
        <w:t>)</w:t>
      </w:r>
      <w:r w:rsidR="00A43974" w:rsidRPr="00273106">
        <w:t xml:space="preserve">. </w:t>
      </w:r>
      <w:r w:rsidR="008C2472">
        <w:t xml:space="preserve">Darovaný </w:t>
      </w:r>
      <w:r w:rsidR="00D53683">
        <w:t>intelekt už není avicennovský</w:t>
      </w:r>
      <w:r w:rsidR="088A3035">
        <w:t xml:space="preserve">, protože funguje jako </w:t>
      </w:r>
      <w:r w:rsidR="084E475E">
        <w:t xml:space="preserve">Alfarabiovo inteligibilní </w:t>
      </w:r>
      <w:r w:rsidR="088A3035">
        <w:t>diafanum. Forma</w:t>
      </w:r>
      <w:r w:rsidR="00624514">
        <w:t xml:space="preserve"> </w:t>
      </w:r>
      <w:r w:rsidR="00E74417">
        <w:t xml:space="preserve">aktuálně </w:t>
      </w:r>
      <w:r w:rsidR="088A3035">
        <w:t>daná</w:t>
      </w:r>
      <w:r w:rsidR="00624514">
        <w:t xml:space="preserve"> ve vnější materiální věci </w:t>
      </w:r>
      <w:r w:rsidR="088A3035">
        <w:t xml:space="preserve">je mediatizována do poznání </w:t>
      </w:r>
      <w:r w:rsidR="084A7233">
        <w:t>skrze abstrakci smyslové představy, která je přijata</w:t>
      </w:r>
      <w:r w:rsidR="00E74417">
        <w:t xml:space="preserve"> </w:t>
      </w:r>
      <w:r w:rsidR="00624514">
        <w:t>do nemateriálního intelektu</w:t>
      </w:r>
      <w:r w:rsidR="00D53683">
        <w:t xml:space="preserve">. </w:t>
      </w:r>
      <w:r w:rsidR="00271881">
        <w:t xml:space="preserve">Avicenna nemá ve schématu intelektuálního poznání mediaci, ale pouze iluminaci. </w:t>
      </w:r>
      <w:r w:rsidR="089E479D">
        <w:t>I když nové dělení se odvolává na Avicennovo schéma (</w:t>
      </w:r>
      <w:r w:rsidR="089E479D" w:rsidRPr="080D0CFD">
        <w:rPr>
          <w:i/>
        </w:rPr>
        <w:t>distinguitur autem intellectus ab Avicenna quattuor modis</w:t>
      </w:r>
      <w:r w:rsidR="089E479D" w:rsidRPr="080D0CFD">
        <w:t xml:space="preserve">, ibid, p. </w:t>
      </w:r>
      <w:r w:rsidR="089E479D">
        <w:t>92.23</w:t>
      </w:r>
      <w:r w:rsidR="089E479D">
        <w:fldChar w:fldCharType="begin"/>
      </w:r>
      <w:r w:rsidR="089E479D">
        <w:instrText xml:space="preserve"> XE "Blund:</w:instrText>
      </w:r>
      <w:r w:rsidR="089E479D" w:rsidRPr="007B4D8C">
        <w:rPr>
          <w:i/>
        </w:rPr>
        <w:instrText>Tractatus de anima</w:instrText>
      </w:r>
      <w:r w:rsidR="089E479D">
        <w:rPr>
          <w:i/>
        </w:rPr>
        <w:instrText xml:space="preserve"> </w:instrText>
      </w:r>
      <w:r w:rsidR="089E479D">
        <w:instrText xml:space="preserve">92.23" </w:instrText>
      </w:r>
      <w:r w:rsidR="089E479D">
        <w:fldChar w:fldCharType="end"/>
      </w:r>
      <w:r w:rsidR="089E479D">
        <w:t>), celý postup je již plně aristotelský a je postaven</w:t>
      </w:r>
      <w:r w:rsidR="08295C12">
        <w:t>ý mimo sebereflexivní gradualitu</w:t>
      </w:r>
      <w:r w:rsidR="089E479D">
        <w:t xml:space="preserve"> iluminace u Avicenny. </w:t>
      </w:r>
      <w:r w:rsidR="08756B86">
        <w:t xml:space="preserve">Zavedení </w:t>
      </w:r>
      <w:r w:rsidR="002949ED">
        <w:t xml:space="preserve">diafanum a zhasnutí avicennovského </w:t>
      </w:r>
      <w:r w:rsidR="002949ED" w:rsidRPr="002949ED">
        <w:rPr>
          <w:i/>
        </w:rPr>
        <w:t>intellectus adeptus</w:t>
      </w:r>
      <w:r w:rsidR="002949ED">
        <w:t xml:space="preserve"> z</w:t>
      </w:r>
      <w:r w:rsidR="00D53683">
        <w:t>rušil</w:t>
      </w:r>
      <w:r w:rsidR="08295C12">
        <w:t>y</w:t>
      </w:r>
      <w:r w:rsidR="00D53683">
        <w:t xml:space="preserve"> darovaný intelekt </w:t>
      </w:r>
      <w:r w:rsidR="08756B86">
        <w:t xml:space="preserve">iluminátů </w:t>
      </w:r>
      <w:r w:rsidR="00D53683">
        <w:t>a převedl</w:t>
      </w:r>
      <w:r w:rsidR="08295C12">
        <w:t>y</w:t>
      </w:r>
      <w:r w:rsidR="00D53683">
        <w:t xml:space="preserve"> jej na </w:t>
      </w:r>
      <w:r w:rsidR="08A5152C">
        <w:t xml:space="preserve">aristotelský </w:t>
      </w:r>
      <w:r w:rsidR="00D53683">
        <w:t>formální intelekt</w:t>
      </w:r>
      <w:r w:rsidR="083C51FF">
        <w:t xml:space="preserve"> Al-Fárábího</w:t>
      </w:r>
      <w:r w:rsidR="00D53683">
        <w:t xml:space="preserve">. </w:t>
      </w:r>
      <w:r w:rsidR="00D11D20">
        <w:t xml:space="preserve">Formálně-receptivní intelekt </w:t>
      </w:r>
      <w:r w:rsidR="008C2472">
        <w:t xml:space="preserve">definuje </w:t>
      </w:r>
      <w:r w:rsidR="00D11D20">
        <w:t xml:space="preserve">poznání skrze </w:t>
      </w:r>
      <w:r w:rsidR="008C2472">
        <w:t>nasvícení zepředu</w:t>
      </w:r>
      <w:r w:rsidR="086E1196">
        <w:t xml:space="preserve"> </w:t>
      </w:r>
      <w:r w:rsidR="00E42561">
        <w:t xml:space="preserve">podle reálného průběhu poznání v </w:t>
      </w:r>
      <w:r w:rsidR="00E42561" w:rsidRPr="00E42561">
        <w:rPr>
          <w:i/>
        </w:rPr>
        <w:t>De anima</w:t>
      </w:r>
      <w:r w:rsidR="08B40F58">
        <w:t>. Druhá kniha</w:t>
      </w:r>
      <w:r w:rsidR="086E1196">
        <w:t xml:space="preserve"> řeší smyslové poznání zvířat</w:t>
      </w:r>
      <w:r w:rsidR="08B40F58">
        <w:t xml:space="preserve"> i lidí</w:t>
      </w:r>
      <w:r w:rsidR="086E1196">
        <w:t xml:space="preserve"> a až třetí kni</w:t>
      </w:r>
      <w:r w:rsidR="08B40F58">
        <w:t xml:space="preserve">ha </w:t>
      </w:r>
      <w:r w:rsidR="086E1196">
        <w:t xml:space="preserve">podává intelektuální schéma lidského poznání. </w:t>
      </w:r>
      <w:r w:rsidR="08511AB4" w:rsidRPr="00273106">
        <w:t>Poznávaný předmět daný smyslově determinuje rozumové poznání.</w:t>
      </w:r>
      <w:r w:rsidR="08511AB4">
        <w:t xml:space="preserve"> </w:t>
      </w:r>
      <w:r w:rsidR="009377CE" w:rsidRPr="00273106">
        <w:t xml:space="preserve">Proto </w:t>
      </w:r>
      <w:r w:rsidRPr="00273106">
        <w:t xml:space="preserve">není </w:t>
      </w:r>
      <w:r w:rsidR="009377CE" w:rsidRPr="00273106">
        <w:t>schéma poznání definováno</w:t>
      </w:r>
      <w:r w:rsidRPr="00273106">
        <w:t xml:space="preserve"> </w:t>
      </w:r>
      <w:r w:rsidR="00A43974" w:rsidRPr="00273106">
        <w:t>nasvícením od o</w:t>
      </w:r>
      <w:r w:rsidR="009377CE" w:rsidRPr="00273106">
        <w:t>ddělenéh</w:t>
      </w:r>
      <w:r w:rsidR="00A43974" w:rsidRPr="00273106">
        <w:t xml:space="preserve">o </w:t>
      </w:r>
      <w:r w:rsidR="00A43974" w:rsidRPr="00273106">
        <w:rPr>
          <w:i/>
        </w:rPr>
        <w:t>intellectus agens</w:t>
      </w:r>
      <w:r w:rsidR="00A43974" w:rsidRPr="00273106">
        <w:t xml:space="preserve">, ale naopak od správně pochopeného procesu abstrakce podle </w:t>
      </w:r>
      <w:r w:rsidRPr="00273106">
        <w:t>Aristotel</w:t>
      </w:r>
      <w:r w:rsidR="08511AB4">
        <w:t>a</w:t>
      </w:r>
      <w:r w:rsidR="080E7846">
        <w:t>, tedy přechodem od druhé ke třetí knize</w:t>
      </w:r>
      <w:r w:rsidR="08FB57CC">
        <w:t xml:space="preserve"> </w:t>
      </w:r>
      <w:r w:rsidR="08FB57CC" w:rsidRPr="08FB57CC">
        <w:rPr>
          <w:i/>
        </w:rPr>
        <w:t>De anima</w:t>
      </w:r>
      <w:r w:rsidR="0045423D">
        <w:fldChar w:fldCharType="begin"/>
      </w:r>
      <w:r w:rsidR="0045423D">
        <w:instrText xml:space="preserve"> XE "abstrakce:Blund" </w:instrText>
      </w:r>
      <w:r w:rsidR="0045423D">
        <w:fldChar w:fldCharType="end"/>
      </w:r>
      <w:r w:rsidR="009F082A">
        <w:t xml:space="preserve">. </w:t>
      </w:r>
      <w:r w:rsidR="006E11B8">
        <w:t xml:space="preserve">Tím padla iluminace </w:t>
      </w:r>
      <w:r w:rsidR="00462FB6" w:rsidRPr="00273106">
        <w:t>intelektu od odděle</w:t>
      </w:r>
      <w:r w:rsidR="006E11B8">
        <w:t>né, subsistentní a věčné formy na</w:t>
      </w:r>
      <w:r w:rsidR="00462FB6" w:rsidRPr="00273106">
        <w:t xml:space="preserve">svěcující lidský intelekt zezadu. </w:t>
      </w:r>
      <w:r w:rsidR="009F082A">
        <w:t xml:space="preserve">Diafanum a možný intelekt znovu dostávají základní místo ve schématu poznání. </w:t>
      </w:r>
      <w:r w:rsidR="00A67C69" w:rsidRPr="00273106">
        <w:t>Intelekt se stává čistě individuální schopností duše, protože forma přichází do poznávajícího intelektu od aktuálně existující hylemorfické věci a</w:t>
      </w:r>
      <w:r w:rsidR="00022A68">
        <w:t xml:space="preserve"> ne od </w:t>
      </w:r>
      <w:r w:rsidR="00BC71BF">
        <w:t xml:space="preserve">mytologického </w:t>
      </w:r>
      <w:r w:rsidR="00022A68">
        <w:t>světa neoplato</w:t>
      </w:r>
      <w:r w:rsidR="00A67C69" w:rsidRPr="00273106">
        <w:t xml:space="preserve">nských forem. </w:t>
      </w:r>
      <w:r w:rsidR="00430391" w:rsidRPr="00273106">
        <w:t xml:space="preserve">Integrace aktivního intelektu do </w:t>
      </w:r>
      <w:r w:rsidR="008C1678">
        <w:t xml:space="preserve">personálního </w:t>
      </w:r>
      <w:r w:rsidR="00430391" w:rsidRPr="00273106">
        <w:t>průběhu poznání zakládá pouze dvě formy intelektu: receptivní (</w:t>
      </w:r>
      <w:r w:rsidR="00430391" w:rsidRPr="00273106">
        <w:rPr>
          <w:i/>
        </w:rPr>
        <w:t xml:space="preserve">intellectus </w:t>
      </w:r>
      <w:r w:rsidR="00430391" w:rsidRPr="00273106">
        <w:rPr>
          <w:i/>
        </w:rPr>
        <w:lastRenderedPageBreak/>
        <w:t>materialis</w:t>
      </w:r>
      <w:r w:rsidR="006D2B5F">
        <w:rPr>
          <w:i/>
        </w:rPr>
        <w:fldChar w:fldCharType="begin"/>
      </w:r>
      <w:r w:rsidR="006D2B5F">
        <w:instrText xml:space="preserve"> XE "</w:instrText>
      </w:r>
      <w:r w:rsidR="006D2B5F" w:rsidRPr="00BE489A">
        <w:rPr>
          <w:i/>
        </w:rPr>
        <w:instrText>intellectus materialis</w:instrText>
      </w:r>
      <w:r w:rsidR="006D2B5F" w:rsidRPr="0045423D">
        <w:instrText>:</w:instrText>
      </w:r>
      <w:r w:rsidR="0045423D" w:rsidRPr="0045423D">
        <w:instrText>Blund</w:instrText>
      </w:r>
      <w:r w:rsidR="006D2B5F">
        <w:instrText xml:space="preserve">" </w:instrText>
      </w:r>
      <w:r w:rsidR="006D2B5F">
        <w:rPr>
          <w:i/>
        </w:rPr>
        <w:fldChar w:fldCharType="end"/>
      </w:r>
      <w:r w:rsidR="00430391" w:rsidRPr="00273106">
        <w:t xml:space="preserve">, </w:t>
      </w:r>
      <w:r w:rsidR="00430391" w:rsidRPr="00273106">
        <w:rPr>
          <w:i/>
        </w:rPr>
        <w:t>in potentia</w:t>
      </w:r>
      <w:r w:rsidR="00430391" w:rsidRPr="00273106">
        <w:t>) a formující (</w:t>
      </w:r>
      <w:r w:rsidR="00430391"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0430391" w:rsidRPr="00273106">
        <w:t xml:space="preserve">, </w:t>
      </w:r>
      <w:r w:rsidR="00430391" w:rsidRPr="00273106">
        <w:rPr>
          <w:i/>
        </w:rPr>
        <w:t>agens</w:t>
      </w:r>
      <w:r w:rsidR="00430391" w:rsidRPr="00273106">
        <w:t xml:space="preserve">). </w:t>
      </w:r>
      <w:r w:rsidR="0804553C">
        <w:t xml:space="preserve">Klasické názvy pro čtyři avicennovské formy intelektu zůstaly, ale schéma se zásadně změnilo. </w:t>
      </w:r>
      <w:r w:rsidR="0097218B" w:rsidRPr="00273106">
        <w:t xml:space="preserve">Blund jako první západní aristotelik 13. století </w:t>
      </w:r>
      <w:r w:rsidR="003B1CF8">
        <w:t xml:space="preserve">otočil donaci smyslu jsoucna z říše filosofických pohádek </w:t>
      </w:r>
      <w:r w:rsidR="0097218B" w:rsidRPr="00273106">
        <w:t xml:space="preserve">zpět do reálu. Tím končí </w:t>
      </w:r>
      <w:r w:rsidR="0097218B">
        <w:t xml:space="preserve">neomezená vláda </w:t>
      </w:r>
      <w:r w:rsidR="0097218B" w:rsidRPr="00273106">
        <w:t xml:space="preserve">neoplatonismu poznamenaná </w:t>
      </w:r>
      <w:r w:rsidR="0097218B">
        <w:t>metaforou</w:t>
      </w:r>
      <w:r w:rsidR="0097218B" w:rsidRPr="00273106">
        <w:t xml:space="preserve"> intelektu jako slunce ozařujícího duši</w:t>
      </w:r>
      <w:r w:rsidR="0097218B">
        <w:fldChar w:fldCharType="begin"/>
      </w:r>
      <w:r w:rsidR="0097218B">
        <w:instrText xml:space="preserve"> XE "</w:instrText>
      </w:r>
      <w:r w:rsidR="0097218B" w:rsidRPr="00C54C77">
        <w:instrText>intelekt-slunce</w:instrText>
      </w:r>
      <w:r w:rsidR="0097218B">
        <w:instrText xml:space="preserve">" </w:instrText>
      </w:r>
      <w:r w:rsidR="0097218B">
        <w:fldChar w:fldCharType="end"/>
      </w:r>
      <w:r w:rsidR="00E44751">
        <w:t>.</w:t>
      </w:r>
      <w:r w:rsidR="00DE0AAC">
        <w:t xml:space="preserve"> </w:t>
      </w:r>
      <w:r w:rsidR="00B920B8">
        <w:t>Moderní p</w:t>
      </w:r>
      <w:r w:rsidR="00DE0AAC">
        <w:t xml:space="preserve">oznání </w:t>
      </w:r>
      <w:r w:rsidR="00E02DEA">
        <w:t xml:space="preserve">se rozbíhá </w:t>
      </w:r>
      <w:r w:rsidR="00DE0AAC">
        <w:t xml:space="preserve">od oddělené kosmické formy dané jako neoplatonský </w:t>
      </w:r>
      <w:r w:rsidR="00DE0AAC" w:rsidRPr="08924F7D">
        <w:rPr>
          <w:i/>
        </w:rPr>
        <w:t>intellectus agens</w:t>
      </w:r>
      <w:r w:rsidR="00DE0AAC">
        <w:t xml:space="preserve"> či Avicennův </w:t>
      </w:r>
      <w:r w:rsidR="00DE0AAC" w:rsidRPr="083B0BBE">
        <w:rPr>
          <w:i/>
        </w:rPr>
        <w:t>Dator formarum</w:t>
      </w:r>
      <w:r w:rsidR="00DE0AAC">
        <w:rPr>
          <w:i/>
        </w:rPr>
        <w:fldChar w:fldCharType="begin"/>
      </w:r>
      <w:r w:rsidR="00DE0AAC">
        <w:instrText xml:space="preserve"> XE "</w:instrText>
      </w:r>
      <w:r w:rsidR="00DE0AAC" w:rsidRPr="08AF25F0">
        <w:rPr>
          <w:i/>
        </w:rPr>
        <w:instrText>Dator formarum</w:instrText>
      </w:r>
      <w:r w:rsidR="00DE0AAC">
        <w:instrText xml:space="preserve">" </w:instrText>
      </w:r>
      <w:r w:rsidR="00DE0AAC">
        <w:rPr>
          <w:i/>
        </w:rPr>
        <w:fldChar w:fldCharType="end"/>
      </w:r>
      <w:r w:rsidR="00DE0AAC">
        <w:t xml:space="preserve">. </w:t>
      </w:r>
      <w:r w:rsidR="00FE6AC0" w:rsidRPr="00273106">
        <w:t xml:space="preserve">Epochálně nový druh </w:t>
      </w:r>
      <w:r w:rsidR="00FE6AC0">
        <w:t xml:space="preserve">syntetizujícího intelektu se stal </w:t>
      </w:r>
      <w:r w:rsidR="00FE6AC0" w:rsidRPr="00273106">
        <w:t>darovaným</w:t>
      </w:r>
      <w:r w:rsidR="00FE6AC0">
        <w:t xml:space="preserve"> poznáním</w:t>
      </w:r>
      <w:r w:rsidR="00FE6AC0" w:rsidRPr="00273106">
        <w:t xml:space="preserve"> </w:t>
      </w:r>
      <w:r w:rsidR="00FE6AC0">
        <w:t xml:space="preserve">aristoteliků od první substance </w:t>
      </w:r>
      <w:r w:rsidR="00FE6AC0" w:rsidRPr="00273106">
        <w:t>(</w:t>
      </w:r>
      <w:r w:rsidR="00FE6AC0" w:rsidRPr="00FD488F">
        <w:rPr>
          <w:i/>
          <w:lang w:eastAsia="x-none"/>
        </w:rPr>
        <w:t>intellectu</w:t>
      </w:r>
      <w:r w:rsidR="00FE6AC0">
        <w:rPr>
          <w:i/>
          <w:lang w:eastAsia="x-none"/>
        </w:rPr>
        <w:t>s formalis</w:t>
      </w:r>
      <w:r w:rsidR="00FE6AC0" w:rsidRPr="00273106">
        <w:t>)</w:t>
      </w:r>
      <w:r w:rsidR="00FE6AC0">
        <w:t xml:space="preserve">, a ne darovaným intelektem iluminátů </w:t>
      </w:r>
      <w:r w:rsidR="00FE6AC0" w:rsidRPr="00273106">
        <w:t>(</w:t>
      </w:r>
      <w:r w:rsidR="00FE6AC0">
        <w:rPr>
          <w:i/>
        </w:rPr>
        <w:t>intellectus adeptus</w:t>
      </w:r>
      <w:r w:rsidR="00FE6AC0" w:rsidRPr="00273106">
        <w:t>)</w:t>
      </w:r>
      <w:r w:rsidR="00FE6AC0">
        <w:t>.</w:t>
      </w:r>
    </w:p>
    <w:p w14:paraId="76DF86DF" w14:textId="43EF0C16" w:rsidR="002E3B62" w:rsidRPr="088A3035" w:rsidRDefault="00022A68" w:rsidP="00CE18FF">
      <w:pPr>
        <w:ind w:firstLine="397"/>
      </w:pPr>
      <w:r>
        <w:t xml:space="preserve">Poznání </w:t>
      </w:r>
      <w:r w:rsidR="00E02DEA">
        <w:t xml:space="preserve">v Blundově škole </w:t>
      </w:r>
      <w:r>
        <w:t>je darem ve smyslu ak</w:t>
      </w:r>
      <w:r w:rsidR="00656008">
        <w:t>cidentu, který intelektu připad</w:t>
      </w:r>
      <w:r>
        <w:t>n</w:t>
      </w:r>
      <w:r w:rsidR="00656008">
        <w:t>e</w:t>
      </w:r>
      <w:r>
        <w:t xml:space="preserve"> v procesu abstrakce od reálné věci, stejně jak</w:t>
      </w:r>
      <w:r w:rsidR="00656008">
        <w:t xml:space="preserve">o barva připadne </w:t>
      </w:r>
      <w:r w:rsidR="08CD3326">
        <w:t xml:space="preserve">reálné </w:t>
      </w:r>
      <w:r w:rsidR="00656008">
        <w:t>věci po mediaci</w:t>
      </w:r>
      <w:r>
        <w:t xml:space="preserve"> světla skrze diafanum. </w:t>
      </w:r>
      <w:r w:rsidR="08CD3326">
        <w:t xml:space="preserve">Věc nejprve aktuálně existuje jako první substance a pak je nasvícena; osoba nejprve existuje a pak poznává. </w:t>
      </w:r>
      <w:r w:rsidR="08F3284D">
        <w:t xml:space="preserve">Aktualita čili donace formy jde </w:t>
      </w:r>
      <w:r w:rsidR="08F3284D" w:rsidRPr="00273106">
        <w:t>směrem od existující věci</w:t>
      </w:r>
      <w:r w:rsidR="08F3284D">
        <w:t xml:space="preserve"> přes smysly k intelektu syntetizujícímu tyto aktuální nemateriální formy</w:t>
      </w:r>
      <w:r w:rsidR="08F3284D" w:rsidRPr="00273106">
        <w:t xml:space="preserve">. </w:t>
      </w:r>
      <w:r w:rsidR="08F3284D">
        <w:t>Ve schématu CM</w:t>
      </w:r>
      <w:r w:rsidR="001946A0">
        <w:t xml:space="preserve">DA odpovídá tomuto završenému poznatku </w:t>
      </w:r>
      <w:r w:rsidR="009B48E8">
        <w:t xml:space="preserve">výsledná </w:t>
      </w:r>
      <w:r w:rsidR="001946A0">
        <w:t xml:space="preserve">syntéza na úrovni </w:t>
      </w:r>
      <w:r w:rsidR="08F3284D" w:rsidRPr="00267C0A">
        <w:rPr>
          <w:i/>
        </w:rPr>
        <w:t>intellectus speculativus</w:t>
      </w:r>
      <w:r w:rsidR="08F3284D">
        <w:rPr>
          <w:i/>
        </w:rPr>
        <w:fldChar w:fldCharType="begin"/>
      </w:r>
      <w:r w:rsidR="08F3284D">
        <w:instrText xml:space="preserve"> XE "</w:instrText>
      </w:r>
      <w:r w:rsidR="08F3284D">
        <w:rPr>
          <w:i/>
        </w:rPr>
        <w:instrText>intellectus speculativus</w:instrText>
      </w:r>
      <w:r w:rsidR="08F3284D">
        <w:instrText xml:space="preserve">" </w:instrText>
      </w:r>
      <w:r w:rsidR="08F3284D">
        <w:rPr>
          <w:i/>
        </w:rPr>
        <w:fldChar w:fldCharType="end"/>
      </w:r>
      <w:r w:rsidR="08F3284D">
        <w:t xml:space="preserve"> (</w:t>
      </w:r>
      <w:r w:rsidR="08F85B65">
        <w:t xml:space="preserve">OBJ I, </w:t>
      </w:r>
      <w:r w:rsidR="08F3284D">
        <w:t xml:space="preserve">kap. 2.4.3). </w:t>
      </w:r>
      <w:r w:rsidR="08D5600B">
        <w:t xml:space="preserve">Formální </w:t>
      </w:r>
      <w:r>
        <w:t xml:space="preserve">intelekt se stává </w:t>
      </w:r>
      <w:r w:rsidR="008656C3">
        <w:t>v procesu do</w:t>
      </w:r>
      <w:r>
        <w:t>n</w:t>
      </w:r>
      <w:r w:rsidR="008656C3">
        <w:t>a</w:t>
      </w:r>
      <w:r>
        <w:t>ce form</w:t>
      </w:r>
      <w:r w:rsidR="008656C3">
        <w:t>y</w:t>
      </w:r>
      <w:r>
        <w:t xml:space="preserve"> </w:t>
      </w:r>
      <w:r w:rsidR="08453199">
        <w:t xml:space="preserve">nově pojatým </w:t>
      </w:r>
      <w:r w:rsidRPr="00022A68">
        <w:rPr>
          <w:i/>
        </w:rPr>
        <w:t>intellectus</w:t>
      </w:r>
      <w:r>
        <w:t xml:space="preserve"> </w:t>
      </w:r>
      <w:r w:rsidRPr="00022A68">
        <w:rPr>
          <w:i/>
        </w:rPr>
        <w:t>agens</w:t>
      </w:r>
      <w:r w:rsidR="08453199">
        <w:t xml:space="preserve">. Intelekt </w:t>
      </w:r>
      <w:r w:rsidR="086418E5">
        <w:t xml:space="preserve">v </w:t>
      </w:r>
      <w:r w:rsidR="008656C3">
        <w:t xml:space="preserve">procesu mediace </w:t>
      </w:r>
      <w:r w:rsidR="00430391" w:rsidRPr="00273106">
        <w:t xml:space="preserve">přijímá poznanou formu vytvořenou </w:t>
      </w:r>
      <w:r w:rsidR="008656C3">
        <w:t>skrze abstrakci</w:t>
      </w:r>
      <w:r w:rsidR="00430391" w:rsidRPr="00273106">
        <w:t xml:space="preserve"> (</w:t>
      </w:r>
      <w:r w:rsidR="00430391" w:rsidRPr="00273106">
        <w:rPr>
          <w:i/>
        </w:rPr>
        <w:t>rem intellectam</w:t>
      </w:r>
      <w:r w:rsidR="008656C3">
        <w:t>)</w:t>
      </w:r>
      <w:r w:rsidR="00656008">
        <w:t xml:space="preserve"> a provádí jej</w:t>
      </w:r>
      <w:r w:rsidR="00340201">
        <w:t>í syntézu do intel</w:t>
      </w:r>
      <w:r w:rsidR="00656008">
        <w:t>igibilní formy</w:t>
      </w:r>
      <w:r w:rsidR="08453199">
        <w:t xml:space="preserve"> dané opět aktuálně, ale již nemateriálně</w:t>
      </w:r>
      <w:r w:rsidR="008656C3">
        <w:t xml:space="preserve">. </w:t>
      </w:r>
      <w:r w:rsidR="00440178" w:rsidRPr="00273106">
        <w:t>Formální intelekt (</w:t>
      </w:r>
      <w:r w:rsidR="00440178" w:rsidRPr="00273106">
        <w:rPr>
          <w:i/>
        </w:rPr>
        <w:t>intellectus in effectu</w:t>
      </w:r>
      <w:r w:rsidR="00440178" w:rsidRPr="00273106">
        <w:t xml:space="preserve">) je odpovědný za aktualizaci poznané formy v duši. </w:t>
      </w:r>
      <w:r w:rsidR="006A6576" w:rsidRPr="00273106">
        <w:t xml:space="preserve">Věc </w:t>
      </w:r>
      <w:r w:rsidR="00965AE3">
        <w:t xml:space="preserve">aktualizuje </w:t>
      </w:r>
      <w:r w:rsidR="00284410" w:rsidRPr="00273106">
        <w:t>inte</w:t>
      </w:r>
      <w:r w:rsidR="005D7A88" w:rsidRPr="00273106">
        <w:t>l</w:t>
      </w:r>
      <w:r w:rsidR="00284410" w:rsidRPr="00273106">
        <w:t>e</w:t>
      </w:r>
      <w:r w:rsidR="005D7A88" w:rsidRPr="00273106">
        <w:t>k</w:t>
      </w:r>
      <w:r w:rsidR="00284410" w:rsidRPr="00273106">
        <w:t>t</w:t>
      </w:r>
      <w:r w:rsidR="005D7A88" w:rsidRPr="00273106">
        <w:t xml:space="preserve"> tím, že vůbec existuje</w:t>
      </w:r>
      <w:r w:rsidR="006A6576" w:rsidRPr="00273106">
        <w:t>, proto může být poznána</w:t>
      </w:r>
      <w:r w:rsidR="005D7A88" w:rsidRPr="00273106">
        <w:t xml:space="preserve">. </w:t>
      </w:r>
      <w:r w:rsidR="00793C6F" w:rsidRPr="00273106">
        <w:t>Blundem zavedený pojem abstrakce</w:t>
      </w:r>
      <w:r w:rsidR="009B48E8">
        <w:t xml:space="preserve"> jde </w:t>
      </w:r>
      <w:r w:rsidR="00793C6F" w:rsidRPr="00273106">
        <w:t xml:space="preserve">od intelektem recipované formy </w:t>
      </w:r>
      <w:r w:rsidR="00793C6F">
        <w:t xml:space="preserve">aktualizované skrze </w:t>
      </w:r>
      <w:r w:rsidR="0042690D">
        <w:t xml:space="preserve">smyslově poznanou </w:t>
      </w:r>
      <w:r w:rsidR="00793C6F" w:rsidRPr="00273106">
        <w:t>první sub</w:t>
      </w:r>
      <w:r w:rsidR="00EE5106">
        <w:t>stanci</w:t>
      </w:r>
      <w:r w:rsidR="009B48E8">
        <w:t xml:space="preserve">. </w:t>
      </w:r>
      <w:r w:rsidR="009B48E8" w:rsidRPr="009B48E8">
        <w:t xml:space="preserve">V důsledku toho se povaha intelektu změnila na </w:t>
      </w:r>
      <w:r w:rsidR="009B48E8">
        <w:t xml:space="preserve">nově určený </w:t>
      </w:r>
      <w:r w:rsidR="009B48E8" w:rsidRPr="009B48E8">
        <w:t xml:space="preserve">status </w:t>
      </w:r>
      <w:r w:rsidR="009B48E8">
        <w:t xml:space="preserve">darovaného </w:t>
      </w:r>
      <w:r w:rsidR="009B48E8" w:rsidRPr="009B48E8">
        <w:t>intelektu (</w:t>
      </w:r>
      <w:r w:rsidR="009B48E8" w:rsidRPr="009B48E8">
        <w:rPr>
          <w:i/>
        </w:rPr>
        <w:t>intellectus adeptus</w:t>
      </w:r>
      <w:r w:rsidR="009B48E8" w:rsidRPr="009B48E8">
        <w:t>).</w:t>
      </w:r>
      <w:r w:rsidR="009B48E8">
        <w:t xml:space="preserve"> </w:t>
      </w:r>
      <w:r w:rsidR="08B636F7">
        <w:t xml:space="preserve">Tento intelekt byl </w:t>
      </w:r>
      <w:r w:rsidR="00103A23">
        <w:t xml:space="preserve">předtím </w:t>
      </w:r>
      <w:r w:rsidR="003D314B">
        <w:t>nasvícen od o</w:t>
      </w:r>
      <w:r w:rsidR="0042690D">
        <w:t>d</w:t>
      </w:r>
      <w:r w:rsidR="003D314B">
        <w:t>dělené kosmické inteligibilní formy</w:t>
      </w:r>
      <w:r w:rsidR="00340201">
        <w:t xml:space="preserve"> (</w:t>
      </w:r>
      <w:r w:rsidR="00340201" w:rsidRPr="00340201">
        <w:rPr>
          <w:i/>
        </w:rPr>
        <w:t>intellectus agens</w:t>
      </w:r>
      <w:r w:rsidR="00340201">
        <w:t>)</w:t>
      </w:r>
      <w:r w:rsidR="00793C6F" w:rsidRPr="00273106">
        <w:t xml:space="preserve">. </w:t>
      </w:r>
      <w:r w:rsidR="00535053">
        <w:t>Nyní platí, že a</w:t>
      </w:r>
      <w:r w:rsidR="002A6228" w:rsidRPr="00273106">
        <w:t>ktualita poznání v člověku jde od hyleformické věci, a ne od odděleného aktivního intelektu, který je napojený na svět kosmických inteligibilních forem.</w:t>
      </w:r>
      <w:r w:rsidR="002A6228">
        <w:t xml:space="preserve"> </w:t>
      </w:r>
      <w:r w:rsidR="008C26AB">
        <w:t xml:space="preserve">Darovaný </w:t>
      </w:r>
      <w:r w:rsidR="00793C6F" w:rsidRPr="00273106">
        <w:t xml:space="preserve">intelekt </w:t>
      </w:r>
      <w:r w:rsidR="008C26AB">
        <w:t xml:space="preserve">daný konjukcí odděleného činného intelektu kosmických sfér </w:t>
      </w:r>
      <w:r w:rsidR="00793C6F" w:rsidRPr="00273106">
        <w:t>se stal v novém schématu zbytečným</w:t>
      </w:r>
      <w:r w:rsidR="00CE18FF">
        <w:t>. Ale Blund musel podržet základní funkci poznávací intelektu danou u Alfárábího, což je aktualizace materiálního intelektu od smyslových představ (</w:t>
      </w:r>
      <w:r w:rsidR="00CE18FF" w:rsidRPr="008C26AB">
        <w:rPr>
          <w:i/>
        </w:rPr>
        <w:t>intellectus in effectu</w:t>
      </w:r>
      <w:r w:rsidR="00CE18FF">
        <w:t xml:space="preserve">). </w:t>
      </w:r>
      <w:r w:rsidR="008C26AB">
        <w:t>Proto byl</w:t>
      </w:r>
      <w:r w:rsidR="00CE18FF">
        <w:t xml:space="preserve">a neoplatonská a avicennistická kombinace materiálního a darovaného intelektu </w:t>
      </w:r>
      <w:r w:rsidR="00793C6F" w:rsidRPr="00273106">
        <w:t>nahrazen</w:t>
      </w:r>
      <w:r w:rsidR="00CE18FF">
        <w:t>a</w:t>
      </w:r>
      <w:r w:rsidR="00793C6F" w:rsidRPr="00273106">
        <w:t xml:space="preserve"> </w:t>
      </w:r>
      <w:r w:rsidR="00793C6F" w:rsidRPr="00273106">
        <w:lastRenderedPageBreak/>
        <w:t>formálně poznávajícím intelektem (</w:t>
      </w:r>
      <w:r w:rsidR="00793C6F"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0793C6F" w:rsidRPr="00273106">
        <w:t xml:space="preserve">). </w:t>
      </w:r>
      <w:r w:rsidR="08C6367C">
        <w:t xml:space="preserve">Jde o první případ </w:t>
      </w:r>
      <w:r w:rsidR="084A4A50">
        <w:t xml:space="preserve">použití </w:t>
      </w:r>
      <w:r w:rsidR="00550CCF">
        <w:t>známé „</w:t>
      </w:r>
      <w:r w:rsidR="08C6367C">
        <w:t>Ockhamovy břitvy</w:t>
      </w:r>
      <w:r w:rsidR="00550CCF">
        <w:t>“</w:t>
      </w:r>
      <w:r w:rsidR="08C6367C">
        <w:fldChar w:fldCharType="begin"/>
      </w:r>
      <w:r w:rsidR="08C6367C">
        <w:instrText xml:space="preserve"> XE "</w:instrText>
      </w:r>
      <w:r w:rsidR="08C6367C" w:rsidRPr="00A710E1">
        <w:instrText>Ockhamova břitva</w:instrText>
      </w:r>
      <w:r w:rsidR="08C6367C">
        <w:instrText xml:space="preserve">" </w:instrText>
      </w:r>
      <w:r w:rsidR="08C6367C">
        <w:fldChar w:fldCharType="end"/>
      </w:r>
      <w:r w:rsidR="08C6367C">
        <w:t>, kterou tento m</w:t>
      </w:r>
      <w:r w:rsidR="084A4A50">
        <w:t xml:space="preserve">yslitel uplatnil proti </w:t>
      </w:r>
      <w:r w:rsidR="08C6367C">
        <w:t xml:space="preserve">avicennistickému schématu poznání </w:t>
      </w:r>
      <w:r w:rsidR="084A4A50">
        <w:t>ve scotismu</w:t>
      </w:r>
      <w:r w:rsidR="08C6367C">
        <w:t xml:space="preserve">. </w:t>
      </w:r>
      <w:r w:rsidR="009B419F" w:rsidRPr="00273106">
        <w:t>Završitel první</w:t>
      </w:r>
      <w:r w:rsidR="00392D75">
        <w:t xml:space="preserve">ho averroismu, </w:t>
      </w:r>
      <w:r w:rsidR="00A43974" w:rsidRPr="00273106">
        <w:t>Albert Veliký</w:t>
      </w:r>
      <w:r w:rsidR="00392D75">
        <w:t>,</w:t>
      </w:r>
      <w:r w:rsidR="00A43974" w:rsidRPr="00273106">
        <w:t xml:space="preserve"> </w:t>
      </w:r>
      <w:r w:rsidR="00E81956">
        <w:t xml:space="preserve">po </w:t>
      </w:r>
      <w:r w:rsidR="00EB37B6">
        <w:t>recepci Averro</w:t>
      </w:r>
      <w:r w:rsidR="00E81956">
        <w:t xml:space="preserve">esova korpusu </w:t>
      </w:r>
      <w:r w:rsidR="005C65E9">
        <w:t xml:space="preserve">už jen </w:t>
      </w:r>
      <w:r w:rsidR="005C65E9" w:rsidRPr="00273106">
        <w:t xml:space="preserve">identifikuje </w:t>
      </w:r>
      <w:r w:rsidR="005C65E9">
        <w:t xml:space="preserve">Blundem definovaný </w:t>
      </w:r>
      <w:r w:rsidR="00A43974"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0A43974" w:rsidRPr="00273106">
        <w:t xml:space="preserve"> </w:t>
      </w:r>
      <w:r w:rsidR="00EB37B6" w:rsidRPr="00273106">
        <w:t xml:space="preserve">podle CMDA </w:t>
      </w:r>
      <w:r w:rsidR="00EB37B6">
        <w:t xml:space="preserve">jako </w:t>
      </w:r>
      <w:r w:rsidR="009B419F"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DF1B39" w:rsidRPr="00E2134B">
        <w:instrText>A</w:instrText>
      </w:r>
      <w:r w:rsidR="00337CC1">
        <w:instrText>lbert</w:instrText>
      </w:r>
      <w:r w:rsidR="00DF1B39">
        <w:instrText xml:space="preserve">" </w:instrText>
      </w:r>
      <w:r w:rsidR="00DF1B39">
        <w:rPr>
          <w:i/>
        </w:rPr>
        <w:fldChar w:fldCharType="end"/>
      </w:r>
      <w:r w:rsidR="009B419F" w:rsidRPr="00273106">
        <w:t xml:space="preserve"> </w:t>
      </w:r>
      <w:r w:rsidR="0010046C" w:rsidRPr="00273106">
        <w:t>(</w:t>
      </w:r>
      <w:r w:rsidR="00A43974" w:rsidRPr="00273106">
        <w:t xml:space="preserve">kap. </w:t>
      </w:r>
      <w:r w:rsidR="08B636F7">
        <w:t>2</w:t>
      </w:r>
      <w:r w:rsidR="007068A6" w:rsidRPr="00273106">
        <w:t>.4.2</w:t>
      </w:r>
      <w:r w:rsidR="00A43974" w:rsidRPr="00273106">
        <w:t>)</w:t>
      </w:r>
      <w:r w:rsidR="009B419F" w:rsidRPr="00273106">
        <w:t xml:space="preserve">. </w:t>
      </w:r>
      <w:r w:rsidR="00140D1A">
        <w:t xml:space="preserve">Důraz na formální kauzalitu </w:t>
      </w:r>
      <w:r w:rsidR="00A457DE" w:rsidRPr="00273106">
        <w:t>intelektu determinovaného od první substance</w:t>
      </w:r>
      <w:r w:rsidR="00A70FA4">
        <w:fldChar w:fldCharType="begin"/>
      </w:r>
      <w:r w:rsidR="00A70FA4">
        <w:instrText xml:space="preserve"> XE "</w:instrText>
      </w:r>
      <w:r w:rsidR="00A70FA4" w:rsidRPr="00DE2A32">
        <w:instrText>substance</w:instrText>
      </w:r>
      <w:r w:rsidR="00337CC1">
        <w:instrText>:první</w:instrText>
      </w:r>
      <w:r w:rsidR="00A70FA4">
        <w:instrText xml:space="preserve">" </w:instrText>
      </w:r>
      <w:r w:rsidR="00A70FA4">
        <w:fldChar w:fldCharType="end"/>
      </w:r>
      <w:r w:rsidR="00A457DE" w:rsidRPr="00273106">
        <w:t xml:space="preserve"> opět zavedl </w:t>
      </w:r>
      <w:r w:rsidR="00861CCD" w:rsidRPr="00273106">
        <w:t xml:space="preserve">do scholastiky </w:t>
      </w:r>
      <w:r w:rsidR="00A457DE" w:rsidRPr="00273106">
        <w:t>adekvakční teorii pravdy</w:t>
      </w:r>
      <w:r w:rsidR="00BC447F" w:rsidRPr="00273106">
        <w:t xml:space="preserve"> </w:t>
      </w:r>
      <w:r w:rsidR="00861CCD" w:rsidRPr="00273106">
        <w:t xml:space="preserve">podle </w:t>
      </w:r>
      <w:r w:rsidR="00A64F36" w:rsidRPr="00273106">
        <w:t xml:space="preserve">aristotelského </w:t>
      </w:r>
      <w:r w:rsidR="00861CCD" w:rsidRPr="00273106">
        <w:t xml:space="preserve">výkladu </w:t>
      </w:r>
      <w:r w:rsidR="00B713C5">
        <w:rPr>
          <w:i/>
        </w:rPr>
        <w:t>De anima</w:t>
      </w:r>
      <w:r w:rsidR="00A64F36" w:rsidRPr="00273106">
        <w:t xml:space="preserve">. </w:t>
      </w:r>
      <w:r w:rsidR="00E51345" w:rsidRPr="00273106">
        <w:t xml:space="preserve">Aristotelův spis </w:t>
      </w:r>
      <w:r w:rsidR="00B713C5">
        <w:rPr>
          <w:i/>
        </w:rPr>
        <w:t>De anima</w:t>
      </w:r>
      <w:r w:rsidR="00E51345" w:rsidRPr="00273106">
        <w:t xml:space="preserve"> (včetně </w:t>
      </w:r>
      <w:r w:rsidR="00E51345" w:rsidRPr="00CF10CD">
        <w:rPr>
          <w:i/>
        </w:rPr>
        <w:t>Fyziky</w:t>
      </w:r>
      <w:r w:rsidR="00E51345" w:rsidRPr="00273106">
        <w:t xml:space="preserve"> a </w:t>
      </w:r>
      <w:r w:rsidR="00E51345" w:rsidRPr="00CF10CD">
        <w:rPr>
          <w:i/>
        </w:rPr>
        <w:t>Metafyziky</w:t>
      </w:r>
      <w:r w:rsidR="00E51345" w:rsidRPr="00273106">
        <w:t>) byl znám z překladu Jakuba z Benátek</w:t>
      </w:r>
      <w:r w:rsidR="00C86447">
        <w:t xml:space="preserve"> již z poloviny 12. století</w:t>
      </w:r>
      <w:r w:rsidR="00CF10CD">
        <w:rPr>
          <w:color w:val="000000"/>
        </w:rPr>
        <w:t>. Tyto spisy nyní dostaly novou aristotelskou interpretaci</w:t>
      </w:r>
      <w:r w:rsidR="00E51345">
        <w:rPr>
          <w:color w:val="000000"/>
        </w:rPr>
        <w:t>, kterou zavedla Blundova škola.</w:t>
      </w:r>
      <w:r w:rsidR="00593F89" w:rsidRPr="00593F89">
        <w:t xml:space="preserve"> </w:t>
      </w:r>
      <w:r w:rsidR="00090061">
        <w:t xml:space="preserve">První skutečný aristotelik </w:t>
      </w:r>
      <w:r w:rsidR="085B6D55">
        <w:t xml:space="preserve">scholastiky </w:t>
      </w:r>
      <w:r w:rsidR="00593F89" w:rsidRPr="00273106">
        <w:t xml:space="preserve">výslovně zakotvuje </w:t>
      </w:r>
      <w:r w:rsidR="00593F89">
        <w:t xml:space="preserve">pasivní a </w:t>
      </w:r>
      <w:r w:rsidR="00593F89" w:rsidRPr="00273106">
        <w:t>aktivní intelekt jako individuální schopnost duše</w:t>
      </w:r>
      <w:r w:rsidR="00593F89">
        <w:t>. Dvě</w:t>
      </w:r>
      <w:r w:rsidR="003124F6">
        <w:t xml:space="preserve"> dekády před příchodem Averroesových spisů</w:t>
      </w:r>
      <w:r w:rsidR="00593F89">
        <w:t xml:space="preserve"> na latinský Západ již v Paříži existuje základní schéma poznání podle </w:t>
      </w:r>
      <w:r w:rsidR="08C14140">
        <w:t xml:space="preserve">originálního </w:t>
      </w:r>
      <w:r w:rsidR="00593F89">
        <w:t xml:space="preserve">výkladu </w:t>
      </w:r>
      <w:r w:rsidR="00593F89" w:rsidRPr="003C40FF">
        <w:rPr>
          <w:i/>
        </w:rPr>
        <w:t>De anima</w:t>
      </w:r>
      <w:r w:rsidR="00593F89" w:rsidRPr="00273106">
        <w:t>.</w:t>
      </w:r>
      <w:r w:rsidR="00593F89">
        <w:t xml:space="preserve"> Proto je Blund </w:t>
      </w:r>
      <w:r w:rsidR="089C3AAC">
        <w:t xml:space="preserve">a jeho žáci </w:t>
      </w:r>
      <w:r w:rsidR="00593F89">
        <w:t>zakladat</w:t>
      </w:r>
      <w:r w:rsidR="089C3AAC">
        <w:t>elem školy prvního averroismu. R</w:t>
      </w:r>
      <w:r w:rsidR="00593F89">
        <w:t>ecepce Averroesovy metafyziky podle Toledské školy naopak patří do školy druhého averroismu.</w:t>
      </w:r>
    </w:p>
    <w:p w14:paraId="784600EF" w14:textId="06F9394F" w:rsidR="002E03F2" w:rsidRDefault="00C51568" w:rsidP="086C1F19">
      <w:pPr>
        <w:pStyle w:val="Nadpis3"/>
      </w:pPr>
      <w:bookmarkStart w:id="48" w:name="_Toc487234297"/>
      <w:bookmarkStart w:id="49" w:name="_Toc12558304"/>
      <w:r>
        <w:rPr>
          <w:lang w:val="cs-CZ"/>
        </w:rPr>
        <w:br w:type="page"/>
      </w:r>
      <w:bookmarkStart w:id="50" w:name="_Toc160449316"/>
      <w:r w:rsidR="08D20D28">
        <w:rPr>
          <w:lang w:val="cs-CZ"/>
        </w:rPr>
        <w:lastRenderedPageBreak/>
        <w:t>2</w:t>
      </w:r>
      <w:r w:rsidR="002E03F2">
        <w:t xml:space="preserve">.1.2 Aristotelský výklad </w:t>
      </w:r>
      <w:r w:rsidR="00C23945">
        <w:t xml:space="preserve">diafanum a </w:t>
      </w:r>
      <w:r w:rsidR="002E03F2">
        <w:t>intencionality</w:t>
      </w:r>
      <w:bookmarkEnd w:id="48"/>
      <w:bookmarkEnd w:id="49"/>
      <w:bookmarkEnd w:id="50"/>
    </w:p>
    <w:p w14:paraId="7F98F97A" w14:textId="77777777" w:rsidR="00181FE4" w:rsidRDefault="00593F89" w:rsidP="00593F89">
      <w:pPr>
        <w:rPr>
          <w:rStyle w:val="Zkladntextdkovn0pt"/>
          <w:rFonts w:ascii="Calibri" w:eastAsia="Times" w:hAnsi="Calibri" w:cs="Times New Roman"/>
          <w:color w:val="auto"/>
          <w:spacing w:val="0"/>
          <w:sz w:val="24"/>
          <w:u w:val="none"/>
          <w:lang w:val="cs-CZ"/>
        </w:rPr>
      </w:pPr>
      <w:r>
        <w:t xml:space="preserve">Zlomový moment v rozdělení obou škol byly Scotovy přednášky na Pařížské univerzitě kolem roku 1230. </w:t>
      </w:r>
      <w:r w:rsidR="08964202">
        <w:t>Je dosti pravděpodobné, že Scotus se na Oxfords</w:t>
      </w:r>
      <w:r w:rsidR="08A22FA6">
        <w:t xml:space="preserve">kou univerzitu nikdy nedostal. Korpus Komentátora podle </w:t>
      </w:r>
      <w:r w:rsidR="08964202">
        <w:t>Sicilské školy</w:t>
      </w:r>
      <w:r w:rsidR="08A22FA6">
        <w:t xml:space="preserve"> zde neměl žádný vliv kvůli působení toletána Gr</w:t>
      </w:r>
      <w:r w:rsidR="087B39B4">
        <w:t>ossetesteho od roku 1230 (kap. 3</w:t>
      </w:r>
      <w:r w:rsidR="08A22FA6">
        <w:t>.1.1)</w:t>
      </w:r>
      <w:r w:rsidR="08964202">
        <w:t xml:space="preserve">. </w:t>
      </w:r>
      <w:r w:rsidR="08BB783B">
        <w:t xml:space="preserve">Oxford </w:t>
      </w:r>
      <w:r w:rsidR="08964202">
        <w:t xml:space="preserve">ovládli </w:t>
      </w:r>
      <w:r w:rsidR="08BB783B">
        <w:t xml:space="preserve">Grossetesteho modernističtí žáci </w:t>
      </w:r>
      <w:r w:rsidR="08964202">
        <w:t>mimo čestnou výjimku Rogera Bacona</w:t>
      </w:r>
      <w:r w:rsidR="08564DE6">
        <w:t>, který ovšem většinu akademického života působil v Paříži</w:t>
      </w:r>
      <w:r w:rsidR="08964202">
        <w:t xml:space="preserve">. </w:t>
      </w:r>
      <w:r w:rsidR="0818249A">
        <w:t>Hermeneutika musí vysvětlit dvojí recepci Averroesova korpusu podle Toledské a Sicilské školy. Výklad podle Toledské školy přišel s prvními překlady Averroese ze Španělska někdy od roku 1220. Michael Scot ze Sicilské školy</w:t>
      </w:r>
      <w:r w:rsidR="0818249A" w:rsidRPr="087B39B4">
        <w:t xml:space="preserve"> </w:t>
      </w:r>
      <w:r w:rsidR="0818249A">
        <w:t xml:space="preserve">provedl zásadní kritiku zavedené nauky toletánů v Paříži během svých přednášek kolem roku 1230. Jednoduše řečeno lze říci, že svou autoritou potvrdil Blundův výklad </w:t>
      </w:r>
      <w:r w:rsidR="0818249A" w:rsidRPr="00593F89">
        <w:rPr>
          <w:i/>
        </w:rPr>
        <w:t>De anima</w:t>
      </w:r>
      <w:r w:rsidR="0818249A">
        <w:t xml:space="preserve"> daný již kolem roku 1200.</w:t>
      </w:r>
      <w:r w:rsidR="0818249A" w:rsidRPr="08BE2778">
        <w:rPr>
          <w:szCs w:val="24"/>
        </w:rPr>
        <w:t xml:space="preserve"> </w:t>
      </w:r>
      <w:r w:rsidR="002834BE" w:rsidRPr="00273106">
        <w:t xml:space="preserve">Blund četl spis </w:t>
      </w:r>
      <w:r w:rsidR="002834BE">
        <w:rPr>
          <w:i/>
        </w:rPr>
        <w:t>De anima</w:t>
      </w:r>
      <w:r w:rsidR="002834BE" w:rsidRPr="00273106">
        <w:t xml:space="preserve"> jako aristotelik</w:t>
      </w:r>
      <w:r w:rsidR="002834BE">
        <w:t>, ne jako neoplatonik</w:t>
      </w:r>
      <w:r w:rsidR="002834BE" w:rsidRPr="00273106">
        <w:t xml:space="preserve">. </w:t>
      </w:r>
      <w:r>
        <w:t xml:space="preserve">Zásadní spor se týkal </w:t>
      </w:r>
      <w:r w:rsidR="002834BE">
        <w:t xml:space="preserve">pojetí </w:t>
      </w:r>
      <w:r w:rsidR="006A04C6" w:rsidRPr="006A04C6">
        <w:t>species</w:t>
      </w:r>
      <w:r>
        <w:t xml:space="preserve"> a možného intelektu. </w:t>
      </w:r>
      <w:r w:rsidRPr="00273106">
        <w:rPr>
          <w:rStyle w:val="Zkladntextdkovn0pt"/>
          <w:rFonts w:ascii="Calibri" w:eastAsia="Times" w:hAnsi="Calibri" w:cs="Times New Roman"/>
          <w:color w:val="auto"/>
          <w:spacing w:val="0"/>
          <w:sz w:val="24"/>
          <w:u w:val="none"/>
          <w:lang w:val="cs-CZ"/>
        </w:rPr>
        <w:t xml:space="preserve">Dvojí receptivita smyslového a inteligibilního poznání zásadně změnila statut </w:t>
      </w:r>
      <w:r w:rsidR="006A04C6" w:rsidRPr="006A04C6">
        <w:rPr>
          <w:rStyle w:val="Zkladntextdkovn0pt"/>
          <w:rFonts w:ascii="Calibri" w:eastAsia="Times" w:hAnsi="Calibri" w:cs="Times New Roman"/>
          <w:color w:val="auto"/>
          <w:spacing w:val="0"/>
          <w:sz w:val="24"/>
          <w:u w:val="none"/>
          <w:lang w:val="cs-CZ"/>
        </w:rPr>
        <w:t>species</w:t>
      </w:r>
      <w:r w:rsidR="083B421C">
        <w:rPr>
          <w:rStyle w:val="Zkladntextdkovn0pt"/>
          <w:rFonts w:ascii="Calibri" w:eastAsia="Times" w:hAnsi="Calibri" w:cs="Times New Roman"/>
          <w:color w:val="auto"/>
          <w:spacing w:val="0"/>
          <w:sz w:val="24"/>
          <w:u w:val="none"/>
          <w:lang w:val="cs-CZ"/>
        </w:rPr>
        <w:t xml:space="preserve"> z neoplatonské formy na aristotelskou.</w:t>
      </w:r>
      <w:r w:rsidRPr="00273106">
        <w:rPr>
          <w:rStyle w:val="Zkladntextdkovn0pt"/>
          <w:rFonts w:ascii="Calibri" w:eastAsia="Times" w:hAnsi="Calibri" w:cs="Times New Roman"/>
          <w:color w:val="auto"/>
          <w:spacing w:val="0"/>
          <w:sz w:val="24"/>
          <w:u w:val="none"/>
          <w:lang w:val="cs-CZ"/>
        </w:rPr>
        <w:t xml:space="preserve"> </w:t>
      </w:r>
      <w:r w:rsidR="00650048">
        <w:rPr>
          <w:rStyle w:val="Zkladntextdkovn0pt"/>
          <w:rFonts w:ascii="Calibri" w:eastAsia="Times" w:hAnsi="Calibri" w:cs="Times New Roman"/>
          <w:color w:val="auto"/>
          <w:spacing w:val="0"/>
          <w:sz w:val="24"/>
          <w:u w:val="none"/>
          <w:lang w:val="cs-CZ"/>
        </w:rPr>
        <w:t xml:space="preserve">Předešlá část ukázala, </w:t>
      </w:r>
      <w:r w:rsidRPr="00273106">
        <w:rPr>
          <w:rStyle w:val="Zkladntextdkovn0pt"/>
          <w:rFonts w:ascii="Calibri" w:eastAsia="Times" w:hAnsi="Calibri" w:cs="Times New Roman"/>
          <w:color w:val="auto"/>
          <w:spacing w:val="0"/>
          <w:sz w:val="24"/>
          <w:u w:val="none"/>
          <w:lang w:val="cs-CZ"/>
        </w:rPr>
        <w:t xml:space="preserve">že </w:t>
      </w:r>
      <w:r w:rsidRPr="00273106">
        <w:t xml:space="preserve">Blund odmítl </w:t>
      </w:r>
      <w:r w:rsidR="00650048">
        <w:t xml:space="preserve">v pojmu </w:t>
      </w:r>
      <w:r w:rsidR="00650048" w:rsidRPr="00650048">
        <w:rPr>
          <w:i/>
        </w:rPr>
        <w:t>intellectus formalis</w:t>
      </w:r>
      <w:r w:rsidR="00650048">
        <w:t xml:space="preserve"> </w:t>
      </w:r>
      <w:r w:rsidRPr="00273106">
        <w:t>avice</w:t>
      </w:r>
      <w:r>
        <w:t>n</w:t>
      </w:r>
      <w:r w:rsidRPr="00273106">
        <w:t>nistické pojetí</w:t>
      </w:r>
      <w:r w:rsidR="00710D08">
        <w:t xml:space="preserve"> iluminace</w:t>
      </w:r>
      <w:r w:rsidRPr="00273106">
        <w:t xml:space="preserve">, která potřebuje externí poznání věci jen jako akcidentální přívažek k recepci oddělených forem. </w:t>
      </w:r>
      <w:r w:rsidRPr="00273106">
        <w:rPr>
          <w:rStyle w:val="Zkladntextdkovn0pt"/>
          <w:rFonts w:ascii="Calibri" w:eastAsia="Times" w:hAnsi="Calibri" w:cs="Times New Roman"/>
          <w:color w:val="auto"/>
          <w:spacing w:val="0"/>
          <w:sz w:val="24"/>
          <w:u w:val="none"/>
          <w:lang w:val="cs-CZ"/>
        </w:rPr>
        <w:t xml:space="preserve">Stejné pojetí zastává Blundův </w:t>
      </w:r>
      <w:r w:rsidR="084B73C2">
        <w:rPr>
          <w:rStyle w:val="Zkladntextdkovn0pt"/>
          <w:rFonts w:ascii="Calibri" w:eastAsia="Times" w:hAnsi="Calibri" w:cs="Times New Roman"/>
          <w:color w:val="auto"/>
          <w:spacing w:val="0"/>
          <w:sz w:val="24"/>
          <w:u w:val="none"/>
          <w:lang w:val="cs-CZ"/>
        </w:rPr>
        <w:t xml:space="preserve">žák </w:t>
      </w:r>
      <w:r w:rsidRPr="00273106">
        <w:rPr>
          <w:rStyle w:val="Zkladntextdkovn0pt"/>
          <w:rFonts w:ascii="Calibri" w:eastAsia="Times" w:hAnsi="Calibri" w:cs="Times New Roman"/>
          <w:color w:val="auto"/>
          <w:spacing w:val="0"/>
          <w:sz w:val="24"/>
          <w:u w:val="none"/>
          <w:lang w:val="cs-CZ"/>
        </w:rPr>
        <w:t xml:space="preserve">Robert Grosseteste v </w:t>
      </w:r>
      <w:r w:rsidR="088414EA">
        <w:rPr>
          <w:rStyle w:val="Zkladntextdkovn0pt"/>
          <w:rFonts w:ascii="Calibri" w:eastAsia="Times" w:hAnsi="Calibri" w:cs="Times New Roman"/>
          <w:color w:val="auto"/>
          <w:spacing w:val="0"/>
          <w:sz w:val="24"/>
          <w:u w:val="none"/>
          <w:lang w:val="cs-CZ"/>
        </w:rPr>
        <w:t xml:space="preserve">jeho komentáři k </w:t>
      </w:r>
      <w:r w:rsidRPr="00273106">
        <w:rPr>
          <w:i/>
        </w:rPr>
        <w:t>De anima</w:t>
      </w:r>
      <w:r w:rsidR="088414EA">
        <w:t>, jehož inspirace nebo dokonce i redakce vznikla během studia v Pařížské škole</w:t>
      </w:r>
      <w:r w:rsidRPr="00273106">
        <w:t xml:space="preserve">. Grosseteste říká, že </w:t>
      </w:r>
      <w:r>
        <w:t>p</w:t>
      </w:r>
      <w:r w:rsidRPr="00273106">
        <w:t xml:space="preserve">oznáváme reálnou věc skrze </w:t>
      </w:r>
      <w:r w:rsidR="006A04C6" w:rsidRPr="006A04C6">
        <w:t>species</w:t>
      </w:r>
      <w:r w:rsidRPr="00273106">
        <w:t>, které abstrahujeme od věcí (</w:t>
      </w:r>
      <w:r w:rsidRPr="00273106">
        <w:rPr>
          <w:i/>
        </w:rPr>
        <w:t xml:space="preserve">apprehendit res per </w:t>
      </w:r>
      <w:r w:rsidR="004B4D52" w:rsidRPr="004B4D52">
        <w:t>species</w:t>
      </w:r>
      <w:r w:rsidRPr="00273106">
        <w:rPr>
          <w:i/>
        </w:rPr>
        <w:t xml:space="preserve"> abstractas a rebus</w:t>
      </w:r>
      <w:r w:rsidRPr="00273106">
        <w:t>).</w:t>
      </w:r>
      <w:r w:rsidRPr="00273106">
        <w:rPr>
          <w:rStyle w:val="Znakapoznpodarou"/>
        </w:rPr>
        <w:footnoteReference w:id="91"/>
      </w:r>
      <w:r w:rsidR="08447CE1">
        <w:t xml:space="preserve"> Klíčové je pojetí dané nasvícením poznání zepředu (</w:t>
      </w:r>
      <w:r w:rsidRPr="00273106">
        <w:rPr>
          <w:i/>
        </w:rPr>
        <w:t>a rebus</w:t>
      </w:r>
      <w:r w:rsidR="08447CE1">
        <w:t>), které sleduje aristotelský</w:t>
      </w:r>
      <w:r w:rsidRPr="00273106">
        <w:t xml:space="preserve"> výklad </w:t>
      </w:r>
      <w:r w:rsidRPr="00273106">
        <w:rPr>
          <w:i/>
        </w:rPr>
        <w:t>De anima</w:t>
      </w:r>
      <w:r w:rsidR="08447CE1">
        <w:t xml:space="preserve">. </w:t>
      </w:r>
      <w:r w:rsidR="08447CE1" w:rsidRPr="00273106">
        <w:rPr>
          <w:rStyle w:val="Zkladntextdkovn0pt"/>
          <w:rFonts w:ascii="Calibri" w:eastAsia="Times" w:hAnsi="Calibri" w:cs="Times New Roman"/>
          <w:color w:val="auto"/>
          <w:spacing w:val="0"/>
          <w:sz w:val="24"/>
          <w:u w:val="none"/>
          <w:lang w:val="cs-CZ"/>
        </w:rPr>
        <w:t>Grosseteste</w:t>
      </w:r>
      <w:r w:rsidR="08447CE1">
        <w:rPr>
          <w:rStyle w:val="Zkladntextdkovn0pt"/>
          <w:rFonts w:ascii="Calibri" w:eastAsia="Times" w:hAnsi="Calibri" w:cs="Times New Roman"/>
          <w:color w:val="auto"/>
          <w:spacing w:val="0"/>
          <w:sz w:val="24"/>
          <w:u w:val="none"/>
          <w:lang w:val="cs-CZ"/>
        </w:rPr>
        <w:t xml:space="preserve"> </w:t>
      </w:r>
      <w:r>
        <w:t xml:space="preserve">popírá </w:t>
      </w:r>
      <w:r w:rsidRPr="00273106">
        <w:t xml:space="preserve">porretánské pojetí univerzálních </w:t>
      </w:r>
      <w:r w:rsidR="006A04C6" w:rsidRPr="006A04C6">
        <w:t>species</w:t>
      </w:r>
      <w:r w:rsidRPr="00273106">
        <w:t xml:space="preserve"> daných </w:t>
      </w:r>
      <w:r w:rsidR="085F7171">
        <w:t>ve věcech</w:t>
      </w:r>
      <w:r w:rsidR="08447CE1">
        <w:t xml:space="preserve"> (</w:t>
      </w:r>
      <w:r w:rsidRPr="00273106">
        <w:rPr>
          <w:i/>
        </w:rPr>
        <w:t>in rebus</w:t>
      </w:r>
      <w:r w:rsidR="08447CE1">
        <w:t xml:space="preserve">) </w:t>
      </w:r>
      <w:r w:rsidRPr="00273106">
        <w:t xml:space="preserve">pomocí hypostázované existence </w:t>
      </w:r>
      <w:r w:rsidR="085F7171">
        <w:t xml:space="preserve">škol </w:t>
      </w:r>
      <w:r w:rsidR="085F7171" w:rsidRPr="085F7171">
        <w:rPr>
          <w:i/>
        </w:rPr>
        <w:t>Nominales</w:t>
      </w:r>
      <w:r w:rsidR="085F7171">
        <w:t xml:space="preserve"> </w:t>
      </w:r>
      <w:r w:rsidR="088E657B">
        <w:t>(kap. 1</w:t>
      </w:r>
      <w:r w:rsidRPr="00273106">
        <w:t xml:space="preserve">.4). </w:t>
      </w:r>
      <w:r w:rsidR="00B53C21">
        <w:t xml:space="preserve">Blundova škola, k níž tehdy patřil i Grosseteste, </w:t>
      </w:r>
      <w:r w:rsidRPr="00273106">
        <w:t>n</w:t>
      </w:r>
      <w:r w:rsidRPr="00273106">
        <w:rPr>
          <w:rStyle w:val="Zkladntextdkovn0pt"/>
          <w:rFonts w:ascii="Calibri" w:eastAsia="Times" w:hAnsi="Calibri" w:cs="Times New Roman"/>
          <w:color w:val="auto"/>
          <w:spacing w:val="0"/>
          <w:sz w:val="24"/>
          <w:u w:val="none"/>
          <w:lang w:val="cs-CZ"/>
        </w:rPr>
        <w:t>epotřebuj</w:t>
      </w:r>
      <w:r w:rsidR="00B53C21">
        <w:rPr>
          <w:rStyle w:val="Zkladntextdkovn0pt"/>
          <w:rFonts w:ascii="Calibri" w:eastAsia="Times" w:hAnsi="Calibri" w:cs="Times New Roman"/>
          <w:color w:val="auto"/>
          <w:spacing w:val="0"/>
          <w:sz w:val="24"/>
          <w:u w:val="none"/>
          <w:lang w:val="cs-CZ"/>
        </w:rPr>
        <w:t>e</w:t>
      </w:r>
      <w:r w:rsidRPr="00273106">
        <w:rPr>
          <w:rStyle w:val="Zkladntextdkovn0pt"/>
          <w:rFonts w:ascii="Calibri" w:eastAsia="Times" w:hAnsi="Calibri" w:cs="Times New Roman"/>
          <w:color w:val="auto"/>
          <w:spacing w:val="0"/>
          <w:sz w:val="24"/>
          <w:u w:val="none"/>
          <w:lang w:val="cs-CZ"/>
        </w:rPr>
        <w:t xml:space="preserve"> aktivovat lidský intelekt skrze akt avicennovské sebereflexe nasvícené zezadu od odděleného aktivního intelektu. </w:t>
      </w:r>
      <w:r>
        <w:rPr>
          <w:rStyle w:val="Zkladntextdkovn0pt"/>
          <w:rFonts w:ascii="Calibri" w:eastAsia="Times" w:hAnsi="Calibri" w:cs="Times New Roman"/>
          <w:color w:val="auto"/>
          <w:spacing w:val="0"/>
          <w:sz w:val="24"/>
          <w:u w:val="none"/>
          <w:lang w:val="cs-CZ"/>
        </w:rPr>
        <w:t xml:space="preserve">Tím padl statut </w:t>
      </w:r>
      <w:r w:rsidR="006A04C6" w:rsidRPr="006A04C6">
        <w:rPr>
          <w:rStyle w:val="Zkladntextdkovn0pt"/>
          <w:rFonts w:ascii="Calibri" w:eastAsia="Times" w:hAnsi="Calibri" w:cs="Times New Roman"/>
          <w:color w:val="auto"/>
          <w:spacing w:val="0"/>
          <w:sz w:val="24"/>
          <w:u w:val="none"/>
          <w:lang w:val="cs-CZ"/>
        </w:rPr>
        <w:t>species</w:t>
      </w:r>
      <w:r w:rsidRPr="00273106">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jako jsoucen třetího druhu</w:t>
      </w:r>
      <w:r w:rsidRPr="00273106">
        <w:rPr>
          <w:rStyle w:val="Zkladntextdkovn0pt"/>
          <w:rFonts w:ascii="Calibri" w:eastAsia="Times" w:hAnsi="Calibri" w:cs="Times New Roman"/>
          <w:color w:val="auto"/>
          <w:spacing w:val="0"/>
          <w:sz w:val="24"/>
          <w:u w:val="none"/>
          <w:lang w:val="cs-CZ"/>
        </w:rPr>
        <w:t xml:space="preserve">, protože </w:t>
      </w:r>
      <w:r>
        <w:rPr>
          <w:rStyle w:val="Zkladntextdkovn0pt"/>
          <w:rFonts w:ascii="Calibri" w:eastAsia="Times" w:hAnsi="Calibri" w:cs="Times New Roman"/>
          <w:color w:val="auto"/>
          <w:spacing w:val="0"/>
          <w:sz w:val="24"/>
          <w:u w:val="none"/>
          <w:lang w:val="cs-CZ"/>
        </w:rPr>
        <w:t xml:space="preserve">aristotelská škola </w:t>
      </w:r>
      <w:r w:rsidR="08893243">
        <w:rPr>
          <w:rStyle w:val="Zkladntextdkovn0pt"/>
          <w:rFonts w:ascii="Calibri" w:eastAsia="Times" w:hAnsi="Calibri" w:cs="Times New Roman"/>
          <w:color w:val="auto"/>
          <w:spacing w:val="0"/>
          <w:sz w:val="24"/>
          <w:u w:val="none"/>
          <w:lang w:val="cs-CZ"/>
        </w:rPr>
        <w:t xml:space="preserve">Blunda </w:t>
      </w:r>
      <w:r w:rsidRPr="00273106">
        <w:rPr>
          <w:rStyle w:val="Zkladntextdkovn0pt"/>
          <w:rFonts w:ascii="Calibri" w:eastAsia="Times" w:hAnsi="Calibri" w:cs="Times New Roman"/>
          <w:color w:val="auto"/>
          <w:spacing w:val="0"/>
          <w:sz w:val="24"/>
          <w:u w:val="none"/>
          <w:lang w:val="cs-CZ"/>
        </w:rPr>
        <w:t xml:space="preserve">chápe </w:t>
      </w:r>
      <w:r w:rsidR="006A04C6" w:rsidRPr="006A04C6">
        <w:rPr>
          <w:rStyle w:val="Zkladntextdkovn0pt"/>
          <w:rFonts w:ascii="Calibri" w:eastAsia="Times" w:hAnsi="Calibri" w:cs="Times New Roman"/>
          <w:color w:val="auto"/>
          <w:spacing w:val="0"/>
          <w:sz w:val="24"/>
          <w:u w:val="none"/>
          <w:lang w:val="cs-CZ"/>
        </w:rPr>
        <w:t>species</w:t>
      </w:r>
      <w:r w:rsidR="08893243" w:rsidRPr="00273106">
        <w:rPr>
          <w:rStyle w:val="Zkladntextdkovn0pt"/>
          <w:rFonts w:ascii="Calibri" w:eastAsia="Times" w:hAnsi="Calibri" w:cs="Times New Roman"/>
          <w:color w:val="auto"/>
          <w:spacing w:val="0"/>
          <w:sz w:val="24"/>
          <w:u w:val="none"/>
          <w:lang w:val="cs-CZ"/>
        </w:rPr>
        <w:t xml:space="preserve"> </w:t>
      </w:r>
      <w:r w:rsidRPr="00273106">
        <w:rPr>
          <w:rStyle w:val="Zkladntextdkovn0pt"/>
          <w:rFonts w:ascii="Calibri" w:eastAsia="Times" w:hAnsi="Calibri" w:cs="Times New Roman"/>
          <w:color w:val="auto"/>
          <w:spacing w:val="0"/>
          <w:sz w:val="24"/>
          <w:u w:val="none"/>
          <w:lang w:val="cs-CZ"/>
        </w:rPr>
        <w:t xml:space="preserve">v pojetí intencionality </w:t>
      </w:r>
      <w:r w:rsidR="086D7984">
        <w:rPr>
          <w:rStyle w:val="Zkladntextdkovn0pt"/>
          <w:rFonts w:ascii="Calibri" w:eastAsia="Times" w:hAnsi="Calibri" w:cs="Times New Roman"/>
          <w:color w:val="auto"/>
          <w:spacing w:val="0"/>
          <w:sz w:val="24"/>
          <w:u w:val="none"/>
          <w:lang w:val="cs-CZ"/>
        </w:rPr>
        <w:t xml:space="preserve">dané abstrakcí, </w:t>
      </w:r>
      <w:r w:rsidR="085358FA">
        <w:rPr>
          <w:rStyle w:val="Zkladntextdkovn0pt"/>
          <w:rFonts w:ascii="Calibri" w:eastAsia="Times" w:hAnsi="Calibri" w:cs="Times New Roman"/>
          <w:color w:val="auto"/>
          <w:spacing w:val="0"/>
          <w:sz w:val="24"/>
          <w:u w:val="none"/>
          <w:lang w:val="cs-CZ"/>
        </w:rPr>
        <w:t xml:space="preserve">což se </w:t>
      </w:r>
      <w:r w:rsidR="086D7984">
        <w:rPr>
          <w:rStyle w:val="Zkladntextdkovn0pt"/>
          <w:rFonts w:ascii="Calibri" w:eastAsia="Times" w:hAnsi="Calibri" w:cs="Times New Roman"/>
          <w:color w:val="auto"/>
          <w:spacing w:val="0"/>
          <w:sz w:val="24"/>
          <w:u w:val="none"/>
          <w:lang w:val="cs-CZ"/>
        </w:rPr>
        <w:t xml:space="preserve">zásadně </w:t>
      </w:r>
      <w:r w:rsidR="085358FA">
        <w:rPr>
          <w:rStyle w:val="Zkladntextdkovn0pt"/>
          <w:rFonts w:ascii="Calibri" w:eastAsia="Times" w:hAnsi="Calibri" w:cs="Times New Roman"/>
          <w:color w:val="auto"/>
          <w:spacing w:val="0"/>
          <w:sz w:val="24"/>
          <w:u w:val="none"/>
          <w:lang w:val="cs-CZ"/>
        </w:rPr>
        <w:t xml:space="preserve">liší </w:t>
      </w:r>
      <w:r w:rsidR="085F7171">
        <w:rPr>
          <w:rStyle w:val="Zkladntextdkovn0pt"/>
          <w:rFonts w:ascii="Calibri" w:eastAsia="Times" w:hAnsi="Calibri" w:cs="Times New Roman"/>
          <w:color w:val="auto"/>
          <w:spacing w:val="0"/>
          <w:sz w:val="24"/>
          <w:u w:val="none"/>
          <w:lang w:val="cs-CZ"/>
        </w:rPr>
        <w:t>od Avicennovy denudace</w:t>
      </w:r>
      <w:r w:rsidRPr="00273106">
        <w:rPr>
          <w:rStyle w:val="Zkladntextdkovn0pt"/>
          <w:rFonts w:ascii="Calibri" w:eastAsia="Times" w:hAnsi="Calibri" w:cs="Times New Roman"/>
          <w:color w:val="auto"/>
          <w:spacing w:val="0"/>
          <w:sz w:val="24"/>
          <w:u w:val="none"/>
          <w:lang w:val="cs-CZ"/>
        </w:rPr>
        <w:t xml:space="preserve">. </w:t>
      </w:r>
      <w:r w:rsidR="001F143F">
        <w:rPr>
          <w:rStyle w:val="Zkladntextdkovn0pt"/>
          <w:rFonts w:ascii="Calibri" w:eastAsia="Times" w:hAnsi="Calibri" w:cs="Times New Roman"/>
          <w:color w:val="auto"/>
          <w:spacing w:val="0"/>
          <w:sz w:val="24"/>
          <w:u w:val="none"/>
          <w:lang w:val="cs-CZ"/>
        </w:rPr>
        <w:t xml:space="preserve">Nasvícení poznání musí jít od aktuální věci vnímané smysly. </w:t>
      </w:r>
      <w:r w:rsidR="001F143F" w:rsidRPr="00273106">
        <w:rPr>
          <w:rStyle w:val="Zkladntextdkovn0pt"/>
          <w:rFonts w:ascii="Calibri" w:eastAsia="Times" w:hAnsi="Calibri" w:cs="Times New Roman"/>
          <w:color w:val="auto"/>
          <w:spacing w:val="0"/>
          <w:sz w:val="24"/>
          <w:u w:val="none"/>
          <w:lang w:val="cs-CZ"/>
        </w:rPr>
        <w:t>Lidská smyslovost se liší od zvířat zapojením materiální smyslovosti do nemateriálního intelektu v rámci formální korespondence pasivně-</w:t>
      </w:r>
      <w:r w:rsidR="001F143F" w:rsidRPr="00273106">
        <w:rPr>
          <w:rStyle w:val="Zkladntextdkovn0pt"/>
          <w:rFonts w:ascii="Calibri" w:eastAsia="Times" w:hAnsi="Calibri" w:cs="Times New Roman"/>
          <w:color w:val="auto"/>
          <w:spacing w:val="0"/>
          <w:sz w:val="24"/>
          <w:u w:val="none"/>
          <w:lang w:val="cs-CZ"/>
        </w:rPr>
        <w:lastRenderedPageBreak/>
        <w:t>aktivních schopností duše.</w:t>
      </w:r>
      <w:r w:rsidR="001F143F">
        <w:rPr>
          <w:rStyle w:val="Zkladntextdkovn0pt"/>
          <w:rFonts w:ascii="Calibri" w:eastAsia="Times" w:hAnsi="Calibri" w:cs="Times New Roman"/>
          <w:color w:val="auto"/>
          <w:spacing w:val="0"/>
          <w:sz w:val="24"/>
          <w:u w:val="none"/>
          <w:lang w:val="cs-CZ"/>
        </w:rPr>
        <w:t xml:space="preserve"> </w:t>
      </w:r>
      <w:r w:rsidRPr="00273106">
        <w:rPr>
          <w:rStyle w:val="Zkladntextdkovn0pt"/>
          <w:rFonts w:ascii="Calibri" w:eastAsia="Times" w:hAnsi="Calibri" w:cs="Times New Roman"/>
          <w:color w:val="auto"/>
          <w:spacing w:val="0"/>
          <w:sz w:val="24"/>
          <w:u w:val="none"/>
          <w:lang w:val="cs-CZ"/>
        </w:rPr>
        <w:t xml:space="preserve">Syntézu </w:t>
      </w:r>
      <w:r w:rsidR="006A04C6" w:rsidRPr="006A04C6">
        <w:rPr>
          <w:rStyle w:val="Zkladntextdkovn0pt"/>
          <w:rFonts w:ascii="Calibri" w:eastAsia="Times" w:hAnsi="Calibri" w:cs="Times New Roman"/>
          <w:color w:val="auto"/>
          <w:spacing w:val="0"/>
          <w:sz w:val="24"/>
          <w:u w:val="none"/>
          <w:lang w:val="cs-CZ"/>
        </w:rPr>
        <w:t>species</w:t>
      </w:r>
      <w:r w:rsidRPr="00273106">
        <w:rPr>
          <w:rStyle w:val="Zkladntextdkovn0pt"/>
          <w:rFonts w:ascii="Calibri" w:eastAsia="Times" w:hAnsi="Calibri" w:cs="Times New Roman"/>
          <w:color w:val="auto"/>
          <w:spacing w:val="0"/>
          <w:sz w:val="24"/>
          <w:u w:val="none"/>
          <w:lang w:val="cs-CZ"/>
        </w:rPr>
        <w:t xml:space="preserve"> dělá u zvířat </w:t>
      </w:r>
      <w:r w:rsidRPr="00273106">
        <w:rPr>
          <w:rStyle w:val="Zkladntextdkovn0pt"/>
          <w:rFonts w:ascii="Calibri" w:eastAsia="Times" w:hAnsi="Calibri" w:cs="Times New Roman"/>
          <w:i/>
          <w:color w:val="auto"/>
          <w:spacing w:val="0"/>
          <w:sz w:val="24"/>
          <w:u w:val="none"/>
          <w:lang w:val="cs-CZ"/>
        </w:rPr>
        <w:t>vis aestimativa</w:t>
      </w:r>
      <w:r>
        <w:rPr>
          <w:rStyle w:val="Zkladntextdkovn0pt"/>
          <w:rFonts w:ascii="Calibri" w:eastAsia="Times" w:hAnsi="Calibri" w:cs="Times New Roman"/>
          <w:i/>
          <w:color w:val="auto"/>
          <w:spacing w:val="0"/>
          <w:sz w:val="24"/>
          <w:u w:val="none"/>
          <w:lang w:val="cs-CZ"/>
        </w:rPr>
        <w:fldChar w:fldCharType="begin"/>
      </w:r>
      <w:r>
        <w:instrText xml:space="preserve"> XE "</w:instrText>
      </w:r>
      <w:r w:rsidRPr="00C34A1D">
        <w:rPr>
          <w:i/>
        </w:rPr>
        <w:instrText>vis aestimativa</w:instrText>
      </w:r>
      <w:r>
        <w:instrText xml:space="preserve">" </w:instrText>
      </w:r>
      <w:r>
        <w:rPr>
          <w:rStyle w:val="Zkladntextdkovn0pt"/>
          <w:rFonts w:ascii="Calibri" w:eastAsia="Times" w:hAnsi="Calibri" w:cs="Times New Roman"/>
          <w:i/>
          <w:color w:val="auto"/>
          <w:spacing w:val="0"/>
          <w:sz w:val="24"/>
          <w:u w:val="none"/>
          <w:lang w:val="cs-CZ"/>
        </w:rPr>
        <w:fldChar w:fldCharType="end"/>
      </w:r>
      <w:r w:rsidRPr="00273106">
        <w:rPr>
          <w:rStyle w:val="Zkladntextdkovn0pt"/>
          <w:rFonts w:ascii="Calibri" w:eastAsia="Times" w:hAnsi="Calibri" w:cs="Times New Roman"/>
          <w:color w:val="auto"/>
          <w:spacing w:val="0"/>
          <w:sz w:val="24"/>
          <w:u w:val="none"/>
          <w:lang w:val="cs-CZ"/>
        </w:rPr>
        <w:t xml:space="preserve"> (Avicennův </w:t>
      </w:r>
      <w:r w:rsidRPr="00273106">
        <w:rPr>
          <w:rStyle w:val="Zkladntextdkovn0pt"/>
          <w:rFonts w:ascii="Calibri" w:eastAsia="Times" w:hAnsi="Calibri" w:cs="Times New Roman"/>
          <w:i/>
          <w:color w:val="auto"/>
          <w:spacing w:val="0"/>
          <w:sz w:val="24"/>
          <w:u w:val="none"/>
          <w:lang w:val="cs-CZ"/>
        </w:rPr>
        <w:t>wahm</w:t>
      </w:r>
      <w:r>
        <w:rPr>
          <w:rStyle w:val="Zkladntextdkovn0pt"/>
          <w:rFonts w:ascii="Calibri" w:eastAsia="Times" w:hAnsi="Calibri" w:cs="Times New Roman"/>
          <w:i/>
          <w:color w:val="auto"/>
          <w:spacing w:val="0"/>
          <w:sz w:val="24"/>
          <w:u w:val="none"/>
          <w:lang w:val="cs-CZ"/>
        </w:rPr>
        <w:fldChar w:fldCharType="begin"/>
      </w:r>
      <w:r>
        <w:instrText xml:space="preserve"> XE "</w:instrText>
      </w:r>
      <w:r w:rsidRPr="003F17CC">
        <w:rPr>
          <w:i/>
        </w:rPr>
        <w:instrText>wahm</w:instrText>
      </w:r>
      <w:r>
        <w:instrText xml:space="preserve">" </w:instrText>
      </w:r>
      <w:r>
        <w:rPr>
          <w:rStyle w:val="Zkladntextdkovn0pt"/>
          <w:rFonts w:ascii="Calibri" w:eastAsia="Times" w:hAnsi="Calibri" w:cs="Times New Roman"/>
          <w:i/>
          <w:color w:val="auto"/>
          <w:spacing w:val="0"/>
          <w:sz w:val="24"/>
          <w:u w:val="none"/>
          <w:lang w:val="cs-CZ"/>
        </w:rPr>
        <w:fldChar w:fldCharType="end"/>
      </w:r>
      <w:r w:rsidRPr="00273106">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 xml:space="preserve">ale </w:t>
      </w:r>
      <w:r w:rsidRPr="00273106">
        <w:rPr>
          <w:rStyle w:val="Zkladntextdkovn0pt"/>
          <w:rFonts w:ascii="Calibri" w:eastAsia="Times" w:hAnsi="Calibri" w:cs="Times New Roman"/>
          <w:color w:val="auto"/>
          <w:spacing w:val="0"/>
          <w:sz w:val="24"/>
          <w:u w:val="none"/>
          <w:lang w:val="cs-CZ"/>
        </w:rPr>
        <w:t xml:space="preserve">u člověka je to akt nižšího stupně intelektuálního poznání koordinovaného v rámci </w:t>
      </w:r>
      <w:r w:rsidRPr="00273106">
        <w:rPr>
          <w:rStyle w:val="Zkladntextdkovn0pt"/>
          <w:rFonts w:ascii="Calibri" w:eastAsia="Times" w:hAnsi="Calibri" w:cs="Times New Roman"/>
          <w:i/>
          <w:color w:val="auto"/>
          <w:spacing w:val="0"/>
          <w:sz w:val="24"/>
          <w:u w:val="none"/>
          <w:lang w:val="cs-CZ"/>
        </w:rPr>
        <w:t>similitudo</w:t>
      </w:r>
      <w:r w:rsidRPr="00273106">
        <w:rPr>
          <w:rStyle w:val="Zkladntextdkovn0pt"/>
          <w:rFonts w:ascii="Calibri" w:eastAsia="Times" w:hAnsi="Calibri" w:cs="Times New Roman"/>
          <w:color w:val="auto"/>
          <w:spacing w:val="0"/>
          <w:sz w:val="24"/>
          <w:u w:val="none"/>
          <w:lang w:val="cs-CZ"/>
        </w:rPr>
        <w:t xml:space="preserve"> poznávajícího intelektu</w:t>
      </w:r>
      <w:r>
        <w:rPr>
          <w:rStyle w:val="Zkladntextdkovn0pt"/>
          <w:rFonts w:ascii="Calibri" w:eastAsia="Times" w:hAnsi="Calibri" w:cs="Times New Roman"/>
          <w:color w:val="auto"/>
          <w:spacing w:val="0"/>
          <w:sz w:val="24"/>
          <w:u w:val="none"/>
          <w:lang w:val="cs-CZ"/>
        </w:rPr>
        <w:t xml:space="preserve">, který se </w:t>
      </w:r>
      <w:r w:rsidR="088C62E6">
        <w:rPr>
          <w:rStyle w:val="Zkladntextdkovn0pt"/>
          <w:rFonts w:ascii="Calibri" w:eastAsia="Times" w:hAnsi="Calibri" w:cs="Times New Roman"/>
          <w:color w:val="auto"/>
          <w:spacing w:val="0"/>
          <w:sz w:val="24"/>
          <w:u w:val="none"/>
          <w:lang w:val="cs-CZ"/>
        </w:rPr>
        <w:t xml:space="preserve">připodobňuje reálné věci </w:t>
      </w:r>
      <w:r>
        <w:rPr>
          <w:rStyle w:val="Zkladntextdkovn0pt"/>
          <w:rFonts w:ascii="Calibri" w:eastAsia="Times" w:hAnsi="Calibri" w:cs="Times New Roman"/>
          <w:color w:val="auto"/>
          <w:spacing w:val="0"/>
          <w:sz w:val="24"/>
          <w:u w:val="none"/>
          <w:lang w:val="cs-CZ"/>
        </w:rPr>
        <w:t>v aktu smyslové a intelektuální abstrakce</w:t>
      </w:r>
      <w:r w:rsidRPr="00273106">
        <w:rPr>
          <w:rStyle w:val="Zkladntextdkovn0pt"/>
          <w:rFonts w:ascii="Calibri" w:eastAsia="Times" w:hAnsi="Calibri" w:cs="Times New Roman"/>
          <w:color w:val="auto"/>
          <w:spacing w:val="0"/>
          <w:sz w:val="24"/>
          <w:u w:val="none"/>
          <w:lang w:val="cs-CZ"/>
        </w:rPr>
        <w:t xml:space="preserve">. Blund </w:t>
      </w:r>
      <w:r>
        <w:rPr>
          <w:rStyle w:val="Zkladntextdkovn0pt"/>
          <w:rFonts w:ascii="Calibri" w:eastAsia="Times" w:hAnsi="Calibri" w:cs="Times New Roman"/>
          <w:color w:val="auto"/>
          <w:spacing w:val="0"/>
          <w:sz w:val="24"/>
          <w:u w:val="none"/>
          <w:lang w:val="cs-CZ"/>
        </w:rPr>
        <w:t xml:space="preserve">přesně definuje </w:t>
      </w:r>
      <w:r w:rsidRPr="00273106">
        <w:rPr>
          <w:rStyle w:val="Zkladntextdkovn0pt"/>
          <w:rFonts w:ascii="Calibri" w:eastAsia="Times" w:hAnsi="Calibri" w:cs="Times New Roman"/>
          <w:color w:val="auto"/>
          <w:spacing w:val="0"/>
          <w:sz w:val="24"/>
          <w:u w:val="none"/>
          <w:lang w:val="cs-CZ"/>
        </w:rPr>
        <w:t>jevy</w:t>
      </w:r>
      <w:r>
        <w:rPr>
          <w:rStyle w:val="Zkladntextdkovn0pt"/>
          <w:rFonts w:ascii="Calibri" w:eastAsia="Times" w:hAnsi="Calibri" w:cs="Times New Roman"/>
          <w:color w:val="auto"/>
          <w:spacing w:val="0"/>
          <w:sz w:val="24"/>
          <w:u w:val="none"/>
          <w:lang w:val="cs-CZ"/>
        </w:rPr>
        <w:t xml:space="preserve"> postupně dané v průběhu </w:t>
      </w:r>
      <w:r w:rsidR="08E11F67">
        <w:rPr>
          <w:rStyle w:val="Zkladntextdkovn0pt"/>
          <w:rFonts w:ascii="Calibri" w:eastAsia="Times" w:hAnsi="Calibri" w:cs="Times New Roman"/>
          <w:color w:val="auto"/>
          <w:spacing w:val="0"/>
          <w:sz w:val="24"/>
          <w:u w:val="none"/>
          <w:lang w:val="cs-CZ"/>
        </w:rPr>
        <w:t xml:space="preserve">smyslového </w:t>
      </w:r>
      <w:r>
        <w:rPr>
          <w:rStyle w:val="Zkladntextdkovn0pt"/>
          <w:rFonts w:ascii="Calibri" w:eastAsia="Times" w:hAnsi="Calibri" w:cs="Times New Roman"/>
          <w:color w:val="auto"/>
          <w:spacing w:val="0"/>
          <w:sz w:val="24"/>
          <w:u w:val="none"/>
          <w:lang w:val="cs-CZ"/>
        </w:rPr>
        <w:t>poznání</w:t>
      </w:r>
      <w:r w:rsidRPr="00273106">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Poznávanou věc v realitě, receptivní schopnost materiálních smyslů</w:t>
      </w:r>
      <w:r w:rsidR="002419E2">
        <w:rPr>
          <w:rStyle w:val="Zkladntextdkovn0pt"/>
          <w:rFonts w:ascii="Calibri" w:eastAsia="Times" w:hAnsi="Calibri" w:cs="Times New Roman"/>
          <w:color w:val="auto"/>
          <w:spacing w:val="0"/>
          <w:sz w:val="24"/>
          <w:u w:val="none"/>
          <w:lang w:val="cs-CZ"/>
        </w:rPr>
        <w:t xml:space="preserve"> vázaných na tělesné orgány</w:t>
      </w:r>
      <w:r>
        <w:rPr>
          <w:rStyle w:val="Zkladntextdkovn0pt"/>
          <w:rFonts w:ascii="Calibri" w:eastAsia="Times" w:hAnsi="Calibri" w:cs="Times New Roman"/>
          <w:color w:val="auto"/>
          <w:spacing w:val="0"/>
          <w:sz w:val="24"/>
          <w:u w:val="none"/>
          <w:lang w:val="cs-CZ"/>
        </w:rPr>
        <w:t>, následnou formální schopnost intencionality</w:t>
      </w:r>
      <w:r w:rsidR="002419E2">
        <w:rPr>
          <w:rStyle w:val="Zkladntextdkovn0pt"/>
          <w:rFonts w:ascii="Calibri" w:eastAsia="Times" w:hAnsi="Calibri" w:cs="Times New Roman"/>
          <w:color w:val="auto"/>
          <w:spacing w:val="0"/>
          <w:sz w:val="24"/>
          <w:u w:val="none"/>
          <w:lang w:val="cs-CZ"/>
        </w:rPr>
        <w:t xml:space="preserve"> v duši</w:t>
      </w:r>
      <w:r>
        <w:rPr>
          <w:i/>
        </w:rPr>
        <w:fldChar w:fldCharType="begin"/>
      </w:r>
      <w:r>
        <w:instrText xml:space="preserve"> XE "intencionalita:Blund" </w:instrText>
      </w:r>
      <w:r>
        <w:rPr>
          <w:i/>
        </w:rPr>
        <w:fldChar w:fldCharType="end"/>
      </w:r>
      <w:r>
        <w:rPr>
          <w:rStyle w:val="Zkladntextdkovn0pt"/>
          <w:rFonts w:ascii="Calibri" w:eastAsia="Times" w:hAnsi="Calibri" w:cs="Times New Roman"/>
          <w:color w:val="auto"/>
          <w:spacing w:val="0"/>
          <w:sz w:val="24"/>
          <w:u w:val="none"/>
          <w:lang w:val="cs-CZ"/>
        </w:rPr>
        <w:t xml:space="preserve">, a nakonec </w:t>
      </w:r>
      <w:r w:rsidRPr="00273106">
        <w:rPr>
          <w:rStyle w:val="Zkladntextdkovn0pt"/>
          <w:rFonts w:ascii="Calibri" w:eastAsia="Times" w:hAnsi="Calibri" w:cs="Times New Roman"/>
          <w:color w:val="auto"/>
          <w:spacing w:val="0"/>
          <w:sz w:val="24"/>
          <w:u w:val="none"/>
          <w:lang w:val="cs-CZ"/>
        </w:rPr>
        <w:t>syntetizující</w:t>
      </w:r>
      <w:r>
        <w:rPr>
          <w:rStyle w:val="Zkladntextdkovn0pt"/>
          <w:rFonts w:ascii="Calibri" w:eastAsia="Times" w:hAnsi="Calibri" w:cs="Times New Roman"/>
          <w:color w:val="auto"/>
          <w:spacing w:val="0"/>
          <w:sz w:val="24"/>
          <w:u w:val="none"/>
          <w:lang w:val="cs-CZ"/>
        </w:rPr>
        <w:t xml:space="preserve"> </w:t>
      </w:r>
      <w:r w:rsidRPr="00273106">
        <w:rPr>
          <w:rStyle w:val="Zkladntextdkovn0pt"/>
          <w:rFonts w:ascii="Calibri" w:eastAsia="Times" w:hAnsi="Calibri" w:cs="Times New Roman"/>
          <w:color w:val="auto"/>
          <w:spacing w:val="0"/>
          <w:sz w:val="24"/>
          <w:u w:val="none"/>
          <w:lang w:val="cs-CZ"/>
        </w:rPr>
        <w:t xml:space="preserve">schopnost </w:t>
      </w:r>
      <w:r>
        <w:rPr>
          <w:rStyle w:val="Zkladntextdkovn0pt"/>
          <w:rFonts w:ascii="Calibri" w:eastAsia="Times" w:hAnsi="Calibri" w:cs="Times New Roman"/>
          <w:color w:val="auto"/>
          <w:spacing w:val="0"/>
          <w:sz w:val="24"/>
          <w:u w:val="none"/>
          <w:lang w:val="cs-CZ"/>
        </w:rPr>
        <w:t xml:space="preserve">představivosti, která vytváří výsledné smyslové </w:t>
      </w:r>
      <w:r w:rsidRPr="004403CA">
        <w:rPr>
          <w:rStyle w:val="Zkladntextdkovn0pt"/>
          <w:rFonts w:ascii="Calibri" w:eastAsia="Times" w:hAnsi="Calibri" w:cs="Times New Roman"/>
          <w:i/>
          <w:color w:val="auto"/>
          <w:spacing w:val="0"/>
          <w:sz w:val="24"/>
          <w:u w:val="none"/>
          <w:lang w:val="cs-CZ"/>
        </w:rPr>
        <w:t>imago</w:t>
      </w:r>
      <w:r w:rsidRPr="00273106">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 xml:space="preserve">Na Západě vzniká </w:t>
      </w:r>
      <w:r w:rsidRPr="00273106">
        <w:rPr>
          <w:rStyle w:val="Zkladntextdkovn0pt"/>
          <w:rFonts w:ascii="Calibri" w:eastAsia="Times" w:hAnsi="Calibri" w:cs="Times New Roman"/>
          <w:color w:val="auto"/>
          <w:spacing w:val="0"/>
          <w:sz w:val="24"/>
          <w:u w:val="none"/>
          <w:lang w:val="cs-CZ"/>
        </w:rPr>
        <w:t xml:space="preserve">nové </w:t>
      </w:r>
      <w:r>
        <w:rPr>
          <w:rStyle w:val="Zkladntextdkovn0pt"/>
          <w:rFonts w:ascii="Calibri" w:eastAsia="Times" w:hAnsi="Calibri" w:cs="Times New Roman"/>
          <w:color w:val="auto"/>
          <w:spacing w:val="0"/>
          <w:sz w:val="24"/>
          <w:u w:val="none"/>
          <w:lang w:val="cs-CZ"/>
        </w:rPr>
        <w:t xml:space="preserve">pojetí </w:t>
      </w:r>
      <w:r w:rsidRPr="00273106">
        <w:rPr>
          <w:rStyle w:val="Zkladntextdkovn0pt"/>
          <w:rFonts w:ascii="Calibri" w:eastAsia="Times" w:hAnsi="Calibri" w:cs="Times New Roman"/>
          <w:color w:val="auto"/>
          <w:spacing w:val="0"/>
          <w:sz w:val="24"/>
          <w:u w:val="none"/>
          <w:lang w:val="cs-CZ"/>
        </w:rPr>
        <w:t>intencionality dané</w:t>
      </w:r>
      <w:r>
        <w:rPr>
          <w:rStyle w:val="Zkladntextdkovn0pt"/>
          <w:rFonts w:ascii="Calibri" w:eastAsia="Times" w:hAnsi="Calibri" w:cs="Times New Roman"/>
          <w:color w:val="auto"/>
          <w:spacing w:val="0"/>
          <w:sz w:val="24"/>
          <w:u w:val="none"/>
          <w:lang w:val="cs-CZ"/>
        </w:rPr>
        <w:t xml:space="preserve"> mimo reálnou věc a mimo výsledný syntetizovaný obraz v duši, které je napojeno na mediatizující funkci </w:t>
      </w:r>
      <w:r w:rsidR="08361E49">
        <w:rPr>
          <w:rStyle w:val="Zkladntextdkovn0pt"/>
          <w:rFonts w:ascii="Calibri" w:eastAsia="Times" w:hAnsi="Calibri" w:cs="Times New Roman"/>
          <w:color w:val="auto"/>
          <w:spacing w:val="0"/>
          <w:sz w:val="24"/>
          <w:u w:val="none"/>
          <w:lang w:val="cs-CZ"/>
        </w:rPr>
        <w:t xml:space="preserve">smyslového </w:t>
      </w:r>
      <w:r>
        <w:rPr>
          <w:rStyle w:val="Zkladntextdkovn0pt"/>
          <w:rFonts w:ascii="Calibri" w:eastAsia="Times" w:hAnsi="Calibri" w:cs="Times New Roman"/>
          <w:color w:val="auto"/>
          <w:spacing w:val="0"/>
          <w:sz w:val="24"/>
          <w:u w:val="none"/>
          <w:lang w:val="cs-CZ"/>
        </w:rPr>
        <w:t xml:space="preserve">diafanum </w:t>
      </w:r>
      <w:r>
        <w:rPr>
          <w:i/>
        </w:rPr>
        <w:fldChar w:fldCharType="begin"/>
      </w:r>
      <w:r>
        <w:instrText xml:space="preserve"> XE "diafanum:Blund" </w:instrText>
      </w:r>
      <w:r>
        <w:rPr>
          <w:i/>
        </w:rPr>
        <w:fldChar w:fldCharType="end"/>
      </w:r>
      <w:r>
        <w:rPr>
          <w:rStyle w:val="Zkladntextdkovn0pt"/>
          <w:rFonts w:ascii="Calibri" w:eastAsia="Times" w:hAnsi="Calibri" w:cs="Times New Roman"/>
          <w:color w:val="auto"/>
          <w:spacing w:val="0"/>
          <w:sz w:val="24"/>
          <w:u w:val="none"/>
          <w:lang w:val="cs-CZ"/>
        </w:rPr>
        <w:t>a na akt vidění</w:t>
      </w:r>
      <w:r w:rsidR="084245DC">
        <w:rPr>
          <w:rStyle w:val="Zkladntextdkovn0pt"/>
          <w:rFonts w:ascii="Calibri" w:eastAsia="Times" w:hAnsi="Calibri" w:cs="Times New Roman"/>
          <w:color w:val="auto"/>
          <w:spacing w:val="0"/>
          <w:sz w:val="24"/>
          <w:u w:val="none"/>
          <w:lang w:val="cs-CZ"/>
        </w:rPr>
        <w:t xml:space="preserve">. </w:t>
      </w:r>
      <w:r w:rsidR="08B426AC">
        <w:rPr>
          <w:rStyle w:val="Zkladntextdkovn0pt"/>
          <w:rFonts w:ascii="Calibri" w:eastAsia="Times" w:hAnsi="Calibri" w:cs="Times New Roman"/>
          <w:color w:val="auto"/>
          <w:spacing w:val="0"/>
          <w:sz w:val="24"/>
          <w:u w:val="none"/>
          <w:lang w:val="cs-CZ"/>
        </w:rPr>
        <w:t xml:space="preserve">Blund </w:t>
      </w:r>
      <w:r w:rsidR="08D3473A">
        <w:rPr>
          <w:rStyle w:val="Zkladntextdkovn0pt"/>
          <w:rFonts w:ascii="Calibri" w:eastAsia="Times" w:hAnsi="Calibri" w:cs="Times New Roman"/>
          <w:color w:val="auto"/>
          <w:spacing w:val="0"/>
          <w:sz w:val="24"/>
          <w:u w:val="none"/>
          <w:lang w:val="cs-CZ"/>
        </w:rPr>
        <w:t>ví, že materiální první substance daná v realitě není totéž jako její nematerální poznání v</w:t>
      </w:r>
      <w:r w:rsidR="084245DC">
        <w:rPr>
          <w:rStyle w:val="Zkladntextdkovn0pt"/>
          <w:rFonts w:ascii="Calibri" w:eastAsia="Times" w:hAnsi="Calibri" w:cs="Times New Roman"/>
          <w:color w:val="auto"/>
          <w:spacing w:val="0"/>
          <w:sz w:val="24"/>
          <w:u w:val="none"/>
          <w:lang w:val="cs-CZ"/>
        </w:rPr>
        <w:t>e</w:t>
      </w:r>
      <w:r w:rsidR="08D3473A">
        <w:rPr>
          <w:rStyle w:val="Zkladntextdkovn0pt"/>
          <w:rFonts w:ascii="Calibri" w:eastAsia="Times" w:hAnsi="Calibri" w:cs="Times New Roman"/>
          <w:color w:val="auto"/>
          <w:spacing w:val="0"/>
          <w:sz w:val="24"/>
          <w:u w:val="none"/>
          <w:lang w:val="cs-CZ"/>
        </w:rPr>
        <w:t xml:space="preserve"> </w:t>
      </w:r>
      <w:r w:rsidR="084245DC">
        <w:rPr>
          <w:rStyle w:val="Zkladntextdkovn0pt"/>
          <w:rFonts w:ascii="Calibri" w:eastAsia="Times" w:hAnsi="Calibri" w:cs="Times New Roman"/>
          <w:color w:val="auto"/>
          <w:spacing w:val="0"/>
          <w:sz w:val="24"/>
          <w:u w:val="none"/>
          <w:lang w:val="cs-CZ"/>
        </w:rPr>
        <w:t xml:space="preserve">zvířecí sensibilní duši a v </w:t>
      </w:r>
      <w:r w:rsidR="08D3473A">
        <w:rPr>
          <w:rStyle w:val="Zkladntextdkovn0pt"/>
          <w:rFonts w:ascii="Calibri" w:eastAsia="Times" w:hAnsi="Calibri" w:cs="Times New Roman"/>
          <w:color w:val="auto"/>
          <w:spacing w:val="0"/>
          <w:sz w:val="24"/>
          <w:u w:val="none"/>
          <w:lang w:val="cs-CZ"/>
        </w:rPr>
        <w:t xml:space="preserve">lidské </w:t>
      </w:r>
      <w:r w:rsidR="084245DC">
        <w:rPr>
          <w:rStyle w:val="Zkladntextdkovn0pt"/>
          <w:rFonts w:ascii="Calibri" w:eastAsia="Times" w:hAnsi="Calibri" w:cs="Times New Roman"/>
          <w:color w:val="auto"/>
          <w:spacing w:val="0"/>
          <w:sz w:val="24"/>
          <w:u w:val="none"/>
          <w:lang w:val="cs-CZ"/>
        </w:rPr>
        <w:t xml:space="preserve">inteligibilní </w:t>
      </w:r>
      <w:r w:rsidR="08D3473A">
        <w:rPr>
          <w:rStyle w:val="Zkladntextdkovn0pt"/>
          <w:rFonts w:ascii="Calibri" w:eastAsia="Times" w:hAnsi="Calibri" w:cs="Times New Roman"/>
          <w:color w:val="auto"/>
          <w:spacing w:val="0"/>
          <w:sz w:val="24"/>
          <w:u w:val="none"/>
          <w:lang w:val="cs-CZ"/>
        </w:rPr>
        <w:t xml:space="preserve">duši. </w:t>
      </w:r>
      <w:r w:rsidR="08B12C10">
        <w:rPr>
          <w:rStyle w:val="Zkladntextdkovn0pt"/>
          <w:rFonts w:ascii="Calibri" w:eastAsia="Times" w:hAnsi="Calibri" w:cs="Times New Roman"/>
          <w:color w:val="auto"/>
          <w:spacing w:val="0"/>
          <w:sz w:val="24"/>
          <w:u w:val="none"/>
          <w:lang w:val="cs-CZ"/>
        </w:rPr>
        <w:t xml:space="preserve">Tento aristotelik </w:t>
      </w:r>
      <w:r w:rsidR="08B426AC">
        <w:rPr>
          <w:rStyle w:val="Zkladntextdkovn0pt"/>
          <w:rFonts w:ascii="Calibri" w:eastAsia="Times" w:hAnsi="Calibri" w:cs="Times New Roman"/>
          <w:color w:val="auto"/>
          <w:spacing w:val="0"/>
          <w:sz w:val="24"/>
          <w:u w:val="none"/>
          <w:lang w:val="cs-CZ"/>
        </w:rPr>
        <w:t xml:space="preserve">přesně </w:t>
      </w:r>
      <w:r w:rsidR="08B12C10">
        <w:rPr>
          <w:rStyle w:val="Zkladntextdkovn0pt"/>
          <w:rFonts w:ascii="Calibri" w:eastAsia="Times" w:hAnsi="Calibri" w:cs="Times New Roman"/>
          <w:color w:val="auto"/>
          <w:spacing w:val="0"/>
          <w:sz w:val="24"/>
          <w:u w:val="none"/>
          <w:lang w:val="cs-CZ"/>
        </w:rPr>
        <w:t xml:space="preserve">rozlišuje podle druhé knihy </w:t>
      </w:r>
      <w:r w:rsidR="08B12C10" w:rsidRPr="08B12C10">
        <w:rPr>
          <w:rStyle w:val="Zkladntextdkovn0pt"/>
          <w:rFonts w:ascii="Calibri" w:eastAsia="Times" w:hAnsi="Calibri" w:cs="Times New Roman"/>
          <w:i/>
          <w:color w:val="auto"/>
          <w:spacing w:val="0"/>
          <w:sz w:val="24"/>
          <w:u w:val="none"/>
          <w:lang w:val="cs-CZ"/>
        </w:rPr>
        <w:t xml:space="preserve">De anima </w:t>
      </w:r>
      <w:r w:rsidR="08B426AC">
        <w:rPr>
          <w:rStyle w:val="Zkladntextdkovn0pt"/>
          <w:rFonts w:ascii="Calibri" w:eastAsia="Times" w:hAnsi="Calibri" w:cs="Times New Roman"/>
          <w:color w:val="auto"/>
          <w:spacing w:val="0"/>
          <w:sz w:val="24"/>
          <w:u w:val="none"/>
          <w:lang w:val="cs-CZ"/>
        </w:rPr>
        <w:t>recepci vněmu danou smysly, mediaci skrze intencionalitu danou jako diafanum a výslednou syntézu smyslového poznatku</w:t>
      </w:r>
      <w:r w:rsidR="08086B10">
        <w:rPr>
          <w:rStyle w:val="Zkladntextdkovn0pt"/>
          <w:rFonts w:ascii="Calibri" w:eastAsia="Times" w:hAnsi="Calibri" w:cs="Times New Roman"/>
          <w:color w:val="auto"/>
          <w:spacing w:val="0"/>
          <w:sz w:val="24"/>
          <w:u w:val="none"/>
          <w:lang w:val="cs-CZ"/>
        </w:rPr>
        <w:t xml:space="preserve"> v představivosti</w:t>
      </w:r>
      <w:r w:rsidR="08B426AC">
        <w:rPr>
          <w:rStyle w:val="Zkladntextdkovn0pt"/>
          <w:rFonts w:ascii="Calibri" w:eastAsia="Times" w:hAnsi="Calibri" w:cs="Times New Roman"/>
          <w:color w:val="auto"/>
          <w:spacing w:val="0"/>
          <w:sz w:val="24"/>
          <w:u w:val="none"/>
          <w:lang w:val="cs-CZ"/>
        </w:rPr>
        <w:t>.</w:t>
      </w:r>
    </w:p>
    <w:p w14:paraId="309ECEA1" w14:textId="4F8A16C9" w:rsidR="00593F89" w:rsidRPr="08BE2778" w:rsidRDefault="08B12C10" w:rsidP="00181FE4">
      <w:pPr>
        <w:ind w:firstLine="397"/>
        <w:rPr>
          <w:rStyle w:val="Zkladntextdkovn0pt"/>
          <w:rFonts w:ascii="Calibri" w:eastAsia="Times" w:hAnsi="Calibri" w:cs="Times New Roman"/>
          <w:color w:val="auto"/>
          <w:spacing w:val="0"/>
          <w:sz w:val="24"/>
          <w:szCs w:val="24"/>
          <w:u w:val="none"/>
          <w:lang w:val="cs-CZ"/>
        </w:rPr>
      </w:pPr>
      <w:r>
        <w:rPr>
          <w:rStyle w:val="Zkladntextdkovn0pt"/>
          <w:rFonts w:ascii="Calibri" w:eastAsia="Times" w:hAnsi="Calibri" w:cs="Times New Roman"/>
          <w:color w:val="auto"/>
          <w:spacing w:val="0"/>
          <w:sz w:val="24"/>
          <w:u w:val="none"/>
          <w:lang w:val="cs-CZ"/>
        </w:rPr>
        <w:t>Podívejme se na společný aspekt smyslového vnímání zvířat a člověka vytvářející společný svět živých bytostí (</w:t>
      </w:r>
      <w:r w:rsidR="086C1F0A">
        <w:rPr>
          <w:rStyle w:val="Zkladntextdkovn0pt"/>
          <w:rFonts w:ascii="Calibri" w:eastAsia="Times" w:hAnsi="Calibri" w:cs="Times New Roman"/>
          <w:color w:val="auto"/>
          <w:spacing w:val="0"/>
          <w:sz w:val="24"/>
          <w:u w:val="none"/>
          <w:lang w:val="cs-CZ"/>
        </w:rPr>
        <w:t xml:space="preserve">OBJ I, </w:t>
      </w:r>
      <w:r>
        <w:rPr>
          <w:rStyle w:val="Zkladntextdkovn0pt"/>
          <w:rFonts w:ascii="Calibri" w:eastAsia="Times" w:hAnsi="Calibri" w:cs="Times New Roman"/>
          <w:color w:val="auto"/>
          <w:spacing w:val="0"/>
          <w:sz w:val="24"/>
          <w:u w:val="none"/>
          <w:lang w:val="cs-CZ"/>
        </w:rPr>
        <w:t xml:space="preserve">kap. 2.4.4). </w:t>
      </w:r>
      <w:r w:rsidR="083A6AD0" w:rsidRPr="00273106">
        <w:rPr>
          <w:rStyle w:val="Zkladntextdkovn0pt"/>
          <w:rFonts w:ascii="Calibri" w:eastAsia="Times" w:hAnsi="Calibri" w:cs="Times New Roman"/>
          <w:color w:val="auto"/>
          <w:spacing w:val="0"/>
          <w:sz w:val="24"/>
          <w:u w:val="none"/>
          <w:lang w:val="cs-CZ"/>
        </w:rPr>
        <w:t xml:space="preserve">Následující citát ukazuje správně pochopené poznání </w:t>
      </w:r>
      <w:r w:rsidR="083A6AD0">
        <w:rPr>
          <w:rStyle w:val="Zkladntextdkovn0pt"/>
          <w:rFonts w:ascii="Calibri" w:eastAsia="Times" w:hAnsi="Calibri" w:cs="Times New Roman"/>
          <w:color w:val="auto"/>
          <w:spacing w:val="0"/>
          <w:sz w:val="24"/>
          <w:u w:val="none"/>
          <w:lang w:val="cs-CZ"/>
        </w:rPr>
        <w:t>přesnou distinkcí jednotlivých prvků podle nasvícení smyslů zepředu od reálně existující věci.</w:t>
      </w:r>
    </w:p>
    <w:p w14:paraId="5769CF6D" w14:textId="40454781" w:rsidR="00593F89" w:rsidRDefault="00593F89" w:rsidP="00593F89">
      <w:pPr>
        <w:pStyle w:val="Citace"/>
        <w:rPr>
          <w:lang w:val="cs-CZ"/>
        </w:rPr>
      </w:pPr>
      <w:r>
        <w:t>„</w:t>
      </w:r>
      <w:r>
        <w:rPr>
          <w:lang w:val="cs-CZ"/>
        </w:rPr>
        <w:t xml:space="preserve">Intence je poznávaná věc přijatá do představivosti, </w:t>
      </w:r>
      <w:r w:rsidR="08D20CE4">
        <w:rPr>
          <w:lang w:val="cs-CZ"/>
        </w:rPr>
        <w:t xml:space="preserve">ale ne jako by skrze mediaci smyslů přicházela </w:t>
      </w:r>
      <w:r>
        <w:rPr>
          <w:lang w:val="cs-CZ"/>
        </w:rPr>
        <w:t xml:space="preserve">do </w:t>
      </w:r>
      <w:r w:rsidR="08D20CE4">
        <w:rPr>
          <w:lang w:val="cs-CZ"/>
        </w:rPr>
        <w:t>duše, protože pak by duše již nepotřebovala</w:t>
      </w:r>
      <w:r w:rsidR="08086B10">
        <w:rPr>
          <w:lang w:val="cs-CZ"/>
        </w:rPr>
        <w:t xml:space="preserve"> </w:t>
      </w:r>
      <w:r w:rsidR="08D20CE4">
        <w:rPr>
          <w:lang w:val="cs-CZ"/>
        </w:rPr>
        <w:t xml:space="preserve">jinou schopnost k poznání intence. Proto také intence není </w:t>
      </w:r>
      <w:r w:rsidR="083A6228">
        <w:rPr>
          <w:lang w:val="cs-CZ"/>
        </w:rPr>
        <w:t xml:space="preserve">otisk </w:t>
      </w:r>
      <w:r>
        <w:rPr>
          <w:lang w:val="cs-CZ"/>
        </w:rPr>
        <w:t>poznané věci ve smyslech nebo v představivosti (</w:t>
      </w:r>
      <w:r w:rsidRPr="00266E10">
        <w:rPr>
          <w:i/>
        </w:rPr>
        <w:t>nec est eius imago in sensu vel in imaginatione</w:t>
      </w:r>
      <w:r>
        <w:rPr>
          <w:lang w:val="cs-CZ"/>
        </w:rPr>
        <w:t xml:space="preserve">). </w:t>
      </w:r>
      <w:r w:rsidR="08D20CE4">
        <w:rPr>
          <w:lang w:val="cs-CZ"/>
        </w:rPr>
        <w:t>Ve smyslovém poznání vzniká (</w:t>
      </w:r>
      <w:r w:rsidR="08D20CE4" w:rsidRPr="08D20CE4">
        <w:rPr>
          <w:i/>
        </w:rPr>
        <w:t>fit in aestimatione</w:t>
      </w:r>
      <w:r w:rsidR="08D20CE4">
        <w:rPr>
          <w:lang w:val="cs-CZ"/>
        </w:rPr>
        <w:t>) smyslový obraz skrze určitou podobnost intence (</w:t>
      </w:r>
      <w:r w:rsidR="08D20CE4" w:rsidRPr="0091450C">
        <w:rPr>
          <w:i/>
        </w:rPr>
        <w:t>aliqua similitudine intentionis</w:t>
      </w:r>
      <w:r w:rsidR="08D20CE4">
        <w:rPr>
          <w:lang w:val="cs-CZ"/>
        </w:rPr>
        <w:t xml:space="preserve">) </w:t>
      </w:r>
      <w:r w:rsidR="08544BD7">
        <w:rPr>
          <w:lang w:val="cs-CZ"/>
        </w:rPr>
        <w:t xml:space="preserve">daný v poznávacím prostředí </w:t>
      </w:r>
      <w:r w:rsidR="08F87D90">
        <w:rPr>
          <w:lang w:val="cs-CZ"/>
        </w:rPr>
        <w:t xml:space="preserve">tvořeném </w:t>
      </w:r>
      <w:r w:rsidR="08544BD7">
        <w:rPr>
          <w:lang w:val="cs-CZ"/>
        </w:rPr>
        <w:t xml:space="preserve">jednak nástroji představivosti </w:t>
      </w:r>
      <w:r w:rsidR="08BE3FA9">
        <w:rPr>
          <w:lang w:val="cs-CZ"/>
        </w:rPr>
        <w:t>(</w:t>
      </w:r>
      <w:r w:rsidR="00503FF1" w:rsidRPr="00503FF1">
        <w:rPr>
          <w:i/>
          <w:lang w:val="cs-CZ"/>
        </w:rPr>
        <w:t>inter</w:t>
      </w:r>
      <w:r w:rsidR="00503FF1">
        <w:rPr>
          <w:lang w:val="cs-CZ"/>
        </w:rPr>
        <w:t xml:space="preserve"> </w:t>
      </w:r>
      <w:r w:rsidR="08BE3FA9" w:rsidRPr="0091450C">
        <w:rPr>
          <w:i/>
        </w:rPr>
        <w:t>instrumentum aestimationis</w:t>
      </w:r>
      <w:r w:rsidR="08BE3FA9">
        <w:rPr>
          <w:lang w:val="cs-CZ"/>
        </w:rPr>
        <w:t xml:space="preserve">) </w:t>
      </w:r>
      <w:r w:rsidR="08544BD7">
        <w:rPr>
          <w:lang w:val="cs-CZ"/>
        </w:rPr>
        <w:t>a jednak nositeli intence (</w:t>
      </w:r>
      <w:r w:rsidR="08BE3FA9" w:rsidRPr="08BE3FA9">
        <w:rPr>
          <w:i/>
          <w:lang w:val="cs-CZ"/>
        </w:rPr>
        <w:t>s</w:t>
      </w:r>
      <w:r w:rsidR="08544BD7" w:rsidRPr="08BE3FA9">
        <w:rPr>
          <w:i/>
        </w:rPr>
        <w:t>ubiectum</w:t>
      </w:r>
      <w:r w:rsidR="08544BD7" w:rsidRPr="0091450C">
        <w:rPr>
          <w:i/>
        </w:rPr>
        <w:t xml:space="preserve"> intentionis</w:t>
      </w:r>
      <w:r w:rsidR="08544BD7">
        <w:rPr>
          <w:lang w:val="cs-CZ"/>
        </w:rPr>
        <w:t xml:space="preserve">). </w:t>
      </w:r>
      <w:r>
        <w:rPr>
          <w:lang w:val="cs-CZ"/>
        </w:rPr>
        <w:t>To</w:t>
      </w:r>
      <w:r w:rsidR="08246AF9">
        <w:rPr>
          <w:lang w:val="cs-CZ"/>
        </w:rPr>
        <w:t>též</w:t>
      </w:r>
      <w:r>
        <w:rPr>
          <w:lang w:val="cs-CZ"/>
        </w:rPr>
        <w:t xml:space="preserve"> bylo řečeno výše o schopnosti vidění, že obraz viděné věci je v tom, co je </w:t>
      </w:r>
      <w:r w:rsidR="08246AF9">
        <w:rPr>
          <w:lang w:val="cs-CZ"/>
        </w:rPr>
        <w:t>dano aktem vidění</w:t>
      </w:r>
      <w:r>
        <w:rPr>
          <w:lang w:val="cs-CZ"/>
        </w:rPr>
        <w:t xml:space="preserve"> (</w:t>
      </w:r>
      <w:r w:rsidRPr="005C4466">
        <w:rPr>
          <w:i/>
        </w:rPr>
        <w:t>imago rei visae sit in visu</w:t>
      </w:r>
      <w:r w:rsidR="0831617A">
        <w:rPr>
          <w:lang w:val="cs-CZ"/>
        </w:rPr>
        <w:t>)</w:t>
      </w:r>
      <w:r>
        <w:rPr>
          <w:lang w:val="cs-CZ"/>
        </w:rPr>
        <w:t xml:space="preserve"> a podobnost daná obrazem není v průzračném prostředí (</w:t>
      </w:r>
      <w:r w:rsidRPr="005C4466">
        <w:rPr>
          <w:i/>
        </w:rPr>
        <w:t>non tamen in aere intermedio est consimilis imago</w:t>
      </w:r>
      <w:r>
        <w:rPr>
          <w:lang w:val="cs-CZ"/>
        </w:rPr>
        <w:t>).“</w:t>
      </w:r>
      <w:r>
        <w:rPr>
          <w:rStyle w:val="Znakapoznpodarou"/>
          <w:szCs w:val="15"/>
          <w:lang w:val="cs-CZ"/>
        </w:rPr>
        <w:t> </w:t>
      </w:r>
      <w:r w:rsidRPr="00273106">
        <w:rPr>
          <w:rStyle w:val="Znakapoznpodarou"/>
          <w:szCs w:val="15"/>
        </w:rPr>
        <w:footnoteReference w:id="92"/>
      </w:r>
    </w:p>
    <w:p w14:paraId="29C4CABC" w14:textId="77777777" w:rsidR="00F6229A" w:rsidRDefault="00593F89" w:rsidP="088538D7">
      <w:r>
        <w:rPr>
          <w:rStyle w:val="Zkladntextdkovn0pt"/>
          <w:rFonts w:ascii="Calibri" w:eastAsia="Times" w:hAnsi="Calibri" w:cs="Times New Roman"/>
          <w:color w:val="auto"/>
          <w:spacing w:val="0"/>
          <w:sz w:val="24"/>
          <w:u w:val="none"/>
          <w:lang w:val="cs-CZ"/>
        </w:rPr>
        <w:lastRenderedPageBreak/>
        <w:t xml:space="preserve">Intencionalita </w:t>
      </w:r>
      <w:r w:rsidR="082D5BD4">
        <w:rPr>
          <w:rStyle w:val="Zkladntextdkovn0pt"/>
          <w:rFonts w:ascii="Calibri" w:eastAsia="Times" w:hAnsi="Calibri" w:cs="Times New Roman"/>
          <w:color w:val="auto"/>
          <w:spacing w:val="0"/>
          <w:sz w:val="24"/>
          <w:u w:val="none"/>
          <w:lang w:val="cs-CZ"/>
        </w:rPr>
        <w:t>je výkonem duševní schopnost</w:t>
      </w:r>
      <w:r w:rsidR="08747F8D">
        <w:rPr>
          <w:rStyle w:val="Zkladntextdkovn0pt"/>
          <w:rFonts w:ascii="Calibri" w:eastAsia="Times" w:hAnsi="Calibri" w:cs="Times New Roman"/>
          <w:color w:val="auto"/>
          <w:spacing w:val="0"/>
          <w:sz w:val="24"/>
          <w:u w:val="none"/>
          <w:lang w:val="cs-CZ"/>
        </w:rPr>
        <w:t>i</w:t>
      </w:r>
      <w:r w:rsidR="082D5BD4">
        <w:rPr>
          <w:rStyle w:val="Zkladntextdkovn0pt"/>
          <w:rFonts w:ascii="Calibri" w:eastAsia="Times" w:hAnsi="Calibri" w:cs="Times New Roman"/>
          <w:color w:val="auto"/>
          <w:spacing w:val="0"/>
          <w:sz w:val="24"/>
          <w:u w:val="none"/>
          <w:lang w:val="cs-CZ"/>
        </w:rPr>
        <w:t xml:space="preserve"> dané v aktu imaginace (</w:t>
      </w:r>
      <w:r w:rsidR="082D5BD4" w:rsidRPr="00273106">
        <w:rPr>
          <w:i/>
        </w:rPr>
        <w:t>intentio est res accepta ab aestimatione</w:t>
      </w:r>
      <w:r w:rsidR="082D5BD4">
        <w:rPr>
          <w:rStyle w:val="Zkladntextdkovn0pt"/>
          <w:rFonts w:ascii="Calibri" w:eastAsia="Times" w:hAnsi="Calibri" w:cs="Times New Roman"/>
          <w:color w:val="auto"/>
          <w:spacing w:val="0"/>
          <w:sz w:val="24"/>
          <w:u w:val="none"/>
          <w:lang w:val="cs-CZ"/>
        </w:rPr>
        <w:t xml:space="preserve">), proto </w:t>
      </w:r>
      <w:r w:rsidRPr="00273106">
        <w:rPr>
          <w:rStyle w:val="Zkladntextdkovn0pt"/>
          <w:rFonts w:ascii="Calibri" w:eastAsia="Times" w:hAnsi="Calibri" w:cs="Times New Roman"/>
          <w:color w:val="auto"/>
          <w:spacing w:val="0"/>
          <w:sz w:val="24"/>
          <w:u w:val="none"/>
          <w:lang w:val="cs-CZ"/>
        </w:rPr>
        <w:t>není součástí smyslů (</w:t>
      </w:r>
      <w:r w:rsidRPr="00273106">
        <w:rPr>
          <w:i/>
        </w:rPr>
        <w:t>non cadens in sensum</w:t>
      </w:r>
      <w:r>
        <w:rPr>
          <w:rStyle w:val="Zkladntextdkovn0pt"/>
          <w:rFonts w:ascii="Calibri" w:eastAsia="Times" w:hAnsi="Calibri" w:cs="Times New Roman"/>
          <w:color w:val="auto"/>
          <w:spacing w:val="0"/>
          <w:sz w:val="24"/>
          <w:u w:val="none"/>
          <w:lang w:val="cs-CZ"/>
        </w:rPr>
        <w:t>). P</w:t>
      </w:r>
      <w:r w:rsidRPr="00273106">
        <w:rPr>
          <w:rStyle w:val="Zkladntextdkovn0pt"/>
          <w:rFonts w:ascii="Calibri" w:eastAsia="Times" w:hAnsi="Calibri" w:cs="Times New Roman"/>
          <w:color w:val="auto"/>
          <w:spacing w:val="0"/>
          <w:sz w:val="24"/>
          <w:u w:val="none"/>
          <w:lang w:val="cs-CZ"/>
        </w:rPr>
        <w:t xml:space="preserve">roto je </w:t>
      </w:r>
      <w:r w:rsidR="08A81F04">
        <w:rPr>
          <w:rStyle w:val="Zkladntextdkovn0pt"/>
          <w:rFonts w:ascii="Calibri" w:eastAsia="Times" w:hAnsi="Calibri" w:cs="Times New Roman"/>
          <w:color w:val="auto"/>
          <w:spacing w:val="0"/>
          <w:sz w:val="24"/>
          <w:u w:val="none"/>
          <w:lang w:val="cs-CZ"/>
        </w:rPr>
        <w:t xml:space="preserve">akt </w:t>
      </w:r>
      <w:r>
        <w:rPr>
          <w:rStyle w:val="Zkladntextdkovn0pt"/>
          <w:rFonts w:ascii="Calibri" w:eastAsia="Times" w:hAnsi="Calibri" w:cs="Times New Roman"/>
          <w:color w:val="auto"/>
          <w:spacing w:val="0"/>
          <w:sz w:val="24"/>
          <w:u w:val="none"/>
          <w:lang w:val="cs-CZ"/>
        </w:rPr>
        <w:t xml:space="preserve">intence </w:t>
      </w:r>
      <w:r w:rsidR="08A81F04">
        <w:rPr>
          <w:rStyle w:val="Zkladntextdkovn0pt"/>
          <w:rFonts w:ascii="Calibri" w:eastAsia="Times" w:hAnsi="Calibri" w:cs="Times New Roman"/>
          <w:color w:val="auto"/>
          <w:spacing w:val="0"/>
          <w:sz w:val="24"/>
          <w:u w:val="none"/>
          <w:lang w:val="cs-CZ"/>
        </w:rPr>
        <w:t xml:space="preserve">dané v duši </w:t>
      </w:r>
      <w:r w:rsidRPr="00273106">
        <w:rPr>
          <w:rStyle w:val="Zkladntextdkovn0pt"/>
          <w:rFonts w:ascii="Calibri" w:eastAsia="Times" w:hAnsi="Calibri" w:cs="Times New Roman"/>
          <w:color w:val="auto"/>
          <w:spacing w:val="0"/>
          <w:sz w:val="24"/>
          <w:u w:val="none"/>
          <w:lang w:val="cs-CZ"/>
        </w:rPr>
        <w:t>odd</w:t>
      </w:r>
      <w:r w:rsidR="08A81F04">
        <w:rPr>
          <w:rStyle w:val="Zkladntextdkovn0pt"/>
          <w:rFonts w:ascii="Calibri" w:eastAsia="Times" w:hAnsi="Calibri" w:cs="Times New Roman"/>
          <w:color w:val="auto"/>
          <w:spacing w:val="0"/>
          <w:sz w:val="24"/>
          <w:u w:val="none"/>
          <w:lang w:val="cs-CZ"/>
        </w:rPr>
        <w:t>ělen</w:t>
      </w:r>
      <w:r w:rsidR="08747F8D">
        <w:rPr>
          <w:rStyle w:val="Zkladntextdkovn0pt"/>
          <w:rFonts w:ascii="Calibri" w:eastAsia="Times" w:hAnsi="Calibri" w:cs="Times New Roman"/>
          <w:color w:val="auto"/>
          <w:spacing w:val="0"/>
          <w:sz w:val="24"/>
          <w:u w:val="none"/>
          <w:lang w:val="cs-CZ"/>
        </w:rPr>
        <w:t xml:space="preserve"> od smyslové mediace vjemu</w:t>
      </w:r>
      <w:r w:rsidR="08A81F04">
        <w:rPr>
          <w:rStyle w:val="Zkladntextdkovn0pt"/>
          <w:rFonts w:ascii="Calibri" w:eastAsia="Times" w:hAnsi="Calibri" w:cs="Times New Roman"/>
          <w:color w:val="auto"/>
          <w:spacing w:val="0"/>
          <w:sz w:val="24"/>
          <w:u w:val="none"/>
          <w:lang w:val="cs-CZ"/>
        </w:rPr>
        <w:t xml:space="preserve"> v orgánech. </w:t>
      </w:r>
      <w:r w:rsidR="08F87D90">
        <w:rPr>
          <w:rStyle w:val="Zkladntextdkovn0pt"/>
          <w:rFonts w:ascii="Calibri" w:eastAsia="Times" w:hAnsi="Calibri" w:cs="Times New Roman"/>
          <w:color w:val="auto"/>
          <w:spacing w:val="0"/>
          <w:sz w:val="24"/>
          <w:u w:val="none"/>
          <w:lang w:val="cs-CZ"/>
        </w:rPr>
        <w:t xml:space="preserve">Intenciobalita je nástrojem imaginace, proto s ná není totožná. Výsledný poznatek není totéž jako mediatizovaný intencionální předmět. </w:t>
      </w:r>
      <w:r w:rsidR="08A81F04">
        <w:rPr>
          <w:rStyle w:val="Zkladntextdkovn0pt"/>
          <w:rFonts w:ascii="Calibri" w:eastAsia="Times" w:hAnsi="Calibri" w:cs="Times New Roman"/>
          <w:color w:val="auto"/>
          <w:spacing w:val="0"/>
          <w:sz w:val="24"/>
          <w:u w:val="none"/>
          <w:lang w:val="cs-CZ"/>
        </w:rPr>
        <w:t xml:space="preserve">Mediace skrze smysly </w:t>
      </w:r>
      <w:r w:rsidR="08747F8D">
        <w:rPr>
          <w:rStyle w:val="Zkladntextdkovn0pt"/>
          <w:rFonts w:ascii="Calibri" w:eastAsia="Times" w:hAnsi="Calibri" w:cs="Times New Roman"/>
          <w:color w:val="auto"/>
          <w:spacing w:val="0"/>
          <w:sz w:val="24"/>
          <w:u w:val="none"/>
          <w:lang w:val="cs-CZ"/>
        </w:rPr>
        <w:t>aktualizuje potenciá</w:t>
      </w:r>
      <w:r w:rsidR="08BA0931">
        <w:rPr>
          <w:rStyle w:val="Zkladntextdkovn0pt"/>
          <w:rFonts w:ascii="Calibri" w:eastAsia="Times" w:hAnsi="Calibri" w:cs="Times New Roman"/>
          <w:color w:val="auto"/>
          <w:spacing w:val="0"/>
          <w:sz w:val="24"/>
          <w:u w:val="none"/>
          <w:lang w:val="cs-CZ"/>
        </w:rPr>
        <w:t>l</w:t>
      </w:r>
      <w:r w:rsidR="08747F8D">
        <w:rPr>
          <w:rStyle w:val="Zkladntextdkovn0pt"/>
          <w:rFonts w:ascii="Calibri" w:eastAsia="Times" w:hAnsi="Calibri" w:cs="Times New Roman"/>
          <w:color w:val="auto"/>
          <w:spacing w:val="0"/>
          <w:sz w:val="24"/>
          <w:u w:val="none"/>
          <w:lang w:val="cs-CZ"/>
        </w:rPr>
        <w:t xml:space="preserve">ní duševní schopnost </w:t>
      </w:r>
      <w:r w:rsidR="08AC5E38">
        <w:rPr>
          <w:rStyle w:val="Zkladntextdkovn0pt"/>
          <w:rFonts w:ascii="Calibri" w:eastAsia="Times" w:hAnsi="Calibri" w:cs="Times New Roman"/>
          <w:color w:val="auto"/>
          <w:spacing w:val="0"/>
          <w:sz w:val="24"/>
          <w:u w:val="none"/>
          <w:lang w:val="cs-CZ"/>
        </w:rPr>
        <w:t xml:space="preserve">intencionality </w:t>
      </w:r>
      <w:r w:rsidR="08747F8D">
        <w:rPr>
          <w:rStyle w:val="Zkladntextdkovn0pt"/>
          <w:rFonts w:ascii="Calibri" w:eastAsia="Times" w:hAnsi="Calibri" w:cs="Times New Roman"/>
          <w:color w:val="auto"/>
          <w:spacing w:val="0"/>
          <w:sz w:val="24"/>
          <w:u w:val="none"/>
          <w:lang w:val="cs-CZ"/>
        </w:rPr>
        <w:t xml:space="preserve">danou i u zvířat </w:t>
      </w:r>
      <w:r w:rsidRPr="00273106">
        <w:rPr>
          <w:rStyle w:val="Zkladntextdkovn0pt"/>
          <w:rFonts w:ascii="Calibri" w:eastAsia="Times" w:hAnsi="Calibri" w:cs="Times New Roman"/>
          <w:color w:val="auto"/>
          <w:spacing w:val="0"/>
          <w:sz w:val="24"/>
          <w:u w:val="none"/>
          <w:lang w:val="cs-CZ"/>
        </w:rPr>
        <w:t>(</w:t>
      </w:r>
      <w:r w:rsidRPr="00273106">
        <w:rPr>
          <w:i/>
        </w:rPr>
        <w:t>mediante sensu apprehendatur ab anima</w:t>
      </w:r>
      <w:r w:rsidRPr="00273106">
        <w:rPr>
          <w:rStyle w:val="Zkladntextdkovn0pt"/>
          <w:rFonts w:ascii="Calibri" w:eastAsia="Times" w:hAnsi="Calibri" w:cs="Times New Roman"/>
          <w:color w:val="auto"/>
          <w:spacing w:val="0"/>
          <w:sz w:val="24"/>
          <w:u w:val="none"/>
          <w:lang w:val="cs-CZ"/>
        </w:rPr>
        <w:t xml:space="preserve">). </w:t>
      </w:r>
      <w:r w:rsidR="087C4219">
        <w:rPr>
          <w:rStyle w:val="Zkladntextdkovn0pt"/>
          <w:rFonts w:ascii="Calibri" w:eastAsia="Times" w:hAnsi="Calibri" w:cs="Times New Roman"/>
          <w:color w:val="auto"/>
          <w:spacing w:val="0"/>
          <w:sz w:val="24"/>
          <w:u w:val="none"/>
          <w:lang w:val="cs-CZ"/>
        </w:rPr>
        <w:t>Duševní i</w:t>
      </w:r>
      <w:r w:rsidRPr="00273106">
        <w:rPr>
          <w:rStyle w:val="Zkladntextdkovn0pt"/>
          <w:rFonts w:ascii="Calibri" w:eastAsia="Times" w:hAnsi="Calibri" w:cs="Times New Roman"/>
          <w:color w:val="auto"/>
          <w:spacing w:val="0"/>
          <w:sz w:val="24"/>
          <w:u w:val="none"/>
          <w:lang w:val="cs-CZ"/>
        </w:rPr>
        <w:t xml:space="preserve">ntence </w:t>
      </w:r>
      <w:r w:rsidR="086546F9">
        <w:rPr>
          <w:rStyle w:val="Zkladntextdkovn0pt"/>
          <w:rFonts w:ascii="Calibri" w:eastAsia="Times" w:hAnsi="Calibri" w:cs="Times New Roman"/>
          <w:color w:val="auto"/>
          <w:spacing w:val="0"/>
          <w:sz w:val="24"/>
          <w:u w:val="none"/>
          <w:lang w:val="cs-CZ"/>
        </w:rPr>
        <w:t>se zásadně liší od smyslového vněmu</w:t>
      </w:r>
      <w:r w:rsidRPr="00273106">
        <w:rPr>
          <w:rStyle w:val="Zkladntextdkovn0pt"/>
          <w:rFonts w:ascii="Calibri" w:eastAsia="Times" w:hAnsi="Calibri" w:cs="Times New Roman"/>
          <w:color w:val="auto"/>
          <w:spacing w:val="0"/>
          <w:sz w:val="24"/>
          <w:u w:val="none"/>
          <w:lang w:val="cs-CZ"/>
        </w:rPr>
        <w:t xml:space="preserve"> danému </w:t>
      </w:r>
      <w:r w:rsidR="08455CD4">
        <w:rPr>
          <w:rStyle w:val="Zkladntextdkovn0pt"/>
          <w:rFonts w:ascii="Calibri" w:eastAsia="Times" w:hAnsi="Calibri" w:cs="Times New Roman"/>
          <w:color w:val="auto"/>
          <w:spacing w:val="0"/>
          <w:sz w:val="24"/>
          <w:u w:val="none"/>
          <w:lang w:val="cs-CZ"/>
        </w:rPr>
        <w:t>materiálně v tělesných orgánech</w:t>
      </w:r>
      <w:r w:rsidR="087C4219">
        <w:rPr>
          <w:rStyle w:val="Zkladntextdkovn0pt"/>
          <w:rFonts w:ascii="Calibri" w:eastAsia="Times" w:hAnsi="Calibri" w:cs="Times New Roman"/>
          <w:color w:val="auto"/>
          <w:spacing w:val="0"/>
          <w:sz w:val="24"/>
          <w:u w:val="none"/>
          <w:lang w:val="cs-CZ"/>
        </w:rPr>
        <w:t xml:space="preserve">. </w:t>
      </w:r>
      <w:r w:rsidR="088C5A9C">
        <w:rPr>
          <w:rStyle w:val="Zkladntextdkovn0pt"/>
          <w:rFonts w:ascii="Calibri" w:eastAsia="Times" w:hAnsi="Calibri" w:cs="Times New Roman"/>
          <w:color w:val="auto"/>
          <w:spacing w:val="0"/>
          <w:sz w:val="24"/>
          <w:u w:val="none"/>
          <w:lang w:val="cs-CZ"/>
        </w:rPr>
        <w:t>Intence je totiž mediací v duši jako nemateriální formě těla (</w:t>
      </w:r>
      <w:r w:rsidR="088C5A9C" w:rsidRPr="088C5A9C">
        <w:rPr>
          <w:rStyle w:val="Zkladntextdkovn0pt"/>
          <w:rFonts w:ascii="Calibri" w:eastAsia="Times" w:hAnsi="Calibri" w:cs="Times New Roman"/>
          <w:i/>
          <w:color w:val="auto"/>
          <w:spacing w:val="0"/>
          <w:sz w:val="24"/>
          <w:u w:val="none"/>
          <w:lang w:val="cs-CZ"/>
        </w:rPr>
        <w:t>esse spirituale</w:t>
      </w:r>
      <w:r w:rsidR="082E55AF">
        <w:rPr>
          <w:rStyle w:val="Zkladntextdkovn0pt"/>
          <w:rFonts w:ascii="Calibri" w:eastAsia="Times" w:hAnsi="Calibri" w:cs="Times New Roman"/>
          <w:color w:val="auto"/>
          <w:spacing w:val="0"/>
          <w:sz w:val="24"/>
          <w:u w:val="none"/>
          <w:lang w:val="cs-CZ"/>
        </w:rPr>
        <w:t xml:space="preserve">; OBJ I, </w:t>
      </w:r>
      <w:r w:rsidR="088C5A9C">
        <w:rPr>
          <w:rStyle w:val="Zkladntextdkovn0pt"/>
          <w:rFonts w:ascii="Calibri" w:eastAsia="Times" w:hAnsi="Calibri" w:cs="Times New Roman"/>
          <w:color w:val="auto"/>
          <w:spacing w:val="0"/>
          <w:sz w:val="24"/>
          <w:u w:val="none"/>
          <w:lang w:val="cs-CZ"/>
        </w:rPr>
        <w:t xml:space="preserve">kap. 2.4.4). </w:t>
      </w:r>
      <w:r w:rsidR="088538D7">
        <w:rPr>
          <w:rStyle w:val="Zkladntextdkovn0pt"/>
          <w:rFonts w:ascii="Calibri" w:eastAsia="Times" w:hAnsi="Calibri" w:cs="Times New Roman"/>
          <w:color w:val="auto"/>
          <w:spacing w:val="0"/>
          <w:sz w:val="24"/>
          <w:u w:val="none"/>
          <w:lang w:val="cs-CZ"/>
        </w:rPr>
        <w:t xml:space="preserve">Proto je třeba </w:t>
      </w:r>
      <w:r w:rsidR="087B4CAF">
        <w:rPr>
          <w:rStyle w:val="Zkladntextdkovn0pt"/>
          <w:rFonts w:ascii="Calibri" w:eastAsia="Times" w:hAnsi="Calibri" w:cs="Times New Roman"/>
          <w:color w:val="auto"/>
          <w:spacing w:val="0"/>
          <w:sz w:val="24"/>
          <w:u w:val="none"/>
          <w:lang w:val="cs-CZ"/>
        </w:rPr>
        <w:t xml:space="preserve">v průběhu smyslového poznání od sebe oddělit 4 složky: 1) </w:t>
      </w:r>
      <w:r w:rsidR="088538D7">
        <w:rPr>
          <w:rStyle w:val="Zkladntextdkovn0pt"/>
          <w:rFonts w:ascii="Calibri" w:eastAsia="Times" w:hAnsi="Calibri" w:cs="Times New Roman"/>
          <w:color w:val="auto"/>
          <w:spacing w:val="0"/>
          <w:sz w:val="24"/>
          <w:u w:val="none"/>
          <w:lang w:val="cs-CZ"/>
        </w:rPr>
        <w:t>viděnou věc danou reálně</w:t>
      </w:r>
      <w:r w:rsidR="087B4CAF">
        <w:rPr>
          <w:rStyle w:val="Zkladntextdkovn0pt"/>
          <w:rFonts w:ascii="Calibri" w:eastAsia="Times" w:hAnsi="Calibri" w:cs="Times New Roman"/>
          <w:color w:val="auto"/>
          <w:spacing w:val="0"/>
          <w:sz w:val="24"/>
          <w:u w:val="none"/>
          <w:lang w:val="cs-CZ"/>
        </w:rPr>
        <w:t xml:space="preserve">; 2) </w:t>
      </w:r>
      <w:r w:rsidR="088538D7">
        <w:rPr>
          <w:rStyle w:val="Zkladntextdkovn0pt"/>
          <w:rFonts w:ascii="Calibri" w:eastAsia="Times" w:hAnsi="Calibri" w:cs="Times New Roman"/>
          <w:color w:val="auto"/>
          <w:spacing w:val="0"/>
          <w:sz w:val="24"/>
          <w:u w:val="none"/>
          <w:lang w:val="cs-CZ"/>
        </w:rPr>
        <w:t xml:space="preserve">její kauzální působení </w:t>
      </w:r>
      <w:r w:rsidR="081E4D47">
        <w:rPr>
          <w:rStyle w:val="Zkladntextdkovn0pt"/>
          <w:rFonts w:ascii="Calibri" w:eastAsia="Times" w:hAnsi="Calibri" w:cs="Times New Roman"/>
          <w:color w:val="auto"/>
          <w:spacing w:val="0"/>
          <w:sz w:val="24"/>
          <w:u w:val="none"/>
          <w:lang w:val="cs-CZ"/>
        </w:rPr>
        <w:t xml:space="preserve">na smysly </w:t>
      </w:r>
      <w:r w:rsidR="088538D7">
        <w:rPr>
          <w:rStyle w:val="Zkladntextdkovn0pt"/>
          <w:rFonts w:ascii="Calibri" w:eastAsia="Times" w:hAnsi="Calibri" w:cs="Times New Roman"/>
          <w:color w:val="auto"/>
          <w:spacing w:val="0"/>
          <w:sz w:val="24"/>
          <w:u w:val="none"/>
          <w:lang w:val="cs-CZ"/>
        </w:rPr>
        <w:t xml:space="preserve">skrze fyzikální </w:t>
      </w:r>
      <w:r w:rsidR="080C52FB">
        <w:rPr>
          <w:rStyle w:val="Zkladntextdkovn0pt"/>
          <w:rFonts w:ascii="Calibri" w:eastAsia="Times" w:hAnsi="Calibri" w:cs="Times New Roman"/>
          <w:color w:val="auto"/>
          <w:spacing w:val="0"/>
          <w:sz w:val="24"/>
          <w:u w:val="none"/>
          <w:lang w:val="cs-CZ"/>
        </w:rPr>
        <w:t xml:space="preserve">a smyslové </w:t>
      </w:r>
      <w:r w:rsidR="088538D7">
        <w:rPr>
          <w:rStyle w:val="Zkladntextdkovn0pt"/>
          <w:rFonts w:ascii="Calibri" w:eastAsia="Times" w:hAnsi="Calibri" w:cs="Times New Roman"/>
          <w:color w:val="auto"/>
          <w:spacing w:val="0"/>
          <w:sz w:val="24"/>
          <w:u w:val="none"/>
          <w:lang w:val="cs-CZ"/>
        </w:rPr>
        <w:t>diafanum (</w:t>
      </w:r>
      <w:r w:rsidR="08C95B26" w:rsidRPr="08C95B26">
        <w:rPr>
          <w:i/>
        </w:rPr>
        <w:t>translucens</w:t>
      </w:r>
      <w:r w:rsidR="08C95B26">
        <w:t xml:space="preserve">, </w:t>
      </w:r>
      <w:r w:rsidR="088538D7" w:rsidRPr="088538D7">
        <w:rPr>
          <w:rStyle w:val="Zkladntextdkovn0pt"/>
          <w:rFonts w:ascii="Calibri" w:eastAsia="Times" w:hAnsi="Calibri" w:cs="Times New Roman"/>
          <w:i/>
          <w:color w:val="auto"/>
          <w:spacing w:val="0"/>
          <w:sz w:val="24"/>
          <w:u w:val="none"/>
          <w:lang w:val="cs-CZ"/>
        </w:rPr>
        <w:t>perspicuum</w:t>
      </w:r>
      <w:r w:rsidR="088538D7">
        <w:rPr>
          <w:rStyle w:val="Zkladntextdkovn0pt"/>
          <w:rFonts w:ascii="Calibri" w:eastAsia="Times" w:hAnsi="Calibri" w:cs="Times New Roman"/>
          <w:i/>
          <w:color w:val="auto"/>
          <w:spacing w:val="0"/>
          <w:sz w:val="24"/>
          <w:u w:val="none"/>
          <w:lang w:val="cs-CZ"/>
        </w:rPr>
        <w:fldChar w:fldCharType="begin"/>
      </w:r>
      <w:r w:rsidR="088538D7">
        <w:instrText xml:space="preserve"> XE "</w:instrText>
      </w:r>
      <w:r w:rsidR="088538D7" w:rsidRPr="0804170F">
        <w:rPr>
          <w:rStyle w:val="Zkladntextdkovn0pt"/>
          <w:rFonts w:ascii="Calibri" w:eastAsia="Times" w:hAnsi="Calibri" w:cs="Times New Roman"/>
          <w:i/>
          <w:color w:val="auto"/>
          <w:spacing w:val="0"/>
          <w:sz w:val="24"/>
          <w:u w:val="none"/>
          <w:lang w:val="cs-CZ"/>
        </w:rPr>
        <w:instrText>perspicuum</w:instrText>
      </w:r>
      <w:r w:rsidR="088538D7">
        <w:instrText xml:space="preserve">" </w:instrText>
      </w:r>
      <w:r w:rsidR="088538D7">
        <w:rPr>
          <w:rStyle w:val="Zkladntextdkovn0pt"/>
          <w:rFonts w:ascii="Calibri" w:eastAsia="Times" w:hAnsi="Calibri" w:cs="Times New Roman"/>
          <w:i/>
          <w:color w:val="auto"/>
          <w:spacing w:val="0"/>
          <w:sz w:val="24"/>
          <w:u w:val="none"/>
          <w:lang w:val="cs-CZ"/>
        </w:rPr>
        <w:fldChar w:fldCharType="end"/>
      </w:r>
      <w:r w:rsidR="088538D7">
        <w:rPr>
          <w:rStyle w:val="Zkladntextdkovn0pt"/>
          <w:rFonts w:ascii="Calibri" w:eastAsia="Times" w:hAnsi="Calibri" w:cs="Times New Roman"/>
          <w:color w:val="auto"/>
          <w:spacing w:val="0"/>
          <w:sz w:val="24"/>
          <w:u w:val="none"/>
          <w:lang w:val="cs-CZ"/>
        </w:rPr>
        <w:t>)</w:t>
      </w:r>
      <w:r w:rsidR="081E4D47">
        <w:rPr>
          <w:rStyle w:val="Zkladntextdkovn0pt"/>
          <w:rFonts w:ascii="Calibri" w:eastAsia="Times" w:hAnsi="Calibri" w:cs="Times New Roman"/>
          <w:color w:val="auto"/>
          <w:spacing w:val="0"/>
          <w:sz w:val="24"/>
          <w:u w:val="none"/>
          <w:lang w:val="cs-CZ"/>
        </w:rPr>
        <w:t xml:space="preserve"> přenášející světlo do oka jako smyslového orgánu</w:t>
      </w:r>
      <w:r w:rsidR="087B4CAF">
        <w:rPr>
          <w:rStyle w:val="Zkladntextdkovn0pt"/>
          <w:rFonts w:ascii="Calibri" w:eastAsia="Times" w:hAnsi="Calibri" w:cs="Times New Roman"/>
          <w:color w:val="auto"/>
          <w:spacing w:val="0"/>
          <w:sz w:val="24"/>
          <w:u w:val="none"/>
          <w:lang w:val="cs-CZ"/>
        </w:rPr>
        <w:t xml:space="preserve">; 3) </w:t>
      </w:r>
      <w:r w:rsidR="081E4D47">
        <w:rPr>
          <w:rStyle w:val="Zkladntextdkovn0pt"/>
          <w:rFonts w:ascii="Calibri" w:eastAsia="Times" w:hAnsi="Calibri" w:cs="Times New Roman"/>
          <w:color w:val="auto"/>
          <w:spacing w:val="0"/>
          <w:sz w:val="24"/>
          <w:u w:val="none"/>
          <w:lang w:val="cs-CZ"/>
        </w:rPr>
        <w:t xml:space="preserve">formální </w:t>
      </w:r>
      <w:r w:rsidR="088538D7">
        <w:rPr>
          <w:rStyle w:val="Zkladntextdkovn0pt"/>
          <w:rFonts w:ascii="Calibri" w:eastAsia="Times" w:hAnsi="Calibri" w:cs="Times New Roman"/>
          <w:color w:val="auto"/>
          <w:spacing w:val="0"/>
          <w:sz w:val="24"/>
          <w:u w:val="none"/>
          <w:lang w:val="cs-CZ"/>
        </w:rPr>
        <w:t xml:space="preserve">mediaci v duši </w:t>
      </w:r>
      <w:r w:rsidR="081E4D47">
        <w:rPr>
          <w:rStyle w:val="Zkladntextdkovn0pt"/>
          <w:rFonts w:ascii="Calibri" w:eastAsia="Times" w:hAnsi="Calibri" w:cs="Times New Roman"/>
          <w:color w:val="auto"/>
          <w:spacing w:val="0"/>
          <w:sz w:val="24"/>
          <w:u w:val="none"/>
          <w:lang w:val="cs-CZ"/>
        </w:rPr>
        <w:t>danou intencionálně</w:t>
      </w:r>
      <w:r w:rsidR="087B4CAF">
        <w:rPr>
          <w:rStyle w:val="Zkladntextdkovn0pt"/>
          <w:rFonts w:ascii="Calibri" w:eastAsia="Times" w:hAnsi="Calibri" w:cs="Times New Roman"/>
          <w:color w:val="auto"/>
          <w:spacing w:val="0"/>
          <w:sz w:val="24"/>
          <w:u w:val="none"/>
          <w:lang w:val="cs-CZ"/>
        </w:rPr>
        <w:t xml:space="preserve">; 4) </w:t>
      </w:r>
      <w:r w:rsidR="088538D7">
        <w:rPr>
          <w:rStyle w:val="Zkladntextdkovn0pt"/>
          <w:rFonts w:ascii="Calibri" w:eastAsia="Times" w:hAnsi="Calibri" w:cs="Times New Roman"/>
          <w:color w:val="auto"/>
          <w:spacing w:val="0"/>
          <w:sz w:val="24"/>
          <w:u w:val="none"/>
          <w:lang w:val="cs-CZ"/>
        </w:rPr>
        <w:t xml:space="preserve">výsledný poznatek </w:t>
      </w:r>
      <w:r w:rsidR="081E4D47">
        <w:rPr>
          <w:rStyle w:val="Zkladntextdkovn0pt"/>
          <w:rFonts w:ascii="Calibri" w:eastAsia="Times" w:hAnsi="Calibri" w:cs="Times New Roman"/>
          <w:color w:val="auto"/>
          <w:spacing w:val="0"/>
          <w:sz w:val="24"/>
          <w:u w:val="none"/>
          <w:lang w:val="cs-CZ"/>
        </w:rPr>
        <w:t xml:space="preserve">v představivosti </w:t>
      </w:r>
      <w:r w:rsidR="000B364D">
        <w:rPr>
          <w:rStyle w:val="Zkladntextdkovn0pt"/>
          <w:rFonts w:ascii="Calibri" w:eastAsia="Times" w:hAnsi="Calibri" w:cs="Times New Roman"/>
          <w:color w:val="auto"/>
          <w:spacing w:val="0"/>
          <w:sz w:val="24"/>
          <w:u w:val="none"/>
          <w:lang w:val="cs-CZ"/>
        </w:rPr>
        <w:t>jako viděný předmět</w:t>
      </w:r>
      <w:r w:rsidR="088538D7">
        <w:rPr>
          <w:rStyle w:val="Zkladntextdkovn0pt"/>
          <w:rFonts w:ascii="Calibri" w:eastAsia="Times" w:hAnsi="Calibri" w:cs="Times New Roman"/>
          <w:color w:val="auto"/>
          <w:spacing w:val="0"/>
          <w:sz w:val="24"/>
          <w:u w:val="none"/>
          <w:lang w:val="cs-CZ"/>
        </w:rPr>
        <w:t xml:space="preserve">. </w:t>
      </w:r>
      <w:r w:rsidR="003A394F">
        <w:rPr>
          <w:rStyle w:val="Zkladntextdkovn0pt"/>
          <w:rFonts w:ascii="Calibri" w:eastAsia="Times" w:hAnsi="Calibri" w:cs="Times New Roman"/>
          <w:color w:val="auto"/>
          <w:spacing w:val="0"/>
          <w:sz w:val="24"/>
          <w:u w:val="none"/>
          <w:lang w:val="cs-CZ"/>
        </w:rPr>
        <w:t xml:space="preserve">Aristotelská syntéza není neoplatonský a moderním obtisk věci v intelektu, ale syntéza intencionálního předmětu </w:t>
      </w:r>
      <w:r w:rsidR="088538D7">
        <w:rPr>
          <w:rStyle w:val="Zkladntextdkovn0pt"/>
          <w:rFonts w:ascii="Calibri" w:eastAsia="Times" w:hAnsi="Calibri" w:cs="Times New Roman"/>
          <w:color w:val="auto"/>
          <w:spacing w:val="0"/>
          <w:sz w:val="24"/>
          <w:u w:val="none"/>
          <w:lang w:val="cs-CZ"/>
        </w:rPr>
        <w:t>v aktu vidění</w:t>
      </w:r>
      <w:r w:rsidR="08A90426">
        <w:rPr>
          <w:rStyle w:val="Zkladntextdkovn0pt"/>
          <w:rFonts w:ascii="Calibri" w:eastAsia="Times" w:hAnsi="Calibri" w:cs="Times New Roman"/>
          <w:color w:val="auto"/>
          <w:spacing w:val="0"/>
          <w:sz w:val="24"/>
          <w:u w:val="none"/>
          <w:lang w:val="cs-CZ"/>
        </w:rPr>
        <w:t xml:space="preserve"> (</w:t>
      </w:r>
      <w:r w:rsidR="08A90426" w:rsidRPr="00273106">
        <w:rPr>
          <w:i/>
        </w:rPr>
        <w:t>imago rei visae sit in visu</w:t>
      </w:r>
      <w:r w:rsidR="08A90426" w:rsidRPr="00E13302">
        <w:t>)</w:t>
      </w:r>
      <w:r w:rsidR="08A90426" w:rsidRPr="00273106">
        <w:rPr>
          <w:rStyle w:val="Zkladntextdkovn0pt"/>
          <w:rFonts w:ascii="Calibri" w:eastAsia="Times" w:hAnsi="Calibri" w:cs="Times New Roman"/>
          <w:color w:val="auto"/>
          <w:spacing w:val="0"/>
          <w:sz w:val="24"/>
          <w:u w:val="none"/>
          <w:lang w:val="cs-CZ"/>
        </w:rPr>
        <w:t xml:space="preserve">. Vytvoření </w:t>
      </w:r>
      <w:r w:rsidR="08A90426">
        <w:rPr>
          <w:rStyle w:val="Zkladntextdkovn0pt"/>
          <w:rFonts w:ascii="Calibri" w:eastAsia="Times" w:hAnsi="Calibri" w:cs="Times New Roman"/>
          <w:color w:val="auto"/>
          <w:spacing w:val="0"/>
          <w:sz w:val="24"/>
          <w:u w:val="none"/>
          <w:lang w:val="cs-CZ"/>
        </w:rPr>
        <w:t xml:space="preserve">intencionální podobnosti </w:t>
      </w:r>
      <w:r w:rsidR="08A90426" w:rsidRPr="00273106">
        <w:rPr>
          <w:rStyle w:val="Zkladntextdkovn0pt"/>
          <w:rFonts w:ascii="Calibri" w:eastAsia="Times" w:hAnsi="Calibri" w:cs="Times New Roman"/>
          <w:color w:val="auto"/>
          <w:spacing w:val="0"/>
          <w:sz w:val="24"/>
          <w:u w:val="none"/>
          <w:lang w:val="cs-CZ"/>
        </w:rPr>
        <w:t xml:space="preserve">věci představuje aktivní výkon poznání v jiném řádu, než </w:t>
      </w:r>
      <w:r w:rsidR="08A90426">
        <w:rPr>
          <w:rStyle w:val="Zkladntextdkovn0pt"/>
          <w:rFonts w:ascii="Calibri" w:eastAsia="Times" w:hAnsi="Calibri" w:cs="Times New Roman"/>
          <w:color w:val="auto"/>
          <w:spacing w:val="0"/>
          <w:sz w:val="24"/>
          <w:u w:val="none"/>
          <w:lang w:val="cs-CZ"/>
        </w:rPr>
        <w:t xml:space="preserve">fyzická </w:t>
      </w:r>
      <w:r w:rsidR="08A90426" w:rsidRPr="00273106">
        <w:rPr>
          <w:rStyle w:val="Zkladntextdkovn0pt"/>
          <w:rFonts w:ascii="Calibri" w:eastAsia="Times" w:hAnsi="Calibri" w:cs="Times New Roman"/>
          <w:color w:val="auto"/>
          <w:spacing w:val="0"/>
          <w:sz w:val="24"/>
          <w:u w:val="none"/>
          <w:lang w:val="cs-CZ"/>
        </w:rPr>
        <w:t>recepce</w:t>
      </w:r>
      <w:r w:rsidR="08A90426">
        <w:rPr>
          <w:rStyle w:val="Zkladntextdkovn0pt"/>
          <w:rFonts w:ascii="Calibri" w:eastAsia="Times" w:hAnsi="Calibri" w:cs="Times New Roman"/>
          <w:color w:val="auto"/>
          <w:spacing w:val="0"/>
          <w:sz w:val="24"/>
          <w:u w:val="none"/>
          <w:lang w:val="cs-CZ"/>
        </w:rPr>
        <w:t xml:space="preserve"> daná ve smyslovém orgánu</w:t>
      </w:r>
      <w:r w:rsidR="08A90426" w:rsidRPr="00273106">
        <w:rPr>
          <w:rStyle w:val="Zkladntextdkovn0pt"/>
          <w:rFonts w:ascii="Calibri" w:eastAsia="Times" w:hAnsi="Calibri" w:cs="Times New Roman"/>
          <w:color w:val="auto"/>
          <w:spacing w:val="0"/>
          <w:sz w:val="24"/>
          <w:u w:val="none"/>
          <w:lang w:val="cs-CZ"/>
        </w:rPr>
        <w:t xml:space="preserve">. </w:t>
      </w:r>
      <w:r w:rsidR="08A90426">
        <w:rPr>
          <w:rStyle w:val="Zkladntextdkovn0pt"/>
          <w:rFonts w:ascii="Calibri" w:eastAsia="Times" w:hAnsi="Calibri" w:cs="Times New Roman"/>
          <w:color w:val="auto"/>
          <w:spacing w:val="0"/>
          <w:sz w:val="24"/>
          <w:u w:val="none"/>
          <w:lang w:val="cs-CZ"/>
        </w:rPr>
        <w:t xml:space="preserve">Teprve </w:t>
      </w:r>
      <w:r w:rsidR="08A90426" w:rsidRPr="08097CD9">
        <w:rPr>
          <w:rStyle w:val="Zkladntextdkovn0pt"/>
          <w:rFonts w:ascii="Calibri" w:eastAsia="Times" w:hAnsi="Calibri" w:cs="Times New Roman"/>
          <w:i/>
          <w:color w:val="auto"/>
          <w:spacing w:val="0"/>
          <w:sz w:val="24"/>
          <w:u w:val="none"/>
          <w:lang w:val="cs-CZ"/>
        </w:rPr>
        <w:t>imago</w:t>
      </w:r>
      <w:r w:rsidR="08A90426">
        <w:rPr>
          <w:rStyle w:val="Zkladntextdkovn0pt"/>
          <w:rFonts w:ascii="Calibri" w:eastAsia="Times" w:hAnsi="Calibri" w:cs="Times New Roman"/>
          <w:color w:val="auto"/>
          <w:spacing w:val="0"/>
          <w:sz w:val="24"/>
          <w:u w:val="none"/>
          <w:lang w:val="cs-CZ"/>
        </w:rPr>
        <w:t xml:space="preserve"> dostane statut </w:t>
      </w:r>
      <w:r w:rsidR="08A90426" w:rsidRPr="00F45C18">
        <w:rPr>
          <w:rStyle w:val="Zkladntextdkovn0pt"/>
          <w:rFonts w:ascii="Calibri" w:eastAsia="Times" w:hAnsi="Calibri" w:cs="Times New Roman"/>
          <w:i/>
          <w:color w:val="auto"/>
          <w:spacing w:val="0"/>
          <w:sz w:val="24"/>
          <w:u w:val="none"/>
          <w:lang w:val="cs-CZ"/>
        </w:rPr>
        <w:t>consimile</w:t>
      </w:r>
      <w:r w:rsidR="08A90426">
        <w:rPr>
          <w:rStyle w:val="Zkladntextdkovn0pt"/>
          <w:rFonts w:ascii="Calibri" w:eastAsia="Times" w:hAnsi="Calibri" w:cs="Times New Roman"/>
          <w:color w:val="auto"/>
          <w:spacing w:val="0"/>
          <w:sz w:val="24"/>
          <w:u w:val="none"/>
          <w:lang w:val="cs-CZ"/>
        </w:rPr>
        <w:t xml:space="preserve"> vzhledem k reálné věci skrze akt duše. </w:t>
      </w:r>
      <w:r w:rsidR="087C4219">
        <w:rPr>
          <w:rStyle w:val="Zkladntextdkovn0pt"/>
          <w:rFonts w:ascii="Calibri" w:eastAsia="Times" w:hAnsi="Calibri" w:cs="Times New Roman"/>
          <w:color w:val="auto"/>
          <w:spacing w:val="0"/>
          <w:sz w:val="24"/>
          <w:u w:val="none"/>
          <w:lang w:val="cs-CZ"/>
        </w:rPr>
        <w:t xml:space="preserve">Duše existující v entelechicky zaměřeném těle zvířete nebo člověka </w:t>
      </w:r>
      <w:r w:rsidR="08455CD4">
        <w:rPr>
          <w:rStyle w:val="Zkladntextdkovn0pt"/>
          <w:rFonts w:ascii="Calibri" w:eastAsia="Times" w:hAnsi="Calibri" w:cs="Times New Roman"/>
          <w:color w:val="auto"/>
          <w:spacing w:val="0"/>
          <w:sz w:val="24"/>
          <w:u w:val="none"/>
          <w:lang w:val="cs-CZ"/>
        </w:rPr>
        <w:t>provádí zcela individuální a</w:t>
      </w:r>
      <w:r>
        <w:rPr>
          <w:rStyle w:val="Zkladntextdkovn0pt"/>
          <w:rFonts w:ascii="Calibri" w:eastAsia="Times" w:hAnsi="Calibri" w:cs="Times New Roman"/>
          <w:color w:val="auto"/>
          <w:spacing w:val="0"/>
          <w:sz w:val="24"/>
          <w:u w:val="none"/>
          <w:lang w:val="cs-CZ"/>
        </w:rPr>
        <w:t xml:space="preserve">ktivní </w:t>
      </w:r>
      <w:r w:rsidRPr="00273106">
        <w:rPr>
          <w:rStyle w:val="Zkladntextdkovn0pt"/>
          <w:rFonts w:ascii="Calibri" w:eastAsia="Times" w:hAnsi="Calibri" w:cs="Times New Roman"/>
          <w:color w:val="auto"/>
          <w:spacing w:val="0"/>
          <w:sz w:val="24"/>
          <w:u w:val="none"/>
          <w:lang w:val="cs-CZ"/>
        </w:rPr>
        <w:t>recep</w:t>
      </w:r>
      <w:r w:rsidR="08455CD4">
        <w:rPr>
          <w:rStyle w:val="Zkladntextdkovn0pt"/>
          <w:rFonts w:ascii="Calibri" w:eastAsia="Times" w:hAnsi="Calibri" w:cs="Times New Roman"/>
          <w:color w:val="auto"/>
          <w:spacing w:val="0"/>
          <w:sz w:val="24"/>
          <w:u w:val="none"/>
          <w:lang w:val="cs-CZ"/>
        </w:rPr>
        <w:t xml:space="preserve">ci </w:t>
      </w:r>
      <w:r w:rsidR="08517D19">
        <w:rPr>
          <w:rStyle w:val="Zkladntextdkovn0pt"/>
          <w:rFonts w:ascii="Calibri" w:eastAsia="Times" w:hAnsi="Calibri" w:cs="Times New Roman"/>
          <w:color w:val="auto"/>
          <w:spacing w:val="0"/>
          <w:sz w:val="24"/>
          <w:u w:val="none"/>
          <w:lang w:val="cs-CZ"/>
        </w:rPr>
        <w:t>intencionálního předmětu (</w:t>
      </w:r>
      <w:r w:rsidR="08517D19" w:rsidRPr="086546F9">
        <w:rPr>
          <w:rStyle w:val="Zkladntextdkovn0pt"/>
          <w:rFonts w:ascii="Calibri" w:eastAsia="Times" w:hAnsi="Calibri" w:cs="Times New Roman"/>
          <w:i/>
          <w:color w:val="auto"/>
          <w:spacing w:val="0"/>
          <w:sz w:val="24"/>
          <w:u w:val="none"/>
          <w:lang w:val="cs-CZ"/>
        </w:rPr>
        <w:t>imaginatio</w:t>
      </w:r>
      <w:r w:rsidR="08517D19">
        <w:rPr>
          <w:rStyle w:val="Zkladntextdkovn0pt"/>
          <w:rFonts w:ascii="Calibri" w:eastAsia="Times" w:hAnsi="Calibri" w:cs="Times New Roman"/>
          <w:color w:val="auto"/>
          <w:spacing w:val="0"/>
          <w:sz w:val="24"/>
          <w:u w:val="none"/>
          <w:lang w:val="cs-CZ"/>
        </w:rPr>
        <w:t xml:space="preserve">). </w:t>
      </w:r>
      <w:r w:rsidR="08517D19" w:rsidRPr="00273106">
        <w:rPr>
          <w:rStyle w:val="Zkladntextdkovn0pt"/>
          <w:rFonts w:ascii="Calibri" w:eastAsia="Times" w:hAnsi="Calibri" w:cs="Times New Roman"/>
          <w:color w:val="auto"/>
          <w:spacing w:val="0"/>
          <w:sz w:val="24"/>
          <w:u w:val="none"/>
          <w:lang w:val="cs-CZ"/>
        </w:rPr>
        <w:t xml:space="preserve">Blund připomíná, že </w:t>
      </w:r>
      <w:r w:rsidR="08517D19">
        <w:rPr>
          <w:rStyle w:val="Zkladntextdkovn0pt"/>
          <w:rFonts w:ascii="Calibri" w:eastAsia="Times" w:hAnsi="Calibri" w:cs="Times New Roman"/>
          <w:color w:val="auto"/>
          <w:spacing w:val="0"/>
          <w:sz w:val="24"/>
          <w:u w:val="none"/>
          <w:lang w:val="cs-CZ"/>
        </w:rPr>
        <w:t xml:space="preserve">mediace vidění skrze intencionalitu </w:t>
      </w:r>
      <w:r w:rsidR="00DF1D9D">
        <w:rPr>
          <w:rStyle w:val="Zkladntextdkovn0pt"/>
          <w:rFonts w:ascii="Calibri" w:eastAsia="Times" w:hAnsi="Calibri" w:cs="Times New Roman"/>
          <w:color w:val="auto"/>
          <w:spacing w:val="0"/>
          <w:sz w:val="24"/>
          <w:u w:val="none"/>
          <w:lang w:val="cs-CZ"/>
        </w:rPr>
        <w:t xml:space="preserve">ještě </w:t>
      </w:r>
      <w:r w:rsidR="08517D19">
        <w:rPr>
          <w:rStyle w:val="Zkladntextdkovn0pt"/>
          <w:rFonts w:ascii="Calibri" w:eastAsia="Times" w:hAnsi="Calibri" w:cs="Times New Roman"/>
          <w:color w:val="auto"/>
          <w:spacing w:val="0"/>
          <w:sz w:val="24"/>
          <w:u w:val="none"/>
          <w:lang w:val="cs-CZ"/>
        </w:rPr>
        <w:t xml:space="preserve">nezakládá podobnost s reálnou věcí </w:t>
      </w:r>
      <w:r w:rsidR="08517D19" w:rsidRPr="00273106">
        <w:rPr>
          <w:rStyle w:val="Zkladntextdkovn0pt"/>
          <w:rFonts w:ascii="Calibri" w:eastAsia="Times" w:hAnsi="Calibri" w:cs="Times New Roman"/>
          <w:color w:val="auto"/>
          <w:spacing w:val="0"/>
          <w:sz w:val="24"/>
          <w:u w:val="none"/>
          <w:lang w:val="cs-CZ"/>
        </w:rPr>
        <w:t>(</w:t>
      </w:r>
      <w:r w:rsidR="08517D19" w:rsidRPr="00273106">
        <w:rPr>
          <w:i/>
        </w:rPr>
        <w:t>non tamen in aere intermedio est consimilis imago</w:t>
      </w:r>
      <w:r w:rsidR="08517D19" w:rsidRPr="00273106">
        <w:rPr>
          <w:rStyle w:val="Zkladntextdkovn0pt"/>
          <w:rFonts w:ascii="Calibri" w:eastAsia="Times" w:hAnsi="Calibri" w:cs="Times New Roman"/>
          <w:color w:val="auto"/>
          <w:spacing w:val="0"/>
          <w:sz w:val="24"/>
          <w:u w:val="none"/>
          <w:lang w:val="cs-CZ"/>
        </w:rPr>
        <w:t>)</w:t>
      </w:r>
      <w:r w:rsidR="08517D19">
        <w:rPr>
          <w:rStyle w:val="Zkladntextdkovn0pt"/>
          <w:rFonts w:ascii="Calibri" w:eastAsia="Times" w:hAnsi="Calibri" w:cs="Times New Roman"/>
          <w:color w:val="auto"/>
          <w:spacing w:val="0"/>
          <w:sz w:val="24"/>
          <w:u w:val="none"/>
          <w:lang w:val="cs-CZ"/>
        </w:rPr>
        <w:t xml:space="preserve">. </w:t>
      </w:r>
      <w:r w:rsidR="08CB1567">
        <w:rPr>
          <w:rStyle w:val="Zkladntextdkovn0pt"/>
          <w:rFonts w:ascii="Calibri" w:eastAsia="Times" w:hAnsi="Calibri" w:cs="Times New Roman"/>
          <w:color w:val="auto"/>
          <w:spacing w:val="0"/>
          <w:sz w:val="24"/>
          <w:u w:val="none"/>
          <w:lang w:val="cs-CZ"/>
        </w:rPr>
        <w:t>Akt intencionality (</w:t>
      </w:r>
      <w:r w:rsidR="08CB1567" w:rsidRPr="08CB1567">
        <w:rPr>
          <w:rStyle w:val="Zkladntextdkovn0pt"/>
          <w:rFonts w:ascii="Calibri" w:eastAsia="Times" w:hAnsi="Calibri" w:cs="Times New Roman"/>
          <w:i/>
          <w:color w:val="auto"/>
          <w:spacing w:val="0"/>
          <w:sz w:val="24"/>
          <w:u w:val="none"/>
          <w:lang w:val="cs-CZ"/>
        </w:rPr>
        <w:t>intentio</w:t>
      </w:r>
      <w:r w:rsidR="08CB1567">
        <w:rPr>
          <w:rStyle w:val="Zkladntextdkovn0pt"/>
          <w:rFonts w:ascii="Calibri" w:eastAsia="Times" w:hAnsi="Calibri" w:cs="Times New Roman"/>
          <w:color w:val="auto"/>
          <w:spacing w:val="0"/>
          <w:sz w:val="24"/>
          <w:u w:val="none"/>
          <w:lang w:val="cs-CZ"/>
        </w:rPr>
        <w:t xml:space="preserve">) není výsledné smyslové </w:t>
      </w:r>
      <w:r w:rsidR="08CB1567" w:rsidRPr="08CB1567">
        <w:rPr>
          <w:rStyle w:val="Zkladntextdkovn0pt"/>
          <w:rFonts w:ascii="Calibri" w:eastAsia="Times" w:hAnsi="Calibri" w:cs="Times New Roman"/>
          <w:i/>
          <w:color w:val="auto"/>
          <w:spacing w:val="0"/>
          <w:sz w:val="24"/>
          <w:u w:val="none"/>
          <w:lang w:val="cs-CZ"/>
        </w:rPr>
        <w:t>imago</w:t>
      </w:r>
      <w:r w:rsidR="08CB1567">
        <w:rPr>
          <w:rStyle w:val="Zkladntextdkovn0pt"/>
          <w:rFonts w:ascii="Calibri" w:eastAsia="Times" w:hAnsi="Calibri" w:cs="Times New Roman"/>
          <w:color w:val="auto"/>
          <w:spacing w:val="0"/>
          <w:sz w:val="24"/>
          <w:u w:val="none"/>
          <w:lang w:val="cs-CZ"/>
        </w:rPr>
        <w:t xml:space="preserve">. </w:t>
      </w:r>
      <w:r w:rsidR="08B76FE7">
        <w:rPr>
          <w:rStyle w:val="Zkladntextdkovn0pt"/>
          <w:rFonts w:ascii="Calibri" w:eastAsia="Times" w:hAnsi="Calibri" w:cs="Times New Roman"/>
          <w:color w:val="auto"/>
          <w:spacing w:val="0"/>
          <w:sz w:val="24"/>
          <w:u w:val="none"/>
          <w:lang w:val="cs-CZ"/>
        </w:rPr>
        <w:t>Duše přijímá poznanou smyslovou formu v aktu představivosti, kde vzniká intencionální předmět</w:t>
      </w:r>
      <w:r w:rsidR="08B76FE7" w:rsidRPr="00273106">
        <w:rPr>
          <w:rStyle w:val="Zkladntextdkovn0pt"/>
          <w:rFonts w:ascii="Calibri" w:eastAsia="Times" w:hAnsi="Calibri" w:cs="Times New Roman"/>
          <w:color w:val="auto"/>
          <w:spacing w:val="0"/>
          <w:sz w:val="24"/>
          <w:u w:val="none"/>
          <w:lang w:val="cs-CZ"/>
        </w:rPr>
        <w:t>.</w:t>
      </w:r>
      <w:r w:rsidR="08B76FE7">
        <w:rPr>
          <w:rStyle w:val="Zkladntextdkovn0pt"/>
          <w:rFonts w:ascii="Calibri" w:eastAsia="Times" w:hAnsi="Calibri" w:cs="Times New Roman"/>
          <w:color w:val="auto"/>
          <w:spacing w:val="0"/>
          <w:sz w:val="24"/>
          <w:u w:val="none"/>
          <w:lang w:val="cs-CZ"/>
        </w:rPr>
        <w:t xml:space="preserve"> Tato duševní potence musí být aktualizována jak od reálné formy dané v poznávané věci, tak od reálné formy duše dané v poznávajícím těle. Obě formy jsou aktuální, ale každá jinak. </w:t>
      </w:r>
      <w:r w:rsidR="08E27A28">
        <w:rPr>
          <w:rStyle w:val="Zkladntextdkovn0pt"/>
          <w:rFonts w:ascii="Calibri" w:eastAsia="Times" w:hAnsi="Calibri" w:cs="Times New Roman"/>
          <w:color w:val="auto"/>
          <w:spacing w:val="0"/>
          <w:sz w:val="24"/>
          <w:u w:val="none"/>
          <w:lang w:val="cs-CZ"/>
        </w:rPr>
        <w:t xml:space="preserve">V samotné mediaci podobnost </w:t>
      </w:r>
      <w:r w:rsidR="08213C67">
        <w:rPr>
          <w:rStyle w:val="Zkladntextdkovn0pt"/>
          <w:rFonts w:ascii="Calibri" w:eastAsia="Times" w:hAnsi="Calibri" w:cs="Times New Roman"/>
          <w:color w:val="auto"/>
          <w:spacing w:val="0"/>
          <w:sz w:val="24"/>
          <w:u w:val="none"/>
          <w:lang w:val="cs-CZ"/>
        </w:rPr>
        <w:t xml:space="preserve">s reálnou věcí </w:t>
      </w:r>
      <w:r w:rsidR="08E27A28">
        <w:rPr>
          <w:rStyle w:val="Zkladntextdkovn0pt"/>
          <w:rFonts w:ascii="Calibri" w:eastAsia="Times" w:hAnsi="Calibri" w:cs="Times New Roman"/>
          <w:color w:val="auto"/>
          <w:spacing w:val="0"/>
          <w:sz w:val="24"/>
          <w:u w:val="none"/>
          <w:lang w:val="cs-CZ"/>
        </w:rPr>
        <w:t xml:space="preserve">vzniknout nemůže, protože </w:t>
      </w:r>
      <w:r w:rsidR="08B76FE7">
        <w:rPr>
          <w:rStyle w:val="Zkladntextdkovn0pt"/>
          <w:rFonts w:ascii="Calibri" w:eastAsia="Times" w:hAnsi="Calibri" w:cs="Times New Roman"/>
          <w:color w:val="auto"/>
          <w:spacing w:val="0"/>
          <w:sz w:val="24"/>
          <w:u w:val="none"/>
          <w:lang w:val="cs-CZ"/>
        </w:rPr>
        <w:t xml:space="preserve">fyzikální a duševní </w:t>
      </w:r>
      <w:r w:rsidR="08E27A28">
        <w:rPr>
          <w:rStyle w:val="Zkladntextdkovn0pt"/>
          <w:rFonts w:ascii="Calibri" w:eastAsia="Times" w:hAnsi="Calibri" w:cs="Times New Roman"/>
          <w:color w:val="auto"/>
          <w:spacing w:val="0"/>
          <w:sz w:val="24"/>
          <w:u w:val="none"/>
          <w:lang w:val="cs-CZ"/>
        </w:rPr>
        <w:t xml:space="preserve">diafanum je čistá potence. </w:t>
      </w:r>
      <w:r w:rsidR="08517D19">
        <w:rPr>
          <w:rStyle w:val="Zkladntextdkovn0pt"/>
          <w:rFonts w:ascii="Calibri" w:eastAsia="Times" w:hAnsi="Calibri" w:cs="Times New Roman"/>
          <w:color w:val="auto"/>
          <w:spacing w:val="0"/>
          <w:sz w:val="24"/>
          <w:u w:val="none"/>
          <w:lang w:val="cs-CZ"/>
        </w:rPr>
        <w:t>Ve druhém kroku po recepci přichází akt syntézy</w:t>
      </w:r>
      <w:r w:rsidR="08F72CD3">
        <w:rPr>
          <w:rStyle w:val="Zkladntextdkovn0pt"/>
          <w:rFonts w:ascii="Calibri" w:eastAsia="Times" w:hAnsi="Calibri" w:cs="Times New Roman"/>
          <w:color w:val="auto"/>
          <w:spacing w:val="0"/>
          <w:sz w:val="24"/>
          <w:u w:val="none"/>
          <w:lang w:val="cs-CZ"/>
        </w:rPr>
        <w:t xml:space="preserve">, která vytváří výsledný smyslový </w:t>
      </w:r>
      <w:r w:rsidR="086546F9">
        <w:rPr>
          <w:rStyle w:val="Zkladntextdkovn0pt"/>
          <w:rFonts w:ascii="Calibri" w:eastAsia="Times" w:hAnsi="Calibri" w:cs="Times New Roman"/>
          <w:color w:val="auto"/>
          <w:spacing w:val="0"/>
          <w:sz w:val="24"/>
          <w:u w:val="none"/>
          <w:lang w:val="cs-CZ"/>
        </w:rPr>
        <w:t>poznat</w:t>
      </w:r>
      <w:r w:rsidR="08F72CD3">
        <w:rPr>
          <w:rStyle w:val="Zkladntextdkovn0pt"/>
          <w:rFonts w:ascii="Calibri" w:eastAsia="Times" w:hAnsi="Calibri" w:cs="Times New Roman"/>
          <w:color w:val="auto"/>
          <w:spacing w:val="0"/>
          <w:sz w:val="24"/>
          <w:u w:val="none"/>
          <w:lang w:val="cs-CZ"/>
        </w:rPr>
        <w:t>ek</w:t>
      </w:r>
      <w:r w:rsidR="086546F9">
        <w:rPr>
          <w:rStyle w:val="Zkladntextdkovn0pt"/>
          <w:rFonts w:ascii="Calibri" w:eastAsia="Times" w:hAnsi="Calibri" w:cs="Times New Roman"/>
          <w:color w:val="auto"/>
          <w:spacing w:val="0"/>
          <w:sz w:val="24"/>
          <w:u w:val="none"/>
          <w:lang w:val="cs-CZ"/>
        </w:rPr>
        <w:t xml:space="preserve"> (</w:t>
      </w:r>
      <w:r w:rsidR="08517D19" w:rsidRPr="00273106">
        <w:rPr>
          <w:i/>
        </w:rPr>
        <w:t>fit in aestimatione imago intentionis</w:t>
      </w:r>
      <w:r w:rsidR="086546F9">
        <w:rPr>
          <w:rStyle w:val="Zkladntextdkovn0pt"/>
          <w:rFonts w:ascii="Calibri" w:eastAsia="Times" w:hAnsi="Calibri" w:cs="Times New Roman"/>
          <w:color w:val="auto"/>
          <w:spacing w:val="0"/>
          <w:sz w:val="24"/>
          <w:u w:val="none"/>
          <w:lang w:val="cs-CZ"/>
        </w:rPr>
        <w:t>)</w:t>
      </w:r>
      <w:r w:rsidRPr="00273106">
        <w:rPr>
          <w:rStyle w:val="Zkladntextdkovn0pt"/>
          <w:rFonts w:ascii="Calibri" w:eastAsia="Times" w:hAnsi="Calibri" w:cs="Times New Roman"/>
          <w:color w:val="auto"/>
          <w:spacing w:val="0"/>
          <w:sz w:val="24"/>
          <w:u w:val="none"/>
          <w:lang w:val="cs-CZ"/>
        </w:rPr>
        <w:t xml:space="preserve">. </w:t>
      </w:r>
      <w:r w:rsidR="082C29B5">
        <w:rPr>
          <w:rStyle w:val="Zkladntextdkovn0pt"/>
          <w:rFonts w:ascii="Calibri" w:eastAsia="Times" w:hAnsi="Calibri" w:cs="Times New Roman"/>
          <w:color w:val="auto"/>
          <w:spacing w:val="0"/>
          <w:sz w:val="24"/>
          <w:u w:val="none"/>
          <w:lang w:val="cs-CZ"/>
        </w:rPr>
        <w:t xml:space="preserve">Subjektivní a objektivní genitiv je zásadně napojen na akt </w:t>
      </w:r>
      <w:r w:rsidR="00BB0853">
        <w:rPr>
          <w:rStyle w:val="Zkladntextdkovn0pt"/>
          <w:rFonts w:ascii="Calibri" w:eastAsia="Times" w:hAnsi="Calibri" w:cs="Times New Roman"/>
          <w:color w:val="auto"/>
          <w:spacing w:val="0"/>
          <w:sz w:val="24"/>
          <w:u w:val="none"/>
          <w:lang w:val="cs-CZ"/>
        </w:rPr>
        <w:t xml:space="preserve">lidské nebo zvířecí </w:t>
      </w:r>
      <w:r w:rsidR="082C29B5">
        <w:rPr>
          <w:rStyle w:val="Zkladntextdkovn0pt"/>
          <w:rFonts w:ascii="Calibri" w:eastAsia="Times" w:hAnsi="Calibri" w:cs="Times New Roman"/>
          <w:color w:val="auto"/>
          <w:spacing w:val="0"/>
          <w:sz w:val="24"/>
          <w:u w:val="none"/>
          <w:lang w:val="cs-CZ"/>
        </w:rPr>
        <w:t xml:space="preserve">intencionality. </w:t>
      </w:r>
      <w:r w:rsidR="08F91369">
        <w:rPr>
          <w:rStyle w:val="Zkladntextdkovn0pt"/>
          <w:rFonts w:ascii="Calibri" w:eastAsia="Times" w:hAnsi="Calibri" w:cs="Times New Roman"/>
          <w:color w:val="auto"/>
          <w:spacing w:val="0"/>
          <w:sz w:val="24"/>
          <w:u w:val="none"/>
          <w:lang w:val="cs-CZ"/>
        </w:rPr>
        <w:t>Výslednou syntézu různých přechodů od potence k aktualitě podává až a</w:t>
      </w:r>
      <w:r w:rsidR="08A43919">
        <w:rPr>
          <w:rStyle w:val="Zkladntextdkovn0pt"/>
          <w:rFonts w:ascii="Calibri" w:eastAsia="Times" w:hAnsi="Calibri" w:cs="Times New Roman"/>
          <w:color w:val="auto"/>
          <w:spacing w:val="0"/>
          <w:sz w:val="24"/>
          <w:u w:val="none"/>
          <w:lang w:val="cs-CZ"/>
        </w:rPr>
        <w:t xml:space="preserve">ktuální poznatek. </w:t>
      </w:r>
      <w:r w:rsidR="083A65A5">
        <w:rPr>
          <w:rStyle w:val="Zkladntextdkovn0pt"/>
          <w:rFonts w:ascii="Calibri" w:eastAsia="Times" w:hAnsi="Calibri" w:cs="Times New Roman"/>
          <w:color w:val="auto"/>
          <w:spacing w:val="0"/>
          <w:sz w:val="24"/>
          <w:u w:val="none"/>
          <w:lang w:val="cs-CZ"/>
        </w:rPr>
        <w:t xml:space="preserve">Intencionalita daná mediací zrušila pro </w:t>
      </w:r>
      <w:r w:rsidR="006A04C6" w:rsidRPr="006A04C6">
        <w:rPr>
          <w:rStyle w:val="Zkladntextdkovn0pt"/>
          <w:rFonts w:ascii="Calibri" w:eastAsia="Times" w:hAnsi="Calibri" w:cs="Times New Roman"/>
          <w:color w:val="auto"/>
          <w:spacing w:val="0"/>
          <w:sz w:val="24"/>
          <w:u w:val="none"/>
          <w:lang w:val="cs-CZ"/>
        </w:rPr>
        <w:t>species</w:t>
      </w:r>
      <w:r w:rsidR="083A65A5">
        <w:rPr>
          <w:rStyle w:val="Zkladntextdkovn0pt"/>
          <w:rFonts w:ascii="Calibri" w:eastAsia="Times" w:hAnsi="Calibri" w:cs="Times New Roman"/>
          <w:color w:val="auto"/>
          <w:spacing w:val="0"/>
          <w:sz w:val="24"/>
          <w:u w:val="none"/>
          <w:lang w:val="cs-CZ"/>
        </w:rPr>
        <w:t xml:space="preserve"> status </w:t>
      </w:r>
      <w:r>
        <w:rPr>
          <w:rStyle w:val="Zkladntextdkovn0pt"/>
          <w:rFonts w:ascii="Calibri" w:eastAsia="Times" w:hAnsi="Calibri" w:cs="Times New Roman"/>
          <w:color w:val="auto"/>
          <w:spacing w:val="0"/>
          <w:sz w:val="24"/>
          <w:u w:val="none"/>
          <w:lang w:val="cs-CZ"/>
        </w:rPr>
        <w:t>jsou</w:t>
      </w:r>
      <w:r w:rsidR="083A65A5">
        <w:rPr>
          <w:rStyle w:val="Zkladntextdkovn0pt"/>
          <w:rFonts w:ascii="Calibri" w:eastAsia="Times" w:hAnsi="Calibri" w:cs="Times New Roman"/>
          <w:color w:val="auto"/>
          <w:spacing w:val="0"/>
          <w:sz w:val="24"/>
          <w:u w:val="none"/>
          <w:lang w:val="cs-CZ"/>
        </w:rPr>
        <w:t>cna</w:t>
      </w:r>
      <w:r>
        <w:rPr>
          <w:rStyle w:val="Zkladntextdkovn0pt"/>
          <w:rFonts w:ascii="Calibri" w:eastAsia="Times" w:hAnsi="Calibri" w:cs="Times New Roman"/>
          <w:color w:val="auto"/>
          <w:spacing w:val="0"/>
          <w:sz w:val="24"/>
          <w:u w:val="none"/>
          <w:lang w:val="cs-CZ"/>
        </w:rPr>
        <w:t xml:space="preserve"> třetího druhu</w:t>
      </w:r>
      <w:r>
        <w:fldChar w:fldCharType="begin"/>
      </w:r>
      <w:r>
        <w:instrText xml:space="preserve"> XE "abstrakce:Blund" </w:instrText>
      </w:r>
      <w:r>
        <w:fldChar w:fldCharType="end"/>
      </w:r>
      <w:r>
        <w:rPr>
          <w:rStyle w:val="Zkladntextdkovn0pt"/>
          <w:rFonts w:ascii="Calibri" w:eastAsia="Times" w:hAnsi="Calibri" w:cs="Times New Roman"/>
          <w:color w:val="auto"/>
          <w:spacing w:val="0"/>
          <w:sz w:val="24"/>
          <w:u w:val="none"/>
          <w:lang w:val="cs-CZ"/>
        </w:rPr>
        <w:t xml:space="preserve">. Materiální orgán sám o sobě nemůže nic poznat, protože poznání je schopnost nemateriální duše jako entelechické formy jakéhokoliv živého těla. </w:t>
      </w:r>
      <w:r w:rsidRPr="00273106">
        <w:rPr>
          <w:rStyle w:val="Zkladntextdkovn0pt"/>
          <w:rFonts w:ascii="Calibri" w:eastAsia="Times" w:hAnsi="Calibri" w:cs="Times New Roman"/>
          <w:color w:val="auto"/>
          <w:spacing w:val="0"/>
          <w:sz w:val="24"/>
          <w:u w:val="none"/>
          <w:lang w:val="cs-CZ"/>
        </w:rPr>
        <w:t xml:space="preserve">Nepoznáváme </w:t>
      </w:r>
      <w:r w:rsidRPr="00273106">
        <w:rPr>
          <w:rStyle w:val="Zkladntextdkovn0pt"/>
          <w:rFonts w:ascii="Calibri" w:eastAsia="Times" w:hAnsi="Calibri" w:cs="Times New Roman"/>
          <w:color w:val="auto"/>
          <w:spacing w:val="0"/>
          <w:sz w:val="24"/>
          <w:u w:val="none"/>
          <w:lang w:val="cs-CZ"/>
        </w:rPr>
        <w:lastRenderedPageBreak/>
        <w:t>věc</w:t>
      </w:r>
      <w:r>
        <w:rPr>
          <w:rStyle w:val="Zkladntextdkovn0pt"/>
          <w:rFonts w:ascii="Calibri" w:eastAsia="Times" w:hAnsi="Calibri" w:cs="Times New Roman"/>
          <w:color w:val="auto"/>
          <w:spacing w:val="0"/>
          <w:sz w:val="24"/>
          <w:u w:val="none"/>
          <w:lang w:val="cs-CZ"/>
        </w:rPr>
        <w:t>,</w:t>
      </w:r>
      <w:r w:rsidRPr="00273106">
        <w:rPr>
          <w:rStyle w:val="Zkladntextdkovn0pt"/>
          <w:rFonts w:ascii="Calibri" w:eastAsia="Times" w:hAnsi="Calibri" w:cs="Times New Roman"/>
          <w:color w:val="auto"/>
          <w:spacing w:val="0"/>
          <w:sz w:val="24"/>
          <w:u w:val="none"/>
          <w:lang w:val="cs-CZ"/>
        </w:rPr>
        <w:t xml:space="preserve"> jak je </w:t>
      </w:r>
      <w:r>
        <w:rPr>
          <w:rStyle w:val="Zkladntextdkovn0pt"/>
          <w:rFonts w:ascii="Calibri" w:eastAsia="Times" w:hAnsi="Calibri" w:cs="Times New Roman"/>
          <w:color w:val="auto"/>
          <w:spacing w:val="0"/>
          <w:sz w:val="24"/>
          <w:u w:val="none"/>
          <w:lang w:val="cs-CZ"/>
        </w:rPr>
        <w:t xml:space="preserve">sama </w:t>
      </w:r>
      <w:r w:rsidRPr="00273106">
        <w:rPr>
          <w:rStyle w:val="Zkladntextdkovn0pt"/>
          <w:rFonts w:ascii="Calibri" w:eastAsia="Times" w:hAnsi="Calibri" w:cs="Times New Roman"/>
          <w:color w:val="auto"/>
          <w:spacing w:val="0"/>
          <w:sz w:val="24"/>
          <w:u w:val="none"/>
          <w:lang w:val="cs-CZ"/>
        </w:rPr>
        <w:t>o sobě v hy</w:t>
      </w:r>
      <w:r w:rsidR="0841696B">
        <w:rPr>
          <w:rStyle w:val="Zkladntextdkovn0pt"/>
          <w:rFonts w:ascii="Calibri" w:eastAsia="Times" w:hAnsi="Calibri" w:cs="Times New Roman"/>
          <w:color w:val="auto"/>
          <w:spacing w:val="0"/>
          <w:sz w:val="24"/>
          <w:u w:val="none"/>
          <w:lang w:val="cs-CZ"/>
        </w:rPr>
        <w:t>lemorfické aktuální simplicitě. P</w:t>
      </w:r>
      <w:r w:rsidR="082C29B5">
        <w:rPr>
          <w:rStyle w:val="Zkladntextdkovn0pt"/>
          <w:rFonts w:ascii="Calibri" w:eastAsia="Times" w:hAnsi="Calibri" w:cs="Times New Roman"/>
          <w:color w:val="auto"/>
          <w:spacing w:val="0"/>
          <w:sz w:val="24"/>
          <w:u w:val="none"/>
          <w:lang w:val="cs-CZ"/>
        </w:rPr>
        <w:t xml:space="preserve">asivně a pak aktivně </w:t>
      </w:r>
      <w:r>
        <w:rPr>
          <w:rStyle w:val="Zkladntextdkovn0pt"/>
          <w:rFonts w:ascii="Calibri" w:eastAsia="Times" w:hAnsi="Calibri" w:cs="Times New Roman"/>
          <w:color w:val="auto"/>
          <w:spacing w:val="0"/>
          <w:sz w:val="24"/>
          <w:u w:val="none"/>
          <w:lang w:val="cs-CZ"/>
        </w:rPr>
        <w:t xml:space="preserve">vytváříme její </w:t>
      </w:r>
      <w:r w:rsidRPr="00273106">
        <w:rPr>
          <w:rStyle w:val="Zkladntextdkovn0pt"/>
          <w:rFonts w:ascii="Calibri" w:eastAsia="Times" w:hAnsi="Calibri" w:cs="Times New Roman"/>
          <w:color w:val="auto"/>
          <w:spacing w:val="0"/>
          <w:sz w:val="24"/>
          <w:u w:val="none"/>
          <w:lang w:val="cs-CZ"/>
        </w:rPr>
        <w:t>adekvátní formu</w:t>
      </w:r>
      <w:r w:rsidRPr="003E3AA2">
        <w:rPr>
          <w:rStyle w:val="Zkladntextdkovn0pt"/>
          <w:rFonts w:ascii="Calibri" w:eastAsia="Times" w:hAnsi="Calibri" w:cs="Times New Roman"/>
          <w:color w:val="auto"/>
          <w:spacing w:val="0"/>
          <w:sz w:val="24"/>
          <w:u w:val="none"/>
          <w:lang w:val="cs-CZ"/>
        </w:rPr>
        <w:t xml:space="preserve"> </w:t>
      </w:r>
      <w:r w:rsidR="0841696B">
        <w:rPr>
          <w:rStyle w:val="Zkladntextdkovn0pt"/>
          <w:rFonts w:ascii="Calibri" w:eastAsia="Times" w:hAnsi="Calibri" w:cs="Times New Roman"/>
          <w:color w:val="auto"/>
          <w:spacing w:val="0"/>
          <w:sz w:val="24"/>
          <w:u w:val="none"/>
          <w:lang w:val="cs-CZ"/>
        </w:rPr>
        <w:t xml:space="preserve">ve dvou stupních abstrakce: </w:t>
      </w:r>
      <w:r w:rsidR="086238F2">
        <w:rPr>
          <w:rStyle w:val="Zkladntextdkovn0pt"/>
          <w:rFonts w:ascii="Calibri" w:eastAsia="Times" w:hAnsi="Calibri" w:cs="Times New Roman"/>
          <w:color w:val="auto"/>
          <w:spacing w:val="0"/>
          <w:sz w:val="24"/>
          <w:u w:val="none"/>
          <w:lang w:val="cs-CZ"/>
        </w:rPr>
        <w:t xml:space="preserve">nejprve </w:t>
      </w:r>
      <w:r w:rsidRPr="00273106">
        <w:rPr>
          <w:rStyle w:val="Zkladntextdkovn0pt"/>
          <w:rFonts w:ascii="Calibri" w:eastAsia="Times" w:hAnsi="Calibri" w:cs="Times New Roman"/>
          <w:color w:val="auto"/>
          <w:spacing w:val="0"/>
          <w:sz w:val="24"/>
          <w:u w:val="none"/>
          <w:lang w:val="cs-CZ"/>
        </w:rPr>
        <w:t xml:space="preserve">v </w:t>
      </w:r>
      <w:r>
        <w:rPr>
          <w:rStyle w:val="Zkladntextdkovn0pt"/>
          <w:rFonts w:ascii="Calibri" w:eastAsia="Times" w:hAnsi="Calibri" w:cs="Times New Roman"/>
          <w:color w:val="auto"/>
          <w:spacing w:val="0"/>
          <w:sz w:val="24"/>
          <w:u w:val="none"/>
          <w:lang w:val="cs-CZ"/>
        </w:rPr>
        <w:t xml:space="preserve">představivosti a </w:t>
      </w:r>
      <w:r w:rsidR="086238F2">
        <w:rPr>
          <w:rStyle w:val="Zkladntextdkovn0pt"/>
          <w:rFonts w:ascii="Calibri" w:eastAsia="Times" w:hAnsi="Calibri" w:cs="Times New Roman"/>
          <w:color w:val="auto"/>
          <w:spacing w:val="0"/>
          <w:sz w:val="24"/>
          <w:u w:val="none"/>
          <w:lang w:val="cs-CZ"/>
        </w:rPr>
        <w:t xml:space="preserve">pak </w:t>
      </w:r>
      <w:r>
        <w:rPr>
          <w:rStyle w:val="Zkladntextdkovn0pt"/>
          <w:rFonts w:ascii="Calibri" w:eastAsia="Times" w:hAnsi="Calibri" w:cs="Times New Roman"/>
          <w:color w:val="auto"/>
          <w:spacing w:val="0"/>
          <w:sz w:val="24"/>
          <w:u w:val="none"/>
          <w:lang w:val="cs-CZ"/>
        </w:rPr>
        <w:t xml:space="preserve">v </w:t>
      </w:r>
      <w:r w:rsidRPr="00273106">
        <w:rPr>
          <w:rStyle w:val="Zkladntextdkovn0pt"/>
          <w:rFonts w:ascii="Calibri" w:eastAsia="Times" w:hAnsi="Calibri" w:cs="Times New Roman"/>
          <w:color w:val="auto"/>
          <w:spacing w:val="0"/>
          <w:sz w:val="24"/>
          <w:u w:val="none"/>
          <w:lang w:val="cs-CZ"/>
        </w:rPr>
        <w:t>mysli.</w:t>
      </w:r>
      <w:r w:rsidRPr="00273106">
        <w:t xml:space="preserve"> </w:t>
      </w:r>
      <w:r w:rsidRPr="00273106">
        <w:rPr>
          <w:rStyle w:val="Zkladntextdkovn0pt"/>
          <w:rFonts w:ascii="Calibri" w:eastAsia="Times" w:hAnsi="Calibri" w:cs="Times New Roman"/>
          <w:color w:val="auto"/>
          <w:spacing w:val="0"/>
          <w:sz w:val="24"/>
          <w:u w:val="none"/>
          <w:lang w:val="cs-CZ"/>
        </w:rPr>
        <w:t>Pod</w:t>
      </w:r>
      <w:r>
        <w:rPr>
          <w:rStyle w:val="Zkladntextdkovn0pt"/>
          <w:rFonts w:ascii="Calibri" w:eastAsia="Times" w:hAnsi="Calibri" w:cs="Times New Roman"/>
          <w:color w:val="auto"/>
          <w:spacing w:val="0"/>
          <w:sz w:val="24"/>
          <w:u w:val="none"/>
          <w:lang w:val="cs-CZ"/>
        </w:rPr>
        <w:t xml:space="preserve">obnost myšlení a věci vzniká </w:t>
      </w:r>
      <w:r w:rsidRPr="00273106">
        <w:rPr>
          <w:rStyle w:val="Zkladntextdkovn0pt"/>
          <w:rFonts w:ascii="Calibri" w:eastAsia="Times" w:hAnsi="Calibri" w:cs="Times New Roman"/>
          <w:color w:val="auto"/>
          <w:spacing w:val="0"/>
          <w:sz w:val="24"/>
          <w:u w:val="none"/>
          <w:lang w:val="cs-CZ"/>
        </w:rPr>
        <w:t xml:space="preserve">díky intencionalitě </w:t>
      </w:r>
      <w:r>
        <w:rPr>
          <w:rStyle w:val="Zkladntextdkovn0pt"/>
          <w:rFonts w:ascii="Calibri" w:eastAsia="Times" w:hAnsi="Calibri" w:cs="Times New Roman"/>
          <w:color w:val="auto"/>
          <w:spacing w:val="0"/>
          <w:sz w:val="24"/>
          <w:u w:val="none"/>
          <w:lang w:val="cs-CZ"/>
        </w:rPr>
        <w:t xml:space="preserve">postihující smyslovou </w:t>
      </w:r>
      <w:r w:rsidR="08F00AD9">
        <w:rPr>
          <w:rStyle w:val="Zkladntextdkovn0pt"/>
          <w:rFonts w:ascii="Calibri" w:eastAsia="Times" w:hAnsi="Calibri" w:cs="Times New Roman"/>
          <w:color w:val="auto"/>
          <w:spacing w:val="0"/>
          <w:sz w:val="24"/>
          <w:u w:val="none"/>
          <w:lang w:val="cs-CZ"/>
        </w:rPr>
        <w:t xml:space="preserve">a </w:t>
      </w:r>
      <w:r w:rsidRPr="00273106">
        <w:rPr>
          <w:rStyle w:val="Zkladntextdkovn0pt"/>
          <w:rFonts w:ascii="Calibri" w:eastAsia="Times" w:hAnsi="Calibri" w:cs="Times New Roman"/>
          <w:color w:val="auto"/>
          <w:spacing w:val="0"/>
          <w:sz w:val="24"/>
          <w:u w:val="none"/>
          <w:lang w:val="cs-CZ"/>
        </w:rPr>
        <w:t>formální úroveň podobnosti mezi věcí a intelektem.</w:t>
      </w:r>
      <w:r>
        <w:rPr>
          <w:rStyle w:val="Zkladntextdkovn0pt"/>
          <w:rFonts w:ascii="Calibri" w:eastAsia="Times" w:hAnsi="Calibri" w:cs="Times New Roman"/>
          <w:color w:val="auto"/>
          <w:spacing w:val="0"/>
          <w:sz w:val="24"/>
          <w:u w:val="none"/>
          <w:lang w:val="cs-CZ"/>
        </w:rPr>
        <w:t xml:space="preserve"> Smysly dané v orgánu vnímání dnes částečně nahradí přístroj, protože obojí je materiální povahy. Ale nelze nahradit akt intencionality, který je výkonem jedinečné schopnosti duše, ať </w:t>
      </w:r>
      <w:r w:rsidR="08E4791D">
        <w:rPr>
          <w:rStyle w:val="Zkladntextdkovn0pt"/>
          <w:rFonts w:ascii="Calibri" w:eastAsia="Times" w:hAnsi="Calibri" w:cs="Times New Roman"/>
          <w:color w:val="auto"/>
          <w:spacing w:val="0"/>
          <w:sz w:val="24"/>
          <w:u w:val="none"/>
          <w:lang w:val="cs-CZ"/>
        </w:rPr>
        <w:t>individuálně-</w:t>
      </w:r>
      <w:r>
        <w:rPr>
          <w:rStyle w:val="Zkladntextdkovn0pt"/>
          <w:rFonts w:ascii="Calibri" w:eastAsia="Times" w:hAnsi="Calibri" w:cs="Times New Roman"/>
          <w:color w:val="auto"/>
          <w:spacing w:val="0"/>
          <w:sz w:val="24"/>
          <w:u w:val="none"/>
          <w:lang w:val="cs-CZ"/>
        </w:rPr>
        <w:t xml:space="preserve">zvířecí nebo </w:t>
      </w:r>
      <w:r w:rsidR="08E4791D">
        <w:rPr>
          <w:rStyle w:val="Zkladntextdkovn0pt"/>
          <w:rFonts w:ascii="Calibri" w:eastAsia="Times" w:hAnsi="Calibri" w:cs="Times New Roman"/>
          <w:color w:val="auto"/>
          <w:spacing w:val="0"/>
          <w:sz w:val="24"/>
          <w:u w:val="none"/>
          <w:lang w:val="cs-CZ"/>
        </w:rPr>
        <w:t>osobně-</w:t>
      </w:r>
      <w:r>
        <w:rPr>
          <w:rStyle w:val="Zkladntextdkovn0pt"/>
          <w:rFonts w:ascii="Calibri" w:eastAsia="Times" w:hAnsi="Calibri" w:cs="Times New Roman"/>
          <w:color w:val="auto"/>
          <w:spacing w:val="0"/>
          <w:sz w:val="24"/>
          <w:u w:val="none"/>
          <w:lang w:val="cs-CZ"/>
        </w:rPr>
        <w:t>li</w:t>
      </w:r>
      <w:r w:rsidR="08DD2DC1">
        <w:rPr>
          <w:rStyle w:val="Zkladntextdkovn0pt"/>
          <w:rFonts w:ascii="Calibri" w:eastAsia="Times" w:hAnsi="Calibri" w:cs="Times New Roman"/>
          <w:color w:val="auto"/>
          <w:spacing w:val="0"/>
          <w:sz w:val="24"/>
          <w:u w:val="none"/>
          <w:lang w:val="cs-CZ"/>
        </w:rPr>
        <w:t xml:space="preserve">dské. </w:t>
      </w:r>
      <w:r w:rsidR="08EA0421">
        <w:rPr>
          <w:rStyle w:val="Zkladntextdkovn0pt"/>
          <w:rFonts w:ascii="Calibri" w:eastAsia="Times" w:hAnsi="Calibri" w:cs="Times New Roman"/>
          <w:color w:val="auto"/>
          <w:spacing w:val="0"/>
          <w:sz w:val="24"/>
          <w:u w:val="none"/>
          <w:lang w:val="cs-CZ"/>
        </w:rPr>
        <w:t xml:space="preserve">Každý živočich provádí svou vlastní syntézu vnímaného obsahu, proto je animální poznání individuální akt v modu Aristotelovy intencionality dané jako </w:t>
      </w:r>
      <w:r w:rsidR="08EA0421">
        <w:rPr>
          <w:rStyle w:val="Zkladntext158dkovn0pt"/>
          <w:color w:val="auto"/>
          <w:spacing w:val="0"/>
          <w:sz w:val="24"/>
          <w:lang w:val="cs-CZ"/>
        </w:rPr>
        <w:t>„dychtění, žádost</w:t>
      </w:r>
      <w:r w:rsidR="08EA0421">
        <w:rPr>
          <w:rStyle w:val="Zkladntext158dkovn0pt"/>
          <w:i/>
          <w:color w:val="auto"/>
          <w:spacing w:val="0"/>
          <w:sz w:val="24"/>
          <w:lang w:val="cs-CZ"/>
        </w:rPr>
        <w:fldChar w:fldCharType="begin"/>
      </w:r>
      <w:r w:rsidR="08EA0421">
        <w:instrText xml:space="preserve"> XE "</w:instrText>
      </w:r>
      <w:r w:rsidR="08EA0421" w:rsidRPr="00AE25C3">
        <w:instrText>intencionalit</w:instrText>
      </w:r>
      <w:r w:rsidR="08EA0421">
        <w:instrText xml:space="preserve">a:zvířata" </w:instrText>
      </w:r>
      <w:r w:rsidR="08EA0421">
        <w:rPr>
          <w:rStyle w:val="Zkladntext158dkovn0pt"/>
          <w:i/>
          <w:color w:val="auto"/>
          <w:spacing w:val="0"/>
          <w:sz w:val="24"/>
          <w:lang w:val="cs-CZ"/>
        </w:rPr>
        <w:fldChar w:fldCharType="end"/>
      </w:r>
      <w:r w:rsidR="08EA0421">
        <w:rPr>
          <w:rStyle w:val="Zkladntext158dkovn0pt"/>
          <w:color w:val="auto"/>
          <w:spacing w:val="0"/>
          <w:sz w:val="24"/>
          <w:lang w:val="cs-CZ"/>
        </w:rPr>
        <w:t xml:space="preserve">“ </w:t>
      </w:r>
      <w:r w:rsidR="08EA0421">
        <w:rPr>
          <w:rStyle w:val="st"/>
        </w:rPr>
        <w:t xml:space="preserve">(ὄρεξις, </w:t>
      </w:r>
      <w:r w:rsidR="08EA0421">
        <w:t xml:space="preserve">ἐπιθυμία; </w:t>
      </w:r>
      <w:r w:rsidR="08EA0421" w:rsidRPr="00FC66FD">
        <w:rPr>
          <w:rStyle w:val="st"/>
          <w:i/>
        </w:rPr>
        <w:t>De anima</w:t>
      </w:r>
      <w:r w:rsidR="08EA0421">
        <w:rPr>
          <w:rStyle w:val="st"/>
        </w:rPr>
        <w:t xml:space="preserve"> 413b23‒24</w:t>
      </w:r>
      <w:r w:rsidR="08EA0421">
        <w:rPr>
          <w:rStyle w:val="Zkladntext158dkovn0pt"/>
          <w:i/>
          <w:color w:val="auto"/>
          <w:spacing w:val="0"/>
          <w:sz w:val="24"/>
          <w:lang w:val="cs-CZ"/>
        </w:rPr>
        <w:fldChar w:fldCharType="begin"/>
      </w:r>
      <w:r w:rsidR="08EA0421">
        <w:instrText xml:space="preserve"> XE "Aristoteles:</w:instrText>
      </w:r>
      <w:r w:rsidR="08EA0421" w:rsidRPr="00FC66FD">
        <w:rPr>
          <w:rStyle w:val="st"/>
          <w:i/>
        </w:rPr>
        <w:instrText>De anima</w:instrText>
      </w:r>
      <w:r w:rsidR="08EA0421">
        <w:rPr>
          <w:rStyle w:val="st"/>
        </w:rPr>
        <w:instrText xml:space="preserve"> 413b23‒24</w:instrText>
      </w:r>
      <w:r w:rsidR="08EA0421">
        <w:instrText xml:space="preserve">" </w:instrText>
      </w:r>
      <w:r w:rsidR="08EA0421">
        <w:rPr>
          <w:rStyle w:val="Zkladntext158dkovn0pt"/>
          <w:i/>
          <w:color w:val="auto"/>
          <w:spacing w:val="0"/>
          <w:sz w:val="24"/>
          <w:lang w:val="cs-CZ"/>
        </w:rPr>
        <w:fldChar w:fldCharType="end"/>
      </w:r>
      <w:r w:rsidR="08EA0421">
        <w:rPr>
          <w:rStyle w:val="st"/>
        </w:rPr>
        <w:t xml:space="preserve">). Význam toho intencionálního pojetí světa přesně vyložila CMDA </w:t>
      </w:r>
      <w:r w:rsidR="08EA0421">
        <w:rPr>
          <w:rStyle w:val="Zkladntextdkovn0pt"/>
          <w:rFonts w:ascii="Calibri" w:eastAsia="Times" w:hAnsi="Calibri" w:cs="Times New Roman"/>
          <w:color w:val="auto"/>
          <w:spacing w:val="0"/>
          <w:sz w:val="24"/>
          <w:u w:val="none"/>
          <w:lang w:val="cs-CZ"/>
        </w:rPr>
        <w:t>(</w:t>
      </w:r>
      <w:r w:rsidR="0841696B">
        <w:rPr>
          <w:rStyle w:val="Zkladntextdkovn0pt"/>
          <w:rFonts w:ascii="Calibri" w:eastAsia="Times" w:hAnsi="Calibri" w:cs="Times New Roman"/>
          <w:color w:val="auto"/>
          <w:spacing w:val="0"/>
          <w:sz w:val="24"/>
          <w:u w:val="none"/>
          <w:lang w:val="cs-CZ"/>
        </w:rPr>
        <w:t xml:space="preserve">OBJ I, </w:t>
      </w:r>
      <w:r w:rsidR="08EA0421">
        <w:rPr>
          <w:rStyle w:val="Zkladntextdkovn0pt"/>
          <w:rFonts w:ascii="Calibri" w:eastAsia="Times" w:hAnsi="Calibri" w:cs="Times New Roman"/>
          <w:color w:val="auto"/>
          <w:spacing w:val="0"/>
          <w:sz w:val="24"/>
          <w:u w:val="none"/>
          <w:lang w:val="cs-CZ"/>
        </w:rPr>
        <w:t xml:space="preserve">kap. 2.4.4). </w:t>
      </w:r>
      <w:r w:rsidR="083A183E">
        <w:rPr>
          <w:rStyle w:val="Zkladntextdkovn0pt"/>
          <w:rFonts w:ascii="Calibri" w:eastAsia="Times" w:hAnsi="Calibri" w:cs="Times New Roman"/>
          <w:color w:val="auto"/>
          <w:spacing w:val="0"/>
          <w:sz w:val="24"/>
          <w:u w:val="none"/>
          <w:lang w:val="cs-CZ"/>
        </w:rPr>
        <w:t>Pozná</w:t>
      </w:r>
      <w:r w:rsidR="0834792F">
        <w:rPr>
          <w:rStyle w:val="Zkladntextdkovn0pt"/>
          <w:rFonts w:ascii="Calibri" w:eastAsia="Times" w:hAnsi="Calibri" w:cs="Times New Roman"/>
          <w:color w:val="auto"/>
          <w:spacing w:val="0"/>
          <w:sz w:val="24"/>
          <w:u w:val="none"/>
          <w:lang w:val="cs-CZ"/>
        </w:rPr>
        <w:t>ní</w:t>
      </w:r>
      <w:r w:rsidR="083A183E">
        <w:rPr>
          <w:rStyle w:val="Zkladntextdkovn0pt"/>
          <w:rFonts w:ascii="Calibri" w:eastAsia="Times" w:hAnsi="Calibri" w:cs="Times New Roman"/>
          <w:color w:val="auto"/>
          <w:spacing w:val="0"/>
          <w:sz w:val="24"/>
          <w:u w:val="none"/>
          <w:lang w:val="cs-CZ"/>
        </w:rPr>
        <w:t xml:space="preserve"> na základní smyslové úrovni zakládá dvojí akt i</w:t>
      </w:r>
      <w:r>
        <w:rPr>
          <w:rStyle w:val="Zkladntextdkovn0pt"/>
          <w:rFonts w:ascii="Calibri" w:eastAsia="Times" w:hAnsi="Calibri" w:cs="Times New Roman"/>
          <w:color w:val="auto"/>
          <w:spacing w:val="0"/>
          <w:sz w:val="24"/>
          <w:u w:val="none"/>
          <w:lang w:val="cs-CZ"/>
        </w:rPr>
        <w:t>ntenc</w:t>
      </w:r>
      <w:r w:rsidR="083A183E">
        <w:rPr>
          <w:rStyle w:val="Zkladntextdkovn0pt"/>
          <w:rFonts w:ascii="Calibri" w:eastAsia="Times" w:hAnsi="Calibri" w:cs="Times New Roman"/>
          <w:color w:val="auto"/>
          <w:spacing w:val="0"/>
          <w:sz w:val="24"/>
          <w:u w:val="none"/>
          <w:lang w:val="cs-CZ"/>
        </w:rPr>
        <w:t xml:space="preserve">ionality daný jako fyzikální recepce smyslových orgánů a jako duševní syntéza </w:t>
      </w:r>
      <w:r w:rsidR="004B4D52" w:rsidRPr="004B4D52">
        <w:rPr>
          <w:rStyle w:val="Zkladntextdkovn0pt"/>
          <w:rFonts w:ascii="Calibri" w:eastAsia="Times" w:hAnsi="Calibri" w:cs="Times New Roman"/>
          <w:color w:val="auto"/>
          <w:spacing w:val="0"/>
          <w:sz w:val="24"/>
          <w:u w:val="none"/>
          <w:lang w:val="cs-CZ"/>
        </w:rPr>
        <w:t>species</w:t>
      </w:r>
      <w:r w:rsidR="083A183E" w:rsidRPr="083A183E">
        <w:rPr>
          <w:rStyle w:val="Zkladntextdkovn0pt"/>
          <w:rFonts w:ascii="Calibri" w:eastAsia="Times" w:hAnsi="Calibri" w:cs="Times New Roman"/>
          <w:i/>
          <w:color w:val="auto"/>
          <w:spacing w:val="0"/>
          <w:sz w:val="24"/>
          <w:u w:val="none"/>
          <w:lang w:val="cs-CZ"/>
        </w:rPr>
        <w:t xml:space="preserve"> sensibilis</w:t>
      </w:r>
      <w:r w:rsidR="083A183E">
        <w:rPr>
          <w:rStyle w:val="Zkladntextdkovn0pt"/>
          <w:rFonts w:ascii="Calibri" w:eastAsia="Times" w:hAnsi="Calibri" w:cs="Times New Roman"/>
          <w:color w:val="auto"/>
          <w:spacing w:val="0"/>
          <w:sz w:val="24"/>
          <w:u w:val="none"/>
          <w:lang w:val="cs-CZ"/>
        </w:rPr>
        <w:t xml:space="preserve">. Tento individuální proces </w:t>
      </w:r>
      <w:r w:rsidR="08F24E54">
        <w:rPr>
          <w:rStyle w:val="Zkladntextdkovn0pt"/>
          <w:rFonts w:ascii="Calibri" w:eastAsia="Times" w:hAnsi="Calibri" w:cs="Times New Roman"/>
          <w:color w:val="auto"/>
          <w:spacing w:val="0"/>
          <w:sz w:val="24"/>
          <w:u w:val="none"/>
          <w:lang w:val="cs-CZ"/>
        </w:rPr>
        <w:t xml:space="preserve">dané ve zvířeti i v člověku </w:t>
      </w:r>
      <w:r w:rsidR="083A183E">
        <w:rPr>
          <w:rStyle w:val="Zkladntextdkovn0pt"/>
          <w:rFonts w:ascii="Calibri" w:eastAsia="Times" w:hAnsi="Calibri" w:cs="Times New Roman"/>
          <w:color w:val="auto"/>
          <w:spacing w:val="0"/>
          <w:sz w:val="24"/>
          <w:u w:val="none"/>
          <w:lang w:val="cs-CZ"/>
        </w:rPr>
        <w:t xml:space="preserve">způsobuje, že poznaná </w:t>
      </w:r>
      <w:r>
        <w:rPr>
          <w:rStyle w:val="Zkladntextdkovn0pt"/>
          <w:rFonts w:ascii="Calibri" w:eastAsia="Times" w:hAnsi="Calibri" w:cs="Times New Roman"/>
          <w:color w:val="auto"/>
          <w:spacing w:val="0"/>
          <w:sz w:val="24"/>
          <w:u w:val="none"/>
          <w:lang w:val="cs-CZ"/>
        </w:rPr>
        <w:t>forma se zásadně liší od formy aktualizované v reálné věci</w:t>
      </w:r>
      <w:r w:rsidR="08F24E54">
        <w:rPr>
          <w:rStyle w:val="Zkladntextdkovn0pt"/>
          <w:rFonts w:ascii="Calibri" w:eastAsia="Times" w:hAnsi="Calibri" w:cs="Times New Roman"/>
          <w:color w:val="auto"/>
          <w:spacing w:val="0"/>
          <w:sz w:val="24"/>
          <w:u w:val="none"/>
          <w:lang w:val="cs-CZ"/>
        </w:rPr>
        <w:t xml:space="preserve">. U člověka se liší </w:t>
      </w:r>
      <w:r w:rsidR="08E80855">
        <w:rPr>
          <w:rStyle w:val="Zkladntextdkovn0pt"/>
          <w:rFonts w:ascii="Calibri" w:eastAsia="Times" w:hAnsi="Calibri" w:cs="Times New Roman"/>
          <w:color w:val="auto"/>
          <w:spacing w:val="0"/>
          <w:sz w:val="24"/>
          <w:u w:val="none"/>
          <w:lang w:val="cs-CZ"/>
        </w:rPr>
        <w:t xml:space="preserve">proces intencionality </w:t>
      </w:r>
      <w:r w:rsidR="08A77A8C">
        <w:rPr>
          <w:rStyle w:val="Zkladntextdkovn0pt"/>
          <w:rFonts w:ascii="Calibri" w:eastAsia="Times" w:hAnsi="Calibri" w:cs="Times New Roman"/>
          <w:color w:val="auto"/>
          <w:spacing w:val="0"/>
          <w:sz w:val="24"/>
          <w:u w:val="none"/>
          <w:lang w:val="cs-CZ"/>
        </w:rPr>
        <w:t xml:space="preserve">a poznání </w:t>
      </w:r>
      <w:r w:rsidR="08D5289D">
        <w:rPr>
          <w:rStyle w:val="Zkladntextdkovn0pt"/>
          <w:rFonts w:ascii="Calibri" w:eastAsia="Times" w:hAnsi="Calibri" w:cs="Times New Roman"/>
          <w:color w:val="auto"/>
          <w:spacing w:val="0"/>
          <w:sz w:val="24"/>
          <w:u w:val="none"/>
          <w:lang w:val="cs-CZ"/>
        </w:rPr>
        <w:t xml:space="preserve">od zvířete i </w:t>
      </w:r>
      <w:r w:rsidR="08E80855">
        <w:rPr>
          <w:rStyle w:val="Zkladntextdkovn0pt"/>
          <w:rFonts w:ascii="Calibri" w:eastAsia="Times" w:hAnsi="Calibri" w:cs="Times New Roman"/>
          <w:color w:val="auto"/>
          <w:spacing w:val="0"/>
          <w:sz w:val="24"/>
          <w:u w:val="none"/>
          <w:lang w:val="cs-CZ"/>
        </w:rPr>
        <w:t>genericky</w:t>
      </w:r>
      <w:r w:rsidR="08F24E54">
        <w:rPr>
          <w:rStyle w:val="Zkladntextdkovn0pt"/>
          <w:rFonts w:ascii="Calibri" w:eastAsia="Times" w:hAnsi="Calibri" w:cs="Times New Roman"/>
          <w:color w:val="auto"/>
          <w:spacing w:val="0"/>
          <w:sz w:val="24"/>
          <w:u w:val="none"/>
          <w:lang w:val="cs-CZ"/>
        </w:rPr>
        <w:t xml:space="preserve">, protože animální materialita </w:t>
      </w:r>
      <w:r w:rsidR="004B4D52" w:rsidRPr="004B4D52">
        <w:rPr>
          <w:rStyle w:val="Zkladntextdkovn0pt"/>
          <w:rFonts w:ascii="Calibri" w:eastAsia="Times" w:hAnsi="Calibri" w:cs="Times New Roman"/>
          <w:color w:val="auto"/>
          <w:spacing w:val="0"/>
          <w:sz w:val="24"/>
          <w:u w:val="none"/>
          <w:lang w:val="cs-CZ"/>
        </w:rPr>
        <w:t>species</w:t>
      </w:r>
      <w:r w:rsidR="08F24E54" w:rsidRPr="08F24E54">
        <w:rPr>
          <w:rStyle w:val="Zkladntextdkovn0pt"/>
          <w:rFonts w:ascii="Calibri" w:eastAsia="Times" w:hAnsi="Calibri" w:cs="Times New Roman"/>
          <w:i/>
          <w:color w:val="auto"/>
          <w:spacing w:val="0"/>
          <w:sz w:val="24"/>
          <w:u w:val="none"/>
          <w:lang w:val="cs-CZ"/>
        </w:rPr>
        <w:t xml:space="preserve"> sensib</w:t>
      </w:r>
      <w:r w:rsidR="08F24E54">
        <w:rPr>
          <w:rStyle w:val="Zkladntextdkovn0pt"/>
          <w:rFonts w:ascii="Calibri" w:eastAsia="Times" w:hAnsi="Calibri" w:cs="Times New Roman"/>
          <w:i/>
          <w:color w:val="auto"/>
          <w:spacing w:val="0"/>
          <w:sz w:val="24"/>
          <w:u w:val="none"/>
          <w:lang w:val="cs-CZ"/>
        </w:rPr>
        <w:t>i</w:t>
      </w:r>
      <w:r w:rsidR="08F24E54" w:rsidRPr="08F24E54">
        <w:rPr>
          <w:rStyle w:val="Zkladntextdkovn0pt"/>
          <w:rFonts w:ascii="Calibri" w:eastAsia="Times" w:hAnsi="Calibri" w:cs="Times New Roman"/>
          <w:i/>
          <w:color w:val="auto"/>
          <w:spacing w:val="0"/>
          <w:sz w:val="24"/>
          <w:u w:val="none"/>
          <w:lang w:val="cs-CZ"/>
        </w:rPr>
        <w:t>lis</w:t>
      </w:r>
      <w:r w:rsidR="08F24E54">
        <w:rPr>
          <w:rStyle w:val="Zkladntextdkovn0pt"/>
          <w:rFonts w:ascii="Calibri" w:eastAsia="Times" w:hAnsi="Calibri" w:cs="Times New Roman"/>
          <w:color w:val="auto"/>
          <w:spacing w:val="0"/>
          <w:sz w:val="24"/>
          <w:u w:val="none"/>
          <w:lang w:val="cs-CZ"/>
        </w:rPr>
        <w:t xml:space="preserve"> se liší od lidské nemateriální </w:t>
      </w:r>
      <w:r w:rsidR="004B4D52" w:rsidRPr="004B4D52">
        <w:rPr>
          <w:rStyle w:val="Zkladntextdkovn0pt"/>
          <w:rFonts w:ascii="Calibri" w:eastAsia="Times" w:hAnsi="Calibri" w:cs="Times New Roman"/>
          <w:color w:val="auto"/>
          <w:spacing w:val="0"/>
          <w:sz w:val="24"/>
          <w:u w:val="none"/>
          <w:lang w:val="cs-CZ"/>
        </w:rPr>
        <w:t>species</w:t>
      </w:r>
      <w:r w:rsidR="08F24E54" w:rsidRPr="08F24E54">
        <w:rPr>
          <w:rStyle w:val="Zkladntextdkovn0pt"/>
          <w:rFonts w:ascii="Calibri" w:eastAsia="Times" w:hAnsi="Calibri" w:cs="Times New Roman"/>
          <w:i/>
          <w:color w:val="auto"/>
          <w:spacing w:val="0"/>
          <w:sz w:val="24"/>
          <w:u w:val="none"/>
          <w:lang w:val="cs-CZ"/>
        </w:rPr>
        <w:t xml:space="preserve"> intelligibilis</w:t>
      </w:r>
      <w:r w:rsidR="08E80855">
        <w:rPr>
          <w:rStyle w:val="Zkladntextdkovn0pt"/>
          <w:rFonts w:ascii="Calibri" w:eastAsia="Times" w:hAnsi="Calibri" w:cs="Times New Roman"/>
          <w:color w:val="auto"/>
          <w:spacing w:val="0"/>
          <w:sz w:val="24"/>
          <w:u w:val="none"/>
          <w:lang w:val="cs-CZ"/>
        </w:rPr>
        <w:t xml:space="preserve">. </w:t>
      </w:r>
      <w:r>
        <w:rPr>
          <w:rStyle w:val="Zkladntext158dkovn0pt"/>
          <w:color w:val="auto"/>
          <w:spacing w:val="0"/>
          <w:sz w:val="24"/>
          <w:lang w:val="cs-CZ"/>
        </w:rPr>
        <w:t xml:space="preserve">Blund </w:t>
      </w:r>
      <w:r w:rsidRPr="00FD19B5">
        <w:rPr>
          <w:rStyle w:val="Zkladntext158dkovn0pt"/>
          <w:color w:val="auto"/>
          <w:spacing w:val="0"/>
          <w:sz w:val="24"/>
          <w:lang w:val="cs-CZ"/>
        </w:rPr>
        <w:t xml:space="preserve">dobře ví podle </w:t>
      </w:r>
      <w:r w:rsidRPr="00FD19B5">
        <w:rPr>
          <w:rStyle w:val="Zkladntext158dkovn0pt"/>
          <w:i/>
          <w:color w:val="auto"/>
          <w:spacing w:val="0"/>
          <w:sz w:val="24"/>
          <w:lang w:val="cs-CZ"/>
        </w:rPr>
        <w:t>De anima</w:t>
      </w:r>
      <w:r w:rsidRPr="00FD19B5">
        <w:rPr>
          <w:rStyle w:val="Zkladntext158dkovn0pt"/>
          <w:color w:val="auto"/>
          <w:spacing w:val="0"/>
          <w:sz w:val="24"/>
          <w:lang w:val="cs-CZ"/>
        </w:rPr>
        <w:t>, že</w:t>
      </w:r>
      <w:r>
        <w:rPr>
          <w:rStyle w:val="Zkladntext158dkovn0pt"/>
          <w:i/>
          <w:color w:val="auto"/>
          <w:spacing w:val="0"/>
          <w:sz w:val="24"/>
          <w:lang w:val="cs-CZ"/>
        </w:rPr>
        <w:t xml:space="preserve"> </w:t>
      </w:r>
      <w:r>
        <w:rPr>
          <w:rStyle w:val="Zkladntext158dkovn0pt"/>
          <w:color w:val="auto"/>
          <w:spacing w:val="0"/>
          <w:sz w:val="24"/>
          <w:lang w:val="cs-CZ"/>
        </w:rPr>
        <w:t xml:space="preserve">intencionalita patří zvířeti nebo člověku jako celku, protože aktivní syntéza celkového poznání nemá žádný smyslový orgán. Smysly jsou </w:t>
      </w:r>
      <w:r w:rsidR="080A2287">
        <w:rPr>
          <w:rStyle w:val="Zkladntext158dkovn0pt"/>
          <w:color w:val="auto"/>
          <w:spacing w:val="0"/>
          <w:sz w:val="24"/>
          <w:lang w:val="cs-CZ"/>
        </w:rPr>
        <w:t>materiálně-</w:t>
      </w:r>
      <w:r>
        <w:rPr>
          <w:rStyle w:val="Zkladntext158dkovn0pt"/>
          <w:color w:val="auto"/>
          <w:spacing w:val="0"/>
          <w:sz w:val="24"/>
          <w:lang w:val="cs-CZ"/>
        </w:rPr>
        <w:t>receptivní</w:t>
      </w:r>
      <w:r w:rsidR="080A2287">
        <w:rPr>
          <w:rStyle w:val="Zkladntext158dkovn0pt"/>
          <w:color w:val="auto"/>
          <w:spacing w:val="0"/>
          <w:sz w:val="24"/>
          <w:lang w:val="cs-CZ"/>
        </w:rPr>
        <w:t xml:space="preserve">, protože </w:t>
      </w:r>
      <w:r>
        <w:rPr>
          <w:rStyle w:val="Zkladntext158dkovn0pt"/>
          <w:color w:val="auto"/>
          <w:spacing w:val="0"/>
          <w:sz w:val="24"/>
          <w:lang w:val="cs-CZ"/>
        </w:rPr>
        <w:t xml:space="preserve">mají své </w:t>
      </w:r>
      <w:r w:rsidR="08FD190D">
        <w:rPr>
          <w:rStyle w:val="Zkladntext158dkovn0pt"/>
          <w:color w:val="auto"/>
          <w:spacing w:val="0"/>
          <w:sz w:val="24"/>
          <w:lang w:val="cs-CZ"/>
        </w:rPr>
        <w:t xml:space="preserve">sídlo </w:t>
      </w:r>
      <w:r>
        <w:rPr>
          <w:rStyle w:val="Zkladntext158dkovn0pt"/>
          <w:color w:val="auto"/>
          <w:spacing w:val="0"/>
          <w:sz w:val="24"/>
          <w:lang w:val="cs-CZ"/>
        </w:rPr>
        <w:t>v</w:t>
      </w:r>
      <w:r w:rsidR="08FD190D">
        <w:rPr>
          <w:rStyle w:val="Zkladntext158dkovn0pt"/>
          <w:color w:val="auto"/>
          <w:spacing w:val="0"/>
          <w:sz w:val="24"/>
          <w:lang w:val="cs-CZ"/>
        </w:rPr>
        <w:t>e</w:t>
      </w:r>
      <w:r>
        <w:rPr>
          <w:rStyle w:val="Zkladntext158dkovn0pt"/>
          <w:color w:val="auto"/>
          <w:spacing w:val="0"/>
          <w:sz w:val="24"/>
          <w:lang w:val="cs-CZ"/>
        </w:rPr>
        <w:t xml:space="preserve"> tělesných orgánech. Ale aktivně p</w:t>
      </w:r>
      <w:r>
        <w:rPr>
          <w:rStyle w:val="Zkladntextdkovn0pt"/>
          <w:rFonts w:ascii="Calibri" w:eastAsia="Times" w:hAnsi="Calibri" w:cs="Times New Roman"/>
          <w:color w:val="auto"/>
          <w:spacing w:val="0"/>
          <w:sz w:val="24"/>
          <w:u w:val="none"/>
          <w:lang w:val="cs-CZ"/>
        </w:rPr>
        <w:t>oznáváme na způsob poznávajícího</w:t>
      </w:r>
      <w:r w:rsidR="08A752D1">
        <w:rPr>
          <w:rStyle w:val="Zkladntextdkovn0pt"/>
          <w:rFonts w:ascii="Calibri" w:eastAsia="Times" w:hAnsi="Calibri" w:cs="Times New Roman"/>
          <w:color w:val="auto"/>
          <w:spacing w:val="0"/>
          <w:sz w:val="24"/>
          <w:u w:val="none"/>
          <w:lang w:val="cs-CZ"/>
        </w:rPr>
        <w:t xml:space="preserve"> živého organismu</w:t>
      </w:r>
      <w:r w:rsidR="081E3AEE">
        <w:rPr>
          <w:rStyle w:val="Zkladntextdkovn0pt"/>
          <w:rFonts w:ascii="Calibri" w:eastAsia="Times" w:hAnsi="Calibri" w:cs="Times New Roman"/>
          <w:color w:val="auto"/>
          <w:spacing w:val="0"/>
          <w:sz w:val="24"/>
          <w:u w:val="none"/>
          <w:lang w:val="cs-CZ"/>
        </w:rPr>
        <w:t xml:space="preserve"> jako entelechické první substance</w:t>
      </w:r>
      <w:r>
        <w:rPr>
          <w:rStyle w:val="Zkladntextdkovn0pt"/>
          <w:rFonts w:ascii="Calibri" w:eastAsia="Times" w:hAnsi="Calibri" w:cs="Times New Roman"/>
          <w:color w:val="auto"/>
          <w:spacing w:val="0"/>
          <w:sz w:val="24"/>
          <w:u w:val="none"/>
          <w:lang w:val="cs-CZ"/>
        </w:rPr>
        <w:t xml:space="preserve">, </w:t>
      </w:r>
      <w:r w:rsidR="08A752D1">
        <w:rPr>
          <w:rStyle w:val="Zkladntextdkovn0pt"/>
          <w:rFonts w:ascii="Calibri" w:eastAsia="Times" w:hAnsi="Calibri" w:cs="Times New Roman"/>
          <w:color w:val="auto"/>
          <w:spacing w:val="0"/>
          <w:sz w:val="24"/>
          <w:u w:val="none"/>
          <w:lang w:val="cs-CZ"/>
        </w:rPr>
        <w:t xml:space="preserve">tedy </w:t>
      </w:r>
      <w:r>
        <w:rPr>
          <w:rStyle w:val="Zkladntextdkovn0pt"/>
          <w:rFonts w:ascii="Calibri" w:eastAsia="Times" w:hAnsi="Calibri" w:cs="Times New Roman"/>
          <w:color w:val="auto"/>
          <w:spacing w:val="0"/>
          <w:sz w:val="24"/>
          <w:u w:val="none"/>
          <w:lang w:val="cs-CZ"/>
        </w:rPr>
        <w:t xml:space="preserve">v modu podobnosti intence a reálné věci </w:t>
      </w:r>
      <w:r w:rsidRPr="00273106">
        <w:rPr>
          <w:rStyle w:val="Zkladntextdkovn0pt"/>
          <w:rFonts w:ascii="Calibri" w:eastAsia="Times" w:hAnsi="Calibri" w:cs="Times New Roman"/>
          <w:color w:val="auto"/>
          <w:spacing w:val="0"/>
          <w:sz w:val="24"/>
          <w:u w:val="none"/>
          <w:lang w:val="cs-CZ"/>
        </w:rPr>
        <w:t>(</w:t>
      </w:r>
      <w:r w:rsidRPr="00273106">
        <w:rPr>
          <w:i/>
        </w:rPr>
        <w:t>similitudine intentionis</w:t>
      </w:r>
      <w:r w:rsidRPr="00273106">
        <w:rPr>
          <w:rStyle w:val="Zkladntextdkovn0pt"/>
          <w:rFonts w:ascii="Calibri" w:eastAsia="Times" w:hAnsi="Calibri" w:cs="Times New Roman"/>
          <w:color w:val="auto"/>
          <w:spacing w:val="0"/>
          <w:sz w:val="24"/>
          <w:u w:val="none"/>
          <w:lang w:val="cs-CZ"/>
        </w:rPr>
        <w:t>)</w:t>
      </w:r>
      <w:r>
        <w:rPr>
          <w:rStyle w:val="Zkladntextdkovn0pt"/>
          <w:rFonts w:ascii="Calibri" w:eastAsia="Times" w:hAnsi="Calibri" w:cs="Times New Roman"/>
          <w:color w:val="auto"/>
          <w:spacing w:val="0"/>
          <w:sz w:val="24"/>
          <w:u w:val="none"/>
          <w:lang w:val="cs-CZ"/>
        </w:rPr>
        <w:t xml:space="preserve">. </w:t>
      </w:r>
      <w:r w:rsidR="080F54B2">
        <w:rPr>
          <w:rStyle w:val="Zkladntextdkovn0pt"/>
          <w:rFonts w:ascii="Calibri" w:eastAsia="Times" w:hAnsi="Calibri" w:cs="Times New Roman"/>
          <w:color w:val="auto"/>
          <w:spacing w:val="0"/>
          <w:sz w:val="24"/>
          <w:u w:val="none"/>
          <w:lang w:val="cs-CZ"/>
        </w:rPr>
        <w:t>Tím se genericky liší intencionalita člověka a zvířete</w:t>
      </w:r>
      <w:r w:rsidR="08EC5AD7">
        <w:rPr>
          <w:rStyle w:val="Zkladntextdkovn0pt"/>
          <w:rFonts w:ascii="Calibri" w:eastAsia="Times" w:hAnsi="Calibri" w:cs="Times New Roman"/>
          <w:color w:val="auto"/>
          <w:spacing w:val="0"/>
          <w:sz w:val="24"/>
          <w:u w:val="none"/>
          <w:lang w:val="cs-CZ"/>
        </w:rPr>
        <w:t>, protože nemají stejnou ente</w:t>
      </w:r>
      <w:r w:rsidR="08DD50BD">
        <w:rPr>
          <w:rStyle w:val="Zkladntextdkovn0pt"/>
          <w:rFonts w:ascii="Calibri" w:eastAsia="Times" w:hAnsi="Calibri" w:cs="Times New Roman"/>
          <w:color w:val="auto"/>
          <w:spacing w:val="0"/>
          <w:sz w:val="24"/>
          <w:u w:val="none"/>
          <w:lang w:val="cs-CZ"/>
        </w:rPr>
        <w:t>le</w:t>
      </w:r>
      <w:r w:rsidR="08EC5AD7">
        <w:rPr>
          <w:rStyle w:val="Zkladntextdkovn0pt"/>
          <w:rFonts w:ascii="Calibri" w:eastAsia="Times" w:hAnsi="Calibri" w:cs="Times New Roman"/>
          <w:color w:val="auto"/>
          <w:spacing w:val="0"/>
          <w:sz w:val="24"/>
          <w:u w:val="none"/>
          <w:lang w:val="cs-CZ"/>
        </w:rPr>
        <w:t>chickou formu života, tedy duši</w:t>
      </w:r>
      <w:r w:rsidR="080F54B2">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P</w:t>
      </w:r>
      <w:r w:rsidRPr="00273106">
        <w:rPr>
          <w:rStyle w:val="Zkladntextdkovn0pt"/>
          <w:rFonts w:ascii="Calibri" w:eastAsia="Times" w:hAnsi="Calibri" w:cs="Times New Roman"/>
          <w:color w:val="auto"/>
          <w:spacing w:val="0"/>
          <w:sz w:val="24"/>
          <w:u w:val="none"/>
          <w:lang w:val="cs-CZ"/>
        </w:rPr>
        <w:t>odobnost mezi věcí a poznáním</w:t>
      </w:r>
      <w:r>
        <w:rPr>
          <w:rStyle w:val="Zkladntextdkovn0pt"/>
          <w:rFonts w:ascii="Calibri" w:eastAsia="Times" w:hAnsi="Calibri" w:cs="Times New Roman"/>
          <w:color w:val="auto"/>
          <w:spacing w:val="0"/>
          <w:sz w:val="24"/>
          <w:u w:val="none"/>
          <w:lang w:val="cs-CZ"/>
        </w:rPr>
        <w:t xml:space="preserve"> je dána tím, že </w:t>
      </w:r>
      <w:r w:rsidRPr="00273106">
        <w:rPr>
          <w:rStyle w:val="Zkladntextdkovn0pt"/>
          <w:rFonts w:ascii="Calibri" w:eastAsia="Times" w:hAnsi="Calibri" w:cs="Times New Roman"/>
          <w:color w:val="auto"/>
          <w:spacing w:val="0"/>
          <w:sz w:val="24"/>
          <w:u w:val="none"/>
          <w:lang w:val="cs-CZ"/>
        </w:rPr>
        <w:t>akt intencional</w:t>
      </w:r>
      <w:r>
        <w:rPr>
          <w:rStyle w:val="Zkladntextdkovn0pt"/>
          <w:rFonts w:ascii="Calibri" w:eastAsia="Times" w:hAnsi="Calibri" w:cs="Times New Roman"/>
          <w:color w:val="auto"/>
          <w:spacing w:val="0"/>
          <w:sz w:val="24"/>
          <w:u w:val="none"/>
          <w:lang w:val="cs-CZ"/>
        </w:rPr>
        <w:t>ity se liší od smyslové recepce, protože vytváří novou podobnost na úrovni animální nebo lidské duše</w:t>
      </w:r>
      <w:r w:rsidRPr="00273106">
        <w:rPr>
          <w:rStyle w:val="Zkladntextdkovn0pt"/>
          <w:rFonts w:ascii="Calibri" w:eastAsia="Times" w:hAnsi="Calibri" w:cs="Times New Roman"/>
          <w:color w:val="auto"/>
          <w:spacing w:val="0"/>
          <w:sz w:val="24"/>
          <w:u w:val="none"/>
          <w:lang w:val="cs-CZ"/>
        </w:rPr>
        <w:t xml:space="preserve">. </w:t>
      </w:r>
      <w:r w:rsidR="007968D4">
        <w:rPr>
          <w:rStyle w:val="Zkladntextdkovn0pt"/>
          <w:rFonts w:ascii="Calibri" w:eastAsia="Times" w:hAnsi="Calibri" w:cs="Times New Roman"/>
          <w:color w:val="auto"/>
          <w:spacing w:val="0"/>
          <w:sz w:val="24"/>
          <w:u w:val="none"/>
          <w:lang w:val="cs-CZ"/>
        </w:rPr>
        <w:t xml:space="preserve">Intencionalita </w:t>
      </w:r>
      <w:r w:rsidR="08ED644D">
        <w:rPr>
          <w:rStyle w:val="Zkladntextdkovn0pt"/>
          <w:rFonts w:ascii="Calibri" w:eastAsia="Times" w:hAnsi="Calibri" w:cs="Times New Roman"/>
          <w:color w:val="auto"/>
          <w:spacing w:val="0"/>
          <w:sz w:val="24"/>
          <w:u w:val="none"/>
          <w:lang w:val="cs-CZ"/>
        </w:rPr>
        <w:t xml:space="preserve">podle Blunda </w:t>
      </w:r>
      <w:r w:rsidR="007968D4">
        <w:rPr>
          <w:rStyle w:val="Zkladntextdkovn0pt"/>
          <w:rFonts w:ascii="Calibri" w:eastAsia="Times" w:hAnsi="Calibri" w:cs="Times New Roman"/>
          <w:color w:val="auto"/>
          <w:spacing w:val="0"/>
          <w:sz w:val="24"/>
          <w:u w:val="none"/>
          <w:lang w:val="cs-CZ"/>
        </w:rPr>
        <w:t xml:space="preserve">mediatizuje potenci poznávané formy a funguje jako diafanum mezi schopností duše a mezi jedinečným subjektem poznání </w:t>
      </w:r>
      <w:r w:rsidR="007968D4" w:rsidRPr="00273106">
        <w:rPr>
          <w:rStyle w:val="Zkladntextdkovn0pt"/>
          <w:rFonts w:ascii="Calibri" w:eastAsia="Times" w:hAnsi="Calibri" w:cs="Times New Roman"/>
          <w:color w:val="auto"/>
          <w:spacing w:val="0"/>
          <w:sz w:val="24"/>
          <w:u w:val="none"/>
          <w:lang w:val="cs-CZ"/>
        </w:rPr>
        <w:t>(</w:t>
      </w:r>
      <w:r w:rsidR="007968D4" w:rsidRPr="00273106">
        <w:rPr>
          <w:i/>
        </w:rPr>
        <w:t>inter instrumentum estimationis et subiectum intentionis</w:t>
      </w:r>
      <w:r w:rsidR="007968D4" w:rsidRPr="00273106">
        <w:t>)</w:t>
      </w:r>
      <w:r w:rsidR="007968D4">
        <w:t xml:space="preserve">. </w:t>
      </w:r>
      <w:r w:rsidRPr="00273106">
        <w:rPr>
          <w:rStyle w:val="Zkladntextdkovn0pt"/>
          <w:rFonts w:ascii="Calibri" w:eastAsia="Times" w:hAnsi="Calibri" w:cs="Times New Roman"/>
          <w:color w:val="auto"/>
          <w:spacing w:val="0"/>
          <w:sz w:val="24"/>
          <w:u w:val="none"/>
          <w:lang w:val="cs-CZ"/>
        </w:rPr>
        <w:t xml:space="preserve">Schopnost formalizace vjemů tvoří novou formu </w:t>
      </w:r>
      <w:r>
        <w:rPr>
          <w:rStyle w:val="Zkladntextdkovn0pt"/>
          <w:rFonts w:ascii="Calibri" w:eastAsia="Times" w:hAnsi="Calibri" w:cs="Times New Roman"/>
          <w:color w:val="auto"/>
          <w:spacing w:val="0"/>
          <w:sz w:val="24"/>
          <w:u w:val="none"/>
          <w:lang w:val="cs-CZ"/>
        </w:rPr>
        <w:t>diafanum</w:t>
      </w:r>
      <w:r w:rsidRPr="00273106">
        <w:rPr>
          <w:rStyle w:val="Zkladntextdkovn0pt"/>
          <w:rFonts w:ascii="Calibri" w:eastAsia="Times" w:hAnsi="Calibri" w:cs="Times New Roman"/>
          <w:color w:val="auto"/>
          <w:spacing w:val="0"/>
          <w:sz w:val="24"/>
          <w:u w:val="none"/>
          <w:lang w:val="cs-CZ"/>
        </w:rPr>
        <w:t xml:space="preserve"> pro recepci </w:t>
      </w:r>
      <w:r>
        <w:rPr>
          <w:rStyle w:val="Zkladntextdkovn0pt"/>
          <w:rFonts w:ascii="Calibri" w:eastAsia="Times" w:hAnsi="Calibri" w:cs="Times New Roman"/>
          <w:color w:val="auto"/>
          <w:spacing w:val="0"/>
          <w:sz w:val="24"/>
          <w:u w:val="none"/>
          <w:lang w:val="cs-CZ"/>
        </w:rPr>
        <w:t xml:space="preserve">poznávaných </w:t>
      </w:r>
      <w:r w:rsidRPr="00273106">
        <w:rPr>
          <w:rStyle w:val="Zkladntextdkovn0pt"/>
          <w:rFonts w:ascii="Calibri" w:eastAsia="Times" w:hAnsi="Calibri" w:cs="Times New Roman"/>
          <w:color w:val="auto"/>
          <w:spacing w:val="0"/>
          <w:sz w:val="24"/>
          <w:u w:val="none"/>
          <w:lang w:val="cs-CZ"/>
        </w:rPr>
        <w:t xml:space="preserve">forem </w:t>
      </w:r>
      <w:r>
        <w:rPr>
          <w:rStyle w:val="Zkladntextdkovn0pt"/>
          <w:rFonts w:ascii="Calibri" w:eastAsia="Times" w:hAnsi="Calibri" w:cs="Times New Roman"/>
          <w:color w:val="auto"/>
          <w:spacing w:val="0"/>
          <w:sz w:val="24"/>
          <w:u w:val="none"/>
          <w:lang w:val="cs-CZ"/>
        </w:rPr>
        <w:t>směrem od smyslů</w:t>
      </w:r>
      <w:r w:rsidRPr="00273106">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 xml:space="preserve">Tuto první formu intencionality má i zvíře, protože poznává svět </w:t>
      </w:r>
      <w:r w:rsidR="08904192">
        <w:rPr>
          <w:rStyle w:val="Zkladntextdkovn0pt"/>
          <w:rFonts w:ascii="Calibri" w:eastAsia="Times" w:hAnsi="Calibri" w:cs="Times New Roman"/>
          <w:color w:val="auto"/>
          <w:spacing w:val="0"/>
          <w:sz w:val="24"/>
          <w:u w:val="none"/>
          <w:lang w:val="cs-CZ"/>
        </w:rPr>
        <w:t xml:space="preserve">pasivně </w:t>
      </w:r>
      <w:r>
        <w:rPr>
          <w:rStyle w:val="Zkladntextdkovn0pt"/>
          <w:rFonts w:ascii="Calibri" w:eastAsia="Times" w:hAnsi="Calibri" w:cs="Times New Roman"/>
          <w:color w:val="auto"/>
          <w:spacing w:val="0"/>
          <w:sz w:val="24"/>
          <w:u w:val="none"/>
          <w:lang w:val="cs-CZ"/>
        </w:rPr>
        <w:t>skrze smysly</w:t>
      </w:r>
      <w:r w:rsidR="08904192">
        <w:rPr>
          <w:rStyle w:val="Zkladntextdkovn0pt"/>
          <w:rFonts w:ascii="Calibri" w:eastAsia="Times" w:hAnsi="Calibri" w:cs="Times New Roman"/>
          <w:color w:val="auto"/>
          <w:spacing w:val="0"/>
          <w:sz w:val="24"/>
          <w:u w:val="none"/>
          <w:lang w:val="cs-CZ"/>
        </w:rPr>
        <w:t xml:space="preserve"> a synteticky skrze intencionalitu</w:t>
      </w:r>
      <w:r>
        <w:rPr>
          <w:rStyle w:val="Zkladntextdkovn0pt"/>
          <w:rFonts w:ascii="Calibri" w:eastAsia="Times" w:hAnsi="Calibri" w:cs="Times New Roman"/>
          <w:color w:val="auto"/>
          <w:spacing w:val="0"/>
          <w:sz w:val="24"/>
          <w:u w:val="none"/>
          <w:lang w:val="cs-CZ"/>
        </w:rPr>
        <w:t xml:space="preserve">. </w:t>
      </w:r>
      <w:r w:rsidR="08904192">
        <w:rPr>
          <w:rStyle w:val="Zkladntextdkovn0pt"/>
          <w:rFonts w:ascii="Calibri" w:eastAsia="Times" w:hAnsi="Calibri" w:cs="Times New Roman"/>
          <w:color w:val="auto"/>
          <w:spacing w:val="0"/>
          <w:sz w:val="24"/>
          <w:u w:val="none"/>
          <w:lang w:val="cs-CZ"/>
        </w:rPr>
        <w:t xml:space="preserve">Obě schopnosti jsou specifické, protože jsou výkonem entelechické duše dané v tomto živém těle. </w:t>
      </w:r>
      <w:r>
        <w:rPr>
          <w:rStyle w:val="Zkladntextdkovn0pt"/>
          <w:rFonts w:ascii="Calibri" w:eastAsia="Times" w:hAnsi="Calibri" w:cs="Times New Roman"/>
          <w:color w:val="auto"/>
          <w:spacing w:val="0"/>
          <w:sz w:val="24"/>
          <w:u w:val="none"/>
          <w:lang w:val="cs-CZ"/>
        </w:rPr>
        <w:t xml:space="preserve">Intentionalita nejsou ani smyslové počitky, ani výsledný obraz daný skrze </w:t>
      </w:r>
      <w:r>
        <w:rPr>
          <w:rStyle w:val="Zkladntextdkovn0pt"/>
          <w:rFonts w:ascii="Calibri" w:eastAsia="Times" w:hAnsi="Calibri" w:cs="Times New Roman"/>
          <w:i/>
          <w:color w:val="auto"/>
          <w:spacing w:val="0"/>
          <w:sz w:val="24"/>
          <w:u w:val="none"/>
          <w:lang w:val="cs-CZ"/>
        </w:rPr>
        <w:t>vis</w:t>
      </w:r>
      <w:r w:rsidRPr="00644905">
        <w:rPr>
          <w:rStyle w:val="Zkladntextdkovn0pt"/>
          <w:rFonts w:ascii="Calibri" w:eastAsia="Times" w:hAnsi="Calibri" w:cs="Times New Roman"/>
          <w:i/>
          <w:color w:val="auto"/>
          <w:spacing w:val="0"/>
          <w:sz w:val="24"/>
          <w:u w:val="none"/>
          <w:lang w:val="cs-CZ"/>
        </w:rPr>
        <w:t xml:space="preserve"> aestimativa</w:t>
      </w:r>
      <w:r>
        <w:rPr>
          <w:rStyle w:val="Zkladntextdkovn0pt"/>
          <w:rFonts w:ascii="Calibri" w:eastAsia="Times" w:hAnsi="Calibri" w:cs="Times New Roman"/>
          <w:i/>
          <w:color w:val="auto"/>
          <w:spacing w:val="0"/>
          <w:sz w:val="24"/>
          <w:u w:val="none"/>
          <w:lang w:val="cs-CZ"/>
        </w:rPr>
        <w:fldChar w:fldCharType="begin"/>
      </w:r>
      <w:r>
        <w:instrText xml:space="preserve"> XE "</w:instrText>
      </w:r>
      <w:r w:rsidRPr="00C34A1D">
        <w:rPr>
          <w:i/>
        </w:rPr>
        <w:instrText>vis aestimativa</w:instrText>
      </w:r>
      <w:r>
        <w:instrText xml:space="preserve">" </w:instrText>
      </w:r>
      <w:r>
        <w:rPr>
          <w:rStyle w:val="Zkladntextdkovn0pt"/>
          <w:rFonts w:ascii="Calibri" w:eastAsia="Times" w:hAnsi="Calibri" w:cs="Times New Roman"/>
          <w:i/>
          <w:color w:val="auto"/>
          <w:spacing w:val="0"/>
          <w:sz w:val="24"/>
          <w:u w:val="none"/>
          <w:lang w:val="cs-CZ"/>
        </w:rPr>
        <w:fldChar w:fldCharType="end"/>
      </w:r>
      <w:r w:rsidR="08C355EC">
        <w:rPr>
          <w:rStyle w:val="Zkladntextdkovn0pt"/>
          <w:rFonts w:ascii="Calibri" w:eastAsia="Times" w:hAnsi="Calibri" w:cs="Times New Roman"/>
          <w:color w:val="auto"/>
          <w:spacing w:val="0"/>
          <w:sz w:val="24"/>
          <w:u w:val="none"/>
          <w:lang w:val="cs-CZ"/>
        </w:rPr>
        <w:t>. První je dáno díky smyslovému</w:t>
      </w:r>
      <w:r>
        <w:rPr>
          <w:rStyle w:val="Zkladntextdkovn0pt"/>
          <w:rFonts w:ascii="Calibri" w:eastAsia="Times" w:hAnsi="Calibri" w:cs="Times New Roman"/>
          <w:color w:val="auto"/>
          <w:spacing w:val="0"/>
          <w:sz w:val="24"/>
          <w:u w:val="none"/>
          <w:lang w:val="cs-CZ"/>
        </w:rPr>
        <w:t xml:space="preserve"> orgánu a to druhé je </w:t>
      </w:r>
      <w:r>
        <w:rPr>
          <w:rStyle w:val="Zkladntextdkovn0pt"/>
          <w:rFonts w:ascii="Calibri" w:eastAsia="Times" w:hAnsi="Calibri" w:cs="Times New Roman"/>
          <w:color w:val="auto"/>
          <w:spacing w:val="0"/>
          <w:sz w:val="24"/>
          <w:u w:val="none"/>
          <w:lang w:val="cs-CZ"/>
        </w:rPr>
        <w:lastRenderedPageBreak/>
        <w:t>až výsledný produkt poznání</w:t>
      </w:r>
      <w:r w:rsidR="080E7E67">
        <w:rPr>
          <w:rStyle w:val="Zkladntextdkovn0pt"/>
          <w:rFonts w:ascii="Calibri" w:eastAsia="Times" w:hAnsi="Calibri" w:cs="Times New Roman"/>
          <w:color w:val="auto"/>
          <w:spacing w:val="0"/>
          <w:sz w:val="24"/>
          <w:u w:val="none"/>
          <w:lang w:val="cs-CZ"/>
        </w:rPr>
        <w:t xml:space="preserve">. Smyslová </w:t>
      </w:r>
      <w:r w:rsidR="006A04C6" w:rsidRPr="006A04C6">
        <w:rPr>
          <w:rStyle w:val="Zkladntextdkovn0pt"/>
          <w:rFonts w:ascii="Calibri" w:eastAsia="Times" w:hAnsi="Calibri" w:cs="Times New Roman"/>
          <w:color w:val="auto"/>
          <w:spacing w:val="0"/>
          <w:sz w:val="24"/>
          <w:u w:val="none"/>
          <w:lang w:val="cs-CZ"/>
        </w:rPr>
        <w:t>species</w:t>
      </w:r>
      <w:r w:rsidR="080E7E67">
        <w:rPr>
          <w:rStyle w:val="Zkladntextdkovn0pt"/>
          <w:rFonts w:ascii="Calibri" w:eastAsia="Times" w:hAnsi="Calibri" w:cs="Times New Roman"/>
          <w:color w:val="auto"/>
          <w:spacing w:val="0"/>
          <w:sz w:val="24"/>
          <w:u w:val="none"/>
          <w:lang w:val="cs-CZ"/>
        </w:rPr>
        <w:t xml:space="preserve"> musí být nejprve mediatizovaná skrze zvířecí </w:t>
      </w:r>
      <w:r w:rsidR="088F76C6">
        <w:rPr>
          <w:rStyle w:val="Zkladntextdkovn0pt"/>
          <w:rFonts w:ascii="Calibri" w:eastAsia="Times" w:hAnsi="Calibri" w:cs="Times New Roman"/>
          <w:color w:val="auto"/>
          <w:spacing w:val="0"/>
          <w:sz w:val="24"/>
          <w:u w:val="none"/>
          <w:lang w:val="cs-CZ"/>
        </w:rPr>
        <w:t xml:space="preserve">a lidskou </w:t>
      </w:r>
      <w:r w:rsidR="080E7E67">
        <w:rPr>
          <w:rStyle w:val="Zkladntextdkovn0pt"/>
          <w:rFonts w:ascii="Calibri" w:eastAsia="Times" w:hAnsi="Calibri" w:cs="Times New Roman"/>
          <w:color w:val="auto"/>
          <w:spacing w:val="0"/>
          <w:sz w:val="24"/>
          <w:u w:val="none"/>
          <w:lang w:val="cs-CZ"/>
        </w:rPr>
        <w:t>inten</w:t>
      </w:r>
      <w:r w:rsidR="088F76C6">
        <w:rPr>
          <w:rStyle w:val="Zkladntextdkovn0pt"/>
          <w:rFonts w:ascii="Calibri" w:eastAsia="Times" w:hAnsi="Calibri" w:cs="Times New Roman"/>
          <w:color w:val="auto"/>
          <w:spacing w:val="0"/>
          <w:sz w:val="24"/>
          <w:u w:val="none"/>
          <w:lang w:val="cs-CZ"/>
        </w:rPr>
        <w:t>cionalit</w:t>
      </w:r>
      <w:r w:rsidR="08864F4F">
        <w:rPr>
          <w:rStyle w:val="Zkladntextdkovn0pt"/>
          <w:rFonts w:ascii="Calibri" w:eastAsia="Times" w:hAnsi="Calibri" w:cs="Times New Roman"/>
          <w:color w:val="auto"/>
          <w:spacing w:val="0"/>
          <w:sz w:val="24"/>
          <w:u w:val="none"/>
          <w:lang w:val="cs-CZ"/>
        </w:rPr>
        <w:t>u</w:t>
      </w:r>
      <w:r w:rsidR="088F76C6">
        <w:rPr>
          <w:rStyle w:val="Zkladntextdkovn0pt"/>
          <w:rFonts w:ascii="Calibri" w:eastAsia="Times" w:hAnsi="Calibri" w:cs="Times New Roman"/>
          <w:color w:val="auto"/>
          <w:spacing w:val="0"/>
          <w:sz w:val="24"/>
          <w:u w:val="none"/>
          <w:lang w:val="cs-CZ"/>
        </w:rPr>
        <w:t xml:space="preserve">. Ta je dána od aktu představivosti </w:t>
      </w:r>
      <w:r w:rsidR="082D79DE">
        <w:rPr>
          <w:rStyle w:val="Zkladntextdkovn0pt"/>
          <w:rFonts w:ascii="Calibri" w:eastAsia="Times" w:hAnsi="Calibri" w:cs="Times New Roman"/>
          <w:color w:val="auto"/>
          <w:spacing w:val="0"/>
          <w:sz w:val="24"/>
          <w:u w:val="none"/>
          <w:lang w:val="cs-CZ"/>
        </w:rPr>
        <w:t xml:space="preserve">a to </w:t>
      </w:r>
      <w:r w:rsidR="088F76C6">
        <w:rPr>
          <w:rStyle w:val="Zkladntextdkovn0pt"/>
          <w:rFonts w:ascii="Calibri" w:eastAsia="Times" w:hAnsi="Calibri" w:cs="Times New Roman"/>
          <w:color w:val="auto"/>
          <w:spacing w:val="0"/>
          <w:sz w:val="24"/>
          <w:u w:val="none"/>
          <w:lang w:val="cs-CZ"/>
        </w:rPr>
        <w:t xml:space="preserve">jejím </w:t>
      </w:r>
      <w:r w:rsidR="08864F4F">
        <w:rPr>
          <w:rStyle w:val="Zkladntextdkovn0pt"/>
          <w:rFonts w:ascii="Calibri" w:eastAsia="Times" w:hAnsi="Calibri" w:cs="Times New Roman"/>
          <w:color w:val="auto"/>
          <w:spacing w:val="0"/>
          <w:sz w:val="24"/>
          <w:u w:val="none"/>
          <w:lang w:val="cs-CZ"/>
        </w:rPr>
        <w:t>duševním (animálním či lidským) z</w:t>
      </w:r>
      <w:r w:rsidR="088F76C6">
        <w:rPr>
          <w:rStyle w:val="Zkladntextdkovn0pt"/>
          <w:rFonts w:ascii="Calibri" w:eastAsia="Times" w:hAnsi="Calibri" w:cs="Times New Roman"/>
          <w:color w:val="auto"/>
          <w:spacing w:val="0"/>
          <w:sz w:val="24"/>
          <w:u w:val="none"/>
          <w:lang w:val="cs-CZ"/>
        </w:rPr>
        <w:t xml:space="preserve">aměřením na smyslový vněm daný počitkem vzniklým v poznávacím orgánu těla. Toto zaměření představivosti na </w:t>
      </w:r>
      <w:r w:rsidR="082E1714">
        <w:rPr>
          <w:rStyle w:val="Zkladntextdkovn0pt"/>
          <w:rFonts w:ascii="Calibri" w:eastAsia="Times" w:hAnsi="Calibri" w:cs="Times New Roman"/>
          <w:color w:val="auto"/>
          <w:spacing w:val="0"/>
          <w:sz w:val="24"/>
          <w:u w:val="none"/>
          <w:lang w:val="cs-CZ"/>
        </w:rPr>
        <w:t xml:space="preserve">intencionální </w:t>
      </w:r>
      <w:r w:rsidR="088F76C6">
        <w:rPr>
          <w:rStyle w:val="Zkladntextdkovn0pt"/>
          <w:rFonts w:ascii="Calibri" w:eastAsia="Times" w:hAnsi="Calibri" w:cs="Times New Roman"/>
          <w:color w:val="auto"/>
          <w:spacing w:val="0"/>
          <w:sz w:val="24"/>
          <w:u w:val="none"/>
          <w:lang w:val="cs-CZ"/>
        </w:rPr>
        <w:t xml:space="preserve">předmět </w:t>
      </w:r>
      <w:r w:rsidR="080E7E67">
        <w:rPr>
          <w:rStyle w:val="Zkladntextdkovn0pt"/>
          <w:rFonts w:ascii="Calibri" w:eastAsia="Times" w:hAnsi="Calibri" w:cs="Times New Roman"/>
          <w:color w:val="auto"/>
          <w:spacing w:val="0"/>
          <w:sz w:val="24"/>
          <w:u w:val="none"/>
          <w:lang w:val="cs-CZ"/>
        </w:rPr>
        <w:t xml:space="preserve">představuje po smyslových orgánech první akt duševní recepce. </w:t>
      </w:r>
      <w:r w:rsidR="08491872">
        <w:rPr>
          <w:rStyle w:val="Zkladntextdkovn0pt"/>
          <w:rFonts w:ascii="Calibri" w:eastAsia="Times" w:hAnsi="Calibri" w:cs="Times New Roman"/>
          <w:color w:val="auto"/>
          <w:spacing w:val="0"/>
          <w:sz w:val="24"/>
          <w:u w:val="none"/>
          <w:lang w:val="cs-CZ"/>
        </w:rPr>
        <w:t xml:space="preserve">Znovu je třeba mít na mysli vznik barvy </w:t>
      </w:r>
      <w:r w:rsidR="088E5A65">
        <w:rPr>
          <w:rStyle w:val="Zkladntextdkovn0pt"/>
          <w:rFonts w:ascii="Calibri" w:eastAsia="Times" w:hAnsi="Calibri" w:cs="Times New Roman"/>
          <w:color w:val="auto"/>
          <w:spacing w:val="0"/>
          <w:sz w:val="24"/>
          <w:u w:val="none"/>
          <w:lang w:val="cs-CZ"/>
        </w:rPr>
        <w:t xml:space="preserve">na tělese </w:t>
      </w:r>
      <w:r w:rsidR="08491872">
        <w:rPr>
          <w:rStyle w:val="Zkladntextdkovn0pt"/>
          <w:rFonts w:ascii="Calibri" w:eastAsia="Times" w:hAnsi="Calibri" w:cs="Times New Roman"/>
          <w:color w:val="auto"/>
          <w:spacing w:val="0"/>
          <w:sz w:val="24"/>
          <w:u w:val="none"/>
          <w:lang w:val="cs-CZ"/>
        </w:rPr>
        <w:t>ve trojí specificitě (aktualita paprsku,</w:t>
      </w:r>
      <w:r w:rsidR="088E5A65">
        <w:rPr>
          <w:rStyle w:val="Zkladntextdkovn0pt"/>
          <w:rFonts w:ascii="Calibri" w:eastAsia="Times" w:hAnsi="Calibri" w:cs="Times New Roman"/>
          <w:color w:val="auto"/>
          <w:spacing w:val="0"/>
          <w:sz w:val="24"/>
          <w:u w:val="none"/>
          <w:lang w:val="cs-CZ"/>
        </w:rPr>
        <w:t xml:space="preserve"> mediace, barevná plocha</w:t>
      </w:r>
      <w:r w:rsidR="08B72218">
        <w:rPr>
          <w:rStyle w:val="Zkladntextdkovn0pt"/>
          <w:rFonts w:ascii="Calibri" w:eastAsia="Times" w:hAnsi="Calibri" w:cs="Times New Roman"/>
          <w:color w:val="auto"/>
          <w:spacing w:val="0"/>
          <w:sz w:val="24"/>
          <w:u w:val="none"/>
          <w:lang w:val="cs-CZ"/>
        </w:rPr>
        <w:t xml:space="preserve"> vitráže</w:t>
      </w:r>
      <w:r w:rsidR="08491872">
        <w:rPr>
          <w:rStyle w:val="Zkladntextdkovn0pt"/>
          <w:rFonts w:ascii="Calibri" w:eastAsia="Times" w:hAnsi="Calibri" w:cs="Times New Roman"/>
          <w:color w:val="auto"/>
          <w:spacing w:val="0"/>
          <w:sz w:val="24"/>
          <w:u w:val="none"/>
          <w:lang w:val="cs-CZ"/>
        </w:rPr>
        <w:t xml:space="preserve">), </w:t>
      </w:r>
      <w:r w:rsidR="00954802">
        <w:rPr>
          <w:rStyle w:val="Zkladntextdkovn0pt"/>
          <w:rFonts w:ascii="Calibri" w:eastAsia="Times" w:hAnsi="Calibri" w:cs="Times New Roman"/>
          <w:color w:val="auto"/>
          <w:spacing w:val="0"/>
          <w:sz w:val="24"/>
          <w:u w:val="none"/>
          <w:lang w:val="cs-CZ"/>
        </w:rPr>
        <w:t>kterou popsala předešlá analýza CMDA</w:t>
      </w:r>
      <w:r w:rsidR="08491872">
        <w:rPr>
          <w:rStyle w:val="Zkladntextdkovn0pt"/>
          <w:rFonts w:ascii="Calibri" w:eastAsia="Times" w:hAnsi="Calibri" w:cs="Times New Roman"/>
          <w:color w:val="auto"/>
          <w:spacing w:val="0"/>
          <w:sz w:val="24"/>
          <w:u w:val="none"/>
          <w:lang w:val="cs-CZ"/>
        </w:rPr>
        <w:t xml:space="preserve">. </w:t>
      </w:r>
      <w:r w:rsidR="00AE1454">
        <w:t xml:space="preserve">Společný svět vnímání daný skrze diafanum poprvé zavedl Averroes (OBJ I, kap. 2.4.4). </w:t>
      </w:r>
      <w:r>
        <w:rPr>
          <w:rStyle w:val="Zkladntextdkovn0pt"/>
          <w:rFonts w:ascii="Calibri" w:eastAsia="Times" w:hAnsi="Calibri" w:cs="Times New Roman"/>
          <w:color w:val="auto"/>
          <w:spacing w:val="0"/>
          <w:sz w:val="24"/>
          <w:u w:val="none"/>
          <w:lang w:val="cs-CZ"/>
        </w:rPr>
        <w:t xml:space="preserve">Než ovce uvidí „vlka“, musí intencionálně recipovat potřebné vjemy </w:t>
      </w:r>
      <w:r w:rsidR="081503FE">
        <w:rPr>
          <w:rStyle w:val="Zkladntextdkovn0pt"/>
          <w:rFonts w:ascii="Calibri" w:eastAsia="Times" w:hAnsi="Calibri" w:cs="Times New Roman"/>
          <w:color w:val="auto"/>
          <w:spacing w:val="0"/>
          <w:sz w:val="24"/>
          <w:u w:val="none"/>
          <w:lang w:val="cs-CZ"/>
        </w:rPr>
        <w:t xml:space="preserve">dané v oku či čichu přímo </w:t>
      </w:r>
      <w:r w:rsidR="086E0941">
        <w:rPr>
          <w:rStyle w:val="Zkladntextdkovn0pt"/>
          <w:rFonts w:ascii="Calibri" w:eastAsia="Times" w:hAnsi="Calibri" w:cs="Times New Roman"/>
          <w:color w:val="auto"/>
          <w:spacing w:val="0"/>
          <w:sz w:val="24"/>
          <w:u w:val="none"/>
          <w:lang w:val="cs-CZ"/>
        </w:rPr>
        <w:t xml:space="preserve">od existence reálného vlka. </w:t>
      </w:r>
      <w:r w:rsidR="08B43704">
        <w:rPr>
          <w:rStyle w:val="Zkladntextdkovn0pt"/>
          <w:rFonts w:ascii="Calibri" w:eastAsia="Times" w:hAnsi="Calibri" w:cs="Times New Roman"/>
          <w:color w:val="auto"/>
          <w:spacing w:val="0"/>
          <w:sz w:val="24"/>
          <w:u w:val="none"/>
          <w:lang w:val="cs-CZ"/>
        </w:rPr>
        <w:t xml:space="preserve">Jeho vlastní bytí je vzhledem k poznání ovce dáno v modu </w:t>
      </w:r>
      <w:r w:rsidR="082A724F">
        <w:t xml:space="preserve">metafyzického </w:t>
      </w:r>
      <w:r w:rsidR="08B43704">
        <w:rPr>
          <w:rStyle w:val="Zkladntextdkovn0pt"/>
          <w:rFonts w:ascii="Calibri" w:eastAsia="Times" w:hAnsi="Calibri" w:cs="Times New Roman"/>
          <w:color w:val="auto"/>
          <w:spacing w:val="0"/>
          <w:sz w:val="24"/>
          <w:u w:val="none"/>
          <w:lang w:val="cs-CZ"/>
        </w:rPr>
        <w:t>dativu</w:t>
      </w:r>
      <w:r w:rsidR="08B43704">
        <w:rPr>
          <w:rStyle w:val="Zkladntextdkovn0pt"/>
          <w:rFonts w:ascii="Calibri" w:eastAsia="Times" w:hAnsi="Calibri" w:cs="Times New Roman"/>
          <w:color w:val="auto"/>
          <w:spacing w:val="0"/>
          <w:sz w:val="24"/>
          <w:u w:val="none"/>
          <w:lang w:val="cs-CZ"/>
        </w:rPr>
        <w:fldChar w:fldCharType="begin"/>
      </w:r>
      <w:r w:rsidR="08B43704">
        <w:instrText xml:space="preserve"> XE "</w:instrText>
      </w:r>
      <w:r w:rsidR="082A724F">
        <w:rPr>
          <w:rStyle w:val="Zkladntextdkovn0pt"/>
          <w:rFonts w:ascii="Calibri" w:eastAsia="Times" w:hAnsi="Calibri" w:cs="Times New Roman"/>
          <w:i/>
          <w:color w:val="auto"/>
          <w:spacing w:val="0"/>
          <w:sz w:val="24"/>
          <w:u w:val="none"/>
          <w:lang w:val="cs-CZ"/>
        </w:rPr>
        <w:instrText>dativus metaphysi</w:instrText>
      </w:r>
      <w:r w:rsidR="08B43704" w:rsidRPr="08B43704">
        <w:rPr>
          <w:rStyle w:val="Zkladntextdkovn0pt"/>
          <w:rFonts w:ascii="Calibri" w:eastAsia="Times" w:hAnsi="Calibri" w:cs="Times New Roman"/>
          <w:i/>
          <w:color w:val="auto"/>
          <w:spacing w:val="0"/>
          <w:sz w:val="24"/>
          <w:u w:val="none"/>
          <w:lang w:val="cs-CZ"/>
        </w:rPr>
        <w:instrText>cus</w:instrText>
      </w:r>
      <w:r w:rsidR="08B43704">
        <w:instrText xml:space="preserve">" </w:instrText>
      </w:r>
      <w:r w:rsidR="08B43704">
        <w:rPr>
          <w:rStyle w:val="Zkladntextdkovn0pt"/>
          <w:rFonts w:ascii="Calibri" w:eastAsia="Times" w:hAnsi="Calibri" w:cs="Times New Roman"/>
          <w:color w:val="auto"/>
          <w:spacing w:val="0"/>
          <w:sz w:val="24"/>
          <w:u w:val="none"/>
          <w:lang w:val="cs-CZ"/>
        </w:rPr>
        <w:fldChar w:fldCharType="end"/>
      </w:r>
      <w:r w:rsidR="08B43704">
        <w:rPr>
          <w:rStyle w:val="Zkladntextdkovn0pt"/>
          <w:rFonts w:ascii="Calibri" w:eastAsia="Times" w:hAnsi="Calibri" w:cs="Times New Roman"/>
          <w:color w:val="auto"/>
          <w:spacing w:val="0"/>
          <w:sz w:val="24"/>
          <w:u w:val="none"/>
          <w:lang w:val="cs-CZ"/>
        </w:rPr>
        <w:t xml:space="preserve">. </w:t>
      </w:r>
      <w:r w:rsidR="08E7233B">
        <w:rPr>
          <w:rStyle w:val="Zkladntextdkovn0pt"/>
          <w:rFonts w:ascii="Calibri" w:eastAsia="Times" w:hAnsi="Calibri" w:cs="Times New Roman"/>
          <w:color w:val="auto"/>
          <w:spacing w:val="0"/>
          <w:sz w:val="24"/>
          <w:u w:val="none"/>
          <w:lang w:val="cs-CZ"/>
        </w:rPr>
        <w:t>Na tyto aktuální vjemy ovce zaměří svou potenciální duševní a intencionální pozornost</w:t>
      </w:r>
      <w:r w:rsidR="00AE1454">
        <w:rPr>
          <w:rStyle w:val="Zkladntextdkovn0pt"/>
          <w:rFonts w:ascii="Calibri" w:eastAsia="Times" w:hAnsi="Calibri" w:cs="Times New Roman"/>
          <w:color w:val="auto"/>
          <w:spacing w:val="0"/>
          <w:sz w:val="24"/>
          <w:u w:val="none"/>
          <w:lang w:val="cs-CZ"/>
        </w:rPr>
        <w:t xml:space="preserve">. </w:t>
      </w:r>
      <w:r w:rsidR="08BD195E">
        <w:rPr>
          <w:rStyle w:val="Zkladntextdkovn0pt"/>
          <w:rFonts w:ascii="Calibri" w:eastAsia="Times" w:hAnsi="Calibri" w:cs="Times New Roman"/>
          <w:color w:val="auto"/>
          <w:spacing w:val="0"/>
          <w:sz w:val="24"/>
          <w:u w:val="none"/>
          <w:lang w:val="cs-CZ"/>
        </w:rPr>
        <w:t xml:space="preserve">Animální duše funguje skrze akt obrácení pozornosti na smyslový vněm jako další diafanum a převede toto </w:t>
      </w:r>
      <w:r w:rsidR="08E7233B" w:rsidRPr="08E7233B">
        <w:rPr>
          <w:rStyle w:val="Zkladntextdkovn0pt"/>
          <w:rFonts w:ascii="Calibri" w:eastAsia="Times" w:hAnsi="Calibri" w:cs="Times New Roman"/>
          <w:i/>
          <w:color w:val="auto"/>
          <w:spacing w:val="0"/>
          <w:sz w:val="24"/>
          <w:u w:val="none"/>
          <w:lang w:val="cs-CZ"/>
        </w:rPr>
        <w:t>intentum</w:t>
      </w:r>
      <w:r w:rsidR="08BD195E">
        <w:rPr>
          <w:rStyle w:val="Zkladntextdkovn0pt"/>
          <w:rFonts w:ascii="Calibri" w:eastAsia="Times" w:hAnsi="Calibri" w:cs="Times New Roman"/>
          <w:color w:val="auto"/>
          <w:spacing w:val="0"/>
          <w:sz w:val="24"/>
          <w:u w:val="none"/>
          <w:lang w:val="cs-CZ"/>
        </w:rPr>
        <w:t xml:space="preserve"> na smyslovou </w:t>
      </w:r>
      <w:r w:rsidR="08296CB7">
        <w:rPr>
          <w:rStyle w:val="Zkladntextdkovn0pt"/>
          <w:rFonts w:ascii="Calibri" w:eastAsia="Times" w:hAnsi="Calibri" w:cs="Times New Roman"/>
          <w:color w:val="auto"/>
          <w:spacing w:val="0"/>
          <w:sz w:val="24"/>
          <w:u w:val="none"/>
          <w:lang w:val="cs-CZ"/>
        </w:rPr>
        <w:t>představu (</w:t>
      </w:r>
      <w:r w:rsidR="004B4D52" w:rsidRPr="004B4D52">
        <w:rPr>
          <w:rStyle w:val="Zkladntextdkovn0pt"/>
          <w:rFonts w:ascii="Calibri" w:eastAsia="Times" w:hAnsi="Calibri" w:cs="Times New Roman"/>
          <w:color w:val="auto"/>
          <w:spacing w:val="0"/>
          <w:sz w:val="24"/>
          <w:u w:val="none"/>
          <w:lang w:val="cs-CZ"/>
        </w:rPr>
        <w:t>species</w:t>
      </w:r>
      <w:r w:rsidR="08296CB7">
        <w:rPr>
          <w:rStyle w:val="Zkladntextdkovn0pt"/>
          <w:rFonts w:ascii="Calibri" w:eastAsia="Times" w:hAnsi="Calibri" w:cs="Times New Roman"/>
          <w:i/>
          <w:color w:val="auto"/>
          <w:spacing w:val="0"/>
          <w:sz w:val="24"/>
          <w:u w:val="none"/>
          <w:lang w:val="cs-CZ"/>
        </w:rPr>
        <w:t xml:space="preserve"> sensibilis</w:t>
      </w:r>
      <w:r w:rsidR="08296CB7" w:rsidRPr="08296CB7">
        <w:rPr>
          <w:rStyle w:val="Zkladntextdkovn0pt"/>
          <w:rFonts w:ascii="Calibri" w:eastAsia="Times" w:hAnsi="Calibri" w:cs="Times New Roman"/>
          <w:color w:val="auto"/>
          <w:spacing w:val="0"/>
          <w:sz w:val="24"/>
          <w:u w:val="none"/>
          <w:lang w:val="cs-CZ"/>
        </w:rPr>
        <w:t>)</w:t>
      </w:r>
      <w:r w:rsidR="08E7233B">
        <w:rPr>
          <w:rStyle w:val="Zkladntextdkovn0pt"/>
          <w:rFonts w:ascii="Calibri" w:eastAsia="Times" w:hAnsi="Calibri" w:cs="Times New Roman"/>
          <w:color w:val="auto"/>
          <w:spacing w:val="0"/>
          <w:sz w:val="24"/>
          <w:u w:val="none"/>
          <w:lang w:val="cs-CZ"/>
        </w:rPr>
        <w:t xml:space="preserve">. Pak zvíře </w:t>
      </w:r>
      <w:r w:rsidR="086E0941">
        <w:rPr>
          <w:rStyle w:val="Zkladntextdkovn0pt"/>
          <w:rFonts w:ascii="Calibri" w:eastAsia="Times" w:hAnsi="Calibri" w:cs="Times New Roman"/>
          <w:color w:val="auto"/>
          <w:spacing w:val="0"/>
          <w:sz w:val="24"/>
          <w:u w:val="none"/>
          <w:lang w:val="cs-CZ"/>
        </w:rPr>
        <w:t>provede v</w:t>
      </w:r>
      <w:r>
        <w:rPr>
          <w:rStyle w:val="Zkladntextdkovn0pt"/>
          <w:rFonts w:ascii="Calibri" w:eastAsia="Times" w:hAnsi="Calibri" w:cs="Times New Roman"/>
          <w:color w:val="auto"/>
          <w:spacing w:val="0"/>
          <w:sz w:val="24"/>
          <w:u w:val="none"/>
          <w:lang w:val="cs-CZ"/>
        </w:rPr>
        <w:t xml:space="preserve">ýslednou syntézu smyslového poznatku </w:t>
      </w:r>
      <w:r w:rsidR="086E0941">
        <w:rPr>
          <w:rStyle w:val="Zkladntextdkovn0pt"/>
          <w:rFonts w:ascii="Calibri" w:eastAsia="Times" w:hAnsi="Calibri" w:cs="Times New Roman"/>
          <w:color w:val="auto"/>
          <w:spacing w:val="0"/>
          <w:sz w:val="24"/>
          <w:u w:val="none"/>
          <w:lang w:val="cs-CZ"/>
        </w:rPr>
        <w:t>(</w:t>
      </w:r>
      <w:r w:rsidR="086E0941" w:rsidRPr="086E0941">
        <w:rPr>
          <w:rStyle w:val="Zkladntextdkovn0pt"/>
          <w:rFonts w:ascii="Calibri" w:eastAsia="Times" w:hAnsi="Calibri" w:cs="Times New Roman"/>
          <w:i/>
          <w:color w:val="auto"/>
          <w:spacing w:val="0"/>
          <w:sz w:val="24"/>
          <w:u w:val="none"/>
          <w:lang w:val="cs-CZ"/>
        </w:rPr>
        <w:t>imago</w:t>
      </w:r>
      <w:r w:rsidR="086E0941">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 xml:space="preserve">danou </w:t>
      </w:r>
      <w:r w:rsidR="004403CA">
        <w:rPr>
          <w:rStyle w:val="Zkladntextdkovn0pt"/>
          <w:rFonts w:ascii="Calibri" w:eastAsia="Times" w:hAnsi="Calibri" w:cs="Times New Roman"/>
          <w:color w:val="auto"/>
          <w:spacing w:val="0"/>
          <w:sz w:val="24"/>
          <w:u w:val="none"/>
          <w:lang w:val="cs-CZ"/>
        </w:rPr>
        <w:t xml:space="preserve">ve zcela </w:t>
      </w:r>
      <w:r w:rsidR="08772161">
        <w:rPr>
          <w:rStyle w:val="Zkladntextdkovn0pt"/>
          <w:rFonts w:ascii="Calibri" w:eastAsia="Times" w:hAnsi="Calibri" w:cs="Times New Roman"/>
          <w:color w:val="auto"/>
          <w:spacing w:val="0"/>
          <w:sz w:val="24"/>
          <w:u w:val="none"/>
          <w:lang w:val="cs-CZ"/>
        </w:rPr>
        <w:t>individuální syntéze</w:t>
      </w:r>
      <w:r w:rsidR="085E1312">
        <w:rPr>
          <w:rStyle w:val="Zkladntextdkovn0pt"/>
          <w:rFonts w:ascii="Calibri" w:eastAsia="Times" w:hAnsi="Calibri" w:cs="Times New Roman"/>
          <w:color w:val="auto"/>
          <w:spacing w:val="0"/>
          <w:sz w:val="24"/>
          <w:u w:val="none"/>
          <w:lang w:val="cs-CZ"/>
        </w:rPr>
        <w:t xml:space="preserve"> </w:t>
      </w:r>
      <w:r w:rsidR="08772161">
        <w:rPr>
          <w:rStyle w:val="Zkladntextdkovn0pt"/>
          <w:rFonts w:ascii="Calibri" w:eastAsia="Times" w:hAnsi="Calibri" w:cs="Times New Roman"/>
          <w:color w:val="auto"/>
          <w:spacing w:val="0"/>
          <w:sz w:val="24"/>
          <w:u w:val="none"/>
          <w:lang w:val="cs-CZ"/>
        </w:rPr>
        <w:t>(</w:t>
      </w:r>
      <w:r w:rsidR="08772161" w:rsidRPr="085E1312">
        <w:rPr>
          <w:rStyle w:val="Zkladntextdkovn0pt"/>
          <w:rFonts w:ascii="Calibri" w:eastAsia="Times" w:hAnsi="Calibri" w:cs="Times New Roman"/>
          <w:i/>
          <w:color w:val="auto"/>
          <w:spacing w:val="0"/>
          <w:sz w:val="24"/>
          <w:u w:val="none"/>
          <w:lang w:val="cs-CZ"/>
        </w:rPr>
        <w:t>sensus communis</w:t>
      </w:r>
      <w:r w:rsidR="085E1312">
        <w:rPr>
          <w:rStyle w:val="Zkladntextdkovn0pt"/>
          <w:rFonts w:ascii="Calibri" w:eastAsia="Times" w:hAnsi="Calibri" w:cs="Times New Roman"/>
          <w:i/>
          <w:color w:val="auto"/>
          <w:spacing w:val="0"/>
          <w:sz w:val="24"/>
          <w:u w:val="none"/>
          <w:lang w:val="cs-CZ"/>
        </w:rPr>
        <w:fldChar w:fldCharType="begin"/>
      </w:r>
      <w:r w:rsidR="085E1312">
        <w:instrText xml:space="preserve"> XE "</w:instrText>
      </w:r>
      <w:r w:rsidR="085E1312" w:rsidRPr="087F55E3">
        <w:rPr>
          <w:rStyle w:val="Zkladntextdkovn0pt"/>
          <w:rFonts w:ascii="Calibri" w:eastAsia="Times" w:hAnsi="Calibri" w:cs="Times New Roman"/>
          <w:i/>
          <w:color w:val="auto"/>
          <w:spacing w:val="0"/>
          <w:sz w:val="24"/>
          <w:u w:val="none"/>
          <w:lang w:val="cs-CZ"/>
        </w:rPr>
        <w:instrText>sensus communis</w:instrText>
      </w:r>
      <w:r w:rsidR="085E1312">
        <w:instrText xml:space="preserve">" </w:instrText>
      </w:r>
      <w:r w:rsidR="085E1312">
        <w:rPr>
          <w:rStyle w:val="Zkladntextdkovn0pt"/>
          <w:rFonts w:ascii="Calibri" w:eastAsia="Times" w:hAnsi="Calibri" w:cs="Times New Roman"/>
          <w:i/>
          <w:color w:val="auto"/>
          <w:spacing w:val="0"/>
          <w:sz w:val="24"/>
          <w:u w:val="none"/>
          <w:lang w:val="cs-CZ"/>
        </w:rPr>
        <w:fldChar w:fldCharType="end"/>
      </w:r>
      <w:r w:rsidR="08EE3653">
        <w:rPr>
          <w:rStyle w:val="Zkladntextdkovn0pt"/>
          <w:rFonts w:ascii="Calibri" w:eastAsia="Times" w:hAnsi="Calibri" w:cs="Times New Roman"/>
          <w:color w:val="auto"/>
          <w:spacing w:val="0"/>
          <w:sz w:val="24"/>
          <w:u w:val="none"/>
          <w:lang w:val="cs-CZ"/>
        </w:rPr>
        <w:t>)</w:t>
      </w:r>
      <w:r w:rsidR="085855DD">
        <w:rPr>
          <w:rStyle w:val="Zkladntextdkovn0pt"/>
          <w:rFonts w:ascii="Calibri" w:eastAsia="Times" w:hAnsi="Calibri" w:cs="Times New Roman"/>
          <w:color w:val="auto"/>
          <w:spacing w:val="0"/>
          <w:sz w:val="24"/>
          <w:u w:val="none"/>
          <w:lang w:val="cs-CZ"/>
        </w:rPr>
        <w:t xml:space="preserve">. </w:t>
      </w:r>
      <w:r w:rsidRPr="00273106">
        <w:t xml:space="preserve">Blund odmítl identifikovat </w:t>
      </w:r>
      <w:r w:rsidR="006A04C6" w:rsidRPr="006A04C6">
        <w:t>species</w:t>
      </w:r>
      <w:r>
        <w:t xml:space="preserve"> jako formu reálné </w:t>
      </w:r>
      <w:r w:rsidRPr="00273106">
        <w:t xml:space="preserve">věci s univerzálním </w:t>
      </w:r>
      <w:r w:rsidR="00F461A7">
        <w:t xml:space="preserve">významem </w:t>
      </w:r>
      <w:r w:rsidRPr="00273106">
        <w:t xml:space="preserve">v mysli, jako to měli </w:t>
      </w:r>
      <w:r w:rsidR="0804595E">
        <w:t xml:space="preserve">a mají </w:t>
      </w:r>
      <w:r w:rsidRPr="00273106">
        <w:t xml:space="preserve">tehdejší avicennisté a po nich </w:t>
      </w:r>
      <w:r>
        <w:t xml:space="preserve">porretánští </w:t>
      </w:r>
      <w:r w:rsidRPr="00273106">
        <w:t>modernisté všeho druhu</w:t>
      </w:r>
      <w:r>
        <w:rPr>
          <w:rStyle w:val="Zkladntext158dkovn0pt"/>
          <w:i/>
          <w:color w:val="auto"/>
          <w:spacing w:val="0"/>
          <w:sz w:val="24"/>
          <w:lang w:val="cs-CZ"/>
        </w:rPr>
        <w:fldChar w:fldCharType="begin"/>
      </w:r>
      <w:r>
        <w:instrText xml:space="preserve"> XE "substance</w:instrText>
      </w:r>
      <w:r w:rsidRPr="00AE25C3">
        <w:instrText>:</w:instrText>
      </w:r>
      <w:r w:rsidRPr="08CE63C5">
        <w:rPr>
          <w:i/>
        </w:rPr>
        <w:instrText>species</w:instrText>
      </w:r>
      <w:r>
        <w:instrText xml:space="preserve">" </w:instrText>
      </w:r>
      <w:r>
        <w:rPr>
          <w:rStyle w:val="Zkladntext158dkovn0pt"/>
          <w:i/>
          <w:color w:val="auto"/>
          <w:spacing w:val="0"/>
          <w:sz w:val="24"/>
          <w:lang w:val="cs-CZ"/>
        </w:rPr>
        <w:fldChar w:fldCharType="end"/>
      </w:r>
      <w:r w:rsidRPr="00273106">
        <w:t xml:space="preserve">. </w:t>
      </w:r>
      <w:r w:rsidR="08DC6FEF" w:rsidRPr="00273106">
        <w:t xml:space="preserve">Smysly provádějí pasivní recepci poznané formy dané v reálu, proto jsou </w:t>
      </w:r>
      <w:r w:rsidR="08772A2F">
        <w:t xml:space="preserve">pouhým </w:t>
      </w:r>
      <w:r w:rsidR="08DC6FEF" w:rsidRPr="00273106">
        <w:t xml:space="preserve">instrumentem poznání. </w:t>
      </w:r>
      <w:r w:rsidR="08772A2F">
        <w:t xml:space="preserve">Svět </w:t>
      </w:r>
      <w:r w:rsidR="08DC6FEF">
        <w:t xml:space="preserve">poznává individuální duše zvířete nebo člověka a ne smysly. </w:t>
      </w:r>
      <w:r w:rsidR="08DC54C3">
        <w:t>Tělesná duše je aktuální s</w:t>
      </w:r>
      <w:r w:rsidRPr="00273106">
        <w:t>ubstrát, který nese schopnost intencionality (</w:t>
      </w:r>
      <w:r w:rsidRPr="00273106">
        <w:rPr>
          <w:i/>
        </w:rPr>
        <w:t>subiectum intentionis</w:t>
      </w:r>
      <w:r w:rsidRPr="00273106">
        <w:t>)</w:t>
      </w:r>
      <w:r>
        <w:t xml:space="preserve"> </w:t>
      </w:r>
      <w:r w:rsidR="08DC54C3">
        <w:t xml:space="preserve">a </w:t>
      </w:r>
      <w:r w:rsidRPr="00273106">
        <w:t>tvoř</w:t>
      </w:r>
      <w:r>
        <w:t xml:space="preserve">í </w:t>
      </w:r>
      <w:r w:rsidRPr="00273106">
        <w:t>intencionální předmět</w:t>
      </w:r>
      <w:r w:rsidR="087E67D7">
        <w:t xml:space="preserve"> </w:t>
      </w:r>
      <w:r w:rsidRPr="00273106">
        <w:t>na úrovni formální podobnosti (</w:t>
      </w:r>
      <w:r w:rsidR="004B4D52" w:rsidRPr="004B4D52">
        <w:rPr>
          <w:rStyle w:val="Zkladntextdkovn0pt"/>
          <w:rFonts w:ascii="Calibri" w:eastAsia="Times" w:hAnsi="Calibri" w:cs="Times New Roman"/>
          <w:color w:val="auto"/>
          <w:spacing w:val="0"/>
          <w:sz w:val="24"/>
          <w:u w:val="none"/>
          <w:lang w:val="cs-CZ"/>
        </w:rPr>
        <w:t>species</w:t>
      </w:r>
      <w:r w:rsidR="08D37656">
        <w:rPr>
          <w:rStyle w:val="Zkladntextdkovn0pt"/>
          <w:rFonts w:ascii="Calibri" w:eastAsia="Times" w:hAnsi="Calibri" w:cs="Times New Roman"/>
          <w:i/>
          <w:color w:val="auto"/>
          <w:spacing w:val="0"/>
          <w:sz w:val="24"/>
          <w:u w:val="none"/>
          <w:lang w:val="cs-CZ"/>
        </w:rPr>
        <w:t xml:space="preserve"> sensibilis</w:t>
      </w:r>
      <w:r w:rsidRPr="00273106">
        <w:t xml:space="preserve">). </w:t>
      </w:r>
      <w:r>
        <w:t>Výkon intencionality jako schopnosti duše (</w:t>
      </w:r>
      <w:r w:rsidRPr="00316146">
        <w:rPr>
          <w:i/>
        </w:rPr>
        <w:t>intentio</w:t>
      </w:r>
      <w:r w:rsidR="087E67D7">
        <w:t xml:space="preserve">) produkuje smyslovou </w:t>
      </w:r>
      <w:r w:rsidR="006A04C6" w:rsidRPr="006A04C6">
        <w:t>species</w:t>
      </w:r>
      <w:r w:rsidR="082220B5">
        <w:t xml:space="preserve"> </w:t>
      </w:r>
      <w:r w:rsidR="08D37656">
        <w:t>jako aktualizované diafan</w:t>
      </w:r>
      <w:r w:rsidR="08C2685F">
        <w:t xml:space="preserve">um v duši </w:t>
      </w:r>
      <w:r w:rsidR="082220B5">
        <w:t>(</w:t>
      </w:r>
      <w:r w:rsidRPr="00316146">
        <w:rPr>
          <w:i/>
        </w:rPr>
        <w:t>intent</w:t>
      </w:r>
      <w:r>
        <w:rPr>
          <w:i/>
        </w:rPr>
        <w:t>um</w:t>
      </w:r>
      <w:r w:rsidR="08C2685F">
        <w:t xml:space="preserve">). Toto intencionální </w:t>
      </w:r>
      <w:r w:rsidR="004B4D52" w:rsidRPr="004B4D52">
        <w:t>species</w:t>
      </w:r>
      <w:r w:rsidR="08C2685F" w:rsidRPr="08C2685F">
        <w:rPr>
          <w:i/>
        </w:rPr>
        <w:t xml:space="preserve"> sensibilis</w:t>
      </w:r>
      <w:r w:rsidR="08C2685F">
        <w:t xml:space="preserve"> </w:t>
      </w:r>
      <w:r w:rsidR="087E67D7">
        <w:t xml:space="preserve">pak představivost syntetizuje do </w:t>
      </w:r>
      <w:r w:rsidR="08C2685F">
        <w:t>výsledného smyslového</w:t>
      </w:r>
      <w:r>
        <w:t xml:space="preserve"> poznatk</w:t>
      </w:r>
      <w:r w:rsidR="08C2685F">
        <w:t>u</w:t>
      </w:r>
      <w:r>
        <w:t xml:space="preserve"> (</w:t>
      </w:r>
      <w:r w:rsidRPr="00316146">
        <w:rPr>
          <w:i/>
        </w:rPr>
        <w:t>ymago</w:t>
      </w:r>
      <w:r>
        <w:t xml:space="preserve">). </w:t>
      </w:r>
      <w:r w:rsidRPr="00273106">
        <w:t xml:space="preserve">Hermeneutika </w:t>
      </w:r>
      <w:r>
        <w:t xml:space="preserve">z uvedených důvodů </w:t>
      </w:r>
      <w:r w:rsidRPr="00273106">
        <w:t>od</w:t>
      </w:r>
      <w:r w:rsidR="08BA19B4">
        <w:t xml:space="preserve">mítá výklad Blundových termínů </w:t>
      </w:r>
      <w:r w:rsidRPr="00273106">
        <w:rPr>
          <w:i/>
        </w:rPr>
        <w:t>ymago intentionis</w:t>
      </w:r>
      <w:r w:rsidR="08BA19B4">
        <w:t xml:space="preserve"> a </w:t>
      </w:r>
      <w:r w:rsidRPr="00273106">
        <w:rPr>
          <w:i/>
        </w:rPr>
        <w:t>subiectum intentionis</w:t>
      </w:r>
      <w:r w:rsidRPr="00273106">
        <w:t xml:space="preserve"> podle Avicennova schématu univočních </w:t>
      </w:r>
      <w:r w:rsidR="006A04C6" w:rsidRPr="006A04C6">
        <w:t>species</w:t>
      </w:r>
      <w:r w:rsidR="081734B6">
        <w:t xml:space="preserve"> jako to mají </w:t>
      </w:r>
      <w:r w:rsidR="08BA19B4">
        <w:t>objektivní medievalisté</w:t>
      </w:r>
      <w:r>
        <w:rPr>
          <w:i/>
        </w:rPr>
        <w:fldChar w:fldCharType="begin"/>
      </w:r>
      <w:r>
        <w:instrText xml:space="preserve"> XE "</w:instrText>
      </w:r>
      <w:r w:rsidRPr="00360013">
        <w:rPr>
          <w:i/>
        </w:rPr>
        <w:instrText>subiectum:</w:instrText>
      </w:r>
      <w:r w:rsidRPr="00360013">
        <w:instrText>třetího druhu</w:instrText>
      </w:r>
      <w:r>
        <w:instrText xml:space="preserve">" </w:instrText>
      </w:r>
      <w:r>
        <w:rPr>
          <w:i/>
        </w:rPr>
        <w:fldChar w:fldCharType="end"/>
      </w:r>
      <w:r w:rsidRPr="00273106">
        <w:t>.</w:t>
      </w:r>
      <w:r w:rsidRPr="00273106">
        <w:rPr>
          <w:rStyle w:val="Znakapoznpodarou"/>
        </w:rPr>
        <w:footnoteReference w:id="93"/>
      </w:r>
      <w:r w:rsidRPr="00273106">
        <w:t xml:space="preserve"> </w:t>
      </w:r>
      <w:r>
        <w:t>Duše je podle Blunda primárně receptivní a je ne</w:t>
      </w:r>
      <w:r w:rsidRPr="00F9177B">
        <w:t>po</w:t>
      </w:r>
      <w:r>
        <w:t>p</w:t>
      </w:r>
      <w:r w:rsidRPr="00F9177B">
        <w:t>s</w:t>
      </w:r>
      <w:r>
        <w:t>aným lis</w:t>
      </w:r>
      <w:r w:rsidRPr="00F9177B">
        <w:t>tem</w:t>
      </w:r>
      <w:r w:rsidR="08AC04E3">
        <w:t xml:space="preserve"> </w:t>
      </w:r>
      <w:r w:rsidR="00634203">
        <w:t>(</w:t>
      </w:r>
      <w:r w:rsidR="00634203" w:rsidRPr="00634203">
        <w:rPr>
          <w:i/>
        </w:rPr>
        <w:t>tabula rasa</w:t>
      </w:r>
      <w:r w:rsidR="00634203">
        <w:rPr>
          <w:i/>
          <w:szCs w:val="24"/>
        </w:rPr>
        <w:fldChar w:fldCharType="begin"/>
      </w:r>
      <w:r w:rsidR="00634203">
        <w:instrText xml:space="preserve"> XE "</w:instrText>
      </w:r>
      <w:r w:rsidR="00634203" w:rsidRPr="00277003">
        <w:rPr>
          <w:i/>
          <w:szCs w:val="24"/>
        </w:rPr>
        <w:instrText>tabula rasa</w:instrText>
      </w:r>
      <w:r w:rsidR="00634203">
        <w:instrText xml:space="preserve">" </w:instrText>
      </w:r>
      <w:r w:rsidR="00634203">
        <w:rPr>
          <w:i/>
          <w:szCs w:val="24"/>
        </w:rPr>
        <w:fldChar w:fldCharType="end"/>
      </w:r>
      <w:r w:rsidR="00634203">
        <w:t xml:space="preserve">) </w:t>
      </w:r>
      <w:r w:rsidR="08AC04E3">
        <w:t xml:space="preserve">a reálný svět je </w:t>
      </w:r>
      <w:r w:rsidR="08AC04E3">
        <w:lastRenderedPageBreak/>
        <w:t>mimo duši</w:t>
      </w:r>
      <w:r w:rsidRPr="00F9177B">
        <w:t xml:space="preserve">. </w:t>
      </w:r>
      <w:r>
        <w:t>L</w:t>
      </w:r>
      <w:r w:rsidRPr="00273106">
        <w:t xml:space="preserve">idská duše </w:t>
      </w:r>
      <w:r>
        <w:t>má rozmanité schopnosti, které fungují</w:t>
      </w:r>
      <w:r w:rsidRPr="00273106">
        <w:t xml:space="preserve"> jako nástroj poznání</w:t>
      </w:r>
      <w:r>
        <w:t>. Ale poznání je aktivováno zvnějšku</w:t>
      </w:r>
      <w:r w:rsidR="08F050F9">
        <w:t xml:space="preserve"> skrze</w:t>
      </w:r>
      <w:r>
        <w:t xml:space="preserve"> </w:t>
      </w:r>
      <w:r w:rsidR="08F050F9">
        <w:t xml:space="preserve">aktuální </w:t>
      </w:r>
      <w:r>
        <w:t xml:space="preserve">věci </w:t>
      </w:r>
      <w:r w:rsidR="08F050F9">
        <w:t xml:space="preserve">dané </w:t>
      </w:r>
      <w:r w:rsidR="08766C11">
        <w:t>mimo nás</w:t>
      </w:r>
      <w:r w:rsidRPr="00273106">
        <w:t xml:space="preserve">. </w:t>
      </w:r>
      <w:r w:rsidRPr="00F9177B">
        <w:t xml:space="preserve">Proto </w:t>
      </w:r>
      <w:r>
        <w:t xml:space="preserve">intelekt </w:t>
      </w:r>
      <w:r w:rsidRPr="00F9177B">
        <w:t>ne</w:t>
      </w:r>
      <w:r>
        <w:t xml:space="preserve">může primárně poznávat sám ze sebe a poznané inteligibilní </w:t>
      </w:r>
      <w:r w:rsidR="006A04C6" w:rsidRPr="006A04C6">
        <w:t>species</w:t>
      </w:r>
      <w:r>
        <w:t xml:space="preserve"> jsou aktualizovány od smyslů. A</w:t>
      </w:r>
      <w:r w:rsidRPr="00273106">
        <w:t xml:space="preserve">kt na úrovni intencionality </w:t>
      </w:r>
      <w:r>
        <w:t xml:space="preserve">předkládá poznatelnou formu pro </w:t>
      </w:r>
      <w:r w:rsidRPr="00273106">
        <w:t>aktivní syntézu</w:t>
      </w:r>
      <w:r>
        <w:t xml:space="preserve"> </w:t>
      </w:r>
      <w:r w:rsidRPr="00273106">
        <w:t xml:space="preserve">v představivosti nebo v intelektu. Proto je duše </w:t>
      </w:r>
      <w:r>
        <w:t xml:space="preserve">jako aktuální forma těla jediným </w:t>
      </w:r>
      <w:r w:rsidR="08476B34">
        <w:t>nositel</w:t>
      </w:r>
      <w:r w:rsidRPr="00273106">
        <w:t>em, čili subjektem intencionality v smyslu Aristotelova původního termínu (</w:t>
      </w:r>
      <w:r w:rsidRPr="00273106">
        <w:rPr>
          <w:rStyle w:val="st"/>
        </w:rPr>
        <w:t>ὑποκείμενον</w:t>
      </w:r>
      <w:r w:rsidRPr="00273106">
        <w:rPr>
          <w:i/>
        </w:rPr>
        <w:t>, subiectum</w:t>
      </w:r>
      <w:r>
        <w:rPr>
          <w:i/>
        </w:rPr>
        <w:fldChar w:fldCharType="begin"/>
      </w:r>
      <w:r>
        <w:instrText xml:space="preserve"> XE "</w:instrText>
      </w:r>
      <w:r w:rsidRPr="00360013">
        <w:rPr>
          <w:i/>
        </w:rPr>
        <w:instrText>subiectum</w:instrText>
      </w:r>
      <w:r w:rsidRPr="002B4A17">
        <w:instrText>:Blund</w:instrText>
      </w:r>
      <w:r>
        <w:instrText xml:space="preserve">" </w:instrText>
      </w:r>
      <w:r>
        <w:rPr>
          <w:i/>
        </w:rPr>
        <w:fldChar w:fldCharType="end"/>
      </w:r>
      <w:r w:rsidRPr="00273106">
        <w:t xml:space="preserve">). </w:t>
      </w:r>
      <w:r w:rsidR="087B2FD9">
        <w:t>Proto Blundova škola zásadně odmítla definici duše jako samostatn</w:t>
      </w:r>
      <w:r w:rsidR="08601FAE">
        <w:t>é substance dané Avicennou a t</w:t>
      </w:r>
      <w:r w:rsidR="087B2FD9">
        <w:t>oletány, což ukáže následuj</w:t>
      </w:r>
      <w:r w:rsidR="08B442B8">
        <w:t>í</w:t>
      </w:r>
      <w:r w:rsidR="087B2FD9">
        <w:t>cí kapitola. R</w:t>
      </w:r>
      <w:r w:rsidRPr="00273106">
        <w:t>eprezentace smyslového vjemu se děje skrze zcela autonomní výkon intencionální evaluace smyslových představ v imaginaci (</w:t>
      </w:r>
      <w:r w:rsidRPr="00273106">
        <w:rPr>
          <w:i/>
        </w:rPr>
        <w:t>fit in estimatione ymago intentionis</w:t>
      </w:r>
      <w:r w:rsidRPr="00273106">
        <w:t xml:space="preserve">). </w:t>
      </w:r>
      <w:r w:rsidRPr="00273106">
        <w:rPr>
          <w:rStyle w:val="Zkladntextdkovn0pt"/>
          <w:rFonts w:ascii="Calibri" w:eastAsia="Times" w:hAnsi="Calibri" w:cs="Times New Roman"/>
          <w:color w:val="auto"/>
          <w:spacing w:val="0"/>
          <w:sz w:val="24"/>
          <w:u w:val="none"/>
          <w:lang w:val="cs-CZ"/>
        </w:rPr>
        <w:t>Podobno</w:t>
      </w:r>
      <w:r w:rsidR="086F6D88">
        <w:rPr>
          <w:rStyle w:val="Zkladntextdkovn0pt"/>
          <w:rFonts w:ascii="Calibri" w:eastAsia="Times" w:hAnsi="Calibri" w:cs="Times New Roman"/>
          <w:color w:val="auto"/>
          <w:spacing w:val="0"/>
          <w:sz w:val="24"/>
          <w:u w:val="none"/>
          <w:lang w:val="cs-CZ"/>
        </w:rPr>
        <w:t>st mezi intencionálně vytvořenou</w:t>
      </w:r>
      <w:r w:rsidRPr="00273106">
        <w:rPr>
          <w:rStyle w:val="Zkladntextdkovn0pt"/>
          <w:rFonts w:ascii="Calibri" w:eastAsia="Times" w:hAnsi="Calibri" w:cs="Times New Roman"/>
          <w:color w:val="auto"/>
          <w:spacing w:val="0"/>
          <w:sz w:val="24"/>
          <w:u w:val="none"/>
          <w:lang w:val="cs-CZ"/>
        </w:rPr>
        <w:t xml:space="preserve"> </w:t>
      </w:r>
      <w:r w:rsidR="006A04C6" w:rsidRPr="006A04C6">
        <w:rPr>
          <w:rStyle w:val="Zkladntextdkovn0pt"/>
          <w:rFonts w:ascii="Calibri" w:eastAsia="Times" w:hAnsi="Calibri" w:cs="Times New Roman"/>
          <w:color w:val="auto"/>
          <w:spacing w:val="0"/>
          <w:sz w:val="24"/>
          <w:u w:val="none"/>
          <w:lang w:val="cs-CZ"/>
        </w:rPr>
        <w:t>species</w:t>
      </w:r>
      <w:r w:rsidRPr="00273106">
        <w:rPr>
          <w:rStyle w:val="Zkladntextdkovn0pt"/>
          <w:rFonts w:ascii="Calibri" w:eastAsia="Times" w:hAnsi="Calibri" w:cs="Times New Roman"/>
          <w:color w:val="auto"/>
          <w:spacing w:val="0"/>
          <w:sz w:val="24"/>
          <w:u w:val="none"/>
          <w:lang w:val="cs-CZ"/>
        </w:rPr>
        <w:t xml:space="preserve"> a mezi smysly poznávaným předmětem v realitě vzniká díky aktu singulárního porozumění (</w:t>
      </w:r>
      <w:r w:rsidRPr="00273106">
        <w:rPr>
          <w:rStyle w:val="Zkladntextdkovn0pt"/>
          <w:rFonts w:ascii="Calibri" w:eastAsia="Times" w:hAnsi="Calibri" w:cs="Times New Roman"/>
          <w:i/>
          <w:color w:val="auto"/>
          <w:spacing w:val="0"/>
          <w:sz w:val="24"/>
          <w:u w:val="none"/>
          <w:lang w:val="cs-CZ"/>
        </w:rPr>
        <w:t>aestimatio</w:t>
      </w:r>
      <w:r w:rsidRPr="00273106">
        <w:rPr>
          <w:rStyle w:val="Zkladntextdkovn0pt"/>
          <w:rFonts w:ascii="Calibri" w:eastAsia="Times" w:hAnsi="Calibri" w:cs="Times New Roman"/>
          <w:color w:val="auto"/>
          <w:spacing w:val="0"/>
          <w:sz w:val="24"/>
          <w:u w:val="none"/>
          <w:lang w:val="cs-CZ"/>
        </w:rPr>
        <w:t>) u zvířat, nebo díky aktu představivosti člověka (</w:t>
      </w:r>
      <w:r w:rsidRPr="00273106">
        <w:rPr>
          <w:rStyle w:val="Zkladntextdkovn0pt"/>
          <w:rFonts w:ascii="Calibri" w:eastAsia="Times" w:hAnsi="Calibri" w:cs="Times New Roman"/>
          <w:i/>
          <w:color w:val="auto"/>
          <w:spacing w:val="0"/>
          <w:sz w:val="24"/>
          <w:u w:val="none"/>
          <w:lang w:val="cs-CZ"/>
        </w:rPr>
        <w:t>ymaginatio</w:t>
      </w:r>
      <w:r w:rsidRPr="00273106">
        <w:rPr>
          <w:rStyle w:val="Zkladntextdkovn0pt"/>
          <w:rFonts w:ascii="Calibri" w:eastAsia="Times" w:hAnsi="Calibri" w:cs="Times New Roman"/>
          <w:color w:val="auto"/>
          <w:spacing w:val="0"/>
          <w:sz w:val="24"/>
          <w:u w:val="none"/>
          <w:lang w:val="cs-CZ"/>
        </w:rPr>
        <w:t>) dané na základě smyslové abstrakce</w:t>
      </w:r>
      <w:r>
        <w:rPr>
          <w:rStyle w:val="Zkladntext158dkovn0pt"/>
          <w:i/>
          <w:color w:val="auto"/>
          <w:spacing w:val="0"/>
          <w:sz w:val="24"/>
          <w:lang w:val="cs-CZ"/>
        </w:rPr>
        <w:fldChar w:fldCharType="begin"/>
      </w:r>
      <w:r>
        <w:instrText xml:space="preserve"> XE "abstrakce:Blund" </w:instrText>
      </w:r>
      <w:r>
        <w:rPr>
          <w:rStyle w:val="Zkladntext158dkovn0pt"/>
          <w:i/>
          <w:color w:val="auto"/>
          <w:spacing w:val="0"/>
          <w:sz w:val="24"/>
          <w:lang w:val="cs-CZ"/>
        </w:rPr>
        <w:fldChar w:fldCharType="end"/>
      </w:r>
      <w:r w:rsidRPr="00273106">
        <w:rPr>
          <w:rStyle w:val="Zkladntextdkovn0pt"/>
          <w:rFonts w:ascii="Calibri" w:eastAsia="Times" w:hAnsi="Calibri" w:cs="Times New Roman"/>
          <w:color w:val="auto"/>
          <w:spacing w:val="0"/>
          <w:sz w:val="24"/>
          <w:u w:val="none"/>
          <w:lang w:val="cs-CZ"/>
        </w:rPr>
        <w:t xml:space="preserve">. </w:t>
      </w:r>
      <w:r w:rsidRPr="00273106">
        <w:t xml:space="preserve">Intence </w:t>
      </w:r>
      <w:r w:rsidR="088A6B50">
        <w:t xml:space="preserve">skrze </w:t>
      </w:r>
      <w:r w:rsidR="006A04C6" w:rsidRPr="006A04C6">
        <w:t>species</w:t>
      </w:r>
      <w:r w:rsidR="088A6B50">
        <w:t xml:space="preserve"> </w:t>
      </w:r>
      <w:r w:rsidRPr="00273106">
        <w:t xml:space="preserve">a </w:t>
      </w:r>
      <w:r>
        <w:t xml:space="preserve">výsledná </w:t>
      </w:r>
      <w:r w:rsidR="084D4960">
        <w:t xml:space="preserve">poznaná </w:t>
      </w:r>
      <w:r>
        <w:t xml:space="preserve">forma </w:t>
      </w:r>
      <w:r w:rsidR="088A6B50">
        <w:t>(</w:t>
      </w:r>
      <w:r w:rsidR="088A6B50" w:rsidRPr="088A6B50">
        <w:rPr>
          <w:i/>
        </w:rPr>
        <w:t>ymago</w:t>
      </w:r>
      <w:r w:rsidR="088A6B50">
        <w:t xml:space="preserve">) </w:t>
      </w:r>
      <w:r w:rsidRPr="00273106">
        <w:t xml:space="preserve">je oddělena jak od samotné věci v reálu, tak i od </w:t>
      </w:r>
      <w:r w:rsidR="089A3159">
        <w:t xml:space="preserve">individuální </w:t>
      </w:r>
      <w:r w:rsidRPr="00273106">
        <w:t>smyslové percepce</w:t>
      </w:r>
      <w:r>
        <w:t xml:space="preserve"> dané v tělesných orgánech</w:t>
      </w:r>
      <w:r w:rsidRPr="00273106">
        <w:t xml:space="preserve">. Toto dvojí oddělení </w:t>
      </w:r>
      <w:r w:rsidR="089A3159">
        <w:t>individuáního poznání zvířat i člověka o</w:t>
      </w:r>
      <w:r w:rsidR="08E978B1">
        <w:t xml:space="preserve">d reálné věci </w:t>
      </w:r>
      <w:r>
        <w:t>skrze primární in</w:t>
      </w:r>
      <w:r w:rsidR="08E978B1">
        <w:t>tenci a skrze výslednou syntézu</w:t>
      </w:r>
      <w:r>
        <w:t xml:space="preserve"> </w:t>
      </w:r>
      <w:r w:rsidRPr="00273106">
        <w:t xml:space="preserve">neměl ani Avicenna ani </w:t>
      </w:r>
      <w:r w:rsidR="089A3159">
        <w:t xml:space="preserve">škola </w:t>
      </w:r>
      <w:r w:rsidRPr="00273106">
        <w:rPr>
          <w:i/>
        </w:rPr>
        <w:t>Nominales</w:t>
      </w:r>
      <w:r>
        <w:t xml:space="preserve">. </w:t>
      </w:r>
      <w:r w:rsidR="08B442B8">
        <w:t xml:space="preserve">Blund </w:t>
      </w:r>
      <w:r w:rsidRPr="00273106">
        <w:t xml:space="preserve">zdůrazňuje analogii s procesem vidění, kterou jsme rozebírali na aristotelském statutu diafanum u </w:t>
      </w:r>
      <w:r>
        <w:t>Averroes</w:t>
      </w:r>
      <w:r w:rsidRPr="00273106">
        <w:t>e</w:t>
      </w:r>
      <w:r>
        <w:t xml:space="preserve"> (</w:t>
      </w:r>
      <w:r w:rsidR="08D345D7">
        <w:t xml:space="preserve">OBJ I, </w:t>
      </w:r>
      <w:r>
        <w:t>kap. 2.4.4</w:t>
      </w:r>
      <w:r w:rsidRPr="00273106">
        <w:t>).</w:t>
      </w:r>
      <w:r>
        <w:t xml:space="preserve"> Tyto </w:t>
      </w:r>
      <w:r w:rsidRPr="00273106">
        <w:t xml:space="preserve">nuance </w:t>
      </w:r>
      <w:r>
        <w:t xml:space="preserve">dané formální mediací diafanum </w:t>
      </w:r>
      <w:r w:rsidRPr="00273106">
        <w:t xml:space="preserve">nebere </w:t>
      </w:r>
      <w:r>
        <w:t xml:space="preserve">moderna na vědomí, protože </w:t>
      </w:r>
      <w:r w:rsidRPr="00273106">
        <w:t>žije ve věku 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Realitu </w:t>
      </w:r>
      <w:r w:rsidRPr="00273106">
        <w:t>nahradil pilný západní subjekt</w:t>
      </w:r>
      <w:r w:rsidR="007B4DBD">
        <w:t>, jehož trvalá imaginace daná</w:t>
      </w:r>
      <w:r>
        <w:t xml:space="preserve"> </w:t>
      </w:r>
      <w:r w:rsidRPr="001606AF">
        <w:rPr>
          <w:i/>
        </w:rPr>
        <w:t>per prius</w:t>
      </w:r>
      <w:r>
        <w:t xml:space="preserve"> se objektivně zrcadlí (</w:t>
      </w:r>
      <w:r w:rsidRPr="00F47D85">
        <w:rPr>
          <w:i/>
        </w:rPr>
        <w:t>speculatio</w:t>
      </w:r>
      <w:r>
        <w:rPr>
          <w:i/>
        </w:rPr>
        <w:fldChar w:fldCharType="begin"/>
      </w:r>
      <w:r>
        <w:instrText xml:space="preserve"> XE "</w:instrText>
      </w:r>
      <w:r w:rsidRPr="00B31C42">
        <w:rPr>
          <w:i/>
        </w:rPr>
        <w:instrText>speculatio</w:instrText>
      </w:r>
      <w:r>
        <w:instrText xml:space="preserve">" </w:instrText>
      </w:r>
      <w:r>
        <w:rPr>
          <w:i/>
        </w:rPr>
        <w:fldChar w:fldCharType="end"/>
      </w:r>
      <w:r>
        <w:t xml:space="preserve">) v kontigentní věci dané </w:t>
      </w:r>
      <w:r w:rsidRPr="001606AF">
        <w:rPr>
          <w:i/>
        </w:rPr>
        <w:t>per posterius</w:t>
      </w:r>
      <w:r w:rsidRPr="00273106">
        <w:t>.</w:t>
      </w:r>
      <w:r>
        <w:t xml:space="preserve"> Avicennova </w:t>
      </w:r>
      <w:r w:rsidR="004B4D52" w:rsidRPr="004B4D52">
        <w:t>species</w:t>
      </w:r>
      <w:r w:rsidRPr="000F1567">
        <w:rPr>
          <w:i/>
        </w:rPr>
        <w:t xml:space="preserve"> sensibilis</w:t>
      </w:r>
      <w:r>
        <w:t xml:space="preserve"> a </w:t>
      </w:r>
      <w:r w:rsidRPr="000F1567">
        <w:rPr>
          <w:i/>
        </w:rPr>
        <w:t>intelligibilis</w:t>
      </w:r>
      <w:r>
        <w:t xml:space="preserve"> definovaná jako jsoucna třetího druhu dostala</w:t>
      </w:r>
      <w:r w:rsidRPr="00273106">
        <w:t xml:space="preserve"> </w:t>
      </w:r>
      <w:r>
        <w:t xml:space="preserve">v Blundově škole </w:t>
      </w:r>
      <w:r w:rsidRPr="00273106">
        <w:t>nový statut</w:t>
      </w:r>
      <w:r>
        <w:t xml:space="preserve">, protože se stala </w:t>
      </w:r>
      <w:r w:rsidRPr="00273106">
        <w:t>intencionální</w:t>
      </w:r>
      <w:r>
        <w:t>m</w:t>
      </w:r>
      <w:r w:rsidRPr="00273106">
        <w:t xml:space="preserve"> předmět</w:t>
      </w:r>
      <w:r>
        <w:t xml:space="preserve">em. Za syntézu této univerzálie existující pouze v duši </w:t>
      </w:r>
      <w:r w:rsidRPr="00273106">
        <w:t xml:space="preserve">odpovídá </w:t>
      </w:r>
      <w:r>
        <w:t xml:space="preserve">imaginativní </w:t>
      </w:r>
      <w:r w:rsidRPr="00273106">
        <w:t>nebo intelektuální intence formalizující</w:t>
      </w:r>
      <w:r>
        <w:t xml:space="preserve"> smyslový počitek</w:t>
      </w:r>
      <w:r w:rsidRPr="00273106">
        <w:t xml:space="preserve">. Syntézu nové formy </w:t>
      </w:r>
      <w:r w:rsidR="08A913F8">
        <w:t>individuálně-intencionálně</w:t>
      </w:r>
      <w:r w:rsidR="08A913F8" w:rsidRPr="00273106">
        <w:t xml:space="preserve"> </w:t>
      </w:r>
      <w:r w:rsidRPr="00273106">
        <w:t xml:space="preserve">adaptované </w:t>
      </w:r>
      <w:r w:rsidR="08957BE3">
        <w:t xml:space="preserve">vzhledem k </w:t>
      </w:r>
      <w:r w:rsidR="08A913F8">
        <w:t>poznání externí věci zajišťuje nadřazená</w:t>
      </w:r>
      <w:r w:rsidRPr="00273106">
        <w:t xml:space="preserve"> schopnost zvířecí a lidské duše (</w:t>
      </w:r>
      <w:r w:rsidRPr="00273106">
        <w:rPr>
          <w:i/>
        </w:rPr>
        <w:t>imaginatio</w:t>
      </w:r>
      <w:r w:rsidRPr="00273106">
        <w:t xml:space="preserve">, </w:t>
      </w:r>
      <w:r w:rsidRPr="00273106">
        <w:rPr>
          <w:i/>
        </w:rPr>
        <w:t>intellectio</w:t>
      </w:r>
      <w:r w:rsidR="005C1221">
        <w:t>).</w:t>
      </w:r>
      <w:r w:rsidR="005C1221" w:rsidRPr="005C1221">
        <w:t xml:space="preserve"> </w:t>
      </w:r>
      <w:r w:rsidR="005C1221" w:rsidRPr="00273106">
        <w:t>Blund zakládá intencionalitu, která definuje s</w:t>
      </w:r>
      <w:r w:rsidR="005C1221">
        <w:t xml:space="preserve">kutečnou proporcionalitu </w:t>
      </w:r>
      <w:r w:rsidR="005C1221" w:rsidRPr="00273106">
        <w:t xml:space="preserve">věci a rozumu na způsob Aristotela a </w:t>
      </w:r>
      <w:r w:rsidR="005C1221">
        <w:t>Averroes</w:t>
      </w:r>
      <w:r w:rsidR="005C1221" w:rsidRPr="00273106">
        <w:t>e.</w:t>
      </w:r>
      <w:r w:rsidR="08037036">
        <w:t xml:space="preserve"> Proto </w:t>
      </w:r>
      <w:r w:rsidR="005C1221" w:rsidRPr="00273106">
        <w:t xml:space="preserve">Blund </w:t>
      </w:r>
      <w:r w:rsidR="005C1221">
        <w:t xml:space="preserve">a jeho škola bez námitek </w:t>
      </w:r>
      <w:r w:rsidR="005C1221" w:rsidRPr="00273106">
        <w:t>přijal</w:t>
      </w:r>
      <w:r w:rsidR="005C1221">
        <w:t>a</w:t>
      </w:r>
      <w:r w:rsidR="005C1221" w:rsidRPr="00273106">
        <w:t xml:space="preserve"> </w:t>
      </w:r>
      <w:r w:rsidR="005C1221">
        <w:t>Averroes</w:t>
      </w:r>
      <w:r w:rsidR="005C1221" w:rsidRPr="00273106">
        <w:t xml:space="preserve">ovo </w:t>
      </w:r>
      <w:r w:rsidR="005C1221">
        <w:t xml:space="preserve">pojetí pravdy jako </w:t>
      </w:r>
      <w:r w:rsidR="005C1221" w:rsidRPr="00273106">
        <w:rPr>
          <w:i/>
        </w:rPr>
        <w:t>consimilitudo</w:t>
      </w:r>
      <w:r w:rsidR="005C1221">
        <w:rPr>
          <w:i/>
        </w:rPr>
        <w:fldChar w:fldCharType="begin"/>
      </w:r>
      <w:r w:rsidR="005C1221">
        <w:instrText xml:space="preserve"> XE "pravda:</w:instrText>
      </w:r>
      <w:r w:rsidR="005C1221" w:rsidRPr="00AB5B25">
        <w:rPr>
          <w:i/>
        </w:rPr>
        <w:instrText>consimilitudo</w:instrText>
      </w:r>
      <w:r w:rsidR="005C1221">
        <w:instrText xml:space="preserve">" </w:instrText>
      </w:r>
      <w:r w:rsidR="005C1221">
        <w:rPr>
          <w:i/>
        </w:rPr>
        <w:fldChar w:fldCharType="end"/>
      </w:r>
      <w:r w:rsidR="005C1221" w:rsidRPr="002C1C99">
        <w:t xml:space="preserve"> </w:t>
      </w:r>
      <w:r w:rsidR="005C1221">
        <w:t xml:space="preserve">podle </w:t>
      </w:r>
      <w:r w:rsidR="005C1221">
        <w:rPr>
          <w:i/>
        </w:rPr>
        <w:t>De anima</w:t>
      </w:r>
      <w:r w:rsidR="005C1221">
        <w:t xml:space="preserve"> 430a20–25</w:t>
      </w:r>
      <w:r w:rsidR="005C1221">
        <w:fldChar w:fldCharType="begin"/>
      </w:r>
      <w:r w:rsidR="005C1221">
        <w:instrText xml:space="preserve"> XE "Aristoteles:</w:instrText>
      </w:r>
      <w:r w:rsidR="005C1221" w:rsidRPr="00B4686D">
        <w:rPr>
          <w:i/>
        </w:rPr>
        <w:instrText>De anima</w:instrText>
      </w:r>
      <w:r w:rsidR="005C1221" w:rsidRPr="00B4686D">
        <w:instrText xml:space="preserve"> 430a20–25</w:instrText>
      </w:r>
      <w:r w:rsidR="005C1221">
        <w:instrText xml:space="preserve">" </w:instrText>
      </w:r>
      <w:r w:rsidR="005C1221">
        <w:fldChar w:fldCharType="end"/>
      </w:r>
      <w:r w:rsidR="08560E7F">
        <w:t xml:space="preserve">. Komentátor </w:t>
      </w:r>
      <w:r w:rsidR="005C1221">
        <w:t xml:space="preserve">drží </w:t>
      </w:r>
      <w:r w:rsidR="005C1221" w:rsidRPr="00273106">
        <w:t xml:space="preserve">základní rozdíl mezi vnější věcí </w:t>
      </w:r>
      <w:r w:rsidR="005C1221">
        <w:t xml:space="preserve">a mezi </w:t>
      </w:r>
      <w:r w:rsidR="005C1221" w:rsidRPr="00273106">
        <w:t xml:space="preserve">oddělenou </w:t>
      </w:r>
      <w:r w:rsidR="005C1221">
        <w:lastRenderedPageBreak/>
        <w:t xml:space="preserve">poznanou </w:t>
      </w:r>
      <w:r w:rsidR="005C1221" w:rsidRPr="00273106">
        <w:t xml:space="preserve">formou </w:t>
      </w:r>
      <w:r w:rsidR="005C1221">
        <w:t>v nemateriálním možném intelektu (</w:t>
      </w:r>
      <w:r w:rsidR="005C1221" w:rsidRPr="00433BAE">
        <w:rPr>
          <w:i/>
        </w:rPr>
        <w:t>anima autem rationalis materialis est forme existentes in ea, non actu, sed potentia</w:t>
      </w:r>
      <w:r w:rsidR="005C1221">
        <w:t xml:space="preserve">; </w:t>
      </w:r>
      <w:r w:rsidR="005C1221" w:rsidRPr="004438BC">
        <w:t>CMDA</w:t>
      </w:r>
      <w:r w:rsidR="005C1221">
        <w:t xml:space="preserve"> III.6; </w:t>
      </w:r>
      <w:r w:rsidR="005C1221" w:rsidRPr="004438BC">
        <w:t>417</w:t>
      </w:r>
      <w:r w:rsidR="005C1221">
        <w:t>.104</w:t>
      </w:r>
      <w:r w:rsidR="005C1221">
        <w:fldChar w:fldCharType="begin"/>
      </w:r>
      <w:r w:rsidR="005C1221">
        <w:instrText xml:space="preserve"> XE "Averroes:</w:instrText>
      </w:r>
      <w:r w:rsidR="005C1221" w:rsidRPr="00A5374C">
        <w:instrText>CMDA</w:instrText>
      </w:r>
      <w:r w:rsidR="005C1221">
        <w:instrText xml:space="preserve"> </w:instrText>
      </w:r>
      <w:r w:rsidR="005C1221" w:rsidRPr="00A5374C">
        <w:instrText>417.104</w:instrText>
      </w:r>
      <w:r w:rsidR="005C1221">
        <w:instrText xml:space="preserve">" </w:instrText>
      </w:r>
      <w:r w:rsidR="005C1221">
        <w:fldChar w:fldCharType="end"/>
      </w:r>
      <w:r w:rsidR="005C1221">
        <w:t xml:space="preserve">). </w:t>
      </w:r>
      <w:r>
        <w:t xml:space="preserve">Mysl provádějící </w:t>
      </w:r>
      <w:r w:rsidRPr="00273106">
        <w:t xml:space="preserve">abstrakci </w:t>
      </w:r>
      <w:r>
        <w:t xml:space="preserve">dostává intencionální formu </w:t>
      </w:r>
      <w:r w:rsidRPr="00273106">
        <w:t>směrem od zakoušené externí věci</w:t>
      </w:r>
      <w:r>
        <w:t xml:space="preserve"> v rámci </w:t>
      </w:r>
      <w:r w:rsidRPr="00EB2BC2">
        <w:rPr>
          <w:i/>
        </w:rPr>
        <w:t>similitudo</w:t>
      </w:r>
      <w:r>
        <w:rPr>
          <w:i/>
        </w:rPr>
        <w:fldChar w:fldCharType="begin"/>
      </w:r>
      <w:r>
        <w:instrText xml:space="preserve"> XE "pravda:</w:instrText>
      </w:r>
      <w:r w:rsidRPr="0067024E">
        <w:rPr>
          <w:i/>
        </w:rPr>
        <w:instrText xml:space="preserve"> </w:instrText>
      </w:r>
      <w:r w:rsidRPr="00EB2BC2">
        <w:rPr>
          <w:i/>
        </w:rPr>
        <w:instrText>similitudo</w:instrText>
      </w:r>
      <w:r>
        <w:instrText xml:space="preserve">" </w:instrText>
      </w:r>
      <w:r>
        <w:rPr>
          <w:i/>
        </w:rPr>
        <w:fldChar w:fldCharType="end"/>
      </w:r>
      <w:r w:rsidRPr="00273106">
        <w:t xml:space="preserve">. Při striktním oddělení materiálního poznání a intencionální syntézy </w:t>
      </w:r>
      <w:r w:rsidR="08244326">
        <w:t>intendovaných</w:t>
      </w:r>
      <w:r>
        <w:t xml:space="preserve"> </w:t>
      </w:r>
      <w:r w:rsidR="006A04C6" w:rsidRPr="006A04C6">
        <w:t>species</w:t>
      </w:r>
      <w:r>
        <w:t xml:space="preserve"> </w:t>
      </w:r>
      <w:r w:rsidRPr="00273106">
        <w:t xml:space="preserve">nemůže existovat </w:t>
      </w:r>
      <w:r w:rsidRPr="00273106">
        <w:rPr>
          <w:rStyle w:val="Zkladntextdkovn0pt"/>
          <w:rFonts w:ascii="Calibri" w:eastAsia="Times" w:hAnsi="Calibri" w:cs="Times New Roman"/>
          <w:color w:val="auto"/>
          <w:spacing w:val="0"/>
          <w:sz w:val="24"/>
          <w:u w:val="none"/>
          <w:lang w:val="cs-CZ"/>
        </w:rPr>
        <w:t>žádný avicennovský mix s realitou danou skrze jsoucno třetího druhu</w:t>
      </w:r>
      <w:r>
        <w:rPr>
          <w:i/>
        </w:rPr>
        <w:fldChar w:fldCharType="begin"/>
      </w:r>
      <w:r>
        <w:instrText xml:space="preserve"> XE "</w:instrText>
      </w:r>
      <w:r w:rsidRPr="007A0299">
        <w:rPr>
          <w:i/>
        </w:rPr>
        <w:instrText>tertium ens</w:instrText>
      </w:r>
      <w:r>
        <w:instrText xml:space="preserve">:Blundova kritika" </w:instrText>
      </w:r>
      <w:r>
        <w:rPr>
          <w:i/>
        </w:rPr>
        <w:fldChar w:fldCharType="end"/>
      </w:r>
      <w:r w:rsidRPr="00273106">
        <w:rPr>
          <w:rStyle w:val="Zkladntextdkovn0pt"/>
          <w:rFonts w:ascii="Calibri" w:eastAsia="Times" w:hAnsi="Calibri" w:cs="Times New Roman"/>
          <w:color w:val="auto"/>
          <w:spacing w:val="0"/>
          <w:sz w:val="24"/>
          <w:u w:val="none"/>
          <w:lang w:val="cs-CZ"/>
        </w:rPr>
        <w:t>. Na rozdíl od Avicenny není intencionální předmět ani ve věci, ani ve smyslech</w:t>
      </w:r>
      <w:r>
        <w:rPr>
          <w:rStyle w:val="Zkladntextdkovn0pt"/>
          <w:rFonts w:ascii="Calibri" w:eastAsia="Times" w:hAnsi="Calibri" w:cs="Times New Roman"/>
          <w:color w:val="auto"/>
          <w:spacing w:val="0"/>
          <w:sz w:val="24"/>
          <w:u w:val="none"/>
          <w:lang w:val="cs-CZ"/>
        </w:rPr>
        <w:t xml:space="preserve">, ale </w:t>
      </w:r>
      <w:r w:rsidR="08360C48">
        <w:rPr>
          <w:rStyle w:val="Zkladntextdkovn0pt"/>
          <w:rFonts w:ascii="Calibri" w:eastAsia="Times" w:hAnsi="Calibri" w:cs="Times New Roman"/>
          <w:color w:val="auto"/>
          <w:spacing w:val="0"/>
          <w:sz w:val="24"/>
          <w:u w:val="none"/>
          <w:lang w:val="cs-CZ"/>
        </w:rPr>
        <w:t xml:space="preserve">je založen v </w:t>
      </w:r>
      <w:r>
        <w:rPr>
          <w:rStyle w:val="Zkladntextdkovn0pt"/>
          <w:rFonts w:ascii="Calibri" w:eastAsia="Times" w:hAnsi="Calibri" w:cs="Times New Roman"/>
          <w:color w:val="auto"/>
          <w:spacing w:val="0"/>
          <w:sz w:val="24"/>
          <w:u w:val="none"/>
          <w:lang w:val="cs-CZ"/>
        </w:rPr>
        <w:t>individuální</w:t>
      </w:r>
      <w:r w:rsidR="08360C48">
        <w:rPr>
          <w:rStyle w:val="Zkladntextdkovn0pt"/>
          <w:rFonts w:ascii="Calibri" w:eastAsia="Times" w:hAnsi="Calibri" w:cs="Times New Roman"/>
          <w:color w:val="auto"/>
          <w:spacing w:val="0"/>
          <w:sz w:val="24"/>
          <w:u w:val="none"/>
          <w:lang w:val="cs-CZ"/>
        </w:rPr>
        <w:t>m</w:t>
      </w:r>
      <w:r>
        <w:rPr>
          <w:rStyle w:val="Zkladntextdkovn0pt"/>
          <w:rFonts w:ascii="Calibri" w:eastAsia="Times" w:hAnsi="Calibri" w:cs="Times New Roman"/>
          <w:color w:val="auto"/>
          <w:spacing w:val="0"/>
          <w:sz w:val="24"/>
          <w:u w:val="none"/>
          <w:lang w:val="cs-CZ"/>
        </w:rPr>
        <w:t xml:space="preserve"> výkon</w:t>
      </w:r>
      <w:r w:rsidR="08360C48">
        <w:rPr>
          <w:rStyle w:val="Zkladntextdkovn0pt"/>
          <w:rFonts w:ascii="Calibri" w:eastAsia="Times" w:hAnsi="Calibri" w:cs="Times New Roman"/>
          <w:color w:val="auto"/>
          <w:spacing w:val="0"/>
          <w:sz w:val="24"/>
          <w:u w:val="none"/>
          <w:lang w:val="cs-CZ"/>
        </w:rPr>
        <w:t>u</w:t>
      </w:r>
      <w:r>
        <w:rPr>
          <w:rStyle w:val="Zkladntextdkovn0pt"/>
          <w:rFonts w:ascii="Calibri" w:eastAsia="Times" w:hAnsi="Calibri" w:cs="Times New Roman"/>
          <w:color w:val="auto"/>
          <w:spacing w:val="0"/>
          <w:sz w:val="24"/>
          <w:u w:val="none"/>
          <w:lang w:val="cs-CZ"/>
        </w:rPr>
        <w:t xml:space="preserve"> poznávající duše</w:t>
      </w:r>
      <w:r w:rsidRPr="00273106">
        <w:rPr>
          <w:rStyle w:val="Zkladntextdkovn0pt"/>
          <w:rFonts w:ascii="Calibri" w:eastAsia="Times" w:hAnsi="Calibri" w:cs="Times New Roman"/>
          <w:color w:val="auto"/>
          <w:spacing w:val="0"/>
          <w:sz w:val="24"/>
          <w:u w:val="none"/>
          <w:lang w:val="cs-CZ"/>
        </w:rPr>
        <w:t xml:space="preserve">. </w:t>
      </w:r>
      <w:r w:rsidRPr="00273106">
        <w:t>Intence přestala být navázána na smysly a stala autonomní vlastností individuální zvířecí duše (</w:t>
      </w:r>
      <w:r w:rsidRPr="00273106">
        <w:rPr>
          <w:i/>
        </w:rPr>
        <w:t>vis aestimativa</w:t>
      </w:r>
      <w:r>
        <w:rPr>
          <w:i/>
        </w:rPr>
        <w:fldChar w:fldCharType="begin"/>
      </w:r>
      <w:r>
        <w:instrText xml:space="preserve"> XE "</w:instrText>
      </w:r>
      <w:r w:rsidRPr="00C34A1D">
        <w:rPr>
          <w:i/>
        </w:rPr>
        <w:instrText>vis aestimativa</w:instrText>
      </w:r>
      <w:r>
        <w:instrText xml:space="preserve">" </w:instrText>
      </w:r>
      <w:r>
        <w:rPr>
          <w:i/>
        </w:rPr>
        <w:fldChar w:fldCharType="end"/>
      </w:r>
      <w:r w:rsidRPr="00273106">
        <w:t>), či výlučně lidskou schopností nemateriální a individuální duše (</w:t>
      </w:r>
      <w:r w:rsidRPr="00273106">
        <w:rPr>
          <w:i/>
        </w:rPr>
        <w:t xml:space="preserve">intellectus </w:t>
      </w:r>
      <w:r w:rsidR="08EB0C7C">
        <w:rPr>
          <w:i/>
        </w:rPr>
        <w:t>possib</w:t>
      </w:r>
      <w:r w:rsidR="08114325">
        <w:rPr>
          <w:i/>
        </w:rPr>
        <w:t>i</w:t>
      </w:r>
      <w:r w:rsidR="08EB0C7C">
        <w:rPr>
          <w:i/>
        </w:rPr>
        <w:t>lis</w:t>
      </w:r>
      <w:r>
        <w:rPr>
          <w:i/>
        </w:rPr>
        <w:fldChar w:fldCharType="begin"/>
      </w:r>
      <w:r>
        <w:instrText xml:space="preserve"> XE "</w:instrText>
      </w:r>
      <w:r w:rsidRPr="00BE489A">
        <w:rPr>
          <w:i/>
        </w:rPr>
        <w:instrText>intellectus materialis:</w:instrText>
      </w:r>
      <w:r>
        <w:instrText xml:space="preserve">Blund" </w:instrText>
      </w:r>
      <w:r>
        <w:rPr>
          <w:i/>
        </w:rPr>
        <w:fldChar w:fldCharType="end"/>
      </w:r>
      <w:r w:rsidRPr="00273106">
        <w:t xml:space="preserve">). Produkce poznané formy je nyní vázána na receptivně-syntetizující, a tudíž nemateriální </w:t>
      </w:r>
      <w:r w:rsidRPr="00273106">
        <w:rPr>
          <w:i/>
        </w:rPr>
        <w:t>intellectus formalis</w:t>
      </w:r>
      <w:r>
        <w:rPr>
          <w:i/>
        </w:rPr>
        <w:fldChar w:fldCharType="begin"/>
      </w:r>
      <w:r>
        <w:instrText xml:space="preserve"> XE "</w:instrText>
      </w:r>
      <w:r w:rsidRPr="000238B8">
        <w:rPr>
          <w:i/>
        </w:rPr>
        <w:instrText>intellectus formalis:</w:instrText>
      </w:r>
      <w:r w:rsidRPr="000238B8">
        <w:instrText>Blund</w:instrText>
      </w:r>
      <w:r>
        <w:instrText xml:space="preserve">" </w:instrText>
      </w:r>
      <w:r>
        <w:rPr>
          <w:i/>
        </w:rPr>
        <w:fldChar w:fldCharType="end"/>
      </w:r>
      <w:r w:rsidRPr="00273106">
        <w:t xml:space="preserve"> jako jednu ze schopností duše. Intelekt přijímá smyslové obsahy v nemateriálním prostředí </w:t>
      </w:r>
      <w:r>
        <w:t>duše jako formy animálního či lidského těla. P</w:t>
      </w:r>
      <w:r w:rsidRPr="00273106">
        <w:t xml:space="preserve">roto se </w:t>
      </w:r>
      <w:r>
        <w:t xml:space="preserve">poznání </w:t>
      </w:r>
      <w:r w:rsidRPr="00273106">
        <w:t>zaměřuje vlastní schopností formace (</w:t>
      </w:r>
      <w:r w:rsidRPr="00273106">
        <w:rPr>
          <w:i/>
        </w:rPr>
        <w:t>intentio</w:t>
      </w:r>
      <w:r w:rsidRPr="00273106">
        <w:t xml:space="preserve">) </w:t>
      </w:r>
      <w:r>
        <w:t>k poznanému obsahu (</w:t>
      </w:r>
      <w:r w:rsidRPr="00C269D8">
        <w:rPr>
          <w:i/>
        </w:rPr>
        <w:t>intentum</w:t>
      </w:r>
      <w:r>
        <w:t>). Výkon intencionality daný v duši je odlišný o</w:t>
      </w:r>
      <w:r w:rsidRPr="00273106">
        <w:t xml:space="preserve">d </w:t>
      </w:r>
      <w:r>
        <w:t xml:space="preserve">materiální </w:t>
      </w:r>
      <w:r w:rsidRPr="00273106">
        <w:t>recepce dané smysly</w:t>
      </w:r>
      <w:r>
        <w:t xml:space="preserve"> ve smyslovém orgánu</w:t>
      </w:r>
      <w:r w:rsidRPr="00273106">
        <w:t xml:space="preserve">. </w:t>
      </w:r>
      <w:r>
        <w:t>Smyslový vněm není intencionální předmět, a nemůže být, protože jeho syn</w:t>
      </w:r>
      <w:r w:rsidR="081F18B2">
        <w:t xml:space="preserve">tézu provádí duše. Poznání je </w:t>
      </w:r>
      <w:r>
        <w:t xml:space="preserve">nemateriální schopnost dokonce i pro zvířata, protože duše je entelechická forma každého živého těla. Smyslový orgán tvoří pouze část těla jako oživeného celku. Intelekt člověka je </w:t>
      </w:r>
      <w:r w:rsidR="08645F68">
        <w:t xml:space="preserve">na rozdíl od zvířat </w:t>
      </w:r>
      <w:r>
        <w:t xml:space="preserve">zcela nemateriální schopnost duše v rámci </w:t>
      </w:r>
      <w:r w:rsidRPr="002931E2">
        <w:rPr>
          <w:i/>
        </w:rPr>
        <w:t>anima intellectiva</w:t>
      </w:r>
      <w:r>
        <w:t xml:space="preserve">. </w:t>
      </w:r>
      <w:r w:rsidR="088B4BA0">
        <w:t xml:space="preserve">Proto mají zvířata svět daný jejich zvířecí intencionalitou, který ale má zcela jiný generický charakter než lidský svět daný nemateriálním poznáním duše. </w:t>
      </w:r>
      <w:r w:rsidRPr="00273106">
        <w:t>Tím se poprvé na Západě utvořilo schéma receptivně</w:t>
      </w:r>
      <w:r w:rsidR="08443813">
        <w:t>-aktivní syntézy intencionální</w:t>
      </w:r>
      <w:r w:rsidRPr="00273106">
        <w:t xml:space="preserve"> </w:t>
      </w:r>
      <w:r w:rsidR="006A04C6" w:rsidRPr="006A04C6">
        <w:t>species</w:t>
      </w:r>
      <w:r>
        <w:t xml:space="preserve">, </w:t>
      </w:r>
      <w:r w:rsidR="08443813">
        <w:t xml:space="preserve">v němž duše </w:t>
      </w:r>
      <w:r>
        <w:t xml:space="preserve">abstrahuje formu z </w:t>
      </w:r>
      <w:r w:rsidRPr="00273106">
        <w:t xml:space="preserve">poznané věci </w:t>
      </w:r>
      <w:r>
        <w:t xml:space="preserve">na základě příslušné duševní aktivity </w:t>
      </w:r>
      <w:r w:rsidR="080D0681">
        <w:t xml:space="preserve">zvířete nebo člověka </w:t>
      </w:r>
      <w:r w:rsidRPr="00273106">
        <w:t>(</w:t>
      </w:r>
      <w:r w:rsidRPr="00273106">
        <w:rPr>
          <w:i/>
        </w:rPr>
        <w:t>subiectum intentionis</w:t>
      </w:r>
      <w:r>
        <w:rPr>
          <w:i/>
        </w:rPr>
        <w:fldChar w:fldCharType="begin"/>
      </w:r>
      <w:r>
        <w:instrText xml:space="preserve"> XE "intencionalita:Blund" </w:instrText>
      </w:r>
      <w:r>
        <w:rPr>
          <w:i/>
        </w:rPr>
        <w:fldChar w:fldCharType="end"/>
      </w:r>
      <w:r w:rsidR="00F6229A">
        <w:t>).</w:t>
      </w:r>
    </w:p>
    <w:p w14:paraId="114779BE" w14:textId="1C46FD5D" w:rsidR="00D16424" w:rsidRPr="08EA213E" w:rsidRDefault="00593F89" w:rsidP="00F6229A">
      <w:pPr>
        <w:ind w:firstLine="397"/>
      </w:pPr>
      <w:r w:rsidRPr="00273106">
        <w:t>B</w:t>
      </w:r>
      <w:r w:rsidRPr="00273106">
        <w:rPr>
          <w:rStyle w:val="Zkladntextdkovn0pt"/>
          <w:rFonts w:ascii="Calibri" w:eastAsia="Times" w:hAnsi="Calibri" w:cs="Times New Roman"/>
          <w:color w:val="auto"/>
          <w:spacing w:val="0"/>
          <w:sz w:val="24"/>
          <w:u w:val="none"/>
          <w:lang w:val="cs-CZ"/>
        </w:rPr>
        <w:t xml:space="preserve">lund nepotřebuje žádnou </w:t>
      </w:r>
      <w:r w:rsidR="086829FC">
        <w:rPr>
          <w:rStyle w:val="Zkladntextdkovn0pt"/>
          <w:rFonts w:ascii="Calibri" w:eastAsia="Times" w:hAnsi="Calibri" w:cs="Times New Roman"/>
          <w:color w:val="auto"/>
          <w:spacing w:val="0"/>
          <w:sz w:val="24"/>
          <w:u w:val="none"/>
          <w:lang w:val="cs-CZ"/>
        </w:rPr>
        <w:t xml:space="preserve">metafyzickou </w:t>
      </w:r>
      <w:r w:rsidRPr="00273106">
        <w:rPr>
          <w:rStyle w:val="Zkladntextdkovn0pt"/>
          <w:rFonts w:ascii="Calibri" w:eastAsia="Times" w:hAnsi="Calibri" w:cs="Times New Roman"/>
          <w:color w:val="auto"/>
          <w:spacing w:val="0"/>
          <w:sz w:val="24"/>
          <w:u w:val="none"/>
          <w:lang w:val="cs-CZ"/>
        </w:rPr>
        <w:t xml:space="preserve">berličku pro syntézu </w:t>
      </w:r>
      <w:r w:rsidR="006A04C6" w:rsidRPr="006A04C6">
        <w:rPr>
          <w:rStyle w:val="Zkladntextdkovn0pt"/>
          <w:rFonts w:ascii="Calibri" w:eastAsia="Times" w:hAnsi="Calibri" w:cs="Times New Roman"/>
          <w:color w:val="auto"/>
          <w:spacing w:val="0"/>
          <w:sz w:val="24"/>
          <w:u w:val="none"/>
          <w:lang w:val="cs-CZ"/>
        </w:rPr>
        <w:t>species</w:t>
      </w:r>
      <w:r w:rsidRPr="00273106">
        <w:rPr>
          <w:rStyle w:val="Zkladntextdkovn0pt"/>
          <w:rFonts w:ascii="Calibri" w:eastAsia="Times" w:hAnsi="Calibri" w:cs="Times New Roman"/>
          <w:color w:val="auto"/>
          <w:spacing w:val="0"/>
          <w:sz w:val="24"/>
          <w:u w:val="none"/>
          <w:lang w:val="cs-CZ"/>
        </w:rPr>
        <w:t xml:space="preserve"> v podobě nějakých jsoucen třetího druhu (</w:t>
      </w:r>
      <w:r w:rsidRPr="00273106">
        <w:rPr>
          <w:i/>
        </w:rPr>
        <w:t>non exigatur vis alia ad intentionis apprehensionem</w:t>
      </w:r>
      <w:r w:rsidR="00762EC2">
        <w:rPr>
          <w:i/>
        </w:rPr>
        <w:t xml:space="preserve">; </w:t>
      </w:r>
      <w:r w:rsidR="00762EC2" w:rsidRPr="00762EC2">
        <w:t>ibid, p</w:t>
      </w:r>
      <w:r w:rsidR="00762EC2">
        <w:t>.</w:t>
      </w:r>
      <w:r w:rsidR="00762EC2" w:rsidRPr="00762EC2">
        <w:t xml:space="preserve"> 65.25</w:t>
      </w:r>
      <w:r w:rsidR="00762EC2">
        <w:fldChar w:fldCharType="begin"/>
      </w:r>
      <w:r w:rsidR="00762EC2">
        <w:instrText xml:space="preserve"> XE "Blund:</w:instrText>
      </w:r>
      <w:r w:rsidR="00762EC2" w:rsidRPr="007B4D8C">
        <w:rPr>
          <w:i/>
        </w:rPr>
        <w:instrText>Tractatus de anima</w:instrText>
      </w:r>
      <w:r w:rsidR="00762EC2">
        <w:rPr>
          <w:i/>
        </w:rPr>
        <w:instrText xml:space="preserve"> </w:instrText>
      </w:r>
      <w:r w:rsidR="00762EC2">
        <w:instrText>65.</w:instrText>
      </w:r>
      <w:r w:rsidR="00762EC2" w:rsidRPr="00FC16BB">
        <w:instrText>2</w:instrText>
      </w:r>
      <w:r w:rsidR="00762EC2">
        <w:instrText xml:space="preserve">5" </w:instrText>
      </w:r>
      <w:r w:rsidR="00762EC2">
        <w:fldChar w:fldCharType="end"/>
      </w:r>
      <w:r w:rsidRPr="00273106">
        <w:rPr>
          <w:rStyle w:val="Zkladntextdkovn0pt"/>
          <w:rFonts w:ascii="Calibri" w:eastAsia="Times" w:hAnsi="Calibri" w:cs="Times New Roman"/>
          <w:color w:val="auto"/>
          <w:spacing w:val="0"/>
          <w:sz w:val="24"/>
          <w:u w:val="none"/>
          <w:lang w:val="cs-CZ"/>
        </w:rPr>
        <w:t>)</w:t>
      </w:r>
      <w:r w:rsidR="00762EC2">
        <w:rPr>
          <w:rStyle w:val="Zkladntextdkovn0pt"/>
          <w:rFonts w:ascii="Calibri" w:eastAsia="Times" w:hAnsi="Calibri" w:cs="Times New Roman"/>
          <w:color w:val="auto"/>
          <w:spacing w:val="0"/>
          <w:sz w:val="24"/>
          <w:u w:val="none"/>
          <w:lang w:val="cs-CZ"/>
        </w:rPr>
        <w:t xml:space="preserve">. </w:t>
      </w:r>
      <w:r>
        <w:rPr>
          <w:rStyle w:val="Zkladntextdkovn0pt"/>
          <w:rFonts w:ascii="Calibri" w:eastAsia="Times" w:hAnsi="Calibri" w:cs="Times New Roman"/>
          <w:color w:val="auto"/>
          <w:spacing w:val="0"/>
          <w:sz w:val="24"/>
          <w:u w:val="none"/>
          <w:lang w:val="cs-CZ"/>
        </w:rPr>
        <w:t>A</w:t>
      </w:r>
      <w:r>
        <w:t xml:space="preserve">kt intencionality je daný materiálně a smyslově-individuálně, protože </w:t>
      </w:r>
      <w:r w:rsidRPr="004C44C0">
        <w:rPr>
          <w:i/>
        </w:rPr>
        <w:t>vis aestimativa</w:t>
      </w:r>
      <w:r>
        <w:t xml:space="preserve"> je </w:t>
      </w:r>
      <w:r w:rsidR="086829FC">
        <w:t xml:space="preserve">dán jako </w:t>
      </w:r>
      <w:r>
        <w:t xml:space="preserve">první syntetický akt v řádu poznání i pro zvířata. </w:t>
      </w:r>
      <w:r w:rsidR="080D0681">
        <w:t xml:space="preserve">Proto je třeba číst </w:t>
      </w:r>
      <w:r w:rsidR="087368B5">
        <w:t xml:space="preserve">dílo </w:t>
      </w:r>
      <w:r w:rsidR="080D0681" w:rsidRPr="080D0681">
        <w:rPr>
          <w:i/>
        </w:rPr>
        <w:t>De anima</w:t>
      </w:r>
      <w:r w:rsidR="080D0681">
        <w:t xml:space="preserve"> od druhé knihy ke třetí a ne opačně, jak to dělají modernisté tehdy a dnes. Z</w:t>
      </w:r>
      <w:r w:rsidR="0881039F">
        <w:t>víře i č</w:t>
      </w:r>
      <w:r>
        <w:t xml:space="preserve">lověk v </w:t>
      </w:r>
      <w:r w:rsidR="0881039F">
        <w:t xml:space="preserve">sobě vlastním modu </w:t>
      </w:r>
      <w:r>
        <w:t xml:space="preserve">modu </w:t>
      </w:r>
      <w:r w:rsidRPr="00ED0642">
        <w:rPr>
          <w:i/>
        </w:rPr>
        <w:t>adaequatio</w:t>
      </w:r>
      <w:r>
        <w:t xml:space="preserve"> intenduje na </w:t>
      </w:r>
      <w:r>
        <w:lastRenderedPageBreak/>
        <w:t xml:space="preserve">první úrovni recepce čistě smyslový vjem daný ve smyslovém orgánu. Ten je aktivovaný aktuální první substancí existující v modu </w:t>
      </w:r>
      <w:r w:rsidRPr="082D45C3">
        <w:rPr>
          <w:i/>
        </w:rPr>
        <w:t>simpliciter</w:t>
      </w:r>
      <w:r>
        <w:t xml:space="preserve"> a </w:t>
      </w:r>
      <w:r w:rsidRPr="082D45C3">
        <w:rPr>
          <w:i/>
        </w:rPr>
        <w:t>per se</w:t>
      </w:r>
      <w:r>
        <w:rPr>
          <w:i/>
        </w:rPr>
        <w:fldChar w:fldCharType="begin"/>
      </w:r>
      <w:r>
        <w:instrText xml:space="preserve"> XE "substance:první" </w:instrText>
      </w:r>
      <w:r>
        <w:rPr>
          <w:i/>
        </w:rPr>
        <w:fldChar w:fldCharType="end"/>
      </w:r>
      <w:r>
        <w:rPr>
          <w:i/>
        </w:rPr>
        <w:t>.</w:t>
      </w:r>
      <w:r>
        <w:t xml:space="preserve"> Tato intendovaná forma je  následně syntetizovaná skrze odpovídající duševní nástroj animální nebo lidské syntézy </w:t>
      </w:r>
      <w:r w:rsidRPr="00273106">
        <w:t>(</w:t>
      </w:r>
      <w:r w:rsidRPr="00273106">
        <w:rPr>
          <w:rStyle w:val="Zkladntextdkovn0pt"/>
          <w:rFonts w:ascii="Calibri" w:eastAsia="Times" w:hAnsi="Calibri" w:cs="Times New Roman"/>
          <w:i/>
          <w:color w:val="auto"/>
          <w:spacing w:val="0"/>
          <w:sz w:val="24"/>
          <w:u w:val="none"/>
          <w:lang w:val="cs-CZ"/>
        </w:rPr>
        <w:t>aestimatio, intellectus</w:t>
      </w:r>
      <w:r>
        <w:rPr>
          <w:rStyle w:val="Zkladntextdkovn0pt"/>
          <w:rFonts w:ascii="Calibri" w:eastAsia="Times" w:hAnsi="Calibri" w:cs="Times New Roman"/>
          <w:i/>
          <w:color w:val="auto"/>
          <w:spacing w:val="0"/>
          <w:sz w:val="24"/>
          <w:u w:val="none"/>
          <w:lang w:val="cs-CZ"/>
        </w:rPr>
        <w:t xml:space="preserve"> in potentia</w:t>
      </w:r>
      <w:r w:rsidRPr="00273106">
        <w:rPr>
          <w:rStyle w:val="Zkladntextdkovn0pt"/>
          <w:rFonts w:ascii="Calibri" w:eastAsia="Times" w:hAnsi="Calibri" w:cs="Times New Roman"/>
          <w:color w:val="auto"/>
          <w:spacing w:val="0"/>
          <w:sz w:val="24"/>
          <w:u w:val="none"/>
          <w:lang w:val="cs-CZ"/>
        </w:rPr>
        <w:t>)</w:t>
      </w:r>
      <w:r w:rsidRPr="00273106">
        <w:t>.</w:t>
      </w:r>
      <w:r>
        <w:t xml:space="preserve"> </w:t>
      </w:r>
      <w:r w:rsidR="08D36140">
        <w:t xml:space="preserve">Další formu adekvace již má jen člověk. </w:t>
      </w:r>
      <w:r w:rsidRPr="00273106">
        <w:t xml:space="preserve">Aktuální výkon </w:t>
      </w:r>
      <w:r>
        <w:t xml:space="preserve">intencionality navázaný na schopnost syntézy </w:t>
      </w:r>
      <w:r w:rsidRPr="00273106">
        <w:t xml:space="preserve">formálního intelektu </w:t>
      </w:r>
      <w:r>
        <w:t xml:space="preserve">člověku </w:t>
      </w:r>
      <w:r w:rsidR="087B6121">
        <w:t>daruje</w:t>
      </w:r>
      <w:r w:rsidRPr="00273106">
        <w:t xml:space="preserve"> pozna</w:t>
      </w:r>
      <w:r w:rsidR="00495F0D">
        <w:t>nou věc ve výkonu osobního</w:t>
      </w:r>
      <w:r w:rsidRPr="00273106">
        <w:t xml:space="preserve"> porozumění (</w:t>
      </w:r>
      <w:r w:rsidRPr="00273106">
        <w:rPr>
          <w:i/>
        </w:rPr>
        <w:t xml:space="preserve">intellectus </w:t>
      </w:r>
      <w:r w:rsidR="08454D0B">
        <w:rPr>
          <w:i/>
        </w:rPr>
        <w:t>formalis</w:t>
      </w:r>
      <w:r>
        <w:rPr>
          <w:i/>
        </w:rPr>
        <w:fldChar w:fldCharType="begin"/>
      </w:r>
      <w:r>
        <w:instrText xml:space="preserve"> XE "</w:instrText>
      </w:r>
      <w:r w:rsidRPr="00F77FCE">
        <w:rPr>
          <w:i/>
        </w:rPr>
        <w:instrText>intellectus adeptus</w:instrText>
      </w:r>
      <w:r w:rsidRPr="00DF7576">
        <w:instrText>:Blund</w:instrText>
      </w:r>
      <w:r>
        <w:instrText xml:space="preserve">" </w:instrText>
      </w:r>
      <w:r>
        <w:rPr>
          <w:i/>
        </w:rPr>
        <w:fldChar w:fldCharType="end"/>
      </w:r>
      <w:r>
        <w:t xml:space="preserve">). </w:t>
      </w:r>
      <w:r w:rsidRPr="00273106">
        <w:t>Podrobnější srovnání v procesem poznání v CMDA ukazuje zásadní shodu obou pojetí</w:t>
      </w:r>
      <w:r>
        <w:t xml:space="preserve"> (</w:t>
      </w:r>
      <w:r w:rsidR="08F7416D">
        <w:t xml:space="preserve">OBJ I, </w:t>
      </w:r>
      <w:r>
        <w:t>kap. 2.4.3)</w:t>
      </w:r>
      <w:r w:rsidRPr="00273106">
        <w:t xml:space="preserve">. </w:t>
      </w:r>
      <w:r>
        <w:t>Akt intencionality běží v CMDA v nemateriálním prostředí receptivně-aktivního intelektu (</w:t>
      </w:r>
      <w:r w:rsidRPr="00847453">
        <w:rPr>
          <w:i/>
        </w:rPr>
        <w:t>ab intentionibus quas recipit intellectus</w:t>
      </w:r>
      <w:r>
        <w:t xml:space="preserve">). Intencionální obsahy i na smyslové úrovni jsou dané na rozdíl od zvířat již inteligibilně, protože jsou recipované intelektem. Proto jsou univerzální, protože </w:t>
      </w:r>
      <w:r w:rsidRPr="001F6C02">
        <w:rPr>
          <w:i/>
        </w:rPr>
        <w:t>intellectus possibilis</w:t>
      </w:r>
      <w:r>
        <w:rPr>
          <w:i/>
        </w:rPr>
        <w:fldChar w:fldCharType="begin"/>
      </w:r>
      <w:r>
        <w:instrText xml:space="preserve"> XE "</w:instrText>
      </w:r>
      <w:r w:rsidRPr="00770D02">
        <w:rPr>
          <w:i/>
        </w:rPr>
        <w:instrText>intellectus possibilis</w:instrText>
      </w:r>
      <w:r w:rsidRPr="003C7B50">
        <w:instrText>:</w:instrText>
      </w:r>
      <w:r>
        <w:instrText xml:space="preserve">Averroes" </w:instrText>
      </w:r>
      <w:r>
        <w:rPr>
          <w:i/>
        </w:rPr>
        <w:fldChar w:fldCharType="end"/>
      </w:r>
      <w:r>
        <w:t xml:space="preserve"> je svou podstatou nemateriální (</w:t>
      </w:r>
      <w:r w:rsidRPr="00847453">
        <w:rPr>
          <w:i/>
        </w:rPr>
        <w:t>ille enim sunt universales, iste vero tantum sunt iste</w:t>
      </w:r>
      <w:r>
        <w:rPr>
          <w:i/>
        </w:rPr>
        <w:t xml:space="preserve">; </w:t>
      </w:r>
      <w:r w:rsidRPr="00273106">
        <w:t>CMDA II.121</w:t>
      </w:r>
      <w:r>
        <w:t>; 317.</w:t>
      </w:r>
      <w:r w:rsidRPr="00273106">
        <w:t>35</w:t>
      </w:r>
      <w:r>
        <w:fldChar w:fldCharType="begin"/>
      </w:r>
      <w:r>
        <w:instrText xml:space="preserve"> XE "Averroes:</w:instrText>
      </w:r>
      <w:r w:rsidRPr="00D31559">
        <w:instrText>CMDA</w:instrText>
      </w:r>
      <w:r>
        <w:instrText xml:space="preserve"> </w:instrText>
      </w:r>
      <w:r w:rsidRPr="00D31559">
        <w:instrText>317.35</w:instrText>
      </w:r>
      <w:r>
        <w:instrText xml:space="preserve">" </w:instrText>
      </w:r>
      <w:r>
        <w:fldChar w:fldCharType="end"/>
      </w:r>
      <w:r>
        <w:t xml:space="preserve">). </w:t>
      </w:r>
      <w:r w:rsidRPr="00273106">
        <w:t xml:space="preserve">Každý člen řetězu intencionality a abstrakce má jiný status </w:t>
      </w:r>
      <w:r w:rsidR="08FF74F8">
        <w:t xml:space="preserve">daný mediací. </w:t>
      </w:r>
      <w:r w:rsidR="08202300">
        <w:t xml:space="preserve">Výsledný poznatek </w:t>
      </w:r>
      <w:r w:rsidRPr="00273106">
        <w:t xml:space="preserve">tvoří odlišné schopnosti jedné nemateriální lidské duše. </w:t>
      </w:r>
      <w:r w:rsidR="00D16424">
        <w:t>P</w:t>
      </w:r>
      <w:r w:rsidR="00D16424" w:rsidRPr="00273106">
        <w:t xml:space="preserve">oznání </w:t>
      </w:r>
      <w:r w:rsidR="00D16424">
        <w:t xml:space="preserve">na smyslové úrovni </w:t>
      </w:r>
      <w:r w:rsidR="08711A34">
        <w:t xml:space="preserve">zvířat </w:t>
      </w:r>
      <w:r w:rsidR="00D16424">
        <w:t>produkuje syntetická smyslová</w:t>
      </w:r>
      <w:r w:rsidR="00D16424" w:rsidRPr="00273106">
        <w:t xml:space="preserve"> schopnost (</w:t>
      </w:r>
      <w:r w:rsidR="00D16424" w:rsidRPr="00273106">
        <w:rPr>
          <w:i/>
        </w:rPr>
        <w:t>vis imaginativa</w:t>
      </w:r>
      <w:r w:rsidR="00D16424">
        <w:t>), kterou</w:t>
      </w:r>
      <w:r w:rsidR="00D16424" w:rsidRPr="00273106">
        <w:t xml:space="preserve"> determinuje receptivní a formativní schopnost (</w:t>
      </w:r>
      <w:r w:rsidR="00D16424" w:rsidRPr="00273106">
        <w:rPr>
          <w:i/>
        </w:rPr>
        <w:t>vis receptiva</w:t>
      </w:r>
      <w:r w:rsidR="00D16424" w:rsidRPr="00273106">
        <w:t xml:space="preserve">, </w:t>
      </w:r>
      <w:r w:rsidR="00D16424" w:rsidRPr="00273106">
        <w:rPr>
          <w:i/>
        </w:rPr>
        <w:t>retentiva</w:t>
      </w:r>
      <w:r w:rsidR="00D16424" w:rsidRPr="00273106">
        <w:t xml:space="preserve">). Tím je dáno pro smyslové poznání </w:t>
      </w:r>
      <w:r w:rsidR="081641B0">
        <w:t xml:space="preserve">člověka i zvířat </w:t>
      </w:r>
      <w:r w:rsidR="00D16424" w:rsidRPr="00273106">
        <w:t>formálně stejné schéma</w:t>
      </w:r>
      <w:r w:rsidR="00D16424">
        <w:t xml:space="preserve"> v modu </w:t>
      </w:r>
      <w:r w:rsidR="00D16424" w:rsidRPr="00990E74">
        <w:rPr>
          <w:i/>
        </w:rPr>
        <w:t>duplex</w:t>
      </w:r>
      <w:r w:rsidR="00D16424" w:rsidRPr="00273106">
        <w:t>, jako pr</w:t>
      </w:r>
      <w:r w:rsidR="00D16424">
        <w:t xml:space="preserve">o poznání </w:t>
      </w:r>
      <w:r w:rsidR="00D16424" w:rsidRPr="00163678">
        <w:t>intelekt</w:t>
      </w:r>
      <w:r w:rsidR="00D16424">
        <w:t>u</w:t>
      </w:r>
      <w:r w:rsidR="081641B0">
        <w:t>, který je už výsadou pouze lidského poznání</w:t>
      </w:r>
      <w:r w:rsidR="00D16424">
        <w:rPr>
          <w:i/>
        </w:rPr>
        <w:fldChar w:fldCharType="begin"/>
      </w:r>
      <w:r w:rsidR="00D16424">
        <w:instrText xml:space="preserve"> XE "intencionalita:Blund" </w:instrText>
      </w:r>
      <w:r w:rsidR="00D16424">
        <w:rPr>
          <w:i/>
        </w:rPr>
        <w:fldChar w:fldCharType="end"/>
      </w:r>
      <w:r w:rsidR="00D16424">
        <w:t xml:space="preserve">. </w:t>
      </w:r>
      <w:r w:rsidR="00D16424" w:rsidRPr="00273106">
        <w:t xml:space="preserve">Traktát </w:t>
      </w:r>
      <w:r w:rsidR="00D16424">
        <w:t xml:space="preserve">našel autentický </w:t>
      </w:r>
      <w:r w:rsidR="00D16424" w:rsidRPr="00273106">
        <w:t xml:space="preserve">aristotelský výklad centrální části </w:t>
      </w:r>
      <w:r w:rsidR="00D16424">
        <w:rPr>
          <w:i/>
        </w:rPr>
        <w:t>De a</w:t>
      </w:r>
      <w:r w:rsidR="00D16424" w:rsidRPr="00273106">
        <w:rPr>
          <w:i/>
        </w:rPr>
        <w:t>nima</w:t>
      </w:r>
      <w:r w:rsidR="00D16424" w:rsidRPr="00273106">
        <w:t xml:space="preserve"> 430a21‒23</w:t>
      </w:r>
      <w:r w:rsidR="00D16424">
        <w:fldChar w:fldCharType="begin"/>
      </w:r>
      <w:r w:rsidR="00D16424">
        <w:instrText xml:space="preserve"> XE "Aristoteles:</w:instrText>
      </w:r>
      <w:r w:rsidR="00D16424" w:rsidRPr="00072BD4">
        <w:rPr>
          <w:i/>
        </w:rPr>
        <w:instrText>De anima</w:instrText>
      </w:r>
      <w:r w:rsidR="00D16424" w:rsidRPr="00072BD4">
        <w:instrText xml:space="preserve"> 430a21‒23</w:instrText>
      </w:r>
      <w:r w:rsidR="00D16424">
        <w:instrText xml:space="preserve">" </w:instrText>
      </w:r>
      <w:r w:rsidR="00D16424">
        <w:fldChar w:fldCharType="end"/>
      </w:r>
      <w:r w:rsidR="00D16424">
        <w:t xml:space="preserve">, která spojuje </w:t>
      </w:r>
      <w:r w:rsidR="00D16424" w:rsidRPr="00273106">
        <w:t xml:space="preserve">pasivní a aktivní </w:t>
      </w:r>
      <w:r w:rsidR="00D16424">
        <w:t xml:space="preserve">úkon poznání. </w:t>
      </w:r>
    </w:p>
    <w:p w14:paraId="7E162C23" w14:textId="58E2645D" w:rsidR="00D16424" w:rsidRPr="00273106" w:rsidRDefault="00D16424" w:rsidP="00D16424">
      <w:pPr>
        <w:pStyle w:val="Citace"/>
        <w:rPr>
          <w:noProof/>
          <w:sz w:val="21"/>
          <w:szCs w:val="15"/>
          <w:lang w:val="cs-CZ"/>
        </w:rPr>
      </w:pPr>
      <w:r w:rsidRPr="00273106">
        <w:rPr>
          <w:noProof/>
          <w:lang w:val="cs-CZ"/>
        </w:rPr>
        <w:t>„V představivosti je dána dvojí schopnost těla</w:t>
      </w:r>
      <w:r>
        <w:rPr>
          <w:noProof/>
          <w:lang w:val="cs-CZ"/>
        </w:rPr>
        <w:t xml:space="preserve"> (</w:t>
      </w:r>
      <w:r w:rsidRPr="006F5756">
        <w:rPr>
          <w:i/>
        </w:rPr>
        <w:t>duplex vis corporalis</w:t>
      </w:r>
      <w:r>
        <w:rPr>
          <w:noProof/>
          <w:lang w:val="cs-CZ"/>
        </w:rPr>
        <w:t>)</w:t>
      </w:r>
      <w:r w:rsidRPr="00273106">
        <w:rPr>
          <w:noProof/>
          <w:lang w:val="cs-CZ"/>
        </w:rPr>
        <w:t xml:space="preserve">: první potence přijímá podobnost od vnější věci </w:t>
      </w:r>
      <w:r>
        <w:rPr>
          <w:noProof/>
          <w:lang w:val="cs-CZ"/>
        </w:rPr>
        <w:t>(</w:t>
      </w:r>
      <w:r w:rsidRPr="006F5756">
        <w:rPr>
          <w:i/>
        </w:rPr>
        <w:t>receptiva</w:t>
      </w:r>
      <w:r w:rsidR="00D76F8B">
        <w:rPr>
          <w:noProof/>
          <w:lang w:val="cs-CZ"/>
        </w:rPr>
        <w:t xml:space="preserve">); </w:t>
      </w:r>
      <w:r w:rsidRPr="00273106">
        <w:rPr>
          <w:noProof/>
          <w:lang w:val="cs-CZ"/>
        </w:rPr>
        <w:t>druhá schopnost dává této tělesné recepci formu, v níž je udržována smyslová podobnost s vnější věcí</w:t>
      </w:r>
      <w:r>
        <w:rPr>
          <w:noProof/>
          <w:lang w:val="cs-CZ"/>
        </w:rPr>
        <w:t xml:space="preserve"> (</w:t>
      </w:r>
      <w:r w:rsidRPr="006F5756">
        <w:rPr>
          <w:i/>
        </w:rPr>
        <w:t>retentiva</w:t>
      </w:r>
      <w:r>
        <w:rPr>
          <w:noProof/>
          <w:lang w:val="cs-CZ"/>
        </w:rPr>
        <w:t>)</w:t>
      </w:r>
      <w:r w:rsidRPr="00273106">
        <w:rPr>
          <w:noProof/>
          <w:lang w:val="cs-CZ"/>
        </w:rPr>
        <w:t>. A každá z těchto dvou scho</w:t>
      </w:r>
      <w:r w:rsidR="08244060">
        <w:rPr>
          <w:noProof/>
          <w:lang w:val="cs-CZ"/>
        </w:rPr>
        <w:t xml:space="preserve">pností provádí svůj akt poznání, kterým slouží schopnosti </w:t>
      </w:r>
      <w:r w:rsidRPr="00273106">
        <w:rPr>
          <w:noProof/>
          <w:lang w:val="cs-CZ"/>
        </w:rPr>
        <w:t xml:space="preserve">imaginace. Díky tomuto rozlišení je dána imaginace jako schopnost </w:t>
      </w:r>
      <w:r w:rsidR="085F44A1">
        <w:rPr>
          <w:noProof/>
          <w:lang w:val="cs-CZ"/>
        </w:rPr>
        <w:t xml:space="preserve">intencionální </w:t>
      </w:r>
      <w:r w:rsidRPr="00273106">
        <w:rPr>
          <w:noProof/>
          <w:lang w:val="cs-CZ"/>
        </w:rPr>
        <w:t>recepce</w:t>
      </w:r>
      <w:r>
        <w:rPr>
          <w:noProof/>
          <w:lang w:val="cs-CZ"/>
        </w:rPr>
        <w:t xml:space="preserve"> (</w:t>
      </w:r>
      <w:r w:rsidRPr="005315E8">
        <w:rPr>
          <w:i/>
        </w:rPr>
        <w:t>vim re</w:t>
      </w:r>
      <w:r w:rsidRPr="005315E8">
        <w:rPr>
          <w:i/>
          <w:lang w:val="cs-CZ"/>
        </w:rPr>
        <w:t>c</w:t>
      </w:r>
      <w:r w:rsidRPr="005315E8">
        <w:rPr>
          <w:i/>
        </w:rPr>
        <w:t>e</w:t>
      </w:r>
      <w:r w:rsidRPr="005315E8">
        <w:rPr>
          <w:i/>
          <w:lang w:val="cs-CZ"/>
        </w:rPr>
        <w:t>p</w:t>
      </w:r>
      <w:r w:rsidRPr="005315E8">
        <w:rPr>
          <w:i/>
        </w:rPr>
        <w:t>tivam</w:t>
      </w:r>
      <w:r>
        <w:rPr>
          <w:noProof/>
          <w:lang w:val="cs-CZ"/>
        </w:rPr>
        <w:t>)</w:t>
      </w:r>
      <w:r w:rsidRPr="00273106">
        <w:rPr>
          <w:noProof/>
          <w:lang w:val="cs-CZ"/>
        </w:rPr>
        <w:t xml:space="preserve">, která se liší od imaginace jako schopnosti </w:t>
      </w:r>
      <w:r w:rsidR="085F44A1">
        <w:rPr>
          <w:noProof/>
          <w:lang w:val="cs-CZ"/>
        </w:rPr>
        <w:t xml:space="preserve">syntetické </w:t>
      </w:r>
      <w:r w:rsidRPr="00273106">
        <w:rPr>
          <w:noProof/>
          <w:lang w:val="cs-CZ"/>
        </w:rPr>
        <w:t>retence</w:t>
      </w:r>
      <w:r>
        <w:rPr>
          <w:noProof/>
          <w:lang w:val="cs-CZ"/>
        </w:rPr>
        <w:t xml:space="preserve"> (</w:t>
      </w:r>
      <w:r w:rsidRPr="005315E8">
        <w:rPr>
          <w:i/>
        </w:rPr>
        <w:t>vim retentivam</w:t>
      </w:r>
      <w:r>
        <w:rPr>
          <w:noProof/>
          <w:lang w:val="cs-CZ"/>
        </w:rPr>
        <w:t>)</w:t>
      </w:r>
      <w:r w:rsidRPr="00273106">
        <w:rPr>
          <w:noProof/>
          <w:lang w:val="cs-CZ"/>
        </w:rPr>
        <w:t>.“</w:t>
      </w:r>
      <w:r w:rsidRPr="00273106">
        <w:rPr>
          <w:rStyle w:val="Zkladntextdkovn0pt"/>
          <w:rFonts w:ascii="Calibri" w:eastAsia="Times" w:hAnsi="Calibri" w:cs="Times New Roman"/>
          <w:noProof/>
          <w:spacing w:val="0"/>
          <w:sz w:val="21"/>
          <w:u w:val="none"/>
          <w:lang w:val="cs-CZ"/>
        </w:rPr>
        <w:t xml:space="preserve"> </w:t>
      </w:r>
      <w:r w:rsidRPr="00273106">
        <w:rPr>
          <w:rStyle w:val="Znakapoznpodarou"/>
          <w:noProof/>
          <w:lang w:val="cs-CZ"/>
        </w:rPr>
        <w:footnoteReference w:id="94"/>
      </w:r>
    </w:p>
    <w:p w14:paraId="33A82ACF" w14:textId="7E865F30" w:rsidR="08383D68" w:rsidRDefault="00D16424" w:rsidP="00593F89">
      <w:r>
        <w:lastRenderedPageBreak/>
        <w:t>První syntéza poznání na smyslové úrovni zachycuje dvojí podobu</w:t>
      </w:r>
      <w:r w:rsidRPr="00273106">
        <w:t xml:space="preserve"> imaginace, která </w:t>
      </w:r>
      <w:r>
        <w:t>integruje dva výkony tělesně</w:t>
      </w:r>
      <w:r w:rsidRPr="00273106">
        <w:t xml:space="preserve"> </w:t>
      </w:r>
      <w:r>
        <w:t xml:space="preserve">založené schopnosti </w:t>
      </w:r>
      <w:r w:rsidRPr="00273106">
        <w:t>(</w:t>
      </w:r>
      <w:r w:rsidRPr="00273106">
        <w:rPr>
          <w:i/>
        </w:rPr>
        <w:t>in ymaginatione duplex vis corporalis</w:t>
      </w:r>
      <w:r w:rsidRPr="00273106">
        <w:t>). Receptivní složka smyslů pasivně přijímá podobu věci (</w:t>
      </w:r>
      <w:r w:rsidRPr="00273106">
        <w:rPr>
          <w:i/>
        </w:rPr>
        <w:t>receptiva similitudinis corporis extra</w:t>
      </w:r>
      <w:r w:rsidRPr="00273106">
        <w:t xml:space="preserve">). </w:t>
      </w:r>
      <w:r>
        <w:t>D</w:t>
      </w:r>
      <w:r w:rsidRPr="00273106">
        <w:t>ruhá část poznání aktivn</w:t>
      </w:r>
      <w:r>
        <w:t>ě</w:t>
      </w:r>
      <w:r w:rsidRPr="00273106">
        <w:t xml:space="preserve"> provádí syntézu vjemů do společné smyslově dané formy (</w:t>
      </w:r>
      <w:r w:rsidRPr="00273106">
        <w:rPr>
          <w:i/>
        </w:rPr>
        <w:t>formate similitudinis retentiva</w:t>
      </w:r>
      <w:r w:rsidRPr="00273106">
        <w:t>). Celková syntéza vjemu je receptivně-aktivní, protože představivost má dvě složky</w:t>
      </w:r>
      <w:r>
        <w:t xml:space="preserve"> </w:t>
      </w:r>
      <w:r w:rsidRPr="00273106">
        <w:t>(</w:t>
      </w:r>
      <w:r w:rsidRPr="00273106">
        <w:rPr>
          <w:i/>
        </w:rPr>
        <w:t>utra</w:t>
      </w:r>
      <w:r>
        <w:rPr>
          <w:i/>
        </w:rPr>
        <w:t>que istarum virium subservit ap</w:t>
      </w:r>
      <w:r w:rsidRPr="00273106">
        <w:rPr>
          <w:i/>
        </w:rPr>
        <w:t>prehensioni</w:t>
      </w:r>
      <w:r w:rsidRPr="00273106">
        <w:t>)</w:t>
      </w:r>
      <w:r w:rsidRPr="00273106">
        <w:rPr>
          <w:rStyle w:val="Zkladntextdkovn0pt"/>
          <w:rFonts w:ascii="Calibri" w:eastAsia="Times" w:hAnsi="Calibri" w:cs="Times New Roman"/>
          <w:color w:val="auto"/>
          <w:spacing w:val="0"/>
          <w:sz w:val="24"/>
          <w:u w:val="none"/>
          <w:lang w:val="cs-CZ"/>
        </w:rPr>
        <w:t>. Akt retence podržuje již syntetizované smyslové formy vzniklé v</w:t>
      </w:r>
      <w:r>
        <w:rPr>
          <w:rStyle w:val="Zkladntextdkovn0pt"/>
          <w:rFonts w:ascii="Calibri" w:eastAsia="Times" w:hAnsi="Calibri" w:cs="Times New Roman"/>
          <w:color w:val="auto"/>
          <w:spacing w:val="0"/>
          <w:sz w:val="24"/>
          <w:u w:val="none"/>
          <w:lang w:val="cs-CZ"/>
        </w:rPr>
        <w:t xml:space="preserve">e dvojím </w:t>
      </w:r>
      <w:r w:rsidRPr="00273106">
        <w:rPr>
          <w:rStyle w:val="Zkladntextdkovn0pt"/>
          <w:rFonts w:ascii="Calibri" w:eastAsia="Times" w:hAnsi="Calibri" w:cs="Times New Roman"/>
          <w:color w:val="auto"/>
          <w:spacing w:val="0"/>
          <w:sz w:val="24"/>
          <w:u w:val="none"/>
          <w:lang w:val="cs-CZ"/>
        </w:rPr>
        <w:t>aktu abstrakce</w:t>
      </w:r>
      <w:r>
        <w:rPr>
          <w:rStyle w:val="Zkladntextdkovn0pt"/>
          <w:rFonts w:ascii="Calibri" w:eastAsia="Times" w:hAnsi="Calibri" w:cs="Times New Roman"/>
          <w:color w:val="auto"/>
          <w:spacing w:val="0"/>
          <w:sz w:val="24"/>
          <w:u w:val="none"/>
          <w:lang w:val="cs-CZ"/>
        </w:rPr>
        <w:t xml:space="preserve"> a obě </w:t>
      </w:r>
      <w:r w:rsidRPr="00273106">
        <w:rPr>
          <w:rStyle w:val="Zkladntextdkovn0pt"/>
          <w:rFonts w:ascii="Calibri" w:eastAsia="Times" w:hAnsi="Calibri" w:cs="Times New Roman"/>
          <w:color w:val="auto"/>
          <w:spacing w:val="0"/>
          <w:sz w:val="24"/>
          <w:u w:val="none"/>
          <w:lang w:val="cs-CZ"/>
        </w:rPr>
        <w:t xml:space="preserve">složky </w:t>
      </w:r>
      <w:r>
        <w:rPr>
          <w:rStyle w:val="Zkladntextdkovn0pt"/>
          <w:rFonts w:ascii="Calibri" w:eastAsia="Times" w:hAnsi="Calibri" w:cs="Times New Roman"/>
          <w:color w:val="auto"/>
          <w:spacing w:val="0"/>
          <w:sz w:val="24"/>
          <w:u w:val="none"/>
          <w:lang w:val="cs-CZ"/>
        </w:rPr>
        <w:t xml:space="preserve">dohromady </w:t>
      </w:r>
      <w:r w:rsidRPr="00273106">
        <w:rPr>
          <w:rStyle w:val="Zkladntextdkovn0pt"/>
          <w:rFonts w:ascii="Calibri" w:eastAsia="Times" w:hAnsi="Calibri" w:cs="Times New Roman"/>
          <w:color w:val="auto"/>
          <w:spacing w:val="0"/>
          <w:sz w:val="24"/>
          <w:u w:val="none"/>
          <w:lang w:val="cs-CZ"/>
        </w:rPr>
        <w:t xml:space="preserve">zakládají </w:t>
      </w:r>
      <w:r>
        <w:rPr>
          <w:rStyle w:val="Zkladntextdkovn0pt"/>
          <w:rFonts w:ascii="Calibri" w:eastAsia="Times" w:hAnsi="Calibri" w:cs="Times New Roman"/>
          <w:color w:val="auto"/>
          <w:spacing w:val="0"/>
          <w:sz w:val="24"/>
          <w:u w:val="none"/>
          <w:lang w:val="cs-CZ"/>
        </w:rPr>
        <w:t xml:space="preserve">první patro poznání daného </w:t>
      </w:r>
      <w:r w:rsidRPr="00273106">
        <w:rPr>
          <w:rStyle w:val="Zkladntextdkovn0pt"/>
          <w:rFonts w:ascii="Calibri" w:eastAsia="Times" w:hAnsi="Calibri" w:cs="Times New Roman"/>
          <w:color w:val="auto"/>
          <w:spacing w:val="0"/>
          <w:sz w:val="24"/>
          <w:u w:val="none"/>
          <w:lang w:val="cs-CZ"/>
        </w:rPr>
        <w:t xml:space="preserve">smyslově. </w:t>
      </w:r>
      <w:r w:rsidR="08367779">
        <w:rPr>
          <w:rStyle w:val="Zkladntextdkovn0pt"/>
          <w:rFonts w:ascii="Calibri" w:eastAsia="Times" w:hAnsi="Calibri" w:cs="Times New Roman"/>
          <w:color w:val="auto"/>
          <w:spacing w:val="0"/>
          <w:sz w:val="24"/>
          <w:u w:val="none"/>
          <w:lang w:val="cs-CZ"/>
        </w:rPr>
        <w:t xml:space="preserve">Aristotelik </w:t>
      </w:r>
      <w:r w:rsidRPr="00273106">
        <w:rPr>
          <w:rStyle w:val="Zkladntextdkovn0pt"/>
          <w:rFonts w:ascii="Calibri" w:eastAsia="Times" w:hAnsi="Calibri" w:cs="Times New Roman"/>
          <w:color w:val="auto"/>
          <w:spacing w:val="0"/>
          <w:sz w:val="24"/>
          <w:u w:val="none"/>
          <w:lang w:val="cs-CZ"/>
        </w:rPr>
        <w:t>Blund zdůrazňuje, že pamě</w:t>
      </w:r>
      <w:r w:rsidRPr="00273106">
        <w:t>ť</w:t>
      </w:r>
      <w:r w:rsidRPr="00273106">
        <w:rPr>
          <w:rStyle w:val="Zkladntextdkovn0pt"/>
          <w:rFonts w:ascii="Calibri" w:eastAsia="Times" w:hAnsi="Calibri" w:cs="Times New Roman"/>
          <w:color w:val="auto"/>
          <w:spacing w:val="0"/>
          <w:sz w:val="24"/>
          <w:u w:val="none"/>
          <w:lang w:val="cs-CZ"/>
        </w:rPr>
        <w:t xml:space="preserve"> člověka není sama o sobě aktuální a sebereflexivní jako v augustinianismu, protože je primárně aktualizována od smyslů</w:t>
      </w:r>
      <w:r>
        <w:rPr>
          <w:rStyle w:val="Zkladntextdkovn0pt"/>
          <w:rFonts w:ascii="Calibri" w:eastAsia="Times" w:hAnsi="Calibri" w:cs="Times New Roman"/>
          <w:color w:val="auto"/>
          <w:spacing w:val="0"/>
          <w:sz w:val="24"/>
          <w:u w:val="none"/>
          <w:lang w:val="cs-CZ"/>
        </w:rPr>
        <w:t xml:space="preserve"> (</w:t>
      </w:r>
      <w:r w:rsidRPr="00F83452">
        <w:rPr>
          <w:i/>
        </w:rPr>
        <w:t>se meminisse autem meminit per ymaginationem</w:t>
      </w:r>
      <w:r>
        <w:rPr>
          <w:rStyle w:val="Zkladntextdkovn0pt"/>
          <w:rFonts w:ascii="Calibri" w:eastAsia="Times" w:hAnsi="Calibri" w:cs="Times New Roman"/>
          <w:color w:val="auto"/>
          <w:spacing w:val="0"/>
          <w:sz w:val="24"/>
          <w:u w:val="none"/>
          <w:lang w:val="cs-CZ"/>
        </w:rPr>
        <w:t>)</w:t>
      </w:r>
      <w:r w:rsidRPr="00273106">
        <w:rPr>
          <w:rStyle w:val="Zkladntextdkovn0pt"/>
          <w:rFonts w:ascii="Calibri" w:eastAsia="Times" w:hAnsi="Calibri" w:cs="Times New Roman"/>
          <w:color w:val="auto"/>
          <w:spacing w:val="0"/>
          <w:sz w:val="24"/>
          <w:u w:val="none"/>
          <w:lang w:val="cs-CZ"/>
        </w:rPr>
        <w:t>.</w:t>
      </w:r>
      <w:r w:rsidRPr="00273106">
        <w:rPr>
          <w:rStyle w:val="Znakapoznpodarou"/>
          <w:szCs w:val="15"/>
        </w:rPr>
        <w:footnoteReference w:id="95"/>
      </w:r>
      <w:r w:rsidRPr="00273106">
        <w:rPr>
          <w:rStyle w:val="Zkladntextdkovn0pt"/>
          <w:rFonts w:ascii="Calibri" w:eastAsia="Times" w:hAnsi="Calibri" w:cs="Times New Roman"/>
          <w:color w:val="auto"/>
          <w:spacing w:val="0"/>
          <w:sz w:val="24"/>
          <w:szCs w:val="20"/>
          <w:u w:val="none"/>
          <w:lang w:val="cs-CZ"/>
        </w:rPr>
        <w:t xml:space="preserve"> </w:t>
      </w:r>
      <w:r w:rsidRPr="00273106">
        <w:t>Paměť je a</w:t>
      </w:r>
      <w:r>
        <w:t xml:space="preserve">ktualizovaná v momentu, kdy si </w:t>
      </w:r>
      <w:r w:rsidRPr="00273106">
        <w:t xml:space="preserve">něco pamatuje a její výkon </w:t>
      </w:r>
      <w:r>
        <w:t xml:space="preserve">upamatování </w:t>
      </w:r>
      <w:r w:rsidRPr="00273106">
        <w:t>je dán skrze schopn</w:t>
      </w:r>
      <w:r>
        <w:t>ost smyslové imaginace</w:t>
      </w:r>
      <w:r w:rsidRPr="00273106">
        <w:t>.</w:t>
      </w:r>
      <w:r>
        <w:t xml:space="preserve"> </w:t>
      </w:r>
      <w:r w:rsidR="00593F89">
        <w:t xml:space="preserve">Hermeneutika upozorňuje na shodu analýzy aktu vidění jak u Blunda, tak u Averroese, která má zásadní charakter pro etablování pravdy jako adekvace věci, smyslů a intelektu. Obě pojetí </w:t>
      </w:r>
      <w:r w:rsidR="00593F89" w:rsidRPr="00273106">
        <w:t>staví na formální podobnosti ozářeného předmětu a viděného objektu</w:t>
      </w:r>
      <w:r w:rsidR="00593F89">
        <w:t>, kterou zprostředkovává různorodé diafanum (</w:t>
      </w:r>
      <w:r w:rsidR="08BA6ABD">
        <w:t xml:space="preserve">OBJ I, </w:t>
      </w:r>
      <w:r w:rsidR="00593F89">
        <w:t>kap. 2.4.4)</w:t>
      </w:r>
      <w:r w:rsidR="00593F89" w:rsidRPr="00273106">
        <w:t xml:space="preserve">. </w:t>
      </w:r>
      <w:r w:rsidR="00DF4192" w:rsidRPr="00DF4192">
        <w:t>Tento postup poznání označujeme jak</w:t>
      </w:r>
      <w:r w:rsidR="00DF4192">
        <w:t>o „nasvícení smyslu jsoucna zepředu“</w:t>
      </w:r>
      <w:r w:rsidR="00DF4192" w:rsidRPr="00DF4192">
        <w:t>, protože aktualizace poznání vychází ze skutečných věcí a je zprostředkována tělesnými smysly.</w:t>
      </w:r>
      <w:r w:rsidR="00DF4192">
        <w:t xml:space="preserve"> </w:t>
      </w:r>
      <w:r w:rsidR="00593F89" w:rsidRPr="00273106">
        <w:t>Podobno</w:t>
      </w:r>
      <w:r w:rsidR="08DC464C">
        <w:t xml:space="preserve">st vzniká díky syntéze obrazu ve </w:t>
      </w:r>
      <w:r w:rsidR="00895E9E">
        <w:t xml:space="preserve">výkonu vidění. </w:t>
      </w:r>
      <w:r w:rsidR="00593F89">
        <w:t>Averroes</w:t>
      </w:r>
      <w:r w:rsidR="00593F89" w:rsidRPr="00273106">
        <w:t xml:space="preserve"> odmítl </w:t>
      </w:r>
      <w:r w:rsidR="00593F89">
        <w:t>neoplatonsk</w:t>
      </w:r>
      <w:r w:rsidR="00895E9E">
        <w:t>ý model poznání založený na metafoře slunce a světla, který Avicenna aplikoval na intelekt-slunce</w:t>
      </w:r>
      <w:r w:rsidR="00593F89">
        <w:fldChar w:fldCharType="begin"/>
      </w:r>
      <w:r w:rsidR="00593F89">
        <w:instrText xml:space="preserve"> XE "</w:instrText>
      </w:r>
      <w:r w:rsidR="00593F89" w:rsidRPr="005161ED">
        <w:instrText>zjevování:nasvícení zezadu</w:instrText>
      </w:r>
      <w:r w:rsidR="00593F89">
        <w:instrText xml:space="preserve">" </w:instrText>
      </w:r>
      <w:r w:rsidR="00593F89">
        <w:fldChar w:fldCharType="end"/>
      </w:r>
      <w:r w:rsidR="00593F89" w:rsidRPr="00273106">
        <w:t>. Poznaná věc aktivuje poznávací potence do aktuality skrze smysly</w:t>
      </w:r>
      <w:r w:rsidR="00895E9E">
        <w:t>. I</w:t>
      </w:r>
      <w:r w:rsidR="00593F89" w:rsidRPr="00273106">
        <w:t xml:space="preserve">ndividuální schopnost </w:t>
      </w:r>
      <w:r w:rsidR="00593F89">
        <w:t xml:space="preserve">zvířete a člověka </w:t>
      </w:r>
      <w:r w:rsidR="00593F89" w:rsidRPr="00273106">
        <w:t xml:space="preserve">daná mimo smysly </w:t>
      </w:r>
      <w:r w:rsidR="00895E9E">
        <w:t xml:space="preserve">pak </w:t>
      </w:r>
      <w:r w:rsidR="00593F89" w:rsidRPr="00273106">
        <w:t xml:space="preserve">musí syntetizovat intencionální předmět. Poznaná forma v mysli </w:t>
      </w:r>
      <w:r w:rsidR="086D4308">
        <w:t xml:space="preserve">má duševní charakter u zvířete i u člověka, proto </w:t>
      </w:r>
      <w:r w:rsidR="00593F89" w:rsidRPr="00273106">
        <w:t xml:space="preserve">není identická s formou externí věci. </w:t>
      </w:r>
      <w:r w:rsidR="08DD73BA">
        <w:t>Fenomenologie vnímání není moderní a postm</w:t>
      </w:r>
      <w:r w:rsidR="08473801">
        <w:t xml:space="preserve">oderní spekulace. </w:t>
      </w:r>
      <w:r w:rsidR="08DD73BA">
        <w:t xml:space="preserve">Sicilská škola </w:t>
      </w:r>
      <w:r w:rsidR="080A45E6">
        <w:t xml:space="preserve">vykládající spisy Komentátora </w:t>
      </w:r>
      <w:r w:rsidR="08DD73BA">
        <w:t xml:space="preserve">proto společně s Aristotelem pozorovala </w:t>
      </w:r>
      <w:r w:rsidR="080606CC">
        <w:t xml:space="preserve">svět přírody, </w:t>
      </w:r>
      <w:r w:rsidR="08DD73BA">
        <w:t>chování zvířat</w:t>
      </w:r>
      <w:r w:rsidR="080606CC">
        <w:t xml:space="preserve"> a poznání člověka</w:t>
      </w:r>
      <w:r w:rsidR="08DD73BA">
        <w:t xml:space="preserve">, aby přesně popsala </w:t>
      </w:r>
      <w:r w:rsidR="084B1ABB">
        <w:t>různorod</w:t>
      </w:r>
      <w:r w:rsidR="08DD73BA">
        <w:t xml:space="preserve">é procesy </w:t>
      </w:r>
      <w:r w:rsidR="00593F89" w:rsidRPr="00273106">
        <w:t>m</w:t>
      </w:r>
      <w:r w:rsidR="084B1ABB">
        <w:t>ediace umožňující adekvaci poznání a reality</w:t>
      </w:r>
      <w:r w:rsidR="00593F89" w:rsidRPr="00273106">
        <w:t xml:space="preserve">. Diafanum nese světlo, ale zviditelňuje individuální věci pro individuální zvířecí nebo lidský </w:t>
      </w:r>
      <w:r w:rsidR="00593F89">
        <w:t>akt vidění</w:t>
      </w:r>
      <w:r w:rsidR="08AE3B1C">
        <w:t xml:space="preserve">. Proto v duši </w:t>
      </w:r>
      <w:r w:rsidR="00593F89">
        <w:t xml:space="preserve">musí </w:t>
      </w:r>
      <w:r w:rsidR="08AE3B1C">
        <w:t xml:space="preserve">jiné diafanum </w:t>
      </w:r>
      <w:r w:rsidR="00593F89">
        <w:t>zprostředkovat poznání této reálné formy</w:t>
      </w:r>
      <w:r w:rsidR="00593F89" w:rsidRPr="00273106">
        <w:t xml:space="preserve">. Tuto individuaci </w:t>
      </w:r>
      <w:r w:rsidR="00593F89">
        <w:t xml:space="preserve">nasvícené a </w:t>
      </w:r>
      <w:r w:rsidR="00593F89">
        <w:lastRenderedPageBreak/>
        <w:t xml:space="preserve">poznané věci </w:t>
      </w:r>
      <w:r w:rsidR="00593F89" w:rsidRPr="00273106">
        <w:t xml:space="preserve">nemůže dělat oddělený činný intelekt-slunce, protože takto aktivovaný intelekt by byl totožný v </w:t>
      </w:r>
      <w:r w:rsidR="00593F89">
        <w:t xml:space="preserve">všech </w:t>
      </w:r>
      <w:r w:rsidR="00593F89" w:rsidRPr="00273106">
        <w:t xml:space="preserve">lidech. Renesance aristotelismu </w:t>
      </w:r>
      <w:r w:rsidR="00593F89">
        <w:t xml:space="preserve">v Blundově škole </w:t>
      </w:r>
      <w:r w:rsidR="00593F89" w:rsidRPr="00273106">
        <w:t xml:space="preserve">připravila scholastiku pro recepci </w:t>
      </w:r>
      <w:r w:rsidR="00593F89">
        <w:t>Averroes</w:t>
      </w:r>
      <w:r w:rsidR="00593F89" w:rsidRPr="00273106">
        <w:t xml:space="preserve">ova výkladu </w:t>
      </w:r>
      <w:r w:rsidR="00593F89">
        <w:rPr>
          <w:i/>
        </w:rPr>
        <w:t xml:space="preserve">De anima </w:t>
      </w:r>
      <w:r w:rsidR="00593F89" w:rsidRPr="00C15C88">
        <w:t>ve škole prvního averroismu.</w:t>
      </w:r>
    </w:p>
    <w:p w14:paraId="557F16D9" w14:textId="7EF1755E" w:rsidR="007E1E01" w:rsidRPr="0871463F" w:rsidRDefault="004A4AC7" w:rsidP="08E11B26">
      <w:pPr>
        <w:ind w:firstLine="397"/>
        <w:rPr>
          <w:rStyle w:val="Zkladntextdkovn0pt"/>
          <w:rFonts w:ascii="Calibri" w:eastAsia="Times" w:hAnsi="Calibri" w:cs="Times New Roman"/>
          <w:color w:val="auto"/>
          <w:spacing w:val="0"/>
          <w:sz w:val="24"/>
          <w:szCs w:val="20"/>
          <w:u w:val="none"/>
          <w:lang w:val="cs-CZ"/>
        </w:rPr>
      </w:pPr>
      <w:r w:rsidRPr="00273106">
        <w:t xml:space="preserve">Spor mezi Blundem a </w:t>
      </w:r>
      <w:r w:rsidRPr="00273106">
        <w:rPr>
          <w:i/>
        </w:rPr>
        <w:t>Nominales</w:t>
      </w:r>
      <w:r w:rsidRPr="00273106">
        <w:t xml:space="preserve"> ukazuje na dějin</w:t>
      </w:r>
      <w:r>
        <w:t>nou změnu v pojetí pravdy</w:t>
      </w:r>
      <w:r w:rsidR="004467CE">
        <w:t xml:space="preserve">. </w:t>
      </w:r>
      <w:r w:rsidR="08C84C8A" w:rsidRPr="00273106">
        <w:t xml:space="preserve">Předešlé školy aristoteliků typu Abelarda zkoumaly proti porretánům především statut predikace a signifikace daný v rámci tehdejšího </w:t>
      </w:r>
      <w:r w:rsidR="08C84C8A" w:rsidRPr="0014408D">
        <w:rPr>
          <w:i/>
        </w:rPr>
        <w:t>Organonu</w:t>
      </w:r>
      <w:r w:rsidR="08D01791">
        <w:t xml:space="preserve"> (kap. 1</w:t>
      </w:r>
      <w:r w:rsidR="08C84C8A">
        <w:t>.3)</w:t>
      </w:r>
      <w:r w:rsidR="08C84C8A" w:rsidRPr="00273106">
        <w:t xml:space="preserve">. </w:t>
      </w:r>
      <w:r w:rsidR="00BA7174" w:rsidRPr="00273106">
        <w:t>Hermeneutika ve sporu</w:t>
      </w:r>
      <w:r w:rsidR="000C2DAD">
        <w:t xml:space="preserve"> Anselma a Gilberta ukázala, že porretáni </w:t>
      </w:r>
      <w:r w:rsidR="00BA7174" w:rsidRPr="00273106">
        <w:t xml:space="preserve">nepotřebovali skutečnou adekvaci intelektu a věci pomocí </w:t>
      </w:r>
      <w:r w:rsidR="004B4D52" w:rsidRPr="004B4D52">
        <w:t>species</w:t>
      </w:r>
      <w:r w:rsidR="00BA7174" w:rsidRPr="00273106">
        <w:rPr>
          <w:i/>
        </w:rPr>
        <w:t xml:space="preserve"> intelligibilis</w:t>
      </w:r>
      <w:r w:rsidR="00BA7174" w:rsidRPr="00273106">
        <w:t xml:space="preserve">, protože </w:t>
      </w:r>
      <w:r w:rsidR="08B23A92">
        <w:t>si vystačili s kvazi-substanční</w:t>
      </w:r>
      <w:r w:rsidR="00BA7174" w:rsidRPr="00273106">
        <w:t xml:space="preserve"> </w:t>
      </w:r>
      <w:r w:rsidR="006A04C6" w:rsidRPr="006A04C6">
        <w:t>species</w:t>
      </w:r>
      <w:r w:rsidR="08B23A92">
        <w:t xml:space="preserve"> danou</w:t>
      </w:r>
      <w:r w:rsidR="00BA7174" w:rsidRPr="00273106">
        <w:t xml:space="preserve"> kategoriálně-ontologicky</w:t>
      </w:r>
      <w:r w:rsidR="08D01791">
        <w:t xml:space="preserve"> (kap. 1</w:t>
      </w:r>
      <w:r w:rsidR="00BA7174">
        <w:t>.4)</w:t>
      </w:r>
      <w:r w:rsidR="00BA7174" w:rsidRPr="00273106">
        <w:t xml:space="preserve">. </w:t>
      </w:r>
      <w:r w:rsidR="00A025C0" w:rsidRPr="00273106">
        <w:t xml:space="preserve">Nominalisté a avicennisté nemají skutečné </w:t>
      </w:r>
      <w:r w:rsidR="00A025C0" w:rsidRPr="00273106">
        <w:rPr>
          <w:i/>
        </w:rPr>
        <w:t>ad</w:t>
      </w:r>
      <w:r w:rsidR="002E3B62">
        <w:rPr>
          <w:i/>
        </w:rPr>
        <w:t>a</w:t>
      </w:r>
      <w:r w:rsidR="00A025C0" w:rsidRPr="00273106">
        <w:rPr>
          <w:i/>
        </w:rPr>
        <w:t>equatio</w:t>
      </w:r>
      <w:r w:rsidR="00C161A5">
        <w:rPr>
          <w:i/>
        </w:rPr>
        <w:fldChar w:fldCharType="begin"/>
      </w:r>
      <w:r w:rsidR="00C161A5">
        <w:instrText xml:space="preserve"> XE "</w:instrText>
      </w:r>
      <w:r w:rsidR="002E3B62">
        <w:rPr>
          <w:i/>
        </w:rPr>
        <w:instrText>adaequatio</w:instrText>
      </w:r>
      <w:r w:rsidR="00C161A5" w:rsidRPr="003C0A29">
        <w:instrText>:</w:instrText>
      </w:r>
      <w:r w:rsidR="003C0A29" w:rsidRPr="003C0A29">
        <w:instrText>porretáni</w:instrText>
      </w:r>
      <w:r w:rsidR="00C161A5">
        <w:instrText xml:space="preserve">" </w:instrText>
      </w:r>
      <w:r w:rsidR="00C161A5">
        <w:rPr>
          <w:i/>
        </w:rPr>
        <w:fldChar w:fldCharType="end"/>
      </w:r>
      <w:r w:rsidR="00A025C0" w:rsidRPr="00273106">
        <w:t xml:space="preserve"> věci, smyslů a intelektu. Ve škole </w:t>
      </w:r>
      <w:r w:rsidR="00A025C0" w:rsidRPr="00273106">
        <w:rPr>
          <w:i/>
        </w:rPr>
        <w:t>Nominales</w:t>
      </w:r>
      <w:r w:rsidR="00A025C0" w:rsidRPr="00273106">
        <w:t xml:space="preserve"> mělo </w:t>
      </w:r>
      <w:r w:rsidR="006A04C6" w:rsidRPr="006A04C6">
        <w:t>species</w:t>
      </w:r>
      <w:r w:rsidR="00A025C0" w:rsidRPr="00273106">
        <w:t xml:space="preserve"> </w:t>
      </w:r>
      <w:r w:rsidR="00BF0776">
        <w:t xml:space="preserve">také </w:t>
      </w:r>
      <w:r w:rsidR="00980325">
        <w:t xml:space="preserve">efektivně-kauzální </w:t>
      </w:r>
      <w:r w:rsidR="00A025C0" w:rsidRPr="00273106">
        <w:t>funkci</w:t>
      </w:r>
      <w:r w:rsidR="00BF0776">
        <w:t xml:space="preserve"> první substance</w:t>
      </w:r>
      <w:r w:rsidR="00A025C0" w:rsidRPr="00273106">
        <w:t xml:space="preserve">, </w:t>
      </w:r>
      <w:r w:rsidR="00C46FB7">
        <w:t xml:space="preserve">nikoliv </w:t>
      </w:r>
      <w:r w:rsidR="00980325">
        <w:t xml:space="preserve">čistě </w:t>
      </w:r>
      <w:r w:rsidR="00C46FB7">
        <w:t>formální</w:t>
      </w:r>
      <w:r w:rsidR="00BF0776">
        <w:t xml:space="preserve"> funkci univerzálního konceptu</w:t>
      </w:r>
      <w:r w:rsidR="00C46FB7">
        <w:t xml:space="preserve">. </w:t>
      </w:r>
      <w:r w:rsidR="00EA409E">
        <w:t xml:space="preserve">Věčná esence </w:t>
      </w:r>
      <w:r w:rsidR="00C52672">
        <w:t xml:space="preserve">jsoucen </w:t>
      </w:r>
      <w:r w:rsidR="00B722BE">
        <w:t>třetího druhu u</w:t>
      </w:r>
      <w:r w:rsidR="00A025C0" w:rsidRPr="00273106">
        <w:t>nivočn</w:t>
      </w:r>
      <w:r w:rsidR="004467CE">
        <w:t>ě spojuje</w:t>
      </w:r>
      <w:r w:rsidR="00A025C0" w:rsidRPr="00273106">
        <w:t xml:space="preserve"> </w:t>
      </w:r>
      <w:r w:rsidR="00C52672">
        <w:t xml:space="preserve">poznanou </w:t>
      </w:r>
      <w:r w:rsidR="00C46FB7">
        <w:t>formu danou v reálné věci s</w:t>
      </w:r>
      <w:r w:rsidR="00C52672">
        <w:t xml:space="preserve"> věčnou </w:t>
      </w:r>
      <w:r w:rsidR="00A025C0" w:rsidRPr="00273106">
        <w:t>form</w:t>
      </w:r>
      <w:r w:rsidR="00C46FB7">
        <w:t>o</w:t>
      </w:r>
      <w:r w:rsidR="00A025C0" w:rsidRPr="00273106">
        <w:t xml:space="preserve">u </w:t>
      </w:r>
      <w:r w:rsidR="00C52672">
        <w:t xml:space="preserve">danou do </w:t>
      </w:r>
      <w:r w:rsidR="00C46FB7">
        <w:t xml:space="preserve">osvícené </w:t>
      </w:r>
      <w:r w:rsidR="00A025C0" w:rsidRPr="00273106">
        <w:t xml:space="preserve">mysli. </w:t>
      </w:r>
      <w:r w:rsidR="004467CE">
        <w:t>Impozice významu jde</w:t>
      </w:r>
      <w:r w:rsidR="00206A21">
        <w:t xml:space="preserve"> od věčné formy </w:t>
      </w:r>
      <w:r w:rsidR="00EA409E">
        <w:t>dané v kosmickém inte</w:t>
      </w:r>
      <w:r w:rsidR="08B23A92">
        <w:t>le</w:t>
      </w:r>
      <w:r w:rsidR="00EA409E">
        <w:t>ktu a v boží mysli. A v</w:t>
      </w:r>
      <w:r w:rsidR="00206A21">
        <w:t>ýsledná supozice univerz</w:t>
      </w:r>
      <w:r w:rsidR="004467CE">
        <w:t>álního poznatku do sebe zahrnuje</w:t>
      </w:r>
      <w:r w:rsidR="00206A21">
        <w:t xml:space="preserve"> </w:t>
      </w:r>
      <w:r w:rsidR="00024D5A">
        <w:t xml:space="preserve">i </w:t>
      </w:r>
      <w:r w:rsidR="00206A21">
        <w:t>existenci reálné věci dané ve formě jsoucna třetího druhu (</w:t>
      </w:r>
      <w:r w:rsidR="00206A21" w:rsidRPr="00206A21">
        <w:rPr>
          <w:i/>
        </w:rPr>
        <w:t>individuum</w:t>
      </w:r>
      <w:r w:rsidR="003C0A29">
        <w:rPr>
          <w:i/>
        </w:rPr>
        <w:fldChar w:fldCharType="begin"/>
      </w:r>
      <w:r w:rsidR="003C0A29">
        <w:instrText xml:space="preserve"> XE "substance:</w:instrText>
      </w:r>
      <w:r w:rsidR="003C0A29" w:rsidRPr="003C0A29">
        <w:instrText>individuum</w:instrText>
      </w:r>
      <w:r w:rsidR="003C0A29">
        <w:instrText xml:space="preserve">" </w:instrText>
      </w:r>
      <w:r w:rsidR="003C0A29">
        <w:rPr>
          <w:i/>
        </w:rPr>
        <w:fldChar w:fldCharType="end"/>
      </w:r>
      <w:r w:rsidR="00206A21">
        <w:t xml:space="preserve">). </w:t>
      </w:r>
      <w:r w:rsidR="00CB3E4F">
        <w:t>Abélard</w:t>
      </w:r>
      <w:r w:rsidR="004467CE">
        <w:t xml:space="preserve"> </w:t>
      </w:r>
      <w:r w:rsidR="08B23A92">
        <w:t xml:space="preserve">a klasické školy </w:t>
      </w:r>
      <w:r w:rsidR="08B23A92" w:rsidRPr="08B23A92">
        <w:rPr>
          <w:i/>
        </w:rPr>
        <w:t>logica Vetus</w:t>
      </w:r>
      <w:r w:rsidR="08000411">
        <w:rPr>
          <w:i/>
        </w:rPr>
        <w:fldChar w:fldCharType="begin"/>
      </w:r>
      <w:r w:rsidR="08000411">
        <w:instrText xml:space="preserve"> XE "</w:instrText>
      </w:r>
      <w:r w:rsidR="08000411" w:rsidRPr="007C256F">
        <w:rPr>
          <w:i/>
        </w:rPr>
        <w:instrText>logica Vetus</w:instrText>
      </w:r>
      <w:r w:rsidR="08000411">
        <w:instrText xml:space="preserve">" </w:instrText>
      </w:r>
      <w:r w:rsidR="08000411">
        <w:rPr>
          <w:i/>
        </w:rPr>
        <w:fldChar w:fldCharType="end"/>
      </w:r>
      <w:r w:rsidR="08B23A92">
        <w:t xml:space="preserve"> přesně rozlišily </w:t>
      </w:r>
      <w:r w:rsidR="00EA409E">
        <w:t xml:space="preserve">supoziční vztah </w:t>
      </w:r>
      <w:r w:rsidR="08B23A92">
        <w:t xml:space="preserve">v mysli a </w:t>
      </w:r>
      <w:r w:rsidR="00EA409E">
        <w:t xml:space="preserve">impozici </w:t>
      </w:r>
      <w:r w:rsidR="08B23A92">
        <w:t xml:space="preserve">významu </w:t>
      </w:r>
      <w:r w:rsidR="00EA409E">
        <w:t xml:space="preserve">od </w:t>
      </w:r>
      <w:r w:rsidR="08EF039E">
        <w:t xml:space="preserve">hyparchické </w:t>
      </w:r>
      <w:r w:rsidR="00EA409E">
        <w:t>první substance</w:t>
      </w:r>
      <w:r w:rsidR="08C61ADC">
        <w:t xml:space="preserve">, zatímco porretánské školy logických současníků obojí smísily nekriticky dohromady v nové formě </w:t>
      </w:r>
      <w:r w:rsidR="08C61ADC" w:rsidRPr="08C61ADC">
        <w:rPr>
          <w:i/>
        </w:rPr>
        <w:t>logica Modernorum</w:t>
      </w:r>
      <w:r w:rsidR="08C61ADC">
        <w:t xml:space="preserve">. </w:t>
      </w:r>
      <w:r w:rsidR="0871463F" w:rsidRPr="00273106">
        <w:t xml:space="preserve">Kritický aristotelik </w:t>
      </w:r>
      <w:r w:rsidR="0871463F">
        <w:t xml:space="preserve">Blund </w:t>
      </w:r>
      <w:r w:rsidR="0871463F" w:rsidRPr="00273106">
        <w:t>pochopil, že nasvícení intelektu musí jít od reálné věci díky specifickému průběhu poznání</w:t>
      </w:r>
      <w:r w:rsidR="08C731D9">
        <w:t xml:space="preserve">. </w:t>
      </w:r>
      <w:r w:rsidR="00CB3E4F">
        <w:t>Abélard</w:t>
      </w:r>
      <w:r w:rsidR="08C731D9">
        <w:t xml:space="preserve"> proti porretánským modernistům trval především na </w:t>
      </w:r>
      <w:r w:rsidR="0871463F">
        <w:t xml:space="preserve">metafyzicky </w:t>
      </w:r>
      <w:r w:rsidR="0871463F" w:rsidRPr="00273106">
        <w:t xml:space="preserve">správné </w:t>
      </w:r>
      <w:r w:rsidR="0871463F">
        <w:t xml:space="preserve">impozici </w:t>
      </w:r>
      <w:r w:rsidR="0871463F" w:rsidRPr="00273106">
        <w:t xml:space="preserve">a </w:t>
      </w:r>
      <w:r w:rsidR="08C731D9">
        <w:t>logické supozici</w:t>
      </w:r>
      <w:r w:rsidR="0871463F" w:rsidRPr="00273106">
        <w:t xml:space="preserve">. </w:t>
      </w:r>
      <w:r w:rsidR="0871463F">
        <w:t xml:space="preserve">Predikace významu v </w:t>
      </w:r>
      <w:r w:rsidR="0871463F" w:rsidRPr="00F23903">
        <w:rPr>
          <w:i/>
        </w:rPr>
        <w:t>De interpretatione</w:t>
      </w:r>
      <w:r w:rsidR="0871463F">
        <w:t xml:space="preserve"> dostala v Blundově škole zdůvodnění skrze rozbor </w:t>
      </w:r>
      <w:r w:rsidR="0871463F" w:rsidRPr="00F23903">
        <w:rPr>
          <w:i/>
        </w:rPr>
        <w:t>De anima</w:t>
      </w:r>
      <w:r w:rsidR="0871463F">
        <w:t>, což byl zása</w:t>
      </w:r>
      <w:r w:rsidR="08C731D9">
        <w:t>dní požadavek Aristotela (kap. 1</w:t>
      </w:r>
      <w:r w:rsidR="0871463F">
        <w:t>.1). Aktualita jde od hylemorfické</w:t>
      </w:r>
      <w:r w:rsidR="0871463F" w:rsidRPr="00273106">
        <w:t xml:space="preserve"> form</w:t>
      </w:r>
      <w:r w:rsidR="0871463F">
        <w:t>y</w:t>
      </w:r>
      <w:r w:rsidR="0871463F" w:rsidRPr="00273106">
        <w:t xml:space="preserve"> v</w:t>
      </w:r>
      <w:r w:rsidR="0871463F">
        <w:t xml:space="preserve"> reálu, jejíž podobnost vzniká jako poznaná forma ve formálním </w:t>
      </w:r>
      <w:r w:rsidR="0871463F" w:rsidRPr="00273106">
        <w:t>intelektu</w:t>
      </w:r>
      <w:r w:rsidR="0871463F">
        <w:t>. V tomto aktu intelektu daném jako darovaný intelekt (</w:t>
      </w:r>
      <w:r w:rsidR="0871463F" w:rsidRPr="00C54C04">
        <w:rPr>
          <w:i/>
        </w:rPr>
        <w:t>intellectus adeptus</w:t>
      </w:r>
      <w:r w:rsidR="0871463F">
        <w:t xml:space="preserve">) dostane donace podobnosti od věci definitivní poznanou formu </w:t>
      </w:r>
      <w:r w:rsidR="0871463F" w:rsidRPr="00273106">
        <w:t xml:space="preserve"> (</w:t>
      </w:r>
      <w:r w:rsidR="0871463F" w:rsidRPr="00273106">
        <w:rPr>
          <w:i/>
        </w:rPr>
        <w:t>ad similitud</w:t>
      </w:r>
      <w:r w:rsidR="0871463F">
        <w:rPr>
          <w:i/>
        </w:rPr>
        <w:t>inem et proportionem form</w:t>
      </w:r>
      <w:r w:rsidR="0871463F" w:rsidRPr="00273106">
        <w:rPr>
          <w:i/>
        </w:rPr>
        <w:t>e</w:t>
      </w:r>
      <w:r w:rsidR="0871463F" w:rsidRPr="00C54C04">
        <w:t>; ibid, p. 93.11</w:t>
      </w:r>
      <w:r w:rsidR="082846D5">
        <w:fldChar w:fldCharType="begin"/>
      </w:r>
      <w:r w:rsidR="082846D5">
        <w:instrText xml:space="preserve"> XE "Blund:</w:instrText>
      </w:r>
      <w:r w:rsidR="082846D5" w:rsidRPr="007B4D8C">
        <w:rPr>
          <w:i/>
        </w:rPr>
        <w:instrText>Tractatus de anima</w:instrText>
      </w:r>
      <w:r w:rsidR="082846D5">
        <w:rPr>
          <w:i/>
        </w:rPr>
        <w:instrText xml:space="preserve"> </w:instrText>
      </w:r>
      <w:r w:rsidR="082846D5">
        <w:instrText>9</w:instrText>
      </w:r>
      <w:r w:rsidR="082846D5" w:rsidRPr="00FC16BB">
        <w:instrText>3.</w:instrText>
      </w:r>
      <w:r w:rsidR="082846D5">
        <w:instrText xml:space="preserve">11" </w:instrText>
      </w:r>
      <w:r w:rsidR="082846D5">
        <w:fldChar w:fldCharType="end"/>
      </w:r>
      <w:r w:rsidR="0871463F" w:rsidRPr="00273106">
        <w:t xml:space="preserve">). </w:t>
      </w:r>
      <w:r w:rsidR="0871463F">
        <w:t xml:space="preserve">Schéma staví na nasvícení smyslu jsoucna zepředu a pojetí </w:t>
      </w:r>
      <w:r w:rsidR="0871463F" w:rsidRPr="00C54C04">
        <w:rPr>
          <w:i/>
        </w:rPr>
        <w:t>intellectus adeptus</w:t>
      </w:r>
      <w:r w:rsidR="0871463F">
        <w:t xml:space="preserve"> nemá nic společného s Avicennovými formami sebereflexe, které pak převzal postmoderní Descartes. </w:t>
      </w:r>
      <w:r w:rsidR="0881020D">
        <w:t>N</w:t>
      </w:r>
      <w:r w:rsidR="0881020D">
        <w:rPr>
          <w:color w:val="000000"/>
        </w:rPr>
        <w:t xml:space="preserve">ové pojetí formálního intelektu mělo zásadní vliv na metafyzickou podobu pravdy dané jako adekvace intelektu a věci. </w:t>
      </w:r>
      <w:r w:rsidR="00A512D8" w:rsidRPr="00273106">
        <w:t>Blund r</w:t>
      </w:r>
      <w:r w:rsidR="00D43101" w:rsidRPr="00273106">
        <w:t xml:space="preserve">ozšířil </w:t>
      </w:r>
      <w:r w:rsidR="00692A62">
        <w:t xml:space="preserve">Abelardovo </w:t>
      </w:r>
      <w:r w:rsidR="00D43101" w:rsidRPr="00273106">
        <w:t xml:space="preserve">pojetí </w:t>
      </w:r>
      <w:r w:rsidR="007B70DB">
        <w:t xml:space="preserve">pravdivě predikace </w:t>
      </w:r>
      <w:r w:rsidR="00D43101" w:rsidRPr="00273106">
        <w:t>tím, že p</w:t>
      </w:r>
      <w:r w:rsidR="00B33A3D" w:rsidRPr="00273106">
        <w:t xml:space="preserve">roces donace čili nasvícení smyslu jsoucna </w:t>
      </w:r>
      <w:r w:rsidR="00D43101" w:rsidRPr="00273106">
        <w:t xml:space="preserve">rozšířil o nové </w:t>
      </w:r>
      <w:r w:rsidR="00D43101" w:rsidRPr="00273106">
        <w:lastRenderedPageBreak/>
        <w:t xml:space="preserve">schéma </w:t>
      </w:r>
      <w:r w:rsidR="00F23903">
        <w:t xml:space="preserve">poznání </w:t>
      </w:r>
      <w:r w:rsidR="00D43101" w:rsidRPr="00273106">
        <w:t xml:space="preserve">podle </w:t>
      </w:r>
      <w:r w:rsidR="00BA3FB8">
        <w:t xml:space="preserve">aristotelského výkladu </w:t>
      </w:r>
      <w:r w:rsidR="00B713C5">
        <w:rPr>
          <w:i/>
        </w:rPr>
        <w:t>De anima</w:t>
      </w:r>
      <w:r w:rsidR="00B33A3D" w:rsidRPr="00273106">
        <w:t xml:space="preserve">. </w:t>
      </w:r>
      <w:r w:rsidR="00FE455D" w:rsidRPr="00273106">
        <w:t>Poznání postupuje od aktuální věci k potenciálnímu intelektu</w:t>
      </w:r>
      <w:r w:rsidR="00FE455D">
        <w:t>. Pak p</w:t>
      </w:r>
      <w:r w:rsidR="00FE455D" w:rsidRPr="00273106">
        <w:t>latí</w:t>
      </w:r>
      <w:r w:rsidR="00FE455D">
        <w:t xml:space="preserve">, že </w:t>
      </w:r>
      <w:r w:rsidR="00FE455D" w:rsidRPr="00273106">
        <w:t>forma reálné věci není totéž, jako její formální aspekt v mysli. Porovnání obou forem vytváří epochálně nové pojetí adekvace</w:t>
      </w:r>
      <w:r w:rsidR="00C54C04">
        <w:t xml:space="preserve">. </w:t>
      </w:r>
      <w:r w:rsidR="00D46CDD" w:rsidRPr="00273106">
        <w:t xml:space="preserve">Podobnost věci a intelektu zaručuje fakt, že na úrovni </w:t>
      </w:r>
      <w:r w:rsidR="00D46CDD" w:rsidRPr="00273106">
        <w:rPr>
          <w:i/>
        </w:rPr>
        <w:t>sensus communis</w:t>
      </w:r>
      <w:r w:rsidR="00933505">
        <w:rPr>
          <w:i/>
        </w:rPr>
        <w:fldChar w:fldCharType="begin"/>
      </w:r>
      <w:r w:rsidR="00933505">
        <w:instrText xml:space="preserve"> XE "</w:instrText>
      </w:r>
      <w:r w:rsidR="00933505" w:rsidRPr="00F24A59">
        <w:rPr>
          <w:i/>
        </w:rPr>
        <w:instrText>sensus communis</w:instrText>
      </w:r>
      <w:r w:rsidR="00933505">
        <w:instrText xml:space="preserve">" </w:instrText>
      </w:r>
      <w:r w:rsidR="00933505">
        <w:rPr>
          <w:i/>
        </w:rPr>
        <w:fldChar w:fldCharType="end"/>
      </w:r>
      <w:r w:rsidR="00D46CDD" w:rsidRPr="00273106">
        <w:t xml:space="preserve"> běží </w:t>
      </w:r>
      <w:r w:rsidR="00515F2A">
        <w:t xml:space="preserve">intencionální </w:t>
      </w:r>
      <w:r w:rsidR="00D46CDD" w:rsidRPr="00273106">
        <w:t xml:space="preserve">proces recepce a formace vztažený nikoliv k obecnině, ale k </w:t>
      </w:r>
      <w:r w:rsidR="00163678">
        <w:t xml:space="preserve">hylemorfické </w:t>
      </w:r>
      <w:r w:rsidR="00D46CDD" w:rsidRPr="00273106">
        <w:t xml:space="preserve">jednotlivině. </w:t>
      </w:r>
      <w:r w:rsidR="00BB1C8E">
        <w:t xml:space="preserve">Blund na rozdíl od avicennistů </w:t>
      </w:r>
      <w:r w:rsidR="00BB1C8E" w:rsidRPr="00163678">
        <w:t>sl</w:t>
      </w:r>
      <w:r w:rsidR="00BB1C8E">
        <w:t xml:space="preserve">eduje základní linii výkladu </w:t>
      </w:r>
      <w:r w:rsidR="00BB1C8E" w:rsidRPr="00163678">
        <w:rPr>
          <w:i/>
        </w:rPr>
        <w:t>De anima</w:t>
      </w:r>
      <w:r w:rsidR="00BB1C8E">
        <w:t>, v níž je schopnost poznání (smyslového i intelektuálního) primárně rozdělena na pasivně-receptivní a aktivně-syntetizující složku</w:t>
      </w:r>
      <w:r w:rsidR="00BB1C8E" w:rsidRPr="00273106">
        <w:t>.</w:t>
      </w:r>
      <w:r w:rsidR="08D2513C">
        <w:t xml:space="preserve"> Toto dvojí pojetí duševních schopností n</w:t>
      </w:r>
      <w:r w:rsidR="00D16424">
        <w:t xml:space="preserve">a úrovni smyslového </w:t>
      </w:r>
      <w:r w:rsidR="08D2513C">
        <w:t xml:space="preserve">a intelektuálního poznání </w:t>
      </w:r>
      <w:r w:rsidR="00D16424">
        <w:t xml:space="preserve">vytváří jednotu osoby. </w:t>
      </w:r>
      <w:r w:rsidR="083751EF">
        <w:t xml:space="preserve">Gradualita poznání podle Aristotela bere aktualitu od reálné věci až k intelektu, což měli avicennisté přesně opačně. </w:t>
      </w:r>
      <w:r w:rsidR="08C557CC">
        <w:t xml:space="preserve">Podle Komentátora začal Avicenna metafyziku </w:t>
      </w:r>
      <w:r w:rsidR="08246596">
        <w:t xml:space="preserve">od poznávajícího subjektu a ne od první substance </w:t>
      </w:r>
      <w:r w:rsidR="08C557CC">
        <w:t>(</w:t>
      </w:r>
      <w:r w:rsidR="08C557CC" w:rsidRPr="00544700">
        <w:rPr>
          <w:i/>
        </w:rPr>
        <w:t>quasi a se</w:t>
      </w:r>
      <w:r w:rsidR="088C26B1">
        <w:t xml:space="preserve">; OBJ I, </w:t>
      </w:r>
      <w:r w:rsidR="08C557CC">
        <w:t xml:space="preserve">kap. 2.5). Ilumináti proto v modu epochálního </w:t>
      </w:r>
      <w:r w:rsidR="08C557CC" w:rsidRPr="08C557CC">
        <w:rPr>
          <w:i/>
        </w:rPr>
        <w:t>Irrtum</w:t>
      </w:r>
      <w:r w:rsidR="08687733">
        <w:t xml:space="preserve"> Avicenny čtou aristotelskou </w:t>
      </w:r>
      <w:r w:rsidR="08C557CC" w:rsidRPr="08C557CC">
        <w:rPr>
          <w:i/>
        </w:rPr>
        <w:t>De anima</w:t>
      </w:r>
      <w:r w:rsidR="08687733">
        <w:t xml:space="preserve"> zcela moderně, tedy od třetí</w:t>
      </w:r>
      <w:r w:rsidR="08C557CC">
        <w:t xml:space="preserve"> knihy ke druhé. Dnešní nihilistická postmoderna dokonce otočila četbu ještě jednou</w:t>
      </w:r>
      <w:r w:rsidR="088047E3">
        <w:t>. Z</w:t>
      </w:r>
      <w:r w:rsidR="08D94CA5">
        <w:t>ačala od druhé knihy</w:t>
      </w:r>
      <w:r w:rsidR="088047E3">
        <w:t xml:space="preserve"> a ke třetí se už nikdy nedostala</w:t>
      </w:r>
      <w:r w:rsidR="085205BF">
        <w:t>. O</w:t>
      </w:r>
      <w:r w:rsidR="08C557CC">
        <w:t xml:space="preserve">d objektivně pojaté zvířecí psychiky </w:t>
      </w:r>
      <w:r w:rsidR="085205BF">
        <w:t xml:space="preserve">v čistě materiálním modu </w:t>
      </w:r>
      <w:r w:rsidR="08D94CA5">
        <w:t xml:space="preserve">univocity </w:t>
      </w:r>
      <w:r w:rsidR="085205BF">
        <w:t xml:space="preserve">se determinuje </w:t>
      </w:r>
      <w:r w:rsidR="08D94CA5">
        <w:t>svět lidského poznání</w:t>
      </w:r>
      <w:r w:rsidR="083706C7">
        <w:t>, který je tak či onak jen evoluční zvířecí nadstavba</w:t>
      </w:r>
      <w:r w:rsidR="08C557CC">
        <w:t xml:space="preserve">. </w:t>
      </w:r>
      <w:r w:rsidR="083B11B7">
        <w:t xml:space="preserve">Blund není modernistou, protože hledá původní aristotelský smysl </w:t>
      </w:r>
      <w:r w:rsidR="083B11B7" w:rsidRPr="083B11B7">
        <w:rPr>
          <w:i/>
        </w:rPr>
        <w:t>De anima</w:t>
      </w:r>
      <w:r w:rsidR="083B11B7">
        <w:t xml:space="preserve">. </w:t>
      </w:r>
      <w:r w:rsidR="00EA40B9">
        <w:rPr>
          <w:rStyle w:val="Zkladntextdkovn0pt"/>
          <w:rFonts w:ascii="Calibri" w:eastAsia="Times" w:hAnsi="Calibri" w:cs="Times New Roman"/>
          <w:color w:val="auto"/>
          <w:spacing w:val="0"/>
          <w:sz w:val="24"/>
          <w:u w:val="none"/>
          <w:lang w:val="cs-CZ"/>
        </w:rPr>
        <w:t>Zásadní rozdíl proti neoplato</w:t>
      </w:r>
      <w:r w:rsidR="00B62277" w:rsidRPr="00273106">
        <w:rPr>
          <w:rStyle w:val="Zkladntextdkovn0pt"/>
          <w:rFonts w:ascii="Calibri" w:eastAsia="Times" w:hAnsi="Calibri" w:cs="Times New Roman"/>
          <w:color w:val="auto"/>
          <w:spacing w:val="0"/>
          <w:sz w:val="24"/>
          <w:u w:val="none"/>
          <w:lang w:val="cs-CZ"/>
        </w:rPr>
        <w:t xml:space="preserve">nskému pojetí abstrakce jako </w:t>
      </w:r>
      <w:r w:rsidR="00B62277" w:rsidRPr="00273106">
        <w:rPr>
          <w:rStyle w:val="Zkladntextdkovn0pt"/>
          <w:rFonts w:ascii="Calibri" w:eastAsia="Times" w:hAnsi="Calibri" w:cs="Times New Roman"/>
          <w:i/>
          <w:color w:val="auto"/>
          <w:spacing w:val="0"/>
          <w:sz w:val="24"/>
          <w:u w:val="none"/>
          <w:lang w:val="cs-CZ"/>
        </w:rPr>
        <w:t>denudatio</w:t>
      </w:r>
      <w:r w:rsidR="00B62277" w:rsidRPr="00273106">
        <w:rPr>
          <w:rStyle w:val="Zkladntextdkovn0pt"/>
          <w:rFonts w:ascii="Calibri" w:eastAsia="Times" w:hAnsi="Calibri" w:cs="Times New Roman"/>
          <w:color w:val="auto"/>
          <w:spacing w:val="0"/>
          <w:sz w:val="24"/>
          <w:u w:val="none"/>
          <w:lang w:val="cs-CZ"/>
        </w:rPr>
        <w:t xml:space="preserve"> spočívá v aktualizaci imaginace a intelektu směrem od aktuální věci. </w:t>
      </w:r>
      <w:r w:rsidR="00A428DD" w:rsidRPr="00273106">
        <w:rPr>
          <w:rStyle w:val="Zkladntextdkovn0pt"/>
          <w:rFonts w:ascii="Calibri" w:eastAsia="Times" w:hAnsi="Calibri" w:cs="Times New Roman"/>
          <w:color w:val="auto"/>
          <w:spacing w:val="0"/>
          <w:sz w:val="24"/>
          <w:u w:val="none"/>
          <w:lang w:val="cs-CZ"/>
        </w:rPr>
        <w:t xml:space="preserve">Blund zdůrazňuje na rozdíl od Avicenny, že </w:t>
      </w:r>
      <w:r w:rsidR="00A428DD"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351C8F">
        <w:rPr>
          <w:i/>
        </w:rPr>
        <w:instrText>Blund</w:instrText>
      </w:r>
      <w:r w:rsidR="00351C8F">
        <w:instrText xml:space="preserve"> </w:instrText>
      </w:r>
      <w:r w:rsidR="006D2B5F">
        <w:instrText xml:space="preserve">" </w:instrText>
      </w:r>
      <w:r w:rsidR="006D2B5F">
        <w:rPr>
          <w:i/>
        </w:rPr>
        <w:fldChar w:fldCharType="end"/>
      </w:r>
      <w:r w:rsidR="00A428DD" w:rsidRPr="00273106">
        <w:rPr>
          <w:i/>
        </w:rPr>
        <w:t xml:space="preserve"> </w:t>
      </w:r>
      <w:r w:rsidR="00A428DD" w:rsidRPr="00273106">
        <w:rPr>
          <w:rStyle w:val="Zkladntextdkovn0pt"/>
          <w:rFonts w:ascii="Calibri" w:eastAsia="Times" w:hAnsi="Calibri" w:cs="Times New Roman"/>
          <w:color w:val="auto"/>
          <w:spacing w:val="0"/>
          <w:sz w:val="24"/>
          <w:u w:val="none"/>
          <w:lang w:val="cs-CZ"/>
        </w:rPr>
        <w:t>je prázdný na způsob Aristotelov</w:t>
      </w:r>
      <w:r w:rsidR="00EA40B9">
        <w:rPr>
          <w:rStyle w:val="Zkladntextdkovn0pt"/>
          <w:rFonts w:ascii="Calibri" w:eastAsia="Times" w:hAnsi="Calibri" w:cs="Times New Roman"/>
          <w:color w:val="auto"/>
          <w:spacing w:val="0"/>
          <w:sz w:val="24"/>
          <w:u w:val="none"/>
          <w:lang w:val="cs-CZ"/>
        </w:rPr>
        <w:t>a nepopsaného listu (</w:t>
      </w:r>
      <w:r w:rsidR="00A428DD" w:rsidRPr="00273106">
        <w:rPr>
          <w:rStyle w:val="Zkladntextdkovn0pt"/>
          <w:rFonts w:ascii="Calibri" w:eastAsia="Times" w:hAnsi="Calibri" w:cs="Times New Roman"/>
          <w:i/>
          <w:color w:val="auto"/>
          <w:spacing w:val="0"/>
          <w:sz w:val="24"/>
          <w:u w:val="none"/>
          <w:lang w:val="cs-CZ"/>
        </w:rPr>
        <w:t>tabula rasa</w:t>
      </w:r>
      <w:r w:rsidR="00EA40B9">
        <w:rPr>
          <w:rStyle w:val="Zkladntextdkovn0pt"/>
          <w:rFonts w:ascii="Calibri" w:eastAsia="Times" w:hAnsi="Calibri" w:cs="Times New Roman"/>
          <w:color w:val="auto"/>
          <w:spacing w:val="0"/>
          <w:sz w:val="24"/>
          <w:u w:val="none"/>
          <w:lang w:val="cs-CZ"/>
        </w:rPr>
        <w:t>)</w:t>
      </w:r>
      <w:r w:rsidR="008702D7">
        <w:rPr>
          <w:rStyle w:val="Zkladntextdkovn0pt"/>
          <w:rFonts w:ascii="Calibri" w:eastAsia="Times" w:hAnsi="Calibri" w:cs="Times New Roman"/>
          <w:i/>
          <w:color w:val="auto"/>
          <w:spacing w:val="0"/>
          <w:sz w:val="24"/>
          <w:u w:val="none"/>
          <w:lang w:val="cs-CZ"/>
        </w:rPr>
        <w:fldChar w:fldCharType="begin"/>
      </w:r>
      <w:r w:rsidR="008702D7">
        <w:instrText xml:space="preserve"> XE "</w:instrText>
      </w:r>
      <w:r w:rsidR="008702D7" w:rsidRPr="00CE6D17">
        <w:rPr>
          <w:i/>
        </w:rPr>
        <w:instrText>tabula rasa</w:instrText>
      </w:r>
      <w:r w:rsidR="008702D7">
        <w:instrText xml:space="preserve">" </w:instrText>
      </w:r>
      <w:r w:rsidR="008702D7">
        <w:rPr>
          <w:rStyle w:val="Zkladntextdkovn0pt"/>
          <w:rFonts w:ascii="Calibri" w:eastAsia="Times" w:hAnsi="Calibri" w:cs="Times New Roman"/>
          <w:i/>
          <w:color w:val="auto"/>
          <w:spacing w:val="0"/>
          <w:sz w:val="24"/>
          <w:u w:val="none"/>
          <w:lang w:val="cs-CZ"/>
        </w:rPr>
        <w:fldChar w:fldCharType="end"/>
      </w:r>
      <w:r w:rsidR="00A428DD" w:rsidRPr="00273106">
        <w:rPr>
          <w:rStyle w:val="Zkladntextdkovn0pt"/>
          <w:rFonts w:ascii="Calibri" w:eastAsia="Times" w:hAnsi="Calibri" w:cs="Times New Roman"/>
          <w:color w:val="auto"/>
          <w:spacing w:val="0"/>
          <w:sz w:val="24"/>
          <w:u w:val="none"/>
          <w:lang w:val="cs-CZ"/>
        </w:rPr>
        <w:t>.</w:t>
      </w:r>
      <w:r w:rsidR="00C72BF4">
        <w:rPr>
          <w:rStyle w:val="Zkladntextdkovn0pt"/>
          <w:rFonts w:ascii="Calibri" w:eastAsia="Times" w:hAnsi="Calibri" w:cs="Times New Roman"/>
          <w:color w:val="auto"/>
          <w:spacing w:val="0"/>
          <w:sz w:val="24"/>
          <w:u w:val="none"/>
          <w:lang w:val="cs-CZ"/>
        </w:rPr>
        <w:t xml:space="preserve"> </w:t>
      </w:r>
      <w:r w:rsidR="007E73EE">
        <w:rPr>
          <w:rStyle w:val="Zkladntextdkovn0pt"/>
          <w:rFonts w:ascii="Calibri" w:eastAsia="Times" w:hAnsi="Calibri" w:cs="Times New Roman"/>
          <w:color w:val="auto"/>
          <w:spacing w:val="0"/>
          <w:sz w:val="24"/>
          <w:u w:val="none"/>
          <w:lang w:val="cs-CZ"/>
        </w:rPr>
        <w:t xml:space="preserve">Stejně je prázdný i smyslový orgán, který přijímá vněm. </w:t>
      </w:r>
      <w:r w:rsidR="00C72BF4">
        <w:rPr>
          <w:rStyle w:val="Zkladntextdkovn0pt"/>
          <w:rFonts w:ascii="Calibri" w:eastAsia="Times" w:hAnsi="Calibri" w:cs="Times New Roman"/>
          <w:color w:val="auto"/>
          <w:spacing w:val="0"/>
          <w:sz w:val="24"/>
          <w:u w:val="none"/>
          <w:lang w:val="cs-CZ"/>
        </w:rPr>
        <w:t>Materialita intelektu jako čistá potence a receptivita je nezbytná pro mediaci poznání od smyslů k intelektu.</w:t>
      </w:r>
      <w:r w:rsidR="083B11B7">
        <w:rPr>
          <w:rStyle w:val="Zkladntextdkovn0pt"/>
          <w:rFonts w:ascii="Calibri" w:eastAsia="Times" w:hAnsi="Calibri" w:cs="Times New Roman"/>
          <w:color w:val="auto"/>
          <w:spacing w:val="0"/>
          <w:sz w:val="24"/>
          <w:u w:val="none"/>
          <w:lang w:val="cs-CZ"/>
        </w:rPr>
        <w:t xml:space="preserve"> </w:t>
      </w:r>
      <w:r w:rsidR="083B11B7">
        <w:t>D</w:t>
      </w:r>
      <w:r w:rsidR="083B11B7" w:rsidRPr="00273106">
        <w:rPr>
          <w:rStyle w:val="Zkladntextdkovn0pt"/>
          <w:rFonts w:ascii="Calibri" w:eastAsia="Times" w:hAnsi="Calibri" w:cs="Times New Roman"/>
          <w:color w:val="auto"/>
          <w:spacing w:val="0"/>
          <w:sz w:val="24"/>
          <w:u w:val="none"/>
          <w:lang w:val="cs-CZ"/>
        </w:rPr>
        <w:t xml:space="preserve">alší citát ukazuje první </w:t>
      </w:r>
      <w:r w:rsidR="083B11B7" w:rsidRPr="00273106">
        <w:rPr>
          <w:rStyle w:val="Zkladntextdkovn0pt"/>
          <w:rFonts w:ascii="Calibri" w:eastAsia="Times" w:hAnsi="Calibri" w:cs="Times New Roman"/>
          <w:i/>
          <w:color w:val="auto"/>
          <w:spacing w:val="0"/>
          <w:sz w:val="24"/>
          <w:u w:val="none"/>
          <w:lang w:val="cs-CZ"/>
        </w:rPr>
        <w:t>Lichtung</w:t>
      </w:r>
      <w:r w:rsidR="083B11B7" w:rsidRPr="00273106">
        <w:rPr>
          <w:rStyle w:val="Zkladntextdkovn0pt"/>
          <w:rFonts w:ascii="Calibri" w:eastAsia="Times" w:hAnsi="Calibri" w:cs="Times New Roman"/>
          <w:color w:val="auto"/>
          <w:spacing w:val="0"/>
          <w:sz w:val="24"/>
          <w:u w:val="none"/>
          <w:lang w:val="cs-CZ"/>
        </w:rPr>
        <w:t xml:space="preserve">, v němž se děje epochální odhalování </w:t>
      </w:r>
      <w:r w:rsidR="083B11B7">
        <w:rPr>
          <w:rStyle w:val="Zkladntextdkovn0pt"/>
          <w:rFonts w:ascii="Calibri" w:eastAsia="Times" w:hAnsi="Calibri" w:cs="Times New Roman"/>
          <w:color w:val="auto"/>
          <w:spacing w:val="0"/>
          <w:sz w:val="24"/>
          <w:u w:val="none"/>
          <w:lang w:val="cs-CZ"/>
        </w:rPr>
        <w:t xml:space="preserve">nově daného smyslu jsoucna. Blundem tematizovaný </w:t>
      </w:r>
      <w:r w:rsidR="083B11B7" w:rsidRPr="00273106">
        <w:rPr>
          <w:rStyle w:val="Zkladntextdkovn0pt"/>
          <w:rFonts w:ascii="Calibri" w:eastAsia="Times" w:hAnsi="Calibri" w:cs="Times New Roman"/>
          <w:color w:val="auto"/>
          <w:spacing w:val="0"/>
          <w:sz w:val="24"/>
          <w:u w:val="none"/>
          <w:lang w:val="cs-CZ"/>
        </w:rPr>
        <w:t>možn</w:t>
      </w:r>
      <w:r w:rsidR="083B11B7">
        <w:rPr>
          <w:rStyle w:val="Zkladntextdkovn0pt"/>
          <w:rFonts w:ascii="Calibri" w:eastAsia="Times" w:hAnsi="Calibri" w:cs="Times New Roman"/>
          <w:color w:val="auto"/>
          <w:spacing w:val="0"/>
          <w:sz w:val="24"/>
          <w:u w:val="none"/>
          <w:lang w:val="cs-CZ"/>
        </w:rPr>
        <w:t xml:space="preserve">ý </w:t>
      </w:r>
      <w:r w:rsidR="083B11B7" w:rsidRPr="00273106">
        <w:rPr>
          <w:rStyle w:val="Zkladntextdkovn0pt"/>
          <w:rFonts w:ascii="Calibri" w:eastAsia="Times" w:hAnsi="Calibri" w:cs="Times New Roman"/>
          <w:color w:val="auto"/>
          <w:spacing w:val="0"/>
          <w:sz w:val="24"/>
          <w:u w:val="none"/>
          <w:lang w:val="cs-CZ"/>
        </w:rPr>
        <w:t>intelekt (</w:t>
      </w:r>
      <w:r w:rsidR="083B11B7" w:rsidRPr="00273106">
        <w:rPr>
          <w:i/>
        </w:rPr>
        <w:t>intellectus in potentia</w:t>
      </w:r>
      <w:r w:rsidR="083B11B7">
        <w:rPr>
          <w:i/>
        </w:rPr>
        <w:fldChar w:fldCharType="begin"/>
      </w:r>
      <w:r w:rsidR="083B11B7">
        <w:instrText xml:space="preserve"> XE "</w:instrText>
      </w:r>
      <w:r w:rsidR="083B11B7" w:rsidRPr="00AD41F8">
        <w:rPr>
          <w:i/>
        </w:rPr>
        <w:instrText>intellectus in potentia:</w:instrText>
      </w:r>
      <w:r w:rsidR="083B11B7" w:rsidRPr="00AD41F8">
        <w:instrText>Blund</w:instrText>
      </w:r>
      <w:r w:rsidR="083B11B7">
        <w:instrText xml:space="preserve">" </w:instrText>
      </w:r>
      <w:r w:rsidR="083B11B7">
        <w:rPr>
          <w:i/>
        </w:rPr>
        <w:fldChar w:fldCharType="end"/>
      </w:r>
      <w:r w:rsidR="083B11B7" w:rsidRPr="00273106">
        <w:rPr>
          <w:rStyle w:val="Zkladntextdkovn0pt"/>
          <w:rFonts w:ascii="Calibri" w:eastAsia="Times" w:hAnsi="Calibri" w:cs="Times New Roman"/>
          <w:color w:val="auto"/>
          <w:spacing w:val="0"/>
          <w:sz w:val="24"/>
          <w:u w:val="none"/>
          <w:lang w:val="cs-CZ"/>
        </w:rPr>
        <w:t>) představuje základní pole zjevování smyslu jsoucna v jeho dějinné pravdě a nepravdě.</w:t>
      </w:r>
    </w:p>
    <w:p w14:paraId="079C5FE6" w14:textId="77777777" w:rsidR="006D3ABA" w:rsidRPr="00273106" w:rsidRDefault="007E1E01" w:rsidP="006D3ABA">
      <w:pPr>
        <w:pStyle w:val="Citace"/>
        <w:rPr>
          <w:rStyle w:val="Zkladntextdkovn0pt"/>
          <w:rFonts w:ascii="Calibri" w:eastAsia="Times" w:hAnsi="Calibri" w:cs="Times New Roman"/>
          <w:noProof/>
          <w:spacing w:val="0"/>
          <w:sz w:val="22"/>
          <w:szCs w:val="20"/>
          <w:u w:val="none"/>
          <w:lang w:val="cs-CZ"/>
        </w:rPr>
      </w:pPr>
      <w:r w:rsidRPr="00273106">
        <w:rPr>
          <w:noProof/>
          <w:lang w:val="cs-CZ"/>
        </w:rPr>
        <w:t>„Materiální intelekt je duše jako taková, která je zbavena všech při</w:t>
      </w:r>
      <w:r w:rsidR="08F260AB">
        <w:rPr>
          <w:noProof/>
          <w:lang w:val="cs-CZ"/>
        </w:rPr>
        <w:t xml:space="preserve">jatých dispozic a </w:t>
      </w:r>
      <w:r w:rsidR="08DD64E9">
        <w:rPr>
          <w:noProof/>
          <w:lang w:val="cs-CZ"/>
        </w:rPr>
        <w:t>'</w:t>
      </w:r>
      <w:r w:rsidR="08F260AB">
        <w:rPr>
          <w:noProof/>
          <w:lang w:val="cs-CZ"/>
        </w:rPr>
        <w:t>materiální</w:t>
      </w:r>
      <w:r w:rsidR="08DD64E9">
        <w:rPr>
          <w:noProof/>
          <w:lang w:val="cs-CZ"/>
        </w:rPr>
        <w:t>'</w:t>
      </w:r>
      <w:r w:rsidRPr="00273106">
        <w:rPr>
          <w:noProof/>
          <w:lang w:val="cs-CZ"/>
        </w:rPr>
        <w:t xml:space="preserve"> se tomuto intelektu říká proto, že duše má sama v sobě schopnost přijímání </w:t>
      </w:r>
      <w:r w:rsidR="006D3ABA" w:rsidRPr="00273106">
        <w:rPr>
          <w:noProof/>
          <w:lang w:val="cs-CZ"/>
        </w:rPr>
        <w:t xml:space="preserve">podobného </w:t>
      </w:r>
      <w:r w:rsidRPr="00273106">
        <w:rPr>
          <w:noProof/>
          <w:lang w:val="cs-CZ"/>
        </w:rPr>
        <w:t>na způsob první látky</w:t>
      </w:r>
      <w:r w:rsidR="00637CC8">
        <w:rPr>
          <w:noProof/>
          <w:lang w:val="cs-CZ"/>
        </w:rPr>
        <w:t xml:space="preserve"> (</w:t>
      </w:r>
      <w:r w:rsidR="00637CC8" w:rsidRPr="00637CC8">
        <w:rPr>
          <w:i/>
        </w:rPr>
        <w:t>ad simulacrum aptitudinis materie prime</w:t>
      </w:r>
      <w:r w:rsidR="00637CC8">
        <w:rPr>
          <w:noProof/>
          <w:lang w:val="cs-CZ"/>
        </w:rPr>
        <w:t>)</w:t>
      </w:r>
      <w:r w:rsidR="08DD64E9">
        <w:rPr>
          <w:noProof/>
          <w:lang w:val="cs-CZ"/>
        </w:rPr>
        <w:t>, v níž také není žádná forma</w:t>
      </w:r>
      <w:r w:rsidR="00637CC8">
        <w:rPr>
          <w:noProof/>
          <w:lang w:val="cs-CZ"/>
        </w:rPr>
        <w:t xml:space="preserve"> (</w:t>
      </w:r>
      <w:r w:rsidR="00637CC8" w:rsidRPr="00637CC8">
        <w:rPr>
          <w:i/>
        </w:rPr>
        <w:t>in seipsa non est aliqua forma</w:t>
      </w:r>
      <w:r w:rsidR="00637CC8">
        <w:rPr>
          <w:noProof/>
          <w:lang w:val="cs-CZ"/>
        </w:rPr>
        <w:t>)</w:t>
      </w:r>
      <w:r w:rsidRPr="00273106">
        <w:rPr>
          <w:noProof/>
          <w:lang w:val="cs-CZ"/>
        </w:rPr>
        <w:t xml:space="preserve">. Podobně říkáme </w:t>
      </w:r>
      <w:r w:rsidR="00AC1833" w:rsidRPr="00273106">
        <w:rPr>
          <w:noProof/>
          <w:lang w:val="cs-CZ"/>
        </w:rPr>
        <w:t xml:space="preserve">materiálnímu intelektu také </w:t>
      </w:r>
      <w:r w:rsidR="08DD64E9">
        <w:rPr>
          <w:noProof/>
          <w:lang w:val="cs-CZ"/>
        </w:rPr>
        <w:t>'</w:t>
      </w:r>
      <w:r w:rsidRPr="00273106">
        <w:rPr>
          <w:noProof/>
          <w:lang w:val="cs-CZ"/>
        </w:rPr>
        <w:t>intelekt v možnosti</w:t>
      </w:r>
      <w:r w:rsidR="08DD64E9">
        <w:rPr>
          <w:noProof/>
          <w:lang w:val="cs-CZ"/>
        </w:rPr>
        <w:t>'</w:t>
      </w:r>
      <w:r w:rsidRPr="00273106">
        <w:rPr>
          <w:noProof/>
          <w:lang w:val="cs-CZ"/>
        </w:rPr>
        <w:t xml:space="preserve"> (</w:t>
      </w:r>
      <w:r w:rsidRPr="00273106">
        <w:rPr>
          <w:i/>
          <w:noProof/>
          <w:lang w:val="cs-CZ"/>
        </w:rPr>
        <w:t>intellectus in potentia</w:t>
      </w:r>
      <w:r w:rsidRPr="00273106">
        <w:rPr>
          <w:noProof/>
          <w:lang w:val="cs-CZ"/>
        </w:rPr>
        <w:t xml:space="preserve">), </w:t>
      </w:r>
      <w:r w:rsidRPr="00273106">
        <w:rPr>
          <w:noProof/>
          <w:lang w:val="cs-CZ"/>
        </w:rPr>
        <w:lastRenderedPageBreak/>
        <w:t>protože bytí materie je dáno pouze v potenci, čímž je nedokonalé</w:t>
      </w:r>
      <w:r w:rsidR="006D3ABA" w:rsidRPr="00273106">
        <w:rPr>
          <w:noProof/>
          <w:lang w:val="cs-CZ"/>
        </w:rPr>
        <w:t>,</w:t>
      </w:r>
      <w:r w:rsidRPr="00273106">
        <w:rPr>
          <w:noProof/>
          <w:lang w:val="cs-CZ"/>
        </w:rPr>
        <w:t xml:space="preserve"> a musí být završeno přijetím formy.“</w:t>
      </w:r>
      <w:r w:rsidR="006D3ABA" w:rsidRPr="00273106">
        <w:rPr>
          <w:noProof/>
          <w:lang w:val="cs-CZ"/>
        </w:rPr>
        <w:t xml:space="preserve"> </w:t>
      </w:r>
      <w:r w:rsidR="00762A32" w:rsidRPr="00273106">
        <w:rPr>
          <w:rStyle w:val="Znakapoznpodarou"/>
          <w:noProof/>
          <w:szCs w:val="15"/>
          <w:lang w:val="cs-CZ"/>
        </w:rPr>
        <w:footnoteReference w:id="96"/>
      </w:r>
      <w:r w:rsidR="00762A32" w:rsidRPr="00273106">
        <w:rPr>
          <w:rStyle w:val="Zkladntextdkovn0pt"/>
          <w:rFonts w:ascii="Calibri" w:eastAsia="Times" w:hAnsi="Calibri" w:cs="Times New Roman"/>
          <w:noProof/>
          <w:color w:val="auto"/>
          <w:spacing w:val="0"/>
          <w:sz w:val="24"/>
          <w:szCs w:val="20"/>
          <w:u w:val="none"/>
          <w:lang w:val="cs-CZ"/>
        </w:rPr>
        <w:t xml:space="preserve"> </w:t>
      </w:r>
    </w:p>
    <w:p w14:paraId="15179E99" w14:textId="21F635CD" w:rsidR="08762F9B" w:rsidRDefault="00DC50FE" w:rsidP="00F81EC6">
      <w:r w:rsidRPr="00273106">
        <w:rPr>
          <w:rStyle w:val="Zkladntextdkovn0pt"/>
          <w:rFonts w:ascii="Calibri" w:eastAsia="Times" w:hAnsi="Calibri" w:cs="Times New Roman"/>
          <w:color w:val="auto"/>
          <w:spacing w:val="0"/>
          <w:sz w:val="24"/>
          <w:u w:val="none"/>
          <w:lang w:val="cs-CZ"/>
        </w:rPr>
        <w:t>Duše je na počátku poznání zcela prázdná, protože její poznávací schopnosti jsou pouze potenciální (</w:t>
      </w:r>
      <w:r w:rsidRPr="00273106">
        <w:rPr>
          <w:i/>
        </w:rPr>
        <w:t>intellectus materialis est ipsa anima nuda</w:t>
      </w:r>
      <w:r w:rsidRPr="00273106">
        <w:rPr>
          <w:rStyle w:val="Zkladntextdkovn0pt"/>
          <w:rFonts w:ascii="Calibri" w:eastAsia="Times" w:hAnsi="Calibri" w:cs="Times New Roman"/>
          <w:color w:val="auto"/>
          <w:spacing w:val="0"/>
          <w:sz w:val="24"/>
          <w:u w:val="none"/>
          <w:lang w:val="cs-CZ"/>
        </w:rPr>
        <w:t xml:space="preserve">). Díky </w:t>
      </w:r>
      <w:r w:rsidR="00445B45">
        <w:rPr>
          <w:rStyle w:val="Zkladntextdkovn0pt"/>
          <w:rFonts w:ascii="Calibri" w:eastAsia="Times" w:hAnsi="Calibri" w:cs="Times New Roman"/>
          <w:color w:val="auto"/>
          <w:spacing w:val="0"/>
          <w:sz w:val="24"/>
          <w:u w:val="none"/>
          <w:lang w:val="cs-CZ"/>
        </w:rPr>
        <w:t xml:space="preserve">absolutní </w:t>
      </w:r>
      <w:r w:rsidRPr="00273106">
        <w:rPr>
          <w:rStyle w:val="Zkladntextdkovn0pt"/>
          <w:rFonts w:ascii="Calibri" w:eastAsia="Times" w:hAnsi="Calibri" w:cs="Times New Roman"/>
          <w:color w:val="auto"/>
          <w:spacing w:val="0"/>
          <w:sz w:val="24"/>
          <w:u w:val="none"/>
          <w:lang w:val="cs-CZ"/>
        </w:rPr>
        <w:t xml:space="preserve">potencialitě </w:t>
      </w:r>
      <w:r w:rsidR="00F81EC6" w:rsidRPr="00273106">
        <w:rPr>
          <w:rStyle w:val="Zkladntextdkovn0pt"/>
          <w:rFonts w:ascii="Calibri" w:eastAsia="Times" w:hAnsi="Calibri" w:cs="Times New Roman"/>
          <w:color w:val="auto"/>
          <w:spacing w:val="0"/>
          <w:sz w:val="24"/>
          <w:u w:val="none"/>
          <w:lang w:val="cs-CZ"/>
        </w:rPr>
        <w:t xml:space="preserve">potřebuje </w:t>
      </w:r>
      <w:r w:rsidRPr="00273106">
        <w:rPr>
          <w:rStyle w:val="Zkladntextdkovn0pt"/>
          <w:rFonts w:ascii="Calibri" w:eastAsia="Times" w:hAnsi="Calibri" w:cs="Times New Roman"/>
          <w:color w:val="auto"/>
          <w:spacing w:val="0"/>
          <w:sz w:val="24"/>
          <w:u w:val="none"/>
          <w:lang w:val="cs-CZ"/>
        </w:rPr>
        <w:t xml:space="preserve">materiální intelekt </w:t>
      </w:r>
      <w:r w:rsidR="08315842">
        <w:rPr>
          <w:rStyle w:val="Zkladntextdkovn0pt"/>
          <w:rFonts w:ascii="Calibri" w:eastAsia="Times" w:hAnsi="Calibri" w:cs="Times New Roman"/>
          <w:color w:val="auto"/>
          <w:spacing w:val="0"/>
          <w:sz w:val="24"/>
          <w:u w:val="none"/>
          <w:lang w:val="cs-CZ"/>
        </w:rPr>
        <w:t>přijmout</w:t>
      </w:r>
      <w:r w:rsidRPr="00273106">
        <w:rPr>
          <w:rStyle w:val="Zkladntextdkovn0pt"/>
          <w:rFonts w:ascii="Calibri" w:eastAsia="Times" w:hAnsi="Calibri" w:cs="Times New Roman"/>
          <w:color w:val="auto"/>
          <w:spacing w:val="0"/>
          <w:sz w:val="24"/>
          <w:u w:val="none"/>
          <w:lang w:val="cs-CZ"/>
        </w:rPr>
        <w:t xml:space="preserve"> formu</w:t>
      </w:r>
      <w:r w:rsidR="00F81EC6" w:rsidRPr="00273106">
        <w:rPr>
          <w:rStyle w:val="Zkladntextdkovn0pt"/>
          <w:rFonts w:ascii="Calibri" w:eastAsia="Times" w:hAnsi="Calibri" w:cs="Times New Roman"/>
          <w:color w:val="auto"/>
          <w:spacing w:val="0"/>
          <w:sz w:val="24"/>
          <w:u w:val="none"/>
          <w:lang w:val="cs-CZ"/>
        </w:rPr>
        <w:t xml:space="preserve"> od aktuá</w:t>
      </w:r>
      <w:r w:rsidR="00183919" w:rsidRPr="00273106">
        <w:rPr>
          <w:rStyle w:val="Zkladntextdkovn0pt"/>
          <w:rFonts w:ascii="Calibri" w:eastAsia="Times" w:hAnsi="Calibri" w:cs="Times New Roman"/>
          <w:color w:val="auto"/>
          <w:spacing w:val="0"/>
          <w:sz w:val="24"/>
          <w:u w:val="none"/>
          <w:lang w:val="cs-CZ"/>
        </w:rPr>
        <w:t>l</w:t>
      </w:r>
      <w:r w:rsidR="00F81EC6" w:rsidRPr="00273106">
        <w:rPr>
          <w:rStyle w:val="Zkladntextdkovn0pt"/>
          <w:rFonts w:ascii="Calibri" w:eastAsia="Times" w:hAnsi="Calibri" w:cs="Times New Roman"/>
          <w:color w:val="auto"/>
          <w:spacing w:val="0"/>
          <w:sz w:val="24"/>
          <w:u w:val="none"/>
          <w:lang w:val="cs-CZ"/>
        </w:rPr>
        <w:t>ně poznávané věci.</w:t>
      </w:r>
      <w:r w:rsidR="00183919" w:rsidRPr="00273106">
        <w:rPr>
          <w:rStyle w:val="Zkladntextdkovn0pt"/>
          <w:rFonts w:ascii="Calibri" w:eastAsia="Times" w:hAnsi="Calibri" w:cs="Times New Roman"/>
          <w:color w:val="auto"/>
          <w:spacing w:val="0"/>
          <w:sz w:val="24"/>
          <w:u w:val="none"/>
          <w:lang w:val="cs-CZ"/>
        </w:rPr>
        <w:t xml:space="preserve"> </w:t>
      </w:r>
      <w:r w:rsidR="00AE7D0F" w:rsidRPr="00273106">
        <w:rPr>
          <w:rStyle w:val="Zkladntextdkovn0pt"/>
          <w:rFonts w:ascii="Calibri" w:eastAsia="Times" w:hAnsi="Calibri" w:cs="Times New Roman"/>
          <w:color w:val="auto"/>
          <w:spacing w:val="0"/>
          <w:sz w:val="24"/>
          <w:u w:val="none"/>
          <w:lang w:val="cs-CZ"/>
        </w:rPr>
        <w:t>Blund pro vytvoření schématu poznání používá analogii (</w:t>
      </w:r>
      <w:r w:rsidR="00AE7D0F" w:rsidRPr="00273106">
        <w:rPr>
          <w:rStyle w:val="Zkladntextdkovn0pt"/>
          <w:rFonts w:ascii="Calibri" w:eastAsia="Times" w:hAnsi="Calibri" w:cs="Times New Roman"/>
          <w:i/>
          <w:color w:val="auto"/>
          <w:spacing w:val="0"/>
          <w:sz w:val="24"/>
          <w:u w:val="none"/>
          <w:lang w:val="cs-CZ"/>
        </w:rPr>
        <w:t>similiter dicitur</w:t>
      </w:r>
      <w:r w:rsidR="00AE7D0F" w:rsidRPr="00273106">
        <w:rPr>
          <w:rStyle w:val="Zkladntextdkovn0pt"/>
          <w:rFonts w:ascii="Calibri" w:eastAsia="Times" w:hAnsi="Calibri" w:cs="Times New Roman"/>
          <w:color w:val="auto"/>
          <w:spacing w:val="0"/>
          <w:sz w:val="24"/>
          <w:u w:val="none"/>
          <w:lang w:val="cs-CZ"/>
        </w:rPr>
        <w:t xml:space="preserve">) mezi materií a formou. </w:t>
      </w:r>
      <w:r w:rsidR="00E6542A">
        <w:rPr>
          <w:rStyle w:val="Zkladntextdkovn0pt"/>
          <w:rFonts w:ascii="Calibri" w:eastAsia="Times" w:hAnsi="Calibri" w:cs="Times New Roman"/>
          <w:color w:val="auto"/>
          <w:spacing w:val="0"/>
          <w:sz w:val="24"/>
          <w:u w:val="none"/>
          <w:lang w:val="cs-CZ"/>
        </w:rPr>
        <w:t xml:space="preserve">Zásadní věta citace definuje receptivní složku intelektu </w:t>
      </w:r>
      <w:r w:rsidR="00AF23AB">
        <w:rPr>
          <w:rStyle w:val="Zkladntextdkovn0pt"/>
          <w:rFonts w:ascii="Calibri" w:eastAsia="Times" w:hAnsi="Calibri" w:cs="Times New Roman"/>
          <w:color w:val="auto"/>
          <w:spacing w:val="0"/>
          <w:sz w:val="24"/>
          <w:u w:val="none"/>
          <w:lang w:val="cs-CZ"/>
        </w:rPr>
        <w:t xml:space="preserve">v modu </w:t>
      </w:r>
      <w:r w:rsidR="00AF23AB" w:rsidRPr="00AF23AB">
        <w:rPr>
          <w:rStyle w:val="Zkladntextdkovn0pt"/>
          <w:rFonts w:ascii="Calibri" w:eastAsia="Times" w:hAnsi="Calibri" w:cs="Times New Roman"/>
          <w:i/>
          <w:color w:val="auto"/>
          <w:spacing w:val="0"/>
          <w:sz w:val="24"/>
          <w:u w:val="none"/>
          <w:lang w:val="cs-CZ"/>
        </w:rPr>
        <w:t>simil</w:t>
      </w:r>
      <w:r w:rsidR="00AF23AB">
        <w:rPr>
          <w:rStyle w:val="Zkladntextdkovn0pt"/>
          <w:rFonts w:ascii="Calibri" w:eastAsia="Times" w:hAnsi="Calibri" w:cs="Times New Roman"/>
          <w:i/>
          <w:color w:val="auto"/>
          <w:spacing w:val="0"/>
          <w:sz w:val="24"/>
          <w:u w:val="none"/>
          <w:lang w:val="cs-CZ"/>
        </w:rPr>
        <w:t>it</w:t>
      </w:r>
      <w:r w:rsidR="00AF23AB" w:rsidRPr="00AF23AB">
        <w:rPr>
          <w:rStyle w:val="Zkladntextdkovn0pt"/>
          <w:rFonts w:ascii="Calibri" w:eastAsia="Times" w:hAnsi="Calibri" w:cs="Times New Roman"/>
          <w:i/>
          <w:color w:val="auto"/>
          <w:spacing w:val="0"/>
          <w:sz w:val="24"/>
          <w:u w:val="none"/>
          <w:lang w:val="cs-CZ"/>
        </w:rPr>
        <w:t>er</w:t>
      </w:r>
      <w:r w:rsidR="00253594">
        <w:rPr>
          <w:rStyle w:val="Zkladntextdkovn0pt"/>
          <w:rFonts w:ascii="Calibri" w:eastAsia="Times" w:hAnsi="Calibri" w:cs="Times New Roman"/>
          <w:color w:val="auto"/>
          <w:spacing w:val="0"/>
          <w:sz w:val="24"/>
          <w:u w:val="none"/>
          <w:lang w:val="cs-CZ"/>
        </w:rPr>
        <w:t xml:space="preserve"> vůči receptivitě </w:t>
      </w:r>
      <w:r w:rsidR="009B664F">
        <w:rPr>
          <w:rStyle w:val="Zkladntextdkovn0pt"/>
          <w:rFonts w:ascii="Calibri" w:eastAsia="Times" w:hAnsi="Calibri" w:cs="Times New Roman"/>
          <w:color w:val="auto"/>
          <w:spacing w:val="0"/>
          <w:sz w:val="24"/>
          <w:u w:val="none"/>
          <w:lang w:val="cs-CZ"/>
        </w:rPr>
        <w:t xml:space="preserve">dané v podobě </w:t>
      </w:r>
      <w:r w:rsidR="00253594">
        <w:rPr>
          <w:rStyle w:val="Zkladntextdkovn0pt"/>
          <w:rFonts w:ascii="Calibri" w:eastAsia="Times" w:hAnsi="Calibri" w:cs="Times New Roman"/>
          <w:color w:val="auto"/>
          <w:spacing w:val="0"/>
          <w:sz w:val="24"/>
          <w:u w:val="none"/>
          <w:lang w:val="cs-CZ"/>
        </w:rPr>
        <w:t xml:space="preserve">primární materie. </w:t>
      </w:r>
      <w:r w:rsidR="00BA672D">
        <w:rPr>
          <w:rStyle w:val="Zkladntextdkovn0pt"/>
          <w:rFonts w:ascii="Calibri" w:eastAsia="Times" w:hAnsi="Calibri" w:cs="Times New Roman"/>
          <w:color w:val="auto"/>
          <w:spacing w:val="0"/>
          <w:sz w:val="24"/>
          <w:u w:val="none"/>
          <w:lang w:val="cs-CZ"/>
        </w:rPr>
        <w:t>Intelektuální poznání je nemater</w:t>
      </w:r>
      <w:r w:rsidR="009B664F">
        <w:rPr>
          <w:rStyle w:val="Zkladntextdkovn0pt"/>
          <w:rFonts w:ascii="Calibri" w:eastAsia="Times" w:hAnsi="Calibri" w:cs="Times New Roman"/>
          <w:color w:val="auto"/>
          <w:spacing w:val="0"/>
          <w:sz w:val="24"/>
          <w:u w:val="none"/>
          <w:lang w:val="cs-CZ"/>
        </w:rPr>
        <w:t>i</w:t>
      </w:r>
      <w:r w:rsidR="08A20F18">
        <w:rPr>
          <w:rStyle w:val="Zkladntextdkovn0pt"/>
          <w:rFonts w:ascii="Calibri" w:eastAsia="Times" w:hAnsi="Calibri" w:cs="Times New Roman"/>
          <w:color w:val="auto"/>
          <w:spacing w:val="0"/>
          <w:sz w:val="24"/>
          <w:u w:val="none"/>
          <w:lang w:val="cs-CZ"/>
        </w:rPr>
        <w:t xml:space="preserve">ální, proto tvoří v modu receptivity, která je podobná konceptu </w:t>
      </w:r>
      <w:r w:rsidR="00BA672D" w:rsidRPr="00BA672D">
        <w:rPr>
          <w:rStyle w:val="Zkladntextdkovn0pt"/>
          <w:rFonts w:ascii="Calibri" w:eastAsia="Times" w:hAnsi="Calibri" w:cs="Times New Roman"/>
          <w:i/>
          <w:color w:val="auto"/>
          <w:spacing w:val="0"/>
          <w:sz w:val="24"/>
          <w:u w:val="none"/>
          <w:lang w:val="cs-CZ"/>
        </w:rPr>
        <w:t>materia prima</w:t>
      </w:r>
      <w:r w:rsidR="00BA672D">
        <w:rPr>
          <w:rStyle w:val="Zkladntextdkovn0pt"/>
          <w:rFonts w:ascii="Calibri" w:eastAsia="Times" w:hAnsi="Calibri" w:cs="Times New Roman"/>
          <w:color w:val="auto"/>
          <w:spacing w:val="0"/>
          <w:sz w:val="24"/>
          <w:u w:val="none"/>
          <w:lang w:val="cs-CZ"/>
        </w:rPr>
        <w:t xml:space="preserve">. </w:t>
      </w:r>
      <w:r w:rsidR="0080268F">
        <w:rPr>
          <w:rStyle w:val="Zkladntextdkovn0pt"/>
          <w:rFonts w:ascii="Calibri" w:eastAsia="Times" w:hAnsi="Calibri" w:cs="Times New Roman"/>
          <w:color w:val="auto"/>
          <w:spacing w:val="0"/>
          <w:sz w:val="24"/>
          <w:u w:val="none"/>
          <w:lang w:val="cs-CZ"/>
        </w:rPr>
        <w:t xml:space="preserve">Potenciální intelekt není </w:t>
      </w:r>
      <w:r w:rsidR="0080268F" w:rsidRPr="00BA3D32">
        <w:rPr>
          <w:rStyle w:val="Zkladntextdkovn0pt"/>
          <w:rFonts w:ascii="Calibri" w:eastAsia="Times" w:hAnsi="Calibri" w:cs="Times New Roman"/>
          <w:i/>
          <w:color w:val="auto"/>
          <w:spacing w:val="0"/>
          <w:sz w:val="24"/>
          <w:u w:val="none"/>
          <w:lang w:val="cs-CZ"/>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80268F">
        <w:rPr>
          <w:rStyle w:val="Zkladntextdkovn0pt"/>
          <w:rFonts w:ascii="Calibri" w:eastAsia="Times" w:hAnsi="Calibri" w:cs="Times New Roman"/>
          <w:color w:val="auto"/>
          <w:spacing w:val="0"/>
          <w:sz w:val="24"/>
          <w:u w:val="none"/>
          <w:lang w:val="cs-CZ"/>
        </w:rPr>
        <w:t>, protože se jí pouze podobá svou univerzální receptivitou (</w:t>
      </w:r>
      <w:r w:rsidR="0080268F" w:rsidRPr="00246F8A">
        <w:rPr>
          <w:i/>
        </w:rPr>
        <w:t>ad simulacrum aptitudinis materie prime</w:t>
      </w:r>
      <w:r w:rsidR="0080268F">
        <w:rPr>
          <w:rStyle w:val="Zkladntextdkovn0pt"/>
          <w:rFonts w:ascii="Calibri" w:eastAsia="Times" w:hAnsi="Calibri" w:cs="Times New Roman"/>
          <w:color w:val="auto"/>
          <w:spacing w:val="0"/>
          <w:sz w:val="24"/>
          <w:u w:val="none"/>
          <w:lang w:val="cs-CZ"/>
        </w:rPr>
        <w:t xml:space="preserve">). </w:t>
      </w:r>
      <w:r w:rsidR="00153B30">
        <w:rPr>
          <w:rStyle w:val="Zkladntextdkovn0pt"/>
          <w:rFonts w:ascii="Calibri" w:eastAsia="Times" w:hAnsi="Calibri" w:cs="Times New Roman"/>
          <w:color w:val="auto"/>
          <w:spacing w:val="0"/>
          <w:sz w:val="24"/>
          <w:u w:val="none"/>
          <w:lang w:val="cs-CZ"/>
        </w:rPr>
        <w:t xml:space="preserve">Toto adekvační pojetí </w:t>
      </w:r>
      <w:r w:rsidR="00AF23AB">
        <w:rPr>
          <w:rStyle w:val="Zkladntextdkovn0pt"/>
          <w:rFonts w:ascii="Calibri" w:eastAsia="Times" w:hAnsi="Calibri" w:cs="Times New Roman"/>
          <w:color w:val="auto"/>
          <w:spacing w:val="0"/>
          <w:sz w:val="24"/>
          <w:u w:val="none"/>
          <w:lang w:val="cs-CZ"/>
        </w:rPr>
        <w:t xml:space="preserve">přesně odpovídá argumentaci </w:t>
      </w:r>
      <w:r w:rsidR="009B664F">
        <w:rPr>
          <w:rStyle w:val="Zkladntextdkovn0pt"/>
          <w:rFonts w:ascii="Calibri" w:eastAsia="Times" w:hAnsi="Calibri" w:cs="Times New Roman"/>
          <w:color w:val="auto"/>
          <w:spacing w:val="0"/>
          <w:sz w:val="24"/>
          <w:u w:val="none"/>
          <w:lang w:val="cs-CZ"/>
        </w:rPr>
        <w:t xml:space="preserve">spisu </w:t>
      </w:r>
      <w:r w:rsidR="00E6542A">
        <w:rPr>
          <w:rStyle w:val="Zkladntextdkovn0pt"/>
          <w:rFonts w:ascii="Calibri" w:eastAsia="Times" w:hAnsi="Calibri" w:cs="Times New Roman"/>
          <w:color w:val="auto"/>
          <w:spacing w:val="0"/>
          <w:sz w:val="24"/>
          <w:u w:val="none"/>
          <w:lang w:val="cs-CZ"/>
        </w:rPr>
        <w:t>CMDA</w:t>
      </w:r>
      <w:r w:rsidR="00F809E3">
        <w:rPr>
          <w:rStyle w:val="Zkladntextdkovn0pt"/>
          <w:rFonts w:ascii="Calibri" w:eastAsia="Times" w:hAnsi="Calibri" w:cs="Times New Roman"/>
          <w:color w:val="auto"/>
          <w:spacing w:val="0"/>
          <w:sz w:val="24"/>
          <w:u w:val="none"/>
          <w:lang w:val="cs-CZ"/>
        </w:rPr>
        <w:t xml:space="preserve">, který však </w:t>
      </w:r>
      <w:r w:rsidR="00AF23AB">
        <w:rPr>
          <w:rStyle w:val="Zkladntextdkovn0pt"/>
          <w:rFonts w:ascii="Calibri" w:eastAsia="Times" w:hAnsi="Calibri" w:cs="Times New Roman"/>
          <w:color w:val="auto"/>
          <w:spacing w:val="0"/>
          <w:sz w:val="24"/>
          <w:u w:val="none"/>
          <w:lang w:val="cs-CZ"/>
        </w:rPr>
        <w:t xml:space="preserve">Blund </w:t>
      </w:r>
      <w:r w:rsidR="00BA3D32">
        <w:rPr>
          <w:rStyle w:val="Zkladntextdkovn0pt"/>
          <w:rFonts w:ascii="Calibri" w:eastAsia="Times" w:hAnsi="Calibri" w:cs="Times New Roman"/>
          <w:color w:val="auto"/>
          <w:spacing w:val="0"/>
          <w:sz w:val="24"/>
          <w:u w:val="none"/>
          <w:lang w:val="cs-CZ"/>
        </w:rPr>
        <w:t xml:space="preserve">s velkou pravděpodobností </w:t>
      </w:r>
      <w:r w:rsidR="00AD48E6">
        <w:rPr>
          <w:rStyle w:val="Zkladntextdkovn0pt"/>
          <w:rFonts w:ascii="Calibri" w:eastAsia="Times" w:hAnsi="Calibri" w:cs="Times New Roman"/>
          <w:color w:val="auto"/>
          <w:spacing w:val="0"/>
          <w:sz w:val="24"/>
          <w:u w:val="none"/>
          <w:lang w:val="cs-CZ"/>
        </w:rPr>
        <w:t xml:space="preserve">ještě </w:t>
      </w:r>
      <w:r w:rsidR="00F809E3">
        <w:rPr>
          <w:rStyle w:val="Zkladntextdkovn0pt"/>
          <w:rFonts w:ascii="Calibri" w:eastAsia="Times" w:hAnsi="Calibri" w:cs="Times New Roman"/>
          <w:color w:val="auto"/>
          <w:spacing w:val="0"/>
          <w:sz w:val="24"/>
          <w:u w:val="none"/>
          <w:lang w:val="cs-CZ"/>
        </w:rPr>
        <w:t>neznal</w:t>
      </w:r>
      <w:r w:rsidR="085C1E72">
        <w:rPr>
          <w:rStyle w:val="Zkladntextdkovn0pt"/>
          <w:rFonts w:ascii="Calibri" w:eastAsia="Times" w:hAnsi="Calibri" w:cs="Times New Roman"/>
          <w:color w:val="auto"/>
          <w:spacing w:val="0"/>
          <w:sz w:val="24"/>
          <w:u w:val="none"/>
          <w:lang w:val="cs-CZ"/>
        </w:rPr>
        <w:t xml:space="preserve"> při psaní svého komentáře</w:t>
      </w:r>
      <w:r w:rsidR="00445B45">
        <w:rPr>
          <w:rStyle w:val="Zkladntextdkovn0pt"/>
          <w:rFonts w:ascii="Calibri" w:eastAsia="Times" w:hAnsi="Calibri" w:cs="Times New Roman"/>
          <w:color w:val="auto"/>
          <w:spacing w:val="0"/>
          <w:sz w:val="24"/>
          <w:u w:val="none"/>
          <w:lang w:val="cs-CZ"/>
        </w:rPr>
        <w:t xml:space="preserve">. </w:t>
      </w:r>
      <w:r w:rsidR="002C43E9">
        <w:rPr>
          <w:rStyle w:val="Zkladntextdkovn0pt"/>
          <w:rFonts w:ascii="Calibri" w:eastAsia="Times" w:hAnsi="Calibri" w:cs="Times New Roman"/>
          <w:color w:val="auto"/>
          <w:spacing w:val="0"/>
          <w:sz w:val="24"/>
          <w:u w:val="none"/>
          <w:lang w:val="cs-CZ"/>
        </w:rPr>
        <w:t xml:space="preserve">Zásadní </w:t>
      </w:r>
      <w:r w:rsidR="00246F8A">
        <w:rPr>
          <w:rStyle w:val="Zkladntextdkovn0pt"/>
          <w:rFonts w:ascii="Calibri" w:eastAsia="Times" w:hAnsi="Calibri" w:cs="Times New Roman"/>
          <w:color w:val="auto"/>
          <w:spacing w:val="0"/>
          <w:sz w:val="24"/>
          <w:u w:val="none"/>
          <w:lang w:val="cs-CZ"/>
        </w:rPr>
        <w:t xml:space="preserve">teze </w:t>
      </w:r>
      <w:r w:rsidR="08BF5EF9">
        <w:rPr>
          <w:rStyle w:val="Zkladntextdkovn0pt"/>
          <w:rFonts w:ascii="Calibri" w:eastAsia="Times" w:hAnsi="Calibri" w:cs="Times New Roman"/>
          <w:color w:val="auto"/>
          <w:spacing w:val="0"/>
          <w:sz w:val="24"/>
          <w:u w:val="none"/>
          <w:lang w:val="cs-CZ"/>
        </w:rPr>
        <w:t xml:space="preserve">postavená </w:t>
      </w:r>
      <w:r w:rsidR="00246F8A">
        <w:rPr>
          <w:rStyle w:val="Zkladntextdkovn0pt"/>
          <w:rFonts w:ascii="Calibri" w:eastAsia="Times" w:hAnsi="Calibri" w:cs="Times New Roman"/>
          <w:color w:val="auto"/>
          <w:spacing w:val="0"/>
          <w:sz w:val="24"/>
          <w:u w:val="none"/>
          <w:lang w:val="cs-CZ"/>
        </w:rPr>
        <w:t xml:space="preserve">proti </w:t>
      </w:r>
      <w:r w:rsidR="08BF5EF9">
        <w:rPr>
          <w:rStyle w:val="Zkladntextdkovn0pt"/>
          <w:rFonts w:ascii="Calibri" w:eastAsia="Times" w:hAnsi="Calibri" w:cs="Times New Roman"/>
          <w:color w:val="auto"/>
          <w:spacing w:val="0"/>
          <w:sz w:val="24"/>
          <w:u w:val="none"/>
          <w:lang w:val="cs-CZ"/>
        </w:rPr>
        <w:t xml:space="preserve">porretánské </w:t>
      </w:r>
      <w:r w:rsidR="00246F8A">
        <w:rPr>
          <w:rStyle w:val="Zkladntextdkovn0pt"/>
          <w:rFonts w:ascii="Calibri" w:eastAsia="Times" w:hAnsi="Calibri" w:cs="Times New Roman"/>
          <w:color w:val="auto"/>
          <w:spacing w:val="0"/>
          <w:sz w:val="24"/>
          <w:u w:val="none"/>
          <w:lang w:val="cs-CZ"/>
        </w:rPr>
        <w:t>moderně</w:t>
      </w:r>
      <w:r w:rsidR="00E6542A">
        <w:rPr>
          <w:rStyle w:val="Zkladntextdkovn0pt"/>
          <w:rFonts w:ascii="Calibri" w:eastAsia="Times" w:hAnsi="Calibri" w:cs="Times New Roman"/>
          <w:color w:val="auto"/>
          <w:spacing w:val="0"/>
          <w:sz w:val="24"/>
          <w:u w:val="none"/>
          <w:lang w:val="cs-CZ"/>
        </w:rPr>
        <w:t xml:space="preserve"> tvr</w:t>
      </w:r>
      <w:r w:rsidR="08BF5EF9">
        <w:rPr>
          <w:rStyle w:val="Zkladntextdkovn0pt"/>
          <w:rFonts w:ascii="Calibri" w:eastAsia="Times" w:hAnsi="Calibri" w:cs="Times New Roman"/>
          <w:color w:val="auto"/>
          <w:spacing w:val="0"/>
          <w:sz w:val="24"/>
          <w:u w:val="none"/>
          <w:lang w:val="cs-CZ"/>
        </w:rPr>
        <w:t>dí</w:t>
      </w:r>
      <w:r w:rsidR="00E6542A">
        <w:rPr>
          <w:rStyle w:val="Zkladntextdkovn0pt"/>
          <w:rFonts w:ascii="Calibri" w:eastAsia="Times" w:hAnsi="Calibri" w:cs="Times New Roman"/>
          <w:color w:val="auto"/>
          <w:spacing w:val="0"/>
          <w:sz w:val="24"/>
          <w:u w:val="none"/>
          <w:lang w:val="cs-CZ"/>
        </w:rPr>
        <w:t xml:space="preserve">, že duše není schopna vyprodukovat žádnou formu </w:t>
      </w:r>
      <w:r w:rsidR="00A1378C">
        <w:rPr>
          <w:rStyle w:val="Zkladntextdkovn0pt"/>
          <w:rFonts w:ascii="Calibri" w:eastAsia="Times" w:hAnsi="Calibri" w:cs="Times New Roman"/>
          <w:color w:val="auto"/>
          <w:spacing w:val="0"/>
          <w:sz w:val="24"/>
          <w:u w:val="none"/>
          <w:lang w:val="cs-CZ"/>
        </w:rPr>
        <w:t xml:space="preserve">pouze </w:t>
      </w:r>
      <w:r w:rsidR="00E6542A">
        <w:rPr>
          <w:rStyle w:val="Zkladntextdkovn0pt"/>
          <w:rFonts w:ascii="Calibri" w:eastAsia="Times" w:hAnsi="Calibri" w:cs="Times New Roman"/>
          <w:color w:val="auto"/>
          <w:spacing w:val="0"/>
          <w:sz w:val="24"/>
          <w:u w:val="none"/>
          <w:lang w:val="cs-CZ"/>
        </w:rPr>
        <w:t>ze sebe, kvůli své receptivitě (</w:t>
      </w:r>
      <w:r w:rsidR="00E6542A" w:rsidRPr="00E6542A">
        <w:rPr>
          <w:rStyle w:val="Zkladntextdkovn0pt"/>
          <w:rFonts w:ascii="Calibri" w:eastAsia="Times" w:hAnsi="Calibri" w:cs="Times New Roman"/>
          <w:i/>
          <w:color w:val="auto"/>
          <w:spacing w:val="0"/>
          <w:sz w:val="24"/>
          <w:u w:val="none"/>
          <w:lang w:val="cs-CZ"/>
        </w:rPr>
        <w:t>e</w:t>
      </w:r>
      <w:r w:rsidR="00E6542A" w:rsidRPr="00E6542A">
        <w:rPr>
          <w:i/>
        </w:rPr>
        <w:t>x qua in seipsa non est aliqua forma</w:t>
      </w:r>
      <w:r w:rsidR="00E6542A">
        <w:t xml:space="preserve">). </w:t>
      </w:r>
      <w:r w:rsidR="00183919" w:rsidRPr="00273106">
        <w:rPr>
          <w:rStyle w:val="Zkladntextdkovn0pt"/>
          <w:rFonts w:ascii="Calibri" w:eastAsia="Times" w:hAnsi="Calibri" w:cs="Times New Roman"/>
          <w:color w:val="auto"/>
          <w:spacing w:val="0"/>
          <w:sz w:val="24"/>
          <w:u w:val="none"/>
          <w:lang w:val="cs-CZ"/>
        </w:rPr>
        <w:t xml:space="preserve">Klíčový rozdíl spočívá </w:t>
      </w:r>
      <w:r w:rsidR="00202A81" w:rsidRPr="00273106">
        <w:rPr>
          <w:rStyle w:val="Zkladntextdkovn0pt"/>
          <w:rFonts w:ascii="Calibri" w:eastAsia="Times" w:hAnsi="Calibri" w:cs="Times New Roman"/>
          <w:color w:val="auto"/>
          <w:spacing w:val="0"/>
          <w:sz w:val="24"/>
          <w:u w:val="none"/>
          <w:lang w:val="cs-CZ"/>
        </w:rPr>
        <w:t>v oddělení materiálního intelek</w:t>
      </w:r>
      <w:r w:rsidR="00183919" w:rsidRPr="00273106">
        <w:rPr>
          <w:rStyle w:val="Zkladntextdkovn0pt"/>
          <w:rFonts w:ascii="Calibri" w:eastAsia="Times" w:hAnsi="Calibri" w:cs="Times New Roman"/>
          <w:color w:val="auto"/>
          <w:spacing w:val="0"/>
          <w:sz w:val="24"/>
          <w:u w:val="none"/>
          <w:lang w:val="cs-CZ"/>
        </w:rPr>
        <w:t xml:space="preserve">tu </w:t>
      </w:r>
      <w:r w:rsidR="00AC4231" w:rsidRPr="00273106">
        <w:rPr>
          <w:rStyle w:val="Zkladntextdkovn0pt"/>
          <w:rFonts w:ascii="Calibri" w:eastAsia="Times" w:hAnsi="Calibri" w:cs="Times New Roman"/>
          <w:color w:val="auto"/>
          <w:spacing w:val="0"/>
          <w:sz w:val="24"/>
          <w:u w:val="none"/>
          <w:lang w:val="cs-CZ"/>
        </w:rPr>
        <w:t xml:space="preserve">orientovaného k přijetí materiálních smyslových forem </w:t>
      </w:r>
      <w:r w:rsidR="00183919" w:rsidRPr="00273106">
        <w:rPr>
          <w:rStyle w:val="Zkladntextdkovn0pt"/>
          <w:rFonts w:ascii="Calibri" w:eastAsia="Times" w:hAnsi="Calibri" w:cs="Times New Roman"/>
          <w:color w:val="auto"/>
          <w:spacing w:val="0"/>
          <w:sz w:val="24"/>
          <w:u w:val="none"/>
          <w:lang w:val="cs-CZ"/>
        </w:rPr>
        <w:t>od nemateriální</w:t>
      </w:r>
      <w:r w:rsidR="00AC4231" w:rsidRPr="00273106">
        <w:rPr>
          <w:rStyle w:val="Zkladntextdkovn0pt"/>
          <w:rFonts w:ascii="Calibri" w:eastAsia="Times" w:hAnsi="Calibri" w:cs="Times New Roman"/>
          <w:color w:val="auto"/>
          <w:spacing w:val="0"/>
          <w:sz w:val="24"/>
          <w:u w:val="none"/>
          <w:lang w:val="cs-CZ"/>
        </w:rPr>
        <w:t xml:space="preserve"> potenciality vyššího intelektu (</w:t>
      </w:r>
      <w:r w:rsidR="00AC4231" w:rsidRPr="00273106">
        <w:rPr>
          <w:i/>
        </w:rPr>
        <w:t>similiter dicitur esse intellectus in potentia</w:t>
      </w:r>
      <w:r w:rsidR="00AC4231" w:rsidRPr="00273106">
        <w:rPr>
          <w:rStyle w:val="Zkladntextdkovn0pt"/>
          <w:rFonts w:ascii="Calibri" w:eastAsia="Times" w:hAnsi="Calibri" w:cs="Times New Roman"/>
          <w:color w:val="auto"/>
          <w:spacing w:val="0"/>
          <w:sz w:val="24"/>
          <w:u w:val="none"/>
          <w:lang w:val="cs-CZ"/>
        </w:rPr>
        <w:t xml:space="preserve">). </w:t>
      </w:r>
      <w:r w:rsidR="00FA6DB3">
        <w:rPr>
          <w:rStyle w:val="Zkladntextdkovn0pt"/>
          <w:rFonts w:ascii="Calibri" w:eastAsia="Times" w:hAnsi="Calibri" w:cs="Times New Roman"/>
          <w:color w:val="auto"/>
          <w:spacing w:val="0"/>
          <w:sz w:val="24"/>
          <w:u w:val="none"/>
          <w:lang w:val="cs-CZ"/>
        </w:rPr>
        <w:t>S</w:t>
      </w:r>
      <w:r w:rsidR="00576CD3" w:rsidRPr="00273106">
        <w:rPr>
          <w:rStyle w:val="Zkladntextdkovn0pt"/>
          <w:rFonts w:ascii="Calibri" w:eastAsia="Times" w:hAnsi="Calibri" w:cs="Times New Roman"/>
          <w:color w:val="auto"/>
          <w:spacing w:val="0"/>
          <w:sz w:val="24"/>
          <w:u w:val="none"/>
          <w:lang w:val="cs-CZ"/>
        </w:rPr>
        <w:t>lovo</w:t>
      </w:r>
      <w:r w:rsidR="08EF29E4">
        <w:rPr>
          <w:rStyle w:val="Zkladntextdkovn0pt"/>
          <w:rFonts w:ascii="Calibri" w:eastAsia="Times" w:hAnsi="Calibri" w:cs="Times New Roman"/>
          <w:color w:val="auto"/>
          <w:spacing w:val="0"/>
          <w:sz w:val="24"/>
          <w:u w:val="none"/>
          <w:lang w:val="cs-CZ"/>
        </w:rPr>
        <w:t xml:space="preserve"> </w:t>
      </w:r>
      <w:r w:rsidR="00183919" w:rsidRPr="00273106">
        <w:rPr>
          <w:rStyle w:val="Zkladntextdkovn0pt"/>
          <w:rFonts w:ascii="Calibri" w:eastAsia="Times" w:hAnsi="Calibri" w:cs="Times New Roman"/>
          <w:i/>
          <w:color w:val="auto"/>
          <w:spacing w:val="0"/>
          <w:sz w:val="24"/>
          <w:u w:val="none"/>
          <w:lang w:val="cs-CZ"/>
        </w:rPr>
        <w:t>similiter</w:t>
      </w:r>
      <w:r w:rsidR="00183919" w:rsidRPr="00273106">
        <w:rPr>
          <w:rStyle w:val="Zkladntextdkovn0pt"/>
          <w:rFonts w:ascii="Calibri" w:eastAsia="Times" w:hAnsi="Calibri" w:cs="Times New Roman"/>
          <w:color w:val="auto"/>
          <w:spacing w:val="0"/>
          <w:sz w:val="24"/>
          <w:u w:val="none"/>
          <w:lang w:val="cs-CZ"/>
        </w:rPr>
        <w:t xml:space="preserve"> má fundamentální význam</w:t>
      </w:r>
      <w:r w:rsidR="00FA6DB3">
        <w:rPr>
          <w:rStyle w:val="Zkladntextdkovn0pt"/>
          <w:rFonts w:ascii="Calibri" w:eastAsia="Times" w:hAnsi="Calibri" w:cs="Times New Roman"/>
          <w:color w:val="auto"/>
          <w:spacing w:val="0"/>
          <w:sz w:val="24"/>
          <w:u w:val="none"/>
          <w:lang w:val="cs-CZ"/>
        </w:rPr>
        <w:t xml:space="preserve">, protože </w:t>
      </w:r>
      <w:r w:rsidR="08EF29E4">
        <w:rPr>
          <w:rStyle w:val="Zkladntextdkovn0pt"/>
          <w:rFonts w:ascii="Calibri" w:eastAsia="Times" w:hAnsi="Calibri" w:cs="Times New Roman"/>
          <w:color w:val="auto"/>
          <w:spacing w:val="0"/>
          <w:sz w:val="24"/>
          <w:u w:val="none"/>
          <w:lang w:val="cs-CZ"/>
        </w:rPr>
        <w:t xml:space="preserve">nastoluje stejné </w:t>
      </w:r>
      <w:r w:rsidR="00FA6DB3">
        <w:rPr>
          <w:rStyle w:val="Zkladntextdkovn0pt"/>
          <w:rFonts w:ascii="Calibri" w:eastAsia="Times" w:hAnsi="Calibri" w:cs="Times New Roman"/>
          <w:color w:val="auto"/>
          <w:spacing w:val="0"/>
          <w:sz w:val="24"/>
          <w:u w:val="none"/>
          <w:lang w:val="cs-CZ"/>
        </w:rPr>
        <w:t>schéma</w:t>
      </w:r>
      <w:r w:rsidR="006074BE" w:rsidRPr="00273106">
        <w:rPr>
          <w:rStyle w:val="Zkladntextdkovn0pt"/>
          <w:rFonts w:ascii="Calibri" w:eastAsia="Times" w:hAnsi="Calibri" w:cs="Times New Roman"/>
          <w:color w:val="auto"/>
          <w:spacing w:val="0"/>
          <w:sz w:val="24"/>
          <w:u w:val="none"/>
          <w:lang w:val="cs-CZ"/>
        </w:rPr>
        <w:t xml:space="preserve"> poznání </w:t>
      </w:r>
      <w:r w:rsidR="00FA6DB3">
        <w:rPr>
          <w:rStyle w:val="Zkladntextdkovn0pt"/>
          <w:rFonts w:ascii="Calibri" w:eastAsia="Times" w:hAnsi="Calibri" w:cs="Times New Roman"/>
          <w:color w:val="auto"/>
          <w:spacing w:val="0"/>
          <w:sz w:val="24"/>
          <w:u w:val="none"/>
          <w:lang w:val="cs-CZ"/>
        </w:rPr>
        <w:t xml:space="preserve">jako </w:t>
      </w:r>
      <w:r w:rsidR="006F51C2">
        <w:rPr>
          <w:rStyle w:val="Zkladntextdkovn0pt"/>
          <w:rFonts w:ascii="Calibri" w:eastAsia="Times" w:hAnsi="Calibri" w:cs="Times New Roman"/>
          <w:color w:val="auto"/>
          <w:spacing w:val="0"/>
          <w:sz w:val="24"/>
          <w:u w:val="none"/>
          <w:lang w:val="cs-CZ"/>
        </w:rPr>
        <w:t>Averroe</w:t>
      </w:r>
      <w:r w:rsidR="006074BE" w:rsidRPr="00273106">
        <w:rPr>
          <w:rStyle w:val="Zkladntextdkovn0pt"/>
          <w:rFonts w:ascii="Calibri" w:eastAsia="Times" w:hAnsi="Calibri" w:cs="Times New Roman"/>
          <w:color w:val="auto"/>
          <w:spacing w:val="0"/>
          <w:sz w:val="24"/>
          <w:u w:val="none"/>
          <w:lang w:val="cs-CZ"/>
        </w:rPr>
        <w:t>sov</w:t>
      </w:r>
      <w:r w:rsidR="00FA6DB3">
        <w:rPr>
          <w:rStyle w:val="Zkladntextdkovn0pt"/>
          <w:rFonts w:ascii="Calibri" w:eastAsia="Times" w:hAnsi="Calibri" w:cs="Times New Roman"/>
          <w:color w:val="auto"/>
          <w:spacing w:val="0"/>
          <w:sz w:val="24"/>
          <w:u w:val="none"/>
          <w:lang w:val="cs-CZ"/>
        </w:rPr>
        <w:t>o</w:t>
      </w:r>
      <w:r w:rsidR="006074BE" w:rsidRPr="00273106">
        <w:rPr>
          <w:rStyle w:val="Zkladntextdkovn0pt"/>
          <w:rFonts w:ascii="Calibri" w:eastAsia="Times" w:hAnsi="Calibri" w:cs="Times New Roman"/>
          <w:color w:val="auto"/>
          <w:spacing w:val="0"/>
          <w:sz w:val="24"/>
          <w:u w:val="none"/>
          <w:lang w:val="cs-CZ"/>
        </w:rPr>
        <w:t xml:space="preserve"> pojetí </w:t>
      </w:r>
      <w:r w:rsidR="00AC4231" w:rsidRPr="00273106">
        <w:rPr>
          <w:rStyle w:val="Zkladntextdkovn0pt"/>
          <w:rFonts w:ascii="Calibri" w:eastAsia="Times" w:hAnsi="Calibri" w:cs="Times New Roman"/>
          <w:i/>
          <w:color w:val="auto"/>
          <w:spacing w:val="0"/>
          <w:sz w:val="24"/>
          <w:u w:val="none"/>
          <w:lang w:val="cs-CZ"/>
        </w:rPr>
        <w:t>intellectus possibilis</w:t>
      </w:r>
      <w:r w:rsidR="009D323B">
        <w:rPr>
          <w:rStyle w:val="Zkladntextdkovn0pt"/>
          <w:rFonts w:ascii="Calibri" w:eastAsia="Times" w:hAnsi="Calibri" w:cs="Times New Roman"/>
          <w:i/>
          <w:color w:val="auto"/>
          <w:spacing w:val="0"/>
          <w:sz w:val="24"/>
          <w:u w:val="none"/>
          <w:lang w:val="cs-CZ"/>
        </w:rPr>
        <w:fldChar w:fldCharType="begin"/>
      </w:r>
      <w:r w:rsidR="009D323B">
        <w:instrText xml:space="preserve"> XE "</w:instrText>
      </w:r>
      <w:r w:rsidR="009D323B" w:rsidRPr="00770D02">
        <w:rPr>
          <w:i/>
        </w:rPr>
        <w:instrText>intellectus possibilis</w:instrText>
      </w:r>
      <w:r w:rsidR="00D14076">
        <w:instrText>:</w:instrText>
      </w:r>
      <w:r w:rsidR="002E3B62">
        <w:instrText>Averroes</w:instrText>
      </w:r>
      <w:r w:rsidR="009D323B">
        <w:instrText xml:space="preserve">" </w:instrText>
      </w:r>
      <w:r w:rsidR="009D323B">
        <w:rPr>
          <w:rStyle w:val="Zkladntextdkovn0pt"/>
          <w:rFonts w:ascii="Calibri" w:eastAsia="Times" w:hAnsi="Calibri" w:cs="Times New Roman"/>
          <w:i/>
          <w:color w:val="auto"/>
          <w:spacing w:val="0"/>
          <w:sz w:val="24"/>
          <w:u w:val="none"/>
          <w:lang w:val="cs-CZ"/>
        </w:rPr>
        <w:fldChar w:fldCharType="end"/>
      </w:r>
      <w:r w:rsidR="00FA6DB3">
        <w:rPr>
          <w:rStyle w:val="Zkladntextdkovn0pt"/>
          <w:rFonts w:ascii="Calibri" w:eastAsia="Times" w:hAnsi="Calibri" w:cs="Times New Roman"/>
          <w:color w:val="auto"/>
          <w:spacing w:val="0"/>
          <w:sz w:val="24"/>
          <w:u w:val="none"/>
          <w:lang w:val="cs-CZ"/>
        </w:rPr>
        <w:t xml:space="preserve"> (</w:t>
      </w:r>
      <w:r w:rsidR="083706C7">
        <w:rPr>
          <w:rStyle w:val="Zkladntextdkovn0pt"/>
          <w:rFonts w:ascii="Calibri" w:eastAsia="Times" w:hAnsi="Calibri" w:cs="Times New Roman"/>
          <w:color w:val="auto"/>
          <w:spacing w:val="0"/>
          <w:sz w:val="24"/>
          <w:u w:val="none"/>
          <w:lang w:val="cs-CZ"/>
        </w:rPr>
        <w:t xml:space="preserve">OBJ I, </w:t>
      </w:r>
      <w:r w:rsidR="00FA6DB3">
        <w:rPr>
          <w:rStyle w:val="Zkladntextdkovn0pt"/>
          <w:rFonts w:ascii="Calibri" w:eastAsia="Times" w:hAnsi="Calibri" w:cs="Times New Roman"/>
          <w:color w:val="auto"/>
          <w:spacing w:val="0"/>
          <w:sz w:val="24"/>
          <w:u w:val="none"/>
          <w:lang w:val="cs-CZ"/>
        </w:rPr>
        <w:t>kap. 2.4.2)</w:t>
      </w:r>
      <w:r w:rsidR="005F6BEA" w:rsidRPr="00273106">
        <w:rPr>
          <w:rStyle w:val="Zkladntextdkovn0pt"/>
          <w:rFonts w:ascii="Calibri" w:eastAsia="Times" w:hAnsi="Calibri" w:cs="Times New Roman"/>
          <w:color w:val="auto"/>
          <w:spacing w:val="0"/>
          <w:sz w:val="24"/>
          <w:u w:val="none"/>
          <w:lang w:val="cs-CZ"/>
        </w:rPr>
        <w:t xml:space="preserve">. </w:t>
      </w:r>
      <w:r w:rsidR="005D25AB" w:rsidRPr="00273106">
        <w:t>Materiální intelekt je podle Blunda receptivní složka intelektu tvořícího ipseitu nemateriální duše (</w:t>
      </w:r>
      <w:r w:rsidR="005D25AB" w:rsidRPr="00273106">
        <w:rPr>
          <w:i/>
        </w:rPr>
        <w:t>intellectus materialis est ipsa anima</w:t>
      </w:r>
      <w:r w:rsidR="005D25AB" w:rsidRPr="00273106">
        <w:t xml:space="preserve">). </w:t>
      </w:r>
      <w:r w:rsidR="008D141E" w:rsidRPr="00273106">
        <w:rPr>
          <w:rStyle w:val="Zkladntextdkovn0pt"/>
          <w:rFonts w:ascii="Calibri" w:eastAsia="Times" w:hAnsi="Calibri" w:cs="Times New Roman"/>
          <w:color w:val="auto"/>
          <w:spacing w:val="0"/>
          <w:sz w:val="24"/>
          <w:u w:val="none"/>
          <w:lang w:val="cs-CZ"/>
        </w:rPr>
        <w:t>P</w:t>
      </w:r>
      <w:r w:rsidR="00202A81" w:rsidRPr="00273106">
        <w:rPr>
          <w:rStyle w:val="Zkladntextdkovn0pt"/>
          <w:rFonts w:ascii="Calibri" w:eastAsia="Times" w:hAnsi="Calibri" w:cs="Times New Roman"/>
          <w:color w:val="auto"/>
          <w:spacing w:val="0"/>
          <w:sz w:val="24"/>
          <w:u w:val="none"/>
          <w:lang w:val="cs-CZ"/>
        </w:rPr>
        <w:t>asivní složka přijímá</w:t>
      </w:r>
      <w:r w:rsidR="00C60CE2" w:rsidRPr="00273106">
        <w:rPr>
          <w:rStyle w:val="Zkladntextdkovn0pt"/>
          <w:rFonts w:ascii="Calibri" w:eastAsia="Times" w:hAnsi="Calibri" w:cs="Times New Roman"/>
          <w:color w:val="auto"/>
          <w:spacing w:val="0"/>
          <w:sz w:val="24"/>
          <w:u w:val="none"/>
          <w:lang w:val="cs-CZ"/>
        </w:rPr>
        <w:t xml:space="preserve"> </w:t>
      </w:r>
      <w:r w:rsidR="005E6468">
        <w:rPr>
          <w:rStyle w:val="Zkladntextdkovn0pt"/>
          <w:rFonts w:ascii="Calibri" w:eastAsia="Times" w:hAnsi="Calibri" w:cs="Times New Roman"/>
          <w:color w:val="auto"/>
          <w:spacing w:val="0"/>
          <w:sz w:val="24"/>
          <w:u w:val="none"/>
          <w:lang w:val="cs-CZ"/>
        </w:rPr>
        <w:t xml:space="preserve">inteligibilní formy </w:t>
      </w:r>
      <w:r w:rsidR="008D141E" w:rsidRPr="00273106">
        <w:rPr>
          <w:rStyle w:val="Zkladntextdkovn0pt"/>
          <w:rFonts w:ascii="Calibri" w:eastAsia="Times" w:hAnsi="Calibri" w:cs="Times New Roman"/>
          <w:color w:val="auto"/>
          <w:spacing w:val="0"/>
          <w:sz w:val="24"/>
          <w:u w:val="none"/>
          <w:lang w:val="cs-CZ"/>
        </w:rPr>
        <w:t xml:space="preserve">na způsob potence </w:t>
      </w:r>
      <w:r w:rsidR="00C60CE2" w:rsidRPr="00273106">
        <w:rPr>
          <w:rStyle w:val="Zkladntextdkovn0pt"/>
          <w:rFonts w:ascii="Calibri" w:eastAsia="Times" w:hAnsi="Calibri" w:cs="Times New Roman"/>
          <w:color w:val="auto"/>
          <w:spacing w:val="0"/>
          <w:sz w:val="24"/>
          <w:u w:val="none"/>
          <w:lang w:val="cs-CZ"/>
        </w:rPr>
        <w:t>(</w:t>
      </w:r>
      <w:r w:rsidR="00C60CE2" w:rsidRPr="00273106">
        <w:rPr>
          <w:i/>
        </w:rPr>
        <w:t>esse materie est esse in potentia</w:t>
      </w:r>
      <w:r w:rsidR="00C60CE2" w:rsidRPr="00273106">
        <w:rPr>
          <w:rStyle w:val="Zkladntextdkovn0pt"/>
          <w:rFonts w:ascii="Calibri" w:eastAsia="Times" w:hAnsi="Calibri" w:cs="Times New Roman"/>
          <w:color w:val="auto"/>
          <w:spacing w:val="0"/>
          <w:sz w:val="24"/>
          <w:u w:val="none"/>
          <w:lang w:val="cs-CZ"/>
        </w:rPr>
        <w:t>)</w:t>
      </w:r>
      <w:r w:rsidR="003F01E9" w:rsidRPr="00273106">
        <w:rPr>
          <w:rStyle w:val="Zkladntextdkovn0pt"/>
          <w:rFonts w:ascii="Calibri" w:eastAsia="Times" w:hAnsi="Calibri" w:cs="Times New Roman"/>
          <w:color w:val="auto"/>
          <w:spacing w:val="0"/>
          <w:sz w:val="24"/>
          <w:u w:val="none"/>
          <w:lang w:val="cs-CZ"/>
        </w:rPr>
        <w:t xml:space="preserve">, aby </w:t>
      </w:r>
      <w:r w:rsidR="00FF282A" w:rsidRPr="00273106">
        <w:rPr>
          <w:rStyle w:val="Zkladntextdkovn0pt"/>
          <w:rFonts w:ascii="Calibri" w:eastAsia="Times" w:hAnsi="Calibri" w:cs="Times New Roman"/>
          <w:color w:val="auto"/>
          <w:spacing w:val="0"/>
          <w:sz w:val="24"/>
          <w:u w:val="none"/>
          <w:lang w:val="cs-CZ"/>
        </w:rPr>
        <w:t xml:space="preserve">plně receptivní </w:t>
      </w:r>
      <w:r w:rsidR="003F01E9" w:rsidRPr="00273106">
        <w:rPr>
          <w:rStyle w:val="Zkladntextdkovn0pt"/>
          <w:rFonts w:ascii="Calibri" w:eastAsia="Times" w:hAnsi="Calibri" w:cs="Times New Roman"/>
          <w:color w:val="auto"/>
          <w:spacing w:val="0"/>
          <w:sz w:val="24"/>
          <w:u w:val="none"/>
          <w:lang w:val="cs-CZ"/>
        </w:rPr>
        <w:t>duše mohla být libovolným obsahem poznání</w:t>
      </w:r>
      <w:r w:rsidR="00FF282A" w:rsidRPr="00273106">
        <w:rPr>
          <w:rStyle w:val="Zkladntextdkovn0pt"/>
          <w:rFonts w:ascii="Calibri" w:eastAsia="Times" w:hAnsi="Calibri" w:cs="Times New Roman"/>
          <w:color w:val="auto"/>
          <w:spacing w:val="0"/>
          <w:sz w:val="24"/>
          <w:u w:val="none"/>
          <w:lang w:val="cs-CZ"/>
        </w:rPr>
        <w:t xml:space="preserve"> podle </w:t>
      </w:r>
      <w:r w:rsidR="00B54DF6" w:rsidRPr="00273106">
        <w:rPr>
          <w:rStyle w:val="Zkladntextdkovn0pt"/>
          <w:rFonts w:ascii="Calibri" w:eastAsia="Times" w:hAnsi="Calibri" w:cs="Times New Roman"/>
          <w:color w:val="auto"/>
          <w:spacing w:val="0"/>
          <w:sz w:val="24"/>
          <w:u w:val="none"/>
          <w:lang w:val="cs-CZ"/>
        </w:rPr>
        <w:t xml:space="preserve">aristotelské </w:t>
      </w:r>
      <w:r w:rsidR="081C15FD">
        <w:rPr>
          <w:rStyle w:val="Zkladntextdkovn0pt"/>
          <w:rFonts w:ascii="Calibri" w:eastAsia="Times" w:hAnsi="Calibri" w:cs="Times New Roman"/>
          <w:color w:val="auto"/>
          <w:spacing w:val="0"/>
          <w:sz w:val="24"/>
          <w:u w:val="none"/>
          <w:lang w:val="cs-CZ"/>
        </w:rPr>
        <w:t xml:space="preserve">definice lidské duše </w:t>
      </w:r>
      <w:r w:rsidR="00FF282A" w:rsidRPr="00273106">
        <w:rPr>
          <w:rStyle w:val="Zkladntextdkovn0pt"/>
          <w:rFonts w:ascii="Calibri" w:eastAsia="Times" w:hAnsi="Calibri" w:cs="Times New Roman"/>
          <w:color w:val="auto"/>
          <w:spacing w:val="0"/>
          <w:sz w:val="24"/>
          <w:u w:val="none"/>
          <w:lang w:val="cs-CZ"/>
        </w:rPr>
        <w:t>(</w:t>
      </w:r>
      <w:r w:rsidR="08B65788" w:rsidRPr="00273106">
        <w:rPr>
          <w:i/>
        </w:rPr>
        <w:t>anima quodammodo est omnia</w:t>
      </w:r>
      <w:r w:rsidR="08B65788">
        <w:rPr>
          <w:i/>
        </w:rPr>
        <w:t xml:space="preserve">, </w:t>
      </w:r>
      <w:r w:rsidR="00B713C5">
        <w:rPr>
          <w:i/>
        </w:rPr>
        <w:t>De anima</w:t>
      </w:r>
      <w:r w:rsidR="00FF282A" w:rsidRPr="00273106">
        <w:t xml:space="preserve"> 431b20‒21</w:t>
      </w:r>
      <w:r w:rsidR="00D14076">
        <w:fldChar w:fldCharType="begin"/>
      </w:r>
      <w:r w:rsidR="00D14076">
        <w:instrText xml:space="preserve"> XE "</w:instrText>
      </w:r>
      <w:r w:rsidR="008E02F5">
        <w:instrText>Aristoteles</w:instrText>
      </w:r>
      <w:r w:rsidR="00D14076">
        <w:instrText>:</w:instrText>
      </w:r>
      <w:r w:rsidR="00D14076" w:rsidRPr="00766FAC">
        <w:rPr>
          <w:i/>
        </w:rPr>
        <w:instrText>De anima</w:instrText>
      </w:r>
      <w:r w:rsidR="00D14076" w:rsidRPr="00766FAC">
        <w:instrText xml:space="preserve"> 431b20‒21</w:instrText>
      </w:r>
      <w:r w:rsidR="00D14076">
        <w:instrText xml:space="preserve">" </w:instrText>
      </w:r>
      <w:r w:rsidR="00D14076">
        <w:fldChar w:fldCharType="end"/>
      </w:r>
      <w:r w:rsidR="00FF282A" w:rsidRPr="00273106">
        <w:rPr>
          <w:rStyle w:val="Zkladntextdkovn0pt"/>
          <w:rFonts w:ascii="Calibri" w:eastAsia="Times" w:hAnsi="Calibri" w:cs="Times New Roman"/>
          <w:color w:val="auto"/>
          <w:spacing w:val="0"/>
          <w:sz w:val="24"/>
          <w:u w:val="none"/>
          <w:lang w:val="cs-CZ"/>
        </w:rPr>
        <w:t>)</w:t>
      </w:r>
      <w:r w:rsidR="00202A81" w:rsidRPr="00273106">
        <w:rPr>
          <w:rStyle w:val="Zkladntextdkovn0pt"/>
          <w:rFonts w:ascii="Calibri" w:eastAsia="Times" w:hAnsi="Calibri" w:cs="Times New Roman"/>
          <w:color w:val="auto"/>
          <w:spacing w:val="0"/>
          <w:sz w:val="24"/>
          <w:u w:val="none"/>
          <w:lang w:val="cs-CZ"/>
        </w:rPr>
        <w:t>.</w:t>
      </w:r>
      <w:r w:rsidR="00D62AF8" w:rsidRPr="00273106">
        <w:rPr>
          <w:rStyle w:val="Zkladntextdkovn0pt"/>
          <w:rFonts w:ascii="Calibri" w:eastAsia="Times" w:hAnsi="Calibri" w:cs="Times New Roman"/>
          <w:color w:val="auto"/>
          <w:spacing w:val="0"/>
          <w:sz w:val="24"/>
          <w:u w:val="none"/>
          <w:lang w:val="cs-CZ"/>
        </w:rPr>
        <w:t xml:space="preserve"> </w:t>
      </w:r>
      <w:r w:rsidR="009564E6" w:rsidRPr="00273106">
        <w:rPr>
          <w:rStyle w:val="Zkladntextdkovn0pt"/>
          <w:rFonts w:ascii="Calibri" w:eastAsia="Times" w:hAnsi="Calibri" w:cs="Times New Roman"/>
          <w:color w:val="auto"/>
          <w:spacing w:val="0"/>
          <w:sz w:val="24"/>
          <w:u w:val="none"/>
          <w:lang w:val="cs-CZ"/>
        </w:rPr>
        <w:t>Receptivita intelektuálního poznání jde na druhé úrovni již k čistě formální abstrakci, kterou aktivně provádí činná složka</w:t>
      </w:r>
      <w:r w:rsidR="00326792" w:rsidRPr="00273106">
        <w:rPr>
          <w:rStyle w:val="Zkladntextdkovn0pt"/>
          <w:rFonts w:ascii="Calibri" w:eastAsia="Times" w:hAnsi="Calibri" w:cs="Times New Roman"/>
          <w:color w:val="auto"/>
          <w:spacing w:val="0"/>
          <w:sz w:val="24"/>
          <w:u w:val="none"/>
          <w:lang w:val="cs-CZ"/>
        </w:rPr>
        <w:t xml:space="preserve"> duše</w:t>
      </w:r>
      <w:r w:rsidR="009564E6" w:rsidRPr="00273106">
        <w:rPr>
          <w:rStyle w:val="Zkladntextdkovn0pt"/>
          <w:rFonts w:ascii="Calibri" w:eastAsia="Times" w:hAnsi="Calibri" w:cs="Times New Roman"/>
          <w:color w:val="auto"/>
          <w:spacing w:val="0"/>
          <w:sz w:val="24"/>
          <w:u w:val="none"/>
          <w:lang w:val="cs-CZ"/>
        </w:rPr>
        <w:t xml:space="preserve">. </w:t>
      </w:r>
      <w:r w:rsidR="0045104D" w:rsidRPr="00273106">
        <w:t xml:space="preserve">Blund spojil v modu </w:t>
      </w:r>
      <w:r w:rsidR="0045104D" w:rsidRPr="00273106">
        <w:rPr>
          <w:i/>
        </w:rPr>
        <w:t>proportio</w:t>
      </w:r>
      <w:r w:rsidR="0045104D" w:rsidRPr="00273106">
        <w:t xml:space="preserve"> a </w:t>
      </w:r>
      <w:r w:rsidR="0045104D" w:rsidRPr="00273106">
        <w:rPr>
          <w:i/>
        </w:rPr>
        <w:t>similitudo</w:t>
      </w:r>
      <w:r w:rsidR="0045104D" w:rsidRPr="00273106">
        <w:t xml:space="preserve"> paralelní sérii dvou procesů vzniku poznané formy, a to jak na smyslové, tak i na intelektuální úrovni. Oba procesy poznání jsou pasivně-aktivní a oba patří </w:t>
      </w:r>
      <w:r w:rsidR="0045104D" w:rsidRPr="00273106">
        <w:lastRenderedPageBreak/>
        <w:t xml:space="preserve">pod </w:t>
      </w:r>
      <w:r w:rsidR="080F5FC4">
        <w:t xml:space="preserve">dvojí </w:t>
      </w:r>
      <w:r w:rsidR="0045104D" w:rsidRPr="00273106">
        <w:t>řídící schopnost duše (</w:t>
      </w:r>
      <w:r w:rsidR="0045104D" w:rsidRPr="00273106">
        <w:rPr>
          <w:i/>
        </w:rPr>
        <w:t>imaginatio</w:t>
      </w:r>
      <w:r w:rsidR="0045104D" w:rsidRPr="00273106">
        <w:t xml:space="preserve">, </w:t>
      </w:r>
      <w:r w:rsidR="0045104D" w:rsidRPr="00273106">
        <w:rPr>
          <w:i/>
        </w:rPr>
        <w:t>intellectio</w:t>
      </w:r>
      <w:r w:rsidR="0045104D" w:rsidRPr="00273106">
        <w:t xml:space="preserve">). Pasivně-aktivní virtus duše je aktivována díky </w:t>
      </w:r>
      <w:r w:rsidR="0045104D" w:rsidRPr="00273106">
        <w:rPr>
          <w:rStyle w:val="Zkladntextdkovn0pt"/>
          <w:rFonts w:ascii="Calibri" w:eastAsia="Times" w:hAnsi="Calibri" w:cs="Times New Roman"/>
          <w:color w:val="auto"/>
          <w:spacing w:val="0"/>
          <w:sz w:val="24"/>
          <w:u w:val="none"/>
          <w:lang w:val="cs-CZ"/>
        </w:rPr>
        <w:t xml:space="preserve">recepci poznaných smyslových představ skrze </w:t>
      </w:r>
      <w:r w:rsidR="0045104D" w:rsidRPr="00273106">
        <w:rPr>
          <w:rStyle w:val="Zkladntextdkovn0pt"/>
          <w:rFonts w:ascii="Calibri" w:eastAsia="Times" w:hAnsi="Calibri" w:cs="Times New Roman"/>
          <w:i/>
          <w:color w:val="auto"/>
          <w:spacing w:val="0"/>
          <w:sz w:val="24"/>
          <w:u w:val="none"/>
          <w:lang w:val="cs-CZ"/>
        </w:rPr>
        <w:t>intellectus materialis</w:t>
      </w:r>
      <w:r w:rsidR="0045104D">
        <w:rPr>
          <w:rStyle w:val="Zkladntextdkovn0pt"/>
          <w:rFonts w:ascii="Calibri" w:eastAsia="Times" w:hAnsi="Calibri" w:cs="Times New Roman"/>
          <w:i/>
          <w:color w:val="auto"/>
          <w:spacing w:val="0"/>
          <w:sz w:val="24"/>
          <w:u w:val="none"/>
          <w:lang w:val="cs-CZ"/>
        </w:rPr>
        <w:fldChar w:fldCharType="begin"/>
      </w:r>
      <w:r w:rsidR="0045104D">
        <w:instrText xml:space="preserve"> XE "</w:instrText>
      </w:r>
      <w:r w:rsidR="0045104D" w:rsidRPr="00BE489A">
        <w:rPr>
          <w:i/>
        </w:rPr>
        <w:instrText>intellectus materialis</w:instrText>
      </w:r>
      <w:r w:rsidR="0045104D" w:rsidRPr="00BD1C3E">
        <w:instrText>:Blund</w:instrText>
      </w:r>
      <w:r w:rsidR="0045104D">
        <w:instrText xml:space="preserve">" </w:instrText>
      </w:r>
      <w:r w:rsidR="0045104D">
        <w:rPr>
          <w:rStyle w:val="Zkladntextdkovn0pt"/>
          <w:rFonts w:ascii="Calibri" w:eastAsia="Times" w:hAnsi="Calibri" w:cs="Times New Roman"/>
          <w:i/>
          <w:color w:val="auto"/>
          <w:spacing w:val="0"/>
          <w:sz w:val="24"/>
          <w:u w:val="none"/>
          <w:lang w:val="cs-CZ"/>
        </w:rPr>
        <w:fldChar w:fldCharType="end"/>
      </w:r>
      <w:r w:rsidR="0045104D" w:rsidRPr="00273106">
        <w:rPr>
          <w:rStyle w:val="Zkladntextdkovn0pt"/>
          <w:rFonts w:ascii="Calibri" w:eastAsia="Times" w:hAnsi="Calibri" w:cs="Times New Roman"/>
          <w:color w:val="auto"/>
          <w:spacing w:val="0"/>
          <w:sz w:val="24"/>
          <w:u w:val="none"/>
          <w:lang w:val="cs-CZ"/>
        </w:rPr>
        <w:t>, který v modu podobnosti (</w:t>
      </w:r>
      <w:r w:rsidR="0045104D" w:rsidRPr="00273106">
        <w:rPr>
          <w:rStyle w:val="Zkladntextdkovn0pt"/>
          <w:rFonts w:ascii="Calibri" w:eastAsia="Times" w:hAnsi="Calibri" w:cs="Times New Roman"/>
          <w:i/>
          <w:color w:val="auto"/>
          <w:spacing w:val="0"/>
          <w:sz w:val="24"/>
          <w:u w:val="none"/>
          <w:lang w:val="cs-CZ"/>
        </w:rPr>
        <w:t>similiter</w:t>
      </w:r>
      <w:r w:rsidR="0045104D" w:rsidRPr="00273106">
        <w:rPr>
          <w:rStyle w:val="Zkladntextdkovn0pt"/>
          <w:rFonts w:ascii="Calibri" w:eastAsia="Times" w:hAnsi="Calibri" w:cs="Times New Roman"/>
          <w:color w:val="auto"/>
          <w:spacing w:val="0"/>
          <w:sz w:val="24"/>
          <w:u w:val="none"/>
          <w:lang w:val="cs-CZ"/>
        </w:rPr>
        <w:t xml:space="preserve">) recipuje smysly poznanou věc, která je již aktivně zformovaná v imaginaci. </w:t>
      </w:r>
      <w:r w:rsidR="0045104D">
        <w:rPr>
          <w:rStyle w:val="Zkladntextdkovn0pt"/>
          <w:rFonts w:ascii="Calibri" w:eastAsia="Times" w:hAnsi="Calibri" w:cs="Times New Roman"/>
          <w:color w:val="auto"/>
          <w:spacing w:val="0"/>
          <w:sz w:val="24"/>
          <w:u w:val="none"/>
          <w:lang w:val="cs-CZ"/>
        </w:rPr>
        <w:t>Translaci formy poznané smysly do nemateriální formy poznané intelektem zajišťuje</w:t>
      </w:r>
      <w:r w:rsidR="08151B73">
        <w:rPr>
          <w:rStyle w:val="Zkladntextdkovn0pt"/>
          <w:rFonts w:ascii="Calibri" w:eastAsia="Times" w:hAnsi="Calibri" w:cs="Times New Roman"/>
          <w:color w:val="auto"/>
          <w:spacing w:val="0"/>
          <w:sz w:val="24"/>
          <w:u w:val="none"/>
          <w:lang w:val="cs-CZ"/>
        </w:rPr>
        <w:t xml:space="preserve"> </w:t>
      </w:r>
      <w:r w:rsidR="08151B73" w:rsidRPr="00273106">
        <w:rPr>
          <w:i/>
        </w:rPr>
        <w:t>intellectus in potentia</w:t>
      </w:r>
      <w:r w:rsidR="082D0F5F">
        <w:rPr>
          <w:rStyle w:val="Zkladntextdkovn0pt"/>
          <w:rFonts w:ascii="Calibri" w:eastAsia="Times" w:hAnsi="Calibri" w:cs="Times New Roman"/>
          <w:color w:val="auto"/>
          <w:spacing w:val="0"/>
          <w:sz w:val="24"/>
          <w:u w:val="none"/>
          <w:lang w:val="cs-CZ"/>
        </w:rPr>
        <w:t>, který tvoří intencionání schopnost lidské duše</w:t>
      </w:r>
      <w:r w:rsidR="087619C7">
        <w:rPr>
          <w:rStyle w:val="Zkladntextdkovn0pt"/>
          <w:rFonts w:ascii="Calibri" w:eastAsia="Times" w:hAnsi="Calibri" w:cs="Times New Roman"/>
          <w:color w:val="auto"/>
          <w:spacing w:val="0"/>
          <w:sz w:val="24"/>
          <w:u w:val="none"/>
          <w:lang w:val="cs-CZ"/>
        </w:rPr>
        <w:t xml:space="preserve"> a jí vlastní diafanum</w:t>
      </w:r>
      <w:r w:rsidR="082D0F5F">
        <w:rPr>
          <w:rStyle w:val="Zkladntextdkovn0pt"/>
          <w:rFonts w:ascii="Calibri" w:eastAsia="Times" w:hAnsi="Calibri" w:cs="Times New Roman"/>
          <w:color w:val="auto"/>
          <w:spacing w:val="0"/>
          <w:sz w:val="24"/>
          <w:u w:val="none"/>
          <w:lang w:val="cs-CZ"/>
        </w:rPr>
        <w:t xml:space="preserve">. </w:t>
      </w:r>
      <w:r w:rsidR="0045104D" w:rsidRPr="00273106">
        <w:rPr>
          <w:rStyle w:val="Zkladntextdkovn0pt"/>
          <w:rFonts w:ascii="Calibri" w:eastAsia="Times" w:hAnsi="Calibri" w:cs="Times New Roman"/>
          <w:color w:val="auto"/>
          <w:spacing w:val="0"/>
          <w:sz w:val="24"/>
          <w:u w:val="none"/>
          <w:lang w:val="cs-CZ"/>
        </w:rPr>
        <w:t xml:space="preserve">Proces abstrakce </w:t>
      </w:r>
      <w:r w:rsidR="08151B73">
        <w:rPr>
          <w:rStyle w:val="Zkladntextdkovn0pt"/>
          <w:rFonts w:ascii="Calibri" w:eastAsia="Times" w:hAnsi="Calibri" w:cs="Times New Roman"/>
          <w:color w:val="auto"/>
          <w:spacing w:val="0"/>
          <w:sz w:val="24"/>
          <w:u w:val="none"/>
          <w:lang w:val="cs-CZ"/>
        </w:rPr>
        <w:t xml:space="preserve">a výsledné syntézy </w:t>
      </w:r>
      <w:r w:rsidR="08151B73" w:rsidRPr="08151B73">
        <w:rPr>
          <w:rStyle w:val="Zkladntextdkovn0pt"/>
          <w:rFonts w:ascii="Calibri" w:eastAsia="Times" w:hAnsi="Calibri" w:cs="Times New Roman"/>
          <w:i/>
          <w:color w:val="auto"/>
          <w:spacing w:val="0"/>
          <w:sz w:val="24"/>
          <w:u w:val="none"/>
          <w:lang w:val="cs-CZ"/>
        </w:rPr>
        <w:t>intellectus formalis</w:t>
      </w:r>
      <w:r w:rsidR="08151B73">
        <w:rPr>
          <w:rStyle w:val="Zkladntextdkovn0pt"/>
          <w:rFonts w:ascii="Calibri" w:eastAsia="Times" w:hAnsi="Calibri" w:cs="Times New Roman"/>
          <w:color w:val="auto"/>
          <w:spacing w:val="0"/>
          <w:sz w:val="24"/>
          <w:u w:val="none"/>
          <w:lang w:val="cs-CZ"/>
        </w:rPr>
        <w:t xml:space="preserve"> </w:t>
      </w:r>
      <w:r w:rsidR="0045104D" w:rsidRPr="00273106">
        <w:rPr>
          <w:rStyle w:val="Zkladntextdkovn0pt"/>
          <w:rFonts w:ascii="Calibri" w:eastAsia="Times" w:hAnsi="Calibri" w:cs="Times New Roman"/>
          <w:color w:val="auto"/>
          <w:spacing w:val="0"/>
          <w:sz w:val="24"/>
          <w:u w:val="none"/>
          <w:lang w:val="cs-CZ"/>
        </w:rPr>
        <w:t>je determinovaný nasvícením od první substance</w:t>
      </w:r>
      <w:r w:rsidR="0045104D">
        <w:rPr>
          <w:rStyle w:val="Zkladntextdkovn0pt"/>
          <w:rFonts w:ascii="Calibri" w:eastAsia="Times" w:hAnsi="Calibri" w:cs="Times New Roman"/>
          <w:color w:val="auto"/>
          <w:spacing w:val="0"/>
          <w:sz w:val="24"/>
          <w:u w:val="none"/>
          <w:lang w:val="cs-CZ"/>
        </w:rPr>
        <w:fldChar w:fldCharType="begin"/>
      </w:r>
      <w:r w:rsidR="0045104D">
        <w:instrText xml:space="preserve"> XE "abstrakce:Blund" </w:instrText>
      </w:r>
      <w:r w:rsidR="0045104D">
        <w:rPr>
          <w:rStyle w:val="Zkladntextdkovn0pt"/>
          <w:rFonts w:ascii="Calibri" w:eastAsia="Times" w:hAnsi="Calibri" w:cs="Times New Roman"/>
          <w:color w:val="auto"/>
          <w:spacing w:val="0"/>
          <w:sz w:val="24"/>
          <w:u w:val="none"/>
          <w:lang w:val="cs-CZ"/>
        </w:rPr>
        <w:fldChar w:fldCharType="end"/>
      </w:r>
      <w:r w:rsidR="0045104D" w:rsidRPr="00273106">
        <w:rPr>
          <w:rStyle w:val="Zkladntextdkovn0pt"/>
          <w:rFonts w:ascii="Calibri" w:eastAsia="Times" w:hAnsi="Calibri" w:cs="Times New Roman"/>
          <w:color w:val="auto"/>
          <w:spacing w:val="0"/>
          <w:sz w:val="24"/>
          <w:u w:val="none"/>
          <w:lang w:val="cs-CZ"/>
        </w:rPr>
        <w:t>, a to díky dvojí formě recepce</w:t>
      </w:r>
      <w:r w:rsidR="0045104D">
        <w:rPr>
          <w:rStyle w:val="Zkladntextdkovn0pt"/>
          <w:rFonts w:ascii="Calibri" w:eastAsia="Times" w:hAnsi="Calibri" w:cs="Times New Roman"/>
          <w:color w:val="auto"/>
          <w:spacing w:val="0"/>
          <w:sz w:val="24"/>
          <w:u w:val="none"/>
          <w:lang w:val="cs-CZ"/>
        </w:rPr>
        <w:t xml:space="preserve"> formy skrze </w:t>
      </w:r>
      <w:r w:rsidR="0045104D" w:rsidRPr="00273106">
        <w:t xml:space="preserve">dvojí schopnost </w:t>
      </w:r>
      <w:r w:rsidR="086F2FAC">
        <w:t xml:space="preserve">oduševnělého </w:t>
      </w:r>
      <w:r w:rsidR="0045104D" w:rsidRPr="00273106">
        <w:t>těla</w:t>
      </w:r>
      <w:r w:rsidR="0045104D">
        <w:t xml:space="preserve"> (</w:t>
      </w:r>
      <w:r w:rsidR="0045104D" w:rsidRPr="006F5756">
        <w:rPr>
          <w:i/>
        </w:rPr>
        <w:t>duplex vis corporalis</w:t>
      </w:r>
      <w:r w:rsidR="0045104D">
        <w:t>)</w:t>
      </w:r>
      <w:r w:rsidR="0045104D" w:rsidRPr="00273106">
        <w:rPr>
          <w:rStyle w:val="Zkladntextdkovn0pt"/>
          <w:rFonts w:ascii="Calibri" w:eastAsia="Times" w:hAnsi="Calibri" w:cs="Times New Roman"/>
          <w:color w:val="auto"/>
          <w:spacing w:val="0"/>
          <w:sz w:val="24"/>
          <w:u w:val="none"/>
          <w:lang w:val="cs-CZ"/>
        </w:rPr>
        <w:t>. C</w:t>
      </w:r>
      <w:r w:rsidR="0045104D" w:rsidRPr="00273106">
        <w:t>itát definuje materiální a formální intelekt v duši skrze podobnost s formou danou v aktuální hyleformické složenině (</w:t>
      </w:r>
      <w:r w:rsidR="0045104D" w:rsidRPr="00273106">
        <w:rPr>
          <w:i/>
        </w:rPr>
        <w:t>ad similitudinem et proportionem forme</w:t>
      </w:r>
      <w:r w:rsidR="0045104D" w:rsidRPr="00273106">
        <w:t xml:space="preserve">). </w:t>
      </w:r>
      <w:r w:rsidR="0045104D" w:rsidRPr="00273106">
        <w:rPr>
          <w:rStyle w:val="Zkladntextdkovn0pt"/>
          <w:rFonts w:ascii="Calibri" w:eastAsia="Times" w:hAnsi="Calibri" w:cs="Times New Roman"/>
          <w:color w:val="auto"/>
          <w:spacing w:val="0"/>
          <w:sz w:val="24"/>
          <w:u w:val="none"/>
          <w:lang w:val="cs-CZ"/>
        </w:rPr>
        <w:t>Blund ned</w:t>
      </w:r>
      <w:r w:rsidR="0045104D" w:rsidRPr="00273106">
        <w:t>ělí schopnosti duše jako avicennisté na materiální a nemateriální formy</w:t>
      </w:r>
      <w:r w:rsidR="08EB75B0">
        <w:t xml:space="preserve"> v modu graduální superpozice</w:t>
      </w:r>
      <w:r w:rsidR="08EC5094">
        <w:t xml:space="preserve"> podle </w:t>
      </w:r>
      <w:r w:rsidR="08EC5094" w:rsidRPr="08EC5094">
        <w:rPr>
          <w:i/>
        </w:rPr>
        <w:t>Liber de causis</w:t>
      </w:r>
      <w:r w:rsidR="0045104D">
        <w:t xml:space="preserve">. Tento aristotelik odmítl moderní dualismus a definuje </w:t>
      </w:r>
      <w:r w:rsidR="08645315">
        <w:t xml:space="preserve">podle </w:t>
      </w:r>
      <w:r w:rsidR="08645315" w:rsidRPr="08645315">
        <w:rPr>
          <w:i/>
        </w:rPr>
        <w:t>De anima</w:t>
      </w:r>
      <w:r w:rsidR="08645315">
        <w:t xml:space="preserve"> pouze </w:t>
      </w:r>
      <w:r w:rsidR="0045104D">
        <w:t xml:space="preserve">pasivně-receptivní a </w:t>
      </w:r>
      <w:r w:rsidR="0045104D" w:rsidRPr="00273106">
        <w:t>aktivně-formující schopnosti lidské duše (</w:t>
      </w:r>
      <w:r w:rsidR="0045104D" w:rsidRPr="00273106">
        <w:rPr>
          <w:i/>
        </w:rPr>
        <w:t>ipsa anima</w:t>
      </w:r>
      <w:r w:rsidR="0045104D" w:rsidRPr="00273106">
        <w:t xml:space="preserve">) poznávající skrze smysly. </w:t>
      </w:r>
      <w:r w:rsidR="0045104D">
        <w:t xml:space="preserve">Proto má v jeho schématu poznání centrální místo </w:t>
      </w:r>
      <w:r w:rsidR="0045104D" w:rsidRPr="00A30B4A">
        <w:rPr>
          <w:i/>
        </w:rPr>
        <w:t>intellectus formalis</w:t>
      </w:r>
      <w:r w:rsidR="0045104D">
        <w:t xml:space="preserve">, a ne avicennovský </w:t>
      </w:r>
      <w:r w:rsidR="0045104D" w:rsidRPr="008B1602">
        <w:rPr>
          <w:i/>
        </w:rPr>
        <w:t>intellectus adeptus</w:t>
      </w:r>
      <w:r w:rsidR="0045104D">
        <w:t xml:space="preserve">. </w:t>
      </w:r>
      <w:r w:rsidR="0045104D" w:rsidRPr="00273106">
        <w:rPr>
          <w:rStyle w:val="Zkladntextdkovn0pt"/>
          <w:rFonts w:ascii="Calibri" w:eastAsia="Times" w:hAnsi="Calibri" w:cs="Times New Roman"/>
          <w:color w:val="auto"/>
          <w:spacing w:val="0"/>
          <w:sz w:val="24"/>
          <w:u w:val="none"/>
          <w:lang w:val="cs-CZ"/>
        </w:rPr>
        <w:t>Podobnost věci a rozumu je zajištěna harmonií různých složek jednoduché a nemateriální duše</w:t>
      </w:r>
      <w:r w:rsidR="082D457F">
        <w:rPr>
          <w:rStyle w:val="Zkladntextdkovn0pt"/>
          <w:rFonts w:ascii="Calibri" w:eastAsia="Times" w:hAnsi="Calibri" w:cs="Times New Roman"/>
          <w:color w:val="auto"/>
          <w:spacing w:val="0"/>
          <w:sz w:val="24"/>
          <w:u w:val="none"/>
          <w:lang w:val="cs-CZ"/>
        </w:rPr>
        <w:t xml:space="preserve"> </w:t>
      </w:r>
      <w:r w:rsidR="0045104D" w:rsidRPr="00273106">
        <w:rPr>
          <w:rStyle w:val="Zkladntextdkovn0pt"/>
          <w:rFonts w:ascii="Calibri" w:eastAsia="Times" w:hAnsi="Calibri" w:cs="Times New Roman"/>
          <w:color w:val="auto"/>
          <w:spacing w:val="0"/>
          <w:sz w:val="24"/>
          <w:u w:val="none"/>
          <w:lang w:val="cs-CZ"/>
        </w:rPr>
        <w:t xml:space="preserve">díky receptivně-syntetickému procesu poznání na úrovni smyslové a rozumové. Výsledný poznatek představuje syntézu dvou složek jednoho a téhož intelektu. </w:t>
      </w:r>
      <w:r w:rsidR="0045104D">
        <w:rPr>
          <w:rStyle w:val="Zkladntextdkovn0pt"/>
          <w:rFonts w:ascii="Calibri" w:eastAsia="Times" w:hAnsi="Calibri" w:cs="Times New Roman"/>
          <w:color w:val="auto"/>
          <w:spacing w:val="0"/>
          <w:sz w:val="24"/>
          <w:u w:val="none"/>
          <w:lang w:val="cs-CZ"/>
        </w:rPr>
        <w:t>I</w:t>
      </w:r>
      <w:r w:rsidR="0045104D">
        <w:t xml:space="preserve">nterpretace Alfarabiova spisu </w:t>
      </w:r>
      <w:r w:rsidR="0045104D" w:rsidRPr="00B568C5">
        <w:rPr>
          <w:i/>
        </w:rPr>
        <w:t>De intellectu et intellecto</w:t>
      </w:r>
      <w:r w:rsidR="0045104D">
        <w:t xml:space="preserve"> sleduje Averroesův výklad </w:t>
      </w:r>
      <w:r w:rsidR="0045104D" w:rsidRPr="00B568C5">
        <w:rPr>
          <w:i/>
        </w:rPr>
        <w:t>avant la lettre</w:t>
      </w:r>
      <w:r w:rsidR="083321B4">
        <w:t xml:space="preserve">. Blund </w:t>
      </w:r>
      <w:r w:rsidR="0045104D" w:rsidRPr="00273106">
        <w:t>obnov</w:t>
      </w:r>
      <w:r w:rsidR="083321B4">
        <w:t xml:space="preserve">il </w:t>
      </w:r>
      <w:r w:rsidR="0045104D" w:rsidRPr="00273106">
        <w:t xml:space="preserve">původní schéma poznání </w:t>
      </w:r>
      <w:r w:rsidR="0045104D">
        <w:t xml:space="preserve">pasivní a aktivní schopnosti intelektu </w:t>
      </w:r>
      <w:r w:rsidR="0045104D" w:rsidRPr="00273106">
        <w:t>(</w:t>
      </w:r>
      <w:r w:rsidR="0045104D">
        <w:rPr>
          <w:i/>
        </w:rPr>
        <w:t>De anima</w:t>
      </w:r>
      <w:r w:rsidR="0045104D" w:rsidRPr="00273106">
        <w:t xml:space="preserve"> 430a14–15</w:t>
      </w:r>
      <w:r w:rsidR="0045104D">
        <w:fldChar w:fldCharType="begin"/>
      </w:r>
      <w:r w:rsidR="0045104D">
        <w:instrText xml:space="preserve"> XE "Aristoteles:</w:instrText>
      </w:r>
      <w:r w:rsidR="0045104D">
        <w:rPr>
          <w:i/>
        </w:rPr>
        <w:instrText>De anima</w:instrText>
      </w:r>
      <w:r w:rsidR="0045104D" w:rsidRPr="00273106">
        <w:instrText xml:space="preserve"> 430a14–15</w:instrText>
      </w:r>
      <w:r w:rsidR="0045104D">
        <w:instrText xml:space="preserve">" </w:instrText>
      </w:r>
      <w:r w:rsidR="0045104D">
        <w:fldChar w:fldCharType="end"/>
      </w:r>
      <w:r w:rsidR="0045104D" w:rsidRPr="00273106">
        <w:t xml:space="preserve">), které komentoval </w:t>
      </w:r>
      <w:r w:rsidR="0045104D">
        <w:t>Averroes</w:t>
      </w:r>
      <w:r w:rsidR="0045104D" w:rsidRPr="00273106">
        <w:t xml:space="preserve"> ve falsafě (</w:t>
      </w:r>
      <w:r w:rsidR="082D3425">
        <w:t xml:space="preserve">OBJ I, </w:t>
      </w:r>
      <w:r w:rsidR="0045104D" w:rsidRPr="00273106">
        <w:t xml:space="preserve">kap. 2.4.3). </w:t>
      </w:r>
      <w:r w:rsidR="0045104D">
        <w:t>Na latinském Západě n</w:t>
      </w:r>
      <w:r w:rsidR="0045104D" w:rsidRPr="00273106">
        <w:t>ikdo před Blundem takto těsně nenavázal materiální intelekt na ak</w:t>
      </w:r>
      <w:r w:rsidR="0045104D">
        <w:t xml:space="preserve">tivní nemateriální složku duše. </w:t>
      </w:r>
      <w:r w:rsidR="085E72E0">
        <w:t>S</w:t>
      </w:r>
      <w:r w:rsidR="0045104D" w:rsidRPr="00273106">
        <w:t xml:space="preserve">chémata </w:t>
      </w:r>
      <w:r w:rsidR="08F76BFC">
        <w:t xml:space="preserve">modernistů </w:t>
      </w:r>
      <w:r w:rsidR="0045104D" w:rsidRPr="00273106">
        <w:t>byla poplatná Avicennově dualismu mezi materi</w:t>
      </w:r>
      <w:r w:rsidR="08762F9B">
        <w:t>álním a nemateriálním poznáním.</w:t>
      </w:r>
    </w:p>
    <w:p w14:paraId="5F0D123E" w14:textId="77777777" w:rsidR="0077072B" w:rsidRDefault="08762F9B" w:rsidP="08FE0447">
      <w:r>
        <w:tab/>
      </w:r>
      <w:r w:rsidR="08E71E37">
        <w:t>Tím je vysvětle</w:t>
      </w:r>
      <w:r>
        <w:t xml:space="preserve">no, proč </w:t>
      </w:r>
      <w:r w:rsidR="08F76BFC">
        <w:t xml:space="preserve">Blundovi žáci zakládající Pařížskou univerzitu </w:t>
      </w:r>
      <w:r w:rsidR="0045104D">
        <w:t xml:space="preserve">odmítli avicennovskou exegezi Toledské školy po uvedení Averroesova korpusu po roce 1220. </w:t>
      </w:r>
      <w:r w:rsidR="08F77A39">
        <w:t xml:space="preserve">Důvod byl nejen filosofický, ale i teologický, protože modernisté zničili křesťanské pojetí osoby a svobodné vůle. Proto byl hlavní pařížský představitel této školy </w:t>
      </w:r>
      <w:r w:rsidR="0833728A">
        <w:t xml:space="preserve">William z Auvergne </w:t>
      </w:r>
      <w:r w:rsidR="08F77A39">
        <w:t>jmenován pařížským biskupem a rektorem nově vzniklé univerzity. A jeho</w:t>
      </w:r>
      <w:r w:rsidR="00FF6C60">
        <w:t xml:space="preserve"> kolega, Robert </w:t>
      </w:r>
      <w:r w:rsidR="08EC3DD6">
        <w:t>Grossesteste</w:t>
      </w:r>
      <w:r w:rsidR="00FF6C60">
        <w:t>,</w:t>
      </w:r>
      <w:r w:rsidR="08EC3DD6">
        <w:t xml:space="preserve"> </w:t>
      </w:r>
      <w:r w:rsidR="08F77A39">
        <w:t xml:space="preserve">odjel do Oxfordu zakládat zdejší univerzitu v podobném </w:t>
      </w:r>
      <w:r w:rsidR="08490442">
        <w:t xml:space="preserve">aristotelském </w:t>
      </w:r>
      <w:r w:rsidR="08F77A39">
        <w:t xml:space="preserve">duchu, což bohužel dopadlo zcela odlišně. </w:t>
      </w:r>
      <w:r w:rsidR="00F81EC6" w:rsidRPr="00273106">
        <w:t xml:space="preserve">K </w:t>
      </w:r>
      <w:r w:rsidR="00D0046C">
        <w:t xml:space="preserve">brilantní </w:t>
      </w:r>
      <w:r w:rsidR="00F81EC6" w:rsidRPr="00273106">
        <w:t xml:space="preserve">definici </w:t>
      </w:r>
      <w:r w:rsidR="00385543" w:rsidRPr="00273106">
        <w:t xml:space="preserve">možného intelektu </w:t>
      </w:r>
      <w:r w:rsidR="00431BCE" w:rsidRPr="00273106">
        <w:t xml:space="preserve">dodá </w:t>
      </w:r>
      <w:r w:rsidR="00F81EC6" w:rsidRPr="00273106">
        <w:t xml:space="preserve">CMDA </w:t>
      </w:r>
      <w:r w:rsidR="0085625E" w:rsidRPr="00273106">
        <w:lastRenderedPageBreak/>
        <w:t xml:space="preserve">komentovaný </w:t>
      </w:r>
      <w:r w:rsidR="00201B69" w:rsidRPr="00273106">
        <w:t xml:space="preserve">prvními averroisty </w:t>
      </w:r>
      <w:r w:rsidR="0085625E" w:rsidRPr="00273106">
        <w:t xml:space="preserve">od 1230 </w:t>
      </w:r>
      <w:r w:rsidR="00F81EC6" w:rsidRPr="00273106">
        <w:t>jen</w:t>
      </w:r>
      <w:r w:rsidR="00275D33" w:rsidRPr="00273106">
        <w:t xml:space="preserve"> </w:t>
      </w:r>
      <w:r w:rsidR="00431BCE" w:rsidRPr="00273106">
        <w:t xml:space="preserve">poslední důležitý </w:t>
      </w:r>
      <w:r w:rsidR="00201B69" w:rsidRPr="00273106">
        <w:t xml:space="preserve">fakt. </w:t>
      </w:r>
      <w:r w:rsidR="00431BCE" w:rsidRPr="00273106">
        <w:t xml:space="preserve">Blundem </w:t>
      </w:r>
      <w:r w:rsidR="00EC2161" w:rsidRPr="00273106">
        <w:t xml:space="preserve">citovaný </w:t>
      </w:r>
      <w:r w:rsidR="00EC2161" w:rsidRPr="00273106">
        <w:rPr>
          <w:i/>
        </w:rPr>
        <w:t>intellectus in potentia</w:t>
      </w:r>
      <w:r w:rsidR="00EC2161" w:rsidRPr="00273106">
        <w:t xml:space="preserve"> </w:t>
      </w:r>
      <w:r w:rsidR="00F81EC6" w:rsidRPr="00273106">
        <w:t xml:space="preserve">je </w:t>
      </w:r>
      <w:r w:rsidR="00427410">
        <w:t>podle Averroe</w:t>
      </w:r>
      <w:r w:rsidR="00201B69" w:rsidRPr="00273106">
        <w:t xml:space="preserve">se </w:t>
      </w:r>
      <w:r w:rsidR="00F81EC6" w:rsidRPr="00273106">
        <w:t>nemateriální</w:t>
      </w:r>
      <w:r w:rsidR="00EC2161" w:rsidRPr="00273106">
        <w:t xml:space="preserve"> povahy</w:t>
      </w:r>
      <w:r w:rsidR="00427410">
        <w:t xml:space="preserve"> a jednota poznání musí být </w:t>
      </w:r>
      <w:r w:rsidR="00CE4BB5">
        <w:t xml:space="preserve">z tohoto zásadního důvodu </w:t>
      </w:r>
      <w:r w:rsidR="00427410">
        <w:t xml:space="preserve">provedena v modu </w:t>
      </w:r>
      <w:r w:rsidR="00427410" w:rsidRPr="00427410">
        <w:rPr>
          <w:i/>
        </w:rPr>
        <w:t>tertium</w:t>
      </w:r>
      <w:r w:rsidR="00427410">
        <w:t xml:space="preserve"> </w:t>
      </w:r>
      <w:r w:rsidR="00B1298A">
        <w:rPr>
          <w:i/>
        </w:rPr>
        <w:t>genus</w:t>
      </w:r>
      <w:r w:rsidR="00CE4BB5">
        <w:t xml:space="preserve"> pro individuální průběh poznání a v modu </w:t>
      </w:r>
      <w:r w:rsidR="00427410" w:rsidRPr="00427410">
        <w:rPr>
          <w:i/>
        </w:rPr>
        <w:t>quartum</w:t>
      </w:r>
      <w:r w:rsidR="00CE4BB5">
        <w:rPr>
          <w:i/>
        </w:rPr>
        <w:t xml:space="preserve"> </w:t>
      </w:r>
      <w:r w:rsidR="00B1298A">
        <w:rPr>
          <w:i/>
        </w:rPr>
        <w:t>genus</w:t>
      </w:r>
      <w:r w:rsidR="00CE4BB5">
        <w:rPr>
          <w:i/>
        </w:rPr>
        <w:t xml:space="preserve"> </w:t>
      </w:r>
      <w:r w:rsidR="00CE4BB5">
        <w:t>pro celkový pop</w:t>
      </w:r>
      <w:r w:rsidR="00CE4BB5" w:rsidRPr="00CE4BB5">
        <w:t>i</w:t>
      </w:r>
      <w:r w:rsidR="00CE4BB5">
        <w:t>s</w:t>
      </w:r>
      <w:r w:rsidR="00CE4BB5" w:rsidRPr="00CE4BB5">
        <w:t xml:space="preserve"> intelektu v rámci</w:t>
      </w:r>
      <w:r w:rsidR="00CE4BB5">
        <w:t xml:space="preserve"> univerzá</w:t>
      </w:r>
      <w:r w:rsidR="00AC332E">
        <w:t>l</w:t>
      </w:r>
      <w:r w:rsidR="08A30C12">
        <w:t>ní</w:t>
      </w:r>
      <w:r w:rsidR="00CE4BB5">
        <w:rPr>
          <w:i/>
        </w:rPr>
        <w:t xml:space="preserve"> </w:t>
      </w:r>
      <w:r w:rsidR="006A04C6" w:rsidRPr="006A04C6">
        <w:t>species</w:t>
      </w:r>
      <w:r w:rsidR="00427410">
        <w:t xml:space="preserve">. </w:t>
      </w:r>
      <w:r w:rsidR="00AF1AF0" w:rsidRPr="00273106">
        <w:t xml:space="preserve">Blundova definice materiálního a potenciálního intelektu </w:t>
      </w:r>
      <w:r w:rsidR="009716DD">
        <w:t xml:space="preserve">zásadně </w:t>
      </w:r>
      <w:r w:rsidR="002420F2" w:rsidRPr="00273106">
        <w:t>odpovídá</w:t>
      </w:r>
      <w:r w:rsidR="00431BCE" w:rsidRPr="00273106">
        <w:t xml:space="preserve"> </w:t>
      </w:r>
      <w:r w:rsidR="00AF1AF0" w:rsidRPr="00273106">
        <w:t xml:space="preserve">novátorskému </w:t>
      </w:r>
      <w:r w:rsidR="08A30C12">
        <w:t xml:space="preserve">pojetí </w:t>
      </w:r>
      <w:r w:rsidR="00431BCE" w:rsidRPr="00273106">
        <w:rPr>
          <w:i/>
        </w:rPr>
        <w:t>intellectus possibilis</w:t>
      </w:r>
      <w:r w:rsidR="00431BCE" w:rsidRPr="00273106">
        <w:t xml:space="preserve"> v CMDA</w:t>
      </w:r>
      <w:r w:rsidR="08A30C12">
        <w:t xml:space="preserve">. Blund používá Al-Fárábího termín </w:t>
      </w:r>
      <w:r w:rsidR="08366B46">
        <w:rPr>
          <w:i/>
        </w:rPr>
        <w:t>intellectus in potenc</w:t>
      </w:r>
      <w:r w:rsidR="00D113BD" w:rsidRPr="00273106">
        <w:rPr>
          <w:i/>
        </w:rPr>
        <w:t>ia</w:t>
      </w:r>
      <w:r w:rsidR="006E1FB5">
        <w:t xml:space="preserve"> a chápe jej v</w:t>
      </w:r>
      <w:r w:rsidR="00D113BD" w:rsidRPr="00273106">
        <w:t xml:space="preserve"> </w:t>
      </w:r>
      <w:r w:rsidR="00E142F2">
        <w:t xml:space="preserve">podobném </w:t>
      </w:r>
      <w:r w:rsidR="00D113BD" w:rsidRPr="00273106">
        <w:t xml:space="preserve">významu </w:t>
      </w:r>
      <w:r w:rsidR="009902BA">
        <w:t>jako Al-Fá</w:t>
      </w:r>
      <w:r w:rsidR="00424318">
        <w:t xml:space="preserve">rábí a </w:t>
      </w:r>
      <w:r w:rsidR="009902BA">
        <w:t>Averroe</w:t>
      </w:r>
      <w:r w:rsidR="00D113BD" w:rsidRPr="00273106">
        <w:t>s</w:t>
      </w:r>
      <w:r w:rsidR="005510D8">
        <w:t>.</w:t>
      </w:r>
      <w:r w:rsidR="000B400D" w:rsidRPr="000B400D">
        <w:t xml:space="preserve"> </w:t>
      </w:r>
      <w:r w:rsidR="000B400D" w:rsidRPr="00273106">
        <w:t xml:space="preserve">Tím je zodpovězena otázka, proč první vlna </w:t>
      </w:r>
      <w:r w:rsidR="000B400D">
        <w:t xml:space="preserve">vykladačů CMDA </w:t>
      </w:r>
      <w:r w:rsidR="000B400D" w:rsidRPr="00273106">
        <w:t xml:space="preserve">neměla žádný problém s rozšířením </w:t>
      </w:r>
      <w:r w:rsidR="000B400D">
        <w:t xml:space="preserve">Blundova </w:t>
      </w:r>
      <w:r w:rsidR="000B400D" w:rsidRPr="00273106">
        <w:t>m</w:t>
      </w:r>
      <w:r w:rsidR="000B400D">
        <w:t>ateriálního intelektu na Averroe</w:t>
      </w:r>
      <w:r w:rsidR="000B400D" w:rsidRPr="00273106">
        <w:t xml:space="preserve">sův </w:t>
      </w:r>
      <w:r w:rsidR="000B400D" w:rsidRPr="00273106">
        <w:rPr>
          <w:i/>
        </w:rPr>
        <w:t>intellectus possibilis</w:t>
      </w:r>
      <w:r w:rsidR="000B400D">
        <w:t xml:space="preserve"> a Blundova formálního intelektu na Averroe</w:t>
      </w:r>
      <w:r w:rsidR="000B400D" w:rsidRPr="00273106">
        <w:t xml:space="preserve">sův </w:t>
      </w:r>
      <w:r w:rsidR="000B400D" w:rsidRPr="009902BA">
        <w:rPr>
          <w:i/>
        </w:rPr>
        <w:t>intellectus speculativus</w:t>
      </w:r>
      <w:r w:rsidR="000B400D">
        <w:t>.</w:t>
      </w:r>
      <w:r w:rsidR="08E71E37">
        <w:t xml:space="preserve"> </w:t>
      </w:r>
      <w:r w:rsidR="08F42D02">
        <w:t>Blundův t</w:t>
      </w:r>
      <w:r w:rsidR="08F42D02" w:rsidRPr="00273106">
        <w:t xml:space="preserve">raktát podal aristotelský výklad </w:t>
      </w:r>
      <w:r w:rsidR="08F42D02">
        <w:rPr>
          <w:i/>
        </w:rPr>
        <w:t>De a</w:t>
      </w:r>
      <w:r w:rsidR="08F42D02" w:rsidRPr="00273106">
        <w:rPr>
          <w:i/>
        </w:rPr>
        <w:t>nima</w:t>
      </w:r>
      <w:r w:rsidR="08F42D02" w:rsidRPr="00273106">
        <w:t xml:space="preserve"> 430a21‒23</w:t>
      </w:r>
      <w:r w:rsidR="08F42D02">
        <w:fldChar w:fldCharType="begin"/>
      </w:r>
      <w:r w:rsidR="08F42D02">
        <w:instrText xml:space="preserve"> XE "Aristoteles:</w:instrText>
      </w:r>
      <w:r w:rsidR="08F42D02" w:rsidRPr="00072BD4">
        <w:rPr>
          <w:i/>
        </w:rPr>
        <w:instrText>De anima</w:instrText>
      </w:r>
      <w:r w:rsidR="08F42D02" w:rsidRPr="00072BD4">
        <w:instrText xml:space="preserve"> 430a21‒23</w:instrText>
      </w:r>
      <w:r w:rsidR="08F42D02">
        <w:instrText xml:space="preserve">" </w:instrText>
      </w:r>
      <w:r w:rsidR="08F42D02">
        <w:fldChar w:fldCharType="end"/>
      </w:r>
      <w:r w:rsidR="08F42D02" w:rsidRPr="00273106">
        <w:t xml:space="preserve"> popisující spojení pasivní a aktivní </w:t>
      </w:r>
      <w:r w:rsidR="08F42D02">
        <w:t>složky poznání</w:t>
      </w:r>
      <w:r w:rsidR="08F42D02" w:rsidRPr="088B51E3">
        <w:t xml:space="preserve"> </w:t>
      </w:r>
      <w:r w:rsidR="08F42D02">
        <w:t>a z</w:t>
      </w:r>
      <w:r w:rsidR="08F42D02" w:rsidRPr="00273106">
        <w:t xml:space="preserve">měnil proces abstrakce od avicennistického </w:t>
      </w:r>
      <w:r w:rsidR="08F42D02" w:rsidRPr="00273106">
        <w:rPr>
          <w:i/>
        </w:rPr>
        <w:t>denudatio</w:t>
      </w:r>
      <w:r w:rsidR="08F42D02">
        <w:rPr>
          <w:i/>
        </w:rPr>
        <w:fldChar w:fldCharType="begin"/>
      </w:r>
      <w:r w:rsidR="08F42D02">
        <w:instrText xml:space="preserve"> XE "</w:instrText>
      </w:r>
      <w:r w:rsidR="08F42D02" w:rsidRPr="00C23100">
        <w:rPr>
          <w:i/>
        </w:rPr>
        <w:instrText>denudatio</w:instrText>
      </w:r>
      <w:r w:rsidR="08F42D02" w:rsidRPr="00A73820">
        <w:instrText>:porretáni</w:instrText>
      </w:r>
      <w:r w:rsidR="08F42D02">
        <w:instrText xml:space="preserve">" </w:instrText>
      </w:r>
      <w:r w:rsidR="08F42D02">
        <w:rPr>
          <w:i/>
        </w:rPr>
        <w:fldChar w:fldCharType="end"/>
      </w:r>
      <w:r w:rsidR="08F42D02" w:rsidRPr="00273106">
        <w:t xml:space="preserve"> k aristotelské formě abstrakce</w:t>
      </w:r>
      <w:r w:rsidR="08F42D02">
        <w:t xml:space="preserve">. Stejný interpretační výkon </w:t>
      </w:r>
      <w:r w:rsidR="08F42D02" w:rsidRPr="00273106">
        <w:t xml:space="preserve">mistrovsky provedl </w:t>
      </w:r>
      <w:r w:rsidR="08F42D02">
        <w:t>Averroes</w:t>
      </w:r>
      <w:r w:rsidR="08F42D02" w:rsidRPr="00273106">
        <w:t xml:space="preserve"> pro falsafu</w:t>
      </w:r>
      <w:r w:rsidR="08F42D02">
        <w:t xml:space="preserve">, čímž určil ve </w:t>
      </w:r>
      <w:r w:rsidR="000F234F">
        <w:t xml:space="preserve">předešlé </w:t>
      </w:r>
      <w:r w:rsidR="08F42D02">
        <w:t>generaci po roce 1170 další možnost dějinného směřování Západu</w:t>
      </w:r>
      <w:r w:rsidR="08F42D02" w:rsidRPr="087C15C1">
        <w:t xml:space="preserve"> </w:t>
      </w:r>
      <w:r w:rsidR="08F42D02">
        <w:t>po Avicennovi.</w:t>
      </w:r>
      <w:r w:rsidR="08FE0447">
        <w:t xml:space="preserve"> </w:t>
      </w:r>
      <w:r w:rsidR="08FE0447" w:rsidRPr="00273106">
        <w:t xml:space="preserve">Blund jako první </w:t>
      </w:r>
      <w:r w:rsidR="08FE0447">
        <w:t xml:space="preserve">latinský </w:t>
      </w:r>
      <w:r w:rsidR="08FE0447" w:rsidRPr="00273106">
        <w:t xml:space="preserve">aristotelik </w:t>
      </w:r>
      <w:r w:rsidR="08FE0447">
        <w:t xml:space="preserve">na začátku </w:t>
      </w:r>
      <w:r w:rsidR="08FE0447" w:rsidRPr="00273106">
        <w:t xml:space="preserve">13. století </w:t>
      </w:r>
      <w:r w:rsidR="08FE0447">
        <w:t xml:space="preserve">plně </w:t>
      </w:r>
      <w:r w:rsidR="08FE0447" w:rsidRPr="00273106">
        <w:t xml:space="preserve">pochopil, v čem tkví smysl </w:t>
      </w:r>
      <w:r w:rsidR="00C01B56">
        <w:t xml:space="preserve">pravdy jako </w:t>
      </w:r>
      <w:r w:rsidR="08FE0447" w:rsidRPr="00273106">
        <w:t xml:space="preserve">adekvace podle </w:t>
      </w:r>
      <w:r w:rsidR="08FE0447">
        <w:rPr>
          <w:i/>
        </w:rPr>
        <w:t>De anima</w:t>
      </w:r>
      <w:r w:rsidR="08FE0447">
        <w:rPr>
          <w:i/>
        </w:rPr>
        <w:fldChar w:fldCharType="begin"/>
      </w:r>
      <w:r w:rsidR="08FE0447">
        <w:instrText xml:space="preserve"> XE "</w:instrText>
      </w:r>
      <w:r w:rsidR="08FE0447">
        <w:rPr>
          <w:i/>
        </w:rPr>
        <w:instrText>adaequatio</w:instrText>
      </w:r>
      <w:r w:rsidR="08FE0447" w:rsidRPr="003C0A29">
        <w:instrText>:</w:instrText>
      </w:r>
      <w:r w:rsidR="08FE0447">
        <w:instrText xml:space="preserve">Blund" </w:instrText>
      </w:r>
      <w:r w:rsidR="08FE0447">
        <w:rPr>
          <w:i/>
        </w:rPr>
        <w:fldChar w:fldCharType="end"/>
      </w:r>
      <w:r w:rsidR="08FE0447" w:rsidRPr="00273106">
        <w:t>. Pečlivá</w:t>
      </w:r>
      <w:r w:rsidR="08FE0447">
        <w:t xml:space="preserve"> </w:t>
      </w:r>
      <w:r w:rsidR="08FE0447" w:rsidRPr="00273106">
        <w:t xml:space="preserve">četba </w:t>
      </w:r>
      <w:r w:rsidR="08FE0447">
        <w:t xml:space="preserve">spisu </w:t>
      </w:r>
      <w:r w:rsidR="08FE0447" w:rsidRPr="00B341B4">
        <w:rPr>
          <w:i/>
        </w:rPr>
        <w:t>De anima</w:t>
      </w:r>
      <w:r w:rsidR="08FE0447">
        <w:t xml:space="preserve"> </w:t>
      </w:r>
      <w:r w:rsidR="08FE0447" w:rsidRPr="00273106">
        <w:t xml:space="preserve">přivedla Blunda k následující tezi. Pasivní složka smyslů nebo intelektu musí být formována na základě zvířecí či lidské intencionality dané </w:t>
      </w:r>
      <w:r w:rsidR="08FE0447">
        <w:t xml:space="preserve">buď ve </w:t>
      </w:r>
      <w:r w:rsidR="08FE0447" w:rsidRPr="00E577DB">
        <w:rPr>
          <w:i/>
        </w:rPr>
        <w:t>vis aestimativa</w:t>
      </w:r>
      <w:r w:rsidR="08FE0447">
        <w:rPr>
          <w:i/>
        </w:rPr>
        <w:fldChar w:fldCharType="begin"/>
      </w:r>
      <w:r w:rsidR="08FE0447">
        <w:instrText xml:space="preserve"> XE "</w:instrText>
      </w:r>
      <w:r w:rsidR="08FE0447" w:rsidRPr="00C34A1D">
        <w:rPr>
          <w:i/>
        </w:rPr>
        <w:instrText>vis aestimativa</w:instrText>
      </w:r>
      <w:r w:rsidR="08FE0447">
        <w:instrText xml:space="preserve">" </w:instrText>
      </w:r>
      <w:r w:rsidR="08FE0447">
        <w:rPr>
          <w:i/>
        </w:rPr>
        <w:fldChar w:fldCharType="end"/>
      </w:r>
      <w:r w:rsidR="08FE0447">
        <w:t xml:space="preserve">, nebo v lidské </w:t>
      </w:r>
      <w:r w:rsidR="08FE0447" w:rsidRPr="00273106">
        <w:t xml:space="preserve">představivosti a v intelektu. Tyto schopnosti má duše jako </w:t>
      </w:r>
      <w:r w:rsidR="08FE0447" w:rsidRPr="00273106">
        <w:rPr>
          <w:i/>
        </w:rPr>
        <w:t>tabula rasa</w:t>
      </w:r>
      <w:r w:rsidR="08FE0447">
        <w:rPr>
          <w:i/>
        </w:rPr>
        <w:fldChar w:fldCharType="begin"/>
      </w:r>
      <w:r w:rsidR="08FE0447">
        <w:instrText xml:space="preserve"> XE "</w:instrText>
      </w:r>
      <w:r w:rsidR="08FE0447" w:rsidRPr="00CE6D17">
        <w:rPr>
          <w:i/>
        </w:rPr>
        <w:instrText>tabula rasa</w:instrText>
      </w:r>
      <w:r w:rsidR="08FE0447">
        <w:instrText xml:space="preserve">" </w:instrText>
      </w:r>
      <w:r w:rsidR="08FE0447">
        <w:rPr>
          <w:i/>
        </w:rPr>
        <w:fldChar w:fldCharType="end"/>
      </w:r>
      <w:r w:rsidR="08FE0447" w:rsidRPr="00273106">
        <w:t xml:space="preserve"> a jsou aktualizované v syntetickém procesu abstrakce. </w:t>
      </w:r>
      <w:r w:rsidR="08FE0447">
        <w:t xml:space="preserve">Poznání </w:t>
      </w:r>
      <w:r w:rsidR="08FE0447" w:rsidRPr="00273106">
        <w:t xml:space="preserve">běží na základě </w:t>
      </w:r>
      <w:r w:rsidR="08FE0447">
        <w:t>pasivní smyslové recepce</w:t>
      </w:r>
      <w:r w:rsidR="08FE0447" w:rsidRPr="00273106">
        <w:t xml:space="preserve"> aktuální věci existující v realitě. </w:t>
      </w:r>
      <w:r w:rsidR="08FE0447">
        <w:t xml:space="preserve">Univerzální </w:t>
      </w:r>
      <w:r w:rsidR="006A04C6" w:rsidRPr="006A04C6">
        <w:t>species</w:t>
      </w:r>
      <w:r w:rsidR="08FE0447" w:rsidRPr="00273106">
        <w:t xml:space="preserve"> nemůže exist</w:t>
      </w:r>
      <w:r w:rsidR="08FE0447">
        <w:t>ovat</w:t>
      </w:r>
      <w:r w:rsidR="08FE0447" w:rsidRPr="08CD5ABF">
        <w:t xml:space="preserve"> </w:t>
      </w:r>
      <w:r w:rsidR="08FE0447" w:rsidRPr="00273106">
        <w:t>v</w:t>
      </w:r>
      <w:r w:rsidR="08FE0447">
        <w:t xml:space="preserve"> reálné</w:t>
      </w:r>
      <w:r w:rsidR="08FE0447" w:rsidRPr="00273106">
        <w:t xml:space="preserve"> věci</w:t>
      </w:r>
      <w:r w:rsidR="08FE0447">
        <w:t>, protože nemá jak. Hylemorfická f</w:t>
      </w:r>
      <w:r w:rsidR="08FE0447" w:rsidRPr="00273106">
        <w:t xml:space="preserve">orma </w:t>
      </w:r>
      <w:r w:rsidR="08FE0447">
        <w:t xml:space="preserve">je </w:t>
      </w:r>
      <w:r w:rsidR="08FE0447" w:rsidRPr="00273106">
        <w:t xml:space="preserve">daná </w:t>
      </w:r>
      <w:r w:rsidR="08FE0447" w:rsidRPr="00273106">
        <w:rPr>
          <w:i/>
        </w:rPr>
        <w:t>simpliciter</w:t>
      </w:r>
      <w:r w:rsidR="08FE0447" w:rsidRPr="00273106">
        <w:t xml:space="preserve"> v aktu bytí první substance</w:t>
      </w:r>
      <w:r w:rsidR="08FE0447">
        <w:t xml:space="preserve"> a </w:t>
      </w:r>
      <w:r w:rsidR="08FE0447">
        <w:fldChar w:fldCharType="begin"/>
      </w:r>
      <w:r w:rsidR="08FE0447">
        <w:instrText xml:space="preserve"> XE "</w:instrText>
      </w:r>
      <w:r w:rsidR="08FE0447" w:rsidRPr="00DE2A32">
        <w:instrText>substance</w:instrText>
      </w:r>
      <w:r w:rsidR="08FE0447">
        <w:instrText xml:space="preserve">:hylemorfická" </w:instrText>
      </w:r>
      <w:r w:rsidR="08FE0447">
        <w:fldChar w:fldCharType="end"/>
      </w:r>
      <w:r w:rsidR="08FE0447">
        <w:t xml:space="preserve">univerzální významy se </w:t>
      </w:r>
      <w:r w:rsidR="08FE0447" w:rsidRPr="00273106">
        <w:t>synt</w:t>
      </w:r>
      <w:r w:rsidR="08FE0447">
        <w:t xml:space="preserve">etizují až v aktu abstrakce. Díky intencionalitě není intencionální </w:t>
      </w:r>
      <w:r w:rsidR="006A04C6" w:rsidRPr="006A04C6">
        <w:t>species</w:t>
      </w:r>
      <w:r w:rsidR="08FE0447" w:rsidRPr="00E70119">
        <w:rPr>
          <w:i/>
        </w:rPr>
        <w:t xml:space="preserve"> </w:t>
      </w:r>
      <w:r w:rsidR="08FE0447">
        <w:t xml:space="preserve">identické </w:t>
      </w:r>
      <w:r w:rsidR="08FE0447" w:rsidRPr="00273106">
        <w:t>s první substancí</w:t>
      </w:r>
      <w:r w:rsidR="08FE0447">
        <w:t xml:space="preserve">, ale formálně se jí podobá v modu </w:t>
      </w:r>
      <w:r w:rsidR="08FE0447" w:rsidRPr="00673055">
        <w:rPr>
          <w:i/>
        </w:rPr>
        <w:t>simili</w:t>
      </w:r>
      <w:r w:rsidR="08FE0447">
        <w:rPr>
          <w:i/>
        </w:rPr>
        <w:t>tudo</w:t>
      </w:r>
      <w:r w:rsidR="08FE0447">
        <w:fldChar w:fldCharType="begin"/>
      </w:r>
      <w:r w:rsidR="08FE0447">
        <w:instrText xml:space="preserve"> XE "pravda:</w:instrText>
      </w:r>
      <w:r w:rsidR="08FE0447" w:rsidRPr="00673055">
        <w:rPr>
          <w:i/>
        </w:rPr>
        <w:instrText>proportio</w:instrText>
      </w:r>
      <w:r w:rsidR="08FE0447">
        <w:instrText xml:space="preserve">" </w:instrText>
      </w:r>
      <w:r w:rsidR="08FE0447">
        <w:fldChar w:fldCharType="end"/>
      </w:r>
      <w:r w:rsidR="00E76A1A">
        <w:t xml:space="preserve">. </w:t>
      </w:r>
      <w:r w:rsidR="00E76A1A" w:rsidRPr="00E76A1A">
        <w:t xml:space="preserve">Podobnost mezi realitou a poznáním je dána tím, že první substance působí aktuálně, kauzálně a efektivně. Na základě </w:t>
      </w:r>
      <w:r w:rsidR="00E76A1A">
        <w:t xml:space="preserve">toto </w:t>
      </w:r>
      <w:r w:rsidR="00E76A1A" w:rsidRPr="00E76A1A">
        <w:t xml:space="preserve">kauzality </w:t>
      </w:r>
      <w:r w:rsidR="00E76A1A">
        <w:t xml:space="preserve">vzniká recepce věci </w:t>
      </w:r>
      <w:r w:rsidR="00E76A1A" w:rsidRPr="00E76A1A">
        <w:t>ve smyslovém orgánu a následně poznání dané formálně v duši zvířete či člověka. Nic takového jako j</w:t>
      </w:r>
      <w:r w:rsidR="00E76A1A">
        <w:t>soucno třetího druhu neexistuje</w:t>
      </w:r>
      <w:r w:rsidR="08FE0447">
        <w:t xml:space="preserve">, protože díky takto vyložené adekvaci dané ve formální syntéze poznání platí věta o vyloučeném třetím. Co je potenciální a univerzální </w:t>
      </w:r>
      <w:r w:rsidR="006A04C6" w:rsidRPr="006A04C6">
        <w:t>species</w:t>
      </w:r>
      <w:r w:rsidR="08FE0447">
        <w:t xml:space="preserve"> v duši, to nemůže být aktuální forma v hylemorfické první substanci. D</w:t>
      </w:r>
      <w:r w:rsidR="08FE0447" w:rsidRPr="00273106">
        <w:t xml:space="preserve">ruhý averroismus měl </w:t>
      </w:r>
      <w:r w:rsidR="08D00800">
        <w:lastRenderedPageBreak/>
        <w:t xml:space="preserve">mytopoetické </w:t>
      </w:r>
      <w:r w:rsidR="08FE0447" w:rsidRPr="00273106">
        <w:t xml:space="preserve">pojetí </w:t>
      </w:r>
      <w:r w:rsidR="006A04C6" w:rsidRPr="006A04C6">
        <w:t>species</w:t>
      </w:r>
      <w:r w:rsidR="006A04C6">
        <w:t>–</w:t>
      </w:r>
      <w:r w:rsidR="08FE0447" w:rsidRPr="000E5D95">
        <w:t>esence</w:t>
      </w:r>
      <w:r w:rsidR="08FE0447" w:rsidRPr="00273106">
        <w:t xml:space="preserve"> </w:t>
      </w:r>
      <w:r w:rsidR="08FE0447">
        <w:fldChar w:fldCharType="begin"/>
      </w:r>
      <w:r w:rsidR="08FE0447">
        <w:instrText xml:space="preserve"> XE "</w:instrText>
      </w:r>
      <w:r w:rsidR="08FE0447" w:rsidRPr="00DE2A32">
        <w:instrText>substance</w:instrText>
      </w:r>
      <w:r w:rsidR="08FE0447">
        <w:instrText>:</w:instrText>
      </w:r>
      <w:r w:rsidR="08FE0447" w:rsidRPr="08CE63C5">
        <w:rPr>
          <w:i/>
        </w:rPr>
        <w:instrText>species</w:instrText>
      </w:r>
      <w:r w:rsidR="08FE0447">
        <w:instrText xml:space="preserve">" </w:instrText>
      </w:r>
      <w:r w:rsidR="08FE0447">
        <w:fldChar w:fldCharType="end"/>
      </w:r>
      <w:r w:rsidR="08FE0447" w:rsidRPr="00273106">
        <w:t>dané viděním světa popsaným v minulé matrici (</w:t>
      </w:r>
      <w:r w:rsidR="08FE0447" w:rsidRPr="00273106">
        <w:rPr>
          <w:i/>
        </w:rPr>
        <w:t>discrete videamus</w:t>
      </w:r>
      <w:r w:rsidR="08FE0447">
        <w:rPr>
          <w:i/>
        </w:rPr>
        <w:fldChar w:fldCharType="begin"/>
      </w:r>
      <w:r w:rsidR="08FE0447">
        <w:instrText xml:space="preserve"> XE "</w:instrText>
      </w:r>
      <w:r w:rsidR="08FE0447" w:rsidRPr="00E90B20">
        <w:rPr>
          <w:i/>
        </w:rPr>
        <w:instrText>discrete videamus</w:instrText>
      </w:r>
      <w:r w:rsidR="08FE0447">
        <w:instrText xml:space="preserve">" </w:instrText>
      </w:r>
      <w:r w:rsidR="08FE0447">
        <w:rPr>
          <w:i/>
        </w:rPr>
        <w:fldChar w:fldCharType="end"/>
      </w:r>
      <w:r w:rsidR="086C124B">
        <w:t>, kap. 1</w:t>
      </w:r>
      <w:r w:rsidR="08FE0447" w:rsidRPr="00273106">
        <w:t xml:space="preserve">.4). </w:t>
      </w:r>
      <w:r w:rsidR="08FE0447">
        <w:t>Blundův výklad se odlišil od Avicennova pojetí abstrakce</w:t>
      </w:r>
      <w:r w:rsidR="08FE0447" w:rsidRPr="00273106">
        <w:t xml:space="preserve">. </w:t>
      </w:r>
      <w:r w:rsidR="08FE0447">
        <w:t xml:space="preserve">Abstrahovaná </w:t>
      </w:r>
      <w:r w:rsidR="006A04C6" w:rsidRPr="006A04C6">
        <w:t>species</w:t>
      </w:r>
      <w:r w:rsidR="08FE0447">
        <w:t xml:space="preserve"> </w:t>
      </w:r>
      <w:r w:rsidR="08FE0447" w:rsidRPr="00273106">
        <w:t xml:space="preserve">je </w:t>
      </w:r>
      <w:r w:rsidR="08FE0447">
        <w:t>intendována výkonem duše a pak syntetizována</w:t>
      </w:r>
      <w:r w:rsidR="08FE0447" w:rsidRPr="00273106">
        <w:t xml:space="preserve"> v p</w:t>
      </w:r>
      <w:r w:rsidR="08FE0447">
        <w:t xml:space="preserve">ředstavivosti nebo v intelektu. </w:t>
      </w:r>
      <w:r w:rsidR="082A724F">
        <w:t xml:space="preserve">Metafyzický </w:t>
      </w:r>
      <w:r w:rsidR="08FE0447">
        <w:t>dativ</w:t>
      </w:r>
      <w:r w:rsidR="08FE0447">
        <w:fldChar w:fldCharType="begin"/>
      </w:r>
      <w:r w:rsidR="08FE0447">
        <w:instrText xml:space="preserve"> XE "</w:instrText>
      </w:r>
      <w:r w:rsidR="082A724F">
        <w:rPr>
          <w:i/>
        </w:rPr>
        <w:instrText>dativus metaphysi</w:instrText>
      </w:r>
      <w:r w:rsidR="08FE0447" w:rsidRPr="0843623F">
        <w:rPr>
          <w:i/>
        </w:rPr>
        <w:instrText>cus</w:instrText>
      </w:r>
      <w:r w:rsidR="08FE0447">
        <w:instrText xml:space="preserve">" </w:instrText>
      </w:r>
      <w:r w:rsidR="08FE0447">
        <w:fldChar w:fldCharType="end"/>
      </w:r>
      <w:r w:rsidR="08FE0447">
        <w:t xml:space="preserve"> určuje poznání od</w:t>
      </w:r>
      <w:r w:rsidR="08FE0447" w:rsidRPr="00273106">
        <w:t xml:space="preserve"> </w:t>
      </w:r>
      <w:r w:rsidR="08FE0447">
        <w:t xml:space="preserve">reálné </w:t>
      </w:r>
      <w:r w:rsidR="08FE0447" w:rsidRPr="00273106">
        <w:t xml:space="preserve">věci, jejíž vlastnosti se abstrahují v procesu smyslové abstrakce. Vyšší intencionalita člověka determinovaná </w:t>
      </w:r>
      <w:r w:rsidR="08FE0447">
        <w:t xml:space="preserve">smyslovou představivostí a </w:t>
      </w:r>
      <w:r w:rsidR="08FE0447" w:rsidRPr="00273106">
        <w:t>nemateriálním intelektem vytváří novou poznanou formu</w:t>
      </w:r>
      <w:r w:rsidR="08FE0447">
        <w:t xml:space="preserve"> která je ale pořád pouze potencí</w:t>
      </w:r>
      <w:r w:rsidR="08FE0447" w:rsidRPr="00273106">
        <w:t xml:space="preserve">. Poznání vzniká v procesu pravdy jako </w:t>
      </w:r>
      <w:r w:rsidR="08FE0447" w:rsidRPr="00273106">
        <w:rPr>
          <w:i/>
        </w:rPr>
        <w:t>similitudo</w:t>
      </w:r>
      <w:r w:rsidR="08FE0447" w:rsidRPr="00273106">
        <w:t xml:space="preserve"> a je dáno </w:t>
      </w:r>
      <w:r w:rsidR="08FE0447">
        <w:t>skrze intenci</w:t>
      </w:r>
      <w:r w:rsidR="08FE0447" w:rsidRPr="00273106">
        <w:t xml:space="preserve"> smyslů (</w:t>
      </w:r>
      <w:r w:rsidR="004B4D52" w:rsidRPr="004B4D52">
        <w:t>species</w:t>
      </w:r>
      <w:r w:rsidR="08FE0447" w:rsidRPr="00273106">
        <w:rPr>
          <w:i/>
        </w:rPr>
        <w:t xml:space="preserve"> sensibilis</w:t>
      </w:r>
      <w:r w:rsidR="08FE0447">
        <w:rPr>
          <w:i/>
        </w:rPr>
        <w:fldChar w:fldCharType="begin"/>
      </w:r>
      <w:r w:rsidR="08FE0447">
        <w:instrText xml:space="preserve"> XE "</w:instrText>
      </w:r>
      <w:r w:rsidR="08FE0447" w:rsidRPr="00374FA1">
        <w:rPr>
          <w:i/>
        </w:rPr>
        <w:instrText>species sensibilis</w:instrText>
      </w:r>
      <w:r w:rsidR="08FE0447">
        <w:instrText xml:space="preserve">" </w:instrText>
      </w:r>
      <w:r w:rsidR="08FE0447">
        <w:rPr>
          <w:i/>
        </w:rPr>
        <w:fldChar w:fldCharType="end"/>
      </w:r>
      <w:r w:rsidR="08FE0447" w:rsidRPr="00273106">
        <w:t>) nebo mysli (</w:t>
      </w:r>
      <w:r w:rsidR="004B4D52" w:rsidRPr="004B4D52">
        <w:t>species</w:t>
      </w:r>
      <w:r w:rsidR="08FE0447" w:rsidRPr="00273106">
        <w:rPr>
          <w:i/>
        </w:rPr>
        <w:t xml:space="preserve"> intelligibilis</w:t>
      </w:r>
      <w:r w:rsidR="08FE0447">
        <w:rPr>
          <w:i/>
        </w:rPr>
        <w:fldChar w:fldCharType="begin"/>
      </w:r>
      <w:r w:rsidR="08FE0447">
        <w:instrText xml:space="preserve"> XE "</w:instrText>
      </w:r>
      <w:r w:rsidR="08FE0447" w:rsidRPr="00DD403C">
        <w:rPr>
          <w:i/>
        </w:rPr>
        <w:instrText>species intelligibilis:</w:instrText>
      </w:r>
      <w:r w:rsidR="08FE0447">
        <w:instrText xml:space="preserve">Blund" </w:instrText>
      </w:r>
      <w:r w:rsidR="08FE0447">
        <w:rPr>
          <w:i/>
        </w:rPr>
        <w:fldChar w:fldCharType="end"/>
      </w:r>
      <w:r w:rsidR="08FE0447" w:rsidRPr="00273106">
        <w:t xml:space="preserve">), a to v procesu odezírání vlastností daných na hylemofické první substanci. </w:t>
      </w:r>
      <w:r w:rsidR="08FE0447">
        <w:t>Obě poznané formy (</w:t>
      </w:r>
      <w:r w:rsidR="004B4D52" w:rsidRPr="004B4D52">
        <w:t>species</w:t>
      </w:r>
      <w:r w:rsidR="08FE0447" w:rsidRPr="00323C15">
        <w:rPr>
          <w:i/>
        </w:rPr>
        <w:t xml:space="preserve"> sensibilis</w:t>
      </w:r>
      <w:r w:rsidR="08FE0447">
        <w:t xml:space="preserve">, </w:t>
      </w:r>
      <w:r w:rsidR="08FE0447" w:rsidRPr="00323C15">
        <w:rPr>
          <w:i/>
        </w:rPr>
        <w:t>intelligibilis</w:t>
      </w:r>
      <w:r w:rsidR="08FE0447">
        <w:t>) jsou dány</w:t>
      </w:r>
      <w:r w:rsidR="08FE0447" w:rsidRPr="00273106">
        <w:t xml:space="preserve"> jako signifikace druhé substance vytvářející specifické a univerzální </w:t>
      </w:r>
      <w:r w:rsidR="08FE0447" w:rsidRPr="00273106">
        <w:rPr>
          <w:i/>
        </w:rPr>
        <w:t>similitudo</w:t>
      </w:r>
      <w:r w:rsidR="08FE0447" w:rsidRPr="00273106">
        <w:t xml:space="preserve"> první substance</w:t>
      </w:r>
      <w:r w:rsidR="08FE0447">
        <w:t xml:space="preserve"> reálně existující mimo pole poznání. D</w:t>
      </w:r>
      <w:r w:rsidR="08FE0447" w:rsidRPr="00273106">
        <w:t xml:space="preserve">íky specifické formě smyslově </w:t>
      </w:r>
      <w:r w:rsidR="08FE0447">
        <w:t xml:space="preserve">a inteligibilně </w:t>
      </w:r>
      <w:r w:rsidR="08FE0447" w:rsidRPr="00273106">
        <w:t>založeného poznán</w:t>
      </w:r>
      <w:r w:rsidR="08C53870">
        <w:t xml:space="preserve">í </w:t>
      </w:r>
      <w:r w:rsidR="08FE0447">
        <w:t xml:space="preserve">musíme </w:t>
      </w:r>
      <w:r w:rsidR="08C53870">
        <w:t xml:space="preserve">formy </w:t>
      </w:r>
      <w:r w:rsidR="08FE0447">
        <w:t xml:space="preserve">z věcí abstrahovat v </w:t>
      </w:r>
      <w:r w:rsidR="08FE0447" w:rsidRPr="00273106">
        <w:t>modu intencionální recepce</w:t>
      </w:r>
      <w:r w:rsidR="08FE0447">
        <w:t xml:space="preserve"> a aktivní syntézy</w:t>
      </w:r>
      <w:r w:rsidR="08FE0447" w:rsidRPr="00273106">
        <w:t>.</w:t>
      </w:r>
      <w:r w:rsidR="08FE0447" w:rsidRPr="00273106">
        <w:rPr>
          <w:rStyle w:val="Znakapoznpodarou"/>
        </w:rPr>
        <w:footnoteReference w:id="97"/>
      </w:r>
      <w:r w:rsidR="08FE0447" w:rsidRPr="00273106">
        <w:t xml:space="preserve"> </w:t>
      </w:r>
      <w:r w:rsidR="08A34AF9">
        <w:t xml:space="preserve">Forma je intencí zpřítomněna v potenciálním intelektu na základě podobného intencionálního vztahu a procesu </w:t>
      </w:r>
      <w:r w:rsidR="08A34AF9" w:rsidRPr="00273106">
        <w:t xml:space="preserve">abstrakce </w:t>
      </w:r>
      <w:r w:rsidR="08A34AF9">
        <w:t xml:space="preserve">daných </w:t>
      </w:r>
      <w:r w:rsidR="08A34AF9" w:rsidRPr="00273106">
        <w:t>na smyslové úrovni (</w:t>
      </w:r>
      <w:r w:rsidR="08A34AF9">
        <w:rPr>
          <w:i/>
        </w:rPr>
        <w:t>nec appre</w:t>
      </w:r>
      <w:r w:rsidR="08A34AF9" w:rsidRPr="00273106">
        <w:rPr>
          <w:i/>
        </w:rPr>
        <w:t>henditur sensu nisi secundum quod forma est ei presens</w:t>
      </w:r>
      <w:r w:rsidR="08A34AF9" w:rsidRPr="00273106">
        <w:t xml:space="preserve">). </w:t>
      </w:r>
      <w:r w:rsidR="08FE0447" w:rsidRPr="00273106">
        <w:t>Člověk není schopen přímo recipovat formu první substance existující aktuálně (</w:t>
      </w:r>
      <w:r w:rsidR="08FE0447">
        <w:rPr>
          <w:i/>
        </w:rPr>
        <w:t>de impo</w:t>
      </w:r>
      <w:r w:rsidR="08FE0447" w:rsidRPr="00273106">
        <w:rPr>
          <w:i/>
        </w:rPr>
        <w:t>tentia forme secundum quod separari non potest a subiecto</w:t>
      </w:r>
      <w:r w:rsidR="08FE0447" w:rsidRPr="00273106">
        <w:t>)</w:t>
      </w:r>
      <w:r w:rsidR="08FE0447">
        <w:t>, proto ji musí intendovat skrze vlastní poznání</w:t>
      </w:r>
      <w:r w:rsidR="08FE0447" w:rsidRPr="00273106">
        <w:t xml:space="preserve">. Díky definice duše jako </w:t>
      </w:r>
      <w:r w:rsidR="08FE0447" w:rsidRPr="00273106">
        <w:rPr>
          <w:i/>
        </w:rPr>
        <w:t>tabula rasa</w:t>
      </w:r>
      <w:r w:rsidR="08FE0447" w:rsidRPr="00273106">
        <w:t xml:space="preserve"> tvoří </w:t>
      </w:r>
      <w:r w:rsidR="00BE40F3" w:rsidRPr="00273106">
        <w:t xml:space="preserve">schopnost abstrakce </w:t>
      </w:r>
      <w:r w:rsidR="00BE40F3">
        <w:t xml:space="preserve">intencionální předmět </w:t>
      </w:r>
      <w:r w:rsidR="08FE0447" w:rsidRPr="00273106">
        <w:t xml:space="preserve">smyslů i </w:t>
      </w:r>
      <w:r w:rsidR="00BE40F3">
        <w:t xml:space="preserve">intelektu </w:t>
      </w:r>
      <w:r w:rsidR="08FE0447" w:rsidRPr="00273106">
        <w:t>(</w:t>
      </w:r>
      <w:r w:rsidR="08FE0447" w:rsidRPr="00273106">
        <w:rPr>
          <w:i/>
        </w:rPr>
        <w:t>sensus est ... in se abstractivus sicut intellectus</w:t>
      </w:r>
      <w:r w:rsidR="08FE0447" w:rsidRPr="00273106">
        <w:t xml:space="preserve">). </w:t>
      </w:r>
      <w:r w:rsidR="08FE0447">
        <w:t xml:space="preserve">Věc původně existuje sama pro sebe v </w:t>
      </w:r>
      <w:r w:rsidR="08FE0447" w:rsidRPr="00273106">
        <w:t xml:space="preserve">individuální formě </w:t>
      </w:r>
      <w:r w:rsidR="08FE0447">
        <w:t xml:space="preserve"> a je nám sekundárně a akcidentálně darována </w:t>
      </w:r>
      <w:r w:rsidR="08FE0447" w:rsidRPr="00273106">
        <w:t>v univerzální formě</w:t>
      </w:r>
      <w:r w:rsidR="08FE0447" w:rsidRPr="00D0023D">
        <w:t xml:space="preserve"> </w:t>
      </w:r>
      <w:r w:rsidR="08FE0447">
        <w:t>skrze akt</w:t>
      </w:r>
      <w:r w:rsidR="08FE0447" w:rsidRPr="00273106">
        <w:t xml:space="preserve"> poznání. A na další úrovni poznání vytváří syntetický i</w:t>
      </w:r>
      <w:r w:rsidR="08FE0447">
        <w:t xml:space="preserve">ntelekt v modu vědecké predikace </w:t>
      </w:r>
      <w:r w:rsidR="08FE0447" w:rsidRPr="00273106">
        <w:t xml:space="preserve">logický </w:t>
      </w:r>
      <w:r w:rsidR="00BC66FE">
        <w:t xml:space="preserve">a metafyzický </w:t>
      </w:r>
      <w:r w:rsidR="08FE0447" w:rsidRPr="00273106">
        <w:t>soud kon</w:t>
      </w:r>
      <w:r w:rsidR="08FE0447">
        <w:t>statující pravdu a nepravdu. Poznanou f</w:t>
      </w:r>
      <w:r w:rsidR="08FE0447" w:rsidRPr="00273106">
        <w:t xml:space="preserve">ormu nenazíráme přímo </w:t>
      </w:r>
      <w:r w:rsidR="08FE0447">
        <w:t xml:space="preserve">ve věcech, jak to tvrdí moderní ilumináti. </w:t>
      </w:r>
      <w:r w:rsidR="08FE0447" w:rsidRPr="00273106">
        <w:t xml:space="preserve">Nedělitelnost a simplicita obou </w:t>
      </w:r>
      <w:r w:rsidR="08FE0447">
        <w:t xml:space="preserve">forem je jen zdánlivě univoční, protože vztah reality a poznání je založen na pouhé podobnosti díky receptivitě duše. </w:t>
      </w:r>
      <w:r w:rsidR="08FE0447" w:rsidRPr="00273106">
        <w:t xml:space="preserve">Proces </w:t>
      </w:r>
      <w:r w:rsidR="08FE0447" w:rsidRPr="00273106">
        <w:lastRenderedPageBreak/>
        <w:t xml:space="preserve">intencionality </w:t>
      </w:r>
      <w:r w:rsidR="08FE0447">
        <w:t>s</w:t>
      </w:r>
      <w:r w:rsidR="08FE0447" w:rsidRPr="00273106">
        <w:t xml:space="preserve">e liší </w:t>
      </w:r>
      <w:r w:rsidR="08FE0447">
        <w:t xml:space="preserve">u aristoteliků a modernistů </w:t>
      </w:r>
      <w:r w:rsidR="08FE0447" w:rsidRPr="00273106">
        <w:t xml:space="preserve">podle nasvícení zepředu nebo zezadu a tím se liší </w:t>
      </w:r>
      <w:r w:rsidR="0077072B">
        <w:t>i výsledný produkt těchto aktů.</w:t>
      </w:r>
    </w:p>
    <w:p w14:paraId="462C1538" w14:textId="1381C512" w:rsidR="08FE0447" w:rsidRDefault="08FE0447" w:rsidP="0077072B">
      <w:pPr>
        <w:ind w:firstLine="397"/>
      </w:pPr>
      <w:r>
        <w:t xml:space="preserve">Vědecké poznání obou škol nemůže mít stejné pojetí pravdy. Blund </w:t>
      </w:r>
      <w:r w:rsidRPr="00273106">
        <w:t xml:space="preserve">dobře ví, že hylemorfickou formu nelze pojat univočně v mysli. </w:t>
      </w:r>
      <w:r>
        <w:t>Proto se stal</w:t>
      </w:r>
      <w:r w:rsidRPr="00273106">
        <w:t xml:space="preserve"> prvním myslitelem západní scholastiky, který vyložil spis </w:t>
      </w:r>
      <w:r>
        <w:rPr>
          <w:i/>
        </w:rPr>
        <w:t>De a</w:t>
      </w:r>
      <w:r w:rsidRPr="00273106">
        <w:rPr>
          <w:i/>
        </w:rPr>
        <w:t>nima</w:t>
      </w:r>
      <w:r w:rsidRPr="00273106">
        <w:t xml:space="preserve"> konsekventně vzhledem k „věcem samým“, tedy vzhledem k </w:t>
      </w:r>
      <w:r>
        <w:t xml:space="preserve">reálné </w:t>
      </w:r>
      <w:r w:rsidRPr="00273106">
        <w:t>první substanci</w:t>
      </w:r>
      <w:r>
        <w:t xml:space="preserve"> poznávané intencionálně</w:t>
      </w:r>
      <w:r w:rsidR="08906699">
        <w:t xml:space="preserve"> skrze formu </w:t>
      </w:r>
      <w:r w:rsidR="082A724F">
        <w:t xml:space="preserve">metafyzického </w:t>
      </w:r>
      <w:r w:rsidR="08906699">
        <w:t>dativu</w:t>
      </w:r>
      <w:r w:rsidR="086453D5">
        <w:fldChar w:fldCharType="begin"/>
      </w:r>
      <w:r w:rsidR="086453D5">
        <w:instrText xml:space="preserve"> XE "</w:instrText>
      </w:r>
      <w:r w:rsidR="082A724F">
        <w:rPr>
          <w:i/>
        </w:rPr>
        <w:instrText>dativus metaphysi</w:instrText>
      </w:r>
      <w:r w:rsidR="086453D5" w:rsidRPr="086453D5">
        <w:rPr>
          <w:i/>
        </w:rPr>
        <w:instrText>cus</w:instrText>
      </w:r>
      <w:r w:rsidR="086453D5">
        <w:instrText xml:space="preserve">" </w:instrText>
      </w:r>
      <w:r w:rsidR="086453D5">
        <w:fldChar w:fldCharType="end"/>
      </w:r>
      <w:r w:rsidR="08906699">
        <w:t>, který univerzálně a potenciálně zpřítomňuje v duši minulostní ráz reálné a jedinečné první substance</w:t>
      </w:r>
      <w:r w:rsidRPr="00273106">
        <w:t>.</w:t>
      </w:r>
      <w:r>
        <w:t xml:space="preserve"> Současná exegeze z Blunda naopak dělá avicennistu</w:t>
      </w:r>
      <w:r>
        <w:fldChar w:fldCharType="begin"/>
      </w:r>
      <w:r>
        <w:instrText xml:space="preserve"> XE "</w:instrText>
      </w:r>
      <w:r w:rsidRPr="00922C2A">
        <w:instrText>Hasse, D. N.</w:instrText>
      </w:r>
      <w:r>
        <w:instrText xml:space="preserve">" </w:instrText>
      </w:r>
      <w:r>
        <w:fldChar w:fldCharType="end"/>
      </w:r>
      <w:r>
        <w:t xml:space="preserve">, zejména kvůli celkové struktuře Blundova traktátu a použité terminologii, která je formálně poplatná Avicennovu výkladu </w:t>
      </w:r>
      <w:r>
        <w:rPr>
          <w:i/>
        </w:rPr>
        <w:t>De a</w:t>
      </w:r>
      <w:r w:rsidRPr="00FD44D9">
        <w:rPr>
          <w:i/>
        </w:rPr>
        <w:t>nima</w:t>
      </w:r>
      <w:r>
        <w:t xml:space="preserve"> (Hasse 2000, 18‒23). </w:t>
      </w:r>
      <w:r w:rsidRPr="00273106">
        <w:t xml:space="preserve">Hermeneutika považuje Blunda za představitele prvního averroismu </w:t>
      </w:r>
      <w:r w:rsidRPr="00273106">
        <w:rPr>
          <w:i/>
        </w:rPr>
        <w:t>avant la lettre</w:t>
      </w:r>
      <w:r w:rsidRPr="00273106">
        <w:t xml:space="preserve">. Jeho komentář k </w:t>
      </w:r>
      <w:r w:rsidRPr="00273106">
        <w:rPr>
          <w:i/>
        </w:rPr>
        <w:t>De</w:t>
      </w:r>
      <w:r>
        <w:rPr>
          <w:i/>
        </w:rPr>
        <w:t xml:space="preserve"> a</w:t>
      </w:r>
      <w:r w:rsidRPr="00273106">
        <w:rPr>
          <w:i/>
        </w:rPr>
        <w:t>nima</w:t>
      </w:r>
      <w:r w:rsidRPr="00273106">
        <w:t xml:space="preserve"> chápe </w:t>
      </w:r>
      <w:r w:rsidR="006A04C6" w:rsidRPr="006A04C6">
        <w:t>species</w:t>
      </w:r>
      <w:r w:rsidRPr="00273106">
        <w:t xml:space="preserve"> </w:t>
      </w:r>
      <w:r>
        <w:t xml:space="preserve">skrze </w:t>
      </w:r>
      <w:r w:rsidRPr="00273106">
        <w:t xml:space="preserve">akt intencionality, tedy jako receptivně-syntetický výkon smyslů a intelektu zaměřených k poznání </w:t>
      </w:r>
      <w:r>
        <w:t xml:space="preserve">reálné </w:t>
      </w:r>
      <w:r w:rsidRPr="00273106">
        <w:t>věci</w:t>
      </w:r>
      <w:r>
        <w:t xml:space="preserve"> dané mimo zvířecí nebo lidskou duši. </w:t>
      </w:r>
      <w:r w:rsidRPr="00273106">
        <w:t>Abstrakce existuje podle Blunda již na smyslové úrovni</w:t>
      </w:r>
      <w:r>
        <w:t xml:space="preserve"> </w:t>
      </w:r>
      <w:r w:rsidRPr="00273106">
        <w:t>(</w:t>
      </w:r>
      <w:r w:rsidRPr="00273106">
        <w:rPr>
          <w:i/>
        </w:rPr>
        <w:t>sensus est abstractivus</w:t>
      </w:r>
      <w:r w:rsidRPr="00273106">
        <w:t>).</w:t>
      </w:r>
      <w:r w:rsidRPr="00273106">
        <w:rPr>
          <w:rStyle w:val="Znakapoznpodarou"/>
        </w:rPr>
        <w:footnoteReference w:id="98"/>
      </w:r>
      <w:r w:rsidRPr="00273106">
        <w:t xml:space="preserve"> A</w:t>
      </w:r>
      <w:r>
        <w:t xml:space="preserve">bstrakce </w:t>
      </w:r>
      <w:r w:rsidRPr="00273106">
        <w:t xml:space="preserve">není totožná s </w:t>
      </w:r>
      <w:r>
        <w:t xml:space="preserve">činností </w:t>
      </w:r>
      <w:r w:rsidRPr="00273106">
        <w:t>smyslů</w:t>
      </w:r>
      <w:r>
        <w:t xml:space="preserve"> daných v materiálních orgánech. Díky intencionalitě je abstrakce dána skrze aktivní syntéz</w:t>
      </w:r>
      <w:r w:rsidRPr="00273106">
        <w:t>u poznaného obsahu</w:t>
      </w:r>
      <w:r>
        <w:t xml:space="preserve"> v lidské a zvířecí duši a tím je oddělena od materiální recepce vněmu v tělesném orgánu</w:t>
      </w:r>
      <w:r>
        <w:fldChar w:fldCharType="begin"/>
      </w:r>
      <w:r>
        <w:instrText xml:space="preserve"> XE "abstrakce:Blund" </w:instrText>
      </w:r>
      <w:r>
        <w:fldChar w:fldCharType="end"/>
      </w:r>
      <w:r w:rsidRPr="00273106">
        <w:t>. V aktu primární intencionality (</w:t>
      </w:r>
      <w:r w:rsidRPr="00273106">
        <w:rPr>
          <w:i/>
        </w:rPr>
        <w:t>intentio prima</w:t>
      </w:r>
      <w:r w:rsidRPr="00273106">
        <w:t xml:space="preserve">) vznikne </w:t>
      </w:r>
      <w:r w:rsidR="006A04C6" w:rsidRPr="006A04C6">
        <w:t>species</w:t>
      </w:r>
      <w:r w:rsidRPr="00273106">
        <w:t xml:space="preserve"> jako individuální imago představivosti</w:t>
      </w:r>
      <w:r>
        <w:t>. P</w:t>
      </w:r>
      <w:r w:rsidRPr="00273106">
        <w:t xml:space="preserve">roto ani na smyslové úrovni nemůže dojít k žádné mesalianci s první substancí. Materiálně daná forma je </w:t>
      </w:r>
      <w:r>
        <w:t xml:space="preserve">v </w:t>
      </w:r>
      <w:r w:rsidRPr="00273106">
        <w:t>externí věc</w:t>
      </w:r>
      <w:r>
        <w:t>i</w:t>
      </w:r>
      <w:r w:rsidRPr="00273106">
        <w:t xml:space="preserve"> nebo </w:t>
      </w:r>
      <w:r>
        <w:t>tato forma autonomně existuje</w:t>
      </w:r>
      <w:r w:rsidRPr="00273106">
        <w:t xml:space="preserve"> v oddělených kosmických </w:t>
      </w:r>
      <w:r>
        <w:t xml:space="preserve">inteligencích. V mysli vzniká pouze její podobnost. </w:t>
      </w:r>
      <w:r w:rsidRPr="00273106">
        <w:t xml:space="preserve">Nové pojetí </w:t>
      </w:r>
      <w:r w:rsidR="006A04C6" w:rsidRPr="006A04C6">
        <w:t>species</w:t>
      </w:r>
      <w:r w:rsidRPr="00273106">
        <w:t xml:space="preserve"> </w:t>
      </w:r>
      <w:r>
        <w:t xml:space="preserve">převedlo kosmický </w:t>
      </w:r>
      <w:r w:rsidRPr="00273106">
        <w:rPr>
          <w:i/>
        </w:rPr>
        <w:t>intellectus agens</w:t>
      </w:r>
      <w:r>
        <w:rPr>
          <w:i/>
        </w:rPr>
        <w:fldChar w:fldCharType="begin"/>
      </w:r>
      <w:r>
        <w:instrText xml:space="preserve"> XE "</w:instrText>
      </w:r>
      <w:r w:rsidRPr="00490D32">
        <w:rPr>
          <w:i/>
        </w:rPr>
        <w:instrText>intellectus agens:</w:instrText>
      </w:r>
      <w:r w:rsidRPr="00490D32">
        <w:instrText>neoplatonismus</w:instrText>
      </w:r>
      <w:r>
        <w:instrText xml:space="preserve">" </w:instrText>
      </w:r>
      <w:r>
        <w:rPr>
          <w:i/>
        </w:rPr>
        <w:fldChar w:fldCharType="end"/>
      </w:r>
      <w:r w:rsidRPr="00273106">
        <w:t xml:space="preserve"> na individuální složku duše aktivovanou skrze </w:t>
      </w:r>
      <w:r w:rsidRPr="004D7004">
        <w:rPr>
          <w:i/>
        </w:rPr>
        <w:t>intellectus formalis</w:t>
      </w:r>
      <w:r>
        <w:rPr>
          <w:i/>
        </w:rPr>
        <w:fldChar w:fldCharType="begin"/>
      </w:r>
      <w:r>
        <w:instrText xml:space="preserve"> XE "</w:instrText>
      </w:r>
      <w:r w:rsidRPr="000238B8">
        <w:rPr>
          <w:i/>
        </w:rPr>
        <w:instrText>intellectus formalis:</w:instrText>
      </w:r>
      <w:r w:rsidRPr="000238B8">
        <w:instrText>Blund</w:instrText>
      </w:r>
      <w:r>
        <w:instrText xml:space="preserve">" </w:instrText>
      </w:r>
      <w:r>
        <w:rPr>
          <w:i/>
        </w:rPr>
        <w:fldChar w:fldCharType="end"/>
      </w:r>
      <w:r>
        <w:t>. Účinná kauzalita je vázána na smyslový orgán v těle, formální kauzalita na nemateriální duševní intencional</w:t>
      </w:r>
      <w:r w:rsidR="08CB330D">
        <w:t xml:space="preserve">itu zvířete nebo člověka. Intencionalita zajišťuje rercepci aktuality dané donací </w:t>
      </w:r>
      <w:r w:rsidR="085A7925">
        <w:t xml:space="preserve">aktuality skrze </w:t>
      </w:r>
      <w:r w:rsidR="082A724F">
        <w:t xml:space="preserve">metafyzický </w:t>
      </w:r>
      <w:r w:rsidR="085A7925">
        <w:t>dati</w:t>
      </w:r>
      <w:r w:rsidR="081B6990">
        <w:t xml:space="preserve">v daný minulou přítomností první substance </w:t>
      </w:r>
      <w:r w:rsidR="08CB330D">
        <w:t>jsoucna mimo duši</w:t>
      </w:r>
      <w:r w:rsidR="081B6990">
        <w:t xml:space="preserve">. Recepce této aktuality v různé podobě diafanum </w:t>
      </w:r>
      <w:r w:rsidR="08CB330D">
        <w:t xml:space="preserve">spouští syntézu </w:t>
      </w:r>
      <w:r>
        <w:t xml:space="preserve">smyslového nebo inteligibilního </w:t>
      </w:r>
      <w:r w:rsidR="006A04C6" w:rsidRPr="006A04C6">
        <w:t>species</w:t>
      </w:r>
      <w:r>
        <w:t xml:space="preserve">. Tím se zásadně odlišila materiální a </w:t>
      </w:r>
      <w:r>
        <w:lastRenderedPageBreak/>
        <w:t xml:space="preserve">formální kauzalita procesu poznání, kterou moderna úplně zanedbala a nekriticky obě složky spojila do jedné objektivní formy. </w:t>
      </w:r>
      <w:r w:rsidR="082D12B9">
        <w:t xml:space="preserve">Zavedením diafanum a formální kauzality </w:t>
      </w:r>
      <w:r>
        <w:t xml:space="preserve">vzniklo </w:t>
      </w:r>
      <w:r w:rsidRPr="00273106">
        <w:t xml:space="preserve">rozlišení mezi individuálně-aktuální formou </w:t>
      </w:r>
      <w:r>
        <w:t xml:space="preserve">první substance </w:t>
      </w:r>
      <w:r w:rsidR="006A04C6">
        <w:t>a mezi syntetizovanou formou–</w:t>
      </w:r>
      <w:r w:rsidR="006A04C6" w:rsidRPr="006A04C6">
        <w:t>species</w:t>
      </w:r>
      <w:r>
        <w:t xml:space="preserve"> v duši danou </w:t>
      </w:r>
      <w:r w:rsidRPr="00273106">
        <w:t xml:space="preserve">buď </w:t>
      </w:r>
      <w:r>
        <w:t>jako smyslově-singulární</w:t>
      </w:r>
      <w:r w:rsidRPr="00273106">
        <w:t xml:space="preserve"> </w:t>
      </w:r>
      <w:r w:rsidR="004B4D52" w:rsidRPr="004B4D52">
        <w:t>species</w:t>
      </w:r>
      <w:r w:rsidRPr="00273106">
        <w:rPr>
          <w:i/>
        </w:rPr>
        <w:t xml:space="preserve"> sensibilis</w:t>
      </w:r>
      <w:r>
        <w:t xml:space="preserve"> nebo intelektuálně-univerzální</w:t>
      </w:r>
      <w:r w:rsidRPr="00273106">
        <w:t xml:space="preserve"> </w:t>
      </w:r>
      <w:r w:rsidR="004B4D52" w:rsidRPr="004B4D52">
        <w:t>species</w:t>
      </w:r>
      <w:r w:rsidRPr="00273106">
        <w:rPr>
          <w:i/>
        </w:rPr>
        <w:t xml:space="preserve"> intelligibilis</w:t>
      </w:r>
      <w:r>
        <w:t>. D</w:t>
      </w:r>
      <w:r w:rsidRPr="00273106">
        <w:t xml:space="preserve">vojí forma abstrakce formuje nové </w:t>
      </w:r>
      <w:r w:rsidR="006A04C6" w:rsidRPr="006A04C6">
        <w:t>species</w:t>
      </w:r>
      <w:r w:rsidRPr="00273106">
        <w:t xml:space="preserve">, které následující scholastikové </w:t>
      </w:r>
      <w:r>
        <w:t>ovlivnění Al</w:t>
      </w:r>
      <w:r>
        <w:noBreakHyphen/>
        <w:t>Fárábím a Blundem označí</w:t>
      </w:r>
      <w:r w:rsidRPr="00273106">
        <w:t xml:space="preserve"> jako </w:t>
      </w:r>
      <w:r w:rsidRPr="00273106">
        <w:rPr>
          <w:i/>
        </w:rPr>
        <w:t>intentio prima</w:t>
      </w:r>
      <w:r w:rsidRPr="00273106">
        <w:t xml:space="preserve"> a </w:t>
      </w:r>
      <w:r w:rsidRPr="00273106">
        <w:rPr>
          <w:i/>
        </w:rPr>
        <w:t>secunda</w:t>
      </w:r>
      <w:r>
        <w:t xml:space="preserve"> (</w:t>
      </w:r>
      <w:r w:rsidR="08A063FB">
        <w:t xml:space="preserve">OBJ I, </w:t>
      </w:r>
      <w:r>
        <w:t>kap. 2.1.2)</w:t>
      </w:r>
      <w:r w:rsidRPr="00273106">
        <w:t>. Blund neaktivuje sebereflexi jako samosta</w:t>
      </w:r>
      <w:r>
        <w:t>t</w:t>
      </w:r>
      <w:r w:rsidRPr="00273106">
        <w:t xml:space="preserve">ný výkon činného intelektu, </w:t>
      </w:r>
      <w:r>
        <w:t xml:space="preserve">protože myšlení se děje </w:t>
      </w:r>
      <w:r w:rsidRPr="00273106">
        <w:t xml:space="preserve">v aristotelském rámci intelektu jako </w:t>
      </w:r>
      <w:r>
        <w:t xml:space="preserve">primárně receptivní nemateriální schopnosti duše jako </w:t>
      </w:r>
      <w:r w:rsidRPr="083F74C8">
        <w:rPr>
          <w:i/>
        </w:rPr>
        <w:t>tabula rasa</w:t>
      </w:r>
      <w:r>
        <w:t xml:space="preserve">. Nový aristotelismus </w:t>
      </w:r>
      <w:r w:rsidRPr="00273106">
        <w:t xml:space="preserve">oddělil intencionální </w:t>
      </w:r>
      <w:r w:rsidR="006A04C6" w:rsidRPr="006A04C6">
        <w:t>species</w:t>
      </w:r>
      <w:r w:rsidRPr="00273106">
        <w:t xml:space="preserve"> v mysli od </w:t>
      </w:r>
      <w:r>
        <w:t xml:space="preserve">substanční </w:t>
      </w:r>
      <w:r w:rsidRPr="00273106">
        <w:t xml:space="preserve">formy </w:t>
      </w:r>
      <w:r w:rsidR="006A04C6" w:rsidRPr="006A04C6">
        <w:t>species</w:t>
      </w:r>
      <w:r w:rsidRPr="00273106">
        <w:t xml:space="preserve"> hájené sofistickými </w:t>
      </w:r>
      <w:r w:rsidRPr="00273106">
        <w:rPr>
          <w:i/>
        </w:rPr>
        <w:t>Nominales</w:t>
      </w:r>
      <w:r w:rsidRPr="00273106">
        <w:t>.</w:t>
      </w:r>
      <w:r w:rsidR="08810AC7">
        <w:rPr>
          <w:rStyle w:val="Znakapoznpodarou"/>
        </w:rPr>
        <w:footnoteReference w:id="99"/>
      </w:r>
      <w:r w:rsidRPr="00273106">
        <w:t xml:space="preserve"> </w:t>
      </w:r>
      <w:r>
        <w:t>Dvojí z</w:t>
      </w:r>
      <w:r w:rsidRPr="00273106">
        <w:t xml:space="preserve">působ bytí </w:t>
      </w:r>
      <w:r w:rsidR="006A04C6" w:rsidRPr="006A04C6">
        <w:t>species</w:t>
      </w:r>
      <w:r w:rsidRPr="00273106">
        <w:t xml:space="preserve"> </w:t>
      </w:r>
      <w:r>
        <w:t xml:space="preserve">jako univerzálie dané pouze v mysli nebo jako jsoucna třetího druhu </w:t>
      </w:r>
      <w:r w:rsidRPr="00273106">
        <w:t>zakládá fundamentální rozdíl mezi prvním a druhým averroismem</w:t>
      </w:r>
      <w:r>
        <w:t xml:space="preserve">. Blundův </w:t>
      </w:r>
      <w:r w:rsidRPr="00273106">
        <w:t xml:space="preserve">výklad </w:t>
      </w:r>
      <w:r>
        <w:rPr>
          <w:i/>
        </w:rPr>
        <w:t>De a</w:t>
      </w:r>
      <w:r w:rsidRPr="00273106">
        <w:rPr>
          <w:i/>
        </w:rPr>
        <w:t>nima</w:t>
      </w:r>
      <w:r w:rsidRPr="00273106">
        <w:t xml:space="preserve"> v zásadních bodech popírá Avicennovo schéma poznání, jež  generuje různé formy jsoucna třetího druhu.</w:t>
      </w:r>
      <w:r>
        <w:t xml:space="preserve"> Dvojí manifestace </w:t>
      </w:r>
      <w:r w:rsidR="006A04C6" w:rsidRPr="006A04C6">
        <w:t>species</w:t>
      </w:r>
      <w:r>
        <w:t xml:space="preserve"> </w:t>
      </w:r>
      <w:r w:rsidRPr="00273106">
        <w:t xml:space="preserve">rozlišuje mezi pojetím pravdy jako aristotelské </w:t>
      </w:r>
      <w:r>
        <w:rPr>
          <w:i/>
        </w:rPr>
        <w:t>adaequatio</w:t>
      </w:r>
      <w:r w:rsidRPr="00273106">
        <w:t xml:space="preserve"> nebo </w:t>
      </w:r>
      <w:r>
        <w:t xml:space="preserve">Anselmovo </w:t>
      </w:r>
      <w:r w:rsidRPr="00273106">
        <w:rPr>
          <w:i/>
        </w:rPr>
        <w:t>rectitudo</w:t>
      </w:r>
      <w:r>
        <w:rPr>
          <w:i/>
        </w:rPr>
        <w:t xml:space="preserve"> </w:t>
      </w:r>
      <w:r w:rsidRPr="087F6270">
        <w:t>či Avicennovo</w:t>
      </w:r>
      <w:r>
        <w:rPr>
          <w:i/>
        </w:rPr>
        <w:t xml:space="preserve"> certitudo</w:t>
      </w:r>
      <w:r w:rsidRPr="00273106">
        <w:t>.</w:t>
      </w:r>
      <w:r>
        <w:t xml:space="preserve"> </w:t>
      </w:r>
      <w:r w:rsidRPr="00273106">
        <w:t xml:space="preserve">Rozdíl mezi první a druhou intencí připravil Západ na přijetí </w:t>
      </w:r>
      <w:r>
        <w:t>Averroes</w:t>
      </w:r>
      <w:r w:rsidRPr="00273106">
        <w:t xml:space="preserve">ova schématu intencionality založené na </w:t>
      </w:r>
      <w:r>
        <w:t xml:space="preserve">novém pojetí </w:t>
      </w:r>
      <w:r w:rsidRPr="00273106">
        <w:rPr>
          <w:i/>
        </w:rPr>
        <w:t>intellectus possibilis</w:t>
      </w:r>
      <w:r>
        <w:fldChar w:fldCharType="begin"/>
      </w:r>
      <w:r>
        <w:instrText xml:space="preserve"> XE "intencionalita:Averroes" </w:instrText>
      </w:r>
      <w:r>
        <w:fldChar w:fldCharType="end"/>
      </w:r>
      <w:r w:rsidRPr="00273106">
        <w:t xml:space="preserve">. Duše </w:t>
      </w:r>
      <w:r>
        <w:t xml:space="preserve">není konsubstanciální s univerzem jsoucen třetího druhu, jak to předpokládal Avicenna, </w:t>
      </w:r>
      <w:r w:rsidRPr="00273106">
        <w:t>a po něm všichni moderní a postmoderní ilumináti</w:t>
      </w:r>
      <w:r>
        <w:fldChar w:fldCharType="begin"/>
      </w:r>
      <w:r>
        <w:instrText xml:space="preserve"> XE "</w:instrText>
      </w:r>
      <w:r w:rsidRPr="009D0BCF">
        <w:instrText>species</w:instrText>
      </w:r>
      <w:r>
        <w:instrText xml:space="preserve">:druhý averroismus" </w:instrText>
      </w:r>
      <w:r>
        <w:fldChar w:fldCharType="end"/>
      </w:r>
      <w:r w:rsidRPr="00273106">
        <w:t xml:space="preserve">. </w:t>
      </w:r>
      <w:r>
        <w:t>Formální intelekt existuje díky první a druhé formě intencionality</w:t>
      </w:r>
      <w:r w:rsidRPr="00273106">
        <w:t xml:space="preserve"> </w:t>
      </w:r>
      <w:r>
        <w:t>vztažené k lidské představivosti a myšlení (</w:t>
      </w:r>
      <w:r w:rsidRPr="005B3EA0">
        <w:rPr>
          <w:i/>
        </w:rPr>
        <w:t>imaginatio</w:t>
      </w:r>
      <w:r>
        <w:t xml:space="preserve">, </w:t>
      </w:r>
      <w:r w:rsidRPr="005B3EA0">
        <w:rPr>
          <w:i/>
        </w:rPr>
        <w:t>intellectio</w:t>
      </w:r>
      <w:r>
        <w:t xml:space="preserve">) </w:t>
      </w:r>
      <w:r w:rsidRPr="00273106">
        <w:t xml:space="preserve">dané nemateriálně </w:t>
      </w:r>
      <w:r>
        <w:t xml:space="preserve">skrze činnost duše jako formy, která u člověka produkuje univerzální poznání. Tím se lidské poznání </w:t>
      </w:r>
      <w:r w:rsidRPr="00273106">
        <w:t>oddělil</w:t>
      </w:r>
      <w:r>
        <w:t>o</w:t>
      </w:r>
      <w:r w:rsidRPr="00273106">
        <w:t xml:space="preserve"> </w:t>
      </w:r>
      <w:r>
        <w:t xml:space="preserve">jak </w:t>
      </w:r>
      <w:r w:rsidRPr="00273106">
        <w:t xml:space="preserve">od zvířecího instinktivního úsudku (Avicenovo </w:t>
      </w:r>
      <w:r w:rsidRPr="00273106">
        <w:rPr>
          <w:i/>
        </w:rPr>
        <w:t>wahm</w:t>
      </w:r>
      <w:r>
        <w:rPr>
          <w:i/>
        </w:rPr>
        <w:fldChar w:fldCharType="begin"/>
      </w:r>
      <w:r>
        <w:instrText xml:space="preserve"> XE "</w:instrText>
      </w:r>
      <w:r w:rsidRPr="003F17CC">
        <w:rPr>
          <w:i/>
        </w:rPr>
        <w:instrText>wahm</w:instrText>
      </w:r>
      <w:r>
        <w:instrText xml:space="preserve">" </w:instrText>
      </w:r>
      <w:r>
        <w:rPr>
          <w:i/>
        </w:rPr>
        <w:fldChar w:fldCharType="end"/>
      </w:r>
      <w:r w:rsidRPr="00273106">
        <w:rPr>
          <w:i/>
        </w:rPr>
        <w:t xml:space="preserve">, </w:t>
      </w:r>
      <w:r w:rsidRPr="00273106">
        <w:t>scholastická</w:t>
      </w:r>
      <w:r w:rsidRPr="00273106">
        <w:rPr>
          <w:i/>
        </w:rPr>
        <w:t xml:space="preserve"> vis aestimativa</w:t>
      </w:r>
      <w:r w:rsidRPr="00273106">
        <w:t>)</w:t>
      </w:r>
      <w:r>
        <w:t>, tak od formy dané v reálné první substanci</w:t>
      </w:r>
      <w:r w:rsidRPr="00273106">
        <w:t xml:space="preserve">. </w:t>
      </w:r>
      <w:r>
        <w:t xml:space="preserve">Zvířecí forma </w:t>
      </w:r>
      <w:r w:rsidR="006A04C6" w:rsidRPr="006A04C6">
        <w:t>species</w:t>
      </w:r>
      <w:r>
        <w:t xml:space="preserve"> zůstává individuální a vázaná na imprintingem</w:t>
      </w:r>
      <w:r>
        <w:fldChar w:fldCharType="begin"/>
      </w:r>
      <w:r>
        <w:instrText xml:space="preserve"> XE "</w:instrText>
      </w:r>
      <w:r w:rsidRPr="08735DF2">
        <w:rPr>
          <w:i/>
        </w:rPr>
        <w:instrText>imprinti</w:instrText>
      </w:r>
      <w:r>
        <w:rPr>
          <w:i/>
        </w:rPr>
        <w:instrText>n</w:instrText>
      </w:r>
      <w:r w:rsidRPr="08735DF2">
        <w:rPr>
          <w:i/>
        </w:rPr>
        <w:instrText>g</w:instrText>
      </w:r>
      <w:r>
        <w:instrText xml:space="preserve">" </w:instrText>
      </w:r>
      <w:r>
        <w:fldChar w:fldCharType="end"/>
      </w:r>
      <w:r>
        <w:t xml:space="preserve"> vytvořenou pevnou formu danou jako </w:t>
      </w:r>
      <w:r w:rsidRPr="00C73ED4">
        <w:rPr>
          <w:i/>
        </w:rPr>
        <w:t>sensus communis</w:t>
      </w:r>
      <w:r>
        <w:t>. Proto je společný svět zvířat vytvořen již v prvních dnech života jedince a zůstává stabilní v celém dalším životě. Lidská forma společného světa je naopak univerzální, dějinně proměnlivá a je vázaná na dlouhý proces výchovy, kulturního, spirituálního a intelektuálního zrání osoby.</w:t>
      </w:r>
    </w:p>
    <w:p w14:paraId="2436E3AE" w14:textId="22183729" w:rsidR="0842043B" w:rsidRDefault="00C51568" w:rsidP="086C1F19">
      <w:pPr>
        <w:pStyle w:val="Nadpis3"/>
      </w:pPr>
      <w:bookmarkStart w:id="51" w:name="_Toc487234298"/>
      <w:bookmarkStart w:id="52" w:name="_Toc12558305"/>
      <w:r>
        <w:rPr>
          <w:lang w:val="cs-CZ"/>
        </w:rPr>
        <w:br w:type="page"/>
      </w:r>
      <w:bookmarkStart w:id="53" w:name="_Toc160449317"/>
      <w:r w:rsidR="08D20D28">
        <w:rPr>
          <w:lang w:val="cs-CZ"/>
        </w:rPr>
        <w:lastRenderedPageBreak/>
        <w:t>2</w:t>
      </w:r>
      <w:r w:rsidR="0842043B">
        <w:t>.1.3 Spor Sicilské a Toledské školy</w:t>
      </w:r>
      <w:bookmarkEnd w:id="51"/>
      <w:bookmarkEnd w:id="52"/>
      <w:bookmarkEnd w:id="53"/>
      <w:r w:rsidR="0842043B">
        <w:t xml:space="preserve"> </w:t>
      </w:r>
    </w:p>
    <w:p w14:paraId="68C957FC" w14:textId="10E9FA1E" w:rsidR="084A1ABE" w:rsidRDefault="00471D63" w:rsidP="084A1ABE">
      <w:r>
        <w:t>Traktát CMDA komentovala generace</w:t>
      </w:r>
      <w:r w:rsidRPr="00273106">
        <w:t xml:space="preserve"> ar</w:t>
      </w:r>
      <w:r>
        <w:t>istotelských myslitelů po roce 1230 dvojím a zcela odlišným způsobem podle Toledské a podle Sicilské školy</w:t>
      </w:r>
      <w:r>
        <w:fldChar w:fldCharType="begin"/>
      </w:r>
      <w:r>
        <w:instrText xml:space="preserve"> XE "</w:instrText>
      </w:r>
      <w:r w:rsidRPr="00DB3E61">
        <w:instrText>první averroismus:vznik</w:instrText>
      </w:r>
      <w:r>
        <w:instrText xml:space="preserve">" </w:instrText>
      </w:r>
      <w:r>
        <w:fldChar w:fldCharType="end"/>
      </w:r>
      <w:r>
        <w:t xml:space="preserve">. První averroismus vyložil CMDA podle Blundova výkladu </w:t>
      </w:r>
      <w:r w:rsidRPr="00C31C6D">
        <w:rPr>
          <w:i/>
        </w:rPr>
        <w:t>De anima</w:t>
      </w:r>
      <w:r>
        <w:t xml:space="preserve"> v rámci </w:t>
      </w:r>
      <w:r w:rsidRPr="080C52FB">
        <w:rPr>
          <w:i/>
        </w:rPr>
        <w:t>logica Vetus</w:t>
      </w:r>
      <w:r>
        <w:rPr>
          <w:i/>
        </w:rPr>
        <w:fldChar w:fldCharType="begin"/>
      </w:r>
      <w:r>
        <w:instrText xml:space="preserve"> XE "</w:instrText>
      </w:r>
      <w:r w:rsidRPr="08727107">
        <w:rPr>
          <w:i/>
        </w:rPr>
        <w:instrText>logica Vetus</w:instrText>
      </w:r>
      <w:r>
        <w:instrText xml:space="preserve">" </w:instrText>
      </w:r>
      <w:r>
        <w:rPr>
          <w:i/>
        </w:rPr>
        <w:fldChar w:fldCharType="end"/>
      </w:r>
      <w:r>
        <w:t xml:space="preserve"> podle Abelardovy školy. Druhý averroismus vyložil CMDA podle Avicennovy metafyziky a podle augustinánsko-avicennistického výkladu </w:t>
      </w:r>
      <w:r w:rsidRPr="00C31C6D">
        <w:rPr>
          <w:i/>
        </w:rPr>
        <w:t>De anima</w:t>
      </w:r>
      <w:r w:rsidRPr="00273106">
        <w:t>.</w:t>
      </w:r>
      <w:r>
        <w:t xml:space="preserve"> Tento výklad se globálně prosadil, i když jej Averroes odmítl jako zásadně mylný a s ním odmítl i celou Avicennovu metafyziku. Mystika člověka jako nedokonalého anděla determinového světem kosmických inteligencí se zásadně lišila od reálného zkoumání člověka v rámci biologie a „meta-fyziky“. Nihilistický vývoj 20. století a současné epochy antropocénu</w:t>
      </w:r>
      <w:r>
        <w:fldChar w:fldCharType="begin"/>
      </w:r>
      <w:r>
        <w:instrText xml:space="preserve"> XE "</w:instrText>
      </w:r>
      <w:r w:rsidRPr="08A96EB0">
        <w:instrText>antropocén</w:instrText>
      </w:r>
      <w:r>
        <w:instrText xml:space="preserve">" </w:instrText>
      </w:r>
      <w:r>
        <w:fldChar w:fldCharType="end"/>
      </w:r>
      <w:r>
        <w:t xml:space="preserve"> paradoxně ukazuje</w:t>
      </w:r>
      <w:r w:rsidRPr="0899312D">
        <w:t xml:space="preserve"> </w:t>
      </w:r>
      <w:r>
        <w:t xml:space="preserve">v modu epochálního </w:t>
      </w:r>
      <w:r w:rsidRPr="08AF73E1">
        <w:rPr>
          <w:i/>
        </w:rPr>
        <w:t>Irrtum</w:t>
      </w:r>
      <w:r>
        <w:t xml:space="preserve"> a božské </w:t>
      </w:r>
      <w:r w:rsidR="00347A57">
        <w:t>tragi</w:t>
      </w:r>
      <w:r>
        <w:t xml:space="preserve">komedie řízené Fúriemi, jak se objektivně padlý anděl Avicenny stal </w:t>
      </w:r>
      <w:r w:rsidR="009E49FA">
        <w:t xml:space="preserve">nihilistickým </w:t>
      </w:r>
      <w:r>
        <w:t xml:space="preserve">zvířetem. Humanista Averroes  a Alfarabius odmítli vzhledem k člověku jedno i druhé určení. </w:t>
      </w:r>
      <w:r w:rsidR="00F81EC6" w:rsidRPr="00273106">
        <w:t xml:space="preserve">Blundův aristotelismus </w:t>
      </w:r>
      <w:r w:rsidR="00D67896" w:rsidRPr="00273106">
        <w:t xml:space="preserve">byl </w:t>
      </w:r>
      <w:r w:rsidR="00F81EC6" w:rsidRPr="00273106">
        <w:t xml:space="preserve">postavený </w:t>
      </w:r>
      <w:r w:rsidR="00956CB6">
        <w:t xml:space="preserve">nejen na brilantní </w:t>
      </w:r>
      <w:r w:rsidR="00D67896" w:rsidRPr="00273106">
        <w:t xml:space="preserve">exegezi latinského překladu </w:t>
      </w:r>
      <w:r w:rsidR="00B713C5">
        <w:rPr>
          <w:i/>
        </w:rPr>
        <w:t>De a</w:t>
      </w:r>
      <w:r w:rsidR="00D67896" w:rsidRPr="00273106">
        <w:rPr>
          <w:i/>
        </w:rPr>
        <w:t>nima</w:t>
      </w:r>
      <w:r w:rsidR="00956CB6">
        <w:t xml:space="preserve">, ale </w:t>
      </w:r>
      <w:r w:rsidR="0057178E" w:rsidRPr="00273106">
        <w:t xml:space="preserve">rovněž </w:t>
      </w:r>
      <w:r w:rsidR="00F81EC6" w:rsidRPr="00273106">
        <w:t>na pečlivé četbě Boethiových komentářů</w:t>
      </w:r>
      <w:r w:rsidR="0057178E" w:rsidRPr="00273106">
        <w:t xml:space="preserve">. První </w:t>
      </w:r>
      <w:r w:rsidR="002D3932">
        <w:t xml:space="preserve">autentický aristotelik </w:t>
      </w:r>
      <w:r w:rsidR="0057178E" w:rsidRPr="00273106">
        <w:t>ve věku začínají</w:t>
      </w:r>
      <w:r w:rsidR="002D5764" w:rsidRPr="00273106">
        <w:t>cí</w:t>
      </w:r>
      <w:r w:rsidR="0057178E" w:rsidRPr="00273106">
        <w:t xml:space="preserve"> vrcholné scholastiky </w:t>
      </w:r>
      <w:r w:rsidR="00C67BE9">
        <w:t xml:space="preserve">bránil </w:t>
      </w:r>
      <w:r w:rsidR="00D67896" w:rsidRPr="00273106">
        <w:t>hyparchickou funkci první substance</w:t>
      </w:r>
      <w:r w:rsidR="00A70FA4">
        <w:fldChar w:fldCharType="begin"/>
      </w:r>
      <w:r w:rsidR="00A70FA4">
        <w:instrText xml:space="preserve"> XE "</w:instrText>
      </w:r>
      <w:r w:rsidR="00493944">
        <w:instrText>predikace:hyparchická</w:instrText>
      </w:r>
      <w:r w:rsidR="00A70FA4">
        <w:instrText xml:space="preserve">" </w:instrText>
      </w:r>
      <w:r w:rsidR="00A70FA4">
        <w:fldChar w:fldCharType="end"/>
      </w:r>
      <w:r w:rsidR="00AA5D6D">
        <w:t xml:space="preserve"> podle Porfyriova spisu </w:t>
      </w:r>
      <w:r w:rsidR="00AA5D6D" w:rsidRPr="00AA5D6D">
        <w:rPr>
          <w:i/>
        </w:rPr>
        <w:t>Isagoge</w:t>
      </w:r>
      <w:r w:rsidR="00D67896" w:rsidRPr="00273106">
        <w:t xml:space="preserve"> komentov</w:t>
      </w:r>
      <w:r w:rsidR="083F0DDC">
        <w:t>an</w:t>
      </w:r>
      <w:r w:rsidR="00D67896" w:rsidRPr="00273106">
        <w:t>é Abelardem.</w:t>
      </w:r>
      <w:r w:rsidR="08D00323">
        <w:t xml:space="preserve"> </w:t>
      </w:r>
      <w:r w:rsidR="08D00323" w:rsidRPr="00273106">
        <w:t>Ve sporu Ab</w:t>
      </w:r>
      <w:r w:rsidR="08D00323">
        <w:t xml:space="preserve">elarda a Gilberta </w:t>
      </w:r>
      <w:r w:rsidR="002239AA">
        <w:t>de La Porrée</w:t>
      </w:r>
      <w:r w:rsidR="08D00323">
        <w:t xml:space="preserve"> </w:t>
      </w:r>
      <w:r w:rsidR="08D00323" w:rsidRPr="00273106">
        <w:t xml:space="preserve">stál Blund na straně Abelarda, protože má stejné pojetí </w:t>
      </w:r>
      <w:r w:rsidR="08D00323" w:rsidRPr="00273106">
        <w:rPr>
          <w:i/>
        </w:rPr>
        <w:t>impositio</w:t>
      </w:r>
      <w:r w:rsidR="08D00323" w:rsidRPr="00273106">
        <w:t xml:space="preserve"> </w:t>
      </w:r>
      <w:r w:rsidR="08D00323">
        <w:fldChar w:fldCharType="begin"/>
      </w:r>
      <w:r w:rsidR="08D00323">
        <w:instrText xml:space="preserve"> XE "impozice:Blund" </w:instrText>
      </w:r>
      <w:r w:rsidR="08D00323">
        <w:fldChar w:fldCharType="end"/>
      </w:r>
      <w:r w:rsidR="08D00323">
        <w:t xml:space="preserve">od hyparchické první substance. </w:t>
      </w:r>
      <w:r w:rsidR="00207632">
        <w:t xml:space="preserve">Hermeneutika </w:t>
      </w:r>
      <w:r w:rsidR="005C14A7" w:rsidRPr="00273106">
        <w:t>zdůrazňuje Blu</w:t>
      </w:r>
      <w:r w:rsidR="008F50A7" w:rsidRPr="00273106">
        <w:t>n</w:t>
      </w:r>
      <w:r w:rsidR="005C14A7" w:rsidRPr="00273106">
        <w:t xml:space="preserve">dovu </w:t>
      </w:r>
      <w:r w:rsidR="008F50A7" w:rsidRPr="00273106">
        <w:t xml:space="preserve">kongeniální </w:t>
      </w:r>
      <w:r w:rsidR="005C14A7" w:rsidRPr="00273106">
        <w:t xml:space="preserve">návaznost na tradici </w:t>
      </w:r>
      <w:r w:rsidR="00240E1C" w:rsidRPr="00273106">
        <w:t>arabské filosofie</w:t>
      </w:r>
      <w:r w:rsidR="005A6070" w:rsidRPr="00273106">
        <w:t xml:space="preserve"> aristotelského ražení</w:t>
      </w:r>
      <w:r w:rsidR="00A4322F" w:rsidRPr="00273106">
        <w:t>.</w:t>
      </w:r>
      <w:r w:rsidR="00F81EC6" w:rsidRPr="00273106">
        <w:t xml:space="preserve"> </w:t>
      </w:r>
      <w:r w:rsidR="00627BBA">
        <w:t xml:space="preserve">Jeho škola </w:t>
      </w:r>
      <w:r w:rsidR="00F81EC6" w:rsidRPr="00273106">
        <w:t>poprvé v děj</w:t>
      </w:r>
      <w:r w:rsidR="00627BBA">
        <w:t>inách latinského Západu překonala</w:t>
      </w:r>
      <w:r w:rsidR="00F81EC6" w:rsidRPr="00273106">
        <w:t xml:space="preserve"> Avicennův demiurgický náhled do sing</w:t>
      </w:r>
      <w:r w:rsidR="00DD1C33">
        <w:t xml:space="preserve">ulárně-univerzální </w:t>
      </w:r>
      <w:r w:rsidR="00EB2292">
        <w:t xml:space="preserve">esence </w:t>
      </w:r>
      <w:r w:rsidR="00DD1C33" w:rsidRPr="00273106">
        <w:t>(</w:t>
      </w:r>
      <w:r w:rsidR="00DD1C33" w:rsidRPr="00273106">
        <w:rPr>
          <w:i/>
        </w:rPr>
        <w:t>hoc esse tantum</w:t>
      </w:r>
      <w:r w:rsidR="00C63957">
        <w:rPr>
          <w:i/>
        </w:rPr>
        <w:fldChar w:fldCharType="begin"/>
      </w:r>
      <w:r w:rsidR="00C63957">
        <w:instrText xml:space="preserve"> XE "</w:instrText>
      </w:r>
      <w:r w:rsidR="00C63957" w:rsidRPr="005A071C">
        <w:rPr>
          <w:i/>
          <w:lang w:eastAsia="en-US"/>
        </w:rPr>
        <w:instrText>hoc esse tantum</w:instrText>
      </w:r>
      <w:r w:rsidR="00C63957">
        <w:instrText xml:space="preserve">" </w:instrText>
      </w:r>
      <w:r w:rsidR="00C63957">
        <w:rPr>
          <w:i/>
        </w:rPr>
        <w:fldChar w:fldCharType="end"/>
      </w:r>
      <w:r w:rsidR="00EB2292">
        <w:t>,</w:t>
      </w:r>
      <w:r w:rsidR="08B4254A">
        <w:t xml:space="preserve"> OBJ I, </w:t>
      </w:r>
      <w:r w:rsidR="00DD1C33" w:rsidRPr="00273106">
        <w:t>kap. 2.3.2)</w:t>
      </w:r>
      <w:r w:rsidR="08831B6B">
        <w:t xml:space="preserve">. Tento přímý náhled </w:t>
      </w:r>
      <w:r w:rsidR="08AD51AD">
        <w:t xml:space="preserve">čistých esencí </w:t>
      </w:r>
      <w:r w:rsidR="08831B6B">
        <w:t xml:space="preserve">na způsob </w:t>
      </w:r>
      <w:r w:rsidR="08FC1E6B">
        <w:t xml:space="preserve">osvíceného </w:t>
      </w:r>
      <w:r w:rsidR="08831B6B">
        <w:t xml:space="preserve">vidění </w:t>
      </w:r>
      <w:r w:rsidR="00F81EC6" w:rsidRPr="00273106">
        <w:t>z</w:t>
      </w:r>
      <w:r w:rsidR="00412BE4">
        <w:t xml:space="preserve">avedl do </w:t>
      </w:r>
      <w:r w:rsidR="08470B2D">
        <w:t xml:space="preserve">scholastiky </w:t>
      </w:r>
      <w:r w:rsidR="00412BE4">
        <w:t xml:space="preserve">fatální </w:t>
      </w:r>
      <w:r w:rsidR="00F81EC6" w:rsidRPr="00273106">
        <w:t xml:space="preserve">produkci </w:t>
      </w:r>
      <w:r w:rsidR="004875A5">
        <w:t>jsouc</w:t>
      </w:r>
      <w:r w:rsidR="08AD51AD">
        <w:t>en</w:t>
      </w:r>
      <w:r w:rsidR="004875A5">
        <w:t xml:space="preserve"> třetího druhu</w:t>
      </w:r>
      <w:r w:rsidR="00E361FF">
        <w:t xml:space="preserve">. Poznání skrze denudaci </w:t>
      </w:r>
      <w:r w:rsidR="00B91751">
        <w:t xml:space="preserve">definuje moderní </w:t>
      </w:r>
      <w:r w:rsidR="009E4E6A" w:rsidRPr="00273106">
        <w:t>intenc</w:t>
      </w:r>
      <w:r w:rsidR="00B91751">
        <w:t>ionalitu konsubstanciálně navázanou</w:t>
      </w:r>
      <w:r w:rsidR="00BC0394" w:rsidRPr="00273106">
        <w:t xml:space="preserve"> </w:t>
      </w:r>
      <w:r w:rsidR="00F81EC6" w:rsidRPr="00273106">
        <w:t xml:space="preserve">na </w:t>
      </w:r>
      <w:r w:rsidR="006A04C6" w:rsidRPr="006A04C6">
        <w:t>species</w:t>
      </w:r>
      <w:r w:rsidR="00BC0394" w:rsidRPr="00273106">
        <w:t xml:space="preserve"> </w:t>
      </w:r>
      <w:r w:rsidR="001D0552">
        <w:t xml:space="preserve">univočně predikované s existencí reálné </w:t>
      </w:r>
      <w:r w:rsidR="00F81EC6" w:rsidRPr="00273106">
        <w:t>věc</w:t>
      </w:r>
      <w:r w:rsidR="00BC0394" w:rsidRPr="00273106">
        <w:t>i</w:t>
      </w:r>
      <w:r w:rsidR="00412BE4">
        <w:t xml:space="preserve"> (</w:t>
      </w:r>
      <w:r w:rsidR="00F73A7E">
        <w:t>Avicennova</w:t>
      </w:r>
      <w:r w:rsidR="00412BE4">
        <w:t xml:space="preserve"> </w:t>
      </w:r>
      <w:r w:rsidR="00412BE4" w:rsidRPr="00412BE4">
        <w:rPr>
          <w:i/>
        </w:rPr>
        <w:t>equinitas tantum</w:t>
      </w:r>
      <w:r w:rsidR="00D868A9">
        <w:rPr>
          <w:i/>
        </w:rPr>
        <w:fldChar w:fldCharType="begin"/>
      </w:r>
      <w:r w:rsidR="00D868A9">
        <w:instrText xml:space="preserve"> XE "</w:instrText>
      </w:r>
      <w:r w:rsidR="00D868A9" w:rsidRPr="00553626">
        <w:instrText>objektivita:Avicenna</w:instrText>
      </w:r>
      <w:r w:rsidR="00D868A9">
        <w:instrText xml:space="preserve">" </w:instrText>
      </w:r>
      <w:r w:rsidR="00D868A9">
        <w:rPr>
          <w:i/>
        </w:rPr>
        <w:fldChar w:fldCharType="end"/>
      </w:r>
      <w:r w:rsidR="00412BE4">
        <w:t xml:space="preserve">, Rufusovo </w:t>
      </w:r>
      <w:r w:rsidR="00412BE4" w:rsidRPr="00412BE4">
        <w:rPr>
          <w:i/>
        </w:rPr>
        <w:t>scibile</w:t>
      </w:r>
      <w:r w:rsidR="003B4FA7">
        <w:rPr>
          <w:i/>
        </w:rPr>
        <w:fldChar w:fldCharType="begin"/>
      </w:r>
      <w:r w:rsidR="003B4FA7">
        <w:instrText xml:space="preserve"> XE "</w:instrText>
      </w:r>
      <w:r w:rsidR="003B4FA7" w:rsidRPr="00AA4F67">
        <w:rPr>
          <w:i/>
        </w:rPr>
        <w:instrText>scibile</w:instrText>
      </w:r>
      <w:r w:rsidR="008F2D40">
        <w:rPr>
          <w:i/>
        </w:rPr>
        <w:instrText>:Rufus</w:instrText>
      </w:r>
      <w:r w:rsidR="003B4FA7">
        <w:instrText xml:space="preserve">" </w:instrText>
      </w:r>
      <w:r w:rsidR="003B4FA7">
        <w:rPr>
          <w:i/>
        </w:rPr>
        <w:fldChar w:fldCharType="end"/>
      </w:r>
      <w:r w:rsidR="00412BE4">
        <w:t xml:space="preserve">, Husserlovo </w:t>
      </w:r>
      <w:r w:rsidR="00412BE4" w:rsidRPr="00412BE4">
        <w:rPr>
          <w:i/>
        </w:rPr>
        <w:t>noema</w:t>
      </w:r>
      <w:r w:rsidR="089329D5">
        <w:rPr>
          <w:i/>
        </w:rPr>
        <w:fldChar w:fldCharType="begin"/>
      </w:r>
      <w:r w:rsidR="089329D5">
        <w:instrText xml:space="preserve"> XE "</w:instrText>
      </w:r>
      <w:r w:rsidR="089329D5" w:rsidRPr="08255617">
        <w:rPr>
          <w:i/>
        </w:rPr>
        <w:instrText>noema</w:instrText>
      </w:r>
      <w:r w:rsidR="089329D5">
        <w:instrText xml:space="preserve">" </w:instrText>
      </w:r>
      <w:r w:rsidR="089329D5">
        <w:rPr>
          <w:i/>
        </w:rPr>
        <w:fldChar w:fldCharType="end"/>
      </w:r>
      <w:r w:rsidR="00412BE4">
        <w:t>)</w:t>
      </w:r>
      <w:r w:rsidR="00BC0394" w:rsidRPr="00273106">
        <w:t>. U</w:t>
      </w:r>
      <w:r w:rsidR="00DD2CD6">
        <w:t xml:space="preserve">nivocitu obou </w:t>
      </w:r>
      <w:r w:rsidR="006A04C6" w:rsidRPr="006A04C6">
        <w:t>species</w:t>
      </w:r>
      <w:r w:rsidR="00DD2CD6">
        <w:t xml:space="preserve"> zajišťuje</w:t>
      </w:r>
      <w:r w:rsidR="00BC0394" w:rsidRPr="00273106">
        <w:t xml:space="preserve"> </w:t>
      </w:r>
      <w:r w:rsidR="00DD2CD6">
        <w:t xml:space="preserve">u latinských modernistů </w:t>
      </w:r>
      <w:r w:rsidR="00F81EC6" w:rsidRPr="00273106">
        <w:t xml:space="preserve">akt </w:t>
      </w:r>
      <w:r w:rsidR="00BC0394" w:rsidRPr="00273106">
        <w:t xml:space="preserve">poznání </w:t>
      </w:r>
      <w:r w:rsidR="00DD2CD6">
        <w:t xml:space="preserve">substančně </w:t>
      </w:r>
      <w:r w:rsidR="009E4E6A" w:rsidRPr="00273106">
        <w:t xml:space="preserve">odděleného </w:t>
      </w:r>
      <w:r w:rsidR="00F81EC6"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0501901">
        <w:t xml:space="preserve"> n</w:t>
      </w:r>
      <w:r w:rsidR="00891D2B">
        <w:t xml:space="preserve">ebo karteziánského </w:t>
      </w:r>
      <w:r w:rsidR="00891D2B" w:rsidRPr="00891D2B">
        <w:rPr>
          <w:i/>
        </w:rPr>
        <w:t>cogito</w:t>
      </w:r>
      <w:r w:rsidR="00891D2B">
        <w:t xml:space="preserve">. </w:t>
      </w:r>
      <w:r w:rsidR="00930E61">
        <w:t>P</w:t>
      </w:r>
      <w:r w:rsidR="00930E61" w:rsidRPr="00273106">
        <w:t xml:space="preserve">roces abstrakce jako </w:t>
      </w:r>
      <w:r w:rsidR="00AD53CF">
        <w:t xml:space="preserve">Avicennova </w:t>
      </w:r>
      <w:r w:rsidR="00930E61" w:rsidRPr="00273106">
        <w:rPr>
          <w:i/>
        </w:rPr>
        <w:t>denudatio</w:t>
      </w:r>
      <w:r w:rsidR="00D44795">
        <w:rPr>
          <w:i/>
        </w:rPr>
        <w:fldChar w:fldCharType="begin"/>
      </w:r>
      <w:r w:rsidR="00D44795">
        <w:instrText xml:space="preserve"> XE "</w:instrText>
      </w:r>
      <w:r w:rsidR="00D44795" w:rsidRPr="00C23100">
        <w:rPr>
          <w:i/>
        </w:rPr>
        <w:instrText>denudatio</w:instrText>
      </w:r>
      <w:r w:rsidR="00357E48" w:rsidRPr="00357E48">
        <w:instrText>:moderna</w:instrText>
      </w:r>
      <w:r w:rsidR="00D44795">
        <w:instrText xml:space="preserve">" </w:instrText>
      </w:r>
      <w:r w:rsidR="00D44795">
        <w:rPr>
          <w:i/>
        </w:rPr>
        <w:fldChar w:fldCharType="end"/>
      </w:r>
      <w:r w:rsidR="00930E61" w:rsidRPr="00273106">
        <w:t xml:space="preserve"> </w:t>
      </w:r>
      <w:r w:rsidR="00930E61">
        <w:t xml:space="preserve">či Husserlovy </w:t>
      </w:r>
      <w:r w:rsidR="00930E61" w:rsidRPr="00930E61">
        <w:rPr>
          <w:i/>
        </w:rPr>
        <w:t>Wesen</w:t>
      </w:r>
      <w:r w:rsidR="00A05150">
        <w:rPr>
          <w:i/>
        </w:rPr>
        <w:t>s</w:t>
      </w:r>
      <w:r w:rsidR="00930E61" w:rsidRPr="00930E61">
        <w:rPr>
          <w:i/>
        </w:rPr>
        <w:t>schau</w:t>
      </w:r>
      <w:r w:rsidR="00357E48">
        <w:rPr>
          <w:i/>
        </w:rPr>
        <w:fldChar w:fldCharType="begin"/>
      </w:r>
      <w:r w:rsidR="00357E48">
        <w:instrText xml:space="preserve"> XE "</w:instrText>
      </w:r>
      <w:r w:rsidR="00357E48" w:rsidRPr="003467C6">
        <w:rPr>
          <w:i/>
        </w:rPr>
        <w:instrText>Wesen</w:instrText>
      </w:r>
      <w:r w:rsidR="00A05150">
        <w:rPr>
          <w:i/>
        </w:rPr>
        <w:instrText>s</w:instrText>
      </w:r>
      <w:r w:rsidR="00357E48" w:rsidRPr="003467C6">
        <w:rPr>
          <w:i/>
        </w:rPr>
        <w:instrText>schau</w:instrText>
      </w:r>
      <w:r w:rsidR="00357E48">
        <w:instrText xml:space="preserve">" </w:instrText>
      </w:r>
      <w:r w:rsidR="00357E48">
        <w:rPr>
          <w:i/>
        </w:rPr>
        <w:fldChar w:fldCharType="end"/>
      </w:r>
      <w:r w:rsidR="00930E61">
        <w:t xml:space="preserve"> </w:t>
      </w:r>
      <w:r w:rsidR="00930E61" w:rsidRPr="00273106">
        <w:t xml:space="preserve">zakládá schopnost recepce externí věci jen jako vedlejší efekt již daného sebepoznání duše a </w:t>
      </w:r>
      <w:r w:rsidR="00930E61" w:rsidRPr="00273106">
        <w:lastRenderedPageBreak/>
        <w:t>její vlastní aktuality</w:t>
      </w:r>
      <w:r w:rsidR="0813729F">
        <w:t xml:space="preserve"> (kap. 3</w:t>
      </w:r>
      <w:r w:rsidR="00930E61">
        <w:t>.3.2)</w:t>
      </w:r>
      <w:r w:rsidR="00930E61" w:rsidRPr="00273106">
        <w:t xml:space="preserve">. </w:t>
      </w:r>
      <w:r w:rsidR="08661C49">
        <w:t>V době Blunda byl t</w:t>
      </w:r>
      <w:r w:rsidR="00DD2CD6">
        <w:t xml:space="preserve">ento hypostázovaný intelekt </w:t>
      </w:r>
      <w:r w:rsidR="08661C49">
        <w:t xml:space="preserve">osvícen od kosmického </w:t>
      </w:r>
      <w:r w:rsidR="08661C49" w:rsidRPr="08661C49">
        <w:rPr>
          <w:i/>
        </w:rPr>
        <w:t>intellectus agens</w:t>
      </w:r>
      <w:r w:rsidR="08661C49">
        <w:t xml:space="preserve">. Oddělený intelekt </w:t>
      </w:r>
      <w:r w:rsidR="00955A85" w:rsidRPr="00273106">
        <w:t xml:space="preserve">působil </w:t>
      </w:r>
      <w:r w:rsidR="00DD2CD6">
        <w:t xml:space="preserve">na duši </w:t>
      </w:r>
      <w:r w:rsidR="00955A85" w:rsidRPr="00273106">
        <w:t>skrze sebereflexi</w:t>
      </w:r>
      <w:r w:rsidR="00F81EC6" w:rsidRPr="00273106">
        <w:t xml:space="preserve"> </w:t>
      </w:r>
      <w:r w:rsidR="00A07425">
        <w:t xml:space="preserve">augustiniánsky pojaté </w:t>
      </w:r>
      <w:r w:rsidR="00F81EC6" w:rsidRPr="00273106">
        <w:t>paměti (</w:t>
      </w:r>
      <w:r w:rsidR="0828354E" w:rsidRPr="0828354E">
        <w:rPr>
          <w:i/>
        </w:rPr>
        <w:t>memoria</w:t>
      </w:r>
      <w:r w:rsidR="080954BB">
        <w:rPr>
          <w:i/>
        </w:rPr>
        <w:fldChar w:fldCharType="begin"/>
      </w:r>
      <w:r w:rsidR="080954BB">
        <w:instrText xml:space="preserve"> XE "</w:instrText>
      </w:r>
      <w:r w:rsidR="080954BB" w:rsidRPr="085A53E2">
        <w:rPr>
          <w:i/>
        </w:rPr>
        <w:instrText>memoria</w:instrText>
      </w:r>
      <w:r w:rsidR="080954BB">
        <w:instrText xml:space="preserve">" </w:instrText>
      </w:r>
      <w:r w:rsidR="080954BB">
        <w:rPr>
          <w:i/>
        </w:rPr>
        <w:fldChar w:fldCharType="end"/>
      </w:r>
      <w:r w:rsidR="0828354E">
        <w:t xml:space="preserve">, </w:t>
      </w:r>
      <w:r w:rsidR="00F81EC6" w:rsidRPr="00273106">
        <w:rPr>
          <w:i/>
        </w:rPr>
        <w:t>reminiscentia</w:t>
      </w:r>
      <w:r w:rsidR="00F81EC6" w:rsidRPr="00273106">
        <w:t xml:space="preserve">) nebo </w:t>
      </w:r>
      <w:r w:rsidR="00955A85" w:rsidRPr="00273106">
        <w:t xml:space="preserve">skrze přímé </w:t>
      </w:r>
      <w:r w:rsidR="00BC0394" w:rsidRPr="00273106">
        <w:t xml:space="preserve">nazírání trvalé </w:t>
      </w:r>
      <w:r w:rsidR="00955A85" w:rsidRPr="00273106">
        <w:t xml:space="preserve">formy </w:t>
      </w:r>
      <w:r w:rsidR="00BC0394" w:rsidRPr="00273106">
        <w:t>manifestované v darovaném intelektu</w:t>
      </w:r>
      <w:r w:rsidR="00071AD6">
        <w:t xml:space="preserve"> (</w:t>
      </w:r>
      <w:r w:rsidR="00071AD6" w:rsidRPr="00071AD6">
        <w:rPr>
          <w:i/>
        </w:rPr>
        <w:t>intellectus adeptus</w:t>
      </w:r>
      <w:r w:rsidR="08BF7BC0">
        <w:rPr>
          <w:i/>
        </w:rPr>
        <w:fldChar w:fldCharType="begin"/>
      </w:r>
      <w:r w:rsidR="08BF7BC0">
        <w:instrText xml:space="preserve"> XE "</w:instrText>
      </w:r>
      <w:r w:rsidR="08BF7BC0" w:rsidRPr="08BF4B6D">
        <w:rPr>
          <w:i/>
        </w:rPr>
        <w:instrText>intellectus adeptus</w:instrText>
      </w:r>
      <w:r w:rsidR="08BF7BC0">
        <w:instrText xml:space="preserve">" </w:instrText>
      </w:r>
      <w:r w:rsidR="08BF7BC0">
        <w:rPr>
          <w:i/>
        </w:rPr>
        <w:fldChar w:fldCharType="end"/>
      </w:r>
      <w:r w:rsidR="00071AD6">
        <w:t>)</w:t>
      </w:r>
      <w:r w:rsidR="00F81EC6" w:rsidRPr="00273106">
        <w:t>. B</w:t>
      </w:r>
      <w:r w:rsidR="00136E3E">
        <w:t>lund toto schéma poznání zrušil</w:t>
      </w:r>
      <w:r w:rsidR="083032B1">
        <w:t>.</w:t>
      </w:r>
      <w:r w:rsidR="08FE0447">
        <w:t xml:space="preserve"> T</w:t>
      </w:r>
      <w:r w:rsidR="08F04ACD">
        <w:t xml:space="preserve">ermín </w:t>
      </w:r>
      <w:r w:rsidR="006A04C6" w:rsidRPr="006A04C6">
        <w:t>species</w:t>
      </w:r>
      <w:r w:rsidR="08F04ACD" w:rsidRPr="00273106">
        <w:t xml:space="preserve"> má zásadně odlišný význam v prvním a ve druhém averroismu</w:t>
      </w:r>
      <w:r w:rsidR="08F04ACD">
        <w:fldChar w:fldCharType="begin"/>
      </w:r>
      <w:r w:rsidR="08F04ACD">
        <w:instrText xml:space="preserve"> XE "</w:instrText>
      </w:r>
      <w:r w:rsidR="08F04ACD" w:rsidRPr="082846D5">
        <w:rPr>
          <w:i/>
        </w:rPr>
        <w:instrText>species</w:instrText>
      </w:r>
      <w:r w:rsidR="08F04ACD" w:rsidRPr="00B41B4B">
        <w:instrText>:dvojí pojetí</w:instrText>
      </w:r>
      <w:r w:rsidR="08F04ACD">
        <w:instrText xml:space="preserve">" </w:instrText>
      </w:r>
      <w:r w:rsidR="08F04ACD">
        <w:fldChar w:fldCharType="end"/>
      </w:r>
      <w:r w:rsidR="08DD55C2">
        <w:t xml:space="preserve">. Objektivní </w:t>
      </w:r>
      <w:r w:rsidR="08F04ACD">
        <w:t>porozumění filosofickým textům ne</w:t>
      </w:r>
      <w:r w:rsidR="08DD55C2">
        <w:t>vidí</w:t>
      </w:r>
      <w:r w:rsidR="08F04ACD">
        <w:t xml:space="preserve"> </w:t>
      </w:r>
      <w:r w:rsidR="08F04ACD" w:rsidRPr="00273106">
        <w:t xml:space="preserve">zásadní odlišnost obou pojetí </w:t>
      </w:r>
      <w:r w:rsidR="006A04C6" w:rsidRPr="006A04C6">
        <w:t>species</w:t>
      </w:r>
      <w:r w:rsidR="08DD55C2">
        <w:t>, která</w:t>
      </w:r>
      <w:r w:rsidR="08F04ACD">
        <w:t xml:space="preserve"> začíná u Blunda jako prvního kritického avicennisty na latinském Západě</w:t>
      </w:r>
      <w:r w:rsidR="08F04ACD" w:rsidRPr="00273106">
        <w:t>.</w:t>
      </w:r>
      <w:r w:rsidR="08F04ACD">
        <w:t xml:space="preserve"> Kvůli rozdílnému pojetí pravdy, abstrakce a metafyziky neexistuje univocita </w:t>
      </w:r>
      <w:r w:rsidR="006A04C6" w:rsidRPr="006A04C6">
        <w:t>species</w:t>
      </w:r>
      <w:r w:rsidR="08911386">
        <w:t xml:space="preserve"> pro první a druhý averroismus. </w:t>
      </w:r>
      <w:r w:rsidR="08F04ACD">
        <w:t>S</w:t>
      </w:r>
      <w:r w:rsidR="08F04ACD" w:rsidRPr="00273106">
        <w:t>oučasn</w:t>
      </w:r>
      <w:r w:rsidR="08F04ACD">
        <w:t xml:space="preserve">í vykladači scholastiky ovlivnění </w:t>
      </w:r>
      <w:r w:rsidR="08672E28">
        <w:t xml:space="preserve">objektivním viděním světa </w:t>
      </w:r>
      <w:r w:rsidR="08F04ACD">
        <w:t xml:space="preserve">zkoumají „co“ je </w:t>
      </w:r>
      <w:r w:rsidR="006A04C6" w:rsidRPr="006A04C6">
        <w:t>species</w:t>
      </w:r>
      <w:r w:rsidR="08F04ACD">
        <w:t>, ale nevidí hermeneutické „jak“ (</w:t>
      </w:r>
      <w:r w:rsidR="08F04ACD" w:rsidRPr="00604463">
        <w:rPr>
          <w:i/>
        </w:rPr>
        <w:t>Wie</w:t>
      </w:r>
      <w:r w:rsidR="08F04ACD">
        <w:t xml:space="preserve">) probíhá konstituce a zjevování </w:t>
      </w:r>
      <w:r w:rsidR="006A04C6" w:rsidRPr="006A04C6">
        <w:t>species</w:t>
      </w:r>
      <w:r w:rsidR="08F04ACD">
        <w:t>.</w:t>
      </w:r>
      <w:r w:rsidR="08506C8D">
        <w:rPr>
          <w:rStyle w:val="Znakapoznpodarou"/>
        </w:rPr>
        <w:footnoteReference w:id="100"/>
      </w:r>
      <w:r w:rsidR="08F04ACD">
        <w:t xml:space="preserve"> </w:t>
      </w:r>
      <w:r w:rsidR="08FA4031">
        <w:t xml:space="preserve">Archaická hermeneutika stojí metodologicky mimo objektivitu, proto nemůže chápat </w:t>
      </w:r>
      <w:r w:rsidR="004B4D52" w:rsidRPr="004B4D52">
        <w:t>species</w:t>
      </w:r>
      <w:r w:rsidR="08F04ACD">
        <w:t xml:space="preserve"> </w:t>
      </w:r>
      <w:r w:rsidR="08F04ACD" w:rsidRPr="002B4DCE">
        <w:rPr>
          <w:i/>
        </w:rPr>
        <w:t>sensibilis</w:t>
      </w:r>
      <w:r w:rsidR="08FA4031">
        <w:t xml:space="preserve"> a </w:t>
      </w:r>
      <w:r w:rsidR="08F04ACD" w:rsidRPr="002B4DCE">
        <w:rPr>
          <w:i/>
        </w:rPr>
        <w:t>intelligibilis</w:t>
      </w:r>
      <w:r w:rsidR="08F04ACD">
        <w:t xml:space="preserve"> v modu univoční</w:t>
      </w:r>
      <w:r w:rsidR="08B63261">
        <w:t xml:space="preserve"> identity</w:t>
      </w:r>
      <w:r w:rsidR="08D97D62">
        <w:t xml:space="preserve"> dané </w:t>
      </w:r>
      <w:r w:rsidR="0838302E">
        <w:t xml:space="preserve">skrze </w:t>
      </w:r>
      <w:r w:rsidR="08D97D62">
        <w:t xml:space="preserve">vidění světa v modu epochálního </w:t>
      </w:r>
      <w:r w:rsidR="08D97D62" w:rsidRPr="08D97D62">
        <w:rPr>
          <w:i/>
        </w:rPr>
        <w:t>Irrtum</w:t>
      </w:r>
      <w:r w:rsidR="08D97D62">
        <w:t xml:space="preserve"> moderny</w:t>
      </w:r>
      <w:r w:rsidR="08F04ACD" w:rsidRPr="00273106">
        <w:t xml:space="preserve">. </w:t>
      </w:r>
      <w:r w:rsidR="08B63261">
        <w:t>O</w:t>
      </w:r>
      <w:r w:rsidR="08F04ACD">
        <w:t>dlišné pojetí intencionality od sebe oddělilo avicennovského objektivistu Husserla a reformovaného aristotelika Heideggera v letech 1919‒21. Postmoderní Husserl šel k „věcem samým“ ve formě karteziánského jsoucna třetího druhu podle Toledské školy. A</w:t>
      </w:r>
      <w:r w:rsidR="08F04ACD">
        <w:rPr>
          <w:rFonts w:cs="TimesNewRomanPSMT"/>
          <w:szCs w:val="24"/>
        </w:rPr>
        <w:t xml:space="preserve">ristotelsky formovaný Heidegger zkoumal výkon života v jeho primární formě generující první formu intencionality </w:t>
      </w:r>
      <w:r w:rsidR="08F04ACD" w:rsidRPr="08E7347E">
        <w:rPr>
          <w:rFonts w:cs="TimesNewRomanPSMT"/>
          <w:i/>
          <w:szCs w:val="24"/>
        </w:rPr>
        <w:t>Dasein</w:t>
      </w:r>
      <w:r w:rsidR="08F04ACD">
        <w:rPr>
          <w:rFonts w:cs="TimesNewRomanPSMT"/>
          <w:szCs w:val="24"/>
        </w:rPr>
        <w:t xml:space="preserve">, kde nutně leží i původní význam bytí jsoucna. Na začátku </w:t>
      </w:r>
      <w:r w:rsidR="08603891">
        <w:rPr>
          <w:rFonts w:cs="TimesNewRomanPSMT"/>
          <w:szCs w:val="24"/>
        </w:rPr>
        <w:t xml:space="preserve">Heideggerovy </w:t>
      </w:r>
      <w:r w:rsidR="08F04ACD">
        <w:rPr>
          <w:rFonts w:cs="TimesNewRomanPSMT"/>
          <w:szCs w:val="24"/>
        </w:rPr>
        <w:t xml:space="preserve">cesty k filosofii </w:t>
      </w:r>
      <w:r w:rsidR="08603891">
        <w:rPr>
          <w:rFonts w:cs="TimesNewRomanPSMT"/>
          <w:szCs w:val="24"/>
        </w:rPr>
        <w:t xml:space="preserve">v modu Sicilské školy </w:t>
      </w:r>
      <w:r w:rsidR="08F04ACD">
        <w:rPr>
          <w:rFonts w:cs="TimesNewRomanPSMT"/>
          <w:szCs w:val="24"/>
        </w:rPr>
        <w:t>stála hermeneutika fakticity vyložená podle teologické podoby reálné křesťanské existence</w:t>
      </w:r>
      <w:r w:rsidR="08F04ACD" w:rsidRPr="08853BF3">
        <w:rPr>
          <w:rFonts w:cs="TimesNewRomanPSMT"/>
          <w:szCs w:val="24"/>
        </w:rPr>
        <w:t xml:space="preserve"> </w:t>
      </w:r>
      <w:r w:rsidR="08F04ACD">
        <w:rPr>
          <w:rFonts w:cs="TimesNewRomanPSMT"/>
          <w:szCs w:val="24"/>
        </w:rPr>
        <w:t>zkoumané v Pavlových listech</w:t>
      </w:r>
      <w:r w:rsidR="08603891">
        <w:rPr>
          <w:rFonts w:cs="TimesNewRomanPSMT"/>
          <w:szCs w:val="24"/>
        </w:rPr>
        <w:t>. Proto Heidegger odmítl hypostázované definice tehdejší Toledské školy dané kantovskými či hegeliánskými for</w:t>
      </w:r>
      <w:r w:rsidR="08F04ACD">
        <w:rPr>
          <w:rFonts w:cs="TimesNewRomanPSMT"/>
          <w:szCs w:val="24"/>
        </w:rPr>
        <w:t>m</w:t>
      </w:r>
      <w:r w:rsidR="08603891">
        <w:rPr>
          <w:rFonts w:cs="TimesNewRomanPSMT"/>
          <w:szCs w:val="24"/>
        </w:rPr>
        <w:t>ami</w:t>
      </w:r>
      <w:r w:rsidR="08F04ACD">
        <w:rPr>
          <w:rFonts w:cs="TimesNewRomanPSMT"/>
          <w:szCs w:val="24"/>
        </w:rPr>
        <w:t xml:space="preserve"> </w:t>
      </w:r>
      <w:r w:rsidR="08F04ACD" w:rsidRPr="08853BF3">
        <w:rPr>
          <w:rFonts w:cs="TimesNewRomanPSMT"/>
          <w:i/>
          <w:szCs w:val="24"/>
        </w:rPr>
        <w:t>Lebensphilosophie</w:t>
      </w:r>
      <w:r w:rsidR="08683F62">
        <w:rPr>
          <w:rFonts w:cs="TimesNewRomanPSMT"/>
          <w:szCs w:val="24"/>
        </w:rPr>
        <w:t>,</w:t>
      </w:r>
      <w:r w:rsidR="08AE55C0">
        <w:rPr>
          <w:rFonts w:cs="TimesNewRomanPSMT"/>
          <w:szCs w:val="24"/>
        </w:rPr>
        <w:t xml:space="preserve"> které pro něj představovaly nová jsoucna třetího druhu</w:t>
      </w:r>
      <w:r w:rsidR="08F04ACD">
        <w:rPr>
          <w:rFonts w:cs="TimesNewRomanPSMT"/>
          <w:szCs w:val="24"/>
        </w:rPr>
        <w:t xml:space="preserve">. </w:t>
      </w:r>
      <w:r w:rsidR="08F04ACD">
        <w:t xml:space="preserve">Autentické aristotelské </w:t>
      </w:r>
      <w:r w:rsidR="08F04ACD" w:rsidRPr="00273106">
        <w:t xml:space="preserve">pojetí poznání a intencionality představuje zásadní rozdíl proti </w:t>
      </w:r>
      <w:r w:rsidR="08F04ACD" w:rsidRPr="00273106">
        <w:rPr>
          <w:i/>
        </w:rPr>
        <w:t>Modernorum</w:t>
      </w:r>
      <w:r w:rsidR="08F04ACD" w:rsidRPr="00273106">
        <w:t xml:space="preserve"> a </w:t>
      </w:r>
      <w:r w:rsidR="08F04ACD">
        <w:t xml:space="preserve">zásadně </w:t>
      </w:r>
      <w:r w:rsidR="08F04ACD" w:rsidRPr="00273106">
        <w:t xml:space="preserve">změní i </w:t>
      </w:r>
      <w:r w:rsidR="0838302E">
        <w:t xml:space="preserve">filosofické </w:t>
      </w:r>
      <w:r w:rsidR="08F04ACD">
        <w:t>určení člověka a vědy</w:t>
      </w:r>
      <w:r w:rsidR="08F04ACD" w:rsidRPr="00273106">
        <w:t>.</w:t>
      </w:r>
      <w:r w:rsidR="08421153">
        <w:t xml:space="preserve"> </w:t>
      </w:r>
      <w:r w:rsidR="002F7A68" w:rsidRPr="00273106">
        <w:t xml:space="preserve">Avicennův </w:t>
      </w:r>
      <w:r w:rsidR="002F7A68" w:rsidRPr="00273106">
        <w:rPr>
          <w:i/>
        </w:rPr>
        <w:t>i</w:t>
      </w:r>
      <w:r w:rsidR="00F81EC6" w:rsidRPr="00273106">
        <w:rPr>
          <w:i/>
        </w:rPr>
        <w:t>ntellectus agens</w:t>
      </w:r>
      <w:r w:rsidR="00DF1F0F">
        <w:rPr>
          <w:i/>
        </w:rPr>
        <w:fldChar w:fldCharType="begin"/>
      </w:r>
      <w:r w:rsidR="00DF1F0F">
        <w:instrText xml:space="preserve"> XE "</w:instrText>
      </w:r>
      <w:r w:rsidR="00DF1F0F" w:rsidRPr="00490D32">
        <w:rPr>
          <w:i/>
        </w:rPr>
        <w:instrText>intellectus agens</w:instrText>
      </w:r>
      <w:r w:rsidR="00DF1F0F" w:rsidRPr="0085319F">
        <w:instrText>:</w:instrText>
      </w:r>
      <w:r w:rsidR="0085319F" w:rsidRPr="0085319F">
        <w:instrText>Avicenna</w:instrText>
      </w:r>
      <w:r w:rsidR="00DF1F0F">
        <w:instrText xml:space="preserve">" </w:instrText>
      </w:r>
      <w:r w:rsidR="00DF1F0F">
        <w:rPr>
          <w:i/>
        </w:rPr>
        <w:fldChar w:fldCharType="end"/>
      </w:r>
      <w:r w:rsidR="00F81EC6" w:rsidRPr="00273106">
        <w:t xml:space="preserve"> </w:t>
      </w:r>
      <w:r w:rsidR="08FF7197">
        <w:t>přestal být dominantní složkou</w:t>
      </w:r>
      <w:r w:rsidR="003A4498" w:rsidRPr="00273106">
        <w:t xml:space="preserve"> </w:t>
      </w:r>
      <w:r w:rsidR="00F81EC6" w:rsidRPr="00273106">
        <w:t xml:space="preserve">řídící celý proces poznání </w:t>
      </w:r>
      <w:r w:rsidR="003A4498" w:rsidRPr="00273106">
        <w:t>zeza</w:t>
      </w:r>
      <w:r w:rsidR="007F003A">
        <w:t>du od světa autonomních forem.</w:t>
      </w:r>
      <w:r w:rsidR="08D00323">
        <w:t xml:space="preserve"> </w:t>
      </w:r>
      <w:r w:rsidR="0838302E">
        <w:t xml:space="preserve">V Blundově škole </w:t>
      </w:r>
      <w:r w:rsidR="08FF7197">
        <w:t>se stala d</w:t>
      </w:r>
      <w:r w:rsidR="080F11F2">
        <w:t>árcem poznaných forem samotná duše aktualizovaná hyleformickou aktuál</w:t>
      </w:r>
      <w:r w:rsidR="08C64081">
        <w:t>ní věcí danou v realitě. Její intence jde primárně k tělu (</w:t>
      </w:r>
      <w:r w:rsidR="08C64081" w:rsidRPr="08C64081">
        <w:rPr>
          <w:i/>
        </w:rPr>
        <w:t>anima habet convertere se ad corpus</w:t>
      </w:r>
      <w:r w:rsidR="08C64081">
        <w:t xml:space="preserve">), a ne k oddělenému aktivnímu </w:t>
      </w:r>
      <w:r w:rsidR="08C64081">
        <w:lastRenderedPageBreak/>
        <w:t>intelektu jako dárci forem</w:t>
      </w:r>
      <w:r w:rsidR="00F81EC6" w:rsidRPr="00273106">
        <w:t>.</w:t>
      </w:r>
      <w:r w:rsidR="08840501">
        <w:rPr>
          <w:rStyle w:val="Znakapoznpodarou"/>
        </w:rPr>
        <w:footnoteReference w:id="101"/>
      </w:r>
      <w:r w:rsidR="00F81EC6" w:rsidRPr="00273106">
        <w:t xml:space="preserve"> Duše aktivně abstrahuje poznané formy směrem od obrazu věcí uložených v paměti (</w:t>
      </w:r>
      <w:r w:rsidR="00F81EC6" w:rsidRPr="00273106">
        <w:rPr>
          <w:i/>
        </w:rPr>
        <w:t>ad similitudinem ymagimum inventarum in memoria</w:t>
      </w:r>
      <w:r w:rsidR="00E6051F">
        <w:rPr>
          <w:i/>
        </w:rPr>
        <w:fldChar w:fldCharType="begin"/>
      </w:r>
      <w:r w:rsidR="00E6051F">
        <w:instrText xml:space="preserve"> XE "</w:instrText>
      </w:r>
      <w:r w:rsidR="00E6051F" w:rsidRPr="00840D0F">
        <w:rPr>
          <w:i/>
        </w:rPr>
        <w:instrText>memoria:</w:instrText>
      </w:r>
      <w:r w:rsidR="0085319F">
        <w:instrText xml:space="preserve">první </w:instrText>
      </w:r>
      <w:r w:rsidR="00E6051F" w:rsidRPr="00840D0F">
        <w:instrText>averroismus</w:instrText>
      </w:r>
      <w:r w:rsidR="00E6051F">
        <w:instrText xml:space="preserve">" </w:instrText>
      </w:r>
      <w:r w:rsidR="00E6051F">
        <w:rPr>
          <w:i/>
        </w:rPr>
        <w:fldChar w:fldCharType="end"/>
      </w:r>
      <w:r w:rsidR="000641D7">
        <w:t>). T</w:t>
      </w:r>
      <w:r w:rsidR="00F81EC6" w:rsidRPr="00273106">
        <w:t xml:space="preserve">yto formy jsou </w:t>
      </w:r>
      <w:r w:rsidR="00082C2B">
        <w:t xml:space="preserve">intendovány a syntetizovány </w:t>
      </w:r>
      <w:r w:rsidR="00F81EC6" w:rsidRPr="00273106">
        <w:t>skrze individuální formální intelekt (</w:t>
      </w:r>
      <w:r w:rsidR="00F81EC6" w:rsidRPr="00273106">
        <w:rPr>
          <w:i/>
        </w:rPr>
        <w:t>et imprimitur in anima 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00641D7">
        <w:t xml:space="preserve">). Formální intelekt </w:t>
      </w:r>
      <w:r w:rsidR="00F81EC6" w:rsidRPr="00273106">
        <w:t xml:space="preserve">bere svou </w:t>
      </w:r>
      <w:r w:rsidR="00AD357C" w:rsidRPr="00273106">
        <w:t xml:space="preserve">původní </w:t>
      </w:r>
      <w:r w:rsidR="00F81EC6" w:rsidRPr="00273106">
        <w:t>aktualitu od dárce forem</w:t>
      </w:r>
      <w:r w:rsidR="00524DCB">
        <w:fldChar w:fldCharType="begin"/>
      </w:r>
      <w:r w:rsidR="00524DCB">
        <w:instrText xml:space="preserve"> XE "</w:instrText>
      </w:r>
      <w:r w:rsidR="00524DCB" w:rsidRPr="00BA7E25">
        <w:instrText>intelekt:dárce forem</w:instrText>
      </w:r>
      <w:r w:rsidR="00524DCB">
        <w:instrText xml:space="preserve">" </w:instrText>
      </w:r>
      <w:r w:rsidR="00524DCB">
        <w:fldChar w:fldCharType="end"/>
      </w:r>
      <w:r w:rsidR="00F81EC6" w:rsidRPr="00273106">
        <w:t xml:space="preserve"> (</w:t>
      </w:r>
      <w:r w:rsidR="00F81EC6" w:rsidRPr="00273106">
        <w:rPr>
          <w:i/>
        </w:rPr>
        <w:t>mediante primo datore formarum</w:t>
      </w:r>
      <w:r w:rsidR="00F81EC6" w:rsidRPr="00273106">
        <w:t>). Působení Avicennova dárce forem</w:t>
      </w:r>
      <w:r w:rsidR="00524DCB">
        <w:fldChar w:fldCharType="begin"/>
      </w:r>
      <w:r w:rsidR="00524DCB">
        <w:instrText xml:space="preserve"> XE "</w:instrText>
      </w:r>
      <w:r w:rsidR="00524DCB" w:rsidRPr="00BA7E25">
        <w:instrText>intelekt:dárce forem</w:instrText>
      </w:r>
      <w:r w:rsidR="00524DCB">
        <w:instrText xml:space="preserve">" </w:instrText>
      </w:r>
      <w:r w:rsidR="00524DCB">
        <w:fldChar w:fldCharType="end"/>
      </w:r>
      <w:r w:rsidR="00F81EC6" w:rsidRPr="00273106">
        <w:t xml:space="preserve"> </w:t>
      </w:r>
      <w:r w:rsidR="00EA050F" w:rsidRPr="00273106">
        <w:t xml:space="preserve">v procesu poznání </w:t>
      </w:r>
      <w:r w:rsidR="00F81EC6" w:rsidRPr="00273106">
        <w:t>bylo redukováno na pouze nepřímý vliv</w:t>
      </w:r>
      <w:r w:rsidR="009E775A">
        <w:t xml:space="preserve">. </w:t>
      </w:r>
      <w:r w:rsidR="0855163A" w:rsidRPr="00273106">
        <w:t xml:space="preserve">Vedoucí roli první příčiny a odděleného aktivního intelektu dostává u Blunda až bůh jako </w:t>
      </w:r>
      <w:r w:rsidR="0855163A" w:rsidRPr="00273106">
        <w:rPr>
          <w:i/>
        </w:rPr>
        <w:t>Dator formarum</w:t>
      </w:r>
      <w:r w:rsidR="0855163A">
        <w:rPr>
          <w:i/>
        </w:rPr>
        <w:fldChar w:fldCharType="begin"/>
      </w:r>
      <w:r w:rsidR="0855163A">
        <w:instrText xml:space="preserve"> XE "</w:instrText>
      </w:r>
      <w:r w:rsidR="0855163A" w:rsidRPr="009607D7">
        <w:rPr>
          <w:i/>
        </w:rPr>
        <w:instrText>Dator formarum</w:instrText>
      </w:r>
      <w:r w:rsidR="0855163A">
        <w:instrText xml:space="preserve">" </w:instrText>
      </w:r>
      <w:r w:rsidR="0855163A">
        <w:rPr>
          <w:i/>
        </w:rPr>
        <w:fldChar w:fldCharType="end"/>
      </w:r>
      <w:r w:rsidR="0855163A" w:rsidRPr="00273106">
        <w:t xml:space="preserve">, který je ovšem ve svém bytí zcela oddělený od lidské duše. </w:t>
      </w:r>
      <w:r w:rsidR="009E775A">
        <w:t xml:space="preserve">Intelekt jako forma musí pocházet přímo od boha jako první formy, což bylo i stanovisko Grossetesteho </w:t>
      </w:r>
      <w:r w:rsidR="08B94B8A">
        <w:t xml:space="preserve">jako eminentního představitele Blundovy školy </w:t>
      </w:r>
      <w:r w:rsidR="08130240">
        <w:t>(kap. 3</w:t>
      </w:r>
      <w:r w:rsidR="009E775A">
        <w:t xml:space="preserve">.2). To </w:t>
      </w:r>
      <w:r w:rsidR="00F81EC6" w:rsidRPr="00273106">
        <w:t xml:space="preserve">odpovídá aristotelskému scénáři poznání determinovanému aktualitou poznávané věci, a nikoliv </w:t>
      </w:r>
      <w:r w:rsidR="00D94D66" w:rsidRPr="00273106">
        <w:t xml:space="preserve">aktualitou </w:t>
      </w:r>
      <w:r w:rsidR="00F81EC6" w:rsidRPr="00273106">
        <w:t xml:space="preserve">oddělené </w:t>
      </w:r>
      <w:r w:rsidR="00D94D66" w:rsidRPr="00273106">
        <w:t>formy a její eficientní kauzality</w:t>
      </w:r>
      <w:r w:rsidR="00F81EC6" w:rsidRPr="00273106">
        <w:t xml:space="preserve">. </w:t>
      </w:r>
      <w:r w:rsidR="08896814">
        <w:t xml:space="preserve">Na začátku 13. století </w:t>
      </w:r>
      <w:r w:rsidR="086D73C7" w:rsidRPr="00273106">
        <w:t>došlo k prvnímu osvobození osoby, duše a intelektu od diakosmu Jamblicha</w:t>
      </w:r>
      <w:r w:rsidR="086D73C7">
        <w:t xml:space="preserve"> a </w:t>
      </w:r>
      <w:r w:rsidR="086D73C7" w:rsidRPr="00273106">
        <w:t>Avicenny.</w:t>
      </w:r>
      <w:r w:rsidR="086D73C7">
        <w:t xml:space="preserve"> </w:t>
      </w:r>
      <w:r w:rsidR="08896814">
        <w:t>D</w:t>
      </w:r>
      <w:r w:rsidR="007A47AC" w:rsidRPr="00273106">
        <w:t xml:space="preserve">vojí rozdělení </w:t>
      </w:r>
      <w:r w:rsidR="007A47AC"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07A47AC" w:rsidRPr="00273106">
        <w:t xml:space="preserve"> na interní složku duše a na externí</w:t>
      </w:r>
      <w:r w:rsidR="00AD67E0">
        <w:t>ho</w:t>
      </w:r>
      <w:r w:rsidR="007A47AC" w:rsidRPr="00273106">
        <w:t xml:space="preserve"> činitel</w:t>
      </w:r>
      <w:r w:rsidR="00AD67E0">
        <w:t>e</w:t>
      </w:r>
      <w:r w:rsidR="007A47AC" w:rsidRPr="00273106">
        <w:t xml:space="preserve"> </w:t>
      </w:r>
      <w:r w:rsidR="00DF2B24">
        <w:t xml:space="preserve">kosmického charakteru </w:t>
      </w:r>
      <w:r w:rsidR="08E13174">
        <w:t xml:space="preserve">bránil </w:t>
      </w:r>
      <w:r w:rsidR="007A47AC" w:rsidRPr="00273106">
        <w:t>pařížsk</w:t>
      </w:r>
      <w:r w:rsidR="08E13174">
        <w:t>ý arci</w:t>
      </w:r>
      <w:r w:rsidR="007A47AC" w:rsidRPr="00273106">
        <w:t>biskup</w:t>
      </w:r>
      <w:r w:rsidR="08E13174">
        <w:t xml:space="preserve"> </w:t>
      </w:r>
      <w:r w:rsidR="08E13174">
        <w:rPr>
          <w:bCs/>
        </w:rPr>
        <w:t>Guilielmus Alvernus</w:t>
      </w:r>
      <w:r w:rsidR="08E13174">
        <w:rPr>
          <w:bCs/>
        </w:rPr>
        <w:fldChar w:fldCharType="begin"/>
      </w:r>
      <w:r w:rsidR="08E13174">
        <w:instrText xml:space="preserve"> XE "</w:instrText>
      </w:r>
      <w:r w:rsidR="08E13174" w:rsidRPr="00C31575">
        <w:rPr>
          <w:bCs/>
        </w:rPr>
        <w:instrText>Guilielmus Alvernus:</w:instrText>
      </w:r>
      <w:r w:rsidR="08E13174" w:rsidRPr="00C31575">
        <w:instrText xml:space="preserve">viz </w:instrText>
      </w:r>
      <w:r w:rsidR="08E13174" w:rsidRPr="00A30032">
        <w:rPr>
          <w:i/>
        </w:rPr>
        <w:instrText>Index locorum</w:instrText>
      </w:r>
      <w:r w:rsidR="08E13174">
        <w:instrText xml:space="preserve">" </w:instrText>
      </w:r>
      <w:r w:rsidR="08E13174">
        <w:rPr>
          <w:bCs/>
        </w:rPr>
        <w:fldChar w:fldCharType="end"/>
      </w:r>
      <w:r w:rsidR="08E13174">
        <w:t xml:space="preserve">, </w:t>
      </w:r>
      <w:r w:rsidR="008410F2" w:rsidRPr="00273106">
        <w:t>který je nejznámějším a nejdůležitějším žákem Blu</w:t>
      </w:r>
      <w:r w:rsidR="00DD1C33">
        <w:t>n</w:t>
      </w:r>
      <w:r w:rsidR="008410F2" w:rsidRPr="00273106">
        <w:t>dovy školy</w:t>
      </w:r>
      <w:r w:rsidR="08263B29">
        <w:t xml:space="preserve"> (kap. 2</w:t>
      </w:r>
      <w:r w:rsidR="007A47AC" w:rsidRPr="00273106">
        <w:t xml:space="preserve">.3). Samostatná role pro </w:t>
      </w:r>
      <w:r w:rsidR="007A47AC" w:rsidRPr="00273106">
        <w:rPr>
          <w:i/>
        </w:rPr>
        <w:t>intellectus adeptus</w:t>
      </w:r>
      <w:r w:rsidR="007A47AC" w:rsidRPr="00273106">
        <w:t xml:space="preserve"> odpadá, protože nasvícení intelektu jde </w:t>
      </w:r>
      <w:r w:rsidR="08896814">
        <w:t xml:space="preserve">zepředu od reálné </w:t>
      </w:r>
      <w:r w:rsidR="08896814" w:rsidRPr="00273106">
        <w:t xml:space="preserve">věci poznávané </w:t>
      </w:r>
      <w:r w:rsidR="007A47AC" w:rsidRPr="00273106">
        <w:t xml:space="preserve">smysly. </w:t>
      </w:r>
      <w:r w:rsidR="00F81EC6" w:rsidRPr="00273106">
        <w:t xml:space="preserve">Výsledné pojetí pravdy jako adekvace věci a intelektu vypadá </w:t>
      </w:r>
      <w:r w:rsidR="00F6203B" w:rsidRPr="00273106">
        <w:t xml:space="preserve">podle </w:t>
      </w:r>
      <w:r w:rsidR="00CC5C10">
        <w:t xml:space="preserve">Blundova </w:t>
      </w:r>
      <w:r w:rsidR="00F6203B" w:rsidRPr="00273106">
        <w:t xml:space="preserve">traktátu </w:t>
      </w:r>
      <w:r w:rsidR="00F81EC6" w:rsidRPr="00273106">
        <w:t>následovně.</w:t>
      </w:r>
    </w:p>
    <w:p w14:paraId="0F414D38" w14:textId="77777777" w:rsidR="084A1ABE" w:rsidRDefault="08854E06" w:rsidP="084A1ABE">
      <w:pPr>
        <w:pStyle w:val="Citace"/>
      </w:pPr>
      <w:r w:rsidRPr="08854E06">
        <w:rPr>
          <w:rStyle w:val="Zkladntext10dkovn0pt"/>
          <w:rFonts w:ascii="Calibri" w:eastAsia="Times" w:hAnsi="Calibri" w:cs="Times New Roman"/>
          <w:spacing w:val="0"/>
          <w:sz w:val="22"/>
        </w:rPr>
        <w:t>„</w:t>
      </w:r>
      <w:r>
        <w:rPr>
          <w:rStyle w:val="Zkladntext10dkovn0pt"/>
          <w:rFonts w:ascii="Calibri" w:eastAsia="Times" w:hAnsi="Calibri" w:cs="Times New Roman"/>
          <w:spacing w:val="0"/>
          <w:sz w:val="22"/>
          <w:lang w:val="cs-CZ"/>
        </w:rPr>
        <w:t xml:space="preserve">Podobným způsobem lze ukázat, že všechny poznávací schopnosti duše jsou a táž schopnost </w:t>
      </w:r>
      <w:r w:rsidR="088019EC">
        <w:rPr>
          <w:rStyle w:val="Zkladntext10dkovn0pt"/>
          <w:rFonts w:ascii="Calibri" w:eastAsia="Times" w:hAnsi="Calibri" w:cs="Times New Roman"/>
          <w:spacing w:val="0"/>
          <w:sz w:val="22"/>
          <w:lang w:val="cs-CZ"/>
        </w:rPr>
        <w:t xml:space="preserve">daná v </w:t>
      </w:r>
      <w:r w:rsidR="08320F6A">
        <w:rPr>
          <w:rStyle w:val="Zkladntext10dkovn0pt"/>
          <w:rFonts w:ascii="Calibri" w:eastAsia="Times" w:hAnsi="Calibri" w:cs="Times New Roman"/>
          <w:spacing w:val="0"/>
          <w:sz w:val="22"/>
          <w:lang w:val="cs-CZ"/>
        </w:rPr>
        <w:t xml:space="preserve">aktu </w:t>
      </w:r>
      <w:r w:rsidR="088019EC">
        <w:rPr>
          <w:rStyle w:val="Zkladntext10dkovn0pt"/>
          <w:rFonts w:ascii="Calibri" w:eastAsia="Times" w:hAnsi="Calibri" w:cs="Times New Roman"/>
          <w:spacing w:val="0"/>
          <w:sz w:val="22"/>
          <w:lang w:val="cs-CZ"/>
        </w:rPr>
        <w:t xml:space="preserve">první substance </w:t>
      </w:r>
      <w:r>
        <w:rPr>
          <w:rStyle w:val="Zkladntext10dkovn0pt"/>
          <w:rFonts w:ascii="Calibri" w:eastAsia="Times" w:hAnsi="Calibri" w:cs="Times New Roman"/>
          <w:spacing w:val="0"/>
          <w:sz w:val="22"/>
          <w:lang w:val="cs-CZ"/>
        </w:rPr>
        <w:t>(</w:t>
      </w:r>
      <w:r w:rsidRPr="08854E06">
        <w:rPr>
          <w:rStyle w:val="Zkladntext10dkovn0pt"/>
          <w:rFonts w:ascii="Calibri" w:eastAsia="Times" w:hAnsi="Calibri" w:cs="Times New Roman"/>
          <w:i/>
          <w:spacing w:val="0"/>
          <w:sz w:val="22"/>
        </w:rPr>
        <w:t>una et eadem vis in essentia</w:t>
      </w:r>
      <w:r>
        <w:rPr>
          <w:rStyle w:val="Zkladntext10dkovn0pt"/>
          <w:rFonts w:ascii="Calibri" w:eastAsia="Times" w:hAnsi="Calibri" w:cs="Times New Roman"/>
          <w:spacing w:val="0"/>
          <w:sz w:val="22"/>
          <w:lang w:val="cs-CZ"/>
        </w:rPr>
        <w:t>). To rádi přijímáme s tím, že poznávací složky lids</w:t>
      </w:r>
      <w:r w:rsidR="08320F6A">
        <w:rPr>
          <w:rStyle w:val="Zkladntext10dkovn0pt"/>
          <w:rFonts w:ascii="Calibri" w:eastAsia="Times" w:hAnsi="Calibri" w:cs="Times New Roman"/>
          <w:spacing w:val="0"/>
          <w:sz w:val="22"/>
          <w:lang w:val="cs-CZ"/>
        </w:rPr>
        <w:t>ké du</w:t>
      </w:r>
      <w:r w:rsidR="088019EC">
        <w:rPr>
          <w:rStyle w:val="Zkladntext10dkovn0pt"/>
          <w:rFonts w:ascii="Calibri" w:eastAsia="Times" w:hAnsi="Calibri" w:cs="Times New Roman"/>
          <w:spacing w:val="0"/>
          <w:sz w:val="22"/>
          <w:lang w:val="cs-CZ"/>
        </w:rPr>
        <w:t xml:space="preserve">še nejsou odlišné </w:t>
      </w:r>
      <w:r w:rsidR="08EE457B">
        <w:rPr>
          <w:rStyle w:val="Zkladntext10dkovn0pt"/>
          <w:rFonts w:ascii="Calibri" w:eastAsia="Times" w:hAnsi="Calibri" w:cs="Times New Roman"/>
          <w:spacing w:val="0"/>
          <w:sz w:val="22"/>
          <w:lang w:val="cs-CZ"/>
        </w:rPr>
        <w:t>substančně</w:t>
      </w:r>
      <w:r>
        <w:rPr>
          <w:rStyle w:val="Zkladntext10dkovn0pt"/>
          <w:rFonts w:ascii="Calibri" w:eastAsia="Times" w:hAnsi="Calibri" w:cs="Times New Roman"/>
          <w:spacing w:val="0"/>
          <w:sz w:val="22"/>
          <w:lang w:val="cs-CZ"/>
        </w:rPr>
        <w:t>, ale pouze akcidentálně (</w:t>
      </w:r>
      <w:r w:rsidRPr="08854E06">
        <w:rPr>
          <w:rStyle w:val="Zkladntext10dkovn0pt"/>
          <w:rFonts w:ascii="Calibri" w:eastAsia="Times" w:hAnsi="Calibri" w:cs="Times New Roman"/>
          <w:i/>
          <w:spacing w:val="0"/>
          <w:sz w:val="22"/>
        </w:rPr>
        <w:t>non sunt diverse in essentia, immo in accidente tantum</w:t>
      </w:r>
      <w:r w:rsidR="087511FA">
        <w:rPr>
          <w:rStyle w:val="Zkladntext10dkovn0pt"/>
          <w:rFonts w:ascii="Calibri" w:eastAsia="Times" w:hAnsi="Calibri" w:cs="Times New Roman"/>
          <w:spacing w:val="0"/>
          <w:sz w:val="22"/>
          <w:lang w:val="cs-CZ"/>
        </w:rPr>
        <w:t>). Není mezi nimi jiná odlišnost než ta, která je dána způsobem jejich poznání (</w:t>
      </w:r>
      <w:r w:rsidR="087511FA" w:rsidRPr="087511FA">
        <w:rPr>
          <w:rStyle w:val="Zkladntext10dkovn0pt"/>
          <w:rFonts w:ascii="Calibri" w:eastAsia="Times" w:hAnsi="Calibri" w:cs="Times New Roman"/>
          <w:i/>
          <w:spacing w:val="0"/>
          <w:sz w:val="22"/>
        </w:rPr>
        <w:t>in modo apprehendendi</w:t>
      </w:r>
      <w:r w:rsidR="087511FA">
        <w:rPr>
          <w:rStyle w:val="Zkladntext10dkovn0pt"/>
          <w:rFonts w:ascii="Calibri" w:eastAsia="Times" w:hAnsi="Calibri" w:cs="Times New Roman"/>
          <w:spacing w:val="0"/>
          <w:sz w:val="22"/>
          <w:lang w:val="cs-CZ"/>
        </w:rPr>
        <w:t xml:space="preserve">). Smysly totiž poznávají přítomnou věc; představivost </w:t>
      </w:r>
      <w:r w:rsidR="084A1ABE">
        <w:rPr>
          <w:rStyle w:val="Zkladntext10dkovn0pt"/>
          <w:rFonts w:ascii="Calibri" w:eastAsia="Times" w:hAnsi="Calibri" w:cs="Times New Roman"/>
          <w:spacing w:val="0"/>
          <w:sz w:val="22"/>
          <w:lang w:val="cs-CZ"/>
        </w:rPr>
        <w:t xml:space="preserve">poznává </w:t>
      </w:r>
      <w:r w:rsidR="087511FA">
        <w:rPr>
          <w:rStyle w:val="Zkladntext10dkovn0pt"/>
          <w:rFonts w:ascii="Calibri" w:eastAsia="Times" w:hAnsi="Calibri" w:cs="Times New Roman"/>
          <w:spacing w:val="0"/>
          <w:sz w:val="22"/>
          <w:lang w:val="cs-CZ"/>
        </w:rPr>
        <w:t xml:space="preserve">nepřítomnou věc, která byla předtím poznaná smysly; intelekt pak abstrahuje věc od jejích akcidentů, jak bylo řečeno podle </w:t>
      </w:r>
      <w:r w:rsidR="084A1ABE">
        <w:rPr>
          <w:rStyle w:val="Zkladntext10dkovn0pt"/>
          <w:rFonts w:ascii="Calibri" w:eastAsia="Times" w:hAnsi="Calibri" w:cs="Times New Roman"/>
          <w:spacing w:val="0"/>
          <w:sz w:val="22"/>
          <w:lang w:val="cs-CZ"/>
        </w:rPr>
        <w:t xml:space="preserve">výše řečených </w:t>
      </w:r>
      <w:r w:rsidR="087511FA">
        <w:rPr>
          <w:rStyle w:val="Zkladntext10dkovn0pt"/>
          <w:rFonts w:ascii="Calibri" w:eastAsia="Times" w:hAnsi="Calibri" w:cs="Times New Roman"/>
          <w:spacing w:val="0"/>
          <w:sz w:val="22"/>
          <w:lang w:val="cs-CZ"/>
        </w:rPr>
        <w:t>argumentů.“</w:t>
      </w:r>
      <w:r w:rsidR="084A1ABE">
        <w:rPr>
          <w:rStyle w:val="Zkladntext10dkovn0pt"/>
          <w:rFonts w:ascii="Calibri" w:eastAsia="Times" w:hAnsi="Calibri" w:cs="Times New Roman"/>
          <w:spacing w:val="0"/>
          <w:sz w:val="22"/>
          <w:lang w:val="cs-CZ"/>
        </w:rPr>
        <w:t> </w:t>
      </w:r>
      <w:r w:rsidR="0096654C" w:rsidRPr="00273106">
        <w:rPr>
          <w:rStyle w:val="Znakapoznpodarou"/>
        </w:rPr>
        <w:footnoteReference w:id="102"/>
      </w:r>
    </w:p>
    <w:p w14:paraId="2C585BAC" w14:textId="4A2295E9" w:rsidR="0039133B" w:rsidRDefault="08EE457B" w:rsidP="08361157">
      <w:r w:rsidRPr="00273106">
        <w:lastRenderedPageBreak/>
        <w:t>Smysly vnímají věc v její přítomné danosti (</w:t>
      </w:r>
      <w:r>
        <w:rPr>
          <w:rStyle w:val="Zkladntext10dkovn0pt"/>
          <w:rFonts w:ascii="Calibri" w:eastAsia="Times" w:hAnsi="Calibri" w:cs="Times New Roman"/>
          <w:i/>
          <w:color w:val="auto"/>
          <w:spacing w:val="0"/>
          <w:sz w:val="24"/>
        </w:rPr>
        <w:t>rem pre</w:t>
      </w:r>
      <w:r w:rsidRPr="00273106">
        <w:rPr>
          <w:rStyle w:val="Zkladntext10dkovn0pt"/>
          <w:rFonts w:ascii="Calibri" w:eastAsia="Times" w:hAnsi="Calibri" w:cs="Times New Roman"/>
          <w:i/>
          <w:color w:val="auto"/>
          <w:spacing w:val="0"/>
          <w:sz w:val="24"/>
        </w:rPr>
        <w:t>sentem</w:t>
      </w:r>
      <w:r w:rsidRPr="00273106">
        <w:t>), představivost daná intencionálně drží věc v její nepřítomnosti (</w:t>
      </w:r>
      <w:r>
        <w:rPr>
          <w:rStyle w:val="Zkladntext10dkovn0pt"/>
          <w:rFonts w:ascii="Calibri" w:eastAsia="Times" w:hAnsi="Calibri" w:cs="Times New Roman"/>
          <w:i/>
          <w:color w:val="auto"/>
          <w:spacing w:val="0"/>
          <w:sz w:val="24"/>
        </w:rPr>
        <w:t>rem ab</w:t>
      </w:r>
      <w:r w:rsidRPr="00273106">
        <w:rPr>
          <w:rStyle w:val="Zkladntext10dkovn0pt"/>
          <w:rFonts w:ascii="Calibri" w:eastAsia="Times" w:hAnsi="Calibri" w:cs="Times New Roman"/>
          <w:i/>
          <w:color w:val="auto"/>
          <w:spacing w:val="0"/>
          <w:sz w:val="24"/>
        </w:rPr>
        <w:t>sentem</w:t>
      </w:r>
      <w:r w:rsidRPr="00273106">
        <w:t>).</w:t>
      </w:r>
      <w:r>
        <w:t xml:space="preserve"> </w:t>
      </w:r>
      <w:r w:rsidRPr="00273106">
        <w:t>Intelekt v následném procesu abstrakce</w:t>
      </w:r>
      <w:r>
        <w:fldChar w:fldCharType="begin"/>
      </w:r>
      <w:r>
        <w:instrText xml:space="preserve"> XE "</w:instrText>
      </w:r>
      <w:r w:rsidRPr="00D34139">
        <w:instrText>abstrakce:Blund</w:instrText>
      </w:r>
      <w:r>
        <w:instrText xml:space="preserve">" </w:instrText>
      </w:r>
      <w:r>
        <w:fldChar w:fldCharType="end"/>
      </w:r>
      <w:r w:rsidRPr="00273106">
        <w:t xml:space="preserve"> vytváří univerzální koncept, a to skrze abstrahované poznání akcidentálních vlastností jednoduché první substance nedělitelně dané v realitě (</w:t>
      </w:r>
      <w:r w:rsidRPr="00273106">
        <w:rPr>
          <w:rStyle w:val="Zkladntext10dkovn0pt"/>
          <w:rFonts w:ascii="Calibri" w:eastAsia="Times" w:hAnsi="Calibri" w:cs="Times New Roman"/>
          <w:i/>
          <w:color w:val="auto"/>
          <w:spacing w:val="0"/>
          <w:sz w:val="24"/>
        </w:rPr>
        <w:t>abstrahit rem ab accidentibus</w:t>
      </w:r>
      <w:r w:rsidRPr="00273106">
        <w:t>). Tím vzniklo nové nasvícení aktivního intelektu aktualizovaného směrem od smyslově poznané věci a lokalizovaného v individuální duši.</w:t>
      </w:r>
      <w:r>
        <w:t xml:space="preserve"> </w:t>
      </w:r>
      <w:r w:rsidR="08DF0059">
        <w:t xml:space="preserve">Zavedení </w:t>
      </w:r>
      <w:r w:rsidR="082A724F">
        <w:t xml:space="preserve">metafyzického </w:t>
      </w:r>
      <w:r w:rsidR="08DF0059">
        <w:t xml:space="preserve">dativu podle Aristotela jasně odděluje metafyzicky odlišné mody bytí jsoucna, což </w:t>
      </w:r>
      <w:r w:rsidR="08EF608B">
        <w:t xml:space="preserve">později explicitně tematizuje </w:t>
      </w:r>
      <w:r w:rsidR="08DF0059">
        <w:t>škola Modistů</w:t>
      </w:r>
      <w:r w:rsidR="08DF0059">
        <w:fldChar w:fldCharType="begin"/>
      </w:r>
      <w:r w:rsidR="08DF0059">
        <w:instrText xml:space="preserve"> XE "první averroismus:</w:instrText>
      </w:r>
      <w:r w:rsidR="08DF0059" w:rsidRPr="00290367">
        <w:instrText>Modisté</w:instrText>
      </w:r>
      <w:r w:rsidR="08DF0059">
        <w:instrText xml:space="preserve">" </w:instrText>
      </w:r>
      <w:r w:rsidR="08DF0059">
        <w:fldChar w:fldCharType="end"/>
      </w:r>
      <w:r w:rsidR="08DF0059">
        <w:t xml:space="preserve"> vzniklá v následující generaci Blundových žáků. </w:t>
      </w:r>
      <w:r w:rsidR="081A502C">
        <w:t>Donace aktuálního jsoucna daná v duši předáním smyslové a inteligibilní formy skrze diafanum vytváří jednot</w:t>
      </w:r>
      <w:r w:rsidR="00F81EC6" w:rsidRPr="00273106">
        <w:t xml:space="preserve">u všech poznávacích složek v jedné nemateriální duši </w:t>
      </w:r>
      <w:r w:rsidR="0009685C" w:rsidRPr="00273106">
        <w:t>da</w:t>
      </w:r>
      <w:r w:rsidR="0810751B">
        <w:t xml:space="preserve">né v jejím subsistentním </w:t>
      </w:r>
      <w:r w:rsidR="080635E0">
        <w:t xml:space="preserve">tělesně založeném </w:t>
      </w:r>
      <w:r w:rsidR="0810751B">
        <w:t>výkonu</w:t>
      </w:r>
      <w:r w:rsidR="00F81EC6" w:rsidRPr="00273106">
        <w:t xml:space="preserve">. </w:t>
      </w:r>
      <w:r w:rsidR="005A3CAA">
        <w:t xml:space="preserve">Substanční jednota osoby vylučuje moderní a postmoderní scénář plurality substancí v člověku. </w:t>
      </w:r>
      <w:r w:rsidR="00BE79BC" w:rsidRPr="00273106">
        <w:t>Aristotelik Blund jasně definuje rozdíl mezi filosofickým a teologickým pojetím duše.</w:t>
      </w:r>
      <w:r w:rsidR="00BE79BC" w:rsidRPr="00273106">
        <w:rPr>
          <w:rStyle w:val="Znakapoznpodarou"/>
        </w:rPr>
        <w:footnoteReference w:id="103"/>
      </w:r>
      <w:r w:rsidR="00BE79BC" w:rsidRPr="00273106">
        <w:t xml:space="preserve"> Teolog se má starat o duši z hlediska zásluh a trestů chápaných v perspektivě spásy nebo zatracení. Typické otázky spisu </w:t>
      </w:r>
      <w:r w:rsidR="00BE79BC">
        <w:rPr>
          <w:i/>
        </w:rPr>
        <w:t>De a</w:t>
      </w:r>
      <w:r w:rsidR="00BE79BC" w:rsidRPr="00273106">
        <w:rPr>
          <w:i/>
        </w:rPr>
        <w:t>nima</w:t>
      </w:r>
      <w:r w:rsidR="00BE79BC" w:rsidRPr="00273106">
        <w:t>, totiž čím je duše, jak o ní máme vypovídat z hlediska jejích složek a</w:t>
      </w:r>
      <w:r w:rsidR="089457D5">
        <w:t xml:space="preserve"> jak je vázaná na tělo </w:t>
      </w:r>
      <w:r w:rsidR="00BE79BC" w:rsidRPr="00273106">
        <w:t>patří do oblasti filosofie</w:t>
      </w:r>
      <w:r w:rsidR="089457D5">
        <w:t xml:space="preserve"> a ne teologie</w:t>
      </w:r>
      <w:r w:rsidR="00BE79BC" w:rsidRPr="00273106">
        <w:t>. Blundův stoupenec</w:t>
      </w:r>
      <w:r w:rsidR="00E60EA5">
        <w:t>,</w:t>
      </w:r>
      <w:r w:rsidR="00BE79BC" w:rsidRPr="00273106">
        <w:t xml:space="preserve"> </w:t>
      </w:r>
      <w:r w:rsidR="00792742">
        <w:t xml:space="preserve">pařížský </w:t>
      </w:r>
      <w:r w:rsidR="08655533">
        <w:t>arci</w:t>
      </w:r>
      <w:r w:rsidR="00BE79BC" w:rsidRPr="00273106">
        <w:t xml:space="preserve">biskup </w:t>
      </w:r>
      <w:r w:rsidR="00BE79BC">
        <w:rPr>
          <w:bCs/>
        </w:rPr>
        <w:t>Alvernus</w:t>
      </w:r>
      <w:r w:rsidR="00BE79BC">
        <w:t xml:space="preserve"> a </w:t>
      </w:r>
      <w:r w:rsidR="00BE79BC" w:rsidRPr="00273106">
        <w:t xml:space="preserve">kancléř zdejší </w:t>
      </w:r>
      <w:r w:rsidR="00BE79BC" w:rsidRPr="001B73C5">
        <w:rPr>
          <w:i/>
        </w:rPr>
        <w:t>alma mater</w:t>
      </w:r>
      <w:r w:rsidR="00E60EA5">
        <w:t>,</w:t>
      </w:r>
      <w:r w:rsidR="00BE79BC">
        <w:t xml:space="preserve"> tuto formu autentického aristotelismu </w:t>
      </w:r>
      <w:r w:rsidR="00BE79BC" w:rsidRPr="00273106">
        <w:t>po dvě desetiletí reprezentoval a bránil</w:t>
      </w:r>
      <w:r w:rsidR="00294635">
        <w:t xml:space="preserve"> proti latinským sofistům</w:t>
      </w:r>
      <w:r w:rsidR="08535486">
        <w:t xml:space="preserve"> (kap. 2</w:t>
      </w:r>
      <w:r w:rsidR="004822C8">
        <w:t>.3</w:t>
      </w:r>
      <w:r w:rsidR="00D548D9">
        <w:t>.1</w:t>
      </w:r>
      <w:r w:rsidR="004822C8">
        <w:t>)</w:t>
      </w:r>
      <w:r w:rsidR="00BE79BC" w:rsidRPr="00273106">
        <w:t>.</w:t>
      </w:r>
      <w:r w:rsidR="006B20C8" w:rsidRPr="006B20C8">
        <w:t xml:space="preserve"> </w:t>
      </w:r>
      <w:r w:rsidR="08E55286">
        <w:t>O krátké etapě jeho následovníka (Gauthier II de Château-Thierry</w:t>
      </w:r>
      <w:r w:rsidR="08655533">
        <w:t>, kancléř un</w:t>
      </w:r>
      <w:r w:rsidR="08E55286">
        <w:t>i</w:t>
      </w:r>
      <w:r w:rsidR="08655533">
        <w:t>v</w:t>
      </w:r>
      <w:r w:rsidR="08E55286">
        <w:t>erzity v letech 1246‒</w:t>
      </w:r>
      <w:r w:rsidR="08655533">
        <w:t>49, arcibisku</w:t>
      </w:r>
      <w:r w:rsidR="08E55286">
        <w:t>p 1249) toho víme příliš málo. Zásadní spor mezi školou prvního a druhého averroismu se rozbíhá po roce 1250. R</w:t>
      </w:r>
      <w:r w:rsidR="006B20C8" w:rsidRPr="00273106">
        <w:t xml:space="preserve">espekt k </w:t>
      </w:r>
      <w:r w:rsidR="08E3613D">
        <w:t xml:space="preserve">autonomní cestě </w:t>
      </w:r>
      <w:r w:rsidR="006B20C8" w:rsidRPr="00273106">
        <w:t xml:space="preserve">filosofů </w:t>
      </w:r>
      <w:r w:rsidR="08E3613D">
        <w:t xml:space="preserve">za pravdou </w:t>
      </w:r>
      <w:r w:rsidR="006B20C8" w:rsidRPr="00273106">
        <w:t>je charakteristický pro vznikající první averroismus</w:t>
      </w:r>
      <w:r w:rsidR="08810F89">
        <w:t xml:space="preserve">. S přibývajícím vlivem univoční moderny </w:t>
      </w:r>
      <w:r w:rsidR="08343D39">
        <w:t xml:space="preserve">ale kritické myšlení postupně </w:t>
      </w:r>
      <w:r w:rsidR="001A51EB">
        <w:t>mizel</w:t>
      </w:r>
      <w:r w:rsidR="08343D39">
        <w:t>o</w:t>
      </w:r>
      <w:r w:rsidR="001A51EB">
        <w:t xml:space="preserve"> po roce 1250</w:t>
      </w:r>
      <w:r w:rsidR="08343D39">
        <w:t xml:space="preserve">. Moderní Latiníci </w:t>
      </w:r>
      <w:r w:rsidR="08C40799">
        <w:t xml:space="preserve">vytvářeli vědění skrze moderní simulákra </w:t>
      </w:r>
      <w:r w:rsidR="08343D39">
        <w:t xml:space="preserve">pod vedením dogmaticky vzdělaných Fúrií </w:t>
      </w:r>
      <w:r w:rsidR="08FC2A88">
        <w:lastRenderedPageBreak/>
        <w:t xml:space="preserve">již jedno století. Po </w:t>
      </w:r>
      <w:r w:rsidR="08343D39">
        <w:t xml:space="preserve">odsouzení Abelarda dosáhli </w:t>
      </w:r>
      <w:r w:rsidR="08FC2A88">
        <w:t xml:space="preserve">modernisté </w:t>
      </w:r>
      <w:r w:rsidR="08343D39">
        <w:t xml:space="preserve">odsouzení aristoteliků </w:t>
      </w:r>
      <w:r w:rsidR="08810F89">
        <w:t>ve jménu jedné objekti</w:t>
      </w:r>
      <w:r w:rsidR="08E3613D">
        <w:t>vní pravdy</w:t>
      </w:r>
      <w:r w:rsidR="08810F89">
        <w:t xml:space="preserve"> v roce 1277</w:t>
      </w:r>
      <w:r w:rsidR="08AE127C">
        <w:t xml:space="preserve">, ale nyní </w:t>
      </w:r>
      <w:r w:rsidR="08165026">
        <w:t>se píše začátek 13. století</w:t>
      </w:r>
      <w:r w:rsidR="001A51EB">
        <w:t>.</w:t>
      </w:r>
    </w:p>
    <w:p w14:paraId="232DA9A9" w14:textId="64C29FD7" w:rsidR="005C1DAC" w:rsidRDefault="00825307" w:rsidP="0039133B">
      <w:pPr>
        <w:ind w:firstLine="397"/>
      </w:pPr>
      <w:r w:rsidRPr="00273106">
        <w:t>Blund zakládá nové pole zjevování jsoucna pro vrcholnou scholastiku</w:t>
      </w:r>
      <w:r>
        <w:t xml:space="preserve">, která předchází recepci Averroesovy metafyziky. </w:t>
      </w:r>
      <w:r w:rsidR="00FB0780">
        <w:t xml:space="preserve">Srovnání animální a lidské intencionality mělo zásadní význam pro </w:t>
      </w:r>
      <w:r>
        <w:t xml:space="preserve">pozitivní </w:t>
      </w:r>
      <w:r w:rsidR="00FB0780">
        <w:t>recepci Averroesových spisů v paradigmatu Sicilské školy</w:t>
      </w:r>
      <w:r w:rsidR="00FB0780">
        <w:fldChar w:fldCharType="begin"/>
      </w:r>
      <w:r w:rsidR="00FB0780">
        <w:instrText xml:space="preserve"> XE "</w:instrText>
      </w:r>
      <w:r w:rsidR="004A155A">
        <w:instrText>Sicilská škola</w:instrText>
      </w:r>
      <w:r w:rsidR="00FB0780">
        <w:instrText xml:space="preserve">" </w:instrText>
      </w:r>
      <w:r w:rsidR="00FB0780">
        <w:fldChar w:fldCharType="end"/>
      </w:r>
      <w:r w:rsidR="007D4C32">
        <w:t xml:space="preserve"> založené Friedrichem II.</w:t>
      </w:r>
      <w:r w:rsidR="00AF3FD4">
        <w:fldChar w:fldCharType="begin"/>
      </w:r>
      <w:r w:rsidR="00AF3FD4">
        <w:instrText xml:space="preserve"> XE "</w:instrText>
      </w:r>
      <w:r w:rsidR="00AF3FD4" w:rsidRPr="00DD7A8B">
        <w:instrText>Friedrich II.</w:instrText>
      </w:r>
      <w:r w:rsidR="00AF3FD4">
        <w:instrText xml:space="preserve">" </w:instrText>
      </w:r>
      <w:r w:rsidR="00AF3FD4">
        <w:fldChar w:fldCharType="end"/>
      </w:r>
      <w:r w:rsidR="00FB0780">
        <w:t>. Komentátoři insp</w:t>
      </w:r>
      <w:r>
        <w:t>i</w:t>
      </w:r>
      <w:r w:rsidR="00FB0780">
        <w:t xml:space="preserve">rovaní Aristotelovými přírodovědnými spisy </w:t>
      </w:r>
      <w:r w:rsidR="08F34B8F">
        <w:t xml:space="preserve">pochopili skutečný smysl </w:t>
      </w:r>
      <w:r w:rsidR="086450A1">
        <w:t xml:space="preserve">Averroesovy </w:t>
      </w:r>
      <w:r w:rsidR="08F34B8F">
        <w:t>metafyziky</w:t>
      </w:r>
      <w:r w:rsidR="00FB0780">
        <w:t xml:space="preserve"> substance </w:t>
      </w:r>
      <w:r w:rsidR="00FB0780" w:rsidRPr="006667EB">
        <w:rPr>
          <w:i/>
        </w:rPr>
        <w:t>qua</w:t>
      </w:r>
      <w:r w:rsidR="00FB0780">
        <w:t xml:space="preserve"> substance</w:t>
      </w:r>
      <w:r w:rsidR="08A57BBA">
        <w:fldChar w:fldCharType="begin"/>
      </w:r>
      <w:r w:rsidR="08A57BBA">
        <w:instrText xml:space="preserve"> XE "</w:instrText>
      </w:r>
      <w:r w:rsidR="08A57BBA" w:rsidRPr="080632B1">
        <w:instrText xml:space="preserve">substance </w:instrText>
      </w:r>
      <w:r w:rsidR="08A57BBA" w:rsidRPr="080632B1">
        <w:rPr>
          <w:i/>
        </w:rPr>
        <w:instrText>qua</w:instrText>
      </w:r>
      <w:r w:rsidR="08A57BBA" w:rsidRPr="080632B1">
        <w:instrText xml:space="preserve"> substance</w:instrText>
      </w:r>
      <w:r w:rsidR="08A57BBA">
        <w:instrText xml:space="preserve">" </w:instrText>
      </w:r>
      <w:r w:rsidR="08A57BBA">
        <w:fldChar w:fldCharType="end"/>
      </w:r>
      <w:r w:rsidR="00FB0780">
        <w:t>, protože ji vnímali nasvícením zepředu od reálně existují</w:t>
      </w:r>
      <w:r w:rsidR="00956CB6">
        <w:t>c</w:t>
      </w:r>
      <w:r w:rsidR="00FB0780">
        <w:t>í a vnímané první substance</w:t>
      </w:r>
      <w:r w:rsidR="00E011B5">
        <w:t>. A poznání vnímali fenomenologicky podle chování reálných zvířat, jako</w:t>
      </w:r>
      <w:r w:rsidR="00D3334A">
        <w:t xml:space="preserve"> byl například lovící sokol</w:t>
      </w:r>
      <w:r w:rsidR="00FB0780">
        <w:t>. To byl zásadní rozdíl od avicennistické Toledské školy</w:t>
      </w:r>
      <w:r w:rsidR="00FB0780">
        <w:fldChar w:fldCharType="begin"/>
      </w:r>
      <w:r w:rsidR="00FB0780">
        <w:instrText xml:space="preserve"> XE "</w:instrText>
      </w:r>
      <w:r w:rsidR="004A155A">
        <w:instrText>Toledská škola</w:instrText>
      </w:r>
      <w:r w:rsidR="00FB0780">
        <w:instrText xml:space="preserve">" </w:instrText>
      </w:r>
      <w:r w:rsidR="00FB0780">
        <w:fldChar w:fldCharType="end"/>
      </w:r>
      <w:r w:rsidR="00FB0780">
        <w:t xml:space="preserve">, která vykládala </w:t>
      </w:r>
      <w:r w:rsidR="08924DD0">
        <w:t xml:space="preserve">Averroesův </w:t>
      </w:r>
      <w:r w:rsidR="00FB0780">
        <w:t xml:space="preserve">korpus v duchu </w:t>
      </w:r>
      <w:r w:rsidR="08064EFA">
        <w:t xml:space="preserve">mystického </w:t>
      </w:r>
      <w:r w:rsidR="00FB0780">
        <w:t xml:space="preserve">neoplatonismu. </w:t>
      </w:r>
      <w:r w:rsidR="00B14DA1">
        <w:t>Fenomenologický směr daný reálným zkoumáním poznání zvířat a lidí odlišil autentický výklad CMDA od avicennistů Toledské školy</w:t>
      </w:r>
      <w:r w:rsidR="00B14DA1">
        <w:fldChar w:fldCharType="begin"/>
      </w:r>
      <w:r w:rsidR="00B14DA1">
        <w:instrText xml:space="preserve"> XE "</w:instrText>
      </w:r>
      <w:r w:rsidR="004A155A">
        <w:instrText>Toledská škola</w:instrText>
      </w:r>
      <w:r w:rsidR="00B14DA1">
        <w:instrText xml:space="preserve">" </w:instrText>
      </w:r>
      <w:r w:rsidR="00B14DA1">
        <w:fldChar w:fldCharType="end"/>
      </w:r>
      <w:r w:rsidR="00B14DA1">
        <w:t>, které reprezentoval</w:t>
      </w:r>
      <w:r w:rsidR="00036814">
        <w:t>i</w:t>
      </w:r>
      <w:r w:rsidR="00B14DA1">
        <w:t xml:space="preserve"> </w:t>
      </w:r>
      <w:r w:rsidR="00081B00">
        <w:t xml:space="preserve">zejména překladatelé </w:t>
      </w:r>
      <w:r w:rsidR="00B14DA1">
        <w:t>Avendauth</w:t>
      </w:r>
      <w:r w:rsidR="00B14DA1">
        <w:fldChar w:fldCharType="begin"/>
      </w:r>
      <w:r w:rsidR="00B14DA1">
        <w:instrText xml:space="preserve"> XE "</w:instrText>
      </w:r>
      <w:r w:rsidR="00B14DA1" w:rsidRPr="002D7B23">
        <w:instrText>Avendauth</w:instrText>
      </w:r>
      <w:r w:rsidR="00B14DA1">
        <w:instrText xml:space="preserve">" </w:instrText>
      </w:r>
      <w:r w:rsidR="00B14DA1">
        <w:fldChar w:fldCharType="end"/>
      </w:r>
      <w:r w:rsidR="00B14DA1">
        <w:t xml:space="preserve"> a Gundissalinus a po nich neoplatonská škola Filipa Kancléře</w:t>
      </w:r>
      <w:r w:rsidR="00B14DA1">
        <w:fldChar w:fldCharType="begin"/>
      </w:r>
      <w:r w:rsidR="00B14DA1">
        <w:instrText xml:space="preserve"> XE "</w:instrText>
      </w:r>
      <w:r w:rsidR="00B14DA1" w:rsidRPr="00AB6F57">
        <w:instrText>Gundissalinus, D.</w:instrText>
      </w:r>
      <w:r w:rsidR="00B14DA1">
        <w:instrText xml:space="preserve">" </w:instrText>
      </w:r>
      <w:r w:rsidR="00B14DA1">
        <w:fldChar w:fldCharType="end"/>
      </w:r>
      <w:r w:rsidR="00B14DA1">
        <w:t>.</w:t>
      </w:r>
      <w:r w:rsidR="00B14DA1" w:rsidRPr="00273106">
        <w:t xml:space="preserve"> </w:t>
      </w:r>
      <w:r w:rsidR="08E34DFC">
        <w:t xml:space="preserve">Tento spor o výklad skutečné a jednotu </w:t>
      </w:r>
      <w:r w:rsidR="08E34DFC" w:rsidRPr="08E34DFC">
        <w:rPr>
          <w:i/>
        </w:rPr>
        <w:t>intentum</w:t>
      </w:r>
      <w:r w:rsidR="08E34DFC">
        <w:t xml:space="preserve"> Aristotelovy metafyziky podle Avicenny nebo Averroese zavedl do skryté gigantomachie logických škol nové hledisko. Zastánci </w:t>
      </w:r>
      <w:r w:rsidR="08E34DFC" w:rsidRPr="08E34DFC">
        <w:rPr>
          <w:i/>
        </w:rPr>
        <w:t>logica Modernorum</w:t>
      </w:r>
      <w:r w:rsidR="08E34DFC">
        <w:t xml:space="preserve">, které Alvernus nazval </w:t>
      </w:r>
      <w:r w:rsidR="08E34DFC" w:rsidRPr="00CA4012">
        <w:rPr>
          <w:i/>
        </w:rPr>
        <w:t>sequaces Aristotelis</w:t>
      </w:r>
      <w:r w:rsidR="0030526B">
        <w:t xml:space="preserve"> expandovali svá sofis</w:t>
      </w:r>
      <w:r w:rsidR="08E34DFC">
        <w:t>mata do avicennovské metafyziky a vytvořili systém nového neoplatonismu. Blundova škola v Paříži uchovala a rozšířila intelektuální prostředí reformovaného aristotelismu v duchu logických škol</w:t>
      </w:r>
      <w:r w:rsidR="08E34DFC" w:rsidRPr="00704D02">
        <w:t xml:space="preserve"> </w:t>
      </w:r>
      <w:r w:rsidR="08E34DFC">
        <w:t xml:space="preserve">v modu </w:t>
      </w:r>
      <w:r w:rsidR="08E34DFC" w:rsidRPr="00EF4094">
        <w:rPr>
          <w:i/>
        </w:rPr>
        <w:t>logica Vetus</w:t>
      </w:r>
      <w:r w:rsidR="08E34DFC">
        <w:rPr>
          <w:i/>
        </w:rPr>
        <w:fldChar w:fldCharType="begin"/>
      </w:r>
      <w:r w:rsidR="08E34DFC">
        <w:instrText xml:space="preserve"> XE "</w:instrText>
      </w:r>
      <w:r w:rsidR="08E34DFC" w:rsidRPr="004214EA">
        <w:rPr>
          <w:i/>
        </w:rPr>
        <w:instrText>logica Vetus</w:instrText>
      </w:r>
      <w:r w:rsidR="08E34DFC">
        <w:instrText xml:space="preserve">" </w:instrText>
      </w:r>
      <w:r w:rsidR="08E34DFC">
        <w:rPr>
          <w:i/>
        </w:rPr>
        <w:fldChar w:fldCharType="end"/>
      </w:r>
      <w:r w:rsidR="08E34DFC" w:rsidRPr="00EF4094">
        <w:rPr>
          <w:i/>
        </w:rPr>
        <w:t xml:space="preserve"> </w:t>
      </w:r>
      <w:r w:rsidR="08E34DFC">
        <w:t>inspirovaných Boethiem a Abelardem (</w:t>
      </w:r>
      <w:r w:rsidR="08E34DFC" w:rsidRPr="00273106">
        <w:rPr>
          <w:rStyle w:val="Zkladntext158dkovn0pt"/>
          <w:i/>
          <w:color w:val="auto"/>
          <w:spacing w:val="0"/>
          <w:sz w:val="24"/>
          <w:lang w:val="cs-CZ"/>
        </w:rPr>
        <w:t>Tractatus Anagnini</w:t>
      </w:r>
      <w:r w:rsidR="08E34DFC" w:rsidRPr="00273106">
        <w:rPr>
          <w:rStyle w:val="Zkladntext158dkovn0pt"/>
          <w:color w:val="auto"/>
          <w:spacing w:val="0"/>
          <w:sz w:val="24"/>
          <w:lang w:val="cs-CZ"/>
        </w:rPr>
        <w:t xml:space="preserve">, </w:t>
      </w:r>
      <w:r w:rsidR="08E34DFC" w:rsidRPr="00273106">
        <w:rPr>
          <w:i/>
        </w:rPr>
        <w:t>Logica „Cum sit nostra“</w:t>
      </w:r>
      <w:r w:rsidR="08E34DFC">
        <w:t xml:space="preserve">). Tento spor běžel na konci 12. století a v Paříži ukončil činnost škol </w:t>
      </w:r>
      <w:r w:rsidR="08E34DFC" w:rsidRPr="08E34DFC">
        <w:rPr>
          <w:i/>
        </w:rPr>
        <w:t>Nominales</w:t>
      </w:r>
      <w:r w:rsidR="08E34DFC">
        <w:t xml:space="preserve"> a škol </w:t>
      </w:r>
      <w:r w:rsidR="08E34DFC" w:rsidRPr="08E34DFC">
        <w:rPr>
          <w:i/>
        </w:rPr>
        <w:t>logica Modernorum</w:t>
      </w:r>
      <w:r w:rsidR="08E34DFC">
        <w:t xml:space="preserve">, které se transformovaly do </w:t>
      </w:r>
      <w:r w:rsidR="08C76E91">
        <w:t xml:space="preserve">modernistické </w:t>
      </w:r>
      <w:r w:rsidR="08E34DFC">
        <w:t xml:space="preserve">podoby. </w:t>
      </w:r>
      <w:r w:rsidR="00FB0780">
        <w:t xml:space="preserve">Na akademické půdě metafyzických a logických realistů </w:t>
      </w:r>
      <w:r w:rsidR="005A3992">
        <w:t xml:space="preserve">Blundovy školy </w:t>
      </w:r>
      <w:r w:rsidR="00FB0780">
        <w:t xml:space="preserve">probíhala první integrální recepce CMDA podle Sicilské školy </w:t>
      </w:r>
      <w:r w:rsidR="00FB0780">
        <w:fldChar w:fldCharType="begin"/>
      </w:r>
      <w:r w:rsidR="00FB0780">
        <w:instrText xml:space="preserve"> XE "</w:instrText>
      </w:r>
      <w:r w:rsidR="004A155A">
        <w:instrText>Sicilská škola</w:instrText>
      </w:r>
      <w:r w:rsidR="00FB0780">
        <w:instrText xml:space="preserve">" </w:instrText>
      </w:r>
      <w:r w:rsidR="00FB0780">
        <w:fldChar w:fldCharType="end"/>
      </w:r>
      <w:r w:rsidR="00FB0780">
        <w:t>přinesené roku 1230 Michaelem Scotem</w:t>
      </w:r>
      <w:r w:rsidR="007351B3">
        <w:t xml:space="preserve">. Její vliv </w:t>
      </w:r>
      <w:r w:rsidR="00FB0780">
        <w:t>podpo</w:t>
      </w:r>
      <w:r w:rsidR="007351B3">
        <w:t>řily</w:t>
      </w:r>
      <w:r w:rsidR="00FB0780">
        <w:t xml:space="preserve"> latinsk</w:t>
      </w:r>
      <w:r w:rsidR="007351B3">
        <w:t>é</w:t>
      </w:r>
      <w:r w:rsidR="00FB0780">
        <w:t xml:space="preserve"> překlady </w:t>
      </w:r>
      <w:r w:rsidR="08924DD0">
        <w:t xml:space="preserve">aristotelského </w:t>
      </w:r>
      <w:r w:rsidR="00FB0780">
        <w:t xml:space="preserve">Korpusu zaslané Friedrichem II. na univerzitu v Bologni a jeho synem Manfredem na Pařížskou univerzitu. </w:t>
      </w:r>
      <w:r w:rsidR="00A747CC">
        <w:t xml:space="preserve">První averroismus vznikl v </w:t>
      </w:r>
      <w:r w:rsidR="00FB0780">
        <w:t xml:space="preserve">prostředí integrujícím poznatky Sicilské školy a Blundovy </w:t>
      </w:r>
      <w:r w:rsidR="008C0E1D">
        <w:t>akademie</w:t>
      </w:r>
      <w:r w:rsidR="00A747CC">
        <w:t xml:space="preserve">, která zakládala </w:t>
      </w:r>
      <w:r w:rsidR="00FB0780">
        <w:t>Pařížskou univerzitu</w:t>
      </w:r>
      <w:r w:rsidR="00FB0780">
        <w:fldChar w:fldCharType="begin"/>
      </w:r>
      <w:r w:rsidR="00FB0780">
        <w:instrText xml:space="preserve"> XE "</w:instrText>
      </w:r>
      <w:r w:rsidR="00FB0780" w:rsidRPr="00DB3E61">
        <w:instrText>první averroismus:vznik</w:instrText>
      </w:r>
      <w:r w:rsidR="00FB0780">
        <w:instrText xml:space="preserve">" </w:instrText>
      </w:r>
      <w:r w:rsidR="00FB0780">
        <w:fldChar w:fldCharType="end"/>
      </w:r>
      <w:r w:rsidR="00FB0780">
        <w:t>.</w:t>
      </w:r>
      <w:r w:rsidR="007F0F5D">
        <w:t xml:space="preserve"> </w:t>
      </w:r>
      <w:r w:rsidR="00FB0780">
        <w:t xml:space="preserve">Blund a jeho škola vedená pozdějším biskupem Alvernem </w:t>
      </w:r>
      <w:r w:rsidR="00B9494B">
        <w:t xml:space="preserve">zásadně ocenili </w:t>
      </w:r>
      <w:r w:rsidR="00FB0780">
        <w:t xml:space="preserve">příchod Averroesova korpusu Paříže v podání </w:t>
      </w:r>
      <w:r w:rsidR="00B9494B">
        <w:t xml:space="preserve">Scotovy </w:t>
      </w:r>
      <w:r w:rsidR="00FB0780">
        <w:t>Sicilské školy, k</w:t>
      </w:r>
      <w:r w:rsidR="00B9494B">
        <w:t>terá</w:t>
      </w:r>
      <w:r w:rsidR="00FB0780">
        <w:t xml:space="preserve"> kolem 1230 ve všech základních bodech potvrdil</w:t>
      </w:r>
      <w:r w:rsidR="00B9494B">
        <w:t>a</w:t>
      </w:r>
      <w:r w:rsidR="00FB0780">
        <w:t xml:space="preserve"> jejich aristotelský výklad </w:t>
      </w:r>
      <w:r w:rsidR="00FB0780" w:rsidRPr="00C023C1">
        <w:rPr>
          <w:i/>
        </w:rPr>
        <w:t xml:space="preserve">De </w:t>
      </w:r>
      <w:r w:rsidR="00FB0780" w:rsidRPr="00C023C1">
        <w:rPr>
          <w:i/>
        </w:rPr>
        <w:lastRenderedPageBreak/>
        <w:t>anima</w:t>
      </w:r>
      <w:r w:rsidR="08BC7BBF">
        <w:t xml:space="preserve"> daný již před příchodem Komentátora na latinský Západ. </w:t>
      </w:r>
      <w:r w:rsidR="00E44628">
        <w:t>Blundem inspirovaná škola prvního averroismu vytvořila první komentáře Averroese na latinském Západ</w:t>
      </w:r>
      <w:r w:rsidR="00E57C4C">
        <w:t>ě, které vyloží další kapitola.</w:t>
      </w:r>
      <w:r w:rsidR="08320F6A">
        <w:t xml:space="preserve"> </w:t>
      </w:r>
      <w:r w:rsidR="08D00323">
        <w:t>Zástupci Blundovy školy stáli v čele transformace Pařížské školy na Pařížskou univerzitu, jejíž nezastupitelnou hodnotu pro obranu křesťanského obrazu světa, boha a člověka uznal papež</w:t>
      </w:r>
      <w:r w:rsidR="086962F3">
        <w:t xml:space="preserve"> uznáním univerzitních práv </w:t>
      </w:r>
      <w:r w:rsidR="08AA7BEE">
        <w:t xml:space="preserve">nyní garantovaných </w:t>
      </w:r>
      <w:r w:rsidR="086962F3">
        <w:t>mimo pravomoc zdejšího biskupa</w:t>
      </w:r>
      <w:r w:rsidR="08D00323">
        <w:t xml:space="preserve">. </w:t>
      </w:r>
      <w:r w:rsidR="08D00323" w:rsidRPr="00273106">
        <w:t>Blundův novátorský výklad Aristotela jasně viděli a ocenili jeho současníci. Henry z Avranches</w:t>
      </w:r>
      <w:r w:rsidR="08D00323">
        <w:fldChar w:fldCharType="begin"/>
      </w:r>
      <w:r w:rsidR="08D00323">
        <w:instrText xml:space="preserve"> XE "</w:instrText>
      </w:r>
      <w:r w:rsidR="08D00323" w:rsidRPr="0088204A">
        <w:instrText>Henry z Avranches</w:instrText>
      </w:r>
      <w:r w:rsidR="08D00323">
        <w:instrText xml:space="preserve">" </w:instrText>
      </w:r>
      <w:r w:rsidR="08D00323">
        <w:fldChar w:fldCharType="end"/>
      </w:r>
      <w:r w:rsidR="08D00323">
        <w:t xml:space="preserve"> (</w:t>
      </w:r>
      <w:r w:rsidR="08D00323">
        <w:rPr>
          <w:rStyle w:val="st"/>
        </w:rPr>
        <w:t>Henricus Abrincensis, asi †1260</w:t>
      </w:r>
      <w:r w:rsidR="08D00323">
        <w:t xml:space="preserve">) podal ve svém </w:t>
      </w:r>
      <w:r w:rsidR="08D00323" w:rsidRPr="004822C8">
        <w:rPr>
          <w:i/>
        </w:rPr>
        <w:t>laudatio</w:t>
      </w:r>
      <w:r w:rsidR="08D00323">
        <w:t xml:space="preserve"> důležité svědectví o významu Blunda pro etablování školy prvního averroismu.</w:t>
      </w:r>
      <w:r w:rsidR="08D00323" w:rsidRPr="00273106">
        <w:rPr>
          <w:rStyle w:val="Znakapoznpodarou"/>
        </w:rPr>
        <w:footnoteReference w:id="104"/>
      </w:r>
      <w:r w:rsidR="08D00323">
        <w:t xml:space="preserve"> Pařížský magistr je chválen ve stylu Averroesovy kritiky modernistů v CMDA (</w:t>
      </w:r>
      <w:r w:rsidR="08D00323" w:rsidRPr="00642B6B">
        <w:rPr>
          <w:i/>
        </w:rPr>
        <w:t>moderni</w:t>
      </w:r>
      <w:r w:rsidR="08D00323">
        <w:t xml:space="preserve"> </w:t>
      </w:r>
      <w:r w:rsidR="08D00323" w:rsidRPr="00273106">
        <w:rPr>
          <w:i/>
        </w:rPr>
        <w:t>dimittunt libros Aristotelis</w:t>
      </w:r>
      <w:r w:rsidR="08924DD0">
        <w:t>;</w:t>
      </w:r>
      <w:r w:rsidR="08D00323">
        <w:t xml:space="preserve"> </w:t>
      </w:r>
      <w:r w:rsidR="08924DD0">
        <w:t xml:space="preserve">OBJ I, </w:t>
      </w:r>
      <w:r w:rsidR="08D00323">
        <w:t>kap. 2.5) proti tehdejším modernistickým vykladačům za to, že studoval do hloubky originální Aristotelovy spisy (</w:t>
      </w:r>
      <w:r w:rsidR="08D00323" w:rsidRPr="00207632">
        <w:rPr>
          <w:i/>
        </w:rPr>
        <w:t>primus Aristotilis satagens perquirere libros</w:t>
      </w:r>
      <w:r w:rsidR="08D00323">
        <w:t>). Následně prý Blund provedl recepci a intepretaci filosofických spisů falsafy, které v té době přišly na Západ (</w:t>
      </w:r>
      <w:r w:rsidR="08D00323" w:rsidRPr="00207632">
        <w:rPr>
          <w:i/>
        </w:rPr>
        <w:t>recenter eos Arabes misere Latinis</w:t>
      </w:r>
      <w:r w:rsidR="08D00323">
        <w:t xml:space="preserve">). Adverbium </w:t>
      </w:r>
      <w:r w:rsidR="08D00323" w:rsidRPr="003C2A79">
        <w:rPr>
          <w:i/>
        </w:rPr>
        <w:t>recenter</w:t>
      </w:r>
      <w:r w:rsidR="08D00323">
        <w:t xml:space="preserve"> může znamenat v předložené interpretaci první recepci Averroesovy filosofie </w:t>
      </w:r>
      <w:r w:rsidR="08172650">
        <w:t xml:space="preserve">podanou </w:t>
      </w:r>
      <w:r w:rsidR="08172650" w:rsidRPr="08172650">
        <w:rPr>
          <w:i/>
        </w:rPr>
        <w:t>ad mentem Averrois</w:t>
      </w:r>
      <w:r w:rsidR="08172650">
        <w:rPr>
          <w:i/>
        </w:rPr>
        <w:fldChar w:fldCharType="begin"/>
      </w:r>
      <w:r w:rsidR="08172650">
        <w:instrText xml:space="preserve"> XE "</w:instrText>
      </w:r>
      <w:r w:rsidR="08172650" w:rsidRPr="0858081C">
        <w:rPr>
          <w:i/>
        </w:rPr>
        <w:instrText>ad mentem Averrois</w:instrText>
      </w:r>
      <w:r w:rsidR="08172650">
        <w:instrText xml:space="preserve">" </w:instrText>
      </w:r>
      <w:r w:rsidR="08172650">
        <w:rPr>
          <w:i/>
        </w:rPr>
        <w:fldChar w:fldCharType="end"/>
      </w:r>
      <w:r w:rsidR="08172650">
        <w:t xml:space="preserve"> </w:t>
      </w:r>
      <w:r w:rsidR="084E0404">
        <w:t xml:space="preserve">mimo Toletánské paradigma </w:t>
      </w:r>
      <w:r w:rsidR="082846D5">
        <w:t xml:space="preserve">a to ještě před rokem </w:t>
      </w:r>
      <w:r w:rsidR="084E0404">
        <w:t>1230, kdy Blundova škola přijala paradigma Sicilské školy</w:t>
      </w:r>
      <w:r w:rsidR="08A81449">
        <w:t xml:space="preserve"> během Scotova pobytu na zdejší univerzitě</w:t>
      </w:r>
      <w:r w:rsidR="084E0404">
        <w:t xml:space="preserve">. Tuto první kritickou recepci Komentátora vyloženého proti Toletánům podává </w:t>
      </w:r>
      <w:r w:rsidR="08D00323">
        <w:t xml:space="preserve">následující výklad díla </w:t>
      </w:r>
      <w:r w:rsidR="08D00323" w:rsidRPr="00BE1FD7">
        <w:rPr>
          <w:i/>
        </w:rPr>
        <w:t>De anima et de poten</w:t>
      </w:r>
      <w:r w:rsidR="089A1B6F">
        <w:rPr>
          <w:i/>
        </w:rPr>
        <w:t>c</w:t>
      </w:r>
      <w:r w:rsidR="08D00323" w:rsidRPr="00BE1FD7">
        <w:rPr>
          <w:i/>
        </w:rPr>
        <w:t>iis eius</w:t>
      </w:r>
      <w:r w:rsidR="08D00323">
        <w:t xml:space="preserve"> (asi 1225)</w:t>
      </w:r>
      <w:r w:rsidR="084E0404">
        <w:t xml:space="preserve">. </w:t>
      </w:r>
      <w:r w:rsidR="0899779B">
        <w:t>Nový výklad Averroese č</w:t>
      </w:r>
      <w:r w:rsidR="08D00323">
        <w:t xml:space="preserve">asově předchází příchod Sicilské školy (1230) a předkládá první kritiku Toledské školy existující na půdě Pařížské univerzity někdy od roku 1220. Blundova škola předjímala výklad Averroese podle Sicilské školy, protože měla stejný výklad </w:t>
      </w:r>
      <w:r w:rsidR="084E651B" w:rsidRPr="084E651B">
        <w:rPr>
          <w:i/>
        </w:rPr>
        <w:t>De anima</w:t>
      </w:r>
      <w:r w:rsidR="082A30FF">
        <w:t xml:space="preserve">, </w:t>
      </w:r>
      <w:r w:rsidR="082A30FF" w:rsidRPr="082A30FF">
        <w:rPr>
          <w:i/>
        </w:rPr>
        <w:t>Kategorií</w:t>
      </w:r>
      <w:r w:rsidR="082A30FF">
        <w:t xml:space="preserve">, </w:t>
      </w:r>
      <w:r w:rsidR="082A30FF" w:rsidRPr="082A30FF">
        <w:rPr>
          <w:i/>
        </w:rPr>
        <w:t>Metafyziky</w:t>
      </w:r>
      <w:r w:rsidR="082A30FF">
        <w:t xml:space="preserve"> a </w:t>
      </w:r>
      <w:r w:rsidR="082A30FF" w:rsidRPr="082A30FF">
        <w:rPr>
          <w:i/>
        </w:rPr>
        <w:t>Druhých analytik</w:t>
      </w:r>
      <w:r w:rsidR="082A30FF">
        <w:t xml:space="preserve">, v němž je </w:t>
      </w:r>
      <w:r w:rsidR="08D00323">
        <w:t>poznání nasvícen</w:t>
      </w:r>
      <w:r w:rsidR="082A30FF">
        <w:t>o</w:t>
      </w:r>
      <w:r w:rsidR="005C1DAC">
        <w:t xml:space="preserve"> zepředu od první substance.</w:t>
      </w:r>
    </w:p>
    <w:p w14:paraId="573C1BAF" w14:textId="78807705" w:rsidR="08320F6A" w:rsidRDefault="08B558AF" w:rsidP="0039133B">
      <w:pPr>
        <w:ind w:firstLine="397"/>
      </w:pPr>
      <w:r>
        <w:t>Tito aristotelikové dosáhli svým vlivem a zásadní kritikou Davida z Dina</w:t>
      </w:r>
      <w:r w:rsidR="0845602D">
        <w:t>n</w:t>
      </w:r>
      <w:r>
        <w:t>tu</w:t>
      </w:r>
      <w:r w:rsidR="0845602D">
        <w:fldChar w:fldCharType="begin"/>
      </w:r>
      <w:r w:rsidR="0845602D">
        <w:instrText xml:space="preserve"> XE "</w:instrText>
      </w:r>
      <w:r w:rsidR="0845602D" w:rsidRPr="081E38CB">
        <w:instrText>David z Dinantu</w:instrText>
      </w:r>
      <w:r w:rsidR="0845602D">
        <w:instrText xml:space="preserve">" </w:instrText>
      </w:r>
      <w:r w:rsidR="0845602D">
        <w:fldChar w:fldCharType="end"/>
      </w:r>
      <w:r>
        <w:t xml:space="preserve">, že jejich obrana moudrosti filosofie a křesťanské nauky si zaslouží papežskou ochranu pro </w:t>
      </w:r>
      <w:r w:rsidR="08316FCC">
        <w:t>Pařížskou katedrální školu</w:t>
      </w:r>
      <w:r w:rsidR="089D4AAA">
        <w:t>, kterou vedli podle filosofického odkazu Abelarda</w:t>
      </w:r>
      <w:r w:rsidR="083E4531">
        <w:t xml:space="preserve"> a jeho metafyzického pojetí </w:t>
      </w:r>
      <w:r w:rsidR="083E4531" w:rsidRPr="083E4531">
        <w:rPr>
          <w:i/>
        </w:rPr>
        <w:t>logica Vetus</w:t>
      </w:r>
      <w:r w:rsidR="089D4AAA">
        <w:t xml:space="preserve">. </w:t>
      </w:r>
      <w:r w:rsidR="08316FCC">
        <w:t xml:space="preserve">Působení Blunda a jeho školy vytvořilo </w:t>
      </w:r>
      <w:r w:rsidR="08F54226">
        <w:t xml:space="preserve">první </w:t>
      </w:r>
      <w:r w:rsidR="08616438">
        <w:t xml:space="preserve">známou </w:t>
      </w:r>
      <w:r w:rsidR="08316FCC">
        <w:t xml:space="preserve">křesťanskou interpretaci Aristotela </w:t>
      </w:r>
      <w:r w:rsidR="08F54226">
        <w:t xml:space="preserve">na latinském Západě, která </w:t>
      </w:r>
      <w:r w:rsidR="08F1488B">
        <w:t xml:space="preserve">předložila autentický </w:t>
      </w:r>
      <w:r w:rsidR="08F1488B">
        <w:lastRenderedPageBreak/>
        <w:t xml:space="preserve">aristotelismus </w:t>
      </w:r>
      <w:r w:rsidR="083309BA">
        <w:t xml:space="preserve">slučitelný s křesťanstvím. Proto jako jediná katedrální škola </w:t>
      </w:r>
      <w:r w:rsidR="08DA6C15">
        <w:t xml:space="preserve">v Paříži </w:t>
      </w:r>
      <w:r w:rsidR="083309BA">
        <w:t xml:space="preserve">kvalifikovaně odmítla sofistiku </w:t>
      </w:r>
      <w:r w:rsidR="08F54226">
        <w:t>neoplatonských</w:t>
      </w:r>
      <w:r w:rsidR="08BD6656">
        <w:t xml:space="preserve"> modernistů</w:t>
      </w:r>
      <w:r w:rsidR="08690CF2">
        <w:t xml:space="preserve"> v aristotelském hávu, </w:t>
      </w:r>
      <w:r w:rsidR="08FD4A08">
        <w:t>jako byl</w:t>
      </w:r>
      <w:r w:rsidR="08690CF2">
        <w:t xml:space="preserve"> David z Dinantu</w:t>
      </w:r>
      <w:r w:rsidR="08F54226">
        <w:t xml:space="preserve">. Za tento </w:t>
      </w:r>
      <w:r w:rsidR="081A150E">
        <w:t xml:space="preserve">vskutku </w:t>
      </w:r>
      <w:r w:rsidR="08316FCC">
        <w:t xml:space="preserve">epochální výkon byla Pařížská </w:t>
      </w:r>
      <w:r w:rsidR="08F54226">
        <w:t xml:space="preserve">katedrální </w:t>
      </w:r>
      <w:r w:rsidR="08316FCC">
        <w:t>škola povýšena</w:t>
      </w:r>
      <w:r>
        <w:t xml:space="preserve"> na papežskou univerzitu. </w:t>
      </w:r>
      <w:r w:rsidR="08094843">
        <w:t>Pařížská univerzita vznikla přeměnou jedné katedrální školy vedené Blundem (</w:t>
      </w:r>
      <w:r w:rsidR="08094843" w:rsidRPr="08094843">
        <w:rPr>
          <w:i/>
        </w:rPr>
        <w:t>École de Paris</w:t>
      </w:r>
      <w:r w:rsidR="08094843">
        <w:t>) na akademickou křesťanskou instituci centrálního významu</w:t>
      </w:r>
      <w:r w:rsidR="08D51F54">
        <w:t xml:space="preserve">, kterou od roku 1215 začala </w:t>
      </w:r>
      <w:r w:rsidR="08094843">
        <w:t>chrán</w:t>
      </w:r>
      <w:r w:rsidR="08D51F54">
        <w:t>it papežská autorita před libovůlí místních vládců a biskupů</w:t>
      </w:r>
      <w:r w:rsidR="08094843">
        <w:t xml:space="preserve">. Toto místo centrální vzdělanosti a autority dané přeměnou Abelardovy katedrální školy integrovalo ostatní lokálně významné katedrální řádové a biskupské školy. </w:t>
      </w:r>
      <w:r w:rsidR="081A150E">
        <w:t xml:space="preserve">Je celkem pochopitelné, že poražená strana modernistů uvalila na tuto </w:t>
      </w:r>
      <w:r w:rsidR="08E15718">
        <w:t xml:space="preserve">Blundovu </w:t>
      </w:r>
      <w:r w:rsidR="081A150E">
        <w:t xml:space="preserve">skupinu akademické </w:t>
      </w:r>
      <w:r w:rsidR="081A150E" w:rsidRPr="081A150E">
        <w:rPr>
          <w:i/>
        </w:rPr>
        <w:t>damnatio memoriae</w:t>
      </w:r>
      <w:r w:rsidR="08925514">
        <w:rPr>
          <w:i/>
        </w:rPr>
        <w:fldChar w:fldCharType="begin"/>
      </w:r>
      <w:r w:rsidR="08925514">
        <w:instrText xml:space="preserve"> XE "</w:instrText>
      </w:r>
      <w:r w:rsidR="08925514" w:rsidRPr="08760459">
        <w:rPr>
          <w:i/>
        </w:rPr>
        <w:instrText>damnatio memoriae</w:instrText>
      </w:r>
      <w:r w:rsidR="08925514">
        <w:instrText xml:space="preserve">" </w:instrText>
      </w:r>
      <w:r w:rsidR="08925514">
        <w:rPr>
          <w:i/>
        </w:rPr>
        <w:fldChar w:fldCharType="end"/>
      </w:r>
      <w:r w:rsidR="081A150E">
        <w:t xml:space="preserve">. </w:t>
      </w:r>
      <w:r w:rsidR="08CF243D">
        <w:t>Výmaz</w:t>
      </w:r>
      <w:r w:rsidR="0877104F">
        <w:t xml:space="preserve"> </w:t>
      </w:r>
      <w:r w:rsidR="08F72ACB">
        <w:t xml:space="preserve">dosud neexistující Blundovy školy </w:t>
      </w:r>
      <w:r w:rsidR="0877104F">
        <w:t xml:space="preserve">z akademické paměti </w:t>
      </w:r>
      <w:r w:rsidR="08CF243D">
        <w:t xml:space="preserve">měl </w:t>
      </w:r>
      <w:r w:rsidR="08E15718">
        <w:t>zcela praktický</w:t>
      </w:r>
      <w:r w:rsidR="08CF243D">
        <w:t xml:space="preserve"> motiv</w:t>
      </w:r>
      <w:r w:rsidR="0877104F">
        <w:t>, protože moderna musela zahladit stopy vlastních sofismat. K</w:t>
      </w:r>
      <w:r w:rsidR="08E15718">
        <w:t xml:space="preserve">onstrukce averroismu u </w:t>
      </w:r>
      <w:r w:rsidR="08880F00">
        <w:t>mode</w:t>
      </w:r>
      <w:r w:rsidR="08E15718">
        <w:t>r</w:t>
      </w:r>
      <w:r w:rsidR="08880F00">
        <w:t>n</w:t>
      </w:r>
      <w:r w:rsidR="08E15718">
        <w:t xml:space="preserve">istů vychází z Dinantova pojetí </w:t>
      </w:r>
      <w:r w:rsidR="08E15718" w:rsidRPr="08880F00">
        <w:rPr>
          <w:i/>
        </w:rPr>
        <w:t>intel</w:t>
      </w:r>
      <w:r w:rsidR="08880F00" w:rsidRPr="08880F00">
        <w:rPr>
          <w:i/>
        </w:rPr>
        <w:t>lectus possibilis</w:t>
      </w:r>
      <w:r w:rsidR="08E15718" w:rsidRPr="08880F00">
        <w:rPr>
          <w:i/>
        </w:rPr>
        <w:t xml:space="preserve"> </w:t>
      </w:r>
      <w:r w:rsidR="08E15718">
        <w:t>definovaného jako jednotná kosmická substance</w:t>
      </w:r>
      <w:r w:rsidR="08880F00">
        <w:t xml:space="preserve">, která </w:t>
      </w:r>
      <w:r w:rsidR="08B55B05">
        <w:t>s</w:t>
      </w:r>
      <w:r w:rsidR="08880F00">
        <w:t xml:space="preserve">e spojuje individuálním </w:t>
      </w:r>
      <w:r w:rsidR="08880F00" w:rsidRPr="08880F00">
        <w:rPr>
          <w:i/>
        </w:rPr>
        <w:t>intellectus materialis</w:t>
      </w:r>
      <w:r w:rsidR="08880F00">
        <w:t xml:space="preserve"> </w:t>
      </w:r>
      <w:r w:rsidR="08B55B05">
        <w:t xml:space="preserve">v modu </w:t>
      </w:r>
      <w:r w:rsidR="08880F00">
        <w:t>averro</w:t>
      </w:r>
      <w:r w:rsidR="08094DE7">
        <w:t>i</w:t>
      </w:r>
      <w:r w:rsidR="08880F00">
        <w:t xml:space="preserve">stického </w:t>
      </w:r>
      <w:r w:rsidR="08B55B05" w:rsidRPr="08B55B05">
        <w:rPr>
          <w:i/>
        </w:rPr>
        <w:t>copulatio</w:t>
      </w:r>
      <w:r w:rsidR="08E15718">
        <w:t xml:space="preserve">. </w:t>
      </w:r>
      <w:r w:rsidR="00E57C4C">
        <w:t xml:space="preserve">Krátkým, leč o to důležitějším vítězstvím Sicilské školy na Pařížské univerzitě </w:t>
      </w:r>
      <w:r w:rsidR="00B9494B">
        <w:t xml:space="preserve">se stal z Averroese </w:t>
      </w:r>
      <w:r w:rsidR="00497091">
        <w:t xml:space="preserve">skutečný </w:t>
      </w:r>
      <w:r w:rsidR="00B9494B" w:rsidRPr="00E57C4C">
        <w:t>Komentátor</w:t>
      </w:r>
      <w:r w:rsidR="089522B4">
        <w:t xml:space="preserve"> i na latinském Západě</w:t>
      </w:r>
      <w:r w:rsidR="00E57C4C">
        <w:t>. K</w:t>
      </w:r>
      <w:r w:rsidR="00E44628">
        <w:t xml:space="preserve">ancléř Alvernus postavil jeho </w:t>
      </w:r>
      <w:r w:rsidR="00497091">
        <w:t xml:space="preserve">výklad </w:t>
      </w:r>
      <w:r w:rsidR="00B9494B">
        <w:t>prot</w:t>
      </w:r>
      <w:r w:rsidR="00497091">
        <w:t>i</w:t>
      </w:r>
      <w:r w:rsidR="00B9494B">
        <w:t xml:space="preserve"> </w:t>
      </w:r>
      <w:r w:rsidR="08A20CED">
        <w:t xml:space="preserve">neoplatonské škole </w:t>
      </w:r>
      <w:r w:rsidR="00B9494B">
        <w:t>filosofů následujících Aristotela (</w:t>
      </w:r>
      <w:r w:rsidR="00B9494B" w:rsidRPr="00B9494B">
        <w:rPr>
          <w:i/>
        </w:rPr>
        <w:t>philosophi sequaces Aristotelis</w:t>
      </w:r>
      <w:r w:rsidR="085F6FB7">
        <w:t>, kap. 2</w:t>
      </w:r>
      <w:r w:rsidR="00B9494B">
        <w:t xml:space="preserve">.3.1). </w:t>
      </w:r>
      <w:r w:rsidR="00960F7F">
        <w:t xml:space="preserve">K </w:t>
      </w:r>
      <w:r w:rsidR="00D2364E">
        <w:t xml:space="preserve">Blundově </w:t>
      </w:r>
      <w:r w:rsidR="00960F7F">
        <w:t>škole patřil i Grosseteste během svých pařížských studií</w:t>
      </w:r>
      <w:r w:rsidR="08A96B89">
        <w:t xml:space="preserve">. Tento aristotelik </w:t>
      </w:r>
      <w:r w:rsidR="089A1B6F">
        <w:t xml:space="preserve">je podle následujícího výkladu autorem polemického spisu </w:t>
      </w:r>
      <w:r w:rsidR="089A1B6F">
        <w:rPr>
          <w:i/>
        </w:rPr>
        <w:t>De anima et de potenc</w:t>
      </w:r>
      <w:r w:rsidR="089A1B6F" w:rsidRPr="00BE1FD7">
        <w:rPr>
          <w:i/>
        </w:rPr>
        <w:t>iis eius</w:t>
      </w:r>
      <w:r w:rsidR="089A1B6F">
        <w:t xml:space="preserve">, který pak později doplnil magistrálním komentářem k </w:t>
      </w:r>
      <w:r w:rsidR="089A1B6F" w:rsidRPr="089A1B6F">
        <w:rPr>
          <w:i/>
        </w:rPr>
        <w:t>De anima</w:t>
      </w:r>
      <w:r w:rsidR="089A1B6F">
        <w:t xml:space="preserve">. </w:t>
      </w:r>
      <w:r w:rsidR="08D648B0">
        <w:t xml:space="preserve">Dalším klíčovým autorem Blundovy škioly byl biskup Alvernus, který také napsal dva komentáře k </w:t>
      </w:r>
      <w:r w:rsidR="08D648B0" w:rsidRPr="08D648B0">
        <w:rPr>
          <w:i/>
        </w:rPr>
        <w:t>De anima</w:t>
      </w:r>
      <w:r w:rsidR="08D648B0">
        <w:t xml:space="preserve">, první polemický a druhý magistrální. </w:t>
      </w:r>
      <w:r w:rsidR="00960F7F">
        <w:t xml:space="preserve">Gauthierův úvod ke spisu </w:t>
      </w:r>
      <w:r w:rsidR="00960F7F" w:rsidRPr="00960F7F">
        <w:rPr>
          <w:i/>
        </w:rPr>
        <w:t>De anima et de potenciis eius</w:t>
      </w:r>
      <w:r w:rsidR="00960F7F">
        <w:t xml:space="preserve"> zdůrazňuje návaznost obrany jednoty osoby dané v tomto spise s </w:t>
      </w:r>
      <w:r w:rsidR="00670C90">
        <w:t>ko</w:t>
      </w:r>
      <w:r w:rsidR="00960F7F">
        <w:t xml:space="preserve">mentářem </w:t>
      </w:r>
      <w:r w:rsidR="00960F7F" w:rsidRPr="00960F7F">
        <w:rPr>
          <w:i/>
        </w:rPr>
        <w:t>De potenciis anime et obiectis</w:t>
      </w:r>
      <w:r w:rsidR="08442D80">
        <w:t xml:space="preserve"> (asi 1230)</w:t>
      </w:r>
      <w:r w:rsidR="08AE6A77" w:rsidRPr="08AE6A77">
        <w:t>, jehož autorem j</w:t>
      </w:r>
      <w:r w:rsidR="08AE6A77">
        <w:t>e</w:t>
      </w:r>
      <w:r w:rsidR="08AE6A77" w:rsidRPr="08AE6A77">
        <w:t xml:space="preserve"> </w:t>
      </w:r>
      <w:r w:rsidR="08AE6A77">
        <w:t>podle předložené interp</w:t>
      </w:r>
      <w:r w:rsidR="082963B6">
        <w:t>r</w:t>
      </w:r>
      <w:r w:rsidR="08AE6A77">
        <w:t xml:space="preserve">etace </w:t>
      </w:r>
      <w:r w:rsidR="08D238F4">
        <w:t xml:space="preserve">v následujících kapitolách </w:t>
      </w:r>
      <w:r w:rsidR="08AE6A77" w:rsidRPr="08AE6A77">
        <w:t>biskup Alvernus</w:t>
      </w:r>
      <w:r w:rsidR="00960F7F">
        <w:rPr>
          <w:i/>
        </w:rPr>
        <w:t>.</w:t>
      </w:r>
      <w:r w:rsidR="00960F7F" w:rsidRPr="009E55F6">
        <w:rPr>
          <w:rStyle w:val="Znakapoznpodarou"/>
        </w:rPr>
        <w:footnoteReference w:id="105"/>
      </w:r>
      <w:r w:rsidR="009E55F6">
        <w:t xml:space="preserve"> </w:t>
      </w:r>
      <w:r w:rsidR="008120B5">
        <w:t xml:space="preserve">Pro určení autorství </w:t>
      </w:r>
      <w:r w:rsidR="082963B6" w:rsidRPr="00960F7F">
        <w:rPr>
          <w:i/>
        </w:rPr>
        <w:t>De anima et de potenciis eius</w:t>
      </w:r>
      <w:r w:rsidR="082963B6">
        <w:t xml:space="preserve"> </w:t>
      </w:r>
      <w:r w:rsidR="008120B5">
        <w:t>je klíčová Gauthierova analýza citací z Averroesova komentáře k</w:t>
      </w:r>
      <w:r w:rsidR="00E40243">
        <w:t> </w:t>
      </w:r>
      <w:r w:rsidR="008120B5" w:rsidRPr="008120B5">
        <w:rPr>
          <w:i/>
        </w:rPr>
        <w:t>Metafyzice</w:t>
      </w:r>
      <w:r w:rsidR="00E40243">
        <w:t xml:space="preserve">, které souhlasí </w:t>
      </w:r>
      <w:r w:rsidR="008120B5">
        <w:t xml:space="preserve">s prvními kosmologickými spisy </w:t>
      </w:r>
      <w:r w:rsidR="00E40243">
        <w:t xml:space="preserve">Grossetesteho </w:t>
      </w:r>
      <w:r w:rsidR="008120B5">
        <w:t>(</w:t>
      </w:r>
      <w:r w:rsidR="00EE5D1D">
        <w:t>Gauthier</w:t>
      </w:r>
      <w:r w:rsidR="00EE5D1D">
        <w:fldChar w:fldCharType="begin"/>
      </w:r>
      <w:r w:rsidR="00EE5D1D">
        <w:instrText xml:space="preserve"> XE "</w:instrText>
      </w:r>
      <w:r w:rsidR="00EE5D1D" w:rsidRPr="003937C9">
        <w:rPr>
          <w:lang w:eastAsia="en-US"/>
        </w:rPr>
        <w:instrText>Gauthier</w:instrText>
      </w:r>
      <w:r w:rsidR="00EE5D1D">
        <w:instrText xml:space="preserve">" </w:instrText>
      </w:r>
      <w:r w:rsidR="00EE5D1D">
        <w:fldChar w:fldCharType="end"/>
      </w:r>
      <w:r w:rsidR="00EE5D1D">
        <w:t> 1982,</w:t>
      </w:r>
      <w:r w:rsidR="00220132">
        <w:t xml:space="preserve"> </w:t>
      </w:r>
      <w:r w:rsidR="008120B5">
        <w:t xml:space="preserve">8‒9). Dalším kritériem autorství Grossetesteho je společné pojetí pluralismu potencí a forem v duši a stejný výklad diafanum </w:t>
      </w:r>
      <w:r w:rsidR="00A22643">
        <w:t xml:space="preserve">a </w:t>
      </w:r>
      <w:r w:rsidR="006A04C6" w:rsidRPr="006A04C6">
        <w:t>species</w:t>
      </w:r>
      <w:r w:rsidR="00A22643">
        <w:t xml:space="preserve"> </w:t>
      </w:r>
      <w:r w:rsidR="0817157B">
        <w:t xml:space="preserve">jako </w:t>
      </w:r>
      <w:r w:rsidR="008120B5">
        <w:t xml:space="preserve">v Blundově </w:t>
      </w:r>
      <w:r w:rsidR="084C40CB">
        <w:t>škole prvního averroismu (kap. 3</w:t>
      </w:r>
      <w:r w:rsidR="008120B5">
        <w:t xml:space="preserve">.2). </w:t>
      </w:r>
      <w:r w:rsidR="00D2364E">
        <w:t xml:space="preserve">Grosseteste </w:t>
      </w:r>
      <w:r w:rsidR="085E7FCD">
        <w:t>na</w:t>
      </w:r>
      <w:r w:rsidR="00D2364E">
        <w:t xml:space="preserve">psal </w:t>
      </w:r>
      <w:r w:rsidR="00D2364E">
        <w:lastRenderedPageBreak/>
        <w:t xml:space="preserve">první filosofický spis </w:t>
      </w:r>
      <w:r w:rsidR="085E7FCD">
        <w:t xml:space="preserve">výslovně </w:t>
      </w:r>
      <w:r w:rsidR="00670C90">
        <w:t>cituj</w:t>
      </w:r>
      <w:r w:rsidR="00D2364E">
        <w:t>í</w:t>
      </w:r>
      <w:r w:rsidR="00670C90">
        <w:t>c</w:t>
      </w:r>
      <w:r w:rsidR="00D2364E">
        <w:t>í Averro</w:t>
      </w:r>
      <w:r w:rsidR="00670C90">
        <w:t>e</w:t>
      </w:r>
      <w:r w:rsidR="00D2364E">
        <w:t xml:space="preserve">se </w:t>
      </w:r>
      <w:r w:rsidR="088A0BD0">
        <w:t xml:space="preserve">proti </w:t>
      </w:r>
      <w:r w:rsidR="08DB1201">
        <w:t>avicennistickým t</w:t>
      </w:r>
      <w:r w:rsidR="08D14D23">
        <w:t xml:space="preserve">oletánům a </w:t>
      </w:r>
      <w:r w:rsidR="08DB1201">
        <w:t xml:space="preserve">proti </w:t>
      </w:r>
      <w:r w:rsidR="08D14D23">
        <w:t xml:space="preserve">pařížským </w:t>
      </w:r>
      <w:r w:rsidR="085856EF">
        <w:t>porretánů</w:t>
      </w:r>
      <w:r w:rsidR="088A0BD0">
        <w:t xml:space="preserve">m. Alvernus </w:t>
      </w:r>
      <w:r w:rsidR="00D2364E">
        <w:t xml:space="preserve">doplnil </w:t>
      </w:r>
      <w:r w:rsidR="08F240B4">
        <w:t xml:space="preserve">jeho rozbor z teologického hlediska, nejspíše </w:t>
      </w:r>
      <w:r w:rsidR="00D2364E">
        <w:t xml:space="preserve">po příchodu </w:t>
      </w:r>
      <w:r w:rsidR="088A0BD0">
        <w:t>Sc</w:t>
      </w:r>
      <w:r w:rsidR="08F240B4">
        <w:t>ota ze</w:t>
      </w:r>
      <w:r w:rsidR="088A0BD0">
        <w:t xml:space="preserve"> </w:t>
      </w:r>
      <w:r w:rsidR="00D2364E">
        <w:t>Sicilské školy</w:t>
      </w:r>
      <w:r w:rsidR="08ED31B9">
        <w:t xml:space="preserve"> roku 1230</w:t>
      </w:r>
      <w:r w:rsidR="00D2364E">
        <w:t xml:space="preserve">. </w:t>
      </w:r>
      <w:r w:rsidR="00670C90">
        <w:t xml:space="preserve">K pochopení této </w:t>
      </w:r>
      <w:r w:rsidR="00F12110">
        <w:t xml:space="preserve">dvojí </w:t>
      </w:r>
      <w:r w:rsidR="00670C90">
        <w:t xml:space="preserve">recepce </w:t>
      </w:r>
      <w:r w:rsidR="00F12110">
        <w:t xml:space="preserve">Averroese v modu prvního averroismu </w:t>
      </w:r>
      <w:r w:rsidR="085856EF">
        <w:t xml:space="preserve">Sicilské a Toledské školy </w:t>
      </w:r>
      <w:r w:rsidR="00670C90">
        <w:t xml:space="preserve">je třeba jít o dvě desetiletí nazpět, kdy vznikla první interpretace Avicenny v latinském aristotelském modu integrujícím neoplatonský avicennismus s poznáním podle </w:t>
      </w:r>
      <w:r w:rsidR="00670C90" w:rsidRPr="00670C90">
        <w:rPr>
          <w:i/>
        </w:rPr>
        <w:t>De anima</w:t>
      </w:r>
      <w:r w:rsidR="08320F6A">
        <w:t>.</w:t>
      </w:r>
    </w:p>
    <w:p w14:paraId="44EAAE29" w14:textId="77777777" w:rsidR="00755BA8" w:rsidRDefault="08320F6A" w:rsidP="08361157">
      <w:r>
        <w:tab/>
      </w:r>
      <w:r w:rsidR="08C3286B">
        <w:t xml:space="preserve">Výklad </w:t>
      </w:r>
      <w:r w:rsidR="08632C3F">
        <w:t xml:space="preserve">aristotelské falsafy </w:t>
      </w:r>
      <w:r w:rsidR="08C3286B">
        <w:t>v paradigmatu Toledské školy předložil aristotelik David z Dinantu</w:t>
      </w:r>
      <w:r w:rsidR="08C12048">
        <w:fldChar w:fldCharType="begin"/>
      </w:r>
      <w:r w:rsidR="08C12048">
        <w:instrText xml:space="preserve"> XE "</w:instrText>
      </w:r>
      <w:r w:rsidR="08C12048" w:rsidRPr="00755061">
        <w:instrText>David z Dinantu</w:instrText>
      </w:r>
      <w:r w:rsidR="08C12048">
        <w:instrText xml:space="preserve">" </w:instrText>
      </w:r>
      <w:r w:rsidR="08C12048">
        <w:fldChar w:fldCharType="end"/>
      </w:r>
      <w:r w:rsidR="088A330C">
        <w:t>. J</w:t>
      </w:r>
      <w:r w:rsidR="08C12048">
        <w:t xml:space="preserve">eho výklad </w:t>
      </w:r>
      <w:r w:rsidR="08C12048" w:rsidRPr="08C12048">
        <w:rPr>
          <w:i/>
        </w:rPr>
        <w:t>De anima</w:t>
      </w:r>
      <w:r w:rsidR="08C12048">
        <w:t xml:space="preserve"> vytvořil </w:t>
      </w:r>
      <w:r w:rsidR="08DA07B0">
        <w:t>nepravd</w:t>
      </w:r>
      <w:r w:rsidR="08C35FCF">
        <w:t>u aristotelismu</w:t>
      </w:r>
      <w:r w:rsidR="080E3655">
        <w:t xml:space="preserve"> tím, že založil </w:t>
      </w:r>
      <w:r w:rsidR="08441EA2">
        <w:t xml:space="preserve">první </w:t>
      </w:r>
      <w:r w:rsidR="080E3655">
        <w:t xml:space="preserve">skutečně </w:t>
      </w:r>
      <w:r w:rsidR="08C35FCF">
        <w:t>averroistické pojetí objektivity na latinském Západě</w:t>
      </w:r>
      <w:r w:rsidR="08C12048">
        <w:t xml:space="preserve">. </w:t>
      </w:r>
      <w:r w:rsidR="08C3286B">
        <w:t>Jeho</w:t>
      </w:r>
      <w:r w:rsidR="08C3286B" w:rsidRPr="00273106">
        <w:t xml:space="preserve"> učení o</w:t>
      </w:r>
      <w:r w:rsidR="08C3286B">
        <w:t xml:space="preserve">dsoudila </w:t>
      </w:r>
      <w:r w:rsidR="08B96473">
        <w:t xml:space="preserve">biskupská </w:t>
      </w:r>
      <w:r w:rsidR="08C3286B">
        <w:t xml:space="preserve">synoda </w:t>
      </w:r>
      <w:r w:rsidR="08B96473">
        <w:t xml:space="preserve">roku </w:t>
      </w:r>
      <w:r w:rsidR="08C3286B">
        <w:t xml:space="preserve">1215 za </w:t>
      </w:r>
      <w:r w:rsidR="08C3286B" w:rsidRPr="00273106">
        <w:t xml:space="preserve">panteistický výklad </w:t>
      </w:r>
      <w:r w:rsidR="08C3286B" w:rsidRPr="00273106">
        <w:rPr>
          <w:i/>
        </w:rPr>
        <w:t>anima mundi</w:t>
      </w:r>
      <w:r w:rsidR="08C3286B">
        <w:rPr>
          <w:i/>
        </w:rPr>
        <w:fldChar w:fldCharType="begin"/>
      </w:r>
      <w:r w:rsidR="08C3286B">
        <w:instrText xml:space="preserve"> XE "</w:instrText>
      </w:r>
      <w:r w:rsidR="08C3286B" w:rsidRPr="00E13CCE">
        <w:rPr>
          <w:i/>
        </w:rPr>
        <w:instrText>anima mundi</w:instrText>
      </w:r>
      <w:r w:rsidR="08C3286B">
        <w:instrText xml:space="preserve">" </w:instrText>
      </w:r>
      <w:r w:rsidR="08C3286B">
        <w:rPr>
          <w:i/>
        </w:rPr>
        <w:fldChar w:fldCharType="end"/>
      </w:r>
      <w:r w:rsidR="088F79F2">
        <w:t>. Dinantův výklad vycházel z aristotelských</w:t>
      </w:r>
      <w:r w:rsidR="084136A1">
        <w:t xml:space="preserve"> spis</w:t>
      </w:r>
      <w:r w:rsidR="088F79F2">
        <w:t xml:space="preserve">ů, </w:t>
      </w:r>
      <w:r w:rsidR="084136A1">
        <w:t xml:space="preserve">proto citovaná synoda </w:t>
      </w:r>
      <w:r w:rsidR="08C946B8" w:rsidRPr="08C946B8">
        <w:t xml:space="preserve">zakázala studium </w:t>
      </w:r>
      <w:r w:rsidR="08C946B8">
        <w:t xml:space="preserve">některých </w:t>
      </w:r>
      <w:r w:rsidR="088B5024">
        <w:t xml:space="preserve">spisů z </w:t>
      </w:r>
      <w:r w:rsidR="08C946B8">
        <w:t>a</w:t>
      </w:r>
      <w:r w:rsidR="08C946B8" w:rsidRPr="08C946B8">
        <w:t>ristote</w:t>
      </w:r>
      <w:r w:rsidR="088B5024">
        <w:t xml:space="preserve">lského korpusu </w:t>
      </w:r>
      <w:r w:rsidR="08C946B8">
        <w:t>na Pařížské un</w:t>
      </w:r>
      <w:r w:rsidR="08C946B8" w:rsidRPr="08C946B8">
        <w:t>i</w:t>
      </w:r>
      <w:r w:rsidR="08C946B8">
        <w:t>verz</w:t>
      </w:r>
      <w:r w:rsidR="08C946B8" w:rsidRPr="08C946B8">
        <w:t>itě</w:t>
      </w:r>
      <w:r w:rsidR="08C3286B" w:rsidRPr="08C946B8">
        <w:t>.</w:t>
      </w:r>
      <w:r w:rsidR="08C3286B" w:rsidRPr="00273106">
        <w:t xml:space="preserve"> Rozdílný výklad intencionality a poznání mezi Blundem a Dinantem </w:t>
      </w:r>
      <w:r w:rsidR="08027D85">
        <w:t xml:space="preserve">okolo roku </w:t>
      </w:r>
      <w:r w:rsidR="08C3286B">
        <w:t xml:space="preserve">1200 </w:t>
      </w:r>
      <w:r w:rsidR="08C3286B" w:rsidRPr="00273106">
        <w:t xml:space="preserve">ukazuje podstatu pozdějšího sporu mezi prvním a druhým averroismem. </w:t>
      </w:r>
      <w:r w:rsidR="08C3286B">
        <w:t>Dinantovo pojetí diafanum</w:t>
      </w:r>
      <w:r w:rsidR="08C3286B">
        <w:fldChar w:fldCharType="begin"/>
      </w:r>
      <w:r w:rsidR="08C3286B">
        <w:instrText xml:space="preserve"> XE "</w:instrText>
      </w:r>
      <w:r w:rsidR="08C3286B" w:rsidRPr="00A30032">
        <w:instrText>diafanum</w:instrText>
      </w:r>
      <w:r w:rsidR="08C3286B">
        <w:instrText xml:space="preserve">:David z Dinantu" </w:instrText>
      </w:r>
      <w:r w:rsidR="08C3286B">
        <w:fldChar w:fldCharType="end"/>
      </w:r>
      <w:r w:rsidR="08C3286B">
        <w:t xml:space="preserve"> ukazuje zajímavý mix neoplatonské a aristotelské nauky, který</w:t>
      </w:r>
      <w:r w:rsidR="0843686B">
        <w:t xml:space="preserve">m se inspiroval </w:t>
      </w:r>
      <w:r w:rsidR="08C3286B">
        <w:t xml:space="preserve">první </w:t>
      </w:r>
      <w:r w:rsidR="08810DC3">
        <w:t xml:space="preserve">latinský </w:t>
      </w:r>
      <w:r w:rsidR="08C3286B">
        <w:t>modernista Rufus z Cornwallu</w:t>
      </w:r>
      <w:r w:rsidR="08F3411F">
        <w:t>.</w:t>
      </w:r>
      <w:r w:rsidR="084E0404">
        <w:t xml:space="preserve"> </w:t>
      </w:r>
      <w:r w:rsidR="08CE4413">
        <w:t xml:space="preserve">Biskupská synoda svolaná v Paříži roku 1210 odsoudila Dinantův panteismus a nařídila veřejně spálit spis </w:t>
      </w:r>
      <w:r w:rsidR="08CE4413">
        <w:rPr>
          <w:i/>
          <w:iCs/>
        </w:rPr>
        <w:t>Quaternuli</w:t>
      </w:r>
      <w:r w:rsidR="08CE4413">
        <w:t xml:space="preserve"> jako heretický. Pravidla regulující </w:t>
      </w:r>
      <w:r w:rsidR="08CE4413" w:rsidRPr="08E01C3B">
        <w:rPr>
          <w:i/>
        </w:rPr>
        <w:t>curriculum</w:t>
      </w:r>
      <w:r w:rsidR="08CE4413">
        <w:t xml:space="preserve"> nově vzniklé univerzity vydaná papežským legátem Robertem v roce 1215 výslovně zakázala výuku Aristotelovy </w:t>
      </w:r>
      <w:r w:rsidR="08CE4413" w:rsidRPr="08E511BB">
        <w:rPr>
          <w:i/>
        </w:rPr>
        <w:t>Metafyziky</w:t>
      </w:r>
      <w:r w:rsidR="08CE4413">
        <w:t xml:space="preserve">, </w:t>
      </w:r>
      <w:r w:rsidR="08CE4413" w:rsidRPr="0840339E">
        <w:rPr>
          <w:i/>
        </w:rPr>
        <w:t>Fyziky</w:t>
      </w:r>
      <w:r w:rsidR="08CE4413">
        <w:t xml:space="preserve"> a jeho přírorodovědných spisů, protože byly ovlivněny neoplatonským aristotelismem podle Davida z Dinantu a dalších amalriciánů jako byl </w:t>
      </w:r>
      <w:r w:rsidR="08CE4413" w:rsidRPr="08DF316B">
        <w:t>Amaury de Bennes</w:t>
      </w:r>
      <w:r w:rsidR="08CE4413">
        <w:fldChar w:fldCharType="begin"/>
      </w:r>
      <w:r w:rsidR="08CE4413">
        <w:instrText xml:space="preserve"> XE "</w:instrText>
      </w:r>
      <w:r w:rsidR="08CE4413" w:rsidRPr="08FE695B">
        <w:instrText>Amaury de Bennes</w:instrText>
      </w:r>
      <w:r w:rsidR="08CE4413">
        <w:instrText xml:space="preserve">" </w:instrText>
      </w:r>
      <w:r w:rsidR="08CE4413">
        <w:fldChar w:fldCharType="end"/>
      </w:r>
      <w:r w:rsidR="08CE4413">
        <w:t xml:space="preserve"> a neznámý neoplatonik ze Španělska.</w:t>
      </w:r>
      <w:r w:rsidR="08CE4413">
        <w:rPr>
          <w:rStyle w:val="Znakapoznpodarou"/>
        </w:rPr>
        <w:footnoteReference w:id="106"/>
      </w:r>
      <w:r w:rsidR="08CE4413">
        <w:t xml:space="preserve"> Období mezi léty 1210‒15 má zásadní charakter</w:t>
      </w:r>
      <w:r w:rsidR="00223699">
        <w:t xml:space="preserve"> pro vznik moderny. V </w:t>
      </w:r>
      <w:r w:rsidR="08CE4413">
        <w:t xml:space="preserve">této době se utvořilo </w:t>
      </w:r>
      <w:r w:rsidR="08CE4413" w:rsidRPr="08CE4413">
        <w:rPr>
          <w:i/>
        </w:rPr>
        <w:t>Lichtung</w:t>
      </w:r>
      <w:r w:rsidR="080E3655">
        <w:rPr>
          <w:i/>
        </w:rPr>
        <w:fldChar w:fldCharType="begin"/>
      </w:r>
      <w:r w:rsidR="080E3655">
        <w:instrText xml:space="preserve"> XE "</w:instrText>
      </w:r>
      <w:r w:rsidR="080E3655" w:rsidRPr="080C01F8">
        <w:rPr>
          <w:i/>
        </w:rPr>
        <w:instrText>Lichtung</w:instrText>
      </w:r>
      <w:r w:rsidR="080E3655">
        <w:instrText xml:space="preserve">" </w:instrText>
      </w:r>
      <w:r w:rsidR="080E3655">
        <w:rPr>
          <w:i/>
        </w:rPr>
        <w:fldChar w:fldCharType="end"/>
      </w:r>
      <w:r w:rsidR="08017289">
        <w:t xml:space="preserve"> múzické pravdy </w:t>
      </w:r>
      <w:r w:rsidR="08CE4413">
        <w:t xml:space="preserve">a nepravdy určující </w:t>
      </w:r>
      <w:r w:rsidR="00223699">
        <w:t xml:space="preserve">dějinnost, která </w:t>
      </w:r>
      <w:r w:rsidR="08CE4413">
        <w:t>za</w:t>
      </w:r>
      <w:r w:rsidR="00223699">
        <w:t xml:space="preserve">ložila </w:t>
      </w:r>
      <w:r w:rsidR="08D42FF0">
        <w:t xml:space="preserve">Pařížskou </w:t>
      </w:r>
      <w:r w:rsidR="08ED1926">
        <w:t>univerzitu</w:t>
      </w:r>
      <w:r w:rsidR="08CE4413">
        <w:t xml:space="preserve">. A tato dějinnost určila </w:t>
      </w:r>
      <w:r w:rsidR="08ED1926">
        <w:t xml:space="preserve">v modu modernistického </w:t>
      </w:r>
      <w:r w:rsidR="08ED1926" w:rsidRPr="08ED1926">
        <w:rPr>
          <w:i/>
        </w:rPr>
        <w:t>Irrtum</w:t>
      </w:r>
      <w:r w:rsidR="08ED1926">
        <w:t xml:space="preserve"> </w:t>
      </w:r>
      <w:r w:rsidR="08CE4413">
        <w:t>následné dějiny Pařížské uni</w:t>
      </w:r>
      <w:r w:rsidR="08ED1926">
        <w:t>v</w:t>
      </w:r>
      <w:r w:rsidR="08CE4413">
        <w:t xml:space="preserve">erzity až do jejího zániku </w:t>
      </w:r>
      <w:r w:rsidR="080E1C87">
        <w:t xml:space="preserve">v osvícenství během </w:t>
      </w:r>
      <w:r w:rsidR="08CE4413">
        <w:t xml:space="preserve">Francouzské revoluce.  </w:t>
      </w:r>
      <w:r w:rsidR="08A2617C">
        <w:t>Odsouzení Dinantovy filosofie</w:t>
      </w:r>
      <w:r w:rsidR="08E801B2">
        <w:t xml:space="preserve"> ukazuje, že d</w:t>
      </w:r>
      <w:r w:rsidR="08324463">
        <w:t>ošlo k zásadnímu zvratu na Pařížské univerzitě v prostředí prvního aristotelismu</w:t>
      </w:r>
      <w:r w:rsidR="08914D14">
        <w:t xml:space="preserve">. Tato škola vyložila </w:t>
      </w:r>
      <w:r w:rsidR="08324463">
        <w:t xml:space="preserve">Aristotelovy spisy jednoznačně křesťansky. </w:t>
      </w:r>
      <w:r w:rsidR="085E1AEA">
        <w:t>Příchod</w:t>
      </w:r>
      <w:r w:rsidR="085E1AEA" w:rsidRPr="00273106">
        <w:t xml:space="preserve"> autentické Aristotelovy filosofie </w:t>
      </w:r>
      <w:r w:rsidR="085E1AEA">
        <w:rPr>
          <w:rStyle w:val="FontStyle157"/>
          <w:rFonts w:ascii="Calibri" w:hAnsi="Calibri"/>
          <w:sz w:val="24"/>
        </w:rPr>
        <w:t xml:space="preserve">vytvořil </w:t>
      </w:r>
      <w:r w:rsidR="08E801B2">
        <w:rPr>
          <w:rStyle w:val="FontStyle157"/>
          <w:rFonts w:ascii="Calibri" w:hAnsi="Calibri"/>
          <w:sz w:val="24"/>
        </w:rPr>
        <w:t xml:space="preserve">zásadní </w:t>
      </w:r>
      <w:r w:rsidR="085E1AEA">
        <w:rPr>
          <w:rStyle w:val="FontStyle157"/>
          <w:rFonts w:ascii="Calibri" w:hAnsi="Calibri"/>
          <w:sz w:val="24"/>
        </w:rPr>
        <w:t>konflikt mezi Blundovou školou a neoplatonskými výklady</w:t>
      </w:r>
      <w:r w:rsidR="08CD6FDB">
        <w:rPr>
          <w:rStyle w:val="FontStyle157"/>
          <w:rFonts w:ascii="Calibri" w:hAnsi="Calibri"/>
          <w:sz w:val="24"/>
        </w:rPr>
        <w:t xml:space="preserve"> toletánů a prvních </w:t>
      </w:r>
      <w:r w:rsidR="08CD6FDB">
        <w:rPr>
          <w:rStyle w:val="FontStyle157"/>
          <w:rFonts w:ascii="Calibri" w:hAnsi="Calibri"/>
          <w:sz w:val="24"/>
        </w:rPr>
        <w:lastRenderedPageBreak/>
        <w:t xml:space="preserve">modernistů ze zanikajících škol </w:t>
      </w:r>
      <w:r w:rsidR="08CD6FDB" w:rsidRPr="08CD6FDB">
        <w:rPr>
          <w:rStyle w:val="FontStyle157"/>
          <w:rFonts w:ascii="Calibri" w:hAnsi="Calibri"/>
          <w:i/>
          <w:sz w:val="24"/>
        </w:rPr>
        <w:t>Nominales</w:t>
      </w:r>
      <w:r w:rsidR="08CD6FDB">
        <w:rPr>
          <w:rStyle w:val="FontStyle157"/>
          <w:rFonts w:ascii="Calibri" w:hAnsi="Calibri"/>
          <w:sz w:val="24"/>
        </w:rPr>
        <w:t xml:space="preserve"> a </w:t>
      </w:r>
      <w:r w:rsidR="08CD6FDB" w:rsidRPr="08CD6FDB">
        <w:rPr>
          <w:rStyle w:val="FontStyle157"/>
          <w:rFonts w:ascii="Calibri" w:hAnsi="Calibri"/>
          <w:i/>
          <w:sz w:val="24"/>
        </w:rPr>
        <w:t>logica Modernorum</w:t>
      </w:r>
      <w:r w:rsidR="08ED1926">
        <w:rPr>
          <w:rStyle w:val="FontStyle157"/>
          <w:rFonts w:ascii="Calibri" w:hAnsi="Calibri"/>
          <w:sz w:val="24"/>
        </w:rPr>
        <w:t>, který lze datovat do období 1215‒31, kdy byl zrušen zákaz výuky Aristotelova korpusu na Pařížské u</w:t>
      </w:r>
      <w:r w:rsidR="089C05CB">
        <w:rPr>
          <w:rStyle w:val="FontStyle157"/>
          <w:rFonts w:ascii="Calibri" w:hAnsi="Calibri"/>
          <w:sz w:val="24"/>
        </w:rPr>
        <w:t>n</w:t>
      </w:r>
      <w:r w:rsidR="08ED1926">
        <w:rPr>
          <w:rStyle w:val="FontStyle157"/>
          <w:rFonts w:ascii="Calibri" w:hAnsi="Calibri"/>
          <w:sz w:val="24"/>
        </w:rPr>
        <w:t>i</w:t>
      </w:r>
      <w:r w:rsidR="089C05CB">
        <w:rPr>
          <w:rStyle w:val="FontStyle157"/>
          <w:rFonts w:ascii="Calibri" w:hAnsi="Calibri"/>
          <w:sz w:val="24"/>
        </w:rPr>
        <w:t>v</w:t>
      </w:r>
      <w:r w:rsidR="08ED1926">
        <w:rPr>
          <w:rStyle w:val="FontStyle157"/>
          <w:rFonts w:ascii="Calibri" w:hAnsi="Calibri"/>
          <w:sz w:val="24"/>
        </w:rPr>
        <w:t xml:space="preserve">erzitě. </w:t>
      </w:r>
      <w:r w:rsidR="089C05CB">
        <w:rPr>
          <w:rStyle w:val="FontStyle157"/>
          <w:rFonts w:ascii="Calibri" w:hAnsi="Calibri"/>
          <w:sz w:val="24"/>
        </w:rPr>
        <w:t xml:space="preserve">Modernistické </w:t>
      </w:r>
      <w:r w:rsidR="08CD6FDB">
        <w:rPr>
          <w:rStyle w:val="FontStyle157"/>
          <w:rFonts w:ascii="Calibri" w:hAnsi="Calibri"/>
          <w:sz w:val="24"/>
        </w:rPr>
        <w:t xml:space="preserve">školy </w:t>
      </w:r>
      <w:r w:rsidR="0878756A">
        <w:rPr>
          <w:rStyle w:val="FontStyle157"/>
          <w:rFonts w:ascii="Calibri" w:hAnsi="Calibri"/>
          <w:sz w:val="24"/>
        </w:rPr>
        <w:t xml:space="preserve">přetvářely </w:t>
      </w:r>
      <w:r w:rsidR="08CD6FDB">
        <w:rPr>
          <w:rStyle w:val="FontStyle157"/>
          <w:rFonts w:ascii="Calibri" w:hAnsi="Calibri"/>
          <w:sz w:val="24"/>
        </w:rPr>
        <w:t xml:space="preserve">neoplatonský </w:t>
      </w:r>
      <w:r w:rsidR="085E1AEA">
        <w:rPr>
          <w:rStyle w:val="FontStyle157"/>
          <w:rFonts w:ascii="Calibri" w:hAnsi="Calibri"/>
          <w:sz w:val="24"/>
        </w:rPr>
        <w:t>aristotelismus Davida z Dinantu</w:t>
      </w:r>
      <w:r w:rsidR="08CD6FDB">
        <w:rPr>
          <w:rStyle w:val="FontStyle157"/>
          <w:rFonts w:ascii="Calibri" w:hAnsi="Calibri"/>
          <w:sz w:val="24"/>
        </w:rPr>
        <w:t>, proto nemohly kvalifikovaně odmítnout jeho herezi</w:t>
      </w:r>
      <w:r w:rsidR="085E1AEA">
        <w:rPr>
          <w:rStyle w:val="FontStyle157"/>
          <w:rFonts w:ascii="Calibri" w:hAnsi="Calibri"/>
          <w:sz w:val="24"/>
        </w:rPr>
        <w:t xml:space="preserve">. </w:t>
      </w:r>
      <w:r w:rsidR="089C05CB">
        <w:rPr>
          <w:rStyle w:val="FontStyle157"/>
          <w:rFonts w:ascii="Calibri" w:hAnsi="Calibri"/>
          <w:sz w:val="24"/>
        </w:rPr>
        <w:t xml:space="preserve">Blundova škola dostala papežské uznání proto, že obhájila křesťanskou hodnotu Aristotela podaného </w:t>
      </w:r>
      <w:r w:rsidR="089C05CB" w:rsidRPr="089C05CB">
        <w:rPr>
          <w:rStyle w:val="FontStyle157"/>
          <w:rFonts w:ascii="Calibri" w:hAnsi="Calibri"/>
          <w:i/>
          <w:sz w:val="24"/>
        </w:rPr>
        <w:t>ad mentem Averrois</w:t>
      </w:r>
      <w:r w:rsidR="089C05CB">
        <w:rPr>
          <w:rStyle w:val="FontStyle157"/>
          <w:rFonts w:ascii="Calibri" w:hAnsi="Calibri"/>
          <w:sz w:val="24"/>
        </w:rPr>
        <w:t xml:space="preserve"> podle Sicilské školy. </w:t>
      </w:r>
      <w:r w:rsidR="08324463">
        <w:t>Modernistická aristotelská filosofie Davida z Dina</w:t>
      </w:r>
      <w:r w:rsidR="08776F33">
        <w:t>n</w:t>
      </w:r>
      <w:r w:rsidR="08324463">
        <w:t xml:space="preserve">tu měla pro vznik Pařížské univerzity zásadní roli danou </w:t>
      </w:r>
      <w:r w:rsidR="08324463" w:rsidRPr="08F0775A">
        <w:rPr>
          <w:i/>
        </w:rPr>
        <w:t>via negativa</w:t>
      </w:r>
      <w:r w:rsidR="08324463">
        <w:t xml:space="preserve">. </w:t>
      </w:r>
      <w:r w:rsidR="08C946B8">
        <w:t xml:space="preserve">Tento lékař </w:t>
      </w:r>
      <w:r w:rsidR="08193C34">
        <w:t xml:space="preserve">a </w:t>
      </w:r>
      <w:r w:rsidR="08C946B8">
        <w:t>myslitel získal magisterskou hodnost v Řecku</w:t>
      </w:r>
      <w:r w:rsidR="085149AB">
        <w:t xml:space="preserve"> a </w:t>
      </w:r>
      <w:r w:rsidR="08C946B8">
        <w:t>stal se osobním kapl</w:t>
      </w:r>
      <w:r w:rsidR="085149AB">
        <w:t xml:space="preserve">anem papeže Innocenta (snad </w:t>
      </w:r>
      <w:r w:rsidR="08C946B8">
        <w:t xml:space="preserve">1206) a </w:t>
      </w:r>
      <w:r w:rsidR="08193C34">
        <w:t>měl</w:t>
      </w:r>
      <w:r w:rsidR="085149AB">
        <w:t xml:space="preserve"> vazby na </w:t>
      </w:r>
      <w:r w:rsidR="08C946B8">
        <w:t>sicilského Fried</w:t>
      </w:r>
      <w:r w:rsidR="085149AB">
        <w:t xml:space="preserve">richa II., pod jehož ochranou vznikla </w:t>
      </w:r>
      <w:r w:rsidR="0836657B">
        <w:t>škola Sicilského výkladu Averroese na univer</w:t>
      </w:r>
      <w:r w:rsidR="08BC5D26">
        <w:t xml:space="preserve">zitě </w:t>
      </w:r>
      <w:r w:rsidR="08BC5D26" w:rsidRPr="08BC5D26">
        <w:t xml:space="preserve">v </w:t>
      </w:r>
      <w:r w:rsidR="08BC5D26">
        <w:t>B</w:t>
      </w:r>
      <w:r w:rsidR="08BC5D26" w:rsidRPr="08BC5D26">
        <w:t xml:space="preserve">ologni </w:t>
      </w:r>
      <w:r w:rsidR="0836657B">
        <w:t xml:space="preserve">a na </w:t>
      </w:r>
      <w:r w:rsidR="08D52F7F">
        <w:t xml:space="preserve">sicilském </w:t>
      </w:r>
      <w:r w:rsidR="0836657B">
        <w:t>dvoře zmíněného panovníka</w:t>
      </w:r>
      <w:r w:rsidR="085149AB">
        <w:t xml:space="preserve">. </w:t>
      </w:r>
      <w:r w:rsidR="08131503">
        <w:t xml:space="preserve">Dinant vyučuje v Paříži metafyziku podle Abelardovy logiky v letech 1207‒10. </w:t>
      </w:r>
      <w:r w:rsidR="08CC25CF">
        <w:t xml:space="preserve">Dinantova </w:t>
      </w:r>
      <w:r w:rsidR="08B23F73">
        <w:t xml:space="preserve">vazba na hlavní </w:t>
      </w:r>
      <w:r w:rsidR="08131503">
        <w:t xml:space="preserve">sicilská </w:t>
      </w:r>
      <w:r w:rsidR="08B23F73">
        <w:t xml:space="preserve">centra </w:t>
      </w:r>
      <w:r w:rsidR="08131503">
        <w:t xml:space="preserve">výkladu Aristotela </w:t>
      </w:r>
      <w:r w:rsidR="08B23F73">
        <w:t xml:space="preserve">má klíčový charakter pro založení Pařížské univerzity, protože pouze znalci Blundovy školy byli </w:t>
      </w:r>
      <w:r w:rsidR="00755BA8">
        <w:t>schopni odhalit jeho sofistiku.</w:t>
      </w:r>
    </w:p>
    <w:p w14:paraId="37FEE736" w14:textId="6787CDFD" w:rsidR="00FA51AA" w:rsidRDefault="08324463" w:rsidP="00B15A2A">
      <w:pPr>
        <w:ind w:firstLine="397"/>
      </w:pPr>
      <w:r>
        <w:t>Vraťme se na půdu Paří</w:t>
      </w:r>
      <w:r w:rsidR="08972E68">
        <w:t xml:space="preserve">žské univerzity </w:t>
      </w:r>
      <w:r w:rsidR="08F23C5B">
        <w:t>do let 1210‒15</w:t>
      </w:r>
      <w:r>
        <w:t xml:space="preserve">, kdy </w:t>
      </w:r>
      <w:r w:rsidR="08F23C5B">
        <w:t xml:space="preserve">se určují </w:t>
      </w:r>
      <w:r>
        <w:t>dě</w:t>
      </w:r>
      <w:r w:rsidR="08A47F1F">
        <w:t xml:space="preserve">jiny </w:t>
      </w:r>
      <w:r w:rsidR="08F23C5B">
        <w:t xml:space="preserve">latinského </w:t>
      </w:r>
      <w:r w:rsidR="08A47F1F">
        <w:t xml:space="preserve">Západu pro další milénium. </w:t>
      </w:r>
      <w:r w:rsidR="00B15A2A" w:rsidRPr="00B15A2A">
        <w:t xml:space="preserve">Zásadní metafyzickou událostí </w:t>
      </w:r>
      <w:r w:rsidR="00B15A2A">
        <w:t>(</w:t>
      </w:r>
      <w:r w:rsidR="00B15A2A" w:rsidRPr="00B15A2A">
        <w:rPr>
          <w:i/>
        </w:rPr>
        <w:t>Ereignis</w:t>
      </w:r>
      <w:r w:rsidR="00B15A2A">
        <w:t xml:space="preserve">) </w:t>
      </w:r>
      <w:r w:rsidR="00B15A2A" w:rsidRPr="00B15A2A">
        <w:t xml:space="preserve">se stala obhajoba pravdy jako </w:t>
      </w:r>
      <w:r w:rsidR="00B15A2A" w:rsidRPr="00B15A2A">
        <w:rPr>
          <w:i/>
        </w:rPr>
        <w:t>adaequatio</w:t>
      </w:r>
      <w:r w:rsidR="00B15A2A" w:rsidRPr="00B15A2A">
        <w:t xml:space="preserve"> založené na intencionalitě, která stála proti ne</w:t>
      </w:r>
      <w:r w:rsidR="00B15A2A">
        <w:t xml:space="preserve">oplatónské pravdě jako </w:t>
      </w:r>
      <w:r w:rsidR="00B15A2A" w:rsidRPr="00B15A2A">
        <w:rPr>
          <w:i/>
        </w:rPr>
        <w:t>asimilatio</w:t>
      </w:r>
      <w:r w:rsidR="00B15A2A" w:rsidRPr="00B15A2A">
        <w:t xml:space="preserve"> jsoucna třetího druhu. Toto pojetí pravdy jako asimilace získalo v Dinantově učení charakt</w:t>
      </w:r>
      <w:r w:rsidR="00B15A2A">
        <w:t xml:space="preserve">er </w:t>
      </w:r>
      <w:r w:rsidR="08D145DE">
        <w:t xml:space="preserve">charakter kosmického panteismu přímo napojeného na boží esenci. Základní schopnosti intelektuální duše byly hypostázovány jako kosmické nemateriální substance. Blund namítl, že tato pseudo-aristotelská </w:t>
      </w:r>
      <w:r w:rsidR="08D145DE" w:rsidRPr="08D56BFE">
        <w:rPr>
          <w:i/>
        </w:rPr>
        <w:t>anima mundi</w:t>
      </w:r>
      <w:r w:rsidR="08D145DE">
        <w:rPr>
          <w:i/>
        </w:rPr>
        <w:fldChar w:fldCharType="begin"/>
      </w:r>
      <w:r w:rsidR="08D145DE">
        <w:instrText xml:space="preserve"> XE "</w:instrText>
      </w:r>
      <w:r w:rsidR="08D145DE" w:rsidRPr="08102CEF">
        <w:rPr>
          <w:i/>
        </w:rPr>
        <w:instrText>anima mundi</w:instrText>
      </w:r>
      <w:r w:rsidR="08D145DE">
        <w:instrText xml:space="preserve">" </w:instrText>
      </w:r>
      <w:r w:rsidR="08D145DE">
        <w:rPr>
          <w:i/>
        </w:rPr>
        <w:fldChar w:fldCharType="end"/>
      </w:r>
      <w:r w:rsidR="08D145DE">
        <w:t xml:space="preserve"> nemá jak existovat, protože stojí mimo schéma poznání podle </w:t>
      </w:r>
      <w:r w:rsidR="08D145DE" w:rsidRPr="08D56BFE">
        <w:rPr>
          <w:i/>
        </w:rPr>
        <w:t>De anima</w:t>
      </w:r>
      <w:r w:rsidR="08D145DE">
        <w:t xml:space="preserve">. Klíčovým momentem polemiky proti Dinantově panteismu byl status </w:t>
      </w:r>
      <w:r w:rsidR="08D145DE" w:rsidRPr="08E84B6D">
        <w:rPr>
          <w:i/>
        </w:rPr>
        <w:t>intellectus possibilis</w:t>
      </w:r>
      <w:r w:rsidR="08D145DE">
        <w:t xml:space="preserve"> jako výlučně lidského intelektuálního diafanum. Obrana receptivního intelektu aktualizovaného nasvícením zepředu v modu </w:t>
      </w:r>
      <w:r w:rsidR="082A724F">
        <w:t xml:space="preserve">metafyzického </w:t>
      </w:r>
      <w:r w:rsidR="08D145DE">
        <w:t xml:space="preserve">dativu oddělila poznání od nasvícení zezadu daného skrze panteistickou formu </w:t>
      </w:r>
      <w:r w:rsidR="08D145DE" w:rsidRPr="08E84B6D">
        <w:rPr>
          <w:i/>
        </w:rPr>
        <w:t>intellectus agens</w:t>
      </w:r>
      <w:r w:rsidR="08D145DE">
        <w:t xml:space="preserve">. Z tohoto zásadního důvodu nemůže existovat kosmická forma duše ve formě Dinantovy </w:t>
      </w:r>
      <w:r w:rsidR="08D145DE" w:rsidRPr="08FC4206">
        <w:rPr>
          <w:i/>
        </w:rPr>
        <w:t>anima mundi</w:t>
      </w:r>
      <w:r w:rsidR="08D145DE">
        <w:rPr>
          <w:i/>
        </w:rPr>
        <w:fldChar w:fldCharType="begin"/>
      </w:r>
      <w:r w:rsidR="08D145DE">
        <w:instrText xml:space="preserve"> XE "</w:instrText>
      </w:r>
      <w:r w:rsidR="08D145DE" w:rsidRPr="08442AAA">
        <w:rPr>
          <w:i/>
        </w:rPr>
        <w:instrText>anima mundi</w:instrText>
      </w:r>
      <w:r w:rsidR="08D145DE">
        <w:instrText xml:space="preserve">" </w:instrText>
      </w:r>
      <w:r w:rsidR="08D145DE">
        <w:rPr>
          <w:i/>
        </w:rPr>
        <w:fldChar w:fldCharType="end"/>
      </w:r>
      <w:r w:rsidR="08D145DE">
        <w:t xml:space="preserve">. Kosmické inteligence nemohou mít pasivní poznání napojené na smyslové poznání. Inteligibilní kosmické inteligence mají princip života v čistých formách intelektu, což je zásadně odděluje od lidské duše, která dostává aktualitu poznání pouze ze smyslů. </w:t>
      </w:r>
      <w:r w:rsidR="0889660B">
        <w:t xml:space="preserve">Ve hře byl </w:t>
      </w:r>
      <w:r w:rsidR="082A6D7D">
        <w:t xml:space="preserve">také </w:t>
      </w:r>
      <w:r w:rsidR="0889660B">
        <w:t xml:space="preserve">výklad predikace univerzality a kauzality pro boha jako </w:t>
      </w:r>
      <w:r w:rsidR="0889660B" w:rsidRPr="089C2203">
        <w:rPr>
          <w:i/>
        </w:rPr>
        <w:t>causa prima</w:t>
      </w:r>
      <w:r w:rsidR="0889660B">
        <w:t xml:space="preserve">, což znamenalo správně vyložit tehdy zakázané spisy </w:t>
      </w:r>
      <w:r w:rsidR="0889660B" w:rsidRPr="08ED5EA4">
        <w:rPr>
          <w:i/>
        </w:rPr>
        <w:t>Fyzika</w:t>
      </w:r>
      <w:r w:rsidR="0889660B">
        <w:t xml:space="preserve"> a </w:t>
      </w:r>
      <w:r w:rsidR="0889660B" w:rsidRPr="08ED5EA4">
        <w:rPr>
          <w:i/>
        </w:rPr>
        <w:t>Metafyzika</w:t>
      </w:r>
      <w:r w:rsidR="0889660B">
        <w:t xml:space="preserve">. </w:t>
      </w:r>
      <w:r w:rsidR="08673DA4">
        <w:t>Škola v o</w:t>
      </w:r>
      <w:r w:rsidR="0889660B">
        <w:t>p</w:t>
      </w:r>
      <w:r w:rsidR="08673DA4">
        <w:t>atství Svatého Viktora ovlivněná</w:t>
      </w:r>
      <w:r w:rsidR="0889660B">
        <w:t xml:space="preserve"> </w:t>
      </w:r>
      <w:r w:rsidR="0889660B">
        <w:lastRenderedPageBreak/>
        <w:t xml:space="preserve">Toledskou školou s neoplatonským výkladem </w:t>
      </w:r>
      <w:r w:rsidR="0889660B" w:rsidRPr="08BF01AE">
        <w:rPr>
          <w:i/>
        </w:rPr>
        <w:t>De anima</w:t>
      </w:r>
      <w:r w:rsidR="0889660B">
        <w:t xml:space="preserve"> měla jen částečnou racionální argumentaci proti Dinantovu filosoficky podanému panteismu. Totéž platilo pro avicennistické scholastiky jako byl Prévostin de Crémone</w:t>
      </w:r>
      <w:r w:rsidR="0889660B">
        <w:fldChar w:fldCharType="begin"/>
      </w:r>
      <w:r w:rsidR="0889660B">
        <w:instrText xml:space="preserve"> XE "</w:instrText>
      </w:r>
      <w:r w:rsidR="0889660B" w:rsidRPr="087B4E24">
        <w:instrText>Prévostin de Crémone</w:instrText>
      </w:r>
      <w:r w:rsidR="0889660B">
        <w:instrText xml:space="preserve">" </w:instrText>
      </w:r>
      <w:r w:rsidR="0889660B">
        <w:fldChar w:fldCharType="end"/>
      </w:r>
      <w:r w:rsidR="0889660B">
        <w:t xml:space="preserve">, pařížský univerzitní kancléř  zvolený roku 1208. Argumentaci proti Dinantovi v plnosti zvládla jedině Blundova škola. Proto papež Innocent III. ocenil její argumentaci </w:t>
      </w:r>
      <w:r w:rsidR="08C16A60">
        <w:t xml:space="preserve">roku 1215 </w:t>
      </w:r>
      <w:r w:rsidR="08B40EAB">
        <w:t>uznáním papežských práv</w:t>
      </w:r>
      <w:r w:rsidR="003A1204">
        <w:t xml:space="preserve"> skupině, která sdružovala Blundovy školy</w:t>
      </w:r>
      <w:r w:rsidR="08B40EAB">
        <w:t xml:space="preserve">. </w:t>
      </w:r>
      <w:r w:rsidR="08BD1E49">
        <w:t xml:space="preserve">Interpretační výkon aristotelismu postaveného do služeb křesťanské ortodoxie způsobil, že Innocent III. dal papežská univerzitní práva pařížským školám vedených Abelardovou </w:t>
      </w:r>
      <w:r w:rsidR="08BD1E49" w:rsidRPr="080A41B3">
        <w:rPr>
          <w:i/>
        </w:rPr>
        <w:t>École de Paris</w:t>
      </w:r>
      <w:r w:rsidR="08BD1E49">
        <w:t xml:space="preserve"> a sdružených pod egidou Blundova aristotelskému výkladu postavenému v pařížském procesu roku 1210 proti zdejšímu magistrovi Davidovi z Dinantu. Zmatené školy modernistů byly potrestány zákazem výuky sporných spisů z Aristolelského korpusu. Ale tyto školy definitivně prohrály v roce 1230 po příchodu Scotovy interpretace Sicilské školy, proto byl zákaz </w:t>
      </w:r>
      <w:r w:rsidR="08211CCA">
        <w:t xml:space="preserve">Aristotela </w:t>
      </w:r>
      <w:r w:rsidR="08BD1E49">
        <w:t>hned dalšího roku zrušen jako kontraproduktivní.</w:t>
      </w:r>
      <w:r w:rsidR="08702EA0">
        <w:t xml:space="preserve"> Hlavní představitel Blundovy školy byl </w:t>
      </w:r>
      <w:r w:rsidR="08702EA0" w:rsidRPr="00273106">
        <w:t>William z Auvergne</w:t>
      </w:r>
      <w:r w:rsidR="08702EA0">
        <w:fldChar w:fldCharType="begin"/>
      </w:r>
      <w:r w:rsidR="08702EA0">
        <w:instrText xml:space="preserve"> XE "</w:instrText>
      </w:r>
      <w:r w:rsidR="08702EA0" w:rsidRPr="00F32BBE">
        <w:instrText xml:space="preserve">William z Auvergne:viz </w:instrText>
      </w:r>
      <w:r w:rsidR="08702EA0" w:rsidRPr="00CE451F">
        <w:rPr>
          <w:i/>
        </w:rPr>
        <w:instrText>Index locorum</w:instrText>
      </w:r>
      <w:r w:rsidR="08702EA0">
        <w:instrText xml:space="preserve">" </w:instrText>
      </w:r>
      <w:r w:rsidR="08702EA0">
        <w:fldChar w:fldCharType="end"/>
      </w:r>
      <w:r w:rsidR="08702EA0" w:rsidRPr="00273106">
        <w:t xml:space="preserve"> (</w:t>
      </w:r>
      <w:r w:rsidR="08702EA0">
        <w:rPr>
          <w:bCs/>
        </w:rPr>
        <w:t>Guilielmus Alvernus, †1249</w:t>
      </w:r>
      <w:r w:rsidR="08702EA0" w:rsidRPr="00273106">
        <w:t>)</w:t>
      </w:r>
      <w:r w:rsidR="08702EA0">
        <w:t xml:space="preserve">. Tento </w:t>
      </w:r>
      <w:r w:rsidR="08702EA0" w:rsidRPr="00273106">
        <w:t>magistr teologie od roku 1223 a pařížský biskup v letech 1228</w:t>
      </w:r>
      <w:r w:rsidR="08702EA0">
        <w:rPr>
          <w:rFonts w:cs="Brill-Roman"/>
        </w:rPr>
        <w:t>‒</w:t>
      </w:r>
      <w:r w:rsidR="08702EA0" w:rsidRPr="00273106">
        <w:t>49</w:t>
      </w:r>
      <w:r w:rsidR="08702EA0">
        <w:t xml:space="preserve"> se stal hlavním </w:t>
      </w:r>
      <w:r w:rsidR="08702EA0" w:rsidRPr="00273106">
        <w:rPr>
          <w:rFonts w:cs="Brill-Roman"/>
        </w:rPr>
        <w:t>obhájce</w:t>
      </w:r>
      <w:r w:rsidR="08702EA0">
        <w:rPr>
          <w:rFonts w:cs="Brill-Roman"/>
        </w:rPr>
        <w:t>m</w:t>
      </w:r>
      <w:r w:rsidR="08702EA0" w:rsidRPr="00273106">
        <w:rPr>
          <w:rFonts w:cs="Brill-Roman"/>
        </w:rPr>
        <w:t xml:space="preserve"> </w:t>
      </w:r>
      <w:r w:rsidR="08702EA0">
        <w:rPr>
          <w:rFonts w:cs="Brill-Roman"/>
        </w:rPr>
        <w:t>Averroesovy metafyziky na latinském Západě</w:t>
      </w:r>
      <w:r w:rsidR="08702EA0" w:rsidRPr="00273106">
        <w:t>.</w:t>
      </w:r>
      <w:r w:rsidR="08702EA0">
        <w:t xml:space="preserve"> Status nové univerzity definitivně potvrdil papež Řehoř IX. roku 1231. </w:t>
      </w:r>
      <w:r w:rsidR="082738CC" w:rsidRPr="00D15939">
        <w:t xml:space="preserve">Rozdílem mezi </w:t>
      </w:r>
      <w:r w:rsidR="082738CC">
        <w:t xml:space="preserve">Toledskou a Sicilskou školou </w:t>
      </w:r>
      <w:r w:rsidR="082738CC" w:rsidRPr="00D15939">
        <w:t xml:space="preserve">hermeneutika odpověděla na důležitou Gilsonovu otázku </w:t>
      </w:r>
      <w:r w:rsidR="082738CC">
        <w:t>o povaze konfliktu spojeného s příchodem Aristotela na latinský Západ.</w:t>
      </w:r>
      <w:r w:rsidR="082738CC" w:rsidRPr="00273106">
        <w:rPr>
          <w:rStyle w:val="Znakapoznpodarou"/>
        </w:rPr>
        <w:footnoteReference w:id="107"/>
      </w:r>
      <w:r w:rsidR="082738CC">
        <w:t xml:space="preserve"> </w:t>
      </w:r>
      <w:r w:rsidR="08C16A60">
        <w:t>Etapa 1215‒</w:t>
      </w:r>
      <w:r w:rsidR="08514B79">
        <w:t>31 doložila novým potvrzení</w:t>
      </w:r>
      <w:r w:rsidR="087512AC">
        <w:t>m pap</w:t>
      </w:r>
      <w:r w:rsidR="08514B79">
        <w:t xml:space="preserve">ežských práv </w:t>
      </w:r>
      <w:r w:rsidR="08C16A60">
        <w:t>úspěšné založení školy první</w:t>
      </w:r>
      <w:r w:rsidR="087512AC">
        <w:t>ho</w:t>
      </w:r>
      <w:r w:rsidR="08C16A60">
        <w:t xml:space="preserve"> averroismu, která v modu </w:t>
      </w:r>
      <w:r w:rsidR="08C16A60" w:rsidRPr="087512AC">
        <w:rPr>
          <w:i/>
        </w:rPr>
        <w:t>Anfang</w:t>
      </w:r>
      <w:r w:rsidR="08C16A60">
        <w:t xml:space="preserve"> utvářela základní dějinnou událost myšlení (</w:t>
      </w:r>
      <w:r w:rsidR="08C16A60" w:rsidRPr="087512AC">
        <w:rPr>
          <w:i/>
        </w:rPr>
        <w:t>Ereignis</w:t>
      </w:r>
      <w:r w:rsidR="08C16A60">
        <w:t xml:space="preserve">) pro tuto dnes zaniklou </w:t>
      </w:r>
      <w:r w:rsidR="086524DB">
        <w:t xml:space="preserve">Pařížskou </w:t>
      </w:r>
      <w:r w:rsidR="08C16A60">
        <w:t xml:space="preserve">univerzitu. </w:t>
      </w:r>
      <w:r w:rsidR="00133A43">
        <w:t xml:space="preserve">Zásadní neřešitelný </w:t>
      </w:r>
      <w:r w:rsidR="08090412">
        <w:t xml:space="preserve">problém pro školu </w:t>
      </w:r>
      <w:r w:rsidR="08C978C5">
        <w:t xml:space="preserve">porretánských </w:t>
      </w:r>
      <w:r w:rsidR="08090412">
        <w:t xml:space="preserve">aristoteliků byla </w:t>
      </w:r>
      <w:r w:rsidR="08B42924">
        <w:t xml:space="preserve">Dinantova </w:t>
      </w:r>
      <w:r w:rsidR="08090412">
        <w:t>univoční predikace intelektu jako jsoucna třetího druhu daného v rámci univerzálního hylemorfismu</w:t>
      </w:r>
      <w:r w:rsidR="08B42924">
        <w:t>.</w:t>
      </w:r>
      <w:r w:rsidR="08B42924">
        <w:rPr>
          <w:rStyle w:val="Znakapoznpodarou"/>
        </w:rPr>
        <w:footnoteReference w:id="108"/>
      </w:r>
      <w:r w:rsidR="08B42924">
        <w:t xml:space="preserve"> T</w:t>
      </w:r>
      <w:r w:rsidR="08090412">
        <w:t xml:space="preserve">ento </w:t>
      </w:r>
      <w:r w:rsidR="0855771F">
        <w:t xml:space="preserve">generický </w:t>
      </w:r>
      <w:r w:rsidR="08090412">
        <w:t>intelekt-materii je pak možné dělit v rámci Porfýriova stromu</w:t>
      </w:r>
      <w:r w:rsidR="08B42924">
        <w:t xml:space="preserve"> na </w:t>
      </w:r>
      <w:r w:rsidR="006A04C6" w:rsidRPr="006A04C6">
        <w:t>species</w:t>
      </w:r>
      <w:r w:rsidR="08B42924">
        <w:t xml:space="preserve"> a podle </w:t>
      </w:r>
      <w:r w:rsidR="08B42924" w:rsidRPr="08B42924">
        <w:rPr>
          <w:i/>
        </w:rPr>
        <w:t>Liber de causis</w:t>
      </w:r>
      <w:r w:rsidR="08B42924">
        <w:t xml:space="preserve"> dedukovat nižší materiální formu </w:t>
      </w:r>
      <w:r w:rsidR="0855771F">
        <w:t xml:space="preserve">tohoto intelektu </w:t>
      </w:r>
      <w:r w:rsidR="08B42924">
        <w:t xml:space="preserve">danou jako </w:t>
      </w:r>
      <w:r w:rsidR="08B42924" w:rsidRPr="08B42924">
        <w:rPr>
          <w:i/>
        </w:rPr>
        <w:t>passio</w:t>
      </w:r>
      <w:r w:rsidR="08B42924">
        <w:t xml:space="preserve"> skrze působení vyšší aktivní formy</w:t>
      </w:r>
      <w:r w:rsidR="08090412">
        <w:t>.</w:t>
      </w:r>
      <w:r w:rsidR="08683285">
        <w:t xml:space="preserve"> Klíčovým argumentem Dina</w:t>
      </w:r>
      <w:r w:rsidR="08867F65">
        <w:t>n</w:t>
      </w:r>
      <w:r w:rsidR="08683285">
        <w:t xml:space="preserve">ta bylo </w:t>
      </w:r>
      <w:r w:rsidR="08A04ABF">
        <w:t xml:space="preserve">podle Alberta Velikého </w:t>
      </w:r>
      <w:r w:rsidR="08683285">
        <w:t xml:space="preserve">zavedení </w:t>
      </w:r>
      <w:r w:rsidR="08683285">
        <w:lastRenderedPageBreak/>
        <w:t xml:space="preserve">univerzálního hylemorfismu přímo </w:t>
      </w:r>
      <w:r w:rsidR="0814060E">
        <w:t xml:space="preserve">do </w:t>
      </w:r>
      <w:r w:rsidR="08683285">
        <w:t xml:space="preserve">boží esence, od níž </w:t>
      </w:r>
      <w:r w:rsidR="08C2375C">
        <w:t xml:space="preserve">skrze </w:t>
      </w:r>
      <w:r w:rsidR="08683285">
        <w:t>emana</w:t>
      </w:r>
      <w:r w:rsidR="08C2375C">
        <w:t xml:space="preserve">ce </w:t>
      </w:r>
      <w:r w:rsidR="08683285">
        <w:t>odvozoval vznik nižších substancí.</w:t>
      </w:r>
      <w:r w:rsidR="08683285">
        <w:rPr>
          <w:rStyle w:val="Znakapoznpodarou"/>
        </w:rPr>
        <w:footnoteReference w:id="109"/>
      </w:r>
      <w:r w:rsidR="08BF01AE">
        <w:t xml:space="preserve"> </w:t>
      </w:r>
      <w:r w:rsidR="08691A7F">
        <w:t xml:space="preserve">Aristotelik </w:t>
      </w:r>
      <w:r w:rsidR="08E841DA">
        <w:t xml:space="preserve">Dinant zná mediační funkci diafanum a jeho význam pro práci smyslů a intelektu, ale výslovně tvrdí jako avicennista Descartes, že diafanum je substance daná jako těleso </w:t>
      </w:r>
      <w:r w:rsidR="08E841DA" w:rsidRPr="008A0984">
        <w:t>(</w:t>
      </w:r>
      <w:r w:rsidR="08E841DA" w:rsidRPr="008A0984">
        <w:rPr>
          <w:i/>
        </w:rPr>
        <w:t>dyaphanum vero corpus est</w:t>
      </w:r>
      <w:r w:rsidR="08E841DA" w:rsidRPr="008A0984">
        <w:t>)</w:t>
      </w:r>
      <w:r w:rsidR="08E841DA">
        <w:t>.</w:t>
      </w:r>
      <w:r w:rsidR="08E841DA">
        <w:rPr>
          <w:rStyle w:val="Znakapoznpodarou"/>
        </w:rPr>
        <w:footnoteReference w:id="110"/>
      </w:r>
      <w:r w:rsidR="08224373">
        <w:t xml:space="preserve"> </w:t>
      </w:r>
      <w:r w:rsidR="089169CD">
        <w:t>P</w:t>
      </w:r>
      <w:r w:rsidR="080676E0">
        <w:t xml:space="preserve">rvní moderní aristotelik na latinském Západě </w:t>
      </w:r>
      <w:r w:rsidR="08224373">
        <w:t>má mechanické pojetí kosmického panteismu</w:t>
      </w:r>
      <w:r w:rsidR="08873081">
        <w:t xml:space="preserve"> jako </w:t>
      </w:r>
      <w:r w:rsidR="08D14318">
        <w:t xml:space="preserve">moderního </w:t>
      </w:r>
      <w:r w:rsidR="08873081">
        <w:t>atomismu</w:t>
      </w:r>
      <w:r w:rsidR="08224373">
        <w:t xml:space="preserve">, které </w:t>
      </w:r>
      <w:r w:rsidR="08A95ED4">
        <w:t xml:space="preserve">zopakují postmodernisté </w:t>
      </w:r>
      <w:r w:rsidR="08224373">
        <w:t xml:space="preserve"> </w:t>
      </w:r>
      <w:r w:rsidR="082724C8">
        <w:t xml:space="preserve">Descartes a </w:t>
      </w:r>
      <w:r w:rsidR="08224373">
        <w:t>Newton</w:t>
      </w:r>
      <w:r w:rsidR="08F82155">
        <w:fldChar w:fldCharType="begin"/>
      </w:r>
      <w:r w:rsidR="08F82155">
        <w:instrText xml:space="preserve"> XE "</w:instrText>
      </w:r>
      <w:r w:rsidR="08F82155" w:rsidRPr="081443A1">
        <w:instrText>Newton, I.</w:instrText>
      </w:r>
      <w:r w:rsidR="08F82155">
        <w:instrText xml:space="preserve">" </w:instrText>
      </w:r>
      <w:r w:rsidR="08F82155">
        <w:fldChar w:fldCharType="end"/>
      </w:r>
      <w:r w:rsidR="08224373">
        <w:t xml:space="preserve">. Ten </w:t>
      </w:r>
      <w:r w:rsidR="08A95ED4">
        <w:t xml:space="preserve">poslední </w:t>
      </w:r>
      <w:r w:rsidR="08224373">
        <w:t xml:space="preserve">ale </w:t>
      </w:r>
      <w:r w:rsidR="08F82155">
        <w:t xml:space="preserve">nebyl ani deistou, protože oddělil </w:t>
      </w:r>
      <w:r w:rsidR="08CC0598">
        <w:t xml:space="preserve">stejně jako Pascal </w:t>
      </w:r>
      <w:r w:rsidR="081650AF">
        <w:t xml:space="preserve">zjeveného </w:t>
      </w:r>
      <w:r w:rsidR="08F82155">
        <w:t xml:space="preserve">boha </w:t>
      </w:r>
      <w:r w:rsidR="081650AF">
        <w:t xml:space="preserve">Izraele </w:t>
      </w:r>
      <w:r w:rsidR="08F82155">
        <w:t xml:space="preserve">od jeho </w:t>
      </w:r>
      <w:r w:rsidR="081650AF">
        <w:t xml:space="preserve">objektivního </w:t>
      </w:r>
      <w:r w:rsidR="08F82155">
        <w:t>božství manifestovan</w:t>
      </w:r>
      <w:r w:rsidR="081650AF">
        <w:t>ém</w:t>
      </w:r>
      <w:r w:rsidR="08F82155">
        <w:t xml:space="preserve"> v kosmu</w:t>
      </w:r>
      <w:r w:rsidR="081650AF">
        <w:t xml:space="preserve">. </w:t>
      </w:r>
      <w:r w:rsidR="00BE0E3E">
        <w:t>Newton odmít</w:t>
      </w:r>
      <w:r w:rsidR="00BE0E3E" w:rsidRPr="00BE0E3E">
        <w:t>l spoj</w:t>
      </w:r>
      <w:r w:rsidR="00BE0E3E">
        <w:t>it</w:t>
      </w:r>
      <w:r w:rsidR="00BE0E3E" w:rsidRPr="00BE0E3E">
        <w:t xml:space="preserve"> Boha jako </w:t>
      </w:r>
      <w:r w:rsidR="00BE0E3E" w:rsidRPr="00BE0E3E">
        <w:rPr>
          <w:i/>
        </w:rPr>
        <w:t>causa prima</w:t>
      </w:r>
      <w:r w:rsidR="00BE0E3E" w:rsidRPr="00BE0E3E">
        <w:t xml:space="preserve"> s kosmickou </w:t>
      </w:r>
      <w:r w:rsidR="00BE0E3E" w:rsidRPr="00BE0E3E">
        <w:rPr>
          <w:i/>
        </w:rPr>
        <w:t>anima mundi</w:t>
      </w:r>
      <w:r w:rsidR="00BE0E3E" w:rsidRPr="00BE0E3E">
        <w:t>, která podle něj odp</w:t>
      </w:r>
      <w:r w:rsidR="00BE0E3E">
        <w:t>ovídá za pohyby nebeských těles</w:t>
      </w:r>
      <w:r w:rsidR="08F82155">
        <w:t>.</w:t>
      </w:r>
      <w:r w:rsidR="08F82155">
        <w:rPr>
          <w:rStyle w:val="Znakapoznpodarou"/>
        </w:rPr>
        <w:footnoteReference w:id="111"/>
      </w:r>
      <w:r w:rsidR="08224373">
        <w:t xml:space="preserve"> </w:t>
      </w:r>
      <w:r w:rsidR="08E841DA" w:rsidRPr="00273106">
        <w:t xml:space="preserve">Dinant </w:t>
      </w:r>
      <w:r w:rsidR="08C525A7">
        <w:t xml:space="preserve">definoval pasivní a aktivní </w:t>
      </w:r>
      <w:r w:rsidR="08E841DA" w:rsidRPr="00273106">
        <w:t xml:space="preserve">povahu duše, ale odmítl aristotelské řešení individualizace intelektu podle </w:t>
      </w:r>
      <w:r w:rsidR="08E841DA" w:rsidRPr="00273106">
        <w:rPr>
          <w:i/>
        </w:rPr>
        <w:t xml:space="preserve">De </w:t>
      </w:r>
      <w:r w:rsidR="08E841DA">
        <w:rPr>
          <w:i/>
        </w:rPr>
        <w:t>a</w:t>
      </w:r>
      <w:r w:rsidR="08E841DA" w:rsidRPr="00273106">
        <w:rPr>
          <w:i/>
        </w:rPr>
        <w:t>nima</w:t>
      </w:r>
      <w:r w:rsidR="08E841DA">
        <w:t xml:space="preserve">. </w:t>
      </w:r>
      <w:r w:rsidR="0813689D">
        <w:t>Jednota</w:t>
      </w:r>
      <w:r w:rsidR="0813689D" w:rsidRPr="00273106">
        <w:t xml:space="preserve"> intelektuálních obsahů </w:t>
      </w:r>
      <w:r w:rsidR="0813689D">
        <w:t>v člověku vzniká neoplatonským způsobem daným nasvícením zezadu. Intelekt nemá v lidském poznání žádnou možnost individuace a st</w:t>
      </w:r>
      <w:r w:rsidR="00B26ABD">
        <w:t>al se samostatnou substancí. Di</w:t>
      </w:r>
      <w:r w:rsidR="0813689D">
        <w:t>n</w:t>
      </w:r>
      <w:r w:rsidR="00B26ABD">
        <w:t>a</w:t>
      </w:r>
      <w:r w:rsidR="0813689D">
        <w:t xml:space="preserve">nt </w:t>
      </w:r>
      <w:r w:rsidR="001E40C1" w:rsidRPr="00273106">
        <w:t>umísťuje receptivní složku do každé mohutnosti (smysl, rozum, vůle), protože jinak by nemohlo dojít k individuá</w:t>
      </w:r>
      <w:r w:rsidR="00A15156" w:rsidRPr="00273106">
        <w:t>l</w:t>
      </w:r>
      <w:r w:rsidR="001E40C1" w:rsidRPr="00273106">
        <w:t>nímu aktu poznání (</w:t>
      </w:r>
      <w:r w:rsidR="001E40C1" w:rsidRPr="00273106">
        <w:rPr>
          <w:i/>
        </w:rPr>
        <w:t>horum autem unumquodque est passibile</w:t>
      </w:r>
      <w:r w:rsidR="001E40C1" w:rsidRPr="00273106">
        <w:t>).</w:t>
      </w:r>
      <w:r w:rsidR="00E475A4" w:rsidRPr="00273106">
        <w:rPr>
          <w:rStyle w:val="Znakapoznpodarou"/>
        </w:rPr>
        <w:footnoteReference w:id="112"/>
      </w:r>
      <w:r w:rsidR="001E40C1" w:rsidRPr="00273106">
        <w:t xml:space="preserve"> </w:t>
      </w:r>
      <w:r w:rsidR="006477F1" w:rsidRPr="00273106">
        <w:t xml:space="preserve">Tento výklad </w:t>
      </w:r>
      <w:r w:rsidR="0038410D">
        <w:t xml:space="preserve">receptivity </w:t>
      </w:r>
      <w:r w:rsidR="00A15156" w:rsidRPr="00273106">
        <w:t xml:space="preserve">se </w:t>
      </w:r>
      <w:r w:rsidR="00C3459C">
        <w:t>ne</w:t>
      </w:r>
      <w:r w:rsidR="00A15156" w:rsidRPr="00273106">
        <w:t>shoduje Blundem</w:t>
      </w:r>
      <w:r w:rsidR="00C3459C">
        <w:t>, protože inte</w:t>
      </w:r>
      <w:r w:rsidR="004907D2">
        <w:t>le</w:t>
      </w:r>
      <w:r w:rsidR="00C3459C">
        <w:t xml:space="preserve">kt </w:t>
      </w:r>
      <w:r w:rsidR="003F5FA8">
        <w:t xml:space="preserve">u Dinanta </w:t>
      </w:r>
      <w:r w:rsidR="00C3459C">
        <w:t xml:space="preserve">do pasivní složky zahrnutý není. Místo něj zde funguje imaginace, která naopak u Blunda hraje syntetickou roli </w:t>
      </w:r>
      <w:r w:rsidR="0038410D">
        <w:t xml:space="preserve">pouze </w:t>
      </w:r>
      <w:r w:rsidR="00C3459C">
        <w:t xml:space="preserve">pro </w:t>
      </w:r>
      <w:r w:rsidR="004B4D52" w:rsidRPr="004B4D52">
        <w:t>species</w:t>
      </w:r>
      <w:r w:rsidR="00C3459C" w:rsidRPr="00C3459C">
        <w:rPr>
          <w:i/>
        </w:rPr>
        <w:t xml:space="preserve"> sensibilis</w:t>
      </w:r>
      <w:r w:rsidR="00C3459C">
        <w:t xml:space="preserve">. </w:t>
      </w:r>
      <w:r w:rsidR="00760E54">
        <w:t>Dinant n</w:t>
      </w:r>
      <w:r w:rsidR="00DA2D91" w:rsidRPr="00273106">
        <w:t xml:space="preserve">ejprve provedl identifikaci </w:t>
      </w:r>
      <w:r w:rsidR="00B26ABD">
        <w:t xml:space="preserve">receptivního intelektu jako materie a </w:t>
      </w:r>
      <w:r w:rsidR="00DA2D91" w:rsidRPr="00273106">
        <w:t xml:space="preserve">potence vůči </w:t>
      </w:r>
      <w:r w:rsidR="00B26ABD">
        <w:t xml:space="preserve">nadřazenému kosmickému intelektu jako </w:t>
      </w:r>
      <w:r w:rsidR="00DA2D91" w:rsidRPr="00273106">
        <w:t>formě</w:t>
      </w:r>
      <w:r w:rsidR="00B26ABD">
        <w:t xml:space="preserve">. Tím vytvořil </w:t>
      </w:r>
      <w:r w:rsidR="00DA2D91" w:rsidRPr="00273106">
        <w:t>receptivní</w:t>
      </w:r>
      <w:r w:rsidR="00B71122" w:rsidRPr="00273106">
        <w:t>, tedy hylickou složku</w:t>
      </w:r>
      <w:r w:rsidR="00DA2D91" w:rsidRPr="00273106">
        <w:t xml:space="preserve"> intelektu</w:t>
      </w:r>
      <w:r w:rsidR="081735D8">
        <w:t xml:space="preserve"> podle </w:t>
      </w:r>
      <w:r w:rsidR="08180647">
        <w:t>Themistia</w:t>
      </w:r>
      <w:r w:rsidR="00955903">
        <w:fldChar w:fldCharType="begin"/>
      </w:r>
      <w:r w:rsidR="00955903">
        <w:instrText xml:space="preserve"> </w:instrText>
      </w:r>
      <w:r w:rsidR="00955903">
        <w:lastRenderedPageBreak/>
        <w:instrText>XE "</w:instrText>
      </w:r>
      <w:r w:rsidR="081840E3">
        <w:instrText>Themistios</w:instrText>
      </w:r>
      <w:r w:rsidR="00955903">
        <w:instrText xml:space="preserve">" </w:instrText>
      </w:r>
      <w:r w:rsidR="00955903">
        <w:fldChar w:fldCharType="end"/>
      </w:r>
      <w:r w:rsidR="00DA2D91" w:rsidRPr="00273106">
        <w:t>.</w:t>
      </w:r>
      <w:r w:rsidR="00DA2D91" w:rsidRPr="00273106">
        <w:rPr>
          <w:rStyle w:val="Znakapoznpodarou"/>
        </w:rPr>
        <w:footnoteReference w:id="113"/>
      </w:r>
      <w:r w:rsidR="009111E5" w:rsidRPr="00273106">
        <w:t xml:space="preserve"> Pak unifikoval </w:t>
      </w:r>
      <w:r w:rsidR="0060711B" w:rsidRPr="00273106">
        <w:t xml:space="preserve">obě formy </w:t>
      </w:r>
      <w:r w:rsidR="009111E5" w:rsidRPr="00273106">
        <w:t xml:space="preserve">pasivní </w:t>
      </w:r>
      <w:r w:rsidR="00B26ABD">
        <w:t xml:space="preserve">materie </w:t>
      </w:r>
      <w:r w:rsidR="009111E5" w:rsidRPr="00273106">
        <w:t xml:space="preserve">do jednoho rodu, a stejně tak dal i </w:t>
      </w:r>
      <w:r w:rsidR="0060711B" w:rsidRPr="00273106">
        <w:t xml:space="preserve">aktivní </w:t>
      </w:r>
      <w:r w:rsidR="009111E5" w:rsidRPr="00273106">
        <w:t xml:space="preserve">akt </w:t>
      </w:r>
      <w:r w:rsidR="00922F01">
        <w:t xml:space="preserve">syntetického </w:t>
      </w:r>
      <w:r w:rsidR="009111E5" w:rsidRPr="00273106">
        <w:t xml:space="preserve">intelektu do jednoho rodu. </w:t>
      </w:r>
      <w:r w:rsidR="004B2ACC">
        <w:t>Pasivní intelek</w:t>
      </w:r>
      <w:r w:rsidR="006B7071">
        <w:t xml:space="preserve">t </w:t>
      </w:r>
      <w:r w:rsidR="0850673A" w:rsidRPr="08BC53E5">
        <w:rPr>
          <w:szCs w:val="24"/>
        </w:rPr>
        <w:t>(</w:t>
      </w:r>
      <w:r w:rsidR="0850673A" w:rsidRPr="08BC53E5">
        <w:rPr>
          <w:i/>
          <w:szCs w:val="24"/>
        </w:rPr>
        <w:t>intellectus possibilis</w:t>
      </w:r>
      <w:r w:rsidR="0850673A" w:rsidRPr="08BC53E5">
        <w:rPr>
          <w:szCs w:val="24"/>
        </w:rPr>
        <w:t xml:space="preserve">) </w:t>
      </w:r>
      <w:r w:rsidR="006B7071">
        <w:t xml:space="preserve">se </w:t>
      </w:r>
      <w:r w:rsidR="085B2CFF">
        <w:t>s</w:t>
      </w:r>
      <w:r w:rsidR="08404595">
        <w:t>tal rodově odlišnou hypostází</w:t>
      </w:r>
      <w:r w:rsidR="081735D8" w:rsidRPr="081735D8">
        <w:t xml:space="preserve"> </w:t>
      </w:r>
      <w:r w:rsidR="081735D8">
        <w:t>podle Alexandra</w:t>
      </w:r>
      <w:r w:rsidR="084B2C3A">
        <w:t>, která existuje mimo člověka</w:t>
      </w:r>
      <w:r w:rsidR="08404595">
        <w:t xml:space="preserve">. </w:t>
      </w:r>
      <w:r w:rsidR="085B2CFF">
        <w:t xml:space="preserve">Dinant dal obě formy </w:t>
      </w:r>
      <w:r w:rsidR="08024F2C">
        <w:t xml:space="preserve">nemateriálního a jednotného </w:t>
      </w:r>
      <w:r w:rsidR="085B2CFF">
        <w:t xml:space="preserve">intelektu </w:t>
      </w:r>
      <w:r w:rsidR="00100C55">
        <w:t>do dvou kosmických</w:t>
      </w:r>
      <w:r w:rsidR="006B7071">
        <w:t xml:space="preserve"> substancí</w:t>
      </w:r>
      <w:r w:rsidR="080875A2">
        <w:t xml:space="preserve"> daných aktivně a pasivně</w:t>
      </w:r>
      <w:r w:rsidR="006B7071">
        <w:t xml:space="preserve">. </w:t>
      </w:r>
      <w:r w:rsidR="00DF5301" w:rsidRPr="00273106">
        <w:t>I</w:t>
      </w:r>
      <w:r w:rsidR="00B675FC" w:rsidRPr="00273106">
        <w:t xml:space="preserve">ndividualitu poznání bez </w:t>
      </w:r>
      <w:r w:rsidR="085B2CFF">
        <w:t xml:space="preserve">duševně prožívané </w:t>
      </w:r>
      <w:r w:rsidR="00B675FC" w:rsidRPr="00273106">
        <w:t>intencionality</w:t>
      </w:r>
      <w:r w:rsidR="00355D56" w:rsidRPr="00273106">
        <w:t xml:space="preserve"> </w:t>
      </w:r>
      <w:r w:rsidR="00DF5301" w:rsidRPr="00273106">
        <w:t xml:space="preserve">nemohl </w:t>
      </w:r>
      <w:r w:rsidR="004329C8">
        <w:t xml:space="preserve">Dinant </w:t>
      </w:r>
      <w:r w:rsidR="00B675FC" w:rsidRPr="00273106">
        <w:t xml:space="preserve">udělat jinak, než skrze oddělený </w:t>
      </w:r>
      <w:r w:rsidR="00B675FC"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A30032">
        <w:instrText>David z Dinantu</w:instrText>
      </w:r>
      <w:r w:rsidR="00DF1F0F">
        <w:instrText xml:space="preserve">" </w:instrText>
      </w:r>
      <w:r w:rsidR="00DF1F0F">
        <w:rPr>
          <w:i/>
        </w:rPr>
        <w:fldChar w:fldCharType="end"/>
      </w:r>
      <w:r w:rsidR="00871906" w:rsidRPr="00273106">
        <w:t xml:space="preserve"> daný v modu univerzálního </w:t>
      </w:r>
      <w:r w:rsidR="08051F95">
        <w:t xml:space="preserve">hylemorfismu a </w:t>
      </w:r>
      <w:r w:rsidR="00871906" w:rsidRPr="00273106">
        <w:t>panteismu</w:t>
      </w:r>
      <w:r w:rsidR="00A30032">
        <w:fldChar w:fldCharType="begin"/>
      </w:r>
      <w:r w:rsidR="00A30032">
        <w:instrText xml:space="preserve"> XE "</w:instrText>
      </w:r>
      <w:r w:rsidR="00A30032" w:rsidRPr="00811BC2">
        <w:instrText>panteismus</w:instrText>
      </w:r>
      <w:r w:rsidR="00A30032">
        <w:instrText xml:space="preserve">" </w:instrText>
      </w:r>
      <w:r w:rsidR="00A30032">
        <w:fldChar w:fldCharType="end"/>
      </w:r>
      <w:r w:rsidR="00B675FC" w:rsidRPr="00273106">
        <w:t xml:space="preserve">. </w:t>
      </w:r>
      <w:r w:rsidR="08141E7E">
        <w:t>Neoplatonský myslitel spojil do univoční formy jak hylemorickou substanci, tak neoplatonskou materii třetího druhu. Tuto receptivní složku pak na úrovni aktivního Dárce forem navázal na boha</w:t>
      </w:r>
      <w:r w:rsidR="08141E7E" w:rsidRPr="00273106">
        <w:t xml:space="preserve"> </w:t>
      </w:r>
      <w:r w:rsidR="08141E7E">
        <w:t>jako první</w:t>
      </w:r>
      <w:r w:rsidR="08141E7E" w:rsidRPr="00273106">
        <w:t xml:space="preserve"> Intelekt. </w:t>
      </w:r>
      <w:r w:rsidR="08197B29">
        <w:t xml:space="preserve">Receptivní, čili „materiální“ část intelektu byla na úrovni celého materiálního kosmu a tuto kosmickou materii v jejím stvořeném celku může formovat jen božský aktivní intelekt. </w:t>
      </w:r>
      <w:r w:rsidR="083C23CD">
        <w:t>Dinant n</w:t>
      </w:r>
      <w:r w:rsidR="083C23CD" w:rsidRPr="00273106">
        <w:t xml:space="preserve">a rozdíl od Blunda chápe intelekt panteisticky jako jednu nedělitelnou aktivní složku poznání, které musí odpovídat stejně jednotná receptivní </w:t>
      </w:r>
      <w:r w:rsidR="0828298D">
        <w:t xml:space="preserve">intelektuální </w:t>
      </w:r>
      <w:r w:rsidR="083C23CD" w:rsidRPr="00273106">
        <w:t>materie.</w:t>
      </w:r>
      <w:r w:rsidR="083C23CD" w:rsidRPr="00273106">
        <w:rPr>
          <w:rStyle w:val="Znakapoznpodarou"/>
        </w:rPr>
        <w:footnoteReference w:id="114"/>
      </w:r>
      <w:r w:rsidR="083C23CD">
        <w:t xml:space="preserve"> Pak </w:t>
      </w:r>
      <w:r w:rsidR="08816303">
        <w:t xml:space="preserve">začne platit scénář </w:t>
      </w:r>
      <w:r w:rsidR="08816303">
        <w:rPr>
          <w:i/>
        </w:rPr>
        <w:t>De a</w:t>
      </w:r>
      <w:r w:rsidR="08816303" w:rsidRPr="00273106">
        <w:rPr>
          <w:i/>
        </w:rPr>
        <w:t>nima</w:t>
      </w:r>
      <w:r w:rsidR="08816303" w:rsidRPr="00273106">
        <w:t xml:space="preserve"> 430a21‒23</w:t>
      </w:r>
      <w:r w:rsidR="08816303">
        <w:fldChar w:fldCharType="begin"/>
      </w:r>
      <w:r w:rsidR="08816303">
        <w:instrText xml:space="preserve"> XE "Aristoteles:</w:instrText>
      </w:r>
      <w:r w:rsidR="08816303" w:rsidRPr="00072BD4">
        <w:rPr>
          <w:i/>
        </w:rPr>
        <w:instrText>De anima</w:instrText>
      </w:r>
      <w:r w:rsidR="08816303" w:rsidRPr="00072BD4">
        <w:instrText xml:space="preserve"> 430a21‒23</w:instrText>
      </w:r>
      <w:r w:rsidR="08816303">
        <w:instrText xml:space="preserve">" </w:instrText>
      </w:r>
      <w:r w:rsidR="08816303">
        <w:fldChar w:fldCharType="end"/>
      </w:r>
      <w:r w:rsidR="08816303" w:rsidRPr="00273106">
        <w:t xml:space="preserve"> popisující </w:t>
      </w:r>
      <w:r w:rsidR="08ED5079">
        <w:t xml:space="preserve">komplementární </w:t>
      </w:r>
      <w:r w:rsidR="08816303" w:rsidRPr="00273106">
        <w:t xml:space="preserve">spojení pasivní a aktivní </w:t>
      </w:r>
      <w:r w:rsidR="08816303">
        <w:t xml:space="preserve">složky poznání. </w:t>
      </w:r>
      <w:r w:rsidR="00B62E05" w:rsidRPr="00273106">
        <w:t xml:space="preserve">Bůh </w:t>
      </w:r>
      <w:r w:rsidR="00DA2D91" w:rsidRPr="00273106">
        <w:t xml:space="preserve">se skrze </w:t>
      </w:r>
      <w:r w:rsidR="00031753" w:rsidRPr="00273106">
        <w:t xml:space="preserve">hylicky daný receptivní </w:t>
      </w:r>
      <w:r w:rsidR="00DA2D91" w:rsidRPr="00273106">
        <w:t>svět re</w:t>
      </w:r>
      <w:r w:rsidR="00151F9F" w:rsidRPr="00273106">
        <w:t xml:space="preserve">flektuje </w:t>
      </w:r>
      <w:r w:rsidR="00DA2D91" w:rsidRPr="00273106">
        <w:t>v celosti</w:t>
      </w:r>
      <w:r w:rsidR="00151F9F" w:rsidRPr="00273106">
        <w:t xml:space="preserve"> a plnosti</w:t>
      </w:r>
      <w:r w:rsidR="000B4D5C" w:rsidRPr="00273106">
        <w:t xml:space="preserve"> a tím i v nás vytváří individuální obsahy myšlení</w:t>
      </w:r>
      <w:r w:rsidR="00DA2D91" w:rsidRPr="00273106">
        <w:t>.</w:t>
      </w:r>
      <w:r w:rsidR="00355D56" w:rsidRPr="00273106">
        <w:t xml:space="preserve"> </w:t>
      </w:r>
      <w:r w:rsidR="00DF538B">
        <w:t>Jediným logickým řešením byl důsledný panteismus, v němž pasivní svět zrcadlil aktivního boha.</w:t>
      </w:r>
      <w:r w:rsidR="081A1F98">
        <w:t xml:space="preserve"> </w:t>
      </w:r>
      <w:r w:rsidR="080E69E9">
        <w:t>Spinoza</w:t>
      </w:r>
      <w:r w:rsidR="08FD7B9F">
        <w:fldChar w:fldCharType="begin"/>
      </w:r>
      <w:r w:rsidR="08FD7B9F">
        <w:instrText xml:space="preserve"> XE "</w:instrText>
      </w:r>
      <w:r w:rsidR="08FD7B9F" w:rsidRPr="08025973">
        <w:instrText>Spinoza, B.</w:instrText>
      </w:r>
      <w:r w:rsidR="08FD7B9F">
        <w:instrText xml:space="preserve">" </w:instrText>
      </w:r>
      <w:r w:rsidR="08FD7B9F">
        <w:fldChar w:fldCharType="end"/>
      </w:r>
      <w:r w:rsidR="080E69E9">
        <w:t xml:space="preserve"> vyznávající tezi </w:t>
      </w:r>
      <w:r w:rsidR="080E69E9" w:rsidRPr="00273106">
        <w:rPr>
          <w:i/>
        </w:rPr>
        <w:t>deus sive natura</w:t>
      </w:r>
      <w:r w:rsidR="08FD7B9F">
        <w:rPr>
          <w:i/>
        </w:rPr>
        <w:fldChar w:fldCharType="begin"/>
      </w:r>
      <w:r w:rsidR="08FD7B9F">
        <w:instrText xml:space="preserve"> XE "</w:instrText>
      </w:r>
      <w:r w:rsidR="08FD7B9F" w:rsidRPr="08BA5EFE">
        <w:rPr>
          <w:i/>
        </w:rPr>
        <w:instrText>deus sive natura</w:instrText>
      </w:r>
      <w:r w:rsidR="08FD7B9F">
        <w:instrText xml:space="preserve">" </w:instrText>
      </w:r>
      <w:r w:rsidR="08FD7B9F">
        <w:rPr>
          <w:i/>
        </w:rPr>
        <w:fldChar w:fldCharType="end"/>
      </w:r>
      <w:r w:rsidR="080E69E9" w:rsidRPr="00273106">
        <w:t xml:space="preserve"> v rámci rozdílu </w:t>
      </w:r>
      <w:r w:rsidR="080E69E9" w:rsidRPr="00273106">
        <w:rPr>
          <w:i/>
        </w:rPr>
        <w:t>natura naturans</w:t>
      </w:r>
      <w:r w:rsidR="080E69E9" w:rsidRPr="00273106">
        <w:t xml:space="preserve"> a </w:t>
      </w:r>
      <w:r w:rsidR="080E69E9" w:rsidRPr="00273106">
        <w:rPr>
          <w:i/>
        </w:rPr>
        <w:t>natura naturata</w:t>
      </w:r>
      <w:r w:rsidR="080E69E9" w:rsidRPr="00273106">
        <w:t xml:space="preserve"> by jistě podepsal </w:t>
      </w:r>
      <w:r w:rsidR="080E69E9">
        <w:t xml:space="preserve">Dinantův </w:t>
      </w:r>
      <w:r w:rsidR="080E69E9" w:rsidRPr="00273106">
        <w:t xml:space="preserve">logický závěr o existenci pouze jedné nedělitelné a nemateriální </w:t>
      </w:r>
      <w:r w:rsidR="080E69E9">
        <w:t xml:space="preserve">boží </w:t>
      </w:r>
      <w:r w:rsidR="080E69E9" w:rsidRPr="00273106">
        <w:t>substance</w:t>
      </w:r>
      <w:r w:rsidR="080E69E9">
        <w:fldChar w:fldCharType="begin"/>
      </w:r>
      <w:r w:rsidR="080E69E9">
        <w:instrText xml:space="preserve"> XE "</w:instrText>
      </w:r>
      <w:r w:rsidR="080E69E9" w:rsidRPr="00DE2A32">
        <w:instrText>substance</w:instrText>
      </w:r>
      <w:r w:rsidR="080E69E9">
        <w:instrText xml:space="preserve">:David z Dinantu" </w:instrText>
      </w:r>
      <w:r w:rsidR="080E69E9">
        <w:fldChar w:fldCharType="end"/>
      </w:r>
      <w:r w:rsidR="080E69E9" w:rsidRPr="00273106">
        <w:t xml:space="preserve"> aktivně formující všechny formy látky. </w:t>
      </w:r>
      <w:r w:rsidR="088874AD">
        <w:t>Dinantův deismus</w:t>
      </w:r>
      <w:r w:rsidR="088874AD">
        <w:fldChar w:fldCharType="begin"/>
      </w:r>
      <w:r w:rsidR="088874AD">
        <w:instrText xml:space="preserve"> XE "</w:instrText>
      </w:r>
      <w:r w:rsidR="088874AD" w:rsidRPr="08B315C8">
        <w:instrText>deismus</w:instrText>
      </w:r>
      <w:r w:rsidR="088874AD">
        <w:instrText xml:space="preserve">" </w:instrText>
      </w:r>
      <w:r w:rsidR="088874AD">
        <w:fldChar w:fldCharType="end"/>
      </w:r>
      <w:r w:rsidR="088874AD">
        <w:t xml:space="preserve"> </w:t>
      </w:r>
      <w:r w:rsidR="081A1F98">
        <w:t xml:space="preserve">ukazuje první formu univerzálního hyleformismu na latinském Západě, který </w:t>
      </w:r>
      <w:r w:rsidR="08E54C16">
        <w:t xml:space="preserve">v další generaci </w:t>
      </w:r>
      <w:r w:rsidR="081A1F98">
        <w:t xml:space="preserve">založí objektivní pojetí materie. </w:t>
      </w:r>
    </w:p>
    <w:p w14:paraId="48F8C5E7" w14:textId="77777777" w:rsidR="00FA51AA" w:rsidRPr="00273106" w:rsidRDefault="00FA51AA" w:rsidP="00FA51AA">
      <w:pPr>
        <w:pStyle w:val="Citace"/>
        <w:rPr>
          <w:noProof/>
          <w:lang w:val="cs-CZ"/>
        </w:rPr>
      </w:pPr>
      <w:r w:rsidRPr="00273106">
        <w:rPr>
          <w:noProof/>
          <w:lang w:val="cs-CZ"/>
        </w:rPr>
        <w:lastRenderedPageBreak/>
        <w:t>„</w:t>
      </w:r>
      <w:r w:rsidR="08074A03">
        <w:rPr>
          <w:noProof/>
          <w:lang w:val="cs-CZ"/>
        </w:rPr>
        <w:t>Myšlení, o němž mluvíme a které</w:t>
      </w:r>
      <w:r w:rsidRPr="00273106">
        <w:rPr>
          <w:noProof/>
          <w:lang w:val="cs-CZ"/>
        </w:rPr>
        <w:t xml:space="preserve"> definujeme jako nemateriá</w:t>
      </w:r>
      <w:r>
        <w:rPr>
          <w:noProof/>
          <w:lang w:val="cs-CZ"/>
        </w:rPr>
        <w:t>l</w:t>
      </w:r>
      <w:r w:rsidRPr="00273106">
        <w:rPr>
          <w:noProof/>
          <w:lang w:val="cs-CZ"/>
        </w:rPr>
        <w:t>ní, není nic jiného než samotný bůh. Jestliže tedy svět není nic jiného než bůh, který se skrze svět myslí i smyslo</w:t>
      </w:r>
      <w:r w:rsidR="00DF538B">
        <w:rPr>
          <w:noProof/>
          <w:lang w:val="cs-CZ"/>
        </w:rPr>
        <w:t>vým způsobem, jak to tvrdí Platon, Zenon, Sokrate</w:t>
      </w:r>
      <w:r w:rsidRPr="00273106">
        <w:rPr>
          <w:noProof/>
          <w:lang w:val="cs-CZ"/>
        </w:rPr>
        <w:t xml:space="preserve">s a mnozí další, pak je bůh i materií světa. Forma, která k této materii přichází, není nic jiného než to, co umožňuje, aby bůh </w:t>
      </w:r>
      <w:r w:rsidR="08074A03">
        <w:rPr>
          <w:noProof/>
          <w:lang w:val="cs-CZ"/>
        </w:rPr>
        <w:t>vnímal sám sebe</w:t>
      </w:r>
      <w:r w:rsidRPr="00273106">
        <w:rPr>
          <w:noProof/>
          <w:lang w:val="cs-CZ"/>
        </w:rPr>
        <w:t xml:space="preserve">.“ </w:t>
      </w:r>
      <w:r w:rsidRPr="00273106">
        <w:rPr>
          <w:rStyle w:val="Znakapoznpodarou"/>
          <w:noProof/>
          <w:lang w:val="cs-CZ"/>
        </w:rPr>
        <w:footnoteReference w:id="115"/>
      </w:r>
    </w:p>
    <w:p w14:paraId="6DEC7B9D" w14:textId="77777777" w:rsidR="00A1159E" w:rsidRDefault="00340DDA" w:rsidP="007C560F">
      <w:r>
        <w:t>N</w:t>
      </w:r>
      <w:r w:rsidR="081012E3">
        <w:t xml:space="preserve">a rozdíl od Blundova </w:t>
      </w:r>
      <w:r w:rsidRPr="00273106">
        <w:rPr>
          <w:i/>
        </w:rPr>
        <w:t>similiter</w:t>
      </w:r>
      <w:r w:rsidRPr="00273106">
        <w:t xml:space="preserve"> koncipoval </w:t>
      </w:r>
      <w:r w:rsidR="08BD1F5B">
        <w:t xml:space="preserve">nekritický </w:t>
      </w:r>
      <w:r w:rsidR="08EC5036">
        <w:t xml:space="preserve">panteista </w:t>
      </w:r>
      <w:r w:rsidR="00ED5E81">
        <w:t xml:space="preserve">Dinant </w:t>
      </w:r>
      <w:r w:rsidRPr="00273106">
        <w:t xml:space="preserve">poznání v modu rodové univocity platné jak pro receptivitu látky, tak i hylického intelektu. </w:t>
      </w:r>
      <w:r w:rsidR="082C61F7">
        <w:t xml:space="preserve">Bůh se sebereflexivně myslí v avicennistickém modu létajícího muže a hylický svět tím dostává kosmickou formu. Bůh tím pádem může cítit vlastní myšlení skrze takto danou hylickou </w:t>
      </w:r>
      <w:r w:rsidR="082C61F7" w:rsidRPr="082C61F7">
        <w:rPr>
          <w:i/>
        </w:rPr>
        <w:t>anima mundi</w:t>
      </w:r>
      <w:r w:rsidR="082C61F7">
        <w:t xml:space="preserve">. </w:t>
      </w:r>
      <w:r>
        <w:t>C</w:t>
      </w:r>
      <w:r w:rsidR="0804477E">
        <w:t xml:space="preserve">itát chápe recepci poznaných forem v rámci univerzálního hylemorfismu, který je formovaný jedním panteistickým </w:t>
      </w:r>
      <w:r w:rsidR="0804477E" w:rsidRPr="0804477E">
        <w:rPr>
          <w:i/>
        </w:rPr>
        <w:t>intellectus agens</w:t>
      </w:r>
      <w:r w:rsidR="0804477E">
        <w:t>. Kosmická materie</w:t>
      </w:r>
      <w:r>
        <w:t xml:space="preserve"> </w:t>
      </w:r>
      <w:r w:rsidR="0804477E">
        <w:t xml:space="preserve">recipuje </w:t>
      </w:r>
      <w:r w:rsidR="08884D02">
        <w:t xml:space="preserve">v modu hylického a kosmického </w:t>
      </w:r>
      <w:r w:rsidR="08884D02" w:rsidRPr="08884D02">
        <w:rPr>
          <w:i/>
        </w:rPr>
        <w:t>intellectus possibilis</w:t>
      </w:r>
      <w:r w:rsidR="08E53E4F">
        <w:fldChar w:fldCharType="begin"/>
      </w:r>
      <w:r w:rsidR="08E53E4F">
        <w:instrText xml:space="preserve"> XE "</w:instrText>
      </w:r>
      <w:r w:rsidR="08E53E4F" w:rsidRPr="08884D02">
        <w:rPr>
          <w:i/>
        </w:rPr>
        <w:instrText>intellectus possibilis</w:instrText>
      </w:r>
      <w:r w:rsidR="08E53E4F" w:rsidRPr="004B2843">
        <w:instrText>:David z Dinantu</w:instrText>
      </w:r>
      <w:r w:rsidR="08E53E4F">
        <w:instrText xml:space="preserve">" </w:instrText>
      </w:r>
      <w:r w:rsidR="08E53E4F">
        <w:fldChar w:fldCharType="end"/>
      </w:r>
      <w:r w:rsidR="08884D02">
        <w:t xml:space="preserve"> </w:t>
      </w:r>
      <w:r w:rsidR="0804477E">
        <w:t>boží výkon reflexe (</w:t>
      </w:r>
      <w:r w:rsidR="0804477E" w:rsidRPr="0804477E">
        <w:rPr>
          <w:i/>
        </w:rPr>
        <w:t>mundus est ipse Deus preter se ipsum perceptibile sensui</w:t>
      </w:r>
      <w:r w:rsidR="0804477E">
        <w:t>)</w:t>
      </w:r>
      <w:r>
        <w:t xml:space="preserve">. </w:t>
      </w:r>
      <w:r w:rsidR="00CD3B6D" w:rsidRPr="00273106">
        <w:t>Dinant zcela pominul funkci intencionality</w:t>
      </w:r>
      <w:r w:rsidR="00CD3B6D">
        <w:t>, protože z ní udělal substanci třetího druhu. Navíc udělal z diafanum</w:t>
      </w:r>
      <w:r w:rsidR="00CD3B6D">
        <w:fldChar w:fldCharType="begin"/>
      </w:r>
      <w:r w:rsidR="00CD3B6D">
        <w:instrText xml:space="preserve"> XE "</w:instrText>
      </w:r>
      <w:r w:rsidR="00CD3B6D" w:rsidRPr="004B2843">
        <w:instrText>diafanum:David z Dinantu</w:instrText>
      </w:r>
      <w:r w:rsidR="00CD3B6D">
        <w:instrText xml:space="preserve">" </w:instrText>
      </w:r>
      <w:r w:rsidR="00CD3B6D">
        <w:fldChar w:fldCharType="end"/>
      </w:r>
      <w:r w:rsidR="00CD3B6D">
        <w:t xml:space="preserve"> fyzikální těleso, čímž znemožnil mediaci mezi světem a intelektem. </w:t>
      </w:r>
      <w:r w:rsidR="00DF7005">
        <w:t xml:space="preserve">Tuto funkci musí převzít kosmická forma </w:t>
      </w:r>
      <w:r w:rsidR="08E53E4F">
        <w:t xml:space="preserve">receptivního intelektu </w:t>
      </w:r>
      <w:r w:rsidR="08074A03">
        <w:t xml:space="preserve">daná jako primární materie. </w:t>
      </w:r>
      <w:r w:rsidR="08270070">
        <w:t xml:space="preserve">Skrze božskou individuaci této </w:t>
      </w:r>
      <w:r w:rsidR="08270070" w:rsidRPr="08270070">
        <w:rPr>
          <w:i/>
        </w:rPr>
        <w:t>materia prima</w:t>
      </w:r>
      <w:r w:rsidR="08270070">
        <w:t xml:space="preserve"> </w:t>
      </w:r>
      <w:r w:rsidR="0805613E">
        <w:t xml:space="preserve">vzniklo první pojetí </w:t>
      </w:r>
      <w:r w:rsidR="00DF7005">
        <w:t>unifikovaného</w:t>
      </w:r>
      <w:r w:rsidR="08E53E4F" w:rsidRPr="08E53E4F">
        <w:rPr>
          <w:i/>
        </w:rPr>
        <w:t xml:space="preserve"> </w:t>
      </w:r>
      <w:r w:rsidR="08E53E4F" w:rsidRPr="00DF7005">
        <w:rPr>
          <w:i/>
        </w:rPr>
        <w:t>intellectus possib</w:t>
      </w:r>
      <w:r w:rsidR="08E53E4F">
        <w:rPr>
          <w:i/>
        </w:rPr>
        <w:t>i</w:t>
      </w:r>
      <w:r w:rsidR="08E53E4F" w:rsidRPr="00DF7005">
        <w:rPr>
          <w:i/>
        </w:rPr>
        <w:t>lis</w:t>
      </w:r>
      <w:r w:rsidR="08E53E4F">
        <w:t xml:space="preserve">, </w:t>
      </w:r>
      <w:r w:rsidR="00DF7005">
        <w:t>který je numericky jednotný pro všechny lidi</w:t>
      </w:r>
      <w:r w:rsidR="0805613E">
        <w:t xml:space="preserve">. </w:t>
      </w:r>
      <w:r w:rsidR="080E69E9">
        <w:t xml:space="preserve">Dinant byl </w:t>
      </w:r>
      <w:r w:rsidR="00044C99">
        <w:t xml:space="preserve">moderním </w:t>
      </w:r>
      <w:r w:rsidR="080E69E9">
        <w:t xml:space="preserve">averroistou dvě desetiletí před importem Averroesových spisů na latinský Západ, protože má první formu numericky jednotného, odděleného a božského </w:t>
      </w:r>
      <w:r w:rsidR="080E69E9" w:rsidRPr="00392D5D">
        <w:rPr>
          <w:i/>
        </w:rPr>
        <w:t>intellectus materialis</w:t>
      </w:r>
      <w:r w:rsidR="080E69E9">
        <w:rPr>
          <w:i/>
        </w:rPr>
        <w:fldChar w:fldCharType="begin"/>
      </w:r>
      <w:r w:rsidR="080E69E9">
        <w:instrText xml:space="preserve"> XE "</w:instrText>
      </w:r>
      <w:r w:rsidR="080E69E9" w:rsidRPr="00F37283">
        <w:instrText>intel</w:instrText>
      </w:r>
      <w:r w:rsidR="080E69E9">
        <w:instrText xml:space="preserve">ekt:numericky jednotný" </w:instrText>
      </w:r>
      <w:r w:rsidR="080E69E9">
        <w:rPr>
          <w:i/>
        </w:rPr>
        <w:fldChar w:fldCharType="end"/>
      </w:r>
      <w:r w:rsidR="080E69E9">
        <w:t xml:space="preserve"> pro všechny lidi (</w:t>
      </w:r>
      <w:r w:rsidR="080E69E9" w:rsidRPr="082C5E8B">
        <w:rPr>
          <w:i/>
        </w:rPr>
        <w:t>mens...unam dicimus esse eamque impassibilem</w:t>
      </w:r>
      <w:r w:rsidR="080E69E9">
        <w:t xml:space="preserve">). </w:t>
      </w:r>
      <w:r w:rsidR="0833112B">
        <w:t xml:space="preserve">Dinantovu mytopoetiku </w:t>
      </w:r>
      <w:r w:rsidR="08F2292B">
        <w:t>převzal</w:t>
      </w:r>
      <w:r w:rsidR="00CD3B6D">
        <w:t xml:space="preserve"> v modifikovaný</w:t>
      </w:r>
      <w:r w:rsidR="08BA6938">
        <w:t xml:space="preserve">ch podobách druhý averroismus. </w:t>
      </w:r>
      <w:r w:rsidR="00426DBA">
        <w:t>Nakonec modernisté s</w:t>
      </w:r>
      <w:r w:rsidR="00CD3B6D">
        <w:t xml:space="preserve">ofisticky </w:t>
      </w:r>
      <w:r w:rsidR="08BA6938">
        <w:t>p</w:t>
      </w:r>
      <w:r w:rsidR="08F2292B">
        <w:t>řipsal</w:t>
      </w:r>
      <w:r w:rsidR="00426DBA">
        <w:t>i</w:t>
      </w:r>
      <w:r w:rsidR="00CD3B6D">
        <w:t xml:space="preserve"> </w:t>
      </w:r>
      <w:r w:rsidR="08BA6938">
        <w:t xml:space="preserve">vlastní omyly </w:t>
      </w:r>
      <w:r w:rsidR="00CD3B6D">
        <w:t>Ave</w:t>
      </w:r>
      <w:r w:rsidR="081012E3">
        <w:t xml:space="preserve">rroesovi </w:t>
      </w:r>
      <w:r w:rsidR="00426DBA">
        <w:t>a vytvořili figuru</w:t>
      </w:r>
      <w:r w:rsidR="081012E3">
        <w:t xml:space="preserve"> </w:t>
      </w:r>
      <w:r w:rsidR="08F32D9A">
        <w:t xml:space="preserve">moderního </w:t>
      </w:r>
      <w:r w:rsidR="00CD3B6D">
        <w:t>a</w:t>
      </w:r>
      <w:r w:rsidR="081012E3">
        <w:t>verroismu</w:t>
      </w:r>
      <w:r w:rsidR="00CD3B6D">
        <w:t xml:space="preserve">. </w:t>
      </w:r>
      <w:r w:rsidR="08B70989">
        <w:t xml:space="preserve">Dinantův </w:t>
      </w:r>
      <w:r w:rsidR="081012E3">
        <w:t xml:space="preserve">averroismus </w:t>
      </w:r>
      <w:r w:rsidR="081012E3">
        <w:rPr>
          <w:i/>
        </w:rPr>
        <w:t>avant la lett</w:t>
      </w:r>
      <w:r w:rsidR="081012E3" w:rsidRPr="081012E3">
        <w:rPr>
          <w:i/>
        </w:rPr>
        <w:t>re</w:t>
      </w:r>
      <w:r w:rsidR="081012E3">
        <w:t xml:space="preserve"> ukazuje první syntézu avicennismu a aristotelské nauky o receptivní a syntetické schopnosti duše, kterou Dinant  hypostázova</w:t>
      </w:r>
      <w:r w:rsidR="083014EE">
        <w:t>l</w:t>
      </w:r>
      <w:r w:rsidR="081012E3">
        <w:t xml:space="preserve"> </w:t>
      </w:r>
      <w:r w:rsidR="08E93D48">
        <w:t xml:space="preserve">do </w:t>
      </w:r>
      <w:r w:rsidR="0818353C">
        <w:t xml:space="preserve">dvou </w:t>
      </w:r>
      <w:r w:rsidR="081012E3">
        <w:t>kosmick</w:t>
      </w:r>
      <w:r w:rsidR="0818353C">
        <w:t>ých substancí</w:t>
      </w:r>
      <w:r w:rsidR="081012E3">
        <w:t>.</w:t>
      </w:r>
      <w:r w:rsidR="08421153">
        <w:t xml:space="preserve"> </w:t>
      </w:r>
      <w:r w:rsidR="08332917">
        <w:t xml:space="preserve">Dinantův panteismus ukazuje </w:t>
      </w:r>
      <w:r w:rsidR="08332917" w:rsidRPr="08332917">
        <w:rPr>
          <w:i/>
        </w:rPr>
        <w:t>Lichtung</w:t>
      </w:r>
      <w:r w:rsidR="08332917">
        <w:t xml:space="preserve"> západní objektivity v jejím původním </w:t>
      </w:r>
      <w:r w:rsidR="08332917" w:rsidRPr="08332917">
        <w:rPr>
          <w:i/>
        </w:rPr>
        <w:t>Irrtum</w:t>
      </w:r>
      <w:r w:rsidR="08332917">
        <w:t xml:space="preserve">, který koriguje do sofistické podoby oxfordský Rufus. Je celkem pochopitelné, že </w:t>
      </w:r>
      <w:r w:rsidR="087B3862">
        <w:t>tento oxf</w:t>
      </w:r>
      <w:r w:rsidR="08332917">
        <w:t>o</w:t>
      </w:r>
      <w:r w:rsidR="087B3862">
        <w:t>r</w:t>
      </w:r>
      <w:r w:rsidR="08332917">
        <w:t xml:space="preserve">dský sofista </w:t>
      </w:r>
      <w:r w:rsidR="087B3862">
        <w:t xml:space="preserve">dopadl u první </w:t>
      </w:r>
      <w:r w:rsidR="08332917">
        <w:t xml:space="preserve">pařížské generace znalců Aristotela a Komentátora podobně </w:t>
      </w:r>
      <w:r w:rsidR="08E95E64">
        <w:t xml:space="preserve">neslavně </w:t>
      </w:r>
      <w:r w:rsidR="00A1159E">
        <w:t>jako David z Dinantu.</w:t>
      </w:r>
    </w:p>
    <w:p w14:paraId="0ACD0D1B" w14:textId="7DA8CE82" w:rsidR="080B0B41" w:rsidRDefault="00A1159E" w:rsidP="00AD1E69">
      <w:pPr>
        <w:ind w:firstLine="397"/>
      </w:pPr>
      <w:r w:rsidRPr="00A1159E">
        <w:lastRenderedPageBreak/>
        <w:t xml:space="preserve">Oba zakladatelé moderny, Grosseteste a Rufus, vytvořili na základě Aristotelova spisu </w:t>
      </w:r>
      <w:r w:rsidRPr="00A1159E">
        <w:rPr>
          <w:i/>
        </w:rPr>
        <w:t>De anima</w:t>
      </w:r>
      <w:r w:rsidRPr="00A1159E">
        <w:t xml:space="preserve"> spojení mezi neoplatonismem a aristotelismem, které se lišilo od Dinantova panteismu. </w:t>
      </w:r>
      <w:r w:rsidR="00121148">
        <w:t xml:space="preserve">Grosseteste a Rufus v návaznosti na Aristotelovu </w:t>
      </w:r>
      <w:r w:rsidR="00121148" w:rsidRPr="00556E7D">
        <w:rPr>
          <w:i/>
        </w:rPr>
        <w:t>De anima</w:t>
      </w:r>
      <w:r w:rsidR="00121148">
        <w:t xml:space="preserve"> vytváří spojení neoplatonismu s aristotelismem tím, že na rozdíl od panteisty Dinanta </w:t>
      </w:r>
      <w:r w:rsidR="00121148" w:rsidRPr="00273106">
        <w:t>definoval</w:t>
      </w:r>
      <w:r w:rsidR="00121148">
        <w:t>i</w:t>
      </w:r>
      <w:r w:rsidR="00121148" w:rsidRPr="00273106">
        <w:t xml:space="preserve"> pasivní a aktivní prvek v individuální duši</w:t>
      </w:r>
      <w:r w:rsidR="00121148">
        <w:t xml:space="preserve"> a navíc kosmickou duši nespojili panteisticky s bohem. </w:t>
      </w:r>
      <w:r w:rsidR="00121148" w:rsidRPr="08BC53E5">
        <w:rPr>
          <w:szCs w:val="24"/>
        </w:rPr>
        <w:t>Toto polovičaté řešení sice zachránilo oba autory před exkomunikací za panteismus, ale v žádném případě nebylo na výši aristoteliků ze školy prvního averroismu. To byl také důvod, proč Grosseteste musel odejít z Pařížské univerzity, i když předtím patřil k nejlepším žák</w:t>
      </w:r>
      <w:r w:rsidR="00121148">
        <w:rPr>
          <w:szCs w:val="24"/>
        </w:rPr>
        <w:t xml:space="preserve">ům Blundovy školy (kap. 3.1.1). </w:t>
      </w:r>
      <w:r>
        <w:t>N</w:t>
      </w:r>
      <w:r w:rsidRPr="00273106">
        <w:t>a rozdíl od Dinanta</w:t>
      </w:r>
      <w:r>
        <w:t xml:space="preserve">, Grossetesteho a Rufuse, </w:t>
      </w:r>
      <w:r w:rsidRPr="00A1159E">
        <w:t>Blundův výklad</w:t>
      </w:r>
      <w:r>
        <w:t xml:space="preserve"> </w:t>
      </w:r>
      <w:r w:rsidRPr="00A1159E">
        <w:t>zásadně odmítl existenci kosmic</w:t>
      </w:r>
      <w:r>
        <w:t xml:space="preserve">ké duše známé </w:t>
      </w:r>
      <w:r w:rsidR="08AB46D0">
        <w:t xml:space="preserve">z dialogu </w:t>
      </w:r>
      <w:r w:rsidR="08AB46D0" w:rsidRPr="0038410D">
        <w:rPr>
          <w:i/>
        </w:rPr>
        <w:t>Timaios</w:t>
      </w:r>
      <w:r w:rsidR="08AB46D0">
        <w:fldChar w:fldCharType="begin"/>
      </w:r>
      <w:r w:rsidR="08AB46D0">
        <w:instrText xml:space="preserve"> XE "dialog </w:instrText>
      </w:r>
      <w:r w:rsidR="08AB46D0" w:rsidRPr="081325FA">
        <w:rPr>
          <w:i/>
        </w:rPr>
        <w:instrText>Timaios</w:instrText>
      </w:r>
      <w:r w:rsidR="08AB46D0">
        <w:instrText xml:space="preserve">" </w:instrText>
      </w:r>
      <w:r w:rsidR="08AB46D0">
        <w:fldChar w:fldCharType="end"/>
      </w:r>
      <w:r w:rsidR="08AB46D0" w:rsidRPr="00273106">
        <w:t>.</w:t>
      </w:r>
      <w:r w:rsidR="08AB46D0" w:rsidRPr="00273106">
        <w:rPr>
          <w:rStyle w:val="Znakapoznpodarou"/>
        </w:rPr>
        <w:footnoteReference w:id="116"/>
      </w:r>
      <w:r w:rsidR="08AB46D0" w:rsidRPr="00273106">
        <w:t xml:space="preserve"> </w:t>
      </w:r>
      <w:r w:rsidR="08AB46D0">
        <w:t xml:space="preserve">Toto skutečné </w:t>
      </w:r>
      <w:r w:rsidR="08AB46D0" w:rsidRPr="003F17C0">
        <w:rPr>
          <w:i/>
        </w:rPr>
        <w:t>revolutio</w:t>
      </w:r>
      <w:r w:rsidR="08AB46D0">
        <w:t xml:space="preserve">, neboli otočení myšlení k původní liteře </w:t>
      </w:r>
      <w:r w:rsidR="08AB46D0" w:rsidRPr="003F17C0">
        <w:rPr>
          <w:i/>
        </w:rPr>
        <w:t>De anima</w:t>
      </w:r>
      <w:r w:rsidR="08AB46D0">
        <w:t>, magistrálně potvrdí aristotelské exegeze Michaela Scota dané v Paříži roku 1230</w:t>
      </w:r>
      <w:r w:rsidR="08AB46D0" w:rsidRPr="00FA5BA3">
        <w:t xml:space="preserve"> </w:t>
      </w:r>
      <w:r w:rsidR="08AB46D0">
        <w:t>podle Averroesova korpusu interpretovaného v souladu s Aristotelovými přírodovědnými spisy</w:t>
      </w:r>
      <w:r w:rsidR="08AB46D0" w:rsidRPr="00273106">
        <w:t>.</w:t>
      </w:r>
      <w:r w:rsidR="08AB46D0">
        <w:t xml:space="preserve"> </w:t>
      </w:r>
      <w:r w:rsidR="08DA10B9">
        <w:t>Kvalifikované odmítnutí Dinantovy</w:t>
      </w:r>
      <w:r w:rsidR="089A665F">
        <w:t xml:space="preserve"> he</w:t>
      </w:r>
      <w:r w:rsidR="08DA10B9">
        <w:t xml:space="preserve">reze by nebylo možné bez myšlení nenápadného a skromného Jana Blunda, kterého oslavilo Avranchovo </w:t>
      </w:r>
      <w:r w:rsidR="08DA10B9" w:rsidRPr="086D0B01">
        <w:rPr>
          <w:i/>
        </w:rPr>
        <w:t>laudatio</w:t>
      </w:r>
      <w:r w:rsidR="08DA10B9">
        <w:t xml:space="preserve"> za celoživotní neohrožené hledání pravdy podle principů přirozeného lidského rozumu (</w:t>
      </w:r>
      <w:r w:rsidR="08DA10B9" w:rsidRPr="08653846">
        <w:rPr>
          <w:i/>
        </w:rPr>
        <w:t>insitus humane rationi iura tuendi</w:t>
      </w:r>
      <w:r w:rsidR="08DA10B9">
        <w:t>).</w:t>
      </w:r>
      <w:r w:rsidR="08DA10B9">
        <w:rPr>
          <w:rStyle w:val="Znakapoznpodarou"/>
        </w:rPr>
        <w:footnoteReference w:id="117"/>
      </w:r>
      <w:r w:rsidR="08DA10B9">
        <w:t xml:space="preserve"> Proto papež Řehoř IX. povolil dekretem z roku 1231 studium přírodovědných spisů Aristotela (</w:t>
      </w:r>
      <w:r w:rsidR="08DA10B9" w:rsidRPr="08800164">
        <w:rPr>
          <w:i/>
        </w:rPr>
        <w:t>Chartularium</w:t>
      </w:r>
      <w:r w:rsidR="08DA10B9">
        <w:t xml:space="preserve"> </w:t>
      </w:r>
      <w:r w:rsidR="08DA10B9" w:rsidRPr="08E511BB">
        <w:t xml:space="preserve">I, </w:t>
      </w:r>
      <w:r w:rsidR="08DA10B9">
        <w:t xml:space="preserve">no. 86, p. 143). Tento zvrat způsobila Blundova škola pod vedením biskupa Alverna jako rektora Pařížské univerzity, který přijal výklad Aristotela </w:t>
      </w:r>
      <w:r w:rsidR="08DA10B9">
        <w:rPr>
          <w:i/>
        </w:rPr>
        <w:t>ad mentem Averrois</w:t>
      </w:r>
      <w:r w:rsidR="08DA10B9">
        <w:t xml:space="preserve"> podle Sicilské školy.</w:t>
      </w:r>
      <w:r w:rsidR="089A665F">
        <w:t xml:space="preserve"> </w:t>
      </w:r>
      <w:r w:rsidR="00DF538B">
        <w:t xml:space="preserve">Z předloženého výkladu je zřejmé, že Toledská a Sicilská škola přišla </w:t>
      </w:r>
      <w:r w:rsidR="003F1141">
        <w:t xml:space="preserve">s latinským korpusem Averroese </w:t>
      </w:r>
      <w:r w:rsidR="00DF538B">
        <w:t>do předem připraveného prostředí</w:t>
      </w:r>
      <w:r w:rsidR="08524E1B">
        <w:t xml:space="preserve"> dvou odlišných škol. Porretáni, </w:t>
      </w:r>
      <w:r w:rsidR="006C5F77">
        <w:t xml:space="preserve">školy </w:t>
      </w:r>
      <w:r w:rsidR="006C5F77" w:rsidRPr="006C5F77">
        <w:rPr>
          <w:i/>
        </w:rPr>
        <w:t>Nominales</w:t>
      </w:r>
      <w:r w:rsidR="006C5F77">
        <w:t xml:space="preserve"> </w:t>
      </w:r>
      <w:r w:rsidR="08524E1B">
        <w:t xml:space="preserve">a školy </w:t>
      </w:r>
      <w:r w:rsidR="08524E1B" w:rsidRPr="08524E1B">
        <w:rPr>
          <w:i/>
        </w:rPr>
        <w:t>logica Modernorum</w:t>
      </w:r>
      <w:r w:rsidR="08524E1B">
        <w:t xml:space="preserve"> pochopily</w:t>
      </w:r>
      <w:r w:rsidR="00DF538B">
        <w:t xml:space="preserve"> </w:t>
      </w:r>
      <w:r w:rsidR="00100C55">
        <w:t xml:space="preserve">Averroese </w:t>
      </w:r>
      <w:r w:rsidR="00DF538B">
        <w:t xml:space="preserve">jako pokračovatele Avicenny, proto v </w:t>
      </w:r>
      <w:r w:rsidR="085D6C45">
        <w:t xml:space="preserve">Komentátorově </w:t>
      </w:r>
      <w:r w:rsidR="00DF538B">
        <w:t xml:space="preserve">metafyzice neviděli zásadně nic nového. </w:t>
      </w:r>
      <w:r w:rsidR="08626CC0">
        <w:t>Hlavním k</w:t>
      </w:r>
      <w:r w:rsidR="006C5F77">
        <w:t xml:space="preserve">omentátorem </w:t>
      </w:r>
      <w:r w:rsidR="08873C3C">
        <w:t xml:space="preserve">Aristotela </w:t>
      </w:r>
      <w:r w:rsidR="006C5F77">
        <w:t xml:space="preserve">pro ně byl Avicenna. </w:t>
      </w:r>
      <w:r w:rsidR="00DF538B">
        <w:t xml:space="preserve">Naopak reprezentanti nově vzniklé Pařížské univerzity sdružení kolem </w:t>
      </w:r>
      <w:r w:rsidR="002771E5">
        <w:t xml:space="preserve">akademických </w:t>
      </w:r>
      <w:r w:rsidR="00DF538B">
        <w:t>představitelů Abelardem formovaných katedrálních škol dostali</w:t>
      </w:r>
      <w:r w:rsidR="0020269F">
        <w:t xml:space="preserve"> </w:t>
      </w:r>
      <w:r w:rsidR="0838266A">
        <w:t>v letech 1220‒</w:t>
      </w:r>
      <w:r w:rsidR="00DF538B">
        <w:t xml:space="preserve">30 nový impulz pro výklad </w:t>
      </w:r>
      <w:r w:rsidR="00DF538B" w:rsidRPr="007C560F">
        <w:rPr>
          <w:i/>
        </w:rPr>
        <w:t>Corpus aristotelicum</w:t>
      </w:r>
      <w:r w:rsidR="00DF538B">
        <w:t xml:space="preserve"> skrze r</w:t>
      </w:r>
      <w:r w:rsidR="007C560F">
        <w:t xml:space="preserve">adikálně nový výklad </w:t>
      </w:r>
      <w:r w:rsidR="0838266A">
        <w:t>Arist</w:t>
      </w:r>
      <w:r w:rsidR="08934668">
        <w:t xml:space="preserve">otela. </w:t>
      </w:r>
      <w:r w:rsidR="0838266A">
        <w:t xml:space="preserve">Komentátorovy spisy přišly do Blundovy školy ve dvou </w:t>
      </w:r>
      <w:r w:rsidR="08E953C3">
        <w:lastRenderedPageBreak/>
        <w:t>vlnách</w:t>
      </w:r>
      <w:r w:rsidR="08934668">
        <w:t>, z Toleda a ze Sicílie</w:t>
      </w:r>
      <w:r w:rsidR="08E953C3">
        <w:t xml:space="preserve">. Vzdělanci Blundovy školy </w:t>
      </w:r>
      <w:r w:rsidR="0838266A">
        <w:t>přesně rozlišili autentický výklad Aristotela od neoplatonského simulákra</w:t>
      </w:r>
      <w:r w:rsidR="08A77CEB">
        <w:t xml:space="preserve"> </w:t>
      </w:r>
      <w:r w:rsidR="08AC3C47">
        <w:t>Aristotela</w:t>
      </w:r>
      <w:r w:rsidR="00AD1E69">
        <w:t>. Mělo stejnou povahu jako Averroé</w:t>
      </w:r>
      <w:r w:rsidR="00AD1E69" w:rsidRPr="00AD1E69">
        <w:t>sovo simulak</w:t>
      </w:r>
      <w:r w:rsidR="00AD1E69">
        <w:t>rum podle avicenistických toletánů</w:t>
      </w:r>
      <w:r w:rsidR="00AD1E69" w:rsidRPr="00AD1E69">
        <w:t>.</w:t>
      </w:r>
      <w:r w:rsidR="00AD1E69">
        <w:t xml:space="preserve"> Tento </w:t>
      </w:r>
      <w:r w:rsidR="0838266A">
        <w:t>kritický filosofický úsudek potvrdila překladatelská škola</w:t>
      </w:r>
      <w:r w:rsidR="00DF538B">
        <w:t xml:space="preserve"> Sco</w:t>
      </w:r>
      <w:r w:rsidR="08087C60">
        <w:t xml:space="preserve">ta. A také </w:t>
      </w:r>
      <w:r w:rsidR="0838266A">
        <w:t xml:space="preserve">další </w:t>
      </w:r>
      <w:r w:rsidR="080A35C4">
        <w:t xml:space="preserve">filosofičtí </w:t>
      </w:r>
      <w:r w:rsidR="0838266A">
        <w:t>velikán</w:t>
      </w:r>
      <w:r w:rsidR="080A35C4">
        <w:t>i napojení</w:t>
      </w:r>
      <w:r w:rsidR="00DF538B">
        <w:t xml:space="preserve"> n</w:t>
      </w:r>
      <w:r w:rsidR="007C560F">
        <w:t>a</w:t>
      </w:r>
      <w:r w:rsidR="00DF538B">
        <w:t xml:space="preserve"> kulturní centrum Sicilské školy myšlení založené Friedr</w:t>
      </w:r>
      <w:r w:rsidR="007C560F">
        <w:t>ichem</w:t>
      </w:r>
      <w:r w:rsidR="00DF538B">
        <w:t xml:space="preserve"> II. </w:t>
      </w:r>
      <w:r w:rsidR="00960C12">
        <w:fldChar w:fldCharType="begin"/>
      </w:r>
      <w:r w:rsidR="00960C12">
        <w:instrText xml:space="preserve"> XE "</w:instrText>
      </w:r>
      <w:r w:rsidR="00960C12" w:rsidRPr="00DD7A8B">
        <w:instrText>Friedrich II.</w:instrText>
      </w:r>
      <w:r w:rsidR="00960C12">
        <w:instrText xml:space="preserve">" </w:instrText>
      </w:r>
      <w:r w:rsidR="00960C12">
        <w:fldChar w:fldCharType="end"/>
      </w:r>
      <w:r w:rsidR="007D0F71">
        <w:t xml:space="preserve"> </w:t>
      </w:r>
      <w:r w:rsidR="00DF538B">
        <w:t>a udržované jeho synem Manf</w:t>
      </w:r>
      <w:r w:rsidR="088D32D1">
        <w:t>re</w:t>
      </w:r>
      <w:r w:rsidR="00DF538B">
        <w:t xml:space="preserve">dem. </w:t>
      </w:r>
      <w:r w:rsidR="00060A76">
        <w:t>Sicilská škola jako jediná pochopila novátorství Averroese</w:t>
      </w:r>
      <w:r w:rsidR="00C32524">
        <w:t xml:space="preserve"> a postavila jej proti Avicennovi</w:t>
      </w:r>
      <w:r w:rsidR="08FA0B40">
        <w:t xml:space="preserve">. Tato škola </w:t>
      </w:r>
      <w:r w:rsidR="08F43A48">
        <w:t xml:space="preserve">dominovala filosofické myšlení </w:t>
      </w:r>
      <w:r w:rsidR="08FA0B40">
        <w:t>v Paříži do smrti biskupa Alverna</w:t>
      </w:r>
      <w:r w:rsidR="08F40C42">
        <w:t xml:space="preserve"> v roce 1249. Po jeho smrti </w:t>
      </w:r>
      <w:r w:rsidR="08A7444D">
        <w:t>zač</w:t>
      </w:r>
      <w:r w:rsidR="08FA0B40">
        <w:t>í</w:t>
      </w:r>
      <w:r w:rsidR="08A7444D">
        <w:t xml:space="preserve">ná </w:t>
      </w:r>
      <w:r w:rsidR="08FA0B40">
        <w:t>nové</w:t>
      </w:r>
      <w:r w:rsidR="08F40C42">
        <w:t xml:space="preserve"> kolo gigantomacie o substanci, které vrcholilo ve sporech roku 1255 a 1277.</w:t>
      </w:r>
    </w:p>
    <w:p w14:paraId="2565920A" w14:textId="58E5E40F" w:rsidR="002500B1" w:rsidRDefault="080B0B41" w:rsidP="007C560F">
      <w:r>
        <w:tab/>
      </w:r>
      <w:r w:rsidR="00FA7DA0">
        <w:t>Spor o titul Komentátora má zásadní charakter indikující místo vzniku prvního averroismu</w:t>
      </w:r>
      <w:r w:rsidR="088F70A4">
        <w:t xml:space="preserve"> a předchází podobný spor mezi Sigerem a Akvinským o titul </w:t>
      </w:r>
      <w:r w:rsidR="088F70A4" w:rsidRPr="088F70A4">
        <w:rPr>
          <w:i/>
        </w:rPr>
        <w:t>Expositor Novus</w:t>
      </w:r>
      <w:r w:rsidR="08D25F4C">
        <w:rPr>
          <w:i/>
        </w:rPr>
        <w:fldChar w:fldCharType="begin"/>
      </w:r>
      <w:r w:rsidR="08D25F4C">
        <w:instrText xml:space="preserve"> XE "</w:instrText>
      </w:r>
      <w:r w:rsidR="08D25F4C" w:rsidRPr="081A7D24">
        <w:rPr>
          <w:i/>
        </w:rPr>
        <w:instrText>Expositor Novus</w:instrText>
      </w:r>
      <w:r w:rsidR="08D25F4C">
        <w:instrText xml:space="preserve">" </w:instrText>
      </w:r>
      <w:r w:rsidR="08D25F4C">
        <w:rPr>
          <w:i/>
        </w:rPr>
        <w:fldChar w:fldCharType="end"/>
      </w:r>
      <w:r w:rsidR="086426F1">
        <w:t xml:space="preserve"> (OBJ III, kap. 4</w:t>
      </w:r>
      <w:r w:rsidR="08D20859">
        <w:t>.4.4</w:t>
      </w:r>
      <w:r w:rsidR="088F70A4">
        <w:t xml:space="preserve">). </w:t>
      </w:r>
      <w:r w:rsidR="08A646A3">
        <w:t xml:space="preserve">Dosud skrytý </w:t>
      </w:r>
      <w:r w:rsidR="08C03F2B">
        <w:t xml:space="preserve">konflikt </w:t>
      </w:r>
      <w:r w:rsidR="007C560F">
        <w:t>mezi Toledskou a Sicilskou školou vysvětluje, proč Scotus</w:t>
      </w:r>
      <w:r w:rsidR="00960C12">
        <w:fldChar w:fldCharType="begin"/>
      </w:r>
      <w:r w:rsidR="00960C12">
        <w:instrText xml:space="preserve"> XE "</w:instrText>
      </w:r>
      <w:r w:rsidR="00960C12" w:rsidRPr="002E6A7A">
        <w:instrText>Scotus, Michael</w:instrText>
      </w:r>
      <w:r w:rsidR="00960C12">
        <w:instrText xml:space="preserve">" </w:instrText>
      </w:r>
      <w:r w:rsidR="00960C12">
        <w:fldChar w:fldCharType="end"/>
      </w:r>
      <w:r w:rsidR="00060A76">
        <w:t xml:space="preserve"> odešel z </w:t>
      </w:r>
      <w:r w:rsidR="002D3230">
        <w:t xml:space="preserve">neoplatonského </w:t>
      </w:r>
      <w:r w:rsidR="00060A76">
        <w:t xml:space="preserve">Toleda </w:t>
      </w:r>
      <w:r w:rsidR="007C560F">
        <w:t>na sicilský dvůr Friedricha II.</w:t>
      </w:r>
      <w:r w:rsidR="00960C12">
        <w:t xml:space="preserve"> </w:t>
      </w:r>
      <w:r w:rsidR="00960C12">
        <w:fldChar w:fldCharType="begin"/>
      </w:r>
      <w:r w:rsidR="00960C12">
        <w:instrText xml:space="preserve"> XE "</w:instrText>
      </w:r>
      <w:r w:rsidR="00960C12" w:rsidRPr="00DD7A8B">
        <w:instrText>Friedrich II.</w:instrText>
      </w:r>
      <w:r w:rsidR="00960C12">
        <w:instrText xml:space="preserve">" </w:instrText>
      </w:r>
      <w:r w:rsidR="00960C12">
        <w:fldChar w:fldCharType="end"/>
      </w:r>
      <w:r w:rsidR="007C560F">
        <w:t xml:space="preserve">a zde </w:t>
      </w:r>
      <w:r w:rsidR="00960C12">
        <w:t>přeložil klíčové Averro</w:t>
      </w:r>
      <w:r w:rsidR="007C560F">
        <w:t>e</w:t>
      </w:r>
      <w:r w:rsidR="00960C12">
        <w:t>s</w:t>
      </w:r>
      <w:r w:rsidR="007C560F">
        <w:t>ovy komentáře a Aristotelovy přírodovědné spisy (</w:t>
      </w:r>
      <w:r w:rsidR="007C560F">
        <w:rPr>
          <w:i/>
          <w:iCs/>
        </w:rPr>
        <w:t>De anima, De sensu et sensato</w:t>
      </w:r>
      <w:r w:rsidR="007C560F">
        <w:t xml:space="preserve">, </w:t>
      </w:r>
      <w:r w:rsidR="007C560F">
        <w:rPr>
          <w:i/>
          <w:iCs/>
        </w:rPr>
        <w:t>De caelo et mundo</w:t>
      </w:r>
      <w:r w:rsidR="007C560F">
        <w:t xml:space="preserve">, </w:t>
      </w:r>
      <w:r w:rsidR="007C560F">
        <w:rPr>
          <w:i/>
          <w:iCs/>
        </w:rPr>
        <w:t>Physica</w:t>
      </w:r>
      <w:r w:rsidR="007C560F">
        <w:t xml:space="preserve">, </w:t>
      </w:r>
      <w:r w:rsidR="007C560F">
        <w:rPr>
          <w:i/>
          <w:iCs/>
        </w:rPr>
        <w:t>Metaphysica</w:t>
      </w:r>
      <w:r w:rsidR="007C560F">
        <w:rPr>
          <w:iCs/>
        </w:rPr>
        <w:t>)</w:t>
      </w:r>
      <w:r w:rsidR="007C560F">
        <w:t xml:space="preserve">. </w:t>
      </w:r>
      <w:r w:rsidR="08C03F2B">
        <w:t xml:space="preserve">Jeho odchod z Toleda </w:t>
      </w:r>
      <w:r w:rsidR="084C5400">
        <w:t xml:space="preserve">někdy roku 1220 </w:t>
      </w:r>
      <w:r w:rsidR="08C03F2B">
        <w:t>s</w:t>
      </w:r>
      <w:r w:rsidR="0880582B">
        <w:t>e časově kryje v první recepcí t</w:t>
      </w:r>
      <w:r w:rsidR="08C03F2B">
        <w:t>oletánského korpusu Averroese</w:t>
      </w:r>
      <w:r w:rsidR="08E972D8">
        <w:t xml:space="preserve"> v Paříži. </w:t>
      </w:r>
      <w:r w:rsidR="08943C3E">
        <w:t xml:space="preserve">Scotův odchod z Toleda indikuje </w:t>
      </w:r>
      <w:r w:rsidR="08943C3E">
        <w:rPr>
          <w:i/>
        </w:rPr>
        <w:t>terminus a</w:t>
      </w:r>
      <w:r w:rsidR="08943C3E" w:rsidRPr="08943C3E">
        <w:rPr>
          <w:i/>
        </w:rPr>
        <w:t xml:space="preserve"> quo</w:t>
      </w:r>
      <w:r w:rsidR="08E972D8">
        <w:t>, kdy</w:t>
      </w:r>
      <w:r w:rsidR="084C5400">
        <w:t xml:space="preserve"> se Averroesovy spisy daly do pohybu po latinské Evropě. </w:t>
      </w:r>
      <w:r w:rsidR="007C560F">
        <w:t>Sicils</w:t>
      </w:r>
      <w:r w:rsidR="007620D6">
        <w:t>ká</w:t>
      </w:r>
      <w:r w:rsidR="007C560F">
        <w:t xml:space="preserve"> škol</w:t>
      </w:r>
      <w:r w:rsidR="007620D6">
        <w:t>a</w:t>
      </w:r>
      <w:r w:rsidR="007C560F">
        <w:t xml:space="preserve"> </w:t>
      </w:r>
      <w:r w:rsidR="007620D6">
        <w:t xml:space="preserve">přeložila </w:t>
      </w:r>
      <w:r w:rsidR="007C560F">
        <w:t>nebo redigov</w:t>
      </w:r>
      <w:r w:rsidR="007620D6">
        <w:t>ala</w:t>
      </w:r>
      <w:r w:rsidR="007C560F">
        <w:t xml:space="preserve"> asi 14 překladů celého Komentátorova korpusu. </w:t>
      </w:r>
      <w:r w:rsidR="00E317C9">
        <w:t>J</w:t>
      </w:r>
      <w:r w:rsidR="00960C12">
        <w:t>eho me</w:t>
      </w:r>
      <w:r w:rsidR="006769B1">
        <w:t>tafyziku</w:t>
      </w:r>
      <w:r w:rsidR="00960C12">
        <w:t xml:space="preserve"> napojila na studium přírodovědných spisů Aristotela</w:t>
      </w:r>
      <w:r w:rsidR="006769B1">
        <w:t>,</w:t>
      </w:r>
      <w:r w:rsidR="00960C12">
        <w:t xml:space="preserve"> a n</w:t>
      </w:r>
      <w:r w:rsidR="006769B1">
        <w:t xml:space="preserve">ikoliv na </w:t>
      </w:r>
      <w:r w:rsidR="00960C12">
        <w:t xml:space="preserve">neoplatonské mystiky a </w:t>
      </w:r>
      <w:r w:rsidR="002E1EC1">
        <w:t>na Avicennův iluminátský</w:t>
      </w:r>
      <w:r w:rsidR="00960C12">
        <w:t xml:space="preserve"> objektivismu</w:t>
      </w:r>
      <w:r w:rsidR="002E1EC1">
        <w:t>s</w:t>
      </w:r>
      <w:r w:rsidR="00960C12">
        <w:t>, jako to měla Toledská škola</w:t>
      </w:r>
      <w:r w:rsidR="000F4B0D">
        <w:t xml:space="preserve"> a David z Dinantu</w:t>
      </w:r>
      <w:r w:rsidR="00960C12">
        <w:t xml:space="preserve">. </w:t>
      </w:r>
      <w:r w:rsidR="006E77CC">
        <w:t>Klíčovo</w:t>
      </w:r>
      <w:r w:rsidR="00681CD4">
        <w:t xml:space="preserve">u roli v tomto sporu hrál Scotův překlad arabské kompilace </w:t>
      </w:r>
      <w:r w:rsidR="00681CD4" w:rsidRPr="00681CD4">
        <w:rPr>
          <w:i/>
        </w:rPr>
        <w:t>O životě zvířat</w:t>
      </w:r>
      <w:r w:rsidR="00681CD4">
        <w:t xml:space="preserve"> (</w:t>
      </w:r>
      <w:r w:rsidR="00681CD4">
        <w:rPr>
          <w:bCs/>
          <w:i/>
          <w:iCs/>
        </w:rPr>
        <w:t xml:space="preserve">Kitāb </w:t>
      </w:r>
      <w:r w:rsidR="00681CD4" w:rsidRPr="00681CD4">
        <w:rPr>
          <w:bCs/>
          <w:i/>
          <w:iCs/>
        </w:rPr>
        <w:t>al-hayawān</w:t>
      </w:r>
      <w:r w:rsidR="00681CD4">
        <w:rPr>
          <w:bCs/>
          <w:i/>
          <w:iCs/>
        </w:rPr>
        <w:fldChar w:fldCharType="begin"/>
      </w:r>
      <w:r w:rsidR="00681CD4">
        <w:instrText xml:space="preserve"> XE "</w:instrText>
      </w:r>
      <w:r w:rsidR="00681CD4" w:rsidRPr="00A630F0">
        <w:rPr>
          <w:bCs/>
          <w:i/>
          <w:iCs/>
        </w:rPr>
        <w:instrText>Kitāb al-hayawān</w:instrText>
      </w:r>
      <w:r w:rsidR="00681CD4">
        <w:instrText xml:space="preserve">" </w:instrText>
      </w:r>
      <w:r w:rsidR="00681CD4">
        <w:rPr>
          <w:bCs/>
          <w:i/>
          <w:iCs/>
        </w:rPr>
        <w:fldChar w:fldCharType="end"/>
      </w:r>
      <w:r w:rsidR="00681CD4">
        <w:t xml:space="preserve">), která kompilovala důležité části ze tří přírodovědných spisů Aristotela </w:t>
      </w:r>
      <w:r w:rsidR="081D3DEB">
        <w:t xml:space="preserve">do jednoho spisu </w:t>
      </w:r>
      <w:r w:rsidR="00681CD4">
        <w:t>(</w:t>
      </w:r>
      <w:r w:rsidR="00681CD4" w:rsidRPr="00681CD4">
        <w:rPr>
          <w:i/>
        </w:rPr>
        <w:t>Historia animalium</w:t>
      </w:r>
      <w:r w:rsidR="00681CD4">
        <w:t xml:space="preserve">, </w:t>
      </w:r>
      <w:r w:rsidR="00681CD4">
        <w:rPr>
          <w:rStyle w:val="lang-la"/>
          <w:i/>
          <w:iCs/>
          <w:lang w:val="la-Latn"/>
        </w:rPr>
        <w:t xml:space="preserve">De </w:t>
      </w:r>
      <w:r w:rsidR="00681CD4">
        <w:rPr>
          <w:rStyle w:val="lang-la"/>
          <w:i/>
          <w:iCs/>
        </w:rPr>
        <w:t>p</w:t>
      </w:r>
      <w:r w:rsidR="00681CD4">
        <w:rPr>
          <w:rStyle w:val="lang-la"/>
          <w:i/>
          <w:iCs/>
          <w:lang w:val="la-Latn"/>
        </w:rPr>
        <w:t xml:space="preserve">artibus </w:t>
      </w:r>
      <w:r w:rsidR="00681CD4">
        <w:rPr>
          <w:rStyle w:val="lang-la"/>
          <w:i/>
          <w:iCs/>
        </w:rPr>
        <w:t>a</w:t>
      </w:r>
      <w:r w:rsidR="00681CD4">
        <w:rPr>
          <w:rStyle w:val="lang-la"/>
          <w:i/>
          <w:iCs/>
          <w:lang w:val="la-Latn"/>
        </w:rPr>
        <w:t>nimalium</w:t>
      </w:r>
      <w:r w:rsidR="00681CD4">
        <w:rPr>
          <w:rStyle w:val="lang-la"/>
          <w:i/>
          <w:iCs/>
        </w:rPr>
        <w:t xml:space="preserve">, </w:t>
      </w:r>
      <w:r w:rsidR="00681CD4">
        <w:t xml:space="preserve"> </w:t>
      </w:r>
      <w:r w:rsidR="00681CD4">
        <w:rPr>
          <w:rStyle w:val="lang-la"/>
          <w:i/>
          <w:iCs/>
          <w:lang w:val="la-Latn"/>
        </w:rPr>
        <w:t xml:space="preserve">De </w:t>
      </w:r>
      <w:r w:rsidR="00681CD4">
        <w:rPr>
          <w:rStyle w:val="lang-la"/>
          <w:i/>
          <w:iCs/>
        </w:rPr>
        <w:t>g</w:t>
      </w:r>
      <w:r w:rsidR="00681CD4">
        <w:rPr>
          <w:rStyle w:val="lang-la"/>
          <w:i/>
          <w:iCs/>
          <w:lang w:val="la-Latn"/>
        </w:rPr>
        <w:t xml:space="preserve">eneratione </w:t>
      </w:r>
      <w:r w:rsidR="00681CD4">
        <w:rPr>
          <w:rStyle w:val="lang-la"/>
          <w:i/>
          <w:iCs/>
        </w:rPr>
        <w:t>a</w:t>
      </w:r>
      <w:r w:rsidR="00681CD4">
        <w:rPr>
          <w:rStyle w:val="lang-la"/>
          <w:i/>
          <w:iCs/>
          <w:lang w:val="la-Latn"/>
        </w:rPr>
        <w:t>nimalium</w:t>
      </w:r>
      <w:r w:rsidR="00681CD4">
        <w:t xml:space="preserve">). </w:t>
      </w:r>
      <w:r w:rsidR="088E02FE">
        <w:t xml:space="preserve">Scotus pochopil klíčový smysl tohoto arabského biologického </w:t>
      </w:r>
      <w:r w:rsidR="088E02FE" w:rsidRPr="006E77CC">
        <w:rPr>
          <w:i/>
        </w:rPr>
        <w:t>Organonu</w:t>
      </w:r>
      <w:r w:rsidR="088E02FE">
        <w:t xml:space="preserve"> zkoumajícího poznání zvířat a spojil jej s první a druhou kni</w:t>
      </w:r>
      <w:r w:rsidR="08F81DF7">
        <w:t>h</w:t>
      </w:r>
      <w:r w:rsidR="088E02FE">
        <w:t xml:space="preserve">ou </w:t>
      </w:r>
      <w:r w:rsidR="088E02FE" w:rsidRPr="08F34D6A">
        <w:rPr>
          <w:i/>
        </w:rPr>
        <w:t>De anima</w:t>
      </w:r>
      <w:r w:rsidR="088E02FE">
        <w:t xml:space="preserve">. </w:t>
      </w:r>
      <w:r w:rsidR="006E77CC">
        <w:t xml:space="preserve">Nový překlad citovaných Aristotelových spisů z řeckého originálu vytvořil až William </w:t>
      </w:r>
      <w:r w:rsidR="006E77CC" w:rsidRPr="00681CD4">
        <w:t>Moerbeke</w:t>
      </w:r>
      <w:r w:rsidR="006E77CC">
        <w:fldChar w:fldCharType="begin"/>
      </w:r>
      <w:r w:rsidR="006E77CC">
        <w:instrText xml:space="preserve"> XE "</w:instrText>
      </w:r>
      <w:r w:rsidR="006E77CC" w:rsidRPr="00FE63B4">
        <w:instrText>Moerbeke</w:instrText>
      </w:r>
      <w:r w:rsidR="006E77CC">
        <w:instrText xml:space="preserve">, W." </w:instrText>
      </w:r>
      <w:r w:rsidR="006E77CC">
        <w:fldChar w:fldCharType="end"/>
      </w:r>
      <w:r w:rsidR="006E77CC">
        <w:t xml:space="preserve"> kolem roku 1260. </w:t>
      </w:r>
      <w:r w:rsidR="08F34D6A">
        <w:t xml:space="preserve">Moderna se o chování a poznání reálných zvířat nikdy </w:t>
      </w:r>
      <w:r w:rsidR="00C33A47">
        <w:t xml:space="preserve">příliš </w:t>
      </w:r>
      <w:r w:rsidR="08F34D6A">
        <w:t xml:space="preserve">nezajímala, což </w:t>
      </w:r>
      <w:r w:rsidR="087A4840">
        <w:t xml:space="preserve">v biologii determinované molekulární genetikou </w:t>
      </w:r>
      <w:r w:rsidR="08F34D6A">
        <w:t xml:space="preserve">platí dodnes. Spojení všech tří částí spisu </w:t>
      </w:r>
      <w:r w:rsidR="08F34D6A" w:rsidRPr="08F34D6A">
        <w:rPr>
          <w:i/>
        </w:rPr>
        <w:t>De anima</w:t>
      </w:r>
      <w:r w:rsidR="08F34D6A">
        <w:t xml:space="preserve"> do jednoho koherentního výkladu </w:t>
      </w:r>
      <w:r w:rsidR="08646A13">
        <w:t xml:space="preserve">Scotovi </w:t>
      </w:r>
      <w:r w:rsidR="08F34D6A">
        <w:t>umožnilo najít c</w:t>
      </w:r>
      <w:r w:rsidR="006E77CC">
        <w:t xml:space="preserve">entrální </w:t>
      </w:r>
      <w:r w:rsidR="08F34D6A">
        <w:t>spojení mezi Aristotelovou kosmologií, logikou a vědou napojenou na třetí knih</w:t>
      </w:r>
      <w:r w:rsidR="006E77CC">
        <w:t xml:space="preserve">u </w:t>
      </w:r>
      <w:r w:rsidR="006E77CC" w:rsidRPr="006E77CC">
        <w:rPr>
          <w:i/>
        </w:rPr>
        <w:t>De anima</w:t>
      </w:r>
      <w:r w:rsidR="006E77CC">
        <w:t xml:space="preserve"> zkoumající </w:t>
      </w:r>
      <w:r w:rsidR="006E77CC">
        <w:lastRenderedPageBreak/>
        <w:t xml:space="preserve">lidskou duši a její poznání. </w:t>
      </w:r>
      <w:r w:rsidR="00EF7B33">
        <w:t>Toto myšlení nebylo vlastní Toledské škole ovládané mysticismem a neoplatonismem</w:t>
      </w:r>
      <w:r w:rsidR="00CD0FBB">
        <w:t xml:space="preserve"> křesťanské, islámské a židovské provenience</w:t>
      </w:r>
      <w:r w:rsidR="00EF7B33">
        <w:t xml:space="preserve">. </w:t>
      </w:r>
      <w:r w:rsidR="00C678BB">
        <w:t xml:space="preserve">Konflikt ve výkladu </w:t>
      </w:r>
      <w:r w:rsidR="00C678BB" w:rsidRPr="00C678BB">
        <w:rPr>
          <w:i/>
        </w:rPr>
        <w:t>Corpus Aristotelicum</w:t>
      </w:r>
      <w:r w:rsidR="009D21E2">
        <w:t xml:space="preserve"> daný skrze dvojí interpret</w:t>
      </w:r>
      <w:r w:rsidR="08FD0B1F">
        <w:t>aci „</w:t>
      </w:r>
      <w:r w:rsidR="082F2D63">
        <w:rPr>
          <w:i/>
        </w:rPr>
        <w:t>ad mentem Averrois</w:t>
      </w:r>
      <w:r w:rsidR="08FD0B1F">
        <w:t>“</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8850D43">
        <w:t xml:space="preserve"> byla nevyhnutelná událost myšlení</w:t>
      </w:r>
      <w:r w:rsidR="085B6F07">
        <w:t xml:space="preserve"> daná ve dvou zcela odlišných paradigmatech aristotelismu a neoplatonismu. A co je velmi důležité, </w:t>
      </w:r>
      <w:r w:rsidR="08DA7783">
        <w:t>Scotus mohl ve Špa</w:t>
      </w:r>
      <w:r w:rsidR="08D64013">
        <w:t xml:space="preserve">nělsku poznat autentický výklad </w:t>
      </w:r>
      <w:r w:rsidR="08DA7783">
        <w:t>Komentátora (†1198)</w:t>
      </w:r>
      <w:r w:rsidR="08D64013">
        <w:t xml:space="preserve"> daný jeho žáky a znalci</w:t>
      </w:r>
      <w:r w:rsidR="08DA7783">
        <w:t xml:space="preserve">. </w:t>
      </w:r>
      <w:r w:rsidR="00EF7B33">
        <w:t xml:space="preserve">Proto je Toledo kolem roku 1220 </w:t>
      </w:r>
      <w:r w:rsidR="00A76D62">
        <w:t xml:space="preserve">po dokončení </w:t>
      </w:r>
      <w:r w:rsidR="00FE44ED">
        <w:t xml:space="preserve">Scotova </w:t>
      </w:r>
      <w:r w:rsidR="00A76D62">
        <w:t xml:space="preserve">překladu </w:t>
      </w:r>
      <w:r w:rsidR="00A76D62" w:rsidRPr="00681CD4">
        <w:rPr>
          <w:i/>
        </w:rPr>
        <w:t>O životě zvířat</w:t>
      </w:r>
      <w:r w:rsidR="00A76D62">
        <w:t xml:space="preserve"> (</w:t>
      </w:r>
      <w:r w:rsidR="00A76D62">
        <w:rPr>
          <w:bCs/>
          <w:i/>
          <w:iCs/>
        </w:rPr>
        <w:t xml:space="preserve">Kitāb </w:t>
      </w:r>
      <w:r w:rsidR="00A76D62" w:rsidRPr="00681CD4">
        <w:rPr>
          <w:bCs/>
          <w:i/>
          <w:iCs/>
        </w:rPr>
        <w:t>al-hayawān</w:t>
      </w:r>
      <w:r w:rsidR="00A76D62">
        <w:rPr>
          <w:bCs/>
          <w:i/>
          <w:iCs/>
        </w:rPr>
        <w:fldChar w:fldCharType="begin"/>
      </w:r>
      <w:r w:rsidR="00A76D62">
        <w:instrText xml:space="preserve"> XE "</w:instrText>
      </w:r>
      <w:r w:rsidR="00A76D62" w:rsidRPr="00A630F0">
        <w:rPr>
          <w:bCs/>
          <w:i/>
          <w:iCs/>
        </w:rPr>
        <w:instrText>Kitāb al-hayawān</w:instrText>
      </w:r>
      <w:r w:rsidR="00A76D62">
        <w:instrText xml:space="preserve">" </w:instrText>
      </w:r>
      <w:r w:rsidR="00A76D62">
        <w:rPr>
          <w:bCs/>
          <w:i/>
          <w:iCs/>
        </w:rPr>
        <w:fldChar w:fldCharType="end"/>
      </w:r>
      <w:r w:rsidR="00A76D62">
        <w:t xml:space="preserve">) místem, kde </w:t>
      </w:r>
      <w:r w:rsidR="00EF7B33">
        <w:t xml:space="preserve">je dáno </w:t>
      </w:r>
      <w:r w:rsidR="00EF7B33" w:rsidRPr="00EF7B33">
        <w:rPr>
          <w:i/>
        </w:rPr>
        <w:t>Lichtung</w:t>
      </w:r>
      <w:r w:rsidR="00EF7B33">
        <w:t xml:space="preserve"> západní objektivity</w:t>
      </w:r>
      <w:r w:rsidR="00C64001">
        <w:t xml:space="preserve"> v její „biologické“ pravdě </w:t>
      </w:r>
      <w:r w:rsidR="002B7A56">
        <w:t xml:space="preserve">realismu </w:t>
      </w:r>
      <w:r w:rsidR="00C64001">
        <w:t>a „mystické“ nepravdě</w:t>
      </w:r>
      <w:r w:rsidR="002B7A56">
        <w:t xml:space="preserve"> objektivismu</w:t>
      </w:r>
      <w:r w:rsidR="00C64001">
        <w:t xml:space="preserve">. </w:t>
      </w:r>
      <w:r w:rsidR="002B7A56">
        <w:t xml:space="preserve">Po dokončení </w:t>
      </w:r>
      <w:r w:rsidR="005071A2">
        <w:t>některých z těchto překladů</w:t>
      </w:r>
      <w:r w:rsidR="002B7A56">
        <w:t xml:space="preserve"> Scotus </w:t>
      </w:r>
      <w:r w:rsidR="08A0277A">
        <w:t xml:space="preserve">asi </w:t>
      </w:r>
      <w:r w:rsidR="005071A2">
        <w:t>opustil</w:t>
      </w:r>
      <w:r w:rsidR="002B7A56">
        <w:t xml:space="preserve"> </w:t>
      </w:r>
      <w:r w:rsidR="08850D43">
        <w:t xml:space="preserve">avicennistickou </w:t>
      </w:r>
      <w:r w:rsidR="005071A2">
        <w:t>Toledskou školu a odešel</w:t>
      </w:r>
      <w:r w:rsidR="00FE44ED">
        <w:t xml:space="preserve"> </w:t>
      </w:r>
      <w:r w:rsidR="00EF7B33">
        <w:t xml:space="preserve">do </w:t>
      </w:r>
      <w:r w:rsidR="08C83177">
        <w:t xml:space="preserve">jižní </w:t>
      </w:r>
      <w:r w:rsidR="00EF7B33">
        <w:t xml:space="preserve">Itálie, kde vládl </w:t>
      </w:r>
      <w:r w:rsidR="08A0277A">
        <w:t>Friedrich II. Sicilský</w:t>
      </w:r>
      <w:r w:rsidR="08A0277A" w:rsidRPr="08A0277A">
        <w:t xml:space="preserve"> </w:t>
      </w:r>
      <w:r w:rsidR="08A0277A">
        <w:t xml:space="preserve">jako </w:t>
      </w:r>
      <w:r w:rsidR="00EF7B33">
        <w:t xml:space="preserve">první intelektuál </w:t>
      </w:r>
      <w:r w:rsidR="08A0277A">
        <w:t>latinské</w:t>
      </w:r>
      <w:r w:rsidR="087F0879">
        <w:t>ho Západu</w:t>
      </w:r>
      <w:r w:rsidR="00EF7B33">
        <w:t xml:space="preserve">. </w:t>
      </w:r>
      <w:r w:rsidR="00681CD4">
        <w:t xml:space="preserve">Sicilská škola spojila do jednoho koherentního výkladu </w:t>
      </w:r>
      <w:r w:rsidR="0026211F">
        <w:t xml:space="preserve">spisy </w:t>
      </w:r>
      <w:r w:rsidR="00681CD4" w:rsidRPr="0026211F">
        <w:rPr>
          <w:i/>
        </w:rPr>
        <w:t>Organon</w:t>
      </w:r>
      <w:r w:rsidR="0026211F" w:rsidRPr="0026211F">
        <w:rPr>
          <w:i/>
        </w:rPr>
        <w:t>u</w:t>
      </w:r>
      <w:r w:rsidR="00681CD4">
        <w:t xml:space="preserve">, </w:t>
      </w:r>
      <w:r w:rsidR="00681CD4" w:rsidRPr="0026211F">
        <w:rPr>
          <w:i/>
        </w:rPr>
        <w:t>Fyziku</w:t>
      </w:r>
      <w:r w:rsidR="00681CD4">
        <w:t xml:space="preserve">, </w:t>
      </w:r>
      <w:r w:rsidR="00681CD4" w:rsidRPr="00A630F0">
        <w:rPr>
          <w:bCs/>
          <w:i/>
          <w:iCs/>
        </w:rPr>
        <w:t>Kitāb al-hayawān</w:t>
      </w:r>
      <w:r w:rsidR="00681CD4">
        <w:rPr>
          <w:bCs/>
          <w:i/>
          <w:iCs/>
        </w:rPr>
        <w:t xml:space="preserve"> </w:t>
      </w:r>
      <w:r w:rsidR="00681CD4" w:rsidRPr="00681CD4">
        <w:rPr>
          <w:bCs/>
          <w:iCs/>
        </w:rPr>
        <w:t>a spis</w:t>
      </w:r>
      <w:r w:rsidR="00681CD4">
        <w:rPr>
          <w:bCs/>
          <w:i/>
          <w:iCs/>
        </w:rPr>
        <w:t xml:space="preserve"> De anima</w:t>
      </w:r>
      <w:r w:rsidR="00681CD4">
        <w:rPr>
          <w:bCs/>
          <w:iCs/>
        </w:rPr>
        <w:t xml:space="preserve"> a tím vytvořila nový cíl </w:t>
      </w:r>
      <w:r w:rsidR="0026211F">
        <w:t>(σκωπός</w:t>
      </w:r>
      <w:r w:rsidR="0026211F" w:rsidRPr="00273106">
        <w:t xml:space="preserve">, </w:t>
      </w:r>
      <w:r w:rsidR="0026211F" w:rsidRPr="00273106">
        <w:rPr>
          <w:i/>
        </w:rPr>
        <w:t>ġaraḍ</w:t>
      </w:r>
      <w:r w:rsidR="0026211F">
        <w:t xml:space="preserve">) </w:t>
      </w:r>
      <w:r w:rsidR="0026211F">
        <w:rPr>
          <w:bCs/>
          <w:iCs/>
        </w:rPr>
        <w:t xml:space="preserve">první vědy </w:t>
      </w:r>
      <w:r w:rsidR="0026211F">
        <w:t xml:space="preserve">hledaný falsafou </w:t>
      </w:r>
      <w:r w:rsidR="00681CD4">
        <w:rPr>
          <w:bCs/>
          <w:iCs/>
        </w:rPr>
        <w:t xml:space="preserve">podle Komentátorovy vize Aristotelovy </w:t>
      </w:r>
      <w:r w:rsidR="00681CD4" w:rsidRPr="00681CD4">
        <w:rPr>
          <w:bCs/>
          <w:i/>
          <w:iCs/>
        </w:rPr>
        <w:t>Metafyziky</w:t>
      </w:r>
      <w:r w:rsidR="00681CD4">
        <w:rPr>
          <w:bCs/>
          <w:iCs/>
        </w:rPr>
        <w:t xml:space="preserve">. </w:t>
      </w:r>
      <w:r w:rsidR="084C5400">
        <w:t>Scotův příchod do Paříže roku 1230 potvrdil kompletní změnu paradigmatu ve vý</w:t>
      </w:r>
      <w:r w:rsidR="002500B1">
        <w:t>kladu Averroese slovem i činem.</w:t>
      </w:r>
    </w:p>
    <w:p w14:paraId="777C84A5" w14:textId="4E03F237" w:rsidR="007C560F" w:rsidRDefault="007C560F" w:rsidP="002500B1">
      <w:pPr>
        <w:ind w:firstLine="397"/>
      </w:pPr>
      <w:r>
        <w:t>Spor obou škol také vysvětluje zásadní okolnosti dvojí recepce Averro</w:t>
      </w:r>
      <w:r w:rsidR="00AB19A7">
        <w:t>e</w:t>
      </w:r>
      <w:r>
        <w:t>se</w:t>
      </w:r>
      <w:r w:rsidR="001002E4">
        <w:t xml:space="preserve"> na latinském Západě v letech 1220‒30</w:t>
      </w:r>
      <w:r>
        <w:t xml:space="preserve">. První spisy se dostaly na latinský Západ už kolem roku 1220, ale </w:t>
      </w:r>
      <w:r w:rsidR="00FA2365">
        <w:t xml:space="preserve">učení Ibn </w:t>
      </w:r>
      <w:r w:rsidR="00146E31">
        <w:t>Rušda</w:t>
      </w:r>
      <w:r w:rsidR="00FA2365">
        <w:t xml:space="preserve"> v podání Toledské školy</w:t>
      </w:r>
      <w:r w:rsidR="00146E31">
        <w:t xml:space="preserve"> nemělo</w:t>
      </w:r>
      <w:r>
        <w:t xml:space="preserve"> v prostředí latinského avicennismu žádný </w:t>
      </w:r>
      <w:r w:rsidR="0077355E">
        <w:t xml:space="preserve">převratný </w:t>
      </w:r>
      <w:r>
        <w:t>vliv</w:t>
      </w:r>
      <w:r w:rsidR="0077355E">
        <w:t xml:space="preserve">. </w:t>
      </w:r>
      <w:r w:rsidR="003E3925">
        <w:t xml:space="preserve">Averroesovy spisy </w:t>
      </w:r>
      <w:r w:rsidR="00146E31">
        <w:t xml:space="preserve">vyložené </w:t>
      </w:r>
      <w:r w:rsidR="003E3925">
        <w:t>v neoplato</w:t>
      </w:r>
      <w:r w:rsidR="0077355E">
        <w:t>nské optice výkladu nepřinesly nic zásadně nového</w:t>
      </w:r>
      <w:r w:rsidR="00146E31">
        <w:t xml:space="preserve"> do již existující avicennovské metafyziky a do tehdy vládnoucího neoplatonského výkladu </w:t>
      </w:r>
      <w:r w:rsidR="00146E31" w:rsidRPr="00146E31">
        <w:rPr>
          <w:i/>
        </w:rPr>
        <w:t>Cor</w:t>
      </w:r>
      <w:r w:rsidR="00146E31">
        <w:rPr>
          <w:i/>
        </w:rPr>
        <w:t>p</w:t>
      </w:r>
      <w:r w:rsidR="00146E31" w:rsidRPr="00146E31">
        <w:rPr>
          <w:i/>
        </w:rPr>
        <w:t>us Aristotelicum</w:t>
      </w:r>
      <w:r w:rsidR="0077355E">
        <w:t xml:space="preserve">. </w:t>
      </w:r>
      <w:r w:rsidR="004A075F">
        <w:t>A</w:t>
      </w:r>
      <w:r>
        <w:t>verroe</w:t>
      </w:r>
      <w:r w:rsidR="00AB19A7">
        <w:t>s</w:t>
      </w:r>
      <w:r>
        <w:t xml:space="preserve"> byl pokládán za </w:t>
      </w:r>
      <w:r w:rsidR="00AB19A7">
        <w:t xml:space="preserve">pouhého </w:t>
      </w:r>
      <w:r>
        <w:t>komentátora Avicenny a Abunasera</w:t>
      </w:r>
      <w:r w:rsidR="00146E31">
        <w:t xml:space="preserve">. </w:t>
      </w:r>
      <w:r w:rsidR="00FA2365">
        <w:t>P</w:t>
      </w:r>
      <w:r w:rsidR="004A075F">
        <w:t>roto také nedostal čestný titul „Komentátor“, který pochopitelně patřil Avicennovi</w:t>
      </w:r>
      <w:r>
        <w:t xml:space="preserve">. </w:t>
      </w:r>
      <w:r w:rsidR="08222997">
        <w:t xml:space="preserve">Blundova aristotelská škola okamžitě poznala genialitu Averroese i ve zkresleném neoplatonském podání Toledské školy. </w:t>
      </w:r>
      <w:r w:rsidR="08257321">
        <w:t>To byl zásadní důvod, proč autentický aristotelik Michael Scotus</w:t>
      </w:r>
      <w:r w:rsidR="08257321">
        <w:fldChar w:fldCharType="begin"/>
      </w:r>
      <w:r w:rsidR="08257321">
        <w:instrText xml:space="preserve"> XE "</w:instrText>
      </w:r>
      <w:r w:rsidR="08257321" w:rsidRPr="00410BC6">
        <w:instrText>Scotus, Michael</w:instrText>
      </w:r>
      <w:r w:rsidR="08257321">
        <w:instrText xml:space="preserve">" </w:instrText>
      </w:r>
      <w:r w:rsidR="08257321">
        <w:fldChar w:fldCharType="end"/>
      </w:r>
      <w:r w:rsidR="08257321">
        <w:t xml:space="preserve"> odchází z neoplatonského Toleda, stejně jako Porfyrius odešel z Plotinovy neoplatonské školy a Averroes se odloučil od alexandrovců typu Avicenny a Ibn Báji. </w:t>
      </w:r>
      <w:r w:rsidR="08222997">
        <w:t xml:space="preserve">Spis </w:t>
      </w:r>
      <w:r w:rsidR="08222997" w:rsidRPr="00960F7F">
        <w:rPr>
          <w:i/>
        </w:rPr>
        <w:t>De anima et de potenciis eius</w:t>
      </w:r>
      <w:r w:rsidR="08222997">
        <w:t xml:space="preserve"> </w:t>
      </w:r>
      <w:r w:rsidR="08257321">
        <w:t xml:space="preserve">(1225) </w:t>
      </w:r>
      <w:r w:rsidR="08222997">
        <w:t>postavil Averroesův výklad Korpusu proti Avicennovi hájeného pařížskou por</w:t>
      </w:r>
      <w:r w:rsidR="08373E0A">
        <w:t>retánskou školou (kap. 2</w:t>
      </w:r>
      <w:r w:rsidR="08222997">
        <w:t>.2</w:t>
      </w:r>
      <w:r w:rsidR="085022FC">
        <w:t>.1</w:t>
      </w:r>
      <w:r w:rsidR="08222997">
        <w:t xml:space="preserve">). </w:t>
      </w:r>
      <w:r w:rsidR="00244C08">
        <w:t>Scotus odchází z Toleda někdy kolem roku 1220 a následuje krátké intermezzo na univerzitě v Bologni a v pa</w:t>
      </w:r>
      <w:r w:rsidR="081D56A2">
        <w:t xml:space="preserve">pežských službách Honoria III. </w:t>
      </w:r>
      <w:r w:rsidR="00244C08">
        <w:t xml:space="preserve">možná až v Irsku. Jeho příchod na sicilský dvůr Friedricha II. asi roku 1227 má pro Západ stejný dějinný význam, jako měl </w:t>
      </w:r>
      <w:r w:rsidR="00244C08">
        <w:lastRenderedPageBreak/>
        <w:t>příchod Porfyria roku 268 do sicilské Marsaly (</w:t>
      </w:r>
      <w:r w:rsidR="08373E0A">
        <w:t xml:space="preserve">OBJ I, </w:t>
      </w:r>
      <w:r w:rsidR="084E7952">
        <w:t>kap. 1.3</w:t>
      </w:r>
      <w:r w:rsidR="00244C08">
        <w:t xml:space="preserve">). Tato historická událost manifestuje </w:t>
      </w:r>
      <w:r w:rsidR="08714191">
        <w:t xml:space="preserve">v modu </w:t>
      </w:r>
      <w:r w:rsidR="08714191" w:rsidRPr="08714191">
        <w:rPr>
          <w:i/>
        </w:rPr>
        <w:t>a/létheia</w:t>
      </w:r>
      <w:r w:rsidR="08714191">
        <w:t xml:space="preserve"> </w:t>
      </w:r>
      <w:r w:rsidR="08693D24">
        <w:t xml:space="preserve">múzický </w:t>
      </w:r>
      <w:r w:rsidR="00244C08" w:rsidRPr="00EF7B33">
        <w:rPr>
          <w:i/>
        </w:rPr>
        <w:t>Ereignis</w:t>
      </w:r>
      <w:r w:rsidR="00244C08">
        <w:t xml:space="preserve"> metafyziky, který založil další </w:t>
      </w:r>
      <w:r w:rsidR="08693D24">
        <w:t>gigantomachii</w:t>
      </w:r>
      <w:r w:rsidR="00244C08">
        <w:t xml:space="preserve"> o substanci</w:t>
      </w:r>
      <w:r w:rsidR="08EF537E">
        <w:t xml:space="preserve"> po zániku falsafy</w:t>
      </w:r>
      <w:r w:rsidR="00244C08">
        <w:t xml:space="preserve">. </w:t>
      </w:r>
      <w:r>
        <w:t xml:space="preserve">Klíčovou roli při vzniku </w:t>
      </w:r>
      <w:r w:rsidR="00221612">
        <w:t xml:space="preserve">kritického intelektuálního </w:t>
      </w:r>
      <w:r>
        <w:t>Západu</w:t>
      </w:r>
      <w:r w:rsidR="00221612">
        <w:t xml:space="preserve"> odmítajícího moderní ilumináty </w:t>
      </w:r>
      <w:r>
        <w:t>sehrála Sicilská škola</w:t>
      </w:r>
      <w:r w:rsidR="00281E52">
        <w:fldChar w:fldCharType="begin"/>
      </w:r>
      <w:r w:rsidR="00281E52">
        <w:instrText xml:space="preserve"> XE "</w:instrText>
      </w:r>
      <w:r w:rsidR="004A155A">
        <w:instrText>Sicilská škola</w:instrText>
      </w:r>
      <w:r w:rsidR="00281E52">
        <w:instrText xml:space="preserve">" </w:instrText>
      </w:r>
      <w:r w:rsidR="00281E52">
        <w:fldChar w:fldCharType="end"/>
      </w:r>
      <w:r>
        <w:t xml:space="preserve"> překladatelů založená </w:t>
      </w:r>
      <w:r w:rsidR="00B25D68">
        <w:t xml:space="preserve">vskutku </w:t>
      </w:r>
      <w:r>
        <w:t xml:space="preserve">osvíceným panovníkem a </w:t>
      </w:r>
      <w:r w:rsidR="08516783">
        <w:t xml:space="preserve">oficiálním </w:t>
      </w:r>
      <w:r>
        <w:t xml:space="preserve">heretikem Friedrichem II. </w:t>
      </w:r>
      <w:r w:rsidR="00B25D68">
        <w:t>Sicilským</w:t>
      </w:r>
      <w:r w:rsidR="00966024">
        <w:fldChar w:fldCharType="begin"/>
      </w:r>
      <w:r w:rsidR="00966024">
        <w:instrText xml:space="preserve"> XE "</w:instrText>
      </w:r>
      <w:r w:rsidR="00966024" w:rsidRPr="00DD7A8B">
        <w:instrText>Friedrich II.</w:instrText>
      </w:r>
      <w:r w:rsidR="00966024">
        <w:instrText xml:space="preserve">" </w:instrText>
      </w:r>
      <w:r w:rsidR="00966024">
        <w:fldChar w:fldCharType="end"/>
      </w:r>
      <w:r w:rsidR="00B25D68">
        <w:t xml:space="preserve">. Na jeho dvoře se potkal skutečný Aristoteles falsafy a scholastiky, zatímco v Toledě </w:t>
      </w:r>
      <w:r w:rsidR="005B2272">
        <w:t>se setkal</w:t>
      </w:r>
      <w:r w:rsidR="00B25D68">
        <w:t xml:space="preserve"> skrze avicennistického </w:t>
      </w:r>
      <w:r w:rsidR="005B2272">
        <w:t>Averro</w:t>
      </w:r>
      <w:r w:rsidR="00B25D68">
        <w:t xml:space="preserve">ese jen jeden neoplatonský Aristoteles s druhým. </w:t>
      </w:r>
      <w:r w:rsidR="08450E6E">
        <w:t>Scotovým příchodem na sicilský dvůr Friedricha II. se stává z Averroese nový Komentátor latinského Západu a nahradil Avicennu</w:t>
      </w:r>
      <w:r w:rsidR="08025BDF">
        <w:t xml:space="preserve">. Tím došlo k zásadní změně metafyziky </w:t>
      </w:r>
      <w:r w:rsidR="08450E6E">
        <w:t xml:space="preserve">chápané hermeneutikou dějinnosti v modu Heideggerovy </w:t>
      </w:r>
      <w:r w:rsidR="08450E6E" w:rsidRPr="00244C08">
        <w:rPr>
          <w:i/>
        </w:rPr>
        <w:t>paideía</w:t>
      </w:r>
      <w:r w:rsidR="08EB0ACF">
        <w:rPr>
          <w:lang w:eastAsia="en-US"/>
        </w:rPr>
        <w:fldChar w:fldCharType="begin"/>
      </w:r>
      <w:r w:rsidR="08EB0ACF">
        <w:instrText xml:space="preserve"> XE "pravda:</w:instrText>
      </w:r>
      <w:r w:rsidR="08EB0ACF" w:rsidRPr="00863CC6">
        <w:rPr>
          <w:i/>
        </w:rPr>
        <w:instrText>Bildung</w:instrText>
      </w:r>
      <w:r w:rsidR="08EB0ACF">
        <w:instrText xml:space="preserve">" </w:instrText>
      </w:r>
      <w:r w:rsidR="08EB0ACF">
        <w:rPr>
          <w:lang w:eastAsia="en-US"/>
        </w:rPr>
        <w:fldChar w:fldCharType="end"/>
      </w:r>
      <w:r w:rsidR="084E7952">
        <w:t xml:space="preserve"> (</w:t>
      </w:r>
      <w:r w:rsidR="087134F8">
        <w:t xml:space="preserve">OBJ I, </w:t>
      </w:r>
      <w:r w:rsidR="084E7952">
        <w:t>kap. 1.2</w:t>
      </w:r>
      <w:r w:rsidR="08450E6E">
        <w:t xml:space="preserve">). Toto střídání pedagogických strážců Západu ukazuje </w:t>
      </w:r>
      <w:r w:rsidR="08450E6E" w:rsidRPr="00244C08">
        <w:rPr>
          <w:i/>
        </w:rPr>
        <w:t>Lichtung</w:t>
      </w:r>
      <w:r w:rsidR="08450E6E">
        <w:t xml:space="preserve"> původní </w:t>
      </w:r>
      <w:r w:rsidR="08450E6E" w:rsidRPr="00244C08">
        <w:rPr>
          <w:i/>
        </w:rPr>
        <w:t>a/létheia</w:t>
      </w:r>
      <w:r w:rsidR="08450E6E">
        <w:rPr>
          <w:i/>
        </w:rPr>
        <w:fldChar w:fldCharType="begin"/>
      </w:r>
      <w:r w:rsidR="08450E6E">
        <w:instrText xml:space="preserve"> XE "</w:instrText>
      </w:r>
      <w:r w:rsidR="08450E6E" w:rsidRPr="08937E60">
        <w:rPr>
          <w:i/>
          <w:lang w:eastAsia="en-US"/>
        </w:rPr>
        <w:instrText>a/létheia</w:instrText>
      </w:r>
      <w:r w:rsidR="08450E6E">
        <w:instrText xml:space="preserve">" </w:instrText>
      </w:r>
      <w:r w:rsidR="08450E6E">
        <w:rPr>
          <w:i/>
        </w:rPr>
        <w:fldChar w:fldCharType="end"/>
      </w:r>
      <w:r w:rsidR="08450E6E">
        <w:t xml:space="preserve"> dané dvojím výkladem Aristotela. M</w:t>
      </w:r>
      <w:r w:rsidR="08450E6E">
        <w:rPr>
          <w:lang w:eastAsia="en-US"/>
        </w:rPr>
        <w:t xml:space="preserve">oderní </w:t>
      </w:r>
      <w:r w:rsidR="08450E6E" w:rsidRPr="00607B9E">
        <w:rPr>
          <w:i/>
          <w:lang w:eastAsia="en-US"/>
        </w:rPr>
        <w:t>apaideusía</w:t>
      </w:r>
      <w:r w:rsidR="08450E6E">
        <w:rPr>
          <w:i/>
          <w:lang w:eastAsia="en-US"/>
        </w:rPr>
        <w:t xml:space="preserve"> (</w:t>
      </w:r>
      <w:r w:rsidR="08450E6E" w:rsidRPr="000421A2">
        <w:rPr>
          <w:i/>
        </w:rPr>
        <w:t>Met</w:t>
      </w:r>
      <w:r w:rsidR="08450E6E">
        <w:t>. 1006a6</w:t>
      </w:r>
      <w:r w:rsidR="08450E6E">
        <w:rPr>
          <w:i/>
        </w:rPr>
        <w:fldChar w:fldCharType="begin"/>
      </w:r>
      <w:r w:rsidR="08450E6E">
        <w:instrText xml:space="preserve"> XE "Aristoteles:</w:instrText>
      </w:r>
      <w:r w:rsidR="08450E6E" w:rsidRPr="000421A2">
        <w:rPr>
          <w:i/>
        </w:rPr>
        <w:instrText>Met</w:instrText>
      </w:r>
      <w:r w:rsidR="08450E6E">
        <w:instrText xml:space="preserve">. 1006a6" </w:instrText>
      </w:r>
      <w:r w:rsidR="08450E6E">
        <w:rPr>
          <w:i/>
        </w:rPr>
        <w:fldChar w:fldCharType="end"/>
      </w:r>
      <w:r w:rsidR="08450E6E" w:rsidRPr="00A01823">
        <w:t>)</w:t>
      </w:r>
      <w:r w:rsidR="08AB4A5A">
        <w:t xml:space="preserve"> daná Avicennou</w:t>
      </w:r>
      <w:r w:rsidR="08450E6E">
        <w:rPr>
          <w:lang w:eastAsia="en-US"/>
        </w:rPr>
        <w:t xml:space="preserve"> nemá determinaci poznání z reality první substance v modu </w:t>
      </w:r>
      <w:r w:rsidR="08450E6E" w:rsidRPr="00244C08">
        <w:rPr>
          <w:i/>
          <w:lang w:eastAsia="en-US"/>
        </w:rPr>
        <w:t>per prius</w:t>
      </w:r>
      <w:r w:rsidR="08450E6E">
        <w:rPr>
          <w:lang w:eastAsia="en-US"/>
        </w:rPr>
        <w:t xml:space="preserve">, protože intelekt-slunce Toledské školy je nasvícen ze světa autonomních kosmických forem. </w:t>
      </w:r>
      <w:r w:rsidR="08450E6E">
        <w:t xml:space="preserve">Zásadní recepce Aristotela vyloženého </w:t>
      </w:r>
      <w:r w:rsidR="08450E6E" w:rsidRPr="00273106">
        <w:t xml:space="preserve">skrze integrovaný komentář </w:t>
      </w:r>
      <w:r w:rsidR="08450E6E">
        <w:t>Averroes</w:t>
      </w:r>
      <w:r w:rsidR="08450E6E" w:rsidRPr="00273106">
        <w:t>e (</w:t>
      </w:r>
      <w:r w:rsidR="08450E6E" w:rsidRPr="00273106">
        <w:rPr>
          <w:bCs/>
          <w:i/>
        </w:rPr>
        <w:t>ad mentem Averrois</w:t>
      </w:r>
      <w:r w:rsidR="08450E6E" w:rsidRPr="00273106">
        <w:t>)</w:t>
      </w:r>
      <w:r w:rsidR="08450E6E">
        <w:t xml:space="preserve"> přišla po roce 1230, kdy se Blundova škola napojila na myšlení Sicilské školy a Averroes d</w:t>
      </w:r>
      <w:r w:rsidR="08FD5B04">
        <w:t xml:space="preserve">ostal čestný titul Komentátora </w:t>
      </w:r>
      <w:r w:rsidR="08450E6E">
        <w:t>na právě vzniklé Pařížské univerzitě.</w:t>
      </w:r>
      <w:r w:rsidR="08FD5B04">
        <w:t xml:space="preserve"> Obrana křesťanské jednoty osoby proti Dinantovu aristotelskému panteismu našla v Komentátorově filosofii nejdůležitější pomoc a filosofický základ. </w:t>
      </w:r>
      <w:r w:rsidR="08AE161D">
        <w:t xml:space="preserve">Moderna naopak z tohoto univočního aristotelismu jedné </w:t>
      </w:r>
      <w:r w:rsidR="08BE5648">
        <w:t xml:space="preserve">panteistické </w:t>
      </w:r>
      <w:r w:rsidR="08AE161D">
        <w:t xml:space="preserve">pravdy skrytě vyrůstá. Proto museli první </w:t>
      </w:r>
      <w:r w:rsidR="08AE161D" w:rsidRPr="08AE161D">
        <w:rPr>
          <w:i/>
        </w:rPr>
        <w:t>Moderni</w:t>
      </w:r>
      <w:r w:rsidR="08AE161D">
        <w:t xml:space="preserve"> </w:t>
      </w:r>
      <w:r w:rsidR="08317A8C">
        <w:t xml:space="preserve">skrytě </w:t>
      </w:r>
      <w:r w:rsidR="08AE161D">
        <w:t xml:space="preserve">řízení chtonickými </w:t>
      </w:r>
      <w:r w:rsidR="083B095D">
        <w:t>Erín</w:t>
      </w:r>
      <w:r w:rsidR="08C9139E">
        <w:t>y</w:t>
      </w:r>
      <w:r w:rsidR="08AE161D">
        <w:t>emi</w:t>
      </w:r>
      <w:r w:rsidR="08C9139E">
        <w:fldChar w:fldCharType="begin"/>
      </w:r>
      <w:r w:rsidR="08C9139E">
        <w:instrText xml:space="preserve"> XE "</w:instrText>
      </w:r>
      <w:r w:rsidR="08C9139E" w:rsidRPr="086B0D03">
        <w:instrText>Erínye</w:instrText>
      </w:r>
      <w:r w:rsidR="08C9139E">
        <w:instrText xml:space="preserve">" </w:instrText>
      </w:r>
      <w:r w:rsidR="08C9139E">
        <w:fldChar w:fldCharType="end"/>
      </w:r>
      <w:r w:rsidR="08AE161D">
        <w:t xml:space="preserve"> vytvořit na Pařížské univerzitě po roce 1230 sofistické simulákrum Komentátora v manickém modu </w:t>
      </w:r>
      <w:r w:rsidR="08AE161D" w:rsidRPr="08AE161D">
        <w:rPr>
          <w:i/>
        </w:rPr>
        <w:t>Verkehrung ins Gegenteil</w:t>
      </w:r>
      <w:r w:rsidR="085922A1">
        <w:rPr>
          <w:i/>
        </w:rPr>
        <w:fldChar w:fldCharType="begin"/>
      </w:r>
      <w:r w:rsidR="085922A1">
        <w:instrText xml:space="preserve"> XE "</w:instrText>
      </w:r>
      <w:r w:rsidR="085922A1" w:rsidRPr="087E59A4">
        <w:rPr>
          <w:i/>
        </w:rPr>
        <w:instrText>Verkehrung ins Gegenteil</w:instrText>
      </w:r>
      <w:r w:rsidR="085922A1">
        <w:instrText xml:space="preserve">" </w:instrText>
      </w:r>
      <w:r w:rsidR="085922A1">
        <w:rPr>
          <w:i/>
        </w:rPr>
        <w:fldChar w:fldCharType="end"/>
      </w:r>
      <w:r w:rsidR="08AE161D">
        <w:t xml:space="preserve">. </w:t>
      </w:r>
    </w:p>
    <w:p w14:paraId="7EF9A4D9" w14:textId="77777777" w:rsidR="00D92428" w:rsidRPr="00273106" w:rsidRDefault="08626077" w:rsidP="00372BFB">
      <w:pPr>
        <w:pStyle w:val="Nadpis2"/>
      </w:pPr>
      <w:bookmarkStart w:id="54" w:name="_Toc487234299"/>
      <w:bookmarkStart w:id="55" w:name="_Toc12558306"/>
      <w:r>
        <w:rPr>
          <w:lang w:val="cs-CZ"/>
        </w:rPr>
        <w:br w:type="page"/>
      </w:r>
      <w:bookmarkStart w:id="56" w:name="_Toc160449318"/>
      <w:r w:rsidR="08D20D28">
        <w:rPr>
          <w:lang w:val="cs-CZ"/>
        </w:rPr>
        <w:lastRenderedPageBreak/>
        <w:t>2</w:t>
      </w:r>
      <w:r w:rsidR="00E27D89" w:rsidRPr="00273106">
        <w:t xml:space="preserve">.2 </w:t>
      </w:r>
      <w:r w:rsidR="00A47069">
        <w:t>A</w:t>
      </w:r>
      <w:r w:rsidR="00E27D89" w:rsidRPr="00273106">
        <w:t>nony</w:t>
      </w:r>
      <w:r w:rsidR="00A47069">
        <w:t>mní</w:t>
      </w:r>
      <w:r w:rsidR="00372BFB" w:rsidRPr="00273106">
        <w:t xml:space="preserve"> </w:t>
      </w:r>
      <w:r w:rsidR="00A47069">
        <w:t>komentáře</w:t>
      </w:r>
      <w:r w:rsidR="008157A7">
        <w:t xml:space="preserve"> </w:t>
      </w:r>
      <w:r w:rsidR="008157A7" w:rsidRPr="008157A7">
        <w:rPr>
          <w:i/>
        </w:rPr>
        <w:t>De anima</w:t>
      </w:r>
      <w:r w:rsidR="008157A7">
        <w:t xml:space="preserve"> </w:t>
      </w:r>
      <w:r w:rsidR="00372BFB" w:rsidRPr="00273106">
        <w:t>(</w:t>
      </w:r>
      <w:r w:rsidR="08923F46">
        <w:t>1225‒</w:t>
      </w:r>
      <w:r w:rsidR="08923F46">
        <w:rPr>
          <w:lang w:val="cs-CZ"/>
        </w:rPr>
        <w:t>12</w:t>
      </w:r>
      <w:r w:rsidR="003A4086" w:rsidRPr="00273106">
        <w:t>30</w:t>
      </w:r>
      <w:r w:rsidR="00372BFB" w:rsidRPr="00273106">
        <w:t>)</w:t>
      </w:r>
      <w:bookmarkEnd w:id="54"/>
      <w:bookmarkEnd w:id="55"/>
      <w:bookmarkEnd w:id="56"/>
    </w:p>
    <w:p w14:paraId="799A1CC6" w14:textId="77777777" w:rsidR="00FB7E0A" w:rsidRDefault="083537A0" w:rsidP="00832E37">
      <w:r>
        <w:t xml:space="preserve">Integrální výklad Aristotelovy filosofie podané v paradigmatu Sicilské školy vyvrátil Dinantův panteismus a ukázal význam spisu </w:t>
      </w:r>
      <w:r w:rsidRPr="089D2334">
        <w:rPr>
          <w:i/>
        </w:rPr>
        <w:t xml:space="preserve">De anima </w:t>
      </w:r>
      <w:r w:rsidR="08844176">
        <w:t xml:space="preserve">pro jednotu osoby, kterou potvrdil výklad </w:t>
      </w:r>
      <w:r>
        <w:t xml:space="preserve">CMDA. Tento interpretační výkon ubránil křesťanskou hodnotu osoby, stvoření a boha a měl rozhodující vliv na založení Pařížské univerzity. </w:t>
      </w:r>
      <w:r w:rsidR="08F44B67">
        <w:t>Vzdělaný p</w:t>
      </w:r>
      <w:r w:rsidR="086938D8">
        <w:t>apež Innocent III. studoval v Paříž</w:t>
      </w:r>
      <w:r w:rsidR="087F17EE">
        <w:t>i</w:t>
      </w:r>
      <w:r w:rsidR="086938D8">
        <w:t xml:space="preserve"> a ocenil její obranu autentického aristotelismu proti Dinantovi</w:t>
      </w:r>
      <w:r w:rsidR="080E2DBF">
        <w:t xml:space="preserve">, kterého </w:t>
      </w:r>
      <w:r w:rsidR="08F44B67">
        <w:t>osobně znal</w:t>
      </w:r>
      <w:r w:rsidR="086938D8">
        <w:t>. Papež uznal zásluhy magistrů Blundovy školy pro rozvoj křesťanství tím, že Pařížskou školu povýšil na univerzitu a vyňal ji z jurisdikce</w:t>
      </w:r>
      <w:r w:rsidR="086938D8" w:rsidRPr="08BC3E7A">
        <w:t xml:space="preserve"> </w:t>
      </w:r>
      <w:r w:rsidR="086938D8">
        <w:t xml:space="preserve">pařížského biskupa. </w:t>
      </w:r>
      <w:r w:rsidR="08B2637B">
        <w:t xml:space="preserve">Blund jako </w:t>
      </w:r>
      <w:r w:rsidR="084067BE">
        <w:t>všeobecně uznávaný učenec a jeho škola zásadně pomohl k rehabilitaci aristotelského Korpusu</w:t>
      </w:r>
      <w:r w:rsidR="08081F26">
        <w:t xml:space="preserve"> pod vedením Michaela Scota</w:t>
      </w:r>
      <w:r w:rsidR="084067BE">
        <w:t xml:space="preserve">. </w:t>
      </w:r>
      <w:r w:rsidR="08931AA4">
        <w:t xml:space="preserve">Klíčovou roli při posuzování Aristotelových spisů </w:t>
      </w:r>
      <w:r w:rsidR="089C5F46">
        <w:t xml:space="preserve">podle papežského dekretu měli mimo </w:t>
      </w:r>
      <w:r w:rsidR="08931AA4">
        <w:t>Scota také dva pařížští magistři</w:t>
      </w:r>
      <w:r w:rsidR="08FE31DF">
        <w:t xml:space="preserve"> </w:t>
      </w:r>
      <w:r w:rsidR="08931AA4" w:rsidRPr="00812C07">
        <w:t>Guillaume d'Auxerre</w:t>
      </w:r>
      <w:r w:rsidR="08931AA4">
        <w:t xml:space="preserve"> a </w:t>
      </w:r>
      <w:r w:rsidR="08931AA4" w:rsidRPr="00812C07">
        <w:t>Simon d'Authie</w:t>
      </w:r>
      <w:r w:rsidR="08327D0B">
        <w:t xml:space="preserve"> (De Vaux 1933, 218)</w:t>
      </w:r>
      <w:r w:rsidR="08FE31DF">
        <w:t>. A</w:t>
      </w:r>
      <w:r w:rsidR="08931AA4">
        <w:t>le jejich práce nebyla dokončena kvůli úmrtí Viléma z Auxerre</w:t>
      </w:r>
      <w:r w:rsidR="08327D0B">
        <w:t xml:space="preserve"> (†1231)</w:t>
      </w:r>
      <w:r w:rsidR="08931AA4">
        <w:t xml:space="preserve">. Aristotelovy spisy by asi </w:t>
      </w:r>
      <w:r w:rsidR="08FE31DF">
        <w:t xml:space="preserve">byly </w:t>
      </w:r>
      <w:r w:rsidR="08931AA4">
        <w:t>povoleny</w:t>
      </w:r>
      <w:r w:rsidR="08FE31DF">
        <w:t xml:space="preserve"> v každém případě</w:t>
      </w:r>
      <w:r w:rsidR="08931AA4">
        <w:t xml:space="preserve">, protože recepce Toledské i Sicilské školy se shodovala v pozitivním ocenění Averroese jako nového Komentátora. </w:t>
      </w:r>
      <w:r w:rsidR="084067BE">
        <w:t>Skutečnou rehabilitaci Aristotela ale způsobil vliv Sicilské školy</w:t>
      </w:r>
      <w:r w:rsidR="08EF3A32">
        <w:t xml:space="preserve"> skrze </w:t>
      </w:r>
      <w:r w:rsidR="084067BE">
        <w:t xml:space="preserve">pařížské přednášky Scota v roce 1230 a jím přinesené překlady. </w:t>
      </w:r>
      <w:r>
        <w:t xml:space="preserve">Blund a jeho oba význační žáci </w:t>
      </w:r>
      <w:r w:rsidR="08A779AF">
        <w:t xml:space="preserve">Robert </w:t>
      </w:r>
      <w:r>
        <w:t xml:space="preserve">Grossseteste </w:t>
      </w:r>
      <w:r w:rsidR="08A779AF">
        <w:t xml:space="preserve">(†1253) </w:t>
      </w:r>
      <w:r>
        <w:t xml:space="preserve">a </w:t>
      </w:r>
      <w:r w:rsidR="0829585B" w:rsidRPr="0088508B">
        <w:t>Wil</w:t>
      </w:r>
      <w:r w:rsidR="0829585B">
        <w:t xml:space="preserve">liam z </w:t>
      </w:r>
      <w:r w:rsidR="0829585B" w:rsidRPr="0088508B">
        <w:t>Auvergne</w:t>
      </w:r>
      <w:r w:rsidR="0829585B">
        <w:t xml:space="preserve"> (†</w:t>
      </w:r>
      <w:r w:rsidR="0829585B" w:rsidRPr="0088508B">
        <w:t>1249</w:t>
      </w:r>
      <w:r w:rsidR="0829585B">
        <w:t>)</w:t>
      </w:r>
      <w:r w:rsidR="0829585B" w:rsidRPr="08BC53E5">
        <w:rPr>
          <w:szCs w:val="24"/>
        </w:rPr>
        <w:t xml:space="preserve"> </w:t>
      </w:r>
      <w:r>
        <w:t>zachránili skutečný význam Aristotela podaného podle Sicilské školy. Proto se Alvernus jako kanovník katedrální školy Notre Dame stává rektorem papežské univerzity po roce 1223, kdy zde dosahuje magisterské hodnosti. Grosseteste jde ve stejné době zakládat univerzitu na Oxford (asi 1224) a pak se stal stejně jako Alvernus v Paříži i on stává biskupem v Lincolnu</w:t>
      </w:r>
      <w:r w:rsidRPr="081E74D6">
        <w:t xml:space="preserve"> </w:t>
      </w:r>
      <w:r>
        <w:t>(1235)</w:t>
      </w:r>
      <w:r w:rsidR="080803FB">
        <w:t>. P</w:t>
      </w:r>
      <w:r>
        <w:t xml:space="preserve">od toto biskupství </w:t>
      </w:r>
      <w:r w:rsidR="089270A0">
        <w:t xml:space="preserve">také </w:t>
      </w:r>
      <w:r>
        <w:t xml:space="preserve">administrativně spadala Oxfordská univerzita. Formálně se osudy obou univerzitních zakladatelů a biskupů podobají, ale nikoliv jejich další myslitelský vývoj po roce 1230. Blundova škola zásadním způsobem ubránila specifickou moudrost filosofie a křesťanství, aniž by je smísila do metafyzického panteismu jako to udělala avicennistická moderna pařížských porretánů. </w:t>
      </w:r>
      <w:r w:rsidR="08236AC9">
        <w:t xml:space="preserve"> </w:t>
      </w:r>
      <w:r w:rsidR="00E85D9E" w:rsidRPr="00273106">
        <w:t xml:space="preserve">Aristotelismus v pojetí Blunda opustil </w:t>
      </w:r>
      <w:r w:rsidR="00E85D9E" w:rsidRPr="00273106">
        <w:rPr>
          <w:szCs w:val="18"/>
        </w:rPr>
        <w:t xml:space="preserve">učení </w:t>
      </w:r>
      <w:r w:rsidR="00E85D9E" w:rsidRPr="00273106">
        <w:rPr>
          <w:i/>
          <w:szCs w:val="18"/>
        </w:rPr>
        <w:t>Nominales</w:t>
      </w:r>
      <w:r w:rsidR="00E85D9E" w:rsidRPr="00273106">
        <w:rPr>
          <w:szCs w:val="18"/>
        </w:rPr>
        <w:t xml:space="preserve"> o univerzálně-singulárním </w:t>
      </w:r>
      <w:r w:rsidR="006A04C6" w:rsidRPr="006A04C6">
        <w:rPr>
          <w:szCs w:val="18"/>
        </w:rPr>
        <w:t>species</w:t>
      </w:r>
      <w:r w:rsidR="00E85D9E" w:rsidRPr="00273106">
        <w:rPr>
          <w:szCs w:val="18"/>
        </w:rPr>
        <w:t xml:space="preserve"> dan</w:t>
      </w:r>
      <w:r w:rsidR="08443294">
        <w:rPr>
          <w:szCs w:val="18"/>
        </w:rPr>
        <w:t>ém v samotných věcech</w:t>
      </w:r>
      <w:r w:rsidR="00E85D9E" w:rsidRPr="00273106">
        <w:rPr>
          <w:szCs w:val="18"/>
        </w:rPr>
        <w:t>. Nahradil toto jsoucno třetího druhu intencionálním zaměřením mysli k poznané formě (</w:t>
      </w:r>
      <w:r w:rsidR="00E85D9E" w:rsidRPr="00273106">
        <w:rPr>
          <w:i/>
          <w:szCs w:val="18"/>
        </w:rPr>
        <w:t>res intellecta</w:t>
      </w:r>
      <w:r w:rsidR="00E85D9E" w:rsidRPr="00273106">
        <w:rPr>
          <w:szCs w:val="18"/>
        </w:rPr>
        <w:t>), která je vytvořena abstrakcí danou směrem od receptivně-aktivní složky smyslů (</w:t>
      </w:r>
      <w:r w:rsidR="00E85D9E" w:rsidRPr="00273106">
        <w:rPr>
          <w:i/>
        </w:rPr>
        <w:t>cadens in sensum</w:t>
      </w:r>
      <w:r w:rsidR="00E85D9E" w:rsidRPr="00273106">
        <w:rPr>
          <w:szCs w:val="18"/>
        </w:rPr>
        <w:t xml:space="preserve">). </w:t>
      </w:r>
      <w:r w:rsidR="00E85D9E" w:rsidRPr="00273106">
        <w:t>Duše se otočila od věčných forem nazíraných skrze oddělený činný in</w:t>
      </w:r>
      <w:r w:rsidR="00C17003">
        <w:t>telekt směrem k poznávané věci</w:t>
      </w:r>
      <w:r w:rsidR="080D4748">
        <w:t xml:space="preserve">, která se stala intencionálním předmětem </w:t>
      </w:r>
      <w:r w:rsidR="08E37526">
        <w:t xml:space="preserve">v receptivní schopnosti intelektu </w:t>
      </w:r>
      <w:r w:rsidR="080D4748">
        <w:t>a nakonec univerzálním pojmem</w:t>
      </w:r>
      <w:r w:rsidR="08E37526">
        <w:t xml:space="preserve"> v syntetické schopnosti</w:t>
      </w:r>
      <w:r w:rsidR="08443294">
        <w:t xml:space="preserve"> </w:t>
      </w:r>
      <w:r w:rsidR="08443294">
        <w:lastRenderedPageBreak/>
        <w:t>intelektu</w:t>
      </w:r>
      <w:r w:rsidR="00C17003">
        <w:t xml:space="preserve">. </w:t>
      </w:r>
      <w:r w:rsidR="08BA2240">
        <w:t>Toto zhasnutí (</w:t>
      </w:r>
      <w:r w:rsidR="08453B7E" w:rsidRPr="00C07A69">
        <w:rPr>
          <w:i/>
        </w:rPr>
        <w:t>epoché</w:t>
      </w:r>
      <w:r w:rsidR="08BA2240">
        <w:t xml:space="preserve">) kosmického intelektu v člověku </w:t>
      </w:r>
      <w:r w:rsidR="003A020E">
        <w:t>změnil</w:t>
      </w:r>
      <w:r w:rsidR="08BA2240">
        <w:t>o</w:t>
      </w:r>
      <w:r w:rsidR="003A020E">
        <w:t xml:space="preserve"> </w:t>
      </w:r>
      <w:r w:rsidR="003A020E" w:rsidRPr="00273106">
        <w:t>základní náhled na smysl jsoucna (</w:t>
      </w:r>
      <w:r w:rsidR="003A020E" w:rsidRPr="00273106">
        <w:rPr>
          <w:i/>
        </w:rPr>
        <w:t>Vor</w:t>
      </w:r>
      <w:r w:rsidR="003A020E" w:rsidRPr="00273106">
        <w:rPr>
          <w:i/>
        </w:rPr>
        <w:noBreakHyphen/>
        <w:t>blickbahn</w:t>
      </w:r>
      <w:r w:rsidR="003A020E">
        <w:rPr>
          <w:i/>
        </w:rPr>
        <w:fldChar w:fldCharType="begin"/>
      </w:r>
      <w:r w:rsidR="003A020E">
        <w:instrText xml:space="preserve"> XE "</w:instrText>
      </w:r>
      <w:r w:rsidR="08106DC9">
        <w:rPr>
          <w:i/>
        </w:rPr>
        <w:instrText>Vor-</w:instrText>
      </w:r>
      <w:r w:rsidR="003A020E" w:rsidRPr="000C66F2">
        <w:rPr>
          <w:i/>
        </w:rPr>
        <w:instrText>b</w:instrText>
      </w:r>
      <w:r w:rsidR="003A020E" w:rsidRPr="000C66F2">
        <w:rPr>
          <w:i/>
          <w:iCs/>
        </w:rPr>
        <w:instrText>lickbahn</w:instrText>
      </w:r>
      <w:r w:rsidR="003A020E" w:rsidRPr="00257589">
        <w:rPr>
          <w:iCs/>
        </w:rPr>
        <w:instrText>:první averroismus</w:instrText>
      </w:r>
      <w:r w:rsidR="003A020E">
        <w:instrText xml:space="preserve">" </w:instrText>
      </w:r>
      <w:r w:rsidR="003A020E">
        <w:rPr>
          <w:i/>
        </w:rPr>
        <w:fldChar w:fldCharType="end"/>
      </w:r>
      <w:r w:rsidR="003A020E">
        <w:t>) celé metafyziky</w:t>
      </w:r>
      <w:r w:rsidR="08453B7E">
        <w:t xml:space="preserve">, protože </w:t>
      </w:r>
      <w:r w:rsidR="08BA2240">
        <w:t xml:space="preserve">odstranilo </w:t>
      </w:r>
      <w:r w:rsidR="08FD5987">
        <w:t xml:space="preserve">působení </w:t>
      </w:r>
      <w:r w:rsidR="08301724">
        <w:t>oddělen</w:t>
      </w:r>
      <w:r w:rsidR="08FD5987">
        <w:t>ého</w:t>
      </w:r>
      <w:r w:rsidR="00C17003">
        <w:t xml:space="preserve"> činn</w:t>
      </w:r>
      <w:r w:rsidR="08FD5987">
        <w:t>ého</w:t>
      </w:r>
      <w:r w:rsidR="08301724">
        <w:t xml:space="preserve"> </w:t>
      </w:r>
      <w:r w:rsidR="00C17003">
        <w:t>intelekt</w:t>
      </w:r>
      <w:r w:rsidR="08FD5987">
        <w:t>u</w:t>
      </w:r>
      <w:r w:rsidR="08301724">
        <w:t xml:space="preserve"> ve sch</w:t>
      </w:r>
      <w:r w:rsidR="08BA2240">
        <w:t>ématu poznání</w:t>
      </w:r>
      <w:r w:rsidR="08453B7E">
        <w:t xml:space="preserve">. </w:t>
      </w:r>
      <w:r w:rsidR="00E85D9E" w:rsidRPr="00273106">
        <w:t xml:space="preserve">Adekvace věci a intelektu znovu dostala realistický charakter na rozdíl od </w:t>
      </w:r>
      <w:r w:rsidR="00874074">
        <w:t>neoplatonsk</w:t>
      </w:r>
      <w:r w:rsidR="00FA2330">
        <w:t xml:space="preserve">ých </w:t>
      </w:r>
      <w:r w:rsidR="00E85D9E" w:rsidRPr="00273106">
        <w:rPr>
          <w:i/>
        </w:rPr>
        <w:t>Nominales</w:t>
      </w:r>
      <w:r w:rsidR="00E85D9E" w:rsidRPr="00273106">
        <w:t xml:space="preserve">. </w:t>
      </w:r>
      <w:r w:rsidR="004A746E">
        <w:t xml:space="preserve">Blund jeho žáci </w:t>
      </w:r>
      <w:r w:rsidR="08E611E5">
        <w:t xml:space="preserve">kriticky recipovali </w:t>
      </w:r>
      <w:r w:rsidR="080872E8">
        <w:t xml:space="preserve">toledský překlad Averroesova korpusu </w:t>
      </w:r>
      <w:r w:rsidR="004A746E" w:rsidRPr="00273106">
        <w:t xml:space="preserve">hned po </w:t>
      </w:r>
      <w:r w:rsidR="080872E8">
        <w:t xml:space="preserve">jeho </w:t>
      </w:r>
      <w:r w:rsidR="004A746E" w:rsidRPr="00273106">
        <w:t xml:space="preserve">příchodu </w:t>
      </w:r>
      <w:r w:rsidR="004A746E">
        <w:t xml:space="preserve"> </w:t>
      </w:r>
      <w:r w:rsidR="004A746E" w:rsidRPr="00273106">
        <w:t>do Paříže a přidal</w:t>
      </w:r>
      <w:r w:rsidR="004A746E">
        <w:t>i</w:t>
      </w:r>
      <w:r w:rsidR="004A746E" w:rsidRPr="00273106">
        <w:t xml:space="preserve"> </w:t>
      </w:r>
      <w:r w:rsidR="080872E8">
        <w:t xml:space="preserve">Komentátorovy </w:t>
      </w:r>
      <w:r w:rsidR="004A746E" w:rsidRPr="00273106">
        <w:t xml:space="preserve">závěry do svých přednášek a spisů. </w:t>
      </w:r>
      <w:r w:rsidR="003F6858" w:rsidRPr="00273106">
        <w:t xml:space="preserve">Příchod </w:t>
      </w:r>
      <w:r w:rsidR="080872E8">
        <w:t xml:space="preserve">sicilského </w:t>
      </w:r>
      <w:r w:rsidR="002E3B62">
        <w:t>Averroes</w:t>
      </w:r>
      <w:r w:rsidR="003F6858" w:rsidRPr="00273106">
        <w:t xml:space="preserve">e na latinský Západ </w:t>
      </w:r>
      <w:r w:rsidR="00AD6F3C">
        <w:t xml:space="preserve">v podání </w:t>
      </w:r>
      <w:r w:rsidR="00DB57CB">
        <w:t xml:space="preserve">Scota </w:t>
      </w:r>
      <w:r w:rsidR="001F51E7">
        <w:fldChar w:fldCharType="begin"/>
      </w:r>
      <w:r w:rsidR="001F51E7">
        <w:instrText xml:space="preserve"> XE "</w:instrText>
      </w:r>
      <w:r w:rsidR="004A155A">
        <w:instrText>Sicilská škola</w:instrText>
      </w:r>
      <w:r w:rsidR="001F51E7">
        <w:instrText xml:space="preserve">" </w:instrText>
      </w:r>
      <w:r w:rsidR="001F51E7">
        <w:fldChar w:fldCharType="end"/>
      </w:r>
      <w:r w:rsidR="00AD6F3C">
        <w:t xml:space="preserve">utvrdil </w:t>
      </w:r>
      <w:r w:rsidR="00DB57CB">
        <w:t>tyto znalce ve správné interpretaci aristotelského Korpusu</w:t>
      </w:r>
      <w:r w:rsidR="00AD6F3C">
        <w:t xml:space="preserve">. </w:t>
      </w:r>
      <w:r w:rsidR="003F6858" w:rsidRPr="00273106">
        <w:t xml:space="preserve">První traktát ze školy autentických stoupenců </w:t>
      </w:r>
      <w:r w:rsidR="002E3B62">
        <w:t>Averroes</w:t>
      </w:r>
      <w:r w:rsidR="003F6858" w:rsidRPr="00273106">
        <w:t>e je nutno číst v rámci Heideggerova her</w:t>
      </w:r>
      <w:r w:rsidR="08223286">
        <w:t>meneutického rozdílu mezi tím, co</w:t>
      </w:r>
      <w:r w:rsidR="003F6858" w:rsidRPr="00273106">
        <w:t xml:space="preserve"> je dáno a </w:t>
      </w:r>
      <w:r w:rsidR="08223286">
        <w:t>jak</w:t>
      </w:r>
      <w:r w:rsidR="003F6858" w:rsidRPr="00273106">
        <w:t xml:space="preserve"> se to dějinně zjevuje těm, kteří mají schopnost vidět. Změnu náhledu na smysl jsoucna připravil John Blund novou četbou </w:t>
      </w:r>
      <w:r w:rsidR="003F6858">
        <w:rPr>
          <w:i/>
        </w:rPr>
        <w:t>De a</w:t>
      </w:r>
      <w:r w:rsidR="003F6858" w:rsidRPr="00273106">
        <w:rPr>
          <w:i/>
        </w:rPr>
        <w:t xml:space="preserve">nima, </w:t>
      </w:r>
      <w:r w:rsidR="003F6858" w:rsidRPr="00273106">
        <w:t>která se rozešla s avicennismem</w:t>
      </w:r>
      <w:r w:rsidR="004A746E">
        <w:t>.</w:t>
      </w:r>
      <w:r w:rsidR="004A746E" w:rsidRPr="004A746E">
        <w:t xml:space="preserve"> </w:t>
      </w:r>
      <w:r w:rsidR="004A746E">
        <w:t>S</w:t>
      </w:r>
      <w:r w:rsidR="004A746E" w:rsidRPr="00273106">
        <w:t xml:space="preserve">por o aristotelismus existuje v nové dějinné konstelaci dané Blundovým spisem </w:t>
      </w:r>
      <w:r w:rsidR="004A746E" w:rsidRPr="00273106">
        <w:rPr>
          <w:i/>
        </w:rPr>
        <w:t>Tractatus de anima</w:t>
      </w:r>
      <w:r w:rsidR="004A746E" w:rsidRPr="00273106">
        <w:t xml:space="preserve"> a příchodem </w:t>
      </w:r>
      <w:r w:rsidR="002E3B62">
        <w:t>Averroes</w:t>
      </w:r>
      <w:r>
        <w:t>ových spisů na Západ.</w:t>
      </w:r>
      <w:r w:rsidR="08236AC9">
        <w:t xml:space="preserve"> Tato recepce filosofického Aristotela </w:t>
      </w:r>
      <w:r w:rsidR="0080516A">
        <w:t xml:space="preserve">jej </w:t>
      </w:r>
      <w:r w:rsidR="08236AC9">
        <w:t>odd</w:t>
      </w:r>
      <w:r w:rsidR="0080516A">
        <w:t>ělila</w:t>
      </w:r>
      <w:r w:rsidR="08236AC9">
        <w:t xml:space="preserve"> jak od neoplatonské ontot</w:t>
      </w:r>
      <w:r w:rsidR="0080516A">
        <w:t>eologie tak od zjevené teologie. Na druhé straně došlo ke vznik objektivity</w:t>
      </w:r>
      <w:r w:rsidR="08236AC9">
        <w:t xml:space="preserve">. Tento zakládající </w:t>
      </w:r>
      <w:r w:rsidR="08236AC9" w:rsidRPr="08EE40D7">
        <w:rPr>
          <w:i/>
        </w:rPr>
        <w:t>Ereignis</w:t>
      </w:r>
      <w:r w:rsidR="08236AC9">
        <w:t xml:space="preserve"> pařížské univerzity jako ochránkyně univerzální moudrosti podané </w:t>
      </w:r>
      <w:r w:rsidR="082F2D63">
        <w:rPr>
          <w:i/>
        </w:rPr>
        <w:t>ad</w:t>
      </w:r>
      <w:r w:rsidR="08236AC9" w:rsidRPr="08BF245D">
        <w:rPr>
          <w:i/>
        </w:rPr>
        <w:t xml:space="preserve"> mentem Averrois</w:t>
      </w:r>
      <w:r w:rsidR="08FD5987">
        <w:rPr>
          <w:i/>
        </w:rPr>
        <w:fldChar w:fldCharType="begin"/>
      </w:r>
      <w:r w:rsidR="08FD5987">
        <w:instrText xml:space="preserve"> XE "</w:instrText>
      </w:r>
      <w:r w:rsidR="08FD5987" w:rsidRPr="08071ACF">
        <w:rPr>
          <w:i/>
        </w:rPr>
        <w:instrText>ad mentem Averrois</w:instrText>
      </w:r>
      <w:r w:rsidR="08FD5987">
        <w:instrText xml:space="preserve">" </w:instrText>
      </w:r>
      <w:r w:rsidR="08FD5987">
        <w:rPr>
          <w:i/>
        </w:rPr>
        <w:fldChar w:fldCharType="end"/>
      </w:r>
      <w:r w:rsidR="08236AC9">
        <w:t xml:space="preserve"> odešel do dějinně dané </w:t>
      </w:r>
      <w:r w:rsidR="08236AC9" w:rsidRPr="08EE40D7">
        <w:rPr>
          <w:i/>
        </w:rPr>
        <w:t>léthé</w:t>
      </w:r>
      <w:r w:rsidR="08236AC9">
        <w:t xml:space="preserve"> po ustave</w:t>
      </w:r>
      <w:r w:rsidR="08711E5C">
        <w:t>ní moderny skrze spor z roku 1277</w:t>
      </w:r>
      <w:r w:rsidR="08236AC9">
        <w:fldChar w:fldCharType="begin"/>
      </w:r>
      <w:r w:rsidR="08236AC9">
        <w:instrText xml:space="preserve"> XE "</w:instrText>
      </w:r>
      <w:r w:rsidR="08236AC9" w:rsidRPr="00F50036">
        <w:instrText>teorie dvojí pravdy</w:instrText>
      </w:r>
      <w:r w:rsidR="08236AC9">
        <w:instrText xml:space="preserve">" </w:instrText>
      </w:r>
      <w:r w:rsidR="08236AC9">
        <w:fldChar w:fldCharType="end"/>
      </w:r>
      <w:r w:rsidR="08236AC9">
        <w:t xml:space="preserve">. </w:t>
      </w:r>
      <w:r w:rsidR="08E322DB">
        <w:t xml:space="preserve">Dějinný osud </w:t>
      </w:r>
      <w:r w:rsidR="08236AC9">
        <w:t xml:space="preserve">Pařížské univerzity </w:t>
      </w:r>
      <w:r w:rsidR="08223286">
        <w:t>souzn</w:t>
      </w:r>
      <w:r w:rsidR="084A1FEC">
        <w:t xml:space="preserve">í s původním </w:t>
      </w:r>
      <w:r w:rsidR="08E322DB" w:rsidRPr="084A1FEC">
        <w:rPr>
          <w:i/>
        </w:rPr>
        <w:t>Ereignis</w:t>
      </w:r>
      <w:r w:rsidR="08E322DB">
        <w:t xml:space="preserve"> dějinnosti v archaické pravdě v modu </w:t>
      </w:r>
      <w:r w:rsidR="08E322DB" w:rsidRPr="08E322DB">
        <w:rPr>
          <w:i/>
        </w:rPr>
        <w:t>Anfang</w:t>
      </w:r>
      <w:r w:rsidR="08223286">
        <w:t>, který odešel do let</w:t>
      </w:r>
      <w:r w:rsidR="08E322DB">
        <w:t>argické skrytosti</w:t>
      </w:r>
      <w:r w:rsidR="084A1FEC">
        <w:t xml:space="preserve"> vinou gigantomachie</w:t>
      </w:r>
      <w:r w:rsidR="080102CC">
        <w:t xml:space="preserve"> o substanci, kterou stoupenci adekvační teorie pravdy prohráli </w:t>
      </w:r>
      <w:r w:rsidR="00F70FDC">
        <w:t xml:space="preserve">proti </w:t>
      </w:r>
      <w:r w:rsidR="084A1FEC">
        <w:t>modernist</w:t>
      </w:r>
      <w:r w:rsidR="00F70FDC">
        <w:t>ům</w:t>
      </w:r>
      <w:r w:rsidR="084A1FEC">
        <w:t xml:space="preserve">. </w:t>
      </w:r>
      <w:r w:rsidR="08480696">
        <w:t xml:space="preserve">Pařížská univerzita se dostala nástupem na </w:t>
      </w:r>
      <w:r w:rsidR="08480696" w:rsidRPr="08C219A1">
        <w:rPr>
          <w:i/>
        </w:rPr>
        <w:t>via Modernorum</w:t>
      </w:r>
      <w:r w:rsidR="08480696">
        <w:t xml:space="preserve"> do období postupného úpadku. </w:t>
      </w:r>
      <w:r w:rsidR="08E322DB">
        <w:t xml:space="preserve">Zánik univerzity </w:t>
      </w:r>
      <w:r w:rsidR="08F26805">
        <w:t xml:space="preserve">jako jednotné instituce </w:t>
      </w:r>
      <w:r w:rsidR="08236AC9">
        <w:t xml:space="preserve">zásadně koinciduje s vítězstvím moderny a se smrtí boha </w:t>
      </w:r>
      <w:r w:rsidR="08236AC9" w:rsidRPr="080309F4">
        <w:rPr>
          <w:i/>
        </w:rPr>
        <w:t>Modernorum</w:t>
      </w:r>
      <w:r w:rsidR="08236AC9">
        <w:t xml:space="preserve"> na latinském Západě. V </w:t>
      </w:r>
      <w:r w:rsidR="086364B2">
        <w:t xml:space="preserve">triadickém </w:t>
      </w:r>
      <w:r w:rsidR="08236AC9">
        <w:t xml:space="preserve">výkladu hermeneutiky </w:t>
      </w:r>
      <w:r w:rsidR="089121FD">
        <w:t>plat</w:t>
      </w:r>
      <w:r w:rsidR="086364B2">
        <w:t xml:space="preserve">í, že skrytá dějinnost determinuje dějiny myšlení a ty </w:t>
      </w:r>
      <w:r w:rsidR="089121FD">
        <w:t xml:space="preserve">určují </w:t>
      </w:r>
      <w:r w:rsidR="086364B2">
        <w:t xml:space="preserve">historii akademických institucí. Pak </w:t>
      </w:r>
      <w:r w:rsidR="08236AC9">
        <w:t xml:space="preserve">je jasné, že objektivní konec </w:t>
      </w:r>
      <w:r w:rsidR="08F26805">
        <w:t xml:space="preserve">Pařížské univerzity </w:t>
      </w:r>
      <w:r w:rsidR="08236AC9">
        <w:t xml:space="preserve">nastal v osvícenské postmoderně, kdy </w:t>
      </w:r>
      <w:r w:rsidR="089121FD">
        <w:t xml:space="preserve">zemřel </w:t>
      </w:r>
      <w:r w:rsidR="08236AC9">
        <w:t xml:space="preserve">nejvyšší garant moderní metafyziky. Univerzita je zrušena za Francouzské revoluce v roce 1793 a je nahrazena dnešními specializovanými univerzitami podle různých oborů vědění. </w:t>
      </w:r>
      <w:r w:rsidR="08D63A5F">
        <w:t>Oxfordská</w:t>
      </w:r>
      <w:r w:rsidR="08236AC9">
        <w:t xml:space="preserve"> univerzit</w:t>
      </w:r>
      <w:r w:rsidR="08D63A5F">
        <w:t>a</w:t>
      </w:r>
      <w:r w:rsidR="08236AC9">
        <w:t xml:space="preserve"> </w:t>
      </w:r>
      <w:r w:rsidR="08D63A5F">
        <w:t xml:space="preserve">má </w:t>
      </w:r>
      <w:r w:rsidR="08236AC9">
        <w:t xml:space="preserve"> </w:t>
      </w:r>
      <w:r w:rsidR="087E58E4">
        <w:t xml:space="preserve">zcela jiný </w:t>
      </w:r>
      <w:r w:rsidR="08D63A5F">
        <w:t xml:space="preserve">osud </w:t>
      </w:r>
      <w:r w:rsidR="087E58E4">
        <w:t xml:space="preserve">daný epochálním působením </w:t>
      </w:r>
      <w:r w:rsidR="087E58E4" w:rsidRPr="087E58E4">
        <w:rPr>
          <w:i/>
        </w:rPr>
        <w:t>Oxfordian Fallacy</w:t>
      </w:r>
      <w:r w:rsidR="08236AC9">
        <w:t xml:space="preserve">. Za působení Grossesteho </w:t>
      </w:r>
      <w:r w:rsidR="086520E4">
        <w:t xml:space="preserve">na františkánské koleji </w:t>
      </w:r>
      <w:r w:rsidR="08236AC9">
        <w:t xml:space="preserve">během let 1230‒35 a hlavně po jeho odchodu do Lincolnu se Oxford stal baštou modernismu, který objektivně vítězně vládne </w:t>
      </w:r>
      <w:r w:rsidR="087E58E4">
        <w:t xml:space="preserve">v podobě metafyzického </w:t>
      </w:r>
      <w:r w:rsidR="087E58E4" w:rsidRPr="087E58E4">
        <w:rPr>
          <w:i/>
        </w:rPr>
        <w:t>Irrtum</w:t>
      </w:r>
      <w:r w:rsidR="087E58E4">
        <w:t xml:space="preserve"> </w:t>
      </w:r>
      <w:r w:rsidR="08236AC9">
        <w:t>v akademickém světě až dodnes.</w:t>
      </w:r>
      <w:r w:rsidR="089121FD">
        <w:t xml:space="preserve"> Proto má  zdejší instituce zvaná </w:t>
      </w:r>
      <w:r w:rsidR="089121FD" w:rsidRPr="089121FD">
        <w:rPr>
          <w:rStyle w:val="st"/>
          <w:i/>
        </w:rPr>
        <w:t xml:space="preserve">The </w:t>
      </w:r>
      <w:r w:rsidR="089121FD" w:rsidRPr="089121FD">
        <w:rPr>
          <w:i/>
        </w:rPr>
        <w:t xml:space="preserve">College of the Holy and </w:t>
      </w:r>
      <w:r w:rsidR="089121FD" w:rsidRPr="089121FD">
        <w:rPr>
          <w:i/>
        </w:rPr>
        <w:lastRenderedPageBreak/>
        <w:t>Undivided Trinity in the University of Oxford</w:t>
      </w:r>
      <w:r w:rsidR="089121FD">
        <w:t xml:space="preserve"> epochálně platný a </w:t>
      </w:r>
      <w:r w:rsidR="08B11EBF">
        <w:t xml:space="preserve">zásadně </w:t>
      </w:r>
      <w:r w:rsidR="089121FD">
        <w:t>nedělitelný trojiční úkol. T</w:t>
      </w:r>
      <w:r w:rsidR="08B11EBF">
        <w:t>ato h</w:t>
      </w:r>
      <w:r w:rsidR="089121FD">
        <w:t>i</w:t>
      </w:r>
      <w:r w:rsidR="08B11EBF">
        <w:t>s</w:t>
      </w:r>
      <w:r w:rsidR="089121FD">
        <w:t xml:space="preserve">toricky první akademická bašta modernismu na latinském Západě  </w:t>
      </w:r>
      <w:r w:rsidR="08B11EBF">
        <w:t xml:space="preserve">usiluje </w:t>
      </w:r>
      <w:r w:rsidR="089121FD">
        <w:t xml:space="preserve">z podstaty pravdy dané archaickým způsobem v modu </w:t>
      </w:r>
      <w:r w:rsidR="089121FD" w:rsidRPr="089121FD">
        <w:rPr>
          <w:i/>
        </w:rPr>
        <w:t>Anfang</w:t>
      </w:r>
      <w:r w:rsidR="089121FD">
        <w:t xml:space="preserve"> o zachování jednotné povahy boha </w:t>
      </w:r>
      <w:r w:rsidR="089121FD">
        <w:rPr>
          <w:i/>
        </w:rPr>
        <w:t>Mode</w:t>
      </w:r>
      <w:r w:rsidR="089121FD" w:rsidRPr="089121FD">
        <w:rPr>
          <w:i/>
        </w:rPr>
        <w:t>r</w:t>
      </w:r>
      <w:r w:rsidR="089121FD">
        <w:rPr>
          <w:i/>
        </w:rPr>
        <w:t>n</w:t>
      </w:r>
      <w:r w:rsidR="089121FD" w:rsidRPr="089121FD">
        <w:rPr>
          <w:i/>
        </w:rPr>
        <w:t>orum</w:t>
      </w:r>
      <w:r w:rsidR="08B11EBF">
        <w:t xml:space="preserve"> založené na obraně</w:t>
      </w:r>
      <w:r w:rsidR="089121FD">
        <w:t xml:space="preserve"> objektivní metafyziky a na ni navázaného pojetí vědy v modu </w:t>
      </w:r>
      <w:r w:rsidR="089121FD" w:rsidRPr="089121FD">
        <w:rPr>
          <w:i/>
        </w:rPr>
        <w:t>Oxfordian Fallacy</w:t>
      </w:r>
      <w:r w:rsidR="089121FD">
        <w:t>.</w:t>
      </w:r>
      <w:r w:rsidR="08B11EBF">
        <w:t xml:space="preserve"> A k účinnému plnění tohoto epochálně důležitého úkolu myšlení si tato univerzita založila </w:t>
      </w:r>
      <w:r w:rsidR="08E50219">
        <w:t xml:space="preserve">po objektivním vítězství moderny </w:t>
      </w:r>
      <w:r w:rsidR="08B11EBF">
        <w:t>i příslušné akademické pobočky.</w:t>
      </w:r>
      <w:r w:rsidR="08A00475">
        <w:t xml:space="preserve"> </w:t>
      </w:r>
      <w:r w:rsidR="00832E37" w:rsidRPr="00832E37">
        <w:t xml:space="preserve">V návaznosti na pythijskou pravdu </w:t>
      </w:r>
      <w:r w:rsidR="00832E37">
        <w:t xml:space="preserve">počátku </w:t>
      </w:r>
      <w:r w:rsidR="00832E37" w:rsidRPr="00832E37">
        <w:t xml:space="preserve">dokazuje skrytý účinek pravdy jako </w:t>
      </w:r>
      <w:r w:rsidR="00832E37" w:rsidRPr="08A00475">
        <w:rPr>
          <w:i/>
        </w:rPr>
        <w:t>a/lé</w:t>
      </w:r>
      <w:r w:rsidR="00832E37">
        <w:rPr>
          <w:i/>
        </w:rPr>
        <w:t>t</w:t>
      </w:r>
      <w:r w:rsidR="00832E37" w:rsidRPr="08A00475">
        <w:rPr>
          <w:i/>
        </w:rPr>
        <w:t>heia</w:t>
      </w:r>
      <w:r w:rsidR="00832E37">
        <w:rPr>
          <w:i/>
        </w:rPr>
        <w:fldChar w:fldCharType="begin"/>
      </w:r>
      <w:r w:rsidR="00832E37">
        <w:instrText xml:space="preserve"> XE "</w:instrText>
      </w:r>
      <w:r w:rsidR="00832E37" w:rsidRPr="087F7066">
        <w:rPr>
          <w:i/>
        </w:rPr>
        <w:instrText>a/létheia</w:instrText>
      </w:r>
      <w:r w:rsidR="00832E37">
        <w:instrText xml:space="preserve">" </w:instrText>
      </w:r>
      <w:r w:rsidR="00832E37">
        <w:rPr>
          <w:i/>
        </w:rPr>
        <w:fldChar w:fldCharType="end"/>
      </w:r>
      <w:r w:rsidR="00832E37">
        <w:t xml:space="preserve"> úpadek P</w:t>
      </w:r>
      <w:r w:rsidR="00832E37" w:rsidRPr="00832E37">
        <w:t xml:space="preserve">ařížské univerzity, která se přeměnila na autonomní fakulty. Podobně, v návaznosti na pythijskou ne-pravdu, tento osud vysvětluje šíření objektivních odnoží vítězné Oxfordské univerzity. Její ekonomicky prosperující pobočky a vědecké instituce účinně zaváděly novou </w:t>
      </w:r>
      <w:r w:rsidR="00832E37" w:rsidRPr="083968FF">
        <w:rPr>
          <w:i/>
        </w:rPr>
        <w:t>mathesis universalis</w:t>
      </w:r>
      <w:r w:rsidR="00832E37">
        <w:t xml:space="preserve"> </w:t>
      </w:r>
      <w:r w:rsidR="00832E37" w:rsidRPr="00832E37">
        <w:t>do světa ovládaného anglosaským imperialismem.</w:t>
      </w:r>
      <w:r w:rsidR="00832E37">
        <w:t xml:space="preserve"> </w:t>
      </w:r>
      <w:r w:rsidR="08454523">
        <w:t xml:space="preserve">Zánik mystérií v pozdní antice a smrt moderního boha v nihilistickém prostředí pozdních evropských iluminátů </w:t>
      </w:r>
      <w:r w:rsidR="081F53C6">
        <w:t>představuje</w:t>
      </w:r>
      <w:r w:rsidR="08454523">
        <w:t xml:space="preserve"> pro archaickou hermeneutiku zásadní </w:t>
      </w:r>
      <w:r w:rsidR="08454523" w:rsidRPr="08E7736E">
        <w:rPr>
          <w:i/>
        </w:rPr>
        <w:t>Ereignis</w:t>
      </w:r>
      <w:r w:rsidR="08454523">
        <w:t xml:space="preserve"> m</w:t>
      </w:r>
      <w:r w:rsidR="00FB7E0A">
        <w:t>ěnící metafyzický výklad světa.</w:t>
      </w:r>
    </w:p>
    <w:p w14:paraId="19F22E6E" w14:textId="7E213830" w:rsidR="083A32D9" w:rsidRPr="000C151A" w:rsidRDefault="08964124" w:rsidP="00FB7E0A">
      <w:pPr>
        <w:ind w:firstLine="397"/>
      </w:pPr>
      <w:r>
        <w:t xml:space="preserve">Spor o výklad metafyziky </w:t>
      </w:r>
      <w:r w:rsidRPr="082A2153">
        <w:rPr>
          <w:i/>
        </w:rPr>
        <w:t>ad mentem Averrois</w:t>
      </w:r>
      <w:r>
        <w:t xml:space="preserve"> ustavil od roku 1230 dvojí formu nové scholastické metafyziky ukončené smrtí moderního boha, zánikem univerzity </w:t>
      </w:r>
      <w:r w:rsidR="000477F6">
        <w:t xml:space="preserve">poražených antimodernistů a globální dominací </w:t>
      </w:r>
      <w:r>
        <w:t xml:space="preserve">univerzity </w:t>
      </w:r>
      <w:r w:rsidR="000477F6">
        <w:t xml:space="preserve">vítězných </w:t>
      </w:r>
      <w:r>
        <w:t xml:space="preserve">modernistů. </w:t>
      </w:r>
      <w:r w:rsidR="088A3AF5">
        <w:t>P</w:t>
      </w:r>
      <w:r w:rsidR="08AB6764">
        <w:t>ůsobení dějinnosti v</w:t>
      </w:r>
      <w:r w:rsidR="008B4AE7">
        <w:t xml:space="preserve"> se děje v </w:t>
      </w:r>
      <w:r w:rsidR="08AB6764">
        <w:t>modu božské tragikomedie</w:t>
      </w:r>
      <w:r w:rsidR="08AB6764">
        <w:fldChar w:fldCharType="begin"/>
      </w:r>
      <w:r w:rsidR="08AB6764">
        <w:instrText xml:space="preserve"> XE "</w:instrText>
      </w:r>
      <w:r w:rsidR="08AB6764" w:rsidRPr="082A02C0">
        <w:instrText>božská komedie</w:instrText>
      </w:r>
      <w:r w:rsidR="08AB6764">
        <w:instrText xml:space="preserve">" </w:instrText>
      </w:r>
      <w:r w:rsidR="08AB6764">
        <w:fldChar w:fldCharType="end"/>
      </w:r>
      <w:r w:rsidR="08AB6764">
        <w:t xml:space="preserve"> dané </w:t>
      </w:r>
      <w:r w:rsidR="088A3AF5">
        <w:t xml:space="preserve">vznikem a </w:t>
      </w:r>
      <w:r w:rsidR="08AB6764">
        <w:t xml:space="preserve">smrtí boha </w:t>
      </w:r>
      <w:r w:rsidR="08AB6764" w:rsidRPr="087B264D">
        <w:rPr>
          <w:i/>
        </w:rPr>
        <w:t>Modernorum</w:t>
      </w:r>
      <w:r w:rsidR="008B4AE7">
        <w:t xml:space="preserve">. Tuto epochální událost </w:t>
      </w:r>
      <w:r w:rsidR="08AB6764">
        <w:t xml:space="preserve">je třeba vyložit skrze filosofické spory v letech 1225‒35. </w:t>
      </w:r>
      <w:r w:rsidR="08A070C7" w:rsidRPr="08657A52">
        <w:t xml:space="preserve">Pojetí múzicky dané pravdy jako </w:t>
      </w:r>
      <w:r w:rsidR="08A070C7" w:rsidRPr="08657A52">
        <w:rPr>
          <w:i/>
        </w:rPr>
        <w:t>a/létheia</w:t>
      </w:r>
      <w:r w:rsidR="08A070C7" w:rsidRPr="08657A52">
        <w:t xml:space="preserve"> </w:t>
      </w:r>
      <w:r w:rsidR="08797246">
        <w:t xml:space="preserve">s ohledem na tato důležitá </w:t>
      </w:r>
      <w:r w:rsidR="08797246">
        <w:rPr>
          <w:i/>
        </w:rPr>
        <w:t>facta</w:t>
      </w:r>
      <w:r w:rsidR="08797246">
        <w:t xml:space="preserve"> myšlení </w:t>
      </w:r>
      <w:r w:rsidR="08A070C7" w:rsidRPr="08657A52">
        <w:t>zakládá</w:t>
      </w:r>
      <w:r w:rsidR="08A070C7">
        <w:t xml:space="preserve"> dvojí dějiny metafyziky</w:t>
      </w:r>
      <w:r w:rsidR="0821126C">
        <w:t xml:space="preserve">. </w:t>
      </w:r>
      <w:bookmarkStart w:id="57" w:name="_Toc487234300"/>
      <w:r w:rsidR="086860ED">
        <w:t>Dějinnou manifestaci objektivity je třeba vyložit v její pravdě a omylu (</w:t>
      </w:r>
      <w:r w:rsidR="086860ED" w:rsidRPr="0821126C">
        <w:rPr>
          <w:i/>
        </w:rPr>
        <w:t>Irrtum</w:t>
      </w:r>
      <w:r w:rsidR="086860ED">
        <w:t xml:space="preserve">) podaných podle hermeneutické kritiky metafyziky vyložené v úvodu prvního dílu. Pravda moderní metafyziky vyložená v modu </w:t>
      </w:r>
      <w:r w:rsidR="086860ED" w:rsidRPr="08F50E70">
        <w:rPr>
          <w:i/>
        </w:rPr>
        <w:t>alétheia</w:t>
      </w:r>
      <w:r w:rsidR="086860ED">
        <w:t xml:space="preserve"> musí zrušit destruktivní působení obranného mechanismu </w:t>
      </w:r>
      <w:r w:rsidR="086860ED" w:rsidRPr="08F50E70">
        <w:rPr>
          <w:i/>
        </w:rPr>
        <w:t>Verkehrung ins Gegenteil</w:t>
      </w:r>
      <w:r w:rsidR="086860ED">
        <w:rPr>
          <w:i/>
        </w:rPr>
        <w:fldChar w:fldCharType="begin"/>
      </w:r>
      <w:r w:rsidR="086860ED">
        <w:instrText xml:space="preserve"> XE "</w:instrText>
      </w:r>
      <w:r w:rsidR="086860ED" w:rsidRPr="084A63B9">
        <w:rPr>
          <w:i/>
        </w:rPr>
        <w:instrText>Verkehrung ins Gegenteil</w:instrText>
      </w:r>
      <w:r w:rsidR="086860ED">
        <w:instrText xml:space="preserve">" </w:instrText>
      </w:r>
      <w:r w:rsidR="086860ED">
        <w:rPr>
          <w:i/>
        </w:rPr>
        <w:fldChar w:fldCharType="end"/>
      </w:r>
      <w:r w:rsidR="086860ED">
        <w:t xml:space="preserve">. Objektivní výklad dějin metafyziky se řídí pravdou </w:t>
      </w:r>
      <w:r w:rsidR="086860ED" w:rsidRPr="00FC4BFE">
        <w:rPr>
          <w:i/>
        </w:rPr>
        <w:t>veritas</w:t>
      </w:r>
      <w:r w:rsidR="086860ED">
        <w:rPr>
          <w:i/>
        </w:rPr>
        <w:fldChar w:fldCharType="begin"/>
      </w:r>
      <w:r w:rsidR="086860ED">
        <w:instrText xml:space="preserve"> XE "</w:instrText>
      </w:r>
      <w:r w:rsidR="086860ED" w:rsidRPr="005C476F">
        <w:rPr>
          <w:i/>
        </w:rPr>
        <w:instrText>veritas</w:instrText>
      </w:r>
      <w:r w:rsidR="086860ED">
        <w:instrText xml:space="preserve">" </w:instrText>
      </w:r>
      <w:r w:rsidR="086860ED">
        <w:rPr>
          <w:i/>
        </w:rPr>
        <w:fldChar w:fldCharType="end"/>
      </w:r>
      <w:r w:rsidR="086860ED">
        <w:t xml:space="preserve">. Archaická hermeneutika hledá se Sokratem pythickou </w:t>
      </w:r>
      <w:r w:rsidR="086860ED" w:rsidRPr="000C151A">
        <w:rPr>
          <w:i/>
        </w:rPr>
        <w:t>a/létheia</w:t>
      </w:r>
      <w:r w:rsidR="086860ED">
        <w:rPr>
          <w:i/>
        </w:rPr>
        <w:fldChar w:fldCharType="begin"/>
      </w:r>
      <w:r w:rsidR="086860ED">
        <w:instrText xml:space="preserve"> XE "</w:instrText>
      </w:r>
      <w:r w:rsidR="086860ED" w:rsidRPr="00613D2F">
        <w:rPr>
          <w:i/>
        </w:rPr>
        <w:instrText>a/létheia</w:instrText>
      </w:r>
      <w:r w:rsidR="086860ED">
        <w:instrText xml:space="preserve">" </w:instrText>
      </w:r>
      <w:r w:rsidR="086860ED">
        <w:rPr>
          <w:i/>
        </w:rPr>
        <w:fldChar w:fldCharType="end"/>
      </w:r>
      <w:r w:rsidR="086860ED">
        <w:t>. Apollinské Múzy chrání a podávají vědoucímu rapsódovi a filosofovi pravdu i omyl současně. Novou podobu jsoucna určuje událost skrytého bytí (</w:t>
      </w:r>
      <w:r w:rsidR="086860ED" w:rsidRPr="001817A8">
        <w:rPr>
          <w:i/>
        </w:rPr>
        <w:t>Ereignis</w:t>
      </w:r>
      <w:r w:rsidR="086860ED">
        <w:rPr>
          <w:i/>
        </w:rPr>
        <w:fldChar w:fldCharType="begin"/>
      </w:r>
      <w:r w:rsidR="086860ED">
        <w:instrText xml:space="preserve"> XE "</w:instrText>
      </w:r>
      <w:r w:rsidR="086860ED" w:rsidRPr="00D55AAF">
        <w:rPr>
          <w:i/>
        </w:rPr>
        <w:instrText>Ereignis</w:instrText>
      </w:r>
      <w:r w:rsidR="086860ED">
        <w:instrText xml:space="preserve">" </w:instrText>
      </w:r>
      <w:r w:rsidR="086860ED">
        <w:rPr>
          <w:i/>
        </w:rPr>
        <w:fldChar w:fldCharType="end"/>
      </w:r>
      <w:r w:rsidR="086860ED">
        <w:t xml:space="preserve">). Dějinnost objektivity představuje pravdu a omyl v původní ante-metafyzické podobě </w:t>
      </w:r>
      <w:r w:rsidR="086860ED" w:rsidRPr="004C6A2C">
        <w:rPr>
          <w:i/>
        </w:rPr>
        <w:t>tertium ens</w:t>
      </w:r>
      <w:r w:rsidR="086860ED">
        <w:rPr>
          <w:i/>
        </w:rPr>
        <w:fldChar w:fldCharType="begin"/>
      </w:r>
      <w:r w:rsidR="086860ED">
        <w:instrText xml:space="preserve"> XE "</w:instrText>
      </w:r>
      <w:r w:rsidR="086860ED" w:rsidRPr="00C6777D">
        <w:rPr>
          <w:i/>
        </w:rPr>
        <w:instrText>tertium ens</w:instrText>
      </w:r>
      <w:r w:rsidR="086860ED">
        <w:instrText xml:space="preserve">" </w:instrText>
      </w:r>
      <w:r w:rsidR="086860ED">
        <w:rPr>
          <w:i/>
        </w:rPr>
        <w:fldChar w:fldCharType="end"/>
      </w:r>
      <w:r w:rsidR="086860ED">
        <w:t xml:space="preserve"> (OBJ I, kap. 1.2). Múzický výklad vzniku objektivity hledá původní smysl gigantomachie o substanci daný odlišnou zakládající událostí Pařížské a Oxfordské univerzity. Scotus působí </w:t>
      </w:r>
      <w:r w:rsidR="086860ED">
        <w:lastRenderedPageBreak/>
        <w:t xml:space="preserve">v Paříži okolo roku 1230 a po jeho působení odchází Grosseteste ze své </w:t>
      </w:r>
      <w:r w:rsidR="086860ED" w:rsidRPr="00646B1D">
        <w:rPr>
          <w:i/>
        </w:rPr>
        <w:t>alma mater</w:t>
      </w:r>
      <w:r w:rsidR="086860ED">
        <w:t xml:space="preserve"> a přichází na Oxford. Dějiny myšlení a historické události v letech 1225–35 představují původní </w:t>
      </w:r>
      <w:r w:rsidR="086860ED" w:rsidRPr="001817A8">
        <w:rPr>
          <w:i/>
        </w:rPr>
        <w:t>Lichtung</w:t>
      </w:r>
      <w:r w:rsidR="086860ED">
        <w:rPr>
          <w:i/>
        </w:rPr>
        <w:fldChar w:fldCharType="begin"/>
      </w:r>
      <w:r w:rsidR="086860ED">
        <w:instrText xml:space="preserve"> XE "</w:instrText>
      </w:r>
      <w:r w:rsidR="086860ED" w:rsidRPr="004421DA">
        <w:rPr>
          <w:i/>
        </w:rPr>
        <w:instrText>Lichtung</w:instrText>
      </w:r>
      <w:r w:rsidR="086860ED">
        <w:instrText xml:space="preserve">" </w:instrText>
      </w:r>
      <w:r w:rsidR="086860ED">
        <w:rPr>
          <w:i/>
        </w:rPr>
        <w:fldChar w:fldCharType="end"/>
      </w:r>
      <w:r w:rsidR="086860ED">
        <w:t xml:space="preserve"> moderny dané v pythickém modu </w:t>
      </w:r>
      <w:r w:rsidR="086860ED" w:rsidRPr="004C6A2C">
        <w:rPr>
          <w:i/>
        </w:rPr>
        <w:t>a/létheia</w:t>
      </w:r>
      <w:r w:rsidR="086860ED">
        <w:rPr>
          <w:i/>
        </w:rPr>
        <w:fldChar w:fldCharType="begin"/>
      </w:r>
      <w:r w:rsidR="086860ED">
        <w:instrText xml:space="preserve"> XE "</w:instrText>
      </w:r>
      <w:r w:rsidR="086860ED" w:rsidRPr="002A07C9">
        <w:rPr>
          <w:i/>
        </w:rPr>
        <w:instrText>a/létheia</w:instrText>
      </w:r>
      <w:r w:rsidR="086860ED">
        <w:instrText xml:space="preserve">" </w:instrText>
      </w:r>
      <w:r w:rsidR="086860ED">
        <w:rPr>
          <w:i/>
        </w:rPr>
        <w:fldChar w:fldCharType="end"/>
      </w:r>
      <w:r w:rsidR="086860ED">
        <w:t xml:space="preserve">. Zakládající </w:t>
      </w:r>
      <w:r w:rsidR="00CB1CFF">
        <w:t xml:space="preserve">metafyzická </w:t>
      </w:r>
      <w:r w:rsidR="086860ED">
        <w:t>událost (</w:t>
      </w:r>
      <w:r w:rsidR="00CB1CFF">
        <w:rPr>
          <w:i/>
        </w:rPr>
        <w:t>Beginn</w:t>
      </w:r>
      <w:r w:rsidR="086860ED">
        <w:t>) moderny působí skrze odlišnou recepci Aristotela a arabských vykladačů v Paříži a v Oxfordu. Historické působení tohoto počátku založilo odlišné dějiny obou univerzit až do osudového odsouzení klasických aristoteliků v roce 1277, kdy se oficiálně prosadila moderna i na Pařížské univerzitě. Tím je dán historický a objektivní začátek (</w:t>
      </w:r>
      <w:r w:rsidR="086860ED" w:rsidRPr="004C6A2C">
        <w:rPr>
          <w:i/>
        </w:rPr>
        <w:t>Beginn</w:t>
      </w:r>
      <w:r w:rsidR="086860ED">
        <w:rPr>
          <w:i/>
        </w:rPr>
        <w:fldChar w:fldCharType="begin"/>
      </w:r>
      <w:r w:rsidR="086860ED">
        <w:instrText xml:space="preserve"> XE "</w:instrText>
      </w:r>
      <w:r w:rsidR="086860ED" w:rsidRPr="000E56D4">
        <w:rPr>
          <w:i/>
        </w:rPr>
        <w:instrText>Beginn</w:instrText>
      </w:r>
      <w:r w:rsidR="086860ED">
        <w:instrText xml:space="preserve">" </w:instrText>
      </w:r>
      <w:r w:rsidR="086860ED">
        <w:rPr>
          <w:i/>
        </w:rPr>
        <w:fldChar w:fldCharType="end"/>
      </w:r>
      <w:r w:rsidR="086860ED">
        <w:t xml:space="preserve">) cesty Moderních. Dnešní vyústění tohoto skrytého sporu mezi Paříží a Oxfordem je </w:t>
      </w:r>
      <w:r w:rsidR="00143E5E">
        <w:t xml:space="preserve">určeno </w:t>
      </w:r>
      <w:r w:rsidR="086860ED">
        <w:t>skrze globální tragédii metafyzického nihilismu</w:t>
      </w:r>
      <w:r w:rsidR="00427FDB">
        <w:t xml:space="preserve"> a vznikem epochy zvané „antropocén“</w:t>
      </w:r>
      <w:r w:rsidR="086860ED">
        <w:t>.</w:t>
      </w:r>
    </w:p>
    <w:p w14:paraId="7AEBFAF0" w14:textId="1608E0DC" w:rsidR="083537A0" w:rsidRDefault="00C51568" w:rsidP="086C1F19">
      <w:pPr>
        <w:pStyle w:val="Nadpis3"/>
      </w:pPr>
      <w:bookmarkStart w:id="58" w:name="_Toc12558307"/>
      <w:r>
        <w:rPr>
          <w:lang w:val="cs-CZ"/>
        </w:rPr>
        <w:br w:type="page"/>
      </w:r>
      <w:bookmarkStart w:id="59" w:name="_Toc160449319"/>
      <w:r w:rsidR="08D20D28">
        <w:rPr>
          <w:lang w:val="cs-CZ"/>
        </w:rPr>
        <w:lastRenderedPageBreak/>
        <w:t>2</w:t>
      </w:r>
      <w:r w:rsidR="083537A0">
        <w:t>.2.1 Založení prvního averroismu (</w:t>
      </w:r>
      <w:r w:rsidR="089A1B6F">
        <w:rPr>
          <w:i/>
        </w:rPr>
        <w:t>De anima et de potenciis eius</w:t>
      </w:r>
      <w:r w:rsidR="083537A0">
        <w:t>)</w:t>
      </w:r>
      <w:bookmarkEnd w:id="57"/>
      <w:bookmarkEnd w:id="58"/>
      <w:bookmarkEnd w:id="59"/>
    </w:p>
    <w:p w14:paraId="4A06C63E" w14:textId="108BB4D5" w:rsidR="08671CCC" w:rsidRDefault="000767A5" w:rsidP="08671CCC">
      <w:pPr>
        <w:tabs>
          <w:tab w:val="right" w:pos="210"/>
        </w:tabs>
      </w:pPr>
      <w:r w:rsidRPr="00273106">
        <w:t>R</w:t>
      </w:r>
      <w:r w:rsidRPr="00273106">
        <w:rPr>
          <w:szCs w:val="18"/>
        </w:rPr>
        <w:t xml:space="preserve">ozbor traktátu </w:t>
      </w:r>
      <w:r w:rsidR="089A1B6F">
        <w:rPr>
          <w:i/>
        </w:rPr>
        <w:t>De anima et de potenciis eius</w:t>
      </w:r>
      <w:r w:rsidRPr="00273106">
        <w:rPr>
          <w:i/>
        </w:rPr>
        <w:t xml:space="preserve"> </w:t>
      </w:r>
      <w:r w:rsidR="08B142D5">
        <w:t xml:space="preserve">psaného někdy roku </w:t>
      </w:r>
      <w:r w:rsidRPr="00273106">
        <w:t>1225</w:t>
      </w:r>
      <w:r w:rsidR="00890E04">
        <w:t xml:space="preserve"> ukazuje</w:t>
      </w:r>
      <w:r w:rsidRPr="00273106">
        <w:t xml:space="preserve">, jak Blundovu interpretaci </w:t>
      </w:r>
      <w:r>
        <w:rPr>
          <w:i/>
        </w:rPr>
        <w:t>De a</w:t>
      </w:r>
      <w:r w:rsidRPr="00273106">
        <w:rPr>
          <w:i/>
        </w:rPr>
        <w:t>nima</w:t>
      </w:r>
      <w:r w:rsidRPr="00273106">
        <w:t xml:space="preserve"> ovlivnil příchod </w:t>
      </w:r>
      <w:r w:rsidR="002E3B62">
        <w:t>Averroes</w:t>
      </w:r>
      <w:r w:rsidRPr="00273106">
        <w:t>ovy filosofie</w:t>
      </w:r>
      <w:r w:rsidR="0020296F">
        <w:t xml:space="preserve"> </w:t>
      </w:r>
      <w:r w:rsidR="00747781">
        <w:t xml:space="preserve">podané podle </w:t>
      </w:r>
      <w:r w:rsidR="0020296F">
        <w:t>Toledské školy</w:t>
      </w:r>
      <w:r w:rsidR="0020296F">
        <w:fldChar w:fldCharType="begin"/>
      </w:r>
      <w:r w:rsidR="0020296F">
        <w:instrText xml:space="preserve"> XE "</w:instrText>
      </w:r>
      <w:r w:rsidR="004A155A">
        <w:instrText>Toledská škola</w:instrText>
      </w:r>
      <w:r w:rsidR="0020296F">
        <w:instrText xml:space="preserve">" </w:instrText>
      </w:r>
      <w:r w:rsidR="0020296F">
        <w:fldChar w:fldCharType="end"/>
      </w:r>
      <w:r w:rsidR="00E85D9E">
        <w:t xml:space="preserve">. </w:t>
      </w:r>
      <w:r w:rsidR="00A64C95">
        <w:t>V</w:t>
      </w:r>
      <w:r w:rsidR="00BE1FD7" w:rsidRPr="00273106">
        <w:t xml:space="preserve">ýznam </w:t>
      </w:r>
      <w:r w:rsidR="00A64C95">
        <w:t xml:space="preserve">tohoto traktátu </w:t>
      </w:r>
      <w:r w:rsidR="00D76DDB" w:rsidRPr="00273106">
        <w:t xml:space="preserve">pro první averroismus </w:t>
      </w:r>
      <w:r w:rsidR="00BE1FD7" w:rsidRPr="00273106">
        <w:t>mistrovsk</w:t>
      </w:r>
      <w:r w:rsidR="00284DBA" w:rsidRPr="00273106">
        <w:t xml:space="preserve">y zhodnotil </w:t>
      </w:r>
      <w:r w:rsidR="008A288F" w:rsidRPr="00080E8E">
        <w:t>Ren</w:t>
      </w:r>
      <w:r w:rsidR="008A288F">
        <w:t>é-</w:t>
      </w:r>
      <w:r w:rsidR="008A288F" w:rsidRPr="00080E8E">
        <w:t>Antoine</w:t>
      </w:r>
      <w:r w:rsidR="008A288F">
        <w:t xml:space="preserve"> </w:t>
      </w:r>
      <w:r w:rsidR="00675E1E" w:rsidRPr="00273106">
        <w:t>Gauthier</w:t>
      </w:r>
      <w:r w:rsidR="009F574C">
        <w:fldChar w:fldCharType="begin"/>
      </w:r>
      <w:r w:rsidR="009F574C">
        <w:instrText xml:space="preserve"> XE "</w:instrText>
      </w:r>
      <w:r w:rsidR="009F574C" w:rsidRPr="00B030E6">
        <w:rPr>
          <w:lang w:eastAsia="en-US"/>
        </w:rPr>
        <w:instrText>Gauthier, A. R.</w:instrText>
      </w:r>
      <w:r w:rsidR="009F574C">
        <w:instrText xml:space="preserve">" </w:instrText>
      </w:r>
      <w:r w:rsidR="009F574C">
        <w:fldChar w:fldCharType="end"/>
      </w:r>
      <w:r w:rsidR="00675E1E" w:rsidRPr="00273106">
        <w:t xml:space="preserve"> </w:t>
      </w:r>
      <w:r w:rsidR="00D859CF" w:rsidRPr="00273106">
        <w:t xml:space="preserve">v kritickém vydání </w:t>
      </w:r>
      <w:r w:rsidR="00A043A7" w:rsidRPr="00273106">
        <w:t xml:space="preserve">tohoto </w:t>
      </w:r>
      <w:r w:rsidR="00DE73EE">
        <w:t xml:space="preserve">spisu </w:t>
      </w:r>
      <w:r w:rsidR="00675E1E" w:rsidRPr="00273106">
        <w:t xml:space="preserve">v návaznosti na myšlenkově podobný </w:t>
      </w:r>
      <w:r w:rsidR="00742BDE" w:rsidRPr="00273106">
        <w:t xml:space="preserve">teologický </w:t>
      </w:r>
      <w:r w:rsidR="00675E1E" w:rsidRPr="00273106">
        <w:t xml:space="preserve">traktát </w:t>
      </w:r>
      <w:r w:rsidR="00675E1E" w:rsidRPr="00273106">
        <w:rPr>
          <w:i/>
        </w:rPr>
        <w:t>De potenciis animae et obiectis</w:t>
      </w:r>
      <w:r w:rsidR="00675E1E" w:rsidRPr="00273106">
        <w:t xml:space="preserve"> (</w:t>
      </w:r>
      <w:r w:rsidR="00A4007E">
        <w:t xml:space="preserve">kolem 1230). </w:t>
      </w:r>
      <w:r w:rsidR="08073B8A">
        <w:t>Z aristoteliků Boethiova a Abelardova typu se stali první averroisté hned po příchodu Averroesova korpusu Toledské školy, protože jej správně interpretovali proti Avicennovi.</w:t>
      </w:r>
      <w:r w:rsidR="08671CCC">
        <w:t xml:space="preserve"> </w:t>
      </w:r>
      <w:r w:rsidR="00BE600F">
        <w:rPr>
          <w:lang w:eastAsia="en-US"/>
        </w:rPr>
        <w:t xml:space="preserve">Robert </w:t>
      </w:r>
      <w:r w:rsidR="086C105D">
        <w:t xml:space="preserve">Grosseteste jako pravděpodobný autor tohoto spisu </w:t>
      </w:r>
      <w:r w:rsidR="08720EFC" w:rsidRPr="00273106">
        <w:t xml:space="preserve">navazuje na realistickou pozici Abelarda a logiků typu </w:t>
      </w:r>
      <w:r w:rsidR="08720EFC" w:rsidRPr="00273106">
        <w:rPr>
          <w:i/>
        </w:rPr>
        <w:t>Tractatus Anagnini</w:t>
      </w:r>
      <w:r w:rsidR="08720EFC" w:rsidRPr="00273106">
        <w:t xml:space="preserve">. </w:t>
      </w:r>
      <w:r w:rsidR="00A4007E" w:rsidRPr="00273106">
        <w:t xml:space="preserve">Není náhodou, že první přímá citace </w:t>
      </w:r>
      <w:r w:rsidR="00A4007E">
        <w:t>Averroes</w:t>
      </w:r>
      <w:r w:rsidR="00A4007E" w:rsidRPr="00273106">
        <w:t xml:space="preserve">e na latinském Západě je zamířena proti určení člověka ve škole </w:t>
      </w:r>
      <w:r w:rsidR="00A4007E" w:rsidRPr="00273106">
        <w:rPr>
          <w:i/>
        </w:rPr>
        <w:t>Nominales</w:t>
      </w:r>
      <w:r w:rsidR="080C4616">
        <w:t xml:space="preserve"> a proti toletánské neoplatonské škole.</w:t>
      </w:r>
      <w:r w:rsidR="08FF5B3E" w:rsidRPr="08FF5B3E">
        <w:t xml:space="preserve"> </w:t>
      </w:r>
      <w:r w:rsidR="08FF5B3E">
        <w:t>Citujme klíčovou část první pozitivní recepce Averroese na latinském Západě, která brání hylemorfickou jednotu organismu a osoby</w:t>
      </w:r>
      <w:r w:rsidR="08FF5B3E" w:rsidRPr="08C74EAD">
        <w:t xml:space="preserve"> </w:t>
      </w:r>
      <w:r w:rsidR="08FF5B3E">
        <w:t>proti modernistům.</w:t>
      </w:r>
    </w:p>
    <w:p w14:paraId="00F01883" w14:textId="6C798376" w:rsidR="08671CCC" w:rsidRPr="00636BAC" w:rsidRDefault="08671CCC" w:rsidP="08671CCC">
      <w:pPr>
        <w:pStyle w:val="Citace"/>
        <w:rPr>
          <w:lang w:val="cs-CZ"/>
        </w:rPr>
      </w:pPr>
      <w:r>
        <w:t xml:space="preserve">„Toletanus jako překladatel [Dominicus Gundissalinus] </w:t>
      </w:r>
      <w:r>
        <w:rPr>
          <w:lang w:val="cs-CZ"/>
        </w:rPr>
        <w:t>však kladl obojí bytí dané v definici duše (</w:t>
      </w:r>
      <w:r w:rsidRPr="00881DEA">
        <w:rPr>
          <w:i/>
        </w:rPr>
        <w:t xml:space="preserve">utrumque intelligit esse ponendum in </w:t>
      </w:r>
      <w:r w:rsidRPr="00881DEA">
        <w:rPr>
          <w:i/>
          <w:lang w:val="cs-CZ"/>
        </w:rPr>
        <w:t>di</w:t>
      </w:r>
      <w:r w:rsidRPr="00881DEA">
        <w:rPr>
          <w:i/>
        </w:rPr>
        <w:t>f</w:t>
      </w:r>
      <w:r w:rsidRPr="00881DEA">
        <w:rPr>
          <w:i/>
          <w:lang w:val="cs-CZ"/>
        </w:rPr>
        <w:t>f</w:t>
      </w:r>
      <w:r w:rsidRPr="00881DEA">
        <w:rPr>
          <w:i/>
        </w:rPr>
        <w:t>initione anime</w:t>
      </w:r>
      <w:r>
        <w:rPr>
          <w:lang w:val="cs-CZ"/>
        </w:rPr>
        <w:t>) tímto způsobem:  «Duše je prvním aktem těla daného fyzikálně a biologicky, která má schopnost života (</w:t>
      </w:r>
      <w:r w:rsidRPr="00636BAC">
        <w:rPr>
          <w:i/>
        </w:rPr>
        <w:t>potencia uitam habentis</w:t>
      </w:r>
      <w:r>
        <w:rPr>
          <w:lang w:val="cs-CZ"/>
        </w:rPr>
        <w:t>)</w:t>
      </w:r>
      <w:r w:rsidR="00A41AAB">
        <w:rPr>
          <w:lang w:val="cs-CZ"/>
        </w:rPr>
        <w:t>». Ale jak já predikuji termín «organismus»</w:t>
      </w:r>
      <w:r>
        <w:rPr>
          <w:lang w:val="cs-CZ"/>
        </w:rPr>
        <w:t xml:space="preserve"> (</w:t>
      </w:r>
      <w:r w:rsidRPr="003B6CCC">
        <w:rPr>
          <w:i/>
          <w:lang w:val="cs-CZ"/>
        </w:rPr>
        <w:t xml:space="preserve">dico </w:t>
      </w:r>
      <w:r w:rsidRPr="003B6CCC">
        <w:rPr>
          <w:i/>
        </w:rPr>
        <w:t>organici</w:t>
      </w:r>
      <w:r>
        <w:rPr>
          <w:lang w:val="cs-CZ"/>
        </w:rPr>
        <w:t xml:space="preserve">), tak jsou vyloučeny ty fyzikální elementy, které nejsou biologické, jako </w:t>
      </w:r>
      <w:r w:rsidR="086C535F">
        <w:rPr>
          <w:lang w:val="cs-CZ"/>
        </w:rPr>
        <w:t xml:space="preserve">kosmické </w:t>
      </w:r>
      <w:r>
        <w:rPr>
          <w:lang w:val="cs-CZ"/>
        </w:rPr>
        <w:t xml:space="preserve">živly a </w:t>
      </w:r>
      <w:r w:rsidR="086C535F">
        <w:rPr>
          <w:lang w:val="cs-CZ"/>
        </w:rPr>
        <w:t>přírodní elementy</w:t>
      </w:r>
      <w:r>
        <w:rPr>
          <w:lang w:val="cs-CZ"/>
        </w:rPr>
        <w:t xml:space="preserve"> (</w:t>
      </w:r>
      <w:r w:rsidRPr="00636BAC">
        <w:rPr>
          <w:i/>
        </w:rPr>
        <w:t>elementa et elementata</w:t>
      </w:r>
      <w:r>
        <w:rPr>
          <w:lang w:val="cs-CZ"/>
        </w:rPr>
        <w:t>). Skrze tento rozdíl (</w:t>
      </w:r>
      <w:r w:rsidRPr="00881DEA">
        <w:rPr>
          <w:i/>
        </w:rPr>
        <w:t>excluduntur per hanc differenciam</w:t>
      </w:r>
      <w:r>
        <w:rPr>
          <w:lang w:val="cs-CZ"/>
        </w:rPr>
        <w:t>) je vyloučena krev a sperma. A [Toletánský] považuje mrtvá těla zvířa</w:t>
      </w:r>
      <w:r w:rsidR="08BD20D0">
        <w:rPr>
          <w:lang w:val="cs-CZ"/>
        </w:rPr>
        <w:t xml:space="preserve">t za organismus. Proto, aby tento organismus </w:t>
      </w:r>
      <w:r>
        <w:rPr>
          <w:lang w:val="cs-CZ"/>
        </w:rPr>
        <w:t>oddělil [od mrtvoly], tak dodal k definici «mající schopnost života» (</w:t>
      </w:r>
      <w:r w:rsidRPr="003B6CCC">
        <w:rPr>
          <w:i/>
          <w:lang w:val="cs-CZ"/>
        </w:rPr>
        <w:t>potentia vitam habentis</w:t>
      </w:r>
      <w:r>
        <w:rPr>
          <w:lang w:val="cs-CZ"/>
        </w:rPr>
        <w:t xml:space="preserve">), čemuž je třeba rozumět výše uvedeným způsobem.“ </w:t>
      </w:r>
      <w:r>
        <w:rPr>
          <w:rStyle w:val="Znakapoznpodarou"/>
          <w:lang w:val="cs-CZ"/>
        </w:rPr>
        <w:footnoteReference w:id="118"/>
      </w:r>
    </w:p>
    <w:p w14:paraId="15E900DB" w14:textId="67F8D592" w:rsidR="00491BDA" w:rsidRDefault="00A90FAB" w:rsidP="00491BDA">
      <w:r w:rsidRPr="00273106">
        <w:t>Anonym doslovně bere Blundovu definici duše (</w:t>
      </w:r>
      <w:r w:rsidR="00F4120E" w:rsidRPr="00273106">
        <w:rPr>
          <w:i/>
        </w:rPr>
        <w:t>a</w:t>
      </w:r>
      <w:r w:rsidRPr="00273106">
        <w:rPr>
          <w:i/>
        </w:rPr>
        <w:t>nima est primus actus cor</w:t>
      </w:r>
      <w:r w:rsidR="00D34409">
        <w:rPr>
          <w:i/>
        </w:rPr>
        <w:t>poris fisici organici potencia v</w:t>
      </w:r>
      <w:r w:rsidRPr="00273106">
        <w:rPr>
          <w:i/>
        </w:rPr>
        <w:t>itam habentis</w:t>
      </w:r>
      <w:r w:rsidR="000778A8" w:rsidRPr="00273106">
        <w:rPr>
          <w:i/>
        </w:rPr>
        <w:t xml:space="preserve">, </w:t>
      </w:r>
      <w:r w:rsidR="000778A8" w:rsidRPr="00273106">
        <w:t>p. 29</w:t>
      </w:r>
      <w:r w:rsidR="009D32EE" w:rsidRPr="00273106">
        <w:t>.43‒44</w:t>
      </w:r>
      <w:r w:rsidR="009F6F9E">
        <w:fldChar w:fldCharType="begin"/>
      </w:r>
      <w:r w:rsidR="009F6F9E">
        <w:instrText xml:space="preserve"> XE "</w:instrText>
      </w:r>
      <w:r w:rsidR="089A1B6F">
        <w:rPr>
          <w:i/>
        </w:rPr>
        <w:instrText>De anima et de potenciis eius</w:instrText>
      </w:r>
      <w:r w:rsidR="009F6F9E">
        <w:instrText xml:space="preserve"> </w:instrText>
      </w:r>
      <w:r w:rsidR="009F6F9E" w:rsidRPr="00A1556F">
        <w:instrText>29.43‒44</w:instrText>
      </w:r>
      <w:r w:rsidR="009F6F9E">
        <w:instrText xml:space="preserve">" </w:instrText>
      </w:r>
      <w:r w:rsidR="009F6F9E">
        <w:fldChar w:fldCharType="end"/>
      </w:r>
      <w:r w:rsidRPr="00273106">
        <w:t xml:space="preserve">) a dává </w:t>
      </w:r>
      <w:r w:rsidR="0047790C" w:rsidRPr="00273106">
        <w:t xml:space="preserve">této definici </w:t>
      </w:r>
      <w:r w:rsidRPr="00273106">
        <w:t>nový význam</w:t>
      </w:r>
      <w:r w:rsidR="008D326A">
        <w:t xml:space="preserve"> tím</w:t>
      </w:r>
      <w:r w:rsidR="00823AFA">
        <w:t>,</w:t>
      </w:r>
      <w:r w:rsidR="008D326A">
        <w:t xml:space="preserve"> že výslovně odmítne výklad avicennistický výklad Toledské školy. </w:t>
      </w:r>
      <w:r w:rsidR="08BF23E5">
        <w:t>Ta je dána nikoliv od organismu jako živé první substance, ale z formální definice organismu jako hypostáze, která habituálně obsahuje život jako potenci (</w:t>
      </w:r>
      <w:r w:rsidR="08FF5B3E">
        <w:rPr>
          <w:i/>
        </w:rPr>
        <w:t>potencia v</w:t>
      </w:r>
      <w:r w:rsidR="08BF23E5" w:rsidRPr="00636BAC">
        <w:rPr>
          <w:i/>
        </w:rPr>
        <w:t>itam habentis</w:t>
      </w:r>
      <w:r w:rsidR="08BF23E5">
        <w:t xml:space="preserve">). </w:t>
      </w:r>
      <w:r w:rsidR="008D326A">
        <w:t>Autor nejprve brání termín „organismus“ v existenciálním modu (</w:t>
      </w:r>
      <w:r w:rsidR="008D326A" w:rsidRPr="008D326A">
        <w:rPr>
          <w:i/>
        </w:rPr>
        <w:t xml:space="preserve">sic se habet re, </w:t>
      </w:r>
      <w:r w:rsidR="008D326A" w:rsidRPr="008D326A">
        <w:rPr>
          <w:i/>
        </w:rPr>
        <w:lastRenderedPageBreak/>
        <w:t>non dictione</w:t>
      </w:r>
      <w:r w:rsidR="008D326A">
        <w:t xml:space="preserve">), který nelze porretánsky dedukovat z </w:t>
      </w:r>
      <w:r w:rsidR="00F654E5">
        <w:t xml:space="preserve">trvale </w:t>
      </w:r>
      <w:r w:rsidR="008D326A">
        <w:t>dané esence</w:t>
      </w:r>
      <w:r w:rsidR="080F2A5F">
        <w:t xml:space="preserve"> </w:t>
      </w:r>
      <w:r w:rsidR="08FF5B3E">
        <w:t xml:space="preserve">duše dané </w:t>
      </w:r>
      <w:r w:rsidR="080F2A5F">
        <w:t>v habituálním modu (</w:t>
      </w:r>
      <w:r w:rsidR="080F2A5F" w:rsidRPr="080F2A5F">
        <w:rPr>
          <w:i/>
        </w:rPr>
        <w:t>habens</w:t>
      </w:r>
      <w:r w:rsidR="080F2A5F">
        <w:t>)</w:t>
      </w:r>
      <w:r w:rsidR="008D326A">
        <w:t xml:space="preserve">. </w:t>
      </w:r>
      <w:r w:rsidR="08073B8A">
        <w:t>E</w:t>
      </w:r>
      <w:r w:rsidR="00F654E5">
        <w:t>xistenciálně po</w:t>
      </w:r>
      <w:r w:rsidR="008D326A">
        <w:t>jatá definice</w:t>
      </w:r>
      <w:r w:rsidR="08073B8A">
        <w:t xml:space="preserve"> duše</w:t>
      </w:r>
      <w:r w:rsidR="008D326A">
        <w:t xml:space="preserve"> </w:t>
      </w:r>
      <w:r w:rsidR="003A7A69">
        <w:t xml:space="preserve">je dána podle Blundovy školy, nikoliv </w:t>
      </w:r>
      <w:r w:rsidR="008D326A">
        <w:t xml:space="preserve">podle </w:t>
      </w:r>
      <w:r w:rsidR="08763DF3">
        <w:t xml:space="preserve">toletánské školy </w:t>
      </w:r>
      <w:r w:rsidR="008D326A">
        <w:t>Avicenny</w:t>
      </w:r>
      <w:r w:rsidR="00F654E5">
        <w:t xml:space="preserve">. </w:t>
      </w:r>
      <w:r w:rsidR="003A7A69">
        <w:t xml:space="preserve">Blundova </w:t>
      </w:r>
      <w:r w:rsidR="00F654E5">
        <w:t xml:space="preserve">škola </w:t>
      </w:r>
      <w:r w:rsidR="008D326A">
        <w:t>recipovala Averroesovy spisy v paradigmatu autentického</w:t>
      </w:r>
      <w:r w:rsidR="08CC4513">
        <w:t xml:space="preserve"> aristotelského výkladu podaného</w:t>
      </w:r>
      <w:r w:rsidR="008D326A">
        <w:t xml:space="preserve"> historicky poprvé </w:t>
      </w:r>
      <w:r w:rsidR="082F2D63">
        <w:rPr>
          <w:i/>
        </w:rPr>
        <w:t>ad</w:t>
      </w:r>
      <w:r w:rsidR="008D326A" w:rsidRPr="008D326A">
        <w:rPr>
          <w:i/>
        </w:rPr>
        <w:t xml:space="preserve"> mentem Aver</w:t>
      </w:r>
      <w:r w:rsidR="008D326A">
        <w:rPr>
          <w:i/>
        </w:rPr>
        <w:t>r</w:t>
      </w:r>
      <w:r w:rsidR="008D326A" w:rsidRPr="008D326A">
        <w:rPr>
          <w:i/>
        </w:rPr>
        <w:t>ois</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08D326A">
        <w:t>, což je konstatováno jako závěr (</w:t>
      </w:r>
      <w:r w:rsidR="008D326A" w:rsidRPr="008D326A">
        <w:rPr>
          <w:i/>
        </w:rPr>
        <w:t>hoc dictum est secundum expositionem Aueroist</w:t>
      </w:r>
      <w:r w:rsidR="088A7AD3">
        <w:t>). P</w:t>
      </w:r>
      <w:r w:rsidR="008D326A">
        <w:t>roti komu je tento závěr namířen? To ukazuje pokračování citátu kritizující Toledskou školu, odkud přišly první překlady Averroese, ale bohužel podané v du</w:t>
      </w:r>
      <w:r w:rsidR="08F76695">
        <w:t>chu neoplatonského avicennismu.</w:t>
      </w:r>
      <w:r w:rsidR="08F76695">
        <w:rPr>
          <w:rStyle w:val="Znakapoznpodarou"/>
        </w:rPr>
        <w:footnoteReference w:id="119"/>
      </w:r>
      <w:r w:rsidR="08F76695">
        <w:t xml:space="preserve"> </w:t>
      </w:r>
      <w:r w:rsidR="084C3884">
        <w:t xml:space="preserve">Autor brání hyparchickopu predikaci osoby a duše </w:t>
      </w:r>
      <w:r w:rsidR="081B53AF">
        <w:t xml:space="preserve">podle Abelardova výkladu </w:t>
      </w:r>
      <w:r w:rsidR="084C3884" w:rsidRPr="081B53AF">
        <w:rPr>
          <w:i/>
        </w:rPr>
        <w:t>Kategorií</w:t>
      </w:r>
      <w:r w:rsidR="084C3884">
        <w:t>, kdy je přesně určen směr nasvícení jsoucna (</w:t>
      </w:r>
      <w:r w:rsidR="084C3884" w:rsidRPr="084C3884">
        <w:rPr>
          <w:i/>
        </w:rPr>
        <w:t>secundum prius et posterius et re et dictione</w:t>
      </w:r>
      <w:r w:rsidR="084C3884">
        <w:t xml:space="preserve">). </w:t>
      </w:r>
      <w:r w:rsidR="08F76695">
        <w:t xml:space="preserve">Anonym nesouhlasí s </w:t>
      </w:r>
      <w:r w:rsidR="08C66F88">
        <w:t xml:space="preserve">moderní </w:t>
      </w:r>
      <w:r w:rsidR="08F76695">
        <w:t>definicí organismu jako porretánskou kolektou různých hypostází, které jsou nominálně oživeny tím, že dostanou další zvnějšku přidanou potenci typu porretánské hypostáze „být živým organismem“ (</w:t>
      </w:r>
      <w:r w:rsidR="08F76695">
        <w:rPr>
          <w:i/>
        </w:rPr>
        <w:t>potencia v</w:t>
      </w:r>
      <w:r w:rsidR="08F76695" w:rsidRPr="00636BAC">
        <w:rPr>
          <w:i/>
        </w:rPr>
        <w:t>itam habentis</w:t>
      </w:r>
      <w:r w:rsidR="08F76695">
        <w:t xml:space="preserve">). Z existence se stala univerzálně predikovaná </w:t>
      </w:r>
      <w:r w:rsidR="08501C42">
        <w:t xml:space="preserve">porretánská </w:t>
      </w:r>
      <w:r w:rsidR="08F76695">
        <w:t>esence</w:t>
      </w:r>
      <w:r w:rsidR="08DA6696">
        <w:t xml:space="preserve"> daná ve formě </w:t>
      </w:r>
      <w:r w:rsidR="080910AA">
        <w:t xml:space="preserve">hypostázovaného </w:t>
      </w:r>
      <w:r w:rsidR="08DA6696">
        <w:t>habitu</w:t>
      </w:r>
      <w:r w:rsidR="08F76695">
        <w:t xml:space="preserve">, což nemůže </w:t>
      </w:r>
      <w:r w:rsidR="088A7AD3">
        <w:t xml:space="preserve">přijmout </w:t>
      </w:r>
      <w:r w:rsidR="08F76695">
        <w:t xml:space="preserve">aristotelská škola Boethia, Abelarda a Blunda. Když zvíře </w:t>
      </w:r>
      <w:r w:rsidR="08F24566">
        <w:t xml:space="preserve">nebo člověk </w:t>
      </w:r>
      <w:r w:rsidR="08F76695">
        <w:t xml:space="preserve">žije, tak je nelze dělit na hypostáze a na substance třetího druhu v rámci </w:t>
      </w:r>
      <w:r w:rsidR="08F76695" w:rsidRPr="002A3E67">
        <w:rPr>
          <w:i/>
        </w:rPr>
        <w:t>Arbor Porphyriana</w:t>
      </w:r>
      <w:r w:rsidR="08F76695">
        <w:t xml:space="preserve"> daného podle škol </w:t>
      </w:r>
      <w:r w:rsidR="08F76695" w:rsidRPr="002A3E67">
        <w:rPr>
          <w:i/>
        </w:rPr>
        <w:t>Nominales</w:t>
      </w:r>
      <w:r w:rsidR="08F76695">
        <w:t xml:space="preserve">, protože tvoří entelechicky živou a hyleformicky danou první substanci. A co nepatří do organické jednoty, to stojí mimo tělo, jako například vylitá krev a sperma. Obě citace </w:t>
      </w:r>
      <w:r w:rsidR="008D326A">
        <w:t>přesně ukazu</w:t>
      </w:r>
      <w:r w:rsidR="08646445">
        <w:t>jí</w:t>
      </w:r>
      <w:r w:rsidR="008D326A">
        <w:t xml:space="preserve"> základní omyl </w:t>
      </w:r>
      <w:r w:rsidR="08981ED3">
        <w:t xml:space="preserve">Gundissalinovy </w:t>
      </w:r>
      <w:r w:rsidR="08DE6E4C">
        <w:t xml:space="preserve">avicennistické </w:t>
      </w:r>
      <w:r w:rsidR="008D326A">
        <w:t>inte</w:t>
      </w:r>
      <w:r w:rsidR="003A7A69">
        <w:t>r</w:t>
      </w:r>
      <w:r w:rsidR="008D326A">
        <w:t>pretace, která smísila existenciální a univerzální definici duše do univočního schématu. Klíčový rozdíl panuje proti předešlé definice duše (</w:t>
      </w:r>
      <w:r w:rsidR="008D326A" w:rsidRPr="008D326A">
        <w:rPr>
          <w:i/>
        </w:rPr>
        <w:t>actus primus corporis phisici organici</w:t>
      </w:r>
      <w:r w:rsidR="08B6492C">
        <w:t xml:space="preserve">), kterou anonym </w:t>
      </w:r>
      <w:r w:rsidR="008D326A">
        <w:t>podá</w:t>
      </w:r>
      <w:r w:rsidR="08B6492C">
        <w:t>vá</w:t>
      </w:r>
      <w:r w:rsidR="008D326A">
        <w:t xml:space="preserve"> v exi</w:t>
      </w:r>
      <w:r w:rsidR="08B6492C">
        <w:t>stenciálním paradigmatu Blundova výkladu</w:t>
      </w:r>
      <w:r w:rsidR="008D326A">
        <w:t xml:space="preserve"> </w:t>
      </w:r>
      <w:r w:rsidR="008D326A" w:rsidRPr="008D326A">
        <w:rPr>
          <w:i/>
        </w:rPr>
        <w:t>De anima</w:t>
      </w:r>
      <w:r w:rsidR="008D326A">
        <w:t xml:space="preserve">. </w:t>
      </w:r>
      <w:r w:rsidR="08B70269">
        <w:t xml:space="preserve">A tuto definici přímo navazuje na pojetí živého organismu podle Komentátora. </w:t>
      </w:r>
      <w:r w:rsidR="008D326A">
        <w:t>Toledská škola má definici duše danou avicennis</w:t>
      </w:r>
      <w:r w:rsidR="004D407A">
        <w:t xml:space="preserve">ticky, </w:t>
      </w:r>
      <w:r w:rsidR="00636BAC">
        <w:t xml:space="preserve">tedy </w:t>
      </w:r>
      <w:r w:rsidR="004D407A">
        <w:t>od člověka jako specifické mrtvoly</w:t>
      </w:r>
      <w:r w:rsidR="088615FE">
        <w:t xml:space="preserve">. </w:t>
      </w:r>
      <w:r w:rsidR="083A4832">
        <w:t>Věčná a nemateriální d</w:t>
      </w:r>
      <w:r w:rsidR="088615FE">
        <w:t xml:space="preserve">uše </w:t>
      </w:r>
      <w:r w:rsidR="081D72D9">
        <w:t xml:space="preserve">má reálný tělesný </w:t>
      </w:r>
      <w:r w:rsidR="083A4832">
        <w:t xml:space="preserve">život jako svou </w:t>
      </w:r>
      <w:r w:rsidR="081D72D9">
        <w:t>potenci a tvoří hypostázovaný a proto trvalý habitus této potence</w:t>
      </w:r>
      <w:r w:rsidR="004D407A">
        <w:t>.</w:t>
      </w:r>
      <w:r w:rsidR="08671CCC">
        <w:t xml:space="preserve"> </w:t>
      </w:r>
      <w:r w:rsidR="00653407" w:rsidRPr="00273106">
        <w:t xml:space="preserve">Ve sporu s porretány a s </w:t>
      </w:r>
      <w:r w:rsidR="00653407" w:rsidRPr="00273106">
        <w:rPr>
          <w:i/>
        </w:rPr>
        <w:t>Nominales</w:t>
      </w:r>
      <w:r w:rsidR="00653407" w:rsidRPr="00273106">
        <w:t xml:space="preserve"> se </w:t>
      </w:r>
      <w:r w:rsidR="00340A9F">
        <w:t xml:space="preserve">anonym </w:t>
      </w:r>
      <w:r w:rsidR="00653407" w:rsidRPr="00273106">
        <w:t xml:space="preserve">odvolává nikoliv na předešlou aristotelskou tradici, ale na </w:t>
      </w:r>
      <w:r w:rsidR="002E3B62">
        <w:t>Averroes</w:t>
      </w:r>
      <w:r w:rsidR="00653407" w:rsidRPr="00273106">
        <w:t xml:space="preserve">ovo pojetí </w:t>
      </w:r>
      <w:r w:rsidR="005365DC">
        <w:t>poznání</w:t>
      </w:r>
      <w:r w:rsidR="00A70FA4">
        <w:fldChar w:fldCharType="begin"/>
      </w:r>
      <w:r w:rsidR="00A70FA4">
        <w:instrText xml:space="preserve"> XE "</w:instrText>
      </w:r>
      <w:r w:rsidR="00A70FA4" w:rsidRPr="00DE2A32">
        <w:instrText>substance</w:instrText>
      </w:r>
      <w:r w:rsidR="009F6F9E">
        <w:instrText>:</w:instrText>
      </w:r>
      <w:r w:rsidR="002E3B62">
        <w:instrText>Averroes</w:instrText>
      </w:r>
      <w:r w:rsidR="00A70FA4">
        <w:instrText xml:space="preserve">" </w:instrText>
      </w:r>
      <w:r w:rsidR="00A70FA4">
        <w:fldChar w:fldCharType="end"/>
      </w:r>
      <w:r w:rsidR="00653407">
        <w:t xml:space="preserve">. </w:t>
      </w:r>
      <w:r w:rsidR="002E3B62">
        <w:t>Averroes</w:t>
      </w:r>
      <w:r w:rsidR="00491BDA">
        <w:t xml:space="preserve"> </w:t>
      </w:r>
      <w:r w:rsidR="00491BDA">
        <w:lastRenderedPageBreak/>
        <w:t>po svém učiteli Al</w:t>
      </w:r>
      <w:r w:rsidR="00491BDA">
        <w:noBreakHyphen/>
      </w:r>
      <w:r w:rsidR="008E02F5">
        <w:t>Fárábí</w:t>
      </w:r>
      <w:r w:rsidR="08EB6ABD">
        <w:t xml:space="preserve">m </w:t>
      </w:r>
      <w:r w:rsidR="00491BDA">
        <w:t xml:space="preserve">potvrdil hyparchický smysl predikace, který je v rámci pravdivé a univoční impozice kauzálně vázaný na aktuální </w:t>
      </w:r>
      <w:r w:rsidR="00491BDA" w:rsidRPr="00273106">
        <w:t>první substanci</w:t>
      </w:r>
      <w:r w:rsidR="009F6F9E">
        <w:fldChar w:fldCharType="begin"/>
      </w:r>
      <w:r w:rsidR="009F6F9E">
        <w:instrText xml:space="preserve"> XE "predikace:hyparchická" </w:instrText>
      </w:r>
      <w:r w:rsidR="009F6F9E">
        <w:fldChar w:fldCharType="end"/>
      </w:r>
      <w:r w:rsidR="00491BDA" w:rsidRPr="00273106">
        <w:t>.</w:t>
      </w:r>
      <w:r w:rsidR="00491BDA">
        <w:t xml:space="preserve"> A navíc ukázal, jak tento typ predikace souvisí v pravdivým pojetím poznání podle </w:t>
      </w:r>
      <w:r w:rsidR="00491BDA" w:rsidRPr="00A8421C">
        <w:rPr>
          <w:i/>
        </w:rPr>
        <w:t>De anima</w:t>
      </w:r>
      <w:r w:rsidR="00491BDA">
        <w:t xml:space="preserve">. </w:t>
      </w:r>
      <w:r w:rsidR="08DB3FD5">
        <w:t xml:space="preserve">Pokračování </w:t>
      </w:r>
      <w:r w:rsidR="008D326A">
        <w:t xml:space="preserve">citátu </w:t>
      </w:r>
      <w:r w:rsidR="00491BDA">
        <w:t xml:space="preserve">ukazuje, že </w:t>
      </w:r>
      <w:r w:rsidR="08501C42">
        <w:t xml:space="preserve">okolo roku </w:t>
      </w:r>
      <w:r w:rsidR="00491BDA">
        <w:t>1225 už existovala zavedená škola prvního averroismu, která do hloubky pochopila argumentaci CMDA.</w:t>
      </w:r>
    </w:p>
    <w:p w14:paraId="26D28BEE" w14:textId="77777777" w:rsidR="00653407" w:rsidRPr="00273106" w:rsidRDefault="00653407" w:rsidP="00491BDA">
      <w:pPr>
        <w:pStyle w:val="Citace"/>
        <w:rPr>
          <w:noProof/>
        </w:rPr>
      </w:pPr>
      <w:r w:rsidRPr="00273106">
        <w:rPr>
          <w:noProof/>
        </w:rPr>
        <w:t xml:space="preserve">„Ale pro nás je mnohem vhodnější smysl podle </w:t>
      </w:r>
      <w:r w:rsidR="002E3B62">
        <w:rPr>
          <w:noProof/>
        </w:rPr>
        <w:t>Averroes</w:t>
      </w:r>
      <w:r w:rsidRPr="00273106">
        <w:rPr>
          <w:noProof/>
        </w:rPr>
        <w:t>e. Tělo mrtvého není živé, protože jeho části již nejsou tělesnými orgány: oko mrtvého již není oko.“</w:t>
      </w:r>
      <w:r w:rsidRPr="00273106">
        <w:rPr>
          <w:rStyle w:val="Znakapoznpodarou"/>
          <w:noProof/>
          <w:lang w:val="cs-CZ"/>
        </w:rPr>
        <w:footnoteReference w:id="120"/>
      </w:r>
    </w:p>
    <w:p w14:paraId="6C0AC308" w14:textId="77777777" w:rsidR="00FE17CD" w:rsidRDefault="00180F1F" w:rsidP="00B14EDC">
      <w:r w:rsidRPr="00273106">
        <w:t xml:space="preserve">Autor kritizuje pojetí </w:t>
      </w:r>
      <w:r w:rsidRPr="00273106">
        <w:rPr>
          <w:i/>
        </w:rPr>
        <w:t>Nominales</w:t>
      </w:r>
      <w:r w:rsidRPr="00273106">
        <w:t>, protože jejich definice člověka nevychází z aktuálně existující bytosti. Co je mrtvé, to není aktuální živá substance</w:t>
      </w:r>
      <w:r w:rsidR="00A70FA4">
        <w:fldChar w:fldCharType="begin"/>
      </w:r>
      <w:r w:rsidR="00A70FA4">
        <w:instrText xml:space="preserve"> XE "</w:instrText>
      </w:r>
      <w:r w:rsidR="00A70FA4" w:rsidRPr="00DE2A32">
        <w:instrText>substance</w:instrText>
      </w:r>
      <w:r w:rsidR="009F6F9E">
        <w:instrText>:první</w:instrText>
      </w:r>
      <w:r w:rsidR="00A70FA4">
        <w:instrText xml:space="preserve">" </w:instrText>
      </w:r>
      <w:r w:rsidR="00A70FA4">
        <w:fldChar w:fldCharType="end"/>
      </w:r>
      <w:r w:rsidRPr="00273106">
        <w:t>.</w:t>
      </w:r>
      <w:r>
        <w:t xml:space="preserve"> </w:t>
      </w:r>
      <w:r w:rsidR="00BB61F9" w:rsidRPr="00273106">
        <w:t xml:space="preserve">Anonym s pomocí </w:t>
      </w:r>
      <w:r w:rsidR="00BB61F9">
        <w:t>Averroes</w:t>
      </w:r>
      <w:r w:rsidR="00BB61F9" w:rsidRPr="00273106">
        <w:t xml:space="preserve">e ukázal na nesmyslnost logických debat typu </w:t>
      </w:r>
      <w:r w:rsidR="085E1035">
        <w:t>„</w:t>
      </w:r>
      <w:r w:rsidR="08AD5618">
        <w:t>t</w:t>
      </w:r>
      <w:r w:rsidR="089B33E8">
        <w:t xml:space="preserve">ato </w:t>
      </w:r>
      <w:r w:rsidR="08AD5618">
        <w:t>mrtvola je mrtvý člověk</w:t>
      </w:r>
      <w:r w:rsidR="085E1035">
        <w:t>“ (</w:t>
      </w:r>
      <w:r w:rsidR="00BB61F9" w:rsidRPr="00273106">
        <w:rPr>
          <w:i/>
        </w:rPr>
        <w:t>iste est homo mortuus</w:t>
      </w:r>
      <w:r w:rsidR="085E1035">
        <w:t>)</w:t>
      </w:r>
      <w:r w:rsidR="00BB61F9" w:rsidRPr="00273106">
        <w:t xml:space="preserve">, čímž pomohl společně s Blundem </w:t>
      </w:r>
      <w:r w:rsidR="08F77245">
        <w:t xml:space="preserve">a Alvernem </w:t>
      </w:r>
      <w:r w:rsidR="00BB61F9" w:rsidRPr="00273106">
        <w:t>k zániku porretánských logických škol v Paříži</w:t>
      </w:r>
      <w:r w:rsidR="00BB61F9">
        <w:fldChar w:fldCharType="begin"/>
      </w:r>
      <w:r w:rsidR="00BB61F9">
        <w:instrText xml:space="preserve"> XE "logické školy</w:instrText>
      </w:r>
      <w:r w:rsidR="00BB61F9" w:rsidRPr="009F6F9E">
        <w:instrText>:porretáni</w:instrText>
      </w:r>
      <w:r w:rsidR="00BB61F9">
        <w:instrText xml:space="preserve">" </w:instrText>
      </w:r>
      <w:r w:rsidR="00BB61F9">
        <w:fldChar w:fldCharType="end"/>
      </w:r>
      <w:r w:rsidR="00BB61F9" w:rsidRPr="00273106">
        <w:t>.</w:t>
      </w:r>
      <w:r w:rsidR="00BB61F9" w:rsidRPr="00B34B8D">
        <w:t xml:space="preserve"> </w:t>
      </w:r>
      <w:r w:rsidR="08F77245">
        <w:t>Spor o s</w:t>
      </w:r>
      <w:r w:rsidR="08597B57">
        <w:t>ofisma ohledně mrtvého člověka“</w:t>
      </w:r>
      <w:r w:rsidR="08597B57">
        <w:fldChar w:fldCharType="begin"/>
      </w:r>
      <w:r w:rsidR="08597B57">
        <w:instrText xml:space="preserve"> XE "</w:instrText>
      </w:r>
      <w:r w:rsidR="08597B57" w:rsidRPr="081E4F21">
        <w:instrText>sofisma člověk-mrtvola</w:instrText>
      </w:r>
      <w:r w:rsidR="08597B57">
        <w:instrText xml:space="preserve">" </w:instrText>
      </w:r>
      <w:r w:rsidR="08597B57">
        <w:fldChar w:fldCharType="end"/>
      </w:r>
      <w:r w:rsidR="002B633D" w:rsidRPr="00273106">
        <w:t xml:space="preserve"> sahá k Abelardově polemice s porretány ohledně statutu hypotetické predikace (</w:t>
      </w:r>
      <w:r w:rsidR="002B633D" w:rsidRPr="00273106">
        <w:rPr>
          <w:i/>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02B633D" w:rsidRPr="00273106">
        <w:t xml:space="preserve">). </w:t>
      </w:r>
      <w:r w:rsidR="000218A5">
        <w:t xml:space="preserve">Abelardův spis </w:t>
      </w:r>
      <w:r w:rsidR="000218A5" w:rsidRPr="009134B1">
        <w:rPr>
          <w:i/>
        </w:rPr>
        <w:t>Dialectica</w:t>
      </w:r>
      <w:r w:rsidR="000218A5">
        <w:t xml:space="preserve"> </w:t>
      </w:r>
      <w:r w:rsidR="006B755E">
        <w:t xml:space="preserve">předkládá </w:t>
      </w:r>
      <w:r w:rsidR="000218A5">
        <w:t xml:space="preserve">podobnou argumentaci </w:t>
      </w:r>
      <w:r w:rsidR="08FD61FB">
        <w:t>v</w:t>
      </w:r>
      <w:r w:rsidR="006B755E">
        <w:t xml:space="preserve"> tezi </w:t>
      </w:r>
      <w:r w:rsidR="085E6E6B">
        <w:t>„tato mrtvola je zemřelý člověk“ (</w:t>
      </w:r>
      <w:r w:rsidR="000218A5" w:rsidRPr="00273106">
        <w:rPr>
          <w:i/>
        </w:rPr>
        <w:t>hoc cadaver est homo mortuus</w:t>
      </w:r>
      <w:r w:rsidR="08B871CE">
        <w:rPr>
          <w:i/>
        </w:rPr>
        <w:t xml:space="preserve">, </w:t>
      </w:r>
      <w:r w:rsidR="08800416">
        <w:t>kap. 1</w:t>
      </w:r>
      <w:r w:rsidR="08B871CE" w:rsidRPr="08B871CE">
        <w:t>.3</w:t>
      </w:r>
      <w:r w:rsidR="085E6E6B">
        <w:t>)</w:t>
      </w:r>
      <w:r w:rsidR="000218A5" w:rsidRPr="00273106">
        <w:t>.</w:t>
      </w:r>
      <w:r w:rsidR="000218A5">
        <w:t xml:space="preserve"> </w:t>
      </w:r>
      <w:r w:rsidR="08AD637D">
        <w:t xml:space="preserve">Ukázali jsme Abelardovo použití impozice a supozice podle spisu </w:t>
      </w:r>
      <w:r w:rsidR="08AD637D" w:rsidRPr="00FA03FF">
        <w:rPr>
          <w:i/>
        </w:rPr>
        <w:t>Kategorie</w:t>
      </w:r>
      <w:r w:rsidR="08800416">
        <w:t xml:space="preserve"> (OBJ I, kap. </w:t>
      </w:r>
      <w:r w:rsidR="08597B57">
        <w:t>1</w:t>
      </w:r>
      <w:r w:rsidR="08AD637D">
        <w:t xml:space="preserve">.3). </w:t>
      </w:r>
      <w:r w:rsidR="08AD637D" w:rsidRPr="00273106">
        <w:t xml:space="preserve">Spojení „mrtvý muž“ představuje pro Abelarda </w:t>
      </w:r>
      <w:r w:rsidR="08381EBA">
        <w:t xml:space="preserve">metafyzický </w:t>
      </w:r>
      <w:r w:rsidR="08AD637D" w:rsidRPr="00273106">
        <w:t>nesmysl (</w:t>
      </w:r>
      <w:r w:rsidR="08AD637D" w:rsidRPr="00273106">
        <w:rPr>
          <w:i/>
        </w:rPr>
        <w:t>oppositio est in adiecto</w:t>
      </w:r>
      <w:r w:rsidR="08127585">
        <w:t>). L</w:t>
      </w:r>
      <w:r w:rsidR="08AD637D" w:rsidRPr="00273106">
        <w:t xml:space="preserve">idé jsou živé bytosti </w:t>
      </w:r>
      <w:r w:rsidR="08BA66ED" w:rsidRPr="08BA66ED">
        <w:rPr>
          <w:i/>
        </w:rPr>
        <w:t>ipso facto</w:t>
      </w:r>
      <w:r w:rsidR="08BA66ED">
        <w:t xml:space="preserve"> </w:t>
      </w:r>
      <w:r w:rsidR="08AD637D" w:rsidRPr="00273106">
        <w:t xml:space="preserve">a </w:t>
      </w:r>
      <w:r w:rsidR="08BA66ED">
        <w:t xml:space="preserve">existují pouze </w:t>
      </w:r>
      <w:r w:rsidR="08AD637D" w:rsidRPr="00273106">
        <w:t xml:space="preserve">v </w:t>
      </w:r>
      <w:r w:rsidR="08AD637D">
        <w:t xml:space="preserve">přítomné aktuální substanci. Tato jedinečná hylemorfická substance </w:t>
      </w:r>
      <w:r w:rsidR="08AD637D" w:rsidRPr="00273106">
        <w:t xml:space="preserve">determinuje svou existencí </w:t>
      </w:r>
      <w:r w:rsidR="08AD637D">
        <w:t xml:space="preserve">danou </w:t>
      </w:r>
      <w:r w:rsidR="08AD637D" w:rsidRPr="00273106">
        <w:t>zde a nyní také časovou souslednost minulosti a budoucnosti</w:t>
      </w:r>
      <w:r w:rsidR="08AD637D">
        <w:t xml:space="preserve"> v modu synkategorematické predikace</w:t>
      </w:r>
      <w:r w:rsidR="08AD637D" w:rsidRPr="00273106">
        <w:t xml:space="preserve">, </w:t>
      </w:r>
      <w:r w:rsidR="08AD637D">
        <w:t xml:space="preserve">protože tyto stavy první substance </w:t>
      </w:r>
      <w:r w:rsidR="08AD637D" w:rsidRPr="00273106">
        <w:t>aktuálně přítomné nejsou.</w:t>
      </w:r>
      <w:r w:rsidR="08AD637D" w:rsidRPr="00273106">
        <w:rPr>
          <w:rStyle w:val="Znakapoznpodarou"/>
        </w:rPr>
        <w:footnoteReference w:id="121"/>
      </w:r>
      <w:r w:rsidR="08AD637D" w:rsidRPr="00273106">
        <w:t xml:space="preserve"> </w:t>
      </w:r>
      <w:r w:rsidR="00494A1E">
        <w:t xml:space="preserve">Aristotelik </w:t>
      </w:r>
      <w:r w:rsidR="00CB3E4F">
        <w:t>Abélard</w:t>
      </w:r>
      <w:r w:rsidR="00A0238F" w:rsidRPr="00273106">
        <w:t xml:space="preserve"> </w:t>
      </w:r>
      <w:r w:rsidR="00A0238F">
        <w:t xml:space="preserve">kritizuje </w:t>
      </w:r>
      <w:r w:rsidR="00A0238F" w:rsidRPr="00273106">
        <w:t>existenciální výroky moderních logiků kvůli univočnímu užití</w:t>
      </w:r>
      <w:r w:rsidR="00282F12">
        <w:t xml:space="preserve"> supozice</w:t>
      </w:r>
      <w:r w:rsidR="008957CC">
        <w:t xml:space="preserve">, </w:t>
      </w:r>
      <w:r w:rsidR="00A0238F" w:rsidRPr="00273106">
        <w:t xml:space="preserve">což explicitně zavedl </w:t>
      </w:r>
      <w:r w:rsidR="00A0238F">
        <w:t xml:space="preserve">Gilbert </w:t>
      </w:r>
      <w:r w:rsidR="002239AA">
        <w:t>de La Porrée</w:t>
      </w:r>
      <w:r w:rsidR="00A0238F" w:rsidRPr="00273106">
        <w:t xml:space="preserve"> skrze hypostázovanou subsistenci (</w:t>
      </w:r>
      <w:r w:rsidR="00A0238F" w:rsidRPr="00273106">
        <w:rPr>
          <w:i/>
          <w:color w:val="000000"/>
        </w:rPr>
        <w:t>aliquid, id est subsistens</w:t>
      </w:r>
      <w:r w:rsidR="08127585">
        <w:t>; kap. 1</w:t>
      </w:r>
      <w:r w:rsidR="00A0238F" w:rsidRPr="00273106">
        <w:t xml:space="preserve">.4). </w:t>
      </w:r>
      <w:r w:rsidR="005365DC" w:rsidRPr="00273106">
        <w:t xml:space="preserve">Dialektikové v rámci </w:t>
      </w:r>
      <w:r w:rsidR="005365DC" w:rsidRPr="00273106">
        <w:rPr>
          <w:i/>
        </w:rPr>
        <w:t>Nominales</w:t>
      </w:r>
      <w:r w:rsidR="005365DC" w:rsidRPr="00273106">
        <w:t xml:space="preserve"> n</w:t>
      </w:r>
      <w:r w:rsidR="005365DC">
        <w:t xml:space="preserve">emají žádný problém s univoční predikací </w:t>
      </w:r>
      <w:r w:rsidR="005365DC" w:rsidRPr="00273106">
        <w:t xml:space="preserve">typu „tento člověk“ vztažené podle modu hypostázované </w:t>
      </w:r>
      <w:r w:rsidR="005365DC" w:rsidRPr="00273106">
        <w:lastRenderedPageBreak/>
        <w:t>konkrétnosti a existence (</w:t>
      </w:r>
      <w:r w:rsidR="005365DC" w:rsidRPr="00273106">
        <w:rPr>
          <w:i/>
        </w:rPr>
        <w:t>secundum quid</w:t>
      </w:r>
      <w:r w:rsidR="005365DC" w:rsidRPr="00273106">
        <w:t xml:space="preserve">) na „tuto mrtvolu“. </w:t>
      </w:r>
      <w:r w:rsidR="0077787D" w:rsidRPr="00273106">
        <w:t xml:space="preserve">Porretáni </w:t>
      </w:r>
      <w:r w:rsidR="006B755E">
        <w:t xml:space="preserve">přidají k subjektu </w:t>
      </w:r>
      <w:r w:rsidR="0077787D" w:rsidRPr="00273106">
        <w:rPr>
          <w:i/>
        </w:rPr>
        <w:t>homo</w:t>
      </w:r>
      <w:r w:rsidR="0077787D" w:rsidRPr="00273106">
        <w:t xml:space="preserve"> pomocí </w:t>
      </w:r>
      <w:r w:rsidR="006B755E">
        <w:t xml:space="preserve">univoční logické </w:t>
      </w:r>
      <w:r w:rsidR="0077787D" w:rsidRPr="00273106">
        <w:t>apozice jakoukol</w:t>
      </w:r>
      <w:r w:rsidR="006B755E">
        <w:t xml:space="preserve">iv hypostázi, včetně predikátu </w:t>
      </w:r>
      <w:r w:rsidR="0077787D" w:rsidRPr="00273106">
        <w:rPr>
          <w:i/>
        </w:rPr>
        <w:t>mortuu</w:t>
      </w:r>
      <w:r w:rsidR="006B755E">
        <w:rPr>
          <w:i/>
        </w:rPr>
        <w:t>s</w:t>
      </w:r>
      <w:r w:rsidR="0077787D" w:rsidRPr="00273106">
        <w:t xml:space="preserve">. </w:t>
      </w:r>
      <w:r w:rsidR="00FA03FF" w:rsidRPr="00273106">
        <w:t>Navíc platí, že obecně pojatá predikace (</w:t>
      </w:r>
      <w:r w:rsidR="00FA03FF" w:rsidRPr="00273106">
        <w:rPr>
          <w:i/>
        </w:rPr>
        <w:t>secundum simpliciter</w:t>
      </w:r>
      <w:r w:rsidR="00FA03FF" w:rsidRPr="00273106">
        <w:t>) už zahrnuje celé určení individua v rámci dělení j</w:t>
      </w:r>
      <w:r w:rsidR="00FA03FF">
        <w:t>soucen třetího druhu podle Porfyriova stromu</w:t>
      </w:r>
      <w:r w:rsidR="00FA03FF" w:rsidRPr="00273106">
        <w:t xml:space="preserve">. </w:t>
      </w:r>
      <w:r w:rsidRPr="00273106">
        <w:t xml:space="preserve">Univoční apozici porretánů odmítla </w:t>
      </w:r>
      <w:r>
        <w:t xml:space="preserve">již </w:t>
      </w:r>
      <w:r w:rsidRPr="00273106">
        <w:t>výše uvedená logika Anagninců, kteří  ohledně výroku o mrtvém muži jasně drželi Abelardovu linii vylučující určení člověka pro mrtvolu a opačně</w:t>
      </w:r>
      <w:r w:rsidR="009F473D">
        <w:t>.</w:t>
      </w:r>
      <w:r w:rsidR="009F473D" w:rsidRPr="00273106">
        <w:rPr>
          <w:rStyle w:val="Znakapoznpodarou"/>
        </w:rPr>
        <w:footnoteReference w:id="122"/>
      </w:r>
      <w:r>
        <w:t xml:space="preserve"> </w:t>
      </w:r>
      <w:r w:rsidR="007B5276">
        <w:t xml:space="preserve">Spis </w:t>
      </w:r>
      <w:r w:rsidR="007B5276" w:rsidRPr="009D750F">
        <w:rPr>
          <w:i/>
        </w:rPr>
        <w:t>Tractatus Anagnini</w:t>
      </w:r>
      <w:r w:rsidR="007B5276">
        <w:t xml:space="preserve"> </w:t>
      </w:r>
      <w:r>
        <w:t>potvrzuje univerzální pravdu výroku „mrtvola není člověk“</w:t>
      </w:r>
      <w:r w:rsidR="00915401" w:rsidRPr="00915401">
        <w:rPr>
          <w:i/>
        </w:rPr>
        <w:t xml:space="preserve"> </w:t>
      </w:r>
      <w:r w:rsidR="00915401">
        <w:rPr>
          <w:i/>
        </w:rPr>
        <w:fldChar w:fldCharType="begin"/>
      </w:r>
      <w:r w:rsidR="00915401">
        <w:instrText xml:space="preserve"> XE "sofisma člověk-mrtvola" </w:instrText>
      </w:r>
      <w:r w:rsidR="00915401">
        <w:rPr>
          <w:i/>
        </w:rPr>
        <w:fldChar w:fldCharType="end"/>
      </w:r>
      <w:r>
        <w:t xml:space="preserve"> (</w:t>
      </w:r>
      <w:r w:rsidRPr="0047312F">
        <w:rPr>
          <w:i/>
        </w:rPr>
        <w:t>est universalis negativa</w:t>
      </w:r>
      <w:r>
        <w:rPr>
          <w:i/>
        </w:rPr>
        <w:t xml:space="preserve"> et vera</w:t>
      </w:r>
      <w:r>
        <w:t xml:space="preserve">). </w:t>
      </w:r>
      <w:r w:rsidR="082C757B">
        <w:t>Tím platí i univerzální konverze tohoto výroku, protože žádný živý člověk není mrtvola</w:t>
      </w:r>
      <w:r w:rsidR="082C757B">
        <w:rPr>
          <w:i/>
        </w:rPr>
        <w:fldChar w:fldCharType="begin"/>
      </w:r>
      <w:r w:rsidR="082C757B">
        <w:instrText xml:space="preserve"> XE "sofisma člověk-mrtvola" </w:instrText>
      </w:r>
      <w:r w:rsidR="082C757B">
        <w:rPr>
          <w:i/>
        </w:rPr>
        <w:fldChar w:fldCharType="end"/>
      </w:r>
      <w:r w:rsidR="082C757B">
        <w:t xml:space="preserve">. </w:t>
      </w:r>
      <w:r>
        <w:t xml:space="preserve">Neexistuje žádná impozice </w:t>
      </w:r>
      <w:r w:rsidR="084D5319">
        <w:t xml:space="preserve">univočního </w:t>
      </w:r>
      <w:r>
        <w:t xml:space="preserve">významu </w:t>
      </w:r>
      <w:r w:rsidR="00222837" w:rsidRPr="00222837">
        <w:rPr>
          <w:i/>
        </w:rPr>
        <w:t>homo</w:t>
      </w:r>
      <w:r w:rsidR="00222837">
        <w:t xml:space="preserve"> </w:t>
      </w:r>
      <w:r w:rsidR="082C284A">
        <w:t xml:space="preserve">z mrtvoly na živého člověka. </w:t>
      </w:r>
      <w:r w:rsidR="0881368D">
        <w:t xml:space="preserve">Logická apozice predikátů je něco jiného než kategoriální predikace daná impozicí významu od první substance. Apozice je dána na úrovni logické abstrakce a proto představuje pouhou homonymii na úrovni metafyzického významu. </w:t>
      </w:r>
      <w:r w:rsidR="082C284A">
        <w:t>Mrtvola</w:t>
      </w:r>
      <w:r>
        <w:t xml:space="preserve"> nemůže zastupovat člověka v modu </w:t>
      </w:r>
      <w:r w:rsidR="08337491">
        <w:t xml:space="preserve">metafyzicky pojaté </w:t>
      </w:r>
      <w:r>
        <w:t>supozice</w:t>
      </w:r>
      <w:r w:rsidR="08337491">
        <w:t>, ale pouze v modu logické ekvivocity</w:t>
      </w:r>
      <w:r w:rsidR="08307A76">
        <w:t xml:space="preserve"> postavené mimo realitu</w:t>
      </w:r>
      <w:r>
        <w:t>.</w:t>
      </w:r>
      <w:r w:rsidRPr="00273106">
        <w:t xml:space="preserve"> </w:t>
      </w:r>
      <w:r w:rsidR="087512F6">
        <w:t xml:space="preserve">Traktát odmítl moderní humanismus člověka-mrtvoly hájený pařížskými porretány ve školách </w:t>
      </w:r>
      <w:r w:rsidR="087512F6" w:rsidRPr="08FA23BC">
        <w:rPr>
          <w:i/>
        </w:rPr>
        <w:t>logica Modernorum</w:t>
      </w:r>
      <w:r w:rsidR="087512F6">
        <w:rPr>
          <w:i/>
        </w:rPr>
        <w:fldChar w:fldCharType="begin"/>
      </w:r>
      <w:r w:rsidR="087512F6">
        <w:instrText xml:space="preserve"> XE "humanismus:aristotelský" </w:instrText>
      </w:r>
      <w:r w:rsidR="087512F6">
        <w:rPr>
          <w:i/>
        </w:rPr>
        <w:fldChar w:fldCharType="end"/>
      </w:r>
      <w:r w:rsidR="087512F6">
        <w:t xml:space="preserve">. </w:t>
      </w:r>
      <w:r w:rsidR="08067CFC">
        <w:t>Obrana osoby se vede</w:t>
      </w:r>
      <w:r w:rsidR="0898526F">
        <w:t xml:space="preserve"> v rámci </w:t>
      </w:r>
      <w:r w:rsidR="084B3B54">
        <w:t xml:space="preserve">adekvační teorie pravdy </w:t>
      </w:r>
      <w:r w:rsidRPr="00273106">
        <w:t xml:space="preserve">podle Blundova výkladu </w:t>
      </w:r>
      <w:r w:rsidR="00B713C5">
        <w:rPr>
          <w:i/>
        </w:rPr>
        <w:t>De a</w:t>
      </w:r>
      <w:r w:rsidRPr="00273106">
        <w:rPr>
          <w:i/>
        </w:rPr>
        <w:t>nima</w:t>
      </w:r>
      <w:r w:rsidRPr="00273106">
        <w:t>, k</w:t>
      </w:r>
      <w:r w:rsidR="08AA072D">
        <w:t xml:space="preserve"> němuž </w:t>
      </w:r>
      <w:r w:rsidR="08067CFC">
        <w:t xml:space="preserve">anonym </w:t>
      </w:r>
      <w:r w:rsidR="08AA072D">
        <w:t>správně přidal Averroesovo pojetí</w:t>
      </w:r>
      <w:r w:rsidR="084B3B54">
        <w:t xml:space="preserve"> metafyziky a poznání</w:t>
      </w:r>
      <w:r w:rsidR="08AA072D">
        <w:t xml:space="preserve">. </w:t>
      </w:r>
      <w:r w:rsidR="00B404DB">
        <w:t>I</w:t>
      </w:r>
      <w:r w:rsidR="00BC04F0">
        <w:t xml:space="preserve">mpozice </w:t>
      </w:r>
      <w:r w:rsidR="081C7C99">
        <w:t xml:space="preserve">metafyzického </w:t>
      </w:r>
      <w:r w:rsidR="00BC04F0">
        <w:t xml:space="preserve">významu jde z reality </w:t>
      </w:r>
      <w:r w:rsidR="081C7C99">
        <w:t xml:space="preserve">hyparchické </w:t>
      </w:r>
      <w:r w:rsidR="00BC04F0">
        <w:t>první substance</w:t>
      </w:r>
      <w:r w:rsidR="081C7C99">
        <w:t xml:space="preserve">, která skrze </w:t>
      </w:r>
      <w:r w:rsidR="082A724F">
        <w:t xml:space="preserve">metafyzický </w:t>
      </w:r>
      <w:r w:rsidR="081C7C99">
        <w:t>dativ</w:t>
      </w:r>
      <w:r w:rsidR="081C7C99">
        <w:fldChar w:fldCharType="begin"/>
      </w:r>
      <w:r w:rsidR="081C7C99">
        <w:instrText xml:space="preserve"> XE "</w:instrText>
      </w:r>
      <w:r w:rsidR="082A724F">
        <w:rPr>
          <w:i/>
        </w:rPr>
        <w:instrText>dativus metaphysi</w:instrText>
      </w:r>
      <w:r w:rsidR="081C7C99" w:rsidRPr="081C7C99">
        <w:rPr>
          <w:i/>
        </w:rPr>
        <w:instrText>cus</w:instrText>
      </w:r>
      <w:r w:rsidR="081C7C99">
        <w:instrText xml:space="preserve">" </w:instrText>
      </w:r>
      <w:r w:rsidR="081C7C99">
        <w:fldChar w:fldCharType="end"/>
      </w:r>
      <w:r w:rsidR="081C7C99">
        <w:t xml:space="preserve"> určuje predikaci</w:t>
      </w:r>
      <w:r w:rsidR="00BC04F0">
        <w:t xml:space="preserve">. </w:t>
      </w:r>
      <w:r w:rsidR="00ED0C06">
        <w:t xml:space="preserve">Téměř přirozenou akceptaci Averroesova korpusu do již dané argumentace Blundovy školy lze dokázat na nenápadné inzerci CMDA do již daného výkladu </w:t>
      </w:r>
      <w:r w:rsidR="00ED0C06" w:rsidRPr="00C01F42">
        <w:rPr>
          <w:i/>
        </w:rPr>
        <w:t>De anima</w:t>
      </w:r>
      <w:r w:rsidR="00ED0C06">
        <w:t xml:space="preserve"> pařížských magistrů</w:t>
      </w:r>
      <w:r w:rsidR="08B55287">
        <w:t xml:space="preserve"> Blundovy školy.</w:t>
      </w:r>
      <w:r w:rsidR="085C1AD7">
        <w:t xml:space="preserve"> </w:t>
      </w:r>
      <w:r w:rsidR="08D97960">
        <w:t xml:space="preserve">Obhajoba organicky pojatého těla šla ruku v ruce se správným průběhem poznání. </w:t>
      </w:r>
      <w:r w:rsidR="08827A45">
        <w:t xml:space="preserve">První averrosimus odmítl </w:t>
      </w:r>
      <w:r w:rsidR="08D97960" w:rsidRPr="00273106">
        <w:t xml:space="preserve">náhled subsistentní </w:t>
      </w:r>
      <w:r w:rsidR="006A04C6" w:rsidRPr="006A04C6">
        <w:t>species</w:t>
      </w:r>
      <w:r w:rsidR="08D97960">
        <w:t xml:space="preserve"> dané</w:t>
      </w:r>
      <w:r w:rsidR="08D97960" w:rsidRPr="00273106">
        <w:t xml:space="preserve"> </w:t>
      </w:r>
      <w:r w:rsidR="08D97960">
        <w:t xml:space="preserve">univočně </w:t>
      </w:r>
      <w:r w:rsidR="08827A45">
        <w:t xml:space="preserve">jak v reálné </w:t>
      </w:r>
      <w:r w:rsidR="08D97960" w:rsidRPr="00273106">
        <w:t>věci</w:t>
      </w:r>
      <w:r w:rsidR="08827A45">
        <w:t xml:space="preserve"> tak </w:t>
      </w:r>
      <w:r w:rsidR="08D97960" w:rsidRPr="00273106">
        <w:t xml:space="preserve">v procesu avicennovského </w:t>
      </w:r>
      <w:r w:rsidR="08D97960" w:rsidRPr="00273106">
        <w:rPr>
          <w:i/>
        </w:rPr>
        <w:t>denudatio</w:t>
      </w:r>
      <w:r w:rsidR="08827A45">
        <w:t xml:space="preserve">. Blundova škola hájí abstrakci a </w:t>
      </w:r>
      <w:r w:rsidR="08D97960" w:rsidRPr="00273106">
        <w:t xml:space="preserve">schéma poznání podle </w:t>
      </w:r>
      <w:r w:rsidR="08D97960">
        <w:t>Averroese</w:t>
      </w:r>
      <w:r w:rsidR="08B111DB">
        <w:t>. Jeho výklad poznání a metafyziku napojili na aristotelskou lini Druhého mistra, kterou neměli toletáni</w:t>
      </w:r>
      <w:r w:rsidR="08D97960" w:rsidRPr="00273106">
        <w:t>.</w:t>
      </w:r>
      <w:r w:rsidR="08BD1D6C">
        <w:t xml:space="preserve"> </w:t>
      </w:r>
      <w:r w:rsidR="08D97960">
        <w:t xml:space="preserve">Plný náhled </w:t>
      </w:r>
      <w:r w:rsidR="08B720AA">
        <w:t xml:space="preserve">do jednoty osoby a </w:t>
      </w:r>
      <w:r w:rsidR="08B720AA">
        <w:lastRenderedPageBreak/>
        <w:t xml:space="preserve">poznání </w:t>
      </w:r>
      <w:r w:rsidR="08D97960">
        <w:t>získali první averroisté až po recepci Sicilské školy v podání Scota od roku 1230</w:t>
      </w:r>
      <w:r w:rsidR="08BD1D6C">
        <w:t>, kdy Averroes dostal titul Komentátor</w:t>
      </w:r>
      <w:r w:rsidR="00FE17CD">
        <w:t>.</w:t>
      </w:r>
    </w:p>
    <w:p w14:paraId="764EFB8B" w14:textId="5BB7120E" w:rsidR="08A43BBB" w:rsidRDefault="082A20C3" w:rsidP="00FE17CD">
      <w:pPr>
        <w:ind w:firstLine="397"/>
      </w:pPr>
      <w:r w:rsidRPr="00273106">
        <w:t xml:space="preserve">Abstrakce daná formalizací podle CMDA zásadně změnila univoční status jsoucna třetího druhu hájený školou </w:t>
      </w:r>
      <w:r w:rsidRPr="00273106">
        <w:rPr>
          <w:i/>
        </w:rPr>
        <w:t>Nominales</w:t>
      </w:r>
      <w:r w:rsidRPr="00273106">
        <w:t xml:space="preserve">. </w:t>
      </w:r>
      <w:r>
        <w:t>V</w:t>
      </w:r>
      <w:r w:rsidRPr="00273106">
        <w:t xml:space="preserve">e formální adekvaci smyslů a rozumu </w:t>
      </w:r>
      <w:r w:rsidR="08161054">
        <w:t xml:space="preserve">podle Blundovy školy </w:t>
      </w:r>
      <w:r>
        <w:t xml:space="preserve">dostal termín </w:t>
      </w:r>
      <w:r w:rsidR="006A04C6" w:rsidRPr="006A04C6">
        <w:t>species</w:t>
      </w:r>
      <w:r w:rsidRPr="00273106">
        <w:t xml:space="preserve"> význam podle </w:t>
      </w:r>
      <w:r>
        <w:t xml:space="preserve">nového </w:t>
      </w:r>
      <w:r w:rsidRPr="00273106">
        <w:t xml:space="preserve">výkladu </w:t>
      </w:r>
      <w:r>
        <w:rPr>
          <w:i/>
        </w:rPr>
        <w:t>De a</w:t>
      </w:r>
      <w:r w:rsidRPr="00273106">
        <w:rPr>
          <w:i/>
        </w:rPr>
        <w:t>nima</w:t>
      </w:r>
      <w:r w:rsidR="08E75795">
        <w:t xml:space="preserve"> (kap. 2</w:t>
      </w:r>
      <w:r>
        <w:t>.1.2)</w:t>
      </w:r>
      <w:r w:rsidRPr="00273106">
        <w:t xml:space="preserve">. </w:t>
      </w:r>
      <w:r w:rsidR="00ED0C06">
        <w:t>Náhled na to, zda mrtvola je nebo není člověk</w:t>
      </w:r>
      <w:r w:rsidR="00ED0C06">
        <w:rPr>
          <w:i/>
        </w:rPr>
        <w:fldChar w:fldCharType="begin"/>
      </w:r>
      <w:r w:rsidR="00ED0C06">
        <w:instrText xml:space="preserve"> XE "sofisma člověk-mrtvola" </w:instrText>
      </w:r>
      <w:r w:rsidR="00ED0C06">
        <w:rPr>
          <w:i/>
        </w:rPr>
        <w:fldChar w:fldCharType="end"/>
      </w:r>
      <w:r w:rsidR="00ED0C06">
        <w:t xml:space="preserve">, zásadně záleží na neoplatonském nebo aristotelském </w:t>
      </w:r>
      <w:r w:rsidR="00ED0C06" w:rsidRPr="00273106">
        <w:t xml:space="preserve">statutu </w:t>
      </w:r>
      <w:r w:rsidR="006A04C6" w:rsidRPr="006A04C6">
        <w:t>species</w:t>
      </w:r>
      <w:r w:rsidR="00ED0C06">
        <w:fldChar w:fldCharType="begin"/>
      </w:r>
      <w:r w:rsidR="00ED0C06">
        <w:instrText xml:space="preserve"> XE "</w:instrText>
      </w:r>
      <w:r w:rsidR="00ED0C06" w:rsidRPr="00B41B4B">
        <w:instrText>species:dvojí pojetí</w:instrText>
      </w:r>
      <w:r w:rsidR="00ED0C06">
        <w:instrText xml:space="preserve">" </w:instrText>
      </w:r>
      <w:r w:rsidR="00ED0C06">
        <w:fldChar w:fldCharType="end"/>
      </w:r>
      <w:r w:rsidR="00ED0C06" w:rsidRPr="00273106">
        <w:t xml:space="preserve">. </w:t>
      </w:r>
      <w:r w:rsidR="00ED0C06">
        <w:t xml:space="preserve">Buď je </w:t>
      </w:r>
      <w:r w:rsidR="006A04C6" w:rsidRPr="006A04C6">
        <w:t>species</w:t>
      </w:r>
      <w:r w:rsidR="00F51660">
        <w:t xml:space="preserve"> </w:t>
      </w:r>
      <w:r w:rsidR="00ED0C06">
        <w:t>abstrahován</w:t>
      </w:r>
      <w:r w:rsidR="00F51660">
        <w:t>a</w:t>
      </w:r>
      <w:r w:rsidR="00ED0C06">
        <w:t xml:space="preserve"> od živého člověka nebo </w:t>
      </w:r>
      <w:r w:rsidR="08A9447C">
        <w:t xml:space="preserve">apozičně </w:t>
      </w:r>
      <w:r w:rsidR="00ED0C06">
        <w:t>predikován</w:t>
      </w:r>
      <w:r w:rsidR="00F51660">
        <w:t>a</w:t>
      </w:r>
      <w:r w:rsidR="00ED0C06">
        <w:t xml:space="preserve"> směrem k esenci dané v modu </w:t>
      </w:r>
      <w:r w:rsidR="00ED0C06" w:rsidRPr="00ED0C06">
        <w:rPr>
          <w:i/>
        </w:rPr>
        <w:t>semel</w:t>
      </w:r>
      <w:r w:rsidR="00F51660">
        <w:rPr>
          <w:rFonts w:cs="Calibri"/>
        </w:rPr>
        <w:t>‒</w:t>
      </w:r>
      <w:r w:rsidR="00ED0C06" w:rsidRPr="00ED0C06">
        <w:rPr>
          <w:i/>
        </w:rPr>
        <w:t>semper</w:t>
      </w:r>
      <w:r w:rsidR="00ED0C06">
        <w:t xml:space="preserve"> podle porretánů a Avicenny. </w:t>
      </w:r>
      <w:r w:rsidR="0895393C">
        <w:t xml:space="preserve">Blundova škola tvrdí, že </w:t>
      </w:r>
      <w:r w:rsidR="0895393C" w:rsidRPr="00273106">
        <w:t xml:space="preserve">předmět poznání je </w:t>
      </w:r>
      <w:r w:rsidR="0895393C">
        <w:t xml:space="preserve">pasivně intendován </w:t>
      </w:r>
      <w:r w:rsidR="0895393C" w:rsidRPr="00273106">
        <w:t>od smysly poznané věci v reálu</w:t>
      </w:r>
      <w:r w:rsidR="08E2261E">
        <w:t xml:space="preserve">. Poznání začíná </w:t>
      </w:r>
      <w:r w:rsidR="0895393C">
        <w:t>v recept</w:t>
      </w:r>
      <w:r w:rsidR="08E2261E">
        <w:t xml:space="preserve">ivní schopnosti intelektu a přijatá </w:t>
      </w:r>
      <w:r w:rsidR="006A04C6" w:rsidRPr="006A04C6">
        <w:t>species</w:t>
      </w:r>
      <w:r w:rsidR="08E2261E">
        <w:t xml:space="preserve"> je </w:t>
      </w:r>
      <w:r w:rsidR="0895393C">
        <w:t>aktivně abstrahován</w:t>
      </w:r>
      <w:r w:rsidR="08E2261E">
        <w:t>a</w:t>
      </w:r>
      <w:r w:rsidR="0895393C">
        <w:t xml:space="preserve"> v syntetické schopnosti intelektu</w:t>
      </w:r>
      <w:r w:rsidR="0895393C" w:rsidRPr="00273106">
        <w:t xml:space="preserve">. </w:t>
      </w:r>
      <w:r w:rsidR="0855788A">
        <w:t xml:space="preserve">Stejnou pozici bránící primát věci má i Grosseteste během </w:t>
      </w:r>
      <w:r w:rsidR="08F015DE">
        <w:t xml:space="preserve">pobytu v Paříži </w:t>
      </w:r>
      <w:r w:rsidR="087A77EA">
        <w:t xml:space="preserve">okolo </w:t>
      </w:r>
      <w:r w:rsidR="08710BC4">
        <w:t xml:space="preserve">roku </w:t>
      </w:r>
      <w:r w:rsidR="08F015DE">
        <w:t>1225</w:t>
      </w:r>
      <w:r w:rsidR="004F20D5">
        <w:t>.</w:t>
      </w:r>
      <w:r w:rsidR="004F20D5">
        <w:rPr>
          <w:rStyle w:val="Znakapoznpodarou"/>
        </w:rPr>
        <w:footnoteReference w:id="123"/>
      </w:r>
      <w:r w:rsidR="0855788A">
        <w:t xml:space="preserve"> </w:t>
      </w:r>
      <w:r w:rsidR="08C35DAB">
        <w:t xml:space="preserve">Věc v reálu má vlastní eficientní kauzalitu a potence </w:t>
      </w:r>
      <w:r w:rsidR="00FE17CD">
        <w:t xml:space="preserve">daná v supozičně určeném pojmu je vytvořena na základě impozice. Tento druh potenciality daný impozicí odlišuje pojem mrtvoly od pojmu osoby </w:t>
      </w:r>
      <w:r w:rsidR="080D1F02">
        <w:t>(</w:t>
      </w:r>
      <w:r w:rsidR="080D1F02" w:rsidRPr="080D1F02">
        <w:rPr>
          <w:i/>
        </w:rPr>
        <w:t>non est possibile rem illam esse</w:t>
      </w:r>
      <w:r w:rsidR="080D1F02">
        <w:t>)</w:t>
      </w:r>
      <w:r w:rsidR="00770300">
        <w:t xml:space="preserve">. Impozice </w:t>
      </w:r>
      <w:r w:rsidR="00D93F3C">
        <w:t xml:space="preserve">smyslu </w:t>
      </w:r>
      <w:r w:rsidR="00770300">
        <w:t xml:space="preserve">vzniká </w:t>
      </w:r>
      <w:r w:rsidR="08C35DAB">
        <w:t xml:space="preserve">na základě fyzikálních či biologických schopností vázaných na aktuální první substanci či živé tělo. </w:t>
      </w:r>
      <w:r w:rsidR="00ED0C06">
        <w:t xml:space="preserve">Četba </w:t>
      </w:r>
      <w:r w:rsidR="00E36C91">
        <w:t xml:space="preserve">Averroesova korpusu </w:t>
      </w:r>
      <w:r w:rsidR="00ED0C06">
        <w:t>upevnila pozici Blundovy školy a dala jí nové argumenty</w:t>
      </w:r>
      <w:r w:rsidR="00990D1D">
        <w:t xml:space="preserve"> pro jednotu osoby jako nedělitelné první substance hlásané Boethiem</w:t>
      </w:r>
      <w:r w:rsidR="00ED0C06">
        <w:t xml:space="preserve">. Přesto u magistrů </w:t>
      </w:r>
      <w:r w:rsidR="087357B9">
        <w:t xml:space="preserve">nově zřízené Pařížské univerzity </w:t>
      </w:r>
      <w:r w:rsidR="00ED0C06">
        <w:t>zůstaly zásadní pochybnosti ohledně Toledského výkladu Averroese</w:t>
      </w:r>
      <w:r w:rsidR="08D348E8">
        <w:t xml:space="preserve">, jenž byl </w:t>
      </w:r>
      <w:r w:rsidR="00ED0C06">
        <w:t xml:space="preserve">ovlivněn avicenismem. </w:t>
      </w:r>
      <w:r w:rsidR="08DA3FC3">
        <w:t>Blundova kriticky myslící škola hned na začátku nekompromisně odmítla averrois</w:t>
      </w:r>
      <w:r w:rsidR="086A69A6">
        <w:t>tický výklad Averro</w:t>
      </w:r>
      <w:r w:rsidR="08DA3FC3">
        <w:t>e</w:t>
      </w:r>
      <w:r w:rsidR="086A69A6">
        <w:t>se</w:t>
      </w:r>
      <w:r w:rsidR="08DA3FC3">
        <w:t xml:space="preserve">, proto není moderní. </w:t>
      </w:r>
      <w:r w:rsidR="086A69A6">
        <w:t xml:space="preserve">Polemiku proti nominalistickým a logickým školám </w:t>
      </w:r>
      <w:r w:rsidR="086A69A6" w:rsidRPr="086A69A6">
        <w:rPr>
          <w:i/>
        </w:rPr>
        <w:t>Modernorum</w:t>
      </w:r>
      <w:r w:rsidR="086A69A6">
        <w:t xml:space="preserve"> </w:t>
      </w:r>
      <w:r w:rsidR="00ED0C06">
        <w:t xml:space="preserve">ukázal první historicky známý citát </w:t>
      </w:r>
      <w:r w:rsidR="08C05824">
        <w:t>Komentátora. Grosseteste polemicky používá</w:t>
      </w:r>
      <w:r w:rsidR="00ED0C06">
        <w:t xml:space="preserve"> </w:t>
      </w:r>
      <w:r w:rsidR="087572AC">
        <w:t>spisy tehdy daného Averroesova</w:t>
      </w:r>
      <w:r w:rsidR="00ED0C06">
        <w:t xml:space="preserve"> korpus</w:t>
      </w:r>
      <w:r w:rsidR="087572AC">
        <w:t>u</w:t>
      </w:r>
      <w:r w:rsidR="00ED0C06">
        <w:t xml:space="preserve"> proti Toledské škole avicennistů. </w:t>
      </w:r>
      <w:r w:rsidR="08EF3E99">
        <w:t xml:space="preserve">Blundova škola tvrdí </w:t>
      </w:r>
      <w:r w:rsidR="088B20A3">
        <w:t xml:space="preserve">na základě </w:t>
      </w:r>
      <w:r w:rsidR="00171DEA">
        <w:t xml:space="preserve">impozice významu od reálné </w:t>
      </w:r>
      <w:r w:rsidR="088B20A3">
        <w:t>první substance, že kolekta potenciálních a univerzálních hypostází není člověk</w:t>
      </w:r>
      <w:r w:rsidR="08EF3E99">
        <w:t>. Stejné stanovisko má Grossetesteho d</w:t>
      </w:r>
      <w:r w:rsidR="08B82588">
        <w:t xml:space="preserve">ruhý </w:t>
      </w:r>
      <w:r w:rsidR="088B20A3">
        <w:t>komentář</w:t>
      </w:r>
      <w:r w:rsidR="08EA74C6">
        <w:t xml:space="preserve"> k </w:t>
      </w:r>
      <w:r w:rsidR="08EA74C6" w:rsidRPr="08284F81">
        <w:rPr>
          <w:i/>
        </w:rPr>
        <w:t>De anima</w:t>
      </w:r>
      <w:r w:rsidR="08EA74C6">
        <w:t>.</w:t>
      </w:r>
      <w:r w:rsidR="08EA74C6">
        <w:rPr>
          <w:rStyle w:val="Znakapoznpodarou"/>
        </w:rPr>
        <w:footnoteReference w:id="124"/>
      </w:r>
      <w:r w:rsidR="08284F81">
        <w:t xml:space="preserve"> </w:t>
      </w:r>
      <w:r w:rsidR="08FF7EA0">
        <w:t xml:space="preserve">Citát </w:t>
      </w:r>
      <w:r w:rsidR="08AB2CD8">
        <w:t xml:space="preserve">upozorňuje toletány a porretány, že </w:t>
      </w:r>
      <w:r w:rsidR="08AB2CD8">
        <w:lastRenderedPageBreak/>
        <w:t xml:space="preserve">podle vědeckého sylogismu </w:t>
      </w:r>
      <w:r w:rsidR="08AB2CD8" w:rsidRPr="08AB2CDC">
        <w:rPr>
          <w:i/>
        </w:rPr>
        <w:t>Druhých analytik</w:t>
      </w:r>
      <w:r w:rsidR="08AB2CD8">
        <w:t xml:space="preserve"> musí být nejprve dána reálná kauzalita duše jako formy jako </w:t>
      </w:r>
      <w:r w:rsidR="08AB2CD8" w:rsidRPr="08284F81">
        <w:rPr>
          <w:i/>
        </w:rPr>
        <w:t>medium</w:t>
      </w:r>
      <w:r w:rsidR="08AB2CD8">
        <w:t xml:space="preserve"> </w:t>
      </w:r>
      <w:r w:rsidR="008D7042">
        <w:t>ve středním členu deduktivního syllogismu, aby založila vědeckou definici duše. T</w:t>
      </w:r>
      <w:r w:rsidR="08AB2CD8">
        <w:t>ato účinná kauzalita je dána smyslově v těle jako první substanci (</w:t>
      </w:r>
      <w:r w:rsidR="08AB2CD8" w:rsidRPr="08FA043E">
        <w:rPr>
          <w:i/>
        </w:rPr>
        <w:t>sensibile sit medium</w:t>
      </w:r>
      <w:r w:rsidR="08AB2CD8">
        <w:t xml:space="preserve">). </w:t>
      </w:r>
      <w:r w:rsidR="08AB2CD8" w:rsidRPr="00273106">
        <w:t xml:space="preserve">Středovou pozici </w:t>
      </w:r>
      <w:r w:rsidR="00B9246E">
        <w:t xml:space="preserve">nemůže založit </w:t>
      </w:r>
      <w:r w:rsidR="08AB2CD8" w:rsidRPr="00273106">
        <w:t>logick</w:t>
      </w:r>
      <w:r w:rsidR="00B9246E">
        <w:t>ý pojem</w:t>
      </w:r>
      <w:r w:rsidR="08AB2CD8" w:rsidRPr="00273106">
        <w:t xml:space="preserve">, ale </w:t>
      </w:r>
      <w:r w:rsidR="00B9246E">
        <w:t xml:space="preserve">pouze </w:t>
      </w:r>
      <w:r w:rsidR="08AB2CD8" w:rsidRPr="00273106">
        <w:t>smyslové poznání reálné věci, které utváří v procesu abstrakce a intencionality poznanou formu</w:t>
      </w:r>
      <w:r w:rsidR="08AB2CD8">
        <w:t xml:space="preserve"> danou pouze v mysli</w:t>
      </w:r>
      <w:r w:rsidR="08AB2CD8" w:rsidRPr="00273106">
        <w:t>.</w:t>
      </w:r>
      <w:r w:rsidR="08AB2CD8">
        <w:t xml:space="preserve"> </w:t>
      </w:r>
      <w:r w:rsidR="08284F81">
        <w:t xml:space="preserve">Klíčové je použití slovesa </w:t>
      </w:r>
      <w:r w:rsidR="08284F81" w:rsidRPr="08284F81">
        <w:rPr>
          <w:i/>
        </w:rPr>
        <w:t>secare</w:t>
      </w:r>
      <w:r w:rsidR="08AD102D">
        <w:t xml:space="preserve"> pro sekundární a pouze </w:t>
      </w:r>
      <w:r w:rsidR="08284F81">
        <w:t xml:space="preserve">abstraktní určení duše postavené proti neoplatonskému výkladu </w:t>
      </w:r>
      <w:r w:rsidR="08284F81" w:rsidRPr="08284F81">
        <w:rPr>
          <w:i/>
        </w:rPr>
        <w:t xml:space="preserve">De anima </w:t>
      </w:r>
      <w:r w:rsidR="08284F81">
        <w:t>(</w:t>
      </w:r>
      <w:r w:rsidR="08284F81" w:rsidRPr="08284F81">
        <w:rPr>
          <w:i/>
        </w:rPr>
        <w:t>secantur sensus et scientie in res</w:t>
      </w:r>
      <w:r w:rsidR="08D32FB4">
        <w:t>; OBJ III, kap. 6</w:t>
      </w:r>
      <w:r w:rsidR="08284F81">
        <w:t>.</w:t>
      </w:r>
      <w:r w:rsidR="08D60249">
        <w:t xml:space="preserve">1). </w:t>
      </w:r>
      <w:r w:rsidR="08D678A3" w:rsidRPr="00273106">
        <w:t xml:space="preserve">Roli media dostává </w:t>
      </w:r>
      <w:r w:rsidR="08D678A3">
        <w:t xml:space="preserve">v anonymním traktátu </w:t>
      </w:r>
      <w:r w:rsidR="08D678A3" w:rsidRPr="00273106">
        <w:t xml:space="preserve">správně pochopené diafanum po vzoru </w:t>
      </w:r>
      <w:r w:rsidR="08D678A3">
        <w:t>Averroes</w:t>
      </w:r>
      <w:r w:rsidR="08D678A3" w:rsidRPr="00273106">
        <w:t>e (</w:t>
      </w:r>
      <w:r w:rsidR="08D678A3" w:rsidRPr="00273106">
        <w:rPr>
          <w:i/>
        </w:rPr>
        <w:t>in diaphono, id est in transparenti</w:t>
      </w:r>
      <w:r w:rsidR="08D678A3" w:rsidRPr="00273106">
        <w:t>), v němž je barva na rozdíl od světla obsažena čistě formálním způsobem (</w:t>
      </w:r>
      <w:r w:rsidR="08D678A3" w:rsidRPr="00273106">
        <w:rPr>
          <w:i/>
        </w:rPr>
        <w:t>color est formaliter</w:t>
      </w:r>
      <w:r w:rsidR="08D678A3" w:rsidRPr="00273106">
        <w:t>; ibid, p. 37.225‒</w:t>
      </w:r>
      <w:r w:rsidR="08D678A3">
        <w:t>2</w:t>
      </w:r>
      <w:r w:rsidR="08D678A3" w:rsidRPr="00273106">
        <w:t>6</w:t>
      </w:r>
      <w:r w:rsidR="08D678A3">
        <w:fldChar w:fldCharType="begin"/>
      </w:r>
      <w:r w:rsidR="08D678A3">
        <w:instrText xml:space="preserve"> XE "</w:instrText>
      </w:r>
      <w:r w:rsidR="089A1B6F">
        <w:rPr>
          <w:i/>
        </w:rPr>
        <w:instrText>De anima et de potenciis eius</w:instrText>
      </w:r>
      <w:r w:rsidR="08D678A3">
        <w:instrText xml:space="preserve"> </w:instrText>
      </w:r>
      <w:r w:rsidR="08D678A3" w:rsidRPr="00273106">
        <w:instrText>37.225‒</w:instrText>
      </w:r>
      <w:r w:rsidR="08D678A3">
        <w:instrText>2</w:instrText>
      </w:r>
      <w:r w:rsidR="08D678A3" w:rsidRPr="00273106">
        <w:instrText>6</w:instrText>
      </w:r>
      <w:r w:rsidR="08D678A3">
        <w:instrText xml:space="preserve">" </w:instrText>
      </w:r>
      <w:r w:rsidR="08D678A3">
        <w:fldChar w:fldCharType="end"/>
      </w:r>
      <w:r w:rsidR="08D678A3" w:rsidRPr="00273106">
        <w:t xml:space="preserve">). </w:t>
      </w:r>
      <w:r w:rsidR="08D678A3">
        <w:t xml:space="preserve">Bez diafanum nešlo zavést intencionalitu a adekvační teorii pravdy, kterou Blundova škola hájila proti Avicennovi. </w:t>
      </w:r>
      <w:r w:rsidR="00DE7CF4">
        <w:t>V</w:t>
      </w:r>
      <w:r w:rsidR="003C2A02">
        <w:t xml:space="preserve">ýklad </w:t>
      </w:r>
      <w:r w:rsidR="00D043F1">
        <w:t>Averro</w:t>
      </w:r>
      <w:r w:rsidR="00F76F38">
        <w:t>e</w:t>
      </w:r>
      <w:r w:rsidR="00D043F1">
        <w:t xml:space="preserve">se </w:t>
      </w:r>
      <w:r w:rsidR="00F76F38">
        <w:t xml:space="preserve">přišlý </w:t>
      </w:r>
      <w:r w:rsidR="00D043F1">
        <w:t xml:space="preserve">z Toleda </w:t>
      </w:r>
      <w:r w:rsidR="003C2A02">
        <w:t xml:space="preserve">opomněl mediační funkci diafanum, kterou měla originální </w:t>
      </w:r>
      <w:r w:rsidR="003C2A02" w:rsidRPr="003C2A02">
        <w:rPr>
          <w:i/>
        </w:rPr>
        <w:t>De anima</w:t>
      </w:r>
      <w:r w:rsidR="003C2A02">
        <w:t xml:space="preserve"> a komentář </w:t>
      </w:r>
      <w:r w:rsidR="00F76F38" w:rsidRPr="00F76F38">
        <w:rPr>
          <w:i/>
        </w:rPr>
        <w:t>De anima</w:t>
      </w:r>
      <w:r w:rsidR="00F76F38">
        <w:t xml:space="preserve"> od </w:t>
      </w:r>
      <w:r w:rsidR="003C2A02">
        <w:t>Al-Fárábího</w:t>
      </w:r>
      <w:r w:rsidR="08086256">
        <w:t xml:space="preserve"> (</w:t>
      </w:r>
      <w:r w:rsidR="08587858">
        <w:t xml:space="preserve">OBJ I, </w:t>
      </w:r>
      <w:r w:rsidR="08086256">
        <w:t>kap. 2.1.1)</w:t>
      </w:r>
      <w:r w:rsidR="00B57065">
        <w:t xml:space="preserve">. </w:t>
      </w:r>
      <w:r w:rsidR="089B2A45">
        <w:t xml:space="preserve">Grosseteste v době </w:t>
      </w:r>
      <w:r w:rsidR="08FD1CC7">
        <w:t xml:space="preserve">pařížských </w:t>
      </w:r>
      <w:r w:rsidR="089B2A45">
        <w:t>studií v Blundově škole drží stejnou pozici. P</w:t>
      </w:r>
      <w:r w:rsidR="08FD1CC7">
        <w:t xml:space="preserve">roto </w:t>
      </w:r>
      <w:r w:rsidR="089B2A45">
        <w:t xml:space="preserve">nesouhlasí v tomto základním bodě s argumentací Avicenny a drží diafanum jako klíčovou složku přenosu světla. </w:t>
      </w:r>
      <w:r w:rsidR="08FD1CC7">
        <w:t xml:space="preserve">Grossetesteho </w:t>
      </w:r>
      <w:r w:rsidR="08826840">
        <w:t xml:space="preserve">kosmologické </w:t>
      </w:r>
      <w:r w:rsidR="08FD1CC7">
        <w:t xml:space="preserve">traktáty </w:t>
      </w:r>
      <w:r w:rsidR="089B2A45">
        <w:t>definují různorodou roli fyzikálního diafanum při přenosu světla</w:t>
      </w:r>
      <w:r w:rsidR="08826840">
        <w:t xml:space="preserve"> skrze kosmické elementy, které se </w:t>
      </w:r>
      <w:r w:rsidR="08FD1CC7">
        <w:t>liší od kosmických prvních substancí díky mediaci</w:t>
      </w:r>
      <w:r w:rsidR="08826840">
        <w:t xml:space="preserve"> světla</w:t>
      </w:r>
      <w:r w:rsidR="089B2A45">
        <w:t>.</w:t>
      </w:r>
      <w:r w:rsidR="08826840">
        <w:rPr>
          <w:rStyle w:val="Znakapoznpodarou"/>
        </w:rPr>
        <w:footnoteReference w:id="125"/>
      </w:r>
      <w:r w:rsidR="089B2A45">
        <w:t xml:space="preserve"> Diafanum slouží jako </w:t>
      </w:r>
      <w:r w:rsidR="086118FC">
        <w:t xml:space="preserve">mediace pro intelekt také </w:t>
      </w:r>
      <w:r w:rsidR="089B2A45">
        <w:t xml:space="preserve">v </w:t>
      </w:r>
      <w:r w:rsidR="08EE36C0">
        <w:t xml:space="preserve">Grossetesteho </w:t>
      </w:r>
      <w:r w:rsidR="089B2A45">
        <w:t xml:space="preserve">traktátu </w:t>
      </w:r>
      <w:r w:rsidR="089B2A45" w:rsidRPr="003A3096">
        <w:rPr>
          <w:i/>
        </w:rPr>
        <w:t>De anima</w:t>
      </w:r>
      <w:r w:rsidR="089B2A45">
        <w:t xml:space="preserve">, protože je spojeno s </w:t>
      </w:r>
      <w:r w:rsidR="080F1023">
        <w:t xml:space="preserve">intencionální </w:t>
      </w:r>
      <w:r w:rsidR="089B2A45">
        <w:t xml:space="preserve">mediací smyslů v </w:t>
      </w:r>
      <w:r w:rsidR="083438DB">
        <w:t xml:space="preserve">poznávacím </w:t>
      </w:r>
      <w:r w:rsidR="089B2A45">
        <w:t xml:space="preserve">modu </w:t>
      </w:r>
      <w:r w:rsidR="083438DB">
        <w:t>(</w:t>
      </w:r>
      <w:r w:rsidR="089B2A45" w:rsidRPr="00AD1C0B">
        <w:rPr>
          <w:i/>
        </w:rPr>
        <w:t>medium</w:t>
      </w:r>
      <w:r w:rsidR="089B2A45" w:rsidRPr="00AD1C0B">
        <w:t xml:space="preserve"> </w:t>
      </w:r>
      <w:r w:rsidR="089B2A45" w:rsidRPr="00AD1C0B">
        <w:rPr>
          <w:i/>
        </w:rPr>
        <w:t>ordinans</w:t>
      </w:r>
      <w:r w:rsidR="083438DB">
        <w:t>)</w:t>
      </w:r>
      <w:r w:rsidR="089B2A45">
        <w:rPr>
          <w:i/>
        </w:rPr>
        <w:t xml:space="preserve">, </w:t>
      </w:r>
      <w:r w:rsidR="089B2A45">
        <w:t>na rozdíl od fyzikálního diafanum</w:t>
      </w:r>
      <w:r w:rsidR="08BF1CB6">
        <w:t xml:space="preserve"> daného v participativním modu</w:t>
      </w:r>
      <w:r w:rsidR="083438DB">
        <w:t>m (</w:t>
      </w:r>
      <w:r w:rsidR="083438DB" w:rsidRPr="083438DB">
        <w:rPr>
          <w:i/>
          <w:szCs w:val="18"/>
        </w:rPr>
        <w:t>medium</w:t>
      </w:r>
      <w:r w:rsidR="083438DB" w:rsidRPr="08BF1CB6">
        <w:rPr>
          <w:szCs w:val="18"/>
        </w:rPr>
        <w:t xml:space="preserve"> </w:t>
      </w:r>
      <w:r w:rsidR="083438DB" w:rsidRPr="08BF1CB6">
        <w:rPr>
          <w:i/>
          <w:szCs w:val="18"/>
        </w:rPr>
        <w:t>participans</w:t>
      </w:r>
      <w:r w:rsidR="083438DB">
        <w:t>)</w:t>
      </w:r>
      <w:r w:rsidR="08BF1CB6">
        <w:t>.</w:t>
      </w:r>
      <w:r w:rsidR="08BF1CB6">
        <w:rPr>
          <w:rStyle w:val="Znakapoznpodarou"/>
        </w:rPr>
        <w:footnoteReference w:id="126"/>
      </w:r>
      <w:r w:rsidR="0858363E">
        <w:t xml:space="preserve"> Tím je dáno dvojí rozdělení diafanum na fyzikální </w:t>
      </w:r>
      <w:r w:rsidR="0858363E" w:rsidRPr="0858363E">
        <w:rPr>
          <w:i/>
        </w:rPr>
        <w:t>perspicuum</w:t>
      </w:r>
      <w:r w:rsidR="0858363E">
        <w:t xml:space="preserve"> </w:t>
      </w:r>
      <w:r w:rsidR="0837677E">
        <w:t xml:space="preserve">dané v prostoru </w:t>
      </w:r>
      <w:r w:rsidR="0858363E">
        <w:t xml:space="preserve">a </w:t>
      </w:r>
      <w:r w:rsidR="0837677E">
        <w:t xml:space="preserve">na intencionální </w:t>
      </w:r>
      <w:r w:rsidR="006A04C6" w:rsidRPr="006A04C6">
        <w:t>species</w:t>
      </w:r>
      <w:r w:rsidR="0837677E">
        <w:t xml:space="preserve"> dané v duši.</w:t>
      </w:r>
      <w:r w:rsidR="0858363E">
        <w:t xml:space="preserve"> </w:t>
      </w:r>
      <w:r w:rsidR="005C2B5E" w:rsidRPr="00273106">
        <w:t xml:space="preserve">Středová pozice </w:t>
      </w:r>
      <w:r w:rsidR="004B4D52" w:rsidRPr="004B4D52">
        <w:t>species</w:t>
      </w:r>
      <w:r w:rsidR="005C2B5E" w:rsidRPr="00273106">
        <w:t xml:space="preserve"> není daná v</w:t>
      </w:r>
      <w:r w:rsidR="00254348">
        <w:t>e</w:t>
      </w:r>
      <w:r w:rsidR="005C2B5E" w:rsidRPr="00273106">
        <w:t xml:space="preserve"> schématu </w:t>
      </w:r>
      <w:r w:rsidR="005C2B5E" w:rsidRPr="00273106">
        <w:rPr>
          <w:i/>
        </w:rPr>
        <w:t>tertium ens</w:t>
      </w:r>
      <w:r w:rsidR="005C2B5E" w:rsidRPr="00273106">
        <w:t xml:space="preserve">, ale pomocí </w:t>
      </w:r>
      <w:r w:rsidR="005C2B5E">
        <w:t>mediace skrze diafanum v CMDA (</w:t>
      </w:r>
      <w:r w:rsidR="082734BD">
        <w:t xml:space="preserve">OBJ I, </w:t>
      </w:r>
      <w:r w:rsidR="005C2B5E">
        <w:t>kap. 2.4.4</w:t>
      </w:r>
      <w:r w:rsidR="005C2B5E" w:rsidRPr="00273106">
        <w:t>).</w:t>
      </w:r>
      <w:r w:rsidR="005C2B5E">
        <w:t xml:space="preserve"> </w:t>
      </w:r>
      <w:r w:rsidR="08705082">
        <w:t>Stejnou poz</w:t>
      </w:r>
      <w:r w:rsidR="08204E82">
        <w:t>i</w:t>
      </w:r>
      <w:r w:rsidR="08705082">
        <w:t xml:space="preserve">ci hájí také traktát </w:t>
      </w:r>
      <w:r w:rsidR="089A1B6F">
        <w:rPr>
          <w:i/>
        </w:rPr>
        <w:t>De anima et de potenciis eius</w:t>
      </w:r>
      <w:r w:rsidR="08204E82">
        <w:rPr>
          <w:i/>
        </w:rPr>
        <w:t xml:space="preserve"> </w:t>
      </w:r>
      <w:r w:rsidR="08204E82">
        <w:t>a má ste</w:t>
      </w:r>
      <w:r w:rsidR="08204E82" w:rsidRPr="08204E82">
        <w:t xml:space="preserve">jné </w:t>
      </w:r>
      <w:r w:rsidR="08204E82" w:rsidRPr="08204E82">
        <w:lastRenderedPageBreak/>
        <w:t>protivníky</w:t>
      </w:r>
      <w:r w:rsidR="08763CD5">
        <w:t xml:space="preserve">, tedy porretány a </w:t>
      </w:r>
      <w:r w:rsidR="08204E82">
        <w:t>avicennist</w:t>
      </w:r>
      <w:r w:rsidR="08082212">
        <w:t>ické t</w:t>
      </w:r>
      <w:r w:rsidR="08763CD5">
        <w:t>oletány. J</w:t>
      </w:r>
      <w:r w:rsidR="08204E82">
        <w:t xml:space="preserve">ejich schéma poznání </w:t>
      </w:r>
      <w:r w:rsidR="08763CD5">
        <w:t xml:space="preserve">je </w:t>
      </w:r>
      <w:r w:rsidR="08204E82">
        <w:t xml:space="preserve">dané nasvícením smyslu jsoucna od odděleného </w:t>
      </w:r>
      <w:r w:rsidR="08204E82" w:rsidRPr="08204E82">
        <w:rPr>
          <w:i/>
        </w:rPr>
        <w:t>intellectus agens</w:t>
      </w:r>
      <w:r w:rsidR="081D08FA">
        <w:t xml:space="preserve"> a v modu abstrakce jako </w:t>
      </w:r>
      <w:r w:rsidR="081D08FA" w:rsidRPr="081D08FA">
        <w:rPr>
          <w:i/>
        </w:rPr>
        <w:t>denudatio</w:t>
      </w:r>
      <w:r w:rsidR="081D08FA">
        <w:rPr>
          <w:i/>
        </w:rPr>
        <w:fldChar w:fldCharType="begin"/>
      </w:r>
      <w:r w:rsidR="081D08FA">
        <w:instrText xml:space="preserve"> XE "</w:instrText>
      </w:r>
      <w:r w:rsidR="081D08FA" w:rsidRPr="087C1881">
        <w:rPr>
          <w:i/>
        </w:rPr>
        <w:instrText>denudatio</w:instrText>
      </w:r>
      <w:r w:rsidR="081D08FA">
        <w:instrText xml:space="preserve">" </w:instrText>
      </w:r>
      <w:r w:rsidR="081D08FA">
        <w:rPr>
          <w:i/>
        </w:rPr>
        <w:fldChar w:fldCharType="end"/>
      </w:r>
      <w:r w:rsidR="081D08FA">
        <w:t xml:space="preserve">. </w:t>
      </w:r>
      <w:r w:rsidR="004D0010">
        <w:t>Averroes</w:t>
      </w:r>
      <w:r w:rsidR="004D0010" w:rsidRPr="00273106">
        <w:t xml:space="preserve">ovo pojetí diafanum </w:t>
      </w:r>
      <w:r w:rsidR="004D0010">
        <w:t xml:space="preserve">umožňuje </w:t>
      </w:r>
      <w:r w:rsidR="004D0010" w:rsidRPr="00273106">
        <w:t xml:space="preserve">zpracování smyslového </w:t>
      </w:r>
      <w:r w:rsidR="004B4D52" w:rsidRPr="004B4D52">
        <w:t>species</w:t>
      </w:r>
      <w:r w:rsidR="004D0010" w:rsidRPr="00273106">
        <w:t xml:space="preserve"> v rámci </w:t>
      </w:r>
      <w:r w:rsidR="08840EE3">
        <w:t>nemate</w:t>
      </w:r>
      <w:r w:rsidR="087F1D29">
        <w:t xml:space="preserve">riální </w:t>
      </w:r>
      <w:r w:rsidR="08840EE3">
        <w:t xml:space="preserve">a formálně </w:t>
      </w:r>
      <w:r w:rsidR="087F1D29">
        <w:t xml:space="preserve">oddělené </w:t>
      </w:r>
      <w:r w:rsidR="004D0010" w:rsidRPr="00273106">
        <w:t>abstrakce dané výkonem pasivně-aktivního intelektu</w:t>
      </w:r>
      <w:r w:rsidR="080E6742">
        <w:t xml:space="preserve">. </w:t>
      </w:r>
      <w:r w:rsidR="08FB4F9D">
        <w:t xml:space="preserve">Spojením dvojí intencionality a receptivity </w:t>
      </w:r>
      <w:r w:rsidR="08CB7F67">
        <w:t>je jas</w:t>
      </w:r>
      <w:r w:rsidR="080E6742">
        <w:t>n</w:t>
      </w:r>
      <w:r w:rsidR="08CB7F67">
        <w:t>ě</w:t>
      </w:r>
      <w:r w:rsidR="083170B4">
        <w:t xml:space="preserve"> daný směr </w:t>
      </w:r>
      <w:r w:rsidR="080E6742">
        <w:t xml:space="preserve">poznání </w:t>
      </w:r>
      <w:r w:rsidR="083170B4">
        <w:t>přejímající aktualitu poznané věci. Nasvícení jde</w:t>
      </w:r>
      <w:r w:rsidR="08CB7F67">
        <w:t xml:space="preserve"> zepředu </w:t>
      </w:r>
      <w:r w:rsidR="080E6742">
        <w:t xml:space="preserve">od externího objektu přes </w:t>
      </w:r>
      <w:r w:rsidR="08CB7F67">
        <w:t xml:space="preserve">fyzikální </w:t>
      </w:r>
      <w:r w:rsidR="080E6742">
        <w:t>diafanum k</w:t>
      </w:r>
      <w:r w:rsidR="08CB7F67">
        <w:t>e smyslům a následná duševní činnost dané mediací v duši (</w:t>
      </w:r>
      <w:r w:rsidR="08CB7F67" w:rsidRPr="08CB7F67">
        <w:rPr>
          <w:i/>
        </w:rPr>
        <w:t>in spiritu</w:t>
      </w:r>
      <w:r w:rsidR="08CB7F67">
        <w:t>), která začíná u smyslového poznání a jde k rozumovému poznání.</w:t>
      </w:r>
      <w:r w:rsidR="080E6742">
        <w:rPr>
          <w:rStyle w:val="Znakapoznpodarou"/>
        </w:rPr>
        <w:footnoteReference w:id="127"/>
      </w:r>
      <w:r w:rsidR="08CB7F67">
        <w:t xml:space="preserve"> </w:t>
      </w:r>
      <w:r w:rsidR="004D0010" w:rsidRPr="00273106">
        <w:t>Oba druhy intencionality na sebe navazují stejně jako u Blunda</w:t>
      </w:r>
      <w:r w:rsidR="004D0010">
        <w:t>, viz předešlá kapitola</w:t>
      </w:r>
      <w:r w:rsidR="004D0010" w:rsidRPr="00273106">
        <w:t xml:space="preserve">. </w:t>
      </w:r>
      <w:r w:rsidR="08E648AE">
        <w:t xml:space="preserve">Pořadí dvojí mediace dané v sekvenci </w:t>
      </w:r>
      <w:r w:rsidR="08E648AE" w:rsidRPr="08E648AE">
        <w:rPr>
          <w:i/>
        </w:rPr>
        <w:t>obiectum</w:t>
      </w:r>
      <w:r w:rsidR="08E648AE">
        <w:t xml:space="preserve">, </w:t>
      </w:r>
      <w:r w:rsidR="08E648AE" w:rsidRPr="08E648AE">
        <w:rPr>
          <w:i/>
        </w:rPr>
        <w:t>medium</w:t>
      </w:r>
      <w:r w:rsidR="08E648AE">
        <w:t xml:space="preserve">, </w:t>
      </w:r>
      <w:r w:rsidR="08E648AE" w:rsidRPr="08E648AE">
        <w:rPr>
          <w:i/>
        </w:rPr>
        <w:t>organum</w:t>
      </w:r>
      <w:r w:rsidR="08E648AE">
        <w:t xml:space="preserve">, </w:t>
      </w:r>
      <w:r w:rsidR="08E648AE" w:rsidRPr="08E648AE">
        <w:rPr>
          <w:i/>
        </w:rPr>
        <w:t>spiritus</w:t>
      </w:r>
      <w:r w:rsidR="08E648AE" w:rsidRPr="080E6742">
        <w:t xml:space="preserve"> </w:t>
      </w:r>
      <w:r w:rsidR="08E648AE">
        <w:t>je dáno</w:t>
      </w:r>
      <w:r w:rsidR="001446E9" w:rsidRPr="00273106">
        <w:t xml:space="preserve"> v rámci aristotelské abstrakce </w:t>
      </w:r>
      <w:r w:rsidR="0011743D" w:rsidRPr="00273106">
        <w:t xml:space="preserve">jako </w:t>
      </w:r>
      <w:r w:rsidR="0011743D" w:rsidRPr="00273106">
        <w:rPr>
          <w:i/>
        </w:rPr>
        <w:t>proportio</w:t>
      </w:r>
      <w:r w:rsidR="0011743D" w:rsidRPr="00273106">
        <w:t xml:space="preserve"> syntetizované formy </w:t>
      </w:r>
      <w:r w:rsidR="001446E9" w:rsidRPr="00273106">
        <w:t>od smyslů k intelektu</w:t>
      </w:r>
      <w:r w:rsidR="00A3500B">
        <w:fldChar w:fldCharType="begin"/>
      </w:r>
      <w:r w:rsidR="00A3500B">
        <w:instrText xml:space="preserve"> XE "intencionalita:první averroismus" </w:instrText>
      </w:r>
      <w:r w:rsidR="00A3500B">
        <w:fldChar w:fldCharType="end"/>
      </w:r>
      <w:r w:rsidR="001446E9" w:rsidRPr="00273106">
        <w:t xml:space="preserve">. </w:t>
      </w:r>
      <w:r w:rsidR="0011743D" w:rsidRPr="00273106">
        <w:t>Adekvace věci a intelektu je navíc podpořena změnou kauzality řídící proces poznání. Nominalisté a avicennisté potřebují hlavně finální kauzalitu</w:t>
      </w:r>
      <w:r w:rsidR="005D5B29" w:rsidRPr="00273106">
        <w:t xml:space="preserve"> chápanou účinným způsobem</w:t>
      </w:r>
      <w:r w:rsidR="00484E85">
        <w:t xml:space="preserve"> </w:t>
      </w:r>
      <w:r w:rsidR="081311B9">
        <w:t>(kap. 1</w:t>
      </w:r>
      <w:r w:rsidR="00484E85" w:rsidRPr="00273106">
        <w:t>.5)</w:t>
      </w:r>
      <w:r w:rsidR="00484E85">
        <w:t>. P</w:t>
      </w:r>
      <w:r w:rsidR="0011743D" w:rsidRPr="00273106">
        <w:t xml:space="preserve">oznání </w:t>
      </w:r>
      <w:r w:rsidR="086129DE">
        <w:t xml:space="preserve">vzniká </w:t>
      </w:r>
      <w:r w:rsidR="0011743D" w:rsidRPr="00273106">
        <w:t>nasvícením od separovaného činného intelektu</w:t>
      </w:r>
      <w:r w:rsidR="00CC199D" w:rsidRPr="00273106">
        <w:t xml:space="preserve">, který </w:t>
      </w:r>
      <w:r w:rsidR="08382857">
        <w:t xml:space="preserve">zakládá </w:t>
      </w:r>
      <w:r w:rsidR="08382857" w:rsidRPr="00273106">
        <w:t xml:space="preserve">subsistentní formy </w:t>
      </w:r>
      <w:r w:rsidR="08382857">
        <w:t xml:space="preserve">poznání v intelektu skrze </w:t>
      </w:r>
      <w:r w:rsidR="086129DE">
        <w:t xml:space="preserve">externí </w:t>
      </w:r>
      <w:r w:rsidR="086129DE" w:rsidRPr="00273106">
        <w:t>kauz</w:t>
      </w:r>
      <w:r w:rsidR="08573623">
        <w:t>alitu</w:t>
      </w:r>
      <w:r w:rsidR="0011743D" w:rsidRPr="00273106">
        <w:t xml:space="preserve">. </w:t>
      </w:r>
      <w:r w:rsidR="08362F62">
        <w:t xml:space="preserve">Traktát </w:t>
      </w:r>
      <w:r w:rsidR="0011743D" w:rsidRPr="00273106">
        <w:t xml:space="preserve">naopak skrze obhajobu </w:t>
      </w:r>
      <w:r w:rsidR="002E3B62">
        <w:t>Averroes</w:t>
      </w:r>
      <w:r w:rsidR="0011743D" w:rsidRPr="00273106">
        <w:t>ova diafanum zavádí formální kauzalitu spojující jinak nesouměřitelné procesy smyslového a rozumového poznání (</w:t>
      </w:r>
      <w:r w:rsidR="0011743D" w:rsidRPr="00273106">
        <w:rPr>
          <w:i/>
        </w:rPr>
        <w:t xml:space="preserve">intellectus intelligit </w:t>
      </w:r>
      <w:r w:rsidR="004B4D52" w:rsidRPr="004B4D52">
        <w:t>species</w:t>
      </w:r>
      <w:r w:rsidR="0011743D" w:rsidRPr="00273106">
        <w:rPr>
          <w:i/>
        </w:rPr>
        <w:t xml:space="preserve"> in fantasmatibus</w:t>
      </w:r>
      <w:r w:rsidR="00426CA4" w:rsidRPr="00273106">
        <w:t xml:space="preserve">; ibid, </w:t>
      </w:r>
      <w:r w:rsidR="0011743D" w:rsidRPr="00273106">
        <w:t>p. 33.144</w:t>
      </w:r>
      <w:r w:rsidR="00664BCE">
        <w:fldChar w:fldCharType="begin"/>
      </w:r>
      <w:r w:rsidR="00664BCE">
        <w:instrText xml:space="preserve"> XE "</w:instrText>
      </w:r>
      <w:r w:rsidR="089A1B6F">
        <w:rPr>
          <w:i/>
        </w:rPr>
        <w:instrText>De anima et de potenciis eius</w:instrText>
      </w:r>
      <w:r w:rsidR="00664BCE">
        <w:instrText xml:space="preserve"> 33</w:instrText>
      </w:r>
      <w:r w:rsidR="00664BCE" w:rsidRPr="00273106">
        <w:instrText>.</w:instrText>
      </w:r>
      <w:r w:rsidR="00664BCE">
        <w:instrText xml:space="preserve">144" </w:instrText>
      </w:r>
      <w:r w:rsidR="00664BCE">
        <w:fldChar w:fldCharType="end"/>
      </w:r>
      <w:r w:rsidR="0011743D" w:rsidRPr="00273106">
        <w:t>). Zavedením formální kauzality vzniká skutečná adekvace věci a intelektu v podob</w:t>
      </w:r>
      <w:r w:rsidR="082C464E">
        <w:t>ě poznané formy věci. Tím se zrušilo n</w:t>
      </w:r>
      <w:r w:rsidR="00874074">
        <w:t>eoplatonsk</w:t>
      </w:r>
      <w:r w:rsidR="082C464E">
        <w:t>é</w:t>
      </w:r>
      <w:r w:rsidR="0011743D" w:rsidRPr="00273106">
        <w:t xml:space="preserve"> </w:t>
      </w:r>
      <w:r w:rsidR="0011743D" w:rsidRPr="00273106">
        <w:rPr>
          <w:i/>
        </w:rPr>
        <w:t>tertium ens</w:t>
      </w:r>
      <w:r w:rsidR="082C464E">
        <w:t xml:space="preserve"> dané</w:t>
      </w:r>
      <w:r w:rsidR="0011743D" w:rsidRPr="00273106">
        <w:t xml:space="preserve"> univoční směsicí první a druhé substance nebo jejích </w:t>
      </w:r>
      <w:r w:rsidR="003F70B4" w:rsidRPr="00273106">
        <w:t xml:space="preserve">hypostázovaných </w:t>
      </w:r>
      <w:r w:rsidR="0011743D" w:rsidRPr="00273106">
        <w:t>kvalit</w:t>
      </w:r>
      <w:r w:rsidR="00664BCE">
        <w:fldChar w:fldCharType="begin"/>
      </w:r>
      <w:r w:rsidR="00664BCE">
        <w:instrText xml:space="preserve"> XE "kauzalita:formální" </w:instrText>
      </w:r>
      <w:r w:rsidR="00664BCE">
        <w:fldChar w:fldCharType="end"/>
      </w:r>
      <w:r w:rsidR="0011743D" w:rsidRPr="00273106">
        <w:t xml:space="preserve">. </w:t>
      </w:r>
      <w:r w:rsidR="089E08D5">
        <w:t xml:space="preserve">Spis </w:t>
      </w:r>
      <w:r w:rsidR="00F47AC9" w:rsidRPr="00273106">
        <w:t>ch</w:t>
      </w:r>
      <w:r w:rsidR="009E7BBD" w:rsidRPr="00273106">
        <w:t xml:space="preserve">ápe </w:t>
      </w:r>
      <w:r w:rsidR="005B1E42" w:rsidRPr="00273106">
        <w:t xml:space="preserve">intencionálně dané </w:t>
      </w:r>
      <w:r w:rsidR="006A04C6" w:rsidRPr="006A04C6">
        <w:t>species</w:t>
      </w:r>
      <w:r w:rsidR="00104192" w:rsidRPr="00273106">
        <w:t xml:space="preserve"> </w:t>
      </w:r>
      <w:r w:rsidR="00F47AC9" w:rsidRPr="00273106">
        <w:t xml:space="preserve">jako centrální prvek </w:t>
      </w:r>
      <w:r w:rsidR="00A71B1D">
        <w:t xml:space="preserve">pro mediaci </w:t>
      </w:r>
      <w:r w:rsidR="00F47AC9" w:rsidRPr="00273106">
        <w:t xml:space="preserve">poznání a </w:t>
      </w:r>
      <w:r w:rsidR="089B7E81">
        <w:t xml:space="preserve">odmítá </w:t>
      </w:r>
      <w:r w:rsidR="006A04C6" w:rsidRPr="006A04C6">
        <w:t>species</w:t>
      </w:r>
      <w:r w:rsidR="089B7E81">
        <w:t xml:space="preserve"> jako </w:t>
      </w:r>
      <w:r w:rsidR="009E7BBD" w:rsidRPr="00273106">
        <w:t>metafyzickou kvazi-substanci</w:t>
      </w:r>
      <w:r w:rsidR="008B2BC0" w:rsidRPr="00273106">
        <w:t xml:space="preserve"> </w:t>
      </w:r>
      <w:r w:rsidR="008B2BC0" w:rsidRPr="00273106">
        <w:rPr>
          <w:i/>
        </w:rPr>
        <w:t>Nominales</w:t>
      </w:r>
      <w:r w:rsidR="00E542D6" w:rsidRPr="00273106">
        <w:t xml:space="preserve">. </w:t>
      </w:r>
      <w:r w:rsidR="08EB7301" w:rsidRPr="00273106">
        <w:t>Existující člověk je primárně poznán nikoliv nominální definicí, ale v procesu formální adekvace intelektu</w:t>
      </w:r>
      <w:r w:rsidR="08EB7301">
        <w:t xml:space="preserve"> k reálné věci</w:t>
      </w:r>
      <w:r w:rsidR="08EB7301" w:rsidRPr="00273106">
        <w:t xml:space="preserve">. </w:t>
      </w:r>
      <w:r w:rsidR="08EB7301">
        <w:t xml:space="preserve">Impozice významu </w:t>
      </w:r>
      <w:r w:rsidR="08EB7301" w:rsidRPr="00273106">
        <w:t xml:space="preserve">je dána </w:t>
      </w:r>
      <w:r w:rsidR="08EB7301">
        <w:t xml:space="preserve">intencionálně a procesem abstrakce </w:t>
      </w:r>
      <w:r w:rsidR="08EB7301" w:rsidRPr="00273106">
        <w:t>směrem</w:t>
      </w:r>
      <w:r w:rsidR="006E5277">
        <w:t xml:space="preserve"> od reálné osoby</w:t>
      </w:r>
      <w:r w:rsidR="08EB7301">
        <w:fldChar w:fldCharType="begin"/>
      </w:r>
      <w:r w:rsidR="08EB7301">
        <w:instrText xml:space="preserve"> XE "impozice:první averroismus" </w:instrText>
      </w:r>
      <w:r w:rsidR="08EB7301">
        <w:fldChar w:fldCharType="end"/>
      </w:r>
      <w:r w:rsidR="08EB7301">
        <w:t xml:space="preserve">. </w:t>
      </w:r>
      <w:r w:rsidR="08237F5A">
        <w:t>Proto m</w:t>
      </w:r>
      <w:r w:rsidR="080B6879">
        <w:t>rtvola není člověk</w:t>
      </w:r>
      <w:r w:rsidR="080B6879">
        <w:rPr>
          <w:i/>
        </w:rPr>
        <w:fldChar w:fldCharType="begin"/>
      </w:r>
      <w:r w:rsidR="080B6879">
        <w:instrText xml:space="preserve"> XE "sofisma člověk-mrtvola" </w:instrText>
      </w:r>
      <w:r w:rsidR="080B6879">
        <w:rPr>
          <w:i/>
        </w:rPr>
        <w:fldChar w:fldCharType="end"/>
      </w:r>
      <w:r w:rsidR="080B6879">
        <w:t xml:space="preserve">. </w:t>
      </w:r>
      <w:r w:rsidR="00B06427">
        <w:t xml:space="preserve">Odmítnutí </w:t>
      </w:r>
      <w:r w:rsidR="005F1D53" w:rsidRPr="00273106">
        <w:t xml:space="preserve">avicennistů ohledně charakteru </w:t>
      </w:r>
      <w:r w:rsidR="006A04C6" w:rsidRPr="006A04C6">
        <w:t>species</w:t>
      </w:r>
      <w:r w:rsidR="005F1D53" w:rsidRPr="00273106">
        <w:t xml:space="preserve"> </w:t>
      </w:r>
      <w:r w:rsidR="009247C6" w:rsidRPr="00273106">
        <w:t xml:space="preserve">vázaných na oddělený </w:t>
      </w:r>
      <w:r w:rsidR="009247C6" w:rsidRPr="00273106">
        <w:rPr>
          <w:i/>
        </w:rPr>
        <w:t>intellectus agens</w:t>
      </w:r>
      <w:r w:rsidR="009247C6" w:rsidRPr="00273106">
        <w:t xml:space="preserve"> </w:t>
      </w:r>
      <w:r w:rsidR="00BB5BFF">
        <w:t xml:space="preserve">souvisí s obranou poznání </w:t>
      </w:r>
      <w:r w:rsidR="002930A8" w:rsidRPr="00273106">
        <w:t>reálné věci</w:t>
      </w:r>
      <w:r w:rsidR="005F1D53" w:rsidRPr="00273106">
        <w:t>.</w:t>
      </w:r>
      <w:r w:rsidR="00957BE9" w:rsidRPr="00273106">
        <w:t xml:space="preserve"> </w:t>
      </w:r>
    </w:p>
    <w:p w14:paraId="4F14F007" w14:textId="3D07B9D8" w:rsidR="00E542D6" w:rsidRPr="00273106" w:rsidRDefault="08A43BBB" w:rsidP="00B14EDC">
      <w:r>
        <w:lastRenderedPageBreak/>
        <w:tab/>
      </w:r>
      <w:r w:rsidR="089F1959">
        <w:t xml:space="preserve">Odmítnutím </w:t>
      </w:r>
      <w:r w:rsidR="085400FD">
        <w:t xml:space="preserve">výkladu </w:t>
      </w:r>
      <w:r w:rsidR="085400FD" w:rsidRPr="085400FD">
        <w:rPr>
          <w:i/>
        </w:rPr>
        <w:t>De anima</w:t>
      </w:r>
      <w:r w:rsidR="085400FD">
        <w:t xml:space="preserve"> podle </w:t>
      </w:r>
      <w:r w:rsidR="089F1959">
        <w:t xml:space="preserve">Avicenny vznikl </w:t>
      </w:r>
      <w:r w:rsidR="085400FD">
        <w:t>v letech 122</w:t>
      </w:r>
      <w:r w:rsidR="08404F2E">
        <w:t>0</w:t>
      </w:r>
      <w:r w:rsidR="085400FD">
        <w:t xml:space="preserve">‒25 zásadní </w:t>
      </w:r>
      <w:r w:rsidR="089F1959">
        <w:t xml:space="preserve">rozdíl mezi školou prvního averroismu a zanikajícími školami tehdejších </w:t>
      </w:r>
      <w:r w:rsidR="089F1959" w:rsidRPr="005568C7">
        <w:rPr>
          <w:i/>
        </w:rPr>
        <w:t>Nominales</w:t>
      </w:r>
      <w:r w:rsidR="08405B8F" w:rsidRPr="08405B8F">
        <w:t xml:space="preserve"> </w:t>
      </w:r>
      <w:r w:rsidR="08405B8F">
        <w:t>v Paříži</w:t>
      </w:r>
      <w:r w:rsidR="089F1959">
        <w:t xml:space="preserve">. </w:t>
      </w:r>
      <w:r w:rsidR="08C039C5">
        <w:t xml:space="preserve">Autor z Blundovy školy </w:t>
      </w:r>
      <w:r w:rsidR="001623C3">
        <w:t xml:space="preserve">dobře ví, že </w:t>
      </w:r>
      <w:r w:rsidR="00BB5BFF">
        <w:t>metafyzik</w:t>
      </w:r>
      <w:r w:rsidR="00FB6576">
        <w:t>a Avicenny</w:t>
      </w:r>
      <w:r w:rsidR="00BB5BFF">
        <w:t xml:space="preserve"> a </w:t>
      </w:r>
      <w:r w:rsidR="002E3B62">
        <w:t>Averroes</w:t>
      </w:r>
      <w:r w:rsidR="00BB5BFF">
        <w:t xml:space="preserve">e </w:t>
      </w:r>
      <w:r w:rsidR="001623C3">
        <w:t>ne</w:t>
      </w:r>
      <w:r w:rsidR="00BB5BFF">
        <w:t>ní slučitelná</w:t>
      </w:r>
      <w:r w:rsidR="00786ADD">
        <w:t>, protože nepoznávají realitu stejným způsobem</w:t>
      </w:r>
      <w:r w:rsidR="001623C3">
        <w:t xml:space="preserve">. </w:t>
      </w:r>
      <w:r w:rsidR="00FB6576">
        <w:t>Pokud někdo tvrdí, že m</w:t>
      </w:r>
      <w:r w:rsidR="004B5C4C">
        <w:t>rtvola</w:t>
      </w:r>
      <w:r w:rsidR="087D10A4">
        <w:rPr>
          <w:i/>
        </w:rPr>
        <w:fldChar w:fldCharType="begin"/>
      </w:r>
      <w:r w:rsidR="087D10A4">
        <w:instrText xml:space="preserve"> XE "sofisma člověk-mrtvola" </w:instrText>
      </w:r>
      <w:r w:rsidR="087D10A4">
        <w:rPr>
          <w:i/>
        </w:rPr>
        <w:fldChar w:fldCharType="end"/>
      </w:r>
      <w:r w:rsidR="004B5C4C">
        <w:t xml:space="preserve"> </w:t>
      </w:r>
      <w:r w:rsidR="00FB6576">
        <w:t xml:space="preserve">je </w:t>
      </w:r>
      <w:r w:rsidR="004B5C4C">
        <w:t>člověk</w:t>
      </w:r>
      <w:r w:rsidR="00FB6576">
        <w:t xml:space="preserve"> v řádu</w:t>
      </w:r>
      <w:r w:rsidR="08927B71">
        <w:t xml:space="preserve"> </w:t>
      </w:r>
      <w:r w:rsidR="081F6D59">
        <w:t xml:space="preserve">univoční </w:t>
      </w:r>
      <w:r w:rsidR="08927B71">
        <w:t>apozice hypostází a habituálních určení</w:t>
      </w:r>
      <w:r w:rsidR="003D383F">
        <w:t>, tak nepoznává reálný svět prvních substancí</w:t>
      </w:r>
      <w:r w:rsidR="08927B71">
        <w:t xml:space="preserve"> daný </w:t>
      </w:r>
      <w:r w:rsidR="089C16D4">
        <w:t>impozicí a pravdou jako adekvací intelektu a reálné věci</w:t>
      </w:r>
      <w:r w:rsidR="004B5C4C">
        <w:t xml:space="preserve">. </w:t>
      </w:r>
      <w:r w:rsidR="00957BE9" w:rsidRPr="00273106">
        <w:t xml:space="preserve">Zprostředkování mezi smysly a intelektem v rámci hledaného </w:t>
      </w:r>
      <w:r w:rsidR="00957BE9" w:rsidRPr="00273106">
        <w:rPr>
          <w:i/>
        </w:rPr>
        <w:t>proportio</w:t>
      </w:r>
      <w:r w:rsidR="00CC0E3E">
        <w:rPr>
          <w:i/>
        </w:rPr>
        <w:fldChar w:fldCharType="begin"/>
      </w:r>
      <w:r w:rsidR="00CC0E3E">
        <w:instrText xml:space="preserve"> XE "pravda:</w:instrText>
      </w:r>
      <w:r w:rsidR="00CC0E3E" w:rsidRPr="00A92645">
        <w:rPr>
          <w:i/>
        </w:rPr>
        <w:instrText>proportio</w:instrText>
      </w:r>
      <w:r w:rsidR="00CC0E3E">
        <w:instrText xml:space="preserve">" </w:instrText>
      </w:r>
      <w:r w:rsidR="00CC0E3E">
        <w:rPr>
          <w:i/>
        </w:rPr>
        <w:fldChar w:fldCharType="end"/>
      </w:r>
      <w:r w:rsidR="00957BE9" w:rsidRPr="00273106">
        <w:t xml:space="preserve"> se stává klíčovou věcí, stejně jako v CMDA.</w:t>
      </w:r>
      <w:r>
        <w:t xml:space="preserve"> Spis přesně označuje představivost jako rezervoár </w:t>
      </w:r>
      <w:r w:rsidR="08413413">
        <w:t xml:space="preserve">smyslových </w:t>
      </w:r>
      <w:r>
        <w:t>intencí (</w:t>
      </w:r>
      <w:r w:rsidRPr="08A43BBB">
        <w:rPr>
          <w:i/>
        </w:rPr>
        <w:t>the</w:t>
      </w:r>
      <w:r w:rsidR="088F6B9E">
        <w:rPr>
          <w:i/>
        </w:rPr>
        <w:t>sa</w:t>
      </w:r>
      <w:r w:rsidRPr="08A43BBB">
        <w:rPr>
          <w:i/>
        </w:rPr>
        <w:t>urus inte</w:t>
      </w:r>
      <w:r>
        <w:rPr>
          <w:i/>
        </w:rPr>
        <w:t>n</w:t>
      </w:r>
      <w:r w:rsidRPr="08A43BBB">
        <w:rPr>
          <w:i/>
        </w:rPr>
        <w:t>tionum</w:t>
      </w:r>
      <w:r>
        <w:t xml:space="preserve">; ibid, </w:t>
      </w:r>
      <w:r w:rsidRPr="08A43BBB">
        <w:t>p. 47.384</w:t>
      </w:r>
      <w:r w:rsidR="08EC70CA">
        <w:fldChar w:fldCharType="begin"/>
      </w:r>
      <w:r w:rsidR="08EC70CA">
        <w:instrText xml:space="preserve"> XE "</w:instrText>
      </w:r>
      <w:r w:rsidR="089A1B6F">
        <w:rPr>
          <w:i/>
        </w:rPr>
        <w:instrText>De anima et de potenciis eius</w:instrText>
      </w:r>
      <w:r w:rsidR="08EC70CA">
        <w:instrText xml:space="preserve"> 47.384" </w:instrText>
      </w:r>
      <w:r w:rsidR="08EC70CA">
        <w:fldChar w:fldCharType="end"/>
      </w:r>
      <w:r>
        <w:t xml:space="preserve">) a ne inteligibilních </w:t>
      </w:r>
      <w:r w:rsidR="006A04C6" w:rsidRPr="006A04C6">
        <w:t>species</w:t>
      </w:r>
      <w:r w:rsidR="088F6B9E">
        <w:t>, protože ta</w:t>
      </w:r>
      <w:r>
        <w:t xml:space="preserve"> vznikají až na dalším patře abstrakce dané pouze v intelektu</w:t>
      </w:r>
      <w:r w:rsidR="00726E44" w:rsidRPr="00273106">
        <w:t xml:space="preserve">. </w:t>
      </w:r>
      <w:r w:rsidR="08413413">
        <w:t xml:space="preserve">Augustiniánští avicennisté naopak udělali z paměti nemateriální </w:t>
      </w:r>
      <w:r w:rsidR="08413413">
        <w:rPr>
          <w:i/>
        </w:rPr>
        <w:t>locu</w:t>
      </w:r>
      <w:r w:rsidR="08413413" w:rsidRPr="08413413">
        <w:rPr>
          <w:i/>
        </w:rPr>
        <w:t>s specierum</w:t>
      </w:r>
      <w:r w:rsidR="08413413">
        <w:rPr>
          <w:i/>
        </w:rPr>
        <w:fldChar w:fldCharType="begin"/>
      </w:r>
      <w:r w:rsidR="08413413">
        <w:instrText xml:space="preserve"> XE "</w:instrText>
      </w:r>
      <w:r w:rsidR="08413413" w:rsidRPr="08161DE4">
        <w:rPr>
          <w:i/>
        </w:rPr>
        <w:instrText>locus specierum</w:instrText>
      </w:r>
      <w:r w:rsidR="08413413">
        <w:instrText xml:space="preserve">" </w:instrText>
      </w:r>
      <w:r w:rsidR="08413413">
        <w:rPr>
          <w:i/>
        </w:rPr>
        <w:fldChar w:fldCharType="end"/>
      </w:r>
      <w:r w:rsidR="08413413">
        <w:t xml:space="preserve"> po vzoru Augustinovy mystické </w:t>
      </w:r>
      <w:r w:rsidR="08413413" w:rsidRPr="08413413">
        <w:rPr>
          <w:i/>
        </w:rPr>
        <w:t>memoria</w:t>
      </w:r>
      <w:r w:rsidR="08413413">
        <w:t>. Autor je aristotelik s výbornou znalostí přírodovědných spisů Korpusu</w:t>
      </w:r>
      <w:r w:rsidR="0868360B">
        <w:t xml:space="preserve">, protože zná pojetí aristotelské smyslové paměti jako </w:t>
      </w:r>
      <w:r w:rsidR="0868360B" w:rsidRPr="0868360B">
        <w:rPr>
          <w:i/>
        </w:rPr>
        <w:t>reminiscentia</w:t>
      </w:r>
      <w:r w:rsidR="08413413">
        <w:t xml:space="preserve">. </w:t>
      </w:r>
      <w:r w:rsidR="008E154F">
        <w:t xml:space="preserve">Materiální intelekt </w:t>
      </w:r>
      <w:r w:rsidR="08C36636">
        <w:t xml:space="preserve">je pochopitelně nemateriální složka duše, ale </w:t>
      </w:r>
      <w:r w:rsidR="008E154F">
        <w:t xml:space="preserve">je výslovně oddělen od procesu </w:t>
      </w:r>
      <w:r w:rsidR="08393F85">
        <w:t xml:space="preserve">intelektuální </w:t>
      </w:r>
      <w:r w:rsidR="008E154F">
        <w:t>abstrakce</w:t>
      </w:r>
      <w:r w:rsidR="08393F85">
        <w:t xml:space="preserve">. </w:t>
      </w:r>
      <w:r w:rsidR="008E2E78" w:rsidRPr="00273106">
        <w:t xml:space="preserve">Přechod k novému pojetí poznání ukazuje </w:t>
      </w:r>
      <w:r w:rsidR="089E5CBC">
        <w:t xml:space="preserve">celková </w:t>
      </w:r>
      <w:r w:rsidR="008E2E78" w:rsidRPr="00273106">
        <w:t xml:space="preserve">citace </w:t>
      </w:r>
      <w:r w:rsidR="089E5CBC">
        <w:t>shrnující práci obou intelektů, která reprodukuje Blund</w:t>
      </w:r>
      <w:r w:rsidR="08085944">
        <w:t>ův</w:t>
      </w:r>
      <w:r w:rsidR="089E5CBC">
        <w:t xml:space="preserve"> traktát</w:t>
      </w:r>
      <w:r w:rsidR="008E2E78" w:rsidRPr="00273106">
        <w:t xml:space="preserve"> ohledně procesu </w:t>
      </w:r>
      <w:r w:rsidR="08293FFA" w:rsidRPr="00273106">
        <w:t xml:space="preserve">intencionality </w:t>
      </w:r>
      <w:r w:rsidR="08293FFA">
        <w:t>a abstrakce</w:t>
      </w:r>
      <w:r w:rsidR="008E2E78" w:rsidRPr="00273106">
        <w:t>.</w:t>
      </w:r>
      <w:r w:rsidR="08AE4EE0">
        <w:t xml:space="preserve"> Autor etabluje inteligibilní formu diafanum jako </w:t>
      </w:r>
      <w:r w:rsidR="08AE4EE0" w:rsidRPr="08AE4EE0">
        <w:rPr>
          <w:i/>
        </w:rPr>
        <w:t>potentia media</w:t>
      </w:r>
      <w:r w:rsidR="08AE4EE0">
        <w:t xml:space="preserve">. </w:t>
      </w:r>
    </w:p>
    <w:p w14:paraId="71492DC2" w14:textId="72B20FB6" w:rsidR="005F1D53" w:rsidRPr="00273106" w:rsidRDefault="00E542D6" w:rsidP="000445D4">
      <w:pPr>
        <w:pStyle w:val="Citace"/>
        <w:rPr>
          <w:noProof/>
          <w:lang w:val="cs-CZ"/>
        </w:rPr>
      </w:pPr>
      <w:r w:rsidRPr="00273106">
        <w:rPr>
          <w:noProof/>
          <w:lang w:val="cs-CZ"/>
        </w:rPr>
        <w:t>„</w:t>
      </w:r>
      <w:r w:rsidR="005F1D53" w:rsidRPr="00273106">
        <w:rPr>
          <w:noProof/>
          <w:lang w:val="cs-CZ"/>
        </w:rPr>
        <w:t xml:space="preserve">Tato zprostředkující schopnost </w:t>
      </w:r>
      <w:r w:rsidR="000E5EF9" w:rsidRPr="00273106">
        <w:rPr>
          <w:noProof/>
          <w:lang w:val="cs-CZ"/>
        </w:rPr>
        <w:t>(</w:t>
      </w:r>
      <w:r w:rsidR="000E5EF9" w:rsidRPr="00273106">
        <w:rPr>
          <w:i/>
          <w:noProof/>
          <w:lang w:val="cs-CZ"/>
        </w:rPr>
        <w:t>potentia media</w:t>
      </w:r>
      <w:r w:rsidR="000E5EF9" w:rsidRPr="00273106">
        <w:rPr>
          <w:noProof/>
          <w:lang w:val="cs-CZ"/>
        </w:rPr>
        <w:t xml:space="preserve">) </w:t>
      </w:r>
      <w:r w:rsidR="005F1D53" w:rsidRPr="00273106">
        <w:rPr>
          <w:noProof/>
          <w:lang w:val="cs-CZ"/>
        </w:rPr>
        <w:t xml:space="preserve">je </w:t>
      </w:r>
      <w:r w:rsidR="00AC747A">
        <w:rPr>
          <w:noProof/>
          <w:lang w:val="cs-CZ"/>
        </w:rPr>
        <w:t xml:space="preserve">dána </w:t>
      </w:r>
      <w:r w:rsidR="005F1D53" w:rsidRPr="00273106">
        <w:rPr>
          <w:noProof/>
          <w:lang w:val="cs-CZ"/>
        </w:rPr>
        <w:t xml:space="preserve">mezi smyslovou schopností a </w:t>
      </w:r>
      <w:r w:rsidR="004B5C4C">
        <w:rPr>
          <w:noProof/>
          <w:lang w:val="cs-CZ"/>
        </w:rPr>
        <w:t>nemat</w:t>
      </w:r>
      <w:r w:rsidR="00AC747A">
        <w:rPr>
          <w:noProof/>
          <w:lang w:val="cs-CZ"/>
        </w:rPr>
        <w:t>e</w:t>
      </w:r>
      <w:r w:rsidR="004B5C4C">
        <w:rPr>
          <w:noProof/>
          <w:lang w:val="cs-CZ"/>
        </w:rPr>
        <w:t>riálním intelektem. S</w:t>
      </w:r>
      <w:r w:rsidR="005F1D53" w:rsidRPr="00273106">
        <w:rPr>
          <w:noProof/>
          <w:lang w:val="cs-CZ"/>
        </w:rPr>
        <w:t xml:space="preserve">chopnost smyslů je dána vzhledem k fantasmatům, </w:t>
      </w:r>
      <w:r w:rsidR="004B5C4C">
        <w:rPr>
          <w:noProof/>
          <w:lang w:val="cs-CZ"/>
        </w:rPr>
        <w:t xml:space="preserve">nemateriální </w:t>
      </w:r>
      <w:r w:rsidR="005F1D53" w:rsidRPr="00273106">
        <w:rPr>
          <w:noProof/>
          <w:lang w:val="cs-CZ"/>
        </w:rPr>
        <w:t>intele</w:t>
      </w:r>
      <w:r w:rsidR="004B5C4C">
        <w:rPr>
          <w:noProof/>
          <w:lang w:val="cs-CZ"/>
        </w:rPr>
        <w:t xml:space="preserve">kt je dán vzhledem ke </w:t>
      </w:r>
      <w:r w:rsidR="00B1298A" w:rsidRPr="002E70DF">
        <w:rPr>
          <w:noProof/>
          <w:lang w:val="cs-CZ"/>
        </w:rPr>
        <w:t>species</w:t>
      </w:r>
      <w:r w:rsidR="004B5C4C">
        <w:rPr>
          <w:noProof/>
          <w:lang w:val="cs-CZ"/>
        </w:rPr>
        <w:t>. M</w:t>
      </w:r>
      <w:r w:rsidR="005F1D53" w:rsidRPr="00273106">
        <w:rPr>
          <w:noProof/>
          <w:lang w:val="cs-CZ"/>
        </w:rPr>
        <w:t xml:space="preserve">ateriální intelekt </w:t>
      </w:r>
      <w:r w:rsidR="000445D4" w:rsidRPr="00273106">
        <w:rPr>
          <w:noProof/>
          <w:lang w:val="cs-CZ"/>
        </w:rPr>
        <w:t xml:space="preserve">intenduje </w:t>
      </w:r>
      <w:r w:rsidR="003B4509" w:rsidRPr="00273106">
        <w:rPr>
          <w:noProof/>
          <w:lang w:val="cs-CZ"/>
        </w:rPr>
        <w:t>(</w:t>
      </w:r>
      <w:r w:rsidR="001806AD" w:rsidRPr="00273106">
        <w:rPr>
          <w:i/>
          <w:noProof/>
          <w:lang w:val="cs-CZ"/>
        </w:rPr>
        <w:t>considerat</w:t>
      </w:r>
      <w:r w:rsidR="003B4509" w:rsidRPr="00273106">
        <w:rPr>
          <w:noProof/>
          <w:lang w:val="cs-CZ"/>
        </w:rPr>
        <w:t xml:space="preserve">) </w:t>
      </w:r>
      <w:r w:rsidR="00B1298A" w:rsidRPr="002E70DF">
        <w:rPr>
          <w:noProof/>
          <w:lang w:val="cs-CZ"/>
        </w:rPr>
        <w:t>species</w:t>
      </w:r>
      <w:r w:rsidR="000445D4" w:rsidRPr="00273106">
        <w:rPr>
          <w:noProof/>
          <w:lang w:val="cs-CZ"/>
        </w:rPr>
        <w:t xml:space="preserve"> ve fantasmatech tak, že </w:t>
      </w:r>
      <w:r w:rsidR="001806AD" w:rsidRPr="00273106">
        <w:rPr>
          <w:noProof/>
          <w:lang w:val="cs-CZ"/>
        </w:rPr>
        <w:t>poznává (</w:t>
      </w:r>
      <w:r w:rsidR="001806AD" w:rsidRPr="00273106">
        <w:rPr>
          <w:i/>
          <w:noProof/>
          <w:lang w:val="cs-CZ"/>
        </w:rPr>
        <w:t>apprehendit</w:t>
      </w:r>
      <w:r w:rsidR="001806AD" w:rsidRPr="00273106">
        <w:rPr>
          <w:noProof/>
          <w:lang w:val="cs-CZ"/>
        </w:rPr>
        <w:t xml:space="preserve">) </w:t>
      </w:r>
      <w:r w:rsidR="00B1298A" w:rsidRPr="002E70DF">
        <w:rPr>
          <w:noProof/>
          <w:lang w:val="cs-CZ"/>
        </w:rPr>
        <w:t>species</w:t>
      </w:r>
      <w:r w:rsidR="000445D4" w:rsidRPr="00273106">
        <w:rPr>
          <w:noProof/>
          <w:lang w:val="cs-CZ"/>
        </w:rPr>
        <w:t xml:space="preserve"> </w:t>
      </w:r>
      <w:r w:rsidR="00551DF7" w:rsidRPr="00273106">
        <w:rPr>
          <w:noProof/>
          <w:lang w:val="cs-CZ"/>
        </w:rPr>
        <w:t xml:space="preserve">i </w:t>
      </w:r>
      <w:r w:rsidR="000445D4" w:rsidRPr="00273106">
        <w:rPr>
          <w:noProof/>
          <w:lang w:val="cs-CZ"/>
        </w:rPr>
        <w:t>s</w:t>
      </w:r>
      <w:r w:rsidR="00D214C3" w:rsidRPr="00273106">
        <w:rPr>
          <w:noProof/>
          <w:lang w:val="cs-CZ"/>
        </w:rPr>
        <w:t xml:space="preserve"> </w:t>
      </w:r>
      <w:r w:rsidR="082705F9">
        <w:rPr>
          <w:noProof/>
          <w:lang w:val="cs-CZ"/>
        </w:rPr>
        <w:t xml:space="preserve">jejich [smyslovými] akcidenty a </w:t>
      </w:r>
      <w:r w:rsidR="000445D4" w:rsidRPr="00273106">
        <w:rPr>
          <w:noProof/>
          <w:lang w:val="cs-CZ"/>
        </w:rPr>
        <w:t xml:space="preserve">rozlišuje mezi </w:t>
      </w:r>
      <w:r w:rsidR="00B1298A" w:rsidRPr="002E70DF">
        <w:rPr>
          <w:noProof/>
          <w:lang w:val="cs-CZ"/>
        </w:rPr>
        <w:t>species</w:t>
      </w:r>
      <w:r w:rsidR="000445D4" w:rsidRPr="00273106">
        <w:rPr>
          <w:noProof/>
          <w:lang w:val="cs-CZ"/>
        </w:rPr>
        <w:t xml:space="preserve"> a</w:t>
      </w:r>
      <w:r w:rsidR="082705F9">
        <w:rPr>
          <w:noProof/>
          <w:lang w:val="cs-CZ"/>
        </w:rPr>
        <w:t xml:space="preserve"> akcidentem</w:t>
      </w:r>
      <w:r w:rsidR="00D214C3" w:rsidRPr="00273106">
        <w:rPr>
          <w:noProof/>
          <w:lang w:val="cs-CZ"/>
        </w:rPr>
        <w:t>,</w:t>
      </w:r>
      <w:r w:rsidR="000445D4" w:rsidRPr="00273106">
        <w:rPr>
          <w:noProof/>
          <w:lang w:val="cs-CZ"/>
        </w:rPr>
        <w:t xml:space="preserve"> ale </w:t>
      </w:r>
      <w:r w:rsidR="082705F9">
        <w:rPr>
          <w:noProof/>
          <w:lang w:val="cs-CZ"/>
        </w:rPr>
        <w:t>ještě ne skrze abstrakci</w:t>
      </w:r>
      <w:r w:rsidR="000445D4" w:rsidRPr="00273106">
        <w:rPr>
          <w:noProof/>
          <w:lang w:val="cs-CZ"/>
        </w:rPr>
        <w:t xml:space="preserve">. Materiální intelekt takto </w:t>
      </w:r>
      <w:r w:rsidR="007947C2">
        <w:rPr>
          <w:noProof/>
          <w:lang w:val="cs-CZ"/>
        </w:rPr>
        <w:t xml:space="preserve">materiálně </w:t>
      </w:r>
      <w:r w:rsidR="000445D4" w:rsidRPr="00273106">
        <w:rPr>
          <w:noProof/>
          <w:lang w:val="cs-CZ"/>
        </w:rPr>
        <w:t xml:space="preserve">připravuje </w:t>
      </w:r>
      <w:r w:rsidR="00B1298A" w:rsidRPr="002E70DF">
        <w:rPr>
          <w:noProof/>
          <w:lang w:val="cs-CZ"/>
        </w:rPr>
        <w:t>species</w:t>
      </w:r>
      <w:r w:rsidR="000445D4" w:rsidRPr="00273106">
        <w:rPr>
          <w:noProof/>
          <w:lang w:val="cs-CZ"/>
        </w:rPr>
        <w:t xml:space="preserve"> pro </w:t>
      </w:r>
      <w:r w:rsidR="0049619C">
        <w:rPr>
          <w:noProof/>
          <w:lang w:val="cs-CZ"/>
        </w:rPr>
        <w:t xml:space="preserve">nemateriální </w:t>
      </w:r>
      <w:r w:rsidR="000445D4" w:rsidRPr="00273106">
        <w:rPr>
          <w:noProof/>
          <w:lang w:val="cs-CZ"/>
        </w:rPr>
        <w:t>intelekt</w:t>
      </w:r>
      <w:r w:rsidR="00C24F9E">
        <w:rPr>
          <w:noProof/>
          <w:lang w:val="cs-CZ"/>
        </w:rPr>
        <w:t xml:space="preserve"> (</w:t>
      </w:r>
      <w:r w:rsidR="00C24F9E" w:rsidRPr="00C24F9E">
        <w:rPr>
          <w:i/>
        </w:rPr>
        <w:t xml:space="preserve">sic preparat materialiter </w:t>
      </w:r>
      <w:r w:rsidR="004B4D52" w:rsidRPr="004B4D52">
        <w:t>species</w:t>
      </w:r>
      <w:r w:rsidR="00C24F9E" w:rsidRPr="00C24F9E">
        <w:rPr>
          <w:i/>
        </w:rPr>
        <w:t xml:space="preserve"> intellectui separabili</w:t>
      </w:r>
      <w:r w:rsidR="00C24F9E">
        <w:rPr>
          <w:noProof/>
          <w:lang w:val="cs-CZ"/>
        </w:rPr>
        <w:t>)</w:t>
      </w:r>
      <w:r w:rsidR="000445D4" w:rsidRPr="00273106">
        <w:rPr>
          <w:noProof/>
          <w:lang w:val="cs-CZ"/>
        </w:rPr>
        <w:t>.“</w:t>
      </w:r>
      <w:r w:rsidR="000E5EF9" w:rsidRPr="00273106">
        <w:rPr>
          <w:noProof/>
          <w:lang w:val="cs-CZ"/>
        </w:rPr>
        <w:t xml:space="preserve"> </w:t>
      </w:r>
      <w:r w:rsidR="005F1D53" w:rsidRPr="00273106">
        <w:rPr>
          <w:rStyle w:val="Znakapoznpodarou"/>
          <w:noProof/>
          <w:lang w:val="cs-CZ"/>
        </w:rPr>
        <w:footnoteReference w:id="128"/>
      </w:r>
    </w:p>
    <w:p w14:paraId="7C79FAFC" w14:textId="46D21805" w:rsidR="007F5465" w:rsidRDefault="08085944" w:rsidP="00B14EDC">
      <w:r>
        <w:t>Receptivní složka intelektu přijímá nemateriální intence směrem od smyslových intencí (</w:t>
      </w:r>
      <w:r w:rsidRPr="088F6B9E">
        <w:rPr>
          <w:i/>
        </w:rPr>
        <w:t xml:space="preserve">intellectus materialis considerat </w:t>
      </w:r>
      <w:r w:rsidR="004B4D52" w:rsidRPr="004B4D52">
        <w:t>species</w:t>
      </w:r>
      <w:r w:rsidRPr="088F6B9E">
        <w:rPr>
          <w:i/>
        </w:rPr>
        <w:t xml:space="preserve"> in fantasmatibus</w:t>
      </w:r>
      <w:r>
        <w:t>...</w:t>
      </w:r>
      <w:r w:rsidRPr="088F6B9E">
        <w:rPr>
          <w:i/>
        </w:rPr>
        <w:t>non tamen abstrahens</w:t>
      </w:r>
      <w:r>
        <w:t xml:space="preserve">). Ve formálním </w:t>
      </w:r>
      <w:r w:rsidR="084609B8">
        <w:t xml:space="preserve">a proto syntetizujícím </w:t>
      </w:r>
      <w:r>
        <w:t xml:space="preserve">intelektu už neběží </w:t>
      </w:r>
      <w:r w:rsidR="089A7922">
        <w:t xml:space="preserve">recepce skrze </w:t>
      </w:r>
      <w:r w:rsidR="0021115C">
        <w:t xml:space="preserve">smyslovou </w:t>
      </w:r>
      <w:r w:rsidR="089A7922">
        <w:t>mediaci</w:t>
      </w:r>
      <w:r>
        <w:t xml:space="preserve">, ale </w:t>
      </w:r>
      <w:r w:rsidR="0021115C">
        <w:t xml:space="preserve">skrze </w:t>
      </w:r>
      <w:r w:rsidR="089A7922">
        <w:t xml:space="preserve">aktivní </w:t>
      </w:r>
      <w:r>
        <w:t>proces</w:t>
      </w:r>
      <w:r w:rsidR="08D12313">
        <w:t xml:space="preserve"> </w:t>
      </w:r>
      <w:r w:rsidR="089A7922">
        <w:t xml:space="preserve">poznání </w:t>
      </w:r>
      <w:r w:rsidR="0021115C">
        <w:t>daný intelektuální abstrakcí</w:t>
      </w:r>
      <w:r>
        <w:t xml:space="preserve">. Materiální intelekt jako akt čisté </w:t>
      </w:r>
      <w:r>
        <w:lastRenderedPageBreak/>
        <w:t xml:space="preserve">nemateriální intencionality nemůže provádět abstrakci, protože to dělá až aktivní složka intelektu. </w:t>
      </w:r>
      <w:r w:rsidR="00671DFF" w:rsidRPr="00273106">
        <w:t xml:space="preserve">Citát odděluje </w:t>
      </w:r>
      <w:r w:rsidR="00671DFF">
        <w:t>vnímání</w:t>
      </w:r>
      <w:r w:rsidR="00671DFF" w:rsidRPr="00273106">
        <w:t xml:space="preserve"> </w:t>
      </w:r>
      <w:r w:rsidR="00671DFF">
        <w:t xml:space="preserve">reálných vlastností poznávaných smysly a intencionální recepci poznaných forem do materiálního intelektu, kde se stávají ze smyslových </w:t>
      </w:r>
      <w:r w:rsidR="006A04C6" w:rsidRPr="006A04C6">
        <w:t>species</w:t>
      </w:r>
      <w:r w:rsidR="00671DFF">
        <w:t xml:space="preserve"> nemateriální poznané formy</w:t>
      </w:r>
      <w:r w:rsidR="00671DFF" w:rsidRPr="00273106">
        <w:t xml:space="preserve">. </w:t>
      </w:r>
      <w:r w:rsidR="0028759D" w:rsidRPr="00273106">
        <w:t>Mediace je dána mezi dvěma druhy intencionálních předmětů (</w:t>
      </w:r>
      <w:r w:rsidR="0028759D" w:rsidRPr="00273106">
        <w:rPr>
          <w:i/>
        </w:rPr>
        <w:t>circa fantasmata</w:t>
      </w:r>
      <w:r w:rsidR="0028759D" w:rsidRPr="00273106">
        <w:t xml:space="preserve">... </w:t>
      </w:r>
      <w:r w:rsidR="0028759D" w:rsidRPr="00273106">
        <w:rPr>
          <w:i/>
        </w:rPr>
        <w:t xml:space="preserve">circa </w:t>
      </w:r>
      <w:r w:rsidR="004B4D52" w:rsidRPr="004B4D52">
        <w:t>species</w:t>
      </w:r>
      <w:r w:rsidR="0028759D" w:rsidRPr="00273106">
        <w:t xml:space="preserve">). </w:t>
      </w:r>
      <w:r w:rsidR="00E003B7">
        <w:t>S</w:t>
      </w:r>
      <w:r w:rsidR="002C51F2" w:rsidRPr="00273106">
        <w:t xml:space="preserve">tředovou pozici </w:t>
      </w:r>
      <w:r w:rsidR="00E003B7" w:rsidRPr="00273106">
        <w:rPr>
          <w:i/>
        </w:rPr>
        <w:t>potentia media</w:t>
      </w:r>
      <w:r w:rsidR="00E003B7" w:rsidRPr="00273106">
        <w:t xml:space="preserve"> </w:t>
      </w:r>
      <w:r w:rsidR="002C51F2" w:rsidRPr="00273106">
        <w:t xml:space="preserve">tvoří spojení </w:t>
      </w:r>
      <w:r w:rsidR="001D340E" w:rsidRPr="00273106">
        <w:t xml:space="preserve">s </w:t>
      </w:r>
      <w:r w:rsidR="002C51F2" w:rsidRPr="00273106">
        <w:t xml:space="preserve">Blundovým procesem </w:t>
      </w:r>
      <w:r w:rsidR="00BE1A8B">
        <w:t xml:space="preserve">smyslové </w:t>
      </w:r>
      <w:r w:rsidR="002C51F2" w:rsidRPr="00273106">
        <w:t xml:space="preserve">abstrakce </w:t>
      </w:r>
      <w:r w:rsidR="001D340E" w:rsidRPr="00273106">
        <w:t xml:space="preserve">dané směrem od vlastností </w:t>
      </w:r>
      <w:r w:rsidR="00BE1A8B">
        <w:t xml:space="preserve">daných na </w:t>
      </w:r>
      <w:r w:rsidR="001D340E" w:rsidRPr="00273106">
        <w:t xml:space="preserve">reálné věci </w:t>
      </w:r>
      <w:r w:rsidR="00E34081" w:rsidRPr="00273106">
        <w:t>(</w:t>
      </w:r>
      <w:r w:rsidR="00E34081" w:rsidRPr="00273106">
        <w:rPr>
          <w:i/>
        </w:rPr>
        <w:t xml:space="preserve">ita quod apprehendit </w:t>
      </w:r>
      <w:r w:rsidR="004B4D52" w:rsidRPr="004B4D52">
        <w:t>species</w:t>
      </w:r>
      <w:r w:rsidR="00E34081" w:rsidRPr="00273106">
        <w:rPr>
          <w:i/>
        </w:rPr>
        <w:t xml:space="preserve"> cum acciden</w:t>
      </w:r>
      <w:r w:rsidR="00E34081" w:rsidRPr="00273106">
        <w:rPr>
          <w:i/>
          <w:szCs w:val="18"/>
        </w:rPr>
        <w:t>tibus</w:t>
      </w:r>
      <w:r w:rsidR="002C51F2" w:rsidRPr="00273106">
        <w:t>)</w:t>
      </w:r>
      <w:r w:rsidR="009E170C" w:rsidRPr="00273106">
        <w:t>.</w:t>
      </w:r>
      <w:r w:rsidR="00552FAE" w:rsidRPr="00273106">
        <w:t xml:space="preserve"> </w:t>
      </w:r>
      <w:r w:rsidR="00A31582">
        <w:t xml:space="preserve">Anonym zná rozdíl mezi první a druhou substancí podle spisu </w:t>
      </w:r>
      <w:r w:rsidR="00A31582" w:rsidRPr="004452DC">
        <w:rPr>
          <w:i/>
        </w:rPr>
        <w:t>Kategorie</w:t>
      </w:r>
      <w:r w:rsidR="00A31582">
        <w:t xml:space="preserve"> a přesně odlišuje </w:t>
      </w:r>
      <w:r w:rsidR="08012D30">
        <w:t xml:space="preserve">podle spisu </w:t>
      </w:r>
      <w:r w:rsidR="08012D30" w:rsidRPr="08012D30">
        <w:rPr>
          <w:i/>
        </w:rPr>
        <w:t>De anima</w:t>
      </w:r>
      <w:r w:rsidR="08012D30">
        <w:t xml:space="preserve"> </w:t>
      </w:r>
      <w:r w:rsidR="00A31582">
        <w:t xml:space="preserve">odlišné mody poznání a výslednou signifikaci. </w:t>
      </w:r>
      <w:r w:rsidR="009172ED" w:rsidRPr="00273106">
        <w:t>Materiální intelekt intenduje (</w:t>
      </w:r>
      <w:r w:rsidR="009172ED" w:rsidRPr="00273106">
        <w:rPr>
          <w:i/>
        </w:rPr>
        <w:t>considerat</w:t>
      </w:r>
      <w:r w:rsidR="009172ED" w:rsidRPr="00273106">
        <w:t xml:space="preserve">) </w:t>
      </w:r>
      <w:r w:rsidR="009172ED">
        <w:t xml:space="preserve">smyslová </w:t>
      </w:r>
      <w:r w:rsidR="006A04C6" w:rsidRPr="006A04C6">
        <w:t>species</w:t>
      </w:r>
      <w:r w:rsidR="009172ED" w:rsidRPr="00273106">
        <w:t xml:space="preserve"> daná ve fantasmatech tak, že </w:t>
      </w:r>
      <w:r w:rsidR="009172ED">
        <w:t xml:space="preserve">skrze </w:t>
      </w:r>
      <w:r w:rsidR="085066AB">
        <w:t xml:space="preserve">smyslová </w:t>
      </w:r>
      <w:r w:rsidR="006A04C6" w:rsidRPr="006A04C6">
        <w:t>species</w:t>
      </w:r>
      <w:r w:rsidR="085066AB" w:rsidRPr="00273106">
        <w:t xml:space="preserve"> </w:t>
      </w:r>
      <w:r w:rsidR="009172ED" w:rsidRPr="00273106">
        <w:t>poznává (</w:t>
      </w:r>
      <w:r w:rsidR="009172ED" w:rsidRPr="00273106">
        <w:rPr>
          <w:i/>
        </w:rPr>
        <w:t>apprehendit</w:t>
      </w:r>
      <w:r w:rsidR="009172ED" w:rsidRPr="00273106">
        <w:t xml:space="preserve">) </w:t>
      </w:r>
      <w:r w:rsidR="009172ED">
        <w:t>univerzální formy</w:t>
      </w:r>
      <w:r w:rsidR="009172ED">
        <w:rPr>
          <w:i/>
        </w:rPr>
        <w:fldChar w:fldCharType="begin"/>
      </w:r>
      <w:r w:rsidR="009172ED">
        <w:instrText xml:space="preserve"> XE "species</w:instrText>
      </w:r>
      <w:r w:rsidR="009172ED" w:rsidRPr="002F67D4">
        <w:instrText>:</w:instrText>
      </w:r>
      <w:r w:rsidR="009172ED" w:rsidRPr="00FC27F7">
        <w:instrText>první averroismus</w:instrText>
      </w:r>
      <w:r w:rsidR="009172ED">
        <w:instrText xml:space="preserve">" </w:instrText>
      </w:r>
      <w:r w:rsidR="009172ED">
        <w:rPr>
          <w:i/>
        </w:rPr>
        <w:fldChar w:fldCharType="end"/>
      </w:r>
      <w:r w:rsidR="009172ED">
        <w:t xml:space="preserve">. </w:t>
      </w:r>
      <w:r w:rsidR="0851431D">
        <w:t xml:space="preserve">Díky intencionalitě materiálního intelektu se recepce </w:t>
      </w:r>
      <w:r w:rsidR="0851431D" w:rsidRPr="00273106">
        <w:t>vykon</w:t>
      </w:r>
      <w:r w:rsidR="0851431D">
        <w:t>ává v indi</w:t>
      </w:r>
      <w:r w:rsidR="08691050">
        <w:t xml:space="preserve">viduálním aktu abstrakce. Jejím </w:t>
      </w:r>
      <w:r w:rsidR="0851431D" w:rsidRPr="00273106">
        <w:t>výsled</w:t>
      </w:r>
      <w:r w:rsidR="0851431D">
        <w:t>k</w:t>
      </w:r>
      <w:r w:rsidR="0851431D" w:rsidRPr="00273106">
        <w:t>e</w:t>
      </w:r>
      <w:r w:rsidR="08691050">
        <w:t>m je univerzální poznaná forma (</w:t>
      </w:r>
      <w:r w:rsidR="08691050" w:rsidRPr="08691050">
        <w:rPr>
          <w:i/>
        </w:rPr>
        <w:t>intellectum</w:t>
      </w:r>
      <w:r w:rsidR="08691050">
        <w:t>) vytvořená v individuálním aktu poznání (</w:t>
      </w:r>
      <w:r w:rsidR="08691050" w:rsidRPr="08691050">
        <w:rPr>
          <w:i/>
        </w:rPr>
        <w:t>intellectio</w:t>
      </w:r>
      <w:r w:rsidR="08691050">
        <w:t xml:space="preserve">). </w:t>
      </w:r>
      <w:r w:rsidR="003D3FF5">
        <w:t xml:space="preserve">Intencionalita materiálního intelektu </w:t>
      </w:r>
      <w:r w:rsidR="003D3FF5" w:rsidRPr="00273106">
        <w:t xml:space="preserve">je zaměřena </w:t>
      </w:r>
      <w:r w:rsidR="00055E2B">
        <w:t>směrem ke smyslové potenci (</w:t>
      </w:r>
      <w:r w:rsidR="003D3FF5" w:rsidRPr="00E22F74">
        <w:rPr>
          <w:i/>
        </w:rPr>
        <w:t>potenciam sensibilem</w:t>
      </w:r>
      <w:r w:rsidR="00055E2B">
        <w:t xml:space="preserve">). Materiální intelekt nazírá smyslová </w:t>
      </w:r>
      <w:r w:rsidR="006A04C6" w:rsidRPr="006A04C6">
        <w:t>species</w:t>
      </w:r>
      <w:r w:rsidR="00055E2B">
        <w:t xml:space="preserve"> </w:t>
      </w:r>
      <w:r w:rsidR="003D3FF5">
        <w:t xml:space="preserve">nemateriálním způsobem </w:t>
      </w:r>
      <w:r w:rsidR="003D3FF5" w:rsidRPr="003D3FF5">
        <w:t>(</w:t>
      </w:r>
      <w:r w:rsidR="003D3FF5" w:rsidRPr="003D3FF5">
        <w:rPr>
          <w:i/>
        </w:rPr>
        <w:t>intellectus materialis</w:t>
      </w:r>
      <w:r w:rsidR="006D2B5F">
        <w:rPr>
          <w:i/>
        </w:rPr>
        <w:fldChar w:fldCharType="begin"/>
      </w:r>
      <w:r w:rsidR="006D2B5F">
        <w:instrText xml:space="preserve"> XE "</w:instrText>
      </w:r>
      <w:r w:rsidR="006D2B5F" w:rsidRPr="00BE489A">
        <w:rPr>
          <w:i/>
        </w:rPr>
        <w:instrText>intellectus materialis:</w:instrText>
      </w:r>
      <w:r w:rsidR="00FC27F7" w:rsidRPr="00FC27F7">
        <w:instrText>první averroismus</w:instrText>
      </w:r>
      <w:r w:rsidR="006D2B5F">
        <w:instrText xml:space="preserve">" </w:instrText>
      </w:r>
      <w:r w:rsidR="006D2B5F">
        <w:rPr>
          <w:i/>
        </w:rPr>
        <w:fldChar w:fldCharType="end"/>
      </w:r>
      <w:r w:rsidR="003D3FF5" w:rsidRPr="003D3FF5">
        <w:rPr>
          <w:i/>
        </w:rPr>
        <w:t xml:space="preserve"> considerat </w:t>
      </w:r>
      <w:r w:rsidR="004B4D52" w:rsidRPr="004B4D52">
        <w:t>species</w:t>
      </w:r>
      <w:r w:rsidR="003D3FF5" w:rsidRPr="003D3FF5">
        <w:rPr>
          <w:i/>
        </w:rPr>
        <w:t xml:space="preserve"> in fantasmatibus</w:t>
      </w:r>
      <w:r w:rsidR="003D3FF5" w:rsidRPr="003D3FF5">
        <w:t>)</w:t>
      </w:r>
      <w:r w:rsidR="003D3FF5" w:rsidRPr="00273106">
        <w:t xml:space="preserve">. </w:t>
      </w:r>
      <w:r w:rsidR="00BE1A8B">
        <w:t xml:space="preserve">Individuální </w:t>
      </w:r>
      <w:r w:rsidR="004B4D52" w:rsidRPr="004B4D52">
        <w:t>species</w:t>
      </w:r>
      <w:r w:rsidR="00BE1A8B">
        <w:rPr>
          <w:i/>
        </w:rPr>
        <w:t xml:space="preserve"> sensi</w:t>
      </w:r>
      <w:r w:rsidR="00BE1A8B" w:rsidRPr="00BE1A8B">
        <w:rPr>
          <w:i/>
        </w:rPr>
        <w:t>b</w:t>
      </w:r>
      <w:r w:rsidR="00BE1A8B">
        <w:rPr>
          <w:i/>
        </w:rPr>
        <w:t>i</w:t>
      </w:r>
      <w:r w:rsidR="00BE1A8B" w:rsidRPr="00BE1A8B">
        <w:rPr>
          <w:i/>
        </w:rPr>
        <w:t>lis</w:t>
      </w:r>
      <w:r w:rsidR="008061D5">
        <w:rPr>
          <w:i/>
        </w:rPr>
        <w:fldChar w:fldCharType="begin"/>
      </w:r>
      <w:r w:rsidR="008061D5">
        <w:instrText xml:space="preserve"> XE "</w:instrText>
      </w:r>
      <w:r w:rsidR="008061D5" w:rsidRPr="00374FA1">
        <w:rPr>
          <w:i/>
        </w:rPr>
        <w:instrText>species sensibilis</w:instrText>
      </w:r>
      <w:r w:rsidR="008061D5">
        <w:instrText xml:space="preserve">" </w:instrText>
      </w:r>
      <w:r w:rsidR="008061D5">
        <w:rPr>
          <w:i/>
        </w:rPr>
        <w:fldChar w:fldCharType="end"/>
      </w:r>
      <w:r w:rsidR="00BE1A8B">
        <w:t xml:space="preserve"> </w:t>
      </w:r>
      <w:r w:rsidR="006D3314" w:rsidRPr="00273106">
        <w:t xml:space="preserve">existují v představivosti a </w:t>
      </w:r>
      <w:r w:rsidR="006B478D">
        <w:t xml:space="preserve">materiální </w:t>
      </w:r>
      <w:r w:rsidR="006D3314" w:rsidRPr="00273106">
        <w:t xml:space="preserve">intelekt </w:t>
      </w:r>
      <w:r w:rsidR="00CC03C6">
        <w:t>je intenduje formálně</w:t>
      </w:r>
      <w:r w:rsidR="007F544B">
        <w:t xml:space="preserve">, tedy </w:t>
      </w:r>
      <w:r w:rsidR="006B478D">
        <w:t xml:space="preserve">v </w:t>
      </w:r>
      <w:r w:rsidR="00A31582">
        <w:t>rámci signifikace vázané na kategoriální predikaci druhé substance</w:t>
      </w:r>
      <w:r w:rsidR="00A70FA4">
        <w:fldChar w:fldCharType="begin"/>
      </w:r>
      <w:r w:rsidR="00A70FA4">
        <w:instrText xml:space="preserve"> XE "</w:instrText>
      </w:r>
      <w:r w:rsidR="00A70FA4" w:rsidRPr="00DE2A32">
        <w:instrText>substance</w:instrText>
      </w:r>
      <w:r w:rsidR="00FC27F7">
        <w:instrText>:druhá</w:instrText>
      </w:r>
      <w:r w:rsidR="00A70FA4">
        <w:instrText xml:space="preserve">" </w:instrText>
      </w:r>
      <w:r w:rsidR="00A70FA4">
        <w:fldChar w:fldCharType="end"/>
      </w:r>
      <w:r w:rsidR="00A31582">
        <w:t xml:space="preserve"> </w:t>
      </w:r>
      <w:r w:rsidR="00A31582" w:rsidRPr="00273106">
        <w:t>(</w:t>
      </w:r>
      <w:r w:rsidR="00A31582" w:rsidRPr="00273106">
        <w:rPr>
          <w:i/>
        </w:rPr>
        <w:t>distinguens inter speciem et accidencia</w:t>
      </w:r>
      <w:r w:rsidR="00A31582" w:rsidRPr="00273106">
        <w:t>)</w:t>
      </w:r>
      <w:r w:rsidR="006D3314" w:rsidRPr="00273106">
        <w:t xml:space="preserve">. </w:t>
      </w:r>
      <w:r w:rsidR="08961A6D">
        <w:t xml:space="preserve">Tyto inteligibilní intence jsou </w:t>
      </w:r>
      <w:r w:rsidR="08961A6D" w:rsidRPr="00273106">
        <w:t>navázané na reálné vlastnosti první substance</w:t>
      </w:r>
      <w:r w:rsidR="08961A6D" w:rsidRPr="00557BBB">
        <w:t xml:space="preserve"> </w:t>
      </w:r>
      <w:r w:rsidR="08961A6D">
        <w:t>skrze formální podobnost první a druhé substance</w:t>
      </w:r>
      <w:r w:rsidR="08961A6D" w:rsidRPr="00273106">
        <w:t xml:space="preserve">. </w:t>
      </w:r>
      <w:r w:rsidR="08D64502">
        <w:t>Poznání je akcident vzhledem k aktuální první substanci, protože vytváří v intelek</w:t>
      </w:r>
      <w:r w:rsidR="08A31235">
        <w:t xml:space="preserve">tuálních schopnostech duše </w:t>
      </w:r>
      <w:r w:rsidR="08D64502">
        <w:t>formální adekvaci</w:t>
      </w:r>
      <w:r w:rsidR="08A31235">
        <w:t xml:space="preserve"> poznatku a </w:t>
      </w:r>
      <w:r w:rsidR="08282962">
        <w:t xml:space="preserve">reálné </w:t>
      </w:r>
      <w:r w:rsidR="08A31235">
        <w:t>věci</w:t>
      </w:r>
      <w:r w:rsidR="08D64502">
        <w:t xml:space="preserve">. </w:t>
      </w:r>
      <w:r w:rsidR="0069159E" w:rsidRPr="00273106">
        <w:t xml:space="preserve">Autor </w:t>
      </w:r>
      <w:r w:rsidR="0810715C">
        <w:t>pod</w:t>
      </w:r>
      <w:r w:rsidR="085975E7">
        <w:t>l</w:t>
      </w:r>
      <w:r w:rsidR="0810715C">
        <w:t>e</w:t>
      </w:r>
      <w:r w:rsidR="085975E7">
        <w:t xml:space="preserve"> </w:t>
      </w:r>
      <w:r w:rsidR="082A724F">
        <w:t xml:space="preserve">metafyzického </w:t>
      </w:r>
      <w:r w:rsidR="085975E7">
        <w:t xml:space="preserve">dativu </w:t>
      </w:r>
      <w:r w:rsidR="0069159E" w:rsidRPr="00273106">
        <w:t xml:space="preserve">brilantně rozlišil </w:t>
      </w:r>
      <w:r w:rsidR="0810715C">
        <w:t xml:space="preserve">oddělenou reálnou věc a </w:t>
      </w:r>
      <w:r w:rsidR="00DC6E3E">
        <w:t xml:space="preserve">tři </w:t>
      </w:r>
      <w:r w:rsidR="0069159E" w:rsidRPr="00273106">
        <w:t xml:space="preserve">akty poznání: </w:t>
      </w:r>
      <w:r w:rsidR="00DC6E3E">
        <w:t xml:space="preserve">vznik smyslového </w:t>
      </w:r>
      <w:r w:rsidR="006A04C6" w:rsidRPr="006A04C6">
        <w:t>species</w:t>
      </w:r>
      <w:r w:rsidR="00DC6E3E">
        <w:t xml:space="preserve"> v</w:t>
      </w:r>
      <w:r w:rsidR="001C1D6E">
        <w:t> </w:t>
      </w:r>
      <w:r w:rsidR="00DC6E3E">
        <w:t>představivosti</w:t>
      </w:r>
      <w:r w:rsidR="001C1D6E">
        <w:t xml:space="preserve"> </w:t>
      </w:r>
      <w:r w:rsidR="001C1D6E">
        <w:rPr>
          <w:lang w:eastAsia="en-US"/>
        </w:rPr>
        <w:t>(</w:t>
      </w:r>
      <w:r w:rsidR="001C1D6E">
        <w:rPr>
          <w:i/>
          <w:lang w:eastAsia="en-US"/>
        </w:rPr>
        <w:t>species sensibilis</w:t>
      </w:r>
      <w:r w:rsidR="001C1D6E">
        <w:rPr>
          <w:lang w:eastAsia="en-US"/>
        </w:rPr>
        <w:t>)</w:t>
      </w:r>
      <w:r w:rsidR="00DC6E3E">
        <w:t xml:space="preserve">; </w:t>
      </w:r>
      <w:r w:rsidR="008E4873">
        <w:t>formál</w:t>
      </w:r>
      <w:r w:rsidR="00DC6E3E">
        <w:t xml:space="preserve">ní a nemateriální intenci tohoto </w:t>
      </w:r>
      <w:r w:rsidR="006A04C6" w:rsidRPr="006A04C6">
        <w:t>species</w:t>
      </w:r>
      <w:r w:rsidR="00DC6E3E">
        <w:t xml:space="preserve"> skrze materiální intelekt</w:t>
      </w:r>
      <w:r w:rsidR="001C1D6E">
        <w:t xml:space="preserve"> </w:t>
      </w:r>
      <w:r w:rsidR="001C1D6E">
        <w:rPr>
          <w:lang w:eastAsia="en-US"/>
        </w:rPr>
        <w:t>(</w:t>
      </w:r>
      <w:r w:rsidR="001C1D6E" w:rsidRPr="009A5BD3">
        <w:rPr>
          <w:i/>
          <w:lang w:eastAsia="en-US"/>
        </w:rPr>
        <w:t>species intelligibilis</w:t>
      </w:r>
      <w:r w:rsidR="001C1D6E">
        <w:rPr>
          <w:lang w:eastAsia="en-US"/>
        </w:rPr>
        <w:t>)</w:t>
      </w:r>
      <w:r w:rsidR="00DC6E3E">
        <w:t xml:space="preserve">; </w:t>
      </w:r>
      <w:r w:rsidR="00796265">
        <w:t>syntézu</w:t>
      </w:r>
      <w:r w:rsidR="00345D5D">
        <w:t xml:space="preserve"> </w:t>
      </w:r>
      <w:r w:rsidR="00DC6E3E">
        <w:t xml:space="preserve">této recipované formy-akcidentu </w:t>
      </w:r>
      <w:r w:rsidR="00345D5D">
        <w:t>v a</w:t>
      </w:r>
      <w:r w:rsidR="0053731F">
        <w:t>ktivní</w:t>
      </w:r>
      <w:r w:rsidR="00345D5D">
        <w:t>m</w:t>
      </w:r>
      <w:r w:rsidR="0053731F">
        <w:t xml:space="preserve"> proces</w:t>
      </w:r>
      <w:r w:rsidR="00345D5D">
        <w:t>u</w:t>
      </w:r>
      <w:r w:rsidR="0053731F">
        <w:t xml:space="preserve"> abstrakce</w:t>
      </w:r>
      <w:r w:rsidR="08493ECF">
        <w:t xml:space="preserve"> (</w:t>
      </w:r>
      <w:r w:rsidR="08493ECF" w:rsidRPr="08960975">
        <w:rPr>
          <w:i/>
        </w:rPr>
        <w:t>intellectus formalis</w:t>
      </w:r>
      <w:r w:rsidR="08493ECF">
        <w:t>)</w:t>
      </w:r>
      <w:r w:rsidR="0069159E" w:rsidRPr="00273106">
        <w:t xml:space="preserve">. </w:t>
      </w:r>
      <w:r w:rsidR="0082409E">
        <w:t>Až v poslední fázi poznání vzniká univerzální pojem</w:t>
      </w:r>
      <w:r w:rsidR="08493ECF">
        <w:t xml:space="preserve"> v aktivním intelektu (</w:t>
      </w:r>
      <w:r w:rsidR="08493ECF" w:rsidRPr="08493ECF">
        <w:rPr>
          <w:i/>
        </w:rPr>
        <w:t>intellectus agens</w:t>
      </w:r>
      <w:r w:rsidR="08493ECF">
        <w:t>)</w:t>
      </w:r>
      <w:r w:rsidR="0082409E">
        <w:t xml:space="preserve">. </w:t>
      </w:r>
      <w:r w:rsidR="08AE4EE0">
        <w:t xml:space="preserve">Stejnou obranu </w:t>
      </w:r>
      <w:r w:rsidR="08AE4EE0" w:rsidRPr="08586794">
        <w:rPr>
          <w:i/>
        </w:rPr>
        <w:t>potentia media</w:t>
      </w:r>
      <w:r w:rsidR="08CA35F4">
        <w:t xml:space="preserve"> podle Averroese a </w:t>
      </w:r>
      <w:r w:rsidR="08AE4EE0">
        <w:t xml:space="preserve">proti porretánské interpretaci tohoto pojmu má i Grossetesteho komentář k </w:t>
      </w:r>
      <w:r w:rsidR="08AE4EE0" w:rsidRPr="08586794">
        <w:rPr>
          <w:i/>
        </w:rPr>
        <w:t>De anima</w:t>
      </w:r>
      <w:r w:rsidR="08050330">
        <w:rPr>
          <w:i/>
        </w:rPr>
        <w:t xml:space="preserve"> </w:t>
      </w:r>
      <w:r w:rsidR="08050330">
        <w:t xml:space="preserve">polemicky </w:t>
      </w:r>
      <w:r w:rsidR="08CA35F4">
        <w:t>namíř</w:t>
      </w:r>
      <w:r w:rsidR="08050330" w:rsidRPr="08050330">
        <w:t>ený proti oxfordským porretánům</w:t>
      </w:r>
      <w:r w:rsidR="08AE4EE0">
        <w:t>.</w:t>
      </w:r>
      <w:r w:rsidR="08AE4EE0">
        <w:rPr>
          <w:rStyle w:val="Znakapoznpodarou"/>
        </w:rPr>
        <w:footnoteReference w:id="129"/>
      </w:r>
      <w:r w:rsidR="08AE4EE0">
        <w:t xml:space="preserve"> Citát odmítá </w:t>
      </w:r>
      <w:r w:rsidR="08F12DC0">
        <w:t xml:space="preserve">toletánskou </w:t>
      </w:r>
      <w:r w:rsidR="08AE4EE0">
        <w:t>definici duše</w:t>
      </w:r>
      <w:r w:rsidR="08F12DC0">
        <w:t>-substance</w:t>
      </w:r>
      <w:r w:rsidR="08AE4EE0">
        <w:t xml:space="preserve"> danou nasvícením zezadu</w:t>
      </w:r>
      <w:r w:rsidR="08F12DC0">
        <w:t xml:space="preserve"> </w:t>
      </w:r>
      <w:r w:rsidR="08F12DC0">
        <w:lastRenderedPageBreak/>
        <w:t xml:space="preserve">od odděleného kosmického </w:t>
      </w:r>
      <w:r w:rsidR="08F12DC0">
        <w:rPr>
          <w:i/>
        </w:rPr>
        <w:t>intel</w:t>
      </w:r>
      <w:r w:rsidR="08F12DC0" w:rsidRPr="08F12DC0">
        <w:rPr>
          <w:i/>
        </w:rPr>
        <w:t>l</w:t>
      </w:r>
      <w:r w:rsidR="08F12DC0">
        <w:rPr>
          <w:i/>
        </w:rPr>
        <w:t>e</w:t>
      </w:r>
      <w:r w:rsidR="08F12DC0" w:rsidRPr="08F12DC0">
        <w:rPr>
          <w:i/>
        </w:rPr>
        <w:t>ctus agens</w:t>
      </w:r>
      <w:r w:rsidR="08BF2201">
        <w:t>. Porretáni intendují</w:t>
      </w:r>
      <w:r w:rsidR="08281E5E">
        <w:t xml:space="preserve"> v</w:t>
      </w:r>
      <w:r w:rsidR="08BB67D9">
        <w:t xml:space="preserve"> </w:t>
      </w:r>
      <w:r w:rsidR="08AE4EE0">
        <w:t xml:space="preserve">modu </w:t>
      </w:r>
      <w:r w:rsidR="08AE4EE0" w:rsidRPr="08586794">
        <w:rPr>
          <w:i/>
        </w:rPr>
        <w:t>potentia media</w:t>
      </w:r>
      <w:r w:rsidR="08AE4EE0">
        <w:t xml:space="preserve"> </w:t>
      </w:r>
      <w:r w:rsidR="08281E5E">
        <w:t>smyslové poznání jako jsoucno třetího druhu</w:t>
      </w:r>
      <w:r w:rsidR="08BF2201">
        <w:t xml:space="preserve"> a mění </w:t>
      </w:r>
      <w:r w:rsidR="006A04C6" w:rsidRPr="006A04C6">
        <w:t>species</w:t>
      </w:r>
      <w:r w:rsidR="08BF2201">
        <w:t xml:space="preserve"> na hypostázi </w:t>
      </w:r>
      <w:r w:rsidR="088641EE">
        <w:t>smyslovosti (</w:t>
      </w:r>
      <w:r w:rsidR="088641EE" w:rsidRPr="088641EE">
        <w:rPr>
          <w:i/>
        </w:rPr>
        <w:t>mediante sensibili</w:t>
      </w:r>
      <w:r w:rsidR="088641EE">
        <w:t>)</w:t>
      </w:r>
      <w:r w:rsidR="08BB67D9">
        <w:t xml:space="preserve">. </w:t>
      </w:r>
      <w:r w:rsidR="08C930F4">
        <w:t xml:space="preserve">Hypostázované </w:t>
      </w:r>
      <w:r w:rsidR="08BB67D9" w:rsidRPr="08BB67D9">
        <w:rPr>
          <w:i/>
        </w:rPr>
        <w:t>sensibile</w:t>
      </w:r>
      <w:r w:rsidR="08BB67D9">
        <w:t xml:space="preserve"> </w:t>
      </w:r>
      <w:r w:rsidR="080C5002">
        <w:t xml:space="preserve">a dané jako Rufusovo </w:t>
      </w:r>
      <w:r w:rsidR="080C5002" w:rsidRPr="080C5002">
        <w:rPr>
          <w:i/>
        </w:rPr>
        <w:t>scibile</w:t>
      </w:r>
      <w:r w:rsidR="08181A49">
        <w:t xml:space="preserve"> (kap. 3</w:t>
      </w:r>
      <w:r w:rsidR="080C5002">
        <w:t xml:space="preserve">.1.3) </w:t>
      </w:r>
      <w:r w:rsidR="08C930F4">
        <w:t>představu</w:t>
      </w:r>
      <w:r w:rsidR="08BB67D9">
        <w:t xml:space="preserve">je </w:t>
      </w:r>
      <w:r w:rsidR="08D91742">
        <w:t>v neoplatonismu</w:t>
      </w:r>
      <w:r w:rsidR="08BB67D9">
        <w:t xml:space="preserve"> a u Avicenny například rozsažnost postavená mimo r</w:t>
      </w:r>
      <w:r w:rsidR="08D91742">
        <w:t>e</w:t>
      </w:r>
      <w:r w:rsidR="08371567">
        <w:t xml:space="preserve">álné těleso nebo v postmoderní </w:t>
      </w:r>
      <w:r w:rsidR="08BB67D9">
        <w:t>Lockovy primární kvality</w:t>
      </w:r>
      <w:r w:rsidR="08BB67D9">
        <w:fldChar w:fldCharType="begin"/>
      </w:r>
      <w:r w:rsidR="08BB67D9">
        <w:instrText xml:space="preserve"> XE "</w:instrText>
      </w:r>
      <w:r w:rsidR="08BB67D9" w:rsidRPr="08E777A1">
        <w:instrText>primární kvality</w:instrText>
      </w:r>
      <w:r w:rsidR="08BB67D9">
        <w:instrText xml:space="preserve">" </w:instrText>
      </w:r>
      <w:r w:rsidR="08BB67D9">
        <w:fldChar w:fldCharType="end"/>
      </w:r>
      <w:r w:rsidR="08BB67D9">
        <w:t xml:space="preserve"> (</w:t>
      </w:r>
      <w:r w:rsidR="08A67B0D">
        <w:t xml:space="preserve">OBJ I, </w:t>
      </w:r>
      <w:r w:rsidR="08BB67D9">
        <w:t xml:space="preserve">kap. 2.4.4). </w:t>
      </w:r>
      <w:r w:rsidR="088641EE">
        <w:t xml:space="preserve"> </w:t>
      </w:r>
      <w:r w:rsidR="08D91742">
        <w:t xml:space="preserve">Toto jsoucno třetího druhu se recipuje </w:t>
      </w:r>
      <w:r w:rsidR="08BB0073">
        <w:t xml:space="preserve">skrze </w:t>
      </w:r>
      <w:r w:rsidR="08F2481A">
        <w:t xml:space="preserve">denudaci. Tím </w:t>
      </w:r>
      <w:r w:rsidR="08BB0073">
        <w:t xml:space="preserve">vzniká analogické poznání trvalého porretánského </w:t>
      </w:r>
      <w:r w:rsidR="006A04C6" w:rsidRPr="006A04C6">
        <w:t>species</w:t>
      </w:r>
      <w:r w:rsidR="0014399F">
        <w:t xml:space="preserve">, který nahradil reálnou smyslovou species </w:t>
      </w:r>
      <w:r w:rsidR="08AE4EE0">
        <w:t>(</w:t>
      </w:r>
      <w:r w:rsidR="08AE4EE0" w:rsidRPr="086F1F09">
        <w:rPr>
          <w:i/>
        </w:rPr>
        <w:t>mediante sensu est ratio in homine</w:t>
      </w:r>
      <w:r w:rsidR="08A96A81">
        <w:t xml:space="preserve">). </w:t>
      </w:r>
      <w:r w:rsidR="08DD265D">
        <w:t>Grosseteste jako představit</w:t>
      </w:r>
      <w:r w:rsidR="08A67B0D">
        <w:t>el prvního averroismu z Blundovy</w:t>
      </w:r>
      <w:r w:rsidR="08DD265D">
        <w:t xml:space="preserve"> školy namítá, že </w:t>
      </w:r>
      <w:r w:rsidR="009847DE">
        <w:t xml:space="preserve">tělesné </w:t>
      </w:r>
      <w:r w:rsidR="08DD265D">
        <w:t>s</w:t>
      </w:r>
      <w:r w:rsidR="08CE5174">
        <w:t xml:space="preserve">mysly </w:t>
      </w:r>
      <w:r w:rsidR="009847DE">
        <w:t xml:space="preserve">vzaty </w:t>
      </w:r>
      <w:r w:rsidR="08CE5174">
        <w:t>samy o sobě nemohou prostředkovat žádné nemateriální poznání v duši</w:t>
      </w:r>
      <w:r w:rsidR="08D865B4">
        <w:t xml:space="preserve"> (smyslové, inteligibilní)</w:t>
      </w:r>
      <w:r w:rsidR="08CE5174">
        <w:t>, protože to dělá až dvojí diafanum</w:t>
      </w:r>
      <w:r w:rsidR="08DD265D">
        <w:t xml:space="preserve"> (</w:t>
      </w:r>
      <w:r w:rsidR="08DD265D" w:rsidRPr="00266E10">
        <w:rPr>
          <w:i/>
        </w:rPr>
        <w:t>nec est eius imago in sensu vel in imaginatione</w:t>
      </w:r>
      <w:r w:rsidR="08B7043F">
        <w:t>, kap. 2</w:t>
      </w:r>
      <w:r w:rsidR="08DD265D" w:rsidRPr="08DD265D">
        <w:t>.1.2)</w:t>
      </w:r>
      <w:r w:rsidR="08CE5174" w:rsidRPr="08DD265D">
        <w:t xml:space="preserve">. </w:t>
      </w:r>
      <w:r w:rsidR="08A96A81" w:rsidRPr="08DD265D">
        <w:t>Zni</w:t>
      </w:r>
      <w:r w:rsidR="08A96A81">
        <w:t>čením středního členu soudu postaveného podle reálné kauzality je zničena i univerzální signifikace</w:t>
      </w:r>
      <w:r w:rsidR="08C810CD">
        <w:t xml:space="preserve"> daná specifickým způsobem poznání odlišným od reálných věcí a od zvířecí představivosti</w:t>
      </w:r>
      <w:r w:rsidR="08A96A81">
        <w:t xml:space="preserve">. Podle aristotelského výkladu </w:t>
      </w:r>
      <w:r w:rsidR="08A96A81" w:rsidRPr="08A96A81">
        <w:rPr>
          <w:i/>
        </w:rPr>
        <w:t>De anima</w:t>
      </w:r>
      <w:r w:rsidR="08A96A81">
        <w:t xml:space="preserve"> nemá univerzální význam jak vzniknout (</w:t>
      </w:r>
      <w:r w:rsidR="08A96A81" w:rsidRPr="08A96A81">
        <w:rPr>
          <w:i/>
        </w:rPr>
        <w:t>destructo medio et destruitur idem</w:t>
      </w:r>
      <w:r w:rsidR="08A96A81">
        <w:t xml:space="preserve">), protože </w:t>
      </w:r>
      <w:r w:rsidR="083B4637">
        <w:t xml:space="preserve">poznání </w:t>
      </w:r>
      <w:r w:rsidR="08A96A81">
        <w:t>je dán</w:t>
      </w:r>
      <w:r w:rsidR="083B4637">
        <w:t>o</w:t>
      </w:r>
      <w:r w:rsidR="08A96A81">
        <w:t xml:space="preserve"> nasvícením int</w:t>
      </w:r>
      <w:r w:rsidR="007F5465">
        <w:t>elektu od reálné aktuální věci.</w:t>
      </w:r>
    </w:p>
    <w:p w14:paraId="00032F05" w14:textId="77777777" w:rsidR="00E422AB" w:rsidRDefault="08CA2336" w:rsidP="001F40DF">
      <w:pPr>
        <w:ind w:firstLine="397"/>
      </w:pPr>
      <w:r>
        <w:t xml:space="preserve">Grosseteste během pařížského období ještě nekompromisně brání vědecký důkaz podle </w:t>
      </w:r>
      <w:r w:rsidRPr="08A96A81">
        <w:rPr>
          <w:i/>
        </w:rPr>
        <w:t>Druhých analytik</w:t>
      </w:r>
      <w:r>
        <w:t xml:space="preserve"> a </w:t>
      </w:r>
      <w:r w:rsidRPr="08A96A81">
        <w:rPr>
          <w:i/>
        </w:rPr>
        <w:t>Kategorií</w:t>
      </w:r>
      <w:r>
        <w:t xml:space="preserve"> (</w:t>
      </w:r>
      <w:r w:rsidRPr="08A96A81">
        <w:rPr>
          <w:i/>
        </w:rPr>
        <w:t>destructio primis</w:t>
      </w:r>
      <w:r w:rsidR="084A2B1C">
        <w:rPr>
          <w:i/>
        </w:rPr>
        <w:fldChar w:fldCharType="begin"/>
      </w:r>
      <w:r w:rsidR="084A2B1C">
        <w:instrText xml:space="preserve"> XE "</w:instrText>
      </w:r>
      <w:r w:rsidR="084A2B1C" w:rsidRPr="081E0085">
        <w:rPr>
          <w:i/>
        </w:rPr>
        <w:instrText>destructio primis</w:instrText>
      </w:r>
      <w:r w:rsidR="084A2B1C">
        <w:instrText xml:space="preserve">" </w:instrText>
      </w:r>
      <w:r w:rsidR="084A2B1C">
        <w:rPr>
          <w:i/>
        </w:rPr>
        <w:fldChar w:fldCharType="end"/>
      </w:r>
      <w:r>
        <w:t xml:space="preserve">, </w:t>
      </w:r>
      <w:r w:rsidRPr="08A96A81">
        <w:rPr>
          <w:i/>
        </w:rPr>
        <w:t>modus tol</w:t>
      </w:r>
      <w:r w:rsidR="084A2B1C">
        <w:rPr>
          <w:i/>
        </w:rPr>
        <w:t>l</w:t>
      </w:r>
      <w:r w:rsidRPr="08A96A81">
        <w:rPr>
          <w:i/>
        </w:rPr>
        <w:t>ens</w:t>
      </w:r>
      <w:r w:rsidR="084A2B1C">
        <w:rPr>
          <w:i/>
        </w:rPr>
        <w:fldChar w:fldCharType="begin"/>
      </w:r>
      <w:r w:rsidR="084A2B1C">
        <w:instrText xml:space="preserve"> XE "</w:instrText>
      </w:r>
      <w:r w:rsidR="084A2B1C" w:rsidRPr="081E0085">
        <w:rPr>
          <w:i/>
        </w:rPr>
        <w:instrText>modus tollens</w:instrText>
      </w:r>
      <w:r w:rsidR="084A2B1C">
        <w:instrText xml:space="preserve">" </w:instrText>
      </w:r>
      <w:r w:rsidR="084A2B1C">
        <w:rPr>
          <w:i/>
        </w:rPr>
        <w:fldChar w:fldCharType="end"/>
      </w:r>
      <w:r>
        <w:t xml:space="preserve">; </w:t>
      </w:r>
      <w:r w:rsidR="08D95AFF">
        <w:t xml:space="preserve">OBJ I, </w:t>
      </w:r>
      <w:r w:rsidR="084E7952">
        <w:t>kap. 1.3</w:t>
      </w:r>
      <w:r>
        <w:t xml:space="preserve">). </w:t>
      </w:r>
      <w:r w:rsidR="08B92677">
        <w:t>Anonymní s</w:t>
      </w:r>
      <w:r w:rsidR="08CB416C">
        <w:t xml:space="preserve">pis </w:t>
      </w:r>
      <w:r w:rsidR="08AE4EE0">
        <w:t xml:space="preserve">o duši </w:t>
      </w:r>
      <w:r w:rsidR="08C50E0D">
        <w:t xml:space="preserve">stejným způsobem </w:t>
      </w:r>
      <w:r w:rsidR="0053731F">
        <w:t xml:space="preserve">oddělil po vzoru Blunda </w:t>
      </w:r>
      <w:r w:rsidR="00B56CD9">
        <w:t xml:space="preserve">pasivní a aktivní </w:t>
      </w:r>
      <w:r w:rsidR="0053731F">
        <w:t xml:space="preserve">intelektuální schopnosti </w:t>
      </w:r>
      <w:r w:rsidR="00B56CD9">
        <w:t xml:space="preserve">jedné a téže </w:t>
      </w:r>
      <w:r w:rsidR="0053731F">
        <w:t>duše</w:t>
      </w:r>
      <w:r w:rsidR="080A15AB">
        <w:t>. Receptivní složka (</w:t>
      </w:r>
      <w:r w:rsidR="00B56CD9" w:rsidRPr="00B56CD9">
        <w:rPr>
          <w:i/>
        </w:rPr>
        <w:t>intellectus in potentia</w:t>
      </w:r>
      <w:r w:rsidR="080A15AB">
        <w:t>)</w:t>
      </w:r>
      <w:r w:rsidR="08045851">
        <w:t xml:space="preserve"> </w:t>
      </w:r>
      <w:r w:rsidR="00B56CD9">
        <w:t xml:space="preserve">se zásadně liší od </w:t>
      </w:r>
      <w:r w:rsidR="080A15AB">
        <w:t>syntetizující složky (</w:t>
      </w:r>
      <w:r w:rsidR="00B56CD9" w:rsidRPr="00B56CD9">
        <w:rPr>
          <w:i/>
        </w:rPr>
        <w:t>intellectus formalis</w:t>
      </w:r>
      <w:r w:rsidR="080A15AB">
        <w:t>)</w:t>
      </w:r>
      <w:r w:rsidR="0045423D">
        <w:rPr>
          <w:i/>
        </w:rPr>
        <w:fldChar w:fldCharType="begin"/>
      </w:r>
      <w:r w:rsidR="0045423D">
        <w:instrText xml:space="preserve"> XE "</w:instrText>
      </w:r>
      <w:r w:rsidR="0045423D" w:rsidRPr="000238B8">
        <w:rPr>
          <w:i/>
        </w:rPr>
        <w:instrText>intellectus formalis:</w:instrText>
      </w:r>
      <w:r w:rsidR="00FC27F7" w:rsidRPr="00FC27F7">
        <w:instrText>první averroismus</w:instrText>
      </w:r>
      <w:r w:rsidR="0045423D">
        <w:instrText xml:space="preserve">" </w:instrText>
      </w:r>
      <w:r w:rsidR="0045423D">
        <w:rPr>
          <w:i/>
        </w:rPr>
        <w:fldChar w:fldCharType="end"/>
      </w:r>
      <w:r w:rsidR="0053731F">
        <w:t xml:space="preserve">. </w:t>
      </w:r>
      <w:r w:rsidR="00456F81">
        <w:t xml:space="preserve">Intence daná skrze </w:t>
      </w:r>
      <w:r w:rsidR="00456F81" w:rsidRPr="00456F81">
        <w:rPr>
          <w:i/>
        </w:rPr>
        <w:t>intellectus materialis</w:t>
      </w:r>
      <w:r w:rsidR="006D2B5F">
        <w:rPr>
          <w:i/>
        </w:rPr>
        <w:fldChar w:fldCharType="begin"/>
      </w:r>
      <w:r w:rsidR="006D2B5F">
        <w:instrText xml:space="preserve"> XE "</w:instrText>
      </w:r>
      <w:r w:rsidR="006D2B5F" w:rsidRPr="00BE489A">
        <w:rPr>
          <w:i/>
        </w:rPr>
        <w:instrText>intellectus materialis</w:instrText>
      </w:r>
      <w:r w:rsidR="00E81292" w:rsidRPr="000238B8">
        <w:rPr>
          <w:i/>
        </w:rPr>
        <w:instrText>:</w:instrText>
      </w:r>
      <w:r w:rsidR="00E81292" w:rsidRPr="00FC27F7">
        <w:instrText>první averroismus</w:instrText>
      </w:r>
      <w:r w:rsidR="00E81292">
        <w:instrText xml:space="preserve"> </w:instrText>
      </w:r>
      <w:r w:rsidR="006D2B5F">
        <w:instrText xml:space="preserve">" </w:instrText>
      </w:r>
      <w:r w:rsidR="006D2B5F">
        <w:rPr>
          <w:i/>
        </w:rPr>
        <w:fldChar w:fldCharType="end"/>
      </w:r>
      <w:r w:rsidR="00456F81">
        <w:t xml:space="preserve"> </w:t>
      </w:r>
      <w:r w:rsidR="00FB0EEE">
        <w:t>umožňuje pravdivou</w:t>
      </w:r>
      <w:r w:rsidR="00CD3CB7">
        <w:t xml:space="preserve"> </w:t>
      </w:r>
      <w:r w:rsidR="00FB0EEE">
        <w:t>adekvaci</w:t>
      </w:r>
      <w:r w:rsidR="0059057D">
        <w:t xml:space="preserve"> </w:t>
      </w:r>
      <w:r w:rsidR="001D6984">
        <w:t xml:space="preserve">nemateriálního poznání a materiální </w:t>
      </w:r>
      <w:r w:rsidR="0059057D">
        <w:t>věci</w:t>
      </w:r>
      <w:r w:rsidR="00456F81">
        <w:t xml:space="preserve">. </w:t>
      </w:r>
      <w:r w:rsidR="001F2CC3">
        <w:t>O</w:t>
      </w:r>
      <w:r w:rsidR="00191A10">
        <w:t xml:space="preserve">ba akty </w:t>
      </w:r>
      <w:r w:rsidR="00FB0EEE">
        <w:t xml:space="preserve">poznání </w:t>
      </w:r>
      <w:r w:rsidR="0069159E" w:rsidRPr="00273106">
        <w:t xml:space="preserve">jsou dány </w:t>
      </w:r>
      <w:r w:rsidR="002404F9" w:rsidRPr="00273106">
        <w:t>jako mediace od smyslů k intelek</w:t>
      </w:r>
      <w:r w:rsidR="0069159E" w:rsidRPr="00273106">
        <w:t>t</w:t>
      </w:r>
      <w:r w:rsidR="002404F9" w:rsidRPr="00273106">
        <w:t>u</w:t>
      </w:r>
      <w:r w:rsidR="0069159E" w:rsidRPr="00273106">
        <w:t xml:space="preserve">, ale každý akt </w:t>
      </w:r>
      <w:r w:rsidR="002404F9" w:rsidRPr="00273106">
        <w:t>(</w:t>
      </w:r>
      <w:r w:rsidR="008D61DE" w:rsidRPr="00273106">
        <w:rPr>
          <w:i/>
        </w:rPr>
        <w:t>intentio</w:t>
      </w:r>
      <w:r w:rsidR="008D61DE">
        <w:rPr>
          <w:i/>
        </w:rPr>
        <w:t>,</w:t>
      </w:r>
      <w:r w:rsidR="008D61DE" w:rsidRPr="00273106">
        <w:rPr>
          <w:i/>
        </w:rPr>
        <w:t xml:space="preserve"> </w:t>
      </w:r>
      <w:r w:rsidR="002404F9" w:rsidRPr="00273106">
        <w:rPr>
          <w:i/>
        </w:rPr>
        <w:t>abstractio</w:t>
      </w:r>
      <w:r w:rsidR="002404F9" w:rsidRPr="00273106">
        <w:t xml:space="preserve">) </w:t>
      </w:r>
      <w:r w:rsidR="0069159E" w:rsidRPr="00273106">
        <w:t>má jinou formu zapojení intelektu</w:t>
      </w:r>
      <w:r w:rsidR="002338B2" w:rsidRPr="00273106">
        <w:t xml:space="preserve"> do této činnosti</w:t>
      </w:r>
      <w:r w:rsidR="00F26B44">
        <w:t xml:space="preserve">: buď receptivní nebo syntetizující </w:t>
      </w:r>
      <w:r w:rsidR="00E60D2A" w:rsidRPr="00273106">
        <w:t>(</w:t>
      </w:r>
      <w:r w:rsidR="00E60D2A" w:rsidRPr="00273106">
        <w:rPr>
          <w:i/>
        </w:rPr>
        <w:t>apprehendit, considerat</w:t>
      </w:r>
      <w:r w:rsidR="00E60D2A" w:rsidRPr="00273106">
        <w:t>)</w:t>
      </w:r>
      <w:r w:rsidR="0069159E" w:rsidRPr="00273106">
        <w:t xml:space="preserve">. </w:t>
      </w:r>
      <w:r w:rsidR="00901763" w:rsidRPr="00273106">
        <w:t>R</w:t>
      </w:r>
      <w:r w:rsidR="005A57C3" w:rsidRPr="00273106">
        <w:t>ecept</w:t>
      </w:r>
      <w:r w:rsidR="00901763" w:rsidRPr="00273106">
        <w:t>i</w:t>
      </w:r>
      <w:r w:rsidR="005A57C3" w:rsidRPr="00273106">
        <w:t xml:space="preserve">vní potence </w:t>
      </w:r>
      <w:r w:rsidR="00D564B7">
        <w:t xml:space="preserve">je dána jako </w:t>
      </w:r>
      <w:r w:rsidR="00D564B7" w:rsidRPr="00273106">
        <w:rPr>
          <w:i/>
        </w:rPr>
        <w:t xml:space="preserve">intellectus </w:t>
      </w:r>
      <w:r w:rsidR="00D564B7">
        <w:rPr>
          <w:i/>
        </w:rPr>
        <w:t xml:space="preserve">in </w:t>
      </w:r>
      <w:r w:rsidR="00D564B7" w:rsidRPr="00273106">
        <w:rPr>
          <w:i/>
        </w:rPr>
        <w:t>po</w:t>
      </w:r>
      <w:r w:rsidR="00D564B7">
        <w:rPr>
          <w:i/>
        </w:rPr>
        <w:t>tentia</w:t>
      </w:r>
      <w:r w:rsidR="00D564B7">
        <w:t xml:space="preserve"> a jeho aktivní aprehense (</w:t>
      </w:r>
      <w:r w:rsidR="00D564B7" w:rsidRPr="00D564B7">
        <w:rPr>
          <w:i/>
        </w:rPr>
        <w:t>apprehendit</w:t>
      </w:r>
      <w:r w:rsidR="00D564B7">
        <w:t>)</w:t>
      </w:r>
      <w:r w:rsidR="006C2F59">
        <w:t xml:space="preserve"> běží jako akt intencionality. Její aktualita je dána skrze přijatá </w:t>
      </w:r>
      <w:r w:rsidR="006C2F59" w:rsidRPr="006C2F59">
        <w:rPr>
          <w:i/>
        </w:rPr>
        <w:t>species sensib</w:t>
      </w:r>
      <w:r w:rsidR="006C2F59">
        <w:rPr>
          <w:i/>
        </w:rPr>
        <w:t>i</w:t>
      </w:r>
      <w:r w:rsidR="006C2F59" w:rsidRPr="006C2F59">
        <w:rPr>
          <w:i/>
        </w:rPr>
        <w:t>lis</w:t>
      </w:r>
      <w:r w:rsidR="006C2F59">
        <w:t>, která jsou v novém diafanum (</w:t>
      </w:r>
      <w:r w:rsidR="006C2F59" w:rsidRPr="006C2F59">
        <w:rPr>
          <w:i/>
        </w:rPr>
        <w:t>intellectus possibilis</w:t>
      </w:r>
      <w:r w:rsidR="006C2F59">
        <w:t xml:space="preserve">) mediatizována jako </w:t>
      </w:r>
      <w:r w:rsidR="006C2F59" w:rsidRPr="006C2F59">
        <w:rPr>
          <w:i/>
        </w:rPr>
        <w:t>species intelligibilis</w:t>
      </w:r>
      <w:r w:rsidR="006C2F59">
        <w:t xml:space="preserve">. Tento přenos smyslových a pak </w:t>
      </w:r>
      <w:r w:rsidR="006C2F59">
        <w:lastRenderedPageBreak/>
        <w:t xml:space="preserve">inteligibilních species zajišťuje poslední akt poznání, což je aktivní syntéza. Tu zajišťuje </w:t>
      </w:r>
      <w:r w:rsidR="006C2F59" w:rsidRPr="00273106">
        <w:rPr>
          <w:i/>
        </w:rPr>
        <w:t>intellectus</w:t>
      </w:r>
      <w:r w:rsidR="006C2F59">
        <w:rPr>
          <w:i/>
        </w:rPr>
        <w:t xml:space="preserve"> formalis</w:t>
      </w:r>
      <w:r w:rsidR="006C2F59">
        <w:rPr>
          <w:i/>
        </w:rPr>
        <w:fldChar w:fldCharType="begin"/>
      </w:r>
      <w:r w:rsidR="006C2F59">
        <w:instrText xml:space="preserve"> XE "</w:instrText>
      </w:r>
      <w:r w:rsidR="006C2F59" w:rsidRPr="000238B8">
        <w:rPr>
          <w:i/>
        </w:rPr>
        <w:instrText>intellectus formalis:</w:instrText>
      </w:r>
      <w:r w:rsidR="006C2F59" w:rsidRPr="00FC27F7">
        <w:instrText>první averroismus</w:instrText>
      </w:r>
      <w:r w:rsidR="006C2F59">
        <w:instrText xml:space="preserve">" </w:instrText>
      </w:r>
      <w:r w:rsidR="006C2F59">
        <w:rPr>
          <w:i/>
        </w:rPr>
        <w:fldChar w:fldCharType="end"/>
      </w:r>
      <w:r w:rsidR="006C2F59">
        <w:t>, který abstrahuje skrze akt reflexe (</w:t>
      </w:r>
      <w:r w:rsidR="006C2F59" w:rsidRPr="006C2F59">
        <w:rPr>
          <w:i/>
        </w:rPr>
        <w:t>considerat</w:t>
      </w:r>
      <w:r w:rsidR="006C2F59">
        <w:t xml:space="preserve">) výsledný pojem. </w:t>
      </w:r>
      <w:r w:rsidR="083463F3" w:rsidRPr="00273106">
        <w:t xml:space="preserve">Materiální intelekt jako </w:t>
      </w:r>
      <w:r w:rsidR="083463F3" w:rsidRPr="00273106">
        <w:rPr>
          <w:i/>
        </w:rPr>
        <w:t>potentia media</w:t>
      </w:r>
      <w:r w:rsidR="083463F3" w:rsidRPr="00273106">
        <w:t xml:space="preserve"> je separovaný od receptivní schopnosti </w:t>
      </w:r>
      <w:r w:rsidR="006C2F59">
        <w:t xml:space="preserve">smyslů </w:t>
      </w:r>
      <w:r w:rsidR="083463F3" w:rsidRPr="00273106">
        <w:t xml:space="preserve">dané na úrovni </w:t>
      </w:r>
      <w:r w:rsidR="083463F3">
        <w:t xml:space="preserve">smyslových fantasmat </w:t>
      </w:r>
      <w:r w:rsidR="083463F3" w:rsidRPr="00273106">
        <w:t>(</w:t>
      </w:r>
      <w:r w:rsidR="083463F3" w:rsidRPr="00273106">
        <w:rPr>
          <w:i/>
        </w:rPr>
        <w:t>potencia enim sensibilis est circa fantasmata</w:t>
      </w:r>
      <w:r w:rsidR="083463F3">
        <w:t xml:space="preserve">). Ale </w:t>
      </w:r>
      <w:r w:rsidR="08402A94">
        <w:t>m</w:t>
      </w:r>
      <w:r w:rsidR="08402A94" w:rsidRPr="00273106">
        <w:t xml:space="preserve">ateriální intelekt </w:t>
      </w:r>
      <w:r w:rsidR="083463F3">
        <w:t>intenduje smyslová</w:t>
      </w:r>
      <w:r w:rsidR="083463F3" w:rsidRPr="00273106">
        <w:t xml:space="preserve"> </w:t>
      </w:r>
      <w:r w:rsidR="006A04C6" w:rsidRPr="006A04C6">
        <w:t>species</w:t>
      </w:r>
      <w:r w:rsidR="083463F3" w:rsidRPr="00273106">
        <w:t xml:space="preserve"> </w:t>
      </w:r>
      <w:r w:rsidR="080623DC">
        <w:t xml:space="preserve">již </w:t>
      </w:r>
      <w:r w:rsidR="083463F3" w:rsidRPr="00273106">
        <w:t xml:space="preserve">podle inteligibilního způsobu </w:t>
      </w:r>
      <w:r w:rsidR="080623DC">
        <w:t xml:space="preserve">nemateriální </w:t>
      </w:r>
      <w:r w:rsidR="083463F3" w:rsidRPr="00273106">
        <w:t>recepce (</w:t>
      </w:r>
      <w:r w:rsidR="083463F3" w:rsidRPr="00273106">
        <w:rPr>
          <w:i/>
        </w:rPr>
        <w:t xml:space="preserve">considerat </w:t>
      </w:r>
      <w:r w:rsidR="004B4D52" w:rsidRPr="006C2F59">
        <w:rPr>
          <w:i/>
        </w:rPr>
        <w:t>species</w:t>
      </w:r>
      <w:r w:rsidR="083463F3" w:rsidRPr="00273106">
        <w:rPr>
          <w:i/>
        </w:rPr>
        <w:t xml:space="preserve"> in fantasmatibus</w:t>
      </w:r>
      <w:r w:rsidR="083463F3" w:rsidRPr="00273106">
        <w:t xml:space="preserve">). </w:t>
      </w:r>
      <w:r w:rsidR="08E06829">
        <w:t xml:space="preserve">Toto je zásadně přesné pochopení </w:t>
      </w:r>
      <w:r w:rsidR="081926AE">
        <w:t xml:space="preserve">klíčové </w:t>
      </w:r>
      <w:r w:rsidR="08E06829">
        <w:t xml:space="preserve">argumentace v CMDA, kde předělaný Themistiův </w:t>
      </w:r>
      <w:r w:rsidR="08E06829" w:rsidRPr="080645E9">
        <w:rPr>
          <w:i/>
        </w:rPr>
        <w:t>intellectus materialis</w:t>
      </w:r>
      <w:r w:rsidR="08E06829">
        <w:t xml:space="preserve"> zajišťuje individualitu poznání v nemateriálním receptivním intelektu. Ale povaha tohoto inteligibilního diafanum je dána jako čistá receptivita podle Alexandrovy definice </w:t>
      </w:r>
      <w:r w:rsidR="08E06829" w:rsidRPr="08E06829">
        <w:rPr>
          <w:i/>
        </w:rPr>
        <w:t>intellectus possibilis</w:t>
      </w:r>
      <w:r w:rsidR="08E06829">
        <w:t xml:space="preserve">. </w:t>
      </w:r>
      <w:r w:rsidR="083463F3" w:rsidRPr="00273106">
        <w:t>Materiální intelekt zajišťuje v člověku přechod od smyslové receptivity k nemateriální, tedy čistě inteligibilní</w:t>
      </w:r>
      <w:r w:rsidR="083463F3">
        <w:t xml:space="preserve"> schopnosti duše</w:t>
      </w:r>
      <w:r w:rsidR="083463F3" w:rsidRPr="00273106">
        <w:t xml:space="preserve">. </w:t>
      </w:r>
      <w:r w:rsidR="00D11658">
        <w:t>Oba druhy inteligibilní recepce akcidentální</w:t>
      </w:r>
      <w:r w:rsidR="00F13C78">
        <w:t>ch</w:t>
      </w:r>
      <w:r w:rsidR="00D11658">
        <w:t xml:space="preserve"> forem (</w:t>
      </w:r>
      <w:r w:rsidR="00D11658" w:rsidRPr="00A34514">
        <w:rPr>
          <w:i/>
        </w:rPr>
        <w:t>intellectus materialis</w:t>
      </w:r>
      <w:r w:rsidR="00D11658">
        <w:t xml:space="preserve">, </w:t>
      </w:r>
      <w:r w:rsidR="00D11658" w:rsidRPr="00A34514">
        <w:rPr>
          <w:i/>
        </w:rPr>
        <w:t>in potentia</w:t>
      </w:r>
      <w:r w:rsidR="00D11658">
        <w:t xml:space="preserve">) jsou </w:t>
      </w:r>
      <w:r w:rsidR="004C0445">
        <w:t xml:space="preserve">po formální stránce stejné, protože jsou nemateriální </w:t>
      </w:r>
      <w:r w:rsidR="00642D8C" w:rsidRPr="00642D8C">
        <w:t>a plně potenciální schopnosti. Proto tvoří intelektuál</w:t>
      </w:r>
      <w:r w:rsidR="00642D8C">
        <w:t xml:space="preserve">ní zprostředkování </w:t>
      </w:r>
      <w:r w:rsidR="0032611E">
        <w:t xml:space="preserve">poznatku </w:t>
      </w:r>
      <w:r w:rsidR="00642D8C">
        <w:t>v duši (diaf</w:t>
      </w:r>
      <w:r w:rsidR="00642D8C" w:rsidRPr="00642D8C">
        <w:t>anum).</w:t>
      </w:r>
      <w:r w:rsidR="00642D8C">
        <w:t xml:space="preserve"> </w:t>
      </w:r>
      <w:r w:rsidR="00D11658">
        <w:t>Rozdíl mezi materiálním a možným</w:t>
      </w:r>
      <w:r w:rsidR="005A57C3" w:rsidRPr="00273106">
        <w:t xml:space="preserve"> intelekt</w:t>
      </w:r>
      <w:r w:rsidR="00D11658">
        <w:t>em</w:t>
      </w:r>
      <w:r w:rsidR="005A57C3" w:rsidRPr="00273106">
        <w:t xml:space="preserve"> </w:t>
      </w:r>
      <w:r w:rsidR="005D068A">
        <w:t xml:space="preserve">je </w:t>
      </w:r>
      <w:r w:rsidR="00D11658">
        <w:t xml:space="preserve">pouze </w:t>
      </w:r>
      <w:r w:rsidR="005D068A">
        <w:t>v tom, ze kter</w:t>
      </w:r>
      <w:r w:rsidR="00901763" w:rsidRPr="00273106">
        <w:t>é strany jeho činnost definuj</w:t>
      </w:r>
      <w:r w:rsidR="005D068A">
        <w:t xml:space="preserve">eme. </w:t>
      </w:r>
      <w:r w:rsidR="00C21790">
        <w:t>Viz dvojí roli diafanum</w:t>
      </w:r>
      <w:r w:rsidR="00E81292">
        <w:fldChar w:fldCharType="begin"/>
      </w:r>
      <w:r w:rsidR="00E81292">
        <w:instrText xml:space="preserve"> XE "</w:instrText>
      </w:r>
      <w:r w:rsidR="00E81292" w:rsidRPr="00816F79">
        <w:instrText>diafanum:dvojí funkce</w:instrText>
      </w:r>
      <w:r w:rsidR="00E81292">
        <w:instrText xml:space="preserve">" </w:instrText>
      </w:r>
      <w:r w:rsidR="00E81292">
        <w:fldChar w:fldCharType="end"/>
      </w:r>
      <w:r w:rsidR="00C21790">
        <w:t xml:space="preserve"> podle CMDA vzhledem ke slunečnímu paprsku a vzhledem k barevné ploše (</w:t>
      </w:r>
      <w:r w:rsidR="08F11FE7">
        <w:t xml:space="preserve">OBJ I, </w:t>
      </w:r>
      <w:r w:rsidR="00C21790">
        <w:t xml:space="preserve">kap. 2.4.4). </w:t>
      </w:r>
      <w:r w:rsidR="005D068A">
        <w:t xml:space="preserve">Vzhledem ke smyslovým </w:t>
      </w:r>
      <w:r w:rsidR="006A04C6" w:rsidRPr="006A04C6">
        <w:t>species</w:t>
      </w:r>
      <w:r w:rsidR="00901763" w:rsidRPr="00273106">
        <w:t xml:space="preserve"> daných</w:t>
      </w:r>
      <w:r w:rsidR="0827307A">
        <w:t xml:space="preserve"> v imaginaci je tento intelekt </w:t>
      </w:r>
      <w:r w:rsidR="005165F3">
        <w:t>materiální</w:t>
      </w:r>
      <w:r w:rsidR="00214F43">
        <w:t>, p</w:t>
      </w:r>
      <w:r w:rsidR="005D068A">
        <w:t>rot</w:t>
      </w:r>
      <w:r w:rsidR="00214F43">
        <w:t>o</w:t>
      </w:r>
      <w:r w:rsidR="00E37AC8">
        <w:t xml:space="preserve">že recipuje </w:t>
      </w:r>
      <w:r w:rsidR="08202C8F">
        <w:t>aktuální smyslová</w:t>
      </w:r>
      <w:r w:rsidR="00F679B6">
        <w:t xml:space="preserve"> </w:t>
      </w:r>
      <w:r w:rsidR="006A04C6" w:rsidRPr="006A04C6">
        <w:t>species</w:t>
      </w:r>
      <w:r w:rsidR="00E37AC8">
        <w:rPr>
          <w:i/>
        </w:rPr>
        <w:t xml:space="preserve"> </w:t>
      </w:r>
      <w:r w:rsidR="00E37AC8" w:rsidRPr="00E37AC8">
        <w:t>na způsob</w:t>
      </w:r>
      <w:r w:rsidR="08202C8F">
        <w:t xml:space="preserve"> pasivní potence dané jako </w:t>
      </w:r>
      <w:r w:rsidR="00E37AC8">
        <w:rPr>
          <w:i/>
        </w:rPr>
        <w:t>materia prima</w:t>
      </w:r>
      <w:r w:rsidR="08B74EAC">
        <w:t xml:space="preserve"> pro intelektuální schopno</w:t>
      </w:r>
      <w:r w:rsidR="089553C1">
        <w:t>s</w:t>
      </w:r>
      <w:r w:rsidR="08B74EAC">
        <w:t>t duše</w:t>
      </w:r>
      <w:r w:rsidR="08882EC3">
        <w:t xml:space="preserve"> (</w:t>
      </w:r>
      <w:r w:rsidR="08882EC3" w:rsidRPr="08882EC3">
        <w:rPr>
          <w:i/>
        </w:rPr>
        <w:t>apprehendit</w:t>
      </w:r>
      <w:r w:rsidR="08882EC3">
        <w:t>)</w:t>
      </w:r>
      <w:r w:rsidR="08B74EAC">
        <w:t xml:space="preserve">. </w:t>
      </w:r>
      <w:r w:rsidR="00DE5E2D">
        <w:t xml:space="preserve">Vzat jako </w:t>
      </w:r>
      <w:r w:rsidR="00DE5E2D" w:rsidRPr="006747B7">
        <w:rPr>
          <w:i/>
          <w:lang w:eastAsia="en-US"/>
        </w:rPr>
        <w:t xml:space="preserve">intellectus in </w:t>
      </w:r>
      <w:r w:rsidR="00DE5E2D" w:rsidRPr="00DE5E2D">
        <w:rPr>
          <w:i/>
          <w:lang w:eastAsia="en-US"/>
        </w:rPr>
        <w:t>potentia</w:t>
      </w:r>
      <w:r w:rsidR="00DE5E2D">
        <w:rPr>
          <w:lang w:eastAsia="en-US"/>
        </w:rPr>
        <w:t xml:space="preserve">, </w:t>
      </w:r>
      <w:r w:rsidR="00DE5E2D">
        <w:t>indenduje (</w:t>
      </w:r>
      <w:r w:rsidR="00DE5E2D" w:rsidRPr="00273106">
        <w:rPr>
          <w:i/>
        </w:rPr>
        <w:t>considerat</w:t>
      </w:r>
      <w:r w:rsidR="00DE5E2D">
        <w:t>) t</w:t>
      </w:r>
      <w:r w:rsidR="00F679B6">
        <w:t xml:space="preserve">yto individuální </w:t>
      </w:r>
      <w:r w:rsidR="0009358F">
        <w:t xml:space="preserve">smyslové formy </w:t>
      </w:r>
      <w:r w:rsidR="00F679B6">
        <w:t xml:space="preserve">jako </w:t>
      </w:r>
      <w:r w:rsidR="00DE5E2D" w:rsidRPr="00DE5E2D">
        <w:rPr>
          <w:i/>
        </w:rPr>
        <w:t>species intelligibilis</w:t>
      </w:r>
      <w:r w:rsidR="00DE5E2D">
        <w:t xml:space="preserve">, protože formuje </w:t>
      </w:r>
      <w:r w:rsidR="00F679B6">
        <w:t>univerzální druh</w:t>
      </w:r>
      <w:r w:rsidR="00DE5E2D">
        <w:t xml:space="preserve">ou  substanci. Možný intelekt </w:t>
      </w:r>
      <w:r w:rsidR="00F679B6">
        <w:t xml:space="preserve">je </w:t>
      </w:r>
      <w:r w:rsidR="005D068A">
        <w:t xml:space="preserve">nemateriální </w:t>
      </w:r>
      <w:r w:rsidR="08F7327F">
        <w:t xml:space="preserve">receptivní </w:t>
      </w:r>
      <w:r w:rsidR="005D068A">
        <w:t>potence</w:t>
      </w:r>
      <w:r w:rsidR="08EA7D99">
        <w:t xml:space="preserve"> duše</w:t>
      </w:r>
      <w:r w:rsidR="001F40DF">
        <w:t xml:space="preserve">. </w:t>
      </w:r>
      <w:r w:rsidR="001F40DF" w:rsidRPr="001F40DF">
        <w:t xml:space="preserve">Takto definovaná </w:t>
      </w:r>
      <w:r w:rsidR="001F40DF" w:rsidRPr="001F40DF">
        <w:rPr>
          <w:i/>
        </w:rPr>
        <w:t>anima intellectiva</w:t>
      </w:r>
      <w:r w:rsidR="001F40DF" w:rsidRPr="001F40DF">
        <w:t xml:space="preserve"> je jedinou nehmotnou formou skutečného těla.</w:t>
      </w:r>
    </w:p>
    <w:p w14:paraId="1F6D56ED" w14:textId="2FA6DA3C" w:rsidR="005B1B0A" w:rsidRPr="00BB25FB" w:rsidRDefault="00DB0809" w:rsidP="00AB4CF9">
      <w:pPr>
        <w:ind w:firstLine="397"/>
      </w:pPr>
      <w:r w:rsidRPr="00273106">
        <w:t xml:space="preserve">Materiální intelekt </w:t>
      </w:r>
      <w:r w:rsidR="000269AA">
        <w:t>má středovou pozici pro</w:t>
      </w:r>
      <w:r w:rsidR="008C3DCA" w:rsidRPr="00273106">
        <w:t>t</w:t>
      </w:r>
      <w:r w:rsidR="000269AA">
        <w:t>o</w:t>
      </w:r>
      <w:r w:rsidR="008C3DCA" w:rsidRPr="00273106">
        <w:t xml:space="preserve">, že </w:t>
      </w:r>
      <w:r w:rsidR="000269AA">
        <w:t xml:space="preserve">intenduje </w:t>
      </w:r>
      <w:r w:rsidR="00500797" w:rsidRPr="00273106">
        <w:t xml:space="preserve">smyslové </w:t>
      </w:r>
      <w:r w:rsidR="00500797" w:rsidRPr="00273106">
        <w:rPr>
          <w:i/>
        </w:rPr>
        <w:t>intentiones</w:t>
      </w:r>
      <w:r w:rsidR="00EE32FE" w:rsidRPr="00273106">
        <w:t xml:space="preserve"> již </w:t>
      </w:r>
      <w:r w:rsidR="00906F83" w:rsidRPr="00273106">
        <w:t xml:space="preserve">v </w:t>
      </w:r>
      <w:r w:rsidR="00EE32FE" w:rsidRPr="00273106">
        <w:t xml:space="preserve">modu nemateriální </w:t>
      </w:r>
      <w:r w:rsidR="008C3DCA" w:rsidRPr="00273106">
        <w:t>abstrakce</w:t>
      </w:r>
      <w:r w:rsidR="00C10FBA">
        <w:t xml:space="preserve">. Tyto </w:t>
      </w:r>
      <w:r w:rsidR="00C10FBA" w:rsidRPr="00C10FBA">
        <w:rPr>
          <w:i/>
        </w:rPr>
        <w:t>species intelligibilis</w:t>
      </w:r>
      <w:r w:rsidR="00C10FBA" w:rsidRPr="00C10FBA">
        <w:t xml:space="preserve"> jsou připraveny k závěrečnému aktu poznání, </w:t>
      </w:r>
      <w:r w:rsidR="00F955FB">
        <w:t xml:space="preserve">což </w:t>
      </w:r>
      <w:r w:rsidR="00C10FBA" w:rsidRPr="00C10FBA">
        <w:t>je aktivní syntéza pojmu.</w:t>
      </w:r>
      <w:r w:rsidR="008C3DCA" w:rsidRPr="00273106">
        <w:t xml:space="preserve"> </w:t>
      </w:r>
      <w:r w:rsidR="0818211C">
        <w:t>Receptivita duše (</w:t>
      </w:r>
      <w:r w:rsidR="0818211C" w:rsidRPr="00273106">
        <w:rPr>
          <w:i/>
        </w:rPr>
        <w:t>potentia media</w:t>
      </w:r>
      <w:r w:rsidR="0818211C" w:rsidRPr="00273106">
        <w:t xml:space="preserve">) je </w:t>
      </w:r>
      <w:r w:rsidR="0818211C">
        <w:t xml:space="preserve">dána </w:t>
      </w:r>
      <w:r w:rsidR="0818211C" w:rsidRPr="00273106">
        <w:t xml:space="preserve">mezi smyslovou schopností a </w:t>
      </w:r>
      <w:r w:rsidR="0818211C">
        <w:t xml:space="preserve">nemateriálním intelektem. </w:t>
      </w:r>
      <w:r w:rsidR="00EE32FE" w:rsidRPr="00273106">
        <w:t>P</w:t>
      </w:r>
      <w:r w:rsidRPr="00273106">
        <w:t xml:space="preserve">roto </w:t>
      </w:r>
      <w:r w:rsidR="00EE32FE" w:rsidRPr="00273106">
        <w:t xml:space="preserve">má </w:t>
      </w:r>
      <w:r w:rsidR="00AA613E" w:rsidRPr="00273106">
        <w:t xml:space="preserve">v prvním averroismu </w:t>
      </w:r>
      <w:r w:rsidR="00AA613E" w:rsidRPr="00273106">
        <w:rPr>
          <w:i/>
        </w:rPr>
        <w:t>intellectus materialis</w:t>
      </w:r>
      <w:r w:rsidR="00F80531">
        <w:rPr>
          <w:i/>
        </w:rPr>
        <w:fldChar w:fldCharType="begin"/>
      </w:r>
      <w:r w:rsidR="00F80531">
        <w:instrText xml:space="preserve"> XE "</w:instrText>
      </w:r>
      <w:r w:rsidR="00F80531" w:rsidRPr="000238B8">
        <w:rPr>
          <w:i/>
        </w:rPr>
        <w:instrText xml:space="preserve">intellectus </w:instrText>
      </w:r>
      <w:r w:rsidR="00F80531">
        <w:rPr>
          <w:i/>
        </w:rPr>
        <w:instrText>materialis</w:instrText>
      </w:r>
      <w:r w:rsidR="00F80531" w:rsidRPr="000238B8">
        <w:rPr>
          <w:i/>
        </w:rPr>
        <w:instrText>:</w:instrText>
      </w:r>
      <w:r w:rsidR="00F80531" w:rsidRPr="00FC27F7">
        <w:instrText>první averroismus</w:instrText>
      </w:r>
      <w:r w:rsidR="00F80531">
        <w:instrText xml:space="preserve">" </w:instrText>
      </w:r>
      <w:r w:rsidR="00F80531">
        <w:rPr>
          <w:i/>
        </w:rPr>
        <w:fldChar w:fldCharType="end"/>
      </w:r>
      <w:r w:rsidR="00AA613E" w:rsidRPr="00273106">
        <w:t xml:space="preserve"> </w:t>
      </w:r>
      <w:r w:rsidR="08094DCA">
        <w:t xml:space="preserve">jako diafanum </w:t>
      </w:r>
      <w:r w:rsidR="00AA613E" w:rsidRPr="00273106">
        <w:t xml:space="preserve">úplně </w:t>
      </w:r>
      <w:r w:rsidR="00EE32FE" w:rsidRPr="00273106">
        <w:t>jiný status</w:t>
      </w:r>
      <w:r w:rsidR="00AA613E" w:rsidRPr="00273106">
        <w:t xml:space="preserve"> než</w:t>
      </w:r>
      <w:r w:rsidR="003378B9" w:rsidRPr="00273106">
        <w:t xml:space="preserve"> materiální intelekt avice</w:t>
      </w:r>
      <w:r w:rsidR="00E41A22" w:rsidRPr="00273106">
        <w:t>n</w:t>
      </w:r>
      <w:r w:rsidR="003378B9" w:rsidRPr="00273106">
        <w:t>nistů</w:t>
      </w:r>
      <w:r w:rsidR="003F1FAC">
        <w:t xml:space="preserve"> a moderních </w:t>
      </w:r>
      <w:r w:rsidR="08DE18BB">
        <w:t>alexandrovc</w:t>
      </w:r>
      <w:r w:rsidR="003F1FAC">
        <w:t>ů</w:t>
      </w:r>
      <w:r w:rsidR="0005660C" w:rsidRPr="00273106">
        <w:t>.</w:t>
      </w:r>
      <w:r w:rsidR="08094DCA">
        <w:t xml:space="preserve"> Moderna žijící v platonské jeskyni spravované </w:t>
      </w:r>
      <w:r w:rsidR="086707F3">
        <w:t xml:space="preserve">objektivně osvícenými </w:t>
      </w:r>
      <w:r w:rsidR="08094DCA">
        <w:t xml:space="preserve">Fúriemi je oslepena mytopoetickým intelektem-sluncem, proto nepotřebuje žádné diafanum. </w:t>
      </w:r>
      <w:r w:rsidR="00B8629E" w:rsidRPr="00273106">
        <w:t xml:space="preserve">Materiální intelekt v člověku odpovídá </w:t>
      </w:r>
      <w:r w:rsidR="08B00DAC">
        <w:t xml:space="preserve">v prvním </w:t>
      </w:r>
      <w:r w:rsidR="08B00DAC">
        <w:lastRenderedPageBreak/>
        <w:t xml:space="preserve">averroismu </w:t>
      </w:r>
      <w:r w:rsidR="00B8629E" w:rsidRPr="00273106">
        <w:t>z</w:t>
      </w:r>
      <w:r w:rsidR="08B96D2F">
        <w:t>a průběh intelektuálně dané intencionality</w:t>
      </w:r>
      <w:r w:rsidR="082B0E1F">
        <w:t xml:space="preserve">. Proto představuje toto diafanum </w:t>
      </w:r>
      <w:r w:rsidR="08F12DDC">
        <w:t xml:space="preserve">nemateriální duševní </w:t>
      </w:r>
      <w:r w:rsidR="082B0E1F">
        <w:t>potenci oddělenou</w:t>
      </w:r>
      <w:r w:rsidR="08F12DDC">
        <w:t xml:space="preserve"> od smyslů v modu </w:t>
      </w:r>
      <w:r w:rsidR="08F12DDC" w:rsidRPr="08F12DDC">
        <w:rPr>
          <w:i/>
        </w:rPr>
        <w:t>inmixtus</w:t>
      </w:r>
      <w:r w:rsidR="08F12DDC">
        <w:t xml:space="preserve">. Současná postmoderna </w:t>
      </w:r>
      <w:r w:rsidR="00B8629E" w:rsidRPr="00273106">
        <w:t xml:space="preserve">má </w:t>
      </w:r>
      <w:r w:rsidR="08F12DDC" w:rsidRPr="08F12DDC">
        <w:rPr>
          <w:i/>
        </w:rPr>
        <w:t>intellectus materialis</w:t>
      </w:r>
      <w:r w:rsidR="08F12DDC">
        <w:t xml:space="preserve"> </w:t>
      </w:r>
      <w:r w:rsidR="00B8629E" w:rsidRPr="00273106">
        <w:t xml:space="preserve">daný </w:t>
      </w:r>
      <w:r w:rsidR="08D80528">
        <w:t xml:space="preserve">jako smyslová materie třetího druhu, což je </w:t>
      </w:r>
      <w:r w:rsidR="088A2ADC">
        <w:t xml:space="preserve">hylický intelekt </w:t>
      </w:r>
      <w:r w:rsidR="00B8629E">
        <w:t xml:space="preserve">u </w:t>
      </w:r>
      <w:r w:rsidR="08142831">
        <w:t xml:space="preserve">Alexandra a </w:t>
      </w:r>
      <w:r w:rsidR="00B8629E">
        <w:t>Themistia</w:t>
      </w:r>
      <w:r w:rsidR="00B8629E">
        <w:fldChar w:fldCharType="begin"/>
      </w:r>
      <w:r w:rsidR="00B8629E">
        <w:instrText xml:space="preserve"> XE "</w:instrText>
      </w:r>
      <w:r w:rsidR="00B8629E" w:rsidRPr="002255E5">
        <w:instrText>Themistius</w:instrText>
      </w:r>
      <w:r w:rsidR="00B8629E">
        <w:instrText xml:space="preserve">" </w:instrText>
      </w:r>
      <w:r w:rsidR="00B8629E">
        <w:fldChar w:fldCharType="end"/>
      </w:r>
      <w:r w:rsidR="08F12DDC">
        <w:t>. N</w:t>
      </w:r>
      <w:r w:rsidR="00B8629E">
        <w:t xml:space="preserve">ebo </w:t>
      </w:r>
      <w:r w:rsidR="088A2ADC">
        <w:t xml:space="preserve">tvoří </w:t>
      </w:r>
      <w:r w:rsidR="08F12DDC" w:rsidRPr="08F12DDC">
        <w:rPr>
          <w:i/>
        </w:rPr>
        <w:t>intellectus materialis</w:t>
      </w:r>
      <w:r w:rsidR="08F12DDC">
        <w:t xml:space="preserve"> po vzoru averroistického výkladu Averroese</w:t>
      </w:r>
      <w:r w:rsidR="088A2ADC">
        <w:t xml:space="preserve"> zcela oddělený Alexandrův </w:t>
      </w:r>
      <w:r w:rsidR="088A2ADC" w:rsidRPr="088A2ADC">
        <w:rPr>
          <w:i/>
        </w:rPr>
        <w:t>intellectus possibilis</w:t>
      </w:r>
      <w:r w:rsidR="088A2ADC">
        <w:t xml:space="preserve">. </w:t>
      </w:r>
      <w:r w:rsidR="08142831">
        <w:t>H</w:t>
      </w:r>
      <w:r w:rsidR="08495E35">
        <w:t xml:space="preserve">ypostázovaný </w:t>
      </w:r>
      <w:r w:rsidR="08495E35" w:rsidRPr="00273106">
        <w:rPr>
          <w:i/>
        </w:rPr>
        <w:t>intellectus materialis</w:t>
      </w:r>
      <w:r w:rsidR="08495E35">
        <w:rPr>
          <w:i/>
        </w:rPr>
        <w:fldChar w:fldCharType="begin"/>
      </w:r>
      <w:r w:rsidR="08495E35">
        <w:instrText xml:space="preserve"> XE "</w:instrText>
      </w:r>
      <w:r w:rsidR="08495E35" w:rsidRPr="000238B8">
        <w:rPr>
          <w:i/>
        </w:rPr>
        <w:instrText xml:space="preserve">intellectus </w:instrText>
      </w:r>
      <w:r w:rsidR="08495E35">
        <w:rPr>
          <w:i/>
        </w:rPr>
        <w:instrText>materialis</w:instrText>
      </w:r>
      <w:r w:rsidR="08495E35" w:rsidRPr="000238B8">
        <w:rPr>
          <w:i/>
        </w:rPr>
        <w:instrText>:</w:instrText>
      </w:r>
      <w:r w:rsidR="08495E35" w:rsidRPr="00FC27F7">
        <w:instrText>první averroismus</w:instrText>
      </w:r>
      <w:r w:rsidR="08495E35">
        <w:instrText xml:space="preserve">" </w:instrText>
      </w:r>
      <w:r w:rsidR="08495E35">
        <w:rPr>
          <w:i/>
        </w:rPr>
        <w:fldChar w:fldCharType="end"/>
      </w:r>
      <w:r w:rsidR="08495E35" w:rsidRPr="00273106">
        <w:t xml:space="preserve"> </w:t>
      </w:r>
      <w:r w:rsidR="08142831">
        <w:t xml:space="preserve">Alexandra a Themistia </w:t>
      </w:r>
      <w:r w:rsidR="00AE1A1C">
        <w:t>nefu</w:t>
      </w:r>
      <w:r w:rsidR="00391674">
        <w:t>n</w:t>
      </w:r>
      <w:r w:rsidR="00AE1A1C">
        <w:t xml:space="preserve">guje </w:t>
      </w:r>
      <w:r w:rsidR="08D35F38">
        <w:t xml:space="preserve">u Moderních </w:t>
      </w:r>
      <w:r w:rsidR="00AE1A1C">
        <w:t xml:space="preserve">jako diafanum, ale jako </w:t>
      </w:r>
      <w:r w:rsidR="003E5A47">
        <w:t xml:space="preserve">intelektuální </w:t>
      </w:r>
      <w:r w:rsidR="00AE1A1C">
        <w:t>kvazi-</w:t>
      </w:r>
      <w:r w:rsidR="00B8629E">
        <w:t>materie pro přijetí čistě intel</w:t>
      </w:r>
      <w:r w:rsidR="00AE1A1C">
        <w:t xml:space="preserve">igibilních forem daných od </w:t>
      </w:r>
      <w:r w:rsidR="00874074">
        <w:t>neoplatonsk</w:t>
      </w:r>
      <w:r w:rsidR="00AE1A1C">
        <w:t>ého intelektu-slunce</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8A7224C">
        <w:t xml:space="preserve">. </w:t>
      </w:r>
      <w:r w:rsidR="08C867C2">
        <w:t xml:space="preserve">První averroismus pochopil, že do receptivního intelektu se </w:t>
      </w:r>
      <w:r w:rsidR="08313CE9">
        <w:t>nevtiskuje žádná inteligibilní hypo</w:t>
      </w:r>
      <w:r w:rsidR="00694A40">
        <w:t>s</w:t>
      </w:r>
      <w:r w:rsidR="08313CE9">
        <w:t>tázovaná forma</w:t>
      </w:r>
      <w:r w:rsidR="08C867C2">
        <w:t xml:space="preserve">, jak si to myslí moderna. </w:t>
      </w:r>
      <w:r w:rsidR="00694A40" w:rsidRPr="00694A40">
        <w:t xml:space="preserve">Intelekt </w:t>
      </w:r>
      <w:r w:rsidR="00A13D93">
        <w:t xml:space="preserve">vytváří </w:t>
      </w:r>
      <w:r w:rsidR="00694A40" w:rsidRPr="00694A40">
        <w:t xml:space="preserve">poznání </w:t>
      </w:r>
      <w:r w:rsidR="00694A40">
        <w:t xml:space="preserve">v rámci duševních </w:t>
      </w:r>
      <w:r w:rsidR="00694A40" w:rsidRPr="00694A40">
        <w:t>schopnost</w:t>
      </w:r>
      <w:r w:rsidR="00694A40">
        <w:t xml:space="preserve">í a </w:t>
      </w:r>
      <w:r w:rsidR="00694A40" w:rsidRPr="00694A40">
        <w:t xml:space="preserve">syntetizuje aktuální poznatky </w:t>
      </w:r>
      <w:r w:rsidR="00694A40">
        <w:t xml:space="preserve">od </w:t>
      </w:r>
      <w:r w:rsidR="00694A40" w:rsidRPr="00694A40">
        <w:t>tělesných smyslů.</w:t>
      </w:r>
      <w:r w:rsidR="00694A40">
        <w:t xml:space="preserve"> </w:t>
      </w:r>
      <w:r w:rsidR="00BC657F">
        <w:t>David z Dinantu</w:t>
      </w:r>
      <w:r w:rsidR="08A7224C">
        <w:t xml:space="preserve"> poprvé zavedl </w:t>
      </w:r>
      <w:r w:rsidR="00BC657F">
        <w:t xml:space="preserve">materiální intelekt modernistů </w:t>
      </w:r>
      <w:r w:rsidR="08A7224C">
        <w:t xml:space="preserve">jako kosmickou hypostázi v podobě univerzální materie třetího druhu </w:t>
      </w:r>
      <w:r w:rsidR="083072B7">
        <w:t>(kap. 2</w:t>
      </w:r>
      <w:r w:rsidR="00BC657F">
        <w:t xml:space="preserve">.1.3). </w:t>
      </w:r>
      <w:r w:rsidR="00F6407F">
        <w:t>Zrušení diafanum nebo jeho převedení na materiální korpuskuli jako u Dinanta</w:t>
      </w:r>
      <w:r w:rsidR="00F80531">
        <w:fldChar w:fldCharType="begin"/>
      </w:r>
      <w:r w:rsidR="00F80531">
        <w:instrText xml:space="preserve"> XE "David z Dinantu" </w:instrText>
      </w:r>
      <w:r w:rsidR="00F80531">
        <w:fldChar w:fldCharType="end"/>
      </w:r>
      <w:r w:rsidR="00F6407F">
        <w:t xml:space="preserve"> </w:t>
      </w:r>
      <w:r w:rsidR="000362A5">
        <w:t>a 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0362A5">
        <w:t xml:space="preserve"> </w:t>
      </w:r>
      <w:r w:rsidR="00305C78">
        <w:t xml:space="preserve">způsobilo, že </w:t>
      </w:r>
      <w:r w:rsidR="00A732D7" w:rsidRPr="00273106">
        <w:t xml:space="preserve">ve druhém averroismu </w:t>
      </w:r>
      <w:r w:rsidR="00980C20">
        <w:t xml:space="preserve">a v postmoderně </w:t>
      </w:r>
      <w:r w:rsidR="00305C78" w:rsidRPr="00273106">
        <w:t xml:space="preserve">vznikl </w:t>
      </w:r>
      <w:r w:rsidR="00E00D5D">
        <w:t xml:space="preserve">nepřekonatelný </w:t>
      </w:r>
      <w:r w:rsidR="00A732D7" w:rsidRPr="00273106">
        <w:t xml:space="preserve">dualismus mezi smyslovým a rozumovým poznáním. </w:t>
      </w:r>
      <w:r w:rsidR="08FA2443">
        <w:t xml:space="preserve">Anonym naopak definuje intelektuální diafanum jako </w:t>
      </w:r>
      <w:r w:rsidR="08FA2443" w:rsidRPr="0009358F">
        <w:rPr>
          <w:i/>
        </w:rPr>
        <w:t>intellectus</w:t>
      </w:r>
      <w:r w:rsidR="08FA2443">
        <w:t xml:space="preserve"> </w:t>
      </w:r>
      <w:r w:rsidR="08FA2443" w:rsidRPr="00273106">
        <w:rPr>
          <w:i/>
        </w:rPr>
        <w:t>possibilis</w:t>
      </w:r>
      <w:r w:rsidR="08FA2443" w:rsidRPr="00273106">
        <w:t xml:space="preserve"> </w:t>
      </w:r>
      <w:r w:rsidR="08FA2443">
        <w:t>v</w:t>
      </w:r>
      <w:r w:rsidR="08C35BF8" w:rsidRPr="00273106">
        <w:t xml:space="preserve">zhledem k </w:t>
      </w:r>
      <w:r w:rsidR="08C35BF8">
        <w:t xml:space="preserve">syntetickému </w:t>
      </w:r>
      <w:r w:rsidR="08FA2443">
        <w:t>formálnímu intelektu</w:t>
      </w:r>
      <w:r w:rsidR="08C35BF8">
        <w:rPr>
          <w:i/>
        </w:rPr>
        <w:fldChar w:fldCharType="begin"/>
      </w:r>
      <w:r w:rsidR="08C35BF8">
        <w:instrText xml:space="preserve"> XE "</w:instrText>
      </w:r>
      <w:r w:rsidR="08C35BF8" w:rsidRPr="000238B8">
        <w:rPr>
          <w:i/>
        </w:rPr>
        <w:instrText xml:space="preserve">intellectus </w:instrText>
      </w:r>
      <w:r w:rsidR="08C35BF8">
        <w:rPr>
          <w:i/>
        </w:rPr>
        <w:instrText>possibilis</w:instrText>
      </w:r>
      <w:r w:rsidR="08C35BF8" w:rsidRPr="000238B8">
        <w:rPr>
          <w:i/>
        </w:rPr>
        <w:instrText>:</w:instrText>
      </w:r>
      <w:r w:rsidR="08C35BF8" w:rsidRPr="00FC27F7">
        <w:instrText>první averroismus</w:instrText>
      </w:r>
      <w:r w:rsidR="08C35BF8">
        <w:instrText xml:space="preserve">" </w:instrText>
      </w:r>
      <w:r w:rsidR="08C35BF8">
        <w:rPr>
          <w:i/>
        </w:rPr>
        <w:fldChar w:fldCharType="end"/>
      </w:r>
      <w:r w:rsidR="08935352">
        <w:t xml:space="preserve"> a jako </w:t>
      </w:r>
      <w:r w:rsidR="08935352" w:rsidRPr="08935352">
        <w:rPr>
          <w:i/>
        </w:rPr>
        <w:t>intellectus materialis</w:t>
      </w:r>
      <w:r w:rsidR="08935352">
        <w:t xml:space="preserve"> vzhledem k představivosti. </w:t>
      </w:r>
      <w:r w:rsidR="087D1B79">
        <w:t xml:space="preserve">Nyní </w:t>
      </w:r>
      <w:r w:rsidR="08EE54AE">
        <w:t xml:space="preserve">je perspektiva </w:t>
      </w:r>
      <w:r w:rsidR="087D1B79">
        <w:t xml:space="preserve">na receptivní intelekt </w:t>
      </w:r>
      <w:r w:rsidR="08EE54AE">
        <w:t xml:space="preserve">dána pohledem zezadu, protože </w:t>
      </w:r>
      <w:r w:rsidR="08D74450">
        <w:t xml:space="preserve">jeho </w:t>
      </w:r>
      <w:r w:rsidR="08EE54AE">
        <w:t xml:space="preserve">intencionální obsahy jsou nasvíceny aktivně formující složkou duše. </w:t>
      </w:r>
      <w:r w:rsidR="08C35BF8">
        <w:t xml:space="preserve">Receptivní a nemateriální složka duše ve formě </w:t>
      </w:r>
      <w:r w:rsidR="08C35BF8" w:rsidRPr="0009358F">
        <w:rPr>
          <w:i/>
        </w:rPr>
        <w:t>intellectus</w:t>
      </w:r>
      <w:r w:rsidR="08C35BF8">
        <w:t xml:space="preserve"> </w:t>
      </w:r>
      <w:r w:rsidR="08C35BF8" w:rsidRPr="00273106">
        <w:rPr>
          <w:i/>
        </w:rPr>
        <w:t>possibilis</w:t>
      </w:r>
      <w:r w:rsidR="08C35BF8">
        <w:t xml:space="preserve"> mediatizuje nemateriální intence do aktivní části </w:t>
      </w:r>
      <w:r w:rsidR="08C35BF8" w:rsidRPr="08300140">
        <w:rPr>
          <w:i/>
        </w:rPr>
        <w:t>intellectus formalis</w:t>
      </w:r>
      <w:r w:rsidR="08C35BF8">
        <w:t>. O</w:t>
      </w:r>
      <w:r w:rsidR="08C35BF8" w:rsidRPr="00273106">
        <w:t>bě manifestace je</w:t>
      </w:r>
      <w:r w:rsidR="08C35BF8">
        <w:t>dno</w:t>
      </w:r>
      <w:r w:rsidR="08C35BF8" w:rsidRPr="00273106">
        <w:t xml:space="preserve">ho a téhož pasivního intelektu </w:t>
      </w:r>
      <w:r w:rsidR="08C35BF8">
        <w:t>jsou plně potenciální, protože duše musí poznávat vše</w:t>
      </w:r>
      <w:r w:rsidR="08C35BF8" w:rsidRPr="00273106">
        <w:t>.</w:t>
      </w:r>
      <w:r w:rsidR="08795A4F">
        <w:t xml:space="preserve"> </w:t>
      </w:r>
      <w:r w:rsidR="08C35BF8">
        <w:t>Pozice receptivní složky duše (</w:t>
      </w:r>
      <w:r w:rsidR="08C35BF8" w:rsidRPr="08C35BF8">
        <w:rPr>
          <w:i/>
        </w:rPr>
        <w:t>intellectus materialis</w:t>
      </w:r>
      <w:r w:rsidR="00AB4CF9">
        <w:rPr>
          <w:i/>
        </w:rPr>
        <w:t xml:space="preserve"> </w:t>
      </w:r>
      <w:r w:rsidR="08C47142">
        <w:t>/</w:t>
      </w:r>
      <w:r w:rsidR="00AB4CF9">
        <w:t xml:space="preserve"> </w:t>
      </w:r>
      <w:r w:rsidR="08C35BF8" w:rsidRPr="08C35BF8">
        <w:rPr>
          <w:i/>
        </w:rPr>
        <w:t>in potentia</w:t>
      </w:r>
      <w:r w:rsidR="08C35BF8">
        <w:t>) má centrální význam v pozdějších debatách prvního a druhého averroismu. P</w:t>
      </w:r>
      <w:r w:rsidR="00A732D7" w:rsidRPr="00273106">
        <w:t>rvní averroismu</w:t>
      </w:r>
      <w:r w:rsidR="00E608B8" w:rsidRPr="00273106">
        <w:t>s</w:t>
      </w:r>
      <w:r w:rsidR="00A732D7" w:rsidRPr="00273106">
        <w:t xml:space="preserve"> inspirovaný CMDA zdůrazňuje pouhou podobnost materiálního intelektu a smyslů danou </w:t>
      </w:r>
      <w:r w:rsidR="0091113D">
        <w:t xml:space="preserve">skrze formální intenci a skrze nemateriální poznávací </w:t>
      </w:r>
      <w:r w:rsidR="00A732D7" w:rsidRPr="00273106">
        <w:t>potenci</w:t>
      </w:r>
      <w:r w:rsidR="00CA6104">
        <w:t xml:space="preserve">. Pak je intelekt definován jako </w:t>
      </w:r>
      <w:r w:rsidR="08CA4718" w:rsidRPr="08CA4718">
        <w:rPr>
          <w:i/>
        </w:rPr>
        <w:t>separabilis</w:t>
      </w:r>
      <w:r w:rsidR="00AB4CF9">
        <w:t xml:space="preserve"> a </w:t>
      </w:r>
      <w:r w:rsidR="08CA4718" w:rsidRPr="08CA4718">
        <w:rPr>
          <w:i/>
        </w:rPr>
        <w:t>inmixtus</w:t>
      </w:r>
      <w:r w:rsidR="00AB4CF9">
        <w:t>. P</w:t>
      </w:r>
      <w:r w:rsidR="08CA4718">
        <w:t xml:space="preserve">oznání vzhledem k tělu v modu </w:t>
      </w:r>
      <w:r w:rsidR="08CA4718" w:rsidRPr="08CA4718">
        <w:rPr>
          <w:i/>
        </w:rPr>
        <w:t>obiective</w:t>
      </w:r>
      <w:r w:rsidR="00AB4CF9">
        <w:t xml:space="preserve">, </w:t>
      </w:r>
      <w:r w:rsidR="00AB4CF9" w:rsidRPr="00AB4CF9">
        <w:t xml:space="preserve">protože </w:t>
      </w:r>
      <w:r w:rsidR="00AB4CF9">
        <w:t>tvoří p</w:t>
      </w:r>
      <w:r w:rsidR="00AB4CF9" w:rsidRPr="00AB4CF9">
        <w:t>ozn</w:t>
      </w:r>
      <w:r w:rsidR="00AB4CF9">
        <w:t xml:space="preserve">aný </w:t>
      </w:r>
      <w:r w:rsidR="00AB4CF9" w:rsidRPr="00AB4CF9">
        <w:t>a nehmotný objekt.</w:t>
      </w:r>
      <w:r w:rsidR="00AB4CF9">
        <w:t xml:space="preserve"> </w:t>
      </w:r>
      <w:r w:rsidR="00DF4087">
        <w:t xml:space="preserve">Obě vlastnosti spojuje koncept diafanum mediatizující nasvícení od slunečného paprsku a od poznaných barev. </w:t>
      </w:r>
      <w:r w:rsidR="00A732D7" w:rsidRPr="00273106">
        <w:t xml:space="preserve">Receptivní intelekt </w:t>
      </w:r>
      <w:r w:rsidR="0005660C" w:rsidRPr="00273106">
        <w:t>u</w:t>
      </w:r>
      <w:r w:rsidR="00AA613E" w:rsidRPr="00273106">
        <w:t xml:space="preserve">ž </w:t>
      </w:r>
      <w:r w:rsidR="00C1024A" w:rsidRPr="00273106">
        <w:t xml:space="preserve">není </w:t>
      </w:r>
      <w:r w:rsidR="00A232E9" w:rsidRPr="00273106">
        <w:t>smyslově-</w:t>
      </w:r>
      <w:r w:rsidR="00C1024A" w:rsidRPr="00273106">
        <w:t xml:space="preserve">materiální, ale </w:t>
      </w:r>
      <w:r w:rsidR="00A232E9" w:rsidRPr="00273106">
        <w:t xml:space="preserve">čistě </w:t>
      </w:r>
      <w:r w:rsidR="00C1024A" w:rsidRPr="00273106">
        <w:t>receptivní</w:t>
      </w:r>
      <w:r w:rsidR="00B56120" w:rsidRPr="00273106">
        <w:t xml:space="preserve"> </w:t>
      </w:r>
      <w:r w:rsidR="08EE54AE">
        <w:t>podobným způsobem</w:t>
      </w:r>
      <w:r w:rsidR="00244519" w:rsidRPr="00244519">
        <w:t xml:space="preserve"> </w:t>
      </w:r>
      <w:r w:rsidR="00244519" w:rsidRPr="00273106">
        <w:t>(</w:t>
      </w:r>
      <w:r w:rsidR="00244519" w:rsidRPr="00273106">
        <w:rPr>
          <w:i/>
        </w:rPr>
        <w:t>similiter</w:t>
      </w:r>
      <w:r w:rsidR="00244519" w:rsidRPr="00273106">
        <w:t>)</w:t>
      </w:r>
      <w:r w:rsidR="00B56120" w:rsidRPr="00273106">
        <w:t xml:space="preserve"> </w:t>
      </w:r>
      <w:r w:rsidR="00244519">
        <w:t xml:space="preserve">jako </w:t>
      </w:r>
      <w:r w:rsidR="00B56120" w:rsidRPr="00273106">
        <w:t>materie. Přesn</w:t>
      </w:r>
      <w:r w:rsidR="00475367" w:rsidRPr="00273106">
        <w:t xml:space="preserve">ě toto pojetí obhajovaly </w:t>
      </w:r>
      <w:r w:rsidR="00B56120" w:rsidRPr="00273106">
        <w:t>citace Blunda v</w:t>
      </w:r>
      <w:r w:rsidR="00CE15CF">
        <w:t xml:space="preserve"> předešlých kapitolách</w:t>
      </w:r>
      <w:r w:rsidR="08F4670D">
        <w:t xml:space="preserve"> a pochopitelně i spis </w:t>
      </w:r>
      <w:r w:rsidR="08F4670D">
        <w:lastRenderedPageBreak/>
        <w:t>CMDA</w:t>
      </w:r>
      <w:r w:rsidR="00B56120" w:rsidRPr="00273106">
        <w:t>.</w:t>
      </w:r>
      <w:r w:rsidR="003378B9" w:rsidRPr="00273106">
        <w:t xml:space="preserve"> D</w:t>
      </w:r>
      <w:r w:rsidR="00393360" w:rsidRPr="00273106">
        <w:t xml:space="preserve">íky recepci </w:t>
      </w:r>
      <w:r w:rsidR="002E3B62">
        <w:t>Averroes</w:t>
      </w:r>
      <w:r w:rsidR="00984C6F" w:rsidRPr="00273106">
        <w:t>e</w:t>
      </w:r>
      <w:r w:rsidR="005D2221" w:rsidRPr="00273106">
        <w:t xml:space="preserve"> je </w:t>
      </w:r>
      <w:r w:rsidR="006A04C6" w:rsidRPr="006A04C6">
        <w:t>species</w:t>
      </w:r>
      <w:r w:rsidR="00DD318A" w:rsidRPr="00273106">
        <w:t xml:space="preserve"> </w:t>
      </w:r>
      <w:r w:rsidR="006004E6" w:rsidRPr="00273106">
        <w:t xml:space="preserve">intendované </w:t>
      </w:r>
      <w:r w:rsidR="002C61FE" w:rsidRPr="00273106">
        <w:t xml:space="preserve">smyslově </w:t>
      </w:r>
      <w:r w:rsidR="006004E6" w:rsidRPr="00273106">
        <w:t xml:space="preserve">v představivosti </w:t>
      </w:r>
      <w:r w:rsidR="00DD318A" w:rsidRPr="00273106">
        <w:t>navázáno</w:t>
      </w:r>
      <w:r w:rsidR="00C03B5B" w:rsidRPr="00273106">
        <w:t xml:space="preserve"> </w:t>
      </w:r>
      <w:r w:rsidR="006004E6" w:rsidRPr="00273106">
        <w:t xml:space="preserve">skrze druhou intenci </w:t>
      </w:r>
      <w:r w:rsidR="00C03B5B" w:rsidRPr="00273106">
        <w:t xml:space="preserve">na </w:t>
      </w:r>
      <w:r w:rsidR="005313BF" w:rsidRPr="00273106">
        <w:t>nový druh poznávací schopnosti (</w:t>
      </w:r>
      <w:r w:rsidR="00C03B5B" w:rsidRPr="00273106">
        <w:rPr>
          <w:i/>
        </w:rPr>
        <w:t>potentia media</w:t>
      </w:r>
      <w:r w:rsidR="005313BF" w:rsidRPr="00273106">
        <w:t>)</w:t>
      </w:r>
      <w:r w:rsidR="00C03B5B" w:rsidRPr="00273106">
        <w:t xml:space="preserve">, čili na </w:t>
      </w:r>
      <w:r w:rsidR="002E3B62">
        <w:t>Averroes</w:t>
      </w:r>
      <w:r w:rsidR="00C03B5B" w:rsidRPr="00273106">
        <w:t xml:space="preserve">ův </w:t>
      </w:r>
      <w:r w:rsidR="00C03B5B"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F95918" w:rsidRPr="00F95918">
        <w:instrText>:</w:instrText>
      </w:r>
      <w:r w:rsidR="002E3B62">
        <w:instrText>Averroes</w:instrText>
      </w:r>
      <w:r w:rsidR="009D323B">
        <w:instrText xml:space="preserve">" </w:instrText>
      </w:r>
      <w:r w:rsidR="009D323B">
        <w:rPr>
          <w:i/>
        </w:rPr>
        <w:fldChar w:fldCharType="end"/>
      </w:r>
      <w:r w:rsidR="00C03B5B" w:rsidRPr="00273106">
        <w:t>.</w:t>
      </w:r>
      <w:r w:rsidR="002C61FE" w:rsidRPr="00273106">
        <w:t xml:space="preserve"> </w:t>
      </w:r>
      <w:r w:rsidR="00342D4F" w:rsidRPr="00273106">
        <w:t xml:space="preserve">Připomeňme, že </w:t>
      </w:r>
      <w:r w:rsidR="00F2499A" w:rsidRPr="00273106">
        <w:t xml:space="preserve">tento </w:t>
      </w:r>
      <w:r w:rsidR="00342D4F" w:rsidRPr="00273106">
        <w:t xml:space="preserve">receptivní intelekt byl ztotožněn s Aristotelovou </w:t>
      </w:r>
      <w:r w:rsidR="00342D4F"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342D4F" w:rsidRPr="00273106">
        <w:t xml:space="preserve"> nutnou pro adekvátní poznání věci, stejně jako to měl</w:t>
      </w:r>
      <w:r w:rsidR="00EE66E5" w:rsidRPr="00273106">
        <w:t xml:space="preserve"> Blund i </w:t>
      </w:r>
      <w:r w:rsidR="00342D4F" w:rsidRPr="00273106">
        <w:t>CMDA.</w:t>
      </w:r>
      <w:r w:rsidR="005B1B0A" w:rsidRPr="00273106">
        <w:t xml:space="preserve"> </w:t>
      </w:r>
      <w:r w:rsidR="00B26DCA" w:rsidRPr="00273106">
        <w:t xml:space="preserve">Následující </w:t>
      </w:r>
      <w:r w:rsidR="005B1B0A" w:rsidRPr="00273106">
        <w:t xml:space="preserve">citace </w:t>
      </w:r>
      <w:r w:rsidR="00C54D37" w:rsidRPr="00273106">
        <w:t xml:space="preserve">traktátu </w:t>
      </w:r>
      <w:r w:rsidR="005B1B0A" w:rsidRPr="00273106">
        <w:t xml:space="preserve">ukazuje, jak málo stačilo k tomu, aby se </w:t>
      </w:r>
      <w:r w:rsidR="007D6E78" w:rsidRPr="00273106">
        <w:t xml:space="preserve">z </w:t>
      </w:r>
      <w:r w:rsidR="005B1B0A" w:rsidRPr="00273106">
        <w:t xml:space="preserve">Blundova </w:t>
      </w:r>
      <w:r w:rsidR="00342D4F" w:rsidRPr="00273106">
        <w:t xml:space="preserve"> </w:t>
      </w:r>
      <w:r w:rsidR="005B1B0A" w:rsidRPr="00273106">
        <w:rPr>
          <w:i/>
        </w:rPr>
        <w:t xml:space="preserve">intellectus in potentia </w:t>
      </w:r>
      <w:r w:rsidR="005B1B0A" w:rsidRPr="00273106">
        <w:t xml:space="preserve">stal </w:t>
      </w:r>
      <w:r w:rsidR="002E3B62">
        <w:t>Averroes</w:t>
      </w:r>
      <w:r w:rsidR="005B1B0A" w:rsidRPr="00273106">
        <w:t>ův</w:t>
      </w:r>
      <w:r w:rsidR="005B1B0A" w:rsidRPr="00273106">
        <w:rPr>
          <w:i/>
        </w:rPr>
        <w:t xml:space="preserve"> intellectus possibilis</w:t>
      </w:r>
      <w:r w:rsidR="005B1B0A" w:rsidRPr="00BB25FB">
        <w:t>.</w:t>
      </w:r>
    </w:p>
    <w:p w14:paraId="40AC87DB" w14:textId="77777777" w:rsidR="0052497D" w:rsidRPr="00273106" w:rsidRDefault="005B1B0A" w:rsidP="005B1B0A">
      <w:pPr>
        <w:pStyle w:val="Citace"/>
        <w:rPr>
          <w:noProof/>
          <w:lang w:val="cs-CZ"/>
        </w:rPr>
      </w:pPr>
      <w:r w:rsidRPr="00273106">
        <w:rPr>
          <w:noProof/>
          <w:lang w:val="cs-CZ"/>
        </w:rPr>
        <w:t>„</w:t>
      </w:r>
      <w:r w:rsidR="0052497D" w:rsidRPr="00273106">
        <w:rPr>
          <w:noProof/>
          <w:lang w:val="cs-CZ"/>
        </w:rPr>
        <w:t xml:space="preserve">Možný intelekt je nejprve potencí duše, v níž není nic aktuálního. Příkladem může být prázdná tabulka, </w:t>
      </w:r>
      <w:r w:rsidR="00427E58">
        <w:rPr>
          <w:noProof/>
          <w:lang w:val="cs-CZ"/>
        </w:rPr>
        <w:t>na které není žádný obrázek. T</w:t>
      </w:r>
      <w:r w:rsidR="0052497D" w:rsidRPr="00273106">
        <w:rPr>
          <w:noProof/>
          <w:lang w:val="cs-CZ"/>
        </w:rPr>
        <w:t>ím</w:t>
      </w:r>
      <w:r w:rsidR="006F2F0E">
        <w:rPr>
          <w:noProof/>
          <w:lang w:val="cs-CZ"/>
        </w:rPr>
        <w:t xml:space="preserve"> není determinována</w:t>
      </w:r>
      <w:r w:rsidR="0052497D" w:rsidRPr="00273106">
        <w:rPr>
          <w:noProof/>
          <w:lang w:val="cs-CZ"/>
        </w:rPr>
        <w:t>, aby  byla spíše tímto nebo něčím jiný</w:t>
      </w:r>
      <w:r w:rsidR="00427E58">
        <w:rPr>
          <w:noProof/>
          <w:lang w:val="cs-CZ"/>
        </w:rPr>
        <w:t>m, protože má potenci být čímkoliv</w:t>
      </w:r>
      <w:r w:rsidR="0052497D" w:rsidRPr="00273106">
        <w:rPr>
          <w:noProof/>
          <w:lang w:val="cs-CZ"/>
        </w:rPr>
        <w:t xml:space="preserve">.“ </w:t>
      </w:r>
      <w:r w:rsidR="0052497D" w:rsidRPr="00273106">
        <w:rPr>
          <w:rStyle w:val="Znakapoznpodarou"/>
          <w:noProof/>
          <w:lang w:val="cs-CZ"/>
        </w:rPr>
        <w:footnoteReference w:id="130"/>
      </w:r>
    </w:p>
    <w:p w14:paraId="32568C5F" w14:textId="77777777" w:rsidR="00EE0750" w:rsidRDefault="006066A1" w:rsidP="00B14EDC">
      <w:r w:rsidRPr="00273106">
        <w:t xml:space="preserve">Čistě receptivní intelekt jako složka nemateriální duše </w:t>
      </w:r>
      <w:r w:rsidR="0001306A" w:rsidRPr="00273106">
        <w:t xml:space="preserve">je oddělen </w:t>
      </w:r>
      <w:r w:rsidR="005B1B0A" w:rsidRPr="00273106">
        <w:t xml:space="preserve">jak </w:t>
      </w:r>
      <w:r w:rsidR="0001306A" w:rsidRPr="00273106">
        <w:t xml:space="preserve">od </w:t>
      </w:r>
      <w:r w:rsidR="005B1B0A" w:rsidRPr="00273106">
        <w:t>materiální smyslové složky, tak od činné nemat</w:t>
      </w:r>
      <w:r w:rsidR="00E608B8" w:rsidRPr="00273106">
        <w:t>e</w:t>
      </w:r>
      <w:r w:rsidR="005B1B0A" w:rsidRPr="00273106">
        <w:t>riální složky</w:t>
      </w:r>
      <w:r w:rsidR="00713512">
        <w:t>, proto</w:t>
      </w:r>
      <w:r w:rsidR="005B1B0A" w:rsidRPr="00273106">
        <w:t xml:space="preserve"> tvoří čistou potenci duše (</w:t>
      </w:r>
      <w:r w:rsidR="005B1B0A" w:rsidRPr="00273106">
        <w:rPr>
          <w:i/>
        </w:rPr>
        <w:t xml:space="preserve">intellectus possibili eum ipse sit potencia anime et </w:t>
      </w:r>
      <w:r w:rsidR="005B1B0A" w:rsidRPr="00273106">
        <w:rPr>
          <w:rFonts w:eastAsia="HiddenHorzOCR"/>
          <w:i/>
          <w:szCs w:val="23"/>
        </w:rPr>
        <w:t>nichil actu</w:t>
      </w:r>
      <w:r w:rsidR="005B1B0A" w:rsidRPr="00273106">
        <w:t xml:space="preserve">). Autor </w:t>
      </w:r>
      <w:r w:rsidR="002B55BB">
        <w:t xml:space="preserve">dokázal </w:t>
      </w:r>
      <w:r w:rsidR="004E7615" w:rsidRPr="00273106">
        <w:t>v linii CMDA</w:t>
      </w:r>
      <w:r w:rsidR="00761A0C" w:rsidRPr="00273106">
        <w:t xml:space="preserve"> a Blundova traktátu</w:t>
      </w:r>
      <w:r w:rsidR="002B55BB">
        <w:t xml:space="preserve"> naplnit základní tezi, že duše musí</w:t>
      </w:r>
      <w:r w:rsidR="005B1B0A" w:rsidRPr="00273106">
        <w:t xml:space="preserve"> být </w:t>
      </w:r>
      <w:r w:rsidR="00E90053" w:rsidRPr="00273106">
        <w:t>nějak vším (</w:t>
      </w:r>
      <w:r w:rsidR="005B1B0A" w:rsidRPr="00273106">
        <w:rPr>
          <w:rStyle w:val="st"/>
          <w:bCs/>
          <w:i/>
        </w:rPr>
        <w:t>quodammodo omnia</w:t>
      </w:r>
      <w:r w:rsidR="08804D2A">
        <w:rPr>
          <w:rStyle w:val="st"/>
          <w:bCs/>
        </w:rPr>
        <w:t xml:space="preserve">; OBJ I, </w:t>
      </w:r>
      <w:r w:rsidR="002B55BB" w:rsidRPr="00273106">
        <w:t>kap. 2.4.2</w:t>
      </w:r>
      <w:r w:rsidR="00E90053" w:rsidRPr="00273106">
        <w:rPr>
          <w:rStyle w:val="st"/>
          <w:bCs/>
        </w:rPr>
        <w:t>)</w:t>
      </w:r>
      <w:r w:rsidR="002B55BB">
        <w:rPr>
          <w:rStyle w:val="st"/>
          <w:bCs/>
        </w:rPr>
        <w:t xml:space="preserve">. Proto musí být její nemateriálně daný akt intencionality </w:t>
      </w:r>
      <w:r w:rsidR="00E90053" w:rsidRPr="00273106">
        <w:t xml:space="preserve">plně </w:t>
      </w:r>
      <w:r w:rsidR="005B1B0A" w:rsidRPr="00273106">
        <w:t>receptivní</w:t>
      </w:r>
      <w:r w:rsidR="00E90053" w:rsidRPr="00273106">
        <w:t xml:space="preserve"> a pouze v potenci</w:t>
      </w:r>
      <w:r w:rsidR="005B1B0A" w:rsidRPr="00273106">
        <w:t xml:space="preserve">. Aktem </w:t>
      </w:r>
      <w:r w:rsidR="00313C2B">
        <w:t xml:space="preserve">intencionální </w:t>
      </w:r>
      <w:r w:rsidR="005B1B0A" w:rsidRPr="00273106">
        <w:t>recepce smy</w:t>
      </w:r>
      <w:r w:rsidR="007A4C22" w:rsidRPr="00273106">
        <w:t>s</w:t>
      </w:r>
      <w:r w:rsidR="005B1B0A" w:rsidRPr="00273106">
        <w:t xml:space="preserve">lových </w:t>
      </w:r>
      <w:r w:rsidR="006A04C6" w:rsidRPr="006A04C6">
        <w:t>species</w:t>
      </w:r>
      <w:r w:rsidR="005B1B0A" w:rsidRPr="00273106">
        <w:t xml:space="preserve"> </w:t>
      </w:r>
      <w:r w:rsidR="002C61FE" w:rsidRPr="00273106">
        <w:t xml:space="preserve">vzniká v procesu </w:t>
      </w:r>
      <w:r w:rsidR="00052F05">
        <w:t xml:space="preserve">intencionality </w:t>
      </w:r>
      <w:r w:rsidR="002C61FE" w:rsidRPr="00273106">
        <w:t>nový dru</w:t>
      </w:r>
      <w:r w:rsidR="00254BC2" w:rsidRPr="00273106">
        <w:t xml:space="preserve">h </w:t>
      </w:r>
      <w:r w:rsidR="006A04C6" w:rsidRPr="006A04C6">
        <w:t>species</w:t>
      </w:r>
      <w:r w:rsidR="00254BC2" w:rsidRPr="00273106">
        <w:t>, nyní již čistě intel</w:t>
      </w:r>
      <w:r w:rsidR="002C61FE" w:rsidRPr="00273106">
        <w:t>igibilní.</w:t>
      </w:r>
      <w:r w:rsidR="00C03B5B" w:rsidRPr="00273106">
        <w:t xml:space="preserve"> </w:t>
      </w:r>
      <w:r w:rsidR="00A912E2">
        <w:t>I</w:t>
      </w:r>
      <w:r w:rsidR="00A912E2" w:rsidRPr="00273106">
        <w:t xml:space="preserve">ntence </w:t>
      </w:r>
      <w:r w:rsidR="00A05331">
        <w:t xml:space="preserve">kognitivní </w:t>
      </w:r>
      <w:r w:rsidR="08AA29DB">
        <w:t xml:space="preserve">formy v </w:t>
      </w:r>
      <w:r w:rsidR="08AA29DB" w:rsidRPr="08AA29DB">
        <w:rPr>
          <w:i/>
        </w:rPr>
        <w:t>intellectus possib</w:t>
      </w:r>
      <w:r w:rsidR="08AA29DB">
        <w:rPr>
          <w:i/>
        </w:rPr>
        <w:t>i</w:t>
      </w:r>
      <w:r w:rsidR="08AA29DB" w:rsidRPr="08AA29DB">
        <w:rPr>
          <w:i/>
        </w:rPr>
        <w:t>lis</w:t>
      </w:r>
      <w:r w:rsidR="08AA29DB">
        <w:t xml:space="preserve"> </w:t>
      </w:r>
      <w:r w:rsidR="00A912E2">
        <w:t xml:space="preserve">a </w:t>
      </w:r>
      <w:r w:rsidR="08AA29DB">
        <w:t xml:space="preserve">syntetická </w:t>
      </w:r>
      <w:r w:rsidR="00A912E2">
        <w:t>a</w:t>
      </w:r>
      <w:r w:rsidR="00955FB7" w:rsidRPr="00273106">
        <w:t xml:space="preserve">bstrakce </w:t>
      </w:r>
      <w:r w:rsidR="08AA29DB">
        <w:t xml:space="preserve">této formy v </w:t>
      </w:r>
      <w:r w:rsidR="08AA29DB" w:rsidRPr="08AA29DB">
        <w:rPr>
          <w:i/>
        </w:rPr>
        <w:t>intellectus formalis</w:t>
      </w:r>
      <w:r w:rsidR="08AA29DB">
        <w:t xml:space="preserve"> </w:t>
      </w:r>
      <w:r w:rsidR="00955FB7" w:rsidRPr="00273106">
        <w:t xml:space="preserve">je dána </w:t>
      </w:r>
      <w:r w:rsidR="08F149B0">
        <w:t xml:space="preserve">nejprve </w:t>
      </w:r>
      <w:r w:rsidR="00653C32" w:rsidRPr="00273106">
        <w:t xml:space="preserve">působením </w:t>
      </w:r>
      <w:r w:rsidR="08F149B0">
        <w:t xml:space="preserve">reálné </w:t>
      </w:r>
      <w:r w:rsidR="00AD3799" w:rsidRPr="00273106">
        <w:t xml:space="preserve">věci na smysly a </w:t>
      </w:r>
      <w:r w:rsidR="08F149B0">
        <w:t xml:space="preserve">pak </w:t>
      </w:r>
      <w:r w:rsidR="009D2681" w:rsidRPr="00273106">
        <w:t xml:space="preserve">i </w:t>
      </w:r>
      <w:r w:rsidR="00AD3799" w:rsidRPr="00273106">
        <w:t xml:space="preserve">na </w:t>
      </w:r>
      <w:r w:rsidR="00653C32" w:rsidRPr="00273106">
        <w:t>individualiz</w:t>
      </w:r>
      <w:r w:rsidR="00AD3799" w:rsidRPr="00273106">
        <w:t>ovaný</w:t>
      </w:r>
      <w:r w:rsidR="002875F6">
        <w:t xml:space="preserve"> intelekt v rámci </w:t>
      </w:r>
      <w:r w:rsidR="00653C32" w:rsidRPr="00273106">
        <w:t>pasivně-aktivní</w:t>
      </w:r>
      <w:r w:rsidR="002875F6">
        <w:t xml:space="preserve"> schopnosti lidské duše</w:t>
      </w:r>
      <w:r w:rsidR="002C61FE" w:rsidRPr="00273106">
        <w:t>.</w:t>
      </w:r>
      <w:r w:rsidR="00955FB7" w:rsidRPr="00273106">
        <w:t xml:space="preserve"> </w:t>
      </w:r>
      <w:r w:rsidR="00A912E2">
        <w:t xml:space="preserve">Intencionalita recipuje z </w:t>
      </w:r>
      <w:r w:rsidR="008119A2">
        <w:t xml:space="preserve">reálné </w:t>
      </w:r>
      <w:r w:rsidR="00A912E2">
        <w:t xml:space="preserve">věci </w:t>
      </w:r>
      <w:r w:rsidR="008E2C22">
        <w:t xml:space="preserve">nejprve </w:t>
      </w:r>
      <w:r w:rsidR="00A912E2">
        <w:t>smyslo</w:t>
      </w:r>
      <w:r w:rsidR="008E2C22">
        <w:t xml:space="preserve">vě </w:t>
      </w:r>
      <w:r w:rsidR="00A912E2">
        <w:t>poznanou formu</w:t>
      </w:r>
      <w:r w:rsidR="000A3219" w:rsidRPr="00273106">
        <w:t xml:space="preserve"> a </w:t>
      </w:r>
      <w:r w:rsidR="008E2C22">
        <w:t xml:space="preserve">pak </w:t>
      </w:r>
      <w:r w:rsidR="00A912E2">
        <w:t>univerzální poznanou formu</w:t>
      </w:r>
      <w:r w:rsidR="000A3219" w:rsidRPr="00273106">
        <w:t xml:space="preserve">. Odlišný status </w:t>
      </w:r>
      <w:r w:rsidR="00AF781F">
        <w:t xml:space="preserve">lidské a animální </w:t>
      </w:r>
      <w:r w:rsidR="000A3219" w:rsidRPr="00273106">
        <w:t>poznané formy je dán</w:t>
      </w:r>
      <w:r w:rsidR="00A75A49" w:rsidRPr="00273106">
        <w:t xml:space="preserve"> tím, zda ji syntetizuje </w:t>
      </w:r>
      <w:r w:rsidR="000A3219" w:rsidRPr="00273106">
        <w:rPr>
          <w:i/>
        </w:rPr>
        <w:t>potentia media</w:t>
      </w:r>
      <w:r w:rsidR="000A3219" w:rsidRPr="00273106">
        <w:t xml:space="preserve"> </w:t>
      </w:r>
      <w:r w:rsidR="00A75A49" w:rsidRPr="00273106">
        <w:t>zvířete nebo člověka</w:t>
      </w:r>
      <w:r w:rsidR="000A3219" w:rsidRPr="00273106">
        <w:t xml:space="preserve">. </w:t>
      </w:r>
      <w:r w:rsidR="00955FB7" w:rsidRPr="00273106">
        <w:t xml:space="preserve">Tím vzniká pojetí pravdy jako </w:t>
      </w:r>
      <w:r w:rsidR="00955FB7" w:rsidRPr="00273106">
        <w:rPr>
          <w:i/>
        </w:rPr>
        <w:t>similitudo</w:t>
      </w:r>
      <w:r w:rsidR="005111F1" w:rsidRPr="00273106">
        <w:t xml:space="preserve"> intelektu a </w:t>
      </w:r>
      <w:r w:rsidR="00955FB7" w:rsidRPr="00273106">
        <w:t>věci</w:t>
      </w:r>
      <w:r w:rsidR="008E7514">
        <w:t xml:space="preserve"> na animální, nebo lidské úrovni</w:t>
      </w:r>
      <w:r w:rsidR="009D2681" w:rsidRPr="00273106">
        <w:t>.</w:t>
      </w:r>
      <w:r w:rsidR="002C61FE" w:rsidRPr="00273106">
        <w:t xml:space="preserve"> </w:t>
      </w:r>
      <w:r w:rsidR="006030E0">
        <w:t>První av</w:t>
      </w:r>
      <w:r w:rsidR="08F70A79">
        <w:t xml:space="preserve">erroismus vytvořil </w:t>
      </w:r>
      <w:r w:rsidR="08BA4548">
        <w:t xml:space="preserve">po falsafě </w:t>
      </w:r>
      <w:r w:rsidR="08532A85">
        <w:t xml:space="preserve">další </w:t>
      </w:r>
      <w:r w:rsidR="08F70A79">
        <w:t>model společně poznávaného světa</w:t>
      </w:r>
      <w:r w:rsidR="006030E0">
        <w:t xml:space="preserve"> pro všechny </w:t>
      </w:r>
      <w:r w:rsidR="00AA1637">
        <w:t>živé bytosti,</w:t>
      </w:r>
      <w:r w:rsidR="006030E0">
        <w:t xml:space="preserve"> které mají schopnost poznávat</w:t>
      </w:r>
      <w:r w:rsidR="001D13C9">
        <w:t xml:space="preserve"> skrze vlastní intencionalitu</w:t>
      </w:r>
      <w:r w:rsidR="00E02326">
        <w:t>. Z</w:t>
      </w:r>
      <w:r w:rsidR="006030E0">
        <w:t>ároveň jasně odděli</w:t>
      </w:r>
      <w:r w:rsidR="0025608B">
        <w:t>l</w:t>
      </w:r>
      <w:r w:rsidR="006030E0">
        <w:t xml:space="preserve"> nemateriální lidskou schopnost </w:t>
      </w:r>
      <w:r w:rsidR="00E02326">
        <w:t xml:space="preserve">poznání </w:t>
      </w:r>
      <w:r w:rsidR="006030E0">
        <w:t xml:space="preserve">od animální říše. </w:t>
      </w:r>
      <w:r w:rsidR="00782DAB">
        <w:t xml:space="preserve">Anonym </w:t>
      </w:r>
      <w:r w:rsidR="00E608B8" w:rsidRPr="00273106">
        <w:t>ukazuj</w:t>
      </w:r>
      <w:r w:rsidR="00782DAB">
        <w:t>e</w:t>
      </w:r>
      <w:r w:rsidR="00E608B8" w:rsidRPr="00273106">
        <w:t xml:space="preserve"> přemě</w:t>
      </w:r>
      <w:r w:rsidR="00FB1752">
        <w:t xml:space="preserve">nu Blundova termínu </w:t>
      </w:r>
      <w:r w:rsidR="00FB1DBB">
        <w:t>„</w:t>
      </w:r>
      <w:r w:rsidR="00E608B8" w:rsidRPr="00273106">
        <w:rPr>
          <w:i/>
        </w:rPr>
        <w:t>intellectus in potentia</w:t>
      </w:r>
      <w:r w:rsidR="00FB1DBB">
        <w:t>“</w:t>
      </w:r>
      <w:r w:rsidR="00F95918" w:rsidRPr="00F95918">
        <w:rPr>
          <w:i/>
        </w:rPr>
        <w:t xml:space="preserve"> </w:t>
      </w:r>
      <w:r w:rsidR="00F95918">
        <w:rPr>
          <w:i/>
        </w:rPr>
        <w:fldChar w:fldCharType="begin"/>
      </w:r>
      <w:r w:rsidR="00F95918">
        <w:instrText xml:space="preserve"> XE "</w:instrText>
      </w:r>
      <w:r w:rsidR="00F95918" w:rsidRPr="00770D02">
        <w:rPr>
          <w:i/>
        </w:rPr>
        <w:instrText xml:space="preserve">intellectus </w:instrText>
      </w:r>
      <w:r w:rsidR="00F95918">
        <w:rPr>
          <w:i/>
        </w:rPr>
        <w:instrText xml:space="preserve">in </w:instrText>
      </w:r>
      <w:r w:rsidR="00F95918" w:rsidRPr="00770D02">
        <w:rPr>
          <w:i/>
        </w:rPr>
        <w:instrText>po</w:instrText>
      </w:r>
      <w:r w:rsidR="00F95918">
        <w:rPr>
          <w:i/>
        </w:rPr>
        <w:instrText>tentia</w:instrText>
      </w:r>
      <w:r w:rsidR="00F95918" w:rsidRPr="00F95918">
        <w:instrText>:Blund</w:instrText>
      </w:r>
      <w:r w:rsidR="00F95918">
        <w:instrText xml:space="preserve">" </w:instrText>
      </w:r>
      <w:r w:rsidR="00F95918">
        <w:rPr>
          <w:i/>
        </w:rPr>
        <w:fldChar w:fldCharType="end"/>
      </w:r>
      <w:r w:rsidR="00FB1752">
        <w:t xml:space="preserve">na termín </w:t>
      </w:r>
      <w:r w:rsidR="00FB1DBB">
        <w:t>„</w:t>
      </w:r>
      <w:r w:rsidR="00E608B8" w:rsidRPr="00273106">
        <w:rPr>
          <w:i/>
        </w:rPr>
        <w:t>intellectus possibilis</w:t>
      </w:r>
      <w:r w:rsidR="00FB1DBB">
        <w:t>“</w:t>
      </w:r>
      <w:r w:rsidR="00EE0750">
        <w:t xml:space="preserve"> daný v CMDA.</w:t>
      </w:r>
    </w:p>
    <w:p w14:paraId="35E4BA85" w14:textId="4E48603F" w:rsidR="002C61FE" w:rsidRPr="006706E9" w:rsidRDefault="00FD1E79" w:rsidP="00EE0750">
      <w:pPr>
        <w:ind w:firstLine="397"/>
        <w:rPr>
          <w:i/>
        </w:rPr>
      </w:pPr>
      <w:r>
        <w:t xml:space="preserve">Hermeneutika tím našla důležitou stopu první recepce CMDA v Blundově aristotelské škole ustavené četbou </w:t>
      </w:r>
      <w:r w:rsidRPr="00FD1E79">
        <w:rPr>
          <w:i/>
        </w:rPr>
        <w:t>De anima</w:t>
      </w:r>
      <w:r w:rsidR="088727DB">
        <w:t xml:space="preserve"> a jejího komentáře od Al-</w:t>
      </w:r>
      <w:r w:rsidR="008E02F5">
        <w:t>Fárábí</w:t>
      </w:r>
      <w:r>
        <w:t xml:space="preserve">ho. </w:t>
      </w:r>
      <w:r w:rsidR="002F1B84">
        <w:t xml:space="preserve">Tato četba předchází </w:t>
      </w:r>
      <w:r w:rsidR="002F1B84">
        <w:lastRenderedPageBreak/>
        <w:t xml:space="preserve">příchod Sicilské školy, ale již se zásadním způsobem liší od recepce Averroese v Toledské škole. </w:t>
      </w:r>
      <w:r w:rsidR="087A5EFB">
        <w:t>T</w:t>
      </w:r>
      <w:r w:rsidR="00782DAB">
        <w:t xml:space="preserve">raktát </w:t>
      </w:r>
      <w:r w:rsidR="00E608B8" w:rsidRPr="00273106">
        <w:t xml:space="preserve">postupuje v kritice logických modernistů a avicennistů stejně jako Blund a uplatňuje závěry </w:t>
      </w:r>
      <w:r w:rsidR="00782DAB">
        <w:t xml:space="preserve">jeho </w:t>
      </w:r>
      <w:r w:rsidR="00E608B8" w:rsidRPr="00273106">
        <w:t>spisu na novou situaci vzniklou recepcí</w:t>
      </w:r>
      <w:r w:rsidR="001774D7">
        <w:t xml:space="preserve"> </w:t>
      </w:r>
      <w:r w:rsidR="002E3B62">
        <w:t>Averroes</w:t>
      </w:r>
      <w:r w:rsidR="001774D7">
        <w:t>e</w:t>
      </w:r>
      <w:r w:rsidR="00E608B8" w:rsidRPr="00273106">
        <w:t xml:space="preserve">. </w:t>
      </w:r>
      <w:r w:rsidR="087845ED">
        <w:t xml:space="preserve">Grossetesteho spis </w:t>
      </w:r>
      <w:r w:rsidR="087845ED" w:rsidRPr="00541E73">
        <w:rPr>
          <w:i/>
        </w:rPr>
        <w:t>De anima</w:t>
      </w:r>
      <w:r w:rsidR="087845ED">
        <w:t xml:space="preserve"> sleduje stejnou argumentační linii proti neoplatonské Toledské škole, jak bylo ukázáno výše. </w:t>
      </w:r>
      <w:r w:rsidR="087A5EFB">
        <w:t xml:space="preserve">Jistěže </w:t>
      </w:r>
      <w:r>
        <w:t xml:space="preserve">může být </w:t>
      </w:r>
      <w:r w:rsidR="00ED26E0">
        <w:t xml:space="preserve">autorem tohoto spisu </w:t>
      </w:r>
      <w:r w:rsidR="08360659">
        <w:t xml:space="preserve">i </w:t>
      </w:r>
      <w:r>
        <w:t>Blund</w:t>
      </w:r>
      <w:r w:rsidR="00ED26E0">
        <w:t>,</w:t>
      </w:r>
      <w:r>
        <w:t xml:space="preserve"> </w:t>
      </w:r>
      <w:r w:rsidR="087A5EFB">
        <w:t>ale návaznost na spisy Grossetesteho je nepopiratelná, zejména otázce odmítnutí univerzálního hyleformismu a plura</w:t>
      </w:r>
      <w:r w:rsidR="088727DB">
        <w:t>lity substancí v člověku (kap. 3</w:t>
      </w:r>
      <w:r w:rsidR="087A5EFB">
        <w:t xml:space="preserve">.2). </w:t>
      </w:r>
      <w:r w:rsidR="00CB7561">
        <w:t>A</w:t>
      </w:r>
      <w:r w:rsidR="007C4B43">
        <w:t xml:space="preserve">le zcela určitě </w:t>
      </w:r>
      <w:r w:rsidR="00ED0E3A">
        <w:t xml:space="preserve">tento spis </w:t>
      </w:r>
      <w:r w:rsidR="007C4B43">
        <w:t xml:space="preserve">pochází z Blundovy </w:t>
      </w:r>
      <w:r w:rsidR="00CB7561">
        <w:t xml:space="preserve">aristotelské </w:t>
      </w:r>
      <w:r w:rsidR="007C4B43">
        <w:t>školy</w:t>
      </w:r>
      <w:r w:rsidR="001774D7">
        <w:t>, která kolem 1220‒25 brilantně recipovala spis CMDA</w:t>
      </w:r>
      <w:r w:rsidR="00D033F6">
        <w:t xml:space="preserve"> v tom, čím se liší od Avicenny</w:t>
      </w:r>
      <w:r w:rsidR="00E608B8" w:rsidRPr="00273106">
        <w:t>.</w:t>
      </w:r>
      <w:r w:rsidR="0094023E">
        <w:t xml:space="preserve"> </w:t>
      </w:r>
      <w:r w:rsidR="00276C6B" w:rsidRPr="00273106">
        <w:t>Rozchod s Avicennou indikuje známá část traktátu</w:t>
      </w:r>
      <w:r w:rsidR="00141EE6" w:rsidRPr="00273106">
        <w:t xml:space="preserve">, </w:t>
      </w:r>
      <w:r w:rsidR="00254BC2" w:rsidRPr="00273106">
        <w:t xml:space="preserve">která označuje </w:t>
      </w:r>
      <w:r w:rsidR="00141EE6" w:rsidRPr="00273106">
        <w:t xml:space="preserve">jeho </w:t>
      </w:r>
      <w:r w:rsidR="00254BC2" w:rsidRPr="00273106">
        <w:t xml:space="preserve">schéma poznání </w:t>
      </w:r>
      <w:r w:rsidR="08C06F2B">
        <w:t xml:space="preserve">a tím i definici duše </w:t>
      </w:r>
      <w:r w:rsidR="00254BC2" w:rsidRPr="00273106">
        <w:t>za</w:t>
      </w:r>
      <w:r w:rsidR="00BF2DEC" w:rsidRPr="00273106">
        <w:t xml:space="preserve"> zásadně mylné. </w:t>
      </w:r>
      <w:r w:rsidR="08EA511A">
        <w:t>Začněme nejprve první částí argumentace proti Avicennovi a Toledské škole</w:t>
      </w:r>
      <w:r w:rsidR="08F173DB">
        <w:fldChar w:fldCharType="begin"/>
      </w:r>
      <w:r w:rsidR="08F173DB">
        <w:instrText xml:space="preserve"> XE "</w:instrText>
      </w:r>
      <w:r w:rsidR="08F173DB" w:rsidRPr="08925EFB">
        <w:instrText>Toledská škola</w:instrText>
      </w:r>
      <w:r w:rsidR="08F173DB">
        <w:instrText xml:space="preserve">" </w:instrText>
      </w:r>
      <w:r w:rsidR="08F173DB">
        <w:fldChar w:fldCharType="end"/>
      </w:r>
      <w:r w:rsidR="08EA511A">
        <w:t>. O</w:t>
      </w:r>
      <w:r w:rsidR="00CC7C75" w:rsidRPr="00273106">
        <w:t xml:space="preserve">brana </w:t>
      </w:r>
      <w:r w:rsidR="00BF2DEC" w:rsidRPr="00273106">
        <w:t>poznání dané</w:t>
      </w:r>
      <w:r w:rsidR="00CC7C75" w:rsidRPr="00273106">
        <w:t>ho</w:t>
      </w:r>
      <w:r w:rsidR="00BF2DEC" w:rsidRPr="00273106">
        <w:t xml:space="preserve"> na základě </w:t>
      </w:r>
      <w:r w:rsidR="088A2FF8">
        <w:t xml:space="preserve">Blundova a </w:t>
      </w:r>
      <w:r w:rsidR="002E3B62">
        <w:t>Averroes</w:t>
      </w:r>
      <w:r w:rsidR="00BF2DEC" w:rsidRPr="00273106">
        <w:t xml:space="preserve">ova </w:t>
      </w:r>
      <w:r w:rsidR="088A2FF8">
        <w:t xml:space="preserve">pojetí </w:t>
      </w:r>
      <w:r w:rsidR="00BF2DEC" w:rsidRPr="00273106">
        <w:t>diafanum</w:t>
      </w:r>
      <w:r w:rsidR="08EA511A">
        <w:t xml:space="preserve"> jasně </w:t>
      </w:r>
      <w:r w:rsidR="00DF5CA4">
        <w:t>roz</w:t>
      </w:r>
      <w:r w:rsidR="00EB1B15" w:rsidRPr="00273106">
        <w:t>lišil</w:t>
      </w:r>
      <w:r w:rsidR="08EA511A">
        <w:t>a</w:t>
      </w:r>
      <w:r w:rsidR="00EB1B15" w:rsidRPr="00273106">
        <w:t xml:space="preserve"> proces </w:t>
      </w:r>
      <w:r w:rsidR="08B73F9C">
        <w:t xml:space="preserve">receptivní </w:t>
      </w:r>
      <w:r w:rsidR="00075964">
        <w:t xml:space="preserve">mediace </w:t>
      </w:r>
      <w:r w:rsidR="00DF5CA4">
        <w:t xml:space="preserve">a </w:t>
      </w:r>
      <w:r w:rsidR="08B73F9C">
        <w:t xml:space="preserve">aktivní </w:t>
      </w:r>
      <w:r w:rsidR="00DF5CA4">
        <w:t>abstrakce</w:t>
      </w:r>
      <w:r w:rsidR="00BF2DEC" w:rsidRPr="00273106">
        <w:t>.</w:t>
      </w:r>
      <w:r w:rsidR="00C14F55">
        <w:t xml:space="preserve"> </w:t>
      </w:r>
      <w:r w:rsidR="000306C0" w:rsidRPr="00273106">
        <w:t xml:space="preserve">Napojení možného intelektu na </w:t>
      </w:r>
      <w:r w:rsidR="000306C0" w:rsidRPr="00273106">
        <w:rPr>
          <w:i/>
        </w:rPr>
        <w:t>intellectus agens</w:t>
      </w:r>
      <w:r w:rsidR="000306C0" w:rsidRPr="00273106">
        <w:t xml:space="preserve"> sleduje rozdíl mezi receptivní a aktivní složkou intelektu jako to měl</w:t>
      </w:r>
      <w:r w:rsidR="000306C0">
        <w:t>a</w:t>
      </w:r>
      <w:r w:rsidR="000306C0" w:rsidRPr="00E82205">
        <w:rPr>
          <w:i/>
        </w:rPr>
        <w:t xml:space="preserve"> </w:t>
      </w:r>
      <w:r w:rsidR="000306C0" w:rsidRPr="00273106">
        <w:rPr>
          <w:i/>
        </w:rPr>
        <w:t xml:space="preserve">De </w:t>
      </w:r>
      <w:r w:rsidR="000306C0">
        <w:rPr>
          <w:i/>
        </w:rPr>
        <w:t>a</w:t>
      </w:r>
      <w:r w:rsidR="000306C0" w:rsidRPr="00273106">
        <w:rPr>
          <w:i/>
        </w:rPr>
        <w:t>nima</w:t>
      </w:r>
      <w:r w:rsidR="006706E9">
        <w:t xml:space="preserve"> 430a21‒23</w:t>
      </w:r>
      <w:r w:rsidR="083D3A75">
        <w:fldChar w:fldCharType="begin"/>
      </w:r>
      <w:r w:rsidR="083D3A75">
        <w:instrText xml:space="preserve"> XE "Aristoteles:</w:instrText>
      </w:r>
      <w:r w:rsidR="083D3A75" w:rsidRPr="00ED59A1">
        <w:rPr>
          <w:i/>
        </w:rPr>
        <w:instrText>De anima</w:instrText>
      </w:r>
      <w:r w:rsidR="083D3A75" w:rsidRPr="00ED59A1">
        <w:instrText xml:space="preserve"> 430a21‒23</w:instrText>
      </w:r>
      <w:r w:rsidR="083D3A75">
        <w:instrText xml:space="preserve">" </w:instrText>
      </w:r>
      <w:r w:rsidR="083D3A75">
        <w:fldChar w:fldCharType="end"/>
      </w:r>
      <w:r w:rsidR="083D3A75">
        <w:t xml:space="preserve"> a</w:t>
      </w:r>
      <w:r w:rsidR="000306C0">
        <w:t xml:space="preserve"> po ní CMDA a </w:t>
      </w:r>
      <w:r w:rsidR="000306C0" w:rsidRPr="00273106">
        <w:t xml:space="preserve">Blund. </w:t>
      </w:r>
      <w:r w:rsidR="08C33870">
        <w:t>Výsledný proces celé syntézy zajišťuje nově definovaný činný intelekt</w:t>
      </w:r>
      <w:r w:rsidR="00C14F55">
        <w:t xml:space="preserve"> (</w:t>
      </w:r>
      <w:r w:rsidR="00C14F55" w:rsidRPr="00C14F55">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6706E9">
        <w:instrText>:</w:instrText>
      </w:r>
      <w:r w:rsidR="006706E9" w:rsidRPr="006706E9">
        <w:instrText>první averroismus</w:instrText>
      </w:r>
      <w:r w:rsidR="00DF1F0F">
        <w:instrText xml:space="preserve">" </w:instrText>
      </w:r>
      <w:r w:rsidR="00DF1F0F">
        <w:rPr>
          <w:i/>
        </w:rPr>
        <w:fldChar w:fldCharType="end"/>
      </w:r>
      <w:r w:rsidR="00C14F55">
        <w:t>)</w:t>
      </w:r>
      <w:r w:rsidR="08DA3378">
        <w:t xml:space="preserve"> již daný čistě </w:t>
      </w:r>
      <w:r w:rsidR="00CB3005">
        <w:t>personálně</w:t>
      </w:r>
      <w:r w:rsidR="00C14F55">
        <w:t>.</w:t>
      </w:r>
    </w:p>
    <w:p w14:paraId="22D4519E" w14:textId="3003A1C7" w:rsidR="00171F27" w:rsidRPr="00273106" w:rsidRDefault="00787516" w:rsidP="00680676">
      <w:pPr>
        <w:pStyle w:val="Citace"/>
        <w:rPr>
          <w:noProof/>
          <w:lang w:val="cs-CZ"/>
        </w:rPr>
      </w:pPr>
      <w:r w:rsidRPr="00273106">
        <w:rPr>
          <w:noProof/>
          <w:lang w:val="cs-CZ"/>
        </w:rPr>
        <w:t>„</w:t>
      </w:r>
      <w:r w:rsidR="00680676" w:rsidRPr="00273106">
        <w:rPr>
          <w:noProof/>
          <w:lang w:val="cs-CZ"/>
        </w:rPr>
        <w:t>Činný intelekt lze srovnat s možným intelektem</w:t>
      </w:r>
      <w:r w:rsidR="00DE4AB5" w:rsidRPr="00273106">
        <w:rPr>
          <w:noProof/>
          <w:lang w:val="cs-CZ"/>
        </w:rPr>
        <w:t>,</w:t>
      </w:r>
      <w:r w:rsidR="00680676" w:rsidRPr="00273106">
        <w:rPr>
          <w:noProof/>
          <w:lang w:val="cs-CZ"/>
        </w:rPr>
        <w:t xml:space="preserve"> jako lze porovnat světlo s vidění</w:t>
      </w:r>
      <w:r w:rsidR="08FB075A">
        <w:rPr>
          <w:noProof/>
          <w:lang w:val="cs-CZ"/>
        </w:rPr>
        <w:t>m</w:t>
      </w:r>
      <w:r w:rsidR="00680676" w:rsidRPr="00273106">
        <w:rPr>
          <w:noProof/>
          <w:lang w:val="cs-CZ"/>
        </w:rPr>
        <w:t xml:space="preserve">. Světelný paprsek vede k tomu, že oko přijme </w:t>
      </w:r>
      <w:r w:rsidR="006A04C6" w:rsidRPr="006A04C6">
        <w:rPr>
          <w:noProof/>
          <w:lang w:val="cs-CZ"/>
        </w:rPr>
        <w:t>species</w:t>
      </w:r>
      <w:r w:rsidR="00680676" w:rsidRPr="00273106">
        <w:rPr>
          <w:noProof/>
          <w:lang w:val="cs-CZ"/>
        </w:rPr>
        <w:t xml:space="preserve"> barvy z ozářeného barevného předmětu. Podobně činný intelekt abstrahuje </w:t>
      </w:r>
      <w:r w:rsidR="00B1298A" w:rsidRPr="003D1D02">
        <w:rPr>
          <w:noProof/>
          <w:lang w:val="cs-CZ"/>
        </w:rPr>
        <w:t>species</w:t>
      </w:r>
      <w:r w:rsidR="00680676" w:rsidRPr="00273106">
        <w:rPr>
          <w:noProof/>
          <w:lang w:val="cs-CZ"/>
        </w:rPr>
        <w:t xml:space="preserve"> ze smyslových představ, které mu připravil materiální intelekt</w:t>
      </w:r>
      <w:r w:rsidR="00617E7E">
        <w:rPr>
          <w:noProof/>
          <w:lang w:val="cs-CZ"/>
        </w:rPr>
        <w:t xml:space="preserve"> (</w:t>
      </w:r>
      <w:r w:rsidR="00617E7E" w:rsidRPr="00617E7E">
        <w:rPr>
          <w:i/>
        </w:rPr>
        <w:t xml:space="preserve">intellectus agens abstrahit </w:t>
      </w:r>
      <w:r w:rsidR="004B4D52" w:rsidRPr="004B4D52">
        <w:t>species</w:t>
      </w:r>
      <w:r w:rsidR="00617E7E">
        <w:rPr>
          <w:i/>
        </w:rPr>
        <w:t xml:space="preserve"> a fantasmatibus, quas prepara</w:t>
      </w:r>
      <w:r w:rsidR="007B5148">
        <w:rPr>
          <w:i/>
          <w:lang w:val="cs-CZ"/>
        </w:rPr>
        <w:t>v</w:t>
      </w:r>
      <w:r w:rsidR="00617E7E" w:rsidRPr="00617E7E">
        <w:rPr>
          <w:i/>
        </w:rPr>
        <w:t>it ei intellectus materialis</w:t>
      </w:r>
      <w:r w:rsidR="00617E7E">
        <w:rPr>
          <w:noProof/>
          <w:lang w:val="cs-CZ"/>
        </w:rPr>
        <w:t>)</w:t>
      </w:r>
      <w:r w:rsidR="087F57D5">
        <w:rPr>
          <w:noProof/>
          <w:lang w:val="cs-CZ"/>
        </w:rPr>
        <w:t>. Č</w:t>
      </w:r>
      <w:r w:rsidR="087F57D5" w:rsidRPr="00273106">
        <w:rPr>
          <w:noProof/>
          <w:lang w:val="cs-CZ"/>
        </w:rPr>
        <w:t>inný intelekt</w:t>
      </w:r>
      <w:r w:rsidR="087F57D5">
        <w:rPr>
          <w:noProof/>
          <w:lang w:val="cs-CZ"/>
        </w:rPr>
        <w:t xml:space="preserve"> </w:t>
      </w:r>
      <w:r w:rsidR="003D1D02">
        <w:rPr>
          <w:noProof/>
          <w:lang w:val="cs-CZ"/>
        </w:rPr>
        <w:t xml:space="preserve">finalizuje </w:t>
      </w:r>
      <w:r w:rsidR="08830428" w:rsidRPr="00273106">
        <w:rPr>
          <w:noProof/>
          <w:lang w:val="cs-CZ"/>
        </w:rPr>
        <w:t xml:space="preserve"> </w:t>
      </w:r>
      <w:r w:rsidR="00B1298A" w:rsidRPr="003D1D02">
        <w:rPr>
          <w:noProof/>
          <w:lang w:val="cs-CZ"/>
        </w:rPr>
        <w:t>species</w:t>
      </w:r>
      <w:r w:rsidR="00680676" w:rsidRPr="00273106">
        <w:rPr>
          <w:noProof/>
          <w:lang w:val="cs-CZ"/>
        </w:rPr>
        <w:t xml:space="preserve"> tak, </w:t>
      </w:r>
      <w:r w:rsidR="003D1D02">
        <w:rPr>
          <w:noProof/>
          <w:lang w:val="cs-CZ"/>
        </w:rPr>
        <w:t xml:space="preserve">jak je </w:t>
      </w:r>
      <w:r w:rsidR="00680676" w:rsidRPr="00273106">
        <w:rPr>
          <w:noProof/>
          <w:lang w:val="cs-CZ"/>
        </w:rPr>
        <w:t>přij</w:t>
      </w:r>
      <w:r w:rsidR="003D1D02">
        <w:rPr>
          <w:noProof/>
          <w:lang w:val="cs-CZ"/>
        </w:rPr>
        <w:t xml:space="preserve">ímá </w:t>
      </w:r>
      <w:r w:rsidR="00680676" w:rsidRPr="00273106">
        <w:rPr>
          <w:noProof/>
          <w:lang w:val="cs-CZ"/>
        </w:rPr>
        <w:t>možný intelekt</w:t>
      </w:r>
      <w:r w:rsidR="08FB0035">
        <w:rPr>
          <w:noProof/>
          <w:lang w:val="cs-CZ"/>
        </w:rPr>
        <w:t xml:space="preserve"> (</w:t>
      </w:r>
      <w:r w:rsidR="08FB0035" w:rsidRPr="08FB0035">
        <w:rPr>
          <w:i/>
        </w:rPr>
        <w:t>facit eas quodam modo resultare in intellectu possibili</w:t>
      </w:r>
      <w:r w:rsidR="08FB0035">
        <w:rPr>
          <w:noProof/>
          <w:lang w:val="cs-CZ"/>
        </w:rPr>
        <w:t>)</w:t>
      </w:r>
      <w:r w:rsidR="00680676" w:rsidRPr="00273106">
        <w:rPr>
          <w:noProof/>
          <w:lang w:val="cs-CZ"/>
        </w:rPr>
        <w:t>. Proto existují dva akty činného intelektu</w:t>
      </w:r>
      <w:r w:rsidR="00C14F55">
        <w:rPr>
          <w:noProof/>
          <w:lang w:val="cs-CZ"/>
        </w:rPr>
        <w:t xml:space="preserve"> (</w:t>
      </w:r>
      <w:r w:rsidR="00C14F55" w:rsidRPr="00C14F55">
        <w:rPr>
          <w:i/>
        </w:rPr>
        <w:t>duo sunt actus intellectus agentis</w:t>
      </w:r>
      <w:r w:rsidR="00C14F55">
        <w:rPr>
          <w:noProof/>
          <w:lang w:val="cs-CZ"/>
        </w:rPr>
        <w:t>). P</w:t>
      </w:r>
      <w:r w:rsidR="08D750BF">
        <w:rPr>
          <w:noProof/>
          <w:lang w:val="cs-CZ"/>
        </w:rPr>
        <w:t xml:space="preserve">rvní akt abstrahuje </w:t>
      </w:r>
      <w:r w:rsidR="006A04C6" w:rsidRPr="006A04C6">
        <w:rPr>
          <w:noProof/>
          <w:lang w:val="cs-CZ"/>
        </w:rPr>
        <w:t>species</w:t>
      </w:r>
      <w:r w:rsidR="00680676" w:rsidRPr="00273106">
        <w:rPr>
          <w:noProof/>
          <w:lang w:val="cs-CZ"/>
        </w:rPr>
        <w:t xml:space="preserve"> z fantasmat; druhý akt je dává do možného intelektu.“ </w:t>
      </w:r>
      <w:r w:rsidR="00171F27" w:rsidRPr="00273106">
        <w:rPr>
          <w:rStyle w:val="Znakapoznpodarou"/>
          <w:noProof/>
          <w:lang w:val="cs-CZ"/>
        </w:rPr>
        <w:footnoteReference w:id="131"/>
      </w:r>
    </w:p>
    <w:p w14:paraId="29EEDD7C" w14:textId="77777777" w:rsidR="00B60F90" w:rsidRDefault="00302283" w:rsidP="00B14EDC">
      <w:r>
        <w:t xml:space="preserve">Klíčová věta spojuje všechny články řetězu </w:t>
      </w:r>
      <w:r w:rsidR="00885545">
        <w:t xml:space="preserve">celkovým </w:t>
      </w:r>
      <w:r w:rsidR="08D750BF">
        <w:t>pohledem na akt poznání. Č</w:t>
      </w:r>
      <w:r w:rsidR="009D147A" w:rsidRPr="00273106">
        <w:t xml:space="preserve">inný intelekt abstrahuje </w:t>
      </w:r>
      <w:r w:rsidR="006A04C6" w:rsidRPr="006A04C6">
        <w:t>species</w:t>
      </w:r>
      <w:r w:rsidR="009D147A" w:rsidRPr="00273106">
        <w:t xml:space="preserve"> ze smyslových představ, které mu připravil materiální intelekt</w:t>
      </w:r>
      <w:r w:rsidR="08662507">
        <w:t xml:space="preserve"> aktem intencionality</w:t>
      </w:r>
      <w:r w:rsidR="009D147A">
        <w:t>.</w:t>
      </w:r>
      <w:r w:rsidR="00713A27">
        <w:t xml:space="preserve"> </w:t>
      </w:r>
      <w:r w:rsidR="009D147A">
        <w:t>Klíčový přechod tvoří</w:t>
      </w:r>
      <w:r w:rsidR="08137B20">
        <w:t xml:space="preserve"> změněná pozice intencionality, která je nyní nahlížena z pozice </w:t>
      </w:r>
      <w:r w:rsidR="08E82321">
        <w:t xml:space="preserve">nikoliv Blundova </w:t>
      </w:r>
      <w:r w:rsidR="08137B20">
        <w:t>formálního intelektu</w:t>
      </w:r>
      <w:r w:rsidR="08E82321">
        <w:t xml:space="preserve">, ale </w:t>
      </w:r>
      <w:r w:rsidR="08E82321" w:rsidRPr="08E82321">
        <w:rPr>
          <w:i/>
        </w:rPr>
        <w:t>intellectus agens</w:t>
      </w:r>
      <w:r w:rsidR="08B36B5E">
        <w:t xml:space="preserve">, jenž </w:t>
      </w:r>
      <w:r w:rsidR="086C5592">
        <w:t>tvoří složku</w:t>
      </w:r>
      <w:r w:rsidR="08E82321">
        <w:t xml:space="preserve"> lidské </w:t>
      </w:r>
      <w:r w:rsidR="084F69C4">
        <w:lastRenderedPageBreak/>
        <w:t>duše.</w:t>
      </w:r>
      <w:r w:rsidR="08E669D6">
        <w:t xml:space="preserve"> Fatální problém je dán v tvrzení, že „č</w:t>
      </w:r>
      <w:r w:rsidR="08E669D6" w:rsidRPr="00273106">
        <w:t>inný intelekt</w:t>
      </w:r>
      <w:r w:rsidR="08E669D6">
        <w:t xml:space="preserve"> </w:t>
      </w:r>
      <w:r w:rsidR="08E669D6" w:rsidRPr="00273106">
        <w:t xml:space="preserve">uzpůsobuje </w:t>
      </w:r>
      <w:r w:rsidR="00B1298A" w:rsidRPr="00FB3FB6">
        <w:t>species</w:t>
      </w:r>
      <w:r w:rsidR="08E669D6" w:rsidRPr="00273106">
        <w:t xml:space="preserve"> tak, aby je mohl </w:t>
      </w:r>
      <w:r w:rsidR="004C4F79">
        <w:t xml:space="preserve">reversibilně </w:t>
      </w:r>
      <w:r w:rsidR="08E669D6" w:rsidRPr="00273106">
        <w:t>přijmout možný intelekt</w:t>
      </w:r>
      <w:r w:rsidR="00FB3FB6">
        <w:t>“</w:t>
      </w:r>
      <w:r w:rsidR="08E669D6">
        <w:t xml:space="preserve"> (</w:t>
      </w:r>
      <w:r w:rsidR="08E669D6" w:rsidRPr="08FB0035">
        <w:rPr>
          <w:i/>
        </w:rPr>
        <w:t>facit eas quodam modo resultare in intellectu possibili</w:t>
      </w:r>
      <w:r w:rsidR="00FB3FB6">
        <w:t>)</w:t>
      </w:r>
      <w:r w:rsidR="08E669D6" w:rsidRPr="00273106">
        <w:t>.</w:t>
      </w:r>
      <w:r w:rsidR="08E669D6">
        <w:t xml:space="preserve"> Toto je ústup na pozice toletánů a není v souladu s pojetím CMDA daným nasvíceným poznání od reálné věci skrze receptivní intelekt. Aktivní intelekt Grossetesteho dostal hypostázovaný charakter v lidské duši, i když nikoliv v kosmu. Aktivní intelekt se stal v lidské duši hypostází, a přestal být čistou potencí a schopností duše. Oddělení </w:t>
      </w:r>
      <w:r w:rsidR="08E669D6" w:rsidRPr="00091775">
        <w:rPr>
          <w:i/>
        </w:rPr>
        <w:t>intellectus agens</w:t>
      </w:r>
      <w:r w:rsidR="08E669D6">
        <w:t xml:space="preserve"> od lidského poznání je jen částečné, ale je už dáno v neoplatonském modu </w:t>
      </w:r>
      <w:r w:rsidR="00FF4FBE">
        <w:t>„</w:t>
      </w:r>
      <w:r w:rsidR="08E669D6" w:rsidRPr="00091775">
        <w:rPr>
          <w:i/>
        </w:rPr>
        <w:t>separatus</w:t>
      </w:r>
      <w:r w:rsidR="00FF4FBE">
        <w:t>“</w:t>
      </w:r>
      <w:r w:rsidR="08E669D6">
        <w:t xml:space="preserve">, a ne v aristotelském modu </w:t>
      </w:r>
      <w:r w:rsidR="00FF4FBE">
        <w:t>„</w:t>
      </w:r>
      <w:r w:rsidR="08E669D6" w:rsidRPr="00091775">
        <w:rPr>
          <w:i/>
        </w:rPr>
        <w:t>separabilis</w:t>
      </w:r>
      <w:r w:rsidR="00FF4FBE">
        <w:t>“</w:t>
      </w:r>
      <w:r w:rsidR="08E669D6">
        <w:rPr>
          <w:i/>
        </w:rPr>
        <w:fldChar w:fldCharType="begin"/>
      </w:r>
      <w:r w:rsidR="08E669D6">
        <w:instrText xml:space="preserve"> XE "intelekt:</w:instrText>
      </w:r>
      <w:r w:rsidR="08E669D6" w:rsidRPr="00A83FDB">
        <w:rPr>
          <w:i/>
        </w:rPr>
        <w:instrText>separabilis/se</w:instrText>
      </w:r>
      <w:r w:rsidR="08E669D6">
        <w:rPr>
          <w:i/>
        </w:rPr>
        <w:instrText>pa</w:instrText>
      </w:r>
      <w:r w:rsidR="08E669D6" w:rsidRPr="00A83FDB">
        <w:rPr>
          <w:i/>
        </w:rPr>
        <w:instrText>ratus</w:instrText>
      </w:r>
      <w:r w:rsidR="08E669D6">
        <w:instrText xml:space="preserve">" </w:instrText>
      </w:r>
      <w:r w:rsidR="08E669D6">
        <w:rPr>
          <w:i/>
        </w:rPr>
        <w:fldChar w:fldCharType="end"/>
      </w:r>
      <w:r w:rsidR="08E669D6">
        <w:t xml:space="preserve">. Grossesteste tím zrušil základní schéma poznání podle CMDA a podle Blundovy školy. Tato pozice byla na Pařížské univerzitě </w:t>
      </w:r>
      <w:r w:rsidR="00E9584B">
        <w:t xml:space="preserve">po roce </w:t>
      </w:r>
      <w:r w:rsidR="08E669D6">
        <w:t xml:space="preserve">1225 neobhajitelná od magistra podobných kvalit. </w:t>
      </w:r>
      <w:r w:rsidR="084F69C4">
        <w:t>Grosseteste</w:t>
      </w:r>
      <w:r w:rsidR="08E82321">
        <w:t xml:space="preserve"> </w:t>
      </w:r>
      <w:r w:rsidR="00B86D0F">
        <w:t xml:space="preserve">připustil </w:t>
      </w:r>
      <w:r w:rsidR="08E82321">
        <w:t xml:space="preserve">v této klíčové </w:t>
      </w:r>
      <w:r w:rsidR="084F69C4">
        <w:t xml:space="preserve">otázce </w:t>
      </w:r>
      <w:r w:rsidR="00B86D0F">
        <w:t xml:space="preserve">užití </w:t>
      </w:r>
      <w:r w:rsidR="084F69C4">
        <w:t xml:space="preserve">hypostázovaného intelektu </w:t>
      </w:r>
      <w:r w:rsidR="00B86D0F">
        <w:t xml:space="preserve">a tím </w:t>
      </w:r>
      <w:r w:rsidR="08E82321">
        <w:t>změnil nauku Blundovy školy. Ta nechala přijít aktualitu do receptivního intelektu skrze smyslovou intencionalitu, protože přesně interpretovala smyslové diafanum</w:t>
      </w:r>
      <w:r w:rsidR="08B36B5E">
        <w:t xml:space="preserve"> podle druhé knihy</w:t>
      </w:r>
      <w:r w:rsidR="08B36B5E" w:rsidRPr="08B36B5E">
        <w:rPr>
          <w:i/>
        </w:rPr>
        <w:t xml:space="preserve"> De anima</w:t>
      </w:r>
      <w:r w:rsidR="08E82321">
        <w:t xml:space="preserve">. Grosseteste je v tomto bodu toletán a nasvěcuje </w:t>
      </w:r>
      <w:r w:rsidR="08E82321" w:rsidRPr="08E82321">
        <w:rPr>
          <w:i/>
        </w:rPr>
        <w:t xml:space="preserve">intellectus possibilis </w:t>
      </w:r>
      <w:r w:rsidR="08E82321">
        <w:t xml:space="preserve">zezadu skrze </w:t>
      </w:r>
      <w:r w:rsidR="08E82321" w:rsidRPr="08E82321">
        <w:rPr>
          <w:i/>
        </w:rPr>
        <w:t>intellectus agens</w:t>
      </w:r>
      <w:r w:rsidR="08E82321">
        <w:t xml:space="preserve">, který tvoří </w:t>
      </w:r>
      <w:r w:rsidR="08103AEB">
        <w:t xml:space="preserve">další </w:t>
      </w:r>
      <w:r w:rsidR="08E82321">
        <w:t xml:space="preserve">hypotázovanou formu </w:t>
      </w:r>
      <w:r w:rsidR="0847205B">
        <w:t>v lidské duši</w:t>
      </w:r>
      <w:r w:rsidR="084F69C4">
        <w:t xml:space="preserve"> (kap. 3</w:t>
      </w:r>
      <w:r w:rsidR="08E82321">
        <w:t xml:space="preserve">.2). Tuto pozici Toledské školy převezme </w:t>
      </w:r>
      <w:r w:rsidR="081D7166">
        <w:t xml:space="preserve">v nové podobě </w:t>
      </w:r>
      <w:r w:rsidR="08E82321">
        <w:t xml:space="preserve">Akvinský a bude ji vydávat za autentický Aristotelův výklad </w:t>
      </w:r>
      <w:r w:rsidR="08E82321" w:rsidRPr="08E82321">
        <w:rPr>
          <w:i/>
        </w:rPr>
        <w:t>De anima</w:t>
      </w:r>
      <w:r w:rsidR="08E82321">
        <w:t xml:space="preserve"> proti Sigerovi (</w:t>
      </w:r>
      <w:r w:rsidR="08675D8C">
        <w:t>OBJ III, kap. 4</w:t>
      </w:r>
      <w:r w:rsidR="08E82321">
        <w:t xml:space="preserve">.5.4). </w:t>
      </w:r>
      <w:r w:rsidR="088E76A8">
        <w:t xml:space="preserve">Grosseteste jako </w:t>
      </w:r>
      <w:r w:rsidR="08D95C61">
        <w:t xml:space="preserve">předpokládaný </w:t>
      </w:r>
      <w:r w:rsidR="088E76A8">
        <w:t>a</w:t>
      </w:r>
      <w:r w:rsidR="08C32450" w:rsidRPr="00273106">
        <w:t xml:space="preserve">utor </w:t>
      </w:r>
      <w:r w:rsidR="088E76A8">
        <w:t xml:space="preserve">traktátu </w:t>
      </w:r>
      <w:r w:rsidR="08C32450" w:rsidRPr="00273106">
        <w:t xml:space="preserve">na rozdíl od avicennistů a pozdějších modernistů </w:t>
      </w:r>
      <w:r w:rsidR="08C32450">
        <w:t xml:space="preserve">přesně ví, jaký je rozdíl mezi </w:t>
      </w:r>
      <w:r w:rsidR="08C32450" w:rsidRPr="00273106">
        <w:rPr>
          <w:i/>
        </w:rPr>
        <w:t>abstrahere</w:t>
      </w:r>
      <w:r w:rsidR="08C32450">
        <w:t xml:space="preserve"> a </w:t>
      </w:r>
      <w:r w:rsidR="08C32450" w:rsidRPr="00273106">
        <w:rPr>
          <w:i/>
        </w:rPr>
        <w:t>ordinare</w:t>
      </w:r>
      <w:r w:rsidR="08C32450" w:rsidRPr="00273106">
        <w:t xml:space="preserve">. </w:t>
      </w:r>
      <w:r w:rsidR="080E3800" w:rsidRPr="00273106">
        <w:t xml:space="preserve">Materiální intelekt je přiřazený k první intencionalitě </w:t>
      </w:r>
      <w:r w:rsidR="080E3800">
        <w:t xml:space="preserve">dané směrem ke </w:t>
      </w:r>
      <w:r w:rsidR="080E3800" w:rsidRPr="00273106">
        <w:t>smyslů</w:t>
      </w:r>
      <w:r w:rsidR="080E3800">
        <w:t>m</w:t>
      </w:r>
      <w:r w:rsidR="080E3800" w:rsidRPr="00273106">
        <w:t xml:space="preserve">, na něj zavazuje práce </w:t>
      </w:r>
      <w:r w:rsidR="080E3800" w:rsidRPr="00273106">
        <w:rPr>
          <w:i/>
        </w:rPr>
        <w:t>intellectus possibilis</w:t>
      </w:r>
      <w:r w:rsidR="080E3800" w:rsidRPr="00273106">
        <w:t xml:space="preserve">. </w:t>
      </w:r>
      <w:r w:rsidR="00D26C03">
        <w:t>Gross</w:t>
      </w:r>
      <w:r w:rsidR="00A338ED">
        <w:t>ete</w:t>
      </w:r>
      <w:r w:rsidR="00D26C03">
        <w:t>ste</w:t>
      </w:r>
      <w:r w:rsidR="00A338ED">
        <w:t>ho změna je v tom, že r</w:t>
      </w:r>
      <w:r w:rsidR="009D147A">
        <w:t>ecepce formy už nejde z představivosti, kde ji intenduje materiální intelekt (</w:t>
      </w:r>
      <w:r w:rsidR="00D90ECA">
        <w:rPr>
          <w:i/>
        </w:rPr>
        <w:t>quas preparav</w:t>
      </w:r>
      <w:r w:rsidR="009D147A" w:rsidRPr="009D147A">
        <w:rPr>
          <w:i/>
        </w:rPr>
        <w:t>it ei intellectus materialis</w:t>
      </w:r>
      <w:r w:rsidR="009D147A">
        <w:t xml:space="preserve">), ale směrem od možného </w:t>
      </w:r>
      <w:r w:rsidR="08D03B45">
        <w:t xml:space="preserve">a aktivního </w:t>
      </w:r>
      <w:r w:rsidR="009D147A">
        <w:t xml:space="preserve">intelektu </w:t>
      </w:r>
      <w:r w:rsidR="080E7251">
        <w:t xml:space="preserve">daného v duši </w:t>
      </w:r>
      <w:r w:rsidR="009D147A">
        <w:t>(</w:t>
      </w:r>
      <w:r w:rsidRPr="00302283">
        <w:rPr>
          <w:i/>
        </w:rPr>
        <w:t>facit eas quodam modo resultare in intellectu possibili</w:t>
      </w:r>
      <w:r>
        <w:t xml:space="preserve">). </w:t>
      </w:r>
      <w:r w:rsidR="0028229F" w:rsidRPr="00273106">
        <w:t>Proces abstrakce</w:t>
      </w:r>
      <w:r w:rsidR="00276712">
        <w:fldChar w:fldCharType="begin"/>
      </w:r>
      <w:r w:rsidR="00276712">
        <w:instrText xml:space="preserve"> XE "</w:instrText>
      </w:r>
      <w:r w:rsidR="00276712" w:rsidRPr="00282113">
        <w:instrText>abstrakce:první averroismus</w:instrText>
      </w:r>
      <w:r w:rsidR="00276712">
        <w:instrText xml:space="preserve">" </w:instrText>
      </w:r>
      <w:r w:rsidR="00276712">
        <w:fldChar w:fldCharType="end"/>
      </w:r>
      <w:r w:rsidR="0028229F" w:rsidRPr="00273106">
        <w:t xml:space="preserve"> </w:t>
      </w:r>
      <w:r w:rsidR="004042D1">
        <w:t xml:space="preserve">u Blunda </w:t>
      </w:r>
      <w:r w:rsidR="0028229F" w:rsidRPr="00273106">
        <w:t>postupuje od smysl</w:t>
      </w:r>
      <w:r w:rsidR="002744ED">
        <w:t xml:space="preserve">ových </w:t>
      </w:r>
      <w:r w:rsidR="006A04C6" w:rsidRPr="006A04C6">
        <w:t>species</w:t>
      </w:r>
      <w:r w:rsidR="00094CC6">
        <w:t xml:space="preserve"> k inteligibilním. </w:t>
      </w:r>
      <w:r w:rsidR="00D90ECA">
        <w:t>Al</w:t>
      </w:r>
      <w:r w:rsidR="00D90ECA">
        <w:noBreakHyphen/>
      </w:r>
      <w:r w:rsidR="008E02F5">
        <w:t>Fárábí</w:t>
      </w:r>
      <w:r w:rsidR="00D90ECA">
        <w:t xml:space="preserve">ho </w:t>
      </w:r>
      <w:r w:rsidR="002744ED" w:rsidRPr="002744ED">
        <w:rPr>
          <w:i/>
        </w:rPr>
        <w:t>intellec</w:t>
      </w:r>
      <w:r w:rsidR="08366B46">
        <w:rPr>
          <w:i/>
        </w:rPr>
        <w:t>tus in potenc</w:t>
      </w:r>
      <w:r w:rsidR="002744ED">
        <w:rPr>
          <w:i/>
        </w:rPr>
        <w:t>i</w:t>
      </w:r>
      <w:r w:rsidR="002744ED" w:rsidRPr="002744ED">
        <w:rPr>
          <w:i/>
        </w:rPr>
        <w:t>a</w:t>
      </w:r>
      <w:r w:rsidR="002744ED">
        <w:t xml:space="preserve"> je v aktu nemateriální intencionality obrácen buď ke smyslovým </w:t>
      </w:r>
      <w:r w:rsidR="006A04C6" w:rsidRPr="006A04C6">
        <w:t>species</w:t>
      </w:r>
      <w:r w:rsidR="002744ED">
        <w:t xml:space="preserve"> (</w:t>
      </w:r>
      <w:r w:rsidR="002744ED" w:rsidRPr="002744ED">
        <w:rPr>
          <w:i/>
        </w:rPr>
        <w:t>intellectus materialis</w:t>
      </w:r>
      <w:r w:rsidR="001C51A3">
        <w:rPr>
          <w:i/>
        </w:rPr>
        <w:fldChar w:fldCharType="begin"/>
      </w:r>
      <w:r w:rsidR="001C51A3">
        <w:instrText xml:space="preserve"> XE "</w:instrText>
      </w:r>
      <w:r w:rsidR="001C51A3" w:rsidRPr="00B323F6">
        <w:rPr>
          <w:i/>
        </w:rPr>
        <w:instrText>intellectus materialis</w:instrText>
      </w:r>
      <w:r w:rsidR="001C51A3">
        <w:rPr>
          <w:i/>
        </w:rPr>
        <w:instrText>:</w:instrText>
      </w:r>
      <w:r w:rsidR="001C51A3" w:rsidRPr="00276712">
        <w:instrText>první averroi</w:instrText>
      </w:r>
      <w:r w:rsidR="001C51A3">
        <w:instrText>s</w:instrText>
      </w:r>
      <w:r w:rsidR="001C51A3" w:rsidRPr="00276712">
        <w:instrText>mus</w:instrText>
      </w:r>
      <w:r w:rsidR="001C51A3">
        <w:instrText xml:space="preserve">" </w:instrText>
      </w:r>
      <w:r w:rsidR="001C51A3">
        <w:rPr>
          <w:i/>
        </w:rPr>
        <w:fldChar w:fldCharType="end"/>
      </w:r>
      <w:r w:rsidR="003F1616">
        <w:t xml:space="preserve">). Nebo </w:t>
      </w:r>
      <w:r w:rsidR="002744ED">
        <w:t xml:space="preserve">tatáž </w:t>
      </w:r>
      <w:r w:rsidR="00820D71">
        <w:t>oddělená</w:t>
      </w:r>
      <w:r w:rsidR="08A91765">
        <w:t xml:space="preserve"> a tedy </w:t>
      </w:r>
      <w:r w:rsidR="00820D71">
        <w:t xml:space="preserve">nemateriální </w:t>
      </w:r>
      <w:r w:rsidR="002744ED">
        <w:t>recep</w:t>
      </w:r>
      <w:r w:rsidR="003F1616">
        <w:t>tiv</w:t>
      </w:r>
      <w:r w:rsidR="002744ED">
        <w:t xml:space="preserve">ní schopnost duše intenduje </w:t>
      </w:r>
      <w:r w:rsidR="004B4D52" w:rsidRPr="00094CC6">
        <w:rPr>
          <w:i/>
        </w:rPr>
        <w:t>species</w:t>
      </w:r>
      <w:r w:rsidR="003F1616" w:rsidRPr="003F1616">
        <w:rPr>
          <w:i/>
        </w:rPr>
        <w:t xml:space="preserve"> intelligib</w:t>
      </w:r>
      <w:r w:rsidR="003F1616">
        <w:rPr>
          <w:i/>
        </w:rPr>
        <w:t>i</w:t>
      </w:r>
      <w:r w:rsidR="003F1616" w:rsidRPr="003F1616">
        <w:rPr>
          <w:i/>
        </w:rPr>
        <w:t>lis</w:t>
      </w:r>
      <w:r w:rsidR="008061D5">
        <w:rPr>
          <w:i/>
        </w:rPr>
        <w:fldChar w:fldCharType="begin"/>
      </w:r>
      <w:r w:rsidR="008061D5">
        <w:instrText xml:space="preserve"> XE "</w:instrText>
      </w:r>
      <w:r w:rsidR="008061D5" w:rsidRPr="00DD403C">
        <w:rPr>
          <w:i/>
        </w:rPr>
        <w:instrText>species intelligibilis</w:instrText>
      </w:r>
      <w:r w:rsidR="008061D5" w:rsidRPr="00276712">
        <w:instrText>:</w:instrText>
      </w:r>
      <w:r w:rsidR="00276712" w:rsidRPr="00276712">
        <w:instrText>první averroi</w:instrText>
      </w:r>
      <w:r w:rsidR="001C51A3">
        <w:instrText>s</w:instrText>
      </w:r>
      <w:r w:rsidR="00276712" w:rsidRPr="00276712">
        <w:instrText>mus</w:instrText>
      </w:r>
      <w:r w:rsidR="008061D5">
        <w:instrText xml:space="preserve">" </w:instrText>
      </w:r>
      <w:r w:rsidR="008061D5">
        <w:rPr>
          <w:i/>
        </w:rPr>
        <w:fldChar w:fldCharType="end"/>
      </w:r>
      <w:r w:rsidR="003F1616">
        <w:t xml:space="preserve"> </w:t>
      </w:r>
      <w:r w:rsidR="002744ED">
        <w:t xml:space="preserve">z pozice intelektuální </w:t>
      </w:r>
      <w:r w:rsidR="08FD68C7">
        <w:t xml:space="preserve">recepce </w:t>
      </w:r>
      <w:r w:rsidR="002744ED">
        <w:t>(</w:t>
      </w:r>
      <w:r w:rsidR="002744ED" w:rsidRPr="002744ED">
        <w:rPr>
          <w:i/>
        </w:rPr>
        <w:t xml:space="preserve">intellectus </w:t>
      </w:r>
      <w:r w:rsidR="002744ED">
        <w:rPr>
          <w:i/>
        </w:rPr>
        <w:t>possibil</w:t>
      </w:r>
      <w:r w:rsidR="002744ED" w:rsidRPr="002744ED">
        <w:rPr>
          <w:i/>
        </w:rPr>
        <w:t>is</w:t>
      </w:r>
      <w:r w:rsidR="002744ED">
        <w:t>)</w:t>
      </w:r>
      <w:r w:rsidR="08103AEB">
        <w:t xml:space="preserve"> nasvícené činným intelektem jako další schopností duše</w:t>
      </w:r>
      <w:r w:rsidR="002744ED">
        <w:t xml:space="preserve">. </w:t>
      </w:r>
      <w:r w:rsidR="081435DD">
        <w:t xml:space="preserve">Připomeňme mezní pojetí </w:t>
      </w:r>
      <w:r w:rsidR="003E49A8">
        <w:t>„</w:t>
      </w:r>
      <w:r w:rsidR="081435DD" w:rsidRPr="081435DD">
        <w:rPr>
          <w:i/>
        </w:rPr>
        <w:t xml:space="preserve">intellectus in </w:t>
      </w:r>
      <w:r w:rsidR="081435DD" w:rsidRPr="08DC010F">
        <w:rPr>
          <w:i/>
        </w:rPr>
        <w:t>effectu</w:t>
      </w:r>
      <w:r w:rsidR="003E49A8">
        <w:t>“</w:t>
      </w:r>
      <w:r w:rsidR="081435DD">
        <w:t xml:space="preserve"> podle Al-Fárábího</w:t>
      </w:r>
      <w:r w:rsidR="0822001F">
        <w:t xml:space="preserve"> (</w:t>
      </w:r>
      <w:r w:rsidR="08DC010F" w:rsidRPr="00273106">
        <w:rPr>
          <w:i/>
        </w:rPr>
        <w:t>possibilis</w:t>
      </w:r>
      <w:r w:rsidR="00094CC6">
        <w:t>–</w:t>
      </w:r>
      <w:r w:rsidR="08DC010F" w:rsidRPr="00273106">
        <w:rPr>
          <w:i/>
        </w:rPr>
        <w:t>in effectu</w:t>
      </w:r>
      <w:r w:rsidR="00094CC6">
        <w:rPr>
          <w:i/>
        </w:rPr>
        <w:t xml:space="preserve"> </w:t>
      </w:r>
      <w:r w:rsidR="08DC010F" w:rsidRPr="00273106">
        <w:t>/</w:t>
      </w:r>
      <w:r w:rsidR="00094CC6">
        <w:t xml:space="preserve"> </w:t>
      </w:r>
      <w:r w:rsidR="08DC010F" w:rsidRPr="00273106">
        <w:rPr>
          <w:i/>
        </w:rPr>
        <w:t>adeptus</w:t>
      </w:r>
      <w:r w:rsidR="08DC010F" w:rsidRPr="00273106">
        <w:t>–</w:t>
      </w:r>
      <w:r w:rsidR="08DC010F" w:rsidRPr="00273106">
        <w:rPr>
          <w:i/>
        </w:rPr>
        <w:t>agens</w:t>
      </w:r>
      <w:r w:rsidR="080E7251">
        <w:t xml:space="preserve">; OBJ I, </w:t>
      </w:r>
      <w:r w:rsidR="0822001F" w:rsidRPr="081435DD">
        <w:t>kap. 2.1.1</w:t>
      </w:r>
      <w:r w:rsidR="0822001F">
        <w:t>)</w:t>
      </w:r>
      <w:r w:rsidR="081435DD">
        <w:t xml:space="preserve">. </w:t>
      </w:r>
      <w:r w:rsidR="089132AF">
        <w:t xml:space="preserve">Receptivní </w:t>
      </w:r>
      <w:r w:rsidR="081435DD">
        <w:t xml:space="preserve">intelekt </w:t>
      </w:r>
      <w:r w:rsidR="0822001F">
        <w:t xml:space="preserve">tohoto spisu </w:t>
      </w:r>
      <w:r w:rsidR="081435DD">
        <w:t xml:space="preserve">má středovou pozici aktualizovatelnou jak od </w:t>
      </w:r>
      <w:r w:rsidR="081435DD">
        <w:lastRenderedPageBreak/>
        <w:t>aristotelské abstr</w:t>
      </w:r>
      <w:r w:rsidR="0822001F">
        <w:t>akce tak od neoplatonsk</w:t>
      </w:r>
      <w:r w:rsidR="081435DD">
        <w:t>é iluminace</w:t>
      </w:r>
      <w:r w:rsidR="08DC010F">
        <w:t xml:space="preserve">, ale přijaté pouze od vnitřního činného intelektu </w:t>
      </w:r>
      <w:r w:rsidR="081435DD" w:rsidRPr="00273106">
        <w:t>(</w:t>
      </w:r>
      <w:r w:rsidR="0822001F">
        <w:rPr>
          <w:i/>
        </w:rPr>
        <w:t>materialis</w:t>
      </w:r>
      <w:r w:rsidR="00B60F90">
        <w:t>–</w:t>
      </w:r>
      <w:r w:rsidR="0822001F" w:rsidRPr="0822001F">
        <w:rPr>
          <w:i/>
        </w:rPr>
        <w:t>possibilis</w:t>
      </w:r>
      <w:r w:rsidR="0822001F">
        <w:t xml:space="preserve"> </w:t>
      </w:r>
      <w:r w:rsidR="084647D9">
        <w:t xml:space="preserve">/ </w:t>
      </w:r>
      <w:r w:rsidR="081435DD" w:rsidRPr="00273106">
        <w:rPr>
          <w:i/>
        </w:rPr>
        <w:t>agens</w:t>
      </w:r>
      <w:r w:rsidR="0822001F">
        <w:t>)</w:t>
      </w:r>
      <w:r w:rsidR="081435DD" w:rsidRPr="081435DD">
        <w:t>.</w:t>
      </w:r>
      <w:r w:rsidR="084647D9">
        <w:t xml:space="preserve"> Přesně tuto nejasnou pozici aristotelských toletánů má Grossetteste, protože nechal fungovat aktivní intelekt jako hypostázi působící na receptivní intelekt. Předešlý díl ukázal, že Averroes kompletně zrušil intelekt jako hypostázi v lidské duši a nechal oba druhy intelektu pouze jako potenci duše. Grosseteste nepřešel od pojetí Al-Farábího k Averroesovi a proto odešel z Paříže do Oxfordu.</w:t>
      </w:r>
    </w:p>
    <w:p w14:paraId="464BD0F2" w14:textId="633AD62F" w:rsidR="00AB1E50" w:rsidRPr="00557E3F" w:rsidRDefault="084647D9" w:rsidP="00B60F90">
      <w:pPr>
        <w:ind w:firstLine="397"/>
      </w:pPr>
      <w:r>
        <w:t xml:space="preserve">Rozbor traktátu jasně ukazuje, že </w:t>
      </w:r>
      <w:r w:rsidR="00B60F90">
        <w:t xml:space="preserve">Grosseteste </w:t>
      </w:r>
      <w:r>
        <w:t xml:space="preserve">nemohl přejít k neoplatonským modernistům v Paříži, protože jejich pojetí poznání a lidské osoby považoval za zásadně mylné. </w:t>
      </w:r>
      <w:r w:rsidR="00F764D9">
        <w:t>Materiální a možný intelekt mediatizují ve dvojí roli diafanum dané</w:t>
      </w:r>
      <w:r w:rsidR="08FD68C7">
        <w:t xml:space="preserve"> vzhledem k smyslové</w:t>
      </w:r>
      <w:r w:rsidR="08CC77AD">
        <w:t xml:space="preserve"> </w:t>
      </w:r>
      <w:r w:rsidR="006A04C6" w:rsidRPr="006A04C6">
        <w:t>species</w:t>
      </w:r>
      <w:r w:rsidR="08CC77AD">
        <w:t xml:space="preserve"> a vzhledem k nasvícení zezadu od činného intelektu</w:t>
      </w:r>
      <w:r w:rsidR="00F764D9">
        <w:t xml:space="preserve">. </w:t>
      </w:r>
      <w:r w:rsidR="00680676" w:rsidRPr="00273106">
        <w:t xml:space="preserve">Avicennův materiální intelekt mají i zvířata ve smyslu </w:t>
      </w:r>
      <w:r w:rsidR="00A6045E" w:rsidRPr="00273106">
        <w:t xml:space="preserve">představivosti, kterou řídí </w:t>
      </w:r>
      <w:r w:rsidR="08143C5A">
        <w:t>intuitivní schopnost dělání správných rozhodnutí (</w:t>
      </w:r>
      <w:r w:rsidR="00680676" w:rsidRPr="00273106">
        <w:rPr>
          <w:i/>
        </w:rPr>
        <w:t>vis aestimativa</w:t>
      </w:r>
      <w:r w:rsidR="08143C5A">
        <w:t>)</w:t>
      </w:r>
      <w:r w:rsidR="00652149">
        <w:rPr>
          <w:i/>
        </w:rPr>
        <w:fldChar w:fldCharType="begin"/>
      </w:r>
      <w:r w:rsidR="00652149">
        <w:instrText xml:space="preserve"> XE "</w:instrText>
      </w:r>
      <w:r w:rsidR="00652149" w:rsidRPr="00C34A1D">
        <w:rPr>
          <w:i/>
        </w:rPr>
        <w:instrText>vis aestimativa</w:instrText>
      </w:r>
      <w:r w:rsidR="00652149">
        <w:instrText xml:space="preserve">" </w:instrText>
      </w:r>
      <w:r w:rsidR="00652149">
        <w:rPr>
          <w:i/>
        </w:rPr>
        <w:fldChar w:fldCharType="end"/>
      </w:r>
      <w:r w:rsidR="088B7B6B">
        <w:t xml:space="preserve">. </w:t>
      </w:r>
      <w:r w:rsidR="084419C0">
        <w:t>L</w:t>
      </w:r>
      <w:r w:rsidR="00A6045E" w:rsidRPr="00273106">
        <w:t xml:space="preserve">idé mají </w:t>
      </w:r>
      <w:r w:rsidR="009B7E75" w:rsidRPr="00273106">
        <w:t xml:space="preserve">úplně jiný materiální a </w:t>
      </w:r>
      <w:r w:rsidR="00A6045E" w:rsidRPr="00273106">
        <w:t>možný intelekt, který recipuje</w:t>
      </w:r>
      <w:r w:rsidR="001B0868">
        <w:t xml:space="preserve"> jak smyslové, tak</w:t>
      </w:r>
      <w:r w:rsidR="00A6045E" w:rsidRPr="00273106">
        <w:t xml:space="preserve"> inteligibilní formy. </w:t>
      </w:r>
      <w:r w:rsidR="009B7E75" w:rsidRPr="00273106">
        <w:t>S</w:t>
      </w:r>
      <w:r w:rsidR="00680676" w:rsidRPr="00273106">
        <w:t xml:space="preserve">měrem od činného intelektu </w:t>
      </w:r>
      <w:r w:rsidR="00854BA2" w:rsidRPr="00273106">
        <w:t>běží</w:t>
      </w:r>
      <w:r w:rsidR="00680676" w:rsidRPr="00273106">
        <w:t xml:space="preserve"> </w:t>
      </w:r>
      <w:r w:rsidR="00A6045E" w:rsidRPr="00273106">
        <w:t>proces</w:t>
      </w:r>
      <w:r w:rsidR="001F0434">
        <w:t xml:space="preserve"> abstrakce</w:t>
      </w:r>
      <w:r w:rsidR="00A6045E" w:rsidRPr="00273106">
        <w:t xml:space="preserve">, která </w:t>
      </w:r>
      <w:r w:rsidR="001F0434">
        <w:t xml:space="preserve">syntetizuje přijatou nemateriální intenci </w:t>
      </w:r>
      <w:r w:rsidR="007431FB" w:rsidRPr="00273106">
        <w:t>do poznané formy</w:t>
      </w:r>
      <w:r w:rsidR="00A6045E" w:rsidRPr="00273106">
        <w:t xml:space="preserve">. </w:t>
      </w:r>
      <w:r w:rsidR="08B53244" w:rsidRPr="00273106">
        <w:t xml:space="preserve">Na recepci </w:t>
      </w:r>
      <w:r w:rsidR="08B53244">
        <w:t xml:space="preserve">inteligibilních </w:t>
      </w:r>
      <w:r w:rsidR="006A04C6" w:rsidRPr="006A04C6">
        <w:t>species</w:t>
      </w:r>
      <w:r w:rsidR="08B53244" w:rsidRPr="00273106">
        <w:t xml:space="preserve"> </w:t>
      </w:r>
      <w:r w:rsidR="08B53244">
        <w:t xml:space="preserve">ze smyslových představ </w:t>
      </w:r>
      <w:r w:rsidR="08B53244" w:rsidRPr="00273106">
        <w:t>navazuje syntéza poznané formy.</w:t>
      </w:r>
      <w:r w:rsidR="08B53244">
        <w:t xml:space="preserve"> Ta běží </w:t>
      </w:r>
      <w:r w:rsidR="084419C0">
        <w:t xml:space="preserve">od možného intelektu </w:t>
      </w:r>
      <w:r w:rsidR="08B53244">
        <w:t>v aktu inte</w:t>
      </w:r>
      <w:r w:rsidR="08360659">
        <w:t>n</w:t>
      </w:r>
      <w:r w:rsidR="08B53244">
        <w:t>cionality, který</w:t>
      </w:r>
      <w:r w:rsidR="084419C0">
        <w:t xml:space="preserve"> recipuje materiální </w:t>
      </w:r>
      <w:r w:rsidR="006A04C6" w:rsidRPr="006A04C6">
        <w:t>species</w:t>
      </w:r>
      <w:r w:rsidR="084419C0">
        <w:t xml:space="preserve"> dané v představivosti do první nemateriální </w:t>
      </w:r>
      <w:r w:rsidR="084419C0" w:rsidRPr="00273106">
        <w:t>poznané formy.</w:t>
      </w:r>
      <w:r w:rsidR="084419C0">
        <w:t xml:space="preserve"> </w:t>
      </w:r>
      <w:r w:rsidR="000B7D73" w:rsidRPr="00273106">
        <w:t>Intencionalita o</w:t>
      </w:r>
      <w:r w:rsidR="008A4FBF" w:rsidRPr="00273106">
        <w:t xml:space="preserve">pět </w:t>
      </w:r>
      <w:r w:rsidR="000B7D73" w:rsidRPr="00273106">
        <w:t xml:space="preserve">funguje </w:t>
      </w:r>
      <w:r w:rsidR="008A4FBF" w:rsidRPr="00273106">
        <w:t>ve dvou registrech, tj.</w:t>
      </w:r>
      <w:r w:rsidR="00A6045E" w:rsidRPr="00273106">
        <w:t xml:space="preserve"> </w:t>
      </w:r>
      <w:r w:rsidR="006B76E3" w:rsidRPr="00273106">
        <w:t xml:space="preserve">v modu </w:t>
      </w:r>
      <w:r w:rsidR="00A6045E" w:rsidRPr="00273106">
        <w:rPr>
          <w:i/>
        </w:rPr>
        <w:t>intentio prima</w:t>
      </w:r>
      <w:r w:rsidR="00A6045E" w:rsidRPr="00273106">
        <w:t xml:space="preserve"> </w:t>
      </w:r>
      <w:r w:rsidR="006B76E3" w:rsidRPr="00273106">
        <w:t xml:space="preserve">směrem </w:t>
      </w:r>
      <w:r w:rsidR="00A6045E" w:rsidRPr="00273106">
        <w:t xml:space="preserve">na </w:t>
      </w:r>
      <w:r w:rsidR="00677775" w:rsidRPr="00273106">
        <w:t xml:space="preserve">abstrahovaná </w:t>
      </w:r>
      <w:r w:rsidR="00A6045E" w:rsidRPr="00273106">
        <w:t xml:space="preserve">fantasmata a </w:t>
      </w:r>
      <w:r w:rsidR="006B76E3" w:rsidRPr="00273106">
        <w:t xml:space="preserve">v modu </w:t>
      </w:r>
      <w:r w:rsidR="00A6045E" w:rsidRPr="00273106">
        <w:rPr>
          <w:i/>
        </w:rPr>
        <w:t>intentio secunda</w:t>
      </w:r>
      <w:r w:rsidR="00A6045E" w:rsidRPr="00273106">
        <w:t xml:space="preserve"> </w:t>
      </w:r>
      <w:r w:rsidR="006B76E3" w:rsidRPr="00273106">
        <w:t xml:space="preserve">směrem </w:t>
      </w:r>
      <w:r w:rsidR="00A6045E" w:rsidRPr="00273106">
        <w:t xml:space="preserve">na </w:t>
      </w:r>
      <w:r w:rsidR="00677775" w:rsidRPr="00273106">
        <w:t xml:space="preserve">abstrahované </w:t>
      </w:r>
      <w:r w:rsidR="00A6045E" w:rsidRPr="00273106">
        <w:t xml:space="preserve">inteligibilní </w:t>
      </w:r>
      <w:r w:rsidR="006A04C6" w:rsidRPr="006A04C6">
        <w:t>species</w:t>
      </w:r>
      <w:r w:rsidR="001C51A3">
        <w:fldChar w:fldCharType="begin"/>
      </w:r>
      <w:r w:rsidR="001C51A3">
        <w:instrText xml:space="preserve"> XE "intencionalita:první averroismus" </w:instrText>
      </w:r>
      <w:r w:rsidR="001C51A3">
        <w:fldChar w:fldCharType="end"/>
      </w:r>
      <w:r w:rsidR="00A6045E" w:rsidRPr="00273106">
        <w:t xml:space="preserve">. </w:t>
      </w:r>
      <w:r w:rsidR="08F34245" w:rsidRPr="00273106">
        <w:t xml:space="preserve">V procesu </w:t>
      </w:r>
      <w:r w:rsidR="088B7AA3">
        <w:t xml:space="preserve">dvojí </w:t>
      </w:r>
      <w:r w:rsidR="08F34245">
        <w:t xml:space="preserve">intencionálně dané abstrakce </w:t>
      </w:r>
      <w:r w:rsidR="08F34245" w:rsidRPr="00273106">
        <w:t xml:space="preserve">vznikají </w:t>
      </w:r>
      <w:r w:rsidR="004B4D52" w:rsidRPr="004B4D52">
        <w:t>species</w:t>
      </w:r>
      <w:r w:rsidR="08F34245" w:rsidRPr="00B2579B">
        <w:rPr>
          <w:i/>
        </w:rPr>
        <w:t xml:space="preserve"> sensibilis</w:t>
      </w:r>
      <w:r w:rsidR="08F34245">
        <w:fldChar w:fldCharType="begin"/>
      </w:r>
      <w:r w:rsidR="08F34245">
        <w:instrText xml:space="preserve"> XE "abstrakce:první averroismus" </w:instrText>
      </w:r>
      <w:r w:rsidR="08F34245">
        <w:fldChar w:fldCharType="end"/>
      </w:r>
      <w:r w:rsidR="08F34245">
        <w:t xml:space="preserve"> a </w:t>
      </w:r>
      <w:r w:rsidR="08F34245" w:rsidRPr="00B2579B">
        <w:rPr>
          <w:i/>
        </w:rPr>
        <w:t>intelligibilis</w:t>
      </w:r>
      <w:r w:rsidR="08F34245">
        <w:t xml:space="preserve"> determinované existencí r</w:t>
      </w:r>
      <w:r w:rsidR="08F34245" w:rsidRPr="00273106">
        <w:t>eálné věci</w:t>
      </w:r>
      <w:r w:rsidR="08F34245">
        <w:t xml:space="preserve">. </w:t>
      </w:r>
      <w:r w:rsidR="088B7AA3">
        <w:t xml:space="preserve">Proto je nemateriální poznání formálně odděleno od smyslového v modu </w:t>
      </w:r>
      <w:r w:rsidR="088B7AA3" w:rsidRPr="088B7AA3">
        <w:rPr>
          <w:i/>
        </w:rPr>
        <w:t>separabilis</w:t>
      </w:r>
      <w:r w:rsidR="009F5083">
        <w:rPr>
          <w:i/>
        </w:rPr>
        <w:t>.</w:t>
      </w:r>
      <w:r w:rsidR="088B7AA3">
        <w:fldChar w:fldCharType="begin"/>
      </w:r>
      <w:r w:rsidR="088B7AA3">
        <w:instrText xml:space="preserve"> XE "intelekt:</w:instrText>
      </w:r>
      <w:r w:rsidR="088B7AA3" w:rsidRPr="008E31F8">
        <w:rPr>
          <w:i/>
        </w:rPr>
        <w:instrText>separabilis</w:instrText>
      </w:r>
      <w:r w:rsidR="088B7AA3">
        <w:instrText>/</w:instrText>
      </w:r>
      <w:r w:rsidR="088B7AA3" w:rsidRPr="008E31F8">
        <w:rPr>
          <w:i/>
        </w:rPr>
        <w:instrText>separatus</w:instrText>
      </w:r>
      <w:r w:rsidR="088B7AA3">
        <w:instrText xml:space="preserve">" </w:instrText>
      </w:r>
      <w:r w:rsidR="088B7AA3">
        <w:fldChar w:fldCharType="end"/>
      </w:r>
      <w:r w:rsidR="088B7AA3">
        <w:t xml:space="preserve"> </w:t>
      </w:r>
      <w:r w:rsidR="009F5083">
        <w:t xml:space="preserve">Ale intelektuální poznání je se </w:t>
      </w:r>
      <w:r w:rsidR="009F5083" w:rsidRPr="009F5083">
        <w:rPr>
          <w:i/>
        </w:rPr>
        <w:t>species sensibilis</w:t>
      </w:r>
      <w:r w:rsidR="009F5083">
        <w:t xml:space="preserve"> </w:t>
      </w:r>
      <w:r w:rsidR="088B7AA3">
        <w:t xml:space="preserve">spojeno </w:t>
      </w:r>
      <w:r w:rsidR="009F5083">
        <w:t xml:space="preserve">na základě </w:t>
      </w:r>
      <w:r w:rsidR="088B7AA3">
        <w:t>účinn</w:t>
      </w:r>
      <w:r w:rsidR="009F5083">
        <w:t>é</w:t>
      </w:r>
      <w:r w:rsidR="088B7AA3">
        <w:t xml:space="preserve"> kauzalit</w:t>
      </w:r>
      <w:r w:rsidR="009F5083">
        <w:t>y dané skrze tělesné smysly</w:t>
      </w:r>
      <w:r w:rsidR="088B7AA3">
        <w:t>. Grosseteste jako předpokládaný autor tohoto spisu poprvé s odvoláním na Averroese udělal v modelu Blundovy školy zásadní rozdíl mezi intelektuální schopností duše formálně oddělenou od smyslové složky (</w:t>
      </w:r>
      <w:r w:rsidR="08C27A1E">
        <w:rPr>
          <w:i/>
        </w:rPr>
        <w:t>sepa</w:t>
      </w:r>
      <w:r w:rsidR="088B7AA3" w:rsidRPr="088B7AA3">
        <w:rPr>
          <w:i/>
        </w:rPr>
        <w:t>rabilis</w:t>
      </w:r>
      <w:r w:rsidR="088B7AA3">
        <w:t>) a postavil ji proti nauce Toledské škoky o substančně odděleném intelektu (</w:t>
      </w:r>
      <w:r w:rsidR="088B7AA3" w:rsidRPr="088B7AA3">
        <w:rPr>
          <w:i/>
        </w:rPr>
        <w:t>separatus</w:t>
      </w:r>
      <w:r w:rsidR="08366B46">
        <w:t xml:space="preserve">). </w:t>
      </w:r>
      <w:r w:rsidR="08B76EF7">
        <w:t>Školu prvního averroismu založilo o</w:t>
      </w:r>
      <w:r w:rsidR="08366B46">
        <w:t xml:space="preserve">dmítnutí kosmického </w:t>
      </w:r>
      <w:r w:rsidR="08366B46" w:rsidRPr="08366B46">
        <w:rPr>
          <w:i/>
        </w:rPr>
        <w:t>intellectus agens</w:t>
      </w:r>
      <w:r w:rsidR="08B76EF7">
        <w:t xml:space="preserve"> jako přímého činitele na lidské poznání, </w:t>
      </w:r>
      <w:r w:rsidR="088B7AA3">
        <w:t xml:space="preserve">což jasně viděl a konstatoval Gauthier v kritickém vydání tohoto spisu. Duše nemůže sama ze sebe poznávat vůbec nic. </w:t>
      </w:r>
      <w:r w:rsidR="08D4760C">
        <w:t xml:space="preserve">Pasivní recepce </w:t>
      </w:r>
      <w:r w:rsidR="087A6A78">
        <w:t xml:space="preserve">produkuje </w:t>
      </w:r>
      <w:r w:rsidR="08D4760C">
        <w:t xml:space="preserve">skrze intencionalitu intelligibilní </w:t>
      </w:r>
      <w:r w:rsidR="006A04C6" w:rsidRPr="006A04C6">
        <w:t>species</w:t>
      </w:r>
      <w:r w:rsidR="08D4760C">
        <w:t xml:space="preserve">, aktivní syntéza </w:t>
      </w:r>
      <w:r w:rsidR="087A6A78">
        <w:t xml:space="preserve">z nich </w:t>
      </w:r>
      <w:r w:rsidR="08D4760C">
        <w:t xml:space="preserve">vytváří univerzální pojem. </w:t>
      </w:r>
      <w:r w:rsidR="006A773F">
        <w:t xml:space="preserve">V </w:t>
      </w:r>
      <w:r w:rsidR="00A6045E" w:rsidRPr="00273106">
        <w:t xml:space="preserve">aktivním syntetickém </w:t>
      </w:r>
      <w:r w:rsidR="00A6045E" w:rsidRPr="00273106">
        <w:lastRenderedPageBreak/>
        <w:t xml:space="preserve">procesu </w:t>
      </w:r>
      <w:r w:rsidR="00DF2ED2">
        <w:t xml:space="preserve">abstrakce </w:t>
      </w:r>
      <w:r w:rsidR="005C7FED" w:rsidRPr="00273106">
        <w:t xml:space="preserve">dané směrem od aktivního intelektu </w:t>
      </w:r>
      <w:r w:rsidR="00DF2ED2">
        <w:t xml:space="preserve">se tyto </w:t>
      </w:r>
      <w:r w:rsidR="00D760EB">
        <w:t xml:space="preserve">abstrahované </w:t>
      </w:r>
      <w:r w:rsidR="00DF2ED2">
        <w:t xml:space="preserve">formy </w:t>
      </w:r>
      <w:r w:rsidR="00D760EB">
        <w:t xml:space="preserve">řadí </w:t>
      </w:r>
      <w:r w:rsidR="00DF2ED2">
        <w:t xml:space="preserve">do </w:t>
      </w:r>
      <w:r w:rsidR="08D4760C">
        <w:t xml:space="preserve">univerzálních pojmů a </w:t>
      </w:r>
      <w:r w:rsidR="00DF2ED2">
        <w:t xml:space="preserve">poznávacích soudů </w:t>
      </w:r>
      <w:r w:rsidR="007431FB" w:rsidRPr="00273106">
        <w:t>(</w:t>
      </w:r>
      <w:r w:rsidR="004B4D52" w:rsidRPr="004B4D52">
        <w:t>species</w:t>
      </w:r>
      <w:r w:rsidR="007431FB" w:rsidRPr="00273106">
        <w:rPr>
          <w:i/>
        </w:rPr>
        <w:t xml:space="preserve"> abstractas ordinare</w:t>
      </w:r>
      <w:r w:rsidR="007431FB" w:rsidRPr="00273106">
        <w:t>)</w:t>
      </w:r>
      <w:r w:rsidR="088B7AA3">
        <w:t xml:space="preserve">. Tím je dán rozdíl mezi inteligibilním aktem </w:t>
      </w:r>
      <w:r w:rsidR="088B7AA3" w:rsidRPr="00273106">
        <w:rPr>
          <w:i/>
        </w:rPr>
        <w:t>abstrahere</w:t>
      </w:r>
      <w:r w:rsidR="088B7AA3">
        <w:t xml:space="preserve"> dané postupem intencionality a inteligibilním aktem </w:t>
      </w:r>
      <w:r w:rsidR="088B7AA3" w:rsidRPr="00273106">
        <w:rPr>
          <w:i/>
        </w:rPr>
        <w:t>ordinare</w:t>
      </w:r>
      <w:r w:rsidR="088B7AA3">
        <w:t>, které vykonává pouze aktivní složka duše.</w:t>
      </w:r>
      <w:r w:rsidR="085A5722">
        <w:t xml:space="preserve"> </w:t>
      </w:r>
      <w:r w:rsidR="003E6F24" w:rsidRPr="00273106">
        <w:t xml:space="preserve">Druhý důvod </w:t>
      </w:r>
      <w:r w:rsidR="0058498D" w:rsidRPr="00273106">
        <w:t xml:space="preserve">odmítnutí avicennovského schématu poznání následuje </w:t>
      </w:r>
      <w:r w:rsidR="00AF09D5" w:rsidRPr="00273106">
        <w:t xml:space="preserve">hned </w:t>
      </w:r>
      <w:r w:rsidR="0058498D" w:rsidRPr="00273106">
        <w:t xml:space="preserve">v další větě v návaznosti na </w:t>
      </w:r>
      <w:r w:rsidR="002E3B62">
        <w:t>Averroes</w:t>
      </w:r>
      <w:r w:rsidR="002F519A" w:rsidRPr="00273106">
        <w:t>ovu kritiku odděleného intelektu Avicenny a neoplatoniků</w:t>
      </w:r>
      <w:r w:rsidR="0058498D" w:rsidRPr="00273106">
        <w:t>.</w:t>
      </w:r>
      <w:r w:rsidR="000E073C" w:rsidRPr="00273106">
        <w:t xml:space="preserve"> </w:t>
      </w:r>
      <w:r w:rsidR="082C2305">
        <w:t xml:space="preserve">Traktát </w:t>
      </w:r>
      <w:r w:rsidR="00291276">
        <w:t>s přesn</w:t>
      </w:r>
      <w:r w:rsidR="00C62773">
        <w:t>ou znalostí problému</w:t>
      </w:r>
      <w:r w:rsidR="00291276">
        <w:t xml:space="preserve"> definuje základní omyl Avicenny, stejně jako to před ním udělal </w:t>
      </w:r>
      <w:r w:rsidR="002E3B62">
        <w:t>Averroes</w:t>
      </w:r>
      <w:r w:rsidR="001C51A3">
        <w:fldChar w:fldCharType="begin"/>
      </w:r>
      <w:r w:rsidR="001C51A3">
        <w:instrText xml:space="preserve"> XE "</w:instrText>
      </w:r>
      <w:r w:rsidR="001C51A3" w:rsidRPr="0017003F">
        <w:instrText>první averroismus:kritika Avicenny</w:instrText>
      </w:r>
      <w:r w:rsidR="001C51A3">
        <w:instrText xml:space="preserve">" </w:instrText>
      </w:r>
      <w:r w:rsidR="001C51A3">
        <w:fldChar w:fldCharType="end"/>
      </w:r>
      <w:r w:rsidR="00291276">
        <w:t>.</w:t>
      </w:r>
      <w:r w:rsidR="0035079E">
        <w:t xml:space="preserve"> Smysl jsoucna musí být dán nasvícením zepředu, od reálné první substance.</w:t>
      </w:r>
      <w:r w:rsidR="00557E3F">
        <w:t xml:space="preserve"> </w:t>
      </w:r>
      <w:r w:rsidR="00557E3F" w:rsidRPr="00273106">
        <w:t xml:space="preserve">Anonym </w:t>
      </w:r>
      <w:r w:rsidR="089A1B6F">
        <w:rPr>
          <w:i/>
        </w:rPr>
        <w:t>De anima et de potenciis eius</w:t>
      </w:r>
      <w:r w:rsidR="00557E3F" w:rsidRPr="00273106">
        <w:t xml:space="preserve"> odmítl objektivistický scénář </w:t>
      </w:r>
      <w:r w:rsidR="00557E3F">
        <w:t xml:space="preserve">nasvícení jsoucna zezadu </w:t>
      </w:r>
      <w:r w:rsidR="00557E3F" w:rsidRPr="00273106">
        <w:t xml:space="preserve">od odděleného </w:t>
      </w:r>
      <w:r w:rsidR="00557E3F">
        <w:t xml:space="preserve">kosmického </w:t>
      </w:r>
      <w:r w:rsidR="00557E3F" w:rsidRPr="00273106">
        <w:rPr>
          <w:i/>
        </w:rPr>
        <w:t xml:space="preserve">intellectus </w:t>
      </w:r>
      <w:r w:rsidR="00557E3F" w:rsidRPr="00557E3F">
        <w:t>agens</w:t>
      </w:r>
      <w:r w:rsidR="00557E3F">
        <w:t xml:space="preserve">, který </w:t>
      </w:r>
      <w:r w:rsidR="00557E3F" w:rsidRPr="00557E3F">
        <w:t>ozařuj</w:t>
      </w:r>
      <w:r w:rsidR="00557E3F">
        <w:t>e poznávající duši</w:t>
      </w:r>
      <w:r w:rsidR="00557E3F" w:rsidRPr="00557E3F">
        <w:t xml:space="preserve"> ve formě </w:t>
      </w:r>
      <w:r w:rsidR="00557E3F">
        <w:t xml:space="preserve">mystické </w:t>
      </w:r>
      <w:r w:rsidR="083A4EBB">
        <w:t>iluminace jako to měla Toledská škola</w:t>
      </w:r>
      <w:r w:rsidR="083A4EBB">
        <w:fldChar w:fldCharType="begin"/>
      </w:r>
      <w:r w:rsidR="083A4EBB">
        <w:instrText xml:space="preserve"> XE "</w:instrText>
      </w:r>
      <w:r w:rsidR="083A4EBB" w:rsidRPr="086B2FF9">
        <w:instrText>Toledská škola</w:instrText>
      </w:r>
      <w:r w:rsidR="083A4EBB">
        <w:instrText xml:space="preserve">" </w:instrText>
      </w:r>
      <w:r w:rsidR="083A4EBB">
        <w:fldChar w:fldCharType="end"/>
      </w:r>
      <w:r w:rsidR="083A4EBB">
        <w:t xml:space="preserve">. </w:t>
      </w:r>
      <w:r w:rsidR="082C2305" w:rsidRPr="00273106">
        <w:t xml:space="preserve">Následující citát zakládá školu prvního averroismu skrze </w:t>
      </w:r>
      <w:r w:rsidR="082C2305">
        <w:t xml:space="preserve">první </w:t>
      </w:r>
      <w:r w:rsidR="082C2305" w:rsidRPr="00273106">
        <w:t xml:space="preserve">deklarovaný rozchod </w:t>
      </w:r>
      <w:r w:rsidR="08B92CA9">
        <w:t xml:space="preserve">latinského Západu </w:t>
      </w:r>
      <w:r w:rsidR="082C2305" w:rsidRPr="00273106">
        <w:t>s Avicennou.</w:t>
      </w:r>
    </w:p>
    <w:p w14:paraId="659BB6BE" w14:textId="72E20E0C" w:rsidR="00AB1E50" w:rsidRPr="00273106" w:rsidRDefault="0058498D" w:rsidP="00E918D0">
      <w:pPr>
        <w:pStyle w:val="Citace"/>
        <w:rPr>
          <w:noProof/>
          <w:lang w:val="cs-CZ"/>
        </w:rPr>
      </w:pPr>
      <w:r w:rsidRPr="00273106">
        <w:rPr>
          <w:noProof/>
          <w:lang w:val="cs-CZ"/>
        </w:rPr>
        <w:t>„</w:t>
      </w:r>
      <w:r w:rsidR="00E918D0" w:rsidRPr="00273106">
        <w:rPr>
          <w:noProof/>
          <w:lang w:val="cs-CZ"/>
        </w:rPr>
        <w:t>V tom se Avicenna zmýlil</w:t>
      </w:r>
      <w:r w:rsidR="00373799">
        <w:rPr>
          <w:noProof/>
          <w:lang w:val="cs-CZ"/>
        </w:rPr>
        <w:t xml:space="preserve"> (</w:t>
      </w:r>
      <w:r w:rsidR="00373799" w:rsidRPr="00373799">
        <w:rPr>
          <w:rStyle w:val="Zkladntext86"/>
          <w:i/>
          <w:spacing w:val="0"/>
          <w:sz w:val="21"/>
        </w:rPr>
        <w:t xml:space="preserve">in </w:t>
      </w:r>
      <w:r w:rsidR="003F276A">
        <w:rPr>
          <w:i/>
        </w:rPr>
        <w:t>hoc erra</w:t>
      </w:r>
      <w:r w:rsidR="003F276A">
        <w:rPr>
          <w:i/>
          <w:lang w:val="cs-CZ"/>
        </w:rPr>
        <w:t>v</w:t>
      </w:r>
      <w:r w:rsidR="003F276A">
        <w:rPr>
          <w:i/>
        </w:rPr>
        <w:t>it A</w:t>
      </w:r>
      <w:r w:rsidR="00AF3B86">
        <w:rPr>
          <w:i/>
          <w:lang w:val="cs-CZ"/>
        </w:rPr>
        <w:t>u</w:t>
      </w:r>
      <w:r w:rsidR="00373799" w:rsidRPr="00373799">
        <w:rPr>
          <w:i/>
        </w:rPr>
        <w:t>icena</w:t>
      </w:r>
      <w:r w:rsidR="00373799">
        <w:rPr>
          <w:noProof/>
          <w:lang w:val="cs-CZ"/>
        </w:rPr>
        <w:t>)</w:t>
      </w:r>
      <w:r w:rsidR="00E918D0" w:rsidRPr="00273106">
        <w:rPr>
          <w:noProof/>
          <w:lang w:val="cs-CZ"/>
        </w:rPr>
        <w:t xml:space="preserve">, protože postuloval činný intelekt oddělený od duše, jakožto kosmickou nebo andělskou inteligenci, stejně jako je slunce odděleno od aktu vidění. Naopak </w:t>
      </w:r>
      <w:r w:rsidR="0000730F">
        <w:rPr>
          <w:noProof/>
          <w:lang w:val="cs-CZ"/>
        </w:rPr>
        <w:t xml:space="preserve">není pochyb o tom, že </w:t>
      </w:r>
      <w:r w:rsidR="00E918D0" w:rsidRPr="00273106">
        <w:rPr>
          <w:noProof/>
          <w:lang w:val="cs-CZ"/>
        </w:rPr>
        <w:t>tento činný intelekt je schopnost duše, protože je z</w:t>
      </w:r>
      <w:r w:rsidR="0000730F">
        <w:rPr>
          <w:noProof/>
          <w:lang w:val="cs-CZ"/>
        </w:rPr>
        <w:t>cela v moci duše porozumět, kdykoli</w:t>
      </w:r>
      <w:r w:rsidR="00E918D0" w:rsidRPr="00273106">
        <w:rPr>
          <w:noProof/>
          <w:lang w:val="cs-CZ"/>
        </w:rPr>
        <w:t xml:space="preserve"> to chce činit. Z toho vyplývá, že v duši jsou vždy přítomná fantasmata, a že činný intelekt, který abstrahuje species z fantasmat</w:t>
      </w:r>
      <w:r w:rsidR="00FC3F19" w:rsidRPr="00273106">
        <w:rPr>
          <w:noProof/>
          <w:lang w:val="cs-CZ"/>
        </w:rPr>
        <w:t>,</w:t>
      </w:r>
      <w:r w:rsidR="00E918D0" w:rsidRPr="00273106">
        <w:rPr>
          <w:noProof/>
          <w:lang w:val="cs-CZ"/>
        </w:rPr>
        <w:t xml:space="preserve"> je spojen s duší jako její schopnost. Se smysly je to ale přesně opačně, protože nevidíme bílou barvu, když chceme, protože buď není přítomné světlo, nebo i když je přítomné, zase může chybět bílá věc.“ </w:t>
      </w:r>
      <w:r w:rsidR="00AB1E50" w:rsidRPr="00273106">
        <w:rPr>
          <w:rStyle w:val="Znakapoznpodarou"/>
          <w:noProof/>
          <w:lang w:val="cs-CZ"/>
        </w:rPr>
        <w:footnoteReference w:id="132"/>
      </w:r>
    </w:p>
    <w:p w14:paraId="21BE8745" w14:textId="234320F6" w:rsidR="085A5722" w:rsidRDefault="000E7665" w:rsidP="004D35CF">
      <w:r w:rsidRPr="00273106">
        <w:t xml:space="preserve">Oddělení </w:t>
      </w:r>
      <w:r w:rsidR="0035079E">
        <w:t xml:space="preserve">školy prvního averroismu </w:t>
      </w:r>
      <w:r w:rsidRPr="00273106">
        <w:t>od Avice</w:t>
      </w:r>
      <w:r w:rsidR="00E03A55">
        <w:t xml:space="preserve">nny </w:t>
      </w:r>
      <w:r w:rsidR="0035079E">
        <w:t xml:space="preserve">kolem roku 1225 </w:t>
      </w:r>
      <w:r w:rsidR="00E03A55">
        <w:t xml:space="preserve">vychází ze </w:t>
      </w:r>
      <w:r w:rsidR="08081FA0">
        <w:t xml:space="preserve">sprvně pochopeného </w:t>
      </w:r>
      <w:r w:rsidR="00E03A55">
        <w:t>schématu poznání podle CMDA</w:t>
      </w:r>
      <w:r w:rsidR="08AF71BD">
        <w:t>, které následně potvrdí Sicilská škola</w:t>
      </w:r>
      <w:r w:rsidR="08AF71BD" w:rsidRPr="08AF71BD">
        <w:t xml:space="preserve"> </w:t>
      </w:r>
      <w:r w:rsidR="08AF71BD">
        <w:t>podle Scota</w:t>
      </w:r>
      <w:r w:rsidR="00E03A55">
        <w:t xml:space="preserve">. </w:t>
      </w:r>
      <w:r w:rsidR="006528C3" w:rsidRPr="00273106">
        <w:t>Č</w:t>
      </w:r>
      <w:r w:rsidR="00BB0A57" w:rsidRPr="00273106">
        <w:t>inný intelekt nemůže být oddělený</w:t>
      </w:r>
      <w:r w:rsidR="00E03A55">
        <w:t xml:space="preserve"> od duše</w:t>
      </w:r>
      <w:r w:rsidR="00BB0A57" w:rsidRPr="00273106">
        <w:t>, protože zůstává v naší moci</w:t>
      </w:r>
      <w:r w:rsidR="00A03302" w:rsidRPr="00273106">
        <w:t xml:space="preserve"> (</w:t>
      </w:r>
      <w:r w:rsidR="00A03302" w:rsidRPr="00273106">
        <w:rPr>
          <w:i/>
        </w:rPr>
        <w:t>in potestat</w:t>
      </w:r>
      <w:r w:rsidR="008F477F" w:rsidRPr="00273106">
        <w:rPr>
          <w:i/>
        </w:rPr>
        <w:t>e anime sit intelligere quando v</w:t>
      </w:r>
      <w:r w:rsidR="00A03302" w:rsidRPr="00273106">
        <w:rPr>
          <w:i/>
        </w:rPr>
        <w:t>ult</w:t>
      </w:r>
      <w:r w:rsidR="00A03302" w:rsidRPr="00273106">
        <w:t>)</w:t>
      </w:r>
      <w:r w:rsidR="00BB0A57" w:rsidRPr="00273106">
        <w:t>. P</w:t>
      </w:r>
      <w:r w:rsidRPr="00273106">
        <w:t xml:space="preserve">oznání je věcí </w:t>
      </w:r>
      <w:r w:rsidR="00AB5CFF" w:rsidRPr="00273106">
        <w:t>individu</w:t>
      </w:r>
      <w:r w:rsidR="00597995" w:rsidRPr="00273106">
        <w:t xml:space="preserve">ální </w:t>
      </w:r>
      <w:r w:rsidR="00AB5CFF" w:rsidRPr="00273106">
        <w:t xml:space="preserve">vůle, což </w:t>
      </w:r>
      <w:r w:rsidR="006A72ED" w:rsidRPr="00273106">
        <w:t xml:space="preserve">byl </w:t>
      </w:r>
      <w:r w:rsidR="002E3B62">
        <w:t>Averroes</w:t>
      </w:r>
      <w:r w:rsidRPr="00273106">
        <w:t>ův klíčový argument proti oddělenému intelektu</w:t>
      </w:r>
      <w:r w:rsidR="00D15B29" w:rsidRPr="00273106">
        <w:t xml:space="preserve"> </w:t>
      </w:r>
      <w:r w:rsidR="080E3AD9">
        <w:t xml:space="preserve">neoplatonských </w:t>
      </w:r>
      <w:r w:rsidR="00913BA0">
        <w:t xml:space="preserve">modernistů </w:t>
      </w:r>
      <w:r w:rsidR="00D15B29" w:rsidRPr="00273106">
        <w:t>(kap. 2.4.2)</w:t>
      </w:r>
      <w:r w:rsidRPr="00273106">
        <w:t xml:space="preserve">. </w:t>
      </w:r>
      <w:r w:rsidR="00F1299B" w:rsidRPr="00273106">
        <w:t xml:space="preserve">Středová role nového média nazvaného </w:t>
      </w:r>
      <w:r w:rsidR="00F1299B" w:rsidRPr="00273106">
        <w:rPr>
          <w:i/>
        </w:rPr>
        <w:t xml:space="preserve">intellectus </w:t>
      </w:r>
      <w:r w:rsidR="000672D7">
        <w:rPr>
          <w:i/>
        </w:rPr>
        <w:t>in potentia</w:t>
      </w:r>
      <w:r w:rsidR="00F1299B" w:rsidRPr="00273106">
        <w:t xml:space="preserve"> je dána vzhledem k</w:t>
      </w:r>
      <w:r w:rsidR="004C2664" w:rsidRPr="00273106">
        <w:t xml:space="preserve">e konkrétní věci vnímané smysly a </w:t>
      </w:r>
      <w:r w:rsidR="00CB276B" w:rsidRPr="00273106">
        <w:t>podržené v představivosti</w:t>
      </w:r>
      <w:r w:rsidR="004C2664" w:rsidRPr="00273106">
        <w:t xml:space="preserve">. </w:t>
      </w:r>
      <w:r w:rsidR="002B453D" w:rsidRPr="00273106">
        <w:t xml:space="preserve">Možný intelekt </w:t>
      </w:r>
      <w:r w:rsidR="00C369A8">
        <w:t xml:space="preserve">v </w:t>
      </w:r>
      <w:r w:rsidR="00EA49C1">
        <w:t xml:space="preserve">intencionálním </w:t>
      </w:r>
      <w:r w:rsidR="00C369A8">
        <w:t>modu</w:t>
      </w:r>
      <w:r w:rsidR="08FE77AF">
        <w:t xml:space="preserve"> daném díky této </w:t>
      </w:r>
      <w:r w:rsidR="08FE77AF">
        <w:lastRenderedPageBreak/>
        <w:t xml:space="preserve">vlastnosti do oblasti naší vůle </w:t>
      </w:r>
      <w:r w:rsidR="00EA49C1">
        <w:t>(</w:t>
      </w:r>
      <w:r w:rsidR="00C369A8" w:rsidRPr="00C369A8">
        <w:rPr>
          <w:i/>
        </w:rPr>
        <w:t>intellectus materialis</w:t>
      </w:r>
      <w:r w:rsidR="00EA49C1">
        <w:t>)</w:t>
      </w:r>
      <w:r w:rsidR="00C369A8">
        <w:t xml:space="preserve"> </w:t>
      </w:r>
      <w:r w:rsidR="006B2139">
        <w:t xml:space="preserve">recipuje </w:t>
      </w:r>
      <w:r w:rsidR="002B453D" w:rsidRPr="00273106">
        <w:t xml:space="preserve">z </w:t>
      </w:r>
      <w:r w:rsidR="005F29AD">
        <w:t xml:space="preserve">představivosti </w:t>
      </w:r>
      <w:r w:rsidR="00CD6751" w:rsidRPr="00273106">
        <w:t>smyslová</w:t>
      </w:r>
      <w:r w:rsidR="00CB276B" w:rsidRPr="00273106">
        <w:t xml:space="preserve"> </w:t>
      </w:r>
      <w:r w:rsidR="006A04C6" w:rsidRPr="006A04C6">
        <w:t>species</w:t>
      </w:r>
      <w:r w:rsidR="00CB276B" w:rsidRPr="00273106">
        <w:t xml:space="preserve"> </w:t>
      </w:r>
      <w:r w:rsidR="008C73E2">
        <w:t xml:space="preserve">jako akcidenty. Tento intelekt funguje jako diafanum </w:t>
      </w:r>
      <w:r w:rsidR="00C369A8">
        <w:t>v modu</w:t>
      </w:r>
      <w:r w:rsidR="002A5C98">
        <w:t xml:space="preserve"> </w:t>
      </w:r>
      <w:r w:rsidR="00C369A8" w:rsidRPr="00C369A8">
        <w:rPr>
          <w:i/>
        </w:rPr>
        <w:t>intellectus in potentia</w:t>
      </w:r>
      <w:r w:rsidR="008C73E2">
        <w:t xml:space="preserve">, protože </w:t>
      </w:r>
      <w:r w:rsidR="000A6EA8">
        <w:t xml:space="preserve">tvoří </w:t>
      </w:r>
      <w:r w:rsidR="00CC2476">
        <w:t xml:space="preserve">nemateriální </w:t>
      </w:r>
      <w:r w:rsidR="000A6EA8">
        <w:t>prostředí</w:t>
      </w:r>
      <w:r w:rsidR="008C73E2">
        <w:t xml:space="preserve"> nutné pro mediaci poznaných forem od smyslů k intelektu. V receptivním intelektu daném jako akt intencionality </w:t>
      </w:r>
      <w:r w:rsidR="000A6EA8">
        <w:t xml:space="preserve">probíhá proces abstrakce </w:t>
      </w:r>
      <w:r w:rsidR="00971D02">
        <w:t xml:space="preserve">na </w:t>
      </w:r>
      <w:r w:rsidR="004B4D52" w:rsidRPr="004B4D52">
        <w:t>species</w:t>
      </w:r>
      <w:r w:rsidR="00971D02" w:rsidRPr="00971D02">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326C67">
        <w:instrText>:</w:instrText>
      </w:r>
      <w:r w:rsidR="00326C67" w:rsidRPr="00326C67">
        <w:instrText>první averroismus</w:instrText>
      </w:r>
      <w:r w:rsidR="008061D5">
        <w:instrText xml:space="preserve">" </w:instrText>
      </w:r>
      <w:r w:rsidR="008061D5">
        <w:rPr>
          <w:i/>
        </w:rPr>
        <w:fldChar w:fldCharType="end"/>
      </w:r>
      <w:r w:rsidR="00CC2476">
        <w:t xml:space="preserve"> </w:t>
      </w:r>
      <w:r w:rsidR="08EC70CA">
        <w:t xml:space="preserve">dané již čistě formálně, protože jsou dány od smyslových intencí </w:t>
      </w:r>
      <w:r w:rsidR="00CC2476" w:rsidRPr="00273106">
        <w:t>(</w:t>
      </w:r>
      <w:r w:rsidR="00CC2476" w:rsidRPr="00273106">
        <w:rPr>
          <w:i/>
        </w:rPr>
        <w:t xml:space="preserve">abstrahere </w:t>
      </w:r>
      <w:r w:rsidR="004B4D52" w:rsidRPr="004B4D52">
        <w:t>species</w:t>
      </w:r>
      <w:r w:rsidR="00CC2476" w:rsidRPr="00273106">
        <w:rPr>
          <w:i/>
        </w:rPr>
        <w:t xml:space="preserve"> a fantasmatibus</w:t>
      </w:r>
      <w:r w:rsidR="00CC2476" w:rsidRPr="00273106">
        <w:t>)</w:t>
      </w:r>
      <w:r w:rsidR="00F1299B" w:rsidRPr="00273106">
        <w:t xml:space="preserve">. </w:t>
      </w:r>
      <w:r w:rsidR="00750C22">
        <w:t xml:space="preserve">Poznaná forma je už nemateriální a dostává novou </w:t>
      </w:r>
      <w:r w:rsidR="00F1299B" w:rsidRPr="00273106">
        <w:t>fun</w:t>
      </w:r>
      <w:r w:rsidR="00AA07BE" w:rsidRPr="00273106">
        <w:t>k</w:t>
      </w:r>
      <w:r w:rsidR="00F1299B" w:rsidRPr="00273106">
        <w:t>ci v procesu poznání</w:t>
      </w:r>
      <w:r w:rsidR="00630B8C" w:rsidRPr="00273106">
        <w:t xml:space="preserve"> skrze </w:t>
      </w:r>
      <w:r w:rsidR="002E3B62">
        <w:t>Averroes</w:t>
      </w:r>
      <w:r w:rsidR="00630B8C" w:rsidRPr="00273106">
        <w:t xml:space="preserve">ův </w:t>
      </w:r>
      <w:r w:rsidR="00630B8C"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326C67" w:rsidRPr="00326C67">
        <w:instrText>:</w:instrText>
      </w:r>
      <w:r w:rsidR="002E3B62">
        <w:instrText>Averroes</w:instrText>
      </w:r>
      <w:r w:rsidR="009D323B">
        <w:instrText xml:space="preserve">" </w:instrText>
      </w:r>
      <w:r w:rsidR="009D323B">
        <w:rPr>
          <w:i/>
        </w:rPr>
        <w:fldChar w:fldCharType="end"/>
      </w:r>
      <w:r w:rsidR="00630B8C" w:rsidRPr="00273106">
        <w:t xml:space="preserve">. </w:t>
      </w:r>
      <w:r w:rsidR="001927E5" w:rsidRPr="00273106">
        <w:t>N</w:t>
      </w:r>
      <w:r w:rsidRPr="00273106">
        <w:t>eo</w:t>
      </w:r>
      <w:r w:rsidR="008B12D2">
        <w:t>p</w:t>
      </w:r>
      <w:r w:rsidR="008E02F5">
        <w:t>laton</w:t>
      </w:r>
      <w:r w:rsidRPr="00273106">
        <w:t>skou metaforu o intel</w:t>
      </w:r>
      <w:r w:rsidR="006A72ED" w:rsidRPr="00273106">
        <w:t>e</w:t>
      </w:r>
      <w:r w:rsidRPr="00273106">
        <w:t xml:space="preserve">ktu jako slunci není možno použít pro schéma </w:t>
      </w:r>
      <w:r w:rsidR="00922097" w:rsidRPr="00273106">
        <w:t xml:space="preserve">intelektuálního </w:t>
      </w:r>
      <w:r w:rsidRPr="00273106">
        <w:t>poznání, prot</w:t>
      </w:r>
      <w:r w:rsidR="006A72ED" w:rsidRPr="00273106">
        <w:t>o</w:t>
      </w:r>
      <w:r w:rsidRPr="00273106">
        <w:t>že je daná pouze smyslově</w:t>
      </w:r>
      <w:r w:rsidR="00922097" w:rsidRPr="00273106">
        <w:t xml:space="preserve"> a </w:t>
      </w:r>
      <w:r w:rsidR="002D15E3">
        <w:t xml:space="preserve">neodpovídá průběhu intelektuálního poznání </w:t>
      </w:r>
      <w:r w:rsidR="00A03302" w:rsidRPr="00273106">
        <w:t>(</w:t>
      </w:r>
      <w:r w:rsidR="00A03302" w:rsidRPr="00273106">
        <w:rPr>
          <w:i/>
        </w:rPr>
        <w:t>quod patet in uisu per contrarium</w:t>
      </w:r>
      <w:r w:rsidR="00A03302" w:rsidRPr="00273106">
        <w:t>)</w:t>
      </w:r>
      <w:r w:rsidRPr="00273106">
        <w:t xml:space="preserve">. </w:t>
      </w:r>
      <w:r w:rsidR="002D15E3">
        <w:t xml:space="preserve">Oko </w:t>
      </w:r>
      <w:r w:rsidR="009247BC">
        <w:t xml:space="preserve">musí </w:t>
      </w:r>
      <w:r w:rsidR="002D15E3">
        <w:t xml:space="preserve">poznávat, </w:t>
      </w:r>
      <w:r w:rsidR="009247BC">
        <w:t xml:space="preserve">protože poznání materiálního tělesného orgánu je podmíněno efektivně-kauzálně. </w:t>
      </w:r>
      <w:r w:rsidR="00170D5D">
        <w:t xml:space="preserve">Kauzálně determinovaný orgán těla poznává vždy, pokud jsou dány k jeho výkonu nutné </w:t>
      </w:r>
      <w:r w:rsidR="08663182">
        <w:t xml:space="preserve">a dostatečné </w:t>
      </w:r>
      <w:r w:rsidR="00170D5D">
        <w:t xml:space="preserve">podmínky. </w:t>
      </w:r>
      <w:r w:rsidR="08761AAB">
        <w:t>Proto bude možné vyměnit oko n</w:t>
      </w:r>
      <w:r w:rsidR="08F803B4">
        <w:t>ebo</w:t>
      </w:r>
      <w:r w:rsidR="08761AAB">
        <w:t xml:space="preserve"> jiný orgán za protetický nástroj zhotovený člověkem</w:t>
      </w:r>
      <w:r w:rsidR="08F803B4">
        <w:t xml:space="preserve">, protože ve smyslovém orgánu je recepce světa dána materiálně a v modu </w:t>
      </w:r>
      <w:r w:rsidR="08F803B4" w:rsidRPr="08F803B4">
        <w:rPr>
          <w:i/>
        </w:rPr>
        <w:t>causa ef</w:t>
      </w:r>
      <w:r w:rsidR="0844453B">
        <w:rPr>
          <w:i/>
        </w:rPr>
        <w:t>f</w:t>
      </w:r>
      <w:r w:rsidR="08F803B4" w:rsidRPr="08F803B4">
        <w:rPr>
          <w:i/>
        </w:rPr>
        <w:t>iciens</w:t>
      </w:r>
      <w:r w:rsidR="08761AAB">
        <w:t xml:space="preserve">. </w:t>
      </w:r>
      <w:r w:rsidR="009247BC">
        <w:t xml:space="preserve">Zato </w:t>
      </w:r>
      <w:r w:rsidR="08860B56">
        <w:t xml:space="preserve">intencionální a syntetický </w:t>
      </w:r>
      <w:r w:rsidR="009247BC">
        <w:t>intelekt je nemateriální</w:t>
      </w:r>
      <w:r w:rsidR="08663182">
        <w:t xml:space="preserve"> a </w:t>
      </w:r>
      <w:r w:rsidR="009247BC">
        <w:t xml:space="preserve">jeho vazba na realitu </w:t>
      </w:r>
      <w:r w:rsidR="0844453B">
        <w:t xml:space="preserve">představuje pouze </w:t>
      </w:r>
      <w:r w:rsidR="009247BC">
        <w:t xml:space="preserve">formální </w:t>
      </w:r>
      <w:r w:rsidR="08E57637">
        <w:t>schopnost duše</w:t>
      </w:r>
      <w:r w:rsidR="082148D8">
        <w:t xml:space="preserve"> jako </w:t>
      </w:r>
      <w:r w:rsidR="082148D8" w:rsidRPr="082148D8">
        <w:rPr>
          <w:i/>
        </w:rPr>
        <w:t>tabula rasa</w:t>
      </w:r>
      <w:r w:rsidR="082148D8">
        <w:rPr>
          <w:i/>
        </w:rPr>
        <w:fldChar w:fldCharType="begin"/>
      </w:r>
      <w:r w:rsidR="082148D8">
        <w:instrText xml:space="preserve"> XE "</w:instrText>
      </w:r>
      <w:r w:rsidR="082148D8" w:rsidRPr="080B7C4E">
        <w:rPr>
          <w:i/>
        </w:rPr>
        <w:instrText>tabula rasa</w:instrText>
      </w:r>
      <w:r w:rsidR="082148D8">
        <w:instrText xml:space="preserve">" </w:instrText>
      </w:r>
      <w:r w:rsidR="082148D8">
        <w:rPr>
          <w:i/>
        </w:rPr>
        <w:fldChar w:fldCharType="end"/>
      </w:r>
      <w:r w:rsidR="08863FB5">
        <w:t>. Tím</w:t>
      </w:r>
      <w:r w:rsidR="082148D8">
        <w:t>to</w:t>
      </w:r>
      <w:r w:rsidR="08863FB5">
        <w:t xml:space="preserve"> odlišným modem poznání </w:t>
      </w:r>
      <w:r w:rsidR="0840404A">
        <w:t xml:space="preserve">daným v osobním aktu vůle </w:t>
      </w:r>
      <w:r w:rsidR="08863FB5">
        <w:t xml:space="preserve">je </w:t>
      </w:r>
      <w:r w:rsidR="08863FB5" w:rsidRPr="08863FB5">
        <w:rPr>
          <w:i/>
        </w:rPr>
        <w:t>anima intellectiva</w:t>
      </w:r>
      <w:r w:rsidR="08863FB5">
        <w:t xml:space="preserve"> oddělená nejen od smyslov</w:t>
      </w:r>
      <w:r w:rsidR="0840404A">
        <w:t>ého orgánu, ale i od poznávacíh</w:t>
      </w:r>
      <w:r w:rsidR="08863FB5">
        <w:t>o výkonu samotných smyslů</w:t>
      </w:r>
      <w:r w:rsidR="08E57637">
        <w:t>. D</w:t>
      </w:r>
      <w:r w:rsidR="009247BC">
        <w:t>iafanum</w:t>
      </w:r>
      <w:r w:rsidR="08E57637">
        <w:t xml:space="preserve"> dané v </w:t>
      </w:r>
      <w:r w:rsidR="08E57637" w:rsidRPr="08E57637">
        <w:rPr>
          <w:i/>
        </w:rPr>
        <w:t>anima intellectiva</w:t>
      </w:r>
      <w:r w:rsidR="08E57637">
        <w:t xml:space="preserve"> skrze její receptivní </w:t>
      </w:r>
      <w:r w:rsidR="08585D03">
        <w:t xml:space="preserve">nemateriální </w:t>
      </w:r>
      <w:r w:rsidR="08E57637">
        <w:t>schopnost je oddělené od materiální činnosti</w:t>
      </w:r>
      <w:r w:rsidR="08585D03">
        <w:t>. Proto se liší inteligibilní intencionalita od s</w:t>
      </w:r>
      <w:r w:rsidR="08E57637">
        <w:t>myslové inte</w:t>
      </w:r>
      <w:r w:rsidR="082C7154">
        <w:t>n</w:t>
      </w:r>
      <w:r w:rsidR="08E57637">
        <w:t>cionality. P</w:t>
      </w:r>
      <w:r w:rsidR="009247BC">
        <w:t>roto může</w:t>
      </w:r>
      <w:r w:rsidR="082C7154">
        <w:t xml:space="preserve">me </w:t>
      </w:r>
      <w:r w:rsidR="08D21F9B">
        <w:t xml:space="preserve">intelektuálně </w:t>
      </w:r>
      <w:r w:rsidR="082C7154">
        <w:t>poznávat, když sami</w:t>
      </w:r>
      <w:r w:rsidR="009247BC">
        <w:t xml:space="preserve"> chce</w:t>
      </w:r>
      <w:r w:rsidR="08E445C9">
        <w:t>me</w:t>
      </w:r>
      <w:r w:rsidR="08AB1269">
        <w:t xml:space="preserve"> a co sami chceme</w:t>
      </w:r>
      <w:r w:rsidR="08730C4E">
        <w:t xml:space="preserve"> a nemáme zvířecí imprinting. </w:t>
      </w:r>
      <w:r w:rsidR="08E445C9" w:rsidRPr="00273106">
        <w:t xml:space="preserve">Vlastní činnost </w:t>
      </w:r>
      <w:r w:rsidR="08E445C9">
        <w:t xml:space="preserve">lidského </w:t>
      </w:r>
      <w:r w:rsidR="08E445C9" w:rsidRPr="00273106">
        <w:t xml:space="preserve">intelektu je </w:t>
      </w:r>
      <w:r w:rsidR="08AB1269">
        <w:t xml:space="preserve">formálně </w:t>
      </w:r>
      <w:r w:rsidR="08E445C9" w:rsidRPr="00273106">
        <w:t xml:space="preserve">navázána na </w:t>
      </w:r>
      <w:r w:rsidR="08E445C9">
        <w:t>realitu</w:t>
      </w:r>
      <w:r w:rsidR="08E445C9" w:rsidRPr="00273106">
        <w:t xml:space="preserve"> hylemorfické </w:t>
      </w:r>
      <w:r w:rsidR="08E445C9">
        <w:t>první substance</w:t>
      </w:r>
      <w:r w:rsidR="08E445C9">
        <w:fldChar w:fldCharType="begin"/>
      </w:r>
      <w:r w:rsidR="08E445C9">
        <w:instrText xml:space="preserve"> XE "</w:instrText>
      </w:r>
      <w:r w:rsidR="08E445C9" w:rsidRPr="00DE2A32">
        <w:instrText>substance</w:instrText>
      </w:r>
      <w:r w:rsidR="08E445C9">
        <w:instrText xml:space="preserve">:hylemorfická" </w:instrText>
      </w:r>
      <w:r w:rsidR="08E445C9">
        <w:fldChar w:fldCharType="end"/>
      </w:r>
      <w:r w:rsidR="08E445C9">
        <w:t xml:space="preserve"> </w:t>
      </w:r>
      <w:r w:rsidR="08E445C9" w:rsidRPr="00273106">
        <w:t xml:space="preserve">poznané nemateriálně. </w:t>
      </w:r>
      <w:r w:rsidR="08881B33" w:rsidRPr="00273106">
        <w:t xml:space="preserve">Modernistům chybí </w:t>
      </w:r>
      <w:r w:rsidR="08764156">
        <w:t xml:space="preserve">citovaná </w:t>
      </w:r>
      <w:r w:rsidR="08881B33" w:rsidRPr="00273106">
        <w:t>středová funkce receptivního intelektu v duši, který zajišťuje jak adekvátní poznání směrem od smyslů, tak i volitivní a individuální charakter lidského poznání (</w:t>
      </w:r>
      <w:r w:rsidR="08881B33" w:rsidRPr="00273106">
        <w:rPr>
          <w:i/>
          <w:szCs w:val="19"/>
        </w:rPr>
        <w:t>in potestate anime sit intelligere quando vuIt</w:t>
      </w:r>
      <w:r w:rsidR="08881B33" w:rsidRPr="00273106">
        <w:t>).</w:t>
      </w:r>
      <w:r w:rsidR="08881B33">
        <w:t xml:space="preserve"> </w:t>
      </w:r>
      <w:r w:rsidR="08E445C9">
        <w:t>Smyslově založené z</w:t>
      </w:r>
      <w:r w:rsidR="08D21F9B">
        <w:t xml:space="preserve">víře </w:t>
      </w:r>
      <w:r w:rsidR="08AB1269">
        <w:t xml:space="preserve">naopak </w:t>
      </w:r>
      <w:r w:rsidR="08D21F9B">
        <w:t>poznává vždy, když jsou k tomu nutné a postačující podmínky</w:t>
      </w:r>
      <w:r w:rsidR="08AC5B96">
        <w:t xml:space="preserve">, protože formální kauzalita </w:t>
      </w:r>
      <w:r w:rsidR="08027977">
        <w:t xml:space="preserve">poznávající animální duše </w:t>
      </w:r>
      <w:r w:rsidR="08AC5B96">
        <w:t xml:space="preserve">je skrze sociální </w:t>
      </w:r>
      <w:r w:rsidR="08AC5B96" w:rsidRPr="08AC5B96">
        <w:rPr>
          <w:i/>
        </w:rPr>
        <w:t>imprinting</w:t>
      </w:r>
      <w:r w:rsidR="08AC5B96">
        <w:rPr>
          <w:i/>
        </w:rPr>
        <w:fldChar w:fldCharType="begin"/>
      </w:r>
      <w:r w:rsidR="08AC5B96">
        <w:instrText xml:space="preserve"> XE "</w:instrText>
      </w:r>
      <w:r w:rsidR="08AC5B96" w:rsidRPr="08680340">
        <w:rPr>
          <w:i/>
        </w:rPr>
        <w:instrText>imprinting</w:instrText>
      </w:r>
      <w:r w:rsidR="08AC5B96">
        <w:instrText xml:space="preserve">" </w:instrText>
      </w:r>
      <w:r w:rsidR="08AC5B96">
        <w:rPr>
          <w:i/>
        </w:rPr>
        <w:fldChar w:fldCharType="end"/>
      </w:r>
      <w:r w:rsidR="08AC5B96">
        <w:t xml:space="preserve"> přímo spojena s eficientní kauzalitou</w:t>
      </w:r>
      <w:r w:rsidR="08027977">
        <w:t xml:space="preserve"> smyslů</w:t>
      </w:r>
      <w:r w:rsidR="08D21F9B">
        <w:t xml:space="preserve">. </w:t>
      </w:r>
      <w:r w:rsidR="00673795" w:rsidRPr="00273106">
        <w:t>P</w:t>
      </w:r>
      <w:r w:rsidR="083E0BF8">
        <w:t xml:space="preserve">rvní averroismus odmítl pojetí </w:t>
      </w:r>
      <w:r w:rsidR="00673795" w:rsidRPr="00273106">
        <w:t>intelektu-slunce</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0673795" w:rsidRPr="00273106">
        <w:t xml:space="preserve"> jako pouhou metaforu. Přirovnání se týká pouze smyslové </w:t>
      </w:r>
      <w:r w:rsidR="00673795" w:rsidRPr="00273106">
        <w:lastRenderedPageBreak/>
        <w:t>reality</w:t>
      </w:r>
      <w:r w:rsidR="00D14A41">
        <w:t>,</w:t>
      </w:r>
      <w:r w:rsidR="00673795" w:rsidRPr="00273106">
        <w:t xml:space="preserve"> a </w:t>
      </w:r>
      <w:r w:rsidR="00041C57">
        <w:t xml:space="preserve">i </w:t>
      </w:r>
      <w:r w:rsidR="00673795" w:rsidRPr="00273106">
        <w:t xml:space="preserve">tam má omezenou platnost. </w:t>
      </w:r>
      <w:r w:rsidR="00D14A41">
        <w:t xml:space="preserve">Intelekt </w:t>
      </w:r>
      <w:r w:rsidR="00A42DBF">
        <w:t xml:space="preserve">definovaný ve škole prvního averroismu </w:t>
      </w:r>
      <w:r w:rsidR="00D14A41">
        <w:t xml:space="preserve">nepotřebuje </w:t>
      </w:r>
      <w:r w:rsidR="00A42DBF">
        <w:t xml:space="preserve">avicennovskou </w:t>
      </w:r>
      <w:r w:rsidR="00D14A41">
        <w:t>mystiku</w:t>
      </w:r>
      <w:r w:rsidR="00A42DBF">
        <w:t xml:space="preserve"> </w:t>
      </w:r>
      <w:r w:rsidR="00A42DBF" w:rsidRPr="00A42DBF">
        <w:rPr>
          <w:i/>
        </w:rPr>
        <w:t>Modernorum</w:t>
      </w:r>
      <w:r w:rsidR="00D14A41">
        <w:t xml:space="preserve">, </w:t>
      </w:r>
      <w:r w:rsidR="00A42DBF">
        <w:t xml:space="preserve">protože k poznání </w:t>
      </w:r>
      <w:r w:rsidR="00D14A41">
        <w:t xml:space="preserve">stačí </w:t>
      </w:r>
      <w:r w:rsidR="00A42DBF">
        <w:t>r</w:t>
      </w:r>
      <w:r w:rsidR="085A5722">
        <w:t>eálný svět.</w:t>
      </w:r>
    </w:p>
    <w:p w14:paraId="2558194A" w14:textId="2E088371" w:rsidR="004D35CF" w:rsidRPr="00273106" w:rsidRDefault="085A5722" w:rsidP="004D35CF">
      <w:r>
        <w:tab/>
        <w:t xml:space="preserve">Nasvícení </w:t>
      </w:r>
      <w:r w:rsidR="005918AA">
        <w:t xml:space="preserve">smyslu zepředu, </w:t>
      </w:r>
      <w:r>
        <w:t>po</w:t>
      </w:r>
      <w:r w:rsidR="005918AA">
        <w:t>dle recepce</w:t>
      </w:r>
      <w:r>
        <w:t xml:space="preserve"> CMDA</w:t>
      </w:r>
      <w:r w:rsidR="005918AA">
        <w:t>,</w:t>
      </w:r>
      <w:r>
        <w:t xml:space="preserve"> zásadně změnilo </w:t>
      </w:r>
      <w:r w:rsidR="005918AA">
        <w:t xml:space="preserve">okolo roku </w:t>
      </w:r>
      <w:r>
        <w:t xml:space="preserve">1225 avicennovskou strukturu intelektu. Darovaný a formální intelekt ztratily v novém schématu sebereflexivní funkci, což ukázala předešlá kapitola rozborem Blundovy </w:t>
      </w:r>
      <w:r w:rsidRPr="08813EB7">
        <w:rPr>
          <w:i/>
        </w:rPr>
        <w:t>De anima</w:t>
      </w:r>
      <w:r>
        <w:t>. Formalizaci dělá intencionalita už na první úrovni nemateriální recepce v materiálním intelektu (</w:t>
      </w:r>
      <w:r w:rsidRPr="000225C2">
        <w:rPr>
          <w:i/>
        </w:rPr>
        <w:t>forma abstracta primo est in medio</w:t>
      </w:r>
      <w:r>
        <w:rPr>
          <w:i/>
        </w:rPr>
        <w:t>;</w:t>
      </w:r>
      <w:r>
        <w:t xml:space="preserve"> ibid, p. 36.201</w:t>
      </w:r>
      <w:r w:rsidR="00EE4BA3">
        <w:fldChar w:fldCharType="begin"/>
      </w:r>
      <w:r w:rsidR="00EE4BA3">
        <w:instrText xml:space="preserve"> XE "</w:instrText>
      </w:r>
      <w:r w:rsidR="00EE4BA3">
        <w:rPr>
          <w:i/>
        </w:rPr>
        <w:instrText>De anima et de potenciis eius</w:instrText>
      </w:r>
      <w:r w:rsidR="00EE4BA3" w:rsidRPr="004E3314">
        <w:instrText xml:space="preserve"> </w:instrText>
      </w:r>
      <w:r w:rsidR="00EE4BA3">
        <w:instrText xml:space="preserve">36.201" </w:instrText>
      </w:r>
      <w:r w:rsidR="00EE4BA3">
        <w:fldChar w:fldCharType="end"/>
      </w:r>
      <w:r>
        <w:t xml:space="preserve">). </w:t>
      </w:r>
      <w:r w:rsidR="084E2F01" w:rsidRPr="00273106">
        <w:t xml:space="preserve">Rozdělením dvou řádů poznání </w:t>
      </w:r>
      <w:r w:rsidR="084E2F01">
        <w:t>skrze funkci diafanum se ukázal</w:t>
      </w:r>
      <w:r w:rsidR="084E2F01" w:rsidRPr="00273106">
        <w:t xml:space="preserve"> fundamentální omyl </w:t>
      </w:r>
      <w:r w:rsidR="084E2F01">
        <w:t>neoplatonsk</w:t>
      </w:r>
      <w:r w:rsidR="084E2F01" w:rsidRPr="00273106">
        <w:t>é metafory</w:t>
      </w:r>
      <w:r w:rsidR="084E2F01">
        <w:t xml:space="preserve"> intelektu-slunce</w:t>
      </w:r>
      <w:r w:rsidR="084E2F01">
        <w:fldChar w:fldCharType="begin"/>
      </w:r>
      <w:r w:rsidR="084E2F01">
        <w:instrText xml:space="preserve"> XE "</w:instrText>
      </w:r>
      <w:r w:rsidR="084E2F01" w:rsidRPr="008844E7">
        <w:instrText>intelekt-slunce</w:instrText>
      </w:r>
      <w:r w:rsidR="084E2F01">
        <w:instrText xml:space="preserve">" </w:instrText>
      </w:r>
      <w:r w:rsidR="084E2F01">
        <w:fldChar w:fldCharType="end"/>
      </w:r>
      <w:r w:rsidR="084E2F01" w:rsidRPr="00273106">
        <w:t>, která univočně spojovala</w:t>
      </w:r>
      <w:r w:rsidR="084E2F01">
        <w:t xml:space="preserve"> intelekt a poznanou věc</w:t>
      </w:r>
      <w:r w:rsidR="084E2F01" w:rsidRPr="00273106">
        <w:t xml:space="preserve">. </w:t>
      </w:r>
      <w:r w:rsidR="00F1299B" w:rsidRPr="00273106">
        <w:t>Tím skončilo panování avicennismu na latinském Západě, jak poznamenal Gauthier</w:t>
      </w:r>
      <w:r w:rsidR="009F574C">
        <w:fldChar w:fldCharType="begin"/>
      </w:r>
      <w:r w:rsidR="009F574C">
        <w:instrText xml:space="preserve"> XE "</w:instrText>
      </w:r>
      <w:r w:rsidR="009F574C" w:rsidRPr="00B030E6">
        <w:rPr>
          <w:lang w:eastAsia="en-US"/>
        </w:rPr>
        <w:instrText>Gauthier, A. R.</w:instrText>
      </w:r>
      <w:r w:rsidR="009F574C">
        <w:instrText xml:space="preserve">" </w:instrText>
      </w:r>
      <w:r w:rsidR="009F574C">
        <w:fldChar w:fldCharType="end"/>
      </w:r>
      <w:r w:rsidR="00F1299B" w:rsidRPr="00273106">
        <w:t xml:space="preserve"> v úvodním rozboru traktátu (</w:t>
      </w:r>
      <w:r w:rsidR="00F1299B" w:rsidRPr="00273106">
        <w:rPr>
          <w:i/>
        </w:rPr>
        <w:t>le régne d'Avicenne prend fin, celui d'Averroès commence</w:t>
      </w:r>
      <w:r w:rsidR="00F1299B" w:rsidRPr="00273106">
        <w:t xml:space="preserve">, ibid., p. 25). </w:t>
      </w:r>
      <w:r w:rsidR="00BC4FE7">
        <w:t>E</w:t>
      </w:r>
      <w:r w:rsidR="00623184" w:rsidRPr="00273106">
        <w:t xml:space="preserve">pochální </w:t>
      </w:r>
      <w:r w:rsidR="00623184" w:rsidRPr="00273106">
        <w:rPr>
          <w:i/>
        </w:rPr>
        <w:t>Irrtum</w:t>
      </w:r>
      <w:r w:rsidR="00623184" w:rsidRPr="00273106">
        <w:t xml:space="preserve"> </w:t>
      </w:r>
      <w:r w:rsidR="00BC4FE7">
        <w:t xml:space="preserve">avicennismu </w:t>
      </w:r>
      <w:r w:rsidR="0057780E" w:rsidRPr="00273106">
        <w:t xml:space="preserve">začala pilně křísit </w:t>
      </w:r>
      <w:r w:rsidR="002B382A">
        <w:t xml:space="preserve">modernistická </w:t>
      </w:r>
      <w:r w:rsidR="0057780E" w:rsidRPr="00273106">
        <w:t xml:space="preserve">vlna druhého averroismu </w:t>
      </w:r>
      <w:r w:rsidR="004A0ABF">
        <w:t>od</w:t>
      </w:r>
      <w:r w:rsidR="08407BB3">
        <w:t xml:space="preserve"> roku</w:t>
      </w:r>
      <w:r w:rsidR="08DE6CFE">
        <w:t xml:space="preserve"> 1235 (kap. 3</w:t>
      </w:r>
      <w:r w:rsidR="004A0ABF">
        <w:t>.3.1)</w:t>
      </w:r>
      <w:r w:rsidR="0057780E" w:rsidRPr="00273106">
        <w:t>.</w:t>
      </w:r>
      <w:r w:rsidR="00860AE1">
        <w:t xml:space="preserve"> </w:t>
      </w:r>
      <w:r w:rsidR="085676A4">
        <w:t xml:space="preserve">Traktát </w:t>
      </w:r>
      <w:r w:rsidR="0087644E" w:rsidRPr="00273106">
        <w:t xml:space="preserve">rozlišuje tři různé </w:t>
      </w:r>
      <w:r w:rsidR="08C35309">
        <w:t xml:space="preserve">akty, </w:t>
      </w:r>
      <w:r w:rsidR="0087644E" w:rsidRPr="00273106">
        <w:t>roviny</w:t>
      </w:r>
      <w:r w:rsidR="08C35309">
        <w:t xml:space="preserve">, funkce či procesy </w:t>
      </w:r>
      <w:r w:rsidR="00E77E0E">
        <w:t xml:space="preserve">lidského poznání, </w:t>
      </w:r>
      <w:r w:rsidR="085676A4">
        <w:t xml:space="preserve">později </w:t>
      </w:r>
      <w:r w:rsidR="00E2572F" w:rsidRPr="00273106">
        <w:t>obhajované ve škole prvního averroismu</w:t>
      </w:r>
      <w:r w:rsidR="001C51A3">
        <w:fldChar w:fldCharType="begin"/>
      </w:r>
      <w:r w:rsidR="001C51A3">
        <w:instrText xml:space="preserve"> XE "</w:instrText>
      </w:r>
      <w:r w:rsidR="001C51A3" w:rsidRPr="00D14B3E">
        <w:instrText>intelekt:první averroismus</w:instrText>
      </w:r>
      <w:r w:rsidR="001C51A3">
        <w:instrText xml:space="preserve">" </w:instrText>
      </w:r>
      <w:r w:rsidR="001C51A3">
        <w:fldChar w:fldCharType="end"/>
      </w:r>
      <w:r w:rsidR="004D35CF" w:rsidRPr="00273106">
        <w:t>.</w:t>
      </w:r>
    </w:p>
    <w:p w14:paraId="3FCF00B4" w14:textId="5308BFC1" w:rsidR="004D35CF" w:rsidRPr="00273106" w:rsidRDefault="00454D86" w:rsidP="00565C35">
      <w:pPr>
        <w:numPr>
          <w:ilvl w:val="0"/>
          <w:numId w:val="7"/>
        </w:numPr>
      </w:pPr>
      <w:r>
        <w:t xml:space="preserve">První akt diafanum </w:t>
      </w:r>
      <w:r w:rsidR="00B91860">
        <w:t xml:space="preserve">daný </w:t>
      </w:r>
      <w:r>
        <w:t>jako intencionální p</w:t>
      </w:r>
      <w:r w:rsidR="00B91860">
        <w:t>otence</w:t>
      </w:r>
      <w:r w:rsidR="00C4496D" w:rsidRPr="00273106">
        <w:t xml:space="preserve"> </w:t>
      </w:r>
      <w:r w:rsidR="0087644E" w:rsidRPr="00273106">
        <w:t xml:space="preserve">duše </w:t>
      </w:r>
      <w:r w:rsidR="00B91860">
        <w:t xml:space="preserve">intelektuálně orientované směrem ke smyslovým </w:t>
      </w:r>
      <w:r w:rsidR="006A04C6" w:rsidRPr="006A04C6">
        <w:t>species</w:t>
      </w:r>
      <w:r w:rsidR="00C4496D" w:rsidRPr="00273106">
        <w:t xml:space="preserve"> </w:t>
      </w:r>
      <w:r w:rsidR="0838031F">
        <w:t xml:space="preserve">syntetizovaných </w:t>
      </w:r>
      <w:r w:rsidR="00896628">
        <w:t>ve smyslové představi</w:t>
      </w:r>
      <w:r w:rsidR="00384648">
        <w:t xml:space="preserve">vosti. Vzhledem k těmto individuálním smyslovým </w:t>
      </w:r>
      <w:r w:rsidR="006A04C6" w:rsidRPr="006A04C6">
        <w:t>species</w:t>
      </w:r>
      <w:r w:rsidR="00384648">
        <w:t xml:space="preserve"> </w:t>
      </w:r>
      <w:r w:rsidR="08854695">
        <w:t xml:space="preserve">funguje </w:t>
      </w:r>
      <w:r w:rsidR="0838031F" w:rsidRPr="00273106">
        <w:rPr>
          <w:i/>
        </w:rPr>
        <w:t>intellectus materialis</w:t>
      </w:r>
      <w:r w:rsidR="0838031F">
        <w:t xml:space="preserve"> </w:t>
      </w:r>
      <w:r w:rsidR="08854695">
        <w:t xml:space="preserve">jako </w:t>
      </w:r>
      <w:r w:rsidR="00384648" w:rsidRPr="00384648">
        <w:rPr>
          <w:i/>
        </w:rPr>
        <w:t>quasi-materia</w:t>
      </w:r>
      <w:r w:rsidR="00384648">
        <w:t xml:space="preserve"> (</w:t>
      </w:r>
      <w:r w:rsidR="00670A07">
        <w:t>Al</w:t>
      </w:r>
      <w:r w:rsidR="00670A07">
        <w:noBreakHyphen/>
      </w:r>
      <w:r w:rsidR="008E02F5">
        <w:t>Fárábí</w:t>
      </w:r>
      <w:r w:rsidR="00670A07">
        <w:t xml:space="preserve">, </w:t>
      </w:r>
      <w:r w:rsidR="002E3B62">
        <w:t>Averroes</w:t>
      </w:r>
      <w:r w:rsidR="0838031F">
        <w:t xml:space="preserve">) protože </w:t>
      </w:r>
      <w:r w:rsidR="00384648">
        <w:t xml:space="preserve">přijímá </w:t>
      </w:r>
      <w:r w:rsidR="0838031F">
        <w:t xml:space="preserve">aktuální </w:t>
      </w:r>
      <w:r w:rsidR="004B4D52" w:rsidRPr="004B4D52">
        <w:t>species</w:t>
      </w:r>
      <w:r w:rsidR="0838031F" w:rsidRPr="0838031F">
        <w:rPr>
          <w:i/>
        </w:rPr>
        <w:t xml:space="preserve"> sensibilis</w:t>
      </w:r>
      <w:r w:rsidR="0838031F">
        <w:t xml:space="preserve"> </w:t>
      </w:r>
      <w:r w:rsidR="00384648">
        <w:t>na nemat</w:t>
      </w:r>
      <w:r w:rsidR="0838031F">
        <w:t>eriální způsob</w:t>
      </w:r>
      <w:r w:rsidR="004D35CF" w:rsidRPr="00273106">
        <w:t>.</w:t>
      </w:r>
    </w:p>
    <w:p w14:paraId="035AC48C" w14:textId="548589EC" w:rsidR="004D35CF" w:rsidRPr="00273106" w:rsidRDefault="00454D86" w:rsidP="00565C35">
      <w:pPr>
        <w:numPr>
          <w:ilvl w:val="0"/>
          <w:numId w:val="7"/>
        </w:numPr>
      </w:pPr>
      <w:r>
        <w:t>Druhý akt d</w:t>
      </w:r>
      <w:r w:rsidR="00C4496D" w:rsidRPr="00273106">
        <w:t xml:space="preserve">iafanum </w:t>
      </w:r>
      <w:r w:rsidR="006E4445">
        <w:t xml:space="preserve">probíhá </w:t>
      </w:r>
      <w:r>
        <w:t xml:space="preserve">na úrovni </w:t>
      </w:r>
      <w:r w:rsidR="00871439" w:rsidRPr="00273106">
        <w:rPr>
          <w:i/>
        </w:rPr>
        <w:t>intellectus possibilis</w:t>
      </w:r>
      <w:r>
        <w:t xml:space="preserve">, který v aktu </w:t>
      </w:r>
      <w:r w:rsidR="00197EC7" w:rsidRPr="00273106">
        <w:t xml:space="preserve">formální </w:t>
      </w:r>
      <w:r>
        <w:t xml:space="preserve">recepce </w:t>
      </w:r>
      <w:r w:rsidR="005E39B8">
        <w:t>(</w:t>
      </w:r>
      <w:r w:rsidR="005E39B8" w:rsidRPr="005E39B8">
        <w:rPr>
          <w:i/>
        </w:rPr>
        <w:t>intentio</w:t>
      </w:r>
      <w:r w:rsidR="005E39B8">
        <w:t xml:space="preserve">) </w:t>
      </w:r>
      <w:r w:rsidR="00C07DFC">
        <w:t xml:space="preserve">mediatizuje </w:t>
      </w:r>
      <w:r w:rsidR="085B6E52">
        <w:t xml:space="preserve">formální vlastnosti reálné věci a to </w:t>
      </w:r>
      <w:r>
        <w:t xml:space="preserve">v modu inteligibilního </w:t>
      </w:r>
      <w:r w:rsidR="006A04C6" w:rsidRPr="006A04C6">
        <w:t>species</w:t>
      </w:r>
      <w:r>
        <w:t xml:space="preserve"> </w:t>
      </w:r>
      <w:r w:rsidR="00135DA9">
        <w:t xml:space="preserve">daného jako </w:t>
      </w:r>
      <w:r w:rsidR="085B6E52">
        <w:t xml:space="preserve">intencionální </w:t>
      </w:r>
      <w:r w:rsidR="00135DA9">
        <w:t xml:space="preserve">význam </w:t>
      </w:r>
      <w:r w:rsidR="00C07DFC">
        <w:t>(</w:t>
      </w:r>
      <w:r w:rsidR="004B4D52" w:rsidRPr="004B4D52">
        <w:t>species</w:t>
      </w:r>
      <w:r w:rsidR="00C07DFC" w:rsidRPr="00C07DFC">
        <w:rPr>
          <w:i/>
        </w:rPr>
        <w:t xml:space="preserve"> intelligibilis</w:t>
      </w:r>
      <w:r w:rsidR="00C07DFC">
        <w:t>)</w:t>
      </w:r>
      <w:r w:rsidR="005F69C6" w:rsidRPr="00273106">
        <w:t>.</w:t>
      </w:r>
      <w:r w:rsidR="08E31A12">
        <w:t xml:space="preserve"> Podle kategoriální predikace jde o činnost na úrovni akcidentu</w:t>
      </w:r>
      <w:r w:rsidR="080E10DA">
        <w:t xml:space="preserve"> daného vzhledem k reálné věci existující mimo poznání v modu </w:t>
      </w:r>
      <w:r w:rsidR="080E10DA" w:rsidRPr="080E10DA">
        <w:rPr>
          <w:i/>
        </w:rPr>
        <w:t>per se</w:t>
      </w:r>
      <w:r w:rsidR="08E31A12">
        <w:t>.</w:t>
      </w:r>
    </w:p>
    <w:p w14:paraId="4C32E974" w14:textId="0D2697AA" w:rsidR="0087644E" w:rsidRPr="00273106" w:rsidRDefault="080E10DA" w:rsidP="00565C35">
      <w:pPr>
        <w:numPr>
          <w:ilvl w:val="0"/>
          <w:numId w:val="7"/>
        </w:numPr>
      </w:pPr>
      <w:r>
        <w:t>I</w:t>
      </w:r>
      <w:r w:rsidR="000E3D68" w:rsidRPr="00273106">
        <w:t xml:space="preserve">ntencionálně </w:t>
      </w:r>
      <w:r w:rsidR="08976187">
        <w:t xml:space="preserve">vzniklá </w:t>
      </w:r>
      <w:r w:rsidR="006A04C6" w:rsidRPr="006A04C6">
        <w:t>species</w:t>
      </w:r>
      <w:r w:rsidR="08976187">
        <w:t xml:space="preserve"> recipovaná</w:t>
      </w:r>
      <w:r w:rsidR="003A5AEF">
        <w:t xml:space="preserve"> v </w:t>
      </w:r>
      <w:r w:rsidR="006D2C7A" w:rsidRPr="00273106">
        <w:t>pasivní slož</w:t>
      </w:r>
      <w:r w:rsidR="003A5AEF">
        <w:t xml:space="preserve">ce </w:t>
      </w:r>
      <w:r w:rsidR="00C4496D" w:rsidRPr="00273106">
        <w:t xml:space="preserve">intelektu </w:t>
      </w:r>
      <w:r w:rsidR="003A5AEF">
        <w:t xml:space="preserve">je aktualizována </w:t>
      </w:r>
      <w:r w:rsidR="00C4496D" w:rsidRPr="00273106">
        <w:t>pomocí činné složky poznání dané individuálně v duši</w:t>
      </w:r>
      <w:r w:rsidR="08A55792">
        <w:t xml:space="preserve"> (</w:t>
      </w:r>
      <w:r w:rsidR="08A55792" w:rsidRPr="08A55792">
        <w:rPr>
          <w:i/>
        </w:rPr>
        <w:t>intellectus formalis</w:t>
      </w:r>
      <w:r w:rsidR="08A55792">
        <w:t>)</w:t>
      </w:r>
      <w:r w:rsidR="007B243B">
        <w:t xml:space="preserve">. </w:t>
      </w:r>
      <w:r w:rsidR="0047534A">
        <w:t>S</w:t>
      </w:r>
      <w:r w:rsidR="007B243B">
        <w:t>yntéz</w:t>
      </w:r>
      <w:r w:rsidR="0047534A">
        <w:t>a</w:t>
      </w:r>
      <w:r w:rsidR="007B243B">
        <w:t xml:space="preserve"> univerzálního významu</w:t>
      </w:r>
      <w:r w:rsidR="00C4496D" w:rsidRPr="00273106">
        <w:t xml:space="preserve"> </w:t>
      </w:r>
      <w:r w:rsidR="00010985">
        <w:t xml:space="preserve">v pojmu </w:t>
      </w:r>
      <w:r w:rsidR="007B243B">
        <w:t>završuje receptivně-syntetickou</w:t>
      </w:r>
      <w:r w:rsidR="006A2BAF" w:rsidRPr="00273106">
        <w:t xml:space="preserve"> </w:t>
      </w:r>
      <w:r w:rsidR="08E754FC">
        <w:t xml:space="preserve">schopnost </w:t>
      </w:r>
      <w:r w:rsidR="007B243B">
        <w:t xml:space="preserve">duše </w:t>
      </w:r>
      <w:r w:rsidR="00C4496D" w:rsidRPr="00273106">
        <w:t>(</w:t>
      </w:r>
      <w:r w:rsidR="00C4496D" w:rsidRPr="00273106">
        <w:rPr>
          <w:i/>
        </w:rPr>
        <w:t>intellectus agens</w:t>
      </w:r>
      <w:r w:rsidR="0087644E" w:rsidRPr="00273106">
        <w:t>).</w:t>
      </w:r>
      <w:r w:rsidR="005F69C6" w:rsidRPr="00273106">
        <w:t xml:space="preserve"> </w:t>
      </w:r>
      <w:r w:rsidR="08E31A12">
        <w:t xml:space="preserve">Podle kategoriální predikace jde o činnost na úrovni </w:t>
      </w:r>
      <w:r w:rsidR="086E0A8A">
        <w:t xml:space="preserve">druhé substance, která </w:t>
      </w:r>
      <w:r w:rsidR="08B144EC">
        <w:t xml:space="preserve">v dalším kroku </w:t>
      </w:r>
      <w:r w:rsidR="086E0A8A">
        <w:t>umožňuje vědecky opravdivé poznání světa</w:t>
      </w:r>
      <w:r w:rsidR="08B144EC">
        <w:t xml:space="preserve"> v modu </w:t>
      </w:r>
      <w:r w:rsidR="08B144EC" w:rsidRPr="08B144EC">
        <w:rPr>
          <w:i/>
        </w:rPr>
        <w:t>demonstratio</w:t>
      </w:r>
      <w:r w:rsidR="086E0A8A">
        <w:t>.</w:t>
      </w:r>
    </w:p>
    <w:p w14:paraId="4BBDB85F" w14:textId="77777777" w:rsidR="002A6222" w:rsidRDefault="004273EB" w:rsidP="00B14EDC">
      <w:r>
        <w:lastRenderedPageBreak/>
        <w:t xml:space="preserve">Výsledek poznání je dán v syntetickém aktu </w:t>
      </w:r>
      <w:r w:rsidR="006727F7" w:rsidRPr="00273106">
        <w:t xml:space="preserve">takto dané intencionality skrze individuální </w:t>
      </w:r>
      <w:r w:rsidR="006727F7" w:rsidRPr="00273106">
        <w:rPr>
          <w:i/>
        </w:rPr>
        <w:t>intellectus agens</w:t>
      </w:r>
      <w:r>
        <w:t xml:space="preserve">. Proto není třeba žádná externí iluminace skrze oddělený činný intelekt avicennistů. </w:t>
      </w:r>
      <w:r w:rsidR="00BB6FE1">
        <w:t>Možný intelekt plní v duši funkci diafanum</w:t>
      </w:r>
      <w:r w:rsidR="00BB6FE1" w:rsidRPr="00273106">
        <w:t xml:space="preserve">, </w:t>
      </w:r>
      <w:r w:rsidR="00BB6FE1">
        <w:t>proto j</w:t>
      </w:r>
      <w:r w:rsidR="00BB6FE1" w:rsidRPr="00273106">
        <w:t xml:space="preserve">e co do funkce a charakteru zásadně </w:t>
      </w:r>
      <w:r w:rsidR="00BB6FE1">
        <w:t>individuální (</w:t>
      </w:r>
      <w:r w:rsidR="00BB6FE1" w:rsidRPr="00251638">
        <w:rPr>
          <w:i/>
        </w:rPr>
        <w:t>corruptib</w:t>
      </w:r>
      <w:r w:rsidR="00BB6FE1">
        <w:rPr>
          <w:i/>
        </w:rPr>
        <w:t>i</w:t>
      </w:r>
      <w:r w:rsidR="00BB6FE1" w:rsidRPr="00251638">
        <w:rPr>
          <w:i/>
        </w:rPr>
        <w:t>lis</w:t>
      </w:r>
      <w:r w:rsidR="00BB6FE1">
        <w:rPr>
          <w:i/>
        </w:rPr>
        <w:fldChar w:fldCharType="begin"/>
      </w:r>
      <w:r w:rsidR="00BB6FE1">
        <w:instrText xml:space="preserve"> XE "intelekt:porušitelný" </w:instrText>
      </w:r>
      <w:r w:rsidR="00BB6FE1">
        <w:rPr>
          <w:i/>
        </w:rPr>
        <w:fldChar w:fldCharType="end"/>
      </w:r>
      <w:r w:rsidR="00BB6FE1">
        <w:t>)</w:t>
      </w:r>
      <w:r w:rsidR="00BB6FE1" w:rsidRPr="00273106">
        <w:t>.</w:t>
      </w:r>
      <w:r w:rsidR="00BB6FE1" w:rsidRPr="00273106">
        <w:rPr>
          <w:rStyle w:val="Znakapoznpodarou"/>
        </w:rPr>
        <w:footnoteReference w:id="133"/>
      </w:r>
      <w:r w:rsidR="00BB6FE1" w:rsidRPr="00BB6FE1">
        <w:t xml:space="preserve"> </w:t>
      </w:r>
      <w:r>
        <w:t xml:space="preserve">Aktivní </w:t>
      </w:r>
      <w:r w:rsidR="006727F7" w:rsidRPr="00273106">
        <w:t xml:space="preserve">schopnosti duše </w:t>
      </w:r>
      <w:r>
        <w:t xml:space="preserve">produkují </w:t>
      </w:r>
      <w:r w:rsidR="006727F7" w:rsidRPr="00273106">
        <w:t xml:space="preserve">v </w:t>
      </w:r>
      <w:r>
        <w:t xml:space="preserve">aktu </w:t>
      </w:r>
      <w:r w:rsidR="006727F7" w:rsidRPr="00273106">
        <w:t>syntézy poznané formy</w:t>
      </w:r>
      <w:r>
        <w:t xml:space="preserve">. </w:t>
      </w:r>
      <w:r w:rsidR="08CB2CB9">
        <w:t xml:space="preserve">Aktivní poznávací schopnost duše v modu </w:t>
      </w:r>
      <w:r w:rsidR="00726FDB">
        <w:t xml:space="preserve">osobního </w:t>
      </w:r>
      <w:r w:rsidR="08C80FB6" w:rsidRPr="08C80FB6">
        <w:rPr>
          <w:i/>
        </w:rPr>
        <w:t>i</w:t>
      </w:r>
      <w:r w:rsidRPr="08C80FB6">
        <w:rPr>
          <w:i/>
        </w:rPr>
        <w:t>ntellectus</w:t>
      </w:r>
      <w:r w:rsidRPr="004273EB">
        <w:rPr>
          <w:i/>
        </w:rPr>
        <w:t xml:space="preserve"> agens</w:t>
      </w:r>
      <w:r>
        <w:t xml:space="preserve"> </w:t>
      </w:r>
      <w:r w:rsidR="006727F7" w:rsidRPr="00273106">
        <w:t>navazuje na receptivní akt vytvářejí</w:t>
      </w:r>
      <w:r w:rsidR="006949A3" w:rsidRPr="00273106">
        <w:t xml:space="preserve">cí </w:t>
      </w:r>
      <w:r w:rsidR="006C208B" w:rsidRPr="00273106">
        <w:t xml:space="preserve">skrze abstrakci </w:t>
      </w:r>
      <w:r w:rsidR="006949A3" w:rsidRPr="00273106">
        <w:t>příslušná</w:t>
      </w:r>
      <w:r w:rsidR="006727F7" w:rsidRPr="00273106">
        <w:t xml:space="preserve"> </w:t>
      </w:r>
      <w:r w:rsidR="00927CBB">
        <w:t>smyslová</w:t>
      </w:r>
      <w:r w:rsidR="006E4D71">
        <w:t xml:space="preserve"> a inteligibilní </w:t>
      </w:r>
      <w:r w:rsidR="006A04C6" w:rsidRPr="006A04C6">
        <w:t>species</w:t>
      </w:r>
      <w:r w:rsidR="006727F7" w:rsidRPr="00273106">
        <w:t>.</w:t>
      </w:r>
    </w:p>
    <w:p w14:paraId="5832E2A0" w14:textId="60C425F7" w:rsidR="08D078C6" w:rsidRDefault="08CB2CB9" w:rsidP="002A6222">
      <w:pPr>
        <w:ind w:firstLine="397"/>
      </w:pPr>
      <w:r>
        <w:t xml:space="preserve">Traktát </w:t>
      </w:r>
      <w:r w:rsidR="002A6222">
        <w:rPr>
          <w:i/>
        </w:rPr>
        <w:t xml:space="preserve">De anima et de potenciis eius </w:t>
      </w:r>
      <w:r w:rsidR="002A6222">
        <w:t xml:space="preserve">zahájil </w:t>
      </w:r>
      <w:r w:rsidR="00167258" w:rsidRPr="00273106">
        <w:t xml:space="preserve">nový spor o objektivitu </w:t>
      </w:r>
      <w:r w:rsidR="00637F8B" w:rsidRPr="00273106">
        <w:t>na latinském Západě</w:t>
      </w:r>
      <w:r w:rsidR="00621CE5" w:rsidRPr="00273106">
        <w:t xml:space="preserve">, protože </w:t>
      </w:r>
      <w:r w:rsidR="00AC0EDB">
        <w:t xml:space="preserve">po </w:t>
      </w:r>
      <w:r w:rsidR="002E3B62">
        <w:t>Averroes</w:t>
      </w:r>
      <w:r w:rsidR="00AC0EDB">
        <w:t xml:space="preserve">ovi znovu </w:t>
      </w:r>
      <w:r w:rsidR="00E050E1">
        <w:t>upozornil</w:t>
      </w:r>
      <w:r w:rsidR="00621CE5" w:rsidRPr="00273106">
        <w:t xml:space="preserve"> na zásadní omyl Avicenny</w:t>
      </w:r>
      <w:r w:rsidR="00637F8B" w:rsidRPr="00273106">
        <w:t>.</w:t>
      </w:r>
      <w:r w:rsidR="00167258" w:rsidRPr="00273106">
        <w:t xml:space="preserve"> Jeho oddělený činný intelekt funguje v lidské duši </w:t>
      </w:r>
      <w:r w:rsidR="00145307">
        <w:t xml:space="preserve">mimo diafanum. </w:t>
      </w:r>
      <w:r w:rsidR="088363B7">
        <w:t xml:space="preserve">Autor </w:t>
      </w:r>
      <w:r w:rsidR="00BB6FE1">
        <w:t>inspirovaný Averroesem</w:t>
      </w:r>
      <w:r w:rsidR="00BB6FE1" w:rsidRPr="00273106">
        <w:t xml:space="preserve"> jasně vidí základní omyl Avicenny a celé moderny. </w:t>
      </w:r>
      <w:r w:rsidR="00145307">
        <w:t xml:space="preserve">Avicenna vytváří intelekt </w:t>
      </w:r>
      <w:r w:rsidR="00167258" w:rsidRPr="00273106">
        <w:t xml:space="preserve">jako </w:t>
      </w:r>
      <w:r w:rsidR="00354FEC" w:rsidRPr="00273106">
        <w:t xml:space="preserve">substanciální </w:t>
      </w:r>
      <w:r w:rsidR="00167258"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9F790A" w:rsidRPr="009F790A">
        <w:rPr>
          <w:rStyle w:val="Zvraznn"/>
          <w:i w:val="0"/>
        </w:rPr>
        <w:instrText>:Avicenna</w:instrText>
      </w:r>
      <w:r w:rsidR="003F16A5">
        <w:instrText xml:space="preserve">" </w:instrText>
      </w:r>
      <w:r w:rsidR="003F16A5">
        <w:rPr>
          <w:i/>
        </w:rPr>
        <w:fldChar w:fldCharType="end"/>
      </w:r>
      <w:r w:rsidR="00167258" w:rsidRPr="00273106">
        <w:t xml:space="preserve">, což je nepřijatelné pro proces </w:t>
      </w:r>
      <w:r w:rsidR="004A07B5">
        <w:t xml:space="preserve">personalizovaného </w:t>
      </w:r>
      <w:r w:rsidR="00167258" w:rsidRPr="00273106">
        <w:t>poznání</w:t>
      </w:r>
      <w:r w:rsidR="00D20148" w:rsidRPr="00273106">
        <w:t>.</w:t>
      </w:r>
      <w:r w:rsidR="008113AE" w:rsidRPr="00273106">
        <w:t xml:space="preserve"> </w:t>
      </w:r>
      <w:r w:rsidR="00023FFB" w:rsidRPr="00273106">
        <w:t xml:space="preserve">Duše by ztratila čistě receptivní charakter </w:t>
      </w:r>
      <w:r w:rsidR="00D21690"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D21690" w:rsidRPr="00273106">
        <w:t xml:space="preserve"> </w:t>
      </w:r>
      <w:r w:rsidR="00023FFB" w:rsidRPr="00273106">
        <w:t xml:space="preserve">daný skrze </w:t>
      </w:r>
      <w:r w:rsidR="00023FFB" w:rsidRPr="00273106">
        <w:rPr>
          <w:i/>
        </w:rPr>
        <w:t>intellectus possibilis</w:t>
      </w:r>
      <w:r w:rsidR="08DB4F2B">
        <w:t xml:space="preserve"> </w:t>
      </w:r>
      <w:r w:rsidR="00023FFB" w:rsidRPr="00273106">
        <w:t xml:space="preserve">a nemohla by poznávat svět v jeho úplnosti. </w:t>
      </w:r>
      <w:r w:rsidR="00DE30AD">
        <w:t>Navíc by poznání dete</w:t>
      </w:r>
      <w:r w:rsidR="00043810">
        <w:t>r</w:t>
      </w:r>
      <w:r w:rsidR="00DE30AD">
        <w:t>m</w:t>
      </w:r>
      <w:r w:rsidR="00043810">
        <w:t xml:space="preserve">inované externím intelektem již nebylo v naší moci poznávat a nepoznávat, když sami chceme. </w:t>
      </w:r>
      <w:r w:rsidR="082E026A">
        <w:t xml:space="preserve">Moderna nepotřebuje </w:t>
      </w:r>
      <w:r w:rsidR="082E026A" w:rsidRPr="00B106F2">
        <w:rPr>
          <w:i/>
        </w:rPr>
        <w:t>intellectus possib</w:t>
      </w:r>
      <w:r w:rsidR="082E026A">
        <w:rPr>
          <w:i/>
        </w:rPr>
        <w:t>i</w:t>
      </w:r>
      <w:r w:rsidR="082E026A" w:rsidRPr="00B106F2">
        <w:rPr>
          <w:i/>
        </w:rPr>
        <w:t>lis</w:t>
      </w:r>
      <w:r w:rsidR="082E026A">
        <w:t xml:space="preserve">, protože nemá mediaci, a tím ani pojetí pravdy jako adekvace. </w:t>
      </w:r>
      <w:r w:rsidR="008113AE" w:rsidRPr="00273106">
        <w:t xml:space="preserve">Epochálně nové pojetí </w:t>
      </w:r>
      <w:r w:rsidR="006A04C6" w:rsidRPr="006A04C6">
        <w:t>species</w:t>
      </w:r>
      <w:r w:rsidR="008113AE" w:rsidRPr="00273106">
        <w:t xml:space="preserve"> </w:t>
      </w:r>
      <w:r w:rsidR="00747BEE">
        <w:t xml:space="preserve">definované intencionálním </w:t>
      </w:r>
      <w:r w:rsidR="00496FA8" w:rsidRPr="00273106">
        <w:t>výkon</w:t>
      </w:r>
      <w:r w:rsidR="00747BEE">
        <w:t xml:space="preserve">em </w:t>
      </w:r>
      <w:r w:rsidR="00496FA8" w:rsidRPr="00273106">
        <w:t xml:space="preserve">abstrakce </w:t>
      </w:r>
      <w:r w:rsidR="00747BEE">
        <w:t>znovu nastolilo základní k</w:t>
      </w:r>
      <w:r w:rsidR="008113AE" w:rsidRPr="00273106">
        <w:t>lasif</w:t>
      </w:r>
      <w:r w:rsidR="00747BEE">
        <w:t>ikaci</w:t>
      </w:r>
      <w:r w:rsidR="0081785F" w:rsidRPr="00273106">
        <w:t xml:space="preserve"> intelektu v CMDA. Výkon </w:t>
      </w:r>
      <w:r w:rsidR="008113AE" w:rsidRPr="00273106">
        <w:t xml:space="preserve">individuálního </w:t>
      </w:r>
      <w:r w:rsidR="0081785F" w:rsidRPr="00273106">
        <w:t>intelektu v procesu abstrakce (</w:t>
      </w:r>
      <w:r w:rsidR="008113AE" w:rsidRPr="00273106">
        <w:rPr>
          <w:i/>
        </w:rPr>
        <w:t>tertium</w:t>
      </w:r>
      <w:r w:rsidR="008113AE" w:rsidRPr="00273106">
        <w:t xml:space="preserve"> </w:t>
      </w:r>
      <w:r w:rsidR="00B1298A">
        <w:rPr>
          <w:i/>
        </w:rPr>
        <w:t>genus</w:t>
      </w:r>
      <w:r w:rsidR="00982C89">
        <w:rPr>
          <w:i/>
        </w:rPr>
        <w:fldChar w:fldCharType="begin"/>
      </w:r>
      <w:r w:rsidR="00982C89">
        <w:instrText xml:space="preserve"> XE "</w:instrText>
      </w:r>
      <w:r w:rsidR="00982C89" w:rsidRPr="00D80F84">
        <w:rPr>
          <w:i/>
        </w:rPr>
        <w:instrText>tertium genus</w:instrText>
      </w:r>
      <w:r w:rsidR="00982C89">
        <w:instrText xml:space="preserve">" </w:instrText>
      </w:r>
      <w:r w:rsidR="00982C89">
        <w:rPr>
          <w:i/>
        </w:rPr>
        <w:fldChar w:fldCharType="end"/>
      </w:r>
      <w:r w:rsidR="0081785F" w:rsidRPr="00273106">
        <w:t xml:space="preserve">) je odlišný od </w:t>
      </w:r>
      <w:r w:rsidR="003B05A8">
        <w:t xml:space="preserve">intelektu jako </w:t>
      </w:r>
      <w:r w:rsidR="008113AE" w:rsidRPr="00273106">
        <w:t xml:space="preserve">univerzálního </w:t>
      </w:r>
      <w:r w:rsidR="003B05A8">
        <w:t xml:space="preserve">pojmu </w:t>
      </w:r>
      <w:r w:rsidR="0081785F" w:rsidRPr="00273106">
        <w:t>(</w:t>
      </w:r>
      <w:r w:rsidR="008113AE" w:rsidRPr="00273106">
        <w:rPr>
          <w:i/>
        </w:rPr>
        <w:t xml:space="preserve">quartum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81785F" w:rsidRPr="00273106">
        <w:t>)</w:t>
      </w:r>
      <w:r w:rsidR="008113AE" w:rsidRPr="00273106">
        <w:t xml:space="preserve">. Traktát tuto nauku recipuje tím, že určuje nový statut </w:t>
      </w:r>
      <w:r w:rsidR="006A04C6" w:rsidRPr="006A04C6">
        <w:t>species</w:t>
      </w:r>
      <w:r w:rsidR="00C57F67" w:rsidRPr="00273106">
        <w:t xml:space="preserve"> v reálném procesu abstrakce</w:t>
      </w:r>
      <w:r w:rsidR="00647EA5" w:rsidRPr="00273106">
        <w:t xml:space="preserve"> </w:t>
      </w:r>
      <w:r w:rsidR="08DB4F2B">
        <w:t>(</w:t>
      </w:r>
      <w:r w:rsidR="08DB4F2B" w:rsidRPr="08DB4F2B">
        <w:rPr>
          <w:i/>
        </w:rPr>
        <w:t>intellectio</w:t>
      </w:r>
      <w:r w:rsidR="08DB4F2B">
        <w:t xml:space="preserve">) </w:t>
      </w:r>
      <w:r w:rsidR="00647EA5" w:rsidRPr="00273106">
        <w:t>a</w:t>
      </w:r>
      <w:r w:rsidR="003D1217" w:rsidRPr="00273106">
        <w:t xml:space="preserve"> </w:t>
      </w:r>
      <w:r w:rsidR="00647EA5" w:rsidRPr="00273106">
        <w:t xml:space="preserve">tuto činnost </w:t>
      </w:r>
      <w:r w:rsidR="003D1217" w:rsidRPr="00273106">
        <w:t>o</w:t>
      </w:r>
      <w:r w:rsidR="00647EA5" w:rsidRPr="00273106">
        <w:t xml:space="preserve">dděluje od </w:t>
      </w:r>
      <w:r w:rsidR="00C57F67" w:rsidRPr="00273106">
        <w:t>univerzální</w:t>
      </w:r>
      <w:r w:rsidR="00647EA5" w:rsidRPr="00273106">
        <w:t xml:space="preserve">ho produktu daného </w:t>
      </w:r>
      <w:r w:rsidR="00C57F67" w:rsidRPr="00273106">
        <w:t>v procesu intencionální syntézy po</w:t>
      </w:r>
      <w:r w:rsidR="0010623E" w:rsidRPr="00273106">
        <w:t>znané formy</w:t>
      </w:r>
      <w:r w:rsidR="08DB4F2B">
        <w:t xml:space="preserve"> (</w:t>
      </w:r>
      <w:r w:rsidR="08DB4F2B" w:rsidRPr="08DB4F2B">
        <w:rPr>
          <w:i/>
        </w:rPr>
        <w:t>intellectum</w:t>
      </w:r>
      <w:r w:rsidR="08DB4F2B">
        <w:t>)</w:t>
      </w:r>
      <w:r w:rsidR="008113AE" w:rsidRPr="00273106">
        <w:t>.</w:t>
      </w:r>
      <w:r w:rsidR="00032E96" w:rsidRPr="00273106">
        <w:t xml:space="preserve"> </w:t>
      </w:r>
      <w:r w:rsidR="08BF565F">
        <w:t>D</w:t>
      </w:r>
      <w:r w:rsidR="08BF565F" w:rsidRPr="00273106">
        <w:t xml:space="preserve">ualismus moderny a postmoderny vznikl </w:t>
      </w:r>
      <w:r w:rsidR="08BF565F">
        <w:t>n</w:t>
      </w:r>
      <w:r w:rsidR="08DA67E6" w:rsidRPr="00273106">
        <w:t xml:space="preserve">epochopením role materiálního intelektu daného v prvním averroismu jako </w:t>
      </w:r>
      <w:r w:rsidR="08DA67E6" w:rsidRPr="00273106">
        <w:rPr>
          <w:i/>
        </w:rPr>
        <w:t>intellectus possibilis</w:t>
      </w:r>
      <w:r w:rsidR="08DA67E6" w:rsidRPr="00273106">
        <w:t>.</w:t>
      </w:r>
      <w:r w:rsidR="08DA67E6">
        <w:t xml:space="preserve"> </w:t>
      </w:r>
      <w:r w:rsidR="000E5847">
        <w:t>Neoplatonš</w:t>
      </w:r>
      <w:r w:rsidR="00437E96">
        <w:t>tí s</w:t>
      </w:r>
      <w:r w:rsidR="00B81E54" w:rsidRPr="00273106">
        <w:t xml:space="preserve">oučasníci </w:t>
      </w:r>
      <w:r w:rsidR="08EE5205">
        <w:t xml:space="preserve">Blundovy školy </w:t>
      </w:r>
      <w:r w:rsidR="00B81E54" w:rsidRPr="00273106">
        <w:t xml:space="preserve">se </w:t>
      </w:r>
      <w:r w:rsidR="006B727C" w:rsidRPr="00273106">
        <w:t>nezajímali o skutečný průběh poznání</w:t>
      </w:r>
      <w:r w:rsidR="00D47F5D" w:rsidRPr="00273106">
        <w:t xml:space="preserve"> determinovaný </w:t>
      </w:r>
      <w:r w:rsidR="00D42088">
        <w:t xml:space="preserve">reálnou </w:t>
      </w:r>
      <w:r w:rsidR="00D47F5D" w:rsidRPr="00273106">
        <w:t>věcí</w:t>
      </w:r>
      <w:r w:rsidR="00437E96">
        <w:t xml:space="preserve">. </w:t>
      </w:r>
      <w:r w:rsidR="00654609">
        <w:t>Moderní porretány z</w:t>
      </w:r>
      <w:r w:rsidR="00437E96">
        <w:t xml:space="preserve">ajímal </w:t>
      </w:r>
      <w:r w:rsidR="08EE5205">
        <w:t xml:space="preserve">a zajímá </w:t>
      </w:r>
      <w:r w:rsidR="00437E96">
        <w:t>pouze statut formy univočně dané ve věci i v mysli a  determinované</w:t>
      </w:r>
      <w:r w:rsidR="008C70DF" w:rsidRPr="00273106">
        <w:t xml:space="preserve"> skrze </w:t>
      </w:r>
      <w:r w:rsidR="009F2000" w:rsidRPr="00273106">
        <w:t xml:space="preserve">akt </w:t>
      </w:r>
      <w:r w:rsidR="008C70DF" w:rsidRPr="00273106">
        <w:rPr>
          <w:i/>
        </w:rPr>
        <w:t>certitudo</w:t>
      </w:r>
      <w:r w:rsidR="001C51A3">
        <w:rPr>
          <w:i/>
        </w:rPr>
        <w:fldChar w:fldCharType="begin"/>
      </w:r>
      <w:r w:rsidR="001C51A3">
        <w:instrText xml:space="preserve"> XE "pravda:</w:instrText>
      </w:r>
      <w:r w:rsidR="001C51A3" w:rsidRPr="00257F2B">
        <w:rPr>
          <w:i/>
        </w:rPr>
        <w:instrText>certitudo</w:instrText>
      </w:r>
      <w:r w:rsidR="001C51A3">
        <w:instrText xml:space="preserve">" </w:instrText>
      </w:r>
      <w:r w:rsidR="001C51A3">
        <w:rPr>
          <w:i/>
        </w:rPr>
        <w:fldChar w:fldCharType="end"/>
      </w:r>
      <w:r w:rsidR="009F2000" w:rsidRPr="00273106">
        <w:rPr>
          <w:i/>
        </w:rPr>
        <w:t xml:space="preserve">, </w:t>
      </w:r>
      <w:r w:rsidR="009F2000" w:rsidRPr="00273106">
        <w:t>v němž splynul náhle</w:t>
      </w:r>
      <w:r w:rsidR="00CC4FE6">
        <w:t>d věčné formy a její kontinge</w:t>
      </w:r>
      <w:r w:rsidR="009F2000" w:rsidRPr="00273106">
        <w:t>nt</w:t>
      </w:r>
      <w:r w:rsidR="00CC4FE6">
        <w:t>n</w:t>
      </w:r>
      <w:r w:rsidR="009F2000" w:rsidRPr="00273106">
        <w:t>í variace v reálné věci</w:t>
      </w:r>
      <w:r w:rsidR="00654609">
        <w:t xml:space="preserve"> (kap. 3.5)</w:t>
      </w:r>
      <w:r w:rsidR="006B727C" w:rsidRPr="00273106">
        <w:t xml:space="preserve">. </w:t>
      </w:r>
      <w:r w:rsidR="00C26AC9">
        <w:t>A</w:t>
      </w:r>
      <w:r w:rsidR="000D7054" w:rsidRPr="00273106">
        <w:t xml:space="preserve">vicennistický </w:t>
      </w:r>
      <w:r w:rsidR="00170629" w:rsidRPr="00273106">
        <w:rPr>
          <w:i/>
        </w:rPr>
        <w:t>intellectus adeptus</w:t>
      </w:r>
      <w:r w:rsidR="00332701">
        <w:rPr>
          <w:i/>
        </w:rPr>
        <w:fldChar w:fldCharType="begin"/>
      </w:r>
      <w:r w:rsidR="00332701">
        <w:instrText xml:space="preserve"> XE "</w:instrText>
      </w:r>
      <w:r w:rsidR="00332701" w:rsidRPr="00F77FCE">
        <w:rPr>
          <w:i/>
        </w:rPr>
        <w:instrText>intellectus adeptus</w:instrText>
      </w:r>
      <w:r w:rsidR="006D1227">
        <w:instrText>:</w:instrText>
      </w:r>
      <w:r w:rsidR="006D1227" w:rsidRPr="006D1227">
        <w:instrText>Avicenna</w:instrText>
      </w:r>
      <w:r w:rsidR="00332701">
        <w:instrText xml:space="preserve">" </w:instrText>
      </w:r>
      <w:r w:rsidR="00332701">
        <w:rPr>
          <w:i/>
        </w:rPr>
        <w:fldChar w:fldCharType="end"/>
      </w:r>
      <w:r w:rsidR="007B49C1" w:rsidRPr="00273106">
        <w:t xml:space="preserve"> </w:t>
      </w:r>
      <w:r w:rsidR="000D7054" w:rsidRPr="00273106">
        <w:t>poznává</w:t>
      </w:r>
      <w:r w:rsidR="006A3076" w:rsidRPr="00273106">
        <w:t xml:space="preserve"> </w:t>
      </w:r>
      <w:r w:rsidR="005A0930" w:rsidRPr="00273106">
        <w:t xml:space="preserve">čisté formy v jejich </w:t>
      </w:r>
      <w:r w:rsidR="005A0930" w:rsidRPr="00273106">
        <w:rPr>
          <w:i/>
        </w:rPr>
        <w:t>quidditas</w:t>
      </w:r>
      <w:r w:rsidR="00782210">
        <w:rPr>
          <w:i/>
        </w:rPr>
        <w:fldChar w:fldCharType="begin"/>
      </w:r>
      <w:r w:rsidR="00782210">
        <w:instrText xml:space="preserve"> XE "</w:instrText>
      </w:r>
      <w:r w:rsidR="08E6733C">
        <w:rPr>
          <w:i/>
        </w:rPr>
        <w:instrText>quidditas</w:instrText>
      </w:r>
      <w:r w:rsidR="00782210">
        <w:instrText xml:space="preserve">" </w:instrText>
      </w:r>
      <w:r w:rsidR="00782210">
        <w:rPr>
          <w:i/>
        </w:rPr>
        <w:fldChar w:fldCharType="end"/>
      </w:r>
      <w:r w:rsidR="005A0930" w:rsidRPr="00273106">
        <w:t xml:space="preserve"> </w:t>
      </w:r>
      <w:r w:rsidR="006A3076" w:rsidRPr="00273106">
        <w:lastRenderedPageBreak/>
        <w:t xml:space="preserve">díky </w:t>
      </w:r>
      <w:r w:rsidR="00D82A03" w:rsidRPr="00273106">
        <w:t>aktivnímu intelektu ve vyšším patře</w:t>
      </w:r>
      <w:r w:rsidR="006A3076" w:rsidRPr="00273106">
        <w:t xml:space="preserve"> </w:t>
      </w:r>
      <w:r w:rsidR="00D82A03" w:rsidRPr="00273106">
        <w:t xml:space="preserve">čisté </w:t>
      </w:r>
      <w:r w:rsidR="006A3076" w:rsidRPr="00273106">
        <w:t>int</w:t>
      </w:r>
      <w:r w:rsidR="005A0930" w:rsidRPr="00273106">
        <w:t>ence</w:t>
      </w:r>
      <w:r w:rsidR="00CF1C12" w:rsidRPr="00273106">
        <w:t xml:space="preserve"> forem </w:t>
      </w:r>
      <w:r w:rsidR="007C4D0F" w:rsidRPr="00273106">
        <w:t xml:space="preserve">vnímaných </w:t>
      </w:r>
      <w:r w:rsidR="00CF1C12" w:rsidRPr="00273106">
        <w:t>nov</w:t>
      </w:r>
      <w:r w:rsidR="00FF356B" w:rsidRPr="00273106">
        <w:t>ým typem</w:t>
      </w:r>
      <w:r w:rsidR="00CF1C12" w:rsidRPr="00273106">
        <w:t xml:space="preserve"> abstrakc</w:t>
      </w:r>
      <w:r w:rsidR="00FF356B" w:rsidRPr="00273106">
        <w:t>e</w:t>
      </w:r>
      <w:r w:rsidR="006A3076" w:rsidRPr="00273106">
        <w:t xml:space="preserve"> (</w:t>
      </w:r>
      <w:r w:rsidR="006A3076" w:rsidRPr="00273106">
        <w:rPr>
          <w:i/>
        </w:rPr>
        <w:t>denudatio</w:t>
      </w:r>
      <w:r w:rsidR="00D44795">
        <w:rPr>
          <w:i/>
        </w:rPr>
        <w:fldChar w:fldCharType="begin"/>
      </w:r>
      <w:r w:rsidR="00D44795">
        <w:instrText xml:space="preserve"> XE "</w:instrText>
      </w:r>
      <w:r w:rsidR="00D44795" w:rsidRPr="00C23100">
        <w:rPr>
          <w:i/>
        </w:rPr>
        <w:instrText>denudatio</w:instrText>
      </w:r>
      <w:r w:rsidR="001C51A3" w:rsidRPr="001C51A3">
        <w:instrText>:druhý averroismus</w:instrText>
      </w:r>
      <w:r w:rsidR="00D44795">
        <w:instrText xml:space="preserve">" </w:instrText>
      </w:r>
      <w:r w:rsidR="00D44795">
        <w:rPr>
          <w:i/>
        </w:rPr>
        <w:fldChar w:fldCharType="end"/>
      </w:r>
      <w:r w:rsidR="006A3076" w:rsidRPr="00273106">
        <w:t>)</w:t>
      </w:r>
      <w:r w:rsidR="002659F3" w:rsidRPr="00273106">
        <w:t xml:space="preserve">. </w:t>
      </w:r>
      <w:r w:rsidR="007E2279" w:rsidRPr="00273106">
        <w:t xml:space="preserve">Rozdíl mezi pojetím </w:t>
      </w:r>
      <w:r w:rsidR="006A04C6" w:rsidRPr="006A04C6">
        <w:t>species</w:t>
      </w:r>
      <w:r w:rsidR="007E2279" w:rsidRPr="00273106">
        <w:t xml:space="preserve"> daném v tom či onom druhu abstrakce je pro hermeneutiku objektivity zcela zásadní, protože indikuje v rámci </w:t>
      </w:r>
      <w:r w:rsidR="00FB1752">
        <w:t xml:space="preserve">Heideggerova fenomenologického </w:t>
      </w:r>
      <w:r w:rsidR="000112DD">
        <w:t>„</w:t>
      </w:r>
      <w:r w:rsidR="007E2279" w:rsidRPr="00273106">
        <w:rPr>
          <w:i/>
        </w:rPr>
        <w:t>Wie</w:t>
      </w:r>
      <w:r w:rsidR="000112DD">
        <w:t>“</w:t>
      </w:r>
      <w:r w:rsidR="007E2279" w:rsidRPr="00273106">
        <w:t xml:space="preserve"> </w:t>
      </w:r>
      <w:r w:rsidR="00827DEC">
        <w:t xml:space="preserve">dvojí </w:t>
      </w:r>
      <w:r w:rsidR="007E2279" w:rsidRPr="00273106">
        <w:t xml:space="preserve">epochální danost smyslu jsoucího. </w:t>
      </w:r>
      <w:r w:rsidR="00F3643A">
        <w:t>U</w:t>
      </w:r>
      <w:r w:rsidR="008F1753">
        <w:t xml:space="preserve">niverzální a nemateriální </w:t>
      </w:r>
      <w:r w:rsidR="006A04C6" w:rsidRPr="006A04C6">
        <w:t>species</w:t>
      </w:r>
      <w:r w:rsidR="00F64FD1" w:rsidRPr="00273106">
        <w:t xml:space="preserve"> prvního averroismu </w:t>
      </w:r>
      <w:r w:rsidR="008F1753">
        <w:t xml:space="preserve">se zásadně liší od hylemorfické formy reálné věci. A zcela pochopitelně se liší od objektivního </w:t>
      </w:r>
      <w:r w:rsidR="006A04C6" w:rsidRPr="006A04C6">
        <w:t>species</w:t>
      </w:r>
      <w:r w:rsidR="000D73A3">
        <w:t xml:space="preserve"> daného</w:t>
      </w:r>
      <w:r w:rsidR="009301F2" w:rsidRPr="00273106">
        <w:t xml:space="preserve"> jako hypostázované </w:t>
      </w:r>
      <w:r w:rsidR="009301F2" w:rsidRPr="00273106">
        <w:rPr>
          <w:i/>
        </w:rPr>
        <w:t>tertium ens</w:t>
      </w:r>
      <w:r w:rsidR="009301F2" w:rsidRPr="00273106">
        <w:t xml:space="preserve"> porretánů a </w:t>
      </w:r>
      <w:r w:rsidR="009301F2" w:rsidRPr="00273106">
        <w:rPr>
          <w:i/>
        </w:rPr>
        <w:t>Nominales</w:t>
      </w:r>
      <w:r w:rsidR="009301F2" w:rsidRPr="00273106">
        <w:t>.</w:t>
      </w:r>
      <w:r w:rsidR="009004E3">
        <w:t xml:space="preserve"> </w:t>
      </w:r>
      <w:r w:rsidR="009F0A79" w:rsidRPr="00273106">
        <w:t xml:space="preserve">Tříbení duchů a přelom epochy nastává kolem 1225‒30, kdy první generace latinských myslitelů </w:t>
      </w:r>
      <w:r w:rsidR="009F0A79">
        <w:t>musela volit</w:t>
      </w:r>
      <w:r w:rsidR="009F0A79" w:rsidRPr="00273106">
        <w:t xml:space="preserve"> mezi oběma protikladnými přístupy k</w:t>
      </w:r>
      <w:r w:rsidR="009F0A79">
        <w:t>e</w:t>
      </w:r>
      <w:r w:rsidR="009F0A79" w:rsidRPr="00273106">
        <w:t xml:space="preserve"> smyslu jsoucího. </w:t>
      </w:r>
      <w:r w:rsidR="009F0A79">
        <w:t xml:space="preserve">První skupina kolem Blunda četla </w:t>
      </w:r>
      <w:r w:rsidR="0892410A">
        <w:t xml:space="preserve">spis </w:t>
      </w:r>
      <w:r w:rsidR="009F0A79" w:rsidRPr="009F6CC2">
        <w:rPr>
          <w:i/>
        </w:rPr>
        <w:t>De anima</w:t>
      </w:r>
      <w:r w:rsidR="0892410A">
        <w:t xml:space="preserve"> a hledala jeho</w:t>
      </w:r>
      <w:r w:rsidR="0070563C">
        <w:t xml:space="preserve"> plný význam</w:t>
      </w:r>
      <w:r w:rsidR="088C7F7D">
        <w:t>, p</w:t>
      </w:r>
      <w:r w:rsidR="009F0A79">
        <w:t>roto kritick</w:t>
      </w:r>
      <w:r w:rsidR="088C7F7D">
        <w:t xml:space="preserve">y bránila autonomii filosofie. První averroismus </w:t>
      </w:r>
      <w:r w:rsidR="009F0A79">
        <w:t xml:space="preserve">oddělil přirozené poznání od iluminační </w:t>
      </w:r>
      <w:r w:rsidR="08236E84">
        <w:t>teorie t</w:t>
      </w:r>
      <w:r w:rsidR="084A7709">
        <w:t>oletánů, od m</w:t>
      </w:r>
      <w:r w:rsidR="009F0A79">
        <w:t xml:space="preserve">ystické teologie augustiniánského avicennismu a </w:t>
      </w:r>
      <w:r w:rsidR="084A7709">
        <w:t xml:space="preserve">od vznikající </w:t>
      </w:r>
      <w:r w:rsidR="009F0A79">
        <w:t xml:space="preserve">moderny. </w:t>
      </w:r>
      <w:r w:rsidR="082E6632">
        <w:t>Aristotelská škola v Paříži p</w:t>
      </w:r>
      <w:r w:rsidR="00D965C1">
        <w:t xml:space="preserve">řijala </w:t>
      </w:r>
      <w:r w:rsidR="00C83C07">
        <w:t>překlady Averroese z Toledské školy</w:t>
      </w:r>
      <w:r w:rsidR="0004582A">
        <w:fldChar w:fldCharType="begin"/>
      </w:r>
      <w:r w:rsidR="0004582A">
        <w:instrText xml:space="preserve"> XE "</w:instrText>
      </w:r>
      <w:r w:rsidR="004A155A">
        <w:instrText>Toledská škola</w:instrText>
      </w:r>
      <w:r w:rsidR="0004582A">
        <w:instrText xml:space="preserve">" </w:instrText>
      </w:r>
      <w:r w:rsidR="0004582A">
        <w:fldChar w:fldCharType="end"/>
      </w:r>
      <w:r w:rsidR="00C83C07">
        <w:t xml:space="preserve">, ale nikoliv její avicennismus, protože byl v rozporu s jejich vlastním výkladem </w:t>
      </w:r>
      <w:r w:rsidR="00C83C07" w:rsidRPr="00C83C07">
        <w:rPr>
          <w:i/>
        </w:rPr>
        <w:t>De anima</w:t>
      </w:r>
      <w:r w:rsidR="00C83C07">
        <w:t xml:space="preserve">. </w:t>
      </w:r>
      <w:r w:rsidR="08EA23FA" w:rsidRPr="00273106">
        <w:t xml:space="preserve">První vlna averroismu </w:t>
      </w:r>
      <w:r w:rsidR="08EA23FA">
        <w:t xml:space="preserve">bez výhrad přijala </w:t>
      </w:r>
      <w:r w:rsidR="08EA23FA" w:rsidRPr="00273106">
        <w:t xml:space="preserve">nové pojetí intencionality navázané na </w:t>
      </w:r>
      <w:r w:rsidR="08EA23FA">
        <w:t>Averroes</w:t>
      </w:r>
      <w:r w:rsidR="08EA23FA" w:rsidRPr="00273106">
        <w:t xml:space="preserve">ův </w:t>
      </w:r>
      <w:r w:rsidR="08EA23FA" w:rsidRPr="00273106">
        <w:rPr>
          <w:i/>
        </w:rPr>
        <w:t xml:space="preserve">intellectus </w:t>
      </w:r>
      <w:r w:rsidR="082E6632">
        <w:rPr>
          <w:i/>
        </w:rPr>
        <w:t>materialis/</w:t>
      </w:r>
      <w:r w:rsidR="08EA23FA" w:rsidRPr="00273106">
        <w:rPr>
          <w:i/>
        </w:rPr>
        <w:t>possibilis</w:t>
      </w:r>
      <w:r w:rsidR="08EA23FA" w:rsidRPr="00273106">
        <w:t xml:space="preserve"> daný v CMDA. </w:t>
      </w:r>
      <w:r w:rsidR="08F13CFB" w:rsidRPr="00273106">
        <w:t xml:space="preserve">V návaznosti na </w:t>
      </w:r>
      <w:r w:rsidR="08F13CFB">
        <w:t>Averroes</w:t>
      </w:r>
      <w:r w:rsidR="08F13CFB" w:rsidRPr="00273106">
        <w:t xml:space="preserve">ovo pojetí abstrakce a intencionality vznikl nový druh formální podobnosti mezi smyslovými a inteligibilními </w:t>
      </w:r>
      <w:r w:rsidR="006A04C6" w:rsidRPr="006A04C6">
        <w:t>species</w:t>
      </w:r>
      <w:r w:rsidR="08F13CFB" w:rsidRPr="00273106">
        <w:t>.</w:t>
      </w:r>
      <w:r w:rsidR="08F13CFB">
        <w:t xml:space="preserve"> </w:t>
      </w:r>
      <w:r w:rsidR="00C83C07">
        <w:t xml:space="preserve">Zásadní rozdíl byl ve statutu </w:t>
      </w:r>
      <w:r w:rsidR="006A04C6" w:rsidRPr="006A04C6">
        <w:t>species</w:t>
      </w:r>
      <w:r w:rsidR="003E0B6A">
        <w:t xml:space="preserve"> a ně naváza</w:t>
      </w:r>
      <w:r w:rsidR="00C83C07">
        <w:t xml:space="preserve">né roli buď plně osobního nebo částečně odděleného </w:t>
      </w:r>
      <w:r w:rsidR="00C83C07" w:rsidRPr="00C83C07">
        <w:rPr>
          <w:i/>
        </w:rPr>
        <w:t>intellectus agens</w:t>
      </w:r>
      <w:r w:rsidR="00C83C07">
        <w:t xml:space="preserve">, který Toledská škola vykládala v rozporu s literou CMDA. </w:t>
      </w:r>
      <w:r w:rsidR="009F0A79">
        <w:t xml:space="preserve">První averroismus přijal spis CMDA jako autentický výklad Aristotelovy </w:t>
      </w:r>
      <w:r w:rsidR="006A79DF" w:rsidRPr="006A79DF">
        <w:rPr>
          <w:i/>
        </w:rPr>
        <w:t>De anima</w:t>
      </w:r>
      <w:r w:rsidR="006A79DF">
        <w:t xml:space="preserve"> </w:t>
      </w:r>
      <w:r w:rsidR="009F0A79">
        <w:t>a přesně pochopil</w:t>
      </w:r>
      <w:r w:rsidR="002E53BB">
        <w:t xml:space="preserve"> kolem roku 1225</w:t>
      </w:r>
      <w:r w:rsidR="009F0A79">
        <w:t xml:space="preserve">, čím se </w:t>
      </w:r>
      <w:r w:rsidR="002E3B62">
        <w:t>Averroes</w:t>
      </w:r>
      <w:r w:rsidR="009F0A79">
        <w:t>ův výklad první filosofie liší od Avicennových omylů</w:t>
      </w:r>
      <w:r w:rsidR="000E5DA0">
        <w:t>, které bohužel sdílela Toledská škola</w:t>
      </w:r>
      <w:r w:rsidR="080B2FA1">
        <w:t>.</w:t>
      </w:r>
      <w:r w:rsidR="084C34CC">
        <w:t xml:space="preserve"> </w:t>
      </w:r>
    </w:p>
    <w:p w14:paraId="332D0C03" w14:textId="6DA71DE7" w:rsidR="08C027E4" w:rsidRDefault="00C51568" w:rsidP="086C1F19">
      <w:pPr>
        <w:pStyle w:val="Nadpis3"/>
      </w:pPr>
      <w:bookmarkStart w:id="60" w:name="_Toc487234301"/>
      <w:bookmarkStart w:id="61" w:name="_Toc12558308"/>
      <w:r>
        <w:rPr>
          <w:lang w:val="cs-CZ"/>
        </w:rPr>
        <w:br w:type="page"/>
      </w:r>
      <w:bookmarkStart w:id="62" w:name="_Toc160449320"/>
      <w:r w:rsidR="08D20D28">
        <w:rPr>
          <w:lang w:val="cs-CZ"/>
        </w:rPr>
        <w:lastRenderedPageBreak/>
        <w:t>2</w:t>
      </w:r>
      <w:r w:rsidR="08C027E4">
        <w:t xml:space="preserve">.2.2 </w:t>
      </w:r>
      <w:r w:rsidR="083E2997">
        <w:t>Étos</w:t>
      </w:r>
      <w:r w:rsidR="08C027E4">
        <w:t xml:space="preserve"> prvního averroismu (</w:t>
      </w:r>
      <w:r w:rsidR="08C027E4" w:rsidRPr="08873708">
        <w:rPr>
          <w:i/>
        </w:rPr>
        <w:t>De potentiis animae et obiectis</w:t>
      </w:r>
      <w:r w:rsidR="08C027E4">
        <w:t>)</w:t>
      </w:r>
      <w:bookmarkEnd w:id="60"/>
      <w:bookmarkEnd w:id="61"/>
      <w:bookmarkEnd w:id="62"/>
    </w:p>
    <w:p w14:paraId="3B71C66E" w14:textId="0BDB42D4" w:rsidR="00CC26F0" w:rsidRDefault="080B2FA1" w:rsidP="00B14EDC">
      <w:r>
        <w:t>Příchod Scota do Paříže roku 1230 ukázal zásadní tříbení akademických duchů rozdělených podle interpretace Sicilské</w:t>
      </w:r>
      <w:r>
        <w:fldChar w:fldCharType="begin"/>
      </w:r>
      <w:r>
        <w:instrText xml:space="preserve"> XE "Sicilská škola" </w:instrText>
      </w:r>
      <w:r>
        <w:fldChar w:fldCharType="end"/>
      </w:r>
      <w:r>
        <w:t xml:space="preserve"> nebo Toledské školy. S</w:t>
      </w:r>
      <w:r w:rsidRPr="00273106">
        <w:t xml:space="preserve">kupina </w:t>
      </w:r>
      <w:r>
        <w:t xml:space="preserve">tradicionalistických </w:t>
      </w:r>
      <w:r w:rsidRPr="00273106">
        <w:t xml:space="preserve">myslitelů </w:t>
      </w:r>
      <w:r>
        <w:t>ze skupiny augustiniánského avicennismu kolem Filipa Kancléře</w:t>
      </w:r>
      <w:r>
        <w:fldChar w:fldCharType="begin"/>
      </w:r>
      <w:r>
        <w:instrText xml:space="preserve"> XE "</w:instrText>
      </w:r>
      <w:r w:rsidRPr="00BE4220">
        <w:instrText>Filip Kancléř</w:instrText>
      </w:r>
      <w:r>
        <w:instrText xml:space="preserve">" </w:instrText>
      </w:r>
      <w:r>
        <w:fldChar w:fldCharType="end"/>
      </w:r>
      <w:r>
        <w:t xml:space="preserve"> napojená na výklad Averroese podle Toledské školy předvedla zmatenou recepci CMDA.</w:t>
      </w:r>
      <w:r w:rsidRPr="0866657B">
        <w:t xml:space="preserve"> </w:t>
      </w:r>
      <w:r>
        <w:t xml:space="preserve">Filip Kancléř cituje v díle </w:t>
      </w:r>
      <w:r>
        <w:rPr>
          <w:i/>
        </w:rPr>
        <w:t>Summa de b</w:t>
      </w:r>
      <w:r w:rsidRPr="0021544E">
        <w:rPr>
          <w:i/>
        </w:rPr>
        <w:t>ono</w:t>
      </w:r>
      <w:r>
        <w:t xml:space="preserve"> Averroese pod zkomoleným jménem, ale jeho spisy už zná (De Vaux 1933, 237). Hermeneutika zdůrazňuje základní rozdíl proti prvnímu averroismu, který se týká rozdílného pojetí formálního intelektu a </w:t>
      </w:r>
      <w:r w:rsidR="006A04C6" w:rsidRPr="006A04C6">
        <w:t>species</w:t>
      </w:r>
      <w:r w:rsidRPr="00273106">
        <w:t>.</w:t>
      </w:r>
      <w:r>
        <w:t xml:space="preserve"> </w:t>
      </w:r>
      <w:r w:rsidRPr="00273106">
        <w:t xml:space="preserve">Do nového rámce poznání daného aktualizací intelektu směrem od smyslově poznané věci mediatizované skrze </w:t>
      </w:r>
      <w:r w:rsidRPr="00273106">
        <w:rPr>
          <w:i/>
        </w:rPr>
        <w:t>intellectus possibilis</w:t>
      </w:r>
      <w:r w:rsidRPr="00273106">
        <w:t xml:space="preserve"> lze </w:t>
      </w:r>
      <w:r>
        <w:t xml:space="preserve">pak </w:t>
      </w:r>
      <w:r w:rsidRPr="00273106">
        <w:t xml:space="preserve">zasadit všechny ostatní prvky z tehdy známé </w:t>
      </w:r>
      <w:r>
        <w:t xml:space="preserve">scholastické klasifikace </w:t>
      </w:r>
      <w:r w:rsidRPr="00273106">
        <w:t>Avicenny, tj. aktualizaci různých forem smyslového vnímání (</w:t>
      </w:r>
      <w:r w:rsidRPr="00273106">
        <w:rPr>
          <w:i/>
        </w:rPr>
        <w:t>sensus communis</w:t>
      </w:r>
      <w:r w:rsidRPr="00273106">
        <w:t xml:space="preserve">, </w:t>
      </w:r>
      <w:r w:rsidRPr="00273106">
        <w:rPr>
          <w:i/>
        </w:rPr>
        <w:t>aestimatio</w:t>
      </w:r>
      <w:r w:rsidRPr="00273106">
        <w:t xml:space="preserve">, </w:t>
      </w:r>
      <w:r w:rsidRPr="00273106">
        <w:rPr>
          <w:i/>
        </w:rPr>
        <w:t>imaginatio</w:t>
      </w:r>
      <w:r w:rsidRPr="00273106">
        <w:t xml:space="preserve">, </w:t>
      </w:r>
      <w:r w:rsidRPr="00273106">
        <w:rPr>
          <w:i/>
        </w:rPr>
        <w:t>memoria</w:t>
      </w:r>
      <w:r>
        <w:rPr>
          <w:i/>
        </w:rPr>
        <w:fldChar w:fldCharType="begin"/>
      </w:r>
      <w:r>
        <w:instrText xml:space="preserve"> XE "</w:instrText>
      </w:r>
      <w:r w:rsidRPr="00840D0F">
        <w:rPr>
          <w:i/>
        </w:rPr>
        <w:instrText>memoria</w:instrText>
      </w:r>
      <w:r w:rsidRPr="001C51A3">
        <w:instrText>:první</w:instrText>
      </w:r>
      <w:r>
        <w:rPr>
          <w:i/>
        </w:rPr>
        <w:instrText xml:space="preserve"> </w:instrText>
      </w:r>
      <w:r w:rsidRPr="00840D0F">
        <w:instrText>averroismus</w:instrText>
      </w:r>
      <w:r>
        <w:instrText xml:space="preserve">" </w:instrText>
      </w:r>
      <w:r>
        <w:rPr>
          <w:i/>
        </w:rPr>
        <w:fldChar w:fldCharType="end"/>
      </w:r>
      <w:r w:rsidRPr="00273106">
        <w:t>), a nakonec i různých forem intelektu (</w:t>
      </w:r>
      <w:r w:rsidR="00A66264" w:rsidRPr="00A23853">
        <w:rPr>
          <w:i/>
          <w:szCs w:val="24"/>
        </w:rPr>
        <w:t>materialis</w:t>
      </w:r>
      <w:r w:rsidR="00A66264" w:rsidRPr="00DC6664">
        <w:rPr>
          <w:i/>
          <w:szCs w:val="24"/>
        </w:rPr>
        <w:t xml:space="preserve">, </w:t>
      </w:r>
      <w:r w:rsidR="00A66264">
        <w:rPr>
          <w:i/>
          <w:szCs w:val="24"/>
        </w:rPr>
        <w:t xml:space="preserve">in potentia, </w:t>
      </w:r>
      <w:r w:rsidR="008B0F7F">
        <w:rPr>
          <w:i/>
          <w:szCs w:val="24"/>
        </w:rPr>
        <w:t xml:space="preserve">formalis, </w:t>
      </w:r>
      <w:r w:rsidR="00A66264" w:rsidRPr="00DC6664">
        <w:rPr>
          <w:i/>
          <w:szCs w:val="24"/>
        </w:rPr>
        <w:t>agens</w:t>
      </w:r>
      <w:r w:rsidRPr="00273106">
        <w:t xml:space="preserve">). </w:t>
      </w:r>
      <w:r>
        <w:t xml:space="preserve">Tuto kategorizaci </w:t>
      </w:r>
      <w:r w:rsidR="00F0563B">
        <w:t xml:space="preserve">jsme analyzovali v předešlé kapitole věnované </w:t>
      </w:r>
      <w:r w:rsidRPr="00273106">
        <w:t>traktátu</w:t>
      </w:r>
      <w:r>
        <w:t xml:space="preserve"> </w:t>
      </w:r>
      <w:r>
        <w:rPr>
          <w:i/>
        </w:rPr>
        <w:t>De anima et de potenciis eius</w:t>
      </w:r>
      <w:r w:rsidR="00F0563B">
        <w:t>, který svedl</w:t>
      </w:r>
      <w:r w:rsidRPr="00273106">
        <w:t xml:space="preserve"> na scestí v</w:t>
      </w:r>
      <w:r>
        <w:t>ětšinu současných komentátorů</w:t>
      </w:r>
      <w:r w:rsidR="00F0563B">
        <w:t xml:space="preserve">. Jejich </w:t>
      </w:r>
      <w:r>
        <w:t xml:space="preserve">předporozumění tohoto období je formováno v duchu objektivního avicennismu. Jejich akademický </w:t>
      </w:r>
      <w:r w:rsidR="08DD0FBD">
        <w:t xml:space="preserve">pohled </w:t>
      </w:r>
      <w:r>
        <w:t xml:space="preserve">daný Avicennou se liší od </w:t>
      </w:r>
      <w:r w:rsidRPr="00273106">
        <w:t>kritického Gauthiera</w:t>
      </w:r>
      <w:r>
        <w:t>. Ten pochopil, že tento spis zahájil novou epochu myšlení na latinském Západě, protože založil novou filosofickou školu</w:t>
      </w:r>
      <w:r w:rsidRPr="00273106">
        <w:t>.</w:t>
      </w:r>
      <w:r>
        <w:t xml:space="preserve"> </w:t>
      </w:r>
      <w:r w:rsidRPr="00273106">
        <w:t xml:space="preserve">Hermeneutika proto odmítá univoční pojetí </w:t>
      </w:r>
      <w:r w:rsidRPr="00273106">
        <w:rPr>
          <w:i/>
        </w:rPr>
        <w:t>intellectus formalis</w:t>
      </w:r>
      <w:r>
        <w:rPr>
          <w:i/>
        </w:rPr>
        <w:fldChar w:fldCharType="begin"/>
      </w:r>
      <w:r>
        <w:instrText xml:space="preserve"> XE "</w:instrText>
      </w:r>
      <w:r w:rsidRPr="000238B8">
        <w:rPr>
          <w:i/>
        </w:rPr>
        <w:instrText>intellectus formalis:</w:instrText>
      </w:r>
      <w:r w:rsidRPr="000238B8">
        <w:instrText>Blund</w:instrText>
      </w:r>
      <w:r>
        <w:instrText xml:space="preserve">" </w:instrText>
      </w:r>
      <w:r>
        <w:rPr>
          <w:i/>
        </w:rPr>
        <w:fldChar w:fldCharType="end"/>
      </w:r>
      <w:r>
        <w:t xml:space="preserve"> napojené na objektivní katalogizaci čtyřech hypostatických intelektů </w:t>
      </w:r>
      <w:r w:rsidRPr="00273106">
        <w:t>podle Avicenny (</w:t>
      </w:r>
      <w:r w:rsidRPr="00273106">
        <w:rPr>
          <w:i/>
        </w:rPr>
        <w:t>Vier Intellekten-Lehre</w:t>
      </w:r>
      <w:r w:rsidR="08DD0FBD">
        <w:t xml:space="preserve">; OBJ I, </w:t>
      </w:r>
      <w:r w:rsidRPr="00273106">
        <w:t xml:space="preserve">kap. 2.3.1). Tento koncept </w:t>
      </w:r>
      <w:r w:rsidR="00765869">
        <w:t xml:space="preserve">formálního intelektu existoval </w:t>
      </w:r>
      <w:r w:rsidRPr="00273106">
        <w:t>u avicennistů typu Filipa Kancléře nebo v</w:t>
      </w:r>
      <w:r w:rsidR="00765869">
        <w:t xml:space="preserve"> díle </w:t>
      </w:r>
      <w:r w:rsidRPr="00273106">
        <w:rPr>
          <w:i/>
        </w:rPr>
        <w:t>Summa Duacensis</w:t>
      </w:r>
      <w:r>
        <w:rPr>
          <w:i/>
        </w:rPr>
        <w:fldChar w:fldCharType="begin"/>
      </w:r>
      <w:r>
        <w:instrText xml:space="preserve"> XE "</w:instrText>
      </w:r>
      <w:r w:rsidRPr="000E2AD6">
        <w:rPr>
          <w:i/>
        </w:rPr>
        <w:instrText>Summa Duacensis</w:instrText>
      </w:r>
      <w:r>
        <w:instrText xml:space="preserve">" </w:instrText>
      </w:r>
      <w:r>
        <w:rPr>
          <w:i/>
        </w:rPr>
        <w:fldChar w:fldCharType="end"/>
      </w:r>
      <w:r w:rsidR="00765869">
        <w:t xml:space="preserve">. Zásadně se liší od </w:t>
      </w:r>
      <w:r>
        <w:t xml:space="preserve">pojetí </w:t>
      </w:r>
      <w:r w:rsidRPr="00273106">
        <w:rPr>
          <w:i/>
        </w:rPr>
        <w:t>intellectus formalis</w:t>
      </w:r>
      <w:r>
        <w:rPr>
          <w:i/>
        </w:rPr>
        <w:fldChar w:fldCharType="begin"/>
      </w:r>
      <w:r>
        <w:instrText xml:space="preserve"> XE "</w:instrText>
      </w:r>
      <w:r w:rsidRPr="000238B8">
        <w:rPr>
          <w:i/>
        </w:rPr>
        <w:instrText>intellectus formalis:</w:instrText>
      </w:r>
      <w:r w:rsidRPr="000238B8">
        <w:instrText>Blund</w:instrText>
      </w:r>
      <w:r>
        <w:instrText xml:space="preserve">" </w:instrText>
      </w:r>
      <w:r>
        <w:rPr>
          <w:i/>
        </w:rPr>
        <w:fldChar w:fldCharType="end"/>
      </w:r>
      <w:r w:rsidR="00765869">
        <w:t xml:space="preserve"> prvního averroismu, který zavedl </w:t>
      </w:r>
      <w:r w:rsidRPr="00273106">
        <w:t>Blund</w:t>
      </w:r>
      <w:r w:rsidR="00765869">
        <w:t xml:space="preserve"> díky redukci</w:t>
      </w:r>
      <w:r w:rsidRPr="00273106">
        <w:t xml:space="preserve"> inte</w:t>
      </w:r>
      <w:r w:rsidR="00CC26F0">
        <w:t xml:space="preserve">lektu na dvě složky (receptivní a </w:t>
      </w:r>
      <w:r w:rsidRPr="00273106">
        <w:t xml:space="preserve">syntetickou) podle autentické četby </w:t>
      </w:r>
      <w:r w:rsidRPr="00273106">
        <w:rPr>
          <w:i/>
        </w:rPr>
        <w:t>De anima</w:t>
      </w:r>
      <w:r w:rsidRPr="00273106">
        <w:t>.</w:t>
      </w:r>
    </w:p>
    <w:p w14:paraId="62329A8A" w14:textId="3B38239B" w:rsidR="00F8288C" w:rsidRDefault="080B2FA1" w:rsidP="00CC26F0">
      <w:pPr>
        <w:ind w:firstLine="397"/>
      </w:pPr>
      <w:r>
        <w:t xml:space="preserve">Vznik Pařížské univerzity byl daný v modu </w:t>
      </w:r>
      <w:r w:rsidR="085E5F5B">
        <w:t xml:space="preserve">dějinného </w:t>
      </w:r>
      <w:r w:rsidRPr="084C34CC">
        <w:rPr>
          <w:i/>
        </w:rPr>
        <w:t>Anfang</w:t>
      </w:r>
      <w:r>
        <w:t xml:space="preserve"> vzhledem ke gigantomachii o substanci, jako to bylo v případě bagdádského Domu moudrosti (</w:t>
      </w:r>
      <w:r w:rsidRPr="00791C13">
        <w:rPr>
          <w:i/>
        </w:rPr>
        <w:t>Bajt al-Hikma</w:t>
      </w:r>
      <w:r>
        <w:rPr>
          <w:i/>
        </w:rPr>
        <w:fldChar w:fldCharType="begin"/>
      </w:r>
      <w:r>
        <w:instrText xml:space="preserve"> XE "</w:instrText>
      </w:r>
      <w:r w:rsidRPr="002A74F0">
        <w:rPr>
          <w:i/>
        </w:rPr>
        <w:instrText>Bajt al-Hikma</w:instrText>
      </w:r>
      <w:r>
        <w:instrText xml:space="preserve">" </w:instrText>
      </w:r>
      <w:r>
        <w:rPr>
          <w:i/>
        </w:rPr>
        <w:fldChar w:fldCharType="end"/>
      </w:r>
      <w:r>
        <w:t xml:space="preserve">). Založení moderní vzdělanosti latinského Západu je proto spojeno s událostí archaického pojetí pravdy jako </w:t>
      </w:r>
      <w:r w:rsidRPr="084C34CC">
        <w:rPr>
          <w:i/>
        </w:rPr>
        <w:t>a/léth</w:t>
      </w:r>
      <w:r>
        <w:rPr>
          <w:i/>
        </w:rPr>
        <w:t>e</w:t>
      </w:r>
      <w:r w:rsidRPr="084C34CC">
        <w:rPr>
          <w:i/>
        </w:rPr>
        <w:t>ia</w:t>
      </w:r>
      <w:r w:rsidR="08AE6128">
        <w:rPr>
          <w:i/>
        </w:rPr>
        <w:fldChar w:fldCharType="begin"/>
      </w:r>
      <w:r w:rsidR="08AE6128">
        <w:instrText xml:space="preserve"> XE "</w:instrText>
      </w:r>
      <w:r w:rsidR="08AE6128" w:rsidRPr="08676295">
        <w:rPr>
          <w:i/>
        </w:rPr>
        <w:instrText>a/létheia</w:instrText>
      </w:r>
      <w:r w:rsidR="08AE6128">
        <w:instrText xml:space="preserve">" </w:instrText>
      </w:r>
      <w:r w:rsidR="08AE6128">
        <w:rPr>
          <w:i/>
        </w:rPr>
        <w:fldChar w:fldCharType="end"/>
      </w:r>
      <w:r w:rsidR="08894865">
        <w:t>.</w:t>
      </w:r>
      <w:r w:rsidR="08AE6128">
        <w:t xml:space="preserve"> </w:t>
      </w:r>
      <w:r w:rsidR="00CC26F0">
        <w:t>Historický počátek Pařížské a Oxfordské univerzity je spojen s dějinným působením filosofické pravdy a nepravdy. Tento osudový začátek (</w:t>
      </w:r>
      <w:r w:rsidR="00CC26F0" w:rsidRPr="00CC26F0">
        <w:rPr>
          <w:i/>
        </w:rPr>
        <w:t>Beginn</w:t>
      </w:r>
      <w:r w:rsidR="00CC26F0">
        <w:t>) moderní metafyziky ovlivňuje globální myšlení postmoderny</w:t>
      </w:r>
      <w:r w:rsidR="00CC26F0" w:rsidRPr="089E7F12">
        <w:t xml:space="preserve"> </w:t>
      </w:r>
      <w:r w:rsidR="00CC26F0">
        <w:t xml:space="preserve">a </w:t>
      </w:r>
      <w:r w:rsidR="00CC26F0">
        <w:lastRenderedPageBreak/>
        <w:t>metafyzickéhop nihilismu až dodnes. A</w:t>
      </w:r>
      <w:r w:rsidR="089E7F12">
        <w:t>ristotelskou e</w:t>
      </w:r>
      <w:r w:rsidR="0866657B">
        <w:t xml:space="preserve">xegezi školy </w:t>
      </w:r>
      <w:r w:rsidR="089E7F12" w:rsidRPr="089E7F12">
        <w:rPr>
          <w:i/>
        </w:rPr>
        <w:t>Modernorum</w:t>
      </w:r>
      <w:r w:rsidR="089E7F12">
        <w:t xml:space="preserve"> </w:t>
      </w:r>
      <w:r w:rsidR="08D078C6">
        <w:t xml:space="preserve">ukazuje </w:t>
      </w:r>
      <w:r w:rsidR="08D078C6" w:rsidRPr="00273106">
        <w:t xml:space="preserve">anonymní teologická kompilace zvaná </w:t>
      </w:r>
      <w:r w:rsidR="08D078C6" w:rsidRPr="00273106">
        <w:rPr>
          <w:i/>
        </w:rPr>
        <w:t>Summa Duacensis</w:t>
      </w:r>
      <w:r w:rsidR="08D078C6">
        <w:rPr>
          <w:i/>
        </w:rPr>
        <w:fldChar w:fldCharType="begin"/>
      </w:r>
      <w:r w:rsidR="08D078C6">
        <w:instrText xml:space="preserve"> XE "</w:instrText>
      </w:r>
      <w:r w:rsidR="08D078C6" w:rsidRPr="000E2AD6">
        <w:rPr>
          <w:i/>
        </w:rPr>
        <w:instrText>Summa Duacensis</w:instrText>
      </w:r>
      <w:r w:rsidR="08D078C6">
        <w:instrText xml:space="preserve">" </w:instrText>
      </w:r>
      <w:r w:rsidR="08D078C6">
        <w:rPr>
          <w:i/>
        </w:rPr>
        <w:fldChar w:fldCharType="end"/>
      </w:r>
      <w:r w:rsidR="08D078C6" w:rsidRPr="00273106">
        <w:t xml:space="preserve"> (kolem 1230).</w:t>
      </w:r>
      <w:r w:rsidR="00E34335">
        <w:rPr>
          <w:rStyle w:val="Znakapoznpodarou"/>
        </w:rPr>
        <w:footnoteReference w:id="134"/>
      </w:r>
      <w:r w:rsidR="00B31541">
        <w:t xml:space="preserve"> </w:t>
      </w:r>
      <w:r w:rsidR="00572199" w:rsidRPr="00273106">
        <w:t xml:space="preserve">Anonym pracuje s </w:t>
      </w:r>
      <w:r w:rsidR="0092193C">
        <w:t xml:space="preserve">porretánským </w:t>
      </w:r>
      <w:r w:rsidR="00572199" w:rsidRPr="00273106">
        <w:t xml:space="preserve">pojetím </w:t>
      </w:r>
      <w:r w:rsidR="006A04C6" w:rsidRPr="006A04C6">
        <w:t>species</w:t>
      </w:r>
      <w:r w:rsidR="00572199" w:rsidRPr="00273106">
        <w:t xml:space="preserve"> </w:t>
      </w:r>
      <w:r w:rsidR="00685DA2">
        <w:t>poznanými skrze iluminaci</w:t>
      </w:r>
      <w:r w:rsidR="00875044">
        <w:t xml:space="preserve">. Takový scénář mu zabránil </w:t>
      </w:r>
      <w:r w:rsidR="00572199" w:rsidRPr="00273106">
        <w:t>pochopit smysl prvního averroismu</w:t>
      </w:r>
      <w:r w:rsidR="008509E4">
        <w:fldChar w:fldCharType="begin"/>
      </w:r>
      <w:r w:rsidR="008509E4">
        <w:instrText xml:space="preserve"> XE "</w:instrText>
      </w:r>
      <w:r w:rsidR="008509E4" w:rsidRPr="0085757F">
        <w:instrText>iluminace</w:instrText>
      </w:r>
      <w:r w:rsidR="008509E4">
        <w:instrText xml:space="preserve">" </w:instrText>
      </w:r>
      <w:r w:rsidR="008509E4">
        <w:fldChar w:fldCharType="end"/>
      </w:r>
      <w:r w:rsidR="00C96C70">
        <w:t>, který představila Blundova š</w:t>
      </w:r>
      <w:r w:rsidR="00685DA2">
        <w:t>kola</w:t>
      </w:r>
      <w:r w:rsidR="00572199" w:rsidRPr="00273106">
        <w:t>.</w:t>
      </w:r>
      <w:r w:rsidR="0092193C">
        <w:t xml:space="preserve"> </w:t>
      </w:r>
      <w:r w:rsidR="08C74AB6">
        <w:t>V</w:t>
      </w:r>
      <w:r w:rsidR="00F8288C">
        <w:t xml:space="preserve">ýklad Averroese </w:t>
      </w:r>
      <w:r w:rsidR="08C74AB6">
        <w:t xml:space="preserve">je dán </w:t>
      </w:r>
      <w:r w:rsidR="00F8288C">
        <w:t>podle Toledské školy</w:t>
      </w:r>
      <w:r w:rsidR="08C74AB6">
        <w:t xml:space="preserve"> a </w:t>
      </w:r>
      <w:r w:rsidR="088233A3">
        <w:t xml:space="preserve">v tom se shoduje </w:t>
      </w:r>
      <w:r w:rsidR="00F8288C">
        <w:t>s pozdějším averroismem</w:t>
      </w:r>
      <w:r w:rsidR="08C74AB6">
        <w:t xml:space="preserve"> </w:t>
      </w:r>
      <w:r w:rsidR="00143683">
        <w:t xml:space="preserve">prvních </w:t>
      </w:r>
      <w:r w:rsidR="08C74AB6">
        <w:t>modernistů přišlých z Oxfordu do Paříže okolo roku 1235</w:t>
      </w:r>
      <w:r w:rsidR="00F8288C">
        <w:t>.</w:t>
      </w:r>
      <w:r w:rsidR="08C74AB6" w:rsidRPr="08C74AB6">
        <w:t xml:space="preserve"> </w:t>
      </w:r>
      <w:r w:rsidR="08C74AB6">
        <w:t xml:space="preserve">Formální intelekt je definován </w:t>
      </w:r>
      <w:r w:rsidR="00143683">
        <w:t>podle A</w:t>
      </w:r>
      <w:r w:rsidR="08C74AB6">
        <w:t>vicenn</w:t>
      </w:r>
      <w:r w:rsidR="00143683">
        <w:t>y</w:t>
      </w:r>
      <w:r w:rsidR="08C74AB6">
        <w:t xml:space="preserve"> jako </w:t>
      </w:r>
      <w:r w:rsidR="00143683">
        <w:t>aktuální hypostáze v </w:t>
      </w:r>
      <w:r w:rsidR="00E5271C">
        <w:t>duši</w:t>
      </w:r>
      <w:r w:rsidR="08C74AB6">
        <w:t>.</w:t>
      </w:r>
    </w:p>
    <w:p w14:paraId="4A5F9CF7" w14:textId="42713612" w:rsidR="00F8288C" w:rsidRDefault="00F8288C" w:rsidP="00F8288C">
      <w:pPr>
        <w:pStyle w:val="Citace"/>
      </w:pPr>
      <w:r>
        <w:t>„Podobně mluvíme o intelektu vzhledem k reá</w:t>
      </w:r>
      <w:r w:rsidR="087B3EE8">
        <w:t>lně existující věci, které je t</w:t>
      </w:r>
      <w:r w:rsidR="087B3EE8">
        <w:rPr>
          <w:lang w:val="cs-CZ"/>
        </w:rPr>
        <w:t>o</w:t>
      </w:r>
      <w:r>
        <w:t xml:space="preserve">to </w:t>
      </w:r>
      <w:r w:rsidR="087B3EE8">
        <w:rPr>
          <w:lang w:val="cs-CZ"/>
        </w:rPr>
        <w:t xml:space="preserve">poznání </w:t>
      </w:r>
      <w:r w:rsidR="087B3EE8">
        <w:t>podobn</w:t>
      </w:r>
      <w:r w:rsidR="087B3EE8">
        <w:rPr>
          <w:lang w:val="cs-CZ"/>
        </w:rPr>
        <w:t>é</w:t>
      </w:r>
      <w:r>
        <w:t>. Je nazýván „formální“ vzhledem k samotné duši, kterou formuje a završuje, a ne vzhledem k něčemu jinému (</w:t>
      </w:r>
      <w:r w:rsidRPr="00F8288C">
        <w:rPr>
          <w:i/>
        </w:rPr>
        <w:t>non ad aliud</w:t>
      </w:r>
      <w:r>
        <w:t xml:space="preserve">). </w:t>
      </w:r>
      <w:r w:rsidR="006A04C6" w:rsidRPr="006A04C6">
        <w:t>Species</w:t>
      </w:r>
      <w:r w:rsidR="087B3EE8">
        <w:t xml:space="preserve"> definovan</w:t>
      </w:r>
      <w:r w:rsidR="087B3EE8">
        <w:rPr>
          <w:lang w:val="cs-CZ"/>
        </w:rPr>
        <w:t>á</w:t>
      </w:r>
      <w:r w:rsidR="087B3EE8">
        <w:t xml:space="preserve"> podle tohoto intelektu  je dan</w:t>
      </w:r>
      <w:r w:rsidR="087B3EE8">
        <w:rPr>
          <w:lang w:val="cs-CZ"/>
        </w:rPr>
        <w:t>á</w:t>
      </w:r>
      <w:r>
        <w:t xml:space="preserve"> tím, že duše skrze tento intelekt sama směřuje k poznání věci (</w:t>
      </w:r>
      <w:r w:rsidRPr="00F8288C">
        <w:rPr>
          <w:i/>
        </w:rPr>
        <w:t>anima per ipsum tendit in rei cognitionem</w:t>
      </w:r>
      <w:r>
        <w:t xml:space="preserve">). Tento intelekt určujeme jako formální, nebo </w:t>
      </w:r>
      <w:r w:rsidR="006A04C6" w:rsidRPr="006A04C6">
        <w:t>species</w:t>
      </w:r>
      <w:r>
        <w:t xml:space="preserve"> či podobnost, protože může být zrušen nebo zničen (</w:t>
      </w:r>
      <w:r w:rsidRPr="00F8288C">
        <w:rPr>
          <w:i/>
        </w:rPr>
        <w:t>deleri potest et annihilari</w:t>
      </w:r>
      <w:r>
        <w:t>). Ale samotný činný intelekt nebo možný intelekt (</w:t>
      </w:r>
      <w:r w:rsidRPr="00F8288C">
        <w:rPr>
          <w:i/>
        </w:rPr>
        <w:t>intellectus ipse agens aut possibilis</w:t>
      </w:r>
      <w:r w:rsidR="087B3EE8">
        <w:t xml:space="preserve">) zůstává </w:t>
      </w:r>
      <w:r w:rsidR="087B3EE8">
        <w:rPr>
          <w:lang w:val="cs-CZ"/>
        </w:rPr>
        <w:t xml:space="preserve">trvalý </w:t>
      </w:r>
      <w:r>
        <w:t xml:space="preserve">v </w:t>
      </w:r>
      <w:r w:rsidR="088C482A">
        <w:rPr>
          <w:lang w:val="cs-CZ"/>
        </w:rPr>
        <w:t xml:space="preserve">substanci </w:t>
      </w:r>
      <w:r>
        <w:t>(</w:t>
      </w:r>
      <w:r w:rsidRPr="00F8288C">
        <w:rPr>
          <w:i/>
          <w:lang w:val="cs-CZ"/>
        </w:rPr>
        <w:t xml:space="preserve">semper </w:t>
      </w:r>
      <w:r w:rsidRPr="00F8288C">
        <w:rPr>
          <w:i/>
        </w:rPr>
        <w:t>in sua substantia</w:t>
      </w:r>
      <w:r w:rsidR="087B3EE8">
        <w:t>)</w:t>
      </w:r>
      <w:r w:rsidR="087B3EE8">
        <w:rPr>
          <w:lang w:val="cs-CZ"/>
        </w:rPr>
        <w:t xml:space="preserve"> jako </w:t>
      </w:r>
      <w:r w:rsidR="087B3EE8">
        <w:t>neporušiteln</w:t>
      </w:r>
      <w:r w:rsidR="087B3EE8">
        <w:rPr>
          <w:lang w:val="cs-CZ"/>
        </w:rPr>
        <w:t>ý</w:t>
      </w:r>
      <w:r>
        <w:t xml:space="preserve"> a nemateriální (</w:t>
      </w:r>
      <w:r w:rsidRPr="00F8288C">
        <w:rPr>
          <w:i/>
        </w:rPr>
        <w:t>incorruptibilis et inmixtus</w:t>
      </w:r>
      <w:r>
        <w:t xml:space="preserve">). </w:t>
      </w:r>
      <w:r w:rsidR="00B1218A" w:rsidRPr="00273106">
        <w:rPr>
          <w:rStyle w:val="Znakapoznpodarou"/>
        </w:rPr>
        <w:footnoteReference w:id="135"/>
      </w:r>
      <w:r w:rsidR="00572199" w:rsidRPr="00273106">
        <w:t xml:space="preserve"> </w:t>
      </w:r>
    </w:p>
    <w:p w14:paraId="5B4DAFE1" w14:textId="77777777" w:rsidR="007279E7" w:rsidRDefault="085D492B" w:rsidP="00B14EDC">
      <w:r>
        <w:t xml:space="preserve">Anonymní </w:t>
      </w:r>
      <w:r w:rsidR="08A8085D">
        <w:rPr>
          <w:i/>
        </w:rPr>
        <w:t>Summa D</w:t>
      </w:r>
      <w:r w:rsidRPr="00D97391">
        <w:rPr>
          <w:i/>
        </w:rPr>
        <w:t>uacensis</w:t>
      </w:r>
      <w:r>
        <w:t xml:space="preserve"> brání intelekt jako porretánské </w:t>
      </w:r>
      <w:r w:rsidR="006A04C6" w:rsidRPr="006A04C6">
        <w:t>species</w:t>
      </w:r>
      <w:r>
        <w:fldChar w:fldCharType="begin"/>
      </w:r>
      <w:r>
        <w:instrText xml:space="preserve"> XE "</w:instrText>
      </w:r>
      <w:r w:rsidRPr="003E67A1">
        <w:rPr>
          <w:i/>
        </w:rPr>
        <w:instrText>species</w:instrText>
      </w:r>
      <w:r w:rsidRPr="00730F2A">
        <w:instrText>:druhý averroismus</w:instrText>
      </w:r>
      <w:r>
        <w:instrText xml:space="preserve">" </w:instrText>
      </w:r>
      <w:r>
        <w:fldChar w:fldCharType="end"/>
      </w:r>
      <w:r>
        <w:t>, čili jako jsoucno třetího druhu. Jedna forma intelektu (</w:t>
      </w:r>
      <w:r w:rsidRPr="085D492B">
        <w:rPr>
          <w:i/>
        </w:rPr>
        <w:t>formalis</w:t>
      </w:r>
      <w:r>
        <w:t>) je kontingentně daná v těle jako první substanci a je porušitelná (</w:t>
      </w:r>
      <w:r w:rsidRPr="00DF6594">
        <w:rPr>
          <w:i/>
        </w:rPr>
        <w:t>deleri potest et annihilari</w:t>
      </w:r>
      <w:r>
        <w:t>), druhá forma intelektu (</w:t>
      </w:r>
      <w:r w:rsidRPr="008641C4">
        <w:rPr>
          <w:i/>
        </w:rPr>
        <w:t>agens</w:t>
      </w:r>
      <w:r>
        <w:t xml:space="preserve">, </w:t>
      </w:r>
      <w:r w:rsidRPr="008641C4">
        <w:rPr>
          <w:i/>
        </w:rPr>
        <w:t>possibilis</w:t>
      </w:r>
      <w:r>
        <w:t xml:space="preserve">) je dána jako čistá subsistentní forma, a je oddělená a neporušitelná. </w:t>
      </w:r>
      <w:r w:rsidR="00182069">
        <w:t xml:space="preserve">Citát </w:t>
      </w:r>
      <w:r w:rsidR="00A02C2A" w:rsidRPr="00273106">
        <w:t>dokládá zmatek a</w:t>
      </w:r>
      <w:r w:rsidR="006B3E53">
        <w:t>ugustiniánsky vzdělaných teologů</w:t>
      </w:r>
      <w:r w:rsidR="00CE7F25">
        <w:t>, kteří</w:t>
      </w:r>
      <w:r w:rsidR="006B3E53">
        <w:t xml:space="preserve"> neuměli</w:t>
      </w:r>
      <w:r w:rsidR="00A02C2A" w:rsidRPr="00273106">
        <w:t xml:space="preserve"> spojit intencionální proces tvorby </w:t>
      </w:r>
      <w:r w:rsidR="006A04C6" w:rsidRPr="006A04C6">
        <w:t>species</w:t>
      </w:r>
      <w:r w:rsidR="00A02C2A" w:rsidRPr="00273106">
        <w:t xml:space="preserve"> s </w:t>
      </w:r>
      <w:r w:rsidR="006E5CB8">
        <w:t>receptivním intelektem</w:t>
      </w:r>
      <w:r w:rsidR="00A02C2A" w:rsidRPr="00273106">
        <w:t>.</w:t>
      </w:r>
      <w:r w:rsidR="00A02C2A">
        <w:t xml:space="preserve"> </w:t>
      </w:r>
      <w:r w:rsidR="00E34335">
        <w:t xml:space="preserve">Škola kolem Filipa Kancléře ovlivněná Toledským výkladem Averroese si nevěděla rady s Blundovým </w:t>
      </w:r>
      <w:r w:rsidR="00E34335" w:rsidRPr="00CE18D4">
        <w:rPr>
          <w:i/>
        </w:rPr>
        <w:t>intellectus formalis</w:t>
      </w:r>
      <w:r w:rsidR="00CE18D4">
        <w:t>, pro</w:t>
      </w:r>
      <w:r w:rsidR="00E34335">
        <w:t>t</w:t>
      </w:r>
      <w:r w:rsidR="00CE18D4">
        <w:t>o</w:t>
      </w:r>
      <w:r w:rsidR="00E34335">
        <w:t xml:space="preserve">že </w:t>
      </w:r>
      <w:r w:rsidR="00CE18D4">
        <w:t xml:space="preserve">držela </w:t>
      </w:r>
      <w:r w:rsidR="00E34335">
        <w:t>iluminační sché</w:t>
      </w:r>
      <w:r w:rsidR="00CE18D4">
        <w:t>ma poznání podle neop</w:t>
      </w:r>
      <w:r w:rsidR="00E34335">
        <w:t>l</w:t>
      </w:r>
      <w:r w:rsidR="00CE18D4">
        <w:t>a</w:t>
      </w:r>
      <w:r w:rsidR="00E34335">
        <w:t>tonis</w:t>
      </w:r>
      <w:r w:rsidR="08C97D81">
        <w:t xml:space="preserve">mu. </w:t>
      </w:r>
      <w:r w:rsidR="08B45BD1">
        <w:t xml:space="preserve">Pařížští avicennisté </w:t>
      </w:r>
      <w:r w:rsidR="00E34335">
        <w:t xml:space="preserve">identifikovali </w:t>
      </w:r>
      <w:r w:rsidR="08C97D81">
        <w:t xml:space="preserve">Blundův formální intelekt daný jako schopnost </w:t>
      </w:r>
      <w:r w:rsidR="08E034C9">
        <w:t xml:space="preserve">aktuálně existující osoby </w:t>
      </w:r>
      <w:r w:rsidR="00E34335">
        <w:t xml:space="preserve">s </w:t>
      </w:r>
      <w:r w:rsidR="084C68D4">
        <w:t xml:space="preserve">hypostázovaným </w:t>
      </w:r>
      <w:r w:rsidR="00E34335" w:rsidRPr="00E34335">
        <w:rPr>
          <w:i/>
        </w:rPr>
        <w:t>intellectus adeptus</w:t>
      </w:r>
      <w:r w:rsidR="00E34335">
        <w:t xml:space="preserve"> podle Avicenny a přidali mu individuální vlastnosti </w:t>
      </w:r>
      <w:r w:rsidR="08E22722" w:rsidRPr="08E22722">
        <w:rPr>
          <w:i/>
        </w:rPr>
        <w:t>intellectus materialis</w:t>
      </w:r>
      <w:r w:rsidR="08E22722">
        <w:t xml:space="preserve"> </w:t>
      </w:r>
      <w:r w:rsidR="00E34335">
        <w:t>podle CMDA. A</w:t>
      </w:r>
      <w:r w:rsidR="00CE18D4">
        <w:t xml:space="preserve"> pak j</w:t>
      </w:r>
      <w:r w:rsidR="00E34335">
        <w:t>ako spr</w:t>
      </w:r>
      <w:r w:rsidR="00CE18D4">
        <w:t>á</w:t>
      </w:r>
      <w:r w:rsidR="00E34335">
        <w:t xml:space="preserve">vní </w:t>
      </w:r>
      <w:r w:rsidR="08DE18BB">
        <w:t>alexandrovc</w:t>
      </w:r>
      <w:r w:rsidR="00E34335">
        <w:t xml:space="preserve">i vydělili </w:t>
      </w:r>
      <w:r w:rsidR="00CE18D4">
        <w:t xml:space="preserve">činný </w:t>
      </w:r>
      <w:r w:rsidR="08FB4DDF">
        <w:t xml:space="preserve">i </w:t>
      </w:r>
      <w:r w:rsidR="00CE18D4">
        <w:lastRenderedPageBreak/>
        <w:t>potenciální intelekt</w:t>
      </w:r>
      <w:r w:rsidR="00D830D7">
        <w:t xml:space="preserve"> z aktuálně existující </w:t>
      </w:r>
      <w:r w:rsidR="00E34335">
        <w:t>osoby a udělal</w:t>
      </w:r>
      <w:r w:rsidR="00CE18D4">
        <w:t>i</w:t>
      </w:r>
      <w:r w:rsidR="00E34335">
        <w:t xml:space="preserve"> z nich externí věčné substance kosmického charakteru</w:t>
      </w:r>
      <w:r w:rsidR="08EB4500">
        <w:t xml:space="preserve"> (</w:t>
      </w:r>
      <w:r w:rsidR="08EB4500" w:rsidRPr="08EB4500">
        <w:rPr>
          <w:i/>
        </w:rPr>
        <w:t>intellectus ipse agens aut possibilis manet semper in sua substantia incorruptibilis et inmixtus materie</w:t>
      </w:r>
      <w:r w:rsidR="08EB4500">
        <w:t>)</w:t>
      </w:r>
      <w:r w:rsidR="008971C5">
        <w:t xml:space="preserve">. </w:t>
      </w:r>
      <w:r w:rsidR="008971C5" w:rsidRPr="008971C5">
        <w:t xml:space="preserve">Intelekt jako </w:t>
      </w:r>
      <w:r w:rsidR="008971C5" w:rsidRPr="008971C5">
        <w:rPr>
          <w:i/>
        </w:rPr>
        <w:t>quartum genus</w:t>
      </w:r>
      <w:r w:rsidR="008971C5" w:rsidRPr="008971C5">
        <w:t xml:space="preserve"> je podle Averroese čistý pojem v myšlení. Moderna a současný nihilismus z něj udělaly mytologickou substanci jako </w:t>
      </w:r>
      <w:r w:rsidR="008971C5" w:rsidRPr="008971C5">
        <w:rPr>
          <w:i/>
        </w:rPr>
        <w:t>tertium ens</w:t>
      </w:r>
      <w:r w:rsidR="008971C5" w:rsidRPr="008971C5">
        <w:t>. Tato tragikomedie myšlení představuje metafyzické šílenství (</w:t>
      </w:r>
      <w:r w:rsidR="008971C5" w:rsidRPr="008971C5">
        <w:rPr>
          <w:i/>
        </w:rPr>
        <w:t>Irre</w:t>
      </w:r>
      <w:r w:rsidR="005F6159">
        <w:rPr>
          <w:i/>
          <w:lang w:eastAsia="x-none"/>
        </w:rPr>
        <w:fldChar w:fldCharType="begin"/>
      </w:r>
      <w:r w:rsidR="005F6159">
        <w:instrText xml:space="preserve"> XE "</w:instrText>
      </w:r>
      <w:r w:rsidR="005F6159" w:rsidRPr="00670656">
        <w:rPr>
          <w:i/>
          <w:lang w:eastAsia="x-none"/>
        </w:rPr>
        <w:instrText>Irre</w:instrText>
      </w:r>
      <w:r w:rsidR="005F6159">
        <w:instrText xml:space="preserve">" </w:instrText>
      </w:r>
      <w:r w:rsidR="005F6159">
        <w:rPr>
          <w:i/>
          <w:lang w:eastAsia="x-none"/>
        </w:rPr>
        <w:fldChar w:fldCharType="end"/>
      </w:r>
      <w:r w:rsidR="008971C5" w:rsidRPr="008971C5">
        <w:t>) moderní doby.</w:t>
      </w:r>
      <w:r w:rsidR="008971C5">
        <w:t xml:space="preserve"> </w:t>
      </w:r>
      <w:r w:rsidR="00E81B6C" w:rsidRPr="00E81B6C">
        <w:t>Dinantův panteismus v</w:t>
      </w:r>
      <w:r w:rsidR="00E81B6C">
        <w:t xml:space="preserve">ložil </w:t>
      </w:r>
      <w:r w:rsidR="00E81B6C" w:rsidRPr="00E81B6C">
        <w:t>tento druh my</w:t>
      </w:r>
      <w:r w:rsidR="00E81B6C">
        <w:t>tologického intelektu přímo do b</w:t>
      </w:r>
      <w:r w:rsidR="00E81B6C" w:rsidRPr="00E81B6C">
        <w:t>oha (kap. 2.1.3). Škola druhého averroism</w:t>
      </w:r>
      <w:r w:rsidR="00E81B6C">
        <w:t>u nechala tento druh intelektu „</w:t>
      </w:r>
      <w:r w:rsidR="00E81B6C" w:rsidRPr="00E81B6C">
        <w:t>ex</w:t>
      </w:r>
      <w:r w:rsidR="00E81B6C">
        <w:t>sistovat“</w:t>
      </w:r>
      <w:r w:rsidR="00E81B6C" w:rsidRPr="00E81B6C">
        <w:t xml:space="preserve"> jako novou hypostazi, která </w:t>
      </w:r>
      <w:r w:rsidR="00E81B6C">
        <w:t>bylo umístěna zčásti v diak</w:t>
      </w:r>
      <w:r w:rsidR="00E81B6C" w:rsidRPr="00E81B6C">
        <w:t>osmosu neoplatoniků, zčásti v mytologickém pojetí moderní lidské mysli. Vznikla nová podoba averroismu, založená tímto dvojím dualismem.</w:t>
      </w:r>
      <w:r w:rsidR="00E81B6C">
        <w:t xml:space="preserve"> </w:t>
      </w:r>
      <w:r w:rsidR="00BB246E">
        <w:t>Proces poznání běží v modu avicennovské komitace</w:t>
      </w:r>
      <w:r w:rsidR="00EB71B3">
        <w:fldChar w:fldCharType="begin"/>
      </w:r>
      <w:r w:rsidR="00EB71B3">
        <w:instrText xml:space="preserve"> XE "</w:instrText>
      </w:r>
      <w:r w:rsidR="00EB71B3" w:rsidRPr="00467B7F">
        <w:instrText>komitace</w:instrText>
      </w:r>
      <w:r w:rsidR="00EB71B3">
        <w:instrText xml:space="preserve">" </w:instrText>
      </w:r>
      <w:r w:rsidR="00EB71B3">
        <w:fldChar w:fldCharType="end"/>
      </w:r>
      <w:r w:rsidR="00BB246E">
        <w:t xml:space="preserve"> (</w:t>
      </w:r>
      <w:r w:rsidR="00BB246E" w:rsidRPr="003B78EA">
        <w:rPr>
          <w:i/>
        </w:rPr>
        <w:t>hec semper esse rei comitatur</w:t>
      </w:r>
      <w:r w:rsidR="00BB246E">
        <w:rPr>
          <w:i/>
        </w:rPr>
        <w:t xml:space="preserve"> et se tenet ipsa re</w:t>
      </w:r>
      <w:r w:rsidR="084C250C">
        <w:t xml:space="preserve">; </w:t>
      </w:r>
      <w:r w:rsidR="00BB246E">
        <w:t>ibid, p. 22</w:t>
      </w:r>
      <w:r w:rsidR="008509E4">
        <w:fldChar w:fldCharType="begin"/>
      </w:r>
      <w:r w:rsidR="008509E4">
        <w:instrText xml:space="preserve"> XE "</w:instrText>
      </w:r>
      <w:r w:rsidR="008509E4" w:rsidRPr="008509E4">
        <w:rPr>
          <w:i/>
        </w:rPr>
        <w:instrText>Summa Duacensis</w:instrText>
      </w:r>
      <w:r w:rsidR="008509E4">
        <w:instrText xml:space="preserve"> 22" </w:instrText>
      </w:r>
      <w:r w:rsidR="008509E4">
        <w:fldChar w:fldCharType="end"/>
      </w:r>
      <w:r w:rsidR="00BB246E">
        <w:t xml:space="preserve">) a ne aristotelské intencionality. </w:t>
      </w:r>
      <w:r w:rsidR="006A04C6">
        <w:t>Porretánská</w:t>
      </w:r>
      <w:r w:rsidR="00211DCA">
        <w:t xml:space="preserve"> </w:t>
      </w:r>
      <w:r w:rsidR="006A04C6" w:rsidRPr="006A04C6">
        <w:t>species</w:t>
      </w:r>
      <w:r w:rsidR="00211DCA">
        <w:t xml:space="preserve"> je trvalá forma, která je dána v kontingentním poznání věcí jen proměnlivě. </w:t>
      </w:r>
      <w:r w:rsidR="00BB246E">
        <w:t xml:space="preserve">Poznání reality </w:t>
      </w:r>
      <w:r w:rsidR="00543409">
        <w:t>se děje skrze augustiniánskou formu</w:t>
      </w:r>
      <w:r w:rsidR="00BB246E">
        <w:t xml:space="preserve"> paměti</w:t>
      </w:r>
      <w:r w:rsidR="08016563">
        <w:t xml:space="preserve"> jako </w:t>
      </w:r>
      <w:r w:rsidR="08016563" w:rsidRPr="08016563">
        <w:rPr>
          <w:i/>
        </w:rPr>
        <w:t>memoria</w:t>
      </w:r>
      <w:r w:rsidR="008509E4">
        <w:fldChar w:fldCharType="begin"/>
      </w:r>
      <w:r w:rsidR="008509E4">
        <w:instrText xml:space="preserve"> XE "</w:instrText>
      </w:r>
      <w:r w:rsidR="008509E4" w:rsidRPr="00840D0F">
        <w:rPr>
          <w:i/>
        </w:rPr>
        <w:instrText>memoria:</w:instrText>
      </w:r>
      <w:r w:rsidR="008509E4" w:rsidRPr="00840D0F">
        <w:instrText>druhý averroismus</w:instrText>
      </w:r>
      <w:r w:rsidR="008509E4">
        <w:instrText xml:space="preserve">" </w:instrText>
      </w:r>
      <w:r w:rsidR="008509E4">
        <w:fldChar w:fldCharType="end"/>
      </w:r>
      <w:r w:rsidR="00BB246E">
        <w:t xml:space="preserve">, která si podržuje </w:t>
      </w:r>
      <w:r w:rsidR="08016563">
        <w:t xml:space="preserve">jak smyslové představy tak univerzální </w:t>
      </w:r>
      <w:r w:rsidR="00BB246E">
        <w:t xml:space="preserve">univoční </w:t>
      </w:r>
      <w:r w:rsidR="006A04C6" w:rsidRPr="006A04C6">
        <w:t>species</w:t>
      </w:r>
      <w:r w:rsidR="00BB246E">
        <w:t xml:space="preserve"> </w:t>
      </w:r>
      <w:r w:rsidR="08016563">
        <w:t>(</w:t>
      </w:r>
      <w:r w:rsidR="08016563" w:rsidRPr="08016563">
        <w:rPr>
          <w:i/>
        </w:rPr>
        <w:t xml:space="preserve">ymagines rerum vel </w:t>
      </w:r>
      <w:r w:rsidR="004B4D52" w:rsidRPr="004B4D52">
        <w:t>species</w:t>
      </w:r>
      <w:r w:rsidR="08016563">
        <w:t>)</w:t>
      </w:r>
      <w:r w:rsidR="00BB246E">
        <w:t>.</w:t>
      </w:r>
      <w:r w:rsidR="00BB246E">
        <w:rPr>
          <w:rStyle w:val="Znakapoznpodarou"/>
        </w:rPr>
        <w:footnoteReference w:id="136"/>
      </w:r>
      <w:r w:rsidR="00BB246E">
        <w:t xml:space="preserve"> </w:t>
      </w:r>
      <w:r w:rsidR="08016563">
        <w:t>Moderně pojatá paměť začíná sloužit jako nové jsoucno třetího druhu, protože je vyvázaná z Bl</w:t>
      </w:r>
      <w:r w:rsidR="082E5910">
        <w:t xml:space="preserve">undova schématu poznání. V prvním averroismu je paměť </w:t>
      </w:r>
      <w:r w:rsidR="08016563">
        <w:t xml:space="preserve">dána pouze jako </w:t>
      </w:r>
      <w:r w:rsidR="08016563" w:rsidRPr="08A43BBB">
        <w:rPr>
          <w:i/>
        </w:rPr>
        <w:t>the</w:t>
      </w:r>
      <w:r w:rsidR="08016563">
        <w:rPr>
          <w:i/>
        </w:rPr>
        <w:t>sa</w:t>
      </w:r>
      <w:r w:rsidR="08016563" w:rsidRPr="08A43BBB">
        <w:rPr>
          <w:i/>
        </w:rPr>
        <w:t>urus inte</w:t>
      </w:r>
      <w:r w:rsidR="08016563">
        <w:rPr>
          <w:i/>
        </w:rPr>
        <w:t>n</w:t>
      </w:r>
      <w:r w:rsidR="08016563" w:rsidRPr="08A43BBB">
        <w:rPr>
          <w:i/>
        </w:rPr>
        <w:t>tionum</w:t>
      </w:r>
      <w:r w:rsidR="08890DDA">
        <w:t xml:space="preserve"> a ne </w:t>
      </w:r>
      <w:r w:rsidR="08B409A7">
        <w:t xml:space="preserve">augustiniánské nebo neoplatonské </w:t>
      </w:r>
      <w:r w:rsidR="006A04C6" w:rsidRPr="006A04C6">
        <w:t>species</w:t>
      </w:r>
      <w:r w:rsidR="08890DDA">
        <w:t xml:space="preserve"> třetího druhu. </w:t>
      </w:r>
      <w:r w:rsidR="08016563">
        <w:t xml:space="preserve">Tím došlo na latinském Západě k přeměně aristotelské </w:t>
      </w:r>
      <w:r w:rsidR="08016563" w:rsidRPr="08016563">
        <w:rPr>
          <w:i/>
        </w:rPr>
        <w:t>reminiscentia</w:t>
      </w:r>
      <w:r w:rsidR="08016563">
        <w:t xml:space="preserve"> jako porušitelné smyslové schopnosti</w:t>
      </w:r>
      <w:r w:rsidR="082E5910">
        <w:t xml:space="preserve"> duše, kterou mají i zvířata. Paměť dostala neoplatonský charakter </w:t>
      </w:r>
      <w:r w:rsidR="08393358">
        <w:t xml:space="preserve">a představuje zásobárnu </w:t>
      </w:r>
      <w:r w:rsidR="006A04C6" w:rsidRPr="006A04C6">
        <w:t>species</w:t>
      </w:r>
      <w:r w:rsidR="08393358">
        <w:t xml:space="preserve"> třetího druhu </w:t>
      </w:r>
      <w:r w:rsidR="08393358" w:rsidRPr="08BC53E5">
        <w:rPr>
          <w:szCs w:val="24"/>
        </w:rPr>
        <w:t>(</w:t>
      </w:r>
      <w:r w:rsidR="08393358" w:rsidRPr="08BC53E5">
        <w:rPr>
          <w:i/>
          <w:szCs w:val="24"/>
        </w:rPr>
        <w:t>locus specierum</w:t>
      </w:r>
      <w:r w:rsidR="08393358">
        <w:rPr>
          <w:i/>
          <w:szCs w:val="24"/>
          <w:lang w:val="de-DE"/>
        </w:rPr>
        <w:fldChar w:fldCharType="begin"/>
      </w:r>
      <w:r w:rsidR="08393358">
        <w:instrText xml:space="preserve"> XE "</w:instrText>
      </w:r>
      <w:r w:rsidR="08393358" w:rsidRPr="08BC53E5">
        <w:rPr>
          <w:i/>
          <w:szCs w:val="24"/>
        </w:rPr>
        <w:instrText>locus specierum</w:instrText>
      </w:r>
      <w:r w:rsidR="08393358">
        <w:instrText xml:space="preserve">" </w:instrText>
      </w:r>
      <w:r w:rsidR="08393358">
        <w:rPr>
          <w:i/>
          <w:szCs w:val="24"/>
          <w:lang w:val="de-DE"/>
        </w:rPr>
        <w:fldChar w:fldCharType="end"/>
      </w:r>
      <w:r w:rsidR="08393358" w:rsidRPr="08BC53E5">
        <w:rPr>
          <w:szCs w:val="24"/>
        </w:rPr>
        <w:t xml:space="preserve">). Z této mytopoetické zásobárny </w:t>
      </w:r>
      <w:r w:rsidR="08393358">
        <w:t xml:space="preserve">se dnes stal </w:t>
      </w:r>
      <w:r w:rsidR="08016563">
        <w:t>cloudov</w:t>
      </w:r>
      <w:r w:rsidR="08393358">
        <w:t xml:space="preserve">ý </w:t>
      </w:r>
      <w:r w:rsidR="08016563">
        <w:t>oblak databází</w:t>
      </w:r>
      <w:r w:rsidR="082B0126">
        <w:rPr>
          <w:i/>
          <w:iCs/>
        </w:rPr>
        <w:fldChar w:fldCharType="begin"/>
      </w:r>
      <w:r w:rsidR="082B0126">
        <w:instrText xml:space="preserve"> XE "</w:instrText>
      </w:r>
      <w:r w:rsidR="082B0126" w:rsidRPr="00E1232A">
        <w:rPr>
          <w:i/>
        </w:rPr>
        <w:instrText>cloud computing</w:instrText>
      </w:r>
      <w:r w:rsidR="082B0126">
        <w:instrText xml:space="preserve">" </w:instrText>
      </w:r>
      <w:r w:rsidR="082B0126">
        <w:rPr>
          <w:i/>
          <w:iCs/>
        </w:rPr>
        <w:fldChar w:fldCharType="end"/>
      </w:r>
      <w:r w:rsidR="08016563">
        <w:t xml:space="preserve">. </w:t>
      </w:r>
      <w:r w:rsidR="00DF6594">
        <w:t xml:space="preserve">Důvodem </w:t>
      </w:r>
      <w:r w:rsidR="00641FA2">
        <w:t>univerzál</w:t>
      </w:r>
      <w:r w:rsidR="00DF6594">
        <w:t xml:space="preserve">ní neporušitelnosti </w:t>
      </w:r>
      <w:r w:rsidR="006A04C6" w:rsidRPr="006A04C6">
        <w:t>species</w:t>
      </w:r>
      <w:r w:rsidR="00DF6594">
        <w:t xml:space="preserve"> je substanční charakter možného a činného intelektu, který je dán jako oddělená, věčná a neporušitelná substance (</w:t>
      </w:r>
      <w:r w:rsidR="00DF6594" w:rsidRPr="00DF6594">
        <w:rPr>
          <w:i/>
        </w:rPr>
        <w:t xml:space="preserve">manet </w:t>
      </w:r>
      <w:r w:rsidR="00DF6594" w:rsidRPr="00592FB8">
        <w:rPr>
          <w:i/>
        </w:rPr>
        <w:t xml:space="preserve">semper </w:t>
      </w:r>
      <w:r w:rsidR="00DF6594" w:rsidRPr="00DF6594">
        <w:rPr>
          <w:i/>
        </w:rPr>
        <w:t>in sua substantia incorruptibilis et inmixtus materie</w:t>
      </w:r>
      <w:r w:rsidR="00DF6594">
        <w:t xml:space="preserve">). </w:t>
      </w:r>
      <w:r w:rsidR="00641FA2">
        <w:t>Tato charakteristika nu</w:t>
      </w:r>
      <w:r w:rsidR="00C5229B">
        <w:t xml:space="preserve">mericky jednotného </w:t>
      </w:r>
      <w:r w:rsidR="00C5229B" w:rsidRPr="00641FA2">
        <w:rPr>
          <w:i/>
        </w:rPr>
        <w:t>intell</w:t>
      </w:r>
      <w:r w:rsidR="00641FA2" w:rsidRPr="00641FA2">
        <w:rPr>
          <w:i/>
        </w:rPr>
        <w:t>e</w:t>
      </w:r>
      <w:r w:rsidR="00C5229B" w:rsidRPr="00641FA2">
        <w:rPr>
          <w:i/>
        </w:rPr>
        <w:t>ctus possib</w:t>
      </w:r>
      <w:r w:rsidR="00641FA2" w:rsidRPr="00641FA2">
        <w:rPr>
          <w:i/>
        </w:rPr>
        <w:t>i</w:t>
      </w:r>
      <w:r w:rsidR="00C5229B" w:rsidRPr="00641FA2">
        <w:rPr>
          <w:i/>
        </w:rPr>
        <w:t>lis</w:t>
      </w:r>
      <w:r w:rsidR="009D323B">
        <w:rPr>
          <w:i/>
        </w:rPr>
        <w:fldChar w:fldCharType="begin"/>
      </w:r>
      <w:r w:rsidR="009D323B">
        <w:instrText xml:space="preserve"> XE "</w:instrText>
      </w:r>
      <w:r w:rsidR="009D323B" w:rsidRPr="00770D02">
        <w:rPr>
          <w:i/>
        </w:rPr>
        <w:instrText>intellectus possibilis</w:instrText>
      </w:r>
      <w:r w:rsidR="008509E4" w:rsidRPr="008509E4">
        <w:instrText>:numericky jedn</w:instrText>
      </w:r>
      <w:r w:rsidR="0074191C">
        <w:instrText>otný</w:instrText>
      </w:r>
      <w:r w:rsidR="009D323B">
        <w:instrText xml:space="preserve">" </w:instrText>
      </w:r>
      <w:r w:rsidR="009D323B">
        <w:rPr>
          <w:i/>
        </w:rPr>
        <w:fldChar w:fldCharType="end"/>
      </w:r>
      <w:r w:rsidR="00C5229B">
        <w:t xml:space="preserve"> pro v</w:t>
      </w:r>
      <w:r w:rsidR="08AD0799">
        <w:t xml:space="preserve">šechny lidi ukazuje první formu </w:t>
      </w:r>
      <w:r w:rsidR="00AB274B">
        <w:t xml:space="preserve">moderního </w:t>
      </w:r>
      <w:r w:rsidR="00C5229B">
        <w:t xml:space="preserve">averroismu, který pěstovala škola </w:t>
      </w:r>
      <w:r w:rsidR="08AD0799">
        <w:t xml:space="preserve">škola kolem Filipa Kancléře </w:t>
      </w:r>
      <w:r w:rsidR="003E67A1">
        <w:lastRenderedPageBreak/>
        <w:t>navázaná na výklad Toledské školy</w:t>
      </w:r>
      <w:r w:rsidR="08AD0799">
        <w:t xml:space="preserve">. </w:t>
      </w:r>
      <w:r w:rsidR="08050124">
        <w:t xml:space="preserve">Duše poznává svět skrze akt vlastní sebereflexe, která má hypostatický charakter vybavený vlastní aktualitou </w:t>
      </w:r>
      <w:r w:rsidR="08050124" w:rsidRPr="00273106">
        <w:t>(</w:t>
      </w:r>
      <w:r w:rsidR="08050124" w:rsidRPr="00273106">
        <w:rPr>
          <w:i/>
        </w:rPr>
        <w:t>idem intellectus secundum quod anima per ipsum tendit in rei cognitionem</w:t>
      </w:r>
      <w:r w:rsidR="08050124" w:rsidRPr="00273106">
        <w:t xml:space="preserve">). </w:t>
      </w:r>
      <w:r w:rsidR="08050124">
        <w:t xml:space="preserve">Poznání skrze první substance </w:t>
      </w:r>
      <w:r w:rsidR="08050124" w:rsidRPr="00273106">
        <w:t>patří pouze do smyslové perfekce formálního intelektu završujícím</w:t>
      </w:r>
      <w:r w:rsidR="08050124">
        <w:t>u smyslové poznání ve smyslových</w:t>
      </w:r>
      <w:r w:rsidR="08050124" w:rsidRPr="00273106">
        <w:t xml:space="preserve"> </w:t>
      </w:r>
      <w:r w:rsidR="006A04C6" w:rsidRPr="006A04C6">
        <w:t>species</w:t>
      </w:r>
      <w:r w:rsidR="007279E7">
        <w:t>.</w:t>
      </w:r>
    </w:p>
    <w:p w14:paraId="51157ABC" w14:textId="394A2489" w:rsidR="00C80D05" w:rsidRPr="0092193C" w:rsidRDefault="08187EA8" w:rsidP="007279E7">
      <w:pPr>
        <w:ind w:firstLine="397"/>
      </w:pPr>
      <w:r w:rsidRPr="00273106">
        <w:t>Anonym správně vystihl hlavní směr formalizace u Blunda jako primární poznávací činnost samotné</w:t>
      </w:r>
      <w:r>
        <w:t xml:space="preserve"> duše. Ale a</w:t>
      </w:r>
      <w:r w:rsidRPr="00273106">
        <w:t xml:space="preserve">kt poznání </w:t>
      </w:r>
      <w:r>
        <w:t xml:space="preserve">skrze </w:t>
      </w:r>
      <w:r w:rsidRPr="004B6828">
        <w:rPr>
          <w:i/>
        </w:rPr>
        <w:t>intellectus formalis</w:t>
      </w:r>
      <w:r>
        <w:rPr>
          <w:i/>
        </w:rPr>
        <w:fldChar w:fldCharType="begin"/>
      </w:r>
      <w:r>
        <w:instrText xml:space="preserve"> XE "</w:instrText>
      </w:r>
      <w:r w:rsidRPr="000238B8">
        <w:rPr>
          <w:i/>
        </w:rPr>
        <w:instrText>intellectus formalis:</w:instrText>
      </w:r>
      <w:r>
        <w:rPr>
          <w:i/>
        </w:rPr>
        <w:instrText>Summa Duacensis</w:instrText>
      </w:r>
      <w:r>
        <w:instrText xml:space="preserve">" </w:instrText>
      </w:r>
      <w:r>
        <w:rPr>
          <w:i/>
        </w:rPr>
        <w:fldChar w:fldCharType="end"/>
      </w:r>
      <w:r>
        <w:t xml:space="preserve"> </w:t>
      </w:r>
      <w:r w:rsidRPr="00273106">
        <w:t xml:space="preserve">chápe </w:t>
      </w:r>
      <w:r>
        <w:t>avicennisticky podle darovaného intelektu, který ve spojení s odděleným aktivním intelektem formuje duši podle schématu nasvícení zezadu (</w:t>
      </w:r>
      <w:r w:rsidRPr="004B6828">
        <w:rPr>
          <w:i/>
        </w:rPr>
        <w:t>ad ipsam animam quam format et perficit</w:t>
      </w:r>
      <w:r>
        <w:t xml:space="preserve">). </w:t>
      </w:r>
      <w:r w:rsidR="08363728">
        <w:t>Autor ví, že možný</w:t>
      </w:r>
      <w:r w:rsidRPr="00273106">
        <w:t xml:space="preserve"> intelekt </w:t>
      </w:r>
      <w:r w:rsidR="08363728">
        <w:t>je ve škole</w:t>
      </w:r>
      <w:r w:rsidRPr="00273106">
        <w:t xml:space="preserve"> prvního averroismu svou podstatou nemateriální st</w:t>
      </w:r>
      <w:r>
        <w:t xml:space="preserve">ejně jako činný intelekt </w:t>
      </w:r>
      <w:r w:rsidRPr="00273106">
        <w:t>(</w:t>
      </w:r>
      <w:r w:rsidRPr="00273106">
        <w:rPr>
          <w:i/>
        </w:rPr>
        <w:t>intellectus ipse agens aut possibilis manet semper in sua substantia incorruptibilis et inmixtus materie</w:t>
      </w:r>
      <w:r w:rsidRPr="00273106">
        <w:t>)</w:t>
      </w:r>
      <w:r>
        <w:t>. S tím jako avicennista nemá problém, proto</w:t>
      </w:r>
      <w:r w:rsidR="08D67BBA">
        <w:t>že</w:t>
      </w:r>
      <w:r>
        <w:t xml:space="preserve"> obě formy intelektu p</w:t>
      </w:r>
      <w:r w:rsidR="08D67BBA">
        <w:t>rohlásil</w:t>
      </w:r>
      <w:r>
        <w:t xml:space="preserve"> za sam</w:t>
      </w:r>
      <w:r w:rsidR="08486EAB">
        <w:t xml:space="preserve">ostatné nemateriální substance a </w:t>
      </w:r>
      <w:r w:rsidR="08D67BBA">
        <w:t>oddělil</w:t>
      </w:r>
      <w:r>
        <w:t xml:space="preserve"> je </w:t>
      </w:r>
      <w:r w:rsidRPr="00273106">
        <w:t>od smyslového poznání</w:t>
      </w:r>
      <w:r>
        <w:t xml:space="preserve">. </w:t>
      </w:r>
      <w:r w:rsidR="08AB6EFC">
        <w:t xml:space="preserve">Augustinianismus </w:t>
      </w:r>
      <w:r w:rsidR="08486EAB">
        <w:t xml:space="preserve">(hypostázovaná </w:t>
      </w:r>
      <w:r w:rsidR="08486EAB" w:rsidRPr="08486EAB">
        <w:rPr>
          <w:i/>
        </w:rPr>
        <w:t>memoria</w:t>
      </w:r>
      <w:r w:rsidR="08486EAB">
        <w:t xml:space="preserve">) </w:t>
      </w:r>
      <w:r w:rsidR="08AB6EFC">
        <w:t>je kombinovaný s avicennovským vztahem duše a těla</w:t>
      </w:r>
      <w:r w:rsidR="08486EAB">
        <w:t xml:space="preserve"> (hypostázovaný </w:t>
      </w:r>
      <w:r w:rsidR="08486EAB" w:rsidRPr="08486EAB">
        <w:rPr>
          <w:i/>
        </w:rPr>
        <w:t>intellectus</w:t>
      </w:r>
      <w:r w:rsidR="08486EAB">
        <w:t>)</w:t>
      </w:r>
      <w:r w:rsidR="08AB6EFC">
        <w:t xml:space="preserve">. </w:t>
      </w:r>
      <w:r>
        <w:t xml:space="preserve">Tím </w:t>
      </w:r>
      <w:r w:rsidR="08AB6EFC">
        <w:t xml:space="preserve">vznikl </w:t>
      </w:r>
      <w:r>
        <w:t>moderní dualismus duše a těla</w:t>
      </w:r>
      <w:r w:rsidR="08932D04">
        <w:t xml:space="preserve">, který napojený na iluminaci danou ze světa kosmických inteligencí a forem. </w:t>
      </w:r>
      <w:r w:rsidR="08AB6EFC" w:rsidRPr="00273106">
        <w:t>Výsled</w:t>
      </w:r>
      <w:r w:rsidR="08AB6EFC">
        <w:t>k</w:t>
      </w:r>
      <w:r w:rsidR="08AB6EFC" w:rsidRPr="00273106">
        <w:t xml:space="preserve">em traktátu </w:t>
      </w:r>
      <w:r w:rsidR="08AB6EFC" w:rsidRPr="00273106">
        <w:rPr>
          <w:i/>
        </w:rPr>
        <w:t>Summa Duacensis</w:t>
      </w:r>
      <w:r w:rsidR="08AB6EFC" w:rsidRPr="00273106">
        <w:t xml:space="preserve"> je </w:t>
      </w:r>
      <w:r w:rsidR="08B01517">
        <w:t xml:space="preserve">dvojí </w:t>
      </w:r>
      <w:r w:rsidR="08AB6EFC" w:rsidRPr="00273106">
        <w:t xml:space="preserve">dualismus </w:t>
      </w:r>
      <w:r w:rsidR="08AB6EFC">
        <w:t xml:space="preserve">v </w:t>
      </w:r>
      <w:r w:rsidR="08AB6EFC" w:rsidRPr="00273106">
        <w:t>pojetí tzv. „</w:t>
      </w:r>
      <w:r w:rsidR="08AB6EFC" w:rsidRPr="00273106">
        <w:rPr>
          <w:i/>
        </w:rPr>
        <w:t>triplex unitas</w:t>
      </w:r>
      <w:r w:rsidR="08AB6EFC">
        <w:rPr>
          <w:i/>
        </w:rPr>
        <w:fldChar w:fldCharType="begin"/>
      </w:r>
      <w:r w:rsidR="08AB6EFC">
        <w:instrText xml:space="preserve"> XE "osoba:</w:instrText>
      </w:r>
      <w:r w:rsidR="08AB6EFC" w:rsidRPr="00273C28">
        <w:rPr>
          <w:i/>
        </w:rPr>
        <w:instrText>triplex unitas</w:instrText>
      </w:r>
      <w:r w:rsidR="08AB6EFC">
        <w:instrText xml:space="preserve">" </w:instrText>
      </w:r>
      <w:r w:rsidR="08AB6EFC">
        <w:rPr>
          <w:i/>
        </w:rPr>
        <w:fldChar w:fldCharType="end"/>
      </w:r>
      <w:r w:rsidR="08AB6EFC" w:rsidRPr="00273106">
        <w:t xml:space="preserve">“ (Bazán 1969, 49). </w:t>
      </w:r>
      <w:r w:rsidR="08AB6EFC">
        <w:t xml:space="preserve">Duše představuje </w:t>
      </w:r>
      <w:r w:rsidR="008E0523" w:rsidRPr="00273106">
        <w:t>autonomní form</w:t>
      </w:r>
      <w:r w:rsidR="08AB6EFC">
        <w:t>u</w:t>
      </w:r>
      <w:r w:rsidR="008E0523" w:rsidRPr="00273106">
        <w:t xml:space="preserve"> s plností subsistence</w:t>
      </w:r>
      <w:r w:rsidR="00015564">
        <w:fldChar w:fldCharType="begin"/>
      </w:r>
      <w:r w:rsidR="00015564">
        <w:instrText xml:space="preserve"> XE "</w:instrText>
      </w:r>
      <w:r w:rsidR="00015564" w:rsidRPr="001D1E42">
        <w:instrText>subsistence</w:instrText>
      </w:r>
      <w:r w:rsidR="00BA4B86">
        <w:instrText>:duše</w:instrText>
      </w:r>
      <w:r w:rsidR="00015564">
        <w:instrText xml:space="preserve">" </w:instrText>
      </w:r>
      <w:r w:rsidR="00015564">
        <w:fldChar w:fldCharType="end"/>
      </w:r>
      <w:r w:rsidR="008E0523" w:rsidRPr="00273106">
        <w:t xml:space="preserve"> na úrovni spirituálních substancí (</w:t>
      </w:r>
      <w:r w:rsidR="008E0523" w:rsidRPr="00273106">
        <w:rPr>
          <w:i/>
        </w:rPr>
        <w:t>firmissima</w:t>
      </w:r>
      <w:r w:rsidR="008E0523" w:rsidRPr="00273106">
        <w:t>)</w:t>
      </w:r>
      <w:r w:rsidR="003D14DD" w:rsidRPr="00273106">
        <w:t>.</w:t>
      </w:r>
      <w:r w:rsidR="003B3759">
        <w:rPr>
          <w:rStyle w:val="Znakapoznpodarou"/>
        </w:rPr>
        <w:footnoteReference w:id="137"/>
      </w:r>
      <w:r w:rsidR="003D14DD" w:rsidRPr="00273106">
        <w:t xml:space="preserve"> N</w:t>
      </w:r>
      <w:r w:rsidR="009F340E" w:rsidRPr="00273106">
        <w:t>á</w:t>
      </w:r>
      <w:r w:rsidR="003D14DD" w:rsidRPr="00273106">
        <w:t>s</w:t>
      </w:r>
      <w:r w:rsidR="009F340E" w:rsidRPr="00273106">
        <w:t>leduje tělo jako další autonomní substance, tentokrát hylemorfická, kde forma se váže už na látku (</w:t>
      </w:r>
      <w:r w:rsidR="009F340E" w:rsidRPr="00273106">
        <w:rPr>
          <w:i/>
        </w:rPr>
        <w:t>unitas minus firma</w:t>
      </w:r>
      <w:r w:rsidR="009F340E" w:rsidRPr="00273106">
        <w:t xml:space="preserve">). Spojení obou substancí </w:t>
      </w:r>
      <w:r w:rsidR="00C748CE">
        <w:t xml:space="preserve">duše a těla </w:t>
      </w:r>
      <w:r w:rsidR="00094085" w:rsidRPr="00273106">
        <w:t xml:space="preserve">patří do typu jednoty </w:t>
      </w:r>
      <w:r w:rsidR="00C748CE">
        <w:t>nej</w:t>
      </w:r>
      <w:r w:rsidR="009F340E" w:rsidRPr="00273106">
        <w:t>nižšího řádu (</w:t>
      </w:r>
      <w:r w:rsidR="009F340E" w:rsidRPr="00273106">
        <w:rPr>
          <w:i/>
        </w:rPr>
        <w:t>unitas minima</w:t>
      </w:r>
      <w:r w:rsidR="009F340E" w:rsidRPr="00273106">
        <w:t>)</w:t>
      </w:r>
      <w:r w:rsidR="008E0523" w:rsidRPr="00273106">
        <w:t xml:space="preserve">. </w:t>
      </w:r>
      <w:r w:rsidR="009F340E" w:rsidRPr="00273106">
        <w:t xml:space="preserve">Tuto pluralitu substančních forem v trojím pojetí jednoty </w:t>
      </w:r>
      <w:r w:rsidR="00F9768C">
        <w:t xml:space="preserve">hájil </w:t>
      </w:r>
      <w:r w:rsidR="00FA3CB1" w:rsidRPr="00273106">
        <w:t xml:space="preserve">Filip </w:t>
      </w:r>
      <w:r w:rsidR="009F340E" w:rsidRPr="00273106">
        <w:t xml:space="preserve">Kancléř a v nové podobě ji najdeme </w:t>
      </w:r>
      <w:r w:rsidR="00E04180" w:rsidRPr="00273106">
        <w:t xml:space="preserve">ve škole </w:t>
      </w:r>
      <w:r w:rsidR="00E04180" w:rsidRPr="00273106">
        <w:rPr>
          <w:i/>
        </w:rPr>
        <w:t>Modernorum</w:t>
      </w:r>
      <w:r w:rsidR="00E04180" w:rsidRPr="00273106">
        <w:t xml:space="preserve"> </w:t>
      </w:r>
      <w:r w:rsidR="009F340E" w:rsidRPr="00273106">
        <w:t>na</w:t>
      </w:r>
      <w:r w:rsidR="08486EAB">
        <w:t xml:space="preserve"> Oxfordu kolem roku 1240 (kap. 3</w:t>
      </w:r>
      <w:r w:rsidR="009F340E" w:rsidRPr="00273106">
        <w:t>.2).</w:t>
      </w:r>
      <w:r w:rsidR="00C94756" w:rsidRPr="00273106">
        <w:t xml:space="preserve"> </w:t>
      </w:r>
      <w:r w:rsidR="082F7CE6">
        <w:t xml:space="preserve">Spis </w:t>
      </w:r>
      <w:r w:rsidR="082F7CE6" w:rsidRPr="00273106">
        <w:rPr>
          <w:i/>
        </w:rPr>
        <w:t xml:space="preserve">Summa </w:t>
      </w:r>
      <w:r w:rsidR="082F7CE6" w:rsidRPr="089D79AA">
        <w:rPr>
          <w:i/>
        </w:rPr>
        <w:t>Duacensis</w:t>
      </w:r>
      <w:r w:rsidR="082F7CE6" w:rsidRPr="089D79AA">
        <w:rPr>
          <w:i/>
        </w:rPr>
        <w:fldChar w:fldCharType="begin"/>
      </w:r>
      <w:r w:rsidR="082F7CE6" w:rsidRPr="089D79AA">
        <w:rPr>
          <w:i/>
        </w:rPr>
        <w:instrText xml:space="preserve"> XE "Summa Duacensis" </w:instrText>
      </w:r>
      <w:r w:rsidR="082F7CE6" w:rsidRPr="089D79AA">
        <w:rPr>
          <w:i/>
        </w:rPr>
        <w:fldChar w:fldCharType="end"/>
      </w:r>
      <w:r w:rsidR="082F7CE6">
        <w:t xml:space="preserve"> </w:t>
      </w:r>
      <w:r w:rsidR="082F7CE6" w:rsidRPr="089D79AA">
        <w:t>ukazuje</w:t>
      </w:r>
      <w:r w:rsidR="082F7CE6" w:rsidRPr="08AD0799">
        <w:t xml:space="preserve">, jak </w:t>
      </w:r>
      <w:r w:rsidR="082F7CE6">
        <w:t xml:space="preserve">z avicennistické Filipovy školy vznikla v Paříži během let 1230‒35 nová škola druhého averroismu. To se stalo po příchodu Rufuse z Cornwallu do Paříže, kdy se Filipova škola sloučila se školou prvních akademických františkánů sdružených při editaci </w:t>
      </w:r>
      <w:r w:rsidR="082F7CE6" w:rsidRPr="089D79AA">
        <w:rPr>
          <w:i/>
        </w:rPr>
        <w:t>Summa Halensis</w:t>
      </w:r>
      <w:r w:rsidR="082F7CE6">
        <w:t xml:space="preserve">. </w:t>
      </w:r>
      <w:r w:rsidR="082F7CE6" w:rsidRPr="00273106">
        <w:t xml:space="preserve">Aristotelismus Blundovy školy </w:t>
      </w:r>
      <w:r w:rsidR="082F7CE6">
        <w:t xml:space="preserve">a </w:t>
      </w:r>
      <w:r w:rsidR="082F7CE6" w:rsidRPr="00273106">
        <w:t xml:space="preserve">Alverna  konstrastuje s avicennovským zaměřením dvou děl o duši, které v téže době (kolem </w:t>
      </w:r>
      <w:r w:rsidR="082F7CE6" w:rsidRPr="00273106">
        <w:lastRenderedPageBreak/>
        <w:t>1235‒40) napsal františkán Jean z La Rochelle (Johannes de Rupella</w:t>
      </w:r>
      <w:r w:rsidR="082F7CE6">
        <w:fldChar w:fldCharType="begin"/>
      </w:r>
      <w:r w:rsidR="082F7CE6">
        <w:instrText xml:space="preserve"> XE "</w:instrText>
      </w:r>
      <w:r w:rsidR="082F7CE6" w:rsidRPr="004113CB">
        <w:instrText>Johannes de Rupella</w:instrText>
      </w:r>
      <w:r w:rsidR="082F7CE6">
        <w:instrText xml:space="preserve">" </w:instrText>
      </w:r>
      <w:r w:rsidR="082F7CE6">
        <w:fldChar w:fldCharType="end"/>
      </w:r>
      <w:r w:rsidR="082F7CE6" w:rsidRPr="00273106">
        <w:t>).</w:t>
      </w:r>
      <w:r w:rsidR="082F7CE6">
        <w:t xml:space="preserve"> Jeho dualistická koncepce člověka není aristotelská, ale avicennistická.</w:t>
      </w:r>
      <w:r w:rsidR="082F7CE6" w:rsidRPr="00273106">
        <w:rPr>
          <w:rStyle w:val="Znakapoznpodarou"/>
        </w:rPr>
        <w:footnoteReference w:id="138"/>
      </w:r>
      <w:r w:rsidR="082F7CE6" w:rsidRPr="00273106">
        <w:t xml:space="preserve"> Klíčový rozdíl se týká duše jako </w:t>
      </w:r>
      <w:r w:rsidR="082F7CE6" w:rsidRPr="00273106">
        <w:rPr>
          <w:i/>
        </w:rPr>
        <w:t>perfectio</w:t>
      </w:r>
      <w:r w:rsidR="001F0B5B">
        <w:t xml:space="preserve">. </w:t>
      </w:r>
      <w:r w:rsidR="082F7CE6" w:rsidRPr="00273106">
        <w:t>Rupella drží dualismus v rámci dvojího aktu bytí daného substanciálně (</w:t>
      </w:r>
      <w:r w:rsidR="082F7CE6" w:rsidRPr="00273106">
        <w:rPr>
          <w:i/>
        </w:rPr>
        <w:t>duplex actus essendi</w:t>
      </w:r>
      <w:r w:rsidR="082F7CE6">
        <w:rPr>
          <w:i/>
        </w:rPr>
        <w:fldChar w:fldCharType="begin"/>
      </w:r>
      <w:r w:rsidR="082F7CE6">
        <w:instrText xml:space="preserve"> XE "</w:instrText>
      </w:r>
      <w:r w:rsidR="082F7CE6" w:rsidRPr="006D3950">
        <w:rPr>
          <w:i/>
        </w:rPr>
        <w:instrText>actus essendi</w:instrText>
      </w:r>
      <w:r w:rsidR="082F7CE6">
        <w:instrText xml:space="preserve">" </w:instrText>
      </w:r>
      <w:r w:rsidR="082F7CE6">
        <w:rPr>
          <w:i/>
        </w:rPr>
        <w:fldChar w:fldCharType="end"/>
      </w:r>
      <w:r w:rsidR="082F7CE6" w:rsidRPr="00273106">
        <w:t>). Duše je primární substance</w:t>
      </w:r>
      <w:r w:rsidR="082F7CE6">
        <w:fldChar w:fldCharType="begin"/>
      </w:r>
      <w:r w:rsidR="082F7CE6">
        <w:instrText xml:space="preserve"> XE "</w:instrText>
      </w:r>
      <w:r w:rsidR="082F7CE6" w:rsidRPr="00DE2A32">
        <w:instrText>substance</w:instrText>
      </w:r>
      <w:r w:rsidR="082F7CE6">
        <w:instrText xml:space="preserve">:duše" </w:instrText>
      </w:r>
      <w:r w:rsidR="082F7CE6">
        <w:fldChar w:fldCharType="end"/>
      </w:r>
      <w:r w:rsidR="082F7CE6" w:rsidRPr="00273106">
        <w:t>, která funguje vůči tělu z pozice vnějšího aktivátora (</w:t>
      </w:r>
      <w:r w:rsidR="082F7CE6" w:rsidRPr="00273106">
        <w:rPr>
          <w:i/>
        </w:rPr>
        <w:t>secundum quod comparatur ut motor et ut actus</w:t>
      </w:r>
      <w:r w:rsidR="082F7CE6" w:rsidRPr="00273106">
        <w:t>). Duše jako oddělený hybatel těla naplňuje primární možnosti člověka již dané habituálně (</w:t>
      </w:r>
      <w:r w:rsidR="082F7CE6" w:rsidRPr="00273106">
        <w:rPr>
          <w:i/>
        </w:rPr>
        <w:t>completio</w:t>
      </w:r>
      <w:r w:rsidR="082F7CE6" w:rsidRPr="00273106">
        <w:t xml:space="preserve">). </w:t>
      </w:r>
      <w:r w:rsidR="08CE7C20">
        <w:t xml:space="preserve">Radikální větev mladých františkánů ovlivněných porretány odmítla kritiku Alverna a zástupců Sicilské školy. </w:t>
      </w:r>
      <w:r w:rsidR="082F7CE6">
        <w:t xml:space="preserve">Rupellovo </w:t>
      </w:r>
      <w:r w:rsidR="082F7CE6" w:rsidRPr="00273106">
        <w:t xml:space="preserve">dílo </w:t>
      </w:r>
      <w:r w:rsidR="082F7CE6" w:rsidRPr="00273106">
        <w:rPr>
          <w:i/>
        </w:rPr>
        <w:t>Tractatus de divisione multiplicis potentiarum animae</w:t>
      </w:r>
      <w:r w:rsidR="082F7CE6" w:rsidRPr="00273106">
        <w:t xml:space="preserve"> (kolem 1233‒35) následuje rozdělení intelektu podle traktátu </w:t>
      </w:r>
      <w:r w:rsidR="089A1B6F">
        <w:rPr>
          <w:i/>
        </w:rPr>
        <w:t>De anima et de potenciis eius</w:t>
      </w:r>
      <w:r w:rsidR="082F7CE6" w:rsidRPr="00273106">
        <w:t xml:space="preserve">, aniž by ovšem Rupella vzal k úvahu nové pojetí intencionality dané v </w:t>
      </w:r>
      <w:r w:rsidR="082F7CE6">
        <w:t xml:space="preserve">Blundově </w:t>
      </w:r>
      <w:r w:rsidR="08F17D24">
        <w:t>prvním averroismu (kap. 2</w:t>
      </w:r>
      <w:r w:rsidR="082F7CE6" w:rsidRPr="00273106">
        <w:t>.1). Recepce nejde od smyslů, ale od iluminace aktivním inte</w:t>
      </w:r>
      <w:r w:rsidR="083840EE">
        <w:t>le</w:t>
      </w:r>
      <w:r w:rsidR="082F7CE6" w:rsidRPr="00273106">
        <w:t>ktem</w:t>
      </w:r>
      <w:r w:rsidR="082F7CE6">
        <w:fldChar w:fldCharType="begin"/>
      </w:r>
      <w:r w:rsidR="082F7CE6">
        <w:instrText xml:space="preserve"> XE "</w:instrText>
      </w:r>
      <w:r w:rsidR="082F7CE6" w:rsidRPr="00C54C77">
        <w:instrText>intelekt-slunce</w:instrText>
      </w:r>
      <w:r w:rsidR="082F7CE6">
        <w:instrText xml:space="preserve">" </w:instrText>
      </w:r>
      <w:r w:rsidR="082F7CE6">
        <w:fldChar w:fldCharType="end"/>
      </w:r>
      <w:r w:rsidR="082F7CE6" w:rsidRPr="00273106">
        <w:t xml:space="preserve">, který jako </w:t>
      </w:r>
      <w:r w:rsidR="082F7CE6">
        <w:t>slunce</w:t>
      </w:r>
      <w:r w:rsidR="082F7CE6" w:rsidRPr="00273106">
        <w:t xml:space="preserve"> ozařuje </w:t>
      </w:r>
      <w:r w:rsidR="082F7CE6">
        <w:t>měsíc</w:t>
      </w:r>
      <w:r w:rsidR="082F7CE6" w:rsidRPr="00273106">
        <w:t>, a ten pak svítí tímto odraženým světlem až na smyslová fantasmata</w:t>
      </w:r>
      <w:r w:rsidR="0802300E">
        <w:t xml:space="preserve"> (</w:t>
      </w:r>
      <w:r w:rsidR="0802300E" w:rsidRPr="0802300E">
        <w:rPr>
          <w:i/>
        </w:rPr>
        <w:t>agens intellectus recipit ab agente superiori et illuminat fantasmata et intellectum possibilem</w:t>
      </w:r>
      <w:r w:rsidR="0802300E">
        <w:t>)</w:t>
      </w:r>
      <w:r w:rsidR="082F7CE6" w:rsidRPr="00273106">
        <w:t>.</w:t>
      </w:r>
      <w:r w:rsidR="082F7CE6" w:rsidRPr="00273106">
        <w:rPr>
          <w:rStyle w:val="Znakapoznpodarou"/>
        </w:rPr>
        <w:footnoteReference w:id="139"/>
      </w:r>
      <w:r w:rsidR="082F7CE6" w:rsidRPr="00273106">
        <w:t xml:space="preserve"> </w:t>
      </w:r>
      <w:r w:rsidR="0802300E">
        <w:t>N</w:t>
      </w:r>
      <w:r w:rsidR="08465FC3" w:rsidRPr="00273106">
        <w:t>emateriálního poznání dán</w:t>
      </w:r>
      <w:r w:rsidR="08465FC3">
        <w:t>o</w:t>
      </w:r>
      <w:r w:rsidR="08465FC3" w:rsidRPr="00273106">
        <w:t xml:space="preserve"> </w:t>
      </w:r>
      <w:r w:rsidR="0802300E">
        <w:t xml:space="preserve">v modu neoplatonského obtisku </w:t>
      </w:r>
      <w:r w:rsidR="082F7CE6" w:rsidRPr="00273106">
        <w:t xml:space="preserve">jako </w:t>
      </w:r>
      <w:r w:rsidR="08465FC3">
        <w:t xml:space="preserve">proces </w:t>
      </w:r>
      <w:r w:rsidR="08465FC3" w:rsidRPr="00273106">
        <w:rPr>
          <w:i/>
        </w:rPr>
        <w:t>informatio</w:t>
      </w:r>
      <w:r w:rsidR="08465FC3">
        <w:rPr>
          <w:i/>
        </w:rPr>
        <w:fldChar w:fldCharType="begin"/>
      </w:r>
      <w:r w:rsidR="08465FC3">
        <w:instrText xml:space="preserve"> XE "</w:instrText>
      </w:r>
      <w:r w:rsidR="08465FC3" w:rsidRPr="00BA0B31">
        <w:rPr>
          <w:i/>
        </w:rPr>
        <w:instrText>informatio</w:instrText>
      </w:r>
      <w:r w:rsidR="08465FC3">
        <w:instrText xml:space="preserve">" </w:instrText>
      </w:r>
      <w:r w:rsidR="08465FC3">
        <w:rPr>
          <w:i/>
        </w:rPr>
        <w:fldChar w:fldCharType="end"/>
      </w:r>
      <w:r w:rsidR="0802300E">
        <w:t xml:space="preserve">, kdy </w:t>
      </w:r>
      <w:r w:rsidR="0802300E" w:rsidRPr="0802300E">
        <w:rPr>
          <w:i/>
        </w:rPr>
        <w:t>intellectus possibilis</w:t>
      </w:r>
      <w:r w:rsidR="0802300E">
        <w:t xml:space="preserve"> slouží jako materie pro obtisk </w:t>
      </w:r>
      <w:r w:rsidR="082F7CE6">
        <w:t xml:space="preserve">hypostázovaných </w:t>
      </w:r>
      <w:r w:rsidR="082E513E">
        <w:t xml:space="preserve">kosmických </w:t>
      </w:r>
      <w:r w:rsidR="082F7CE6">
        <w:t>forem</w:t>
      </w:r>
      <w:r w:rsidR="0802300E">
        <w:t xml:space="preserve">. Model </w:t>
      </w:r>
      <w:r w:rsidR="08D67E6E">
        <w:t xml:space="preserve">neoplatonského </w:t>
      </w:r>
      <w:r w:rsidR="0802300E">
        <w:t>imprintingu se zásadně rozešel s individuální recepcí i</w:t>
      </w:r>
      <w:r w:rsidR="082F7CE6">
        <w:t>ntelektu</w:t>
      </w:r>
      <w:r w:rsidR="08451C56">
        <w:t>, který intenduje smyslová</w:t>
      </w:r>
      <w:r w:rsidR="082F7CE6">
        <w:t xml:space="preserve"> </w:t>
      </w:r>
      <w:r w:rsidR="006A04C6" w:rsidRPr="006A04C6">
        <w:t>species</w:t>
      </w:r>
      <w:r w:rsidR="082F7CE6" w:rsidRPr="00273106">
        <w:t xml:space="preserve">. Scénář nasvícení jsoucna je postaven přesně obráceně než v prvním averroismu. Role formálního nebo receptivního intelektu aktivně vytvářejícího </w:t>
      </w:r>
      <w:r w:rsidR="004B4D52" w:rsidRPr="004B4D52">
        <w:t>species</w:t>
      </w:r>
      <w:r w:rsidR="082F7CE6" w:rsidRPr="00273106">
        <w:rPr>
          <w:i/>
        </w:rPr>
        <w:t xml:space="preserve"> intelligibilis</w:t>
      </w:r>
      <w:r w:rsidR="082F7CE6" w:rsidRPr="00273106">
        <w:t xml:space="preserve"> se stává zbytečnou</w:t>
      </w:r>
      <w:r w:rsidR="087E7D89">
        <w:t>. Recepti</w:t>
      </w:r>
      <w:r w:rsidR="08655BA7">
        <w:t xml:space="preserve">vní intelekt je nahrazen skrze </w:t>
      </w:r>
      <w:r w:rsidR="082F7CE6" w:rsidRPr="00273106">
        <w:rPr>
          <w:i/>
        </w:rPr>
        <w:t>intellectus agens</w:t>
      </w:r>
      <w:r w:rsidR="082F7CE6">
        <w:rPr>
          <w:i/>
        </w:rPr>
        <w:fldChar w:fldCharType="begin"/>
      </w:r>
      <w:r w:rsidR="082F7CE6">
        <w:instrText xml:space="preserve"> XE "</w:instrText>
      </w:r>
      <w:r w:rsidR="082F7CE6" w:rsidRPr="00490D32">
        <w:rPr>
          <w:i/>
        </w:rPr>
        <w:instrText>intellectus agens</w:instrText>
      </w:r>
      <w:r w:rsidR="082F7CE6" w:rsidRPr="00F44F09">
        <w:instrText>:druhý averroismus</w:instrText>
      </w:r>
      <w:r w:rsidR="082F7CE6">
        <w:instrText xml:space="preserve">" </w:instrText>
      </w:r>
      <w:r w:rsidR="082F7CE6">
        <w:rPr>
          <w:i/>
        </w:rPr>
        <w:fldChar w:fldCharType="end"/>
      </w:r>
      <w:r w:rsidR="082F7CE6" w:rsidRPr="00273106">
        <w:t>.</w:t>
      </w:r>
      <w:r w:rsidR="082F7CE6" w:rsidRPr="00273106">
        <w:rPr>
          <w:rStyle w:val="Znakapoznpodarou"/>
        </w:rPr>
        <w:footnoteReference w:id="140"/>
      </w:r>
      <w:r w:rsidR="082F7CE6" w:rsidRPr="00273106">
        <w:t xml:space="preserve"> Tím vznikne klasický případ nasvícení smyslových forem zezadu od </w:t>
      </w:r>
      <w:r w:rsidR="082F7CE6" w:rsidRPr="00273106">
        <w:rPr>
          <w:i/>
        </w:rPr>
        <w:t>intellectus agens</w:t>
      </w:r>
      <w:r w:rsidR="082F7CE6" w:rsidRPr="00273106">
        <w:t xml:space="preserve"> místo od smyslových </w:t>
      </w:r>
      <w:r w:rsidR="082F7CE6" w:rsidRPr="00273106">
        <w:lastRenderedPageBreak/>
        <w:t xml:space="preserve">fantasmat. </w:t>
      </w:r>
      <w:r w:rsidR="08AF07FF">
        <w:t>Traktát definuje poznání z opačného směru</w:t>
      </w:r>
      <w:r w:rsidR="082F7CE6" w:rsidRPr="00273106">
        <w:t xml:space="preserve">, než </w:t>
      </w:r>
      <w:r w:rsidR="08AF07FF">
        <w:t xml:space="preserve">má </w:t>
      </w:r>
      <w:r w:rsidR="082F7CE6" w:rsidRPr="00273106">
        <w:t xml:space="preserve">první averroismus. </w:t>
      </w:r>
      <w:r w:rsidR="082F7CE6">
        <w:t xml:space="preserve">Rupellovo </w:t>
      </w:r>
      <w:r w:rsidR="082F7CE6" w:rsidRPr="00273106">
        <w:t xml:space="preserve">pozdější </w:t>
      </w:r>
      <w:r w:rsidR="082F7CE6">
        <w:t xml:space="preserve">dílo </w:t>
      </w:r>
      <w:r w:rsidR="082F7CE6" w:rsidRPr="00273106">
        <w:rPr>
          <w:i/>
        </w:rPr>
        <w:t>Summa de anima</w:t>
      </w:r>
      <w:r w:rsidR="082F7CE6" w:rsidRPr="00273106">
        <w:t xml:space="preserve"> (kolem 1236)</w:t>
      </w:r>
      <w:r w:rsidR="08633EEE">
        <w:t xml:space="preserve"> je přímo </w:t>
      </w:r>
      <w:r w:rsidR="082F7CE6" w:rsidRPr="00273106">
        <w:t>inspirován</w:t>
      </w:r>
      <w:r w:rsidR="08633EEE">
        <w:t>o</w:t>
      </w:r>
      <w:r w:rsidR="082F7CE6" w:rsidRPr="00273106">
        <w:t xml:space="preserve"> Avicennovým výkladem </w:t>
      </w:r>
      <w:r w:rsidR="082F7CE6">
        <w:rPr>
          <w:i/>
        </w:rPr>
        <w:t>De anima</w:t>
      </w:r>
      <w:r w:rsidR="082F7CE6" w:rsidRPr="00273106">
        <w:t>.</w:t>
      </w:r>
      <w:r w:rsidR="082F7CE6" w:rsidRPr="00273106">
        <w:rPr>
          <w:rStyle w:val="Znakapoznpodarou"/>
        </w:rPr>
        <w:footnoteReference w:id="141"/>
      </w:r>
      <w:r w:rsidR="082F7CE6" w:rsidRPr="00273106">
        <w:t xml:space="preserve"> Činný intelekt svítí jako slunce </w:t>
      </w:r>
      <w:r w:rsidR="082F7CE6">
        <w:fldChar w:fldCharType="begin"/>
      </w:r>
      <w:r w:rsidR="082F7CE6">
        <w:instrText xml:space="preserve"> XE "</w:instrText>
      </w:r>
      <w:r w:rsidR="082F7CE6" w:rsidRPr="00C54C77">
        <w:instrText>intelekt-slunce</w:instrText>
      </w:r>
      <w:r w:rsidR="082F7CE6">
        <w:instrText xml:space="preserve">" </w:instrText>
      </w:r>
      <w:r w:rsidR="082F7CE6">
        <w:fldChar w:fldCharType="end"/>
      </w:r>
      <w:r w:rsidR="082F7CE6" w:rsidRPr="00273106">
        <w:t>na smyslové formy v představivosti (</w:t>
      </w:r>
      <w:r w:rsidR="082F7CE6" w:rsidRPr="00273106">
        <w:rPr>
          <w:i/>
        </w:rPr>
        <w:t>lumen intelligencie diffundere super formas sensibiles existentes in ymaginacione</w:t>
      </w:r>
      <w:r w:rsidR="082F7CE6" w:rsidRPr="00273106">
        <w:t>)</w:t>
      </w:r>
      <w:r w:rsidR="082F7CE6">
        <w:t>. T</w:t>
      </w:r>
      <w:r w:rsidR="082F7CE6" w:rsidRPr="00273106">
        <w:t>oto nasvícení</w:t>
      </w:r>
      <w:r w:rsidR="082F7CE6">
        <w:t xml:space="preserve"> zezadu </w:t>
      </w:r>
      <w:r w:rsidR="082F7CE6" w:rsidRPr="00273106">
        <w:t>determinuje proces abstrakce</w:t>
      </w:r>
      <w:r w:rsidR="082F7CE6">
        <w:t xml:space="preserve"> ja</w:t>
      </w:r>
      <w:r w:rsidR="082F7CE6" w:rsidRPr="00273106">
        <w:t xml:space="preserve">ko </w:t>
      </w:r>
      <w:r w:rsidR="082F7CE6" w:rsidRPr="00273106">
        <w:rPr>
          <w:i/>
        </w:rPr>
        <w:t>denudatio</w:t>
      </w:r>
      <w:r w:rsidR="082F7CE6">
        <w:rPr>
          <w:i/>
        </w:rPr>
        <w:fldChar w:fldCharType="begin"/>
      </w:r>
      <w:r w:rsidR="082F7CE6">
        <w:instrText xml:space="preserve"> XE "zjevování:nasvícení zezadu" </w:instrText>
      </w:r>
      <w:r w:rsidR="082F7CE6">
        <w:rPr>
          <w:i/>
        </w:rPr>
        <w:fldChar w:fldCharType="end"/>
      </w:r>
      <w:r w:rsidR="082F7CE6" w:rsidRPr="00273106">
        <w:t xml:space="preserve"> předem daných forem. </w:t>
      </w:r>
      <w:r w:rsidR="082F7CE6">
        <w:t xml:space="preserve">Darovaný intelekt tuto formu nasvěcuje v aktu donace podané jako augustiniánská a avicennovská iluminace. Neoplatonský </w:t>
      </w:r>
      <w:r w:rsidR="082F7CE6" w:rsidRPr="00E10304">
        <w:rPr>
          <w:i/>
        </w:rPr>
        <w:t>intellectus materialis</w:t>
      </w:r>
      <w:r w:rsidR="082F7CE6">
        <w:t xml:space="preserve"> tuto iluminaci pasivně zrcadlí a nese jako nemateriální </w:t>
      </w:r>
      <w:r w:rsidR="082F7CE6" w:rsidRPr="00350760">
        <w:rPr>
          <w:i/>
        </w:rPr>
        <w:t>subiectum</w:t>
      </w:r>
      <w:r w:rsidR="082F7CE6">
        <w:t xml:space="preserve">. </w:t>
      </w:r>
      <w:r w:rsidR="082F7CE6" w:rsidRPr="00273106">
        <w:t xml:space="preserve">Rozlišení mezi intencionalitou </w:t>
      </w:r>
      <w:r w:rsidR="082F7CE6">
        <w:t xml:space="preserve">a mezi </w:t>
      </w:r>
      <w:r w:rsidR="082F7CE6" w:rsidRPr="00273106">
        <w:t>procesem abstrakce neexistuje</w:t>
      </w:r>
      <w:r w:rsidR="082F7CE6">
        <w:t xml:space="preserve">, protože pro intelektuální poznání není vůbec potřeba. Hypostázované </w:t>
      </w:r>
      <w:r w:rsidR="082F7CE6" w:rsidRPr="00273106">
        <w:t xml:space="preserve">formy </w:t>
      </w:r>
      <w:r w:rsidR="082F7CE6">
        <w:t>existující</w:t>
      </w:r>
      <w:r w:rsidR="0815216E">
        <w:t xml:space="preserve"> jak samostatně tak i ve věcech. Pak není třeba poznání </w:t>
      </w:r>
      <w:r w:rsidR="082F7CE6">
        <w:t>re</w:t>
      </w:r>
      <w:r w:rsidR="0815216E">
        <w:t xml:space="preserve">cipovat ze smyslové zkušenosti </w:t>
      </w:r>
      <w:r w:rsidR="082F7CE6">
        <w:t xml:space="preserve">a </w:t>
      </w:r>
      <w:r w:rsidR="082F7CE6" w:rsidRPr="00273106">
        <w:t>aktivně syntetizovat v činné složce intelektu</w:t>
      </w:r>
      <w:r w:rsidR="082F7CE6">
        <w:rPr>
          <w:i/>
        </w:rPr>
        <w:fldChar w:fldCharType="begin"/>
      </w:r>
      <w:r w:rsidR="082F7CE6">
        <w:instrText xml:space="preserve"> XE "abstrakce:Rupella" </w:instrText>
      </w:r>
      <w:r w:rsidR="082F7CE6">
        <w:rPr>
          <w:i/>
        </w:rPr>
        <w:fldChar w:fldCharType="end"/>
      </w:r>
      <w:r w:rsidR="082F7CE6" w:rsidRPr="00273106">
        <w:t xml:space="preserve">. Pasivně-aktivní činnost provádí činný intelekt </w:t>
      </w:r>
      <w:r w:rsidR="082F7CE6">
        <w:t xml:space="preserve">modernistů </w:t>
      </w:r>
      <w:r w:rsidR="082F7CE6" w:rsidRPr="00273106">
        <w:t xml:space="preserve">tím, že se </w:t>
      </w:r>
      <w:r w:rsidR="00340F4C">
        <w:t>skrze imprinting vtiskuje vnější abstraktní obsahy do pasivního intelektu</w:t>
      </w:r>
      <w:r w:rsidR="082F7CE6" w:rsidRPr="00273106">
        <w:t xml:space="preserve"> (</w:t>
      </w:r>
      <w:r w:rsidR="082F7CE6" w:rsidRPr="00273106">
        <w:rPr>
          <w:i/>
        </w:rPr>
        <w:t>abstractas copulare siue ordinare in intellectu possibili</w:t>
      </w:r>
      <w:r w:rsidR="082F7CE6" w:rsidRPr="00273106">
        <w:t>)</w:t>
      </w:r>
      <w:r w:rsidR="082F7CE6">
        <w:t xml:space="preserve">. Intelekt v duši </w:t>
      </w:r>
      <w:r w:rsidR="082F7CE6" w:rsidRPr="00273106">
        <w:t xml:space="preserve">zrcadlí </w:t>
      </w:r>
      <w:r w:rsidR="006A04C6">
        <w:t>autonomní porretánská</w:t>
      </w:r>
      <w:r w:rsidR="082F7CE6">
        <w:t xml:space="preserve"> </w:t>
      </w:r>
      <w:r w:rsidR="006A04C6" w:rsidRPr="006A04C6">
        <w:t>species</w:t>
      </w:r>
      <w:r w:rsidR="006A04C6">
        <w:t>, která</w:t>
      </w:r>
      <w:r w:rsidR="082F7CE6" w:rsidRPr="00273106">
        <w:t xml:space="preserve"> případně </w:t>
      </w:r>
      <w:r w:rsidR="082F7CE6">
        <w:t xml:space="preserve">rektifikuje v externích </w:t>
      </w:r>
      <w:r w:rsidR="082F7CE6" w:rsidRPr="00273106">
        <w:t xml:space="preserve">věcech podle Anselmovy teorie pravdy jako </w:t>
      </w:r>
      <w:r w:rsidR="082F7CE6" w:rsidRPr="00273106">
        <w:rPr>
          <w:i/>
        </w:rPr>
        <w:t>rectitudo</w:t>
      </w:r>
      <w:r w:rsidR="082F7CE6">
        <w:t xml:space="preserve">. </w:t>
      </w:r>
      <w:r w:rsidR="082F7CE6" w:rsidRPr="00273106">
        <w:t>Neo</w:t>
      </w:r>
      <w:r w:rsidR="082F7CE6">
        <w:t xml:space="preserve">platonské </w:t>
      </w:r>
      <w:r w:rsidR="082F7CE6" w:rsidRPr="00273106">
        <w:rPr>
          <w:i/>
        </w:rPr>
        <w:t>copulatio</w:t>
      </w:r>
      <w:r w:rsidR="082F7CE6" w:rsidRPr="00273106">
        <w:t xml:space="preserve"> obou oddělených forem činného intelektu</w:t>
      </w:r>
      <w:r w:rsidR="082F7CE6">
        <w:t xml:space="preserve"> </w:t>
      </w:r>
      <w:r w:rsidR="00E0477B">
        <w:t xml:space="preserve">vytvořilo </w:t>
      </w:r>
      <w:r w:rsidR="082F7CE6" w:rsidRPr="00273106">
        <w:t>dualistický scénář poznání</w:t>
      </w:r>
      <w:r w:rsidR="082F7CE6">
        <w:fldChar w:fldCharType="begin"/>
      </w:r>
      <w:r w:rsidR="082F7CE6">
        <w:instrText xml:space="preserve"> XE "</w:instrText>
      </w:r>
      <w:r w:rsidR="082F7CE6" w:rsidRPr="006D5C34">
        <w:instrText>druhý averroismus:dualismus poznání</w:instrText>
      </w:r>
      <w:r w:rsidR="082F7CE6">
        <w:instrText xml:space="preserve">" </w:instrText>
      </w:r>
      <w:r w:rsidR="082F7CE6">
        <w:fldChar w:fldCharType="end"/>
      </w:r>
      <w:r w:rsidR="082F7CE6" w:rsidRPr="00273106">
        <w:t>.</w:t>
      </w:r>
      <w:r w:rsidR="082F7CE6">
        <w:t xml:space="preserve"> </w:t>
      </w:r>
      <w:r w:rsidR="008215EA">
        <w:t xml:space="preserve">Výklad CMDA skrze Avicennu musel dopadnout fatálně, což ukáže další historie tohoto sporu. </w:t>
      </w:r>
      <w:r w:rsidR="000C4A9D">
        <w:t xml:space="preserve">Toledská </w:t>
      </w:r>
      <w:r w:rsidR="008B2F15">
        <w:t xml:space="preserve">škola </w:t>
      </w:r>
      <w:r w:rsidR="008B2F15" w:rsidRPr="008B2F15">
        <w:rPr>
          <w:i/>
        </w:rPr>
        <w:t>Modernorum</w:t>
      </w:r>
      <w:r w:rsidR="008B2F15">
        <w:t xml:space="preserve"> </w:t>
      </w:r>
      <w:r w:rsidR="000C4A9D">
        <w:t xml:space="preserve">kolem Filipa Kancléře </w:t>
      </w:r>
      <w:r w:rsidR="008B2F15">
        <w:t xml:space="preserve">zažila první šok </w:t>
      </w:r>
      <w:r w:rsidR="081C083B">
        <w:t xml:space="preserve">s </w:t>
      </w:r>
      <w:r w:rsidR="008B2F15">
        <w:t>příchodem Scota roku 1230</w:t>
      </w:r>
      <w:r w:rsidR="081C083B">
        <w:t>. Modernisté po roce 1235 urputně bránili</w:t>
      </w:r>
      <w:r w:rsidR="008B2F15">
        <w:t xml:space="preserve"> své </w:t>
      </w:r>
      <w:r w:rsidR="081C083B">
        <w:t xml:space="preserve">zmatené dualistické pojetí poznání a člověka </w:t>
      </w:r>
      <w:r w:rsidR="00BC39CE">
        <w:t>útokem na Averroese</w:t>
      </w:r>
      <w:r w:rsidR="081C083B">
        <w:t xml:space="preserve">. </w:t>
      </w:r>
      <w:r w:rsidR="00C94756" w:rsidRPr="00273106">
        <w:t>Tomu</w:t>
      </w:r>
      <w:r w:rsidR="00315591" w:rsidRPr="00273106">
        <w:t>to</w:t>
      </w:r>
      <w:r w:rsidR="00C94756" w:rsidRPr="00273106">
        <w:t xml:space="preserve"> </w:t>
      </w:r>
      <w:r w:rsidR="00D97833">
        <w:t xml:space="preserve">zmatení různých forem intelektu, filosofické a teologické paměti </w:t>
      </w:r>
      <w:r w:rsidR="00C94756" w:rsidRPr="00273106">
        <w:t>se vyhnula aristotelská linie komentátorů napojená na Blundovu školu</w:t>
      </w:r>
      <w:r w:rsidR="00545629">
        <w:t xml:space="preserve"> prvního averroismu</w:t>
      </w:r>
      <w:r w:rsidR="00C94756" w:rsidRPr="00273106">
        <w:t xml:space="preserve">, která správně interpretovala </w:t>
      </w:r>
      <w:r w:rsidR="002E3B62">
        <w:t>Averroes</w:t>
      </w:r>
      <w:r w:rsidR="00C94756" w:rsidRPr="00273106">
        <w:t>ovy spisy</w:t>
      </w:r>
      <w:r w:rsidR="008B2F15">
        <w:t xml:space="preserve"> a převzala Scotovu linii Sicilské školy</w:t>
      </w:r>
      <w:r w:rsidR="00C94756" w:rsidRPr="00273106">
        <w:t>.</w:t>
      </w:r>
      <w:r w:rsidR="08FE0552">
        <w:t xml:space="preserve"> </w:t>
      </w:r>
      <w:r w:rsidR="08FE0552" w:rsidRPr="00273106">
        <w:t xml:space="preserve">Proto </w:t>
      </w:r>
      <w:r w:rsidR="089A36DD">
        <w:t>ne</w:t>
      </w:r>
      <w:r w:rsidR="08FE0552" w:rsidRPr="00273106">
        <w:t>exist</w:t>
      </w:r>
      <w:r w:rsidR="089A36DD">
        <w:t>uje</w:t>
      </w:r>
      <w:r w:rsidR="08FE0552" w:rsidRPr="00273106">
        <w:t xml:space="preserve"> univoční </w:t>
      </w:r>
      <w:r w:rsidR="08FE03D1">
        <w:t xml:space="preserve">a objektivní </w:t>
      </w:r>
      <w:r w:rsidR="08FE0552" w:rsidRPr="00273106">
        <w:t>pojem pro jednotlivé kategorie intelektu</w:t>
      </w:r>
      <w:r w:rsidR="08FE0552">
        <w:t xml:space="preserve"> ve škole prvního a druhého averroismu</w:t>
      </w:r>
      <w:r w:rsidR="089A36DD">
        <w:t xml:space="preserve"> v letech 1230‒50</w:t>
      </w:r>
      <w:r w:rsidR="08FE0552" w:rsidRPr="00273106">
        <w:t>.</w:t>
      </w:r>
    </w:p>
    <w:p w14:paraId="40125151" w14:textId="19CEF578" w:rsidR="08F75596" w:rsidRDefault="08C027E4" w:rsidP="00B14EDC">
      <w:r>
        <w:rPr>
          <w:rStyle w:val="Zkladntext158dkovn0pt"/>
          <w:color w:val="auto"/>
          <w:spacing w:val="0"/>
          <w:sz w:val="24"/>
          <w:lang w:val="cs-CZ"/>
        </w:rPr>
        <w:tab/>
      </w:r>
      <w:r w:rsidR="00270929" w:rsidRPr="00273106">
        <w:rPr>
          <w:rStyle w:val="Zkladntext158dkovn0pt"/>
          <w:color w:val="auto"/>
          <w:spacing w:val="0"/>
          <w:sz w:val="24"/>
          <w:lang w:val="cs-CZ"/>
        </w:rPr>
        <w:t xml:space="preserve">Druhým klíčovým spisem prvního averroismu se stal traktát </w:t>
      </w:r>
      <w:r w:rsidR="000C4D94" w:rsidRPr="00273106">
        <w:rPr>
          <w:i/>
        </w:rPr>
        <w:t>De p</w:t>
      </w:r>
      <w:r w:rsidR="00270929" w:rsidRPr="00273106">
        <w:rPr>
          <w:i/>
        </w:rPr>
        <w:t>otentiis animae et obiectis</w:t>
      </w:r>
      <w:r w:rsidR="00152DB3" w:rsidRPr="00273106">
        <w:t xml:space="preserve"> (asi 1230)</w:t>
      </w:r>
      <w:r w:rsidR="085B7C15">
        <w:t xml:space="preserve">. Apologetický spis </w:t>
      </w:r>
      <w:r>
        <w:t xml:space="preserve">vznikal ve stejné době jako </w:t>
      </w:r>
      <w:r w:rsidRPr="08C027E4">
        <w:rPr>
          <w:i/>
        </w:rPr>
        <w:t>Summa Duacensis</w:t>
      </w:r>
      <w:r>
        <w:t xml:space="preserve"> a </w:t>
      </w:r>
      <w:r w:rsidR="085B7C15">
        <w:t xml:space="preserve">reaguje </w:t>
      </w:r>
      <w:r w:rsidR="085B7C15">
        <w:lastRenderedPageBreak/>
        <w:t xml:space="preserve">na </w:t>
      </w:r>
      <w:r>
        <w:t xml:space="preserve">spory dané v této škole </w:t>
      </w:r>
      <w:r w:rsidR="08162B0F">
        <w:t xml:space="preserve">v letech </w:t>
      </w:r>
      <w:r>
        <w:t>1230</w:t>
      </w:r>
      <w:r w:rsidR="08162B0F">
        <w:t>‒35</w:t>
      </w:r>
      <w:r>
        <w:t xml:space="preserve">. </w:t>
      </w:r>
      <w:r w:rsidR="00656402" w:rsidRPr="00273106">
        <w:t xml:space="preserve">Vzhledem k myšlenkové příbuznosti a </w:t>
      </w:r>
      <w:r w:rsidR="0048524D">
        <w:t xml:space="preserve">k </w:t>
      </w:r>
      <w:r w:rsidR="00656402" w:rsidRPr="00273106">
        <w:t xml:space="preserve">návaznosti témat </w:t>
      </w:r>
      <w:r w:rsidR="08633451">
        <w:t xml:space="preserve">je zřejmé, že </w:t>
      </w:r>
      <w:r w:rsidR="00656402" w:rsidRPr="00273106">
        <w:t xml:space="preserve">traktát </w:t>
      </w:r>
      <w:r w:rsidR="08633451">
        <w:t xml:space="preserve">pochází z </w:t>
      </w:r>
      <w:r w:rsidR="00A576E7" w:rsidRPr="00273106">
        <w:t>školy prvního averroismu</w:t>
      </w:r>
      <w:r w:rsidR="00766AD0" w:rsidRPr="00273106">
        <w:t xml:space="preserve"> navázané na </w:t>
      </w:r>
      <w:r w:rsidR="007C2745" w:rsidRPr="00273106">
        <w:t xml:space="preserve">Jana </w:t>
      </w:r>
      <w:r w:rsidR="00766AD0" w:rsidRPr="00273106">
        <w:t>Blunda</w:t>
      </w:r>
      <w:r w:rsidR="00A65BAF" w:rsidRPr="00273106">
        <w:t xml:space="preserve">. </w:t>
      </w:r>
      <w:r w:rsidR="00331C58" w:rsidRPr="00273106">
        <w:t xml:space="preserve">K debatě o biskupovi </w:t>
      </w:r>
      <w:r w:rsidR="00947F8B" w:rsidRPr="00273106">
        <w:t>Alverno</w:t>
      </w:r>
      <w:r w:rsidR="00331C58" w:rsidRPr="00273106">
        <w:t>vi ja</w:t>
      </w:r>
      <w:r w:rsidR="004F2440" w:rsidRPr="00273106">
        <w:t>ko autorovi traktátu se věnujeme dále (</w:t>
      </w:r>
      <w:r w:rsidR="00A65BAF" w:rsidRPr="00273106">
        <w:t xml:space="preserve">kap. </w:t>
      </w:r>
      <w:r w:rsidR="087E7D89">
        <w:t>2</w:t>
      </w:r>
      <w:r w:rsidR="00A65BAF" w:rsidRPr="00273106">
        <w:t>.3</w:t>
      </w:r>
      <w:r w:rsidR="00D548D9">
        <w:t>.1</w:t>
      </w:r>
      <w:r w:rsidR="004F2440" w:rsidRPr="00273106">
        <w:t>)</w:t>
      </w:r>
      <w:r w:rsidR="00331C58" w:rsidRPr="00273106">
        <w:t xml:space="preserve">. </w:t>
      </w:r>
      <w:r w:rsidR="00152DB3" w:rsidRPr="00273106">
        <w:t>Spis tvořivým způsobem rozvíjí poznatky předešlého traktátu</w:t>
      </w:r>
      <w:r w:rsidR="00E52701" w:rsidRPr="00273106">
        <w:t xml:space="preserve"> </w:t>
      </w:r>
      <w:r w:rsidR="00F01D67">
        <w:rPr>
          <w:i/>
        </w:rPr>
        <w:t xml:space="preserve">De anima et de potenciis eius </w:t>
      </w:r>
      <w:r w:rsidR="00E52701" w:rsidRPr="00273106">
        <w:t>o schopnostech</w:t>
      </w:r>
      <w:r w:rsidR="00F2023E" w:rsidRPr="00273106">
        <w:t xml:space="preserve"> duše</w:t>
      </w:r>
      <w:r w:rsidR="00152DB3" w:rsidRPr="00273106">
        <w:t xml:space="preserve">, na který přímo navazuje. </w:t>
      </w:r>
      <w:r w:rsidR="00712BD5" w:rsidRPr="00273106">
        <w:t>Protože intelekt má pasivní a aktivní schopnost poznání, pak duše</w:t>
      </w:r>
      <w:r w:rsidR="009A4EA4">
        <w:t xml:space="preserve"> provozuje různorodé činnosti. </w:t>
      </w:r>
      <w:r w:rsidR="00152DB3" w:rsidRPr="00273106">
        <w:t xml:space="preserve">Klíčovým </w:t>
      </w:r>
      <w:r w:rsidR="00F926D1" w:rsidRPr="00273106">
        <w:t xml:space="preserve">přínosem </w:t>
      </w:r>
      <w:r w:rsidR="00152DB3" w:rsidRPr="00273106">
        <w:t xml:space="preserve">je </w:t>
      </w:r>
      <w:r w:rsidR="00F926D1" w:rsidRPr="00273106">
        <w:t xml:space="preserve">přesné </w:t>
      </w:r>
      <w:r w:rsidR="00152DB3" w:rsidRPr="00273106">
        <w:t>určení pasivních potencí duše, které se liší od statut</w:t>
      </w:r>
      <w:r w:rsidR="002F2D86" w:rsidRPr="00273106">
        <w:t>u</w:t>
      </w:r>
      <w:r w:rsidR="00152DB3" w:rsidRPr="00273106">
        <w:t xml:space="preserve"> </w:t>
      </w:r>
      <w:r w:rsidR="00152DB3"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A411A7">
        <w:instrText>:</w:instrText>
      </w:r>
      <w:r w:rsidR="00A411A7" w:rsidRPr="00A411A7">
        <w:instrText>první averroismus</w:instrText>
      </w:r>
      <w:r w:rsidR="00DF1F0F">
        <w:instrText xml:space="preserve">" </w:instrText>
      </w:r>
      <w:r w:rsidR="00DF1F0F">
        <w:rPr>
          <w:i/>
        </w:rPr>
        <w:fldChar w:fldCharType="end"/>
      </w:r>
      <w:r w:rsidR="00ED5CC9">
        <w:t xml:space="preserve"> tvořícího součást individuální duše</w:t>
      </w:r>
      <w:r w:rsidR="00152DB3" w:rsidRPr="00273106">
        <w:t xml:space="preserve">. Autor </w:t>
      </w:r>
      <w:r w:rsidR="00930B87" w:rsidRPr="00273106">
        <w:t xml:space="preserve">v návaznosti na CMDA </w:t>
      </w:r>
      <w:r w:rsidR="00152DB3" w:rsidRPr="00273106">
        <w:t>jasně říká, že pasivní potence inte</w:t>
      </w:r>
      <w:r w:rsidR="00557C12" w:rsidRPr="00273106">
        <w:t>le</w:t>
      </w:r>
      <w:r w:rsidR="00152DB3" w:rsidRPr="00273106">
        <w:t>ktu přijímají věc v</w:t>
      </w:r>
      <w:r w:rsidR="002F2D86" w:rsidRPr="00273106">
        <w:t xml:space="preserve"> jí vlastní </w:t>
      </w:r>
      <w:r w:rsidR="00152DB3" w:rsidRPr="00273106">
        <w:t>danosti</w:t>
      </w:r>
      <w:r w:rsidR="00930B87" w:rsidRPr="00273106">
        <w:t xml:space="preserve"> (</w:t>
      </w:r>
      <w:r w:rsidR="00152DB3" w:rsidRPr="00273106">
        <w:rPr>
          <w:i/>
        </w:rPr>
        <w:t>proportionaliter</w:t>
      </w:r>
      <w:r w:rsidR="00930B87" w:rsidRPr="00273106">
        <w:t>)</w:t>
      </w:r>
      <w:r w:rsidR="006735CF" w:rsidRPr="00273106">
        <w:t>. N</w:t>
      </w:r>
      <w:r w:rsidR="00152DB3" w:rsidRPr="00273106">
        <w:t xml:space="preserve">avíc </w:t>
      </w:r>
      <w:r w:rsidR="00CC66BD" w:rsidRPr="00273106">
        <w:t xml:space="preserve">tyto různorodé poznávací schopnosti </w:t>
      </w:r>
      <w:r w:rsidR="002F2D86" w:rsidRPr="00273106">
        <w:t>tvoří součá</w:t>
      </w:r>
      <w:r w:rsidR="00152DB3" w:rsidRPr="00273106">
        <w:t>st</w:t>
      </w:r>
      <w:r w:rsidR="00557C12" w:rsidRPr="00273106">
        <w:t xml:space="preserve"> individuální duše a jednoho individuálního intelektu</w:t>
      </w:r>
      <w:r w:rsidR="00152DB3" w:rsidRPr="00273106">
        <w:t>.</w:t>
      </w:r>
      <w:r w:rsidR="002A4176">
        <w:t xml:space="preserve"> Brilantní formulace zdůrazňuje odlišnost první substance</w:t>
      </w:r>
      <w:r w:rsidR="00A70FA4">
        <w:fldChar w:fldCharType="begin"/>
      </w:r>
      <w:r w:rsidR="00A70FA4">
        <w:instrText xml:space="preserve"> XE "</w:instrText>
      </w:r>
      <w:r w:rsidR="00A70FA4" w:rsidRPr="00DE2A32">
        <w:instrText>substance</w:instrText>
      </w:r>
      <w:r w:rsidR="00A411A7">
        <w:instrText>:první</w:instrText>
      </w:r>
      <w:r w:rsidR="00A70FA4">
        <w:instrText xml:space="preserve">" </w:instrText>
      </w:r>
      <w:r w:rsidR="00A70FA4">
        <w:fldChar w:fldCharType="end"/>
      </w:r>
      <w:r w:rsidR="002A4176">
        <w:t xml:space="preserve"> (</w:t>
      </w:r>
      <w:r w:rsidR="002A4176" w:rsidRPr="002A4176">
        <w:rPr>
          <w:i/>
        </w:rPr>
        <w:t>quod sit aliud secundum substantiam</w:t>
      </w:r>
      <w:r w:rsidR="002A4176">
        <w:t xml:space="preserve">) od našeho poznání této reálné jinakovosti </w:t>
      </w:r>
      <w:r w:rsidR="00DD20AE">
        <w:t xml:space="preserve">první substance </w:t>
      </w:r>
      <w:r w:rsidR="00BA0DD7">
        <w:t xml:space="preserve">v modu </w:t>
      </w:r>
      <w:r w:rsidR="0027673D" w:rsidRPr="0027673D">
        <w:rPr>
          <w:i/>
        </w:rPr>
        <w:t>ab alio</w:t>
      </w:r>
      <w:r w:rsidR="0027673D">
        <w:t xml:space="preserve"> </w:t>
      </w:r>
      <w:r w:rsidR="002A4176">
        <w:t>pomocí druhé substance</w:t>
      </w:r>
      <w:r w:rsidR="0027673D">
        <w:t xml:space="preserve"> </w:t>
      </w:r>
      <w:r w:rsidR="002A4176">
        <w:t>(</w:t>
      </w:r>
      <w:r w:rsidR="002A4176" w:rsidRPr="002A4176">
        <w:rPr>
          <w:i/>
        </w:rPr>
        <w:t>vel ab alio secundum substantiam</w:t>
      </w:r>
      <w:r w:rsidR="002A4176">
        <w:t>).</w:t>
      </w:r>
      <w:r w:rsidR="00D337E5" w:rsidRPr="00273106">
        <w:rPr>
          <w:rStyle w:val="Znakapoznpodarou"/>
        </w:rPr>
        <w:footnoteReference w:id="142"/>
      </w:r>
      <w:r w:rsidR="00152DB3" w:rsidRPr="00273106">
        <w:t xml:space="preserve"> </w:t>
      </w:r>
      <w:r w:rsidR="000D7AD8">
        <w:t xml:space="preserve">Jak dále uvidíme, tuto argumentaci použil Alvernus proti </w:t>
      </w:r>
      <w:r w:rsidR="08BC44E9">
        <w:t>nominalistické škole Gramatiků</w:t>
      </w:r>
      <w:r w:rsidR="08F540DB">
        <w:t xml:space="preserve"> (kap. 2</w:t>
      </w:r>
      <w:r w:rsidR="000D7AD8">
        <w:t xml:space="preserve">.3.2). </w:t>
      </w:r>
      <w:r w:rsidR="009C37A3" w:rsidRPr="00273106">
        <w:t>Schéma hájí nasvícení smy</w:t>
      </w:r>
      <w:r w:rsidR="001427A9" w:rsidRPr="00273106">
        <w:t>s</w:t>
      </w:r>
      <w:r w:rsidR="009C37A3" w:rsidRPr="00273106">
        <w:t>lu jsoucna zepředu</w:t>
      </w:r>
      <w:r w:rsidR="001E1314">
        <w:t>, což zařazuje traktát do školy prvního averroismu</w:t>
      </w:r>
      <w:r w:rsidR="009C37A3" w:rsidRPr="00273106">
        <w:t xml:space="preserve">. Poznání vychází od první substance a její danost přijímá v modu jinakovosti </w:t>
      </w:r>
      <w:r w:rsidR="08BD33AC">
        <w:t xml:space="preserve">podle </w:t>
      </w:r>
      <w:r w:rsidR="082A724F">
        <w:t xml:space="preserve">metafyzického </w:t>
      </w:r>
      <w:r w:rsidR="08BD33AC">
        <w:t xml:space="preserve">dativu </w:t>
      </w:r>
      <w:r w:rsidR="009C37A3" w:rsidRPr="00273106">
        <w:t>(</w:t>
      </w:r>
      <w:r w:rsidR="004E1638" w:rsidRPr="00273106">
        <w:rPr>
          <w:i/>
        </w:rPr>
        <w:t>recipiendi ab altero secundum quod alterum</w:t>
      </w:r>
      <w:r w:rsidR="009C37A3" w:rsidRPr="00273106">
        <w:t>)</w:t>
      </w:r>
      <w:r w:rsidR="004E1638" w:rsidRPr="00273106">
        <w:t xml:space="preserve">. Alterita singulárního poznatku </w:t>
      </w:r>
      <w:r w:rsidR="00FC13B8" w:rsidRPr="00273106">
        <w:t xml:space="preserve">daného smyslovou recepcí </w:t>
      </w:r>
      <w:r w:rsidR="004E1638" w:rsidRPr="00273106">
        <w:t>(</w:t>
      </w:r>
      <w:r w:rsidR="004B4D52" w:rsidRPr="004B4D52">
        <w:t>species</w:t>
      </w:r>
      <w:r w:rsidR="004E1638" w:rsidRPr="00273106">
        <w:rPr>
          <w:i/>
        </w:rPr>
        <w:t xml:space="preserve"> sensibilis</w:t>
      </w:r>
      <w:r w:rsidR="008061D5">
        <w:rPr>
          <w:i/>
        </w:rPr>
        <w:fldChar w:fldCharType="begin"/>
      </w:r>
      <w:r w:rsidR="008061D5">
        <w:instrText xml:space="preserve"> XE "</w:instrText>
      </w:r>
      <w:r w:rsidR="008061D5" w:rsidRPr="00374FA1">
        <w:rPr>
          <w:i/>
        </w:rPr>
        <w:instrText>species sensibilis</w:instrText>
      </w:r>
      <w:r w:rsidR="008061D5">
        <w:instrText xml:space="preserve">" </w:instrText>
      </w:r>
      <w:r w:rsidR="008061D5">
        <w:rPr>
          <w:i/>
        </w:rPr>
        <w:fldChar w:fldCharType="end"/>
      </w:r>
      <w:r w:rsidR="004E1638" w:rsidRPr="00273106">
        <w:t xml:space="preserve">) je dána v modu adekvace k věci, ale zároveň </w:t>
      </w:r>
      <w:r w:rsidR="00AE7A19">
        <w:t xml:space="preserve">v modu nepodobnosti k inteligibilnímu </w:t>
      </w:r>
      <w:r w:rsidR="006A04C6" w:rsidRPr="006A04C6">
        <w:t>species</w:t>
      </w:r>
      <w:r w:rsidR="00FC13B8" w:rsidRPr="00273106">
        <w:t xml:space="preserve">, </w:t>
      </w:r>
      <w:r w:rsidR="00B66DF9">
        <w:t>které</w:t>
      </w:r>
      <w:r w:rsidR="00D83D24" w:rsidRPr="00273106">
        <w:t xml:space="preserve"> </w:t>
      </w:r>
      <w:r w:rsidR="00FC13B8" w:rsidRPr="00273106">
        <w:t>je nemateriáln</w:t>
      </w:r>
      <w:r w:rsidR="004E1638" w:rsidRPr="00273106">
        <w:t>í</w:t>
      </w:r>
      <w:r w:rsidR="00FC13B8" w:rsidRPr="00273106">
        <w:t xml:space="preserve"> a univerzální</w:t>
      </w:r>
      <w:r w:rsidR="004E1638" w:rsidRPr="00273106">
        <w:t xml:space="preserve">. Toto zásadní rozlišení </w:t>
      </w:r>
      <w:r w:rsidR="00252FB4" w:rsidRPr="00273106">
        <w:rPr>
          <w:i/>
        </w:rPr>
        <w:t>Nominales</w:t>
      </w:r>
      <w:r w:rsidR="08970711">
        <w:t xml:space="preserve"> neměli, což ukázal zmatek ohledně </w:t>
      </w:r>
      <w:r w:rsidR="00AE7A19">
        <w:t xml:space="preserve">formálního intelektu v </w:t>
      </w:r>
      <w:r w:rsidR="00AE7A19">
        <w:rPr>
          <w:i/>
        </w:rPr>
        <w:t>Summa Dua</w:t>
      </w:r>
      <w:r w:rsidR="00AE7A19" w:rsidRPr="00AE7A19">
        <w:rPr>
          <w:i/>
        </w:rPr>
        <w:t>censis</w:t>
      </w:r>
      <w:r w:rsidR="00AE7A19">
        <w:t xml:space="preserve">. Moderní </w:t>
      </w:r>
      <w:r w:rsidR="08DE18BB">
        <w:t>alexandrovc</w:t>
      </w:r>
      <w:r w:rsidR="00AE7A19">
        <w:t xml:space="preserve">i </w:t>
      </w:r>
      <w:r w:rsidR="00252FB4" w:rsidRPr="00273106">
        <w:t xml:space="preserve">univočně spojili </w:t>
      </w:r>
      <w:r w:rsidR="004E1638" w:rsidRPr="00273106">
        <w:t xml:space="preserve">v modu různorodého </w:t>
      </w:r>
      <w:r w:rsidR="004E1638" w:rsidRPr="00273106">
        <w:rPr>
          <w:i/>
        </w:rPr>
        <w:t>tertium ens</w:t>
      </w:r>
      <w:r w:rsidR="004E1638" w:rsidRPr="00273106">
        <w:t xml:space="preserve"> jak schopnosti duše, tak i </w:t>
      </w:r>
      <w:r w:rsidR="00252FB4" w:rsidRPr="00273106">
        <w:t>různé f</w:t>
      </w:r>
      <w:r w:rsidR="004E1638" w:rsidRPr="00273106">
        <w:t xml:space="preserve">ormy substancí třetího druhu. </w:t>
      </w:r>
      <w:r w:rsidR="00306CD6">
        <w:t xml:space="preserve">Hylemorfická forma a abstrahované </w:t>
      </w:r>
      <w:r w:rsidR="006A04C6" w:rsidRPr="006A04C6">
        <w:t>species</w:t>
      </w:r>
      <w:r w:rsidR="00306CD6">
        <w:t xml:space="preserve"> </w:t>
      </w:r>
      <w:r w:rsidR="004E1638" w:rsidRPr="00273106">
        <w:t>dosta</w:t>
      </w:r>
      <w:r w:rsidR="00306CD6">
        <w:t>ly</w:t>
      </w:r>
      <w:r w:rsidR="004E1638" w:rsidRPr="00273106">
        <w:t xml:space="preserve"> </w:t>
      </w:r>
      <w:r w:rsidR="00306CD6">
        <w:t>univoční charakter</w:t>
      </w:r>
      <w:r w:rsidR="00476769">
        <w:t xml:space="preserve">, což </w:t>
      </w:r>
      <w:r w:rsidR="00B420AC">
        <w:t xml:space="preserve">Blundova </w:t>
      </w:r>
      <w:r w:rsidR="00CB78B2">
        <w:t>škola kritizovala</w:t>
      </w:r>
      <w:r w:rsidR="00476769">
        <w:t xml:space="preserve"> </w:t>
      </w:r>
      <w:r w:rsidR="086A1077">
        <w:t xml:space="preserve">v předešlém anonymním traktátu </w:t>
      </w:r>
      <w:r w:rsidR="00476769">
        <w:t>jako fatální omyl Avicenny</w:t>
      </w:r>
      <w:r w:rsidR="086A1077">
        <w:t xml:space="preserve"> a Toledské školy</w:t>
      </w:r>
      <w:r w:rsidR="00306CD6">
        <w:t xml:space="preserve">. </w:t>
      </w:r>
      <w:r w:rsidR="00252FB4" w:rsidRPr="00273106">
        <w:t xml:space="preserve">První averroismus </w:t>
      </w:r>
      <w:r w:rsidR="082A5581">
        <w:t xml:space="preserve">hájí </w:t>
      </w:r>
      <w:r w:rsidR="00252FB4" w:rsidRPr="00273106">
        <w:t>linii CMDA</w:t>
      </w:r>
      <w:r w:rsidR="001427A9" w:rsidRPr="00273106">
        <w:t xml:space="preserve"> </w:t>
      </w:r>
      <w:r w:rsidR="082A5581">
        <w:t xml:space="preserve">definující status </w:t>
      </w:r>
      <w:r w:rsidR="00827544" w:rsidRPr="00273106">
        <w:t xml:space="preserve">poznání </w:t>
      </w:r>
      <w:r w:rsidR="082A5581">
        <w:t xml:space="preserve">a pravdy </w:t>
      </w:r>
      <w:r w:rsidR="001427A9" w:rsidRPr="00273106">
        <w:t xml:space="preserve">v modu </w:t>
      </w:r>
      <w:r w:rsidR="001427A9" w:rsidRPr="00273106">
        <w:rPr>
          <w:i/>
        </w:rPr>
        <w:t>proportionaliter</w:t>
      </w:r>
      <w:r w:rsidR="00252FB4" w:rsidRPr="00273106">
        <w:t>.</w:t>
      </w:r>
      <w:r w:rsidR="00FA0409" w:rsidRPr="00273106">
        <w:t xml:space="preserve"> Přijímat </w:t>
      </w:r>
      <w:r w:rsidR="00406521">
        <w:t xml:space="preserve">první substanci lze různým způsobem a </w:t>
      </w:r>
      <w:r w:rsidR="00406521">
        <w:lastRenderedPageBreak/>
        <w:t xml:space="preserve">pomocí různých schopností, ale pravdivé vědecké poznání musí hledat kauzálně danou adekvaci. </w:t>
      </w:r>
    </w:p>
    <w:p w14:paraId="19C67428" w14:textId="77777777" w:rsidR="08F75596" w:rsidRPr="00273106" w:rsidRDefault="08F75596" w:rsidP="08F75596">
      <w:pPr>
        <w:pStyle w:val="Citace"/>
        <w:rPr>
          <w:noProof/>
          <w:lang w:val="cs-CZ"/>
        </w:rPr>
      </w:pPr>
      <w:r w:rsidRPr="00273106">
        <w:rPr>
          <w:noProof/>
          <w:lang w:val="cs-CZ"/>
        </w:rPr>
        <w:t xml:space="preserve">„Otázka ale je, zda duše přijímá mnohost ve své podstatě, nebo podle řádu bytí, </w:t>
      </w:r>
      <w:r>
        <w:rPr>
          <w:noProof/>
          <w:lang w:val="cs-CZ"/>
        </w:rPr>
        <w:t xml:space="preserve">nebo podle definice; zda se poznání </w:t>
      </w:r>
      <w:r w:rsidRPr="00273106">
        <w:rPr>
          <w:noProof/>
          <w:lang w:val="cs-CZ"/>
        </w:rPr>
        <w:t xml:space="preserve">děje skrze tělesný orgán, nebo skrze nástroj, nebo skrze syntetizovaný význam.“ </w:t>
      </w:r>
      <w:r w:rsidRPr="00273106">
        <w:rPr>
          <w:rStyle w:val="Znakapoznpodarou"/>
          <w:noProof/>
          <w:lang w:val="cs-CZ"/>
        </w:rPr>
        <w:footnoteReference w:id="143"/>
      </w:r>
    </w:p>
    <w:p w14:paraId="3F3DF467" w14:textId="77777777" w:rsidR="0019397A" w:rsidRDefault="007D1D6C" w:rsidP="00020DCF">
      <w:r w:rsidRPr="00273106">
        <w:t>Díky jasnému rozlišení in</w:t>
      </w:r>
      <w:r w:rsidR="003E1273">
        <w:t xml:space="preserve">tencionality dostává anonym tuto </w:t>
      </w:r>
      <w:r w:rsidR="003B2B66">
        <w:t xml:space="preserve">triádu: </w:t>
      </w:r>
      <w:r w:rsidRPr="00273106">
        <w:t>smys</w:t>
      </w:r>
      <w:r w:rsidR="001555F4">
        <w:t>lová nebo rozumová recepce na úrovni inte</w:t>
      </w:r>
      <w:r w:rsidR="00B84E58">
        <w:t>n</w:t>
      </w:r>
      <w:r w:rsidR="001555F4">
        <w:t xml:space="preserve">cionality </w:t>
      </w:r>
      <w:r w:rsidRPr="00273106">
        <w:t xml:space="preserve">‒ </w:t>
      </w:r>
      <w:r w:rsidR="00485BE6">
        <w:t xml:space="preserve">personální </w:t>
      </w:r>
      <w:r w:rsidR="001555F4">
        <w:t xml:space="preserve">syntetická </w:t>
      </w:r>
      <w:r w:rsidRPr="00273106">
        <w:t xml:space="preserve">schopnost duše ‒ </w:t>
      </w:r>
      <w:r w:rsidR="001555F4">
        <w:t xml:space="preserve">výsledný </w:t>
      </w:r>
      <w:r w:rsidR="0896758A">
        <w:t xml:space="preserve">pojem </w:t>
      </w:r>
      <w:r>
        <w:t>poznání</w:t>
      </w:r>
      <w:r w:rsidR="00A411A7">
        <w:fldChar w:fldCharType="begin"/>
      </w:r>
      <w:r w:rsidR="00A411A7">
        <w:instrText xml:space="preserve"> XE "intelekt:první averroismus" </w:instrText>
      </w:r>
      <w:r w:rsidR="00A411A7">
        <w:fldChar w:fldCharType="end"/>
      </w:r>
      <w:r w:rsidRPr="00273106">
        <w:t xml:space="preserve">. Stále platí základní teze o proporčním přijímání </w:t>
      </w:r>
      <w:r w:rsidR="00C935DF">
        <w:t xml:space="preserve">první substance </w:t>
      </w:r>
      <w:r w:rsidRPr="00273106">
        <w:t>v</w:t>
      </w:r>
      <w:r w:rsidR="00C935DF">
        <w:t> </w:t>
      </w:r>
      <w:r w:rsidRPr="00273106">
        <w:t>je</w:t>
      </w:r>
      <w:r w:rsidR="00C935DF">
        <w:t>jí a</w:t>
      </w:r>
      <w:r w:rsidRPr="00273106">
        <w:t>lteritě.</w:t>
      </w:r>
      <w:r w:rsidR="08F75596">
        <w:t xml:space="preserve"> </w:t>
      </w:r>
      <w:r w:rsidR="00790DD2" w:rsidRPr="00273106">
        <w:t xml:space="preserve">Toto klíčové rozdělení </w:t>
      </w:r>
      <w:r w:rsidR="00020DCF">
        <w:t>mezi třemi rovinami poznání (</w:t>
      </w:r>
      <w:r w:rsidR="00781585">
        <w:t>smyslové</w:t>
      </w:r>
      <w:r w:rsidR="00020DCF">
        <w:t xml:space="preserve">, </w:t>
      </w:r>
      <w:r w:rsidR="005A3D9E">
        <w:t>praktické</w:t>
      </w:r>
      <w:r w:rsidR="00020DCF">
        <w:t xml:space="preserve">, </w:t>
      </w:r>
      <w:r w:rsidR="00781585">
        <w:t>abstraktní</w:t>
      </w:r>
      <w:r w:rsidR="00020DCF">
        <w:t xml:space="preserve">) je doplněno o tři druhy racionality podle </w:t>
      </w:r>
      <w:r w:rsidR="00020DCF" w:rsidRPr="08F75596">
        <w:rPr>
          <w:i/>
        </w:rPr>
        <w:t>Etiky Nikomachovy</w:t>
      </w:r>
      <w:r w:rsidR="00020DCF">
        <w:t xml:space="preserve">, která poznání produkuje (smyslové poznání, praktický intelekt, teoretický intelekt). </w:t>
      </w:r>
      <w:r w:rsidR="083E3AAF">
        <w:t>T</w:t>
      </w:r>
      <w:r w:rsidR="00020DCF">
        <w:t xml:space="preserve">oto schéma je zasazeno do definice duše podle </w:t>
      </w:r>
      <w:r w:rsidR="004F569F" w:rsidRPr="00273106">
        <w:t>CMDA</w:t>
      </w:r>
      <w:r w:rsidR="00020DCF">
        <w:t xml:space="preserve">, kterou charakterizují </w:t>
      </w:r>
      <w:r w:rsidR="00CD3F18" w:rsidRPr="00273106">
        <w:t>dvě intelektuál</w:t>
      </w:r>
      <w:r w:rsidR="00790DD2" w:rsidRPr="00273106">
        <w:t>ní složk</w:t>
      </w:r>
      <w:r w:rsidR="00020DCF">
        <w:t>y, receptivní a syntetizující</w:t>
      </w:r>
      <w:r w:rsidR="00790DD2" w:rsidRPr="00273106">
        <w:t xml:space="preserve">. </w:t>
      </w:r>
      <w:r w:rsidR="08A97B58">
        <w:t>Spis vytv</w:t>
      </w:r>
      <w:r w:rsidR="08866889">
        <w:t>o</w:t>
      </w:r>
      <w:r w:rsidR="08A97B58">
        <w:t xml:space="preserve">řil kompetní </w:t>
      </w:r>
      <w:r w:rsidR="00CF018C">
        <w:t>schéma poznání jako skutečné</w:t>
      </w:r>
      <w:r w:rsidR="00790DD2" w:rsidRPr="00273106">
        <w:t xml:space="preserve"> </w:t>
      </w:r>
      <w:r w:rsidR="00CD3F18" w:rsidRPr="00273106">
        <w:rPr>
          <w:i/>
        </w:rPr>
        <w:t>propor</w:t>
      </w:r>
      <w:r w:rsidR="00790DD2" w:rsidRPr="00273106">
        <w:rPr>
          <w:i/>
        </w:rPr>
        <w:t>tio</w:t>
      </w:r>
      <w:r w:rsidR="00790DD2" w:rsidRPr="00273106">
        <w:t xml:space="preserve"> mezi </w:t>
      </w:r>
      <w:r w:rsidR="00CD3F18" w:rsidRPr="00273106">
        <w:t xml:space="preserve">poznanou </w:t>
      </w:r>
      <w:r w:rsidR="00790DD2" w:rsidRPr="00273106">
        <w:t xml:space="preserve">věcí, </w:t>
      </w:r>
      <w:r w:rsidR="00CD3F18" w:rsidRPr="00273106">
        <w:t xml:space="preserve">poznávajícími </w:t>
      </w:r>
      <w:r w:rsidR="00790DD2" w:rsidRPr="00273106">
        <w:t xml:space="preserve">orgány a </w:t>
      </w:r>
      <w:r w:rsidR="00CD3F18" w:rsidRPr="00273106">
        <w:t xml:space="preserve">vytvořenými inteligibilními </w:t>
      </w:r>
      <w:r w:rsidR="006A04C6" w:rsidRPr="006A04C6">
        <w:t>species</w:t>
      </w:r>
      <w:r w:rsidR="08866889">
        <w:t xml:space="preserve"> a pojmy. </w:t>
      </w:r>
      <w:r w:rsidR="08A97B58">
        <w:t xml:space="preserve">Známá </w:t>
      </w:r>
      <w:r w:rsidR="00DC3A13" w:rsidRPr="00273106">
        <w:rPr>
          <w:i/>
        </w:rPr>
        <w:t>potentia media</w:t>
      </w:r>
      <w:r w:rsidR="08A97B58">
        <w:rPr>
          <w:i/>
        </w:rPr>
        <w:t xml:space="preserve"> </w:t>
      </w:r>
      <w:r w:rsidR="00DC3A13" w:rsidRPr="00273106">
        <w:t xml:space="preserve">z předešlého </w:t>
      </w:r>
      <w:r w:rsidR="00591B4B">
        <w:t xml:space="preserve">anonymního </w:t>
      </w:r>
      <w:r w:rsidR="00DC3A13" w:rsidRPr="00273106">
        <w:t>traktátu je zde vyjádřena vzhledem k začátku a k cíli poznávacího aktu.</w:t>
      </w:r>
      <w:r w:rsidR="000001BC" w:rsidRPr="00273106">
        <w:rPr>
          <w:rStyle w:val="Znakapoznpodarou"/>
        </w:rPr>
        <w:footnoteReference w:id="144"/>
      </w:r>
      <w:r w:rsidR="000001BC" w:rsidRPr="00273106">
        <w:t xml:space="preserve"> </w:t>
      </w:r>
      <w:r w:rsidR="00FA2A2C" w:rsidRPr="00273106">
        <w:t>Duše má různorodé poznávací po</w:t>
      </w:r>
      <w:r w:rsidR="00790DD2" w:rsidRPr="00273106">
        <w:t>tence</w:t>
      </w:r>
      <w:r w:rsidR="00FA2A2C" w:rsidRPr="00273106">
        <w:t xml:space="preserve"> a </w:t>
      </w:r>
      <w:r w:rsidR="00790DD2" w:rsidRPr="00273106">
        <w:t xml:space="preserve">ty </w:t>
      </w:r>
      <w:r w:rsidR="00FA2A2C" w:rsidRPr="00273106">
        <w:t xml:space="preserve">přirozeně </w:t>
      </w:r>
      <w:r w:rsidR="00790DD2" w:rsidRPr="00273106">
        <w:t>směřují k předmětům</w:t>
      </w:r>
      <w:r w:rsidR="00FA2A2C" w:rsidRPr="00273106">
        <w:t xml:space="preserve"> poznání</w:t>
      </w:r>
      <w:r w:rsidR="00D83743" w:rsidRPr="00273106">
        <w:t xml:space="preserve"> (</w:t>
      </w:r>
      <w:r w:rsidR="00D83743" w:rsidRPr="00273106">
        <w:rPr>
          <w:i/>
        </w:rPr>
        <w:t>sumitur diversitas potentiarum secundum obiecta</w:t>
      </w:r>
      <w:r w:rsidR="00D83743" w:rsidRPr="00273106">
        <w:t>)</w:t>
      </w:r>
      <w:r w:rsidR="088B7448">
        <w:t>. P</w:t>
      </w:r>
      <w:r w:rsidR="00FA2A2C" w:rsidRPr="00273106">
        <w:t xml:space="preserve">oznávací potence </w:t>
      </w:r>
      <w:r w:rsidR="00790DD2" w:rsidRPr="00273106">
        <w:t>přecházejí z potenciality do aktuality</w:t>
      </w:r>
      <w:r w:rsidR="00D83743" w:rsidRPr="00273106">
        <w:t xml:space="preserve"> (</w:t>
      </w:r>
      <w:r w:rsidR="00D83743" w:rsidRPr="00273106">
        <w:rPr>
          <w:i/>
        </w:rPr>
        <w:t>maxime cum potentie sint per suos actus ad obiecta</w:t>
      </w:r>
      <w:r w:rsidR="00D83743" w:rsidRPr="00273106">
        <w:t>)</w:t>
      </w:r>
      <w:r w:rsidR="00790DD2" w:rsidRPr="00273106">
        <w:t xml:space="preserve">. </w:t>
      </w:r>
      <w:r w:rsidR="00AE4444" w:rsidRPr="00273106">
        <w:t>I</w:t>
      </w:r>
      <w:r w:rsidR="00790DD2" w:rsidRPr="00273106">
        <w:t xml:space="preserve">ntelekt začíná recepcí </w:t>
      </w:r>
      <w:r w:rsidR="08A97B58">
        <w:t>singulární</w:t>
      </w:r>
      <w:r w:rsidR="000E4C35">
        <w:t xml:space="preserve"> </w:t>
      </w:r>
      <w:r w:rsidR="006A04C6" w:rsidRPr="006A04C6">
        <w:t>species</w:t>
      </w:r>
      <w:r w:rsidR="08A97B58">
        <w:t>, kterou</w:t>
      </w:r>
      <w:r w:rsidR="00227659" w:rsidRPr="00273106">
        <w:t xml:space="preserve"> abstrahuje </w:t>
      </w:r>
      <w:r w:rsidR="00790DD2" w:rsidRPr="00273106">
        <w:t>ze smyslů (</w:t>
      </w:r>
      <w:r w:rsidR="00790DD2" w:rsidRPr="00273106">
        <w:rPr>
          <w:i/>
        </w:rPr>
        <w:t>a quo inchoatur actus</w:t>
      </w:r>
      <w:r w:rsidR="000E4C35">
        <w:t>). P</w:t>
      </w:r>
      <w:r w:rsidR="00790DD2" w:rsidRPr="00273106">
        <w:t xml:space="preserve">roces </w:t>
      </w:r>
      <w:r w:rsidR="00227659" w:rsidRPr="00273106">
        <w:t xml:space="preserve">intencionality </w:t>
      </w:r>
      <w:r w:rsidR="00790DD2" w:rsidRPr="00273106">
        <w:t>končí aktivní sy</w:t>
      </w:r>
      <w:r w:rsidR="00D83743" w:rsidRPr="00273106">
        <w:t>n</w:t>
      </w:r>
      <w:r w:rsidR="00790DD2" w:rsidRPr="00273106">
        <w:t>tézou univerzálního významu</w:t>
      </w:r>
      <w:r w:rsidR="00C72B57">
        <w:t xml:space="preserve">, který </w:t>
      </w:r>
      <w:r w:rsidR="005B4226" w:rsidRPr="00273106">
        <w:t xml:space="preserve">představuje </w:t>
      </w:r>
      <w:r w:rsidR="00790DD2" w:rsidRPr="00273106">
        <w:t>výsledn</w:t>
      </w:r>
      <w:r w:rsidR="005B4226" w:rsidRPr="00273106">
        <w:t>ý c</w:t>
      </w:r>
      <w:r w:rsidR="00790DD2" w:rsidRPr="00273106">
        <w:t>íl procesu poznání (</w:t>
      </w:r>
      <w:r w:rsidR="00790DD2" w:rsidRPr="00273106">
        <w:rPr>
          <w:i/>
        </w:rPr>
        <w:t>in quod terminatur actus</w:t>
      </w:r>
      <w:r w:rsidR="00790DD2" w:rsidRPr="00273106">
        <w:t xml:space="preserve">). </w:t>
      </w:r>
      <w:r w:rsidR="00915E37">
        <w:t xml:space="preserve">Tímto </w:t>
      </w:r>
      <w:r w:rsidR="00790DD2" w:rsidRPr="00273106">
        <w:t xml:space="preserve">rozlišením </w:t>
      </w:r>
      <w:r w:rsidR="00AA628F">
        <w:t>pohybu poznání (</w:t>
      </w:r>
      <w:r w:rsidR="00AA628F" w:rsidRPr="00AA628F">
        <w:rPr>
          <w:i/>
        </w:rPr>
        <w:t>a quo</w:t>
      </w:r>
      <w:r w:rsidR="00AA628F">
        <w:t xml:space="preserve"> ‒ </w:t>
      </w:r>
      <w:r w:rsidR="00AA628F" w:rsidRPr="00AA628F">
        <w:rPr>
          <w:i/>
        </w:rPr>
        <w:t>in quod</w:t>
      </w:r>
      <w:r w:rsidR="00AA628F">
        <w:t xml:space="preserve">) </w:t>
      </w:r>
      <w:r w:rsidR="00790DD2" w:rsidRPr="00273106">
        <w:t>jsou dány obě složky intelektuální schopnosti duše</w:t>
      </w:r>
      <w:r w:rsidR="00A411A7">
        <w:fldChar w:fldCharType="begin"/>
      </w:r>
      <w:r w:rsidR="00A411A7">
        <w:instrText xml:space="preserve"> XE "zjevování:nasvícení zepředu" </w:instrText>
      </w:r>
      <w:r w:rsidR="00A411A7">
        <w:fldChar w:fldCharType="end"/>
      </w:r>
      <w:r w:rsidR="00CF1FF1">
        <w:t xml:space="preserve">. Poznání běží </w:t>
      </w:r>
      <w:r w:rsidR="00790DD2" w:rsidRPr="00273106">
        <w:t xml:space="preserve">v řádu </w:t>
      </w:r>
      <w:r w:rsidR="008F4A07">
        <w:t xml:space="preserve">aktuální </w:t>
      </w:r>
      <w:r w:rsidR="00915E37">
        <w:t xml:space="preserve">smyslové </w:t>
      </w:r>
      <w:r w:rsidR="0010751F" w:rsidRPr="00273106">
        <w:t xml:space="preserve">abstrakce </w:t>
      </w:r>
      <w:r w:rsidR="00CF1FF1">
        <w:t>směre</w:t>
      </w:r>
      <w:r w:rsidR="008F4A07">
        <w:t>m</w:t>
      </w:r>
      <w:r w:rsidR="085832EF">
        <w:t xml:space="preserve"> k</w:t>
      </w:r>
      <w:r w:rsidR="00CF1FF1">
        <w:t xml:space="preserve"> duši </w:t>
      </w:r>
      <w:r w:rsidR="00212107" w:rsidRPr="00273106">
        <w:t>(</w:t>
      </w:r>
      <w:r w:rsidR="00212107" w:rsidRPr="00273106">
        <w:rPr>
          <w:i/>
        </w:rPr>
        <w:t>unus dicitur motus ad animam</w:t>
      </w:r>
      <w:r w:rsidR="008F4A07">
        <w:t>). R</w:t>
      </w:r>
      <w:r w:rsidR="00CF1FF1">
        <w:t xml:space="preserve">ecepce skrze </w:t>
      </w:r>
      <w:r w:rsidR="00915E37">
        <w:t xml:space="preserve">nemateriální </w:t>
      </w:r>
      <w:r w:rsidR="0010751F" w:rsidRPr="00273106">
        <w:t>inte</w:t>
      </w:r>
      <w:r w:rsidR="00B05512" w:rsidRPr="00273106">
        <w:t>n</w:t>
      </w:r>
      <w:r w:rsidR="00CF1FF1">
        <w:t>cionalitu</w:t>
      </w:r>
      <w:r w:rsidR="00212107" w:rsidRPr="00273106">
        <w:t xml:space="preserve"> </w:t>
      </w:r>
      <w:r w:rsidR="085832EF">
        <w:t>naopak začíná od</w:t>
      </w:r>
      <w:r w:rsidR="00CF1FF1">
        <w:t xml:space="preserve"> duše </w:t>
      </w:r>
      <w:r w:rsidR="008F4A07">
        <w:t xml:space="preserve">ve smyslu intencionální recepce smyslově daných species </w:t>
      </w:r>
      <w:r w:rsidR="00212107" w:rsidRPr="00273106">
        <w:t>(</w:t>
      </w:r>
      <w:r w:rsidR="0074641A" w:rsidRPr="00273106">
        <w:rPr>
          <w:i/>
        </w:rPr>
        <w:t>alter motus ab anima</w:t>
      </w:r>
      <w:r w:rsidR="00212107" w:rsidRPr="00273106">
        <w:t>)</w:t>
      </w:r>
      <w:r w:rsidR="00790DD2" w:rsidRPr="00273106">
        <w:t>.</w:t>
      </w:r>
      <w:r w:rsidR="0074641A" w:rsidRPr="00273106">
        <w:t xml:space="preserve"> </w:t>
      </w:r>
      <w:r w:rsidR="00AC76C2" w:rsidRPr="00273106">
        <w:t>Duše stojí ve středu</w:t>
      </w:r>
      <w:r w:rsidR="008437C4" w:rsidRPr="00273106">
        <w:t xml:space="preserve"> dvo</w:t>
      </w:r>
      <w:r w:rsidR="08A97B58">
        <w:t xml:space="preserve">jího pohybu </w:t>
      </w:r>
      <w:r w:rsidR="00B05512" w:rsidRPr="00273106">
        <w:rPr>
          <w:i/>
        </w:rPr>
        <w:t>ad</w:t>
      </w:r>
      <w:r w:rsidR="00B05512" w:rsidRPr="00273106">
        <w:t xml:space="preserve"> ‒ </w:t>
      </w:r>
      <w:r w:rsidR="00B05512" w:rsidRPr="00273106">
        <w:rPr>
          <w:i/>
        </w:rPr>
        <w:t>ab</w:t>
      </w:r>
      <w:r w:rsidR="00B05512" w:rsidRPr="00273106">
        <w:t>. P</w:t>
      </w:r>
      <w:r w:rsidR="00AC76C2" w:rsidRPr="00273106">
        <w:t xml:space="preserve">roto ze světa </w:t>
      </w:r>
      <w:r w:rsidR="085832EF">
        <w:t xml:space="preserve">smyslově </w:t>
      </w:r>
      <w:r w:rsidR="00AC76C2" w:rsidRPr="00273106">
        <w:t>přijímá to</w:t>
      </w:r>
      <w:r w:rsidR="00B05512" w:rsidRPr="00273106">
        <w:t>,</w:t>
      </w:r>
      <w:r w:rsidR="00AC76C2" w:rsidRPr="00273106">
        <w:t xml:space="preserve"> co v něm je dáno (</w:t>
      </w:r>
      <w:r w:rsidR="00AC76C2" w:rsidRPr="00273106">
        <w:rPr>
          <w:i/>
        </w:rPr>
        <w:t>ad animam</w:t>
      </w:r>
      <w:r w:rsidR="00B05512" w:rsidRPr="00273106">
        <w:t>). A s</w:t>
      </w:r>
      <w:r w:rsidR="00AC76C2" w:rsidRPr="00273106">
        <w:t>vět po svém poznává v tom</w:t>
      </w:r>
      <w:r w:rsidR="00B05512" w:rsidRPr="00273106">
        <w:t>,</w:t>
      </w:r>
      <w:r w:rsidR="00AC76C2" w:rsidRPr="00273106">
        <w:t xml:space="preserve"> co je lidské duši jako intelektuální </w:t>
      </w:r>
      <w:r w:rsidR="00AC76C2" w:rsidRPr="00273106">
        <w:lastRenderedPageBreak/>
        <w:t xml:space="preserve">síle </w:t>
      </w:r>
      <w:r w:rsidR="00834CFD" w:rsidRPr="00273106">
        <w:t xml:space="preserve">bytostně </w:t>
      </w:r>
      <w:r w:rsidR="00AC76C2" w:rsidRPr="00273106">
        <w:t>vlastní (</w:t>
      </w:r>
      <w:r w:rsidR="00AC76C2" w:rsidRPr="00273106">
        <w:rPr>
          <w:i/>
        </w:rPr>
        <w:t>ab anima</w:t>
      </w:r>
      <w:r w:rsidR="00AC76C2" w:rsidRPr="00273106">
        <w:t xml:space="preserve">). </w:t>
      </w:r>
      <w:r w:rsidR="00116E4E" w:rsidRPr="00273106">
        <w:t>O</w:t>
      </w:r>
      <w:r w:rsidR="00254E76" w:rsidRPr="00273106">
        <w:t>p</w:t>
      </w:r>
      <w:r w:rsidR="00116E4E" w:rsidRPr="00273106">
        <w:t xml:space="preserve">ět platí </w:t>
      </w:r>
      <w:r w:rsidR="08A56025">
        <w:t xml:space="preserve">pro oddělené nemateriální poznání intelektu </w:t>
      </w:r>
      <w:r w:rsidR="002E3B62">
        <w:t>Averroes</w:t>
      </w:r>
      <w:r w:rsidR="00116E4E" w:rsidRPr="00273106">
        <w:t xml:space="preserve">ovo </w:t>
      </w:r>
      <w:r w:rsidR="00116E4E" w:rsidRPr="00273106">
        <w:rPr>
          <w:i/>
        </w:rPr>
        <w:t>proportio</w:t>
      </w:r>
      <w:r w:rsidR="00A411A7">
        <w:rPr>
          <w:i/>
        </w:rPr>
        <w:fldChar w:fldCharType="begin"/>
      </w:r>
      <w:r w:rsidR="00A411A7">
        <w:instrText xml:space="preserve"> XE "pravda:</w:instrText>
      </w:r>
      <w:r w:rsidR="00A411A7" w:rsidRPr="00D36543">
        <w:rPr>
          <w:i/>
        </w:rPr>
        <w:instrText>proportio</w:instrText>
      </w:r>
      <w:r w:rsidR="00A411A7">
        <w:instrText xml:space="preserve">" </w:instrText>
      </w:r>
      <w:r w:rsidR="00A411A7">
        <w:rPr>
          <w:i/>
        </w:rPr>
        <w:fldChar w:fldCharType="end"/>
      </w:r>
      <w:r w:rsidR="00B03AF9">
        <w:t>, pro</w:t>
      </w:r>
      <w:r w:rsidR="08A56025">
        <w:t>tože reálnou věc a smyslová</w:t>
      </w:r>
      <w:r w:rsidR="00B03AF9">
        <w:t xml:space="preserve"> </w:t>
      </w:r>
      <w:r w:rsidR="006A04C6" w:rsidRPr="006A04C6">
        <w:t>species</w:t>
      </w:r>
      <w:r w:rsidR="00B03AF9">
        <w:t xml:space="preserve"> přijímáme v jejich alteritě. Jejich materialita se stane univerzálním ne</w:t>
      </w:r>
      <w:r w:rsidR="0019397A">
        <w:t>materiálním poznáním téže věci.</w:t>
      </w:r>
    </w:p>
    <w:p w14:paraId="6D62F34D" w14:textId="56C7E6A6" w:rsidR="00E47C35" w:rsidRPr="00273106" w:rsidRDefault="00790DD2" w:rsidP="00DD44D8">
      <w:pPr>
        <w:ind w:firstLine="397"/>
      </w:pPr>
      <w:r w:rsidRPr="00273106">
        <w:t xml:space="preserve">Autor </w:t>
      </w:r>
      <w:r w:rsidR="00546A7A" w:rsidRPr="00273106">
        <w:t>vyřešil základní filosofické otázky ohledně poznání a od</w:t>
      </w:r>
      <w:r w:rsidRPr="00273106">
        <w:t>k</w:t>
      </w:r>
      <w:r w:rsidR="00546A7A" w:rsidRPr="00273106">
        <w:t>a</w:t>
      </w:r>
      <w:r w:rsidRPr="00273106">
        <w:t xml:space="preserve">zuje na </w:t>
      </w:r>
      <w:r w:rsidR="004B2AEC">
        <w:t xml:space="preserve">pokračování spisu </w:t>
      </w:r>
      <w:r w:rsidR="00656402" w:rsidRPr="00273106">
        <w:t>o duši</w:t>
      </w:r>
      <w:r w:rsidR="00546A7A" w:rsidRPr="00273106">
        <w:t>.</w:t>
      </w:r>
      <w:r w:rsidR="0074641A" w:rsidRPr="00273106">
        <w:rPr>
          <w:rStyle w:val="Znakapoznpodarou"/>
        </w:rPr>
        <w:footnoteReference w:id="145"/>
      </w:r>
      <w:r w:rsidR="005843B1" w:rsidRPr="00273106">
        <w:t xml:space="preserve"> Uvedeným spisem </w:t>
      </w:r>
      <w:r w:rsidR="00BF6752" w:rsidRPr="00273106">
        <w:t xml:space="preserve">je </w:t>
      </w:r>
      <w:r w:rsidR="00750AEE">
        <w:t xml:space="preserve">nepochybně </w:t>
      </w:r>
      <w:r w:rsidR="00FE6081" w:rsidRPr="00273106">
        <w:t>Alvernů</w:t>
      </w:r>
      <w:r w:rsidR="00546A7A" w:rsidRPr="00273106">
        <w:t xml:space="preserve">v traktát </w:t>
      </w:r>
      <w:r w:rsidR="00837E3C" w:rsidRPr="00273106">
        <w:rPr>
          <w:i/>
        </w:rPr>
        <w:t>De anima</w:t>
      </w:r>
      <w:r w:rsidR="00546A7A" w:rsidRPr="00273106">
        <w:t xml:space="preserve"> rozebíraný v příští kapitole</w:t>
      </w:r>
      <w:r w:rsidR="00BF6752" w:rsidRPr="00273106">
        <w:t xml:space="preserve">, který myšlenkově </w:t>
      </w:r>
      <w:r w:rsidR="002D2CE3">
        <w:t xml:space="preserve">přímo </w:t>
      </w:r>
      <w:r w:rsidR="00BF6752" w:rsidRPr="00273106">
        <w:t>navazuje</w:t>
      </w:r>
      <w:r w:rsidR="005843B1" w:rsidRPr="00273106">
        <w:t xml:space="preserve"> na toto anonymní dílo</w:t>
      </w:r>
      <w:r w:rsidR="08B61AB1">
        <w:t xml:space="preserve"> a rozvíjí jeho důsledky pro křesťanskou teologii</w:t>
      </w:r>
      <w:r w:rsidR="00546A7A" w:rsidRPr="00273106">
        <w:t>.</w:t>
      </w:r>
      <w:r w:rsidR="00635C89" w:rsidRPr="00273106">
        <w:t xml:space="preserve"> </w:t>
      </w:r>
      <w:r w:rsidR="0069705D" w:rsidRPr="00273106">
        <w:t>P</w:t>
      </w:r>
      <w:r w:rsidR="00635C89" w:rsidRPr="00273106">
        <w:t>roces poznán</w:t>
      </w:r>
      <w:r w:rsidR="0069705D" w:rsidRPr="00273106">
        <w:t xml:space="preserve">í v traktátu </w:t>
      </w:r>
      <w:r w:rsidR="005843B1" w:rsidRPr="00273106">
        <w:rPr>
          <w:i/>
        </w:rPr>
        <w:t>De potentiis animae et obiectis</w:t>
      </w:r>
      <w:r w:rsidR="005843B1" w:rsidRPr="00273106">
        <w:t xml:space="preserve"> </w:t>
      </w:r>
      <w:r w:rsidR="0069705D" w:rsidRPr="00273106">
        <w:t>je inspirovaný</w:t>
      </w:r>
      <w:r w:rsidR="00635C89" w:rsidRPr="00273106">
        <w:t xml:space="preserve"> </w:t>
      </w:r>
      <w:r w:rsidR="00656402" w:rsidRPr="00273106">
        <w:t>Blu</w:t>
      </w:r>
      <w:r w:rsidR="00ED1EFF" w:rsidRPr="00273106">
        <w:t>n</w:t>
      </w:r>
      <w:r w:rsidR="0069705D" w:rsidRPr="00273106">
        <w:t>dovým</w:t>
      </w:r>
      <w:r w:rsidR="00656402" w:rsidRPr="00273106">
        <w:t xml:space="preserve"> pojetí</w:t>
      </w:r>
      <w:r w:rsidR="0069705D" w:rsidRPr="00273106">
        <w:t>m</w:t>
      </w:r>
      <w:r w:rsidR="00656402" w:rsidRPr="00273106">
        <w:t xml:space="preserve"> </w:t>
      </w:r>
      <w:r w:rsidR="00F9097F" w:rsidRPr="00273106">
        <w:t xml:space="preserve">abstrakce a </w:t>
      </w:r>
      <w:r w:rsidR="00656402" w:rsidRPr="00273106">
        <w:t>inte</w:t>
      </w:r>
      <w:r w:rsidR="000F5244" w:rsidRPr="00273106">
        <w:t>n</w:t>
      </w:r>
      <w:r w:rsidR="08064AB3">
        <w:t xml:space="preserve">cionality. Spis přejímá </w:t>
      </w:r>
      <w:r w:rsidR="00656402" w:rsidRPr="00273106">
        <w:t xml:space="preserve">zmíněnou </w:t>
      </w:r>
      <w:r w:rsidR="00DB4A56">
        <w:t xml:space="preserve">definici </w:t>
      </w:r>
      <w:r w:rsidR="00656402" w:rsidRPr="00273106">
        <w:rPr>
          <w:i/>
        </w:rPr>
        <w:t>potentia media</w:t>
      </w:r>
      <w:r w:rsidR="000F5244" w:rsidRPr="00273106">
        <w:t xml:space="preserve"> </w:t>
      </w:r>
      <w:r w:rsidR="08064AB3">
        <w:t xml:space="preserve">a </w:t>
      </w:r>
      <w:r w:rsidR="002E3B62">
        <w:t>Averroes</w:t>
      </w:r>
      <w:r w:rsidR="0017158F" w:rsidRPr="00273106">
        <w:t xml:space="preserve">ův </w:t>
      </w:r>
      <w:r w:rsidR="0017158F"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A411A7" w:rsidRPr="00A411A7">
        <w:instrText>:</w:instrText>
      </w:r>
      <w:r w:rsidR="002E3B62">
        <w:instrText>Averroes</w:instrText>
      </w:r>
      <w:r w:rsidR="009D323B">
        <w:instrText xml:space="preserve">" </w:instrText>
      </w:r>
      <w:r w:rsidR="009D323B">
        <w:rPr>
          <w:i/>
        </w:rPr>
        <w:fldChar w:fldCharType="end"/>
      </w:r>
      <w:r w:rsidR="0017158F" w:rsidRPr="00273106">
        <w:t xml:space="preserve"> daný</w:t>
      </w:r>
      <w:r w:rsidR="000F5244" w:rsidRPr="00273106">
        <w:t xml:space="preserve"> v</w:t>
      </w:r>
      <w:r w:rsidR="00656402" w:rsidRPr="00273106">
        <w:t xml:space="preserve"> </w:t>
      </w:r>
      <w:r w:rsidR="005843B1" w:rsidRPr="00273106">
        <w:t xml:space="preserve">předešlém </w:t>
      </w:r>
      <w:r w:rsidR="00656402" w:rsidRPr="00273106">
        <w:t xml:space="preserve">traktátu </w:t>
      </w:r>
      <w:r w:rsidR="089A1B6F">
        <w:rPr>
          <w:i/>
        </w:rPr>
        <w:t>De anima et de potenciis eius</w:t>
      </w:r>
      <w:r w:rsidR="00656402" w:rsidRPr="00273106">
        <w:t xml:space="preserve">. </w:t>
      </w:r>
      <w:r w:rsidR="00ED1EFF" w:rsidRPr="00273106">
        <w:t>Anonym použ</w:t>
      </w:r>
      <w:r w:rsidR="00894065" w:rsidRPr="00273106">
        <w:t>ívá přirovnání k diafanum stejně jako předešlý traktát. První averroismus musí oddělit</w:t>
      </w:r>
      <w:r w:rsidR="00ED1EFF" w:rsidRPr="00273106">
        <w:t xml:space="preserve"> </w:t>
      </w:r>
      <w:r w:rsidR="007453D9" w:rsidRPr="00273106">
        <w:t>aristotelsk</w:t>
      </w:r>
      <w:r w:rsidR="004B6E37">
        <w:t>ou</w:t>
      </w:r>
      <w:r w:rsidR="00894065" w:rsidRPr="00273106">
        <w:t xml:space="preserve"> </w:t>
      </w:r>
      <w:r w:rsidR="00ED1EFF" w:rsidRPr="00273106">
        <w:t>intencionalit</w:t>
      </w:r>
      <w:r w:rsidR="004B6E37">
        <w:t>u</w:t>
      </w:r>
      <w:r w:rsidR="00ED1EFF" w:rsidRPr="00273106">
        <w:t xml:space="preserve"> od </w:t>
      </w:r>
      <w:r w:rsidR="00874074">
        <w:t>neoplatonsk</w:t>
      </w:r>
      <w:r w:rsidR="00ED1EFF" w:rsidRPr="00273106">
        <w:t>ého pojetí pozná</w:t>
      </w:r>
      <w:r w:rsidR="004B6E37">
        <w:t>ní, v němž a</w:t>
      </w:r>
      <w:r w:rsidR="00894065" w:rsidRPr="00273106">
        <w:t>ktivní intelekt-slunce stojící mimo duši přímo ozařuje receptivní intelekt</w:t>
      </w:r>
      <w:r w:rsidR="00ED1EFF" w:rsidRPr="00273106">
        <w:t>.</w:t>
      </w:r>
      <w:r w:rsidR="00E47C35" w:rsidRPr="00273106">
        <w:t xml:space="preserve"> Autor nejprve zdůrazňuje rozdíl</w:t>
      </w:r>
      <w:r w:rsidR="00702D74" w:rsidRPr="00273106">
        <w:t xml:space="preserve"> mezi smyslovým a rozumovým poznáním</w:t>
      </w:r>
      <w:r w:rsidR="00E41A85" w:rsidRPr="00273106">
        <w:t>.</w:t>
      </w:r>
      <w:r w:rsidR="00C76481" w:rsidRPr="00273106">
        <w:rPr>
          <w:rStyle w:val="Znakapoznpodarou"/>
        </w:rPr>
        <w:footnoteReference w:id="146"/>
      </w:r>
      <w:r w:rsidR="00E41A85" w:rsidRPr="00273106">
        <w:t xml:space="preserve"> </w:t>
      </w:r>
      <w:r w:rsidR="00BC39B8" w:rsidRPr="00273106">
        <w:t>Duše má vlastní schopnosti, které jsou jí dané přirozeně</w:t>
      </w:r>
      <w:r w:rsidR="00A67FD9" w:rsidRPr="00273106">
        <w:t xml:space="preserve"> (</w:t>
      </w:r>
      <w:r w:rsidR="00A67FD9" w:rsidRPr="00273106">
        <w:rPr>
          <w:i/>
        </w:rPr>
        <w:t>ex sua agilitate maxima</w:t>
      </w:r>
      <w:r w:rsidR="00A67FD9" w:rsidRPr="00273106">
        <w:t>)</w:t>
      </w:r>
      <w:r w:rsidR="00BC39B8" w:rsidRPr="00273106">
        <w:t xml:space="preserve">. Nepotřebuje žádné zvláštní osvícení k </w:t>
      </w:r>
      <w:r w:rsidR="00232A45">
        <w:t>poznání světa</w:t>
      </w:r>
      <w:r w:rsidR="00A67FD9" w:rsidRPr="00273106">
        <w:t xml:space="preserve">, </w:t>
      </w:r>
      <w:r w:rsidR="00BC39B8" w:rsidRPr="00273106">
        <w:t>protože má vlastní poznávací medium</w:t>
      </w:r>
      <w:r w:rsidR="00610F15">
        <w:fldChar w:fldCharType="begin"/>
      </w:r>
      <w:r w:rsidR="00610F15">
        <w:instrText xml:space="preserve"> XE "</w:instrText>
      </w:r>
      <w:r w:rsidR="00610F15" w:rsidRPr="001618A5">
        <w:rPr>
          <w:i/>
        </w:rPr>
        <w:instrText>medium:</w:instrText>
      </w:r>
      <w:r w:rsidR="00610F15" w:rsidRPr="001618A5">
        <w:instrText>Albert</w:instrText>
      </w:r>
      <w:r w:rsidR="00610F15">
        <w:instrText xml:space="preserve">" </w:instrText>
      </w:r>
      <w:r w:rsidR="00610F15">
        <w:fldChar w:fldCharType="end"/>
      </w:r>
      <w:r w:rsidR="00BC39B8" w:rsidRPr="00273106">
        <w:t xml:space="preserve"> v duši, stejně jako funguje diafanum pro vidění v </w:t>
      </w:r>
      <w:r w:rsidR="002E3B62">
        <w:t>Averroes</w:t>
      </w:r>
      <w:r w:rsidR="00BC39B8" w:rsidRPr="00273106">
        <w:t xml:space="preserve">ově schématu CMDA. </w:t>
      </w:r>
      <w:r w:rsidR="00F614EF">
        <w:t>D</w:t>
      </w:r>
      <w:r w:rsidR="00A67FD9" w:rsidRPr="00273106">
        <w:t>iafanum je nutné, proto</w:t>
      </w:r>
      <w:r w:rsidR="00F651BA" w:rsidRPr="00273106">
        <w:t>že v duši běží dva procesy</w:t>
      </w:r>
      <w:r w:rsidR="00F614EF">
        <w:t xml:space="preserve"> mediace</w:t>
      </w:r>
      <w:r w:rsidR="00F651BA" w:rsidRPr="00273106">
        <w:t xml:space="preserve">. </w:t>
      </w:r>
      <w:r w:rsidR="00DD44D8" w:rsidRPr="00DD44D8">
        <w:t>Na jedné straně existuje rozdíl mezi smyslovými a intelektuálními schopnostmi (</w:t>
      </w:r>
      <w:r w:rsidR="00DD44D8" w:rsidRPr="00DD44D8">
        <w:rPr>
          <w:i/>
        </w:rPr>
        <w:t>diversificetur apprehensio virtutis rationalis ab apprehensione virtutis sensibilis</w:t>
      </w:r>
      <w:r w:rsidR="00DD44D8" w:rsidRPr="00DD44D8">
        <w:t>); na druhé straně je složení nehmotné poznávací formy odděleno od procesu poznání v duši (</w:t>
      </w:r>
      <w:r w:rsidR="00DD44D8" w:rsidRPr="00DD44D8">
        <w:rPr>
          <w:i/>
        </w:rPr>
        <w:t>comprehensio forme ab anima rationali</w:t>
      </w:r>
      <w:r w:rsidR="00DD44D8" w:rsidRPr="00DD44D8">
        <w:t>).</w:t>
      </w:r>
      <w:r w:rsidR="00DD44D8">
        <w:t xml:space="preserve"> </w:t>
      </w:r>
      <w:r w:rsidR="00E47C35" w:rsidRPr="00273106">
        <w:t xml:space="preserve">Skrze </w:t>
      </w:r>
      <w:r w:rsidR="00A67FD9" w:rsidRPr="00273106">
        <w:t>proces abstrakce od smyslových představ (</w:t>
      </w:r>
      <w:r w:rsidR="00A67FD9" w:rsidRPr="00273106">
        <w:rPr>
          <w:i/>
        </w:rPr>
        <w:t>abstractionem a phantas</w:t>
      </w:r>
      <w:r w:rsidR="00E47C35" w:rsidRPr="00273106">
        <w:rPr>
          <w:i/>
        </w:rPr>
        <w:t>matibus</w:t>
      </w:r>
      <w:r w:rsidR="00A67FD9" w:rsidRPr="00273106">
        <w:t xml:space="preserve">) </w:t>
      </w:r>
      <w:r w:rsidR="00E47C35" w:rsidRPr="00273106">
        <w:t xml:space="preserve">vzniká </w:t>
      </w:r>
      <w:r w:rsidR="00BF539F" w:rsidRPr="00273106">
        <w:t>ze s</w:t>
      </w:r>
      <w:r w:rsidR="00006A24" w:rsidRPr="00273106">
        <w:t>myslových poznatků daných jedno</w:t>
      </w:r>
      <w:r w:rsidR="00BF539F" w:rsidRPr="00273106">
        <w:t>t</w:t>
      </w:r>
      <w:r w:rsidR="00006A24" w:rsidRPr="00273106">
        <w:t>l</w:t>
      </w:r>
      <w:r w:rsidR="00BF539F" w:rsidRPr="00273106">
        <w:t xml:space="preserve">ivě </w:t>
      </w:r>
      <w:r w:rsidR="00006A24" w:rsidRPr="00273106">
        <w:t xml:space="preserve">i </w:t>
      </w:r>
      <w:r w:rsidR="00E47C35" w:rsidRPr="00273106">
        <w:t>nový druh inte</w:t>
      </w:r>
      <w:r w:rsidR="00006A24" w:rsidRPr="00273106">
        <w:t>n</w:t>
      </w:r>
      <w:r w:rsidR="00E47C35" w:rsidRPr="00273106">
        <w:t xml:space="preserve">cionálního předmětu, který </w:t>
      </w:r>
      <w:r w:rsidR="009810D5" w:rsidRPr="00273106">
        <w:t xml:space="preserve">už </w:t>
      </w:r>
      <w:r w:rsidR="00E47C35" w:rsidRPr="00273106">
        <w:t>má nemateriální chara</w:t>
      </w:r>
      <w:r w:rsidR="009810D5" w:rsidRPr="00273106">
        <w:t xml:space="preserve">kter. </w:t>
      </w:r>
      <w:r w:rsidR="009D0B5B">
        <w:t>Intence daná</w:t>
      </w:r>
      <w:r w:rsidR="00F614EF">
        <w:t xml:space="preserve"> </w:t>
      </w:r>
      <w:r w:rsidR="00EB3008">
        <w:t>od</w:t>
      </w:r>
      <w:r w:rsidR="009D0B5B">
        <w:t xml:space="preserve"> materiálního intelektu </w:t>
      </w:r>
      <w:r w:rsidR="00F614EF">
        <w:t xml:space="preserve">směrem ke smyslovému </w:t>
      </w:r>
      <w:r w:rsidR="006A04C6" w:rsidRPr="006A04C6">
        <w:t>species</w:t>
      </w:r>
      <w:r w:rsidR="00F614EF">
        <w:t xml:space="preserve"> je znovu vzata jako intencionální předmět (</w:t>
      </w:r>
      <w:r w:rsidR="004B4D52" w:rsidRPr="00232A45">
        <w:rPr>
          <w:i/>
        </w:rPr>
        <w:t>species</w:t>
      </w:r>
      <w:r w:rsidR="00F614EF" w:rsidRPr="00F614EF">
        <w:rPr>
          <w:i/>
        </w:rPr>
        <w:t xml:space="preserve"> intelligibilis</w:t>
      </w:r>
      <w:r w:rsidR="00F614EF">
        <w:t xml:space="preserve">) skrze recipující možný intelekt. </w:t>
      </w:r>
      <w:r w:rsidR="009810D5" w:rsidRPr="00273106">
        <w:t xml:space="preserve">Tím je dán celý postup poznání podle Aristotela i podle CMDA. Pak už nezbývá, </w:t>
      </w:r>
      <w:r w:rsidR="00E47C35" w:rsidRPr="00273106">
        <w:t>než vcelku popsat</w:t>
      </w:r>
      <w:r w:rsidR="009810D5" w:rsidRPr="00273106">
        <w:t xml:space="preserve"> všechny procesy poznání, </w:t>
      </w:r>
      <w:r w:rsidR="009810D5" w:rsidRPr="00273106">
        <w:lastRenderedPageBreak/>
        <w:t>jak jd</w:t>
      </w:r>
      <w:r w:rsidR="009F232C" w:rsidRPr="00273106">
        <w:t>ou v řadě za sebou.</w:t>
      </w:r>
      <w:r w:rsidR="00C76481">
        <w:t xml:space="preserve"> </w:t>
      </w:r>
      <w:r w:rsidR="00C76481" w:rsidRPr="00273106">
        <w:t xml:space="preserve">Následující dvě citace, které jdou v traktátu hned po sobě, představují brilantní shrnutí </w:t>
      </w:r>
      <w:r w:rsidR="00EB3008">
        <w:t xml:space="preserve">první fáze </w:t>
      </w:r>
      <w:r w:rsidR="00C76481" w:rsidRPr="00273106">
        <w:t>prvního averroismu</w:t>
      </w:r>
      <w:r w:rsidR="08FA15C5">
        <w:t xml:space="preserve">, kterou </w:t>
      </w:r>
      <w:r w:rsidR="08332170">
        <w:t xml:space="preserve">potvrdily </w:t>
      </w:r>
      <w:r w:rsidR="004D2928">
        <w:t>Scotovy</w:t>
      </w:r>
      <w:r w:rsidR="00BC6FFE">
        <w:t xml:space="preserve"> přednášky v Paříži</w:t>
      </w:r>
      <w:r w:rsidR="00C76481" w:rsidRPr="00273106">
        <w:t>.</w:t>
      </w:r>
      <w:r w:rsidR="00BC6FFE">
        <w:rPr>
          <w:rStyle w:val="Znakapoznpodarou"/>
        </w:rPr>
        <w:footnoteReference w:id="147"/>
      </w:r>
      <w:r w:rsidR="00C76481">
        <w:t xml:space="preserve"> </w:t>
      </w:r>
      <w:r w:rsidR="00295BC9">
        <w:t>V návaznost</w:t>
      </w:r>
      <w:r w:rsidR="00BC6FFE">
        <w:t>i na oba předešlé spisy Blundovy</w:t>
      </w:r>
      <w:r w:rsidR="00295BC9">
        <w:t xml:space="preserve"> školy </w:t>
      </w:r>
      <w:r w:rsidR="000911E5" w:rsidRPr="00273106">
        <w:t xml:space="preserve">vzniká </w:t>
      </w:r>
      <w:r w:rsidR="00295BC9" w:rsidRPr="00273106">
        <w:t xml:space="preserve">první </w:t>
      </w:r>
      <w:r w:rsidR="00295BC9">
        <w:t xml:space="preserve">adekvační </w:t>
      </w:r>
      <w:r w:rsidR="000911E5" w:rsidRPr="00273106">
        <w:t>teorie latinského Západu</w:t>
      </w:r>
      <w:r w:rsidR="00BC6D38" w:rsidRPr="00273106">
        <w:t>, a to díky přesně rozebranému procesu mediace a adekvace</w:t>
      </w:r>
      <w:r w:rsidR="00A411A7">
        <w:fldChar w:fldCharType="begin"/>
      </w:r>
      <w:r w:rsidR="00A411A7">
        <w:instrText xml:space="preserve"> XE "</w:instrText>
      </w:r>
      <w:r w:rsidR="002E3B62">
        <w:rPr>
          <w:i/>
        </w:rPr>
        <w:instrText>adaequatio</w:instrText>
      </w:r>
      <w:r w:rsidR="00A411A7">
        <w:instrText xml:space="preserve">:první averroismus" </w:instrText>
      </w:r>
      <w:r w:rsidR="00A411A7">
        <w:fldChar w:fldCharType="end"/>
      </w:r>
      <w:r w:rsidR="000911E5" w:rsidRPr="00273106">
        <w:t>.</w:t>
      </w:r>
      <w:r w:rsidR="00E57DB2" w:rsidRPr="00273106">
        <w:t xml:space="preserve"> </w:t>
      </w:r>
      <w:r w:rsidR="00C946C1">
        <w:t>Následují</w:t>
      </w:r>
      <w:r w:rsidR="00295BC9">
        <w:t>cí</w:t>
      </w:r>
      <w:r w:rsidR="00C946C1">
        <w:t xml:space="preserve"> citát představuje shrnutí celkové architektury poznání podle CMDA.</w:t>
      </w:r>
    </w:p>
    <w:p w14:paraId="081CC9D6" w14:textId="77777777" w:rsidR="00610F9F" w:rsidRPr="00273106" w:rsidRDefault="00E47C35" w:rsidP="00C132BE">
      <w:pPr>
        <w:pStyle w:val="Citace"/>
        <w:rPr>
          <w:noProof/>
          <w:lang w:val="cs-CZ"/>
        </w:rPr>
      </w:pPr>
      <w:r w:rsidRPr="00273106">
        <w:rPr>
          <w:noProof/>
          <w:lang w:val="cs-CZ"/>
        </w:rPr>
        <w:t>„</w:t>
      </w:r>
      <w:r w:rsidR="00610F9F" w:rsidRPr="00273106">
        <w:rPr>
          <w:noProof/>
          <w:lang w:val="cs-CZ"/>
        </w:rPr>
        <w:t xml:space="preserve">První druh bytí </w:t>
      </w:r>
      <w:r w:rsidR="004B73C0">
        <w:rPr>
          <w:noProof/>
          <w:lang w:val="cs-CZ"/>
        </w:rPr>
        <w:t xml:space="preserve">jsoucna </w:t>
      </w:r>
      <w:r w:rsidR="00610F9F" w:rsidRPr="00273106">
        <w:rPr>
          <w:noProof/>
          <w:lang w:val="cs-CZ"/>
        </w:rPr>
        <w:t xml:space="preserve">je v éteru nebo v jiném médiu podle toho, jak je třeba převést formu na její </w:t>
      </w:r>
      <w:r w:rsidR="08236AAC">
        <w:rPr>
          <w:noProof/>
          <w:lang w:val="cs-CZ"/>
        </w:rPr>
        <w:t xml:space="preserve">intencionální </w:t>
      </w:r>
      <w:r w:rsidR="00B84633">
        <w:rPr>
          <w:noProof/>
          <w:lang w:val="cs-CZ"/>
        </w:rPr>
        <w:t xml:space="preserve">formu </w:t>
      </w:r>
      <w:r w:rsidR="08236AAC">
        <w:rPr>
          <w:noProof/>
          <w:lang w:val="cs-CZ"/>
        </w:rPr>
        <w:t xml:space="preserve">v duši </w:t>
      </w:r>
      <w:r w:rsidR="00B84633">
        <w:rPr>
          <w:noProof/>
          <w:lang w:val="cs-CZ"/>
        </w:rPr>
        <w:t>(</w:t>
      </w:r>
      <w:r w:rsidR="00B84633" w:rsidRPr="00B84633">
        <w:rPr>
          <w:i/>
          <w:noProof/>
          <w:lang w:val="cs-CZ"/>
        </w:rPr>
        <w:t>esse spirituale</w:t>
      </w:r>
      <w:r w:rsidR="00B84633">
        <w:rPr>
          <w:noProof/>
          <w:lang w:val="cs-CZ"/>
        </w:rPr>
        <w:t>)</w:t>
      </w:r>
      <w:r w:rsidR="00610F9F" w:rsidRPr="00273106">
        <w:rPr>
          <w:noProof/>
          <w:lang w:val="cs-CZ"/>
        </w:rPr>
        <w:t xml:space="preserve">. Druhé bytí </w:t>
      </w:r>
      <w:r w:rsidR="004B73C0">
        <w:rPr>
          <w:noProof/>
          <w:lang w:val="cs-CZ"/>
        </w:rPr>
        <w:t xml:space="preserve">jsoucna </w:t>
      </w:r>
      <w:r w:rsidR="00610F9F" w:rsidRPr="00273106">
        <w:rPr>
          <w:noProof/>
          <w:lang w:val="cs-CZ"/>
        </w:rPr>
        <w:t xml:space="preserve">je v tělesném orgánu; </w:t>
      </w:r>
      <w:r w:rsidR="08D71E78">
        <w:rPr>
          <w:noProof/>
          <w:lang w:val="cs-CZ"/>
        </w:rPr>
        <w:t xml:space="preserve">třetí </w:t>
      </w:r>
      <w:r w:rsidR="00610F9F" w:rsidRPr="00273106">
        <w:rPr>
          <w:noProof/>
          <w:lang w:val="cs-CZ"/>
        </w:rPr>
        <w:t xml:space="preserve">v mysli; </w:t>
      </w:r>
      <w:r w:rsidR="08D71E78">
        <w:rPr>
          <w:noProof/>
          <w:lang w:val="cs-CZ"/>
        </w:rPr>
        <w:t xml:space="preserve">čtvrté </w:t>
      </w:r>
      <w:r w:rsidR="00610F9F" w:rsidRPr="00273106">
        <w:rPr>
          <w:noProof/>
          <w:lang w:val="cs-CZ"/>
        </w:rPr>
        <w:t>ve smyslové duši; páté v racionální duši. Bytí barvy v éteru je dáno vzhled</w:t>
      </w:r>
      <w:r w:rsidR="00C132BE" w:rsidRPr="00273106">
        <w:rPr>
          <w:noProof/>
          <w:lang w:val="cs-CZ"/>
        </w:rPr>
        <w:t>em k transparentní povaze</w:t>
      </w:r>
      <w:r w:rsidR="00447DBA">
        <w:rPr>
          <w:noProof/>
          <w:lang w:val="cs-CZ"/>
        </w:rPr>
        <w:t xml:space="preserve"> diafanum (</w:t>
      </w:r>
      <w:r w:rsidR="00447DBA" w:rsidRPr="00447DBA">
        <w:rPr>
          <w:i/>
        </w:rPr>
        <w:t>ad naturam transparentis</w:t>
      </w:r>
      <w:r w:rsidR="00447DBA">
        <w:rPr>
          <w:noProof/>
          <w:lang w:val="cs-CZ"/>
        </w:rPr>
        <w:t>)</w:t>
      </w:r>
      <w:r w:rsidR="00C132BE" w:rsidRPr="00273106">
        <w:rPr>
          <w:noProof/>
          <w:lang w:val="cs-CZ"/>
        </w:rPr>
        <w:t>. P</w:t>
      </w:r>
      <w:r w:rsidR="00610F9F" w:rsidRPr="00273106">
        <w:rPr>
          <w:noProof/>
          <w:lang w:val="cs-CZ"/>
        </w:rPr>
        <w:t>ravdivé bytí barvy v oku je dáno vzhledem</w:t>
      </w:r>
      <w:r w:rsidR="00447DBA">
        <w:rPr>
          <w:noProof/>
          <w:lang w:val="cs-CZ"/>
        </w:rPr>
        <w:t xml:space="preserve"> k </w:t>
      </w:r>
      <w:r w:rsidR="08822C50">
        <w:rPr>
          <w:noProof/>
          <w:lang w:val="cs-CZ"/>
        </w:rPr>
        <w:t xml:space="preserve">univerzální </w:t>
      </w:r>
      <w:r w:rsidR="080B524A">
        <w:rPr>
          <w:noProof/>
          <w:lang w:val="cs-CZ"/>
        </w:rPr>
        <w:t xml:space="preserve">povaze </w:t>
      </w:r>
      <w:r w:rsidR="00447DBA">
        <w:rPr>
          <w:noProof/>
          <w:lang w:val="cs-CZ"/>
        </w:rPr>
        <w:t xml:space="preserve">diafanum </w:t>
      </w:r>
      <w:r w:rsidR="080B524A">
        <w:rPr>
          <w:noProof/>
          <w:lang w:val="cs-CZ"/>
        </w:rPr>
        <w:t xml:space="preserve">spojené s přenosem světla </w:t>
      </w:r>
      <w:r w:rsidR="00447DBA">
        <w:rPr>
          <w:noProof/>
          <w:lang w:val="cs-CZ"/>
        </w:rPr>
        <w:t>(</w:t>
      </w:r>
      <w:r w:rsidR="00447DBA" w:rsidRPr="00447DBA">
        <w:rPr>
          <w:i/>
        </w:rPr>
        <w:t>ad naturam transparentis lucidi coadunati</w:t>
      </w:r>
      <w:r w:rsidR="00447DBA">
        <w:rPr>
          <w:lang w:val="cs-CZ"/>
        </w:rPr>
        <w:t>). P</w:t>
      </w:r>
      <w:r w:rsidR="00610F9F" w:rsidRPr="00273106">
        <w:rPr>
          <w:noProof/>
          <w:lang w:val="cs-CZ"/>
        </w:rPr>
        <w:t xml:space="preserve">ravdivé bytí v mysli je dáno </w:t>
      </w:r>
      <w:r w:rsidR="08236AAC">
        <w:rPr>
          <w:noProof/>
          <w:lang w:val="cs-CZ"/>
        </w:rPr>
        <w:t xml:space="preserve">mediací </w:t>
      </w:r>
      <w:r w:rsidR="08822C50">
        <w:rPr>
          <w:noProof/>
          <w:lang w:val="cs-CZ"/>
        </w:rPr>
        <w:t xml:space="preserve">univerzální </w:t>
      </w:r>
      <w:r w:rsidR="08236AAC">
        <w:rPr>
          <w:noProof/>
          <w:lang w:val="cs-CZ"/>
        </w:rPr>
        <w:t>povahy</w:t>
      </w:r>
      <w:r w:rsidR="00610F9F" w:rsidRPr="00273106">
        <w:rPr>
          <w:noProof/>
          <w:lang w:val="cs-CZ"/>
        </w:rPr>
        <w:t xml:space="preserve"> světla</w:t>
      </w:r>
      <w:r w:rsidR="00584991">
        <w:rPr>
          <w:noProof/>
          <w:lang w:val="cs-CZ"/>
        </w:rPr>
        <w:t xml:space="preserve"> (</w:t>
      </w:r>
      <w:r w:rsidR="00584991" w:rsidRPr="00584991">
        <w:rPr>
          <w:i/>
        </w:rPr>
        <w:t>ad naturam luminis</w:t>
      </w:r>
      <w:r w:rsidR="00584991">
        <w:rPr>
          <w:noProof/>
          <w:lang w:val="cs-CZ"/>
        </w:rPr>
        <w:t>). P</w:t>
      </w:r>
      <w:r w:rsidR="00610F9F" w:rsidRPr="00273106">
        <w:rPr>
          <w:noProof/>
          <w:lang w:val="cs-CZ"/>
        </w:rPr>
        <w:t>ravdivé bytí dané ve smyslové části duše je nemateriální, ale ne ve smyslu, ž</w:t>
      </w:r>
      <w:r w:rsidR="00584991">
        <w:rPr>
          <w:noProof/>
          <w:lang w:val="cs-CZ"/>
        </w:rPr>
        <w:t>e by bylo od duše oddělitelné. P</w:t>
      </w:r>
      <w:r w:rsidR="00610F9F" w:rsidRPr="00273106">
        <w:rPr>
          <w:noProof/>
          <w:lang w:val="cs-CZ"/>
        </w:rPr>
        <w:t xml:space="preserve">ravdivé bytí </w:t>
      </w:r>
      <w:r w:rsidR="00C132BE" w:rsidRPr="00273106">
        <w:rPr>
          <w:noProof/>
          <w:lang w:val="cs-CZ"/>
        </w:rPr>
        <w:t>v racionální části duše je nemateriální a od duše oddělitelné. Tak je manifestován postupný růst spirituálních forem.“</w:t>
      </w:r>
      <w:r w:rsidR="00BD20B5">
        <w:rPr>
          <w:noProof/>
          <w:lang w:val="cs-CZ"/>
        </w:rPr>
        <w:t> </w:t>
      </w:r>
      <w:r w:rsidR="00610F9F" w:rsidRPr="00273106">
        <w:rPr>
          <w:rStyle w:val="Znakapoznpodarou"/>
          <w:noProof/>
          <w:lang w:val="cs-CZ"/>
        </w:rPr>
        <w:footnoteReference w:id="148"/>
      </w:r>
    </w:p>
    <w:p w14:paraId="1ECFFABE" w14:textId="77777777" w:rsidR="002C0FD7" w:rsidRDefault="00C132BE" w:rsidP="00B14EDC">
      <w:r w:rsidRPr="00273106">
        <w:t>P</w:t>
      </w:r>
      <w:r w:rsidR="00170627" w:rsidRPr="00273106">
        <w:t>rvní věta říká, že smysl jsoucna nemůže být univoční, protože je přijímané na různý způsob v různých modech poznání</w:t>
      </w:r>
      <w:r w:rsidR="00570F08" w:rsidRPr="00273106">
        <w:t xml:space="preserve"> (</w:t>
      </w:r>
      <w:r w:rsidR="00570F08" w:rsidRPr="00273106">
        <w:rPr>
          <w:i/>
        </w:rPr>
        <w:t>secundum quod debet reduci forma in esse spirituale</w:t>
      </w:r>
      <w:r w:rsidR="00570F08" w:rsidRPr="00273106">
        <w:t>)</w:t>
      </w:r>
      <w:r w:rsidR="00170627" w:rsidRPr="00273106">
        <w:t xml:space="preserve">. Univocita vzniká až na samém konci poznání, kdy je dosaženo </w:t>
      </w:r>
      <w:r w:rsidR="00D70C77" w:rsidRPr="00273106">
        <w:t xml:space="preserve">plné </w:t>
      </w:r>
      <w:r w:rsidR="00170627" w:rsidRPr="00273106">
        <w:t>adekvace intel</w:t>
      </w:r>
      <w:r w:rsidR="00D70C77" w:rsidRPr="00273106">
        <w:t>e</w:t>
      </w:r>
      <w:r w:rsidR="00170627" w:rsidRPr="00273106">
        <w:t>ktu a věci</w:t>
      </w:r>
      <w:r w:rsidR="08822C50">
        <w:t xml:space="preserve"> dané mimo smyslovou zkušenost</w:t>
      </w:r>
      <w:r w:rsidR="00170627" w:rsidRPr="00273106">
        <w:t xml:space="preserve">. </w:t>
      </w:r>
      <w:r w:rsidR="00E47C35" w:rsidRPr="00273106">
        <w:t xml:space="preserve">Autor zdůrazňuje, že </w:t>
      </w:r>
      <w:r w:rsidR="00B93195">
        <w:t xml:space="preserve">bytí barvy je vázané na povahu </w:t>
      </w:r>
      <w:r w:rsidR="08BF01F1">
        <w:t xml:space="preserve">fyzikálního </w:t>
      </w:r>
      <w:r w:rsidR="00BF3A55" w:rsidRPr="00273106">
        <w:t xml:space="preserve">diafanum </w:t>
      </w:r>
      <w:r w:rsidR="00E47C35" w:rsidRPr="00273106">
        <w:t>(</w:t>
      </w:r>
      <w:r w:rsidR="00E40FC4" w:rsidRPr="00273106">
        <w:rPr>
          <w:i/>
        </w:rPr>
        <w:t>quantum ad naturam transparentis</w:t>
      </w:r>
      <w:r w:rsidR="00B93195">
        <w:t>)</w:t>
      </w:r>
      <w:r w:rsidR="009615C7">
        <w:t xml:space="preserve">. </w:t>
      </w:r>
      <w:r w:rsidR="08735594">
        <w:t>Pak začíná mediace na úrovni</w:t>
      </w:r>
      <w:r w:rsidR="084D5B59">
        <w:t xml:space="preserve"> oka jako smyslového orgánu. což je stále fyzikální proces mediace (</w:t>
      </w:r>
      <w:r w:rsidR="084D5B59" w:rsidRPr="00447DBA">
        <w:rPr>
          <w:i/>
        </w:rPr>
        <w:t>ad naturam transparentis lucidi coadunati</w:t>
      </w:r>
      <w:r w:rsidR="084D5B59">
        <w:t xml:space="preserve">). Následuje </w:t>
      </w:r>
      <w:r w:rsidR="08735594">
        <w:t xml:space="preserve">recepce </w:t>
      </w:r>
      <w:r w:rsidR="08735594" w:rsidRPr="00273106">
        <w:t xml:space="preserve">barvy </w:t>
      </w:r>
      <w:r w:rsidR="084D5B59">
        <w:t xml:space="preserve">mediací v duši </w:t>
      </w:r>
      <w:r w:rsidR="08735594" w:rsidRPr="00273106">
        <w:t>vzhledem</w:t>
      </w:r>
      <w:r w:rsidR="08735594">
        <w:t xml:space="preserve"> k univerzální povaze diafanum dané ve smyslové intencionalitě</w:t>
      </w:r>
      <w:r w:rsidR="084D5B59">
        <w:t xml:space="preserve"> (</w:t>
      </w:r>
      <w:r w:rsidR="084D5B59" w:rsidRPr="08735594">
        <w:rPr>
          <w:i/>
        </w:rPr>
        <w:t>esse spirituale</w:t>
      </w:r>
      <w:r w:rsidR="084D5B59">
        <w:t xml:space="preserve">). </w:t>
      </w:r>
      <w:r w:rsidR="009615C7">
        <w:t xml:space="preserve">Mediace skrze diafanum dává pravdivou </w:t>
      </w:r>
      <w:r w:rsidR="08822C50">
        <w:t xml:space="preserve">univerzální </w:t>
      </w:r>
      <w:r w:rsidR="009615C7">
        <w:t xml:space="preserve">povahu světla </w:t>
      </w:r>
      <w:r w:rsidR="08735594">
        <w:t xml:space="preserve">v pojmu </w:t>
      </w:r>
      <w:r w:rsidR="009615C7">
        <w:t xml:space="preserve">až na konci poznání jako pravdivé adekvace </w:t>
      </w:r>
      <w:r w:rsidR="00E47C35" w:rsidRPr="00273106">
        <w:t>(</w:t>
      </w:r>
      <w:r w:rsidR="00E40FC4" w:rsidRPr="00273106">
        <w:rPr>
          <w:i/>
        </w:rPr>
        <w:t>quantum ad naturam luminis</w:t>
      </w:r>
      <w:r w:rsidR="00E47C35" w:rsidRPr="00273106">
        <w:t>).</w:t>
      </w:r>
      <w:r w:rsidR="00181A6A" w:rsidRPr="00273106">
        <w:t xml:space="preserve"> </w:t>
      </w:r>
      <w:r w:rsidR="00B93195">
        <w:t>N</w:t>
      </w:r>
      <w:r w:rsidR="00181A6A" w:rsidRPr="00273106">
        <w:t xml:space="preserve">asvícení </w:t>
      </w:r>
      <w:r w:rsidR="00B93195">
        <w:t xml:space="preserve">skrze diafanum </w:t>
      </w:r>
      <w:r w:rsidR="00181A6A" w:rsidRPr="00273106">
        <w:t xml:space="preserve">produkuje </w:t>
      </w:r>
      <w:r w:rsidR="00E40FC4" w:rsidRPr="00273106">
        <w:t xml:space="preserve">podobnost věci a intelektu skrze </w:t>
      </w:r>
      <w:r w:rsidR="00E40FC4" w:rsidRPr="00273106">
        <w:lastRenderedPageBreak/>
        <w:t xml:space="preserve">proporcionalitu intencionálních předmětů </w:t>
      </w:r>
      <w:r w:rsidR="00C50891" w:rsidRPr="00273106">
        <w:t>daných smyslově</w:t>
      </w:r>
      <w:r w:rsidR="00FA5319">
        <w:t>, ale již v duši jako nemateriální formě těla</w:t>
      </w:r>
      <w:r w:rsidR="00181A6A" w:rsidRPr="00273106">
        <w:t xml:space="preserve">. </w:t>
      </w:r>
      <w:r w:rsidR="00FD00AA">
        <w:t>Forma vytvořená</w:t>
      </w:r>
      <w:r w:rsidR="00FA5319">
        <w:t xml:space="preserve"> smys</w:t>
      </w:r>
      <w:r w:rsidR="00FD00AA">
        <w:t>lovým poznáním není identická</w:t>
      </w:r>
      <w:r w:rsidR="00FA5319">
        <w:t xml:space="preserve"> s externí věcí (</w:t>
      </w:r>
      <w:r w:rsidR="00FA5319" w:rsidRPr="00273106">
        <w:rPr>
          <w:i/>
        </w:rPr>
        <w:t>est incorporale</w:t>
      </w:r>
      <w:r w:rsidR="00FD00AA">
        <w:t>), ale současně ji</w:t>
      </w:r>
      <w:r w:rsidR="00FA5319">
        <w:t xml:space="preserve"> nelze oddělit od těla (</w:t>
      </w:r>
      <w:r w:rsidR="00FA5319" w:rsidRPr="00273106">
        <w:rPr>
          <w:i/>
        </w:rPr>
        <w:t>non tamen a corpore separabile</w:t>
      </w:r>
      <w:r w:rsidR="00FA5319">
        <w:t>)</w:t>
      </w:r>
      <w:r w:rsidR="007D5BA0">
        <w:t>, protože je materiální</w:t>
      </w:r>
      <w:r w:rsidR="08DA5ACE">
        <w:t xml:space="preserve"> a vázaná na oko</w:t>
      </w:r>
      <w:r w:rsidR="00FA5319">
        <w:t xml:space="preserve">. </w:t>
      </w:r>
      <w:r w:rsidR="00517278">
        <w:t>S</w:t>
      </w:r>
      <w:r w:rsidR="00E40FC4" w:rsidRPr="00273106">
        <w:t xml:space="preserve">myslové </w:t>
      </w:r>
      <w:r w:rsidR="006A04C6" w:rsidRPr="006A04C6">
        <w:t>species</w:t>
      </w:r>
      <w:r w:rsidR="00E40FC4" w:rsidRPr="00273106">
        <w:t xml:space="preserve"> přechází v procesu abstrakce na nemateriální inteligibilní formu (</w:t>
      </w:r>
      <w:r w:rsidR="00E40FC4" w:rsidRPr="00273106">
        <w:rPr>
          <w:i/>
        </w:rPr>
        <w:t>esse vero in anima rationali est incorporale a corpore separabile</w:t>
      </w:r>
      <w:r w:rsidR="00E40FC4" w:rsidRPr="00273106">
        <w:t xml:space="preserve">). </w:t>
      </w:r>
      <w:r w:rsidR="0035759F">
        <w:t>M</w:t>
      </w:r>
      <w:r w:rsidR="00E40FC4" w:rsidRPr="00273106">
        <w:t>anifestace jsoucna</w:t>
      </w:r>
      <w:r w:rsidR="0035759F">
        <w:t xml:space="preserve"> běží </w:t>
      </w:r>
      <w:r w:rsidR="00AA52B5" w:rsidRPr="00273106">
        <w:t xml:space="preserve">skrze </w:t>
      </w:r>
      <w:r w:rsidR="00E40FC4" w:rsidRPr="00273106">
        <w:t>abstr</w:t>
      </w:r>
      <w:r w:rsidR="005B5AAD" w:rsidRPr="00273106">
        <w:t>akc</w:t>
      </w:r>
      <w:r w:rsidR="0035759F">
        <w:t>i</w:t>
      </w:r>
      <w:r w:rsidR="005B5AAD" w:rsidRPr="00273106">
        <w:t xml:space="preserve"> dan</w:t>
      </w:r>
      <w:r w:rsidR="0035759F">
        <w:t>ou</w:t>
      </w:r>
      <w:r w:rsidR="005B5AAD" w:rsidRPr="00273106">
        <w:t xml:space="preserve"> nasvícením intelektu zepředu</w:t>
      </w:r>
      <w:r w:rsidR="00005BA3" w:rsidRPr="00273106">
        <w:t xml:space="preserve">, tedy </w:t>
      </w:r>
      <w:r w:rsidR="00113AE6" w:rsidRPr="00273106">
        <w:t>o</w:t>
      </w:r>
      <w:r w:rsidR="00005BA3" w:rsidRPr="00273106">
        <w:t xml:space="preserve">d reálné věci </w:t>
      </w:r>
      <w:r w:rsidR="00113AE6" w:rsidRPr="00273106">
        <w:t xml:space="preserve">nejprve </w:t>
      </w:r>
      <w:r w:rsidR="00005BA3" w:rsidRPr="00273106">
        <w:t>uc</w:t>
      </w:r>
      <w:r w:rsidR="00FF5C58" w:rsidRPr="00273106">
        <w:t>hopené smysly a pak intelektem.</w:t>
      </w:r>
    </w:p>
    <w:p w14:paraId="2D7E213B" w14:textId="77777777" w:rsidR="00477966" w:rsidRDefault="084B2A75" w:rsidP="005E709A">
      <w:pPr>
        <w:ind w:firstLine="397"/>
      </w:pPr>
      <w:r>
        <w:t>Alvernovo schéma poznání v tomto traktátu se liší od Grossetesteho</w:t>
      </w:r>
      <w:r w:rsidR="00C33EDE">
        <w:t xml:space="preserve"> pojetí ve výše uvedeném traktátu </w:t>
      </w:r>
      <w:r w:rsidR="00C33EDE">
        <w:rPr>
          <w:i/>
        </w:rPr>
        <w:t xml:space="preserve">De anima et de potenciis eius. </w:t>
      </w:r>
      <w:r w:rsidR="00C33EDE">
        <w:t xml:space="preserve">Alvernus </w:t>
      </w:r>
      <w:r>
        <w:t xml:space="preserve">přesně sleduje </w:t>
      </w:r>
      <w:r w:rsidR="0843602B">
        <w:t xml:space="preserve">podle Blundovy školy </w:t>
      </w:r>
      <w:r>
        <w:t>přenos aktuality z externí věci přes smysly do receptivního intelektu.</w:t>
      </w:r>
      <w:r w:rsidR="08F35C2A" w:rsidRPr="00E63FE4">
        <w:rPr>
          <w:szCs w:val="24"/>
          <w:vertAlign w:val="superscript"/>
        </w:rPr>
        <w:footnoteReference w:id="149"/>
      </w:r>
      <w:r>
        <w:t xml:space="preserve"> </w:t>
      </w:r>
      <w:r w:rsidR="00C33EDE">
        <w:t xml:space="preserve">Proto hraje </w:t>
      </w:r>
      <w:r w:rsidR="08F601BF">
        <w:t xml:space="preserve">při </w:t>
      </w:r>
      <w:r w:rsidR="00C33EDE">
        <w:t xml:space="preserve">aktualizaci poznání klíčovou roli </w:t>
      </w:r>
      <w:r w:rsidR="00C33EDE" w:rsidRPr="082C4306">
        <w:rPr>
          <w:i/>
        </w:rPr>
        <w:t>intellectus formalis</w:t>
      </w:r>
      <w:r w:rsidR="00C33EDE">
        <w:t>. Tento Blundův intelekt vytváří v Alvernově systému poslední úrove</w:t>
      </w:r>
      <w:r w:rsidR="00D80F67">
        <w:t xml:space="preserve">ň intelektuálního diafanum. Jeho </w:t>
      </w:r>
      <w:r w:rsidR="00C33EDE">
        <w:t xml:space="preserve">mediace </w:t>
      </w:r>
      <w:r w:rsidR="00DF3A4C">
        <w:t xml:space="preserve">je </w:t>
      </w:r>
      <w:r w:rsidR="00C33EDE">
        <w:t>už plně ne</w:t>
      </w:r>
      <w:r w:rsidR="00FC51FD">
        <w:t xml:space="preserve">materiální a </w:t>
      </w:r>
      <w:r w:rsidR="00DF3A4C">
        <w:t xml:space="preserve">je </w:t>
      </w:r>
      <w:r w:rsidR="00FC51FD">
        <w:t>oddělená od recepti</w:t>
      </w:r>
      <w:r w:rsidR="00C33EDE">
        <w:t xml:space="preserve">vního </w:t>
      </w:r>
      <w:r w:rsidR="00C33EDE" w:rsidRPr="00FC51FD">
        <w:rPr>
          <w:i/>
        </w:rPr>
        <w:t>intellectus possibilis</w:t>
      </w:r>
      <w:r w:rsidR="00C31369">
        <w:t>. T</w:t>
      </w:r>
      <w:r w:rsidR="00C33EDE">
        <w:t xml:space="preserve">oto diafanum je orientované na smyslové species, které mění na jejich intelektuální </w:t>
      </w:r>
      <w:r w:rsidR="00FC51FD">
        <w:t>podobu (</w:t>
      </w:r>
      <w:r w:rsidR="004B4D52" w:rsidRPr="004B4D52">
        <w:t>species</w:t>
      </w:r>
      <w:r w:rsidR="00FC51FD" w:rsidRPr="00FC51FD">
        <w:rPr>
          <w:i/>
        </w:rPr>
        <w:t xml:space="preserve"> intelligibilis</w:t>
      </w:r>
      <w:r w:rsidR="00FC51FD">
        <w:t xml:space="preserve">). Tím je v řádu recepce přesně daný přenos aktuality z jednoho druhu diafanum na druhé: </w:t>
      </w:r>
      <w:r w:rsidR="00FC51FD" w:rsidRPr="00FC51FD">
        <w:rPr>
          <w:i/>
        </w:rPr>
        <w:t xml:space="preserve">perspicuum – </w:t>
      </w:r>
      <w:r w:rsidR="004B4D52" w:rsidRPr="004B4D52">
        <w:t>species</w:t>
      </w:r>
      <w:r w:rsidR="00FC51FD" w:rsidRPr="00FC51FD">
        <w:rPr>
          <w:i/>
        </w:rPr>
        <w:t xml:space="preserve"> sensibilis </w:t>
      </w:r>
      <w:r w:rsidR="00FC51FD" w:rsidRPr="00FC51FD">
        <w:rPr>
          <w:i/>
          <w:sz w:val="26"/>
        </w:rPr>
        <w:t xml:space="preserve">– </w:t>
      </w:r>
      <w:r w:rsidR="004B4D52" w:rsidRPr="004B4D52">
        <w:rPr>
          <w:sz w:val="26"/>
        </w:rPr>
        <w:t>species</w:t>
      </w:r>
      <w:r w:rsidR="00FC51FD" w:rsidRPr="00FC51FD">
        <w:rPr>
          <w:i/>
          <w:sz w:val="26"/>
        </w:rPr>
        <w:t xml:space="preserve"> intelligib</w:t>
      </w:r>
      <w:r w:rsidR="00FC51FD">
        <w:rPr>
          <w:i/>
          <w:sz w:val="26"/>
        </w:rPr>
        <w:t>i</w:t>
      </w:r>
      <w:r w:rsidR="00FC51FD" w:rsidRPr="00FC51FD">
        <w:rPr>
          <w:i/>
          <w:sz w:val="26"/>
        </w:rPr>
        <w:t>lis</w:t>
      </w:r>
      <w:r w:rsidR="00FC51FD">
        <w:rPr>
          <w:sz w:val="26"/>
        </w:rPr>
        <w:t>. In</w:t>
      </w:r>
      <w:r w:rsidR="007C1B39">
        <w:rPr>
          <w:sz w:val="26"/>
        </w:rPr>
        <w:t>stance, které toto trojí</w:t>
      </w:r>
      <w:r w:rsidR="00FC51FD">
        <w:rPr>
          <w:sz w:val="26"/>
        </w:rPr>
        <w:t xml:space="preserve"> diafanum nesou v duši, jsou také jasně rozlišeny: </w:t>
      </w:r>
      <w:r w:rsidR="00FC51FD" w:rsidRPr="00FC51FD">
        <w:rPr>
          <w:i/>
          <w:sz w:val="26"/>
        </w:rPr>
        <w:t>intellectus</w:t>
      </w:r>
      <w:r w:rsidR="00FC51FD">
        <w:rPr>
          <w:sz w:val="26"/>
        </w:rPr>
        <w:t xml:space="preserve"> </w:t>
      </w:r>
      <w:r w:rsidR="082C4306" w:rsidRPr="00273106">
        <w:rPr>
          <w:i/>
        </w:rPr>
        <w:t>possibilis</w:t>
      </w:r>
      <w:r w:rsidR="082C4306" w:rsidRPr="00273106">
        <w:t xml:space="preserve"> </w:t>
      </w:r>
      <w:r w:rsidR="082C4306" w:rsidRPr="0843602B">
        <w:rPr>
          <w:i/>
        </w:rPr>
        <w:t>–</w:t>
      </w:r>
      <w:r w:rsidR="082C4306">
        <w:rPr>
          <w:i/>
        </w:rPr>
        <w:t xml:space="preserve"> formali</w:t>
      </w:r>
      <w:r w:rsidR="082C4306" w:rsidRPr="0843602B">
        <w:rPr>
          <w:i/>
        </w:rPr>
        <w:t xml:space="preserve">s </w:t>
      </w:r>
      <w:r w:rsidR="082C4306">
        <w:t xml:space="preserve">‒ </w:t>
      </w:r>
      <w:r w:rsidR="082C4306" w:rsidRPr="00273106">
        <w:rPr>
          <w:i/>
        </w:rPr>
        <w:t>agens</w:t>
      </w:r>
      <w:r w:rsidR="082C4306">
        <w:t xml:space="preserve">. </w:t>
      </w:r>
      <w:r w:rsidR="00504A31" w:rsidRPr="00504A31">
        <w:t>Tato série obhajuje postupný růst duchovních forem s ohledem na reálný svět a smyslové poznání. Je stěžejní pro datování to</w:t>
      </w:r>
      <w:r w:rsidR="007E1BD1">
        <w:t>hoto Alvernova díla do let 1225</w:t>
      </w:r>
      <w:r w:rsidR="00504A31">
        <w:t>–</w:t>
      </w:r>
      <w:r w:rsidR="00504A31" w:rsidRPr="00504A31">
        <w:t xml:space="preserve">30 (kap. 3.1.1). Grosseteste interpretoval schéma poznání odlišně, a to jako dualistický proces. Tím </w:t>
      </w:r>
      <w:r w:rsidR="00504A31" w:rsidRPr="008E5F99">
        <w:rPr>
          <w:i/>
        </w:rPr>
        <w:t>de facto</w:t>
      </w:r>
      <w:r w:rsidR="00504A31" w:rsidRPr="00504A31">
        <w:t xml:space="preserve"> zrušil unitární pojetí osoby</w:t>
      </w:r>
      <w:r w:rsidR="00536A55">
        <w:t>, protože z</w:t>
      </w:r>
      <w:r w:rsidR="00504A31" w:rsidRPr="00504A31">
        <w:t>aved</w:t>
      </w:r>
      <w:r w:rsidR="00536A55">
        <w:t>l i</w:t>
      </w:r>
      <w:r w:rsidR="00504A31" w:rsidRPr="00504A31">
        <w:t xml:space="preserve">ntelektu jako </w:t>
      </w:r>
      <w:r w:rsidR="00536A55">
        <w:t xml:space="preserve">další </w:t>
      </w:r>
      <w:r w:rsidR="00504A31" w:rsidRPr="00504A31">
        <w:t>autonomní form</w:t>
      </w:r>
      <w:r w:rsidR="00536A55">
        <w:t>u do duše</w:t>
      </w:r>
      <w:r w:rsidR="00504A31" w:rsidRPr="00504A31">
        <w:t>. Tento zásadní rozdíl v pojetí duše a poznání mezi dvěma vůdčími osobnost</w:t>
      </w:r>
      <w:r w:rsidR="00350D06">
        <w:t xml:space="preserve">mi, které byly zakladateli Pařížské </w:t>
      </w:r>
      <w:r w:rsidR="00504A31" w:rsidRPr="00504A31">
        <w:t>univerzity, vedl k</w:t>
      </w:r>
      <w:r w:rsidR="00504A31">
        <w:t>e</w:t>
      </w:r>
      <w:r w:rsidR="00504A31" w:rsidRPr="00504A31">
        <w:t xml:space="preserve"> Grossetestovu odchodu do Oxfordu</w:t>
      </w:r>
      <w:r w:rsidR="008611FB">
        <w:t xml:space="preserve"> asi roku 1230</w:t>
      </w:r>
      <w:r w:rsidR="00504A31" w:rsidRPr="00504A31">
        <w:t>. Tento spis ukazuje, že druhá větev prvního averroismu, přesně podle Blundovy interpretace, zastává jednotu osoby jako jediné substance a duše jako jediné formy těla.</w:t>
      </w:r>
      <w:r w:rsidR="00504A31">
        <w:t xml:space="preserve"> </w:t>
      </w:r>
      <w:r w:rsidR="009D1C6C" w:rsidRPr="00273106">
        <w:t xml:space="preserve">Formální intelekt </w:t>
      </w:r>
      <w:r w:rsidR="0096569A">
        <w:t xml:space="preserve">abstrahuje </w:t>
      </w:r>
      <w:r w:rsidR="006A04C6" w:rsidRPr="006A04C6">
        <w:t>species</w:t>
      </w:r>
      <w:r w:rsidR="0003480A" w:rsidRPr="00273106">
        <w:t xml:space="preserve"> a intence poznaných </w:t>
      </w:r>
      <w:r w:rsidR="08347CFA">
        <w:t>forem od</w:t>
      </w:r>
      <w:r w:rsidR="0096569A">
        <w:t xml:space="preserve"> reálných věcí. Neexistuje </w:t>
      </w:r>
      <w:r w:rsidR="08347CFA">
        <w:t xml:space="preserve">predikace těchto forem </w:t>
      </w:r>
      <w:r w:rsidR="009D1C6C" w:rsidRPr="00273106">
        <w:t xml:space="preserve">skrze avicennovskou intuici danou v </w:t>
      </w:r>
      <w:r w:rsidR="009D1C6C" w:rsidRPr="00273106">
        <w:rPr>
          <w:i/>
        </w:rPr>
        <w:t>intellectus adeptus</w:t>
      </w:r>
      <w:r w:rsidR="00332701">
        <w:rPr>
          <w:i/>
        </w:rPr>
        <w:fldChar w:fldCharType="begin"/>
      </w:r>
      <w:r w:rsidR="00332701">
        <w:instrText xml:space="preserve"> XE "</w:instrText>
      </w:r>
      <w:r w:rsidR="00332701" w:rsidRPr="00F77FCE">
        <w:rPr>
          <w:i/>
        </w:rPr>
        <w:instrText>intellectus adeptus</w:instrText>
      </w:r>
      <w:r w:rsidR="00CB4A93" w:rsidRPr="00CB4A93">
        <w:instrText>:první averroismus</w:instrText>
      </w:r>
      <w:r w:rsidR="00332701">
        <w:instrText xml:space="preserve">" </w:instrText>
      </w:r>
      <w:r w:rsidR="00332701">
        <w:rPr>
          <w:i/>
        </w:rPr>
        <w:fldChar w:fldCharType="end"/>
      </w:r>
      <w:r w:rsidR="08891B0A">
        <w:t xml:space="preserve"> nebo </w:t>
      </w:r>
      <w:r w:rsidR="08E01F69">
        <w:t xml:space="preserve">ve formálně hypostázovaném </w:t>
      </w:r>
      <w:r w:rsidR="08891B0A" w:rsidRPr="08891B0A">
        <w:rPr>
          <w:i/>
        </w:rPr>
        <w:t>intellectus agens</w:t>
      </w:r>
      <w:r w:rsidR="08891B0A">
        <w:t xml:space="preserve">. </w:t>
      </w:r>
      <w:r w:rsidR="00BC6D38" w:rsidRPr="00273106">
        <w:t xml:space="preserve">Postupná gradace </w:t>
      </w:r>
      <w:r w:rsidR="00BC6D38" w:rsidRPr="00273106">
        <w:lastRenderedPageBreak/>
        <w:t>forem nemá nic</w:t>
      </w:r>
      <w:r w:rsidR="08DB38D6">
        <w:t xml:space="preserve"> společného s </w:t>
      </w:r>
      <w:r w:rsidR="089859F6">
        <w:t>neoplatonskou dedukcí</w:t>
      </w:r>
      <w:r w:rsidR="08DB38D6">
        <w:t xml:space="preserve"> </w:t>
      </w:r>
      <w:r w:rsidR="00BC6D38" w:rsidRPr="00273106">
        <w:rPr>
          <w:i/>
        </w:rPr>
        <w:t>modo geometrico</w:t>
      </w:r>
      <w:r w:rsidR="00A411A7">
        <w:rPr>
          <w:i/>
        </w:rPr>
        <w:fldChar w:fldCharType="begin"/>
      </w:r>
      <w:r w:rsidR="00A411A7">
        <w:instrText xml:space="preserve"> XE "</w:instrText>
      </w:r>
      <w:r w:rsidR="00A411A7" w:rsidRPr="00B678B1">
        <w:rPr>
          <w:i/>
        </w:rPr>
        <w:instrText>modo geometrico</w:instrText>
      </w:r>
      <w:r w:rsidR="00A411A7">
        <w:instrText xml:space="preserve">" </w:instrText>
      </w:r>
      <w:r w:rsidR="00A411A7">
        <w:rPr>
          <w:i/>
        </w:rPr>
        <w:fldChar w:fldCharType="end"/>
      </w:r>
      <w:r w:rsidR="00BC6D38" w:rsidRPr="00273106">
        <w:t xml:space="preserve"> </w:t>
      </w:r>
      <w:r w:rsidR="00DA27EB">
        <w:t xml:space="preserve">podle </w:t>
      </w:r>
      <w:r w:rsidR="00FD00AA">
        <w:t xml:space="preserve">díla </w:t>
      </w:r>
      <w:r w:rsidR="00DA27EB" w:rsidRPr="00DA27EB">
        <w:rPr>
          <w:i/>
        </w:rPr>
        <w:t>L</w:t>
      </w:r>
      <w:r w:rsidR="00BC6D38" w:rsidRPr="00DA27EB">
        <w:rPr>
          <w:i/>
        </w:rPr>
        <w:t>iber</w:t>
      </w:r>
      <w:r w:rsidR="00BC6D38" w:rsidRPr="00273106">
        <w:rPr>
          <w:i/>
        </w:rPr>
        <w:t xml:space="preserve">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BC6D38" w:rsidRPr="00273106">
        <w:t xml:space="preserve">. </w:t>
      </w:r>
      <w:r w:rsidR="08421A0C">
        <w:t>P</w:t>
      </w:r>
      <w:r w:rsidR="00E31EA5">
        <w:t>rvní averroismu</w:t>
      </w:r>
      <w:r w:rsidR="08421A0C">
        <w:t>s nemůže vzít výstavbu světa podle Avicennovy sebereflexivní graduality duše osvícené zezadu, která nazírá v modu konsubstanciality stejn</w:t>
      </w:r>
      <w:r w:rsidR="005E709A">
        <w:t xml:space="preserve">ou gradualitu kosmických forem. </w:t>
      </w:r>
      <w:r w:rsidR="005E709A" w:rsidRPr="005E709A">
        <w:t xml:space="preserve">Poznávání je chápáno jako proces aktualizace </w:t>
      </w:r>
      <w:r w:rsidR="005E709A">
        <w:t>intencionálních species</w:t>
      </w:r>
      <w:r w:rsidR="005E709A" w:rsidRPr="005E709A">
        <w:t xml:space="preserve">. </w:t>
      </w:r>
      <w:r w:rsidR="005E709A">
        <w:t>Ta v</w:t>
      </w:r>
      <w:r w:rsidR="005E709A" w:rsidRPr="005E709A">
        <w:t xml:space="preserve">znikají v procesu </w:t>
      </w:r>
      <w:r w:rsidR="005E709A">
        <w:t>intencionality a abstrakce</w:t>
      </w:r>
      <w:r w:rsidR="005E709A" w:rsidRPr="005E709A">
        <w:t>, který zůstává genericky odlišný od reality.</w:t>
      </w:r>
      <w:r w:rsidR="005E709A">
        <w:t xml:space="preserve"> </w:t>
      </w:r>
      <w:r w:rsidR="00E31EA5">
        <w:t>F</w:t>
      </w:r>
      <w:r w:rsidR="00BC6D38" w:rsidRPr="00273106">
        <w:t>orma daná jako reálně existující první substance</w:t>
      </w:r>
      <w:r w:rsidR="00A70FA4">
        <w:fldChar w:fldCharType="begin"/>
      </w:r>
      <w:r w:rsidR="00A70FA4">
        <w:instrText xml:space="preserve"> XE "</w:instrText>
      </w:r>
      <w:r w:rsidR="00A70FA4" w:rsidRPr="00DE2A32">
        <w:instrText>substance</w:instrText>
      </w:r>
      <w:r w:rsidR="00A411A7">
        <w:instrText>:hylemorfická</w:instrText>
      </w:r>
      <w:r w:rsidR="00A70FA4">
        <w:instrText xml:space="preserve">" </w:instrText>
      </w:r>
      <w:r w:rsidR="00A70FA4">
        <w:fldChar w:fldCharType="end"/>
      </w:r>
      <w:r w:rsidR="00BC6D38" w:rsidRPr="00273106">
        <w:t xml:space="preserve"> determinuje poznání, nikoliv naopak. Zavedením mediace </w:t>
      </w:r>
      <w:r w:rsidR="008B5D4A">
        <w:t>skrze diafanum Al</w:t>
      </w:r>
      <w:r w:rsidR="008B5D4A">
        <w:noBreakHyphen/>
      </w:r>
      <w:r w:rsidR="008E02F5">
        <w:t>Fárábí</w:t>
      </w:r>
      <w:r w:rsidR="008B5D4A">
        <w:t xml:space="preserve">ho a </w:t>
      </w:r>
      <w:r w:rsidR="002E3B62">
        <w:t>Averroes</w:t>
      </w:r>
      <w:r w:rsidR="008B5D4A">
        <w:t xml:space="preserve">e </w:t>
      </w:r>
      <w:r w:rsidR="00BC6D38" w:rsidRPr="00273106">
        <w:t xml:space="preserve">je odmítnut </w:t>
      </w:r>
      <w:r w:rsidR="08EB22D0">
        <w:t xml:space="preserve">avicennovský výklad </w:t>
      </w:r>
      <w:r w:rsidR="08EB22D0" w:rsidRPr="08EB22D0">
        <w:rPr>
          <w:i/>
        </w:rPr>
        <w:t>De anima</w:t>
      </w:r>
      <w:r w:rsidR="00BC6D38" w:rsidRPr="00273106">
        <w:t xml:space="preserve">. </w:t>
      </w:r>
      <w:r w:rsidR="00BE6958" w:rsidRPr="00273106">
        <w:t>Rozdíl je dán odlišným viděním formy</w:t>
      </w:r>
      <w:r w:rsidR="00A411A7">
        <w:fldChar w:fldCharType="begin"/>
      </w:r>
      <w:r w:rsidR="00A411A7">
        <w:instrText xml:space="preserve"> XE "abstrakce:první averroismus" </w:instrText>
      </w:r>
      <w:r w:rsidR="00A411A7">
        <w:fldChar w:fldCharType="end"/>
      </w:r>
      <w:r w:rsidR="00BE6958" w:rsidRPr="00273106">
        <w:t xml:space="preserve"> buď v rámci </w:t>
      </w:r>
      <w:r w:rsidR="00BE6958" w:rsidRPr="00273106">
        <w:rPr>
          <w:i/>
        </w:rPr>
        <w:t>abstractio</w:t>
      </w:r>
      <w:r w:rsidR="00BE6958" w:rsidRPr="00273106">
        <w:t xml:space="preserve"> (</w:t>
      </w:r>
      <w:r w:rsidR="002E3B62">
        <w:t>Averroes</w:t>
      </w:r>
      <w:r w:rsidR="00BE6958" w:rsidRPr="00273106">
        <w:t xml:space="preserve">) nebo </w:t>
      </w:r>
      <w:r w:rsidR="00BE6958" w:rsidRPr="00273106">
        <w:rPr>
          <w:i/>
        </w:rPr>
        <w:t>denudatio</w:t>
      </w:r>
      <w:r w:rsidR="00BE6958" w:rsidRPr="00273106">
        <w:t xml:space="preserve"> (Avicenna). Oba pohledy vytvářejí dva zcela odlišné významy vzhledem k poznané formě </w:t>
      </w:r>
      <w:r w:rsidR="0857515C">
        <w:t xml:space="preserve">dané buď porretánsky nebo aristotelsky. </w:t>
      </w:r>
      <w:r w:rsidR="008450E4" w:rsidRPr="00273106">
        <w:t xml:space="preserve">Není-li v prvním a ve druhém averroismu stejné pojetí </w:t>
      </w:r>
      <w:r w:rsidR="00243F48">
        <w:t>intendovaných a poznaných forem</w:t>
      </w:r>
      <w:r w:rsidR="008450E4" w:rsidRPr="00273106">
        <w:t xml:space="preserve">, pak totéž platí </w:t>
      </w:r>
      <w:r w:rsidR="00F941CD">
        <w:t xml:space="preserve">tím více pro definici </w:t>
      </w:r>
      <w:r w:rsidR="008450E4" w:rsidRPr="00273106">
        <w:t>intelekt</w:t>
      </w:r>
      <w:r w:rsidR="00F941CD">
        <w:t>u, který</w:t>
      </w:r>
      <w:r w:rsidR="008450E4" w:rsidRPr="00273106">
        <w:t xml:space="preserve"> to či ono </w:t>
      </w:r>
      <w:r w:rsidR="006A04C6" w:rsidRPr="006A04C6">
        <w:t>species</w:t>
      </w:r>
      <w:r w:rsidR="008450E4" w:rsidRPr="00273106">
        <w:t xml:space="preserve"> poznává. </w:t>
      </w:r>
      <w:r w:rsidR="00824D80" w:rsidRPr="00273106">
        <w:t xml:space="preserve">První substance je </w:t>
      </w:r>
      <w:r w:rsidR="00E40FC4" w:rsidRPr="00273106">
        <w:t xml:space="preserve">formálně uchopena v </w:t>
      </w:r>
      <w:r w:rsidR="08190227">
        <w:t xml:space="preserve">aristotelském </w:t>
      </w:r>
      <w:r w:rsidR="00E40FC4" w:rsidRPr="00273106">
        <w:t>intelektu</w:t>
      </w:r>
      <w:r w:rsidR="00AA52B5" w:rsidRPr="00273106">
        <w:t xml:space="preserve">, který je </w:t>
      </w:r>
      <w:r w:rsidR="00EC7191" w:rsidRPr="00273106">
        <w:t xml:space="preserve">postupnou univerzální manifestací pravdy jako shody </w:t>
      </w:r>
      <w:r w:rsidR="000F25EA" w:rsidRPr="00273106">
        <w:t>sin</w:t>
      </w:r>
      <w:r w:rsidR="00411B76" w:rsidRPr="00273106">
        <w:t>g</w:t>
      </w:r>
      <w:r w:rsidR="000F25EA" w:rsidRPr="00273106">
        <w:t xml:space="preserve">ulární </w:t>
      </w:r>
      <w:r w:rsidR="00EC7191" w:rsidRPr="00273106">
        <w:t xml:space="preserve">věci a </w:t>
      </w:r>
      <w:r w:rsidR="000F25EA" w:rsidRPr="00273106">
        <w:t xml:space="preserve">univerzálního </w:t>
      </w:r>
      <w:r w:rsidR="00EC7191" w:rsidRPr="00273106">
        <w:t>intelektu</w:t>
      </w:r>
      <w:r w:rsidR="00E40FC4" w:rsidRPr="00273106">
        <w:t>.</w:t>
      </w:r>
      <w:r w:rsidR="003D1434" w:rsidRPr="00273106">
        <w:t xml:space="preserve"> Anonymní traktát výslovně váže vznik </w:t>
      </w:r>
      <w:r w:rsidR="006A04C6" w:rsidRPr="006A04C6">
        <w:t>species</w:t>
      </w:r>
      <w:r w:rsidR="003D1434" w:rsidRPr="00273106">
        <w:t xml:space="preserve"> na </w:t>
      </w:r>
      <w:r w:rsidR="002E3B62">
        <w:t>Averroes</w:t>
      </w:r>
      <w:r w:rsidR="003D1434" w:rsidRPr="00273106">
        <w:t xml:space="preserve">ův </w:t>
      </w:r>
      <w:r w:rsidR="003D1434"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A411A7" w:rsidRPr="00A411A7">
        <w:instrText>:první averroismus</w:instrText>
      </w:r>
      <w:r w:rsidR="009D323B">
        <w:instrText xml:space="preserve">" </w:instrText>
      </w:r>
      <w:r w:rsidR="009D323B">
        <w:rPr>
          <w:i/>
        </w:rPr>
        <w:fldChar w:fldCharType="end"/>
      </w:r>
      <w:r w:rsidR="003D1434" w:rsidRPr="00273106">
        <w:t>, který spojuje s Blundovým formálním intelektem.</w:t>
      </w:r>
      <w:r w:rsidR="00944173" w:rsidRPr="00273106">
        <w:rPr>
          <w:rStyle w:val="Znakapoznpodarou"/>
        </w:rPr>
        <w:footnoteReference w:id="150"/>
      </w:r>
      <w:r w:rsidR="00944173" w:rsidRPr="00273106">
        <w:t xml:space="preserve"> </w:t>
      </w:r>
      <w:r w:rsidR="00613301" w:rsidRPr="00273106">
        <w:t>Opět je dá</w:t>
      </w:r>
      <w:r w:rsidR="00473FA2" w:rsidRPr="00273106">
        <w:t xml:space="preserve">n </w:t>
      </w:r>
      <w:r w:rsidR="00613301" w:rsidRPr="00273106">
        <w:t xml:space="preserve">zásadní </w:t>
      </w:r>
      <w:r w:rsidR="00473FA2" w:rsidRPr="00273106">
        <w:t>rozdíl mezi avicennistickým pojetí</w:t>
      </w:r>
      <w:r w:rsidR="00242572">
        <w:t>m</w:t>
      </w:r>
      <w:r w:rsidR="00473FA2" w:rsidRPr="00273106">
        <w:t xml:space="preserve"> </w:t>
      </w:r>
      <w:r w:rsidR="00F573EE">
        <w:t xml:space="preserve">abstrakce </w:t>
      </w:r>
      <w:r w:rsidR="00BD31DF" w:rsidRPr="00273106">
        <w:t>a prvním</w:t>
      </w:r>
      <w:r w:rsidR="00242572">
        <w:t xml:space="preserve"> averroismem</w:t>
      </w:r>
      <w:r w:rsidR="00473FA2" w:rsidRPr="00273106">
        <w:t xml:space="preserve">. </w:t>
      </w:r>
      <w:r w:rsidR="00077400" w:rsidRPr="00273106">
        <w:t>Spojení nemateriální receptivní a syntetické složky (</w:t>
      </w:r>
      <w:r w:rsidR="00077400" w:rsidRPr="00273106">
        <w:rPr>
          <w:i/>
        </w:rPr>
        <w:t>intellectus possibilis unitus intellectui formali</w:t>
      </w:r>
      <w:r w:rsidR="00077400" w:rsidRPr="00273106">
        <w:t>) zakládá tvorbu inteligibilních species danou jejich přechodem z potence do aktuality (</w:t>
      </w:r>
      <w:r w:rsidR="00077400" w:rsidRPr="00273106">
        <w:rPr>
          <w:i/>
        </w:rPr>
        <w:t xml:space="preserve">fuerint </w:t>
      </w:r>
      <w:r w:rsidR="004B4D52" w:rsidRPr="004B4D52">
        <w:t>species</w:t>
      </w:r>
      <w:r w:rsidR="00077400" w:rsidRPr="00273106">
        <w:rPr>
          <w:i/>
        </w:rPr>
        <w:t xml:space="preserve"> in intellectu possibili ordinate ab agente</w:t>
      </w:r>
      <w:r w:rsidR="00077400" w:rsidRPr="00273106">
        <w:t xml:space="preserve">). </w:t>
      </w:r>
      <w:r w:rsidR="00FE517C">
        <w:t xml:space="preserve">Dvojí činnost </w:t>
      </w:r>
      <w:r w:rsidR="085668EA">
        <w:t xml:space="preserve">daná v modu </w:t>
      </w:r>
      <w:r w:rsidR="082A724F">
        <w:t xml:space="preserve">metafyzického </w:t>
      </w:r>
      <w:r w:rsidR="085668EA">
        <w:t xml:space="preserve">dativu </w:t>
      </w:r>
      <w:r w:rsidR="00FE517C">
        <w:t xml:space="preserve">zakládá stejné </w:t>
      </w:r>
      <w:r w:rsidR="087E2D8F">
        <w:t xml:space="preserve">schéma myšlení v modu </w:t>
      </w:r>
      <w:r w:rsidR="00954DAF" w:rsidRPr="00273106">
        <w:rPr>
          <w:i/>
        </w:rPr>
        <w:t>abstrahere</w:t>
      </w:r>
      <w:r w:rsidR="087E2D8F">
        <w:t xml:space="preserve"> a </w:t>
      </w:r>
      <w:r w:rsidR="00954DAF" w:rsidRPr="00273106">
        <w:rPr>
          <w:i/>
        </w:rPr>
        <w:t>ordinare</w:t>
      </w:r>
      <w:r w:rsidR="00954DAF" w:rsidRPr="00273106">
        <w:t xml:space="preserve"> jako v předešlém</w:t>
      </w:r>
      <w:r w:rsidR="0049148F" w:rsidRPr="00273106">
        <w:t xml:space="preserve"> anonymním </w:t>
      </w:r>
      <w:r w:rsidR="00954DAF" w:rsidRPr="00273106">
        <w:t>traktátu.</w:t>
      </w:r>
      <w:r w:rsidR="00772914" w:rsidRPr="00273106">
        <w:t xml:space="preserve"> </w:t>
      </w:r>
      <w:r w:rsidR="003D1434" w:rsidRPr="00273106">
        <w:t>Z tohoto procesu poznání a schopn</w:t>
      </w:r>
      <w:r w:rsidR="00AA52B5" w:rsidRPr="00273106">
        <w:t xml:space="preserve">ostí duše vyplývá odmítnutí základní složky </w:t>
      </w:r>
      <w:r w:rsidR="00874074">
        <w:t>neoplatonsk</w:t>
      </w:r>
      <w:r w:rsidR="00AA52B5" w:rsidRPr="00273106">
        <w:t>ého schématu poznání, tedy aktivního intelektu odděleného od duše</w:t>
      </w:r>
      <w:r w:rsidR="00524EAB">
        <w:t xml:space="preserve">. </w:t>
      </w:r>
      <w:r w:rsidR="08D878B0">
        <w:t>O</w:t>
      </w:r>
      <w:r w:rsidR="00524EAB">
        <w:t xml:space="preserve">ddělený intelekt-slunce uschopňuje duši </w:t>
      </w:r>
      <w:r w:rsidR="00E85190">
        <w:t>skrze darovaný intel</w:t>
      </w:r>
      <w:r w:rsidR="009752A1">
        <w:t>e</w:t>
      </w:r>
      <w:r w:rsidR="00E85190">
        <w:t>k</w:t>
      </w:r>
      <w:r w:rsidR="009752A1">
        <w:t>t</w:t>
      </w:r>
      <w:r w:rsidR="00E85190">
        <w:t xml:space="preserve"> k výkonu </w:t>
      </w:r>
      <w:r w:rsidR="08093453">
        <w:t xml:space="preserve">avicennovské </w:t>
      </w:r>
      <w:r w:rsidR="00E85190">
        <w:t>denudace</w:t>
      </w:r>
      <w:r w:rsidR="00524EAB">
        <w:t xml:space="preserve">, která zakládá </w:t>
      </w:r>
      <w:r w:rsidR="00E85190">
        <w:t xml:space="preserve">přímé vidění porretánských </w:t>
      </w:r>
      <w:r w:rsidR="006A04C6" w:rsidRPr="006A04C6">
        <w:t>species</w:t>
      </w:r>
      <w:r w:rsidR="00E85190">
        <w:t xml:space="preserve"> v reálných věcech. </w:t>
      </w:r>
      <w:r w:rsidR="08D729C2">
        <w:t>D</w:t>
      </w:r>
      <w:r w:rsidR="08D729C2" w:rsidRPr="00273106">
        <w:t xml:space="preserve">ruhý averroismus </w:t>
      </w:r>
      <w:r w:rsidR="08D729C2">
        <w:t xml:space="preserve">reprezentovaný dílem </w:t>
      </w:r>
      <w:r w:rsidR="08D729C2">
        <w:rPr>
          <w:i/>
        </w:rPr>
        <w:t>Summa D</w:t>
      </w:r>
      <w:r w:rsidR="08D729C2" w:rsidRPr="00A95D48">
        <w:rPr>
          <w:i/>
        </w:rPr>
        <w:t>uacensis</w:t>
      </w:r>
      <w:r w:rsidR="08D729C2">
        <w:rPr>
          <w:i/>
        </w:rPr>
        <w:fldChar w:fldCharType="begin"/>
      </w:r>
      <w:r w:rsidR="08D729C2">
        <w:instrText xml:space="preserve"> XE "</w:instrText>
      </w:r>
      <w:r w:rsidR="08D729C2" w:rsidRPr="000E2AD6">
        <w:rPr>
          <w:i/>
        </w:rPr>
        <w:instrText>Summa Duacensis</w:instrText>
      </w:r>
      <w:r w:rsidR="08D729C2">
        <w:instrText xml:space="preserve">" </w:instrText>
      </w:r>
      <w:r w:rsidR="08D729C2">
        <w:rPr>
          <w:i/>
        </w:rPr>
        <w:fldChar w:fldCharType="end"/>
      </w:r>
      <w:r w:rsidR="08D729C2">
        <w:t xml:space="preserve"> </w:t>
      </w:r>
      <w:r w:rsidR="08D729C2" w:rsidRPr="00273106">
        <w:t xml:space="preserve">váže </w:t>
      </w:r>
      <w:r w:rsidR="08D729C2">
        <w:t xml:space="preserve">porušitelný </w:t>
      </w:r>
      <w:r w:rsidR="08D729C2" w:rsidRPr="00273106">
        <w:rPr>
          <w:i/>
        </w:rPr>
        <w:t>intellectus formalis</w:t>
      </w:r>
      <w:r w:rsidR="08D729C2">
        <w:rPr>
          <w:i/>
        </w:rPr>
        <w:fldChar w:fldCharType="begin"/>
      </w:r>
      <w:r w:rsidR="08D729C2">
        <w:instrText xml:space="preserve"> XE "</w:instrText>
      </w:r>
      <w:r w:rsidR="08D729C2" w:rsidRPr="000238B8">
        <w:rPr>
          <w:i/>
        </w:rPr>
        <w:instrText>intellectus formalis:</w:instrText>
      </w:r>
      <w:r w:rsidR="08D729C2" w:rsidRPr="000238B8">
        <w:instrText>Blund</w:instrText>
      </w:r>
      <w:r w:rsidR="08D729C2">
        <w:instrText xml:space="preserve">" </w:instrText>
      </w:r>
      <w:r w:rsidR="08D729C2">
        <w:rPr>
          <w:i/>
        </w:rPr>
        <w:fldChar w:fldCharType="end"/>
      </w:r>
      <w:r w:rsidR="08D729C2" w:rsidRPr="00273106">
        <w:t xml:space="preserve"> na přímé nazírání esenciální formy jako jsoucna třetího druhu. </w:t>
      </w:r>
      <w:r w:rsidR="08D729C2">
        <w:lastRenderedPageBreak/>
        <w:t xml:space="preserve">Blundova škola měla pojetí poznání </w:t>
      </w:r>
      <w:r w:rsidR="00763E4A">
        <w:t xml:space="preserve">před </w:t>
      </w:r>
      <w:r w:rsidR="08D729C2">
        <w:t>rok</w:t>
      </w:r>
      <w:r w:rsidR="00763E4A">
        <w:t xml:space="preserve">em </w:t>
      </w:r>
      <w:r w:rsidR="002C7805">
        <w:t>1230 už pevně dané podle CMDA, p</w:t>
      </w:r>
      <w:r w:rsidR="08D729C2">
        <w:t>roto odmítla Avicennovo schéma</w:t>
      </w:r>
      <w:r w:rsidR="00763E4A">
        <w:t xml:space="preserve"> iluminace </w:t>
      </w:r>
      <w:r w:rsidR="08D729C2">
        <w:t xml:space="preserve">hájené školou Filipa Kancléře. </w:t>
      </w:r>
      <w:r w:rsidR="009C6267">
        <w:t>První avicennismus vidí reálné věci</w:t>
      </w:r>
      <w:r w:rsidR="007105EE">
        <w:t xml:space="preserve"> v modu intencionality a abstrakce</w:t>
      </w:r>
      <w:r w:rsidR="009C6267">
        <w:t>, n</w:t>
      </w:r>
      <w:r w:rsidR="004B60EB">
        <w:t>ikoliv</w:t>
      </w:r>
      <w:r w:rsidR="009C6267">
        <w:t xml:space="preserve"> jsoucna třetího druhu</w:t>
      </w:r>
      <w:r w:rsidR="007105EE">
        <w:t xml:space="preserve"> v modu denudace a iluminace</w:t>
      </w:r>
      <w:r w:rsidR="004B60EB">
        <w:t>. S</w:t>
      </w:r>
      <w:r w:rsidR="00DF2B8E" w:rsidRPr="00273106">
        <w:t xml:space="preserve">tatut formálního intelektu </w:t>
      </w:r>
      <w:r w:rsidR="002103EB">
        <w:t xml:space="preserve">je </w:t>
      </w:r>
      <w:r w:rsidR="00DF2B8E" w:rsidRPr="00273106">
        <w:t xml:space="preserve">navázaný </w:t>
      </w:r>
      <w:r w:rsidR="004B60EB">
        <w:t xml:space="preserve">v modu adekvace </w:t>
      </w:r>
      <w:r w:rsidR="00DF2B8E" w:rsidRPr="00273106">
        <w:t xml:space="preserve">na </w:t>
      </w:r>
      <w:r w:rsidR="001B1B1B">
        <w:t xml:space="preserve">intencionální </w:t>
      </w:r>
      <w:r w:rsidR="006A04C6" w:rsidRPr="006A04C6">
        <w:t>species</w:t>
      </w:r>
      <w:r w:rsidR="001B1B1B">
        <w:t>, z nichž v procesu abstrakce vznik</w:t>
      </w:r>
      <w:r w:rsidR="08BF4003">
        <w:t xml:space="preserve">nou výsledné univerzální pojmy. </w:t>
      </w:r>
      <w:r w:rsidR="00000935" w:rsidRPr="00273106">
        <w:t>A</w:t>
      </w:r>
      <w:r w:rsidR="00D75A56" w:rsidRPr="00273106">
        <w:t>rgumenta</w:t>
      </w:r>
      <w:r w:rsidR="00000935" w:rsidRPr="00273106">
        <w:t xml:space="preserve">ce </w:t>
      </w:r>
      <w:r w:rsidR="00BC2506" w:rsidRPr="00273106">
        <w:t>shrnuje nauku prvního averroismu o jedné duši a dvou složkách nemateriálního intelektu</w:t>
      </w:r>
      <w:r w:rsidR="08BF4003">
        <w:t xml:space="preserve">, který je díky svému nemateriálním výkonu odlišný </w:t>
      </w:r>
      <w:r w:rsidR="08BF4003" w:rsidRPr="00273106">
        <w:t xml:space="preserve">od </w:t>
      </w:r>
      <w:r w:rsidR="08BF4003">
        <w:t xml:space="preserve">poznání </w:t>
      </w:r>
      <w:r w:rsidR="08BF4003" w:rsidRPr="00273106">
        <w:t>vázané</w:t>
      </w:r>
      <w:r w:rsidR="08BF4003">
        <w:t>ho</w:t>
      </w:r>
      <w:r w:rsidR="08BF4003" w:rsidRPr="00273106">
        <w:t xml:space="preserve"> na materiální smysly v</w:t>
      </w:r>
      <w:r w:rsidR="08BF4003">
        <w:t> </w:t>
      </w:r>
      <w:r w:rsidR="08BF4003" w:rsidRPr="00273106">
        <w:t>těle</w:t>
      </w:r>
      <w:r w:rsidR="08BF4003">
        <w:t xml:space="preserve"> </w:t>
      </w:r>
      <w:r w:rsidR="08BF4003" w:rsidRPr="00273106">
        <w:t>(</w:t>
      </w:r>
      <w:r w:rsidR="08BF4003" w:rsidRPr="00273106">
        <w:rPr>
          <w:i/>
        </w:rPr>
        <w:t>intellectus qui est separabilis a corpore</w:t>
      </w:r>
      <w:r w:rsidR="08BF4003" w:rsidRPr="00273106">
        <w:t>).</w:t>
      </w:r>
      <w:r w:rsidR="08BF4003" w:rsidRPr="00273106">
        <w:rPr>
          <w:rStyle w:val="Znakapoznpodarou"/>
        </w:rPr>
        <w:footnoteReference w:id="151"/>
      </w:r>
      <w:r w:rsidR="08BF4003" w:rsidRPr="00273106">
        <w:t xml:space="preserve"> </w:t>
      </w:r>
      <w:r w:rsidR="08BF4003">
        <w:t xml:space="preserve">Klíčová definice intelektu v aristotelském modu </w:t>
      </w:r>
      <w:r w:rsidR="08BF4003" w:rsidRPr="08BF4003">
        <w:rPr>
          <w:i/>
        </w:rPr>
        <w:t>separabilis</w:t>
      </w:r>
      <w:r w:rsidR="08BF4003">
        <w:t xml:space="preserve"> a ne neoplatonském </w:t>
      </w:r>
      <w:r w:rsidR="08BF4003" w:rsidRPr="08BF4003">
        <w:rPr>
          <w:i/>
        </w:rPr>
        <w:t>separatus</w:t>
      </w:r>
      <w:r w:rsidR="08BF4003">
        <w:t xml:space="preserve"> jasně ukazuje na perfektní znalost CMDA, kde tento druh intelektu vystupuje v modu </w:t>
      </w:r>
      <w:r w:rsidR="08BF4003" w:rsidRPr="08BF4003">
        <w:rPr>
          <w:i/>
        </w:rPr>
        <w:t xml:space="preserve">tertium </w:t>
      </w:r>
      <w:r w:rsidR="00B1298A">
        <w:rPr>
          <w:i/>
        </w:rPr>
        <w:t>genus</w:t>
      </w:r>
      <w:r w:rsidR="08BF4003">
        <w:t xml:space="preserve">. </w:t>
      </w:r>
      <w:r w:rsidR="08E100B3">
        <w:t>Citát podle CMDA výslovně připomíná, že porovnání inteelktu a světla je jen v modu podobnosti, protože sv</w:t>
      </w:r>
      <w:r w:rsidR="08860D1C">
        <w:t>ě</w:t>
      </w:r>
      <w:r w:rsidR="08E100B3">
        <w:t>tlo je odděleno od</w:t>
      </w:r>
      <w:r w:rsidR="08860D1C">
        <w:t xml:space="preserve"> aktu vidění, ale činný intelekt</w:t>
      </w:r>
      <w:r w:rsidR="08E100B3">
        <w:t xml:space="preserve"> nelze oddělit od aktu tělesného bytí duše (</w:t>
      </w:r>
      <w:r w:rsidR="08E100B3" w:rsidRPr="08E100B3">
        <w:rPr>
          <w:i/>
        </w:rPr>
        <w:t>lux est separata a substantia visus, intellectus autem agens non est separatus a substantia anime</w:t>
      </w:r>
      <w:r w:rsidR="08E100B3">
        <w:t xml:space="preserve">). </w:t>
      </w:r>
      <w:r w:rsidR="00D862B6">
        <w:t xml:space="preserve">Citace v poznámce </w:t>
      </w:r>
      <w:r w:rsidR="003D1434" w:rsidRPr="00273106">
        <w:t>shrnuje předešlé pojednán</w:t>
      </w:r>
      <w:r w:rsidR="00054E77" w:rsidRPr="00273106">
        <w:t>í o recepci světla a poznání. E</w:t>
      </w:r>
      <w:r w:rsidR="003D1434" w:rsidRPr="00273106">
        <w:t xml:space="preserve">xistují dvě </w:t>
      </w:r>
      <w:r w:rsidR="08B17DEA">
        <w:t xml:space="preserve">schopnosti </w:t>
      </w:r>
      <w:r w:rsidR="00054E77" w:rsidRPr="00273106">
        <w:t>jednoho a téhož intelektu</w:t>
      </w:r>
      <w:r w:rsidR="0044272F" w:rsidRPr="00273106">
        <w:t>,</w:t>
      </w:r>
      <w:r w:rsidR="00054E77" w:rsidRPr="00273106">
        <w:t xml:space="preserve"> jedna pasivní a jedna aktivní</w:t>
      </w:r>
      <w:r w:rsidR="00A568EF">
        <w:t xml:space="preserve"> (</w:t>
      </w:r>
      <w:r w:rsidR="00A568EF" w:rsidRPr="00A568EF">
        <w:rPr>
          <w:i/>
        </w:rPr>
        <w:t xml:space="preserve">post </w:t>
      </w:r>
      <w:r w:rsidR="00A568EF" w:rsidRPr="00592FB8">
        <w:rPr>
          <w:i/>
        </w:rPr>
        <w:t xml:space="preserve">hanc </w:t>
      </w:r>
      <w:r w:rsidR="00A568EF" w:rsidRPr="00A568EF">
        <w:rPr>
          <w:i/>
        </w:rPr>
        <w:t xml:space="preserve">virtutem </w:t>
      </w:r>
      <w:r w:rsidR="00A568EF" w:rsidRPr="00592FB8">
        <w:rPr>
          <w:i/>
        </w:rPr>
        <w:t xml:space="preserve">est </w:t>
      </w:r>
      <w:r w:rsidR="00A568EF" w:rsidRPr="00A568EF">
        <w:rPr>
          <w:i/>
        </w:rPr>
        <w:t>intellectus</w:t>
      </w:r>
      <w:r w:rsidR="00A568EF">
        <w:t>...</w:t>
      </w:r>
      <w:r w:rsidR="00A568EF" w:rsidRPr="00A568EF">
        <w:rPr>
          <w:i/>
        </w:rPr>
        <w:t>agens et possibilis</w:t>
      </w:r>
      <w:r w:rsidR="00A568EF">
        <w:t>)</w:t>
      </w:r>
      <w:r w:rsidR="00054E77" w:rsidRPr="00273106">
        <w:t xml:space="preserve">. Navíc máme dvě sféry poznání, materiální a nemateriální. Proto </w:t>
      </w:r>
      <w:r w:rsidR="0044272F" w:rsidRPr="00273106">
        <w:t>potřebu</w:t>
      </w:r>
      <w:r w:rsidR="002F3C47" w:rsidRPr="00273106">
        <w:t>jeme dva intencionální akty</w:t>
      </w:r>
      <w:r w:rsidR="000B6A7B">
        <w:t xml:space="preserve"> a </w:t>
      </w:r>
      <w:r w:rsidR="002F3C47" w:rsidRPr="00273106">
        <w:t>dva druhy syntézy vedoucí k výsled</w:t>
      </w:r>
      <w:r w:rsidR="0044272F" w:rsidRPr="00273106">
        <w:t>ném</w:t>
      </w:r>
      <w:r w:rsidR="002F3C47" w:rsidRPr="00273106">
        <w:t>u</w:t>
      </w:r>
      <w:r w:rsidR="0044272F" w:rsidRPr="00273106">
        <w:t xml:space="preserve"> nemateriálnímu poznatku</w:t>
      </w:r>
      <w:r w:rsidR="005150FB" w:rsidRPr="00273106">
        <w:t xml:space="preserve"> danému v</w:t>
      </w:r>
      <w:r w:rsidR="007A3894">
        <w:t> </w:t>
      </w:r>
      <w:r w:rsidR="005150FB" w:rsidRPr="00273106">
        <w:t>duši</w:t>
      </w:r>
      <w:r w:rsidR="007A3894">
        <w:t xml:space="preserve"> reálné osoby</w:t>
      </w:r>
      <w:r w:rsidR="0044272F" w:rsidRPr="00273106">
        <w:t xml:space="preserve">. </w:t>
      </w:r>
      <w:r w:rsidR="08143994">
        <w:t xml:space="preserve">Nemá žádný smysl, aby se </w:t>
      </w:r>
      <w:r w:rsidR="086C3AC3">
        <w:t>z</w:t>
      </w:r>
      <w:r w:rsidR="08143994">
        <w:t>aváděla</w:t>
      </w:r>
      <w:r w:rsidR="0044272F" w:rsidRPr="00273106">
        <w:t xml:space="preserve"> </w:t>
      </w:r>
      <w:r w:rsidR="08143994">
        <w:t>vnější účinná příčina</w:t>
      </w:r>
      <w:r w:rsidR="08143994" w:rsidRPr="00273106">
        <w:t xml:space="preserve"> </w:t>
      </w:r>
      <w:r w:rsidR="0044272F" w:rsidRPr="00273106">
        <w:t xml:space="preserve">do přirozeného procesu poznání zdůvodněného filosofickými velikány jako </w:t>
      </w:r>
      <w:r w:rsidR="008E02F5">
        <w:t>Aristoteles</w:t>
      </w:r>
      <w:r w:rsidR="0044272F" w:rsidRPr="00273106">
        <w:t xml:space="preserve"> a</w:t>
      </w:r>
      <w:r w:rsidR="08E12B83">
        <w:t xml:space="preserve"> jeho Komentátor</w:t>
      </w:r>
      <w:r w:rsidR="0044272F" w:rsidRPr="00273106">
        <w:t xml:space="preserve"> </w:t>
      </w:r>
      <w:r w:rsidR="007275AA">
        <w:t>(</w:t>
      </w:r>
      <w:r w:rsidR="007275AA" w:rsidRPr="007275AA">
        <w:rPr>
          <w:i/>
        </w:rPr>
        <w:t>non est necessarium illuminatione substantie separate</w:t>
      </w:r>
      <w:r w:rsidR="007275AA">
        <w:t>)</w:t>
      </w:r>
      <w:r w:rsidR="00AA4E42" w:rsidRPr="00273106">
        <w:t xml:space="preserve">. </w:t>
      </w:r>
      <w:r w:rsidR="086C3AC3">
        <w:t>Opět jde o stejné použití Ockhamovy břitvy</w:t>
      </w:r>
      <w:r w:rsidR="086C3AC3">
        <w:fldChar w:fldCharType="begin"/>
      </w:r>
      <w:r w:rsidR="086C3AC3">
        <w:instrText xml:space="preserve"> XE "</w:instrText>
      </w:r>
      <w:r w:rsidR="08860B6F">
        <w:instrText>Ockhamov</w:instrText>
      </w:r>
      <w:r w:rsidR="086C3AC3" w:rsidRPr="08811A9B">
        <w:instrText>a břitva</w:instrText>
      </w:r>
      <w:r w:rsidR="086C3AC3">
        <w:instrText xml:space="preserve">" </w:instrText>
      </w:r>
      <w:r w:rsidR="086C3AC3">
        <w:fldChar w:fldCharType="end"/>
      </w:r>
      <w:r w:rsidR="086C3AC3">
        <w:t xml:space="preserve"> jako v předešlém </w:t>
      </w:r>
      <w:r w:rsidR="08657B32">
        <w:t xml:space="preserve">anonymním </w:t>
      </w:r>
      <w:r w:rsidR="086C3AC3">
        <w:t>spise</w:t>
      </w:r>
      <w:r w:rsidR="08657B32">
        <w:t xml:space="preserve"> o schopnostech duše</w:t>
      </w:r>
      <w:r w:rsidR="086C3AC3">
        <w:t xml:space="preserve">. </w:t>
      </w:r>
      <w:r w:rsidR="007D7DCD" w:rsidRPr="00273106">
        <w:t>Dualismus poznání není v</w:t>
      </w:r>
      <w:r w:rsidR="00B83432" w:rsidRPr="00273106">
        <w:t xml:space="preserve">nější, ale vnitřní, </w:t>
      </w:r>
      <w:r w:rsidR="00ED06BF">
        <w:t xml:space="preserve">mezi dvěma schopnostmi duše, </w:t>
      </w:r>
      <w:r w:rsidR="007275AA">
        <w:t>a činný intelekt</w:t>
      </w:r>
      <w:r w:rsidR="08EE57E7">
        <w:rPr>
          <w:i/>
        </w:rPr>
        <w:fldChar w:fldCharType="begin"/>
      </w:r>
      <w:r w:rsidR="08EE57E7">
        <w:instrText xml:space="preserve"> XE "</w:instrText>
      </w:r>
      <w:r w:rsidR="08EE57E7" w:rsidRPr="00490D32">
        <w:rPr>
          <w:i/>
        </w:rPr>
        <w:instrText>intellectus agens</w:instrText>
      </w:r>
      <w:r w:rsidR="08EE57E7" w:rsidRPr="00CE65E8">
        <w:instrText>:první averroismus</w:instrText>
      </w:r>
      <w:r w:rsidR="08EE57E7">
        <w:instrText xml:space="preserve">" </w:instrText>
      </w:r>
      <w:r w:rsidR="08EE57E7">
        <w:rPr>
          <w:i/>
        </w:rPr>
        <w:fldChar w:fldCharType="end"/>
      </w:r>
      <w:r w:rsidR="007275AA">
        <w:t xml:space="preserve"> je v duši (</w:t>
      </w:r>
      <w:r w:rsidR="007275AA" w:rsidRPr="007275AA">
        <w:rPr>
          <w:i/>
        </w:rPr>
        <w:t>intellectus agens, qui est lumen interius</w:t>
      </w:r>
      <w:r w:rsidR="007275AA">
        <w:t>)</w:t>
      </w:r>
      <w:r w:rsidR="00B83432" w:rsidRPr="00273106">
        <w:t>.</w:t>
      </w:r>
      <w:r w:rsidR="00E74860">
        <w:rPr>
          <w:rStyle w:val="Znakapoznpodarou"/>
        </w:rPr>
        <w:footnoteReference w:id="152"/>
      </w:r>
      <w:r w:rsidR="00B83432" w:rsidRPr="00273106">
        <w:t xml:space="preserve"> </w:t>
      </w:r>
      <w:r w:rsidR="00013E11" w:rsidRPr="00273106">
        <w:t xml:space="preserve">Duše </w:t>
      </w:r>
      <w:r w:rsidR="00B20A30">
        <w:t xml:space="preserve">poznává pasivně a </w:t>
      </w:r>
      <w:r w:rsidR="007D7DCD" w:rsidRPr="00273106">
        <w:t>aktivn</w:t>
      </w:r>
      <w:r w:rsidR="00B20A30">
        <w:t>ě, smyslově a intelektuálně</w:t>
      </w:r>
      <w:r w:rsidR="00DD0501" w:rsidRPr="00273106">
        <w:t xml:space="preserve">. Proto je </w:t>
      </w:r>
      <w:r w:rsidR="007D7DCD" w:rsidRPr="00273106">
        <w:t xml:space="preserve">výsledkem </w:t>
      </w:r>
      <w:r w:rsidR="00DD0501" w:rsidRPr="00273106">
        <w:lastRenderedPageBreak/>
        <w:t xml:space="preserve">činnosti tohoto jednoho </w:t>
      </w:r>
      <w:r w:rsidR="00DD0501" w:rsidRPr="00273106">
        <w:rPr>
          <w:i/>
        </w:rPr>
        <w:t>actus essendi</w:t>
      </w:r>
      <w:r w:rsidR="000A2302">
        <w:rPr>
          <w:i/>
        </w:rPr>
        <w:fldChar w:fldCharType="begin"/>
      </w:r>
      <w:r w:rsidR="000A2302">
        <w:instrText xml:space="preserve"> XE "</w:instrText>
      </w:r>
      <w:r w:rsidR="000A2302" w:rsidRPr="006D3950">
        <w:rPr>
          <w:i/>
        </w:rPr>
        <w:instrText>actus essendi</w:instrText>
      </w:r>
      <w:r w:rsidR="000A2302">
        <w:instrText xml:space="preserve">" </w:instrText>
      </w:r>
      <w:r w:rsidR="000A2302">
        <w:rPr>
          <w:i/>
        </w:rPr>
        <w:fldChar w:fldCharType="end"/>
      </w:r>
      <w:r w:rsidR="00DD0501" w:rsidRPr="00273106">
        <w:t xml:space="preserve"> vázaného na bytí duše </w:t>
      </w:r>
      <w:r w:rsidR="0032175D">
        <w:t xml:space="preserve">osobní </w:t>
      </w:r>
      <w:r w:rsidR="007D7DCD" w:rsidRPr="00273106">
        <w:t xml:space="preserve">intelekt jako virtus této duše a nemateriální inteligibilní </w:t>
      </w:r>
      <w:r w:rsidR="006A04C6" w:rsidRPr="006A04C6">
        <w:t>species</w:t>
      </w:r>
      <w:r w:rsidR="007D7DCD" w:rsidRPr="00273106">
        <w:t xml:space="preserve"> dané v procesu </w:t>
      </w:r>
      <w:r w:rsidR="0032175D">
        <w:t xml:space="preserve">osobního </w:t>
      </w:r>
      <w:r w:rsidR="007D7DCD" w:rsidRPr="00273106">
        <w:t>poznání</w:t>
      </w:r>
      <w:r w:rsidR="00927A02">
        <w:t xml:space="preserve">. Výkon poznání </w:t>
      </w:r>
      <w:r w:rsidR="00157CB6" w:rsidRPr="00273106">
        <w:t>má několik stupňů, ale jen jeden hylemorfický substrát (</w:t>
      </w:r>
      <w:r w:rsidR="00157CB6" w:rsidRPr="00273106">
        <w:rPr>
          <w:i/>
        </w:rPr>
        <w:t>subiectum</w:t>
      </w:r>
      <w:r w:rsidR="004C27BA">
        <w:rPr>
          <w:i/>
        </w:rPr>
        <w:fldChar w:fldCharType="begin"/>
      </w:r>
      <w:r w:rsidR="004C27BA">
        <w:instrText xml:space="preserve"> XE "</w:instrText>
      </w:r>
      <w:r w:rsidR="004C27BA" w:rsidRPr="00360013">
        <w:rPr>
          <w:i/>
        </w:rPr>
        <w:instrText>subiectum</w:instrText>
      </w:r>
      <w:r w:rsidR="004C27BA" w:rsidRPr="00CE65E8">
        <w:instrText>:</w:instrText>
      </w:r>
      <w:r w:rsidR="00CE65E8" w:rsidRPr="00CE65E8">
        <w:instrText>první averroismus</w:instrText>
      </w:r>
      <w:r w:rsidR="004C27BA">
        <w:instrText xml:space="preserve">" </w:instrText>
      </w:r>
      <w:r w:rsidR="004C27BA">
        <w:rPr>
          <w:i/>
        </w:rPr>
        <w:fldChar w:fldCharType="end"/>
      </w:r>
      <w:r w:rsidR="00157CB6" w:rsidRPr="00273106">
        <w:t>)</w:t>
      </w:r>
      <w:r w:rsidR="007D7DCD" w:rsidRPr="00273106">
        <w:t xml:space="preserve">. </w:t>
      </w:r>
      <w:r w:rsidR="00B90AE3">
        <w:t>N</w:t>
      </w:r>
      <w:r w:rsidR="0044272F" w:rsidRPr="00273106">
        <w:t>ásleduj</w:t>
      </w:r>
      <w:r w:rsidR="007D7DCD" w:rsidRPr="00273106">
        <w:t>í</w:t>
      </w:r>
      <w:r w:rsidR="0075554D" w:rsidRPr="00273106">
        <w:t xml:space="preserve">cí věta </w:t>
      </w:r>
      <w:r w:rsidR="004539F4" w:rsidRPr="00273106">
        <w:t xml:space="preserve">kritizuje </w:t>
      </w:r>
      <w:r w:rsidR="0044272F" w:rsidRPr="00273106">
        <w:t>skupin</w:t>
      </w:r>
      <w:r w:rsidR="004539F4" w:rsidRPr="00273106">
        <w:t>u</w:t>
      </w:r>
      <w:r w:rsidR="0044272F" w:rsidRPr="00273106">
        <w:t xml:space="preserve"> </w:t>
      </w:r>
      <w:r w:rsidR="00874074">
        <w:t>neoplatonsk</w:t>
      </w:r>
      <w:r w:rsidR="0044272F" w:rsidRPr="00273106">
        <w:t>ých filosofů</w:t>
      </w:r>
      <w:r w:rsidR="08CA541C">
        <w:t xml:space="preserve"> (</w:t>
      </w:r>
      <w:r w:rsidR="08CA541C" w:rsidRPr="08CA541C">
        <w:rPr>
          <w:i/>
        </w:rPr>
        <w:t>quidam philosophorum</w:t>
      </w:r>
      <w:r w:rsidR="08CA541C">
        <w:t>)</w:t>
      </w:r>
      <w:r w:rsidR="007D7DCD" w:rsidRPr="00273106">
        <w:t>, kteří formují proces poznání podle metafory intelektu jako slunce</w:t>
      </w:r>
      <w:r w:rsidR="00CE65E8">
        <w:fldChar w:fldCharType="begin"/>
      </w:r>
      <w:r w:rsidR="00CE65E8">
        <w:instrText xml:space="preserve"> XE "</w:instrText>
      </w:r>
      <w:r w:rsidR="00CE65E8" w:rsidRPr="00C54C77">
        <w:instrText>intelekt-slunce</w:instrText>
      </w:r>
      <w:r w:rsidR="00CE65E8">
        <w:instrText xml:space="preserve">" </w:instrText>
      </w:r>
      <w:r w:rsidR="00CE65E8">
        <w:fldChar w:fldCharType="end"/>
      </w:r>
      <w:r w:rsidR="007D7DCD" w:rsidRPr="00273106">
        <w:t>.</w:t>
      </w:r>
      <w:r w:rsidR="00BD11AB" w:rsidRPr="00273106">
        <w:rPr>
          <w:rStyle w:val="Znakapoznpodarou"/>
        </w:rPr>
        <w:footnoteReference w:id="153"/>
      </w:r>
      <w:r w:rsidR="00BD11AB" w:rsidRPr="00273106">
        <w:t xml:space="preserve"> </w:t>
      </w:r>
      <w:r w:rsidR="00C83910" w:rsidRPr="00273106">
        <w:t xml:space="preserve">Neoplatonici pojali s odkazem na </w:t>
      </w:r>
      <w:r w:rsidR="002E3B62">
        <w:t>Averroes</w:t>
      </w:r>
      <w:r w:rsidR="00C83910" w:rsidRPr="00273106">
        <w:t xml:space="preserve">e </w:t>
      </w:r>
      <w:r w:rsidR="00C83910" w:rsidRPr="00273106">
        <w:rPr>
          <w:i/>
        </w:rPr>
        <w:t>intellectus possibilis</w:t>
      </w:r>
      <w:r w:rsidR="0832504D">
        <w:t xml:space="preserve"> jako potenci</w:t>
      </w:r>
      <w:r w:rsidR="084C7B03">
        <w:t xml:space="preserve">, která přijímá </w:t>
      </w:r>
      <w:r w:rsidR="00C83910" w:rsidRPr="00273106">
        <w:t xml:space="preserve">autonomní formy dané v odděleném </w:t>
      </w:r>
      <w:r w:rsidR="00C83910" w:rsidRPr="00273106">
        <w:rPr>
          <w:i/>
        </w:rPr>
        <w:t>intellectus agens</w:t>
      </w:r>
      <w:r w:rsidR="00C83910" w:rsidRPr="00273106">
        <w:t>. Činný intelekt-slunce tyto formy aktivně vyzařuje do receptivního intelektu (</w:t>
      </w:r>
      <w:r w:rsidR="00C83910" w:rsidRPr="00273106">
        <w:rPr>
          <w:i/>
        </w:rPr>
        <w:t>per irradiationem sui super possibilem fieri intellectum possibilem in effectu</w:t>
      </w:r>
      <w:r w:rsidR="00C83910" w:rsidRPr="00273106">
        <w:t>).</w:t>
      </w:r>
      <w:r w:rsidR="00C83910">
        <w:t xml:space="preserve"> </w:t>
      </w:r>
      <w:r w:rsidR="00E07FF8" w:rsidRPr="00273106">
        <w:t>Jak dále uvidíme, stejnou sku</w:t>
      </w:r>
      <w:r w:rsidR="002475BD" w:rsidRPr="00273106">
        <w:t xml:space="preserve">pinu </w:t>
      </w:r>
      <w:r w:rsidR="086E3A3B">
        <w:t xml:space="preserve">avicennistů </w:t>
      </w:r>
      <w:r w:rsidR="00E07FF8" w:rsidRPr="00273106">
        <w:t xml:space="preserve">kritizuje biskup Alvernus </w:t>
      </w:r>
      <w:r w:rsidR="08283976">
        <w:t xml:space="preserve">jako </w:t>
      </w:r>
      <w:r w:rsidR="08763133">
        <w:rPr>
          <w:rFonts w:cs="Brill-Roman"/>
        </w:rPr>
        <w:t>filosof</w:t>
      </w:r>
      <w:r w:rsidR="08283976">
        <w:rPr>
          <w:rFonts w:cs="Brill-Roman"/>
        </w:rPr>
        <w:t>y</w:t>
      </w:r>
      <w:r w:rsidR="00E07FF8" w:rsidRPr="00273106">
        <w:rPr>
          <w:rFonts w:cs="Brill-Roman"/>
        </w:rPr>
        <w:t xml:space="preserve"> následující Aristotela (</w:t>
      </w:r>
      <w:r w:rsidR="00E07FF8" w:rsidRPr="00273106">
        <w:rPr>
          <w:rFonts w:cs="Brill-Roman"/>
          <w:i/>
        </w:rPr>
        <w:t>philosophi sequaces Aristotelis</w:t>
      </w:r>
      <w:r w:rsidR="00E07FF8" w:rsidRPr="00273106">
        <w:rPr>
          <w:rFonts w:cs="Brill-Roman"/>
        </w:rPr>
        <w:t xml:space="preserve">). </w:t>
      </w:r>
      <w:r w:rsidR="002475BD" w:rsidRPr="00273106">
        <w:rPr>
          <w:rFonts w:cs="Brill-Roman"/>
        </w:rPr>
        <w:t xml:space="preserve">Z této skupiny je </w:t>
      </w:r>
      <w:r w:rsidR="002475BD" w:rsidRPr="00273106">
        <w:t xml:space="preserve">zcela pochopitelně vyňat </w:t>
      </w:r>
      <w:r w:rsidR="002E3B62">
        <w:t>Averroes</w:t>
      </w:r>
      <w:r w:rsidR="002475BD" w:rsidRPr="00273106">
        <w:t xml:space="preserve"> jako eminentní aristotelik.</w:t>
      </w:r>
      <w:r w:rsidR="00E07FF8" w:rsidRPr="00273106">
        <w:t xml:space="preserve"> </w:t>
      </w:r>
      <w:r w:rsidR="00185E20" w:rsidRPr="00273106">
        <w:t xml:space="preserve">Anonym </w:t>
      </w:r>
      <w:r w:rsidR="0024404B">
        <w:t>je teolog, proto d</w:t>
      </w:r>
      <w:r w:rsidR="00185E20" w:rsidRPr="00273106">
        <w:t>rží pojetí dvojí</w:t>
      </w:r>
      <w:r w:rsidR="000E5301">
        <w:t>ho poznání a dvojí cesty</w:t>
      </w:r>
      <w:r w:rsidR="00185E20" w:rsidRPr="00273106">
        <w:t>: filosofické a</w:t>
      </w:r>
      <w:r w:rsidR="00A773E2" w:rsidRPr="00273106">
        <w:t xml:space="preserve"> mystické</w:t>
      </w:r>
      <w:r w:rsidR="00185E20" w:rsidRPr="00273106">
        <w:t xml:space="preserve">. </w:t>
      </w:r>
      <w:r w:rsidR="00A63E83" w:rsidRPr="00273106">
        <w:t xml:space="preserve">Tím </w:t>
      </w:r>
      <w:r w:rsidR="003C7B60" w:rsidRPr="00273106">
        <w:t xml:space="preserve">navázal na </w:t>
      </w:r>
      <w:r w:rsidR="003A3200" w:rsidRPr="00273106">
        <w:t xml:space="preserve">výše citovaného </w:t>
      </w:r>
      <w:r w:rsidR="0024404B">
        <w:t xml:space="preserve">filosofa </w:t>
      </w:r>
      <w:r w:rsidR="00A63E83" w:rsidRPr="00273106">
        <w:t>Blunda</w:t>
      </w:r>
      <w:r w:rsidR="003A3200" w:rsidRPr="00273106">
        <w:t xml:space="preserve"> </w:t>
      </w:r>
      <w:r w:rsidR="00E62720">
        <w:t xml:space="preserve">a jeho školu </w:t>
      </w:r>
      <w:r w:rsidR="08860B6F">
        <w:t>(kap. 2</w:t>
      </w:r>
      <w:r w:rsidR="003A3200" w:rsidRPr="00273106">
        <w:t>.1)</w:t>
      </w:r>
      <w:r w:rsidR="00A63E83" w:rsidRPr="00273106">
        <w:t xml:space="preserve">. </w:t>
      </w:r>
      <w:r w:rsidR="00E62720">
        <w:t>A</w:t>
      </w:r>
      <w:r w:rsidR="00185E20" w:rsidRPr="00273106">
        <w:t xml:space="preserve">ktivní část intelektu </w:t>
      </w:r>
      <w:r w:rsidR="00E62720">
        <w:t xml:space="preserve">je </w:t>
      </w:r>
      <w:r w:rsidR="00185E20" w:rsidRPr="00273106">
        <w:t>plně integrována do individuální duše jako jedna z jejich schopností</w:t>
      </w:r>
      <w:r w:rsidR="003E36FD" w:rsidRPr="00273106">
        <w:t xml:space="preserve"> a o</w:t>
      </w:r>
      <w:r w:rsidR="00185E20" w:rsidRPr="00273106">
        <w:t xml:space="preserve">ddělený činný intelekt je pro poznání světa naprosto </w:t>
      </w:r>
      <w:r w:rsidR="005A1EC9" w:rsidRPr="00273106">
        <w:t>zbytečný.</w:t>
      </w:r>
      <w:r w:rsidR="00E96B76">
        <w:t xml:space="preserve"> </w:t>
      </w:r>
      <w:r w:rsidR="00E62720">
        <w:t>Proto existuje mimo sféru lidského poznání jako samostatná</w:t>
      </w:r>
      <w:r w:rsidR="00132ACF">
        <w:t xml:space="preserve"> kosmická forma či inteligence.</w:t>
      </w:r>
      <w:r w:rsidR="08D50A5E">
        <w:t xml:space="preserve"> </w:t>
      </w:r>
      <w:r w:rsidR="008003E4">
        <w:t xml:space="preserve">Spor o oddělený </w:t>
      </w:r>
      <w:r w:rsidR="008003E4" w:rsidRPr="008003E4">
        <w:rPr>
          <w:i/>
        </w:rPr>
        <w:t>intellectus agens</w:t>
      </w:r>
      <w:r w:rsidR="008003E4">
        <w:t xml:space="preserve"> tvoří hlavní důvod</w:t>
      </w:r>
      <w:r w:rsidR="00E96B76">
        <w:t xml:space="preserve">, proč </w:t>
      </w:r>
      <w:r w:rsidR="00B84198">
        <w:rPr>
          <w:lang w:eastAsia="x-none"/>
        </w:rPr>
        <w:t xml:space="preserve">Daniel </w:t>
      </w:r>
      <w:r w:rsidR="00B84198">
        <w:t>Callus vyřadil</w:t>
      </w:r>
      <w:r w:rsidR="00E96B76">
        <w:t xml:space="preserve"> biskupa Alverna jako možného autora spisu, i když proto svědčí přímé poznámky v různých rukopisech</w:t>
      </w:r>
      <w:r w:rsidR="00065E93">
        <w:t>.</w:t>
      </w:r>
      <w:r w:rsidR="009706F0" w:rsidRPr="00273106">
        <w:rPr>
          <w:rStyle w:val="Znakapoznpodarou"/>
        </w:rPr>
        <w:footnoteReference w:id="154"/>
      </w:r>
      <w:r w:rsidR="009706F0" w:rsidRPr="00273106">
        <w:t xml:space="preserve"> </w:t>
      </w:r>
      <w:r w:rsidR="00065E93">
        <w:t xml:space="preserve"> A </w:t>
      </w:r>
      <w:r w:rsidR="00E96B76">
        <w:t xml:space="preserve">klíčový </w:t>
      </w:r>
      <w:r w:rsidR="00854641">
        <w:t xml:space="preserve">rukopis z </w:t>
      </w:r>
      <w:r w:rsidR="00E96B76">
        <w:t xml:space="preserve">knihovny Balliol </w:t>
      </w:r>
      <w:r w:rsidR="00854641">
        <w:t xml:space="preserve">je </w:t>
      </w:r>
      <w:r w:rsidR="00FF4D61">
        <w:t xml:space="preserve">obsažen </w:t>
      </w:r>
      <w:r w:rsidR="00854641">
        <w:t>v konvolutu spisů</w:t>
      </w:r>
      <w:r w:rsidR="00E96B76">
        <w:t xml:space="preserve"> Alverna.</w:t>
      </w:r>
      <w:r w:rsidR="009706F0">
        <w:t xml:space="preserve"> </w:t>
      </w:r>
      <w:r w:rsidR="00367F7B">
        <w:t xml:space="preserve">Hermeneutika </w:t>
      </w:r>
      <w:r w:rsidR="009706F0">
        <w:t xml:space="preserve">naopak jasně ukazuje, že </w:t>
      </w:r>
      <w:r w:rsidR="00736734">
        <w:t>Alvern</w:t>
      </w:r>
      <w:r w:rsidR="009706F0">
        <w:t xml:space="preserve">ovo </w:t>
      </w:r>
      <w:r w:rsidR="00367F7B">
        <w:t xml:space="preserve">pojetí </w:t>
      </w:r>
      <w:r w:rsidR="00367F7B" w:rsidRPr="00367F7B">
        <w:rPr>
          <w:i/>
        </w:rPr>
        <w:t>intellectus agens</w:t>
      </w:r>
      <w:r w:rsidR="00DF1F0F">
        <w:rPr>
          <w:i/>
        </w:rPr>
        <w:fldChar w:fldCharType="begin"/>
      </w:r>
      <w:r w:rsidR="00DF1F0F">
        <w:instrText xml:space="preserve"> XE "</w:instrText>
      </w:r>
      <w:r w:rsidR="00DF1F0F" w:rsidRPr="00490D32">
        <w:rPr>
          <w:i/>
        </w:rPr>
        <w:instrText>intellectus agens:</w:instrText>
      </w:r>
      <w:r w:rsidR="00FB7A1C" w:rsidRPr="00FB7A1C">
        <w:instrText>Alvernus</w:instrText>
      </w:r>
      <w:r w:rsidR="00DF1F0F">
        <w:instrText xml:space="preserve">" </w:instrText>
      </w:r>
      <w:r w:rsidR="00DF1F0F">
        <w:rPr>
          <w:i/>
        </w:rPr>
        <w:fldChar w:fldCharType="end"/>
      </w:r>
      <w:r w:rsidR="007A6CB7">
        <w:t xml:space="preserve"> u člověka a u</w:t>
      </w:r>
      <w:r w:rsidR="00367F7B">
        <w:t xml:space="preserve"> kosmických inteligencí </w:t>
      </w:r>
      <w:r w:rsidR="007A6CB7">
        <w:t>je zásadně od</w:t>
      </w:r>
      <w:r w:rsidR="009706F0">
        <w:t>lišné</w:t>
      </w:r>
      <w:r w:rsidR="00736734">
        <w:t xml:space="preserve">, </w:t>
      </w:r>
      <w:r w:rsidR="009706F0">
        <w:t xml:space="preserve">což je pozice daná v </w:t>
      </w:r>
      <w:r w:rsidR="00736734">
        <w:t xml:space="preserve">tomto spise. </w:t>
      </w:r>
      <w:r w:rsidR="007B0019">
        <w:t>Roz</w:t>
      </w:r>
      <w:r w:rsidR="00C96618">
        <w:t xml:space="preserve">díl mezi oběma formami </w:t>
      </w:r>
      <w:r w:rsidR="001736E8">
        <w:t xml:space="preserve">činného intelektu </w:t>
      </w:r>
      <w:r w:rsidR="00C96618">
        <w:t>je naprosto zásadní</w:t>
      </w:r>
      <w:r w:rsidR="00C14E66">
        <w:t>: jeden</w:t>
      </w:r>
      <w:r w:rsidR="082E0235" w:rsidRPr="082E0235">
        <w:rPr>
          <w:i/>
        </w:rPr>
        <w:t xml:space="preserve"> </w:t>
      </w:r>
      <w:r w:rsidR="082E0235" w:rsidRPr="00367F7B">
        <w:rPr>
          <w:i/>
        </w:rPr>
        <w:t>intellectus agens</w:t>
      </w:r>
      <w:r w:rsidR="082E0235">
        <w:rPr>
          <w:i/>
        </w:rPr>
        <w:fldChar w:fldCharType="begin"/>
      </w:r>
      <w:r w:rsidR="082E0235">
        <w:instrText xml:space="preserve"> XE "</w:instrText>
      </w:r>
      <w:r w:rsidR="082E0235" w:rsidRPr="00490D32">
        <w:rPr>
          <w:i/>
        </w:rPr>
        <w:instrText>intellectus agens:</w:instrText>
      </w:r>
      <w:r w:rsidR="082E0235" w:rsidRPr="00FB7A1C">
        <w:instrText>Alvernus</w:instrText>
      </w:r>
      <w:r w:rsidR="082E0235">
        <w:instrText xml:space="preserve">" </w:instrText>
      </w:r>
      <w:r w:rsidR="082E0235">
        <w:rPr>
          <w:i/>
        </w:rPr>
        <w:fldChar w:fldCharType="end"/>
      </w:r>
      <w:r w:rsidR="082E0235">
        <w:t xml:space="preserve"> </w:t>
      </w:r>
      <w:r w:rsidR="00C14E66">
        <w:t>je v těle</w:t>
      </w:r>
      <w:r w:rsidR="00C96618">
        <w:t xml:space="preserve"> </w:t>
      </w:r>
      <w:r w:rsidR="083E782F">
        <w:t xml:space="preserve">jako nemateriální schopnost duše </w:t>
      </w:r>
      <w:r w:rsidR="00C96618">
        <w:t>a</w:t>
      </w:r>
      <w:r w:rsidR="00C14E66">
        <w:t xml:space="preserve"> </w:t>
      </w:r>
      <w:r w:rsidR="00C96618">
        <w:t>druhý j</w:t>
      </w:r>
      <w:r w:rsidR="00132ACF">
        <w:t xml:space="preserve">e čistá nemateriální substance. Hermeneutika řadí spis </w:t>
      </w:r>
      <w:r w:rsidR="00132ACF" w:rsidRPr="00675E1E">
        <w:rPr>
          <w:i/>
        </w:rPr>
        <w:t>De potenciis animae et obiectis</w:t>
      </w:r>
      <w:r w:rsidR="00132ACF">
        <w:rPr>
          <w:i/>
        </w:rPr>
        <w:t xml:space="preserve"> </w:t>
      </w:r>
      <w:r w:rsidR="00132ACF" w:rsidRPr="00132ACF">
        <w:t xml:space="preserve">k datu vzniku </w:t>
      </w:r>
      <w:r w:rsidR="00132ACF" w:rsidRPr="00132ACF">
        <w:lastRenderedPageBreak/>
        <w:t xml:space="preserve">po roce 1230 právě proto, že ukazuje jasnou </w:t>
      </w:r>
      <w:r w:rsidR="00132ACF">
        <w:t xml:space="preserve">teologickou </w:t>
      </w:r>
      <w:r w:rsidR="00132ACF" w:rsidRPr="00132ACF">
        <w:t>polem</w:t>
      </w:r>
      <w:r w:rsidR="00132ACF">
        <w:t xml:space="preserve">iku s odděleným kosmickým </w:t>
      </w:r>
      <w:r w:rsidR="00132ACF" w:rsidRPr="00132ACF">
        <w:rPr>
          <w:i/>
        </w:rPr>
        <w:t>intellectus agens</w:t>
      </w:r>
      <w:r w:rsidR="009D70F9">
        <w:t xml:space="preserve">. Toto pojetí </w:t>
      </w:r>
      <w:r w:rsidR="00132ACF" w:rsidRPr="00132ACF">
        <w:t>hájila teologická škola</w:t>
      </w:r>
      <w:r w:rsidR="00132ACF">
        <w:t xml:space="preserve"> </w:t>
      </w:r>
      <w:r w:rsidR="009D70F9">
        <w:t xml:space="preserve">okolo roku </w:t>
      </w:r>
      <w:r w:rsidR="00132ACF">
        <w:t>1230 škola kolem Filipa K</w:t>
      </w:r>
      <w:r w:rsidR="00132ACF" w:rsidRPr="00132ACF">
        <w:t>ancléře</w:t>
      </w:r>
      <w:r w:rsidR="009D70F9">
        <w:t xml:space="preserve">, viz status činného intelektu </w:t>
      </w:r>
      <w:r w:rsidR="00132ACF" w:rsidRPr="00132ACF">
        <w:t xml:space="preserve">v díle </w:t>
      </w:r>
      <w:r w:rsidR="00132ACF">
        <w:rPr>
          <w:i/>
        </w:rPr>
        <w:t>Summa D</w:t>
      </w:r>
      <w:r w:rsidR="00132ACF" w:rsidRPr="00132ACF">
        <w:rPr>
          <w:i/>
        </w:rPr>
        <w:t>uacensis</w:t>
      </w:r>
      <w:r w:rsidR="00132ACF">
        <w:t xml:space="preserve">. </w:t>
      </w:r>
      <w:r w:rsidR="085969E7">
        <w:t>Biskup Alvernus pov</w:t>
      </w:r>
      <w:r w:rsidR="08667B34">
        <w:t>ažoval tuto nauku za heretickou, protože zrušila svobodnou vůli a jednotu osoby. J</w:t>
      </w:r>
      <w:r w:rsidR="085969E7">
        <w:t>ako kancléř Pařížské univerzity</w:t>
      </w:r>
      <w:r w:rsidR="00477966">
        <w:t xml:space="preserve"> oficiálně zakázal její šíření.</w:t>
      </w:r>
    </w:p>
    <w:p w14:paraId="3D0FA7A7" w14:textId="1C78090B" w:rsidR="000A4E96" w:rsidRDefault="00132ACF" w:rsidP="005E709A">
      <w:pPr>
        <w:ind w:firstLine="397"/>
      </w:pPr>
      <w:r>
        <w:t>První anonym</w:t>
      </w:r>
      <w:r w:rsidR="00477966">
        <w:t>ní spis</w:t>
      </w:r>
      <w:r>
        <w:t xml:space="preserve"> </w:t>
      </w:r>
      <w:r w:rsidR="089A1B6F">
        <w:rPr>
          <w:i/>
        </w:rPr>
        <w:t>De anima et de potenciis eius</w:t>
      </w:r>
      <w:r w:rsidR="0008633A">
        <w:t xml:space="preserve"> </w:t>
      </w:r>
      <w:r>
        <w:t xml:space="preserve">měl jasně filosofický charakter a bránil metafyzické dědictví </w:t>
      </w:r>
      <w:r w:rsidR="00477966">
        <w:rPr>
          <w:i/>
        </w:rPr>
        <w:t>Logic</w:t>
      </w:r>
      <w:r w:rsidRPr="00132ACF">
        <w:rPr>
          <w:i/>
        </w:rPr>
        <w:t>a Vetus</w:t>
      </w:r>
      <w:r w:rsidR="080271A5">
        <w:rPr>
          <w:i/>
        </w:rPr>
        <w:fldChar w:fldCharType="begin"/>
      </w:r>
      <w:r w:rsidR="080271A5">
        <w:instrText xml:space="preserve"> XE "</w:instrText>
      </w:r>
      <w:r w:rsidR="080271A5" w:rsidRPr="08946B67">
        <w:rPr>
          <w:i/>
        </w:rPr>
        <w:instrText>logika Vetus</w:instrText>
      </w:r>
      <w:r w:rsidR="080271A5">
        <w:instrText xml:space="preserve">" </w:instrText>
      </w:r>
      <w:r w:rsidR="080271A5">
        <w:rPr>
          <w:i/>
        </w:rPr>
        <w:fldChar w:fldCharType="end"/>
      </w:r>
      <w:r>
        <w:t xml:space="preserve"> podle Abelarda. Ale debata se </w:t>
      </w:r>
      <w:r w:rsidR="087C0512">
        <w:t xml:space="preserve">později zaměřila </w:t>
      </w:r>
      <w:r w:rsidR="00DC11B0">
        <w:t xml:space="preserve">na teologické </w:t>
      </w:r>
      <w:r>
        <w:t>důsledky pojetí intelektu a identity osoby</w:t>
      </w:r>
      <w:r w:rsidR="00990924">
        <w:t xml:space="preserve">. Tyto otázky </w:t>
      </w:r>
      <w:r w:rsidR="00DC11B0">
        <w:t>vyplývaly</w:t>
      </w:r>
      <w:r>
        <w:t xml:space="preserve"> ze zmateného výkladu </w:t>
      </w:r>
      <w:r w:rsidR="08DE1B3E">
        <w:t xml:space="preserve">poznání a jednoty podané </w:t>
      </w:r>
      <w:r w:rsidR="08DE1B3E" w:rsidRPr="08DE1B3E">
        <w:rPr>
          <w:i/>
        </w:rPr>
        <w:t>ad mentem Averrois</w:t>
      </w:r>
      <w:r w:rsidR="08DE1B3E">
        <w:rPr>
          <w:i/>
        </w:rPr>
        <w:fldChar w:fldCharType="begin"/>
      </w:r>
      <w:r w:rsidR="08DE1B3E">
        <w:instrText xml:space="preserve"> XE "</w:instrText>
      </w:r>
      <w:r w:rsidR="08DE1B3E" w:rsidRPr="08711D57">
        <w:rPr>
          <w:i/>
        </w:rPr>
        <w:instrText>ad mentem Averrois</w:instrText>
      </w:r>
      <w:r w:rsidR="08DE1B3E">
        <w:instrText xml:space="preserve">" </w:instrText>
      </w:r>
      <w:r w:rsidR="08DE1B3E">
        <w:rPr>
          <w:i/>
        </w:rPr>
        <w:fldChar w:fldCharType="end"/>
      </w:r>
      <w:r w:rsidR="08DE1B3E">
        <w:t xml:space="preserve"> podle </w:t>
      </w:r>
      <w:r>
        <w:t xml:space="preserve">Toledské školy. Druhý spis </w:t>
      </w:r>
      <w:r w:rsidR="086804CF">
        <w:t xml:space="preserve">ze školy prvního averroismu již má jiné protivníky než porretány z pařížských škol </w:t>
      </w:r>
      <w:r w:rsidR="086804CF" w:rsidRPr="086804CF">
        <w:rPr>
          <w:i/>
        </w:rPr>
        <w:t>logica Modernorum</w:t>
      </w:r>
      <w:r w:rsidR="082F66F1">
        <w:rPr>
          <w:i/>
        </w:rPr>
        <w:fldChar w:fldCharType="begin"/>
      </w:r>
      <w:r w:rsidR="082F66F1">
        <w:instrText xml:space="preserve"> XE "</w:instrText>
      </w:r>
      <w:r w:rsidR="082F66F1" w:rsidRPr="08B22CEC">
        <w:rPr>
          <w:i/>
        </w:rPr>
        <w:instrText>logica Modernorum</w:instrText>
      </w:r>
      <w:r w:rsidR="082F66F1">
        <w:instrText xml:space="preserve">" </w:instrText>
      </w:r>
      <w:r w:rsidR="082F66F1">
        <w:rPr>
          <w:i/>
        </w:rPr>
        <w:fldChar w:fldCharType="end"/>
      </w:r>
      <w:r w:rsidR="086804CF">
        <w:t xml:space="preserve"> jako měl Grosseteste. Kanovník a teolog Alvernus musí bránit jednotu osoby a je</w:t>
      </w:r>
      <w:r w:rsidR="086526E3">
        <w:t xml:space="preserve">jího poznání proti teologům ze </w:t>
      </w:r>
      <w:r w:rsidR="086804CF">
        <w:t xml:space="preserve">škol augustiniánského avicennismu, kteří recipovali Komentátora na sofistický způsob děl jako byla </w:t>
      </w:r>
      <w:r w:rsidR="086804CF" w:rsidRPr="086804CF">
        <w:rPr>
          <w:i/>
        </w:rPr>
        <w:t>Summa Duacensis</w:t>
      </w:r>
      <w:r w:rsidR="086804CF">
        <w:t xml:space="preserve">. </w:t>
      </w:r>
      <w:r w:rsidR="089613E3">
        <w:t xml:space="preserve">Tato </w:t>
      </w:r>
      <w:r w:rsidR="086526E3">
        <w:t xml:space="preserve">avicenistická </w:t>
      </w:r>
      <w:r w:rsidR="089613E3">
        <w:t>škola založila původní formu dualismu, kterou v postmoderní verzi sporu</w:t>
      </w:r>
      <w:r w:rsidR="089613E3" w:rsidRPr="08726AD7">
        <w:t xml:space="preserve"> </w:t>
      </w:r>
      <w:r w:rsidR="089613E3">
        <w:t xml:space="preserve">o substanci reprezentuje termín </w:t>
      </w:r>
      <w:r w:rsidR="089613E3" w:rsidRPr="00273106">
        <w:rPr>
          <w:i/>
        </w:rPr>
        <w:t>surnaturel</w:t>
      </w:r>
      <w:r w:rsidR="089613E3">
        <w:rPr>
          <w:i/>
        </w:rPr>
        <w:fldChar w:fldCharType="begin"/>
      </w:r>
      <w:r w:rsidR="089613E3">
        <w:instrText xml:space="preserve"> XE "</w:instrText>
      </w:r>
      <w:r w:rsidR="089613E3" w:rsidRPr="00B63754">
        <w:rPr>
          <w:i/>
        </w:rPr>
        <w:instrText>surnaturel</w:instrText>
      </w:r>
      <w:r w:rsidR="089613E3">
        <w:instrText xml:space="preserve">" </w:instrText>
      </w:r>
      <w:r w:rsidR="089613E3">
        <w:rPr>
          <w:i/>
        </w:rPr>
        <w:fldChar w:fldCharType="end"/>
      </w:r>
      <w:r w:rsidR="089613E3">
        <w:t>, jehož základ položila další generaci pařížských modernis</w:t>
      </w:r>
      <w:r w:rsidR="08CC5FE3">
        <w:t>tů vedených Bonaventurou (OBJ III, kap. 4</w:t>
      </w:r>
      <w:r w:rsidR="089613E3">
        <w:t xml:space="preserve">.1.4). </w:t>
      </w:r>
      <w:r w:rsidR="08C0536E">
        <w:t xml:space="preserve">Alvernův teologický spis </w:t>
      </w:r>
      <w:r w:rsidR="086804CF">
        <w:t xml:space="preserve">předkládá odlišnou </w:t>
      </w:r>
      <w:r>
        <w:t>recepci Sicilské školy</w:t>
      </w:r>
      <w:r w:rsidR="004A519B">
        <w:fldChar w:fldCharType="begin"/>
      </w:r>
      <w:r w:rsidR="004A519B">
        <w:instrText xml:space="preserve"> XE "</w:instrText>
      </w:r>
      <w:r w:rsidR="004A155A">
        <w:instrText>Sicilská škola</w:instrText>
      </w:r>
      <w:r w:rsidR="004A519B">
        <w:instrText xml:space="preserve">" </w:instrText>
      </w:r>
      <w:r w:rsidR="004A519B">
        <w:fldChar w:fldCharType="end"/>
      </w:r>
      <w:r w:rsidR="00DC11B0">
        <w:t xml:space="preserve">, protože </w:t>
      </w:r>
      <w:r w:rsidR="086804CF">
        <w:t xml:space="preserve">musí primárně bránit </w:t>
      </w:r>
      <w:r w:rsidR="00DC11B0">
        <w:t>jednotu osoby podle CMDA</w:t>
      </w:r>
      <w:r>
        <w:t xml:space="preserve">. </w:t>
      </w:r>
      <w:r w:rsidR="08C0536E">
        <w:t>Grosse</w:t>
      </w:r>
      <w:r w:rsidR="08AF1472">
        <w:t>te</w:t>
      </w:r>
      <w:r w:rsidR="08C0536E">
        <w:t>ste v prvním spisu bránil Abelardovu predikaci danou impozicí od hyparchické první su</w:t>
      </w:r>
      <w:r w:rsidR="00625B02">
        <w:t>bstance. T</w:t>
      </w:r>
      <w:r w:rsidR="00625B02" w:rsidRPr="00625B02">
        <w:t xml:space="preserve">ento </w:t>
      </w:r>
      <w:r w:rsidR="00625B02">
        <w:t>výklad predikace je v souladu s výkladem K</w:t>
      </w:r>
      <w:r w:rsidR="00625B02" w:rsidRPr="00625B02">
        <w:t xml:space="preserve">omentátora, který </w:t>
      </w:r>
      <w:r w:rsidR="00625B02">
        <w:t xml:space="preserve">stejným způsobem </w:t>
      </w:r>
      <w:r w:rsidR="00625B02" w:rsidRPr="00625B02">
        <w:t xml:space="preserve">vysvětluje spis </w:t>
      </w:r>
      <w:r w:rsidR="00625B02" w:rsidRPr="00625B02">
        <w:rPr>
          <w:i/>
        </w:rPr>
        <w:t>De anima</w:t>
      </w:r>
      <w:r w:rsidR="00625B02" w:rsidRPr="00625B02">
        <w:t xml:space="preserve">. Tato teologická a filosofická obhajoba osoby provedená </w:t>
      </w:r>
      <w:r w:rsidR="00625B02" w:rsidRPr="00625B02">
        <w:rPr>
          <w:i/>
        </w:rPr>
        <w:t>ad mentem Averrois</w:t>
      </w:r>
      <w:r w:rsidR="00625B02" w:rsidRPr="00625B02">
        <w:t xml:space="preserve"> spolehlivě vysvětluje, proč byl zrušen v roce 1231 zákaz </w:t>
      </w:r>
      <w:r w:rsidR="00625B02">
        <w:t>studia Aristotelových spisů na P</w:t>
      </w:r>
      <w:r w:rsidR="00625B02" w:rsidRPr="00625B02">
        <w:t>ařížské univerzitě platný od roku 1215 (kap. 2.1.3).</w:t>
      </w:r>
      <w:r w:rsidR="00625B02">
        <w:t xml:space="preserve"> </w:t>
      </w:r>
      <w:r w:rsidR="002F0F2B">
        <w:t>Magistr Alvernus z Blundovy školy sehrál klíčovou v roli v recepci Averroese jako filosofa bránícího křesťanskou jednotu osoby, protože přesně odlišil exegezi obou škol</w:t>
      </w:r>
      <w:r w:rsidR="00B27988">
        <w:t xml:space="preserve"> ohledně Aristotela</w:t>
      </w:r>
      <w:r w:rsidR="0099358A">
        <w:t xml:space="preserve"> podanou </w:t>
      </w:r>
      <w:r w:rsidR="0099358A" w:rsidRPr="0099358A">
        <w:rPr>
          <w:i/>
        </w:rPr>
        <w:t>ad mentem Averrois</w:t>
      </w:r>
      <w:r w:rsidR="002F0F2B">
        <w:t xml:space="preserve">. </w:t>
      </w:r>
      <w:r w:rsidR="08607381">
        <w:t xml:space="preserve">Alvernus odmítl teologické a antropologické </w:t>
      </w:r>
      <w:r w:rsidR="08607381" w:rsidRPr="08607381">
        <w:rPr>
          <w:i/>
        </w:rPr>
        <w:t>Weltanschauung</w:t>
      </w:r>
      <w:r w:rsidR="08607381">
        <w:t xml:space="preserve"> moderny přinesené na půdu Pařížské univerzity v podání Toledské školy </w:t>
      </w:r>
      <w:r w:rsidR="088F74D1">
        <w:t xml:space="preserve">a pak </w:t>
      </w:r>
      <w:r w:rsidR="08607381">
        <w:t xml:space="preserve">interpretované </w:t>
      </w:r>
      <w:r w:rsidR="088729A5" w:rsidRPr="088729A5">
        <w:rPr>
          <w:i/>
        </w:rPr>
        <w:t>ad mentem Averrois</w:t>
      </w:r>
      <w:r w:rsidR="088729A5">
        <w:t xml:space="preserve"> </w:t>
      </w:r>
      <w:r w:rsidR="08607381">
        <w:t xml:space="preserve">v okruhu Filipa Kancléře. </w:t>
      </w:r>
      <w:r w:rsidR="08CB34A5">
        <w:rPr>
          <w:rStyle w:val="Zkladntext158dkovn0pt"/>
          <w:color w:val="auto"/>
          <w:spacing w:val="0"/>
          <w:sz w:val="24"/>
          <w:lang w:val="cs-CZ"/>
        </w:rPr>
        <w:t>Z</w:t>
      </w:r>
      <w:r w:rsidR="088F74D1">
        <w:rPr>
          <w:rStyle w:val="Zkladntext158dkovn0pt"/>
          <w:color w:val="auto"/>
          <w:spacing w:val="0"/>
          <w:sz w:val="24"/>
          <w:lang w:val="cs-CZ"/>
        </w:rPr>
        <w:t xml:space="preserve">matené </w:t>
      </w:r>
      <w:r w:rsidR="08CB34A5" w:rsidRPr="00273106">
        <w:rPr>
          <w:rStyle w:val="Zkladntext158dkovn0pt"/>
          <w:color w:val="auto"/>
          <w:spacing w:val="0"/>
          <w:sz w:val="24"/>
          <w:lang w:val="cs-CZ"/>
        </w:rPr>
        <w:t xml:space="preserve">pojetí intelektu v díle </w:t>
      </w:r>
      <w:r w:rsidR="08CB34A5" w:rsidRPr="00273106">
        <w:rPr>
          <w:rStyle w:val="Zkladntext158dkovn0pt"/>
          <w:i/>
          <w:color w:val="auto"/>
          <w:spacing w:val="0"/>
          <w:sz w:val="24"/>
          <w:lang w:val="cs-CZ"/>
        </w:rPr>
        <w:t>Summa Duacensis</w:t>
      </w:r>
      <w:r w:rsidR="08CB34A5">
        <w:rPr>
          <w:rStyle w:val="Zkladntext158dkovn0pt"/>
          <w:i/>
          <w:color w:val="auto"/>
          <w:spacing w:val="0"/>
          <w:sz w:val="24"/>
          <w:lang w:val="cs-CZ"/>
        </w:rPr>
        <w:fldChar w:fldCharType="begin"/>
      </w:r>
      <w:r w:rsidR="08CB34A5">
        <w:instrText xml:space="preserve"> XE "</w:instrText>
      </w:r>
      <w:r w:rsidR="08CB34A5" w:rsidRPr="000E2AD6">
        <w:rPr>
          <w:i/>
        </w:rPr>
        <w:instrText>Summa Duacensis</w:instrText>
      </w:r>
      <w:r w:rsidR="08CB34A5">
        <w:instrText xml:space="preserve">" </w:instrText>
      </w:r>
      <w:r w:rsidR="08CB34A5">
        <w:rPr>
          <w:rStyle w:val="Zkladntext158dkovn0pt"/>
          <w:i/>
          <w:color w:val="auto"/>
          <w:spacing w:val="0"/>
          <w:sz w:val="24"/>
          <w:lang w:val="cs-CZ"/>
        </w:rPr>
        <w:fldChar w:fldCharType="end"/>
      </w:r>
      <w:r w:rsidR="08CB34A5" w:rsidRPr="00273106">
        <w:rPr>
          <w:rStyle w:val="Zkladntext158dkovn0pt"/>
          <w:color w:val="auto"/>
          <w:spacing w:val="0"/>
          <w:sz w:val="24"/>
          <w:lang w:val="cs-CZ"/>
        </w:rPr>
        <w:t xml:space="preserve"> ukázal</w:t>
      </w:r>
      <w:r w:rsidR="08494EC3">
        <w:rPr>
          <w:rStyle w:val="Zkladntext158dkovn0pt"/>
          <w:color w:val="auto"/>
          <w:spacing w:val="0"/>
          <w:sz w:val="24"/>
          <w:lang w:val="cs-CZ"/>
        </w:rPr>
        <w:t>o</w:t>
      </w:r>
      <w:r w:rsidR="08CB34A5">
        <w:rPr>
          <w:rStyle w:val="Zkladntext158dkovn0pt"/>
          <w:color w:val="auto"/>
          <w:spacing w:val="0"/>
          <w:sz w:val="24"/>
          <w:lang w:val="cs-CZ"/>
        </w:rPr>
        <w:t xml:space="preserve">, že </w:t>
      </w:r>
      <w:r w:rsidR="08CB34A5" w:rsidRPr="00273106">
        <w:rPr>
          <w:rStyle w:val="Zkladntext158dkovn0pt"/>
          <w:color w:val="auto"/>
          <w:spacing w:val="0"/>
          <w:sz w:val="24"/>
          <w:lang w:val="cs-CZ"/>
        </w:rPr>
        <w:t xml:space="preserve">kolem </w:t>
      </w:r>
      <w:r w:rsidR="08CB34A5">
        <w:rPr>
          <w:rStyle w:val="Zkladntext158dkovn0pt"/>
          <w:color w:val="auto"/>
          <w:spacing w:val="0"/>
          <w:sz w:val="24"/>
          <w:lang w:val="cs-CZ"/>
        </w:rPr>
        <w:t xml:space="preserve">roku </w:t>
      </w:r>
      <w:r w:rsidR="08CB34A5" w:rsidRPr="00273106">
        <w:rPr>
          <w:rStyle w:val="Zkladntext158dkovn0pt"/>
          <w:color w:val="auto"/>
          <w:spacing w:val="0"/>
          <w:sz w:val="24"/>
          <w:lang w:val="cs-CZ"/>
        </w:rPr>
        <w:t xml:space="preserve">1230 </w:t>
      </w:r>
      <w:r w:rsidR="08CB34A5">
        <w:rPr>
          <w:rStyle w:val="Zkladntext158dkovn0pt"/>
          <w:color w:val="auto"/>
          <w:spacing w:val="0"/>
          <w:sz w:val="24"/>
          <w:lang w:val="cs-CZ"/>
        </w:rPr>
        <w:t>začínají</w:t>
      </w:r>
      <w:r w:rsidR="08CB34A5" w:rsidRPr="00273106">
        <w:rPr>
          <w:rStyle w:val="Zkladntext158dkovn0pt"/>
          <w:color w:val="auto"/>
          <w:spacing w:val="0"/>
          <w:sz w:val="24"/>
          <w:lang w:val="cs-CZ"/>
        </w:rPr>
        <w:t xml:space="preserve"> </w:t>
      </w:r>
      <w:r w:rsidR="08CB34A5">
        <w:rPr>
          <w:rStyle w:val="Zkladntext158dkovn0pt"/>
          <w:color w:val="auto"/>
          <w:spacing w:val="0"/>
          <w:sz w:val="24"/>
          <w:lang w:val="cs-CZ"/>
        </w:rPr>
        <w:t>vznikat první problematické interpretace Averroesovy metafyziky dané v tehdejším avicennismu podle Toledské školy</w:t>
      </w:r>
      <w:r w:rsidR="08CB34A5" w:rsidRPr="00273106">
        <w:rPr>
          <w:rStyle w:val="Zkladntext158dkovn0pt"/>
          <w:color w:val="auto"/>
          <w:spacing w:val="0"/>
          <w:sz w:val="24"/>
          <w:lang w:val="cs-CZ"/>
        </w:rPr>
        <w:t xml:space="preserve">. </w:t>
      </w:r>
      <w:r w:rsidR="08CB34A5">
        <w:rPr>
          <w:rStyle w:val="Zkladntext158dkovn0pt"/>
          <w:color w:val="auto"/>
          <w:spacing w:val="0"/>
          <w:sz w:val="24"/>
          <w:lang w:val="cs-CZ"/>
        </w:rPr>
        <w:t>Škola kolem Filipa Kancléře a prvních františkánských magistrů</w:t>
      </w:r>
      <w:r w:rsidR="084B3639">
        <w:rPr>
          <w:rStyle w:val="Zkladntext158dkovn0pt"/>
          <w:color w:val="auto"/>
          <w:spacing w:val="0"/>
          <w:sz w:val="24"/>
          <w:lang w:val="cs-CZ"/>
        </w:rPr>
        <w:t xml:space="preserve"> jako </w:t>
      </w:r>
      <w:r w:rsidR="084B3639">
        <w:rPr>
          <w:rStyle w:val="Zkladntext158dkovn0pt"/>
          <w:color w:val="auto"/>
          <w:spacing w:val="0"/>
          <w:sz w:val="24"/>
          <w:lang w:val="cs-CZ"/>
        </w:rPr>
        <w:lastRenderedPageBreak/>
        <w:t>byli Alexander Halský a J</w:t>
      </w:r>
      <w:r w:rsidR="08CB34A5">
        <w:rPr>
          <w:rStyle w:val="Zkladntext158dkovn0pt"/>
          <w:color w:val="auto"/>
          <w:spacing w:val="0"/>
          <w:sz w:val="24"/>
          <w:lang w:val="cs-CZ"/>
        </w:rPr>
        <w:t>an z La Rochelle u</w:t>
      </w:r>
      <w:r w:rsidR="08CB34A5" w:rsidRPr="00273106">
        <w:rPr>
          <w:rStyle w:val="Zkladntext158dkovn0pt"/>
          <w:color w:val="auto"/>
          <w:spacing w:val="0"/>
          <w:sz w:val="24"/>
          <w:lang w:val="cs-CZ"/>
        </w:rPr>
        <w:t xml:space="preserve">dělala z činného a trpného intelektu porretánskou substanci třetího druhu danou v modu </w:t>
      </w:r>
      <w:r w:rsidR="08CB34A5" w:rsidRPr="00273106">
        <w:rPr>
          <w:rStyle w:val="Zkladntext158dkovn0pt"/>
          <w:i/>
          <w:color w:val="auto"/>
          <w:spacing w:val="0"/>
          <w:sz w:val="24"/>
          <w:lang w:val="cs-CZ"/>
        </w:rPr>
        <w:t>semper</w:t>
      </w:r>
      <w:r w:rsidR="08CB34A5" w:rsidRPr="00273106">
        <w:rPr>
          <w:rStyle w:val="Zkladntext158dkovn0pt"/>
          <w:color w:val="auto"/>
          <w:spacing w:val="0"/>
          <w:sz w:val="24"/>
          <w:lang w:val="cs-CZ"/>
        </w:rPr>
        <w:t xml:space="preserve">, která je nemateriální a oddělená od těla. Výklad této nepravdy </w:t>
      </w:r>
      <w:r w:rsidR="08CB34A5">
        <w:rPr>
          <w:rStyle w:val="Zkladntext158dkovn0pt"/>
          <w:color w:val="auto"/>
          <w:spacing w:val="0"/>
          <w:sz w:val="24"/>
          <w:lang w:val="cs-CZ"/>
        </w:rPr>
        <w:t xml:space="preserve">CMDA </w:t>
      </w:r>
      <w:r w:rsidR="08CB34A5" w:rsidRPr="00273106">
        <w:rPr>
          <w:rStyle w:val="Zkladntext158dkovn0pt"/>
          <w:color w:val="auto"/>
          <w:spacing w:val="0"/>
          <w:sz w:val="24"/>
          <w:lang w:val="cs-CZ"/>
        </w:rPr>
        <w:t>podá následující matrice vykládající spory obou škol z let 1230‒45</w:t>
      </w:r>
      <w:r w:rsidR="08CB34A5">
        <w:fldChar w:fldCharType="begin"/>
      </w:r>
      <w:r w:rsidR="08CB34A5">
        <w:instrText xml:space="preserve"> XE "druhý averroismus:původ" </w:instrText>
      </w:r>
      <w:r w:rsidR="08CB34A5">
        <w:fldChar w:fldCharType="end"/>
      </w:r>
      <w:r w:rsidR="08CB34A5" w:rsidRPr="00273106">
        <w:rPr>
          <w:rStyle w:val="Zkladntext158dkovn0pt"/>
          <w:color w:val="auto"/>
          <w:spacing w:val="0"/>
          <w:sz w:val="24"/>
          <w:lang w:val="cs-CZ"/>
        </w:rPr>
        <w:t>.</w:t>
      </w:r>
      <w:r w:rsidR="08CB34A5">
        <w:rPr>
          <w:rStyle w:val="Zkladntext158dkovn0pt"/>
          <w:color w:val="auto"/>
          <w:spacing w:val="0"/>
          <w:sz w:val="24"/>
          <w:lang w:val="cs-CZ"/>
        </w:rPr>
        <w:t xml:space="preserve"> </w:t>
      </w:r>
      <w:r w:rsidR="08CB34A5" w:rsidRPr="00273106">
        <w:rPr>
          <w:rStyle w:val="Zkladntext158dkovn0pt"/>
          <w:color w:val="auto"/>
          <w:spacing w:val="0"/>
          <w:sz w:val="24"/>
          <w:lang w:val="cs-CZ"/>
        </w:rPr>
        <w:t xml:space="preserve">Citované </w:t>
      </w:r>
      <w:r w:rsidR="08CB34A5">
        <w:rPr>
          <w:rStyle w:val="Zkladntext158dkovn0pt"/>
          <w:color w:val="auto"/>
          <w:spacing w:val="0"/>
          <w:sz w:val="24"/>
          <w:lang w:val="cs-CZ"/>
        </w:rPr>
        <w:t xml:space="preserve">averroistické </w:t>
      </w:r>
      <w:r w:rsidR="08CB34A5" w:rsidRPr="00273106">
        <w:rPr>
          <w:rStyle w:val="Zkladntext158dkovn0pt"/>
          <w:color w:val="auto"/>
          <w:spacing w:val="0"/>
          <w:sz w:val="24"/>
          <w:lang w:val="cs-CZ"/>
        </w:rPr>
        <w:t xml:space="preserve">pasáže ze </w:t>
      </w:r>
      <w:r w:rsidR="08CB34A5" w:rsidRPr="00273106">
        <w:rPr>
          <w:rStyle w:val="Zkladntext158dkovn0pt"/>
          <w:i/>
          <w:color w:val="auto"/>
          <w:spacing w:val="0"/>
          <w:sz w:val="24"/>
          <w:lang w:val="cs-CZ"/>
        </w:rPr>
        <w:t>Summa Duacensis</w:t>
      </w:r>
      <w:r w:rsidR="08CB34A5">
        <w:rPr>
          <w:rStyle w:val="Zkladntext158dkovn0pt"/>
          <w:color w:val="auto"/>
          <w:spacing w:val="0"/>
          <w:sz w:val="24"/>
          <w:lang w:val="cs-CZ"/>
        </w:rPr>
        <w:t xml:space="preserve"> jasně </w:t>
      </w:r>
      <w:r w:rsidR="08CB34A5" w:rsidRPr="00273106">
        <w:rPr>
          <w:rStyle w:val="Zkladntext158dkovn0pt"/>
          <w:color w:val="auto"/>
          <w:spacing w:val="0"/>
          <w:sz w:val="24"/>
          <w:lang w:val="cs-CZ"/>
        </w:rPr>
        <w:t>naznačují, kam se bude obírat další vývoj</w:t>
      </w:r>
      <w:r w:rsidR="08CB34A5">
        <w:rPr>
          <w:rStyle w:val="Zkladntext158dkovn0pt"/>
          <w:color w:val="auto"/>
          <w:spacing w:val="0"/>
          <w:sz w:val="24"/>
          <w:lang w:val="cs-CZ"/>
        </w:rPr>
        <w:t xml:space="preserve"> školy druhého averroismu</w:t>
      </w:r>
      <w:r w:rsidR="08CB34A5" w:rsidRPr="00273106">
        <w:rPr>
          <w:rStyle w:val="Zkladntext158dkovn0pt"/>
          <w:color w:val="auto"/>
          <w:spacing w:val="0"/>
          <w:sz w:val="24"/>
          <w:lang w:val="cs-CZ"/>
        </w:rPr>
        <w:t>.</w:t>
      </w:r>
      <w:r w:rsidR="08CB34A5">
        <w:rPr>
          <w:rStyle w:val="Zkladntext158dkovn0pt"/>
          <w:color w:val="auto"/>
          <w:spacing w:val="0"/>
          <w:sz w:val="24"/>
          <w:lang w:val="cs-CZ"/>
        </w:rPr>
        <w:t xml:space="preserve"> </w:t>
      </w:r>
      <w:r w:rsidR="08CB34A5">
        <w:t>Kosmický činný intelekt jako subsistentní forma nasvěc</w:t>
      </w:r>
      <w:r w:rsidR="088020F4">
        <w:t xml:space="preserve">uje moderního ilumináta </w:t>
      </w:r>
      <w:r w:rsidR="08CB34A5">
        <w:t xml:space="preserve">ze světa kosmických forem a inteligencí. </w:t>
      </w:r>
      <w:r w:rsidR="00167891">
        <w:t xml:space="preserve">To je teologicky nepřijatelné, protože </w:t>
      </w:r>
      <w:r w:rsidR="088020F4">
        <w:t>z</w:t>
      </w:r>
      <w:r w:rsidR="00167891">
        <w:t xml:space="preserve">mizí </w:t>
      </w:r>
      <w:r w:rsidR="00890B34">
        <w:t>jak jednota osoby</w:t>
      </w:r>
      <w:r w:rsidR="00167891">
        <w:t xml:space="preserve">, tak svoboda vůle. </w:t>
      </w:r>
      <w:r w:rsidR="08CB34A5">
        <w:t xml:space="preserve">První averroismus učí, že lidský </w:t>
      </w:r>
      <w:r w:rsidR="08CB34A5" w:rsidRPr="00C96618">
        <w:rPr>
          <w:i/>
        </w:rPr>
        <w:t>intellectus agens</w:t>
      </w:r>
      <w:r w:rsidR="08CB34A5">
        <w:rPr>
          <w:i/>
        </w:rPr>
        <w:fldChar w:fldCharType="begin"/>
      </w:r>
      <w:r w:rsidR="08CB34A5">
        <w:instrText xml:space="preserve"> XE "</w:instrText>
      </w:r>
      <w:r w:rsidR="08CB34A5" w:rsidRPr="00490D32">
        <w:rPr>
          <w:i/>
        </w:rPr>
        <w:instrText>intellectus agens</w:instrText>
      </w:r>
      <w:r w:rsidR="08CB34A5" w:rsidRPr="00FB7A1C">
        <w:instrText>:první averroismus</w:instrText>
      </w:r>
      <w:r w:rsidR="08CB34A5">
        <w:instrText xml:space="preserve">" </w:instrText>
      </w:r>
      <w:r w:rsidR="08CB34A5">
        <w:rPr>
          <w:i/>
        </w:rPr>
        <w:fldChar w:fldCharType="end"/>
      </w:r>
      <w:r w:rsidR="08CB34A5">
        <w:t xml:space="preserve"> je individuální schopnost duše daná nasvícením receptivního lidského intelektu zepředu od reálných věcí. </w:t>
      </w:r>
      <w:r w:rsidR="088729A5">
        <w:t xml:space="preserve">Proto byl Alvernus jmenován kancléřem </w:t>
      </w:r>
      <w:r w:rsidR="089D7AC0">
        <w:t xml:space="preserve">nově vzniklé papežské </w:t>
      </w:r>
      <w:r w:rsidR="088729A5">
        <w:t xml:space="preserve">univerzity </w:t>
      </w:r>
      <w:r w:rsidR="08B32CE0">
        <w:t xml:space="preserve">a pak </w:t>
      </w:r>
      <w:r w:rsidR="089D7AC0">
        <w:t xml:space="preserve">i </w:t>
      </w:r>
      <w:r w:rsidR="08B32CE0">
        <w:t xml:space="preserve">pařížským </w:t>
      </w:r>
      <w:r w:rsidR="08AF54CE">
        <w:t>arci</w:t>
      </w:r>
      <w:r w:rsidR="08B32CE0">
        <w:t xml:space="preserve">biskupem </w:t>
      </w:r>
      <w:r w:rsidR="088729A5">
        <w:t xml:space="preserve">brzy dosažení magisterské hodnosti. </w:t>
      </w:r>
      <w:r w:rsidR="088422E5">
        <w:t xml:space="preserve">Připomeňme, že Blundova škola provedla </w:t>
      </w:r>
      <w:r w:rsidR="087D5D41">
        <w:t xml:space="preserve">brilantní </w:t>
      </w:r>
      <w:r w:rsidR="088422E5">
        <w:t xml:space="preserve">výklad Aristotela podle Abelarda a Komentátora, který potvrdil význam jeho metafyziky pro křesťanské určení osoby a boha. </w:t>
      </w:r>
      <w:r w:rsidR="08C04272">
        <w:t>Hermene</w:t>
      </w:r>
      <w:r w:rsidR="087D5D41">
        <w:t>u</w:t>
      </w:r>
      <w:r w:rsidR="08C04272">
        <w:t>ti</w:t>
      </w:r>
      <w:r w:rsidR="087D5D41">
        <w:t xml:space="preserve">ka ukázala, že šlo metafyzickou </w:t>
      </w:r>
      <w:r w:rsidR="00B13F0A">
        <w:t xml:space="preserve">školu </w:t>
      </w:r>
      <w:r w:rsidR="087D5D41">
        <w:t>zakládající Pařížskou univerzitu jako baštu křesťa</w:t>
      </w:r>
      <w:r w:rsidR="081C0248">
        <w:t>nství. Tento dům moudrosti byl myslitelsky postavený ste</w:t>
      </w:r>
      <w:r w:rsidR="087D5D41">
        <w:t xml:space="preserve">jně jako </w:t>
      </w:r>
      <w:r w:rsidR="081C0248">
        <w:t xml:space="preserve">Komentátorova </w:t>
      </w:r>
      <w:r w:rsidR="087D5D41">
        <w:t>falsafa</w:t>
      </w:r>
      <w:r w:rsidR="081C0248">
        <w:t xml:space="preserve">, </w:t>
      </w:r>
      <w:r w:rsidR="00B315E8">
        <w:t xml:space="preserve">protože bránil zdravý rozum filosofie </w:t>
      </w:r>
      <w:r w:rsidR="087D5D41">
        <w:t xml:space="preserve">proti smrti </w:t>
      </w:r>
      <w:r w:rsidR="00B315E8">
        <w:t xml:space="preserve">modernistického </w:t>
      </w:r>
      <w:r w:rsidR="087D5D41">
        <w:t>boha</w:t>
      </w:r>
      <w:r w:rsidR="081C0248">
        <w:t xml:space="preserve"> </w:t>
      </w:r>
      <w:r w:rsidR="00B315E8">
        <w:t>v </w:t>
      </w:r>
      <w:r w:rsidR="081C0248">
        <w:t>Avicenn</w:t>
      </w:r>
      <w:r w:rsidR="00B315E8">
        <w:t xml:space="preserve">ově metafyzice. A stejně tak bránil jednotu reálně existující osoby, která se v moderně rozpadla na </w:t>
      </w:r>
      <w:r w:rsidR="081C0248">
        <w:t>neexistují</w:t>
      </w:r>
      <w:r w:rsidR="088A1535">
        <w:t>c</w:t>
      </w:r>
      <w:r w:rsidR="081C0248">
        <w:t>í substance</w:t>
      </w:r>
      <w:r w:rsidR="087D5D41">
        <w:t xml:space="preserve">. </w:t>
      </w:r>
      <w:r w:rsidR="081C0248">
        <w:t>Spory o triteismus</w:t>
      </w:r>
      <w:r w:rsidR="081C0248">
        <w:fldChar w:fldCharType="begin"/>
      </w:r>
      <w:r w:rsidR="081C0248">
        <w:instrText xml:space="preserve"> XE "</w:instrText>
      </w:r>
      <w:r w:rsidR="081C0248" w:rsidRPr="082C6E3C">
        <w:instrText>triteismus</w:instrText>
      </w:r>
      <w:r w:rsidR="081C0248">
        <w:instrText xml:space="preserve">" </w:instrText>
      </w:r>
      <w:r w:rsidR="081C0248">
        <w:fldChar w:fldCharType="end"/>
      </w:r>
      <w:r w:rsidR="081C0248">
        <w:t xml:space="preserve"> v předešlé matrici ukázaly, jak těsně spolu souvisí</w:t>
      </w:r>
      <w:r w:rsidR="08552AA6">
        <w:t xml:space="preserve"> definice osoby</w:t>
      </w:r>
      <w:r w:rsidR="081C0248">
        <w:t xml:space="preserve">. </w:t>
      </w:r>
      <w:r w:rsidR="087D5D41">
        <w:t xml:space="preserve">Když </w:t>
      </w:r>
      <w:r w:rsidR="08552AA6">
        <w:t xml:space="preserve">smrt deistického boha </w:t>
      </w:r>
      <w:r w:rsidR="087D5D41">
        <w:t xml:space="preserve">za Francouzské revoluce nastala jako historické </w:t>
      </w:r>
      <w:r w:rsidR="080539B6">
        <w:t>fak</w:t>
      </w:r>
      <w:r w:rsidR="087D5D41" w:rsidRPr="080539B6">
        <w:t>tum</w:t>
      </w:r>
      <w:r w:rsidR="087D5D41">
        <w:t xml:space="preserve"> a bůh </w:t>
      </w:r>
      <w:r w:rsidR="087D5D41" w:rsidRPr="080539B6">
        <w:rPr>
          <w:i/>
        </w:rPr>
        <w:t>Modernorum</w:t>
      </w:r>
      <w:r w:rsidR="087D5D41">
        <w:t xml:space="preserve"> v osvícentví opravdu zemřel, tato univerzita pochopitelně zanikla</w:t>
      </w:r>
      <w:r w:rsidR="082964C3">
        <w:t xml:space="preserve"> a rozpadla se na nesourodé fakulty</w:t>
      </w:r>
      <w:r w:rsidR="08A038F7">
        <w:t xml:space="preserve">. </w:t>
      </w:r>
      <w:r w:rsidR="082C463A">
        <w:t xml:space="preserve">Jakou humanitu a jednotu osoby </w:t>
      </w:r>
      <w:r w:rsidR="08D6692A">
        <w:t xml:space="preserve">Pařížská univerzita </w:t>
      </w:r>
      <w:r w:rsidR="082C463A">
        <w:t xml:space="preserve">hájila, tak také dopadla. </w:t>
      </w:r>
      <w:r w:rsidR="08A038F7">
        <w:t xml:space="preserve">Paříž </w:t>
      </w:r>
      <w:r w:rsidR="08B94A08">
        <w:t xml:space="preserve">po smrti boha v moderní metafyzice už </w:t>
      </w:r>
      <w:r w:rsidR="087D5D41">
        <w:t xml:space="preserve">neměla </w:t>
      </w:r>
      <w:r w:rsidR="08120962">
        <w:t xml:space="preserve">v modu </w:t>
      </w:r>
      <w:r w:rsidR="08120962" w:rsidRPr="08120962">
        <w:rPr>
          <w:i/>
        </w:rPr>
        <w:t>auctoritas</w:t>
      </w:r>
      <w:r w:rsidR="08120962">
        <w:t xml:space="preserve"> žádný </w:t>
      </w:r>
      <w:r w:rsidR="08A038F7">
        <w:t>dějinně-archaický smysl existence</w:t>
      </w:r>
      <w:r w:rsidR="087D5D41">
        <w:t xml:space="preserve">, </w:t>
      </w:r>
      <w:r w:rsidR="08120962">
        <w:t xml:space="preserve">který by mohla předávat a na kterém by mohla stavět. </w:t>
      </w:r>
      <w:r w:rsidR="08647583">
        <w:t xml:space="preserve">Vědy o člověku přešly </w:t>
      </w:r>
      <w:r w:rsidR="08063D1C">
        <w:t xml:space="preserve">po zániku osoby a pak i subjektu </w:t>
      </w:r>
      <w:r w:rsidR="08647583">
        <w:t xml:space="preserve">z modu původní </w:t>
      </w:r>
      <w:r w:rsidR="08647583" w:rsidRPr="08647583">
        <w:rPr>
          <w:i/>
        </w:rPr>
        <w:t>universitas</w:t>
      </w:r>
      <w:r w:rsidR="08647583">
        <w:t xml:space="preserve"> do postmoderního </w:t>
      </w:r>
      <w:r w:rsidR="08647583" w:rsidRPr="08647583">
        <w:rPr>
          <w:i/>
        </w:rPr>
        <w:t>colligatio</w:t>
      </w:r>
      <w:r w:rsidR="08647583">
        <w:t xml:space="preserve"> substancí a diferenciálních rozdílů. </w:t>
      </w:r>
      <w:r w:rsidR="0844449D">
        <w:t>Nihilistickou humanistickou tradici prozatím završil post-strukturalismus Foucaultovy</w:t>
      </w:r>
      <w:r w:rsidR="0844449D">
        <w:fldChar w:fldCharType="begin"/>
      </w:r>
      <w:r w:rsidR="0844449D">
        <w:instrText xml:space="preserve"> XE "</w:instrText>
      </w:r>
      <w:r w:rsidR="0844449D" w:rsidRPr="08121558">
        <w:instrText>Foucault, M.</w:instrText>
      </w:r>
      <w:r w:rsidR="0844449D">
        <w:instrText xml:space="preserve">" </w:instrText>
      </w:r>
      <w:r w:rsidR="0844449D">
        <w:fldChar w:fldCharType="end"/>
      </w:r>
      <w:r w:rsidR="0844449D">
        <w:t xml:space="preserve"> archeologie vědění</w:t>
      </w:r>
      <w:r w:rsidR="0844449D" w:rsidRPr="08513E68">
        <w:t xml:space="preserve"> </w:t>
      </w:r>
      <w:r w:rsidR="0844449D">
        <w:t xml:space="preserve">prezentovaný v </w:t>
      </w:r>
      <w:r w:rsidR="0844449D" w:rsidRPr="08513E68">
        <w:rPr>
          <w:i/>
        </w:rPr>
        <w:t>Collège de France</w:t>
      </w:r>
      <w:r w:rsidR="0844449D">
        <w:t xml:space="preserve">, která tvoří </w:t>
      </w:r>
      <w:r w:rsidR="088B5AFA">
        <w:t xml:space="preserve">kvůli iracionálního pohybu diference pythický </w:t>
      </w:r>
      <w:r w:rsidR="0844449D">
        <w:t>protipól archeologie moudrosti hájené v této práci</w:t>
      </w:r>
      <w:r w:rsidR="0872195F">
        <w:t xml:space="preserve"> sokratovským humanismem z Delf</w:t>
      </w:r>
      <w:r w:rsidR="0844449D">
        <w:t xml:space="preserve">. </w:t>
      </w:r>
      <w:r w:rsidR="087D1DA1">
        <w:t xml:space="preserve">Tragický pád akademické </w:t>
      </w:r>
      <w:r w:rsidR="087D1DA1" w:rsidRPr="087D1DA1">
        <w:rPr>
          <w:i/>
        </w:rPr>
        <w:t>auctoritas</w:t>
      </w:r>
      <w:r w:rsidR="087D1DA1">
        <w:t xml:space="preserve"> Paříže tvoří </w:t>
      </w:r>
      <w:r w:rsidR="08120962">
        <w:t xml:space="preserve">zásadní rozdíl od akademické </w:t>
      </w:r>
      <w:r w:rsidR="08120962" w:rsidRPr="08120962">
        <w:rPr>
          <w:i/>
        </w:rPr>
        <w:t>potestas</w:t>
      </w:r>
      <w:r w:rsidR="08120962">
        <w:t xml:space="preserve"> </w:t>
      </w:r>
      <w:r w:rsidR="08EE03CE">
        <w:t xml:space="preserve">moderního Oxfordu, jehož metafyzické </w:t>
      </w:r>
      <w:r w:rsidR="08EE03CE" w:rsidRPr="08EE03CE">
        <w:rPr>
          <w:i/>
        </w:rPr>
        <w:t>Gründung</w:t>
      </w:r>
      <w:r w:rsidR="08EE03CE">
        <w:t xml:space="preserve"> dává </w:t>
      </w:r>
      <w:r w:rsidR="08AD06ED">
        <w:t xml:space="preserve">objektivní </w:t>
      </w:r>
      <w:r w:rsidR="08EE03CE">
        <w:t xml:space="preserve">věda a </w:t>
      </w:r>
      <w:r w:rsidR="08AD06ED">
        <w:t xml:space="preserve">sofistické </w:t>
      </w:r>
      <w:r w:rsidR="08EE03CE">
        <w:t xml:space="preserve">poznání </w:t>
      </w:r>
      <w:r w:rsidR="082D0B91">
        <w:t xml:space="preserve">člověka-mrtvoly </w:t>
      </w:r>
      <w:r w:rsidR="08EE03CE">
        <w:t xml:space="preserve">dané v </w:t>
      </w:r>
      <w:r w:rsidR="08EE03CE">
        <w:lastRenderedPageBreak/>
        <w:t xml:space="preserve">paradigmatu </w:t>
      </w:r>
      <w:r w:rsidR="08EE03CE" w:rsidRPr="08EE03CE">
        <w:rPr>
          <w:i/>
        </w:rPr>
        <w:t>Oxfordian Fallacy</w:t>
      </w:r>
      <w:r w:rsidR="08EE03CE">
        <w:t xml:space="preserve">. </w:t>
      </w:r>
      <w:r w:rsidR="087D5D41">
        <w:t>Tyto dějinné okolnosti vysvětlují zaměření Alvernova</w:t>
      </w:r>
      <w:r w:rsidR="088422E5">
        <w:t xml:space="preserve"> </w:t>
      </w:r>
      <w:r w:rsidR="08CA3ADF">
        <w:t>první</w:t>
      </w:r>
      <w:r w:rsidR="087D5D41">
        <w:t>ho</w:t>
      </w:r>
      <w:r w:rsidR="08CA3ADF">
        <w:t xml:space="preserve"> komentář</w:t>
      </w:r>
      <w:r w:rsidR="087D5D41">
        <w:t>e</w:t>
      </w:r>
      <w:r w:rsidR="08CA3ADF">
        <w:t xml:space="preserve"> </w:t>
      </w:r>
      <w:r w:rsidR="08CA3ADF" w:rsidRPr="08CA3ADF">
        <w:rPr>
          <w:i/>
        </w:rPr>
        <w:t>De anima</w:t>
      </w:r>
      <w:r w:rsidR="08347662">
        <w:t xml:space="preserve"> psaného v době archaického počátku </w:t>
      </w:r>
      <w:r w:rsidR="080539B6">
        <w:t xml:space="preserve">Pařížské </w:t>
      </w:r>
      <w:r w:rsidR="08347662">
        <w:t xml:space="preserve">univerzity. </w:t>
      </w:r>
      <w:r w:rsidR="080B3032">
        <w:t xml:space="preserve">Papežská </w:t>
      </w:r>
      <w:r w:rsidR="080B3032" w:rsidRPr="080B3032">
        <w:rPr>
          <w:i/>
        </w:rPr>
        <w:t>universitas</w:t>
      </w:r>
      <w:r w:rsidR="080B3032">
        <w:t xml:space="preserve"> </w:t>
      </w:r>
      <w:r w:rsidR="08C03E92">
        <w:t>vznikla nikoliv objektivním a pragmatickým sloučením různých katedrálních škol</w:t>
      </w:r>
      <w:r w:rsidR="080B3032">
        <w:t xml:space="preserve"> do jedno</w:t>
      </w:r>
      <w:r w:rsidR="08E45C23">
        <w:t>ho</w:t>
      </w:r>
      <w:r w:rsidR="080B3032">
        <w:t xml:space="preserve"> kolegia</w:t>
      </w:r>
      <w:r w:rsidR="08C03E92">
        <w:t>, ale zápasem o křesťanské pojetí osoby podle Aristotela a Komentátora. Hermen</w:t>
      </w:r>
      <w:r w:rsidR="08B23F03">
        <w:t>e</w:t>
      </w:r>
      <w:r w:rsidR="08C03E92">
        <w:t>utika tvrdí, že tuto univerzitu vybudovalo konfliktualistické paradigma</w:t>
      </w:r>
      <w:r w:rsidR="08E45C23">
        <w:t xml:space="preserve"> </w:t>
      </w:r>
      <w:r w:rsidR="083B4996">
        <w:t xml:space="preserve">dané gigantomachií o substanci. </w:t>
      </w:r>
      <w:r w:rsidR="08C03E92">
        <w:t xml:space="preserve">Akademické klání o povahu pravdy vyhrála </w:t>
      </w:r>
      <w:r w:rsidR="00C2115C" w:rsidRPr="00F204E1">
        <w:rPr>
          <w:rFonts w:cs="Calibri"/>
          <w:i/>
          <w:lang w:eastAsia="x-none"/>
        </w:rPr>
        <w:t>É</w:t>
      </w:r>
      <w:r w:rsidR="00C2115C" w:rsidRPr="00F204E1">
        <w:rPr>
          <w:i/>
          <w:lang w:eastAsia="x-none"/>
        </w:rPr>
        <w:t>cole de Paris</w:t>
      </w:r>
      <w:r w:rsidR="00C2115C">
        <w:rPr>
          <w:lang w:eastAsia="x-none"/>
        </w:rPr>
        <w:t xml:space="preserve"> </w:t>
      </w:r>
      <w:r w:rsidR="08C03E92">
        <w:t xml:space="preserve">přeměněná na </w:t>
      </w:r>
      <w:r w:rsidR="08B23F03">
        <w:t xml:space="preserve">papežskou </w:t>
      </w:r>
      <w:r w:rsidR="08C03E92">
        <w:t>univerzitu proti porretánským</w:t>
      </w:r>
      <w:r w:rsidR="08B23F03">
        <w:t>,</w:t>
      </w:r>
      <w:r w:rsidR="08C03E92">
        <w:t xml:space="preserve"> avicennist</w:t>
      </w:r>
      <w:r w:rsidR="08B23F03">
        <w:t>i</w:t>
      </w:r>
      <w:r w:rsidR="08C03E92">
        <w:t>c</w:t>
      </w:r>
      <w:r w:rsidR="080C3DB4">
        <w:t xml:space="preserve">kým, </w:t>
      </w:r>
      <w:r w:rsidR="08B23F03">
        <w:t>nominal</w:t>
      </w:r>
      <w:r w:rsidR="08C03E92">
        <w:t>i</w:t>
      </w:r>
      <w:r w:rsidR="08B23F03">
        <w:t>s</w:t>
      </w:r>
      <w:r w:rsidR="080C3DB4">
        <w:t xml:space="preserve">tickým a moderním </w:t>
      </w:r>
      <w:r w:rsidR="08C03E92">
        <w:t xml:space="preserve">logickým školám. </w:t>
      </w:r>
      <w:r w:rsidR="085941A9">
        <w:t xml:space="preserve">Jakmile zanikl zakladatelský smysl tohoto původního konfliktu, pak nutně zanikla i tato instituce, protože neměla žádnou </w:t>
      </w:r>
      <w:r w:rsidR="085941A9" w:rsidRPr="083B4996">
        <w:rPr>
          <w:i/>
        </w:rPr>
        <w:t>arché</w:t>
      </w:r>
      <w:r w:rsidR="085941A9">
        <w:t xml:space="preserve"> ve smyslu původní moci myšlení dané vazbou na počátek. </w:t>
      </w:r>
      <w:r w:rsidR="085D5A4B">
        <w:t xml:space="preserve">Magistr </w:t>
      </w:r>
      <w:r w:rsidR="080539B6">
        <w:t xml:space="preserve">Alvernus jako faktický zakladatel </w:t>
      </w:r>
      <w:r w:rsidR="08C0453B">
        <w:t>papežského kolegia magist</w:t>
      </w:r>
      <w:r w:rsidR="08C03E92">
        <w:t>r</w:t>
      </w:r>
      <w:r w:rsidR="08C0453B">
        <w:t>ů a žáků (</w:t>
      </w:r>
      <w:r w:rsidR="08C0453B" w:rsidRPr="08C0453B">
        <w:rPr>
          <w:i/>
        </w:rPr>
        <w:t>universitas</w:t>
      </w:r>
      <w:r w:rsidR="08C0453B">
        <w:t xml:space="preserve">) </w:t>
      </w:r>
      <w:r w:rsidR="00890B34">
        <w:t xml:space="preserve">zásadně odmítá </w:t>
      </w:r>
      <w:r w:rsidR="08833B6C">
        <w:t xml:space="preserve">ve svém prvním spise moderní </w:t>
      </w:r>
      <w:r w:rsidR="0824630C">
        <w:t xml:space="preserve">dualistické </w:t>
      </w:r>
      <w:r w:rsidR="00890B34">
        <w:t xml:space="preserve">pojetí dané neoplatonským výkladem </w:t>
      </w:r>
      <w:r w:rsidR="00890B34" w:rsidRPr="00890B34">
        <w:rPr>
          <w:i/>
        </w:rPr>
        <w:t>De anima</w:t>
      </w:r>
      <w:r w:rsidR="004E704F">
        <w:t xml:space="preserve"> podle Toledské školy</w:t>
      </w:r>
      <w:r w:rsidR="005E4754">
        <w:fldChar w:fldCharType="begin"/>
      </w:r>
      <w:r w:rsidR="005E4754">
        <w:instrText xml:space="preserve"> XE "</w:instrText>
      </w:r>
      <w:r w:rsidR="004A155A">
        <w:instrText>Toledská škola</w:instrText>
      </w:r>
      <w:r w:rsidR="005E4754">
        <w:instrText xml:space="preserve">" </w:instrText>
      </w:r>
      <w:r w:rsidR="005E4754">
        <w:fldChar w:fldCharType="end"/>
      </w:r>
      <w:r w:rsidR="004E704F">
        <w:t xml:space="preserve">, která </w:t>
      </w:r>
      <w:r w:rsidR="003E6B8C">
        <w:t xml:space="preserve">sofisticky spojila </w:t>
      </w:r>
      <w:r w:rsidR="004E704F">
        <w:t>Avicennu a Averro</w:t>
      </w:r>
      <w:r w:rsidR="00EB2042">
        <w:t>e</w:t>
      </w:r>
      <w:r w:rsidR="004E704F">
        <w:t xml:space="preserve">se. </w:t>
      </w:r>
      <w:r w:rsidR="007D2101">
        <w:t>Kosmický oddělený intelekt nepo</w:t>
      </w:r>
      <w:r w:rsidR="007B0019">
        <w:t xml:space="preserve">třebuje ke své činnosti ani </w:t>
      </w:r>
      <w:r w:rsidR="004B4D52" w:rsidRPr="004B4D52">
        <w:t>species</w:t>
      </w:r>
      <w:r w:rsidR="007B0019" w:rsidRPr="007B0019">
        <w:rPr>
          <w:i/>
        </w:rPr>
        <w:t xml:space="preserve"> sensibilis</w:t>
      </w:r>
      <w:r w:rsidR="007B0019">
        <w:t xml:space="preserve">, ani </w:t>
      </w:r>
      <w:r w:rsidR="007B0019" w:rsidRPr="007B0019">
        <w:rPr>
          <w:i/>
        </w:rPr>
        <w:t>intellectus possibilis</w:t>
      </w:r>
      <w:r w:rsidR="007B0019">
        <w:t xml:space="preserve">, ale jen akt čisté iluminace. </w:t>
      </w:r>
      <w:r w:rsidR="00A54021">
        <w:t>A</w:t>
      </w:r>
      <w:r w:rsidR="00AE401B">
        <w:t xml:space="preserve">vicennisté berou </w:t>
      </w:r>
      <w:r w:rsidR="00AE401B" w:rsidRPr="00AE401B">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0AE401B">
        <w:t xml:space="preserve"> v člověku a </w:t>
      </w:r>
      <w:r w:rsidR="00736734">
        <w:t xml:space="preserve">v </w:t>
      </w:r>
      <w:r w:rsidR="00AE401B">
        <w:t>kosmických inteligencích zcela univočně</w:t>
      </w:r>
      <w:r w:rsidR="007A7B90">
        <w:t xml:space="preserve"> a s</w:t>
      </w:r>
      <w:r w:rsidR="00AE401B">
        <w:t xml:space="preserve">tejnou chybu opakují současní </w:t>
      </w:r>
      <w:r w:rsidR="007A6CB7">
        <w:t>objektivisté</w:t>
      </w:r>
      <w:r w:rsidR="00367F7B">
        <w:t>.</w:t>
      </w:r>
    </w:p>
    <w:p w14:paraId="5377C9C4" w14:textId="1C9F8823" w:rsidR="00985674" w:rsidRPr="007D4898" w:rsidRDefault="08BA4C65" w:rsidP="000A4E96">
      <w:pPr>
        <w:ind w:firstLine="397"/>
      </w:pPr>
      <w:r>
        <w:t>Alvernus se odlišil</w:t>
      </w:r>
      <w:r w:rsidR="00A54021">
        <w:t xml:space="preserve"> od </w:t>
      </w:r>
      <w:r>
        <w:t xml:space="preserve">Grossetesteho traktátu </w:t>
      </w:r>
      <w:r w:rsidR="003C7B60" w:rsidRPr="00273106">
        <w:t xml:space="preserve">tím, že spojil teologickou a filosofickou stránku duše. Možnost přímé iluminace </w:t>
      </w:r>
      <w:r w:rsidR="00185E20" w:rsidRPr="00273106">
        <w:t>zůstává pro akty víry a mystick</w:t>
      </w:r>
      <w:r w:rsidR="0895424F">
        <w:t>é iluminace dané přímo od boha</w:t>
      </w:r>
      <w:r w:rsidR="008D3E6B">
        <w:t>.</w:t>
      </w:r>
      <w:r w:rsidR="0895424F">
        <w:rPr>
          <w:rStyle w:val="Znakapoznpodarou"/>
        </w:rPr>
        <w:footnoteReference w:id="155"/>
      </w:r>
      <w:r w:rsidR="008D3E6B">
        <w:t xml:space="preserve"> </w:t>
      </w:r>
      <w:r w:rsidR="08CF7558">
        <w:t xml:space="preserve">Na tento náhled navázal výklad </w:t>
      </w:r>
      <w:r w:rsidR="08CF7558" w:rsidRPr="08CF7558">
        <w:rPr>
          <w:i/>
        </w:rPr>
        <w:t>synderesis</w:t>
      </w:r>
      <w:r w:rsidR="08CF7558">
        <w:t xml:space="preserve"> podle </w:t>
      </w:r>
      <w:r w:rsidR="08AF34B6">
        <w:t xml:space="preserve">mystického </w:t>
      </w:r>
      <w:r w:rsidR="0866133E">
        <w:t xml:space="preserve">vidění </w:t>
      </w:r>
      <w:r w:rsidR="08CF7558">
        <w:t>Ezechiela</w:t>
      </w:r>
      <w:r w:rsidR="0866133E">
        <w:t xml:space="preserve"> o </w:t>
      </w:r>
      <w:r w:rsidR="08AF34B6">
        <w:t xml:space="preserve">bytostech s dvěma </w:t>
      </w:r>
      <w:r w:rsidR="0866133E">
        <w:t>tvář</w:t>
      </w:r>
      <w:r w:rsidR="08AF34B6">
        <w:t>emi</w:t>
      </w:r>
      <w:r w:rsidR="0866133E">
        <w:t xml:space="preserve"> býka a orla (</w:t>
      </w:r>
      <w:r w:rsidR="0866133E" w:rsidRPr="0866133E">
        <w:rPr>
          <w:rStyle w:val="text"/>
          <w:i/>
        </w:rPr>
        <w:t>facies bovis</w:t>
      </w:r>
      <w:r w:rsidR="0866133E">
        <w:rPr>
          <w:rStyle w:val="text"/>
        </w:rPr>
        <w:t xml:space="preserve">... </w:t>
      </w:r>
      <w:r w:rsidR="0866133E" w:rsidRPr="0866133E">
        <w:rPr>
          <w:rStyle w:val="text"/>
          <w:i/>
        </w:rPr>
        <w:t>facies aquilae</w:t>
      </w:r>
      <w:r w:rsidR="0866133E">
        <w:rPr>
          <w:rStyle w:val="text"/>
          <w:i/>
        </w:rPr>
        <w:t>;</w:t>
      </w:r>
      <w:r w:rsidR="0866133E">
        <w:rPr>
          <w:rStyle w:val="text"/>
        </w:rPr>
        <w:t xml:space="preserve"> </w:t>
      </w:r>
      <w:r w:rsidR="0866133E">
        <w:t>Ez 1:10</w:t>
      </w:r>
      <w:r w:rsidR="0866133E">
        <w:fldChar w:fldCharType="begin"/>
      </w:r>
      <w:r w:rsidR="0866133E">
        <w:instrText xml:space="preserve"> XE "Starý Zákon:</w:instrText>
      </w:r>
      <w:r w:rsidR="0866133E" w:rsidRPr="087B358B">
        <w:instrText>Ezechiel</w:instrText>
      </w:r>
      <w:r w:rsidR="0866133E">
        <w:instrText xml:space="preserve"> </w:instrText>
      </w:r>
      <w:r w:rsidR="0866133E" w:rsidRPr="081745C8">
        <w:instrText>1:10</w:instrText>
      </w:r>
      <w:r w:rsidR="0866133E">
        <w:instrText xml:space="preserve">" </w:instrText>
      </w:r>
      <w:r w:rsidR="0866133E">
        <w:fldChar w:fldCharType="end"/>
      </w:r>
      <w:r w:rsidR="0866133E">
        <w:t>)</w:t>
      </w:r>
      <w:r w:rsidR="08B61603">
        <w:t xml:space="preserve">. </w:t>
      </w:r>
      <w:r w:rsidR="082339E2">
        <w:t>Orlí s</w:t>
      </w:r>
      <w:r w:rsidR="08B61603">
        <w:t xml:space="preserve">ynderesis z tohoto </w:t>
      </w:r>
      <w:r w:rsidR="08CF7558">
        <w:t>zásad</w:t>
      </w:r>
      <w:r w:rsidR="08E37E85">
        <w:t xml:space="preserve">ního </w:t>
      </w:r>
      <w:r w:rsidR="08B61603">
        <w:t xml:space="preserve">mystického </w:t>
      </w:r>
      <w:r w:rsidR="08E37E85">
        <w:t>důvodu učinil neomylnou</w:t>
      </w:r>
      <w:r w:rsidR="082339E2">
        <w:t>, ale nikoliv jej</w:t>
      </w:r>
      <w:r w:rsidR="08E44A54">
        <w:t>í nižší složku</w:t>
      </w:r>
      <w:r w:rsidR="082339E2">
        <w:t xml:space="preserve"> danou přirozeně</w:t>
      </w:r>
      <w:r w:rsidR="08E37E85">
        <w:t>.</w:t>
      </w:r>
      <w:r w:rsidR="082339E2">
        <w:rPr>
          <w:rStyle w:val="Znakapoznpodarou"/>
        </w:rPr>
        <w:footnoteReference w:id="156"/>
      </w:r>
      <w:r w:rsidR="08E37E85">
        <w:t xml:space="preserve"> </w:t>
      </w:r>
      <w:r w:rsidR="08623532">
        <w:t xml:space="preserve">Toto pojetí </w:t>
      </w:r>
      <w:r w:rsidR="08623532" w:rsidRPr="08E92B65">
        <w:rPr>
          <w:i/>
        </w:rPr>
        <w:t>synderesis</w:t>
      </w:r>
      <w:r w:rsidR="08623532">
        <w:t xml:space="preserve"> vychází z výkladu poznání podle Blundovy školy </w:t>
      </w:r>
      <w:r w:rsidR="08623532" w:rsidRPr="086448AD">
        <w:rPr>
          <w:i/>
        </w:rPr>
        <w:t>De anima</w:t>
      </w:r>
      <w:r w:rsidR="08623532">
        <w:t xml:space="preserve">, kde je intelekt pouze v modu </w:t>
      </w:r>
      <w:r w:rsidR="08623532" w:rsidRPr="086448AD">
        <w:rPr>
          <w:i/>
        </w:rPr>
        <w:t>tabula rasa</w:t>
      </w:r>
      <w:r w:rsidR="08623532">
        <w:t xml:space="preserve"> a proto nemůže mít žádnou vrozenou morální </w:t>
      </w:r>
      <w:r w:rsidR="08623532" w:rsidRPr="086448AD">
        <w:rPr>
          <w:i/>
        </w:rPr>
        <w:t>synderesis</w:t>
      </w:r>
      <w:r w:rsidR="08623532">
        <w:t xml:space="preserve"> danou přímo od boha. </w:t>
      </w:r>
      <w:r w:rsidR="08C01ED8">
        <w:t xml:space="preserve">Proto </w:t>
      </w:r>
      <w:r w:rsidR="08C01ED8">
        <w:lastRenderedPageBreak/>
        <w:t xml:space="preserve">Alvernus </w:t>
      </w:r>
      <w:r w:rsidR="0863440E">
        <w:t>oddělil dvojí</w:t>
      </w:r>
      <w:r w:rsidR="08C01ED8">
        <w:t xml:space="preserve"> náhled od neoplatonského pojetí </w:t>
      </w:r>
      <w:r w:rsidR="08C01ED8" w:rsidRPr="08CF7558">
        <w:rPr>
          <w:i/>
        </w:rPr>
        <w:t>synderesis</w:t>
      </w:r>
      <w:r w:rsidR="08C01ED8">
        <w:rPr>
          <w:i/>
        </w:rPr>
        <w:t xml:space="preserve"> </w:t>
      </w:r>
      <w:r w:rsidR="08C01ED8" w:rsidRPr="08BB3351">
        <w:t xml:space="preserve">jako jsoucna třetího druhu, </w:t>
      </w:r>
      <w:r w:rsidR="08C01ED8">
        <w:t xml:space="preserve">kterou měli teologičtí avicennisté jako všeobecnou vlastnost neomylného svědomí. </w:t>
      </w:r>
      <w:r w:rsidR="08623532">
        <w:t>O</w:t>
      </w:r>
      <w:r w:rsidR="08CF7558">
        <w:t xml:space="preserve">tázku </w:t>
      </w:r>
      <w:r w:rsidR="08BA5458">
        <w:t>o</w:t>
      </w:r>
      <w:r w:rsidR="08CF7558">
        <w:t xml:space="preserve">mylného hlasu svědomí </w:t>
      </w:r>
      <w:r w:rsidR="08BA5458">
        <w:t xml:space="preserve">daného na úrovni racionálního morálního soudu osoby </w:t>
      </w:r>
      <w:r w:rsidR="08CF7558">
        <w:t>pak Alvenus znovu rozebírá a obhajuje v násl</w:t>
      </w:r>
      <w:r w:rsidR="08975819">
        <w:t>edujícím traktátu o duši (kap. 2</w:t>
      </w:r>
      <w:r w:rsidR="08CF7558">
        <w:t xml:space="preserve">.3.3). </w:t>
      </w:r>
      <w:r w:rsidR="08A136E9">
        <w:t xml:space="preserve">Vliv Avicennovy iluminace na mystické poznání vysvětluje, proč </w:t>
      </w:r>
      <w:r w:rsidR="00E32325">
        <w:t xml:space="preserve">Alvernus vyhlašuje </w:t>
      </w:r>
      <w:r w:rsidR="001873A6">
        <w:t>tezi o př</w:t>
      </w:r>
      <w:r w:rsidR="08975819">
        <w:t>ímém náhledu boží esence (kap. 3</w:t>
      </w:r>
      <w:r w:rsidR="001873A6">
        <w:t xml:space="preserve">.4.3). </w:t>
      </w:r>
      <w:r w:rsidR="000411C8" w:rsidRPr="00273106">
        <w:t>Lidé jsou schop</w:t>
      </w:r>
      <w:r w:rsidR="009412C6" w:rsidRPr="00273106">
        <w:t>n</w:t>
      </w:r>
      <w:r w:rsidR="000411C8" w:rsidRPr="00273106">
        <w:t>i</w:t>
      </w:r>
      <w:r w:rsidR="009412C6" w:rsidRPr="00273106">
        <w:t xml:space="preserve"> </w:t>
      </w:r>
      <w:r w:rsidR="00377873" w:rsidRPr="00273106">
        <w:t xml:space="preserve">přijmout </w:t>
      </w:r>
      <w:r w:rsidR="000371C2" w:rsidRPr="00273106">
        <w:t xml:space="preserve">akt mystické iluminace </w:t>
      </w:r>
      <w:r w:rsidR="008D3E6B">
        <w:t xml:space="preserve">i </w:t>
      </w:r>
      <w:r w:rsidR="000371C2" w:rsidRPr="00273106">
        <w:t>na způsob avicennistů</w:t>
      </w:r>
      <w:r w:rsidR="00A248A7">
        <w:t xml:space="preserve">. Ale normálně poznávají </w:t>
      </w:r>
      <w:r w:rsidR="00557055">
        <w:t xml:space="preserve">svět </w:t>
      </w:r>
      <w:r w:rsidR="009412C6" w:rsidRPr="00273106">
        <w:t xml:space="preserve">bez </w:t>
      </w:r>
      <w:r w:rsidR="00A248A7">
        <w:t xml:space="preserve">mystického </w:t>
      </w:r>
      <w:r w:rsidR="009412C6" w:rsidRPr="00273106">
        <w:t xml:space="preserve">osvícení </w:t>
      </w:r>
      <w:r w:rsidR="00377873" w:rsidRPr="00273106">
        <w:t>zcela přirozeným způsobem</w:t>
      </w:r>
      <w:r w:rsidR="08C86FD5">
        <w:t xml:space="preserve"> a proto je jejich </w:t>
      </w:r>
      <w:r w:rsidR="08E92B65">
        <w:t xml:space="preserve">přirozené </w:t>
      </w:r>
      <w:r w:rsidR="08C86FD5">
        <w:t xml:space="preserve">svědomí </w:t>
      </w:r>
      <w:r w:rsidR="08E92B65">
        <w:t>vystavené omylu</w:t>
      </w:r>
      <w:r w:rsidR="00377873" w:rsidRPr="00273106">
        <w:t xml:space="preserve">. </w:t>
      </w:r>
      <w:r w:rsidR="004B1AF4" w:rsidRPr="00273106">
        <w:t>Výsledkem je hraniční pojetí lidského intelektu</w:t>
      </w:r>
      <w:r w:rsidR="08AD05FB">
        <w:t xml:space="preserve"> a étosu</w:t>
      </w:r>
      <w:r w:rsidR="004B1AF4" w:rsidRPr="00273106">
        <w:t xml:space="preserve">, který má zásadně odlišnou strukturu než </w:t>
      </w:r>
      <w:r w:rsidR="08AD05FB">
        <w:t xml:space="preserve">definice člověka skrze </w:t>
      </w:r>
      <w:r w:rsidR="004B1AF4" w:rsidRPr="00273106">
        <w:t xml:space="preserve">kosmický </w:t>
      </w:r>
      <w:r w:rsidR="004B1AF4" w:rsidRPr="00273106">
        <w:rPr>
          <w:i/>
        </w:rPr>
        <w:t>intellectus agens</w:t>
      </w:r>
      <w:r w:rsidR="004B1AF4" w:rsidRPr="00273106">
        <w:t xml:space="preserve">. </w:t>
      </w:r>
      <w:r w:rsidR="005329E8" w:rsidRPr="00273106">
        <w:t xml:space="preserve">Traktát odmítne </w:t>
      </w:r>
      <w:r w:rsidR="00874074">
        <w:t>neoplatonsk</w:t>
      </w:r>
      <w:r w:rsidR="004B1AF4" w:rsidRPr="00273106">
        <w:t xml:space="preserve">ý intelekt-slunce </w:t>
      </w:r>
      <w:r w:rsidR="005329E8" w:rsidRPr="00273106">
        <w:t>a zavádí přesné sch</w:t>
      </w:r>
      <w:r w:rsidR="004B1AF4" w:rsidRPr="00273106">
        <w:t>éma obou složek duše podle CMDA</w:t>
      </w:r>
      <w:r w:rsidR="005329E8" w:rsidRPr="00273106">
        <w:t xml:space="preserve">. </w:t>
      </w:r>
      <w:r w:rsidR="000411C8" w:rsidRPr="00273106">
        <w:t xml:space="preserve">A navíc přijme </w:t>
      </w:r>
      <w:r w:rsidR="08104295">
        <w:t xml:space="preserve">pro zcela oddělené mystické poznání boha také </w:t>
      </w:r>
      <w:r w:rsidR="000411C8" w:rsidRPr="00273106">
        <w:t xml:space="preserve">augustiniánsko-avicennistický model osvícení daný v Avicennově komentáři k </w:t>
      </w:r>
      <w:r w:rsidR="00B713C5">
        <w:rPr>
          <w:i/>
        </w:rPr>
        <w:t>De a</w:t>
      </w:r>
      <w:r w:rsidR="08BA3B35" w:rsidRPr="00273106">
        <w:rPr>
          <w:i/>
        </w:rPr>
        <w:t>nima</w:t>
      </w:r>
      <w:r w:rsidR="000411C8" w:rsidRPr="00273106">
        <w:t xml:space="preserve"> </w:t>
      </w:r>
      <w:r w:rsidR="08FD27F9">
        <w:t xml:space="preserve">skrze pojem </w:t>
      </w:r>
      <w:r w:rsidR="00967510" w:rsidRPr="00273106">
        <w:rPr>
          <w:i/>
        </w:rPr>
        <w:t>intellectus sanctus</w:t>
      </w:r>
      <w:r w:rsidR="00AE6EEC">
        <w:rPr>
          <w:i/>
        </w:rPr>
        <w:fldChar w:fldCharType="begin"/>
      </w:r>
      <w:r w:rsidR="00AE6EEC">
        <w:instrText xml:space="preserve"> XE "</w:instrText>
      </w:r>
      <w:r w:rsidR="00AE6EEC" w:rsidRPr="00473DEE">
        <w:rPr>
          <w:i/>
        </w:rPr>
        <w:instrText>intellectus sanctus</w:instrText>
      </w:r>
      <w:r w:rsidR="00AE6EEC">
        <w:instrText xml:space="preserve">" </w:instrText>
      </w:r>
      <w:r w:rsidR="00AE6EEC">
        <w:rPr>
          <w:i/>
        </w:rPr>
        <w:fldChar w:fldCharType="end"/>
      </w:r>
      <w:r w:rsidR="00967510" w:rsidRPr="00273106">
        <w:t xml:space="preserve"> </w:t>
      </w:r>
      <w:r w:rsidR="000411C8" w:rsidRPr="00273106">
        <w:t>(</w:t>
      </w:r>
      <w:r w:rsidR="08680375">
        <w:t xml:space="preserve">OBJ I, </w:t>
      </w:r>
      <w:r w:rsidR="000411C8" w:rsidRPr="00273106">
        <w:t xml:space="preserve">kap. </w:t>
      </w:r>
      <w:r w:rsidR="00161FCD" w:rsidRPr="00273106">
        <w:t>2.3.2</w:t>
      </w:r>
      <w:r w:rsidR="00967510" w:rsidRPr="00273106">
        <w:t xml:space="preserve">). </w:t>
      </w:r>
      <w:r w:rsidR="085A506B">
        <w:t xml:space="preserve">A toto poznání zásadně oddělí od přirozeného poznání světa a étosu daného všem lidem. </w:t>
      </w:r>
      <w:r w:rsidR="00416745" w:rsidRPr="00273106">
        <w:t xml:space="preserve">Rozdělení obou forem osvícení a intelektu, teologie a filosofie, </w:t>
      </w:r>
      <w:r w:rsidR="00C101C9" w:rsidRPr="00273106">
        <w:t xml:space="preserve">ukazuje první autonomní poznání světa </w:t>
      </w:r>
      <w:r w:rsidR="00416745" w:rsidRPr="00273106">
        <w:t xml:space="preserve">skrze aristotelsky daný </w:t>
      </w:r>
      <w:r w:rsidR="00985674">
        <w:t>smysl jsoucna.</w:t>
      </w:r>
      <w:r w:rsidR="08936FC9">
        <w:t xml:space="preserve"> A teologické přijetí avicennismu </w:t>
      </w:r>
      <w:r w:rsidR="08936FC9" w:rsidRPr="00273106">
        <w:t xml:space="preserve">zakládá </w:t>
      </w:r>
      <w:r w:rsidR="08936FC9" w:rsidRPr="00273106">
        <w:rPr>
          <w:i/>
        </w:rPr>
        <w:t>Lichtung</w:t>
      </w:r>
      <w:r w:rsidR="08936FC9" w:rsidRPr="00273106">
        <w:t xml:space="preserve"> sporu o dvojí pravdu</w:t>
      </w:r>
      <w:r w:rsidR="08936FC9">
        <w:fldChar w:fldCharType="begin"/>
      </w:r>
      <w:r w:rsidR="08936FC9">
        <w:instrText xml:space="preserve"> XE "teorie dvojí pravdy" </w:instrText>
      </w:r>
      <w:r w:rsidR="08936FC9">
        <w:fldChar w:fldCharType="end"/>
      </w:r>
      <w:r w:rsidR="08936FC9" w:rsidRPr="00273106">
        <w:t xml:space="preserve">, jehož moderní nepravdu ukáže </w:t>
      </w:r>
      <w:r w:rsidR="08B0670D">
        <w:t xml:space="preserve">pařížský </w:t>
      </w:r>
      <w:r w:rsidR="08936FC9" w:rsidRPr="00273106">
        <w:t xml:space="preserve">dekret </w:t>
      </w:r>
      <w:r w:rsidR="08741D7E">
        <w:t xml:space="preserve">jeho biskupského nástupce </w:t>
      </w:r>
      <w:r w:rsidR="08936FC9" w:rsidRPr="00273106">
        <w:t>z března 1277.</w:t>
      </w:r>
    </w:p>
    <w:p w14:paraId="358458CB" w14:textId="364D6319" w:rsidR="003C6A7B" w:rsidRPr="08C12174" w:rsidRDefault="00985674" w:rsidP="00B14EDC">
      <w:r>
        <w:tab/>
      </w:r>
      <w:r w:rsidR="00BF1811" w:rsidRPr="00273106">
        <w:t>První r</w:t>
      </w:r>
      <w:r w:rsidR="003C6A7B" w:rsidRPr="00273106">
        <w:t xml:space="preserve">ecepce </w:t>
      </w:r>
      <w:r w:rsidR="002E3B62">
        <w:t>Averroes</w:t>
      </w:r>
      <w:r w:rsidR="003C6A7B" w:rsidRPr="00273106">
        <w:t xml:space="preserve">e na Západě </w:t>
      </w:r>
      <w:r w:rsidR="00BF1811" w:rsidRPr="00273106">
        <w:t xml:space="preserve">v letech </w:t>
      </w:r>
      <w:r w:rsidR="003C6A7B" w:rsidRPr="00273106">
        <w:t>1225‒30 zahájila nové kolo gigantomachie</w:t>
      </w:r>
      <w:r w:rsidR="002D535C">
        <w:fldChar w:fldCharType="begin"/>
      </w:r>
      <w:r w:rsidR="002D535C">
        <w:instrText xml:space="preserve"> XE "substance:</w:instrText>
      </w:r>
      <w:r w:rsidR="002D535C" w:rsidRPr="0064457A">
        <w:instrText>gigantomachie</w:instrText>
      </w:r>
      <w:r w:rsidR="002D535C">
        <w:instrText xml:space="preserve">" </w:instrText>
      </w:r>
      <w:r w:rsidR="002D535C">
        <w:fldChar w:fldCharType="end"/>
      </w:r>
      <w:r w:rsidR="003C6A7B" w:rsidRPr="00273106">
        <w:t xml:space="preserve">, tentokrát ohledně statutu </w:t>
      </w:r>
      <w:r w:rsidR="006A04C6" w:rsidRPr="006A04C6">
        <w:t>species</w:t>
      </w:r>
      <w:r w:rsidR="00312972">
        <w:t xml:space="preserve"> a intelektu</w:t>
      </w:r>
      <w:r w:rsidR="003C6A7B" w:rsidRPr="00273106">
        <w:t xml:space="preserve">. </w:t>
      </w:r>
      <w:r w:rsidR="00704A8D">
        <w:t>Výklad Averroese podle Toledské ne</w:t>
      </w:r>
      <w:r w:rsidR="00061F71">
        <w:t xml:space="preserve">bo podle Sicilské školy založil </w:t>
      </w:r>
      <w:r w:rsidR="000412C8">
        <w:t xml:space="preserve">dvě linie výkladu </w:t>
      </w:r>
      <w:r w:rsidR="000412C8" w:rsidRPr="000412C8">
        <w:rPr>
          <w:i/>
        </w:rPr>
        <w:t>ad mentem Averrois</w:t>
      </w:r>
      <w:r w:rsidR="000412C8">
        <w:t xml:space="preserve"> </w:t>
      </w:r>
      <w:r w:rsidR="00061F71">
        <w:t>na Pařížské un</w:t>
      </w:r>
      <w:r w:rsidR="00704A8D">
        <w:t>iverzitě</w:t>
      </w:r>
      <w:r w:rsidR="00061F71">
        <w:t>, které se dostaly do teologických a filosofických sporů hned po roce 1230</w:t>
      </w:r>
      <w:r w:rsidR="00704A8D">
        <w:t xml:space="preserve">. Kolem Blunda </w:t>
      </w:r>
      <w:r w:rsidR="008520CE">
        <w:t>vznikla škola prvního averroismu, kolem Filipa K</w:t>
      </w:r>
      <w:r w:rsidR="00704A8D">
        <w:t xml:space="preserve">ancléře škola druhého averroismu. </w:t>
      </w:r>
      <w:r w:rsidR="08D40A62">
        <w:t xml:space="preserve">Spis </w:t>
      </w:r>
      <w:r w:rsidR="089A1B6F">
        <w:rPr>
          <w:i/>
        </w:rPr>
        <w:t>De anima et de potenciis eius</w:t>
      </w:r>
      <w:r w:rsidR="08D40A62">
        <w:rPr>
          <w:i/>
        </w:rPr>
        <w:t xml:space="preserve"> </w:t>
      </w:r>
      <w:r w:rsidR="08D40A62">
        <w:t xml:space="preserve">brání filosofický výklad jednoty osoby proti porretánským modernistům, spis </w:t>
      </w:r>
      <w:r w:rsidR="08D40A62" w:rsidRPr="00675E1E">
        <w:rPr>
          <w:i/>
        </w:rPr>
        <w:t xml:space="preserve">De potenciis animae et </w:t>
      </w:r>
      <w:r w:rsidR="08D40A62" w:rsidRPr="08D40A62">
        <w:rPr>
          <w:i/>
        </w:rPr>
        <w:t>obiectis</w:t>
      </w:r>
      <w:r w:rsidR="08D40A62" w:rsidRPr="08D40A62">
        <w:t xml:space="preserve"> zase </w:t>
      </w:r>
      <w:r w:rsidR="08D40A62">
        <w:t>há</w:t>
      </w:r>
      <w:r w:rsidR="08D40A62" w:rsidRPr="08D40A62">
        <w:t xml:space="preserve">jí teologickou jednotu proti modernistickým avicennistům. </w:t>
      </w:r>
      <w:r w:rsidR="08D40A62">
        <w:t>Oba spisy brilantně rozlišily pochybení Toledské školy a našly správnou inte</w:t>
      </w:r>
      <w:r w:rsidR="086219D0">
        <w:t>r</w:t>
      </w:r>
      <w:r w:rsidR="08D40A62">
        <w:t xml:space="preserve">pretaci </w:t>
      </w:r>
      <w:r w:rsidR="08D40A62" w:rsidRPr="08D40A62">
        <w:rPr>
          <w:i/>
        </w:rPr>
        <w:t>De anima</w:t>
      </w:r>
      <w:r w:rsidR="08D40A62">
        <w:t xml:space="preserve"> podle Komentátora. </w:t>
      </w:r>
      <w:r w:rsidR="08A05C2B">
        <w:t xml:space="preserve">Alvernus a Grosseteste </w:t>
      </w:r>
      <w:r w:rsidR="08977268">
        <w:t xml:space="preserve">spoluzaložili Pařížskou univerzitu </w:t>
      </w:r>
      <w:r w:rsidR="08977268" w:rsidRPr="08A05C2B">
        <w:rPr>
          <w:i/>
        </w:rPr>
        <w:t>ad mentem Averrois</w:t>
      </w:r>
      <w:r w:rsidR="08977268">
        <w:t xml:space="preserve"> </w:t>
      </w:r>
      <w:r w:rsidR="08A05C2B">
        <w:t xml:space="preserve">v polemice </w:t>
      </w:r>
      <w:r w:rsidR="08F94E83">
        <w:t xml:space="preserve">proti smrti boha a </w:t>
      </w:r>
      <w:r w:rsidR="08977268">
        <w:t xml:space="preserve">proti </w:t>
      </w:r>
      <w:r w:rsidR="08F94E83">
        <w:t xml:space="preserve">rozpadu osoby dané v Avicennově modernistické filosofii. </w:t>
      </w:r>
      <w:r w:rsidR="08977268">
        <w:t xml:space="preserve">Oba vrcholní žáci Blunda důstojně navázali na vznik této univerzity v zápase proti Dinantovu panteistickému aristotelismu. </w:t>
      </w:r>
      <w:r w:rsidR="08D40A62">
        <w:t xml:space="preserve">Tento vrcholný výkon vskutku křesťanské filosofie bohužel </w:t>
      </w:r>
      <w:r w:rsidR="08D40A62">
        <w:lastRenderedPageBreak/>
        <w:t xml:space="preserve">odešel do </w:t>
      </w:r>
      <w:r w:rsidR="0851784F">
        <w:t>dějin</w:t>
      </w:r>
      <w:r w:rsidR="08D40A62">
        <w:t>n</w:t>
      </w:r>
      <w:r w:rsidR="0851784F">
        <w:t>ě</w:t>
      </w:r>
      <w:r w:rsidR="08D40A62">
        <w:t xml:space="preserve"> dané </w:t>
      </w:r>
      <w:r w:rsidR="08D40A62" w:rsidRPr="08D40A62">
        <w:rPr>
          <w:i/>
        </w:rPr>
        <w:t>léthé</w:t>
      </w:r>
      <w:r w:rsidR="08D40A62">
        <w:t xml:space="preserve"> </w:t>
      </w:r>
      <w:r w:rsidR="0851784F">
        <w:t>a s ní i jednota osoby. Vítězná m</w:t>
      </w:r>
      <w:r w:rsidR="08D40A62">
        <w:t xml:space="preserve">oderna uvalila </w:t>
      </w:r>
      <w:r w:rsidR="08635999">
        <w:t xml:space="preserve">původ </w:t>
      </w:r>
      <w:r w:rsidR="08542DB5">
        <w:t xml:space="preserve">Pařížské </w:t>
      </w:r>
      <w:r w:rsidR="08635999">
        <w:t xml:space="preserve">univerzity </w:t>
      </w:r>
      <w:r w:rsidR="0808257D">
        <w:t xml:space="preserve">objektivně platné </w:t>
      </w:r>
      <w:r w:rsidR="08D40A62" w:rsidRPr="08D40A62">
        <w:rPr>
          <w:i/>
        </w:rPr>
        <w:t>damnatio memoriae</w:t>
      </w:r>
      <w:r w:rsidR="08D40A62">
        <w:t xml:space="preserve">. </w:t>
      </w:r>
      <w:r w:rsidR="00E205B3">
        <w:t xml:space="preserve">Po příchodu Sicilské školy do Paříže roku 1230 </w:t>
      </w:r>
      <w:r w:rsidR="002F4BE5" w:rsidRPr="00273106">
        <w:t>lze mluvit o vzniku autonomního latinského aristotelismu</w:t>
      </w:r>
      <w:r w:rsidR="00A65E86">
        <w:t xml:space="preserve">, který vyrostl </w:t>
      </w:r>
      <w:r w:rsidR="003C3ACE">
        <w:t xml:space="preserve">ve falsafě </w:t>
      </w:r>
      <w:r w:rsidR="00A65E86">
        <w:t xml:space="preserve">na sporu mezi Avicennou a </w:t>
      </w:r>
      <w:r w:rsidR="002E3B62">
        <w:t>Averroes</w:t>
      </w:r>
      <w:r w:rsidR="00A65E86">
        <w:t>em</w:t>
      </w:r>
      <w:r w:rsidR="003C3ACE" w:rsidRPr="003C3ACE">
        <w:t xml:space="preserve"> </w:t>
      </w:r>
      <w:r w:rsidR="003C3ACE">
        <w:t xml:space="preserve">o </w:t>
      </w:r>
      <w:r w:rsidR="00D2018C">
        <w:t xml:space="preserve">dvojí pojetí </w:t>
      </w:r>
      <w:r w:rsidR="003C3ACE">
        <w:t>metafyziky</w:t>
      </w:r>
      <w:r w:rsidR="002F4BE5" w:rsidRPr="00273106">
        <w:t xml:space="preserve">. </w:t>
      </w:r>
      <w:r w:rsidR="00D83116">
        <w:t xml:space="preserve">Aristotelská falsafa postupovala proti modernismu podobným způsobem (OBJ I, kap. 2.5). </w:t>
      </w:r>
      <w:r w:rsidR="002F4BE5" w:rsidRPr="00273106">
        <w:t xml:space="preserve">Celek jsoucího dostává nový smysl v epochálně novém pojetí </w:t>
      </w:r>
      <w:r w:rsidR="002F4BE5" w:rsidRPr="00273106">
        <w:rPr>
          <w:i/>
        </w:rPr>
        <w:t>intellectus possibilis</w:t>
      </w:r>
      <w:r w:rsidR="002D535C">
        <w:rPr>
          <w:i/>
        </w:rPr>
        <w:fldChar w:fldCharType="begin"/>
      </w:r>
      <w:r w:rsidR="002D535C">
        <w:instrText xml:space="preserve"> XE "</w:instrText>
      </w:r>
      <w:r w:rsidR="002D535C" w:rsidRPr="00490D32">
        <w:rPr>
          <w:i/>
        </w:rPr>
        <w:instrText xml:space="preserve">intellectus </w:instrText>
      </w:r>
      <w:r w:rsidR="002D535C">
        <w:rPr>
          <w:i/>
        </w:rPr>
        <w:instrText>possibilis</w:instrText>
      </w:r>
      <w:r w:rsidR="002D535C" w:rsidRPr="002D535C">
        <w:instrText>:první averroismus</w:instrText>
      </w:r>
      <w:r w:rsidR="002D535C">
        <w:instrText xml:space="preserve">" </w:instrText>
      </w:r>
      <w:r w:rsidR="002D535C">
        <w:rPr>
          <w:i/>
        </w:rPr>
        <w:fldChar w:fldCharType="end"/>
      </w:r>
      <w:r w:rsidR="002F4BE5">
        <w:t xml:space="preserve">, který se rozešel s augustiniánským avicennismem. </w:t>
      </w:r>
      <w:r w:rsidR="08C12174" w:rsidRPr="00273106">
        <w:t xml:space="preserve">Receptivní složka duše přijímá smyslová </w:t>
      </w:r>
      <w:r w:rsidR="00E02E2A" w:rsidRPr="00E02E2A">
        <w:t>species</w:t>
      </w:r>
      <w:r w:rsidR="08C12174" w:rsidRPr="00273106">
        <w:t xml:space="preserve"> syntetizovaná v představivosti a zároveň tvoří první patro syntézy prováděné skrze </w:t>
      </w:r>
      <w:r w:rsidR="08C12174" w:rsidRPr="00273106">
        <w:rPr>
          <w:i/>
        </w:rPr>
        <w:t>intellectus agens</w:t>
      </w:r>
      <w:r w:rsidR="08C12174">
        <w:rPr>
          <w:i/>
        </w:rPr>
        <w:fldChar w:fldCharType="begin"/>
      </w:r>
      <w:r w:rsidR="08C12174">
        <w:instrText xml:space="preserve"> XE "</w:instrText>
      </w:r>
      <w:r w:rsidR="08C12174" w:rsidRPr="00490D32">
        <w:rPr>
          <w:i/>
        </w:rPr>
        <w:instrText>intellectus agens</w:instrText>
      </w:r>
      <w:r w:rsidR="08C12174" w:rsidRPr="002D535C">
        <w:instrText>:první averroismus</w:instrText>
      </w:r>
      <w:r w:rsidR="08C12174">
        <w:instrText xml:space="preserve">" </w:instrText>
      </w:r>
      <w:r w:rsidR="08C12174">
        <w:rPr>
          <w:i/>
        </w:rPr>
        <w:fldChar w:fldCharType="end"/>
      </w:r>
      <w:r w:rsidR="08C12174" w:rsidRPr="00273106">
        <w:t xml:space="preserve"> jako aktivní složky duše.</w:t>
      </w:r>
      <w:r w:rsidR="08C12174">
        <w:t xml:space="preserve"> </w:t>
      </w:r>
      <w:r w:rsidR="08860EEC" w:rsidRPr="00273106">
        <w:t xml:space="preserve">Ambivalence pojmu </w:t>
      </w:r>
      <w:r w:rsidR="005555AF">
        <w:t>„</w:t>
      </w:r>
      <w:r w:rsidR="00E02E2A" w:rsidRPr="00E02E2A">
        <w:t>species</w:t>
      </w:r>
      <w:r w:rsidR="005555AF">
        <w:t>“</w:t>
      </w:r>
      <w:r w:rsidR="08860EEC" w:rsidRPr="00273106">
        <w:t xml:space="preserve"> </w:t>
      </w:r>
      <w:r w:rsidR="005555AF">
        <w:t xml:space="preserve">je </w:t>
      </w:r>
      <w:r w:rsidR="08860EEC" w:rsidRPr="00273106">
        <w:t>dan</w:t>
      </w:r>
      <w:r w:rsidR="005555AF">
        <w:t xml:space="preserve">á </w:t>
      </w:r>
      <w:r w:rsidR="08860EEC" w:rsidRPr="00273106">
        <w:t xml:space="preserve">skrze jeho nepravdu u </w:t>
      </w:r>
      <w:r w:rsidR="08860EEC" w:rsidRPr="00273106">
        <w:rPr>
          <w:i/>
        </w:rPr>
        <w:t>Nominales</w:t>
      </w:r>
      <w:r w:rsidR="08860EEC" w:rsidRPr="00273106">
        <w:t xml:space="preserve"> a skrze </w:t>
      </w:r>
      <w:r w:rsidR="005555AF">
        <w:t xml:space="preserve">pravdu podle Averroése. Jeho </w:t>
      </w:r>
      <w:r w:rsidR="08860EEC" w:rsidRPr="00273106">
        <w:t xml:space="preserve">formální </w:t>
      </w:r>
      <w:r w:rsidR="08860EEC" w:rsidRPr="00273106">
        <w:rPr>
          <w:i/>
        </w:rPr>
        <w:t>similitudo</w:t>
      </w:r>
      <w:r w:rsidR="08860EEC" w:rsidRPr="00273106">
        <w:t xml:space="preserve"> indikuje místo epochálního </w:t>
      </w:r>
      <w:r w:rsidR="08860EEC" w:rsidRPr="00273106">
        <w:rPr>
          <w:i/>
        </w:rPr>
        <w:t>Lichtung</w:t>
      </w:r>
      <w:r w:rsidR="08860EEC">
        <w:rPr>
          <w:i/>
        </w:rPr>
        <w:fldChar w:fldCharType="begin"/>
      </w:r>
      <w:r w:rsidR="08860EEC">
        <w:instrText xml:space="preserve"> XE "</w:instrText>
      </w:r>
      <w:r w:rsidR="08860EEC" w:rsidRPr="00871AEA">
        <w:rPr>
          <w:i/>
        </w:rPr>
        <w:instrText>Lichtung:</w:instrText>
      </w:r>
      <w:r w:rsidR="08860EEC" w:rsidRPr="00871AEA">
        <w:instrText>první averroimus</w:instrText>
      </w:r>
      <w:r w:rsidR="08860EEC">
        <w:instrText xml:space="preserve">" </w:instrText>
      </w:r>
      <w:r w:rsidR="08860EEC">
        <w:rPr>
          <w:i/>
        </w:rPr>
        <w:fldChar w:fldCharType="end"/>
      </w:r>
      <w:r w:rsidR="08860EEC" w:rsidRPr="00273106">
        <w:t xml:space="preserve"> zakládajícího pojetí pravdy jako adekvace intelektu a věci. Tím se v nové podobě poznání daném skrze </w:t>
      </w:r>
      <w:r w:rsidR="08860EEC" w:rsidRPr="00273106">
        <w:rPr>
          <w:i/>
        </w:rPr>
        <w:t>intellectus possibilis</w:t>
      </w:r>
      <w:r w:rsidR="08860EEC" w:rsidRPr="00273106">
        <w:t xml:space="preserve"> nastolil starý spor ohledně pravdy jako </w:t>
      </w:r>
      <w:r w:rsidR="08860EEC" w:rsidRPr="00273106">
        <w:rPr>
          <w:i/>
        </w:rPr>
        <w:t>rectitudo</w:t>
      </w:r>
      <w:r w:rsidR="08860EEC" w:rsidRPr="00273106">
        <w:t xml:space="preserve"> nebo </w:t>
      </w:r>
      <w:r w:rsidR="08860EEC">
        <w:rPr>
          <w:i/>
        </w:rPr>
        <w:t>adaequatio</w:t>
      </w:r>
      <w:r w:rsidR="08860EEC" w:rsidRPr="00273106">
        <w:t xml:space="preserve"> daný mezi Anselmem a Abelardem v předešlé matrici objektivity.</w:t>
      </w:r>
      <w:r w:rsidR="08B751EC">
        <w:t xml:space="preserve"> </w:t>
      </w:r>
      <w:r w:rsidR="08C12174">
        <w:t>Výklad Aristotela podle Komentátora vytvořil p</w:t>
      </w:r>
      <w:r w:rsidR="00532060">
        <w:t xml:space="preserve">rvní </w:t>
      </w:r>
      <w:r w:rsidR="08C12174">
        <w:t>verzi</w:t>
      </w:r>
      <w:r w:rsidR="085E7A31">
        <w:t xml:space="preserve"> </w:t>
      </w:r>
      <w:r w:rsidR="00532060">
        <w:t xml:space="preserve">autonomního filosofického </w:t>
      </w:r>
      <w:r w:rsidR="002F4BE5" w:rsidRPr="00273106">
        <w:t xml:space="preserve">poznání </w:t>
      </w:r>
      <w:r w:rsidR="00532060">
        <w:t xml:space="preserve">světa </w:t>
      </w:r>
      <w:r w:rsidR="002F4BE5" w:rsidRPr="00273106">
        <w:t>v děj</w:t>
      </w:r>
      <w:r w:rsidR="00DD2585">
        <w:t xml:space="preserve">inách západní scholastiky. </w:t>
      </w:r>
      <w:r w:rsidR="002F4BE5">
        <w:t xml:space="preserve">Oba spisy </w:t>
      </w:r>
      <w:r w:rsidR="003C6A7B" w:rsidRPr="00273106">
        <w:t>pochopil</w:t>
      </w:r>
      <w:r w:rsidR="002F4BE5">
        <w:t>y</w:t>
      </w:r>
      <w:r w:rsidR="003C6A7B" w:rsidRPr="00273106">
        <w:t xml:space="preserve"> skutečný význam </w:t>
      </w:r>
      <w:r w:rsidR="002E3B62">
        <w:t>Averroes</w:t>
      </w:r>
      <w:r w:rsidR="003C6A7B" w:rsidRPr="00273106">
        <w:t>e jak pro adekvační pojetí pravdy, tak pro individuální poznání</w:t>
      </w:r>
      <w:r w:rsidR="08B751EC">
        <w:t xml:space="preserve"> osoby jako aktuální první substance</w:t>
      </w:r>
      <w:r w:rsidR="003C6A7B" w:rsidRPr="00273106">
        <w:t xml:space="preserve">. </w:t>
      </w:r>
      <w:r w:rsidR="085779CD">
        <w:t>P</w:t>
      </w:r>
      <w:r w:rsidR="08B751EC">
        <w:t xml:space="preserve">o zániku myslitelského </w:t>
      </w:r>
      <w:r w:rsidR="08B751EC" w:rsidRPr="08B751EC">
        <w:rPr>
          <w:i/>
        </w:rPr>
        <w:t>Anfang</w:t>
      </w:r>
      <w:r w:rsidR="08B751EC">
        <w:t xml:space="preserve"> a </w:t>
      </w:r>
      <w:r w:rsidR="08B751EC" w:rsidRPr="08B751EC">
        <w:rPr>
          <w:i/>
        </w:rPr>
        <w:t>Ereignis</w:t>
      </w:r>
      <w:r w:rsidR="08B751EC">
        <w:t xml:space="preserve"> daných v modu akademického </w:t>
      </w:r>
      <w:r w:rsidR="08B751EC" w:rsidRPr="08B751EC">
        <w:rPr>
          <w:i/>
        </w:rPr>
        <w:t>religio</w:t>
      </w:r>
      <w:r w:rsidR="08B751EC">
        <w:t xml:space="preserve">, neboli </w:t>
      </w:r>
      <w:r w:rsidR="081664A2">
        <w:t xml:space="preserve">dějinného </w:t>
      </w:r>
      <w:r w:rsidR="08B751EC">
        <w:t>spojení s</w:t>
      </w:r>
      <w:r w:rsidR="081664A2">
        <w:t xml:space="preserve">e smyslem a </w:t>
      </w:r>
      <w:r w:rsidR="08B751EC">
        <w:t>původním počátke</w:t>
      </w:r>
      <w:r w:rsidR="085779CD">
        <w:t>m</w:t>
      </w:r>
      <w:r w:rsidR="08B751EC">
        <w:t xml:space="preserve"> autority Pařížské univerzity, zanikla v modu nepravdy i tato instituce. Když </w:t>
      </w:r>
      <w:r w:rsidR="08DE68B6">
        <w:t xml:space="preserve">padly </w:t>
      </w:r>
      <w:r w:rsidR="08B751EC">
        <w:t xml:space="preserve">základní principy formující </w:t>
      </w:r>
      <w:r w:rsidR="08B751EC" w:rsidRPr="08B751EC">
        <w:rPr>
          <w:i/>
        </w:rPr>
        <w:t>auctoritas</w:t>
      </w:r>
      <w:r w:rsidR="08AE549D">
        <w:rPr>
          <w:i/>
        </w:rPr>
        <w:fldChar w:fldCharType="begin"/>
      </w:r>
      <w:r w:rsidR="08AE549D">
        <w:instrText xml:space="preserve"> XE "</w:instrText>
      </w:r>
      <w:r w:rsidR="08AE549D" w:rsidRPr="08A95697">
        <w:rPr>
          <w:i/>
        </w:rPr>
        <w:instrText>auctoritas</w:instrText>
      </w:r>
      <w:r w:rsidR="08AE549D">
        <w:instrText xml:space="preserve">" </w:instrText>
      </w:r>
      <w:r w:rsidR="08AE549D">
        <w:rPr>
          <w:i/>
        </w:rPr>
        <w:fldChar w:fldCharType="end"/>
      </w:r>
      <w:r w:rsidR="08B751EC">
        <w:t xml:space="preserve"> Pařížské univerzity</w:t>
      </w:r>
      <w:r w:rsidR="08DE68B6">
        <w:t xml:space="preserve"> při jejím zakládání</w:t>
      </w:r>
      <w:r w:rsidR="08B751EC">
        <w:t xml:space="preserve">, pak </w:t>
      </w:r>
      <w:r w:rsidR="08695ABA">
        <w:t xml:space="preserve">zdejší </w:t>
      </w:r>
      <w:r w:rsidR="08B751EC">
        <w:t xml:space="preserve">nihilističtí modernisté neměli </w:t>
      </w:r>
      <w:r w:rsidR="08695ABA">
        <w:t xml:space="preserve">už vůbec </w:t>
      </w:r>
      <w:r w:rsidR="08B751EC">
        <w:t>nic (</w:t>
      </w:r>
      <w:r w:rsidR="08B751EC" w:rsidRPr="08B751EC">
        <w:rPr>
          <w:i/>
        </w:rPr>
        <w:t>nihil</w:t>
      </w:r>
      <w:r w:rsidR="08B751EC">
        <w:t>), co by mohli předávat (</w:t>
      </w:r>
      <w:r w:rsidR="08B751EC" w:rsidRPr="08B751EC">
        <w:rPr>
          <w:i/>
        </w:rPr>
        <w:t>traditio</w:t>
      </w:r>
      <w:r w:rsidR="08B751EC">
        <w:t xml:space="preserve">) z modu této původní </w:t>
      </w:r>
      <w:r w:rsidR="08695ABA">
        <w:t xml:space="preserve">aristotelské </w:t>
      </w:r>
      <w:r w:rsidR="08B751EC">
        <w:t xml:space="preserve">jednoty osoby a metafyziky, která přešla do epochální </w:t>
      </w:r>
      <w:r w:rsidR="08B751EC" w:rsidRPr="08B751EC">
        <w:rPr>
          <w:i/>
        </w:rPr>
        <w:t>léthé</w:t>
      </w:r>
      <w:r w:rsidR="08695ABA">
        <w:t xml:space="preserve"> potvrzené </w:t>
      </w:r>
      <w:r w:rsidR="08540B68">
        <w:t xml:space="preserve">Kartéziem a Husserlem. Hermeneutika tím potvrdila pro modernu </w:t>
      </w:r>
      <w:r w:rsidR="08AE549D">
        <w:t xml:space="preserve">základní významy latinského </w:t>
      </w:r>
      <w:r w:rsidR="08AE549D" w:rsidRPr="00EF2E25">
        <w:rPr>
          <w:i/>
        </w:rPr>
        <w:t>augere</w:t>
      </w:r>
      <w:r w:rsidR="08AE549D">
        <w:t xml:space="preserve"> v trojúhelníku vazeb mezi náboženstvím, autoritou a tradicí (</w:t>
      </w:r>
      <w:r w:rsidR="08AE549D" w:rsidRPr="00EF2E25">
        <w:rPr>
          <w:i/>
        </w:rPr>
        <w:t>religio</w:t>
      </w:r>
      <w:r w:rsidR="08AE549D">
        <w:t xml:space="preserve">, </w:t>
      </w:r>
      <w:r w:rsidR="08AE549D" w:rsidRPr="00EF2E25">
        <w:rPr>
          <w:i/>
        </w:rPr>
        <w:t>auctoritas</w:t>
      </w:r>
      <w:r w:rsidR="08AE549D">
        <w:t xml:space="preserve">, </w:t>
      </w:r>
      <w:r w:rsidR="08AE549D" w:rsidRPr="00EF2E25">
        <w:rPr>
          <w:i/>
        </w:rPr>
        <w:t>traditio</w:t>
      </w:r>
      <w:r w:rsidR="08AE549D">
        <w:t xml:space="preserve">) popsaných ve známém eseji o vzniku autority v republikánském Římě (Arendt 1961, 91‒142). </w:t>
      </w:r>
      <w:r w:rsidR="001130A5" w:rsidRPr="00273106">
        <w:t xml:space="preserve">Oba traktáty </w:t>
      </w:r>
      <w:r w:rsidR="08AE549D">
        <w:t xml:space="preserve">zakládající akademickou autoritu Pařížské univerzity </w:t>
      </w:r>
      <w:r w:rsidR="001130A5" w:rsidRPr="00273106">
        <w:t xml:space="preserve">pocházejí z myšlenkové dílny </w:t>
      </w:r>
      <w:r w:rsidR="00F52D93" w:rsidRPr="00273106">
        <w:t>prvního averroismu</w:t>
      </w:r>
      <w:r w:rsidR="00255941" w:rsidRPr="00273106">
        <w:t xml:space="preserve"> inspirované Blundovým mistrovským výkladem </w:t>
      </w:r>
      <w:r w:rsidR="00B713C5">
        <w:rPr>
          <w:i/>
        </w:rPr>
        <w:t>De a</w:t>
      </w:r>
      <w:r w:rsidR="00255941" w:rsidRPr="00273106">
        <w:rPr>
          <w:i/>
        </w:rPr>
        <w:t>nima</w:t>
      </w:r>
      <w:r w:rsidR="00300F57">
        <w:rPr>
          <w:i/>
        </w:rPr>
        <w:t xml:space="preserve"> </w:t>
      </w:r>
      <w:r w:rsidR="00300F57">
        <w:t>kolem roku 1200</w:t>
      </w:r>
      <w:r w:rsidR="00255941" w:rsidRPr="00300F57">
        <w:t>,</w:t>
      </w:r>
      <w:r w:rsidR="00255941" w:rsidRPr="00273106">
        <w:t xml:space="preserve"> které bylo </w:t>
      </w:r>
      <w:r w:rsidR="004E4EEB">
        <w:t>v letech 1225</w:t>
      </w:r>
      <w:r w:rsidR="001E7152">
        <w:t xml:space="preserve">‒30 </w:t>
      </w:r>
      <w:r w:rsidR="00255941" w:rsidRPr="00273106">
        <w:t>rozšířeno o kongeniální recepci</w:t>
      </w:r>
      <w:r w:rsidR="085E7A31">
        <w:t xml:space="preserve"> Komentátora</w:t>
      </w:r>
      <w:r w:rsidR="00255941" w:rsidRPr="00273106">
        <w:t xml:space="preserve">. </w:t>
      </w:r>
      <w:r w:rsidR="08A11F8D" w:rsidRPr="00273106">
        <w:t>První aver</w:t>
      </w:r>
      <w:r w:rsidR="08F20A4B">
        <w:t>ro</w:t>
      </w:r>
      <w:r w:rsidR="08A11F8D" w:rsidRPr="00273106">
        <w:t xml:space="preserve">ismus, filosofický i teologický, jasně rozlišil obě složky individuálního intelektu a odmítl </w:t>
      </w:r>
      <w:r w:rsidR="08A11F8D">
        <w:t>neoplatonsk</w:t>
      </w:r>
      <w:r w:rsidR="08A11F8D" w:rsidRPr="00273106">
        <w:t>ou teorii iluminace</w:t>
      </w:r>
      <w:r w:rsidR="08A11F8D">
        <w:t xml:space="preserve"> pro přirozený </w:t>
      </w:r>
      <w:r w:rsidR="08A11F8D">
        <w:lastRenderedPageBreak/>
        <w:t>průběh poznání</w:t>
      </w:r>
      <w:r w:rsidR="08A11F8D" w:rsidRPr="00273106">
        <w:t xml:space="preserve">. Předešlé části ukázaly, že toto rozlišení v CMDA představuje jádro </w:t>
      </w:r>
      <w:r w:rsidR="08A11F8D">
        <w:t>Averroes</w:t>
      </w:r>
      <w:r w:rsidR="08A11F8D" w:rsidRPr="00273106">
        <w:t>ovy kritiky Alexandra</w:t>
      </w:r>
      <w:r w:rsidR="08A11F8D">
        <w:fldChar w:fldCharType="begin"/>
      </w:r>
      <w:r w:rsidR="08A11F8D">
        <w:instrText xml:space="preserve"> XE "Alexander, Afrodisias" </w:instrText>
      </w:r>
      <w:r w:rsidR="08A11F8D">
        <w:fldChar w:fldCharType="end"/>
      </w:r>
      <w:r w:rsidR="08A11F8D">
        <w:t xml:space="preserve">, Avicenny a všech </w:t>
      </w:r>
      <w:r w:rsidR="08DE18BB">
        <w:t>alexandrovc</w:t>
      </w:r>
      <w:r w:rsidR="08A11F8D" w:rsidRPr="00273106">
        <w:t>ů</w:t>
      </w:r>
      <w:r w:rsidR="08A11F8D">
        <w:fldChar w:fldCharType="begin"/>
      </w:r>
      <w:r w:rsidR="08A11F8D">
        <w:instrText xml:space="preserve"> XE "</w:instrText>
      </w:r>
      <w:r w:rsidR="08DE18BB">
        <w:instrText>alexandrovci</w:instrText>
      </w:r>
      <w:r w:rsidR="08A11F8D">
        <w:instrText xml:space="preserve">" </w:instrText>
      </w:r>
      <w:r w:rsidR="08A11F8D">
        <w:fldChar w:fldCharType="end"/>
      </w:r>
      <w:r w:rsidR="08A11F8D" w:rsidRPr="00273106">
        <w:t xml:space="preserve"> jeho doby </w:t>
      </w:r>
      <w:r w:rsidR="08A11F8D" w:rsidRPr="00273106">
        <w:rPr>
          <w:rStyle w:val="Zkladntext158dkovn0pt"/>
          <w:color w:val="auto"/>
          <w:spacing w:val="0"/>
          <w:sz w:val="24"/>
          <w:lang w:val="cs-CZ"/>
        </w:rPr>
        <w:t>(</w:t>
      </w:r>
      <w:r w:rsidR="088A3FBF">
        <w:rPr>
          <w:rStyle w:val="Zkladntext158dkovn0pt"/>
          <w:color w:val="auto"/>
          <w:spacing w:val="0"/>
          <w:sz w:val="24"/>
          <w:lang w:val="cs-CZ"/>
        </w:rPr>
        <w:t xml:space="preserve">OBJ I, </w:t>
      </w:r>
      <w:r w:rsidR="08A11F8D" w:rsidRPr="00273106">
        <w:rPr>
          <w:rStyle w:val="Zkladntext158dkovn0pt"/>
          <w:color w:val="auto"/>
          <w:spacing w:val="0"/>
          <w:sz w:val="24"/>
          <w:lang w:val="cs-CZ"/>
        </w:rPr>
        <w:t xml:space="preserve">kap. 2.4.2). </w:t>
      </w:r>
      <w:r w:rsidR="001130A5" w:rsidRPr="00273106">
        <w:t xml:space="preserve">Oba spisy založily pojetí pravdy jako </w:t>
      </w:r>
      <w:r w:rsidR="083F6697">
        <w:t xml:space="preserve">formální </w:t>
      </w:r>
      <w:r w:rsidR="001130A5" w:rsidRPr="00273106">
        <w:t xml:space="preserve">adekvace věci, smyslů a intelektu na základě nového pojetí </w:t>
      </w:r>
      <w:r w:rsidR="001130A5" w:rsidRPr="00273106">
        <w:rPr>
          <w:i/>
        </w:rPr>
        <w:t>intel</w:t>
      </w:r>
      <w:r w:rsidR="00370699">
        <w:rPr>
          <w:i/>
        </w:rPr>
        <w:t>l</w:t>
      </w:r>
      <w:r w:rsidR="001130A5" w:rsidRPr="00273106">
        <w:rPr>
          <w:i/>
        </w:rPr>
        <w:t xml:space="preserve">ectus possibilis </w:t>
      </w:r>
      <w:r w:rsidR="085E7A31">
        <w:t xml:space="preserve">daného </w:t>
      </w:r>
      <w:r w:rsidR="082F2D63">
        <w:rPr>
          <w:i/>
        </w:rPr>
        <w:t>ad</w:t>
      </w:r>
      <w:r w:rsidR="085E7A31" w:rsidRPr="085E7A31">
        <w:rPr>
          <w:i/>
        </w:rPr>
        <w:t xml:space="preserve"> mentem Averrois</w:t>
      </w:r>
      <w:r w:rsidR="085E7A31">
        <w:t xml:space="preserve"> podle Sicilské školy</w:t>
      </w:r>
      <w:r w:rsidR="085E7A31">
        <w:fldChar w:fldCharType="begin"/>
      </w:r>
      <w:r w:rsidR="085E7A31">
        <w:instrText xml:space="preserve"> XE "</w:instrText>
      </w:r>
      <w:r w:rsidR="085E7A31" w:rsidRPr="083073D4">
        <w:instrText>Sicilská škola</w:instrText>
      </w:r>
      <w:r w:rsidR="085E7A31">
        <w:instrText xml:space="preserve">" </w:instrText>
      </w:r>
      <w:r w:rsidR="085E7A31">
        <w:fldChar w:fldCharType="end"/>
      </w:r>
      <w:r w:rsidR="085E7A31">
        <w:t>.</w:t>
      </w:r>
      <w:r w:rsidR="001130A5" w:rsidRPr="00273106">
        <w:t xml:space="preserve"> </w:t>
      </w:r>
      <w:r w:rsidR="085A0D3B" w:rsidRPr="00273106">
        <w:rPr>
          <w:rStyle w:val="Zkladntext158dkovn0pt"/>
          <w:color w:val="auto"/>
          <w:spacing w:val="0"/>
          <w:sz w:val="24"/>
          <w:lang w:val="cs-CZ"/>
        </w:rPr>
        <w:t xml:space="preserve">Klíčová vlastnost receptivity individuálního intelektu </w:t>
      </w:r>
      <w:r w:rsidR="085A0D3B">
        <w:rPr>
          <w:rStyle w:val="Zkladntext158dkovn0pt"/>
          <w:color w:val="auto"/>
          <w:spacing w:val="0"/>
          <w:sz w:val="24"/>
          <w:lang w:val="cs-CZ"/>
        </w:rPr>
        <w:t xml:space="preserve">upadne u moderních toletánů do úplného zapomenutí, a to vinou metafyzické </w:t>
      </w:r>
      <w:r w:rsidR="085A0D3B" w:rsidRPr="00E232C0">
        <w:rPr>
          <w:rStyle w:val="Zkladntext158dkovn0pt"/>
          <w:i/>
          <w:color w:val="auto"/>
          <w:spacing w:val="0"/>
          <w:sz w:val="24"/>
          <w:lang w:val="cs-CZ"/>
        </w:rPr>
        <w:t>epoché</w:t>
      </w:r>
      <w:r w:rsidR="085A0D3B">
        <w:rPr>
          <w:rStyle w:val="Zkladntext158dkovn0pt"/>
          <w:color w:val="auto"/>
          <w:spacing w:val="0"/>
          <w:sz w:val="24"/>
          <w:lang w:val="cs-CZ"/>
        </w:rPr>
        <w:t xml:space="preserve"> dané zatměním první substance. Kolem roku 1235 j</w:t>
      </w:r>
      <w:r w:rsidR="085A0D3B" w:rsidRPr="00273106">
        <w:rPr>
          <w:rStyle w:val="Zkladntext158dkovn0pt"/>
          <w:color w:val="auto"/>
          <w:spacing w:val="0"/>
          <w:sz w:val="24"/>
          <w:lang w:val="cs-CZ"/>
        </w:rPr>
        <w:t xml:space="preserve">e z monopsychismu </w:t>
      </w:r>
      <w:r w:rsidR="085A0D3B">
        <w:rPr>
          <w:rStyle w:val="Zkladntext158dkovn0pt"/>
          <w:color w:val="auto"/>
          <w:spacing w:val="0"/>
          <w:sz w:val="24"/>
          <w:lang w:val="cs-CZ"/>
        </w:rPr>
        <w:t xml:space="preserve">inspirovaného </w:t>
      </w:r>
      <w:r w:rsidR="085A0D3B" w:rsidRPr="00273106">
        <w:rPr>
          <w:rStyle w:val="Zkladntext158dkovn0pt"/>
          <w:color w:val="auto"/>
          <w:spacing w:val="0"/>
          <w:sz w:val="24"/>
          <w:lang w:val="cs-CZ"/>
        </w:rPr>
        <w:t xml:space="preserve">Avicennovým pojetím </w:t>
      </w:r>
      <w:r w:rsidR="085A0D3B">
        <w:rPr>
          <w:rStyle w:val="Zkladntext158dkovn0pt"/>
          <w:color w:val="auto"/>
          <w:spacing w:val="0"/>
          <w:sz w:val="24"/>
          <w:lang w:val="cs-CZ"/>
        </w:rPr>
        <w:t xml:space="preserve">intelektu </w:t>
      </w:r>
      <w:r w:rsidR="085A0D3B" w:rsidRPr="00273106">
        <w:rPr>
          <w:rStyle w:val="Zkladntext158dkovn0pt"/>
          <w:color w:val="auto"/>
          <w:spacing w:val="0"/>
          <w:sz w:val="24"/>
          <w:lang w:val="cs-CZ"/>
        </w:rPr>
        <w:t xml:space="preserve">obviněn </w:t>
      </w:r>
      <w:r w:rsidR="085A0D3B">
        <w:rPr>
          <w:rStyle w:val="Zkladntext158dkovn0pt"/>
          <w:color w:val="auto"/>
          <w:spacing w:val="0"/>
          <w:sz w:val="24"/>
          <w:lang w:val="cs-CZ"/>
        </w:rPr>
        <w:t>Averroes</w:t>
      </w:r>
      <w:r w:rsidR="085A0D3B" w:rsidRPr="00273106">
        <w:rPr>
          <w:rStyle w:val="Zkladntext158dkovn0pt"/>
          <w:color w:val="auto"/>
          <w:spacing w:val="0"/>
          <w:sz w:val="24"/>
          <w:lang w:val="cs-CZ"/>
        </w:rPr>
        <w:t xml:space="preserve"> a jeho latinští interpretátoři</w:t>
      </w:r>
      <w:r w:rsidR="08C34D51">
        <w:rPr>
          <w:rStyle w:val="Zkladntext158dkovn0pt"/>
          <w:color w:val="auto"/>
          <w:spacing w:val="0"/>
          <w:sz w:val="24"/>
          <w:lang w:val="cs-CZ"/>
        </w:rPr>
        <w:t xml:space="preserve"> (kap. 3</w:t>
      </w:r>
      <w:r w:rsidR="085A0D3B">
        <w:rPr>
          <w:rStyle w:val="Zkladntext158dkovn0pt"/>
          <w:color w:val="auto"/>
          <w:spacing w:val="0"/>
          <w:sz w:val="24"/>
          <w:lang w:val="cs-CZ"/>
        </w:rPr>
        <w:t>.3.3)</w:t>
      </w:r>
      <w:r w:rsidR="085A0D3B" w:rsidRPr="00273106">
        <w:rPr>
          <w:rStyle w:val="Zkladntext158dkovn0pt"/>
          <w:color w:val="auto"/>
          <w:spacing w:val="0"/>
          <w:sz w:val="24"/>
          <w:lang w:val="cs-CZ"/>
        </w:rPr>
        <w:t>.</w:t>
      </w:r>
      <w:r w:rsidR="085A0D3B">
        <w:rPr>
          <w:rStyle w:val="Zkladntext158dkovn0pt"/>
          <w:color w:val="auto"/>
          <w:spacing w:val="0"/>
          <w:sz w:val="24"/>
          <w:lang w:val="cs-CZ"/>
        </w:rPr>
        <w:t xml:space="preserve"> </w:t>
      </w:r>
      <w:r w:rsidR="008B5B2E">
        <w:t>Druhý spis má jasně daný teologický a polemický charakter, proto</w:t>
      </w:r>
      <w:r w:rsidR="08A11F8D">
        <w:t xml:space="preserve">že </w:t>
      </w:r>
      <w:r w:rsidR="008B5B2E">
        <w:t xml:space="preserve">vznikl až po roce 1230. </w:t>
      </w:r>
      <w:r w:rsidR="08CB34A5">
        <w:t xml:space="preserve">Jeho zaměření se liší tím, že má </w:t>
      </w:r>
      <w:r w:rsidR="08A11F8D">
        <w:t xml:space="preserve">jiné </w:t>
      </w:r>
      <w:r w:rsidR="08CB34A5">
        <w:t xml:space="preserve">protivníky než </w:t>
      </w:r>
      <w:r w:rsidR="08D2676E">
        <w:t xml:space="preserve">Grossetesteho </w:t>
      </w:r>
      <w:r w:rsidR="08CB34A5">
        <w:t>první spis</w:t>
      </w:r>
      <w:r w:rsidR="08D2676E">
        <w:t>, který polemizoval s</w:t>
      </w:r>
      <w:r w:rsidR="085A70D8">
        <w:t xml:space="preserve">e zanikajícími </w:t>
      </w:r>
      <w:r w:rsidR="08D2676E">
        <w:t xml:space="preserve">školami </w:t>
      </w:r>
      <w:r w:rsidR="08D2676E" w:rsidRPr="08D2676E">
        <w:rPr>
          <w:i/>
        </w:rPr>
        <w:t>Nominales</w:t>
      </w:r>
      <w:r w:rsidR="0865490E">
        <w:t xml:space="preserve"> a </w:t>
      </w:r>
      <w:r w:rsidR="0865490E" w:rsidRPr="0865490E">
        <w:rPr>
          <w:i/>
        </w:rPr>
        <w:t>logica Modernorum</w:t>
      </w:r>
      <w:r w:rsidR="0865490E">
        <w:t xml:space="preserve">. </w:t>
      </w:r>
      <w:r w:rsidR="083B069E">
        <w:t>Křesťanské m</w:t>
      </w:r>
      <w:r w:rsidR="08426FE1" w:rsidRPr="00273106">
        <w:rPr>
          <w:rFonts w:cs="Brill-Roman"/>
        </w:rPr>
        <w:t xml:space="preserve">yslitele </w:t>
      </w:r>
      <w:r w:rsidR="08426FE1">
        <w:rPr>
          <w:rFonts w:cs="Brill-Roman"/>
        </w:rPr>
        <w:t xml:space="preserve">inspirované Averroesem </w:t>
      </w:r>
      <w:r w:rsidR="08426FE1" w:rsidRPr="00273106">
        <w:t xml:space="preserve">zajímá, jak intelekt vytváří pravdivý obraz reality ve smyslu </w:t>
      </w:r>
      <w:r w:rsidR="08426FE1">
        <w:t xml:space="preserve">formálního </w:t>
      </w:r>
      <w:r w:rsidR="08426FE1" w:rsidRPr="00273106">
        <w:rPr>
          <w:i/>
        </w:rPr>
        <w:t>proportio</w:t>
      </w:r>
      <w:r w:rsidR="08426FE1">
        <w:t xml:space="preserve"> daného v CMDA</w:t>
      </w:r>
      <w:r w:rsidR="08426FE1" w:rsidRPr="00273106">
        <w:t xml:space="preserve">. Důraz na </w:t>
      </w:r>
      <w:r w:rsidR="08426FE1">
        <w:t xml:space="preserve">toto </w:t>
      </w:r>
      <w:r w:rsidR="08426FE1" w:rsidRPr="00273106">
        <w:t xml:space="preserve">„jak“ spojuje tuto školu s projektem předložené hermeneutiky podle </w:t>
      </w:r>
      <w:r w:rsidR="08426FE1">
        <w:t xml:space="preserve">Heideggerova fenomenologického </w:t>
      </w:r>
      <w:r w:rsidR="08426FE1" w:rsidRPr="00273106">
        <w:rPr>
          <w:i/>
        </w:rPr>
        <w:t>Wie</w:t>
      </w:r>
      <w:r w:rsidR="08426FE1">
        <w:rPr>
          <w:rStyle w:val="Zkladntext184"/>
          <w:rFonts w:ascii="Calibri" w:eastAsia="Times" w:hAnsi="Calibri" w:cs="Times New Roman"/>
          <w:i/>
          <w:color w:val="auto"/>
          <w:spacing w:val="0"/>
          <w:sz w:val="24"/>
          <w:lang w:val="cs-CZ"/>
        </w:rPr>
        <w:fldChar w:fldCharType="begin"/>
      </w:r>
      <w:r w:rsidR="08426FE1">
        <w:instrText xml:space="preserve"> XE "hermeneutické </w:instrText>
      </w:r>
      <w:r w:rsidR="08426FE1" w:rsidRPr="00546ABB">
        <w:rPr>
          <w:i/>
        </w:rPr>
        <w:instrText>Wie</w:instrText>
      </w:r>
      <w:r w:rsidR="08426FE1">
        <w:instrText xml:space="preserve">:Alvernus" </w:instrText>
      </w:r>
      <w:r w:rsidR="08426FE1">
        <w:rPr>
          <w:rStyle w:val="Zkladntext184"/>
          <w:rFonts w:ascii="Calibri" w:eastAsia="Times" w:hAnsi="Calibri" w:cs="Times New Roman"/>
          <w:i/>
          <w:color w:val="auto"/>
          <w:spacing w:val="0"/>
          <w:sz w:val="24"/>
          <w:lang w:val="cs-CZ"/>
        </w:rPr>
        <w:fldChar w:fldCharType="end"/>
      </w:r>
      <w:r w:rsidR="087D4368">
        <w:t xml:space="preserve"> poprvé určeného rozborem křesťanské existence</w:t>
      </w:r>
      <w:r w:rsidR="08AF074D">
        <w:t xml:space="preserve"> podle </w:t>
      </w:r>
      <w:r w:rsidR="089F614D">
        <w:t xml:space="preserve">protestantských </w:t>
      </w:r>
      <w:r w:rsidR="08AF074D">
        <w:t>autorit jako byl Kierkegaard</w:t>
      </w:r>
      <w:r w:rsidR="0809322E">
        <w:fldChar w:fldCharType="begin"/>
      </w:r>
      <w:r w:rsidR="0809322E">
        <w:instrText xml:space="preserve"> XE "</w:instrText>
      </w:r>
      <w:r w:rsidR="0809322E" w:rsidRPr="08B519ED">
        <w:instrText>Kierkegaard, S.</w:instrText>
      </w:r>
      <w:r w:rsidR="0809322E">
        <w:instrText xml:space="preserve">" </w:instrText>
      </w:r>
      <w:r w:rsidR="0809322E">
        <w:fldChar w:fldCharType="end"/>
      </w:r>
      <w:r w:rsidR="08AF074D">
        <w:t xml:space="preserve">, Paul von Yorck a </w:t>
      </w:r>
      <w:r w:rsidR="08470A28">
        <w:t xml:space="preserve">nakonec </w:t>
      </w:r>
      <w:r w:rsidR="08AF074D">
        <w:t xml:space="preserve">Pavlovy </w:t>
      </w:r>
      <w:r w:rsidR="08470A28">
        <w:t xml:space="preserve">novozákonní </w:t>
      </w:r>
      <w:r w:rsidR="08AF074D">
        <w:t xml:space="preserve">listy. </w:t>
      </w:r>
      <w:r w:rsidR="08426FE1" w:rsidRPr="00273106">
        <w:t>Dějinně daná fenomenalita metafyzi</w:t>
      </w:r>
      <w:r w:rsidR="08426FE1">
        <w:t xml:space="preserve">cké události shrnuté v termínu </w:t>
      </w:r>
      <w:r w:rsidR="08426FE1" w:rsidRPr="00273106">
        <w:rPr>
          <w:i/>
        </w:rPr>
        <w:t>intellectus possibilis</w:t>
      </w:r>
      <w:r w:rsidR="08426FE1" w:rsidRPr="00273106">
        <w:t xml:space="preserve"> tvoří základní </w:t>
      </w:r>
      <w:r w:rsidR="08426FE1" w:rsidRPr="00273106">
        <w:rPr>
          <w:i/>
        </w:rPr>
        <w:t>Lichtung</w:t>
      </w:r>
      <w:r w:rsidR="08426FE1" w:rsidRPr="00273106">
        <w:t>, v němž se dává pravda a nepravda moderny</w:t>
      </w:r>
      <w:r w:rsidR="08426FE1">
        <w:t xml:space="preserve"> v modu epochální po</w:t>
      </w:r>
      <w:r w:rsidR="08426FE1">
        <w:noBreakHyphen/>
        <w:t>odhalenosti (</w:t>
      </w:r>
      <w:r w:rsidR="08426FE1" w:rsidRPr="00AF7751">
        <w:rPr>
          <w:i/>
        </w:rPr>
        <w:t>a/</w:t>
      </w:r>
      <w:r w:rsidR="08426FE1">
        <w:rPr>
          <w:i/>
        </w:rPr>
        <w:t>léthe</w:t>
      </w:r>
      <w:r w:rsidR="08426FE1" w:rsidRPr="00AF7751">
        <w:rPr>
          <w:i/>
        </w:rPr>
        <w:t>ia</w:t>
      </w:r>
      <w:r w:rsidR="08426FE1">
        <w:rPr>
          <w:i/>
        </w:rPr>
        <w:fldChar w:fldCharType="begin"/>
      </w:r>
      <w:r w:rsidR="08426FE1">
        <w:instrText xml:space="preserve"> XE "pravda:po-odkrytost" </w:instrText>
      </w:r>
      <w:r w:rsidR="08426FE1">
        <w:rPr>
          <w:i/>
        </w:rPr>
        <w:fldChar w:fldCharType="end"/>
      </w:r>
      <w:r w:rsidR="08426FE1">
        <w:t>)</w:t>
      </w:r>
      <w:r w:rsidR="08426FE1" w:rsidRPr="00273106">
        <w:t>.</w:t>
      </w:r>
      <w:r w:rsidR="08426FE1" w:rsidRPr="08426FE1">
        <w:t xml:space="preserve"> </w:t>
      </w:r>
      <w:r w:rsidR="08D10451">
        <w:t xml:space="preserve">Myslitelé </w:t>
      </w:r>
      <w:r w:rsidR="082E5DC4">
        <w:t xml:space="preserve">a biskupové </w:t>
      </w:r>
      <w:r w:rsidR="08426FE1">
        <w:t>z Blundovy školy</w:t>
      </w:r>
      <w:r w:rsidR="08426FE1" w:rsidRPr="00273106">
        <w:t xml:space="preserve"> </w:t>
      </w:r>
      <w:r w:rsidR="08426FE1">
        <w:t xml:space="preserve">se </w:t>
      </w:r>
      <w:r w:rsidR="08D10451">
        <w:t xml:space="preserve">svým </w:t>
      </w:r>
      <w:r w:rsidR="08426FE1">
        <w:t xml:space="preserve">filosofickým </w:t>
      </w:r>
      <w:r w:rsidR="08D10451">
        <w:t xml:space="preserve">a teologickým </w:t>
      </w:r>
      <w:r w:rsidR="08426FE1">
        <w:t xml:space="preserve">rozhledem zásadně lišili od následujících církevních představitelů, kteří </w:t>
      </w:r>
      <w:r w:rsidR="08DA7F6A">
        <w:t xml:space="preserve">zničili </w:t>
      </w:r>
      <w:r w:rsidR="084F2988">
        <w:t xml:space="preserve">školu </w:t>
      </w:r>
      <w:r w:rsidR="08DA7F6A">
        <w:t xml:space="preserve">prvního averroismu </w:t>
      </w:r>
      <w:r w:rsidR="086E2D68" w:rsidRPr="00273106">
        <w:t>biskupský</w:t>
      </w:r>
      <w:r w:rsidR="086E2D68">
        <w:t>m</w:t>
      </w:r>
      <w:r w:rsidR="086E2D68" w:rsidRPr="00273106">
        <w:t xml:space="preserve"> dekret</w:t>
      </w:r>
      <w:r w:rsidR="086E2D68">
        <w:t>em</w:t>
      </w:r>
      <w:r w:rsidR="086E2D68" w:rsidRPr="00273106">
        <w:t xml:space="preserve"> z března 1277</w:t>
      </w:r>
      <w:r w:rsidR="089613E3">
        <w:t>.</w:t>
      </w:r>
    </w:p>
    <w:p w14:paraId="314F2F80" w14:textId="2B87EDF7" w:rsidR="00651CDA" w:rsidRPr="00273106" w:rsidRDefault="08626077" w:rsidP="00651CDA">
      <w:pPr>
        <w:pStyle w:val="Nadpis2"/>
      </w:pPr>
      <w:bookmarkStart w:id="63" w:name="_Toc487234302"/>
      <w:bookmarkStart w:id="64" w:name="_Toc12558309"/>
      <w:r>
        <w:rPr>
          <w:lang w:val="cs-CZ"/>
        </w:rPr>
        <w:br w:type="page"/>
      </w:r>
      <w:bookmarkStart w:id="65" w:name="_Toc160449321"/>
      <w:r w:rsidR="08D20D28">
        <w:rPr>
          <w:lang w:val="cs-CZ"/>
        </w:rPr>
        <w:lastRenderedPageBreak/>
        <w:t>2</w:t>
      </w:r>
      <w:r w:rsidR="00FA7550" w:rsidRPr="00273106">
        <w:t xml:space="preserve">.3 </w:t>
      </w:r>
      <w:r w:rsidR="08103DEF">
        <w:t xml:space="preserve">Křesťanští aristotelikové </w:t>
      </w:r>
      <w:r w:rsidR="089844D3">
        <w:t xml:space="preserve">a </w:t>
      </w:r>
      <w:r w:rsidR="001E6386">
        <w:rPr>
          <w:lang w:val="cs-CZ"/>
        </w:rPr>
        <w:t xml:space="preserve">moderní </w:t>
      </w:r>
      <w:r w:rsidR="089844D3">
        <w:t>sofist</w:t>
      </w:r>
      <w:r w:rsidR="001E6386">
        <w:rPr>
          <w:lang w:val="cs-CZ"/>
        </w:rPr>
        <w:t xml:space="preserve">é </w:t>
      </w:r>
      <w:r w:rsidR="08103DEF">
        <w:t>(William z Auvergne)</w:t>
      </w:r>
      <w:bookmarkEnd w:id="63"/>
      <w:bookmarkEnd w:id="64"/>
      <w:bookmarkEnd w:id="65"/>
    </w:p>
    <w:p w14:paraId="45DE0D7A" w14:textId="277500C5" w:rsidR="003F4ACC" w:rsidRPr="00273106" w:rsidRDefault="00651CDA" w:rsidP="0033160B">
      <w:r w:rsidRPr="00273106">
        <w:t>William z Auvergne</w:t>
      </w:r>
      <w:r w:rsidR="00CE451F">
        <w:fldChar w:fldCharType="begin"/>
      </w:r>
      <w:r w:rsidR="00CE451F">
        <w:instrText xml:space="preserve"> XE "</w:instrText>
      </w:r>
      <w:r w:rsidR="00CE451F" w:rsidRPr="00F32BBE">
        <w:instrText xml:space="preserve">William z Auvergne:viz </w:instrText>
      </w:r>
      <w:r w:rsidR="00CE451F" w:rsidRPr="00CE451F">
        <w:rPr>
          <w:i/>
        </w:rPr>
        <w:instrText>Index locorum</w:instrText>
      </w:r>
      <w:r w:rsidR="00CE451F">
        <w:instrText xml:space="preserve">" </w:instrText>
      </w:r>
      <w:r w:rsidR="00CE451F">
        <w:fldChar w:fldCharType="end"/>
      </w:r>
      <w:r w:rsidRPr="00273106">
        <w:t xml:space="preserve"> (</w:t>
      </w:r>
      <w:r w:rsidR="005042B8">
        <w:rPr>
          <w:bCs/>
        </w:rPr>
        <w:t>Guilielmus Alvernus</w:t>
      </w:r>
      <w:r w:rsidR="00FC2545">
        <w:rPr>
          <w:bCs/>
        </w:rPr>
        <w:t>, †1249</w:t>
      </w:r>
      <w:r w:rsidR="00757D31" w:rsidRPr="00273106">
        <w:t xml:space="preserve">) magistr </w:t>
      </w:r>
      <w:r w:rsidRPr="00273106">
        <w:t>te</w:t>
      </w:r>
      <w:r w:rsidR="00757D31" w:rsidRPr="00273106">
        <w:t>ologie od roku 1223 a pařížský</w:t>
      </w:r>
      <w:r w:rsidRPr="00273106">
        <w:t xml:space="preserve"> </w:t>
      </w:r>
      <w:r w:rsidR="08E465CC">
        <w:t>arci</w:t>
      </w:r>
      <w:r w:rsidRPr="00273106">
        <w:t>biskup v letech 1228</w:t>
      </w:r>
      <w:r w:rsidR="004E4AE4">
        <w:rPr>
          <w:rFonts w:cs="Brill-Roman"/>
        </w:rPr>
        <w:t>‒</w:t>
      </w:r>
      <w:r w:rsidRPr="00273106">
        <w:t>49</w:t>
      </w:r>
      <w:r w:rsidR="08FD675E">
        <w:t xml:space="preserve"> se stal historicky nejdůležitějším </w:t>
      </w:r>
      <w:r w:rsidR="08FD675E" w:rsidRPr="00273106">
        <w:rPr>
          <w:rFonts w:cs="Brill-Roman"/>
        </w:rPr>
        <w:t>obhájce</w:t>
      </w:r>
      <w:r w:rsidR="08FD675E">
        <w:rPr>
          <w:rFonts w:cs="Brill-Roman"/>
        </w:rPr>
        <w:t>m</w:t>
      </w:r>
      <w:r w:rsidR="08FD675E" w:rsidRPr="00273106">
        <w:rPr>
          <w:rFonts w:cs="Brill-Roman"/>
        </w:rPr>
        <w:t xml:space="preserve"> </w:t>
      </w:r>
      <w:r w:rsidR="08FD675E">
        <w:rPr>
          <w:rFonts w:cs="Brill-Roman"/>
        </w:rPr>
        <w:t>Averroesovy metafyziky na latinském Západě</w:t>
      </w:r>
      <w:r w:rsidRPr="00273106">
        <w:t xml:space="preserve">. </w:t>
      </w:r>
      <w:r w:rsidR="00C87A02">
        <w:t xml:space="preserve">Tento moudrý </w:t>
      </w:r>
      <w:r w:rsidR="089A09E8">
        <w:t xml:space="preserve">filosof a biskup </w:t>
      </w:r>
      <w:r w:rsidR="00C87A02">
        <w:t>podržel pr</w:t>
      </w:r>
      <w:r w:rsidR="00FD3ECE">
        <w:t>vní averroismus v klíčovém obdob</w:t>
      </w:r>
      <w:r w:rsidR="00C87A02">
        <w:t>í prvních sporů se vznikají</w:t>
      </w:r>
      <w:r w:rsidR="006F3E6C">
        <w:t>cí</w:t>
      </w:r>
      <w:r w:rsidR="00C87A02">
        <w:t xml:space="preserve">m modernismem. </w:t>
      </w:r>
      <w:r w:rsidRPr="00273106">
        <w:t xml:space="preserve">Jeho myšlení ukazuje způsob, jak a proč </w:t>
      </w:r>
      <w:r w:rsidR="002E3B62">
        <w:t>Averroes</w:t>
      </w:r>
      <w:r w:rsidRPr="00273106">
        <w:t>ova filosofie pronikla do latinské scholastiky</w:t>
      </w:r>
      <w:r w:rsidR="00CC1EC8">
        <w:t xml:space="preserve"> </w:t>
      </w:r>
      <w:r w:rsidR="0003785C">
        <w:t xml:space="preserve">v letech </w:t>
      </w:r>
      <w:r w:rsidR="08AB4DC3">
        <w:t>1225</w:t>
      </w:r>
      <w:r w:rsidR="00CC1EC8">
        <w:t>‒</w:t>
      </w:r>
      <w:r w:rsidR="08AB4DC3">
        <w:t>5</w:t>
      </w:r>
      <w:r w:rsidR="00CC1EC8">
        <w:t>0</w:t>
      </w:r>
      <w:r w:rsidRPr="00273106">
        <w:t xml:space="preserve">. </w:t>
      </w:r>
      <w:r w:rsidR="00760EA9" w:rsidRPr="00273106">
        <w:rPr>
          <w:rFonts w:cs="Brill-Roman"/>
        </w:rPr>
        <w:t>Oba předešlé traktáty ukázaly, že první averroi</w:t>
      </w:r>
      <w:r w:rsidR="00991551">
        <w:rPr>
          <w:rFonts w:cs="Brill-Roman"/>
        </w:rPr>
        <w:t>s</w:t>
      </w:r>
      <w:r w:rsidR="00760EA9" w:rsidRPr="00273106">
        <w:rPr>
          <w:rFonts w:cs="Brill-Roman"/>
        </w:rPr>
        <w:t xml:space="preserve">mus </w:t>
      </w:r>
      <w:r w:rsidR="00583B07">
        <w:rPr>
          <w:rFonts w:cs="Brill-Roman"/>
        </w:rPr>
        <w:t xml:space="preserve">dělá </w:t>
      </w:r>
      <w:r w:rsidR="00760EA9" w:rsidRPr="00273106">
        <w:rPr>
          <w:rFonts w:cs="Brill-Roman"/>
        </w:rPr>
        <w:t xml:space="preserve">zásadní rozdíl mezi </w:t>
      </w:r>
      <w:r w:rsidR="00991551">
        <w:rPr>
          <w:rFonts w:cs="Brill-Roman"/>
        </w:rPr>
        <w:t xml:space="preserve">metafyzikou </w:t>
      </w:r>
      <w:r w:rsidR="002E3B62">
        <w:rPr>
          <w:rFonts w:cs="Brill-Roman"/>
        </w:rPr>
        <w:t>Averroes</w:t>
      </w:r>
      <w:r w:rsidR="00991551">
        <w:rPr>
          <w:rFonts w:cs="Brill-Roman"/>
        </w:rPr>
        <w:t>e a Avicenny</w:t>
      </w:r>
      <w:r w:rsidR="00760EA9" w:rsidRPr="00273106">
        <w:rPr>
          <w:rFonts w:cs="Brill-Roman"/>
        </w:rPr>
        <w:t xml:space="preserve">. </w:t>
      </w:r>
      <w:r w:rsidR="009B0095">
        <w:t xml:space="preserve">Neoplatonici </w:t>
      </w:r>
      <w:r w:rsidR="009D1319">
        <w:t>z Toleda vyložili</w:t>
      </w:r>
      <w:r w:rsidR="009B0095">
        <w:t xml:space="preserve"> Aristotela podle Avicenny a dali jej do neoplatonského</w:t>
      </w:r>
      <w:r w:rsidR="009D1319">
        <w:t xml:space="preserve"> scénáře</w:t>
      </w:r>
      <w:r w:rsidR="0847570D">
        <w:t>, k němuž postupně přidávali Averroesovy spisy</w:t>
      </w:r>
      <w:r w:rsidR="009D1319">
        <w:t>. Blundova škola hájila</w:t>
      </w:r>
      <w:r w:rsidR="009B0095">
        <w:t xml:space="preserve"> autentického Aristotela </w:t>
      </w:r>
      <w:r w:rsidR="08D40C72">
        <w:t xml:space="preserve">podle Abelarda </w:t>
      </w:r>
      <w:r w:rsidR="009D1319">
        <w:t>a její výklad potvrdila Sicilská škola</w:t>
      </w:r>
      <w:r w:rsidR="08D40C72">
        <w:t xml:space="preserve"> podle Averroese</w:t>
      </w:r>
      <w:r w:rsidR="009B0095">
        <w:t xml:space="preserve">. </w:t>
      </w:r>
      <w:r w:rsidR="08151CCA">
        <w:t xml:space="preserve">Alvernus stejně jako Grosseteste píše </w:t>
      </w:r>
      <w:r w:rsidR="08B86A5B">
        <w:t xml:space="preserve">v letech 1230‒40 </w:t>
      </w:r>
      <w:r w:rsidR="08151CCA">
        <w:t xml:space="preserve">dva </w:t>
      </w:r>
      <w:r w:rsidR="08B86A5B">
        <w:t>k</w:t>
      </w:r>
      <w:r w:rsidR="08151CCA">
        <w:t xml:space="preserve">omentáře </w:t>
      </w:r>
      <w:r w:rsidR="08151CCA" w:rsidRPr="08151CCA">
        <w:rPr>
          <w:i/>
        </w:rPr>
        <w:t>De anima</w:t>
      </w:r>
      <w:r w:rsidR="08151CCA">
        <w:t xml:space="preserve"> a to menší úvodní spis (</w:t>
      </w:r>
      <w:r w:rsidR="08151CCA" w:rsidRPr="00273106">
        <w:rPr>
          <w:i/>
        </w:rPr>
        <w:t>De potenciis animae et obiectis</w:t>
      </w:r>
      <w:r w:rsidR="08151CCA">
        <w:t>) a velký magistrální spis (</w:t>
      </w:r>
      <w:r w:rsidR="08151CCA" w:rsidRPr="00D751ED">
        <w:rPr>
          <w:i/>
        </w:rPr>
        <w:t xml:space="preserve">Guilielmi </w:t>
      </w:r>
      <w:r w:rsidR="08151CCA">
        <w:rPr>
          <w:i/>
        </w:rPr>
        <w:t>De anima</w:t>
      </w:r>
      <w:r w:rsidR="08151CCA">
        <w:t xml:space="preserve">). </w:t>
      </w:r>
      <w:r w:rsidR="08B8133A">
        <w:rPr>
          <w:rFonts w:cs="Brill-Roman"/>
        </w:rPr>
        <w:t xml:space="preserve">Pařížský biskup ve druhém spise </w:t>
      </w:r>
      <w:r w:rsidR="08F62E24">
        <w:rPr>
          <w:rFonts w:cs="Brill-Roman"/>
        </w:rPr>
        <w:t xml:space="preserve">definuje </w:t>
      </w:r>
      <w:r w:rsidR="08B8133A">
        <w:rPr>
          <w:rFonts w:cs="Brill-Roman"/>
        </w:rPr>
        <w:t>první modernisty jako filosofy následující Aristotela</w:t>
      </w:r>
      <w:r w:rsidR="00760EA9" w:rsidRPr="00273106">
        <w:rPr>
          <w:rFonts w:cs="Brill-Roman"/>
        </w:rPr>
        <w:t xml:space="preserve"> (</w:t>
      </w:r>
      <w:r w:rsidR="00760EA9" w:rsidRPr="00273106">
        <w:rPr>
          <w:rFonts w:cs="Brill-Roman"/>
          <w:i/>
        </w:rPr>
        <w:t>philosophi sequaces Aristotelis</w:t>
      </w:r>
      <w:r w:rsidR="00BF7E89">
        <w:rPr>
          <w:i/>
        </w:rPr>
        <w:fldChar w:fldCharType="begin"/>
      </w:r>
      <w:r w:rsidR="00BF7E89">
        <w:instrText xml:space="preserve"> XE "druhý averroismus:</w:instrText>
      </w:r>
      <w:r w:rsidR="00BF7E89" w:rsidRPr="00B81DDF">
        <w:rPr>
          <w:i/>
        </w:rPr>
        <w:instrText>sequaces Aristotelis</w:instrText>
      </w:r>
      <w:r w:rsidR="00BF7E89">
        <w:instrText xml:space="preserve">" </w:instrText>
      </w:r>
      <w:r w:rsidR="00BF7E89">
        <w:rPr>
          <w:i/>
        </w:rPr>
        <w:fldChar w:fldCharType="end"/>
      </w:r>
      <w:r w:rsidR="00760EA9" w:rsidRPr="00273106">
        <w:rPr>
          <w:rFonts w:cs="Brill-Roman"/>
        </w:rPr>
        <w:t xml:space="preserve">). Tito arabští následovníci Aristotela jsou v traktátu </w:t>
      </w:r>
      <w:r w:rsidR="00B713C5">
        <w:rPr>
          <w:rFonts w:cs="Brill-Roman"/>
          <w:i/>
        </w:rPr>
        <w:t>De a</w:t>
      </w:r>
      <w:r w:rsidR="00760EA9" w:rsidRPr="00273106">
        <w:rPr>
          <w:rFonts w:cs="Brill-Roman"/>
          <w:i/>
        </w:rPr>
        <w:t>nima</w:t>
      </w:r>
      <w:r w:rsidR="00A06398" w:rsidRPr="00273106">
        <w:rPr>
          <w:rFonts w:cs="Brill-Roman"/>
        </w:rPr>
        <w:t xml:space="preserve"> výslovně jmenováni </w:t>
      </w:r>
      <w:r w:rsidR="00760EA9" w:rsidRPr="00273106">
        <w:rPr>
          <w:rFonts w:cs="Brill-Roman"/>
        </w:rPr>
        <w:t xml:space="preserve">v souvislosti s naukou o odděleném </w:t>
      </w:r>
      <w:r w:rsidR="00760EA9" w:rsidRPr="00273106">
        <w:t xml:space="preserve">kosmickém </w:t>
      </w:r>
      <w:r w:rsidR="00760EA9"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8DB7D4B">
        <w:t xml:space="preserve">. Ten </w:t>
      </w:r>
      <w:r w:rsidR="005E6E52">
        <w:t xml:space="preserve">způsobuje přímé </w:t>
      </w:r>
      <w:r w:rsidR="00760EA9" w:rsidRPr="00273106">
        <w:t>poznání v lidské duši</w:t>
      </w:r>
      <w:r w:rsidR="005E6E52">
        <w:t>, protože na ni působí jako oddělená účinná příčina</w:t>
      </w:r>
      <w:r w:rsidR="00760EA9" w:rsidRPr="00273106">
        <w:t xml:space="preserve">. </w:t>
      </w:r>
      <w:r w:rsidR="00092CB2">
        <w:t xml:space="preserve">Teorie odděleného </w:t>
      </w:r>
      <w:r w:rsidR="00092CB2" w:rsidRPr="00273106">
        <w:rPr>
          <w:i/>
        </w:rPr>
        <w:t>intellectus agens</w:t>
      </w:r>
      <w:r w:rsidR="00092CB2" w:rsidRPr="00273106">
        <w:t xml:space="preserve"> jako poslední hvězdné sféry </w:t>
      </w:r>
      <w:r w:rsidR="00092CB2">
        <w:t xml:space="preserve">v </w:t>
      </w:r>
      <w:r w:rsidR="00874074">
        <w:rPr>
          <w:rFonts w:cs="Brill-Roman"/>
        </w:rPr>
        <w:t>neoplatonsk</w:t>
      </w:r>
      <w:r w:rsidR="00092CB2">
        <w:rPr>
          <w:rFonts w:cs="Brill-Roman"/>
        </w:rPr>
        <w:t xml:space="preserve">é </w:t>
      </w:r>
      <w:r w:rsidR="00092CB2">
        <w:t>emanační teorii</w:t>
      </w:r>
      <w:r w:rsidR="00092CB2" w:rsidRPr="00273106">
        <w:t xml:space="preserve"> </w:t>
      </w:r>
      <w:r w:rsidR="00235449">
        <w:fldChar w:fldCharType="begin"/>
      </w:r>
      <w:r w:rsidR="00235449">
        <w:instrText xml:space="preserve"> XE "</w:instrText>
      </w:r>
      <w:r w:rsidR="00235449" w:rsidRPr="00B64037">
        <w:instrText>emanace</w:instrText>
      </w:r>
      <w:r w:rsidR="00235449">
        <w:instrText xml:space="preserve">" </w:instrText>
      </w:r>
      <w:r w:rsidR="00235449">
        <w:fldChar w:fldCharType="end"/>
      </w:r>
      <w:r w:rsidR="00092CB2" w:rsidRPr="00273106">
        <w:t xml:space="preserve">by </w:t>
      </w:r>
      <w:r w:rsidR="00092CB2">
        <w:t>z</w:t>
      </w:r>
      <w:r w:rsidR="00092CB2" w:rsidRPr="00273106">
        <w:t>namenal</w:t>
      </w:r>
      <w:r w:rsidR="00092CB2">
        <w:t>a</w:t>
      </w:r>
      <w:r w:rsidR="00092CB2" w:rsidRPr="00273106">
        <w:t>, že bůh není jediná stvořitelská příčina pro celek stvoření</w:t>
      </w:r>
      <w:r w:rsidR="082F5E1E">
        <w:t xml:space="preserve">. A boží </w:t>
      </w:r>
      <w:r w:rsidR="08DB7D4B">
        <w:t xml:space="preserve">intelekt </w:t>
      </w:r>
      <w:r w:rsidR="0810327A">
        <w:t xml:space="preserve">navíc splývá </w:t>
      </w:r>
      <w:r w:rsidR="082F5E1E">
        <w:t>s kosmickým stvořitelským intelektem</w:t>
      </w:r>
      <w:r w:rsidR="08DB7D4B">
        <w:t xml:space="preserve">, což </w:t>
      </w:r>
      <w:r w:rsidR="082F5E1E">
        <w:t xml:space="preserve">tvrdil </w:t>
      </w:r>
      <w:r w:rsidR="08AB5B05">
        <w:t xml:space="preserve">aristotelský </w:t>
      </w:r>
      <w:r w:rsidR="0810327A">
        <w:t xml:space="preserve">panteismus Davida s Dinantu. </w:t>
      </w:r>
      <w:r w:rsidR="00896EDF">
        <w:t xml:space="preserve">Lidská </w:t>
      </w:r>
      <w:r w:rsidR="00896EDF" w:rsidRPr="00896EDF">
        <w:rPr>
          <w:i/>
        </w:rPr>
        <w:t>anima intellectiva</w:t>
      </w:r>
      <w:r w:rsidR="00896EDF">
        <w:t xml:space="preserve"> by byla soupodstatná s oddělenými kosmickými inteligencemi, které podle neoplatoniků existují skrze emanační scénář a nikoliv božím stvořením.</w:t>
      </w:r>
      <w:r w:rsidR="00C975F2">
        <w:t xml:space="preserve"> </w:t>
      </w:r>
      <w:r w:rsidR="08AB2F97" w:rsidRPr="00273106">
        <w:t>Neo</w:t>
      </w:r>
      <w:r w:rsidR="08AB2F97">
        <w:t>platon</w:t>
      </w:r>
      <w:r w:rsidR="08AB2F97" w:rsidRPr="00273106">
        <w:t xml:space="preserve">ské pojetí světa formálního řádu účinných příčin sestupujících shora dolů podle </w:t>
      </w:r>
      <w:r w:rsidR="08AB2F97" w:rsidRPr="00273106">
        <w:rPr>
          <w:i/>
        </w:rPr>
        <w:t>Liber de causis</w:t>
      </w:r>
      <w:r w:rsidR="08AB2F97">
        <w:rPr>
          <w:i/>
        </w:rPr>
        <w:fldChar w:fldCharType="begin"/>
      </w:r>
      <w:r w:rsidR="08AB2F97">
        <w:instrText xml:space="preserve"> XE "</w:instrText>
      </w:r>
      <w:r w:rsidR="08AB2F97" w:rsidRPr="00C46BD8">
        <w:rPr>
          <w:i/>
        </w:rPr>
        <w:instrText>Liber de causis</w:instrText>
      </w:r>
      <w:r w:rsidR="08AB2F97">
        <w:instrText xml:space="preserve">" </w:instrText>
      </w:r>
      <w:r w:rsidR="08AB2F97">
        <w:rPr>
          <w:i/>
        </w:rPr>
        <w:fldChar w:fldCharType="end"/>
      </w:r>
      <w:r w:rsidR="08AB2F97" w:rsidRPr="00273106">
        <w:t xml:space="preserve"> degraduje suverénní roli Stvořitele, a proto není podle Alverna v souladu s křesťanskou naukou.</w:t>
      </w:r>
      <w:r w:rsidR="08AB2F97" w:rsidRPr="00273106">
        <w:rPr>
          <w:rStyle w:val="Znakapoznpodarou"/>
        </w:rPr>
        <w:footnoteReference w:id="157"/>
      </w:r>
      <w:r w:rsidR="08AB2F97" w:rsidRPr="00273106">
        <w:t xml:space="preserve"> </w:t>
      </w:r>
      <w:r w:rsidR="08AB2F97">
        <w:t xml:space="preserve">Tento scénář </w:t>
      </w:r>
      <w:r w:rsidR="08AB2F97" w:rsidRPr="00273106">
        <w:rPr>
          <w:i/>
        </w:rPr>
        <w:t>Liber de causis</w:t>
      </w:r>
      <w:r w:rsidR="08AB2F97">
        <w:rPr>
          <w:i/>
        </w:rPr>
        <w:fldChar w:fldCharType="begin"/>
      </w:r>
      <w:r w:rsidR="08AB2F97">
        <w:instrText xml:space="preserve"> XE "</w:instrText>
      </w:r>
      <w:r w:rsidR="08AB2F97" w:rsidRPr="00C46BD8">
        <w:rPr>
          <w:i/>
        </w:rPr>
        <w:instrText>Liber de causis</w:instrText>
      </w:r>
      <w:r w:rsidR="08AB2F97">
        <w:instrText xml:space="preserve">" </w:instrText>
      </w:r>
      <w:r w:rsidR="08AB2F97">
        <w:rPr>
          <w:i/>
        </w:rPr>
        <w:fldChar w:fldCharType="end"/>
      </w:r>
      <w:r w:rsidR="08AB2F97" w:rsidRPr="00273106">
        <w:t xml:space="preserve"> </w:t>
      </w:r>
      <w:r w:rsidR="08C101AC">
        <w:t>přebrali</w:t>
      </w:r>
      <w:r w:rsidR="08AB2F97">
        <w:t xml:space="preserve"> a</w:t>
      </w:r>
      <w:r w:rsidR="08C101AC">
        <w:t xml:space="preserve">vicennisté skrze </w:t>
      </w:r>
      <w:r w:rsidR="00C975F2">
        <w:t xml:space="preserve">pojetí </w:t>
      </w:r>
      <w:r w:rsidR="08C101AC">
        <w:t xml:space="preserve">komitační predikace, kterou naroubovali skrze </w:t>
      </w:r>
      <w:r w:rsidR="08FA78F7" w:rsidRPr="08FA78F7">
        <w:t>k</w:t>
      </w:r>
      <w:r w:rsidR="08FA78F7">
        <w:t>ategoriální predikaci</w:t>
      </w:r>
      <w:r w:rsidR="00C975F2">
        <w:t xml:space="preserve"> na </w:t>
      </w:r>
      <w:r w:rsidR="081C222B">
        <w:t>diakosmos porretánských hypostází</w:t>
      </w:r>
      <w:r w:rsidR="08AB2F97">
        <w:t xml:space="preserve">. </w:t>
      </w:r>
      <w:r w:rsidR="00C975F2">
        <w:t xml:space="preserve">Biskup a kancléř </w:t>
      </w:r>
      <w:r w:rsidR="08882E57">
        <w:lastRenderedPageBreak/>
        <w:t xml:space="preserve">křesťanské </w:t>
      </w:r>
      <w:r w:rsidR="00C975F2">
        <w:t>univerzity nemohl připustit vpád moderního neoplatonismu do teologie</w:t>
      </w:r>
      <w:r w:rsidR="0893477D">
        <w:t>, protože by způsobil smrt boha v emanačním scénáři</w:t>
      </w:r>
      <w:r w:rsidR="00C975F2">
        <w:t>.</w:t>
      </w:r>
      <w:r w:rsidR="08A63B15" w:rsidRPr="08A63B15">
        <w:t xml:space="preserve"> </w:t>
      </w:r>
      <w:r w:rsidR="08257E26">
        <w:t>Stejný spor vedli Algazel a Averroes ve falsafě proti Avicennovi (</w:t>
      </w:r>
      <w:r w:rsidR="0051327D">
        <w:t xml:space="preserve">OBJ I, </w:t>
      </w:r>
      <w:r w:rsidR="08257E26">
        <w:t xml:space="preserve">kap. 2.5). </w:t>
      </w:r>
      <w:r w:rsidR="08A63B15" w:rsidRPr="00273106">
        <w:t xml:space="preserve">Alvernova kritika Avicenny se </w:t>
      </w:r>
      <w:r w:rsidR="08A63B15">
        <w:t xml:space="preserve">proto </w:t>
      </w:r>
      <w:r w:rsidR="08A63B15" w:rsidRPr="00273106">
        <w:t xml:space="preserve">zásadně liší od pozitivní akceptace </w:t>
      </w:r>
      <w:r w:rsidR="08A63B15">
        <w:t>Averroes</w:t>
      </w:r>
      <w:r w:rsidR="08A63B15" w:rsidRPr="00273106">
        <w:t xml:space="preserve">e, který není uveden v seznamu </w:t>
      </w:r>
      <w:r w:rsidR="08A63B15">
        <w:t>neoplatonsk</w:t>
      </w:r>
      <w:r w:rsidR="08A63B15" w:rsidRPr="00273106">
        <w:t>ých následovníků Aristotela.</w:t>
      </w:r>
    </w:p>
    <w:p w14:paraId="72B7E233" w14:textId="262C4CF7" w:rsidR="00705FE9" w:rsidRDefault="005E4DAE" w:rsidP="00705FE9">
      <w:pPr>
        <w:pStyle w:val="Citace"/>
        <w:rPr>
          <w:noProof/>
          <w:lang w:val="cs-CZ"/>
        </w:rPr>
      </w:pPr>
      <w:r>
        <w:rPr>
          <w:noProof/>
          <w:lang w:val="cs-CZ"/>
        </w:rPr>
        <w:t>„Poté začnu</w:t>
      </w:r>
      <w:r w:rsidR="003F4ACC" w:rsidRPr="00273106">
        <w:rPr>
          <w:noProof/>
          <w:lang w:val="cs-CZ"/>
        </w:rPr>
        <w:t xml:space="preserve"> ničit omyly těch, kteří mimo našeho požehnaného stvořitele</w:t>
      </w:r>
      <w:r>
        <w:rPr>
          <w:noProof/>
          <w:lang w:val="cs-CZ"/>
        </w:rPr>
        <w:t xml:space="preserve"> </w:t>
      </w:r>
      <w:r>
        <w:rPr>
          <w:lang w:val="cs-CZ"/>
        </w:rPr>
        <w:t xml:space="preserve">postulovali jiné účinné příčiny než našeho požehnaného stvořitele, mezi něž patří </w:t>
      </w:r>
      <w:r w:rsidR="008E02F5">
        <w:rPr>
          <w:noProof/>
          <w:lang w:val="cs-CZ"/>
        </w:rPr>
        <w:t>Aristoteles</w:t>
      </w:r>
      <w:r w:rsidR="003F4ACC" w:rsidRPr="00273106">
        <w:rPr>
          <w:noProof/>
          <w:lang w:val="cs-CZ"/>
        </w:rPr>
        <w:t xml:space="preserve"> a jeho následovníci, jako byl Al-</w:t>
      </w:r>
      <w:r w:rsidR="008E02F5">
        <w:rPr>
          <w:noProof/>
          <w:lang w:val="cs-CZ"/>
        </w:rPr>
        <w:t>Fárábí</w:t>
      </w:r>
      <w:r w:rsidR="003F4ACC" w:rsidRPr="00273106">
        <w:rPr>
          <w:noProof/>
          <w:lang w:val="cs-CZ"/>
        </w:rPr>
        <w:t>, Algazel, Avicenna a mnozí další</w:t>
      </w:r>
      <w:r w:rsidR="00E606F6">
        <w:rPr>
          <w:noProof/>
          <w:lang w:val="cs-CZ"/>
        </w:rPr>
        <w:t xml:space="preserve"> (</w:t>
      </w:r>
      <w:r w:rsidR="00E606F6" w:rsidRPr="00E606F6">
        <w:rPr>
          <w:i/>
        </w:rPr>
        <w:t>ex quibus fuit Aristoteles, et sequaces eius videlicet Alpharalius, Algaxel, et Avicenna</w:t>
      </w:r>
      <w:r w:rsidR="00E606F6">
        <w:rPr>
          <w:noProof/>
          <w:lang w:val="cs-CZ"/>
        </w:rPr>
        <w:t>)</w:t>
      </w:r>
      <w:r w:rsidR="003F4ACC" w:rsidRPr="00273106">
        <w:rPr>
          <w:noProof/>
          <w:lang w:val="cs-CZ"/>
        </w:rPr>
        <w:t xml:space="preserve">, </w:t>
      </w:r>
      <w:r w:rsidR="00EE35EC">
        <w:rPr>
          <w:lang w:val="cs-CZ"/>
        </w:rPr>
        <w:t xml:space="preserve">kteří po něm </w:t>
      </w:r>
      <w:r w:rsidR="00395B3D">
        <w:rPr>
          <w:lang w:val="cs-CZ"/>
        </w:rPr>
        <w:t xml:space="preserve">zbloudili </w:t>
      </w:r>
      <w:r w:rsidR="00EE35EC">
        <w:rPr>
          <w:lang w:val="cs-CZ"/>
        </w:rPr>
        <w:t>z cesty pravdy</w:t>
      </w:r>
      <w:r w:rsidR="00761290">
        <w:rPr>
          <w:lang w:val="cs-CZ"/>
        </w:rPr>
        <w:t xml:space="preserve"> kvůli omylu, který udělal </w:t>
      </w:r>
      <w:r w:rsidR="00395B3D">
        <w:rPr>
          <w:lang w:val="cs-CZ"/>
        </w:rPr>
        <w:t>v této věci</w:t>
      </w:r>
      <w:r>
        <w:rPr>
          <w:lang w:val="cs-CZ"/>
        </w:rPr>
        <w:t xml:space="preserve">. </w:t>
      </w:r>
      <w:r w:rsidR="003F4ACC" w:rsidRPr="00273106">
        <w:rPr>
          <w:noProof/>
          <w:lang w:val="cs-CZ"/>
        </w:rPr>
        <w:t xml:space="preserve">Postulovali totiž </w:t>
      </w:r>
      <w:r w:rsidR="00A56BA3">
        <w:rPr>
          <w:noProof/>
          <w:lang w:val="cs-CZ"/>
        </w:rPr>
        <w:t xml:space="preserve">oddělený </w:t>
      </w:r>
      <w:r w:rsidR="003F4ACC" w:rsidRPr="00273106">
        <w:rPr>
          <w:noProof/>
          <w:lang w:val="cs-CZ"/>
        </w:rPr>
        <w:t xml:space="preserve">činný intelekt jako účinnou příčinu </w:t>
      </w:r>
      <w:r w:rsidR="08457145">
        <w:rPr>
          <w:noProof/>
          <w:lang w:val="cs-CZ"/>
        </w:rPr>
        <w:t>lidských duší</w:t>
      </w:r>
      <w:r w:rsidR="00963403">
        <w:rPr>
          <w:noProof/>
          <w:lang w:val="cs-CZ"/>
        </w:rPr>
        <w:t xml:space="preserve"> (</w:t>
      </w:r>
      <w:r w:rsidR="00092CB2">
        <w:rPr>
          <w:i/>
          <w:noProof/>
          <w:lang w:val="cs-CZ"/>
        </w:rPr>
        <w:t>posue</w:t>
      </w:r>
      <w:r w:rsidR="00963403" w:rsidRPr="00963403">
        <w:rPr>
          <w:i/>
          <w:noProof/>
          <w:lang w:val="cs-CZ"/>
        </w:rPr>
        <w:t xml:space="preserve">runt enim </w:t>
      </w:r>
      <w:r w:rsidR="00963403" w:rsidRPr="00963403">
        <w:rPr>
          <w:i/>
        </w:rPr>
        <w:t>intelligentiam agentem effectricem animarum humanarum</w:t>
      </w:r>
      <w:r w:rsidR="00963403">
        <w:rPr>
          <w:noProof/>
          <w:lang w:val="cs-CZ"/>
        </w:rPr>
        <w:t>)</w:t>
      </w:r>
      <w:r w:rsidR="003F4ACC" w:rsidRPr="00273106">
        <w:rPr>
          <w:noProof/>
          <w:lang w:val="cs-CZ"/>
        </w:rPr>
        <w:t xml:space="preserve">.“ </w:t>
      </w:r>
      <w:r w:rsidR="003F4ACC" w:rsidRPr="00273106">
        <w:rPr>
          <w:rStyle w:val="Znakapoznpodarou"/>
          <w:noProof/>
          <w:lang w:val="cs-CZ"/>
        </w:rPr>
        <w:footnoteReference w:id="158"/>
      </w:r>
    </w:p>
    <w:p w14:paraId="136DB96A" w14:textId="697FFD72" w:rsidR="086564F8" w:rsidRPr="00273106" w:rsidRDefault="00760EA9" w:rsidP="086564F8">
      <w:r w:rsidRPr="00273106">
        <w:t xml:space="preserve">Alvernus přičítá heretickou teorii jednotného a kosmického </w:t>
      </w:r>
      <w:r w:rsidRPr="00273106">
        <w:rPr>
          <w:i/>
        </w:rPr>
        <w:t>intellectus agens</w:t>
      </w:r>
      <w:r w:rsidRPr="00273106">
        <w:t xml:space="preserve"> </w:t>
      </w:r>
      <w:r w:rsidR="08BC6C01">
        <w:t>jednak samotnému Aristo</w:t>
      </w:r>
      <w:r w:rsidR="08A63B15">
        <w:t xml:space="preserve">telovi a dále neoplatonským </w:t>
      </w:r>
      <w:r w:rsidRPr="00273106">
        <w:t>stoupencům Al</w:t>
      </w:r>
      <w:r w:rsidR="002D71F1">
        <w:noBreakHyphen/>
      </w:r>
      <w:r w:rsidR="008E02F5">
        <w:t>Fárábí</w:t>
      </w:r>
      <w:r w:rsidR="00D209A3">
        <w:t>ho</w:t>
      </w:r>
      <w:r w:rsidRPr="00273106">
        <w:t xml:space="preserve">. </w:t>
      </w:r>
      <w:r w:rsidR="00925DFC">
        <w:t>Citát odmítá argumentaci Toledské školy, kter</w:t>
      </w:r>
      <w:r w:rsidR="00094B45">
        <w:t>á</w:t>
      </w:r>
      <w:r w:rsidR="00925DFC">
        <w:t xml:space="preserve"> vytvořila jednotnou linii </w:t>
      </w:r>
      <w:r w:rsidR="00094B45">
        <w:t xml:space="preserve">neoplatonského výkladu Korpusu </w:t>
      </w:r>
      <w:r w:rsidR="00925DFC">
        <w:t>od Abun</w:t>
      </w:r>
      <w:r w:rsidR="08BC6C01">
        <w:t>asera, přes Avicen</w:t>
      </w:r>
      <w:r w:rsidR="00925DFC">
        <w:t xml:space="preserve">nu až po Averroese. </w:t>
      </w:r>
      <w:r w:rsidR="006C01F2">
        <w:t xml:space="preserve">Citát ukazuje přesnou znalost CMDA ohledně dvou forem </w:t>
      </w:r>
      <w:r w:rsidR="006C01F2" w:rsidRPr="00273106">
        <w:rPr>
          <w:i/>
        </w:rPr>
        <w:t>intellectus agens</w:t>
      </w:r>
      <w:r w:rsidR="006C01F2">
        <w:t xml:space="preserve">. </w:t>
      </w:r>
      <w:r w:rsidR="08BC6C01">
        <w:t>Komentátor n</w:t>
      </w:r>
      <w:r w:rsidR="08BC6C01" w:rsidRPr="00273106">
        <w:t xml:space="preserve">ezastává teorii separovaného kosmického intelektu tvořícího lidskou duši a má jiný koncept poznání než Avicenna. </w:t>
      </w:r>
      <w:r w:rsidR="007E329B" w:rsidRPr="00273106">
        <w:t xml:space="preserve">Oddělený </w:t>
      </w:r>
      <w:r w:rsidR="007E329B" w:rsidRPr="00273106">
        <w:rPr>
          <w:i/>
        </w:rPr>
        <w:t>intellectus agens</w:t>
      </w:r>
      <w:r w:rsidR="007E329B" w:rsidRPr="00273106">
        <w:t xml:space="preserve"> patří do kosmic</w:t>
      </w:r>
      <w:r w:rsidR="00A1512E" w:rsidRPr="00273106">
        <w:t xml:space="preserve">ké sféry jako automní intelektuální </w:t>
      </w:r>
      <w:r w:rsidR="00C84B1C">
        <w:t>forma. A</w:t>
      </w:r>
      <w:r w:rsidR="007E329B" w:rsidRPr="00273106">
        <w:t>le v</w:t>
      </w:r>
      <w:r w:rsidR="08AF05D9">
        <w:t xml:space="preserve"> lidské </w:t>
      </w:r>
      <w:r w:rsidR="007E329B" w:rsidRPr="00273106">
        <w:t xml:space="preserve">duši existuje </w:t>
      </w:r>
      <w:r w:rsidR="00C84B1C">
        <w:t xml:space="preserve">individuální forma </w:t>
      </w:r>
      <w:r w:rsidR="00900716">
        <w:t xml:space="preserve">rodově zcela odlišného </w:t>
      </w:r>
      <w:r w:rsidR="00C84B1C">
        <w:t xml:space="preserve">činného intelektu daná </w:t>
      </w:r>
      <w:r w:rsidR="088167DC">
        <w:t>v těle a pozná</w:t>
      </w:r>
      <w:r w:rsidR="08391ACC">
        <w:t xml:space="preserve">vající </w:t>
      </w:r>
      <w:r w:rsidR="00C84B1C">
        <w:t xml:space="preserve">skrze </w:t>
      </w:r>
      <w:r w:rsidR="007E329B" w:rsidRPr="00273106">
        <w:t>abstrakci</w:t>
      </w:r>
      <w:r w:rsidR="08391ACC">
        <w:t xml:space="preserve"> od smyslů</w:t>
      </w:r>
      <w:r w:rsidR="088167DC">
        <w:t xml:space="preserve">. </w:t>
      </w:r>
      <w:r w:rsidR="088167DC" w:rsidRPr="00273106">
        <w:t>Ibn Rušd je citován proti neoplatonikům a proti jiným arabským filosofům v souvislosti s aristotelskou jednotou formy a materie v konkrétním aktuálním tělese.</w:t>
      </w:r>
      <w:r w:rsidR="088167DC" w:rsidRPr="00273106">
        <w:rPr>
          <w:rStyle w:val="Znakapoznpodarou"/>
          <w:rFonts w:cs="Brill-Roman"/>
        </w:rPr>
        <w:footnoteReference w:id="159"/>
      </w:r>
      <w:r w:rsidR="088167DC" w:rsidRPr="00273106">
        <w:t xml:space="preserve"> </w:t>
      </w:r>
      <w:r w:rsidR="088167DC">
        <w:t xml:space="preserve">Tato citace je klíčová, protože poctívá Averroese titulem </w:t>
      </w:r>
      <w:r w:rsidR="088167DC" w:rsidRPr="00C1387A">
        <w:rPr>
          <w:rFonts w:cs="AJensonPro-Regular"/>
          <w:i/>
        </w:rPr>
        <w:t>philosophus nobilissimus</w:t>
      </w:r>
      <w:r w:rsidR="088167DC">
        <w:t xml:space="preserve">. </w:t>
      </w:r>
      <w:r w:rsidR="088167DC" w:rsidRPr="00273106">
        <w:t xml:space="preserve">Důraz na oddělení jednotlivin od univerzálií harmonizuje se dvěma přímými zmínkami </w:t>
      </w:r>
      <w:r w:rsidR="088167DC">
        <w:t>Averroes</w:t>
      </w:r>
      <w:r w:rsidR="088167DC" w:rsidRPr="00273106">
        <w:t>e v celku Alvernova díla</w:t>
      </w:r>
      <w:r w:rsidR="088167DC">
        <w:t xml:space="preserve"> (Roland de Vaux 1934, 21</w:t>
      </w:r>
      <w:r w:rsidR="088167DC" w:rsidRPr="008F3B49">
        <w:t>–</w:t>
      </w:r>
      <w:r w:rsidR="088167DC">
        <w:t>22).</w:t>
      </w:r>
      <w:r w:rsidR="088167DC" w:rsidRPr="00273106">
        <w:t xml:space="preserve"> Odkaz na </w:t>
      </w:r>
      <w:r w:rsidR="088167DC">
        <w:t>Averroes</w:t>
      </w:r>
      <w:r w:rsidR="088167DC" w:rsidRPr="00273106">
        <w:t xml:space="preserve">ovo schéma poznání a na individuální působení </w:t>
      </w:r>
      <w:r w:rsidR="088167DC" w:rsidRPr="00273106">
        <w:rPr>
          <w:i/>
        </w:rPr>
        <w:t>intellectus agens</w:t>
      </w:r>
      <w:r w:rsidR="088167DC">
        <w:rPr>
          <w:i/>
        </w:rPr>
        <w:fldChar w:fldCharType="begin"/>
      </w:r>
      <w:r w:rsidR="088167DC">
        <w:instrText xml:space="preserve"> XE "</w:instrText>
      </w:r>
      <w:r w:rsidR="088167DC" w:rsidRPr="00490D32">
        <w:rPr>
          <w:i/>
        </w:rPr>
        <w:instrText>intellectus agens:</w:instrText>
      </w:r>
      <w:r w:rsidR="088167DC" w:rsidRPr="00490D32">
        <w:instrText>neoplatonismus</w:instrText>
      </w:r>
      <w:r w:rsidR="088167DC">
        <w:instrText xml:space="preserve">" </w:instrText>
      </w:r>
      <w:r w:rsidR="088167DC">
        <w:rPr>
          <w:i/>
        </w:rPr>
        <w:fldChar w:fldCharType="end"/>
      </w:r>
      <w:r w:rsidR="088167DC" w:rsidRPr="00273106">
        <w:t xml:space="preserve"> jako schopnosti lidské duše</w:t>
      </w:r>
      <w:r w:rsidR="088167DC">
        <w:t xml:space="preserve"> vysvětluje Alvernovo odmítnutí </w:t>
      </w:r>
      <w:r w:rsidR="088167DC">
        <w:lastRenderedPageBreak/>
        <w:t>platon</w:t>
      </w:r>
      <w:r w:rsidR="088167DC" w:rsidRPr="00273106">
        <w:t xml:space="preserve">ských idejí a nezávislého </w:t>
      </w:r>
      <w:r w:rsidR="088167DC" w:rsidRPr="00273106">
        <w:rPr>
          <w:i/>
        </w:rPr>
        <w:t>mundus intelligibilis</w:t>
      </w:r>
      <w:r w:rsidR="088167DC" w:rsidRPr="00273106">
        <w:t xml:space="preserve"> </w:t>
      </w:r>
      <w:r w:rsidR="088167DC">
        <w:t xml:space="preserve">antických </w:t>
      </w:r>
      <w:r w:rsidR="088167DC" w:rsidRPr="00273106">
        <w:t>neoplatoniků a jeho současníků. Alvernus rezolutně odmítá jakékoliv formy jsoucna třetího druhu</w:t>
      </w:r>
      <w:r w:rsidR="088167DC">
        <w:t xml:space="preserve">, což ukázal ve svém prvním komentáři k </w:t>
      </w:r>
      <w:r w:rsidR="088167DC" w:rsidRPr="08D45EAE">
        <w:rPr>
          <w:i/>
        </w:rPr>
        <w:t>De anima</w:t>
      </w:r>
      <w:r w:rsidR="088167DC" w:rsidRPr="00273106">
        <w:t>. Smyslově založené poznání dané v těle se ontologicky liší od separované kosmické substance</w:t>
      </w:r>
      <w:r w:rsidR="088167DC">
        <w:t xml:space="preserve"> a mezi těmito dvěma světy není prostor pro žádné </w:t>
      </w:r>
      <w:r w:rsidR="088167DC" w:rsidRPr="004E235B">
        <w:rPr>
          <w:i/>
        </w:rPr>
        <w:t>tertium ens</w:t>
      </w:r>
      <w:r w:rsidR="088167DC" w:rsidRPr="00273106">
        <w:t>.</w:t>
      </w:r>
      <w:r w:rsidR="088167DC">
        <w:t xml:space="preserve"> </w:t>
      </w:r>
      <w:r w:rsidR="007E329B" w:rsidRPr="00273106">
        <w:t xml:space="preserve">Obě formy činného intelektu jsou zásadně rozdílné a není mezi nimi žádná univocita, protože člověk není duchová bytost typu andělů a kosmických inteligencí. </w:t>
      </w:r>
      <w:r w:rsidR="004E235B" w:rsidRPr="00273106">
        <w:t xml:space="preserve">Alvernus </w:t>
      </w:r>
      <w:r w:rsidR="004E235B">
        <w:t>je první latinský myslitel, který díky podání Sicilské školy</w:t>
      </w:r>
      <w:r w:rsidR="004E235B">
        <w:fldChar w:fldCharType="begin"/>
      </w:r>
      <w:r w:rsidR="004E235B">
        <w:instrText xml:space="preserve"> XE "</w:instrText>
      </w:r>
      <w:r w:rsidR="004A155A">
        <w:instrText>Sicilská škola</w:instrText>
      </w:r>
      <w:r w:rsidR="004E235B">
        <w:instrText xml:space="preserve">" </w:instrText>
      </w:r>
      <w:r w:rsidR="004E235B">
        <w:fldChar w:fldCharType="end"/>
      </w:r>
      <w:r w:rsidR="004E235B">
        <w:t xml:space="preserve"> dokázal </w:t>
      </w:r>
      <w:r w:rsidR="004E235B" w:rsidRPr="00273106">
        <w:t xml:space="preserve">rozlišit dvě </w:t>
      </w:r>
      <w:r w:rsidR="004E235B">
        <w:t xml:space="preserve">rozdílné </w:t>
      </w:r>
      <w:r w:rsidR="004E235B" w:rsidRPr="00273106">
        <w:t xml:space="preserve">aristotelské tradice, které připisoval </w:t>
      </w:r>
      <w:r w:rsidR="004E235B">
        <w:t xml:space="preserve">přímo </w:t>
      </w:r>
      <w:r w:rsidR="004E235B" w:rsidRPr="00273106">
        <w:t>Aristotelovi.</w:t>
      </w:r>
      <w:r w:rsidR="004E235B" w:rsidRPr="00273106">
        <w:rPr>
          <w:rStyle w:val="Znakapoznpodarou"/>
        </w:rPr>
        <w:footnoteReference w:id="160"/>
      </w:r>
      <w:r w:rsidR="004E235B" w:rsidRPr="00273106">
        <w:t xml:space="preserve"> </w:t>
      </w:r>
      <w:r w:rsidR="08D74B37">
        <w:t>To je zásadní rozdíl proti linii Grossetesteho, který je autorem traktátu</w:t>
      </w:r>
      <w:r w:rsidR="08AD6590">
        <w:t xml:space="preserve"> </w:t>
      </w:r>
      <w:r w:rsidR="08AD6590">
        <w:rPr>
          <w:i/>
        </w:rPr>
        <w:t>De anima et de potenciis eius</w:t>
      </w:r>
      <w:r w:rsidR="08D74B37">
        <w:t>. Oxfordský učenec integrálně bránil z Komentátora proti druhému averroismu pouze spis CMDA zaručují</w:t>
      </w:r>
      <w:r w:rsidR="08AD6590">
        <w:t xml:space="preserve">cí </w:t>
      </w:r>
      <w:r w:rsidR="001C3862">
        <w:t xml:space="preserve">substanční </w:t>
      </w:r>
      <w:r w:rsidR="08AD6590">
        <w:t xml:space="preserve">jednotu osoby a poznání. Ale aristotelskou </w:t>
      </w:r>
      <w:r w:rsidR="08D74B37">
        <w:t>kosmologii a metafyziku měl podle Toledské školy</w:t>
      </w:r>
      <w:r w:rsidR="08AD6590">
        <w:t xml:space="preserve"> (kap. </w:t>
      </w:r>
      <w:r w:rsidR="001C3862" w:rsidRPr="00DC6664">
        <w:rPr>
          <w:szCs w:val="24"/>
        </w:rPr>
        <w:t>3</w:t>
      </w:r>
      <w:r w:rsidR="001C3862">
        <w:rPr>
          <w:szCs w:val="24"/>
        </w:rPr>
        <w:t>.1.2</w:t>
      </w:r>
      <w:r w:rsidR="082D684E">
        <w:t>)</w:t>
      </w:r>
      <w:r w:rsidR="086564F8">
        <w:t xml:space="preserve">. </w:t>
      </w:r>
      <w:r w:rsidR="086564F8" w:rsidRPr="00273106">
        <w:t xml:space="preserve">Tito avicennisté nebyli schopni rozlišit autentického Aristotela od jeho </w:t>
      </w:r>
      <w:r w:rsidR="086564F8">
        <w:t>neoplatonsk</w:t>
      </w:r>
      <w:r w:rsidR="086564F8" w:rsidRPr="00273106">
        <w:t xml:space="preserve">é interpretace dané </w:t>
      </w:r>
      <w:r w:rsidR="086564F8">
        <w:t xml:space="preserve">skrze </w:t>
      </w:r>
      <w:r w:rsidR="086564F8" w:rsidRPr="00273106">
        <w:rPr>
          <w:i/>
        </w:rPr>
        <w:t>sequaces Aristotelis</w:t>
      </w:r>
      <w:r w:rsidR="086564F8">
        <w:rPr>
          <w:i/>
        </w:rPr>
        <w:fldChar w:fldCharType="begin"/>
      </w:r>
      <w:r w:rsidR="086564F8">
        <w:instrText xml:space="preserve"> XE "druhý averroismus:</w:instrText>
      </w:r>
      <w:r w:rsidR="086564F8" w:rsidRPr="00B81DDF">
        <w:rPr>
          <w:i/>
        </w:rPr>
        <w:instrText>sequaces Aristotelis</w:instrText>
      </w:r>
      <w:r w:rsidR="086564F8">
        <w:instrText xml:space="preserve">" </w:instrText>
      </w:r>
      <w:r w:rsidR="086564F8">
        <w:rPr>
          <w:i/>
        </w:rPr>
        <w:fldChar w:fldCharType="end"/>
      </w:r>
      <w:r w:rsidR="086564F8" w:rsidRPr="00273106">
        <w:t xml:space="preserve">. Následující citát ukazuje, že </w:t>
      </w:r>
      <w:r w:rsidR="009A4B8A">
        <w:t>Ro</w:t>
      </w:r>
      <w:r w:rsidR="00981DAF">
        <w:t xml:space="preserve">ger </w:t>
      </w:r>
      <w:r w:rsidR="086564F8" w:rsidRPr="00273106">
        <w:t xml:space="preserve">Bacon v době svých pařížských studií toto rozdělení považoval za samozřejmé, protože stejně jako Alvernus a Albert četl </w:t>
      </w:r>
      <w:r w:rsidR="08F811A2">
        <w:t xml:space="preserve">skutečného </w:t>
      </w:r>
      <w:r w:rsidR="086564F8">
        <w:t>Averroes</w:t>
      </w:r>
      <w:r w:rsidR="086564F8" w:rsidRPr="00273106">
        <w:t xml:space="preserve">e bez </w:t>
      </w:r>
      <w:r w:rsidR="086564F8">
        <w:t>neoplatonsk</w:t>
      </w:r>
      <w:r w:rsidR="086564F8" w:rsidRPr="00273106">
        <w:t xml:space="preserve">ých předsudků. </w:t>
      </w:r>
      <w:r w:rsidR="086564F8">
        <w:t xml:space="preserve">Spis </w:t>
      </w:r>
      <w:r w:rsidR="086564F8" w:rsidRPr="002169B1">
        <w:rPr>
          <w:i/>
        </w:rPr>
        <w:t>Metafyzika</w:t>
      </w:r>
      <w:r w:rsidR="086564F8">
        <w:t xml:space="preserve"> předpokládá, že pravdivě poznáváme celek jsoucna, což určil spis </w:t>
      </w:r>
      <w:r w:rsidR="086564F8" w:rsidRPr="002169B1">
        <w:rPr>
          <w:i/>
        </w:rPr>
        <w:t>De anima</w:t>
      </w:r>
      <w:r w:rsidR="086564F8">
        <w:t xml:space="preserve">. </w:t>
      </w:r>
      <w:r w:rsidR="086564F8" w:rsidRPr="00273106">
        <w:t xml:space="preserve">Bacon přesně ví, že spis </w:t>
      </w:r>
      <w:r w:rsidR="086564F8" w:rsidRPr="00273106">
        <w:rPr>
          <w:i/>
        </w:rPr>
        <w:t>De anima</w:t>
      </w:r>
      <w:r w:rsidR="086564F8" w:rsidRPr="00273106">
        <w:t xml:space="preserve"> je možné vyložit jak podle neoplatonismu, tak podle CMDA. </w:t>
      </w:r>
    </w:p>
    <w:p w14:paraId="736EC6C9" w14:textId="77777777" w:rsidR="086564F8" w:rsidRPr="00273106" w:rsidRDefault="086564F8" w:rsidP="086564F8">
      <w:pPr>
        <w:pStyle w:val="Citace"/>
        <w:rPr>
          <w:noProof/>
          <w:lang w:val="cs-CZ"/>
        </w:rPr>
      </w:pPr>
      <w:r w:rsidRPr="00273106">
        <w:rPr>
          <w:noProof/>
          <w:lang w:val="cs-CZ"/>
        </w:rPr>
        <w:t>„Činný intelekt je aktivní pouze tak, že vyžaduje ke své činnosti spekulativní intelekt, který tvoří podle Komentátora část duše</w:t>
      </w:r>
      <w:r>
        <w:rPr>
          <w:noProof/>
          <w:lang w:val="cs-CZ"/>
        </w:rPr>
        <w:t xml:space="preserve"> (</w:t>
      </w:r>
      <w:r w:rsidRPr="00A83CEF">
        <w:rPr>
          <w:i/>
        </w:rPr>
        <w:t>intellectus agens secundum Commentatorem est pars anime</w:t>
      </w:r>
      <w:r>
        <w:rPr>
          <w:noProof/>
          <w:lang w:val="cs-CZ"/>
        </w:rPr>
        <w:t>)</w:t>
      </w:r>
      <w:r w:rsidRPr="00273106">
        <w:rPr>
          <w:noProof/>
          <w:lang w:val="cs-CZ"/>
        </w:rPr>
        <w:t>. Ale podle Al</w:t>
      </w:r>
      <w:r>
        <w:rPr>
          <w:noProof/>
          <w:lang w:val="cs-CZ"/>
        </w:rPr>
        <w:noBreakHyphen/>
        <w:t>Fárábí</w:t>
      </w:r>
      <w:r w:rsidRPr="00273106">
        <w:rPr>
          <w:noProof/>
          <w:lang w:val="cs-CZ"/>
        </w:rPr>
        <w:t xml:space="preserve">ho, Aristotela a Avicenny je dán jako </w:t>
      </w:r>
      <w:r>
        <w:rPr>
          <w:noProof/>
          <w:lang w:val="cs-CZ"/>
        </w:rPr>
        <w:t xml:space="preserve">oddělená </w:t>
      </w:r>
      <w:r w:rsidRPr="00273106">
        <w:rPr>
          <w:noProof/>
          <w:lang w:val="cs-CZ"/>
        </w:rPr>
        <w:t>substance</w:t>
      </w:r>
      <w:r>
        <w:rPr>
          <w:noProof/>
          <w:lang w:val="cs-CZ"/>
        </w:rPr>
        <w:t xml:space="preserve"> (</w:t>
      </w:r>
      <w:r w:rsidRPr="008E6878">
        <w:rPr>
          <w:i/>
        </w:rPr>
        <w:t>est aliquid aliud</w:t>
      </w:r>
      <w:r>
        <w:rPr>
          <w:noProof/>
          <w:lang w:val="cs-CZ"/>
        </w:rPr>
        <w:t>)</w:t>
      </w:r>
      <w:r w:rsidRPr="00273106">
        <w:rPr>
          <w:noProof/>
          <w:lang w:val="cs-CZ"/>
        </w:rPr>
        <w:t xml:space="preserve">.“ </w:t>
      </w:r>
      <w:r w:rsidRPr="00273106">
        <w:rPr>
          <w:rStyle w:val="Znakapoznpodarou"/>
          <w:noProof/>
          <w:lang w:val="cs-CZ"/>
        </w:rPr>
        <w:footnoteReference w:id="161"/>
      </w:r>
    </w:p>
    <w:p w14:paraId="7BCCFE75" w14:textId="26A9FA0C" w:rsidR="004C3B69" w:rsidRDefault="086564F8" w:rsidP="00705FE9">
      <w:r w:rsidRPr="00273106">
        <w:t xml:space="preserve">Zásadní dělicí čára mezi prvním a druhým averroismem byla dána vzhledem k postavení </w:t>
      </w:r>
      <w:r w:rsidRPr="00273106">
        <w:rPr>
          <w:i/>
        </w:rPr>
        <w:t>intellectus agens</w:t>
      </w:r>
      <w:r w:rsidRPr="00273106">
        <w:t xml:space="preserve">. </w:t>
      </w:r>
      <w:r w:rsidR="00933846">
        <w:t>Výše c</w:t>
      </w:r>
      <w:r w:rsidRPr="00273106">
        <w:t xml:space="preserve">itované komentáře </w:t>
      </w:r>
      <w:r>
        <w:rPr>
          <w:i/>
        </w:rPr>
        <w:t>De anima</w:t>
      </w:r>
      <w:r w:rsidRPr="00273106">
        <w:t xml:space="preserve"> kolem 1235 ze školy druhého averroismu (</w:t>
      </w:r>
      <w:r w:rsidR="00933846">
        <w:t xml:space="preserve">Filip Kancléř, </w:t>
      </w:r>
      <w:r w:rsidRPr="00273106">
        <w:t xml:space="preserve">Jean La Rochelle) vázaly lidské poznání na oddělený </w:t>
      </w:r>
      <w:r w:rsidRPr="00273106">
        <w:rPr>
          <w:i/>
        </w:rPr>
        <w:t>intellectus agens</w:t>
      </w:r>
      <w:r>
        <w:rPr>
          <w:i/>
        </w:rPr>
        <w:fldChar w:fldCharType="begin"/>
      </w:r>
      <w:r>
        <w:instrText xml:space="preserve"> XE "</w:instrText>
      </w:r>
      <w:r w:rsidRPr="00490D32">
        <w:rPr>
          <w:i/>
        </w:rPr>
        <w:instrText>intellectus agens:</w:instrText>
      </w:r>
      <w:r w:rsidRPr="006B3960">
        <w:instrText>druhý averroismus</w:instrText>
      </w:r>
      <w:r>
        <w:instrText xml:space="preserve">" </w:instrText>
      </w:r>
      <w:r>
        <w:rPr>
          <w:i/>
        </w:rPr>
        <w:fldChar w:fldCharType="end"/>
      </w:r>
      <w:r w:rsidR="08340B3F">
        <w:t xml:space="preserve">. Ten určuje </w:t>
      </w:r>
      <w:r w:rsidRPr="00273106">
        <w:t xml:space="preserve">poznání zezadu, od aktuálních </w:t>
      </w:r>
      <w:r w:rsidRPr="00273106">
        <w:lastRenderedPageBreak/>
        <w:t>kosmických forem</w:t>
      </w:r>
      <w:r w:rsidR="08340B3F">
        <w:t xml:space="preserve">. A tyto formy jsou </w:t>
      </w:r>
      <w:r w:rsidRPr="00273106">
        <w:t>archetypicky dan</w:t>
      </w:r>
      <w:r w:rsidR="08340B3F">
        <w:t>é</w:t>
      </w:r>
      <w:r w:rsidRPr="00273106">
        <w:t xml:space="preserve"> v Avicennově podobě </w:t>
      </w:r>
      <w:r>
        <w:t xml:space="preserve">odděleného kosmického </w:t>
      </w:r>
      <w:r w:rsidRPr="00BA3D14">
        <w:rPr>
          <w:i/>
        </w:rPr>
        <w:t>intellectus agens</w:t>
      </w:r>
      <w:r>
        <w:t xml:space="preserve"> fungujícího v objektivním diakosmu jako dárce forem</w:t>
      </w:r>
      <w:r>
        <w:rPr>
          <w:i/>
        </w:rPr>
        <w:fldChar w:fldCharType="begin"/>
      </w:r>
      <w:r>
        <w:instrText xml:space="preserve"> XE "</w:instrText>
      </w:r>
      <w:r w:rsidRPr="009607D7">
        <w:rPr>
          <w:i/>
        </w:rPr>
        <w:instrText>Dator formarum</w:instrText>
      </w:r>
      <w:r>
        <w:instrText xml:space="preserve">" </w:instrText>
      </w:r>
      <w:r>
        <w:rPr>
          <w:i/>
        </w:rPr>
        <w:fldChar w:fldCharType="end"/>
      </w:r>
      <w:r w:rsidRPr="00273106">
        <w:t xml:space="preserve"> (</w:t>
      </w:r>
      <w:r w:rsidR="0847236B">
        <w:t>OBJ I</w:t>
      </w:r>
      <w:r w:rsidR="08571B9D">
        <w:t>, kap. 2</w:t>
      </w:r>
      <w:r w:rsidRPr="00273106">
        <w:t>.3</w:t>
      </w:r>
      <w:r>
        <w:t>.1</w:t>
      </w:r>
      <w:r w:rsidRPr="00273106">
        <w:t>). Navíc je tento intelekt viděn jako samostatná nemateriální substance (</w:t>
      </w:r>
      <w:r w:rsidRPr="00273106">
        <w:rPr>
          <w:i/>
        </w:rPr>
        <w:t>hoc aliquid</w:t>
      </w:r>
      <w:r>
        <w:rPr>
          <w:i/>
        </w:rPr>
        <w:fldChar w:fldCharType="begin"/>
      </w:r>
      <w:r>
        <w:instrText xml:space="preserve"> XE "</w:instrText>
      </w:r>
      <w:r w:rsidRPr="006B0AC6">
        <w:rPr>
          <w:rStyle w:val="FontStyle129"/>
          <w:rFonts w:ascii="Calibri" w:hAnsi="Calibri"/>
          <w:i/>
          <w:sz w:val="24"/>
        </w:rPr>
        <w:instrText>hoc aliquid:</w:instrText>
      </w:r>
      <w:r w:rsidRPr="006B0AC6">
        <w:instrText>Avicenna</w:instrText>
      </w:r>
      <w:r>
        <w:instrText xml:space="preserve">" </w:instrText>
      </w:r>
      <w:r>
        <w:rPr>
          <w:i/>
        </w:rPr>
        <w:fldChar w:fldCharType="end"/>
      </w:r>
      <w:r w:rsidRPr="00273106">
        <w:t>). Proti této teorii zásadně bojoval biskup Alvernus v Paříži.</w:t>
      </w:r>
      <w:r>
        <w:t xml:space="preserve"> </w:t>
      </w:r>
      <w:r w:rsidR="0800130F" w:rsidRPr="00273106">
        <w:t xml:space="preserve">Roger Bacon </w:t>
      </w:r>
      <w:r w:rsidR="0800130F">
        <w:t xml:space="preserve">ze školy prvního averroismu </w:t>
      </w:r>
      <w:r w:rsidR="0800130F" w:rsidRPr="00273106">
        <w:t xml:space="preserve">připomíná, že Alvernus jako biskup a rektor </w:t>
      </w:r>
      <w:r w:rsidR="0800130F">
        <w:t>Pařížské univerzity</w:t>
      </w:r>
      <w:r w:rsidR="0800130F" w:rsidRPr="00273106">
        <w:t xml:space="preserve"> veřejně přede všemi magistry hlásal, že </w:t>
      </w:r>
      <w:r w:rsidR="0800130F">
        <w:t xml:space="preserve">oddělený </w:t>
      </w:r>
      <w:r w:rsidR="0800130F" w:rsidRPr="00273106">
        <w:t xml:space="preserve">kosmický intelekt </w:t>
      </w:r>
      <w:r w:rsidR="0800130F">
        <w:t xml:space="preserve">jako samostatná substance </w:t>
      </w:r>
      <w:r w:rsidR="0800130F" w:rsidRPr="00273106">
        <w:t>nemůže tvořit součást lidského intelektu (</w:t>
      </w:r>
      <w:r w:rsidR="0800130F" w:rsidRPr="00273106">
        <w:rPr>
          <w:i/>
        </w:rPr>
        <w:t>intellectus agens non potest esse pars animae</w:t>
      </w:r>
      <w:r w:rsidR="0800130F" w:rsidRPr="00273106">
        <w:t>).</w:t>
      </w:r>
      <w:r w:rsidR="0800130F" w:rsidRPr="00273106">
        <w:rPr>
          <w:rStyle w:val="Znakapoznpodarou"/>
        </w:rPr>
        <w:footnoteReference w:id="162"/>
      </w:r>
      <w:r w:rsidR="0800130F" w:rsidRPr="00273106">
        <w:t xml:space="preserve"> </w:t>
      </w:r>
      <w:r w:rsidR="004E235B" w:rsidRPr="00273106">
        <w:t xml:space="preserve">Činný intelekt v duši je jasně oddělený od </w:t>
      </w:r>
      <w:r w:rsidR="004E235B">
        <w:t>neoplatonsk</w:t>
      </w:r>
      <w:r w:rsidR="004E235B" w:rsidRPr="00273106">
        <w:t xml:space="preserve">ého </w:t>
      </w:r>
      <w:r w:rsidR="004E235B" w:rsidRPr="00273106">
        <w:rPr>
          <w:i/>
        </w:rPr>
        <w:t>intellectus agens</w:t>
      </w:r>
      <w:r w:rsidR="004E235B">
        <w:rPr>
          <w:i/>
        </w:rPr>
        <w:fldChar w:fldCharType="begin"/>
      </w:r>
      <w:r w:rsidR="004E235B">
        <w:instrText xml:space="preserve"> XE "</w:instrText>
      </w:r>
      <w:r w:rsidR="004E235B" w:rsidRPr="00490D32">
        <w:rPr>
          <w:i/>
        </w:rPr>
        <w:instrText>intellectus agens</w:instrText>
      </w:r>
      <w:r w:rsidR="004E235B" w:rsidRPr="00F358B9">
        <w:instrText>:Alvernus</w:instrText>
      </w:r>
      <w:r w:rsidR="004E235B">
        <w:instrText xml:space="preserve">" </w:instrText>
      </w:r>
      <w:r w:rsidR="004E235B">
        <w:rPr>
          <w:i/>
        </w:rPr>
        <w:fldChar w:fldCharType="end"/>
      </w:r>
      <w:r w:rsidR="004E235B" w:rsidRPr="00273106">
        <w:t xml:space="preserve"> jako samostatné substance n</w:t>
      </w:r>
      <w:r w:rsidR="0800130F">
        <w:t>emateriálního charakteru. P</w:t>
      </w:r>
      <w:r w:rsidR="004E235B" w:rsidRPr="00273106">
        <w:t xml:space="preserve">římé kauzální působení </w:t>
      </w:r>
      <w:r w:rsidR="0800130F">
        <w:t xml:space="preserve">tohoto kosmického intelektu </w:t>
      </w:r>
      <w:r w:rsidR="004E235B" w:rsidRPr="00273106">
        <w:t xml:space="preserve">na člověka není možné, protože naše poznání pochází od smyslů. </w:t>
      </w:r>
      <w:r w:rsidR="007231F0" w:rsidRPr="00273106">
        <w:rPr>
          <w:rStyle w:val="TextpoznpodarouChar"/>
        </w:rPr>
        <w:t xml:space="preserve">Bacon citující Alverna připomíná, že toto rozdělení </w:t>
      </w:r>
      <w:r w:rsidR="007231F0" w:rsidRPr="00273106">
        <w:rPr>
          <w:rStyle w:val="TextpoznpodarouChar"/>
          <w:i/>
        </w:rPr>
        <w:t>intellectus agens</w:t>
      </w:r>
      <w:r w:rsidR="007231F0" w:rsidRPr="00273106">
        <w:rPr>
          <w:rStyle w:val="TextpoznpodarouChar"/>
        </w:rPr>
        <w:t xml:space="preserve"> na </w:t>
      </w:r>
      <w:r w:rsidR="00753A52">
        <w:rPr>
          <w:rStyle w:val="TextpoznpodarouChar"/>
        </w:rPr>
        <w:t xml:space="preserve">schopnost </w:t>
      </w:r>
      <w:r w:rsidR="007231F0" w:rsidRPr="00273106">
        <w:rPr>
          <w:rStyle w:val="TextpoznpodarouChar"/>
        </w:rPr>
        <w:t xml:space="preserve">v lidské duši a na samostatnou kosmickou substanci obsahuje už Aristotelova </w:t>
      </w:r>
      <w:r w:rsidR="005C5547">
        <w:rPr>
          <w:rStyle w:val="TextpoznpodarouChar"/>
          <w:i/>
        </w:rPr>
        <w:t>De a</w:t>
      </w:r>
      <w:r w:rsidR="007231F0" w:rsidRPr="00273106">
        <w:rPr>
          <w:rStyle w:val="TextpoznpodarouChar"/>
          <w:i/>
        </w:rPr>
        <w:t>nima</w:t>
      </w:r>
      <w:r w:rsidR="004F04BB" w:rsidRPr="004F04BB">
        <w:rPr>
          <w:rStyle w:val="TextpoznpodarouChar"/>
        </w:rPr>
        <w:t xml:space="preserve">, protože v ní není činný </w:t>
      </w:r>
      <w:r w:rsidR="004F04BB">
        <w:rPr>
          <w:rStyle w:val="TextpoznpodarouChar"/>
        </w:rPr>
        <w:t>intele</w:t>
      </w:r>
      <w:r w:rsidR="004F04BB" w:rsidRPr="004F04BB">
        <w:rPr>
          <w:rStyle w:val="TextpoznpodarouChar"/>
        </w:rPr>
        <w:t>kt dán z hlediska substance</w:t>
      </w:r>
      <w:r w:rsidR="004F04BB">
        <w:rPr>
          <w:rStyle w:val="TextpoznpodarouChar"/>
          <w:i/>
        </w:rPr>
        <w:t xml:space="preserve"> </w:t>
      </w:r>
      <w:r w:rsidR="004F04BB" w:rsidRPr="004F04BB">
        <w:rPr>
          <w:rStyle w:val="TextpoznpodarouChar"/>
        </w:rPr>
        <w:t>(</w:t>
      </w:r>
      <w:r w:rsidR="004F04BB" w:rsidRPr="004F04BB">
        <w:rPr>
          <w:i/>
        </w:rPr>
        <w:t>non secundum essentiam</w:t>
      </w:r>
      <w:r w:rsidR="004F04BB" w:rsidRPr="004F04BB">
        <w:rPr>
          <w:rStyle w:val="TextpoznpodarouChar"/>
        </w:rPr>
        <w:t>)</w:t>
      </w:r>
      <w:r w:rsidR="007231F0" w:rsidRPr="00273106">
        <w:rPr>
          <w:rStyle w:val="TextpoznpodarouChar"/>
        </w:rPr>
        <w:t>.</w:t>
      </w:r>
      <w:r w:rsidR="007231F0" w:rsidRPr="00273106">
        <w:rPr>
          <w:rStyle w:val="Znakapoznpodarou"/>
        </w:rPr>
        <w:footnoteReference w:id="163"/>
      </w:r>
      <w:r w:rsidR="007231F0" w:rsidRPr="00273106">
        <w:t xml:space="preserve"> Bůh jako svrchovaný aktivní intelekt nemusí v duši působit přímo svou substancí, protože duši stačí jeho nepřímé působení prostřednict</w:t>
      </w:r>
      <w:r w:rsidR="001277C9" w:rsidRPr="00273106">
        <w:t>vím sekundárních účinků (slunce</w:t>
      </w:r>
      <w:r w:rsidR="007231F0" w:rsidRPr="00273106">
        <w:t>‒</w:t>
      </w:r>
      <w:r w:rsidR="00D63CEC" w:rsidRPr="00273106">
        <w:t>světlo). S</w:t>
      </w:r>
      <w:r w:rsidR="007231F0" w:rsidRPr="00273106">
        <w:t xml:space="preserve">větlo odděleného aktivního intelektu tvoří </w:t>
      </w:r>
      <w:r w:rsidR="00D63CEC" w:rsidRPr="00273106">
        <w:t xml:space="preserve">v procesu </w:t>
      </w:r>
      <w:r w:rsidR="00202B67">
        <w:t xml:space="preserve">neoplatonského </w:t>
      </w:r>
      <w:r w:rsidR="00D63CEC" w:rsidRPr="00273106">
        <w:t xml:space="preserve">poznání </w:t>
      </w:r>
      <w:r w:rsidR="007231F0" w:rsidRPr="00273106">
        <w:t>součást lidské duše</w:t>
      </w:r>
      <w:r w:rsidR="007A44C6" w:rsidRPr="00273106">
        <w:t xml:space="preserve"> skrze </w:t>
      </w:r>
      <w:r w:rsidR="007231F0" w:rsidRPr="00273106">
        <w:t xml:space="preserve">její </w:t>
      </w:r>
      <w:r w:rsidR="00B92F59">
        <w:t xml:space="preserve">vlastní </w:t>
      </w:r>
      <w:r w:rsidR="007231F0" w:rsidRPr="00273106">
        <w:t>individuální schopnost</w:t>
      </w:r>
      <w:r w:rsidR="007A44C6" w:rsidRPr="00273106">
        <w:t xml:space="preserve"> vidění</w:t>
      </w:r>
      <w:r w:rsidR="007231F0" w:rsidRPr="00273106">
        <w:t>.</w:t>
      </w:r>
      <w:r w:rsidR="007231F0" w:rsidRPr="00273106">
        <w:rPr>
          <w:rStyle w:val="Znakapoznpodarou"/>
        </w:rPr>
        <w:footnoteReference w:id="164"/>
      </w:r>
      <w:r w:rsidR="007231F0" w:rsidRPr="00273106">
        <w:t xml:space="preserve"> Bacon o pár řádek dál dodává, že teorii přímého působení odděleného </w:t>
      </w:r>
      <w:r w:rsidR="00DC6382">
        <w:t xml:space="preserve">kosmického </w:t>
      </w:r>
      <w:r w:rsidR="007231F0" w:rsidRPr="00273106">
        <w:rPr>
          <w:i/>
        </w:rPr>
        <w:t>intellectus agens</w:t>
      </w:r>
      <w:r w:rsidR="007231F0" w:rsidRPr="00273106">
        <w:t xml:space="preserve"> v lidské duši odsoudil už </w:t>
      </w:r>
      <w:r w:rsidR="002E3B62">
        <w:t>Averroes</w:t>
      </w:r>
      <w:r w:rsidR="007231F0" w:rsidRPr="00273106">
        <w:t>.</w:t>
      </w:r>
      <w:r w:rsidR="007231F0" w:rsidRPr="00273106">
        <w:rPr>
          <w:rStyle w:val="Znakapoznpodarou"/>
        </w:rPr>
        <w:footnoteReference w:id="165"/>
      </w:r>
      <w:r w:rsidR="007231F0" w:rsidRPr="00273106">
        <w:rPr>
          <w:rFonts w:cs="Brill-Roman"/>
        </w:rPr>
        <w:t xml:space="preserve"> </w:t>
      </w:r>
      <w:r w:rsidR="0004531B">
        <w:rPr>
          <w:rFonts w:cs="Brill-Roman"/>
        </w:rPr>
        <w:t xml:space="preserve">Alvernovým </w:t>
      </w:r>
      <w:r w:rsidR="0033046B">
        <w:rPr>
          <w:rFonts w:cs="Brill-Roman"/>
        </w:rPr>
        <w:t>prohlášením byla zásadně diskreditována Toledská škola</w:t>
      </w:r>
      <w:r w:rsidR="00AE774C">
        <w:rPr>
          <w:rFonts w:cs="Brill-Roman"/>
        </w:rPr>
        <w:t xml:space="preserve"> moderních averroistů</w:t>
      </w:r>
      <w:r w:rsidR="0004531B">
        <w:rPr>
          <w:rFonts w:cs="Brill-Roman"/>
        </w:rPr>
        <w:t xml:space="preserve"> na Pařížské univerzitě. V</w:t>
      </w:r>
      <w:r w:rsidR="0033046B">
        <w:rPr>
          <w:rFonts w:cs="Brill-Roman"/>
        </w:rPr>
        <w:t xml:space="preserve">ýklad </w:t>
      </w:r>
      <w:r w:rsidR="0004531B">
        <w:rPr>
          <w:rFonts w:cs="Brill-Roman"/>
        </w:rPr>
        <w:t xml:space="preserve">modernistů </w:t>
      </w:r>
      <w:r w:rsidR="0033046B">
        <w:rPr>
          <w:rFonts w:cs="Brill-Roman"/>
        </w:rPr>
        <w:t>nebyl v souladu s křesťanskou naukou o jednotě osoby</w:t>
      </w:r>
      <w:r w:rsidR="00A46562">
        <w:rPr>
          <w:rFonts w:cs="Brill-Roman"/>
        </w:rPr>
        <w:t xml:space="preserve"> a nepřímo obhajoval univoční emanační teorii boha jako avicennovského </w:t>
      </w:r>
      <w:r w:rsidR="00A46562" w:rsidRPr="00A46562">
        <w:rPr>
          <w:rFonts w:cs="Brill-Roman"/>
          <w:i/>
        </w:rPr>
        <w:t>Dator formarum</w:t>
      </w:r>
      <w:r w:rsidR="0033046B">
        <w:rPr>
          <w:rFonts w:cs="Brill-Roman"/>
        </w:rPr>
        <w:t xml:space="preserve">. </w:t>
      </w:r>
      <w:r w:rsidR="009D6B6E">
        <w:rPr>
          <w:rFonts w:cs="Brill-Roman"/>
        </w:rPr>
        <w:t>Křesťan</w:t>
      </w:r>
      <w:r w:rsidR="00BD1F3F">
        <w:rPr>
          <w:rFonts w:cs="Brill-Roman"/>
        </w:rPr>
        <w:t>s</w:t>
      </w:r>
      <w:r w:rsidR="009D6B6E">
        <w:rPr>
          <w:rFonts w:cs="Brill-Roman"/>
        </w:rPr>
        <w:t xml:space="preserve">tví </w:t>
      </w:r>
      <w:r w:rsidR="00BD1F3F">
        <w:rPr>
          <w:rFonts w:cs="Brill-Roman"/>
        </w:rPr>
        <w:t>o</w:t>
      </w:r>
      <w:r w:rsidR="009D6B6E">
        <w:rPr>
          <w:rFonts w:cs="Brill-Roman"/>
        </w:rPr>
        <w:t xml:space="preserve">hrožovala </w:t>
      </w:r>
      <w:r w:rsidR="00BD1F3F">
        <w:rPr>
          <w:rFonts w:cs="Brill-Roman"/>
        </w:rPr>
        <w:t>tato nauka tím, že zrušila jedi</w:t>
      </w:r>
      <w:r w:rsidR="009D6B6E">
        <w:rPr>
          <w:rFonts w:cs="Brill-Roman"/>
        </w:rPr>
        <w:t>nečnost osoby</w:t>
      </w:r>
      <w:r w:rsidR="00BD1F3F">
        <w:rPr>
          <w:rFonts w:cs="Brill-Roman"/>
        </w:rPr>
        <w:t xml:space="preserve"> jako </w:t>
      </w:r>
      <w:r w:rsidR="00BD1F3F">
        <w:rPr>
          <w:rFonts w:cs="Brill-Roman"/>
          <w:i/>
        </w:rPr>
        <w:lastRenderedPageBreak/>
        <w:t>imago D</w:t>
      </w:r>
      <w:r w:rsidR="00BD1F3F" w:rsidRPr="00BD1F3F">
        <w:rPr>
          <w:rFonts w:cs="Brill-Roman"/>
          <w:i/>
        </w:rPr>
        <w:t>ei</w:t>
      </w:r>
      <w:r w:rsidR="087E67AC">
        <w:rPr>
          <w:rFonts w:cs="Brill-Roman"/>
        </w:rPr>
        <w:t xml:space="preserve"> a vytvořila antropomorfní obraz boha. </w:t>
      </w:r>
      <w:r w:rsidR="00BD1F3F">
        <w:rPr>
          <w:rFonts w:cs="Brill-Roman"/>
        </w:rPr>
        <w:t>D</w:t>
      </w:r>
      <w:r w:rsidR="009D6B6E">
        <w:rPr>
          <w:rFonts w:cs="Brill-Roman"/>
        </w:rPr>
        <w:t>uše by nebyla stvořena bohem, ale nižšími kosmickými inteligencemi</w:t>
      </w:r>
      <w:r w:rsidR="001E7749">
        <w:rPr>
          <w:rFonts w:cs="Brill-Roman"/>
        </w:rPr>
        <w:t xml:space="preserve"> v procesu nutné emanace</w:t>
      </w:r>
      <w:r w:rsidR="009D6B6E">
        <w:rPr>
          <w:rFonts w:cs="Brill-Roman"/>
        </w:rPr>
        <w:t xml:space="preserve">. </w:t>
      </w:r>
      <w:r w:rsidR="004F426B">
        <w:rPr>
          <w:rFonts w:cs="Brill-Roman"/>
        </w:rPr>
        <w:t xml:space="preserve">Biskup </w:t>
      </w:r>
      <w:r w:rsidR="007231F0" w:rsidRPr="00273106">
        <w:t xml:space="preserve">Alvenus </w:t>
      </w:r>
      <w:r w:rsidR="004F426B">
        <w:t xml:space="preserve">argumentoval z pozice učitelského úřadu </w:t>
      </w:r>
      <w:r w:rsidR="007231F0" w:rsidRPr="00273106">
        <w:t xml:space="preserve">před pařížskými magistry, proto jej Bacon cituje na svou podporu v boji proti </w:t>
      </w:r>
      <w:r w:rsidR="00F3079B" w:rsidRPr="00273106">
        <w:t xml:space="preserve">podobné </w:t>
      </w:r>
      <w:r w:rsidR="007231F0" w:rsidRPr="00273106">
        <w:t xml:space="preserve">skupině avicennistů působící na Oxfordu. </w:t>
      </w:r>
      <w:r w:rsidR="00214063">
        <w:t xml:space="preserve">Alvernus má stejně jako </w:t>
      </w:r>
      <w:r w:rsidR="08AD168D">
        <w:t xml:space="preserve">Grosseteste a </w:t>
      </w:r>
      <w:r w:rsidR="00214063">
        <w:t>Bacon zásadní r</w:t>
      </w:r>
      <w:r w:rsidR="00E16F28">
        <w:t>ozdělení obou činných intelektů jak na lidskou schopnost vázanou hylemorficky</w:t>
      </w:r>
      <w:r w:rsidR="00CF3079">
        <w:t xml:space="preserve"> na tělo</w:t>
      </w:r>
      <w:r w:rsidR="00E16F28">
        <w:t xml:space="preserve">, tak na rodově zcela odlišný kosmický činný intelekt. </w:t>
      </w:r>
      <w:r w:rsidR="00E80470">
        <w:t xml:space="preserve">Alvernus </w:t>
      </w:r>
      <w:r w:rsidR="00E16F28">
        <w:t xml:space="preserve">toto rozdělení vyvozuje ze </w:t>
      </w:r>
      <w:r w:rsidR="00214063">
        <w:t>samotného Aristotela</w:t>
      </w:r>
      <w:r w:rsidR="00E80470">
        <w:t xml:space="preserve">, protože interpretuje </w:t>
      </w:r>
      <w:r w:rsidR="002D752C">
        <w:t xml:space="preserve">spis </w:t>
      </w:r>
      <w:r w:rsidR="00E80470" w:rsidRPr="00E80470">
        <w:rPr>
          <w:i/>
        </w:rPr>
        <w:t>De anima</w:t>
      </w:r>
      <w:r w:rsidR="00E80470">
        <w:t xml:space="preserve"> podle Blundovy školy a podle CMDA</w:t>
      </w:r>
      <w:r w:rsidR="00214063">
        <w:t>.</w:t>
      </w:r>
      <w:r w:rsidR="00EF7DF6">
        <w:t xml:space="preserve"> Následující citát přesně rozlišuje výklad poznání nasvícením zepředu nebo zezadu</w:t>
      </w:r>
      <w:r w:rsidR="00C3797F">
        <w:t xml:space="preserve"> v modu </w:t>
      </w:r>
      <w:r w:rsidR="00C3797F" w:rsidRPr="00214063">
        <w:rPr>
          <w:i/>
        </w:rPr>
        <w:t>evidenter</w:t>
      </w:r>
      <w:r w:rsidR="00EF7DF6">
        <w:t>.</w:t>
      </w:r>
    </w:p>
    <w:p w14:paraId="024ACF03" w14:textId="77777777" w:rsidR="004C3B69" w:rsidRDefault="004C3B69" w:rsidP="004C3B69">
      <w:pPr>
        <w:pStyle w:val="Citace"/>
        <w:rPr>
          <w:lang w:val="cs-CZ"/>
        </w:rPr>
      </w:pPr>
      <w:r>
        <w:t>„Ze slov samotného Aristotela jasně vyplývá (</w:t>
      </w:r>
      <w:r w:rsidRPr="004C3B69">
        <w:rPr>
          <w:i/>
        </w:rPr>
        <w:t>evidenter apparet</w:t>
      </w:r>
      <w:r>
        <w:t>), že on sám vnímal  inteligibilní schopnost  člověka ze</w:t>
      </w:r>
      <w:r>
        <w:rPr>
          <w:lang w:val="cs-CZ"/>
        </w:rPr>
        <w:t xml:space="preserve">spodu </w:t>
      </w:r>
      <w:r>
        <w:t xml:space="preserve"> (</w:t>
      </w:r>
      <w:r w:rsidRPr="004C3B69">
        <w:rPr>
          <w:i/>
        </w:rPr>
        <w:t>ab inferiori</w:t>
      </w:r>
      <w:r>
        <w:t xml:space="preserve">), to znamená </w:t>
      </w:r>
      <w:r>
        <w:rPr>
          <w:lang w:val="cs-CZ"/>
        </w:rPr>
        <w:t>od</w:t>
      </w:r>
      <w:r>
        <w:t xml:space="preserve"> smyslů skrze abstrakci (</w:t>
      </w:r>
      <w:r w:rsidRPr="004C3B69">
        <w:rPr>
          <w:i/>
        </w:rPr>
        <w:t>per spoliationem</w:t>
      </w:r>
      <w:r>
        <w:t xml:space="preserve">), což také vyložil. </w:t>
      </w:r>
      <w:r>
        <w:rPr>
          <w:lang w:val="cs-CZ"/>
        </w:rPr>
        <w:t>Zhůry (</w:t>
      </w:r>
      <w:r w:rsidRPr="004C3B69">
        <w:rPr>
          <w:i/>
        </w:rPr>
        <w:t>a parte superiori</w:t>
      </w:r>
      <w:r>
        <w:rPr>
          <w:lang w:val="cs-CZ"/>
        </w:rPr>
        <w:t>)</w:t>
      </w:r>
      <w:r>
        <w:t>, to znamená od odděleného činného intelektu, může být duše osvícena</w:t>
      </w:r>
      <w:r>
        <w:rPr>
          <w:lang w:val="cs-CZ"/>
        </w:rPr>
        <w:t xml:space="preserve"> (</w:t>
      </w:r>
      <w:r w:rsidRPr="004C3B69">
        <w:rPr>
          <w:i/>
        </w:rPr>
        <w:t>esse illuminabilem</w:t>
      </w:r>
      <w:r>
        <w:rPr>
          <w:lang w:val="cs-CZ"/>
        </w:rPr>
        <w:t>)</w:t>
      </w:r>
      <w:r>
        <w:t>.“</w:t>
      </w:r>
      <w:r>
        <w:rPr>
          <w:lang w:val="cs-CZ"/>
        </w:rPr>
        <w:t xml:space="preserve"> </w:t>
      </w:r>
      <w:r w:rsidR="00214063" w:rsidRPr="00273106">
        <w:rPr>
          <w:rStyle w:val="Znakapoznpodarou"/>
        </w:rPr>
        <w:footnoteReference w:id="166"/>
      </w:r>
    </w:p>
    <w:p w14:paraId="0AF446FD" w14:textId="67877006" w:rsidR="00F306DE" w:rsidRDefault="00214063" w:rsidP="004C3B69">
      <w:r>
        <w:t>C</w:t>
      </w:r>
      <w:r w:rsidR="00F306DE" w:rsidRPr="00273106">
        <w:t xml:space="preserve">itace z díla </w:t>
      </w:r>
      <w:r w:rsidR="00F306DE" w:rsidRPr="00273106">
        <w:rPr>
          <w:i/>
        </w:rPr>
        <w:t xml:space="preserve">De universo </w:t>
      </w:r>
      <w:r w:rsidR="0068579A">
        <w:t xml:space="preserve">rozlišuje obě </w:t>
      </w:r>
      <w:r w:rsidR="00F306DE" w:rsidRPr="00273106">
        <w:t xml:space="preserve">formy </w:t>
      </w:r>
      <w:r w:rsidR="0068579A">
        <w:t xml:space="preserve">aktivního </w:t>
      </w:r>
      <w:r w:rsidR="00F306DE" w:rsidRPr="00273106">
        <w:t>intelektu</w:t>
      </w:r>
      <w:r w:rsidR="0068579A">
        <w:t xml:space="preserve"> s odvoláním na </w:t>
      </w:r>
      <w:r w:rsidR="0068579A" w:rsidRPr="00B713C5">
        <w:rPr>
          <w:i/>
        </w:rPr>
        <w:t>De anima</w:t>
      </w:r>
      <w:r w:rsidR="0068579A">
        <w:t xml:space="preserve">, což </w:t>
      </w:r>
      <w:r w:rsidR="00CB6F5F">
        <w:t xml:space="preserve">hájila </w:t>
      </w:r>
      <w:r w:rsidR="0068579A">
        <w:t>Blundova škola</w:t>
      </w:r>
      <w:r w:rsidR="00D8761E">
        <w:t xml:space="preserve"> proti Avicennovi</w:t>
      </w:r>
      <w:r w:rsidR="00F306DE" w:rsidRPr="00273106">
        <w:t xml:space="preserve">. </w:t>
      </w:r>
      <w:r w:rsidR="006A210C">
        <w:t>Citát zavrhu</w:t>
      </w:r>
      <w:r w:rsidR="007E5D50">
        <w:t>j</w:t>
      </w:r>
      <w:r w:rsidR="006A210C">
        <w:t>e</w:t>
      </w:r>
      <w:r w:rsidR="007E5D50">
        <w:t xml:space="preserve"> iluminaci jako nutnou složku poznání</w:t>
      </w:r>
      <w:r w:rsidR="006A210C">
        <w:t xml:space="preserve"> v modu </w:t>
      </w:r>
      <w:r w:rsidR="006A210C" w:rsidRPr="006A210C">
        <w:rPr>
          <w:i/>
        </w:rPr>
        <w:t>sine qua non</w:t>
      </w:r>
      <w:r w:rsidR="007E5D50">
        <w:t xml:space="preserve">, ale nechává </w:t>
      </w:r>
      <w:r w:rsidR="00EF7DF6">
        <w:t xml:space="preserve">vliv kosmického </w:t>
      </w:r>
      <w:r w:rsidR="00EF7DF6" w:rsidRPr="00EF7DF6">
        <w:rPr>
          <w:i/>
        </w:rPr>
        <w:t xml:space="preserve">intellectus agens </w:t>
      </w:r>
      <w:r w:rsidR="007E5D50">
        <w:t>v platnosti pro teologické nazírání</w:t>
      </w:r>
      <w:r w:rsidR="00EF7DF6">
        <w:t xml:space="preserve"> a </w:t>
      </w:r>
      <w:r w:rsidR="006D041E">
        <w:t xml:space="preserve">pro </w:t>
      </w:r>
      <w:r w:rsidR="00EF7DF6">
        <w:t>mystiku</w:t>
      </w:r>
      <w:r w:rsidR="007E5D50">
        <w:t xml:space="preserve">. Přesně tento postoj hájil anonymní spis </w:t>
      </w:r>
      <w:r w:rsidR="007E5D50" w:rsidRPr="00675E1E">
        <w:rPr>
          <w:i/>
        </w:rPr>
        <w:t>De potenciis animae et obiectis</w:t>
      </w:r>
      <w:r w:rsidR="007E5D50">
        <w:t xml:space="preserve">, proto je Alvernus jeho autorem. </w:t>
      </w:r>
      <w:r w:rsidR="00F306DE" w:rsidRPr="00273106">
        <w:t>První forma aktivního intelektu tvoří část individuální lidské duše a pracuje v modelu nasvícení zepředu</w:t>
      </w:r>
      <w:r w:rsidR="00325EF1">
        <w:fldChar w:fldCharType="begin"/>
      </w:r>
      <w:r w:rsidR="00325EF1">
        <w:instrText xml:space="preserve"> XE "zjevování:</w:instrText>
      </w:r>
      <w:r w:rsidR="00325EF1" w:rsidRPr="004C1BBA">
        <w:instrText>nasvícení zepředu</w:instrText>
      </w:r>
      <w:r w:rsidR="00325EF1">
        <w:instrText xml:space="preserve">" </w:instrText>
      </w:r>
      <w:r w:rsidR="00325EF1">
        <w:fldChar w:fldCharType="end"/>
      </w:r>
      <w:r w:rsidR="00F306DE" w:rsidRPr="00273106">
        <w:t xml:space="preserve"> (</w:t>
      </w:r>
      <w:r w:rsidR="00F306DE" w:rsidRPr="00273106">
        <w:rPr>
          <w:i/>
        </w:rPr>
        <w:t>ab inferiori</w:t>
      </w:r>
      <w:r w:rsidR="00F306DE" w:rsidRPr="00273106">
        <w:t>), tj. skrze smysly a skrze proces abstrakce (</w:t>
      </w:r>
      <w:r w:rsidR="00F306DE" w:rsidRPr="00273106">
        <w:rPr>
          <w:i/>
        </w:rPr>
        <w:t>a parte sensibilium per spoliationem</w:t>
      </w:r>
      <w:r w:rsidR="00F306DE" w:rsidRPr="00273106">
        <w:t xml:space="preserve">). </w:t>
      </w:r>
      <w:r w:rsidR="00EF6917">
        <w:t xml:space="preserve">Hermeneutika </w:t>
      </w:r>
      <w:r w:rsidR="08571B9D">
        <w:t xml:space="preserve">objektivity </w:t>
      </w:r>
      <w:r w:rsidR="00EF6917">
        <w:t>proto nesouhlasí s Gilson</w:t>
      </w:r>
      <w:r w:rsidR="00325EF1">
        <w:t xml:space="preserve">ovým </w:t>
      </w:r>
      <w:r w:rsidR="00EF6917">
        <w:t xml:space="preserve">závěrem ohledně univočního postavení </w:t>
      </w:r>
      <w:r w:rsidR="00EF6917" w:rsidRPr="00657556">
        <w:rPr>
          <w:i/>
        </w:rPr>
        <w:t>intellectus agens</w:t>
      </w:r>
      <w:r w:rsidR="00006730">
        <w:t xml:space="preserve"> u Alverna </w:t>
      </w:r>
      <w:r w:rsidR="00EF6917">
        <w:t>(Gilson</w:t>
      </w:r>
      <w:r w:rsidR="00DD4EDB">
        <w:fldChar w:fldCharType="begin"/>
      </w:r>
      <w:r w:rsidR="00DD4EDB">
        <w:instrText xml:space="preserve"> XE "</w:instrText>
      </w:r>
      <w:r w:rsidR="00DD4EDB" w:rsidRPr="00BA49E5">
        <w:instrText>Gilson, E.</w:instrText>
      </w:r>
      <w:r w:rsidR="00DD4EDB">
        <w:instrText xml:space="preserve">" </w:instrText>
      </w:r>
      <w:r w:rsidR="00DD4EDB">
        <w:fldChar w:fldCharType="end"/>
      </w:r>
      <w:r w:rsidR="00EF6917">
        <w:t xml:space="preserve"> 1926, 71‒72). </w:t>
      </w:r>
      <w:r w:rsidR="000B3378">
        <w:t>I</w:t>
      </w:r>
      <w:r w:rsidR="00CB6F5F" w:rsidRPr="00273106">
        <w:t xml:space="preserve">ntelekt </w:t>
      </w:r>
      <w:r w:rsidR="00874074">
        <w:t>neoplatonsk</w:t>
      </w:r>
      <w:r w:rsidR="08175349">
        <w:t xml:space="preserve">ých </w:t>
      </w:r>
      <w:r w:rsidR="00CB6F5F" w:rsidRPr="00CB6F5F">
        <w:rPr>
          <w:i/>
        </w:rPr>
        <w:t>sequaces Aristotelis</w:t>
      </w:r>
      <w:r w:rsidR="00BB1AC2">
        <w:rPr>
          <w:i/>
        </w:rPr>
        <w:fldChar w:fldCharType="begin"/>
      </w:r>
      <w:r w:rsidR="00BB1AC2">
        <w:instrText xml:space="preserve"> XE "druhý averroismus:</w:instrText>
      </w:r>
      <w:r w:rsidR="00BB1AC2" w:rsidRPr="00B81DDF">
        <w:rPr>
          <w:i/>
        </w:rPr>
        <w:instrText>sequaces Aristotelis</w:instrText>
      </w:r>
      <w:r w:rsidR="00BB1AC2">
        <w:instrText xml:space="preserve">" </w:instrText>
      </w:r>
      <w:r w:rsidR="00BB1AC2">
        <w:rPr>
          <w:i/>
        </w:rPr>
        <w:fldChar w:fldCharType="end"/>
      </w:r>
      <w:r w:rsidR="00CB6F5F">
        <w:t xml:space="preserve"> </w:t>
      </w:r>
      <w:r w:rsidR="00CB6F5F" w:rsidRPr="00273106">
        <w:t xml:space="preserve">je </w:t>
      </w:r>
      <w:r w:rsidR="0003117F">
        <w:t xml:space="preserve">trvale a nutně </w:t>
      </w:r>
      <w:r w:rsidR="00CB6F5F" w:rsidRPr="00273106">
        <w:t xml:space="preserve">osvícený </w:t>
      </w:r>
      <w:r w:rsidR="00CB6F5F">
        <w:t xml:space="preserve">substančně odděleným nemateriálním </w:t>
      </w:r>
      <w:r w:rsidR="00CB6F5F" w:rsidRPr="00273106">
        <w:rPr>
          <w:i/>
        </w:rPr>
        <w:t>intellectus agens</w:t>
      </w:r>
      <w:r w:rsidR="08BE7E86">
        <w:t xml:space="preserve">. To je podle prvních modernistů jediný způsob, jak lze pravdivě vysvětlit </w:t>
      </w:r>
      <w:r w:rsidR="0003117F">
        <w:t>lidské poznání.</w:t>
      </w:r>
      <w:r w:rsidR="00CB6F5F" w:rsidRPr="00273106">
        <w:t xml:space="preserve"> </w:t>
      </w:r>
      <w:r w:rsidR="08175349">
        <w:t xml:space="preserve">Poznání </w:t>
      </w:r>
      <w:r w:rsidR="00CB6F5F" w:rsidRPr="00273106">
        <w:rPr>
          <w:i/>
        </w:rPr>
        <w:t>Modernorum</w:t>
      </w:r>
      <w:r w:rsidR="08175349">
        <w:t xml:space="preserve"> tvoří vnitřní kino dané v duši ilumináta</w:t>
      </w:r>
      <w:r w:rsidR="082E13BF">
        <w:t>. N</w:t>
      </w:r>
      <w:r w:rsidR="08175349">
        <w:t>a promítací</w:t>
      </w:r>
      <w:r w:rsidR="08734810">
        <w:t>m plátně</w:t>
      </w:r>
      <w:r w:rsidR="08175349">
        <w:t xml:space="preserve"> Avicennova </w:t>
      </w:r>
      <w:r w:rsidR="08175349" w:rsidRPr="08175349">
        <w:rPr>
          <w:i/>
        </w:rPr>
        <w:t>intellectus adeptus</w:t>
      </w:r>
      <w:r w:rsidR="08175349">
        <w:t xml:space="preserve"> </w:t>
      </w:r>
      <w:r w:rsidR="08D3646B">
        <w:t xml:space="preserve">nebo Kartéziova </w:t>
      </w:r>
      <w:r w:rsidR="08D3646B" w:rsidRPr="08D3646B">
        <w:rPr>
          <w:i/>
        </w:rPr>
        <w:t>cogito</w:t>
      </w:r>
      <w:r w:rsidR="08D3646B">
        <w:t xml:space="preserve"> </w:t>
      </w:r>
      <w:r w:rsidR="082E13BF">
        <w:t xml:space="preserve">se </w:t>
      </w:r>
      <w:r w:rsidR="08734810">
        <w:t xml:space="preserve">reflexivně zrcadlí </w:t>
      </w:r>
      <w:r w:rsidR="08175349">
        <w:t>vnější kosmické formy</w:t>
      </w:r>
      <w:r w:rsidR="08734810" w:rsidRPr="08734810">
        <w:t xml:space="preserve"> </w:t>
      </w:r>
      <w:r w:rsidR="08734810">
        <w:t xml:space="preserve">promítané skrze kosmický </w:t>
      </w:r>
      <w:r w:rsidR="08734810" w:rsidRPr="08734810">
        <w:rPr>
          <w:i/>
        </w:rPr>
        <w:t>intellectus agens</w:t>
      </w:r>
      <w:r w:rsidR="08A35A14">
        <w:t xml:space="preserve"> nebo karteziánského postmoderního boha </w:t>
      </w:r>
      <w:r w:rsidR="08A35A14">
        <w:lastRenderedPageBreak/>
        <w:t xml:space="preserve">daného jako </w:t>
      </w:r>
      <w:r w:rsidR="08A35A14" w:rsidRPr="08A35A14">
        <w:rPr>
          <w:i/>
        </w:rPr>
        <w:t>causa sui</w:t>
      </w:r>
      <w:r w:rsidR="08A35A14">
        <w:t xml:space="preserve"> a vrozená idea. </w:t>
      </w:r>
      <w:r w:rsidR="08175349">
        <w:t>P</w:t>
      </w:r>
      <w:r w:rsidR="00CB6F5F">
        <w:t xml:space="preserve">oznání </w:t>
      </w:r>
      <w:r w:rsidR="083A0390">
        <w:t xml:space="preserve">těchto </w:t>
      </w:r>
      <w:r w:rsidR="08175349" w:rsidRPr="08175349">
        <w:rPr>
          <w:i/>
        </w:rPr>
        <w:t xml:space="preserve">sequaces Aristotelis </w:t>
      </w:r>
      <w:r w:rsidR="007B6581">
        <w:t xml:space="preserve">je dané </w:t>
      </w:r>
      <w:r w:rsidR="00CB6F5F">
        <w:t>nasvícení</w:t>
      </w:r>
      <w:r w:rsidR="007B6581">
        <w:t xml:space="preserve">m zezadu a denudací, </w:t>
      </w:r>
      <w:r w:rsidR="0003117F">
        <w:t xml:space="preserve">proto </w:t>
      </w:r>
      <w:r w:rsidR="007B6581">
        <w:t>je</w:t>
      </w:r>
      <w:r w:rsidR="00CB6F5F">
        <w:t xml:space="preserve"> </w:t>
      </w:r>
      <w:r w:rsidR="00CB6F5F" w:rsidRPr="00273106">
        <w:t>oddělen</w:t>
      </w:r>
      <w:r w:rsidR="00CB6F5F">
        <w:t>é</w:t>
      </w:r>
      <w:r w:rsidR="00CB6F5F" w:rsidRPr="00273106">
        <w:t xml:space="preserve"> jak od vnější reality, tak od smyslů</w:t>
      </w:r>
      <w:r w:rsidR="000E01C6">
        <w:fldChar w:fldCharType="begin"/>
      </w:r>
      <w:r w:rsidR="000E01C6">
        <w:instrText xml:space="preserve"> XE "zjevování:nasvícení zezadu" </w:instrText>
      </w:r>
      <w:r w:rsidR="000E01C6">
        <w:fldChar w:fldCharType="end"/>
      </w:r>
      <w:r w:rsidR="00CB6F5F" w:rsidRPr="00273106">
        <w:t xml:space="preserve">. </w:t>
      </w:r>
      <w:r w:rsidR="089E3DC5">
        <w:t xml:space="preserve">Úřední </w:t>
      </w:r>
      <w:r w:rsidR="08BC3D12">
        <w:t>dekr</w:t>
      </w:r>
      <w:r w:rsidR="089E3DC5">
        <w:t xml:space="preserve">et o zrušení </w:t>
      </w:r>
      <w:r w:rsidR="08BC3D12">
        <w:t xml:space="preserve">odděleného kosmického </w:t>
      </w:r>
      <w:r w:rsidR="00CB6F5F" w:rsidRPr="00273106">
        <w:t xml:space="preserve">intelektu </w:t>
      </w:r>
      <w:r w:rsidR="00CB6F5F">
        <w:t>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CB6F5F">
        <w:t xml:space="preserve"> </w:t>
      </w:r>
      <w:r w:rsidR="083A0390">
        <w:t xml:space="preserve">potvrdil </w:t>
      </w:r>
      <w:r w:rsidR="08BC3D12">
        <w:t xml:space="preserve">krátkou epochu </w:t>
      </w:r>
      <w:r w:rsidR="08486EB0">
        <w:t xml:space="preserve">akademické dominance </w:t>
      </w:r>
      <w:r w:rsidR="083A0390">
        <w:t>Blundovy školy na Pařížské univerzitě</w:t>
      </w:r>
      <w:r w:rsidR="089F7087">
        <w:t xml:space="preserve">. Toto kritické myšlení na chvíli </w:t>
      </w:r>
      <w:r w:rsidR="083A0390">
        <w:t>zhasl</w:t>
      </w:r>
      <w:r w:rsidR="089F7087">
        <w:t>o</w:t>
      </w:r>
      <w:r w:rsidR="00D83CAE">
        <w:t xml:space="preserve"> </w:t>
      </w:r>
      <w:r w:rsidR="083A0390">
        <w:t>mytopoetické</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3A0390">
        <w:t xml:space="preserve"> </w:t>
      </w:r>
      <w:r w:rsidR="00D83CAE">
        <w:t>světlo odděle</w:t>
      </w:r>
      <w:r w:rsidR="083A0390">
        <w:t>ného činného intelektu</w:t>
      </w:r>
      <w:r w:rsidR="08ED1A5F">
        <w:t>-slunce</w:t>
      </w:r>
      <w:r w:rsidR="083A0390">
        <w:t xml:space="preserve"> a nechal</w:t>
      </w:r>
      <w:r w:rsidR="089F7087">
        <w:t>o</w:t>
      </w:r>
      <w:r w:rsidR="00D83CAE">
        <w:t xml:space="preserve"> zářit aktuální hylemorfickou první substanci</w:t>
      </w:r>
      <w:r w:rsidR="08BC3D12" w:rsidRPr="08BC3D12">
        <w:t xml:space="preserve"> </w:t>
      </w:r>
      <w:r w:rsidR="08BC3D12">
        <w:t>pro přirozené poznání</w:t>
      </w:r>
      <w:r w:rsidR="00D83CAE">
        <w:t>. Tím se Alvernus oddělil od Toledské školy, jejíž sv</w:t>
      </w:r>
      <w:r w:rsidR="00CB6F5F" w:rsidRPr="00273106">
        <w:t>ětlo odděleného činného intelektu</w:t>
      </w:r>
      <w:r w:rsidR="000E01C6">
        <w:fldChar w:fldCharType="begin"/>
      </w:r>
      <w:r w:rsidR="000E01C6">
        <w:instrText xml:space="preserve"> XE "</w:instrText>
      </w:r>
      <w:r w:rsidR="000E01C6" w:rsidRPr="00C102B7">
        <w:instrText>intelekt-slunce</w:instrText>
      </w:r>
      <w:r w:rsidR="000E01C6">
        <w:instrText xml:space="preserve">" </w:instrText>
      </w:r>
      <w:r w:rsidR="000E01C6">
        <w:fldChar w:fldCharType="end"/>
      </w:r>
      <w:r w:rsidR="00D83CAE">
        <w:t xml:space="preserve"> </w:t>
      </w:r>
      <w:r w:rsidR="00CB6F5F" w:rsidRPr="00273106">
        <w:t>ozařuje gnoseologický zmatek moderny a postmoderny.</w:t>
      </w:r>
      <w:r w:rsidR="00CB6F5F">
        <w:t xml:space="preserve"> </w:t>
      </w:r>
      <w:r w:rsidR="005E78CA">
        <w:t xml:space="preserve">Za biskupa Alverna vypukl první spor mezi školou prvního a druhého averroismu, kdy byly ve </w:t>
      </w:r>
      <w:r w:rsidR="00584D8F">
        <w:t xml:space="preserve">hře </w:t>
      </w:r>
      <w:r w:rsidR="005E78CA">
        <w:t xml:space="preserve">všechny základní otázky, které určovaly budoucí vývoj k objektivitě. </w:t>
      </w:r>
    </w:p>
    <w:p w14:paraId="5854016C" w14:textId="4F124A7F" w:rsidR="00BA35FE" w:rsidRDefault="00C51568" w:rsidP="086C1F19">
      <w:pPr>
        <w:pStyle w:val="Nadpis3"/>
      </w:pPr>
      <w:bookmarkStart w:id="66" w:name="_Toc487234303"/>
      <w:bookmarkStart w:id="67" w:name="_Toc12558310"/>
      <w:r>
        <w:rPr>
          <w:lang w:val="cs-CZ"/>
        </w:rPr>
        <w:br w:type="page"/>
      </w:r>
      <w:bookmarkStart w:id="68" w:name="_Toc160449322"/>
      <w:r w:rsidR="08D20D28">
        <w:rPr>
          <w:lang w:val="cs-CZ"/>
        </w:rPr>
        <w:lastRenderedPageBreak/>
        <w:t>2</w:t>
      </w:r>
      <w:r w:rsidR="00BA35FE">
        <w:t>.3.1 Kritika neo</w:t>
      </w:r>
      <w:r w:rsidR="00B9494B">
        <w:t>p</w:t>
      </w:r>
      <w:r w:rsidR="008E02F5">
        <w:t>laton</w:t>
      </w:r>
      <w:r w:rsidR="00BA35FE">
        <w:t>sk</w:t>
      </w:r>
      <w:r w:rsidR="00E861F7">
        <w:rPr>
          <w:lang w:val="cs-CZ"/>
        </w:rPr>
        <w:t xml:space="preserve">ého </w:t>
      </w:r>
      <w:r w:rsidR="00BA35FE">
        <w:t>Aristotela</w:t>
      </w:r>
      <w:bookmarkEnd w:id="66"/>
      <w:bookmarkEnd w:id="67"/>
      <w:bookmarkEnd w:id="68"/>
    </w:p>
    <w:p w14:paraId="29C76ED5" w14:textId="5AB7568A" w:rsidR="083835F7" w:rsidRDefault="00F3079B" w:rsidP="004E36E2">
      <w:r w:rsidRPr="00273106">
        <w:t xml:space="preserve">Alvernovo </w:t>
      </w:r>
      <w:r w:rsidR="00233D50">
        <w:t xml:space="preserve">rané </w:t>
      </w:r>
      <w:r w:rsidRPr="00273106">
        <w:t>d</w:t>
      </w:r>
      <w:r w:rsidR="0033160B" w:rsidRPr="00273106">
        <w:t xml:space="preserve">ílo </w:t>
      </w:r>
      <w:r w:rsidR="0033160B" w:rsidRPr="00273106">
        <w:rPr>
          <w:i/>
        </w:rPr>
        <w:t>De universo</w:t>
      </w:r>
      <w:r w:rsidR="0033160B" w:rsidRPr="00273106">
        <w:t xml:space="preserve"> </w:t>
      </w:r>
      <w:r w:rsidR="0033160B" w:rsidRPr="00273106">
        <w:rPr>
          <w:lang w:eastAsia="en-US"/>
        </w:rPr>
        <w:t xml:space="preserve">kriticky hodnotí </w:t>
      </w:r>
      <w:r w:rsidR="0033160B" w:rsidRPr="00273106">
        <w:t>skupinu myslitelů,</w:t>
      </w:r>
      <w:r w:rsidR="081161B3">
        <w:t xml:space="preserve"> které tituluje obecným názvem </w:t>
      </w:r>
      <w:r w:rsidR="0033160B" w:rsidRPr="00273106">
        <w:rPr>
          <w:i/>
        </w:rPr>
        <w:t>sophistae Italici</w:t>
      </w:r>
      <w:r w:rsidR="008D54C6">
        <w:rPr>
          <w:i/>
        </w:rPr>
        <w:fldChar w:fldCharType="begin"/>
      </w:r>
      <w:r w:rsidR="008D54C6">
        <w:instrText xml:space="preserve"> XE "druhý averroismus:</w:instrText>
      </w:r>
      <w:r w:rsidR="008D54C6" w:rsidRPr="00A55E9E">
        <w:rPr>
          <w:i/>
        </w:rPr>
        <w:instrText>sophistae Italici</w:instrText>
      </w:r>
      <w:r w:rsidR="008D54C6">
        <w:instrText xml:space="preserve">" </w:instrText>
      </w:r>
      <w:r w:rsidR="008D54C6">
        <w:rPr>
          <w:i/>
        </w:rPr>
        <w:fldChar w:fldCharType="end"/>
      </w:r>
      <w:r w:rsidR="0033160B" w:rsidRPr="00273106">
        <w:rPr>
          <w:i/>
        </w:rPr>
        <w:t>, vel Latini</w:t>
      </w:r>
      <w:r w:rsidR="0033160B" w:rsidRPr="00273106">
        <w:t xml:space="preserve">. Vzhledem k předložené analýze školy </w:t>
      </w:r>
      <w:r w:rsidR="0033160B" w:rsidRPr="00273106">
        <w:rPr>
          <w:i/>
        </w:rPr>
        <w:t>Nominales</w:t>
      </w:r>
      <w:r w:rsidR="0033160B" w:rsidRPr="00273106">
        <w:t xml:space="preserve"> </w:t>
      </w:r>
      <w:r w:rsidR="00127539">
        <w:t xml:space="preserve">v předešlé matrici </w:t>
      </w:r>
      <w:r w:rsidR="00127539" w:rsidRPr="00273106">
        <w:t xml:space="preserve">nemá </w:t>
      </w:r>
      <w:r w:rsidR="0033160B" w:rsidRPr="00273106">
        <w:t xml:space="preserve">hermeneutika </w:t>
      </w:r>
      <w:r w:rsidR="00127539">
        <w:t xml:space="preserve">žádný velký </w:t>
      </w:r>
      <w:r w:rsidR="0033160B" w:rsidRPr="00273106">
        <w:t xml:space="preserve">problém s určením identity první skupiny </w:t>
      </w:r>
      <w:r w:rsidR="009950EF">
        <w:t xml:space="preserve">sofistů </w:t>
      </w:r>
      <w:r w:rsidR="081161B3">
        <w:t xml:space="preserve">nazvané </w:t>
      </w:r>
      <w:r w:rsidR="0033160B" w:rsidRPr="00273106">
        <w:rPr>
          <w:i/>
        </w:rPr>
        <w:t>Italici</w:t>
      </w:r>
      <w:r w:rsidR="0033160B" w:rsidRPr="00273106">
        <w:t>.</w:t>
      </w:r>
      <w:r w:rsidR="005C5547" w:rsidRPr="00273106">
        <w:rPr>
          <w:rStyle w:val="Znakapoznpodarou"/>
        </w:rPr>
        <w:footnoteReference w:id="167"/>
      </w:r>
      <w:r w:rsidR="0033160B" w:rsidRPr="00273106">
        <w:t xml:space="preserve"> </w:t>
      </w:r>
      <w:r w:rsidR="005C5547">
        <w:t>Alvernus tu</w:t>
      </w:r>
      <w:r w:rsidR="00D40EEA" w:rsidRPr="00273106">
        <w:t>to skupin</w:t>
      </w:r>
      <w:r w:rsidR="005C5547">
        <w:t>u</w:t>
      </w:r>
      <w:r w:rsidR="00E12AB3">
        <w:t xml:space="preserve"> porretán</w:t>
      </w:r>
      <w:r w:rsidR="00D40EEA" w:rsidRPr="00273106">
        <w:t xml:space="preserve">ů </w:t>
      </w:r>
      <w:r w:rsidR="081161B3">
        <w:t xml:space="preserve">angažovanou </w:t>
      </w:r>
      <w:r w:rsidR="005C5547">
        <w:t xml:space="preserve">v určitých sporech </w:t>
      </w:r>
      <w:r w:rsidR="00D40EEA" w:rsidRPr="00273106">
        <w:t>označ</w:t>
      </w:r>
      <w:r w:rsidR="005C5547">
        <w:t>uje</w:t>
      </w:r>
      <w:r w:rsidR="00D40EEA" w:rsidRPr="00273106">
        <w:t xml:space="preserve"> </w:t>
      </w:r>
      <w:r w:rsidR="00B17E19">
        <w:t xml:space="preserve">také </w:t>
      </w:r>
      <w:r w:rsidR="081161B3">
        <w:t xml:space="preserve">termínem </w:t>
      </w:r>
      <w:r w:rsidR="00D40EEA" w:rsidRPr="00273106">
        <w:rPr>
          <w:i/>
        </w:rPr>
        <w:t>Grammatici</w:t>
      </w:r>
      <w:r w:rsidR="008D54C6">
        <w:rPr>
          <w:i/>
        </w:rPr>
        <w:fldChar w:fldCharType="begin"/>
      </w:r>
      <w:r w:rsidR="008D54C6">
        <w:instrText xml:space="preserve"> XE "druhý averroismus:</w:instrText>
      </w:r>
      <w:r w:rsidR="008D54C6" w:rsidRPr="00C6656A">
        <w:rPr>
          <w:i/>
        </w:rPr>
        <w:instrText>Grammatici</w:instrText>
      </w:r>
      <w:r w:rsidR="008D54C6">
        <w:instrText xml:space="preserve">" </w:instrText>
      </w:r>
      <w:r w:rsidR="008D54C6">
        <w:rPr>
          <w:i/>
        </w:rPr>
        <w:fldChar w:fldCharType="end"/>
      </w:r>
      <w:r w:rsidR="00B17E19">
        <w:t>, což ukáže další kapitola</w:t>
      </w:r>
      <w:r w:rsidR="00D40EEA" w:rsidRPr="00273106">
        <w:t xml:space="preserve">. </w:t>
      </w:r>
      <w:r w:rsidR="0033160B" w:rsidRPr="00273106">
        <w:t>Jsou to oba Kapuánští, tj. Petrus Capuanus Maior</w:t>
      </w:r>
      <w:r w:rsidR="008D54C6">
        <w:fldChar w:fldCharType="begin"/>
      </w:r>
      <w:r w:rsidR="008D54C6">
        <w:instrText xml:space="preserve"> XE "</w:instrText>
      </w:r>
      <w:r w:rsidR="008D54C6" w:rsidRPr="00565ADA">
        <w:instrText>Petrus Capuanus Maior</w:instrText>
      </w:r>
      <w:r w:rsidR="008D54C6">
        <w:instrText xml:space="preserve">" </w:instrText>
      </w:r>
      <w:r w:rsidR="008D54C6">
        <w:fldChar w:fldCharType="end"/>
      </w:r>
      <w:r w:rsidR="0033160B" w:rsidRPr="00273106">
        <w:t xml:space="preserve"> (†1214) a jeho synovec, Petrus Capu</w:t>
      </w:r>
      <w:r w:rsidR="006863C3">
        <w:t>anus Minor</w:t>
      </w:r>
      <w:r w:rsidR="008D54C6">
        <w:fldChar w:fldCharType="begin"/>
      </w:r>
      <w:r w:rsidR="008D54C6">
        <w:instrText xml:space="preserve"> XE "</w:instrText>
      </w:r>
      <w:r w:rsidR="008D54C6" w:rsidRPr="00B13D31">
        <w:instrText>Petrus Capuanus Minor</w:instrText>
      </w:r>
      <w:r w:rsidR="008D54C6">
        <w:instrText xml:space="preserve">" </w:instrText>
      </w:r>
      <w:r w:rsidR="008D54C6">
        <w:fldChar w:fldCharType="end"/>
      </w:r>
      <w:r w:rsidR="006863C3">
        <w:t xml:space="preserve"> (†1245). Z </w:t>
      </w:r>
      <w:r w:rsidR="0033160B" w:rsidRPr="00273106">
        <w:t xml:space="preserve">předešlé generace porretánů </w:t>
      </w:r>
      <w:r w:rsidR="006863C3">
        <w:t>to může být i</w:t>
      </w:r>
      <w:r w:rsidR="0033160B" w:rsidRPr="00273106">
        <w:t xml:space="preserve"> Petr z Vídně</w:t>
      </w:r>
      <w:r w:rsidR="008D54C6">
        <w:fldChar w:fldCharType="begin"/>
      </w:r>
      <w:r w:rsidR="008D54C6">
        <w:instrText xml:space="preserve"> XE "</w:instrText>
      </w:r>
      <w:r w:rsidR="008D54C6" w:rsidRPr="002775B5">
        <w:instrText>Petr z Vídně</w:instrText>
      </w:r>
      <w:r w:rsidR="008D54C6">
        <w:instrText xml:space="preserve">" </w:instrText>
      </w:r>
      <w:r w:rsidR="008D54C6">
        <w:fldChar w:fldCharType="end"/>
      </w:r>
      <w:r w:rsidR="0033160B" w:rsidRPr="00273106">
        <w:t xml:space="preserve"> (</w:t>
      </w:r>
      <w:r w:rsidR="008D54C6" w:rsidRPr="008D54C6">
        <w:t>Petrus Wiensis</w:t>
      </w:r>
      <w:r w:rsidR="0033160B" w:rsidRPr="00273106">
        <w:t>)</w:t>
      </w:r>
      <w:r w:rsidR="08403519">
        <w:t xml:space="preserve">. Tento žák Gilberta z Poitires byl </w:t>
      </w:r>
      <w:r w:rsidR="0033160B" w:rsidRPr="00273106">
        <w:t xml:space="preserve">teologicky činný v dogmatických sporech </w:t>
      </w:r>
      <w:r w:rsidR="08782EB0">
        <w:t xml:space="preserve"> v letech </w:t>
      </w:r>
      <w:r w:rsidR="0033160B" w:rsidRPr="00273106">
        <w:t>1150–60</w:t>
      </w:r>
      <w:r w:rsidR="08782EB0">
        <w:t xml:space="preserve"> </w:t>
      </w:r>
      <w:r w:rsidR="08403519">
        <w:t xml:space="preserve">a je </w:t>
      </w:r>
      <w:r w:rsidR="005B51FB">
        <w:t xml:space="preserve">pravděpodobným </w:t>
      </w:r>
      <w:r w:rsidR="08782EB0">
        <w:t xml:space="preserve">autorem nejdůležitějšího porretánského teologického díla </w:t>
      </w:r>
      <w:r w:rsidR="005457FB">
        <w:rPr>
          <w:i/>
        </w:rPr>
        <w:t>Summa Zwettlensis</w:t>
      </w:r>
      <w:r w:rsidR="08782EB0">
        <w:rPr>
          <w:i/>
        </w:rPr>
        <w:t xml:space="preserve"> </w:t>
      </w:r>
      <w:r w:rsidR="08782EB0">
        <w:t>(Nielsen 1989, 284–85)</w:t>
      </w:r>
      <w:r w:rsidR="0033160B" w:rsidRPr="00273106">
        <w:t xml:space="preserve">. </w:t>
      </w:r>
      <w:r w:rsidR="005B73E4" w:rsidRPr="00273106">
        <w:t xml:space="preserve">Přízvisko </w:t>
      </w:r>
      <w:r w:rsidR="005B73E4" w:rsidRPr="00273106">
        <w:rPr>
          <w:i/>
        </w:rPr>
        <w:t>Italici</w:t>
      </w:r>
      <w:r w:rsidR="005B73E4" w:rsidRPr="00273106">
        <w:t xml:space="preserve"> si citovaní myslitelé zasloužili právem. Petr z Vídně a Petrus Capuanus starší </w:t>
      </w:r>
      <w:r w:rsidR="08937C91">
        <w:t xml:space="preserve">strávili dlouhá léta </w:t>
      </w:r>
      <w:r w:rsidR="005B73E4" w:rsidRPr="00273106">
        <w:t xml:space="preserve">v Itálii a </w:t>
      </w:r>
      <w:r w:rsidR="08937C91">
        <w:t xml:space="preserve">měli kontakty s </w:t>
      </w:r>
      <w:r w:rsidR="005B73E4" w:rsidRPr="00273106">
        <w:t>Byzanc</w:t>
      </w:r>
      <w:r w:rsidR="08937C91">
        <w:t>í</w:t>
      </w:r>
      <w:r w:rsidR="005B73E4" w:rsidRPr="00273106">
        <w:t>, protože pracovali mnoho let v papežských diplomatických službách na Východě</w:t>
      </w:r>
      <w:r w:rsidR="08782EB0">
        <w:t xml:space="preserve"> (Courtenay 1992; 2008, 50–80)</w:t>
      </w:r>
      <w:r w:rsidR="005B73E4" w:rsidRPr="00273106">
        <w:t xml:space="preserve">. </w:t>
      </w:r>
      <w:r w:rsidR="00980DAA">
        <w:t xml:space="preserve">Petrus </w:t>
      </w:r>
      <w:r w:rsidR="005B73E4" w:rsidRPr="00273106">
        <w:t xml:space="preserve">Capuanus mladší byl </w:t>
      </w:r>
      <w:r w:rsidR="00B5408B">
        <w:t xml:space="preserve">Alvernovým </w:t>
      </w:r>
      <w:r w:rsidR="005B73E4">
        <w:t>současníkem</w:t>
      </w:r>
      <w:r w:rsidR="08E26064">
        <w:t>. P</w:t>
      </w:r>
      <w:r w:rsidR="086701FD">
        <w:t xml:space="preserve">apež </w:t>
      </w:r>
      <w:r w:rsidR="08CD3C4B">
        <w:t xml:space="preserve">Honorius III. tomuto  pařížskému magistrovi </w:t>
      </w:r>
      <w:r w:rsidR="08F70B8D">
        <w:t xml:space="preserve">a vlivnému představiteli školy </w:t>
      </w:r>
      <w:r w:rsidR="08F70B8D" w:rsidRPr="08F70B8D">
        <w:rPr>
          <w:i/>
        </w:rPr>
        <w:t>logica Modernorum</w:t>
      </w:r>
      <w:r w:rsidR="08F70B8D">
        <w:t xml:space="preserve"> </w:t>
      </w:r>
      <w:r w:rsidR="08E26064">
        <w:t xml:space="preserve">odňal funkci </w:t>
      </w:r>
      <w:r w:rsidR="08E26064" w:rsidRPr="08E26064">
        <w:rPr>
          <w:i/>
        </w:rPr>
        <w:t>magistra regens</w:t>
      </w:r>
      <w:r w:rsidR="08E26064" w:rsidRPr="08CD3C4B">
        <w:t xml:space="preserve"> </w:t>
      </w:r>
      <w:r w:rsidR="08E26064">
        <w:t xml:space="preserve">v roce 1218. Jeho jméno se cituje v souvislosti s </w:t>
      </w:r>
      <w:r w:rsidR="08540647">
        <w:t>dalšími dvě</w:t>
      </w:r>
      <w:r w:rsidR="08E26064">
        <w:t>m</w:t>
      </w:r>
      <w:r w:rsidR="08540647">
        <w:t>a</w:t>
      </w:r>
      <w:r w:rsidR="08E26064">
        <w:t xml:space="preserve"> významnými představiteli moderních logických škol v Paříži </w:t>
      </w:r>
      <w:r w:rsidR="08E7430F">
        <w:t>(</w:t>
      </w:r>
      <w:r w:rsidR="08E7430F" w:rsidRPr="08E7430F">
        <w:t>William de Pont d'Arche</w:t>
      </w:r>
      <w:r w:rsidR="08E7430F">
        <w:t xml:space="preserve">, </w:t>
      </w:r>
      <w:r w:rsidR="08E7430F" w:rsidRPr="08E7430F">
        <w:t>Richard the Englishman</w:t>
      </w:r>
      <w:r w:rsidR="08E7430F">
        <w:t>)</w:t>
      </w:r>
      <w:r w:rsidR="086701FD">
        <w:t xml:space="preserve">. </w:t>
      </w:r>
      <w:r w:rsidR="083B39C7">
        <w:t xml:space="preserve">Petr Kapuánský přestal dělat </w:t>
      </w:r>
      <w:r w:rsidR="08D67806">
        <w:t xml:space="preserve">akademickou kariéru </w:t>
      </w:r>
      <w:r w:rsidR="083B39C7">
        <w:t xml:space="preserve">a stal se </w:t>
      </w:r>
      <w:r w:rsidR="08CA586D">
        <w:t xml:space="preserve">papežským patriarchou Antiochie. </w:t>
      </w:r>
      <w:r w:rsidR="0033160B" w:rsidRPr="00273106">
        <w:t xml:space="preserve">Zmínění představitelé školy </w:t>
      </w:r>
      <w:r w:rsidR="0033160B" w:rsidRPr="00273106">
        <w:rPr>
          <w:i/>
        </w:rPr>
        <w:t>Nominales</w:t>
      </w:r>
      <w:r w:rsidR="0033160B" w:rsidRPr="00273106">
        <w:t xml:space="preserve"> jsou charakterističtí tím, že spojili avicennismus a logickou nominaci do univočního projektu pseudo-substance</w:t>
      </w:r>
      <w:r w:rsidR="00A70FA4">
        <w:fldChar w:fldCharType="begin"/>
      </w:r>
      <w:r w:rsidR="00A70FA4">
        <w:instrText xml:space="preserve"> XE "</w:instrText>
      </w:r>
      <w:r w:rsidR="00A70FA4" w:rsidRPr="00DE2A32">
        <w:instrText>substance</w:instrText>
      </w:r>
      <w:r w:rsidR="0081642C">
        <w:instrText>:porretáni</w:instrText>
      </w:r>
      <w:r w:rsidR="00A70FA4">
        <w:instrText xml:space="preserve">" </w:instrText>
      </w:r>
      <w:r w:rsidR="00A70FA4">
        <w:fldChar w:fldCharType="end"/>
      </w:r>
      <w:r w:rsidR="0033160B" w:rsidRPr="00273106">
        <w:t xml:space="preserve"> dané jako </w:t>
      </w:r>
      <w:r w:rsidR="0033160B" w:rsidRPr="00273106">
        <w:rPr>
          <w:i/>
        </w:rPr>
        <w:t>tertium ens</w:t>
      </w:r>
      <w:r w:rsidR="0033160B" w:rsidRPr="00273106">
        <w:t>.</w:t>
      </w:r>
      <w:r w:rsidR="08782EB0" w:rsidRPr="00273106">
        <w:rPr>
          <w:rStyle w:val="Znakapoznpodarou"/>
        </w:rPr>
        <w:footnoteReference w:id="168"/>
      </w:r>
      <w:r w:rsidR="0033160B" w:rsidRPr="00273106">
        <w:t xml:space="preserve"> Rozboru těchto log</w:t>
      </w:r>
      <w:r w:rsidR="00A8648C">
        <w:t xml:space="preserve">ických škol jsme se věnovali v </w:t>
      </w:r>
      <w:r w:rsidR="0033160B" w:rsidRPr="00273106">
        <w:t xml:space="preserve">matrici objektivity </w:t>
      </w:r>
      <w:r w:rsidR="00A8648C">
        <w:t xml:space="preserve">určené podle </w:t>
      </w:r>
      <w:r w:rsidR="0033160B" w:rsidRPr="00273106">
        <w:t xml:space="preserve">Gilberta </w:t>
      </w:r>
      <w:r w:rsidR="002239AA">
        <w:t>de La Porrée</w:t>
      </w:r>
      <w:r w:rsidR="089D50C1">
        <w:t xml:space="preserve"> (kap. 1</w:t>
      </w:r>
      <w:r w:rsidR="0007352F" w:rsidRPr="00273106">
        <w:t>.4)</w:t>
      </w:r>
      <w:r w:rsidR="0033160B" w:rsidRPr="00273106">
        <w:t xml:space="preserve">. Klasický příklad podává citovaná teze </w:t>
      </w:r>
      <w:r w:rsidR="08D71CF1">
        <w:t>„</w:t>
      </w:r>
      <w:r w:rsidR="08D71CF1">
        <w:rPr>
          <w:i/>
        </w:rPr>
        <w:t>s</w:t>
      </w:r>
      <w:r w:rsidR="08D71CF1" w:rsidRPr="00273106">
        <w:rPr>
          <w:i/>
        </w:rPr>
        <w:t>emel est verum, semper est verum</w:t>
      </w:r>
      <w:r w:rsidR="08D71CF1">
        <w:t>“</w:t>
      </w:r>
      <w:r w:rsidR="08D71CF1" w:rsidRPr="00273106">
        <w:t xml:space="preserve"> </w:t>
      </w:r>
      <w:r w:rsidR="0033160B" w:rsidRPr="00273106">
        <w:t>připsaná porretánům</w:t>
      </w:r>
      <w:r w:rsidR="009536D8" w:rsidRPr="00273106">
        <w:t xml:space="preserve"> a předaná v podání Petra Kapuánského</w:t>
      </w:r>
      <w:r w:rsidR="085865D4">
        <w:t xml:space="preserve">. </w:t>
      </w:r>
      <w:r w:rsidR="085865D4">
        <w:lastRenderedPageBreak/>
        <w:t xml:space="preserve">Ten </w:t>
      </w:r>
      <w:r w:rsidR="08D63AE9">
        <w:t xml:space="preserve">s ní ale </w:t>
      </w:r>
      <w:r w:rsidR="085865D4">
        <w:t xml:space="preserve">nesouhlasí </w:t>
      </w:r>
      <w:r w:rsidR="08D63AE9">
        <w:t xml:space="preserve">v této extrémní podobě </w:t>
      </w:r>
      <w:r w:rsidR="0081642C">
        <w:rPr>
          <w:rStyle w:val="FontStyle129"/>
          <w:rFonts w:ascii="Calibri" w:hAnsi="Calibri"/>
          <w:i/>
          <w:sz w:val="24"/>
        </w:rPr>
        <w:fldChar w:fldCharType="begin"/>
      </w:r>
      <w:r w:rsidR="0081642C">
        <w:instrText xml:space="preserve"> XE "</w:instrText>
      </w:r>
      <w:r w:rsidR="0081642C" w:rsidRPr="085D55F5">
        <w:rPr>
          <w:rStyle w:val="FontStyle129"/>
          <w:rFonts w:ascii="Calibri" w:hAnsi="Calibri"/>
          <w:sz w:val="24"/>
        </w:rPr>
        <w:instrText>pravda</w:instrText>
      </w:r>
      <w:r w:rsidR="0081642C" w:rsidRPr="00814674">
        <w:rPr>
          <w:rStyle w:val="FontStyle129"/>
          <w:rFonts w:ascii="Calibri" w:hAnsi="Calibri"/>
          <w:i/>
          <w:sz w:val="24"/>
        </w:rPr>
        <w:instrText>:</w:instrText>
      </w:r>
      <w:r w:rsidR="006F1348">
        <w:rPr>
          <w:i/>
        </w:rPr>
        <w:instrText>semel‒semper</w:instrText>
      </w:r>
      <w:r w:rsidR="0081642C">
        <w:instrText xml:space="preserve">" </w:instrText>
      </w:r>
      <w:r w:rsidR="0081642C">
        <w:rPr>
          <w:rStyle w:val="FontStyle129"/>
          <w:rFonts w:ascii="Calibri" w:hAnsi="Calibri"/>
          <w:i/>
          <w:sz w:val="24"/>
        </w:rPr>
        <w:fldChar w:fldCharType="end"/>
      </w:r>
      <w:r w:rsidR="0033160B" w:rsidRPr="00273106">
        <w:t>.</w:t>
      </w:r>
      <w:r w:rsidR="0033160B" w:rsidRPr="00273106">
        <w:rPr>
          <w:rStyle w:val="Znakapoznpodarou"/>
        </w:rPr>
        <w:footnoteReference w:id="169"/>
      </w:r>
      <w:r w:rsidR="0033160B" w:rsidRPr="00273106">
        <w:t xml:space="preserve"> Výrok spojuje dva druhy nominace. Význam na úrovni pojmu se týká první substance, která nyní dostala nominální a ontologický význam (</w:t>
      </w:r>
      <w:r w:rsidR="0033160B" w:rsidRPr="00273106">
        <w:rPr>
          <w:i/>
        </w:rPr>
        <w:t>unitas nominis</w:t>
      </w:r>
      <w:r w:rsidR="0033160B" w:rsidRPr="00273106">
        <w:t xml:space="preserve">). Tento význam </w:t>
      </w:r>
      <w:r w:rsidR="00E331AC" w:rsidRPr="00273106">
        <w:t>je spojen s trvalou signifikací</w:t>
      </w:r>
      <w:r w:rsidR="002F6E59">
        <w:t xml:space="preserve"> v rámci Porfy</w:t>
      </w:r>
      <w:r w:rsidR="0033160B" w:rsidRPr="00273106">
        <w:t>riova dělení univerzálií</w:t>
      </w:r>
      <w:r w:rsidR="0061313D">
        <w:fldChar w:fldCharType="begin"/>
      </w:r>
      <w:r w:rsidR="0061313D">
        <w:instrText xml:space="preserve"> XE "signifikace:porretáni" </w:instrText>
      </w:r>
      <w:r w:rsidR="0061313D">
        <w:fldChar w:fldCharType="end"/>
      </w:r>
      <w:r w:rsidR="0033160B" w:rsidRPr="00273106">
        <w:t xml:space="preserve">. Pravda je zajištěna v rámci univočního pojetí </w:t>
      </w:r>
      <w:r w:rsidR="08F9613E">
        <w:t xml:space="preserve">Avicenny skrze </w:t>
      </w:r>
      <w:r w:rsidR="0068554A" w:rsidRPr="00273106">
        <w:t xml:space="preserve">komitaci </w:t>
      </w:r>
      <w:r w:rsidR="005C6204" w:rsidRPr="00273106">
        <w:t xml:space="preserve">specifických významů neměnného charakteru </w:t>
      </w:r>
      <w:r w:rsidR="0033160B" w:rsidRPr="00273106">
        <w:t>(</w:t>
      </w:r>
      <w:r w:rsidR="0033160B" w:rsidRPr="00273106">
        <w:rPr>
          <w:i/>
        </w:rPr>
        <w:t>unitas enuntiabilis</w:t>
      </w:r>
      <w:r w:rsidR="0033160B" w:rsidRPr="00273106">
        <w:t xml:space="preserve">). </w:t>
      </w:r>
      <w:r w:rsidR="00A8648C">
        <w:t>Pravdivostní hodnota výroků</w:t>
      </w:r>
      <w:r w:rsidR="0037785D" w:rsidRPr="00273106">
        <w:t xml:space="preserve"> ve škole </w:t>
      </w:r>
      <w:r w:rsidR="0037785D" w:rsidRPr="00273106">
        <w:rPr>
          <w:i/>
        </w:rPr>
        <w:t>Nominales</w:t>
      </w:r>
      <w:r w:rsidR="0037785D" w:rsidRPr="00273106">
        <w:t xml:space="preserve"> je dána</w:t>
      </w:r>
      <w:r w:rsidR="00B72AB4">
        <w:t xml:space="preserve"> v rámci logicky definovaného individua</w:t>
      </w:r>
      <w:r w:rsidR="00A8648C">
        <w:t xml:space="preserve">. Tato škola </w:t>
      </w:r>
      <w:r w:rsidR="004F55AA">
        <w:t xml:space="preserve">zrušila </w:t>
      </w:r>
      <w:r w:rsidR="00A8648C">
        <w:t xml:space="preserve">impozici </w:t>
      </w:r>
      <w:r w:rsidR="083A1E55">
        <w:t xml:space="preserve">významu od </w:t>
      </w:r>
      <w:r w:rsidR="004F55AA">
        <w:t>hyparchick</w:t>
      </w:r>
      <w:r w:rsidR="083A1E55">
        <w:t xml:space="preserve">é </w:t>
      </w:r>
      <w:r w:rsidR="00B72AB4">
        <w:t>první substance</w:t>
      </w:r>
      <w:r w:rsidR="0037785D" w:rsidRPr="00273106">
        <w:t xml:space="preserve">. </w:t>
      </w:r>
      <w:r w:rsidR="001000EC">
        <w:t xml:space="preserve">Mrtvola </w:t>
      </w:r>
      <w:r w:rsidR="00C40929">
        <w:t xml:space="preserve">kdysi </w:t>
      </w:r>
      <w:r w:rsidR="001000EC">
        <w:t xml:space="preserve">byla člověkem, </w:t>
      </w:r>
      <w:r w:rsidR="00E75AB3">
        <w:t xml:space="preserve">proto </w:t>
      </w:r>
      <w:r w:rsidR="00483DF3">
        <w:t xml:space="preserve">v řádu kategoriální predikace </w:t>
      </w:r>
      <w:r w:rsidR="00483DF3" w:rsidRPr="00483DF3">
        <w:rPr>
          <w:i/>
        </w:rPr>
        <w:t>Nominales</w:t>
      </w:r>
      <w:r w:rsidR="00483DF3">
        <w:t xml:space="preserve"> </w:t>
      </w:r>
      <w:r w:rsidR="00E75AB3">
        <w:t>vždy zůstává člověkem</w:t>
      </w:r>
      <w:r w:rsidR="00915401">
        <w:rPr>
          <w:i/>
        </w:rPr>
        <w:fldChar w:fldCharType="begin"/>
      </w:r>
      <w:r w:rsidR="00915401">
        <w:instrText xml:space="preserve"> XE "sofisma člověk-mrtvola" </w:instrText>
      </w:r>
      <w:r w:rsidR="00915401">
        <w:rPr>
          <w:i/>
        </w:rPr>
        <w:fldChar w:fldCharType="end"/>
      </w:r>
      <w:r w:rsidR="00E75AB3">
        <w:t xml:space="preserve">. </w:t>
      </w:r>
      <w:r w:rsidR="0033160B" w:rsidRPr="00273106">
        <w:t xml:space="preserve">Pro esencialismus </w:t>
      </w:r>
      <w:r w:rsidR="0033160B" w:rsidRPr="00273106">
        <w:rPr>
          <w:i/>
        </w:rPr>
        <w:t>Nominales</w:t>
      </w:r>
      <w:r w:rsidR="0033160B" w:rsidRPr="00273106">
        <w:t xml:space="preserve"> </w:t>
      </w:r>
      <w:r w:rsidR="00E331AC" w:rsidRPr="00273106">
        <w:t xml:space="preserve">přičítajících k individuu hypostázované predikáty </w:t>
      </w:r>
      <w:r w:rsidR="0033160B" w:rsidRPr="00273106">
        <w:t>je jedno, zda jde o děj minulý, současný nebo budoucí</w:t>
      </w:r>
      <w:r w:rsidR="000518E0" w:rsidRPr="00273106">
        <w:t xml:space="preserve">. </w:t>
      </w:r>
      <w:r w:rsidR="0887639E">
        <w:t>Citát z Kapuánského představuje inferenci hypostázovaných kvalit danou od bohem ustavené esence</w:t>
      </w:r>
      <w:r w:rsidR="00600EC5">
        <w:t>.</w:t>
      </w:r>
      <w:r w:rsidR="00BD4F50">
        <w:t xml:space="preserve"> Tato věčná esence </w:t>
      </w:r>
      <w:r w:rsidR="00600EC5">
        <w:t xml:space="preserve">je napodobována v reálném světě, kde je nahrazena omezenou, nejistou a kontingentní substancí. </w:t>
      </w:r>
      <w:r w:rsidR="0887639E">
        <w:t xml:space="preserve">Citovaní autoři ještě drželi nauku </w:t>
      </w:r>
      <w:r w:rsidR="0887639E" w:rsidRPr="00764F15">
        <w:rPr>
          <w:i/>
        </w:rPr>
        <w:t>De inter</w:t>
      </w:r>
      <w:r w:rsidR="0887639E">
        <w:rPr>
          <w:i/>
        </w:rPr>
        <w:t>p</w:t>
      </w:r>
      <w:r w:rsidR="0887639E" w:rsidRPr="00764F15">
        <w:rPr>
          <w:i/>
        </w:rPr>
        <w:t>retatione</w:t>
      </w:r>
      <w:r w:rsidR="0887639E">
        <w:t xml:space="preserve"> o logické neurčitelnosti budoucí námořní bitvy, </w:t>
      </w:r>
      <w:r w:rsidR="08CC3426">
        <w:t>pr</w:t>
      </w:r>
      <w:r w:rsidR="08645F9F">
        <w:t>otože jednotu významů garantuje</w:t>
      </w:r>
      <w:r w:rsidR="08CC3426">
        <w:t xml:space="preserve"> pouze boží mysl, ale nikoliv námi poznaná realita. T</w:t>
      </w:r>
      <w:r w:rsidR="0887639E">
        <w:t>uto logickou neurčitelnost budoucích kontinge</w:t>
      </w:r>
      <w:r w:rsidR="086436C7">
        <w:t>ntních událostí změnil Grossete</w:t>
      </w:r>
      <w:r w:rsidR="0887639E">
        <w:t>s</w:t>
      </w:r>
      <w:r w:rsidR="086436C7">
        <w:t>t</w:t>
      </w:r>
      <w:r w:rsidR="08645F9F">
        <w:t xml:space="preserve">e </w:t>
      </w:r>
      <w:r w:rsidR="0887639E">
        <w:t xml:space="preserve">kvůli </w:t>
      </w:r>
      <w:r w:rsidR="08023084">
        <w:t xml:space="preserve">eschatologicky a logicky </w:t>
      </w:r>
      <w:r w:rsidR="0887639E">
        <w:t>nut</w:t>
      </w:r>
      <w:r w:rsidR="08FA63F2">
        <w:t>nému příchodu Antikrista (kap. 3</w:t>
      </w:r>
      <w:r w:rsidR="0887639E">
        <w:t xml:space="preserve">.1.2). </w:t>
      </w:r>
      <w:r w:rsidR="089600BE">
        <w:t>Jeho příchod je nutně daný zde na zemi, proto musí být tato budoucí kontingentní událost logicky určitelná</w:t>
      </w:r>
      <w:r w:rsidR="08D933D2">
        <w:t xml:space="preserve"> v lidském rozumu</w:t>
      </w:r>
      <w:r w:rsidR="089600BE">
        <w:t>. P</w:t>
      </w:r>
      <w:r w:rsidR="0887639E">
        <w:t xml:space="preserve">ojetí </w:t>
      </w:r>
      <w:r w:rsidR="00764F15" w:rsidRPr="00764F15">
        <w:rPr>
          <w:i/>
        </w:rPr>
        <w:t>semel</w:t>
      </w:r>
      <w:r w:rsidR="00764F15">
        <w:t>‒</w:t>
      </w:r>
      <w:r w:rsidR="00764F15" w:rsidRPr="00764F15">
        <w:rPr>
          <w:i/>
        </w:rPr>
        <w:t>semper</w:t>
      </w:r>
      <w:r w:rsidR="00764F15">
        <w:rPr>
          <w:i/>
        </w:rPr>
        <w:fldChar w:fldCharType="begin"/>
      </w:r>
      <w:r w:rsidR="00764F15">
        <w:instrText xml:space="preserve"> XE "</w:instrText>
      </w:r>
      <w:r w:rsidR="00CD3C9E">
        <w:instrText>pravda:</w:instrText>
      </w:r>
      <w:r w:rsidR="00764F15" w:rsidRPr="004A2E91">
        <w:rPr>
          <w:i/>
        </w:rPr>
        <w:instrText>semel</w:instrText>
      </w:r>
      <w:r w:rsidR="00764F15" w:rsidRPr="004A2E91">
        <w:instrText>‒</w:instrText>
      </w:r>
      <w:r w:rsidR="00764F15" w:rsidRPr="004A2E91">
        <w:rPr>
          <w:i/>
        </w:rPr>
        <w:instrText>semper</w:instrText>
      </w:r>
      <w:r w:rsidR="00764F15">
        <w:instrText xml:space="preserve">" </w:instrText>
      </w:r>
      <w:r w:rsidR="00764F15">
        <w:rPr>
          <w:i/>
        </w:rPr>
        <w:fldChar w:fldCharType="end"/>
      </w:r>
      <w:r w:rsidR="00764F15">
        <w:t xml:space="preserve"> </w:t>
      </w:r>
      <w:r w:rsidR="0033160B" w:rsidRPr="00273106">
        <w:t xml:space="preserve">zásadně odmítl </w:t>
      </w:r>
      <w:r w:rsidR="00CB3E4F">
        <w:t>Abélard</w:t>
      </w:r>
      <w:r w:rsidR="0033160B" w:rsidRPr="00273106">
        <w:t xml:space="preserve"> v debatě s porretány</w:t>
      </w:r>
      <w:r w:rsidR="00E3154E" w:rsidRPr="00273106">
        <w:t xml:space="preserve">, </w:t>
      </w:r>
      <w:r w:rsidR="009A4AF5" w:rsidRPr="00273106">
        <w:t xml:space="preserve">což převzala </w:t>
      </w:r>
      <w:r w:rsidR="00585EB9" w:rsidRPr="00273106">
        <w:rPr>
          <w:i/>
        </w:rPr>
        <w:t>logic</w:t>
      </w:r>
      <w:r w:rsidR="00E3154E" w:rsidRPr="00273106">
        <w:rPr>
          <w:i/>
        </w:rPr>
        <w:t>a Vetus</w:t>
      </w:r>
      <w:r w:rsidR="005C6D76">
        <w:rPr>
          <w:i/>
        </w:rPr>
        <w:fldChar w:fldCharType="begin"/>
      </w:r>
      <w:r w:rsidR="005C6D76">
        <w:instrText xml:space="preserve"> XE "</w:instrText>
      </w:r>
      <w:r w:rsidR="005C6D76" w:rsidRPr="007C256F">
        <w:rPr>
          <w:i/>
        </w:rPr>
        <w:instrText>logica Vetus</w:instrText>
      </w:r>
      <w:r w:rsidR="005C6D76">
        <w:instrText xml:space="preserve">" </w:instrText>
      </w:r>
      <w:r w:rsidR="005C6D76">
        <w:rPr>
          <w:i/>
        </w:rPr>
        <w:fldChar w:fldCharType="end"/>
      </w:r>
      <w:r w:rsidR="00E3154E" w:rsidRPr="00273106">
        <w:t xml:space="preserve"> v pojetí Anagninců</w:t>
      </w:r>
      <w:r w:rsidR="08FA63F2">
        <w:t xml:space="preserve"> (kap. 1</w:t>
      </w:r>
      <w:r w:rsidR="00585EB9" w:rsidRPr="00273106">
        <w:t>.6)</w:t>
      </w:r>
      <w:r w:rsidR="009A4AF5" w:rsidRPr="00273106">
        <w:t xml:space="preserve"> a po nich i </w:t>
      </w:r>
      <w:r w:rsidR="00E3154E" w:rsidRPr="00273106">
        <w:t xml:space="preserve">Blundova škola </w:t>
      </w:r>
      <w:r w:rsidR="08FA63F2">
        <w:t>(kap. 2</w:t>
      </w:r>
      <w:r w:rsidR="0033160B" w:rsidRPr="00273106">
        <w:t xml:space="preserve">.1). </w:t>
      </w:r>
      <w:r w:rsidR="087A4AF3">
        <w:t>Ohledně sofismatu člověka jako mrtvoly</w:t>
      </w:r>
      <w:r w:rsidR="00EF0E57">
        <w:t xml:space="preserve"> </w:t>
      </w:r>
      <w:r w:rsidR="08AE6C62">
        <w:t xml:space="preserve">hájí Blundova </w:t>
      </w:r>
      <w:r w:rsidR="001000EC">
        <w:t xml:space="preserve">škola </w:t>
      </w:r>
      <w:r w:rsidR="00EF0E57">
        <w:t>pravý opak</w:t>
      </w:r>
      <w:r w:rsidR="00BA1294">
        <w:t xml:space="preserve"> toho, co</w:t>
      </w:r>
      <w:r w:rsidR="00EF0E57">
        <w:t xml:space="preserve"> </w:t>
      </w:r>
      <w:r w:rsidR="001000EC">
        <w:t xml:space="preserve">logické školy moderních </w:t>
      </w:r>
      <w:r w:rsidR="008550C0">
        <w:t>porretán</w:t>
      </w:r>
      <w:r w:rsidR="00EF0E57">
        <w:t xml:space="preserve">ů. </w:t>
      </w:r>
      <w:r w:rsidR="00742B67" w:rsidRPr="00273106">
        <w:t>Mrtvola není člověk</w:t>
      </w:r>
      <w:r w:rsidR="00E61C97" w:rsidRPr="00273106">
        <w:t xml:space="preserve"> </w:t>
      </w:r>
      <w:r w:rsidR="00915401">
        <w:rPr>
          <w:i/>
        </w:rPr>
        <w:fldChar w:fldCharType="begin"/>
      </w:r>
      <w:r w:rsidR="00915401">
        <w:instrText xml:space="preserve"> XE "sofisma člověk-mrtvola" </w:instrText>
      </w:r>
      <w:r w:rsidR="00915401">
        <w:rPr>
          <w:i/>
        </w:rPr>
        <w:fldChar w:fldCharType="end"/>
      </w:r>
      <w:r w:rsidR="00E61C97" w:rsidRPr="00273106">
        <w:t>z hlediska kategoriální predikace (</w:t>
      </w:r>
      <w:r w:rsidR="00E61C97"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38128E">
        <w:instrText>Abelard</w:instrText>
      </w:r>
      <w:r w:rsidR="00EE4D40">
        <w:instrText xml:space="preserve">" </w:instrText>
      </w:r>
      <w:r w:rsidR="00EE4D40">
        <w:rPr>
          <w:i/>
        </w:rPr>
        <w:fldChar w:fldCharType="end"/>
      </w:r>
      <w:r w:rsidR="00E61C97" w:rsidRPr="00273106">
        <w:t xml:space="preserve">) dané </w:t>
      </w:r>
      <w:r w:rsidR="00525044">
        <w:t xml:space="preserve">impozicí </w:t>
      </w:r>
      <w:r w:rsidR="00CD51F5" w:rsidRPr="00273106">
        <w:t xml:space="preserve">hyparchického významu </w:t>
      </w:r>
      <w:r w:rsidR="00500E7A" w:rsidRPr="00273106">
        <w:t xml:space="preserve">směrem od </w:t>
      </w:r>
      <w:r w:rsidR="00E61C97" w:rsidRPr="00273106">
        <w:t>první substance</w:t>
      </w:r>
      <w:r w:rsidR="08E77966">
        <w:t xml:space="preserve"> (kap. 2</w:t>
      </w:r>
      <w:r w:rsidR="08AE6C62">
        <w:t>.2.1)</w:t>
      </w:r>
      <w:r w:rsidR="00742B67" w:rsidRPr="00273106">
        <w:t xml:space="preserve">. </w:t>
      </w:r>
      <w:r w:rsidR="002F6E59">
        <w:t>Tím je jasné,</w:t>
      </w:r>
      <w:r w:rsidR="0885324C">
        <w:t xml:space="preserve"> proč spor o sofisma mrtvého člověka</w:t>
      </w:r>
      <w:r w:rsidR="002F6E59">
        <w:t xml:space="preserve"> měl tak důležitý význam po roce 1200. </w:t>
      </w:r>
      <w:r w:rsidR="001F51B0">
        <w:t>Sofisma o</w:t>
      </w:r>
      <w:r w:rsidR="002F6E59">
        <w:t>ddělil</w:t>
      </w:r>
      <w:r w:rsidR="001F51B0">
        <w:t>o</w:t>
      </w:r>
      <w:r w:rsidR="002F6E59">
        <w:t xml:space="preserve"> poznání Toledské školy dané nasvícením zezadu </w:t>
      </w:r>
      <w:r w:rsidR="087A4AF3">
        <w:t xml:space="preserve">a absolutizací supozice v modu </w:t>
      </w:r>
      <w:r w:rsidR="002F6E59" w:rsidRPr="002F6E59">
        <w:rPr>
          <w:i/>
        </w:rPr>
        <w:t>semel</w:t>
      </w:r>
      <w:r w:rsidR="002F6E59">
        <w:t>‒</w:t>
      </w:r>
      <w:r w:rsidR="002F6E59" w:rsidRPr="002F6E59">
        <w:rPr>
          <w:i/>
        </w:rPr>
        <w:t>semper</w:t>
      </w:r>
      <w:r w:rsidR="00764F15">
        <w:rPr>
          <w:i/>
        </w:rPr>
        <w:fldChar w:fldCharType="begin"/>
      </w:r>
      <w:r w:rsidR="00764F15">
        <w:instrText xml:space="preserve"> XE "</w:instrText>
      </w:r>
      <w:r w:rsidR="00CD3C9E">
        <w:instrText>pravda:</w:instrText>
      </w:r>
      <w:r w:rsidR="00764F15" w:rsidRPr="004A2E91">
        <w:rPr>
          <w:i/>
        </w:rPr>
        <w:instrText>semel</w:instrText>
      </w:r>
      <w:r w:rsidR="00764F15" w:rsidRPr="004A2E91">
        <w:instrText>‒</w:instrText>
      </w:r>
      <w:r w:rsidR="00764F15" w:rsidRPr="004A2E91">
        <w:rPr>
          <w:i/>
        </w:rPr>
        <w:instrText>semper</w:instrText>
      </w:r>
      <w:r w:rsidR="00764F15">
        <w:instrText xml:space="preserve">" </w:instrText>
      </w:r>
      <w:r w:rsidR="00764F15">
        <w:rPr>
          <w:i/>
        </w:rPr>
        <w:fldChar w:fldCharType="end"/>
      </w:r>
      <w:r w:rsidR="002F6E59">
        <w:t xml:space="preserve">. </w:t>
      </w:r>
      <w:r w:rsidR="001F51B0">
        <w:t xml:space="preserve">Pak mrtvola je člověk, protože byla člověk. </w:t>
      </w:r>
      <w:r w:rsidR="002F6E59">
        <w:t xml:space="preserve">Na druhé straně stál výklad </w:t>
      </w:r>
      <w:r w:rsidR="08AC1E72">
        <w:t xml:space="preserve">Blundovy školy </w:t>
      </w:r>
      <w:r w:rsidR="002F6E59">
        <w:t xml:space="preserve">podle </w:t>
      </w:r>
      <w:r w:rsidR="084F5DE6">
        <w:t>Abelarda</w:t>
      </w:r>
      <w:r w:rsidR="08AC1E72">
        <w:t>, podle anti-</w:t>
      </w:r>
      <w:r w:rsidR="08AC1E72">
        <w:lastRenderedPageBreak/>
        <w:t xml:space="preserve">toletánského Averroese </w:t>
      </w:r>
      <w:r w:rsidR="084F5DE6">
        <w:t xml:space="preserve">a později podle </w:t>
      </w:r>
      <w:r w:rsidR="08AC1E72">
        <w:t xml:space="preserve">Sicilské školy, který trval </w:t>
      </w:r>
      <w:r w:rsidR="002F6E59">
        <w:t xml:space="preserve">na impozici významu od </w:t>
      </w:r>
      <w:r w:rsidR="00020675">
        <w:t>reálné první substance</w:t>
      </w:r>
      <w:r w:rsidR="08FA63F2">
        <w:t xml:space="preserve"> (kap. 2</w:t>
      </w:r>
      <w:r w:rsidR="08FE73AF">
        <w:t>.2.1)</w:t>
      </w:r>
      <w:r w:rsidR="00020675">
        <w:t xml:space="preserve">. Realita </w:t>
      </w:r>
      <w:r w:rsidR="002D2DA8">
        <w:t xml:space="preserve">zakládá kategoriální predikaci tím, že </w:t>
      </w:r>
      <w:r w:rsidR="002F6E59">
        <w:t xml:space="preserve">aktualizuje skrze </w:t>
      </w:r>
      <w:r w:rsidR="002D2DA8">
        <w:t>smysly</w:t>
      </w:r>
      <w:r w:rsidR="002F6E59">
        <w:t xml:space="preserve"> lidské poznání nasvícením zepředu. </w:t>
      </w:r>
      <w:r w:rsidR="001F51B0">
        <w:t>Pak mrtvola není člověk, protože impozice od reá</w:t>
      </w:r>
      <w:r w:rsidR="083835F7">
        <w:t>lné první substance neexistuje.</w:t>
      </w:r>
    </w:p>
    <w:p w14:paraId="1E6F95AC" w14:textId="77777777" w:rsidR="00A834EC" w:rsidRDefault="083835F7" w:rsidP="004E36E2">
      <w:r>
        <w:tab/>
      </w:r>
      <w:r w:rsidR="0033160B" w:rsidRPr="00273106">
        <w:rPr>
          <w:lang w:eastAsia="en-US"/>
        </w:rPr>
        <w:t>O něco s</w:t>
      </w:r>
      <w:r w:rsidR="0033160B" w:rsidRPr="00273106">
        <w:t>ložitě</w:t>
      </w:r>
      <w:r w:rsidR="00CF6165">
        <w:t xml:space="preserve">jší problém představuje určení </w:t>
      </w:r>
      <w:r w:rsidR="0033160B" w:rsidRPr="00273106">
        <w:t>latinských sofistů (</w:t>
      </w:r>
      <w:r w:rsidR="0033160B" w:rsidRPr="00273106">
        <w:rPr>
          <w:i/>
        </w:rPr>
        <w:t>sophistae Latini</w:t>
      </w:r>
      <w:r w:rsidR="005109BC">
        <w:rPr>
          <w:i/>
        </w:rPr>
        <w:fldChar w:fldCharType="begin"/>
      </w:r>
      <w:r w:rsidR="005109BC">
        <w:instrText xml:space="preserve"> XE "</w:instrText>
      </w:r>
      <w:r w:rsidR="00B159C2">
        <w:instrText>druhý averroi</w:instrText>
      </w:r>
      <w:r w:rsidR="00F358B9">
        <w:instrText>s</w:instrText>
      </w:r>
      <w:r w:rsidR="00B159C2">
        <w:instrText>mus:</w:instrText>
      </w:r>
      <w:r w:rsidR="005109BC" w:rsidRPr="00EC0AF4">
        <w:rPr>
          <w:i/>
          <w:lang w:eastAsia="en-US"/>
        </w:rPr>
        <w:instrText>sophistae Latini</w:instrText>
      </w:r>
      <w:r w:rsidR="005109BC">
        <w:instrText xml:space="preserve">" </w:instrText>
      </w:r>
      <w:r w:rsidR="005109BC">
        <w:rPr>
          <w:i/>
        </w:rPr>
        <w:fldChar w:fldCharType="end"/>
      </w:r>
      <w:r w:rsidR="0033160B" w:rsidRPr="00273106">
        <w:t>), kter</w:t>
      </w:r>
      <w:r w:rsidR="0813273F">
        <w:t xml:space="preserve">é Alvernus disjuntivní spojkou </w:t>
      </w:r>
      <w:r w:rsidR="0033160B" w:rsidRPr="00273106">
        <w:rPr>
          <w:i/>
        </w:rPr>
        <w:t>vel</w:t>
      </w:r>
      <w:r w:rsidR="0033160B" w:rsidRPr="00273106">
        <w:t xml:space="preserve"> definuje jako samostatnou skupinu. </w:t>
      </w:r>
      <w:r w:rsidR="003B476D" w:rsidRPr="00273106">
        <w:t>Identitu těchto latinských současníků Alverna řeší podrobněji až následující matrice pojednávající druhý averroismus v podání jeho zakladatele Rufuse z Cor</w:t>
      </w:r>
      <w:r w:rsidR="08DE6CFE">
        <w:t>nwallu (kap. 3</w:t>
      </w:r>
      <w:r w:rsidR="003B476D" w:rsidRPr="00273106">
        <w:t>.3).</w:t>
      </w:r>
      <w:r w:rsidR="003B476D">
        <w:t xml:space="preserve"> </w:t>
      </w:r>
      <w:r w:rsidR="002C4492">
        <w:t>První</w:t>
      </w:r>
      <w:r w:rsidR="001A7F6A" w:rsidRPr="00273106">
        <w:t xml:space="preserve"> kandidáty </w:t>
      </w:r>
      <w:r w:rsidR="001F51B0">
        <w:t xml:space="preserve">skupiny </w:t>
      </w:r>
      <w:r w:rsidR="001F51B0" w:rsidRPr="001F51B0">
        <w:rPr>
          <w:i/>
        </w:rPr>
        <w:t>sophistae Latini</w:t>
      </w:r>
      <w:r w:rsidR="001F51B0">
        <w:t xml:space="preserve"> </w:t>
      </w:r>
      <w:r w:rsidR="0012768E">
        <w:t xml:space="preserve">představují </w:t>
      </w:r>
      <w:r w:rsidR="001A7F6A" w:rsidRPr="00273106">
        <w:t xml:space="preserve">Alvernovi současníci z logických škol. Mnozí z nich byli inspirováni školou </w:t>
      </w:r>
      <w:r w:rsidR="001A7F6A" w:rsidRPr="00273106">
        <w:rPr>
          <w:i/>
        </w:rPr>
        <w:t>Nominales</w:t>
      </w:r>
      <w:r w:rsidR="001A7F6A" w:rsidRPr="00273106">
        <w:t xml:space="preserve"> a známe je jako autory logických traktátů a příruček, například typu </w:t>
      </w:r>
      <w:r w:rsidR="001A7F6A" w:rsidRPr="00273106">
        <w:rPr>
          <w:i/>
        </w:rPr>
        <w:t>Sophistaria</w:t>
      </w:r>
      <w:r w:rsidR="001A7F6A" w:rsidRPr="00273106">
        <w:t xml:space="preserve"> od Matouše z Orleansu</w:t>
      </w:r>
      <w:r w:rsidR="00B159C2">
        <w:fldChar w:fldCharType="begin"/>
      </w:r>
      <w:r w:rsidR="00B159C2">
        <w:instrText xml:space="preserve"> XE "</w:instrText>
      </w:r>
      <w:r w:rsidR="00B159C2" w:rsidRPr="007A01E0">
        <w:instrText>Matouš z Orleansu</w:instrText>
      </w:r>
      <w:r w:rsidR="00B159C2">
        <w:instrText xml:space="preserve">" </w:instrText>
      </w:r>
      <w:r w:rsidR="00B159C2">
        <w:fldChar w:fldCharType="end"/>
      </w:r>
      <w:r w:rsidR="001A7F6A" w:rsidRPr="00273106">
        <w:t xml:space="preserve"> (</w:t>
      </w:r>
      <w:r w:rsidR="001A7F6A" w:rsidRPr="00273106">
        <w:rPr>
          <w:rStyle w:val="addmd"/>
        </w:rPr>
        <w:t>Matthaeus Aurelianensis</w:t>
      </w:r>
      <w:r w:rsidR="001A7F6A" w:rsidRPr="00273106">
        <w:t>).</w:t>
      </w:r>
      <w:r w:rsidR="00CF6165">
        <w:t xml:space="preserve"> Spojení Matouše z Orleansu s porretánskou školou </w:t>
      </w:r>
      <w:r w:rsidR="00CF6165" w:rsidRPr="00143C5D">
        <w:rPr>
          <w:i/>
        </w:rPr>
        <w:t>logica Modernorum</w:t>
      </w:r>
      <w:r w:rsidR="00CF6165">
        <w:rPr>
          <w:i/>
        </w:rPr>
        <w:fldChar w:fldCharType="begin"/>
      </w:r>
      <w:r w:rsidR="00CF6165">
        <w:instrText xml:space="preserve"> XE "</w:instrText>
      </w:r>
      <w:r w:rsidR="00CF6165" w:rsidRPr="001100BE">
        <w:rPr>
          <w:i/>
        </w:rPr>
        <w:instrText>logica Modernorum</w:instrText>
      </w:r>
      <w:r w:rsidR="00CF6165">
        <w:instrText xml:space="preserve">" </w:instrText>
      </w:r>
      <w:r w:rsidR="00CF6165">
        <w:rPr>
          <w:i/>
        </w:rPr>
        <w:fldChar w:fldCharType="end"/>
      </w:r>
      <w:r w:rsidR="00CF6165">
        <w:t xml:space="preserve"> je známé.</w:t>
      </w:r>
      <w:r w:rsidR="001A7F6A" w:rsidRPr="00273106">
        <w:rPr>
          <w:rStyle w:val="Znakapoznpodarou"/>
        </w:rPr>
        <w:footnoteReference w:id="170"/>
      </w:r>
      <w:r w:rsidR="001A7F6A" w:rsidRPr="00273106">
        <w:t xml:space="preserve"> Působení těchto logiků sahá </w:t>
      </w:r>
      <w:r w:rsidR="08D03B3E">
        <w:t xml:space="preserve">až do první poloviny </w:t>
      </w:r>
      <w:r w:rsidR="001A7F6A" w:rsidRPr="00273106">
        <w:t>13. století</w:t>
      </w:r>
      <w:r w:rsidR="080779D4">
        <w:t xml:space="preserve"> a jejich učení kritizoval </w:t>
      </w:r>
      <w:r w:rsidR="001A7F6A" w:rsidRPr="00273106">
        <w:t xml:space="preserve">reformovaný aristotelismus Johna Blunda. </w:t>
      </w:r>
      <w:r w:rsidR="006E0DC5">
        <w:t xml:space="preserve">Tito </w:t>
      </w:r>
      <w:r w:rsidR="0033160B" w:rsidRPr="00273106">
        <w:rPr>
          <w:i/>
        </w:rPr>
        <w:t>sophistae Latini</w:t>
      </w:r>
      <w:r w:rsidR="0033160B" w:rsidRPr="00273106">
        <w:t xml:space="preserve"> vytvořili objektivní sféru univerzálií jako </w:t>
      </w:r>
      <w:r w:rsidR="00135320">
        <w:t xml:space="preserve">jsoucen třetího druhu </w:t>
      </w:r>
      <w:r w:rsidR="0033160B" w:rsidRPr="00273106">
        <w:t xml:space="preserve">tím, že jim </w:t>
      </w:r>
      <w:r w:rsidR="088D2DC9">
        <w:t xml:space="preserve">dali </w:t>
      </w:r>
      <w:r w:rsidR="0033160B" w:rsidRPr="00273106">
        <w:t>singulární a univerzální</w:t>
      </w:r>
      <w:r w:rsidR="00582611">
        <w:t xml:space="preserve"> význam</w:t>
      </w:r>
      <w:r w:rsidR="005F0D18">
        <w:t xml:space="preserve"> </w:t>
      </w:r>
      <w:r w:rsidR="00AB12E8">
        <w:t xml:space="preserve">v rámci </w:t>
      </w:r>
      <w:r w:rsidR="00874074">
        <w:t>neoplatonsk</w:t>
      </w:r>
      <w:r w:rsidR="00AB12E8">
        <w:t xml:space="preserve">ého výkladu </w:t>
      </w:r>
      <w:r w:rsidR="00AB12E8" w:rsidRPr="00D14527">
        <w:rPr>
          <w:i/>
        </w:rPr>
        <w:t>Kategorií</w:t>
      </w:r>
      <w:r w:rsidR="00AB12E8">
        <w:t xml:space="preserve"> </w:t>
      </w:r>
      <w:r w:rsidR="080779D4">
        <w:t>(kap. 3</w:t>
      </w:r>
      <w:r w:rsidR="005F0D18">
        <w:t>.1.2)</w:t>
      </w:r>
      <w:r w:rsidR="0033160B" w:rsidRPr="00273106">
        <w:t xml:space="preserve">. </w:t>
      </w:r>
      <w:r w:rsidR="0091401A" w:rsidRPr="00273106">
        <w:t xml:space="preserve">Alvernus odmítá pro </w:t>
      </w:r>
      <w:r w:rsidR="00E02E2A" w:rsidRPr="00E02E2A">
        <w:t>species</w:t>
      </w:r>
      <w:r w:rsidR="0091401A" w:rsidRPr="00273106">
        <w:t xml:space="preserve"> singulární status, což hlásali stoupenci druhého averroismu pojednávaní v následující mat</w:t>
      </w:r>
      <w:r w:rsidR="001C03FE">
        <w:t>rici ohledně sporů kolem 1230‒</w:t>
      </w:r>
      <w:r w:rsidR="0091401A" w:rsidRPr="00273106">
        <w:t xml:space="preserve">40. </w:t>
      </w:r>
      <w:r w:rsidR="00F40D4B">
        <w:rPr>
          <w:rFonts w:cs="Brill-Roman"/>
        </w:rPr>
        <w:t>S</w:t>
      </w:r>
      <w:r w:rsidR="00625907" w:rsidRPr="00273106">
        <w:t xml:space="preserve">por </w:t>
      </w:r>
      <w:r w:rsidR="00F40D4B">
        <w:t xml:space="preserve">Alverna s touto skupinou </w:t>
      </w:r>
      <w:r w:rsidR="00625907" w:rsidRPr="00273106">
        <w:t xml:space="preserve">se týkal </w:t>
      </w:r>
      <w:r w:rsidR="00F40D4B">
        <w:t xml:space="preserve">především </w:t>
      </w:r>
      <w:r w:rsidR="00625907" w:rsidRPr="00273106">
        <w:t xml:space="preserve">výkladu Aristotelovy </w:t>
      </w:r>
      <w:r w:rsidR="00B713C5">
        <w:rPr>
          <w:i/>
        </w:rPr>
        <w:t>De anima</w:t>
      </w:r>
      <w:r w:rsidR="00625907" w:rsidRPr="00273106">
        <w:t xml:space="preserve">, kterou </w:t>
      </w:r>
      <w:r w:rsidR="0062275B" w:rsidRPr="00273106">
        <w:rPr>
          <w:i/>
        </w:rPr>
        <w:t>sophistae Latini</w:t>
      </w:r>
      <w:r w:rsidR="0062275B" w:rsidRPr="00273106">
        <w:t xml:space="preserve"> </w:t>
      </w:r>
      <w:r w:rsidR="00625907" w:rsidRPr="00273106">
        <w:t>vykládali podle nauky o odděleném činném intelektu</w:t>
      </w:r>
      <w:r w:rsidR="00957B91">
        <w:t xml:space="preserve"> v duchu Toledské školy</w:t>
      </w:r>
      <w:r w:rsidR="00625907" w:rsidRPr="00273106">
        <w:t xml:space="preserve">. </w:t>
      </w:r>
      <w:r w:rsidR="009B699C" w:rsidRPr="00273106">
        <w:rPr>
          <w:rFonts w:cs="Brill-Roman"/>
        </w:rPr>
        <w:t xml:space="preserve">Kritizovaní </w:t>
      </w:r>
      <w:r w:rsidR="001F29CD">
        <w:rPr>
          <w:rFonts w:cs="Brill-Roman"/>
        </w:rPr>
        <w:t xml:space="preserve">latinští </w:t>
      </w:r>
      <w:r w:rsidR="0062275B" w:rsidRPr="00273106">
        <w:rPr>
          <w:rFonts w:cs="Brill-Roman"/>
        </w:rPr>
        <w:t xml:space="preserve">sofisté </w:t>
      </w:r>
      <w:r w:rsidR="0033160B" w:rsidRPr="00273106">
        <w:t xml:space="preserve">mají zásadní problém </w:t>
      </w:r>
      <w:r w:rsidR="005A06CF">
        <w:t>se smyslovým poznáním. P</w:t>
      </w:r>
      <w:r w:rsidR="0033160B" w:rsidRPr="00273106">
        <w:t xml:space="preserve">řipouštějí </w:t>
      </w:r>
      <w:r w:rsidR="0003442F" w:rsidRPr="00273106">
        <w:t xml:space="preserve">iluminaci </w:t>
      </w:r>
      <w:r w:rsidR="005A06CF">
        <w:t xml:space="preserve">intelektu </w:t>
      </w:r>
      <w:r w:rsidR="0003442F" w:rsidRPr="00273106">
        <w:t xml:space="preserve">mimo smysly </w:t>
      </w:r>
      <w:r w:rsidR="0033160B" w:rsidRPr="00273106">
        <w:t>a nahrazují skutečný akt poznání predikací čistých hypostází</w:t>
      </w:r>
      <w:r w:rsidR="08877F84">
        <w:t xml:space="preserve">. Tyto čisté poznávací formy se </w:t>
      </w:r>
      <w:r w:rsidR="00874074">
        <w:t>neoplatonsk</w:t>
      </w:r>
      <w:r w:rsidR="0033160B" w:rsidRPr="00273106">
        <w:t>y generují v aktu pseudo-stvořitelské emanace</w:t>
      </w:r>
      <w:r w:rsidR="00624E90">
        <w:fldChar w:fldCharType="begin"/>
      </w:r>
      <w:r w:rsidR="00624E90">
        <w:instrText xml:space="preserve"> XE "emanace" </w:instrText>
      </w:r>
      <w:r w:rsidR="00624E90">
        <w:fldChar w:fldCharType="end"/>
      </w:r>
      <w:r w:rsidR="0033160B" w:rsidRPr="00273106">
        <w:t xml:space="preserve"> forem (</w:t>
      </w:r>
      <w:r w:rsidR="0033160B" w:rsidRPr="00273106">
        <w:rPr>
          <w:i/>
        </w:rPr>
        <w:t>processio</w:t>
      </w:r>
      <w:r w:rsidR="0033160B" w:rsidRPr="00273106">
        <w:t xml:space="preserve">). </w:t>
      </w:r>
      <w:r w:rsidR="088A2B03">
        <w:t>Biskup Alvernus zásadně odmítl</w:t>
      </w:r>
      <w:r w:rsidR="001F29CD">
        <w:t xml:space="preserve"> </w:t>
      </w:r>
      <w:r w:rsidR="08AF1EF8">
        <w:t xml:space="preserve">všechny </w:t>
      </w:r>
      <w:r w:rsidR="001F29CD">
        <w:t>em</w:t>
      </w:r>
      <w:r w:rsidR="00627D42">
        <w:t>a</w:t>
      </w:r>
      <w:r w:rsidR="001F29CD">
        <w:t xml:space="preserve">nační nauky spojené s funkcí kosmického </w:t>
      </w:r>
      <w:r w:rsidR="001F29CD" w:rsidRPr="001F29CD">
        <w:rPr>
          <w:i/>
        </w:rPr>
        <w:t>intellectus agens</w:t>
      </w:r>
      <w:r w:rsidR="08AF1EF8">
        <w:t xml:space="preserve"> jako původ přirozeného poznání č</w:t>
      </w:r>
      <w:r w:rsidR="00A834EC">
        <w:t>lověka.</w:t>
      </w:r>
    </w:p>
    <w:p w14:paraId="62F3AD6E" w14:textId="7B350A8A" w:rsidR="08E731F6" w:rsidRDefault="00962AC5" w:rsidP="00A834EC">
      <w:pPr>
        <w:ind w:firstLine="397"/>
      </w:pPr>
      <w:r w:rsidRPr="00273106">
        <w:t xml:space="preserve">Tito </w:t>
      </w:r>
      <w:r w:rsidR="0033160B" w:rsidRPr="00273106">
        <w:t xml:space="preserve">sofisté </w:t>
      </w:r>
      <w:r w:rsidRPr="00273106">
        <w:t xml:space="preserve">navíc </w:t>
      </w:r>
      <w:r w:rsidR="00534677">
        <w:t>definovali</w:t>
      </w:r>
      <w:r w:rsidR="0033160B" w:rsidRPr="00273106">
        <w:t xml:space="preserve"> receptivní a syntetickou složku intelektu jako dvě oddělené substance. </w:t>
      </w:r>
      <w:r w:rsidR="08757E88">
        <w:t xml:space="preserve">Sofističtí Latiníci se dostali blízko k panteistické herezi Davida z Dinantu, protože </w:t>
      </w:r>
      <w:r w:rsidR="08757E88">
        <w:lastRenderedPageBreak/>
        <w:t xml:space="preserve">obě tyto intelektuální substance jsou nemateriání a mají charakter aktuálních kosmických forem. </w:t>
      </w:r>
      <w:r w:rsidR="005B7E2C" w:rsidRPr="00273106">
        <w:t xml:space="preserve">Dualistický výklad </w:t>
      </w:r>
      <w:r w:rsidR="08B1302D">
        <w:t xml:space="preserve">těchto </w:t>
      </w:r>
      <w:r w:rsidR="005B7E2C" w:rsidRPr="00273106">
        <w:t xml:space="preserve">avicennistů </w:t>
      </w:r>
      <w:r w:rsidR="00451ACA" w:rsidRPr="00273106">
        <w:t xml:space="preserve">je odvozen od </w:t>
      </w:r>
      <w:r w:rsidR="00874074">
        <w:t>neoplatonsk</w:t>
      </w:r>
      <w:r w:rsidR="00451ACA" w:rsidRPr="00273106">
        <w:t xml:space="preserve">ého rozdílu mezi vyšší a nižší formou intelektu, který najdeme </w:t>
      </w:r>
      <w:r w:rsidR="081403FA">
        <w:t xml:space="preserve">v </w:t>
      </w:r>
      <w:r w:rsidR="080B2B64">
        <w:t xml:space="preserve">avicennistickém </w:t>
      </w:r>
      <w:r w:rsidR="00451ACA" w:rsidRPr="00273106">
        <w:t xml:space="preserve">výkladu </w:t>
      </w:r>
      <w:r w:rsidR="00451ACA" w:rsidRPr="00627D42">
        <w:rPr>
          <w:i/>
        </w:rPr>
        <w:t>Etiky Nikomachovy</w:t>
      </w:r>
      <w:r w:rsidR="00451ACA" w:rsidRPr="00273106">
        <w:t xml:space="preserve"> (</w:t>
      </w:r>
      <w:r w:rsidR="08CE1EBE">
        <w:t>OBJ III</w:t>
      </w:r>
      <w:r w:rsidR="08767AB9">
        <w:t>, kap. 6</w:t>
      </w:r>
      <w:r w:rsidR="08D527B1">
        <w:t>.1</w:t>
      </w:r>
      <w:r w:rsidR="00451ACA" w:rsidRPr="00273106">
        <w:t xml:space="preserve">). </w:t>
      </w:r>
      <w:r w:rsidR="00D004C1" w:rsidRPr="00273106">
        <w:t xml:space="preserve">Zmínění dualisté </w:t>
      </w:r>
      <w:r w:rsidR="00451ACA" w:rsidRPr="00273106">
        <w:t xml:space="preserve">berou za bernou minci </w:t>
      </w:r>
      <w:r w:rsidR="00D004C1" w:rsidRPr="00273106">
        <w:t>Avicennovu nauku o dvou tvářích duše</w:t>
      </w:r>
      <w:r w:rsidR="00171B29">
        <w:fldChar w:fldCharType="begin"/>
      </w:r>
      <w:r w:rsidR="00171B29">
        <w:instrText xml:space="preserve"> XE "</w:instrText>
      </w:r>
      <w:r w:rsidR="00171B29" w:rsidRPr="00E10F76">
        <w:instrText>osoba:dualismus</w:instrText>
      </w:r>
      <w:r w:rsidR="00171B29">
        <w:instrText xml:space="preserve">" </w:instrText>
      </w:r>
      <w:r w:rsidR="00171B29">
        <w:fldChar w:fldCharType="end"/>
      </w:r>
      <w:r w:rsidR="00D004C1" w:rsidRPr="00273106">
        <w:t xml:space="preserve">, která vznikla </w:t>
      </w:r>
      <w:r w:rsidR="00AA6D38">
        <w:t xml:space="preserve">v </w:t>
      </w:r>
      <w:r w:rsidR="00D004C1" w:rsidRPr="00273106">
        <w:t>Proklově</w:t>
      </w:r>
      <w:r w:rsidR="00451ACA" w:rsidRPr="00273106">
        <w:t xml:space="preserve"> interpretaci </w:t>
      </w:r>
      <w:r w:rsidR="00627D42">
        <w:t xml:space="preserve">dialogu </w:t>
      </w:r>
      <w:r w:rsidR="00451ACA" w:rsidRPr="00627D42">
        <w:rPr>
          <w:i/>
        </w:rPr>
        <w:t>T</w:t>
      </w:r>
      <w:r w:rsidR="00627D42">
        <w:rPr>
          <w:i/>
        </w:rPr>
        <w:t>imaios</w:t>
      </w:r>
      <w:r w:rsidR="009842E9" w:rsidRPr="00273106">
        <w:t xml:space="preserve"> </w:t>
      </w:r>
      <w:r w:rsidR="00451ACA" w:rsidRPr="00273106">
        <w:t>(</w:t>
      </w:r>
      <w:r w:rsidR="08CE1EBE">
        <w:t>OBJ I</w:t>
      </w:r>
      <w:r w:rsidR="08774BA4">
        <w:t xml:space="preserve">, </w:t>
      </w:r>
      <w:r w:rsidR="00451ACA" w:rsidRPr="00273106">
        <w:t xml:space="preserve">kap. 2.3.1). </w:t>
      </w:r>
      <w:r w:rsidR="008244C4" w:rsidRPr="00273106">
        <w:t xml:space="preserve">Alvernova kompilace </w:t>
      </w:r>
      <w:r w:rsidR="009861EC">
        <w:rPr>
          <w:i/>
        </w:rPr>
        <w:t>De a</w:t>
      </w:r>
      <w:r w:rsidR="008244C4" w:rsidRPr="00273106">
        <w:rPr>
          <w:i/>
        </w:rPr>
        <w:t>nima</w:t>
      </w:r>
      <w:r w:rsidR="008244C4" w:rsidRPr="00273106">
        <w:t xml:space="preserve"> tvrdí, že </w:t>
      </w:r>
      <w:r w:rsidR="00627D42">
        <w:t>neoplatonš</w:t>
      </w:r>
      <w:r w:rsidR="008244C4" w:rsidRPr="00273106">
        <w:t>tí vykladači Aristotela typu Avicenny hlásají po vzoru Alexandra</w:t>
      </w:r>
      <w:r w:rsidR="00955903">
        <w:fldChar w:fldCharType="begin"/>
      </w:r>
      <w:r w:rsidR="00955903">
        <w:instrText xml:space="preserve"> XE "Alexander, Afrodisias" </w:instrText>
      </w:r>
      <w:r w:rsidR="00955903">
        <w:fldChar w:fldCharType="end"/>
      </w:r>
      <w:r w:rsidR="008244C4" w:rsidRPr="00273106">
        <w:t xml:space="preserve"> Afrodisia působení odděleného činného intelektu jako účinné příčiny na lidskou duši. Jejich nauka o způsobu lidského poznání stojí v rozporu s fundamentálním pojetím spisu </w:t>
      </w:r>
      <w:r w:rsidR="009861EC">
        <w:rPr>
          <w:i/>
        </w:rPr>
        <w:t>De a</w:t>
      </w:r>
      <w:r w:rsidR="008244C4" w:rsidRPr="00273106">
        <w:rPr>
          <w:i/>
        </w:rPr>
        <w:t>nima</w:t>
      </w:r>
      <w:r w:rsidR="008244C4" w:rsidRPr="00273106">
        <w:t xml:space="preserve">. V této klíčové otázce jsou v rozporu se samotným učením Aristotela, za jehož nástupce se považují. </w:t>
      </w:r>
      <w:r w:rsidR="00A84F6B" w:rsidRPr="00273106">
        <w:t>Alvernov</w:t>
      </w:r>
      <w:r w:rsidR="00EE18ED" w:rsidRPr="00273106">
        <w:t xml:space="preserve">i </w:t>
      </w:r>
      <w:r w:rsidR="00894AE5">
        <w:t xml:space="preserve">sofističní </w:t>
      </w:r>
      <w:r w:rsidR="00EE18ED" w:rsidRPr="00273106">
        <w:t>současníci j</w:t>
      </w:r>
      <w:r w:rsidR="00451ACA" w:rsidRPr="00273106">
        <w:t xml:space="preserve">sou dualisté a jejich pojetí je přímém rozporu s křesťanskou naukou o spáse. </w:t>
      </w:r>
      <w:r w:rsidR="009C4131" w:rsidRPr="00273106">
        <w:t xml:space="preserve">V pojetí neosobního a rozdvojeného intelektu je anulován teologický význam křtu, svobodné vůle a spásy. </w:t>
      </w:r>
      <w:r w:rsidR="008A308C" w:rsidRPr="00273106">
        <w:t xml:space="preserve">Vinou chybějícího individuálního poznání vázaného na volní akt poznávajícího jednotlivce chybí přičitatelnost dobrých a zlých skutků. </w:t>
      </w:r>
      <w:r w:rsidR="00D6637F" w:rsidRPr="00273106">
        <w:t xml:space="preserve">Rozdvojení intelektu na oddělenou a na individuální složku neumožňuje plnou individualizaci poznání a vůle v rámci </w:t>
      </w:r>
      <w:r w:rsidR="00444572" w:rsidRPr="00273106">
        <w:t xml:space="preserve">osoby jako </w:t>
      </w:r>
      <w:r w:rsidR="00D6637F" w:rsidRPr="00273106">
        <w:t xml:space="preserve">hylemorfické substance. </w:t>
      </w:r>
      <w:r w:rsidR="00843409">
        <w:t xml:space="preserve">Alvernus </w:t>
      </w:r>
      <w:r w:rsidR="08936A3A">
        <w:t xml:space="preserve">celoživotně </w:t>
      </w:r>
      <w:r w:rsidR="00843409">
        <w:t xml:space="preserve">hájí Aristotelův a </w:t>
      </w:r>
      <w:r w:rsidR="002E3B62">
        <w:t>Averroes</w:t>
      </w:r>
      <w:r w:rsidR="00843409">
        <w:t>ův</w:t>
      </w:r>
      <w:r w:rsidR="00843409" w:rsidRPr="00273106">
        <w:t xml:space="preserve"> výklad jednoho intelektu o dvou schopnostech (receptivní, syntetická) proti </w:t>
      </w:r>
      <w:r w:rsidR="00541D32">
        <w:t>neoplatonskému</w:t>
      </w:r>
      <w:r w:rsidR="00843409" w:rsidRPr="00273106">
        <w:t xml:space="preserve"> aristotelismu</w:t>
      </w:r>
      <w:r w:rsidR="00843409">
        <w:t xml:space="preserve"> danému v rámci dualismu mate</w:t>
      </w:r>
      <w:r w:rsidR="00843409" w:rsidRPr="00273106">
        <w:t xml:space="preserve">riálního a nemateriálního poznání. Toto rozlišení obou forem aristotelského výkladu podle Avicenny a podle </w:t>
      </w:r>
      <w:r w:rsidR="002E3B62">
        <w:t>Averroes</w:t>
      </w:r>
      <w:r w:rsidR="087C1C3C">
        <w:t xml:space="preserve">e má zásadní vliv na </w:t>
      </w:r>
      <w:r w:rsidR="00843409">
        <w:t>vývoj objektivity</w:t>
      </w:r>
      <w:r w:rsidR="00843409" w:rsidRPr="00273106">
        <w:t>, jak uvidíme dále.</w:t>
      </w:r>
      <w:r w:rsidR="00843409">
        <w:t xml:space="preserve"> </w:t>
      </w:r>
      <w:r w:rsidR="002E3B62">
        <w:t>Averroes</w:t>
      </w:r>
      <w:r w:rsidR="00451ACA" w:rsidRPr="00273106">
        <w:t>ova nauka</w:t>
      </w:r>
      <w:r w:rsidR="08936A3A">
        <w:t xml:space="preserve"> daná jako </w:t>
      </w:r>
      <w:r w:rsidR="00451ACA" w:rsidRPr="00273106">
        <w:t xml:space="preserve">výklad Aristotela </w:t>
      </w:r>
      <w:r w:rsidR="08936A3A">
        <w:t xml:space="preserve">podle </w:t>
      </w:r>
      <w:r w:rsidR="00AA5C36">
        <w:t xml:space="preserve">osobní </w:t>
      </w:r>
      <w:r w:rsidR="00451ACA" w:rsidRPr="00273106">
        <w:t>rec</w:t>
      </w:r>
      <w:r w:rsidR="08936A3A">
        <w:t xml:space="preserve">eptivně-činné složce intelektu </w:t>
      </w:r>
      <w:r w:rsidR="00AA5C36">
        <w:rPr>
          <w:lang w:eastAsia="en-US"/>
        </w:rPr>
        <w:t>(</w:t>
      </w:r>
      <w:r w:rsidR="00AA5C36" w:rsidRPr="00036F09">
        <w:rPr>
          <w:i/>
          <w:lang w:eastAsia="en-US"/>
        </w:rPr>
        <w:t>tertium genus</w:t>
      </w:r>
      <w:r w:rsidR="00AA5C36">
        <w:rPr>
          <w:lang w:eastAsia="en-US"/>
        </w:rPr>
        <w:t xml:space="preserve">) </w:t>
      </w:r>
      <w:r w:rsidR="00451ACA" w:rsidRPr="00273106">
        <w:t>je zásadně potřebná pro křesťanskou teologii</w:t>
      </w:r>
      <w:r w:rsidR="00AA5C36">
        <w:t>. P</w:t>
      </w:r>
      <w:r w:rsidR="00451ACA" w:rsidRPr="00273106">
        <w:t xml:space="preserve">otvrzuje primát vůle vázané na </w:t>
      </w:r>
      <w:r w:rsidR="002D3BA7">
        <w:t xml:space="preserve">personalizovaný </w:t>
      </w:r>
      <w:r w:rsidR="00451ACA" w:rsidRPr="00273106">
        <w:t>intelekt činný</w:t>
      </w:r>
      <w:r w:rsidR="00CA61F0" w:rsidRPr="00273106">
        <w:t xml:space="preserve"> v</w:t>
      </w:r>
      <w:r w:rsidR="00AA5C36">
        <w:t> </w:t>
      </w:r>
      <w:r w:rsidR="00CA61F0" w:rsidRPr="00273106">
        <w:t xml:space="preserve">duši jako </w:t>
      </w:r>
      <w:r w:rsidR="00AA5C36">
        <w:t xml:space="preserve">nemateriální </w:t>
      </w:r>
      <w:r w:rsidR="00CA61F0" w:rsidRPr="00273106">
        <w:t>formě</w:t>
      </w:r>
      <w:r w:rsidR="00451ACA" w:rsidRPr="00273106">
        <w:t xml:space="preserve"> </w:t>
      </w:r>
      <w:r w:rsidR="00AA5C36">
        <w:t xml:space="preserve">matariálního </w:t>
      </w:r>
      <w:r w:rsidR="00451ACA" w:rsidRPr="00273106">
        <w:t xml:space="preserve">těla. </w:t>
      </w:r>
      <w:r w:rsidR="00BD22A8">
        <w:t>Škola prvního averroismu</w:t>
      </w:r>
      <w:r w:rsidR="007560CA">
        <w:t xml:space="preserve"> tvrdila skrze Alverna, že </w:t>
      </w:r>
      <w:r w:rsidR="007560CA" w:rsidRPr="00273106">
        <w:t xml:space="preserve">výklad </w:t>
      </w:r>
      <w:r w:rsidR="00B713C5">
        <w:rPr>
          <w:i/>
        </w:rPr>
        <w:t>De anima</w:t>
      </w:r>
      <w:r w:rsidR="007560CA" w:rsidRPr="00273106">
        <w:t xml:space="preserve"> </w:t>
      </w:r>
      <w:r w:rsidR="007560CA">
        <w:t xml:space="preserve">v rámci Avicennovy metafyziky </w:t>
      </w:r>
      <w:r w:rsidR="00362EC2" w:rsidRPr="00273106">
        <w:t xml:space="preserve">nemá </w:t>
      </w:r>
      <w:r w:rsidR="00BD22A8">
        <w:t xml:space="preserve">plné </w:t>
      </w:r>
      <w:r w:rsidR="00451ACA" w:rsidRPr="00273106">
        <w:t xml:space="preserve">spojení </w:t>
      </w:r>
      <w:r w:rsidR="00A552A0">
        <w:t xml:space="preserve">osobní </w:t>
      </w:r>
      <w:r w:rsidR="00451ACA" w:rsidRPr="00273106">
        <w:t>vůle a rozumu v jedinečném těle</w:t>
      </w:r>
      <w:r w:rsidR="00BD22A8">
        <w:t xml:space="preserve"> daném </w:t>
      </w:r>
      <w:r w:rsidR="0041219D" w:rsidRPr="0041219D">
        <w:rPr>
          <w:i/>
        </w:rPr>
        <w:t>simpliciter</w:t>
      </w:r>
      <w:r w:rsidR="0041219D">
        <w:t xml:space="preserve"> jako aktuální </w:t>
      </w:r>
      <w:r w:rsidR="00BD22A8">
        <w:t>první substance</w:t>
      </w:r>
      <w:r w:rsidR="00362EC2" w:rsidRPr="00273106">
        <w:t xml:space="preserve">. Ale </w:t>
      </w:r>
      <w:r w:rsidR="00451ACA" w:rsidRPr="00273106">
        <w:t xml:space="preserve">pojetí </w:t>
      </w:r>
      <w:r w:rsidR="00773E1B" w:rsidRPr="00273106">
        <w:t xml:space="preserve">nemateriální a intelektuální </w:t>
      </w:r>
      <w:r w:rsidR="00451ACA" w:rsidRPr="00273106">
        <w:t xml:space="preserve">duše jako plně autonomní formy těla je zásadně správné </w:t>
      </w:r>
      <w:r w:rsidR="00773E1B" w:rsidRPr="00273106">
        <w:t xml:space="preserve">v tom, že </w:t>
      </w:r>
      <w:r w:rsidR="00451ACA" w:rsidRPr="00273106">
        <w:t xml:space="preserve">vysvětluje </w:t>
      </w:r>
      <w:r w:rsidR="00773E1B" w:rsidRPr="00273106">
        <w:t xml:space="preserve">existenci </w:t>
      </w:r>
      <w:r w:rsidR="00451ACA" w:rsidRPr="00273106">
        <w:t>duše po smrti.</w:t>
      </w:r>
      <w:r w:rsidR="00B94D13" w:rsidRPr="00273106">
        <w:t xml:space="preserve"> </w:t>
      </w:r>
      <w:r w:rsidR="00B25305" w:rsidRPr="00273106">
        <w:t xml:space="preserve">Alvernův spis o duši </w:t>
      </w:r>
      <w:r w:rsidR="00C06870">
        <w:t>a</w:t>
      </w:r>
      <w:r w:rsidR="00B25305" w:rsidRPr="00273106">
        <w:t xml:space="preserve">rgumentuje </w:t>
      </w:r>
      <w:r w:rsidR="00C06870">
        <w:t xml:space="preserve">proti modernistům </w:t>
      </w:r>
      <w:r w:rsidR="00B25305" w:rsidRPr="00273106">
        <w:t>tím, že oddělený činný intelekt by znemožnil individuální poznání.</w:t>
      </w:r>
      <w:r w:rsidR="00B25305" w:rsidRPr="00273106">
        <w:rPr>
          <w:rStyle w:val="Znakapoznpodarou"/>
        </w:rPr>
        <w:footnoteReference w:id="171"/>
      </w:r>
      <w:r w:rsidR="00B25305" w:rsidRPr="00273106">
        <w:t xml:space="preserve"> Z tohoto důvodu odmítá učení Alexandra</w:t>
      </w:r>
      <w:r w:rsidR="00955903">
        <w:fldChar w:fldCharType="begin"/>
      </w:r>
      <w:r w:rsidR="00955903">
        <w:instrText xml:space="preserve"> XE "Alexander, Afrodisias" </w:instrText>
      </w:r>
      <w:r w:rsidR="00955903">
        <w:fldChar w:fldCharType="end"/>
      </w:r>
      <w:r w:rsidR="08A92931">
        <w:t xml:space="preserve"> a pařížských </w:t>
      </w:r>
      <w:r w:rsidR="08DE18BB">
        <w:t>alexandrovc</w:t>
      </w:r>
      <w:r w:rsidR="00B25305" w:rsidRPr="00273106">
        <w:t>ů</w:t>
      </w:r>
      <w:r w:rsidR="00955903">
        <w:fldChar w:fldCharType="begin"/>
      </w:r>
      <w:r w:rsidR="00955903">
        <w:instrText xml:space="preserve"> XE "</w:instrText>
      </w:r>
      <w:r w:rsidR="08DE18BB">
        <w:instrText>alexandrovci</w:instrText>
      </w:r>
      <w:r w:rsidR="00955903">
        <w:instrText xml:space="preserve">" </w:instrText>
      </w:r>
      <w:r w:rsidR="00955903">
        <w:fldChar w:fldCharType="end"/>
      </w:r>
      <w:r w:rsidR="00B25305" w:rsidRPr="00273106">
        <w:t xml:space="preserve">, </w:t>
      </w:r>
      <w:r w:rsidR="00B25305" w:rsidRPr="00273106">
        <w:lastRenderedPageBreak/>
        <w:t xml:space="preserve">stejně jako </w:t>
      </w:r>
      <w:r w:rsidR="002E3B62">
        <w:t>Averroes</w:t>
      </w:r>
      <w:r w:rsidR="00B25305" w:rsidRPr="00273106">
        <w:t xml:space="preserve"> v CMDA. </w:t>
      </w:r>
      <w:r w:rsidR="00453832">
        <w:t xml:space="preserve">Autentický výklad </w:t>
      </w:r>
      <w:r w:rsidR="005C56CB" w:rsidRPr="00273106">
        <w:t>Komentátora</w:t>
      </w:r>
      <w:r w:rsidR="00453832">
        <w:t xml:space="preserve"> </w:t>
      </w:r>
      <w:r w:rsidR="005C56CB" w:rsidRPr="00273106">
        <w:t xml:space="preserve">jako nejvznešenějšího filosofa se zásadně liší od </w:t>
      </w:r>
      <w:r w:rsidR="00874074">
        <w:t>neoplatonsk</w:t>
      </w:r>
      <w:r w:rsidR="005C56CB" w:rsidRPr="00273106">
        <w:t xml:space="preserve">é interpretace </w:t>
      </w:r>
      <w:r w:rsidR="00977115">
        <w:t xml:space="preserve">Aristotela podle </w:t>
      </w:r>
      <w:r w:rsidR="00453832">
        <w:t xml:space="preserve">zmíněných </w:t>
      </w:r>
      <w:r w:rsidR="005C56CB" w:rsidRPr="00273106">
        <w:rPr>
          <w:i/>
        </w:rPr>
        <w:t>sequaces Aristotelis</w:t>
      </w:r>
      <w:r w:rsidR="00BF7E89">
        <w:rPr>
          <w:i/>
        </w:rPr>
        <w:fldChar w:fldCharType="begin"/>
      </w:r>
      <w:r w:rsidR="00BF7E89">
        <w:instrText xml:space="preserve"> XE "druhý averroismus:</w:instrText>
      </w:r>
      <w:r w:rsidR="00BF7E89" w:rsidRPr="00B81DDF">
        <w:rPr>
          <w:i/>
        </w:rPr>
        <w:instrText>sequaces Aristotelis</w:instrText>
      </w:r>
      <w:r w:rsidR="00BF7E89">
        <w:instrText xml:space="preserve">" </w:instrText>
      </w:r>
      <w:r w:rsidR="00BF7E89">
        <w:rPr>
          <w:i/>
        </w:rPr>
        <w:fldChar w:fldCharType="end"/>
      </w:r>
      <w:r w:rsidR="00922654">
        <w:t xml:space="preserve"> z Toledské školy</w:t>
      </w:r>
      <w:r w:rsidR="08A968FA">
        <w:t xml:space="preserve"> avicennistického averroi</w:t>
      </w:r>
      <w:r w:rsidR="00D128B4">
        <w:t>s</w:t>
      </w:r>
      <w:r w:rsidR="08A968FA">
        <w:t>m</w:t>
      </w:r>
      <w:r w:rsidR="00D128B4">
        <w:t>u</w:t>
      </w:r>
      <w:r w:rsidR="08E731F6">
        <w:t>.</w:t>
      </w:r>
    </w:p>
    <w:p w14:paraId="39513CD0" w14:textId="3BC97900" w:rsidR="00CD6C63" w:rsidRPr="00273106" w:rsidRDefault="08E731F6" w:rsidP="004E36E2">
      <w:r>
        <w:tab/>
      </w:r>
      <w:r w:rsidR="00610388" w:rsidRPr="00273106">
        <w:t xml:space="preserve">Obrana </w:t>
      </w:r>
      <w:r w:rsidR="00F5510D">
        <w:t xml:space="preserve">osobního </w:t>
      </w:r>
      <w:r w:rsidR="00610388" w:rsidRPr="00273106">
        <w:t xml:space="preserve">činného intelektu </w:t>
      </w:r>
      <w:r w:rsidR="00CA61F0" w:rsidRPr="00273106">
        <w:t>proti prvním modern</w:t>
      </w:r>
      <w:r w:rsidR="00EB6020">
        <w:t xml:space="preserve">istům </w:t>
      </w:r>
      <w:r w:rsidR="00610388" w:rsidRPr="00273106">
        <w:t xml:space="preserve">musela vyjasnit roli </w:t>
      </w:r>
      <w:r w:rsidR="00CA61F0" w:rsidRPr="00273106">
        <w:t xml:space="preserve">činného </w:t>
      </w:r>
      <w:r w:rsidR="00B233AF" w:rsidRPr="00273106">
        <w:t xml:space="preserve">intelektu </w:t>
      </w:r>
      <w:r w:rsidR="005377C3" w:rsidRPr="00273106">
        <w:t xml:space="preserve">v </w:t>
      </w:r>
      <w:r w:rsidR="004F1786" w:rsidRPr="00273106">
        <w:t xml:space="preserve">lidském </w:t>
      </w:r>
      <w:r w:rsidR="005377C3" w:rsidRPr="00273106">
        <w:t xml:space="preserve">poznání. </w:t>
      </w:r>
      <w:r w:rsidR="004E36E2" w:rsidRPr="00273106">
        <w:t xml:space="preserve">Klíčová pasáž odmítá </w:t>
      </w:r>
      <w:r w:rsidR="00874074">
        <w:t>neoplatonsk</w:t>
      </w:r>
      <w:r w:rsidR="004E36E2" w:rsidRPr="00273106">
        <w:t>é pojetí činného intelektu jako slunce</w:t>
      </w:r>
      <w:r w:rsidR="00CE65E8">
        <w:fldChar w:fldCharType="begin"/>
      </w:r>
      <w:r w:rsidR="00CE65E8">
        <w:instrText xml:space="preserve"> XE "</w:instrText>
      </w:r>
      <w:r w:rsidR="00CE65E8" w:rsidRPr="00C54C77">
        <w:instrText>intelekt-slunce</w:instrText>
      </w:r>
      <w:r w:rsidR="00CE65E8">
        <w:instrText xml:space="preserve">" </w:instrText>
      </w:r>
      <w:r w:rsidR="00CE65E8">
        <w:fldChar w:fldCharType="end"/>
      </w:r>
      <w:r w:rsidR="004E36E2" w:rsidRPr="00273106">
        <w:t xml:space="preserve">, které </w:t>
      </w:r>
      <w:r w:rsidR="00406F73" w:rsidRPr="00273106">
        <w:t xml:space="preserve">působí </w:t>
      </w:r>
      <w:r w:rsidR="004E36E2" w:rsidRPr="00273106">
        <w:t xml:space="preserve">v </w:t>
      </w:r>
      <w:r w:rsidR="000207E8" w:rsidRPr="00273106">
        <w:t xml:space="preserve">lidské </w:t>
      </w:r>
      <w:r w:rsidR="004E36E2" w:rsidRPr="00273106">
        <w:t xml:space="preserve">duši na způsob Avicennova </w:t>
      </w:r>
      <w:r w:rsidR="004E36E2" w:rsidRPr="00273106">
        <w:rPr>
          <w:i/>
        </w:rPr>
        <w:t>intellectus adeptus</w:t>
      </w:r>
      <w:r w:rsidR="004E36E2" w:rsidRPr="00273106">
        <w:t xml:space="preserve">. Tento typ </w:t>
      </w:r>
      <w:r w:rsidR="00DC5973">
        <w:t xml:space="preserve">lidského </w:t>
      </w:r>
      <w:r w:rsidR="004E36E2" w:rsidRPr="00273106">
        <w:t>intelektu přímo přijímá aktuální inteligibilní formy od odděleného činného intelektu (</w:t>
      </w:r>
      <w:r w:rsidR="08CE1EBE">
        <w:t>OBJ I</w:t>
      </w:r>
      <w:r w:rsidR="08CD5F87">
        <w:t xml:space="preserve">, </w:t>
      </w:r>
      <w:r w:rsidR="004E36E2" w:rsidRPr="00273106">
        <w:t xml:space="preserve">kap. 2.3.1). </w:t>
      </w:r>
      <w:r w:rsidR="001D377B" w:rsidRPr="00273106">
        <w:t>Avicennov</w:t>
      </w:r>
      <w:r w:rsidR="00852065">
        <w:t>a</w:t>
      </w:r>
      <w:r w:rsidR="001D377B" w:rsidRPr="00273106">
        <w:t xml:space="preserve"> forma odděleného činného intelektu determinujícího smyslovou zkušenost je vyloučena proto, že pasivní intelekt je principiálně nepopsaný list</w:t>
      </w:r>
      <w:r w:rsidR="005876A2">
        <w:t>,</w:t>
      </w:r>
      <w:r w:rsidR="001D377B" w:rsidRPr="00273106">
        <w:t xml:space="preserve"> a nic v něm není dáno před smyslovou zkušeností. </w:t>
      </w:r>
      <w:r w:rsidR="00B06C79" w:rsidRPr="00273106">
        <w:t xml:space="preserve">Alvernus výslovně hájí centrální část Aristotelovy nauky o duši jako </w:t>
      </w:r>
      <w:r w:rsidR="00B06C79"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B06C79" w:rsidRPr="00273106">
        <w:t>.</w:t>
      </w:r>
      <w:r w:rsidR="00B06C79" w:rsidRPr="00273106">
        <w:rPr>
          <w:rStyle w:val="Znakapoznpodarou"/>
        </w:rPr>
        <w:footnoteReference w:id="172"/>
      </w:r>
      <w:r w:rsidR="00B06C79" w:rsidRPr="00273106">
        <w:t xml:space="preserve"> </w:t>
      </w:r>
      <w:r w:rsidR="00650FF0" w:rsidRPr="00273106">
        <w:t xml:space="preserve">Činný intelekt je integrální složka individuální lidské duše a pracuje jen skrze smyslovou zkušenost. </w:t>
      </w:r>
      <w:r w:rsidR="00BE4873" w:rsidRPr="00273106">
        <w:t>K</w:t>
      </w:r>
      <w:r w:rsidR="00881DA4" w:rsidRPr="00273106">
        <w:t xml:space="preserve"> poznání </w:t>
      </w:r>
      <w:r w:rsidR="00BE4873" w:rsidRPr="00273106">
        <w:t xml:space="preserve">nesouměřitelných forem ve věcech a v mysli </w:t>
      </w:r>
      <w:r w:rsidR="00881DA4" w:rsidRPr="00273106">
        <w:t xml:space="preserve">je třeba </w:t>
      </w:r>
      <w:r w:rsidR="00881DA4" w:rsidRPr="08E731F6">
        <w:rPr>
          <w:i/>
        </w:rPr>
        <w:t>medium</w:t>
      </w:r>
      <w:r w:rsidR="00610F15">
        <w:fldChar w:fldCharType="begin"/>
      </w:r>
      <w:r w:rsidR="00610F15">
        <w:instrText xml:space="preserve"> XE "</w:instrText>
      </w:r>
      <w:r w:rsidR="00610F15" w:rsidRPr="001618A5">
        <w:rPr>
          <w:i/>
        </w:rPr>
        <w:instrText>medium:</w:instrText>
      </w:r>
      <w:r w:rsidR="087E3D52">
        <w:instrText>Alvernus</w:instrText>
      </w:r>
      <w:r w:rsidR="00610F15">
        <w:instrText xml:space="preserve">" </w:instrText>
      </w:r>
      <w:r w:rsidR="00610F15">
        <w:fldChar w:fldCharType="end"/>
      </w:r>
      <w:r w:rsidR="00BE4873" w:rsidRPr="00273106">
        <w:t>,</w:t>
      </w:r>
      <w:r w:rsidR="00881DA4" w:rsidRPr="00273106">
        <w:t xml:space="preserve"> stejně jako k ozáření a k vytvoření barvy musí existovat diafanum.</w:t>
      </w:r>
      <w:r w:rsidR="00CD6C63" w:rsidRPr="00273106">
        <w:t xml:space="preserve"> Odvolání na Aristotela zdůrazňuje, že ani slunce nedává barvy věcí přímo, protože nasvícené plochy vidíme jako barevné až skrze práci smyslového orgánu.</w:t>
      </w:r>
      <w:r w:rsidR="00C77A49">
        <w:t xml:space="preserve"> Resumé průběhu poznání odpovídá Blundov</w:t>
      </w:r>
      <w:r w:rsidR="089154A0">
        <w:t xml:space="preserve">u </w:t>
      </w:r>
      <w:r w:rsidR="00C77A49">
        <w:t>traktát</w:t>
      </w:r>
      <w:r w:rsidR="089154A0">
        <w:t>u</w:t>
      </w:r>
      <w:r w:rsidR="00C77A49">
        <w:t xml:space="preserve"> o duši a </w:t>
      </w:r>
      <w:r w:rsidR="00ED60DE">
        <w:t xml:space="preserve">také </w:t>
      </w:r>
      <w:r w:rsidR="00C77A49">
        <w:t xml:space="preserve">oběma </w:t>
      </w:r>
      <w:r w:rsidR="00ED60DE">
        <w:t>výše uvedeným</w:t>
      </w:r>
      <w:r w:rsidR="00383E0B">
        <w:t xml:space="preserve"> </w:t>
      </w:r>
      <w:r w:rsidR="00ED60DE">
        <w:t>anonymním spisům</w:t>
      </w:r>
      <w:r w:rsidR="083A5FB8">
        <w:t xml:space="preserve"> z Blundovy školy</w:t>
      </w:r>
      <w:r w:rsidR="00C77A49">
        <w:t>.</w:t>
      </w:r>
    </w:p>
    <w:p w14:paraId="7C96C7F5" w14:textId="77777777" w:rsidR="00CD6C63" w:rsidRPr="00273106" w:rsidRDefault="00CD6C63" w:rsidP="001C5BCB">
      <w:pPr>
        <w:pStyle w:val="Citace"/>
        <w:rPr>
          <w:noProof/>
          <w:lang w:val="cs-CZ"/>
        </w:rPr>
      </w:pPr>
      <w:r w:rsidRPr="00273106">
        <w:rPr>
          <w:noProof/>
          <w:lang w:val="cs-CZ"/>
        </w:rPr>
        <w:t>„</w:t>
      </w:r>
      <w:r w:rsidR="089F2F41">
        <w:rPr>
          <w:noProof/>
          <w:lang w:val="cs-CZ"/>
        </w:rPr>
        <w:t xml:space="preserve">A tak jsou smysly osvíceny pro smyslové poznání </w:t>
      </w:r>
      <w:r w:rsidRPr="00273106">
        <w:rPr>
          <w:noProof/>
          <w:lang w:val="cs-CZ"/>
        </w:rPr>
        <w:t xml:space="preserve">skrze pouhou podobnost </w:t>
      </w:r>
      <w:r w:rsidR="089F2F41">
        <w:rPr>
          <w:noProof/>
          <w:lang w:val="cs-CZ"/>
        </w:rPr>
        <w:t xml:space="preserve">se </w:t>
      </w:r>
      <w:r w:rsidRPr="00273106">
        <w:rPr>
          <w:noProof/>
          <w:lang w:val="cs-CZ"/>
        </w:rPr>
        <w:t>smyslový</w:t>
      </w:r>
      <w:r w:rsidR="089F2F41">
        <w:rPr>
          <w:noProof/>
          <w:lang w:val="cs-CZ"/>
        </w:rPr>
        <w:t xml:space="preserve">mi </w:t>
      </w:r>
      <w:r w:rsidRPr="00273106">
        <w:rPr>
          <w:noProof/>
          <w:lang w:val="cs-CZ"/>
        </w:rPr>
        <w:t>form</w:t>
      </w:r>
      <w:r w:rsidR="089F2F41">
        <w:rPr>
          <w:noProof/>
          <w:lang w:val="cs-CZ"/>
        </w:rPr>
        <w:t>ami</w:t>
      </w:r>
      <w:r w:rsidRPr="00273106">
        <w:rPr>
          <w:noProof/>
          <w:lang w:val="cs-CZ"/>
        </w:rPr>
        <w:t>, které se vtiskují do smyslového orgán</w:t>
      </w:r>
      <w:r w:rsidR="005C18B6">
        <w:rPr>
          <w:noProof/>
          <w:lang w:val="cs-CZ"/>
        </w:rPr>
        <w:t>u</w:t>
      </w:r>
      <w:r w:rsidR="089F2F41">
        <w:rPr>
          <w:noProof/>
          <w:lang w:val="cs-CZ"/>
        </w:rPr>
        <w:t>; t</w:t>
      </w:r>
      <w:r w:rsidR="005C18B6">
        <w:rPr>
          <w:noProof/>
          <w:lang w:val="cs-CZ"/>
        </w:rPr>
        <w:t>ím spíše rozumové poznání bude</w:t>
      </w:r>
      <w:r w:rsidRPr="00273106">
        <w:rPr>
          <w:noProof/>
          <w:lang w:val="cs-CZ"/>
        </w:rPr>
        <w:t xml:space="preserve"> osvíceno pouze skrze inteligibilní formy zajišťující poznání intelektu.  A to</w:t>
      </w:r>
      <w:r w:rsidR="001C5BCB" w:rsidRPr="00273106">
        <w:rPr>
          <w:noProof/>
          <w:lang w:val="cs-CZ"/>
        </w:rPr>
        <w:t>, co je vtištěno do naší schopn</w:t>
      </w:r>
      <w:r w:rsidRPr="00273106">
        <w:rPr>
          <w:noProof/>
          <w:lang w:val="cs-CZ"/>
        </w:rPr>
        <w:t>o</w:t>
      </w:r>
      <w:r w:rsidR="001C5BCB" w:rsidRPr="00273106">
        <w:rPr>
          <w:noProof/>
          <w:lang w:val="cs-CZ"/>
        </w:rPr>
        <w:t>sti činného poznávají</w:t>
      </w:r>
      <w:r w:rsidRPr="00273106">
        <w:rPr>
          <w:noProof/>
          <w:lang w:val="cs-CZ"/>
        </w:rPr>
        <w:t>c</w:t>
      </w:r>
      <w:r w:rsidR="001C5BCB" w:rsidRPr="00273106">
        <w:rPr>
          <w:noProof/>
          <w:lang w:val="cs-CZ"/>
        </w:rPr>
        <w:t>í</w:t>
      </w:r>
      <w:r w:rsidRPr="00273106">
        <w:rPr>
          <w:noProof/>
          <w:lang w:val="cs-CZ"/>
        </w:rPr>
        <w:t xml:space="preserve">ho intelektu, není nic jiného, než inteligibilní forma  podobná </w:t>
      </w:r>
      <w:r w:rsidR="001C5BCB" w:rsidRPr="00273106">
        <w:rPr>
          <w:noProof/>
          <w:lang w:val="cs-CZ"/>
        </w:rPr>
        <w:t xml:space="preserve">tomu, co je chápáno, tedy samotné věci, kterou poznáváme.“ </w:t>
      </w:r>
      <w:r w:rsidR="00DC53FC" w:rsidRPr="00273106">
        <w:rPr>
          <w:rStyle w:val="Znakapoznpodarou"/>
          <w:noProof/>
          <w:lang w:val="cs-CZ"/>
        </w:rPr>
        <w:footnoteReference w:id="173"/>
      </w:r>
      <w:r w:rsidR="00881DA4" w:rsidRPr="00273106">
        <w:rPr>
          <w:noProof/>
          <w:lang w:val="cs-CZ"/>
        </w:rPr>
        <w:t xml:space="preserve"> </w:t>
      </w:r>
    </w:p>
    <w:p w14:paraId="3B1B3B79" w14:textId="543368DE" w:rsidR="00422D58" w:rsidRDefault="00754D21" w:rsidP="004E36E2">
      <w:r w:rsidRPr="00273106">
        <w:t>Existuje zásadní rozd</w:t>
      </w:r>
      <w:r w:rsidR="00F14BED" w:rsidRPr="00273106">
        <w:t>íl mezi světlem slunce mezi jeho</w:t>
      </w:r>
      <w:r w:rsidRPr="00273106">
        <w:t xml:space="preserve"> recepcí v našem oku, protože duše má vlastní receptivní a syntetizující schopnost</w:t>
      </w:r>
      <w:r w:rsidR="00A33E69">
        <w:t>, kterou nemá ani slunce ani sluneční paprsek</w:t>
      </w:r>
      <w:r w:rsidRPr="00273106">
        <w:t xml:space="preserve">. Stejně tak musí v našem intelektu recipovaná poznaná forma </w:t>
      </w:r>
      <w:r w:rsidR="00820421">
        <w:t xml:space="preserve">vykazovat </w:t>
      </w:r>
      <w:r w:rsidRPr="00273106">
        <w:t xml:space="preserve">podobnost </w:t>
      </w:r>
      <w:r w:rsidR="00820421">
        <w:t xml:space="preserve">se </w:t>
      </w:r>
      <w:r w:rsidR="00820421">
        <w:lastRenderedPageBreak/>
        <w:t>samotnou externí věcí</w:t>
      </w:r>
      <w:r w:rsidRPr="00273106">
        <w:t xml:space="preserve"> (</w:t>
      </w:r>
      <w:r w:rsidRPr="00273106">
        <w:rPr>
          <w:i/>
        </w:rPr>
        <w:t>forma intelligibilis et similitudo intellecti</w:t>
      </w:r>
      <w:r w:rsidRPr="00273106">
        <w:t xml:space="preserve">). </w:t>
      </w:r>
      <w:r w:rsidR="00DE38AA" w:rsidRPr="00273106">
        <w:t>I</w:t>
      </w:r>
      <w:r w:rsidR="004E36E2" w:rsidRPr="00273106">
        <w:t>ndividuální lidský intelekt</w:t>
      </w:r>
      <w:r w:rsidR="00DE38AA" w:rsidRPr="00273106">
        <w:t xml:space="preserve"> přijímá formy</w:t>
      </w:r>
      <w:r w:rsidR="00DE38AA" w:rsidRPr="00273106">
        <w:rPr>
          <w:i/>
        </w:rPr>
        <w:t xml:space="preserve"> per similitudinem</w:t>
      </w:r>
      <w:r w:rsidR="08F45A8D">
        <w:t xml:space="preserve"> </w:t>
      </w:r>
      <w:r w:rsidR="00DE38AA" w:rsidRPr="00273106">
        <w:t xml:space="preserve">a tím se zásadně liší od </w:t>
      </w:r>
      <w:r w:rsidR="00EA11E3" w:rsidRPr="00273106">
        <w:t xml:space="preserve">činného intelektu </w:t>
      </w:r>
      <w:r w:rsidR="00DE38AA" w:rsidRPr="00273106">
        <w:t>jako oddělené kosmické substance</w:t>
      </w:r>
      <w:r w:rsidR="004E36E2" w:rsidRPr="00273106">
        <w:t xml:space="preserve">. </w:t>
      </w:r>
      <w:r w:rsidR="006F39D3" w:rsidRPr="00273106">
        <w:t xml:space="preserve">Italští a latinští sofisté </w:t>
      </w:r>
      <w:r w:rsidR="0028618A">
        <w:t xml:space="preserve">naopak </w:t>
      </w:r>
      <w:r w:rsidR="00D53569" w:rsidRPr="00273106">
        <w:t>hájí oddělený</w:t>
      </w:r>
      <w:r w:rsidR="004E36E2" w:rsidRPr="00273106">
        <w:t xml:space="preserve"> </w:t>
      </w:r>
      <w:r w:rsidR="00D9504D" w:rsidRPr="00273106">
        <w:t xml:space="preserve">a univoční </w:t>
      </w:r>
      <w:r w:rsidR="004E36E2"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976924">
        <w:instrText>:</w:instrText>
      </w:r>
      <w:r w:rsidR="00976924" w:rsidRPr="00976924">
        <w:instrText>druhý averroismus</w:instrText>
      </w:r>
      <w:r w:rsidR="00DF1F0F">
        <w:instrText xml:space="preserve">" </w:instrText>
      </w:r>
      <w:r w:rsidR="00DF1F0F">
        <w:rPr>
          <w:i/>
        </w:rPr>
        <w:fldChar w:fldCharType="end"/>
      </w:r>
      <w:r w:rsidR="00D53569" w:rsidRPr="00273106">
        <w:t xml:space="preserve"> chápaný</w:t>
      </w:r>
      <w:r w:rsidR="004E36E2" w:rsidRPr="00273106">
        <w:t xml:space="preserve"> skrze </w:t>
      </w:r>
      <w:r w:rsidR="00874074">
        <w:t>neoplatonsk</w:t>
      </w:r>
      <w:r w:rsidR="00D53569" w:rsidRPr="00273106">
        <w:t xml:space="preserve">ou </w:t>
      </w:r>
      <w:r w:rsidR="004E36E2" w:rsidRPr="00273106">
        <w:t>metaforu intelektu-slunce</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8474820">
        <w:t>. Tato mytopoetická</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474820">
        <w:t xml:space="preserve"> forma moderního intelektu způsobuje přímo </w:t>
      </w:r>
      <w:r w:rsidR="0028618A">
        <w:t xml:space="preserve">každé poznání, protože kosmický </w:t>
      </w:r>
      <w:r w:rsidR="0028618A" w:rsidRPr="0028618A">
        <w:rPr>
          <w:i/>
        </w:rPr>
        <w:t>intellectus agens</w:t>
      </w:r>
      <w:r w:rsidR="0028618A">
        <w:t xml:space="preserve"> v nás působí jako oddělená účinná příčina</w:t>
      </w:r>
      <w:r w:rsidR="004E36E2" w:rsidRPr="00273106">
        <w:t xml:space="preserve">. </w:t>
      </w:r>
      <w:r w:rsidR="00965895" w:rsidRPr="00273106">
        <w:t xml:space="preserve">Příchod </w:t>
      </w:r>
      <w:r w:rsidR="00212218">
        <w:t>CMDA</w:t>
      </w:r>
      <w:r w:rsidR="00965895" w:rsidRPr="00273106">
        <w:t xml:space="preserve"> </w:t>
      </w:r>
      <w:r w:rsidR="00B923C5">
        <w:t xml:space="preserve">v podání Sicilské školy </w:t>
      </w:r>
      <w:r w:rsidR="00F97D65" w:rsidRPr="00273106">
        <w:t xml:space="preserve">zásadně potvrdil </w:t>
      </w:r>
      <w:r w:rsidR="008307AB">
        <w:t>správnost kritiky</w:t>
      </w:r>
      <w:r w:rsidR="00965895" w:rsidRPr="00273106">
        <w:t xml:space="preserve"> neopla</w:t>
      </w:r>
      <w:r w:rsidR="008307AB">
        <w:t xml:space="preserve">toniků danou v Blundově škole. Pro Alverna byl příchod </w:t>
      </w:r>
      <w:r w:rsidR="002E3B62">
        <w:t>Averroes</w:t>
      </w:r>
      <w:r w:rsidR="008307AB">
        <w:t xml:space="preserve">ových spisů </w:t>
      </w:r>
      <w:r w:rsidR="00B923C5">
        <w:t xml:space="preserve">v podání Scota roku 1230 </w:t>
      </w:r>
      <w:r w:rsidR="00BF7943">
        <w:t xml:space="preserve">zásadně </w:t>
      </w:r>
      <w:r w:rsidR="081E0F6E">
        <w:t xml:space="preserve">důležitý </w:t>
      </w:r>
      <w:r w:rsidR="00BF7943">
        <w:t xml:space="preserve">ve dvou bodech. Za prvé, byl potvrzen </w:t>
      </w:r>
      <w:r w:rsidR="008307AB">
        <w:t xml:space="preserve">aristotelský </w:t>
      </w:r>
      <w:r w:rsidR="00965895" w:rsidRPr="00273106">
        <w:t xml:space="preserve">výklad </w:t>
      </w:r>
      <w:r w:rsidR="008307AB">
        <w:rPr>
          <w:i/>
        </w:rPr>
        <w:t>De a</w:t>
      </w:r>
      <w:r w:rsidR="00965895" w:rsidRPr="00273106">
        <w:rPr>
          <w:i/>
        </w:rPr>
        <w:t>nima</w:t>
      </w:r>
      <w:r w:rsidR="00026D3F">
        <w:t xml:space="preserve"> v Blundově škole</w:t>
      </w:r>
      <w:r w:rsidR="00BF7943">
        <w:t xml:space="preserve">. </w:t>
      </w:r>
      <w:r w:rsidR="00DE2D60" w:rsidRPr="00DE2D60">
        <w:t>Za druhé došlo k začlenění Aristotelových přírodovědných spisů a jeho vědecké metodologie do křesťanské</w:t>
      </w:r>
      <w:r w:rsidR="00260C1E">
        <w:t xml:space="preserve"> filos</w:t>
      </w:r>
      <w:r w:rsidR="00DE2D60" w:rsidRPr="00DE2D60">
        <w:t xml:space="preserve">ofie. Alvernus jako eminentní zástupce sicilské školy v Paříži viděl jednotu nově objeveného </w:t>
      </w:r>
      <w:r w:rsidR="00DE2D60" w:rsidRPr="00260C1E">
        <w:rPr>
          <w:i/>
        </w:rPr>
        <w:t>Corpus Aristotelicum</w:t>
      </w:r>
      <w:r w:rsidR="00DE2D60" w:rsidRPr="00DE2D60">
        <w:t xml:space="preserve"> se spisem </w:t>
      </w:r>
      <w:r w:rsidR="00DE2D60" w:rsidRPr="00260C1E">
        <w:rPr>
          <w:i/>
        </w:rPr>
        <w:t>De Anima</w:t>
      </w:r>
      <w:r w:rsidR="00DE2D60" w:rsidRPr="00DE2D60">
        <w:t>. Tento vlivný biskup a učenec jistě patřil k hlavním aktérům požadujícím zru</w:t>
      </w:r>
      <w:r w:rsidR="00260C1E">
        <w:t>šení zákazu studia Aristotela na U</w:t>
      </w:r>
      <w:r w:rsidR="00DE2D60" w:rsidRPr="00DE2D60">
        <w:t xml:space="preserve">niverzitě v Paříži. A tento zákaz byl skutečně zrušen v roce 1231. </w:t>
      </w:r>
      <w:r w:rsidR="00260C1E">
        <w:t xml:space="preserve">Tento krok </w:t>
      </w:r>
      <w:r w:rsidR="00DE2D60" w:rsidRPr="00DE2D60">
        <w:t>zásad</w:t>
      </w:r>
      <w:r w:rsidR="00260C1E">
        <w:t>n</w:t>
      </w:r>
      <w:r w:rsidR="00DE2D60" w:rsidRPr="00DE2D60">
        <w:t>ě potvrdil autonomní postavení vědy v rámci přiro</w:t>
      </w:r>
      <w:r w:rsidR="00004178">
        <w:t>zeného rozumu. Škola prvního averroismu nepotřebovala</w:t>
      </w:r>
      <w:r w:rsidR="00DE2D60" w:rsidRPr="00DE2D60">
        <w:t xml:space="preserve"> mystické osvícení, aby </w:t>
      </w:r>
      <w:r w:rsidR="00004178">
        <w:t>poznala</w:t>
      </w:r>
      <w:r w:rsidR="00DE2D60" w:rsidRPr="00DE2D60">
        <w:t xml:space="preserve"> svět.  Moderna zrušila toto nezávislé postavení vědy tím, </w:t>
      </w:r>
      <w:r w:rsidR="00004178">
        <w:t>že v roce 1227 odsoudila první a</w:t>
      </w:r>
      <w:r w:rsidR="00DE2D60" w:rsidRPr="00DE2D60">
        <w:t>verroismus a začlenila přirozené znalosti do schémat</w:t>
      </w:r>
      <w:r w:rsidR="00004178">
        <w:t>u</w:t>
      </w:r>
      <w:r w:rsidR="00DE2D60" w:rsidRPr="00DE2D60">
        <w:t xml:space="preserve"> jedné onto</w:t>
      </w:r>
      <w:r w:rsidR="00004178">
        <w:t>teo</w:t>
      </w:r>
      <w:r w:rsidR="00DE2D60" w:rsidRPr="00DE2D60">
        <w:t>logické pravdy.</w:t>
      </w:r>
      <w:r w:rsidR="00EA624D">
        <w:t xml:space="preserve"> Až Galileo Galilei</w:t>
      </w:r>
      <w:r w:rsidR="00FA5EDC">
        <w:rPr>
          <w:szCs w:val="24"/>
        </w:rPr>
        <w:fldChar w:fldCharType="begin"/>
      </w:r>
      <w:r w:rsidR="00FA5EDC">
        <w:instrText xml:space="preserve"> XE "Galileo Galilei" </w:instrText>
      </w:r>
      <w:r w:rsidR="00FA5EDC">
        <w:rPr>
          <w:szCs w:val="24"/>
        </w:rPr>
        <w:fldChar w:fldCharType="end"/>
      </w:r>
      <w:r w:rsidR="00EA624D">
        <w:t xml:space="preserve"> v paduánské tradici moderního a</w:t>
      </w:r>
      <w:r w:rsidR="00EA624D" w:rsidRPr="00EA624D">
        <w:t xml:space="preserve">verroismu, zrušil toto </w:t>
      </w:r>
      <w:r w:rsidR="00FA5EDC">
        <w:t xml:space="preserve">babylónské </w:t>
      </w:r>
      <w:r w:rsidR="00EA624D" w:rsidRPr="00EA624D">
        <w:t>zajetí skutečné vědy</w:t>
      </w:r>
      <w:r w:rsidR="00FA5EDC">
        <w:t>, která se ztratila v moderním psedo-mysticismu a sofistice</w:t>
      </w:r>
      <w:r w:rsidR="00EA624D" w:rsidRPr="00EA624D">
        <w:t>.</w:t>
      </w:r>
    </w:p>
    <w:p w14:paraId="3F81FE63" w14:textId="28C2909A" w:rsidR="004E36E2" w:rsidRPr="00273106" w:rsidRDefault="00026D3F" w:rsidP="00422D58">
      <w:pPr>
        <w:ind w:firstLine="397"/>
      </w:pPr>
      <w:r>
        <w:t xml:space="preserve">Po uvedení CMDA vznikl zásadní </w:t>
      </w:r>
      <w:r w:rsidR="00F97D65" w:rsidRPr="00273106">
        <w:t xml:space="preserve">rozdíl mezi </w:t>
      </w:r>
      <w:r w:rsidR="00F97D65" w:rsidRPr="00273106">
        <w:rPr>
          <w:i/>
        </w:rPr>
        <w:t>intellectus agens</w:t>
      </w:r>
      <w:r w:rsidR="00F97D65" w:rsidRPr="00273106">
        <w:t xml:space="preserve"> jako kosmickou formo</w:t>
      </w:r>
      <w:r w:rsidR="002E0987" w:rsidRPr="00273106">
        <w:t>u a individuální schopnost</w:t>
      </w:r>
      <w:r>
        <w:t>í</w:t>
      </w:r>
      <w:r w:rsidR="00F97D65" w:rsidRPr="00273106">
        <w:t xml:space="preserve"> lidské duše</w:t>
      </w:r>
      <w:r w:rsidR="00976924">
        <w:rPr>
          <w:i/>
        </w:rPr>
        <w:fldChar w:fldCharType="begin"/>
      </w:r>
      <w:r w:rsidR="00976924">
        <w:instrText xml:space="preserve"> XE "</w:instrText>
      </w:r>
      <w:r w:rsidR="00976924" w:rsidRPr="00490D32">
        <w:rPr>
          <w:i/>
        </w:rPr>
        <w:instrText>intellectus agens</w:instrText>
      </w:r>
      <w:r w:rsidR="00976924" w:rsidRPr="00976924">
        <w:instrText>:</w:instrText>
      </w:r>
      <w:r w:rsidR="002E3B62">
        <w:instrText>Averroes</w:instrText>
      </w:r>
      <w:r w:rsidR="00976924">
        <w:instrText xml:space="preserve">" </w:instrText>
      </w:r>
      <w:r w:rsidR="00976924">
        <w:rPr>
          <w:i/>
        </w:rPr>
        <w:fldChar w:fldCharType="end"/>
      </w:r>
      <w:r w:rsidR="00F97D65" w:rsidRPr="00273106">
        <w:t xml:space="preserve">. </w:t>
      </w:r>
      <w:r w:rsidR="00DB3003" w:rsidRPr="00273106">
        <w:t xml:space="preserve">Oddělený </w:t>
      </w:r>
      <w:r w:rsidR="00DB3003"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0DB3003" w:rsidRPr="00273106">
        <w:rPr>
          <w:i/>
        </w:rPr>
        <w:t xml:space="preserve"> </w:t>
      </w:r>
      <w:r w:rsidR="00DB3003" w:rsidRPr="00273106">
        <w:t xml:space="preserve">v lidské duši nemá jak </w:t>
      </w:r>
      <w:r w:rsidR="007B55F0">
        <w:t xml:space="preserve">přirozeně </w:t>
      </w:r>
      <w:r w:rsidR="00DB3003" w:rsidRPr="00273106">
        <w:t xml:space="preserve">působit, </w:t>
      </w:r>
      <w:r w:rsidR="00DB3003">
        <w:t xml:space="preserve">protože </w:t>
      </w:r>
      <w:r w:rsidR="00DB3003" w:rsidRPr="00273106">
        <w:t xml:space="preserve">chybí mediace skrze </w:t>
      </w:r>
      <w:r w:rsidR="00DB3003" w:rsidRPr="00273106">
        <w:rPr>
          <w:i/>
        </w:rPr>
        <w:t>intellectus</w:t>
      </w:r>
      <w:r w:rsidR="00DB3003">
        <w:rPr>
          <w:i/>
        </w:rPr>
        <w:t xml:space="preserve"> possibilis</w:t>
      </w:r>
      <w:r w:rsidR="00DB3003" w:rsidRPr="00273106">
        <w:t xml:space="preserve">. </w:t>
      </w:r>
      <w:r w:rsidR="003E4A8F">
        <w:t xml:space="preserve">Blundův </w:t>
      </w:r>
      <w:r w:rsidR="003E4A8F" w:rsidRPr="003E4A8F">
        <w:rPr>
          <w:i/>
        </w:rPr>
        <w:t>intellectus formalis</w:t>
      </w:r>
      <w:r w:rsidR="003E4A8F">
        <w:t xml:space="preserve"> je nepo</w:t>
      </w:r>
      <w:r w:rsidR="000F0E29">
        <w:t>p</w:t>
      </w:r>
      <w:r w:rsidR="003E4A8F">
        <w:t>saný list, protože poznávací formy bere ze smyslové představivosti skrze dvojí typ intencionality (kap.</w:t>
      </w:r>
      <w:r w:rsidR="0876752F">
        <w:t xml:space="preserve"> 2</w:t>
      </w:r>
      <w:r w:rsidR="003E4A8F">
        <w:t xml:space="preserve">.1.1). Pak je jasné, že </w:t>
      </w:r>
      <w:r w:rsidR="003E4A8F" w:rsidRPr="003E4A8F">
        <w:rPr>
          <w:i/>
        </w:rPr>
        <w:t>intelle</w:t>
      </w:r>
      <w:r w:rsidR="003E4A8F">
        <w:rPr>
          <w:i/>
        </w:rPr>
        <w:t>c</w:t>
      </w:r>
      <w:r w:rsidR="003E4A8F" w:rsidRPr="003E4A8F">
        <w:rPr>
          <w:i/>
        </w:rPr>
        <w:t>tus adeptus</w:t>
      </w:r>
      <w:r w:rsidR="003E4A8F">
        <w:t xml:space="preserve"> Avicenny nemůže být spojen s kosmickým intelektem, protože by musel mít vlastní substanci a tím i vlastní aktualitu. </w:t>
      </w:r>
      <w:r w:rsidR="000F580D">
        <w:t xml:space="preserve">Viz klíčovou polemiku CMDA s pojetím odděleného </w:t>
      </w:r>
      <w:r w:rsidR="08585781" w:rsidRPr="08585781">
        <w:rPr>
          <w:i/>
        </w:rPr>
        <w:t>intellectus possibilis</w:t>
      </w:r>
      <w:r w:rsidR="08585781">
        <w:t xml:space="preserve"> </w:t>
      </w:r>
      <w:r w:rsidR="000F580D">
        <w:t>u Alexandra</w:t>
      </w:r>
      <w:r w:rsidR="00955903">
        <w:fldChar w:fldCharType="begin"/>
      </w:r>
      <w:r w:rsidR="00955903">
        <w:instrText xml:space="preserve"> XE "Alexander, Afrodisias" </w:instrText>
      </w:r>
      <w:r w:rsidR="00955903">
        <w:fldChar w:fldCharType="end"/>
      </w:r>
      <w:r w:rsidR="000F580D">
        <w:t xml:space="preserve"> a Themistia</w:t>
      </w:r>
      <w:r w:rsidR="008702D7">
        <w:fldChar w:fldCharType="begin"/>
      </w:r>
      <w:r w:rsidR="008702D7">
        <w:instrText xml:space="preserve"> XE "</w:instrText>
      </w:r>
      <w:r w:rsidR="008702D7" w:rsidRPr="002255E5">
        <w:instrText>Themistius</w:instrText>
      </w:r>
      <w:r w:rsidR="008702D7">
        <w:instrText xml:space="preserve">" </w:instrText>
      </w:r>
      <w:r w:rsidR="008702D7">
        <w:fldChar w:fldCharType="end"/>
      </w:r>
      <w:r w:rsidR="000F580D">
        <w:t xml:space="preserve"> (</w:t>
      </w:r>
      <w:r w:rsidR="08CE1EBE">
        <w:t>OBJ I</w:t>
      </w:r>
      <w:r w:rsidR="08B80AF8">
        <w:t xml:space="preserve">, </w:t>
      </w:r>
      <w:r w:rsidR="000F580D">
        <w:t>kap. 2.4.2)</w:t>
      </w:r>
      <w:r w:rsidR="002B695E">
        <w:t xml:space="preserve">. </w:t>
      </w:r>
      <w:r w:rsidR="08E148F2">
        <w:t xml:space="preserve">Alvernus </w:t>
      </w:r>
      <w:r w:rsidR="004E36E2" w:rsidRPr="00273106">
        <w:t>se drží schématu prvního averroismu</w:t>
      </w:r>
      <w:r w:rsidR="00006730">
        <w:t xml:space="preserve"> podle vlastního spisu </w:t>
      </w:r>
      <w:r w:rsidR="00006730" w:rsidRPr="00675E1E">
        <w:rPr>
          <w:i/>
        </w:rPr>
        <w:t>De potenciis animae et obiectis</w:t>
      </w:r>
      <w:r w:rsidR="08E45B38">
        <w:t xml:space="preserve">. Tento spis odmítá </w:t>
      </w:r>
      <w:r w:rsidR="00F97D65" w:rsidRPr="00273106">
        <w:t xml:space="preserve">univoční pojetí činného intelektu </w:t>
      </w:r>
      <w:r w:rsidR="00D9504D" w:rsidRPr="00273106">
        <w:t xml:space="preserve">jako omyl Avicenny </w:t>
      </w:r>
      <w:r w:rsidR="08E45B38">
        <w:t>(kap. 2</w:t>
      </w:r>
      <w:r w:rsidR="004E36E2" w:rsidRPr="00273106">
        <w:t>.2</w:t>
      </w:r>
      <w:r w:rsidR="085022FC">
        <w:t>.2</w:t>
      </w:r>
      <w:r w:rsidR="004E36E2" w:rsidRPr="00273106">
        <w:t xml:space="preserve">). Oko vnímá barvy skrze </w:t>
      </w:r>
      <w:r w:rsidR="004E36E2" w:rsidRPr="00273106">
        <w:lastRenderedPageBreak/>
        <w:t xml:space="preserve">diafanum a intelekt </w:t>
      </w:r>
      <w:r w:rsidR="006112C2" w:rsidRPr="00273106">
        <w:t xml:space="preserve">syntetizuje </w:t>
      </w:r>
      <w:r w:rsidR="004E36E2" w:rsidRPr="00273106">
        <w:t xml:space="preserve">inteligibilní species skrze </w:t>
      </w:r>
      <w:r w:rsidR="004E36E2" w:rsidRPr="00273106">
        <w:rPr>
          <w:i/>
        </w:rPr>
        <w:t>intel</w:t>
      </w:r>
      <w:r w:rsidR="00D4174E">
        <w:rPr>
          <w:i/>
        </w:rPr>
        <w:t>l</w:t>
      </w:r>
      <w:r w:rsidR="004E36E2" w:rsidRPr="00273106">
        <w:rPr>
          <w:i/>
        </w:rPr>
        <w:t>ectus possibilis</w:t>
      </w:r>
      <w:r w:rsidR="00E93A1D">
        <w:t xml:space="preserve"> jako osobní schopnosti duše.</w:t>
      </w:r>
      <w:r w:rsidR="00BE534F" w:rsidRPr="00BE534F">
        <w:t xml:space="preserve"> </w:t>
      </w:r>
      <w:r w:rsidR="00BE534F">
        <w:t>Odvolání</w:t>
      </w:r>
      <w:r w:rsidR="08EC3A40">
        <w:t xml:space="preserve"> na Averroe</w:t>
      </w:r>
      <w:r w:rsidR="00BE534F" w:rsidRPr="00273106">
        <w:t xml:space="preserve">sův výklad </w:t>
      </w:r>
      <w:r w:rsidR="00BE534F">
        <w:rPr>
          <w:i/>
        </w:rPr>
        <w:t>De a</w:t>
      </w:r>
      <w:r w:rsidR="00BE534F" w:rsidRPr="00273106">
        <w:rPr>
          <w:i/>
        </w:rPr>
        <w:t>nima</w:t>
      </w:r>
      <w:r w:rsidR="00BE534F" w:rsidRPr="00273106">
        <w:t xml:space="preserve"> </w:t>
      </w:r>
      <w:r w:rsidR="00BE534F">
        <w:t xml:space="preserve">zrušilo </w:t>
      </w:r>
      <w:r w:rsidR="00BE534F" w:rsidRPr="00273106">
        <w:t xml:space="preserve">základní </w:t>
      </w:r>
      <w:r w:rsidR="00BE534F">
        <w:t xml:space="preserve">poznávací </w:t>
      </w:r>
      <w:r w:rsidR="00BE534F" w:rsidRPr="00273106">
        <w:t xml:space="preserve">schéma avicennismu, </w:t>
      </w:r>
      <w:r w:rsidR="00BE534F">
        <w:t xml:space="preserve">tedy </w:t>
      </w:r>
      <w:r w:rsidR="00BE534F" w:rsidRPr="00273106">
        <w:t xml:space="preserve"> přímé působení oddělených forem na lidský intelekt.</w:t>
      </w:r>
    </w:p>
    <w:p w14:paraId="7908E385" w14:textId="7EC83469" w:rsidR="004E36E2" w:rsidRPr="00273106" w:rsidRDefault="004E36E2" w:rsidP="00210C0E">
      <w:pPr>
        <w:pStyle w:val="Citace"/>
        <w:rPr>
          <w:noProof/>
        </w:rPr>
      </w:pPr>
      <w:r w:rsidRPr="00273106">
        <w:rPr>
          <w:noProof/>
        </w:rPr>
        <w:t>„</w:t>
      </w:r>
      <w:r w:rsidR="00210C0E">
        <w:t>Vrátím se k tomu, abych pokračoval v již řečeném ohledně Aristotelova názoru na činný intelekt.</w:t>
      </w:r>
      <w:r w:rsidR="08BE20EB">
        <w:rPr>
          <w:lang w:val="cs-CZ"/>
        </w:rPr>
        <w:t xml:space="preserve"> </w:t>
      </w:r>
      <w:r w:rsidR="0008487D">
        <w:rPr>
          <w:noProof/>
        </w:rPr>
        <w:t xml:space="preserve">Platí, že </w:t>
      </w:r>
      <w:r w:rsidRPr="00273106">
        <w:rPr>
          <w:noProof/>
        </w:rPr>
        <w:t xml:space="preserve">schopnost </w:t>
      </w:r>
      <w:r w:rsidR="0008487D">
        <w:rPr>
          <w:noProof/>
          <w:lang w:val="cs-CZ"/>
        </w:rPr>
        <w:t xml:space="preserve">vidět </w:t>
      </w:r>
      <w:r w:rsidRPr="00273106">
        <w:rPr>
          <w:noProof/>
        </w:rPr>
        <w:t xml:space="preserve">není </w:t>
      </w:r>
      <w:r w:rsidR="00C86A7B" w:rsidRPr="00273106">
        <w:rPr>
          <w:noProof/>
        </w:rPr>
        <w:t xml:space="preserve">v </w:t>
      </w:r>
      <w:r w:rsidRPr="00273106">
        <w:rPr>
          <w:noProof/>
        </w:rPr>
        <w:t xml:space="preserve">samotném viditelném slunci, </w:t>
      </w:r>
      <w:r w:rsidR="0008487D">
        <w:rPr>
          <w:noProof/>
          <w:lang w:val="cs-CZ"/>
        </w:rPr>
        <w:t xml:space="preserve">a stejně </w:t>
      </w:r>
      <w:r w:rsidRPr="00273106">
        <w:rPr>
          <w:noProof/>
        </w:rPr>
        <w:t xml:space="preserve">barevné </w:t>
      </w:r>
      <w:r w:rsidR="00BE6738" w:rsidRPr="00273106">
        <w:rPr>
          <w:noProof/>
        </w:rPr>
        <w:t xml:space="preserve">sklo ve vitráži, či jiná hmota působením světla </w:t>
      </w:r>
      <w:r w:rsidR="0008487D">
        <w:rPr>
          <w:noProof/>
          <w:lang w:val="cs-CZ"/>
        </w:rPr>
        <w:t xml:space="preserve">nezáří </w:t>
      </w:r>
      <w:r w:rsidR="00BE6738" w:rsidRPr="00273106">
        <w:rPr>
          <w:noProof/>
        </w:rPr>
        <w:t xml:space="preserve">sama od sebe. Děje se tak </w:t>
      </w:r>
      <w:r w:rsidRPr="00273106">
        <w:rPr>
          <w:noProof/>
        </w:rPr>
        <w:t>dopad</w:t>
      </w:r>
      <w:r w:rsidR="00BE6738" w:rsidRPr="00273106">
        <w:rPr>
          <w:noProof/>
        </w:rPr>
        <w:t xml:space="preserve">em vyzářeného </w:t>
      </w:r>
      <w:r w:rsidR="008868A5" w:rsidRPr="00273106">
        <w:rPr>
          <w:noProof/>
        </w:rPr>
        <w:t xml:space="preserve">slunečního </w:t>
      </w:r>
      <w:r w:rsidRPr="00273106">
        <w:rPr>
          <w:noProof/>
        </w:rPr>
        <w:t xml:space="preserve">světla </w:t>
      </w:r>
      <w:r w:rsidR="00BE6738" w:rsidRPr="00273106">
        <w:rPr>
          <w:noProof/>
        </w:rPr>
        <w:t>n</w:t>
      </w:r>
      <w:r w:rsidRPr="00273106">
        <w:rPr>
          <w:noProof/>
        </w:rPr>
        <w:t xml:space="preserve">a </w:t>
      </w:r>
      <w:r w:rsidR="00BE6738" w:rsidRPr="00273106">
        <w:rPr>
          <w:noProof/>
        </w:rPr>
        <w:t xml:space="preserve">smyslově danou </w:t>
      </w:r>
      <w:r w:rsidRPr="00273106">
        <w:rPr>
          <w:noProof/>
        </w:rPr>
        <w:t xml:space="preserve">formu. Ani činný intelekt </w:t>
      </w:r>
      <w:r w:rsidR="003F5E35" w:rsidRPr="00273106">
        <w:rPr>
          <w:noProof/>
        </w:rPr>
        <w:t xml:space="preserve">v nás nemůže způsobit </w:t>
      </w:r>
      <w:r w:rsidRPr="00273106">
        <w:rPr>
          <w:noProof/>
        </w:rPr>
        <w:t xml:space="preserve">porozumění </w:t>
      </w:r>
      <w:r w:rsidR="003F5E35" w:rsidRPr="00273106">
        <w:rPr>
          <w:noProof/>
        </w:rPr>
        <w:t>jako jediná kauza</w:t>
      </w:r>
      <w:r w:rsidRPr="00273106">
        <w:rPr>
          <w:noProof/>
        </w:rPr>
        <w:t xml:space="preserve">, </w:t>
      </w:r>
      <w:r w:rsidR="003F5E35" w:rsidRPr="00273106">
        <w:rPr>
          <w:noProof/>
        </w:rPr>
        <w:t>která by v zrcadle našich poznávacích schopností nechala zářit nějakou inteligibilní formu</w:t>
      </w:r>
      <w:r w:rsidRPr="00273106">
        <w:rPr>
          <w:noProof/>
        </w:rPr>
        <w:t xml:space="preserve">.“ </w:t>
      </w:r>
      <w:r w:rsidRPr="00273106">
        <w:rPr>
          <w:rStyle w:val="Znakapoznpodarou"/>
          <w:noProof/>
          <w:lang w:val="cs-CZ"/>
        </w:rPr>
        <w:footnoteReference w:id="174"/>
      </w:r>
    </w:p>
    <w:p w14:paraId="650D5110" w14:textId="72515D19" w:rsidR="00816481" w:rsidRDefault="006F1A57" w:rsidP="00B233AF">
      <w:r>
        <w:t>J</w:t>
      </w:r>
      <w:r w:rsidRPr="00273106">
        <w:t>akékoliv poznané formy musí být přijaty na způsob našeho intelektu, tedy skrze mediaci</w:t>
      </w:r>
      <w:r>
        <w:t xml:space="preserve"> receptivní nemateriální složky intelektu, která je plně </w:t>
      </w:r>
      <w:r w:rsidR="0074363F">
        <w:t>osobní</w:t>
      </w:r>
      <w:r w:rsidRPr="00273106">
        <w:t xml:space="preserve">. </w:t>
      </w:r>
      <w:r w:rsidR="001D2C80">
        <w:t>S</w:t>
      </w:r>
      <w:r w:rsidR="004E36E2" w:rsidRPr="00273106">
        <w:t xml:space="preserve">lunce </w:t>
      </w:r>
      <w:r w:rsidR="003D56CE" w:rsidRPr="00273106">
        <w:t>ozáří</w:t>
      </w:r>
      <w:r w:rsidR="004E36E2" w:rsidRPr="00273106">
        <w:t xml:space="preserve"> plochu </w:t>
      </w:r>
      <w:r w:rsidR="00E765F5" w:rsidRPr="00273106">
        <w:t xml:space="preserve">následně </w:t>
      </w:r>
      <w:r w:rsidR="004E36E2" w:rsidRPr="00273106">
        <w:t>vnímanou smysly (</w:t>
      </w:r>
      <w:r w:rsidR="004E36E2" w:rsidRPr="00273106">
        <w:rPr>
          <w:i/>
        </w:rPr>
        <w:t>hoc est sola superfusione lucis suae, aliquam formam sensibilem</w:t>
      </w:r>
      <w:r w:rsidR="00E765F5" w:rsidRPr="00273106">
        <w:t xml:space="preserve">). </w:t>
      </w:r>
      <w:r w:rsidR="00A854DC">
        <w:t>Diafanum</w:t>
      </w:r>
      <w:r w:rsidR="00293D36">
        <w:fldChar w:fldCharType="begin"/>
      </w:r>
      <w:r w:rsidR="00293D36">
        <w:instrText xml:space="preserve"> XE "</w:instrText>
      </w:r>
      <w:r w:rsidR="00293D36" w:rsidRPr="005516F0">
        <w:instrText>diafanum:Alvernus</w:instrText>
      </w:r>
      <w:r w:rsidR="00293D36">
        <w:instrText xml:space="preserve">" </w:instrText>
      </w:r>
      <w:r w:rsidR="00293D36">
        <w:fldChar w:fldCharType="end"/>
      </w:r>
      <w:r w:rsidR="00A854DC">
        <w:t xml:space="preserve"> nejprve zprostředkuje přenos svě</w:t>
      </w:r>
      <w:r w:rsidR="006B6428">
        <w:t xml:space="preserve">tla na plochu a pak přenáší barevné </w:t>
      </w:r>
      <w:r w:rsidR="00A854DC">
        <w:t xml:space="preserve">světlo do oka, </w:t>
      </w:r>
      <w:r w:rsidR="08322443">
        <w:t xml:space="preserve">což Blund tvrdil </w:t>
      </w:r>
      <w:r w:rsidR="00A854DC">
        <w:t>před</w:t>
      </w:r>
      <w:r w:rsidR="083C31ED">
        <w:t xml:space="preserve"> příchodem CMDA na Západ (kap. 2</w:t>
      </w:r>
      <w:r w:rsidR="00A854DC">
        <w:t xml:space="preserve">.1). </w:t>
      </w:r>
      <w:r w:rsidR="00E765F5" w:rsidRPr="00273106">
        <w:t xml:space="preserve">Inteligibilní forma na úrovni odděleného </w:t>
      </w:r>
      <w:r w:rsidR="00E765F5" w:rsidRPr="00273106">
        <w:rPr>
          <w:i/>
        </w:rPr>
        <w:t>intellectus agens</w:t>
      </w:r>
      <w:r w:rsidR="00E765F5" w:rsidRPr="00273106">
        <w:t xml:space="preserve"> nemá sama ze sebe žádnou účinnou kauzalitu, která by založila lidské poznání </w:t>
      </w:r>
      <w:r w:rsidR="004E36E2" w:rsidRPr="00273106">
        <w:t>(</w:t>
      </w:r>
      <w:r w:rsidR="004E36E2" w:rsidRPr="00273106">
        <w:rPr>
          <w:i/>
        </w:rPr>
        <w:t>non erit igitur in intelligentia agente ex sola causa hujusmodi</w:t>
      </w:r>
      <w:r w:rsidR="004E36E2" w:rsidRPr="00273106">
        <w:t>)</w:t>
      </w:r>
      <w:r w:rsidR="00197E38" w:rsidRPr="00273106">
        <w:t xml:space="preserve">. </w:t>
      </w:r>
      <w:r w:rsidR="00075AAD" w:rsidRPr="00273106">
        <w:t xml:space="preserve">Alvernus </w:t>
      </w:r>
      <w:r w:rsidR="008244C4" w:rsidRPr="00273106">
        <w:t xml:space="preserve">ale </w:t>
      </w:r>
      <w:r w:rsidR="00075AAD" w:rsidRPr="00273106">
        <w:t xml:space="preserve">připouští </w:t>
      </w:r>
      <w:r w:rsidR="008E7FD4" w:rsidRPr="00273106">
        <w:t xml:space="preserve">stejně jako avicennisté i </w:t>
      </w:r>
      <w:r w:rsidR="00075AAD" w:rsidRPr="00273106">
        <w:t xml:space="preserve">mystické působení činného intelektu ve scénáři iluminace. Avicennova </w:t>
      </w:r>
      <w:r w:rsidR="00075AAD" w:rsidRPr="00273106">
        <w:rPr>
          <w:i/>
        </w:rPr>
        <w:t>virtus sancta</w:t>
      </w:r>
      <w:r w:rsidR="00075AAD" w:rsidRPr="00273106">
        <w:t xml:space="preserve"> osvěcuje </w:t>
      </w:r>
      <w:r w:rsidR="00085ABE" w:rsidRPr="00273106">
        <w:t>duši zvnějšku, což dokazuje prorocká zkušenost a m</w:t>
      </w:r>
      <w:r w:rsidR="00C84F35" w:rsidRPr="00273106">
        <w:t>ystické osvícení (</w:t>
      </w:r>
      <w:r w:rsidR="08CE1EBE">
        <w:t>OBJ I</w:t>
      </w:r>
      <w:r w:rsidR="08E37F90">
        <w:t xml:space="preserve">, </w:t>
      </w:r>
      <w:r w:rsidR="00C84F35" w:rsidRPr="00273106">
        <w:t xml:space="preserve">kap. 2.3.1). </w:t>
      </w:r>
      <w:r>
        <w:t>Stejnou p</w:t>
      </w:r>
      <w:r w:rsidRPr="00273106">
        <w:t xml:space="preserve">ozitivní recepci avicennovské teologie </w:t>
      </w:r>
      <w:r w:rsidR="084945C0">
        <w:t xml:space="preserve">a mystické iluminace </w:t>
      </w:r>
      <w:r>
        <w:t xml:space="preserve">má </w:t>
      </w:r>
      <w:r w:rsidRPr="00273106">
        <w:t xml:space="preserve">traktát </w:t>
      </w:r>
      <w:r w:rsidRPr="00273106">
        <w:rPr>
          <w:i/>
        </w:rPr>
        <w:t>De potenciis animae et obiectis</w:t>
      </w:r>
      <w:r>
        <w:t xml:space="preserve">, proto hermeneutika považuje Alverna za autora tohoto spisu </w:t>
      </w:r>
      <w:r w:rsidR="0881442D">
        <w:t>(kap. 2</w:t>
      </w:r>
      <w:r w:rsidRPr="00273106">
        <w:t>.2</w:t>
      </w:r>
      <w:r w:rsidR="085022FC">
        <w:t>.2</w:t>
      </w:r>
      <w:r w:rsidRPr="00273106">
        <w:t>)</w:t>
      </w:r>
      <w:r>
        <w:t xml:space="preserve">. </w:t>
      </w:r>
      <w:r w:rsidR="00D37E00">
        <w:t xml:space="preserve">To </w:t>
      </w:r>
      <w:r w:rsidR="006F435B">
        <w:t xml:space="preserve">dokazuje </w:t>
      </w:r>
      <w:r w:rsidR="00DE2C8D">
        <w:t xml:space="preserve">i </w:t>
      </w:r>
      <w:r w:rsidR="00F4123E">
        <w:t xml:space="preserve">zařazení </w:t>
      </w:r>
      <w:r w:rsidR="006F435B">
        <w:t xml:space="preserve">jeho spisů </w:t>
      </w:r>
      <w:r w:rsidR="00F4123E">
        <w:t xml:space="preserve">do jednoho konvolutu </w:t>
      </w:r>
      <w:r w:rsidR="006F435B">
        <w:t>s tímto traktátem</w:t>
      </w:r>
      <w:r w:rsidR="0025150E" w:rsidRPr="00273106">
        <w:t>.</w:t>
      </w:r>
      <w:r w:rsidR="009D1C2A">
        <w:t xml:space="preserve"> Autorství Alverna je doloženo v manuscriptu z Lincolnu</w:t>
      </w:r>
      <w:r w:rsidR="08A217E1">
        <w:t xml:space="preserve"> a také společným umístěním obou komentářů k </w:t>
      </w:r>
      <w:r w:rsidR="08A217E1" w:rsidRPr="08A217E1">
        <w:rPr>
          <w:i/>
        </w:rPr>
        <w:t>De anima</w:t>
      </w:r>
      <w:r w:rsidR="08A217E1">
        <w:t xml:space="preserve"> </w:t>
      </w:r>
      <w:r w:rsidR="009D1C2A">
        <w:t>v konvolutu Alverniových spisů dochovaných v Balliolské knihovně.</w:t>
      </w:r>
      <w:r w:rsidR="08A9757C">
        <w:t xml:space="preserve"> Proto je i podle Calluse pařížský biskup nejvhodnější kandidát na autorství podle formálních kritérií.</w:t>
      </w:r>
      <w:r w:rsidR="08A9757C" w:rsidRPr="00273106">
        <w:rPr>
          <w:rStyle w:val="Znakapoznpodarou"/>
        </w:rPr>
        <w:footnoteReference w:id="175"/>
      </w:r>
      <w:r w:rsidR="08A9757C">
        <w:t xml:space="preserve"> </w:t>
      </w:r>
      <w:r w:rsidR="00961B19" w:rsidRPr="00273106">
        <w:t xml:space="preserve">Pařížský biskup hájí Aristotela z </w:t>
      </w:r>
      <w:r w:rsidR="00961B19">
        <w:rPr>
          <w:i/>
        </w:rPr>
        <w:t>De a</w:t>
      </w:r>
      <w:r w:rsidR="00961B19" w:rsidRPr="00273106">
        <w:rPr>
          <w:i/>
        </w:rPr>
        <w:t>nima</w:t>
      </w:r>
      <w:r w:rsidR="00961B19" w:rsidRPr="00273106">
        <w:t xml:space="preserve"> </w:t>
      </w:r>
      <w:r w:rsidR="08FE12C2">
        <w:t xml:space="preserve">a přírodovědných spisů </w:t>
      </w:r>
      <w:r w:rsidR="00961B19" w:rsidRPr="00273106">
        <w:t xml:space="preserve">proti </w:t>
      </w:r>
      <w:r w:rsidR="00541D32">
        <w:t>neoplatonskému</w:t>
      </w:r>
      <w:r w:rsidR="00961B19" w:rsidRPr="00273106">
        <w:t xml:space="preserve"> Aristotelovi</w:t>
      </w:r>
      <w:r w:rsidR="00961B19">
        <w:t xml:space="preserve"> z </w:t>
      </w:r>
      <w:r w:rsidR="00961B19">
        <w:lastRenderedPageBreak/>
        <w:t xml:space="preserve">pseudoaristotelských spisů typu </w:t>
      </w:r>
      <w:r w:rsidR="00961B19">
        <w:rPr>
          <w:i/>
        </w:rPr>
        <w:t>De m</w:t>
      </w:r>
      <w:r w:rsidR="00961B19" w:rsidRPr="00273106">
        <w:rPr>
          <w:i/>
        </w:rPr>
        <w:t>undo</w:t>
      </w:r>
      <w:r w:rsidR="00961B19">
        <w:rPr>
          <w:i/>
        </w:rPr>
        <w:t xml:space="preserve"> </w:t>
      </w:r>
      <w:r w:rsidR="00961B19" w:rsidRPr="00D70A9F">
        <w:t xml:space="preserve">a </w:t>
      </w:r>
      <w:r w:rsidR="00961B19">
        <w:rPr>
          <w:i/>
        </w:rPr>
        <w:t>Liber de causis</w:t>
      </w:r>
      <w:r w:rsidR="00961B19" w:rsidRPr="00273106">
        <w:t xml:space="preserve">. </w:t>
      </w:r>
      <w:r w:rsidR="006F62DA" w:rsidRPr="00273106">
        <w:t>Bez individuálního činného inte</w:t>
      </w:r>
      <w:r w:rsidR="00710814">
        <w:t>le</w:t>
      </w:r>
      <w:r w:rsidR="006F62DA" w:rsidRPr="00273106">
        <w:t>ktu by intelekt v člo</w:t>
      </w:r>
      <w:r w:rsidR="0862704D">
        <w:t>věku byl pouze pasivním příjemcem forem vtisklých do duše skrze oddělený kosmický činný intelekt</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06F62DA" w:rsidRPr="00273106">
        <w:t>.</w:t>
      </w:r>
      <w:r w:rsidR="08A9757C">
        <w:t xml:space="preserve"> </w:t>
      </w:r>
      <w:r w:rsidR="0851615F" w:rsidRPr="00273106">
        <w:t xml:space="preserve">Přesná kritika tehdejších avicennistů ukazuje vynikající interpretační výkon </w:t>
      </w:r>
      <w:r w:rsidR="0817581B">
        <w:t xml:space="preserve">tohoto filosofa, který patřil k nejlepším žákům </w:t>
      </w:r>
      <w:r w:rsidR="0851615F" w:rsidRPr="00273106">
        <w:t xml:space="preserve">Johna Blunda. </w:t>
      </w:r>
      <w:r w:rsidR="006F62DA" w:rsidRPr="00273106">
        <w:t>Toto substanční pojetí našeho intelektu jako pasivního zrc</w:t>
      </w:r>
      <w:r w:rsidR="00496676">
        <w:t xml:space="preserve">adla hájili Alvernem odmítnutí </w:t>
      </w:r>
      <w:r w:rsidR="006F62DA" w:rsidRPr="00273106">
        <w:rPr>
          <w:i/>
        </w:rPr>
        <w:t>sophistae Latini</w:t>
      </w:r>
      <w:r w:rsidR="005109BC">
        <w:rPr>
          <w:i/>
        </w:rPr>
        <w:fldChar w:fldCharType="begin"/>
      </w:r>
      <w:r w:rsidR="005109BC">
        <w:instrText xml:space="preserve"> XE "</w:instrText>
      </w:r>
      <w:r w:rsidR="00293D36">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6F62DA" w:rsidRPr="00273106">
        <w:t>.</w:t>
      </w:r>
      <w:r w:rsidR="08A9757C">
        <w:t xml:space="preserve"> </w:t>
      </w:r>
      <w:r w:rsidR="08152DD9">
        <w:t xml:space="preserve">Typickým představitelem této školy byl </w:t>
      </w:r>
      <w:r w:rsidR="00E3180A">
        <w:t xml:space="preserve">Rufus z Cornwallu </w:t>
      </w:r>
      <w:r w:rsidR="08152DD9">
        <w:t xml:space="preserve">s </w:t>
      </w:r>
      <w:r w:rsidR="00E3180A">
        <w:t>jeho spekulativní</w:t>
      </w:r>
      <w:r w:rsidR="08152DD9">
        <w:t>m</w:t>
      </w:r>
      <w:r w:rsidR="006F62DA" w:rsidRPr="00273106">
        <w:t xml:space="preserve"> pojetí</w:t>
      </w:r>
      <w:r w:rsidR="08152DD9">
        <w:t>m</w:t>
      </w:r>
      <w:r w:rsidR="006F62DA" w:rsidRPr="00273106">
        <w:t xml:space="preserve"> intelektu jako zrcadla.</w:t>
      </w:r>
      <w:r w:rsidR="08152DD9" w:rsidRPr="00273106">
        <w:rPr>
          <w:rStyle w:val="Znakapoznpodarou"/>
        </w:rPr>
        <w:footnoteReference w:id="176"/>
      </w:r>
      <w:r w:rsidR="006F62DA" w:rsidRPr="00273106">
        <w:t xml:space="preserve"> </w:t>
      </w:r>
      <w:r w:rsidR="00FE6B92">
        <w:t xml:space="preserve">Alvernův </w:t>
      </w:r>
      <w:r w:rsidR="00F6243E">
        <w:t>k</w:t>
      </w:r>
      <w:r w:rsidR="002523A6" w:rsidRPr="00273106">
        <w:t xml:space="preserve">omentář k </w:t>
      </w:r>
      <w:r w:rsidR="00B713C5">
        <w:rPr>
          <w:i/>
        </w:rPr>
        <w:t>De anima</w:t>
      </w:r>
      <w:r w:rsidR="002523A6" w:rsidRPr="00273106">
        <w:t xml:space="preserve"> </w:t>
      </w:r>
      <w:r w:rsidR="004E36E2" w:rsidRPr="00273106">
        <w:t>načrtává dvojí výklad Aristotela</w:t>
      </w:r>
      <w:r w:rsidR="002523A6" w:rsidRPr="00273106">
        <w:t xml:space="preserve">. </w:t>
      </w:r>
      <w:r w:rsidR="00622E11" w:rsidRPr="00273106">
        <w:t xml:space="preserve">Nový statut receptivního intelektu v duši tvoří mezník mezi </w:t>
      </w:r>
      <w:r w:rsidR="002E3B62">
        <w:t>Averroes</w:t>
      </w:r>
      <w:r w:rsidR="00622E11" w:rsidRPr="00273106">
        <w:t xml:space="preserve">ovým CMDA na jedné straně, a mezi </w:t>
      </w:r>
      <w:r w:rsidR="00874074">
        <w:t>neoplatonsk</w:t>
      </w:r>
      <w:r w:rsidR="00622E11" w:rsidRPr="00273106">
        <w:t>ými výklady opřenými o aristotelskou kosmologii</w:t>
      </w:r>
      <w:r w:rsidR="009E1C05">
        <w:t xml:space="preserve"> danou emanačně</w:t>
      </w:r>
      <w:r w:rsidR="00622E11" w:rsidRPr="00273106">
        <w:t xml:space="preserve">. </w:t>
      </w:r>
      <w:r w:rsidR="003A0A4D">
        <w:t>Po roce 1230 se rozběhl prv</w:t>
      </w:r>
      <w:r w:rsidR="08C27BF8">
        <w:t>ní spor o správný výklad Averroe</w:t>
      </w:r>
      <w:r w:rsidR="003A0A4D">
        <w:t xml:space="preserve">se, který biskup Alvernus </w:t>
      </w:r>
      <w:r w:rsidR="08C91D21">
        <w:t>filosoficky a i</w:t>
      </w:r>
      <w:r w:rsidR="004D7FEC">
        <w:t>nstitu</w:t>
      </w:r>
      <w:r w:rsidR="08C91D21">
        <w:t xml:space="preserve">cionálně </w:t>
      </w:r>
      <w:r w:rsidR="003A0A4D">
        <w:t xml:space="preserve">rozhodl proti modernistům z Toledské školy. Nejspíš tím zachránil Západu </w:t>
      </w:r>
      <w:r w:rsidR="0849640B">
        <w:t>zbytek kritického</w:t>
      </w:r>
      <w:r w:rsidR="003A0A4D">
        <w:t xml:space="preserve"> rozum</w:t>
      </w:r>
      <w:r w:rsidR="08D5174B">
        <w:t>u</w:t>
      </w:r>
      <w:r w:rsidR="003A0A4D">
        <w:t xml:space="preserve"> a </w:t>
      </w:r>
      <w:r w:rsidR="0849640B">
        <w:t xml:space="preserve">zcela jistě také </w:t>
      </w:r>
      <w:r w:rsidR="003A0A4D">
        <w:t>aristotelské pojetí vědy</w:t>
      </w:r>
      <w:r w:rsidR="0849640B">
        <w:t xml:space="preserve">. </w:t>
      </w:r>
      <w:r w:rsidR="088879B3">
        <w:t>Alvernovy filos</w:t>
      </w:r>
      <w:r w:rsidR="08530401">
        <w:t>ofic</w:t>
      </w:r>
      <w:r w:rsidR="088879B3">
        <w:t xml:space="preserve">ké </w:t>
      </w:r>
      <w:r w:rsidR="003A0A4D">
        <w:t xml:space="preserve">postoje hájili od </w:t>
      </w:r>
      <w:r w:rsidR="08590748">
        <w:t xml:space="preserve">roku </w:t>
      </w:r>
      <w:r w:rsidR="003A0A4D">
        <w:t xml:space="preserve">1240 v Paříži </w:t>
      </w:r>
      <w:r w:rsidR="0849640B">
        <w:t>za jeho pontifikátu Roger Bacon a Albert Veliký</w:t>
      </w:r>
      <w:r w:rsidR="08D5174B">
        <w:t xml:space="preserve">. Oba jeho </w:t>
      </w:r>
      <w:r w:rsidR="0849640B">
        <w:t xml:space="preserve">akademičtí chráněnci </w:t>
      </w:r>
      <w:r w:rsidR="08B70922">
        <w:t xml:space="preserve">absolvující v této době magisterská studia </w:t>
      </w:r>
      <w:r w:rsidR="081D63C6">
        <w:t xml:space="preserve">v Paříži </w:t>
      </w:r>
      <w:r w:rsidR="08D5174B">
        <w:t xml:space="preserve">byli </w:t>
      </w:r>
      <w:r w:rsidR="0849640B">
        <w:t xml:space="preserve">již tehdy známí jako </w:t>
      </w:r>
      <w:r w:rsidR="004D7FEC">
        <w:t xml:space="preserve">brilantní </w:t>
      </w:r>
      <w:r w:rsidR="003A0A4D">
        <w:t>mladí učenci.</w:t>
      </w:r>
    </w:p>
    <w:p w14:paraId="4AEBB472" w14:textId="04A03CB3" w:rsidR="00B233AF" w:rsidRPr="00273106" w:rsidRDefault="00816481" w:rsidP="00B233AF">
      <w:r>
        <w:tab/>
        <w:t xml:space="preserve">Pro hermeneutiku je klíčová Alvernova obrana </w:t>
      </w:r>
      <w:r w:rsidRPr="00273106">
        <w:t>nasvícení zepředu skrze aktuálně danou věc zprostředkovanou smysly.</w:t>
      </w:r>
      <w:r>
        <w:t xml:space="preserve"> </w:t>
      </w:r>
      <w:r w:rsidRPr="00273106">
        <w:t xml:space="preserve">Nasvícení intelektu směrem od věci dokládají </w:t>
      </w:r>
      <w:r>
        <w:t xml:space="preserve">už </w:t>
      </w:r>
      <w:r w:rsidRPr="00273106">
        <w:t xml:space="preserve">Alvernovy první spisy psané po roce 1220, tedy před importem </w:t>
      </w:r>
      <w:r>
        <w:t>sicilského Averroes</w:t>
      </w:r>
      <w:r w:rsidRPr="00273106">
        <w:t>e na latinský Západ. Věc je navícená pouze od reálné věci, protože mysl nemá jak přijmout původní aktuální, nedělitelné a jednoduché bytí věci (</w:t>
      </w:r>
      <w:r w:rsidRPr="00273106">
        <w:rPr>
          <w:i/>
        </w:rPr>
        <w:t>in nullius ratione accipitur esse</w:t>
      </w:r>
      <w:r w:rsidRPr="00273106">
        <w:t>).</w:t>
      </w:r>
      <w:r w:rsidRPr="00273106">
        <w:rPr>
          <w:rStyle w:val="Znakapoznpodarou"/>
        </w:rPr>
        <w:footnoteReference w:id="177"/>
      </w:r>
      <w:r>
        <w:t xml:space="preserve"> Alvernus vychází z pojetí Blunda, jehož škola založila první averroismus. </w:t>
      </w:r>
      <w:r w:rsidR="00214A7D" w:rsidRPr="00273106">
        <w:t xml:space="preserve">Hraniční linii </w:t>
      </w:r>
      <w:r w:rsidR="00214A7D">
        <w:t xml:space="preserve">mezi Avicennou a Averroesem </w:t>
      </w:r>
      <w:r w:rsidR="00214A7D" w:rsidRPr="00273106">
        <w:t>tvoří teze o spojení smyslového a intelektuálního poznání</w:t>
      </w:r>
      <w:r w:rsidR="00214A7D">
        <w:t xml:space="preserve"> daného adekvační teorií pravdy (Averroesovo </w:t>
      </w:r>
      <w:r w:rsidR="00214A7D" w:rsidRPr="00EF6917">
        <w:rPr>
          <w:i/>
        </w:rPr>
        <w:t>propo</w:t>
      </w:r>
      <w:r w:rsidR="00214A7D">
        <w:rPr>
          <w:i/>
        </w:rPr>
        <w:t>r</w:t>
      </w:r>
      <w:r w:rsidR="00214A7D" w:rsidRPr="00EF6917">
        <w:rPr>
          <w:i/>
        </w:rPr>
        <w:t>tio</w:t>
      </w:r>
      <w:r w:rsidR="00214A7D">
        <w:t>)</w:t>
      </w:r>
      <w:r w:rsidR="00214A7D" w:rsidRPr="00273106">
        <w:t>.</w:t>
      </w:r>
      <w:r w:rsidR="00214A7D">
        <w:t xml:space="preserve"> </w:t>
      </w:r>
      <w:r w:rsidR="008477C6" w:rsidRPr="00273106">
        <w:t xml:space="preserve">Proto </w:t>
      </w:r>
      <w:r w:rsidR="002E3B62">
        <w:t>Averroes</w:t>
      </w:r>
      <w:r w:rsidR="008477C6" w:rsidRPr="00273106">
        <w:t xml:space="preserve"> nepatří do stejné skupiny </w:t>
      </w:r>
      <w:r w:rsidR="008477C6" w:rsidRPr="00273106">
        <w:lastRenderedPageBreak/>
        <w:t>následovníků Stagirity jako Avicenna</w:t>
      </w:r>
      <w:r w:rsidR="00EF6917">
        <w:t>, jak tvrdí někteří současní autoři. Podle nich má Alvernus pojetí duše podle Avicenny a je předchůdcem 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EF6917">
        <w:t xml:space="preserve"> (Bazán 1969, 43‒48). </w:t>
      </w:r>
      <w:r w:rsidR="08530401">
        <w:t>Alvernův k</w:t>
      </w:r>
      <w:r w:rsidR="00C616EA">
        <w:t xml:space="preserve">omentář </w:t>
      </w:r>
      <w:r w:rsidRPr="00816481">
        <w:rPr>
          <w:i/>
        </w:rPr>
        <w:t>De anima</w:t>
      </w:r>
      <w:r>
        <w:t xml:space="preserve"> ale </w:t>
      </w:r>
      <w:r w:rsidR="00C616EA">
        <w:t>výslovně tvrdí</w:t>
      </w:r>
      <w:r>
        <w:t xml:space="preserve"> v sicilské linii CMDA</w:t>
      </w:r>
      <w:r w:rsidR="00C616EA">
        <w:t xml:space="preserve">, že intelektuální poznání bez </w:t>
      </w:r>
      <w:r w:rsidR="00353743">
        <w:t xml:space="preserve">smyslových vněmů </w:t>
      </w:r>
      <w:r w:rsidR="00C616EA">
        <w:t>není možné</w:t>
      </w:r>
      <w:r w:rsidR="0040663C">
        <w:t xml:space="preserve"> </w:t>
      </w:r>
      <w:r w:rsidR="0040663C" w:rsidRPr="00273106">
        <w:t>(</w:t>
      </w:r>
      <w:r w:rsidR="009E7201" w:rsidRPr="00F75F9F">
        <w:rPr>
          <w:i/>
        </w:rPr>
        <w:t>non est possibile animam intelligere sine phantasmate</w:t>
      </w:r>
      <w:r w:rsidR="0040663C" w:rsidRPr="00273106">
        <w:t>)</w:t>
      </w:r>
      <w:r w:rsidR="00C616EA">
        <w:t>.</w:t>
      </w:r>
      <w:r w:rsidR="008B3387">
        <w:rPr>
          <w:rStyle w:val="Znakapoznpodarou"/>
        </w:rPr>
        <w:footnoteReference w:id="178"/>
      </w:r>
      <w:r w:rsidR="008B3387" w:rsidRPr="00273106">
        <w:t xml:space="preserve"> </w:t>
      </w:r>
      <w:r w:rsidR="00475CBE">
        <w:t>Definice p</w:t>
      </w:r>
      <w:r w:rsidR="00CD0D6B">
        <w:t xml:space="preserve">oznání v prvním averroismu </w:t>
      </w:r>
      <w:r w:rsidR="08110C95">
        <w:t xml:space="preserve">odmítla učení </w:t>
      </w:r>
      <w:r w:rsidR="00CD0D6B" w:rsidRPr="00273106">
        <w:rPr>
          <w:i/>
        </w:rPr>
        <w:t>sequaces Aristotelis</w:t>
      </w:r>
      <w:r w:rsidR="00BB1AC2">
        <w:rPr>
          <w:i/>
        </w:rPr>
        <w:fldChar w:fldCharType="begin"/>
      </w:r>
      <w:r w:rsidR="00BB1AC2">
        <w:instrText xml:space="preserve"> XE "</w:instrText>
      </w:r>
      <w:r w:rsidR="002E6019">
        <w:instrText>druhý averroismus:</w:instrText>
      </w:r>
      <w:r w:rsidR="00BB1AC2" w:rsidRPr="00B81DDF">
        <w:rPr>
          <w:i/>
        </w:rPr>
        <w:instrText>sequaces Aristotelis</w:instrText>
      </w:r>
      <w:r w:rsidR="00BB1AC2">
        <w:instrText xml:space="preserve">" </w:instrText>
      </w:r>
      <w:r w:rsidR="00BB1AC2">
        <w:rPr>
          <w:i/>
        </w:rPr>
        <w:fldChar w:fldCharType="end"/>
      </w:r>
      <w:r w:rsidR="00CD0D6B" w:rsidRPr="00273106">
        <w:t xml:space="preserve"> o odděleném </w:t>
      </w:r>
      <w:r w:rsidR="00CD0D6B" w:rsidRPr="00273106">
        <w:rPr>
          <w:i/>
        </w:rPr>
        <w:t>intellectus agens</w:t>
      </w:r>
      <w:r w:rsidR="00CD0D6B" w:rsidRPr="00273106">
        <w:t>, který se nahodile a vnějšně spojuje s materiálním intelektem</w:t>
      </w:r>
      <w:r w:rsidR="00CD0D6B">
        <w:t xml:space="preserve"> v člověku</w:t>
      </w:r>
      <w:r w:rsidR="00CD0D6B" w:rsidRPr="00273106">
        <w:t xml:space="preserve">. Alvernus hájí lidský intelekt jako </w:t>
      </w:r>
      <w:r w:rsidR="00A02B57">
        <w:t xml:space="preserve">schopnost </w:t>
      </w:r>
      <w:r w:rsidR="00CD0D6B" w:rsidRPr="00273106">
        <w:t xml:space="preserve">duše, která je centrem různorodých aktivit, a mezi nimi i aktivity receptivního a činného intelektu. </w:t>
      </w:r>
      <w:r w:rsidR="00EB28FB">
        <w:t xml:space="preserve">Pozdější komentář </w:t>
      </w:r>
      <w:r w:rsidR="00EB28FB" w:rsidRPr="00EB28FB">
        <w:rPr>
          <w:i/>
        </w:rPr>
        <w:t>De anima</w:t>
      </w:r>
      <w:r w:rsidR="00EB28FB">
        <w:t xml:space="preserve"> potvrzuje, že n</w:t>
      </w:r>
      <w:r w:rsidR="004E36E2" w:rsidRPr="00273106">
        <w:t>asvícení duše směřuje od smyslově vnímaného objektu jak směrem k receptivnímu, tak i k aktivnímu intelektu.</w:t>
      </w:r>
      <w:r w:rsidR="00D46859" w:rsidRPr="00273106">
        <w:rPr>
          <w:rStyle w:val="Znakapoznpodarou"/>
        </w:rPr>
        <w:footnoteReference w:id="179"/>
      </w:r>
      <w:r w:rsidR="004E36E2" w:rsidRPr="00273106">
        <w:t xml:space="preserve"> </w:t>
      </w:r>
      <w:r w:rsidR="007F26F3" w:rsidRPr="00273106">
        <w:t xml:space="preserve">Prvním modernistům </w:t>
      </w:r>
      <w:r w:rsidR="00A02B57">
        <w:t xml:space="preserve">v převleku </w:t>
      </w:r>
      <w:r w:rsidR="007F26F3" w:rsidRPr="004C01E9">
        <w:rPr>
          <w:i/>
        </w:rPr>
        <w:t>sophistae Latini</w:t>
      </w:r>
      <w:r w:rsidR="007F26F3">
        <w:t xml:space="preserve"> </w:t>
      </w:r>
      <w:r w:rsidR="007F26F3" w:rsidRPr="00273106">
        <w:t xml:space="preserve">chybí pojetí </w:t>
      </w:r>
      <w:r w:rsidR="007F26F3"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4372B6" w:rsidRPr="004372B6">
        <w:instrText>:druhý averroismus</w:instrText>
      </w:r>
      <w:r w:rsidR="009D323B">
        <w:instrText xml:space="preserve">" </w:instrText>
      </w:r>
      <w:r w:rsidR="009D323B">
        <w:rPr>
          <w:i/>
        </w:rPr>
        <w:fldChar w:fldCharType="end"/>
      </w:r>
      <w:r w:rsidR="007F26F3" w:rsidRPr="00273106">
        <w:t xml:space="preserve"> navázané na pojetí intencionality v prvním averroismu. </w:t>
      </w:r>
      <w:r w:rsidR="009276C0" w:rsidRPr="00273106">
        <w:t xml:space="preserve">Alvernus používá pro </w:t>
      </w:r>
      <w:r w:rsidR="009276C0" w:rsidRPr="00273106">
        <w:rPr>
          <w:i/>
        </w:rPr>
        <w:t>intellectus possibilis</w:t>
      </w:r>
      <w:r w:rsidR="00A02B57">
        <w:t xml:space="preserve"> klasické označení </w:t>
      </w:r>
      <w:r w:rsidR="009276C0"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6D2B5F" w:rsidRPr="00BE489A">
        <w:instrText>A</w:instrText>
      </w:r>
      <w:r w:rsidR="004372B6">
        <w:instrText>lvernus</w:instrText>
      </w:r>
      <w:r w:rsidR="006D2B5F">
        <w:instrText xml:space="preserve">" </w:instrText>
      </w:r>
      <w:r w:rsidR="006D2B5F">
        <w:rPr>
          <w:i/>
        </w:rPr>
        <w:fldChar w:fldCharType="end"/>
      </w:r>
      <w:r w:rsidR="009276C0" w:rsidRPr="00273106">
        <w:t xml:space="preserve">, ale chápe jej ve spojení s činným intelektem jako </w:t>
      </w:r>
      <w:r w:rsidR="08704B70">
        <w:t xml:space="preserve">individuální </w:t>
      </w:r>
      <w:r w:rsidR="009276C0" w:rsidRPr="00273106">
        <w:t>schopnost duše.</w:t>
      </w:r>
      <w:r w:rsidR="009276C0">
        <w:t xml:space="preserve"> </w:t>
      </w:r>
      <w:r w:rsidR="004E36E2" w:rsidRPr="00273106">
        <w:t>Ale díky odlišným funkcí</w:t>
      </w:r>
      <w:r w:rsidR="00A02B57">
        <w:t xml:space="preserve">m jsou obě schopnosti duše jak </w:t>
      </w:r>
      <w:r w:rsidR="004E36E2" w:rsidRPr="00273106">
        <w:rPr>
          <w:i/>
        </w:rPr>
        <w:t>vere correlativa</w:t>
      </w:r>
      <w:r w:rsidR="00A02B57">
        <w:t xml:space="preserve">, tak i </w:t>
      </w:r>
      <w:r w:rsidR="004E36E2" w:rsidRPr="00273106">
        <w:rPr>
          <w:i/>
        </w:rPr>
        <w:t>vere contrarii</w:t>
      </w:r>
      <w:r w:rsidR="004E36E2" w:rsidRPr="00273106">
        <w:t>. Jejich souběžnost je dána determinací poznání od první substance</w:t>
      </w:r>
      <w:r w:rsidR="00A70FA4">
        <w:fldChar w:fldCharType="begin"/>
      </w:r>
      <w:r w:rsidR="00A70FA4">
        <w:instrText xml:space="preserve"> XE "</w:instrText>
      </w:r>
      <w:r w:rsidR="00A70FA4" w:rsidRPr="00DE2A32">
        <w:instrText>substance</w:instrText>
      </w:r>
      <w:r w:rsidR="004372B6">
        <w:instrText>:první</w:instrText>
      </w:r>
      <w:r w:rsidR="00A70FA4">
        <w:instrText xml:space="preserve">" </w:instrText>
      </w:r>
      <w:r w:rsidR="00A70FA4">
        <w:fldChar w:fldCharType="end"/>
      </w:r>
      <w:r w:rsidR="004E36E2" w:rsidRPr="00273106">
        <w:t xml:space="preserve">. </w:t>
      </w:r>
      <w:r w:rsidR="00993C30">
        <w:t>R</w:t>
      </w:r>
      <w:r w:rsidR="004E36E2" w:rsidRPr="00273106">
        <w:t xml:space="preserve">ozdíl </w:t>
      </w:r>
      <w:r w:rsidR="00993C30">
        <w:t xml:space="preserve">mezi oběma schopnostmi duše </w:t>
      </w:r>
      <w:r w:rsidR="004E36E2" w:rsidRPr="00273106">
        <w:t xml:space="preserve">vznikne tím, jedna </w:t>
      </w:r>
      <w:r w:rsidR="00A02B57">
        <w:t xml:space="preserve">schopnost </w:t>
      </w:r>
      <w:r w:rsidR="004E36E2" w:rsidRPr="00273106">
        <w:t xml:space="preserve">je pasivní a druhá aktivní, ale </w:t>
      </w:r>
      <w:r w:rsidR="00A02B57">
        <w:t xml:space="preserve">obě tvoří </w:t>
      </w:r>
      <w:r w:rsidR="004E36E2" w:rsidRPr="00273106">
        <w:t>nemateriální výkon jedné inte</w:t>
      </w:r>
      <w:r w:rsidR="003E2BED">
        <w:t>le</w:t>
      </w:r>
      <w:r w:rsidR="004E36E2" w:rsidRPr="00273106">
        <w:t>ktuální duše. Redukovat intelekt jako nejvyšší složku duše na receptivní orgán vzhledem k</w:t>
      </w:r>
      <w:r w:rsidR="004345A0" w:rsidRPr="00273106">
        <w:t xml:space="preserve"> vnějšímu činnému intelektu považuje Alvernus za</w:t>
      </w:r>
      <w:r w:rsidR="004E36E2" w:rsidRPr="00273106">
        <w:t xml:space="preserve"> </w:t>
      </w:r>
      <w:r w:rsidR="083368F6">
        <w:t xml:space="preserve">naprosto </w:t>
      </w:r>
      <w:r w:rsidR="004E36E2" w:rsidRPr="00273106">
        <w:t>perverní řešení</w:t>
      </w:r>
      <w:r w:rsidR="083368F6">
        <w:t xml:space="preserve"> (</w:t>
      </w:r>
      <w:r w:rsidR="083368F6" w:rsidRPr="083368F6">
        <w:rPr>
          <w:i/>
        </w:rPr>
        <w:t>perversissimus</w:t>
      </w:r>
      <w:r w:rsidR="083368F6">
        <w:t>)</w:t>
      </w:r>
      <w:r w:rsidR="004E36E2" w:rsidRPr="00273106">
        <w:t>.</w:t>
      </w:r>
      <w:r w:rsidR="004E36E2" w:rsidRPr="00273106">
        <w:rPr>
          <w:rStyle w:val="Znakapoznpodarou"/>
        </w:rPr>
        <w:footnoteReference w:id="180"/>
      </w:r>
      <w:r w:rsidR="004E36E2" w:rsidRPr="00273106">
        <w:t xml:space="preserve"> Rozpor v pojetí člověka by byl dokonce dvojnásobný. </w:t>
      </w:r>
      <w:r w:rsidR="08442600" w:rsidRPr="00273106">
        <w:t>Absolutně oddělený intelekt by v duši zrcadlil jen univerzália, a nikoliv singulária</w:t>
      </w:r>
      <w:r w:rsidR="087E618F">
        <w:t xml:space="preserve">. Pak by </w:t>
      </w:r>
      <w:r w:rsidR="08442600">
        <w:t>p</w:t>
      </w:r>
      <w:r w:rsidR="08442600" w:rsidRPr="00273106">
        <w:t>oznání reálného světa bylo nemožné.</w:t>
      </w:r>
      <w:r w:rsidR="08442600">
        <w:t xml:space="preserve"> </w:t>
      </w:r>
      <w:r w:rsidR="004E36E2" w:rsidRPr="00273106">
        <w:t>Následovníci Aristotela přiznávají nižším složkám duše aktivní roli, a přitom ji upírají individualizovanému intelektu</w:t>
      </w:r>
      <w:r w:rsidR="08442600">
        <w:t>, což je druhý rozpor</w:t>
      </w:r>
      <w:r w:rsidR="004E36E2" w:rsidRPr="00273106">
        <w:t xml:space="preserve">. </w:t>
      </w:r>
      <w:r w:rsidR="08D8455D">
        <w:lastRenderedPageBreak/>
        <w:t xml:space="preserve">Klíčovou aktivitu lidského intelektu absurdně přenášejí na externí kosmický intelekt a tím ničí jednotu osoby. </w:t>
      </w:r>
      <w:r w:rsidR="08764BF5" w:rsidRPr="00273106">
        <w:t>Alvernus odmítá pojetí formálního intelektu def</w:t>
      </w:r>
      <w:r w:rsidR="08764BF5">
        <w:t>inovaného nasvícením zezadu, v němž</w:t>
      </w:r>
      <w:r w:rsidR="08764BF5" w:rsidRPr="00273106">
        <w:t xml:space="preserve"> </w:t>
      </w:r>
      <w:r w:rsidR="08764BF5">
        <w:t xml:space="preserve">oddělený </w:t>
      </w:r>
      <w:r w:rsidR="08764BF5" w:rsidRPr="00315D5B">
        <w:rPr>
          <w:i/>
        </w:rPr>
        <w:t>intellectus agens</w:t>
      </w:r>
      <w:r w:rsidR="08764BF5">
        <w:t xml:space="preserve"> vtiskuje hypostázované </w:t>
      </w:r>
      <w:r w:rsidR="08764BF5" w:rsidRPr="00273106">
        <w:t xml:space="preserve">formy do pasivní </w:t>
      </w:r>
      <w:r w:rsidR="08764BF5">
        <w:t xml:space="preserve">lidské </w:t>
      </w:r>
      <w:r w:rsidR="08764BF5" w:rsidRPr="00273106">
        <w:t>duše jako do materiálního intelektu.</w:t>
      </w:r>
      <w:r w:rsidR="08764BF5" w:rsidRPr="00273106">
        <w:rPr>
          <w:rStyle w:val="Znakapoznpodarou"/>
        </w:rPr>
        <w:footnoteReference w:id="181"/>
      </w:r>
      <w:r w:rsidR="08764BF5" w:rsidRPr="00273106">
        <w:t xml:space="preserve"> </w:t>
      </w:r>
      <w:r w:rsidR="004059A0" w:rsidRPr="00273106">
        <w:t xml:space="preserve">Alvernus odmítne po vzoru Blunda navázat </w:t>
      </w:r>
      <w:r w:rsidR="004059A0" w:rsidRPr="00273106">
        <w:rPr>
          <w:i/>
        </w:rPr>
        <w:t>intellectus adeptus</w:t>
      </w:r>
      <w:r w:rsidR="00332701">
        <w:rPr>
          <w:i/>
        </w:rPr>
        <w:fldChar w:fldCharType="begin"/>
      </w:r>
      <w:r w:rsidR="00332701">
        <w:instrText xml:space="preserve"> XE "</w:instrText>
      </w:r>
      <w:r w:rsidR="00332701" w:rsidRPr="00F77FCE">
        <w:rPr>
          <w:i/>
        </w:rPr>
        <w:instrText>intellectus adeptus</w:instrText>
      </w:r>
      <w:r w:rsidR="004372B6" w:rsidRPr="004372B6">
        <w:instrText>:Alvernus</w:instrText>
      </w:r>
      <w:r w:rsidR="00332701">
        <w:instrText xml:space="preserve">" </w:instrText>
      </w:r>
      <w:r w:rsidR="00332701">
        <w:rPr>
          <w:i/>
        </w:rPr>
        <w:fldChar w:fldCharType="end"/>
      </w:r>
      <w:r w:rsidR="004059A0" w:rsidRPr="00273106">
        <w:t xml:space="preserve"> na oddělený činný intelekt a udělá z něj formální schopnost duše</w:t>
      </w:r>
      <w:r w:rsidR="00D36B12" w:rsidRPr="00273106">
        <w:t xml:space="preserve">, která syntetizuje </w:t>
      </w:r>
      <w:r w:rsidR="00C76832" w:rsidRPr="00273106">
        <w:t xml:space="preserve">abstrahované </w:t>
      </w:r>
      <w:r w:rsidR="00D36B12" w:rsidRPr="00273106">
        <w:t>formy</w:t>
      </w:r>
      <w:r w:rsidR="004059A0" w:rsidRPr="00273106">
        <w:t>.</w:t>
      </w:r>
      <w:r w:rsidR="004E0D4A" w:rsidRPr="00273106">
        <w:t xml:space="preserve"> </w:t>
      </w:r>
      <w:r w:rsidR="003A150B" w:rsidRPr="00273106">
        <w:t xml:space="preserve">Další zdroj odmítnutí Avicennova pojetí darovaného intelektu našel Alvernus v </w:t>
      </w:r>
      <w:r w:rsidR="002E3B62">
        <w:t>Averroes</w:t>
      </w:r>
      <w:r w:rsidR="003A150B" w:rsidRPr="00273106">
        <w:t>ově kritice Themistia</w:t>
      </w:r>
      <w:r w:rsidR="008702D7">
        <w:fldChar w:fldCharType="begin"/>
      </w:r>
      <w:r w:rsidR="008702D7">
        <w:instrText xml:space="preserve"> XE "</w:instrText>
      </w:r>
      <w:r w:rsidR="008702D7" w:rsidRPr="002255E5">
        <w:instrText>Themistius</w:instrText>
      </w:r>
      <w:r w:rsidR="008702D7">
        <w:instrText xml:space="preserve">" </w:instrText>
      </w:r>
      <w:r w:rsidR="008702D7">
        <w:fldChar w:fldCharType="end"/>
      </w:r>
      <w:r w:rsidR="003A150B" w:rsidRPr="00273106">
        <w:t xml:space="preserve"> i Alexandra</w:t>
      </w:r>
      <w:r w:rsidR="00955903">
        <w:fldChar w:fldCharType="begin"/>
      </w:r>
      <w:r w:rsidR="00955903">
        <w:instrText xml:space="preserve"> XE "Alexander, Afrodisias" </w:instrText>
      </w:r>
      <w:r w:rsidR="00955903">
        <w:fldChar w:fldCharType="end"/>
      </w:r>
      <w:r w:rsidR="003A150B" w:rsidRPr="00273106">
        <w:t xml:space="preserve"> (</w:t>
      </w:r>
      <w:r w:rsidR="08CE1EBE">
        <w:t>OBJ I</w:t>
      </w:r>
      <w:r w:rsidR="087235AF">
        <w:t xml:space="preserve">, </w:t>
      </w:r>
      <w:r w:rsidR="003A150B" w:rsidRPr="00273106">
        <w:t xml:space="preserve">kap. 2.4.3). </w:t>
      </w:r>
      <w:r w:rsidR="00803F6E">
        <w:t xml:space="preserve">Klasická </w:t>
      </w:r>
      <w:r w:rsidR="003A150B">
        <w:t>studie navazuje Alvern</w:t>
      </w:r>
      <w:r w:rsidR="004E0D4A" w:rsidRPr="00273106">
        <w:t xml:space="preserve">ovo odmítnutí </w:t>
      </w:r>
      <w:r w:rsidR="004E0D4A" w:rsidRPr="00273106">
        <w:rPr>
          <w:i/>
        </w:rPr>
        <w:t>intellectus adeptus</w:t>
      </w:r>
      <w:r w:rsidR="004E0D4A" w:rsidRPr="00273106">
        <w:t xml:space="preserve"> na Themistiovu definici formálního intelektu, čímž se našel další zdroj pro zavedení </w:t>
      </w:r>
      <w:r w:rsidR="004E0D4A"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4372B6">
        <w:instrText>:</w:instrText>
      </w:r>
      <w:r w:rsidR="004372B6" w:rsidRPr="004372B6">
        <w:instrText>Alvernus</w:instrText>
      </w:r>
      <w:r w:rsidR="0045423D">
        <w:instrText xml:space="preserve">" </w:instrText>
      </w:r>
      <w:r w:rsidR="0045423D">
        <w:rPr>
          <w:i/>
        </w:rPr>
        <w:fldChar w:fldCharType="end"/>
      </w:r>
      <w:r w:rsidR="004E0D4A" w:rsidRPr="00273106">
        <w:rPr>
          <w:i/>
        </w:rPr>
        <w:t xml:space="preserve"> </w:t>
      </w:r>
      <w:r w:rsidR="004E0D4A" w:rsidRPr="00273106">
        <w:t xml:space="preserve">do scholastiky na začátku 13. století (Baumgartner 1893, 37). </w:t>
      </w:r>
      <w:r w:rsidR="08CC63F3">
        <w:t xml:space="preserve">Alvernus </w:t>
      </w:r>
      <w:r w:rsidR="004059A0" w:rsidRPr="00273106">
        <w:t xml:space="preserve">stejným způsobem </w:t>
      </w:r>
      <w:r w:rsidR="0027336C">
        <w:t xml:space="preserve">jako Blund </w:t>
      </w:r>
      <w:r w:rsidR="004D6982" w:rsidRPr="00273106">
        <w:t>na</w:t>
      </w:r>
      <w:r w:rsidR="004059A0" w:rsidRPr="00273106">
        <w:t xml:space="preserve">vázal </w:t>
      </w:r>
      <w:r w:rsidR="004D6982" w:rsidRPr="00273106">
        <w:rPr>
          <w:i/>
        </w:rPr>
        <w:t>intellectus adeptus</w:t>
      </w:r>
      <w:r w:rsidR="004D6982" w:rsidRPr="00273106">
        <w:t xml:space="preserve"> </w:t>
      </w:r>
      <w:r w:rsidR="004059A0" w:rsidRPr="00273106">
        <w:t>na donaci smy</w:t>
      </w:r>
      <w:r w:rsidR="004D6982" w:rsidRPr="00273106">
        <w:t>slu od aktuální první substance</w:t>
      </w:r>
      <w:r w:rsidR="004059A0" w:rsidRPr="00273106">
        <w:t xml:space="preserve"> a proto jej ztotožnil s </w:t>
      </w:r>
      <w:r w:rsidR="004059A0"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8CC63F3">
        <w:t xml:space="preserve"> (kap. 2</w:t>
      </w:r>
      <w:r w:rsidR="004059A0" w:rsidRPr="00273106">
        <w:t xml:space="preserve">.1). </w:t>
      </w:r>
      <w:r w:rsidR="003A150B">
        <w:t xml:space="preserve">Předešlé analýzy ukázaly, že zavedením dvojí schopnosti duše podle </w:t>
      </w:r>
      <w:r w:rsidR="003A150B" w:rsidRPr="00273106">
        <w:rPr>
          <w:i/>
        </w:rPr>
        <w:t xml:space="preserve">De </w:t>
      </w:r>
      <w:r w:rsidR="003A150B">
        <w:rPr>
          <w:i/>
        </w:rPr>
        <w:t>a</w:t>
      </w:r>
      <w:r w:rsidR="003A150B" w:rsidRPr="00273106">
        <w:rPr>
          <w:i/>
        </w:rPr>
        <w:t>nima</w:t>
      </w:r>
      <w:r w:rsidR="003A150B">
        <w:t xml:space="preserve"> 430a21‒23 od</w:t>
      </w:r>
      <w:r w:rsidR="003A150B" w:rsidRPr="00273106">
        <w:t xml:space="preserve">padne </w:t>
      </w:r>
      <w:r w:rsidR="003A150B">
        <w:t xml:space="preserve">avicennovské </w:t>
      </w:r>
      <w:r w:rsidR="003A150B" w:rsidRPr="00273106">
        <w:t xml:space="preserve">pojetí darovaného intelektu, který ve scénáři </w:t>
      </w:r>
      <w:r w:rsidR="003A150B">
        <w:t>první</w:t>
      </w:r>
      <w:r w:rsidR="08A3453E">
        <w:t>ho averroismu ztratil</w:t>
      </w:r>
      <w:r w:rsidR="086A754F">
        <w:t xml:space="preserve"> význam v novém schématu poznání</w:t>
      </w:r>
      <w:r w:rsidR="003A150B" w:rsidRPr="00273106">
        <w:t>.</w:t>
      </w:r>
      <w:r w:rsidR="003A150B">
        <w:t xml:space="preserve"> </w:t>
      </w:r>
      <w:r w:rsidR="004E36E2" w:rsidRPr="00273106">
        <w:t xml:space="preserve">Činný intelekt </w:t>
      </w:r>
      <w:r w:rsidR="008C0CB5">
        <w:t xml:space="preserve">zakládající lidské poznání </w:t>
      </w:r>
      <w:r w:rsidR="004E36E2" w:rsidRPr="00273106">
        <w:t xml:space="preserve">nemůže být kosmická substance, ale individuální schopnost lidské duše. </w:t>
      </w:r>
      <w:r w:rsidR="00CD48F3" w:rsidRPr="00273106">
        <w:t>Tuto roli nemateriálníh</w:t>
      </w:r>
      <w:r w:rsidR="08AC6AD2">
        <w:t xml:space="preserve">o média vzhledem k individuálně činnému </w:t>
      </w:r>
      <w:r w:rsidR="00CD48F3" w:rsidRPr="00273106">
        <w:t xml:space="preserve">intelektu splňuje pouze </w:t>
      </w:r>
      <w:r w:rsidR="002E3B62">
        <w:t>Averroes</w:t>
      </w:r>
      <w:r w:rsidR="00CD48F3" w:rsidRPr="00273106">
        <w:t xml:space="preserve">ův </w:t>
      </w:r>
      <w:r w:rsidR="00CD48F3" w:rsidRPr="00273106">
        <w:rPr>
          <w:i/>
        </w:rPr>
        <w:t>intellectus possibilis</w:t>
      </w:r>
      <w:r w:rsidR="00CD48F3" w:rsidRPr="00273106">
        <w:t xml:space="preserve">. </w:t>
      </w:r>
      <w:r w:rsidR="00953BC4">
        <w:t xml:space="preserve">Tato schopnost </w:t>
      </w:r>
      <w:r w:rsidR="004E36E2" w:rsidRPr="00273106">
        <w:t xml:space="preserve">musí být </w:t>
      </w:r>
      <w:r w:rsidR="08AC6AD2">
        <w:t xml:space="preserve">osobní, </w:t>
      </w:r>
      <w:r w:rsidR="004E36E2" w:rsidRPr="00273106">
        <w:t xml:space="preserve">nemateriální, receptivní a </w:t>
      </w:r>
      <w:r w:rsidR="00953BC4">
        <w:t>tvoří</w:t>
      </w:r>
      <w:r w:rsidR="004E36E2" w:rsidRPr="00273106">
        <w:t xml:space="preserve"> jednotu s individuálním </w:t>
      </w:r>
      <w:r w:rsidR="004E36E2" w:rsidRPr="00273106">
        <w:rPr>
          <w:i/>
        </w:rPr>
        <w:t>intellectus agens</w:t>
      </w:r>
      <w:r w:rsidR="004E36E2" w:rsidRPr="00273106">
        <w:t xml:space="preserve"> operujícím jako nemateriální složka lidské duše. </w:t>
      </w:r>
      <w:r w:rsidR="00B233AF" w:rsidRPr="00273106">
        <w:t xml:space="preserve">Pařížský biskup argumentuje </w:t>
      </w:r>
      <w:r w:rsidR="001367A2">
        <w:t xml:space="preserve">podle aristotelského pojetí </w:t>
      </w:r>
      <w:r w:rsidR="00B233AF" w:rsidRPr="00273106">
        <w:t>abstrakce dané</w:t>
      </w:r>
      <w:r w:rsidR="001367A2">
        <w:t>ho</w:t>
      </w:r>
      <w:r w:rsidR="0027336C">
        <w:t xml:space="preserve"> v prvním averroismu a </w:t>
      </w:r>
      <w:r w:rsidR="08A3453E">
        <w:t>b</w:t>
      </w:r>
      <w:r w:rsidR="0027336C">
        <w:t>rá</w:t>
      </w:r>
      <w:r w:rsidR="00020A8E">
        <w:t>ní výklad Averroe</w:t>
      </w:r>
      <w:r w:rsidR="0027336C">
        <w:t>se podle Sicilské školy</w:t>
      </w:r>
      <w:r w:rsidR="0027336C">
        <w:fldChar w:fldCharType="begin"/>
      </w:r>
      <w:r w:rsidR="0027336C">
        <w:instrText xml:space="preserve"> XE "</w:instrText>
      </w:r>
      <w:r w:rsidR="004A155A">
        <w:instrText>Sicilská škola</w:instrText>
      </w:r>
      <w:r w:rsidR="0027336C">
        <w:instrText xml:space="preserve">" </w:instrText>
      </w:r>
      <w:r w:rsidR="0027336C">
        <w:fldChar w:fldCharType="end"/>
      </w:r>
      <w:r w:rsidR="0027336C">
        <w:t xml:space="preserve">. </w:t>
      </w:r>
      <w:r w:rsidR="00B233AF" w:rsidRPr="00273106">
        <w:t xml:space="preserve">Intelekt poznává jednotliviny </w:t>
      </w:r>
      <w:r w:rsidR="005E7769">
        <w:t xml:space="preserve">skrze univerzální </w:t>
      </w:r>
      <w:r w:rsidR="00E02E2A" w:rsidRPr="00E02E2A">
        <w:t>species</w:t>
      </w:r>
      <w:r w:rsidR="005E7769">
        <w:t xml:space="preserve"> vázaná</w:t>
      </w:r>
      <w:r w:rsidR="00B233AF" w:rsidRPr="00273106">
        <w:t xml:space="preserve"> na </w:t>
      </w:r>
      <w:r w:rsidR="00B233AF" w:rsidRPr="00273106">
        <w:rPr>
          <w:i/>
        </w:rPr>
        <w:t>intellectus possibilis</w:t>
      </w:r>
      <w:r w:rsidR="00B233AF" w:rsidRPr="00273106">
        <w:t>.</w:t>
      </w:r>
      <w:r w:rsidR="005F26BF" w:rsidRPr="00273106">
        <w:t xml:space="preserve"> </w:t>
      </w:r>
    </w:p>
    <w:p w14:paraId="4F7646E4" w14:textId="181FC64C" w:rsidR="00B233AF" w:rsidRPr="00273106" w:rsidRDefault="00B233AF" w:rsidP="00B233AF">
      <w:pPr>
        <w:pStyle w:val="Citace"/>
        <w:rPr>
          <w:noProof/>
          <w:lang w:val="cs-CZ"/>
        </w:rPr>
      </w:pPr>
      <w:r w:rsidRPr="00273106">
        <w:rPr>
          <w:noProof/>
          <w:lang w:val="cs-CZ"/>
        </w:rPr>
        <w:t xml:space="preserve">„Lidský intelekt nepoznává </w:t>
      </w:r>
      <w:r w:rsidR="08690FA2">
        <w:rPr>
          <w:noProof/>
          <w:lang w:val="cs-CZ"/>
        </w:rPr>
        <w:t xml:space="preserve">přímo </w:t>
      </w:r>
      <w:r w:rsidRPr="00273106">
        <w:rPr>
          <w:noProof/>
          <w:lang w:val="cs-CZ"/>
        </w:rPr>
        <w:t>jednot</w:t>
      </w:r>
      <w:r w:rsidR="00FE1634">
        <w:rPr>
          <w:noProof/>
          <w:lang w:val="cs-CZ"/>
        </w:rPr>
        <w:t>l</w:t>
      </w:r>
      <w:r w:rsidRPr="00273106">
        <w:rPr>
          <w:noProof/>
          <w:lang w:val="cs-CZ"/>
        </w:rPr>
        <w:t>iviny</w:t>
      </w:r>
      <w:r w:rsidR="08690FA2">
        <w:rPr>
          <w:noProof/>
          <w:lang w:val="cs-CZ"/>
        </w:rPr>
        <w:t xml:space="preserve"> jako takové</w:t>
      </w:r>
      <w:r w:rsidRPr="00273106">
        <w:rPr>
          <w:noProof/>
          <w:lang w:val="cs-CZ"/>
        </w:rPr>
        <w:t xml:space="preserve">, ale pouze univerzália, tedy rody, druhy a další obecnosti, které </w:t>
      </w:r>
      <w:r w:rsidR="008E02F5">
        <w:rPr>
          <w:noProof/>
          <w:lang w:val="cs-CZ"/>
        </w:rPr>
        <w:t>Platon</w:t>
      </w:r>
      <w:r w:rsidRPr="00273106">
        <w:rPr>
          <w:noProof/>
          <w:lang w:val="cs-CZ"/>
        </w:rPr>
        <w:t xml:space="preserve"> nazývá formy, jež by </w:t>
      </w:r>
      <w:r w:rsidR="00F140D2" w:rsidRPr="00273106">
        <w:rPr>
          <w:noProof/>
          <w:lang w:val="cs-CZ"/>
        </w:rPr>
        <w:t xml:space="preserve">se </w:t>
      </w:r>
      <w:r w:rsidRPr="00273106">
        <w:rPr>
          <w:noProof/>
          <w:lang w:val="cs-CZ"/>
        </w:rPr>
        <w:t xml:space="preserve">měly nazývat 'abstrahovaná </w:t>
      </w:r>
      <w:r w:rsidR="00E02E2A" w:rsidRPr="00E02E2A">
        <w:rPr>
          <w:noProof/>
          <w:lang w:val="cs-CZ"/>
        </w:rPr>
        <w:t>species</w:t>
      </w:r>
      <w:r w:rsidRPr="00020A8E">
        <w:rPr>
          <w:i/>
          <w:noProof/>
          <w:lang w:val="cs-CZ"/>
        </w:rPr>
        <w:t>'</w:t>
      </w:r>
      <w:r w:rsidR="000F66A5">
        <w:rPr>
          <w:noProof/>
          <w:lang w:val="cs-CZ"/>
        </w:rPr>
        <w:t xml:space="preserve"> (</w:t>
      </w:r>
      <w:r w:rsidR="004B4D52" w:rsidRPr="004B4D52">
        <w:t>species</w:t>
      </w:r>
      <w:r w:rsidR="000F66A5" w:rsidRPr="000F66A5">
        <w:rPr>
          <w:i/>
        </w:rPr>
        <w:t xml:space="preserve"> abstractas</w:t>
      </w:r>
      <w:r w:rsidR="000F66A5">
        <w:rPr>
          <w:noProof/>
          <w:lang w:val="cs-CZ"/>
        </w:rPr>
        <w:t>)</w:t>
      </w:r>
      <w:r w:rsidRPr="00273106">
        <w:rPr>
          <w:noProof/>
          <w:lang w:val="cs-CZ"/>
        </w:rPr>
        <w:t xml:space="preserve">. (...) Poznání není totiž možné jinak než přes </w:t>
      </w:r>
      <w:r w:rsidR="08690FA2">
        <w:rPr>
          <w:noProof/>
          <w:lang w:val="cs-CZ"/>
        </w:rPr>
        <w:t xml:space="preserve">akt onoho možného neboli </w:t>
      </w:r>
      <w:r w:rsidR="08690FA2" w:rsidRPr="00273106">
        <w:rPr>
          <w:noProof/>
          <w:lang w:val="cs-CZ"/>
        </w:rPr>
        <w:t>receptivní</w:t>
      </w:r>
      <w:r w:rsidR="08690FA2">
        <w:rPr>
          <w:noProof/>
          <w:lang w:val="cs-CZ"/>
        </w:rPr>
        <w:t>ho</w:t>
      </w:r>
      <w:r w:rsidR="08690FA2" w:rsidRPr="00273106">
        <w:rPr>
          <w:noProof/>
          <w:lang w:val="cs-CZ"/>
        </w:rPr>
        <w:t xml:space="preserve"> </w:t>
      </w:r>
      <w:r w:rsidR="08690FA2">
        <w:rPr>
          <w:noProof/>
          <w:lang w:val="cs-CZ"/>
        </w:rPr>
        <w:t>intelektu (</w:t>
      </w:r>
      <w:r w:rsidR="08690FA2" w:rsidRPr="08690FA2">
        <w:rPr>
          <w:i/>
        </w:rPr>
        <w:t>actionem ipsius intellectus passibilis, seu receptibilis</w:t>
      </w:r>
      <w:r w:rsidR="08690FA2">
        <w:rPr>
          <w:noProof/>
          <w:lang w:val="cs-CZ"/>
        </w:rPr>
        <w:t xml:space="preserve">), </w:t>
      </w:r>
      <w:r w:rsidRPr="00273106">
        <w:rPr>
          <w:noProof/>
          <w:lang w:val="cs-CZ"/>
        </w:rPr>
        <w:t>který tímto způsobem př</w:t>
      </w:r>
      <w:r w:rsidR="00F24274">
        <w:rPr>
          <w:noProof/>
          <w:lang w:val="cs-CZ"/>
        </w:rPr>
        <w:t xml:space="preserve">ijímá </w:t>
      </w:r>
      <w:r w:rsidR="00F24274">
        <w:rPr>
          <w:noProof/>
          <w:lang w:val="cs-CZ"/>
        </w:rPr>
        <w:lastRenderedPageBreak/>
        <w:t xml:space="preserve">podněty a smyslové vjemy, a to </w:t>
      </w:r>
      <w:r w:rsidRPr="00273106">
        <w:rPr>
          <w:noProof/>
          <w:lang w:val="cs-CZ"/>
        </w:rPr>
        <w:t xml:space="preserve">skrze podobnost, která se v nich nalézá. A toto jasně viděl </w:t>
      </w:r>
      <w:r w:rsidR="008E02F5">
        <w:rPr>
          <w:noProof/>
          <w:lang w:val="cs-CZ"/>
        </w:rPr>
        <w:t>Aristoteles</w:t>
      </w:r>
      <w:r w:rsidRPr="00273106">
        <w:rPr>
          <w:noProof/>
          <w:lang w:val="cs-CZ"/>
        </w:rPr>
        <w:t xml:space="preserve"> když tvrdil, že myšlení není možné bez smyslového poznání.“ </w:t>
      </w:r>
      <w:r w:rsidRPr="00273106">
        <w:rPr>
          <w:rStyle w:val="Znakapoznpodarou"/>
          <w:noProof/>
          <w:lang w:val="cs-CZ"/>
        </w:rPr>
        <w:footnoteReference w:id="182"/>
      </w:r>
    </w:p>
    <w:p w14:paraId="078A6BA1" w14:textId="309A155A" w:rsidR="00A70C92" w:rsidRPr="00B36610" w:rsidRDefault="00020A8E" w:rsidP="00651CDA">
      <w:r w:rsidRPr="00273106">
        <w:t xml:space="preserve">Jádrem argumentace proti oddělenému aktivnímu intelektu v duši je statut </w:t>
      </w:r>
      <w:r w:rsidR="00E02E2A" w:rsidRPr="00E02E2A">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l</w:instrText>
      </w:r>
      <w:r w:rsidRPr="00DD403C">
        <w:instrText>v</w:instrText>
      </w:r>
      <w:r>
        <w:instrText xml:space="preserve">ernus" </w:instrText>
      </w:r>
      <w:r>
        <w:rPr>
          <w:i/>
        </w:rPr>
        <w:fldChar w:fldCharType="end"/>
      </w:r>
      <w:r w:rsidRPr="00273106">
        <w:t xml:space="preserve">. </w:t>
      </w:r>
      <w:r>
        <w:t>S</w:t>
      </w:r>
      <w:r w:rsidR="00B233AF" w:rsidRPr="00273106">
        <w:t>hrnutí podstaty receptivního intelektu (</w:t>
      </w:r>
      <w:r w:rsidR="00B233AF" w:rsidRPr="00273106">
        <w:rPr>
          <w:i/>
        </w:rPr>
        <w:t>intellectus passibilis, seu receptibilis</w:t>
      </w:r>
      <w:r w:rsidR="00B233AF" w:rsidRPr="00273106">
        <w:t>) a jeho intencionálního předmětu (</w:t>
      </w:r>
      <w:r w:rsidR="004B4D52" w:rsidRPr="004B4D52">
        <w:t>species</w:t>
      </w:r>
      <w:r w:rsidR="00B233AF" w:rsidRPr="00273106">
        <w:rPr>
          <w:i/>
        </w:rPr>
        <w:t xml:space="preserve"> abstractas</w:t>
      </w:r>
      <w:r w:rsidR="00B233AF" w:rsidRPr="00273106">
        <w:t xml:space="preserve">) je postaveno proti </w:t>
      </w:r>
      <w:r w:rsidR="00541D32">
        <w:t>neoplatonskému</w:t>
      </w:r>
      <w:r w:rsidR="00B233AF" w:rsidRPr="00273106">
        <w:t xml:space="preserve"> pojetí odděleného činného intelektu, který </w:t>
      </w:r>
      <w:r w:rsidR="00DC004E" w:rsidRPr="00273106">
        <w:t xml:space="preserve">zrcadlí </w:t>
      </w:r>
      <w:r w:rsidR="00E02E2A" w:rsidRPr="00E02E2A">
        <w:t>species</w:t>
      </w:r>
      <w:r w:rsidR="00B233AF" w:rsidRPr="00273106">
        <w:t xml:space="preserve"> jako univerzální substance</w:t>
      </w:r>
      <w:r w:rsidR="00A70FA4">
        <w:fldChar w:fldCharType="begin"/>
      </w:r>
      <w:r w:rsidR="00A70FA4">
        <w:instrText xml:space="preserve"> XE "</w:instrText>
      </w:r>
      <w:r w:rsidR="00A70FA4" w:rsidRPr="00DE2A32">
        <w:instrText>substance</w:instrText>
      </w:r>
      <w:r w:rsidR="00CF4C6F">
        <w:instrText>:</w:instrText>
      </w:r>
      <w:r w:rsidR="00CF4C6F" w:rsidRPr="08CE63C5">
        <w:rPr>
          <w:i/>
        </w:rPr>
        <w:instrText>species</w:instrText>
      </w:r>
      <w:r w:rsidR="00A70FA4">
        <w:instrText xml:space="preserve">" </w:instrText>
      </w:r>
      <w:r w:rsidR="00A70FA4">
        <w:fldChar w:fldCharType="end"/>
      </w:r>
      <w:r w:rsidR="00B233AF" w:rsidRPr="00273106">
        <w:t xml:space="preserve">-formy. </w:t>
      </w:r>
      <w:r>
        <w:t>Role</w:t>
      </w:r>
      <w:r w:rsidRPr="00273106">
        <w:t xml:space="preserve"> </w:t>
      </w:r>
      <w:r w:rsidRPr="00273106">
        <w:rPr>
          <w:i/>
        </w:rPr>
        <w:t>intellectus possibilis</w:t>
      </w:r>
      <w:r>
        <w:rPr>
          <w:i/>
        </w:rPr>
        <w:fldChar w:fldCharType="begin"/>
      </w:r>
      <w:r>
        <w:instrText xml:space="preserve"> XE "</w:instrText>
      </w:r>
      <w:r w:rsidRPr="00770D02">
        <w:rPr>
          <w:i/>
        </w:rPr>
        <w:instrText>intellectus possibilis</w:instrText>
      </w:r>
      <w:r w:rsidRPr="00CF4C6F">
        <w:instrText>:Alvernus</w:instrText>
      </w:r>
      <w:r>
        <w:instrText xml:space="preserve">" </w:instrText>
      </w:r>
      <w:r>
        <w:rPr>
          <w:i/>
        </w:rPr>
        <w:fldChar w:fldCharType="end"/>
      </w:r>
      <w:r w:rsidRPr="00273106">
        <w:t xml:space="preserve"> </w:t>
      </w:r>
      <w:r>
        <w:t xml:space="preserve">je definována </w:t>
      </w:r>
      <w:r w:rsidRPr="00273106">
        <w:t xml:space="preserve">podle prvního averroismu daného ve spisu </w:t>
      </w:r>
      <w:r w:rsidR="089A1B6F">
        <w:rPr>
          <w:i/>
        </w:rPr>
        <w:t>De anima et de potenciis eius</w:t>
      </w:r>
      <w:r w:rsidR="08CF1504">
        <w:t xml:space="preserve"> (kap. 2</w:t>
      </w:r>
      <w:r w:rsidRPr="00273106">
        <w:t>.2</w:t>
      </w:r>
      <w:r w:rsidR="085022FC">
        <w:t>.1</w:t>
      </w:r>
      <w:r w:rsidRPr="00273106">
        <w:t>).</w:t>
      </w:r>
      <w:r>
        <w:t xml:space="preserve"> </w:t>
      </w:r>
      <w:r w:rsidR="00B233AF" w:rsidRPr="00273106">
        <w:t xml:space="preserve">Aktivní činnost možného intelektu existuje pouze v naší duši, kde navazuje na činnost receptivního intelektu. </w:t>
      </w:r>
      <w:r w:rsidR="00B8526A">
        <w:t>Alvernovým v</w:t>
      </w:r>
      <w:r w:rsidR="00B233AF" w:rsidRPr="00273106">
        <w:t xml:space="preserve">zorem je výklad dvou schopností intelektu v jedné duši, který podává CMDA. </w:t>
      </w:r>
      <w:r w:rsidR="002E3B62">
        <w:t>Averroes</w:t>
      </w:r>
      <w:r w:rsidR="00A67617" w:rsidRPr="00273106">
        <w:t xml:space="preserve"> </w:t>
      </w:r>
      <w:r w:rsidR="00A67617">
        <w:t>v</w:t>
      </w:r>
      <w:r w:rsidR="00A67617" w:rsidRPr="00273106">
        <w:t>z</w:t>
      </w:r>
      <w:r w:rsidR="00A67617">
        <w:t xml:space="preserve">al </w:t>
      </w:r>
      <w:r w:rsidR="00A67617" w:rsidRPr="00273106">
        <w:t xml:space="preserve">hylický intelekt </w:t>
      </w:r>
      <w:r w:rsidR="08585781" w:rsidRPr="00273106">
        <w:t>Themistia (</w:t>
      </w:r>
      <w:r w:rsidR="08585781" w:rsidRPr="00273106">
        <w:rPr>
          <w:rStyle w:val="CittHTML"/>
          <w:iCs w:val="0"/>
        </w:rPr>
        <w:t>in hoc convenit nobiscum Themistius</w:t>
      </w:r>
      <w:r w:rsidR="08585781">
        <w:rPr>
          <w:rStyle w:val="CittHTML"/>
          <w:iCs w:val="0"/>
        </w:rPr>
        <w:fldChar w:fldCharType="begin"/>
      </w:r>
      <w:r w:rsidR="08585781">
        <w:instrText xml:space="preserve"> XE "</w:instrText>
      </w:r>
      <w:r w:rsidR="08585781" w:rsidRPr="00C006A1">
        <w:instrText>Themistius</w:instrText>
      </w:r>
      <w:r w:rsidR="08585781">
        <w:instrText xml:space="preserve">" </w:instrText>
      </w:r>
      <w:r w:rsidR="08585781">
        <w:rPr>
          <w:rStyle w:val="CittHTML"/>
          <w:iCs w:val="0"/>
        </w:rPr>
        <w:fldChar w:fldCharType="end"/>
      </w:r>
      <w:r w:rsidR="08CE1EBE">
        <w:rPr>
          <w:rStyle w:val="CittHTML"/>
          <w:i w:val="0"/>
          <w:iCs w:val="0"/>
        </w:rPr>
        <w:t>; OBJ I</w:t>
      </w:r>
      <w:r w:rsidR="08CF1504">
        <w:rPr>
          <w:rStyle w:val="CittHTML"/>
          <w:i w:val="0"/>
          <w:iCs w:val="0"/>
        </w:rPr>
        <w:t xml:space="preserve">, </w:t>
      </w:r>
      <w:r w:rsidR="08585781">
        <w:rPr>
          <w:rStyle w:val="CittHTML"/>
          <w:i w:val="0"/>
          <w:iCs w:val="0"/>
        </w:rPr>
        <w:t>kap. 2.4.3</w:t>
      </w:r>
      <w:r w:rsidR="08585781" w:rsidRPr="00273106">
        <w:t xml:space="preserve">) </w:t>
      </w:r>
      <w:r w:rsidR="00A67617">
        <w:t>a transformoval</w:t>
      </w:r>
      <w:r w:rsidR="00A67617" w:rsidRPr="00273106">
        <w:t xml:space="preserve"> jej na nový </w:t>
      </w:r>
      <w:r w:rsidR="00A67617" w:rsidRPr="00273106">
        <w:rPr>
          <w:i/>
        </w:rPr>
        <w:t>intellectus possibilis</w:t>
      </w:r>
      <w:r w:rsidR="00A67617" w:rsidRPr="00273106">
        <w:t xml:space="preserve"> podle </w:t>
      </w:r>
      <w:r w:rsidR="08585781" w:rsidRPr="00273106">
        <w:t>Alexandra</w:t>
      </w:r>
      <w:r w:rsidR="08585781">
        <w:fldChar w:fldCharType="begin"/>
      </w:r>
      <w:r w:rsidR="08585781">
        <w:instrText xml:space="preserve"> XE "Alexander, Afrodisias" </w:instrText>
      </w:r>
      <w:r w:rsidR="08585781">
        <w:fldChar w:fldCharType="end"/>
      </w:r>
      <w:r w:rsidR="00A67617" w:rsidRPr="00273106">
        <w:t>.</w:t>
      </w:r>
      <w:r w:rsidR="00A67617">
        <w:t xml:space="preserve"> </w:t>
      </w:r>
      <w:r w:rsidR="00F55641" w:rsidRPr="00273106">
        <w:t xml:space="preserve">Intelekt nemůže poznávat </w:t>
      </w:r>
      <w:r w:rsidR="00142B8B">
        <w:t>skrze vlastní sebereflexi a bez receptivity</w:t>
      </w:r>
      <w:r w:rsidR="00F55641" w:rsidRPr="00273106">
        <w:t>, protože jeho poznání je univerzální</w:t>
      </w:r>
      <w:r w:rsidR="00142B8B">
        <w:t xml:space="preserve"> tím, že je primárně potenciální</w:t>
      </w:r>
      <w:r w:rsidR="08585781">
        <w:t xml:space="preserve"> vzhledem ke smyslům</w:t>
      </w:r>
      <w:r w:rsidR="00F55641" w:rsidRPr="00273106">
        <w:t xml:space="preserve">. </w:t>
      </w:r>
      <w:r w:rsidR="08927A2A">
        <w:t>P</w:t>
      </w:r>
      <w:r w:rsidR="00210CD1">
        <w:t>latonské</w:t>
      </w:r>
      <w:r w:rsidR="00B233AF" w:rsidRPr="00273106">
        <w:t xml:space="preserve"> ideje dané jako jsoucno třetího druhu </w:t>
      </w:r>
      <w:r w:rsidR="006F5B3F">
        <w:t xml:space="preserve">reálně </w:t>
      </w:r>
      <w:r w:rsidR="00B233AF" w:rsidRPr="00273106">
        <w:t>neexistují</w:t>
      </w:r>
      <w:r w:rsidR="006F5B3F">
        <w:t xml:space="preserve">, tak je nelze ani poznat </w:t>
      </w:r>
      <w:r w:rsidR="00B233AF" w:rsidRPr="00273106">
        <w:t>(</w:t>
      </w:r>
      <w:r w:rsidR="00B233AF" w:rsidRPr="00273106">
        <w:rPr>
          <w:i/>
        </w:rPr>
        <w:t>imprimere, non potest, quod non est</w:t>
      </w:r>
      <w:r w:rsidR="009A41C4" w:rsidRPr="00273106">
        <w:t>).</w:t>
      </w:r>
      <w:r w:rsidR="009C4037" w:rsidRPr="00273106">
        <w:rPr>
          <w:rStyle w:val="Znakapoznpodarou"/>
        </w:rPr>
        <w:footnoteReference w:id="183"/>
      </w:r>
      <w:r w:rsidR="009A41C4" w:rsidRPr="00273106">
        <w:t xml:space="preserve"> L</w:t>
      </w:r>
      <w:r w:rsidR="00B233AF" w:rsidRPr="00273106">
        <w:t xml:space="preserve">idský intelekt má primárně receptivní charakter determinovaný smyslovou zkušeností. Podobnost formy ve věci a v intelektu zakládá poznání skrze </w:t>
      </w:r>
      <w:r w:rsidR="008918EE" w:rsidRPr="00273106">
        <w:t xml:space="preserve">vytvořené </w:t>
      </w:r>
      <w:r w:rsidR="00B233AF" w:rsidRPr="00273106">
        <w:t>univerzálie (</w:t>
      </w:r>
      <w:r w:rsidR="00B233AF" w:rsidRPr="00273106">
        <w:rPr>
          <w:i/>
        </w:rPr>
        <w:t>intelligibilia esse, quae hujusmodi similitudines, seu passiones imprimunt in intellectu</w:t>
      </w:r>
      <w:r w:rsidR="00052CC2">
        <w:rPr>
          <w:i/>
        </w:rPr>
        <w:t>i</w:t>
      </w:r>
      <w:r w:rsidR="00B233AF" w:rsidRPr="00273106">
        <w:rPr>
          <w:i/>
        </w:rPr>
        <w:t xml:space="preserve"> nostro</w:t>
      </w:r>
      <w:r w:rsidR="00B233AF" w:rsidRPr="00273106">
        <w:t xml:space="preserve">). Klíčový rozdíl </w:t>
      </w:r>
      <w:r w:rsidR="00BD17E2" w:rsidRPr="00273106">
        <w:t xml:space="preserve">mezi Avicennou a </w:t>
      </w:r>
      <w:r w:rsidR="002E3B62">
        <w:t>Averroes</w:t>
      </w:r>
      <w:r w:rsidR="00BD17E2" w:rsidRPr="00273106">
        <w:t xml:space="preserve">em </w:t>
      </w:r>
      <w:r w:rsidR="007F4052">
        <w:t>a tím i mezi Toledskou a Sicil</w:t>
      </w:r>
      <w:r w:rsidR="087F35BB">
        <w:t>skou školou</w:t>
      </w:r>
      <w:r w:rsidR="007F4052">
        <w:t xml:space="preserve"> </w:t>
      </w:r>
      <w:r w:rsidR="00B233AF" w:rsidRPr="00273106">
        <w:t>je dán mezi dvěma složkami individuálního poznání duše. Aktivní intelekt zpracováv</w:t>
      </w:r>
      <w:r w:rsidR="083C62E5">
        <w:t xml:space="preserve">á inteligibilní </w:t>
      </w:r>
      <w:r w:rsidR="00E02E2A" w:rsidRPr="00E02E2A">
        <w:t>species</w:t>
      </w:r>
      <w:r w:rsidR="083C62E5">
        <w:t xml:space="preserve"> směrem od</w:t>
      </w:r>
      <w:r w:rsidR="00B233AF" w:rsidRPr="00273106">
        <w:t xml:space="preserve"> </w:t>
      </w:r>
      <w:r w:rsidR="00652F43">
        <w:t>(</w:t>
      </w:r>
      <w:r w:rsidR="00652F43" w:rsidRPr="00652F43">
        <w:rPr>
          <w:i/>
        </w:rPr>
        <w:t>ab</w:t>
      </w:r>
      <w:r w:rsidR="00652F43">
        <w:t xml:space="preserve">) </w:t>
      </w:r>
      <w:r w:rsidR="007C43FB">
        <w:t xml:space="preserve">personálního </w:t>
      </w:r>
      <w:r w:rsidR="00B233AF" w:rsidRPr="00273106">
        <w:t>činného intelektu (</w:t>
      </w:r>
      <w:r w:rsidR="00B233AF" w:rsidRPr="00273106">
        <w:rPr>
          <w:i/>
        </w:rPr>
        <w:t>similitudines intelligibiliu</w:t>
      </w:r>
      <w:r w:rsidR="00052CC2">
        <w:rPr>
          <w:i/>
        </w:rPr>
        <w:t xml:space="preserve">m impressae ab eidem intelectu </w:t>
      </w:r>
      <w:r w:rsidR="00B233AF" w:rsidRPr="00273106">
        <w:rPr>
          <w:i/>
        </w:rPr>
        <w:t>nostro</w:t>
      </w:r>
      <w:r w:rsidR="00B233AF" w:rsidRPr="00273106">
        <w:t xml:space="preserve">). Tím se aktivní část intelektuální duše liší od receptivní složky, která pasivně přijímá </w:t>
      </w:r>
      <w:r w:rsidR="083C62E5">
        <w:t>vněmy do</w:t>
      </w:r>
      <w:r w:rsidR="00380563">
        <w:t xml:space="preserve"> (</w:t>
      </w:r>
      <w:r w:rsidR="00380563" w:rsidRPr="00380563">
        <w:rPr>
          <w:i/>
        </w:rPr>
        <w:t>in</w:t>
      </w:r>
      <w:r w:rsidR="00380563">
        <w:t xml:space="preserve">) </w:t>
      </w:r>
      <w:r w:rsidR="00380563">
        <w:lastRenderedPageBreak/>
        <w:t xml:space="preserve">receptivního intelektu </w:t>
      </w:r>
      <w:r w:rsidR="00B233AF" w:rsidRPr="00273106">
        <w:t>směrem od smyslů (</w:t>
      </w:r>
      <w:r w:rsidR="00B233AF" w:rsidRPr="00273106">
        <w:rPr>
          <w:i/>
        </w:rPr>
        <w:t>passiones imprimunt in intellectu nostro</w:t>
      </w:r>
      <w:r w:rsidR="00B233AF" w:rsidRPr="00273106">
        <w:t>).  Znovu se dostává do</w:t>
      </w:r>
      <w:r w:rsidR="00B10320">
        <w:t xml:space="preserve"> hry spojení známé z Alvernova </w:t>
      </w:r>
      <w:r w:rsidR="00B233AF" w:rsidRPr="00273106">
        <w:t xml:space="preserve">traktátu </w:t>
      </w:r>
      <w:r w:rsidR="00B233AF" w:rsidRPr="00273106">
        <w:rPr>
          <w:i/>
        </w:rPr>
        <w:t>De potentiis animae et obiectis</w:t>
      </w:r>
      <w:r w:rsidR="00FC50B7">
        <w:t xml:space="preserve">, které opakuje </w:t>
      </w:r>
      <w:r w:rsidR="0851056F">
        <w:t>Alvernův pozdější</w:t>
      </w:r>
      <w:r w:rsidR="00941CC4">
        <w:t xml:space="preserve"> </w:t>
      </w:r>
      <w:r w:rsidR="0851056F">
        <w:t>výklad</w:t>
      </w:r>
      <w:r w:rsidR="00FC50B7">
        <w:t xml:space="preserve"> </w:t>
      </w:r>
      <w:r w:rsidR="00FC50B7" w:rsidRPr="00FC50B7">
        <w:rPr>
          <w:i/>
        </w:rPr>
        <w:t>De anima</w:t>
      </w:r>
      <w:r w:rsidR="00FC50B7">
        <w:t xml:space="preserve">. </w:t>
      </w:r>
      <w:r w:rsidR="00B233AF" w:rsidRPr="00273106">
        <w:t xml:space="preserve">Duše </w:t>
      </w:r>
      <w:r w:rsidR="088B5B91">
        <w:t xml:space="preserve">stojí ve středu dvojího pohybu </w:t>
      </w:r>
      <w:r w:rsidR="080A6104">
        <w:t>(</w:t>
      </w:r>
      <w:r w:rsidR="00B233AF" w:rsidRPr="00273106">
        <w:rPr>
          <w:i/>
        </w:rPr>
        <w:t>in</w:t>
      </w:r>
      <w:r w:rsidR="088B5B91">
        <w:t>‒</w:t>
      </w:r>
      <w:r w:rsidR="00B233AF" w:rsidRPr="00273106">
        <w:rPr>
          <w:i/>
        </w:rPr>
        <w:t>ab</w:t>
      </w:r>
      <w:r w:rsidR="080A6104">
        <w:t>)</w:t>
      </w:r>
      <w:r w:rsidR="00CF4C6F">
        <w:fldChar w:fldCharType="begin"/>
      </w:r>
      <w:r w:rsidR="00CF4C6F">
        <w:instrText xml:space="preserve"> XE "zjevování:nasvícení zepředu" </w:instrText>
      </w:r>
      <w:r w:rsidR="00CF4C6F">
        <w:fldChar w:fldCharType="end"/>
      </w:r>
      <w:r w:rsidR="00B233AF" w:rsidRPr="00273106">
        <w:t xml:space="preserve">. </w:t>
      </w:r>
      <w:r w:rsidR="009B1561">
        <w:t xml:space="preserve">Poznání přichází ze </w:t>
      </w:r>
      <w:r w:rsidR="00B233AF" w:rsidRPr="00273106">
        <w:t xml:space="preserve">světa </w:t>
      </w:r>
      <w:r w:rsidR="009B1561">
        <w:t xml:space="preserve">a je dáno </w:t>
      </w:r>
      <w:r w:rsidR="001A123E">
        <w:t xml:space="preserve">intencionálně </w:t>
      </w:r>
      <w:r w:rsidR="009B1561">
        <w:t>s</w:t>
      </w:r>
      <w:r w:rsidR="001A123E">
        <w:t>krze smysly</w:t>
      </w:r>
      <w:r w:rsidR="009B1561">
        <w:t>; takto aktualizované poznání pak duše přijímá v n</w:t>
      </w:r>
      <w:r w:rsidR="00B233AF" w:rsidRPr="00273106">
        <w:t>aše</w:t>
      </w:r>
      <w:r w:rsidR="00B547BD" w:rsidRPr="00273106">
        <w:t>m</w:t>
      </w:r>
      <w:r w:rsidR="00B233AF" w:rsidRPr="00273106">
        <w:t xml:space="preserve"> intelektu (</w:t>
      </w:r>
      <w:r w:rsidR="00B233AF" w:rsidRPr="00273106">
        <w:rPr>
          <w:i/>
        </w:rPr>
        <w:t>in intellectu</w:t>
      </w:r>
      <w:r w:rsidR="00C15A1D">
        <w:rPr>
          <w:i/>
        </w:rPr>
        <w:t>i</w:t>
      </w:r>
      <w:r w:rsidR="00B233AF" w:rsidRPr="00273106">
        <w:rPr>
          <w:i/>
        </w:rPr>
        <w:t xml:space="preserve"> nostro</w:t>
      </w:r>
      <w:r w:rsidR="009B1561">
        <w:t>). D</w:t>
      </w:r>
      <w:r w:rsidR="00320062">
        <w:t xml:space="preserve">uše poznává </w:t>
      </w:r>
      <w:r w:rsidR="00B233AF" w:rsidRPr="00273106">
        <w:t xml:space="preserve">svět v řádu syntetizované podobnosti, která je </w:t>
      </w:r>
      <w:r w:rsidR="00A97866">
        <w:t xml:space="preserve">univerzálním </w:t>
      </w:r>
      <w:r w:rsidR="00B233AF" w:rsidRPr="00273106">
        <w:t xml:space="preserve">rozvrhem </w:t>
      </w:r>
      <w:r w:rsidR="00A97866">
        <w:t xml:space="preserve">významů daných </w:t>
      </w:r>
      <w:r w:rsidR="080A6104">
        <w:t>od</w:t>
      </w:r>
      <w:r w:rsidR="00A96546" w:rsidRPr="00273106">
        <w:t xml:space="preserve"> </w:t>
      </w:r>
      <w:r w:rsidR="00B233AF" w:rsidRPr="00273106">
        <w:t>našeho intelektu (</w:t>
      </w:r>
      <w:r w:rsidR="00C15A1D">
        <w:rPr>
          <w:i/>
        </w:rPr>
        <w:t>ab eidem intelectu</w:t>
      </w:r>
      <w:r w:rsidR="00B233AF" w:rsidRPr="00273106">
        <w:rPr>
          <w:i/>
        </w:rPr>
        <w:t xml:space="preserve"> nostro</w:t>
      </w:r>
      <w:r w:rsidR="00B233AF" w:rsidRPr="00273106">
        <w:t xml:space="preserve">). </w:t>
      </w:r>
      <w:r w:rsidR="00320062">
        <w:t xml:space="preserve">Připomeňme </w:t>
      </w:r>
      <w:r w:rsidR="08D95E53">
        <w:t xml:space="preserve">rozdíl mezi </w:t>
      </w:r>
      <w:r w:rsidR="00320062" w:rsidRPr="00273106">
        <w:rPr>
          <w:i/>
        </w:rPr>
        <w:t>abstrahere</w:t>
      </w:r>
      <w:r w:rsidR="08D95E53">
        <w:t xml:space="preserve"> a </w:t>
      </w:r>
      <w:r w:rsidR="00320062" w:rsidRPr="00273106">
        <w:rPr>
          <w:i/>
        </w:rPr>
        <w:t>ordinar</w:t>
      </w:r>
      <w:r w:rsidR="08D95E53">
        <w:rPr>
          <w:i/>
        </w:rPr>
        <w:t>e</w:t>
      </w:r>
      <w:r w:rsidR="00320062">
        <w:t xml:space="preserve"> daný v anonymním spise </w:t>
      </w:r>
      <w:r w:rsidR="089A1B6F">
        <w:rPr>
          <w:i/>
        </w:rPr>
        <w:t>De anima et de potenciis eius</w:t>
      </w:r>
      <w:r w:rsidR="08CE1EBE">
        <w:t xml:space="preserve"> (kap. 2</w:t>
      </w:r>
      <w:r w:rsidR="00320062">
        <w:t>.2</w:t>
      </w:r>
      <w:r w:rsidR="085022FC">
        <w:t>.1</w:t>
      </w:r>
      <w:r w:rsidR="00320062">
        <w:t xml:space="preserve">). </w:t>
      </w:r>
      <w:r w:rsidR="00320062" w:rsidRPr="00273106">
        <w:t xml:space="preserve">Intencionalita v modu </w:t>
      </w:r>
      <w:r w:rsidR="00320062" w:rsidRPr="00273106">
        <w:rPr>
          <w:i/>
        </w:rPr>
        <w:t>intentio prima</w:t>
      </w:r>
      <w:r w:rsidR="00320062" w:rsidRPr="00273106">
        <w:t xml:space="preserve"> </w:t>
      </w:r>
      <w:r w:rsidR="00320062">
        <w:t xml:space="preserve">jde </w:t>
      </w:r>
      <w:r w:rsidR="00320062" w:rsidRPr="00273106">
        <w:t xml:space="preserve">směrem </w:t>
      </w:r>
      <w:r w:rsidR="00320062">
        <w:t>k recipovaným smyslovým fantasmatům</w:t>
      </w:r>
      <w:r w:rsidR="00320062" w:rsidRPr="00273106">
        <w:t xml:space="preserve"> a v modu </w:t>
      </w:r>
      <w:r w:rsidR="00320062" w:rsidRPr="00273106">
        <w:rPr>
          <w:i/>
        </w:rPr>
        <w:t>intentio secunda</w:t>
      </w:r>
      <w:r w:rsidR="00320062" w:rsidRPr="00273106">
        <w:t xml:space="preserve"> </w:t>
      </w:r>
      <w:r w:rsidR="08C52063">
        <w:t>recipuje i</w:t>
      </w:r>
      <w:r w:rsidR="00320062" w:rsidRPr="00273106">
        <w:t xml:space="preserve">nteligibilní </w:t>
      </w:r>
      <w:r w:rsidR="00E02E2A" w:rsidRPr="00E02E2A">
        <w:t>species</w:t>
      </w:r>
      <w:r w:rsidR="00320062">
        <w:fldChar w:fldCharType="begin"/>
      </w:r>
      <w:r w:rsidR="00320062">
        <w:instrText xml:space="preserve"> XE "intencionalita:první averroismus" </w:instrText>
      </w:r>
      <w:r w:rsidR="00320062">
        <w:fldChar w:fldCharType="end"/>
      </w:r>
      <w:r w:rsidR="00320062" w:rsidRPr="00273106">
        <w:t>.</w:t>
      </w:r>
      <w:r w:rsidR="00320062">
        <w:t xml:space="preserve"> </w:t>
      </w:r>
      <w:r w:rsidR="00B233AF" w:rsidRPr="00273106">
        <w:t xml:space="preserve">Pasivní intelekt je nezbytný pro </w:t>
      </w:r>
      <w:r w:rsidR="08D7489C">
        <w:t xml:space="preserve">následný </w:t>
      </w:r>
      <w:r w:rsidR="00B233AF" w:rsidRPr="00273106">
        <w:t>proces abstrakce</w:t>
      </w:r>
      <w:r w:rsidR="08D7489C">
        <w:t xml:space="preserve"> ve formálním intelektu</w:t>
      </w:r>
      <w:r w:rsidR="00B233AF" w:rsidRPr="00273106">
        <w:t>, protože poznání je možné jen skrze smyslový obraz. Alvernus</w:t>
      </w:r>
      <w:r w:rsidR="005F26BF" w:rsidRPr="00273106">
        <w:t xml:space="preserve"> se </w:t>
      </w:r>
      <w:r w:rsidR="00B233AF" w:rsidRPr="00273106">
        <w:t>přihlásil k základní tezi prvního averroismu</w:t>
      </w:r>
      <w:r w:rsidR="00D76734">
        <w:t xml:space="preserve"> o nasvícení smyslu j</w:t>
      </w:r>
      <w:r w:rsidR="08245E28">
        <w:t>so</w:t>
      </w:r>
      <w:r w:rsidR="00D76734">
        <w:t xml:space="preserve">ucna zepředu. Proto ve funkci kancléře univerzity a biskupa </w:t>
      </w:r>
      <w:r w:rsidR="0012146B" w:rsidRPr="00273106">
        <w:t>st</w:t>
      </w:r>
      <w:r w:rsidR="00B233AF" w:rsidRPr="00273106">
        <w:rPr>
          <w:rFonts w:eastAsia="Code2000"/>
        </w:rPr>
        <w:t xml:space="preserve">aví tehdejší </w:t>
      </w:r>
      <w:r w:rsidR="007A1739">
        <w:rPr>
          <w:rFonts w:eastAsia="Code2000"/>
        </w:rPr>
        <w:t xml:space="preserve">modernisty </w:t>
      </w:r>
      <w:r w:rsidR="006D1D44">
        <w:rPr>
          <w:rFonts w:eastAsia="Code2000"/>
        </w:rPr>
        <w:t xml:space="preserve">ze škol </w:t>
      </w:r>
      <w:r w:rsidR="006D1D44" w:rsidRPr="006D1D44">
        <w:rPr>
          <w:rFonts w:eastAsia="Code2000"/>
          <w:i/>
        </w:rPr>
        <w:t>Nominales</w:t>
      </w:r>
      <w:r w:rsidR="006D1D44">
        <w:rPr>
          <w:rFonts w:eastAsia="Code2000"/>
        </w:rPr>
        <w:t xml:space="preserve"> ovlivněné Toledskou školou </w:t>
      </w:r>
      <w:r w:rsidR="00B233AF" w:rsidRPr="00273106">
        <w:rPr>
          <w:rFonts w:eastAsia="Code2000"/>
        </w:rPr>
        <w:t xml:space="preserve">před jasnou volbu. Buď existuje jedna duše a mnohost jednání jako schopností jedné duše. Nebo se připustí mnohost </w:t>
      </w:r>
      <w:r w:rsidR="08F13E1C">
        <w:rPr>
          <w:rFonts w:eastAsia="Code2000"/>
        </w:rPr>
        <w:t xml:space="preserve">substancí </w:t>
      </w:r>
      <w:r w:rsidR="00B233AF" w:rsidRPr="00273106">
        <w:rPr>
          <w:rFonts w:eastAsia="Code2000"/>
        </w:rPr>
        <w:t>v člověku a pak chybí mnohost schopností, protože v tomto pomýleném modelu musí každé fakultě odpovídat jedna substance.</w:t>
      </w:r>
      <w:r w:rsidR="00A70C92">
        <w:rPr>
          <w:rFonts w:eastAsia="Code2000"/>
        </w:rPr>
        <w:t xml:space="preserve"> Vyhlášení války tehdejším latinským sofistům a dnešní kartezián</w:t>
      </w:r>
      <w:r w:rsidR="003D2D13">
        <w:rPr>
          <w:rFonts w:eastAsia="Code2000"/>
        </w:rPr>
        <w:t>s</w:t>
      </w:r>
      <w:r w:rsidR="00A70C92">
        <w:rPr>
          <w:rFonts w:eastAsia="Code2000"/>
        </w:rPr>
        <w:t>ké postmoderně vypadá následovně.</w:t>
      </w:r>
    </w:p>
    <w:p w14:paraId="644FA7F3" w14:textId="77777777" w:rsidR="00917ADA" w:rsidRDefault="00A70C92" w:rsidP="00917ADA">
      <w:pPr>
        <w:pStyle w:val="Citace"/>
        <w:rPr>
          <w:lang w:val="cs-CZ"/>
        </w:rPr>
      </w:pPr>
      <w:r>
        <w:t>„</w:t>
      </w:r>
      <w:r w:rsidR="00917ADA">
        <w:rPr>
          <w:lang w:val="cs-CZ"/>
        </w:rPr>
        <w:t>Tomuto člověku odpovím následovně. Buď uzná, že duše má mnohost schopností a potencí a je jednotná jako první substance</w:t>
      </w:r>
      <w:r w:rsidR="08971EA0">
        <w:rPr>
          <w:lang w:val="cs-CZ"/>
        </w:rPr>
        <w:t xml:space="preserve"> (</w:t>
      </w:r>
      <w:r w:rsidR="08971EA0" w:rsidRPr="08971EA0">
        <w:rPr>
          <w:rFonts w:eastAsia="Code2000"/>
          <w:i/>
        </w:rPr>
        <w:t>unam essentialiter</w:t>
      </w:r>
      <w:r w:rsidR="08971EA0">
        <w:rPr>
          <w:lang w:val="cs-CZ"/>
        </w:rPr>
        <w:t>)</w:t>
      </w:r>
      <w:r w:rsidR="08510FA8">
        <w:rPr>
          <w:lang w:val="cs-CZ"/>
        </w:rPr>
        <w:t>; n</w:t>
      </w:r>
      <w:r w:rsidR="00917ADA">
        <w:rPr>
          <w:lang w:val="cs-CZ"/>
        </w:rPr>
        <w:t>ebo prohlásí, že duše není substančně jednotná a má mnohost substancí,</w:t>
      </w:r>
      <w:r w:rsidR="00CB1FA8">
        <w:rPr>
          <w:lang w:val="cs-CZ"/>
        </w:rPr>
        <w:t xml:space="preserve"> protože pluralitu substancí v duši </w:t>
      </w:r>
      <w:r w:rsidR="00917ADA">
        <w:rPr>
          <w:lang w:val="cs-CZ"/>
        </w:rPr>
        <w:t>musí multiplikovat podle plurality daných schopností a potencí.“ </w:t>
      </w:r>
      <w:r w:rsidR="00B233AF" w:rsidRPr="00273106">
        <w:rPr>
          <w:rStyle w:val="Znakapoznpodarou"/>
        </w:rPr>
        <w:footnoteReference w:id="184"/>
      </w:r>
    </w:p>
    <w:p w14:paraId="5EEAF269" w14:textId="5686FE80" w:rsidR="08994E79" w:rsidRDefault="00B233AF" w:rsidP="00651CDA">
      <w:r w:rsidRPr="00273106">
        <w:t>Jednota osoby opět staví na pojetí duše v CMDA a v prvním averroismu, kde jedna duše vykonává různé činnosti (</w:t>
      </w:r>
      <w:r w:rsidR="00FF4BFA" w:rsidRPr="00A50B92">
        <w:rPr>
          <w:rFonts w:eastAsia="Code2000"/>
          <w:i/>
        </w:rPr>
        <w:t>multiplicem viribus</w:t>
      </w:r>
      <w:r w:rsidRPr="00273106">
        <w:t>) dané jako a</w:t>
      </w:r>
      <w:r w:rsidR="006C08C6" w:rsidRPr="00273106">
        <w:t xml:space="preserve">ktualizace různorodých potencí. </w:t>
      </w:r>
      <w:r w:rsidR="003D2D13" w:rsidRPr="00273106">
        <w:t>Duše není autonomní substancí v těle, které je na ni více či méně volně napojeno, ale stala se form</w:t>
      </w:r>
      <w:r w:rsidR="083A7C61">
        <w:t>ou vztaženou k reálné tělesné osobě</w:t>
      </w:r>
      <w:r w:rsidR="003D2D13">
        <w:fldChar w:fldCharType="begin"/>
      </w:r>
      <w:r w:rsidR="003D2D13">
        <w:instrText xml:space="preserve"> XE "duše:první averroismus" </w:instrText>
      </w:r>
      <w:r w:rsidR="003D2D13">
        <w:fldChar w:fldCharType="end"/>
      </w:r>
      <w:r w:rsidR="003D2D13" w:rsidRPr="00273106">
        <w:t>. V hylemorfické složenině nemůže m</w:t>
      </w:r>
      <w:r w:rsidR="003D2D13">
        <w:t>ít forma žádný primát. T</w:t>
      </w:r>
      <w:r w:rsidR="003D2D13" w:rsidRPr="00273106">
        <w:t xml:space="preserve">en </w:t>
      </w:r>
      <w:r w:rsidR="003D2D13">
        <w:t xml:space="preserve">patří stejnou měrou i tělu v rámci výkonu jedné existence </w:t>
      </w:r>
      <w:r w:rsidR="003D2D13" w:rsidRPr="00273106">
        <w:t>(</w:t>
      </w:r>
      <w:r w:rsidR="003D2D13" w:rsidRPr="00273106">
        <w:rPr>
          <w:i/>
        </w:rPr>
        <w:t xml:space="preserve">perfectio inquam essentialis ipsius, quae et pars illius est, et cum materia </w:t>
      </w:r>
      <w:r w:rsidR="003D2D13" w:rsidRPr="00273106">
        <w:rPr>
          <w:i/>
        </w:rPr>
        <w:lastRenderedPageBreak/>
        <w:t>prima componit et constituit illus</w:t>
      </w:r>
      <w:r w:rsidR="003D2D13" w:rsidRPr="00273106">
        <w:t xml:space="preserve">; ibid, p. 66). </w:t>
      </w:r>
      <w:r w:rsidR="006C08C6" w:rsidRPr="00273106">
        <w:t xml:space="preserve">Alvernus </w:t>
      </w:r>
      <w:r w:rsidR="00814732">
        <w:t xml:space="preserve">staví </w:t>
      </w:r>
      <w:r w:rsidR="006C08C6" w:rsidRPr="00273106">
        <w:t xml:space="preserve">Aristotelovu definici duše </w:t>
      </w:r>
      <w:r w:rsidR="0022557D">
        <w:t xml:space="preserve">jako entelechické formy těla </w:t>
      </w:r>
      <w:r w:rsidR="00814732">
        <w:t xml:space="preserve">proti avicennovskému </w:t>
      </w:r>
      <w:r w:rsidR="006C08C6" w:rsidRPr="00273106">
        <w:t>pojetí duše jako autonomní substance.</w:t>
      </w:r>
      <w:r w:rsidR="006C08C6" w:rsidRPr="00273106">
        <w:rPr>
          <w:rStyle w:val="Znakapoznpodarou"/>
        </w:rPr>
        <w:footnoteReference w:id="185"/>
      </w:r>
      <w:r w:rsidR="083A7C61">
        <w:t xml:space="preserve"> Tím padla </w:t>
      </w:r>
      <w:r w:rsidR="006C08C6" w:rsidRPr="00273106">
        <w:t xml:space="preserve">klasická Avicennova definice </w:t>
      </w:r>
      <w:r w:rsidR="002E2612">
        <w:t xml:space="preserve">hypostázované </w:t>
      </w:r>
      <w:r w:rsidR="006C08C6" w:rsidRPr="00273106">
        <w:t xml:space="preserve">duše jako </w:t>
      </w:r>
      <w:r w:rsidR="006C08C6" w:rsidRPr="00273106">
        <w:rPr>
          <w:i/>
        </w:rPr>
        <w:t>perfectio prima</w:t>
      </w:r>
      <w:r w:rsidR="006C08C6" w:rsidRPr="00273106">
        <w:t xml:space="preserve"> navázaná na samostatnou existenci </w:t>
      </w:r>
      <w:r w:rsidR="00BA251E">
        <w:t xml:space="preserve">duše jako </w:t>
      </w:r>
      <w:r w:rsidR="006C08C6" w:rsidRPr="00273106">
        <w:t>substanční formy</w:t>
      </w:r>
      <w:r w:rsidR="00BA251E">
        <w:t xml:space="preserve">. </w:t>
      </w:r>
      <w:r w:rsidR="08AF39BD">
        <w:t>T</w:t>
      </w:r>
      <w:r w:rsidR="08F4607A">
        <w:t xml:space="preserve">oto </w:t>
      </w:r>
      <w:r w:rsidR="08AF39BD">
        <w:t xml:space="preserve">hypostázované </w:t>
      </w:r>
      <w:r w:rsidR="08F4607A">
        <w:t xml:space="preserve">pojetí </w:t>
      </w:r>
      <w:r w:rsidR="08AF39BD">
        <w:t xml:space="preserve">duše podle </w:t>
      </w:r>
      <w:r w:rsidR="08F4607A">
        <w:t xml:space="preserve">Gundissalina odmítl i Grosseteste v prvním výkladu </w:t>
      </w:r>
      <w:r w:rsidR="08F4607A" w:rsidRPr="08F4607A">
        <w:rPr>
          <w:i/>
        </w:rPr>
        <w:t>De anima</w:t>
      </w:r>
      <w:r w:rsidR="08F4607A">
        <w:t xml:space="preserve"> </w:t>
      </w:r>
      <w:r w:rsidR="084338B2">
        <w:t>podle Averro</w:t>
      </w:r>
      <w:r w:rsidR="089177DD">
        <w:t>e</w:t>
      </w:r>
      <w:r w:rsidR="084338B2">
        <w:t>se</w:t>
      </w:r>
      <w:r w:rsidR="08F4607A">
        <w:t xml:space="preserve">. </w:t>
      </w:r>
      <w:r w:rsidR="00BA251E">
        <w:t xml:space="preserve">Aktivní intelekt </w:t>
      </w:r>
      <w:r w:rsidR="00591A18">
        <w:t>při</w:t>
      </w:r>
      <w:r w:rsidR="00BA251E">
        <w:t xml:space="preserve">daný k duši zvnějšku zajišťoval </w:t>
      </w:r>
      <w:r w:rsidR="002E2612">
        <w:t xml:space="preserve">křesťanským avicennistům </w:t>
      </w:r>
      <w:r w:rsidR="00BA251E">
        <w:t>nematerialitu a oddělenost lidské duše</w:t>
      </w:r>
      <w:r w:rsidR="089177DD">
        <w:t xml:space="preserve"> jako hypostáze</w:t>
      </w:r>
      <w:r w:rsidR="00BA251E">
        <w:t xml:space="preserve">, </w:t>
      </w:r>
      <w:r w:rsidR="089177DD">
        <w:t xml:space="preserve">který v modu habituality dané </w:t>
      </w:r>
      <w:r w:rsidR="089177DD" w:rsidRPr="089177DD">
        <w:rPr>
          <w:i/>
        </w:rPr>
        <w:t>semel</w:t>
      </w:r>
      <w:r w:rsidR="089177DD">
        <w:t>‒</w:t>
      </w:r>
      <w:r w:rsidR="089177DD" w:rsidRPr="089177DD">
        <w:rPr>
          <w:i/>
        </w:rPr>
        <w:t>semper</w:t>
      </w:r>
      <w:r w:rsidR="089177DD">
        <w:t xml:space="preserve"> držela i potenci hylemorfické existence (</w:t>
      </w:r>
      <w:r w:rsidR="089177DD">
        <w:rPr>
          <w:i/>
        </w:rPr>
        <w:t>potentia vitam haben</w:t>
      </w:r>
      <w:r w:rsidR="089177DD" w:rsidRPr="089177DD">
        <w:rPr>
          <w:i/>
        </w:rPr>
        <w:t>ti</w:t>
      </w:r>
      <w:r w:rsidR="089177DD">
        <w:rPr>
          <w:i/>
        </w:rPr>
        <w:t>s</w:t>
      </w:r>
      <w:r w:rsidR="0851056F">
        <w:t>, kap. 2</w:t>
      </w:r>
      <w:r w:rsidR="089177DD">
        <w:t xml:space="preserve">.2.1). Podle </w:t>
      </w:r>
      <w:r w:rsidR="081735C7">
        <w:t xml:space="preserve">neoplatonského a avicennistického </w:t>
      </w:r>
      <w:r w:rsidR="089177DD">
        <w:t xml:space="preserve">modelu </w:t>
      </w:r>
      <w:r w:rsidR="081735C7">
        <w:t xml:space="preserve">toletánů </w:t>
      </w:r>
      <w:r w:rsidR="089177DD">
        <w:t>tvoří primární dokonalost</w:t>
      </w:r>
      <w:r w:rsidR="089177DD" w:rsidRPr="00273106">
        <w:t xml:space="preserve"> </w:t>
      </w:r>
      <w:r w:rsidR="089177DD">
        <w:t xml:space="preserve">lidské </w:t>
      </w:r>
      <w:r w:rsidR="089177DD" w:rsidRPr="00273106">
        <w:t>duše</w:t>
      </w:r>
      <w:r w:rsidR="089177DD">
        <w:t xml:space="preserve"> </w:t>
      </w:r>
      <w:r w:rsidR="0851056F">
        <w:t xml:space="preserve">hypostázované </w:t>
      </w:r>
      <w:r w:rsidR="00BA251E">
        <w:t>intelektuální poznání</w:t>
      </w:r>
      <w:r w:rsidR="089177DD">
        <w:t xml:space="preserve"> dané aktuálně a habituálně</w:t>
      </w:r>
      <w:r w:rsidR="006C08C6" w:rsidRPr="00273106">
        <w:t xml:space="preserve">. </w:t>
      </w:r>
      <w:r w:rsidR="00591A18">
        <w:t xml:space="preserve">Alvernus </w:t>
      </w:r>
      <w:r w:rsidR="080C4990">
        <w:t xml:space="preserve">považuje </w:t>
      </w:r>
      <w:r w:rsidR="00591A18">
        <w:t>toto pojetí za heretické</w:t>
      </w:r>
      <w:r w:rsidR="080C4990">
        <w:t>. D</w:t>
      </w:r>
      <w:r w:rsidR="08003AAC">
        <w:t xml:space="preserve">uše přestala být entelechickou formou těla, což je její primární dokonalost dané jako </w:t>
      </w:r>
      <w:r w:rsidR="08003AAC" w:rsidRPr="08003AAC">
        <w:rPr>
          <w:i/>
        </w:rPr>
        <w:t>actus e</w:t>
      </w:r>
      <w:r w:rsidR="08003AAC">
        <w:rPr>
          <w:i/>
        </w:rPr>
        <w:t>s</w:t>
      </w:r>
      <w:r w:rsidR="08003AAC" w:rsidRPr="08003AAC">
        <w:rPr>
          <w:i/>
        </w:rPr>
        <w:t>sendi</w:t>
      </w:r>
      <w:r w:rsidR="00591A18">
        <w:t xml:space="preserve">. </w:t>
      </w:r>
      <w:r w:rsidR="08267338">
        <w:t xml:space="preserve">Člověk jako osoba existuje vždy, i když myslí málo nebo špatně. </w:t>
      </w:r>
      <w:r w:rsidR="08003AAC">
        <w:t>Intelekt je pouhá potence, která je př</w:t>
      </w:r>
      <w:r w:rsidR="085D0214">
        <w:t xml:space="preserve">idaná k </w:t>
      </w:r>
      <w:r w:rsidR="08003AAC">
        <w:t>základní dokonalosti</w:t>
      </w:r>
      <w:r w:rsidR="085D0214">
        <w:t xml:space="preserve"> dané jako existence osoby</w:t>
      </w:r>
      <w:r w:rsidR="08003AAC">
        <w:t xml:space="preserve">. </w:t>
      </w:r>
      <w:r w:rsidR="00A6407E" w:rsidRPr="00273106">
        <w:t xml:space="preserve">Nezávislá existence individuální duše před narozením </w:t>
      </w:r>
      <w:r w:rsidR="08057F0E">
        <w:t xml:space="preserve">proto </w:t>
      </w:r>
      <w:r w:rsidR="00A6407E" w:rsidRPr="00273106">
        <w:t>patří podle tohoto biskupa do heretických nauk</w:t>
      </w:r>
      <w:r w:rsidR="00A6407E">
        <w:t xml:space="preserve"> Platona, za které byl odsouzen panteista David z Dinantu</w:t>
      </w:r>
      <w:r w:rsidR="00A6407E">
        <w:fldChar w:fldCharType="begin"/>
      </w:r>
      <w:r w:rsidR="00A6407E">
        <w:instrText xml:space="preserve"> XE "</w:instrText>
      </w:r>
      <w:r w:rsidR="00A6407E" w:rsidRPr="00E64FDB">
        <w:instrText>David z Dinantu</w:instrText>
      </w:r>
      <w:r w:rsidR="00A6407E">
        <w:instrText xml:space="preserve">" </w:instrText>
      </w:r>
      <w:r w:rsidR="00A6407E">
        <w:fldChar w:fldCharType="end"/>
      </w:r>
      <w:r w:rsidR="00A6407E" w:rsidRPr="00273106">
        <w:t>.</w:t>
      </w:r>
      <w:r w:rsidR="00A6407E">
        <w:t xml:space="preserve"> </w:t>
      </w:r>
      <w:r w:rsidR="006C08C6" w:rsidRPr="00273106">
        <w:t xml:space="preserve">Hyleformická teorie člověka jako tělesného individua jasně dokazuje, že duše musí být </w:t>
      </w:r>
      <w:r w:rsidR="00C8513F">
        <w:t xml:space="preserve">stvořena přímo od boha, musí být jen </w:t>
      </w:r>
      <w:r w:rsidR="006C08C6" w:rsidRPr="00273106">
        <w:t>jedna</w:t>
      </w:r>
      <w:r w:rsidR="00C50AEC">
        <w:t xml:space="preserve"> a </w:t>
      </w:r>
      <w:r w:rsidR="00C8513F">
        <w:t xml:space="preserve">existuje v </w:t>
      </w:r>
      <w:r w:rsidR="00C50AEC">
        <w:t>těle</w:t>
      </w:r>
      <w:r w:rsidR="006C08C6" w:rsidRPr="00273106">
        <w:t xml:space="preserve">, protože jinak by </w:t>
      </w:r>
      <w:r w:rsidR="00C8513F">
        <w:t>člověk nebyl aktuální osoba</w:t>
      </w:r>
      <w:r w:rsidR="006C08C6" w:rsidRPr="00273106">
        <w:t xml:space="preserve">. </w:t>
      </w:r>
      <w:r w:rsidR="00BD17E2" w:rsidRPr="00273106">
        <w:t xml:space="preserve">Rané dílo </w:t>
      </w:r>
      <w:r w:rsidR="00BD17E2" w:rsidRPr="00273106">
        <w:rPr>
          <w:i/>
        </w:rPr>
        <w:t>De Universo</w:t>
      </w:r>
      <w:r w:rsidR="00BD17E2" w:rsidRPr="00273106">
        <w:t xml:space="preserve"> odmítá ideu světové duše (</w:t>
      </w:r>
      <w:r w:rsidR="00BD17E2" w:rsidRPr="00273106">
        <w:rPr>
          <w:i/>
        </w:rPr>
        <w:t>anima mundi</w:t>
      </w:r>
      <w:r w:rsidR="00B8135D">
        <w:rPr>
          <w:i/>
        </w:rPr>
        <w:fldChar w:fldCharType="begin"/>
      </w:r>
      <w:r w:rsidR="00B8135D">
        <w:instrText xml:space="preserve"> XE "</w:instrText>
      </w:r>
      <w:r w:rsidR="00B8135D" w:rsidRPr="00E13CCE">
        <w:rPr>
          <w:i/>
        </w:rPr>
        <w:instrText>anima mundi</w:instrText>
      </w:r>
      <w:r w:rsidR="00B8135D">
        <w:instrText xml:space="preserve">" </w:instrText>
      </w:r>
      <w:r w:rsidR="00B8135D">
        <w:rPr>
          <w:i/>
        </w:rPr>
        <w:fldChar w:fldCharType="end"/>
      </w:r>
      <w:r w:rsidR="00BD17E2" w:rsidRPr="00273106">
        <w:t>) a zdůrazňuje, že jde o výmys</w:t>
      </w:r>
      <w:r w:rsidR="082C536C">
        <w:t xml:space="preserve">l oněch </w:t>
      </w:r>
      <w:r w:rsidR="00BD17E2" w:rsidRPr="00273106">
        <w:rPr>
          <w:i/>
        </w:rPr>
        <w:t>sequaces Aristotelis</w:t>
      </w:r>
      <w:r w:rsidR="00BB1AC2">
        <w:rPr>
          <w:i/>
        </w:rPr>
        <w:fldChar w:fldCharType="begin"/>
      </w:r>
      <w:r w:rsidR="00BB1AC2">
        <w:instrText xml:space="preserve"> XE "</w:instrText>
      </w:r>
      <w:r w:rsidR="00CF4C6F">
        <w:instrText>druhý averroismus</w:instrText>
      </w:r>
      <w:r w:rsidR="00CF4C6F">
        <w:rPr>
          <w:i/>
        </w:rPr>
        <w:instrText>:</w:instrText>
      </w:r>
      <w:r w:rsidR="00BB1AC2" w:rsidRPr="00B81DDF">
        <w:rPr>
          <w:i/>
        </w:rPr>
        <w:instrText>sequaces Aristotelis</w:instrText>
      </w:r>
      <w:r w:rsidR="00BB1AC2">
        <w:instrText xml:space="preserve">" </w:instrText>
      </w:r>
      <w:r w:rsidR="00BB1AC2">
        <w:rPr>
          <w:i/>
        </w:rPr>
        <w:fldChar w:fldCharType="end"/>
      </w:r>
      <w:r w:rsidR="00BD17E2" w:rsidRPr="00273106">
        <w:t>, konkrétně Avicenny.</w:t>
      </w:r>
      <w:r w:rsidR="00BD17E2" w:rsidRPr="00273106">
        <w:rPr>
          <w:rStyle w:val="Znakapoznpodarou"/>
        </w:rPr>
        <w:footnoteReference w:id="186"/>
      </w:r>
      <w:r w:rsidR="00BD17E2" w:rsidRPr="00273106">
        <w:t xml:space="preserve"> Jak víme, tuto tezi výslovně odmítl Johannes Blund </w:t>
      </w:r>
      <w:r w:rsidR="08487887">
        <w:t>proti Davidovi z Dinantu (kap. 2</w:t>
      </w:r>
      <w:r w:rsidR="00BD17E2" w:rsidRPr="00273106">
        <w:t>.1</w:t>
      </w:r>
      <w:r w:rsidR="004C221B">
        <w:t>.3</w:t>
      </w:r>
      <w:r w:rsidR="00BD17E2" w:rsidRPr="00273106">
        <w:t>). V konečném důsledku by teorie separovaného aktivního intelektu vedla k</w:t>
      </w:r>
      <w:r w:rsidR="00B07DA3">
        <w:t>e</w:t>
      </w:r>
      <w:r w:rsidR="00BD17E2" w:rsidRPr="00273106">
        <w:t xml:space="preserve"> stěhování duší do různých těl.</w:t>
      </w:r>
      <w:r w:rsidR="009B6E88">
        <w:t xml:space="preserve"> </w:t>
      </w:r>
      <w:r w:rsidR="00B07DA3">
        <w:t>Jedinečná d</w:t>
      </w:r>
      <w:r w:rsidR="003E3906" w:rsidRPr="00273106">
        <w:t xml:space="preserve">uše </w:t>
      </w:r>
      <w:r w:rsidR="00B07DA3">
        <w:t xml:space="preserve">oživující jedinečnou tělesnou substanci </w:t>
      </w:r>
      <w:r w:rsidR="003E3906" w:rsidRPr="00273106">
        <w:t xml:space="preserve">obsahuje dvě schopnosti, což je závěr CMDA a také Alverna. A navíc jsou toto složky (smyslová/intelektuální) vzhledem k sobě v modu formální adekvace (pasivní/aktivní), což zakládá adekvační pojetí pravdy jako </w:t>
      </w:r>
      <w:r w:rsidR="002E3B62">
        <w:t>Averroes</w:t>
      </w:r>
      <w:r w:rsidR="003E3906" w:rsidRPr="00273106">
        <w:t xml:space="preserve">ovo </w:t>
      </w:r>
      <w:r w:rsidR="003E3906" w:rsidRPr="00273106">
        <w:rPr>
          <w:i/>
        </w:rPr>
        <w:t>proportio</w:t>
      </w:r>
      <w:r w:rsidR="00B95FE8">
        <w:rPr>
          <w:i/>
        </w:rPr>
        <w:fldChar w:fldCharType="begin"/>
      </w:r>
      <w:r w:rsidR="00B95FE8">
        <w:instrText xml:space="preserve"> XE "pravda:</w:instrText>
      </w:r>
      <w:r w:rsidR="00B95FE8" w:rsidRPr="00C771CB">
        <w:rPr>
          <w:i/>
        </w:rPr>
        <w:instrText>proportio</w:instrText>
      </w:r>
      <w:r w:rsidR="00B95FE8">
        <w:instrText xml:space="preserve">" </w:instrText>
      </w:r>
      <w:r w:rsidR="00B95FE8">
        <w:rPr>
          <w:i/>
        </w:rPr>
        <w:fldChar w:fldCharType="end"/>
      </w:r>
      <w:r w:rsidR="003E3906" w:rsidRPr="00273106">
        <w:t xml:space="preserve">. Alvernus tuto klíčovou část </w:t>
      </w:r>
      <w:r w:rsidR="002E3B62">
        <w:t>Averroes</w:t>
      </w:r>
      <w:r w:rsidR="003E3906" w:rsidRPr="00273106">
        <w:t xml:space="preserve">ova pojetí pravdy podává jako </w:t>
      </w:r>
      <w:r w:rsidR="08487887">
        <w:lastRenderedPageBreak/>
        <w:t xml:space="preserve">samozřejmou </w:t>
      </w:r>
      <w:r w:rsidR="003E3906" w:rsidRPr="00273106">
        <w:t>řečnickou otázku.</w:t>
      </w:r>
      <w:r w:rsidR="003E3906" w:rsidRPr="00273106">
        <w:rPr>
          <w:rStyle w:val="Znakapoznpodarou"/>
        </w:rPr>
        <w:footnoteReference w:id="187"/>
      </w:r>
      <w:r w:rsidR="00D0657A">
        <w:t xml:space="preserve"> Hned další věty obviňují </w:t>
      </w:r>
      <w:r w:rsidR="003E3906" w:rsidRPr="00273106">
        <w:rPr>
          <w:i/>
        </w:rPr>
        <w:t>sequaces Aristotelis</w:t>
      </w:r>
      <w:r w:rsidR="00B95FE8">
        <w:rPr>
          <w:i/>
        </w:rPr>
        <w:fldChar w:fldCharType="begin"/>
      </w:r>
      <w:r w:rsidR="00B95FE8">
        <w:instrText xml:space="preserve"> XE "druhý averroismus:</w:instrText>
      </w:r>
      <w:r w:rsidR="00B95FE8" w:rsidRPr="00996F90">
        <w:rPr>
          <w:i/>
        </w:rPr>
        <w:instrText>sequaces Aristotelis</w:instrText>
      </w:r>
      <w:r w:rsidR="00B95FE8">
        <w:instrText xml:space="preserve">" </w:instrText>
      </w:r>
      <w:r w:rsidR="00B95FE8">
        <w:rPr>
          <w:i/>
        </w:rPr>
        <w:fldChar w:fldCharType="end"/>
      </w:r>
      <w:r w:rsidR="003E3906" w:rsidRPr="00273106">
        <w:t xml:space="preserve">, že tuto klíčovou část nauky o receptivní intelektuální složce duše podali zkresleně. Z receptivní složky intelektu udělali pouhé materiální receptákulum a tím zamezili v duši vznik skutečného vědění podle </w:t>
      </w:r>
      <w:r w:rsidR="008E02F5">
        <w:t>Platon</w:t>
      </w:r>
      <w:r w:rsidR="003E3906" w:rsidRPr="00273106">
        <w:t>a a Aristotela.</w:t>
      </w:r>
      <w:r w:rsidR="003E3906" w:rsidRPr="00273106">
        <w:rPr>
          <w:rStyle w:val="Znakapoznpodarou"/>
        </w:rPr>
        <w:footnoteReference w:id="188"/>
      </w:r>
      <w:r w:rsidR="00CB4C42" w:rsidRPr="00273106">
        <w:t xml:space="preserve"> </w:t>
      </w:r>
      <w:r w:rsidR="003E3906" w:rsidRPr="00273106">
        <w:t xml:space="preserve">Tato část argumentace je klíčová, protože </w:t>
      </w:r>
      <w:r w:rsidR="081C0C7A">
        <w:t xml:space="preserve">Alvernus </w:t>
      </w:r>
      <w:r w:rsidR="003E3906" w:rsidRPr="00273106">
        <w:t>ukazuje dvojí interpretaci aristotelismu</w:t>
      </w:r>
      <w:r w:rsidR="00D0657A">
        <w:t xml:space="preserve"> podle Toledské a podle Sicilské školy</w:t>
      </w:r>
      <w:r w:rsidR="006E37C6">
        <w:fldChar w:fldCharType="begin"/>
      </w:r>
      <w:r w:rsidR="006E37C6">
        <w:instrText xml:space="preserve"> XE "</w:instrText>
      </w:r>
      <w:r w:rsidR="004A155A">
        <w:instrText>Sicilská škola</w:instrText>
      </w:r>
      <w:r w:rsidR="006E37C6">
        <w:instrText xml:space="preserve">" </w:instrText>
      </w:r>
      <w:r w:rsidR="006E37C6">
        <w:fldChar w:fldCharType="end"/>
      </w:r>
      <w:r w:rsidR="003E3906" w:rsidRPr="00273106">
        <w:t xml:space="preserve">. Alvernus odmítá jak nauku o odděleném </w:t>
      </w:r>
      <w:r w:rsidR="003E3906" w:rsidRPr="00273106">
        <w:rPr>
          <w:i/>
        </w:rPr>
        <w:t>intellectus agens</w:t>
      </w:r>
      <w:r w:rsidR="003E3906" w:rsidRPr="00273106">
        <w:t xml:space="preserve">, tak nauku o pouze smyslovém </w:t>
      </w:r>
      <w:r w:rsidR="003E3906" w:rsidRPr="00273106">
        <w:rPr>
          <w:i/>
        </w:rPr>
        <w:t>intellectus materialis</w:t>
      </w:r>
      <w:r w:rsidR="003E3906" w:rsidRPr="00273106">
        <w:t xml:space="preserve">. Obě teze stojí v protikladu s autentickým pojetím poznání podle </w:t>
      </w:r>
      <w:r w:rsidR="008E02F5">
        <w:t>Platon</w:t>
      </w:r>
      <w:r w:rsidR="003E3906" w:rsidRPr="00273106">
        <w:t xml:space="preserve">a a Aristotela. Oba </w:t>
      </w:r>
      <w:r w:rsidR="08C06F37">
        <w:t xml:space="preserve">antičtí </w:t>
      </w:r>
      <w:r w:rsidR="003E3906" w:rsidRPr="00273106">
        <w:t>filosofové obhajují jak receptivní, tak i aktivní stránku poznání.</w:t>
      </w:r>
      <w:r w:rsidR="007C4E0C">
        <w:t xml:space="preserve"> Alvernovo pojetí činného intel</w:t>
      </w:r>
      <w:r w:rsidR="003E3906" w:rsidRPr="00273106">
        <w:t xml:space="preserve">ektu </w:t>
      </w:r>
      <w:r w:rsidR="08C06F37">
        <w:t xml:space="preserve">proto </w:t>
      </w:r>
      <w:r w:rsidR="00E310E4">
        <w:t xml:space="preserve">nemá </w:t>
      </w:r>
      <w:r w:rsidR="003E3906" w:rsidRPr="00273106">
        <w:t>substanční</w:t>
      </w:r>
      <w:r w:rsidR="00E310E4">
        <w:t xml:space="preserve"> charakter</w:t>
      </w:r>
      <w:r w:rsidR="003E3906" w:rsidRPr="00273106">
        <w:t>, pro</w:t>
      </w:r>
      <w:r w:rsidR="00E310E4">
        <w:t xml:space="preserve">tože činný intelekt tvoří </w:t>
      </w:r>
      <w:r w:rsidR="003E3906" w:rsidRPr="00273106">
        <w:t xml:space="preserve">výkon duše, která aktivně syntetizuje inteligibilní </w:t>
      </w:r>
      <w:r w:rsidR="00E02E2A" w:rsidRPr="00E02E2A">
        <w:t>species</w:t>
      </w:r>
      <w:r w:rsidR="003E3906" w:rsidRPr="00273106">
        <w:t xml:space="preserve">. </w:t>
      </w:r>
      <w:r w:rsidR="00FD63D9" w:rsidRPr="00273106">
        <w:t>První a druhý averroi</w:t>
      </w:r>
      <w:r w:rsidR="00290AE3">
        <w:t>s</w:t>
      </w:r>
      <w:r w:rsidR="00FD63D9" w:rsidRPr="00273106">
        <w:t xml:space="preserve">mus nemá stejné pojetí intelektu, stejně jako nemá stejné pojetí </w:t>
      </w:r>
      <w:r w:rsidR="00E02E2A" w:rsidRPr="00E02E2A">
        <w:t>species</w:t>
      </w:r>
      <w:r w:rsidR="08470F03">
        <w:t xml:space="preserve"> (kap. 2</w:t>
      </w:r>
      <w:r w:rsidR="00FD63D9" w:rsidRPr="00273106">
        <w:t xml:space="preserve">.1). </w:t>
      </w:r>
      <w:r w:rsidR="003E3906" w:rsidRPr="00273106">
        <w:t>Činný intelekt jako završení individuálního procesu</w:t>
      </w:r>
      <w:r w:rsidR="006D618E">
        <w:t xml:space="preserve"> intencionality a abstrakce </w:t>
      </w:r>
      <w:r w:rsidR="003E3906" w:rsidRPr="00273106">
        <w:t>spadá do palety různých schopností jedné duše oživující</w:t>
      </w:r>
      <w:r w:rsidR="00826CE5" w:rsidRPr="00273106">
        <w:t xml:space="preserve"> hylemorfickou první substanci.</w:t>
      </w:r>
    </w:p>
    <w:p w14:paraId="76629DE0" w14:textId="15F2B369" w:rsidR="009563C3" w:rsidRDefault="08994E79" w:rsidP="00651CDA">
      <w:r>
        <w:tab/>
      </w:r>
      <w:r w:rsidR="00CD5B70" w:rsidRPr="00273106">
        <w:t xml:space="preserve">Odlišením dvou forem </w:t>
      </w:r>
      <w:r w:rsidR="00CD5B70"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B95FE8">
        <w:instrText>:</w:instrText>
      </w:r>
      <w:r w:rsidR="00B95FE8" w:rsidRPr="00B95FE8">
        <w:instrText>Alvernus</w:instrText>
      </w:r>
      <w:r w:rsidR="00DF1F0F">
        <w:instrText xml:space="preserve">" </w:instrText>
      </w:r>
      <w:r w:rsidR="00DF1F0F">
        <w:rPr>
          <w:i/>
        </w:rPr>
        <w:fldChar w:fldCharType="end"/>
      </w:r>
      <w:r w:rsidR="00CD5B70" w:rsidRPr="00273106">
        <w:t xml:space="preserve"> v Alvernově díle padá základní argument Calluse proti autorství Alverna jako autora </w:t>
      </w:r>
      <w:r w:rsidR="00CD5B70" w:rsidRPr="00273106">
        <w:rPr>
          <w:i/>
        </w:rPr>
        <w:t>De potentiis animae et obiectis</w:t>
      </w:r>
      <w:r w:rsidR="00F82343">
        <w:t xml:space="preserve"> </w:t>
      </w:r>
      <w:r w:rsidR="082D12DB">
        <w:t>(kap. 2</w:t>
      </w:r>
      <w:r w:rsidR="00F82343" w:rsidRPr="00273106">
        <w:t>.2</w:t>
      </w:r>
      <w:r w:rsidR="085022FC">
        <w:t>.2</w:t>
      </w:r>
      <w:r w:rsidR="00F82343" w:rsidRPr="00273106">
        <w:t>)</w:t>
      </w:r>
      <w:r w:rsidR="00CD5B70" w:rsidRPr="00273106">
        <w:t xml:space="preserve">. </w:t>
      </w:r>
      <w:r w:rsidR="003E3906" w:rsidRPr="00273106">
        <w:t xml:space="preserve">Tento klíčový rozdíl v pojetí </w:t>
      </w:r>
      <w:r w:rsidR="003E3906" w:rsidRPr="00273106">
        <w:rPr>
          <w:i/>
        </w:rPr>
        <w:t>intellectus agens</w:t>
      </w:r>
      <w:r w:rsidR="003E3906" w:rsidRPr="00273106">
        <w:t xml:space="preserve"> mezi Avicennou a </w:t>
      </w:r>
      <w:r w:rsidR="002E3B62">
        <w:t>Averroes</w:t>
      </w:r>
      <w:r w:rsidR="003E3906" w:rsidRPr="00273106">
        <w:t xml:space="preserve">em opominul Callus při posuzování autorství traktátu. </w:t>
      </w:r>
      <w:r w:rsidR="00C7565F">
        <w:t>V</w:t>
      </w:r>
      <w:r w:rsidR="003E3906" w:rsidRPr="00273106">
        <w:t xml:space="preserve">yloučil Alverna jako autora spisu na základě </w:t>
      </w:r>
      <w:r w:rsidR="006E3A11" w:rsidRPr="00273106">
        <w:t xml:space="preserve">anonymova </w:t>
      </w:r>
      <w:r w:rsidR="003E3906" w:rsidRPr="00273106">
        <w:t xml:space="preserve">velmi dobře dosvědčeného odporu k oddělenému </w:t>
      </w:r>
      <w:r w:rsidR="003E3906" w:rsidRPr="00273106">
        <w:rPr>
          <w:i/>
        </w:rPr>
        <w:t>intellectus agens</w:t>
      </w:r>
      <w:r w:rsidR="006E3A11" w:rsidRPr="00273106">
        <w:t xml:space="preserve"> jako poznávající složky duše</w:t>
      </w:r>
      <w:r>
        <w:t xml:space="preserve"> (Callus  1952, 138‒</w:t>
      </w:r>
      <w:r w:rsidR="0075244E">
        <w:t xml:space="preserve">40). </w:t>
      </w:r>
      <w:r w:rsidR="00842ABA">
        <w:t xml:space="preserve">Callus chybně usoudil, že </w:t>
      </w:r>
      <w:r w:rsidR="00842ABA" w:rsidRPr="00273106">
        <w:t>Alvernus</w:t>
      </w:r>
      <w:r w:rsidR="00842ABA">
        <w:t xml:space="preserve"> obhajoval teorii separovaného činného</w:t>
      </w:r>
      <w:r w:rsidR="0075244E">
        <w:t xml:space="preserve"> intelekt</w:t>
      </w:r>
      <w:r w:rsidR="00842ABA">
        <w:t xml:space="preserve">u, který </w:t>
      </w:r>
      <w:r w:rsidR="006D618E">
        <w:t>působ</w:t>
      </w:r>
      <w:r w:rsidR="00D41434">
        <w:t>í</w:t>
      </w:r>
      <w:r w:rsidR="00842ABA">
        <w:t xml:space="preserve"> na lidskou duši</w:t>
      </w:r>
      <w:r w:rsidR="088F6DAC">
        <w:t>. Tuto tezi</w:t>
      </w:r>
      <w:r w:rsidR="00497D86">
        <w:t xml:space="preserve"> </w:t>
      </w:r>
      <w:r w:rsidR="00A132DB">
        <w:t>hermeneutika zásadně popírá</w:t>
      </w:r>
      <w:r w:rsidR="088F6DAC">
        <w:t xml:space="preserve"> a </w:t>
      </w:r>
      <w:r>
        <w:t>předklá</w:t>
      </w:r>
      <w:r w:rsidR="00D203EC">
        <w:t xml:space="preserve">dá </w:t>
      </w:r>
      <w:r>
        <w:t xml:space="preserve">interpretaci Alvernova díla </w:t>
      </w:r>
      <w:r w:rsidR="00D203EC">
        <w:t>s ohledem na Blundovu školu a na spor mez</w:t>
      </w:r>
      <w:r w:rsidR="086741A2">
        <w:t>i Toledským a Sicil</w:t>
      </w:r>
      <w:r w:rsidR="00D203EC">
        <w:t>s</w:t>
      </w:r>
      <w:r w:rsidR="086741A2">
        <w:t>kým výkladem Averro</w:t>
      </w:r>
      <w:r w:rsidR="00D203EC">
        <w:t xml:space="preserve">esova korpusu. </w:t>
      </w:r>
      <w:r w:rsidR="00B51A57" w:rsidRPr="00273106">
        <w:t xml:space="preserve">Dvojí pojetí </w:t>
      </w:r>
      <w:r w:rsidR="00B51A57" w:rsidRPr="00273106">
        <w:rPr>
          <w:i/>
        </w:rPr>
        <w:t>intellectus agens</w:t>
      </w:r>
      <w:r w:rsidR="00B51A57" w:rsidRPr="00273106">
        <w:t xml:space="preserve"> </w:t>
      </w:r>
      <w:r w:rsidR="00B51A57">
        <w:t xml:space="preserve">najdeme </w:t>
      </w:r>
      <w:r w:rsidR="00B51A57" w:rsidRPr="00273106">
        <w:t xml:space="preserve">v obou </w:t>
      </w:r>
      <w:r w:rsidR="00D53950">
        <w:t xml:space="preserve">anonymních </w:t>
      </w:r>
      <w:r w:rsidR="00B51A57" w:rsidRPr="00273106">
        <w:t xml:space="preserve">traktátech </w:t>
      </w:r>
      <w:r w:rsidR="00B51A57">
        <w:t>a v rámci stejné argumentace</w:t>
      </w:r>
      <w:r w:rsidR="00B51A57" w:rsidRPr="00273106">
        <w:t xml:space="preserve">. Oddělený činný intelekt je definován jako </w:t>
      </w:r>
      <w:r w:rsidR="00874074">
        <w:t>neoplatonsk</w:t>
      </w:r>
      <w:r w:rsidR="00B51A57" w:rsidRPr="00273106">
        <w:t>á</w:t>
      </w:r>
      <w:r w:rsidR="00B51A57">
        <w:t xml:space="preserve"> příčina</w:t>
      </w:r>
      <w:r w:rsidR="00B51A57" w:rsidRPr="00273106">
        <w:t xml:space="preserve"> pohybu a poznání kosmických inteligencí. Tím se </w:t>
      </w:r>
      <w:r w:rsidR="004D7B22">
        <w:t xml:space="preserve">kosmický </w:t>
      </w:r>
      <w:r w:rsidR="004D7B22" w:rsidRPr="00273106">
        <w:rPr>
          <w:i/>
        </w:rPr>
        <w:t>intellectus agens</w:t>
      </w:r>
      <w:r w:rsidR="004D7B22" w:rsidRPr="00273106">
        <w:t xml:space="preserve"> liší </w:t>
      </w:r>
      <w:r w:rsidR="00B51A57">
        <w:t>kategoriálně</w:t>
      </w:r>
      <w:r w:rsidR="004D7B22">
        <w:t xml:space="preserve">, genericky </w:t>
      </w:r>
      <w:r w:rsidR="004D7B22">
        <w:lastRenderedPageBreak/>
        <w:t xml:space="preserve">a metafyzicky </w:t>
      </w:r>
      <w:r w:rsidR="00B51A57" w:rsidRPr="00273106">
        <w:t xml:space="preserve">od </w:t>
      </w:r>
      <w:r w:rsidR="002E3B62">
        <w:t>Averroes</w:t>
      </w:r>
      <w:r w:rsidR="00B51A57" w:rsidRPr="00273106">
        <w:t xml:space="preserve">ovy aktivní, syntetické a individuální schopnosti poznání integrované do nemateriální části duše podle výkladu </w:t>
      </w:r>
      <w:r w:rsidR="00B51A57">
        <w:rPr>
          <w:i/>
        </w:rPr>
        <w:t>De anima</w:t>
      </w:r>
      <w:r w:rsidR="00B51A57" w:rsidRPr="00273106">
        <w:t xml:space="preserve">. </w:t>
      </w:r>
      <w:r w:rsidR="08EF2E11">
        <w:t>Pojetí intelektu schopného separace od těla (</w:t>
      </w:r>
      <w:r w:rsidR="00B51A57" w:rsidRPr="00273106">
        <w:rPr>
          <w:i/>
        </w:rPr>
        <w:t>intellectus qui est separabilis a corpore</w:t>
      </w:r>
      <w:r w:rsidR="08EF2E11">
        <w:t>)</w:t>
      </w:r>
      <w:r w:rsidR="00B51A57" w:rsidRPr="00273106">
        <w:t xml:space="preserve"> </w:t>
      </w:r>
      <w:r w:rsidR="08496322">
        <w:t>ne</w:t>
      </w:r>
      <w:r w:rsidR="00127C73">
        <w:rPr>
          <w:i/>
        </w:rPr>
        <w:fldChar w:fldCharType="begin"/>
      </w:r>
      <w:r w:rsidR="00127C73">
        <w:instrText xml:space="preserve"> XE "</w:instrText>
      </w:r>
      <w:r w:rsidR="00127C73" w:rsidRPr="00490D32">
        <w:rPr>
          <w:i/>
        </w:rPr>
        <w:instrText>intellectus agens</w:instrText>
      </w:r>
      <w:r w:rsidR="00127C73" w:rsidRPr="00B95FE8">
        <w:instrText>:Alvernus</w:instrText>
      </w:r>
      <w:r w:rsidR="00127C73">
        <w:instrText xml:space="preserve">" </w:instrText>
      </w:r>
      <w:r w:rsidR="00127C73">
        <w:rPr>
          <w:i/>
        </w:rPr>
        <w:fldChar w:fldCharType="end"/>
      </w:r>
      <w:r w:rsidR="00B51A57" w:rsidRPr="00273106">
        <w:t>p</w:t>
      </w:r>
      <w:r w:rsidR="002B58B3">
        <w:t>atří k</w:t>
      </w:r>
      <w:r w:rsidR="00F05D2A">
        <w:t xml:space="preserve"> člověku jako tělesné </w:t>
      </w:r>
      <w:r w:rsidR="002B58B3">
        <w:t>substanci</w:t>
      </w:r>
      <w:r w:rsidR="08496322">
        <w:t xml:space="preserve">. První averroismus tím označuje </w:t>
      </w:r>
      <w:r w:rsidR="002B58B3">
        <w:t xml:space="preserve">schopnost </w:t>
      </w:r>
      <w:r w:rsidR="00B51A57" w:rsidRPr="00273106">
        <w:t xml:space="preserve">nemateriálního intelektu separovaného touto schopností od smyslové poznávací složky, ale </w:t>
      </w:r>
      <w:r w:rsidR="08AC158E">
        <w:t xml:space="preserve">dané </w:t>
      </w:r>
      <w:r w:rsidR="00B51A57" w:rsidRPr="00273106">
        <w:t xml:space="preserve">v rámci jedné duše </w:t>
      </w:r>
      <w:r w:rsidR="00B51A57">
        <w:t xml:space="preserve">vybavené </w:t>
      </w:r>
      <w:r w:rsidR="00B51A57" w:rsidRPr="00273106">
        <w:t xml:space="preserve">různými poznávacími schopnostmi. </w:t>
      </w:r>
      <w:r w:rsidR="002B58B3">
        <w:t xml:space="preserve">Jak dále uvidíme tento zásadní rozdíl mezi aktivním intelektem jako </w:t>
      </w:r>
      <w:r w:rsidR="00B7207F">
        <w:t>„</w:t>
      </w:r>
      <w:r w:rsidR="002B58B3" w:rsidRPr="002B58B3">
        <w:rPr>
          <w:i/>
        </w:rPr>
        <w:t>separabilis</w:t>
      </w:r>
      <w:r w:rsidR="00B7207F">
        <w:t>“</w:t>
      </w:r>
      <w:r w:rsidR="002B58B3">
        <w:t xml:space="preserve"> a kosmickým intelektem Toledské školy v modu </w:t>
      </w:r>
      <w:r w:rsidR="00B7207F">
        <w:t>„</w:t>
      </w:r>
      <w:r w:rsidR="002B58B3" w:rsidRPr="002B58B3">
        <w:rPr>
          <w:i/>
        </w:rPr>
        <w:t>separatus</w:t>
      </w:r>
      <w:r w:rsidR="00B7207F">
        <w:t>“</w:t>
      </w:r>
      <w:r w:rsidR="002B58B3">
        <w:t xml:space="preserve"> </w:t>
      </w:r>
      <w:r w:rsidR="002B58B3">
        <w:fldChar w:fldCharType="begin"/>
      </w:r>
      <w:r w:rsidR="002B58B3">
        <w:instrText xml:space="preserve"> XE "intelekt:</w:instrText>
      </w:r>
      <w:r w:rsidR="002B58B3" w:rsidRPr="008E31F8">
        <w:rPr>
          <w:i/>
        </w:rPr>
        <w:instrText>separabilis</w:instrText>
      </w:r>
      <w:r w:rsidR="002B58B3">
        <w:instrText>/</w:instrText>
      </w:r>
      <w:r w:rsidR="002B58B3" w:rsidRPr="008E31F8">
        <w:rPr>
          <w:i/>
        </w:rPr>
        <w:instrText>separatus</w:instrText>
      </w:r>
      <w:r w:rsidR="002B58B3">
        <w:instrText xml:space="preserve">" </w:instrText>
      </w:r>
      <w:r w:rsidR="002B58B3">
        <w:fldChar w:fldCharType="end"/>
      </w:r>
      <w:r w:rsidR="002B58B3">
        <w:t>bude hrát klíčovou roli v polemice Sigera z Brabantu</w:t>
      </w:r>
      <w:r w:rsidR="081B1F35">
        <w:t xml:space="preserve"> proti Akvinskému</w:t>
      </w:r>
      <w:r w:rsidR="081C6290">
        <w:t xml:space="preserve">. Největší znalec Komentátora odmítl </w:t>
      </w:r>
      <w:r w:rsidR="00FB6FAD">
        <w:t xml:space="preserve">výkladem tohoto Alvernova termínu </w:t>
      </w:r>
      <w:r w:rsidR="002B58B3">
        <w:t xml:space="preserve">semiaverroismus </w:t>
      </w:r>
      <w:r w:rsidR="081C6290">
        <w:t xml:space="preserve">Akvinského </w:t>
      </w:r>
      <w:r w:rsidR="00144D0A">
        <w:fldChar w:fldCharType="begin"/>
      </w:r>
      <w:r w:rsidR="00144D0A">
        <w:instrText xml:space="preserve"> XE "semi</w:instrText>
      </w:r>
      <w:r w:rsidR="00144D0A" w:rsidRPr="00F66340">
        <w:instrText>averroismus</w:instrText>
      </w:r>
      <w:r w:rsidR="00144D0A">
        <w:instrText xml:space="preserve">" </w:instrText>
      </w:r>
      <w:r w:rsidR="00144D0A">
        <w:fldChar w:fldCharType="end"/>
      </w:r>
      <w:r w:rsidR="002B58B3">
        <w:t>v modu Toledského výkladu Aristotela</w:t>
      </w:r>
      <w:r w:rsidR="00144D0A">
        <w:fldChar w:fldCharType="begin"/>
      </w:r>
      <w:r w:rsidR="00144D0A">
        <w:instrText xml:space="preserve"> XE "</w:instrText>
      </w:r>
      <w:r w:rsidR="004A155A">
        <w:instrText>Toledská škola</w:instrText>
      </w:r>
      <w:r w:rsidR="00144D0A">
        <w:instrText xml:space="preserve">" </w:instrText>
      </w:r>
      <w:r w:rsidR="00144D0A">
        <w:fldChar w:fldCharType="end"/>
      </w:r>
      <w:r w:rsidR="084E026F">
        <w:t xml:space="preserve"> (</w:t>
      </w:r>
      <w:r w:rsidR="08CE1EBE">
        <w:t>OBJ III</w:t>
      </w:r>
      <w:r w:rsidR="08DA28FF">
        <w:t>, kap. 4</w:t>
      </w:r>
      <w:r w:rsidR="084E026F">
        <w:t>.4.2</w:t>
      </w:r>
      <w:r w:rsidR="002B58B3">
        <w:t>). Odděl</w:t>
      </w:r>
      <w:r w:rsidR="0800257A">
        <w:t>en</w:t>
      </w:r>
      <w:r w:rsidR="002B58B3">
        <w:t>ý</w:t>
      </w:r>
      <w:r w:rsidR="00B51A57" w:rsidRPr="00273106">
        <w:t xml:space="preserve"> </w:t>
      </w:r>
      <w:r w:rsidR="0800257A">
        <w:t xml:space="preserve">a tedy </w:t>
      </w:r>
      <w:r w:rsidR="00B51A57">
        <w:t xml:space="preserve">nemateriální </w:t>
      </w:r>
      <w:r w:rsidR="00B51A57" w:rsidRPr="00273106">
        <w:rPr>
          <w:i/>
        </w:rPr>
        <w:t>intellectus agens</w:t>
      </w:r>
      <w:r w:rsidR="00B51A57" w:rsidRPr="00273106">
        <w:t xml:space="preserve"> </w:t>
      </w:r>
      <w:r w:rsidR="00B51A57">
        <w:t xml:space="preserve">jako schopnost lidské duše </w:t>
      </w:r>
      <w:r w:rsidR="00B51A57" w:rsidRPr="00273106">
        <w:t xml:space="preserve">je shodně </w:t>
      </w:r>
      <w:r w:rsidR="00B51A57">
        <w:t xml:space="preserve">definovaný </w:t>
      </w:r>
      <w:r w:rsidR="00B51A57" w:rsidRPr="00273106">
        <w:t>v obou spisech</w:t>
      </w:r>
      <w:r w:rsidR="00B51A57">
        <w:t xml:space="preserve"> podle </w:t>
      </w:r>
      <w:r w:rsidR="00B51A57" w:rsidRPr="00273106">
        <w:t xml:space="preserve">CMDA. Tím je dána základní shoda díla </w:t>
      </w:r>
      <w:r w:rsidR="00B51A57" w:rsidRPr="00273106">
        <w:rPr>
          <w:i/>
        </w:rPr>
        <w:t>De potentiis animae et obiectis</w:t>
      </w:r>
      <w:r w:rsidR="00B51A57" w:rsidRPr="00273106">
        <w:t xml:space="preserve"> s Alvernovým spisem </w:t>
      </w:r>
      <w:r w:rsidR="00B51A57" w:rsidRPr="00273106">
        <w:rPr>
          <w:i/>
        </w:rPr>
        <w:t xml:space="preserve">De </w:t>
      </w:r>
      <w:r w:rsidR="00B51A57" w:rsidRPr="08980860">
        <w:rPr>
          <w:i/>
        </w:rPr>
        <w:t>anima</w:t>
      </w:r>
      <w:r w:rsidR="08980860">
        <w:t xml:space="preserve">, a to </w:t>
      </w:r>
      <w:r w:rsidR="08980860" w:rsidRPr="08980860">
        <w:t>v</w:t>
      </w:r>
      <w:r w:rsidR="08980860">
        <w:t xml:space="preserve"> rámci školy prvního averroismu. Oba spisy vznikly </w:t>
      </w:r>
      <w:r w:rsidR="006F5359">
        <w:t>v okruhu Blundovy školy, která zakládala Pařížskou univerzitu</w:t>
      </w:r>
      <w:r w:rsidR="00B51A57">
        <w:t xml:space="preserve">. </w:t>
      </w:r>
      <w:r w:rsidR="00430EAD">
        <w:t>S</w:t>
      </w:r>
      <w:r w:rsidR="00B51A57">
        <w:t xml:space="preserve">pis </w:t>
      </w:r>
      <w:r w:rsidR="00430EAD" w:rsidRPr="00273106">
        <w:rPr>
          <w:i/>
        </w:rPr>
        <w:t>De potentiis animae et obiectis</w:t>
      </w:r>
      <w:r w:rsidR="00430EAD">
        <w:t xml:space="preserve"> navíc </w:t>
      </w:r>
      <w:r w:rsidR="00B51A57">
        <w:t xml:space="preserve">jasně říká, že další argumenty jsou obsaženy v následujícím výkladu </w:t>
      </w:r>
      <w:r w:rsidR="00B51A57" w:rsidRPr="00B550B6">
        <w:rPr>
          <w:i/>
        </w:rPr>
        <w:t>De anima</w:t>
      </w:r>
      <w:r w:rsidR="00B51A57">
        <w:t xml:space="preserve"> (</w:t>
      </w:r>
      <w:r w:rsidR="00B51A57" w:rsidRPr="00962CAA">
        <w:rPr>
          <w:rStyle w:val="TextpoznpodarouChar"/>
          <w:i/>
        </w:rPr>
        <w:t>de alia vero loquamur in tractatu de anima rationali</w:t>
      </w:r>
      <w:r w:rsidR="08CE1EBE">
        <w:t>, kap. 2</w:t>
      </w:r>
      <w:r w:rsidR="00B51A57">
        <w:t>.2</w:t>
      </w:r>
      <w:r w:rsidR="085022FC">
        <w:t>.2</w:t>
      </w:r>
      <w:r w:rsidR="00B51A57">
        <w:t>). Proto lze p</w:t>
      </w:r>
      <w:r w:rsidR="00B51A57" w:rsidRPr="00273106">
        <w:t xml:space="preserve">řipsat autorství traktátu </w:t>
      </w:r>
      <w:r w:rsidR="00B51A57" w:rsidRPr="00273106">
        <w:rPr>
          <w:i/>
        </w:rPr>
        <w:t>De potentiis animae et obiectis</w:t>
      </w:r>
      <w:r w:rsidR="00B51A57" w:rsidRPr="00273106">
        <w:t xml:space="preserve"> přímo Alvernovi</w:t>
      </w:r>
      <w:r w:rsidR="08CC30DD">
        <w:t>,</w:t>
      </w:r>
      <w:r w:rsidR="00B51A57">
        <w:t xml:space="preserve"> a nikoliv jiným žákům z Blundovy školy</w:t>
      </w:r>
      <w:r w:rsidR="0890541D">
        <w:t>.</w:t>
      </w:r>
      <w:r w:rsidR="0890541D" w:rsidRPr="0890541D">
        <w:t xml:space="preserve"> </w:t>
      </w:r>
      <w:r w:rsidR="0890541D">
        <w:t>S</w:t>
      </w:r>
      <w:r w:rsidR="0890541D" w:rsidRPr="00273106">
        <w:t xml:space="preserve">tejný postoj </w:t>
      </w:r>
      <w:r w:rsidR="0890541D">
        <w:t xml:space="preserve">k pojetí separovaného intelektu </w:t>
      </w:r>
      <w:r w:rsidR="0890541D" w:rsidRPr="00273106">
        <w:t xml:space="preserve">zaujímá v další dekádě </w:t>
      </w:r>
      <w:r w:rsidR="0890541D">
        <w:t xml:space="preserve">Alvernův nástupce </w:t>
      </w:r>
      <w:r w:rsidR="0890541D" w:rsidRPr="00273106">
        <w:t xml:space="preserve">Albert </w:t>
      </w:r>
      <w:r w:rsidR="0890541D">
        <w:t xml:space="preserve">Veliký </w:t>
      </w:r>
      <w:r w:rsidR="0890541D" w:rsidRPr="00273106">
        <w:t xml:space="preserve">ve spisu </w:t>
      </w:r>
      <w:r w:rsidR="0890541D" w:rsidRPr="00273106">
        <w:rPr>
          <w:i/>
        </w:rPr>
        <w:t>De homine</w:t>
      </w:r>
      <w:r w:rsidR="00B33872">
        <w:t>, kde byla</w:t>
      </w:r>
      <w:r w:rsidR="0890541D" w:rsidRPr="00273106">
        <w:t xml:space="preserve"> provedena sy</w:t>
      </w:r>
      <w:r w:rsidR="08F25D21">
        <w:t>ntéza prvního averroismu (kap. 2</w:t>
      </w:r>
      <w:r w:rsidR="0890541D" w:rsidRPr="00273106">
        <w:t xml:space="preserve">.4.2). </w:t>
      </w:r>
      <w:r w:rsidR="0890541D">
        <w:t xml:space="preserve">A závěrečnou tečku za celým sporem udělá Siger z Brabantu brilantním rozlišením intelektu na odmítnutou formu </w:t>
      </w:r>
      <w:r w:rsidR="0890541D" w:rsidRPr="00FA553C">
        <w:rPr>
          <w:i/>
        </w:rPr>
        <w:t>separatus</w:t>
      </w:r>
      <w:r w:rsidR="0890541D">
        <w:t xml:space="preserve"> a přijatou formu </w:t>
      </w:r>
      <w:r w:rsidR="0890541D" w:rsidRPr="00FA553C">
        <w:rPr>
          <w:i/>
        </w:rPr>
        <w:t>separab</w:t>
      </w:r>
      <w:r w:rsidR="0890541D">
        <w:rPr>
          <w:i/>
        </w:rPr>
        <w:t>i</w:t>
      </w:r>
      <w:r w:rsidR="0890541D" w:rsidRPr="00FA553C">
        <w:rPr>
          <w:i/>
        </w:rPr>
        <w:t>lis</w:t>
      </w:r>
      <w:r w:rsidR="0890541D">
        <w:t xml:space="preserve">. </w:t>
      </w:r>
      <w:r w:rsidR="00A87771">
        <w:t xml:space="preserve">Předchozí </w:t>
      </w:r>
      <w:r w:rsidR="08066EEF">
        <w:t xml:space="preserve">kapitoly </w:t>
      </w:r>
      <w:r w:rsidR="00A87771">
        <w:t>podaly věcné důvody, proč</w:t>
      </w:r>
      <w:r w:rsidR="003E3906" w:rsidRPr="00273106">
        <w:t xml:space="preserve"> mezi prvním a druhým a</w:t>
      </w:r>
      <w:r w:rsidR="001C41A7" w:rsidRPr="00273106">
        <w:t>verrois</w:t>
      </w:r>
      <w:r w:rsidR="00C31793">
        <w:t xml:space="preserve">mem neexistuje univoční pojetí </w:t>
      </w:r>
      <w:r w:rsidR="00E02E2A" w:rsidRPr="00E02E2A">
        <w:t>species</w:t>
      </w:r>
      <w:r w:rsidR="009E1FA6">
        <w:rPr>
          <w:i/>
        </w:rPr>
        <w:fldChar w:fldCharType="begin"/>
      </w:r>
      <w:r w:rsidR="009E1FA6">
        <w:instrText xml:space="preserve"> XE "species:dvojí určení" </w:instrText>
      </w:r>
      <w:r w:rsidR="009E1FA6">
        <w:rPr>
          <w:i/>
        </w:rPr>
        <w:fldChar w:fldCharType="end"/>
      </w:r>
      <w:r w:rsidR="001C41A7" w:rsidRPr="00273106">
        <w:t xml:space="preserve">. Tím pádem ani nemůže být shoda </w:t>
      </w:r>
      <w:r w:rsidR="003E3906" w:rsidRPr="00273106">
        <w:t>vzhledem k žádné základní formě individualizovaného intelektu (</w:t>
      </w:r>
      <w:r w:rsidR="003E3906" w:rsidRPr="00273106">
        <w:rPr>
          <w:i/>
        </w:rPr>
        <w:t>intellectus possibilis</w:t>
      </w:r>
      <w:r w:rsidR="003E3906" w:rsidRPr="00273106">
        <w:t xml:space="preserve">, </w:t>
      </w:r>
      <w:r w:rsidR="003E3906" w:rsidRPr="00273106">
        <w:rPr>
          <w:i/>
        </w:rPr>
        <w:t>agens</w:t>
      </w:r>
      <w:r w:rsidR="003E3906" w:rsidRPr="00273106">
        <w:t xml:space="preserve">, </w:t>
      </w:r>
      <w:r w:rsidR="003E3906" w:rsidRPr="00273106">
        <w:rPr>
          <w:i/>
        </w:rPr>
        <w:t>speculativus</w:t>
      </w:r>
      <w:r w:rsidR="003E3906" w:rsidRPr="00273106">
        <w:t xml:space="preserve">, </w:t>
      </w:r>
      <w:r w:rsidR="003E3906" w:rsidRPr="00273106">
        <w:rPr>
          <w:i/>
        </w:rPr>
        <w:t>formalis</w:t>
      </w:r>
      <w:r w:rsidR="003E3906" w:rsidRPr="00273106">
        <w:t xml:space="preserve">), </w:t>
      </w:r>
      <w:r w:rsidR="00A160A6" w:rsidRPr="00273106">
        <w:t xml:space="preserve">která tyto </w:t>
      </w:r>
      <w:r w:rsidR="00C31793">
        <w:t xml:space="preserve">poznávací formy </w:t>
      </w:r>
      <w:r w:rsidR="00A160A6" w:rsidRPr="00273106">
        <w:t xml:space="preserve">produkuje. </w:t>
      </w:r>
      <w:r w:rsidR="003E3906" w:rsidRPr="00273106">
        <w:t xml:space="preserve">Tyto termíny </w:t>
      </w:r>
      <w:r w:rsidR="0093543D">
        <w:t xml:space="preserve">nemají </w:t>
      </w:r>
      <w:r w:rsidR="006D4EF4">
        <w:t xml:space="preserve">univoční </w:t>
      </w:r>
      <w:r w:rsidR="003E3906" w:rsidRPr="00273106">
        <w:t xml:space="preserve">význam </w:t>
      </w:r>
      <w:r w:rsidR="08904579">
        <w:t xml:space="preserve">hájený </w:t>
      </w:r>
      <w:r w:rsidR="006D4EF4" w:rsidRPr="00273106">
        <w:t xml:space="preserve">objektivní </w:t>
      </w:r>
      <w:r w:rsidR="003E3906" w:rsidRPr="00273106">
        <w:t>komparatistikou, protože vyjadřují rozdílné vidění smyslu jsoucna</w:t>
      </w:r>
      <w:r w:rsidR="00A160A6" w:rsidRPr="00273106">
        <w:t xml:space="preserve"> v prvním a ve druhém averroismu</w:t>
      </w:r>
      <w:r w:rsidR="003E3906" w:rsidRPr="00273106">
        <w:t xml:space="preserve">. </w:t>
      </w:r>
      <w:r w:rsidR="00141FEF" w:rsidRPr="00273106">
        <w:t xml:space="preserve">Objektivní a kritičtí badatelé se dopustili stejné chyby jako </w:t>
      </w:r>
      <w:r w:rsidR="08DE18BB">
        <w:t>alexandrovc</w:t>
      </w:r>
      <w:r w:rsidR="00141FEF" w:rsidRPr="00273106">
        <w:t>i</w:t>
      </w:r>
      <w:r w:rsidR="001762A8">
        <w:fldChar w:fldCharType="begin"/>
      </w:r>
      <w:r w:rsidR="001762A8">
        <w:instrText xml:space="preserve"> XE "</w:instrText>
      </w:r>
      <w:r w:rsidR="08DE18BB">
        <w:instrText>alexandrovci</w:instrText>
      </w:r>
      <w:r w:rsidR="001762A8">
        <w:instrText xml:space="preserve">" </w:instrText>
      </w:r>
      <w:r w:rsidR="001762A8">
        <w:fldChar w:fldCharType="end"/>
      </w:r>
      <w:r w:rsidR="00141FEF" w:rsidRPr="00273106">
        <w:t xml:space="preserve"> v době </w:t>
      </w:r>
      <w:r w:rsidR="002E3B62">
        <w:t>Averroes</w:t>
      </w:r>
      <w:r w:rsidR="00C10BDB">
        <w:t xml:space="preserve">e nebo </w:t>
      </w:r>
      <w:r w:rsidR="00141FEF" w:rsidRPr="00273106">
        <w:t xml:space="preserve">Alverna. Udělali z </w:t>
      </w:r>
      <w:r w:rsidR="08904579">
        <w:t xml:space="preserve">termínu </w:t>
      </w:r>
      <w:r w:rsidR="00596673" w:rsidRPr="00596673">
        <w:rPr>
          <w:i/>
        </w:rPr>
        <w:t>intellectus agens</w:t>
      </w:r>
      <w:r w:rsidR="00596673">
        <w:t xml:space="preserve"> </w:t>
      </w:r>
      <w:r w:rsidR="00A63327">
        <w:t>nebo z termínu</w:t>
      </w:r>
      <w:r w:rsidR="08904579">
        <w:t xml:space="preserve"> </w:t>
      </w:r>
      <w:r w:rsidR="004B4D52" w:rsidRPr="004B4D52">
        <w:t>species</w:t>
      </w:r>
      <w:r w:rsidR="001B5092" w:rsidRPr="00A63327">
        <w:rPr>
          <w:i/>
        </w:rPr>
        <w:t xml:space="preserve"> intelligibilis</w:t>
      </w:r>
      <w:r w:rsidR="001B5092">
        <w:t xml:space="preserve"> </w:t>
      </w:r>
      <w:r w:rsidR="00BE65B1">
        <w:t>objek</w:t>
      </w:r>
      <w:r w:rsidR="00A80533">
        <w:t xml:space="preserve">tivní </w:t>
      </w:r>
      <w:r w:rsidR="00141FEF" w:rsidRPr="00273106">
        <w:t>substanci</w:t>
      </w:r>
      <w:r w:rsidR="009E1FA6">
        <w:rPr>
          <w:i/>
        </w:rPr>
        <w:fldChar w:fldCharType="begin"/>
      </w:r>
      <w:r w:rsidR="009E1FA6">
        <w:instrText xml:space="preserve"> XE "substance:objektivní" </w:instrText>
      </w:r>
      <w:r w:rsidR="009E1FA6">
        <w:rPr>
          <w:i/>
        </w:rPr>
        <w:fldChar w:fldCharType="end"/>
      </w:r>
      <w:r w:rsidR="00141FEF" w:rsidRPr="00273106">
        <w:t xml:space="preserve">, která se </w:t>
      </w:r>
      <w:r w:rsidR="00BE65B1">
        <w:t>univočně</w:t>
      </w:r>
      <w:r w:rsidR="00BE65B1" w:rsidRPr="00273106">
        <w:t xml:space="preserve"> </w:t>
      </w:r>
      <w:r w:rsidR="00141FEF" w:rsidRPr="00273106">
        <w:t xml:space="preserve">zrcadlí v různých myslích na způsob Avicennova </w:t>
      </w:r>
      <w:r w:rsidR="00141FEF" w:rsidRPr="00273106">
        <w:lastRenderedPageBreak/>
        <w:t xml:space="preserve">činného intelektu. </w:t>
      </w:r>
      <w:r w:rsidR="00A63327">
        <w:t>Hermeneutika primár</w:t>
      </w:r>
      <w:r w:rsidR="08904579">
        <w:t>ně nesleduje, co je objektivně dáno</w:t>
      </w:r>
      <w:r w:rsidR="08757BC3">
        <w:t xml:space="preserve"> v učení současných alexandrovků. Společně s Komentátorem a školou prvního averroismu sledujeme, jak </w:t>
      </w:r>
      <w:r w:rsidR="00A63327">
        <w:t xml:space="preserve">je </w:t>
      </w:r>
      <w:r w:rsidR="08757BC3">
        <w:t>smysl jsoucna</w:t>
      </w:r>
      <w:r w:rsidR="00A71E7D">
        <w:t xml:space="preserve"> </w:t>
      </w:r>
      <w:r w:rsidR="08757BC3">
        <w:t xml:space="preserve">zjevován v dějinně </w:t>
      </w:r>
      <w:r w:rsidR="00A71E7D">
        <w:t>odhaleném</w:t>
      </w:r>
      <w:r w:rsidR="085C4026">
        <w:t xml:space="preserve"> bytí jsoucna</w:t>
      </w:r>
      <w:r w:rsidR="00A63327">
        <w:t xml:space="preserve">. </w:t>
      </w:r>
      <w:r w:rsidR="003E3906" w:rsidRPr="00273106">
        <w:t xml:space="preserve">Na Calluse a jeho </w:t>
      </w:r>
      <w:r w:rsidR="006D7239" w:rsidRPr="00273106">
        <w:t xml:space="preserve">současné </w:t>
      </w:r>
      <w:r w:rsidR="003E3906" w:rsidRPr="00273106">
        <w:t xml:space="preserve">následovníky </w:t>
      </w:r>
      <w:r w:rsidR="007C0DB1">
        <w:t xml:space="preserve">od </w:t>
      </w:r>
      <w:r w:rsidR="005801A4">
        <w:t xml:space="preserve">časů </w:t>
      </w:r>
      <w:r w:rsidR="007C0DB1">
        <w:t>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7C0DB1">
        <w:t xml:space="preserve"> </w:t>
      </w:r>
      <w:r w:rsidR="003E3906" w:rsidRPr="00273106">
        <w:t xml:space="preserve">platí </w:t>
      </w:r>
      <w:r w:rsidR="08713E4F">
        <w:t xml:space="preserve">následující </w:t>
      </w:r>
      <w:r w:rsidR="003E3906" w:rsidRPr="00273106">
        <w:t xml:space="preserve">Alvernova </w:t>
      </w:r>
      <w:r w:rsidR="00625197">
        <w:t xml:space="preserve">fenomenologická </w:t>
      </w:r>
      <w:r w:rsidR="003E3906" w:rsidRPr="00273106">
        <w:t xml:space="preserve">kritika </w:t>
      </w:r>
      <w:r w:rsidR="00625197">
        <w:t xml:space="preserve">spekulativních </w:t>
      </w:r>
      <w:r w:rsidR="008744A4">
        <w:t>modernistů</w:t>
      </w:r>
      <w:r w:rsidR="00D7138A">
        <w:t>.</w:t>
      </w:r>
    </w:p>
    <w:p w14:paraId="404FA49E" w14:textId="3C618DC8" w:rsidR="009563C3" w:rsidRDefault="009563C3" w:rsidP="009563C3">
      <w:pPr>
        <w:pStyle w:val="Citace"/>
        <w:rPr>
          <w:lang w:val="cs-CZ"/>
        </w:rPr>
      </w:pPr>
      <w:r>
        <w:t>„</w:t>
      </w:r>
      <w:r>
        <w:rPr>
          <w:lang w:val="cs-CZ"/>
        </w:rPr>
        <w:t xml:space="preserve">Když postulují činný intelekt kvůli výše uvedené nutnosti a potřebnosti, tím spíše je třeba postulovat tento intelekt jako </w:t>
      </w:r>
      <w:r w:rsidR="08DF3E8A">
        <w:rPr>
          <w:lang w:val="cs-CZ"/>
        </w:rPr>
        <w:t xml:space="preserve">potenci </w:t>
      </w:r>
      <w:r>
        <w:rPr>
          <w:lang w:val="cs-CZ"/>
        </w:rPr>
        <w:t>duše nebo její mohutnost</w:t>
      </w:r>
      <w:r w:rsidR="085D3F71">
        <w:rPr>
          <w:lang w:val="cs-CZ"/>
        </w:rPr>
        <w:t xml:space="preserve"> (</w:t>
      </w:r>
      <w:r w:rsidR="085D3F71" w:rsidRPr="085D3F71">
        <w:rPr>
          <w:i/>
        </w:rPr>
        <w:t>virtutem agentem, sive vim agentem</w:t>
      </w:r>
      <w:r w:rsidR="085D3F71">
        <w:rPr>
          <w:lang w:val="cs-CZ"/>
        </w:rPr>
        <w:t>)</w:t>
      </w:r>
      <w:r>
        <w:rPr>
          <w:lang w:val="cs-CZ"/>
        </w:rPr>
        <w:t xml:space="preserve">, která v aktu subsistentně </w:t>
      </w:r>
      <w:r w:rsidR="002838F3">
        <w:rPr>
          <w:lang w:val="cs-CZ"/>
        </w:rPr>
        <w:t xml:space="preserve">dané existence </w:t>
      </w:r>
      <w:r>
        <w:rPr>
          <w:lang w:val="cs-CZ"/>
        </w:rPr>
        <w:t>produkuje tyto schopnosti</w:t>
      </w:r>
      <w:r w:rsidR="002838F3">
        <w:rPr>
          <w:lang w:val="cs-CZ"/>
        </w:rPr>
        <w:t xml:space="preserve"> (</w:t>
      </w:r>
      <w:r w:rsidR="002838F3" w:rsidRPr="002838F3">
        <w:rPr>
          <w:i/>
        </w:rPr>
        <w:t>in actum essendi educentem ipsas virtutes</w:t>
      </w:r>
      <w:r w:rsidR="002838F3">
        <w:rPr>
          <w:lang w:val="cs-CZ"/>
        </w:rPr>
        <w:t>)</w:t>
      </w:r>
      <w:r>
        <w:rPr>
          <w:lang w:val="cs-CZ"/>
        </w:rPr>
        <w:t>. Je úplně jasné</w:t>
      </w:r>
      <w:r w:rsidR="00922A14">
        <w:rPr>
          <w:lang w:val="cs-CZ"/>
        </w:rPr>
        <w:t>,</w:t>
      </w:r>
      <w:r>
        <w:rPr>
          <w:lang w:val="cs-CZ"/>
        </w:rPr>
        <w:t xml:space="preserve"> že </w:t>
      </w:r>
      <w:r w:rsidR="008744A4">
        <w:rPr>
          <w:lang w:val="cs-CZ"/>
        </w:rPr>
        <w:t xml:space="preserve">oni </w:t>
      </w:r>
      <w:r>
        <w:rPr>
          <w:lang w:val="cs-CZ"/>
        </w:rPr>
        <w:t>se o této schopnosti duše vůbec nezmiňují.“ </w:t>
      </w:r>
      <w:r w:rsidR="003E3906" w:rsidRPr="00273106">
        <w:rPr>
          <w:rStyle w:val="Znakapoznpodarou"/>
        </w:rPr>
        <w:footnoteReference w:id="189"/>
      </w:r>
    </w:p>
    <w:p w14:paraId="0432BCCD" w14:textId="77777777" w:rsidR="003F07F3" w:rsidRDefault="08FC7224" w:rsidP="001B1453">
      <w:r>
        <w:t>Ve škole prvního averroismu tvoří činný intelekt potenci duše dané v h</w:t>
      </w:r>
      <w:r w:rsidRPr="00273106">
        <w:t>yleformickému substrátu</w:t>
      </w:r>
      <w:r>
        <w:t xml:space="preserve"> jako živého těla</w:t>
      </w:r>
      <w:r w:rsidRPr="00273106">
        <w:t xml:space="preserve">. </w:t>
      </w:r>
      <w:r>
        <w:t xml:space="preserve">Proto je rodově odlišný od kosmického činného intelektu, což dokazuje reálný náhled na akt bytí osoby oživené skrze </w:t>
      </w:r>
      <w:r w:rsidRPr="00747AC5">
        <w:rPr>
          <w:i/>
        </w:rPr>
        <w:t>anima intellectiva</w:t>
      </w:r>
      <w:r>
        <w:t>. Lidský č</w:t>
      </w:r>
      <w:r w:rsidRPr="00273106">
        <w:t>inný intelekt je individualizovaný aktem bytí reálné osoby (</w:t>
      </w:r>
      <w:r w:rsidRPr="00273106">
        <w:rPr>
          <w:i/>
        </w:rPr>
        <w:t>hoc est in actum essendi</w:t>
      </w:r>
      <w:r w:rsidRPr="00273106">
        <w:t>), která dané schopnosti produkuje (</w:t>
      </w:r>
      <w:r w:rsidRPr="00273106">
        <w:rPr>
          <w:i/>
        </w:rPr>
        <w:t>educentem ipsas virtutes</w:t>
      </w:r>
      <w:r w:rsidRPr="00273106">
        <w:t>). Činnost intelektu je vázána existen</w:t>
      </w:r>
      <w:r>
        <w:t xml:space="preserve">ci </w:t>
      </w:r>
      <w:r w:rsidRPr="00273106">
        <w:t>člověka aktualizovan</w:t>
      </w:r>
      <w:r>
        <w:t>ou</w:t>
      </w:r>
      <w:r w:rsidRPr="00273106">
        <w:t xml:space="preserve"> v rámci jeho hylemor</w:t>
      </w:r>
      <w:r>
        <w:t>f</w:t>
      </w:r>
      <w:r w:rsidRPr="00273106">
        <w:t>ické substance</w:t>
      </w:r>
      <w:r>
        <w:fldChar w:fldCharType="begin"/>
      </w:r>
      <w:r>
        <w:instrText xml:space="preserve"> XE "</w:instrText>
      </w:r>
      <w:r w:rsidRPr="00DE2A32">
        <w:instrText>substance</w:instrText>
      </w:r>
      <w:r>
        <w:instrText xml:space="preserve">:osoba" </w:instrText>
      </w:r>
      <w:r>
        <w:fldChar w:fldCharType="end"/>
      </w:r>
      <w:r w:rsidRPr="00273106">
        <w:t xml:space="preserve">. </w:t>
      </w:r>
      <w:r w:rsidR="0039017F" w:rsidRPr="00273106">
        <w:t xml:space="preserve">Hermeneutice a </w:t>
      </w:r>
      <w:r w:rsidR="00324CF0" w:rsidRPr="00273106">
        <w:t>současníkům Alverna ze školy prvního ave</w:t>
      </w:r>
      <w:r w:rsidR="00033EAD" w:rsidRPr="00273106">
        <w:t>rro</w:t>
      </w:r>
      <w:r w:rsidR="00324CF0" w:rsidRPr="00273106">
        <w:t>i</w:t>
      </w:r>
      <w:r w:rsidR="00033EAD" w:rsidRPr="00273106">
        <w:t>sm</w:t>
      </w:r>
      <w:r w:rsidR="00324CF0" w:rsidRPr="00273106">
        <w:t xml:space="preserve">u </w:t>
      </w:r>
      <w:r w:rsidR="0039017F" w:rsidRPr="00273106">
        <w:t xml:space="preserve">je </w:t>
      </w:r>
      <w:r w:rsidR="00324CF0" w:rsidRPr="00273106">
        <w:t>úplně jasné (</w:t>
      </w:r>
      <w:r w:rsidR="00324CF0" w:rsidRPr="00273106">
        <w:rPr>
          <w:i/>
        </w:rPr>
        <w:t>manifestum est autem tibi</w:t>
      </w:r>
      <w:r w:rsidR="00324CF0" w:rsidRPr="00273106">
        <w:t xml:space="preserve">), že </w:t>
      </w:r>
      <w:r w:rsidR="00A07F3A">
        <w:t xml:space="preserve">tehdejší </w:t>
      </w:r>
      <w:r w:rsidR="00324CF0" w:rsidRPr="00273106">
        <w:t>modernisté neuvádí žádnou zmínku o dvojí povaze činného intelektu (</w:t>
      </w:r>
      <w:r w:rsidR="00324CF0" w:rsidRPr="00273106">
        <w:rPr>
          <w:i/>
        </w:rPr>
        <w:t>quod de virtute hujusmodi nec etiam mentionem fecerunt</w:t>
      </w:r>
      <w:r w:rsidR="00324CF0" w:rsidRPr="00273106">
        <w:t xml:space="preserve">). </w:t>
      </w:r>
      <w:r w:rsidR="00A07F3A">
        <w:t xml:space="preserve">Stejným neduhem jsou postiženi </w:t>
      </w:r>
      <w:r w:rsidR="007D2D81">
        <w:t xml:space="preserve">i </w:t>
      </w:r>
      <w:r w:rsidR="00A07F3A" w:rsidRPr="00273106">
        <w:t>současní postmodernisté</w:t>
      </w:r>
      <w:r w:rsidR="00A07F3A">
        <w:t xml:space="preserve">. </w:t>
      </w:r>
      <w:r w:rsidR="00324CF0" w:rsidRPr="00273106">
        <w:t>Č</w:t>
      </w:r>
      <w:r w:rsidR="003E3906" w:rsidRPr="00273106">
        <w:t xml:space="preserve">inný intelekt je nutno vzít jako </w:t>
      </w:r>
      <w:r w:rsidR="00F248B8" w:rsidRPr="00273106">
        <w:t xml:space="preserve">schopnost </w:t>
      </w:r>
      <w:r w:rsidR="003E3906" w:rsidRPr="00273106">
        <w:t>(</w:t>
      </w:r>
      <w:r w:rsidR="003E3906" w:rsidRPr="00273106">
        <w:rPr>
          <w:i/>
        </w:rPr>
        <w:t>ponere virtutem agentem, sive vim agentem</w:t>
      </w:r>
      <w:r w:rsidR="003E3906" w:rsidRPr="00273106">
        <w:t>)</w:t>
      </w:r>
      <w:r w:rsidR="085C1EB0">
        <w:t>. Existence osoby je primární dokonalost, a ne mytopoetický</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5C1EB0">
        <w:t xml:space="preserve"> kosmický intelekt</w:t>
      </w:r>
      <w:r w:rsidR="084D2329">
        <w:t>, který osvěcuje neexistujícího člověka-mrtvolu</w:t>
      </w:r>
      <w:r w:rsidR="085C1EB0">
        <w:t xml:space="preserve">. </w:t>
      </w:r>
      <w:r w:rsidR="00CB7FEF" w:rsidRPr="00273106">
        <w:t xml:space="preserve">Reálná osoba </w:t>
      </w:r>
      <w:r w:rsidR="00730F60" w:rsidRPr="00273106">
        <w:t xml:space="preserve">nese poznávací potence duše </w:t>
      </w:r>
      <w:r w:rsidR="000555AE" w:rsidRPr="00273106">
        <w:t xml:space="preserve">jako </w:t>
      </w:r>
      <w:r w:rsidR="000555AE" w:rsidRPr="00273106">
        <w:rPr>
          <w:i/>
        </w:rPr>
        <w:t>subiectum</w:t>
      </w:r>
      <w:r w:rsidR="000555AE" w:rsidRPr="00273106">
        <w:t xml:space="preserve"> </w:t>
      </w:r>
      <w:r w:rsidR="00730F60" w:rsidRPr="00273106">
        <w:t xml:space="preserve">a jako </w:t>
      </w:r>
      <w:r w:rsidR="00730F60"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730F60" w:rsidRPr="00273106">
        <w:t xml:space="preserve"> </w:t>
      </w:r>
      <w:r w:rsidR="000F313B">
        <w:t xml:space="preserve">a ty aktualizují </w:t>
      </w:r>
      <w:r w:rsidR="00CB7FEF" w:rsidRPr="00273106">
        <w:t xml:space="preserve">činný intelekt </w:t>
      </w:r>
      <w:r w:rsidR="000F313B">
        <w:t>osoby dokonce skrze dvě nezávislé roviny (</w:t>
      </w:r>
      <w:r w:rsidR="000F313B" w:rsidRPr="000F313B">
        <w:rPr>
          <w:i/>
        </w:rPr>
        <w:t>imaginatio, intellectus possibilis</w:t>
      </w:r>
      <w:r w:rsidR="000F313B">
        <w:t>)</w:t>
      </w:r>
      <w:r w:rsidR="00CB0680" w:rsidRPr="00273106">
        <w:t xml:space="preserve">. Takto inkarnovaný aktuální výkon </w:t>
      </w:r>
      <w:r w:rsidR="001C2C3C" w:rsidRPr="00273106">
        <w:t>pas</w:t>
      </w:r>
      <w:r w:rsidR="00003A82" w:rsidRPr="00273106">
        <w:t>i</w:t>
      </w:r>
      <w:r w:rsidR="001C2C3C" w:rsidRPr="00273106">
        <w:t xml:space="preserve">vně-aktivního </w:t>
      </w:r>
      <w:r w:rsidR="00CB0680" w:rsidRPr="00273106">
        <w:t xml:space="preserve">intelektu valorizuje </w:t>
      </w:r>
      <w:r w:rsidR="00130E2C" w:rsidRPr="00273106">
        <w:t>jedine</w:t>
      </w:r>
      <w:r w:rsidR="00730F60" w:rsidRPr="00273106">
        <w:t xml:space="preserve">čnou </w:t>
      </w:r>
      <w:r w:rsidR="00CB0680" w:rsidRPr="00273106">
        <w:t>existenci člověka</w:t>
      </w:r>
      <w:r w:rsidR="00730F60" w:rsidRPr="00273106">
        <w:t xml:space="preserve">. </w:t>
      </w:r>
      <w:r w:rsidR="00300D6E" w:rsidRPr="00273106">
        <w:t xml:space="preserve">Člověk jako první substance je dán pouze jako živá osoba, a ne jako </w:t>
      </w:r>
      <w:r w:rsidR="084C2491">
        <w:t>specifická</w:t>
      </w:r>
      <w:r w:rsidR="00300D6E" w:rsidRPr="00273106">
        <w:t xml:space="preserve"> mrtvola </w:t>
      </w:r>
      <w:r w:rsidR="00915401">
        <w:rPr>
          <w:i/>
        </w:rPr>
        <w:fldChar w:fldCharType="begin"/>
      </w:r>
      <w:r w:rsidR="00915401">
        <w:instrText xml:space="preserve"> XE "sofisma člověk-mrtvola" </w:instrText>
      </w:r>
      <w:r w:rsidR="00915401">
        <w:rPr>
          <w:i/>
        </w:rPr>
        <w:fldChar w:fldCharType="end"/>
      </w:r>
      <w:r w:rsidR="00300D6E" w:rsidRPr="00273106">
        <w:rPr>
          <w:i/>
        </w:rPr>
        <w:t>Nominales</w:t>
      </w:r>
      <w:r w:rsidR="00300D6E" w:rsidRPr="00273106">
        <w:t xml:space="preserve">. </w:t>
      </w:r>
      <w:r w:rsidR="003E3906" w:rsidRPr="00273106">
        <w:t xml:space="preserve">Stejně realisticky je chápán i aktivní intelekt díle v </w:t>
      </w:r>
      <w:r w:rsidR="003E3906" w:rsidRPr="00273106">
        <w:rPr>
          <w:i/>
        </w:rPr>
        <w:t>De potentiis animae et obiectis</w:t>
      </w:r>
      <w:r w:rsidR="003E3906" w:rsidRPr="00273106">
        <w:t xml:space="preserve">, </w:t>
      </w:r>
      <w:r w:rsidR="08AF360B">
        <w:t xml:space="preserve">kde je definován </w:t>
      </w:r>
      <w:r w:rsidR="003F07F3">
        <w:t>v živé osobě,</w:t>
      </w:r>
      <w:r w:rsidR="003E3906" w:rsidRPr="00273106">
        <w:t xml:space="preserve"> a ne</w:t>
      </w:r>
      <w:r w:rsidR="003F07F3">
        <w:t xml:space="preserve"> jako oddělená substance.</w:t>
      </w:r>
    </w:p>
    <w:p w14:paraId="419CA74D" w14:textId="219E6DBC" w:rsidR="006C03B0" w:rsidRDefault="08AF360B" w:rsidP="003F07F3">
      <w:pPr>
        <w:ind w:firstLine="397"/>
      </w:pPr>
      <w:r>
        <w:lastRenderedPageBreak/>
        <w:t xml:space="preserve">Proto tvoří obrana osoby </w:t>
      </w:r>
      <w:r w:rsidR="003E3906" w:rsidRPr="00273106">
        <w:t xml:space="preserve">celoživotní Alvernovo krédo. Nejen v díle </w:t>
      </w:r>
      <w:r w:rsidR="00B713C5">
        <w:rPr>
          <w:i/>
        </w:rPr>
        <w:t>De anima</w:t>
      </w:r>
      <w:r w:rsidR="003E3906" w:rsidRPr="00273106">
        <w:t xml:space="preserve">, ale i v předešlých pracích komponovaných před importem </w:t>
      </w:r>
      <w:r w:rsidR="008C50E3">
        <w:t>sicil</w:t>
      </w:r>
      <w:r w:rsidR="00585DA6">
        <w:t>s</w:t>
      </w:r>
      <w:r w:rsidR="008C50E3">
        <w:t>k</w:t>
      </w:r>
      <w:r w:rsidR="00585DA6">
        <w:t xml:space="preserve">ého </w:t>
      </w:r>
      <w:r w:rsidR="002E3B62">
        <w:t>Averroes</w:t>
      </w:r>
      <w:r w:rsidR="003E3906" w:rsidRPr="00273106">
        <w:t xml:space="preserve">e na latinský Západ. Proto </w:t>
      </w:r>
      <w:r w:rsidR="008C50E3">
        <w:t xml:space="preserve">Alvernus </w:t>
      </w:r>
      <w:r>
        <w:t>napsal</w:t>
      </w:r>
      <w:r w:rsidR="003E3906" w:rsidRPr="00273106">
        <w:t xml:space="preserve"> skvělou obranu </w:t>
      </w:r>
      <w:r w:rsidR="085F3BBA">
        <w:t xml:space="preserve">jednoty osoby a poznání podle </w:t>
      </w:r>
      <w:r w:rsidR="002E3B62">
        <w:t>Averroes</w:t>
      </w:r>
      <w:r w:rsidR="003E3906" w:rsidRPr="00273106">
        <w:t xml:space="preserve">e </w:t>
      </w:r>
      <w:r w:rsidR="00336CD1" w:rsidRPr="00273106">
        <w:t xml:space="preserve">někdy po roce 1230, </w:t>
      </w:r>
      <w:r w:rsidR="003E3906" w:rsidRPr="00273106">
        <w:t>jakmile se seznámil s</w:t>
      </w:r>
      <w:r w:rsidR="00585DA6">
        <w:t>krze Scota s</w:t>
      </w:r>
      <w:r w:rsidR="003E3906" w:rsidRPr="00273106">
        <w:t xml:space="preserve"> </w:t>
      </w:r>
      <w:r w:rsidR="00585DA6">
        <w:t>autentickými Aristotelovy a Averro</w:t>
      </w:r>
      <w:r w:rsidR="008C50E3">
        <w:t>e</w:t>
      </w:r>
      <w:r w:rsidR="00585DA6">
        <w:t xml:space="preserve">sovy </w:t>
      </w:r>
      <w:r w:rsidR="003E3906" w:rsidRPr="00273106">
        <w:t>spisy.</w:t>
      </w:r>
      <w:r w:rsidR="007E201E">
        <w:t xml:space="preserve"> Tuto fenomenologickou pozici Alverna magistrálně obhájí Siger z Brabantu na základě brilantního výkladu CMDA podle Sicilské školy. Proto se stal </w:t>
      </w:r>
      <w:r w:rsidR="008C50E3">
        <w:t xml:space="preserve">magistr Siger </w:t>
      </w:r>
      <w:r w:rsidR="007E201E">
        <w:t xml:space="preserve">rektorem pařížských artistů na </w:t>
      </w:r>
      <w:r w:rsidR="087E44B6">
        <w:t>Rue du Fouarre</w:t>
      </w:r>
      <w:r w:rsidR="007E201E">
        <w:t>, než jej modernisté akademicky zničili roku 1277.</w:t>
      </w:r>
      <w:r w:rsidR="08A72B45">
        <w:t xml:space="preserve"> </w:t>
      </w:r>
      <w:r w:rsidR="08A72B45" w:rsidRPr="00273106">
        <w:t xml:space="preserve">Hermeneutika </w:t>
      </w:r>
      <w:r w:rsidR="08A72B45">
        <w:t xml:space="preserve">ze zásadních metodologických důvodů odmítá </w:t>
      </w:r>
      <w:r w:rsidR="08A72B45" w:rsidRPr="00273106">
        <w:t>objektivní přístup</w:t>
      </w:r>
      <w:r w:rsidR="08A72B45">
        <w:t xml:space="preserve"> anachronicky uplatňovaný na </w:t>
      </w:r>
      <w:r w:rsidR="08A72B45" w:rsidRPr="00273106">
        <w:t xml:space="preserve">četbu dokumentů, které </w:t>
      </w:r>
      <w:r w:rsidR="08722993">
        <w:t xml:space="preserve">výslovně </w:t>
      </w:r>
      <w:r w:rsidR="08A72B45">
        <w:t>bojují proti první formě sofistické objektivity</w:t>
      </w:r>
      <w:r w:rsidR="08A72B45" w:rsidRPr="00273106">
        <w:t xml:space="preserve">. </w:t>
      </w:r>
      <w:r w:rsidR="082807BD">
        <w:t xml:space="preserve">První averroismus bojuje protoi první formě sofistické objektivity, která až dodneška představuje jediné správné kritérium pro posouzení tehdejších debat. </w:t>
      </w:r>
      <w:r w:rsidR="08A72B45">
        <w:t>Objektivní předporozumění vytváří falešnou dráhu náhledu na jsoucno (</w:t>
      </w:r>
      <w:r w:rsidR="08A72B45" w:rsidRPr="00A81C3A">
        <w:rPr>
          <w:i/>
        </w:rPr>
        <w:t>Vor</w:t>
      </w:r>
      <w:r w:rsidR="08A72B45" w:rsidRPr="00A81C3A">
        <w:rPr>
          <w:i/>
        </w:rPr>
        <w:noBreakHyphen/>
        <w:t>blickbahn</w:t>
      </w:r>
      <w:r w:rsidR="089D733F">
        <w:t>) v duchu Heideg</w:t>
      </w:r>
      <w:r w:rsidR="08A72B45">
        <w:t>g</w:t>
      </w:r>
      <w:r w:rsidR="089D733F">
        <w:t>e</w:t>
      </w:r>
      <w:r w:rsidR="08A72B45">
        <w:t>rova pochybení (</w:t>
      </w:r>
      <w:r w:rsidR="08A72B45" w:rsidRPr="00A14D7A">
        <w:rPr>
          <w:i/>
        </w:rPr>
        <w:t>Irrtum</w:t>
      </w:r>
      <w:r w:rsidR="08A72B45">
        <w:t>) daného objek</w:t>
      </w:r>
      <w:r w:rsidR="08A72B45" w:rsidRPr="003804F7">
        <w:t>tivním viděním světa.</w:t>
      </w:r>
      <w:r w:rsidR="08A72B45">
        <w:t xml:space="preserve"> Pak jsou omyly v interpretaci textů před rokem 1300 objektivním pravidlem</w:t>
      </w:r>
      <w:r w:rsidR="00CB1693">
        <w:t>,</w:t>
      </w:r>
      <w:r w:rsidR="08A72B45">
        <w:t xml:space="preserve"> a ne pouhou náhodou. Falešná univocita pojmu </w:t>
      </w:r>
      <w:r w:rsidR="00571730">
        <w:t>„</w:t>
      </w:r>
      <w:r w:rsidR="08A72B45" w:rsidRPr="003E2A7F">
        <w:rPr>
          <w:i/>
        </w:rPr>
        <w:t>intellectus agens</w:t>
      </w:r>
      <w:r w:rsidR="00571730">
        <w:t>“</w:t>
      </w:r>
      <w:r w:rsidR="08A72B45">
        <w:t xml:space="preserve"> vedla dnešní postmoderní avicennisty k tomu, že se stali modernistickou stranou sporu ve stylu </w:t>
      </w:r>
      <w:r w:rsidR="08722993">
        <w:t xml:space="preserve">Alvernem kritizovaných </w:t>
      </w:r>
      <w:r w:rsidR="08A72B45" w:rsidRPr="003E2A7F">
        <w:rPr>
          <w:i/>
        </w:rPr>
        <w:t>sophistae Latini</w:t>
      </w:r>
      <w:r w:rsidR="08A72B45">
        <w:rPr>
          <w:i/>
        </w:rPr>
        <w:fldChar w:fldCharType="begin"/>
      </w:r>
      <w:r w:rsidR="08A72B45">
        <w:instrText xml:space="preserve"> XE "druhý averroismus:</w:instrText>
      </w:r>
      <w:r w:rsidR="08A72B45" w:rsidRPr="00EC0AF4">
        <w:rPr>
          <w:i/>
          <w:lang w:eastAsia="en-US"/>
        </w:rPr>
        <w:instrText>sophistae Latini</w:instrText>
      </w:r>
      <w:r w:rsidR="08A72B45">
        <w:instrText xml:space="preserve">" </w:instrText>
      </w:r>
      <w:r w:rsidR="08A72B45">
        <w:rPr>
          <w:i/>
        </w:rPr>
        <w:fldChar w:fldCharType="end"/>
      </w:r>
      <w:r w:rsidR="08A72B45">
        <w:t xml:space="preserve">. </w:t>
      </w:r>
      <w:r w:rsidR="00CB1693">
        <w:t xml:space="preserve">Je třeba si vybrat mezi pravdou a objektivitou. </w:t>
      </w:r>
      <w:r w:rsidR="08A72B45">
        <w:t>Tyto avicennisty kritizoval Alvernus právě kvůli univočnímu pojetí činného intelektu.</w:t>
      </w:r>
      <w:r w:rsidR="085C20B6">
        <w:t xml:space="preserve"> </w:t>
      </w:r>
      <w:r w:rsidR="009B3453" w:rsidRPr="00273106">
        <w:t xml:space="preserve">Striktní odmítnutí odděleného </w:t>
      </w:r>
      <w:r w:rsidR="009B3453" w:rsidRPr="00273106">
        <w:rPr>
          <w:i/>
        </w:rPr>
        <w:t>intellectus agens</w:t>
      </w:r>
      <w:r w:rsidR="009B3453">
        <w:rPr>
          <w:i/>
        </w:rPr>
        <w:fldChar w:fldCharType="begin"/>
      </w:r>
      <w:r w:rsidR="009B3453">
        <w:instrText xml:space="preserve"> XE "</w:instrText>
      </w:r>
      <w:r w:rsidR="009B3453" w:rsidRPr="00490D32">
        <w:rPr>
          <w:i/>
        </w:rPr>
        <w:instrText>intellectus agens:</w:instrText>
      </w:r>
      <w:r w:rsidR="009B3453" w:rsidRPr="00490D32">
        <w:instrText>neoplatonismus</w:instrText>
      </w:r>
      <w:r w:rsidR="009B3453">
        <w:instrText xml:space="preserve">" </w:instrText>
      </w:r>
      <w:r w:rsidR="009B3453">
        <w:rPr>
          <w:i/>
        </w:rPr>
        <w:fldChar w:fldCharType="end"/>
      </w:r>
      <w:r w:rsidR="009B3453" w:rsidRPr="00273106">
        <w:t xml:space="preserve"> a správná vize receptivního poznání daného přímo v nemateriálním intelektu postavila </w:t>
      </w:r>
      <w:r w:rsidR="006A1693">
        <w:t xml:space="preserve">Alverna </w:t>
      </w:r>
      <w:r w:rsidR="009B3453" w:rsidRPr="00273106">
        <w:t>proti šk</w:t>
      </w:r>
      <w:r w:rsidR="08317682">
        <w:t xml:space="preserve">ole neoplatoniků v proudu </w:t>
      </w:r>
      <w:r w:rsidR="00A81AEC">
        <w:t>„</w:t>
      </w:r>
      <w:r w:rsidR="009B3453" w:rsidRPr="00273106">
        <w:rPr>
          <w:i/>
        </w:rPr>
        <w:t>augustinisme avicennisant</w:t>
      </w:r>
      <w:r w:rsidR="00A81AEC">
        <w:t>“</w:t>
      </w:r>
      <w:r w:rsidR="009B3453">
        <w:fldChar w:fldCharType="begin"/>
      </w:r>
      <w:r w:rsidR="009B3453">
        <w:instrText xml:space="preserve"> XE "druhý averroismus:</w:instrText>
      </w:r>
      <w:r w:rsidR="009B3453" w:rsidRPr="00F707A4">
        <w:rPr>
          <w:i/>
        </w:rPr>
        <w:instrText>augustinisme avicennisant</w:instrText>
      </w:r>
      <w:r w:rsidR="009B3453">
        <w:instrText xml:space="preserve">" </w:instrText>
      </w:r>
      <w:r w:rsidR="009B3453">
        <w:fldChar w:fldCharType="end"/>
      </w:r>
      <w:r w:rsidR="009B3453" w:rsidRPr="00273106">
        <w:t xml:space="preserve"> (Gilson</w:t>
      </w:r>
      <w:r w:rsidR="08A11235">
        <w:t xml:space="preserve"> 1929;</w:t>
      </w:r>
      <w:r w:rsidR="009B3453" w:rsidRPr="00273106">
        <w:t xml:space="preserve"> 1930).</w:t>
      </w:r>
      <w:r w:rsidR="009B3453">
        <w:t xml:space="preserve"> </w:t>
      </w:r>
      <w:r w:rsidR="085C20B6">
        <w:t>D</w:t>
      </w:r>
      <w:r w:rsidR="009B2251">
        <w:t>ualismus</w:t>
      </w:r>
      <w:r w:rsidR="00A950AF">
        <w:t xml:space="preserve"> mezi tě</w:t>
      </w:r>
      <w:r w:rsidR="006C03B0">
        <w:t xml:space="preserve">lem a duší a jako dvěma oddělenými substancemi je v </w:t>
      </w:r>
      <w:r w:rsidR="00A950AF">
        <w:t>Toledské škole</w:t>
      </w:r>
      <w:r w:rsidR="009B2251">
        <w:t xml:space="preserve"> </w:t>
      </w:r>
      <w:r w:rsidR="0022380C">
        <w:t>dolo</w:t>
      </w:r>
      <w:r w:rsidR="009B2251">
        <w:t>žený</w:t>
      </w:r>
      <w:r w:rsidR="006C03B0">
        <w:t xml:space="preserve"> od roku 1230 a </w:t>
      </w:r>
      <w:r w:rsidR="009B2251">
        <w:t>má zásadní význ</w:t>
      </w:r>
      <w:r w:rsidR="006C03B0">
        <w:t>am pro další vývoj objektivity.</w:t>
      </w:r>
    </w:p>
    <w:p w14:paraId="4A6B202F" w14:textId="49C26DE1" w:rsidR="006C44B7" w:rsidRDefault="085E22F6" w:rsidP="003F07F3">
      <w:pPr>
        <w:ind w:firstLine="397"/>
      </w:pPr>
      <w:r>
        <w:t xml:space="preserve">Léta 1230‒35 představují zásadní mezník ve vývoji </w:t>
      </w:r>
      <w:r w:rsidR="08154BED">
        <w:t>pařížské š</w:t>
      </w:r>
      <w:r>
        <w:t>koly</w:t>
      </w:r>
      <w:r>
        <w:fldChar w:fldCharType="begin"/>
      </w:r>
      <w:r>
        <w:instrText xml:space="preserve"> XE "</w:instrText>
      </w:r>
      <w:r w:rsidRPr="00E671DA">
        <w:instrText>druhý av</w:instrText>
      </w:r>
      <w:r w:rsidR="08A54920">
        <w:instrText>erroismus</w:instrText>
      </w:r>
      <w:r w:rsidRPr="00E671DA">
        <w:instrText>:Toledská škola</w:instrText>
      </w:r>
      <w:r>
        <w:instrText xml:space="preserve">" </w:instrText>
      </w:r>
      <w:r>
        <w:fldChar w:fldCharType="end"/>
      </w:r>
      <w:r>
        <w:t xml:space="preserve"> </w:t>
      </w:r>
      <w:r w:rsidR="08154BED">
        <w:t xml:space="preserve">avicennistických toletánů </w:t>
      </w:r>
      <w:r>
        <w:t xml:space="preserve">soustředěné kolem Filipa Kancléře </w:t>
      </w:r>
      <w:r w:rsidR="08C87421">
        <w:t xml:space="preserve">a </w:t>
      </w:r>
      <w:r w:rsidR="081B5A57">
        <w:t xml:space="preserve">kolem </w:t>
      </w:r>
      <w:r w:rsidR="08C87421">
        <w:t>prvních františkánů jako byl A</w:t>
      </w:r>
      <w:r w:rsidR="081B5A57">
        <w:t>lexander Halský a Johan</w:t>
      </w:r>
      <w:r w:rsidR="08C87421">
        <w:t>n</w:t>
      </w:r>
      <w:r w:rsidR="081B5A57">
        <w:t>e</w:t>
      </w:r>
      <w:r w:rsidR="08C87421">
        <w:t>s Rupella. O</w:t>
      </w:r>
      <w:r w:rsidR="009831A5">
        <w:t>xfordský f</w:t>
      </w:r>
      <w:r w:rsidR="003C1553">
        <w:t xml:space="preserve">rantiškán Rufus z Cornwallu </w:t>
      </w:r>
      <w:r w:rsidR="008E2BF6">
        <w:t xml:space="preserve">byl </w:t>
      </w:r>
      <w:r w:rsidR="009831A5">
        <w:t xml:space="preserve">nejznámější představitel školy modernistů </w:t>
      </w:r>
      <w:r w:rsidR="003C1553">
        <w:t>shrom</w:t>
      </w:r>
      <w:r w:rsidR="008E2BF6">
        <w:t xml:space="preserve">ážděné kolem Alexandra Halského. Rufus </w:t>
      </w:r>
      <w:r w:rsidR="003C1553" w:rsidRPr="00273106">
        <w:t xml:space="preserve">sofisticky </w:t>
      </w:r>
      <w:r w:rsidR="003C1553">
        <w:t xml:space="preserve">podstrčil </w:t>
      </w:r>
      <w:r w:rsidR="002E3B62">
        <w:t>Averroes</w:t>
      </w:r>
      <w:r w:rsidR="003C1553" w:rsidRPr="00273106">
        <w:t>ovi</w:t>
      </w:r>
      <w:r w:rsidR="003C1553" w:rsidRPr="003C1553">
        <w:t xml:space="preserve"> </w:t>
      </w:r>
      <w:r w:rsidR="00EB05B5">
        <w:t>vnější spojení</w:t>
      </w:r>
      <w:r w:rsidR="00C31D06">
        <w:t xml:space="preserve"> obou intelektů form</w:t>
      </w:r>
      <w:r w:rsidR="00EB05B5">
        <w:t>o</w:t>
      </w:r>
      <w:r w:rsidR="00C31D06">
        <w:t xml:space="preserve">u </w:t>
      </w:r>
      <w:r w:rsidR="081A3507">
        <w:t xml:space="preserve">avicennovského </w:t>
      </w:r>
      <w:r w:rsidR="003C1553" w:rsidRPr="00273106">
        <w:rPr>
          <w:i/>
        </w:rPr>
        <w:t>copulatio</w:t>
      </w:r>
      <w:r w:rsidR="003C1553">
        <w:t xml:space="preserve"> </w:t>
      </w:r>
      <w:r w:rsidR="008E2BF6">
        <w:t xml:space="preserve">v roce </w:t>
      </w:r>
      <w:r w:rsidR="003C1553">
        <w:t>123</w:t>
      </w:r>
      <w:r w:rsidR="0022380C">
        <w:t>6</w:t>
      </w:r>
      <w:r w:rsidR="08CE1EBE">
        <w:t xml:space="preserve"> (kap. 3</w:t>
      </w:r>
      <w:r w:rsidR="003C1553">
        <w:t xml:space="preserve">.3.3). </w:t>
      </w:r>
      <w:r w:rsidR="082B7CB2">
        <w:t xml:space="preserve">Ale předtím už měla </w:t>
      </w:r>
      <w:r w:rsidR="081A3507">
        <w:t xml:space="preserve">stejné externí napojení substančního intelektu </w:t>
      </w:r>
      <w:r w:rsidR="08E4191B">
        <w:t xml:space="preserve">na poznávající osobu také </w:t>
      </w:r>
      <w:r w:rsidR="081A3507">
        <w:rPr>
          <w:i/>
        </w:rPr>
        <w:t>Summa Dua</w:t>
      </w:r>
      <w:r w:rsidR="082B7CB2" w:rsidRPr="081A3507">
        <w:rPr>
          <w:i/>
        </w:rPr>
        <w:t xml:space="preserve">censis </w:t>
      </w:r>
      <w:r w:rsidR="082B7CB2">
        <w:lastRenderedPageBreak/>
        <w:t xml:space="preserve">kolem roku 1230 a ještě předtím </w:t>
      </w:r>
      <w:r w:rsidR="081A3507">
        <w:t xml:space="preserve">ho měl v panteistické podobě </w:t>
      </w:r>
      <w:r w:rsidR="082B7CB2">
        <w:t xml:space="preserve">i David z Dinantu. </w:t>
      </w:r>
      <w:r w:rsidR="08CA4412">
        <w:t>Kritičtí m</w:t>
      </w:r>
      <w:r w:rsidR="08CA4412" w:rsidRPr="00273106">
        <w:t xml:space="preserve">ediavelisté </w:t>
      </w:r>
      <w:r w:rsidR="08CA4412">
        <w:t>přesvědčivě zdůvodnili</w:t>
      </w:r>
      <w:r w:rsidR="08CA4412" w:rsidRPr="00273106">
        <w:t xml:space="preserve">, </w:t>
      </w:r>
      <w:r w:rsidR="08CA4412">
        <w:t xml:space="preserve">proč </w:t>
      </w:r>
      <w:r w:rsidR="08CA4412" w:rsidRPr="00273106">
        <w:t>myšlení Alexandra</w:t>
      </w:r>
      <w:r w:rsidR="08CA4412">
        <w:fldChar w:fldCharType="begin"/>
      </w:r>
      <w:r w:rsidR="08CA4412">
        <w:instrText xml:space="preserve"> XE "Alexander, Halský" </w:instrText>
      </w:r>
      <w:r w:rsidR="08CA4412">
        <w:fldChar w:fldCharType="end"/>
      </w:r>
      <w:r w:rsidR="08CA4412">
        <w:t xml:space="preserve"> Hale</w:t>
      </w:r>
      <w:r w:rsidR="08CA4412" w:rsidRPr="00273106">
        <w:t>se a J</w:t>
      </w:r>
      <w:r w:rsidR="08CA4412">
        <w:t xml:space="preserve">ana </w:t>
      </w:r>
      <w:r w:rsidR="08CA4412" w:rsidRPr="00273106">
        <w:t xml:space="preserve">Rupelly patří k proudu avicennismu, kvůli jejich dualistickému pojetí </w:t>
      </w:r>
      <w:r w:rsidR="08CA4412" w:rsidRPr="00273106">
        <w:rPr>
          <w:i/>
        </w:rPr>
        <w:t>intellectus possibilis</w:t>
      </w:r>
      <w:r w:rsidR="08CA4412">
        <w:rPr>
          <w:i/>
        </w:rPr>
        <w:fldChar w:fldCharType="begin"/>
      </w:r>
      <w:r w:rsidR="08CA4412">
        <w:instrText xml:space="preserve"> XE "</w:instrText>
      </w:r>
      <w:r w:rsidR="08CA4412" w:rsidRPr="00770D02">
        <w:rPr>
          <w:i/>
        </w:rPr>
        <w:instrText>intellectus possibilis</w:instrText>
      </w:r>
      <w:r w:rsidR="08CA4412">
        <w:instrText xml:space="preserve">:druhý averroismus" </w:instrText>
      </w:r>
      <w:r w:rsidR="08CA4412">
        <w:rPr>
          <w:i/>
        </w:rPr>
        <w:fldChar w:fldCharType="end"/>
      </w:r>
      <w:r w:rsidR="08CA4412" w:rsidRPr="00273106">
        <w:t xml:space="preserve"> a pojetí abstrakce v podobě </w:t>
      </w:r>
      <w:r w:rsidR="08CA4412" w:rsidRPr="00273106">
        <w:rPr>
          <w:i/>
        </w:rPr>
        <w:t>denudatio</w:t>
      </w:r>
      <w:r w:rsidR="08CA4412" w:rsidRPr="00273106">
        <w:t xml:space="preserve"> (Rohmer 1928</w:t>
      </w:r>
      <w:r w:rsidR="08CA4412">
        <w:fldChar w:fldCharType="begin"/>
      </w:r>
      <w:r w:rsidR="08CA4412">
        <w:instrText xml:space="preserve"> XE "</w:instrText>
      </w:r>
      <w:r w:rsidR="08CA4412" w:rsidRPr="00324349">
        <w:instrText>Rohmer</w:instrText>
      </w:r>
      <w:r w:rsidR="08CA4412">
        <w:instrText xml:space="preserve">, J." </w:instrText>
      </w:r>
      <w:r w:rsidR="08CA4412">
        <w:fldChar w:fldCharType="end"/>
      </w:r>
      <w:r w:rsidR="08CA4412" w:rsidRPr="00273106">
        <w:t xml:space="preserve">). </w:t>
      </w:r>
      <w:r w:rsidR="00EB05B5">
        <w:t xml:space="preserve">Proto se </w:t>
      </w:r>
      <w:r w:rsidR="08226F39">
        <w:t xml:space="preserve">modernistická </w:t>
      </w:r>
      <w:r w:rsidR="007E1EA8">
        <w:t xml:space="preserve">škola </w:t>
      </w:r>
      <w:r w:rsidR="0022380C">
        <w:t xml:space="preserve">inspirovaná Toledským </w:t>
      </w:r>
      <w:r w:rsidR="085C20B6">
        <w:t>výkladem averroistického Averroe</w:t>
      </w:r>
      <w:r w:rsidR="0022380C">
        <w:t xml:space="preserve">se </w:t>
      </w:r>
      <w:r w:rsidR="00EB05B5">
        <w:t>dostal</w:t>
      </w:r>
      <w:r w:rsidR="007E1EA8">
        <w:t>a</w:t>
      </w:r>
      <w:r w:rsidR="00EB05B5">
        <w:t xml:space="preserve"> </w:t>
      </w:r>
      <w:r w:rsidR="007D568D">
        <w:t xml:space="preserve">po roce </w:t>
      </w:r>
      <w:r w:rsidR="0022380C">
        <w:t xml:space="preserve">1240 </w:t>
      </w:r>
      <w:r w:rsidR="00EB05B5">
        <w:t xml:space="preserve">do zásadního sporu s biskupem Alvernem a se školou mladých aristoteliků jako byl Albert Veliký a Roger Bacon. </w:t>
      </w:r>
      <w:r w:rsidR="00A96FE5" w:rsidRPr="00273106">
        <w:t xml:space="preserve">Latinští sofisté mají poznání </w:t>
      </w:r>
      <w:r w:rsidR="002C3A9E" w:rsidRPr="00273106">
        <w:t>dané dispa</w:t>
      </w:r>
      <w:r w:rsidR="004B33AF" w:rsidRPr="00273106">
        <w:t xml:space="preserve">rátně skrze </w:t>
      </w:r>
      <w:r w:rsidR="001E5858" w:rsidRPr="00273106">
        <w:t xml:space="preserve">materiální a </w:t>
      </w:r>
      <w:r w:rsidR="004B33AF" w:rsidRPr="00273106">
        <w:t>nemater</w:t>
      </w:r>
      <w:r w:rsidR="00EB05B5">
        <w:t>i</w:t>
      </w:r>
      <w:r w:rsidR="004B33AF" w:rsidRPr="00273106">
        <w:t>ální složku</w:t>
      </w:r>
      <w:r w:rsidR="001E5858" w:rsidRPr="00273106">
        <w:t xml:space="preserve"> intelektu. </w:t>
      </w:r>
      <w:r w:rsidR="08223CD4">
        <w:t xml:space="preserve">Jejich pojetí </w:t>
      </w:r>
      <w:r w:rsidR="00B0028B" w:rsidRPr="00273106">
        <w:t>pasi</w:t>
      </w:r>
      <w:r w:rsidR="005163F7" w:rsidRPr="00273106">
        <w:t>vního intelektu nemá nic společ</w:t>
      </w:r>
      <w:r w:rsidR="08223CD4">
        <w:t>ného s CMDA a je vzato</w:t>
      </w:r>
      <w:r w:rsidR="00B0028B" w:rsidRPr="00273106">
        <w:t xml:space="preserve"> podle Avicennova </w:t>
      </w:r>
      <w:r w:rsidR="00B0028B"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6D2B5F" w:rsidRPr="00BE489A">
        <w:instrText>Avicenna</w:instrText>
      </w:r>
      <w:r w:rsidR="006D2B5F">
        <w:instrText xml:space="preserve">" </w:instrText>
      </w:r>
      <w:r w:rsidR="006D2B5F">
        <w:rPr>
          <w:i/>
        </w:rPr>
        <w:fldChar w:fldCharType="end"/>
      </w:r>
      <w:r w:rsidR="00B0028B" w:rsidRPr="00273106">
        <w:t xml:space="preserve"> daného smyslově</w:t>
      </w:r>
      <w:r w:rsidR="08446844">
        <w:t xml:space="preserve"> a </w:t>
      </w:r>
      <w:r w:rsidR="08446844" w:rsidRPr="08446844">
        <w:rPr>
          <w:i/>
        </w:rPr>
        <w:t>intellectus possibilis</w:t>
      </w:r>
      <w:r w:rsidR="08446844">
        <w:t xml:space="preserve"> daného jako hypostáze prvních principů poznání</w:t>
      </w:r>
      <w:r w:rsidR="00B0028B" w:rsidRPr="00273106">
        <w:t xml:space="preserve">. </w:t>
      </w:r>
      <w:r w:rsidR="08DB6A5B">
        <w:t xml:space="preserve">Novou figuru receptivního </w:t>
      </w:r>
      <w:r w:rsidR="08353165">
        <w:t xml:space="preserve">intelektu </w:t>
      </w:r>
      <w:r w:rsidR="08DB6A5B">
        <w:t xml:space="preserve">vytvořili </w:t>
      </w:r>
      <w:r w:rsidR="08353165">
        <w:t>oxfor</w:t>
      </w:r>
      <w:r w:rsidR="08DB6A5B">
        <w:t>dští modernisté okolo roku 1240. Sofistické simulákrum</w:t>
      </w:r>
      <w:r w:rsidR="08353165">
        <w:t xml:space="preserve"> </w:t>
      </w:r>
      <w:r w:rsidR="08353165" w:rsidRPr="08353165">
        <w:rPr>
          <w:i/>
        </w:rPr>
        <w:t>intellectus possibilis</w:t>
      </w:r>
      <w:r w:rsidR="08353165">
        <w:t xml:space="preserve"> </w:t>
      </w:r>
      <w:r w:rsidR="08DB6A5B">
        <w:t xml:space="preserve">vzniklo </w:t>
      </w:r>
      <w:r w:rsidR="08353165">
        <w:t xml:space="preserve">tím, že </w:t>
      </w:r>
      <w:r w:rsidR="08A61DD5">
        <w:t xml:space="preserve">první oxfordští modernisté zavedli </w:t>
      </w:r>
      <w:r w:rsidR="08353165">
        <w:t xml:space="preserve">do </w:t>
      </w:r>
      <w:r w:rsidR="08301ADE" w:rsidRPr="00273106">
        <w:rPr>
          <w:i/>
        </w:rPr>
        <w:t>intellectus materialis</w:t>
      </w:r>
      <w:r w:rsidR="08301ADE">
        <w:rPr>
          <w:i/>
        </w:rPr>
        <w:fldChar w:fldCharType="begin"/>
      </w:r>
      <w:r w:rsidR="08301ADE">
        <w:instrText xml:space="preserve"> XE "</w:instrText>
      </w:r>
      <w:r w:rsidR="08301ADE" w:rsidRPr="00BE489A">
        <w:rPr>
          <w:i/>
        </w:rPr>
        <w:instrText>intellectus materialis:</w:instrText>
      </w:r>
      <w:r w:rsidR="08301ADE" w:rsidRPr="00BE489A">
        <w:instrText>Avicenna</w:instrText>
      </w:r>
      <w:r w:rsidR="08301ADE">
        <w:instrText xml:space="preserve">" </w:instrText>
      </w:r>
      <w:r w:rsidR="08301ADE">
        <w:rPr>
          <w:i/>
        </w:rPr>
        <w:fldChar w:fldCharType="end"/>
      </w:r>
      <w:r w:rsidR="08301ADE" w:rsidRPr="00273106">
        <w:t xml:space="preserve"> </w:t>
      </w:r>
      <w:r w:rsidR="08353165">
        <w:t>podle univ</w:t>
      </w:r>
      <w:r w:rsidR="08AF7302">
        <w:t>erz</w:t>
      </w:r>
      <w:r w:rsidR="08353165">
        <w:t>álního hylemorfismu</w:t>
      </w:r>
      <w:r w:rsidR="08A61DD5">
        <w:t xml:space="preserve"> také</w:t>
      </w:r>
      <w:r w:rsidR="08A61DD5" w:rsidRPr="08A61DD5">
        <w:rPr>
          <w:i/>
        </w:rPr>
        <w:t xml:space="preserve"> </w:t>
      </w:r>
      <w:r w:rsidR="08A61DD5" w:rsidRPr="08353165">
        <w:rPr>
          <w:i/>
        </w:rPr>
        <w:t>materia spiritualis</w:t>
      </w:r>
      <w:r w:rsidR="08301ADE">
        <w:t xml:space="preserve">. </w:t>
      </w:r>
      <w:r w:rsidR="08A61DD5">
        <w:t xml:space="preserve">Materializací intelektu </w:t>
      </w:r>
      <w:r w:rsidR="08301ADE">
        <w:t>dostali novou figuru indivi</w:t>
      </w:r>
      <w:r w:rsidR="08A61DD5">
        <w:t>dualizovaného receptivního inte</w:t>
      </w:r>
      <w:r w:rsidR="08301ADE">
        <w:t>l</w:t>
      </w:r>
      <w:r w:rsidR="08A61DD5">
        <w:t>e</w:t>
      </w:r>
      <w:r w:rsidR="08301ADE">
        <w:t xml:space="preserve">ktu jako substance. Pak do ní zavedli další hypostázi v podobě avicennovského </w:t>
      </w:r>
      <w:r w:rsidR="08301ADE" w:rsidRPr="08446844">
        <w:rPr>
          <w:i/>
        </w:rPr>
        <w:t>intellectus possibilis</w:t>
      </w:r>
      <w:r w:rsidR="08301ADE">
        <w:t xml:space="preserve"> aktuálně nesoucí první principy poznání v modu </w:t>
      </w:r>
      <w:r w:rsidR="08301ADE" w:rsidRPr="08301ADE">
        <w:rPr>
          <w:i/>
        </w:rPr>
        <w:t>potentia substantialis</w:t>
      </w:r>
      <w:r w:rsidR="08301ADE">
        <w:t>. Tak vznikl u Rufuse moderní intelekt jako nová substance</w:t>
      </w:r>
      <w:r w:rsidR="08AF7302">
        <w:t xml:space="preserve"> tře</w:t>
      </w:r>
      <w:r w:rsidR="08A11235">
        <w:t>tího druhu (kap. 3</w:t>
      </w:r>
      <w:r w:rsidR="08353165">
        <w:t>.2). P</w:t>
      </w:r>
      <w:r w:rsidR="00260597" w:rsidRPr="00273106">
        <w:t xml:space="preserve">říklad </w:t>
      </w:r>
      <w:r w:rsidR="00A10288">
        <w:t xml:space="preserve">františkána </w:t>
      </w:r>
      <w:r w:rsidR="00260597" w:rsidRPr="00273106">
        <w:t xml:space="preserve">Rupelly </w:t>
      </w:r>
      <w:r w:rsidR="08B64913">
        <w:t xml:space="preserve">a Rufuse </w:t>
      </w:r>
      <w:r w:rsidR="00260597" w:rsidRPr="00273106">
        <w:t xml:space="preserve">ukazuje, že </w:t>
      </w:r>
      <w:r w:rsidR="007226C4" w:rsidRPr="00273106">
        <w:t xml:space="preserve">skupina </w:t>
      </w:r>
      <w:r w:rsidR="00260597" w:rsidRPr="00273106">
        <w:t xml:space="preserve">interpretátorů </w:t>
      </w:r>
      <w:r w:rsidR="08B64913">
        <w:t xml:space="preserve">Aristotela </w:t>
      </w:r>
      <w:r w:rsidR="00542B54">
        <w:t xml:space="preserve">ovlivněných Avicennou </w:t>
      </w:r>
      <w:r w:rsidR="00994FEC" w:rsidRPr="00273106">
        <w:t xml:space="preserve">nepochopila </w:t>
      </w:r>
      <w:r w:rsidR="00594E69">
        <w:t xml:space="preserve">učení </w:t>
      </w:r>
      <w:r w:rsidR="002E3B62">
        <w:t>Averroes</w:t>
      </w:r>
      <w:r w:rsidR="00260597" w:rsidRPr="00273106">
        <w:t>e v základních bodech</w:t>
      </w:r>
      <w:r w:rsidR="00594E69">
        <w:t>, protože jej interpretovala skrze metafyziku Avicenny</w:t>
      </w:r>
      <w:r w:rsidR="00260597" w:rsidRPr="00273106">
        <w:t>. Alvernus znal tyto myslitele ve funkci kancléře Pařížské univerzity a tituloval je pejorativním</w:t>
      </w:r>
      <w:r w:rsidR="008010D4">
        <w:t xml:space="preserve"> názvem </w:t>
      </w:r>
      <w:r w:rsidR="00260597" w:rsidRPr="00273106">
        <w:rPr>
          <w:i/>
        </w:rPr>
        <w:t>sophistae Latini</w:t>
      </w:r>
      <w:r w:rsidR="005109BC">
        <w:rPr>
          <w:i/>
        </w:rPr>
        <w:fldChar w:fldCharType="begin"/>
      </w:r>
      <w:r w:rsidR="005109BC">
        <w:instrText xml:space="preserve"> XE "</w:instrText>
      </w:r>
      <w:r w:rsidR="00E309EF">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6C44B7">
        <w:t xml:space="preserve">. Za jeho </w:t>
      </w:r>
      <w:r w:rsidR="00A56F33">
        <w:t xml:space="preserve">působení ve funkci biskupa a kancléře univerzity tito myslitelé již </w:t>
      </w:r>
      <w:r w:rsidR="006C44B7">
        <w:t xml:space="preserve">tvořili </w:t>
      </w:r>
      <w:r w:rsidR="00A56F33">
        <w:t xml:space="preserve">ucelenou školu. Tato skupina františkánských </w:t>
      </w:r>
      <w:r w:rsidR="00A56F33" w:rsidRPr="00A56F33">
        <w:rPr>
          <w:i/>
        </w:rPr>
        <w:t>Modernorum</w:t>
      </w:r>
      <w:r w:rsidR="00A56F33">
        <w:t xml:space="preserve"> redigovala </w:t>
      </w:r>
      <w:r w:rsidR="006C44B7">
        <w:t xml:space="preserve">pod egidou </w:t>
      </w:r>
      <w:r w:rsidR="00013461">
        <w:t xml:space="preserve">magistra </w:t>
      </w:r>
      <w:r w:rsidR="006C44B7" w:rsidRPr="00273106">
        <w:t>Alexandra</w:t>
      </w:r>
      <w:r w:rsidR="003A1E8C">
        <w:fldChar w:fldCharType="begin"/>
      </w:r>
      <w:r w:rsidR="003A1E8C">
        <w:instrText xml:space="preserve"> XE "</w:instrText>
      </w:r>
      <w:r w:rsidR="005E1EFA">
        <w:instrText>Alexander, Halský</w:instrText>
      </w:r>
      <w:r w:rsidR="003A1E8C">
        <w:instrText xml:space="preserve">" </w:instrText>
      </w:r>
      <w:r w:rsidR="003A1E8C">
        <w:fldChar w:fldCharType="end"/>
      </w:r>
      <w:r w:rsidR="006C44B7">
        <w:t xml:space="preserve"> Hale</w:t>
      </w:r>
      <w:r w:rsidR="006C44B7" w:rsidRPr="00273106">
        <w:t xml:space="preserve">se </w:t>
      </w:r>
      <w:r w:rsidR="006C44B7">
        <w:t xml:space="preserve">(†1245) jeho myslitelskou závěť, známou jako </w:t>
      </w:r>
      <w:r w:rsidR="006C44B7" w:rsidRPr="006C44B7">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6C44B7">
        <w:t xml:space="preserve">. V této </w:t>
      </w:r>
      <w:r w:rsidR="001D4562">
        <w:t xml:space="preserve">františkánské </w:t>
      </w:r>
      <w:r w:rsidR="006C44B7">
        <w:t xml:space="preserve">škole </w:t>
      </w:r>
      <w:r w:rsidR="084476DD">
        <w:t xml:space="preserve">moderních toletánů </w:t>
      </w:r>
      <w:r w:rsidR="006C44B7">
        <w:t>vznikl první koncept objektivity</w:t>
      </w:r>
      <w:r w:rsidR="001D4562">
        <w:t xml:space="preserve"> poté, co ji doplnil oxfordský </w:t>
      </w:r>
      <w:r w:rsidR="0870508B">
        <w:t xml:space="preserve">bakalář </w:t>
      </w:r>
      <w:r w:rsidR="001D4562">
        <w:t>Rufus z Cornwallu bě</w:t>
      </w:r>
      <w:r w:rsidR="00AA477A">
        <w:t>hem svých stud</w:t>
      </w:r>
      <w:r w:rsidR="001D4562">
        <w:t>ií v Paříži</w:t>
      </w:r>
      <w:r w:rsidR="00013461">
        <w:t xml:space="preserve"> po roce 1235</w:t>
      </w:r>
      <w:r w:rsidR="006C44B7">
        <w:t>.</w:t>
      </w:r>
      <w:r w:rsidR="009C4CA1">
        <w:t xml:space="preserve"> </w:t>
      </w:r>
      <w:r w:rsidR="084476DD">
        <w:t>T</w:t>
      </w:r>
      <w:r w:rsidR="00A47F9A">
        <w:t>vrdé jádro školy druhého averroismu</w:t>
      </w:r>
      <w:r w:rsidR="000577D3">
        <w:fldChar w:fldCharType="begin"/>
      </w:r>
      <w:r w:rsidR="000577D3">
        <w:instrText xml:space="preserve"> XE "druhý</w:instrText>
      </w:r>
      <w:r w:rsidR="000577D3" w:rsidRPr="00E95618">
        <w:instrText xml:space="preserve"> averroismu</w:instrText>
      </w:r>
      <w:r w:rsidR="000577D3">
        <w:instrText xml:space="preserve">s:vznik" </w:instrText>
      </w:r>
      <w:r w:rsidR="000577D3">
        <w:fldChar w:fldCharType="end"/>
      </w:r>
      <w:r w:rsidR="00A47F9A">
        <w:t xml:space="preserve"> podporovala </w:t>
      </w:r>
      <w:r w:rsidR="08892E52">
        <w:t xml:space="preserve">skupina </w:t>
      </w:r>
      <w:r w:rsidR="00013461">
        <w:t>avicennovských dominikánů, kterou</w:t>
      </w:r>
      <w:r w:rsidR="009C4CA1">
        <w:t xml:space="preserve"> vedl </w:t>
      </w:r>
      <w:r w:rsidR="00722B85">
        <w:t xml:space="preserve">mladý bakalář </w:t>
      </w:r>
      <w:r w:rsidR="0870508B">
        <w:t xml:space="preserve">a později i magistr </w:t>
      </w:r>
      <w:r w:rsidR="009C4CA1">
        <w:t>Rob</w:t>
      </w:r>
      <w:r w:rsidR="006E3B4D">
        <w:t xml:space="preserve">ert Kilwardby </w:t>
      </w:r>
      <w:r w:rsidR="009C4CA1">
        <w:t xml:space="preserve">studující v Paříži </w:t>
      </w:r>
      <w:r w:rsidR="006E3B4D">
        <w:t xml:space="preserve">v jedné </w:t>
      </w:r>
      <w:r w:rsidR="001267E5">
        <w:t xml:space="preserve">scholastické </w:t>
      </w:r>
      <w:r w:rsidR="006E3B4D">
        <w:t xml:space="preserve">koleji s </w:t>
      </w:r>
      <w:r w:rsidR="002B7D22">
        <w:t>Albertem Velikým</w:t>
      </w:r>
      <w:r w:rsidR="00C81B1E">
        <w:t xml:space="preserve">. </w:t>
      </w:r>
      <w:r w:rsidR="085071A4">
        <w:t xml:space="preserve">Albert </w:t>
      </w:r>
      <w:r w:rsidR="002B7D22">
        <w:t xml:space="preserve">byl </w:t>
      </w:r>
      <w:r w:rsidR="00CC5091">
        <w:t xml:space="preserve">v otázce výkladu </w:t>
      </w:r>
      <w:r w:rsidR="00CC5091" w:rsidRPr="00CC5091">
        <w:rPr>
          <w:i/>
        </w:rPr>
        <w:t>De anima</w:t>
      </w:r>
      <w:r w:rsidR="00CC5091">
        <w:t xml:space="preserve"> </w:t>
      </w:r>
      <w:r w:rsidR="006E3B4D">
        <w:t xml:space="preserve">Alvernovým </w:t>
      </w:r>
      <w:r w:rsidR="002B7D22">
        <w:t xml:space="preserve">žákem a </w:t>
      </w:r>
      <w:r w:rsidR="005134C0">
        <w:t xml:space="preserve">představoval </w:t>
      </w:r>
      <w:r w:rsidR="008D3ABD">
        <w:t>s Rogerem B</w:t>
      </w:r>
      <w:r w:rsidR="005134C0">
        <w:t xml:space="preserve">aconem hlavního </w:t>
      </w:r>
      <w:r w:rsidR="005134C0">
        <w:lastRenderedPageBreak/>
        <w:t>představitele</w:t>
      </w:r>
      <w:r w:rsidR="008D3ABD">
        <w:t xml:space="preserve"> </w:t>
      </w:r>
      <w:r w:rsidR="00652AED">
        <w:t xml:space="preserve">školy </w:t>
      </w:r>
      <w:r w:rsidR="00CC5091">
        <w:t>prvního averroi</w:t>
      </w:r>
      <w:r w:rsidR="002B7D22">
        <w:t>s</w:t>
      </w:r>
      <w:r w:rsidR="00CC5091">
        <w:t>m</w:t>
      </w:r>
      <w:r w:rsidR="002B7D22">
        <w:t xml:space="preserve">u </w:t>
      </w:r>
      <w:r w:rsidR="085E2337">
        <w:t xml:space="preserve">po roce </w:t>
      </w:r>
      <w:r w:rsidR="002B7D22">
        <w:t>1240</w:t>
      </w:r>
      <w:r w:rsidR="009C4CA1">
        <w:t>.</w:t>
      </w:r>
      <w:r w:rsidR="00013461">
        <w:t xml:space="preserve"> Toto rozložení filosofických směrů </w:t>
      </w:r>
      <w:r w:rsidR="009C4CA1">
        <w:t xml:space="preserve"> </w:t>
      </w:r>
      <w:r w:rsidR="00B279DE">
        <w:t xml:space="preserve">vzešlých z recepce </w:t>
      </w:r>
      <w:r w:rsidR="08CE56B8">
        <w:t xml:space="preserve">Komentátora </w:t>
      </w:r>
      <w:r w:rsidR="00013461">
        <w:t xml:space="preserve">podle Sicilské a </w:t>
      </w:r>
      <w:r w:rsidR="00B279DE">
        <w:t xml:space="preserve">podle </w:t>
      </w:r>
      <w:r w:rsidR="00013461">
        <w:t>Tole</w:t>
      </w:r>
      <w:r w:rsidR="00B279DE">
        <w:t>d</w:t>
      </w:r>
      <w:r w:rsidR="004D2989">
        <w:t xml:space="preserve">ské školy představuje základ </w:t>
      </w:r>
      <w:r w:rsidR="00013461">
        <w:t xml:space="preserve">sporu </w:t>
      </w:r>
      <w:r w:rsidR="08CE56B8">
        <w:t>averroismus</w:t>
      </w:r>
      <w:r w:rsidR="00B279DE">
        <w:t xml:space="preserve">, </w:t>
      </w:r>
      <w:r w:rsidR="00013461">
        <w:t xml:space="preserve">v němž vznikla západní objektivita. </w:t>
      </w:r>
    </w:p>
    <w:p w14:paraId="0ABE7C4D" w14:textId="741F9E31" w:rsidR="00E26483" w:rsidRPr="00466617" w:rsidRDefault="00C51568" w:rsidP="086C1F19">
      <w:pPr>
        <w:pStyle w:val="Nadpis3"/>
        <w:rPr>
          <w:lang w:val="cs-CZ"/>
        </w:rPr>
      </w:pPr>
      <w:bookmarkStart w:id="69" w:name="_Toc487234304"/>
      <w:bookmarkStart w:id="70" w:name="_Toc12558311"/>
      <w:r>
        <w:rPr>
          <w:lang w:val="cs-CZ"/>
        </w:rPr>
        <w:br w:type="page"/>
      </w:r>
      <w:bookmarkStart w:id="71" w:name="_Toc160449323"/>
      <w:r w:rsidR="08D20D28">
        <w:rPr>
          <w:lang w:val="cs-CZ"/>
        </w:rPr>
        <w:lastRenderedPageBreak/>
        <w:t>2</w:t>
      </w:r>
      <w:r w:rsidR="00AA5D2C">
        <w:t xml:space="preserve">.3.2 Odmítnutí </w:t>
      </w:r>
      <w:bookmarkEnd w:id="69"/>
      <w:bookmarkEnd w:id="70"/>
      <w:r w:rsidR="00B30C58">
        <w:rPr>
          <w:lang w:val="cs-CZ"/>
        </w:rPr>
        <w:t xml:space="preserve">nominalistické </w:t>
      </w:r>
      <w:r w:rsidR="00466617">
        <w:rPr>
          <w:lang w:val="cs-CZ"/>
        </w:rPr>
        <w:t>predikace</w:t>
      </w:r>
      <w:bookmarkEnd w:id="71"/>
    </w:p>
    <w:p w14:paraId="48B3458D" w14:textId="06249793" w:rsidR="00F86A7E" w:rsidRPr="00273106" w:rsidRDefault="00DA7EC0" w:rsidP="001B1453">
      <w:r w:rsidRPr="00273106">
        <w:t xml:space="preserve">Předešlá matrice ukázala, že hypostázované pojetí signifikace podle Avicenny charakterizuje podstatu školy </w:t>
      </w:r>
      <w:r w:rsidRPr="00273106">
        <w:rPr>
          <w:i/>
        </w:rPr>
        <w:t>Nominales</w:t>
      </w:r>
      <w:r w:rsidRPr="00273106">
        <w:t xml:space="preserve"> a na ně navázaných logických škol. </w:t>
      </w:r>
      <w:r w:rsidR="00AE1D46" w:rsidRPr="00273106">
        <w:t>Další krit</w:t>
      </w:r>
      <w:r w:rsidR="0071108C">
        <w:t>ický krok</w:t>
      </w:r>
      <w:r w:rsidR="00AE1D46" w:rsidRPr="00273106">
        <w:t xml:space="preserve"> </w:t>
      </w:r>
      <w:r w:rsidR="00AA477A">
        <w:t>Alverna v</w:t>
      </w:r>
      <w:r w:rsidR="001D521A">
        <w:t xml:space="preserve">e dvojí roli pařížského biskupa a </w:t>
      </w:r>
      <w:r w:rsidR="0036544B" w:rsidRPr="00273106">
        <w:t xml:space="preserve">kancléře univerzity </w:t>
      </w:r>
      <w:r w:rsidR="00DA56E4">
        <w:t>směřoval</w:t>
      </w:r>
      <w:r w:rsidR="00AE1D46" w:rsidRPr="00273106">
        <w:t xml:space="preserve"> </w:t>
      </w:r>
      <w:r w:rsidR="0012146B" w:rsidRPr="00273106">
        <w:t xml:space="preserve">proti </w:t>
      </w:r>
      <w:r w:rsidR="08090F7F">
        <w:t xml:space="preserve">nominalistické </w:t>
      </w:r>
      <w:r w:rsidR="08EB64EC">
        <w:t xml:space="preserve">nauce školy </w:t>
      </w:r>
      <w:r w:rsidR="00AE7F7E">
        <w:t>Gramatiků</w:t>
      </w:r>
      <w:r w:rsidR="08EB64EC">
        <w:t xml:space="preserve"> (</w:t>
      </w:r>
      <w:r w:rsidR="08EB64EC" w:rsidRPr="00273106">
        <w:rPr>
          <w:i/>
        </w:rPr>
        <w:t>Grammatici</w:t>
      </w:r>
      <w:r w:rsidR="08EB64EC">
        <w:t>)</w:t>
      </w:r>
      <w:r w:rsidR="000D107F">
        <w:rPr>
          <w:i/>
        </w:rPr>
        <w:fldChar w:fldCharType="begin"/>
      </w:r>
      <w:r w:rsidR="000D107F">
        <w:instrText xml:space="preserve"> XE "druhý averroismus:</w:instrText>
      </w:r>
      <w:r w:rsidR="000D107F" w:rsidRPr="00FE6F28">
        <w:rPr>
          <w:i/>
        </w:rPr>
        <w:instrText>Grammatici</w:instrText>
      </w:r>
      <w:r w:rsidR="000D107F">
        <w:instrText xml:space="preserve">" </w:instrText>
      </w:r>
      <w:r w:rsidR="000D107F">
        <w:rPr>
          <w:i/>
        </w:rPr>
        <w:fldChar w:fldCharType="end"/>
      </w:r>
      <w:r w:rsidR="00A003A4">
        <w:t xml:space="preserve">. </w:t>
      </w:r>
      <w:r w:rsidR="00721877">
        <w:t xml:space="preserve">Tuto školu </w:t>
      </w:r>
      <w:r w:rsidR="00117902">
        <w:t xml:space="preserve">z pozice prvního averroismu kritizoval spis </w:t>
      </w:r>
      <w:r w:rsidR="089A1B6F">
        <w:rPr>
          <w:i/>
        </w:rPr>
        <w:t>De anima et de potenciis eius</w:t>
      </w:r>
      <w:r w:rsidR="00117902">
        <w:rPr>
          <w:i/>
        </w:rPr>
        <w:t xml:space="preserve"> </w:t>
      </w:r>
      <w:r w:rsidR="08DF2202">
        <w:t>v polemice proti sofismatu o člověku jako mrtvole</w:t>
      </w:r>
      <w:r w:rsidR="00117902">
        <w:t xml:space="preserve">. </w:t>
      </w:r>
      <w:r w:rsidR="08AD0A00">
        <w:t>I</w:t>
      </w:r>
      <w:r w:rsidR="084432D5">
        <w:t xml:space="preserve">dentifikaci </w:t>
      </w:r>
      <w:r w:rsidR="08AD0A00">
        <w:t xml:space="preserve">školy Gramatiků </w:t>
      </w:r>
      <w:r w:rsidR="084432D5">
        <w:t xml:space="preserve">nepřímo potvrzuje spor pařížských </w:t>
      </w:r>
      <w:r w:rsidR="089A7BBA">
        <w:t xml:space="preserve">logiků </w:t>
      </w:r>
      <w:r w:rsidR="084432D5">
        <w:t>se školou gram</w:t>
      </w:r>
      <w:r w:rsidR="084432D5" w:rsidRPr="0074168B">
        <w:t>atiků</w:t>
      </w:r>
      <w:r w:rsidR="084432D5">
        <w:t xml:space="preserve"> v Orléansu </w:t>
      </w:r>
      <w:r w:rsidR="003B2AD9">
        <w:t xml:space="preserve">popsaný ve studentské </w:t>
      </w:r>
      <w:r w:rsidR="089A7BBA">
        <w:t>písni</w:t>
      </w:r>
      <w:r w:rsidR="084432D5">
        <w:t xml:space="preserve"> z let 1230‒50.</w:t>
      </w:r>
      <w:r w:rsidR="00AE1D46" w:rsidRPr="00273106">
        <w:rPr>
          <w:rStyle w:val="Znakapoznpodarou"/>
        </w:rPr>
        <w:footnoteReference w:id="190"/>
      </w:r>
      <w:r w:rsidR="00AE1D46" w:rsidRPr="00273106">
        <w:t xml:space="preserve"> </w:t>
      </w:r>
      <w:r w:rsidR="008B380F">
        <w:t>S</w:t>
      </w:r>
      <w:r w:rsidR="008B380F" w:rsidRPr="00273106">
        <w:t>atira dosvědčuje, že v této době existovaly spory mezi logickými školami v Paříži a gramatickými školami v Orléansu.</w:t>
      </w:r>
      <w:r w:rsidR="008B380F">
        <w:t xml:space="preserve"> </w:t>
      </w:r>
      <w:r w:rsidR="002E0386">
        <w:t xml:space="preserve">Následující matrice ukáže, že modernisté </w:t>
      </w:r>
      <w:r w:rsidR="002E0386" w:rsidRPr="00273106">
        <w:t>Jan Pagus</w:t>
      </w:r>
      <w:r w:rsidR="002E0386">
        <w:fldChar w:fldCharType="begin"/>
      </w:r>
      <w:r w:rsidR="002E0386">
        <w:instrText xml:space="preserve"> XE "</w:instrText>
      </w:r>
      <w:r w:rsidR="002E0386" w:rsidRPr="00BB6E8D">
        <w:instrText>Pagus</w:instrText>
      </w:r>
      <w:r w:rsidR="002E0386">
        <w:instrText xml:space="preserve">, John" </w:instrText>
      </w:r>
      <w:r w:rsidR="002E0386">
        <w:fldChar w:fldCharType="end"/>
      </w:r>
      <w:r w:rsidR="002E0386" w:rsidRPr="00273106">
        <w:t xml:space="preserve"> </w:t>
      </w:r>
      <w:r w:rsidR="002E0386">
        <w:t>(</w:t>
      </w:r>
      <w:r w:rsidR="002E0386">
        <w:rPr>
          <w:rStyle w:val="reference-text"/>
        </w:rPr>
        <w:t>Johannes Pagus</w:t>
      </w:r>
      <w:r w:rsidR="002E0386">
        <w:t xml:space="preserve">) </w:t>
      </w:r>
      <w:r w:rsidR="002E0386" w:rsidRPr="00273106">
        <w:t>a Mikuláš z Paříže</w:t>
      </w:r>
      <w:r w:rsidR="002E0386">
        <w:fldChar w:fldCharType="begin"/>
      </w:r>
      <w:r w:rsidR="002E0386">
        <w:instrText xml:space="preserve"> XE "</w:instrText>
      </w:r>
      <w:r w:rsidR="002E0386" w:rsidRPr="00E044F0">
        <w:instrText>Mikuláš z Paříže</w:instrText>
      </w:r>
      <w:r w:rsidR="002E0386">
        <w:instrText xml:space="preserve">" </w:instrText>
      </w:r>
      <w:r w:rsidR="002E0386">
        <w:fldChar w:fldCharType="end"/>
      </w:r>
      <w:r w:rsidR="002E0386" w:rsidRPr="00273106">
        <w:t xml:space="preserve"> </w:t>
      </w:r>
      <w:r w:rsidR="002E0386">
        <w:t xml:space="preserve">(Nicolaus Parisiensis) </w:t>
      </w:r>
      <w:r w:rsidR="00447D47">
        <w:t xml:space="preserve">patří </w:t>
      </w:r>
      <w:r w:rsidR="00447D47" w:rsidRPr="00273106">
        <w:t xml:space="preserve">do </w:t>
      </w:r>
      <w:r w:rsidR="00447D47">
        <w:t xml:space="preserve">zmíněné skupiny zvané </w:t>
      </w:r>
      <w:r w:rsidR="00447D47" w:rsidRPr="00273106">
        <w:rPr>
          <w:i/>
        </w:rPr>
        <w:t>Grammatici</w:t>
      </w:r>
      <w:r w:rsidR="00447D47" w:rsidRPr="00721877">
        <w:t xml:space="preserve"> </w:t>
      </w:r>
      <w:r w:rsidR="00447D47">
        <w:t xml:space="preserve">(kap. 3.1.2). Oba modernisté pachází z logických škol </w:t>
      </w:r>
      <w:r w:rsidR="00447D47" w:rsidRPr="00721877">
        <w:rPr>
          <w:i/>
        </w:rPr>
        <w:t>Nominales</w:t>
      </w:r>
      <w:r w:rsidR="00447D47">
        <w:t xml:space="preserve"> a vytvořili novou interpretaci </w:t>
      </w:r>
      <w:r w:rsidR="00447D47" w:rsidRPr="00447D47">
        <w:rPr>
          <w:i/>
        </w:rPr>
        <w:t>Kategorií</w:t>
      </w:r>
      <w:r w:rsidR="00447D47" w:rsidRPr="00273106">
        <w:t xml:space="preserve"> jako univočních porretánských hypost</w:t>
      </w:r>
      <w:r w:rsidR="00447D47">
        <w:t xml:space="preserve">ází. </w:t>
      </w:r>
      <w:r w:rsidR="08696FDC" w:rsidRPr="00273106">
        <w:t xml:space="preserve">Z existence Sokrata </w:t>
      </w:r>
      <w:r w:rsidR="08610F3D">
        <w:t xml:space="preserve">v minulosti </w:t>
      </w:r>
      <w:r w:rsidR="08696FDC" w:rsidRPr="00273106">
        <w:t xml:space="preserve">vyjádřené </w:t>
      </w:r>
      <w:r w:rsidR="088479F4">
        <w:t xml:space="preserve">synkategorematickým </w:t>
      </w:r>
      <w:r w:rsidR="08696FDC" w:rsidRPr="00273106">
        <w:t xml:space="preserve">slovesem se stává </w:t>
      </w:r>
      <w:r w:rsidR="08696FDC">
        <w:t xml:space="preserve">ve škole latinských Gramatiků </w:t>
      </w:r>
      <w:r w:rsidR="08696FDC" w:rsidRPr="00273106">
        <w:t xml:space="preserve">nominální </w:t>
      </w:r>
      <w:r w:rsidR="08696FDC">
        <w:t xml:space="preserve">a později objektivní „sokratovost“ přičítaná substanci třetího druhu. Rozbor díla </w:t>
      </w:r>
      <w:r w:rsidR="08696FDC">
        <w:rPr>
          <w:i/>
        </w:rPr>
        <w:t>Dialogus Ratii et E</w:t>
      </w:r>
      <w:r w:rsidR="08AB1FAC">
        <w:rPr>
          <w:i/>
        </w:rPr>
        <w:t>ver</w:t>
      </w:r>
      <w:r w:rsidR="08696FDC" w:rsidRPr="00E90839">
        <w:rPr>
          <w:i/>
        </w:rPr>
        <w:t>ardi</w:t>
      </w:r>
      <w:r w:rsidR="08696FDC">
        <w:t xml:space="preserve"> ukázal, jak predikace hypostázovaných </w:t>
      </w:r>
      <w:r w:rsidR="004B4D52" w:rsidRPr="004B4D52">
        <w:t>species</w:t>
      </w:r>
      <w:r w:rsidR="08696FDC">
        <w:t xml:space="preserve"> probíhá směrem k poslednímu individuálnímu substrátu nesoucímu kolektu těchto určení (</w:t>
      </w:r>
      <w:r w:rsidR="08696FDC" w:rsidRPr="00E90839">
        <w:rPr>
          <w:i/>
        </w:rPr>
        <w:t>socratitas</w:t>
      </w:r>
      <w:r w:rsidR="08696FDC" w:rsidRPr="00D7258E">
        <w:t xml:space="preserve"> </w:t>
      </w:r>
      <w:r w:rsidR="08696FDC" w:rsidRPr="00E90839">
        <w:rPr>
          <w:i/>
        </w:rPr>
        <w:t>est humanitas</w:t>
      </w:r>
      <w:r w:rsidR="08696FDC">
        <w:rPr>
          <w:i/>
        </w:rPr>
        <w:fldChar w:fldCharType="begin"/>
      </w:r>
      <w:r w:rsidR="08696FDC">
        <w:instrText xml:space="preserve"> XE "</w:instrText>
      </w:r>
      <w:r w:rsidR="08696FDC" w:rsidRPr="00420622">
        <w:rPr>
          <w:i/>
        </w:rPr>
        <w:instrText>humanitas</w:instrText>
      </w:r>
      <w:r w:rsidR="08696FDC" w:rsidRPr="008E1F05">
        <w:instrText>:porretáni</w:instrText>
      </w:r>
      <w:r w:rsidR="08696FDC">
        <w:instrText xml:space="preserve">" </w:instrText>
      </w:r>
      <w:r w:rsidR="08696FDC">
        <w:rPr>
          <w:i/>
        </w:rPr>
        <w:fldChar w:fldCharType="end"/>
      </w:r>
      <w:r w:rsidR="08696FDC" w:rsidRPr="00E90839">
        <w:rPr>
          <w:i/>
        </w:rPr>
        <w:t xml:space="preserve"> est animalitas est corporalitas</w:t>
      </w:r>
      <w:r w:rsidR="08977A83">
        <w:t>, kap. 1</w:t>
      </w:r>
      <w:r w:rsidR="08696FDC">
        <w:t xml:space="preserve">.5). </w:t>
      </w:r>
      <w:r w:rsidR="0880132E">
        <w:t xml:space="preserve">Alvernův </w:t>
      </w:r>
      <w:r w:rsidR="086D4E70">
        <w:t>druhý komentář</w:t>
      </w:r>
      <w:r w:rsidR="086D4E70" w:rsidRPr="00273106">
        <w:t xml:space="preserve"> k </w:t>
      </w:r>
      <w:r w:rsidR="086D4E70">
        <w:rPr>
          <w:i/>
        </w:rPr>
        <w:t>De anima</w:t>
      </w:r>
      <w:r w:rsidR="086D4E70" w:rsidRPr="00273106">
        <w:t xml:space="preserve"> </w:t>
      </w:r>
      <w:r w:rsidR="00FC3A5E" w:rsidRPr="00273106">
        <w:t>odmítá pojetí jsoucna třetího druhu podle porretánů</w:t>
      </w:r>
      <w:r w:rsidR="00814252">
        <w:t xml:space="preserve">. </w:t>
      </w:r>
      <w:r w:rsidR="08160B53">
        <w:t xml:space="preserve">Latinští sofisté </w:t>
      </w:r>
      <w:r w:rsidR="001E6576">
        <w:rPr>
          <w:lang w:eastAsia="en-US"/>
        </w:rPr>
        <w:t>(</w:t>
      </w:r>
      <w:r w:rsidR="001E6576" w:rsidRPr="008377ED">
        <w:rPr>
          <w:i/>
          <w:lang w:eastAsia="en-US"/>
        </w:rPr>
        <w:t>Sophistae Latini</w:t>
      </w:r>
      <w:r w:rsidR="001E6576">
        <w:rPr>
          <w:lang w:eastAsia="en-US"/>
        </w:rPr>
        <w:t xml:space="preserve">) </w:t>
      </w:r>
      <w:r w:rsidR="08160B53">
        <w:t>vytvořili apozicí hypostázované „běloby“ do reálné bílé věci kat</w:t>
      </w:r>
      <w:r w:rsidR="00ED44FA">
        <w:t xml:space="preserve">egoriální signifikaci typu „bělost ve </w:t>
      </w:r>
      <w:r w:rsidR="08160B53">
        <w:t>věc</w:t>
      </w:r>
      <w:r w:rsidR="00ED44FA">
        <w:t>i</w:t>
      </w:r>
      <w:r w:rsidR="08160B53">
        <w:t>“ (</w:t>
      </w:r>
      <w:r w:rsidR="08160B53" w:rsidRPr="003446D7">
        <w:rPr>
          <w:i/>
        </w:rPr>
        <w:t>albedinem ponit in subjecto de quo dicitur</w:t>
      </w:r>
      <w:r w:rsidR="08160B53">
        <w:t>).</w:t>
      </w:r>
      <w:r w:rsidR="08160B53">
        <w:rPr>
          <w:rStyle w:val="Znakapoznpodarou"/>
        </w:rPr>
        <w:footnoteReference w:id="191"/>
      </w:r>
      <w:r w:rsidR="08160B53">
        <w:t xml:space="preserve"> </w:t>
      </w:r>
      <w:r w:rsidR="08310EA2">
        <w:t xml:space="preserve">Alvernus odmítá univoční supozici sofistů danou sofismatem </w:t>
      </w:r>
      <w:r w:rsidR="08310EA2" w:rsidRPr="00A42CE1">
        <w:rPr>
          <w:i/>
        </w:rPr>
        <w:t>album albet</w:t>
      </w:r>
      <w:r w:rsidR="08310EA2">
        <w:rPr>
          <w:i/>
        </w:rPr>
        <w:fldChar w:fldCharType="begin"/>
      </w:r>
      <w:r w:rsidR="08310EA2">
        <w:instrText xml:space="preserve"> XE "predikace:běloba" </w:instrText>
      </w:r>
      <w:r w:rsidR="08310EA2">
        <w:rPr>
          <w:i/>
        </w:rPr>
        <w:fldChar w:fldCharType="end"/>
      </w:r>
      <w:r w:rsidR="08310EA2">
        <w:t xml:space="preserve">. </w:t>
      </w:r>
      <w:r w:rsidR="00814252">
        <w:t xml:space="preserve">Stoupenec Abelardovy školy v linii Blunda </w:t>
      </w:r>
      <w:r w:rsidR="00814252" w:rsidRPr="00273106">
        <w:t xml:space="preserve">sleduje vývody CMDA a </w:t>
      </w:r>
      <w:r w:rsidR="00814252" w:rsidRPr="00273106">
        <w:lastRenderedPageBreak/>
        <w:t>nemůže připustit jiný vznik signifikace než skrze smyslovou a intelektuální abstrakci</w:t>
      </w:r>
      <w:r w:rsidR="009E3A18">
        <w:t xml:space="preserve">. Ta vzniká </w:t>
      </w:r>
      <w:r w:rsidR="00814252" w:rsidRPr="00273106">
        <w:t>skrze působení první substance</w:t>
      </w:r>
      <w:r w:rsidR="08A00C1B">
        <w:t>, ať už materiální nebo nemateriální</w:t>
      </w:r>
      <w:r w:rsidR="00814252" w:rsidRPr="00273106">
        <w:t>.</w:t>
      </w:r>
      <w:r w:rsidR="00814252">
        <w:t xml:space="preserve"> </w:t>
      </w:r>
      <w:r w:rsidR="00365572">
        <w:t>Pravdivá s</w:t>
      </w:r>
      <w:r w:rsidR="00825A03" w:rsidRPr="00273106">
        <w:t xml:space="preserve">ignifikace vzniká </w:t>
      </w:r>
      <w:r w:rsidR="00365572">
        <w:t xml:space="preserve">impozicí </w:t>
      </w:r>
      <w:r w:rsidR="00825A03" w:rsidRPr="00273106">
        <w:t>od reálné první substance</w:t>
      </w:r>
      <w:r w:rsidR="00A70FA4">
        <w:fldChar w:fldCharType="begin"/>
      </w:r>
      <w:r w:rsidR="00A70FA4">
        <w:instrText xml:space="preserve"> XE "</w:instrText>
      </w:r>
      <w:r w:rsidR="003A3304">
        <w:instrText>impozice:první averroismus</w:instrText>
      </w:r>
      <w:r w:rsidR="00A70FA4">
        <w:instrText xml:space="preserve">" </w:instrText>
      </w:r>
      <w:r w:rsidR="00A70FA4">
        <w:fldChar w:fldCharType="end"/>
      </w:r>
      <w:r w:rsidR="006706E3" w:rsidRPr="00273106">
        <w:t>, protože ta působ</w:t>
      </w:r>
      <w:r w:rsidR="00825A03" w:rsidRPr="00273106">
        <w:t xml:space="preserve">í na smysly </w:t>
      </w:r>
      <w:r w:rsidR="00FC3A5E" w:rsidRPr="00273106">
        <w:t>(</w:t>
      </w:r>
      <w:r w:rsidR="00FC3A5E" w:rsidRPr="00273106">
        <w:rPr>
          <w:i/>
        </w:rPr>
        <w:t>signa illa intelligibilia... ipsa dant animae humanae intelligere in effectu</w:t>
      </w:r>
      <w:r w:rsidR="00ED066E" w:rsidRPr="00273106">
        <w:t xml:space="preserve">; </w:t>
      </w:r>
      <w:r w:rsidR="08F33F8D" w:rsidRPr="00EF3ADC">
        <w:rPr>
          <w:i/>
        </w:rPr>
        <w:t xml:space="preserve">Guilielmi </w:t>
      </w:r>
      <w:r w:rsidR="08F33F8D">
        <w:rPr>
          <w:i/>
        </w:rPr>
        <w:t>De anima</w:t>
      </w:r>
      <w:r w:rsidR="08F33F8D">
        <w:t xml:space="preserve">, </w:t>
      </w:r>
      <w:r w:rsidR="00FC3A5E" w:rsidRPr="00273106">
        <w:t>p. 205</w:t>
      </w:r>
      <w:r w:rsidR="003A3304">
        <w:rPr>
          <w:i/>
        </w:rPr>
        <w:fldChar w:fldCharType="begin"/>
      </w:r>
      <w:r w:rsidR="003A3304">
        <w:instrText xml:space="preserve"> XE "</w:instrText>
      </w:r>
      <w:r w:rsidR="003A3304" w:rsidRPr="00B95FE8">
        <w:instrText>Alvernus</w:instrText>
      </w:r>
      <w:r w:rsidR="003A3304">
        <w:instrText>:</w:instrText>
      </w:r>
      <w:r w:rsidR="003A3304" w:rsidRPr="00CA02EF">
        <w:rPr>
          <w:i/>
        </w:rPr>
        <w:instrText xml:space="preserve">Guilielmi </w:instrText>
      </w:r>
      <w:r w:rsidR="003A3304">
        <w:rPr>
          <w:i/>
        </w:rPr>
        <w:instrText>De anima</w:instrText>
      </w:r>
      <w:r w:rsidR="003A3304">
        <w:instrText xml:space="preserve"> 205" </w:instrText>
      </w:r>
      <w:r w:rsidR="003A3304">
        <w:rPr>
          <w:i/>
        </w:rPr>
        <w:fldChar w:fldCharType="end"/>
      </w:r>
      <w:r w:rsidR="00FC3A5E" w:rsidRPr="00273106">
        <w:t>). K</w:t>
      </w:r>
      <w:r w:rsidR="00613BF1" w:rsidRPr="00273106">
        <w:t xml:space="preserve">ritiku latinských </w:t>
      </w:r>
      <w:r w:rsidR="00B3161A" w:rsidRPr="00273106">
        <w:t xml:space="preserve">gramatiků </w:t>
      </w:r>
      <w:r w:rsidR="00613BF1" w:rsidRPr="00273106">
        <w:t>shrnuje následující citát.</w:t>
      </w:r>
    </w:p>
    <w:p w14:paraId="2080192D" w14:textId="1A4E227B" w:rsidR="006460C0" w:rsidRPr="00273106" w:rsidRDefault="00F86A7E" w:rsidP="00D10D51">
      <w:pPr>
        <w:pStyle w:val="Citace"/>
        <w:rPr>
          <w:noProof/>
          <w:lang w:val="cs-CZ"/>
        </w:rPr>
      </w:pPr>
      <w:r w:rsidRPr="00273106">
        <w:rPr>
          <w:noProof/>
          <w:lang w:val="cs-CZ"/>
        </w:rPr>
        <w:t>„</w:t>
      </w:r>
      <w:r w:rsidR="00CE6D6F" w:rsidRPr="00273106">
        <w:rPr>
          <w:noProof/>
          <w:lang w:val="cs-CZ"/>
        </w:rPr>
        <w:t>Viz předcházející Gramatiky, kteří působili p</w:t>
      </w:r>
      <w:r w:rsidR="00F30D73" w:rsidRPr="00273106">
        <w:rPr>
          <w:noProof/>
          <w:lang w:val="cs-CZ"/>
        </w:rPr>
        <w:t xml:space="preserve">řede mnou a mnozí, kteří byli </w:t>
      </w:r>
      <w:r w:rsidR="00FB0034">
        <w:rPr>
          <w:noProof/>
          <w:lang w:val="cs-CZ"/>
        </w:rPr>
        <w:t>za mého života (</w:t>
      </w:r>
      <w:r w:rsidR="00CE6D6F" w:rsidRPr="00273106">
        <w:rPr>
          <w:noProof/>
          <w:lang w:val="cs-CZ"/>
        </w:rPr>
        <w:t>...</w:t>
      </w:r>
      <w:r w:rsidR="00FB0034">
        <w:rPr>
          <w:noProof/>
          <w:lang w:val="cs-CZ"/>
        </w:rPr>
        <w:t>).</w:t>
      </w:r>
      <w:r w:rsidR="00CE6D6F" w:rsidRPr="00273106">
        <w:rPr>
          <w:noProof/>
          <w:lang w:val="cs-CZ"/>
        </w:rPr>
        <w:t xml:space="preserve"> </w:t>
      </w:r>
      <w:r w:rsidRPr="00273106">
        <w:rPr>
          <w:noProof/>
          <w:lang w:val="cs-CZ"/>
        </w:rPr>
        <w:t xml:space="preserve">Jejich záměr byl ten, že </w:t>
      </w:r>
      <w:r w:rsidR="00D10D51">
        <w:rPr>
          <w:noProof/>
          <w:lang w:val="cs-CZ"/>
        </w:rPr>
        <w:t>vzali impozici významu pouze ze slov (</w:t>
      </w:r>
      <w:r w:rsidR="00D10D51" w:rsidRPr="00D10D51">
        <w:rPr>
          <w:i/>
        </w:rPr>
        <w:t>de verbis significabant et praedicabant dispositiones</w:t>
      </w:r>
      <w:r w:rsidR="00D10D51">
        <w:rPr>
          <w:noProof/>
          <w:lang w:val="cs-CZ"/>
        </w:rPr>
        <w:t>)</w:t>
      </w:r>
      <w:r w:rsidR="00ED6A07">
        <w:rPr>
          <w:noProof/>
          <w:lang w:val="cs-CZ"/>
        </w:rPr>
        <w:t>. T</w:t>
      </w:r>
      <w:r w:rsidR="00D10D51">
        <w:rPr>
          <w:noProof/>
          <w:lang w:val="cs-CZ"/>
        </w:rPr>
        <w:t xml:space="preserve">yto </w:t>
      </w:r>
      <w:r w:rsidR="00C07276">
        <w:rPr>
          <w:noProof/>
          <w:lang w:val="cs-CZ"/>
        </w:rPr>
        <w:t xml:space="preserve">hypostázované </w:t>
      </w:r>
      <w:r w:rsidR="00ED6A07">
        <w:rPr>
          <w:noProof/>
          <w:lang w:val="cs-CZ"/>
        </w:rPr>
        <w:t xml:space="preserve">vlastnosti </w:t>
      </w:r>
      <w:r w:rsidR="00414F3B" w:rsidRPr="00273106">
        <w:rPr>
          <w:noProof/>
          <w:lang w:val="cs-CZ"/>
        </w:rPr>
        <w:t xml:space="preserve">dali do substancí, </w:t>
      </w:r>
      <w:r w:rsidR="008E2B7C" w:rsidRPr="00273106">
        <w:rPr>
          <w:noProof/>
          <w:lang w:val="cs-CZ"/>
        </w:rPr>
        <w:t>o nichž vypovídali</w:t>
      </w:r>
      <w:r w:rsidR="00D10D51">
        <w:rPr>
          <w:noProof/>
          <w:lang w:val="cs-CZ"/>
        </w:rPr>
        <w:t xml:space="preserve"> (</w:t>
      </w:r>
      <w:r w:rsidR="00D10D51" w:rsidRPr="00D10D51">
        <w:rPr>
          <w:i/>
        </w:rPr>
        <w:t>ponebantque eas in substantiis de quibus dicebatur</w:t>
      </w:r>
      <w:r w:rsidR="00D10D51">
        <w:rPr>
          <w:noProof/>
          <w:lang w:val="cs-CZ"/>
        </w:rPr>
        <w:t>)</w:t>
      </w:r>
      <w:r w:rsidRPr="00273106">
        <w:rPr>
          <w:noProof/>
          <w:lang w:val="cs-CZ"/>
        </w:rPr>
        <w:t xml:space="preserve">. </w:t>
      </w:r>
      <w:r w:rsidR="001E63EC">
        <w:rPr>
          <w:noProof/>
          <w:lang w:val="cs-CZ"/>
        </w:rPr>
        <w:t xml:space="preserve">Takto </w:t>
      </w:r>
      <w:r w:rsidR="00DA092F">
        <w:rPr>
          <w:noProof/>
          <w:lang w:val="cs-CZ"/>
        </w:rPr>
        <w:t xml:space="preserve">nejasně </w:t>
      </w:r>
      <w:r w:rsidR="001E63EC">
        <w:rPr>
          <w:noProof/>
          <w:lang w:val="cs-CZ"/>
        </w:rPr>
        <w:t>pravdivý význam (</w:t>
      </w:r>
      <w:r w:rsidR="001E63EC" w:rsidRPr="001E63EC">
        <w:rPr>
          <w:i/>
          <w:noProof/>
          <w:lang w:val="cs-CZ"/>
        </w:rPr>
        <w:t>quaedam vero</w:t>
      </w:r>
      <w:r w:rsidR="001E63EC">
        <w:rPr>
          <w:noProof/>
          <w:lang w:val="cs-CZ"/>
        </w:rPr>
        <w:t>)</w:t>
      </w:r>
      <w:r w:rsidR="00627CB4">
        <w:rPr>
          <w:noProof/>
          <w:lang w:val="cs-CZ"/>
        </w:rPr>
        <w:t>, který neměl imp</w:t>
      </w:r>
      <w:r w:rsidR="0048515D">
        <w:rPr>
          <w:noProof/>
          <w:lang w:val="cs-CZ"/>
        </w:rPr>
        <w:t>o</w:t>
      </w:r>
      <w:r w:rsidR="00627CB4">
        <w:rPr>
          <w:noProof/>
          <w:lang w:val="cs-CZ"/>
        </w:rPr>
        <w:t>zici z reálných substancí</w:t>
      </w:r>
      <w:r w:rsidR="001E63EC">
        <w:rPr>
          <w:noProof/>
          <w:lang w:val="cs-CZ"/>
        </w:rPr>
        <w:t xml:space="preserve"> </w:t>
      </w:r>
      <w:r w:rsidR="00325DDB" w:rsidRPr="00273106">
        <w:rPr>
          <w:noProof/>
          <w:lang w:val="cs-CZ"/>
        </w:rPr>
        <w:t>(</w:t>
      </w:r>
      <w:r w:rsidR="00325DDB" w:rsidRPr="00273106">
        <w:rPr>
          <w:i/>
          <w:noProof/>
          <w:lang w:val="cs-CZ"/>
        </w:rPr>
        <w:t>non significantes ex semetipsis</w:t>
      </w:r>
      <w:r w:rsidR="00325DDB" w:rsidRPr="00273106">
        <w:rPr>
          <w:noProof/>
          <w:lang w:val="cs-CZ"/>
        </w:rPr>
        <w:t>)</w:t>
      </w:r>
      <w:r w:rsidR="00724969" w:rsidRPr="00273106">
        <w:rPr>
          <w:noProof/>
          <w:lang w:val="cs-CZ"/>
        </w:rPr>
        <w:t xml:space="preserve">, </w:t>
      </w:r>
      <w:r w:rsidR="00700215">
        <w:rPr>
          <w:noProof/>
          <w:lang w:val="cs-CZ"/>
        </w:rPr>
        <w:t xml:space="preserve">pak </w:t>
      </w:r>
      <w:r w:rsidR="00724969" w:rsidRPr="00273106">
        <w:rPr>
          <w:noProof/>
          <w:lang w:val="cs-CZ"/>
        </w:rPr>
        <w:t xml:space="preserve">dali do </w:t>
      </w:r>
      <w:r w:rsidR="001E63EC">
        <w:rPr>
          <w:noProof/>
          <w:lang w:val="cs-CZ"/>
        </w:rPr>
        <w:t xml:space="preserve">nominálně určených </w:t>
      </w:r>
      <w:r w:rsidR="00724969" w:rsidRPr="00273106">
        <w:rPr>
          <w:noProof/>
          <w:lang w:val="cs-CZ"/>
        </w:rPr>
        <w:t>subjektů</w:t>
      </w:r>
      <w:r w:rsidR="001E63EC">
        <w:rPr>
          <w:noProof/>
          <w:lang w:val="cs-CZ"/>
        </w:rPr>
        <w:t xml:space="preserve"> (</w:t>
      </w:r>
      <w:r w:rsidR="001E63EC" w:rsidRPr="00700215">
        <w:rPr>
          <w:i/>
        </w:rPr>
        <w:t>ponebant in subiectis</w:t>
      </w:r>
      <w:r w:rsidR="001E63EC">
        <w:rPr>
          <w:noProof/>
          <w:lang w:val="cs-CZ"/>
        </w:rPr>
        <w:t xml:space="preserve">). Vlastnosti těchto subjektů pak signifikovali </w:t>
      </w:r>
      <w:r w:rsidR="00700215">
        <w:rPr>
          <w:noProof/>
          <w:lang w:val="cs-CZ"/>
        </w:rPr>
        <w:t>(</w:t>
      </w:r>
      <w:r w:rsidR="00700215" w:rsidRPr="00700215">
        <w:rPr>
          <w:i/>
        </w:rPr>
        <w:t>dicebantur dispositiones</w:t>
      </w:r>
      <w:r w:rsidR="00700215">
        <w:rPr>
          <w:noProof/>
          <w:lang w:val="cs-CZ"/>
        </w:rPr>
        <w:t xml:space="preserve">) </w:t>
      </w:r>
      <w:r w:rsidR="00724969" w:rsidRPr="00273106">
        <w:rPr>
          <w:noProof/>
          <w:lang w:val="cs-CZ"/>
        </w:rPr>
        <w:t xml:space="preserve">skrze </w:t>
      </w:r>
      <w:r w:rsidR="00F71563" w:rsidRPr="00273106">
        <w:rPr>
          <w:noProof/>
          <w:lang w:val="cs-CZ"/>
        </w:rPr>
        <w:t xml:space="preserve">jména daná </w:t>
      </w:r>
      <w:r w:rsidR="00F71563">
        <w:rPr>
          <w:noProof/>
          <w:lang w:val="cs-CZ"/>
        </w:rPr>
        <w:t>na základě apozice</w:t>
      </w:r>
      <w:r w:rsidR="00724969" w:rsidRPr="00273106">
        <w:rPr>
          <w:noProof/>
          <w:lang w:val="cs-CZ"/>
        </w:rPr>
        <w:t xml:space="preserve"> </w:t>
      </w:r>
      <w:r w:rsidR="00325DDB" w:rsidRPr="00273106">
        <w:rPr>
          <w:noProof/>
          <w:lang w:val="cs-CZ"/>
        </w:rPr>
        <w:t>(</w:t>
      </w:r>
      <w:r w:rsidR="00325DDB" w:rsidRPr="00273106">
        <w:rPr>
          <w:i/>
          <w:noProof/>
          <w:lang w:val="cs-CZ"/>
        </w:rPr>
        <w:t>per conjuncta sibi nomina</w:t>
      </w:r>
      <w:r w:rsidR="00325DDB" w:rsidRPr="00273106">
        <w:rPr>
          <w:noProof/>
          <w:lang w:val="cs-CZ"/>
        </w:rPr>
        <w:t>)</w:t>
      </w:r>
      <w:r w:rsidR="00724969" w:rsidRPr="00273106">
        <w:rPr>
          <w:noProof/>
          <w:lang w:val="cs-CZ"/>
        </w:rPr>
        <w:t xml:space="preserve">.“ </w:t>
      </w:r>
      <w:r w:rsidR="00ED066E" w:rsidRPr="00273106">
        <w:rPr>
          <w:rStyle w:val="Znakapoznpodarou"/>
          <w:noProof/>
          <w:lang w:val="cs-CZ"/>
        </w:rPr>
        <w:footnoteReference w:id="192"/>
      </w:r>
    </w:p>
    <w:p w14:paraId="179A74B8" w14:textId="14B06640" w:rsidR="007D0771" w:rsidRDefault="08387C7D" w:rsidP="00651CDA">
      <w:r w:rsidRPr="00273106">
        <w:t>Latinští sofisté nerespektují rozdíl mezi první a druhou subs</w:t>
      </w:r>
      <w:r>
        <w:t xml:space="preserve">tancí a zavedli univoční pojetí logické </w:t>
      </w:r>
      <w:r w:rsidR="00087A07">
        <w:t>výpovědi</w:t>
      </w:r>
      <w:r w:rsidRPr="00273106">
        <w:t xml:space="preserve">. </w:t>
      </w:r>
      <w:r>
        <w:t xml:space="preserve">Zrušili impozici od reálné substance a vzali pouze porretánské hypostáze dané nominálně </w:t>
      </w:r>
      <w:r w:rsidRPr="00273106">
        <w:t>(</w:t>
      </w:r>
      <w:r w:rsidRPr="004A4EB4">
        <w:rPr>
          <w:i/>
        </w:rPr>
        <w:t>praedicabant dispositiones</w:t>
      </w:r>
      <w:r>
        <w:t>)</w:t>
      </w:r>
      <w:r>
        <w:rPr>
          <w:i/>
        </w:rPr>
        <w:fldChar w:fldCharType="begin"/>
      </w:r>
      <w:r>
        <w:instrText xml:space="preserve"> XE "impozice:</w:instrText>
      </w:r>
      <w:r w:rsidRPr="003A3304">
        <w:rPr>
          <w:i/>
        </w:rPr>
        <w:instrText>Grammatici</w:instrText>
      </w:r>
      <w:r>
        <w:instrText xml:space="preserve">" </w:instrText>
      </w:r>
      <w:r>
        <w:rPr>
          <w:i/>
        </w:rPr>
        <w:fldChar w:fldCharType="end"/>
      </w:r>
      <w:r>
        <w:t xml:space="preserve">. </w:t>
      </w:r>
      <w:r w:rsidR="00211515">
        <w:t>Skupina G</w:t>
      </w:r>
      <w:r w:rsidR="00211515" w:rsidRPr="00211515">
        <w:t>ramatiků</w:t>
      </w:r>
      <w:r w:rsidR="00211515">
        <w:rPr>
          <w:i/>
        </w:rPr>
        <w:fldChar w:fldCharType="begin"/>
      </w:r>
      <w:r w:rsidR="00211515">
        <w:instrText xml:space="preserve"> XE "druhý averroismus:</w:instrText>
      </w:r>
      <w:r w:rsidR="00211515" w:rsidRPr="00FE6F28">
        <w:rPr>
          <w:i/>
        </w:rPr>
        <w:instrText>Grammatici</w:instrText>
      </w:r>
      <w:r w:rsidR="00211515">
        <w:instrText xml:space="preserve">" </w:instrText>
      </w:r>
      <w:r w:rsidR="00211515">
        <w:rPr>
          <w:i/>
        </w:rPr>
        <w:fldChar w:fldCharType="end"/>
      </w:r>
      <w:r w:rsidR="00211515" w:rsidRPr="00211515">
        <w:t xml:space="preserve"> vytvořila kategoriální významy mimo druhou substanci</w:t>
      </w:r>
      <w:r w:rsidR="00211515">
        <w:t xml:space="preserve"> určenbou impozicí. </w:t>
      </w:r>
      <w:r w:rsidR="00211515" w:rsidRPr="00211515">
        <w:t>Supozice logigue n</w:t>
      </w:r>
      <w:r w:rsidR="00211515">
        <w:t>abyla absolutní hodnoty. Hypostá</w:t>
      </w:r>
      <w:r w:rsidR="00211515" w:rsidRPr="00211515">
        <w:t>zované vlastnosti byly považovány za reálné substance jako jejich inherentní vlastnosti (</w:t>
      </w:r>
      <w:r w:rsidR="00211515" w:rsidRPr="00211515">
        <w:rPr>
          <w:i/>
        </w:rPr>
        <w:t>ponebantque eas in substantiis</w:t>
      </w:r>
      <w:r w:rsidR="00211515" w:rsidRPr="00211515">
        <w:t>).</w:t>
      </w:r>
      <w:r w:rsidR="00211515">
        <w:t xml:space="preserve"> </w:t>
      </w:r>
      <w:r w:rsidR="00BD6CA7">
        <w:t xml:space="preserve">Predikace je dána </w:t>
      </w:r>
      <w:r w:rsidR="00BD6CA7" w:rsidRPr="00273106">
        <w:t>na základě pouhé nominální shody</w:t>
      </w:r>
      <w:r w:rsidR="00656ABC">
        <w:t xml:space="preserve"> </w:t>
      </w:r>
      <w:r w:rsidR="00CF07D4">
        <w:t xml:space="preserve">jednoho </w:t>
      </w:r>
      <w:r w:rsidR="00656ABC">
        <w:t>významu</w:t>
      </w:r>
      <w:r w:rsidR="00CF07D4">
        <w:t xml:space="preserve"> s druhým</w:t>
      </w:r>
      <w:r w:rsidR="003A3304">
        <w:rPr>
          <w:i/>
        </w:rPr>
        <w:fldChar w:fldCharType="begin"/>
      </w:r>
      <w:r w:rsidR="003A3304">
        <w:instrText xml:space="preserve"> XE "predikace:nominální" </w:instrText>
      </w:r>
      <w:r w:rsidR="003A3304">
        <w:rPr>
          <w:i/>
        </w:rPr>
        <w:fldChar w:fldCharType="end"/>
      </w:r>
      <w:r w:rsidR="00BD6CA7">
        <w:t xml:space="preserve">. </w:t>
      </w:r>
      <w:r>
        <w:t xml:space="preserve">Pak je možné predikovat „sokratovost“ vzhledem k nominálně určenému Sokratovi. </w:t>
      </w:r>
      <w:r w:rsidR="08847DAE">
        <w:t xml:space="preserve">V tomto univočním scénáři moderny nebyl problém predikovat vůči individuu jakoukoliv jinou </w:t>
      </w:r>
      <w:r w:rsidR="08847DAE" w:rsidRPr="00273106">
        <w:t>hyp</w:t>
      </w:r>
      <w:r w:rsidR="08847DAE">
        <w:t xml:space="preserve">ostázovanou supozici danou čistě nominálně. Hypostázovaná vlastnost nebo kategoriální akcident </w:t>
      </w:r>
      <w:r w:rsidR="08847DAE" w:rsidRPr="00273106">
        <w:t>je predikován</w:t>
      </w:r>
      <w:r w:rsidR="08847DAE">
        <w:t xml:space="preserve"> </w:t>
      </w:r>
      <w:r w:rsidR="08847DAE" w:rsidRPr="00273106">
        <w:t xml:space="preserve">v modu porretánské apozice k substanci třetího druhu dané jako individuum </w:t>
      </w:r>
      <w:r w:rsidR="08847DAE">
        <w:t>(</w:t>
      </w:r>
      <w:r w:rsidR="08847DAE" w:rsidRPr="00273106">
        <w:rPr>
          <w:i/>
        </w:rPr>
        <w:t>socratitas est humanitas</w:t>
      </w:r>
      <w:r w:rsidR="08977A83">
        <w:t>, kap. 1</w:t>
      </w:r>
      <w:r w:rsidR="08847DAE" w:rsidRPr="00CB6642">
        <w:t>.5</w:t>
      </w:r>
      <w:r w:rsidR="08847DAE">
        <w:t>)</w:t>
      </w:r>
      <w:r w:rsidR="08847DAE">
        <w:rPr>
          <w:i/>
        </w:rPr>
        <w:fldChar w:fldCharType="begin"/>
      </w:r>
      <w:r w:rsidR="08847DAE">
        <w:instrText xml:space="preserve"> XE "substance:individuum" </w:instrText>
      </w:r>
      <w:r w:rsidR="08847DAE">
        <w:rPr>
          <w:i/>
        </w:rPr>
        <w:fldChar w:fldCharType="end"/>
      </w:r>
      <w:r w:rsidR="08847DAE" w:rsidRPr="00273106">
        <w:t xml:space="preserve">. </w:t>
      </w:r>
      <w:r w:rsidR="08250232">
        <w:t xml:space="preserve">Nominalisté </w:t>
      </w:r>
      <w:r w:rsidR="00BA7C6C">
        <w:t>založili novou atomární substanci třetího druhu</w:t>
      </w:r>
      <w:r w:rsidR="00893CF8">
        <w:t xml:space="preserve"> </w:t>
      </w:r>
      <w:r w:rsidR="004714AF">
        <w:rPr>
          <w:i/>
        </w:rPr>
        <w:fldChar w:fldCharType="begin"/>
      </w:r>
      <w:r w:rsidR="004714AF">
        <w:instrText xml:space="preserve"> XE "substance:atomární" </w:instrText>
      </w:r>
      <w:r w:rsidR="004714AF">
        <w:rPr>
          <w:i/>
        </w:rPr>
        <w:fldChar w:fldCharType="end"/>
      </w:r>
      <w:r w:rsidR="00F56587">
        <w:t xml:space="preserve">danou </w:t>
      </w:r>
      <w:r w:rsidR="00706C10">
        <w:t xml:space="preserve">současně </w:t>
      </w:r>
      <w:r w:rsidR="00F56587">
        <w:t xml:space="preserve">v modu impozice </w:t>
      </w:r>
      <w:r w:rsidR="00AC2167">
        <w:t>(</w:t>
      </w:r>
      <w:r w:rsidR="00AC2167" w:rsidRPr="00AC2167">
        <w:rPr>
          <w:i/>
        </w:rPr>
        <w:t>in substantiis de quibus dicebatur</w:t>
      </w:r>
      <w:r w:rsidR="00AC2167">
        <w:t xml:space="preserve">) </w:t>
      </w:r>
      <w:r w:rsidR="00F56587">
        <w:t xml:space="preserve">a supozice </w:t>
      </w:r>
      <w:r w:rsidR="00893CF8">
        <w:t>(</w:t>
      </w:r>
      <w:r w:rsidR="00F56587" w:rsidRPr="00AC2167">
        <w:rPr>
          <w:i/>
        </w:rPr>
        <w:t xml:space="preserve">in </w:t>
      </w:r>
      <w:r w:rsidR="00AC2167" w:rsidRPr="00AC2167">
        <w:rPr>
          <w:i/>
        </w:rPr>
        <w:t xml:space="preserve">subiectis </w:t>
      </w:r>
      <w:r w:rsidR="00F56587" w:rsidRPr="00AC2167">
        <w:rPr>
          <w:i/>
        </w:rPr>
        <w:t>de quibus dicebatur</w:t>
      </w:r>
      <w:r w:rsidR="00893CF8" w:rsidRPr="00893CF8">
        <w:t>)</w:t>
      </w:r>
      <w:r w:rsidR="00AA1E80">
        <w:t xml:space="preserve">. </w:t>
      </w:r>
      <w:r w:rsidR="087A177B">
        <w:t xml:space="preserve">Vydávat </w:t>
      </w:r>
      <w:r w:rsidR="087A177B">
        <w:lastRenderedPageBreak/>
        <w:t xml:space="preserve">ekvivoční nominaci danou v modu mentální supozice za univoční predikaci danou v modu kategoriální impozice je </w:t>
      </w:r>
      <w:r w:rsidR="087A177B" w:rsidRPr="00273106">
        <w:t>nepřijatelné</w:t>
      </w:r>
      <w:r w:rsidR="087A177B">
        <w:t xml:space="preserve"> z hlediska Aristotela, Abelarda, Averroes</w:t>
      </w:r>
      <w:r w:rsidR="087A177B" w:rsidRPr="00273106">
        <w:t>e</w:t>
      </w:r>
      <w:r w:rsidR="087A177B">
        <w:t>, Blunda a Alverna. Tito myslitelé</w:t>
      </w:r>
      <w:r w:rsidR="087A177B" w:rsidRPr="00273106">
        <w:t xml:space="preserve"> respektují hyparchickou </w:t>
      </w:r>
      <w:r w:rsidR="00CD1D82">
        <w:t xml:space="preserve">pozici </w:t>
      </w:r>
      <w:r w:rsidR="087A177B" w:rsidRPr="00273106">
        <w:t xml:space="preserve">první substance. </w:t>
      </w:r>
      <w:r w:rsidR="0025687C" w:rsidRPr="00273106">
        <w:t xml:space="preserve">Příklad inherence běloby na kategoriálně dané druhé substanci jasně ukazuje rozdíl Alvernovy aristotelské predikace od hypostázovaného pojetí </w:t>
      </w:r>
      <w:r w:rsidR="08250232">
        <w:t xml:space="preserve">porretánských </w:t>
      </w:r>
      <w:r w:rsidR="0025687C" w:rsidRPr="00273106">
        <w:rPr>
          <w:i/>
        </w:rPr>
        <w:t>Nominales</w:t>
      </w:r>
      <w:r w:rsidR="0025687C" w:rsidRPr="00273106">
        <w:t>.</w:t>
      </w:r>
      <w:r w:rsidR="0025687C" w:rsidRPr="00273106">
        <w:rPr>
          <w:rStyle w:val="Znakapoznpodarou"/>
        </w:rPr>
        <w:footnoteReference w:id="193"/>
      </w:r>
      <w:r w:rsidR="0025687C" w:rsidRPr="00273106">
        <w:t xml:space="preserve"> </w:t>
      </w:r>
      <w:r w:rsidR="00A42CE1">
        <w:t xml:space="preserve">Alvernus první modernisty upozorňuje na klasický </w:t>
      </w:r>
      <w:r w:rsidR="00D55E8A">
        <w:t xml:space="preserve">výklad </w:t>
      </w:r>
      <w:r w:rsidR="00A42CE1" w:rsidRPr="00D55E8A">
        <w:rPr>
          <w:i/>
        </w:rPr>
        <w:t>Kategorií</w:t>
      </w:r>
      <w:r w:rsidR="00A42CE1">
        <w:t xml:space="preserve"> (</w:t>
      </w:r>
      <w:r w:rsidR="00A42CE1" w:rsidRPr="00C66B65">
        <w:rPr>
          <w:i/>
        </w:rPr>
        <w:t>Cat</w:t>
      </w:r>
      <w:r w:rsidR="00A42CE1">
        <w:t xml:space="preserve">. </w:t>
      </w:r>
      <w:r w:rsidR="00A42CE1" w:rsidRPr="00273106">
        <w:t>2a11–16</w:t>
      </w:r>
      <w:r w:rsidR="008E1F05">
        <w:fldChar w:fldCharType="begin"/>
      </w:r>
      <w:r w:rsidR="008E1F05">
        <w:instrText xml:space="preserve"> XE "</w:instrText>
      </w:r>
      <w:r w:rsidR="008E02F5">
        <w:instrText>Aristoteles</w:instrText>
      </w:r>
      <w:r w:rsidR="008E1F05">
        <w:instrText>:</w:instrText>
      </w:r>
      <w:r w:rsidR="008E1F05" w:rsidRPr="00940FA0">
        <w:rPr>
          <w:i/>
        </w:rPr>
        <w:instrText>Cat</w:instrText>
      </w:r>
      <w:r w:rsidR="008E1F05" w:rsidRPr="00940FA0">
        <w:instrText>. 2a11–16</w:instrText>
      </w:r>
      <w:r w:rsidR="008E1F05">
        <w:instrText xml:space="preserve">" </w:instrText>
      </w:r>
      <w:r w:rsidR="008E1F05">
        <w:fldChar w:fldCharType="end"/>
      </w:r>
      <w:r w:rsidR="00A42CE1">
        <w:t>), který vidí jinou impozici významu od první substance a jinou od univerzálií</w:t>
      </w:r>
      <w:r w:rsidR="08CE1EBE">
        <w:t xml:space="preserve"> (OBJ I</w:t>
      </w:r>
      <w:r w:rsidR="08F143A5">
        <w:t>, kap. 1.3)</w:t>
      </w:r>
      <w:r w:rsidR="00A42CE1">
        <w:t xml:space="preserve">. </w:t>
      </w:r>
      <w:r w:rsidR="00C5723C" w:rsidRPr="00273106">
        <w:t xml:space="preserve">Na rozdíl od kritického Alverna nerozlišují moderní sofisté mezi reálnou a nominální inherencí akcidentu v substanci. </w:t>
      </w:r>
      <w:r w:rsidR="00C5723C">
        <w:t xml:space="preserve">Tohoto omylu </w:t>
      </w:r>
      <w:r w:rsidR="0826375C">
        <w:t xml:space="preserve">danému vinou </w:t>
      </w:r>
      <w:r w:rsidR="00C5723C">
        <w:t>zanedbání Prisciánovy grama</w:t>
      </w:r>
      <w:r w:rsidR="08CE1EBE">
        <w:t>tiky (kap. 1</w:t>
      </w:r>
      <w:r w:rsidR="00C5723C">
        <w:t>.1) se dopustili proto, že nemají impozici významu od reálné první substance. Porretáni zrušili rozdíl mezi různými způsoby supozice univerzální druhé substance v logických a metafyzických výrocích (</w:t>
      </w:r>
      <w:r w:rsidR="00C5723C" w:rsidRPr="0074610D">
        <w:rPr>
          <w:i/>
        </w:rPr>
        <w:t>de dicto</w:t>
      </w:r>
      <w:r w:rsidR="00C5723C">
        <w:t xml:space="preserve">, </w:t>
      </w:r>
      <w:r w:rsidR="00C5723C" w:rsidRPr="0074610D">
        <w:rPr>
          <w:i/>
        </w:rPr>
        <w:t>de re</w:t>
      </w:r>
      <w:r w:rsidR="00C5723C">
        <w:t xml:space="preserve">, </w:t>
      </w:r>
      <w:r w:rsidR="00C5723C" w:rsidRPr="0074610D">
        <w:rPr>
          <w:i/>
        </w:rPr>
        <w:t>oratio</w:t>
      </w:r>
      <w:r w:rsidR="00C5723C">
        <w:t xml:space="preserve">, </w:t>
      </w:r>
      <w:r w:rsidR="00C5723C" w:rsidRPr="0074610D">
        <w:rPr>
          <w:i/>
        </w:rPr>
        <w:t>enuntiatio</w:t>
      </w:r>
      <w:r w:rsidR="00EE4D40">
        <w:rPr>
          <w:i/>
        </w:rPr>
        <w:fldChar w:fldCharType="begin"/>
      </w:r>
      <w:r w:rsidR="00EE4D40">
        <w:instrText xml:space="preserve"> XE "</w:instrText>
      </w:r>
      <w:r w:rsidR="008E1F05">
        <w:instrText>supozice:porretáni</w:instrText>
      </w:r>
      <w:r w:rsidR="00EE4D40">
        <w:instrText xml:space="preserve">" </w:instrText>
      </w:r>
      <w:r w:rsidR="00EE4D40">
        <w:rPr>
          <w:i/>
        </w:rPr>
        <w:fldChar w:fldCharType="end"/>
      </w:r>
      <w:r w:rsidR="00C5723C">
        <w:rPr>
          <w:i/>
        </w:rPr>
        <w:t>, demonstratio</w:t>
      </w:r>
      <w:r w:rsidR="00C5723C">
        <w:t xml:space="preserve">). </w:t>
      </w:r>
      <w:r w:rsidR="08D66E95">
        <w:t>Alvernova kritika dosvědčuje pokrok moderny skrze transformaci</w:t>
      </w:r>
      <w:r w:rsidR="00C5723C">
        <w:t xml:space="preserve"> hyparchické predikace směrem od první substance na diskrétní vidění světa</w:t>
      </w:r>
      <w:r w:rsidR="00DF4C9B">
        <w:t xml:space="preserve"> (</w:t>
      </w:r>
      <w:r w:rsidR="00DF4C9B" w:rsidRPr="08F143A5">
        <w:rPr>
          <w:i/>
        </w:rPr>
        <w:t>discrete videamus</w:t>
      </w:r>
      <w:r w:rsidR="00DF4C9B">
        <w:t xml:space="preserve">). To je </w:t>
      </w:r>
      <w:r w:rsidR="00C5723C">
        <w:t xml:space="preserve">dané skrze individuum jako substanci třetího druhu. </w:t>
      </w:r>
      <w:r w:rsidR="08AB1FAC">
        <w:t xml:space="preserve">Toto diskrétní vidění funkcí místo substancí zavedli do myšlení latinského Západu avicennistické porretánské </w:t>
      </w:r>
      <w:r w:rsidR="08F143A5">
        <w:t>školy na konci 12. století. Modernističtí neoplatonikové smísili</w:t>
      </w:r>
      <w:r w:rsidR="08AB1FAC">
        <w:t xml:space="preserve"> komitaci porretánských hypostází s neoplatonskou matematickou analogií (</w:t>
      </w:r>
      <w:r w:rsidR="08AB1FAC">
        <w:rPr>
          <w:i/>
        </w:rPr>
        <w:t>Dialogus Ratii et Ever</w:t>
      </w:r>
      <w:r w:rsidR="08AB1FAC" w:rsidRPr="08AB1FAC">
        <w:rPr>
          <w:i/>
        </w:rPr>
        <w:t>ardi</w:t>
      </w:r>
      <w:r w:rsidR="08AB1FAC">
        <w:t xml:space="preserve">). </w:t>
      </w:r>
      <w:r w:rsidR="00A94646">
        <w:t>V Ox</w:t>
      </w:r>
      <w:r w:rsidR="00DE0D89">
        <w:t>fordu proběhl stejný spor o dekádu</w:t>
      </w:r>
      <w:r w:rsidR="00A94646">
        <w:t xml:space="preserve"> později, kdy Bacon kritizoval podobným zůsobem nominalisty vzešlé z Kilwardbyho moderní metafyziky a ze S</w:t>
      </w:r>
      <w:r w:rsidR="085015D8">
        <w:t>herwoodovy logické školy (kap. 3</w:t>
      </w:r>
      <w:r w:rsidR="00A94646">
        <w:t xml:space="preserve">.4.3). </w:t>
      </w:r>
      <w:r w:rsidR="001372E2">
        <w:t>Sofisté zapomněli, že jazyk mluví o realitě a skončili v</w:t>
      </w:r>
      <w:r w:rsidR="00BA2266">
        <w:t xml:space="preserve"> čistých </w:t>
      </w:r>
      <w:r w:rsidR="001372E2" w:rsidRPr="001372E2">
        <w:rPr>
          <w:i/>
        </w:rPr>
        <w:t>language games</w:t>
      </w:r>
      <w:r w:rsidR="001372E2">
        <w:t xml:space="preserve">. </w:t>
      </w:r>
      <w:r w:rsidR="008F13F8">
        <w:t>Z</w:t>
      </w:r>
      <w:r w:rsidR="001372E2">
        <w:t>rcadlení významu v jazyku (</w:t>
      </w:r>
      <w:r w:rsidR="001372E2" w:rsidRPr="001372E2">
        <w:rPr>
          <w:i/>
        </w:rPr>
        <w:t>speculatio</w:t>
      </w:r>
      <w:r w:rsidR="00BF0EF1">
        <w:rPr>
          <w:i/>
        </w:rPr>
        <w:fldChar w:fldCharType="begin"/>
      </w:r>
      <w:r w:rsidR="00BF0EF1">
        <w:instrText xml:space="preserve"> XE "</w:instrText>
      </w:r>
      <w:r w:rsidR="00BF0EF1" w:rsidRPr="00B31C42">
        <w:rPr>
          <w:i/>
        </w:rPr>
        <w:instrText>speculatio</w:instrText>
      </w:r>
      <w:r w:rsidR="00BF0EF1">
        <w:instrText xml:space="preserve">" </w:instrText>
      </w:r>
      <w:r w:rsidR="00BF0EF1">
        <w:rPr>
          <w:i/>
        </w:rPr>
        <w:fldChar w:fldCharType="end"/>
      </w:r>
      <w:r w:rsidR="001372E2">
        <w:t>) vede podle Alverna jen k nekonečnému regresu výz</w:t>
      </w:r>
      <w:r w:rsidR="00027A7D">
        <w:t xml:space="preserve">namu. </w:t>
      </w:r>
      <w:r w:rsidR="08B255AA">
        <w:t>Latinští s</w:t>
      </w:r>
      <w:r w:rsidR="00FE1842" w:rsidRPr="00273106">
        <w:t xml:space="preserve">ofisté </w:t>
      </w:r>
      <w:r w:rsidR="08B255AA">
        <w:t xml:space="preserve">a analytičtí gramatikové </w:t>
      </w:r>
      <w:r w:rsidR="00FE1842" w:rsidRPr="00273106">
        <w:t xml:space="preserve">kupí jedno </w:t>
      </w:r>
      <w:r w:rsidR="08C75E40">
        <w:t xml:space="preserve">hypostázované </w:t>
      </w:r>
      <w:r w:rsidR="00FE1842" w:rsidRPr="00273106">
        <w:t>určení na druhé</w:t>
      </w:r>
      <w:r w:rsidR="08020E03">
        <w:t xml:space="preserve"> a toto skládání a dělení pouhých pojmenování považují za Aristotelovu kategoriální predikaci</w:t>
      </w:r>
      <w:r w:rsidR="08C75E40">
        <w:t xml:space="preserve">. Nominalisté propadlí univerzálnímu </w:t>
      </w:r>
      <w:r w:rsidR="08CE0AD1">
        <w:t xml:space="preserve">mytopoetickému </w:t>
      </w:r>
      <w:r w:rsidR="08C75E40">
        <w:t xml:space="preserve">kouzlu </w:t>
      </w:r>
      <w:r w:rsidR="08C75E40" w:rsidRPr="08C75E40">
        <w:rPr>
          <w:i/>
        </w:rPr>
        <w:t>Arbor Porphyriana</w:t>
      </w:r>
      <w:r w:rsidR="08C75E40">
        <w:t xml:space="preserve"> </w:t>
      </w:r>
      <w:r w:rsidR="00FE1842" w:rsidRPr="00273106">
        <w:t xml:space="preserve">nemají skutečnou kategoriální predikaci vzhledem existující </w:t>
      </w:r>
      <w:r w:rsidR="00FE1842">
        <w:t xml:space="preserve">první </w:t>
      </w:r>
      <w:r w:rsidR="00FE1842" w:rsidRPr="00273106">
        <w:t xml:space="preserve">substanci, jen vzhledem k nominálně definované esenci. </w:t>
      </w:r>
      <w:r w:rsidR="08BC6E2F">
        <w:t>Zaměnili impozici významu od</w:t>
      </w:r>
      <w:r w:rsidR="00FE1842">
        <w:t xml:space="preserve"> první </w:t>
      </w:r>
      <w:r w:rsidR="00FE1842">
        <w:lastRenderedPageBreak/>
        <w:t>s</w:t>
      </w:r>
      <w:r w:rsidR="08BC6E2F">
        <w:t>ubstance za supozici akcidentů v</w:t>
      </w:r>
      <w:r w:rsidR="00FE1842">
        <w:t xml:space="preserve"> esenci predikované jako druhá substance</w:t>
      </w:r>
      <w:r w:rsidR="00FE1842">
        <w:rPr>
          <w:i/>
        </w:rPr>
        <w:fldChar w:fldCharType="begin"/>
      </w:r>
      <w:r w:rsidR="00FE1842">
        <w:instrText xml:space="preserve"> XE "supozice:</w:instrText>
      </w:r>
      <w:r w:rsidR="00FE1842" w:rsidRPr="00BF0EF1">
        <w:rPr>
          <w:i/>
        </w:rPr>
        <w:instrText>Grammatici</w:instrText>
      </w:r>
      <w:r w:rsidR="00FE1842">
        <w:instrText xml:space="preserve">" </w:instrText>
      </w:r>
      <w:r w:rsidR="00FE1842">
        <w:rPr>
          <w:i/>
        </w:rPr>
        <w:fldChar w:fldCharType="end"/>
      </w:r>
      <w:r w:rsidR="007D0771">
        <w:t>.</w:t>
      </w:r>
    </w:p>
    <w:p w14:paraId="6D529CDA" w14:textId="6931E8CA" w:rsidR="08A0661B" w:rsidRPr="00273106" w:rsidRDefault="085342B5" w:rsidP="007D0771">
      <w:pPr>
        <w:ind w:firstLine="397"/>
      </w:pPr>
      <w:r>
        <w:t>Tuto zásadní kriti</w:t>
      </w:r>
      <w:r w:rsidR="08BC6E2F">
        <w:t>ku modernistů mají oba Alvernovy</w:t>
      </w:r>
      <w:r>
        <w:t xml:space="preserve"> traktát</w:t>
      </w:r>
      <w:r w:rsidR="08BC6E2F">
        <w:t xml:space="preserve">y </w:t>
      </w:r>
      <w:r w:rsidR="0020685D">
        <w:t xml:space="preserve">uvedené výše </w:t>
      </w:r>
      <w:r w:rsidR="08BC6E2F">
        <w:t xml:space="preserve">jako dvojí pohyb </w:t>
      </w:r>
      <w:r w:rsidR="0020685D">
        <w:t xml:space="preserve">intencionality a poznání </w:t>
      </w:r>
      <w:r w:rsidR="08BC6E2F">
        <w:t>(</w:t>
      </w:r>
      <w:r w:rsidR="08BC6E2F" w:rsidRPr="00273106">
        <w:rPr>
          <w:i/>
        </w:rPr>
        <w:t>in</w:t>
      </w:r>
      <w:r w:rsidR="08BC6E2F">
        <w:t>‒</w:t>
      </w:r>
      <w:r w:rsidR="08BC6E2F" w:rsidRPr="00273106">
        <w:rPr>
          <w:i/>
        </w:rPr>
        <w:t>ab</w:t>
      </w:r>
      <w:r w:rsidR="08BC6E2F">
        <w:t>)</w:t>
      </w:r>
      <w:r w:rsidR="08BC6E2F">
        <w:fldChar w:fldCharType="begin"/>
      </w:r>
      <w:r w:rsidR="08BC6E2F">
        <w:instrText xml:space="preserve"> XE "zjevování:nasvícení zepředu" </w:instrText>
      </w:r>
      <w:r w:rsidR="08BC6E2F">
        <w:fldChar w:fldCharType="end"/>
      </w:r>
      <w:r w:rsidR="08BC6E2F" w:rsidRPr="00273106">
        <w:t xml:space="preserve">. </w:t>
      </w:r>
      <w:r w:rsidR="08BC6E2F">
        <w:t xml:space="preserve">Intence jsou </w:t>
      </w:r>
      <w:r w:rsidR="08BC6E2F" w:rsidRPr="00273106">
        <w:t>v našem intelektu (</w:t>
      </w:r>
      <w:r w:rsidR="08BC6E2F" w:rsidRPr="00273106">
        <w:rPr>
          <w:i/>
        </w:rPr>
        <w:t>in intellectu</w:t>
      </w:r>
      <w:r w:rsidR="007B5BDA">
        <w:rPr>
          <w:i/>
        </w:rPr>
        <w:t>i</w:t>
      </w:r>
      <w:r w:rsidR="08BC6E2F" w:rsidRPr="00273106">
        <w:rPr>
          <w:i/>
        </w:rPr>
        <w:t xml:space="preserve"> nostro</w:t>
      </w:r>
      <w:r w:rsidR="08BC6E2F" w:rsidRPr="00273106">
        <w:t>)</w:t>
      </w:r>
      <w:r w:rsidR="08BC6E2F">
        <w:t xml:space="preserve"> a poznáváme </w:t>
      </w:r>
      <w:r w:rsidR="08924952">
        <w:t xml:space="preserve">reálný stav </w:t>
      </w:r>
      <w:r w:rsidR="08BC6E2F">
        <w:t xml:space="preserve">světa </w:t>
      </w:r>
      <w:r w:rsidR="08924952">
        <w:t xml:space="preserve">díky kategoriálně myslícímu intelektu </w:t>
      </w:r>
      <w:r w:rsidR="08BC6E2F" w:rsidRPr="00273106">
        <w:t>(</w:t>
      </w:r>
      <w:r w:rsidR="007B5BDA">
        <w:rPr>
          <w:i/>
        </w:rPr>
        <w:t>ab eidem intelectu</w:t>
      </w:r>
      <w:r w:rsidR="08BC6E2F" w:rsidRPr="00273106">
        <w:rPr>
          <w:i/>
        </w:rPr>
        <w:t xml:space="preserve"> nostro</w:t>
      </w:r>
      <w:r w:rsidR="08BC6E2F" w:rsidRPr="00273106">
        <w:t>).</w:t>
      </w:r>
      <w:r w:rsidR="08BC6E2F">
        <w:t xml:space="preserve"> </w:t>
      </w:r>
      <w:r w:rsidR="08704886">
        <w:t xml:space="preserve">Gramatikové </w:t>
      </w:r>
      <w:r w:rsidR="086C0CC8">
        <w:t xml:space="preserve">kritizovaní Alvernem </w:t>
      </w:r>
      <w:r w:rsidR="00FE1842" w:rsidRPr="00273106">
        <w:t xml:space="preserve">nerozlišují mezi reálným bytím </w:t>
      </w:r>
      <w:r w:rsidR="00FE1842">
        <w:t xml:space="preserve">věci </w:t>
      </w:r>
      <w:r w:rsidR="00FE1842" w:rsidRPr="00273106">
        <w:t>(„</w:t>
      </w:r>
      <w:r w:rsidR="00252578">
        <w:t xml:space="preserve">toto </w:t>
      </w:r>
      <w:r w:rsidR="00FE1842" w:rsidRPr="00273106">
        <w:t xml:space="preserve">bílé auto“) </w:t>
      </w:r>
      <w:r w:rsidR="08C82B35">
        <w:t>od jeho hyparchické predikace</w:t>
      </w:r>
      <w:r w:rsidR="00FE1842">
        <w:t xml:space="preserve"> </w:t>
      </w:r>
      <w:r w:rsidR="08C82B35">
        <w:t>skrze druhou substanci a akcident</w:t>
      </w:r>
      <w:r w:rsidR="00FE1842">
        <w:t xml:space="preserve"> („toto auto je bílé“)</w:t>
      </w:r>
      <w:r w:rsidR="00FE1842">
        <w:rPr>
          <w:i/>
        </w:rPr>
        <w:fldChar w:fldCharType="begin"/>
      </w:r>
      <w:r w:rsidR="00FE1842">
        <w:instrText xml:space="preserve"> XE "predikace:běloba" </w:instrText>
      </w:r>
      <w:r w:rsidR="00FE1842">
        <w:rPr>
          <w:i/>
        </w:rPr>
        <w:fldChar w:fldCharType="end"/>
      </w:r>
      <w:r w:rsidR="00FE1842">
        <w:t xml:space="preserve">. </w:t>
      </w:r>
      <w:r w:rsidR="087301F2">
        <w:t xml:space="preserve">Nominálně daná kategorie bez hyparchické vazby na první substanci je dána pouze v modu logické ekvivocity. A pokud se na </w:t>
      </w:r>
      <w:r w:rsidR="086D6D06">
        <w:t xml:space="preserve">tuto logickou druhou substanci </w:t>
      </w:r>
      <w:r w:rsidR="087301F2">
        <w:t>začnou navěšovat komitačně</w:t>
      </w:r>
      <w:r w:rsidR="0879433A">
        <w:fldChar w:fldCharType="begin"/>
      </w:r>
      <w:r w:rsidR="0879433A">
        <w:instrText xml:space="preserve"> XE "</w:instrText>
      </w:r>
      <w:r w:rsidR="0879433A" w:rsidRPr="08D70C4F">
        <w:instrText>komitace</w:instrText>
      </w:r>
      <w:r w:rsidR="0879433A">
        <w:instrText xml:space="preserve">" </w:instrText>
      </w:r>
      <w:r w:rsidR="0879433A">
        <w:fldChar w:fldCharType="end"/>
      </w:r>
      <w:r w:rsidR="087301F2">
        <w:t xml:space="preserve"> či apozičně dané akcidenty jako Avicennovy či porretánské hypostáze</w:t>
      </w:r>
      <w:r w:rsidR="08B07095">
        <w:t xml:space="preserve">, </w:t>
      </w:r>
      <w:r w:rsidR="087301F2">
        <w:t>p</w:t>
      </w:r>
      <w:r w:rsidR="08B07095">
        <w:t>a</w:t>
      </w:r>
      <w:r w:rsidR="087301F2">
        <w:t xml:space="preserve">k vznikne simulákrum reality podle dialogu </w:t>
      </w:r>
      <w:r w:rsidR="087301F2" w:rsidRPr="087301F2">
        <w:rPr>
          <w:i/>
        </w:rPr>
        <w:t>Sofistes</w:t>
      </w:r>
      <w:r w:rsidR="087301F2">
        <w:t xml:space="preserve">. </w:t>
      </w:r>
      <w:r w:rsidR="007336E4">
        <w:t>Mysl iluminátů zrcadlí jejich</w:t>
      </w:r>
      <w:r w:rsidR="08B07095">
        <w:t xml:space="preserve"> vlastní výtvory (</w:t>
      </w:r>
      <w:r w:rsidR="08B07095" w:rsidRPr="08B07095">
        <w:rPr>
          <w:i/>
        </w:rPr>
        <w:t>speculatio</w:t>
      </w:r>
      <w:r w:rsidR="08B07095">
        <w:t xml:space="preserve">). </w:t>
      </w:r>
      <w:r w:rsidR="087301F2">
        <w:t>N</w:t>
      </w:r>
      <w:r w:rsidR="00027A7D">
        <w:t>ásleduj</w:t>
      </w:r>
      <w:r w:rsidR="00C5723C">
        <w:t>í</w:t>
      </w:r>
      <w:r w:rsidR="00027A7D">
        <w:t xml:space="preserve">cí citát ukazuje epochální </w:t>
      </w:r>
      <w:r w:rsidR="00027A7D" w:rsidRPr="00027A7D">
        <w:rPr>
          <w:i/>
        </w:rPr>
        <w:t>Irrtum</w:t>
      </w:r>
      <w:r w:rsidR="00D01690">
        <w:rPr>
          <w:i/>
        </w:rPr>
        <w:fldChar w:fldCharType="begin"/>
      </w:r>
      <w:r w:rsidR="00D01690">
        <w:instrText xml:space="preserve"> XE "</w:instrText>
      </w:r>
      <w:r w:rsidR="00D01690" w:rsidRPr="00453B3F">
        <w:rPr>
          <w:i/>
        </w:rPr>
        <w:instrText>Irrtum</w:instrText>
      </w:r>
      <w:r w:rsidR="00D01690">
        <w:instrText xml:space="preserve">:moderna" </w:instrText>
      </w:r>
      <w:r w:rsidR="00D01690">
        <w:rPr>
          <w:i/>
        </w:rPr>
        <w:fldChar w:fldCharType="end"/>
      </w:r>
      <w:r w:rsidR="00027A7D">
        <w:t xml:space="preserve"> </w:t>
      </w:r>
      <w:r w:rsidR="080B0BB5">
        <w:t xml:space="preserve">tehdejší </w:t>
      </w:r>
      <w:r w:rsidR="08B07095">
        <w:t>spekulativní gramatiky</w:t>
      </w:r>
      <w:r w:rsidR="080B0BB5">
        <w:t xml:space="preserve"> pěstované na Oxf</w:t>
      </w:r>
      <w:r w:rsidR="08B07095">
        <w:t>o</w:t>
      </w:r>
      <w:r w:rsidR="080B0BB5">
        <w:t>r</w:t>
      </w:r>
      <w:r w:rsidR="08B07095">
        <w:t>du a v Erfurtu</w:t>
      </w:r>
      <w:r w:rsidR="08A0661B">
        <w:t xml:space="preserve"> v nominalistických tvrzeních typu </w:t>
      </w:r>
      <w:r w:rsidR="08A0661B" w:rsidRPr="08A0661B">
        <w:rPr>
          <w:i/>
        </w:rPr>
        <w:t>album albet</w:t>
      </w:r>
      <w:r w:rsidR="08A0661B">
        <w:t xml:space="preserve">. </w:t>
      </w:r>
      <w:r w:rsidR="08510FA8">
        <w:t xml:space="preserve">Alvernus </w:t>
      </w:r>
      <w:r w:rsidR="08695F87">
        <w:t>tvrdí jako Jan ze Salisbury (</w:t>
      </w:r>
      <w:r w:rsidR="08695F87" w:rsidRPr="00273106">
        <w:rPr>
          <w:i/>
        </w:rPr>
        <w:t>substantialia denuo colligunt</w:t>
      </w:r>
      <w:r w:rsidR="08745371">
        <w:t>, kap. 1</w:t>
      </w:r>
      <w:r w:rsidR="08695F87">
        <w:t>.4)</w:t>
      </w:r>
      <w:r w:rsidR="08510FA8">
        <w:t xml:space="preserve">, že škola </w:t>
      </w:r>
      <w:r w:rsidR="08510FA8" w:rsidRPr="08510FA8">
        <w:rPr>
          <w:i/>
        </w:rPr>
        <w:t>Nominales</w:t>
      </w:r>
      <w:r w:rsidR="08510FA8">
        <w:t xml:space="preserve"> nechala zmizet impozici od první substance a místo druhé substance dosadila sbírku hypostázovaných akcidentů.</w:t>
      </w:r>
    </w:p>
    <w:p w14:paraId="1558384E" w14:textId="38E6471E" w:rsidR="00F135D4" w:rsidRPr="00273106" w:rsidRDefault="00644134" w:rsidP="00F135D4">
      <w:pPr>
        <w:pStyle w:val="Citace"/>
        <w:rPr>
          <w:noProof/>
          <w:lang w:val="cs-CZ"/>
        </w:rPr>
      </w:pPr>
      <w:r>
        <w:rPr>
          <w:noProof/>
          <w:lang w:val="cs-CZ"/>
        </w:rPr>
        <w:t>„</w:t>
      </w:r>
      <w:r w:rsidR="08A0661B">
        <w:rPr>
          <w:noProof/>
          <w:lang w:val="cs-CZ"/>
        </w:rPr>
        <w:t>Kdyby s</w:t>
      </w:r>
      <w:r w:rsidR="00264FB7" w:rsidRPr="00273106">
        <w:rPr>
          <w:noProof/>
          <w:lang w:val="cs-CZ"/>
        </w:rPr>
        <w:t>loveso v modu inherence (</w:t>
      </w:r>
      <w:r w:rsidR="00264FB7" w:rsidRPr="00273106">
        <w:rPr>
          <w:i/>
          <w:noProof/>
          <w:lang w:val="cs-CZ"/>
        </w:rPr>
        <w:t>verbum inhaerendi</w:t>
      </w:r>
      <w:r w:rsidR="00264FB7" w:rsidRPr="00273106">
        <w:rPr>
          <w:noProof/>
          <w:lang w:val="cs-CZ"/>
        </w:rPr>
        <w:t>) vyj</w:t>
      </w:r>
      <w:r w:rsidR="08A0661B">
        <w:rPr>
          <w:noProof/>
          <w:lang w:val="cs-CZ"/>
        </w:rPr>
        <w:t>adřovalo</w:t>
      </w:r>
      <w:r w:rsidR="00264FB7" w:rsidRPr="00273106">
        <w:rPr>
          <w:noProof/>
          <w:lang w:val="cs-CZ"/>
        </w:rPr>
        <w:t xml:space="preserve"> </w:t>
      </w:r>
      <w:r w:rsidR="003610CC">
        <w:rPr>
          <w:noProof/>
          <w:lang w:val="cs-CZ"/>
        </w:rPr>
        <w:t xml:space="preserve">impozici </w:t>
      </w:r>
      <w:r w:rsidR="08A0661B">
        <w:rPr>
          <w:noProof/>
          <w:lang w:val="cs-CZ"/>
        </w:rPr>
        <w:t xml:space="preserve">tak jak </w:t>
      </w:r>
      <w:r w:rsidR="007E3A8D">
        <w:rPr>
          <w:noProof/>
          <w:lang w:val="cs-CZ"/>
        </w:rPr>
        <w:t>tvrdí</w:t>
      </w:r>
      <w:r w:rsidR="08A0661B">
        <w:rPr>
          <w:noProof/>
          <w:lang w:val="cs-CZ"/>
        </w:rPr>
        <w:t xml:space="preserve">, pak by bylo </w:t>
      </w:r>
      <w:r w:rsidR="00264FB7" w:rsidRPr="00273106">
        <w:rPr>
          <w:noProof/>
          <w:lang w:val="cs-CZ"/>
        </w:rPr>
        <w:t>pouze v modu akcidentu</w:t>
      </w:r>
      <w:r w:rsidR="08A0661B">
        <w:rPr>
          <w:noProof/>
          <w:lang w:val="cs-CZ"/>
        </w:rPr>
        <w:t xml:space="preserve"> a nutně by muselo mít kategoriální supozici v </w:t>
      </w:r>
      <w:r w:rsidR="00FE4D15">
        <w:rPr>
          <w:noProof/>
          <w:lang w:val="cs-CZ"/>
        </w:rPr>
        <w:t xml:space="preserve">subjektu jako </w:t>
      </w:r>
      <w:r w:rsidR="00F135D4" w:rsidRPr="00273106">
        <w:rPr>
          <w:noProof/>
          <w:lang w:val="cs-CZ"/>
        </w:rPr>
        <w:t>druhé</w:t>
      </w:r>
      <w:r w:rsidR="00FE4D15">
        <w:rPr>
          <w:noProof/>
          <w:lang w:val="cs-CZ"/>
        </w:rPr>
        <w:t xml:space="preserve"> substanci</w:t>
      </w:r>
      <w:r w:rsidR="00B9428F">
        <w:rPr>
          <w:noProof/>
          <w:lang w:val="cs-CZ"/>
        </w:rPr>
        <w:t xml:space="preserve">. Ale </w:t>
      </w:r>
      <w:r w:rsidR="0894155A">
        <w:rPr>
          <w:noProof/>
          <w:lang w:val="cs-CZ"/>
        </w:rPr>
        <w:t xml:space="preserve">protože </w:t>
      </w:r>
      <w:r w:rsidR="00B9428F">
        <w:rPr>
          <w:noProof/>
          <w:lang w:val="cs-CZ"/>
        </w:rPr>
        <w:t xml:space="preserve">bytí </w:t>
      </w:r>
      <w:r w:rsidR="00D253E9">
        <w:rPr>
          <w:noProof/>
          <w:lang w:val="cs-CZ"/>
        </w:rPr>
        <w:t xml:space="preserve">první </w:t>
      </w:r>
      <w:r w:rsidR="004529CA">
        <w:rPr>
          <w:noProof/>
          <w:lang w:val="cs-CZ"/>
        </w:rPr>
        <w:t>substance</w:t>
      </w:r>
      <w:r w:rsidR="00264FB7" w:rsidRPr="00273106">
        <w:rPr>
          <w:noProof/>
          <w:lang w:val="cs-CZ"/>
        </w:rPr>
        <w:t xml:space="preserve"> (</w:t>
      </w:r>
      <w:r w:rsidR="00264FB7" w:rsidRPr="00273106">
        <w:rPr>
          <w:i/>
          <w:noProof/>
          <w:lang w:val="cs-CZ"/>
        </w:rPr>
        <w:t>esse in subjecto</w:t>
      </w:r>
      <w:r w:rsidR="00264FB7" w:rsidRPr="00273106">
        <w:rPr>
          <w:noProof/>
          <w:lang w:val="cs-CZ"/>
        </w:rPr>
        <w:t>) ne</w:t>
      </w:r>
      <w:r w:rsidR="00F135D4" w:rsidRPr="00273106">
        <w:rPr>
          <w:noProof/>
          <w:lang w:val="cs-CZ"/>
        </w:rPr>
        <w:t>ní</w:t>
      </w:r>
      <w:r w:rsidR="00264FB7" w:rsidRPr="00273106">
        <w:rPr>
          <w:noProof/>
          <w:lang w:val="cs-CZ"/>
        </w:rPr>
        <w:t xml:space="preserve"> </w:t>
      </w:r>
      <w:r w:rsidR="0894155A">
        <w:rPr>
          <w:noProof/>
          <w:lang w:val="cs-CZ"/>
        </w:rPr>
        <w:t>součástí</w:t>
      </w:r>
      <w:r w:rsidR="08553FF4">
        <w:rPr>
          <w:noProof/>
          <w:lang w:val="cs-CZ"/>
        </w:rPr>
        <w:t xml:space="preserve"> </w:t>
      </w:r>
      <w:r w:rsidR="004529CA">
        <w:rPr>
          <w:noProof/>
          <w:lang w:val="cs-CZ"/>
        </w:rPr>
        <w:t xml:space="preserve">výpovědi jako subjekt predikace </w:t>
      </w:r>
      <w:r w:rsidR="00264FB7" w:rsidRPr="00273106">
        <w:rPr>
          <w:noProof/>
          <w:lang w:val="cs-CZ"/>
        </w:rPr>
        <w:t>(</w:t>
      </w:r>
      <w:r w:rsidR="00264FB7" w:rsidRPr="00273106">
        <w:rPr>
          <w:i/>
          <w:noProof/>
          <w:lang w:val="cs-CZ"/>
        </w:rPr>
        <w:t>non est inhaerere subjecto</w:t>
      </w:r>
      <w:r w:rsidR="00264FB7" w:rsidRPr="00273106">
        <w:rPr>
          <w:noProof/>
          <w:lang w:val="cs-CZ"/>
        </w:rPr>
        <w:t>)</w:t>
      </w:r>
      <w:r w:rsidR="0894155A">
        <w:rPr>
          <w:noProof/>
          <w:lang w:val="cs-CZ"/>
        </w:rPr>
        <w:t xml:space="preserve">, pak </w:t>
      </w:r>
      <w:r w:rsidR="081342BA">
        <w:rPr>
          <w:noProof/>
          <w:lang w:val="cs-CZ"/>
        </w:rPr>
        <w:t>by t</w:t>
      </w:r>
      <w:r w:rsidR="08702DD1">
        <w:rPr>
          <w:noProof/>
          <w:lang w:val="cs-CZ"/>
        </w:rPr>
        <w:t xml:space="preserve">ato </w:t>
      </w:r>
      <w:r w:rsidR="081342BA">
        <w:rPr>
          <w:noProof/>
          <w:lang w:val="cs-CZ"/>
        </w:rPr>
        <w:t>nominálně daná kategorie nutně vyžadovala da</w:t>
      </w:r>
      <w:r w:rsidR="08A97CDC">
        <w:rPr>
          <w:noProof/>
          <w:lang w:val="cs-CZ"/>
        </w:rPr>
        <w:t xml:space="preserve">lší </w:t>
      </w:r>
      <w:r w:rsidR="0894155A">
        <w:rPr>
          <w:noProof/>
          <w:lang w:val="cs-CZ"/>
        </w:rPr>
        <w:t xml:space="preserve">kategoriální </w:t>
      </w:r>
      <w:r w:rsidR="081342BA">
        <w:rPr>
          <w:noProof/>
          <w:lang w:val="cs-CZ"/>
        </w:rPr>
        <w:t xml:space="preserve">subjekt </w:t>
      </w:r>
      <w:r w:rsidR="0894155A">
        <w:rPr>
          <w:noProof/>
          <w:lang w:val="cs-CZ"/>
        </w:rPr>
        <w:t xml:space="preserve">jako nositele tohoto významu </w:t>
      </w:r>
      <w:r w:rsidR="081342BA">
        <w:rPr>
          <w:noProof/>
          <w:lang w:val="cs-CZ"/>
        </w:rPr>
        <w:t>(</w:t>
      </w:r>
      <w:r w:rsidR="081342BA" w:rsidRPr="081342BA">
        <w:rPr>
          <w:i/>
        </w:rPr>
        <w:t>inhaereret ex necessitate inhaerentia subjecto proprio</w:t>
      </w:r>
      <w:r w:rsidR="081342BA">
        <w:rPr>
          <w:noProof/>
          <w:lang w:val="cs-CZ"/>
        </w:rPr>
        <w:t>)</w:t>
      </w:r>
      <w:r w:rsidR="00ED7529">
        <w:rPr>
          <w:noProof/>
          <w:lang w:val="cs-CZ"/>
        </w:rPr>
        <w:t xml:space="preserve">. </w:t>
      </w:r>
      <w:r w:rsidR="081342BA">
        <w:rPr>
          <w:noProof/>
          <w:lang w:val="cs-CZ"/>
        </w:rPr>
        <w:t xml:space="preserve">Buď </w:t>
      </w:r>
      <w:r w:rsidR="0820268A">
        <w:rPr>
          <w:noProof/>
          <w:lang w:val="cs-CZ"/>
        </w:rPr>
        <w:t xml:space="preserve">by byla </w:t>
      </w:r>
      <w:r w:rsidR="08105A74">
        <w:rPr>
          <w:noProof/>
          <w:lang w:val="cs-CZ"/>
        </w:rPr>
        <w:t xml:space="preserve">druhá substance </w:t>
      </w:r>
      <w:r w:rsidR="0820268A">
        <w:rPr>
          <w:noProof/>
          <w:lang w:val="cs-CZ"/>
        </w:rPr>
        <w:t xml:space="preserve">obsažena </w:t>
      </w:r>
      <w:r w:rsidR="081342BA">
        <w:rPr>
          <w:noProof/>
          <w:lang w:val="cs-CZ"/>
        </w:rPr>
        <w:t xml:space="preserve">v tomto subjektu </w:t>
      </w:r>
      <w:r w:rsidR="0820268A">
        <w:rPr>
          <w:noProof/>
          <w:lang w:val="cs-CZ"/>
        </w:rPr>
        <w:t xml:space="preserve">přímo, </w:t>
      </w:r>
      <w:r w:rsidR="081342BA">
        <w:rPr>
          <w:noProof/>
          <w:lang w:val="cs-CZ"/>
        </w:rPr>
        <w:t xml:space="preserve">nebo by v něm byla skrze jiné určení. Pokud by </w:t>
      </w:r>
      <w:r w:rsidR="0820268A">
        <w:rPr>
          <w:noProof/>
          <w:lang w:val="cs-CZ"/>
        </w:rPr>
        <w:t xml:space="preserve">byla v nominálním subjektu </w:t>
      </w:r>
      <w:r w:rsidR="081342BA">
        <w:rPr>
          <w:noProof/>
          <w:lang w:val="cs-CZ"/>
        </w:rPr>
        <w:t xml:space="preserve">skrze jiné určení, vznikl by </w:t>
      </w:r>
      <w:r w:rsidR="00CD21DA" w:rsidRPr="00273106">
        <w:rPr>
          <w:noProof/>
          <w:lang w:val="cs-CZ"/>
        </w:rPr>
        <w:t>nekonečný regres</w:t>
      </w:r>
      <w:r w:rsidR="00F135D4" w:rsidRPr="00273106">
        <w:rPr>
          <w:noProof/>
          <w:lang w:val="cs-CZ"/>
        </w:rPr>
        <w:t xml:space="preserve">.“ </w:t>
      </w:r>
      <w:r w:rsidR="00C77673" w:rsidRPr="00273106">
        <w:rPr>
          <w:rStyle w:val="Znakapoznpodarou"/>
          <w:noProof/>
          <w:lang w:val="cs-CZ"/>
        </w:rPr>
        <w:footnoteReference w:id="194"/>
      </w:r>
    </w:p>
    <w:p w14:paraId="3D674E83" w14:textId="1E34520E" w:rsidR="00E62334" w:rsidRDefault="08797041" w:rsidP="004C23C1">
      <w:r>
        <w:t>Alvenus odmítl jménem zdravého rozumu hypostázovat nominalistické významy jako to dělají postmodernisté skrze jazykové hry (</w:t>
      </w:r>
      <w:r w:rsidRPr="08797041">
        <w:rPr>
          <w:i/>
        </w:rPr>
        <w:t>meaning is use</w:t>
      </w:r>
      <w:r>
        <w:t xml:space="preserve">). </w:t>
      </w:r>
      <w:r w:rsidR="00A26823" w:rsidRPr="00A26823">
        <w:t>Latinští sofisté a analytičtí gramatikové vrší jedno hypostatické určení na druhé a toto hromadění a dělení pouhých určení považují za Aristotelovu kategoriální predikaci.</w:t>
      </w:r>
      <w:r w:rsidR="00A26823">
        <w:t xml:space="preserve"> </w:t>
      </w:r>
      <w:r w:rsidR="08375EFA">
        <w:t>Argument nekonečného regresu a zrcadlení završila v epoše metafyzického nihilismu jak škola pařížského post</w:t>
      </w:r>
      <w:r w:rsidR="08375EFA">
        <w:noBreakHyphen/>
        <w:t xml:space="preserve">strukturalismu </w:t>
      </w:r>
      <w:r w:rsidR="08375EFA">
        <w:lastRenderedPageBreak/>
        <w:t>navázaná na Husselův avicennismus (J. Derrida), tak oxfordská škola přebírající neopozitivismus Vídeňské školy</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8375EFA">
        <w:t xml:space="preserve"> skrze </w:t>
      </w:r>
      <w:r w:rsidR="08375EFA" w:rsidRPr="08AB1FAC">
        <w:rPr>
          <w:i/>
        </w:rPr>
        <w:t>Oxfordian Fallacy</w:t>
      </w:r>
      <w:r w:rsidR="08375EFA">
        <w:t xml:space="preserve"> obohacenou o post-strukturální filosofii jazyka </w:t>
      </w:r>
      <w:r w:rsidR="00152F29">
        <w:rPr>
          <w:lang w:eastAsia="en-US"/>
        </w:rPr>
        <w:t>(L. Wittgenstein</w:t>
      </w:r>
      <w:r w:rsidR="00B66652">
        <w:rPr>
          <w:lang w:eastAsia="en-US"/>
        </w:rPr>
        <w:t>, R. Rorty</w:t>
      </w:r>
      <w:r w:rsidR="00152F29">
        <w:rPr>
          <w:lang w:eastAsia="en-US"/>
        </w:rPr>
        <w:t>)</w:t>
      </w:r>
      <w:r w:rsidR="08375EFA">
        <w:t xml:space="preserve">. </w:t>
      </w:r>
      <w:r>
        <w:t xml:space="preserve">Jazyk </w:t>
      </w:r>
      <w:r w:rsidR="00AD0FCE">
        <w:t>je příliš důležitý na to, aby se stal nezávaznou hrou</w:t>
      </w:r>
      <w:r w:rsidR="08BE298C">
        <w:t xml:space="preserve"> </w:t>
      </w:r>
      <w:r w:rsidR="000C0419">
        <w:t xml:space="preserve">v podání </w:t>
      </w:r>
      <w:r w:rsidR="08BE298C">
        <w:t>moderních nominalistů. Aristotelskou predikaci</w:t>
      </w:r>
      <w:r>
        <w:t xml:space="preserve"> řídí </w:t>
      </w:r>
      <w:r w:rsidR="006E78A9">
        <w:t>metafyzický</w:t>
      </w:r>
      <w:r w:rsidR="082A724F">
        <w:t xml:space="preserve"> </w:t>
      </w:r>
      <w:r>
        <w:t>dativ a hyparchické postavení první substance. Toto je základn</w:t>
      </w:r>
      <w:r w:rsidR="08791A16">
        <w:t xml:space="preserve">í cesta </w:t>
      </w:r>
      <w:r w:rsidR="00A15D8F">
        <w:t>s</w:t>
      </w:r>
      <w:r w:rsidR="08791A16">
        <w:t>lunce, které</w:t>
      </w:r>
      <w:r>
        <w:t xml:space="preserve"> jde </w:t>
      </w:r>
      <w:r w:rsidR="08791A16">
        <w:t>na obloze pouze jedním s</w:t>
      </w:r>
      <w:r>
        <w:t>m</w:t>
      </w:r>
      <w:r w:rsidR="08791A16">
        <w:t>ěrem a predi</w:t>
      </w:r>
      <w:r>
        <w:t>k</w:t>
      </w:r>
      <w:r w:rsidR="08791A16">
        <w:t>a</w:t>
      </w:r>
      <w:r>
        <w:t xml:space="preserve">ce se musí držet bytí reálné první substance. Moderní porretáni zhasli hyparchický charakter první substance a chodí po vlastní cestách osvícených paranoickým intelektem-sluncem. </w:t>
      </w:r>
      <w:r w:rsidR="0815171D">
        <w:t>Realitu nel</w:t>
      </w:r>
      <w:r w:rsidR="086F50CC">
        <w:t>z</w:t>
      </w:r>
      <w:r w:rsidR="0815171D">
        <w:t xml:space="preserve">e nahradit moderními </w:t>
      </w:r>
      <w:r w:rsidR="086F50CC">
        <w:t>hypostáz</w:t>
      </w:r>
      <w:r w:rsidR="0815171D">
        <w:t>emi a matematickými funkcemi</w:t>
      </w:r>
      <w:r w:rsidR="086F50CC">
        <w:t>, protože pak o ní nelze pravdi</w:t>
      </w:r>
      <w:r w:rsidR="0841637E">
        <w:t>vě</w:t>
      </w:r>
      <w:r w:rsidR="086F50CC">
        <w:t xml:space="preserve"> vy</w:t>
      </w:r>
      <w:r w:rsidR="088B3DC0">
        <w:t xml:space="preserve">povídat v modu </w:t>
      </w:r>
      <w:r w:rsidR="00B457FF">
        <w:t xml:space="preserve">metafyzické </w:t>
      </w:r>
      <w:r w:rsidR="088B3DC0">
        <w:t>adekvace</w:t>
      </w:r>
      <w:r w:rsidR="00B457FF">
        <w:t>, která je založena na impozici z reality</w:t>
      </w:r>
      <w:r w:rsidR="088B3DC0">
        <w:t>. Logická esence je predikovaná</w:t>
      </w:r>
      <w:r w:rsidR="086F50CC">
        <w:t xml:space="preserve"> jako univerzálie </w:t>
      </w:r>
      <w:r w:rsidR="088B3DC0">
        <w:t>a logická substance jako „toto zde“ (</w:t>
      </w:r>
      <w:r w:rsidR="088B3DC0" w:rsidRPr="00273106">
        <w:t>τόδε τι</w:t>
      </w:r>
      <w:r w:rsidR="088B3DC0">
        <w:fldChar w:fldCharType="begin"/>
      </w:r>
      <w:r w:rsidR="088B3DC0">
        <w:instrText xml:space="preserve"> XE "</w:instrText>
      </w:r>
      <w:r w:rsidR="088B3DC0" w:rsidRPr="00E373E1">
        <w:instrText>substance:τόδε τι</w:instrText>
      </w:r>
      <w:r w:rsidR="088B3DC0">
        <w:instrText xml:space="preserve">" </w:instrText>
      </w:r>
      <w:r w:rsidR="088B3DC0">
        <w:fldChar w:fldCharType="end"/>
      </w:r>
      <w:r w:rsidR="088B3DC0">
        <w:t xml:space="preserve">, </w:t>
      </w:r>
      <w:r w:rsidR="088B3DC0" w:rsidRPr="08B24BC6">
        <w:rPr>
          <w:i/>
        </w:rPr>
        <w:t>hoc aliquid</w:t>
      </w:r>
      <w:r w:rsidR="088B3DC0">
        <w:t xml:space="preserve">) </w:t>
      </w:r>
      <w:r w:rsidR="086F50CC">
        <w:t xml:space="preserve">může sloužit </w:t>
      </w:r>
      <w:r w:rsidR="084A65EA">
        <w:t xml:space="preserve">jako druhá substance </w:t>
      </w:r>
      <w:r w:rsidR="086F50CC">
        <w:t>v modu ekvivocity (</w:t>
      </w:r>
      <w:r w:rsidR="084B2D30">
        <w:t xml:space="preserve">porretánská </w:t>
      </w:r>
      <w:r w:rsidR="086F50CC" w:rsidRPr="086F50CC">
        <w:rPr>
          <w:i/>
        </w:rPr>
        <w:t>socratitas</w:t>
      </w:r>
      <w:r w:rsidR="086F50CC">
        <w:t>)</w:t>
      </w:r>
      <w:r w:rsidR="08E75C56">
        <w:t xml:space="preserve">. </w:t>
      </w:r>
      <w:r w:rsidR="00967FCD">
        <w:t xml:space="preserve">Pouhá </w:t>
      </w:r>
      <w:r w:rsidR="086F50CC">
        <w:t xml:space="preserve">apozice predikátu daného akcidentálně </w:t>
      </w:r>
      <w:r w:rsidR="084B397A">
        <w:t xml:space="preserve">k jinému akcidentu </w:t>
      </w:r>
      <w:r w:rsidR="089F5E04">
        <w:t xml:space="preserve">je </w:t>
      </w:r>
      <w:r w:rsidR="003559FB">
        <w:t xml:space="preserve">metafyzický </w:t>
      </w:r>
      <w:r w:rsidR="089F5E04">
        <w:t>nesmysl</w:t>
      </w:r>
      <w:r w:rsidR="00945D9B">
        <w:t xml:space="preserve">. Taková predikace </w:t>
      </w:r>
      <w:r w:rsidR="081E1002">
        <w:t xml:space="preserve">nemá subjekt </w:t>
      </w:r>
      <w:r w:rsidR="084C6914">
        <w:t xml:space="preserve">kategoriálně dané </w:t>
      </w:r>
      <w:r w:rsidR="081E1002">
        <w:t>výpovědi</w:t>
      </w:r>
      <w:r w:rsidR="084C6914">
        <w:t xml:space="preserve"> </w:t>
      </w:r>
      <w:r w:rsidR="00945D9B">
        <w:t xml:space="preserve">určené skrze </w:t>
      </w:r>
      <w:r w:rsidR="00882E17">
        <w:t>univoční impozici</w:t>
      </w:r>
      <w:r w:rsidR="00F93252">
        <w:t xml:space="preserve"> </w:t>
      </w:r>
      <w:r w:rsidR="00945D9B">
        <w:t>jako druhou</w:t>
      </w:r>
      <w:r w:rsidR="084C6914">
        <w:t xml:space="preserve"> substanci</w:t>
      </w:r>
      <w:r w:rsidR="00A50F05">
        <w:t xml:space="preserve"> podle </w:t>
      </w:r>
      <w:r w:rsidR="00A50F05" w:rsidRPr="00A50F05">
        <w:rPr>
          <w:i/>
        </w:rPr>
        <w:t>Kategorií</w:t>
      </w:r>
      <w:r w:rsidR="082B46E5">
        <w:t xml:space="preserve">. A už </w:t>
      </w:r>
      <w:r w:rsidR="081E1002">
        <w:t>vůbec ne</w:t>
      </w:r>
      <w:r w:rsidR="080B6322">
        <w:t>jde</w:t>
      </w:r>
      <w:r w:rsidR="081E1002">
        <w:t xml:space="preserve"> </w:t>
      </w:r>
      <w:r w:rsidR="080B6322">
        <w:t xml:space="preserve">o </w:t>
      </w:r>
      <w:r w:rsidR="081E1002">
        <w:t xml:space="preserve">univoční subjekt </w:t>
      </w:r>
      <w:r w:rsidR="00014934">
        <w:t>vědeckého důkazu</w:t>
      </w:r>
      <w:r w:rsidR="00BD55F6">
        <w:t>. Takto určený deduktivní syllogismus má navíc jednoznačnou impozici určenou</w:t>
      </w:r>
      <w:r w:rsidR="00430C6F">
        <w:t xml:space="preserve"> </w:t>
      </w:r>
      <w:r w:rsidR="00FC25B8">
        <w:t>na základě kauzality hyparchických</w:t>
      </w:r>
      <w:r w:rsidR="081E1002">
        <w:t xml:space="preserve"> první</w:t>
      </w:r>
      <w:r w:rsidR="00FC25B8">
        <w:t>ch substancí</w:t>
      </w:r>
      <w:r w:rsidR="089F5E04">
        <w:t xml:space="preserve">. </w:t>
      </w:r>
      <w:r w:rsidR="08A63FC4">
        <w:t xml:space="preserve">Gramatikové nemají ani základní strukturu smysluplné </w:t>
      </w:r>
      <w:r w:rsidR="08353DD4">
        <w:t xml:space="preserve">kategoriální </w:t>
      </w:r>
      <w:r w:rsidR="08A63FC4">
        <w:t xml:space="preserve">výpovědi. </w:t>
      </w:r>
      <w:r w:rsidR="00014934" w:rsidRPr="00014934">
        <w:t xml:space="preserve">Kategoriální význam predikovaných akcidentů a nominálních určení </w:t>
      </w:r>
      <w:r w:rsidR="00792AD3">
        <w:t xml:space="preserve">je v řádu </w:t>
      </w:r>
      <w:r w:rsidR="00A556E1">
        <w:t xml:space="preserve">logické </w:t>
      </w:r>
      <w:r w:rsidR="00792AD3">
        <w:t xml:space="preserve">supozice, ale </w:t>
      </w:r>
      <w:r w:rsidR="00A556E1">
        <w:t xml:space="preserve">ta má </w:t>
      </w:r>
      <w:r w:rsidR="00792AD3">
        <w:t xml:space="preserve">pouze </w:t>
      </w:r>
      <w:r w:rsidR="00014934" w:rsidRPr="00014934">
        <w:t>formáln</w:t>
      </w:r>
      <w:r w:rsidR="00A556E1">
        <w:t>í shodu s realitou</w:t>
      </w:r>
      <w:r w:rsidR="00792AD3">
        <w:t xml:space="preserve">. Logická supozice je abstrakce na druhou. Logikovi je jedno, zda chiméra existuje reálně nebo neexistuje. </w:t>
      </w:r>
      <w:r w:rsidR="00EE2833" w:rsidRPr="00EE2833">
        <w:t>Logická abstrakce nemůže prohlásit racionální substanci za pravdivou ve vztahu k</w:t>
      </w:r>
      <w:r w:rsidR="00EE2833">
        <w:t> </w:t>
      </w:r>
      <w:r w:rsidR="00EE2833" w:rsidRPr="00EE2833">
        <w:t>hyparchi</w:t>
      </w:r>
      <w:r w:rsidR="00EE2833">
        <w:t xml:space="preserve">cké </w:t>
      </w:r>
      <w:r w:rsidR="00EE2833" w:rsidRPr="00EE2833">
        <w:t xml:space="preserve">substanci, protože jí chybí </w:t>
      </w:r>
      <w:r w:rsidR="00EE2833">
        <w:t xml:space="preserve">impozice </w:t>
      </w:r>
      <w:r w:rsidR="00EE2833" w:rsidRPr="00EE2833">
        <w:t>reálného významu.</w:t>
      </w:r>
      <w:r w:rsidR="00EE2833">
        <w:t xml:space="preserve"> </w:t>
      </w:r>
      <w:r w:rsidR="00F35CD7">
        <w:t>Metafyzická i</w:t>
      </w:r>
      <w:r w:rsidR="009772D3">
        <w:t xml:space="preserve">mpozice je určena </w:t>
      </w:r>
      <w:r w:rsidR="00F57522">
        <w:t xml:space="preserve">podle metafyzického dativu, který </w:t>
      </w:r>
      <w:r w:rsidR="009772D3">
        <w:t xml:space="preserve">diktuje kauzálně dané </w:t>
      </w:r>
      <w:r w:rsidR="00792AD3">
        <w:t>p</w:t>
      </w:r>
      <w:r w:rsidR="00014934" w:rsidRPr="00014934">
        <w:t xml:space="preserve">ořadí </w:t>
      </w:r>
      <w:r w:rsidR="00F57522">
        <w:t>přenosu významu</w:t>
      </w:r>
      <w:r w:rsidR="009772D3">
        <w:t>,</w:t>
      </w:r>
      <w:r w:rsidR="00F57522">
        <w:t xml:space="preserve"> od </w:t>
      </w:r>
      <w:r w:rsidR="00014934" w:rsidRPr="00014934">
        <w:t xml:space="preserve">první </w:t>
      </w:r>
      <w:r w:rsidR="009772D3">
        <w:t xml:space="preserve">hyparchické substance </w:t>
      </w:r>
      <w:r w:rsidR="00F57522">
        <w:t xml:space="preserve">na </w:t>
      </w:r>
      <w:r w:rsidR="00014934" w:rsidRPr="00014934">
        <w:t>druhou substanc</w:t>
      </w:r>
      <w:r w:rsidR="00F57522">
        <w:t>i</w:t>
      </w:r>
      <w:r w:rsidR="00792AD3">
        <w:t xml:space="preserve"> jako </w:t>
      </w:r>
      <w:r w:rsidR="00792AD3" w:rsidRPr="00AF20DD">
        <w:rPr>
          <w:i/>
        </w:rPr>
        <w:t>species</w:t>
      </w:r>
      <w:r w:rsidR="00F57522">
        <w:t xml:space="preserve">, přesně podle </w:t>
      </w:r>
      <w:r w:rsidR="00014934" w:rsidRPr="00014934">
        <w:t xml:space="preserve">výkladu </w:t>
      </w:r>
      <w:r w:rsidR="00014934" w:rsidRPr="00014934">
        <w:rPr>
          <w:i/>
        </w:rPr>
        <w:t>Kategorií</w:t>
      </w:r>
      <w:r w:rsidR="00792AD3">
        <w:t xml:space="preserve"> (</w:t>
      </w:r>
      <w:r w:rsidR="00792AD3" w:rsidRPr="00792AD3">
        <w:rPr>
          <w:i/>
        </w:rPr>
        <w:t>destructio primis</w:t>
      </w:r>
      <w:r w:rsidR="009772D3">
        <w:rPr>
          <w:i/>
        </w:rPr>
        <w:fldChar w:fldCharType="begin"/>
      </w:r>
      <w:r w:rsidR="009772D3">
        <w:instrText xml:space="preserve"> XE "</w:instrText>
      </w:r>
      <w:r w:rsidR="009772D3" w:rsidRPr="00B66036">
        <w:rPr>
          <w:i/>
        </w:rPr>
        <w:instrText>destructio primis</w:instrText>
      </w:r>
      <w:r w:rsidR="009772D3">
        <w:instrText xml:space="preserve">" </w:instrText>
      </w:r>
      <w:r w:rsidR="009772D3">
        <w:rPr>
          <w:i/>
        </w:rPr>
        <w:fldChar w:fldCharType="end"/>
      </w:r>
      <w:r w:rsidR="00F57522">
        <w:t>;</w:t>
      </w:r>
      <w:r w:rsidR="00792AD3">
        <w:t xml:space="preserve"> OBJ I, kap. 1.3). </w:t>
      </w:r>
      <w:r w:rsidR="088B3F64">
        <w:t>N</w:t>
      </w:r>
      <w:r w:rsidR="08E75C56">
        <w:t>ominalistická predikace neumožňuje smysluplnou řeč</w:t>
      </w:r>
      <w:r w:rsidR="0857274B">
        <w:t xml:space="preserve"> v mom</w:t>
      </w:r>
      <w:r w:rsidR="08E75C56">
        <w:t>e</w:t>
      </w:r>
      <w:r w:rsidR="0857274B">
        <w:t>n</w:t>
      </w:r>
      <w:r w:rsidR="08E75C56">
        <w:t xml:space="preserve">tu, kdy </w:t>
      </w:r>
      <w:r w:rsidR="0857274B" w:rsidRPr="0857274B">
        <w:rPr>
          <w:i/>
        </w:rPr>
        <w:t>Grammatici</w:t>
      </w:r>
      <w:r w:rsidR="0857274B">
        <w:t xml:space="preserve"> </w:t>
      </w:r>
      <w:r w:rsidR="08E75C56">
        <w:t xml:space="preserve">začnou ke své chimérické druhé substanci </w:t>
      </w:r>
      <w:r w:rsidR="08BE298C">
        <w:t>dané jako hypostázovaný ak</w:t>
      </w:r>
      <w:r w:rsidR="088B3F64">
        <w:t xml:space="preserve">cident </w:t>
      </w:r>
      <w:r w:rsidR="08E75C56">
        <w:t xml:space="preserve">predikovat </w:t>
      </w:r>
      <w:r w:rsidR="088B3F64">
        <w:t xml:space="preserve">v modu apozice další </w:t>
      </w:r>
      <w:r w:rsidR="007F1781">
        <w:t xml:space="preserve">akcidenty. </w:t>
      </w:r>
      <w:r w:rsidR="007F1781" w:rsidRPr="007F1781">
        <w:t>V dnešní době postmoderní analytické či dekonstruktivní nevědomosti jeden slovní nesmysl nastavuje zrcadlo druhému, dokud není matrixový svět virtuálních simulaker dokončen (</w:t>
      </w:r>
      <w:r w:rsidR="007F1781" w:rsidRPr="007F1781">
        <w:rPr>
          <w:i/>
        </w:rPr>
        <w:t>iret res in infinitum</w:t>
      </w:r>
      <w:r w:rsidR="007F1781" w:rsidRPr="007F1781">
        <w:t>).</w:t>
      </w:r>
      <w:r w:rsidR="007F1781">
        <w:t xml:space="preserve"> </w:t>
      </w:r>
      <w:r w:rsidR="080E01FC">
        <w:t xml:space="preserve">A </w:t>
      </w:r>
      <w:r w:rsidR="08A835C9">
        <w:t xml:space="preserve">přesně </w:t>
      </w:r>
      <w:r w:rsidR="080E01FC">
        <w:t xml:space="preserve">to bylo </w:t>
      </w:r>
      <w:r w:rsidR="08573177">
        <w:t xml:space="preserve">filosofickou </w:t>
      </w:r>
      <w:r w:rsidR="007C0AFD">
        <w:t>podstatou sporů</w:t>
      </w:r>
      <w:r w:rsidR="080E01FC">
        <w:t xml:space="preserve"> o triteismus</w:t>
      </w:r>
      <w:r w:rsidR="08A835C9">
        <w:fldChar w:fldCharType="begin"/>
      </w:r>
      <w:r w:rsidR="08A835C9">
        <w:instrText xml:space="preserve"> XE "</w:instrText>
      </w:r>
      <w:r w:rsidR="08A835C9" w:rsidRPr="0039045A">
        <w:instrText>triteismus</w:instrText>
      </w:r>
      <w:r w:rsidR="08A835C9">
        <w:instrText xml:space="preserve">" </w:instrText>
      </w:r>
      <w:r w:rsidR="08A835C9">
        <w:fldChar w:fldCharType="end"/>
      </w:r>
      <w:r w:rsidR="080E01FC">
        <w:t xml:space="preserve"> v</w:t>
      </w:r>
      <w:r w:rsidR="0084557B">
        <w:t xml:space="preserve"> předešlém </w:t>
      </w:r>
      <w:r w:rsidR="080E01FC">
        <w:t>století mezi Abelardem a porretány</w:t>
      </w:r>
      <w:r w:rsidR="087752CF">
        <w:t>. A</w:t>
      </w:r>
      <w:r w:rsidR="0820693E">
        <w:t xml:space="preserve">pozice </w:t>
      </w:r>
      <w:r w:rsidR="004C23C1">
        <w:t xml:space="preserve">dané jako </w:t>
      </w:r>
      <w:r w:rsidR="004C23C1">
        <w:lastRenderedPageBreak/>
        <w:t xml:space="preserve">acidenty </w:t>
      </w:r>
      <w:r w:rsidR="0820693E">
        <w:t xml:space="preserve">typu </w:t>
      </w:r>
      <w:r w:rsidR="086F7ECF" w:rsidRPr="0820693E">
        <w:rPr>
          <w:i/>
        </w:rPr>
        <w:t>deitas</w:t>
      </w:r>
      <w:r w:rsidR="086F7ECF">
        <w:t xml:space="preserve"> a </w:t>
      </w:r>
      <w:r w:rsidR="086F7ECF" w:rsidRPr="0820693E">
        <w:rPr>
          <w:i/>
        </w:rPr>
        <w:t>paternitas</w:t>
      </w:r>
      <w:r w:rsidR="086F7ECF">
        <w:t xml:space="preserve"> dostaly nominální význam daný mimo impozici od boží </w:t>
      </w:r>
      <w:r w:rsidR="00A836B4">
        <w:t xml:space="preserve">hyparchické a </w:t>
      </w:r>
      <w:r w:rsidR="086F7ECF">
        <w:t>reálné esence</w:t>
      </w:r>
      <w:r w:rsidR="08EB7662">
        <w:t xml:space="preserve"> (kap 1</w:t>
      </w:r>
      <w:r w:rsidR="080E01FC">
        <w:t xml:space="preserve">.3). </w:t>
      </w:r>
      <w:r w:rsidR="004C23C1" w:rsidRPr="004C23C1">
        <w:t>Z pohledu klasické metafyziky je to čirá paranoia.</w:t>
      </w:r>
      <w:r w:rsidR="001D29C6">
        <w:t xml:space="preserve"> K chimérické druhé substanci </w:t>
      </w:r>
      <w:r w:rsidR="004C23C1" w:rsidRPr="004C23C1">
        <w:t xml:space="preserve">lze </w:t>
      </w:r>
      <w:r w:rsidR="004C23C1">
        <w:t xml:space="preserve">apozičně </w:t>
      </w:r>
      <w:r w:rsidR="004C23C1" w:rsidRPr="004C23C1">
        <w:t xml:space="preserve">predikovat </w:t>
      </w:r>
      <w:r w:rsidR="004C23C1">
        <w:t xml:space="preserve">hypostázované akcidenty </w:t>
      </w:r>
      <w:r w:rsidR="004C23C1" w:rsidRPr="004C23C1">
        <w:t xml:space="preserve">typu </w:t>
      </w:r>
      <w:r w:rsidR="00E71669">
        <w:t>„</w:t>
      </w:r>
      <w:r w:rsidR="004C23C1" w:rsidRPr="004C23C1">
        <w:rPr>
          <w:i/>
        </w:rPr>
        <w:t>albedo</w:t>
      </w:r>
      <w:r w:rsidR="00E71669">
        <w:t>“</w:t>
      </w:r>
      <w:r w:rsidR="004C23C1" w:rsidRPr="004C23C1">
        <w:t xml:space="preserve"> v logickém modu ekvivokálních univerzálií.</w:t>
      </w:r>
      <w:r w:rsidR="004C23C1">
        <w:t xml:space="preserve"> </w:t>
      </w:r>
      <w:r w:rsidR="088B1075">
        <w:t xml:space="preserve">Predikace hypostázované „běloby“ ke stejně hypostázované „chiméře“ zakládá podle Abelarda a prvního averroismu výpověď o významu v řádu pouhého </w:t>
      </w:r>
      <w:r w:rsidR="088B1075" w:rsidRPr="086F50CC">
        <w:rPr>
          <w:i/>
        </w:rPr>
        <w:t>opinabile</w:t>
      </w:r>
      <w:r w:rsidR="088B1075">
        <w:rPr>
          <w:i/>
        </w:rPr>
        <w:fldChar w:fldCharType="begin"/>
      </w:r>
      <w:r w:rsidR="088B1075">
        <w:instrText xml:space="preserve"> XE "</w:instrText>
      </w:r>
      <w:r w:rsidR="088B1075" w:rsidRPr="084633EC">
        <w:rPr>
          <w:i/>
        </w:rPr>
        <w:instrText>opinabile</w:instrText>
      </w:r>
      <w:r w:rsidR="088B1075">
        <w:instrText xml:space="preserve">" </w:instrText>
      </w:r>
      <w:r w:rsidR="088B1075">
        <w:rPr>
          <w:i/>
        </w:rPr>
        <w:fldChar w:fldCharType="end"/>
      </w:r>
      <w:r w:rsidR="004C23C1">
        <w:t>. Pak se sofisticky vypovídá</w:t>
      </w:r>
      <w:r w:rsidR="084965F2">
        <w:t xml:space="preserve"> </w:t>
      </w:r>
      <w:r w:rsidR="088B1075" w:rsidRPr="0869423E">
        <w:rPr>
          <w:i/>
        </w:rPr>
        <w:t>ad infinitum</w:t>
      </w:r>
      <w:r w:rsidR="088B1075">
        <w:t xml:space="preserve"> o chiméře</w:t>
      </w:r>
      <w:r w:rsidR="004C23C1">
        <w:t>,</w:t>
      </w:r>
      <w:r w:rsidR="088B1075">
        <w:t xml:space="preserve"> a ne v aristotelském </w:t>
      </w:r>
      <w:r w:rsidR="088B1075" w:rsidRPr="08F7623C">
        <w:rPr>
          <w:i/>
        </w:rPr>
        <w:t>ad finitum</w:t>
      </w:r>
      <w:r w:rsidR="088B1075">
        <w:t xml:space="preserve"> o reálné první substanci. </w:t>
      </w:r>
      <w:r w:rsidR="0839510A">
        <w:t>Chiméra</w:t>
      </w:r>
      <w:r w:rsidR="088E13BC">
        <w:fldChar w:fldCharType="begin"/>
      </w:r>
      <w:r w:rsidR="088E13BC">
        <w:instrText xml:space="preserve"> XE "</w:instrText>
      </w:r>
      <w:r w:rsidR="088E13BC" w:rsidRPr="009316B3">
        <w:instrText>chiméra</w:instrText>
      </w:r>
      <w:r w:rsidR="088E13BC">
        <w:instrText xml:space="preserve">" </w:instrText>
      </w:r>
      <w:r w:rsidR="088E13BC">
        <w:fldChar w:fldCharType="end"/>
      </w:r>
      <w:r w:rsidR="086A4851">
        <w:t xml:space="preserve"> v logice může mít predikovanou apozici běloby. Ale v </w:t>
      </w:r>
      <w:r w:rsidR="087752CF">
        <w:t xml:space="preserve">řádu metafyzické abstrakce jde </w:t>
      </w:r>
      <w:r w:rsidR="086A4851">
        <w:t xml:space="preserve">o nesmysl, </w:t>
      </w:r>
      <w:r w:rsidR="0839510A">
        <w:t xml:space="preserve">protože chiméra neexistuje, stejně jako </w:t>
      </w:r>
      <w:r w:rsidR="08253755">
        <w:t xml:space="preserve">pravdivě poznaný </w:t>
      </w:r>
      <w:r w:rsidR="0839510A">
        <w:t xml:space="preserve">člověk není mrtvola. </w:t>
      </w:r>
      <w:r w:rsidR="006F2D5B">
        <w:t xml:space="preserve">Gramatikové pojali bělobu </w:t>
      </w:r>
      <w:r w:rsidR="006F2D5B" w:rsidRPr="00273106">
        <w:t xml:space="preserve">jako </w:t>
      </w:r>
      <w:r w:rsidR="006F2D5B">
        <w:t xml:space="preserve">inherenci univerzálně daného </w:t>
      </w:r>
      <w:r w:rsidR="006F2D5B" w:rsidRPr="00273106">
        <w:t>akcidentu v subjektu výpovědi (</w:t>
      </w:r>
      <w:r w:rsidR="006F2D5B" w:rsidRPr="00273106">
        <w:rPr>
          <w:i/>
        </w:rPr>
        <w:t>inhaerere subjecto</w:t>
      </w:r>
      <w:r w:rsidR="006F2D5B" w:rsidRPr="00273106">
        <w:t xml:space="preserve">). </w:t>
      </w:r>
      <w:r w:rsidR="085075CC">
        <w:t xml:space="preserve">Modernisté univočně </w:t>
      </w:r>
      <w:r w:rsidR="00221A2E">
        <w:t xml:space="preserve">dělají ýroky </w:t>
      </w:r>
      <w:r w:rsidR="085075CC">
        <w:t xml:space="preserve">vzhledem k hypostázovanému subjektu </w:t>
      </w:r>
      <w:r w:rsidR="085075CC" w:rsidRPr="00273106">
        <w:t>(</w:t>
      </w:r>
      <w:r w:rsidR="085075CC" w:rsidRPr="00273106">
        <w:rPr>
          <w:i/>
        </w:rPr>
        <w:t>esse in subjecto</w:t>
      </w:r>
      <w:r w:rsidR="085075CC">
        <w:rPr>
          <w:i/>
        </w:rPr>
        <w:fldChar w:fldCharType="begin"/>
      </w:r>
      <w:r w:rsidR="085075CC">
        <w:instrText xml:space="preserve"> XE "</w:instrText>
      </w:r>
      <w:r w:rsidR="085075CC" w:rsidRPr="0079441F">
        <w:rPr>
          <w:i/>
        </w:rPr>
        <w:instrText>subiectum</w:instrText>
      </w:r>
      <w:r w:rsidR="085075CC">
        <w:instrText>:</w:instrText>
      </w:r>
      <w:r w:rsidR="085075CC" w:rsidRPr="00BF0EF1">
        <w:rPr>
          <w:i/>
        </w:rPr>
        <w:instrText>Grammatici</w:instrText>
      </w:r>
      <w:r w:rsidR="085075CC">
        <w:instrText xml:space="preserve">" </w:instrText>
      </w:r>
      <w:r w:rsidR="085075CC">
        <w:rPr>
          <w:i/>
        </w:rPr>
        <w:fldChar w:fldCharType="end"/>
      </w:r>
      <w:r w:rsidR="085075CC" w:rsidRPr="00273106">
        <w:t>)</w:t>
      </w:r>
      <w:r w:rsidR="00221A2E">
        <w:t xml:space="preserve">. V řádu logické abstrakce je úplně jedno, zda je to substance nebo akcident. Hypostázované entity mají formálně identický význam daný </w:t>
      </w:r>
      <w:r w:rsidR="085075CC">
        <w:t>ve ste</w:t>
      </w:r>
      <w:r w:rsidR="00221A2E">
        <w:t>jném univočním logickém modu („K</w:t>
      </w:r>
      <w:r w:rsidR="085075CC">
        <w:t xml:space="preserve"> esenci tohoto auta patří tato běloba</w:t>
      </w:r>
      <w:r w:rsidR="00221A2E">
        <w:t>.</w:t>
      </w:r>
      <w:r w:rsidR="085075CC">
        <w:fldChar w:fldCharType="begin"/>
      </w:r>
      <w:r w:rsidR="085075CC">
        <w:instrText xml:space="preserve"> XE "</w:instrText>
      </w:r>
      <w:r w:rsidR="085075CC" w:rsidRPr="00C0177F">
        <w:instrText>predikace:běloba</w:instrText>
      </w:r>
      <w:r w:rsidR="085075CC">
        <w:instrText xml:space="preserve">" </w:instrText>
      </w:r>
      <w:r w:rsidR="085075CC">
        <w:fldChar w:fldCharType="end"/>
      </w:r>
      <w:r w:rsidR="0060363A">
        <w:t xml:space="preserve">“). Taková </w:t>
      </w:r>
      <w:r w:rsidR="085075CC" w:rsidRPr="00273106">
        <w:t xml:space="preserve">inherence je sice dána </w:t>
      </w:r>
      <w:r w:rsidR="085075CC" w:rsidRPr="00273106">
        <w:rPr>
          <w:i/>
        </w:rPr>
        <w:t>simpliciter</w:t>
      </w:r>
      <w:r w:rsidR="085075CC">
        <w:t>, ale patří k</w:t>
      </w:r>
      <w:r w:rsidR="08441FE2">
        <w:t xml:space="preserve"> logické </w:t>
      </w:r>
      <w:r w:rsidR="085075CC" w:rsidRPr="00273106">
        <w:t>supozic</w:t>
      </w:r>
      <w:r w:rsidR="08441FE2">
        <w:t>i</w:t>
      </w:r>
      <w:r w:rsidR="002B0102">
        <w:t xml:space="preserve">. Kniha </w:t>
      </w:r>
      <w:r w:rsidR="002B0102">
        <w:rPr>
          <w:i/>
        </w:rPr>
        <w:t>Druhé</w:t>
      </w:r>
      <w:r w:rsidR="082568DE" w:rsidRPr="082568DE">
        <w:rPr>
          <w:i/>
        </w:rPr>
        <w:t xml:space="preserve"> analytik</w:t>
      </w:r>
      <w:r w:rsidR="002B0102">
        <w:rPr>
          <w:i/>
        </w:rPr>
        <w:t xml:space="preserve">y </w:t>
      </w:r>
      <w:r w:rsidR="002B0102" w:rsidRPr="002B0102">
        <w:t xml:space="preserve">dává jako příklad </w:t>
      </w:r>
      <w:r w:rsidR="002B0102">
        <w:t>definici</w:t>
      </w:r>
      <w:r w:rsidR="082568DE">
        <w:t xml:space="preserve"> trojúhelníka</w:t>
      </w:r>
      <w:r w:rsidR="08441FE2">
        <w:t>. Ta je daná</w:t>
      </w:r>
      <w:r w:rsidR="085075CC" w:rsidRPr="00273106">
        <w:t xml:space="preserve"> v rámci univerzální </w:t>
      </w:r>
      <w:r w:rsidR="085075CC">
        <w:t>esence</w:t>
      </w:r>
      <w:r w:rsidR="009247B7">
        <w:t xml:space="preserve">. K ní patří universální významy dané </w:t>
      </w:r>
      <w:r w:rsidR="085075CC">
        <w:t xml:space="preserve">v modu logické </w:t>
      </w:r>
      <w:r w:rsidR="0879433A">
        <w:t>a</w:t>
      </w:r>
      <w:r w:rsidR="085075CC">
        <w:t xml:space="preserve">pozice </w:t>
      </w:r>
      <w:r w:rsidR="0879433A">
        <w:t xml:space="preserve">a </w:t>
      </w:r>
      <w:r w:rsidR="009247B7">
        <w:t xml:space="preserve">formální </w:t>
      </w:r>
      <w:r w:rsidR="0879433A">
        <w:t>komitace</w:t>
      </w:r>
      <w:r w:rsidR="0879433A">
        <w:fldChar w:fldCharType="begin"/>
      </w:r>
      <w:r w:rsidR="0879433A">
        <w:instrText xml:space="preserve"> XE "</w:instrText>
      </w:r>
      <w:r w:rsidR="0879433A" w:rsidRPr="08D70C4F">
        <w:instrText>komitace</w:instrText>
      </w:r>
      <w:r w:rsidR="0879433A">
        <w:instrText xml:space="preserve">" </w:instrText>
      </w:r>
      <w:r w:rsidR="0879433A">
        <w:fldChar w:fldCharType="end"/>
      </w:r>
      <w:r w:rsidR="085075CC">
        <w:rPr>
          <w:i/>
          <w:iCs/>
        </w:rPr>
        <w:fldChar w:fldCharType="begin"/>
      </w:r>
      <w:r w:rsidR="085075CC">
        <w:instrText xml:space="preserve"> XE "esence:druhý averroismus" </w:instrText>
      </w:r>
      <w:r w:rsidR="085075CC">
        <w:rPr>
          <w:i/>
          <w:iCs/>
        </w:rPr>
        <w:fldChar w:fldCharType="end"/>
      </w:r>
      <w:r w:rsidR="085075CC" w:rsidRPr="00273106">
        <w:t xml:space="preserve">. </w:t>
      </w:r>
      <w:r w:rsidR="00AE02E0">
        <w:t>Reálné b</w:t>
      </w:r>
      <w:r w:rsidR="084E30CC">
        <w:t>ytí první substance v její aktuální simplicitě</w:t>
      </w:r>
      <w:r w:rsidR="084E30CC" w:rsidRPr="00273106">
        <w:t xml:space="preserve"> nemůže být přenesen</w:t>
      </w:r>
      <w:r w:rsidR="084E30CC">
        <w:t>o</w:t>
      </w:r>
      <w:r w:rsidR="084E30CC" w:rsidRPr="00273106">
        <w:t xml:space="preserve"> skrze sofistickou supozici</w:t>
      </w:r>
      <w:r w:rsidR="00194C12">
        <w:t xml:space="preserve"> </w:t>
      </w:r>
      <w:r w:rsidR="00194C12" w:rsidRPr="00273106">
        <w:t>(</w:t>
      </w:r>
      <w:r w:rsidR="00194C12" w:rsidRPr="00273106">
        <w:rPr>
          <w:i/>
        </w:rPr>
        <w:t>non est inhaerere subjecto</w:t>
      </w:r>
      <w:r w:rsidR="00194C12" w:rsidRPr="00273106">
        <w:t>)</w:t>
      </w:r>
      <w:r w:rsidR="0089497C">
        <w:t>. Obecný řád</w:t>
      </w:r>
      <w:r w:rsidR="084E30CC" w:rsidRPr="00273106">
        <w:t xml:space="preserve"> signifikace a predikace</w:t>
      </w:r>
      <w:r w:rsidR="0089497C">
        <w:t xml:space="preserve"> existuje pouze jako </w:t>
      </w:r>
      <w:r w:rsidR="084F3414">
        <w:t>un</w:t>
      </w:r>
      <w:r w:rsidR="085F495E">
        <w:t>iverzální význam v mysli</w:t>
      </w:r>
      <w:r w:rsidR="084E30CC" w:rsidRPr="00273106">
        <w:t>. Každá predikace je dána vzhledem ke kategorálně dané druhé substanci jako subjektu</w:t>
      </w:r>
      <w:r w:rsidR="08AA02B5">
        <w:t xml:space="preserve">. Ale druhá substance nese původní hyparchický význam první substance </w:t>
      </w:r>
      <w:r w:rsidR="084E30CC">
        <w:t>díky impozici</w:t>
      </w:r>
      <w:r w:rsidR="084E30CC" w:rsidRPr="00273106">
        <w:t xml:space="preserve">. </w:t>
      </w:r>
      <w:r w:rsidR="084E30CC">
        <w:t>Sofisté dostali metaforickým přenosem pouze e</w:t>
      </w:r>
      <w:r w:rsidR="084E30CC" w:rsidRPr="00273106">
        <w:t>kvivoční p</w:t>
      </w:r>
      <w:r w:rsidR="084E30CC">
        <w:t xml:space="preserve">redikaci v rámci formální </w:t>
      </w:r>
      <w:r w:rsidR="00101FC1">
        <w:t>„</w:t>
      </w:r>
      <w:r w:rsidR="084E30CC">
        <w:t>esence</w:t>
      </w:r>
      <w:r w:rsidR="00101FC1">
        <w:t>–</w:t>
      </w:r>
      <w:r w:rsidR="084E30CC">
        <w:t>hypostáze</w:t>
      </w:r>
      <w:r w:rsidR="00101FC1">
        <w:t>“</w:t>
      </w:r>
      <w:r w:rsidR="084E30CC">
        <w:t xml:space="preserve"> </w:t>
      </w:r>
      <w:r w:rsidR="084E30CC">
        <w:rPr>
          <w:i/>
          <w:iCs/>
        </w:rPr>
        <w:fldChar w:fldCharType="begin"/>
      </w:r>
      <w:r w:rsidR="084E30CC">
        <w:instrText xml:space="preserve"> XE "esence:druhý averroismus" </w:instrText>
      </w:r>
      <w:r w:rsidR="084E30CC">
        <w:rPr>
          <w:i/>
          <w:iCs/>
        </w:rPr>
        <w:fldChar w:fldCharType="end"/>
      </w:r>
      <w:r w:rsidR="084E30CC">
        <w:t>porretánců („sokratovost“)</w:t>
      </w:r>
      <w:r w:rsidR="00101FC1">
        <w:t>. Pak skrze tuto „</w:t>
      </w:r>
      <w:r w:rsidR="00101FC1" w:rsidRPr="00101FC1">
        <w:rPr>
          <w:i/>
        </w:rPr>
        <w:t>socratitas</w:t>
      </w:r>
      <w:r w:rsidR="00101FC1">
        <w:t xml:space="preserve">“ nahradili </w:t>
      </w:r>
      <w:r w:rsidR="00101FC1" w:rsidRPr="00101FC1">
        <w:t xml:space="preserve"> jednoznačnou predikaci vytvořenou v rámci kategoricky dané druhé substance </w:t>
      </w:r>
      <w:r w:rsidR="00101FC1">
        <w:t>dané ve vztahu k hyparchické osobě So</w:t>
      </w:r>
      <w:r w:rsidR="00101FC1" w:rsidRPr="00101FC1">
        <w:t>krata.</w:t>
      </w:r>
      <w:r w:rsidR="00101FC1">
        <w:t xml:space="preserve"> </w:t>
      </w:r>
      <w:r w:rsidR="084E30CC" w:rsidRPr="00273106">
        <w:t xml:space="preserve">Porretánské </w:t>
      </w:r>
      <w:r w:rsidR="084E30CC" w:rsidRPr="00273106">
        <w:rPr>
          <w:i/>
        </w:rPr>
        <w:t>individuum</w:t>
      </w:r>
      <w:r w:rsidR="08865309">
        <w:t xml:space="preserve"> se </w:t>
      </w:r>
      <w:r w:rsidR="084E30CC" w:rsidRPr="00273106">
        <w:t>skládá z nekonečné řady hypostází, v</w:t>
      </w:r>
      <w:r w:rsidR="084E30CC">
        <w:t xml:space="preserve">iz termín </w:t>
      </w:r>
      <w:r w:rsidR="084E30CC" w:rsidRPr="00273106">
        <w:rPr>
          <w:i/>
        </w:rPr>
        <w:t>collectio</w:t>
      </w:r>
      <w:r w:rsidR="084E30CC">
        <w:rPr>
          <w:i/>
        </w:rPr>
        <w:fldChar w:fldCharType="begin"/>
      </w:r>
      <w:r w:rsidR="084E30CC">
        <w:instrText xml:space="preserve"> XE "</w:instrText>
      </w:r>
      <w:r w:rsidR="084E30CC" w:rsidRPr="003360BC">
        <w:rPr>
          <w:i/>
        </w:rPr>
        <w:instrText>collectio</w:instrText>
      </w:r>
      <w:r w:rsidR="084E30CC">
        <w:instrText xml:space="preserve">" </w:instrText>
      </w:r>
      <w:r w:rsidR="084E30CC">
        <w:rPr>
          <w:i/>
        </w:rPr>
        <w:fldChar w:fldCharType="end"/>
      </w:r>
      <w:r w:rsidR="084E30CC" w:rsidRPr="00273106">
        <w:t xml:space="preserve"> u p</w:t>
      </w:r>
      <w:r w:rsidR="084F3414">
        <w:t>orretánských avicennistů (kap. 1</w:t>
      </w:r>
      <w:r w:rsidR="084E30CC" w:rsidRPr="00273106">
        <w:t xml:space="preserve">.4). </w:t>
      </w:r>
      <w:r w:rsidR="084E30CC">
        <w:t xml:space="preserve">Alvernus </w:t>
      </w:r>
      <w:r w:rsidR="08B13609">
        <w:t>upozorňuje sofistické tvůrce simuláker</w:t>
      </w:r>
      <w:r w:rsidR="084E30CC">
        <w:t>, že k</w:t>
      </w:r>
      <w:r w:rsidR="084E30CC" w:rsidRPr="00273106">
        <w:t xml:space="preserve">do lehkomyslně převezme nekonečnou apozici </w:t>
      </w:r>
      <w:r w:rsidR="084E30CC">
        <w:t xml:space="preserve">ve stylu </w:t>
      </w:r>
      <w:r w:rsidR="084E30CC" w:rsidRPr="00273106">
        <w:t xml:space="preserve">moderních </w:t>
      </w:r>
      <w:r w:rsidR="084E30CC">
        <w:t xml:space="preserve">logiků a </w:t>
      </w:r>
      <w:r w:rsidR="084E30CC" w:rsidRPr="00C575FC">
        <w:rPr>
          <w:i/>
        </w:rPr>
        <w:t>Nominales</w:t>
      </w:r>
      <w:r w:rsidR="084E30CC" w:rsidRPr="00273106">
        <w:t xml:space="preserve">, ten </w:t>
      </w:r>
      <w:r w:rsidR="084E30CC">
        <w:t xml:space="preserve">se dostane </w:t>
      </w:r>
      <w:r w:rsidR="084E30CC" w:rsidRPr="00273106">
        <w:t>do neřešitelného problému ohledně poznání reálné věci (</w:t>
      </w:r>
      <w:r w:rsidR="084E30CC" w:rsidRPr="00273106">
        <w:rPr>
          <w:i/>
        </w:rPr>
        <w:t>iret res in infinitum</w:t>
      </w:r>
      <w:r w:rsidR="084E30CC" w:rsidRPr="00273106">
        <w:t xml:space="preserve">). </w:t>
      </w:r>
      <w:r w:rsidR="00F513A8" w:rsidRPr="00F513A8">
        <w:t xml:space="preserve">Skutečnost mizí v moderním </w:t>
      </w:r>
      <w:r w:rsidR="00F513A8" w:rsidRPr="00F513A8">
        <w:rPr>
          <w:i/>
        </w:rPr>
        <w:t>colligatio</w:t>
      </w:r>
      <w:r w:rsidR="00F513A8" w:rsidRPr="00F513A8">
        <w:t xml:space="preserve"> a </w:t>
      </w:r>
      <w:r w:rsidR="00F513A8" w:rsidRPr="00F513A8">
        <w:rPr>
          <w:i/>
        </w:rPr>
        <w:t>resolutio</w:t>
      </w:r>
      <w:r w:rsidR="00F513A8" w:rsidRPr="00F513A8">
        <w:t xml:space="preserve">, které </w:t>
      </w:r>
      <w:r w:rsidR="00F513A8">
        <w:t xml:space="preserve">dělí a syntetizuje </w:t>
      </w:r>
      <w:r w:rsidR="00F513A8" w:rsidRPr="00F513A8">
        <w:t>význam</w:t>
      </w:r>
      <w:r w:rsidR="00F513A8">
        <w:t>y v rámci v Porfý</w:t>
      </w:r>
      <w:r w:rsidR="00F513A8" w:rsidRPr="00F513A8">
        <w:t>r</w:t>
      </w:r>
      <w:r w:rsidR="00F513A8">
        <w:t xml:space="preserve">iova </w:t>
      </w:r>
      <w:r w:rsidR="00F513A8" w:rsidRPr="00F513A8">
        <w:lastRenderedPageBreak/>
        <w:t xml:space="preserve">stromu. Nebo dochází k postmoderní metaforizaci provedené prostřednictvím </w:t>
      </w:r>
      <w:r w:rsidR="00F513A8">
        <w:t>„</w:t>
      </w:r>
      <w:r w:rsidR="00F513A8" w:rsidRPr="00F513A8">
        <w:rPr>
          <w:i/>
        </w:rPr>
        <w:t>différance</w:t>
      </w:r>
      <w:r w:rsidR="00F513A8">
        <w:t>“</w:t>
      </w:r>
      <w:r w:rsidR="00F513A8">
        <w:fldChar w:fldCharType="begin"/>
      </w:r>
      <w:r w:rsidR="00F513A8">
        <w:instrText xml:space="preserve"> XE "</w:instrText>
      </w:r>
      <w:r w:rsidR="00F513A8" w:rsidRPr="00D50392">
        <w:instrText>Derrida, J.</w:instrText>
      </w:r>
      <w:r w:rsidR="00F513A8">
        <w:instrText xml:space="preserve">" </w:instrText>
      </w:r>
      <w:r w:rsidR="00F513A8">
        <w:fldChar w:fldCharType="end"/>
      </w:r>
      <w:r w:rsidR="00F513A8" w:rsidRPr="00F513A8">
        <w:t>, která produkuje nekonečné přenosy významů přicházejících odnikud a směřujících nikam.</w:t>
      </w:r>
      <w:r w:rsidR="000B7206">
        <w:t xml:space="preserve"> </w:t>
      </w:r>
      <w:r w:rsidR="00FC31B0" w:rsidRPr="00FC31B0">
        <w:t xml:space="preserve">Poznávací proces </w:t>
      </w:r>
      <w:r w:rsidR="00FC31B0">
        <w:t xml:space="preserve">skupiny zvané </w:t>
      </w:r>
      <w:r w:rsidR="00FC31B0" w:rsidRPr="00FC31B0">
        <w:rPr>
          <w:i/>
        </w:rPr>
        <w:t>Grammatici</w:t>
      </w:r>
      <w:r w:rsidR="00FC31B0" w:rsidRPr="00FC31B0">
        <w:t xml:space="preserve"> a současného postmodernismu se odehrává v zrcadlovém bludišti mytologického intelektu</w:t>
      </w:r>
      <w:r w:rsidR="000B7206">
        <w:t>-slunce</w:t>
      </w:r>
      <w:r w:rsidR="00FC31B0" w:rsidRPr="00FC31B0">
        <w:t>. Takový druh akademiků řídí</w:t>
      </w:r>
      <w:r w:rsidR="00FC31B0">
        <w:t xml:space="preserve"> sofistikovaně vzdělané Fúrie</w:t>
      </w:r>
      <w:r w:rsidR="00BD1CE8">
        <w:t xml:space="preserve"> jako </w:t>
      </w:r>
      <w:r w:rsidR="00E17F00">
        <w:t>spr</w:t>
      </w:r>
      <w:r w:rsidR="00AE709B">
        <w:t>á</w:t>
      </w:r>
      <w:r w:rsidR="00E17F00">
        <w:t xml:space="preserve">vně určené </w:t>
      </w:r>
      <w:r w:rsidR="00BD1CE8">
        <w:t xml:space="preserve">bohyně </w:t>
      </w:r>
      <w:r w:rsidR="00E17F00">
        <w:t xml:space="preserve">filosofické </w:t>
      </w:r>
      <w:r w:rsidR="00BD1CE8">
        <w:t>pomsty</w:t>
      </w:r>
      <w:r w:rsidR="00FC31B0" w:rsidRPr="00FC31B0">
        <w:t>.</w:t>
      </w:r>
      <w:r w:rsidR="00FC31B0">
        <w:t xml:space="preserve"> </w:t>
      </w:r>
      <w:r w:rsidR="084E30CC">
        <w:t xml:space="preserve">Alvernus proti </w:t>
      </w:r>
      <w:r w:rsidR="08792B7C">
        <w:t xml:space="preserve">paranoickým </w:t>
      </w:r>
      <w:r w:rsidR="084E30CC">
        <w:t xml:space="preserve">modernistům argumentuje, že </w:t>
      </w:r>
      <w:r w:rsidR="084E30CC" w:rsidRPr="00273106">
        <w:t xml:space="preserve">„auto“ porretánských gramatiků by nikdy nemohlo být „bílé“, protože jejich </w:t>
      </w:r>
      <w:r w:rsidR="084E30CC">
        <w:t xml:space="preserve">sofistické </w:t>
      </w:r>
      <w:r w:rsidR="084E30CC" w:rsidRPr="0083654C">
        <w:t>individuum</w:t>
      </w:r>
      <w:r w:rsidR="084E30CC" w:rsidRPr="00273106">
        <w:t xml:space="preserve"> nemá nic společného s existencí první substance</w:t>
      </w:r>
      <w:r w:rsidR="08F20D09">
        <w:t xml:space="preserve">. </w:t>
      </w:r>
      <w:r w:rsidR="084E30CC">
        <w:t xml:space="preserve">Běloba existuje v modu </w:t>
      </w:r>
      <w:r w:rsidR="084E30CC" w:rsidRPr="00117BC4">
        <w:rPr>
          <w:i/>
        </w:rPr>
        <w:t>per pr</w:t>
      </w:r>
      <w:r w:rsidR="084E30CC">
        <w:rPr>
          <w:i/>
        </w:rPr>
        <w:t>i</w:t>
      </w:r>
      <w:r w:rsidR="084E30CC" w:rsidRPr="00117BC4">
        <w:rPr>
          <w:i/>
        </w:rPr>
        <w:t>us</w:t>
      </w:r>
      <w:r w:rsidR="084E30CC">
        <w:t xml:space="preserve"> pouze jako součást reálné věci</w:t>
      </w:r>
      <w:r w:rsidR="08800C1B">
        <w:t xml:space="preserve"> a není predikovatelná</w:t>
      </w:r>
      <w:r w:rsidR="084E30CC">
        <w:t xml:space="preserve">. </w:t>
      </w:r>
      <w:r w:rsidR="08F20D09">
        <w:t>Jen reálná věc hyparchicky zakládá všechny významy dané skrze druhou substanci, včetně predikované běloby</w:t>
      </w:r>
      <w:r w:rsidR="00377E44">
        <w:t xml:space="preserve"> jako akcidentu</w:t>
      </w:r>
      <w:r w:rsidR="08F20D09" w:rsidRPr="00273106">
        <w:t xml:space="preserve">. </w:t>
      </w:r>
      <w:r w:rsidR="084E30CC">
        <w:t xml:space="preserve">Vzhledem k této první substanci dané absolutně </w:t>
      </w:r>
      <w:r w:rsidR="084E30CC" w:rsidRPr="00E60C67">
        <w:rPr>
          <w:i/>
        </w:rPr>
        <w:t>simpliciter</w:t>
      </w:r>
      <w:r w:rsidR="084E30CC">
        <w:t xml:space="preserve"> v sobě samé musí probíhat kategoriální predikace tohoto akcidentu vzhledem ke druhé substanci („toto auto je bílé“). Myšlené a predikované „v</w:t>
      </w:r>
      <w:r w:rsidR="084E30CC" w:rsidRPr="00273106">
        <w:t>ěci</w:t>
      </w:r>
      <w:r w:rsidR="084E30CC">
        <w:t>“</w:t>
      </w:r>
      <w:r w:rsidR="084E30CC" w:rsidRPr="00273106">
        <w:t xml:space="preserve"> </w:t>
      </w:r>
      <w:r w:rsidR="084E30CC">
        <w:t xml:space="preserve">jako významy </w:t>
      </w:r>
      <w:r w:rsidR="08B06F6D">
        <w:t>existují</w:t>
      </w:r>
      <w:r w:rsidR="08ED0A99">
        <w:t xml:space="preserve"> pouze </w:t>
      </w:r>
      <w:r w:rsidR="084E30CC">
        <w:t>v</w:t>
      </w:r>
      <w:r w:rsidR="08B06F6D">
        <w:t> </w:t>
      </w:r>
      <w:r w:rsidR="084E30CC">
        <w:t>mysli</w:t>
      </w:r>
      <w:r w:rsidR="08B06F6D">
        <w:t>. Mají-li být metafyzicky pravdivé v modu adekvace, pak musí tyto univerzálie obsahovat</w:t>
      </w:r>
      <w:r w:rsidR="084E30CC">
        <w:t xml:space="preserve"> </w:t>
      </w:r>
      <w:r w:rsidR="08B06F6D">
        <w:t>impozici</w:t>
      </w:r>
      <w:r w:rsidR="08C32D7B">
        <w:t xml:space="preserve"> </w:t>
      </w:r>
      <w:r w:rsidR="08B06F6D">
        <w:t xml:space="preserve">danou </w:t>
      </w:r>
      <w:r w:rsidR="08C32D7B">
        <w:t>vzhled</w:t>
      </w:r>
      <w:r w:rsidR="085E458C">
        <w:t>em</w:t>
      </w:r>
      <w:r w:rsidR="08C32D7B">
        <w:t xml:space="preserve"> k hyparchické realitě</w:t>
      </w:r>
      <w:r w:rsidR="08B06F6D">
        <w:t>. S</w:t>
      </w:r>
      <w:r w:rsidR="08ED0A99">
        <w:t xml:space="preserve">upozice Gramatiků </w:t>
      </w:r>
      <w:r w:rsidR="084E30CC" w:rsidRPr="00273106">
        <w:t>nem</w:t>
      </w:r>
      <w:r w:rsidR="08ED0A99">
        <w:t>á</w:t>
      </w:r>
      <w:r w:rsidR="084E30CC" w:rsidRPr="00273106">
        <w:t xml:space="preserve"> </w:t>
      </w:r>
      <w:r w:rsidR="085E458C">
        <w:t xml:space="preserve">kategoriální univocitu, </w:t>
      </w:r>
      <w:r w:rsidR="084E30CC" w:rsidRPr="00273106">
        <w:t xml:space="preserve">protože ta je podle Aristotela predikována pouze </w:t>
      </w:r>
      <w:r w:rsidR="08377488">
        <w:t>skrze druhou</w:t>
      </w:r>
      <w:r w:rsidR="084E30CC">
        <w:t xml:space="preserve"> </w:t>
      </w:r>
      <w:r w:rsidR="084E30CC" w:rsidRPr="00273106">
        <w:t xml:space="preserve">substanci. </w:t>
      </w:r>
      <w:r w:rsidR="086E2BFA">
        <w:t xml:space="preserve">Znovu platí zásadní danost </w:t>
      </w:r>
      <w:r w:rsidR="082A724F">
        <w:t xml:space="preserve">metafyzického </w:t>
      </w:r>
      <w:r w:rsidR="086E2BFA">
        <w:t>dativu</w:t>
      </w:r>
      <w:r w:rsidR="086E2BFA">
        <w:fldChar w:fldCharType="begin"/>
      </w:r>
      <w:r w:rsidR="086E2BFA">
        <w:instrText xml:space="preserve"> XE "</w:instrText>
      </w:r>
      <w:r w:rsidR="082A724F">
        <w:rPr>
          <w:i/>
        </w:rPr>
        <w:instrText>dativus metaphysi</w:instrText>
      </w:r>
      <w:r w:rsidR="086E2BFA" w:rsidRPr="086E2BFA">
        <w:rPr>
          <w:i/>
        </w:rPr>
        <w:instrText>cus</w:instrText>
      </w:r>
      <w:r w:rsidR="086E2BFA">
        <w:instrText xml:space="preserve">" </w:instrText>
      </w:r>
      <w:r w:rsidR="086E2BFA">
        <w:fldChar w:fldCharType="end"/>
      </w:r>
      <w:r w:rsidR="086E2BFA">
        <w:t xml:space="preserve">. </w:t>
      </w:r>
      <w:r w:rsidR="084E30CC" w:rsidRPr="00273106">
        <w:t xml:space="preserve">Bez akcidentálních vlastností </w:t>
      </w:r>
      <w:r w:rsidR="084E30CC">
        <w:t xml:space="preserve">intelektuálně </w:t>
      </w:r>
      <w:r w:rsidR="084E30CC" w:rsidRPr="00273106">
        <w:t xml:space="preserve">abstrahovaných skrze smyslové </w:t>
      </w:r>
      <w:r w:rsidR="084312B2">
        <w:t>poznání nejsme schopni poznat, co</w:t>
      </w:r>
      <w:r w:rsidR="084E30CC" w:rsidRPr="00273106">
        <w:t xml:space="preserve"> věc je sa</w:t>
      </w:r>
      <w:r w:rsidR="084E30CC">
        <w:t xml:space="preserve">ma o sobě jako první substance. </w:t>
      </w:r>
      <w:r w:rsidR="084312B2">
        <w:t>Její vlastní danost stojí v minulostním modu mimo naše poznání</w:t>
      </w:r>
      <w:r w:rsidR="081B08EC">
        <w:t xml:space="preserve">. Do naší duše </w:t>
      </w:r>
      <w:r w:rsidR="084312B2">
        <w:t xml:space="preserve">vstupuje pouze akt donace jejího smyslu daný skrze univerzální signifikaci. </w:t>
      </w:r>
      <w:r w:rsidR="084E30CC">
        <w:t xml:space="preserve">Proto znalost </w:t>
      </w:r>
      <w:r w:rsidR="084E30CC" w:rsidRPr="00846141">
        <w:rPr>
          <w:i/>
        </w:rPr>
        <w:t>Kategorií</w:t>
      </w:r>
      <w:r w:rsidR="084E30CC">
        <w:t xml:space="preserve"> a </w:t>
      </w:r>
      <w:r w:rsidR="084E30CC" w:rsidRPr="00C67AD7">
        <w:rPr>
          <w:i/>
        </w:rPr>
        <w:t>De interpretatione</w:t>
      </w:r>
      <w:r w:rsidR="084E30CC">
        <w:t xml:space="preserve"> předpokládá znalost pravdivého průběhu poznání podle </w:t>
      </w:r>
      <w:r w:rsidR="084E30CC" w:rsidRPr="00C67AD7">
        <w:rPr>
          <w:i/>
        </w:rPr>
        <w:t>De anima</w:t>
      </w:r>
      <w:r w:rsidR="084E30CC">
        <w:t>.</w:t>
      </w:r>
      <w:r w:rsidR="084E30CC" w:rsidRPr="00A5565E">
        <w:t xml:space="preserve"> </w:t>
      </w:r>
      <w:r w:rsidR="084E30CC">
        <w:t xml:space="preserve">Latinští sofisté </w:t>
      </w:r>
      <w:r w:rsidR="084E30CC" w:rsidRPr="00273106">
        <w:t>zrušili hyparchickou signifikaci danou v řádu ka</w:t>
      </w:r>
      <w:r w:rsidR="080D13A7">
        <w:t>tegoriální výpovědi. Pro Aristotela platí že a</w:t>
      </w:r>
      <w:r w:rsidR="084E30CC" w:rsidRPr="00273106">
        <w:t xml:space="preserve">bsolutní danost jednoduché a aktuální první substance determinuje určení druhé substance </w:t>
      </w:r>
      <w:r w:rsidR="084E30CC">
        <w:t xml:space="preserve">v modu impozice dané </w:t>
      </w:r>
      <w:r w:rsidR="084E30CC" w:rsidRPr="00DC787A">
        <w:rPr>
          <w:i/>
        </w:rPr>
        <w:t>per prius</w:t>
      </w:r>
      <w:r w:rsidR="084E30CC">
        <w:rPr>
          <w:i/>
        </w:rPr>
        <w:fldChar w:fldCharType="begin"/>
      </w:r>
      <w:r w:rsidR="084E30CC">
        <w:instrText xml:space="preserve"> XE "predikace:</w:instrText>
      </w:r>
      <w:r w:rsidR="084E30CC" w:rsidRPr="00E0059F">
        <w:rPr>
          <w:i/>
        </w:rPr>
        <w:instrText>per prius</w:instrText>
      </w:r>
      <w:r w:rsidR="084E30CC">
        <w:instrText xml:space="preserve">" </w:instrText>
      </w:r>
      <w:r w:rsidR="084E30CC">
        <w:rPr>
          <w:i/>
        </w:rPr>
        <w:fldChar w:fldCharType="end"/>
      </w:r>
      <w:r w:rsidR="084E30CC" w:rsidRPr="00273106">
        <w:t>.</w:t>
      </w:r>
      <w:r w:rsidR="084E30CC">
        <w:t xml:space="preserve"> </w:t>
      </w:r>
      <w:r w:rsidR="08F3418C" w:rsidRPr="00273106">
        <w:t>První averroismus v návaznosti na Abelarda ví, že reálná substance určuje myšlení, a ne naopak.</w:t>
      </w:r>
      <w:r w:rsidR="08F3418C" w:rsidRPr="00273106">
        <w:rPr>
          <w:rStyle w:val="Znakapoznpodarou"/>
        </w:rPr>
        <w:footnoteReference w:id="195"/>
      </w:r>
      <w:r w:rsidR="08F3418C" w:rsidRPr="00273106">
        <w:t xml:space="preserve"> </w:t>
      </w:r>
      <w:r w:rsidR="08C22E0E">
        <w:t xml:space="preserve">Kritika </w:t>
      </w:r>
      <w:r w:rsidR="085D14DF">
        <w:t xml:space="preserve">prvního averroismu </w:t>
      </w:r>
      <w:r w:rsidR="00AC0063">
        <w:t xml:space="preserve">se týká predikace prováděné moderními ilumináty. Alvernus </w:t>
      </w:r>
      <w:r w:rsidR="085278EC">
        <w:t xml:space="preserve">dosvědčuje </w:t>
      </w:r>
      <w:r w:rsidR="08C22E0E">
        <w:t xml:space="preserve">moderní paranoiu </w:t>
      </w:r>
      <w:r w:rsidR="080A2EE2">
        <w:t xml:space="preserve">iluminátů </w:t>
      </w:r>
      <w:r w:rsidR="08C22E0E">
        <w:t xml:space="preserve">danou skrze </w:t>
      </w:r>
      <w:r w:rsidR="080A2EE2">
        <w:t xml:space="preserve">jejich zvrácenou </w:t>
      </w:r>
      <w:r w:rsidR="08C22E0E">
        <w:t xml:space="preserve">formu </w:t>
      </w:r>
      <w:r w:rsidR="00AC0063">
        <w:t>parusie</w:t>
      </w:r>
      <w:r w:rsidR="08C22E0E">
        <w:t xml:space="preserve">. </w:t>
      </w:r>
      <w:r w:rsidR="000F2214">
        <w:t>S</w:t>
      </w:r>
      <w:r w:rsidR="08C22E0E">
        <w:t>mysl</w:t>
      </w:r>
      <w:r w:rsidR="085278EC">
        <w:t xml:space="preserve"> slova </w:t>
      </w:r>
      <w:r w:rsidR="08C22E0E">
        <w:t xml:space="preserve">existuje </w:t>
      </w:r>
      <w:r w:rsidR="085278EC">
        <w:t>jen v</w:t>
      </w:r>
      <w:r w:rsidR="000F2214">
        <w:t xml:space="preserve"> jejich </w:t>
      </w:r>
      <w:r w:rsidR="085278EC">
        <w:t xml:space="preserve">mysli a </w:t>
      </w:r>
      <w:r w:rsidR="08A826E9">
        <w:t xml:space="preserve">je produkován </w:t>
      </w:r>
      <w:r w:rsidR="000F2214">
        <w:t>skrze jejich mytopoetiku</w:t>
      </w:r>
      <w:r w:rsidR="008D0BB4">
        <w:t xml:space="preserve">. To byl případ Avicenny jako první západního modernisty </w:t>
      </w:r>
      <w:r w:rsidR="008D0BB4" w:rsidRPr="00DC6664">
        <w:rPr>
          <w:szCs w:val="24"/>
        </w:rPr>
        <w:t>(</w:t>
      </w:r>
      <w:r w:rsidR="008D0BB4" w:rsidRPr="00DC6664">
        <w:rPr>
          <w:i/>
          <w:szCs w:val="24"/>
        </w:rPr>
        <w:t>quasi a se</w:t>
      </w:r>
      <w:r w:rsidR="008D0BB4">
        <w:rPr>
          <w:szCs w:val="24"/>
        </w:rPr>
        <w:t>; OBJ I, Kap. 2.5)</w:t>
      </w:r>
      <w:r w:rsidR="00E62334">
        <w:t>.</w:t>
      </w:r>
    </w:p>
    <w:p w14:paraId="5EE0E874" w14:textId="77777777" w:rsidR="009D2F25" w:rsidRDefault="085278EC" w:rsidP="00E62334">
      <w:pPr>
        <w:ind w:firstLine="397"/>
      </w:pPr>
      <w:r>
        <w:lastRenderedPageBreak/>
        <w:t>Alvernus dá</w:t>
      </w:r>
      <w:r w:rsidR="084E30CC" w:rsidRPr="00273106">
        <w:t xml:space="preserve">vá inherenci akcidentu v substanci aristotelský význam podle kanonického textu </w:t>
      </w:r>
      <w:r w:rsidR="084E30CC" w:rsidRPr="00273106">
        <w:rPr>
          <w:i/>
        </w:rPr>
        <w:t>De Interpretatione</w:t>
      </w:r>
      <w:r w:rsidR="084E30CC" w:rsidRPr="00273106">
        <w:t xml:space="preserve"> 16a3–8</w:t>
      </w:r>
      <w:r w:rsidR="084E30CC">
        <w:fldChar w:fldCharType="begin"/>
      </w:r>
      <w:r w:rsidR="084E30CC">
        <w:instrText xml:space="preserve"> XE "Aristoteles:</w:instrText>
      </w:r>
      <w:r w:rsidR="084E30CC" w:rsidRPr="00BB6D3B">
        <w:rPr>
          <w:i/>
        </w:rPr>
        <w:instrText>De Int</w:instrText>
      </w:r>
      <w:r w:rsidR="08792681">
        <w:rPr>
          <w:i/>
        </w:rPr>
        <w:instrText>erpretatione</w:instrText>
      </w:r>
      <w:r w:rsidR="084E30CC">
        <w:rPr>
          <w:i/>
        </w:rPr>
        <w:instrText xml:space="preserve"> </w:instrText>
      </w:r>
      <w:r w:rsidR="084E30CC" w:rsidRPr="00BB6D3B">
        <w:instrText>16a3–8</w:instrText>
      </w:r>
      <w:r w:rsidR="084E30CC">
        <w:instrText xml:space="preserve">" </w:instrText>
      </w:r>
      <w:r w:rsidR="084E30CC">
        <w:fldChar w:fldCharType="end"/>
      </w:r>
      <w:r w:rsidR="084E30CC" w:rsidRPr="00273106">
        <w:t xml:space="preserve">, </w:t>
      </w:r>
    </w:p>
    <w:p w14:paraId="17715BF5" w14:textId="77777777" w:rsidR="009D2F25" w:rsidRDefault="009D2F25" w:rsidP="00E62334">
      <w:pPr>
        <w:ind w:firstLine="397"/>
      </w:pPr>
    </w:p>
    <w:p w14:paraId="0935F25B" w14:textId="75429C41" w:rsidR="008E6B44" w:rsidRDefault="084E30CC" w:rsidP="00E62334">
      <w:pPr>
        <w:ind w:firstLine="397"/>
      </w:pPr>
      <w:r w:rsidRPr="00273106">
        <w:t>který jsme komentovali</w:t>
      </w:r>
      <w:r w:rsidR="08F3418C">
        <w:t xml:space="preserve"> (kap. 1</w:t>
      </w:r>
      <w:r>
        <w:t>.1)</w:t>
      </w:r>
      <w:r w:rsidRPr="00273106">
        <w:t xml:space="preserve">. Kritika nových sofistů </w:t>
      </w:r>
      <w:r w:rsidR="083F199F">
        <w:t xml:space="preserve">je doplněna </w:t>
      </w:r>
      <w:r w:rsidRPr="00273106">
        <w:t>odmítnutí</w:t>
      </w:r>
      <w:r w:rsidR="083F199F">
        <w:t>m</w:t>
      </w:r>
      <w:r w:rsidRPr="00273106">
        <w:t xml:space="preserve"> </w:t>
      </w:r>
      <w:r w:rsidR="08DA3672">
        <w:t>logických škol</w:t>
      </w:r>
      <w:r w:rsidRPr="00273106">
        <w:t xml:space="preserve"> </w:t>
      </w:r>
      <w:r w:rsidRPr="00273106">
        <w:rPr>
          <w:i/>
        </w:rPr>
        <w:t>Nominales</w:t>
      </w:r>
      <w:r w:rsidR="083F199F">
        <w:t xml:space="preserve">. </w:t>
      </w:r>
      <w:r w:rsidR="08436469">
        <w:t>Tehdejší „</w:t>
      </w:r>
      <w:r w:rsidR="083F199F">
        <w:t>Gramatikové</w:t>
      </w:r>
      <w:r w:rsidR="08436469">
        <w:t>“</w:t>
      </w:r>
      <w:r w:rsidR="083F199F">
        <w:t xml:space="preserve"> tvoří další skupinu mimo školu </w:t>
      </w:r>
      <w:r w:rsidRPr="00273106">
        <w:rPr>
          <w:i/>
        </w:rPr>
        <w:t>sophistae Italici</w:t>
      </w:r>
      <w:r>
        <w:rPr>
          <w:i/>
        </w:rPr>
        <w:fldChar w:fldCharType="begin"/>
      </w:r>
      <w:r>
        <w:instrText xml:space="preserve"> XE "druhý averroismus:</w:instrText>
      </w:r>
      <w:r w:rsidRPr="00DD7783">
        <w:rPr>
          <w:i/>
        </w:rPr>
        <w:instrText>sophistae Italici</w:instrText>
      </w:r>
      <w:r>
        <w:instrText xml:space="preserve">" </w:instrText>
      </w:r>
      <w:r>
        <w:rPr>
          <w:i/>
        </w:rPr>
        <w:fldChar w:fldCharType="end"/>
      </w:r>
      <w:r w:rsidR="083F199F">
        <w:t>, která má chybný pojem poznání</w:t>
      </w:r>
      <w:r w:rsidR="081160D5">
        <w:t xml:space="preserve"> daný nasvícením zezadu</w:t>
      </w:r>
      <w:r w:rsidR="083F199F">
        <w:t xml:space="preserve">. </w:t>
      </w:r>
      <w:r w:rsidR="081D2F78">
        <w:t xml:space="preserve">Co je pravdivé v matematice a logice, to není </w:t>
      </w:r>
      <w:r w:rsidR="080514F5">
        <w:t xml:space="preserve">nutně </w:t>
      </w:r>
      <w:r w:rsidR="081D2F78">
        <w:t xml:space="preserve">pravdivé </w:t>
      </w:r>
      <w:r w:rsidR="080514F5">
        <w:t xml:space="preserve">i </w:t>
      </w:r>
      <w:r w:rsidR="081D2F78">
        <w:t xml:space="preserve">v metafyzice. </w:t>
      </w:r>
      <w:r w:rsidR="080514F5">
        <w:t>Logická nutnost má základ v mysli a metafyzická nutnost je daná hyparchickým vztahem k</w:t>
      </w:r>
      <w:r w:rsidR="08C931D8">
        <w:t> </w:t>
      </w:r>
      <w:r w:rsidR="080514F5">
        <w:t>realitě</w:t>
      </w:r>
      <w:r w:rsidR="08C931D8">
        <w:t xml:space="preserve">, </w:t>
      </w:r>
      <w:r w:rsidR="00862042">
        <w:t xml:space="preserve">protože sleduje </w:t>
      </w:r>
      <w:r w:rsidR="082A724F">
        <w:t xml:space="preserve">metafyzický </w:t>
      </w:r>
      <w:r w:rsidR="08C931D8">
        <w:t>dativ</w:t>
      </w:r>
      <w:r w:rsidR="080514F5">
        <w:t xml:space="preserve">. </w:t>
      </w:r>
      <w:r w:rsidR="081160D5">
        <w:t xml:space="preserve">Kritiku Gramatiků </w:t>
      </w:r>
      <w:r w:rsidR="082E14B1">
        <w:t>již př</w:t>
      </w:r>
      <w:r w:rsidR="081160D5">
        <w:t xml:space="preserve">ed Alvernem provedl Grosseteste v prvním </w:t>
      </w:r>
      <w:r w:rsidR="082E14B1">
        <w:t xml:space="preserve">traktátu </w:t>
      </w:r>
      <w:r w:rsidR="081160D5">
        <w:t>k</w:t>
      </w:r>
      <w:r w:rsidR="082E14B1">
        <w:t xml:space="preserve"> </w:t>
      </w:r>
      <w:r w:rsidR="081160D5" w:rsidRPr="081160D5">
        <w:rPr>
          <w:i/>
        </w:rPr>
        <w:t>De anima</w:t>
      </w:r>
      <w:r w:rsidR="08485C60">
        <w:t xml:space="preserve"> (kap. 2</w:t>
      </w:r>
      <w:r w:rsidR="081160D5">
        <w:t xml:space="preserve">.2.1). </w:t>
      </w:r>
      <w:r w:rsidR="082E14B1">
        <w:t>T</w:t>
      </w:r>
      <w:r w:rsidR="08793C51">
        <w:t>ehde</w:t>
      </w:r>
      <w:r w:rsidR="08903CDE">
        <w:t>jší G</w:t>
      </w:r>
      <w:r w:rsidR="08793C51">
        <w:t xml:space="preserve">ramatikové a dnešní </w:t>
      </w:r>
      <w:r w:rsidR="08591FE7">
        <w:t xml:space="preserve">nominalističtí analytikové jazyka ozářeni mytopoetickou parousií slova </w:t>
      </w:r>
      <w:r w:rsidR="08793C51">
        <w:t xml:space="preserve">jako porretánského jsoucna třetího druhu </w:t>
      </w:r>
      <w:r w:rsidR="005A6C16">
        <w:t xml:space="preserve">nerozlišují mezi esenciální </w:t>
      </w:r>
      <w:r w:rsidR="088C4AD6">
        <w:t xml:space="preserve">logickou </w:t>
      </w:r>
      <w:r w:rsidR="005A6C16">
        <w:t xml:space="preserve">predikací v modu hypostázované supozice (Avicenna, porretáni, </w:t>
      </w:r>
      <w:r w:rsidR="005A6C16" w:rsidRPr="005A6C16">
        <w:rPr>
          <w:i/>
        </w:rPr>
        <w:t>logica Modernorum</w:t>
      </w:r>
      <w:r w:rsidR="005A6C16">
        <w:t xml:space="preserve">, Toledská škola, druhý averroismus) a mezi </w:t>
      </w:r>
      <w:r w:rsidR="088C4AD6">
        <w:t xml:space="preserve">metafyzickou </w:t>
      </w:r>
      <w:r w:rsidR="0893496F">
        <w:t xml:space="preserve">hyparchickou </w:t>
      </w:r>
      <w:r w:rsidR="005A6C16">
        <w:t xml:space="preserve">predikací, kdy je predikát akcidentem </w:t>
      </w:r>
      <w:r w:rsidR="088C4AD6">
        <w:t xml:space="preserve">impozičně predikované </w:t>
      </w:r>
      <w:r w:rsidR="005A6C16">
        <w:t xml:space="preserve">druhé substance (Boethius, </w:t>
      </w:r>
      <w:r w:rsidR="00CB3E4F">
        <w:t>Abélard</w:t>
      </w:r>
      <w:r w:rsidR="005A6C16">
        <w:t xml:space="preserve">, </w:t>
      </w:r>
      <w:r w:rsidR="005A6C16" w:rsidRPr="005A6C16">
        <w:rPr>
          <w:i/>
        </w:rPr>
        <w:t>logica Vetus</w:t>
      </w:r>
      <w:r w:rsidR="08000411">
        <w:rPr>
          <w:i/>
        </w:rPr>
        <w:fldChar w:fldCharType="begin"/>
      </w:r>
      <w:r w:rsidR="08000411">
        <w:instrText xml:space="preserve"> XE "</w:instrText>
      </w:r>
      <w:r w:rsidR="08000411" w:rsidRPr="007C256F">
        <w:rPr>
          <w:i/>
        </w:rPr>
        <w:instrText>logica Vetus</w:instrText>
      </w:r>
      <w:r w:rsidR="08000411">
        <w:instrText xml:space="preserve">" </w:instrText>
      </w:r>
      <w:r w:rsidR="08000411">
        <w:rPr>
          <w:i/>
        </w:rPr>
        <w:fldChar w:fldCharType="end"/>
      </w:r>
      <w:r w:rsidR="005A6C16">
        <w:t xml:space="preserve">, Blundova škola, první averroismus). </w:t>
      </w:r>
      <w:r w:rsidR="08F47F14">
        <w:t xml:space="preserve">Alvernus po vzoru Abelarda upozorňuje sofistické porretány z oxfordských a pařížských škol </w:t>
      </w:r>
      <w:r w:rsidR="08F47F14" w:rsidRPr="00EA773E">
        <w:rPr>
          <w:i/>
        </w:rPr>
        <w:t>logica Modernorum</w:t>
      </w:r>
      <w:r w:rsidR="08F47F14">
        <w:t xml:space="preserve">, že </w:t>
      </w:r>
      <w:r w:rsidR="08A43450">
        <w:t xml:space="preserve">kategoriální </w:t>
      </w:r>
      <w:r w:rsidR="08F47F14">
        <w:t xml:space="preserve">predikace </w:t>
      </w:r>
      <w:r w:rsidR="08A43450">
        <w:t xml:space="preserve">typu </w:t>
      </w:r>
      <w:r w:rsidR="08F47F14">
        <w:t>„</w:t>
      </w:r>
      <w:r w:rsidR="003D7BF6">
        <w:t xml:space="preserve">toto </w:t>
      </w:r>
      <w:r w:rsidR="08F47F14">
        <w:t>auto</w:t>
      </w:r>
      <w:r w:rsidR="003D7BF6">
        <w:t xml:space="preserve"> je bílé</w:t>
      </w:r>
      <w:r w:rsidR="08F47F14">
        <w:t>“ je odvozená od reálného bílého auta</w:t>
      </w:r>
      <w:r w:rsidR="00BB3EF1">
        <w:t>. V žádném případě to není složenina</w:t>
      </w:r>
      <w:r w:rsidR="08F47F14">
        <w:t xml:space="preserve"> substanční „autovosti“ a hypostázované „bělosti“, které se dají dohromady formou porretánské kolekce</w:t>
      </w:r>
      <w:r w:rsidR="00D510EA">
        <w:t xml:space="preserve"> založe</w:t>
      </w:r>
      <w:r w:rsidR="08B65891">
        <w:t>né na mytopoetické kopulaci nominálně určených hypostází</w:t>
      </w:r>
      <w:r w:rsidR="08F47F14">
        <w:t xml:space="preserve">. Supozice gramatiků je daná pouze v řádu ekvivočního </w:t>
      </w:r>
      <w:r w:rsidR="08F47F14" w:rsidRPr="004A5097">
        <w:rPr>
          <w:i/>
        </w:rPr>
        <w:t>significatio</w:t>
      </w:r>
      <w:r w:rsidR="08F47F14">
        <w:t xml:space="preserve">. Proto Alvernus tyto latinské sofisty upozorňuje, že podle Aristotela je kategoriálně daná až impozice v řádu univočního </w:t>
      </w:r>
      <w:r w:rsidR="08F47F14" w:rsidRPr="004A5097">
        <w:rPr>
          <w:i/>
        </w:rPr>
        <w:t>enuntiatio</w:t>
      </w:r>
      <w:r w:rsidR="08F47F14">
        <w:rPr>
          <w:i/>
        </w:rPr>
        <w:fldChar w:fldCharType="begin"/>
      </w:r>
      <w:r w:rsidR="08F47F14">
        <w:instrText xml:space="preserve"> XE "</w:instrText>
      </w:r>
      <w:r w:rsidR="08F47F14" w:rsidRPr="0038128E">
        <w:rPr>
          <w:i/>
        </w:rPr>
        <w:instrText>enuntiatio:</w:instrText>
      </w:r>
      <w:r w:rsidR="08F47F14" w:rsidRPr="0038128E">
        <w:instrText>Abelard</w:instrText>
      </w:r>
      <w:r w:rsidR="08F47F14">
        <w:instrText xml:space="preserve">" </w:instrText>
      </w:r>
      <w:r w:rsidR="08F47F14">
        <w:rPr>
          <w:i/>
        </w:rPr>
        <w:fldChar w:fldCharType="end"/>
      </w:r>
      <w:r w:rsidR="08F47F14">
        <w:t>. Mrtvola není Sokrates z hlediska kategoriální predikace dané impozicí od první substance</w:t>
      </w:r>
      <w:r w:rsidR="08F47F14">
        <w:rPr>
          <w:i/>
        </w:rPr>
        <w:fldChar w:fldCharType="begin"/>
      </w:r>
      <w:r w:rsidR="08F47F14">
        <w:instrText xml:space="preserve"> XE "sofisma člověk-mrtvola" </w:instrText>
      </w:r>
      <w:r w:rsidR="08F47F14">
        <w:rPr>
          <w:i/>
        </w:rPr>
        <w:fldChar w:fldCharType="end"/>
      </w:r>
      <w:r w:rsidR="08F47F14" w:rsidRPr="00CD0E06">
        <w:t xml:space="preserve">. </w:t>
      </w:r>
      <w:r w:rsidR="08F47F14">
        <w:t xml:space="preserve">Výrok „tato mrtvola je Sokrates“ je pouhá supozice v rámci homonymie a nominální predikace. Pouze impozice „bytí Sokrata“ jako druhé substance směrem od reálné osoby zakládá význam v rámci akcidentálních synkategoremat daných přítomnými nebo minulými tvary slovesa „být“ ve smyslu „existovat jako bytí první substance“. </w:t>
      </w:r>
      <w:r w:rsidR="00EA773E">
        <w:t xml:space="preserve">Znovu je vidět </w:t>
      </w:r>
      <w:r w:rsidR="082A0872">
        <w:t xml:space="preserve">základní </w:t>
      </w:r>
      <w:r w:rsidR="00EA773E">
        <w:t xml:space="preserve">rozdíl mezi metafyzickou a logickou abstrakcí, </w:t>
      </w:r>
      <w:r w:rsidR="08D30EB1">
        <w:t xml:space="preserve">kterou </w:t>
      </w:r>
      <w:r w:rsidR="087834D5">
        <w:t xml:space="preserve">nekritická </w:t>
      </w:r>
      <w:r w:rsidR="08D30EB1">
        <w:t>moderna zcela pominula</w:t>
      </w:r>
      <w:r w:rsidR="087834D5">
        <w:t xml:space="preserve"> už od Abelarda</w:t>
      </w:r>
      <w:r w:rsidR="08D30EB1">
        <w:t xml:space="preserve">. Grossetesteho výklad v rámci první verze </w:t>
      </w:r>
      <w:r w:rsidR="08D30EB1" w:rsidRPr="00FC6915">
        <w:rPr>
          <w:i/>
        </w:rPr>
        <w:t>Oxfordian Fallacy</w:t>
      </w:r>
      <w:r w:rsidR="08D30EB1">
        <w:t xml:space="preserve"> zavedl </w:t>
      </w:r>
      <w:r w:rsidR="00FC6915">
        <w:t xml:space="preserve">tento základní </w:t>
      </w:r>
      <w:r w:rsidR="00FC6915" w:rsidRPr="00FC6915">
        <w:rPr>
          <w:i/>
        </w:rPr>
        <w:t>Irrtum</w:t>
      </w:r>
      <w:r w:rsidR="00FC6915">
        <w:t xml:space="preserve"> moderny </w:t>
      </w:r>
      <w:r w:rsidR="083E0ED3">
        <w:t xml:space="preserve">roku </w:t>
      </w:r>
      <w:r w:rsidR="00FC6915">
        <w:t xml:space="preserve">1230 </w:t>
      </w:r>
      <w:r w:rsidR="00EA773E">
        <w:t>do ana</w:t>
      </w:r>
      <w:r w:rsidR="00675381">
        <w:t>l</w:t>
      </w:r>
      <w:r w:rsidR="00EA773E">
        <w:t>y</w:t>
      </w:r>
      <w:r w:rsidR="00675381">
        <w:t xml:space="preserve">tického výkladu </w:t>
      </w:r>
      <w:r w:rsidR="00675381" w:rsidRPr="00675381">
        <w:rPr>
          <w:i/>
        </w:rPr>
        <w:t>Druhých analytik</w:t>
      </w:r>
      <w:r w:rsidR="00675381">
        <w:t xml:space="preserve"> </w:t>
      </w:r>
      <w:r w:rsidR="083E0ED3">
        <w:t>a vytvořil první</w:t>
      </w:r>
      <w:r w:rsidR="08416CFD">
        <w:t xml:space="preserve"> </w:t>
      </w:r>
      <w:r w:rsidR="08416CFD">
        <w:lastRenderedPageBreak/>
        <w:t>analytické (tj. podle Alverna gramatické</w:t>
      </w:r>
      <w:r w:rsidR="083E0ED3">
        <w:t xml:space="preserve">) pojetí moderní vědy </w:t>
      </w:r>
      <w:r w:rsidR="08485C60">
        <w:t>(kap. 3</w:t>
      </w:r>
      <w:r w:rsidR="00FC6915">
        <w:t xml:space="preserve">.1.1). </w:t>
      </w:r>
      <w:r w:rsidR="00E7746C">
        <w:t>Alvern</w:t>
      </w:r>
      <w:r w:rsidR="08F03CF7">
        <w:t xml:space="preserve">us </w:t>
      </w:r>
      <w:r w:rsidR="00E7746C">
        <w:t>demaskoval s</w:t>
      </w:r>
      <w:r w:rsidR="00E7746C" w:rsidRPr="00273106">
        <w:t xml:space="preserve">ofistiku </w:t>
      </w:r>
      <w:r w:rsidR="081B3261">
        <w:t xml:space="preserve">školy zvané </w:t>
      </w:r>
      <w:r w:rsidR="00E7746C" w:rsidRPr="081B3261">
        <w:rPr>
          <w:i/>
        </w:rPr>
        <w:t>Gram</w:t>
      </w:r>
      <w:r w:rsidR="081B3261" w:rsidRPr="081B3261">
        <w:rPr>
          <w:i/>
        </w:rPr>
        <w:t>matici</w:t>
      </w:r>
      <w:r w:rsidR="081B3261">
        <w:t xml:space="preserve"> </w:t>
      </w:r>
      <w:r w:rsidR="00E7746C">
        <w:t xml:space="preserve">a ukázal na původní </w:t>
      </w:r>
      <w:r w:rsidR="00E7746C" w:rsidRPr="001516CF">
        <w:rPr>
          <w:i/>
        </w:rPr>
        <w:t>Lichtung</w:t>
      </w:r>
      <w:r w:rsidR="005F7DD7">
        <w:rPr>
          <w:i/>
        </w:rPr>
        <w:fldChar w:fldCharType="begin"/>
      </w:r>
      <w:r w:rsidR="005F7DD7">
        <w:instrText xml:space="preserve"> XE "</w:instrText>
      </w:r>
      <w:r w:rsidR="005F7DD7" w:rsidRPr="00CB22F7">
        <w:rPr>
          <w:i/>
        </w:rPr>
        <w:instrText>Lichtung</w:instrText>
      </w:r>
      <w:r w:rsidR="005F7DD7">
        <w:rPr>
          <w:i/>
        </w:rPr>
        <w:instrText>:</w:instrText>
      </w:r>
      <w:r w:rsidR="005F7DD7" w:rsidRPr="081E3FF1">
        <w:instrText>analytická filosofie</w:instrText>
      </w:r>
      <w:r w:rsidR="005F7DD7">
        <w:instrText xml:space="preserve">" </w:instrText>
      </w:r>
      <w:r w:rsidR="005F7DD7">
        <w:rPr>
          <w:i/>
        </w:rPr>
        <w:fldChar w:fldCharType="end"/>
      </w:r>
      <w:r w:rsidR="00E7746C">
        <w:t xml:space="preserve">  </w:t>
      </w:r>
      <w:r w:rsidR="08F03CF7">
        <w:t xml:space="preserve">pravdy nepravdy </w:t>
      </w:r>
      <w:r w:rsidR="00E7746C">
        <w:t>analytické filosofie jazyka</w:t>
      </w:r>
      <w:r w:rsidR="00863738">
        <w:t xml:space="preserve">. </w:t>
      </w:r>
      <w:r w:rsidR="00863738" w:rsidRPr="00863738">
        <w:t xml:space="preserve">Pravdivé výroky o budoucích událostech nejsou vůbec možné, protože podle </w:t>
      </w:r>
      <w:r w:rsidR="00863738" w:rsidRPr="00863738">
        <w:rPr>
          <w:i/>
        </w:rPr>
        <w:t>De interpretatione</w:t>
      </w:r>
      <w:r w:rsidR="00863738" w:rsidRPr="00863738">
        <w:t xml:space="preserve"> nelze o budoucí námořní bitvě nic kategoricky</w:t>
      </w:r>
      <w:r w:rsidR="00863738">
        <w:t xml:space="preserve"> říci, protože neexistuje žádná impozice </w:t>
      </w:r>
      <w:r w:rsidR="00863738" w:rsidRPr="00863738">
        <w:t>významu</w:t>
      </w:r>
      <w:r w:rsidR="00BE3E54">
        <w:t xml:space="preserve"> přišlého z reality</w:t>
      </w:r>
      <w:r w:rsidR="00863738" w:rsidRPr="00863738">
        <w:t>.</w:t>
      </w:r>
      <w:r w:rsidR="00863738">
        <w:t xml:space="preserve"> </w:t>
      </w:r>
      <w:r w:rsidR="08CF6B9F" w:rsidRPr="00273106">
        <w:t xml:space="preserve">Reálná vlastnost je </w:t>
      </w:r>
      <w:r w:rsidR="08CF6B9F" w:rsidRPr="00273106">
        <w:rPr>
          <w:i/>
        </w:rPr>
        <w:t>simpliciter</w:t>
      </w:r>
      <w:r w:rsidR="08CF6B9F" w:rsidRPr="00273106">
        <w:t xml:space="preserve"> daná ve věci</w:t>
      </w:r>
      <w:r w:rsidR="08CF6B9F">
        <w:t xml:space="preserve"> a nikde jinde, protože jen </w:t>
      </w:r>
      <w:r w:rsidR="08192C1D">
        <w:t xml:space="preserve">v první substanci </w:t>
      </w:r>
      <w:r w:rsidR="08CF6B9F">
        <w:t>je dána aktuálně. Pak může být akcident kategoriálně predikován v různých slovesných modech</w:t>
      </w:r>
      <w:r w:rsidR="08CF6B9F" w:rsidRPr="00273106">
        <w:t xml:space="preserve">. </w:t>
      </w:r>
      <w:r w:rsidR="08CF6B9F">
        <w:t>Sofisté ve školách první filosofie jazyka se vyžívali v jazykových hrách a zapomněli stejně jako dnes, že mluva má být pravdivá vzhledem k</w:t>
      </w:r>
      <w:r w:rsidR="085F64BD">
        <w:t xml:space="preserve"> realitě v kauzálně daném modu </w:t>
      </w:r>
      <w:r w:rsidR="085F64BD" w:rsidRPr="085F64BD">
        <w:rPr>
          <w:i/>
        </w:rPr>
        <w:t>proportio</w:t>
      </w:r>
      <w:r w:rsidR="008E6B44">
        <w:t>.</w:t>
      </w:r>
    </w:p>
    <w:p w14:paraId="7474CB65" w14:textId="64684A1F" w:rsidR="08957C57" w:rsidRPr="00A26823" w:rsidRDefault="084E30CC" w:rsidP="00E62334">
      <w:pPr>
        <w:ind w:firstLine="397"/>
      </w:pPr>
      <w:r>
        <w:t xml:space="preserve">Alvernus </w:t>
      </w:r>
      <w:r w:rsidRPr="00273106">
        <w:t>dosvědčil pokračujíc</w:t>
      </w:r>
      <w:r>
        <w:t xml:space="preserve">í </w:t>
      </w:r>
      <w:r w:rsidR="085F64BD">
        <w:t>zatm</w:t>
      </w:r>
      <w:r w:rsidR="080A5F6D">
        <w:t xml:space="preserve">ění </w:t>
      </w:r>
      <w:r w:rsidRPr="00273106">
        <w:t xml:space="preserve">první substance, kterou poprvé konstatoval </w:t>
      </w:r>
      <w:r>
        <w:t>Averroes</w:t>
      </w:r>
      <w:r w:rsidRPr="00273106">
        <w:t xml:space="preserve"> u Avicenny</w:t>
      </w:r>
      <w:r>
        <w:t xml:space="preserve"> (</w:t>
      </w:r>
      <w:r w:rsidR="08CE1EBE">
        <w:t>OBJ I</w:t>
      </w:r>
      <w:r w:rsidR="089056D6">
        <w:t xml:space="preserve">, </w:t>
      </w:r>
      <w:r w:rsidRPr="00273106">
        <w:t xml:space="preserve">kap. </w:t>
      </w:r>
      <w:r w:rsidRPr="00273106">
        <w:rPr>
          <w:rStyle w:val="Zkladntext158dkovn0pt"/>
          <w:color w:val="auto"/>
          <w:spacing w:val="0"/>
          <w:sz w:val="24"/>
          <w:lang w:val="cs-CZ"/>
        </w:rPr>
        <w:t>2.4.1</w:t>
      </w:r>
      <w:r>
        <w:t>)</w:t>
      </w:r>
      <w:r w:rsidRPr="00273106">
        <w:t xml:space="preserve">. </w:t>
      </w:r>
      <w:r w:rsidR="085F64BD">
        <w:t>Impozice významu v první moderně vychází od pouhého pojmenování v</w:t>
      </w:r>
      <w:r w:rsidR="001275F5">
        <w:t> </w:t>
      </w:r>
      <w:r w:rsidR="085F64BD">
        <w:t>mysli</w:t>
      </w:r>
      <w:r w:rsidR="001275F5">
        <w:t>, které je odděleno od reálné věci</w:t>
      </w:r>
      <w:r w:rsidR="085F64BD">
        <w:t>.</w:t>
      </w:r>
      <w:r w:rsidR="085E0FE0">
        <w:t xml:space="preserve"> </w:t>
      </w:r>
      <w:r w:rsidR="00702A6C">
        <w:t>Jde o z</w:t>
      </w:r>
      <w:r w:rsidR="08CF6B9F">
        <w:t>rcadlení nekonečných simuláker</w:t>
      </w:r>
      <w:r w:rsidR="08CF6B9F">
        <w:fldChar w:fldCharType="begin"/>
      </w:r>
      <w:r w:rsidR="08CF6B9F">
        <w:instrText xml:space="preserve"> XE "simulákrum" </w:instrText>
      </w:r>
      <w:r w:rsidR="08CF6B9F">
        <w:fldChar w:fldCharType="end"/>
      </w:r>
      <w:r w:rsidR="08CF6B9F">
        <w:t xml:space="preserve"> podle sofismatu „třetího muže“ z dialogu </w:t>
      </w:r>
      <w:r w:rsidR="08CF6B9F" w:rsidRPr="00FE77B7">
        <w:rPr>
          <w:i/>
        </w:rPr>
        <w:t>Parmenides</w:t>
      </w:r>
      <w:r w:rsidR="08CF6B9F">
        <w:t xml:space="preserve"> (</w:t>
      </w:r>
      <w:r w:rsidR="08CF6B9F">
        <w:rPr>
          <w:rStyle w:val="st"/>
        </w:rPr>
        <w:t>132a–b</w:t>
      </w:r>
      <w:r w:rsidR="08CF6B9F">
        <w:rPr>
          <w:rStyle w:val="st"/>
        </w:rPr>
        <w:fldChar w:fldCharType="begin"/>
      </w:r>
      <w:r w:rsidR="08CF6B9F">
        <w:instrText xml:space="preserve"> XE "Platon:</w:instrText>
      </w:r>
      <w:r w:rsidR="08CF6B9F" w:rsidRPr="000E1175">
        <w:rPr>
          <w:i/>
        </w:rPr>
        <w:instrText>Parm</w:instrText>
      </w:r>
      <w:r w:rsidR="08CF6B9F">
        <w:instrText xml:space="preserve">. </w:instrText>
      </w:r>
      <w:r w:rsidR="08CF6B9F" w:rsidRPr="00627CFC">
        <w:rPr>
          <w:rStyle w:val="st"/>
        </w:rPr>
        <w:instrText>132a–b</w:instrText>
      </w:r>
      <w:r w:rsidR="08CF6B9F">
        <w:instrText xml:space="preserve">" </w:instrText>
      </w:r>
      <w:r w:rsidR="08CF6B9F">
        <w:rPr>
          <w:rStyle w:val="st"/>
        </w:rPr>
        <w:fldChar w:fldCharType="end"/>
      </w:r>
      <w:r w:rsidR="08CF6B9F">
        <w:rPr>
          <w:rStyle w:val="st"/>
        </w:rPr>
        <w:t>)</w:t>
      </w:r>
      <w:r w:rsidR="00F22FB8">
        <w:rPr>
          <w:rStyle w:val="st"/>
        </w:rPr>
        <w:t xml:space="preserve">. Pokud je smysl konstruovaný pouze v mysli, pak </w:t>
      </w:r>
      <w:r w:rsidR="08CF6B9F">
        <w:t>v</w:t>
      </w:r>
      <w:r w:rsidR="08CF6B9F" w:rsidRPr="00273106">
        <w:t>znikne nekonečná řada významů</w:t>
      </w:r>
      <w:r w:rsidR="00F22FB8">
        <w:t>. Ty jsou vázá</w:t>
      </w:r>
      <w:r w:rsidR="08CF6B9F" w:rsidRPr="00273106">
        <w:t>n</w:t>
      </w:r>
      <w:r w:rsidR="00F22FB8">
        <w:t>y</w:t>
      </w:r>
      <w:r w:rsidR="005A17B1">
        <w:t xml:space="preserve"> na centrální subjekt výpovědí</w:t>
      </w:r>
      <w:r w:rsidR="08CF6B9F">
        <w:t>, ale nikoliv na realitu</w:t>
      </w:r>
      <w:r w:rsidR="00DD32F3">
        <w:t xml:space="preserve"> jako princip</w:t>
      </w:r>
      <w:r w:rsidR="08CF6B9F">
        <w:t>.</w:t>
      </w:r>
      <w:r w:rsidR="08CF6B9F" w:rsidRPr="00273106">
        <w:t xml:space="preserve"> </w:t>
      </w:r>
      <w:r w:rsidR="081E3459">
        <w:t>Ve škole Gramatiků zanikla r</w:t>
      </w:r>
      <w:r w:rsidR="00E7746C">
        <w:t xml:space="preserve">eferenční funkce poznání </w:t>
      </w:r>
      <w:r w:rsidR="081E3459">
        <w:t>a tím i mluvy</w:t>
      </w:r>
      <w:r w:rsidR="004E62D2">
        <w:rPr>
          <w:i/>
        </w:rPr>
        <w:fldChar w:fldCharType="begin"/>
      </w:r>
      <w:r w:rsidR="004E62D2">
        <w:instrText xml:space="preserve"> XE "reference" </w:instrText>
      </w:r>
      <w:r w:rsidR="004E62D2">
        <w:rPr>
          <w:i/>
        </w:rPr>
        <w:fldChar w:fldCharType="end"/>
      </w:r>
      <w:r w:rsidR="00CF2AB1">
        <w:t xml:space="preserve">, mimo jiné i </w:t>
      </w:r>
      <w:r w:rsidR="00E7746C">
        <w:t xml:space="preserve">vinou špatně pochopeného </w:t>
      </w:r>
      <w:r>
        <w:t xml:space="preserve">proběhu poznání podle </w:t>
      </w:r>
      <w:r w:rsidR="00E7746C">
        <w:t xml:space="preserve">spisu </w:t>
      </w:r>
      <w:r w:rsidR="00E7746C" w:rsidRPr="00E7746C">
        <w:rPr>
          <w:i/>
        </w:rPr>
        <w:t>De anima</w:t>
      </w:r>
      <w:r w:rsidR="00E7746C">
        <w:t>.</w:t>
      </w:r>
      <w:r w:rsidR="088D7522">
        <w:t xml:space="preserve"> </w:t>
      </w:r>
      <w:r w:rsidR="00A5565E" w:rsidRPr="00273106">
        <w:t xml:space="preserve">Škola prvního averroismu </w:t>
      </w:r>
      <w:r w:rsidR="00A5565E">
        <w:t xml:space="preserve">kolem roku 1240 </w:t>
      </w:r>
      <w:r w:rsidR="00A5565E" w:rsidRPr="00273106">
        <w:t xml:space="preserve">přesně viděla, jak a proč došlo v první generaci modernistů k </w:t>
      </w:r>
      <w:r w:rsidR="00A5565E">
        <w:t xml:space="preserve">fatálnímu </w:t>
      </w:r>
      <w:r w:rsidR="00A5565E" w:rsidRPr="00273106">
        <w:t>zatmění první substance</w:t>
      </w:r>
      <w:r w:rsidR="00A5565E">
        <w:t>. Alvernova kritika ukazuje, že porretáni napojení na Toledský výklad neoplatonského Avice</w:t>
      </w:r>
      <w:r w:rsidR="086D467A">
        <w:t>nny a averroistického Averroe</w:t>
      </w:r>
      <w:r w:rsidR="00A5565E">
        <w:t>se se soustředili kolem roku 1235</w:t>
      </w:r>
      <w:r w:rsidR="00A5565E" w:rsidRPr="00273106">
        <w:t xml:space="preserve"> </w:t>
      </w:r>
      <w:r w:rsidR="00A5565E">
        <w:t>do jedné my</w:t>
      </w:r>
      <w:r w:rsidR="08BC13F2">
        <w:t>slitelské školy</w:t>
      </w:r>
      <w:r w:rsidR="086D467A">
        <w:t xml:space="preserve"> </w:t>
      </w:r>
      <w:r w:rsidR="086D467A" w:rsidRPr="086D467A">
        <w:rPr>
          <w:i/>
        </w:rPr>
        <w:t>Modernorum</w:t>
      </w:r>
      <w:r w:rsidR="08BC13F2">
        <w:t xml:space="preserve">, kterou nazval </w:t>
      </w:r>
      <w:r w:rsidR="00A5565E" w:rsidRPr="00A5565E">
        <w:rPr>
          <w:i/>
        </w:rPr>
        <w:t>sophistae Latini</w:t>
      </w:r>
      <w:r w:rsidR="00A5565E">
        <w:fldChar w:fldCharType="begin"/>
      </w:r>
      <w:r w:rsidR="00A5565E">
        <w:instrText xml:space="preserve"> XE "</w:instrText>
      </w:r>
      <w:r w:rsidR="00A5565E" w:rsidRPr="00C27681">
        <w:instrText>zatmění</w:instrText>
      </w:r>
      <w:r w:rsidR="00A5565E">
        <w:instrText>:</w:instrText>
      </w:r>
      <w:r w:rsidR="00A5565E" w:rsidRPr="00C27681">
        <w:instrText>substance</w:instrText>
      </w:r>
      <w:r w:rsidR="00A5565E">
        <w:instrText xml:space="preserve">" </w:instrText>
      </w:r>
      <w:r w:rsidR="00A5565E">
        <w:fldChar w:fldCharType="end"/>
      </w:r>
      <w:r w:rsidR="002D50D8">
        <w:t xml:space="preserve">, </w:t>
      </w:r>
      <w:r w:rsidR="002D50D8" w:rsidRPr="002D50D8">
        <w:rPr>
          <w:i/>
        </w:rPr>
        <w:t>Italici</w:t>
      </w:r>
      <w:r w:rsidR="002D50D8">
        <w:t xml:space="preserve"> </w:t>
      </w:r>
      <w:r w:rsidR="08BC13F2">
        <w:t xml:space="preserve">nebo </w:t>
      </w:r>
      <w:r w:rsidR="00A5565E" w:rsidRPr="00A5565E">
        <w:rPr>
          <w:i/>
        </w:rPr>
        <w:t>Grammatici</w:t>
      </w:r>
      <w:r w:rsidR="00A5565E">
        <w:t xml:space="preserve">. </w:t>
      </w:r>
      <w:r w:rsidR="003B4282" w:rsidRPr="00273106">
        <w:t xml:space="preserve">Celá debata ohledně ztracené první substance u prvních modernistů má zásadní </w:t>
      </w:r>
      <w:r w:rsidR="008748F0">
        <w:t xml:space="preserve">humanistický </w:t>
      </w:r>
      <w:r w:rsidR="003B4282" w:rsidRPr="00273106">
        <w:t xml:space="preserve">význam. </w:t>
      </w:r>
      <w:r w:rsidR="00B57FF3" w:rsidRPr="00273106">
        <w:t xml:space="preserve">Alvernus zdůrazňuje proti skupině </w:t>
      </w:r>
      <w:r w:rsidR="00AB3664">
        <w:t xml:space="preserve">moderních </w:t>
      </w:r>
      <w:r w:rsidR="00B57FF3" w:rsidRPr="00273106">
        <w:rPr>
          <w:i/>
        </w:rPr>
        <w:t>Nominales</w:t>
      </w:r>
      <w:r w:rsidR="00B57FF3" w:rsidRPr="00273106">
        <w:t xml:space="preserve">, že jejich určení osoby skrze kolektu hypostázovaných určení nestačí na vymezení aktuální </w:t>
      </w:r>
      <w:r w:rsidR="007015EB">
        <w:t xml:space="preserve">existence </w:t>
      </w:r>
      <w:r w:rsidR="00B57FF3" w:rsidRPr="00273106">
        <w:t>osoby.</w:t>
      </w:r>
    </w:p>
    <w:p w14:paraId="3FABD156" w14:textId="553FFD38" w:rsidR="08957C57" w:rsidRDefault="08957C57" w:rsidP="08957C57">
      <w:pPr>
        <w:pStyle w:val="Citace"/>
        <w:rPr>
          <w:lang w:val="cs-CZ"/>
        </w:rPr>
      </w:pPr>
      <w:r>
        <w:t>„</w:t>
      </w:r>
      <w:r w:rsidR="00074538">
        <w:rPr>
          <w:lang w:val="cs-CZ"/>
        </w:rPr>
        <w:t xml:space="preserve">Jestli </w:t>
      </w:r>
      <w:r>
        <w:rPr>
          <w:lang w:val="cs-CZ"/>
        </w:rPr>
        <w:t>někdo tvrd</w:t>
      </w:r>
      <w:r w:rsidR="00074538">
        <w:rPr>
          <w:lang w:val="cs-CZ"/>
        </w:rPr>
        <w:t xml:space="preserve">í jako </w:t>
      </w:r>
      <w:r>
        <w:rPr>
          <w:lang w:val="cs-CZ"/>
        </w:rPr>
        <w:t>pravdivé, že animalita je součástí lidství</w:t>
      </w:r>
      <w:r w:rsidR="00074538">
        <w:rPr>
          <w:lang w:val="cs-CZ"/>
        </w:rPr>
        <w:t xml:space="preserve"> </w:t>
      </w:r>
      <w:r w:rsidR="00074538">
        <w:rPr>
          <w:lang w:val="en-US"/>
        </w:rPr>
        <w:t>(</w:t>
      </w:r>
      <w:r w:rsidR="00074538" w:rsidRPr="00637C0E">
        <w:rPr>
          <w:i/>
        </w:rPr>
        <w:t>animalitas pars humanitatis est</w:t>
      </w:r>
      <w:r w:rsidR="00074538">
        <w:rPr>
          <w:lang w:val="en-US"/>
        </w:rPr>
        <w:t>)</w:t>
      </w:r>
      <w:r>
        <w:rPr>
          <w:lang w:val="cs-CZ"/>
        </w:rPr>
        <w:t>, pak člověk jako člo</w:t>
      </w:r>
      <w:r w:rsidR="00D112D8">
        <w:rPr>
          <w:lang w:val="cs-CZ"/>
        </w:rPr>
        <w:t>věk by neexistoval jako živá bytost</w:t>
      </w:r>
      <w:r>
        <w:rPr>
          <w:lang w:val="cs-CZ"/>
        </w:rPr>
        <w:t>, ale by</w:t>
      </w:r>
      <w:r w:rsidR="082404BE">
        <w:rPr>
          <w:lang w:val="cs-CZ"/>
        </w:rPr>
        <w:t>l</w:t>
      </w:r>
      <w:r>
        <w:rPr>
          <w:lang w:val="cs-CZ"/>
        </w:rPr>
        <w:t xml:space="preserve"> by složenina z něčeho abstraktně animálního a </w:t>
      </w:r>
      <w:r w:rsidR="08FB490F">
        <w:rPr>
          <w:lang w:val="cs-CZ"/>
        </w:rPr>
        <w:t xml:space="preserve">z </w:t>
      </w:r>
      <w:r>
        <w:rPr>
          <w:lang w:val="cs-CZ"/>
        </w:rPr>
        <w:t xml:space="preserve">nějakého </w:t>
      </w:r>
      <w:r w:rsidR="00D1085C">
        <w:rPr>
          <w:lang w:val="cs-CZ"/>
        </w:rPr>
        <w:t xml:space="preserve">přidaného </w:t>
      </w:r>
      <w:r>
        <w:rPr>
          <w:lang w:val="cs-CZ"/>
        </w:rPr>
        <w:t>zbytku (</w:t>
      </w:r>
      <w:r w:rsidRPr="08957C57">
        <w:rPr>
          <w:i/>
        </w:rPr>
        <w:t>compositum ex animali et quodam residuo</w:t>
      </w:r>
      <w:r>
        <w:rPr>
          <w:lang w:val="cs-CZ"/>
        </w:rPr>
        <w:t xml:space="preserve">).  </w:t>
      </w:r>
      <w:r>
        <w:t>(...)</w:t>
      </w:r>
      <w:r>
        <w:rPr>
          <w:lang w:val="cs-CZ"/>
        </w:rPr>
        <w:t xml:space="preserve"> Proto </w:t>
      </w:r>
      <w:r>
        <w:rPr>
          <w:lang w:val="cs-CZ"/>
        </w:rPr>
        <w:lastRenderedPageBreak/>
        <w:t xml:space="preserve">platí, že tento člověk je tento </w:t>
      </w:r>
      <w:r w:rsidR="006B17B9">
        <w:rPr>
          <w:lang w:val="cs-CZ"/>
        </w:rPr>
        <w:t xml:space="preserve">žijící tvor </w:t>
      </w:r>
      <w:r>
        <w:rPr>
          <w:lang w:val="cs-CZ"/>
        </w:rPr>
        <w:t>a pak platí, že toto jeho lidství je dáno jako tato jeho animalita.“ </w:t>
      </w:r>
      <w:r w:rsidR="00B57FF3" w:rsidRPr="00273106">
        <w:rPr>
          <w:rStyle w:val="Znakapoznpodarou"/>
        </w:rPr>
        <w:footnoteReference w:id="196"/>
      </w:r>
    </w:p>
    <w:p w14:paraId="63E623DE" w14:textId="72EF2CD8" w:rsidR="007B0CC6" w:rsidRDefault="00B57FF3" w:rsidP="007B5944">
      <w:r w:rsidRPr="00273106">
        <w:t xml:space="preserve">Alvernus odmítá </w:t>
      </w:r>
      <w:r w:rsidR="00114C28">
        <w:t xml:space="preserve">ve výše uvedeném citátu </w:t>
      </w:r>
      <w:r w:rsidRPr="00273106">
        <w:t xml:space="preserve">moderní apozici hypostází </w:t>
      </w:r>
      <w:r w:rsidR="00CC4376">
        <w:rPr>
          <w:i/>
        </w:rPr>
        <w:fldChar w:fldCharType="begin"/>
      </w:r>
      <w:r w:rsidR="00CC4376">
        <w:instrText xml:space="preserve"> XE "predikace:porretáni" </w:instrText>
      </w:r>
      <w:r w:rsidR="00CC4376">
        <w:rPr>
          <w:i/>
        </w:rPr>
        <w:fldChar w:fldCharType="end"/>
      </w:r>
      <w:r w:rsidRPr="00273106">
        <w:t>syntetizující individuum (</w:t>
      </w:r>
      <w:r w:rsidRPr="00273106">
        <w:rPr>
          <w:i/>
        </w:rPr>
        <w:t>compositum ex animali et quodam residuo</w:t>
      </w:r>
      <w:r w:rsidRPr="00273106">
        <w:t xml:space="preserve">). </w:t>
      </w:r>
      <w:r w:rsidR="00BB74E5">
        <w:t>Toto p</w:t>
      </w:r>
      <w:r w:rsidR="08D07B05">
        <w:t>ochybné residuum</w:t>
      </w:r>
      <w:r w:rsidRPr="00273106">
        <w:t xml:space="preserve"> </w:t>
      </w:r>
      <w:r w:rsidR="081079BD">
        <w:t xml:space="preserve">vznikne </w:t>
      </w:r>
      <w:r w:rsidRPr="00273106">
        <w:t xml:space="preserve">na poslední úrovni dělení </w:t>
      </w:r>
      <w:r w:rsidR="081079BD">
        <w:t xml:space="preserve">Porfýriova stromu jako </w:t>
      </w:r>
      <w:r w:rsidR="081079BD" w:rsidRPr="00273106">
        <w:t>individu</w:t>
      </w:r>
      <w:r w:rsidR="081079BD">
        <w:t>um</w:t>
      </w:r>
      <w:r w:rsidR="089A60A7">
        <w:t xml:space="preserve">, které </w:t>
      </w:r>
      <w:r w:rsidR="00F07373">
        <w:t xml:space="preserve">vytvořilo </w:t>
      </w:r>
      <w:r w:rsidR="089A60A7">
        <w:t xml:space="preserve">poslední atomární jednotku </w:t>
      </w:r>
      <w:r w:rsidR="00BB624E">
        <w:t xml:space="preserve">při dělení </w:t>
      </w:r>
      <w:r w:rsidR="089A60A7">
        <w:t xml:space="preserve">generického významu </w:t>
      </w:r>
      <w:r w:rsidR="00F07373">
        <w:t>„</w:t>
      </w:r>
      <w:r w:rsidR="089A60A7">
        <w:t>animality</w:t>
      </w:r>
      <w:r w:rsidR="00F07373">
        <w:t>“</w:t>
      </w:r>
      <w:r w:rsidR="081079BD">
        <w:t xml:space="preserve">. Pak to ale </w:t>
      </w:r>
      <w:r w:rsidRPr="00273106">
        <w:t>znamená, že existence se stává pou</w:t>
      </w:r>
      <w:r w:rsidR="089D4EA1">
        <w:t>hým akcidentem hypostázované es</w:t>
      </w:r>
      <w:r w:rsidRPr="00273106">
        <w:t xml:space="preserve">ence. </w:t>
      </w:r>
      <w:r w:rsidR="086117C3" w:rsidRPr="00273106">
        <w:t xml:space="preserve">Kompozice generických a specifických určení není totožná s </w:t>
      </w:r>
      <w:r w:rsidR="086117C3">
        <w:t>predikací druhé substance zvané „Sokrates“</w:t>
      </w:r>
      <w:r w:rsidR="00162F11">
        <w:t xml:space="preserve">. V tomto případě platí, že </w:t>
      </w:r>
      <w:r w:rsidR="086117C3" w:rsidRPr="00273106">
        <w:t>tato ur</w:t>
      </w:r>
      <w:r w:rsidR="086117C3">
        <w:t>čení mají díky impozici kategoriálně-metafyzický</w:t>
      </w:r>
      <w:r w:rsidR="086117C3" w:rsidRPr="00273106">
        <w:t xml:space="preserve">, a ne </w:t>
      </w:r>
      <w:r w:rsidR="086117C3">
        <w:t xml:space="preserve">pouze </w:t>
      </w:r>
      <w:r w:rsidR="086117C3" w:rsidRPr="00273106">
        <w:t xml:space="preserve">univerzálně-logický charakter. </w:t>
      </w:r>
      <w:r w:rsidR="00C57DE0">
        <w:t xml:space="preserve">Moderní existence je pouze </w:t>
      </w:r>
      <w:r w:rsidR="00F9688B">
        <w:t xml:space="preserve">akcidentální </w:t>
      </w:r>
      <w:r w:rsidR="00C57DE0">
        <w:t>predikát esence.</w:t>
      </w:r>
      <w:r w:rsidR="00B727E4">
        <w:t xml:space="preserve"> V prvním averroismu platí </w:t>
      </w:r>
      <w:r w:rsidR="00B727E4" w:rsidRPr="00B727E4">
        <w:t>primát první substance (</w:t>
      </w:r>
      <w:r w:rsidR="00B727E4" w:rsidRPr="00B727E4">
        <w:rPr>
          <w:i/>
        </w:rPr>
        <w:t>hoc homo</w:t>
      </w:r>
      <w:r w:rsidR="00B727E4" w:rsidRPr="00B727E4">
        <w:t>) a jí založených kvalit. To znamená</w:t>
      </w:r>
      <w:r w:rsidR="00B727E4">
        <w:t xml:space="preserve">, že abstraktní dělení probíhá až </w:t>
      </w:r>
      <w:r w:rsidR="00B727E4" w:rsidRPr="00B727E4">
        <w:t>na sekundární úrovni univerzálního významu.</w:t>
      </w:r>
      <w:r w:rsidR="00B727E4">
        <w:t xml:space="preserve"> </w:t>
      </w:r>
      <w:r w:rsidRPr="00273106">
        <w:t>Vyjadřuje pouze generická určení</w:t>
      </w:r>
      <w:r w:rsidR="0804566A">
        <w:t xml:space="preserve"> daná analogicky</w:t>
      </w:r>
      <w:r w:rsidR="001A6E74">
        <w:t xml:space="preserve"> a logicky</w:t>
      </w:r>
      <w:r w:rsidR="0804566A">
        <w:t>. J</w:t>
      </w:r>
      <w:r w:rsidRPr="00273106">
        <w:t xml:space="preserve">ejich univoční </w:t>
      </w:r>
      <w:r w:rsidR="001A6E74">
        <w:t xml:space="preserve">a tudíž metafyzický </w:t>
      </w:r>
      <w:r w:rsidRPr="00273106">
        <w:t>význam musí b</w:t>
      </w:r>
      <w:r w:rsidR="081C312C">
        <w:t>ýt vztažený k reálné osobě</w:t>
      </w:r>
      <w:r w:rsidRPr="00273106">
        <w:t xml:space="preserve"> (</w:t>
      </w:r>
      <w:r w:rsidRPr="00273106">
        <w:rPr>
          <w:i/>
        </w:rPr>
        <w:t>haec humanitas est haec animalitas</w:t>
      </w:r>
      <w:r w:rsidRPr="00273106">
        <w:t>).</w:t>
      </w:r>
      <w:r w:rsidR="005D1BF2" w:rsidRPr="00273106">
        <w:t xml:space="preserve"> Pařížský biskup sleduje stejnou linii jako spis </w:t>
      </w:r>
      <w:r w:rsidR="089A1B6F">
        <w:rPr>
          <w:i/>
        </w:rPr>
        <w:t>De anima et de potenciis eius</w:t>
      </w:r>
      <w:r w:rsidR="005D1BF2" w:rsidRPr="00273106">
        <w:t>, který p</w:t>
      </w:r>
      <w:r w:rsidR="08A24580">
        <w:t>oprvé na latinském Západě citoval</w:t>
      </w:r>
      <w:r w:rsidR="005D1BF2" w:rsidRPr="00273106">
        <w:t xml:space="preserve"> </w:t>
      </w:r>
      <w:r w:rsidR="002E3B62">
        <w:t>Averroes</w:t>
      </w:r>
      <w:r w:rsidR="005D1BF2" w:rsidRPr="00273106">
        <w:t>e při obran</w:t>
      </w:r>
      <w:r w:rsidR="08F71D8C">
        <w:t>ě existující osoby proti modernímu člověku-</w:t>
      </w:r>
      <w:r w:rsidR="005D1BF2" w:rsidRPr="00273106">
        <w:t xml:space="preserve">mrtvole definované ve škole </w:t>
      </w:r>
      <w:r w:rsidR="005D1BF2" w:rsidRPr="00273106">
        <w:rPr>
          <w:i/>
        </w:rPr>
        <w:t>Nominales</w:t>
      </w:r>
      <w:r w:rsidR="08FB4BC4">
        <w:t xml:space="preserve"> (kap. 2</w:t>
      </w:r>
      <w:r w:rsidR="005D1BF2" w:rsidRPr="00273106">
        <w:t>.2</w:t>
      </w:r>
      <w:r w:rsidR="085022FC">
        <w:t>.1</w:t>
      </w:r>
      <w:r w:rsidR="005D1BF2" w:rsidRPr="00273106">
        <w:t xml:space="preserve">). </w:t>
      </w:r>
      <w:r w:rsidR="00233041" w:rsidRPr="00273106">
        <w:t xml:space="preserve">Pařížský </w:t>
      </w:r>
      <w:r w:rsidR="00817871" w:rsidRPr="00273106">
        <w:t xml:space="preserve">aristotelik </w:t>
      </w:r>
      <w:r w:rsidR="00F3587E" w:rsidRPr="00273106">
        <w:t xml:space="preserve">a </w:t>
      </w:r>
      <w:r w:rsidR="00F771C5" w:rsidRPr="00273106">
        <w:t xml:space="preserve">sociálně smýšlející </w:t>
      </w:r>
      <w:r w:rsidR="00F3587E" w:rsidRPr="00273106">
        <w:t xml:space="preserve">biskup </w:t>
      </w:r>
      <w:r w:rsidR="005D1BF2" w:rsidRPr="00273106">
        <w:t xml:space="preserve">otevřel cestu k </w:t>
      </w:r>
      <w:r w:rsidR="00F771C5" w:rsidRPr="00273106">
        <w:t xml:space="preserve">západnímu </w:t>
      </w:r>
      <w:r w:rsidR="00FF1BEA">
        <w:t xml:space="preserve">anti-modernímu </w:t>
      </w:r>
      <w:r w:rsidR="005D1BF2" w:rsidRPr="00273106">
        <w:t>humanis</w:t>
      </w:r>
      <w:r w:rsidR="00F771C5" w:rsidRPr="00273106">
        <w:t>mu, který</w:t>
      </w:r>
      <w:r w:rsidR="005D1BF2" w:rsidRPr="00273106">
        <w:t xml:space="preserve"> </w:t>
      </w:r>
      <w:r w:rsidR="005411C1" w:rsidRPr="00273106">
        <w:t>vytvořil Dante</w:t>
      </w:r>
      <w:r w:rsidR="00DB7D90">
        <w:fldChar w:fldCharType="begin"/>
      </w:r>
      <w:r w:rsidR="00DB7D90">
        <w:instrText xml:space="preserve"> XE "</w:instrText>
      </w:r>
      <w:r w:rsidR="00DB7D90" w:rsidRPr="00E871B9">
        <w:instrText>Dante, A.</w:instrText>
      </w:r>
      <w:r w:rsidR="00DB7D90">
        <w:instrText xml:space="preserve">" </w:instrText>
      </w:r>
      <w:r w:rsidR="00DB7D90">
        <w:fldChar w:fldCharType="end"/>
      </w:r>
      <w:r w:rsidR="005411C1" w:rsidRPr="00273106">
        <w:t xml:space="preserve"> v návaznosti na aristotelské pojetí osoby podle Sigera</w:t>
      </w:r>
      <w:r w:rsidR="005D1BF2" w:rsidRPr="00273106">
        <w:t xml:space="preserve"> </w:t>
      </w:r>
      <w:r w:rsidR="00F771C5" w:rsidRPr="00273106">
        <w:t>z</w:t>
      </w:r>
      <w:r w:rsidR="084E026F">
        <w:t xml:space="preserve"> Brabantu (</w:t>
      </w:r>
      <w:r w:rsidR="08CE1EBE">
        <w:t>OBJ III</w:t>
      </w:r>
      <w:r w:rsidR="08FB4BC4">
        <w:t>, kap. 4</w:t>
      </w:r>
      <w:r w:rsidR="084E026F">
        <w:t>.4.3</w:t>
      </w:r>
      <w:r w:rsidR="005D1BF2" w:rsidRPr="00273106">
        <w:t>).</w:t>
      </w:r>
      <w:r w:rsidR="001A1ACE" w:rsidRPr="00273106">
        <w:t xml:space="preserve"> </w:t>
      </w:r>
      <w:r w:rsidR="00865324" w:rsidRPr="00273106">
        <w:t xml:space="preserve">Alvernova kritika </w:t>
      </w:r>
      <w:r w:rsidR="00776659">
        <w:t xml:space="preserve">latinských sofistů </w:t>
      </w:r>
      <w:r w:rsidR="08A24580">
        <w:t xml:space="preserve">a gramatiků </w:t>
      </w:r>
      <w:r w:rsidR="00865324" w:rsidRPr="00273106">
        <w:t xml:space="preserve">je </w:t>
      </w:r>
      <w:r w:rsidR="00651CDA" w:rsidRPr="00273106">
        <w:t>pro hermeneutiku</w:t>
      </w:r>
      <w:r w:rsidR="00E33277" w:rsidRPr="00273106">
        <w:t xml:space="preserve"> objektivity </w:t>
      </w:r>
      <w:r w:rsidR="00865324" w:rsidRPr="00273106">
        <w:t>zcela zásadní</w:t>
      </w:r>
      <w:r w:rsidR="087B3426">
        <w:t xml:space="preserve">, protože ukazuje počátek moderny v jejím původním </w:t>
      </w:r>
      <w:r w:rsidR="087B3426" w:rsidRPr="087B3426">
        <w:rPr>
          <w:i/>
        </w:rPr>
        <w:t>Lichtung</w:t>
      </w:r>
      <w:r w:rsidR="00E33277" w:rsidRPr="00273106">
        <w:t xml:space="preserve">. </w:t>
      </w:r>
      <w:r w:rsidR="087B3426">
        <w:t>Nová událost metafyziky byla dána tím, že z</w:t>
      </w:r>
      <w:r w:rsidR="00865324" w:rsidRPr="00273106">
        <w:t xml:space="preserve">anikající </w:t>
      </w:r>
      <w:r w:rsidR="00651CDA" w:rsidRPr="00273106">
        <w:t>škol</w:t>
      </w:r>
      <w:r w:rsidR="087B3426">
        <w:t>y</w:t>
      </w:r>
      <w:r w:rsidR="00651CDA" w:rsidRPr="00273106">
        <w:t xml:space="preserve"> </w:t>
      </w:r>
      <w:r w:rsidR="00651CDA" w:rsidRPr="00273106">
        <w:rPr>
          <w:i/>
        </w:rPr>
        <w:t>Nominales</w:t>
      </w:r>
      <w:r w:rsidR="00651CDA" w:rsidRPr="00273106">
        <w:t xml:space="preserve"> (</w:t>
      </w:r>
      <w:r w:rsidR="00651CDA" w:rsidRPr="00273106">
        <w:rPr>
          <w:i/>
        </w:rPr>
        <w:t>sophistae Italici</w:t>
      </w:r>
      <w:r w:rsidR="004F1881">
        <w:rPr>
          <w:i/>
        </w:rPr>
        <w:fldChar w:fldCharType="begin"/>
      </w:r>
      <w:r w:rsidR="004F1881">
        <w:instrText xml:space="preserve"> XE "druhý averroismus:</w:instrText>
      </w:r>
      <w:r w:rsidR="004F1881" w:rsidRPr="00EC0AF4">
        <w:rPr>
          <w:i/>
          <w:lang w:eastAsia="en-US"/>
        </w:rPr>
        <w:instrText xml:space="preserve">sophistae </w:instrText>
      </w:r>
      <w:r w:rsidR="004F1881">
        <w:rPr>
          <w:i/>
          <w:lang w:eastAsia="en-US"/>
        </w:rPr>
        <w:instrText>Italici</w:instrText>
      </w:r>
      <w:r w:rsidR="004F1881">
        <w:instrText xml:space="preserve">" </w:instrText>
      </w:r>
      <w:r w:rsidR="004F1881">
        <w:rPr>
          <w:i/>
        </w:rPr>
        <w:fldChar w:fldCharType="end"/>
      </w:r>
      <w:r w:rsidR="00651CDA" w:rsidRPr="00273106">
        <w:t xml:space="preserve">) </w:t>
      </w:r>
      <w:r w:rsidR="087B3426">
        <w:t xml:space="preserve">přecházejí </w:t>
      </w:r>
      <w:r w:rsidR="00651CDA" w:rsidRPr="00273106">
        <w:t>na n</w:t>
      </w:r>
      <w:r w:rsidR="00E33277" w:rsidRPr="00273106">
        <w:t xml:space="preserve">ovou formu </w:t>
      </w:r>
      <w:r w:rsidR="08075605">
        <w:t xml:space="preserve">avicennistického </w:t>
      </w:r>
      <w:r w:rsidR="00E33277" w:rsidRPr="00273106">
        <w:t>myšlení</w:t>
      </w:r>
      <w:r w:rsidR="00521E01">
        <w:t xml:space="preserve"> </w:t>
      </w:r>
      <w:r w:rsidR="08075605">
        <w:t xml:space="preserve">daného </w:t>
      </w:r>
      <w:r w:rsidR="08075605" w:rsidRPr="08075605">
        <w:rPr>
          <w:i/>
        </w:rPr>
        <w:t>ad mentem Averrois</w:t>
      </w:r>
      <w:r w:rsidR="08075605">
        <w:t xml:space="preserve">. Podle metafyziky a modelu poznání určeném Avicennou vytvářejí </w:t>
      </w:r>
      <w:r w:rsidR="082C3855">
        <w:t xml:space="preserve">tyto školy </w:t>
      </w:r>
      <w:r w:rsidR="08075605">
        <w:t xml:space="preserve">averroistickou figuru </w:t>
      </w:r>
      <w:r w:rsidR="08A24580">
        <w:t xml:space="preserve">Averroese </w:t>
      </w:r>
      <w:r w:rsidR="00521E01">
        <w:t>inspirovanou překlady Toledské školy</w:t>
      </w:r>
      <w:r w:rsidR="087B3426">
        <w:t xml:space="preserve">. </w:t>
      </w:r>
      <w:r w:rsidR="08582247">
        <w:t xml:space="preserve">Vinou tohoto epochálního </w:t>
      </w:r>
      <w:r w:rsidR="08582247" w:rsidRPr="08582247">
        <w:rPr>
          <w:i/>
        </w:rPr>
        <w:t>Irrtum</w:t>
      </w:r>
      <w:r w:rsidR="08582247">
        <w:t xml:space="preserve"> </w:t>
      </w:r>
      <w:r w:rsidR="087B3426">
        <w:t xml:space="preserve">vznikla </w:t>
      </w:r>
      <w:r w:rsidR="087B3426" w:rsidRPr="00273106">
        <w:t xml:space="preserve">v Paříži </w:t>
      </w:r>
      <w:r w:rsidR="087B3426">
        <w:t xml:space="preserve">během let </w:t>
      </w:r>
      <w:r w:rsidR="082C3855">
        <w:t>1230‒40</w:t>
      </w:r>
      <w:r w:rsidR="009407C1">
        <w:t xml:space="preserve"> </w:t>
      </w:r>
      <w:r w:rsidR="087B3426">
        <w:t>škola</w:t>
      </w:r>
      <w:r w:rsidR="00865324" w:rsidRPr="00273106">
        <w:t xml:space="preserve"> první</w:t>
      </w:r>
      <w:r w:rsidR="005B74CB" w:rsidRPr="00273106">
        <w:t>ch</w:t>
      </w:r>
      <w:r w:rsidR="08E7544B">
        <w:t xml:space="preserve"> modernistů, kterou Alvernus nazval </w:t>
      </w:r>
      <w:r w:rsidR="00651CDA" w:rsidRPr="00273106">
        <w:rPr>
          <w:i/>
        </w:rPr>
        <w:t>sophistae Latini</w:t>
      </w:r>
      <w:r w:rsidR="005109BC">
        <w:rPr>
          <w:i/>
        </w:rPr>
        <w:fldChar w:fldCharType="begin"/>
      </w:r>
      <w:r w:rsidR="005109BC">
        <w:instrText xml:space="preserve"> XE "</w:instrText>
      </w:r>
      <w:r w:rsidR="004F1881">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C2196C" w:rsidRPr="00273106">
        <w:t>.</w:t>
      </w:r>
      <w:r w:rsidR="00B221AF" w:rsidRPr="00273106">
        <w:t xml:space="preserve"> </w:t>
      </w:r>
      <w:r w:rsidR="00C45D9A" w:rsidRPr="00273106">
        <w:t xml:space="preserve">Škola prvního averroismu </w:t>
      </w:r>
      <w:r w:rsidR="00B102D5">
        <w:t xml:space="preserve">existovala od roku 1225 a </w:t>
      </w:r>
      <w:r w:rsidR="08071E89">
        <w:t xml:space="preserve">byla </w:t>
      </w:r>
      <w:r w:rsidR="08341C76">
        <w:t xml:space="preserve">formálně ustavená </w:t>
      </w:r>
      <w:r w:rsidR="00B102D5">
        <w:t xml:space="preserve">kolem </w:t>
      </w:r>
      <w:r w:rsidR="00E85708">
        <w:t xml:space="preserve">roku </w:t>
      </w:r>
      <w:r w:rsidR="00C45D9A">
        <w:t>1240</w:t>
      </w:r>
      <w:r w:rsidR="00B102D5">
        <w:t xml:space="preserve">, kdy došlo k </w:t>
      </w:r>
      <w:r w:rsidR="08341C76">
        <w:t xml:space="preserve">předání filosofické katedry čerstvému </w:t>
      </w:r>
      <w:r w:rsidR="08341C76">
        <w:lastRenderedPageBreak/>
        <w:t>magistrovi Albertovi Velikému</w:t>
      </w:r>
      <w:r w:rsidR="08071E89">
        <w:t>. Tito mladší současníci biskupa Alverna přesně viděli</w:t>
      </w:r>
      <w:r w:rsidR="00C45D9A" w:rsidRPr="00273106">
        <w:t xml:space="preserve">, jak a proč došlo v první generaci modernistů k </w:t>
      </w:r>
      <w:r w:rsidR="00C45D9A">
        <w:t xml:space="preserve">fatálnímu </w:t>
      </w:r>
      <w:r w:rsidR="00C45D9A" w:rsidRPr="00273106">
        <w:t>zatmění první substance</w:t>
      </w:r>
      <w:r w:rsidR="00C45D9A">
        <w:t>. Alvernova kritika ukazuje, že porretáni napojení na Toledský výklad neoplatonského Avicenny a av</w:t>
      </w:r>
      <w:r w:rsidR="080052A7">
        <w:t>erroistického Averroe</w:t>
      </w:r>
      <w:r w:rsidR="00C45D9A">
        <w:t>se se soustředili kolem roku 1235</w:t>
      </w:r>
      <w:r w:rsidR="00C45D9A" w:rsidRPr="00273106">
        <w:t xml:space="preserve"> </w:t>
      </w:r>
      <w:r w:rsidR="00C45D9A">
        <w:t>do jedné myslitelské školy</w:t>
      </w:r>
      <w:r w:rsidR="08766C20">
        <w:t xml:space="preserve">. Obě školy </w:t>
      </w:r>
      <w:r w:rsidR="00C45D9A">
        <w:t>mě</w:t>
      </w:r>
      <w:r w:rsidR="08766C20">
        <w:t>ly</w:t>
      </w:r>
      <w:r w:rsidR="089A2852">
        <w:t xml:space="preserve"> stejné </w:t>
      </w:r>
      <w:r w:rsidR="087A5573">
        <w:t xml:space="preserve">pojetí </w:t>
      </w:r>
      <w:r w:rsidR="08766C20">
        <w:t xml:space="preserve">substance </w:t>
      </w:r>
      <w:r w:rsidR="089A2852">
        <w:t xml:space="preserve">dané </w:t>
      </w:r>
      <w:r w:rsidR="00C45D9A">
        <w:t>nasvícením smyslu jsoucna zezadu</w:t>
      </w:r>
      <w:r w:rsidR="00C45D9A">
        <w:fldChar w:fldCharType="begin"/>
      </w:r>
      <w:r w:rsidR="00C45D9A">
        <w:instrText xml:space="preserve"> XE "</w:instrText>
      </w:r>
      <w:r w:rsidR="00C45D9A" w:rsidRPr="00C27681">
        <w:instrText>zatmění</w:instrText>
      </w:r>
      <w:r w:rsidR="00C45D9A">
        <w:instrText>:</w:instrText>
      </w:r>
      <w:r w:rsidR="00C45D9A" w:rsidRPr="00C27681">
        <w:instrText>substance</w:instrText>
      </w:r>
      <w:r w:rsidR="00C45D9A">
        <w:instrText xml:space="preserve">" </w:instrText>
      </w:r>
      <w:r w:rsidR="00C45D9A">
        <w:fldChar w:fldCharType="end"/>
      </w:r>
      <w:r w:rsidR="00C45D9A" w:rsidRPr="00273106">
        <w:t xml:space="preserve">. </w:t>
      </w:r>
      <w:r w:rsidR="0089466C">
        <w:t xml:space="preserve">Místo první substance pak viděli v modu epochálního </w:t>
      </w:r>
      <w:r w:rsidR="0089466C" w:rsidRPr="0089466C">
        <w:rPr>
          <w:i/>
        </w:rPr>
        <w:t>Irrtum</w:t>
      </w:r>
      <w:r w:rsidR="0089466C">
        <w:t xml:space="preserve"> pouhé individuum. </w:t>
      </w:r>
      <w:r w:rsidR="00C45D9A">
        <w:t xml:space="preserve">Jeho kritika této školy </w:t>
      </w:r>
      <w:r w:rsidR="00430A88">
        <w:t xml:space="preserve">mapuje </w:t>
      </w:r>
      <w:r w:rsidR="001B5D59" w:rsidRPr="00273106">
        <w:t>místo vzniku d</w:t>
      </w:r>
      <w:r w:rsidR="00B221AF" w:rsidRPr="00273106">
        <w:t>ruhého averroismu</w:t>
      </w:r>
      <w:r w:rsidR="00F800F5">
        <w:fldChar w:fldCharType="begin"/>
      </w:r>
      <w:r w:rsidR="00F800F5">
        <w:instrText xml:space="preserve"> XE "</w:instrText>
      </w:r>
      <w:r w:rsidR="00F800F5" w:rsidRPr="00E5118B">
        <w:instrText>objektivita:vznik</w:instrText>
      </w:r>
      <w:r w:rsidR="00F800F5">
        <w:instrText xml:space="preserve">" </w:instrText>
      </w:r>
      <w:r w:rsidR="00F800F5">
        <w:fldChar w:fldCharType="end"/>
      </w:r>
      <w:r w:rsidR="00B221AF" w:rsidRPr="00273106">
        <w:t>, a tím i konceptu objektivity</w:t>
      </w:r>
      <w:r w:rsidR="004F6D3C" w:rsidRPr="00273106">
        <w:t>.</w:t>
      </w:r>
      <w:r w:rsidR="007B5944">
        <w:t xml:space="preserve"> </w:t>
      </w:r>
      <w:r w:rsidR="007B0CC6" w:rsidRPr="007B0CC6">
        <w:t>Nová epochální událost metafyziky (</w:t>
      </w:r>
      <w:r w:rsidR="007B0CC6" w:rsidRPr="007B0CC6">
        <w:rPr>
          <w:i/>
        </w:rPr>
        <w:t>Ereignis</w:t>
      </w:r>
      <w:r w:rsidR="007B0CC6" w:rsidRPr="007B0CC6">
        <w:t>) byla dána tím, že por</w:t>
      </w:r>
      <w:r w:rsidR="007B0CC6">
        <w:t xml:space="preserve">retánské </w:t>
      </w:r>
      <w:r w:rsidR="007B0CC6" w:rsidRPr="007B0CC6">
        <w:t xml:space="preserve">školy </w:t>
      </w:r>
      <w:r w:rsidR="007B0CC6" w:rsidRPr="007B0CC6">
        <w:rPr>
          <w:i/>
        </w:rPr>
        <w:t>Nominales</w:t>
      </w:r>
      <w:r w:rsidR="007B0CC6" w:rsidRPr="007B0CC6">
        <w:t xml:space="preserve"> (</w:t>
      </w:r>
      <w:r w:rsidR="007B0CC6" w:rsidRPr="007B0CC6">
        <w:rPr>
          <w:i/>
        </w:rPr>
        <w:t>sophistae Italici</w:t>
      </w:r>
      <w:r w:rsidR="007B0CC6" w:rsidRPr="007B0CC6">
        <w:t xml:space="preserve">) a nominalistické školy </w:t>
      </w:r>
      <w:r w:rsidR="007B0CC6" w:rsidRPr="007B0CC6">
        <w:rPr>
          <w:i/>
        </w:rPr>
        <w:t>Logica Modernornum</w:t>
      </w:r>
      <w:r w:rsidR="007B0CC6" w:rsidRPr="007B0CC6">
        <w:t xml:space="preserve"> (</w:t>
      </w:r>
      <w:r w:rsidR="007B0CC6" w:rsidRPr="007B0CC6">
        <w:rPr>
          <w:i/>
        </w:rPr>
        <w:t>Grammatici</w:t>
      </w:r>
      <w:r w:rsidR="007B0CC6" w:rsidRPr="007B0CC6">
        <w:t>) byly na ústupu. Jejich avicenismus vycházející z neoplatnismu se nedokázal vyrovnat s novou podobou aristotelismu, kterou od roku 1225 společně prezentovaly Blundova a Sicilská škola. Modernisté museli p</w:t>
      </w:r>
      <w:r w:rsidR="007B0CC6">
        <w:t xml:space="preserve">řejít k nové podobě avicenismu dané </w:t>
      </w:r>
      <w:r w:rsidR="007B0CC6" w:rsidRPr="007B0CC6">
        <w:rPr>
          <w:i/>
        </w:rPr>
        <w:t>ad mentem Averrois</w:t>
      </w:r>
      <w:r w:rsidR="007B0CC6">
        <w:t xml:space="preserve">, což bylo z podstaty takto rozporné nauky provázeno zásadními zmatky a omyly. </w:t>
      </w:r>
      <w:r w:rsidR="007B0CC6" w:rsidRPr="007B0CC6">
        <w:t xml:space="preserve">Podle Avicennou </w:t>
      </w:r>
      <w:r w:rsidR="007B0CC6">
        <w:t>určené m</w:t>
      </w:r>
      <w:r w:rsidR="007B0CC6" w:rsidRPr="007B0CC6">
        <w:t>etafyziky a modelu poznání vytvořily tyto škol</w:t>
      </w:r>
      <w:r w:rsidR="007B0CC6">
        <w:t>y averroistické simulákrum Averroése inspirované překlady T</w:t>
      </w:r>
      <w:r w:rsidR="007B0CC6" w:rsidRPr="007B0CC6">
        <w:t>oledské školy. Na základě tohoto epochálního omylu</w:t>
      </w:r>
      <w:r w:rsidR="007B0CC6">
        <w:t xml:space="preserve"> vznikla v Paříži v letech 1230–</w:t>
      </w:r>
      <w:r w:rsidR="007B0CC6" w:rsidRPr="007B0CC6">
        <w:t xml:space="preserve">40 škola prvních modernistů, kterou Alvernus </w:t>
      </w:r>
      <w:r w:rsidR="007B0CC6">
        <w:t xml:space="preserve">a další </w:t>
      </w:r>
      <w:r w:rsidR="007B0CC6" w:rsidRPr="007B0CC6">
        <w:t>nazval</w:t>
      </w:r>
      <w:r w:rsidR="007B0CC6">
        <w:t>i</w:t>
      </w:r>
      <w:r w:rsidR="007B0CC6" w:rsidRPr="007B0CC6">
        <w:t xml:space="preserve"> </w:t>
      </w:r>
      <w:r w:rsidR="007B0CC6" w:rsidRPr="007B0CC6">
        <w:rPr>
          <w:i/>
        </w:rPr>
        <w:t>sophistae Latini</w:t>
      </w:r>
      <w:r w:rsidR="007B0CC6" w:rsidRPr="007B0CC6">
        <w:t>. Škola prvních averroistů se formálně ko</w:t>
      </w:r>
      <w:r w:rsidR="007B0CC6">
        <w:t>nstituovala někdy v letech 1240–</w:t>
      </w:r>
      <w:r w:rsidR="007B0CC6" w:rsidRPr="007B0CC6">
        <w:t>45 udělením filozofické stolice novopečenému magistru Albertu Velikému. Tito mladší Alvernovi současníci přesně věděli, jak a proč došlo k osudovému zatmění první látky u první generace modernistů.</w:t>
      </w:r>
    </w:p>
    <w:p w14:paraId="09A65095" w14:textId="48942045" w:rsidR="00C93252" w:rsidRPr="00273106" w:rsidRDefault="086C3420" w:rsidP="00C93252">
      <w:r>
        <w:tab/>
      </w:r>
      <w:r w:rsidR="00C93252" w:rsidRPr="00273106">
        <w:t xml:space="preserve">Díky kritice esencialismu postaveného mimo hylemorficku substanci se Alvernus oddělil od vykladačů </w:t>
      </w:r>
      <w:r w:rsidR="00C93252">
        <w:t>umírněného avicen</w:t>
      </w:r>
      <w:r w:rsidR="086C5CEF">
        <w:t xml:space="preserve">nismu, k nimž patřil </w:t>
      </w:r>
      <w:r w:rsidR="00C93252" w:rsidRPr="00273106">
        <w:t xml:space="preserve">jeho univerzitní kolega Filip </w:t>
      </w:r>
      <w:r w:rsidR="00F800F5">
        <w:t>Kancléř</w:t>
      </w:r>
      <w:r w:rsidR="00F800F5">
        <w:fldChar w:fldCharType="begin"/>
      </w:r>
      <w:r w:rsidR="00F800F5">
        <w:instrText xml:space="preserve"> XE "</w:instrText>
      </w:r>
      <w:r w:rsidR="00F800F5" w:rsidRPr="00406E29">
        <w:instrText>Filip Kancléř</w:instrText>
      </w:r>
      <w:r w:rsidR="00F800F5">
        <w:instrText xml:space="preserve">" </w:instrText>
      </w:r>
      <w:r w:rsidR="00F800F5">
        <w:fldChar w:fldCharType="end"/>
      </w:r>
      <w:r w:rsidR="00F800F5">
        <w:t xml:space="preserve"> </w:t>
      </w:r>
      <w:r w:rsidR="00C93252" w:rsidRPr="00273106">
        <w:t xml:space="preserve">(Philippus Cancellarius). Jeho traktát </w:t>
      </w:r>
      <w:r w:rsidR="00C93252" w:rsidRPr="00273106">
        <w:rPr>
          <w:i/>
        </w:rPr>
        <w:t>Summa de bono</w:t>
      </w:r>
      <w:r w:rsidR="00C93252" w:rsidRPr="00273106">
        <w:t xml:space="preserve"> </w:t>
      </w:r>
      <w:r w:rsidR="00743D55">
        <w:t>(</w:t>
      </w:r>
      <w:r w:rsidR="087A5573">
        <w:t xml:space="preserve">asi </w:t>
      </w:r>
      <w:r w:rsidR="00C93252" w:rsidRPr="00273106">
        <w:t>1232</w:t>
      </w:r>
      <w:r w:rsidR="00743D55">
        <w:t>)</w:t>
      </w:r>
      <w:r w:rsidR="00C93252" w:rsidRPr="00273106">
        <w:t xml:space="preserve"> přebírá Blundovo rozdělení</w:t>
      </w:r>
      <w:r w:rsidR="084D52A0">
        <w:t xml:space="preserve"> na pasivní a aktivní intelekt. Filip </w:t>
      </w:r>
      <w:r w:rsidR="08593741">
        <w:t xml:space="preserve">dokonce </w:t>
      </w:r>
      <w:r w:rsidR="00C93252" w:rsidRPr="00273106">
        <w:t xml:space="preserve">zavádí i </w:t>
      </w:r>
      <w:r w:rsidR="08593741">
        <w:t xml:space="preserve">termín </w:t>
      </w:r>
      <w:r w:rsidR="00C93252" w:rsidRPr="00273106">
        <w:rPr>
          <w:i/>
        </w:rPr>
        <w:t>intellectus formalis</w:t>
      </w:r>
      <w:r w:rsidR="0045423D">
        <w:rPr>
          <w:i/>
        </w:rPr>
        <w:fldChar w:fldCharType="begin"/>
      </w:r>
      <w:r w:rsidR="0045423D">
        <w:instrText xml:space="preserve"> XE "</w:instrText>
      </w:r>
      <w:r w:rsidR="0045423D" w:rsidRPr="000238B8">
        <w:rPr>
          <w:i/>
        </w:rPr>
        <w:instrText>intellectus formalis:</w:instrText>
      </w:r>
      <w:r w:rsidR="0045423D" w:rsidRPr="000238B8">
        <w:instrText>Blund</w:instrText>
      </w:r>
      <w:r w:rsidR="0045423D">
        <w:instrText xml:space="preserve">" </w:instrText>
      </w:r>
      <w:r w:rsidR="0045423D">
        <w:rPr>
          <w:i/>
        </w:rPr>
        <w:fldChar w:fldCharType="end"/>
      </w:r>
      <w:r w:rsidR="084F0060">
        <w:t>. Alvern</w:t>
      </w:r>
      <w:r w:rsidR="00C93252" w:rsidRPr="00273106">
        <w:t xml:space="preserve">ův současník a kancléř kapituly Notre Dame v Paříži (†1236) však není tak radikální, aby kritizoval Avicennu a přihlásil se bezvýhradně k </w:t>
      </w:r>
      <w:r w:rsidR="002E3B62">
        <w:t>Averroes</w:t>
      </w:r>
      <w:r w:rsidR="00C93252" w:rsidRPr="00273106">
        <w:t xml:space="preserve">ovi jako to udělal první averroismus. </w:t>
      </w:r>
      <w:r w:rsidR="00E83CC1" w:rsidRPr="00273106">
        <w:t xml:space="preserve">Filip </w:t>
      </w:r>
      <w:r w:rsidR="00E83CC1">
        <w:t>Kancléř</w:t>
      </w:r>
      <w:r w:rsidR="00E83CC1" w:rsidRPr="00273106">
        <w:t xml:space="preserve"> </w:t>
      </w:r>
      <w:r w:rsidR="00E83CC1">
        <w:t>zásadně zůstal pod vlivem Toledské školy</w:t>
      </w:r>
      <w:r w:rsidR="00E83CC1">
        <w:fldChar w:fldCharType="begin"/>
      </w:r>
      <w:r w:rsidR="00E83CC1">
        <w:instrText xml:space="preserve"> XE "</w:instrText>
      </w:r>
      <w:r w:rsidR="004A155A">
        <w:instrText>Toledská škola</w:instrText>
      </w:r>
      <w:r w:rsidR="00E83CC1">
        <w:instrText xml:space="preserve">" </w:instrText>
      </w:r>
      <w:r w:rsidR="00E83CC1">
        <w:fldChar w:fldCharType="end"/>
      </w:r>
      <w:r w:rsidR="00E83CC1">
        <w:t xml:space="preserve">. </w:t>
      </w:r>
      <w:r w:rsidR="00C93252" w:rsidRPr="00273106">
        <w:t xml:space="preserve">Alvernus musel zcela jistě odmítnout nedostatečné pojetí jednoty osoby v pojetí mnohosti substančních forem spojených v rámci </w:t>
      </w:r>
      <w:r w:rsidR="00C93252" w:rsidRPr="00273106">
        <w:rPr>
          <w:i/>
        </w:rPr>
        <w:t>triplex unitas</w:t>
      </w:r>
      <w:r w:rsidR="0017352D">
        <w:rPr>
          <w:i/>
        </w:rPr>
        <w:fldChar w:fldCharType="begin"/>
      </w:r>
      <w:r w:rsidR="0017352D">
        <w:instrText xml:space="preserve"> XE "osoba:</w:instrText>
      </w:r>
      <w:r w:rsidR="0017352D" w:rsidRPr="00273C28">
        <w:rPr>
          <w:i/>
        </w:rPr>
        <w:instrText>triplex unitas</w:instrText>
      </w:r>
      <w:r w:rsidR="0017352D">
        <w:instrText xml:space="preserve">" </w:instrText>
      </w:r>
      <w:r w:rsidR="0017352D">
        <w:rPr>
          <w:i/>
        </w:rPr>
        <w:fldChar w:fldCharType="end"/>
      </w:r>
      <w:r w:rsidR="00C93252" w:rsidRPr="00273106">
        <w:t xml:space="preserve">, kterou razil Filip po vzoru </w:t>
      </w:r>
      <w:r w:rsidR="00C93252" w:rsidRPr="00273106">
        <w:rPr>
          <w:i/>
        </w:rPr>
        <w:t>Summa Duacensis</w:t>
      </w:r>
      <w:r w:rsidR="008509E4">
        <w:rPr>
          <w:i/>
        </w:rPr>
        <w:fldChar w:fldCharType="begin"/>
      </w:r>
      <w:r w:rsidR="008509E4">
        <w:instrText xml:space="preserve"> XE "</w:instrText>
      </w:r>
      <w:r w:rsidR="008509E4" w:rsidRPr="000E2AD6">
        <w:rPr>
          <w:i/>
        </w:rPr>
        <w:instrText>Summa Duacensis</w:instrText>
      </w:r>
      <w:r w:rsidR="008509E4">
        <w:instrText xml:space="preserve">" </w:instrText>
      </w:r>
      <w:r w:rsidR="008509E4">
        <w:rPr>
          <w:i/>
        </w:rPr>
        <w:fldChar w:fldCharType="end"/>
      </w:r>
      <w:r w:rsidR="00C93252" w:rsidRPr="00273106">
        <w:t xml:space="preserve"> (</w:t>
      </w:r>
      <w:r w:rsidR="089C0E64">
        <w:t>kap. 2</w:t>
      </w:r>
      <w:r w:rsidR="00C93252">
        <w:t>.2</w:t>
      </w:r>
      <w:r w:rsidR="085022FC">
        <w:t>.2</w:t>
      </w:r>
      <w:r w:rsidR="00C93252">
        <w:t>). D</w:t>
      </w:r>
      <w:r w:rsidR="00C93252" w:rsidRPr="00273106">
        <w:t xml:space="preserve">uše je </w:t>
      </w:r>
      <w:r w:rsidR="00C93252">
        <w:t xml:space="preserve">podle </w:t>
      </w:r>
      <w:r w:rsidR="00253B07">
        <w:t xml:space="preserve">Filipa </w:t>
      </w:r>
      <w:r w:rsidR="00C93252">
        <w:t xml:space="preserve">Kancléře </w:t>
      </w:r>
      <w:r w:rsidR="00C93252" w:rsidRPr="00273106">
        <w:t xml:space="preserve">s tělem spojena pouze v modu </w:t>
      </w:r>
      <w:r w:rsidR="00C93252" w:rsidRPr="00273106">
        <w:rPr>
          <w:i/>
        </w:rPr>
        <w:lastRenderedPageBreak/>
        <w:t>secundum quid</w:t>
      </w:r>
      <w:r w:rsidR="00C93252" w:rsidRPr="00273106">
        <w:t xml:space="preserve">, který charakterizuje </w:t>
      </w:r>
      <w:r w:rsidR="00C93252">
        <w:t xml:space="preserve">vnější </w:t>
      </w:r>
      <w:r w:rsidR="00C93252" w:rsidRPr="00273106">
        <w:t>spojení dvou substancí</w:t>
      </w:r>
      <w:r w:rsidR="00C93252">
        <w:t xml:space="preserve"> (</w:t>
      </w:r>
      <w:r w:rsidR="00C93252" w:rsidRPr="00273106">
        <w:rPr>
          <w:i/>
        </w:rPr>
        <w:t>coexistentia</w:t>
      </w:r>
      <w:r w:rsidR="00F800F5">
        <w:rPr>
          <w:i/>
        </w:rPr>
        <w:fldChar w:fldCharType="begin"/>
      </w:r>
      <w:r w:rsidR="00F800F5">
        <w:instrText xml:space="preserve"> XE "osoba:</w:instrText>
      </w:r>
      <w:r w:rsidR="00F800F5" w:rsidRPr="006209AC">
        <w:rPr>
          <w:i/>
        </w:rPr>
        <w:instrText>coexistentia</w:instrText>
      </w:r>
      <w:r w:rsidR="00F800F5">
        <w:instrText xml:space="preserve">" </w:instrText>
      </w:r>
      <w:r w:rsidR="00F800F5">
        <w:rPr>
          <w:i/>
        </w:rPr>
        <w:fldChar w:fldCharType="end"/>
      </w:r>
      <w:r w:rsidR="00C93252">
        <w:t>)</w:t>
      </w:r>
      <w:r w:rsidR="00C93252" w:rsidRPr="00273106">
        <w:t xml:space="preserve">, a nikoliv </w:t>
      </w:r>
      <w:r w:rsidR="00C93252">
        <w:t xml:space="preserve">skrze </w:t>
      </w:r>
      <w:r w:rsidR="00C93252" w:rsidRPr="00273106">
        <w:t xml:space="preserve">spojení </w:t>
      </w:r>
      <w:r w:rsidR="00C93252" w:rsidRPr="00273106">
        <w:rPr>
          <w:i/>
        </w:rPr>
        <w:t>per se</w:t>
      </w:r>
      <w:r w:rsidR="00C93252" w:rsidRPr="00273106">
        <w:t xml:space="preserve">, které charakterizuje </w:t>
      </w:r>
      <w:r w:rsidR="00D105F1">
        <w:t xml:space="preserve">aristotelskou </w:t>
      </w:r>
      <w:r w:rsidR="00C93252" w:rsidRPr="00273106">
        <w:t>existenci osoby</w:t>
      </w:r>
      <w:r w:rsidR="00930909">
        <w:t xml:space="preserve"> (Bazán 1969, 54).</w:t>
      </w:r>
      <w:r w:rsidR="00C93252" w:rsidRPr="00273106">
        <w:t xml:space="preserve"> V modelu prvního averroismu není možná dichotomie osoby v</w:t>
      </w:r>
      <w:r w:rsidR="00DD1876">
        <w:t> </w:t>
      </w:r>
      <w:r w:rsidR="00C93252" w:rsidRPr="00273106">
        <w:t>rámci</w:t>
      </w:r>
      <w:r w:rsidR="00DD1876">
        <w:t xml:space="preserve"> tak</w:t>
      </w:r>
      <w:r w:rsidR="00C93252" w:rsidRPr="00273106">
        <w:t xml:space="preserve"> volného spojení duše a</w:t>
      </w:r>
      <w:r w:rsidR="002E4EB4">
        <w:t xml:space="preserve"> těla, jak to předpokládá </w:t>
      </w:r>
      <w:r w:rsidR="00C93252" w:rsidRPr="00273106">
        <w:rPr>
          <w:i/>
        </w:rPr>
        <w:t>coexistentia</w:t>
      </w:r>
      <w:r w:rsidR="00C93252" w:rsidRPr="00273106">
        <w:t xml:space="preserve"> obou substancí u </w:t>
      </w:r>
      <w:r w:rsidR="00253B07" w:rsidRPr="00273106">
        <w:t xml:space="preserve">Filipa </w:t>
      </w:r>
      <w:r w:rsidR="00C93252" w:rsidRPr="00273106">
        <w:t xml:space="preserve">Kancléře. </w:t>
      </w:r>
      <w:r w:rsidR="002E4EB4">
        <w:t>Ale t</w:t>
      </w:r>
      <w:r w:rsidR="00C93252" w:rsidRPr="00273106">
        <w:t xml:space="preserve">ímto duálním pojetím v rámci dvou substancí </w:t>
      </w:r>
      <w:r w:rsidR="002E3C47" w:rsidRPr="00414884">
        <w:rPr>
          <w:lang w:eastAsia="en-US"/>
        </w:rPr>
        <w:t>(</w:t>
      </w:r>
      <w:r w:rsidR="002E3C47">
        <w:rPr>
          <w:i/>
          <w:lang w:eastAsia="en-US"/>
        </w:rPr>
        <w:t>incompleta</w:t>
      </w:r>
      <w:r w:rsidR="002E3C47" w:rsidRPr="00414884">
        <w:rPr>
          <w:i/>
          <w:lang w:eastAsia="en-US"/>
        </w:rPr>
        <w:t>, complet</w:t>
      </w:r>
      <w:r w:rsidR="002E3C47">
        <w:rPr>
          <w:i/>
          <w:lang w:eastAsia="en-US"/>
        </w:rPr>
        <w:t>a</w:t>
      </w:r>
      <w:r w:rsidR="002E3C47" w:rsidRPr="00414884">
        <w:rPr>
          <w:lang w:eastAsia="en-US"/>
        </w:rPr>
        <w:t>)</w:t>
      </w:r>
      <w:r w:rsidR="002E3C47">
        <w:rPr>
          <w:lang w:eastAsia="en-US"/>
        </w:rPr>
        <w:t xml:space="preserve"> </w:t>
      </w:r>
      <w:r w:rsidR="00C93252" w:rsidRPr="00273106">
        <w:t xml:space="preserve">byla zachována alespoň minimální jednota osoby nutná pro křesťanskou teologii. Hermeneutika brání s editorem </w:t>
      </w:r>
      <w:r w:rsidR="00C93252" w:rsidRPr="00273106">
        <w:rPr>
          <w:i/>
        </w:rPr>
        <w:t>Summa de bono</w:t>
      </w:r>
      <w:r w:rsidR="00C93252" w:rsidRPr="00273106">
        <w:t xml:space="preserve"> zásadní rozdíl mezi pojetím poznání u </w:t>
      </w:r>
      <w:r w:rsidR="00253B07" w:rsidRPr="00273106">
        <w:t xml:space="preserve">Filipa </w:t>
      </w:r>
      <w:r w:rsidR="00C93252" w:rsidRPr="00273106">
        <w:t xml:space="preserve">Kancléře a spisem </w:t>
      </w:r>
      <w:r w:rsidR="089A1B6F">
        <w:rPr>
          <w:i/>
        </w:rPr>
        <w:t>De anima et de potenciis eius</w:t>
      </w:r>
      <w:r w:rsidR="00C93252" w:rsidRPr="00273106">
        <w:t>.</w:t>
      </w:r>
      <w:r w:rsidR="00C93252" w:rsidRPr="00273106">
        <w:rPr>
          <w:rStyle w:val="Znakapoznpodarou"/>
        </w:rPr>
        <w:footnoteReference w:id="197"/>
      </w:r>
      <w:r w:rsidR="00C93252" w:rsidRPr="00273106">
        <w:t xml:space="preserve"> Klíčový rozdíl mezi Filipem Kancléřem a Alvernem vzhled</w:t>
      </w:r>
      <w:r w:rsidR="08B23EEB">
        <w:t xml:space="preserve">em k abstrakci najdeme v pojmu </w:t>
      </w:r>
      <w:r w:rsidR="00C93252" w:rsidRPr="00273106">
        <w:rPr>
          <w:i/>
        </w:rPr>
        <w:t>resolutio</w:t>
      </w:r>
      <w:r w:rsidR="005A68A7">
        <w:rPr>
          <w:i/>
        </w:rPr>
        <w:fldChar w:fldCharType="begin"/>
      </w:r>
      <w:r w:rsidR="005A68A7">
        <w:instrText xml:space="preserve"> XE "</w:instrText>
      </w:r>
      <w:r w:rsidR="005A68A7" w:rsidRPr="00111E9E">
        <w:rPr>
          <w:i/>
        </w:rPr>
        <w:instrText>resolutio</w:instrText>
      </w:r>
      <w:r w:rsidR="007D3515">
        <w:instrText>:</w:instrText>
      </w:r>
      <w:r w:rsidR="00FA3CB1">
        <w:instrText>Filip Kancléř</w:instrText>
      </w:r>
      <w:r w:rsidR="005A68A7">
        <w:instrText xml:space="preserve">" </w:instrText>
      </w:r>
      <w:r w:rsidR="005A68A7">
        <w:rPr>
          <w:i/>
        </w:rPr>
        <w:fldChar w:fldCharType="end"/>
      </w:r>
      <w:r w:rsidR="00C93252" w:rsidRPr="00273106">
        <w:t xml:space="preserve">, které u Filipa dostává avicennovský, a tím i transcendentální charakter napojený na myšlení </w:t>
      </w:r>
      <w:r w:rsidR="00C93252" w:rsidRPr="00273106">
        <w:rPr>
          <w:i/>
        </w:rPr>
        <w:t>Nominales</w:t>
      </w:r>
      <w:r w:rsidR="00C93252" w:rsidRPr="00273106">
        <w:t>. Filip poprvé označuje transcendentálie</w:t>
      </w:r>
      <w:r w:rsidR="00F800F5">
        <w:fldChar w:fldCharType="begin"/>
      </w:r>
      <w:r w:rsidR="00F800F5">
        <w:instrText xml:space="preserve"> XE "</w:instrText>
      </w:r>
      <w:r w:rsidR="00F800F5" w:rsidRPr="002001A6">
        <w:instrText>transcendentálie</w:instrText>
      </w:r>
      <w:r w:rsidR="00F800F5">
        <w:instrText xml:space="preserve">" </w:instrText>
      </w:r>
      <w:r w:rsidR="00F800F5">
        <w:fldChar w:fldCharType="end"/>
      </w:r>
      <w:r w:rsidR="00C93252" w:rsidRPr="00273106">
        <w:t xml:space="preserve"> </w:t>
      </w:r>
      <w:r w:rsidR="00C93252" w:rsidRPr="00273106">
        <w:rPr>
          <w:i/>
        </w:rPr>
        <w:t>ens</w:t>
      </w:r>
      <w:r w:rsidR="00C93252" w:rsidRPr="00273106">
        <w:t xml:space="preserve">, </w:t>
      </w:r>
      <w:r w:rsidR="00C93252" w:rsidRPr="00273106">
        <w:rPr>
          <w:i/>
        </w:rPr>
        <w:t>unum</w:t>
      </w:r>
      <w:r w:rsidR="00C93252" w:rsidRPr="00273106">
        <w:t xml:space="preserve">, </w:t>
      </w:r>
      <w:r w:rsidR="00C93252" w:rsidRPr="00273106">
        <w:rPr>
          <w:i/>
        </w:rPr>
        <w:t>bonum</w:t>
      </w:r>
      <w:r w:rsidR="08B23EEB">
        <w:t xml:space="preserve"> jako </w:t>
      </w:r>
      <w:r w:rsidR="00C93252" w:rsidRPr="00273106">
        <w:rPr>
          <w:i/>
        </w:rPr>
        <w:t>primae intentiones</w:t>
      </w:r>
      <w:r w:rsidR="08B23EEB">
        <w:t xml:space="preserve"> nebo také termínem </w:t>
      </w:r>
      <w:r w:rsidR="00C93252" w:rsidRPr="00273106">
        <w:rPr>
          <w:i/>
        </w:rPr>
        <w:t>in primis</w:t>
      </w:r>
      <w:r w:rsidR="00C93252" w:rsidRPr="00273106">
        <w:t>.</w:t>
      </w:r>
      <w:r w:rsidR="00C93252" w:rsidRPr="00273106">
        <w:rPr>
          <w:rStyle w:val="Znakapoznpodarou"/>
        </w:rPr>
        <w:footnoteReference w:id="198"/>
      </w:r>
      <w:r w:rsidR="00C93252" w:rsidRPr="00273106">
        <w:t xml:space="preserve"> První koncepty jsoucna jsou dány univočně a </w:t>
      </w:r>
      <w:r w:rsidR="00C93252" w:rsidRPr="00273106">
        <w:rPr>
          <w:i/>
        </w:rPr>
        <w:t>simpliciter</w:t>
      </w:r>
      <w:r w:rsidR="00BE01E7">
        <w:t xml:space="preserve"> právě proto, že je nelze rozložit</w:t>
      </w:r>
      <w:r w:rsidR="00C93252" w:rsidRPr="00273106">
        <w:t xml:space="preserve"> (</w:t>
      </w:r>
      <w:r w:rsidR="00C93252" w:rsidRPr="00273106">
        <w:rPr>
          <w:i/>
        </w:rPr>
        <w:t>resolvere</w:t>
      </w:r>
      <w:r w:rsidR="00C93252" w:rsidRPr="00273106">
        <w:t xml:space="preserve">) na jednodušší principy. Proto jsou transcendentálie na této základní rovině již vzájemně konvertibilní a dále nedělitelné. </w:t>
      </w:r>
      <w:r w:rsidR="087D2BCD">
        <w:t xml:space="preserve">Filip ještě nepoužívá termín </w:t>
      </w:r>
      <w:r w:rsidR="087D2BCD" w:rsidRPr="00273106">
        <w:rPr>
          <w:i/>
        </w:rPr>
        <w:t>transcendentia</w:t>
      </w:r>
      <w:r w:rsidR="087D2BCD" w:rsidRPr="00273106">
        <w:t>, ale „první</w:t>
      </w:r>
      <w:r w:rsidR="087D2BCD">
        <w:t xml:space="preserve"> významy</w:t>
      </w:r>
      <w:r w:rsidR="087D2BCD" w:rsidRPr="00273106">
        <w:t>“ (</w:t>
      </w:r>
      <w:r w:rsidR="087D2BCD" w:rsidRPr="00273106">
        <w:rPr>
          <w:i/>
        </w:rPr>
        <w:t>prima</w:t>
      </w:r>
      <w:r w:rsidR="087D2BCD" w:rsidRPr="00273106">
        <w:t>) nebo „první koncepty“ (</w:t>
      </w:r>
      <w:r w:rsidR="087D2BCD" w:rsidRPr="00273106">
        <w:rPr>
          <w:i/>
        </w:rPr>
        <w:t>primae intentiones</w:t>
      </w:r>
      <w:r w:rsidR="087D2BCD">
        <w:t>). S</w:t>
      </w:r>
      <w:r w:rsidR="087D2BCD" w:rsidRPr="00273106">
        <w:t xml:space="preserve">mysl </w:t>
      </w:r>
      <w:r w:rsidR="087D2BCD">
        <w:t xml:space="preserve">těchto amfibolních prvních konceptů </w:t>
      </w:r>
      <w:r w:rsidR="087D2BCD">
        <w:fldChar w:fldCharType="begin"/>
      </w:r>
      <w:r w:rsidR="087D2BCD">
        <w:instrText xml:space="preserve"> XE "</w:instrText>
      </w:r>
      <w:r w:rsidR="087D2BCD" w:rsidRPr="087763A7">
        <w:instrText>predikace:amfibolní</w:instrText>
      </w:r>
      <w:r w:rsidR="087D2BCD">
        <w:instrText xml:space="preserve">" </w:instrText>
      </w:r>
      <w:r w:rsidR="087D2BCD">
        <w:fldChar w:fldCharType="end"/>
      </w:r>
      <w:r w:rsidR="087D2BCD">
        <w:t xml:space="preserve">je dán plně </w:t>
      </w:r>
      <w:r w:rsidR="087D2BCD" w:rsidRPr="00273106">
        <w:rPr>
          <w:i/>
        </w:rPr>
        <w:t>communiter</w:t>
      </w:r>
      <w:r w:rsidR="087D2BCD" w:rsidRPr="00273106">
        <w:t>, takže patří k celku jsoucího, nikoliv k té či oné substanci (</w:t>
      </w:r>
      <w:r w:rsidR="087D2BCD" w:rsidRPr="00273106">
        <w:rPr>
          <w:szCs w:val="24"/>
        </w:rPr>
        <w:t>Aertsen 2012,</w:t>
      </w:r>
      <w:r w:rsidR="087D2BCD" w:rsidRPr="00273106">
        <w:t xml:space="preserve"> 113).</w:t>
      </w:r>
      <w:r w:rsidR="087D2BCD">
        <w:t xml:space="preserve"> </w:t>
      </w:r>
      <w:r w:rsidR="00F04249">
        <w:t xml:space="preserve">Filip je ovlivněn </w:t>
      </w:r>
      <w:r w:rsidR="002E3B62">
        <w:t>Averroes</w:t>
      </w:r>
      <w:r w:rsidR="00F04249">
        <w:t xml:space="preserve">ovým komentářem k </w:t>
      </w:r>
      <w:r w:rsidR="00F04249" w:rsidRPr="002E5EF5">
        <w:rPr>
          <w:i/>
        </w:rPr>
        <w:t>Metafyzice</w:t>
      </w:r>
      <w:r w:rsidR="00F04249">
        <w:t xml:space="preserve"> a bere jednotu a dobro ve výslovném odstupu od Avicenny nejprve vzhledem ke kauzálně působící první substanci. </w:t>
      </w:r>
      <w:r w:rsidR="002E5EF5">
        <w:t xml:space="preserve">Ale jeho výklad </w:t>
      </w:r>
      <w:r w:rsidR="002E5EF5" w:rsidRPr="002E5EF5">
        <w:rPr>
          <w:i/>
        </w:rPr>
        <w:t>ad mentem Averrois</w:t>
      </w:r>
      <w:r w:rsidR="002E5EF5">
        <w:t xml:space="preserve"> je dán podle Toledské školy v paradigmatu nasvícení jsoucna zezadu podle Avicenny. </w:t>
      </w:r>
      <w:r w:rsidR="00C93252">
        <w:t xml:space="preserve">Klasická studie mapující vznik transcentálií u </w:t>
      </w:r>
      <w:r w:rsidR="005772F8">
        <w:t xml:space="preserve">Filipa </w:t>
      </w:r>
      <w:r w:rsidR="00C93252">
        <w:t>Kancléře váže vznik první a nejdůležitější</w:t>
      </w:r>
      <w:r w:rsidR="00F80F4C">
        <w:t xml:space="preserve"> transcendentálie </w:t>
      </w:r>
      <w:r w:rsidR="00C93252">
        <w:t>(</w:t>
      </w:r>
      <w:r w:rsidR="00C93252" w:rsidRPr="00EE1BE1">
        <w:rPr>
          <w:i/>
        </w:rPr>
        <w:t>bonum</w:t>
      </w:r>
      <w:r w:rsidR="00C93252">
        <w:t>) na specifickou in</w:t>
      </w:r>
      <w:r w:rsidR="00432619">
        <w:t xml:space="preserve">terpretaci Augustinova díla </w:t>
      </w:r>
      <w:r w:rsidR="00432619" w:rsidRPr="00432619">
        <w:rPr>
          <w:i/>
        </w:rPr>
        <w:t>De natura boni</w:t>
      </w:r>
      <w:r w:rsidR="00432619">
        <w:t>, kde jsou dány tři základní konstitutivní elementy jsoucna (</w:t>
      </w:r>
      <w:r w:rsidR="00432619" w:rsidRPr="00432619">
        <w:rPr>
          <w:i/>
        </w:rPr>
        <w:t>modus</w:t>
      </w:r>
      <w:r w:rsidR="00432619">
        <w:t xml:space="preserve">, </w:t>
      </w:r>
      <w:r w:rsidR="004B4D52" w:rsidRPr="004B4D52">
        <w:t>species</w:t>
      </w:r>
      <w:r w:rsidR="00432619">
        <w:t xml:space="preserve">, </w:t>
      </w:r>
      <w:r w:rsidR="00432619" w:rsidRPr="00432619">
        <w:rPr>
          <w:i/>
        </w:rPr>
        <w:t>ordo</w:t>
      </w:r>
      <w:r w:rsidR="00432619">
        <w:t xml:space="preserve">). </w:t>
      </w:r>
      <w:r w:rsidR="00F80F4C">
        <w:t>K</w:t>
      </w:r>
      <w:r w:rsidR="0025387C" w:rsidRPr="0025387C">
        <w:t>omitace</w:t>
      </w:r>
      <w:r w:rsidR="00EB71B3">
        <w:fldChar w:fldCharType="begin"/>
      </w:r>
      <w:r w:rsidR="00EB71B3">
        <w:instrText xml:space="preserve"> XE "</w:instrText>
      </w:r>
      <w:r w:rsidR="00EB71B3" w:rsidRPr="00467B7F">
        <w:instrText>komitace</w:instrText>
      </w:r>
      <w:r w:rsidR="00EB71B3">
        <w:instrText xml:space="preserve">" </w:instrText>
      </w:r>
      <w:r w:rsidR="00EB71B3">
        <w:fldChar w:fldCharType="end"/>
      </w:r>
      <w:r w:rsidR="0025387C" w:rsidRPr="0025387C">
        <w:t xml:space="preserve"> jednoty dané </w:t>
      </w:r>
      <w:r w:rsidR="00F80F4C">
        <w:t>u Averroese</w:t>
      </w:r>
      <w:r w:rsidR="00F80F4C" w:rsidRPr="0025387C">
        <w:t xml:space="preserve"> </w:t>
      </w:r>
      <w:r w:rsidR="0025387C" w:rsidRPr="0025387C">
        <w:t>vzhledem k bytí první substance</w:t>
      </w:r>
      <w:r w:rsidR="00A70FA4">
        <w:fldChar w:fldCharType="begin"/>
      </w:r>
      <w:r w:rsidR="00A70FA4">
        <w:instrText xml:space="preserve"> XE "</w:instrText>
      </w:r>
      <w:r w:rsidR="00A70FA4" w:rsidRPr="00DE2A32">
        <w:instrText>substance</w:instrText>
      </w:r>
      <w:r w:rsidR="00F800F5">
        <w:instrText>:první</w:instrText>
      </w:r>
      <w:r w:rsidR="00A70FA4">
        <w:instrText xml:space="preserve">" </w:instrText>
      </w:r>
      <w:r w:rsidR="00A70FA4">
        <w:fldChar w:fldCharType="end"/>
      </w:r>
      <w:r w:rsidR="0025387C" w:rsidRPr="0025387C">
        <w:t xml:space="preserve"> (</w:t>
      </w:r>
      <w:r w:rsidR="0025387C" w:rsidRPr="0025387C">
        <w:rPr>
          <w:i/>
        </w:rPr>
        <w:t>unitas est quidam comitans substantiam</w:t>
      </w:r>
      <w:r w:rsidR="0025387C">
        <w:t>), je rozš</w:t>
      </w:r>
      <w:r w:rsidR="0025387C" w:rsidRPr="0025387C">
        <w:t xml:space="preserve">ířena </w:t>
      </w:r>
      <w:r w:rsidR="0025387C">
        <w:t>v un</w:t>
      </w:r>
      <w:r w:rsidR="00F80F4C">
        <w:t xml:space="preserve">ivočním modu </w:t>
      </w:r>
      <w:r w:rsidR="0025387C" w:rsidRPr="0025387C">
        <w:t>na Avicennův typ komitace</w:t>
      </w:r>
      <w:r w:rsidR="0025387C">
        <w:t xml:space="preserve"> hypostázovaných vlastností </w:t>
      </w:r>
      <w:r w:rsidR="08B023DB">
        <w:t xml:space="preserve">typu animality </w:t>
      </w:r>
      <w:r w:rsidR="0025387C">
        <w:t>(</w:t>
      </w:r>
      <w:r w:rsidR="0025387C" w:rsidRPr="0025387C">
        <w:rPr>
          <w:i/>
        </w:rPr>
        <w:t>unitas addita est ei super animalitatem suam</w:t>
      </w:r>
      <w:r w:rsidR="0025387C">
        <w:t xml:space="preserve">; </w:t>
      </w:r>
      <w:r w:rsidR="0025387C">
        <w:lastRenderedPageBreak/>
        <w:t>Pouillon 1939, 53)</w:t>
      </w:r>
      <w:r w:rsidR="0025387C" w:rsidRPr="0025387C">
        <w:t>.</w:t>
      </w:r>
      <w:r w:rsidR="0025387C">
        <w:rPr>
          <w:rFonts w:ascii="Code2000" w:eastAsia="Code2000" w:hAnsi="Times New Roman" w:cs="Code2000"/>
          <w:noProof w:val="0"/>
          <w:szCs w:val="24"/>
        </w:rPr>
        <w:t xml:space="preserve"> </w:t>
      </w:r>
      <w:r w:rsidR="00C93252">
        <w:t xml:space="preserve">Klíčová pasáž </w:t>
      </w:r>
      <w:r w:rsidR="084F2993">
        <w:t xml:space="preserve">této </w:t>
      </w:r>
      <w:r w:rsidR="00C93252">
        <w:t>studie u</w:t>
      </w:r>
      <w:r w:rsidR="006A5102">
        <w:t xml:space="preserve">kazuje celý postup </w:t>
      </w:r>
      <w:r w:rsidR="00C93252" w:rsidRPr="004D42A1">
        <w:rPr>
          <w:i/>
        </w:rPr>
        <w:t>resolutio</w:t>
      </w:r>
      <w:r w:rsidR="00C93252">
        <w:t xml:space="preserve"> v modu predikace původní jednoty jsoucna dané kauzálně přímo od boha.</w:t>
      </w:r>
      <w:r w:rsidR="00C93252">
        <w:rPr>
          <w:rStyle w:val="Znakapoznpodarou"/>
        </w:rPr>
        <w:footnoteReference w:id="199"/>
      </w:r>
      <w:r w:rsidR="006A5102">
        <w:t xml:space="preserve"> V řádu hypostázovaného </w:t>
      </w:r>
      <w:r w:rsidR="006A5102" w:rsidRPr="00DB0D59">
        <w:rPr>
          <w:i/>
        </w:rPr>
        <w:t>resolutio</w:t>
      </w:r>
      <w:r w:rsidR="006A5102">
        <w:t xml:space="preserve"> směrem k bohu jako první příčině pak platí, že </w:t>
      </w:r>
      <w:r w:rsidR="006A5102" w:rsidRPr="007534E9">
        <w:rPr>
          <w:i/>
        </w:rPr>
        <w:t>unum</w:t>
      </w:r>
      <w:r w:rsidR="006A5102">
        <w:t xml:space="preserve"> jako transcendentálie působí kauzálně ve smyslu substance třetího druhu. Predikace dobra v modu </w:t>
      </w:r>
      <w:r w:rsidR="00C93252" w:rsidRPr="004D42A1">
        <w:rPr>
          <w:i/>
        </w:rPr>
        <w:t>bonitas est bona</w:t>
      </w:r>
      <w:r w:rsidR="00C93252">
        <w:t xml:space="preserve"> ukazuje na hypostázovaní dobra jako </w:t>
      </w:r>
      <w:r w:rsidR="00874074">
        <w:t>neoplatonsk</w:t>
      </w:r>
      <w:r w:rsidR="00C93252">
        <w:t xml:space="preserve">é substance třetího druhu. Tím se znovu zavedla do západní scholastiky amfibolická predikace </w:t>
      </w:r>
      <w:r w:rsidR="007835C4">
        <w:t xml:space="preserve">z falsafy </w:t>
      </w:r>
      <w:r w:rsidR="08B023DB">
        <w:t>(</w:t>
      </w:r>
      <w:r w:rsidR="08CE1EBE">
        <w:t>OBJ I</w:t>
      </w:r>
      <w:r w:rsidR="08DE3173">
        <w:t xml:space="preserve">, </w:t>
      </w:r>
      <w:r w:rsidR="00F63B69">
        <w:t>kap. 2.1.2</w:t>
      </w:r>
      <w:r w:rsidR="08B023DB">
        <w:t xml:space="preserve">). Filip navázal </w:t>
      </w:r>
      <w:r w:rsidR="084676C6">
        <w:t>tuto amfibolic</w:t>
      </w:r>
      <w:r w:rsidR="08B023DB">
        <w:t xml:space="preserve">kou predikaci na hypostatický </w:t>
      </w:r>
      <w:r w:rsidR="088443C1">
        <w:t xml:space="preserve">nominální </w:t>
      </w:r>
      <w:r w:rsidR="08B023DB">
        <w:t xml:space="preserve">význam školy </w:t>
      </w:r>
      <w:r w:rsidR="08B023DB" w:rsidRPr="084676C6">
        <w:rPr>
          <w:i/>
        </w:rPr>
        <w:t>sophistae Italici</w:t>
      </w:r>
      <w:r w:rsidR="08B023DB">
        <w:t xml:space="preserve"> daný přímo u bo</w:t>
      </w:r>
      <w:r w:rsidR="084676C6">
        <w:t>h</w:t>
      </w:r>
      <w:r w:rsidR="08B023DB">
        <w:t xml:space="preserve">a v modu </w:t>
      </w:r>
      <w:r w:rsidR="08B023DB" w:rsidRPr="08B023DB">
        <w:rPr>
          <w:i/>
        </w:rPr>
        <w:t>semel</w:t>
      </w:r>
      <w:r w:rsidR="08B023DB">
        <w:t>‒</w:t>
      </w:r>
      <w:r w:rsidR="08B023DB" w:rsidRPr="08B023DB">
        <w:rPr>
          <w:i/>
        </w:rPr>
        <w:t>semper</w:t>
      </w:r>
      <w:r w:rsidR="084676C6">
        <w:rPr>
          <w:i/>
        </w:rPr>
        <w:fldChar w:fldCharType="begin"/>
      </w:r>
      <w:r w:rsidR="084676C6">
        <w:instrText xml:space="preserve"> XE "</w:instrText>
      </w:r>
      <w:r w:rsidR="084676C6" w:rsidRPr="084676C6">
        <w:instrText>predikace</w:instrText>
      </w:r>
      <w:r w:rsidR="084676C6" w:rsidRPr="087440F0">
        <w:rPr>
          <w:i/>
        </w:rPr>
        <w:instrText>:semel</w:instrText>
      </w:r>
      <w:r w:rsidR="084676C6" w:rsidRPr="087440F0">
        <w:instrText>‒</w:instrText>
      </w:r>
      <w:r w:rsidR="084676C6" w:rsidRPr="087440F0">
        <w:rPr>
          <w:i/>
        </w:rPr>
        <w:instrText>semper</w:instrText>
      </w:r>
      <w:r w:rsidR="084676C6">
        <w:instrText xml:space="preserve">" </w:instrText>
      </w:r>
      <w:r w:rsidR="084676C6">
        <w:rPr>
          <w:i/>
        </w:rPr>
        <w:fldChar w:fldCharType="end"/>
      </w:r>
      <w:r w:rsidR="084676C6">
        <w:t xml:space="preserve"> (kap.</w:t>
      </w:r>
      <w:r w:rsidR="08384BC4">
        <w:t xml:space="preserve"> 2</w:t>
      </w:r>
      <w:r w:rsidR="0883678F">
        <w:t xml:space="preserve">.3.1). </w:t>
      </w:r>
      <w:r w:rsidR="00C93252">
        <w:t>Transcen</w:t>
      </w:r>
      <w:r w:rsidR="00F03188">
        <w:t>den</w:t>
      </w:r>
      <w:r w:rsidR="08BD31BB">
        <w:t>tália</w:t>
      </w:r>
      <w:r w:rsidR="00010578">
        <w:t xml:space="preserve"> jako nově predikovaná </w:t>
      </w:r>
      <w:r w:rsidR="00C93252" w:rsidRPr="00010578">
        <w:t>am</w:t>
      </w:r>
      <w:r w:rsidR="00010578" w:rsidRPr="00010578">
        <w:t>fi</w:t>
      </w:r>
      <w:r w:rsidR="00C93252" w:rsidRPr="00010578">
        <w:t>bolia</w:t>
      </w:r>
      <w:r w:rsidR="00C93252">
        <w:t xml:space="preserve"> </w:t>
      </w:r>
      <w:r w:rsidR="00F800F5">
        <w:fldChar w:fldCharType="begin"/>
      </w:r>
      <w:r w:rsidR="00F800F5">
        <w:instrText xml:space="preserve"> XE "</w:instrText>
      </w:r>
      <w:r w:rsidR="00F800F5" w:rsidRPr="004E7B9D">
        <w:instrText>amfibolia</w:instrText>
      </w:r>
      <w:r w:rsidR="00F800F5">
        <w:instrText xml:space="preserve">" </w:instrText>
      </w:r>
      <w:r w:rsidR="00F800F5">
        <w:fldChar w:fldCharType="end"/>
      </w:r>
      <w:r w:rsidR="00C93252">
        <w:t xml:space="preserve">signifikují druh analogické jednoty jsoucna </w:t>
      </w:r>
      <w:r w:rsidR="00010578">
        <w:t xml:space="preserve">dané </w:t>
      </w:r>
      <w:r w:rsidR="00C93252" w:rsidRPr="00273106">
        <w:t xml:space="preserve">mimo </w:t>
      </w:r>
      <w:r w:rsidR="00B01C2A">
        <w:t>druhou substanci</w:t>
      </w:r>
      <w:r w:rsidR="00010578">
        <w:t xml:space="preserve">. Na druhou stranu platí, že </w:t>
      </w:r>
      <w:r w:rsidR="08BD31BB">
        <w:t xml:space="preserve">transcendentália </w:t>
      </w:r>
      <w:r w:rsidR="00C93252">
        <w:t xml:space="preserve">díky analogii stojí </w:t>
      </w:r>
      <w:r w:rsidR="00C93252" w:rsidRPr="00273106">
        <w:t>mimo ekvivoční predikaci danou pouze nominálně.</w:t>
      </w:r>
      <w:r w:rsidR="00C93252">
        <w:t xml:space="preserve"> </w:t>
      </w:r>
      <w:r w:rsidR="001E1EB5">
        <w:t>An</w:t>
      </w:r>
      <w:r w:rsidR="001D04C1">
        <w:t xml:space="preserve">alogická a </w:t>
      </w:r>
      <w:r w:rsidR="001E1EB5">
        <w:t xml:space="preserve">amfibolická predikace hypostázovaných určení jsoucna v modu </w:t>
      </w:r>
      <w:r w:rsidR="001E1EB5" w:rsidRPr="001E1EB5">
        <w:rPr>
          <w:i/>
        </w:rPr>
        <w:t>per prius</w:t>
      </w:r>
      <w:r w:rsidR="001E1EB5">
        <w:t xml:space="preserve"> </w:t>
      </w:r>
      <w:r w:rsidR="001D04C1">
        <w:t>založila novou jednotu základních určení jso</w:t>
      </w:r>
      <w:r w:rsidR="00C93252">
        <w:t>ucna (</w:t>
      </w:r>
      <w:r w:rsidR="00C93252" w:rsidRPr="00F34DF6">
        <w:rPr>
          <w:i/>
        </w:rPr>
        <w:t>passio entis</w:t>
      </w:r>
      <w:r w:rsidR="005425BB">
        <w:rPr>
          <w:i/>
        </w:rPr>
        <w:fldChar w:fldCharType="begin"/>
      </w:r>
      <w:r w:rsidR="005425BB">
        <w:instrText xml:space="preserve"> XE "</w:instrText>
      </w:r>
      <w:r w:rsidR="005425BB" w:rsidRPr="00274107">
        <w:rPr>
          <w:i/>
        </w:rPr>
        <w:instrText>passio entis</w:instrText>
      </w:r>
      <w:r w:rsidR="005425BB">
        <w:instrText xml:space="preserve">" </w:instrText>
      </w:r>
      <w:r w:rsidR="005425BB">
        <w:rPr>
          <w:i/>
        </w:rPr>
        <w:fldChar w:fldCharType="end"/>
      </w:r>
      <w:r w:rsidR="00C93252">
        <w:t>)</w:t>
      </w:r>
      <w:r w:rsidR="001D04C1">
        <w:t xml:space="preserve">. Jejím základem je určení jsoucna v modu </w:t>
      </w:r>
      <w:r w:rsidR="00C93252">
        <w:t xml:space="preserve">Avicennovy </w:t>
      </w:r>
      <w:r w:rsidR="001D04C1">
        <w:t xml:space="preserve">formální jednoduchosti bytí jsoucna </w:t>
      </w:r>
      <w:r w:rsidR="00C93252">
        <w:t>(</w:t>
      </w:r>
      <w:r w:rsidR="00C93252" w:rsidRPr="00273106">
        <w:rPr>
          <w:i/>
        </w:rPr>
        <w:t>hoc esse tantum</w:t>
      </w:r>
      <w:r w:rsidR="00C63957">
        <w:rPr>
          <w:i/>
        </w:rPr>
        <w:fldChar w:fldCharType="begin"/>
      </w:r>
      <w:r w:rsidR="00C63957">
        <w:instrText xml:space="preserve"> XE "</w:instrText>
      </w:r>
      <w:r w:rsidR="00C63957" w:rsidRPr="005A071C">
        <w:rPr>
          <w:i/>
          <w:lang w:eastAsia="en-US"/>
        </w:rPr>
        <w:instrText>hoc esse tantum</w:instrText>
      </w:r>
      <w:r w:rsidR="00C63957">
        <w:instrText xml:space="preserve">" </w:instrText>
      </w:r>
      <w:r w:rsidR="00C63957">
        <w:rPr>
          <w:i/>
        </w:rPr>
        <w:fldChar w:fldCharType="end"/>
      </w:r>
      <w:r w:rsidR="08384BC4">
        <w:rPr>
          <w:i/>
        </w:rPr>
        <w:t xml:space="preserve">; </w:t>
      </w:r>
      <w:r w:rsidR="08CE1EBE">
        <w:t>OBJ I</w:t>
      </w:r>
      <w:r w:rsidR="08384BC4" w:rsidRPr="08384BC4">
        <w:t xml:space="preserve">, </w:t>
      </w:r>
      <w:r w:rsidR="00C93252" w:rsidRPr="00F34DF6">
        <w:t>kap. 2.3.2</w:t>
      </w:r>
      <w:r w:rsidR="00C93252">
        <w:t xml:space="preserve">). </w:t>
      </w:r>
      <w:r w:rsidR="00C93252" w:rsidRPr="00273106">
        <w:t xml:space="preserve">Citovaná studie </w:t>
      </w:r>
      <w:r w:rsidR="00C93252" w:rsidRPr="00273106">
        <w:rPr>
          <w:szCs w:val="24"/>
        </w:rPr>
        <w:t>Aertsen</w:t>
      </w:r>
      <w:r w:rsidR="00C93252" w:rsidRPr="00273106">
        <w:t>a o vzniku transcendentálií u Filipa Kancléř</w:t>
      </w:r>
      <w:r w:rsidR="085319D9">
        <w:t xml:space="preserve">e upozornila na význam termínu </w:t>
      </w:r>
      <w:r w:rsidR="00C93252" w:rsidRPr="00273106">
        <w:rPr>
          <w:i/>
        </w:rPr>
        <w:t>indivisio</w:t>
      </w:r>
      <w:r w:rsidR="00C93252" w:rsidRPr="00273106">
        <w:t xml:space="preserve">, které tvoří hlavní jmenovatel pro definici </w:t>
      </w:r>
      <w:r w:rsidR="00F03188" w:rsidRPr="00F03188">
        <w:rPr>
          <w:i/>
        </w:rPr>
        <w:t>ens</w:t>
      </w:r>
      <w:r w:rsidR="00F03188">
        <w:t xml:space="preserve">, </w:t>
      </w:r>
      <w:r w:rsidR="00C93252" w:rsidRPr="00F03188">
        <w:rPr>
          <w:i/>
        </w:rPr>
        <w:t>unum</w:t>
      </w:r>
      <w:r w:rsidR="00F03188">
        <w:t xml:space="preserve"> </w:t>
      </w:r>
      <w:r w:rsidR="00F03188" w:rsidRPr="00F03188">
        <w:t>a</w:t>
      </w:r>
      <w:r w:rsidR="00F03188">
        <w:t xml:space="preserve"> </w:t>
      </w:r>
      <w:r w:rsidR="00C93252" w:rsidRPr="00273106">
        <w:rPr>
          <w:i/>
        </w:rPr>
        <w:t>bonum</w:t>
      </w:r>
      <w:r w:rsidR="00C93252" w:rsidRPr="00273106">
        <w:t xml:space="preserve"> </w:t>
      </w:r>
      <w:r w:rsidR="00C93252">
        <w:t>(ibid, p. 119‒</w:t>
      </w:r>
      <w:r w:rsidR="00E06C7D">
        <w:t>1</w:t>
      </w:r>
      <w:r w:rsidR="085319D9">
        <w:t xml:space="preserve">23). Termín </w:t>
      </w:r>
      <w:r w:rsidR="00C93252" w:rsidRPr="00273106">
        <w:rPr>
          <w:i/>
        </w:rPr>
        <w:t>resolutio</w:t>
      </w:r>
      <w:r w:rsidR="085319D9">
        <w:t xml:space="preserve"> nebo </w:t>
      </w:r>
      <w:r w:rsidR="00C93252" w:rsidRPr="00273106">
        <w:rPr>
          <w:i/>
        </w:rPr>
        <w:t>indivisio</w:t>
      </w:r>
      <w:r w:rsidR="00C93252" w:rsidRPr="00273106">
        <w:t xml:space="preserve"> ukazuje </w:t>
      </w:r>
      <w:r w:rsidR="00B76E67">
        <w:t>náhled</w:t>
      </w:r>
      <w:r w:rsidR="00C93252" w:rsidRPr="00273106">
        <w:t xml:space="preserve"> jsoucna v modu predikace </w:t>
      </w:r>
      <w:r w:rsidR="00C93252" w:rsidRPr="00273106">
        <w:rPr>
          <w:i/>
        </w:rPr>
        <w:t xml:space="preserve">per prius </w:t>
      </w:r>
      <w:r w:rsidR="00C93252" w:rsidRPr="00273106">
        <w:t xml:space="preserve">vztažené k posledním určením v rámci </w:t>
      </w:r>
      <w:r w:rsidR="00874074">
        <w:t>neoplatonsk</w:t>
      </w:r>
      <w:r w:rsidR="00C93252" w:rsidRPr="00273106">
        <w:t>ých nejvyšších rodů.</w:t>
      </w:r>
      <w:r w:rsidR="00C93252" w:rsidRPr="00273106">
        <w:rPr>
          <w:rStyle w:val="Znakapoznpodarou"/>
        </w:rPr>
        <w:footnoteReference w:id="200"/>
      </w:r>
      <w:r w:rsidR="00C93252" w:rsidRPr="00273106">
        <w:t xml:space="preserve"> </w:t>
      </w:r>
      <w:r w:rsidR="085319D9">
        <w:t>Tento model ambivalentní predikace převezme škola druhého averroismu, včetně naznačené diferenciace jsoucna skrze logické vyloučení jiné možnosti (</w:t>
      </w:r>
      <w:r w:rsidR="085319D9" w:rsidRPr="00050036">
        <w:rPr>
          <w:i/>
        </w:rPr>
        <w:t>par une négation</w:t>
      </w:r>
      <w:r w:rsidR="085319D9">
        <w:t xml:space="preserve">). Negace negace ve smyslu nemožnosti dalšího dělení zakládá v </w:t>
      </w:r>
      <w:r w:rsidR="085319D9" w:rsidRPr="085319D9">
        <w:rPr>
          <w:i/>
        </w:rPr>
        <w:t>Isagoge</w:t>
      </w:r>
      <w:r w:rsidR="085319D9">
        <w:t xml:space="preserve"> poslední atomární význam individua (</w:t>
      </w:r>
      <w:r w:rsidR="08CE1EBE">
        <w:t>OBJ I</w:t>
      </w:r>
      <w:r w:rsidR="081A312A">
        <w:t xml:space="preserve">, </w:t>
      </w:r>
      <w:r w:rsidR="084E7952">
        <w:t>kap. 1.3</w:t>
      </w:r>
      <w:r w:rsidR="085319D9">
        <w:t xml:space="preserve">). Tuto nedělitelnost vzatou již čistě pozitivně jako druhou substanci najdeme od Bonaventury a Oliviho v modu </w:t>
      </w:r>
      <w:r w:rsidR="085319D9" w:rsidRPr="004D42A1">
        <w:rPr>
          <w:i/>
        </w:rPr>
        <w:t>non repugnat esse</w:t>
      </w:r>
      <w:r w:rsidR="085319D9">
        <w:rPr>
          <w:i/>
        </w:rPr>
        <w:fldChar w:fldCharType="begin"/>
      </w:r>
      <w:r w:rsidR="085319D9">
        <w:instrText xml:space="preserve"> XE "</w:instrText>
      </w:r>
      <w:r w:rsidR="085319D9" w:rsidRPr="00D44ACB">
        <w:rPr>
          <w:i/>
        </w:rPr>
        <w:instrText>non repugnat esse</w:instrText>
      </w:r>
      <w:r w:rsidR="085319D9">
        <w:instrText xml:space="preserve">" </w:instrText>
      </w:r>
      <w:r w:rsidR="085319D9">
        <w:rPr>
          <w:i/>
        </w:rPr>
        <w:fldChar w:fldCharType="end"/>
      </w:r>
      <w:r w:rsidR="085319D9">
        <w:t xml:space="preserve"> (</w:t>
      </w:r>
      <w:r w:rsidR="08CE1EBE">
        <w:t>OBJ III</w:t>
      </w:r>
      <w:r w:rsidR="08D63801">
        <w:t>, kap. 5</w:t>
      </w:r>
      <w:r w:rsidR="085319D9">
        <w:t xml:space="preserve">.1.1). </w:t>
      </w:r>
      <w:r w:rsidR="00E26E93" w:rsidRPr="00273106">
        <w:t xml:space="preserve">Filipova </w:t>
      </w:r>
      <w:r w:rsidR="00A61FB5" w:rsidRPr="00A04D68">
        <w:rPr>
          <w:i/>
          <w:lang w:eastAsia="en-US"/>
        </w:rPr>
        <w:t>Summa</w:t>
      </w:r>
      <w:r w:rsidR="00A61FB5" w:rsidRPr="00FD0CC0">
        <w:rPr>
          <w:lang w:eastAsia="en-US"/>
        </w:rPr>
        <w:t xml:space="preserve"> </w:t>
      </w:r>
      <w:r w:rsidR="00A61FB5" w:rsidRPr="00A04D68">
        <w:rPr>
          <w:i/>
          <w:lang w:eastAsia="en-US"/>
        </w:rPr>
        <w:t>de bono</w:t>
      </w:r>
      <w:r w:rsidR="00A61FB5">
        <w:rPr>
          <w:lang w:eastAsia="en-US"/>
        </w:rPr>
        <w:t xml:space="preserve"> </w:t>
      </w:r>
      <w:r w:rsidR="00E26E93" w:rsidRPr="00273106">
        <w:t>def</w:t>
      </w:r>
      <w:r w:rsidR="00E26E93">
        <w:t xml:space="preserve">inuje dobro po vzoru porretánů. </w:t>
      </w:r>
      <w:r w:rsidR="00C93252" w:rsidRPr="00273106">
        <w:t>Rodov</w:t>
      </w:r>
      <w:r w:rsidR="00E26E93">
        <w:t xml:space="preserve">á určení porretánů v rámci Porfyriova stromu dostala v pojetí </w:t>
      </w:r>
      <w:r w:rsidR="00C93252" w:rsidRPr="00273106">
        <w:rPr>
          <w:i/>
        </w:rPr>
        <w:t>resolutio</w:t>
      </w:r>
      <w:r w:rsidR="00C93252" w:rsidRPr="00273106">
        <w:t xml:space="preserve"> nejobecnější </w:t>
      </w:r>
      <w:r w:rsidR="00C93252" w:rsidRPr="00273106">
        <w:lastRenderedPageBreak/>
        <w:t xml:space="preserve">charakter určení jsoucna jako zvláštní formy individuality, kterou lze predikovat směrem dolů, v modu hypostázované vlastnosti či jsoucna třetího druhu. </w:t>
      </w:r>
      <w:r w:rsidR="000C1C9E" w:rsidRPr="00273106">
        <w:t>Nový náhled na jsoucno je dán z hlediska toho, co je všem rodům nejobecnější (</w:t>
      </w:r>
      <w:r w:rsidR="000C1C9E" w:rsidRPr="00273106">
        <w:rPr>
          <w:i/>
        </w:rPr>
        <w:t>communissimum</w:t>
      </w:r>
      <w:r w:rsidR="08D25F29">
        <w:t xml:space="preserve">). To tvoří </w:t>
      </w:r>
      <w:r w:rsidR="08B90494">
        <w:t>jejich poslední specifickou</w:t>
      </w:r>
      <w:r w:rsidR="000C1C9E" w:rsidRPr="00273106">
        <w:t xml:space="preserve"> vlastnost v rámc</w:t>
      </w:r>
      <w:r w:rsidR="00210CD1">
        <w:t>i dělení univerzálií podle Porfy</w:t>
      </w:r>
      <w:r w:rsidR="000C1C9E" w:rsidRPr="00273106">
        <w:t xml:space="preserve">riova stromu. Úplně na konci </w:t>
      </w:r>
      <w:r w:rsidR="007835C4">
        <w:t xml:space="preserve">nebo začátku </w:t>
      </w:r>
      <w:r w:rsidR="000C1C9E" w:rsidRPr="00273106">
        <w:t xml:space="preserve">dělení stojí jako poslední individuum </w:t>
      </w:r>
      <w:r w:rsidR="00210CD1">
        <w:t>platonské</w:t>
      </w:r>
      <w:r w:rsidR="000C1C9E" w:rsidRPr="00273106">
        <w:t xml:space="preserve"> Dobro dané za bytím a za esencí. Po vzoru </w:t>
      </w:r>
      <w:r w:rsidR="00874074">
        <w:t>neoplatonsk</w:t>
      </w:r>
      <w:r w:rsidR="000C1C9E" w:rsidRPr="00273106">
        <w:t xml:space="preserve">é negativní teologie vzhledem k </w:t>
      </w:r>
      <w:r w:rsidR="000C1C9E" w:rsidRPr="00273106">
        <w:rPr>
          <w:i/>
        </w:rPr>
        <w:t>Bonum</w:t>
      </w:r>
      <w:r w:rsidR="000C1C9E" w:rsidRPr="00273106">
        <w:t xml:space="preserve"> je první transcendentální jednota vyjádřena pouze negativně (</w:t>
      </w:r>
      <w:r w:rsidR="000C1C9E" w:rsidRPr="00273106">
        <w:rPr>
          <w:i/>
        </w:rPr>
        <w:t>per differentiam in negatione consistentem</w:t>
      </w:r>
      <w:r w:rsidR="000C1C9E" w:rsidRPr="00273106">
        <w:t xml:space="preserve">; </w:t>
      </w:r>
      <w:r w:rsidR="000C1C9E" w:rsidRPr="00273106">
        <w:rPr>
          <w:i/>
        </w:rPr>
        <w:t>De bono</w:t>
      </w:r>
      <w:r w:rsidR="000C1C9E" w:rsidRPr="00273106">
        <w:t>, q. 1, ed. Wicki, p. 8</w:t>
      </w:r>
      <w:r w:rsidR="08792681">
        <w:fldChar w:fldCharType="begin"/>
      </w:r>
      <w:r w:rsidR="08792681">
        <w:instrText xml:space="preserve"> XE "Filip Kancléř:</w:instrText>
      </w:r>
      <w:r w:rsidR="08792681" w:rsidRPr="001E5A69">
        <w:rPr>
          <w:rStyle w:val="Zvraznn"/>
          <w:iCs w:val="0"/>
        </w:rPr>
        <w:instrText>Summa de Bono</w:instrText>
      </w:r>
      <w:r w:rsidR="08792681">
        <w:rPr>
          <w:rStyle w:val="Zvraznn"/>
          <w:iCs w:val="0"/>
        </w:rPr>
        <w:instrText xml:space="preserve"> </w:instrText>
      </w:r>
      <w:r w:rsidR="08792681">
        <w:instrText xml:space="preserve">8" </w:instrText>
      </w:r>
      <w:r w:rsidR="08792681">
        <w:fldChar w:fldCharType="end"/>
      </w:r>
      <w:r w:rsidR="000C1C9E" w:rsidRPr="00273106">
        <w:t xml:space="preserve">). </w:t>
      </w:r>
      <w:r w:rsidR="009C574E">
        <w:t>Transcendentální d</w:t>
      </w:r>
      <w:r w:rsidR="000C1C9E">
        <w:t xml:space="preserve">obro dostalo </w:t>
      </w:r>
      <w:r w:rsidR="002829EF">
        <w:t xml:space="preserve">v modu amfibolní predikace </w:t>
      </w:r>
      <w:r w:rsidR="000C1C9E">
        <w:t>dvě protikladné vlastnosti. Stalo se mírou dělení a současně poslední nedělitelnou atomární substancí (</w:t>
      </w:r>
      <w:r w:rsidR="000C1C9E" w:rsidRPr="00291636">
        <w:rPr>
          <w:i/>
        </w:rPr>
        <w:t>individuum</w:t>
      </w:r>
      <w:r w:rsidR="00953C82">
        <w:rPr>
          <w:i/>
        </w:rPr>
        <w:fldChar w:fldCharType="begin"/>
      </w:r>
      <w:r w:rsidR="00953C82">
        <w:instrText xml:space="preserve"> XE "substance:</w:instrText>
      </w:r>
      <w:r w:rsidR="00953C82" w:rsidRPr="00953C82">
        <w:instrText>individuum</w:instrText>
      </w:r>
      <w:r w:rsidR="00953C82">
        <w:instrText xml:space="preserve">" </w:instrText>
      </w:r>
      <w:r w:rsidR="00953C82">
        <w:rPr>
          <w:i/>
        </w:rPr>
        <w:fldChar w:fldCharType="end"/>
      </w:r>
      <w:r w:rsidR="000C1C9E">
        <w:t xml:space="preserve">). </w:t>
      </w:r>
      <w:r w:rsidR="00C93252">
        <w:t>Ty</w:t>
      </w:r>
      <w:r w:rsidR="00C93252" w:rsidRPr="00273106">
        <w:t xml:space="preserve">to </w:t>
      </w:r>
      <w:r w:rsidR="00C93252">
        <w:t xml:space="preserve">poslední specifické vlastnosti celku jsoucna </w:t>
      </w:r>
      <w:r w:rsidR="00C93252" w:rsidRPr="00273106">
        <w:t xml:space="preserve">jsou </w:t>
      </w:r>
      <w:r w:rsidR="00C93252">
        <w:t>v latinském avicennismu dány</w:t>
      </w:r>
      <w:r w:rsidR="00C93252" w:rsidRPr="00273106">
        <w:t xml:space="preserve"> jako poslední určení </w:t>
      </w:r>
      <w:r w:rsidR="00C93252" w:rsidRPr="00273106">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rsidR="00C93252" w:rsidRPr="00273106">
        <w:t xml:space="preserve">. </w:t>
      </w:r>
      <w:r w:rsidR="000C1C9E">
        <w:t xml:space="preserve">Dobro a jsoucno funguje </w:t>
      </w:r>
      <w:r w:rsidR="000C1C9E" w:rsidRPr="00273106">
        <w:t>jako individ</w:t>
      </w:r>
      <w:r w:rsidR="000C1C9E">
        <w:t>uum ve smyslu nedělitelné subst</w:t>
      </w:r>
      <w:r w:rsidR="000C1C9E" w:rsidRPr="00273106">
        <w:t>ance třetího druhu</w:t>
      </w:r>
      <w:r w:rsidR="000C1C9E">
        <w:t>, která j</w:t>
      </w:r>
      <w:r w:rsidR="000C1C9E" w:rsidRPr="00273106">
        <w:t xml:space="preserve">e dána za </w:t>
      </w:r>
      <w:r w:rsidR="000C1C9E">
        <w:t xml:space="preserve">konečným </w:t>
      </w:r>
      <w:r w:rsidR="000C1C9E" w:rsidRPr="00273106">
        <w:t xml:space="preserve">dělením univerzálií v rámci </w:t>
      </w:r>
      <w:r w:rsidR="004B4D52" w:rsidRPr="004B4D52">
        <w:t>species</w:t>
      </w:r>
      <w:r w:rsidR="000C1C9E"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0C1C9E" w:rsidRPr="00273106">
        <w:t>.</w:t>
      </w:r>
      <w:r w:rsidR="000C1C9E">
        <w:t xml:space="preserve"> </w:t>
      </w:r>
      <w:r w:rsidR="00C93252" w:rsidRPr="00273106">
        <w:t xml:space="preserve">Systém určení jsoucna kopíruje známý porretánský scénář </w:t>
      </w:r>
      <w:r w:rsidR="001772AD">
        <w:t xml:space="preserve">infinitezimálního dělení reality podle matematické abstrakce </w:t>
      </w:r>
      <w:r w:rsidR="00C93252" w:rsidRPr="00273106">
        <w:t>(</w:t>
      </w:r>
      <w:r w:rsidR="001772AD" w:rsidRPr="00273106">
        <w:rPr>
          <w:i/>
        </w:rPr>
        <w:t>discrete videamus</w:t>
      </w:r>
      <w:r w:rsidR="001772AD">
        <w:t xml:space="preserve">, </w:t>
      </w:r>
      <w:r w:rsidR="08B90494">
        <w:t>kap. 1</w:t>
      </w:r>
      <w:r w:rsidR="00C93252" w:rsidRPr="00273106">
        <w:t xml:space="preserve">.4). </w:t>
      </w:r>
      <w:r w:rsidR="00CA6744">
        <w:t xml:space="preserve">Filip </w:t>
      </w:r>
      <w:r w:rsidR="00C93252" w:rsidRPr="00273106">
        <w:t>po</w:t>
      </w:r>
      <w:r w:rsidR="082910FD">
        <w:t xml:space="preserve">užívá pro nejvyšší rody termín </w:t>
      </w:r>
      <w:r w:rsidR="00C93252" w:rsidRPr="00273106">
        <w:rPr>
          <w:i/>
        </w:rPr>
        <w:t>concomitantes esse</w:t>
      </w:r>
      <w:r w:rsidR="00C93252" w:rsidRPr="00273106">
        <w:t>, kte</w:t>
      </w:r>
      <w:r w:rsidR="082910FD">
        <w:t xml:space="preserve">rý determinuje první hypostáze </w:t>
      </w:r>
      <w:r w:rsidR="00C93252" w:rsidRPr="00273106">
        <w:rPr>
          <w:i/>
        </w:rPr>
        <w:t>unitas</w:t>
      </w:r>
      <w:r w:rsidR="00C93252" w:rsidRPr="00273106">
        <w:t xml:space="preserve">, </w:t>
      </w:r>
      <w:r w:rsidR="00C93252" w:rsidRPr="00273106">
        <w:rPr>
          <w:i/>
        </w:rPr>
        <w:t>veritas</w:t>
      </w:r>
      <w:r w:rsidR="00C93252" w:rsidRPr="00273106">
        <w:t xml:space="preserve">, </w:t>
      </w:r>
      <w:r w:rsidR="00C93252" w:rsidRPr="00273106">
        <w:rPr>
          <w:i/>
        </w:rPr>
        <w:t>bonitas</w:t>
      </w:r>
      <w:r w:rsidR="00C93252" w:rsidRPr="00273106">
        <w:t xml:space="preserve"> </w:t>
      </w:r>
      <w:r w:rsidR="00A44A60">
        <w:fldChar w:fldCharType="begin"/>
      </w:r>
      <w:r w:rsidR="00A44A60">
        <w:instrText xml:space="preserve"> XE "</w:instrText>
      </w:r>
      <w:r w:rsidR="00A44A60" w:rsidRPr="002001A6">
        <w:instrText>transcendentálie</w:instrText>
      </w:r>
      <w:r w:rsidR="00A44A60">
        <w:instrText xml:space="preserve">" </w:instrText>
      </w:r>
      <w:r w:rsidR="00A44A60">
        <w:fldChar w:fldCharType="end"/>
      </w:r>
      <w:r w:rsidR="00C93252" w:rsidRPr="00273106">
        <w:t>jako ne</w:t>
      </w:r>
      <w:r w:rsidR="082910FD">
        <w:t xml:space="preserve">jvyšší a nejobecnější predikáty. Celý systém dělení a predikace běží v modu </w:t>
      </w:r>
      <w:r w:rsidR="00C93252" w:rsidRPr="00273106">
        <w:t>komitace a apozice v</w:t>
      </w:r>
      <w:r w:rsidR="082910FD">
        <w:t xml:space="preserve">zhledem k Avicennovu metafyzickému určení </w:t>
      </w:r>
      <w:r w:rsidR="00C93252" w:rsidRPr="00273106">
        <w:t>jsoucn</w:t>
      </w:r>
      <w:r w:rsidR="082910FD">
        <w:t xml:space="preserve">a v modu </w:t>
      </w:r>
      <w:r w:rsidR="082910FD" w:rsidRPr="082910FD">
        <w:rPr>
          <w:i/>
        </w:rPr>
        <w:t>ens inquantum ens</w:t>
      </w:r>
      <w:r w:rsidR="00C93252" w:rsidRPr="00273106">
        <w:t xml:space="preserve">. </w:t>
      </w:r>
    </w:p>
    <w:p w14:paraId="4C6E240B" w14:textId="77777777" w:rsidR="00C93252" w:rsidRPr="00273106" w:rsidRDefault="00C93252" w:rsidP="00C93252">
      <w:pPr>
        <w:pStyle w:val="Citace"/>
        <w:rPr>
          <w:noProof/>
          <w:lang w:val="cs-CZ"/>
        </w:rPr>
      </w:pPr>
      <w:r w:rsidRPr="00273106">
        <w:rPr>
          <w:noProof/>
          <w:lang w:val="cs-CZ"/>
        </w:rPr>
        <w:t>„Jsou tři základní vlastnosti, které doprovázejí bytí jsoucna (</w:t>
      </w:r>
      <w:r w:rsidRPr="00273106">
        <w:rPr>
          <w:i/>
          <w:noProof/>
          <w:lang w:val="cs-CZ"/>
        </w:rPr>
        <w:t>concomitantes esse</w:t>
      </w:r>
      <w:r w:rsidRPr="00273106">
        <w:rPr>
          <w:noProof/>
          <w:lang w:val="cs-CZ"/>
        </w:rPr>
        <w:t xml:space="preserve">): jednota, pravdivost, dobrota. Jednota je z nich na prvním místě, druhá je pravdivost, třetí dobrota. V nich může být esence uchopena v řádu účinné, formální a finální příčiny, ale nikoliv materiální.“ </w:t>
      </w:r>
      <w:r w:rsidRPr="00273106">
        <w:rPr>
          <w:rStyle w:val="Znakapoznpodarou"/>
          <w:noProof/>
          <w:lang w:val="cs-CZ"/>
        </w:rPr>
        <w:footnoteReference w:id="201"/>
      </w:r>
    </w:p>
    <w:p w14:paraId="084D5E07" w14:textId="5F328707" w:rsidR="004E43EE" w:rsidRDefault="00C93252" w:rsidP="00C93252">
      <w:r w:rsidRPr="00273106">
        <w:t xml:space="preserve">Citace ukazuje první formu budoucí metafyzické struktury </w:t>
      </w:r>
      <w:r w:rsidRPr="00273106">
        <w:rPr>
          <w:i/>
        </w:rPr>
        <w:t>Modernorum</w:t>
      </w:r>
      <w:r w:rsidR="08067455">
        <w:t xml:space="preserve">, kterou Filip konstruuje </w:t>
      </w:r>
      <w:r w:rsidR="00F81E49">
        <w:t>podle Toledské školy.</w:t>
      </w:r>
      <w:r w:rsidRPr="00273106">
        <w:t xml:space="preserve"> Komitační hypostáze vyjadřující základní vlastnosti Avicennova </w:t>
      </w:r>
      <w:r w:rsidRPr="00273106">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rsidRPr="00273106">
        <w:t xml:space="preserve"> jsou predikovány v modu </w:t>
      </w:r>
      <w:r w:rsidRPr="00273106">
        <w:rPr>
          <w:i/>
        </w:rPr>
        <w:t>per prius</w:t>
      </w:r>
      <w:r w:rsidRPr="00273106">
        <w:t xml:space="preserve"> a </w:t>
      </w:r>
      <w:r w:rsidRPr="00273106">
        <w:rPr>
          <w:i/>
        </w:rPr>
        <w:t>per posterius</w:t>
      </w:r>
      <w:r w:rsidR="08551237">
        <w:t xml:space="preserve">. </w:t>
      </w:r>
      <w:r w:rsidRPr="00273106">
        <w:t xml:space="preserve">Na prvním místě je účinná příčina, pak formální a nakonec finální. </w:t>
      </w:r>
      <w:r w:rsidR="08A06175">
        <w:t xml:space="preserve">Pořadí jasně říká, že pro Filipa jde o kauzalitu danou na úrovni tvoření prvních automních forem podle </w:t>
      </w:r>
      <w:r w:rsidR="08A06175" w:rsidRPr="08A06175">
        <w:rPr>
          <w:i/>
        </w:rPr>
        <w:t>Liber de causis</w:t>
      </w:r>
      <w:r w:rsidR="08A06175">
        <w:t xml:space="preserve">. Proto je z této formy porretánské „eksistence“ a predikace vyloučena </w:t>
      </w:r>
      <w:r w:rsidR="083D1B7B">
        <w:lastRenderedPageBreak/>
        <w:t xml:space="preserve">aristotelská </w:t>
      </w:r>
      <w:r w:rsidR="08A06175">
        <w:t xml:space="preserve">hylemorfická substance. Rufus a Kilwardby k tomuto spojení trojí kauzality přidali oxfordskou nauku o univerzálním hylemorfismu a založili </w:t>
      </w:r>
      <w:r w:rsidR="002160E9">
        <w:t xml:space="preserve">novou </w:t>
      </w:r>
      <w:r w:rsidR="08A06175">
        <w:t xml:space="preserve">formu </w:t>
      </w:r>
      <w:r w:rsidR="08A06175" w:rsidRPr="002160E9">
        <w:rPr>
          <w:i/>
        </w:rPr>
        <w:t>resolu</w:t>
      </w:r>
      <w:r w:rsidR="002160E9" w:rsidRPr="002160E9">
        <w:rPr>
          <w:i/>
        </w:rPr>
        <w:t>tio</w:t>
      </w:r>
      <w:r w:rsidR="002160E9">
        <w:t xml:space="preserve"> </w:t>
      </w:r>
      <w:r w:rsidR="08A06175">
        <w:t xml:space="preserve">podle </w:t>
      </w:r>
      <w:r w:rsidR="08A06175" w:rsidRPr="08A06175">
        <w:rPr>
          <w:i/>
        </w:rPr>
        <w:t>Oxfordian Fallacy</w:t>
      </w:r>
      <w:r w:rsidR="08A06175">
        <w:t xml:space="preserve">. </w:t>
      </w:r>
      <w:r w:rsidRPr="00273106">
        <w:t>Po vzoru Avicenn</w:t>
      </w:r>
      <w:r w:rsidR="00BB06EB">
        <w:t xml:space="preserve">ova jsoucna třetího druhu jako </w:t>
      </w:r>
      <w:r w:rsidRPr="00273106">
        <w:rPr>
          <w:i/>
        </w:rPr>
        <w:t>hoc esse tantum</w:t>
      </w:r>
      <w:r w:rsidR="00C63957">
        <w:rPr>
          <w:i/>
        </w:rPr>
        <w:fldChar w:fldCharType="begin"/>
      </w:r>
      <w:r w:rsidR="00C63957">
        <w:instrText xml:space="preserve"> XE "</w:instrText>
      </w:r>
      <w:r w:rsidR="00C63957" w:rsidRPr="005A071C">
        <w:rPr>
          <w:i/>
          <w:lang w:eastAsia="en-US"/>
        </w:rPr>
        <w:instrText>hoc esse tantum</w:instrText>
      </w:r>
      <w:r w:rsidR="00C63957">
        <w:instrText xml:space="preserve">" </w:instrText>
      </w:r>
      <w:r w:rsidR="00C63957">
        <w:rPr>
          <w:i/>
        </w:rPr>
        <w:fldChar w:fldCharType="end"/>
      </w:r>
      <w:r w:rsidRPr="00273106">
        <w:rPr>
          <w:i/>
        </w:rPr>
        <w:t xml:space="preserve"> </w:t>
      </w:r>
      <w:r w:rsidRPr="00273106">
        <w:t xml:space="preserve">je vytvořena na úrovni transcendentálií jako jsoucen třetího druhu </w:t>
      </w:r>
      <w:r w:rsidR="086E2247">
        <w:t xml:space="preserve">nová </w:t>
      </w:r>
      <w:r w:rsidRPr="00273106">
        <w:t>rovina univoční predikace podobná tab</w:t>
      </w:r>
      <w:r w:rsidR="08CE0C71">
        <w:t xml:space="preserve">ulce kategorií. </w:t>
      </w:r>
      <w:r w:rsidR="08C142C9" w:rsidRPr="00273106">
        <w:t>Z kategor</w:t>
      </w:r>
      <w:r w:rsidR="08C142C9">
        <w:t xml:space="preserve">ií si nová určení jsoucna daná </w:t>
      </w:r>
      <w:r w:rsidR="08C142C9" w:rsidRPr="00273106">
        <w:rPr>
          <w:i/>
        </w:rPr>
        <w:t>in primis</w:t>
      </w:r>
      <w:r w:rsidR="08C142C9" w:rsidRPr="00273106">
        <w:t xml:space="preserve"> berou základní hyparchická určení bytí, tedy predikaci </w:t>
      </w:r>
      <w:r w:rsidR="08C142C9" w:rsidRPr="00273106">
        <w:rPr>
          <w:i/>
        </w:rPr>
        <w:t>per prius</w:t>
      </w:r>
      <w:r w:rsidR="08C142C9" w:rsidRPr="00273106">
        <w:t xml:space="preserve"> vzhledem k Avicennově hypostázovanému jsoucnu jako jsoucnu (</w:t>
      </w:r>
      <w:r w:rsidR="000943E9">
        <w:rPr>
          <w:i/>
        </w:rPr>
        <w:t>ens inquantum</w:t>
      </w:r>
      <w:r w:rsidR="08C142C9" w:rsidRPr="00273106">
        <w:rPr>
          <w:i/>
        </w:rPr>
        <w:t xml:space="preserve"> ens</w:t>
      </w:r>
      <w:r w:rsidR="08C142C9" w:rsidRPr="00273106">
        <w:t xml:space="preserve">) danému </w:t>
      </w:r>
      <w:r w:rsidR="08C142C9" w:rsidRPr="00273106">
        <w:rPr>
          <w:i/>
        </w:rPr>
        <w:t>per se</w:t>
      </w:r>
      <w:r w:rsidR="08C142C9" w:rsidRPr="00273106">
        <w:t xml:space="preserve"> v pozici </w:t>
      </w:r>
      <w:r w:rsidR="08DF3F59">
        <w:t>jsoucna třetího druhu</w:t>
      </w:r>
      <w:r w:rsidR="08C142C9">
        <w:rPr>
          <w:i/>
        </w:rPr>
        <w:fldChar w:fldCharType="begin"/>
      </w:r>
      <w:r w:rsidR="08C142C9">
        <w:instrText xml:space="preserve"> XE "</w:instrText>
      </w:r>
      <w:r w:rsidR="08C142C9" w:rsidRPr="002F10B4">
        <w:rPr>
          <w:rStyle w:val="Zvraznn"/>
        </w:rPr>
        <w:instrText>tertium ens</w:instrText>
      </w:r>
      <w:r w:rsidR="08C142C9" w:rsidRPr="003330AF">
        <w:rPr>
          <w:rStyle w:val="Zvraznn"/>
          <w:i w:val="0"/>
        </w:rPr>
        <w:instrText>:transcende</w:instrText>
      </w:r>
      <w:r w:rsidR="08C142C9">
        <w:rPr>
          <w:rStyle w:val="Zvraznn"/>
          <w:i w:val="0"/>
        </w:rPr>
        <w:instrText>n</w:instrText>
      </w:r>
      <w:r w:rsidR="08C142C9" w:rsidRPr="003330AF">
        <w:rPr>
          <w:rStyle w:val="Zvraznn"/>
          <w:i w:val="0"/>
        </w:rPr>
        <w:instrText>táli</w:instrText>
      </w:r>
      <w:r w:rsidR="08C142C9">
        <w:rPr>
          <w:rStyle w:val="Zvraznn"/>
          <w:i w:val="0"/>
        </w:rPr>
        <w:instrText>a</w:instrText>
      </w:r>
      <w:r w:rsidR="08C142C9">
        <w:instrText xml:space="preserve">" </w:instrText>
      </w:r>
      <w:r w:rsidR="08C142C9">
        <w:rPr>
          <w:i/>
        </w:rPr>
        <w:fldChar w:fldCharType="end"/>
      </w:r>
      <w:r w:rsidR="08C142C9" w:rsidRPr="00273106">
        <w:t xml:space="preserve">, tedy mimo jakéhokoliv nositele. </w:t>
      </w:r>
      <w:r w:rsidR="08EF3BEB">
        <w:t>Modernisté inspirovaní</w:t>
      </w:r>
      <w:r w:rsidR="08C142C9">
        <w:t xml:space="preserve"> výkladem Toledské školy</w:t>
      </w:r>
      <w:r w:rsidR="08C142C9">
        <w:fldChar w:fldCharType="begin"/>
      </w:r>
      <w:r w:rsidR="08C142C9">
        <w:instrText xml:space="preserve"> XE "Toledská škola" </w:instrText>
      </w:r>
      <w:r w:rsidR="08C142C9">
        <w:fldChar w:fldCharType="end"/>
      </w:r>
      <w:r w:rsidR="08C142C9">
        <w:t xml:space="preserve"> </w:t>
      </w:r>
      <w:r w:rsidR="08C142C9" w:rsidRPr="00273106">
        <w:t>přebrali Avicennovu definici bytí jsoucna bez subjektu (</w:t>
      </w:r>
      <w:r w:rsidR="08C142C9" w:rsidRPr="00273106">
        <w:rPr>
          <w:i/>
        </w:rPr>
        <w:t>ens non in subiectum</w:t>
      </w:r>
      <w:r w:rsidR="08C142C9">
        <w:rPr>
          <w:i/>
        </w:rPr>
        <w:fldChar w:fldCharType="begin"/>
      </w:r>
      <w:r w:rsidR="08C142C9">
        <w:instrText xml:space="preserve"> XE "</w:instrText>
      </w:r>
      <w:r w:rsidR="08C142C9" w:rsidRPr="00360013">
        <w:rPr>
          <w:i/>
        </w:rPr>
        <w:instrText>subiectum:</w:instrText>
      </w:r>
      <w:r w:rsidR="08C142C9" w:rsidRPr="00360013">
        <w:instrText>třetího druhu</w:instrText>
      </w:r>
      <w:r w:rsidR="08C142C9">
        <w:instrText xml:space="preserve">" </w:instrText>
      </w:r>
      <w:r w:rsidR="08C142C9">
        <w:rPr>
          <w:i/>
        </w:rPr>
        <w:fldChar w:fldCharType="end"/>
      </w:r>
      <w:r w:rsidR="08C142C9" w:rsidRPr="00273106">
        <w:t>).</w:t>
      </w:r>
      <w:r w:rsidR="08C142C9" w:rsidRPr="00273106">
        <w:rPr>
          <w:rStyle w:val="Znakapoznpodarou"/>
        </w:rPr>
        <w:footnoteReference w:id="202"/>
      </w:r>
      <w:r w:rsidR="08C142C9" w:rsidRPr="00273106">
        <w:t xml:space="preserve"> Kancléř Filip obhájil Avicennovo pojetí metafyzické abstrakce na úrovni </w:t>
      </w:r>
      <w:r w:rsidR="08C142C9" w:rsidRPr="00273106">
        <w:rPr>
          <w:i/>
        </w:rPr>
        <w:t>ens inquantum ens</w:t>
      </w:r>
      <w:r w:rsidR="08C142C9" w:rsidRPr="00273106">
        <w:t xml:space="preserve">, kterou je možné přímo nazírat v posledních dále nedělitelných určeních jsoucna. Přímé nazírání </w:t>
      </w:r>
      <w:r w:rsidR="00E9435D">
        <w:t xml:space="preserve">hypostatických </w:t>
      </w:r>
      <w:r w:rsidR="08C142C9" w:rsidRPr="00273106">
        <w:t>esencí (</w:t>
      </w:r>
      <w:r w:rsidR="08C142C9" w:rsidRPr="00273106">
        <w:rPr>
          <w:i/>
        </w:rPr>
        <w:t>plena resolutio</w:t>
      </w:r>
      <w:r w:rsidR="08C142C9">
        <w:rPr>
          <w:i/>
        </w:rPr>
        <w:fldChar w:fldCharType="begin"/>
      </w:r>
      <w:r w:rsidR="08C142C9">
        <w:instrText xml:space="preserve"> XE "</w:instrText>
      </w:r>
      <w:r w:rsidR="08C142C9">
        <w:rPr>
          <w:i/>
        </w:rPr>
        <w:instrText>resolutio:plena</w:instrText>
      </w:r>
      <w:r w:rsidR="08C142C9">
        <w:instrText xml:space="preserve">" </w:instrText>
      </w:r>
      <w:r w:rsidR="08C142C9">
        <w:rPr>
          <w:i/>
        </w:rPr>
        <w:fldChar w:fldCharType="end"/>
      </w:r>
      <w:r w:rsidR="08C142C9" w:rsidRPr="00273106">
        <w:t xml:space="preserve">) je dané mimo </w:t>
      </w:r>
      <w:r w:rsidR="08EF3BEB">
        <w:t xml:space="preserve">receptivní intelekt. Moderní intelekt </w:t>
      </w:r>
      <w:r w:rsidR="08EF3BEB" w:rsidRPr="00273106">
        <w:t>vidí</w:t>
      </w:r>
      <w:r w:rsidR="08EF3BEB">
        <w:t xml:space="preserve"> </w:t>
      </w:r>
      <w:r w:rsidR="00A44D78">
        <w:t>ty</w:t>
      </w:r>
      <w:r w:rsidR="08C142C9" w:rsidRPr="00273106">
        <w:t xml:space="preserve">to </w:t>
      </w:r>
      <w:r w:rsidR="08C7414D">
        <w:t xml:space="preserve">neexistující </w:t>
      </w:r>
      <w:r w:rsidR="00A44D78">
        <w:t>esence</w:t>
      </w:r>
      <w:r w:rsidR="08C142C9" w:rsidRPr="00273106">
        <w:t xml:space="preserve"> </w:t>
      </w:r>
      <w:r w:rsidR="00EA0A7E">
        <w:t xml:space="preserve">jako reálnou věc, </w:t>
      </w:r>
      <w:r w:rsidR="08C142C9" w:rsidRPr="00273106">
        <w:t xml:space="preserve">díky denudaci individuální materie na čisté univoční formy. </w:t>
      </w:r>
      <w:r w:rsidR="08C142C9">
        <w:t xml:space="preserve">Tím vznikla nová varianta </w:t>
      </w:r>
      <w:r w:rsidR="08912AED">
        <w:t xml:space="preserve">moderního </w:t>
      </w:r>
      <w:r w:rsidR="08C142C9">
        <w:t xml:space="preserve">vidění světa v modu </w:t>
      </w:r>
      <w:r w:rsidR="08C142C9">
        <w:rPr>
          <w:i/>
        </w:rPr>
        <w:t>discrete videa</w:t>
      </w:r>
      <w:r w:rsidR="08C142C9" w:rsidRPr="08C142C9">
        <w:rPr>
          <w:i/>
        </w:rPr>
        <w:t>mus</w:t>
      </w:r>
      <w:r w:rsidR="08C142C9">
        <w:t xml:space="preserve"> </w:t>
      </w:r>
      <w:r w:rsidR="08CE1EBE">
        <w:t>předtím daná u porretánů</w:t>
      </w:r>
      <w:r w:rsidR="08C142C9">
        <w:t xml:space="preserve">. </w:t>
      </w:r>
      <w:r w:rsidR="08C142C9" w:rsidRPr="00273106">
        <w:t xml:space="preserve">Toto pojetí </w:t>
      </w:r>
      <w:r w:rsidR="08C142C9" w:rsidRPr="00273106">
        <w:rPr>
          <w:i/>
        </w:rPr>
        <w:t>resolutio</w:t>
      </w:r>
      <w:r w:rsidR="08C142C9" w:rsidRPr="00273106">
        <w:t xml:space="preserve"> poznamenalo i </w:t>
      </w:r>
      <w:r w:rsidR="08C142C9">
        <w:t xml:space="preserve">Filipovu </w:t>
      </w:r>
      <w:r w:rsidR="08C142C9" w:rsidRPr="00273106">
        <w:t>esencialistickou definici pravdy (</w:t>
      </w:r>
      <w:r w:rsidR="08C142C9" w:rsidRPr="00273106">
        <w:rPr>
          <w:rFonts w:eastAsia="Code2000"/>
          <w:i/>
        </w:rPr>
        <w:t>omne enim in eo quod est verum est</w:t>
      </w:r>
      <w:r w:rsidR="08C142C9" w:rsidRPr="00273106">
        <w:t>), kterou pozdější představitelé prvního averroismu odmítli.</w:t>
      </w:r>
      <w:r w:rsidR="08C142C9">
        <w:t xml:space="preserve"> Stačí se podívat na odstup Alberta v </w:t>
      </w:r>
      <w:r w:rsidR="08C142C9" w:rsidRPr="0073330F">
        <w:rPr>
          <w:i/>
        </w:rPr>
        <w:t>De homine</w:t>
      </w:r>
      <w:r w:rsidR="08C142C9">
        <w:t xml:space="preserve"> a později Akvinského od definice pravdy podávané Filipem Kancléřem „</w:t>
      </w:r>
      <w:r w:rsidR="08C142C9" w:rsidRPr="0073330F">
        <w:rPr>
          <w:i/>
        </w:rPr>
        <w:t>v</w:t>
      </w:r>
      <w:r w:rsidR="08C142C9" w:rsidRPr="0073330F">
        <w:rPr>
          <w:rFonts w:eastAsia="Code2000"/>
          <w:i/>
        </w:rPr>
        <w:t>eritas est indivisio esse et ejus quod est</w:t>
      </w:r>
      <w:r w:rsidR="08E52415">
        <w:rPr>
          <w:rFonts w:eastAsia="Code2000"/>
        </w:rPr>
        <w:t>“, kterou má údajně od filosofů</w:t>
      </w:r>
      <w:r w:rsidR="08C142C9">
        <w:rPr>
          <w:rFonts w:eastAsia="Code2000"/>
        </w:rPr>
        <w:t xml:space="preserve"> (</w:t>
      </w:r>
      <w:r w:rsidR="08C142C9" w:rsidRPr="0073330F">
        <w:rPr>
          <w:rFonts w:eastAsia="Code2000"/>
          <w:i/>
        </w:rPr>
        <w:t>sumitur a Philosophis</w:t>
      </w:r>
      <w:r w:rsidR="08C142C9">
        <w:rPr>
          <w:rFonts w:eastAsia="Code2000"/>
        </w:rPr>
        <w:t xml:space="preserve">). Albert kolem 1240 jasně říká, že ji neobsahuje Aristotelova </w:t>
      </w:r>
      <w:r w:rsidR="08C142C9" w:rsidRPr="00B314CC">
        <w:rPr>
          <w:rFonts w:eastAsia="Code2000"/>
          <w:i/>
        </w:rPr>
        <w:t>Metafyzika</w:t>
      </w:r>
      <w:r w:rsidR="08C142C9">
        <w:rPr>
          <w:rFonts w:eastAsia="Code2000"/>
        </w:rPr>
        <w:t xml:space="preserve">. Akvinský ji bez komentáře cituje v </w:t>
      </w:r>
      <w:r w:rsidR="08C142C9" w:rsidRPr="0073330F">
        <w:rPr>
          <w:rFonts w:eastAsia="Code2000"/>
          <w:i/>
        </w:rPr>
        <w:t>De veritate</w:t>
      </w:r>
      <w:r w:rsidR="08C142C9">
        <w:rPr>
          <w:rFonts w:eastAsia="Code2000"/>
        </w:rPr>
        <w:t xml:space="preserve">, ale už ne v </w:t>
      </w:r>
      <w:r w:rsidR="08C142C9" w:rsidRPr="00B314CC">
        <w:rPr>
          <w:rFonts w:eastAsia="Code2000"/>
          <w:i/>
        </w:rPr>
        <w:t>Teologické sumě</w:t>
      </w:r>
      <w:r w:rsidR="08C142C9">
        <w:rPr>
          <w:rFonts w:eastAsia="Code2000"/>
        </w:rPr>
        <w:t xml:space="preserve"> </w:t>
      </w:r>
      <w:r w:rsidR="08C142C9">
        <w:t>(Poullion 1939, 60). Rozkol v otázce pravdy je pro hermeneutiku zásadní událost</w:t>
      </w:r>
      <w:r w:rsidR="00407AFB">
        <w:t>. T</w:t>
      </w:r>
      <w:r w:rsidR="08C142C9">
        <w:t xml:space="preserve">ento metafyzický </w:t>
      </w:r>
      <w:r w:rsidR="08C142C9" w:rsidRPr="00AF1B16">
        <w:rPr>
          <w:i/>
        </w:rPr>
        <w:t>Ereignis</w:t>
      </w:r>
      <w:r w:rsidR="08C142C9">
        <w:t xml:space="preserve"> ukazuje definitivní rozchod Toledské a Sicilské školy ohledně in</w:t>
      </w:r>
      <w:r w:rsidR="004E43EE">
        <w:t>tepretace Averroese kolem roku 1240.</w:t>
      </w:r>
    </w:p>
    <w:p w14:paraId="1227C443" w14:textId="22068FFD" w:rsidR="00C169A0" w:rsidRDefault="08C142C9" w:rsidP="00C169A0">
      <w:pPr>
        <w:ind w:firstLine="397"/>
      </w:pPr>
      <w:r w:rsidRPr="00273106">
        <w:t xml:space="preserve">Predikace </w:t>
      </w:r>
      <w:r w:rsidRPr="00273106">
        <w:rPr>
          <w:i/>
        </w:rPr>
        <w:t>Nominales</w:t>
      </w:r>
      <w:r w:rsidRPr="00273106">
        <w:t xml:space="preserve"> </w:t>
      </w:r>
      <w:r>
        <w:t xml:space="preserve">ve Filipově škole </w:t>
      </w:r>
      <w:r w:rsidR="08050059">
        <w:t>napojená</w:t>
      </w:r>
      <w:r w:rsidRPr="00273106">
        <w:t xml:space="preserve"> na no</w:t>
      </w:r>
      <w:r>
        <w:t xml:space="preserve">vou formu kvazi-substance </w:t>
      </w:r>
      <w:r w:rsidRPr="00273106">
        <w:t>byla přidána do kategoriálních určení jsoucna daných ve schématu Aristotelových kategorií.</w:t>
      </w:r>
      <w:r>
        <w:t xml:space="preserve"> </w:t>
      </w:r>
      <w:r w:rsidR="08CE0C71">
        <w:t xml:space="preserve">Filipův termín </w:t>
      </w:r>
      <w:r w:rsidR="00C93252" w:rsidRPr="00273106">
        <w:rPr>
          <w:i/>
        </w:rPr>
        <w:t>reflexa predicatio</w:t>
      </w:r>
      <w:r w:rsidR="00C93252" w:rsidRPr="00273106">
        <w:t xml:space="preserve"> abstraktně vypovídá o subjektu v rámci hypostázované </w:t>
      </w:r>
      <w:r w:rsidR="00C93252" w:rsidRPr="00273106">
        <w:lastRenderedPageBreak/>
        <w:t>supozice dané univočně</w:t>
      </w:r>
      <w:r w:rsidR="00552913">
        <w:rPr>
          <w:i/>
        </w:rPr>
        <w:fldChar w:fldCharType="begin"/>
      </w:r>
      <w:r w:rsidR="00552913">
        <w:instrText xml:space="preserve"> XE "supozice:</w:instrText>
      </w:r>
      <w:r w:rsidR="00552913" w:rsidRPr="00315835">
        <w:rPr>
          <w:i/>
        </w:rPr>
        <w:instrText>Grammatici</w:instrText>
      </w:r>
      <w:r w:rsidR="00552913">
        <w:instrText xml:space="preserve">" </w:instrText>
      </w:r>
      <w:r w:rsidR="00552913">
        <w:rPr>
          <w:i/>
        </w:rPr>
        <w:fldChar w:fldCharType="end"/>
      </w:r>
      <w:r w:rsidR="08F508B2">
        <w:t xml:space="preserve">: </w:t>
      </w:r>
      <w:r w:rsidR="00C93252" w:rsidRPr="00273106">
        <w:rPr>
          <w:i/>
        </w:rPr>
        <w:t>Bonitas est bona</w:t>
      </w:r>
      <w:r w:rsidR="08F508B2">
        <w:t>.</w:t>
      </w:r>
      <w:r w:rsidR="00C93252" w:rsidRPr="00273106">
        <w:t xml:space="preserve"> Predikace odpovídá </w:t>
      </w:r>
      <w:r w:rsidR="086A0B53">
        <w:t>výše uvedené Alvernově kritice G</w:t>
      </w:r>
      <w:r w:rsidR="00C93252" w:rsidRPr="00273106">
        <w:t>ramatiků</w:t>
      </w:r>
      <w:r w:rsidR="00315835">
        <w:rPr>
          <w:i/>
        </w:rPr>
        <w:fldChar w:fldCharType="begin"/>
      </w:r>
      <w:r w:rsidR="00315835">
        <w:instrText xml:space="preserve"> XE "druhý averroismus:</w:instrText>
      </w:r>
      <w:r w:rsidR="00315835" w:rsidRPr="00315835">
        <w:rPr>
          <w:i/>
        </w:rPr>
        <w:instrText>Grammatici</w:instrText>
      </w:r>
      <w:r w:rsidR="00315835">
        <w:instrText xml:space="preserve">" </w:instrText>
      </w:r>
      <w:r w:rsidR="00315835">
        <w:rPr>
          <w:i/>
        </w:rPr>
        <w:fldChar w:fldCharType="end"/>
      </w:r>
      <w:r w:rsidR="08AD27E7">
        <w:t xml:space="preserve">. Logičtí nominalisté </w:t>
      </w:r>
      <w:r w:rsidR="00C93252" w:rsidRPr="00273106">
        <w:t xml:space="preserve">konvertovali vlastnosti první substance do substantiv, a </w:t>
      </w:r>
      <w:r w:rsidR="08AD27E7">
        <w:t xml:space="preserve">ty </w:t>
      </w:r>
      <w:r w:rsidR="00C93252" w:rsidRPr="00273106">
        <w:t xml:space="preserve">predikovali ve formě hypostází </w:t>
      </w:r>
      <w:r w:rsidR="08AD27E7">
        <w:t>jako esenciální subjekt</w:t>
      </w:r>
      <w:r w:rsidR="00C93252">
        <w:t xml:space="preserve"> (</w:t>
      </w:r>
      <w:r w:rsidR="00C93252" w:rsidRPr="00A42CE1">
        <w:rPr>
          <w:i/>
        </w:rPr>
        <w:t>album albet</w:t>
      </w:r>
      <w:r w:rsidR="00C93252">
        <w:t>)</w:t>
      </w:r>
      <w:r w:rsidR="00C93252" w:rsidRPr="00273106">
        <w:t xml:space="preserve">. Alvernus </w:t>
      </w:r>
      <w:r w:rsidR="00112FDF">
        <w:t xml:space="preserve">proti těmto sofistům </w:t>
      </w:r>
      <w:r w:rsidR="00C93252" w:rsidRPr="00273106">
        <w:t xml:space="preserve">rozlišil mezi inherentní predikací akcidentů </w:t>
      </w:r>
      <w:r w:rsidR="00C93252">
        <w:t>(</w:t>
      </w:r>
      <w:r w:rsidR="00C93252" w:rsidRPr="00273106">
        <w:rPr>
          <w:i/>
        </w:rPr>
        <w:t>inhaerere subjecto</w:t>
      </w:r>
      <w:r w:rsidR="00C93252">
        <w:t xml:space="preserve">) </w:t>
      </w:r>
      <w:r w:rsidR="00C93252" w:rsidRPr="00273106">
        <w:t xml:space="preserve">a mezi reálnou existencí vlastností </w:t>
      </w:r>
      <w:r w:rsidR="00C93252">
        <w:t xml:space="preserve">subsistujících </w:t>
      </w:r>
      <w:r w:rsidR="00C93252" w:rsidRPr="00273106">
        <w:t>v bytí věci</w:t>
      </w:r>
      <w:r w:rsidR="00C93252">
        <w:t xml:space="preserve"> (</w:t>
      </w:r>
      <w:r w:rsidR="00C93252" w:rsidRPr="00273106">
        <w:rPr>
          <w:i/>
        </w:rPr>
        <w:t>esse in subjecto</w:t>
      </w:r>
      <w:r w:rsidR="00C93252">
        <w:t xml:space="preserve">). </w:t>
      </w:r>
      <w:r w:rsidR="00C93252" w:rsidRPr="00273106">
        <w:t xml:space="preserve">Hypostázovanou formu existence jako jsoucna třetího druhu potvrzuje další termín </w:t>
      </w:r>
      <w:r w:rsidR="00C93252" w:rsidRPr="00273106">
        <w:rPr>
          <w:i/>
        </w:rPr>
        <w:t>De bono</w:t>
      </w:r>
      <w:r w:rsidR="00670C5E">
        <w:t xml:space="preserve">, q. 9, který bude mít velkou budoucnost: </w:t>
      </w:r>
      <w:r w:rsidR="08AD27E7">
        <w:t>„</w:t>
      </w:r>
      <w:r w:rsidR="00C93252" w:rsidRPr="00273106">
        <w:rPr>
          <w:i/>
        </w:rPr>
        <w:t>praedicatio concreti de abstracto</w:t>
      </w:r>
      <w:r w:rsidR="08AD27E7">
        <w:t>“</w:t>
      </w:r>
      <w:r w:rsidR="081A7703">
        <w:t xml:space="preserve">. Filip zakládá termín </w:t>
      </w:r>
      <w:r w:rsidR="00C93252" w:rsidRPr="00273106">
        <w:t>„</w:t>
      </w:r>
      <w:r w:rsidR="083937FA">
        <w:t>konkrétno</w:t>
      </w:r>
      <w:r w:rsidR="00C93252" w:rsidRPr="00273106">
        <w:t xml:space="preserve">“ v moderním významu </w:t>
      </w:r>
      <w:r w:rsidR="00DA4B0F">
        <w:t>atomární  substance</w:t>
      </w:r>
      <w:r w:rsidR="00BB06EB">
        <w:t xml:space="preserve"> třetího druhu</w:t>
      </w:r>
      <w:r w:rsidR="00DA4B0F">
        <w:t>. Nové jsoucno dostalo</w:t>
      </w:r>
      <w:r w:rsidR="00C93252" w:rsidRPr="00273106">
        <w:t xml:space="preserve"> porretánskou hypostázovanou existenci</w:t>
      </w:r>
      <w:r w:rsidR="007824AC">
        <w:t xml:space="preserve">, má </w:t>
      </w:r>
      <w:r w:rsidR="00C93252" w:rsidRPr="00273106">
        <w:t xml:space="preserve">statut </w:t>
      </w:r>
      <w:r w:rsidR="00DA4B0F">
        <w:t xml:space="preserve">substance a založilo </w:t>
      </w:r>
      <w:r w:rsidR="08E96ED8">
        <w:t xml:space="preserve">kategoriální predikaci. Termín </w:t>
      </w:r>
      <w:r w:rsidR="00C73F82">
        <w:t>„</w:t>
      </w:r>
      <w:r w:rsidR="00C93252" w:rsidRPr="00273106">
        <w:rPr>
          <w:i/>
        </w:rPr>
        <w:t>concretum</w:t>
      </w:r>
      <w:r w:rsidR="00C73F82" w:rsidRPr="00C73F82">
        <w:t>“</w:t>
      </w:r>
      <w:r w:rsidR="003330AF">
        <w:rPr>
          <w:i/>
        </w:rPr>
        <w:fldChar w:fldCharType="begin"/>
      </w:r>
      <w:r w:rsidR="003330AF">
        <w:instrText xml:space="preserve"> XE "</w:instrText>
      </w:r>
      <w:r w:rsidR="003330AF" w:rsidRPr="00B759F5">
        <w:rPr>
          <w:i/>
        </w:rPr>
        <w:instrText>concretum</w:instrText>
      </w:r>
      <w:r w:rsidR="003330AF">
        <w:instrText xml:space="preserve">" </w:instrText>
      </w:r>
      <w:r w:rsidR="003330AF">
        <w:rPr>
          <w:i/>
        </w:rPr>
        <w:fldChar w:fldCharType="end"/>
      </w:r>
      <w:r w:rsidR="00C93252" w:rsidRPr="00273106">
        <w:t xml:space="preserve"> dostane </w:t>
      </w:r>
      <w:r w:rsidR="08E96ED8">
        <w:t xml:space="preserve">někdy roku </w:t>
      </w:r>
      <w:r w:rsidR="00C93252" w:rsidRPr="00273106">
        <w:t>1235 první objektivní určení jsoucna u Ru</w:t>
      </w:r>
      <w:r w:rsidR="00632B71">
        <w:t xml:space="preserve">fuse </w:t>
      </w:r>
      <w:r w:rsidR="08E96ED8">
        <w:t xml:space="preserve">v modu univerzálního hylemorfismu </w:t>
      </w:r>
      <w:r w:rsidR="08CE1EBE">
        <w:t>(kap. 3</w:t>
      </w:r>
      <w:r w:rsidR="00632B71">
        <w:t>.3.2</w:t>
      </w:r>
      <w:r w:rsidR="00C93252" w:rsidRPr="00273106">
        <w:t>)</w:t>
      </w:r>
      <w:r w:rsidR="00C93252">
        <w:t xml:space="preserve">. </w:t>
      </w:r>
      <w:r w:rsidR="08E96ED8">
        <w:t xml:space="preserve">Rufus </w:t>
      </w:r>
      <w:r w:rsidR="00C93252">
        <w:t>rozšíř</w:t>
      </w:r>
      <w:r w:rsidR="00364819">
        <w:t>il</w:t>
      </w:r>
      <w:r w:rsidR="00C93252">
        <w:t xml:space="preserve"> </w:t>
      </w:r>
      <w:r w:rsidR="00C93252" w:rsidRPr="00273106">
        <w:t xml:space="preserve">apozici kauzality podle primátu eficientní kauzy </w:t>
      </w:r>
      <w:r w:rsidR="00364819">
        <w:t>daná u F</w:t>
      </w:r>
      <w:r w:rsidR="005772F8" w:rsidRPr="00273106">
        <w:t>ilipa</w:t>
      </w:r>
      <w:r w:rsidR="005772F8">
        <w:t xml:space="preserve"> </w:t>
      </w:r>
      <w:r w:rsidR="00C93252">
        <w:t>Kancléře</w:t>
      </w:r>
      <w:r w:rsidR="00044747">
        <w:t xml:space="preserve">. Vzal toto </w:t>
      </w:r>
      <w:r w:rsidR="00C93252">
        <w:t xml:space="preserve">predikované </w:t>
      </w:r>
      <w:r w:rsidR="00044747">
        <w:t>„</w:t>
      </w:r>
      <w:r w:rsidR="00C93252">
        <w:t>efici</w:t>
      </w:r>
      <w:r w:rsidR="007F3005">
        <w:t>entní</w:t>
      </w:r>
      <w:r w:rsidR="00044747">
        <w:t>“</w:t>
      </w:r>
      <w:r w:rsidR="007F3005">
        <w:t xml:space="preserve"> individuum </w:t>
      </w:r>
      <w:r w:rsidR="00044747">
        <w:t>jako abstraktně pojatý</w:t>
      </w:r>
      <w:r w:rsidR="007F3005">
        <w:t xml:space="preserve"> </w:t>
      </w:r>
      <w:r w:rsidR="00044747">
        <w:t>střední člen</w:t>
      </w:r>
      <w:r w:rsidR="00C93252">
        <w:t xml:space="preserve"> deduktivního vědeckého </w:t>
      </w:r>
      <w:r w:rsidR="00BB0857">
        <w:t>sylo</w:t>
      </w:r>
      <w:r w:rsidR="00C93252">
        <w:t>gismu.</w:t>
      </w:r>
      <w:r w:rsidR="00C93252" w:rsidRPr="00273106">
        <w:t xml:space="preserve"> Tím splyn</w:t>
      </w:r>
      <w:r w:rsidR="00044747">
        <w:t>ulo</w:t>
      </w:r>
      <w:r w:rsidR="00C93252" w:rsidRPr="00273106">
        <w:t xml:space="preserve"> transcendentální určení jsoucna jak</w:t>
      </w:r>
      <w:r w:rsidR="00E32B1D">
        <w:t xml:space="preserve">o </w:t>
      </w:r>
      <w:r w:rsidR="00C93252" w:rsidRPr="00273106">
        <w:rPr>
          <w:i/>
        </w:rPr>
        <w:t>res</w:t>
      </w:r>
      <w:r w:rsidR="00E32B1D">
        <w:t xml:space="preserve"> a moderní </w:t>
      </w:r>
      <w:r w:rsidR="00C93252" w:rsidRPr="00273106">
        <w:rPr>
          <w:i/>
        </w:rPr>
        <w:t>concretum</w:t>
      </w:r>
      <w:r w:rsidR="00C93252" w:rsidRPr="00273106">
        <w:t xml:space="preserve"> do nové podoby jsoucna třetího druhu</w:t>
      </w:r>
      <w:r w:rsidR="08283609">
        <w:t xml:space="preserve"> daného jako moderní </w:t>
      </w:r>
      <w:r w:rsidR="083937FA">
        <w:t>„</w:t>
      </w:r>
      <w:r w:rsidR="08283609">
        <w:t>individuum</w:t>
      </w:r>
      <w:r w:rsidR="00F3066D">
        <w:t>–substance–</w:t>
      </w:r>
      <w:r w:rsidR="00E32B1D">
        <w:t>esence</w:t>
      </w:r>
      <w:r w:rsidR="083937FA">
        <w:t>“</w:t>
      </w:r>
      <w:r w:rsidR="00C93252">
        <w:t xml:space="preserve">. </w:t>
      </w:r>
      <w:r w:rsidR="00F44AF0">
        <w:t xml:space="preserve">Predikace </w:t>
      </w:r>
      <w:r w:rsidR="007F3005">
        <w:t>podle Filipových transcendentálií a podle hypostází porretánů vytvořila</w:t>
      </w:r>
      <w:r w:rsidR="007F3005" w:rsidRPr="00273106">
        <w:t xml:space="preserve"> sofistický mix mezi první a druhou substancí</w:t>
      </w:r>
      <w:r w:rsidR="007F3005">
        <w:t xml:space="preserve">, </w:t>
      </w:r>
      <w:r w:rsidR="00121A82">
        <w:t xml:space="preserve">k níž </w:t>
      </w:r>
      <w:r w:rsidR="08283609">
        <w:t xml:space="preserve">v modu amfibolní predikace </w:t>
      </w:r>
      <w:r w:rsidR="08283609" w:rsidRPr="08283609">
        <w:rPr>
          <w:i/>
        </w:rPr>
        <w:t>in primis</w:t>
      </w:r>
      <w:r w:rsidR="08283609">
        <w:t xml:space="preserve"> přišla i </w:t>
      </w:r>
      <w:r w:rsidR="08487E66">
        <w:t>kauzalita</w:t>
      </w:r>
      <w:r w:rsidR="007F3005">
        <w:t xml:space="preserve"> první substance</w:t>
      </w:r>
      <w:r w:rsidR="007F3005" w:rsidRPr="00273106">
        <w:t>.</w:t>
      </w:r>
      <w:r w:rsidR="007F3005">
        <w:t xml:space="preserve"> </w:t>
      </w:r>
      <w:r w:rsidR="00C93252" w:rsidRPr="00273106">
        <w:t xml:space="preserve">Alvernus naopak váže celý proces </w:t>
      </w:r>
      <w:r w:rsidR="00C93252" w:rsidRPr="00273106">
        <w:rPr>
          <w:i/>
        </w:rPr>
        <w:t>resolutio</w:t>
      </w:r>
      <w:r w:rsidR="00C93252" w:rsidRPr="00273106">
        <w:t xml:space="preserve"> pouze na aktuální kompozitum první substance, kterou intelekt </w:t>
      </w:r>
      <w:r w:rsidR="00C93252">
        <w:t xml:space="preserve">univočně </w:t>
      </w:r>
      <w:r w:rsidR="00C93252" w:rsidRPr="00273106">
        <w:t>nahlíží v kategoriálně predikov</w:t>
      </w:r>
      <w:r w:rsidR="08487E66">
        <w:t xml:space="preserve">ané druhé substanci. Alvernův první spis ve výše uvedené pasáži ohledně </w:t>
      </w:r>
      <w:r w:rsidR="08487E66" w:rsidRPr="08487E66">
        <w:rPr>
          <w:i/>
        </w:rPr>
        <w:t>synderesis</w:t>
      </w:r>
      <w:r w:rsidR="08792681">
        <w:rPr>
          <w:i/>
        </w:rPr>
        <w:fldChar w:fldCharType="begin"/>
      </w:r>
      <w:r w:rsidR="08792681">
        <w:instrText xml:space="preserve"> XE "</w:instrText>
      </w:r>
      <w:r w:rsidR="08792681" w:rsidRPr="08F25968">
        <w:rPr>
          <w:i/>
        </w:rPr>
        <w:instrText>synderesis</w:instrText>
      </w:r>
      <w:r w:rsidR="08792681">
        <w:instrText xml:space="preserve">" </w:instrText>
      </w:r>
      <w:r w:rsidR="08792681">
        <w:rPr>
          <w:i/>
        </w:rPr>
        <w:fldChar w:fldCharType="end"/>
      </w:r>
      <w:r w:rsidR="08487E66">
        <w:t xml:space="preserve"> </w:t>
      </w:r>
      <w:r w:rsidR="00C93252" w:rsidRPr="00273106">
        <w:t xml:space="preserve">popírá, že pro </w:t>
      </w:r>
      <w:r w:rsidR="08487E66">
        <w:t xml:space="preserve">přirozené </w:t>
      </w:r>
      <w:r w:rsidR="00C93252" w:rsidRPr="00273106">
        <w:t xml:space="preserve">lidské poznání je možný druhý stupeň </w:t>
      </w:r>
      <w:r w:rsidR="00C93252" w:rsidRPr="00273106">
        <w:rPr>
          <w:i/>
        </w:rPr>
        <w:t>resolutio</w:t>
      </w:r>
      <w:r w:rsidR="00C93252" w:rsidRPr="00273106">
        <w:t xml:space="preserve"> daný jako illuminace aktivním a odděleným intelektem působícím ve světě čistých forem</w:t>
      </w:r>
      <w:r w:rsidR="08F71724">
        <w:t xml:space="preserve"> (kap. 2</w:t>
      </w:r>
      <w:r w:rsidR="08487E66">
        <w:t>.2.2)</w:t>
      </w:r>
      <w:r w:rsidR="00C93252" w:rsidRPr="00273106">
        <w:t xml:space="preserve">. </w:t>
      </w:r>
      <w:r w:rsidR="00F44AF0">
        <w:t xml:space="preserve">Tento náhled je dán pouze ve stavu mystického vytržení, ale ne normálního a přirozeného poznání. </w:t>
      </w:r>
      <w:r w:rsidR="00C93252" w:rsidRPr="00273106">
        <w:t xml:space="preserve">Protože univerzália v mysli jsou daná pouze skrze </w:t>
      </w:r>
      <w:r w:rsidR="00C93252" w:rsidRPr="00273106">
        <w:rPr>
          <w:i/>
        </w:rPr>
        <w:t>intellectus possibilis</w:t>
      </w:r>
      <w:r w:rsidR="00C93252" w:rsidRPr="00273106">
        <w:t>, pak mají pouze potenciální (ale zato univerzální) status vzhledem k reálně existující (a</w:t>
      </w:r>
      <w:r w:rsidR="00C93252">
        <w:t xml:space="preserve"> tím </w:t>
      </w:r>
      <w:r w:rsidR="00C93252" w:rsidRPr="00273106">
        <w:t xml:space="preserve">jedinečné) </w:t>
      </w:r>
      <w:r w:rsidR="08A4758B">
        <w:t xml:space="preserve">první </w:t>
      </w:r>
      <w:r w:rsidR="00C93252" w:rsidRPr="00273106">
        <w:t xml:space="preserve">substanci. </w:t>
      </w:r>
      <w:r w:rsidR="08D14AE0">
        <w:t xml:space="preserve">Stejné stanovisko měl i jeho spis </w:t>
      </w:r>
      <w:r w:rsidR="08D14AE0" w:rsidRPr="08D14AE0">
        <w:rPr>
          <w:i/>
        </w:rPr>
        <w:t>De Trinitate</w:t>
      </w:r>
      <w:r w:rsidR="08D14AE0">
        <w:t xml:space="preserve"> (</w:t>
      </w:r>
      <w:r w:rsidR="08D14AE0" w:rsidRPr="00273106">
        <w:rPr>
          <w:i/>
        </w:rPr>
        <w:t>in nullius ratione accipitur esse</w:t>
      </w:r>
      <w:r w:rsidR="08F71724">
        <w:t>, kap. 2</w:t>
      </w:r>
      <w:r w:rsidR="08D14AE0">
        <w:t xml:space="preserve">.3.1). </w:t>
      </w:r>
      <w:r w:rsidR="00C93252" w:rsidRPr="00273106">
        <w:t xml:space="preserve">Jiná věc je </w:t>
      </w:r>
      <w:r w:rsidR="006D672B">
        <w:t xml:space="preserve">přímé </w:t>
      </w:r>
      <w:r w:rsidR="00C93252" w:rsidRPr="00273106">
        <w:t xml:space="preserve">poznání </w:t>
      </w:r>
      <w:r w:rsidR="00703233">
        <w:t>boha; v</w:t>
      </w:r>
      <w:r w:rsidR="00C93252">
        <w:t xml:space="preserve"> tomto případě všichni </w:t>
      </w:r>
      <w:r w:rsidR="00C93252" w:rsidRPr="00273106">
        <w:t>scholastik</w:t>
      </w:r>
      <w:r w:rsidR="00C93252">
        <w:t>ové berou iluminaci</w:t>
      </w:r>
      <w:r w:rsidR="00C93252" w:rsidRPr="00273106">
        <w:t xml:space="preserve"> ja</w:t>
      </w:r>
      <w:r w:rsidR="00B606EE">
        <w:t>ko nejvyšší stupeň osvícení</w:t>
      </w:r>
      <w:r w:rsidR="00C93252" w:rsidRPr="00273106">
        <w:t>. Ale to neznamená pro školu prvního a</w:t>
      </w:r>
      <w:r w:rsidR="004F1CAD">
        <w:t>verro</w:t>
      </w:r>
      <w:r w:rsidR="001F621E">
        <w:t>i</w:t>
      </w:r>
      <w:r w:rsidR="004F1CAD">
        <w:t>s</w:t>
      </w:r>
      <w:r w:rsidR="001F621E">
        <w:t>mu</w:t>
      </w:r>
      <w:r w:rsidR="00C93252" w:rsidRPr="00273106">
        <w:t xml:space="preserve">, že </w:t>
      </w:r>
      <w:r w:rsidR="00C93252" w:rsidRPr="00273106">
        <w:rPr>
          <w:i/>
        </w:rPr>
        <w:t>intellectus materialis</w:t>
      </w:r>
      <w:r w:rsidR="00C93252" w:rsidRPr="00273106">
        <w:t xml:space="preserve"> je pasivní substance-zrcadlo daná v lidské duši k zrcadlení inteligibilních forem, které k nám vysílá oddělený </w:t>
      </w:r>
      <w:r w:rsidR="00C93252" w:rsidRPr="00273106">
        <w:rPr>
          <w:i/>
        </w:rPr>
        <w:t>intellectus agens</w:t>
      </w:r>
      <w:r w:rsidR="00C93252" w:rsidRPr="00273106">
        <w:t xml:space="preserve">. </w:t>
      </w:r>
      <w:r w:rsidR="000C7F91" w:rsidRPr="00273106">
        <w:t>V</w:t>
      </w:r>
      <w:r w:rsidR="08F71724">
        <w:t xml:space="preserve"> Alvernově komentáři </w:t>
      </w:r>
      <w:r w:rsidR="000C7F91">
        <w:rPr>
          <w:i/>
        </w:rPr>
        <w:t>De anima</w:t>
      </w:r>
      <w:r w:rsidR="000C7F91" w:rsidRPr="00273106">
        <w:t xml:space="preserve"> existuje </w:t>
      </w:r>
      <w:r w:rsidR="000C7F91" w:rsidRPr="00273106">
        <w:lastRenderedPageBreak/>
        <w:t xml:space="preserve">paralelně k novému pojetí prvního averroismu i celá avicennovská struktura lidského intelektu založeného na aktu </w:t>
      </w:r>
      <w:r w:rsidR="000C7F91">
        <w:t xml:space="preserve">avicennovské </w:t>
      </w:r>
      <w:r w:rsidR="000C7F91" w:rsidRPr="00273106">
        <w:t xml:space="preserve">sebereflexe. Ale </w:t>
      </w:r>
      <w:r w:rsidR="0021793E">
        <w:t>reflexe</w:t>
      </w:r>
      <w:r w:rsidR="000C7F91" w:rsidRPr="00273106">
        <w:t xml:space="preserve"> je zapojena do hylemorfického pojetí osoby podle </w:t>
      </w:r>
      <w:r w:rsidR="002E3B62">
        <w:t>Averroes</w:t>
      </w:r>
      <w:r w:rsidR="000C7F91" w:rsidRPr="00273106">
        <w:t>e</w:t>
      </w:r>
      <w:r w:rsidR="0021793E">
        <w:t>.</w:t>
      </w:r>
      <w:r w:rsidR="0021793E" w:rsidRPr="00273106">
        <w:rPr>
          <w:rStyle w:val="Znakapoznpodarou"/>
        </w:rPr>
        <w:footnoteReference w:id="203"/>
      </w:r>
      <w:r w:rsidR="0021793E">
        <w:t xml:space="preserve"> Citát ukazuje, že sebereflexe </w:t>
      </w:r>
      <w:r w:rsidR="000975B9">
        <w:t xml:space="preserve">je </w:t>
      </w:r>
      <w:r w:rsidR="0021793E">
        <w:t xml:space="preserve">definována skrze </w:t>
      </w:r>
      <w:r w:rsidR="000975B9">
        <w:t>volitivní akt chtění a myšlení</w:t>
      </w:r>
      <w:r w:rsidR="007E3E35">
        <w:t xml:space="preserve"> </w:t>
      </w:r>
      <w:r w:rsidR="0021793E">
        <w:t xml:space="preserve">intelektu </w:t>
      </w:r>
      <w:r w:rsidR="007E3E35">
        <w:t>(</w:t>
      </w:r>
      <w:r w:rsidR="007E3E35" w:rsidRPr="007E3E35">
        <w:rPr>
          <w:i/>
        </w:rPr>
        <w:t xml:space="preserve">tertium </w:t>
      </w:r>
      <w:r w:rsidR="00B1298A">
        <w:rPr>
          <w:i/>
        </w:rPr>
        <w:t>genus</w:t>
      </w:r>
      <w:r w:rsidR="007E3E35">
        <w:t xml:space="preserve"> v CMDA)</w:t>
      </w:r>
      <w:r w:rsidR="000975B9">
        <w:t xml:space="preserve">, </w:t>
      </w:r>
      <w:r w:rsidR="000C7F91" w:rsidRPr="00273106">
        <w:t xml:space="preserve">což uniklo většině </w:t>
      </w:r>
      <w:r w:rsidR="08F71724">
        <w:t xml:space="preserve">moderních a postmoderních </w:t>
      </w:r>
      <w:r w:rsidR="000C7F91" w:rsidRPr="00273106">
        <w:t>komentátorů.</w:t>
      </w:r>
      <w:r w:rsidR="00A32FD7">
        <w:t xml:space="preserve"> </w:t>
      </w:r>
      <w:r w:rsidR="001132DC">
        <w:t xml:space="preserve">Rozchod Alverna se školou Filipa Kancléře otevřel dveře zásadním sporu o pojetí tzv. „dvojí pravdy“. Skrze tento ideologický zápas modernisté prosadí v následující generaci </w:t>
      </w:r>
      <w:r w:rsidR="003472FE">
        <w:t xml:space="preserve">jejich metafyzický </w:t>
      </w:r>
      <w:r w:rsidR="001132DC" w:rsidRPr="001132DC">
        <w:rPr>
          <w:i/>
        </w:rPr>
        <w:t>Irrtum</w:t>
      </w:r>
      <w:r w:rsidR="08853B82">
        <w:t xml:space="preserve"> do myšlení latinského Západu. K tomu p</w:t>
      </w:r>
      <w:r w:rsidR="001132DC">
        <w:t xml:space="preserve">ochopitelně </w:t>
      </w:r>
      <w:r w:rsidR="08853B82">
        <w:t xml:space="preserve">dojde </w:t>
      </w:r>
      <w:r w:rsidR="001132DC">
        <w:t>až po smrti tohoto klíčového představ</w:t>
      </w:r>
      <w:r w:rsidR="000D753C">
        <w:t>itele školy prvního averroismu.</w:t>
      </w:r>
      <w:bookmarkStart w:id="72" w:name="_Toc487234305"/>
      <w:bookmarkStart w:id="73" w:name="_Toc12558312"/>
    </w:p>
    <w:p w14:paraId="45002E6C" w14:textId="3F675292" w:rsidR="002E5B5A" w:rsidRDefault="005D19D9" w:rsidP="00C169A0">
      <w:pPr>
        <w:pStyle w:val="Nadpis3"/>
      </w:pPr>
      <w:r>
        <w:br w:type="page"/>
      </w:r>
      <w:bookmarkStart w:id="74" w:name="_Toc160449324"/>
      <w:r w:rsidR="08D20D28">
        <w:lastRenderedPageBreak/>
        <w:t>2</w:t>
      </w:r>
      <w:r w:rsidR="00AA5D2C">
        <w:t>.3.3 Polemika s univerzálním hylemorfismem</w:t>
      </w:r>
      <w:bookmarkEnd w:id="72"/>
      <w:bookmarkEnd w:id="73"/>
      <w:bookmarkEnd w:id="74"/>
    </w:p>
    <w:p w14:paraId="3301CB4A" w14:textId="77777777" w:rsidR="00E97020" w:rsidRDefault="006A65CC" w:rsidP="00651CDA">
      <w:r w:rsidRPr="00273106">
        <w:t xml:space="preserve">Dalším důležitým bodem </w:t>
      </w:r>
      <w:r w:rsidR="006241E9" w:rsidRPr="00273106">
        <w:t xml:space="preserve">pro hledaný vznik objektivity </w:t>
      </w:r>
      <w:r w:rsidRPr="00273106">
        <w:t xml:space="preserve">je Alvernovo svědectví o příchodu materie jako </w:t>
      </w:r>
      <w:r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842CF7" w:rsidRPr="00842CF7">
        <w:rPr>
          <w:rStyle w:val="Zvraznn"/>
          <w:i w:val="0"/>
        </w:rPr>
        <w:instrText>:materie</w:instrText>
      </w:r>
      <w:r w:rsidR="003F16A5">
        <w:instrText xml:space="preserve">" </w:instrText>
      </w:r>
      <w:r w:rsidR="003F16A5">
        <w:rPr>
          <w:i/>
        </w:rPr>
        <w:fldChar w:fldCharType="end"/>
      </w:r>
      <w:r w:rsidR="00470A99" w:rsidRPr="00273106">
        <w:t xml:space="preserve"> </w:t>
      </w:r>
      <w:r w:rsidR="00571B55" w:rsidRPr="00273106">
        <w:t xml:space="preserve">na latinský Západ </w:t>
      </w:r>
      <w:r w:rsidR="00C2196C" w:rsidRPr="00273106">
        <w:rPr>
          <w:iCs/>
        </w:rPr>
        <w:t xml:space="preserve">skrze tehdejší neoplatoniky jako byl židovský </w:t>
      </w:r>
      <w:r w:rsidR="08FC151D">
        <w:rPr>
          <w:iCs/>
        </w:rPr>
        <w:t xml:space="preserve">myslitel </w:t>
      </w:r>
      <w:r w:rsidR="00C2196C" w:rsidRPr="00273106">
        <w:t>Avicebron</w:t>
      </w:r>
      <w:r w:rsidR="004C27BA">
        <w:fldChar w:fldCharType="begin"/>
      </w:r>
      <w:r w:rsidR="004C27BA">
        <w:instrText xml:space="preserve"> XE "</w:instrText>
      </w:r>
      <w:r w:rsidR="004C27BA" w:rsidRPr="006968B2">
        <w:instrText>Avicebron</w:instrText>
      </w:r>
      <w:r w:rsidR="004C27BA">
        <w:instrText xml:space="preserve">" </w:instrText>
      </w:r>
      <w:r w:rsidR="004C27BA">
        <w:fldChar w:fldCharType="end"/>
      </w:r>
      <w:r w:rsidR="00C2196C" w:rsidRPr="00273106">
        <w:t xml:space="preserve"> (†1057) a </w:t>
      </w:r>
      <w:r w:rsidR="00C2196C" w:rsidRPr="00273106">
        <w:rPr>
          <w:iCs/>
        </w:rPr>
        <w:t xml:space="preserve">arabský </w:t>
      </w:r>
      <w:r w:rsidR="08FC151D">
        <w:rPr>
          <w:iCs/>
        </w:rPr>
        <w:t xml:space="preserve">filosof </w:t>
      </w:r>
      <w:r w:rsidR="00C2196C" w:rsidRPr="00273106">
        <w:rPr>
          <w:iCs/>
        </w:rPr>
        <w:t>Avempace</w:t>
      </w:r>
      <w:r w:rsidR="00842CF7">
        <w:rPr>
          <w:iCs/>
        </w:rPr>
        <w:fldChar w:fldCharType="begin"/>
      </w:r>
      <w:r w:rsidR="00842CF7">
        <w:instrText xml:space="preserve"> XE "</w:instrText>
      </w:r>
      <w:r w:rsidR="00842CF7" w:rsidRPr="00762D06">
        <w:rPr>
          <w:iCs/>
        </w:rPr>
        <w:instrText>Avempace</w:instrText>
      </w:r>
      <w:r w:rsidR="00842CF7">
        <w:instrText xml:space="preserve">" </w:instrText>
      </w:r>
      <w:r w:rsidR="00842CF7">
        <w:rPr>
          <w:iCs/>
        </w:rPr>
        <w:fldChar w:fldCharType="end"/>
      </w:r>
      <w:r w:rsidR="00C2196C" w:rsidRPr="00273106">
        <w:rPr>
          <w:iCs/>
        </w:rPr>
        <w:t xml:space="preserve"> (†1138)</w:t>
      </w:r>
      <w:r w:rsidR="00C2196C" w:rsidRPr="00273106">
        <w:t xml:space="preserve">. </w:t>
      </w:r>
      <w:r w:rsidR="00C6257C" w:rsidRPr="00273106">
        <w:t xml:space="preserve">Zhruba od </w:t>
      </w:r>
      <w:r w:rsidR="08BF10D5">
        <w:t xml:space="preserve">roku </w:t>
      </w:r>
      <w:r w:rsidR="00C6257C" w:rsidRPr="00273106">
        <w:t xml:space="preserve">1150 přišlo na latinský Západ Avicebronovo dílo </w:t>
      </w:r>
      <w:r w:rsidR="00C6257C" w:rsidRPr="00273106">
        <w:rPr>
          <w:i/>
        </w:rPr>
        <w:t>Fons vitae</w:t>
      </w:r>
      <w:r w:rsidR="00C6257C" w:rsidRPr="00273106">
        <w:t xml:space="preserve">, jehož první kniha podává </w:t>
      </w:r>
      <w:r w:rsidR="00874074">
        <w:t>neoplatonsk</w:t>
      </w:r>
      <w:r w:rsidR="00C6257C" w:rsidRPr="00273106">
        <w:t xml:space="preserve">é pojetí látky jako </w:t>
      </w:r>
      <w:r w:rsidR="00C6257C" w:rsidRPr="00273106">
        <w:rPr>
          <w:i/>
        </w:rPr>
        <w:t>tertium ens</w:t>
      </w:r>
      <w:r w:rsidR="00C6257C" w:rsidRPr="00273106">
        <w:t xml:space="preserve">. </w:t>
      </w:r>
      <w:r w:rsidR="00CB604E" w:rsidRPr="00273106">
        <w:t xml:space="preserve">Zavedení materie třetího druhu tvoří podmínku </w:t>
      </w:r>
      <w:r w:rsidR="00CB604E" w:rsidRPr="00273106">
        <w:rPr>
          <w:i/>
        </w:rPr>
        <w:t>sine qua non</w:t>
      </w:r>
      <w:r w:rsidR="00CB604E" w:rsidRPr="00273106">
        <w:t xml:space="preserve"> pro vz</w:t>
      </w:r>
      <w:r w:rsidR="08CB1EDE">
        <w:t>nik objektivního jsoucna (kap. 3</w:t>
      </w:r>
      <w:r w:rsidR="00CB604E" w:rsidRPr="00273106">
        <w:t xml:space="preserve">.2). </w:t>
      </w:r>
      <w:r w:rsidR="00486E92" w:rsidRPr="00273106">
        <w:t xml:space="preserve">Látka </w:t>
      </w:r>
      <w:r w:rsidR="00326148">
        <w:t xml:space="preserve">jako čistá potence </w:t>
      </w:r>
      <w:r w:rsidR="00486E92" w:rsidRPr="00273106">
        <w:t xml:space="preserve">dostala vlastnosti substance </w:t>
      </w:r>
      <w:r w:rsidR="00722A6D">
        <w:t>třetíh</w:t>
      </w:r>
      <w:r w:rsidR="00326148">
        <w:t xml:space="preserve">o druhu </w:t>
      </w:r>
      <w:r w:rsidR="00486E92" w:rsidRPr="00273106">
        <w:t xml:space="preserve">a začala fungovat v systému dělení jsoucna podle </w:t>
      </w:r>
      <w:r w:rsidR="00486E92" w:rsidRPr="00273106">
        <w:rPr>
          <w:i/>
        </w:rPr>
        <w:t>Nominales</w:t>
      </w:r>
      <w:r w:rsidR="00842CF7">
        <w:rPr>
          <w:i/>
        </w:rPr>
        <w:fldChar w:fldCharType="begin"/>
      </w:r>
      <w:r w:rsidR="00842CF7">
        <w:instrText xml:space="preserve"> XE "univerzální hylemorfismus" </w:instrText>
      </w:r>
      <w:r w:rsidR="00842CF7">
        <w:rPr>
          <w:i/>
        </w:rPr>
        <w:fldChar w:fldCharType="end"/>
      </w:r>
      <w:r w:rsidR="00486E92" w:rsidRPr="00273106">
        <w:t xml:space="preserve">. </w:t>
      </w:r>
      <w:r w:rsidR="08BF10D5">
        <w:t xml:space="preserve">Původně univerzální individuum dostalo novou materii </w:t>
      </w:r>
      <w:r w:rsidR="08AB73C0">
        <w:t xml:space="preserve">třetího druhu </w:t>
      </w:r>
      <w:r w:rsidR="08BF10D5">
        <w:t xml:space="preserve">a stalo se objektivní substancí. </w:t>
      </w:r>
      <w:r w:rsidR="00CB604E" w:rsidRPr="00273106">
        <w:t xml:space="preserve">Spirituální materie se začala predikovat </w:t>
      </w:r>
      <w:r w:rsidR="08E26339">
        <w:t xml:space="preserve">někdy od roku </w:t>
      </w:r>
      <w:r w:rsidR="00CB604E" w:rsidRPr="00273106">
        <w:t xml:space="preserve">1230 univočně s hyleformickými  substancemi (Lottin 1932). </w:t>
      </w:r>
      <w:r w:rsidR="00911E99" w:rsidRPr="00273106">
        <w:t xml:space="preserve">Alvernus uznává stejně jako </w:t>
      </w:r>
      <w:r w:rsidR="00911E99">
        <w:t>Averroes</w:t>
      </w:r>
      <w:r w:rsidR="00911E99" w:rsidRPr="00273106">
        <w:t xml:space="preserve"> nemateriální substance, ale nemá spirituální materii pro duši a pro intelekt.</w:t>
      </w:r>
      <w:r w:rsidR="00911E99">
        <w:t xml:space="preserve"> Zásadní odmítnutí spirituální materie </w:t>
      </w:r>
      <w:r w:rsidR="00F318F7">
        <w:t xml:space="preserve">hájí Bacon proti škole </w:t>
      </w:r>
      <w:r w:rsidR="00911E99">
        <w:t xml:space="preserve">univerzálního hylemorfismu </w:t>
      </w:r>
      <w:r w:rsidR="00704095">
        <w:t xml:space="preserve">na Oxfordu </w:t>
      </w:r>
      <w:r w:rsidR="00911E99">
        <w:t>a Albert proti škole druhého averroismu</w:t>
      </w:r>
      <w:r w:rsidR="00704095">
        <w:t xml:space="preserve"> v Paříži</w:t>
      </w:r>
      <w:r w:rsidR="00911E99">
        <w:t xml:space="preserve">. </w:t>
      </w:r>
      <w:r w:rsidRPr="00273106">
        <w:t xml:space="preserve">Alvernus v </w:t>
      </w:r>
      <w:r w:rsidR="00B713C5">
        <w:rPr>
          <w:i/>
        </w:rPr>
        <w:t>De anima</w:t>
      </w:r>
      <w:r w:rsidRPr="00273106">
        <w:t xml:space="preserve"> kritizuje </w:t>
      </w:r>
      <w:r w:rsidR="00D53CE3" w:rsidRPr="00273106">
        <w:t xml:space="preserve">univoční </w:t>
      </w:r>
      <w:r w:rsidRPr="00273106">
        <w:t xml:space="preserve">pojetí </w:t>
      </w:r>
      <w:r w:rsidRPr="0027310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A12E54" w:rsidRPr="00273106">
        <w:t xml:space="preserve">, které </w:t>
      </w:r>
      <w:r w:rsidR="00722A6D">
        <w:t xml:space="preserve">podle něj zavedl </w:t>
      </w:r>
      <w:r w:rsidR="00272E76">
        <w:t xml:space="preserve">perský </w:t>
      </w:r>
      <w:r w:rsidR="00722A6D">
        <w:t>a</w:t>
      </w:r>
      <w:r w:rsidR="002E4896" w:rsidRPr="00273106">
        <w:t>stronom a matematik</w:t>
      </w:r>
      <w:r w:rsidR="00722A6D">
        <w:t xml:space="preserve"> </w:t>
      </w:r>
      <w:r w:rsidR="000711D2">
        <w:rPr>
          <w:rStyle w:val="st"/>
        </w:rPr>
        <w:t>Abu Maʿshar</w:t>
      </w:r>
      <w:r w:rsidR="00272E76">
        <w:rPr>
          <w:rStyle w:val="st"/>
        </w:rPr>
        <w:t xml:space="preserve">, latinsky </w:t>
      </w:r>
      <w:r w:rsidR="00272E76" w:rsidRPr="00272E76">
        <w:t>Albumasar</w:t>
      </w:r>
      <w:r w:rsidR="00842CF7">
        <w:rPr>
          <w:rStyle w:val="st"/>
        </w:rPr>
        <w:fldChar w:fldCharType="begin"/>
      </w:r>
      <w:r w:rsidR="00842CF7">
        <w:instrText xml:space="preserve"> XE "</w:instrText>
      </w:r>
      <w:r w:rsidR="00842CF7" w:rsidRPr="008412A6">
        <w:rPr>
          <w:rStyle w:val="st"/>
        </w:rPr>
        <w:instrText>Mášar al-Balchí</w:instrText>
      </w:r>
      <w:r w:rsidR="00842CF7">
        <w:instrText xml:space="preserve">" </w:instrText>
      </w:r>
      <w:r w:rsidR="00842CF7">
        <w:rPr>
          <w:rStyle w:val="st"/>
        </w:rPr>
        <w:fldChar w:fldCharType="end"/>
      </w:r>
      <w:r w:rsidR="00E97020" w:rsidRPr="00273106">
        <w:t xml:space="preserve"> </w:t>
      </w:r>
      <w:r w:rsidR="00A12E54" w:rsidRPr="00273106">
        <w:t>(</w:t>
      </w:r>
      <w:r w:rsidR="00AC5609" w:rsidRPr="00273106">
        <w:t>†886</w:t>
      </w:r>
      <w:r w:rsidR="00A12E54" w:rsidRPr="00273106">
        <w:t>)</w:t>
      </w:r>
      <w:r w:rsidR="00C2196C" w:rsidRPr="00273106">
        <w:t>.</w:t>
      </w:r>
      <w:r w:rsidR="00E97020">
        <w:t xml:space="preserve"> Kancléř univerzity správně viděl, že zavedením materie třetího druhu do systému predikace latinských sofistů je ohrožena definice člověka jako jedinečné osoby. </w:t>
      </w:r>
      <w:r w:rsidR="088A55EA">
        <w:t xml:space="preserve">Zdvojení světa přes simulákra reality považuje za naprostý nesmysl, který stojí mimo tradici filosofie. </w:t>
      </w:r>
    </w:p>
    <w:p w14:paraId="66E0987E" w14:textId="3201F2A8" w:rsidR="00E97020" w:rsidRDefault="00E97020" w:rsidP="00E97020">
      <w:pPr>
        <w:pStyle w:val="Citace"/>
        <w:rPr>
          <w:lang w:val="cs-CZ"/>
        </w:rPr>
      </w:pPr>
      <w:r>
        <w:t>„</w:t>
      </w:r>
      <w:r>
        <w:rPr>
          <w:lang w:val="cs-CZ"/>
        </w:rPr>
        <w:t xml:space="preserve">Z této argumentace může někdo vyvodit, že ten či onen živočišný </w:t>
      </w:r>
      <w:r w:rsidR="00E02E2A" w:rsidRPr="00E02E2A">
        <w:rPr>
          <w:lang w:val="cs-CZ"/>
        </w:rPr>
        <w:t>species</w:t>
      </w:r>
      <w:r>
        <w:rPr>
          <w:lang w:val="cs-CZ"/>
        </w:rPr>
        <w:t xml:space="preserve"> dostane tělo mimo svou vlastní přirozenost. Toto pojetí asi měl </w:t>
      </w:r>
      <w:r>
        <w:t>Albumasar</w:t>
      </w:r>
      <w:r>
        <w:rPr>
          <w:lang w:val="cs-CZ"/>
        </w:rPr>
        <w:t xml:space="preserve">. Kdyby to tak bylo, pak lidský druh by si udělal své vlastní tělo podle sebe. Z toho je jasně vidět, že </w:t>
      </w:r>
      <w:r w:rsidR="00F7224F">
        <w:rPr>
          <w:lang w:val="cs-CZ"/>
        </w:rPr>
        <w:t xml:space="preserve">jim </w:t>
      </w:r>
      <w:r>
        <w:rPr>
          <w:lang w:val="cs-CZ"/>
        </w:rPr>
        <w:t>chybí po</w:t>
      </w:r>
      <w:r w:rsidR="00F7224F">
        <w:rPr>
          <w:lang w:val="cs-CZ"/>
        </w:rPr>
        <w:t xml:space="preserve">jetí </w:t>
      </w:r>
      <w:r w:rsidR="00E02E2A" w:rsidRPr="00E02E2A">
        <w:rPr>
          <w:lang w:val="cs-CZ"/>
        </w:rPr>
        <w:t>species</w:t>
      </w:r>
      <w:r>
        <w:rPr>
          <w:lang w:val="cs-CZ"/>
        </w:rPr>
        <w:t xml:space="preserve"> jako univerzálie.</w:t>
      </w:r>
      <w:r w:rsidR="00091A66" w:rsidRPr="00091A66">
        <w:rPr>
          <w:lang w:val="cs-CZ"/>
        </w:rPr>
        <w:t xml:space="preserve"> </w:t>
      </w:r>
      <w:r w:rsidR="00091A66">
        <w:rPr>
          <w:lang w:val="cs-CZ"/>
        </w:rPr>
        <w:t>Žádní filosofové se nedomnívají ani neříkají, že by univerzálie mohly působit nebo přijímat reálné účinky.</w:t>
      </w:r>
      <w:r>
        <w:rPr>
          <w:lang w:val="cs-CZ"/>
        </w:rPr>
        <w:t>“ </w:t>
      </w:r>
      <w:r w:rsidR="00A12E54" w:rsidRPr="00273106">
        <w:rPr>
          <w:rStyle w:val="Znakapoznpodarou"/>
        </w:rPr>
        <w:footnoteReference w:id="204"/>
      </w:r>
    </w:p>
    <w:p w14:paraId="2CB34C9B" w14:textId="77777777" w:rsidR="0025721D" w:rsidRDefault="008D3C38" w:rsidP="00221596">
      <w:r w:rsidRPr="00273106">
        <w:t xml:space="preserve">Citát zásadně odmítá tezi, že by </w:t>
      </w:r>
      <w:r w:rsidR="00E02E2A" w:rsidRPr="00E02E2A">
        <w:t>species</w:t>
      </w:r>
      <w:r w:rsidRPr="00273106">
        <w:t xml:space="preserve"> ze své přirozenosti jako univerzálie měl</w:t>
      </w:r>
      <w:r w:rsidR="00F148CC">
        <w:t>a</w:t>
      </w:r>
      <w:r w:rsidRPr="00273106">
        <w:t xml:space="preserve"> schopnost formovat látku tak, aby vzniklo </w:t>
      </w:r>
      <w:r w:rsidR="002B1D7F">
        <w:t xml:space="preserve">těleso </w:t>
      </w:r>
      <w:r w:rsidRPr="00273106">
        <w:t>(</w:t>
      </w:r>
      <w:r w:rsidR="004B4D52" w:rsidRPr="004B4D52">
        <w:t>species</w:t>
      </w:r>
      <w:r w:rsidRPr="00273106">
        <w:rPr>
          <w:i/>
        </w:rPr>
        <w:t xml:space="preserve"> animalis formet sibi corpus</w:t>
      </w:r>
      <w:r w:rsidRPr="00273106">
        <w:t>).</w:t>
      </w:r>
      <w:r w:rsidR="009D5D3F" w:rsidRPr="00273106">
        <w:t xml:space="preserve"> Následující věta </w:t>
      </w:r>
      <w:r w:rsidR="009D5D3F" w:rsidRPr="00273106">
        <w:lastRenderedPageBreak/>
        <w:t>připomíná důsled</w:t>
      </w:r>
      <w:r w:rsidR="002D5F0F">
        <w:t>ky to</w:t>
      </w:r>
      <w:r w:rsidR="0008545C" w:rsidRPr="00273106">
        <w:t>ho</w:t>
      </w:r>
      <w:r w:rsidR="002D5F0F">
        <w:t>to</w:t>
      </w:r>
      <w:r w:rsidR="0008545C" w:rsidRPr="00273106">
        <w:t xml:space="preserve"> absurdního tvrzení</w:t>
      </w:r>
      <w:r w:rsidR="00842CF7">
        <w:rPr>
          <w:i/>
        </w:rPr>
        <w:fldChar w:fldCharType="begin"/>
      </w:r>
      <w:r w:rsidR="00842CF7">
        <w:instrText xml:space="preserve"> XE "substance:</w:instrText>
      </w:r>
      <w:r w:rsidR="00842CF7" w:rsidRPr="08CE63C5">
        <w:rPr>
          <w:i/>
        </w:rPr>
        <w:instrText>species</w:instrText>
      </w:r>
      <w:r w:rsidR="00842CF7">
        <w:instrText xml:space="preserve">" </w:instrText>
      </w:r>
      <w:r w:rsidR="00842CF7">
        <w:rPr>
          <w:i/>
        </w:rPr>
        <w:fldChar w:fldCharType="end"/>
      </w:r>
      <w:r w:rsidR="0008545C" w:rsidRPr="00273106">
        <w:t>. U</w:t>
      </w:r>
      <w:r w:rsidR="009D5D3F" w:rsidRPr="00273106">
        <w:t>niverzální druh „člověk“ by si zformoval tělo ke svému obrazu (</w:t>
      </w:r>
      <w:r w:rsidR="004B4D52" w:rsidRPr="004B4D52">
        <w:t>species</w:t>
      </w:r>
      <w:r w:rsidR="009D5D3F" w:rsidRPr="00273106">
        <w:rPr>
          <w:i/>
        </w:rPr>
        <w:t xml:space="preserve"> humana formaret sibi corpus secundum ipsum</w:t>
      </w:r>
      <w:r w:rsidR="009D5D3F" w:rsidRPr="00273106">
        <w:t xml:space="preserve">). Alvernus </w:t>
      </w:r>
      <w:r w:rsidR="084419A4">
        <w:t xml:space="preserve">v linii </w:t>
      </w:r>
      <w:r w:rsidR="009D5D3F" w:rsidRPr="00273106">
        <w:t xml:space="preserve">Aristotela a </w:t>
      </w:r>
      <w:r w:rsidR="002E3B62">
        <w:t>Averroes</w:t>
      </w:r>
      <w:r w:rsidR="009D5D3F" w:rsidRPr="00273106">
        <w:t>e tvrdí, že univer</w:t>
      </w:r>
      <w:r w:rsidR="001B42F2">
        <w:t>z</w:t>
      </w:r>
      <w:r w:rsidR="009D5D3F" w:rsidRPr="00273106">
        <w:t>ália jsou pouze v mysli</w:t>
      </w:r>
      <w:r w:rsidR="00190C94" w:rsidRPr="00273106">
        <w:t xml:space="preserve">. Proto </w:t>
      </w:r>
      <w:r w:rsidR="009D5D3F" w:rsidRPr="00273106">
        <w:t xml:space="preserve">je vyloučeno, aby měly základní vlastnosti první substance </w:t>
      </w:r>
      <w:r w:rsidR="006D22D5" w:rsidRPr="00273106">
        <w:t xml:space="preserve">dané materiálně </w:t>
      </w:r>
      <w:r w:rsidR="009D5D3F" w:rsidRPr="00273106">
        <w:t>(</w:t>
      </w:r>
      <w:r w:rsidR="009D5D3F" w:rsidRPr="00273106">
        <w:rPr>
          <w:i/>
        </w:rPr>
        <w:t>universali enim agere vel pati</w:t>
      </w:r>
      <w:r w:rsidR="009D5D3F" w:rsidRPr="00273106">
        <w:t xml:space="preserve">). Tuto tezi považuje </w:t>
      </w:r>
      <w:r w:rsidR="00570949" w:rsidRPr="00273106">
        <w:t xml:space="preserve">pařížský biskup za </w:t>
      </w:r>
      <w:r w:rsidR="00AD5234" w:rsidRPr="00273106">
        <w:t xml:space="preserve">úplně </w:t>
      </w:r>
      <w:r w:rsidR="00570949" w:rsidRPr="00273106">
        <w:t xml:space="preserve">nesmyslnou, </w:t>
      </w:r>
      <w:r w:rsidR="00AD5234" w:rsidRPr="00273106">
        <w:t>proto</w:t>
      </w:r>
      <w:r w:rsidR="00570949" w:rsidRPr="00273106">
        <w:t>že stojí v ro</w:t>
      </w:r>
      <w:r w:rsidR="00E10CAB" w:rsidRPr="00273106">
        <w:t>z</w:t>
      </w:r>
      <w:r w:rsidR="00570949" w:rsidRPr="00273106">
        <w:t xml:space="preserve">poru </w:t>
      </w:r>
      <w:r w:rsidR="08CB7EB7">
        <w:t xml:space="preserve">s učením všech známých filosofů </w:t>
      </w:r>
      <w:r w:rsidR="006D22D5" w:rsidRPr="00273106">
        <w:t>(</w:t>
      </w:r>
      <w:r w:rsidR="006D22D5" w:rsidRPr="00273106">
        <w:rPr>
          <w:i/>
        </w:rPr>
        <w:t>non est opinio vel sermo philosophorum</w:t>
      </w:r>
      <w:r w:rsidR="006D22D5" w:rsidRPr="00273106">
        <w:t>)</w:t>
      </w:r>
      <w:r w:rsidR="009D5D3F" w:rsidRPr="00273106">
        <w:t xml:space="preserve">. </w:t>
      </w:r>
      <w:r w:rsidR="00AE090C" w:rsidRPr="00273106">
        <w:t xml:space="preserve">Asi by se dost divil, že </w:t>
      </w:r>
      <w:r w:rsidR="009D5D3F" w:rsidRPr="00273106">
        <w:t>hned v následující dekádě po j</w:t>
      </w:r>
      <w:r w:rsidR="006C3C42">
        <w:t>eho smrti se tento nesmysl stal</w:t>
      </w:r>
      <w:r w:rsidR="009D5D3F" w:rsidRPr="00273106">
        <w:t xml:space="preserve"> základním stavebním kamenem </w:t>
      </w:r>
      <w:r w:rsidR="00AE090C" w:rsidRPr="00273106">
        <w:t xml:space="preserve">nauky o </w:t>
      </w:r>
      <w:r w:rsidR="009D5D3F" w:rsidRPr="00273106">
        <w:t>objekti</w:t>
      </w:r>
      <w:r w:rsidR="00AE090C" w:rsidRPr="00273106">
        <w:t>vitě</w:t>
      </w:r>
      <w:r w:rsidR="082E454E">
        <w:t xml:space="preserve"> nejprve na Oxf</w:t>
      </w:r>
      <w:r w:rsidR="08DB4411">
        <w:t>o</w:t>
      </w:r>
      <w:r w:rsidR="082E454E">
        <w:t>r</w:t>
      </w:r>
      <w:r w:rsidR="08DB4411">
        <w:t>du a později i v Paříži</w:t>
      </w:r>
      <w:r w:rsidR="009D5D3F" w:rsidRPr="00273106">
        <w:t xml:space="preserve">. </w:t>
      </w:r>
      <w:r w:rsidRPr="00273106">
        <w:t xml:space="preserve">Citát kritizuje </w:t>
      </w:r>
      <w:r w:rsidR="00C5737D" w:rsidRPr="00273106">
        <w:t>nauku, kterou najdeme v díle</w:t>
      </w:r>
      <w:r w:rsidRPr="00273106">
        <w:t xml:space="preserve"> </w:t>
      </w:r>
      <w:r w:rsidRPr="00273106">
        <w:rPr>
          <w:i/>
        </w:rPr>
        <w:t>Speculum animae</w:t>
      </w:r>
      <w:r w:rsidRPr="00273106">
        <w:t xml:space="preserve"> (kolem 1245) od Rufuse z Cornwallu</w:t>
      </w:r>
      <w:r w:rsidR="00C5737D" w:rsidRPr="00273106">
        <w:t xml:space="preserve">, který v této době působil </w:t>
      </w:r>
      <w:r w:rsidRPr="00273106">
        <w:t xml:space="preserve">v Paříži. </w:t>
      </w:r>
      <w:r w:rsidR="002F06FF" w:rsidRPr="00273106">
        <w:t xml:space="preserve">Existuje několik důvodů, </w:t>
      </w:r>
      <w:r w:rsidR="0089459F">
        <w:t xml:space="preserve">proč </w:t>
      </w:r>
      <w:r w:rsidR="002F06FF" w:rsidRPr="00273106">
        <w:t xml:space="preserve">tento </w:t>
      </w:r>
      <w:r w:rsidR="00F851FE" w:rsidRPr="00273106">
        <w:t xml:space="preserve">výřečný </w:t>
      </w:r>
      <w:r w:rsidR="002F06FF" w:rsidRPr="00273106">
        <w:t xml:space="preserve">františkán, který za pontifikátu Alverna </w:t>
      </w:r>
      <w:r w:rsidR="08A64DB0">
        <w:t xml:space="preserve">studoval a </w:t>
      </w:r>
      <w:r w:rsidR="002F06FF" w:rsidRPr="00273106">
        <w:t xml:space="preserve">přednášel na Pařížské univerzitě, se stal hlavním terčem </w:t>
      </w:r>
      <w:r w:rsidR="007306A2" w:rsidRPr="00273106">
        <w:t xml:space="preserve">Alvernovy </w:t>
      </w:r>
      <w:r w:rsidR="002F06FF" w:rsidRPr="00273106">
        <w:t>kritiky</w:t>
      </w:r>
      <w:r w:rsidR="00CE3AB9" w:rsidRPr="00273106">
        <w:t xml:space="preserve">. </w:t>
      </w:r>
      <w:r w:rsidR="0089459F">
        <w:t>M</w:t>
      </w:r>
      <w:r w:rsidR="007306A2" w:rsidRPr="00273106">
        <w:t>odernistický bakalář musel za kancléřování biskupa Alverna opustit Pařížskou univerzitu</w:t>
      </w:r>
      <w:r w:rsidR="007B2238" w:rsidRPr="00273106">
        <w:t xml:space="preserve"> a vrátil se </w:t>
      </w:r>
      <w:r w:rsidR="00A408A2" w:rsidRPr="00273106">
        <w:t xml:space="preserve">kolem 1250 </w:t>
      </w:r>
      <w:r w:rsidR="007B2238" w:rsidRPr="00273106">
        <w:t xml:space="preserve">do Oxfordu. Jeho útěk z Paříže </w:t>
      </w:r>
      <w:r w:rsidR="007306A2" w:rsidRPr="00273106">
        <w:t xml:space="preserve">s povděkem konstatuje jiný vynikající znalec prvního averroismu, Roger Bacon. Tento </w:t>
      </w:r>
      <w:r w:rsidR="00BE073C" w:rsidRPr="00273106">
        <w:t xml:space="preserve">brilantní </w:t>
      </w:r>
      <w:r w:rsidR="007306A2" w:rsidRPr="00273106">
        <w:t xml:space="preserve">aristotelik </w:t>
      </w:r>
      <w:r w:rsidR="002F06FF" w:rsidRPr="00273106">
        <w:t>krit</w:t>
      </w:r>
      <w:r w:rsidR="00CE3AB9" w:rsidRPr="00273106">
        <w:t>i</w:t>
      </w:r>
      <w:r w:rsidR="002F06FF" w:rsidRPr="00273106">
        <w:t xml:space="preserve">zuje </w:t>
      </w:r>
      <w:r w:rsidR="00BD4B8D" w:rsidRPr="00273106">
        <w:t xml:space="preserve">svého františkánského kolegu </w:t>
      </w:r>
      <w:r w:rsidR="00446723" w:rsidRPr="00273106">
        <w:t xml:space="preserve">na Oxfordu </w:t>
      </w:r>
      <w:r w:rsidR="00BD4B8D" w:rsidRPr="00273106">
        <w:t xml:space="preserve">zcela </w:t>
      </w:r>
      <w:r w:rsidR="002F06FF" w:rsidRPr="00273106">
        <w:t xml:space="preserve">explicitně </w:t>
      </w:r>
      <w:r w:rsidR="00CE3AB9" w:rsidRPr="00273106">
        <w:t>a uvádí přesné časové údaje ohledně jeho půso</w:t>
      </w:r>
      <w:r w:rsidR="084E2D5D">
        <w:t>bení v Paříži (kap. 3</w:t>
      </w:r>
      <w:r w:rsidR="002F06FF" w:rsidRPr="00273106">
        <w:t xml:space="preserve">.2). </w:t>
      </w:r>
      <w:r w:rsidR="001C5CF8">
        <w:t xml:space="preserve">Rufus byl hlavní </w:t>
      </w:r>
      <w:r w:rsidR="00B92E2D">
        <w:t>protagonista univerzálního hylem</w:t>
      </w:r>
      <w:r w:rsidR="001C5CF8">
        <w:t xml:space="preserve">orfismu, který byl </w:t>
      </w:r>
      <w:r w:rsidR="08194198">
        <w:t xml:space="preserve">rozšířen nejprve </w:t>
      </w:r>
      <w:r w:rsidR="00967F2C">
        <w:t xml:space="preserve">v </w:t>
      </w:r>
      <w:r w:rsidR="001C5CF8">
        <w:t>Oxfordu</w:t>
      </w:r>
      <w:r w:rsidR="08EF263D">
        <w:t xml:space="preserve"> </w:t>
      </w:r>
      <w:r w:rsidR="08194198">
        <w:t xml:space="preserve">a je doložen </w:t>
      </w:r>
      <w:r w:rsidR="085D564F">
        <w:t xml:space="preserve">v textech </w:t>
      </w:r>
      <w:r w:rsidR="08194198">
        <w:t xml:space="preserve">okolo roku </w:t>
      </w:r>
      <w:r w:rsidR="08EF263D">
        <w:t>1240</w:t>
      </w:r>
      <w:r w:rsidR="001C5CF8">
        <w:t xml:space="preserve">. </w:t>
      </w:r>
      <w:r w:rsidR="001F63DF" w:rsidRPr="00273106">
        <w:t>N</w:t>
      </w:r>
      <w:r w:rsidR="002F06FF" w:rsidRPr="00273106">
        <w:t xml:space="preserve">auku </w:t>
      </w:r>
      <w:r w:rsidR="001F63DF" w:rsidRPr="00273106">
        <w:t xml:space="preserve">těchto moderních sofistů </w:t>
      </w:r>
      <w:r w:rsidR="002F06FF" w:rsidRPr="00273106">
        <w:t xml:space="preserve">považuje Alvernus </w:t>
      </w:r>
      <w:r w:rsidR="00AC0778" w:rsidRPr="00273106">
        <w:t xml:space="preserve">a po něm i Albert Veliký </w:t>
      </w:r>
      <w:r w:rsidR="002F06FF" w:rsidRPr="00273106">
        <w:t>za zásadně mylnou.</w:t>
      </w:r>
    </w:p>
    <w:p w14:paraId="79C00573" w14:textId="709D7F34" w:rsidR="00726DD1" w:rsidRDefault="0025721D" w:rsidP="00726DD1">
      <w:pPr>
        <w:ind w:firstLine="397"/>
      </w:pPr>
      <w:r>
        <w:t xml:space="preserve">Toto </w:t>
      </w:r>
      <w:r w:rsidRPr="0025721D">
        <w:t>učení</w:t>
      </w:r>
      <w:r>
        <w:t xml:space="preserve"> vážně ohrozilo d</w:t>
      </w:r>
      <w:r w:rsidRPr="0025721D">
        <w:t>ůstojnost lidské osoby</w:t>
      </w:r>
      <w:r w:rsidR="00A91FD0">
        <w:t xml:space="preserve">. </w:t>
      </w:r>
      <w:r w:rsidR="08BF21D9">
        <w:t>Striktně hylemorfické určení</w:t>
      </w:r>
      <w:r w:rsidR="08BF21D9" w:rsidRPr="00273106">
        <w:t xml:space="preserve"> osoby </w:t>
      </w:r>
      <w:r w:rsidR="08BF21D9">
        <w:t xml:space="preserve">dané v prvním averroismu </w:t>
      </w:r>
      <w:r w:rsidR="08BF21D9" w:rsidRPr="00273106">
        <w:t>mělo praktické důsledky i pro definici lidské důstojnosti. Obrana svobodné vůle a vlastního poznání daného v individuálním těle a duši jde ruku v ruce s přijetím hlavních závěrů aristotelského výkladu v CMDA.</w:t>
      </w:r>
      <w:r w:rsidR="08BF21D9">
        <w:t xml:space="preserve"> </w:t>
      </w:r>
      <w:r w:rsidR="00067944">
        <w:t xml:space="preserve">První averroismus daný již v Blundově výkladu </w:t>
      </w:r>
      <w:r w:rsidR="00067944" w:rsidRPr="001D0984">
        <w:rPr>
          <w:i/>
        </w:rPr>
        <w:t>De anima</w:t>
      </w:r>
      <w:r w:rsidR="00067944">
        <w:t xml:space="preserve"> </w:t>
      </w:r>
      <w:r w:rsidR="08B135B5">
        <w:t xml:space="preserve">bránil ve shodě s </w:t>
      </w:r>
      <w:r w:rsidR="0054145C">
        <w:t xml:space="preserve">katedrální </w:t>
      </w:r>
      <w:r w:rsidR="0054145C" w:rsidRPr="08597CF3">
        <w:rPr>
          <w:i/>
        </w:rPr>
        <w:t xml:space="preserve">École de </w:t>
      </w:r>
      <w:r w:rsidR="0054145C" w:rsidRPr="089B2F98">
        <w:rPr>
          <w:i/>
        </w:rPr>
        <w:t>Paris</w:t>
      </w:r>
      <w:r w:rsidR="0054145C">
        <w:t xml:space="preserve"> </w:t>
      </w:r>
      <w:r w:rsidR="08B135B5">
        <w:t>aristotelskou formu humanismu, která</w:t>
      </w:r>
      <w:r w:rsidR="00067944">
        <w:t xml:space="preserve"> se zásadně lišil</w:t>
      </w:r>
      <w:r w:rsidR="08B135B5">
        <w:t>a</w:t>
      </w:r>
      <w:r w:rsidR="00067944">
        <w:t xml:space="preserve"> od sofistických nauk tehdejších modernistů.</w:t>
      </w:r>
      <w:r w:rsidR="00067944" w:rsidRPr="00273106">
        <w:t xml:space="preserve"> </w:t>
      </w:r>
      <w:r w:rsidR="00067944">
        <w:t xml:space="preserve">Analyzovali jsme </w:t>
      </w:r>
      <w:r w:rsidR="08D53A3B">
        <w:t>zásadní spor ohledně sofismatu člověka-mrtvoly</w:t>
      </w:r>
      <w:r w:rsidR="00067944">
        <w:fldChar w:fldCharType="begin"/>
      </w:r>
      <w:r w:rsidR="00067944">
        <w:instrText xml:space="preserve"> XE "</w:instrText>
      </w:r>
      <w:r w:rsidR="00067944" w:rsidRPr="003C06B8">
        <w:instrText>sofisma člověk-mrtvola</w:instrText>
      </w:r>
      <w:r w:rsidR="00067944">
        <w:instrText xml:space="preserve">" </w:instrText>
      </w:r>
      <w:r w:rsidR="00067944">
        <w:fldChar w:fldCharType="end"/>
      </w:r>
      <w:r w:rsidR="00067944">
        <w:t>, který odmítla Blundova škola v návaznosti na aristotelské logické školy v linii Boethia a Abelarda (</w:t>
      </w:r>
      <w:r w:rsidR="00067944" w:rsidRPr="00273106">
        <w:rPr>
          <w:rStyle w:val="Zkladntext158dkovn0pt"/>
          <w:i/>
          <w:color w:val="auto"/>
          <w:spacing w:val="0"/>
          <w:sz w:val="24"/>
          <w:lang w:val="cs-CZ"/>
        </w:rPr>
        <w:t>Tractatus Anagnini</w:t>
      </w:r>
      <w:r w:rsidR="00067944" w:rsidRPr="00273106">
        <w:rPr>
          <w:rStyle w:val="Zkladntext158dkovn0pt"/>
          <w:color w:val="auto"/>
          <w:spacing w:val="0"/>
          <w:sz w:val="24"/>
          <w:lang w:val="cs-CZ"/>
        </w:rPr>
        <w:t xml:space="preserve">, </w:t>
      </w:r>
      <w:r w:rsidR="00067944" w:rsidRPr="00273106">
        <w:rPr>
          <w:i/>
        </w:rPr>
        <w:t>Logica „Cum sit nostra“</w:t>
      </w:r>
      <w:r w:rsidR="00067944">
        <w:t xml:space="preserve">). </w:t>
      </w:r>
      <w:r w:rsidR="08D53A3B" w:rsidRPr="00273106">
        <w:t xml:space="preserve">Alvernus odmítá </w:t>
      </w:r>
      <w:r w:rsidR="08B30EF8">
        <w:t xml:space="preserve">porretánský </w:t>
      </w:r>
      <w:r w:rsidR="08D53A3B" w:rsidRPr="00273106">
        <w:t xml:space="preserve">přechod z animality do humanity skrze přijatá </w:t>
      </w:r>
      <w:r w:rsidR="08D53A3B" w:rsidRPr="00CF7369">
        <w:rPr>
          <w:i/>
        </w:rPr>
        <w:t>genera</w:t>
      </w:r>
      <w:r w:rsidR="08D53A3B" w:rsidRPr="00273106">
        <w:t xml:space="preserve"> nebo </w:t>
      </w:r>
      <w:r w:rsidR="004B4D52" w:rsidRPr="004B4D52">
        <w:t>species</w:t>
      </w:r>
      <w:r w:rsidR="08D53A3B" w:rsidRPr="00273106">
        <w:t xml:space="preserve"> v animální nebo v lidské duši. </w:t>
      </w:r>
      <w:r w:rsidR="008B6EC6">
        <w:t>Člověk není abstraktní koncept</w:t>
      </w:r>
      <w:r w:rsidR="08D53A3B">
        <w:t xml:space="preserve"> moderních sofistů, </w:t>
      </w:r>
      <w:r w:rsidR="008B6EC6">
        <w:t xml:space="preserve">protože je </w:t>
      </w:r>
      <w:r w:rsidR="08D53A3B">
        <w:t xml:space="preserve">primárně dán </w:t>
      </w:r>
      <w:r w:rsidR="008B6EC6">
        <w:t xml:space="preserve">skrze impozici významu od osoby jako existující </w:t>
      </w:r>
      <w:r w:rsidR="08D53A3B">
        <w:t xml:space="preserve">první substance. </w:t>
      </w:r>
      <w:r w:rsidR="009B6E88" w:rsidRPr="00273106">
        <w:t xml:space="preserve">Alvernova obrana </w:t>
      </w:r>
      <w:r w:rsidR="00845E08">
        <w:t xml:space="preserve">jednoty osoby </w:t>
      </w:r>
      <w:r w:rsidR="009B6E88" w:rsidRPr="00273106">
        <w:t xml:space="preserve">proti </w:t>
      </w:r>
      <w:r w:rsidR="009B6E88" w:rsidRPr="00273106">
        <w:lastRenderedPageBreak/>
        <w:t xml:space="preserve">avicennistům </w:t>
      </w:r>
      <w:r w:rsidR="08B30EF8">
        <w:t xml:space="preserve">poprvé </w:t>
      </w:r>
      <w:r w:rsidR="009B6E88" w:rsidRPr="00273106">
        <w:t xml:space="preserve">posunula jednotu </w:t>
      </w:r>
      <w:r w:rsidR="08D53A3B">
        <w:t xml:space="preserve">osoby </w:t>
      </w:r>
      <w:r w:rsidR="009B6E88" w:rsidRPr="00273106">
        <w:t xml:space="preserve">až do embryonálního stádia. </w:t>
      </w:r>
      <w:r w:rsidR="08D53A3B">
        <w:t>H</w:t>
      </w:r>
      <w:r w:rsidR="009B6E88" w:rsidRPr="00273106">
        <w:t>yleformická substance</w:t>
      </w:r>
      <w:r w:rsidR="00A70FA4">
        <w:fldChar w:fldCharType="begin"/>
      </w:r>
      <w:r w:rsidR="00A70FA4">
        <w:instrText xml:space="preserve"> XE "</w:instrText>
      </w:r>
      <w:r w:rsidR="003A799B">
        <w:instrText>osoba:hylemorfická jednota</w:instrText>
      </w:r>
      <w:r w:rsidR="00A70FA4">
        <w:instrText xml:space="preserve">" </w:instrText>
      </w:r>
      <w:r w:rsidR="00A70FA4">
        <w:fldChar w:fldCharType="end"/>
      </w:r>
      <w:r w:rsidR="009B6E88">
        <w:t xml:space="preserve"> </w:t>
      </w:r>
      <w:r w:rsidR="009B6E88" w:rsidRPr="00273106">
        <w:t>vzniká podle pařížského biskupa</w:t>
      </w:r>
      <w:r w:rsidR="009B6E88">
        <w:t xml:space="preserve"> již v tomto stádiu</w:t>
      </w:r>
      <w:r w:rsidR="009B6E88" w:rsidRPr="00273106">
        <w:t xml:space="preserve">, a nikoliv až pozdějším vlitím intelektuální duše. Hypostázovaná určení </w:t>
      </w:r>
      <w:r w:rsidR="00C4638B">
        <w:t xml:space="preserve">intelektu a </w:t>
      </w:r>
      <w:r w:rsidR="009B6E88" w:rsidRPr="00273106">
        <w:t xml:space="preserve">duše </w:t>
      </w:r>
      <w:r w:rsidR="00C4638B">
        <w:t xml:space="preserve">v rámci plurality substancí v člověku </w:t>
      </w:r>
      <w:r w:rsidR="009B6E88" w:rsidRPr="00273106">
        <w:t xml:space="preserve">jsou odmítnuta hlavně z teologického důvodu. Nominalistické vymezení osoby, navíc navázané na oddělený intelekt hvězdných sfér, by zcela zrušilo osobní odpovědnost člověka za morální jednání a zrušilo by možnost nebeských odměn a pekelných trestů. </w:t>
      </w:r>
      <w:r w:rsidR="002E3B62">
        <w:t>Averroes</w:t>
      </w:r>
      <w:r w:rsidR="009B6E88" w:rsidRPr="00273106">
        <w:t xml:space="preserve">ova filosofie naopak zaručuje díky individuálnímu poznání a chtění možnost věčné spásy. Proto je tento následovník Aristotela označen za nejvznešenějšího filosofa a je oddělen od kritizovaných </w:t>
      </w:r>
      <w:r w:rsidR="00874074">
        <w:t>neoplatonsk</w:t>
      </w:r>
      <w:r w:rsidR="009B6E88" w:rsidRPr="00273106">
        <w:t>ých aristoteliků jako byl Avicenna.</w:t>
      </w:r>
      <w:r w:rsidR="000927E8">
        <w:t xml:space="preserve"> </w:t>
      </w:r>
      <w:r w:rsidR="00AF1E8A">
        <w:t xml:space="preserve">Aristotelskou linii poznání podle prvního averroismu potvrzuje také </w:t>
      </w:r>
      <w:r w:rsidR="00246AB7" w:rsidRPr="00273106">
        <w:t xml:space="preserve">Alvernovo odmítnutí nároku na neomylné svědomí, které v podobě </w:t>
      </w:r>
      <w:r w:rsidR="00246AB7" w:rsidRPr="00273106">
        <w:rPr>
          <w:i/>
        </w:rPr>
        <w:t>synderesis</w:t>
      </w:r>
      <w:r w:rsidR="003A799B">
        <w:rPr>
          <w:i/>
        </w:rPr>
        <w:fldChar w:fldCharType="begin"/>
      </w:r>
      <w:r w:rsidR="003A799B">
        <w:instrText xml:space="preserve"> XE "</w:instrText>
      </w:r>
      <w:r w:rsidR="003A799B" w:rsidRPr="00986BC4">
        <w:rPr>
          <w:i/>
        </w:rPr>
        <w:instrText>synderesis</w:instrText>
      </w:r>
      <w:r w:rsidR="003A799B">
        <w:instrText xml:space="preserve">" </w:instrText>
      </w:r>
      <w:r w:rsidR="003A799B">
        <w:rPr>
          <w:i/>
        </w:rPr>
        <w:fldChar w:fldCharType="end"/>
      </w:r>
      <w:r w:rsidR="00246AB7" w:rsidRPr="00273106">
        <w:t xml:space="preserve"> propagovali tehdej</w:t>
      </w:r>
      <w:r w:rsidR="005A0812">
        <w:t>ší avicennisté</w:t>
      </w:r>
      <w:r w:rsidR="00246AB7" w:rsidRPr="00273106">
        <w:t xml:space="preserve">. </w:t>
      </w:r>
      <w:r w:rsidR="08095F85">
        <w:t>Tato linie je už dána v jeho prvním spise o duši</w:t>
      </w:r>
      <w:r w:rsidR="083F549D">
        <w:t xml:space="preserve"> (kap. 2</w:t>
      </w:r>
      <w:r w:rsidR="089F3F61">
        <w:t>.2.2)</w:t>
      </w:r>
      <w:r w:rsidR="08095F85">
        <w:t xml:space="preserve">. </w:t>
      </w:r>
      <w:r w:rsidR="084A2981">
        <w:t>Vlité p</w:t>
      </w:r>
      <w:r w:rsidR="00AF1E8A" w:rsidRPr="00273106">
        <w:t xml:space="preserve">oznání skrze </w:t>
      </w:r>
      <w:r w:rsidR="084A2981">
        <w:t xml:space="preserve">hypostázovanou </w:t>
      </w:r>
      <w:r w:rsidR="00AF1E8A" w:rsidRPr="089F3F61">
        <w:rPr>
          <w:i/>
        </w:rPr>
        <w:t>synderesis</w:t>
      </w:r>
      <w:r w:rsidR="00AF1E8A" w:rsidRPr="00273106">
        <w:t xml:space="preserve"> v pojetí tehdejších neoplatoniků a </w:t>
      </w:r>
      <w:r w:rsidR="00AF1E8A" w:rsidRPr="00273106">
        <w:rPr>
          <w:i/>
        </w:rPr>
        <w:t>Nominales</w:t>
      </w:r>
      <w:r w:rsidR="00AF1E8A" w:rsidRPr="00273106">
        <w:t xml:space="preserve"> (Petr Kapuánský, Roland z Cremony, Guillaume z Auxerre) </w:t>
      </w:r>
      <w:r w:rsidR="086D4A8A">
        <w:t xml:space="preserve">vychází z </w:t>
      </w:r>
      <w:r w:rsidR="00AF1E8A" w:rsidRPr="00273106">
        <w:t>činnost</w:t>
      </w:r>
      <w:r w:rsidR="086D4A8A">
        <w:t xml:space="preserve">i Avicennova </w:t>
      </w:r>
      <w:r w:rsidR="00AF1E8A" w:rsidRPr="00273106">
        <w:t xml:space="preserve">odděleného </w:t>
      </w:r>
      <w:r w:rsidR="00AF1E8A" w:rsidRPr="00273106">
        <w:rPr>
          <w:i/>
        </w:rPr>
        <w:t>intellectus agens</w:t>
      </w:r>
      <w:r w:rsidR="08616F77">
        <w:rPr>
          <w:i/>
        </w:rPr>
        <w:t>,</w:t>
      </w:r>
      <w:r w:rsidR="00AF1E8A" w:rsidRPr="00273106">
        <w:t xml:space="preserve"> a nikoliv </w:t>
      </w:r>
      <w:r w:rsidR="08726108">
        <w:t xml:space="preserve">z </w:t>
      </w:r>
      <w:r w:rsidR="00AF1E8A" w:rsidRPr="00273106">
        <w:t xml:space="preserve">Aristotelova </w:t>
      </w:r>
      <w:r w:rsidR="00AF1E8A" w:rsidRPr="00273106">
        <w:rPr>
          <w:i/>
        </w:rPr>
        <w:t>lumen naturale</w:t>
      </w:r>
      <w:r w:rsidR="005A0812">
        <w:rPr>
          <w:i/>
        </w:rPr>
        <w:t xml:space="preserve"> </w:t>
      </w:r>
      <w:r w:rsidR="005A0812" w:rsidRPr="00273106">
        <w:t>(Lottin 1926; 1939)</w:t>
      </w:r>
      <w:r w:rsidR="00AF1E8A" w:rsidRPr="00273106">
        <w:t>.</w:t>
      </w:r>
      <w:r w:rsidR="00AF1E8A">
        <w:t xml:space="preserve"> </w:t>
      </w:r>
      <w:r w:rsidR="00246AB7" w:rsidRPr="00273106">
        <w:t xml:space="preserve">Aristotelské pojetí intelektu vázaného na hylemorfickou substanci osoby neumožňuje oddělení </w:t>
      </w:r>
      <w:r w:rsidR="08616F77">
        <w:t xml:space="preserve">hypostázovaných </w:t>
      </w:r>
      <w:r w:rsidR="00246AB7" w:rsidRPr="00273106">
        <w:t xml:space="preserve">intelektuálně-morálních schopností od </w:t>
      </w:r>
      <w:r w:rsidR="00D6561A">
        <w:t xml:space="preserve">personálního </w:t>
      </w:r>
      <w:r w:rsidR="00D268A8">
        <w:t>úsudku jako to měli</w:t>
      </w:r>
      <w:r w:rsidR="00246AB7" w:rsidRPr="00273106">
        <w:t xml:space="preserve"> tehdejší avicennisté a neoplatonikové.</w:t>
      </w:r>
      <w:r w:rsidR="00246AB7" w:rsidRPr="00273106">
        <w:rPr>
          <w:rStyle w:val="Znakapoznpodarou"/>
        </w:rPr>
        <w:footnoteReference w:id="205"/>
      </w:r>
      <w:r w:rsidR="00246AB7" w:rsidRPr="00273106">
        <w:t xml:space="preserve"> Pravdivé poznání podle Alverna je vždy vázané na receptivně-syntetickou činnost </w:t>
      </w:r>
      <w:r w:rsidR="00246AB7" w:rsidRPr="00273106">
        <w:rPr>
          <w:i/>
        </w:rPr>
        <w:t>intellectus possibilis</w:t>
      </w:r>
      <w:r w:rsidR="00246AB7" w:rsidRPr="00273106">
        <w:t xml:space="preserve">. </w:t>
      </w:r>
      <w:r w:rsidR="00AF1E8A">
        <w:t>Ten</w:t>
      </w:r>
      <w:r w:rsidR="00F83741">
        <w:t xml:space="preserve">to intelekt je ze své podstaty </w:t>
      </w:r>
      <w:r w:rsidR="009A44DB">
        <w:t xml:space="preserve">individuální a tím i </w:t>
      </w:r>
      <w:r w:rsidR="00F83741">
        <w:t>porušitelný (</w:t>
      </w:r>
      <w:r w:rsidR="00F83741" w:rsidRPr="00F83741">
        <w:rPr>
          <w:i/>
        </w:rPr>
        <w:t>corruptibilis</w:t>
      </w:r>
      <w:r w:rsidR="00F83741">
        <w:t>)</w:t>
      </w:r>
      <w:r w:rsidR="00AF1E8A">
        <w:t>, protože patří do sféry poznání</w:t>
      </w:r>
      <w:r w:rsidR="00F83741">
        <w:t xml:space="preserve"> v modu </w:t>
      </w:r>
      <w:r w:rsidR="003A799B" w:rsidRPr="003A799B">
        <w:rPr>
          <w:i/>
        </w:rPr>
        <w:t xml:space="preserve">tertium </w:t>
      </w:r>
      <w:r w:rsidR="00B1298A">
        <w:rPr>
          <w:i/>
        </w:rPr>
        <w:t>genus</w:t>
      </w:r>
      <w:r w:rsidR="003A799B">
        <w:rPr>
          <w:i/>
        </w:rPr>
        <w:fldChar w:fldCharType="begin"/>
      </w:r>
      <w:r w:rsidR="003A799B">
        <w:instrText xml:space="preserve"> XE "</w:instrText>
      </w:r>
      <w:r w:rsidR="003A799B" w:rsidRPr="002F40D8">
        <w:rPr>
          <w:i/>
        </w:rPr>
        <w:instrText>tertium genus</w:instrText>
      </w:r>
      <w:r w:rsidR="003A799B">
        <w:instrText xml:space="preserve">" </w:instrText>
      </w:r>
      <w:r w:rsidR="003A799B">
        <w:rPr>
          <w:i/>
        </w:rPr>
        <w:fldChar w:fldCharType="end"/>
      </w:r>
      <w:r w:rsidR="003A799B">
        <w:t xml:space="preserve"> podle CMDA</w:t>
      </w:r>
      <w:r w:rsidR="00246AB7" w:rsidRPr="00273106">
        <w:t xml:space="preserve">. </w:t>
      </w:r>
      <w:r w:rsidR="00AF1E8A">
        <w:t>A</w:t>
      </w:r>
      <w:r w:rsidR="00AF1E8A" w:rsidRPr="00273106">
        <w:t xml:space="preserve">kt úsudku svědomí </w:t>
      </w:r>
      <w:r w:rsidR="00AF1E8A">
        <w:t xml:space="preserve">je z tohoto zásadního důvodu vystaven </w:t>
      </w:r>
      <w:r w:rsidR="00AF1E8A" w:rsidRPr="00273106">
        <w:t>omyl</w:t>
      </w:r>
      <w:r w:rsidR="00AF1E8A">
        <w:t xml:space="preserve">u. </w:t>
      </w:r>
      <w:r w:rsidR="089253A9">
        <w:t xml:space="preserve">Opět je ve hře pojetí diafanum a intencionality ve formě existenciálního výkonu poznání podle </w:t>
      </w:r>
      <w:r w:rsidR="089253A9" w:rsidRPr="08101420">
        <w:rPr>
          <w:i/>
        </w:rPr>
        <w:t xml:space="preserve">tertium </w:t>
      </w:r>
      <w:r w:rsidR="00B1298A">
        <w:rPr>
          <w:i/>
        </w:rPr>
        <w:t>genus</w:t>
      </w:r>
      <w:r w:rsidR="089253A9">
        <w:t xml:space="preserve"> v CMDA</w:t>
      </w:r>
      <w:r w:rsidR="08101420">
        <w:t xml:space="preserve"> v modu intelektu jako </w:t>
      </w:r>
      <w:r w:rsidR="08101420" w:rsidRPr="08101420">
        <w:rPr>
          <w:i/>
        </w:rPr>
        <w:t>corruptibilis</w:t>
      </w:r>
      <w:r w:rsidR="089253A9">
        <w:t xml:space="preserve">. </w:t>
      </w:r>
      <w:r w:rsidR="00246AB7" w:rsidRPr="00273106">
        <w:t xml:space="preserve">Formální adekvace mezi realitou a intelektem </w:t>
      </w:r>
      <w:r w:rsidR="00A44F2D">
        <w:t xml:space="preserve">je </w:t>
      </w:r>
      <w:r w:rsidR="00246AB7" w:rsidRPr="00273106">
        <w:t xml:space="preserve">daná </w:t>
      </w:r>
      <w:r w:rsidR="00A44F2D" w:rsidRPr="00273106">
        <w:t xml:space="preserve">v prvním averroismu </w:t>
      </w:r>
      <w:r w:rsidR="00246AB7" w:rsidRPr="00273106">
        <w:t xml:space="preserve">skrze </w:t>
      </w:r>
      <w:r w:rsidR="00D268A8">
        <w:t xml:space="preserve">dvojí intencionální </w:t>
      </w:r>
      <w:r w:rsidR="00246AB7" w:rsidRPr="00273106">
        <w:t xml:space="preserve">status </w:t>
      </w:r>
      <w:r w:rsidR="00E02E2A" w:rsidRPr="00E02E2A">
        <w:t>species</w:t>
      </w:r>
      <w:r w:rsidR="00A44F2D">
        <w:t xml:space="preserve">, proto </w:t>
      </w:r>
      <w:r w:rsidR="00246AB7" w:rsidRPr="00273106">
        <w:t xml:space="preserve">nemůže být nahrazena nějakou formou vyššího </w:t>
      </w:r>
      <w:r w:rsidR="00A44F2D">
        <w:t xml:space="preserve">a neomylného </w:t>
      </w:r>
      <w:r w:rsidR="00246AB7" w:rsidRPr="00273106">
        <w:t xml:space="preserve">osvícení duše. </w:t>
      </w:r>
      <w:r w:rsidR="0015156C">
        <w:t>Moderna a postmoderna naopak postavila svědomí jako jsoucno třetího druhu nad reálnou existenci osoby a vybavila jej abstraktní ide</w:t>
      </w:r>
      <w:r w:rsidR="00D6561A">
        <w:t>o</w:t>
      </w:r>
      <w:r w:rsidR="0015156C">
        <w:t xml:space="preserve">u lidských práv. </w:t>
      </w:r>
      <w:r w:rsidR="00942994">
        <w:t xml:space="preserve">Toto pochybné pojetí </w:t>
      </w:r>
      <w:r w:rsidR="00CC36C1" w:rsidRPr="00273106">
        <w:rPr>
          <w:i/>
        </w:rPr>
        <w:t>synderesis</w:t>
      </w:r>
      <w:r w:rsidR="00CC36C1">
        <w:rPr>
          <w:i/>
        </w:rPr>
        <w:fldChar w:fldCharType="begin"/>
      </w:r>
      <w:r w:rsidR="00CC36C1">
        <w:instrText xml:space="preserve"> XE "</w:instrText>
      </w:r>
      <w:r w:rsidR="00CC36C1" w:rsidRPr="00986BC4">
        <w:rPr>
          <w:i/>
        </w:rPr>
        <w:instrText>synderesis</w:instrText>
      </w:r>
      <w:r w:rsidR="00CC36C1">
        <w:instrText xml:space="preserve">" </w:instrText>
      </w:r>
      <w:r w:rsidR="00CC36C1">
        <w:rPr>
          <w:i/>
        </w:rPr>
        <w:fldChar w:fldCharType="end"/>
      </w:r>
      <w:r w:rsidR="00CC36C1" w:rsidRPr="00273106">
        <w:t xml:space="preserve"> </w:t>
      </w:r>
      <w:r w:rsidR="00CC36C1">
        <w:t xml:space="preserve">přešlo do ideologií </w:t>
      </w:r>
      <w:r w:rsidR="00942994">
        <w:t xml:space="preserve">liberální </w:t>
      </w:r>
      <w:r w:rsidR="008C310F">
        <w:lastRenderedPageBreak/>
        <w:t>post</w:t>
      </w:r>
      <w:r w:rsidR="00942994">
        <w:t>moderny</w:t>
      </w:r>
      <w:r w:rsidR="00CC36C1">
        <w:t xml:space="preserve">, kterou </w:t>
      </w:r>
      <w:r w:rsidR="00942994">
        <w:t>zásadně kritizovala aristotelička Hana Arendtová</w:t>
      </w:r>
      <w:r w:rsidR="08E6635F">
        <w:fldChar w:fldCharType="begin"/>
      </w:r>
      <w:r w:rsidR="08E6635F">
        <w:instrText xml:space="preserve"> XE "</w:instrText>
      </w:r>
      <w:r w:rsidR="08E6635F" w:rsidRPr="00725978">
        <w:instrText>Arendt, H.</w:instrText>
      </w:r>
      <w:r w:rsidR="08E6635F">
        <w:instrText xml:space="preserve">" </w:instrText>
      </w:r>
      <w:r w:rsidR="08E6635F">
        <w:fldChar w:fldCharType="end"/>
      </w:r>
      <w:r w:rsidR="00CC36C1">
        <w:t>.</w:t>
      </w:r>
      <w:r w:rsidR="00396F56">
        <w:rPr>
          <w:rStyle w:val="Znakapoznpodarou"/>
        </w:rPr>
        <w:footnoteReference w:id="206"/>
      </w:r>
      <w:r w:rsidR="00396F56">
        <w:t xml:space="preserve"> </w:t>
      </w:r>
      <w:r w:rsidR="00396F56" w:rsidRPr="00396F56">
        <w:t xml:space="preserve">Po první světové válce a úpadku postmoderny došlo ke vzniku nihilistického individua. Humanismus jako ideologická abstrakce připravovala příchod nacismu prostřednictvím internačních táborů pro uprchlíky bez vlasti a bez státní příslušnosti. Stejná celková vláda nihilistického jedince byla vybudována v afrických koloniích 19. století. Humanismus "lidské mrtvoly" </w:t>
      </w:r>
      <w:r w:rsidR="00726DD1">
        <w:t xml:space="preserve">připravil </w:t>
      </w:r>
      <w:r w:rsidR="00396F56">
        <w:t>vpád totalitní i</w:t>
      </w:r>
      <w:r w:rsidR="00396F56" w:rsidRPr="00396F56">
        <w:t>deologie</w:t>
      </w:r>
      <w:r w:rsidR="00726DD1">
        <w:t>. Dehumanizovaná osoba se vyhlazovacích táborech stala pouhým číslem</w:t>
      </w:r>
      <w:r w:rsidR="00396F56">
        <w:fldChar w:fldCharType="begin"/>
      </w:r>
      <w:r w:rsidR="00396F56">
        <w:instrText xml:space="preserve"> XE "</w:instrText>
      </w:r>
      <w:r w:rsidR="00396F56" w:rsidRPr="088A1F37">
        <w:instrText>ideologie</w:instrText>
      </w:r>
      <w:r w:rsidR="00396F56">
        <w:instrText xml:space="preserve">" </w:instrText>
      </w:r>
      <w:r w:rsidR="00396F56">
        <w:fldChar w:fldCharType="end"/>
      </w:r>
      <w:r w:rsidR="00726DD1">
        <w:t xml:space="preserve"> v nihilistickém totalistním modu „</w:t>
      </w:r>
      <w:r w:rsidR="00726DD1" w:rsidRPr="00726DD1">
        <w:rPr>
          <w:i/>
        </w:rPr>
        <w:t>discrete videamus</w:t>
      </w:r>
      <w:r w:rsidR="00726DD1">
        <w:t>“.</w:t>
      </w:r>
    </w:p>
    <w:p w14:paraId="514705F8" w14:textId="1C6BFF6E" w:rsidR="08115D7E" w:rsidRDefault="002E3B62" w:rsidP="0025721D">
      <w:pPr>
        <w:ind w:firstLine="397"/>
      </w:pPr>
      <w:r>
        <w:t>Averroes</w:t>
      </w:r>
      <w:r w:rsidR="00D73967" w:rsidRPr="00273106">
        <w:t xml:space="preserve"> má striktně hylemorfické pojetí člověka napojené na činnost </w:t>
      </w:r>
      <w:r w:rsidR="00003415">
        <w:t xml:space="preserve">personalizovaného </w:t>
      </w:r>
      <w:r w:rsidR="00D73967" w:rsidRPr="00273106">
        <w:t>intelektu</w:t>
      </w:r>
      <w:r w:rsidR="00665E3C">
        <w:t xml:space="preserve">. Ten zakládá </w:t>
      </w:r>
      <w:r w:rsidR="00003415">
        <w:t>akty</w:t>
      </w:r>
      <w:r w:rsidR="00D73967" w:rsidRPr="00273106">
        <w:t xml:space="preserve"> osobní vůle</w:t>
      </w:r>
      <w:r w:rsidR="00C87660">
        <w:t xml:space="preserve"> </w:t>
      </w:r>
      <w:r w:rsidR="00665E3C">
        <w:t xml:space="preserve">na základě </w:t>
      </w:r>
      <w:r w:rsidR="00C87660">
        <w:t xml:space="preserve">rozumné </w:t>
      </w:r>
      <w:r w:rsidR="00665E3C">
        <w:t>přirozenosti</w:t>
      </w:r>
      <w:r w:rsidR="00D73967" w:rsidRPr="00273106">
        <w:t xml:space="preserve">. Létající člověk Avicenny a rozštěpený </w:t>
      </w:r>
      <w:r w:rsidR="005D03D9">
        <w:t>kartezi</w:t>
      </w:r>
      <w:r w:rsidR="00D73967" w:rsidRPr="00273106">
        <w:t>án postmoderny potřebují tělo jen akcidentálně, jako dodatečný důkaz pro rozumnou existenci duše, vědomí, či inteligibilně daného světa</w:t>
      </w:r>
      <w:r w:rsidR="003A799B">
        <w:fldChar w:fldCharType="begin"/>
      </w:r>
      <w:r w:rsidR="003A799B">
        <w:instrText xml:space="preserve"> XE "</w:instrText>
      </w:r>
      <w:r w:rsidR="003A799B" w:rsidRPr="00E37CAD">
        <w:instrText>osoba:dualismus</w:instrText>
      </w:r>
      <w:r w:rsidR="003A799B">
        <w:instrText xml:space="preserve">" </w:instrText>
      </w:r>
      <w:r w:rsidR="003A799B">
        <w:fldChar w:fldCharType="end"/>
      </w:r>
      <w:r w:rsidR="00D73967" w:rsidRPr="00273106">
        <w:t xml:space="preserve">. Latinští sofisté a jejich postmoderní následovníci smyslům zásadně nedůvěřují, protože </w:t>
      </w:r>
      <w:r w:rsidR="08CB1744" w:rsidRPr="00273106">
        <w:t>první substan</w:t>
      </w:r>
      <w:r w:rsidR="08CB1744">
        <w:t xml:space="preserve">ce </w:t>
      </w:r>
      <w:r w:rsidR="08CB1744" w:rsidRPr="00273106">
        <w:t>determinuje</w:t>
      </w:r>
      <w:r w:rsidR="08CB1744">
        <w:t xml:space="preserve"> </w:t>
      </w:r>
      <w:r w:rsidR="08CB1744" w:rsidRPr="00273106">
        <w:t>poznání</w:t>
      </w:r>
      <w:r w:rsidR="08CB1744">
        <w:t xml:space="preserve"> pouze nepřímo</w:t>
      </w:r>
      <w:r w:rsidR="08D63462">
        <w:t xml:space="preserve">. </w:t>
      </w:r>
      <w:r w:rsidR="08D63462" w:rsidRPr="00273106">
        <w:t xml:space="preserve">Alvernova kritika modernistů probíhá na základě aristotelismu </w:t>
      </w:r>
      <w:r w:rsidR="08D63462">
        <w:rPr>
          <w:i/>
        </w:rPr>
        <w:t>De anima</w:t>
      </w:r>
      <w:r w:rsidR="08D63462" w:rsidRPr="00273106">
        <w:t xml:space="preserve"> chápané podle Blunda a podle </w:t>
      </w:r>
      <w:r w:rsidR="08D63462">
        <w:t>Averroes</w:t>
      </w:r>
      <w:r w:rsidR="08D63462" w:rsidRPr="00273106">
        <w:t>e. Reálnou jednotlivinu poznáváme skrze smysly přímo afikované aktualitou věci</w:t>
      </w:r>
      <w:r w:rsidR="08384FD7">
        <w:t xml:space="preserve">, který již v poznání není </w:t>
      </w:r>
      <w:r w:rsidR="00593C80">
        <w:t xml:space="preserve">aktuálně </w:t>
      </w:r>
      <w:r w:rsidR="08384FD7">
        <w:t>přítomná</w:t>
      </w:r>
      <w:r w:rsidR="08D63462" w:rsidRPr="00273106">
        <w:t xml:space="preserve">. Následně vzniká konformita sensibilních a inteligibilních forem, a to skrze rozumovou recepci smyslových </w:t>
      </w:r>
      <w:r w:rsidR="00E02E2A" w:rsidRPr="00E02E2A">
        <w:t>species</w:t>
      </w:r>
      <w:r w:rsidR="08D63462" w:rsidRPr="00273106">
        <w:t xml:space="preserve"> a jejich abstrakci danou primárně skrze </w:t>
      </w:r>
      <w:r w:rsidR="08D63462" w:rsidRPr="00273106">
        <w:rPr>
          <w:i/>
        </w:rPr>
        <w:t>intellectus possibilis</w:t>
      </w:r>
      <w:r w:rsidR="08D63462" w:rsidRPr="00273106">
        <w:t xml:space="preserve">. Protože tato receptivní část duše je nemateriální a přijímá </w:t>
      </w:r>
      <w:r w:rsidR="00E02E2A" w:rsidRPr="00E02E2A">
        <w:t>species</w:t>
      </w:r>
      <w:r w:rsidR="08D63462" w:rsidRPr="00273106">
        <w:t xml:space="preserve"> v procesu inteligibilní abstrakce, pak musí činná složka duše provádět odpovídající syntézu poznávající formy, která završuje poznání reálné věci. </w:t>
      </w:r>
      <w:r w:rsidR="08D63462">
        <w:t xml:space="preserve">Iluminační schéma a neoplatonské definice boha, člověka a poznání jsou z tohoto schématu zásadně vyloučeny. </w:t>
      </w:r>
      <w:r w:rsidR="08D63462" w:rsidRPr="00273106">
        <w:t xml:space="preserve">Zásadní změna se týkala procesu abstrakce, u Alverna již striktně aristotelské, zatímco jeho současníci stále drží Avicennovo </w:t>
      </w:r>
      <w:r w:rsidR="08D63462" w:rsidRPr="00273106">
        <w:rPr>
          <w:i/>
        </w:rPr>
        <w:t>denudatio</w:t>
      </w:r>
      <w:r w:rsidR="08D63462">
        <w:rPr>
          <w:i/>
        </w:rPr>
        <w:fldChar w:fldCharType="begin"/>
      </w:r>
      <w:r w:rsidR="08D63462">
        <w:instrText xml:space="preserve"> XE "</w:instrText>
      </w:r>
      <w:r w:rsidR="08D63462" w:rsidRPr="00C23100">
        <w:rPr>
          <w:i/>
        </w:rPr>
        <w:instrText>denudatio</w:instrText>
      </w:r>
      <w:r w:rsidR="08D63462">
        <w:rPr>
          <w:i/>
        </w:rPr>
        <w:instrText>:</w:instrText>
      </w:r>
      <w:r w:rsidR="08D63462" w:rsidRPr="0090306E">
        <w:instrText>druhý averroismus</w:instrText>
      </w:r>
      <w:r w:rsidR="08D63462">
        <w:instrText xml:space="preserve">" </w:instrText>
      </w:r>
      <w:r w:rsidR="08D63462">
        <w:rPr>
          <w:i/>
        </w:rPr>
        <w:fldChar w:fldCharType="end"/>
      </w:r>
      <w:r w:rsidR="00DE1FF2">
        <w:t xml:space="preserve"> napojené na mnohost substancí v člověku</w:t>
      </w:r>
      <w:r w:rsidR="08D63462" w:rsidRPr="00273106">
        <w:t>.</w:t>
      </w:r>
      <w:r w:rsidR="08D63462">
        <w:t xml:space="preserve"> </w:t>
      </w:r>
      <w:r w:rsidR="00D73967" w:rsidRPr="00273106">
        <w:t xml:space="preserve">Alvernus </w:t>
      </w:r>
      <w:r w:rsidR="007870E8">
        <w:t xml:space="preserve">proti těmto prvním modernistům </w:t>
      </w:r>
      <w:r w:rsidR="00D73967" w:rsidRPr="00273106">
        <w:t>definuje duši jako formu těla, a nikoliv jako kvazi-substanci třetího druhu, což tehdy hájili jeho františkánští kolegové v Paříži. Bere od františkánů a od Filipa Kancléře primát vůle nad poznáním (</w:t>
      </w:r>
      <w:r w:rsidR="00D73967" w:rsidRPr="00273106">
        <w:rPr>
          <w:i/>
        </w:rPr>
        <w:t>melior est perfectio voluntatis perfectione virtutis intellectivae</w:t>
      </w:r>
      <w:r w:rsidR="08D16DA3">
        <w:t xml:space="preserve">; </w:t>
      </w:r>
      <w:r w:rsidR="00D73967" w:rsidRPr="08D16DA3">
        <w:rPr>
          <w:i/>
        </w:rPr>
        <w:t xml:space="preserve">Guilielmi De </w:t>
      </w:r>
      <w:r w:rsidR="00D73967" w:rsidRPr="08D16DA3">
        <w:rPr>
          <w:i/>
        </w:rPr>
        <w:lastRenderedPageBreak/>
        <w:t>anima</w:t>
      </w:r>
      <w:r w:rsidR="00D73967" w:rsidRPr="00273106">
        <w:t xml:space="preserve"> III.8, p. 95</w:t>
      </w:r>
      <w:r w:rsidR="003A799B">
        <w:rPr>
          <w:i/>
        </w:rPr>
        <w:fldChar w:fldCharType="begin"/>
      </w:r>
      <w:r w:rsidR="003A799B">
        <w:instrText xml:space="preserve"> XE "Alvernus:</w:instrText>
      </w:r>
      <w:r w:rsidR="003A799B" w:rsidRPr="00EF3ADC">
        <w:rPr>
          <w:i/>
        </w:rPr>
        <w:instrText xml:space="preserve">Guilielmi </w:instrText>
      </w:r>
      <w:r w:rsidR="003A799B">
        <w:rPr>
          <w:i/>
        </w:rPr>
        <w:instrText>De anima</w:instrText>
      </w:r>
      <w:r w:rsidR="003A799B">
        <w:instrText xml:space="preserve"> 95" </w:instrText>
      </w:r>
      <w:r w:rsidR="003A799B">
        <w:rPr>
          <w:i/>
        </w:rPr>
        <w:fldChar w:fldCharType="end"/>
      </w:r>
      <w:r w:rsidR="00D73967" w:rsidRPr="00273106">
        <w:t>), ale nikoliv jejich aristotelismus</w:t>
      </w:r>
      <w:r w:rsidR="00DA40F6">
        <w:t xml:space="preserve"> daný v neoplatonské linii Toledské školy</w:t>
      </w:r>
      <w:r w:rsidR="00D73967" w:rsidRPr="00273106">
        <w:t xml:space="preserve">. </w:t>
      </w:r>
      <w:r w:rsidR="08AE76E7">
        <w:t>P</w:t>
      </w:r>
      <w:r w:rsidR="00D73967" w:rsidRPr="00273106">
        <w:t xml:space="preserve">rimát vůle daný teologicky skrze jeho františkánské přátele vedl Alverna k uznání </w:t>
      </w:r>
      <w:r>
        <w:t>Averroes</w:t>
      </w:r>
      <w:r w:rsidR="00D73967" w:rsidRPr="00273106">
        <w:t>ovy jedinečnosti intelektu</w:t>
      </w:r>
      <w:r w:rsidR="00021194">
        <w:t xml:space="preserve"> váza</w:t>
      </w:r>
      <w:r w:rsidR="00520034">
        <w:t>ného na osobní výkon myšlení</w:t>
      </w:r>
      <w:r w:rsidR="00D73967" w:rsidRPr="00273106">
        <w:t>.</w:t>
      </w:r>
      <w:r w:rsidR="00D73967">
        <w:t xml:space="preserve"> </w:t>
      </w:r>
      <w:r w:rsidR="08C36FA7">
        <w:t xml:space="preserve">Ve hře byl odlišný výklad </w:t>
      </w:r>
      <w:r w:rsidR="08C36FA7" w:rsidRPr="08C36FA7">
        <w:rPr>
          <w:i/>
        </w:rPr>
        <w:t>Etiky Nikomachovy</w:t>
      </w:r>
      <w:r w:rsidR="08C36FA7">
        <w:t xml:space="preserve"> v prostředí prvního a druhého averroismu okolo roku 1240</w:t>
      </w:r>
      <w:r w:rsidR="086A1800">
        <w:t xml:space="preserve">. Hlavní spor se týkal určení </w:t>
      </w:r>
      <w:r w:rsidR="08C36FA7">
        <w:t>teoretického intelekt</w:t>
      </w:r>
      <w:r w:rsidR="086A1800">
        <w:t>u</w:t>
      </w:r>
      <w:r w:rsidR="08C36FA7">
        <w:t xml:space="preserve">, který jedná skrze vůli v realitě zde a nyní jako kauzálně působící praktický intelekt </w:t>
      </w:r>
      <w:r w:rsidR="00C820CB">
        <w:t xml:space="preserve">osoby </w:t>
      </w:r>
      <w:r w:rsidR="08C36FA7">
        <w:t>(</w:t>
      </w:r>
      <w:r w:rsidR="08C36FA7" w:rsidRPr="00273106">
        <w:rPr>
          <w:i/>
        </w:rPr>
        <w:t>extensione fit practicus</w:t>
      </w:r>
      <w:r w:rsidR="08C36FA7">
        <w:rPr>
          <w:i/>
        </w:rPr>
        <w:fldChar w:fldCharType="begin"/>
      </w:r>
      <w:r w:rsidR="08C36FA7">
        <w:instrText xml:space="preserve"> XE "intelekt:</w:instrText>
      </w:r>
      <w:r w:rsidR="08C36FA7" w:rsidRPr="000614C2">
        <w:rPr>
          <w:i/>
        </w:rPr>
        <w:instrText>extensione fit practicus</w:instrText>
      </w:r>
      <w:r w:rsidR="08C36FA7">
        <w:instrText xml:space="preserve">" </w:instrText>
      </w:r>
      <w:r w:rsidR="08C36FA7">
        <w:rPr>
          <w:i/>
        </w:rPr>
        <w:fldChar w:fldCharType="end"/>
      </w:r>
      <w:r w:rsidR="083F549D">
        <w:t>; OBJ III, kap. 6</w:t>
      </w:r>
      <w:r w:rsidR="08C36FA7" w:rsidRPr="00625F1F">
        <w:t>.1</w:t>
      </w:r>
      <w:r w:rsidR="08C36FA7">
        <w:t xml:space="preserve">). </w:t>
      </w:r>
      <w:r w:rsidR="0824024A">
        <w:t>Alvernova k</w:t>
      </w:r>
      <w:r w:rsidR="00AA647C" w:rsidRPr="00273106">
        <w:t xml:space="preserve">ritika </w:t>
      </w:r>
      <w:r w:rsidR="0824024A">
        <w:t xml:space="preserve">v tomto bodě postihuje </w:t>
      </w:r>
      <w:r w:rsidR="00874074">
        <w:t>neoplatonsk</w:t>
      </w:r>
      <w:r w:rsidR="00AA647C" w:rsidRPr="00273106">
        <w:t xml:space="preserve">é vykladače Aristotela jako byl např. Arnoul z Provence (Gauthier 1963) a </w:t>
      </w:r>
      <w:r w:rsidR="08AC4D8D">
        <w:t xml:space="preserve">některé </w:t>
      </w:r>
      <w:r w:rsidR="00AA647C" w:rsidRPr="00273106">
        <w:t xml:space="preserve">pařížské františkánské </w:t>
      </w:r>
      <w:r w:rsidR="08AC4D8D">
        <w:t>a domi</w:t>
      </w:r>
      <w:r w:rsidR="08D21D93">
        <w:t>ni</w:t>
      </w:r>
      <w:r w:rsidR="08AC4D8D">
        <w:t xml:space="preserve">kánské </w:t>
      </w:r>
      <w:r w:rsidR="08115D7E">
        <w:t>magistry.</w:t>
      </w:r>
    </w:p>
    <w:p w14:paraId="6AB9DC9F" w14:textId="100A686A" w:rsidR="005940B1" w:rsidRDefault="08115D7E" w:rsidP="00221596">
      <w:r>
        <w:tab/>
      </w:r>
      <w:r w:rsidR="00BC23EF" w:rsidRPr="00273106">
        <w:t xml:space="preserve">William z Auvergne je první západní </w:t>
      </w:r>
      <w:r w:rsidR="00021194">
        <w:t>myslitel</w:t>
      </w:r>
      <w:r w:rsidR="00BC23EF" w:rsidRPr="00273106">
        <w:t xml:space="preserve">, který vytvořil jednotnou stavbu prvního averroismu i vzhledem k teologii, která </w:t>
      </w:r>
      <w:r w:rsidR="0074305F">
        <w:t xml:space="preserve">přestala </w:t>
      </w:r>
      <w:r w:rsidR="00BC23EF" w:rsidRPr="00273106">
        <w:t xml:space="preserve">být avicennovskou ontoteologií. </w:t>
      </w:r>
      <w:r w:rsidR="000A5C4A">
        <w:t xml:space="preserve">Nástupce Blunda </w:t>
      </w:r>
      <w:r w:rsidR="00711F0E">
        <w:t>drží pojetí dvojí metody a jedné pravdy</w:t>
      </w:r>
      <w:r w:rsidR="08FD6988">
        <w:t xml:space="preserve">. Filosofické pravdy </w:t>
      </w:r>
      <w:r w:rsidR="00BC23EF" w:rsidRPr="00273106">
        <w:t>v rámci aristotelského poznání světa</w:t>
      </w:r>
      <w:r w:rsidR="08FD6988">
        <w:t xml:space="preserve"> předcházejí t</w:t>
      </w:r>
      <w:r w:rsidR="00BC23EF" w:rsidRPr="00273106">
        <w:t>eologi</w:t>
      </w:r>
      <w:r w:rsidR="08464527">
        <w:t xml:space="preserve">cké pravdy. Řád lidské přirozenosti nemůže být v rozporu s pravdou </w:t>
      </w:r>
      <w:r w:rsidR="00BC23EF">
        <w:t>Zjevení</w:t>
      </w:r>
      <w:r w:rsidR="003A799B">
        <w:fldChar w:fldCharType="begin"/>
      </w:r>
      <w:r w:rsidR="003A799B">
        <w:instrText xml:space="preserve"> XE "</w:instrText>
      </w:r>
      <w:r w:rsidR="003A799B" w:rsidRPr="00815C56">
        <w:instrText>teorie dvojí pravdy</w:instrText>
      </w:r>
      <w:r w:rsidR="003A799B">
        <w:instrText xml:space="preserve">" </w:instrText>
      </w:r>
      <w:r w:rsidR="003A799B">
        <w:fldChar w:fldCharType="end"/>
      </w:r>
      <w:r w:rsidR="00BC23EF" w:rsidRPr="00273106">
        <w:t xml:space="preserve">. </w:t>
      </w:r>
      <w:r w:rsidR="000A5C4A" w:rsidRPr="00273106">
        <w:t xml:space="preserve">Alvernus odmítá zúžit definici teoretického intelektu definovaného podle </w:t>
      </w:r>
      <w:r w:rsidR="00974BEA">
        <w:t xml:space="preserve">platonsky pojatého </w:t>
      </w:r>
      <w:r w:rsidR="000A5C4A" w:rsidRPr="00273106">
        <w:t>Aristotela pouze na nazírání v rámci mystické teologie.</w:t>
      </w:r>
      <w:bookmarkStart w:id="75" w:name="_Ref397078106"/>
      <w:r w:rsidR="000A5C4A" w:rsidRPr="00273106">
        <w:rPr>
          <w:rStyle w:val="Znakapoznpodarou"/>
        </w:rPr>
        <w:footnoteReference w:id="207"/>
      </w:r>
      <w:bookmarkEnd w:id="75"/>
      <w:r w:rsidR="000A5C4A" w:rsidRPr="00273106">
        <w:t xml:space="preserve"> </w:t>
      </w:r>
      <w:r w:rsidR="0883525B">
        <w:t xml:space="preserve">Teoretický intelekt není mystická schopnost, </w:t>
      </w:r>
      <w:r w:rsidR="08CC4E90">
        <w:t>a</w:t>
      </w:r>
      <w:r w:rsidR="0883525B">
        <w:t xml:space="preserve">le přirozená vlastnost daná všem lidem. </w:t>
      </w:r>
      <w:r w:rsidR="00425965" w:rsidRPr="00273106">
        <w:t xml:space="preserve">Pařížský biskup je důležitým svědkem </w:t>
      </w:r>
      <w:r w:rsidR="00CD3A1A">
        <w:t>obrany autonomie filosofie a teologie</w:t>
      </w:r>
      <w:r w:rsidR="00425965" w:rsidRPr="00273106">
        <w:t>, což začal Blundův traktát</w:t>
      </w:r>
      <w:r w:rsidR="00D47E26" w:rsidRPr="00273106">
        <w:t xml:space="preserve"> vymezující odlišnou r</w:t>
      </w:r>
      <w:r w:rsidR="08E6635F">
        <w:t>oli filosofie a teologie (kap. 2</w:t>
      </w:r>
      <w:r w:rsidR="00D47E26" w:rsidRPr="00273106">
        <w:t>.1</w:t>
      </w:r>
      <w:r w:rsidR="000B400D">
        <w:t>.3</w:t>
      </w:r>
      <w:r w:rsidR="00D47E26" w:rsidRPr="00273106">
        <w:t>)</w:t>
      </w:r>
      <w:r w:rsidR="00425965" w:rsidRPr="00273106">
        <w:t xml:space="preserve">. </w:t>
      </w:r>
      <w:r w:rsidR="00AA647C" w:rsidRPr="00273106">
        <w:t xml:space="preserve">Teologie a filosofie </w:t>
      </w:r>
      <w:r w:rsidR="00834F5D">
        <w:t xml:space="preserve">představují </w:t>
      </w:r>
      <w:r w:rsidR="00AA647C" w:rsidRPr="00273106">
        <w:t xml:space="preserve">dva </w:t>
      </w:r>
      <w:r w:rsidR="00956F3E" w:rsidRPr="00273106">
        <w:t xml:space="preserve">komplementární </w:t>
      </w:r>
      <w:r w:rsidR="00AA647C" w:rsidRPr="00273106">
        <w:t>způsoby poznání</w:t>
      </w:r>
      <w:r w:rsidR="00281004">
        <w:t xml:space="preserve"> světa a boha.</w:t>
      </w:r>
      <w:r w:rsidR="00834F5D">
        <w:t xml:space="preserve"> </w:t>
      </w:r>
      <w:r w:rsidR="00EF267A" w:rsidRPr="00273106">
        <w:t xml:space="preserve">Jeho následovník na biskupském stolci udělá </w:t>
      </w:r>
      <w:r w:rsidR="009D4A17" w:rsidRPr="00273106">
        <w:t>v březnu 1277</w:t>
      </w:r>
      <w:r w:rsidR="003A799B">
        <w:fldChar w:fldCharType="begin"/>
      </w:r>
      <w:r w:rsidR="003A799B">
        <w:instrText xml:space="preserve"> XE "</w:instrText>
      </w:r>
      <w:r w:rsidR="003A799B" w:rsidRPr="00531030">
        <w:instrText>odsouzení 1277</w:instrText>
      </w:r>
      <w:r w:rsidR="003A799B">
        <w:instrText xml:space="preserve">" </w:instrText>
      </w:r>
      <w:r w:rsidR="003A799B">
        <w:fldChar w:fldCharType="end"/>
      </w:r>
      <w:r w:rsidR="00EF267A" w:rsidRPr="00273106">
        <w:t xml:space="preserve"> z této </w:t>
      </w:r>
      <w:r w:rsidR="00F61AB0" w:rsidRPr="00273106">
        <w:t xml:space="preserve">aristotelsky založené </w:t>
      </w:r>
      <w:r w:rsidR="00844CAD" w:rsidRPr="00273106">
        <w:t xml:space="preserve">kohabitace rozumu a víry </w:t>
      </w:r>
      <w:r w:rsidR="00EF267A" w:rsidRPr="00273106">
        <w:t>zásadní problém</w:t>
      </w:r>
      <w:r w:rsidR="00475647">
        <w:t xml:space="preserve">. </w:t>
      </w:r>
      <w:r w:rsidR="00C23A20">
        <w:t>M</w:t>
      </w:r>
      <w:r w:rsidR="08FA6DA4">
        <w:t xml:space="preserve">odernistický biskup Etienne </w:t>
      </w:r>
      <w:r w:rsidR="00C23A20" w:rsidRPr="00273106">
        <w:t>vyh</w:t>
      </w:r>
      <w:r w:rsidR="00C23A20">
        <w:t xml:space="preserve">lásil </w:t>
      </w:r>
      <w:r w:rsidR="00475647">
        <w:t xml:space="preserve">jménem jedné ontoteologické pravdy </w:t>
      </w:r>
      <w:r w:rsidR="00844CAD" w:rsidRPr="00273106">
        <w:t xml:space="preserve">dogmatickou válku </w:t>
      </w:r>
      <w:r w:rsidR="00EF267A" w:rsidRPr="00273106">
        <w:t>prvnímu averroismu</w:t>
      </w:r>
      <w:r w:rsidR="08CF0AD4">
        <w:t>, který teologii a filosofii definoval jako dva rodově odlišné druhy vědeckého poznání</w:t>
      </w:r>
      <w:r w:rsidR="00EF267A" w:rsidRPr="00273106">
        <w:t xml:space="preserve">. </w:t>
      </w:r>
      <w:r w:rsidR="084E098C">
        <w:t xml:space="preserve">Alvernus </w:t>
      </w:r>
      <w:r w:rsidR="005519C9" w:rsidRPr="00273106">
        <w:t>je realistou</w:t>
      </w:r>
      <w:r w:rsidR="08147BAC">
        <w:t xml:space="preserve"> a ne dogmatikem řízeným </w:t>
      </w:r>
      <w:r w:rsidR="00DF2C87">
        <w:t xml:space="preserve">akademickými </w:t>
      </w:r>
      <w:r w:rsidR="08147BAC">
        <w:t>Fúriemi</w:t>
      </w:r>
      <w:r w:rsidR="00DF2C87">
        <w:t xml:space="preserve"> v křesťanském hávu</w:t>
      </w:r>
      <w:r w:rsidR="08147BAC">
        <w:t xml:space="preserve">. </w:t>
      </w:r>
      <w:r w:rsidR="08856529">
        <w:t xml:space="preserve">Tento moudrý </w:t>
      </w:r>
      <w:r w:rsidR="08856529" w:rsidRPr="00273106">
        <w:t xml:space="preserve">biskup </w:t>
      </w:r>
      <w:r w:rsidR="00B755DB">
        <w:t>hájil</w:t>
      </w:r>
      <w:r w:rsidR="005519C9" w:rsidRPr="00273106">
        <w:t xml:space="preserve"> reálnou spásu pro reálnou osobu</w:t>
      </w:r>
      <w:r w:rsidR="08856529">
        <w:t>, p</w:t>
      </w:r>
      <w:r w:rsidR="00B755DB">
        <w:t>roto potřeboval</w:t>
      </w:r>
      <w:r w:rsidR="005519C9" w:rsidRPr="00273106">
        <w:t xml:space="preserve"> primát rozumné vůle a individuálního poznání </w:t>
      </w:r>
      <w:r w:rsidR="00047541">
        <w:t>v reálně existující osobě</w:t>
      </w:r>
      <w:r w:rsidR="005519C9" w:rsidRPr="00273106">
        <w:t xml:space="preserve">. Status autonomní první substance a na ní založené metafyziky vedl Alverna k oddělení první a </w:t>
      </w:r>
      <w:r w:rsidR="005519C9" w:rsidRPr="00273106">
        <w:lastRenderedPageBreak/>
        <w:t>druhé substance</w:t>
      </w:r>
      <w:r w:rsidR="009E4A34">
        <w:t xml:space="preserve">. To </w:t>
      </w:r>
      <w:r w:rsidR="005519C9" w:rsidRPr="00273106">
        <w:t xml:space="preserve">jej postavilo proti </w:t>
      </w:r>
      <w:r w:rsidR="009E4A34">
        <w:t xml:space="preserve">všem druhům </w:t>
      </w:r>
      <w:r w:rsidR="005519C9"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AE5214" w:rsidRPr="00AE5214">
        <w:rPr>
          <w:rStyle w:val="Zvraznn"/>
          <w:i w:val="0"/>
        </w:rPr>
        <w:instrText>:kritika Alverna</w:instrText>
      </w:r>
      <w:r w:rsidR="003F16A5">
        <w:instrText xml:space="preserve">" </w:instrText>
      </w:r>
      <w:r w:rsidR="003F16A5">
        <w:rPr>
          <w:i/>
        </w:rPr>
        <w:fldChar w:fldCharType="end"/>
      </w:r>
      <w:r w:rsidR="005519C9" w:rsidRPr="00273106">
        <w:t xml:space="preserve"> </w:t>
      </w:r>
      <w:r w:rsidR="009E4A34">
        <w:t>v</w:t>
      </w:r>
      <w:r w:rsidR="005519C9" w:rsidRPr="00273106">
        <w:t xml:space="preserve">e školách tehdejších </w:t>
      </w:r>
      <w:r w:rsidR="005519C9" w:rsidRPr="00273106">
        <w:rPr>
          <w:i/>
        </w:rPr>
        <w:t>Nominales</w:t>
      </w:r>
      <w:r w:rsidR="005519C9" w:rsidRPr="00273106">
        <w:t>.</w:t>
      </w:r>
      <w:r w:rsidR="00D73967">
        <w:t xml:space="preserve"> </w:t>
      </w:r>
      <w:r w:rsidR="008501D3" w:rsidRPr="00273106">
        <w:t xml:space="preserve">Tyto základní atributy zajišťující důstojnost osoby ve smyslu její nedělitelnosti a plné přičitatelnosti vlastního myšlení a skutků přinesl na latinský Západ </w:t>
      </w:r>
      <w:r w:rsidR="002E3B62">
        <w:t>Averroes</w:t>
      </w:r>
      <w:r w:rsidR="008501D3" w:rsidRPr="00273106">
        <w:t xml:space="preserve">ův velký komentář k </w:t>
      </w:r>
      <w:r w:rsidR="008501D3">
        <w:rPr>
          <w:i/>
        </w:rPr>
        <w:t>De anima</w:t>
      </w:r>
      <w:r w:rsidR="008501D3" w:rsidRPr="00273106">
        <w:t xml:space="preserve">. </w:t>
      </w:r>
      <w:r w:rsidR="003229BB">
        <w:t>P</w:t>
      </w:r>
      <w:r w:rsidR="008501D3" w:rsidRPr="00273106">
        <w:t xml:space="preserve">rvní matrice objektivity ukázala, že </w:t>
      </w:r>
      <w:r w:rsidR="002E3B62">
        <w:t>Averroes</w:t>
      </w:r>
      <w:r w:rsidR="008501D3" w:rsidRPr="00273106">
        <w:t xml:space="preserve"> radikálně bránil </w:t>
      </w:r>
      <w:r w:rsidR="008501D3">
        <w:t>integritu první substance</w:t>
      </w:r>
      <w:r w:rsidR="008501D3" w:rsidRPr="00273106">
        <w:t xml:space="preserve"> proti Avicennovi v rámci „meta</w:t>
      </w:r>
      <w:r w:rsidR="008501D3" w:rsidRPr="00273106">
        <w:noBreakHyphen/>
        <w:t>fyzického“ projektu první filosofie</w:t>
      </w:r>
      <w:r w:rsidR="008501D3">
        <w:t xml:space="preserve"> (</w:t>
      </w:r>
      <w:r w:rsidR="088671C1">
        <w:t>OBJ I</w:t>
      </w:r>
      <w:r w:rsidR="0817196C">
        <w:t xml:space="preserve">, </w:t>
      </w:r>
      <w:r w:rsidR="008501D3">
        <w:t>kap. 2.4.1)</w:t>
      </w:r>
      <w:r w:rsidR="008501D3" w:rsidRPr="00273106">
        <w:t xml:space="preserve">. Alvernus je </w:t>
      </w:r>
      <w:r w:rsidR="00B42979">
        <w:t xml:space="preserve">prvním </w:t>
      </w:r>
      <w:r w:rsidR="008501D3" w:rsidRPr="00273106">
        <w:t xml:space="preserve">filosofickým a teologickým obhájcem </w:t>
      </w:r>
      <w:r w:rsidR="002E3B62">
        <w:t>Averroes</w:t>
      </w:r>
      <w:r w:rsidR="008501D3" w:rsidRPr="00273106">
        <w:t>e na latinském Západě</w:t>
      </w:r>
      <w:r w:rsidR="005B7512">
        <w:t xml:space="preserve">, </w:t>
      </w:r>
      <w:r w:rsidR="00AC458E">
        <w:t>což dokazuje jeho spis</w:t>
      </w:r>
      <w:r w:rsidR="005131F4">
        <w:t xml:space="preserve"> </w:t>
      </w:r>
      <w:r w:rsidR="005131F4" w:rsidRPr="00273106">
        <w:rPr>
          <w:i/>
        </w:rPr>
        <w:t>De potentiis animae et obiectis</w:t>
      </w:r>
      <w:r w:rsidR="008501D3" w:rsidRPr="00273106">
        <w:t xml:space="preserve">. Věcně správně integroval </w:t>
      </w:r>
      <w:r w:rsidR="008501D3">
        <w:t xml:space="preserve">nauku </w:t>
      </w:r>
      <w:r w:rsidR="002E3B62">
        <w:t>Averroes</w:t>
      </w:r>
      <w:r w:rsidR="008501D3" w:rsidRPr="00273106">
        <w:t xml:space="preserve">e jak do filosofie, tak do teologie. Odmítl filosofii </w:t>
      </w:r>
      <w:r w:rsidR="008501D3" w:rsidRPr="00273106">
        <w:rPr>
          <w:i/>
        </w:rPr>
        <w:t>Nominales</w:t>
      </w:r>
      <w:r w:rsidR="008501D3" w:rsidRPr="00273106">
        <w:t xml:space="preserve"> a upravil aristotelismus </w:t>
      </w:r>
      <w:r w:rsidR="002E3B62">
        <w:t>Averroes</w:t>
      </w:r>
      <w:r w:rsidR="008501D3" w:rsidRPr="00273106">
        <w:t xml:space="preserve">e do výkladu </w:t>
      </w:r>
      <w:r w:rsidR="008501D3">
        <w:t>dvojí metody</w:t>
      </w:r>
      <w:r w:rsidR="008501D3" w:rsidRPr="00273106">
        <w:t xml:space="preserve"> filosofie a teologie podle Johna Blunda. </w:t>
      </w:r>
      <w:r w:rsidR="00D15DD8">
        <w:t xml:space="preserve">Nyní </w:t>
      </w:r>
      <w:r w:rsidR="008501D3" w:rsidRPr="00273106">
        <w:t xml:space="preserve">je </w:t>
      </w:r>
      <w:r w:rsidR="00D15DD8">
        <w:t xml:space="preserve">zcela </w:t>
      </w:r>
      <w:r w:rsidR="084F49A8">
        <w:t>zřejmé, proč čestný titul nejvznešejšího filosofa</w:t>
      </w:r>
      <w:r w:rsidR="008501D3" w:rsidRPr="00273106">
        <w:t xml:space="preserve"> dostal z arabských aristoteliků pouze </w:t>
      </w:r>
      <w:r w:rsidR="002E3B62">
        <w:t>Averroes</w:t>
      </w:r>
      <w:r w:rsidR="00431CF2">
        <w:t xml:space="preserve">. Jeho </w:t>
      </w:r>
      <w:r w:rsidR="008501D3" w:rsidRPr="00273106">
        <w:t>filosofie</w:t>
      </w:r>
      <w:r w:rsidR="08523913">
        <w:t xml:space="preserve"> </w:t>
      </w:r>
      <w:r w:rsidR="00431CF2">
        <w:t xml:space="preserve">byla </w:t>
      </w:r>
      <w:r w:rsidR="08523913">
        <w:t xml:space="preserve">napojená na první evropský humanismus Al-Fárábího </w:t>
      </w:r>
      <w:r w:rsidR="00431CF2">
        <w:t xml:space="preserve">a proto </w:t>
      </w:r>
      <w:r w:rsidR="008501D3" w:rsidRPr="00273106">
        <w:t xml:space="preserve">představuje </w:t>
      </w:r>
      <w:r w:rsidR="008501D3" w:rsidRPr="00273106">
        <w:rPr>
          <w:i/>
        </w:rPr>
        <w:t>Lichtung</w:t>
      </w:r>
      <w:r w:rsidR="008501D3" w:rsidRPr="00273106">
        <w:t xml:space="preserve"> </w:t>
      </w:r>
      <w:r w:rsidR="00497AF8">
        <w:t xml:space="preserve">pravdy a nepravdy </w:t>
      </w:r>
      <w:r w:rsidR="008501D3" w:rsidRPr="00273106">
        <w:t>západního humanismu</w:t>
      </w:r>
      <w:r w:rsidR="00D217EC">
        <w:fldChar w:fldCharType="begin"/>
      </w:r>
      <w:r w:rsidR="00D217EC">
        <w:instrText xml:space="preserve"> XE "</w:instrText>
      </w:r>
      <w:r w:rsidR="00D217EC" w:rsidRPr="00CC3FC5">
        <w:rPr>
          <w:i/>
        </w:rPr>
        <w:instrText>Lichtung</w:instrText>
      </w:r>
      <w:r w:rsidR="00D217EC" w:rsidRPr="00CC3FC5">
        <w:instrText>:humanismu</w:instrText>
      </w:r>
      <w:r w:rsidR="00D217EC">
        <w:instrText xml:space="preserve">s" </w:instrText>
      </w:r>
      <w:r w:rsidR="00D217EC">
        <w:fldChar w:fldCharType="end"/>
      </w:r>
      <w:r w:rsidR="008501D3" w:rsidRPr="00273106">
        <w:t>.</w:t>
      </w:r>
      <w:r w:rsidR="001C69E9">
        <w:t xml:space="preserve"> </w:t>
      </w:r>
      <w:r w:rsidR="00600F18" w:rsidRPr="00600F18">
        <w:t>Zdrojem tohoto humanismu byla Sicílie za vlády osvíceného panovníka Fridricha</w:t>
      </w:r>
      <w:r w:rsidR="00600F18">
        <w:t xml:space="preserve"> II. a navazoval na Sicilskou školu</w:t>
      </w:r>
      <w:r w:rsidR="00600F18" w:rsidRPr="00600F18">
        <w:t>, kterou založil. Je zcela jasné, proč Alvernus jako pařížský biskup, který se ve sporu o Itálii pos</w:t>
      </w:r>
      <w:r w:rsidR="00600F18">
        <w:t xml:space="preserve">tavil na stranu papeže, </w:t>
      </w:r>
      <w:r w:rsidR="002B4FBA" w:rsidRPr="00600F18">
        <w:t>nikdy necituje</w:t>
      </w:r>
      <w:r w:rsidR="002B4FBA">
        <w:t xml:space="preserve"> </w:t>
      </w:r>
      <w:r w:rsidR="00600F18">
        <w:t>tohoto „</w:t>
      </w:r>
      <w:r w:rsidR="00600F18" w:rsidRPr="00600F18">
        <w:t>kacíř</w:t>
      </w:r>
      <w:r w:rsidR="00600F18">
        <w:t>e“</w:t>
      </w:r>
      <w:r w:rsidR="00600F18" w:rsidRPr="00600F18">
        <w:t>. Negativní politická konotace spojená s historií účinků týkajících se sicilského aristotelismu vysvětluje mlčení o vlivu sicilské školy v Paříži. Tento biskup a spojenec papeže Řehoře IX. jen minimálně cituje spis</w:t>
      </w:r>
      <w:r w:rsidR="00600F18">
        <w:t>y</w:t>
      </w:r>
      <w:r w:rsidR="00600F18" w:rsidRPr="00600F18">
        <w:t xml:space="preserve"> Komentátor</w:t>
      </w:r>
      <w:r w:rsidR="00600F18">
        <w:t>a</w:t>
      </w:r>
      <w:r w:rsidR="00600F18" w:rsidRPr="00600F18">
        <w:t>, který byl přivezen ze Sicílie ovládané tehdy ví</w:t>
      </w:r>
      <w:r w:rsidR="00755071">
        <w:t>tězným Fridrichem II</w:t>
      </w:r>
      <w:r w:rsidR="00600F18" w:rsidRPr="00600F18">
        <w:t>.</w:t>
      </w:r>
      <w:r w:rsidR="00755071">
        <w:t xml:space="preserve"> sicilským.</w:t>
      </w:r>
      <w:r w:rsidR="082404BE">
        <w:rPr>
          <w:rStyle w:val="Znakapoznpodarou"/>
        </w:rPr>
        <w:footnoteReference w:id="208"/>
      </w:r>
      <w:r w:rsidR="08646A3A">
        <w:t xml:space="preserve"> </w:t>
      </w:r>
      <w:r w:rsidR="004C0869">
        <w:t>Ale filosofické spisy</w:t>
      </w:r>
      <w:r w:rsidR="08D97FAC">
        <w:t xml:space="preserve"> ze Sicílie</w:t>
      </w:r>
      <w:r w:rsidR="00E14BE4">
        <w:t>,</w:t>
      </w:r>
      <w:r w:rsidR="004C0869">
        <w:t xml:space="preserve"> přinesené a uvedené na půdě Pařížské univerzity od učenců jako byl Michael Scotus angažovaný v papežských službách</w:t>
      </w:r>
      <w:r w:rsidR="00E14BE4">
        <w:t>,</w:t>
      </w:r>
      <w:r w:rsidR="004C0869">
        <w:t xml:space="preserve"> </w:t>
      </w:r>
      <w:r w:rsidR="00F65A57">
        <w:t xml:space="preserve">ty </w:t>
      </w:r>
      <w:r w:rsidR="004C0869">
        <w:t>byly</w:t>
      </w:r>
      <w:r w:rsidR="086F4897">
        <w:t xml:space="preserve"> přijaty bez připomínek.</w:t>
      </w:r>
      <w:r w:rsidR="08901568">
        <w:t xml:space="preserve"> </w:t>
      </w:r>
      <w:r w:rsidR="00412D58" w:rsidRPr="00273106">
        <w:t xml:space="preserve">Gigantomachie o substanci </w:t>
      </w:r>
      <w:r w:rsidR="003567E7">
        <w:rPr>
          <w:i/>
        </w:rPr>
        <w:fldChar w:fldCharType="begin"/>
      </w:r>
      <w:r w:rsidR="003567E7">
        <w:instrText xml:space="preserve"> XE "substance:gigantomachie" </w:instrText>
      </w:r>
      <w:r w:rsidR="003567E7">
        <w:rPr>
          <w:i/>
        </w:rPr>
        <w:fldChar w:fldCharType="end"/>
      </w:r>
      <w:r w:rsidR="00D814CF">
        <w:t xml:space="preserve">dostala díky biskupu Alvernovi </w:t>
      </w:r>
      <w:r w:rsidR="00412D58" w:rsidRPr="00273106">
        <w:t>charakter zásadního filosofického a teologického sporu, v němž se začala formovat nová metafyzika Západu.</w:t>
      </w:r>
      <w:r w:rsidR="00D73967">
        <w:t xml:space="preserve"> </w:t>
      </w:r>
      <w:r w:rsidR="00412D58" w:rsidRPr="00273106">
        <w:t>S</w:t>
      </w:r>
      <w:r w:rsidR="00393489" w:rsidRPr="00273106">
        <w:t xml:space="preserve">kupina </w:t>
      </w:r>
      <w:r w:rsidR="00466181" w:rsidRPr="00273106">
        <w:t xml:space="preserve">avicennovských myslitelů </w:t>
      </w:r>
      <w:r w:rsidR="00393489" w:rsidRPr="00273106">
        <w:t xml:space="preserve">z okruhu </w:t>
      </w:r>
      <w:r w:rsidR="00393489" w:rsidRPr="00273106">
        <w:rPr>
          <w:i/>
        </w:rPr>
        <w:t>Modernorum</w:t>
      </w:r>
      <w:r w:rsidR="00393489" w:rsidRPr="00273106">
        <w:t xml:space="preserve"> se vyrovnala s učením </w:t>
      </w:r>
      <w:r w:rsidR="002E3B62">
        <w:t>Averroes</w:t>
      </w:r>
      <w:r w:rsidR="00393489" w:rsidRPr="00273106">
        <w:t xml:space="preserve">e </w:t>
      </w:r>
      <w:r w:rsidR="00D651AC">
        <w:t xml:space="preserve">předaného Toledskou školou </w:t>
      </w:r>
      <w:r w:rsidR="00393489" w:rsidRPr="00273106">
        <w:t xml:space="preserve">v rámci </w:t>
      </w:r>
      <w:r w:rsidR="009A55A0">
        <w:t xml:space="preserve">univoční predikace </w:t>
      </w:r>
      <w:r w:rsidR="00466181" w:rsidRPr="00273106">
        <w:t xml:space="preserve">hypostází </w:t>
      </w:r>
      <w:r w:rsidR="00393489" w:rsidRPr="00273106">
        <w:t xml:space="preserve">převzaté od zaniklých škol </w:t>
      </w:r>
      <w:r w:rsidR="00393489" w:rsidRPr="00273106">
        <w:rPr>
          <w:i/>
        </w:rPr>
        <w:t>Nominales</w:t>
      </w:r>
      <w:r w:rsidR="00393489" w:rsidRPr="00273106">
        <w:t xml:space="preserve">. </w:t>
      </w:r>
      <w:r w:rsidR="00D651AC">
        <w:t>Tento proud inspirovaný spisy Toledské školy vyprodukoval averroistickou interpretaci Averro</w:t>
      </w:r>
      <w:r w:rsidR="08A0322F">
        <w:t>e</w:t>
      </w:r>
      <w:r w:rsidR="00D651AC">
        <w:t>se</w:t>
      </w:r>
      <w:r w:rsidR="08F76474">
        <w:t xml:space="preserve"> a v </w:t>
      </w:r>
      <w:r w:rsidR="00562F08">
        <w:t xml:space="preserve">této škole druhého averroismu je nutno </w:t>
      </w:r>
      <w:r w:rsidR="00D651AC">
        <w:t xml:space="preserve">hledat i </w:t>
      </w:r>
      <w:r w:rsidR="00D651AC">
        <w:lastRenderedPageBreak/>
        <w:t xml:space="preserve">původ </w:t>
      </w:r>
      <w:r w:rsidR="00F07C90">
        <w:t>objektivní metafyziky</w:t>
      </w:r>
      <w:r w:rsidR="08B1257E">
        <w:t xml:space="preserve">. </w:t>
      </w:r>
      <w:r w:rsidR="08D25AC4">
        <w:t xml:space="preserve">Alvernův </w:t>
      </w:r>
      <w:r w:rsidR="009E6AA9">
        <w:t xml:space="preserve">název </w:t>
      </w:r>
      <w:r w:rsidR="00393489" w:rsidRPr="00273106">
        <w:rPr>
          <w:i/>
        </w:rPr>
        <w:t>sophistae Latini</w:t>
      </w:r>
      <w:r w:rsidR="005109BC">
        <w:rPr>
          <w:i/>
        </w:rPr>
        <w:fldChar w:fldCharType="begin"/>
      </w:r>
      <w:r w:rsidR="005109BC">
        <w:instrText xml:space="preserve"> XE "</w:instrText>
      </w:r>
      <w:r w:rsidR="003567E7">
        <w:instrText>druhý averroismus:s</w:instrText>
      </w:r>
      <w:r w:rsidR="005109BC" w:rsidRPr="00EC0AF4">
        <w:rPr>
          <w:i/>
          <w:lang w:eastAsia="en-US"/>
        </w:rPr>
        <w:instrText>ophistae Latini</w:instrText>
      </w:r>
      <w:r w:rsidR="005109BC">
        <w:instrText xml:space="preserve">" </w:instrText>
      </w:r>
      <w:r w:rsidR="005109BC">
        <w:rPr>
          <w:i/>
        </w:rPr>
        <w:fldChar w:fldCharType="end"/>
      </w:r>
      <w:r w:rsidR="08B1257E">
        <w:t xml:space="preserve"> daný této škole </w:t>
      </w:r>
      <w:r w:rsidR="08D25AC4">
        <w:t xml:space="preserve">převzal Albert v ironické podobě </w:t>
      </w:r>
      <w:r w:rsidR="08D25AC4" w:rsidRPr="08D25AC4">
        <w:rPr>
          <w:i/>
        </w:rPr>
        <w:t>doctores Latini</w:t>
      </w:r>
      <w:r w:rsidR="08D25AC4">
        <w:t xml:space="preserve">. </w:t>
      </w:r>
      <w:r w:rsidR="00393489" w:rsidRPr="00273106">
        <w:t xml:space="preserve">Kritikou modernistů </w:t>
      </w:r>
      <w:r w:rsidR="00DC5F2E">
        <w:t xml:space="preserve">a sofistů všeho druhu </w:t>
      </w:r>
      <w:r w:rsidR="00393489" w:rsidRPr="00273106">
        <w:t xml:space="preserve">se </w:t>
      </w:r>
      <w:r w:rsidR="08A539C9">
        <w:t xml:space="preserve">magistr </w:t>
      </w:r>
      <w:r w:rsidR="00393489" w:rsidRPr="00273106">
        <w:t>Alvernus dostal do okruhu filosofů prvního averroismu</w:t>
      </w:r>
      <w:r w:rsidR="005940B1">
        <w:t xml:space="preserve">. </w:t>
      </w:r>
      <w:r w:rsidR="005940B1" w:rsidRPr="005940B1">
        <w:t xml:space="preserve">Tito filosofové byli umlčeni moderním </w:t>
      </w:r>
      <w:r w:rsidR="005940B1" w:rsidRPr="00EE27BB">
        <w:rPr>
          <w:i/>
        </w:rPr>
        <w:t>damnatio memoriae</w:t>
      </w:r>
      <w:r w:rsidR="00EE27BB">
        <w:rPr>
          <w:i/>
        </w:rPr>
        <w:fldChar w:fldCharType="begin"/>
      </w:r>
      <w:r w:rsidR="00EE27BB">
        <w:instrText xml:space="preserve"> XE "</w:instrText>
      </w:r>
      <w:r w:rsidR="00EE27BB" w:rsidRPr="004410EC">
        <w:rPr>
          <w:i/>
        </w:rPr>
        <w:instrText>damnatio memoriae</w:instrText>
      </w:r>
      <w:r w:rsidR="00EE27BB">
        <w:instrText xml:space="preserve">" </w:instrText>
      </w:r>
      <w:r w:rsidR="00EE27BB">
        <w:rPr>
          <w:i/>
        </w:rPr>
        <w:fldChar w:fldCharType="end"/>
      </w:r>
      <w:r w:rsidR="005940B1" w:rsidRPr="005940B1">
        <w:t>, které jim vnutili poražení myslitelé mode</w:t>
      </w:r>
      <w:r w:rsidR="004764F4">
        <w:t>r</w:t>
      </w:r>
      <w:r w:rsidR="005940B1" w:rsidRPr="005940B1">
        <w:t xml:space="preserve">nismu. Tito filosofičtí </w:t>
      </w:r>
      <w:r w:rsidR="005940B1">
        <w:t xml:space="preserve">diletanti </w:t>
      </w:r>
      <w:r w:rsidR="005940B1" w:rsidRPr="005940B1">
        <w:t>však tvořili vítěznou stranu mocenského boje o ideologic</w:t>
      </w:r>
      <w:r w:rsidR="005940B1">
        <w:t>ky utvářený „</w:t>
      </w:r>
      <w:r w:rsidR="005940B1" w:rsidRPr="005940B1">
        <w:t>averroismus</w:t>
      </w:r>
      <w:r w:rsidR="005940B1">
        <w:t>“</w:t>
      </w:r>
      <w:r w:rsidR="005940B1" w:rsidRPr="005940B1">
        <w:t>.</w:t>
      </w:r>
    </w:p>
    <w:p w14:paraId="26FB140B" w14:textId="77777777" w:rsidR="00F00CDC" w:rsidRDefault="08F76474" w:rsidP="08A2007E">
      <w:r>
        <w:tab/>
      </w:r>
      <w:r w:rsidR="00D73967" w:rsidRPr="00273106">
        <w:t xml:space="preserve">Na příkladu </w:t>
      </w:r>
      <w:r w:rsidR="007432F3">
        <w:t xml:space="preserve">negativní </w:t>
      </w:r>
      <w:r w:rsidR="00D73967" w:rsidRPr="00273106">
        <w:rPr>
          <w:i/>
        </w:rPr>
        <w:t>Wirkungsgeschichte</w:t>
      </w:r>
      <w:r w:rsidR="00764462">
        <w:t xml:space="preserve"> Alvernovy filosofie </w:t>
      </w:r>
      <w:r w:rsidR="007432F3">
        <w:t xml:space="preserve">můžeme </w:t>
      </w:r>
      <w:r w:rsidR="00764462" w:rsidRPr="00273106">
        <w:t>pozor</w:t>
      </w:r>
      <w:r w:rsidR="007432F3">
        <w:t xml:space="preserve">ovat postup Léthé, kterou nesla stále více produkovaná a šířená nepravda </w:t>
      </w:r>
      <w:r w:rsidR="002E3B62">
        <w:t>Averroes</w:t>
      </w:r>
      <w:r w:rsidR="007432F3">
        <w:t xml:space="preserve">ovy filosofie. Jeho chybné přijetí </w:t>
      </w:r>
      <w:r w:rsidR="00D73967" w:rsidRPr="00273106">
        <w:t xml:space="preserve">souvisí s nástupem moderní formy </w:t>
      </w:r>
      <w:r w:rsidR="00D73967" w:rsidRPr="00273106">
        <w:rPr>
          <w:i/>
        </w:rPr>
        <w:t>Seinvergessenheit</w:t>
      </w:r>
      <w:r w:rsidR="003567E7">
        <w:rPr>
          <w:i/>
        </w:rPr>
        <w:fldChar w:fldCharType="begin"/>
      </w:r>
      <w:r w:rsidR="003567E7">
        <w:instrText xml:space="preserve"> XE "</w:instrText>
      </w:r>
      <w:r w:rsidR="003567E7" w:rsidRPr="00F10171">
        <w:rPr>
          <w:i/>
        </w:rPr>
        <w:instrText>Seinvergessenheit</w:instrText>
      </w:r>
      <w:r w:rsidR="003567E7">
        <w:instrText xml:space="preserve">" </w:instrText>
      </w:r>
      <w:r w:rsidR="003567E7">
        <w:rPr>
          <w:i/>
        </w:rPr>
        <w:fldChar w:fldCharType="end"/>
      </w:r>
      <w:r w:rsidR="08731227">
        <w:t xml:space="preserve"> v západní metafyzice</w:t>
      </w:r>
      <w:r w:rsidR="00D73967" w:rsidRPr="00273106">
        <w:t>. Současné hrubé podcenění filosofického významu Williama z Auvergne vyplývá z jednos</w:t>
      </w:r>
      <w:r w:rsidR="086325B7">
        <w:t xml:space="preserve">tranné interpretace jeho díla. Zcela chybí pravdivá </w:t>
      </w:r>
      <w:r w:rsidR="00D73967" w:rsidRPr="00273106">
        <w:t xml:space="preserve">reflexe vlivu </w:t>
      </w:r>
      <w:r w:rsidR="086325B7">
        <w:t xml:space="preserve">skutečného </w:t>
      </w:r>
      <w:r w:rsidR="002E3B62">
        <w:t>Averroes</w:t>
      </w:r>
      <w:r w:rsidR="00D73967" w:rsidRPr="00273106">
        <w:t xml:space="preserve">e na jeho spisy, zejména na druhou část díla </w:t>
      </w:r>
      <w:r w:rsidR="00D73967" w:rsidRPr="00273106">
        <w:rPr>
          <w:i/>
        </w:rPr>
        <w:t>De universo</w:t>
      </w:r>
      <w:r w:rsidR="00D73967" w:rsidRPr="00273106">
        <w:t xml:space="preserve"> a na spis </w:t>
      </w:r>
      <w:r w:rsidR="00D73967">
        <w:rPr>
          <w:i/>
        </w:rPr>
        <w:t>De anima</w:t>
      </w:r>
      <w:r w:rsidR="00D73967" w:rsidRPr="00273106">
        <w:t xml:space="preserve">. </w:t>
      </w:r>
      <w:r w:rsidR="002A568F">
        <w:t>Spor toledské a s</w:t>
      </w:r>
      <w:r w:rsidR="08F83DBB">
        <w:t>icilské interp</w:t>
      </w:r>
      <w:r w:rsidR="003E191A">
        <w:t>r</w:t>
      </w:r>
      <w:r w:rsidR="08F83DBB">
        <w:t>e</w:t>
      </w:r>
      <w:r w:rsidR="003E191A">
        <w:t>t</w:t>
      </w:r>
      <w:r w:rsidR="08C26E75">
        <w:t xml:space="preserve">ace </w:t>
      </w:r>
      <w:r w:rsidR="08F83DBB">
        <w:t xml:space="preserve">Komentátora je </w:t>
      </w:r>
      <w:r w:rsidR="003E191A">
        <w:t xml:space="preserve">pro objektivisty </w:t>
      </w:r>
      <w:r w:rsidR="08F83DBB" w:rsidRPr="08F83DBB">
        <w:rPr>
          <w:i/>
        </w:rPr>
        <w:t>terra incognita</w:t>
      </w:r>
      <w:r w:rsidR="002A568F">
        <w:t xml:space="preserve">. Souvisí totiž s hermeneutickou problematizací objektivního </w:t>
      </w:r>
      <w:r w:rsidR="003E191A">
        <w:t>vidění světa</w:t>
      </w:r>
      <w:r w:rsidR="081A5510">
        <w:t xml:space="preserve">. </w:t>
      </w:r>
      <w:r w:rsidR="082E57F6">
        <w:t>Archaická hermeneutika sleduje</w:t>
      </w:r>
      <w:r w:rsidR="081A5510">
        <w:t xml:space="preserve"> působení Múz v božské </w:t>
      </w:r>
      <w:r w:rsidR="08CB3741">
        <w:t>tragi</w:t>
      </w:r>
      <w:r w:rsidR="081A5510">
        <w:t>komedii zvané „objekti</w:t>
      </w:r>
      <w:r w:rsidR="082E57F6">
        <w:t xml:space="preserve">vita“. Tento </w:t>
      </w:r>
      <w:r w:rsidR="00766F20">
        <w:t xml:space="preserve">archaický </w:t>
      </w:r>
      <w:r w:rsidR="082E57F6">
        <w:t xml:space="preserve">pohled na gigantomachii o substanci </w:t>
      </w:r>
      <w:r w:rsidR="08CB3741">
        <w:t xml:space="preserve">stojí </w:t>
      </w:r>
      <w:r w:rsidR="081A5510">
        <w:t>m</w:t>
      </w:r>
      <w:r w:rsidR="08431830">
        <w:t>imo objek</w:t>
      </w:r>
      <w:r w:rsidR="082E57F6">
        <w:t xml:space="preserve">tivní vidění, které </w:t>
      </w:r>
      <w:r w:rsidR="00F4341E">
        <w:t xml:space="preserve">jde cestou </w:t>
      </w:r>
      <w:r w:rsidR="082E57F6">
        <w:t xml:space="preserve">Heideggerova epochálního </w:t>
      </w:r>
      <w:r w:rsidR="087450E9" w:rsidRPr="087450E9">
        <w:rPr>
          <w:i/>
        </w:rPr>
        <w:t>Irrtum</w:t>
      </w:r>
      <w:r w:rsidR="082E57F6">
        <w:t xml:space="preserve">. </w:t>
      </w:r>
      <w:r w:rsidR="0001237E">
        <w:t xml:space="preserve">Jeho </w:t>
      </w:r>
      <w:r w:rsidR="00446F0A">
        <w:t>metoda daná jako fenomenologický</w:t>
      </w:r>
      <w:r w:rsidR="003E191A">
        <w:t xml:space="preserve"> </w:t>
      </w:r>
      <w:r w:rsidR="08865718">
        <w:t xml:space="preserve">způsob, </w:t>
      </w:r>
      <w:r w:rsidR="003E191A">
        <w:t xml:space="preserve">„jak“ </w:t>
      </w:r>
      <w:r w:rsidR="08F8299F">
        <w:t>(</w:t>
      </w:r>
      <w:r w:rsidR="00446F0A" w:rsidRPr="00446F0A">
        <w:rPr>
          <w:i/>
          <w:szCs w:val="24"/>
        </w:rPr>
        <w:t>phänomenologisches</w:t>
      </w:r>
      <w:r w:rsidR="00446F0A" w:rsidRPr="00DC6664">
        <w:rPr>
          <w:szCs w:val="24"/>
        </w:rPr>
        <w:t xml:space="preserve"> </w:t>
      </w:r>
      <w:r w:rsidR="08F8299F" w:rsidRPr="08F8299F">
        <w:rPr>
          <w:i/>
        </w:rPr>
        <w:t>Wie</w:t>
      </w:r>
      <w:r w:rsidR="08F8299F">
        <w:t>) se pravdivě manifestuje svět, substance</w:t>
      </w:r>
      <w:r w:rsidR="003E191A">
        <w:t xml:space="preserve"> a </w:t>
      </w:r>
      <w:r w:rsidR="00E02E2A" w:rsidRPr="00E02E2A">
        <w:t>species</w:t>
      </w:r>
      <w:r w:rsidR="08865718">
        <w:t xml:space="preserve">, </w:t>
      </w:r>
      <w:r w:rsidR="00A649BB">
        <w:t>umožňuje u</w:t>
      </w:r>
      <w:r w:rsidR="00D75C52">
        <w:t xml:space="preserve">rčit </w:t>
      </w:r>
      <w:r w:rsidR="003E191A">
        <w:t>rozdíly mezi im</w:t>
      </w:r>
      <w:r w:rsidR="00D75C52">
        <w:t>pozicí a supozicí</w:t>
      </w:r>
      <w:r w:rsidR="08865718">
        <w:t xml:space="preserve">. Tento základní rozdíl </w:t>
      </w:r>
      <w:r w:rsidR="00D75C52">
        <w:t>tvořil</w:t>
      </w:r>
      <w:r w:rsidR="003E191A">
        <w:t xml:space="preserve"> jádro filosofických sporů v letech 1230‒40. Totéž platí pro dvojí recepci </w:t>
      </w:r>
      <w:r w:rsidR="003E191A" w:rsidRPr="003E191A">
        <w:rPr>
          <w:i/>
        </w:rPr>
        <w:t>intellectus possibilis</w:t>
      </w:r>
      <w:r w:rsidR="003E191A">
        <w:t xml:space="preserve"> a </w:t>
      </w:r>
      <w:r w:rsidR="003E191A" w:rsidRPr="003E191A">
        <w:rPr>
          <w:i/>
        </w:rPr>
        <w:t>formalis</w:t>
      </w:r>
      <w:r w:rsidR="08431830">
        <w:t>, kterou objektivisté nemohou vidět v</w:t>
      </w:r>
      <w:r w:rsidR="08865718">
        <w:t xml:space="preserve"> dějinných </w:t>
      </w:r>
      <w:r w:rsidR="00F00CDC">
        <w:t>souvislostech.</w:t>
      </w:r>
    </w:p>
    <w:p w14:paraId="278DDFC1" w14:textId="77777777" w:rsidR="00A927AC" w:rsidRDefault="08D15C83" w:rsidP="00F00CDC">
      <w:pPr>
        <w:ind w:firstLine="397"/>
      </w:pPr>
      <w:r>
        <w:t xml:space="preserve">Na recepci Alverna je vidět dějinné </w:t>
      </w:r>
      <w:r w:rsidR="00D75C52">
        <w:t xml:space="preserve">působení </w:t>
      </w:r>
      <w:r w:rsidR="00D75C52" w:rsidRPr="00273106">
        <w:rPr>
          <w:i/>
        </w:rPr>
        <w:t>damnatio memoriae</w:t>
      </w:r>
      <w:r w:rsidR="00D75C52">
        <w:t xml:space="preserve"> </w:t>
      </w:r>
      <w:r>
        <w:t>a také Freudův</w:t>
      </w:r>
      <w:r w:rsidR="00D75C52">
        <w:t xml:space="preserve"> </w:t>
      </w:r>
      <w:r>
        <w:t xml:space="preserve">obranný vytěsňovací mechanismus </w:t>
      </w:r>
      <w:r w:rsidR="00D75C52" w:rsidRPr="00622D11">
        <w:rPr>
          <w:rStyle w:val="Zvraznn"/>
        </w:rPr>
        <w:t>Verkehrung ins Gegenteil</w:t>
      </w:r>
      <w:r w:rsidR="00D75C52">
        <w:rPr>
          <w:rStyle w:val="Zvraznn"/>
        </w:rPr>
        <w:fldChar w:fldCharType="begin"/>
      </w:r>
      <w:r w:rsidR="00D75C52">
        <w:instrText xml:space="preserve"> XE "</w:instrText>
      </w:r>
      <w:r w:rsidR="00D75C52" w:rsidRPr="0089394E">
        <w:rPr>
          <w:rStyle w:val="Zvraznn"/>
        </w:rPr>
        <w:instrText>Verkehrung ins Gegenteil</w:instrText>
      </w:r>
      <w:r w:rsidR="00D75C52">
        <w:instrText xml:space="preserve">" </w:instrText>
      </w:r>
      <w:r w:rsidR="00D75C52">
        <w:rPr>
          <w:rStyle w:val="Zvraznn"/>
        </w:rPr>
        <w:fldChar w:fldCharType="end"/>
      </w:r>
      <w:r>
        <w:rPr>
          <w:rStyle w:val="Zvraznn"/>
          <w:i w:val="0"/>
        </w:rPr>
        <w:t>. Moderna má paran</w:t>
      </w:r>
      <w:r w:rsidR="08A51FD0">
        <w:rPr>
          <w:rStyle w:val="Zvraznn"/>
          <w:i w:val="0"/>
        </w:rPr>
        <w:t>oické myšlení dané inte</w:t>
      </w:r>
      <w:r>
        <w:rPr>
          <w:rStyle w:val="Zvraznn"/>
          <w:i w:val="0"/>
        </w:rPr>
        <w:t>l</w:t>
      </w:r>
      <w:r w:rsidR="08A51FD0">
        <w:rPr>
          <w:rStyle w:val="Zvraznn"/>
          <w:i w:val="0"/>
        </w:rPr>
        <w:t>e</w:t>
      </w:r>
      <w:r>
        <w:rPr>
          <w:rStyle w:val="Zvraznn"/>
          <w:i w:val="0"/>
        </w:rPr>
        <w:t>ktem-sluncem</w:t>
      </w:r>
      <w:r w:rsidR="00E97334">
        <w:rPr>
          <w:rStyle w:val="Zvraznn"/>
          <w:i w:val="0"/>
        </w:rPr>
        <w:t>, proto vidí jen to, co chce vidět</w:t>
      </w:r>
      <w:r w:rsidR="08EB2033">
        <w:rPr>
          <w:rStyle w:val="Zvraznn"/>
          <w:i w:val="0"/>
        </w:rPr>
        <w:t>. M</w:t>
      </w:r>
      <w:r>
        <w:rPr>
          <w:rStyle w:val="Zvraznn"/>
          <w:i w:val="0"/>
        </w:rPr>
        <w:t xml:space="preserve">ytopoetické osvícení řízené Fúriemi se aktivně brání přijetí múzické </w:t>
      </w:r>
      <w:r w:rsidR="08EB2033">
        <w:rPr>
          <w:rStyle w:val="Zvraznn"/>
          <w:i w:val="0"/>
        </w:rPr>
        <w:t xml:space="preserve">a tragické </w:t>
      </w:r>
      <w:r>
        <w:rPr>
          <w:rStyle w:val="Zvraznn"/>
          <w:i w:val="0"/>
        </w:rPr>
        <w:t xml:space="preserve">pravdy. </w:t>
      </w:r>
      <w:r w:rsidR="00C15734">
        <w:rPr>
          <w:rStyle w:val="Zvraznn"/>
          <w:i w:val="0"/>
        </w:rPr>
        <w:t>Reálná intelektuální tragédie Alverna jako jednoho z nejdůležitějších zakladatelů Pařížské univerzity zmizela a byla vytěsněna objektivně tragikomickou historií. J</w:t>
      </w:r>
      <w:r w:rsidR="08EB2033">
        <w:rPr>
          <w:rStyle w:val="Zvraznn"/>
          <w:i w:val="0"/>
        </w:rPr>
        <w:t>eho skutečné dějinné působení</w:t>
      </w:r>
      <w:r w:rsidR="00C15734">
        <w:rPr>
          <w:rStyle w:val="Zvraznn"/>
          <w:i w:val="0"/>
        </w:rPr>
        <w:t xml:space="preserve"> dostalo „averroistický“ charakter. </w:t>
      </w:r>
      <w:r>
        <w:rPr>
          <w:rStyle w:val="Zvraznn"/>
          <w:i w:val="0"/>
        </w:rPr>
        <w:t xml:space="preserve">Tento </w:t>
      </w:r>
      <w:r w:rsidR="00D75C52">
        <w:rPr>
          <w:rStyle w:val="Zvraznn"/>
          <w:i w:val="0"/>
        </w:rPr>
        <w:t xml:space="preserve">obránce jednoty osoby podané </w:t>
      </w:r>
      <w:r w:rsidR="082F2D63">
        <w:rPr>
          <w:rStyle w:val="Zvraznn"/>
        </w:rPr>
        <w:t>ad</w:t>
      </w:r>
      <w:r w:rsidR="00D75C52" w:rsidRPr="00D75C52">
        <w:rPr>
          <w:rStyle w:val="Zvraznn"/>
        </w:rPr>
        <w:t xml:space="preserve"> mentem Averrois</w:t>
      </w:r>
      <w:r w:rsidR="00570007">
        <w:rPr>
          <w:rStyle w:val="Zvraznn"/>
        </w:rPr>
        <w:fldChar w:fldCharType="begin"/>
      </w:r>
      <w:r w:rsidR="00570007">
        <w:instrText xml:space="preserve"> XE "</w:instrText>
      </w:r>
      <w:r w:rsidR="082F2D63">
        <w:rPr>
          <w:i/>
        </w:rPr>
        <w:instrText>ad mentem Averrois</w:instrText>
      </w:r>
      <w:r w:rsidR="00570007">
        <w:instrText xml:space="preserve">" </w:instrText>
      </w:r>
      <w:r w:rsidR="00570007">
        <w:rPr>
          <w:rStyle w:val="Zvraznn"/>
        </w:rPr>
        <w:fldChar w:fldCharType="end"/>
      </w:r>
      <w:r>
        <w:rPr>
          <w:rStyle w:val="Zvraznn"/>
          <w:i w:val="0"/>
        </w:rPr>
        <w:t xml:space="preserve"> přestal </w:t>
      </w:r>
      <w:r w:rsidR="086C003D">
        <w:rPr>
          <w:rStyle w:val="Zvraznn"/>
          <w:i w:val="0"/>
        </w:rPr>
        <w:t xml:space="preserve">pravdivě </w:t>
      </w:r>
      <w:r>
        <w:rPr>
          <w:rStyle w:val="Zvraznn"/>
          <w:i w:val="0"/>
        </w:rPr>
        <w:t>existovat v dějiná</w:t>
      </w:r>
      <w:r w:rsidR="087B542E">
        <w:rPr>
          <w:rStyle w:val="Zvraznn"/>
          <w:i w:val="0"/>
        </w:rPr>
        <w:t>ch objek</w:t>
      </w:r>
      <w:r>
        <w:rPr>
          <w:rStyle w:val="Zvraznn"/>
          <w:i w:val="0"/>
        </w:rPr>
        <w:t xml:space="preserve">tivně vítězné filosofie. </w:t>
      </w:r>
      <w:r w:rsidR="08CD0388" w:rsidRPr="00273106">
        <w:t xml:space="preserve">Alvernovo dílo obsahuje </w:t>
      </w:r>
      <w:r w:rsidR="08CD0388">
        <w:t xml:space="preserve">brilantní </w:t>
      </w:r>
      <w:r w:rsidR="08CD0388" w:rsidRPr="00273106">
        <w:t>interpretaci Aris</w:t>
      </w:r>
      <w:r w:rsidR="08CD0388">
        <w:t xml:space="preserve">totela podle prvního averroismu v modu Sicilské školy. Pařížský biskup </w:t>
      </w:r>
      <w:r w:rsidR="00C15734">
        <w:t xml:space="preserve">byl </w:t>
      </w:r>
      <w:r w:rsidR="08CD0388">
        <w:t xml:space="preserve">faktický zakladatel Pařížské </w:t>
      </w:r>
      <w:r w:rsidR="08CD0388">
        <w:lastRenderedPageBreak/>
        <w:t xml:space="preserve">univerzity jako </w:t>
      </w:r>
      <w:r w:rsidR="08CD0388">
        <w:rPr>
          <w:i/>
        </w:rPr>
        <w:t>univers</w:t>
      </w:r>
      <w:r w:rsidR="08CD0388" w:rsidRPr="086D04D5">
        <w:rPr>
          <w:i/>
        </w:rPr>
        <w:t>itas</w:t>
      </w:r>
      <w:r w:rsidR="00B964BD">
        <w:t xml:space="preserve"> pod papežským právem vyňaté</w:t>
      </w:r>
      <w:r w:rsidR="08CD0388">
        <w:t xml:space="preserve"> z biskupské pravomoci</w:t>
      </w:r>
      <w:r w:rsidR="00C15734">
        <w:t>. K</w:t>
      </w:r>
      <w:r w:rsidR="08CD0388">
        <w:t xml:space="preserve">valifikovaně odmítl neoplatonskou interpretaci Toledské školy jako dualistickou a nekřesťanskou. A porretánskou pozici všech tří sofistických škol </w:t>
      </w:r>
      <w:r w:rsidR="005A1627">
        <w:t xml:space="preserve">modernistů </w:t>
      </w:r>
      <w:r w:rsidR="08CD0388">
        <w:t xml:space="preserve">(italské, latinské a gramatiků) tento kritický filosof a teolog </w:t>
      </w:r>
      <w:r w:rsidR="002E0D97">
        <w:t xml:space="preserve">odsoudil </w:t>
      </w:r>
      <w:r w:rsidR="08CD0388">
        <w:t xml:space="preserve">jako </w:t>
      </w:r>
      <w:r w:rsidR="08385D31">
        <w:t>zásadně mylnou</w:t>
      </w:r>
      <w:r w:rsidR="08CD0388" w:rsidRPr="00273106">
        <w:t xml:space="preserve">. </w:t>
      </w:r>
      <w:r w:rsidR="08CD0388">
        <w:t xml:space="preserve">Alvernovu pozici nelze v plném rozsahu přijmout a pochopit v karteziánském dualismu současné avicennistické postmoderny, filosofické i teologické. </w:t>
      </w:r>
      <w:r w:rsidR="00D73967" w:rsidRPr="00273106">
        <w:t xml:space="preserve">Zavádějící výklad Alverna jako odpůrce </w:t>
      </w:r>
      <w:r w:rsidR="002E3B62">
        <w:t>Averroes</w:t>
      </w:r>
      <w:r w:rsidR="00D73967" w:rsidRPr="00273106">
        <w:t xml:space="preserve">e zahájila Renanova poznámka k dílu </w:t>
      </w:r>
      <w:r w:rsidR="00D73967" w:rsidRPr="00273106">
        <w:rPr>
          <w:i/>
        </w:rPr>
        <w:t>De Universo</w:t>
      </w:r>
      <w:r w:rsidR="00D73967" w:rsidRPr="00273106">
        <w:t xml:space="preserve"> (Renan 1866, 225). </w:t>
      </w:r>
      <w:r w:rsidR="08841830">
        <w:t xml:space="preserve">Alvernus </w:t>
      </w:r>
      <w:r w:rsidR="00D73967" w:rsidRPr="00273106">
        <w:t>prý „odmítá averroismus na každé stránce“ (</w:t>
      </w:r>
      <w:r w:rsidR="00D73967" w:rsidRPr="00273106">
        <w:rPr>
          <w:i/>
        </w:rPr>
        <w:t>l’averroïsme y est</w:t>
      </w:r>
      <w:r w:rsidR="00E24CC8">
        <w:rPr>
          <w:i/>
        </w:rPr>
        <w:t xml:space="preserve"> ré</w:t>
      </w:r>
      <w:r w:rsidR="00D73967" w:rsidRPr="00273106">
        <w:rPr>
          <w:i/>
        </w:rPr>
        <w:t>futé à chaque page</w:t>
      </w:r>
      <w:r w:rsidR="00D73967" w:rsidRPr="00273106">
        <w:t xml:space="preserve">). </w:t>
      </w:r>
      <w:r w:rsidR="088823C2">
        <w:t xml:space="preserve">To je z hlediska hermeneutiky správně, ale ne tak, jak to myslela moderna a postmoderna, která udělala z Averroese averroistu. </w:t>
      </w:r>
      <w:r w:rsidR="087B542E">
        <w:t xml:space="preserve">Renan otočil význam Alverna vzhledem k averroismu dokonce dvakrát, a ne jen jednou. </w:t>
      </w:r>
      <w:r w:rsidR="00D73967" w:rsidRPr="00273106">
        <w:t>Renan</w:t>
      </w:r>
      <w:r w:rsidR="003567E7">
        <w:fldChar w:fldCharType="begin"/>
      </w:r>
      <w:r w:rsidR="003567E7">
        <w:instrText xml:space="preserve"> XE "</w:instrText>
      </w:r>
      <w:r w:rsidR="003567E7" w:rsidRPr="0033182D">
        <w:instrText>Renan, E.</w:instrText>
      </w:r>
      <w:r w:rsidR="003567E7">
        <w:instrText xml:space="preserve">" </w:instrText>
      </w:r>
      <w:r w:rsidR="003567E7">
        <w:fldChar w:fldCharType="end"/>
      </w:r>
      <w:r w:rsidR="00D73967" w:rsidRPr="00273106">
        <w:t xml:space="preserve"> nevidí rozdíl mezi Avicennou a </w:t>
      </w:r>
      <w:r w:rsidR="002E3B62">
        <w:t>Averroes</w:t>
      </w:r>
      <w:r w:rsidR="00D73967" w:rsidRPr="00273106">
        <w:t xml:space="preserve">em a navíc mu </w:t>
      </w:r>
      <w:r w:rsidR="003E191A" w:rsidRPr="00273106">
        <w:t xml:space="preserve">splývá </w:t>
      </w:r>
      <w:r w:rsidR="00D73967" w:rsidRPr="00273106">
        <w:t xml:space="preserve">aristotelismus všech škol do jednoho celku. </w:t>
      </w:r>
      <w:r w:rsidR="08122ADB">
        <w:t xml:space="preserve">Archeologický výklad </w:t>
      </w:r>
      <w:r w:rsidR="08A21419">
        <w:t xml:space="preserve">Alvernových spisů kritizující první reprezentanty školy druhého averroismu v Paříži se </w:t>
      </w:r>
      <w:r w:rsidR="08971901">
        <w:t xml:space="preserve">také </w:t>
      </w:r>
      <w:r w:rsidR="08A21419">
        <w:t>zásadně liší od Gilsonovy pozice</w:t>
      </w:r>
      <w:r w:rsidR="08A21419">
        <w:fldChar w:fldCharType="begin"/>
      </w:r>
      <w:r w:rsidR="08A21419">
        <w:instrText xml:space="preserve"> XE "</w:instrText>
      </w:r>
      <w:r w:rsidR="08A21419" w:rsidRPr="00BA49E5">
        <w:instrText>Gilson, E.</w:instrText>
      </w:r>
      <w:r w:rsidR="08A21419">
        <w:instrText xml:space="preserve">" </w:instrText>
      </w:r>
      <w:r w:rsidR="08A21419">
        <w:fldChar w:fldCharType="end"/>
      </w:r>
      <w:r w:rsidR="08A21419">
        <w:t xml:space="preserve">, která přidává tohoto biskupa na stranu </w:t>
      </w:r>
      <w:r w:rsidR="08A21419" w:rsidRPr="002F6789">
        <w:rPr>
          <w:i/>
        </w:rPr>
        <w:t>augustinisme avicennisant</w:t>
      </w:r>
      <w:r w:rsidR="08A21419">
        <w:fldChar w:fldCharType="begin"/>
      </w:r>
      <w:r w:rsidR="08A21419">
        <w:instrText xml:space="preserve"> XE "druhý averroismus:</w:instrText>
      </w:r>
      <w:r w:rsidR="08A21419" w:rsidRPr="00F707A4">
        <w:rPr>
          <w:i/>
        </w:rPr>
        <w:instrText>augustinisme avicennisant</w:instrText>
      </w:r>
      <w:r w:rsidR="08A21419">
        <w:instrText xml:space="preserve">" </w:instrText>
      </w:r>
      <w:r w:rsidR="08A21419">
        <w:fldChar w:fldCharType="end"/>
      </w:r>
      <w:r w:rsidR="08A21419">
        <w:t xml:space="preserve"> (Gilson 1926, 56‒80). Gilsonova interpretace zásadně ovlivnila současné vykladače</w:t>
      </w:r>
      <w:r w:rsidR="08416780">
        <w:t>. P</w:t>
      </w:r>
      <w:r w:rsidR="08A21419">
        <w:t xml:space="preserve">roto </w:t>
      </w:r>
      <w:r w:rsidR="08416780">
        <w:t>Callus neviděl</w:t>
      </w:r>
      <w:r w:rsidR="08A21419">
        <w:t xml:space="preserve"> shodu prvního a druhého Alvernova komentáře k </w:t>
      </w:r>
      <w:r w:rsidR="08A21419" w:rsidRPr="08A21419">
        <w:rPr>
          <w:i/>
        </w:rPr>
        <w:t>De anima</w:t>
      </w:r>
      <w:r w:rsidR="085A21AD">
        <w:t xml:space="preserve">. </w:t>
      </w:r>
      <w:r w:rsidR="089E662D">
        <w:t>Objek</w:t>
      </w:r>
      <w:r w:rsidR="085A21AD">
        <w:t>tiv</w:t>
      </w:r>
      <w:r w:rsidR="089E662D">
        <w:t>istické předsudky jsou sil</w:t>
      </w:r>
      <w:r w:rsidR="085A21AD">
        <w:t xml:space="preserve">nější než důkazy formální analýzy, která i podle </w:t>
      </w:r>
      <w:r w:rsidR="089E662D">
        <w:t>Calluse do</w:t>
      </w:r>
      <w:r w:rsidR="087705CA">
        <w:t>kázala, že oba spisy psal jeden autor</w:t>
      </w:r>
      <w:r w:rsidR="089E662D">
        <w:t xml:space="preserve">. To </w:t>
      </w:r>
      <w:r w:rsidR="080D40B7">
        <w:t xml:space="preserve">dosvědčila </w:t>
      </w:r>
      <w:r w:rsidR="085A21AD">
        <w:t xml:space="preserve">scholastická </w:t>
      </w:r>
      <w:r w:rsidR="080D40B7">
        <w:t>tradice spojením obou spisů do jednoho celku</w:t>
      </w:r>
      <w:r w:rsidR="087705CA">
        <w:t xml:space="preserve">. </w:t>
      </w:r>
      <w:r w:rsidR="00970161">
        <w:t>S</w:t>
      </w:r>
      <w:r w:rsidR="00970161" w:rsidRPr="00273106">
        <w:t xml:space="preserve">oučasní autoři </w:t>
      </w:r>
      <w:r w:rsidR="08761882">
        <w:t xml:space="preserve">opakují </w:t>
      </w:r>
      <w:r w:rsidR="00970161" w:rsidRPr="00273106">
        <w:rPr>
          <w:i/>
        </w:rPr>
        <w:t>damnatio memoriae</w:t>
      </w:r>
      <w:r w:rsidR="00970161" w:rsidRPr="00273106">
        <w:t xml:space="preserve"> </w:t>
      </w:r>
      <w:r w:rsidR="083A23D6">
        <w:t>vy</w:t>
      </w:r>
      <w:r w:rsidR="08883053">
        <w:t>dané roku 1277 nad celou školou prvního averroismu.</w:t>
      </w:r>
      <w:r w:rsidR="08D74FED">
        <w:t xml:space="preserve"> </w:t>
      </w:r>
      <w:r w:rsidR="08C85540" w:rsidRPr="00273106">
        <w:t xml:space="preserve">Zmatek současníků ukazuje následující poznámka ohledně aristotelismu Alverna, jež má chybný </w:t>
      </w:r>
      <w:r w:rsidR="08AE515B" w:rsidRPr="00273106">
        <w:t>předpoklad</w:t>
      </w:r>
      <w:r w:rsidR="08AE515B">
        <w:t xml:space="preserve"> daný avicennovským </w:t>
      </w:r>
      <w:r w:rsidR="08C85540">
        <w:t>objektivis</w:t>
      </w:r>
      <w:r w:rsidR="08AE515B">
        <w:t>mem</w:t>
      </w:r>
      <w:r w:rsidR="08C85540" w:rsidRPr="00273106">
        <w:t xml:space="preserve">, ale </w:t>
      </w:r>
      <w:r w:rsidR="08C85540">
        <w:t>správně vystihuje mnohé rysy vyloženého sporu</w:t>
      </w:r>
      <w:r w:rsidR="08C85540" w:rsidRPr="00273106">
        <w:t>.</w:t>
      </w:r>
      <w:r w:rsidR="082929F5" w:rsidRPr="00273106">
        <w:rPr>
          <w:rStyle w:val="Znakapoznpodarou"/>
        </w:rPr>
        <w:footnoteReference w:id="209"/>
      </w:r>
      <w:r w:rsidR="08D7795F">
        <w:t xml:space="preserve"> P</w:t>
      </w:r>
      <w:r w:rsidR="08D7795F" w:rsidRPr="00B74C94">
        <w:t xml:space="preserve">říklad nedotažené interpretace </w:t>
      </w:r>
      <w:r w:rsidR="08D7795F">
        <w:t xml:space="preserve">odděleného činného intelektu ukazuje </w:t>
      </w:r>
      <w:r w:rsidR="08D7795F" w:rsidRPr="00B74C94">
        <w:t>Teske</w:t>
      </w:r>
      <w:r w:rsidR="08D7795F">
        <w:t xml:space="preserve">, který ji správně vidí </w:t>
      </w:r>
      <w:r w:rsidR="08D7795F" w:rsidRPr="00B74C94">
        <w:t xml:space="preserve">jako Avicennovu nauku. Ale mylně ji ztotožňuje s celkovým pojetím </w:t>
      </w:r>
      <w:r w:rsidR="08D7795F">
        <w:t>Alverna</w:t>
      </w:r>
      <w:r w:rsidR="08D7795F" w:rsidRPr="00B74C94">
        <w:t>, protože jej má za kritického avicennistu</w:t>
      </w:r>
      <w:r w:rsidR="08D7795F">
        <w:t>.</w:t>
      </w:r>
      <w:r w:rsidR="082929F5" w:rsidRPr="00273106">
        <w:rPr>
          <w:rStyle w:val="Znakapoznpodarou"/>
        </w:rPr>
        <w:footnoteReference w:id="210"/>
      </w:r>
      <w:r w:rsidR="08C85540" w:rsidRPr="00273106">
        <w:t xml:space="preserve"> </w:t>
      </w:r>
      <w:r w:rsidR="08793DDF">
        <w:t>M</w:t>
      </w:r>
      <w:r w:rsidR="08D74FED">
        <w:t xml:space="preserve">ediavelisté ve věku metafyzického nihilismu </w:t>
      </w:r>
      <w:r w:rsidR="08793DDF">
        <w:t xml:space="preserve">jsou objektivně slepí k dějinnosti </w:t>
      </w:r>
      <w:r w:rsidR="08793DDF" w:rsidRPr="08793DDF">
        <w:rPr>
          <w:i/>
        </w:rPr>
        <w:t>a/létheia</w:t>
      </w:r>
      <w:r w:rsidR="08334F64">
        <w:t xml:space="preserve">, </w:t>
      </w:r>
      <w:r w:rsidR="08334F64">
        <w:lastRenderedPageBreak/>
        <w:t xml:space="preserve">která </w:t>
      </w:r>
      <w:r w:rsidR="083A23D6">
        <w:t>smrtelníkům současně posílá pravdu a nepravdu. Dráha náhledu na smysl</w:t>
      </w:r>
      <w:r w:rsidR="08EA6604">
        <w:t xml:space="preserve"> jsoucna je </w:t>
      </w:r>
      <w:r w:rsidR="08542712">
        <w:t xml:space="preserve">v moderně </w:t>
      </w:r>
      <w:r w:rsidR="08EA6604">
        <w:t xml:space="preserve">daná skrze neoplatonský intelekt-slunce. Takto zaslepení akademičtí ilumináti </w:t>
      </w:r>
      <w:r w:rsidR="08EA6604" w:rsidRPr="00273106">
        <w:t xml:space="preserve">nevidí specifickou interpretaci Aristotela </w:t>
      </w:r>
      <w:r w:rsidR="08542712">
        <w:t xml:space="preserve">skrze </w:t>
      </w:r>
      <w:r w:rsidR="08EA6604">
        <w:t>dvojí přijetí jeho korpusu</w:t>
      </w:r>
      <w:r w:rsidR="08542712">
        <w:t>. Proto také n</w:t>
      </w:r>
      <w:r w:rsidR="00037DF1">
        <w:t xml:space="preserve">evidí dvojí </w:t>
      </w:r>
      <w:r w:rsidR="08EA6604">
        <w:t>výklad Averroese v paradigmatu Sicilské a Toledské školy</w:t>
      </w:r>
      <w:r w:rsidR="00542A08">
        <w:t>. S</w:t>
      </w:r>
      <w:r w:rsidR="089057DE">
        <w:t xml:space="preserve">oučasným vykladačům </w:t>
      </w:r>
      <w:r w:rsidR="00044649">
        <w:t xml:space="preserve">tak </w:t>
      </w:r>
      <w:r w:rsidR="08EA6604" w:rsidRPr="00273106">
        <w:t xml:space="preserve">unikl rozhodující zápas o adekvační teorii pravdy </w:t>
      </w:r>
      <w:r w:rsidR="08EA6604">
        <w:t xml:space="preserve">v letech 1230‒40 </w:t>
      </w:r>
      <w:r w:rsidR="08EA6604" w:rsidRPr="00273106">
        <w:t xml:space="preserve">danou v rámci </w:t>
      </w:r>
      <w:r w:rsidR="08EA6604">
        <w:t>Averroes</w:t>
      </w:r>
      <w:r w:rsidR="08EA6604" w:rsidRPr="00273106">
        <w:t xml:space="preserve">ova pojetí </w:t>
      </w:r>
      <w:r w:rsidR="08EA6604" w:rsidRPr="00273106">
        <w:rPr>
          <w:i/>
        </w:rPr>
        <w:t>intellectus possibilis</w:t>
      </w:r>
      <w:r w:rsidR="08EA6604" w:rsidRPr="00273106">
        <w:t>.</w:t>
      </w:r>
      <w:r w:rsidR="08EA6604">
        <w:t xml:space="preserve"> </w:t>
      </w:r>
      <w:r w:rsidR="088530DB">
        <w:t>Objektivní a</w:t>
      </w:r>
      <w:r w:rsidR="08F509F3">
        <w:t xml:space="preserve">kademický </w:t>
      </w:r>
      <w:r w:rsidR="08BB6AD4">
        <w:t>předsudek</w:t>
      </w:r>
      <w:r w:rsidR="08F509F3">
        <w:t xml:space="preserve"> daný Avicennou nevidí </w:t>
      </w:r>
      <w:r w:rsidR="08292258">
        <w:t>p</w:t>
      </w:r>
      <w:r w:rsidR="084011A0">
        <w:t xml:space="preserve">ůvodní </w:t>
      </w:r>
      <w:r w:rsidR="084011A0" w:rsidRPr="084011A0">
        <w:rPr>
          <w:i/>
        </w:rPr>
        <w:t>Lichtung</w:t>
      </w:r>
      <w:r w:rsidR="084011A0">
        <w:t>, v němž se utvářela metafyzika</w:t>
      </w:r>
      <w:r w:rsidR="00970161" w:rsidRPr="00273106">
        <w:t xml:space="preserve"> </w:t>
      </w:r>
      <w:r w:rsidR="00970161" w:rsidRPr="00273106">
        <w:rPr>
          <w:i/>
        </w:rPr>
        <w:t>Modernorum</w:t>
      </w:r>
      <w:r w:rsidR="08793DDF">
        <w:t xml:space="preserve">. </w:t>
      </w:r>
      <w:r w:rsidR="086921A6">
        <w:t xml:space="preserve">Tato slepota je </w:t>
      </w:r>
      <w:r w:rsidR="08420D8C">
        <w:t xml:space="preserve">dána objektivně. </w:t>
      </w:r>
      <w:r w:rsidR="086921A6">
        <w:t>Fúrie</w:t>
      </w:r>
      <w:r w:rsidR="08EA6604">
        <w:fldChar w:fldCharType="begin"/>
      </w:r>
      <w:r w:rsidR="08EA6604">
        <w:instrText xml:space="preserve"> XE "</w:instrText>
      </w:r>
      <w:r w:rsidR="08A516BF">
        <w:instrText>Erý</w:instrText>
      </w:r>
      <w:r w:rsidR="083B095D">
        <w:instrText>n</w:instrText>
      </w:r>
      <w:r w:rsidR="08EA6604" w:rsidRPr="085D37B2">
        <w:instrText>ije</w:instrText>
      </w:r>
      <w:r w:rsidR="08EA6604">
        <w:instrText xml:space="preserve">" </w:instrText>
      </w:r>
      <w:r w:rsidR="08EA6604">
        <w:fldChar w:fldCharType="end"/>
      </w:r>
      <w:r w:rsidR="086921A6">
        <w:t xml:space="preserve"> mají za úkol šířit chtónický chaos </w:t>
      </w:r>
      <w:r w:rsidR="08EA6604">
        <w:t xml:space="preserve">a nekritické myšlení </w:t>
      </w:r>
      <w:r w:rsidR="086921A6">
        <w:t xml:space="preserve">mezi ilumináty posedlými objektivní </w:t>
      </w:r>
      <w:r w:rsidR="086921A6" w:rsidRPr="086921A6">
        <w:rPr>
          <w:i/>
        </w:rPr>
        <w:t>hýbris</w:t>
      </w:r>
      <w:r w:rsidR="086921A6">
        <w:t xml:space="preserve">. </w:t>
      </w:r>
      <w:r w:rsidR="00D73967">
        <w:t>S</w:t>
      </w:r>
      <w:r w:rsidR="00D73967" w:rsidRPr="00273106">
        <w:t xml:space="preserve">oučasní </w:t>
      </w:r>
      <w:r w:rsidR="00B7078F">
        <w:t xml:space="preserve">objektivisté </w:t>
      </w:r>
      <w:r w:rsidR="08D92B6A">
        <w:t xml:space="preserve">jsou </w:t>
      </w:r>
      <w:r w:rsidR="00B7078F">
        <w:t>soustředění na komparaci pojmů v porretán</w:t>
      </w:r>
      <w:r w:rsidR="08D45876">
        <w:t xml:space="preserve">ském modu „co“ je </w:t>
      </w:r>
      <w:r w:rsidR="00B7078F">
        <w:t>in</w:t>
      </w:r>
      <w:r w:rsidR="08D45876">
        <w:t>telekt jako objektivní hypostáze</w:t>
      </w:r>
      <w:r w:rsidR="08D92B6A">
        <w:t xml:space="preserve">. Pak ale </w:t>
      </w:r>
      <w:r w:rsidR="007C7CCD">
        <w:t xml:space="preserve">nevidí fenomenologický </w:t>
      </w:r>
      <w:r w:rsidR="00B7078F">
        <w:t xml:space="preserve">charakter intelektuálního poznání </w:t>
      </w:r>
      <w:r w:rsidR="00D73967" w:rsidRPr="00273106">
        <w:t xml:space="preserve">v </w:t>
      </w:r>
      <w:r w:rsidR="00970161">
        <w:t>Alvernově díle</w:t>
      </w:r>
      <w:r w:rsidR="00B7078F">
        <w:t xml:space="preserve">, který je zásadně vázaný </w:t>
      </w:r>
      <w:r w:rsidR="080E0B39">
        <w:t xml:space="preserve"> na způsob, „jak“ poznává existující osoba</w:t>
      </w:r>
      <w:r w:rsidR="00D73967" w:rsidRPr="00273106">
        <w:t xml:space="preserve">. </w:t>
      </w:r>
      <w:r w:rsidR="086B2885">
        <w:t xml:space="preserve">Tutéž chybu udělali avicennističní objektivisté v případě Sigera </w:t>
      </w:r>
      <w:r w:rsidR="083A439E">
        <w:t xml:space="preserve">z Brabantu </w:t>
      </w:r>
      <w:r w:rsidR="086B2885">
        <w:t>jako nejlepšího znalce Komentátora. Mytopo</w:t>
      </w:r>
      <w:r w:rsidR="08E15354">
        <w:t>etika nemůže sloužit jako metoda</w:t>
      </w:r>
      <w:r w:rsidR="086B2885">
        <w:t xml:space="preserve"> výkladu pro geniální myslitele falsafy a scholastiky</w:t>
      </w:r>
      <w:r w:rsidR="08E15354">
        <w:t xml:space="preserve">. Tito velikáni četli Filosofa do hloubky a proto </w:t>
      </w:r>
      <w:r w:rsidR="086B2885">
        <w:t>našli celkový a integrální smysl Aristotelovy metafyziky</w:t>
      </w:r>
      <w:r w:rsidR="089B10FF">
        <w:t>,</w:t>
      </w:r>
      <w:r w:rsidR="086B2885">
        <w:t xml:space="preserve"> na rozdíl od rozpolcené a nekritické postmoderny. </w:t>
      </w:r>
      <w:r w:rsidR="08EA6604">
        <w:t xml:space="preserve">Rozlišení </w:t>
      </w:r>
      <w:r w:rsidR="087A4AD6">
        <w:t xml:space="preserve">tehdejších škol a sporů </w:t>
      </w:r>
      <w:r w:rsidR="08EA6604">
        <w:t xml:space="preserve">musí začít </w:t>
      </w:r>
      <w:r w:rsidR="00C05294">
        <w:t xml:space="preserve">povahou </w:t>
      </w:r>
      <w:r w:rsidR="087A4AD6">
        <w:t>poznání</w:t>
      </w:r>
      <w:r w:rsidR="08EA6604">
        <w:t xml:space="preserve">, jinak se jde špatným směrem. </w:t>
      </w:r>
      <w:r w:rsidR="00D73967" w:rsidRPr="00273106">
        <w:t xml:space="preserve">Dnešní vykladači </w:t>
      </w:r>
      <w:r w:rsidR="08F05EF8">
        <w:t>nevidí</w:t>
      </w:r>
      <w:r w:rsidR="00D73967" w:rsidRPr="00273106">
        <w:t xml:space="preserve"> </w:t>
      </w:r>
      <w:r w:rsidR="00BE4BB1">
        <w:t xml:space="preserve">dvojí </w:t>
      </w:r>
      <w:r w:rsidR="00D73967" w:rsidRPr="00273106">
        <w:t xml:space="preserve">fenomén odděleného </w:t>
      </w:r>
      <w:r w:rsidR="00E41A1E">
        <w:t xml:space="preserve">kosmického </w:t>
      </w:r>
      <w:r w:rsidR="00D73967" w:rsidRPr="00273106">
        <w:t xml:space="preserve">a </w:t>
      </w:r>
      <w:r w:rsidR="00E41A1E">
        <w:t xml:space="preserve">striktně </w:t>
      </w:r>
      <w:r w:rsidR="00D73967" w:rsidRPr="00273106">
        <w:t xml:space="preserve">individuálního </w:t>
      </w:r>
      <w:r w:rsidR="00D73967" w:rsidRPr="00273106">
        <w:rPr>
          <w:i/>
        </w:rPr>
        <w:t>intellectus agens</w:t>
      </w:r>
      <w:r w:rsidR="00D73967" w:rsidRPr="00273106">
        <w:t xml:space="preserve">, který </w:t>
      </w:r>
      <w:r w:rsidR="00BE4BB1">
        <w:t xml:space="preserve">zásadně </w:t>
      </w:r>
      <w:r w:rsidR="00D73967" w:rsidRPr="00273106">
        <w:t xml:space="preserve">souvisí s recepcí </w:t>
      </w:r>
      <w:r w:rsidR="002E3B62">
        <w:t>Averroes</w:t>
      </w:r>
      <w:r w:rsidR="00D73967" w:rsidRPr="00273106">
        <w:t xml:space="preserve">e danou v rámci Blundovy školy. </w:t>
      </w:r>
      <w:r w:rsidR="0023522F">
        <w:t xml:space="preserve">Obě formy </w:t>
      </w:r>
      <w:r w:rsidR="00BE4BB1">
        <w:t xml:space="preserve">činného </w:t>
      </w:r>
      <w:r w:rsidR="08877494">
        <w:t>intelektu jsou rodově odlišné. Z</w:t>
      </w:r>
      <w:r w:rsidR="00BE4BB1">
        <w:t xml:space="preserve"> hlediska vědeckého poznání podle </w:t>
      </w:r>
      <w:r w:rsidR="00BE4BB1" w:rsidRPr="00BE4BB1">
        <w:rPr>
          <w:i/>
        </w:rPr>
        <w:t>D</w:t>
      </w:r>
      <w:r w:rsidR="0023522F" w:rsidRPr="00BE4BB1">
        <w:rPr>
          <w:i/>
        </w:rPr>
        <w:t>ruhých analytik</w:t>
      </w:r>
      <w:r w:rsidR="08C46AA2">
        <w:rPr>
          <w:i/>
        </w:rPr>
        <w:t xml:space="preserve"> </w:t>
      </w:r>
      <w:r w:rsidR="08877494">
        <w:t xml:space="preserve">proto platí, že </w:t>
      </w:r>
      <w:r w:rsidR="00BE4BB1">
        <w:t xml:space="preserve">o nich nemůže existovat </w:t>
      </w:r>
      <w:r w:rsidR="0023522F">
        <w:t xml:space="preserve">stejný druh poznání. </w:t>
      </w:r>
      <w:r w:rsidR="00D73967" w:rsidRPr="00273106">
        <w:t xml:space="preserve">Hlavní </w:t>
      </w:r>
      <w:r w:rsidR="00D73967" w:rsidRPr="00273106">
        <w:rPr>
          <w:i/>
        </w:rPr>
        <w:t>crux interpretatorum</w:t>
      </w:r>
      <w:r w:rsidR="00D73967" w:rsidRPr="00273106">
        <w:t xml:space="preserve"> </w:t>
      </w:r>
      <w:r w:rsidR="004A2A11">
        <w:t xml:space="preserve">dneška </w:t>
      </w:r>
      <w:r w:rsidR="00D73967" w:rsidRPr="00273106">
        <w:t xml:space="preserve">představuje statut činného intelektu a </w:t>
      </w:r>
      <w:r w:rsidR="00E02E2A" w:rsidRPr="00E02E2A">
        <w:t>species</w:t>
      </w:r>
      <w:r w:rsidR="00D73967" w:rsidRPr="00273106">
        <w:t xml:space="preserve"> braných univočně napříč prvním a druhým averroismem</w:t>
      </w:r>
      <w:r w:rsidR="001D2909">
        <w:rPr>
          <w:i/>
        </w:rPr>
        <w:fldChar w:fldCharType="begin"/>
      </w:r>
      <w:r w:rsidR="001D2909">
        <w:instrText xml:space="preserve"> XE "species:dvojí určení" </w:instrText>
      </w:r>
      <w:r w:rsidR="001D2909">
        <w:rPr>
          <w:i/>
        </w:rPr>
        <w:fldChar w:fldCharType="end"/>
      </w:r>
      <w:r w:rsidR="00D73967" w:rsidRPr="00273106">
        <w:t xml:space="preserve">. Tento rozdíl jsme analyzovali v Blundově </w:t>
      </w:r>
      <w:r w:rsidR="00D73967" w:rsidRPr="00273106">
        <w:rPr>
          <w:i/>
        </w:rPr>
        <w:t>Tractatus de anima</w:t>
      </w:r>
      <w:r w:rsidR="00D73967" w:rsidRPr="00273106">
        <w:t xml:space="preserve"> a v obou předešlých anonymních traktátech z let 1225‒30. Interpretace </w:t>
      </w:r>
      <w:r w:rsidR="00EB75BB">
        <w:t>postmoderních avicennistů (</w:t>
      </w:r>
      <w:r w:rsidR="00EB75BB" w:rsidRPr="00273106">
        <w:t>Renan</w:t>
      </w:r>
      <w:r w:rsidR="00EB75BB">
        <w:t>, Hasse, Teske</w:t>
      </w:r>
      <w:r w:rsidR="08BF6078">
        <w:t xml:space="preserve">) a scholastických objektivistických tomistů </w:t>
      </w:r>
      <w:r w:rsidR="00EB75BB">
        <w:t>(</w:t>
      </w:r>
      <w:r w:rsidR="00EB75BB" w:rsidRPr="00273106">
        <w:t>Gilson</w:t>
      </w:r>
      <w:r w:rsidR="00EB75BB">
        <w:t>) je založena na vítězném semiaverroismu Akvinského a Aegidia Romana</w:t>
      </w:r>
      <w:r w:rsidR="084A11DC">
        <w:t xml:space="preserve"> hájícího pluralitu forem v </w:t>
      </w:r>
      <w:r w:rsidR="084A11DC" w:rsidRPr="08C46AA2">
        <w:rPr>
          <w:i/>
        </w:rPr>
        <w:t>anima intellectiva</w:t>
      </w:r>
      <w:r w:rsidR="00EB75BB">
        <w:t xml:space="preserve">. Jejich pojetí </w:t>
      </w:r>
      <w:r w:rsidR="00EB75BB" w:rsidRPr="00EB75BB">
        <w:rPr>
          <w:i/>
        </w:rPr>
        <w:t>anima intellectiva</w:t>
      </w:r>
      <w:r w:rsidR="00EB75BB">
        <w:t xml:space="preserve"> by ale Alvernus nepřijal, což ukázala linie jeho pokračovatelů na </w:t>
      </w:r>
      <w:r w:rsidR="087E44B6">
        <w:t>Rue du Fouarre</w:t>
      </w:r>
      <w:r w:rsidR="00EB75BB">
        <w:t xml:space="preserve">, jako byl magistr Siger z Brabantu. </w:t>
      </w:r>
      <w:r w:rsidR="007B114B">
        <w:t>P</w:t>
      </w:r>
      <w:r w:rsidR="08C46AA2">
        <w:t xml:space="preserve">luralitu </w:t>
      </w:r>
      <w:r w:rsidR="007B114B">
        <w:t xml:space="preserve">hypostázovaných </w:t>
      </w:r>
      <w:r w:rsidR="08C46AA2">
        <w:t>forem v</w:t>
      </w:r>
      <w:r w:rsidR="00DF6E1D">
        <w:t xml:space="preserve"> duši </w:t>
      </w:r>
      <w:r w:rsidR="08C26827">
        <w:t xml:space="preserve">hájil </w:t>
      </w:r>
      <w:r w:rsidR="08C46AA2">
        <w:t xml:space="preserve">Grosseteste, který šel </w:t>
      </w:r>
      <w:r w:rsidR="08646850">
        <w:t xml:space="preserve">někdy po roce 1225 </w:t>
      </w:r>
      <w:r w:rsidR="08C46AA2">
        <w:t>zakládat univerzitu na Oxford a stal se prvním zdejším modernistou podle Toledské školy</w:t>
      </w:r>
      <w:r w:rsidR="08C46AA2">
        <w:fldChar w:fldCharType="begin"/>
      </w:r>
      <w:r w:rsidR="08C46AA2">
        <w:instrText xml:space="preserve"> XE "</w:instrText>
      </w:r>
      <w:r w:rsidR="08C46AA2" w:rsidRPr="084D2C30">
        <w:instrText>Toledská škola</w:instrText>
      </w:r>
      <w:r w:rsidR="08C46AA2">
        <w:instrText xml:space="preserve">" </w:instrText>
      </w:r>
      <w:r w:rsidR="08C46AA2">
        <w:fldChar w:fldCharType="end"/>
      </w:r>
      <w:r w:rsidR="08C46AA2">
        <w:t xml:space="preserve">. </w:t>
      </w:r>
      <w:r w:rsidR="00EB75BB">
        <w:t xml:space="preserve">Současní vykladači Alverna správně vidí </w:t>
      </w:r>
      <w:r w:rsidR="08D774EB">
        <w:t xml:space="preserve">Alvernovu </w:t>
      </w:r>
      <w:r w:rsidR="00EB75BB">
        <w:t>kritiku</w:t>
      </w:r>
      <w:r w:rsidR="00D73967" w:rsidRPr="00273106">
        <w:t xml:space="preserve"> Avicenny</w:t>
      </w:r>
      <w:r w:rsidR="00EB75BB">
        <w:t xml:space="preserve">, ale </w:t>
      </w:r>
      <w:r w:rsidR="00EB75BB">
        <w:lastRenderedPageBreak/>
        <w:t xml:space="preserve">jejich objektivní </w:t>
      </w:r>
      <w:r w:rsidR="00EB75BB" w:rsidRPr="00EB75BB">
        <w:rPr>
          <w:i/>
        </w:rPr>
        <w:t>veritas</w:t>
      </w:r>
      <w:r w:rsidR="00EB75BB">
        <w:t xml:space="preserve"> nejde k jádru dějinné </w:t>
      </w:r>
      <w:r w:rsidR="086A3CD3">
        <w:t xml:space="preserve">a proto tragické </w:t>
      </w:r>
      <w:r w:rsidR="00EB75BB" w:rsidRPr="00EB75BB">
        <w:rPr>
          <w:i/>
        </w:rPr>
        <w:t>alétheia</w:t>
      </w:r>
      <w:r w:rsidR="00EB75BB">
        <w:t xml:space="preserve"> Alvernovy filosofie.</w:t>
      </w:r>
      <w:r w:rsidR="00EB75BB" w:rsidRPr="00273106">
        <w:t xml:space="preserve"> </w:t>
      </w:r>
      <w:r w:rsidR="00EB75BB">
        <w:t xml:space="preserve">Postmoderní rozbory jsou věcně správné ohledně </w:t>
      </w:r>
      <w:r w:rsidR="003B0833">
        <w:t xml:space="preserve">jeho </w:t>
      </w:r>
      <w:r w:rsidR="00EB75BB">
        <w:t>kritiky Avicenny</w:t>
      </w:r>
      <w:r w:rsidR="00D73967" w:rsidRPr="00273106">
        <w:t xml:space="preserve">, ale </w:t>
      </w:r>
      <w:r w:rsidR="00EB75BB">
        <w:t>obsahují</w:t>
      </w:r>
      <w:r w:rsidR="00D73967" w:rsidRPr="00273106">
        <w:t xml:space="preserve"> jen polovinu pravdy. Komentátoři deformovaní objektivismem nevidí rozhodující vliv </w:t>
      </w:r>
      <w:r w:rsidR="002E3B62">
        <w:t>Averroes</w:t>
      </w:r>
      <w:r w:rsidR="00D73967" w:rsidRPr="00273106">
        <w:t>e na Alvernovo filosofické a teologické myšlení, zejmén</w:t>
      </w:r>
      <w:r w:rsidR="003837DF">
        <w:t xml:space="preserve">a v jeho rozvláčném komentáři </w:t>
      </w:r>
      <w:r w:rsidR="00D73967">
        <w:rPr>
          <w:i/>
        </w:rPr>
        <w:t>De anima</w:t>
      </w:r>
      <w:r w:rsidR="00D73967" w:rsidRPr="00273106">
        <w:t xml:space="preserve"> určeném pro vzdělaný klérus latinského Západu.</w:t>
      </w:r>
      <w:r w:rsidR="00206FA5" w:rsidRPr="00206FA5">
        <w:t xml:space="preserve"> </w:t>
      </w:r>
      <w:r w:rsidR="009F329D">
        <w:t xml:space="preserve">Hermeneutika </w:t>
      </w:r>
      <w:r w:rsidR="08BD6581">
        <w:t xml:space="preserve">vyložila v modu </w:t>
      </w:r>
      <w:r w:rsidR="08BD6581" w:rsidRPr="08BD6581">
        <w:rPr>
          <w:i/>
        </w:rPr>
        <w:t>alétheia</w:t>
      </w:r>
      <w:r w:rsidR="08BD6581">
        <w:t xml:space="preserve"> učení </w:t>
      </w:r>
      <w:r w:rsidR="009F329D">
        <w:t>tohoto p</w:t>
      </w:r>
      <w:r w:rsidR="003A1A03">
        <w:t>ředstavitele prvního averroismu</w:t>
      </w:r>
      <w:r w:rsidR="009F329D">
        <w:t xml:space="preserve"> tím, že vysvětlila jak jeho </w:t>
      </w:r>
      <w:r w:rsidR="08A97E15">
        <w:t xml:space="preserve">kritiku </w:t>
      </w:r>
      <w:r w:rsidR="00206FA5" w:rsidRPr="00273106">
        <w:rPr>
          <w:i/>
        </w:rPr>
        <w:t>sophistae Italici, vel Latini</w:t>
      </w:r>
      <w:r w:rsidR="00206FA5" w:rsidRPr="00273106">
        <w:t xml:space="preserve">, tak i </w:t>
      </w:r>
      <w:r w:rsidR="084D6C07">
        <w:t xml:space="preserve">jeho </w:t>
      </w:r>
      <w:r w:rsidR="00206FA5" w:rsidRPr="00273106">
        <w:t xml:space="preserve">kritiku </w:t>
      </w:r>
      <w:r w:rsidR="00874074">
        <w:t>neoplatonsk</w:t>
      </w:r>
      <w:r w:rsidR="08A97E15">
        <w:t xml:space="preserve">ých arabských </w:t>
      </w:r>
      <w:r w:rsidR="00206FA5" w:rsidRPr="00273106">
        <w:rPr>
          <w:i/>
        </w:rPr>
        <w:t>sequaces Aristotelis</w:t>
      </w:r>
      <w:r w:rsidR="00BB1AC2">
        <w:rPr>
          <w:i/>
        </w:rPr>
        <w:fldChar w:fldCharType="begin"/>
      </w:r>
      <w:r w:rsidR="00BB1AC2">
        <w:instrText xml:space="preserve"> XE "</w:instrText>
      </w:r>
      <w:r w:rsidR="00DF6832">
        <w:instrText>druhý averroismus:</w:instrText>
      </w:r>
      <w:r w:rsidR="00BB1AC2" w:rsidRPr="00B81DDF">
        <w:rPr>
          <w:i/>
        </w:rPr>
        <w:instrText>sequaces Aristotelis</w:instrText>
      </w:r>
      <w:r w:rsidR="00BB1AC2">
        <w:instrText xml:space="preserve">" </w:instrText>
      </w:r>
      <w:r w:rsidR="00BB1AC2">
        <w:rPr>
          <w:i/>
        </w:rPr>
        <w:fldChar w:fldCharType="end"/>
      </w:r>
      <w:r w:rsidR="00A927AC">
        <w:t>.</w:t>
      </w:r>
    </w:p>
    <w:p w14:paraId="010931B4" w14:textId="536BE2CC" w:rsidR="00B77E91" w:rsidRDefault="009F329D" w:rsidP="00F00CDC">
      <w:pPr>
        <w:ind w:firstLine="397"/>
      </w:pPr>
      <w:r>
        <w:t xml:space="preserve">Tento výkon byl možný až po příchodu </w:t>
      </w:r>
      <w:r w:rsidR="002E3B62">
        <w:t>Averroes</w:t>
      </w:r>
      <w:r w:rsidR="003A1A03">
        <w:t xml:space="preserve">ových spisů na latinský Západ a to ve dvou vlnách. </w:t>
      </w:r>
      <w:r w:rsidR="086F205B">
        <w:t>Z</w:t>
      </w:r>
      <w:r w:rsidR="003A1A03">
        <w:t xml:space="preserve">nalci Aristotela v Blundově </w:t>
      </w:r>
      <w:r w:rsidR="000765E6">
        <w:t xml:space="preserve">linii </w:t>
      </w:r>
      <w:r w:rsidR="084D6C07">
        <w:t xml:space="preserve">dané Abelardem </w:t>
      </w:r>
      <w:r w:rsidR="003A1A03">
        <w:t xml:space="preserve">odmítli </w:t>
      </w:r>
      <w:r w:rsidR="000765E6">
        <w:t xml:space="preserve">Averroesův výklad </w:t>
      </w:r>
      <w:r w:rsidR="003A1A03">
        <w:t>Toledské školy</w:t>
      </w:r>
      <w:r w:rsidR="00EF40E0">
        <w:t xml:space="preserve">. Nástupci Blunda </w:t>
      </w:r>
      <w:r w:rsidR="084D6C07">
        <w:t xml:space="preserve">přesně pochopili, v čem je </w:t>
      </w:r>
      <w:r w:rsidR="00EF40E0">
        <w:t xml:space="preserve">výklad toletánů </w:t>
      </w:r>
      <w:r w:rsidR="084D6C07">
        <w:t xml:space="preserve">chybný. </w:t>
      </w:r>
      <w:r w:rsidR="086F205B">
        <w:t xml:space="preserve"> </w:t>
      </w:r>
      <w:r w:rsidR="084D6C07">
        <w:t xml:space="preserve">Grosseteste brilantním výkladem v díle </w:t>
      </w:r>
      <w:r w:rsidR="084D6C07">
        <w:rPr>
          <w:i/>
        </w:rPr>
        <w:t>De anima et de potenciis eius</w:t>
      </w:r>
      <w:r w:rsidR="084D6C07">
        <w:t xml:space="preserve"> ukázal, čím se Komentátor liší od Avicenny a proč Abelardovi a Blundovi žáci musí přijat výklad Averroesovy metafyziky. Gauthier jako první současný znalec pochopil epochální význam tohoto díla, protože založilo no</w:t>
      </w:r>
      <w:r w:rsidR="08597CF3">
        <w:t>vo</w:t>
      </w:r>
      <w:r w:rsidR="084D6C07">
        <w:t>u školu metafyziky. Od roku 122</w:t>
      </w:r>
      <w:r w:rsidR="086F5E82">
        <w:t>0‒2</w:t>
      </w:r>
      <w:r w:rsidR="084D6C07">
        <w:t>5 existuje v P</w:t>
      </w:r>
      <w:r w:rsidR="086F5E82">
        <w:t>aříži vlastní výklad Komentátora</w:t>
      </w:r>
      <w:r w:rsidR="084D6C07">
        <w:t xml:space="preserve"> daný na </w:t>
      </w:r>
      <w:r w:rsidR="08597CF3">
        <w:t xml:space="preserve">katedrální </w:t>
      </w:r>
      <w:r w:rsidR="084D6C07" w:rsidRPr="08597CF3">
        <w:rPr>
          <w:i/>
        </w:rPr>
        <w:t xml:space="preserve">École de </w:t>
      </w:r>
      <w:r w:rsidR="084D6C07" w:rsidRPr="089B2F98">
        <w:rPr>
          <w:i/>
        </w:rPr>
        <w:t>Paris</w:t>
      </w:r>
      <w:r w:rsidR="084D6C07">
        <w:t xml:space="preserve"> tehdy t</w:t>
      </w:r>
      <w:r w:rsidR="08597CF3">
        <w:t>ransformané na Pařížskou</w:t>
      </w:r>
      <w:r w:rsidR="084D6C07">
        <w:t xml:space="preserve"> univerzitu. </w:t>
      </w:r>
      <w:r w:rsidR="089B2F98" w:rsidRPr="088F1B4B">
        <w:t>Pařížská univerzita vzniká v době pontifikátu Honoria III. (1216‒27).</w:t>
      </w:r>
      <w:r w:rsidR="089B2F98">
        <w:t xml:space="preserve"> Tento vzdělaný právník a ekonom </w:t>
      </w:r>
      <w:r w:rsidR="089B2F98" w:rsidRPr="088F1B4B">
        <w:t>byl jedním z vychovatelů sicilského Friedricha II. a udělil papežská</w:t>
      </w:r>
      <w:r w:rsidR="089B2F98" w:rsidRPr="088D6221">
        <w:rPr>
          <w:rStyle w:val="romain"/>
        </w:rPr>
        <w:t xml:space="preserve"> privilegia univerzitám v Bologni a v Paříži. </w:t>
      </w:r>
      <w:r w:rsidR="08E93F73">
        <w:t xml:space="preserve">Argumentace Blundovy školy před příchodem CMDA spočívala na Abelardově teorii signifikace vytvořené podle </w:t>
      </w:r>
      <w:r w:rsidR="08E93F73" w:rsidRPr="00914AD5">
        <w:rPr>
          <w:i/>
        </w:rPr>
        <w:t>Kategorií</w:t>
      </w:r>
      <w:r w:rsidR="08E93F73">
        <w:t xml:space="preserve"> a na Boethiově výkladu </w:t>
      </w:r>
      <w:r w:rsidR="08E93F73" w:rsidRPr="00914AD5">
        <w:rPr>
          <w:i/>
        </w:rPr>
        <w:t>Isagoge</w:t>
      </w:r>
      <w:r w:rsidR="08E93F73">
        <w:t xml:space="preserve">, což ukázala předešlá matrice objektivity. Tato </w:t>
      </w:r>
      <w:r w:rsidR="08E93F73" w:rsidRPr="08A2007E">
        <w:t>tradic</w:t>
      </w:r>
      <w:r w:rsidR="08E93F73">
        <w:t xml:space="preserve">e aristotelismu stála v nové gigantomachii o substanci </w:t>
      </w:r>
      <w:r w:rsidR="08E93F73">
        <w:fldChar w:fldCharType="begin"/>
      </w:r>
      <w:r w:rsidR="08E93F73">
        <w:instrText xml:space="preserve"> XE "</w:instrText>
      </w:r>
      <w:r w:rsidR="08E93F73" w:rsidRPr="003410EE">
        <w:instrText>substance:gigantomachie</w:instrText>
      </w:r>
      <w:r w:rsidR="08E93F73">
        <w:instrText xml:space="preserve">" </w:instrText>
      </w:r>
      <w:r w:rsidR="08E93F73">
        <w:fldChar w:fldCharType="end"/>
      </w:r>
      <w:r w:rsidR="08E93F73">
        <w:t xml:space="preserve">proti škole porretánů, proti škole </w:t>
      </w:r>
      <w:r w:rsidR="08E93F73" w:rsidRPr="005534F4">
        <w:rPr>
          <w:i/>
        </w:rPr>
        <w:t>Nominales</w:t>
      </w:r>
      <w:r w:rsidR="08E93F73">
        <w:t xml:space="preserve"> a proti sofistice škol sdružených v rámci </w:t>
      </w:r>
      <w:r w:rsidR="08E93F73">
        <w:rPr>
          <w:i/>
        </w:rPr>
        <w:t>l</w:t>
      </w:r>
      <w:r w:rsidR="08E93F73" w:rsidRPr="00FD350E">
        <w:rPr>
          <w:i/>
        </w:rPr>
        <w:t>ogica Modernorum</w:t>
      </w:r>
      <w:r w:rsidR="08E93F73">
        <w:rPr>
          <w:i/>
        </w:rPr>
        <w:fldChar w:fldCharType="begin"/>
      </w:r>
      <w:r w:rsidR="08E93F73">
        <w:instrText xml:space="preserve"> XE "</w:instrText>
      </w:r>
      <w:r w:rsidR="08E93F73" w:rsidRPr="00035EEB">
        <w:instrText>objektivita:</w:instrText>
      </w:r>
      <w:r w:rsidR="08E93F73">
        <w:instrText>druhý</w:instrText>
      </w:r>
      <w:r w:rsidR="08E93F73" w:rsidRPr="00035EEB">
        <w:instrText xml:space="preserve"> averroismu</w:instrText>
      </w:r>
      <w:r w:rsidR="08E93F73">
        <w:instrText xml:space="preserve">s" </w:instrText>
      </w:r>
      <w:r w:rsidR="08E93F73">
        <w:rPr>
          <w:i/>
        </w:rPr>
        <w:fldChar w:fldCharType="end"/>
      </w:r>
      <w:r w:rsidR="08E93F73">
        <w:t xml:space="preserve">. </w:t>
      </w:r>
      <w:r w:rsidR="08431081">
        <w:t xml:space="preserve">Scotův </w:t>
      </w:r>
      <w:r w:rsidR="08EF38A3">
        <w:t xml:space="preserve">výklad Sicilské školy podané </w:t>
      </w:r>
      <w:r w:rsidR="08EF38A3">
        <w:rPr>
          <w:i/>
        </w:rPr>
        <w:t>ad mentem Averro</w:t>
      </w:r>
      <w:r w:rsidR="08EF38A3" w:rsidRPr="08EF38A3">
        <w:rPr>
          <w:i/>
        </w:rPr>
        <w:t>i</w:t>
      </w:r>
      <w:r w:rsidR="08EF38A3">
        <w:rPr>
          <w:i/>
        </w:rPr>
        <w:t>s</w:t>
      </w:r>
      <w:r w:rsidR="08EF38A3">
        <w:t xml:space="preserve"> potvrdil je</w:t>
      </w:r>
      <w:r w:rsidR="08CD7382">
        <w:t xml:space="preserve">jich </w:t>
      </w:r>
      <w:r w:rsidR="08673347">
        <w:t xml:space="preserve">předešlé </w:t>
      </w:r>
      <w:r w:rsidR="08CD7382">
        <w:t>závěry dané v linii Boethia</w:t>
      </w:r>
      <w:r w:rsidR="08EF38A3">
        <w:t xml:space="preserve"> a Abelarda. </w:t>
      </w:r>
      <w:r w:rsidR="08923272">
        <w:t xml:space="preserve">Michael </w:t>
      </w:r>
      <w:r w:rsidR="08CD7382">
        <w:t>Scotus odešel z Toleda na Sicílii z</w:t>
      </w:r>
      <w:r w:rsidR="084340FC">
        <w:t>e</w:t>
      </w:r>
      <w:r w:rsidR="08CD7382">
        <w:t xml:space="preserve"> stejných důvodů jako Porfyrius, tedy kvůli pravdivě vykládanému Aristotelovi. Proto </w:t>
      </w:r>
      <w:r w:rsidR="08C35857">
        <w:t xml:space="preserve">přesně </w:t>
      </w:r>
      <w:r w:rsidR="08431081">
        <w:t>obja</w:t>
      </w:r>
      <w:r w:rsidR="08C35857">
        <w:t>s</w:t>
      </w:r>
      <w:r w:rsidR="08431081">
        <w:t>nil</w:t>
      </w:r>
      <w:r w:rsidR="08C35857">
        <w:t xml:space="preserve"> a potvrdil zdejším aristotelik</w:t>
      </w:r>
      <w:r w:rsidR="08431081">
        <w:t xml:space="preserve">ům chybný výklad a chybné překlady Komentátora </w:t>
      </w:r>
      <w:r w:rsidR="08C35857">
        <w:t xml:space="preserve">dané </w:t>
      </w:r>
      <w:r w:rsidR="08431081">
        <w:t xml:space="preserve">v prostředí Toledské školy ovlivněné mystikou neoplatonismu a Avicennou. </w:t>
      </w:r>
      <w:r w:rsidR="084340FC">
        <w:t xml:space="preserve">Grosseteste z Paříže </w:t>
      </w:r>
      <w:r w:rsidR="00F15FE8">
        <w:t xml:space="preserve">pravděpodobně odešel brzy </w:t>
      </w:r>
      <w:r w:rsidR="084340FC">
        <w:t xml:space="preserve">po roce 1225 a už nestihl recepci Sicilské školy dané příchodem Scota v roce 1230. </w:t>
      </w:r>
      <w:r w:rsidR="086C646A">
        <w:t>P</w:t>
      </w:r>
      <w:r w:rsidR="084340FC">
        <w:t xml:space="preserve">rvní </w:t>
      </w:r>
      <w:r w:rsidR="086C646A">
        <w:t xml:space="preserve">aristotelští </w:t>
      </w:r>
      <w:r w:rsidR="084340FC">
        <w:t xml:space="preserve">magistři </w:t>
      </w:r>
      <w:r w:rsidR="086C646A">
        <w:t xml:space="preserve">v modu Sicilské školy </w:t>
      </w:r>
      <w:r w:rsidR="084340FC">
        <w:t xml:space="preserve">(Blund, Alvernus) institucionálně </w:t>
      </w:r>
      <w:r w:rsidR="086C646A">
        <w:t xml:space="preserve">zakládali </w:t>
      </w:r>
      <w:r w:rsidR="084340FC">
        <w:t>Pařížskou univerzitu</w:t>
      </w:r>
      <w:r w:rsidR="086C646A">
        <w:t xml:space="preserve"> a přijali </w:t>
      </w:r>
      <w:r w:rsidR="084340FC">
        <w:lastRenderedPageBreak/>
        <w:t>autentický výklad Averroese z prost</w:t>
      </w:r>
      <w:r w:rsidR="086B5D69">
        <w:t xml:space="preserve">ředí Sicilské školy. Tuto školu formovala </w:t>
      </w:r>
      <w:r w:rsidR="084340FC">
        <w:t>fenomenologi</w:t>
      </w:r>
      <w:r w:rsidR="086B5D69">
        <w:t>e</w:t>
      </w:r>
      <w:r w:rsidR="084340FC">
        <w:t xml:space="preserve"> poznání podle </w:t>
      </w:r>
      <w:r w:rsidR="084340FC" w:rsidRPr="088F1B4B">
        <w:t>přírodovědných spisů Aristotela.</w:t>
      </w:r>
      <w:r w:rsidR="084340FC">
        <w:t xml:space="preserve"> </w:t>
      </w:r>
      <w:r w:rsidR="082F7084">
        <w:t>Proto se z Kom</w:t>
      </w:r>
      <w:r w:rsidR="086C646A">
        <w:t>e</w:t>
      </w:r>
      <w:r w:rsidR="082F7084">
        <w:t>n</w:t>
      </w:r>
      <w:r w:rsidR="086C646A">
        <w:t xml:space="preserve">tátora stal </w:t>
      </w:r>
      <w:r w:rsidR="086C646A" w:rsidRPr="086C646A">
        <w:rPr>
          <w:i/>
        </w:rPr>
        <w:t>philosophus nobilissimus</w:t>
      </w:r>
      <w:r w:rsidR="086C646A">
        <w:t xml:space="preserve"> a v dějinném modu </w:t>
      </w:r>
      <w:r w:rsidR="086C646A" w:rsidRPr="086C646A">
        <w:rPr>
          <w:i/>
        </w:rPr>
        <w:t>léthé</w:t>
      </w:r>
      <w:r w:rsidR="086C646A">
        <w:t xml:space="preserve"> </w:t>
      </w:r>
      <w:r w:rsidR="08DA7DC8">
        <w:t xml:space="preserve">dané zánikem </w:t>
      </w:r>
      <w:r w:rsidR="08764F46">
        <w:t xml:space="preserve">falsafy. Ale jeho myšlení opatrované pod </w:t>
      </w:r>
      <w:r w:rsidR="08DA7DC8">
        <w:t xml:space="preserve">vlivem nesmrtelných Můz </w:t>
      </w:r>
      <w:r w:rsidR="08764F46">
        <w:t xml:space="preserve">působících </w:t>
      </w:r>
      <w:r w:rsidR="08DA7DC8">
        <w:t xml:space="preserve">v modu </w:t>
      </w:r>
      <w:r w:rsidR="08DA7DC8" w:rsidRPr="08DA7DC8">
        <w:rPr>
          <w:i/>
        </w:rPr>
        <w:t>a/létheia</w:t>
      </w:r>
      <w:r w:rsidR="08DA7DC8">
        <w:t xml:space="preserve"> </w:t>
      </w:r>
      <w:r w:rsidR="08764F46">
        <w:t xml:space="preserve">založilo </w:t>
      </w:r>
      <w:r w:rsidR="086C646A">
        <w:t xml:space="preserve">křesťanskou </w:t>
      </w:r>
      <w:r w:rsidR="083120DD">
        <w:t xml:space="preserve">a akademickou </w:t>
      </w:r>
      <w:r w:rsidR="086C646A">
        <w:t>slávu Pařížské univerzity</w:t>
      </w:r>
      <w:r w:rsidR="082F7084">
        <w:t xml:space="preserve"> v její původní </w:t>
      </w:r>
      <w:r w:rsidR="082F7084" w:rsidRPr="082F7084">
        <w:rPr>
          <w:i/>
        </w:rPr>
        <w:t>alétheia</w:t>
      </w:r>
      <w:r w:rsidR="00B77E91">
        <w:t xml:space="preserve"> dané do roku 1277.</w:t>
      </w:r>
    </w:p>
    <w:p w14:paraId="37B4487D" w14:textId="15901805" w:rsidR="00F40FCF" w:rsidRDefault="08D77B2C" w:rsidP="00F40FCF">
      <w:pPr>
        <w:ind w:firstLine="397"/>
      </w:pPr>
      <w:r>
        <w:t xml:space="preserve">Zásadním místem sporu </w:t>
      </w:r>
      <w:r w:rsidR="0858407B">
        <w:t xml:space="preserve">mezi Toledskou a Sicilskou školou </w:t>
      </w:r>
      <w:r>
        <w:t>se stal status činného intelektu</w:t>
      </w:r>
      <w:r w:rsidR="08192794">
        <w:t xml:space="preserve">. Blundova škola vyložila lidský </w:t>
      </w:r>
      <w:r w:rsidR="08192794" w:rsidRPr="08192794">
        <w:rPr>
          <w:i/>
        </w:rPr>
        <w:t>intellectus agens</w:t>
      </w:r>
      <w:r w:rsidR="08192794">
        <w:t xml:space="preserve"> v souladu s importovaným dílem Averroese, které nejprve získala skrze Toledskou školu. Ale magistři Blundovy školy jako Alvernus a Grosseteste uměli číst skutečného Averroese a ne jeho neoplatonské simulákrum. Zakladatelé Pařížské univerzity proto odmítli avicennovskou argumentaci Toledské školy založenou na chybné modernistické četbě Komentátora. Hlavním důvodem bylo neexistující pojetí diafanum a neoplatonský výklad </w:t>
      </w:r>
      <w:r w:rsidR="00D06929">
        <w:t>přirozného poznání skrze mystickou iluminaci</w:t>
      </w:r>
      <w:r w:rsidR="08192794">
        <w:t xml:space="preserve">, </w:t>
      </w:r>
      <w:r w:rsidR="00D06929">
        <w:t xml:space="preserve">což </w:t>
      </w:r>
      <w:r w:rsidR="08192794">
        <w:t xml:space="preserve">byly v rozporu se spisem </w:t>
      </w:r>
      <w:r w:rsidR="08192794" w:rsidRPr="004808C2">
        <w:rPr>
          <w:i/>
        </w:rPr>
        <w:t>De anima</w:t>
      </w:r>
      <w:r w:rsidR="08192794">
        <w:t xml:space="preserve">. </w:t>
      </w:r>
      <w:r w:rsidR="00FD1F71">
        <w:t>V letech 1220–</w:t>
      </w:r>
      <w:r w:rsidR="00FD1F71" w:rsidRPr="00FD1F71">
        <w:t xml:space="preserve">30 </w:t>
      </w:r>
      <w:r w:rsidR="00FD1F71">
        <w:t>filozofové a logikové z Blundovy školy odmítli následovat n</w:t>
      </w:r>
      <w:r w:rsidR="00FD1F71" w:rsidRPr="00FD1F71">
        <w:t>eoplaton</w:t>
      </w:r>
      <w:r w:rsidR="00FD1F71">
        <w:t>s</w:t>
      </w:r>
      <w:r w:rsidR="00FD1F71" w:rsidRPr="00FD1F71">
        <w:t xml:space="preserve">ké pojetí </w:t>
      </w:r>
      <w:r w:rsidR="00FD1F71" w:rsidRPr="00FD1F71">
        <w:rPr>
          <w:i/>
        </w:rPr>
        <w:t>Corpus Aristotelicum</w:t>
      </w:r>
      <w:r w:rsidR="00FD1F71" w:rsidRPr="00FD1F71">
        <w:t xml:space="preserve"> </w:t>
      </w:r>
      <w:r w:rsidR="00FD1F71">
        <w:t>importované t</w:t>
      </w:r>
      <w:r w:rsidR="00FD1F71" w:rsidRPr="00FD1F71">
        <w:t>olet</w:t>
      </w:r>
      <w:r w:rsidR="00FD1F71">
        <w:t>ány. Škola prvního a</w:t>
      </w:r>
      <w:r w:rsidR="00FD1F71" w:rsidRPr="00FD1F71">
        <w:t>verro</w:t>
      </w:r>
      <w:r w:rsidR="00FD1F71">
        <w:t>ismu vložila K</w:t>
      </w:r>
      <w:r w:rsidR="00FD1F71" w:rsidRPr="00FD1F71">
        <w:t xml:space="preserve">orpus do nové interpretace provedené podle Averroese a podle </w:t>
      </w:r>
      <w:r w:rsidR="00FD1F71">
        <w:t>S</w:t>
      </w:r>
      <w:r w:rsidR="00FD1F71" w:rsidRPr="00FD1F71">
        <w:t>icilské školy.</w:t>
      </w:r>
      <w:r w:rsidR="00FD1F71">
        <w:t xml:space="preserve"> </w:t>
      </w:r>
      <w:r w:rsidR="08C6098D">
        <w:t xml:space="preserve">Tento brilantní myslitelský výkon </w:t>
      </w:r>
      <w:r w:rsidR="08D43722">
        <w:t xml:space="preserve">pod vedením biskupa Alverna </w:t>
      </w:r>
      <w:r w:rsidR="08CE3E36">
        <w:t>je srovnatelný s v</w:t>
      </w:r>
      <w:r w:rsidR="08434E1D">
        <w:t xml:space="preserve">ýkonem předešlé generace sdružené v </w:t>
      </w:r>
      <w:r w:rsidR="08434E1D" w:rsidRPr="08434E1D">
        <w:rPr>
          <w:i/>
        </w:rPr>
        <w:t>École de Paris</w:t>
      </w:r>
      <w:r w:rsidR="08303493">
        <w:rPr>
          <w:i/>
        </w:rPr>
        <w:fldChar w:fldCharType="begin"/>
      </w:r>
      <w:r w:rsidR="08303493">
        <w:instrText xml:space="preserve"> XE "</w:instrText>
      </w:r>
      <w:r w:rsidR="08303493" w:rsidRPr="08BE739C">
        <w:rPr>
          <w:i/>
        </w:rPr>
        <w:instrText>École de Paris</w:instrText>
      </w:r>
      <w:r w:rsidR="08303493">
        <w:instrText xml:space="preserve">" </w:instrText>
      </w:r>
      <w:r w:rsidR="08303493">
        <w:rPr>
          <w:i/>
        </w:rPr>
        <w:fldChar w:fldCharType="end"/>
      </w:r>
      <w:r w:rsidR="08434E1D">
        <w:t xml:space="preserve">. Blundova škola </w:t>
      </w:r>
      <w:r w:rsidR="08CE3E36">
        <w:t xml:space="preserve">obhájila </w:t>
      </w:r>
      <w:r w:rsidR="08691715">
        <w:t>okolo roku 1215</w:t>
      </w:r>
      <w:r w:rsidR="085E1428">
        <w:t xml:space="preserve"> </w:t>
      </w:r>
      <w:r w:rsidR="08CE3E36">
        <w:t>křesťanskou vizi člověka podle Aristotela proti neoplatonskému aristotelikovi Davidovi z Dinantu</w:t>
      </w:r>
      <w:r w:rsidR="08CE143A">
        <w:fldChar w:fldCharType="begin"/>
      </w:r>
      <w:r w:rsidR="08CE143A">
        <w:instrText xml:space="preserve"> XE "</w:instrText>
      </w:r>
      <w:r w:rsidR="08CE143A" w:rsidRPr="08A12907">
        <w:instrText>David z Dinantu</w:instrText>
      </w:r>
      <w:r w:rsidR="08CE143A">
        <w:instrText xml:space="preserve">" </w:instrText>
      </w:r>
      <w:r w:rsidR="08CE143A">
        <w:fldChar w:fldCharType="end"/>
      </w:r>
      <w:r w:rsidR="08691715">
        <w:t>. Tato aristotelská škola založila Pařížskou univerzitu skrze obran</w:t>
      </w:r>
      <w:r w:rsidR="08CE3E36">
        <w:t xml:space="preserve">u racionality </w:t>
      </w:r>
      <w:r w:rsidR="08691715">
        <w:t xml:space="preserve">a skrze přirozenou </w:t>
      </w:r>
      <w:r w:rsidR="08967DD4">
        <w:t xml:space="preserve">a teologickou </w:t>
      </w:r>
      <w:r w:rsidR="08691715">
        <w:t>hodnotu osoby</w:t>
      </w:r>
      <w:r w:rsidR="08CE3E36">
        <w:t xml:space="preserve">. </w:t>
      </w:r>
      <w:r w:rsidR="08607116">
        <w:t>Zánikem</w:t>
      </w:r>
      <w:r w:rsidR="08CE3E36">
        <w:t xml:space="preserve"> </w:t>
      </w:r>
      <w:r w:rsidR="08E26D4C">
        <w:t xml:space="preserve">původní </w:t>
      </w:r>
      <w:r w:rsidR="08607116">
        <w:t xml:space="preserve">kritické </w:t>
      </w:r>
      <w:r w:rsidR="08CE3E36">
        <w:t>racionality pochopitelně zanikla i tato instituce</w:t>
      </w:r>
      <w:r w:rsidR="080E3CF6">
        <w:t xml:space="preserve">, protože </w:t>
      </w:r>
      <w:r w:rsidR="08E26D4C">
        <w:t xml:space="preserve">v postmoderním osvícenství </w:t>
      </w:r>
      <w:r w:rsidR="080E3CF6">
        <w:t xml:space="preserve">neměla </w:t>
      </w:r>
      <w:r w:rsidR="08E65739">
        <w:t>pravdivý a tudíž aristotelsko-</w:t>
      </w:r>
      <w:r w:rsidR="080E3CF6">
        <w:t xml:space="preserve">metafyzický </w:t>
      </w:r>
      <w:r w:rsidR="080E3CF6" w:rsidRPr="080E3CF6">
        <w:rPr>
          <w:i/>
        </w:rPr>
        <w:t>raison d'être</w:t>
      </w:r>
      <w:r w:rsidR="08CE3E36">
        <w:t xml:space="preserve">. </w:t>
      </w:r>
      <w:r w:rsidR="009F329D">
        <w:t xml:space="preserve">Alvernus </w:t>
      </w:r>
      <w:r w:rsidR="08D962F9">
        <w:t xml:space="preserve">systematicky provedl </w:t>
      </w:r>
      <w:r w:rsidR="009F329D">
        <w:t xml:space="preserve">separaci </w:t>
      </w:r>
      <w:r w:rsidR="08D962F9">
        <w:t>obou aristotelských inte</w:t>
      </w:r>
      <w:r w:rsidR="08CE143A">
        <w:t>r</w:t>
      </w:r>
      <w:r w:rsidR="08D962F9">
        <w:t xml:space="preserve">pretací </w:t>
      </w:r>
      <w:r w:rsidR="009F329D">
        <w:t>jako první fi</w:t>
      </w:r>
      <w:r w:rsidR="088E6DD6">
        <w:t>losof a teolog na Západě. P</w:t>
      </w:r>
      <w:r w:rsidR="00480FF4">
        <w:t xml:space="preserve">o průkopnickém Blundovi </w:t>
      </w:r>
      <w:r w:rsidR="00153640">
        <w:t xml:space="preserve">magistrálně </w:t>
      </w:r>
      <w:r w:rsidR="00480FF4">
        <w:t xml:space="preserve">obhájil </w:t>
      </w:r>
      <w:r w:rsidR="009F329D">
        <w:t xml:space="preserve">autentický smysl </w:t>
      </w:r>
      <w:r w:rsidR="009F329D" w:rsidRPr="009F329D">
        <w:rPr>
          <w:i/>
        </w:rPr>
        <w:t>De anima</w:t>
      </w:r>
      <w:r w:rsidR="009F329D">
        <w:t xml:space="preserve"> podle CMDA</w:t>
      </w:r>
      <w:r w:rsidR="0815129C">
        <w:t xml:space="preserve">. Alvernus a jeho škola </w:t>
      </w:r>
      <w:r w:rsidR="088057AE">
        <w:t>udržovaná A</w:t>
      </w:r>
      <w:r w:rsidR="0815129C">
        <w:t xml:space="preserve">lbertem a Baconem </w:t>
      </w:r>
      <w:r w:rsidR="088E6DD6">
        <w:t>zachránil</w:t>
      </w:r>
      <w:r w:rsidR="0815129C">
        <w:t>a</w:t>
      </w:r>
      <w:r w:rsidR="088E6DD6">
        <w:t xml:space="preserve"> latinskému Západu jednotu osoby a také původní smysl humanismu ve falsafě podle Druhého mistra a Komentátora</w:t>
      </w:r>
      <w:r w:rsidR="009F329D">
        <w:t xml:space="preserve">. </w:t>
      </w:r>
      <w:r w:rsidR="00D0128A">
        <w:t xml:space="preserve">Proto </w:t>
      </w:r>
      <w:r w:rsidR="000247E5">
        <w:t>lze tohoto pařížského biskupa, fil</w:t>
      </w:r>
      <w:r w:rsidR="00487844">
        <w:t>o</w:t>
      </w:r>
      <w:r w:rsidR="000247E5">
        <w:t>sofa</w:t>
      </w:r>
      <w:r w:rsidR="00487844">
        <w:t>,</w:t>
      </w:r>
      <w:r w:rsidR="000247E5">
        <w:t xml:space="preserve"> humanistu a kancléře Pařížské univerzity považovat za zakladatele</w:t>
      </w:r>
      <w:r w:rsidR="005610F6">
        <w:t xml:space="preserve"> školy prvního averroismu</w:t>
      </w:r>
      <w:r w:rsidR="00153640">
        <w:t>, což jednoznačně potvrdil Roger Bacon</w:t>
      </w:r>
      <w:r w:rsidR="000247E5">
        <w:t>.</w:t>
      </w:r>
      <w:r w:rsidR="08C90715">
        <w:t xml:space="preserve"> </w:t>
      </w:r>
      <w:r w:rsidR="00D67D29" w:rsidRPr="00D67D29">
        <w:t>Dnes je nutné přehodnotit</w:t>
      </w:r>
      <w:r w:rsidR="00D67D29">
        <w:t xml:space="preserve"> k</w:t>
      </w:r>
      <w:r w:rsidR="00051D20">
        <w:t>líčové svědectví filosofa Alverna o rozdílu mezi prvním a druhým averroismem ohl</w:t>
      </w:r>
      <w:r w:rsidR="00D67D29">
        <w:t>edně dvojího výkladu Aristotela</w:t>
      </w:r>
      <w:r w:rsidR="00051D20">
        <w:t xml:space="preserve">. Znalost CMDA </w:t>
      </w:r>
      <w:r w:rsidR="004454D0">
        <w:t xml:space="preserve">podle Scotem hájené Sicilské školy </w:t>
      </w:r>
      <w:r w:rsidR="00051D20">
        <w:t>pomohla prvním</w:t>
      </w:r>
      <w:r w:rsidR="00933840">
        <w:t xml:space="preserve"> znalcům Averroesova korpusu </w:t>
      </w:r>
      <w:r w:rsidR="00051D20">
        <w:t xml:space="preserve">kvalifikovaně </w:t>
      </w:r>
      <w:r w:rsidR="00051D20">
        <w:lastRenderedPageBreak/>
        <w:t>odmítn</w:t>
      </w:r>
      <w:r w:rsidR="004E6145">
        <w:t>out teorii poznání založenou n</w:t>
      </w:r>
      <w:r w:rsidR="00051D20">
        <w:t xml:space="preserve">a odděleném </w:t>
      </w:r>
      <w:r w:rsidR="00051D20" w:rsidRPr="00A62846">
        <w:rPr>
          <w:i/>
        </w:rPr>
        <w:t>intellectus agens</w:t>
      </w:r>
      <w:r w:rsidR="00051D20">
        <w:t xml:space="preserve">, což hájili příslušníci avicennovského výkladu Aristotela. </w:t>
      </w:r>
      <w:r w:rsidR="08956D34">
        <w:t>Averroes a Blund dobře věděli, že moderní ilumináti nečtou Aristotelovy spisy (</w:t>
      </w:r>
      <w:r w:rsidR="08956D34" w:rsidRPr="00642B6B">
        <w:rPr>
          <w:i/>
        </w:rPr>
        <w:t>moderni</w:t>
      </w:r>
      <w:r w:rsidR="08956D34">
        <w:t xml:space="preserve"> </w:t>
      </w:r>
      <w:r w:rsidR="08956D34" w:rsidRPr="00273106">
        <w:rPr>
          <w:i/>
        </w:rPr>
        <w:t>dimittunt libros Aristotelis</w:t>
      </w:r>
      <w:r w:rsidR="088671C1">
        <w:t>; OBJ I</w:t>
      </w:r>
      <w:r w:rsidR="08DC2398">
        <w:t xml:space="preserve">, </w:t>
      </w:r>
      <w:r w:rsidR="08956D34">
        <w:t xml:space="preserve">kap. 2.5). </w:t>
      </w:r>
      <w:r w:rsidR="00AC4953">
        <w:t>Spor obou škol kolem 1230‒</w:t>
      </w:r>
      <w:r w:rsidR="00E70B41">
        <w:t>40</w:t>
      </w:r>
      <w:r w:rsidR="003F2615">
        <w:t xml:space="preserve"> </w:t>
      </w:r>
      <w:r w:rsidR="00D95BAA">
        <w:t xml:space="preserve">daných </w:t>
      </w:r>
      <w:r w:rsidR="003F2615">
        <w:t xml:space="preserve">podle </w:t>
      </w:r>
      <w:r w:rsidR="00D95BAA">
        <w:t xml:space="preserve">paradigmatu Toledské nebo Sicilské školy </w:t>
      </w:r>
      <w:r w:rsidR="00AC4953">
        <w:t>věrohodně</w:t>
      </w:r>
      <w:r w:rsidR="08243A13">
        <w:t xml:space="preserve"> ukazuje</w:t>
      </w:r>
      <w:r w:rsidR="00AC4953">
        <w:t>, proč a jak se Averroes stal averroistou</w:t>
      </w:r>
      <w:r w:rsidR="00E70B41">
        <w:t xml:space="preserve">. </w:t>
      </w:r>
      <w:r w:rsidR="00DE2966">
        <w:t xml:space="preserve">Gigantomachie obou škol </w:t>
      </w:r>
      <w:r w:rsidR="00E365BE">
        <w:t>vysvětluje</w:t>
      </w:r>
      <w:r w:rsidR="00192EB8">
        <w:t xml:space="preserve">, proč </w:t>
      </w:r>
      <w:r w:rsidR="00A82A19">
        <w:t xml:space="preserve">geniální Komentátor a </w:t>
      </w:r>
      <w:r w:rsidR="00A82A19" w:rsidRPr="00192EB8">
        <w:rPr>
          <w:i/>
        </w:rPr>
        <w:t>philosophus nobilissimus</w:t>
      </w:r>
      <w:r w:rsidR="00A82A19">
        <w:t xml:space="preserve"> </w:t>
      </w:r>
      <w:r w:rsidR="00192EB8">
        <w:t xml:space="preserve">za doby osvícených myslitelů jako byl Alvernus a mladí představitelé prvního averroismu v Paříži (Bacon, Albert) </w:t>
      </w:r>
      <w:r w:rsidR="08697175">
        <w:t xml:space="preserve">nebyl a nemohl být </w:t>
      </w:r>
      <w:r w:rsidR="00192EB8">
        <w:t xml:space="preserve">averroistou. </w:t>
      </w:r>
      <w:r w:rsidR="08243A13">
        <w:t xml:space="preserve">A </w:t>
      </w:r>
      <w:r w:rsidR="00DE2966">
        <w:t xml:space="preserve">tento spor obou škol </w:t>
      </w:r>
      <w:r w:rsidR="08243A13">
        <w:t xml:space="preserve">o čestný titul Komentátora pro Avicennu nebo pro Averrose </w:t>
      </w:r>
      <w:r w:rsidR="00E365BE">
        <w:t xml:space="preserve">vysvětluje, proč </w:t>
      </w:r>
      <w:r w:rsidR="08697175">
        <w:t xml:space="preserve">sofistický </w:t>
      </w:r>
      <w:r w:rsidR="00702425">
        <w:t xml:space="preserve">akademický </w:t>
      </w:r>
      <w:r w:rsidR="00E365BE">
        <w:t>ú</w:t>
      </w:r>
      <w:r w:rsidR="00E70B41">
        <w:t xml:space="preserve">tok na „pohana“ a na </w:t>
      </w:r>
      <w:r w:rsidR="00D82B4B">
        <w:t>„</w:t>
      </w:r>
      <w:r w:rsidR="00E70B41">
        <w:t>averroistického</w:t>
      </w:r>
      <w:r w:rsidR="00D82B4B">
        <w:t>“</w:t>
      </w:r>
      <w:r w:rsidR="00E70B41">
        <w:t xml:space="preserve"> Averroese nastal v modernistické škole </w:t>
      </w:r>
      <w:r w:rsidR="00D82B4B">
        <w:t xml:space="preserve">kompilátorů </w:t>
      </w:r>
      <w:r w:rsidR="00D82B4B" w:rsidRPr="00D82B4B">
        <w:rPr>
          <w:i/>
        </w:rPr>
        <w:t>Summa Halensis</w:t>
      </w:r>
      <w:r w:rsidR="00D82B4B">
        <w:t xml:space="preserve"> </w:t>
      </w:r>
      <w:r w:rsidR="08AC7397">
        <w:t xml:space="preserve">téměř okamžitě </w:t>
      </w:r>
      <w:r w:rsidR="00E70B41">
        <w:t xml:space="preserve">po smrti </w:t>
      </w:r>
      <w:r w:rsidR="00702425">
        <w:t xml:space="preserve">biskupa a kancléře </w:t>
      </w:r>
      <w:r w:rsidR="08AC7397">
        <w:t>Alverna</w:t>
      </w:r>
      <w:r w:rsidR="00AC4953">
        <w:t xml:space="preserve">. </w:t>
      </w:r>
      <w:bookmarkStart w:id="76" w:name="_Toc487234306"/>
      <w:bookmarkStart w:id="77" w:name="_Toc12558313"/>
    </w:p>
    <w:p w14:paraId="29526759" w14:textId="1A4DBE73" w:rsidR="00DF56D6" w:rsidRPr="00273106" w:rsidRDefault="08626077" w:rsidP="00F40FCF">
      <w:pPr>
        <w:pStyle w:val="Nadpis2"/>
      </w:pPr>
      <w:r>
        <w:rPr>
          <w:lang w:val="cs-CZ"/>
        </w:rPr>
        <w:br w:type="page"/>
      </w:r>
      <w:bookmarkStart w:id="78" w:name="_Toc160449325"/>
      <w:r w:rsidR="08D20D28">
        <w:rPr>
          <w:lang w:val="cs-CZ"/>
        </w:rPr>
        <w:lastRenderedPageBreak/>
        <w:t>2</w:t>
      </w:r>
      <w:r w:rsidR="00DF56D6" w:rsidRPr="00273106">
        <w:t>.4 Syntéza prvního averroismu (Albert Veliký)</w:t>
      </w:r>
      <w:bookmarkEnd w:id="76"/>
      <w:bookmarkEnd w:id="77"/>
      <w:bookmarkEnd w:id="78"/>
    </w:p>
    <w:p w14:paraId="59537A47" w14:textId="18FC8B66" w:rsidR="086640CE" w:rsidRDefault="08C90715" w:rsidP="00616B2F">
      <w:r>
        <w:t>Gigantomachie o substanci</w:t>
      </w:r>
      <w:r w:rsidR="08A42A81">
        <w:rPr>
          <w:i/>
        </w:rPr>
        <w:fldChar w:fldCharType="begin"/>
      </w:r>
      <w:r w:rsidR="08A42A81">
        <w:instrText xml:space="preserve"> XE "metafyzika:gigantomachie" </w:instrText>
      </w:r>
      <w:r w:rsidR="08A42A81">
        <w:rPr>
          <w:i/>
        </w:rPr>
        <w:fldChar w:fldCharType="end"/>
      </w:r>
      <w:r>
        <w:t xml:space="preserve"> dostala po roce 1230 nový rozměr a v rámci nových otázek. Vidění světa v jedné nebo druhé škole určovala příslušnost k Platonově nebo Aristotelově metafyzice. </w:t>
      </w:r>
      <w:r w:rsidR="00F3279B" w:rsidRPr="00273106">
        <w:t>Generace mladých filosofů</w:t>
      </w:r>
      <w:r w:rsidR="002B5E44">
        <w:t xml:space="preserve"> jako </w:t>
      </w:r>
      <w:r w:rsidR="00F3279B" w:rsidRPr="00273106">
        <w:t>Roger Bacon a Albert Veliký, kte</w:t>
      </w:r>
      <w:r w:rsidR="008E4AD6">
        <w:t xml:space="preserve">ří začali studovat v Paříži </w:t>
      </w:r>
      <w:r w:rsidR="08FB031C">
        <w:t xml:space="preserve">v letech </w:t>
      </w:r>
      <w:r w:rsidR="008E4AD6">
        <w:t>1235‒40</w:t>
      </w:r>
      <w:r w:rsidR="001D3F04">
        <w:t xml:space="preserve">, musela volit mezi mladými akademickými </w:t>
      </w:r>
      <w:r w:rsidR="00B76CF6">
        <w:t>současníky</w:t>
      </w:r>
      <w:r w:rsidR="00F3279B" w:rsidRPr="00273106">
        <w:t xml:space="preserve"> </w:t>
      </w:r>
      <w:r w:rsidR="001B69C5">
        <w:t xml:space="preserve">z řad </w:t>
      </w:r>
      <w:r w:rsidR="00F3279B" w:rsidRPr="00273106">
        <w:t>druhého averroismu</w:t>
      </w:r>
      <w:r w:rsidR="001D3F04">
        <w:t xml:space="preserve"> (</w:t>
      </w:r>
      <w:r w:rsidR="001D3F04" w:rsidRPr="00B76CF6">
        <w:rPr>
          <w:i/>
        </w:rPr>
        <w:t>Moderni</w:t>
      </w:r>
      <w:r w:rsidR="001D3F04">
        <w:t>)</w:t>
      </w:r>
      <w:r w:rsidR="082C46C2">
        <w:t xml:space="preserve"> </w:t>
      </w:r>
      <w:r w:rsidR="00F3279B" w:rsidRPr="00273106">
        <w:t>jako byl oblíbený Rufus z Cornwallu</w:t>
      </w:r>
      <w:r w:rsidR="001D3F04">
        <w:t xml:space="preserve"> a mezi </w:t>
      </w:r>
      <w:r w:rsidR="00F3279B" w:rsidRPr="00273106">
        <w:t xml:space="preserve">klasiky prvního averroismu, jako byl </w:t>
      </w:r>
      <w:r w:rsidR="001D3F04">
        <w:t xml:space="preserve">úřadující </w:t>
      </w:r>
      <w:r w:rsidR="00F3279B" w:rsidRPr="00273106">
        <w:t xml:space="preserve">pařížský biskup </w:t>
      </w:r>
      <w:r w:rsidR="001D3F04">
        <w:t xml:space="preserve">a univerzitní kancléř </w:t>
      </w:r>
      <w:r w:rsidR="00F3279B" w:rsidRPr="00273106">
        <w:t>Alvernus. Nebo studenti filosofie kolísali někde ve středním proudu avicennovského aristotelismu rep</w:t>
      </w:r>
      <w:r w:rsidR="00CE7F25">
        <w:t>rezentovaného Filipem Kancléřem</w:t>
      </w:r>
      <w:r w:rsidR="08DE3B46">
        <w:t xml:space="preserve"> a</w:t>
      </w:r>
      <w:r w:rsidR="00CE7F25">
        <w:t xml:space="preserve"> </w:t>
      </w:r>
      <w:r w:rsidR="007B44F9">
        <w:t xml:space="preserve">autory </w:t>
      </w:r>
      <w:r w:rsidR="00CE7F25" w:rsidRPr="00CE7F25">
        <w:rPr>
          <w:i/>
        </w:rPr>
        <w:t>Summa Duacensis</w:t>
      </w:r>
      <w:r w:rsidR="008509E4">
        <w:rPr>
          <w:i/>
        </w:rPr>
        <w:fldChar w:fldCharType="begin"/>
      </w:r>
      <w:r w:rsidR="008509E4">
        <w:instrText xml:space="preserve"> XE "</w:instrText>
      </w:r>
      <w:r w:rsidR="008509E4" w:rsidRPr="000E2AD6">
        <w:rPr>
          <w:i/>
        </w:rPr>
        <w:instrText>Summa Duacensis</w:instrText>
      </w:r>
      <w:r w:rsidR="008509E4">
        <w:instrText xml:space="preserve">" </w:instrText>
      </w:r>
      <w:r w:rsidR="008509E4">
        <w:rPr>
          <w:i/>
        </w:rPr>
        <w:fldChar w:fldCharType="end"/>
      </w:r>
      <w:r w:rsidR="085872EF">
        <w:t xml:space="preserve">, </w:t>
      </w:r>
      <w:r w:rsidR="08DE3B46">
        <w:t>nebo</w:t>
      </w:r>
      <w:r w:rsidR="00F3279B" w:rsidRPr="00273106">
        <w:t xml:space="preserve"> františkánskými kompilátory </w:t>
      </w:r>
      <w:r w:rsidR="00F3279B" w:rsidRPr="00273106">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E51806">
        <w:t xml:space="preserve"> jako byl </w:t>
      </w:r>
      <w:r w:rsidR="00E51806" w:rsidRPr="00273106">
        <w:t>Johannes de Rupella</w:t>
      </w:r>
      <w:r w:rsidR="00E51806">
        <w:t xml:space="preserve">. </w:t>
      </w:r>
      <w:r w:rsidR="00B41792">
        <w:t xml:space="preserve">Kvůli </w:t>
      </w:r>
      <w:r w:rsidR="084E4910">
        <w:t>neoplatonskému</w:t>
      </w:r>
      <w:r w:rsidR="00E404D4">
        <w:t xml:space="preserve"> výkladu arist</w:t>
      </w:r>
      <w:r w:rsidR="084E4910">
        <w:t>otelského Korpusu a sofistickému</w:t>
      </w:r>
      <w:r w:rsidR="00E404D4">
        <w:t xml:space="preserve"> pochopení </w:t>
      </w:r>
      <w:r w:rsidR="002E3B62">
        <w:t>Averroes</w:t>
      </w:r>
      <w:r w:rsidR="00E404D4">
        <w:t xml:space="preserve">e </w:t>
      </w:r>
      <w:r w:rsidR="00E404D4" w:rsidRPr="00273106">
        <w:t xml:space="preserve">spadají </w:t>
      </w:r>
      <w:r w:rsidR="084E4910">
        <w:t xml:space="preserve">tito </w:t>
      </w:r>
      <w:r w:rsidR="00E404D4">
        <w:t xml:space="preserve">modernisté </w:t>
      </w:r>
      <w:r w:rsidR="00E404D4" w:rsidRPr="00273106">
        <w:t>do Alvernov</w:t>
      </w:r>
      <w:r w:rsidR="004028DA">
        <w:t xml:space="preserve">y kritiky současníků nazvaných </w:t>
      </w:r>
      <w:r w:rsidR="00E404D4" w:rsidRPr="00273106">
        <w:rPr>
          <w:i/>
        </w:rPr>
        <w:t>s</w:t>
      </w:r>
      <w:r w:rsidR="00E404D4">
        <w:rPr>
          <w:i/>
        </w:rPr>
        <w:t>equaces Aristotelis</w:t>
      </w:r>
      <w:r w:rsidR="00BF7E89">
        <w:rPr>
          <w:i/>
        </w:rPr>
        <w:fldChar w:fldCharType="begin"/>
      </w:r>
      <w:r w:rsidR="00BF7E89">
        <w:instrText xml:space="preserve"> XE "druhý averroismus:</w:instrText>
      </w:r>
      <w:r w:rsidR="00BF7E89" w:rsidRPr="00B81DDF">
        <w:rPr>
          <w:i/>
        </w:rPr>
        <w:instrText>sequaces Aristotelis</w:instrText>
      </w:r>
      <w:r w:rsidR="00BF7E89">
        <w:instrText xml:space="preserve">" </w:instrText>
      </w:r>
      <w:r w:rsidR="00BF7E89">
        <w:rPr>
          <w:i/>
        </w:rPr>
        <w:fldChar w:fldCharType="end"/>
      </w:r>
      <w:r w:rsidR="004028DA">
        <w:t xml:space="preserve"> a </w:t>
      </w:r>
      <w:r w:rsidR="00E404D4" w:rsidRPr="00A663D4">
        <w:rPr>
          <w:i/>
        </w:rPr>
        <w:t>sophistae Latini</w:t>
      </w:r>
      <w:r w:rsidR="00E404D4">
        <w:rPr>
          <w:i/>
        </w:rPr>
        <w:fldChar w:fldCharType="begin"/>
      </w:r>
      <w:r w:rsidR="00E404D4">
        <w:instrText xml:space="preserve"> XE "</w:instrText>
      </w:r>
      <w:r w:rsidR="00BF7E89">
        <w:instrText>druhý averroismus:</w:instrText>
      </w:r>
      <w:r w:rsidR="00E404D4" w:rsidRPr="00EC0AF4">
        <w:rPr>
          <w:i/>
          <w:lang w:eastAsia="en-US"/>
        </w:rPr>
        <w:instrText>sophistae Latini</w:instrText>
      </w:r>
      <w:r w:rsidR="00E404D4">
        <w:instrText xml:space="preserve">" </w:instrText>
      </w:r>
      <w:r w:rsidR="00E404D4">
        <w:rPr>
          <w:i/>
        </w:rPr>
        <w:fldChar w:fldCharType="end"/>
      </w:r>
      <w:r w:rsidR="00705F1B">
        <w:t xml:space="preserve">. Tito </w:t>
      </w:r>
      <w:r w:rsidR="085C0B73">
        <w:t>avicenn</w:t>
      </w:r>
      <w:r w:rsidR="088D49B3">
        <w:t xml:space="preserve">isté </w:t>
      </w:r>
      <w:r w:rsidR="00447F6E" w:rsidRPr="00273106">
        <w:t xml:space="preserve">představují </w:t>
      </w:r>
      <w:r w:rsidR="084E4910">
        <w:t xml:space="preserve">první vlnu </w:t>
      </w:r>
      <w:r w:rsidR="00134332" w:rsidRPr="00273106">
        <w:t>druhého averro</w:t>
      </w:r>
      <w:r w:rsidR="004028DA">
        <w:t xml:space="preserve">ismu </w:t>
      </w:r>
      <w:r w:rsidR="088578BE">
        <w:t xml:space="preserve">částečně definovanou </w:t>
      </w:r>
      <w:r w:rsidR="004028DA">
        <w:t xml:space="preserve">v Gilsonově termínu </w:t>
      </w:r>
      <w:r w:rsidR="00134332" w:rsidRPr="00273106">
        <w:rPr>
          <w:i/>
        </w:rPr>
        <w:t>augustinisme avicennisant</w:t>
      </w:r>
      <w:r w:rsidR="00134332">
        <w:fldChar w:fldCharType="begin"/>
      </w:r>
      <w:r w:rsidR="00134332">
        <w:instrText xml:space="preserve"> XE "druhý averroismus:</w:instrText>
      </w:r>
      <w:r w:rsidR="00134332" w:rsidRPr="00F707A4">
        <w:rPr>
          <w:i/>
        </w:rPr>
        <w:instrText>augustinisme avicennisant</w:instrText>
      </w:r>
      <w:r w:rsidR="00134332">
        <w:instrText xml:space="preserve">" </w:instrText>
      </w:r>
      <w:r w:rsidR="00134332">
        <w:fldChar w:fldCharType="end"/>
      </w:r>
      <w:r w:rsidR="00134332">
        <w:t xml:space="preserve">. </w:t>
      </w:r>
      <w:r w:rsidR="00B41792">
        <w:t xml:space="preserve">Mnozí z nich navíc patřili k porretánským školám v rámci </w:t>
      </w:r>
      <w:r w:rsidR="00134332">
        <w:t xml:space="preserve">zanikajícího myšlení </w:t>
      </w:r>
      <w:r w:rsidR="00B41792">
        <w:rPr>
          <w:i/>
        </w:rPr>
        <w:t>logica Modern</w:t>
      </w:r>
      <w:r w:rsidR="00B41792" w:rsidRPr="00B41792">
        <w:rPr>
          <w:i/>
        </w:rPr>
        <w:t>orum</w:t>
      </w:r>
      <w:r w:rsidR="00B41792">
        <w:t xml:space="preserve"> a </w:t>
      </w:r>
      <w:r w:rsidR="00134332">
        <w:t xml:space="preserve">škol </w:t>
      </w:r>
      <w:r w:rsidR="00B41792" w:rsidRPr="00B41792">
        <w:rPr>
          <w:i/>
        </w:rPr>
        <w:t>Nominales</w:t>
      </w:r>
      <w:r w:rsidR="00B41792">
        <w:t xml:space="preserve">. </w:t>
      </w:r>
      <w:r w:rsidR="006C2A32">
        <w:t xml:space="preserve">Pak patří </w:t>
      </w:r>
      <w:r w:rsidR="00447F6E">
        <w:t xml:space="preserve">také </w:t>
      </w:r>
      <w:r w:rsidR="006C2A32">
        <w:t xml:space="preserve">do skupiny </w:t>
      </w:r>
      <w:r w:rsidR="006C2A32" w:rsidRPr="00B76CF6">
        <w:rPr>
          <w:i/>
        </w:rPr>
        <w:t>Grammatici</w:t>
      </w:r>
      <w:r w:rsidR="006C2A32">
        <w:t xml:space="preserve"> kritizované Alvernem ve stylu Abelardovy a Blundovy školy</w:t>
      </w:r>
      <w:r w:rsidR="004028DA">
        <w:t xml:space="preserve">. Ta </w:t>
      </w:r>
      <w:r w:rsidR="006C2A32">
        <w:t>tvrdila, že mrtvola není člověkem</w:t>
      </w:r>
      <w:r w:rsidR="00EF3C45">
        <w:t xml:space="preserve"> z hlediska impozice, </w:t>
      </w:r>
      <w:r w:rsidR="001E04D8">
        <w:t xml:space="preserve">protože </w:t>
      </w:r>
      <w:r w:rsidR="00EF3C45">
        <w:t>jde o pouhou nominální ekvivokaci významu</w:t>
      </w:r>
      <w:r w:rsidR="006C2A32">
        <w:t xml:space="preserve">. </w:t>
      </w:r>
      <w:r w:rsidR="00CD1347">
        <w:t>Definitivní s</w:t>
      </w:r>
      <w:r w:rsidR="00527996">
        <w:t>loučení a p</w:t>
      </w:r>
      <w:r w:rsidR="00C70B49">
        <w:t xml:space="preserve">řeměna </w:t>
      </w:r>
      <w:r w:rsidR="00527996">
        <w:t xml:space="preserve">škol Gramatiků </w:t>
      </w:r>
      <w:r w:rsidR="08F97540">
        <w:t xml:space="preserve">a moderních sofistů všech odstínů </w:t>
      </w:r>
      <w:r w:rsidR="00C70B49">
        <w:t>proběhne po roce 1250</w:t>
      </w:r>
      <w:r w:rsidR="08F97540">
        <w:t>, kdy po smrti kancléře Alverna začal jejich boj o akademické posty na Pařížské univerzitě</w:t>
      </w:r>
      <w:r w:rsidR="00134332">
        <w:t xml:space="preserve">. </w:t>
      </w:r>
      <w:r w:rsidR="00AE0ABC" w:rsidRPr="00AE0ABC">
        <w:t>Škola modistů (</w:t>
      </w:r>
      <w:r w:rsidR="00AE0ABC" w:rsidRPr="00AE0ABC">
        <w:rPr>
          <w:i/>
        </w:rPr>
        <w:t>Modistae</w:t>
      </w:r>
      <w:r w:rsidR="00AE0ABC">
        <w:fldChar w:fldCharType="begin"/>
      </w:r>
      <w:r w:rsidR="00AE0ABC">
        <w:instrText xml:space="preserve"> XE "první averroismus:</w:instrText>
      </w:r>
      <w:r w:rsidR="00AE0ABC" w:rsidRPr="00290367">
        <w:instrText>Modisté</w:instrText>
      </w:r>
      <w:r w:rsidR="00AE0ABC">
        <w:instrText xml:space="preserve">" </w:instrText>
      </w:r>
      <w:r w:rsidR="00AE0ABC">
        <w:fldChar w:fldCharType="end"/>
      </w:r>
      <w:r w:rsidR="00AE0ABC" w:rsidRPr="00AE0ABC">
        <w:t>) z prvního averroismu zahájila polemiku proti prvním mod</w:t>
      </w:r>
      <w:r w:rsidR="00AE0ABC">
        <w:t>ernistům, kteří převzali všechna</w:t>
      </w:r>
      <w:r w:rsidR="00AE0ABC" w:rsidRPr="00AE0ABC">
        <w:t xml:space="preserve"> sofism</w:t>
      </w:r>
      <w:r w:rsidR="00AE0ABC">
        <w:t>ata</w:t>
      </w:r>
      <w:r w:rsidR="00AE0ABC" w:rsidRPr="00AE0ABC">
        <w:t xml:space="preserve"> vycházející z</w:t>
      </w:r>
      <w:r w:rsidR="00AE0ABC">
        <w:t> </w:t>
      </w:r>
      <w:r w:rsidR="00AE0ABC" w:rsidRPr="00AE0ABC">
        <w:rPr>
          <w:i/>
        </w:rPr>
        <w:t>Oxfordian Fallacy</w:t>
      </w:r>
      <w:r w:rsidR="00AE0ABC" w:rsidRPr="00AE0ABC">
        <w:t>. Škola</w:t>
      </w:r>
      <w:r w:rsidR="00AE0ABC">
        <w:t xml:space="preserve"> prvního averroismu sídlila na a</w:t>
      </w:r>
      <w:r w:rsidR="00AE0ABC" w:rsidRPr="00AE0ABC">
        <w:t>rtistické fakultě světských kněží a m</w:t>
      </w:r>
      <w:r w:rsidR="00AE0ABC">
        <w:t>ag</w:t>
      </w:r>
      <w:r w:rsidR="00AE0ABC" w:rsidRPr="00AE0ABC">
        <w:t>istrů na Rue du Fouarre.</w:t>
      </w:r>
      <w:r w:rsidR="00AE0ABC">
        <w:t xml:space="preserve"> </w:t>
      </w:r>
      <w:r w:rsidR="00CD1347">
        <w:t>A</w:t>
      </w:r>
      <w:r w:rsidR="00134332">
        <w:t xml:space="preserve">kademickou baštou </w:t>
      </w:r>
      <w:r w:rsidR="00CD1347">
        <w:t xml:space="preserve">moderny </w:t>
      </w:r>
      <w:r w:rsidR="00421A17">
        <w:t xml:space="preserve">se stala </w:t>
      </w:r>
      <w:r w:rsidR="00134332">
        <w:t>Bonaventurova škola soustředěná na katedře</w:t>
      </w:r>
      <w:r w:rsidR="00134332" w:rsidRPr="00273106">
        <w:t xml:space="preserve"> mendikantských řádů, která </w:t>
      </w:r>
      <w:r w:rsidR="00134332">
        <w:t xml:space="preserve">vznikla </w:t>
      </w:r>
      <w:r w:rsidR="001F531A">
        <w:t>na Pař</w:t>
      </w:r>
      <w:r w:rsidR="00134332">
        <w:t xml:space="preserve">ížské univerzitě papežskou bulou </w:t>
      </w:r>
      <w:r w:rsidR="00134332" w:rsidRPr="00273106">
        <w:rPr>
          <w:i/>
        </w:rPr>
        <w:t>Quasi lignum vitae</w:t>
      </w:r>
      <w:r w:rsidR="00134332" w:rsidRPr="00273106">
        <w:t xml:space="preserve"> (1255).</w:t>
      </w:r>
      <w:r w:rsidR="00134332">
        <w:t xml:space="preserve"> </w:t>
      </w:r>
      <w:r w:rsidR="08045C57">
        <w:t>Představitelé</w:t>
      </w:r>
      <w:r w:rsidR="08045C57" w:rsidRPr="00273106">
        <w:t xml:space="preserve"> prvního averroismu</w:t>
      </w:r>
      <w:r w:rsidR="08045C57">
        <w:t xml:space="preserve"> ze druhé vlny vzniklé po roce 1240 </w:t>
      </w:r>
      <w:r w:rsidR="08045C57" w:rsidRPr="00273106">
        <w:t xml:space="preserve">ukázali na omyly druhého averroismu ohledně poznání a intelektuálních schopností duše novým výkladem </w:t>
      </w:r>
      <w:r w:rsidR="08045C57">
        <w:rPr>
          <w:i/>
        </w:rPr>
        <w:t>De anima</w:t>
      </w:r>
      <w:r w:rsidR="08045C57" w:rsidRPr="00273106">
        <w:t xml:space="preserve">. </w:t>
      </w:r>
      <w:r w:rsidR="08045C57">
        <w:t>Dále obhájili aristotelský koncept vědy tím, že s</w:t>
      </w:r>
      <w:r w:rsidR="08045C57" w:rsidRPr="00273106">
        <w:t>pojili logiku a signifikaci s pravdivým poznáním první substance</w:t>
      </w:r>
      <w:r w:rsidR="08045C57">
        <w:fldChar w:fldCharType="begin"/>
      </w:r>
      <w:r w:rsidR="08045C57">
        <w:instrText xml:space="preserve"> XE "</w:instrText>
      </w:r>
      <w:r w:rsidR="08045C57" w:rsidRPr="00DE2A32">
        <w:instrText>substance</w:instrText>
      </w:r>
      <w:r w:rsidR="08045C57">
        <w:instrText xml:space="preserve">:první averroismus" </w:instrText>
      </w:r>
      <w:r w:rsidR="08045C57">
        <w:fldChar w:fldCharType="end"/>
      </w:r>
      <w:r w:rsidR="08045C57" w:rsidRPr="00273106">
        <w:t xml:space="preserve"> skrze </w:t>
      </w:r>
      <w:r w:rsidR="08045C57">
        <w:t xml:space="preserve">klasický </w:t>
      </w:r>
      <w:r w:rsidR="08045C57" w:rsidRPr="00273106">
        <w:t xml:space="preserve">výklad </w:t>
      </w:r>
      <w:r w:rsidR="08045C57" w:rsidRPr="006F72F6">
        <w:rPr>
          <w:i/>
        </w:rPr>
        <w:t>Druhých Analytik</w:t>
      </w:r>
      <w:r w:rsidR="08045C57" w:rsidRPr="00273106">
        <w:t>.</w:t>
      </w:r>
      <w:r w:rsidR="08045C57">
        <w:t xml:space="preserve"> Škola </w:t>
      </w:r>
      <w:r w:rsidR="08045C57">
        <w:lastRenderedPageBreak/>
        <w:t xml:space="preserve">prvního averroismu </w:t>
      </w:r>
      <w:r w:rsidR="08045C57" w:rsidRPr="00273106">
        <w:t xml:space="preserve">díky interpretacím </w:t>
      </w:r>
      <w:r w:rsidR="08045C57">
        <w:rPr>
          <w:i/>
        </w:rPr>
        <w:t>De anima</w:t>
      </w:r>
      <w:r w:rsidR="08045C57" w:rsidRPr="00273106">
        <w:t xml:space="preserve"> a </w:t>
      </w:r>
      <w:r w:rsidR="08045C57" w:rsidRPr="006F72F6">
        <w:rPr>
          <w:i/>
        </w:rPr>
        <w:t>Druhých analytik</w:t>
      </w:r>
      <w:r w:rsidR="08045C57" w:rsidRPr="00273106">
        <w:t xml:space="preserve"> </w:t>
      </w:r>
      <w:r w:rsidR="08045C57">
        <w:t>obhájila realistický status jsoucna v modu nasvícení zepředu od první substance</w:t>
      </w:r>
      <w:r w:rsidR="08045C57" w:rsidRPr="00273106">
        <w:t xml:space="preserve">. </w:t>
      </w:r>
      <w:r w:rsidR="08045C57">
        <w:t>Předmět nebo cíl metafyziky (σκωπός</w:t>
      </w:r>
      <w:r w:rsidR="08045C57" w:rsidRPr="00273106">
        <w:t xml:space="preserve">, </w:t>
      </w:r>
      <w:r w:rsidR="08045C57" w:rsidRPr="00273106">
        <w:rPr>
          <w:i/>
        </w:rPr>
        <w:t>ġaraḍ</w:t>
      </w:r>
      <w:r w:rsidR="08045C57">
        <w:t xml:space="preserve">)  hledaný falsafou podle aristotelsky či neoplatonsky vyložené </w:t>
      </w:r>
      <w:r w:rsidR="08045C57" w:rsidRPr="000363C8">
        <w:rPr>
          <w:i/>
        </w:rPr>
        <w:t>Isagoge</w:t>
      </w:r>
      <w:r w:rsidR="08045C57">
        <w:t xml:space="preserve"> našli tito mladí aristotelikové v souladu s výkladem první vědy</w:t>
      </w:r>
      <w:r w:rsidR="00065CCE">
        <w:t xml:space="preserve">. Hledali </w:t>
      </w:r>
      <w:r w:rsidR="08045C57">
        <w:t xml:space="preserve">po vzoru Averroese jednotu jsoucna </w:t>
      </w:r>
      <w:r w:rsidR="00065CCE">
        <w:t>na základě fyzikálního zkoumání</w:t>
      </w:r>
      <w:r w:rsidR="08045C57">
        <w:t xml:space="preserve"> první substance</w:t>
      </w:r>
      <w:r w:rsidR="08045C57">
        <w:fldChar w:fldCharType="begin"/>
      </w:r>
      <w:r w:rsidR="08045C57">
        <w:instrText xml:space="preserve"> XE "</w:instrText>
      </w:r>
      <w:r w:rsidR="08045C57" w:rsidRPr="0091432A">
        <w:instrText>metafyzika:</w:instrText>
      </w:r>
      <w:r w:rsidR="08045C57">
        <w:instrText xml:space="preserve">Averroes" </w:instrText>
      </w:r>
      <w:r w:rsidR="08045C57">
        <w:fldChar w:fldCharType="end"/>
      </w:r>
      <w:r w:rsidR="08045C57">
        <w:t xml:space="preserve">. Ve všech třech klíčových výkladech </w:t>
      </w:r>
      <w:r w:rsidR="00065CCE">
        <w:t xml:space="preserve">aristotelského </w:t>
      </w:r>
      <w:r w:rsidR="08045C57">
        <w:t>Korpusu (</w:t>
      </w:r>
      <w:r w:rsidR="08045C57" w:rsidRPr="000363C8">
        <w:rPr>
          <w:i/>
        </w:rPr>
        <w:t>De anima</w:t>
      </w:r>
      <w:r w:rsidR="08045C57">
        <w:rPr>
          <w:i/>
        </w:rPr>
        <w:t xml:space="preserve"> </w:t>
      </w:r>
      <w:r w:rsidR="08045C57">
        <w:t>‒</w:t>
      </w:r>
      <w:r w:rsidR="08045C57">
        <w:rPr>
          <w:i/>
        </w:rPr>
        <w:t xml:space="preserve"> </w:t>
      </w:r>
      <w:r w:rsidR="08045C57" w:rsidRPr="00CE5F28">
        <w:t>Alvernus</w:t>
      </w:r>
      <w:r w:rsidR="08045C57">
        <w:t xml:space="preserve">, </w:t>
      </w:r>
      <w:r w:rsidR="08045C57" w:rsidRPr="000363C8">
        <w:rPr>
          <w:i/>
        </w:rPr>
        <w:t>Druhé analytiky</w:t>
      </w:r>
      <w:r w:rsidR="08045C57">
        <w:rPr>
          <w:i/>
        </w:rPr>
        <w:t xml:space="preserve"> </w:t>
      </w:r>
      <w:r w:rsidR="08045C57">
        <w:t>‒</w:t>
      </w:r>
      <w:r w:rsidR="08045C57">
        <w:rPr>
          <w:i/>
        </w:rPr>
        <w:t xml:space="preserve"> </w:t>
      </w:r>
      <w:r w:rsidR="08045C57" w:rsidRPr="00CE5F28">
        <w:t>Albert</w:t>
      </w:r>
      <w:r w:rsidR="08045C57">
        <w:t xml:space="preserve">, </w:t>
      </w:r>
      <w:r w:rsidR="08045C57" w:rsidRPr="000363C8">
        <w:rPr>
          <w:i/>
        </w:rPr>
        <w:t>Metafyzika</w:t>
      </w:r>
      <w:r w:rsidR="08045C57">
        <w:rPr>
          <w:i/>
        </w:rPr>
        <w:t xml:space="preserve"> </w:t>
      </w:r>
      <w:r w:rsidR="08045C57">
        <w:t>‒</w:t>
      </w:r>
      <w:r w:rsidR="08045C57">
        <w:rPr>
          <w:i/>
        </w:rPr>
        <w:t xml:space="preserve"> </w:t>
      </w:r>
      <w:r w:rsidR="08045C57" w:rsidRPr="00CE5F28">
        <w:t>Bacon</w:t>
      </w:r>
      <w:r w:rsidR="08045C57">
        <w:t xml:space="preserve">) </w:t>
      </w:r>
      <w:r w:rsidR="08045C57" w:rsidRPr="00273106">
        <w:t xml:space="preserve">se </w:t>
      </w:r>
      <w:r w:rsidR="08045C57">
        <w:t xml:space="preserve">tito brilantní vykladači </w:t>
      </w:r>
      <w:r w:rsidR="08045C57" w:rsidRPr="00273106">
        <w:t>zás</w:t>
      </w:r>
      <w:r w:rsidR="08045C57">
        <w:t>adně shodují s řešením Averroesovy „meta</w:t>
      </w:r>
      <w:r w:rsidR="08045C57">
        <w:noBreakHyphen/>
        <w:t>fyziky“, kterou</w:t>
      </w:r>
      <w:r w:rsidR="08045C57" w:rsidRPr="00273106">
        <w:t xml:space="preserve"> aktivně obhajují proti skupině sofistických současníků</w:t>
      </w:r>
      <w:r w:rsidR="08045C57">
        <w:t xml:space="preserve">. Averroese ale napadá Akvinský, jenž přišel do školy prvního averroismu v Paříži až </w:t>
      </w:r>
      <w:r w:rsidR="08313676">
        <w:t>v následuj</w:t>
      </w:r>
      <w:r w:rsidR="08045C57">
        <w:t>í</w:t>
      </w:r>
      <w:r w:rsidR="08313676">
        <w:t>c</w:t>
      </w:r>
      <w:r w:rsidR="08045C57">
        <w:t>í dekádě (</w:t>
      </w:r>
      <w:r w:rsidR="08313676">
        <w:t xml:space="preserve">asi </w:t>
      </w:r>
      <w:r w:rsidR="08045C57">
        <w:t>1252) a nikdy se zcela nevymanil z vlivu avicennovské metafyziky</w:t>
      </w:r>
      <w:r w:rsidR="08045C57" w:rsidRPr="00273106">
        <w:t>.</w:t>
      </w:r>
    </w:p>
    <w:p w14:paraId="6BDC6C1B" w14:textId="77777777" w:rsidR="003C2B46" w:rsidRDefault="086640CE" w:rsidP="00221596">
      <w:r>
        <w:tab/>
      </w:r>
      <w:r w:rsidR="08CC5F61" w:rsidRPr="00273106">
        <w:rPr>
          <w:lang w:eastAsia="en-US"/>
        </w:rPr>
        <w:t xml:space="preserve">Spojením problematiky poznání v duši a deduktivního postupu vědy začíná </w:t>
      </w:r>
      <w:r w:rsidR="08CC5F61">
        <w:rPr>
          <w:lang w:eastAsia="en-US"/>
        </w:rPr>
        <w:t xml:space="preserve">v letech 1240‒45 v Paříži rozhodující </w:t>
      </w:r>
      <w:r w:rsidR="08CC5F61" w:rsidRPr="00273106">
        <w:rPr>
          <w:lang w:eastAsia="en-US"/>
        </w:rPr>
        <w:t>kolo sporu o substanci, které definitivně rozdělí představitele</w:t>
      </w:r>
      <w:r w:rsidR="08CC5F61">
        <w:rPr>
          <w:lang w:eastAsia="en-US"/>
        </w:rPr>
        <w:t xml:space="preserve"> prvního a druhého averroismu a založí objektivní modernu</w:t>
      </w:r>
      <w:r w:rsidR="08CC5F61" w:rsidRPr="00273106">
        <w:rPr>
          <w:lang w:eastAsia="en-US"/>
        </w:rPr>
        <w:t>.</w:t>
      </w:r>
      <w:r w:rsidR="08CC5F61">
        <w:rPr>
          <w:lang w:eastAsia="en-US"/>
        </w:rPr>
        <w:t xml:space="preserve"> </w:t>
      </w:r>
      <w:r w:rsidR="004C2D6E" w:rsidRPr="00273106">
        <w:t xml:space="preserve">Albert Veliký v magisterském díle </w:t>
      </w:r>
      <w:r w:rsidR="004C2D6E" w:rsidRPr="00273106">
        <w:rPr>
          <w:i/>
        </w:rPr>
        <w:t>De homine</w:t>
      </w:r>
      <w:r w:rsidR="085949D2">
        <w:t xml:space="preserve"> psaném v Paříži okolo roku </w:t>
      </w:r>
      <w:r w:rsidR="004C2D6E" w:rsidRPr="00273106">
        <w:t>1242 završil scholastickou syntézu CMDA v duchu prvního averroismu.</w:t>
      </w:r>
      <w:r w:rsidR="004C2D6E">
        <w:t xml:space="preserve"> </w:t>
      </w:r>
      <w:r w:rsidR="08F94CF0">
        <w:t xml:space="preserve">Tento syntetický </w:t>
      </w:r>
      <w:r w:rsidR="00F3279B" w:rsidRPr="00273106">
        <w:rPr>
          <w:lang w:eastAsia="en-US"/>
        </w:rPr>
        <w:t xml:space="preserve">komentář k </w:t>
      </w:r>
      <w:r w:rsidR="00F3279B">
        <w:rPr>
          <w:i/>
          <w:lang w:eastAsia="en-US"/>
        </w:rPr>
        <w:t>De anima</w:t>
      </w:r>
      <w:r w:rsidR="08F94CF0" w:rsidRPr="08F94CF0">
        <w:rPr>
          <w:lang w:eastAsia="en-US"/>
        </w:rPr>
        <w:t xml:space="preserve"> </w:t>
      </w:r>
      <w:r w:rsidR="08D2295C">
        <w:rPr>
          <w:lang w:eastAsia="en-US"/>
        </w:rPr>
        <w:t xml:space="preserve">vznikal </w:t>
      </w:r>
      <w:r w:rsidR="08F94CF0">
        <w:rPr>
          <w:lang w:eastAsia="en-US"/>
        </w:rPr>
        <w:t xml:space="preserve">během prvního a nejdůležitějšího </w:t>
      </w:r>
      <w:r w:rsidR="00F3279B" w:rsidRPr="00273106">
        <w:rPr>
          <w:lang w:eastAsia="en-US"/>
        </w:rPr>
        <w:t>střet</w:t>
      </w:r>
      <w:r w:rsidR="08F94CF0">
        <w:rPr>
          <w:lang w:eastAsia="en-US"/>
        </w:rPr>
        <w:t>u</w:t>
      </w:r>
      <w:r w:rsidR="00F3279B" w:rsidRPr="00273106">
        <w:rPr>
          <w:lang w:eastAsia="en-US"/>
        </w:rPr>
        <w:t xml:space="preserve"> mezi zastánci prvního ave</w:t>
      </w:r>
      <w:r w:rsidR="00F61DDE">
        <w:rPr>
          <w:lang w:eastAsia="en-US"/>
        </w:rPr>
        <w:t xml:space="preserve">rroismu (Blund, Alvernus, </w:t>
      </w:r>
      <w:r w:rsidR="08D2295C">
        <w:rPr>
          <w:lang w:eastAsia="en-US"/>
        </w:rPr>
        <w:t xml:space="preserve">Albert, </w:t>
      </w:r>
      <w:r w:rsidR="00F61DDE">
        <w:rPr>
          <w:lang w:eastAsia="en-US"/>
        </w:rPr>
        <w:t>Bacon</w:t>
      </w:r>
      <w:r w:rsidR="00F3279B" w:rsidRPr="00273106">
        <w:rPr>
          <w:lang w:eastAsia="en-US"/>
        </w:rPr>
        <w:t xml:space="preserve">) a druhého averroismu (Rufus, </w:t>
      </w:r>
      <w:r w:rsidR="08D2295C">
        <w:rPr>
          <w:lang w:eastAsia="en-US"/>
        </w:rPr>
        <w:t>Bonaventura, Kilwardby</w:t>
      </w:r>
      <w:r w:rsidR="00F3279B" w:rsidRPr="00273106">
        <w:rPr>
          <w:lang w:eastAsia="en-US"/>
        </w:rPr>
        <w:t>).</w:t>
      </w:r>
      <w:r w:rsidR="00CE22BA">
        <w:rPr>
          <w:lang w:eastAsia="en-US"/>
        </w:rPr>
        <w:t xml:space="preserve"> Tuto skupinu </w:t>
      </w:r>
      <w:r w:rsidR="0854647A" w:rsidRPr="0854647A">
        <w:rPr>
          <w:i/>
          <w:lang w:eastAsia="en-US"/>
        </w:rPr>
        <w:t>sophistae Latini</w:t>
      </w:r>
      <w:r w:rsidR="0854647A">
        <w:rPr>
          <w:lang w:eastAsia="en-US"/>
        </w:rPr>
        <w:t xml:space="preserve"> </w:t>
      </w:r>
      <w:r w:rsidR="00CE22BA">
        <w:rPr>
          <w:lang w:eastAsia="en-US"/>
        </w:rPr>
        <w:t xml:space="preserve">formovala </w:t>
      </w:r>
      <w:r w:rsidR="08F94CF0">
        <w:rPr>
          <w:lang w:eastAsia="en-US"/>
        </w:rPr>
        <w:t xml:space="preserve">první </w:t>
      </w:r>
      <w:r w:rsidR="00CE22BA">
        <w:rPr>
          <w:lang w:eastAsia="en-US"/>
        </w:rPr>
        <w:t>generace modernistů, kteří přijali neoplatonský mix Avicenny a Averroese od Toledské školy (Alexander Halský, Filip Kancléř</w:t>
      </w:r>
      <w:r w:rsidR="080773B9">
        <w:rPr>
          <w:lang w:eastAsia="en-US"/>
        </w:rPr>
        <w:t xml:space="preserve">, </w:t>
      </w:r>
      <w:r w:rsidR="081B4120">
        <w:rPr>
          <w:lang w:eastAsia="en-US"/>
        </w:rPr>
        <w:t>Jan z La Rochelle</w:t>
      </w:r>
      <w:r w:rsidR="00CE22BA">
        <w:rPr>
          <w:lang w:eastAsia="en-US"/>
        </w:rPr>
        <w:t>)</w:t>
      </w:r>
      <w:r w:rsidR="08F94CF0">
        <w:t xml:space="preserve">. </w:t>
      </w:r>
      <w:r w:rsidR="08F37730" w:rsidRPr="00273106">
        <w:t xml:space="preserve">Albertovo originální dílo </w:t>
      </w:r>
      <w:r w:rsidR="08F37730" w:rsidRPr="00273106">
        <w:rPr>
          <w:i/>
        </w:rPr>
        <w:t>De homine</w:t>
      </w:r>
      <w:r w:rsidR="08F37730" w:rsidRPr="00273106">
        <w:t xml:space="preserve"> </w:t>
      </w:r>
      <w:r w:rsidR="08F37730">
        <w:t xml:space="preserve">vyvolalo první vážnou </w:t>
      </w:r>
      <w:r w:rsidR="08F37730" w:rsidRPr="00273106">
        <w:t>konfrontaci s představiteli druhé vlny</w:t>
      </w:r>
      <w:r w:rsidR="08F37730">
        <w:t xml:space="preserve"> moderny</w:t>
      </w:r>
      <w:r w:rsidR="08D5796E">
        <w:t xml:space="preserve"> reprezentovanými Kilwardbym a Rufusem </w:t>
      </w:r>
      <w:r w:rsidR="08F37730" w:rsidRPr="00273106">
        <w:t>a otevřelo další matrici sporu o objektivní</w:t>
      </w:r>
      <w:r w:rsidR="08F37730">
        <w:t xml:space="preserve"> pojetí jsoucna</w:t>
      </w:r>
      <w:r w:rsidR="08F37730" w:rsidRPr="00273106">
        <w:t>.</w:t>
      </w:r>
      <w:r w:rsidR="08F37730">
        <w:t xml:space="preserve"> </w:t>
      </w:r>
      <w:r w:rsidR="00767692">
        <w:t xml:space="preserve">Podobná situace střetu mezi prvním a druhým averroismem vládla na Oxfordu, kde první skupinu hájil </w:t>
      </w:r>
      <w:r w:rsidR="00F3279B" w:rsidRPr="00273106">
        <w:t xml:space="preserve">Roger Bacon </w:t>
      </w:r>
      <w:r w:rsidR="00B828B8">
        <w:t xml:space="preserve">proti </w:t>
      </w:r>
      <w:r w:rsidR="00767692">
        <w:t xml:space="preserve">naprosté přesile tamějších </w:t>
      </w:r>
      <w:r w:rsidR="00B828B8">
        <w:t>modernistů</w:t>
      </w:r>
      <w:r w:rsidR="087C7AC9">
        <w:t>, kte</w:t>
      </w:r>
      <w:r w:rsidR="08F94CF0">
        <w:t xml:space="preserve">ří vycházeli z umírněného neoplatonismu Grossetesteho. </w:t>
      </w:r>
      <w:r w:rsidR="000C04AF" w:rsidRPr="00273106">
        <w:t xml:space="preserve">Úvod </w:t>
      </w:r>
      <w:r w:rsidR="000C04AF" w:rsidRPr="00273106">
        <w:rPr>
          <w:lang w:eastAsia="en-US"/>
        </w:rPr>
        <w:t xml:space="preserve">Albertova traktátu </w:t>
      </w:r>
      <w:r w:rsidR="000C04AF" w:rsidRPr="00273106">
        <w:rPr>
          <w:i/>
          <w:lang w:eastAsia="en-US"/>
        </w:rPr>
        <w:t xml:space="preserve">De homine </w:t>
      </w:r>
      <w:r w:rsidR="000C04AF" w:rsidRPr="00273106">
        <w:rPr>
          <w:lang w:eastAsia="en-US"/>
        </w:rPr>
        <w:t xml:space="preserve">je klíčový proto, že spojil problematiku </w:t>
      </w:r>
      <w:r w:rsidR="00B713C5">
        <w:rPr>
          <w:i/>
          <w:lang w:eastAsia="en-US"/>
        </w:rPr>
        <w:t>De anima</w:t>
      </w:r>
      <w:r w:rsidR="000C04AF" w:rsidRPr="00273106">
        <w:rPr>
          <w:lang w:eastAsia="en-US"/>
        </w:rPr>
        <w:t xml:space="preserve"> podle prvního averroismu s </w:t>
      </w:r>
      <w:r w:rsidR="000C04AF" w:rsidRPr="00273106">
        <w:t xml:space="preserve">aristotelským </w:t>
      </w:r>
      <w:r w:rsidR="00847079">
        <w:rPr>
          <w:lang w:eastAsia="en-US"/>
        </w:rPr>
        <w:t xml:space="preserve">výkladem </w:t>
      </w:r>
      <w:r w:rsidR="00847079" w:rsidRPr="00C33C08">
        <w:rPr>
          <w:i/>
          <w:lang w:eastAsia="en-US"/>
        </w:rPr>
        <w:t>Druhých a</w:t>
      </w:r>
      <w:r w:rsidR="000C04AF" w:rsidRPr="00C33C08">
        <w:rPr>
          <w:i/>
          <w:lang w:eastAsia="en-US"/>
        </w:rPr>
        <w:t>nalytik</w:t>
      </w:r>
      <w:r w:rsidR="003E2101">
        <w:rPr>
          <w:lang w:eastAsia="en-US"/>
        </w:rPr>
        <w:t xml:space="preserve">. Tento spis </w:t>
      </w:r>
      <w:r w:rsidR="003E2101" w:rsidRPr="00273106">
        <w:rPr>
          <w:lang w:eastAsia="en-US"/>
        </w:rPr>
        <w:t xml:space="preserve">Grosseteste na Oxfordu </w:t>
      </w:r>
      <w:r w:rsidR="003E2101">
        <w:rPr>
          <w:lang w:eastAsia="en-US"/>
        </w:rPr>
        <w:t>v</w:t>
      </w:r>
      <w:r w:rsidR="000C04AF" w:rsidRPr="00273106">
        <w:rPr>
          <w:lang w:eastAsia="en-US"/>
        </w:rPr>
        <w:t xml:space="preserve">yložil </w:t>
      </w:r>
      <w:r w:rsidR="003E2101">
        <w:rPr>
          <w:lang w:eastAsia="en-US"/>
        </w:rPr>
        <w:t xml:space="preserve">kolem </w:t>
      </w:r>
      <w:r w:rsidR="008947AA">
        <w:rPr>
          <w:lang w:eastAsia="en-US"/>
        </w:rPr>
        <w:t xml:space="preserve">roku </w:t>
      </w:r>
      <w:r w:rsidR="003E2101">
        <w:rPr>
          <w:lang w:eastAsia="en-US"/>
        </w:rPr>
        <w:t xml:space="preserve">1230 </w:t>
      </w:r>
      <w:r w:rsidR="000C04AF" w:rsidRPr="00273106">
        <w:rPr>
          <w:lang w:eastAsia="en-US"/>
        </w:rPr>
        <w:t xml:space="preserve">v duchu </w:t>
      </w:r>
      <w:r w:rsidR="00EC77B0" w:rsidRPr="00273106">
        <w:rPr>
          <w:lang w:eastAsia="en-US"/>
        </w:rPr>
        <w:t xml:space="preserve">začínajícího </w:t>
      </w:r>
      <w:r w:rsidR="000C04AF" w:rsidRPr="00273106">
        <w:rPr>
          <w:lang w:eastAsia="en-US"/>
        </w:rPr>
        <w:t>druhého averroismu</w:t>
      </w:r>
      <w:r w:rsidR="084D321A">
        <w:rPr>
          <w:lang w:eastAsia="en-US"/>
        </w:rPr>
        <w:t xml:space="preserve"> (kap. 3</w:t>
      </w:r>
      <w:r w:rsidR="00BF5E67">
        <w:rPr>
          <w:lang w:eastAsia="en-US"/>
        </w:rPr>
        <w:t xml:space="preserve">.1.1). </w:t>
      </w:r>
      <w:r w:rsidR="08B45CFD">
        <w:rPr>
          <w:lang w:eastAsia="en-US"/>
        </w:rPr>
        <w:t xml:space="preserve">První averroismus obhajuje proti škole druhého averroismu zásadně odlišný výklad vědy podle </w:t>
      </w:r>
      <w:r w:rsidR="08B45CFD" w:rsidRPr="00C33C08">
        <w:rPr>
          <w:i/>
          <w:lang w:eastAsia="en-US"/>
        </w:rPr>
        <w:t>Druhých analytik</w:t>
      </w:r>
      <w:r w:rsidR="08B45CFD">
        <w:rPr>
          <w:lang w:eastAsia="en-US"/>
        </w:rPr>
        <w:t xml:space="preserve"> a odlišné pojetí poznání podle </w:t>
      </w:r>
      <w:r w:rsidR="08B45CFD" w:rsidRPr="00BF5E67">
        <w:rPr>
          <w:i/>
          <w:lang w:eastAsia="en-US"/>
        </w:rPr>
        <w:t>De anima</w:t>
      </w:r>
      <w:r w:rsidR="08B45CFD">
        <w:rPr>
          <w:lang w:eastAsia="en-US"/>
        </w:rPr>
        <w:t xml:space="preserve">. </w:t>
      </w:r>
      <w:r w:rsidR="00BE6954">
        <w:t xml:space="preserve">V této souvislosti je velmi důležitá první zmínka o Albertových studiích v Padově roku 1222. Tato škola práva a artistických nauk byla v této době oficiálně ustavena magistry Boloňské univerzity jako samostatné studium. Předešlá matrice ukázala, že sicilský </w:t>
      </w:r>
      <w:r w:rsidR="00BE6954">
        <w:lastRenderedPageBreak/>
        <w:t>dvůr Friedricha II. (</w:t>
      </w:r>
      <w:r w:rsidR="00BE6954">
        <w:rPr>
          <w:rFonts w:cs="Calibri"/>
        </w:rPr>
        <w:t>†</w:t>
      </w:r>
      <w:r w:rsidR="00BE6954">
        <w:t xml:space="preserve">1250) byl hlavní baštou prvního averroismu pod vedením Michaela Scota. To vysvětluje Albertovu autoritu na Pařížské univerzitě ihned po jeho příchodu okolo roku 1240. Jeho výklad Korpusu byl </w:t>
      </w:r>
      <w:r w:rsidR="000A209F">
        <w:t xml:space="preserve">prováděn </w:t>
      </w:r>
      <w:r w:rsidR="00BE6954">
        <w:t xml:space="preserve">podle Sicilské školy, kterou Pařížská univerzita důkladně poznala díky Scotově působení v Paříži roku 1230. </w:t>
      </w:r>
      <w:r w:rsidR="00BF5E67">
        <w:rPr>
          <w:lang w:eastAsia="en-US"/>
        </w:rPr>
        <w:t xml:space="preserve">Spor mezi prvním a druhým averroismem </w:t>
      </w:r>
      <w:r w:rsidR="08A26641">
        <w:rPr>
          <w:lang w:eastAsia="en-US"/>
        </w:rPr>
        <w:t xml:space="preserve">vede </w:t>
      </w:r>
      <w:r w:rsidR="00F62BF3">
        <w:rPr>
          <w:lang w:eastAsia="en-US"/>
        </w:rPr>
        <w:t>Al</w:t>
      </w:r>
      <w:r w:rsidR="00E7227F">
        <w:rPr>
          <w:lang w:eastAsia="en-US"/>
        </w:rPr>
        <w:t>b</w:t>
      </w:r>
      <w:r w:rsidR="00F62BF3">
        <w:rPr>
          <w:lang w:eastAsia="en-US"/>
        </w:rPr>
        <w:t>e</w:t>
      </w:r>
      <w:r w:rsidR="00E7227F">
        <w:rPr>
          <w:lang w:eastAsia="en-US"/>
        </w:rPr>
        <w:t xml:space="preserve">rt </w:t>
      </w:r>
      <w:r w:rsidR="00BF5E67">
        <w:rPr>
          <w:lang w:eastAsia="en-US"/>
        </w:rPr>
        <w:t xml:space="preserve">v Paříži </w:t>
      </w:r>
      <w:r w:rsidR="08A26641">
        <w:rPr>
          <w:lang w:eastAsia="en-US"/>
        </w:rPr>
        <w:t>v letech 1245‒48</w:t>
      </w:r>
      <w:r w:rsidR="00BF5E67">
        <w:rPr>
          <w:lang w:eastAsia="en-US"/>
        </w:rPr>
        <w:t xml:space="preserve"> </w:t>
      </w:r>
      <w:r w:rsidR="00E7227F">
        <w:rPr>
          <w:lang w:eastAsia="en-US"/>
        </w:rPr>
        <w:t xml:space="preserve">a </w:t>
      </w:r>
      <w:r w:rsidR="08B45CFD">
        <w:rPr>
          <w:lang w:eastAsia="en-US"/>
        </w:rPr>
        <w:t xml:space="preserve">tím </w:t>
      </w:r>
      <w:r w:rsidR="004705E2">
        <w:rPr>
          <w:lang w:eastAsia="en-US"/>
        </w:rPr>
        <w:t xml:space="preserve">navazuje na spor Blundovy školy s </w:t>
      </w:r>
      <w:r w:rsidR="00E7227F">
        <w:rPr>
          <w:lang w:eastAsia="en-US"/>
        </w:rPr>
        <w:t xml:space="preserve">aristotelskými </w:t>
      </w:r>
      <w:r w:rsidR="08416FEC">
        <w:rPr>
          <w:lang w:eastAsia="en-US"/>
        </w:rPr>
        <w:t>avicennisty</w:t>
      </w:r>
      <w:r w:rsidR="004705E2">
        <w:rPr>
          <w:lang w:eastAsia="en-US"/>
        </w:rPr>
        <w:t xml:space="preserve">. </w:t>
      </w:r>
      <w:r w:rsidR="08B45CFD">
        <w:t xml:space="preserve">Všem tehdejším artistům bylo jasné, že Albert se spisem </w:t>
      </w:r>
      <w:r w:rsidR="08B45CFD" w:rsidRPr="00DB4FDC">
        <w:rPr>
          <w:i/>
        </w:rPr>
        <w:t>De homine</w:t>
      </w:r>
      <w:r w:rsidR="08B45CFD">
        <w:t xml:space="preserve"> (kolem 1242) přihlásil k linii biskupa Alverna proti </w:t>
      </w:r>
      <w:r w:rsidR="00DA7F7B">
        <w:t>latinským sofistům sdruženým v avicennistických školách</w:t>
      </w:r>
      <w:r w:rsidR="08B45CFD">
        <w:t xml:space="preserve"> </w:t>
      </w:r>
      <w:r w:rsidR="08B45CFD" w:rsidRPr="08B45CFD">
        <w:rPr>
          <w:i/>
        </w:rPr>
        <w:t>sequaces Aristotelis</w:t>
      </w:r>
      <w:r w:rsidR="08B45CFD" w:rsidRPr="0097124E">
        <w:t>.</w:t>
      </w:r>
      <w:r w:rsidR="08A87B9E">
        <w:t xml:space="preserve"> </w:t>
      </w:r>
      <w:r w:rsidR="085A0470">
        <w:t xml:space="preserve">Bacon píše stejně jako Albert komentář </w:t>
      </w:r>
      <w:r w:rsidR="085A0470">
        <w:rPr>
          <w:i/>
        </w:rPr>
        <w:t>ad</w:t>
      </w:r>
      <w:r w:rsidR="085A0470" w:rsidRPr="085E42C6">
        <w:rPr>
          <w:i/>
        </w:rPr>
        <w:t xml:space="preserve"> mentem Averrois</w:t>
      </w:r>
      <w:r w:rsidR="085A0470">
        <w:t xml:space="preserve"> podle Sicilské školy k jednotlivým knihám </w:t>
      </w:r>
      <w:r w:rsidR="085A0470" w:rsidRPr="0097523B">
        <w:rPr>
          <w:i/>
        </w:rPr>
        <w:t>Metafyziky</w:t>
      </w:r>
      <w:r w:rsidR="085A0470">
        <w:t xml:space="preserve"> dokončený ještě v Paříži (asi 1245)</w:t>
      </w:r>
      <w:r w:rsidR="085A0470" w:rsidRPr="00273106">
        <w:t>.</w:t>
      </w:r>
      <w:r w:rsidR="085A0470">
        <w:t xml:space="preserve"> </w:t>
      </w:r>
      <w:r w:rsidR="08A87B9E">
        <w:t xml:space="preserve">Další kolo sporu mezi oběma školami začalo po smrti biskupa Alverna. </w:t>
      </w:r>
      <w:r w:rsidR="08280034">
        <w:t>H</w:t>
      </w:r>
      <w:r w:rsidR="08701EEA">
        <w:rPr>
          <w:lang w:eastAsia="en-US"/>
        </w:rPr>
        <w:t xml:space="preserve">lavní </w:t>
      </w:r>
      <w:r w:rsidR="08A37282">
        <w:rPr>
          <w:lang w:eastAsia="en-US"/>
        </w:rPr>
        <w:t xml:space="preserve">Albertovy </w:t>
      </w:r>
      <w:r w:rsidR="08701EEA" w:rsidRPr="00273106">
        <w:rPr>
          <w:lang w:eastAsia="en-US"/>
        </w:rPr>
        <w:t xml:space="preserve">komentáře </w:t>
      </w:r>
      <w:r w:rsidR="08280034">
        <w:rPr>
          <w:lang w:eastAsia="en-US"/>
        </w:rPr>
        <w:t xml:space="preserve">Korpusu </w:t>
      </w:r>
      <w:r w:rsidR="08701EEA" w:rsidRPr="00273106">
        <w:rPr>
          <w:lang w:eastAsia="en-US"/>
        </w:rPr>
        <w:t>o povaze duše a intelektu (</w:t>
      </w:r>
      <w:r w:rsidR="08701EEA" w:rsidRPr="00273106">
        <w:rPr>
          <w:i/>
          <w:lang w:eastAsia="en-US"/>
        </w:rPr>
        <w:t>De anima</w:t>
      </w:r>
      <w:r w:rsidR="08701EEA" w:rsidRPr="00273106">
        <w:rPr>
          <w:lang w:eastAsia="en-US"/>
        </w:rPr>
        <w:t xml:space="preserve">, </w:t>
      </w:r>
      <w:r w:rsidR="08701EEA" w:rsidRPr="00273106">
        <w:rPr>
          <w:i/>
          <w:lang w:eastAsia="en-US"/>
        </w:rPr>
        <w:t>De intellectu et intelligibili</w:t>
      </w:r>
      <w:r w:rsidR="08701EEA" w:rsidRPr="00273106">
        <w:rPr>
          <w:lang w:eastAsia="en-US"/>
        </w:rPr>
        <w:t xml:space="preserve">, </w:t>
      </w:r>
      <w:r w:rsidR="08701EEA" w:rsidRPr="00273106">
        <w:rPr>
          <w:i/>
          <w:lang w:eastAsia="en-US"/>
        </w:rPr>
        <w:t>De unitate intellectus</w:t>
      </w:r>
      <w:r w:rsidR="08701EEA" w:rsidRPr="00273106">
        <w:rPr>
          <w:lang w:eastAsia="en-US"/>
        </w:rPr>
        <w:t xml:space="preserve">) vznikají </w:t>
      </w:r>
      <w:r w:rsidR="08280034">
        <w:rPr>
          <w:lang w:eastAsia="en-US"/>
        </w:rPr>
        <w:t xml:space="preserve">již v Kolíně. V tomto </w:t>
      </w:r>
      <w:r w:rsidR="08701EEA" w:rsidRPr="00273106">
        <w:rPr>
          <w:lang w:eastAsia="en-US"/>
        </w:rPr>
        <w:t>období</w:t>
      </w:r>
      <w:r w:rsidR="08280034">
        <w:rPr>
          <w:lang w:eastAsia="en-US"/>
        </w:rPr>
        <w:t xml:space="preserve"> Albert </w:t>
      </w:r>
      <w:r w:rsidR="080C397F">
        <w:rPr>
          <w:lang w:eastAsia="en-US"/>
        </w:rPr>
        <w:t xml:space="preserve">také </w:t>
      </w:r>
      <w:r w:rsidR="08701EEA" w:rsidRPr="00273106">
        <w:rPr>
          <w:lang w:eastAsia="en-US"/>
        </w:rPr>
        <w:t>píše komentáře k logickým spisům</w:t>
      </w:r>
      <w:r w:rsidR="08701EEA" w:rsidRPr="00273106">
        <w:t xml:space="preserve">, zejména k </w:t>
      </w:r>
      <w:r w:rsidR="08701EEA" w:rsidRPr="00A32B1E">
        <w:rPr>
          <w:i/>
        </w:rPr>
        <w:t>Prvním</w:t>
      </w:r>
      <w:r w:rsidR="08701EEA" w:rsidRPr="00273106">
        <w:t xml:space="preserve"> a ke </w:t>
      </w:r>
      <w:r w:rsidR="08701EEA" w:rsidRPr="00A32B1E">
        <w:rPr>
          <w:i/>
        </w:rPr>
        <w:t>Druhým Analytikám</w:t>
      </w:r>
      <w:r w:rsidR="08701EEA" w:rsidRPr="00273106">
        <w:t xml:space="preserve"> a k </w:t>
      </w:r>
      <w:r w:rsidR="08701EEA" w:rsidRPr="00273106">
        <w:rPr>
          <w:i/>
        </w:rPr>
        <w:t>De Interpretatione</w:t>
      </w:r>
      <w:r w:rsidR="08701EEA" w:rsidRPr="00273106">
        <w:t xml:space="preserve"> (1254‒56).</w:t>
      </w:r>
      <w:r w:rsidR="08701EEA">
        <w:t xml:space="preserve"> </w:t>
      </w:r>
      <w:r w:rsidR="080C397F">
        <w:t xml:space="preserve">Tím </w:t>
      </w:r>
      <w:r w:rsidR="005F2628">
        <w:t>uzavřel celoživotní závazek</w:t>
      </w:r>
      <w:r w:rsidR="080C397F">
        <w:t>, že nezkresleně podá výkl</w:t>
      </w:r>
      <w:r w:rsidR="003C2B46">
        <w:t>ad hlavních Aristotelových děl.</w:t>
      </w:r>
    </w:p>
    <w:p w14:paraId="7286D16D" w14:textId="69BF3C0A" w:rsidR="003D1279" w:rsidRPr="00273106" w:rsidRDefault="001E05C6" w:rsidP="003C2B46">
      <w:pPr>
        <w:ind w:firstLine="397"/>
        <w:rPr>
          <w:lang w:eastAsia="en-US"/>
        </w:rPr>
      </w:pPr>
      <w:r>
        <w:t xml:space="preserve">Hermeneutika </w:t>
      </w:r>
      <w:r w:rsidR="007309B4">
        <w:t xml:space="preserve">hledá odpověď na </w:t>
      </w:r>
      <w:r w:rsidR="000744A6" w:rsidRPr="00273106">
        <w:t xml:space="preserve">dvě </w:t>
      </w:r>
      <w:r w:rsidR="08594DB9">
        <w:t xml:space="preserve">hlavní otázky, které ukazují </w:t>
      </w:r>
      <w:r w:rsidR="000744A6" w:rsidRPr="00273106">
        <w:t xml:space="preserve">smysl Albertových filosofických zápasů během pařížského období a po něm. V jakých bodech a jak obhajuje spis </w:t>
      </w:r>
      <w:r w:rsidR="000744A6" w:rsidRPr="00273106">
        <w:rPr>
          <w:i/>
        </w:rPr>
        <w:t>De homine</w:t>
      </w:r>
      <w:r w:rsidR="000744A6" w:rsidRPr="00273106">
        <w:t xml:space="preserve"> hlavní teze prvního averroismu? Jak pozdější </w:t>
      </w:r>
      <w:r w:rsidR="00837E7A">
        <w:t xml:space="preserve">Albertovy </w:t>
      </w:r>
      <w:r w:rsidR="000744A6" w:rsidRPr="00273106">
        <w:t xml:space="preserve">komentáře k </w:t>
      </w:r>
      <w:r w:rsidR="00B713C5">
        <w:rPr>
          <w:i/>
        </w:rPr>
        <w:t>De anima</w:t>
      </w:r>
      <w:r w:rsidR="000744A6" w:rsidRPr="00273106">
        <w:t xml:space="preserve"> a spisy ohledně intelektu z let 1254‒57 rozšiřují primární nauku </w:t>
      </w:r>
      <w:r w:rsidR="00D60FEB">
        <w:t xml:space="preserve">o jednotě osoby </w:t>
      </w:r>
      <w:r w:rsidR="000744A6" w:rsidRPr="00273106">
        <w:t xml:space="preserve">podanou v </w:t>
      </w:r>
      <w:r w:rsidR="000744A6" w:rsidRPr="00273106">
        <w:rPr>
          <w:i/>
        </w:rPr>
        <w:t>De homine</w:t>
      </w:r>
      <w:r w:rsidR="000744A6" w:rsidRPr="00273106">
        <w:t xml:space="preserve">? </w:t>
      </w:r>
      <w:r w:rsidR="00EE2D8E" w:rsidRPr="00273106">
        <w:t>Polemika</w:t>
      </w:r>
      <w:r w:rsidR="000744A6" w:rsidRPr="00273106">
        <w:t xml:space="preserve"> kolínského dominik</w:t>
      </w:r>
      <w:r w:rsidR="00EE2D8E" w:rsidRPr="00273106">
        <w:t xml:space="preserve">ána s jeho tehdejšími oponenty </w:t>
      </w:r>
      <w:r w:rsidR="00CF0A6C">
        <w:t>vyjasnila</w:t>
      </w:r>
      <w:r w:rsidR="000744A6" w:rsidRPr="00273106">
        <w:t xml:space="preserve"> nauku </w:t>
      </w:r>
      <w:r w:rsidR="00C809CD" w:rsidRPr="00273106">
        <w:t>prvního averroismu v letech 1240</w:t>
      </w:r>
      <w:r w:rsidR="000744A6" w:rsidRPr="00273106">
        <w:t>‒55</w:t>
      </w:r>
      <w:r w:rsidR="00D35B61">
        <w:t>, což představuje klíčové období první fáze vzniku objektivity</w:t>
      </w:r>
      <w:r w:rsidR="000744A6" w:rsidRPr="00273106">
        <w:t>.</w:t>
      </w:r>
      <w:r w:rsidR="00D35B61">
        <w:t xml:space="preserve"> </w:t>
      </w:r>
      <w:r w:rsidR="000744A6" w:rsidRPr="00273106">
        <w:t xml:space="preserve">První část </w:t>
      </w:r>
      <w:r w:rsidR="000744A6" w:rsidRPr="00273106">
        <w:rPr>
          <w:i/>
        </w:rPr>
        <w:t>De homine</w:t>
      </w:r>
      <w:r w:rsidR="000744A6" w:rsidRPr="00273106">
        <w:t xml:space="preserve"> v návaznosti na Albertův pozdější výklad </w:t>
      </w:r>
      <w:r w:rsidR="000744A6" w:rsidRPr="00837E7A">
        <w:rPr>
          <w:i/>
        </w:rPr>
        <w:t>Druhých analytik</w:t>
      </w:r>
      <w:r w:rsidR="00837E7A">
        <w:rPr>
          <w:i/>
        </w:rPr>
        <w:t xml:space="preserve"> </w:t>
      </w:r>
      <w:r w:rsidR="00837E7A" w:rsidRPr="00837E7A">
        <w:t>jasně ukazuje</w:t>
      </w:r>
      <w:r w:rsidR="000744A6" w:rsidRPr="00837E7A">
        <w:t xml:space="preserve">, </w:t>
      </w:r>
      <w:r w:rsidR="000744A6" w:rsidRPr="00273106">
        <w:t xml:space="preserve">že </w:t>
      </w:r>
      <w:r w:rsidR="002669C4">
        <w:t xml:space="preserve">jím </w:t>
      </w:r>
      <w:r w:rsidR="000744A6" w:rsidRPr="00273106">
        <w:t xml:space="preserve">kritizovaní </w:t>
      </w:r>
      <w:r w:rsidR="002154DF">
        <w:t xml:space="preserve">filosofové zvaní </w:t>
      </w:r>
      <w:r w:rsidR="000744A6" w:rsidRPr="00273106">
        <w:rPr>
          <w:i/>
        </w:rPr>
        <w:t>Latini</w:t>
      </w:r>
      <w:r w:rsidR="000744A6" w:rsidRPr="00273106">
        <w:t xml:space="preserve"> byli zastánci druhého averroismu, kteří kolem 1250 předložili první koncept objektivity. Bacon na Oxfordu </w:t>
      </w:r>
      <w:r w:rsidR="002D2A9D">
        <w:t xml:space="preserve">ve stejné době </w:t>
      </w:r>
      <w:r w:rsidR="000744A6" w:rsidRPr="00273106">
        <w:t xml:space="preserve">komentuje </w:t>
      </w:r>
      <w:r w:rsidR="00D83AAC">
        <w:t>Aristotelo</w:t>
      </w:r>
      <w:r w:rsidR="000744A6" w:rsidRPr="00273106">
        <w:t>v</w:t>
      </w:r>
      <w:r w:rsidR="00D83AAC">
        <w:t>y</w:t>
      </w:r>
      <w:r w:rsidR="000744A6" w:rsidRPr="00273106">
        <w:t xml:space="preserve"> spis</w:t>
      </w:r>
      <w:r w:rsidR="00D83AAC">
        <w:t>y</w:t>
      </w:r>
      <w:r w:rsidR="000744A6" w:rsidRPr="00273106">
        <w:t xml:space="preserve"> p</w:t>
      </w:r>
      <w:r w:rsidR="00837E7A">
        <w:t xml:space="preserve">odobně jako Albert a odděluje </w:t>
      </w:r>
      <w:r w:rsidR="00EA074B">
        <w:t xml:space="preserve">se </w:t>
      </w:r>
      <w:r w:rsidR="00837E7A">
        <w:t>od</w:t>
      </w:r>
      <w:r w:rsidR="000744A6" w:rsidRPr="00273106">
        <w:t xml:space="preserve"> </w:t>
      </w:r>
      <w:r w:rsidR="00EA074B">
        <w:t xml:space="preserve">sofistických </w:t>
      </w:r>
      <w:r w:rsidR="009D0A3C">
        <w:t>nauk o</w:t>
      </w:r>
      <w:r w:rsidR="000744A6" w:rsidRPr="00273106">
        <w:t>xfordských kolegů jako byl Rufus</w:t>
      </w:r>
      <w:r w:rsidR="081F19CF">
        <w:t xml:space="preserve"> z Cornwallu (kap. 3</w:t>
      </w:r>
      <w:r w:rsidR="00654D60">
        <w:t xml:space="preserve">.2). </w:t>
      </w:r>
      <w:r w:rsidR="003965D3">
        <w:t>Tito p</w:t>
      </w:r>
      <w:r w:rsidR="000744A6" w:rsidRPr="00273106">
        <w:t xml:space="preserve">ředstavitelé </w:t>
      </w:r>
      <w:r w:rsidR="00654D60">
        <w:t xml:space="preserve">druhého averroismu </w:t>
      </w:r>
      <w:r w:rsidR="000744A6" w:rsidRPr="00273106">
        <w:t>se snažili obhájit avicennovsky pojatou vědu postaveno</w:t>
      </w:r>
      <w:r w:rsidR="003D1279" w:rsidRPr="00273106">
        <w:t>u mimo realitu první substance</w:t>
      </w:r>
      <w:r w:rsidR="000326BF">
        <w:t xml:space="preserve"> a mimo jednotu osoby</w:t>
      </w:r>
      <w:r w:rsidR="00A70FA4">
        <w:fldChar w:fldCharType="begin"/>
      </w:r>
      <w:r w:rsidR="00A70FA4">
        <w:instrText xml:space="preserve"> XE "</w:instrText>
      </w:r>
      <w:r w:rsidR="00A70FA4" w:rsidRPr="00DE2A32">
        <w:instrText>substance</w:instrText>
      </w:r>
      <w:r w:rsidR="00F561FE">
        <w:instrText>:druhý averroi</w:instrText>
      </w:r>
      <w:r w:rsidR="0099360B">
        <w:instrText>s</w:instrText>
      </w:r>
      <w:r w:rsidR="00F561FE">
        <w:instrText>mus</w:instrText>
      </w:r>
      <w:r w:rsidR="00A70FA4">
        <w:instrText xml:space="preserve">" </w:instrText>
      </w:r>
      <w:r w:rsidR="00A70FA4">
        <w:fldChar w:fldCharType="end"/>
      </w:r>
      <w:r w:rsidR="080D1EFB">
        <w:t xml:space="preserve">. Tuto nauku </w:t>
      </w:r>
      <w:r w:rsidR="00554CD4">
        <w:t xml:space="preserve">zásadně </w:t>
      </w:r>
      <w:r w:rsidR="00837E7A">
        <w:t>odmítl Alvernus</w:t>
      </w:r>
      <w:r w:rsidR="080D1EFB">
        <w:t xml:space="preserve">, který držel zakladatelké charisma a </w:t>
      </w:r>
      <w:r w:rsidR="080D1EFB" w:rsidRPr="080D1EFB">
        <w:rPr>
          <w:i/>
        </w:rPr>
        <w:t>genius loci</w:t>
      </w:r>
      <w:r w:rsidR="080D1EFB">
        <w:t xml:space="preserve"> tehdy založené papežské autority Pařížské univerzity platné pro celý křesťanský Západ</w:t>
      </w:r>
      <w:r w:rsidR="00837E7A">
        <w:t>. Albert a Bacon vedou v jiných podmínká</w:t>
      </w:r>
      <w:r w:rsidR="00B426C0">
        <w:t>c</w:t>
      </w:r>
      <w:r w:rsidR="00837E7A">
        <w:t>h ste</w:t>
      </w:r>
      <w:r w:rsidR="00B426C0">
        <w:t>j</w:t>
      </w:r>
      <w:r w:rsidR="00837E7A">
        <w:t>ný zápa</w:t>
      </w:r>
      <w:r w:rsidR="00B426C0">
        <w:t>s</w:t>
      </w:r>
      <w:r w:rsidR="00837E7A">
        <w:t xml:space="preserve"> proti další generaci </w:t>
      </w:r>
      <w:r w:rsidR="00B426C0">
        <w:t xml:space="preserve">myslitelů ze školy </w:t>
      </w:r>
      <w:r w:rsidR="00837E7A">
        <w:t>druhého averroi</w:t>
      </w:r>
      <w:r w:rsidR="00B426C0">
        <w:t>s</w:t>
      </w:r>
      <w:r w:rsidR="00837E7A">
        <w:t>mu</w:t>
      </w:r>
      <w:r w:rsidR="08F959DE">
        <w:t xml:space="preserve">. Mendikantská skupina </w:t>
      </w:r>
      <w:r w:rsidR="08F959DE">
        <w:lastRenderedPageBreak/>
        <w:t xml:space="preserve">modernistů </w:t>
      </w:r>
      <w:r w:rsidR="00C9507C">
        <w:t xml:space="preserve">získala v Paříži </w:t>
      </w:r>
      <w:r w:rsidR="00837E7A">
        <w:t>a především v Oxfordu pevné akademické zázemí</w:t>
      </w:r>
      <w:r w:rsidR="080140E9">
        <w:t xml:space="preserve">. </w:t>
      </w:r>
      <w:r w:rsidR="0841025A">
        <w:t xml:space="preserve">Sofističtí mendikanti </w:t>
      </w:r>
      <w:r w:rsidR="080140E9">
        <w:t>se mohli</w:t>
      </w:r>
      <w:r w:rsidR="00837E7A">
        <w:t xml:space="preserve"> opřít o silné mocenské pozice v církevních úřadech</w:t>
      </w:r>
      <w:r w:rsidR="08005A10">
        <w:t xml:space="preserve"> včetně </w:t>
      </w:r>
      <w:r w:rsidR="08346992">
        <w:t xml:space="preserve">papežské </w:t>
      </w:r>
      <w:r w:rsidR="08F959DE">
        <w:t>přízně</w:t>
      </w:r>
      <w:r w:rsidR="08A02B34">
        <w:t xml:space="preserve">, která jim přišla </w:t>
      </w:r>
      <w:r w:rsidR="00342322">
        <w:t xml:space="preserve">„filosoficky“ </w:t>
      </w:r>
      <w:r w:rsidR="080140E9">
        <w:t>na pomoc</w:t>
      </w:r>
      <w:r w:rsidR="08A02B34">
        <w:t xml:space="preserve"> v kritickém roku 1255</w:t>
      </w:r>
      <w:r w:rsidR="000B7E4E">
        <w:t xml:space="preserve"> a pak ještě jednou v roce 1277</w:t>
      </w:r>
      <w:r w:rsidR="00837E7A">
        <w:t>.</w:t>
      </w:r>
    </w:p>
    <w:p w14:paraId="391D486C" w14:textId="5E80DD01" w:rsidR="002C4007" w:rsidRPr="00273106" w:rsidRDefault="00C51568" w:rsidP="086C1F19">
      <w:pPr>
        <w:pStyle w:val="Nadpis3"/>
      </w:pPr>
      <w:bookmarkStart w:id="79" w:name="_Toc487234307"/>
      <w:bookmarkStart w:id="80" w:name="_Toc12558314"/>
      <w:r>
        <w:rPr>
          <w:lang w:val="cs-CZ"/>
        </w:rPr>
        <w:br w:type="page"/>
      </w:r>
      <w:bookmarkStart w:id="81" w:name="_Toc160449326"/>
      <w:r w:rsidR="08D20D28">
        <w:rPr>
          <w:lang w:val="cs-CZ"/>
        </w:rPr>
        <w:lastRenderedPageBreak/>
        <w:t>2</w:t>
      </w:r>
      <w:r w:rsidR="002C4007" w:rsidRPr="00273106">
        <w:t>.4.1 Dvojí pojetí vědy a duše</w:t>
      </w:r>
      <w:bookmarkEnd w:id="79"/>
      <w:bookmarkEnd w:id="80"/>
      <w:bookmarkEnd w:id="81"/>
      <w:r w:rsidR="002C4007" w:rsidRPr="00273106">
        <w:t xml:space="preserve"> </w:t>
      </w:r>
    </w:p>
    <w:p w14:paraId="522CE01A" w14:textId="73A9330E" w:rsidR="00AA454C" w:rsidRDefault="00A6077E" w:rsidP="08C96805">
      <w:r>
        <w:rPr>
          <w:lang w:eastAsia="en-US"/>
        </w:rPr>
        <w:t>P</w:t>
      </w:r>
      <w:r w:rsidR="00221596" w:rsidRPr="00273106">
        <w:rPr>
          <w:lang w:eastAsia="en-US"/>
        </w:rPr>
        <w:t xml:space="preserve">rvní </w:t>
      </w:r>
      <w:r w:rsidR="000F4D29">
        <w:rPr>
          <w:lang w:eastAsia="en-US"/>
        </w:rPr>
        <w:t xml:space="preserve">a </w:t>
      </w:r>
      <w:r w:rsidR="080D6C7A">
        <w:rPr>
          <w:lang w:eastAsia="en-US"/>
        </w:rPr>
        <w:t xml:space="preserve">proto </w:t>
      </w:r>
      <w:r w:rsidR="000F4D29">
        <w:rPr>
          <w:lang w:eastAsia="en-US"/>
        </w:rPr>
        <w:t xml:space="preserve">nejdůležitější </w:t>
      </w:r>
      <w:r w:rsidR="00762449">
        <w:rPr>
          <w:lang w:eastAsia="en-US"/>
        </w:rPr>
        <w:t xml:space="preserve">otázka </w:t>
      </w:r>
      <w:r w:rsidR="00221596" w:rsidRPr="00273106">
        <w:rPr>
          <w:lang w:eastAsia="en-US"/>
        </w:rPr>
        <w:t xml:space="preserve">v </w:t>
      </w:r>
      <w:r w:rsidR="00001982" w:rsidRPr="00273106">
        <w:rPr>
          <w:lang w:eastAsia="en-US"/>
        </w:rPr>
        <w:t xml:space="preserve">Albertově </w:t>
      </w:r>
      <w:r w:rsidR="00221596" w:rsidRPr="00273106">
        <w:rPr>
          <w:lang w:eastAsia="en-US"/>
        </w:rPr>
        <w:t xml:space="preserve">traktátu </w:t>
      </w:r>
      <w:r w:rsidR="00221596" w:rsidRPr="00273106">
        <w:rPr>
          <w:i/>
          <w:lang w:eastAsia="en-US"/>
        </w:rPr>
        <w:t>De homine</w:t>
      </w:r>
      <w:r w:rsidR="00221596" w:rsidRPr="00273106">
        <w:rPr>
          <w:lang w:eastAsia="en-US"/>
        </w:rPr>
        <w:t xml:space="preserve"> (q.</w:t>
      </w:r>
      <w:r w:rsidR="005D3D4F" w:rsidRPr="00273106">
        <w:rPr>
          <w:lang w:eastAsia="en-US"/>
        </w:rPr>
        <w:t xml:space="preserve"> </w:t>
      </w:r>
      <w:r w:rsidR="00221596" w:rsidRPr="00273106">
        <w:rPr>
          <w:lang w:eastAsia="en-US"/>
        </w:rPr>
        <w:t>1, a.</w:t>
      </w:r>
      <w:r w:rsidR="005D3D4F" w:rsidRPr="00273106">
        <w:rPr>
          <w:lang w:eastAsia="en-US"/>
        </w:rPr>
        <w:t xml:space="preserve"> </w:t>
      </w:r>
      <w:r w:rsidR="00221596" w:rsidRPr="00273106">
        <w:rPr>
          <w:lang w:eastAsia="en-US"/>
        </w:rPr>
        <w:t xml:space="preserve">1, </w:t>
      </w:r>
      <w:r w:rsidR="00221596" w:rsidRPr="00273106">
        <w:rPr>
          <w:i/>
          <w:lang w:eastAsia="en-US"/>
        </w:rPr>
        <w:t>solutio</w:t>
      </w:r>
      <w:r w:rsidR="00221596" w:rsidRPr="00273106">
        <w:rPr>
          <w:lang w:eastAsia="en-US"/>
        </w:rPr>
        <w:t xml:space="preserve">) řeší </w:t>
      </w:r>
      <w:r w:rsidR="00762449">
        <w:rPr>
          <w:lang w:eastAsia="en-US"/>
        </w:rPr>
        <w:t xml:space="preserve">základní metodologický přístup ohledně </w:t>
      </w:r>
      <w:r w:rsidR="00221596" w:rsidRPr="00273106">
        <w:rPr>
          <w:lang w:eastAsia="en-US"/>
        </w:rPr>
        <w:t xml:space="preserve">zkoumání </w:t>
      </w:r>
      <w:r w:rsidR="005A3495">
        <w:rPr>
          <w:lang w:eastAsia="en-US"/>
        </w:rPr>
        <w:t xml:space="preserve">lidské </w:t>
      </w:r>
      <w:r w:rsidR="00221596" w:rsidRPr="00273106">
        <w:rPr>
          <w:lang w:eastAsia="en-US"/>
        </w:rPr>
        <w:t>duše.</w:t>
      </w:r>
      <w:r w:rsidR="08594DB9">
        <w:rPr>
          <w:rStyle w:val="Znakapoznpodarou"/>
          <w:lang w:eastAsia="en-US"/>
        </w:rPr>
        <w:footnoteReference w:id="211"/>
      </w:r>
      <w:r w:rsidR="08594DB9">
        <w:rPr>
          <w:lang w:eastAsia="en-US"/>
        </w:rPr>
        <w:t xml:space="preserve"> </w:t>
      </w:r>
      <w:r w:rsidR="081B5FC2">
        <w:rPr>
          <w:lang w:eastAsia="en-US"/>
        </w:rPr>
        <w:t>Defini</w:t>
      </w:r>
      <w:r w:rsidR="086211A6">
        <w:rPr>
          <w:lang w:eastAsia="en-US"/>
        </w:rPr>
        <w:t>c</w:t>
      </w:r>
      <w:r w:rsidR="081B5FC2">
        <w:rPr>
          <w:lang w:eastAsia="en-US"/>
        </w:rPr>
        <w:t xml:space="preserve">e různých druhů </w:t>
      </w:r>
      <w:r w:rsidR="08594DB9">
        <w:rPr>
          <w:lang w:eastAsia="en-US"/>
        </w:rPr>
        <w:t>intel</w:t>
      </w:r>
      <w:r w:rsidR="081B5FC2">
        <w:rPr>
          <w:lang w:eastAsia="en-US"/>
        </w:rPr>
        <w:t>ektu m</w:t>
      </w:r>
      <w:r w:rsidR="08594DB9">
        <w:rPr>
          <w:lang w:eastAsia="en-US"/>
        </w:rPr>
        <w:t>á centrální význam v Albertově rané filosofii (</w:t>
      </w:r>
      <w:r w:rsidR="08594DB9" w:rsidRPr="00473158">
        <w:rPr>
          <w:szCs w:val="22"/>
        </w:rPr>
        <w:t>Anzulewicz</w:t>
      </w:r>
      <w:r w:rsidR="08594DB9">
        <w:rPr>
          <w:szCs w:val="22"/>
        </w:rPr>
        <w:t xml:space="preserve"> 2003). </w:t>
      </w:r>
      <w:r w:rsidR="086211A6">
        <w:rPr>
          <w:szCs w:val="22"/>
        </w:rPr>
        <w:t xml:space="preserve">Hermeneutika </w:t>
      </w:r>
      <w:r w:rsidR="08581B41">
        <w:rPr>
          <w:szCs w:val="22"/>
        </w:rPr>
        <w:t xml:space="preserve">společně </w:t>
      </w:r>
      <w:r w:rsidR="086211A6">
        <w:rPr>
          <w:szCs w:val="22"/>
        </w:rPr>
        <w:t xml:space="preserve">s Albertem angažovaným ve sporu proti modernistům </w:t>
      </w:r>
      <w:r w:rsidR="08581B41">
        <w:rPr>
          <w:szCs w:val="22"/>
        </w:rPr>
        <w:t xml:space="preserve">volí jeho </w:t>
      </w:r>
      <w:r w:rsidR="086211A6">
        <w:rPr>
          <w:szCs w:val="22"/>
        </w:rPr>
        <w:t xml:space="preserve">metodologický postup v modu „jak“ poznáváme, protože </w:t>
      </w:r>
      <w:r w:rsidR="08581B41">
        <w:rPr>
          <w:szCs w:val="22"/>
        </w:rPr>
        <w:t xml:space="preserve">pouze tento postup sleduje </w:t>
      </w:r>
      <w:r w:rsidR="086211A6">
        <w:rPr>
          <w:szCs w:val="22"/>
        </w:rPr>
        <w:t xml:space="preserve">původní náhled CMDA. </w:t>
      </w:r>
      <w:r w:rsidR="00221596" w:rsidRPr="00273106">
        <w:rPr>
          <w:lang w:eastAsia="en-US"/>
        </w:rPr>
        <w:t xml:space="preserve">Albert dělí zkoumání duše na </w:t>
      </w:r>
      <w:r w:rsidR="084A75A5">
        <w:rPr>
          <w:lang w:eastAsia="en-US"/>
        </w:rPr>
        <w:t xml:space="preserve">avicennistický </w:t>
      </w:r>
      <w:r w:rsidR="00221596" w:rsidRPr="00273106">
        <w:rPr>
          <w:lang w:eastAsia="en-US"/>
        </w:rPr>
        <w:t xml:space="preserve">přístup daný </w:t>
      </w:r>
      <w:r w:rsidR="00BA186F" w:rsidRPr="00273106">
        <w:rPr>
          <w:lang w:eastAsia="en-US"/>
        </w:rPr>
        <w:t xml:space="preserve">v modu </w:t>
      </w:r>
      <w:r w:rsidR="00221596" w:rsidRPr="00273106">
        <w:rPr>
          <w:i/>
          <w:lang w:eastAsia="en-US"/>
        </w:rPr>
        <w:t>simpliciter</w:t>
      </w:r>
      <w:r w:rsidR="00221596" w:rsidRPr="00273106">
        <w:rPr>
          <w:lang w:eastAsia="en-US"/>
        </w:rPr>
        <w:t xml:space="preserve"> a </w:t>
      </w:r>
      <w:r w:rsidR="0031624B" w:rsidRPr="00273106">
        <w:rPr>
          <w:lang w:eastAsia="en-US"/>
        </w:rPr>
        <w:t xml:space="preserve">na </w:t>
      </w:r>
      <w:r w:rsidR="084A75A5">
        <w:rPr>
          <w:lang w:eastAsia="en-US"/>
        </w:rPr>
        <w:t xml:space="preserve">aristotelskou </w:t>
      </w:r>
      <w:r w:rsidR="0031624B" w:rsidRPr="00273106">
        <w:rPr>
          <w:lang w:eastAsia="en-US"/>
        </w:rPr>
        <w:t xml:space="preserve">cestu danou reálným průběhem </w:t>
      </w:r>
      <w:r w:rsidR="00BA186F" w:rsidRPr="00273106">
        <w:rPr>
          <w:lang w:eastAsia="en-US"/>
        </w:rPr>
        <w:t xml:space="preserve">lidského </w:t>
      </w:r>
      <w:r w:rsidR="00D67D85" w:rsidRPr="00273106">
        <w:rPr>
          <w:lang w:eastAsia="en-US"/>
        </w:rPr>
        <w:t>poznání (</w:t>
      </w:r>
      <w:r w:rsidR="00221596" w:rsidRPr="00273106">
        <w:rPr>
          <w:i/>
          <w:lang w:eastAsia="en-US"/>
        </w:rPr>
        <w:t>quoad nos</w:t>
      </w:r>
      <w:r w:rsidR="001971F4">
        <w:rPr>
          <w:i/>
          <w:lang w:eastAsia="en-US"/>
        </w:rPr>
        <w:fldChar w:fldCharType="begin"/>
      </w:r>
      <w:r w:rsidR="001971F4">
        <w:instrText xml:space="preserve"> XE "poznání</w:instrText>
      </w:r>
      <w:r w:rsidR="001615A7">
        <w:instrText xml:space="preserve"> </w:instrText>
      </w:r>
      <w:r w:rsidR="001971F4" w:rsidRPr="00AF2687">
        <w:rPr>
          <w:i/>
          <w:lang w:eastAsia="en-US"/>
        </w:rPr>
        <w:instrText>quoad nos</w:instrText>
      </w:r>
      <w:r w:rsidR="001971F4">
        <w:instrText xml:space="preserve">" </w:instrText>
      </w:r>
      <w:r w:rsidR="001971F4">
        <w:rPr>
          <w:i/>
          <w:lang w:eastAsia="en-US"/>
        </w:rPr>
        <w:fldChar w:fldCharType="end"/>
      </w:r>
      <w:r w:rsidR="00D67D85" w:rsidRPr="00273106">
        <w:rPr>
          <w:lang w:eastAsia="en-US"/>
        </w:rPr>
        <w:t>)</w:t>
      </w:r>
      <w:r w:rsidR="00221596" w:rsidRPr="00273106">
        <w:rPr>
          <w:lang w:eastAsia="en-US"/>
        </w:rPr>
        <w:t xml:space="preserve">. </w:t>
      </w:r>
      <w:r w:rsidR="004D5E34" w:rsidRPr="00273106">
        <w:t>Albert</w:t>
      </w:r>
      <w:r w:rsidR="004D5E34">
        <w:t xml:space="preserve"> </w:t>
      </w:r>
      <w:r w:rsidR="004D5E34" w:rsidRPr="00273106">
        <w:t>sleduje aristotelský výklad daný hyparchickým postavením první substance</w:t>
      </w:r>
      <w:r w:rsidR="0095745C">
        <w:t xml:space="preserve">. Proto </w:t>
      </w:r>
      <w:r w:rsidR="004D5E34">
        <w:fldChar w:fldCharType="begin"/>
      </w:r>
      <w:r w:rsidR="004D5E34">
        <w:instrText xml:space="preserve"> XE "</w:instrText>
      </w:r>
      <w:r w:rsidR="004D5E34" w:rsidRPr="00DE2A32">
        <w:instrText>substance</w:instrText>
      </w:r>
      <w:r w:rsidR="004D5E34">
        <w:instrText xml:space="preserve">:první" </w:instrText>
      </w:r>
      <w:r w:rsidR="004D5E34">
        <w:fldChar w:fldCharType="end"/>
      </w:r>
      <w:r w:rsidR="00BA186F" w:rsidRPr="00273106">
        <w:rPr>
          <w:lang w:eastAsia="en-US"/>
        </w:rPr>
        <w:t>o</w:t>
      </w:r>
      <w:r w:rsidR="00221596" w:rsidRPr="00273106">
        <w:rPr>
          <w:lang w:eastAsia="en-US"/>
        </w:rPr>
        <w:t>dmít</w:t>
      </w:r>
      <w:r w:rsidR="0095745C">
        <w:rPr>
          <w:lang w:eastAsia="en-US"/>
        </w:rPr>
        <w:t xml:space="preserve">l univerzální platnost pouze </w:t>
      </w:r>
      <w:r w:rsidR="00221596" w:rsidRPr="00273106">
        <w:rPr>
          <w:lang w:eastAsia="en-US"/>
        </w:rPr>
        <w:t>formální</w:t>
      </w:r>
      <w:r w:rsidR="0095745C">
        <w:rPr>
          <w:lang w:eastAsia="en-US"/>
        </w:rPr>
        <w:t>ho</w:t>
      </w:r>
      <w:r w:rsidR="00221596" w:rsidRPr="00273106">
        <w:rPr>
          <w:lang w:eastAsia="en-US"/>
        </w:rPr>
        <w:t xml:space="preserve"> přístup</w:t>
      </w:r>
      <w:r w:rsidR="0095745C">
        <w:rPr>
          <w:lang w:eastAsia="en-US"/>
        </w:rPr>
        <w:t>u</w:t>
      </w:r>
      <w:r w:rsidR="00221596" w:rsidRPr="00273106">
        <w:rPr>
          <w:lang w:eastAsia="en-US"/>
        </w:rPr>
        <w:t xml:space="preserve"> </w:t>
      </w:r>
      <w:r w:rsidR="00777191">
        <w:rPr>
          <w:lang w:eastAsia="en-US"/>
        </w:rPr>
        <w:t xml:space="preserve">k vědeckému poznání </w:t>
      </w:r>
      <w:r w:rsidR="00221596" w:rsidRPr="00273106">
        <w:rPr>
          <w:lang w:eastAsia="en-US"/>
        </w:rPr>
        <w:t xml:space="preserve">odkazem na </w:t>
      </w:r>
      <w:r w:rsidR="00221596" w:rsidRPr="001C1C0D">
        <w:rPr>
          <w:i/>
          <w:lang w:eastAsia="en-US"/>
        </w:rPr>
        <w:t>Druhé analytiky</w:t>
      </w:r>
      <w:r w:rsidR="00221596" w:rsidRPr="00273106">
        <w:rPr>
          <w:lang w:eastAsia="en-US"/>
        </w:rPr>
        <w:t xml:space="preserve">. </w:t>
      </w:r>
      <w:r w:rsidR="001A71BF">
        <w:rPr>
          <w:lang w:eastAsia="en-US"/>
        </w:rPr>
        <w:t>Sig</w:t>
      </w:r>
      <w:r w:rsidR="008979E5">
        <w:rPr>
          <w:lang w:eastAsia="en-US"/>
        </w:rPr>
        <w:t xml:space="preserve">nifikace daná pouze esenciálně nezajišťuje </w:t>
      </w:r>
      <w:r w:rsidR="00221596" w:rsidRPr="00273106">
        <w:rPr>
          <w:lang w:eastAsia="en-US"/>
        </w:rPr>
        <w:t>vědeck</w:t>
      </w:r>
      <w:r w:rsidR="008979E5">
        <w:rPr>
          <w:lang w:eastAsia="en-US"/>
        </w:rPr>
        <w:t xml:space="preserve">é </w:t>
      </w:r>
      <w:r w:rsidR="00221596" w:rsidRPr="00273106">
        <w:rPr>
          <w:lang w:eastAsia="en-US"/>
        </w:rPr>
        <w:t>poznání</w:t>
      </w:r>
      <w:r w:rsidR="008979E5">
        <w:rPr>
          <w:lang w:eastAsia="en-US"/>
        </w:rPr>
        <w:t xml:space="preserve"> </w:t>
      </w:r>
      <w:r w:rsidR="00221596" w:rsidRPr="00273106">
        <w:rPr>
          <w:lang w:eastAsia="en-US"/>
        </w:rPr>
        <w:t>v plném rozsahu, pr</w:t>
      </w:r>
      <w:r w:rsidR="00956D25" w:rsidRPr="00273106">
        <w:rPr>
          <w:lang w:eastAsia="en-US"/>
        </w:rPr>
        <w:t xml:space="preserve">otože nejde k </w:t>
      </w:r>
      <w:r w:rsidR="00D41351">
        <w:rPr>
          <w:lang w:eastAsia="en-US"/>
        </w:rPr>
        <w:t xml:space="preserve">reálné </w:t>
      </w:r>
      <w:r w:rsidR="00956D25" w:rsidRPr="00273106">
        <w:rPr>
          <w:lang w:eastAsia="en-US"/>
        </w:rPr>
        <w:t>první substanci</w:t>
      </w:r>
      <w:r w:rsidR="002C59A0" w:rsidRPr="00273106">
        <w:rPr>
          <w:lang w:eastAsia="en-US"/>
        </w:rPr>
        <w:t xml:space="preserve"> </w:t>
      </w:r>
      <w:r w:rsidR="006A55B1" w:rsidRPr="00273106">
        <w:rPr>
          <w:lang w:eastAsia="en-US"/>
        </w:rPr>
        <w:t xml:space="preserve">a </w:t>
      </w:r>
      <w:r w:rsidR="002C59A0" w:rsidRPr="00273106">
        <w:rPr>
          <w:lang w:eastAsia="en-US"/>
        </w:rPr>
        <w:t xml:space="preserve">k jejímu </w:t>
      </w:r>
      <w:r w:rsidR="00D41351">
        <w:rPr>
          <w:lang w:eastAsia="en-US"/>
        </w:rPr>
        <w:t xml:space="preserve">reálnému </w:t>
      </w:r>
      <w:r w:rsidR="002C59A0" w:rsidRPr="00273106">
        <w:rPr>
          <w:lang w:eastAsia="en-US"/>
        </w:rPr>
        <w:t>kauzálnímu působení</w:t>
      </w:r>
      <w:r w:rsidR="00D41351">
        <w:rPr>
          <w:lang w:eastAsia="en-US"/>
        </w:rPr>
        <w:t xml:space="preserve"> na jiné první substance</w:t>
      </w:r>
      <w:r w:rsidR="00956D25" w:rsidRPr="00273106">
        <w:rPr>
          <w:lang w:eastAsia="en-US"/>
        </w:rPr>
        <w:t xml:space="preserve">. </w:t>
      </w:r>
      <w:r w:rsidR="087A0889" w:rsidRPr="00273106">
        <w:t xml:space="preserve">Opět je ve hře směr nasvícení smyslu jsoucna daného buď od univerzálně dané esence, nebo od reálně působící první substance. </w:t>
      </w:r>
      <w:r w:rsidR="00B06696">
        <w:t xml:space="preserve">Spis </w:t>
      </w:r>
      <w:r w:rsidR="00B06696">
        <w:rPr>
          <w:i/>
        </w:rPr>
        <w:t>Druhé a</w:t>
      </w:r>
      <w:r w:rsidR="008353D2" w:rsidRPr="00B06696">
        <w:rPr>
          <w:i/>
        </w:rPr>
        <w:t>nalytiky</w:t>
      </w:r>
      <w:r w:rsidR="008353D2" w:rsidRPr="00273106">
        <w:t xml:space="preserve"> tvrdí, že </w:t>
      </w:r>
      <w:r w:rsidR="00742432">
        <w:t xml:space="preserve">svět kolem nás </w:t>
      </w:r>
      <w:r w:rsidR="008353D2" w:rsidRPr="00273106">
        <w:t>poznáváme díky působení kauzality na reálné věci</w:t>
      </w:r>
      <w:r w:rsidR="00F94CC8">
        <w:t xml:space="preserve"> (</w:t>
      </w:r>
      <w:r w:rsidR="0877480A">
        <w:t xml:space="preserve">OBJ I, </w:t>
      </w:r>
      <w:r w:rsidR="084E7952">
        <w:t>kap. 1.3</w:t>
      </w:r>
      <w:r w:rsidR="00F94CC8">
        <w:t>)</w:t>
      </w:r>
      <w:r w:rsidR="008353D2" w:rsidRPr="00273106">
        <w:t xml:space="preserve">. </w:t>
      </w:r>
      <w:r w:rsidR="084E4B59">
        <w:t>Albertova definice člověka sleduje působe</w:t>
      </w:r>
      <w:r w:rsidR="08BC43AE">
        <w:t xml:space="preserve">ní </w:t>
      </w:r>
      <w:r w:rsidR="082A724F">
        <w:t xml:space="preserve">metafyzického </w:t>
      </w:r>
      <w:r w:rsidR="08BC43AE">
        <w:t>dativu</w:t>
      </w:r>
      <w:r w:rsidR="084E4B59">
        <w:fldChar w:fldCharType="begin"/>
      </w:r>
      <w:r w:rsidR="084E4B59">
        <w:instrText xml:space="preserve"> XE "</w:instrText>
      </w:r>
      <w:r w:rsidR="082A724F">
        <w:rPr>
          <w:i/>
        </w:rPr>
        <w:instrText>dativus metaphysi</w:instrText>
      </w:r>
      <w:r w:rsidR="084E4B59" w:rsidRPr="084E4B59">
        <w:rPr>
          <w:i/>
        </w:rPr>
        <w:instrText>cus</w:instrText>
      </w:r>
      <w:r w:rsidR="084E4B59">
        <w:instrText xml:space="preserve">" </w:instrText>
      </w:r>
      <w:r w:rsidR="084E4B59">
        <w:fldChar w:fldCharType="end"/>
      </w:r>
      <w:r w:rsidR="08BC43AE">
        <w:t xml:space="preserve"> podle </w:t>
      </w:r>
      <w:r w:rsidR="08BC43AE" w:rsidRPr="08F7460A">
        <w:rPr>
          <w:i/>
        </w:rPr>
        <w:t>Metafyzi</w:t>
      </w:r>
      <w:r w:rsidR="08BC43AE">
        <w:rPr>
          <w:i/>
        </w:rPr>
        <w:t>ky</w:t>
      </w:r>
      <w:r w:rsidR="08BC43AE">
        <w:t xml:space="preserve"> Z</w:t>
      </w:r>
      <w:r w:rsidR="084E4B59">
        <w:t xml:space="preserve"> </w:t>
      </w:r>
      <w:r w:rsidR="08DF3D09">
        <w:t xml:space="preserve">v minulostním rázu původní donace jsoucna </w:t>
      </w:r>
      <w:r w:rsidR="08501978">
        <w:t>(</w:t>
      </w:r>
      <w:r w:rsidR="08F41596">
        <w:t xml:space="preserve">OBJ I, </w:t>
      </w:r>
      <w:r w:rsidR="08501978">
        <w:t>k</w:t>
      </w:r>
      <w:r w:rsidR="084E4B59">
        <w:t>a</w:t>
      </w:r>
      <w:r w:rsidR="08501978">
        <w:t>p</w:t>
      </w:r>
      <w:r w:rsidR="084E4B59">
        <w:t>. 1.1). P</w:t>
      </w:r>
      <w:r w:rsidR="08BC43AE">
        <w:t xml:space="preserve">oznání substance </w:t>
      </w:r>
      <w:r w:rsidR="084E4B59">
        <w:t xml:space="preserve">je determinováno </w:t>
      </w:r>
      <w:r w:rsidR="0037670F">
        <w:t xml:space="preserve">podle aktu minulostní </w:t>
      </w:r>
      <w:r w:rsidR="08BC43AE">
        <w:t>donace bytí (</w:t>
      </w:r>
      <w:r w:rsidR="08BC43AE" w:rsidRPr="08364F97">
        <w:t>τό τί ἦν εἶναι</w:t>
      </w:r>
      <w:r w:rsidR="08BC43AE">
        <w:fldChar w:fldCharType="begin"/>
      </w:r>
      <w:r w:rsidR="08BC43AE">
        <w:instrText xml:space="preserve"> XE "</w:instrText>
      </w:r>
      <w:r w:rsidR="08BC43AE" w:rsidRPr="08D57ABC">
        <w:instrText>τό τί ἦν εἶναι</w:instrText>
      </w:r>
      <w:r w:rsidR="08BC43AE">
        <w:instrText xml:space="preserve">" </w:instrText>
      </w:r>
      <w:r w:rsidR="08BC43AE">
        <w:fldChar w:fldCharType="end"/>
      </w:r>
      <w:r w:rsidR="08BC43AE">
        <w:t xml:space="preserve">, </w:t>
      </w:r>
      <w:r w:rsidR="08BC43AE" w:rsidRPr="089A44F0">
        <w:rPr>
          <w:i/>
        </w:rPr>
        <w:t>quidditas</w:t>
      </w:r>
      <w:r w:rsidR="08BC43AE">
        <w:rPr>
          <w:i/>
        </w:rPr>
        <w:fldChar w:fldCharType="begin"/>
      </w:r>
      <w:r w:rsidR="08BC43AE">
        <w:instrText xml:space="preserve"> XE "</w:instrText>
      </w:r>
      <w:r w:rsidR="08BC43AE" w:rsidRPr="08815EE8">
        <w:rPr>
          <w:i/>
        </w:rPr>
        <w:instrText>quidditas</w:instrText>
      </w:r>
      <w:r w:rsidR="08BC43AE">
        <w:instrText xml:space="preserve">" </w:instrText>
      </w:r>
      <w:r w:rsidR="08BC43AE">
        <w:rPr>
          <w:i/>
        </w:rPr>
        <w:fldChar w:fldCharType="end"/>
      </w:r>
      <w:r w:rsidR="08BC43AE">
        <w:t>). Akt bytí (</w:t>
      </w:r>
      <w:r w:rsidR="08BC43AE" w:rsidRPr="08BB1048">
        <w:rPr>
          <w:i/>
        </w:rPr>
        <w:t>actus essendi</w:t>
      </w:r>
      <w:r w:rsidR="08BC43AE">
        <w:t xml:space="preserve">) dané </w:t>
      </w:r>
      <w:r w:rsidR="083523B7">
        <w:t>mimo filosofické zkoumání dává tomuto jsoucnu zde</w:t>
      </w:r>
      <w:r w:rsidR="08BC43AE">
        <w:t xml:space="preserve"> (</w:t>
      </w:r>
      <w:r w:rsidR="08BC43AE" w:rsidRPr="08364F97">
        <w:t>τό τί</w:t>
      </w:r>
      <w:r w:rsidR="08BC43AE">
        <w:t xml:space="preserve">) jeho existenci danou dativní vazbou (τῷ τί ἦν, </w:t>
      </w:r>
      <w:r w:rsidR="08BC43AE" w:rsidRPr="086E57D9">
        <w:rPr>
          <w:i/>
        </w:rPr>
        <w:t>quo est</w:t>
      </w:r>
      <w:r w:rsidR="08BC43AE">
        <w:t>). Tím vz</w:t>
      </w:r>
      <w:r w:rsidR="084E4B59">
        <w:t>ni</w:t>
      </w:r>
      <w:r w:rsidR="08BC43AE">
        <w:t>klo základní rozdělení mezi původním aktem bytí zakládající jsoucno jako zde a nyní jsoucí substanci</w:t>
      </w:r>
      <w:r w:rsidR="08A516BF">
        <w:fldChar w:fldCharType="begin"/>
      </w:r>
      <w:r w:rsidR="08A516BF">
        <w:instrText xml:space="preserve"> XE "</w:instrText>
      </w:r>
      <w:r w:rsidR="08A516BF" w:rsidRPr="08C001B1">
        <w:instrText>substance:první</w:instrText>
      </w:r>
      <w:r w:rsidR="08A516BF">
        <w:instrText xml:space="preserve">" </w:instrText>
      </w:r>
      <w:r w:rsidR="08A516BF">
        <w:fldChar w:fldCharType="end"/>
      </w:r>
      <w:r w:rsidR="08BC43AE">
        <w:t xml:space="preserve"> (</w:t>
      </w:r>
      <w:r w:rsidR="08BC43AE" w:rsidRPr="08365F9E">
        <w:t>οὐσία</w:t>
      </w:r>
      <w:r w:rsidR="08BC43AE">
        <w:t xml:space="preserve">, </w:t>
      </w:r>
      <w:r w:rsidR="08BC43AE" w:rsidRPr="00273106">
        <w:t>τόδε τι</w:t>
      </w:r>
      <w:r w:rsidR="08BC43AE">
        <w:t>) a sekundární poznání této jsoucnosti dané v mysli a pouze v univerzálním modu. Při predikaci existující substance má původní událost skrytého přechodu bytí do zde a nyní bytujícího jsoucna pouze minulý charakter (</w:t>
      </w:r>
      <w:r w:rsidR="08BC43AE" w:rsidRPr="08364F97">
        <w:t>ἦν εἶναι</w:t>
      </w:r>
      <w:r w:rsidR="08BC43AE">
        <w:t xml:space="preserve">), protože není přímo </w:t>
      </w:r>
      <w:r w:rsidR="083523B7">
        <w:t xml:space="preserve">zachytitelná </w:t>
      </w:r>
      <w:r w:rsidR="08BC43AE">
        <w:t xml:space="preserve">v univerzální výpovědi. </w:t>
      </w:r>
      <w:r w:rsidR="083523B7">
        <w:t xml:space="preserve">Aristoteles tvrdí na rozdíl od </w:t>
      </w:r>
      <w:r w:rsidR="083523B7">
        <w:lastRenderedPageBreak/>
        <w:t xml:space="preserve">Platona, že bytí </w:t>
      </w:r>
      <w:r w:rsidR="00A916C1">
        <w:t xml:space="preserve">reálné </w:t>
      </w:r>
      <w:r w:rsidR="083523B7" w:rsidRPr="083523B7">
        <w:rPr>
          <w:i/>
        </w:rPr>
        <w:t>ousía</w:t>
      </w:r>
      <w:r w:rsidR="083523B7">
        <w:t xml:space="preserve"> není její </w:t>
      </w:r>
      <w:r w:rsidR="00A56CFC">
        <w:t xml:space="preserve">mentální </w:t>
      </w:r>
      <w:r w:rsidR="083523B7" w:rsidRPr="08775F5C">
        <w:rPr>
          <w:i/>
        </w:rPr>
        <w:t>parousía</w:t>
      </w:r>
      <w:r w:rsidR="08775F5C">
        <w:t>. Smysl věci je v poznání manifestován</w:t>
      </w:r>
      <w:r w:rsidR="083523B7">
        <w:t xml:space="preserve"> </w:t>
      </w:r>
      <w:r w:rsidR="08775F5C">
        <w:t>adekvátně, ale nikoliv identicky</w:t>
      </w:r>
      <w:r w:rsidR="083523B7">
        <w:t xml:space="preserve">. </w:t>
      </w:r>
      <w:r w:rsidR="08775F5C">
        <w:t xml:space="preserve">Aristotelovo </w:t>
      </w:r>
      <w:r w:rsidR="083523B7">
        <w:t xml:space="preserve">pojetí </w:t>
      </w:r>
      <w:r w:rsidR="08775F5C">
        <w:t xml:space="preserve">brání </w:t>
      </w:r>
      <w:r w:rsidR="083523B7">
        <w:t xml:space="preserve">škola Modistů v prvním averroismu. </w:t>
      </w:r>
      <w:r w:rsidR="082A724F">
        <w:t xml:space="preserve">Metafyzický </w:t>
      </w:r>
      <w:r w:rsidR="00E216B3">
        <w:t>dativ platí i</w:t>
      </w:r>
      <w:r w:rsidR="08BC43AE">
        <w:t xml:space="preserve"> pro </w:t>
      </w:r>
      <w:r w:rsidR="00E216B3">
        <w:t>predikaci kauzality</w:t>
      </w:r>
      <w:r w:rsidR="08BC43AE">
        <w:t xml:space="preserve">. </w:t>
      </w:r>
      <w:r w:rsidR="085B7040" w:rsidRPr="00273106">
        <w:t xml:space="preserve">Kauzalita se odehrává mezi věcmi v reálu a současně ji univočně </w:t>
      </w:r>
      <w:r w:rsidR="085B7040">
        <w:t xml:space="preserve">predikuje </w:t>
      </w:r>
      <w:r w:rsidR="085B7040" w:rsidRPr="00273106">
        <w:t>střední člen demonstrativního soudu (τὸ</w:t>
      </w:r>
      <w:r w:rsidR="085B7040">
        <w:t xml:space="preserve"> μέσον</w:t>
      </w:r>
      <w:r w:rsidR="085B7040">
        <w:rPr>
          <w:i/>
        </w:rPr>
        <w:fldChar w:fldCharType="begin"/>
      </w:r>
      <w:r w:rsidR="085B7040">
        <w:instrText xml:space="preserve"> XE "</w:instrText>
      </w:r>
      <w:r w:rsidR="085B7040" w:rsidRPr="001618A5">
        <w:rPr>
          <w:i/>
        </w:rPr>
        <w:instrText>medium</w:instrText>
      </w:r>
      <w:r w:rsidR="085B7040" w:rsidRPr="003E64E9">
        <w:instrText>:</w:instrText>
      </w:r>
      <w:r w:rsidR="085B7040">
        <w:instrText xml:space="preserve">Aristoteles" </w:instrText>
      </w:r>
      <w:r w:rsidR="085B7040">
        <w:rPr>
          <w:i/>
        </w:rPr>
        <w:fldChar w:fldCharType="end"/>
      </w:r>
      <w:r w:rsidR="085B7040">
        <w:rPr>
          <w:i/>
        </w:rPr>
        <w:t xml:space="preserve">; </w:t>
      </w:r>
      <w:r w:rsidR="085B7040" w:rsidRPr="00043294">
        <w:rPr>
          <w:i/>
        </w:rPr>
        <w:t>Anal. Post</w:t>
      </w:r>
      <w:r w:rsidR="00F664E3">
        <w:rPr>
          <w:i/>
        </w:rPr>
        <w:t>.</w:t>
      </w:r>
      <w:r w:rsidR="085B7040">
        <w:t xml:space="preserve"> </w:t>
      </w:r>
      <w:r w:rsidR="085B7040" w:rsidRPr="00C308B2">
        <w:t>90a1</w:t>
      </w:r>
      <w:r w:rsidR="085B7040">
        <w:fldChar w:fldCharType="begin"/>
      </w:r>
      <w:r w:rsidR="085B7040">
        <w:instrText xml:space="preserve"> XE "Aristoteles:</w:instrText>
      </w:r>
      <w:r w:rsidR="085B7040" w:rsidRPr="00F64230">
        <w:rPr>
          <w:i/>
        </w:rPr>
        <w:instrText>Anal. post</w:instrText>
      </w:r>
      <w:r w:rsidR="085B7040">
        <w:instrText xml:space="preserve">. 90a1" </w:instrText>
      </w:r>
      <w:r w:rsidR="085B7040">
        <w:fldChar w:fldCharType="end"/>
      </w:r>
      <w:r w:rsidR="085B7040" w:rsidRPr="00273106">
        <w:t xml:space="preserve">). </w:t>
      </w:r>
      <w:r w:rsidR="08FE248B">
        <w:t>P</w:t>
      </w:r>
      <w:r w:rsidR="08FE248B" w:rsidRPr="00273106">
        <w:t xml:space="preserve">ravdivé poznání </w:t>
      </w:r>
      <w:r w:rsidR="08FE248B">
        <w:t xml:space="preserve">obsahuje v modu </w:t>
      </w:r>
      <w:r w:rsidR="082A724F">
        <w:t xml:space="preserve">metafyzického </w:t>
      </w:r>
      <w:r w:rsidR="08FE248B">
        <w:t xml:space="preserve">dativu </w:t>
      </w:r>
      <w:r w:rsidR="08FE248B" w:rsidRPr="00273106">
        <w:t xml:space="preserve">vazbu na realitu </w:t>
      </w:r>
      <w:r w:rsidR="08FE248B">
        <w:t xml:space="preserve">prvních </w:t>
      </w:r>
      <w:r w:rsidR="08FE248B" w:rsidRPr="00273106">
        <w:t xml:space="preserve">substancí daných </w:t>
      </w:r>
      <w:r w:rsidR="08FE248B">
        <w:t xml:space="preserve">podle spisu </w:t>
      </w:r>
      <w:r w:rsidR="08FE248B" w:rsidRPr="08AF1DEC">
        <w:rPr>
          <w:i/>
        </w:rPr>
        <w:t>Kategorie</w:t>
      </w:r>
      <w:r w:rsidR="08FE248B">
        <w:t xml:space="preserve"> a </w:t>
      </w:r>
      <w:r w:rsidR="08FE248B" w:rsidRPr="08026E11">
        <w:rPr>
          <w:i/>
        </w:rPr>
        <w:t>Druhých analytik</w:t>
      </w:r>
      <w:r w:rsidR="08FE248B">
        <w:t xml:space="preserve"> </w:t>
      </w:r>
      <w:r w:rsidR="08FE248B" w:rsidRPr="00273106">
        <w:t>absolutně bezprostředně a kauzálně působících jedna na druhou.</w:t>
      </w:r>
      <w:r w:rsidR="08FE248B" w:rsidRPr="00273106">
        <w:rPr>
          <w:rStyle w:val="Znakapoznpodarou"/>
        </w:rPr>
        <w:footnoteReference w:id="212"/>
      </w:r>
      <w:r w:rsidR="08FE248B" w:rsidRPr="00273106">
        <w:t xml:space="preserve"> </w:t>
      </w:r>
      <w:r w:rsidR="08FE248B">
        <w:t xml:space="preserve">Střední člen deduktivního </w:t>
      </w:r>
      <w:r w:rsidR="08FE248B" w:rsidRPr="00273106">
        <w:t xml:space="preserve">vědeckého soudu </w:t>
      </w:r>
      <w:r w:rsidR="08FE248B">
        <w:t>(</w:t>
      </w:r>
      <w:r w:rsidR="08FE248B" w:rsidRPr="00253596">
        <w:rPr>
          <w:i/>
        </w:rPr>
        <w:t>medium</w:t>
      </w:r>
      <w:r w:rsidR="08FE248B">
        <w:t xml:space="preserve">) </w:t>
      </w:r>
      <w:r w:rsidR="08FE248B" w:rsidRPr="00273106">
        <w:t>v sobě zahrn</w:t>
      </w:r>
      <w:r w:rsidR="08FE248B">
        <w:t xml:space="preserve">uje v modu kategoriální univoční predikace také </w:t>
      </w:r>
      <w:r w:rsidR="08FE248B" w:rsidRPr="00273106">
        <w:t>j</w:t>
      </w:r>
      <w:r w:rsidR="08FE248B">
        <w:t>edinečné kauzální působení prvních substancí</w:t>
      </w:r>
      <w:r w:rsidR="08FE248B">
        <w:rPr>
          <w:i/>
        </w:rPr>
        <w:fldChar w:fldCharType="begin"/>
      </w:r>
      <w:r w:rsidR="08FE248B">
        <w:instrText xml:space="preserve"> XE "</w:instrText>
      </w:r>
      <w:r w:rsidR="08FE248B" w:rsidRPr="006E78E2">
        <w:instrText>kauzalita:</w:instrText>
      </w:r>
      <w:r w:rsidR="08FE248B">
        <w:instrText xml:space="preserve">Albert" </w:instrText>
      </w:r>
      <w:r w:rsidR="08FE248B">
        <w:rPr>
          <w:i/>
        </w:rPr>
        <w:fldChar w:fldCharType="end"/>
      </w:r>
      <w:r w:rsidR="08FE248B">
        <w:t xml:space="preserve">. </w:t>
      </w:r>
      <w:r w:rsidR="08267C25">
        <w:t xml:space="preserve">Pokud </w:t>
      </w:r>
      <w:r w:rsidR="00F70D4E">
        <w:t xml:space="preserve">chybí </w:t>
      </w:r>
      <w:r w:rsidR="08267C25">
        <w:t xml:space="preserve">tato hyparchická vazba </w:t>
      </w:r>
      <w:r w:rsidR="00F70D4E">
        <w:t>na reálnou kauzalitu vytvořená skrze impozici</w:t>
      </w:r>
      <w:r w:rsidR="08267C25">
        <w:t xml:space="preserve">, pak je důkaz pravdivý </w:t>
      </w:r>
      <w:r w:rsidR="00E2101B">
        <w:t xml:space="preserve">jen </w:t>
      </w:r>
      <w:r w:rsidR="08267C25">
        <w:t>v oboru logické, geometrické či matematické abstrakc</w:t>
      </w:r>
      <w:r w:rsidR="08FC79F7">
        <w:t xml:space="preserve">e. </w:t>
      </w:r>
      <w:r w:rsidR="080C0E03">
        <w:t xml:space="preserve">Logická definice esence ale </w:t>
      </w:r>
      <w:r w:rsidR="005F5C0E">
        <w:t>nezakládá metafyzickou abstrakci</w:t>
      </w:r>
      <w:r w:rsidR="08267C25">
        <w:t xml:space="preserve">, která </w:t>
      </w:r>
      <w:r w:rsidR="086373E6">
        <w:t>jako jediná metoda umožňuje univoční a proto pravdivou</w:t>
      </w:r>
      <w:r w:rsidR="08FC79F7">
        <w:t xml:space="preserve"> </w:t>
      </w:r>
      <w:r w:rsidR="086373E6">
        <w:t xml:space="preserve">kategoriální </w:t>
      </w:r>
      <w:r w:rsidR="08267C25">
        <w:t>predik</w:t>
      </w:r>
      <w:r w:rsidR="086373E6">
        <w:t>aci</w:t>
      </w:r>
      <w:r w:rsidR="08CB1EEC">
        <w:t xml:space="preserve">. Metafyzicky pravdivá </w:t>
      </w:r>
      <w:r w:rsidR="08354CE5">
        <w:t>predikace je dána</w:t>
      </w:r>
      <w:r w:rsidR="086373E6">
        <w:t xml:space="preserve"> </w:t>
      </w:r>
      <w:r w:rsidR="00CB3078">
        <w:t>v rámci první vědy o reálných substancích</w:t>
      </w:r>
      <w:r w:rsidR="08267C25">
        <w:t xml:space="preserve">. </w:t>
      </w:r>
      <w:r w:rsidR="08B81F9F" w:rsidRPr="00273106">
        <w:t xml:space="preserve">Jádrem sporu se stal výklad </w:t>
      </w:r>
      <w:r w:rsidR="08B81F9F" w:rsidRPr="00E62147">
        <w:rPr>
          <w:i/>
        </w:rPr>
        <w:t>Druhých analytik</w:t>
      </w:r>
      <w:r w:rsidR="08B81F9F" w:rsidRPr="00273106">
        <w:t xml:space="preserve">, které latinský Západ poprvé systematicky komentoval po </w:t>
      </w:r>
      <w:r w:rsidR="08705952">
        <w:t xml:space="preserve">roce </w:t>
      </w:r>
      <w:r w:rsidR="08B81F9F" w:rsidRPr="00273106">
        <w:t xml:space="preserve">1230. </w:t>
      </w:r>
      <w:r w:rsidR="08B81F9F">
        <w:t xml:space="preserve">Tento spis </w:t>
      </w:r>
      <w:r w:rsidR="08B81F9F" w:rsidRPr="00273106">
        <w:t xml:space="preserve">rozšířil scénář poznání podle </w:t>
      </w:r>
      <w:r w:rsidR="08B81F9F">
        <w:rPr>
          <w:i/>
        </w:rPr>
        <w:t>De anima</w:t>
      </w:r>
      <w:r w:rsidR="08B81F9F" w:rsidRPr="00273106">
        <w:t xml:space="preserve"> a pojetí </w:t>
      </w:r>
      <w:r w:rsidR="008664F7">
        <w:t xml:space="preserve">logických výroků </w:t>
      </w:r>
      <w:r w:rsidR="08B81F9F" w:rsidRPr="00273106">
        <w:t xml:space="preserve">v </w:t>
      </w:r>
      <w:r w:rsidR="08B81F9F" w:rsidRPr="00273106">
        <w:rPr>
          <w:i/>
        </w:rPr>
        <w:t>De Interpretatione</w:t>
      </w:r>
      <w:r w:rsidR="08B81F9F" w:rsidRPr="00273106">
        <w:t xml:space="preserve"> do oblasti demonstrativního </w:t>
      </w:r>
      <w:r w:rsidR="0006222D">
        <w:t>vědeckého důkazu</w:t>
      </w:r>
      <w:r w:rsidR="00AA454C">
        <w:t>.</w:t>
      </w:r>
    </w:p>
    <w:p w14:paraId="54DCAB58" w14:textId="0EA381B7" w:rsidR="001912C6" w:rsidRDefault="08B81F9F" w:rsidP="00AA454C">
      <w:pPr>
        <w:ind w:firstLine="397"/>
      </w:pPr>
      <w:r>
        <w:t>Aristoteles</w:t>
      </w:r>
      <w:r w:rsidRPr="00273106">
        <w:t xml:space="preserve"> vyjmenovává čtyři po sobě jsoucí principy vědeckého poznání. První </w:t>
      </w:r>
      <w:r w:rsidR="00476174">
        <w:t xml:space="preserve">princip </w:t>
      </w:r>
      <w:r w:rsidRPr="00273106">
        <w:t xml:space="preserve">se týká </w:t>
      </w:r>
      <w:r w:rsidR="082004B5">
        <w:t xml:space="preserve">existence zkoumané </w:t>
      </w:r>
      <w:r w:rsidR="002D5C31">
        <w:t xml:space="preserve">věci </w:t>
      </w:r>
      <w:r w:rsidRPr="00273106">
        <w:t>či jevu (τὸ ὅτι)</w:t>
      </w:r>
      <w:r w:rsidR="00476174">
        <w:t>. D</w:t>
      </w:r>
      <w:r w:rsidRPr="00273106">
        <w:t xml:space="preserve">ruhý zkoumá vztah zkoumaného </w:t>
      </w:r>
      <w:r w:rsidR="08D773B3">
        <w:t xml:space="preserve">jevu </w:t>
      </w:r>
      <w:r w:rsidR="00476174">
        <w:t xml:space="preserve">v mysli </w:t>
      </w:r>
      <w:r w:rsidRPr="00273106">
        <w:t>a externí věci (τὸ</w:t>
      </w:r>
      <w:r w:rsidR="00476174">
        <w:t xml:space="preserve"> διότι). Třetí a nejdůležitější princip</w:t>
      </w:r>
      <w:r w:rsidRPr="00273106">
        <w:t xml:space="preserve"> se ptá po existenci </w:t>
      </w:r>
      <w:r w:rsidR="082004B5">
        <w:t xml:space="preserve">této externí </w:t>
      </w:r>
      <w:r w:rsidRPr="00273106">
        <w:t xml:space="preserve">věci </w:t>
      </w:r>
      <w:r w:rsidR="08C163AC">
        <w:t xml:space="preserve">kauzálně způsobující nebo nesoucí zkoumaný jev </w:t>
      </w:r>
      <w:r w:rsidRPr="00273106">
        <w:t>(εἰ ἔστι)</w:t>
      </w:r>
      <w:r w:rsidR="00476174">
        <w:t>. T</w:t>
      </w:r>
      <w:r w:rsidRPr="00273106">
        <w:t xml:space="preserve">eprve poslední krok zkoumání </w:t>
      </w:r>
      <w:r w:rsidR="081D7BD9">
        <w:t xml:space="preserve">predikuje </w:t>
      </w:r>
      <w:r w:rsidR="08813B4B">
        <w:t xml:space="preserve">univerzální </w:t>
      </w:r>
      <w:r w:rsidRPr="00273106">
        <w:t>esenci této existující věci (τί ἐστιν).</w:t>
      </w:r>
      <w:r w:rsidRPr="00273106">
        <w:rPr>
          <w:rStyle w:val="Znakapoznpodarou"/>
        </w:rPr>
        <w:footnoteReference w:id="213"/>
      </w:r>
      <w:r w:rsidRPr="00273106">
        <w:t xml:space="preserve"> </w:t>
      </w:r>
      <w:r w:rsidR="08B03EAB">
        <w:t xml:space="preserve">Pořadí </w:t>
      </w:r>
      <w:r w:rsidR="08934F5B">
        <w:t xml:space="preserve">predikace </w:t>
      </w:r>
      <w:r w:rsidR="004C5A2C">
        <w:t>s</w:t>
      </w:r>
      <w:r w:rsidR="004206C2">
        <w:t xml:space="preserve">leduje nutnost danou </w:t>
      </w:r>
      <w:r w:rsidR="08934F5B">
        <w:t xml:space="preserve">podle </w:t>
      </w:r>
      <w:r w:rsidR="082A724F">
        <w:t xml:space="preserve">metafyzického </w:t>
      </w:r>
      <w:r w:rsidR="08934F5B">
        <w:t>dativu</w:t>
      </w:r>
      <w:r w:rsidR="004206C2">
        <w:t xml:space="preserve">, proto </w:t>
      </w:r>
      <w:r w:rsidR="00D875A8">
        <w:t xml:space="preserve">začíná u </w:t>
      </w:r>
      <w:r w:rsidR="08B03EAB">
        <w:t xml:space="preserve">reálného výskytu </w:t>
      </w:r>
      <w:r w:rsidR="087A5938">
        <w:t xml:space="preserve">zkoumaného jevu </w:t>
      </w:r>
      <w:r w:rsidR="00D875A8">
        <w:t>v</w:t>
      </w:r>
      <w:r w:rsidR="08B03EAB">
        <w:t xml:space="preserve"> jeho původní a účinné</w:t>
      </w:r>
      <w:r w:rsidR="087A5938">
        <w:t xml:space="preserve"> kauzalitě</w:t>
      </w:r>
      <w:r w:rsidR="089B0EEE">
        <w:t>. Působení externí věci na smysly a intelekt zakládá účinnou příčinu</w:t>
      </w:r>
      <w:r w:rsidR="08813B4B">
        <w:t xml:space="preserve"> </w:t>
      </w:r>
      <w:r w:rsidR="089B0EEE">
        <w:t>poznání</w:t>
      </w:r>
      <w:r w:rsidR="08E72FE8">
        <w:t>. Vědecký soud je pak kauzálně</w:t>
      </w:r>
      <w:r w:rsidR="08D16AF0">
        <w:t xml:space="preserve"> (čili </w:t>
      </w:r>
      <w:r w:rsidR="089B0EEE">
        <w:t>hyparchicky</w:t>
      </w:r>
      <w:r w:rsidR="08D16AF0">
        <w:t>) determinovaný</w:t>
      </w:r>
      <w:r w:rsidR="089B0EEE">
        <w:t xml:space="preserve"> skrze existenci </w:t>
      </w:r>
      <w:r w:rsidR="08C96805">
        <w:t xml:space="preserve">první substance. Je-li etablována reálná kauzalita, pak se </w:t>
      </w:r>
      <w:r w:rsidR="08C96805">
        <w:lastRenderedPageBreak/>
        <w:t xml:space="preserve">predikuje ve středním členu </w:t>
      </w:r>
      <w:r w:rsidR="00F8474F">
        <w:t>soudu (</w:t>
      </w:r>
      <w:r w:rsidR="00F8474F" w:rsidRPr="00F8474F">
        <w:rPr>
          <w:i/>
        </w:rPr>
        <w:t>medium</w:t>
      </w:r>
      <w:r w:rsidR="00F8474F">
        <w:t xml:space="preserve">) </w:t>
      </w:r>
      <w:r w:rsidR="08D16AF0">
        <w:t>právě tento typ deduktivního důkazu (</w:t>
      </w:r>
      <w:r w:rsidR="08C96805" w:rsidRPr="08C96805">
        <w:rPr>
          <w:i/>
        </w:rPr>
        <w:t>demonstratio</w:t>
      </w:r>
      <w:r w:rsidR="08D16AF0">
        <w:rPr>
          <w:i/>
        </w:rPr>
        <w:fldChar w:fldCharType="begin"/>
      </w:r>
      <w:r w:rsidR="08D16AF0">
        <w:instrText xml:space="preserve"> XE "</w:instrText>
      </w:r>
      <w:r w:rsidR="08D16AF0" w:rsidRPr="08CB70CB">
        <w:rPr>
          <w:i/>
        </w:rPr>
        <w:instrText>demonstratio</w:instrText>
      </w:r>
      <w:r w:rsidR="08D16AF0">
        <w:instrText xml:space="preserve">" </w:instrText>
      </w:r>
      <w:r w:rsidR="08D16AF0">
        <w:rPr>
          <w:i/>
        </w:rPr>
        <w:fldChar w:fldCharType="end"/>
      </w:r>
      <w:r w:rsidR="08D16AF0">
        <w:t>)</w:t>
      </w:r>
      <w:r w:rsidR="08C96805">
        <w:t>. Závěr konstatuje tuto kauzalitu již obecně vzhledem k univerzá</w:t>
      </w:r>
      <w:r w:rsidR="08986FC6">
        <w:t>l</w:t>
      </w:r>
      <w:r w:rsidR="08C96805">
        <w:t>ně predikované esenci</w:t>
      </w:r>
      <w:r w:rsidR="00C841F1">
        <w:t xml:space="preserve">. </w:t>
      </w:r>
      <w:r w:rsidR="00C841F1" w:rsidRPr="00C841F1">
        <w:t xml:space="preserve">Vědecký důkaz </w:t>
      </w:r>
      <w:r w:rsidR="00C841F1">
        <w:t xml:space="preserve">platí pouze </w:t>
      </w:r>
      <w:r w:rsidR="00C841F1" w:rsidRPr="00C841F1">
        <w:t xml:space="preserve">v kontextu skutečného deduktivního úsudku, tedy v logické univerzálnosti a metafyzické nutnosti, </w:t>
      </w:r>
      <w:r w:rsidR="00C841F1">
        <w:t xml:space="preserve">která potvrzuje </w:t>
      </w:r>
      <w:r w:rsidR="00C841F1" w:rsidRPr="00C841F1">
        <w:t xml:space="preserve">platnost </w:t>
      </w:r>
      <w:r w:rsidR="00C841F1">
        <w:t>r</w:t>
      </w:r>
      <w:r w:rsidR="007067F6">
        <w:t>e</w:t>
      </w:r>
      <w:r w:rsidR="00C841F1">
        <w:t xml:space="preserve">álné a nutně dané </w:t>
      </w:r>
      <w:r w:rsidR="00C841F1" w:rsidRPr="00C841F1">
        <w:t>kauzality uplatň</w:t>
      </w:r>
      <w:r w:rsidR="00C841F1">
        <w:t>ované na úrovni prvních substancí</w:t>
      </w:r>
      <w:r w:rsidR="007067F6">
        <w:t xml:space="preserve">. </w:t>
      </w:r>
      <w:r w:rsidR="08131622">
        <w:t xml:space="preserve">Tuto kauzalitu chápe v minulostním rázu </w:t>
      </w:r>
      <w:r w:rsidR="08131622" w:rsidRPr="08131622">
        <w:rPr>
          <w:i/>
        </w:rPr>
        <w:t>quidditas</w:t>
      </w:r>
      <w:r w:rsidR="08131622">
        <w:rPr>
          <w:i/>
        </w:rPr>
        <w:fldChar w:fldCharType="begin"/>
      </w:r>
      <w:r w:rsidR="08131622">
        <w:instrText xml:space="preserve"> XE "</w:instrText>
      </w:r>
      <w:r w:rsidR="08131622" w:rsidRPr="08581893">
        <w:rPr>
          <w:i/>
        </w:rPr>
        <w:instrText>quidditas</w:instrText>
      </w:r>
      <w:r w:rsidR="08131622">
        <w:instrText xml:space="preserve">" </w:instrText>
      </w:r>
      <w:r w:rsidR="08131622">
        <w:rPr>
          <w:i/>
        </w:rPr>
        <w:fldChar w:fldCharType="end"/>
      </w:r>
      <w:r w:rsidR="08131622">
        <w:t xml:space="preserve"> a proto ji v modu pravdy jako vědecké adekvace </w:t>
      </w:r>
      <w:r w:rsidR="08986FC6" w:rsidRPr="00273106">
        <w:t>vztahuje</w:t>
      </w:r>
      <w:r w:rsidR="08986FC6">
        <w:t xml:space="preserve"> k obecně definované esenci. </w:t>
      </w:r>
      <w:r w:rsidRPr="00273106">
        <w:t xml:space="preserve">Vědecké zkoumání světa je podle Aristotela dané nejprve existencí prvních substancí v reálu a jejich vzájemným kauzálním působením. </w:t>
      </w:r>
      <w:r w:rsidR="081063A4">
        <w:t>J</w:t>
      </w:r>
      <w:r w:rsidR="084D58B8">
        <w:t xml:space="preserve">ak je dáno jedinečné </w:t>
      </w:r>
      <w:r w:rsidR="084B3710">
        <w:t xml:space="preserve">působení věcí v realitě, tak je tato realita adekvátně predikována v demonstrativním soudu. </w:t>
      </w:r>
      <w:r w:rsidR="085E1A1C" w:rsidRPr="00273106">
        <w:t xml:space="preserve">Teprve díky posloupnosti kroků tři a čtyři (tj. primát </w:t>
      </w:r>
      <w:r w:rsidR="085E1A1C">
        <w:t xml:space="preserve">reálné </w:t>
      </w:r>
      <w:r w:rsidR="085E1A1C" w:rsidRPr="00273106">
        <w:t xml:space="preserve">existence a následné poznání </w:t>
      </w:r>
      <w:r w:rsidR="085E1A1C">
        <w:t xml:space="preserve">univerzální </w:t>
      </w:r>
      <w:r w:rsidR="085E1A1C" w:rsidRPr="00273106">
        <w:t xml:space="preserve">esence) platí hlavní teze </w:t>
      </w:r>
      <w:r w:rsidR="085E1A1C" w:rsidRPr="006225AE">
        <w:rPr>
          <w:i/>
        </w:rPr>
        <w:t>Druhých analytik</w:t>
      </w:r>
      <w:r w:rsidR="085E1A1C" w:rsidRPr="00273106">
        <w:t>, že vědecké poznání je nutné a univerzální</w:t>
      </w:r>
      <w:r w:rsidR="085E1A1C">
        <w:fldChar w:fldCharType="begin"/>
      </w:r>
      <w:r w:rsidR="085E1A1C">
        <w:instrText xml:space="preserve"> XE "kauzalita:Aristoteles" </w:instrText>
      </w:r>
      <w:r w:rsidR="085E1A1C">
        <w:fldChar w:fldCharType="end"/>
      </w:r>
      <w:r w:rsidR="085E1A1C" w:rsidRPr="00273106">
        <w:t>.</w:t>
      </w:r>
      <w:r w:rsidR="085E1A1C">
        <w:t xml:space="preserve"> </w:t>
      </w:r>
      <w:r w:rsidR="086E1360" w:rsidRPr="00273106">
        <w:t xml:space="preserve">Kauzalita je daná v reálu </w:t>
      </w:r>
      <w:r w:rsidR="086E1360" w:rsidRPr="00273106">
        <w:rPr>
          <w:i/>
        </w:rPr>
        <w:t>simpliciter</w:t>
      </w:r>
      <w:r w:rsidR="086E1360" w:rsidRPr="00273106">
        <w:t xml:space="preserve"> v rámci aktu</w:t>
      </w:r>
      <w:r w:rsidR="086E1360">
        <w:t>ální první substance. Střední člen</w:t>
      </w:r>
      <w:r w:rsidR="086E1360" w:rsidRPr="00273106">
        <w:t xml:space="preserve"> soudu</w:t>
      </w:r>
      <w:r w:rsidR="086E1360">
        <w:t xml:space="preserve"> (</w:t>
      </w:r>
      <w:r w:rsidR="086E1360" w:rsidRPr="006225AE">
        <w:rPr>
          <w:i/>
        </w:rPr>
        <w:t>medium</w:t>
      </w:r>
      <w:r w:rsidR="086E1360">
        <w:t xml:space="preserve">) má v demonstrativním důkazu zvláštní postavení, protože predikuje v univerzálním a potenciálním modu </w:t>
      </w:r>
      <w:r w:rsidR="086E1360" w:rsidRPr="086016C0">
        <w:rPr>
          <w:i/>
        </w:rPr>
        <w:t>per posterius</w:t>
      </w:r>
      <w:r w:rsidR="086E1360">
        <w:t xml:space="preserve"> reálně existující kauzalitu prvních substancí danou v jedinečném aktuálním modu </w:t>
      </w:r>
      <w:r w:rsidR="086E1360" w:rsidRPr="08147530">
        <w:rPr>
          <w:i/>
        </w:rPr>
        <w:t>per priu</w:t>
      </w:r>
      <w:r w:rsidR="086E1360">
        <w:t>s</w:t>
      </w:r>
      <w:r w:rsidR="086E1360" w:rsidRPr="00273106">
        <w:t xml:space="preserve">. </w:t>
      </w:r>
      <w:r w:rsidR="085E1A1C" w:rsidRPr="00273106">
        <w:t xml:space="preserve">Proto jsou </w:t>
      </w:r>
      <w:r w:rsidR="085E1A1C">
        <w:t xml:space="preserve">vědecké </w:t>
      </w:r>
      <w:r w:rsidR="085E1A1C" w:rsidRPr="00273106">
        <w:t>závěry dány pouze potenciálně vzhledem reálné věci. Víme</w:t>
      </w:r>
      <w:r w:rsidR="085617D4">
        <w:t xml:space="preserve"> v mysli</w:t>
      </w:r>
      <w:r w:rsidR="085E1A1C" w:rsidRPr="00273106">
        <w:t>, že věc buď je, nebo není</w:t>
      </w:r>
      <w:r w:rsidR="08795701">
        <w:t xml:space="preserve"> ve svém bytí. Jedinečná věc je dána </w:t>
      </w:r>
      <w:r w:rsidR="08795701" w:rsidRPr="08795701">
        <w:rPr>
          <w:i/>
        </w:rPr>
        <w:t>simpliciter</w:t>
      </w:r>
      <w:r w:rsidR="08795701">
        <w:t xml:space="preserve"> a také </w:t>
      </w:r>
      <w:r w:rsidR="08795701" w:rsidRPr="08795701">
        <w:rPr>
          <w:i/>
        </w:rPr>
        <w:t>actualiter</w:t>
      </w:r>
      <w:r w:rsidR="08795701">
        <w:t xml:space="preserve"> v realitě; stejně tak je univerzální poznání dáno </w:t>
      </w:r>
      <w:r w:rsidR="08795701" w:rsidRPr="08795701">
        <w:rPr>
          <w:i/>
        </w:rPr>
        <w:t>simpliciter</w:t>
      </w:r>
      <w:r w:rsidR="08795701">
        <w:t xml:space="preserve"> a </w:t>
      </w:r>
      <w:r w:rsidR="005C4464" w:rsidRPr="0051799F">
        <w:rPr>
          <w:i/>
          <w:szCs w:val="24"/>
        </w:rPr>
        <w:t>potentialiter</w:t>
      </w:r>
      <w:r w:rsidR="005C4464">
        <w:rPr>
          <w:szCs w:val="24"/>
        </w:rPr>
        <w:t xml:space="preserve"> </w:t>
      </w:r>
      <w:r w:rsidR="08795701">
        <w:t xml:space="preserve">v reálně existujícím intelektu </w:t>
      </w:r>
      <w:r w:rsidR="08364FD1">
        <w:t xml:space="preserve">poznávající osoby </w:t>
      </w:r>
      <w:r w:rsidR="085E1A1C" w:rsidRPr="00273106">
        <w:t xml:space="preserve">(ζητῶμεν τὸ ὅτι ἢ τὸ εἰ ἔστιν ἁπλῶς, </w:t>
      </w:r>
      <w:r w:rsidR="085E1A1C" w:rsidRPr="00273106">
        <w:rPr>
          <w:i/>
        </w:rPr>
        <w:t>Anal. Post</w:t>
      </w:r>
      <w:r w:rsidR="085E1A1C" w:rsidRPr="00273106">
        <w:t>. 89b38</w:t>
      </w:r>
      <w:r w:rsidR="085E1A1C">
        <w:fldChar w:fldCharType="begin"/>
      </w:r>
      <w:r w:rsidR="085E1A1C">
        <w:instrText xml:space="preserve"> XE "Aristoteles:</w:instrText>
      </w:r>
      <w:r w:rsidR="08364FD1">
        <w:rPr>
          <w:i/>
        </w:rPr>
        <w:instrText>Anal. P</w:instrText>
      </w:r>
      <w:r w:rsidR="085E1A1C" w:rsidRPr="00F64230">
        <w:rPr>
          <w:i/>
        </w:rPr>
        <w:instrText>ost</w:instrText>
      </w:r>
      <w:r w:rsidR="085E1A1C">
        <w:instrText xml:space="preserve">. 89b38" </w:instrText>
      </w:r>
      <w:r w:rsidR="085E1A1C">
        <w:fldChar w:fldCharType="end"/>
      </w:r>
      <w:r w:rsidR="085E1A1C" w:rsidRPr="00273106">
        <w:t xml:space="preserve">). Na existenci nebo neexistenci věci je přímo navázán střední člen demonstrativního soudu, který </w:t>
      </w:r>
      <w:r w:rsidR="085E1A1C">
        <w:t xml:space="preserve">také buď </w:t>
      </w:r>
      <w:r w:rsidR="085E1A1C" w:rsidRPr="00273106">
        <w:t>je nebo není, stejně jako zkoumaná věc (ἔστι μέσον αὐτοῦ ἢ οὐκ ἔστιν; ibid, 89b39</w:t>
      </w:r>
      <w:r w:rsidR="085E1A1C">
        <w:fldChar w:fldCharType="begin"/>
      </w:r>
      <w:r w:rsidR="085E1A1C">
        <w:instrText xml:space="preserve"> XE "Aristoteles:</w:instrText>
      </w:r>
      <w:r w:rsidR="08364FD1">
        <w:rPr>
          <w:i/>
        </w:rPr>
        <w:instrText>Anal. P</w:instrText>
      </w:r>
      <w:r w:rsidR="085E1A1C" w:rsidRPr="00F64230">
        <w:rPr>
          <w:i/>
        </w:rPr>
        <w:instrText>ost</w:instrText>
      </w:r>
      <w:r w:rsidR="085E1A1C">
        <w:instrText xml:space="preserve">. 89b39" </w:instrText>
      </w:r>
      <w:r w:rsidR="085E1A1C">
        <w:fldChar w:fldCharType="end"/>
      </w:r>
      <w:r w:rsidR="085E1A1C" w:rsidRPr="00273106">
        <w:t xml:space="preserve">). Existence první substance má absolutní primát, protože je dána </w:t>
      </w:r>
      <w:r w:rsidR="086E1360">
        <w:t xml:space="preserve">aktuálně a </w:t>
      </w:r>
      <w:r w:rsidR="085E1A1C" w:rsidRPr="00273106">
        <w:rPr>
          <w:i/>
        </w:rPr>
        <w:t>simpliciter</w:t>
      </w:r>
      <w:r w:rsidR="085E1A1C" w:rsidRPr="00273106">
        <w:t xml:space="preserve"> (τὸ εἰ ἔστιν ἁπλῶς, </w:t>
      </w:r>
      <w:r w:rsidR="085E1A1C" w:rsidRPr="00273106">
        <w:rPr>
          <w:i/>
        </w:rPr>
        <w:t>Anal. Post</w:t>
      </w:r>
      <w:r w:rsidR="085E1A1C" w:rsidRPr="00273106">
        <w:t>. 89b38</w:t>
      </w:r>
      <w:r w:rsidR="085E1A1C">
        <w:fldChar w:fldCharType="begin"/>
      </w:r>
      <w:r w:rsidR="085E1A1C">
        <w:instrText xml:space="preserve"> XE "Aristoteles:</w:instrText>
      </w:r>
      <w:r w:rsidR="085E1A1C" w:rsidRPr="00F64230">
        <w:rPr>
          <w:i/>
        </w:rPr>
        <w:instrText>Anal. post</w:instrText>
      </w:r>
      <w:r w:rsidR="085E1A1C">
        <w:instrText xml:space="preserve">. 89b38" </w:instrText>
      </w:r>
      <w:r w:rsidR="085E1A1C">
        <w:fldChar w:fldCharType="end"/>
      </w:r>
      <w:r w:rsidR="085E1A1C" w:rsidRPr="00273106">
        <w:t xml:space="preserve">). </w:t>
      </w:r>
      <w:r w:rsidR="085E1A1C">
        <w:t>T</w:t>
      </w:r>
      <w:r w:rsidR="085E1A1C" w:rsidRPr="00273106">
        <w:t xml:space="preserve">ato faktická nutnost </w:t>
      </w:r>
      <w:r w:rsidR="085E1A1C">
        <w:t xml:space="preserve">daná </w:t>
      </w:r>
      <w:r w:rsidR="085E1A1C" w:rsidRPr="002E2E09">
        <w:rPr>
          <w:i/>
        </w:rPr>
        <w:t>simpliciter</w:t>
      </w:r>
      <w:r w:rsidR="085E1A1C">
        <w:t xml:space="preserve"> reálným bytím první substance </w:t>
      </w:r>
      <w:r w:rsidR="085E1A1C" w:rsidRPr="00273106">
        <w:t xml:space="preserve">je univerzálně </w:t>
      </w:r>
      <w:r w:rsidR="085E1A1C" w:rsidRPr="002E2E09">
        <w:rPr>
          <w:i/>
        </w:rPr>
        <w:t>simpliciter</w:t>
      </w:r>
      <w:r w:rsidR="085E1A1C">
        <w:t xml:space="preserve"> </w:t>
      </w:r>
      <w:r w:rsidR="085E1A1C" w:rsidRPr="00273106">
        <w:t xml:space="preserve">reprezentována skrze </w:t>
      </w:r>
      <w:r w:rsidR="085E1A1C" w:rsidRPr="00273106">
        <w:rPr>
          <w:i/>
        </w:rPr>
        <w:t>demonstratio</w:t>
      </w:r>
      <w:r w:rsidR="085E1A1C">
        <w:rPr>
          <w:i/>
        </w:rPr>
        <w:fldChar w:fldCharType="begin"/>
      </w:r>
      <w:r w:rsidR="085E1A1C">
        <w:instrText xml:space="preserve"> XE "</w:instrText>
      </w:r>
      <w:r w:rsidR="085E1A1C" w:rsidRPr="004E6075">
        <w:rPr>
          <w:i/>
        </w:rPr>
        <w:instrText>demonstratio:</w:instrText>
      </w:r>
      <w:r w:rsidR="085E1A1C">
        <w:instrText xml:space="preserve">Aristoteles" </w:instrText>
      </w:r>
      <w:r w:rsidR="085E1A1C">
        <w:rPr>
          <w:i/>
        </w:rPr>
        <w:fldChar w:fldCharType="end"/>
      </w:r>
      <w:r w:rsidR="085E1A1C" w:rsidRPr="00273106">
        <w:t xml:space="preserve"> ve středním </w:t>
      </w:r>
      <w:r w:rsidR="001912C6">
        <w:t>členu soudu.</w:t>
      </w:r>
    </w:p>
    <w:p w14:paraId="33701A99" w14:textId="45A8A837" w:rsidR="08B81F9F" w:rsidRPr="00273106" w:rsidRDefault="001912C6" w:rsidP="001912C6">
      <w:pPr>
        <w:ind w:firstLine="397"/>
      </w:pPr>
      <w:r>
        <w:t>Vědeckého poznání reálné první substance</w:t>
      </w:r>
      <w:r w:rsidR="08076AFF">
        <w:t xml:space="preserve"> </w:t>
      </w:r>
      <w:r w:rsidR="08076AFF" w:rsidRPr="00273106">
        <w:t>vyjadřují první tři principy</w:t>
      </w:r>
      <w:r w:rsidR="00CF69C0">
        <w:t xml:space="preserve"> </w:t>
      </w:r>
      <w:r w:rsidR="00CF69C0" w:rsidRPr="006225AE">
        <w:rPr>
          <w:i/>
        </w:rPr>
        <w:t>Druhých analytik</w:t>
      </w:r>
      <w:r w:rsidR="08076AFF">
        <w:t>. P</w:t>
      </w:r>
      <w:r w:rsidR="08076AFF" w:rsidRPr="00273106">
        <w:t>roto jsou nejdůležitější</w:t>
      </w:r>
      <w:r w:rsidR="08076AFF">
        <w:t xml:space="preserve"> a teprve jejich poznání zaručuje správnou predikaci esence</w:t>
      </w:r>
      <w:r w:rsidR="084D58B8">
        <w:t xml:space="preserve"> jako prvního principu v řádu </w:t>
      </w:r>
      <w:r w:rsidR="00350D54">
        <w:t xml:space="preserve">vědeckého </w:t>
      </w:r>
      <w:r w:rsidR="084D58B8" w:rsidRPr="084D58B8">
        <w:rPr>
          <w:i/>
        </w:rPr>
        <w:t>demonstratio</w:t>
      </w:r>
      <w:r w:rsidR="08076AFF">
        <w:t xml:space="preserve">. </w:t>
      </w:r>
      <w:r w:rsidR="08B81F9F" w:rsidRPr="00273106">
        <w:t xml:space="preserve">Nutnost daná v realitě </w:t>
      </w:r>
      <w:r w:rsidR="08B81F9F" w:rsidRPr="00273106">
        <w:rPr>
          <w:i/>
        </w:rPr>
        <w:t>simpliciter</w:t>
      </w:r>
      <w:r w:rsidR="08B81F9F" w:rsidRPr="00273106">
        <w:t xml:space="preserve"> v singulárních a reálných substancích a jejich působení se </w:t>
      </w:r>
      <w:r w:rsidR="08941B46">
        <w:t>promítá</w:t>
      </w:r>
      <w:r w:rsidR="08B81F9F" w:rsidRPr="00273106">
        <w:t xml:space="preserve"> do nutných závěrů </w:t>
      </w:r>
      <w:r w:rsidR="08B81F9F" w:rsidRPr="00273106">
        <w:lastRenderedPageBreak/>
        <w:t xml:space="preserve">vědeckého poznání daného </w:t>
      </w:r>
      <w:r w:rsidR="08B81F9F" w:rsidRPr="00273106">
        <w:rPr>
          <w:i/>
        </w:rPr>
        <w:t>simpliciter</w:t>
      </w:r>
      <w:r w:rsidR="08B81F9F" w:rsidRPr="00273106">
        <w:t xml:space="preserve"> v rámci deduktivního soudu první logické figury. Nutný a obecný demonstrativní soud reprodukuje na úrovni </w:t>
      </w:r>
      <w:r w:rsidR="08A0100E">
        <w:t xml:space="preserve">metafyzické </w:t>
      </w:r>
      <w:r w:rsidR="08B81F9F" w:rsidRPr="00273106">
        <w:t>nutnosti</w:t>
      </w:r>
      <w:r w:rsidR="08ED764B">
        <w:t xml:space="preserve"> a </w:t>
      </w:r>
      <w:r w:rsidR="08573957">
        <w:t xml:space="preserve">tedy </w:t>
      </w:r>
      <w:r w:rsidR="08573957" w:rsidRPr="08573957">
        <w:rPr>
          <w:i/>
        </w:rPr>
        <w:t>ex post</w:t>
      </w:r>
      <w:r w:rsidR="08ED764B">
        <w:t xml:space="preserve"> původní a </w:t>
      </w:r>
      <w:r w:rsidR="08B81F9F" w:rsidRPr="00273106">
        <w:t>jedinečný kauzálně daný stav světa</w:t>
      </w:r>
      <w:r w:rsidR="08ED764B">
        <w:t xml:space="preserve"> daný </w:t>
      </w:r>
      <w:r w:rsidR="08ED764B" w:rsidRPr="08ED764B">
        <w:rPr>
          <w:i/>
        </w:rPr>
        <w:t>a priori</w:t>
      </w:r>
      <w:r w:rsidR="08B81F9F" w:rsidRPr="00273106">
        <w:t xml:space="preserve">. </w:t>
      </w:r>
      <w:r w:rsidR="085E1A1C">
        <w:t>Díky reálné kauzalitě dané ve světě prvních substancí platí pravda jako adekvace</w:t>
      </w:r>
      <w:r w:rsidR="08875E66">
        <w:t xml:space="preserve"> a tímto </w:t>
      </w:r>
      <w:r w:rsidR="085E1A1C">
        <w:t xml:space="preserve">postupem </w:t>
      </w:r>
      <w:r w:rsidR="08B81F9F" w:rsidRPr="00273106">
        <w:t xml:space="preserve">je dáno </w:t>
      </w:r>
      <w:r w:rsidR="08B81F9F">
        <w:t>Averroes</w:t>
      </w:r>
      <w:r w:rsidR="08B81F9F" w:rsidRPr="00273106">
        <w:t>ovo pojetí pravdy jako pravdivá výpověď poznávající reálně existující substance</w:t>
      </w:r>
      <w:r w:rsidR="08875E66">
        <w:t xml:space="preserve"> v modu </w:t>
      </w:r>
      <w:r w:rsidR="08875E66" w:rsidRPr="08875E66">
        <w:rPr>
          <w:i/>
        </w:rPr>
        <w:t>proportio</w:t>
      </w:r>
      <w:r w:rsidR="08B81F9F" w:rsidRPr="00273106">
        <w:t xml:space="preserve">. </w:t>
      </w:r>
      <w:r w:rsidR="08B81F9F">
        <w:t>Pořadí princ</w:t>
      </w:r>
      <w:r w:rsidR="084C730F">
        <w:t>ip</w:t>
      </w:r>
      <w:r w:rsidR="08B81F9F">
        <w:t xml:space="preserve">ů poznání ve </w:t>
      </w:r>
      <w:r w:rsidR="08B81F9F" w:rsidRPr="00673AC1">
        <w:rPr>
          <w:i/>
        </w:rPr>
        <w:t>Druhých analytikách</w:t>
      </w:r>
      <w:r w:rsidR="08B81F9F">
        <w:t xml:space="preserve"> opakuje základní postup </w:t>
      </w:r>
      <w:r w:rsidR="08B81F9F" w:rsidRPr="00673AC1">
        <w:rPr>
          <w:i/>
        </w:rPr>
        <w:t>Kategorií</w:t>
      </w:r>
      <w:r w:rsidR="08B81F9F">
        <w:t xml:space="preserve"> daný hyparchickým postavením první substance, která determinuje v modu </w:t>
      </w:r>
      <w:r w:rsidR="08B81F9F" w:rsidRPr="00B93C71">
        <w:rPr>
          <w:i/>
        </w:rPr>
        <w:t>per prius</w:t>
      </w:r>
      <w:r w:rsidR="08B81F9F">
        <w:t xml:space="preserve"> impozici druhé substa</w:t>
      </w:r>
      <w:r w:rsidR="00855B25">
        <w:t>nce</w:t>
      </w:r>
      <w:r w:rsidR="088D4773">
        <w:t xml:space="preserve">. </w:t>
      </w:r>
      <w:r w:rsidR="084C730F">
        <w:t>Potenciální o</w:t>
      </w:r>
      <w:r w:rsidR="08B81F9F" w:rsidRPr="00273106">
        <w:t xml:space="preserve">becnost a nutnost deduktivního soudu zajišťuje, že poznání v rámci </w:t>
      </w:r>
      <w:r w:rsidR="08B81F9F" w:rsidRPr="00273106">
        <w:rPr>
          <w:i/>
        </w:rPr>
        <w:t>demonstratio</w:t>
      </w:r>
      <w:r w:rsidR="08B81F9F" w:rsidRPr="00273106">
        <w:t xml:space="preserve"> není na stejné úrovni jako smyslově poznané jednotliviny. Začátek druhé knihy </w:t>
      </w:r>
      <w:r w:rsidR="08B81F9F" w:rsidRPr="00673AC1">
        <w:rPr>
          <w:i/>
        </w:rPr>
        <w:t>Druhých analytik</w:t>
      </w:r>
      <w:r w:rsidR="08B81F9F" w:rsidRPr="00273106">
        <w:t xml:space="preserve"> opakuje pořadí axiomů</w:t>
      </w:r>
      <w:r w:rsidR="08B81F9F">
        <w:t xml:space="preserve"> obhájené v první knize</w:t>
      </w:r>
      <w:r w:rsidR="08B81F9F" w:rsidRPr="00273106">
        <w:t xml:space="preserve">. Nejprve musíme poznat existenci věci a pak se ptáme na její esenci (γνόντες δὲ ὅτι ἔστι, τί ἐστι ζητοῦμεν, </w:t>
      </w:r>
      <w:r w:rsidR="08B81F9F" w:rsidRPr="00273106">
        <w:rPr>
          <w:i/>
        </w:rPr>
        <w:t>Anal. Post</w:t>
      </w:r>
      <w:r w:rsidR="08B81F9F" w:rsidRPr="00273106">
        <w:t>. 89b34</w:t>
      </w:r>
      <w:r w:rsidR="08B81F9F">
        <w:fldChar w:fldCharType="begin"/>
      </w:r>
      <w:r w:rsidR="08B81F9F">
        <w:instrText xml:space="preserve"> XE "Aristoteles:</w:instrText>
      </w:r>
      <w:r w:rsidR="08B81F9F" w:rsidRPr="00F64230">
        <w:rPr>
          <w:i/>
        </w:rPr>
        <w:instrText>Anal. post</w:instrText>
      </w:r>
      <w:r w:rsidR="08B81F9F">
        <w:instrText xml:space="preserve">. 89b34" </w:instrText>
      </w:r>
      <w:r w:rsidR="08B81F9F">
        <w:fldChar w:fldCharType="end"/>
      </w:r>
      <w:r w:rsidR="08CC47EA">
        <w:t xml:space="preserve">). Tento postup </w:t>
      </w:r>
      <w:r w:rsidR="08B81F9F" w:rsidRPr="00273106">
        <w:t>vědecké</w:t>
      </w:r>
      <w:r w:rsidR="08CC47EA">
        <w:t>ho</w:t>
      </w:r>
      <w:r w:rsidR="08B81F9F" w:rsidRPr="00273106">
        <w:t xml:space="preserve"> poznání </w:t>
      </w:r>
      <w:r w:rsidR="08CC47EA">
        <w:t xml:space="preserve">je závazný i pro </w:t>
      </w:r>
      <w:r w:rsidR="08B81F9F" w:rsidRPr="00273106">
        <w:t>Alberta</w:t>
      </w:r>
      <w:r w:rsidR="08B81F9F">
        <w:t xml:space="preserve">. </w:t>
      </w:r>
      <w:r w:rsidR="08B81F9F" w:rsidRPr="00273106">
        <w:t xml:space="preserve">Správný náhled na </w:t>
      </w:r>
      <w:r w:rsidR="08B81F9F" w:rsidRPr="00861797">
        <w:rPr>
          <w:i/>
        </w:rPr>
        <w:t>Druhé analytiky</w:t>
      </w:r>
      <w:r w:rsidR="08B81F9F" w:rsidRPr="00273106">
        <w:t xml:space="preserve"> je dán pouze z hlediska první substance dané </w:t>
      </w:r>
      <w:r w:rsidR="08B81F9F">
        <w:t>bezprostředně (</w:t>
      </w:r>
      <w:r w:rsidR="00010B8E">
        <w:rPr>
          <w:i/>
        </w:rPr>
        <w:t>inmediate</w:t>
      </w:r>
      <w:r w:rsidR="08B81F9F">
        <w:t>)</w:t>
      </w:r>
      <w:r w:rsidR="08B81F9F" w:rsidRPr="00273106">
        <w:rPr>
          <w:i/>
        </w:rPr>
        <w:t xml:space="preserve"> </w:t>
      </w:r>
      <w:r w:rsidR="08B81F9F" w:rsidRPr="00273106">
        <w:t>ve středním členu soudu</w:t>
      </w:r>
      <w:r w:rsidR="08B81F9F">
        <w:t>. T</w:t>
      </w:r>
      <w:r w:rsidR="08B81F9F" w:rsidRPr="00273106">
        <w:t>ím</w:t>
      </w:r>
      <w:r w:rsidR="08B81F9F">
        <w:t>to kauzálně daným spojením</w:t>
      </w:r>
      <w:r w:rsidR="08B81F9F" w:rsidRPr="00273106">
        <w:t xml:space="preserve"> je </w:t>
      </w:r>
      <w:r w:rsidR="08B81F9F" w:rsidRPr="080A32F3">
        <w:rPr>
          <w:i/>
        </w:rPr>
        <w:t>medium</w:t>
      </w:r>
      <w:r w:rsidR="08B81F9F" w:rsidRPr="080A32F3">
        <w:rPr>
          <w:i/>
        </w:rPr>
        <w:fldChar w:fldCharType="begin"/>
      </w:r>
      <w:r w:rsidR="08B81F9F" w:rsidRPr="080A32F3">
        <w:rPr>
          <w:i/>
        </w:rPr>
        <w:instrText xml:space="preserve"> XE "medium:Albert" </w:instrText>
      </w:r>
      <w:r w:rsidR="08B81F9F" w:rsidRPr="080A32F3">
        <w:rPr>
          <w:i/>
        </w:rPr>
        <w:fldChar w:fldCharType="end"/>
      </w:r>
      <w:r w:rsidR="08B81F9F" w:rsidRPr="00273106">
        <w:t xml:space="preserve"> soudu dané i </w:t>
      </w:r>
      <w:r w:rsidR="08B81F9F">
        <w:t>pravdivě (</w:t>
      </w:r>
      <w:r w:rsidR="08B81F9F" w:rsidRPr="00273106">
        <w:rPr>
          <w:i/>
        </w:rPr>
        <w:t>vere</w:t>
      </w:r>
      <w:r w:rsidR="08B81F9F">
        <w:t>)</w:t>
      </w:r>
      <w:r w:rsidR="08B81F9F" w:rsidRPr="00273106">
        <w:rPr>
          <w:i/>
        </w:rPr>
        <w:t>.</w:t>
      </w:r>
      <w:r w:rsidR="08B81F9F" w:rsidRPr="00273106">
        <w:t xml:space="preserve"> </w:t>
      </w:r>
      <w:r w:rsidR="08804579">
        <w:t xml:space="preserve">Základní </w:t>
      </w:r>
      <w:r w:rsidR="08804579" w:rsidRPr="00637A3B">
        <w:rPr>
          <w:i/>
        </w:rPr>
        <w:t>Irrtum</w:t>
      </w:r>
      <w:r w:rsidR="08804579">
        <w:rPr>
          <w:i/>
        </w:rPr>
        <w:fldChar w:fldCharType="begin"/>
      </w:r>
      <w:r w:rsidR="08804579">
        <w:instrText xml:space="preserve"> XE "</w:instrText>
      </w:r>
      <w:r w:rsidR="08804579" w:rsidRPr="00453B3F">
        <w:rPr>
          <w:i/>
        </w:rPr>
        <w:instrText>Irrtum</w:instrText>
      </w:r>
      <w:r w:rsidR="08804579">
        <w:instrText xml:space="preserve">:moderna" </w:instrText>
      </w:r>
      <w:r w:rsidR="08804579">
        <w:rPr>
          <w:i/>
        </w:rPr>
        <w:fldChar w:fldCharType="end"/>
      </w:r>
      <w:r w:rsidR="08804579">
        <w:t xml:space="preserve"> moderny byl a je v tom, že nedodržela pořadí principů poznání. </w:t>
      </w:r>
      <w:r w:rsidR="08B81F9F">
        <w:t xml:space="preserve">Následující citace ukazuje </w:t>
      </w:r>
      <w:r w:rsidR="080A32F3">
        <w:t xml:space="preserve">původní </w:t>
      </w:r>
      <w:r w:rsidR="080A32F3" w:rsidRPr="080A32F3">
        <w:rPr>
          <w:i/>
        </w:rPr>
        <w:t>Lichtung</w:t>
      </w:r>
      <w:r w:rsidR="080A32F3">
        <w:t xml:space="preserve"> </w:t>
      </w:r>
      <w:r w:rsidR="08B81F9F">
        <w:t>spor</w:t>
      </w:r>
      <w:r w:rsidR="080A32F3">
        <w:t>u</w:t>
      </w:r>
      <w:r w:rsidR="08B81F9F">
        <w:t xml:space="preserve"> o budoucí formu objektivity. </w:t>
      </w:r>
    </w:p>
    <w:p w14:paraId="6EB91E5F" w14:textId="17628138" w:rsidR="08B81F9F" w:rsidRPr="00DD2AA7" w:rsidRDefault="08B81F9F" w:rsidP="08B81F9F">
      <w:pPr>
        <w:pStyle w:val="Citace"/>
      </w:pPr>
      <w:r w:rsidRPr="00DD2AA7">
        <w:t>„V prvním modu je princip poznání dán jako první, pravdivý a bezprostřední (</w:t>
      </w:r>
      <w:r w:rsidRPr="00DD2AA7">
        <w:rPr>
          <w:i/>
        </w:rPr>
        <w:t>primum, verum, et immediatum</w:t>
      </w:r>
      <w:r w:rsidRPr="00DD2AA7">
        <w:t xml:space="preserve">). To, z čeho princip vychází, je prvotně daný akt bytí jsoucna, které je skrze sebe dané </w:t>
      </w:r>
      <w:r w:rsidR="00B82D70">
        <w:rPr>
          <w:lang w:val="cs-CZ"/>
        </w:rPr>
        <w:t xml:space="preserve">jako </w:t>
      </w:r>
      <w:r w:rsidR="00B82D70">
        <w:t>pravdiv</w:t>
      </w:r>
      <w:r w:rsidR="00B82D70">
        <w:rPr>
          <w:lang w:val="cs-CZ"/>
        </w:rPr>
        <w:t>é jsoucno</w:t>
      </w:r>
      <w:r w:rsidRPr="00DD2AA7">
        <w:t xml:space="preserve"> (</w:t>
      </w:r>
      <w:r w:rsidRPr="00DD2AA7">
        <w:rPr>
          <w:rStyle w:val="Zkladntext1"/>
          <w:rFonts w:ascii="Calibri" w:eastAsia="Times" w:hAnsi="Calibri"/>
          <w:i/>
          <w:spacing w:val="0"/>
          <w:sz w:val="22"/>
          <w:u w:val="none"/>
          <w:lang w:val="x-none"/>
        </w:rPr>
        <w:t>prin</w:t>
      </w:r>
      <w:r w:rsidRPr="00DD2AA7">
        <w:rPr>
          <w:i/>
        </w:rPr>
        <w:t>cipi</w:t>
      </w:r>
      <w:r w:rsidRPr="00DD2AA7">
        <w:rPr>
          <w:rStyle w:val="Zkladntext1"/>
          <w:rFonts w:ascii="Calibri" w:eastAsia="Times" w:hAnsi="Calibri"/>
          <w:i/>
          <w:spacing w:val="0"/>
          <w:sz w:val="22"/>
          <w:u w:val="none"/>
          <w:lang w:val="x-none"/>
        </w:rPr>
        <w:t>um illud per se est in esse vero</w:t>
      </w:r>
      <w:r w:rsidRPr="00DD2AA7">
        <w:t xml:space="preserve">). Proto je nutné, aby </w:t>
      </w:r>
      <w:r w:rsidR="085C0D9C">
        <w:rPr>
          <w:lang w:val="cs-CZ"/>
        </w:rPr>
        <w:t xml:space="preserve">aktuálně </w:t>
      </w:r>
      <w:r w:rsidRPr="00DD2AA7">
        <w:t xml:space="preserve">dané jsoucno určovalo z hlediska vlastního </w:t>
      </w:r>
      <w:r w:rsidR="00F53DD5">
        <w:rPr>
          <w:lang w:val="cs-CZ"/>
        </w:rPr>
        <w:t xml:space="preserve">aktuálního </w:t>
      </w:r>
      <w:r w:rsidRPr="00DD2AA7">
        <w:t xml:space="preserve">způsobu bytí i </w:t>
      </w:r>
      <w:r w:rsidR="00F53DD5">
        <w:rPr>
          <w:lang w:val="cs-CZ"/>
        </w:rPr>
        <w:t xml:space="preserve">poznávaný </w:t>
      </w:r>
      <w:r w:rsidRPr="00DD2AA7">
        <w:t xml:space="preserve">předmět, který </w:t>
      </w:r>
      <w:r w:rsidR="00F53DD5" w:rsidRPr="00DD2AA7">
        <w:t>princip</w:t>
      </w:r>
      <w:r w:rsidR="00F53DD5">
        <w:rPr>
          <w:lang w:val="cs-CZ"/>
        </w:rPr>
        <w:t>iálně</w:t>
      </w:r>
      <w:r w:rsidR="00F53DD5" w:rsidRPr="00DD2AA7">
        <w:t xml:space="preserve"> určuje</w:t>
      </w:r>
      <w:r w:rsidR="00F53DD5">
        <w:rPr>
          <w:lang w:val="cs-CZ"/>
        </w:rPr>
        <w:t xml:space="preserve"> poznání </w:t>
      </w:r>
      <w:r w:rsidR="085C0D9C">
        <w:rPr>
          <w:lang w:val="cs-CZ"/>
        </w:rPr>
        <w:t>(</w:t>
      </w:r>
      <w:r w:rsidR="085C0D9C" w:rsidRPr="085C0D9C">
        <w:rPr>
          <w:i/>
        </w:rPr>
        <w:t>sit determinatum ad hoc quod sit proprium ad principiatum</w:t>
      </w:r>
      <w:r w:rsidR="085C0D9C">
        <w:rPr>
          <w:lang w:val="cs-CZ"/>
        </w:rPr>
        <w:t>)</w:t>
      </w:r>
      <w:r w:rsidRPr="00DD2AA7">
        <w:t xml:space="preserve">. Pokud by to bylo jinak, pak by </w:t>
      </w:r>
      <w:r w:rsidR="00C33A07">
        <w:rPr>
          <w:lang w:val="cs-CZ"/>
        </w:rPr>
        <w:t xml:space="preserve">první reálný </w:t>
      </w:r>
      <w:r w:rsidRPr="00DD2AA7">
        <w:t>p</w:t>
      </w:r>
      <w:r w:rsidR="00646043">
        <w:t xml:space="preserve">rincip neurčoval </w:t>
      </w:r>
      <w:r w:rsidR="00C33A07">
        <w:rPr>
          <w:lang w:val="cs-CZ"/>
        </w:rPr>
        <w:t xml:space="preserve">poznávaný </w:t>
      </w:r>
      <w:r w:rsidR="00646043">
        <w:t>předmět ze</w:t>
      </w:r>
      <w:r w:rsidR="00646043">
        <w:rPr>
          <w:lang w:val="cs-CZ"/>
        </w:rPr>
        <w:t xml:space="preserve"> své vlastní existence</w:t>
      </w:r>
      <w:r w:rsidR="001B7965">
        <w:t xml:space="preserve">, ale </w:t>
      </w:r>
      <w:r w:rsidR="00CA44FE">
        <w:rPr>
          <w:lang w:val="cs-CZ"/>
        </w:rPr>
        <w:t xml:space="preserve">na základě </w:t>
      </w:r>
      <w:r w:rsidR="001B7965">
        <w:t xml:space="preserve">něčeho jiného. </w:t>
      </w:r>
      <w:r w:rsidRPr="00DD2AA7">
        <w:t xml:space="preserve">Proto říkáme, že </w:t>
      </w:r>
      <w:r w:rsidR="00CA44FE">
        <w:rPr>
          <w:lang w:val="cs-CZ"/>
        </w:rPr>
        <w:t xml:space="preserve">první </w:t>
      </w:r>
      <w:r w:rsidRPr="00DD2AA7">
        <w:t>princip je daný ze sebe (</w:t>
      </w:r>
      <w:r w:rsidRPr="006A19E1">
        <w:rPr>
          <w:i/>
        </w:rPr>
        <w:t>ex hoc quod est per se</w:t>
      </w:r>
      <w:r w:rsidRPr="00DD2AA7">
        <w:t>), a proto je i prvním</w:t>
      </w:r>
      <w:r w:rsidR="00F12E37">
        <w:rPr>
          <w:lang w:val="cs-CZ"/>
        </w:rPr>
        <w:t xml:space="preserve"> v řadě</w:t>
      </w:r>
      <w:r w:rsidRPr="00DD2AA7">
        <w:t xml:space="preserve">. Je totiž prvním skrze sebe, a ne skrze něco jiného, a skrze tuto </w:t>
      </w:r>
      <w:r w:rsidR="00A80F02">
        <w:rPr>
          <w:lang w:val="cs-CZ"/>
        </w:rPr>
        <w:t xml:space="preserve">existenciální </w:t>
      </w:r>
      <w:r w:rsidRPr="00DD2AA7">
        <w:t xml:space="preserve">svojskost je </w:t>
      </w:r>
      <w:r w:rsidR="00A80F02">
        <w:rPr>
          <w:lang w:val="cs-CZ"/>
        </w:rPr>
        <w:t xml:space="preserve">prvním </w:t>
      </w:r>
      <w:r w:rsidRPr="00DD2AA7">
        <w:t>principem. Tím je také pravdivým: princip je totiž dán skrze pravdivost</w:t>
      </w:r>
      <w:r w:rsidR="00E84D97">
        <w:rPr>
          <w:lang w:val="cs-CZ"/>
        </w:rPr>
        <w:t xml:space="preserve"> reálného bytí</w:t>
      </w:r>
      <w:r w:rsidRPr="00DD2AA7">
        <w:t>, kvůli které</w:t>
      </w:r>
      <w:r w:rsidR="00E84D97">
        <w:rPr>
          <w:lang w:val="cs-CZ"/>
        </w:rPr>
        <w:t>mu</w:t>
      </w:r>
      <w:r w:rsidRPr="00DD2AA7">
        <w:t xml:space="preserve"> je poznán sám o sobě, že totiž jest</w:t>
      </w:r>
      <w:r w:rsidR="08434D37">
        <w:rPr>
          <w:lang w:val="cs-CZ"/>
        </w:rPr>
        <w:t xml:space="preserve"> (</w:t>
      </w:r>
      <w:r w:rsidR="08434D37" w:rsidRPr="08434D37">
        <w:rPr>
          <w:i/>
        </w:rPr>
        <w:t>propter quod cognoscitur de ipso quia est</w:t>
      </w:r>
      <w:r w:rsidR="08434D37">
        <w:rPr>
          <w:lang w:val="cs-CZ"/>
        </w:rPr>
        <w:t>)</w:t>
      </w:r>
      <w:r w:rsidR="0803330E">
        <w:t>.</w:t>
      </w:r>
      <w:r w:rsidR="0803330E">
        <w:rPr>
          <w:lang w:val="cs-CZ"/>
        </w:rPr>
        <w:t>“</w:t>
      </w:r>
      <w:r w:rsidRPr="00DD2AA7">
        <w:t xml:space="preserve"> </w:t>
      </w:r>
      <w:r w:rsidRPr="00DD2AA7">
        <w:rPr>
          <w:rStyle w:val="Znakapoznpodarou"/>
        </w:rPr>
        <w:footnoteReference w:id="214"/>
      </w:r>
    </w:p>
    <w:p w14:paraId="4ECF0498" w14:textId="7B3E6C13" w:rsidR="08DF7C7D" w:rsidRPr="005546EB" w:rsidRDefault="08B81F9F" w:rsidP="08DF7C7D">
      <w:pPr>
        <w:rPr>
          <w:rStyle w:val="Zkladntext1"/>
          <w:rFonts w:ascii="Calibri" w:eastAsia="Times" w:hAnsi="Calibri"/>
          <w:color w:val="auto"/>
          <w:spacing w:val="0"/>
          <w:sz w:val="24"/>
          <w:szCs w:val="20"/>
          <w:u w:val="none"/>
          <w:lang w:val="cs-CZ"/>
        </w:rPr>
      </w:pPr>
      <w:r>
        <w:lastRenderedPageBreak/>
        <w:t xml:space="preserve">Albert po vzoru Averroese </w:t>
      </w:r>
      <w:r w:rsidRPr="00273106">
        <w:t xml:space="preserve">zakládá vztah pravdivosti jako adekvace, která je dána fakticitou prvního principu daného </w:t>
      </w:r>
      <w:r w:rsidRPr="00273106">
        <w:rPr>
          <w:i/>
        </w:rPr>
        <w:t>per se</w:t>
      </w:r>
      <w:r w:rsidRPr="00273106">
        <w:t xml:space="preserve"> ve vlastním bytí první substance (</w:t>
      </w:r>
      <w:r w:rsidRPr="00273106">
        <w:rPr>
          <w:i/>
        </w:rPr>
        <w:t>p</w:t>
      </w:r>
      <w:r w:rsidRPr="00273106">
        <w:rPr>
          <w:rStyle w:val="Zkladntext1"/>
          <w:rFonts w:ascii="Calibri" w:eastAsia="Times" w:hAnsi="Calibri"/>
          <w:i/>
          <w:color w:val="auto"/>
          <w:spacing w:val="0"/>
          <w:sz w:val="24"/>
          <w:u w:val="none"/>
          <w:lang w:val="cs-CZ"/>
        </w:rPr>
        <w:t>er se est in esse vero</w:t>
      </w:r>
      <w:r w:rsidRPr="00273106">
        <w:rPr>
          <w:rStyle w:val="Zkladntext1"/>
          <w:rFonts w:ascii="Calibri" w:eastAsia="Times" w:hAnsi="Calibri"/>
          <w:color w:val="auto"/>
          <w:spacing w:val="0"/>
          <w:sz w:val="24"/>
          <w:u w:val="none"/>
          <w:lang w:val="cs-CZ"/>
        </w:rPr>
        <w:t xml:space="preserve">). Tento princip reality </w:t>
      </w:r>
      <w:r w:rsidR="08647D6A">
        <w:rPr>
          <w:rStyle w:val="Zkladntext1"/>
          <w:rFonts w:ascii="Calibri" w:eastAsia="Times" w:hAnsi="Calibri"/>
          <w:color w:val="auto"/>
          <w:spacing w:val="0"/>
          <w:sz w:val="24"/>
          <w:u w:val="none"/>
          <w:lang w:val="cs-CZ"/>
        </w:rPr>
        <w:t>(</w:t>
      </w:r>
      <w:r w:rsidR="08647D6A" w:rsidRPr="00DD2AA7">
        <w:rPr>
          <w:i/>
        </w:rPr>
        <w:t>immediatum</w:t>
      </w:r>
      <w:r w:rsidR="08647D6A">
        <w:rPr>
          <w:rStyle w:val="Zkladntext1"/>
          <w:rFonts w:ascii="Calibri" w:eastAsia="Times" w:hAnsi="Calibri"/>
          <w:color w:val="auto"/>
          <w:spacing w:val="0"/>
          <w:sz w:val="24"/>
          <w:u w:val="none"/>
          <w:lang w:val="cs-CZ"/>
        </w:rPr>
        <w:t xml:space="preserve">) </w:t>
      </w:r>
      <w:r w:rsidRPr="00273106">
        <w:rPr>
          <w:rStyle w:val="Zkladntext1"/>
          <w:rFonts w:ascii="Calibri" w:eastAsia="Times" w:hAnsi="Calibri"/>
          <w:color w:val="auto"/>
          <w:spacing w:val="0"/>
          <w:sz w:val="24"/>
          <w:u w:val="none"/>
          <w:lang w:val="cs-CZ"/>
        </w:rPr>
        <w:t xml:space="preserve">determinuje </w:t>
      </w:r>
      <w:r w:rsidR="001E3219">
        <w:rPr>
          <w:rStyle w:val="Zkladntext1"/>
          <w:rFonts w:ascii="Calibri" w:eastAsia="Times" w:hAnsi="Calibri"/>
          <w:color w:val="auto"/>
          <w:spacing w:val="0"/>
          <w:sz w:val="24"/>
          <w:u w:val="none"/>
          <w:lang w:val="cs-CZ"/>
        </w:rPr>
        <w:t xml:space="preserve">další </w:t>
      </w:r>
      <w:r w:rsidRPr="00273106">
        <w:rPr>
          <w:rStyle w:val="Zkladntext1"/>
          <w:rFonts w:ascii="Calibri" w:eastAsia="Times" w:hAnsi="Calibri"/>
          <w:color w:val="auto"/>
          <w:spacing w:val="0"/>
          <w:sz w:val="24"/>
          <w:u w:val="none"/>
          <w:lang w:val="cs-CZ"/>
        </w:rPr>
        <w:t xml:space="preserve">dva principy poznání dané </w:t>
      </w:r>
      <w:r w:rsidR="08C40069">
        <w:rPr>
          <w:rStyle w:val="Zkladntext1"/>
          <w:rFonts w:ascii="Calibri" w:eastAsia="Times" w:hAnsi="Calibri"/>
          <w:color w:val="auto"/>
          <w:spacing w:val="0"/>
          <w:sz w:val="24"/>
          <w:u w:val="none"/>
          <w:lang w:val="cs-CZ"/>
        </w:rPr>
        <w:t xml:space="preserve">v citovaném textu </w:t>
      </w:r>
      <w:r w:rsidRPr="00273106">
        <w:rPr>
          <w:rStyle w:val="Zkladntext1"/>
          <w:rFonts w:ascii="Calibri" w:eastAsia="Times" w:hAnsi="Calibri"/>
          <w:color w:val="auto"/>
          <w:spacing w:val="0"/>
          <w:sz w:val="24"/>
          <w:u w:val="none"/>
          <w:lang w:val="cs-CZ"/>
        </w:rPr>
        <w:t>vzhledem k první substanci</w:t>
      </w:r>
      <w:r w:rsidR="08647D6A">
        <w:rPr>
          <w:rStyle w:val="Zkladntext1"/>
          <w:rFonts w:ascii="Calibri" w:eastAsia="Times" w:hAnsi="Calibri"/>
          <w:color w:val="auto"/>
          <w:spacing w:val="0"/>
          <w:sz w:val="24"/>
          <w:u w:val="none"/>
          <w:lang w:val="cs-CZ"/>
        </w:rPr>
        <w:t xml:space="preserve"> (</w:t>
      </w:r>
      <w:r w:rsidR="08647D6A">
        <w:rPr>
          <w:i/>
        </w:rPr>
        <w:t>primum, verum</w:t>
      </w:r>
      <w:r w:rsidR="08647D6A">
        <w:rPr>
          <w:rStyle w:val="Zkladntext1"/>
          <w:rFonts w:ascii="Calibri" w:eastAsia="Times" w:hAnsi="Calibri"/>
          <w:color w:val="auto"/>
          <w:spacing w:val="0"/>
          <w:sz w:val="24"/>
          <w:u w:val="none"/>
          <w:lang w:val="cs-CZ"/>
        </w:rPr>
        <w:t>)</w:t>
      </w:r>
      <w:r w:rsidRPr="00273106">
        <w:rPr>
          <w:rStyle w:val="Zkladntext1"/>
          <w:rFonts w:ascii="Calibri" w:eastAsia="Times" w:hAnsi="Calibri"/>
          <w:color w:val="auto"/>
          <w:spacing w:val="0"/>
          <w:sz w:val="24"/>
          <w:u w:val="none"/>
          <w:lang w:val="cs-CZ"/>
        </w:rPr>
        <w:t xml:space="preserve">. </w:t>
      </w:r>
      <w:r w:rsidR="00216517">
        <w:rPr>
          <w:rStyle w:val="Zkladntext1"/>
          <w:rFonts w:ascii="Calibri" w:eastAsia="Times" w:hAnsi="Calibri"/>
          <w:color w:val="auto"/>
          <w:spacing w:val="0"/>
          <w:sz w:val="24"/>
          <w:u w:val="none"/>
          <w:lang w:val="cs-CZ"/>
        </w:rPr>
        <w:t>Metodologický p</w:t>
      </w:r>
      <w:r w:rsidR="083A72E1" w:rsidRPr="00273106">
        <w:t xml:space="preserve">rimát jasně drží princip </w:t>
      </w:r>
      <w:r w:rsidR="08754143" w:rsidRPr="08754143">
        <w:rPr>
          <w:i/>
        </w:rPr>
        <w:t>immediatum</w:t>
      </w:r>
      <w:r w:rsidR="08754143">
        <w:t xml:space="preserve"> </w:t>
      </w:r>
      <w:r w:rsidR="083A72E1">
        <w:t>daný impozicí významu od reálné prvn</w:t>
      </w:r>
      <w:r w:rsidR="08C40069">
        <w:t>í substance. Jedině p</w:t>
      </w:r>
      <w:r w:rsidR="083A72E1" w:rsidRPr="00273106">
        <w:t>rvní substance</w:t>
      </w:r>
      <w:r w:rsidR="083A72E1">
        <w:fldChar w:fldCharType="begin"/>
      </w:r>
      <w:r w:rsidR="083A72E1">
        <w:instrText xml:space="preserve"> XE "princip </w:instrText>
      </w:r>
      <w:r w:rsidR="08D91F67">
        <w:rPr>
          <w:i/>
        </w:rPr>
        <w:instrText>ex in</w:instrText>
      </w:r>
      <w:r w:rsidR="083A72E1" w:rsidRPr="00FB2CE7">
        <w:rPr>
          <w:i/>
        </w:rPr>
        <w:instrText>mediatis</w:instrText>
      </w:r>
      <w:r w:rsidR="083A72E1">
        <w:instrText xml:space="preserve">" </w:instrText>
      </w:r>
      <w:r w:rsidR="083A72E1">
        <w:fldChar w:fldCharType="end"/>
      </w:r>
      <w:r w:rsidR="083A72E1" w:rsidRPr="00273106">
        <w:t xml:space="preserve"> je dána pro sebe, bezprostředně a přímo (</w:t>
      </w:r>
      <w:r w:rsidR="083A72E1">
        <w:rPr>
          <w:i/>
        </w:rPr>
        <w:t>per ipsum est princi</w:t>
      </w:r>
      <w:r w:rsidR="083A72E1" w:rsidRPr="00273106">
        <w:rPr>
          <w:i/>
        </w:rPr>
        <w:t>pium</w:t>
      </w:r>
      <w:r w:rsidR="083A72E1" w:rsidRPr="00273106">
        <w:t xml:space="preserve">). </w:t>
      </w:r>
      <w:r w:rsidR="08876C11">
        <w:t xml:space="preserve">Proto poznáváme věci v deduktivním modu zajištěném </w:t>
      </w:r>
      <w:r w:rsidR="082A724F">
        <w:t xml:space="preserve">metafyzickým </w:t>
      </w:r>
      <w:r w:rsidR="08876C11">
        <w:t>dativem, protože existence a kauzalita reálných věcí je dána předchůdně (</w:t>
      </w:r>
      <w:r w:rsidR="08876C11" w:rsidRPr="08434D37">
        <w:rPr>
          <w:i/>
        </w:rPr>
        <w:t>propter quod cognoscitur de ipso quia est</w:t>
      </w:r>
      <w:r w:rsidR="08876C11">
        <w:t xml:space="preserve">). </w:t>
      </w:r>
      <w:r w:rsidR="088D4FAF">
        <w:t xml:space="preserve">Primát drží </w:t>
      </w:r>
      <w:r w:rsidR="00F64C31">
        <w:t xml:space="preserve">reálná věc tím, že za ní už </w:t>
      </w:r>
      <w:r w:rsidR="088D4FAF">
        <w:t xml:space="preserve">nenásleduje </w:t>
      </w:r>
      <w:r w:rsidR="00F64C31">
        <w:t xml:space="preserve">nic kauzálně určeného </w:t>
      </w:r>
      <w:r w:rsidR="088D4FAF">
        <w:t>(</w:t>
      </w:r>
      <w:r w:rsidR="088D4FAF" w:rsidRPr="088D4FAF">
        <w:rPr>
          <w:i/>
        </w:rPr>
        <w:t>per privationem anterioris</w:t>
      </w:r>
      <w:r w:rsidR="080A1F87">
        <w:t>).</w:t>
      </w:r>
      <w:r w:rsidR="002F7BEB">
        <w:rPr>
          <w:rStyle w:val="Znakapoznpodarou"/>
        </w:rPr>
        <w:footnoteReference w:id="215"/>
      </w:r>
      <w:r w:rsidR="080A1F87">
        <w:t xml:space="preserve"> </w:t>
      </w:r>
      <w:r w:rsidR="08EB0B89">
        <w:t>P</w:t>
      </w:r>
      <w:r w:rsidR="088D4FAF">
        <w:t xml:space="preserve">rimát </w:t>
      </w:r>
      <w:r w:rsidR="08EB0B89">
        <w:t xml:space="preserve">daný bytím </w:t>
      </w:r>
      <w:r w:rsidR="088D4FAF">
        <w:t>hyparchické substance je třeba rozlišit od primátu esence, který je v řádu poznání.</w:t>
      </w:r>
      <w:r w:rsidR="008D1690">
        <w:t xml:space="preserve"> Pak platí, že principiální pozice </w:t>
      </w:r>
      <w:r w:rsidR="088D4FAF">
        <w:t>první substance (</w:t>
      </w:r>
      <w:r w:rsidR="088D4FAF" w:rsidRPr="088D4FAF">
        <w:rPr>
          <w:i/>
        </w:rPr>
        <w:t>primum</w:t>
      </w:r>
      <w:r w:rsidR="008D1690">
        <w:t>) daná</w:t>
      </w:r>
      <w:r w:rsidR="088D4FAF">
        <w:t xml:space="preserve"> v modu </w:t>
      </w:r>
      <w:r w:rsidR="08754143" w:rsidRPr="08222A9E">
        <w:rPr>
          <w:i/>
          <w:szCs w:val="24"/>
        </w:rPr>
        <w:t>immediatum</w:t>
      </w:r>
      <w:r w:rsidR="08754143">
        <w:t xml:space="preserve"> </w:t>
      </w:r>
      <w:r w:rsidR="088D4FAF">
        <w:t xml:space="preserve">se liší od </w:t>
      </w:r>
      <w:r w:rsidR="08887A4A">
        <w:t xml:space="preserve">impozice </w:t>
      </w:r>
      <w:r w:rsidR="008D1690">
        <w:t xml:space="preserve">významu. Ta je daná </w:t>
      </w:r>
      <w:r w:rsidR="088D4FAF">
        <w:t xml:space="preserve">v mysli </w:t>
      </w:r>
      <w:r w:rsidR="0878516E">
        <w:t>v</w:t>
      </w:r>
      <w:r w:rsidR="008D1690">
        <w:t xml:space="preserve"> gnoseologickém </w:t>
      </w:r>
      <w:r w:rsidR="0878516E">
        <w:t xml:space="preserve">modu </w:t>
      </w:r>
      <w:r w:rsidR="008D1690" w:rsidRPr="008D1690">
        <w:rPr>
          <w:i/>
        </w:rPr>
        <w:t>per</w:t>
      </w:r>
      <w:r w:rsidR="008D1690">
        <w:t xml:space="preserve"> </w:t>
      </w:r>
      <w:r w:rsidR="0878516E" w:rsidRPr="0878516E">
        <w:rPr>
          <w:i/>
        </w:rPr>
        <w:t>prius</w:t>
      </w:r>
      <w:r w:rsidR="002468C8">
        <w:t xml:space="preserve">, tedy </w:t>
      </w:r>
      <w:r w:rsidR="088D4FAF">
        <w:t xml:space="preserve">jako druhá substance </w:t>
      </w:r>
      <w:r w:rsidR="08C352C9">
        <w:t xml:space="preserve">vztažená k reálné věci </w:t>
      </w:r>
      <w:r w:rsidR="088D4FAF">
        <w:t>(</w:t>
      </w:r>
      <w:r w:rsidR="088D4FAF" w:rsidRPr="088D4FAF">
        <w:rPr>
          <w:i/>
        </w:rPr>
        <w:t>prius comparatum ad rem</w:t>
      </w:r>
      <w:r w:rsidR="08125A59">
        <w:t xml:space="preserve">). </w:t>
      </w:r>
      <w:r w:rsidR="005546EB">
        <w:t xml:space="preserve">Spis </w:t>
      </w:r>
      <w:r w:rsidR="005546EB" w:rsidRPr="005546EB">
        <w:rPr>
          <w:i/>
        </w:rPr>
        <w:t>Kategorie</w:t>
      </w:r>
      <w:r w:rsidR="005546EB">
        <w:t xml:space="preserve"> jasně říká, že tento gnoseologický primát drží species jako nejbližší predikace, která následuje po bytí první substance (OBJ I, kap. 1.3). </w:t>
      </w:r>
      <w:r w:rsidR="08125A59">
        <w:t xml:space="preserve">Bytí bytí kauzálně předchází a zajišťuje řád poznání a tím určuje pořadí </w:t>
      </w:r>
      <w:r w:rsidR="088D4FAF">
        <w:t>časové posloupnosti dané v poznání (</w:t>
      </w:r>
      <w:r w:rsidR="088D4FAF" w:rsidRPr="088D4FAF">
        <w:rPr>
          <w:i/>
        </w:rPr>
        <w:t>notius autem dicitur per comparationem ad noscentem</w:t>
      </w:r>
      <w:r w:rsidR="088D4FAF">
        <w:t xml:space="preserve">). </w:t>
      </w:r>
      <w:r w:rsidR="08DF7C7D">
        <w:t xml:space="preserve">Nasvícení smyslu jsoucna zepředu podává </w:t>
      </w:r>
      <w:r w:rsidR="083A72E1">
        <w:t xml:space="preserve">toto pořadí </w:t>
      </w:r>
      <w:r w:rsidR="08DF7C7D">
        <w:t>prvních principů poznání.</w:t>
      </w:r>
    </w:p>
    <w:p w14:paraId="76F00C37" w14:textId="66B9F684" w:rsidR="08DF7C7D" w:rsidRPr="00273106" w:rsidRDefault="08DF7C7D" w:rsidP="08DF7C7D">
      <w:pPr>
        <w:pStyle w:val="Citace"/>
        <w:rPr>
          <w:rStyle w:val="Zkladntext1"/>
          <w:rFonts w:ascii="Calibri" w:eastAsia="Times" w:hAnsi="Calibri"/>
          <w:noProof/>
          <w:color w:val="auto"/>
          <w:spacing w:val="0"/>
          <w:sz w:val="24"/>
          <w:u w:val="none"/>
          <w:lang w:val="cs-CZ"/>
        </w:rPr>
      </w:pPr>
      <w:r w:rsidRPr="00273106">
        <w:rPr>
          <w:noProof/>
          <w:lang w:val="cs-CZ"/>
        </w:rPr>
        <w:t xml:space="preserve">„Se třemi prvními principy poznání se to má tak, že první </w:t>
      </w:r>
      <w:r w:rsidR="000B2C27">
        <w:rPr>
          <w:noProof/>
          <w:lang w:val="cs-CZ"/>
        </w:rPr>
        <w:t xml:space="preserve">princip </w:t>
      </w:r>
      <w:r w:rsidRPr="00273106">
        <w:rPr>
          <w:noProof/>
          <w:lang w:val="cs-CZ"/>
        </w:rPr>
        <w:t xml:space="preserve">je ve druhém a </w:t>
      </w:r>
      <w:r>
        <w:rPr>
          <w:noProof/>
          <w:lang w:val="cs-CZ"/>
        </w:rPr>
        <w:t xml:space="preserve">první a </w:t>
      </w:r>
      <w:r w:rsidRPr="00273106">
        <w:rPr>
          <w:noProof/>
          <w:lang w:val="cs-CZ"/>
        </w:rPr>
        <w:t>druhý je ve třetím. P</w:t>
      </w:r>
      <w:r>
        <w:rPr>
          <w:noProof/>
          <w:lang w:val="cs-CZ"/>
        </w:rPr>
        <w:t>rvní princip poznání je pravdivý</w:t>
      </w:r>
      <w:r w:rsidR="0807713C">
        <w:rPr>
          <w:noProof/>
          <w:lang w:val="cs-CZ"/>
        </w:rPr>
        <w:t xml:space="preserve"> skrze reálnou existenci věci</w:t>
      </w:r>
      <w:r w:rsidR="0807713C" w:rsidRPr="08222A9E">
        <w:rPr>
          <w:lang w:val="cs-CZ"/>
        </w:rPr>
        <w:t xml:space="preserve"> (</w:t>
      </w:r>
      <w:r w:rsidR="0807713C" w:rsidRPr="00106CB5">
        <w:rPr>
          <w:i/>
        </w:rPr>
        <w:t>est in vero per se</w:t>
      </w:r>
      <w:r w:rsidR="0807713C" w:rsidRPr="08222A9E">
        <w:rPr>
          <w:lang w:val="cs-CZ"/>
        </w:rPr>
        <w:t xml:space="preserve">). </w:t>
      </w:r>
      <w:r w:rsidRPr="00273106">
        <w:rPr>
          <w:noProof/>
          <w:lang w:val="cs-CZ"/>
        </w:rPr>
        <w:t xml:space="preserve">Právě proto je prvním, a je tudíž pravdivým o sobě, a tím je příčinou toho, co následuje.“ </w:t>
      </w:r>
      <w:r w:rsidRPr="00273106">
        <w:rPr>
          <w:rStyle w:val="Znakapoznpodarou"/>
          <w:noProof/>
          <w:lang w:val="cs-CZ"/>
        </w:rPr>
        <w:footnoteReference w:id="216"/>
      </w:r>
    </w:p>
    <w:p w14:paraId="72118161" w14:textId="5E590A8B" w:rsidR="08DF7C7D" w:rsidRPr="00273106" w:rsidRDefault="08DF7C7D" w:rsidP="08DF7C7D">
      <w:pPr>
        <w:rPr>
          <w:rStyle w:val="Zkladntext1"/>
          <w:rFonts w:ascii="Calibri" w:eastAsia="Times" w:hAnsi="Calibri"/>
          <w:color w:val="auto"/>
          <w:spacing w:val="0"/>
          <w:sz w:val="24"/>
          <w:u w:val="none"/>
          <w:lang w:val="cs-CZ"/>
        </w:rPr>
      </w:pPr>
      <w:r w:rsidRPr="00273106">
        <w:rPr>
          <w:rStyle w:val="Zkladntext1"/>
          <w:rFonts w:ascii="Calibri" w:eastAsia="Times" w:hAnsi="Calibri"/>
          <w:color w:val="auto"/>
          <w:spacing w:val="0"/>
          <w:sz w:val="24"/>
          <w:u w:val="none"/>
          <w:lang w:val="cs-CZ"/>
        </w:rPr>
        <w:t xml:space="preserve">Pořadí </w:t>
      </w:r>
      <w:r w:rsidR="00227562">
        <w:rPr>
          <w:rStyle w:val="Zkladntext1"/>
          <w:rFonts w:ascii="Calibri" w:eastAsia="Times" w:hAnsi="Calibri"/>
          <w:color w:val="auto"/>
          <w:spacing w:val="0"/>
          <w:sz w:val="24"/>
          <w:u w:val="none"/>
          <w:lang w:val="cs-CZ"/>
        </w:rPr>
        <w:t xml:space="preserve">poznání </w:t>
      </w:r>
      <w:r w:rsidR="080D06CE">
        <w:rPr>
          <w:rStyle w:val="Zkladntext1"/>
          <w:rFonts w:ascii="Calibri" w:eastAsia="Times" w:hAnsi="Calibri"/>
          <w:color w:val="auto"/>
          <w:spacing w:val="0"/>
          <w:sz w:val="24"/>
          <w:u w:val="none"/>
          <w:lang w:val="cs-CZ"/>
        </w:rPr>
        <w:t xml:space="preserve">je </w:t>
      </w:r>
      <w:r w:rsidRPr="00273106">
        <w:rPr>
          <w:rStyle w:val="Zkladntext1"/>
          <w:rFonts w:ascii="Calibri" w:eastAsia="Times" w:hAnsi="Calibri"/>
          <w:color w:val="auto"/>
          <w:spacing w:val="0"/>
          <w:sz w:val="24"/>
          <w:u w:val="none"/>
          <w:lang w:val="cs-CZ"/>
        </w:rPr>
        <w:t xml:space="preserve">vztažené </w:t>
      </w:r>
      <w:r w:rsidRPr="00273106">
        <w:rPr>
          <w:rStyle w:val="Zkladntext1"/>
          <w:rFonts w:ascii="Calibri" w:eastAsia="Times" w:hAnsi="Calibri"/>
          <w:i/>
          <w:color w:val="auto"/>
          <w:spacing w:val="0"/>
          <w:sz w:val="24"/>
          <w:u w:val="none"/>
          <w:lang w:val="cs-CZ"/>
        </w:rPr>
        <w:t>per prius</w:t>
      </w:r>
      <w:r w:rsidRPr="00273106">
        <w:rPr>
          <w:rStyle w:val="Zkladntext1"/>
          <w:rFonts w:ascii="Calibri" w:eastAsia="Times" w:hAnsi="Calibri"/>
          <w:color w:val="auto"/>
          <w:spacing w:val="0"/>
          <w:sz w:val="24"/>
          <w:u w:val="none"/>
          <w:lang w:val="cs-CZ"/>
        </w:rPr>
        <w:t xml:space="preserve"> k první substanci </w:t>
      </w:r>
      <w:r w:rsidR="08105F2F">
        <w:rPr>
          <w:rStyle w:val="Zkladntext1"/>
          <w:rFonts w:ascii="Calibri" w:eastAsia="Times" w:hAnsi="Calibri"/>
          <w:color w:val="auto"/>
          <w:spacing w:val="0"/>
          <w:sz w:val="24"/>
          <w:u w:val="none"/>
          <w:lang w:val="cs-CZ"/>
        </w:rPr>
        <w:t xml:space="preserve">dané </w:t>
      </w:r>
      <w:r w:rsidR="00010B8E">
        <w:rPr>
          <w:rStyle w:val="Zkladntext1"/>
          <w:rFonts w:ascii="Calibri" w:eastAsia="Times" w:hAnsi="Calibri"/>
          <w:i/>
          <w:color w:val="auto"/>
          <w:spacing w:val="0"/>
          <w:sz w:val="24"/>
          <w:u w:val="none"/>
          <w:lang w:val="cs-CZ"/>
        </w:rPr>
        <w:t>inmediate</w:t>
      </w:r>
      <w:r w:rsidR="00F527CE">
        <w:rPr>
          <w:rStyle w:val="Zkladntext1"/>
          <w:rFonts w:ascii="Calibri" w:eastAsia="Times" w:hAnsi="Calibri"/>
          <w:color w:val="auto"/>
          <w:spacing w:val="0"/>
          <w:sz w:val="24"/>
          <w:u w:val="none"/>
          <w:lang w:val="cs-CZ"/>
        </w:rPr>
        <w:t xml:space="preserve">. Tato aktuální danost </w:t>
      </w:r>
      <w:r w:rsidR="00500891">
        <w:rPr>
          <w:rStyle w:val="Zkladntext1"/>
          <w:rFonts w:ascii="Calibri" w:eastAsia="Times" w:hAnsi="Calibri"/>
          <w:color w:val="auto"/>
          <w:spacing w:val="0"/>
          <w:sz w:val="24"/>
          <w:u w:val="none"/>
          <w:lang w:val="cs-CZ"/>
        </w:rPr>
        <w:t xml:space="preserve">věci </w:t>
      </w:r>
      <w:r w:rsidR="00C17489">
        <w:rPr>
          <w:rStyle w:val="Zkladntext1"/>
          <w:rFonts w:ascii="Calibri" w:eastAsia="Times" w:hAnsi="Calibri"/>
          <w:color w:val="auto"/>
          <w:spacing w:val="0"/>
          <w:sz w:val="24"/>
          <w:u w:val="none"/>
          <w:lang w:val="cs-CZ"/>
        </w:rPr>
        <w:t>je daná pra</w:t>
      </w:r>
      <w:r w:rsidR="00500891">
        <w:rPr>
          <w:rStyle w:val="Zkladntext1"/>
          <w:rFonts w:ascii="Calibri" w:eastAsia="Times" w:hAnsi="Calibri"/>
          <w:color w:val="auto"/>
          <w:spacing w:val="0"/>
          <w:sz w:val="24"/>
          <w:u w:val="none"/>
          <w:lang w:val="cs-CZ"/>
        </w:rPr>
        <w:t>vdivě skrze sebe a v sobě. Takto</w:t>
      </w:r>
      <w:r w:rsidR="00C17489">
        <w:rPr>
          <w:rStyle w:val="Zkladntext1"/>
          <w:rFonts w:ascii="Calibri" w:eastAsia="Times" w:hAnsi="Calibri"/>
          <w:color w:val="auto"/>
          <w:spacing w:val="0"/>
          <w:sz w:val="24"/>
          <w:u w:val="none"/>
          <w:lang w:val="cs-CZ"/>
        </w:rPr>
        <w:t xml:space="preserve"> daná realita pravd</w:t>
      </w:r>
      <w:r w:rsidR="00500891">
        <w:rPr>
          <w:rStyle w:val="Zkladntext1"/>
          <w:rFonts w:ascii="Calibri" w:eastAsia="Times" w:hAnsi="Calibri"/>
          <w:color w:val="auto"/>
          <w:spacing w:val="0"/>
          <w:sz w:val="24"/>
          <w:u w:val="none"/>
          <w:lang w:val="cs-CZ"/>
        </w:rPr>
        <w:t>iv</w:t>
      </w:r>
      <w:r w:rsidR="00C17489">
        <w:rPr>
          <w:rStyle w:val="Zkladntext1"/>
          <w:rFonts w:ascii="Calibri" w:eastAsia="Times" w:hAnsi="Calibri"/>
          <w:color w:val="auto"/>
          <w:spacing w:val="0"/>
          <w:sz w:val="24"/>
          <w:u w:val="none"/>
          <w:lang w:val="cs-CZ"/>
        </w:rPr>
        <w:t xml:space="preserve">ě a nutně </w:t>
      </w:r>
      <w:r w:rsidRPr="00273106">
        <w:rPr>
          <w:rStyle w:val="Zkladntext1"/>
          <w:rFonts w:ascii="Calibri" w:eastAsia="Times" w:hAnsi="Calibri"/>
          <w:color w:val="auto"/>
          <w:spacing w:val="0"/>
          <w:sz w:val="24"/>
          <w:u w:val="none"/>
          <w:lang w:val="cs-CZ"/>
        </w:rPr>
        <w:t>zaručuje, že poznání zůstane vědecké</w:t>
      </w:r>
      <w:r>
        <w:rPr>
          <w:rStyle w:val="Zkladntext1"/>
          <w:rFonts w:ascii="Calibri" w:eastAsia="Times" w:hAnsi="Calibri"/>
          <w:color w:val="auto"/>
          <w:spacing w:val="0"/>
          <w:sz w:val="24"/>
          <w:u w:val="none"/>
          <w:lang w:val="cs-CZ"/>
        </w:rPr>
        <w:t xml:space="preserve"> v jasně predikované impozici významu směrem od reálné první </w:t>
      </w:r>
      <w:r>
        <w:rPr>
          <w:rStyle w:val="Zkladntext1"/>
          <w:rFonts w:ascii="Calibri" w:eastAsia="Times" w:hAnsi="Calibri"/>
          <w:color w:val="auto"/>
          <w:spacing w:val="0"/>
          <w:sz w:val="24"/>
          <w:u w:val="none"/>
          <w:lang w:val="cs-CZ"/>
        </w:rPr>
        <w:lastRenderedPageBreak/>
        <w:t>substance</w:t>
      </w:r>
      <w:r w:rsidR="081F164A">
        <w:rPr>
          <w:rStyle w:val="Zkladntext1"/>
          <w:rFonts w:ascii="Calibri" w:eastAsia="Times" w:hAnsi="Calibri"/>
          <w:color w:val="auto"/>
          <w:spacing w:val="0"/>
          <w:sz w:val="24"/>
          <w:u w:val="none"/>
          <w:lang w:val="cs-CZ"/>
        </w:rPr>
        <w:t xml:space="preserve"> dané v modu </w:t>
      </w:r>
      <w:r w:rsidR="081F164A" w:rsidRPr="081F164A">
        <w:rPr>
          <w:rStyle w:val="Zkladntext1"/>
          <w:rFonts w:ascii="Calibri" w:eastAsia="Times" w:hAnsi="Calibri"/>
          <w:i/>
          <w:color w:val="auto"/>
          <w:spacing w:val="0"/>
          <w:sz w:val="24"/>
          <w:u w:val="none"/>
          <w:lang w:val="cs-CZ"/>
        </w:rPr>
        <w:t>primum</w:t>
      </w:r>
      <w:r w:rsidR="00500891">
        <w:rPr>
          <w:rStyle w:val="Zkladntext1"/>
          <w:rFonts w:ascii="Calibri" w:eastAsia="Times" w:hAnsi="Calibri"/>
          <w:color w:val="auto"/>
          <w:spacing w:val="0"/>
          <w:sz w:val="24"/>
          <w:u w:val="none"/>
          <w:lang w:val="cs-CZ"/>
        </w:rPr>
        <w:t xml:space="preserve"> a </w:t>
      </w:r>
      <w:r w:rsidR="00010B8E">
        <w:rPr>
          <w:rStyle w:val="Zkladntext1"/>
          <w:rFonts w:ascii="Calibri" w:eastAsia="Times" w:hAnsi="Calibri"/>
          <w:i/>
          <w:color w:val="auto"/>
          <w:spacing w:val="0"/>
          <w:sz w:val="24"/>
          <w:u w:val="none"/>
          <w:lang w:val="cs-CZ"/>
        </w:rPr>
        <w:t>inmediate</w:t>
      </w:r>
      <w:r w:rsidR="00500891">
        <w:rPr>
          <w:rStyle w:val="Zkladntext1"/>
          <w:rFonts w:ascii="Calibri" w:eastAsia="Times" w:hAnsi="Calibri"/>
          <w:color w:val="auto"/>
          <w:spacing w:val="0"/>
          <w:sz w:val="24"/>
          <w:u w:val="none"/>
          <w:lang w:val="cs-CZ"/>
        </w:rPr>
        <w:t>.</w:t>
      </w:r>
      <w:r w:rsidRPr="00273106">
        <w:rPr>
          <w:rStyle w:val="Zkladntext1"/>
          <w:rFonts w:ascii="Calibri" w:eastAsia="Times" w:hAnsi="Calibri"/>
          <w:color w:val="auto"/>
          <w:spacing w:val="0"/>
          <w:sz w:val="24"/>
          <w:u w:val="none"/>
          <w:lang w:val="cs-CZ"/>
        </w:rPr>
        <w:t xml:space="preserve"> </w:t>
      </w:r>
      <w:r w:rsidR="08C64506">
        <w:t>Původní akt bytí zakládající zde a nyní jsoucí substanci (</w:t>
      </w:r>
      <w:r w:rsidR="08C64506" w:rsidRPr="08365F9E">
        <w:t>οὐσία</w:t>
      </w:r>
      <w:r w:rsidR="08C64506">
        <w:t xml:space="preserve">, </w:t>
      </w:r>
      <w:r w:rsidR="08C64506" w:rsidRPr="00273106">
        <w:t>τόδε τι</w:t>
      </w:r>
      <w:r w:rsidR="08C64506">
        <w:t xml:space="preserve">) působí ve vědeckém soudu skrze základní princip </w:t>
      </w:r>
      <w:r w:rsidR="08634B09">
        <w:rPr>
          <w:i/>
        </w:rPr>
        <w:t>immediatum</w:t>
      </w:r>
      <w:r w:rsidR="08C64506">
        <w:t xml:space="preserve">. Jeho kauzalita následně zakládá poznání této jsoucnosti dané v mysli a pouze v univerzálním modu. </w:t>
      </w:r>
      <w:r w:rsidRPr="00273106">
        <w:t xml:space="preserve">Pořadí axiomů poznání podle </w:t>
      </w:r>
      <w:r w:rsidRPr="006E6755">
        <w:rPr>
          <w:i/>
        </w:rPr>
        <w:t>Druhých analytik</w:t>
      </w:r>
      <w:r w:rsidRPr="00273106">
        <w:t xml:space="preserve"> je podle Alberta dáno od existence </w:t>
      </w:r>
      <w:r>
        <w:t>reálné první substance, která má svou vlastní kauzalitu</w:t>
      </w:r>
      <w:r>
        <w:fldChar w:fldCharType="begin"/>
      </w:r>
      <w:r>
        <w:instrText xml:space="preserve"> XE "kauzalita:Albert" </w:instrText>
      </w:r>
      <w:r>
        <w:fldChar w:fldCharType="end"/>
      </w:r>
      <w:r w:rsidRPr="00273106">
        <w:t xml:space="preserve">. </w:t>
      </w:r>
      <w:r>
        <w:t>V</w:t>
      </w:r>
      <w:r w:rsidRPr="00273106">
        <w:t>ěc buď je nebo není, a to v řádu aktuálního bytí. Na existenci nebo neexistenci věci je přímo navázán střední člen demonstrativního s</w:t>
      </w:r>
      <w:r w:rsidR="00791A48">
        <w:t xml:space="preserve">oudu. Ten říká, že daná reálná věc </w:t>
      </w:r>
      <w:r>
        <w:t xml:space="preserve">buď </w:t>
      </w:r>
      <w:r w:rsidRPr="00273106">
        <w:t xml:space="preserve">je nebo není, stejně jako </w:t>
      </w:r>
      <w:r>
        <w:t>působení mezi zkoumanými reálnými substancemi</w:t>
      </w:r>
      <w:r>
        <w:fldChar w:fldCharType="begin"/>
      </w:r>
      <w:r>
        <w:instrText xml:space="preserve"> XE "</w:instrText>
      </w:r>
      <w:r w:rsidRPr="00297EF9">
        <w:rPr>
          <w:i/>
        </w:rPr>
        <w:instrText>medium</w:instrText>
      </w:r>
      <w:r>
        <w:instrText xml:space="preserve">:Albert" </w:instrText>
      </w:r>
      <w:r>
        <w:fldChar w:fldCharType="end"/>
      </w:r>
      <w:r w:rsidRPr="00273106">
        <w:t xml:space="preserve">. Pak platí, že poznání v modu </w:t>
      </w:r>
      <w:r>
        <w:t xml:space="preserve">vědecké </w:t>
      </w:r>
      <w:r w:rsidRPr="00273106">
        <w:t xml:space="preserve">pravdy </w:t>
      </w:r>
      <w:r>
        <w:t xml:space="preserve">odpovídá </w:t>
      </w:r>
      <w:r w:rsidR="00984728">
        <w:t>věcem</w:t>
      </w:r>
      <w:r w:rsidRPr="00273106">
        <w:t xml:space="preserve"> existující</w:t>
      </w:r>
      <w:r w:rsidR="00984728">
        <w:t>m</w:t>
      </w:r>
      <w:r w:rsidRPr="00273106">
        <w:t xml:space="preserve"> v realitě. A věc působí kauzálně proto, že první subs</w:t>
      </w:r>
      <w:r w:rsidR="088A1B78">
        <w:t xml:space="preserve">tance reálně existují v modu </w:t>
      </w:r>
      <w:r w:rsidR="00010B8E">
        <w:rPr>
          <w:i/>
        </w:rPr>
        <w:t>inmediate</w:t>
      </w:r>
      <w:r w:rsidR="088A1B78">
        <w:t xml:space="preserve"> a </w:t>
      </w:r>
      <w:r w:rsidR="088A1B78" w:rsidRPr="088A1B78">
        <w:rPr>
          <w:i/>
        </w:rPr>
        <w:t>per se</w:t>
      </w:r>
      <w:r w:rsidRPr="00273106">
        <w:t xml:space="preserve">. </w:t>
      </w:r>
      <w:r w:rsidRPr="00273106">
        <w:rPr>
          <w:rStyle w:val="Zkladntext1"/>
          <w:rFonts w:ascii="Calibri" w:eastAsia="Times" w:hAnsi="Calibri"/>
          <w:color w:val="auto"/>
          <w:spacing w:val="0"/>
          <w:sz w:val="24"/>
          <w:u w:val="none"/>
          <w:lang w:val="cs-CZ"/>
        </w:rPr>
        <w:t xml:space="preserve">Albert vykládá </w:t>
      </w:r>
      <w:r w:rsidRPr="006E6755">
        <w:rPr>
          <w:rStyle w:val="Zkladntext1"/>
          <w:rFonts w:ascii="Calibri" w:eastAsia="Times" w:hAnsi="Calibri"/>
          <w:i/>
          <w:color w:val="auto"/>
          <w:spacing w:val="0"/>
          <w:sz w:val="24"/>
          <w:u w:val="none"/>
          <w:lang w:val="cs-CZ"/>
        </w:rPr>
        <w:t>Druhé analytiky</w:t>
      </w:r>
      <w:r w:rsidRPr="00273106">
        <w:rPr>
          <w:rStyle w:val="Zkladntext1"/>
          <w:rFonts w:ascii="Calibri" w:eastAsia="Times" w:hAnsi="Calibri"/>
          <w:color w:val="auto"/>
          <w:spacing w:val="0"/>
          <w:sz w:val="24"/>
          <w:u w:val="none"/>
          <w:lang w:val="cs-CZ"/>
        </w:rPr>
        <w:t xml:space="preserve"> v duchu </w:t>
      </w:r>
      <w:r>
        <w:rPr>
          <w:rStyle w:val="Zkladntext1"/>
          <w:rFonts w:ascii="Calibri" w:eastAsia="Times" w:hAnsi="Calibri"/>
          <w:color w:val="auto"/>
          <w:spacing w:val="0"/>
          <w:sz w:val="24"/>
          <w:u w:val="none"/>
          <w:lang w:val="cs-CZ"/>
        </w:rPr>
        <w:t xml:space="preserve">školy </w:t>
      </w:r>
      <w:r w:rsidRPr="00FE7B35">
        <w:rPr>
          <w:rStyle w:val="Zkladntext1"/>
          <w:rFonts w:ascii="Calibri" w:eastAsia="Times" w:hAnsi="Calibri"/>
          <w:color w:val="auto"/>
          <w:spacing w:val="0"/>
          <w:sz w:val="24"/>
          <w:u w:val="none"/>
          <w:lang w:val="cs-CZ"/>
        </w:rPr>
        <w:t>Modistů</w:t>
      </w:r>
      <w:r w:rsidRPr="00273106">
        <w:rPr>
          <w:rStyle w:val="Zkladntext1"/>
          <w:rFonts w:ascii="Calibri" w:eastAsia="Times" w:hAnsi="Calibri"/>
          <w:color w:val="auto"/>
          <w:spacing w:val="0"/>
          <w:sz w:val="24"/>
          <w:u w:val="none"/>
          <w:lang w:val="cs-CZ"/>
        </w:rPr>
        <w:t xml:space="preserve"> </w:t>
      </w:r>
      <w:r>
        <w:fldChar w:fldCharType="begin"/>
      </w:r>
      <w:r>
        <w:instrText xml:space="preserve"> XE "první averroismus:</w:instrText>
      </w:r>
      <w:r w:rsidRPr="00290367">
        <w:instrText>Modisté</w:instrText>
      </w:r>
      <w:r>
        <w:instrText xml:space="preserve">" </w:instrText>
      </w:r>
      <w:r>
        <w:fldChar w:fldCharType="end"/>
      </w:r>
      <w:r w:rsidRPr="00273106">
        <w:rPr>
          <w:rStyle w:val="Zkladntext1"/>
          <w:rFonts w:ascii="Calibri" w:eastAsia="Times" w:hAnsi="Calibri"/>
          <w:color w:val="auto"/>
          <w:spacing w:val="0"/>
          <w:sz w:val="24"/>
          <w:u w:val="none"/>
          <w:lang w:val="cs-CZ"/>
        </w:rPr>
        <w:t xml:space="preserve">a jasně rozlišuje tři základní roviny </w:t>
      </w:r>
      <w:r>
        <w:rPr>
          <w:rStyle w:val="Zkladntext1"/>
          <w:rFonts w:ascii="Calibri" w:eastAsia="Times" w:hAnsi="Calibri"/>
          <w:color w:val="auto"/>
          <w:spacing w:val="0"/>
          <w:sz w:val="24"/>
          <w:u w:val="none"/>
          <w:lang w:val="cs-CZ"/>
        </w:rPr>
        <w:t xml:space="preserve">významu </w:t>
      </w:r>
      <w:r w:rsidRPr="00273106">
        <w:rPr>
          <w:rStyle w:val="Zkladntext1"/>
          <w:rFonts w:ascii="Calibri" w:eastAsia="Times" w:hAnsi="Calibri"/>
          <w:color w:val="auto"/>
          <w:spacing w:val="0"/>
          <w:sz w:val="24"/>
          <w:u w:val="none"/>
          <w:lang w:val="cs-CZ"/>
        </w:rPr>
        <w:t>vzhledem ke kauzalitě.</w:t>
      </w:r>
    </w:p>
    <w:p w14:paraId="249D598E" w14:textId="6F8C909F" w:rsidR="08DF7C7D" w:rsidRPr="00156F2C" w:rsidRDefault="08DF7C7D" w:rsidP="08DF7C7D">
      <w:pPr>
        <w:pStyle w:val="Citace"/>
      </w:pPr>
      <w:r w:rsidRPr="00156F2C">
        <w:rPr>
          <w:rStyle w:val="Zkladntext1"/>
          <w:rFonts w:ascii="Calibri" w:eastAsia="Times" w:hAnsi="Calibri"/>
          <w:spacing w:val="0"/>
          <w:sz w:val="22"/>
          <w:u w:val="none"/>
          <w:lang w:val="x-none"/>
        </w:rPr>
        <w:t xml:space="preserve">„Tím, že je kauza dána, </w:t>
      </w:r>
      <w:r>
        <w:rPr>
          <w:rStyle w:val="Zkladntext1"/>
          <w:rFonts w:ascii="Calibri" w:eastAsia="Times" w:hAnsi="Calibri"/>
          <w:spacing w:val="0"/>
          <w:sz w:val="22"/>
          <w:u w:val="none"/>
          <w:lang w:val="cs-CZ"/>
        </w:rPr>
        <w:t xml:space="preserve">pak nutně </w:t>
      </w:r>
      <w:r>
        <w:rPr>
          <w:rStyle w:val="Zkladntext1"/>
          <w:rFonts w:ascii="Calibri" w:eastAsia="Times" w:hAnsi="Calibri"/>
          <w:spacing w:val="0"/>
          <w:sz w:val="22"/>
          <w:u w:val="none"/>
          <w:lang w:val="x-none"/>
        </w:rPr>
        <w:t xml:space="preserve">musí být první </w:t>
      </w:r>
      <w:r>
        <w:rPr>
          <w:rStyle w:val="Zkladntext1"/>
          <w:rFonts w:ascii="Calibri" w:eastAsia="Times" w:hAnsi="Calibri"/>
          <w:spacing w:val="0"/>
          <w:sz w:val="22"/>
          <w:u w:val="none"/>
          <w:lang w:val="cs-CZ"/>
        </w:rPr>
        <w:t xml:space="preserve">i </w:t>
      </w:r>
      <w:r>
        <w:rPr>
          <w:rStyle w:val="Zkladntext1"/>
          <w:rFonts w:ascii="Calibri" w:eastAsia="Times" w:hAnsi="Calibri"/>
          <w:spacing w:val="0"/>
          <w:sz w:val="22"/>
          <w:u w:val="none"/>
          <w:lang w:val="x-none"/>
        </w:rPr>
        <w:t>v řádu bytí</w:t>
      </w:r>
      <w:r>
        <w:rPr>
          <w:rStyle w:val="Zkladntext1"/>
          <w:rFonts w:ascii="Calibri" w:eastAsia="Times" w:hAnsi="Calibri"/>
          <w:spacing w:val="0"/>
          <w:sz w:val="22"/>
          <w:u w:val="none"/>
          <w:lang w:val="cs-CZ"/>
        </w:rPr>
        <w:t>. P</w:t>
      </w:r>
      <w:r w:rsidRPr="00156F2C">
        <w:rPr>
          <w:rStyle w:val="Zkladntext1"/>
          <w:rFonts w:ascii="Calibri" w:eastAsia="Times" w:hAnsi="Calibri"/>
          <w:spacing w:val="0"/>
          <w:sz w:val="22"/>
          <w:u w:val="none"/>
          <w:lang w:val="x-none"/>
        </w:rPr>
        <w:t>roto je více zřejmá v řádu poznání, a proto je</w:t>
      </w:r>
      <w:r>
        <w:rPr>
          <w:rStyle w:val="Zkladntext1"/>
          <w:rFonts w:ascii="Calibri" w:eastAsia="Times" w:hAnsi="Calibri"/>
          <w:spacing w:val="0"/>
          <w:sz w:val="22"/>
          <w:u w:val="none"/>
          <w:lang w:val="x-none"/>
        </w:rPr>
        <w:t xml:space="preserve"> </w:t>
      </w:r>
      <w:r w:rsidR="004F66C7">
        <w:rPr>
          <w:rStyle w:val="Zkladntext1"/>
          <w:rFonts w:ascii="Calibri" w:eastAsia="Times" w:hAnsi="Calibri"/>
          <w:spacing w:val="0"/>
          <w:sz w:val="22"/>
          <w:u w:val="none"/>
          <w:lang w:val="cs-CZ"/>
        </w:rPr>
        <w:t xml:space="preserve">i </w:t>
      </w:r>
      <w:r>
        <w:rPr>
          <w:rStyle w:val="Zkladntext1"/>
          <w:rFonts w:ascii="Calibri" w:eastAsia="Times" w:hAnsi="Calibri"/>
          <w:spacing w:val="0"/>
          <w:sz w:val="22"/>
          <w:u w:val="none"/>
          <w:lang w:val="x-none"/>
        </w:rPr>
        <w:t xml:space="preserve">kauzou vzhledem k působení </w:t>
      </w:r>
      <w:r>
        <w:rPr>
          <w:rStyle w:val="Zkladntext1"/>
          <w:rFonts w:ascii="Calibri" w:eastAsia="Times" w:hAnsi="Calibri"/>
          <w:spacing w:val="0"/>
          <w:sz w:val="22"/>
          <w:u w:val="none"/>
          <w:lang w:val="cs-CZ"/>
        </w:rPr>
        <w:t>v</w:t>
      </w:r>
      <w:r w:rsidR="004F66C7">
        <w:rPr>
          <w:rStyle w:val="Zkladntext1"/>
          <w:rFonts w:ascii="Calibri" w:eastAsia="Times" w:hAnsi="Calibri"/>
          <w:spacing w:val="0"/>
          <w:sz w:val="22"/>
          <w:u w:val="none"/>
          <w:lang w:val="cs-CZ"/>
        </w:rPr>
        <w:t> </w:t>
      </w:r>
      <w:r>
        <w:rPr>
          <w:rStyle w:val="Zkladntext1"/>
          <w:rFonts w:ascii="Calibri" w:eastAsia="Times" w:hAnsi="Calibri"/>
          <w:spacing w:val="0"/>
          <w:sz w:val="22"/>
          <w:u w:val="none"/>
          <w:lang w:val="cs-CZ"/>
        </w:rPr>
        <w:t xml:space="preserve">řádu </w:t>
      </w:r>
      <w:r w:rsidR="004F66C7">
        <w:rPr>
          <w:rStyle w:val="Zkladntext1"/>
          <w:rFonts w:ascii="Calibri" w:eastAsia="Times" w:hAnsi="Calibri"/>
          <w:spacing w:val="0"/>
          <w:sz w:val="22"/>
          <w:u w:val="none"/>
          <w:lang w:val="cs-CZ"/>
        </w:rPr>
        <w:t xml:space="preserve">následných </w:t>
      </w:r>
      <w:r w:rsidRPr="00156F2C">
        <w:rPr>
          <w:rStyle w:val="Zkladntext1"/>
          <w:rFonts w:ascii="Calibri" w:eastAsia="Times" w:hAnsi="Calibri"/>
          <w:spacing w:val="0"/>
          <w:sz w:val="22"/>
          <w:u w:val="none"/>
          <w:lang w:val="x-none"/>
        </w:rPr>
        <w:t xml:space="preserve">účinků. Toto je způsob, jak to chápe </w:t>
      </w:r>
      <w:r>
        <w:rPr>
          <w:rStyle w:val="Zkladntext1"/>
          <w:rFonts w:ascii="Calibri" w:eastAsia="Times" w:hAnsi="Calibri"/>
          <w:spacing w:val="0"/>
          <w:sz w:val="22"/>
          <w:u w:val="none"/>
          <w:lang w:val="x-none"/>
        </w:rPr>
        <w:t>Aristoteles</w:t>
      </w:r>
      <w:r w:rsidRPr="00156F2C">
        <w:t>.“</w:t>
      </w:r>
      <w:r>
        <w:rPr>
          <w:lang w:val="cs-CZ"/>
        </w:rPr>
        <w:t> </w:t>
      </w:r>
      <w:r w:rsidRPr="00156F2C">
        <w:rPr>
          <w:rStyle w:val="Znakapoznpodarou"/>
        </w:rPr>
        <w:footnoteReference w:id="217"/>
      </w:r>
    </w:p>
    <w:p w14:paraId="3A4CE765" w14:textId="646A6115" w:rsidR="001B2CC4" w:rsidRDefault="08DF7C7D" w:rsidP="089E77D8">
      <w:r>
        <w:t>Vraťme se k</w:t>
      </w:r>
      <w:r w:rsidR="08FB5AC0">
        <w:t>e</w:t>
      </w:r>
      <w:r>
        <w:t xml:space="preserve"> </w:t>
      </w:r>
      <w:r w:rsidR="08FB5AC0">
        <w:t xml:space="preserve">zásadní tezi </w:t>
      </w:r>
      <w:r w:rsidRPr="00E52B12">
        <w:rPr>
          <w:i/>
        </w:rPr>
        <w:t>Kategorií</w:t>
      </w:r>
      <w:r>
        <w:t xml:space="preserve"> 2a14‒16 </w:t>
      </w:r>
      <w:r>
        <w:fldChar w:fldCharType="begin"/>
      </w:r>
      <w:r>
        <w:instrText xml:space="preserve"> XE "Aristoteles:</w:instrText>
      </w:r>
      <w:r w:rsidRPr="00BE7BDB">
        <w:rPr>
          <w:i/>
        </w:rPr>
        <w:instrText>Cat</w:instrText>
      </w:r>
      <w:r>
        <w:instrText xml:space="preserve">. 2a14‒16" </w:instrText>
      </w:r>
      <w:r>
        <w:fldChar w:fldCharType="end"/>
      </w:r>
      <w:r>
        <w:t xml:space="preserve">určující dvojí pořadí predikace </w:t>
      </w:r>
      <w:r w:rsidRPr="00C71244">
        <w:rPr>
          <w:i/>
        </w:rPr>
        <w:t>per prius</w:t>
      </w:r>
      <w:r>
        <w:t xml:space="preserve"> (</w:t>
      </w:r>
      <w:r w:rsidR="08811AF7">
        <w:t xml:space="preserve">OBJ I, </w:t>
      </w:r>
      <w:r w:rsidR="084E7952">
        <w:t>kap. 1.3</w:t>
      </w:r>
      <w:r>
        <w:t xml:space="preserve">). Citovaný komentář toto pořadí opakuje. </w:t>
      </w:r>
      <w:r w:rsidR="00306674">
        <w:t>Reálná k</w:t>
      </w:r>
      <w:r w:rsidRPr="00273106">
        <w:t>auza</w:t>
      </w:r>
      <w:r w:rsidR="00306674">
        <w:t>lita</w:t>
      </w:r>
      <w:r w:rsidRPr="00273106">
        <w:t xml:space="preserve"> drží primát v řádu bytí, protože existuje v první substanci dané bezprostředně (</w:t>
      </w:r>
      <w:r w:rsidRPr="00273106">
        <w:rPr>
          <w:i/>
        </w:rPr>
        <w:t>prius in ordine essendi</w:t>
      </w:r>
      <w:r w:rsidR="08AA28A7">
        <w:t xml:space="preserve">). </w:t>
      </w:r>
      <w:r w:rsidR="00306674">
        <w:t>Poznání následuje donaci</w:t>
      </w:r>
      <w:r w:rsidR="08AA28A7">
        <w:t xml:space="preserve"> bytí jsoucna v</w:t>
      </w:r>
      <w:r w:rsidR="082A724F">
        <w:t xml:space="preserve"> metafyzického </w:t>
      </w:r>
      <w:r w:rsidR="08AA28A7">
        <w:t>dativu (</w:t>
      </w:r>
      <w:r w:rsidR="08AA28A7" w:rsidRPr="08AA28A7">
        <w:rPr>
          <w:i/>
        </w:rPr>
        <w:t>primum</w:t>
      </w:r>
      <w:r w:rsidR="00306674">
        <w:t xml:space="preserve">), protože tak se </w:t>
      </w:r>
      <w:r w:rsidR="08AA28A7">
        <w:t>zakládá první princip poznání</w:t>
      </w:r>
      <w:r w:rsidRPr="00273106">
        <w:t xml:space="preserve"> </w:t>
      </w:r>
      <w:r w:rsidR="08AA28A7">
        <w:t>daný v</w:t>
      </w:r>
      <w:r w:rsidR="00306674">
        <w:t> </w:t>
      </w:r>
      <w:r w:rsidR="0052321D">
        <w:t>g</w:t>
      </w:r>
      <w:r w:rsidR="00306674">
        <w:t xml:space="preserve">noseologickém </w:t>
      </w:r>
      <w:r w:rsidR="08AA28A7">
        <w:t xml:space="preserve">modu </w:t>
      </w:r>
      <w:r w:rsidR="08FF57D5" w:rsidRPr="08FF57D5">
        <w:rPr>
          <w:i/>
        </w:rPr>
        <w:t>per</w:t>
      </w:r>
      <w:r w:rsidR="08FF57D5">
        <w:t xml:space="preserve"> </w:t>
      </w:r>
      <w:r w:rsidR="08AA28A7" w:rsidRPr="08AA28A7">
        <w:rPr>
          <w:i/>
        </w:rPr>
        <w:t>prius</w:t>
      </w:r>
      <w:r w:rsidR="08AA28A7">
        <w:t xml:space="preserve">. </w:t>
      </w:r>
      <w:r w:rsidR="00753AEE">
        <w:t xml:space="preserve">Vědecký důkaz sleduje </w:t>
      </w:r>
      <w:r w:rsidR="08FF57D5">
        <w:t xml:space="preserve">řád daný </w:t>
      </w:r>
      <w:r w:rsidR="082A724F">
        <w:t xml:space="preserve">metafyzickým </w:t>
      </w:r>
      <w:r w:rsidR="08FF57D5">
        <w:t xml:space="preserve">dativem </w:t>
      </w:r>
      <w:r w:rsidR="00753AEE">
        <w:t xml:space="preserve">a skrze </w:t>
      </w:r>
      <w:r w:rsidR="00753AEE" w:rsidRPr="00273106">
        <w:t xml:space="preserve">kategoriální </w:t>
      </w:r>
      <w:r w:rsidR="00753AEE">
        <w:t xml:space="preserve">impozici </w:t>
      </w:r>
      <w:r w:rsidR="085A68A8">
        <w:t>určuje v</w:t>
      </w:r>
      <w:r w:rsidR="00EE50DA">
        <w:t xml:space="preserve"> deduktivním </w:t>
      </w:r>
      <w:r w:rsidR="085A68A8">
        <w:t xml:space="preserve">modu </w:t>
      </w:r>
      <w:r w:rsidR="085A68A8" w:rsidRPr="085A68A8">
        <w:rPr>
          <w:i/>
        </w:rPr>
        <w:t>per prius</w:t>
      </w:r>
      <w:r w:rsidR="085A68A8">
        <w:t xml:space="preserve"> </w:t>
      </w:r>
      <w:r w:rsidR="00753AEE">
        <w:t xml:space="preserve">univerzální </w:t>
      </w:r>
      <w:r w:rsidRPr="00273106">
        <w:t>poznání (</w:t>
      </w:r>
      <w:r w:rsidRPr="00273106">
        <w:rPr>
          <w:i/>
        </w:rPr>
        <w:t>notius in ordine cognoscendi</w:t>
      </w:r>
      <w:r w:rsidRPr="00273106">
        <w:t xml:space="preserve">). Poznání v rámci </w:t>
      </w:r>
      <w:r w:rsidR="001B2639">
        <w:t xml:space="preserve">univoční </w:t>
      </w:r>
      <w:r w:rsidRPr="00273106">
        <w:t>druhé substance</w:t>
      </w:r>
      <w:r>
        <w:fldChar w:fldCharType="begin"/>
      </w:r>
      <w:r>
        <w:instrText xml:space="preserve"> XE "predikace:</w:instrText>
      </w:r>
      <w:r w:rsidRPr="00BE7BDB">
        <w:rPr>
          <w:i/>
        </w:rPr>
        <w:instrText>per prius</w:instrText>
      </w:r>
      <w:r>
        <w:instrText xml:space="preserve">" </w:instrText>
      </w:r>
      <w:r>
        <w:fldChar w:fldCharType="end"/>
      </w:r>
      <w:r w:rsidRPr="00273106">
        <w:t xml:space="preserve"> zakládá deduktivní úsudek daný uchopením kauzálně působící substance v demonstrativním soudu (</w:t>
      </w:r>
      <w:r w:rsidRPr="00273106">
        <w:rPr>
          <w:i/>
        </w:rPr>
        <w:t>causa in influendo esse causati</w:t>
      </w:r>
      <w:r w:rsidRPr="00273106">
        <w:t xml:space="preserve">). </w:t>
      </w:r>
      <w:r w:rsidR="0052321D">
        <w:t xml:space="preserve">pozdější Modisté označují výpověď jako </w:t>
      </w:r>
      <w:r w:rsidR="0052321D" w:rsidRPr="00381F92">
        <w:rPr>
          <w:i/>
          <w:szCs w:val="24"/>
        </w:rPr>
        <w:t>modus significandi</w:t>
      </w:r>
      <w:r w:rsidR="0052321D">
        <w:rPr>
          <w:szCs w:val="24"/>
        </w:rPr>
        <w:t xml:space="preserve">. </w:t>
      </w:r>
      <w:r w:rsidR="001B2CC4" w:rsidRPr="001B2CC4">
        <w:t xml:space="preserve">Tento postup </w:t>
      </w:r>
      <w:r w:rsidR="0052321D">
        <w:rPr>
          <w:szCs w:val="24"/>
        </w:rPr>
        <w:t>(</w:t>
      </w:r>
      <w:r w:rsidR="0052321D" w:rsidRPr="00381F92">
        <w:rPr>
          <w:i/>
        </w:rPr>
        <w:t>modus</w:t>
      </w:r>
      <w:r w:rsidR="0052321D">
        <w:t xml:space="preserve"> </w:t>
      </w:r>
      <w:r w:rsidR="0052321D" w:rsidRPr="00035C5F">
        <w:rPr>
          <w:i/>
        </w:rPr>
        <w:t>essendi</w:t>
      </w:r>
      <w:r w:rsidR="0052321D">
        <w:t xml:space="preserve">, </w:t>
      </w:r>
      <w:r w:rsidR="0052321D" w:rsidRPr="00035C5F">
        <w:rPr>
          <w:i/>
        </w:rPr>
        <w:t>cognoscendi</w:t>
      </w:r>
      <w:r w:rsidR="0052321D">
        <w:t xml:space="preserve">, </w:t>
      </w:r>
      <w:r w:rsidR="0052321D" w:rsidRPr="00035C5F">
        <w:rPr>
          <w:i/>
        </w:rPr>
        <w:t>significandi</w:t>
      </w:r>
      <w:r w:rsidR="0052321D">
        <w:rPr>
          <w:szCs w:val="24"/>
        </w:rPr>
        <w:t xml:space="preserve">) </w:t>
      </w:r>
      <w:r w:rsidR="001B2CC4" w:rsidRPr="001B2CC4">
        <w:t xml:space="preserve">je založen na schématu </w:t>
      </w:r>
      <w:r w:rsidR="001B2CC4">
        <w:t xml:space="preserve">poznání podle </w:t>
      </w:r>
      <w:r w:rsidR="001B2CC4" w:rsidRPr="001B2CC4">
        <w:t>CMDA a představuje první teorii</w:t>
      </w:r>
      <w:r w:rsidR="00DA728E">
        <w:t xml:space="preserve"> kritické vědecké metodologie ve </w:t>
      </w:r>
      <w:r w:rsidR="001B2CC4" w:rsidRPr="001B2CC4">
        <w:t>scholastice</w:t>
      </w:r>
      <w:r w:rsidR="001B2CC4">
        <w:t xml:space="preserve">. Modernisté v době Alberta tomuto postupu dostaečně </w:t>
      </w:r>
      <w:r w:rsidR="001B2CC4" w:rsidRPr="001B2CC4">
        <w:t>nerozuměli a vytvořili moderní simulacrum vědy založené n</w:t>
      </w:r>
      <w:r w:rsidR="001B2CC4">
        <w:t xml:space="preserve">a </w:t>
      </w:r>
      <w:r w:rsidR="001B2CC4" w:rsidRPr="001B2CC4">
        <w:rPr>
          <w:i/>
        </w:rPr>
        <w:t>Oxfordian Fallacy</w:t>
      </w:r>
      <w:r w:rsidR="001B2CC4" w:rsidRPr="001B2CC4">
        <w:t>.</w:t>
      </w:r>
    </w:p>
    <w:p w14:paraId="4381650B" w14:textId="2AB41648" w:rsidR="00221596" w:rsidRPr="00273106" w:rsidRDefault="08DF7C7D" w:rsidP="00CB44E5">
      <w:pPr>
        <w:ind w:firstLine="397"/>
      </w:pPr>
      <w:r w:rsidRPr="00273106">
        <w:lastRenderedPageBreak/>
        <w:t xml:space="preserve">Takto definovaný vědecký soud se zásadně liší od pojetí </w:t>
      </w:r>
      <w:r>
        <w:t xml:space="preserve">porretánských </w:t>
      </w:r>
      <w:r w:rsidRPr="00273106">
        <w:rPr>
          <w:i/>
        </w:rPr>
        <w:t>Nominales</w:t>
      </w:r>
      <w:r w:rsidR="001B2CC4">
        <w:t>, což ukazuje Albertova polemika s moderním humanismem. Albertovi</w:t>
      </w:r>
      <w:r w:rsidR="088D0C22">
        <w:t xml:space="preserve"> současníci </w:t>
      </w:r>
      <w:r w:rsidR="00F5269D">
        <w:t xml:space="preserve">vytvořili predikaci člověka na základě </w:t>
      </w:r>
      <w:r w:rsidR="088D0C22">
        <w:t>esenc</w:t>
      </w:r>
      <w:r w:rsidR="08BA0ED8">
        <w:t>e</w:t>
      </w:r>
      <w:r w:rsidR="00F5269D">
        <w:t xml:space="preserve"> dáné v rámci supozice. Taková definice existuje pouze jako logický pojem </w:t>
      </w:r>
      <w:r w:rsidR="08F90750">
        <w:t xml:space="preserve">v mysli </w:t>
      </w:r>
      <w:r w:rsidR="00F5269D">
        <w:t xml:space="preserve">moderních iluminátů. Jejich </w:t>
      </w:r>
      <w:r w:rsidR="08E544F4">
        <w:t xml:space="preserve">nepochybně jistý a přímý </w:t>
      </w:r>
      <w:r w:rsidR="08F90750">
        <w:t xml:space="preserve">náhled na esenci </w:t>
      </w:r>
      <w:r w:rsidR="00F5269D">
        <w:t>nahrazuje působení reálné kauzality osoby, která skrze impozici přechází doi středního členu (</w:t>
      </w:r>
      <w:r w:rsidR="00F5269D" w:rsidRPr="004465CF">
        <w:rPr>
          <w:i/>
        </w:rPr>
        <w:t>medium</w:t>
      </w:r>
      <w:r w:rsidR="00F5269D">
        <w:t>) vědecké definice</w:t>
      </w:r>
      <w:r w:rsidR="004465CF">
        <w:t xml:space="preserve"> (</w:t>
      </w:r>
      <w:r w:rsidR="004465CF" w:rsidRPr="004465CF">
        <w:rPr>
          <w:i/>
        </w:rPr>
        <w:t>demo</w:t>
      </w:r>
      <w:r w:rsidR="00F5269D" w:rsidRPr="004465CF">
        <w:rPr>
          <w:i/>
        </w:rPr>
        <w:t>nstratio</w:t>
      </w:r>
      <w:r w:rsidR="00F5269D">
        <w:t>)</w:t>
      </w:r>
      <w:r w:rsidR="001B2CC4">
        <w:t xml:space="preserve">. </w:t>
      </w:r>
      <w:r w:rsidR="00F5269D">
        <w:t xml:space="preserve">Logická supozice mrtvoly není metafyzická impozice reálné osoby. </w:t>
      </w:r>
      <w:r w:rsidR="001B2CC4">
        <w:t>Mysl ilumináta vytváří impozici sama ze sebe a tím nahradila p</w:t>
      </w:r>
      <w:r w:rsidR="00CB44E5">
        <w:t xml:space="preserve">ůsobení středního členu soudu. </w:t>
      </w:r>
      <w:r w:rsidR="08B81F9F" w:rsidRPr="00273106">
        <w:t>Albert zdůraznil jako absolutně základní první tři principy poznání, které v téže době Kilwardby zrušil jako zbytečné</w:t>
      </w:r>
      <w:r w:rsidR="086269B7">
        <w:t xml:space="preserve"> (kap. 3</w:t>
      </w:r>
      <w:r w:rsidR="08B81F9F">
        <w:t>.4.1)</w:t>
      </w:r>
      <w:r w:rsidR="08B81F9F" w:rsidRPr="00273106">
        <w:t>.</w:t>
      </w:r>
      <w:r w:rsidR="08B81F9F">
        <w:t xml:space="preserve"> </w:t>
      </w:r>
      <w:r w:rsidR="08BA22B3">
        <w:t xml:space="preserve">Zatmění první substance znamenalo i zatmění osoby. </w:t>
      </w:r>
      <w:r w:rsidR="08D55952">
        <w:t xml:space="preserve">Albert odmítá výklad zatmění slunce podle Rufuse a Grossetesteho daný v modu </w:t>
      </w:r>
      <w:r w:rsidR="08D55952" w:rsidRPr="00AF36C4">
        <w:rPr>
          <w:i/>
        </w:rPr>
        <w:t>Oxfordian Fallacy</w:t>
      </w:r>
      <w:r w:rsidR="08D55952">
        <w:rPr>
          <w:i/>
        </w:rPr>
        <w:fldChar w:fldCharType="begin"/>
      </w:r>
      <w:r w:rsidR="08D55952">
        <w:instrText xml:space="preserve"> XE "</w:instrText>
      </w:r>
      <w:r w:rsidR="08D55952" w:rsidRPr="0015798D">
        <w:rPr>
          <w:i/>
        </w:rPr>
        <w:instrText>Oxfordian Fallacy</w:instrText>
      </w:r>
      <w:r w:rsidR="08D55952" w:rsidRPr="00BE1130">
        <w:instrText>:kritika Alberta</w:instrText>
      </w:r>
      <w:r w:rsidR="08D55952">
        <w:instrText xml:space="preserve">" </w:instrText>
      </w:r>
      <w:r w:rsidR="08D55952">
        <w:rPr>
          <w:i/>
        </w:rPr>
        <w:fldChar w:fldCharType="end"/>
      </w:r>
      <w:r w:rsidR="08D55952">
        <w:t xml:space="preserve"> a </w:t>
      </w:r>
      <w:r w:rsidR="08D55952" w:rsidRPr="00273106">
        <w:t xml:space="preserve">obhájil Komentátorův výklad </w:t>
      </w:r>
      <w:r w:rsidR="08D55952" w:rsidRPr="00027BBA">
        <w:rPr>
          <w:i/>
        </w:rPr>
        <w:t>Metafyziky</w:t>
      </w:r>
      <w:r w:rsidR="08D55952" w:rsidRPr="00273106">
        <w:t xml:space="preserve"> proti</w:t>
      </w:r>
      <w:r w:rsidR="08D55952">
        <w:t xml:space="preserve"> zkreslenému pojetí modernistů. </w:t>
      </w:r>
      <w:r w:rsidR="089E020B">
        <w:t xml:space="preserve">Astronomické </w:t>
      </w:r>
      <w:r w:rsidR="08D55952">
        <w:t xml:space="preserve">zatmění </w:t>
      </w:r>
      <w:r w:rsidR="089E020B">
        <w:t>slunce nebo měsíce uváděné</w:t>
      </w:r>
      <w:r w:rsidR="08D55952" w:rsidRPr="00273106">
        <w:t xml:space="preserve"> ve </w:t>
      </w:r>
      <w:r w:rsidR="08D55952" w:rsidRPr="00027BBA">
        <w:rPr>
          <w:i/>
        </w:rPr>
        <w:t>Druhých analytikách</w:t>
      </w:r>
      <w:r w:rsidR="08D55952" w:rsidRPr="00273106">
        <w:t xml:space="preserve"> </w:t>
      </w:r>
      <w:r w:rsidR="089E020B">
        <w:t xml:space="preserve">jako příklad zkoumaného působení prvních substancí </w:t>
      </w:r>
      <w:r w:rsidR="08D55952" w:rsidRPr="00273106">
        <w:t>má podle Alberta dvojí výklad</w:t>
      </w:r>
      <w:r w:rsidR="08D55952">
        <w:fldChar w:fldCharType="begin"/>
      </w:r>
      <w:r w:rsidR="08D55952">
        <w:instrText xml:space="preserve"> XE "zatmění:Druhé analytiky" </w:instrText>
      </w:r>
      <w:r w:rsidR="08D55952">
        <w:fldChar w:fldCharType="end"/>
      </w:r>
      <w:r w:rsidR="08D55952" w:rsidRPr="00273106">
        <w:t>.</w:t>
      </w:r>
      <w:r w:rsidR="08D55952" w:rsidRPr="00273106">
        <w:rPr>
          <w:rStyle w:val="Znakapoznpodarou"/>
        </w:rPr>
        <w:footnoteReference w:id="218"/>
      </w:r>
      <w:r w:rsidR="08D55952" w:rsidRPr="00273106">
        <w:t xml:space="preserve"> Buď je </w:t>
      </w:r>
      <w:r w:rsidR="08D55952">
        <w:t>sylo</w:t>
      </w:r>
      <w:r w:rsidR="08D55952" w:rsidRPr="00273106">
        <w:t>gismus chápaný kauzálně a substance musí působ</w:t>
      </w:r>
      <w:r w:rsidR="08D55952">
        <w:t>it kauzálně i na naše poznání. N</w:t>
      </w:r>
      <w:r w:rsidR="08D55952" w:rsidRPr="00273106">
        <w:t xml:space="preserve">ebo je </w:t>
      </w:r>
      <w:r w:rsidR="08D55952" w:rsidRPr="00273106">
        <w:rPr>
          <w:i/>
        </w:rPr>
        <w:t>medium</w:t>
      </w:r>
      <w:r w:rsidR="08D55952" w:rsidRPr="00273106">
        <w:t xml:space="preserve"> v </w:t>
      </w:r>
      <w:r w:rsidR="08D55952">
        <w:t>sylo</w:t>
      </w:r>
      <w:r w:rsidR="08D55952" w:rsidRPr="00273106">
        <w:t xml:space="preserve">gismu vzato jen nominálně či esenciálně. Takové </w:t>
      </w:r>
      <w:r w:rsidR="08D55952" w:rsidRPr="00273106">
        <w:rPr>
          <w:i/>
        </w:rPr>
        <w:t>demonstratio</w:t>
      </w:r>
      <w:r w:rsidR="08D55952" w:rsidRPr="00273106">
        <w:t xml:space="preserve"> </w:t>
      </w:r>
      <w:r w:rsidR="08D55952">
        <w:t xml:space="preserve">ale </w:t>
      </w:r>
      <w:r w:rsidR="08D55952" w:rsidRPr="00273106">
        <w:t xml:space="preserve">není podle Alberta kompletní, protože nejde ke kauzalitě dané </w:t>
      </w:r>
      <w:r w:rsidR="00010B8E">
        <w:rPr>
          <w:i/>
        </w:rPr>
        <w:t>inmediate</w:t>
      </w:r>
      <w:r w:rsidR="08C454BD">
        <w:t xml:space="preserve"> ve středním členu soudu.</w:t>
      </w:r>
      <w:r w:rsidR="08DB2442">
        <w:t xml:space="preserve"> </w:t>
      </w:r>
      <w:r w:rsidR="08DB2442">
        <w:rPr>
          <w:rStyle w:val="Zkladntext1"/>
          <w:rFonts w:ascii="Calibri" w:eastAsia="Times" w:hAnsi="Calibri"/>
          <w:color w:val="auto"/>
          <w:spacing w:val="0"/>
          <w:sz w:val="24"/>
          <w:u w:val="none"/>
          <w:lang w:val="cs-CZ"/>
        </w:rPr>
        <w:t>Obě cesty vědeckého poznání prvního a druhé averroi</w:t>
      </w:r>
      <w:r w:rsidR="00FA2B36">
        <w:rPr>
          <w:rStyle w:val="Zkladntext1"/>
          <w:rFonts w:ascii="Calibri" w:eastAsia="Times" w:hAnsi="Calibri"/>
          <w:color w:val="auto"/>
          <w:spacing w:val="0"/>
          <w:sz w:val="24"/>
          <w:u w:val="none"/>
          <w:lang w:val="cs-CZ"/>
        </w:rPr>
        <w:t>smu se manifestují v letech 1240</w:t>
      </w:r>
      <w:r w:rsidR="08DB2442">
        <w:rPr>
          <w:rStyle w:val="Zkladntext1"/>
          <w:rFonts w:ascii="Calibri" w:eastAsia="Times" w:hAnsi="Calibri"/>
          <w:color w:val="auto"/>
          <w:spacing w:val="0"/>
          <w:sz w:val="24"/>
          <w:u w:val="none"/>
          <w:lang w:val="cs-CZ"/>
        </w:rPr>
        <w:t xml:space="preserve">‒45 </w:t>
      </w:r>
      <w:r w:rsidR="08DB2442">
        <w:t>v modu plné dějinné odkrytosti (</w:t>
      </w:r>
      <w:r w:rsidR="08DB2442">
        <w:rPr>
          <w:i/>
        </w:rPr>
        <w:t>a</w:t>
      </w:r>
      <w:r w:rsidR="08DB2442" w:rsidRPr="0021107A">
        <w:rPr>
          <w:i/>
        </w:rPr>
        <w:t>létheia</w:t>
      </w:r>
      <w:r w:rsidR="08DB2442">
        <w:rPr>
          <w:i/>
        </w:rPr>
        <w:fldChar w:fldCharType="begin"/>
      </w:r>
      <w:r w:rsidR="08DB2442">
        <w:instrText xml:space="preserve"> XE "pravda:po-odkrytost" </w:instrText>
      </w:r>
      <w:r w:rsidR="08DB2442">
        <w:rPr>
          <w:i/>
        </w:rPr>
        <w:fldChar w:fldCharType="end"/>
      </w:r>
      <w:r w:rsidR="08DB2442">
        <w:t>), která ukazuje epochální omyl moderny.</w:t>
      </w:r>
      <w:r w:rsidR="089E77D8">
        <w:t xml:space="preserve"> Spor o pojetí vědy má zásadní význam pro definici člověka, která běžela mezi modernisty a Blundovou školou již v předešlé dekádě. </w:t>
      </w:r>
      <w:r w:rsidR="00C74C83">
        <w:t>Albert tento spor oživuje znovu, z pozice prvního averroismu. Ú</w:t>
      </w:r>
      <w:r w:rsidR="089E77D8" w:rsidRPr="00273106">
        <w:t xml:space="preserve">vod traktátu </w:t>
      </w:r>
      <w:r w:rsidR="089E77D8" w:rsidRPr="08B81F9F">
        <w:rPr>
          <w:i/>
        </w:rPr>
        <w:t>De homine</w:t>
      </w:r>
      <w:r w:rsidR="089E77D8">
        <w:t xml:space="preserve"> hned </w:t>
      </w:r>
      <w:r w:rsidR="089E77D8" w:rsidRPr="00273106">
        <w:t>v prvním řešení první námit</w:t>
      </w:r>
      <w:r w:rsidR="00640702">
        <w:t xml:space="preserve">ky odmítá esencialistickou definici člověka. Tu </w:t>
      </w:r>
      <w:r w:rsidR="089E77D8" w:rsidRPr="00273106">
        <w:t xml:space="preserve">drželi zastánci </w:t>
      </w:r>
      <w:r w:rsidR="089E77D8" w:rsidRPr="00A96D0C">
        <w:rPr>
          <w:i/>
        </w:rPr>
        <w:t>Oxfordian Fallacy</w:t>
      </w:r>
      <w:r w:rsidR="089E77D8">
        <w:rPr>
          <w:i/>
        </w:rPr>
        <w:fldChar w:fldCharType="begin"/>
      </w:r>
      <w:r w:rsidR="089E77D8">
        <w:instrText xml:space="preserve"> XE "</w:instrText>
      </w:r>
      <w:r w:rsidR="089E77D8" w:rsidRPr="0015798D">
        <w:rPr>
          <w:i/>
        </w:rPr>
        <w:instrText>Oxfordian Fallacy</w:instrText>
      </w:r>
      <w:r w:rsidR="089E77D8" w:rsidRPr="00B6117A">
        <w:instrText>:kri</w:instrText>
      </w:r>
      <w:r w:rsidR="089E77D8">
        <w:instrText>ti</w:instrText>
      </w:r>
      <w:r w:rsidR="089E77D8" w:rsidRPr="00B6117A">
        <w:instrText>ka Alberta</w:instrText>
      </w:r>
      <w:r w:rsidR="089E77D8">
        <w:instrText xml:space="preserve">" </w:instrText>
      </w:r>
      <w:r w:rsidR="089E77D8">
        <w:rPr>
          <w:i/>
        </w:rPr>
        <w:fldChar w:fldCharType="end"/>
      </w:r>
      <w:r w:rsidR="089E77D8">
        <w:t xml:space="preserve"> jako Rufus podle Grossetesteho výkladu </w:t>
      </w:r>
      <w:r w:rsidR="089E77D8" w:rsidRPr="00EF025F">
        <w:rPr>
          <w:i/>
        </w:rPr>
        <w:t>Druhých analytik</w:t>
      </w:r>
      <w:r w:rsidR="08B276DD">
        <w:t xml:space="preserve"> (kap. 3</w:t>
      </w:r>
      <w:r w:rsidR="089E77D8">
        <w:t>.1.1)</w:t>
      </w:r>
      <w:r w:rsidR="089E77D8" w:rsidRPr="00273106">
        <w:t xml:space="preserve">. </w:t>
      </w:r>
      <w:r w:rsidR="089E77D8">
        <w:t xml:space="preserve">Podtitul </w:t>
      </w:r>
      <w:r w:rsidR="08314957">
        <w:t xml:space="preserve">Albertova </w:t>
      </w:r>
      <w:r w:rsidR="089E77D8">
        <w:t>prvního traktátu má fenomenologické zaměření dané podle filosofického výkladu zaměřeného na ipseitní bytí člověka jako první substance (</w:t>
      </w:r>
      <w:r w:rsidR="089E77D8" w:rsidRPr="00231BEA">
        <w:rPr>
          <w:i/>
        </w:rPr>
        <w:t>De homine secundum statum ejus in seipso</w:t>
      </w:r>
      <w:r w:rsidR="089E77D8">
        <w:t xml:space="preserve">). </w:t>
      </w:r>
      <w:r w:rsidR="089E77D8">
        <w:rPr>
          <w:lang w:eastAsia="en-US"/>
        </w:rPr>
        <w:t xml:space="preserve">Stejně zásadním způsobem o sedm století </w:t>
      </w:r>
      <w:r w:rsidR="089E77D8">
        <w:rPr>
          <w:lang w:eastAsia="en-US"/>
        </w:rPr>
        <w:lastRenderedPageBreak/>
        <w:t xml:space="preserve">později odmítlo Heideggerovo aristotelské dílo </w:t>
      </w:r>
      <w:r w:rsidR="089E77D8" w:rsidRPr="001C1C0D">
        <w:rPr>
          <w:i/>
          <w:lang w:eastAsia="en-US"/>
        </w:rPr>
        <w:t>Bytí a čas</w:t>
      </w:r>
      <w:r w:rsidR="089E77D8">
        <w:rPr>
          <w:lang w:eastAsia="en-US"/>
        </w:rPr>
        <w:t xml:space="preserve"> v existenciálním modu </w:t>
      </w:r>
      <w:r w:rsidR="00411C8B">
        <w:rPr>
          <w:lang w:eastAsia="en-US"/>
        </w:rPr>
        <w:t>„</w:t>
      </w:r>
      <w:r w:rsidR="00411C8B">
        <w:rPr>
          <w:i/>
          <w:lang w:eastAsia="en-US"/>
        </w:rPr>
        <w:t>secundum statum ej</w:t>
      </w:r>
      <w:r w:rsidR="00411C8B" w:rsidRPr="00DC0636">
        <w:rPr>
          <w:i/>
          <w:lang w:eastAsia="en-US"/>
        </w:rPr>
        <w:t>us in seipso</w:t>
      </w:r>
      <w:r w:rsidR="00411C8B">
        <w:rPr>
          <w:lang w:eastAsia="en-US"/>
        </w:rPr>
        <w:t>“ avicennistickou fenomenologii</w:t>
      </w:r>
      <w:r w:rsidR="089E77D8">
        <w:rPr>
          <w:lang w:eastAsia="en-US"/>
        </w:rPr>
        <w:t xml:space="preserve"> Husserla. </w:t>
      </w:r>
      <w:r w:rsidR="089E77D8" w:rsidRPr="00273106">
        <w:t xml:space="preserve">První averroismus musí jít po vzoru Aristotela k věcem samým, a ne k jejich formálnímu </w:t>
      </w:r>
      <w:r w:rsidR="089E77D8">
        <w:t>či eidetickému</w:t>
      </w:r>
      <w:r w:rsidR="08EE03A6">
        <w:t xml:space="preserve"> zjevení</w:t>
      </w:r>
      <w:r w:rsidR="08C61FED">
        <w:t xml:space="preserve"> v </w:t>
      </w:r>
      <w:r w:rsidR="08967D4A">
        <w:t xml:space="preserve">akademické </w:t>
      </w:r>
      <w:r w:rsidR="08C61FED">
        <w:t>mysli</w:t>
      </w:r>
      <w:r w:rsidR="00C05118">
        <w:t xml:space="preserve">. Moderní </w:t>
      </w:r>
      <w:r w:rsidR="00C05118" w:rsidRPr="00C05118">
        <w:rPr>
          <w:i/>
        </w:rPr>
        <w:t>illuminatus</w:t>
      </w:r>
      <w:r w:rsidR="00C05118">
        <w:t xml:space="preserve"> </w:t>
      </w:r>
      <w:r w:rsidR="08C61FED">
        <w:t xml:space="preserve">se </w:t>
      </w:r>
      <w:r w:rsidR="08967D4A">
        <w:t xml:space="preserve">po zániku Delf </w:t>
      </w:r>
      <w:r w:rsidR="08C61FED">
        <w:t>považuje za pupek světa</w:t>
      </w:r>
      <w:r w:rsidR="089E77D8" w:rsidRPr="00273106">
        <w:t>.</w:t>
      </w:r>
      <w:r w:rsidR="089E77D8">
        <w:t xml:space="preserve"> </w:t>
      </w:r>
      <w:r w:rsidR="009C5149">
        <w:t>A</w:t>
      </w:r>
      <w:r w:rsidR="08D55952">
        <w:t xml:space="preserve">rgumentační linie spisu </w:t>
      </w:r>
      <w:r w:rsidR="08D55952" w:rsidRPr="00273106">
        <w:rPr>
          <w:i/>
        </w:rPr>
        <w:t>De homine</w:t>
      </w:r>
      <w:r w:rsidR="08D55952" w:rsidRPr="00273106">
        <w:t xml:space="preserve"> </w:t>
      </w:r>
      <w:r w:rsidR="009C5149">
        <w:t>byla na</w:t>
      </w:r>
      <w:r w:rsidR="08D55952">
        <w:t xml:space="preserve">psaná o dekádu dříve před vznikem komentáře </w:t>
      </w:r>
      <w:r w:rsidR="08D55952" w:rsidRPr="001A3EFE">
        <w:rPr>
          <w:i/>
        </w:rPr>
        <w:t>Druhých analytik</w:t>
      </w:r>
      <w:r w:rsidR="08D55952">
        <w:t xml:space="preserve">. </w:t>
      </w:r>
      <w:r w:rsidR="08B1387D">
        <w:t xml:space="preserve">Humanismus modernistů </w:t>
      </w:r>
      <w:r w:rsidR="08D55952" w:rsidRPr="00273106">
        <w:t xml:space="preserve">stojí na </w:t>
      </w:r>
      <w:r w:rsidR="08D55952">
        <w:t xml:space="preserve">sofistickém způsobu </w:t>
      </w:r>
      <w:r w:rsidR="08D55952" w:rsidRPr="00273106">
        <w:t>poznání, které nepochopilo správný</w:t>
      </w:r>
      <w:r w:rsidR="08D55952">
        <w:t xml:space="preserve"> </w:t>
      </w:r>
      <w:r w:rsidR="08D55952" w:rsidRPr="00273106">
        <w:t xml:space="preserve">výklad </w:t>
      </w:r>
      <w:r w:rsidR="08D55952">
        <w:rPr>
          <w:i/>
        </w:rPr>
        <w:t>De anima</w:t>
      </w:r>
      <w:r w:rsidR="08D55952">
        <w:t xml:space="preserve"> podle Sicilské školy</w:t>
      </w:r>
      <w:r w:rsidR="08D55952">
        <w:fldChar w:fldCharType="begin"/>
      </w:r>
      <w:r w:rsidR="08D55952">
        <w:instrText xml:space="preserve"> XE "Sicilská škola" </w:instrText>
      </w:r>
      <w:r w:rsidR="08D55952">
        <w:fldChar w:fldCharType="end"/>
      </w:r>
      <w:r w:rsidR="08D55952">
        <w:t xml:space="preserve">. </w:t>
      </w:r>
      <w:r w:rsidR="084E33A0" w:rsidRPr="00273106">
        <w:t xml:space="preserve">Vzhledem k reálnému bytí je naše poznání pouhý akcident, protože k věci přidá </w:t>
      </w:r>
      <w:r w:rsidR="08DB2442">
        <w:t xml:space="preserve">dodatečné </w:t>
      </w:r>
      <w:r w:rsidR="084E33A0" w:rsidRPr="00273106">
        <w:t>určení</w:t>
      </w:r>
      <w:r w:rsidR="084E33A0">
        <w:t xml:space="preserve"> poznatelnosti věci</w:t>
      </w:r>
      <w:r w:rsidR="084E33A0" w:rsidRPr="00273106">
        <w:t xml:space="preserve">, </w:t>
      </w:r>
      <w:r w:rsidR="084E33A0">
        <w:t xml:space="preserve">které je </w:t>
      </w:r>
      <w:r w:rsidR="084E33A0" w:rsidRPr="00273106">
        <w:t>v řádu pouhé potenciality.</w:t>
      </w:r>
      <w:r w:rsidR="084E33A0">
        <w:t xml:space="preserve"> </w:t>
      </w:r>
      <w:r w:rsidR="08D55952">
        <w:t xml:space="preserve">Nejprve dána realita první substance </w:t>
      </w:r>
      <w:r w:rsidR="089E77D8">
        <w:t xml:space="preserve">v modu </w:t>
      </w:r>
      <w:r w:rsidR="089E77D8" w:rsidRPr="089E77D8">
        <w:rPr>
          <w:i/>
        </w:rPr>
        <w:t>prius</w:t>
      </w:r>
      <w:r w:rsidR="089E77D8">
        <w:t xml:space="preserve"> </w:t>
      </w:r>
      <w:r w:rsidR="08D55952">
        <w:t>a pak adekvátní způsob poznání</w:t>
      </w:r>
      <w:r w:rsidR="089E77D8">
        <w:t xml:space="preserve"> v modu </w:t>
      </w:r>
      <w:r w:rsidR="089E77D8" w:rsidRPr="089E77D8">
        <w:rPr>
          <w:i/>
        </w:rPr>
        <w:t>notius</w:t>
      </w:r>
      <w:r w:rsidR="08D55952">
        <w:t xml:space="preserve">. </w:t>
      </w:r>
      <w:r w:rsidR="084E33A0" w:rsidRPr="00273106">
        <w:t xml:space="preserve">Aristotelské pořadí </w:t>
      </w:r>
      <w:r w:rsidR="084E33A0" w:rsidRPr="00273106">
        <w:rPr>
          <w:i/>
        </w:rPr>
        <w:t>per prius</w:t>
      </w:r>
      <w:r w:rsidR="084E33A0">
        <w:rPr>
          <w:i/>
        </w:rPr>
        <w:fldChar w:fldCharType="begin"/>
      </w:r>
      <w:r w:rsidR="084E33A0">
        <w:instrText xml:space="preserve"> XE "predikace:</w:instrText>
      </w:r>
      <w:r w:rsidR="084E33A0" w:rsidRPr="002942C6">
        <w:rPr>
          <w:i/>
        </w:rPr>
        <w:instrText>per prius</w:instrText>
      </w:r>
      <w:r w:rsidR="084E33A0">
        <w:instrText xml:space="preserve">" </w:instrText>
      </w:r>
      <w:r w:rsidR="084E33A0">
        <w:rPr>
          <w:i/>
        </w:rPr>
        <w:fldChar w:fldCharType="end"/>
      </w:r>
      <w:r w:rsidR="084E33A0" w:rsidRPr="00273106">
        <w:t xml:space="preserve"> je vztažené nejprve k poznávané věci </w:t>
      </w:r>
      <w:r w:rsidR="084E33A0">
        <w:t xml:space="preserve">existující v realitě </w:t>
      </w:r>
      <w:r w:rsidR="084E33A0" w:rsidRPr="00273106">
        <w:t>(</w:t>
      </w:r>
      <w:r w:rsidR="084E33A0" w:rsidRPr="00273106">
        <w:rPr>
          <w:i/>
        </w:rPr>
        <w:t>prius comparatum ad rem</w:t>
      </w:r>
      <w:r w:rsidR="084E33A0">
        <w:t xml:space="preserve">). První substance </w:t>
      </w:r>
      <w:r w:rsidR="084E33A0" w:rsidRPr="00273106">
        <w:t>určuje poznání, protože je aktuální, na rozdíl od potenciálního poznání</w:t>
      </w:r>
      <w:r w:rsidR="084E33A0">
        <w:t xml:space="preserve"> daného v rámci druhé substance</w:t>
      </w:r>
      <w:r w:rsidR="084E33A0" w:rsidRPr="00273106">
        <w:t xml:space="preserve">. </w:t>
      </w:r>
      <w:r w:rsidR="08A4295C">
        <w:t xml:space="preserve">V potenciálním </w:t>
      </w:r>
      <w:r w:rsidR="08A4295C" w:rsidRPr="00273106">
        <w:t xml:space="preserve">modu poznání je </w:t>
      </w:r>
      <w:r w:rsidR="08A4295C">
        <w:t xml:space="preserve">ale </w:t>
      </w:r>
      <w:r w:rsidR="08A4295C" w:rsidRPr="00273106">
        <w:t xml:space="preserve">univerzálie dána </w:t>
      </w:r>
      <w:r w:rsidR="08A4295C">
        <w:t xml:space="preserve">dříve </w:t>
      </w:r>
      <w:r w:rsidR="08A4295C" w:rsidRPr="00273106">
        <w:t xml:space="preserve">vůči poznávajícímu </w:t>
      </w:r>
      <w:r w:rsidR="00AB3E8E">
        <w:t xml:space="preserve">subjektu </w:t>
      </w:r>
      <w:r w:rsidR="08A4295C" w:rsidRPr="00273106">
        <w:t>(</w:t>
      </w:r>
      <w:r w:rsidR="08A4295C" w:rsidRPr="00273106">
        <w:rPr>
          <w:i/>
        </w:rPr>
        <w:t>notius</w:t>
      </w:r>
      <w:r w:rsidR="08A4295C" w:rsidRPr="00273106">
        <w:t>...</w:t>
      </w:r>
      <w:r w:rsidR="08A4295C" w:rsidRPr="00273106">
        <w:rPr>
          <w:rStyle w:val="Zkladntext1"/>
          <w:rFonts w:ascii="Calibri" w:eastAsia="Times" w:hAnsi="Calibri"/>
          <w:spacing w:val="0"/>
          <w:sz w:val="21"/>
          <w:u w:val="none"/>
          <w:lang w:val="cs-CZ"/>
        </w:rPr>
        <w:t xml:space="preserve"> </w:t>
      </w:r>
      <w:r w:rsidR="08A4295C" w:rsidRPr="00273106">
        <w:rPr>
          <w:i/>
        </w:rPr>
        <w:t>ad noscentem</w:t>
      </w:r>
      <w:r w:rsidR="08E13D5A">
        <w:t>)</w:t>
      </w:r>
      <w:r w:rsidR="009C2832">
        <w:t xml:space="preserve">. To </w:t>
      </w:r>
      <w:r w:rsidR="08E13D5A">
        <w:t xml:space="preserve">odpovídá druhému pořadí danému </w:t>
      </w:r>
      <w:r w:rsidR="00745C49">
        <w:t xml:space="preserve">supozicí </w:t>
      </w:r>
      <w:r w:rsidR="08E13D5A">
        <w:t xml:space="preserve">významu od </w:t>
      </w:r>
      <w:r w:rsidR="00745C49">
        <w:t xml:space="preserve">univerzálního </w:t>
      </w:r>
      <w:r w:rsidR="08E13D5A">
        <w:t>rodu (</w:t>
      </w:r>
      <w:r w:rsidR="08E13D5A" w:rsidRPr="08E13D5A">
        <w:rPr>
          <w:i/>
        </w:rPr>
        <w:t>Cat</w:t>
      </w:r>
      <w:r w:rsidR="08E13D5A">
        <w:t>. 2a15‒16</w:t>
      </w:r>
      <w:r w:rsidR="08E13D5A">
        <w:fldChar w:fldCharType="begin"/>
      </w:r>
      <w:r w:rsidR="08E13D5A">
        <w:instrText xml:space="preserve"> XE "Aristoteles:</w:instrText>
      </w:r>
      <w:r w:rsidR="08E13D5A" w:rsidRPr="087F4DD5">
        <w:rPr>
          <w:i/>
        </w:rPr>
        <w:instrText>Cat</w:instrText>
      </w:r>
      <w:r w:rsidR="08E13D5A" w:rsidRPr="087F4DD5">
        <w:instrText>. 2a15‒16</w:instrText>
      </w:r>
      <w:r w:rsidR="08E13D5A">
        <w:instrText xml:space="preserve">" </w:instrText>
      </w:r>
      <w:r w:rsidR="08E13D5A">
        <w:fldChar w:fldCharType="end"/>
      </w:r>
      <w:r w:rsidR="08E13D5A">
        <w:t xml:space="preserve">). </w:t>
      </w:r>
      <w:r w:rsidR="088934D9">
        <w:t xml:space="preserve">Aristotelské </w:t>
      </w:r>
      <w:r w:rsidR="088934D9" w:rsidRPr="088934D9">
        <w:rPr>
          <w:i/>
        </w:rPr>
        <w:t>demonstratio</w:t>
      </w:r>
      <w:r w:rsidR="088934D9">
        <w:t xml:space="preserve"> </w:t>
      </w:r>
      <w:r w:rsidR="08DC7192">
        <w:t xml:space="preserve">vycházející z reality </w:t>
      </w:r>
      <w:r w:rsidR="088934D9">
        <w:t xml:space="preserve">není moderní </w:t>
      </w:r>
      <w:r w:rsidR="088934D9" w:rsidRPr="088934D9">
        <w:rPr>
          <w:i/>
        </w:rPr>
        <w:t>speculatio</w:t>
      </w:r>
      <w:r w:rsidR="08E75A6B">
        <w:t xml:space="preserve">. </w:t>
      </w:r>
      <w:r w:rsidR="08D5579A">
        <w:t xml:space="preserve">Moderní </w:t>
      </w:r>
      <w:r w:rsidR="08E75A6B">
        <w:t xml:space="preserve">poznání </w:t>
      </w:r>
      <w:r w:rsidR="08DC7192">
        <w:t xml:space="preserve">vychází z parousie esence </w:t>
      </w:r>
      <w:r w:rsidR="08866D8B">
        <w:t xml:space="preserve">nepochybně </w:t>
      </w:r>
      <w:r w:rsidR="08DC7192">
        <w:t>zjevené v mysli moderního ilumináta.</w:t>
      </w:r>
      <w:r w:rsidR="088934D9">
        <w:t xml:space="preserve"> </w:t>
      </w:r>
      <w:r w:rsidR="08BF72A4" w:rsidRPr="00273106">
        <w:t xml:space="preserve">Albertův výklad </w:t>
      </w:r>
      <w:r w:rsidR="08BF72A4" w:rsidRPr="08E33973">
        <w:rPr>
          <w:i/>
        </w:rPr>
        <w:t>Druhých analytik</w:t>
      </w:r>
      <w:r w:rsidR="08BF72A4" w:rsidRPr="00273106">
        <w:t xml:space="preserve"> </w:t>
      </w:r>
      <w:r w:rsidR="08BF72A4">
        <w:t xml:space="preserve">výslovně </w:t>
      </w:r>
      <w:r w:rsidR="08BF72A4" w:rsidRPr="00273106">
        <w:t>odmítá Kil</w:t>
      </w:r>
      <w:r w:rsidR="00EA031A">
        <w:t xml:space="preserve">wardbyho pojetí vědeckého soudu. Stejně tak spis </w:t>
      </w:r>
      <w:r w:rsidR="08BF72A4" w:rsidRPr="00273106">
        <w:rPr>
          <w:i/>
        </w:rPr>
        <w:t>De homine</w:t>
      </w:r>
      <w:r w:rsidR="08BF72A4" w:rsidRPr="00273106">
        <w:t xml:space="preserve"> odmítl výklad </w:t>
      </w:r>
      <w:r w:rsidR="08BF72A4" w:rsidRPr="00572CE4">
        <w:rPr>
          <w:i/>
        </w:rPr>
        <w:t>Druhých Analytik</w:t>
      </w:r>
      <w:r w:rsidR="08BF72A4" w:rsidRPr="00273106">
        <w:t xml:space="preserve">, který </w:t>
      </w:r>
      <w:r w:rsidR="00C83B4C">
        <w:t xml:space="preserve">v téže době </w:t>
      </w:r>
      <w:r w:rsidR="00C83B4C" w:rsidRPr="00273106">
        <w:t xml:space="preserve">bakalář Rufus z Cornwallu </w:t>
      </w:r>
      <w:r w:rsidR="08BF72A4" w:rsidRPr="00273106">
        <w:t>prezentoval v Paříži.</w:t>
      </w:r>
      <w:r w:rsidR="08737AEB">
        <w:t xml:space="preserve"> </w:t>
      </w:r>
      <w:r w:rsidR="00965C89">
        <w:t xml:space="preserve">Spis </w:t>
      </w:r>
      <w:r w:rsidR="00965C89" w:rsidRPr="08BF72A4">
        <w:rPr>
          <w:i/>
        </w:rPr>
        <w:t>De homine</w:t>
      </w:r>
      <w:r w:rsidR="00965C89">
        <w:t xml:space="preserve"> </w:t>
      </w:r>
      <w:r w:rsidR="00761FBC">
        <w:t xml:space="preserve">vyhlásil válku učení </w:t>
      </w:r>
      <w:r w:rsidR="00F30375">
        <w:t xml:space="preserve">modernistů </w:t>
      </w:r>
      <w:r w:rsidR="00CC624A">
        <w:t>v tomto odstavci</w:t>
      </w:r>
      <w:r w:rsidR="00F30375">
        <w:t>.</w:t>
      </w:r>
    </w:p>
    <w:p w14:paraId="560E2346" w14:textId="5ADAB92B" w:rsidR="00904149" w:rsidRPr="00273106" w:rsidRDefault="00221596" w:rsidP="003B4E3A">
      <w:pPr>
        <w:pStyle w:val="Citace"/>
        <w:rPr>
          <w:noProof/>
          <w:lang w:val="cs-CZ"/>
        </w:rPr>
      </w:pPr>
      <w:r w:rsidRPr="00273106">
        <w:rPr>
          <w:noProof/>
          <w:lang w:val="cs-CZ"/>
        </w:rPr>
        <w:t>„</w:t>
      </w:r>
      <w:r w:rsidR="00C45220" w:rsidRPr="00273106">
        <w:rPr>
          <w:noProof/>
          <w:lang w:val="cs-CZ"/>
        </w:rPr>
        <w:t xml:space="preserve">Jestliže určujeme věc jen podle </w:t>
      </w:r>
      <w:r w:rsidR="00F51FC5" w:rsidRPr="00273106">
        <w:rPr>
          <w:noProof/>
          <w:lang w:val="cs-CZ"/>
        </w:rPr>
        <w:t xml:space="preserve">obecné </w:t>
      </w:r>
      <w:r w:rsidR="00C45220" w:rsidRPr="00273106">
        <w:rPr>
          <w:noProof/>
          <w:lang w:val="cs-CZ"/>
        </w:rPr>
        <w:t xml:space="preserve">definice v rámci substance a </w:t>
      </w:r>
      <w:r w:rsidR="009C4C86" w:rsidRPr="00273106">
        <w:rPr>
          <w:noProof/>
          <w:lang w:val="cs-CZ"/>
        </w:rPr>
        <w:t xml:space="preserve">podle </w:t>
      </w:r>
      <w:r w:rsidR="005A73D1">
        <w:rPr>
          <w:noProof/>
          <w:lang w:val="cs-CZ"/>
        </w:rPr>
        <w:t xml:space="preserve">obecné </w:t>
      </w:r>
      <w:r w:rsidR="00C45220" w:rsidRPr="00273106">
        <w:rPr>
          <w:noProof/>
          <w:lang w:val="cs-CZ"/>
        </w:rPr>
        <w:t>přirozenosti věci</w:t>
      </w:r>
      <w:r w:rsidR="00317754">
        <w:rPr>
          <w:noProof/>
          <w:lang w:val="cs-CZ"/>
        </w:rPr>
        <w:t xml:space="preserve"> (</w:t>
      </w:r>
      <w:r w:rsidR="00FB753A">
        <w:rPr>
          <w:i/>
        </w:rPr>
        <w:t>ratione sub</w:t>
      </w:r>
      <w:r w:rsidR="00317754" w:rsidRPr="00317754">
        <w:rPr>
          <w:i/>
        </w:rPr>
        <w:t>stantiae et naturae</w:t>
      </w:r>
      <w:r w:rsidR="00317754">
        <w:rPr>
          <w:noProof/>
          <w:lang w:val="cs-CZ"/>
        </w:rPr>
        <w:t>)</w:t>
      </w:r>
      <w:r w:rsidR="00C45220" w:rsidRPr="00273106">
        <w:rPr>
          <w:noProof/>
          <w:lang w:val="cs-CZ"/>
        </w:rPr>
        <w:t xml:space="preserve">, pak ji nepoznáváme v jejím reálném bytí určeném </w:t>
      </w:r>
      <w:r w:rsidR="006404F1">
        <w:rPr>
          <w:noProof/>
          <w:lang w:val="cs-CZ"/>
        </w:rPr>
        <w:t xml:space="preserve">ve věci </w:t>
      </w:r>
      <w:r w:rsidR="00C45220" w:rsidRPr="00273106">
        <w:rPr>
          <w:noProof/>
          <w:lang w:val="cs-CZ"/>
        </w:rPr>
        <w:t xml:space="preserve">a </w:t>
      </w:r>
      <w:r w:rsidR="009C4C86" w:rsidRPr="00273106">
        <w:rPr>
          <w:noProof/>
          <w:lang w:val="cs-CZ"/>
        </w:rPr>
        <w:t xml:space="preserve">jako </w:t>
      </w:r>
      <w:r w:rsidR="00C45220" w:rsidRPr="00273106">
        <w:rPr>
          <w:noProof/>
          <w:lang w:val="cs-CZ"/>
        </w:rPr>
        <w:t>reálná přirozenost</w:t>
      </w:r>
      <w:r w:rsidR="006404F1">
        <w:rPr>
          <w:noProof/>
          <w:lang w:val="cs-CZ"/>
        </w:rPr>
        <w:t xml:space="preserve"> věci</w:t>
      </w:r>
      <w:r w:rsidR="00C45220" w:rsidRPr="00273106">
        <w:rPr>
          <w:noProof/>
          <w:lang w:val="cs-CZ"/>
        </w:rPr>
        <w:t>, ale poznáváme ji pouze jako univerzálii</w:t>
      </w:r>
      <w:r w:rsidR="00317754">
        <w:rPr>
          <w:noProof/>
          <w:lang w:val="cs-CZ"/>
        </w:rPr>
        <w:t xml:space="preserve"> (</w:t>
      </w:r>
      <w:r w:rsidR="00317754" w:rsidRPr="00317754">
        <w:rPr>
          <w:i/>
        </w:rPr>
        <w:t>in universali tantum</w:t>
      </w:r>
      <w:r w:rsidR="00317754">
        <w:rPr>
          <w:noProof/>
          <w:lang w:val="cs-CZ"/>
        </w:rPr>
        <w:t>)</w:t>
      </w:r>
      <w:r w:rsidR="00C45220" w:rsidRPr="00273106">
        <w:rPr>
          <w:noProof/>
          <w:lang w:val="cs-CZ"/>
        </w:rPr>
        <w:t xml:space="preserve">. Pak ale poznáváme její </w:t>
      </w:r>
      <w:r w:rsidR="00025BF0">
        <w:rPr>
          <w:noProof/>
          <w:lang w:val="cs-CZ"/>
        </w:rPr>
        <w:t xml:space="preserve">vlastnosti </w:t>
      </w:r>
      <w:r w:rsidR="00C45220" w:rsidRPr="00273106">
        <w:rPr>
          <w:noProof/>
          <w:lang w:val="cs-CZ"/>
        </w:rPr>
        <w:t>pouze v</w:t>
      </w:r>
      <w:r w:rsidR="00701BD7">
        <w:rPr>
          <w:noProof/>
          <w:lang w:val="cs-CZ"/>
        </w:rPr>
        <w:t xml:space="preserve"> esenciální </w:t>
      </w:r>
      <w:r w:rsidR="00C45220" w:rsidRPr="00273106">
        <w:rPr>
          <w:noProof/>
          <w:lang w:val="cs-CZ"/>
        </w:rPr>
        <w:t xml:space="preserve">možnosti, </w:t>
      </w:r>
      <w:r w:rsidR="00701BD7">
        <w:rPr>
          <w:noProof/>
          <w:lang w:val="cs-CZ"/>
        </w:rPr>
        <w:t xml:space="preserve">což </w:t>
      </w:r>
      <w:r w:rsidR="00C45220" w:rsidRPr="00273106">
        <w:rPr>
          <w:noProof/>
          <w:lang w:val="cs-CZ"/>
        </w:rPr>
        <w:t xml:space="preserve">je nedokonalá forma poznání.  Proto je nutné, abychom poznali i reálné </w:t>
      </w:r>
      <w:r w:rsidR="00494714">
        <w:rPr>
          <w:noProof/>
          <w:lang w:val="cs-CZ"/>
        </w:rPr>
        <w:t xml:space="preserve">vlastnosti </w:t>
      </w:r>
      <w:r w:rsidR="00C45220" w:rsidRPr="00273106">
        <w:rPr>
          <w:noProof/>
          <w:lang w:val="cs-CZ"/>
        </w:rPr>
        <w:t xml:space="preserve">věci podle toho, jak </w:t>
      </w:r>
      <w:r w:rsidR="00F51FC5" w:rsidRPr="00273106">
        <w:rPr>
          <w:noProof/>
          <w:lang w:val="cs-CZ"/>
        </w:rPr>
        <w:t>jsou podrobeny působení</w:t>
      </w:r>
      <w:r w:rsidR="003B4E3A" w:rsidRPr="00273106">
        <w:rPr>
          <w:noProof/>
          <w:lang w:val="cs-CZ"/>
        </w:rPr>
        <w:t xml:space="preserve"> jedné věci na druhou</w:t>
      </w:r>
      <w:r w:rsidR="00317754">
        <w:rPr>
          <w:noProof/>
          <w:lang w:val="cs-CZ"/>
        </w:rPr>
        <w:t xml:space="preserve"> (</w:t>
      </w:r>
      <w:r w:rsidR="00317754" w:rsidRPr="00317754">
        <w:rPr>
          <w:i/>
        </w:rPr>
        <w:t>determinatis passionibus subjiciuntur</w:t>
      </w:r>
      <w:r w:rsidR="00317754">
        <w:rPr>
          <w:noProof/>
          <w:lang w:val="cs-CZ"/>
        </w:rPr>
        <w:t>)</w:t>
      </w:r>
      <w:r w:rsidR="00F51FC5" w:rsidRPr="00273106">
        <w:rPr>
          <w:noProof/>
          <w:lang w:val="cs-CZ"/>
        </w:rPr>
        <w:t>. Takto jsou totiž dány ve svém reálné</w:t>
      </w:r>
      <w:r w:rsidR="00B92970">
        <w:rPr>
          <w:noProof/>
          <w:lang w:val="cs-CZ"/>
        </w:rPr>
        <w:t xml:space="preserve">m bytí a v reálné přirozenosti. To </w:t>
      </w:r>
      <w:r w:rsidR="00B11BA7" w:rsidRPr="00273106">
        <w:rPr>
          <w:noProof/>
          <w:lang w:val="cs-CZ"/>
        </w:rPr>
        <w:t xml:space="preserve">je </w:t>
      </w:r>
      <w:r w:rsidR="003B4E3A" w:rsidRPr="00273106">
        <w:rPr>
          <w:noProof/>
          <w:lang w:val="cs-CZ"/>
        </w:rPr>
        <w:t>modus poznání je</w:t>
      </w:r>
      <w:r w:rsidR="00F51FC5" w:rsidRPr="00273106">
        <w:rPr>
          <w:noProof/>
          <w:lang w:val="cs-CZ"/>
        </w:rPr>
        <w:t>d</w:t>
      </w:r>
      <w:r w:rsidR="003B4E3A" w:rsidRPr="00273106">
        <w:rPr>
          <w:noProof/>
          <w:lang w:val="cs-CZ"/>
        </w:rPr>
        <w:t>no</w:t>
      </w:r>
      <w:r w:rsidR="00F51FC5" w:rsidRPr="00273106">
        <w:rPr>
          <w:noProof/>
          <w:lang w:val="cs-CZ"/>
        </w:rPr>
        <w:t>t</w:t>
      </w:r>
      <w:r w:rsidR="003B4E3A" w:rsidRPr="00273106">
        <w:rPr>
          <w:noProof/>
          <w:lang w:val="cs-CZ"/>
        </w:rPr>
        <w:t>l</w:t>
      </w:r>
      <w:r w:rsidR="00F51FC5" w:rsidRPr="00273106">
        <w:rPr>
          <w:noProof/>
          <w:lang w:val="cs-CZ"/>
        </w:rPr>
        <w:t xml:space="preserve">ivé věci v jí vlastní formě </w:t>
      </w:r>
      <w:r w:rsidR="00FB006B">
        <w:rPr>
          <w:noProof/>
          <w:lang w:val="cs-CZ"/>
        </w:rPr>
        <w:t xml:space="preserve">a </w:t>
      </w:r>
      <w:r w:rsidR="00F51FC5" w:rsidRPr="00273106">
        <w:rPr>
          <w:noProof/>
          <w:lang w:val="cs-CZ"/>
        </w:rPr>
        <w:t>přirozenosti</w:t>
      </w:r>
      <w:r w:rsidR="00B92970">
        <w:rPr>
          <w:noProof/>
          <w:lang w:val="cs-CZ"/>
        </w:rPr>
        <w:t xml:space="preserve"> (</w:t>
      </w:r>
      <w:r w:rsidR="00B92970" w:rsidRPr="00B92970">
        <w:rPr>
          <w:i/>
          <w:noProof/>
          <w:lang w:val="cs-CZ"/>
        </w:rPr>
        <w:t xml:space="preserve">modus </w:t>
      </w:r>
      <w:r w:rsidR="00B92970" w:rsidRPr="00B92970">
        <w:rPr>
          <w:i/>
        </w:rPr>
        <w:t>sciendi rem in particulari et in propria natura</w:t>
      </w:r>
      <w:r w:rsidR="00B92970">
        <w:rPr>
          <w:noProof/>
          <w:lang w:val="cs-CZ"/>
        </w:rPr>
        <w:t>)</w:t>
      </w:r>
      <w:r w:rsidR="00F51FC5" w:rsidRPr="00273106">
        <w:rPr>
          <w:noProof/>
          <w:lang w:val="cs-CZ"/>
        </w:rPr>
        <w:t xml:space="preserve">, který známe z Aristotelových </w:t>
      </w:r>
      <w:r w:rsidR="00DD5AE6" w:rsidRPr="00DD5AE6">
        <w:rPr>
          <w:i/>
          <w:noProof/>
          <w:lang w:val="cs-CZ"/>
        </w:rPr>
        <w:t>Druhých</w:t>
      </w:r>
      <w:r w:rsidR="00DD5AE6">
        <w:rPr>
          <w:noProof/>
          <w:lang w:val="cs-CZ"/>
        </w:rPr>
        <w:t xml:space="preserve"> </w:t>
      </w:r>
      <w:r w:rsidR="0889013B">
        <w:rPr>
          <w:i/>
          <w:noProof/>
          <w:lang w:val="cs-CZ"/>
        </w:rPr>
        <w:t>A</w:t>
      </w:r>
      <w:r w:rsidR="00F51FC5" w:rsidRPr="00231BEA">
        <w:rPr>
          <w:i/>
          <w:noProof/>
          <w:lang w:val="cs-CZ"/>
        </w:rPr>
        <w:t>nalytik</w:t>
      </w:r>
      <w:r w:rsidR="00F51FC5" w:rsidRPr="00273106">
        <w:rPr>
          <w:noProof/>
          <w:lang w:val="cs-CZ"/>
        </w:rPr>
        <w:t>.“</w:t>
      </w:r>
      <w:r w:rsidR="003B4E3A" w:rsidRPr="00273106">
        <w:rPr>
          <w:noProof/>
          <w:lang w:val="cs-CZ"/>
        </w:rPr>
        <w:t xml:space="preserve"> </w:t>
      </w:r>
      <w:r w:rsidR="00904149" w:rsidRPr="00273106">
        <w:rPr>
          <w:rStyle w:val="Znakapoznpodarou"/>
          <w:noProof/>
          <w:lang w:val="cs-CZ"/>
        </w:rPr>
        <w:footnoteReference w:id="219"/>
      </w:r>
    </w:p>
    <w:p w14:paraId="3F5D1AAA" w14:textId="77777777" w:rsidR="00323BDD" w:rsidRDefault="00AF504F" w:rsidP="00221596">
      <w:r w:rsidRPr="00273106">
        <w:lastRenderedPageBreak/>
        <w:t xml:space="preserve">Převeďme tento text na </w:t>
      </w:r>
      <w:r w:rsidR="00BC0D51" w:rsidRPr="00273106">
        <w:t xml:space="preserve">poznání duše, protože to je základní </w:t>
      </w:r>
      <w:r w:rsidR="00231BEA">
        <w:t xml:space="preserve">otázka </w:t>
      </w:r>
      <w:r w:rsidR="00BC0D51" w:rsidRPr="00273106">
        <w:t>Albertovy argumentace</w:t>
      </w:r>
      <w:r w:rsidR="004973E4" w:rsidRPr="00273106">
        <w:t xml:space="preserve"> </w:t>
      </w:r>
      <w:r w:rsidR="00725750" w:rsidRPr="00273106">
        <w:t xml:space="preserve">v </w:t>
      </w:r>
      <w:r w:rsidR="002A778B" w:rsidRPr="00273106">
        <w:t xml:space="preserve">první </w:t>
      </w:r>
      <w:r w:rsidR="004973E4" w:rsidRPr="00273106">
        <w:t>části traktátu</w:t>
      </w:r>
      <w:r w:rsidR="00725750" w:rsidRPr="00273106">
        <w:t xml:space="preserve"> </w:t>
      </w:r>
      <w:r w:rsidR="00725750" w:rsidRPr="00273106">
        <w:rPr>
          <w:i/>
        </w:rPr>
        <w:t>De homine</w:t>
      </w:r>
      <w:r w:rsidR="00231BEA">
        <w:t xml:space="preserve">. </w:t>
      </w:r>
      <w:r w:rsidR="088D6221" w:rsidRPr="00273106">
        <w:t xml:space="preserve">Esenciální definice </w:t>
      </w:r>
      <w:r w:rsidR="088D6221">
        <w:t xml:space="preserve">čehokoliv </w:t>
      </w:r>
      <w:r w:rsidR="088D6221" w:rsidRPr="00273106">
        <w:t xml:space="preserve">v modu </w:t>
      </w:r>
      <w:r w:rsidR="088D6221" w:rsidRPr="00273106">
        <w:rPr>
          <w:i/>
        </w:rPr>
        <w:t>simpliciter</w:t>
      </w:r>
      <w:r w:rsidR="088D6221" w:rsidRPr="00273106">
        <w:t xml:space="preserve"> nejde k realitě</w:t>
      </w:r>
      <w:r w:rsidR="088D6221">
        <w:t>, protože toto p</w:t>
      </w:r>
      <w:r w:rsidR="088D6221" w:rsidRPr="00273106">
        <w:t>oznání je vinou obecnosti (</w:t>
      </w:r>
      <w:r w:rsidR="088D6221" w:rsidRPr="00273106">
        <w:rPr>
          <w:i/>
        </w:rPr>
        <w:t>in universali tantum</w:t>
      </w:r>
      <w:r w:rsidR="088D6221" w:rsidRPr="00273106">
        <w:t>) pouze potenciální vzhledem k reálné věci (</w:t>
      </w:r>
      <w:r w:rsidR="088D6221" w:rsidRPr="00273106">
        <w:rPr>
          <w:i/>
        </w:rPr>
        <w:t>non scirentur partes nisi in potentia</w:t>
      </w:r>
      <w:r w:rsidR="088D6221" w:rsidRPr="00273106">
        <w:t xml:space="preserve">). Zkoumat tímto způsobem člověka a duši </w:t>
      </w:r>
      <w:r w:rsidR="088D6221">
        <w:t xml:space="preserve">představuje </w:t>
      </w:r>
      <w:r w:rsidR="088D6221" w:rsidRPr="00273106">
        <w:t>ne</w:t>
      </w:r>
      <w:r w:rsidR="088D6221">
        <w:t xml:space="preserve">dostatečně založený </w:t>
      </w:r>
      <w:r w:rsidR="088D6221" w:rsidRPr="00273106">
        <w:t xml:space="preserve">vědecký </w:t>
      </w:r>
      <w:r w:rsidR="088D6221">
        <w:t xml:space="preserve">důkaz </w:t>
      </w:r>
      <w:r w:rsidR="088D6221" w:rsidRPr="00273106">
        <w:t>(</w:t>
      </w:r>
      <w:r w:rsidR="088D6221" w:rsidRPr="00273106">
        <w:rPr>
          <w:i/>
        </w:rPr>
        <w:t>scientur imperfecte</w:t>
      </w:r>
      <w:r w:rsidR="088D6221" w:rsidRPr="00273106">
        <w:t xml:space="preserve">). </w:t>
      </w:r>
      <w:r w:rsidR="08800D37">
        <w:t xml:space="preserve">Pak </w:t>
      </w:r>
      <w:r w:rsidR="00221596" w:rsidRPr="00273106">
        <w:t>hledáme pouze obecné prin</w:t>
      </w:r>
      <w:r w:rsidR="00F33798" w:rsidRPr="00273106">
        <w:t>cipy toho, čím je duše</w:t>
      </w:r>
      <w:r w:rsidR="00F65370" w:rsidRPr="00273106">
        <w:t xml:space="preserve"> (</w:t>
      </w:r>
      <w:r w:rsidR="00C63D4D">
        <w:rPr>
          <w:i/>
        </w:rPr>
        <w:t>ratione sub</w:t>
      </w:r>
      <w:r w:rsidR="00F65370" w:rsidRPr="00273106">
        <w:rPr>
          <w:i/>
        </w:rPr>
        <w:t>stantiae et naturae</w:t>
      </w:r>
      <w:r w:rsidR="00F65370" w:rsidRPr="00273106">
        <w:t>)</w:t>
      </w:r>
      <w:r w:rsidR="00F33798" w:rsidRPr="00273106">
        <w:t>. O</w:t>
      </w:r>
      <w:r w:rsidR="00221596" w:rsidRPr="00273106">
        <w:t>becný pohled post</w:t>
      </w:r>
      <w:r w:rsidR="088D6221">
        <w:t xml:space="preserve">upuje skrze poznání esence </w:t>
      </w:r>
      <w:r w:rsidR="00221596" w:rsidRPr="00273106">
        <w:t>a poznává jednotlivé akty duše pouze</w:t>
      </w:r>
      <w:r w:rsidR="088D6221">
        <w:t xml:space="preserve"> formálně</w:t>
      </w:r>
      <w:r w:rsidR="00221596" w:rsidRPr="00273106">
        <w:t xml:space="preserve">, což je </w:t>
      </w:r>
      <w:r w:rsidR="0098299A" w:rsidRPr="00273106">
        <w:t>nedokonalé</w:t>
      </w:r>
      <w:r w:rsidR="0098299A">
        <w:t xml:space="preserve"> </w:t>
      </w:r>
      <w:r w:rsidR="00221596" w:rsidRPr="00273106">
        <w:t xml:space="preserve">vzhledem k první substanci </w:t>
      </w:r>
      <w:r w:rsidR="0098299A">
        <w:t>jako zdroji impozice</w:t>
      </w:r>
      <w:r w:rsidR="00221596" w:rsidRPr="00273106">
        <w:t xml:space="preserve">. </w:t>
      </w:r>
      <w:r w:rsidR="081C7001" w:rsidRPr="00273106">
        <w:t xml:space="preserve">Pravdivé poznání v plném rozsahu začíná </w:t>
      </w:r>
      <w:r w:rsidR="081C7001">
        <w:t xml:space="preserve">ve světě reálných substancí a jejich kauzálního působení. Poznání musí začít </w:t>
      </w:r>
      <w:r w:rsidR="081C7001" w:rsidRPr="00273106">
        <w:t>od reálných výkonů duše aktuálně dané v těle</w:t>
      </w:r>
      <w:r w:rsidR="081C7001">
        <w:t>, která</w:t>
      </w:r>
      <w:r w:rsidR="081C7001" w:rsidRPr="00273106">
        <w:t xml:space="preserve"> něco smyslově zakouší (</w:t>
      </w:r>
      <w:r w:rsidR="081C7001" w:rsidRPr="00273106">
        <w:rPr>
          <w:i/>
        </w:rPr>
        <w:t>determinatis passionibus subjiciuntur</w:t>
      </w:r>
      <w:r w:rsidR="081C7001" w:rsidRPr="00273106">
        <w:t xml:space="preserve">). </w:t>
      </w:r>
      <w:r w:rsidR="08815726">
        <w:t>D</w:t>
      </w:r>
      <w:r w:rsidR="088D6221">
        <w:t>uševní schopnosti hylemorfick</w:t>
      </w:r>
      <w:r w:rsidR="00640851">
        <w:t xml:space="preserve">é </w:t>
      </w:r>
      <w:r w:rsidR="088D6221">
        <w:t xml:space="preserve">osoby </w:t>
      </w:r>
      <w:r w:rsidR="006D7A7C">
        <w:t>způsobují</w:t>
      </w:r>
      <w:r w:rsidR="00221596" w:rsidRPr="00273106">
        <w:t xml:space="preserve"> poznání</w:t>
      </w:r>
      <w:r w:rsidR="08815726">
        <w:t xml:space="preserve"> jako princip, protože jsou dány v modu </w:t>
      </w:r>
      <w:r w:rsidR="08921570" w:rsidRPr="08921570">
        <w:rPr>
          <w:i/>
        </w:rPr>
        <w:t>immediatum</w:t>
      </w:r>
      <w:r w:rsidR="08921570">
        <w:t xml:space="preserve"> </w:t>
      </w:r>
      <w:r w:rsidR="08815726">
        <w:t>a navíc kauzálně od reálného světa (</w:t>
      </w:r>
      <w:r w:rsidR="08815726" w:rsidRPr="00273106">
        <w:rPr>
          <w:rStyle w:val="TextpoznpodarouChar"/>
        </w:rPr>
        <w:t>παθήματα τῆς ψυχῆς,</w:t>
      </w:r>
      <w:r w:rsidR="08921570">
        <w:rPr>
          <w:rStyle w:val="TextpoznpodarouChar"/>
        </w:rPr>
        <w:t xml:space="preserve"> kap. 1</w:t>
      </w:r>
      <w:r w:rsidR="08815726">
        <w:rPr>
          <w:rStyle w:val="TextpoznpodarouChar"/>
        </w:rPr>
        <w:t>.1</w:t>
      </w:r>
      <w:r w:rsidR="08815726">
        <w:t>)</w:t>
      </w:r>
      <w:r w:rsidR="00221596" w:rsidRPr="00273106">
        <w:t xml:space="preserve">. </w:t>
      </w:r>
      <w:r w:rsidR="08BB105B">
        <w:t>I</w:t>
      </w:r>
      <w:r w:rsidR="08070E57">
        <w:t xml:space="preserve">ntelektuální schopnosti </w:t>
      </w:r>
      <w:r w:rsidR="004F19C7">
        <w:t xml:space="preserve">jsou dány skrze </w:t>
      </w:r>
      <w:r w:rsidR="08070E57">
        <w:t>reáln</w:t>
      </w:r>
      <w:r w:rsidR="004F19C7">
        <w:t>ou kauzalitu</w:t>
      </w:r>
      <w:r w:rsidR="08BB105B">
        <w:t xml:space="preserve"> </w:t>
      </w:r>
      <w:r w:rsidR="004F19C7">
        <w:t xml:space="preserve">osoby, proto jejich formální pojem </w:t>
      </w:r>
      <w:r w:rsidR="081C7001">
        <w:t>poznáváme v </w:t>
      </w:r>
      <w:r w:rsidR="007C6E0B">
        <w:t xml:space="preserve">řádu vědeckého důkazu </w:t>
      </w:r>
      <w:r w:rsidR="004F19C7">
        <w:t>až jako poslední člen</w:t>
      </w:r>
      <w:r w:rsidR="08070E57">
        <w:t xml:space="preserve">. Teprve na konci </w:t>
      </w:r>
      <w:r w:rsidR="08070E57" w:rsidRPr="08070E57">
        <w:rPr>
          <w:i/>
        </w:rPr>
        <w:t>demonstatio</w:t>
      </w:r>
      <w:r w:rsidR="08070E57">
        <w:t xml:space="preserve"> jsou výkony intelektu a duše predikovány </w:t>
      </w:r>
      <w:r w:rsidR="081C7001">
        <w:t xml:space="preserve">v reálně založené a obecně dedukované </w:t>
      </w:r>
      <w:r w:rsidR="081C7001" w:rsidRPr="00273106">
        <w:t>přirozenosti (</w:t>
      </w:r>
      <w:r w:rsidR="081C7001" w:rsidRPr="00273106">
        <w:rPr>
          <w:i/>
        </w:rPr>
        <w:t>esse determinatum partium suarum et natura</w:t>
      </w:r>
      <w:r w:rsidR="081C7001" w:rsidRPr="00273106">
        <w:t>).</w:t>
      </w:r>
    </w:p>
    <w:p w14:paraId="776C0AD2" w14:textId="6C2BE19B" w:rsidR="00221596" w:rsidRPr="00273106" w:rsidRDefault="00685F69" w:rsidP="00323BDD">
      <w:pPr>
        <w:ind w:firstLine="397"/>
      </w:pPr>
      <w:r>
        <w:t xml:space="preserve">Základní pochybení modernistů </w:t>
      </w:r>
      <w:r w:rsidR="00BB4B05">
        <w:t xml:space="preserve">je </w:t>
      </w:r>
      <w:r w:rsidR="009C3802">
        <w:t xml:space="preserve">podle Alberta </w:t>
      </w:r>
      <w:r w:rsidR="00BB4B05">
        <w:t>dán</w:t>
      </w:r>
      <w:r w:rsidR="0042618D">
        <w:t>o</w:t>
      </w:r>
      <w:r w:rsidR="00BB4B05">
        <w:t xml:space="preserve"> tím, že myšlení </w:t>
      </w:r>
      <w:r w:rsidR="00FC0893">
        <w:t>nejd</w:t>
      </w:r>
      <w:r w:rsidR="00BB4B05">
        <w:t>e</w:t>
      </w:r>
      <w:r w:rsidR="00FC0893">
        <w:t xml:space="preserve"> k první substanci, ale k její esenci </w:t>
      </w:r>
      <w:r w:rsidR="00BB4B05">
        <w:t>dané pouze v mysli jako potenci</w:t>
      </w:r>
      <w:r w:rsidR="00FC0893">
        <w:t>ální un</w:t>
      </w:r>
      <w:r w:rsidR="0042618D">
        <w:t>iv</w:t>
      </w:r>
      <w:r w:rsidR="00FC0893">
        <w:t xml:space="preserve">erzálie. </w:t>
      </w:r>
      <w:r w:rsidR="08155B1F">
        <w:t xml:space="preserve">Parousie esence člověka v mysli ilumináta nahradila reálnou existenci osoby. Esenciálně daná definice není vědecký důkaz, protože chybí predikace kauzality daná </w:t>
      </w:r>
      <w:r w:rsidR="082A724F">
        <w:t xml:space="preserve">metafyzickým </w:t>
      </w:r>
      <w:r w:rsidR="08155B1F">
        <w:t xml:space="preserve">dativem. Definice člověka v identitním modu </w:t>
      </w:r>
      <w:r w:rsidR="08155B1F" w:rsidRPr="08155B1F">
        <w:rPr>
          <w:i/>
        </w:rPr>
        <w:t>essentia</w:t>
      </w:r>
      <w:r w:rsidR="08155B1F">
        <w:t xml:space="preserve"> není totéž jako definice člověka ipseitním modu </w:t>
      </w:r>
      <w:r w:rsidR="08155B1F" w:rsidRPr="08155B1F">
        <w:rPr>
          <w:i/>
        </w:rPr>
        <w:t>quidditas</w:t>
      </w:r>
      <w:r w:rsidR="08155B1F">
        <w:t xml:space="preserve">. </w:t>
      </w:r>
      <w:r w:rsidR="00221596" w:rsidRPr="00273106">
        <w:t>Abstraktní</w:t>
      </w:r>
      <w:r w:rsidR="08A201D1">
        <w:t xml:space="preserve"> logické</w:t>
      </w:r>
      <w:r w:rsidR="00221596" w:rsidRPr="00273106">
        <w:t xml:space="preserve"> </w:t>
      </w:r>
      <w:r w:rsidR="00221596" w:rsidRPr="00273106">
        <w:rPr>
          <w:i/>
        </w:rPr>
        <w:t>resolutio</w:t>
      </w:r>
      <w:r w:rsidR="005A68A7">
        <w:rPr>
          <w:i/>
        </w:rPr>
        <w:fldChar w:fldCharType="begin"/>
      </w:r>
      <w:r w:rsidR="005A68A7">
        <w:instrText xml:space="preserve"> XE "</w:instrText>
      </w:r>
      <w:r w:rsidR="005A68A7" w:rsidRPr="00111E9E">
        <w:rPr>
          <w:i/>
        </w:rPr>
        <w:instrText>resolutio</w:instrText>
      </w:r>
      <w:r w:rsidR="007D3515" w:rsidRPr="00632BD8">
        <w:instrText>:druhý averroismus</w:instrText>
      </w:r>
      <w:r w:rsidR="005A68A7">
        <w:instrText xml:space="preserve">" </w:instrText>
      </w:r>
      <w:r w:rsidR="005A68A7">
        <w:rPr>
          <w:i/>
        </w:rPr>
        <w:fldChar w:fldCharType="end"/>
      </w:r>
      <w:r w:rsidR="00221596" w:rsidRPr="00273106">
        <w:t xml:space="preserve"> a </w:t>
      </w:r>
      <w:r w:rsidR="00221596" w:rsidRPr="00273106">
        <w:rPr>
          <w:i/>
        </w:rPr>
        <w:t>demonstratio</w:t>
      </w:r>
      <w:r w:rsidR="007A6052">
        <w:rPr>
          <w:i/>
        </w:rPr>
        <w:fldChar w:fldCharType="begin"/>
      </w:r>
      <w:r w:rsidR="007A6052">
        <w:instrText xml:space="preserve"> XE "</w:instrText>
      </w:r>
      <w:r w:rsidR="007A6052" w:rsidRPr="004E6075">
        <w:rPr>
          <w:i/>
        </w:rPr>
        <w:instrText>demonstratio</w:instrText>
      </w:r>
      <w:r w:rsidR="007A6052" w:rsidRPr="00632BD8">
        <w:instrText>:</w:instrText>
      </w:r>
      <w:r w:rsidR="00632BD8" w:rsidRPr="00632BD8">
        <w:instrText>druhý averroismus</w:instrText>
      </w:r>
      <w:r w:rsidR="007A6052">
        <w:instrText xml:space="preserve">" </w:instrText>
      </w:r>
      <w:r w:rsidR="007A6052">
        <w:rPr>
          <w:i/>
        </w:rPr>
        <w:fldChar w:fldCharType="end"/>
      </w:r>
      <w:r w:rsidR="00221596" w:rsidRPr="00273106">
        <w:t xml:space="preserve"> nemůže přijít k</w:t>
      </w:r>
      <w:r w:rsidR="00894851" w:rsidRPr="00273106">
        <w:t xml:space="preserve">e konkrétní </w:t>
      </w:r>
      <w:r w:rsidR="00221596" w:rsidRPr="00273106">
        <w:t>existenci</w:t>
      </w:r>
      <w:r w:rsidR="088A2CB8">
        <w:t xml:space="preserve"> osoby</w:t>
      </w:r>
      <w:r w:rsidR="00221596" w:rsidRPr="00273106">
        <w:t>, ale pouze k formálně určeným vlastnostem a principům</w:t>
      </w:r>
      <w:r w:rsidR="088A2CB8">
        <w:t xml:space="preserve"> člověka jako takového</w:t>
      </w:r>
      <w:r w:rsidR="00221596" w:rsidRPr="00273106">
        <w:t xml:space="preserve">. Albert nepřímo říká, že Rufusův výklad </w:t>
      </w:r>
      <w:r w:rsidR="00221596" w:rsidRPr="00693B0D">
        <w:rPr>
          <w:i/>
        </w:rPr>
        <w:t>Druhých analytik</w:t>
      </w:r>
      <w:r w:rsidR="00221596" w:rsidRPr="00273106">
        <w:t xml:space="preserve">, který jistě znal z doby, kdy oba </w:t>
      </w:r>
      <w:r w:rsidR="00290F99">
        <w:t>studovali filosofii</w:t>
      </w:r>
      <w:r w:rsidR="00221596" w:rsidRPr="00273106">
        <w:t xml:space="preserve"> v Paříži, není dostatečně vědecký</w:t>
      </w:r>
      <w:r w:rsidR="08AC3B0C">
        <w:t xml:space="preserve"> </w:t>
      </w:r>
      <w:r w:rsidR="08DE6CFE">
        <w:t>(kap. 3</w:t>
      </w:r>
      <w:r w:rsidR="08AC3B0C" w:rsidRPr="00273106">
        <w:t>.3.1)</w:t>
      </w:r>
      <w:r w:rsidR="00221596" w:rsidRPr="00273106">
        <w:t xml:space="preserve">. </w:t>
      </w:r>
      <w:r w:rsidR="085A20AC">
        <w:t>Rufus</w:t>
      </w:r>
      <w:r w:rsidR="085A20AC" w:rsidRPr="00273106">
        <w:t xml:space="preserve"> </w:t>
      </w:r>
      <w:r w:rsidR="085A20AC">
        <w:t xml:space="preserve">podal první moderní </w:t>
      </w:r>
      <w:r w:rsidR="085A20AC" w:rsidRPr="00273106">
        <w:t xml:space="preserve">výklad středního členu </w:t>
      </w:r>
      <w:r w:rsidR="085A20AC">
        <w:t>vědeckého soudu</w:t>
      </w:r>
      <w:r w:rsidR="085A20AC">
        <w:fldChar w:fldCharType="begin"/>
      </w:r>
      <w:r w:rsidR="085A20AC">
        <w:instrText xml:space="preserve"> XE "</w:instrText>
      </w:r>
      <w:r w:rsidR="085A20AC" w:rsidRPr="00E30ABF">
        <w:rPr>
          <w:i/>
        </w:rPr>
        <w:instrText>medium</w:instrText>
      </w:r>
      <w:r w:rsidR="085A20AC">
        <w:instrText xml:space="preserve">:Rufus" </w:instrText>
      </w:r>
      <w:r w:rsidR="085A20AC">
        <w:fldChar w:fldCharType="end"/>
      </w:r>
      <w:r w:rsidR="085A20AC">
        <w:t xml:space="preserve"> podle </w:t>
      </w:r>
      <w:r w:rsidR="08546B42">
        <w:t xml:space="preserve">Grossetesteho </w:t>
      </w:r>
      <w:r w:rsidR="085A20AC">
        <w:t xml:space="preserve">výkladu </w:t>
      </w:r>
      <w:r w:rsidR="085A20AC" w:rsidRPr="00273106">
        <w:rPr>
          <w:i/>
        </w:rPr>
        <w:t>Anal. Post</w:t>
      </w:r>
      <w:r w:rsidR="085A20AC" w:rsidRPr="00273106">
        <w:t>. 73b27</w:t>
      </w:r>
      <w:r w:rsidR="085A20AC">
        <w:fldChar w:fldCharType="begin"/>
      </w:r>
      <w:r w:rsidR="085A20AC">
        <w:instrText xml:space="preserve"> XE "Aristoteles:</w:instrText>
      </w:r>
      <w:r w:rsidR="085A20AC" w:rsidRPr="00B20CE3">
        <w:rPr>
          <w:i/>
        </w:rPr>
        <w:instrText>Anal. Post</w:instrText>
      </w:r>
      <w:r w:rsidR="085A20AC" w:rsidRPr="00B20CE3">
        <w:instrText>. 73b27</w:instrText>
      </w:r>
      <w:r w:rsidR="085A20AC">
        <w:instrText xml:space="preserve">" </w:instrText>
      </w:r>
      <w:r w:rsidR="085A20AC">
        <w:fldChar w:fldCharType="end"/>
      </w:r>
      <w:r w:rsidR="085A20AC">
        <w:t>, který rozebírají další kapitoly</w:t>
      </w:r>
      <w:r w:rsidR="085A20AC" w:rsidRPr="00273106">
        <w:t>.</w:t>
      </w:r>
      <w:r w:rsidR="085A20AC">
        <w:t xml:space="preserve"> </w:t>
      </w:r>
      <w:r w:rsidR="00632BD8">
        <w:t xml:space="preserve">Modernisté </w:t>
      </w:r>
      <w:r w:rsidR="00B633C3">
        <w:t xml:space="preserve">z řad </w:t>
      </w:r>
      <w:r w:rsidR="00B633C3" w:rsidRPr="00B633C3">
        <w:rPr>
          <w:i/>
        </w:rPr>
        <w:t>Latinorum</w:t>
      </w:r>
      <w:r w:rsidR="00B633C3">
        <w:t xml:space="preserve"> </w:t>
      </w:r>
      <w:r w:rsidR="00632BD8">
        <w:t>nejdou</w:t>
      </w:r>
      <w:r w:rsidR="00221596" w:rsidRPr="00273106">
        <w:t xml:space="preserve"> k první substanci a </w:t>
      </w:r>
      <w:r w:rsidR="08283BC6">
        <w:t xml:space="preserve">k jejímu kauzálnímu působení. </w:t>
      </w:r>
      <w:r w:rsidR="00090992">
        <w:t>Tito sofisté se spokojili</w:t>
      </w:r>
      <w:r w:rsidR="08283BC6">
        <w:t xml:space="preserve"> s </w:t>
      </w:r>
      <w:r w:rsidR="00221596" w:rsidRPr="00273106">
        <w:t xml:space="preserve">esenciální </w:t>
      </w:r>
      <w:r w:rsidR="00221596" w:rsidRPr="00273106">
        <w:lastRenderedPageBreak/>
        <w:t xml:space="preserve">definicí, kterou </w:t>
      </w:r>
      <w:r w:rsidR="0044070E">
        <w:t>považují</w:t>
      </w:r>
      <w:r w:rsidR="009361FB" w:rsidRPr="00273106">
        <w:t xml:space="preserve"> za vědecké vysvětlení. </w:t>
      </w:r>
      <w:r w:rsidR="00090992" w:rsidRPr="00090992">
        <w:t>Odmítnutím Avicennovy metafyziky začala nová kontroverze, která změnila osud západní vědy. První a dru</w:t>
      </w:r>
      <w:r w:rsidR="00274506">
        <w:t>hý a</w:t>
      </w:r>
      <w:r w:rsidR="00090992" w:rsidRPr="00090992">
        <w:t>verroismus se liší ve statutu vědeckého poznání, pr</w:t>
      </w:r>
      <w:r w:rsidR="00274506">
        <w:t xml:space="preserve">otože v obou školách existuje </w:t>
      </w:r>
      <w:r w:rsidR="00090992" w:rsidRPr="00090992">
        <w:t xml:space="preserve">neslučitelná interpretace </w:t>
      </w:r>
      <w:r w:rsidR="00274506" w:rsidRPr="00274506">
        <w:rPr>
          <w:i/>
        </w:rPr>
        <w:t>Druhých analytik</w:t>
      </w:r>
      <w:r w:rsidR="00090992" w:rsidRPr="00090992">
        <w:t>.</w:t>
      </w:r>
      <w:r w:rsidR="00274506">
        <w:t xml:space="preserve"> </w:t>
      </w:r>
      <w:r w:rsidR="08ED7AB4" w:rsidRPr="00273106">
        <w:t xml:space="preserve">Albert </w:t>
      </w:r>
      <w:r w:rsidR="08ED7AB4">
        <w:t xml:space="preserve">obhajuje </w:t>
      </w:r>
      <w:r w:rsidR="08ED7AB4" w:rsidRPr="00273106">
        <w:t xml:space="preserve">poznávací soud podle </w:t>
      </w:r>
      <w:r w:rsidR="08ED7AB4">
        <w:t xml:space="preserve">výkladu </w:t>
      </w:r>
      <w:r w:rsidR="08ED7AB4" w:rsidRPr="00A8545D">
        <w:rPr>
          <w:i/>
        </w:rPr>
        <w:t>Druhých analytik</w:t>
      </w:r>
      <w:r w:rsidR="08ED7AB4">
        <w:rPr>
          <w:i/>
        </w:rPr>
        <w:t xml:space="preserve"> </w:t>
      </w:r>
      <w:r w:rsidR="08ED7AB4" w:rsidRPr="00044CA2">
        <w:t>daného</w:t>
      </w:r>
      <w:r w:rsidR="08ED7AB4">
        <w:rPr>
          <w:i/>
        </w:rPr>
        <w:t xml:space="preserve"> ad mentem Averrois </w:t>
      </w:r>
      <w:r w:rsidR="00A23E46">
        <w:t>v Sicilské škole</w:t>
      </w:r>
      <w:r w:rsidR="08ED7AB4">
        <w:fldChar w:fldCharType="begin"/>
      </w:r>
      <w:r w:rsidR="08ED7AB4">
        <w:instrText xml:space="preserve"> XE "</w:instrText>
      </w:r>
      <w:r w:rsidR="08ED7AB4" w:rsidRPr="08902071">
        <w:instrText>Sicilská škola</w:instrText>
      </w:r>
      <w:r w:rsidR="08ED7AB4">
        <w:instrText xml:space="preserve">" </w:instrText>
      </w:r>
      <w:r w:rsidR="08ED7AB4">
        <w:fldChar w:fldCharType="end"/>
      </w:r>
      <w:r w:rsidR="08ED7AB4" w:rsidRPr="08AF1DEC">
        <w:t>.</w:t>
      </w:r>
      <w:r w:rsidR="08ED7AB4" w:rsidRPr="00273106">
        <w:t xml:space="preserve"> </w:t>
      </w:r>
      <w:r w:rsidR="08DB7E45">
        <w:t xml:space="preserve">Avicennovu a Averroesovu metafyziku je třeba kriticky vyhodnotit podle míry vědecké pravdivosti, kterou obsahuje jedna nebo druhá verze </w:t>
      </w:r>
      <w:r w:rsidR="0040444F">
        <w:t xml:space="preserve">metafyziky jako </w:t>
      </w:r>
      <w:r w:rsidR="08DB7E45">
        <w:t>první vědy</w:t>
      </w:r>
      <w:r w:rsidR="08DB7E45">
        <w:rPr>
          <w:i/>
        </w:rPr>
        <w:fldChar w:fldCharType="begin"/>
      </w:r>
      <w:r w:rsidR="08DB7E45">
        <w:instrText xml:space="preserve"> XE "pravda:</w:instrText>
      </w:r>
      <w:r w:rsidR="08DB7E45" w:rsidRPr="00F20301">
        <w:rPr>
          <w:i/>
        </w:rPr>
        <w:instrText>c</w:instrText>
      </w:r>
      <w:r w:rsidR="08DB7E45">
        <w:rPr>
          <w:i/>
        </w:rPr>
        <w:instrText>er</w:instrText>
      </w:r>
      <w:r w:rsidR="08DB7E45" w:rsidRPr="00F20301">
        <w:rPr>
          <w:i/>
        </w:rPr>
        <w:instrText>titudo</w:instrText>
      </w:r>
      <w:r w:rsidR="08DB7E45">
        <w:instrText xml:space="preserve">" </w:instrText>
      </w:r>
      <w:r w:rsidR="08DB7E45">
        <w:rPr>
          <w:i/>
        </w:rPr>
        <w:fldChar w:fldCharType="end"/>
      </w:r>
      <w:r w:rsidR="08DB7E45">
        <w:t xml:space="preserve">. </w:t>
      </w:r>
      <w:r w:rsidR="00221596" w:rsidRPr="00273106">
        <w:t xml:space="preserve">Základní </w:t>
      </w:r>
      <w:r w:rsidR="00F840E3" w:rsidRPr="00273106">
        <w:t>roz</w:t>
      </w:r>
      <w:r w:rsidR="00221596" w:rsidRPr="00273106">
        <w:t xml:space="preserve">por </w:t>
      </w:r>
      <w:r w:rsidR="000A053D" w:rsidRPr="00273106">
        <w:t xml:space="preserve">mezi Albertem a Latiníky </w:t>
      </w:r>
      <w:r w:rsidR="00221596" w:rsidRPr="00273106">
        <w:t xml:space="preserve">tkví ve statutu středního členu </w:t>
      </w:r>
      <w:r w:rsidR="00F65FBB">
        <w:t xml:space="preserve">deduktivního </w:t>
      </w:r>
      <w:r w:rsidR="00221596" w:rsidRPr="00273106">
        <w:t>soudu</w:t>
      </w:r>
      <w:r w:rsidR="0839054E">
        <w:t xml:space="preserve"> (</w:t>
      </w:r>
      <w:r w:rsidR="0839054E" w:rsidRPr="0839054E">
        <w:rPr>
          <w:i/>
        </w:rPr>
        <w:t>medium</w:t>
      </w:r>
      <w:r w:rsidR="0839054E">
        <w:t>)</w:t>
      </w:r>
      <w:r w:rsidR="00610F15">
        <w:rPr>
          <w:i/>
        </w:rPr>
        <w:fldChar w:fldCharType="begin"/>
      </w:r>
      <w:r w:rsidR="00610F15">
        <w:instrText xml:space="preserve"> XE "</w:instrText>
      </w:r>
      <w:r w:rsidR="00610F15" w:rsidRPr="001618A5">
        <w:rPr>
          <w:i/>
        </w:rPr>
        <w:instrText>medium:</w:instrText>
      </w:r>
      <w:r w:rsidR="00610F15" w:rsidRPr="001618A5">
        <w:instrText>Albert</w:instrText>
      </w:r>
      <w:r w:rsidR="00610F15">
        <w:instrText xml:space="preserve">" </w:instrText>
      </w:r>
      <w:r w:rsidR="00610F15">
        <w:rPr>
          <w:i/>
        </w:rPr>
        <w:fldChar w:fldCharType="end"/>
      </w:r>
      <w:r w:rsidR="00221596" w:rsidRPr="00273106">
        <w:t xml:space="preserve">. </w:t>
      </w:r>
      <w:r w:rsidR="00F65FBB">
        <w:t>Škola prvního a</w:t>
      </w:r>
      <w:r w:rsidR="00F65FBB" w:rsidRPr="00F65FBB">
        <w:t xml:space="preserve">verroismu tvrdí proti modernistické mytologii a mystice, že pravá věda </w:t>
      </w:r>
      <w:r w:rsidR="00F65FBB">
        <w:t>sleduje i</w:t>
      </w:r>
      <w:r w:rsidR="00F65FBB" w:rsidRPr="00F65FBB">
        <w:t>mpoz</w:t>
      </w:r>
      <w:r w:rsidR="00F65FBB">
        <w:t xml:space="preserve">ici významu z </w:t>
      </w:r>
      <w:r w:rsidR="00F65FBB" w:rsidRPr="00F65FBB">
        <w:t xml:space="preserve">reálné kauzality, která jediná je schopna ustanovit </w:t>
      </w:r>
      <w:r w:rsidR="00F65FBB">
        <w:t>univočně danou s</w:t>
      </w:r>
      <w:r w:rsidR="00F65FBB" w:rsidRPr="00F65FBB">
        <w:t>uppozici v prav</w:t>
      </w:r>
      <w:r w:rsidR="00F65FBB">
        <w:t>div</w:t>
      </w:r>
      <w:r w:rsidR="00F65FBB" w:rsidRPr="00F65FBB">
        <w:t>ém syllogismu jako u</w:t>
      </w:r>
      <w:r w:rsidR="00F65FBB">
        <w:t xml:space="preserve">niverzální dedukci. Opět platí </w:t>
      </w:r>
      <w:r w:rsidR="00F65FBB" w:rsidRPr="00F65FBB">
        <w:t xml:space="preserve">výše uvedený </w:t>
      </w:r>
      <w:r w:rsidR="00F65FBB">
        <w:t xml:space="preserve">postup vědecké metodiky jako </w:t>
      </w:r>
      <w:r w:rsidR="00F65FBB" w:rsidRPr="00F65FBB">
        <w:rPr>
          <w:i/>
        </w:rPr>
        <w:t>adaequatio</w:t>
      </w:r>
      <w:r w:rsidR="00F65FBB" w:rsidRPr="00F65FBB">
        <w:t xml:space="preserve"> ve čtyřech krocích. Skutečná kauzalita je </w:t>
      </w:r>
      <w:r w:rsidR="00726615" w:rsidRPr="00F65FBB">
        <w:t>nutná</w:t>
      </w:r>
      <w:r w:rsidR="00726615">
        <w:t xml:space="preserve"> absolutně a primárně</w:t>
      </w:r>
      <w:r w:rsidR="00F65FBB" w:rsidRPr="00F65FBB">
        <w:t xml:space="preserve">, protože </w:t>
      </w:r>
      <w:r w:rsidR="00726615">
        <w:t>věci reálně existují</w:t>
      </w:r>
      <w:r w:rsidR="00F65FBB" w:rsidRPr="00F65FBB">
        <w:t xml:space="preserve">. Proto je </w:t>
      </w:r>
      <w:r w:rsidR="00726615">
        <w:t xml:space="preserve">tato nutnost </w:t>
      </w:r>
      <w:r w:rsidR="00F65FBB" w:rsidRPr="00F65FBB">
        <w:t>jediným kandidátem na zajištění vědecké pravdy jako shody</w:t>
      </w:r>
      <w:r w:rsidR="00726615">
        <w:t xml:space="preserve"> věci a rozumu</w:t>
      </w:r>
      <w:r w:rsidR="00F65FBB" w:rsidRPr="00F65FBB">
        <w:t xml:space="preserve">. Správně vytvořený </w:t>
      </w:r>
      <w:r w:rsidR="00726615">
        <w:t xml:space="preserve">soud </w:t>
      </w:r>
      <w:r w:rsidR="00F65FBB" w:rsidRPr="00F65FBB">
        <w:t>se pak týká obou druhů n</w:t>
      </w:r>
      <w:r w:rsidR="00726615">
        <w:t>utnosti</w:t>
      </w:r>
      <w:r w:rsidR="00F65FBB" w:rsidRPr="00F65FBB">
        <w:t xml:space="preserve">. Kauzalita ve středním článku sylogismu má absolutní význam, protože musí být chápána pravdivě a exklusivně </w:t>
      </w:r>
      <w:r w:rsidR="00726615">
        <w:t>jako metafyzická impozice</w:t>
      </w:r>
      <w:r w:rsidR="00F65FBB" w:rsidRPr="00F65FBB">
        <w:t xml:space="preserve">. Pokud ne, pak </w:t>
      </w:r>
      <w:r w:rsidR="007E076A">
        <w:t>proklamovaná věda</w:t>
      </w:r>
      <w:r w:rsidR="00F65FBB" w:rsidRPr="00F65FBB">
        <w:t xml:space="preserve"> </w:t>
      </w:r>
      <w:r w:rsidR="007E076A" w:rsidRPr="007E076A">
        <w:rPr>
          <w:i/>
        </w:rPr>
        <w:t>Modernorum</w:t>
      </w:r>
      <w:r w:rsidR="007E076A">
        <w:t xml:space="preserve"> nemá jednoznačnou predikaci a není založena na reáln é metafyzické nutnosti dané kauzálně</w:t>
      </w:r>
      <w:r w:rsidR="00F65FBB" w:rsidRPr="00F65FBB">
        <w:t>.</w:t>
      </w:r>
      <w:r w:rsidR="00726615">
        <w:t xml:space="preserve"> </w:t>
      </w:r>
      <w:r w:rsidR="08DD1CAA">
        <w:t>K</w:t>
      </w:r>
      <w:r w:rsidR="006D4631">
        <w:t xml:space="preserve">auzalita prvních substancí </w:t>
      </w:r>
      <w:r w:rsidR="08DD1CAA">
        <w:t xml:space="preserve">musí </w:t>
      </w:r>
      <w:r w:rsidR="00221596" w:rsidRPr="00273106">
        <w:t>determinovat vědecký soud</w:t>
      </w:r>
      <w:r w:rsidR="08717BE4">
        <w:t xml:space="preserve"> podle principu </w:t>
      </w:r>
      <w:r w:rsidR="08717BE4" w:rsidRPr="0839054E">
        <w:rPr>
          <w:i/>
        </w:rPr>
        <w:t>ex inmediatis</w:t>
      </w:r>
      <w:r w:rsidR="081C795C">
        <w:rPr>
          <w:i/>
        </w:rPr>
        <w:fldChar w:fldCharType="begin"/>
      </w:r>
      <w:r w:rsidR="081C795C">
        <w:instrText xml:space="preserve"> XE "</w:instrText>
      </w:r>
      <w:r w:rsidR="081C795C" w:rsidRPr="08E03B87">
        <w:rPr>
          <w:i/>
        </w:rPr>
        <w:instrText>ex inmediatis</w:instrText>
      </w:r>
      <w:r w:rsidR="081C795C">
        <w:instrText xml:space="preserve">" </w:instrText>
      </w:r>
      <w:r w:rsidR="081C795C">
        <w:rPr>
          <w:i/>
        </w:rPr>
        <w:fldChar w:fldCharType="end"/>
      </w:r>
      <w:r w:rsidR="08DD1CAA">
        <w:t xml:space="preserve">. </w:t>
      </w:r>
      <w:r w:rsidR="00A24911">
        <w:t xml:space="preserve">Nyní je jasné, že stejný vědecky správný postup </w:t>
      </w:r>
      <w:r w:rsidR="00A24911">
        <w:rPr>
          <w:i/>
        </w:rPr>
        <w:t>Druhých a</w:t>
      </w:r>
      <w:r w:rsidR="00A24911" w:rsidRPr="00A24911">
        <w:rPr>
          <w:i/>
        </w:rPr>
        <w:t>nalytik</w:t>
      </w:r>
      <w:r w:rsidR="00A24911">
        <w:t xml:space="preserve"> se musí uplatnit v případě poznání člověka. </w:t>
      </w:r>
      <w:r w:rsidR="08DD1CAA">
        <w:t>P</w:t>
      </w:r>
      <w:r w:rsidR="006D4631">
        <w:t xml:space="preserve">oznání duše </w:t>
      </w:r>
      <w:r w:rsidR="08DD1CAA">
        <w:t xml:space="preserve">jde </w:t>
      </w:r>
      <w:r w:rsidR="008210D1" w:rsidRPr="00273106">
        <w:t xml:space="preserve">k </w:t>
      </w:r>
      <w:r w:rsidR="00221596" w:rsidRPr="00273106">
        <w:t xml:space="preserve">realitě toho, čím je </w:t>
      </w:r>
      <w:r w:rsidR="006D4631">
        <w:t xml:space="preserve">duše </w:t>
      </w:r>
      <w:r w:rsidR="00221596" w:rsidRPr="00273106">
        <w:t>ve svém výkonu (</w:t>
      </w:r>
      <w:r w:rsidR="00221596" w:rsidRPr="00273106">
        <w:rPr>
          <w:i/>
        </w:rPr>
        <w:t>secundum quod determinatis passionibus subjiciuntur</w:t>
      </w:r>
      <w:r w:rsidR="08CB53A9">
        <w:t xml:space="preserve">) </w:t>
      </w:r>
      <w:r w:rsidR="00221596" w:rsidRPr="00273106">
        <w:t>a ne pouze k</w:t>
      </w:r>
      <w:r w:rsidR="005C09E6">
        <w:t xml:space="preserve"> nominální definici duše</w:t>
      </w:r>
      <w:r w:rsidR="00221596" w:rsidRPr="00273106">
        <w:t xml:space="preserve">. </w:t>
      </w:r>
      <w:r w:rsidR="082B716D">
        <w:t xml:space="preserve">Toto zásadní stanovisko </w:t>
      </w:r>
      <w:r w:rsidR="005C09E6">
        <w:t xml:space="preserve">zakládá pravdivou filosofickou antropologii Západu, </w:t>
      </w:r>
      <w:r w:rsidR="00A71D7C">
        <w:t>protože kvali</w:t>
      </w:r>
      <w:r w:rsidR="005C09E6">
        <w:t>fikovaně odmítlo moderní simulákrum „člověka–mrtvoly.“</w:t>
      </w:r>
      <w:r w:rsidR="00247145">
        <w:t xml:space="preserve"> </w:t>
      </w:r>
      <w:r w:rsidR="005C09E6">
        <w:t>Tato ontologická perspektiva porozumění (</w:t>
      </w:r>
      <w:r w:rsidR="005C09E6" w:rsidRPr="005C09E6">
        <w:rPr>
          <w:i/>
        </w:rPr>
        <w:t>Vor-blickbahn</w:t>
      </w:r>
      <w:r w:rsidR="005C09E6">
        <w:t xml:space="preserve">), která etablovala vědecky a metafyzicky pravdivé studium intelektu a </w:t>
      </w:r>
      <w:r w:rsidR="005C09E6" w:rsidRPr="00247145">
        <w:rPr>
          <w:i/>
        </w:rPr>
        <w:t>anima intellectiva</w:t>
      </w:r>
      <w:r w:rsidR="005C09E6">
        <w:t>, je dána</w:t>
      </w:r>
      <w:r w:rsidR="082B716D">
        <w:t xml:space="preserve"> hned v úvodu </w:t>
      </w:r>
      <w:r w:rsidR="082B716D" w:rsidRPr="082B716D">
        <w:rPr>
          <w:i/>
        </w:rPr>
        <w:t>De homine</w:t>
      </w:r>
      <w:r w:rsidR="082B716D">
        <w:t>.</w:t>
      </w:r>
    </w:p>
    <w:p w14:paraId="06E804B1" w14:textId="5745DF1D" w:rsidR="00221596" w:rsidRPr="00273106" w:rsidRDefault="00221596" w:rsidP="0042062E">
      <w:pPr>
        <w:pStyle w:val="Citace"/>
        <w:rPr>
          <w:noProof/>
          <w:lang w:val="cs-CZ"/>
        </w:rPr>
      </w:pPr>
      <w:r w:rsidRPr="00273106">
        <w:rPr>
          <w:noProof/>
          <w:lang w:val="cs-CZ"/>
        </w:rPr>
        <w:t>„</w:t>
      </w:r>
      <w:r w:rsidR="0042062E" w:rsidRPr="00273106">
        <w:rPr>
          <w:noProof/>
          <w:lang w:val="cs-CZ"/>
        </w:rPr>
        <w:t xml:space="preserve">A toto je zásadně nutné, </w:t>
      </w:r>
      <w:r w:rsidR="00E93D8C">
        <w:rPr>
          <w:noProof/>
          <w:lang w:val="cs-CZ"/>
        </w:rPr>
        <w:t>totiž že princip vědecké dedukce</w:t>
      </w:r>
      <w:r w:rsidR="0042062E" w:rsidRPr="00273106">
        <w:rPr>
          <w:noProof/>
          <w:lang w:val="cs-CZ"/>
        </w:rPr>
        <w:t xml:space="preserve">, kterým je střední člen soudu, </w:t>
      </w:r>
      <w:r w:rsidR="00E93D8C">
        <w:rPr>
          <w:noProof/>
          <w:lang w:val="cs-CZ"/>
        </w:rPr>
        <w:t>postihuje bytí</w:t>
      </w:r>
      <w:r w:rsidR="0042062E" w:rsidRPr="00273106">
        <w:rPr>
          <w:noProof/>
          <w:lang w:val="cs-CZ"/>
        </w:rPr>
        <w:t xml:space="preserve"> věci v reálu (</w:t>
      </w:r>
      <w:r w:rsidR="0042062E" w:rsidRPr="00273106">
        <w:rPr>
          <w:i/>
          <w:noProof/>
          <w:lang w:val="cs-CZ"/>
        </w:rPr>
        <w:t>est quid est</w:t>
      </w:r>
      <w:r w:rsidR="004E06B8">
        <w:rPr>
          <w:noProof/>
          <w:lang w:val="cs-CZ"/>
        </w:rPr>
        <w:t>). Pak definice zahrnuje skutečné</w:t>
      </w:r>
      <w:r w:rsidR="0042062E" w:rsidRPr="00273106">
        <w:rPr>
          <w:noProof/>
          <w:lang w:val="cs-CZ"/>
        </w:rPr>
        <w:t xml:space="preserve"> působení</w:t>
      </w:r>
      <w:r w:rsidR="004E06B8">
        <w:rPr>
          <w:noProof/>
          <w:lang w:val="cs-CZ"/>
        </w:rPr>
        <w:t xml:space="preserve"> kauzality</w:t>
      </w:r>
      <w:r w:rsidR="004B2EAD">
        <w:rPr>
          <w:noProof/>
          <w:lang w:val="cs-CZ"/>
        </w:rPr>
        <w:t xml:space="preserve"> </w:t>
      </w:r>
      <w:r w:rsidR="004B2EAD">
        <w:rPr>
          <w:lang w:val="de-LU"/>
        </w:rPr>
        <w:t>(</w:t>
      </w:r>
      <w:r w:rsidR="004B2EAD" w:rsidRPr="009C4E24">
        <w:rPr>
          <w:i/>
        </w:rPr>
        <w:t>diffinitio passionis</w:t>
      </w:r>
      <w:r w:rsidR="004B2EAD">
        <w:rPr>
          <w:lang w:val="de-LU"/>
        </w:rPr>
        <w:t>)</w:t>
      </w:r>
      <w:r w:rsidR="0042062E" w:rsidRPr="00273106">
        <w:rPr>
          <w:noProof/>
          <w:lang w:val="cs-CZ"/>
        </w:rPr>
        <w:t xml:space="preserve">, nikoliv jen </w:t>
      </w:r>
      <w:r w:rsidR="00662F1B">
        <w:rPr>
          <w:noProof/>
          <w:lang w:val="cs-CZ"/>
        </w:rPr>
        <w:t xml:space="preserve">její </w:t>
      </w:r>
      <w:r w:rsidR="00D42CEB" w:rsidRPr="00273106">
        <w:rPr>
          <w:noProof/>
          <w:lang w:val="cs-CZ"/>
        </w:rPr>
        <w:t xml:space="preserve">působení </w:t>
      </w:r>
      <w:r w:rsidR="004E06B8">
        <w:rPr>
          <w:noProof/>
          <w:lang w:val="cs-CZ"/>
        </w:rPr>
        <w:t>predikované</w:t>
      </w:r>
      <w:r w:rsidR="0042062E" w:rsidRPr="00273106">
        <w:rPr>
          <w:noProof/>
          <w:lang w:val="cs-CZ"/>
        </w:rPr>
        <w:t xml:space="preserve"> </w:t>
      </w:r>
      <w:r w:rsidR="00D42CEB" w:rsidRPr="00273106">
        <w:rPr>
          <w:noProof/>
          <w:lang w:val="cs-CZ"/>
        </w:rPr>
        <w:t xml:space="preserve">formálně </w:t>
      </w:r>
      <w:r w:rsidR="0042062E" w:rsidRPr="00273106">
        <w:rPr>
          <w:noProof/>
          <w:lang w:val="cs-CZ"/>
        </w:rPr>
        <w:t>(</w:t>
      </w:r>
      <w:r w:rsidR="0042062E" w:rsidRPr="00273106">
        <w:rPr>
          <w:i/>
          <w:noProof/>
          <w:lang w:val="cs-CZ"/>
        </w:rPr>
        <w:t>dicens esse</w:t>
      </w:r>
      <w:r w:rsidR="002C790B">
        <w:rPr>
          <w:i/>
          <w:noProof/>
          <w:lang w:val="cs-CZ"/>
        </w:rPr>
        <w:t xml:space="preserve"> passionis</w:t>
      </w:r>
      <w:r w:rsidR="002C790B">
        <w:rPr>
          <w:noProof/>
          <w:lang w:val="cs-CZ"/>
        </w:rPr>
        <w:t>). T</w:t>
      </w:r>
      <w:r w:rsidR="003857FC">
        <w:rPr>
          <w:noProof/>
          <w:lang w:val="cs-CZ"/>
        </w:rPr>
        <w:t xml:space="preserve">akto </w:t>
      </w:r>
      <w:r w:rsidR="002C790B">
        <w:rPr>
          <w:noProof/>
          <w:lang w:val="cs-CZ"/>
        </w:rPr>
        <w:t xml:space="preserve">daná </w:t>
      </w:r>
      <w:r w:rsidR="003857FC">
        <w:rPr>
          <w:noProof/>
          <w:lang w:val="cs-CZ"/>
        </w:rPr>
        <w:t xml:space="preserve">definice </w:t>
      </w:r>
      <w:r w:rsidR="002C790B">
        <w:rPr>
          <w:noProof/>
          <w:lang w:val="cs-CZ"/>
        </w:rPr>
        <w:t xml:space="preserve">totiž </w:t>
      </w:r>
      <w:r w:rsidR="0042062E" w:rsidRPr="00273106">
        <w:rPr>
          <w:noProof/>
          <w:lang w:val="cs-CZ"/>
        </w:rPr>
        <w:lastRenderedPageBreak/>
        <w:t xml:space="preserve">zahrnuje </w:t>
      </w:r>
      <w:r w:rsidR="004E06B8">
        <w:rPr>
          <w:noProof/>
          <w:lang w:val="cs-CZ"/>
        </w:rPr>
        <w:t xml:space="preserve">impozičně predikovanou </w:t>
      </w:r>
      <w:r w:rsidR="0042062E" w:rsidRPr="00273106">
        <w:rPr>
          <w:noProof/>
          <w:lang w:val="cs-CZ"/>
        </w:rPr>
        <w:t xml:space="preserve">kauzalitu </w:t>
      </w:r>
      <w:r w:rsidR="003857FC">
        <w:rPr>
          <w:noProof/>
          <w:lang w:val="cs-CZ"/>
        </w:rPr>
        <w:t xml:space="preserve">v predikaci </w:t>
      </w:r>
      <w:r w:rsidR="0042062E" w:rsidRPr="00273106">
        <w:rPr>
          <w:noProof/>
          <w:lang w:val="cs-CZ"/>
        </w:rPr>
        <w:t>(</w:t>
      </w:r>
      <w:r w:rsidR="0042062E" w:rsidRPr="00273106">
        <w:rPr>
          <w:i/>
          <w:noProof/>
          <w:lang w:val="cs-CZ"/>
        </w:rPr>
        <w:t>causam in esse demonstrationis</w:t>
      </w:r>
      <w:r w:rsidR="0042062E" w:rsidRPr="00273106">
        <w:rPr>
          <w:noProof/>
          <w:lang w:val="cs-CZ"/>
        </w:rPr>
        <w:t>)</w:t>
      </w:r>
      <w:r w:rsidR="003857FC">
        <w:rPr>
          <w:noProof/>
          <w:lang w:val="cs-CZ"/>
        </w:rPr>
        <w:t xml:space="preserve">. Díky takto danému způsobu je </w:t>
      </w:r>
      <w:r w:rsidR="004E06B8">
        <w:rPr>
          <w:noProof/>
          <w:lang w:val="cs-CZ"/>
        </w:rPr>
        <w:t xml:space="preserve">definice nutně tím, jak </w:t>
      </w:r>
      <w:r w:rsidR="0042062E" w:rsidRPr="00273106">
        <w:rPr>
          <w:noProof/>
          <w:lang w:val="cs-CZ"/>
        </w:rPr>
        <w:t>je kauzalita reálně dána (</w:t>
      </w:r>
      <w:r w:rsidR="0042062E" w:rsidRPr="00273106">
        <w:rPr>
          <w:i/>
          <w:noProof/>
          <w:lang w:val="cs-CZ"/>
        </w:rPr>
        <w:t>id est, quare insit</w:t>
      </w:r>
      <w:r w:rsidR="0042062E" w:rsidRPr="00273106">
        <w:rPr>
          <w:noProof/>
          <w:lang w:val="cs-CZ"/>
        </w:rPr>
        <w:t xml:space="preserve">).“ </w:t>
      </w:r>
      <w:r w:rsidR="0042062E" w:rsidRPr="00273106">
        <w:rPr>
          <w:rStyle w:val="Znakapoznpodarou"/>
          <w:noProof/>
          <w:lang w:val="cs-CZ"/>
        </w:rPr>
        <w:footnoteReference w:id="220"/>
      </w:r>
    </w:p>
    <w:p w14:paraId="43758F75" w14:textId="77777777" w:rsidR="00B051AA" w:rsidRDefault="00221596" w:rsidP="00221596">
      <w:r w:rsidRPr="00273106">
        <w:t xml:space="preserve">Výrok </w:t>
      </w:r>
      <w:r w:rsidR="00D5294A" w:rsidRPr="00273106">
        <w:t>determinuje základ deduktivního vědeckého soudu (</w:t>
      </w:r>
      <w:r w:rsidRPr="00273106">
        <w:rPr>
          <w:i/>
        </w:rPr>
        <w:t>principium demonstrationis</w:t>
      </w:r>
      <w:r w:rsidR="00D5294A" w:rsidRPr="00273106">
        <w:t>)</w:t>
      </w:r>
      <w:r w:rsidRPr="00273106">
        <w:t xml:space="preserve"> vzhledem k reálné přítomnosti věci, která je následně poznána </w:t>
      </w:r>
      <w:r w:rsidR="00734900">
        <w:t xml:space="preserve">skrze </w:t>
      </w:r>
      <w:r w:rsidRPr="00273106">
        <w:t>působení</w:t>
      </w:r>
      <w:r w:rsidR="00447B2E" w:rsidRPr="00273106">
        <w:t xml:space="preserve"> v realitě</w:t>
      </w:r>
      <w:r w:rsidRPr="00273106">
        <w:t xml:space="preserve"> (</w:t>
      </w:r>
      <w:r w:rsidRPr="00273106">
        <w:rPr>
          <w:i/>
        </w:rPr>
        <w:t>diffinitio passionis</w:t>
      </w:r>
      <w:r w:rsidRPr="00273106">
        <w:t xml:space="preserve">). Skutečné </w:t>
      </w:r>
      <w:r w:rsidRPr="00273106">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A61135">
        <w:instrText>lbert</w:instrText>
      </w:r>
      <w:r w:rsidR="007A6052">
        <w:instrText xml:space="preserve">" </w:instrText>
      </w:r>
      <w:r w:rsidR="007A6052">
        <w:rPr>
          <w:i/>
        </w:rPr>
        <w:fldChar w:fldCharType="end"/>
      </w:r>
      <w:r w:rsidRPr="00273106">
        <w:t xml:space="preserve"> musí střední člen soudu vztá</w:t>
      </w:r>
      <w:r w:rsidR="000A053D" w:rsidRPr="00273106">
        <w:t xml:space="preserve">hnout k tomu, čím je věc v </w:t>
      </w:r>
      <w:r w:rsidR="008F0B95" w:rsidRPr="00273106">
        <w:t xml:space="preserve">kauzálně dané </w:t>
      </w:r>
      <w:r w:rsidRPr="00273106">
        <w:t>podstatě (</w:t>
      </w:r>
      <w:r w:rsidRPr="00273106">
        <w:rPr>
          <w:i/>
        </w:rPr>
        <w:t>id est, quare insit</w:t>
      </w:r>
      <w:r w:rsidR="00F6133D">
        <w:t xml:space="preserve">). </w:t>
      </w:r>
      <w:r w:rsidR="00D808DC">
        <w:t xml:space="preserve">Kritizovaní oponenti </w:t>
      </w:r>
      <w:r w:rsidR="005C018B" w:rsidRPr="00273106">
        <w:t>zůstávají u pouhého pojmenování (</w:t>
      </w:r>
      <w:r w:rsidR="005C018B" w:rsidRPr="00273106">
        <w:rPr>
          <w:i/>
        </w:rPr>
        <w:t>apellatio</w:t>
      </w:r>
      <w:r w:rsidR="005C018B" w:rsidRPr="00273106">
        <w:t>), které vypovídá o aktuálních projevech první substance pouze formálně (</w:t>
      </w:r>
      <w:r w:rsidR="005C018B" w:rsidRPr="00273106">
        <w:rPr>
          <w:i/>
        </w:rPr>
        <w:t>dicens esse passionis</w:t>
      </w:r>
      <w:r w:rsidR="005C018B" w:rsidRPr="00273106">
        <w:t xml:space="preserve">). </w:t>
      </w:r>
      <w:r w:rsidRPr="00273106">
        <w:t>Modernisté nemohou poznat, čím je duše</w:t>
      </w:r>
      <w:r w:rsidR="00B6479D" w:rsidRPr="00273106">
        <w:t xml:space="preserve"> ve svém výkonu</w:t>
      </w:r>
      <w:r w:rsidRPr="00273106">
        <w:t>, protože jejich postup zkoumání je</w:t>
      </w:r>
      <w:r w:rsidR="001D72F3">
        <w:t xml:space="preserve"> fundamentálně mylný vzhledem k bytí duše jako formy těla, což je reálná první substance.</w:t>
      </w:r>
      <w:r w:rsidR="004A3858">
        <w:t xml:space="preserve"> Takový výkon by moderní a sou</w:t>
      </w:r>
      <w:r w:rsidR="001D72F3">
        <w:t xml:space="preserve">časní exegeti mohli udělat jen tehdy, pokud by znali přesný smysl intelektu jako </w:t>
      </w:r>
      <w:r w:rsidR="001D72F3" w:rsidRPr="001D72F3">
        <w:rPr>
          <w:i/>
        </w:rPr>
        <w:t>tertium genus</w:t>
      </w:r>
      <w:r w:rsidR="001D72F3">
        <w:t xml:space="preserve"> v CMDA. </w:t>
      </w:r>
      <w:r w:rsidR="08F43939">
        <w:t xml:space="preserve">Reálná </w:t>
      </w:r>
      <w:r w:rsidR="08F43939" w:rsidRPr="08F43939">
        <w:rPr>
          <w:i/>
        </w:rPr>
        <w:t>ousía</w:t>
      </w:r>
      <w:r w:rsidR="08F43939">
        <w:t xml:space="preserve"> není mytopoetická </w:t>
      </w:r>
      <w:r w:rsidR="08F43939" w:rsidRPr="08F43939">
        <w:rPr>
          <w:i/>
        </w:rPr>
        <w:t>parousía</w:t>
      </w:r>
      <w:r w:rsidR="08D604AE">
        <w:t>, která vzniká v</w:t>
      </w:r>
      <w:r w:rsidR="08F0126C">
        <w:t xml:space="preserve"> intelektu </w:t>
      </w:r>
      <w:r w:rsidR="08D604AE">
        <w:t xml:space="preserve">iluminátů. </w:t>
      </w:r>
      <w:r w:rsidR="088D6D9C">
        <w:t xml:space="preserve">Albertova </w:t>
      </w:r>
      <w:r w:rsidR="007909E3" w:rsidRPr="00273106">
        <w:t xml:space="preserve">kritika postihuje </w:t>
      </w:r>
      <w:r w:rsidRPr="00273106">
        <w:t xml:space="preserve">Rufusův </w:t>
      </w:r>
      <w:r w:rsidR="00510381" w:rsidRPr="00273106">
        <w:t xml:space="preserve">a Kilwardbyho </w:t>
      </w:r>
      <w:r w:rsidRPr="00273106">
        <w:t>výklad vědeckého poznání</w:t>
      </w:r>
      <w:r w:rsidR="000D36A1">
        <w:t>, jak uvidíme dále</w:t>
      </w:r>
      <w:r w:rsidR="00B051AA">
        <w:t>.</w:t>
      </w:r>
    </w:p>
    <w:p w14:paraId="37BA3B37" w14:textId="46D4EBF1" w:rsidR="00975068" w:rsidRDefault="007909E3" w:rsidP="00B051AA">
      <w:pPr>
        <w:ind w:firstLine="397"/>
      </w:pPr>
      <w:r w:rsidRPr="00273106">
        <w:t xml:space="preserve">Postup druhého averroismu </w:t>
      </w:r>
      <w:r w:rsidR="00221596" w:rsidRPr="00273106">
        <w:t xml:space="preserve">je odmítnut i v dalším klíčovém bodě, viz čtvrtá námitka citovaného </w:t>
      </w:r>
      <w:r w:rsidR="00221596" w:rsidRPr="00273106">
        <w:rPr>
          <w:i/>
        </w:rPr>
        <w:t>soluti</w:t>
      </w:r>
      <w:r w:rsidR="00EB16B2">
        <w:rPr>
          <w:i/>
        </w:rPr>
        <w:t xml:space="preserve">o </w:t>
      </w:r>
      <w:r w:rsidR="00EB16B2" w:rsidRPr="00EB16B2">
        <w:t>v první kvestii.</w:t>
      </w:r>
      <w:r w:rsidR="00EB16B2">
        <w:rPr>
          <w:i/>
        </w:rPr>
        <w:t xml:space="preserve"> </w:t>
      </w:r>
      <w:r w:rsidR="00BD1F62" w:rsidRPr="00273106">
        <w:t>Z</w:t>
      </w:r>
      <w:r w:rsidR="00221596" w:rsidRPr="00273106">
        <w:t xml:space="preserve">koumání duše </w:t>
      </w:r>
      <w:r w:rsidR="00BD1F62" w:rsidRPr="00273106">
        <w:t xml:space="preserve">podle </w:t>
      </w:r>
      <w:r w:rsidR="00BD1F62" w:rsidRPr="00273106">
        <w:rPr>
          <w:i/>
        </w:rPr>
        <w:t>Modernorum</w:t>
      </w:r>
      <w:r w:rsidR="00BD1F62" w:rsidRPr="00273106">
        <w:t xml:space="preserve"> </w:t>
      </w:r>
      <w:r w:rsidR="00221596" w:rsidRPr="00273106">
        <w:t xml:space="preserve">stojí a padá s avicennovským principem první vědy založené na </w:t>
      </w:r>
      <w:r w:rsidR="00F85A60">
        <w:t xml:space="preserve">pravdě jako </w:t>
      </w:r>
      <w:r w:rsidR="00F85A60" w:rsidRPr="00F85A60">
        <w:rPr>
          <w:i/>
        </w:rPr>
        <w:t>certitudo</w:t>
      </w:r>
      <w:r w:rsidR="00221596" w:rsidRPr="00273106">
        <w:t xml:space="preserve">.  Albert jasně rozděluje dva druhy jistoty a </w:t>
      </w:r>
      <w:r w:rsidR="00F507E4" w:rsidRPr="00273106">
        <w:t xml:space="preserve">dva </w:t>
      </w:r>
      <w:r w:rsidR="00221596" w:rsidRPr="00273106">
        <w:t xml:space="preserve">mody poznání duše, které z nich vyplývají. Duše jako princip těla není </w:t>
      </w:r>
      <w:r w:rsidR="00E46769">
        <w:t>definovaná podle jistoty</w:t>
      </w:r>
      <w:r w:rsidR="00221596" w:rsidRPr="00273106">
        <w:t xml:space="preserve"> </w:t>
      </w:r>
      <w:r w:rsidR="009F356B">
        <w:t>jako objekt</w:t>
      </w:r>
      <w:r w:rsidR="00E46769">
        <w:t>u</w:t>
      </w:r>
      <w:r w:rsidR="009F356B">
        <w:t xml:space="preserve"> </w:t>
      </w:r>
      <w:r w:rsidR="00E46769">
        <w:t xml:space="preserve">intelektuální </w:t>
      </w:r>
      <w:r w:rsidR="009F356B">
        <w:t>reflexe (</w:t>
      </w:r>
      <w:r w:rsidR="00221596" w:rsidRPr="00273106">
        <w:rPr>
          <w:i/>
        </w:rPr>
        <w:t>certitudo</w:t>
      </w:r>
      <w:r w:rsidR="00221596" w:rsidRPr="00273106">
        <w:t xml:space="preserve"> </w:t>
      </w:r>
      <w:r w:rsidR="00221596" w:rsidRPr="00273106">
        <w:rPr>
          <w:i/>
        </w:rPr>
        <w:t>simpliciter</w:t>
      </w:r>
      <w:r w:rsidR="009F356B">
        <w:t>)</w:t>
      </w:r>
      <w:r w:rsidR="00E46769">
        <w:t>. To je antropologie „Létajího muže</w:t>
      </w:r>
      <w:r w:rsidR="00E46769">
        <w:fldChar w:fldCharType="begin"/>
      </w:r>
      <w:r w:rsidR="00E46769">
        <w:instrText xml:space="preserve"> XE "</w:instrText>
      </w:r>
      <w:r w:rsidR="00E46769" w:rsidRPr="006D220C">
        <w:instrText>Létající muž</w:instrText>
      </w:r>
      <w:r w:rsidR="00E46769">
        <w:instrText xml:space="preserve">" </w:instrText>
      </w:r>
      <w:r w:rsidR="00E46769">
        <w:fldChar w:fldCharType="end"/>
      </w:r>
      <w:r w:rsidR="00E46769">
        <w:t>“ a současného virtuálního matrixu, či „mozku ve vatě“ (</w:t>
      </w:r>
      <w:r w:rsidR="00E46769" w:rsidRPr="00E46769">
        <w:rPr>
          <w:i/>
        </w:rPr>
        <w:t>Brain in a Vat</w:t>
      </w:r>
      <w:r w:rsidR="00E46769">
        <w:rPr>
          <w:i/>
        </w:rPr>
        <w:fldChar w:fldCharType="begin"/>
      </w:r>
      <w:r w:rsidR="00E46769">
        <w:instrText xml:space="preserve"> XE "</w:instrText>
      </w:r>
      <w:r w:rsidR="00E46769" w:rsidRPr="0047600B">
        <w:rPr>
          <w:i/>
        </w:rPr>
        <w:instrText>Brain in a Vat</w:instrText>
      </w:r>
      <w:r w:rsidR="00E46769">
        <w:instrText xml:space="preserve">" </w:instrText>
      </w:r>
      <w:r w:rsidR="00E46769">
        <w:rPr>
          <w:i/>
        </w:rPr>
        <w:fldChar w:fldCharType="end"/>
      </w:r>
      <w:r w:rsidR="00E46769">
        <w:t xml:space="preserve">), jak měli mytologičtí vědci </w:t>
      </w:r>
      <w:r w:rsidR="001962F6" w:rsidRPr="00273106">
        <w:t xml:space="preserve">tehdejších </w:t>
      </w:r>
      <w:r w:rsidR="00221596" w:rsidRPr="00273106">
        <w:t>avicennistů</w:t>
      </w:r>
      <w:r w:rsidR="009F356B">
        <w:t xml:space="preserve"> a </w:t>
      </w:r>
      <w:r w:rsidR="00E46769">
        <w:t>mají současní karteziánci</w:t>
      </w:r>
      <w:r w:rsidR="00221596" w:rsidRPr="00273106">
        <w:t xml:space="preserve">. </w:t>
      </w:r>
      <w:r w:rsidR="08E7440B">
        <w:t>Typickým příkladem je Kilward</w:t>
      </w:r>
      <w:r w:rsidR="080E66F9">
        <w:t>b</w:t>
      </w:r>
      <w:r w:rsidR="00584873">
        <w:t>y citovaný dále, jeho pojetí pravdy jako jistoty</w:t>
      </w:r>
      <w:r w:rsidR="08E7440B">
        <w:t xml:space="preserve"> </w:t>
      </w:r>
      <w:r w:rsidR="08E7440B" w:rsidRPr="00273106">
        <w:t xml:space="preserve">roste s mírou univerzalizace </w:t>
      </w:r>
      <w:r w:rsidR="080E66F9">
        <w:t xml:space="preserve">dané abstrakcí </w:t>
      </w:r>
      <w:r w:rsidR="08E7440B" w:rsidRPr="00273106">
        <w:t>(</w:t>
      </w:r>
      <w:r w:rsidR="08E7440B" w:rsidRPr="00273106">
        <w:rPr>
          <w:i/>
        </w:rPr>
        <w:t>certa est de simpliciori et priori et abstractiori</w:t>
      </w:r>
      <w:r w:rsidR="08E7440B" w:rsidRPr="00273106">
        <w:t>)</w:t>
      </w:r>
      <w:r w:rsidR="08E7440B">
        <w:t xml:space="preserve"> spojenou s </w:t>
      </w:r>
      <w:r w:rsidR="08E7440B" w:rsidRPr="00273106">
        <w:t>nazírání</w:t>
      </w:r>
      <w:r w:rsidR="08E7440B">
        <w:t>m</w:t>
      </w:r>
      <w:r w:rsidR="08E7440B" w:rsidRPr="00273106">
        <w:t xml:space="preserve"> čistých forem (</w:t>
      </w:r>
      <w:r w:rsidR="08E7440B" w:rsidRPr="00273106">
        <w:rPr>
          <w:i/>
        </w:rPr>
        <w:t>veritas</w:t>
      </w:r>
      <w:r w:rsidR="08E7440B" w:rsidRPr="00273106">
        <w:t>...</w:t>
      </w:r>
      <w:r w:rsidR="08E7440B" w:rsidRPr="00273106">
        <w:rPr>
          <w:i/>
        </w:rPr>
        <w:t>certior est et de certiori</w:t>
      </w:r>
      <w:r w:rsidR="08F0126C">
        <w:t>, kap. 3</w:t>
      </w:r>
      <w:r w:rsidR="08E7440B" w:rsidRPr="08E7440B">
        <w:t>.4.2)</w:t>
      </w:r>
      <w:r w:rsidR="08E7440B" w:rsidRPr="00273106">
        <w:t>.</w:t>
      </w:r>
      <w:r w:rsidR="08E7440B">
        <w:t xml:space="preserve"> </w:t>
      </w:r>
      <w:r w:rsidR="00B64E8E" w:rsidRPr="00273106">
        <w:t>Z výše uvedené</w:t>
      </w:r>
      <w:r w:rsidR="00F673C9">
        <w:t xml:space="preserve">ho </w:t>
      </w:r>
      <w:r w:rsidR="086B1550">
        <w:t xml:space="preserve">Albertova </w:t>
      </w:r>
      <w:r w:rsidR="00F673C9">
        <w:t xml:space="preserve">výkladu </w:t>
      </w:r>
      <w:r w:rsidR="00B64E8E" w:rsidRPr="003B79F7">
        <w:rPr>
          <w:i/>
        </w:rPr>
        <w:t>Druhých analytik</w:t>
      </w:r>
      <w:r w:rsidR="00B64E8E" w:rsidRPr="00273106">
        <w:t xml:space="preserve"> je jasné, že formální </w:t>
      </w:r>
      <w:r w:rsidR="00F679C8">
        <w:t xml:space="preserve">definice </w:t>
      </w:r>
      <w:r w:rsidR="00B64E8E" w:rsidRPr="00273106">
        <w:t xml:space="preserve">duše a člověka </w:t>
      </w:r>
      <w:r w:rsidR="00F679C8">
        <w:t>daná</w:t>
      </w:r>
      <w:r w:rsidR="00F507E4" w:rsidRPr="00273106">
        <w:t xml:space="preserve"> </w:t>
      </w:r>
      <w:r w:rsidR="00F507E4" w:rsidRPr="00273106">
        <w:rPr>
          <w:i/>
        </w:rPr>
        <w:t>simpliciter</w:t>
      </w:r>
      <w:r w:rsidR="00F507E4" w:rsidRPr="00273106">
        <w:t xml:space="preserve"> </w:t>
      </w:r>
      <w:r w:rsidR="00B64E8E" w:rsidRPr="00273106">
        <w:t xml:space="preserve">nemá </w:t>
      </w:r>
      <w:r w:rsidR="00842BED" w:rsidRPr="00273106">
        <w:t xml:space="preserve">dostatečnou </w:t>
      </w:r>
      <w:r w:rsidR="00B64E8E" w:rsidRPr="00273106">
        <w:t xml:space="preserve">míru </w:t>
      </w:r>
      <w:r w:rsidR="00842BED" w:rsidRPr="00273106">
        <w:t xml:space="preserve">vědecké </w:t>
      </w:r>
      <w:r w:rsidR="00B64E8E" w:rsidRPr="00273106">
        <w:t>pravdivosti</w:t>
      </w:r>
      <w:r w:rsidR="00E85CD4" w:rsidRPr="00273106">
        <w:t>. T</w:t>
      </w:r>
      <w:r w:rsidR="00B64E8E" w:rsidRPr="00273106">
        <w:t>ělo jako kauza a příčina zakoušení (</w:t>
      </w:r>
      <w:r w:rsidR="00B64E8E" w:rsidRPr="00273106">
        <w:rPr>
          <w:i/>
        </w:rPr>
        <w:t>causam in esse demonstrationis</w:t>
      </w:r>
      <w:r w:rsidR="00B64E8E" w:rsidRPr="00273106">
        <w:t xml:space="preserve">) je </w:t>
      </w:r>
      <w:r w:rsidR="088800DE">
        <w:t xml:space="preserve">u modernistů </w:t>
      </w:r>
      <w:r w:rsidR="00B64E8E" w:rsidRPr="00273106">
        <w:t>pre</w:t>
      </w:r>
      <w:r w:rsidR="003B79F7">
        <w:t xml:space="preserve">dikováno pouze v modu nominálně pojatého působení prvních substancí </w:t>
      </w:r>
      <w:r w:rsidR="00B64E8E" w:rsidRPr="00273106">
        <w:t>(</w:t>
      </w:r>
      <w:r w:rsidR="00B64E8E" w:rsidRPr="00273106">
        <w:rPr>
          <w:i/>
        </w:rPr>
        <w:t>dicens esse passionis</w:t>
      </w:r>
      <w:r w:rsidR="000D3444">
        <w:t xml:space="preserve">). </w:t>
      </w:r>
      <w:r w:rsidR="000D3444" w:rsidRPr="000D3444">
        <w:t xml:space="preserve">Je to typický příklad nejednoznačné logické </w:t>
      </w:r>
      <w:r w:rsidR="000D3444">
        <w:t xml:space="preserve">výpovědi </w:t>
      </w:r>
      <w:r w:rsidR="000D3444" w:rsidRPr="000D3444">
        <w:t>(</w:t>
      </w:r>
      <w:r w:rsidR="000D3444">
        <w:t>predikace „</w:t>
      </w:r>
      <w:r w:rsidR="000D3444" w:rsidRPr="000D3444">
        <w:rPr>
          <w:i/>
        </w:rPr>
        <w:t>de dicto</w:t>
      </w:r>
      <w:r w:rsidR="000D3444">
        <w:t>“</w:t>
      </w:r>
      <w:r w:rsidR="000D3444" w:rsidRPr="000D3444">
        <w:t xml:space="preserve">) bez </w:t>
      </w:r>
      <w:r w:rsidR="000D3444">
        <w:lastRenderedPageBreak/>
        <w:t>univočně dané s</w:t>
      </w:r>
      <w:r w:rsidR="000D3444" w:rsidRPr="000D3444">
        <w:t xml:space="preserve">uppozice, která pochází z metafyzické </w:t>
      </w:r>
      <w:r w:rsidR="000D3444">
        <w:t xml:space="preserve">impozice </w:t>
      </w:r>
      <w:r w:rsidR="000D3444" w:rsidRPr="000D3444">
        <w:t xml:space="preserve">jako jediné možnosti, jak </w:t>
      </w:r>
      <w:r w:rsidR="000D3444">
        <w:t xml:space="preserve">založit </w:t>
      </w:r>
      <w:r w:rsidR="000D3444" w:rsidRPr="000D3444">
        <w:t>vědecký důkaz (</w:t>
      </w:r>
      <w:r w:rsidR="000D3444">
        <w:t>predikace „</w:t>
      </w:r>
      <w:r w:rsidR="000D3444" w:rsidRPr="000D3444">
        <w:rPr>
          <w:i/>
        </w:rPr>
        <w:t>de re</w:t>
      </w:r>
      <w:r w:rsidR="000D3444">
        <w:t>“</w:t>
      </w:r>
      <w:r w:rsidR="000D3444" w:rsidRPr="000D3444">
        <w:t>).</w:t>
      </w:r>
      <w:r w:rsidR="000D3444">
        <w:t xml:space="preserve"> </w:t>
      </w:r>
      <w:r w:rsidR="08990F13">
        <w:t xml:space="preserve">Rozdíl mezi </w:t>
      </w:r>
      <w:r w:rsidR="08EB5368">
        <w:t xml:space="preserve">aristotelským </w:t>
      </w:r>
      <w:r w:rsidR="000D3444">
        <w:t>„</w:t>
      </w:r>
      <w:r w:rsidR="08990F13" w:rsidRPr="00273106">
        <w:rPr>
          <w:i/>
        </w:rPr>
        <w:t>esse passionis</w:t>
      </w:r>
      <w:r w:rsidR="000D3444">
        <w:t>“</w:t>
      </w:r>
      <w:r w:rsidR="08990F13">
        <w:rPr>
          <w:i/>
        </w:rPr>
        <w:t xml:space="preserve"> </w:t>
      </w:r>
      <w:r w:rsidR="08990F13" w:rsidRPr="08990F13">
        <w:t>a mezi porretánským</w:t>
      </w:r>
      <w:r w:rsidR="08990F13">
        <w:rPr>
          <w:i/>
        </w:rPr>
        <w:t xml:space="preserve"> </w:t>
      </w:r>
      <w:r w:rsidR="000D3444">
        <w:t>„</w:t>
      </w:r>
      <w:r w:rsidR="08990F13" w:rsidRPr="00273106">
        <w:rPr>
          <w:i/>
        </w:rPr>
        <w:t>dicens esse passionis</w:t>
      </w:r>
      <w:r w:rsidR="000D3444">
        <w:t>“</w:t>
      </w:r>
      <w:r w:rsidR="08990F13">
        <w:t xml:space="preserve"> je </w:t>
      </w:r>
      <w:r w:rsidR="0856626D">
        <w:t xml:space="preserve">pro </w:t>
      </w:r>
      <w:r w:rsidR="08EC7017">
        <w:t xml:space="preserve">dnešní vykladače </w:t>
      </w:r>
      <w:r w:rsidR="0856626D">
        <w:t xml:space="preserve">ovlivněné </w:t>
      </w:r>
      <w:r w:rsidR="08655CD8">
        <w:t xml:space="preserve">akademicky vzdělanými </w:t>
      </w:r>
      <w:r w:rsidR="0856626D">
        <w:t xml:space="preserve">Fúriemi </w:t>
      </w:r>
      <w:r w:rsidR="08990F13">
        <w:t>tak ne</w:t>
      </w:r>
      <w:r w:rsidR="08EC7017">
        <w:t>patrný, že se jím vůbec nezabývají</w:t>
      </w:r>
      <w:r w:rsidR="08990F13">
        <w:t xml:space="preserve">. Proto se v moderně existence reálné věci stala pouhým predikátem a ve věku postmoderního metafyzického nihilismu </w:t>
      </w:r>
      <w:r w:rsidR="08475537">
        <w:t xml:space="preserve">už </w:t>
      </w:r>
      <w:r w:rsidR="08990F13">
        <w:t xml:space="preserve">jen pouhým </w:t>
      </w:r>
      <w:r w:rsidR="08990F13" w:rsidRPr="08990F13">
        <w:rPr>
          <w:i/>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sidR="08990F13">
        <w:t xml:space="preserve">. </w:t>
      </w:r>
      <w:r w:rsidR="00B11023">
        <w:t xml:space="preserve">Připomeňme </w:t>
      </w:r>
      <w:r w:rsidR="089F6554">
        <w:t xml:space="preserve">tehdy současnou </w:t>
      </w:r>
      <w:r w:rsidR="00B11023">
        <w:t>kritiku biskupa Alverna</w:t>
      </w:r>
      <w:r w:rsidR="089F6554">
        <w:t xml:space="preserve"> </w:t>
      </w:r>
      <w:r w:rsidR="00B11023">
        <w:t>proti nomina</w:t>
      </w:r>
      <w:r w:rsidR="08C83FAF">
        <w:t>listické škole Gramatiků (kap. 2</w:t>
      </w:r>
      <w:r w:rsidR="00B11023">
        <w:t xml:space="preserve">.3.2). </w:t>
      </w:r>
      <w:r w:rsidR="08C70C18" w:rsidRPr="00273106">
        <w:t xml:space="preserve">Definice založená pouze na obecném výměru nemůže zaručit </w:t>
      </w:r>
      <w:r w:rsidR="08C70C18">
        <w:t xml:space="preserve">plnou </w:t>
      </w:r>
      <w:r w:rsidR="08C70C18" w:rsidRPr="00273106">
        <w:t xml:space="preserve">pravdivost vědeckého soudu. </w:t>
      </w:r>
      <w:r w:rsidR="00CF1FB9" w:rsidRPr="00273106">
        <w:t>Pojetí duše jako oživujícího principu těla je dvojí</w:t>
      </w:r>
      <w:r w:rsidR="00D22457" w:rsidRPr="00273106">
        <w:t xml:space="preserve">, </w:t>
      </w:r>
      <w:r w:rsidR="00C105DE">
        <w:t xml:space="preserve">protože </w:t>
      </w:r>
      <w:r w:rsidR="00D22457" w:rsidRPr="00273106">
        <w:t>je nahlížen</w:t>
      </w:r>
      <w:r w:rsidR="00B27DD2">
        <w:t>a</w:t>
      </w:r>
      <w:r w:rsidR="00D22457" w:rsidRPr="00273106">
        <w:t xml:space="preserve"> ze dvou odlišných hledisek zakládajících jistotu poznání</w:t>
      </w:r>
      <w:r w:rsidR="00CF1FB9" w:rsidRPr="00273106">
        <w:t>.</w:t>
      </w:r>
      <w:r w:rsidR="08C13417">
        <w:t xml:space="preserve"> První modernisté z Toledské školy uzávorkovali reálné působení prvních substancí, protože sledovali výklad Avicennovy první vědy v modu </w:t>
      </w:r>
      <w:r w:rsidR="08C13417" w:rsidRPr="08A57BBA">
        <w:rPr>
          <w:i/>
        </w:rPr>
        <w:t>ens inquantum ens</w:t>
      </w:r>
      <w:r w:rsidR="000943E9">
        <w:rPr>
          <w:i/>
        </w:rPr>
        <w:fldChar w:fldCharType="begin"/>
      </w:r>
      <w:r w:rsidR="000943E9">
        <w:instrText xml:space="preserve"> XE "</w:instrText>
      </w:r>
      <w:r w:rsidR="000943E9" w:rsidRPr="00334ECA">
        <w:rPr>
          <w:i/>
        </w:rPr>
        <w:instrText>ens inquantum ens</w:instrText>
      </w:r>
      <w:r w:rsidR="000943E9">
        <w:instrText xml:space="preserve">" </w:instrText>
      </w:r>
      <w:r w:rsidR="000943E9">
        <w:rPr>
          <w:i/>
        </w:rPr>
        <w:fldChar w:fldCharType="end"/>
      </w:r>
      <w:r w:rsidR="08C13417">
        <w:t>.</w:t>
      </w:r>
      <w:r w:rsidR="08066882">
        <w:t xml:space="preserve"> Albert opakuje </w:t>
      </w:r>
      <w:r w:rsidR="08690768">
        <w:t xml:space="preserve">v nové konstelaci boje o jednotu osoby původní </w:t>
      </w:r>
      <w:r w:rsidR="08066882">
        <w:t xml:space="preserve">Grossetesteho stanovisko z prvního traktátu </w:t>
      </w:r>
      <w:r w:rsidR="00BF397A">
        <w:rPr>
          <w:i/>
        </w:rPr>
        <w:t xml:space="preserve">De anima et de potenciis eius </w:t>
      </w:r>
      <w:r w:rsidR="085F6FB7">
        <w:t>(kap. 2</w:t>
      </w:r>
      <w:r w:rsidR="08F118AF">
        <w:t>.2.1)</w:t>
      </w:r>
      <w:r w:rsidR="00B02675">
        <w:t xml:space="preserve">. To </w:t>
      </w:r>
      <w:r w:rsidR="08690768">
        <w:t xml:space="preserve">určilo </w:t>
      </w:r>
      <w:r w:rsidR="08C70C18">
        <w:t xml:space="preserve">epochální </w:t>
      </w:r>
      <w:r w:rsidR="08FC4394">
        <w:t xml:space="preserve">podobu </w:t>
      </w:r>
      <w:r w:rsidR="00037358">
        <w:t xml:space="preserve">anti-modernistického </w:t>
      </w:r>
      <w:r w:rsidR="08FC4394">
        <w:t xml:space="preserve">humanismu </w:t>
      </w:r>
      <w:r w:rsidR="08066882">
        <w:t xml:space="preserve">ve škole prvního averroismu. </w:t>
      </w:r>
      <w:r w:rsidR="00975068" w:rsidRPr="00975068">
        <w:t>Albert hájí realistické pozná</w:t>
      </w:r>
      <w:r w:rsidR="00975068">
        <w:t>ní duše v rámci Averroesovy metafyziky „</w:t>
      </w:r>
      <w:r w:rsidR="00975068" w:rsidRPr="00975068">
        <w:t xml:space="preserve">substance </w:t>
      </w:r>
      <w:r w:rsidR="00975068" w:rsidRPr="00975068">
        <w:rPr>
          <w:i/>
        </w:rPr>
        <w:t>qua</w:t>
      </w:r>
      <w:r w:rsidR="00975068">
        <w:t xml:space="preserve"> substance““</w:t>
      </w:r>
      <w:r w:rsidR="00975068">
        <w:fldChar w:fldCharType="begin"/>
      </w:r>
      <w:r w:rsidR="00975068">
        <w:instrText xml:space="preserve"> XE "</w:instrText>
      </w:r>
      <w:r w:rsidR="003D3DEA">
        <w:instrText xml:space="preserve">substance </w:instrText>
      </w:r>
      <w:r w:rsidR="00975068" w:rsidRPr="009C5362">
        <w:rPr>
          <w:i/>
        </w:rPr>
        <w:instrText>qua</w:instrText>
      </w:r>
      <w:r w:rsidR="00975068" w:rsidRPr="009C5362">
        <w:instrText xml:space="preserve"> substance</w:instrText>
      </w:r>
      <w:r w:rsidR="00975068">
        <w:instrText xml:space="preserve">" </w:instrText>
      </w:r>
      <w:r w:rsidR="00975068">
        <w:fldChar w:fldCharType="end"/>
      </w:r>
      <w:r w:rsidR="00975068" w:rsidRPr="00975068">
        <w:t>. Jis</w:t>
      </w:r>
      <w:r w:rsidR="009A2638">
        <w:t>tota poznání nepochází z hypostázovaného mystického intelektu i</w:t>
      </w:r>
      <w:r w:rsidR="00975068" w:rsidRPr="00975068">
        <w:t>luminátů, nýbrž z reálné existence člověka jak</w:t>
      </w:r>
      <w:r w:rsidR="00975068">
        <w:t xml:space="preserve">o první substance (Heideggerovo </w:t>
      </w:r>
      <w:r w:rsidR="00975068" w:rsidRPr="00975068">
        <w:rPr>
          <w:i/>
        </w:rPr>
        <w:t>Dasein</w:t>
      </w:r>
      <w:r w:rsidR="009A2638">
        <w:t>). Existence první substance v</w:t>
      </w:r>
      <w:r w:rsidR="00975068" w:rsidRPr="00975068">
        <w:t xml:space="preserve">ytváří </w:t>
      </w:r>
      <w:r w:rsidR="009A2638">
        <w:t xml:space="preserve">jistou </w:t>
      </w:r>
      <w:r w:rsidR="00727FED">
        <w:t xml:space="preserve">nutnost, adekvátně predikovanou </w:t>
      </w:r>
      <w:r w:rsidR="009A2638">
        <w:t>na základě i</w:t>
      </w:r>
      <w:r w:rsidR="00975068" w:rsidRPr="00975068">
        <w:t>mpozice (</w:t>
      </w:r>
      <w:r w:rsidR="00975068" w:rsidRPr="009A2638">
        <w:rPr>
          <w:i/>
        </w:rPr>
        <w:t>certitudo secundum quid</w:t>
      </w:r>
      <w:r w:rsidR="009A2638">
        <w:t>). Tato teze má zásadní c</w:t>
      </w:r>
      <w:r w:rsidR="00975068" w:rsidRPr="00975068">
        <w:t>harakter pro další rozvoj sporu o jednotu osoby.</w:t>
      </w:r>
    </w:p>
    <w:p w14:paraId="7D98019E" w14:textId="7A7D6C22" w:rsidR="00221596" w:rsidRPr="00273106" w:rsidRDefault="00221596" w:rsidP="00B172B8">
      <w:pPr>
        <w:pStyle w:val="Citace"/>
        <w:rPr>
          <w:noProof/>
          <w:shd w:val="clear" w:color="auto" w:fill="FFFFFF"/>
          <w:lang w:val="cs-CZ"/>
        </w:rPr>
      </w:pPr>
      <w:r w:rsidRPr="00273106">
        <w:rPr>
          <w:noProof/>
          <w:lang w:val="cs-CZ"/>
        </w:rPr>
        <w:t>„</w:t>
      </w:r>
      <w:r w:rsidR="00724CDE" w:rsidRPr="00273106">
        <w:rPr>
          <w:noProof/>
          <w:lang w:val="cs-CZ"/>
        </w:rPr>
        <w:t>Jedna věc je jistota vzatá o sobě</w:t>
      </w:r>
      <w:r w:rsidR="00CF4AFF" w:rsidRPr="00273106">
        <w:rPr>
          <w:noProof/>
          <w:lang w:val="cs-CZ"/>
        </w:rPr>
        <w:t xml:space="preserve"> (</w:t>
      </w:r>
      <w:r w:rsidR="00CF4AFF" w:rsidRPr="00273106">
        <w:rPr>
          <w:i/>
          <w:noProof/>
          <w:lang w:val="cs-CZ"/>
        </w:rPr>
        <w:t>certitudo simpliciter</w:t>
      </w:r>
      <w:r w:rsidR="00CF4AFF" w:rsidRPr="00273106">
        <w:rPr>
          <w:noProof/>
          <w:lang w:val="cs-CZ"/>
        </w:rPr>
        <w:t>)</w:t>
      </w:r>
      <w:r w:rsidR="00724CDE" w:rsidRPr="00273106">
        <w:rPr>
          <w:noProof/>
          <w:lang w:val="cs-CZ"/>
        </w:rPr>
        <w:t xml:space="preserve"> a druhá věc je jistota vzhledem k reálné věci</w:t>
      </w:r>
      <w:r w:rsidR="00CF4AFF" w:rsidRPr="00273106">
        <w:rPr>
          <w:noProof/>
          <w:lang w:val="cs-CZ"/>
        </w:rPr>
        <w:t xml:space="preserve"> (</w:t>
      </w:r>
      <w:r w:rsidR="00CF4AFF" w:rsidRPr="00273106">
        <w:rPr>
          <w:i/>
          <w:noProof/>
          <w:lang w:val="cs-CZ"/>
        </w:rPr>
        <w:t>certitudo secundum quid</w:t>
      </w:r>
      <w:r w:rsidR="00CF4AFF" w:rsidRPr="00273106">
        <w:rPr>
          <w:noProof/>
          <w:lang w:val="cs-CZ"/>
        </w:rPr>
        <w:t>)</w:t>
      </w:r>
      <w:r w:rsidR="00724CDE" w:rsidRPr="00273106">
        <w:rPr>
          <w:noProof/>
          <w:lang w:val="cs-CZ"/>
        </w:rPr>
        <w:t>. Jistota vzatá o sobě je z</w:t>
      </w:r>
      <w:r w:rsidR="00B34FC9">
        <w:rPr>
          <w:noProof/>
          <w:lang w:val="cs-CZ"/>
        </w:rPr>
        <w:t xml:space="preserve"> abstraktních </w:t>
      </w:r>
      <w:r w:rsidR="00724CDE" w:rsidRPr="00273106">
        <w:rPr>
          <w:noProof/>
          <w:lang w:val="cs-CZ"/>
        </w:rPr>
        <w:t xml:space="preserve">principů, skrze </w:t>
      </w:r>
      <w:r w:rsidR="006945A9">
        <w:rPr>
          <w:noProof/>
          <w:lang w:val="cs-CZ"/>
        </w:rPr>
        <w:t xml:space="preserve">které </w:t>
      </w:r>
      <w:r w:rsidR="00724CDE" w:rsidRPr="00273106">
        <w:rPr>
          <w:noProof/>
          <w:lang w:val="cs-CZ"/>
        </w:rPr>
        <w:t xml:space="preserve">s jistotou poznáváme něco dalšího. </w:t>
      </w:r>
      <w:r w:rsidR="00EC073F">
        <w:rPr>
          <w:noProof/>
          <w:lang w:val="cs-CZ"/>
        </w:rPr>
        <w:t xml:space="preserve">Proto </w:t>
      </w:r>
      <w:r w:rsidR="000B1353" w:rsidRPr="00273106">
        <w:rPr>
          <w:noProof/>
          <w:lang w:val="cs-CZ"/>
        </w:rPr>
        <w:t xml:space="preserve">je jistější poznání </w:t>
      </w:r>
      <w:r w:rsidR="00496324" w:rsidRPr="00273106">
        <w:rPr>
          <w:noProof/>
          <w:lang w:val="cs-CZ"/>
        </w:rPr>
        <w:t xml:space="preserve">dané </w:t>
      </w:r>
      <w:r w:rsidR="000B1353" w:rsidRPr="00273106">
        <w:rPr>
          <w:noProof/>
          <w:lang w:val="cs-CZ"/>
        </w:rPr>
        <w:t xml:space="preserve">podle duše, </w:t>
      </w:r>
      <w:r w:rsidR="00724CDE" w:rsidRPr="00273106">
        <w:rPr>
          <w:noProof/>
          <w:lang w:val="cs-CZ"/>
        </w:rPr>
        <w:t xml:space="preserve">než podle těla. Duše je totiž příčina </w:t>
      </w:r>
      <w:r w:rsidR="002C3EA2" w:rsidRPr="00273106">
        <w:rPr>
          <w:noProof/>
          <w:lang w:val="cs-CZ"/>
        </w:rPr>
        <w:t xml:space="preserve">bytí </w:t>
      </w:r>
      <w:r w:rsidR="00614B4C">
        <w:rPr>
          <w:noProof/>
          <w:lang w:val="cs-CZ"/>
        </w:rPr>
        <w:t xml:space="preserve">individualizovaného </w:t>
      </w:r>
      <w:r w:rsidR="002C3EA2" w:rsidRPr="00273106">
        <w:rPr>
          <w:noProof/>
          <w:lang w:val="cs-CZ"/>
        </w:rPr>
        <w:t xml:space="preserve">těla </w:t>
      </w:r>
      <w:r w:rsidR="00724CDE" w:rsidRPr="00273106">
        <w:rPr>
          <w:noProof/>
          <w:lang w:val="cs-CZ"/>
        </w:rPr>
        <w:t>(</w:t>
      </w:r>
      <w:r w:rsidR="00724CDE" w:rsidRPr="00273106">
        <w:rPr>
          <w:i/>
          <w:noProof/>
          <w:lang w:val="cs-CZ"/>
        </w:rPr>
        <w:t>esse specificum corpori</w:t>
      </w:r>
      <w:r w:rsidR="00724CDE" w:rsidRPr="00273106">
        <w:rPr>
          <w:noProof/>
          <w:lang w:val="cs-CZ"/>
        </w:rPr>
        <w:t xml:space="preserve">) a </w:t>
      </w:r>
      <w:r w:rsidR="002C3EA2" w:rsidRPr="00273106">
        <w:rPr>
          <w:noProof/>
          <w:lang w:val="cs-CZ"/>
        </w:rPr>
        <w:t xml:space="preserve">je </w:t>
      </w:r>
      <w:r w:rsidR="00724CDE" w:rsidRPr="00273106">
        <w:rPr>
          <w:noProof/>
          <w:lang w:val="cs-CZ"/>
        </w:rPr>
        <w:t>určujícím principem toho, jak je toto tělo oživeno</w:t>
      </w:r>
      <w:r w:rsidR="00CF4AFF" w:rsidRPr="00273106">
        <w:rPr>
          <w:noProof/>
          <w:lang w:val="cs-CZ"/>
        </w:rPr>
        <w:t>,</w:t>
      </w:r>
      <w:r w:rsidR="002C3EA2" w:rsidRPr="00273106">
        <w:rPr>
          <w:noProof/>
          <w:lang w:val="cs-CZ"/>
        </w:rPr>
        <w:t xml:space="preserve"> a nakolik je přirozen</w:t>
      </w:r>
      <w:r w:rsidR="009E2A84" w:rsidRPr="00273106">
        <w:rPr>
          <w:noProof/>
          <w:lang w:val="cs-CZ"/>
        </w:rPr>
        <w:t>ě existuje</w:t>
      </w:r>
      <w:r w:rsidR="00B9119C" w:rsidRPr="00273106">
        <w:rPr>
          <w:noProof/>
          <w:lang w:val="cs-CZ"/>
        </w:rPr>
        <w:t xml:space="preserve">. Proto je </w:t>
      </w:r>
      <w:r w:rsidR="00724CDE" w:rsidRPr="00273106">
        <w:rPr>
          <w:noProof/>
          <w:lang w:val="cs-CZ"/>
        </w:rPr>
        <w:t xml:space="preserve">duše jistější v tom, jak sama ze sebe </w:t>
      </w:r>
      <w:r w:rsidR="00B9119C" w:rsidRPr="00273106">
        <w:rPr>
          <w:noProof/>
          <w:lang w:val="cs-CZ"/>
        </w:rPr>
        <w:t>(</w:t>
      </w:r>
      <w:r w:rsidR="008E319E" w:rsidRPr="00273106">
        <w:rPr>
          <w:i/>
          <w:noProof/>
          <w:lang w:val="cs-CZ"/>
        </w:rPr>
        <w:t>ex ipsa</w:t>
      </w:r>
      <w:r w:rsidR="00B9119C" w:rsidRPr="00273106">
        <w:rPr>
          <w:noProof/>
          <w:lang w:val="cs-CZ"/>
        </w:rPr>
        <w:t xml:space="preserve">) </w:t>
      </w:r>
      <w:r w:rsidR="00724CDE" w:rsidRPr="00273106">
        <w:rPr>
          <w:noProof/>
          <w:lang w:val="cs-CZ"/>
        </w:rPr>
        <w:t>poznává své vlastní tělo (</w:t>
      </w:r>
      <w:r w:rsidR="00724CDE" w:rsidRPr="00273106">
        <w:rPr>
          <w:i/>
          <w:noProof/>
          <w:lang w:val="cs-CZ"/>
        </w:rPr>
        <w:t>esse corporis talis</w:t>
      </w:r>
      <w:r w:rsidR="00724CDE" w:rsidRPr="00273106">
        <w:rPr>
          <w:noProof/>
          <w:lang w:val="cs-CZ"/>
        </w:rPr>
        <w:t>). Jistota da</w:t>
      </w:r>
      <w:r w:rsidR="008E319E" w:rsidRPr="00273106">
        <w:rPr>
          <w:noProof/>
          <w:lang w:val="cs-CZ"/>
        </w:rPr>
        <w:t xml:space="preserve">ná na základě </w:t>
      </w:r>
      <w:r w:rsidR="00E564D0" w:rsidRPr="00273106">
        <w:rPr>
          <w:noProof/>
          <w:lang w:val="cs-CZ"/>
        </w:rPr>
        <w:t xml:space="preserve">bytí </w:t>
      </w:r>
      <w:r w:rsidR="008E319E" w:rsidRPr="00273106">
        <w:rPr>
          <w:noProof/>
          <w:lang w:val="cs-CZ"/>
        </w:rPr>
        <w:t xml:space="preserve">reálné substance </w:t>
      </w:r>
      <w:r w:rsidR="00724CDE" w:rsidRPr="00273106">
        <w:rPr>
          <w:noProof/>
          <w:lang w:val="cs-CZ"/>
        </w:rPr>
        <w:t>(</w:t>
      </w:r>
      <w:r w:rsidR="00724CDE" w:rsidRPr="00273106">
        <w:rPr>
          <w:i/>
          <w:noProof/>
          <w:lang w:val="cs-CZ"/>
        </w:rPr>
        <w:t>secundum quid est</w:t>
      </w:r>
      <w:r w:rsidR="00724CDE" w:rsidRPr="00273106">
        <w:rPr>
          <w:noProof/>
          <w:lang w:val="cs-CZ"/>
        </w:rPr>
        <w:t>), která se děje skrze smysly a představivost, ta přísluší tělu v mnohem větší míře (</w:t>
      </w:r>
      <w:r w:rsidR="00724CDE" w:rsidRPr="00273106">
        <w:rPr>
          <w:i/>
          <w:noProof/>
          <w:lang w:val="cs-CZ"/>
        </w:rPr>
        <w:t>haec magis competit corpori</w:t>
      </w:r>
      <w:r w:rsidR="00496324" w:rsidRPr="00273106">
        <w:rPr>
          <w:noProof/>
          <w:lang w:val="cs-CZ"/>
        </w:rPr>
        <w:t xml:space="preserve">). </w:t>
      </w:r>
      <w:r w:rsidR="000B1353" w:rsidRPr="00273106">
        <w:rPr>
          <w:noProof/>
          <w:lang w:val="cs-CZ"/>
        </w:rPr>
        <w:t xml:space="preserve">To měl na mysli </w:t>
      </w:r>
      <w:r w:rsidR="002156CE">
        <w:rPr>
          <w:noProof/>
          <w:lang w:val="cs-CZ"/>
        </w:rPr>
        <w:t>Aristoteles</w:t>
      </w:r>
      <w:r w:rsidR="000B1353" w:rsidRPr="00273106">
        <w:rPr>
          <w:noProof/>
          <w:lang w:val="cs-CZ"/>
        </w:rPr>
        <w:t xml:space="preserve">, když pravil, že duše je </w:t>
      </w:r>
      <w:r w:rsidR="000559AF">
        <w:rPr>
          <w:noProof/>
          <w:lang w:val="cs-CZ"/>
        </w:rPr>
        <w:t>p</w:t>
      </w:r>
      <w:r w:rsidR="002156CE">
        <w:rPr>
          <w:noProof/>
          <w:lang w:val="cs-CZ"/>
        </w:rPr>
        <w:t xml:space="preserve">rincipem </w:t>
      </w:r>
      <w:r w:rsidR="000B1353" w:rsidRPr="00273106">
        <w:rPr>
          <w:noProof/>
          <w:lang w:val="cs-CZ"/>
        </w:rPr>
        <w:t>živých organismů.“</w:t>
      </w:r>
      <w:r w:rsidR="000B1353" w:rsidRPr="00273106">
        <w:rPr>
          <w:rStyle w:val="Zkladntext75ptTundkovn0pt"/>
          <w:rFonts w:ascii="Calibri" w:eastAsia="Times" w:hAnsi="Calibri"/>
          <w:b w:val="0"/>
          <w:bCs w:val="0"/>
          <w:noProof/>
          <w:spacing w:val="0"/>
          <w:sz w:val="21"/>
          <w:lang w:val="cs-CZ"/>
        </w:rPr>
        <w:t xml:space="preserve"> </w:t>
      </w:r>
      <w:r w:rsidR="000B1353" w:rsidRPr="00273106">
        <w:rPr>
          <w:rStyle w:val="Znakapoznpodarou"/>
          <w:noProof/>
          <w:lang w:val="cs-CZ"/>
        </w:rPr>
        <w:footnoteReference w:id="221"/>
      </w:r>
    </w:p>
    <w:p w14:paraId="7FCF25B5" w14:textId="77777777" w:rsidR="00365E64" w:rsidRDefault="00221596" w:rsidP="00D30E0B">
      <w:r w:rsidRPr="00273106">
        <w:lastRenderedPageBreak/>
        <w:t xml:space="preserve">Jistota </w:t>
      </w:r>
      <w:r w:rsidR="00AC1171" w:rsidRPr="00273106">
        <w:t xml:space="preserve">kritizovaných </w:t>
      </w:r>
      <w:r w:rsidRPr="00273106">
        <w:rPr>
          <w:i/>
        </w:rPr>
        <w:t>Latinorum</w:t>
      </w:r>
      <w:r w:rsidRPr="00273106">
        <w:t xml:space="preserve"> je daná vzhledem k obecné, nominálně definované esenci dané definicí principů (</w:t>
      </w:r>
      <w:r w:rsidR="004E5974">
        <w:rPr>
          <w:i/>
        </w:rPr>
        <w:t>certitudo simpli</w:t>
      </w:r>
      <w:r w:rsidRPr="00273106">
        <w:rPr>
          <w:i/>
        </w:rPr>
        <w:t>citer est, quae est ex principiis</w:t>
      </w:r>
      <w:r w:rsidRPr="00273106">
        <w:t xml:space="preserve">). </w:t>
      </w:r>
      <w:r w:rsidR="00B172B8" w:rsidRPr="00273106">
        <w:t xml:space="preserve">Ale principy vzhledem ke své obecnosti dané jen v možnosti znají </w:t>
      </w:r>
      <w:r w:rsidR="083E326E">
        <w:t>tělo jen ve smyslu univerzální</w:t>
      </w:r>
      <w:r w:rsidR="00B172B8" w:rsidRPr="00273106">
        <w:t xml:space="preserve"> </w:t>
      </w:r>
      <w:r w:rsidR="00E02E2A" w:rsidRPr="00E02E2A">
        <w:t>species</w:t>
      </w:r>
      <w:r w:rsidR="00B172B8" w:rsidRPr="00273106">
        <w:t xml:space="preserve"> (</w:t>
      </w:r>
      <w:r w:rsidR="00B172B8" w:rsidRPr="00273106">
        <w:rPr>
          <w:i/>
        </w:rPr>
        <w:t>esse specificum corpori</w:t>
      </w:r>
      <w:r w:rsidR="083E326E">
        <w:t>), která</w:t>
      </w:r>
      <w:r w:rsidR="00F11B29" w:rsidRPr="00273106">
        <w:t xml:space="preserve"> </w:t>
      </w:r>
      <w:r w:rsidR="083E326E">
        <w:t>je dána</w:t>
      </w:r>
      <w:r w:rsidR="00F11B29" w:rsidRPr="00273106">
        <w:t xml:space="preserve"> příslušnou obecnou definicí (</w:t>
      </w:r>
      <w:r w:rsidR="004E5974">
        <w:rPr>
          <w:i/>
        </w:rPr>
        <w:t>rationem diffiniti</w:t>
      </w:r>
      <w:r w:rsidR="00F11B29" w:rsidRPr="00273106">
        <w:rPr>
          <w:i/>
        </w:rPr>
        <w:t>vam</w:t>
      </w:r>
      <w:r w:rsidR="00F11B29" w:rsidRPr="00273106">
        <w:t xml:space="preserve">). </w:t>
      </w:r>
      <w:r w:rsidR="00AE63D8" w:rsidRPr="00273106">
        <w:t>Definice</w:t>
      </w:r>
      <w:r w:rsidR="006D61FF" w:rsidRPr="00273106">
        <w:t xml:space="preserve"> v modu </w:t>
      </w:r>
      <w:r w:rsidR="006D61FF" w:rsidRPr="00273106">
        <w:rPr>
          <w:i/>
        </w:rPr>
        <w:t>simpliciter</w:t>
      </w:r>
      <w:r w:rsidR="00AE63D8" w:rsidRPr="00273106">
        <w:t xml:space="preserve"> zajistí</w:t>
      </w:r>
      <w:r w:rsidR="00DE4DC3" w:rsidRPr="00273106">
        <w:t xml:space="preserve"> jen </w:t>
      </w:r>
      <w:r w:rsidR="00AE63D8" w:rsidRPr="00273106">
        <w:t xml:space="preserve">obecné </w:t>
      </w:r>
      <w:r w:rsidR="00DE4DC3" w:rsidRPr="00273106">
        <w:t xml:space="preserve">specifikum </w:t>
      </w:r>
      <w:r w:rsidR="00AE63D8" w:rsidRPr="00273106">
        <w:t xml:space="preserve">duše </w:t>
      </w:r>
      <w:r w:rsidR="00DE4DC3" w:rsidRPr="00273106">
        <w:t>(</w:t>
      </w:r>
      <w:r w:rsidR="00DE4DC3" w:rsidRPr="00273106">
        <w:rPr>
          <w:i/>
        </w:rPr>
        <w:t>in quantum est animatum corpus et naturale</w:t>
      </w:r>
      <w:r w:rsidR="00DE4DC3" w:rsidRPr="00273106">
        <w:t xml:space="preserve">), </w:t>
      </w:r>
      <w:r w:rsidR="00AE63D8" w:rsidRPr="00273106">
        <w:t xml:space="preserve">ale nepostihne </w:t>
      </w:r>
      <w:r w:rsidR="00DE4DC3" w:rsidRPr="00273106">
        <w:t xml:space="preserve">její </w:t>
      </w:r>
      <w:r w:rsidR="00AE63D8" w:rsidRPr="00273106">
        <w:t xml:space="preserve">faktickou </w:t>
      </w:r>
      <w:r w:rsidR="00DE4DC3" w:rsidRPr="00273106">
        <w:t>realitu</w:t>
      </w:r>
      <w:r w:rsidR="00C34454" w:rsidRPr="00273106">
        <w:t xml:space="preserve"> danou kauzálním působením první substance</w:t>
      </w:r>
      <w:r w:rsidR="00A70FA4">
        <w:fldChar w:fldCharType="begin"/>
      </w:r>
      <w:r w:rsidR="00A70FA4">
        <w:instrText xml:space="preserve"> XE "</w:instrText>
      </w:r>
      <w:r w:rsidR="004E5974">
        <w:instrText>kauzalita:Albert</w:instrText>
      </w:r>
      <w:r w:rsidR="00A70FA4">
        <w:instrText xml:space="preserve">" </w:instrText>
      </w:r>
      <w:r w:rsidR="00A70FA4">
        <w:fldChar w:fldCharType="end"/>
      </w:r>
      <w:r w:rsidR="00DE4DC3" w:rsidRPr="00273106">
        <w:t xml:space="preserve">. </w:t>
      </w:r>
      <w:r w:rsidR="08090E8A" w:rsidRPr="00273106">
        <w:t>R</w:t>
      </w:r>
      <w:r w:rsidR="006D787D">
        <w:t xml:space="preserve">eálná kauzalita predikovaná skrze impozici zakládá </w:t>
      </w:r>
      <w:r w:rsidR="08090E8A" w:rsidRPr="00273106">
        <w:t xml:space="preserve">poznání v modu </w:t>
      </w:r>
      <w:r w:rsidR="08090E8A" w:rsidRPr="00273106">
        <w:rPr>
          <w:i/>
        </w:rPr>
        <w:t>secundum quid</w:t>
      </w:r>
      <w:r w:rsidR="08090E8A" w:rsidRPr="00273106">
        <w:t xml:space="preserve">. Citát </w:t>
      </w:r>
      <w:r w:rsidR="08090E8A">
        <w:t xml:space="preserve">proto definuje </w:t>
      </w:r>
      <w:r w:rsidR="08090E8A" w:rsidRPr="00273106">
        <w:t>poznání duše v konkrétně zakoušeném těle</w:t>
      </w:r>
      <w:r w:rsidR="08090E8A">
        <w:fldChar w:fldCharType="begin"/>
      </w:r>
      <w:r w:rsidR="08090E8A">
        <w:instrText xml:space="preserve"> XE "osoba:hylemorfická jednota" </w:instrText>
      </w:r>
      <w:r w:rsidR="08090E8A">
        <w:fldChar w:fldCharType="end"/>
      </w:r>
      <w:r w:rsidR="08090E8A">
        <w:t xml:space="preserve">. Tělo jednotlivce je </w:t>
      </w:r>
      <w:r w:rsidR="08090E8A" w:rsidRPr="00273106">
        <w:t>oživeno duší jako principem, a to ve svém přirozeném výkonu existence zakoušené smyslově (</w:t>
      </w:r>
      <w:r w:rsidR="08090E8A" w:rsidRPr="00273106">
        <w:rPr>
          <w:i/>
        </w:rPr>
        <w:t>haec magis competit corpori</w:t>
      </w:r>
      <w:r w:rsidR="08090E8A" w:rsidRPr="00273106">
        <w:rPr>
          <w:rStyle w:val="Zkladntext75ptTundkovn0pt"/>
          <w:rFonts w:ascii="Calibri" w:eastAsia="Times" w:hAnsi="Calibri"/>
          <w:b w:val="0"/>
          <w:bCs w:val="0"/>
          <w:spacing w:val="0"/>
          <w:sz w:val="21"/>
          <w:lang w:val="cs-CZ"/>
        </w:rPr>
        <w:t>)</w:t>
      </w:r>
      <w:r w:rsidR="08090E8A" w:rsidRPr="00273106">
        <w:t xml:space="preserve">. Formální definice duše a člověka jako </w:t>
      </w:r>
      <w:r w:rsidR="00E02E2A" w:rsidRPr="00E02E2A">
        <w:t>species</w:t>
      </w:r>
      <w:r w:rsidR="08090E8A" w:rsidRPr="00273106">
        <w:t xml:space="preserve"> nepostihuje skutečné bytí </w:t>
      </w:r>
      <w:r w:rsidR="00327149">
        <w:t xml:space="preserve">personální </w:t>
      </w:r>
      <w:r w:rsidR="08090E8A" w:rsidRPr="00273106">
        <w:t>d</w:t>
      </w:r>
      <w:r w:rsidR="00327149">
        <w:t xml:space="preserve">uše, která žije </w:t>
      </w:r>
      <w:r w:rsidR="08090E8A">
        <w:t xml:space="preserve">v těle jako aktuální první substanci </w:t>
      </w:r>
      <w:r w:rsidR="08090E8A" w:rsidRPr="00273106">
        <w:rPr>
          <w:rStyle w:val="Zkladntext75ptTundkovn0pt"/>
          <w:rFonts w:ascii="Calibri" w:eastAsia="Times" w:hAnsi="Calibri"/>
          <w:b w:val="0"/>
          <w:bCs w:val="0"/>
          <w:spacing w:val="0"/>
          <w:sz w:val="21"/>
          <w:lang w:val="cs-CZ"/>
        </w:rPr>
        <w:t>(</w:t>
      </w:r>
      <w:r w:rsidR="08090E8A" w:rsidRPr="00273106">
        <w:rPr>
          <w:i/>
        </w:rPr>
        <w:t>esse corporis talis</w:t>
      </w:r>
      <w:r w:rsidR="08090E8A" w:rsidRPr="00273106">
        <w:rPr>
          <w:rStyle w:val="Zkladntext75ptTundkovn0pt"/>
          <w:rFonts w:ascii="Calibri" w:eastAsia="Times" w:hAnsi="Calibri"/>
          <w:b w:val="0"/>
          <w:bCs w:val="0"/>
          <w:spacing w:val="0"/>
          <w:sz w:val="21"/>
          <w:lang w:val="cs-CZ"/>
        </w:rPr>
        <w:t>)</w:t>
      </w:r>
      <w:r w:rsidR="08090E8A" w:rsidRPr="00273106">
        <w:t xml:space="preserve">. </w:t>
      </w:r>
      <w:r w:rsidR="084D1A9A">
        <w:t xml:space="preserve">Albert jasně říká, že jistota </w:t>
      </w:r>
      <w:r w:rsidR="000D5FE9">
        <w:t xml:space="preserve">poznání člověka daná na úrovni </w:t>
      </w:r>
      <w:r w:rsidR="000D5FE9" w:rsidRPr="000D5FE9">
        <w:rPr>
          <w:i/>
        </w:rPr>
        <w:t>anima intellectiva</w:t>
      </w:r>
      <w:r w:rsidR="000D5FE9">
        <w:t xml:space="preserve"> </w:t>
      </w:r>
      <w:r w:rsidR="084D1A9A">
        <w:t>mu</w:t>
      </w:r>
      <w:r w:rsidR="000D5FE9">
        <w:t>sí začít od duševních aktů těla, a ne od Avicennova létajího muže. Vědecké (a ne moderní) intelektuální p</w:t>
      </w:r>
      <w:r w:rsidR="084D1A9A">
        <w:t>o</w:t>
      </w:r>
      <w:r w:rsidR="08D95BDC">
        <w:t xml:space="preserve">znání </w:t>
      </w:r>
      <w:r w:rsidR="000D5FE9">
        <w:t xml:space="preserve">musí být založeno na reálné existenciální nutnosti a na aktualitě dané skrze tělo jako první substanci. </w:t>
      </w:r>
      <w:r w:rsidR="08D95BDC">
        <w:t>Jen tímto postupem podle první</w:t>
      </w:r>
      <w:r w:rsidR="0832567D">
        <w:t>ho</w:t>
      </w:r>
      <w:r w:rsidR="08D95BDC">
        <w:t xml:space="preserve"> a nejdůležitějšího principu </w:t>
      </w:r>
      <w:r w:rsidR="08D91F67">
        <w:rPr>
          <w:i/>
        </w:rPr>
        <w:t>ex in</w:t>
      </w:r>
      <w:r w:rsidR="08D95BDC" w:rsidRPr="08D95BDC">
        <w:rPr>
          <w:i/>
        </w:rPr>
        <w:t>mediatis</w:t>
      </w:r>
      <w:r w:rsidR="08D95BDC">
        <w:t xml:space="preserve"> </w:t>
      </w:r>
      <w:r w:rsidR="08224B1C">
        <w:t>s</w:t>
      </w:r>
      <w:r w:rsidR="08D95BDC">
        <w:t xml:space="preserve">plní </w:t>
      </w:r>
      <w:r w:rsidR="08224B1C">
        <w:t xml:space="preserve">postup </w:t>
      </w:r>
      <w:r w:rsidR="084D1A9A">
        <w:t xml:space="preserve">důkazu podle </w:t>
      </w:r>
      <w:r w:rsidR="084D1A9A" w:rsidRPr="084D1A9A">
        <w:rPr>
          <w:i/>
        </w:rPr>
        <w:t>Druhých analytik</w:t>
      </w:r>
      <w:r w:rsidR="084D1A9A">
        <w:t xml:space="preserve">. </w:t>
      </w:r>
      <w:r w:rsidR="0889301F" w:rsidRPr="00273106">
        <w:t xml:space="preserve">Z aristotelských závěrů je jasné, že střední člen demonstrativního soudu </w:t>
      </w:r>
      <w:r w:rsidR="00A544F6">
        <w:t>(</w:t>
      </w:r>
      <w:r w:rsidR="00A544F6" w:rsidRPr="00A544F6">
        <w:rPr>
          <w:i/>
        </w:rPr>
        <w:t>medium</w:t>
      </w:r>
      <w:r w:rsidR="00A544F6">
        <w:t xml:space="preserve">) </w:t>
      </w:r>
      <w:r w:rsidR="0889301F" w:rsidRPr="00273106">
        <w:t xml:space="preserve">odkazuje na kauzalitu první substance dané reálně. </w:t>
      </w:r>
      <w:r w:rsidR="0889301F">
        <w:t>Obecná e</w:t>
      </w:r>
      <w:r w:rsidR="0889301F" w:rsidRPr="00273106">
        <w:t xml:space="preserve">sence není </w:t>
      </w:r>
      <w:r w:rsidR="0889301F">
        <w:t xml:space="preserve">reálná </w:t>
      </w:r>
      <w:r w:rsidR="0889301F" w:rsidRPr="00273106">
        <w:t xml:space="preserve">existence, protože jen </w:t>
      </w:r>
      <w:r w:rsidR="0889301F">
        <w:t xml:space="preserve">tělesná existence osoby </w:t>
      </w:r>
      <w:r w:rsidR="0889301F" w:rsidRPr="00273106">
        <w:t xml:space="preserve">je podrobena </w:t>
      </w:r>
      <w:r w:rsidR="0889301F">
        <w:t xml:space="preserve">kauzálním </w:t>
      </w:r>
      <w:r w:rsidR="0889301F" w:rsidRPr="00273106">
        <w:t xml:space="preserve">účinkům. Poznání </w:t>
      </w:r>
      <w:r w:rsidR="0889301F" w:rsidRPr="00273106">
        <w:rPr>
          <w:i/>
        </w:rPr>
        <w:t xml:space="preserve">ad sensum </w:t>
      </w:r>
      <w:r w:rsidR="0889301F" w:rsidRPr="00273106">
        <w:t xml:space="preserve">jde k výkonu duše v reálném </w:t>
      </w:r>
      <w:r w:rsidR="0889301F" w:rsidRPr="00273106">
        <w:rPr>
          <w:i/>
        </w:rPr>
        <w:t>actus essendi</w:t>
      </w:r>
      <w:r w:rsidR="0889301F">
        <w:rPr>
          <w:i/>
        </w:rPr>
        <w:fldChar w:fldCharType="begin"/>
      </w:r>
      <w:r w:rsidR="0889301F">
        <w:instrText xml:space="preserve"> XE "</w:instrText>
      </w:r>
      <w:r w:rsidR="0889301F" w:rsidRPr="006D3950">
        <w:rPr>
          <w:i/>
        </w:rPr>
        <w:instrText>actus essendi</w:instrText>
      </w:r>
      <w:r w:rsidR="0889301F">
        <w:instrText xml:space="preserve">" </w:instrText>
      </w:r>
      <w:r w:rsidR="0889301F">
        <w:rPr>
          <w:i/>
        </w:rPr>
        <w:fldChar w:fldCharType="end"/>
      </w:r>
      <w:r w:rsidR="0889301F" w:rsidRPr="00273106">
        <w:t xml:space="preserve">, který se týká </w:t>
      </w:r>
      <w:r w:rsidR="0889301F">
        <w:t xml:space="preserve">reálného </w:t>
      </w:r>
      <w:r w:rsidR="0889301F" w:rsidRPr="00273106">
        <w:t>těla (</w:t>
      </w:r>
      <w:r w:rsidR="0889301F" w:rsidRPr="00273106">
        <w:rPr>
          <w:i/>
        </w:rPr>
        <w:t>ex ipsa cognoscitur esse corporis talis</w:t>
      </w:r>
      <w:r w:rsidR="0889301F" w:rsidRPr="00273106">
        <w:t>). A protože poznáváme smyslově a skrze představivost, jisté poznání musí začít u těchto duševních fenoménů (</w:t>
      </w:r>
      <w:r w:rsidR="0889301F" w:rsidRPr="00273106">
        <w:rPr>
          <w:i/>
        </w:rPr>
        <w:t>certitudo ...ad sensum et phantasiam</w:t>
      </w:r>
      <w:r w:rsidR="0889301F">
        <w:t xml:space="preserve">). </w:t>
      </w:r>
      <w:r w:rsidR="00D30E0B" w:rsidRPr="00D30E0B">
        <w:t>Tělo pů</w:t>
      </w:r>
      <w:r w:rsidR="00D30E0B">
        <w:t>sobí ve světě na základě fyzikální</w:t>
      </w:r>
      <w:r w:rsidR="00D30E0B" w:rsidRPr="00D30E0B">
        <w:t xml:space="preserve"> </w:t>
      </w:r>
      <w:r w:rsidR="00D30E0B">
        <w:t>kauzality a na základě entelechie</w:t>
      </w:r>
      <w:r w:rsidR="00D30E0B" w:rsidRPr="00D30E0B">
        <w:t xml:space="preserve"> jako organismu</w:t>
      </w:r>
      <w:r w:rsidR="00D30E0B">
        <w:t>s</w:t>
      </w:r>
      <w:r w:rsidR="00D30E0B" w:rsidRPr="00D30E0B">
        <w:t xml:space="preserve">. Vnější věci poznáváme prostřednictvím smyslů, protože skutečný svět nás ovlivňuje jako </w:t>
      </w:r>
      <w:r w:rsidR="00D30E0B" w:rsidRPr="00D30E0B">
        <w:rPr>
          <w:i/>
        </w:rPr>
        <w:t>causa efficiens</w:t>
      </w:r>
      <w:r w:rsidR="00D30E0B" w:rsidRPr="00D30E0B">
        <w:t>. Smysl</w:t>
      </w:r>
      <w:r w:rsidR="00D30E0B">
        <w:t>ov</w:t>
      </w:r>
      <w:r w:rsidR="00D30E0B" w:rsidRPr="00D30E0B">
        <w:t xml:space="preserve">ě dané </w:t>
      </w:r>
      <w:r w:rsidR="00D30E0B">
        <w:t>po</w:t>
      </w:r>
      <w:r w:rsidR="00D30E0B" w:rsidRPr="00D30E0B">
        <w:t>znání duše je tedy jisté v tom, jak se duše poznává sama od sebe (</w:t>
      </w:r>
      <w:r w:rsidR="00D30E0B" w:rsidRPr="00D30E0B">
        <w:rPr>
          <w:i/>
        </w:rPr>
        <w:t>ex ipsa</w:t>
      </w:r>
      <w:r w:rsidR="00D30E0B" w:rsidRPr="00D30E0B">
        <w:t>).</w:t>
      </w:r>
    </w:p>
    <w:p w14:paraId="4B83050E" w14:textId="5DD998FE" w:rsidR="088D0124" w:rsidRDefault="08586F85" w:rsidP="00365E64">
      <w:pPr>
        <w:ind w:firstLine="397"/>
      </w:pPr>
      <w:r>
        <w:t>P</w:t>
      </w:r>
      <w:r w:rsidR="00B2089E">
        <w:t xml:space="preserve">odobné </w:t>
      </w:r>
      <w:r w:rsidR="002200B4" w:rsidRPr="00273106">
        <w:t xml:space="preserve">pojetí ipseity </w:t>
      </w:r>
      <w:r>
        <w:t xml:space="preserve">později </w:t>
      </w:r>
      <w:r w:rsidR="002200B4" w:rsidRPr="00273106">
        <w:t xml:space="preserve">hájí </w:t>
      </w:r>
      <w:r w:rsidR="08992961" w:rsidRPr="00273106">
        <w:t>nejvýznamnější aristote</w:t>
      </w:r>
      <w:r w:rsidR="08992961">
        <w:t>lik další generace</w:t>
      </w:r>
      <w:r w:rsidR="08992961" w:rsidRPr="00273106">
        <w:t xml:space="preserve"> </w:t>
      </w:r>
      <w:r w:rsidRPr="00273106">
        <w:t xml:space="preserve">Siger z Brabantu </w:t>
      </w:r>
      <w:r w:rsidR="002200B4" w:rsidRPr="00273106">
        <w:t xml:space="preserve">s odkazem na </w:t>
      </w:r>
      <w:r w:rsidR="08D13C51">
        <w:t xml:space="preserve">přírodovědné spisy Aristotela a na </w:t>
      </w:r>
      <w:r w:rsidR="08992961">
        <w:t xml:space="preserve">CMDA </w:t>
      </w:r>
      <w:r w:rsidR="08C36909">
        <w:t>(</w:t>
      </w:r>
      <w:r w:rsidR="085F6FB7">
        <w:t xml:space="preserve">OBJ III, </w:t>
      </w:r>
      <w:r w:rsidR="08C36909">
        <w:t>kap. 4</w:t>
      </w:r>
      <w:r w:rsidR="002200B4" w:rsidRPr="00273106">
        <w:t xml:space="preserve">.4.2). </w:t>
      </w:r>
      <w:r w:rsidR="00D52288">
        <w:t>D</w:t>
      </w:r>
      <w:r w:rsidR="00D52288" w:rsidRPr="00273106">
        <w:t xml:space="preserve">uše se nepoznává </w:t>
      </w:r>
      <w:r w:rsidR="00D52288" w:rsidRPr="00273106">
        <w:rPr>
          <w:i/>
        </w:rPr>
        <w:t>simpliciter</w:t>
      </w:r>
      <w:r w:rsidR="08A02974">
        <w:rPr>
          <w:i/>
        </w:rPr>
        <w:t xml:space="preserve"> </w:t>
      </w:r>
      <w:r w:rsidR="08A02974">
        <w:t xml:space="preserve">v přímém náhledu </w:t>
      </w:r>
      <w:r w:rsidR="08A02974" w:rsidRPr="08A02974">
        <w:t xml:space="preserve">jako u </w:t>
      </w:r>
      <w:r w:rsidR="08A02974">
        <w:t xml:space="preserve">Avicenny a u </w:t>
      </w:r>
      <w:r w:rsidR="08A02974" w:rsidRPr="08A02974">
        <w:t>postmoderních kartezián</w:t>
      </w:r>
      <w:r w:rsidR="003F7FD7">
        <w:t>c</w:t>
      </w:r>
      <w:r w:rsidR="08A02974" w:rsidRPr="08A02974">
        <w:t>ů</w:t>
      </w:r>
      <w:r w:rsidR="00D52288" w:rsidRPr="08A02974">
        <w:t xml:space="preserve">, </w:t>
      </w:r>
      <w:r w:rsidR="00D52288" w:rsidRPr="00273106">
        <w:lastRenderedPageBreak/>
        <w:t xml:space="preserve">ale smyslově skrze tělo. </w:t>
      </w:r>
      <w:r w:rsidR="00F731D4" w:rsidRPr="00273106">
        <w:t xml:space="preserve">Jedině smyslově založené poznání </w:t>
      </w:r>
      <w:r w:rsidR="08F836BC">
        <w:t xml:space="preserve">dané kauzálně ze světa </w:t>
      </w:r>
      <w:r w:rsidR="00F731D4" w:rsidRPr="00273106">
        <w:t xml:space="preserve">je jistá cesta k </w:t>
      </w:r>
      <w:r w:rsidR="00F731D4" w:rsidRPr="00273106">
        <w:rPr>
          <w:i/>
        </w:rPr>
        <w:t>demonstratio</w:t>
      </w:r>
      <w:r w:rsidR="007A6052">
        <w:rPr>
          <w:i/>
        </w:rPr>
        <w:fldChar w:fldCharType="begin"/>
      </w:r>
      <w:r w:rsidR="007A6052">
        <w:instrText xml:space="preserve"> XE "</w:instrText>
      </w:r>
      <w:r w:rsidR="007A6052" w:rsidRPr="004E6075">
        <w:rPr>
          <w:i/>
        </w:rPr>
        <w:instrText>demonstratio:</w:instrText>
      </w:r>
      <w:r w:rsidR="007D7CC8">
        <w:instrText>Albert</w:instrText>
      </w:r>
      <w:r w:rsidR="007A6052">
        <w:instrText xml:space="preserve">" </w:instrText>
      </w:r>
      <w:r w:rsidR="007A6052">
        <w:rPr>
          <w:i/>
        </w:rPr>
        <w:fldChar w:fldCharType="end"/>
      </w:r>
      <w:r w:rsidR="00F731D4" w:rsidRPr="00273106">
        <w:t xml:space="preserve"> toho, čím je duše v reálu hyleformického těla (</w:t>
      </w:r>
      <w:r w:rsidR="00F731D4" w:rsidRPr="00273106">
        <w:rPr>
          <w:i/>
        </w:rPr>
        <w:t>ideo certior est</w:t>
      </w:r>
      <w:r w:rsidR="00F731D4" w:rsidRPr="00273106">
        <w:t xml:space="preserve">). </w:t>
      </w:r>
      <w:r w:rsidR="08F836BC">
        <w:t xml:space="preserve">Poznání vychází z existence </w:t>
      </w:r>
      <w:r w:rsidR="08F836BC" w:rsidRPr="00273106">
        <w:t xml:space="preserve">první substance </w:t>
      </w:r>
      <w:r w:rsidR="08F836BC">
        <w:t xml:space="preserve">zakládající v modu </w:t>
      </w:r>
      <w:r w:rsidR="08D91F67">
        <w:rPr>
          <w:i/>
        </w:rPr>
        <w:t>ex in</w:t>
      </w:r>
      <w:r w:rsidR="08F836BC" w:rsidRPr="08F836BC">
        <w:rPr>
          <w:i/>
        </w:rPr>
        <w:t>mediatis</w:t>
      </w:r>
      <w:r w:rsidR="08F836BC">
        <w:t xml:space="preserve"> reálné kauzální</w:t>
      </w:r>
      <w:r w:rsidR="08F836BC" w:rsidRPr="00273106">
        <w:t xml:space="preserve"> působení</w:t>
      </w:r>
      <w:r w:rsidR="08F836BC">
        <w:t xml:space="preserve">, například dané jako </w:t>
      </w:r>
      <w:r w:rsidR="080E229C">
        <w:t xml:space="preserve">reálný </w:t>
      </w:r>
      <w:r w:rsidR="08F836BC">
        <w:t xml:space="preserve">výkon poznání. </w:t>
      </w:r>
      <w:r w:rsidR="08415BF7">
        <w:t xml:space="preserve">Jedině postup poznání podle Averroesovy metafyziky </w:t>
      </w:r>
      <w:r w:rsidR="00280620">
        <w:t>„</w:t>
      </w:r>
      <w:r w:rsidR="08415BF7">
        <w:t xml:space="preserve">substance </w:t>
      </w:r>
      <w:r w:rsidR="08415BF7" w:rsidRPr="08A57BBA">
        <w:rPr>
          <w:i/>
        </w:rPr>
        <w:t>qua</w:t>
      </w:r>
      <w:r w:rsidR="08415BF7">
        <w:t xml:space="preserve"> substance</w:t>
      </w:r>
      <w:r w:rsidR="00280620">
        <w:t>“</w:t>
      </w:r>
      <w:r w:rsidR="08415BF7">
        <w:fldChar w:fldCharType="begin"/>
      </w:r>
      <w:r w:rsidR="08415BF7">
        <w:instrText xml:space="preserve"> XE "</w:instrText>
      </w:r>
      <w:r w:rsidR="08415BF7" w:rsidRPr="080632B1">
        <w:instrText xml:space="preserve">substance </w:instrText>
      </w:r>
      <w:r w:rsidR="08415BF7" w:rsidRPr="080632B1">
        <w:rPr>
          <w:i/>
        </w:rPr>
        <w:instrText>qua</w:instrText>
      </w:r>
      <w:r w:rsidR="08415BF7" w:rsidRPr="080632B1">
        <w:instrText xml:space="preserve"> substance</w:instrText>
      </w:r>
      <w:r w:rsidR="08415BF7">
        <w:instrText xml:space="preserve">" </w:instrText>
      </w:r>
      <w:r w:rsidR="08415BF7">
        <w:fldChar w:fldCharType="end"/>
      </w:r>
      <w:r w:rsidR="08415BF7">
        <w:t xml:space="preserve"> zakládá vědecké poznání člověka, protože </w:t>
      </w:r>
      <w:r w:rsidR="009D5025">
        <w:t xml:space="preserve">sleduje </w:t>
      </w:r>
      <w:r w:rsidR="08415BF7">
        <w:t xml:space="preserve">správnou četbu CMDA v modu Sicilské školy. </w:t>
      </w:r>
      <w:r w:rsidR="004C7627" w:rsidRPr="00273106">
        <w:t xml:space="preserve">Albert odmítá založit poznání duše na </w:t>
      </w:r>
      <w:r w:rsidR="009D4CB4" w:rsidRPr="00273106">
        <w:t xml:space="preserve">hypostázovaném </w:t>
      </w:r>
      <w:r w:rsidR="004C7627" w:rsidRPr="00273106">
        <w:t xml:space="preserve">pojetí </w:t>
      </w:r>
      <w:r w:rsidR="00E66B3A">
        <w:t>jsoucna třetího druhu</w:t>
      </w:r>
      <w:r w:rsidR="080E229C">
        <w:t>. T</w:t>
      </w:r>
      <w:r w:rsidR="08193762">
        <w:t xml:space="preserve">ím obhájil křesťanské pojetí osoby </w:t>
      </w:r>
      <w:r w:rsidR="00BE0DDA">
        <w:t>pře</w:t>
      </w:r>
      <w:r w:rsidR="000D47E1">
        <w:t xml:space="preserve">dané jeho učitelem Alvernem. </w:t>
      </w:r>
      <w:r w:rsidR="000D3280">
        <w:t xml:space="preserve">Toletánci </w:t>
      </w:r>
      <w:r w:rsidR="08193762">
        <w:t xml:space="preserve"> </w:t>
      </w:r>
      <w:r w:rsidR="000D3280">
        <w:t>poznávají</w:t>
      </w:r>
      <w:r w:rsidR="08193762">
        <w:t xml:space="preserve"> svět </w:t>
      </w:r>
      <w:r w:rsidR="000D3280">
        <w:t xml:space="preserve">a člověka podle Avicenny, tedy v přímém eidetickém náhledu. </w:t>
      </w:r>
      <w:r w:rsidR="08193762">
        <w:t xml:space="preserve"> </w:t>
      </w:r>
      <w:r w:rsidR="000D3280">
        <w:t xml:space="preserve">Takové pojetí </w:t>
      </w:r>
      <w:r w:rsidR="000D3280" w:rsidRPr="00E66B3A">
        <w:rPr>
          <w:i/>
        </w:rPr>
        <w:t>Modernorum</w:t>
      </w:r>
      <w:r w:rsidR="000D3280">
        <w:t xml:space="preserve"> </w:t>
      </w:r>
      <w:r w:rsidR="001035A8" w:rsidRPr="00273106">
        <w:t>není</w:t>
      </w:r>
      <w:r w:rsidR="009D4CB4" w:rsidRPr="00273106">
        <w:t xml:space="preserve"> schopno rozlišit mezi obecnou definicí duše jako principu těla a mezi kauzálním působením duše jako oživujího p</w:t>
      </w:r>
      <w:r w:rsidR="009C7DA4" w:rsidRPr="00273106">
        <w:t xml:space="preserve">rincipu </w:t>
      </w:r>
      <w:r w:rsidR="089B37B8">
        <w:t xml:space="preserve">aktuálně </w:t>
      </w:r>
      <w:r w:rsidR="00C47DF8">
        <w:t xml:space="preserve">existujícího </w:t>
      </w:r>
      <w:r w:rsidR="009C7DA4" w:rsidRPr="00273106">
        <w:t xml:space="preserve">těla. Opět je ve hře dvojí pojetí významu daného </w:t>
      </w:r>
      <w:r w:rsidR="009C7DA4" w:rsidRPr="00273106">
        <w:rPr>
          <w:i/>
        </w:rPr>
        <w:t>simpliciter</w:t>
      </w:r>
      <w:r w:rsidR="009C7DA4" w:rsidRPr="00273106">
        <w:t>. Jednoduchost je aktualizována v reálné jednotlivině</w:t>
      </w:r>
      <w:r w:rsidR="08D252E3">
        <w:t xml:space="preserve"> (</w:t>
      </w:r>
      <w:r w:rsidR="08D252E3" w:rsidRPr="00273106">
        <w:rPr>
          <w:i/>
        </w:rPr>
        <w:t>esse corporis talis</w:t>
      </w:r>
      <w:r w:rsidR="08D252E3">
        <w:t>)</w:t>
      </w:r>
      <w:r w:rsidR="009C7DA4" w:rsidRPr="00273106">
        <w:t xml:space="preserve">, ale </w:t>
      </w:r>
      <w:r w:rsidR="004108D1" w:rsidRPr="00273106">
        <w:t xml:space="preserve">potenciálně </w:t>
      </w:r>
      <w:r w:rsidR="009C7DA4" w:rsidRPr="00273106">
        <w:t>abstrahována skrze univerzálii</w:t>
      </w:r>
      <w:r w:rsidR="004C7627" w:rsidRPr="00273106">
        <w:t xml:space="preserve">. </w:t>
      </w:r>
      <w:r w:rsidR="00221596" w:rsidRPr="00273106">
        <w:t>A poslední věta citátu tvrdí, že toto je skutečný záměr Aristotelova zkoumání duše</w:t>
      </w:r>
      <w:r w:rsidR="089B37B8">
        <w:t xml:space="preserve"> (</w:t>
      </w:r>
      <w:r w:rsidR="089B37B8" w:rsidRPr="089B37B8">
        <w:rPr>
          <w:i/>
        </w:rPr>
        <w:t>hoc intendit Philosophus</w:t>
      </w:r>
      <w:r w:rsidR="089B37B8">
        <w:t>)</w:t>
      </w:r>
      <w:r w:rsidR="009A5073" w:rsidRPr="00273106">
        <w:t xml:space="preserve">. </w:t>
      </w:r>
      <w:r w:rsidR="08566031" w:rsidRPr="00273106">
        <w:t xml:space="preserve">Důrazem na definici duše směrem od smyslové zkušenosti hylemorfické první substance se Albert postavil za biskupa Alverna </w:t>
      </w:r>
      <w:r w:rsidR="08566031">
        <w:t>v jeho polemice proti představitelům druhého averroismu</w:t>
      </w:r>
      <w:r w:rsidR="08566031">
        <w:rPr>
          <w:i/>
        </w:rPr>
        <w:fldChar w:fldCharType="begin"/>
      </w:r>
      <w:r w:rsidR="08566031">
        <w:instrText xml:space="preserve"> XE "druhý averroismus:</w:instrText>
      </w:r>
      <w:r w:rsidR="08566031" w:rsidRPr="00AD5554">
        <w:rPr>
          <w:i/>
        </w:rPr>
        <w:instrText xml:space="preserve">sophistae </w:instrText>
      </w:r>
      <w:r w:rsidR="08566031">
        <w:rPr>
          <w:i/>
        </w:rPr>
        <w:instrText>Latini</w:instrText>
      </w:r>
      <w:r w:rsidR="08566031">
        <w:instrText xml:space="preserve">" </w:instrText>
      </w:r>
      <w:r w:rsidR="08566031">
        <w:rPr>
          <w:i/>
        </w:rPr>
        <w:fldChar w:fldCharType="end"/>
      </w:r>
      <w:r w:rsidR="08566031" w:rsidRPr="00273106">
        <w:t xml:space="preserve">. </w:t>
      </w:r>
      <w:r w:rsidR="00DB669B">
        <w:t>P</w:t>
      </w:r>
      <w:r w:rsidR="00DB669B" w:rsidRPr="00273106">
        <w:t>o vzoru klasických aristoteliků</w:t>
      </w:r>
      <w:r w:rsidR="00DB669B">
        <w:t xml:space="preserve"> sleduje </w:t>
      </w:r>
      <w:r w:rsidR="08566031" w:rsidRPr="00273106">
        <w:t>Albert kauzální půso</w:t>
      </w:r>
      <w:r w:rsidR="00DB669B">
        <w:t xml:space="preserve">bení, aby </w:t>
      </w:r>
      <w:r w:rsidR="00904DA8">
        <w:t xml:space="preserve">vědecky </w:t>
      </w:r>
      <w:r w:rsidR="00DB669B">
        <w:t xml:space="preserve">poznal duši </w:t>
      </w:r>
      <w:r w:rsidR="00041987">
        <w:t>v</w:t>
      </w:r>
      <w:r w:rsidR="08566031" w:rsidRPr="00273106">
        <w:t xml:space="preserve"> těle. </w:t>
      </w:r>
      <w:r w:rsidR="089B37B8">
        <w:t>Albert odmítl Gundissalinovu avicenni</w:t>
      </w:r>
      <w:r w:rsidR="08D55952">
        <w:t>sti</w:t>
      </w:r>
      <w:r w:rsidR="089B37B8">
        <w:t xml:space="preserve">ckou definici duše danou esenciálně a postavil se výklad Blundovy školy daný v Grossetesteho traktátu </w:t>
      </w:r>
      <w:r w:rsidR="089A1B6F">
        <w:rPr>
          <w:i/>
        </w:rPr>
        <w:t>De anima et de potenciis eius</w:t>
      </w:r>
      <w:r w:rsidR="089B37B8">
        <w:t xml:space="preserve">. </w:t>
      </w:r>
      <w:r w:rsidR="08A404F4">
        <w:t xml:space="preserve">Spis </w:t>
      </w:r>
      <w:r w:rsidR="08A404F4" w:rsidRPr="08A404F4">
        <w:rPr>
          <w:i/>
        </w:rPr>
        <w:t>De homi</w:t>
      </w:r>
      <w:r w:rsidR="08E02441" w:rsidRPr="08A404F4">
        <w:rPr>
          <w:i/>
        </w:rPr>
        <w:t>ne</w:t>
      </w:r>
      <w:r w:rsidR="08E02441">
        <w:t xml:space="preserve"> odmítl humanismus člověka-mrtvoly podle Toledské školy a prosadil v nové generaci </w:t>
      </w:r>
      <w:r w:rsidR="08A404F4">
        <w:t xml:space="preserve">žáků </w:t>
      </w:r>
      <w:r w:rsidR="08E02441">
        <w:t xml:space="preserve">Blundovy školy </w:t>
      </w:r>
      <w:r w:rsidR="08C908F2">
        <w:t>učení S</w:t>
      </w:r>
      <w:r w:rsidR="08E02441">
        <w:t>icilské školy</w:t>
      </w:r>
      <w:r w:rsidR="08C908F2">
        <w:t xml:space="preserve">. První averroismus brání pravdivou definici člověka </w:t>
      </w:r>
      <w:r w:rsidR="08E02441">
        <w:t xml:space="preserve">danou </w:t>
      </w:r>
      <w:r w:rsidR="08A57582">
        <w:t xml:space="preserve">v modu </w:t>
      </w:r>
      <w:r w:rsidR="08A57582" w:rsidRPr="08A57582">
        <w:rPr>
          <w:i/>
        </w:rPr>
        <w:t>proportio</w:t>
      </w:r>
      <w:r w:rsidR="08A57582">
        <w:t xml:space="preserve"> </w:t>
      </w:r>
      <w:r w:rsidR="08615753">
        <w:t>podle spisu</w:t>
      </w:r>
      <w:r w:rsidR="08E02441">
        <w:t xml:space="preserve"> CMDA. </w:t>
      </w:r>
      <w:r w:rsidR="00E66B3A">
        <w:t xml:space="preserve">Následný výklad </w:t>
      </w:r>
      <w:r w:rsidR="00835517" w:rsidRPr="00273106">
        <w:rPr>
          <w:i/>
        </w:rPr>
        <w:t>Oxfordian Fallacy</w:t>
      </w:r>
      <w:r w:rsidR="00835517" w:rsidRPr="00273106">
        <w:t xml:space="preserve"> ve druhém averroismu ukáže, že oba výklady </w:t>
      </w:r>
      <w:r w:rsidR="00835517" w:rsidRPr="00B0131B">
        <w:rPr>
          <w:i/>
        </w:rPr>
        <w:t>Druhých analytik</w:t>
      </w:r>
      <w:r w:rsidR="00835517" w:rsidRPr="00273106">
        <w:t xml:space="preserve"> </w:t>
      </w:r>
      <w:r w:rsidR="00B0131B">
        <w:t xml:space="preserve">zakládají metafyzicky </w:t>
      </w:r>
      <w:r w:rsidR="00835517" w:rsidRPr="00273106">
        <w:t>rozdílné pojetí člověka, protože termín „duše“ pro ně ne</w:t>
      </w:r>
      <w:r w:rsidR="00C96B82">
        <w:t>se odlišný význam.</w:t>
      </w:r>
      <w:r w:rsidR="088D0124">
        <w:t xml:space="preserve"> </w:t>
      </w:r>
      <w:r w:rsidR="009A5073" w:rsidRPr="00273106">
        <w:t xml:space="preserve">Úvod </w:t>
      </w:r>
      <w:r w:rsidR="009A5073" w:rsidRPr="00273106">
        <w:rPr>
          <w:i/>
        </w:rPr>
        <w:t>De</w:t>
      </w:r>
      <w:r w:rsidR="009A5073" w:rsidRPr="00273106">
        <w:t xml:space="preserve"> </w:t>
      </w:r>
      <w:r w:rsidR="009A5073" w:rsidRPr="00273106">
        <w:rPr>
          <w:i/>
        </w:rPr>
        <w:t>homine</w:t>
      </w:r>
      <w:r w:rsidR="081275E3">
        <w:t xml:space="preserve"> odmítl určení člověka </w:t>
      </w:r>
      <w:r w:rsidR="009A5073" w:rsidRPr="00273106">
        <w:t xml:space="preserve">skupiny </w:t>
      </w:r>
      <w:r w:rsidR="009A5073" w:rsidRPr="00273106">
        <w:rPr>
          <w:i/>
        </w:rPr>
        <w:t>Latinorum</w:t>
      </w:r>
      <w:r w:rsidR="081275E3">
        <w:t xml:space="preserve"> v naprosto zásadním</w:t>
      </w:r>
      <w:r w:rsidR="009A5073" w:rsidRPr="00273106">
        <w:t xml:space="preserve"> bod</w:t>
      </w:r>
      <w:r w:rsidR="081275E3">
        <w:t>ě</w:t>
      </w:r>
      <w:r w:rsidR="009A5073" w:rsidRPr="00273106">
        <w:t>. Signifikace středního členu soudu (</w:t>
      </w:r>
      <w:r w:rsidR="009A5073" w:rsidRPr="00273106">
        <w:rPr>
          <w:i/>
        </w:rPr>
        <w:t>medium</w:t>
      </w:r>
      <w:r w:rsidR="00610F15">
        <w:rPr>
          <w:i/>
        </w:rPr>
        <w:fldChar w:fldCharType="begin"/>
      </w:r>
      <w:r w:rsidR="00610F15">
        <w:instrText xml:space="preserve"> XE "</w:instrText>
      </w:r>
      <w:r w:rsidR="00610F15" w:rsidRPr="001618A5">
        <w:rPr>
          <w:i/>
        </w:rPr>
        <w:instrText>medium:</w:instrText>
      </w:r>
      <w:r w:rsidR="00610F15" w:rsidRPr="001618A5">
        <w:instrText>Albert</w:instrText>
      </w:r>
      <w:r w:rsidR="00610F15">
        <w:instrText xml:space="preserve">" </w:instrText>
      </w:r>
      <w:r w:rsidR="00610F15">
        <w:rPr>
          <w:i/>
        </w:rPr>
        <w:fldChar w:fldCharType="end"/>
      </w:r>
      <w:r w:rsidR="009A5073" w:rsidRPr="00273106">
        <w:t>) je u avicennistů dána pouze vzhledem k</w:t>
      </w:r>
      <w:r w:rsidR="00084553">
        <w:t> </w:t>
      </w:r>
      <w:r w:rsidR="009A5073" w:rsidRPr="00273106">
        <w:t>esenci</w:t>
      </w:r>
      <w:r w:rsidR="00084553">
        <w:t xml:space="preserve">. </w:t>
      </w:r>
      <w:r w:rsidR="00084553" w:rsidRPr="00084553">
        <w:t xml:space="preserve">Bohužel, pořadí poznání podle </w:t>
      </w:r>
      <w:r w:rsidR="00084553">
        <w:t xml:space="preserve">esence je v pořadí první triády vědeckého důkazu až úplně poslední člen. </w:t>
      </w:r>
      <w:r w:rsidR="009A5073" w:rsidRPr="00273106">
        <w:t>Albert chápe duši v rámci principu spojeného s kauzálně působící první substancí, protož</w:t>
      </w:r>
      <w:r w:rsidR="00D66F69">
        <w:t xml:space="preserve">e duše se poznává ve fenomenologickém modu </w:t>
      </w:r>
      <w:r w:rsidR="00201306">
        <w:t xml:space="preserve">bytí první substance </w:t>
      </w:r>
      <w:r w:rsidR="00850E11">
        <w:t>(</w:t>
      </w:r>
      <w:r w:rsidR="009A5073" w:rsidRPr="00273106">
        <w:rPr>
          <w:i/>
        </w:rPr>
        <w:t>esse corporis talis</w:t>
      </w:r>
      <w:r w:rsidR="00850E11">
        <w:t>)</w:t>
      </w:r>
      <w:r w:rsidR="00201306">
        <w:t>, který</w:t>
      </w:r>
      <w:r w:rsidR="00AD553C">
        <w:t xml:space="preserve"> odpovídá pojetí </w:t>
      </w:r>
      <w:r w:rsidR="00AD553C" w:rsidRPr="00AD553C">
        <w:rPr>
          <w:i/>
        </w:rPr>
        <w:t xml:space="preserve">tertium </w:t>
      </w:r>
      <w:r w:rsidR="00B1298A">
        <w:rPr>
          <w:i/>
        </w:rPr>
        <w:t>genus</w:t>
      </w:r>
      <w:r w:rsidR="00AD553C">
        <w:t xml:space="preserve"> v CMDA (</w:t>
      </w:r>
      <w:r w:rsidR="084A3480">
        <w:t xml:space="preserve">OBJ I, </w:t>
      </w:r>
      <w:r w:rsidR="00AD553C">
        <w:t xml:space="preserve">kap. 2.4.3). </w:t>
      </w:r>
      <w:r w:rsidR="0864502D" w:rsidRPr="00273106">
        <w:t xml:space="preserve">Realistické poznání se </w:t>
      </w:r>
      <w:r w:rsidR="0864502D" w:rsidRPr="00273106">
        <w:lastRenderedPageBreak/>
        <w:t xml:space="preserve">týká i určení kvantity jako určení první substance. Kvalita a kvantita patří pouze k první substanci a ne k hypostázované abstrakci, kterou </w:t>
      </w:r>
      <w:r w:rsidR="0864502D" w:rsidRPr="00273106">
        <w:rPr>
          <w:i/>
        </w:rPr>
        <w:t>Moderni</w:t>
      </w:r>
      <w:r w:rsidR="0864502D">
        <w:rPr>
          <w:i/>
        </w:rPr>
        <w:fldChar w:fldCharType="begin"/>
      </w:r>
      <w:r w:rsidR="0864502D">
        <w:instrText xml:space="preserve"> XE "těleso:třetího druhu" </w:instrText>
      </w:r>
      <w:r w:rsidR="0864502D">
        <w:rPr>
          <w:i/>
        </w:rPr>
        <w:fldChar w:fldCharType="end"/>
      </w:r>
      <w:r w:rsidR="0864502D" w:rsidRPr="00273106">
        <w:t xml:space="preserve"> berou za základ vědeckého poznání. </w:t>
      </w:r>
      <w:r w:rsidR="0864502D">
        <w:t xml:space="preserve">Porretánské pojetí </w:t>
      </w:r>
      <w:r w:rsidR="0864502D" w:rsidRPr="00273106">
        <w:t xml:space="preserve">rozsažnosti hypostázované v učení </w:t>
      </w:r>
      <w:r w:rsidR="0864502D" w:rsidRPr="00273106">
        <w:rPr>
          <w:i/>
        </w:rPr>
        <w:t>Nominales</w:t>
      </w:r>
      <w:r w:rsidR="0864502D" w:rsidRPr="00273106">
        <w:t xml:space="preserve"> je pro Alberta čistou abstrakcí, protože není schopno vidět výkon </w:t>
      </w:r>
      <w:r w:rsidR="0864502D">
        <w:t xml:space="preserve">reálné </w:t>
      </w:r>
      <w:r w:rsidR="0864502D" w:rsidRPr="00273106">
        <w:t>tělesné substance v její kauzalitě (</w:t>
      </w:r>
      <w:r w:rsidR="0864502D" w:rsidRPr="00273106">
        <w:rPr>
          <w:i/>
        </w:rPr>
        <w:t>passio</w:t>
      </w:r>
      <w:r w:rsidR="0864502D" w:rsidRPr="00273106">
        <w:t xml:space="preserve">). </w:t>
      </w:r>
      <w:r w:rsidR="009A5073" w:rsidRPr="00273106">
        <w:t xml:space="preserve">Výklad </w:t>
      </w:r>
      <w:r w:rsidR="009A5073" w:rsidRPr="00273106">
        <w:rPr>
          <w:i/>
        </w:rPr>
        <w:t>Latinorum</w:t>
      </w:r>
      <w:r w:rsidR="009A5073" w:rsidRPr="00273106">
        <w:t xml:space="preserve"> je odmítnut zásadním způsobem</w:t>
      </w:r>
      <w:r w:rsidR="08C15480">
        <w:t xml:space="preserve">, protože </w:t>
      </w:r>
      <w:r w:rsidR="009A5073" w:rsidRPr="00273106">
        <w:t>není reálný a tím ani dostat</w:t>
      </w:r>
      <w:r w:rsidR="08DE6FE1">
        <w:t xml:space="preserve">ečně vědecký. Moderní sofisté </w:t>
      </w:r>
      <w:r w:rsidR="009A5073" w:rsidRPr="00273106">
        <w:t xml:space="preserve">jdou k </w:t>
      </w:r>
      <w:r w:rsidR="08DE6FE1">
        <w:t>„</w:t>
      </w:r>
      <w:r w:rsidR="009A5073" w:rsidRPr="00273106">
        <w:t>věcem samým</w:t>
      </w:r>
      <w:r w:rsidR="08DE6FE1">
        <w:t>“ jako esencím</w:t>
      </w:r>
      <w:r w:rsidR="009A5073" w:rsidRPr="00273106">
        <w:t xml:space="preserve">, </w:t>
      </w:r>
      <w:r w:rsidR="00342604">
        <w:t xml:space="preserve">protože jim </w:t>
      </w:r>
      <w:r w:rsidR="009A5073" w:rsidRPr="00273106">
        <w:t xml:space="preserve">stačí jistota </w:t>
      </w:r>
      <w:r w:rsidR="009A5073" w:rsidRPr="00273106">
        <w:rPr>
          <w:i/>
        </w:rPr>
        <w:t>simpliciter</w:t>
      </w:r>
      <w:r w:rsidR="009A5073" w:rsidRPr="00273106">
        <w:t xml:space="preserve"> daná na úrovni </w:t>
      </w:r>
      <w:r w:rsidR="00E02E2A" w:rsidRPr="00E02E2A">
        <w:t>species</w:t>
      </w:r>
      <w:r w:rsidR="007154B3">
        <w:t xml:space="preserve"> či postmoderních noemat</w:t>
      </w:r>
      <w:r w:rsidR="009A5073" w:rsidRPr="00273106">
        <w:t>. Poznání duše nemůže zajistit plnost vědecké pravdy skrze abstraktní zkušenost „létajícího muže</w:t>
      </w:r>
      <w:r w:rsidR="00652149">
        <w:fldChar w:fldCharType="begin"/>
      </w:r>
      <w:r w:rsidR="00652149">
        <w:instrText xml:space="preserve"> XE "</w:instrText>
      </w:r>
      <w:r w:rsidR="00652149" w:rsidRPr="00FC391D">
        <w:rPr>
          <w:rStyle w:val="FontStyle129"/>
          <w:rFonts w:ascii="Calibri" w:hAnsi="Calibri"/>
          <w:sz w:val="24"/>
        </w:rPr>
        <w:instrText>létající muž</w:instrText>
      </w:r>
      <w:r w:rsidR="00652149">
        <w:instrText xml:space="preserve">" </w:instrText>
      </w:r>
      <w:r w:rsidR="00652149">
        <w:fldChar w:fldCharType="end"/>
      </w:r>
      <w:r w:rsidR="009A5073" w:rsidRPr="00273106">
        <w:t xml:space="preserve">“ koncipovaného Avicennou nebo skrze oddělenou výlučnost Descartovy </w:t>
      </w:r>
      <w:r w:rsidR="009A5073" w:rsidRPr="00273106">
        <w:rPr>
          <w:i/>
        </w:rPr>
        <w:t>res cogitans</w:t>
      </w:r>
      <w:r w:rsidR="009A1BD1">
        <w:rPr>
          <w:i/>
        </w:rPr>
        <w:fldChar w:fldCharType="begin"/>
      </w:r>
      <w:r w:rsidR="009A1BD1">
        <w:instrText xml:space="preserve"> XE "</w:instrText>
      </w:r>
      <w:r w:rsidR="009A1BD1" w:rsidRPr="003F49D8">
        <w:rPr>
          <w:i/>
        </w:rPr>
        <w:instrText>res cogitans</w:instrText>
      </w:r>
      <w:r w:rsidR="009A1BD1">
        <w:instrText xml:space="preserve">" </w:instrText>
      </w:r>
      <w:r w:rsidR="009A1BD1">
        <w:rPr>
          <w:i/>
        </w:rPr>
        <w:fldChar w:fldCharType="end"/>
      </w:r>
      <w:r w:rsidR="088D0124">
        <w:t xml:space="preserve"> rehabilitované Husserlem.</w:t>
      </w:r>
    </w:p>
    <w:p w14:paraId="7C65D142" w14:textId="77777777" w:rsidR="002B05D1" w:rsidRPr="00273106" w:rsidRDefault="00654441" w:rsidP="088D0124">
      <w:pPr>
        <w:ind w:firstLine="397"/>
      </w:pPr>
      <w:r w:rsidRPr="00273106">
        <w:t xml:space="preserve">V dekádě následující </w:t>
      </w:r>
      <w:r w:rsidR="00F61108" w:rsidRPr="00273106">
        <w:t xml:space="preserve">vydání </w:t>
      </w:r>
      <w:r w:rsidR="00F61108" w:rsidRPr="00273106">
        <w:rPr>
          <w:i/>
        </w:rPr>
        <w:t>De homine</w:t>
      </w:r>
      <w:r w:rsidR="082B2E29">
        <w:t xml:space="preserve"> </w:t>
      </w:r>
      <w:r w:rsidR="00221596" w:rsidRPr="00273106">
        <w:t xml:space="preserve">Albert </w:t>
      </w:r>
      <w:r w:rsidR="082B2E29">
        <w:t>zahajuje přímou polemiku</w:t>
      </w:r>
      <w:r w:rsidR="00221596" w:rsidRPr="00273106">
        <w:t xml:space="preserve"> s</w:t>
      </w:r>
      <w:r w:rsidR="00F11DA6" w:rsidRPr="00273106">
        <w:t xml:space="preserve"> představiteli druhé</w:t>
      </w:r>
      <w:r w:rsidR="0097614F" w:rsidRPr="00273106">
        <w:t>ho</w:t>
      </w:r>
      <w:r w:rsidR="00F11DA6" w:rsidRPr="00273106">
        <w:t xml:space="preserve"> averroismu</w:t>
      </w:r>
      <w:r w:rsidR="00221596" w:rsidRPr="00273106">
        <w:t xml:space="preserve">, což ukazuje </w:t>
      </w:r>
      <w:r w:rsidR="08B86E47">
        <w:t xml:space="preserve">výše citovaný </w:t>
      </w:r>
      <w:r w:rsidR="00221596" w:rsidRPr="00273106">
        <w:t xml:space="preserve">komentář ke </w:t>
      </w:r>
      <w:r w:rsidR="00221596" w:rsidRPr="00572CE4">
        <w:rPr>
          <w:i/>
        </w:rPr>
        <w:t>Druhým analytikám</w:t>
      </w:r>
      <w:r w:rsidR="00221596" w:rsidRPr="00273106">
        <w:t xml:space="preserve"> (kolem 1255‒57). V téže době vznikají i komentáře k </w:t>
      </w:r>
      <w:r w:rsidR="00B713C5">
        <w:rPr>
          <w:i/>
        </w:rPr>
        <w:t>De anima</w:t>
      </w:r>
      <w:r w:rsidR="00221596" w:rsidRPr="00273106">
        <w:t>, v nichž Albert formuluje zásadní odmítnutí výkladu intelektu a duše předkládaných v rámci</w:t>
      </w:r>
      <w:r w:rsidR="00572CE4">
        <w:t xml:space="preserve"> odmítnutého </w:t>
      </w:r>
      <w:r w:rsidR="00221596" w:rsidRPr="00273106">
        <w:rPr>
          <w:i/>
        </w:rPr>
        <w:t>opinio Latinorum</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00572CE4">
        <w:t xml:space="preserve"> </w:t>
      </w:r>
      <w:r w:rsidR="0010046C" w:rsidRPr="00273106">
        <w:t>(</w:t>
      </w:r>
      <w:r w:rsidR="08077DF2">
        <w:t>kap. 2</w:t>
      </w:r>
      <w:r w:rsidR="00F823D4" w:rsidRPr="00273106">
        <w:t>.4</w:t>
      </w:r>
      <w:r w:rsidR="00221596" w:rsidRPr="00273106">
        <w:t xml:space="preserve">.3). Kilwardbyho komentář ke </w:t>
      </w:r>
      <w:r w:rsidR="00221596" w:rsidRPr="00572CE4">
        <w:rPr>
          <w:i/>
        </w:rPr>
        <w:t>Druhým analytikám</w:t>
      </w:r>
      <w:r w:rsidR="00221596" w:rsidRPr="00273106">
        <w:t xml:space="preserve"> vznikl možná v Paříži a v</w:t>
      </w:r>
      <w:r w:rsidR="08576D46" w:rsidRPr="00273106">
        <w:t xml:space="preserve">e stejné </w:t>
      </w:r>
      <w:r w:rsidR="00221596" w:rsidRPr="00273106">
        <w:t xml:space="preserve">době jako </w:t>
      </w:r>
      <w:r w:rsidR="009C2A1B">
        <w:t xml:space="preserve">Albertův </w:t>
      </w:r>
      <w:r w:rsidR="00221596" w:rsidRPr="00273106">
        <w:t xml:space="preserve">spis </w:t>
      </w:r>
      <w:r w:rsidR="00221596" w:rsidRPr="00273106">
        <w:rPr>
          <w:i/>
        </w:rPr>
        <w:t>De homine</w:t>
      </w:r>
      <w:r w:rsidR="00221596" w:rsidRPr="00273106">
        <w:t xml:space="preserve"> </w:t>
      </w:r>
      <w:r w:rsidR="003229FD" w:rsidRPr="00273106">
        <w:t xml:space="preserve">(kap. </w:t>
      </w:r>
      <w:r w:rsidR="08077DF2">
        <w:t>3</w:t>
      </w:r>
      <w:r w:rsidR="003229FD" w:rsidRPr="00273106">
        <w:t>.4</w:t>
      </w:r>
      <w:r w:rsidR="08576D46" w:rsidRPr="00273106">
        <w:t>.1</w:t>
      </w:r>
      <w:r w:rsidR="00221596" w:rsidRPr="00273106">
        <w:t xml:space="preserve">). Kilwardby zredukoval šest principů poznání v rámci </w:t>
      </w:r>
      <w:r w:rsidR="00221596" w:rsidRPr="00273106">
        <w:rPr>
          <w:i/>
        </w:rPr>
        <w:t>demonstratio</w:t>
      </w:r>
      <w:r w:rsidR="007A6052">
        <w:rPr>
          <w:i/>
        </w:rPr>
        <w:fldChar w:fldCharType="begin"/>
      </w:r>
      <w:r w:rsidR="007A6052">
        <w:instrText xml:space="preserve"> XE "</w:instrText>
      </w:r>
      <w:r w:rsidR="007A6052" w:rsidRPr="004E6075">
        <w:rPr>
          <w:i/>
        </w:rPr>
        <w:instrText>demonstratio:</w:instrText>
      </w:r>
      <w:r w:rsidR="00DB2D8F" w:rsidRPr="00DB2D8F">
        <w:instrText>Kilwardby</w:instrText>
      </w:r>
      <w:r w:rsidR="007A6052">
        <w:instrText xml:space="preserve">" </w:instrText>
      </w:r>
      <w:r w:rsidR="007A6052">
        <w:rPr>
          <w:i/>
        </w:rPr>
        <w:fldChar w:fldCharType="end"/>
      </w:r>
      <w:r w:rsidR="00221596" w:rsidRPr="00273106">
        <w:t xml:space="preserve"> na pouhé tři</w:t>
      </w:r>
      <w:r w:rsidR="00050675" w:rsidRPr="00273106">
        <w:t xml:space="preserve">. Tím </w:t>
      </w:r>
      <w:r w:rsidR="00221596" w:rsidRPr="00273106">
        <w:t xml:space="preserve">zmizely </w:t>
      </w:r>
      <w:r w:rsidR="003A4A89" w:rsidRPr="00273106">
        <w:t xml:space="preserve">z jeho výkladu </w:t>
      </w:r>
      <w:r w:rsidR="003A4A89" w:rsidRPr="00572CE4">
        <w:rPr>
          <w:i/>
        </w:rPr>
        <w:t>Druhých analytik</w:t>
      </w:r>
      <w:r w:rsidR="003A4A89" w:rsidRPr="00273106">
        <w:t xml:space="preserve"> základní tři </w:t>
      </w:r>
      <w:r w:rsidR="00221596" w:rsidRPr="00273106">
        <w:t xml:space="preserve">principy vztahující </w:t>
      </w:r>
      <w:r w:rsidR="00CE04B6" w:rsidRPr="00273106">
        <w:rPr>
          <w:i/>
        </w:rPr>
        <w:t>demonstrat</w:t>
      </w:r>
      <w:r w:rsidR="00221596" w:rsidRPr="00273106">
        <w:rPr>
          <w:i/>
        </w:rPr>
        <w:t>io</w:t>
      </w:r>
      <w:r w:rsidR="00221596" w:rsidRPr="00273106">
        <w:t xml:space="preserve"> k poznání první substance (</w:t>
      </w:r>
      <w:r w:rsidR="00221596" w:rsidRPr="00273106">
        <w:rPr>
          <w:i/>
        </w:rPr>
        <w:t>ex veris, et primis et inmediatis</w:t>
      </w:r>
      <w:r w:rsidR="00DB2D8F">
        <w:rPr>
          <w:i/>
        </w:rPr>
        <w:fldChar w:fldCharType="begin"/>
      </w:r>
      <w:r w:rsidR="00DB2D8F">
        <w:instrText xml:space="preserve"> XE "</w:instrText>
      </w:r>
      <w:r w:rsidR="00DB2D8F" w:rsidRPr="005204DC">
        <w:instrText xml:space="preserve">princip </w:instrText>
      </w:r>
      <w:r w:rsidR="08D91F67">
        <w:rPr>
          <w:i/>
        </w:rPr>
        <w:instrText>ex in</w:instrText>
      </w:r>
      <w:r w:rsidR="00DB2D8F" w:rsidRPr="003E12EB">
        <w:rPr>
          <w:i/>
        </w:rPr>
        <w:instrText>mediatis</w:instrText>
      </w:r>
      <w:r w:rsidR="00DB2D8F">
        <w:instrText xml:space="preserve">" </w:instrText>
      </w:r>
      <w:r w:rsidR="00DB2D8F">
        <w:rPr>
          <w:i/>
        </w:rPr>
        <w:fldChar w:fldCharType="end"/>
      </w:r>
      <w:r w:rsidR="00221596" w:rsidRPr="00273106">
        <w:t xml:space="preserve">). </w:t>
      </w:r>
      <w:r w:rsidR="00A05748" w:rsidRPr="00273106">
        <w:t xml:space="preserve">Tento výklad poprvé zavedl Robert Grosseteste na Oxfordu kolem 1230 v rámci dále analyzované </w:t>
      </w:r>
      <w:r w:rsidR="00A05748" w:rsidRPr="00273106">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15798D">
        <w:instrText>původ</w:instrText>
      </w:r>
      <w:r w:rsidR="00924399">
        <w:instrText xml:space="preserve">" </w:instrText>
      </w:r>
      <w:r w:rsidR="00924399">
        <w:rPr>
          <w:i/>
        </w:rPr>
        <w:fldChar w:fldCharType="end"/>
      </w:r>
      <w:r w:rsidR="00A05748" w:rsidRPr="00273106">
        <w:t xml:space="preserve">. </w:t>
      </w:r>
      <w:r w:rsidR="08443B54" w:rsidRPr="00273106">
        <w:t xml:space="preserve">Albertův komentář ke </w:t>
      </w:r>
      <w:r w:rsidR="08443B54" w:rsidRPr="00DB4F65">
        <w:rPr>
          <w:i/>
        </w:rPr>
        <w:t>Druhým analytikám</w:t>
      </w:r>
      <w:r w:rsidR="08443B54" w:rsidRPr="00273106">
        <w:t xml:space="preserve"> opakuje argumentační pozici spisu </w:t>
      </w:r>
      <w:r w:rsidR="08443B54" w:rsidRPr="00273106">
        <w:rPr>
          <w:i/>
        </w:rPr>
        <w:t>De homine</w:t>
      </w:r>
      <w:r w:rsidR="08443B54" w:rsidRPr="00273106">
        <w:t>, kterou jsme komentovali výše.</w:t>
      </w:r>
      <w:r w:rsidR="08443B54">
        <w:t xml:space="preserve"> </w:t>
      </w:r>
      <w:r w:rsidR="00967347">
        <w:t>S</w:t>
      </w:r>
      <w:r w:rsidR="00967347" w:rsidRPr="00273106">
        <w:t xml:space="preserve">pis odmítne </w:t>
      </w:r>
      <w:r w:rsidR="00221596" w:rsidRPr="00273106">
        <w:t xml:space="preserve">s odvoláním na </w:t>
      </w:r>
      <w:r w:rsidR="002E3B62">
        <w:t>Averroes</w:t>
      </w:r>
      <w:r w:rsidR="00221596" w:rsidRPr="00273106">
        <w:t xml:space="preserve">e, Avicennu a všechny peripatetiky statut univerzálií jako </w:t>
      </w:r>
      <w:r w:rsidR="00221596" w:rsidRPr="00273106">
        <w:rPr>
          <w:i/>
        </w:rPr>
        <w:t>tertium ens</w:t>
      </w:r>
      <w:r w:rsidR="00221596" w:rsidRPr="00273106">
        <w:t xml:space="preserve">. Vyhlášení filosofické války druhému averroismu </w:t>
      </w:r>
      <w:r w:rsidR="00C7727B">
        <w:t xml:space="preserve">v Albertově komentáři ke </w:t>
      </w:r>
      <w:r w:rsidR="00C7727B" w:rsidRPr="00C7727B">
        <w:rPr>
          <w:i/>
        </w:rPr>
        <w:t>Druhým analytikám</w:t>
      </w:r>
      <w:r w:rsidR="00C7727B">
        <w:t xml:space="preserve"> </w:t>
      </w:r>
      <w:r w:rsidR="00221596" w:rsidRPr="00273106">
        <w:t>vypadá následovně.</w:t>
      </w:r>
    </w:p>
    <w:p w14:paraId="6919D5BF" w14:textId="489E5631" w:rsidR="00221596" w:rsidRPr="00273106" w:rsidRDefault="00221596" w:rsidP="004C324C">
      <w:pPr>
        <w:pStyle w:val="Citace"/>
        <w:rPr>
          <w:rStyle w:val="Zkladntext1"/>
          <w:rFonts w:ascii="Calibri" w:eastAsia="Times" w:hAnsi="Calibri"/>
          <w:spacing w:val="0"/>
          <w:sz w:val="22"/>
          <w:szCs w:val="20"/>
          <w:u w:val="none"/>
          <w:lang w:val="cs-CZ"/>
        </w:rPr>
      </w:pPr>
      <w:r w:rsidRPr="004C324C">
        <w:t>„</w:t>
      </w:r>
      <w:r w:rsidR="007333E5" w:rsidRPr="004C324C">
        <w:t>Ať si říká, kdo chce co chce</w:t>
      </w:r>
      <w:r w:rsidR="00DB4F65">
        <w:rPr>
          <w:lang w:val="cs-CZ"/>
        </w:rPr>
        <w:t xml:space="preserve"> a </w:t>
      </w:r>
      <w:r w:rsidR="007333E5" w:rsidRPr="004C324C">
        <w:t xml:space="preserve">nechci </w:t>
      </w:r>
      <w:r w:rsidR="00142D26" w:rsidRPr="004C324C">
        <w:t xml:space="preserve">nikomu </w:t>
      </w:r>
      <w:r w:rsidR="007333E5" w:rsidRPr="004C324C">
        <w:t>vnucov</w:t>
      </w:r>
      <w:r w:rsidR="00BC722C" w:rsidRPr="004C324C">
        <w:t xml:space="preserve">at svůj názor, jak </w:t>
      </w:r>
      <w:r w:rsidR="007333E5" w:rsidRPr="004C324C">
        <w:t xml:space="preserve">rozumím Aristotelovi. Ale absolutně nerozumím </w:t>
      </w:r>
      <w:r w:rsidR="000B6FB1">
        <w:rPr>
          <w:lang w:val="cs-CZ"/>
        </w:rPr>
        <w:t xml:space="preserve">tvrzení </w:t>
      </w:r>
      <w:r w:rsidR="000B6FB1">
        <w:t>tě</w:t>
      </w:r>
      <w:r w:rsidR="000B6FB1">
        <w:rPr>
          <w:lang w:val="cs-CZ"/>
        </w:rPr>
        <w:t>ch</w:t>
      </w:r>
      <w:r w:rsidR="007333E5" w:rsidRPr="004C324C">
        <w:t xml:space="preserve">, kteří </w:t>
      </w:r>
      <w:r w:rsidR="000B6FB1">
        <w:rPr>
          <w:lang w:val="cs-CZ"/>
        </w:rPr>
        <w:t>říkají</w:t>
      </w:r>
      <w:r w:rsidR="007333E5" w:rsidRPr="004C324C">
        <w:t xml:space="preserve">, že univerzálie je v intelektu jako </w:t>
      </w:r>
      <w:r w:rsidR="089C04E8">
        <w:rPr>
          <w:lang w:val="cs-CZ"/>
        </w:rPr>
        <w:t xml:space="preserve">substrátu </w:t>
      </w:r>
      <w:r w:rsidR="007333E5" w:rsidRPr="004C324C">
        <w:t xml:space="preserve">dána </w:t>
      </w:r>
      <w:r w:rsidR="08E1357F">
        <w:rPr>
          <w:lang w:val="cs-CZ"/>
        </w:rPr>
        <w:t xml:space="preserve">na způsob </w:t>
      </w:r>
      <w:r w:rsidR="007333E5" w:rsidRPr="004C324C">
        <w:t xml:space="preserve">bytí </w:t>
      </w:r>
      <w:r w:rsidR="00254F20">
        <w:rPr>
          <w:lang w:val="cs-CZ"/>
        </w:rPr>
        <w:t xml:space="preserve">hylemorfického individua </w:t>
      </w:r>
      <w:r w:rsidR="00254F20">
        <w:rPr>
          <w:lang w:val="de-LU"/>
        </w:rPr>
        <w:t>(</w:t>
      </w:r>
      <w:r w:rsidR="00254F20" w:rsidRPr="00085A07">
        <w:rPr>
          <w:i/>
        </w:rPr>
        <w:t>individuum esse</w:t>
      </w:r>
      <w:r w:rsidR="00254F20">
        <w:rPr>
          <w:lang w:val="de-LU"/>
        </w:rPr>
        <w:t>)</w:t>
      </w:r>
      <w:r w:rsidR="007333E5" w:rsidRPr="004C324C">
        <w:t>.“</w:t>
      </w:r>
      <w:r w:rsidR="007333E5" w:rsidRPr="00273106">
        <w:t xml:space="preserve"> </w:t>
      </w:r>
      <w:r w:rsidR="007333E5" w:rsidRPr="00273106">
        <w:rPr>
          <w:rStyle w:val="Znakapoznpodarou"/>
          <w:sz w:val="21"/>
          <w:szCs w:val="17"/>
        </w:rPr>
        <w:footnoteReference w:id="222"/>
      </w:r>
    </w:p>
    <w:p w14:paraId="1F29FB7F" w14:textId="4F99D786" w:rsidR="00473729" w:rsidRPr="00273106" w:rsidRDefault="08443B54" w:rsidP="00221596">
      <w:r w:rsidRPr="00273106">
        <w:lastRenderedPageBreak/>
        <w:t xml:space="preserve">Zmíněná kapitola se detailně zabývá redukcí principů poznání, kterou převzal jak Rufus, tak Kilwardby. </w:t>
      </w:r>
      <w:r w:rsidR="00744BCB">
        <w:t xml:space="preserve">Jejich </w:t>
      </w:r>
      <w:r w:rsidR="004F1B5E" w:rsidRPr="00273106">
        <w:t xml:space="preserve">výklad </w:t>
      </w:r>
      <w:r w:rsidR="004E5AD6" w:rsidRPr="004E5AD6">
        <w:rPr>
          <w:i/>
        </w:rPr>
        <w:t>Druhých a</w:t>
      </w:r>
      <w:r w:rsidR="004F1B5E" w:rsidRPr="004E5AD6">
        <w:rPr>
          <w:i/>
        </w:rPr>
        <w:t>nalytik</w:t>
      </w:r>
      <w:r w:rsidR="004F1B5E" w:rsidRPr="00273106">
        <w:t xml:space="preserve"> </w:t>
      </w:r>
      <w:r w:rsidR="00744BCB">
        <w:t>udělal</w:t>
      </w:r>
      <w:r w:rsidR="004E5AD6">
        <w:t xml:space="preserve"> </w:t>
      </w:r>
      <w:r w:rsidR="004F1B5E" w:rsidRPr="00273106">
        <w:t>z univerzálií druh individuální substance</w:t>
      </w:r>
      <w:r w:rsidR="00A70FA4">
        <w:fldChar w:fldCharType="begin"/>
      </w:r>
      <w:r w:rsidR="00A70FA4">
        <w:instrText xml:space="preserve"> XE "</w:instrText>
      </w:r>
      <w:r w:rsidR="00A70FA4" w:rsidRPr="00DE2A32">
        <w:instrText>substance</w:instrText>
      </w:r>
      <w:r w:rsidR="008F1CF2">
        <w:instrText>:druhý averroismus</w:instrText>
      </w:r>
      <w:r w:rsidR="00A70FA4">
        <w:instrText xml:space="preserve">" </w:instrText>
      </w:r>
      <w:r w:rsidR="00A70FA4">
        <w:fldChar w:fldCharType="end"/>
      </w:r>
      <w:r w:rsidR="004F1B5E" w:rsidRPr="00273106">
        <w:t xml:space="preserve">, která je obsažena v intelektu jako </w:t>
      </w:r>
      <w:r w:rsidR="00744BCB">
        <w:t>hyparchickém subjektu</w:t>
      </w:r>
      <w:r w:rsidR="004C324C">
        <w:t xml:space="preserve"> </w:t>
      </w:r>
      <w:r w:rsidR="004F1B5E" w:rsidRPr="00273106">
        <w:t>(</w:t>
      </w:r>
      <w:r w:rsidR="004F1B5E" w:rsidRPr="00273106">
        <w:rPr>
          <w:i/>
        </w:rPr>
        <w:t>individuum esse in intellectu sicut in subiecto</w:t>
      </w:r>
      <w:r w:rsidR="004F1B5E" w:rsidRPr="00273106">
        <w:t xml:space="preserve">). </w:t>
      </w:r>
      <w:r w:rsidR="004E5AD6">
        <w:t>Za stejný omyl kritiz</w:t>
      </w:r>
      <w:r w:rsidR="00703165">
        <w:t>oval Al</w:t>
      </w:r>
      <w:r w:rsidR="08FE54E1">
        <w:t>vernus školu Gramatiků. J</w:t>
      </w:r>
      <w:r w:rsidR="00FE18EF">
        <w:t xml:space="preserve">edinečné </w:t>
      </w:r>
      <w:r w:rsidR="00703165">
        <w:t xml:space="preserve">bytí </w:t>
      </w:r>
      <w:r w:rsidR="00703165" w:rsidRPr="00273106">
        <w:t xml:space="preserve">v </w:t>
      </w:r>
      <w:r w:rsidR="00703165">
        <w:t xml:space="preserve">první </w:t>
      </w:r>
      <w:r w:rsidR="00703165" w:rsidRPr="00273106">
        <w:t>substanci (</w:t>
      </w:r>
      <w:r w:rsidR="00703165" w:rsidRPr="00273106">
        <w:rPr>
          <w:i/>
        </w:rPr>
        <w:t>esse in subjecto</w:t>
      </w:r>
      <w:r w:rsidR="00703165" w:rsidRPr="00273106">
        <w:t>) není tot</w:t>
      </w:r>
      <w:r w:rsidR="00703165">
        <w:t xml:space="preserve">éž jako inherence </w:t>
      </w:r>
      <w:r w:rsidR="0070130E">
        <w:t xml:space="preserve">univerzálního </w:t>
      </w:r>
      <w:r w:rsidR="00703165" w:rsidRPr="00273106">
        <w:t xml:space="preserve">akcidentu v </w:t>
      </w:r>
      <w:r w:rsidR="0070130E">
        <w:t xml:space="preserve">univerzálním </w:t>
      </w:r>
      <w:r w:rsidR="00703165" w:rsidRPr="00273106">
        <w:t xml:space="preserve">subjektu </w:t>
      </w:r>
      <w:r w:rsidR="00703165">
        <w:t xml:space="preserve">výpovědi </w:t>
      </w:r>
      <w:r w:rsidR="00703165" w:rsidRPr="00273106">
        <w:t>(</w:t>
      </w:r>
      <w:r w:rsidR="00703165" w:rsidRPr="00273106">
        <w:rPr>
          <w:i/>
        </w:rPr>
        <w:t>non est inhaerere subjecto</w:t>
      </w:r>
      <w:r w:rsidR="08A37B5A">
        <w:t>, kap. 2</w:t>
      </w:r>
      <w:r w:rsidR="00703165" w:rsidRPr="00703165">
        <w:t>.3.2).</w:t>
      </w:r>
      <w:r w:rsidR="00703165">
        <w:t xml:space="preserve"> </w:t>
      </w:r>
      <w:r w:rsidR="00221596" w:rsidRPr="00273106">
        <w:t xml:space="preserve">Albert </w:t>
      </w:r>
      <w:r w:rsidR="00703165">
        <w:t xml:space="preserve">stejně jako Alvernus </w:t>
      </w:r>
      <w:r w:rsidR="00221596" w:rsidRPr="00273106">
        <w:t xml:space="preserve">jasně odmítá statut univerzália jako </w:t>
      </w:r>
      <w:r w:rsidR="00221596"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8F1CF2" w:rsidRPr="008F1CF2">
        <w:rPr>
          <w:rStyle w:val="Zvraznn"/>
          <w:i w:val="0"/>
        </w:rPr>
        <w:instrText>:kritika Alberta</w:instrText>
      </w:r>
      <w:r w:rsidR="003F16A5">
        <w:instrText xml:space="preserve">" </w:instrText>
      </w:r>
      <w:r w:rsidR="003F16A5">
        <w:rPr>
          <w:i/>
        </w:rPr>
        <w:fldChar w:fldCharType="end"/>
      </w:r>
      <w:r w:rsidR="00F962F1">
        <w:t xml:space="preserve">, protože </w:t>
      </w:r>
      <w:r w:rsidR="00221596" w:rsidRPr="00273106">
        <w:t xml:space="preserve">modernisté </w:t>
      </w:r>
      <w:r w:rsidR="00F962F1">
        <w:t xml:space="preserve">chápou individuum dané v mysli </w:t>
      </w:r>
      <w:r w:rsidR="00221596" w:rsidRPr="00273106">
        <w:t xml:space="preserve">na způsob </w:t>
      </w:r>
      <w:r w:rsidR="00DD0EB6">
        <w:t xml:space="preserve">porretánské </w:t>
      </w:r>
      <w:r w:rsidR="00F962F1">
        <w:t xml:space="preserve">první </w:t>
      </w:r>
      <w:r w:rsidR="00221596" w:rsidRPr="00273106">
        <w:t>substance (</w:t>
      </w:r>
      <w:r w:rsidR="00221596" w:rsidRPr="00273106">
        <w:rPr>
          <w:i/>
        </w:rPr>
        <w:t>universale per esse individuum esse</w:t>
      </w:r>
      <w:r w:rsidR="00221596" w:rsidRPr="00273106">
        <w:t xml:space="preserve">). Úvod k </w:t>
      </w:r>
      <w:r w:rsidR="00221596" w:rsidRPr="00273106">
        <w:rPr>
          <w:i/>
        </w:rPr>
        <w:t>De homine</w:t>
      </w:r>
      <w:r w:rsidR="00221596" w:rsidRPr="00273106">
        <w:t xml:space="preserve"> ukázal, že celý spor se bude týkat statutu </w:t>
      </w:r>
      <w:r w:rsidR="00E02E2A" w:rsidRPr="00E02E2A">
        <w:t>species</w:t>
      </w:r>
      <w:r w:rsidR="00221596" w:rsidRPr="00273106">
        <w:t xml:space="preserve">, což komentář ke </w:t>
      </w:r>
      <w:r w:rsidR="00221596" w:rsidRPr="00250BB0">
        <w:rPr>
          <w:i/>
        </w:rPr>
        <w:t>Druhým analytikám</w:t>
      </w:r>
      <w:r w:rsidR="00221596" w:rsidRPr="00273106">
        <w:t xml:space="preserve"> jasně </w:t>
      </w:r>
      <w:r w:rsidR="002473A5">
        <w:t xml:space="preserve">znovu analyzuje. Albert bere metafyziku Komentátora </w:t>
      </w:r>
      <w:r w:rsidR="008F43BF" w:rsidRPr="00273106">
        <w:t>proti Theofrastovi, který obhajoval přímé nazírání forem v receptivním intelektu</w:t>
      </w:r>
      <w:r w:rsidR="002473A5">
        <w:t>. K</w:t>
      </w:r>
      <w:r w:rsidR="008F43BF" w:rsidRPr="00273106">
        <w:t xml:space="preserve">omentář </w:t>
      </w:r>
      <w:r w:rsidR="002473A5">
        <w:t xml:space="preserve">definuje </w:t>
      </w:r>
      <w:r w:rsidR="008F43BF" w:rsidRPr="00273106">
        <w:t>jasný rozdíl</w:t>
      </w:r>
      <w:r w:rsidR="00AB0035" w:rsidRPr="00273106">
        <w:t xml:space="preserve"> mezi bytím univerzálie a mezi reálnou substancí</w:t>
      </w:r>
      <w:r w:rsidR="008F43BF" w:rsidRPr="00273106">
        <w:t>.</w:t>
      </w:r>
      <w:r w:rsidR="00A8505E" w:rsidRPr="00273106">
        <w:t xml:space="preserve"> Abstrahované obsahy intelektu jsou univerzálně daným poznáním reálných věcí.</w:t>
      </w:r>
    </w:p>
    <w:p w14:paraId="28A1FB53" w14:textId="5817EC28" w:rsidR="00E8792B" w:rsidRPr="00273106" w:rsidRDefault="002C28C8" w:rsidP="00E8792B">
      <w:pPr>
        <w:pStyle w:val="Citace"/>
        <w:rPr>
          <w:noProof/>
          <w:lang w:val="cs-CZ"/>
        </w:rPr>
      </w:pPr>
      <w:r>
        <w:rPr>
          <w:noProof/>
          <w:lang w:val="cs-CZ"/>
        </w:rPr>
        <w:t>„</w:t>
      </w:r>
      <w:r w:rsidR="00E02E2A" w:rsidRPr="00E02E2A">
        <w:rPr>
          <w:noProof/>
          <w:lang w:val="cs-CZ"/>
        </w:rPr>
        <w:t>Species</w:t>
      </w:r>
      <w:r w:rsidR="00925920">
        <w:rPr>
          <w:noProof/>
          <w:lang w:val="cs-CZ"/>
        </w:rPr>
        <w:t xml:space="preserve"> </w:t>
      </w:r>
      <w:r w:rsidR="00EC4893" w:rsidRPr="00273106">
        <w:rPr>
          <w:noProof/>
          <w:lang w:val="cs-CZ"/>
        </w:rPr>
        <w:t xml:space="preserve">intelektu </w:t>
      </w:r>
      <w:r w:rsidR="00E8792B" w:rsidRPr="00273106">
        <w:rPr>
          <w:noProof/>
          <w:lang w:val="cs-CZ"/>
        </w:rPr>
        <w:t>je porozumění intelektu; co je pochopeno intelektem</w:t>
      </w:r>
      <w:r w:rsidR="08305BC7">
        <w:rPr>
          <w:noProof/>
          <w:lang w:val="cs-CZ"/>
        </w:rPr>
        <w:t xml:space="preserve"> </w:t>
      </w:r>
      <w:r w:rsidR="08305BC7" w:rsidRPr="08305BC7">
        <w:rPr>
          <w:lang w:val="cs-CZ"/>
        </w:rPr>
        <w:t>(</w:t>
      </w:r>
      <w:r w:rsidR="08305BC7" w:rsidRPr="00E24C3F">
        <w:rPr>
          <w:i/>
        </w:rPr>
        <w:t>id quod intelligitur</w:t>
      </w:r>
      <w:r w:rsidR="08305BC7" w:rsidRPr="08305BC7">
        <w:rPr>
          <w:lang w:val="cs-CZ"/>
        </w:rPr>
        <w:t>)</w:t>
      </w:r>
      <w:r w:rsidR="00E8792B" w:rsidRPr="00273106">
        <w:rPr>
          <w:noProof/>
          <w:lang w:val="cs-CZ"/>
        </w:rPr>
        <w:t xml:space="preserve">, to je svým bytím intelektuální a je univerzální podle své potence.“ </w:t>
      </w:r>
      <w:r w:rsidR="00EC7C1B" w:rsidRPr="00273106">
        <w:rPr>
          <w:rStyle w:val="Znakapoznpodarou"/>
          <w:noProof/>
          <w:lang w:val="cs-CZ"/>
        </w:rPr>
        <w:footnoteReference w:id="223"/>
      </w:r>
      <w:r w:rsidR="00473729" w:rsidRPr="00273106">
        <w:rPr>
          <w:noProof/>
          <w:lang w:val="cs-CZ"/>
        </w:rPr>
        <w:t xml:space="preserve"> </w:t>
      </w:r>
    </w:p>
    <w:p w14:paraId="76585578" w14:textId="08B719B1" w:rsidR="00C860CF" w:rsidRDefault="08DF7C7D" w:rsidP="00221596">
      <w:r>
        <w:t xml:space="preserve">Poznaná </w:t>
      </w:r>
      <w:r w:rsidR="00E02E2A" w:rsidRPr="00E02E2A">
        <w:t>species</w:t>
      </w:r>
      <w:r w:rsidR="00221596" w:rsidRPr="00273106">
        <w:t xml:space="preserve"> </w:t>
      </w:r>
      <w:r w:rsidR="00616D7B" w:rsidRPr="00273106">
        <w:t>patří do sféry intelektu</w:t>
      </w:r>
      <w:r w:rsidR="00B00425" w:rsidRPr="00273106">
        <w:t xml:space="preserve">álního poznání reality </w:t>
      </w:r>
      <w:r w:rsidR="00616D7B" w:rsidRPr="00273106">
        <w:t xml:space="preserve">proto, že </w:t>
      </w:r>
      <w:r w:rsidR="00221596" w:rsidRPr="00273106">
        <w:t>intelekt</w:t>
      </w:r>
      <w:r w:rsidR="00E8792B" w:rsidRPr="00273106">
        <w:t xml:space="preserve"> tvoří</w:t>
      </w:r>
      <w:r w:rsidR="00221596" w:rsidRPr="00273106">
        <w:t xml:space="preserve"> obsahy dané </w:t>
      </w:r>
      <w:r w:rsidR="00E8792B" w:rsidRPr="00273106">
        <w:t>univerzálně (</w:t>
      </w:r>
      <w:r w:rsidR="00E8792B" w:rsidRPr="00273106">
        <w:rPr>
          <w:i/>
        </w:rPr>
        <w:t>intellectuale secundum suum esse</w:t>
      </w:r>
      <w:r w:rsidR="00E8792B" w:rsidRPr="00273106">
        <w:t xml:space="preserve">). Vzhledem k reálné aktualitě jsou tyto univerzálie </w:t>
      </w:r>
      <w:r w:rsidR="003C24A4" w:rsidRPr="00273106">
        <w:t>pouze potenciální</w:t>
      </w:r>
      <w:r w:rsidR="00E8792B" w:rsidRPr="00273106">
        <w:t xml:space="preserve"> </w:t>
      </w:r>
      <w:r w:rsidR="00221596" w:rsidRPr="00273106">
        <w:t>(</w:t>
      </w:r>
      <w:r w:rsidR="00E8792B" w:rsidRPr="00273106">
        <w:rPr>
          <w:i/>
        </w:rPr>
        <w:t>universale secundum suam potentiam</w:t>
      </w:r>
      <w:r w:rsidR="00221596" w:rsidRPr="00273106">
        <w:t xml:space="preserve">). </w:t>
      </w:r>
      <w:r w:rsidR="00B92C7B">
        <w:t xml:space="preserve">Poznaná forma </w:t>
      </w:r>
      <w:r w:rsidR="00A8505E" w:rsidRPr="00273106">
        <w:t>má status intencionálního předmětu (</w:t>
      </w:r>
      <w:r w:rsidR="08A0133D">
        <w:rPr>
          <w:i/>
        </w:rPr>
        <w:t>intellectuale</w:t>
      </w:r>
      <w:r w:rsidR="00A8505E" w:rsidRPr="00273106">
        <w:t xml:space="preserve">) daného čistě potenciálně, proto nemůže být </w:t>
      </w:r>
      <w:r w:rsidR="00685692">
        <w:t xml:space="preserve">hyparchickou </w:t>
      </w:r>
      <w:r w:rsidR="00A8505E" w:rsidRPr="00273106">
        <w:t xml:space="preserve">substancí. </w:t>
      </w:r>
      <w:r w:rsidR="00EF0361">
        <w:t>M</w:t>
      </w:r>
      <w:r w:rsidR="00F40136" w:rsidRPr="00273106">
        <w:t>odernisté</w:t>
      </w:r>
      <w:r w:rsidR="00EC4893" w:rsidRPr="00273106">
        <w:t xml:space="preserve"> </w:t>
      </w:r>
      <w:r w:rsidR="00EF0361" w:rsidRPr="00273106">
        <w:t xml:space="preserve">mají </w:t>
      </w:r>
      <w:r w:rsidR="00EC4893" w:rsidRPr="00273106">
        <w:t xml:space="preserve">místo </w:t>
      </w:r>
      <w:r w:rsidR="0015192A" w:rsidRPr="00273106">
        <w:t xml:space="preserve">syntetizovaných </w:t>
      </w:r>
      <w:r w:rsidR="004B4D52" w:rsidRPr="004B4D52">
        <w:t>species</w:t>
      </w:r>
      <w:r w:rsidR="00EC4893"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641EEA">
        <w:instrText>:</w:instrText>
      </w:r>
      <w:r w:rsidR="00641EEA" w:rsidRPr="00641EEA">
        <w:instrText>druhý averroismus</w:instrText>
      </w:r>
      <w:r w:rsidR="008061D5">
        <w:instrText xml:space="preserve">" </w:instrText>
      </w:r>
      <w:r w:rsidR="008061D5">
        <w:rPr>
          <w:i/>
        </w:rPr>
        <w:fldChar w:fldCharType="end"/>
      </w:r>
      <w:r w:rsidR="00EC4893" w:rsidRPr="00273106">
        <w:t xml:space="preserve"> </w:t>
      </w:r>
      <w:r w:rsidR="08C32A81">
        <w:t>n</w:t>
      </w:r>
      <w:r w:rsidR="00EF0361">
        <w:t xml:space="preserve">ový druh </w:t>
      </w:r>
      <w:r w:rsidR="00E02E2A" w:rsidRPr="00E02E2A">
        <w:t>species</w:t>
      </w:r>
      <w:r w:rsidR="003F4CB2" w:rsidRPr="00273106">
        <w:t xml:space="preserve"> jako </w:t>
      </w:r>
      <w:r w:rsidR="00F238EB">
        <w:t>pseudo-substanci. Tato mytologická substance dostala kauzální formu impozice a tím vznikla nová forma „</w:t>
      </w:r>
      <w:r w:rsidR="00F238EB" w:rsidRPr="00F238EB">
        <w:t>vědeckého</w:t>
      </w:r>
      <w:r w:rsidR="00F238EB">
        <w:t>“ důkazu</w:t>
      </w:r>
      <w:r w:rsidR="00F238EB" w:rsidRPr="00F238EB">
        <w:t>.</w:t>
      </w:r>
      <w:r w:rsidR="00103597">
        <w:t xml:space="preserve"> </w:t>
      </w:r>
      <w:r w:rsidR="00B75EA1" w:rsidRPr="00273106">
        <w:t xml:space="preserve">Podobným způsobem Alvernus </w:t>
      </w:r>
      <w:r w:rsidR="00706089">
        <w:t xml:space="preserve">odmítl </w:t>
      </w:r>
      <w:r w:rsidR="00054D69">
        <w:t xml:space="preserve">postup latinských sofistů. Alvernem kritizovaní </w:t>
      </w:r>
      <w:r w:rsidR="00054D69" w:rsidRPr="00054D69">
        <w:rPr>
          <w:i/>
        </w:rPr>
        <w:t>Grammatici</w:t>
      </w:r>
      <w:r w:rsidR="00054D69">
        <w:t xml:space="preserve"> </w:t>
      </w:r>
      <w:r w:rsidR="000A0F1E">
        <w:t xml:space="preserve">ze školy porretánů a </w:t>
      </w:r>
      <w:r w:rsidR="000A0F1E" w:rsidRPr="000A0F1E">
        <w:rPr>
          <w:i/>
        </w:rPr>
        <w:t>Nominales</w:t>
      </w:r>
      <w:r w:rsidR="000A0F1E">
        <w:t xml:space="preserve"> </w:t>
      </w:r>
      <w:r w:rsidR="009B3382">
        <w:t xml:space="preserve">také </w:t>
      </w:r>
      <w:r w:rsidR="00B75EA1" w:rsidRPr="00273106">
        <w:t xml:space="preserve">nerozlišují mezi reálnou </w:t>
      </w:r>
      <w:r w:rsidR="00CE3336" w:rsidRPr="00273106">
        <w:t xml:space="preserve">vlastností </w:t>
      </w:r>
      <w:r w:rsidR="00CF4ED3" w:rsidRPr="00273106">
        <w:t xml:space="preserve">první substance </w:t>
      </w:r>
      <w:r w:rsidR="00B75EA1" w:rsidRPr="00273106">
        <w:t xml:space="preserve">a </w:t>
      </w:r>
      <w:r w:rsidR="00CF4ED3" w:rsidRPr="00273106">
        <w:t>mezi inherencí akcidentu</w:t>
      </w:r>
      <w:r w:rsidR="00706089">
        <w:t xml:space="preserve">. Akcident </w:t>
      </w:r>
      <w:r w:rsidR="08433BFE">
        <w:t xml:space="preserve">predikují jako </w:t>
      </w:r>
      <w:r w:rsidR="00706089">
        <w:t xml:space="preserve">kauzálně působící </w:t>
      </w:r>
      <w:r w:rsidR="08433BFE">
        <w:t>hypostázi na úrovni druhé s</w:t>
      </w:r>
      <w:r w:rsidR="00706089">
        <w:t>ubstance (</w:t>
      </w:r>
      <w:r w:rsidR="00706089" w:rsidRPr="00706089">
        <w:rPr>
          <w:i/>
        </w:rPr>
        <w:t>album albet</w:t>
      </w:r>
      <w:r w:rsidR="00706089">
        <w:t>)</w:t>
      </w:r>
      <w:r w:rsidR="00B75EA1" w:rsidRPr="00273106">
        <w:t xml:space="preserve">. </w:t>
      </w:r>
      <w:r w:rsidR="088A0E09">
        <w:t>Albertův s</w:t>
      </w:r>
      <w:r w:rsidR="00221596" w:rsidRPr="00273106">
        <w:t xml:space="preserve">por </w:t>
      </w:r>
      <w:r w:rsidR="088A0E09">
        <w:t xml:space="preserve">se </w:t>
      </w:r>
      <w:r w:rsidR="088A0E09">
        <w:lastRenderedPageBreak/>
        <w:t xml:space="preserve">školou modernistů </w:t>
      </w:r>
      <w:r w:rsidR="088A0E09" w:rsidRPr="00273106">
        <w:t xml:space="preserve">se týká </w:t>
      </w:r>
      <w:r w:rsidR="00221596" w:rsidRPr="00273106">
        <w:t xml:space="preserve">predikace </w:t>
      </w:r>
      <w:r w:rsidR="00221596" w:rsidRPr="00273106">
        <w:rPr>
          <w:i/>
        </w:rPr>
        <w:t>per prius</w:t>
      </w:r>
      <w:r w:rsidR="00221596" w:rsidRPr="00273106">
        <w:t xml:space="preserve"> a </w:t>
      </w:r>
      <w:r w:rsidR="00221596" w:rsidRPr="00273106">
        <w:rPr>
          <w:i/>
        </w:rPr>
        <w:t>per posterius</w:t>
      </w:r>
      <w:r w:rsidR="00221596" w:rsidRPr="00273106">
        <w:t>, kterou modernisté otočili na hlavu</w:t>
      </w:r>
      <w:r w:rsidR="005F1DE4">
        <w:fldChar w:fldCharType="begin"/>
      </w:r>
      <w:r w:rsidR="005F1DE4">
        <w:instrText xml:space="preserve"> XE "predikace:</w:instrText>
      </w:r>
      <w:r w:rsidR="005F1DE4" w:rsidRPr="005F1DE4">
        <w:rPr>
          <w:i/>
        </w:rPr>
        <w:instrText>per prius</w:instrText>
      </w:r>
      <w:r w:rsidR="005F1DE4">
        <w:instrText xml:space="preserve">" </w:instrText>
      </w:r>
      <w:r w:rsidR="005F1DE4">
        <w:fldChar w:fldCharType="end"/>
      </w:r>
      <w:r w:rsidR="00221596" w:rsidRPr="00273106">
        <w:t xml:space="preserve">. </w:t>
      </w:r>
      <w:r w:rsidR="007326B5">
        <w:t>A</w:t>
      </w:r>
      <w:r w:rsidR="00221596" w:rsidRPr="00273106">
        <w:t xml:space="preserve">bstraktní poznání </w:t>
      </w:r>
      <w:r w:rsidR="086F670B">
        <w:t>individuální</w:t>
      </w:r>
      <w:r w:rsidR="086F670B" w:rsidRPr="00273106">
        <w:t xml:space="preserve"> </w:t>
      </w:r>
      <w:r w:rsidR="00221596" w:rsidRPr="00273106">
        <w:t xml:space="preserve">esence </w:t>
      </w:r>
      <w:r w:rsidR="007326B5">
        <w:t xml:space="preserve">je </w:t>
      </w:r>
      <w:r w:rsidR="00221596" w:rsidRPr="00273106">
        <w:t xml:space="preserve">dané </w:t>
      </w:r>
      <w:r w:rsidR="00221596" w:rsidRPr="00273106">
        <w:rPr>
          <w:i/>
        </w:rPr>
        <w:t>simpliciter</w:t>
      </w:r>
      <w:r w:rsidR="00240F65" w:rsidRPr="00273106">
        <w:t xml:space="preserve"> </w:t>
      </w:r>
      <w:r w:rsidR="007326B5">
        <w:t xml:space="preserve">a potenciálně. Toto poznání zaměnili v řádu logické abstrakce </w:t>
      </w:r>
      <w:r w:rsidR="00221596" w:rsidRPr="00273106">
        <w:t xml:space="preserve">za poznání </w:t>
      </w:r>
      <w:r w:rsidR="00D0782B">
        <w:t xml:space="preserve">hyparchické </w:t>
      </w:r>
      <w:r w:rsidR="00221596" w:rsidRPr="00273106">
        <w:t>první substance</w:t>
      </w:r>
      <w:r w:rsidR="007326B5">
        <w:t>. Ta je daná t</w:t>
      </w:r>
      <w:r w:rsidR="00F24FC5" w:rsidRPr="00273106">
        <w:t xml:space="preserve">aké </w:t>
      </w:r>
      <w:r w:rsidR="00F24FC5" w:rsidRPr="00273106">
        <w:rPr>
          <w:i/>
        </w:rPr>
        <w:t>simpliciter</w:t>
      </w:r>
      <w:r w:rsidR="00F24FC5" w:rsidRPr="00273106">
        <w:t>, ale aktuálně</w:t>
      </w:r>
      <w:r w:rsidR="00485643">
        <w:rPr>
          <w:i/>
          <w:iCs/>
        </w:rPr>
        <w:fldChar w:fldCharType="begin"/>
      </w:r>
      <w:r w:rsidR="00485643">
        <w:instrText xml:space="preserve"> XE "esence:první averroismus" </w:instrText>
      </w:r>
      <w:r w:rsidR="00485643">
        <w:rPr>
          <w:i/>
          <w:iCs/>
        </w:rPr>
        <w:fldChar w:fldCharType="end"/>
      </w:r>
      <w:r w:rsidR="00954AFC" w:rsidRPr="00273106">
        <w:t xml:space="preserve">. </w:t>
      </w:r>
      <w:r w:rsidR="086F670B">
        <w:t xml:space="preserve">Opět je ve hře klasický problém výkladu atomární substance dané v </w:t>
      </w:r>
      <w:r w:rsidR="086F670B" w:rsidRPr="086F670B">
        <w:rPr>
          <w:i/>
        </w:rPr>
        <w:t>Isagoge</w:t>
      </w:r>
      <w:r w:rsidR="086F670B">
        <w:t xml:space="preserve"> (</w:t>
      </w:r>
      <w:r w:rsidR="08F85079">
        <w:t xml:space="preserve">OBJ I, </w:t>
      </w:r>
      <w:r w:rsidR="084E7952">
        <w:t>kap. 1.3</w:t>
      </w:r>
      <w:r w:rsidR="086F670B">
        <w:t xml:space="preserve">). </w:t>
      </w:r>
      <w:r w:rsidR="00954AFC" w:rsidRPr="00273106">
        <w:t>N</w:t>
      </w:r>
      <w:r w:rsidR="00567484" w:rsidRPr="00273106">
        <w:t>a rozdíl od univerzálie je existence první substance aktuální</w:t>
      </w:r>
      <w:r w:rsidR="00954AFC" w:rsidRPr="00273106">
        <w:t>, p</w:t>
      </w:r>
      <w:r w:rsidR="00567484" w:rsidRPr="00273106">
        <w:t xml:space="preserve">roto </w:t>
      </w:r>
      <w:r w:rsidR="0071758D" w:rsidRPr="00273106">
        <w:t xml:space="preserve">je </w:t>
      </w:r>
      <w:r w:rsidR="00240F65" w:rsidRPr="00273106">
        <w:t xml:space="preserve">poznání dané </w:t>
      </w:r>
      <w:r w:rsidR="0071758D" w:rsidRPr="00273106">
        <w:t xml:space="preserve">pouze </w:t>
      </w:r>
      <w:r w:rsidR="00240F65" w:rsidRPr="00273106">
        <w:t>akcidentálně</w:t>
      </w:r>
      <w:r w:rsidR="00221596" w:rsidRPr="00273106">
        <w:t xml:space="preserve"> </w:t>
      </w:r>
      <w:r w:rsidR="00240F65" w:rsidRPr="00273106">
        <w:t>a potenciálně</w:t>
      </w:r>
      <w:r w:rsidR="00221596" w:rsidRPr="00273106">
        <w:t>.</w:t>
      </w:r>
      <w:r w:rsidR="00661E5A">
        <w:t xml:space="preserve"> </w:t>
      </w:r>
      <w:r w:rsidR="00F22D47" w:rsidRPr="00273106">
        <w:t xml:space="preserve">Albertův výklad </w:t>
      </w:r>
      <w:r w:rsidR="00F22D47" w:rsidRPr="00661E5A">
        <w:rPr>
          <w:i/>
        </w:rPr>
        <w:t>Druhých analytik</w:t>
      </w:r>
      <w:r w:rsidR="00F22D47" w:rsidRPr="00273106">
        <w:t xml:space="preserve"> odmítl </w:t>
      </w:r>
      <w:r w:rsidR="002F715F">
        <w:t xml:space="preserve">moderní </w:t>
      </w:r>
      <w:r w:rsidR="00F22D47" w:rsidRPr="00273106">
        <w:t xml:space="preserve">určení </w:t>
      </w:r>
      <w:r w:rsidR="002F715F">
        <w:t xml:space="preserve">hypostatické </w:t>
      </w:r>
      <w:r w:rsidR="00F22D47" w:rsidRPr="00273106">
        <w:t xml:space="preserve">substance </w:t>
      </w:r>
      <w:r w:rsidR="002F715F">
        <w:t xml:space="preserve">jako </w:t>
      </w:r>
      <w:r w:rsidR="002F715F" w:rsidRPr="008651C2">
        <w:rPr>
          <w:i/>
          <w:lang w:eastAsia="x-none"/>
        </w:rPr>
        <w:t>tertium ens</w:t>
      </w:r>
      <w:r w:rsidR="00F22D47" w:rsidRPr="00273106">
        <w:t>.</w:t>
      </w:r>
      <w:r>
        <w:t xml:space="preserve"> </w:t>
      </w:r>
      <w:r w:rsidR="00D27FE3">
        <w:t>J</w:t>
      </w:r>
      <w:r w:rsidR="005E53E7">
        <w:t xml:space="preserve">eho výklad </w:t>
      </w:r>
      <w:r w:rsidR="005E53E7" w:rsidRPr="002D79DE">
        <w:rPr>
          <w:i/>
        </w:rPr>
        <w:t>De homine</w:t>
      </w:r>
      <w:r w:rsidR="005E53E7">
        <w:t xml:space="preserve"> potvrzený pozdějším výkladem </w:t>
      </w:r>
      <w:r w:rsidR="005E53E7" w:rsidRPr="002D79DE">
        <w:rPr>
          <w:i/>
        </w:rPr>
        <w:t>Druhých analytik</w:t>
      </w:r>
      <w:r w:rsidR="005E53E7">
        <w:t xml:space="preserve"> jasně ukazuje, že </w:t>
      </w:r>
      <w:r w:rsidR="005E53E7" w:rsidRPr="00273106">
        <w:t xml:space="preserve">výklad </w:t>
      </w:r>
      <w:r w:rsidR="005E53E7">
        <w:t xml:space="preserve">Latiníků </w:t>
      </w:r>
      <w:r w:rsidR="008F239E">
        <w:t>má chybně postavenou metafyziku, která pak chybně zakládá deduktivní vědecký soud</w:t>
      </w:r>
      <w:r w:rsidR="005E53E7">
        <w:t xml:space="preserve"> (</w:t>
      </w:r>
      <w:r w:rsidR="005E53E7" w:rsidRPr="00785C58">
        <w:rPr>
          <w:i/>
        </w:rPr>
        <w:t>demonstratio</w:t>
      </w:r>
      <w:r w:rsidR="005E53E7">
        <w:rPr>
          <w:i/>
        </w:rPr>
        <w:fldChar w:fldCharType="begin"/>
      </w:r>
      <w:r w:rsidR="005E53E7">
        <w:instrText xml:space="preserve"> XE "</w:instrText>
      </w:r>
      <w:r w:rsidR="005E53E7" w:rsidRPr="004E6075">
        <w:rPr>
          <w:i/>
        </w:rPr>
        <w:instrText>demonstratio:</w:instrText>
      </w:r>
      <w:r w:rsidR="005E53E7" w:rsidRPr="00C63368">
        <w:instrText>druhý averroismus</w:instrText>
      </w:r>
      <w:r w:rsidR="005E53E7">
        <w:instrText xml:space="preserve">" </w:instrText>
      </w:r>
      <w:r w:rsidR="005E53E7">
        <w:rPr>
          <w:i/>
        </w:rPr>
        <w:fldChar w:fldCharType="end"/>
      </w:r>
      <w:r w:rsidR="005E53E7">
        <w:t xml:space="preserve">). </w:t>
      </w:r>
      <w:r w:rsidR="08FC7013" w:rsidRPr="00273106">
        <w:t xml:space="preserve">Volba </w:t>
      </w:r>
      <w:r w:rsidR="08FC7013">
        <w:t>Averroes</w:t>
      </w:r>
      <w:r w:rsidR="08FC7013" w:rsidRPr="00273106">
        <w:t xml:space="preserve">ova zkoumání reálné substance proti Avicennovu náhledu abstraktní esence není náhodná, protože kolínský dominikán ji drží celý život. </w:t>
      </w:r>
      <w:r>
        <w:t>Albert sleduje Averroesův výklad Aristotela podle Sicilské školy</w:t>
      </w:r>
      <w:r>
        <w:fldChar w:fldCharType="begin"/>
      </w:r>
      <w:r>
        <w:instrText xml:space="preserve"> XE "Sicilská škola" </w:instrText>
      </w:r>
      <w:r>
        <w:fldChar w:fldCharType="end"/>
      </w:r>
      <w:r>
        <w:t xml:space="preserve">, která v tomto duchu komentovala přírodovědné spisy Aristotela a poznání zvířat. </w:t>
      </w:r>
      <w:r w:rsidR="00974823">
        <w:t xml:space="preserve">Spis </w:t>
      </w:r>
      <w:r w:rsidR="00E52588" w:rsidRPr="001477FA">
        <w:rPr>
          <w:i/>
        </w:rPr>
        <w:t>De anima</w:t>
      </w:r>
      <w:r w:rsidR="00E52588">
        <w:t xml:space="preserve"> </w:t>
      </w:r>
      <w:r w:rsidR="00974823">
        <w:t xml:space="preserve">je uchopen v modelu </w:t>
      </w:r>
      <w:r w:rsidR="00E52588">
        <w:t xml:space="preserve">CMDA, tedy </w:t>
      </w:r>
      <w:r w:rsidR="00E52588" w:rsidRPr="009822F8">
        <w:rPr>
          <w:i/>
        </w:rPr>
        <w:t>ad mentem Averrois</w:t>
      </w:r>
      <w:r w:rsidR="005F1E28">
        <w:t xml:space="preserve"> podle Sicilské školy. </w:t>
      </w:r>
      <w:r w:rsidR="00E52588">
        <w:t xml:space="preserve">Proto má </w:t>
      </w:r>
      <w:r w:rsidR="00E2110F">
        <w:t xml:space="preserve">Albert </w:t>
      </w:r>
      <w:r w:rsidR="00E52588">
        <w:t xml:space="preserve">jiný výklad </w:t>
      </w:r>
      <w:r w:rsidR="00E2110F">
        <w:t xml:space="preserve">CMDA </w:t>
      </w:r>
      <w:r w:rsidR="00E52588">
        <w:t xml:space="preserve">než semiaverroista Akvinský komentující </w:t>
      </w:r>
      <w:r w:rsidR="00E52588" w:rsidRPr="0002572F">
        <w:rPr>
          <w:i/>
        </w:rPr>
        <w:t>De anim</w:t>
      </w:r>
      <w:r w:rsidR="00E52588">
        <w:rPr>
          <w:i/>
        </w:rPr>
        <w:t xml:space="preserve">a </w:t>
      </w:r>
      <w:r w:rsidR="00E52588" w:rsidRPr="0002572F">
        <w:t xml:space="preserve">podle </w:t>
      </w:r>
      <w:r w:rsidR="005F1E28">
        <w:t xml:space="preserve">avicennistického výkladu </w:t>
      </w:r>
      <w:r w:rsidR="00E52588">
        <w:t>Toledské školy</w:t>
      </w:r>
      <w:r w:rsidR="082B1634">
        <w:fldChar w:fldCharType="begin"/>
      </w:r>
      <w:r w:rsidR="082B1634">
        <w:instrText xml:space="preserve"> XE "Toledská škola" </w:instrText>
      </w:r>
      <w:r w:rsidR="082B1634">
        <w:fldChar w:fldCharType="end"/>
      </w:r>
      <w:r w:rsidR="005F1E28">
        <w:t xml:space="preserve"> (</w:t>
      </w:r>
      <w:r w:rsidR="08A97660">
        <w:t>OBJ III,. kap. 4</w:t>
      </w:r>
      <w:r w:rsidR="005F1E28">
        <w:t xml:space="preserve">.5.1). Tomáš vytvořil </w:t>
      </w:r>
      <w:r w:rsidR="08782B18">
        <w:t>z Averroe</w:t>
      </w:r>
      <w:r w:rsidR="00074488">
        <w:t>se averroistu</w:t>
      </w:r>
      <w:r w:rsidR="005F1E28">
        <w:t>, což Albe</w:t>
      </w:r>
      <w:r w:rsidR="00C860CF">
        <w:t>rt zcela pochopitelně neudělal.</w:t>
      </w:r>
    </w:p>
    <w:p w14:paraId="1C57E23D" w14:textId="74F868A3" w:rsidR="00C869F6" w:rsidRDefault="087E2182" w:rsidP="00C869F6">
      <w:pPr>
        <w:ind w:firstLine="397"/>
      </w:pPr>
      <w:r>
        <w:t xml:space="preserve">Hermeneutika </w:t>
      </w:r>
      <w:r w:rsidR="087D1460">
        <w:t xml:space="preserve">hájí </w:t>
      </w:r>
      <w:r>
        <w:t xml:space="preserve">proti současným objektivistům základní metodologický </w:t>
      </w:r>
      <w:r w:rsidR="00D654AF">
        <w:t xml:space="preserve">postup traktátu </w:t>
      </w:r>
      <w:r w:rsidR="00D654AF" w:rsidRPr="0087039E">
        <w:rPr>
          <w:i/>
        </w:rPr>
        <w:t>De homine</w:t>
      </w:r>
      <w:r>
        <w:t xml:space="preserve">. </w:t>
      </w:r>
      <w:r w:rsidR="00D654AF">
        <w:t xml:space="preserve">Albertův aristotelismus v pojmu </w:t>
      </w:r>
      <w:r w:rsidR="00D654AF" w:rsidRPr="00BD4E9F">
        <w:rPr>
          <w:i/>
        </w:rPr>
        <w:t>resolutio</w:t>
      </w:r>
      <w:r w:rsidR="00D654AF">
        <w:rPr>
          <w:i/>
        </w:rPr>
        <w:fldChar w:fldCharType="begin"/>
      </w:r>
      <w:r w:rsidR="00D654AF">
        <w:instrText xml:space="preserve"> XE "</w:instrText>
      </w:r>
      <w:r w:rsidR="00D654AF" w:rsidRPr="00111E9E">
        <w:rPr>
          <w:i/>
        </w:rPr>
        <w:instrText>resolutio</w:instrText>
      </w:r>
      <w:r w:rsidR="00D654AF">
        <w:instrText xml:space="preserve">:Albert" </w:instrText>
      </w:r>
      <w:r w:rsidR="00D654AF">
        <w:rPr>
          <w:i/>
        </w:rPr>
        <w:fldChar w:fldCharType="end"/>
      </w:r>
      <w:r w:rsidR="00D654AF">
        <w:t xml:space="preserve"> a ve výkladu </w:t>
      </w:r>
      <w:r w:rsidR="00D654AF" w:rsidRPr="00040FA9">
        <w:rPr>
          <w:i/>
        </w:rPr>
        <w:t>medium</w:t>
      </w:r>
      <w:r w:rsidR="00D654AF">
        <w:rPr>
          <w:i/>
        </w:rPr>
        <w:fldChar w:fldCharType="begin"/>
      </w:r>
      <w:r w:rsidR="00D654AF">
        <w:instrText xml:space="preserve"> XE "</w:instrText>
      </w:r>
      <w:r w:rsidR="00D654AF" w:rsidRPr="001618A5">
        <w:rPr>
          <w:i/>
        </w:rPr>
        <w:instrText>medium:</w:instrText>
      </w:r>
      <w:r w:rsidR="00D654AF" w:rsidRPr="001618A5">
        <w:instrText>Albert</w:instrText>
      </w:r>
      <w:r w:rsidR="00D654AF">
        <w:instrText xml:space="preserve">" </w:instrText>
      </w:r>
      <w:r w:rsidR="00D654AF">
        <w:rPr>
          <w:i/>
        </w:rPr>
        <w:fldChar w:fldCharType="end"/>
      </w:r>
      <w:r w:rsidR="00D654AF">
        <w:t xml:space="preserve"> podle </w:t>
      </w:r>
      <w:r w:rsidR="00D654AF" w:rsidRPr="00100AF5">
        <w:rPr>
          <w:i/>
        </w:rPr>
        <w:t>Druhých analytik</w:t>
      </w:r>
      <w:r w:rsidR="00D654AF">
        <w:t xml:space="preserve"> oddělil od Avicennova a Kilwardbyho přímého náhledu do esence</w:t>
      </w:r>
      <w:r w:rsidR="00817159">
        <w:t xml:space="preserve">. Ova autoři berou essenci </w:t>
      </w:r>
      <w:r w:rsidR="00D654AF">
        <w:t xml:space="preserve">skrze </w:t>
      </w:r>
      <w:r w:rsidR="00817159">
        <w:t xml:space="preserve">činný intelekt jako oddělenou </w:t>
      </w:r>
      <w:r w:rsidR="00D654AF">
        <w:t>substan</w:t>
      </w:r>
      <w:r w:rsidR="00817159">
        <w:t>ci</w:t>
      </w:r>
      <w:r w:rsidR="00D654AF">
        <w:t>.</w:t>
      </w:r>
      <w:r w:rsidR="00D654AF" w:rsidRPr="00273106">
        <w:t xml:space="preserve"> </w:t>
      </w:r>
      <w:r w:rsidR="002D79DE">
        <w:t>Klíčové je tvrzení, že duše je aktem osoby jako hylemorfické složeniny dané jako fyzické tělo, čili jako první substance.</w:t>
      </w:r>
      <w:r w:rsidR="002D79DE">
        <w:rPr>
          <w:rStyle w:val="Znakapoznpodarou"/>
        </w:rPr>
        <w:footnoteReference w:id="224"/>
      </w:r>
      <w:r w:rsidR="00542F10">
        <w:t xml:space="preserve"> </w:t>
      </w:r>
      <w:r w:rsidR="003511A0">
        <w:t xml:space="preserve">Hermeneutika </w:t>
      </w:r>
      <w:r w:rsidR="008F00EA">
        <w:t xml:space="preserve">proto </w:t>
      </w:r>
      <w:r w:rsidR="087D1460">
        <w:t>ne</w:t>
      </w:r>
      <w:r w:rsidR="003511A0">
        <w:t xml:space="preserve">potvrzuje ohledně </w:t>
      </w:r>
      <w:r w:rsidR="003511A0" w:rsidRPr="00B617FD">
        <w:rPr>
          <w:i/>
        </w:rPr>
        <w:t>De homine</w:t>
      </w:r>
      <w:r w:rsidR="003511A0">
        <w:t xml:space="preserve"> závěry Wéberovy studie</w:t>
      </w:r>
      <w:r w:rsidR="006E0D43">
        <w:fldChar w:fldCharType="begin"/>
      </w:r>
      <w:r w:rsidR="006E0D43">
        <w:instrText xml:space="preserve"> XE "</w:instrText>
      </w:r>
      <w:r w:rsidR="006E0D43" w:rsidRPr="00837705">
        <w:instrText>Wéber, E.-H.</w:instrText>
      </w:r>
      <w:r w:rsidR="006E0D43">
        <w:instrText xml:space="preserve">" </w:instrText>
      </w:r>
      <w:r w:rsidR="006E0D43">
        <w:fldChar w:fldCharType="end"/>
      </w:r>
      <w:r w:rsidR="003511A0">
        <w:t>, včetně jeho kr</w:t>
      </w:r>
      <w:r w:rsidR="00A0002E">
        <w:t>itiky Gilsona.</w:t>
      </w:r>
      <w:r w:rsidR="00A0002E">
        <w:rPr>
          <w:rStyle w:val="Znakapoznpodarou"/>
        </w:rPr>
        <w:footnoteReference w:id="225"/>
      </w:r>
      <w:r w:rsidR="003511A0">
        <w:t xml:space="preserve"> </w:t>
      </w:r>
      <w:r w:rsidR="008F00EA">
        <w:t xml:space="preserve">Wéber se </w:t>
      </w:r>
      <w:r w:rsidR="08C17BD9">
        <w:t xml:space="preserve">přiklonil </w:t>
      </w:r>
      <w:r w:rsidR="008F00EA">
        <w:t xml:space="preserve">ve výkladu </w:t>
      </w:r>
      <w:r w:rsidR="008F00EA" w:rsidRPr="00A0002E">
        <w:rPr>
          <w:i/>
        </w:rPr>
        <w:t>De homine</w:t>
      </w:r>
      <w:r w:rsidR="008F00EA">
        <w:t xml:space="preserve"> k tezi neoplatonského výkladu duše z pozice esencialismu (</w:t>
      </w:r>
      <w:r w:rsidR="00831C3A">
        <w:rPr>
          <w:i/>
          <w:szCs w:val="24"/>
          <w:lang w:val="de-DE"/>
        </w:rPr>
        <w:t>l’essence de l’âme est substance par soi</w:t>
      </w:r>
      <w:r w:rsidR="000F503A">
        <w:t xml:space="preserve">; Wéber 1991, </w:t>
      </w:r>
      <w:r w:rsidR="008F00EA">
        <w:t>123)</w:t>
      </w:r>
      <w:r w:rsidR="00267017">
        <w:t xml:space="preserve">. Proto </w:t>
      </w:r>
      <w:r w:rsidR="008F00EA">
        <w:t xml:space="preserve">chybně </w:t>
      </w:r>
      <w:r w:rsidR="00267017">
        <w:t xml:space="preserve">určil </w:t>
      </w:r>
      <w:r w:rsidR="00267017">
        <w:lastRenderedPageBreak/>
        <w:t xml:space="preserve">tzv. </w:t>
      </w:r>
      <w:r w:rsidR="000375C3">
        <w:t>„</w:t>
      </w:r>
      <w:r w:rsidR="008F00EA">
        <w:t>esencialistický</w:t>
      </w:r>
      <w:r w:rsidR="000375C3">
        <w:t>“</w:t>
      </w:r>
      <w:r w:rsidR="008F00EA">
        <w:t xml:space="preserve"> výklad Alberta </w:t>
      </w:r>
      <w:r w:rsidR="087D1460">
        <w:t>a</w:t>
      </w:r>
      <w:r w:rsidR="004C7AED">
        <w:t xml:space="preserve"> </w:t>
      </w:r>
      <w:r w:rsidR="00971142">
        <w:t>„</w:t>
      </w:r>
      <w:r w:rsidR="0026653A">
        <w:t>neoplatonský</w:t>
      </w:r>
      <w:r w:rsidR="00971142">
        <w:t>“</w:t>
      </w:r>
      <w:r w:rsidR="008F00EA">
        <w:t xml:space="preserve"> výklad Akvinského</w:t>
      </w:r>
      <w:r w:rsidR="004C7AED">
        <w:t xml:space="preserve">. </w:t>
      </w:r>
      <w:r w:rsidR="083E337B">
        <w:t xml:space="preserve">Wéberova analýza </w:t>
      </w:r>
      <w:r w:rsidR="08FC191C">
        <w:t xml:space="preserve">Albertova esencialismu </w:t>
      </w:r>
      <w:r w:rsidR="083E337B">
        <w:t>vychází z</w:t>
      </w:r>
      <w:r w:rsidR="08E8250A">
        <w:t> modernistického předsudku</w:t>
      </w:r>
      <w:r w:rsidR="083E337B">
        <w:t xml:space="preserve">, že Averroes byl averoistou. </w:t>
      </w:r>
      <w:r w:rsidR="001220A0">
        <w:t xml:space="preserve">Hermeneutika má na věc odlišný náhled. </w:t>
      </w:r>
      <w:r w:rsidR="00675ECB">
        <w:t xml:space="preserve">Albert vykládá spis </w:t>
      </w:r>
      <w:r w:rsidR="00675ECB" w:rsidRPr="009B0393">
        <w:rPr>
          <w:i/>
        </w:rPr>
        <w:t>De anima</w:t>
      </w:r>
      <w:r w:rsidR="00675ECB">
        <w:t xml:space="preserve"> podle Averroesovy „meta-fyziky“ dané primátem první substance, což neměl esencialistický Avicenna. </w:t>
      </w:r>
      <w:r w:rsidR="006C320F">
        <w:t>Akvinský odmítl výklad Averro</w:t>
      </w:r>
      <w:r w:rsidR="00FA02A5">
        <w:t>e</w:t>
      </w:r>
      <w:r w:rsidR="006C320F">
        <w:t>s</w:t>
      </w:r>
      <w:r w:rsidR="008F00EA">
        <w:t>e jako averroistický</w:t>
      </w:r>
      <w:r w:rsidR="000375C3">
        <w:t>, což prozíravý Albert neudělal</w:t>
      </w:r>
      <w:r w:rsidR="008F00EA">
        <w:t xml:space="preserve">. Pak Tomášův spis </w:t>
      </w:r>
      <w:r w:rsidR="008F00EA" w:rsidRPr="0002572F">
        <w:rPr>
          <w:i/>
        </w:rPr>
        <w:t>De unitate intellectus</w:t>
      </w:r>
      <w:r w:rsidR="008F00EA">
        <w:t xml:space="preserve"> nutně končí v dualistickém výkladu moderních </w:t>
      </w:r>
      <w:r w:rsidR="08DE18BB">
        <w:t>alexandrovc</w:t>
      </w:r>
      <w:r w:rsidR="008F00EA">
        <w:t>ů, což přesně viděl a kritizoval Siger.</w:t>
      </w:r>
      <w:r w:rsidR="00FA02A5">
        <w:t xml:space="preserve"> Albert je aristotelikem </w:t>
      </w:r>
      <w:r w:rsidR="00FA02A5" w:rsidRPr="009B0393">
        <w:rPr>
          <w:i/>
        </w:rPr>
        <w:t>ad mentem Averrois</w:t>
      </w:r>
      <w:r w:rsidR="00FA02A5">
        <w:t xml:space="preserve">, proto zachoval jednotu osoby podle fenomenologického přístupu daného </w:t>
      </w:r>
      <w:r w:rsidR="00FA02A5" w:rsidRPr="009B0393">
        <w:rPr>
          <w:i/>
        </w:rPr>
        <w:t>De homine</w:t>
      </w:r>
      <w:r w:rsidR="00FA02A5">
        <w:t>, i když jej Siger kritiz</w:t>
      </w:r>
      <w:r w:rsidR="08D20859">
        <w:t xml:space="preserve">uje </w:t>
      </w:r>
      <w:r w:rsidR="00A45AA9">
        <w:t xml:space="preserve">v určitých bodech </w:t>
      </w:r>
      <w:r w:rsidR="08D20859">
        <w:t>jako avicennistu (</w:t>
      </w:r>
      <w:r w:rsidR="084D6F2D">
        <w:t>OBJ III, kap. 4</w:t>
      </w:r>
      <w:r w:rsidR="08D20859">
        <w:t>.4.4</w:t>
      </w:r>
      <w:r w:rsidR="00FA02A5">
        <w:t>)</w:t>
      </w:r>
      <w:r w:rsidR="00FA02A5" w:rsidRPr="009B0393">
        <w:t>.</w:t>
      </w:r>
      <w:r w:rsidR="008F00EA">
        <w:t xml:space="preserve"> </w:t>
      </w:r>
      <w:r w:rsidR="00221596" w:rsidRPr="00273106">
        <w:t xml:space="preserve">Albert </w:t>
      </w:r>
      <w:r w:rsidR="001E7057" w:rsidRPr="00273106">
        <w:t xml:space="preserve">vidí </w:t>
      </w:r>
      <w:r w:rsidR="00221596" w:rsidRPr="00273106">
        <w:t>skutečný průběh poznání</w:t>
      </w:r>
      <w:r w:rsidR="00515C18">
        <w:t xml:space="preserve">, podle rozboru </w:t>
      </w:r>
      <w:r w:rsidR="00515C18" w:rsidRPr="008F00EA">
        <w:rPr>
          <w:i/>
        </w:rPr>
        <w:t>Kategorií</w:t>
      </w:r>
      <w:r w:rsidR="00515C18">
        <w:t>, které pro Západ systematizoval Al</w:t>
      </w:r>
      <w:r w:rsidR="00515C18">
        <w:noBreakHyphen/>
      </w:r>
      <w:r w:rsidR="008E02F5">
        <w:t>Fárábí</w:t>
      </w:r>
      <w:r w:rsidR="00D66969">
        <w:fldChar w:fldCharType="begin"/>
      </w:r>
      <w:r w:rsidR="00D66969">
        <w:instrText xml:space="preserve"> XE "predikace:</w:instrText>
      </w:r>
      <w:r w:rsidR="005F3712">
        <w:instrText>Al-</w:instrText>
      </w:r>
      <w:r w:rsidR="008E02F5">
        <w:instrText>Fárábí</w:instrText>
      </w:r>
      <w:r w:rsidR="00D66969">
        <w:instrText xml:space="preserve">" </w:instrText>
      </w:r>
      <w:r w:rsidR="00D66969">
        <w:fldChar w:fldCharType="end"/>
      </w:r>
      <w:r w:rsidR="00515C18">
        <w:t xml:space="preserve"> ve výše uvedeném výkladu (</w:t>
      </w:r>
      <w:r w:rsidR="084D6F2D">
        <w:t xml:space="preserve">OBJ I, </w:t>
      </w:r>
      <w:r w:rsidR="00515C18">
        <w:t>kap. 2.1)</w:t>
      </w:r>
      <w:r w:rsidR="00B36064" w:rsidRPr="00273106">
        <w:t xml:space="preserve">. </w:t>
      </w:r>
      <w:r w:rsidR="00821A46">
        <w:t>Albert navazuje na tuto anti</w:t>
      </w:r>
      <w:r w:rsidR="00821A46">
        <w:noBreakHyphen/>
        <w:t>modernistickou tradici</w:t>
      </w:r>
      <w:r w:rsidR="0039224F">
        <w:t xml:space="preserve">. Proto </w:t>
      </w:r>
      <w:r w:rsidR="00221596" w:rsidRPr="00273106">
        <w:t xml:space="preserve">rozlišuje primární vztah </w:t>
      </w:r>
      <w:r w:rsidR="00B36064" w:rsidRPr="00273106">
        <w:t xml:space="preserve">kauzálně působících věcí mezi sebou </w:t>
      </w:r>
      <w:r w:rsidR="00221596" w:rsidRPr="00273106">
        <w:t xml:space="preserve">a sekundární </w:t>
      </w:r>
      <w:r w:rsidR="00B36064" w:rsidRPr="00273106">
        <w:t xml:space="preserve">uchopení </w:t>
      </w:r>
      <w:r w:rsidR="00240F65" w:rsidRPr="00273106">
        <w:t xml:space="preserve">tohoto vztahu v aktu </w:t>
      </w:r>
      <w:r w:rsidR="00CC7110">
        <w:t xml:space="preserve">univerzálního </w:t>
      </w:r>
      <w:r w:rsidR="00240F65" w:rsidRPr="00273106">
        <w:t>poznání</w:t>
      </w:r>
      <w:r w:rsidR="00B36064" w:rsidRPr="00273106">
        <w:t xml:space="preserve"> </w:t>
      </w:r>
      <w:r w:rsidR="000C2E50" w:rsidRPr="00273106">
        <w:t xml:space="preserve">daného </w:t>
      </w:r>
      <w:r w:rsidR="00556D7C">
        <w:t xml:space="preserve">impozicí významu od </w:t>
      </w:r>
      <w:r w:rsidR="00CC7110">
        <w:t xml:space="preserve">reálné </w:t>
      </w:r>
      <w:r w:rsidR="00B36064" w:rsidRPr="00273106">
        <w:t>věci</w:t>
      </w:r>
      <w:r w:rsidR="000C2E50" w:rsidRPr="00273106">
        <w:t xml:space="preserve">. </w:t>
      </w:r>
      <w:r w:rsidR="08E73622">
        <w:t>A podle stejné vědecké metody je třeba zkoumat i člověka</w:t>
      </w:r>
      <w:r w:rsidR="00ED1B29">
        <w:t xml:space="preserve">. Toto pojetí humanitních věd </w:t>
      </w:r>
      <w:r w:rsidR="08E73622">
        <w:t xml:space="preserve">poprvé v Paříži hlásal </w:t>
      </w:r>
      <w:r w:rsidR="08A76FE9">
        <w:t xml:space="preserve">Johannes Blund </w:t>
      </w:r>
      <w:r w:rsidR="08196955">
        <w:t>proti Davidovi</w:t>
      </w:r>
      <w:r w:rsidR="08A76FE9">
        <w:t xml:space="preserve"> z Dinantu a po něm </w:t>
      </w:r>
      <w:r w:rsidR="08E73622">
        <w:t>biskup Alvernus</w:t>
      </w:r>
      <w:r w:rsidR="08A76FE9">
        <w:t xml:space="preserve"> proti moderním </w:t>
      </w:r>
      <w:r w:rsidR="08A76FE9" w:rsidRPr="08A76FE9">
        <w:rPr>
          <w:i/>
        </w:rPr>
        <w:t>sequaces Aristotelis</w:t>
      </w:r>
      <w:r w:rsidR="08E73622">
        <w:t xml:space="preserve">. </w:t>
      </w:r>
      <w:r w:rsidR="08A20C75">
        <w:t xml:space="preserve">Tito </w:t>
      </w:r>
      <w:r w:rsidR="0860114D">
        <w:t xml:space="preserve">myslitelé </w:t>
      </w:r>
      <w:r w:rsidR="08A20C75">
        <w:t>založili křesťanskou verzi aristotelismu</w:t>
      </w:r>
      <w:r w:rsidR="005B03F5">
        <w:t>. U</w:t>
      </w:r>
      <w:r w:rsidR="008431B8">
        <w:t xml:space="preserve">ražená </w:t>
      </w:r>
      <w:r w:rsidR="08A20C75">
        <w:t xml:space="preserve">moderna </w:t>
      </w:r>
      <w:r w:rsidR="005B03F5">
        <w:t xml:space="preserve">je </w:t>
      </w:r>
      <w:r w:rsidR="08A078C8">
        <w:t xml:space="preserve">potrestala </w:t>
      </w:r>
      <w:r w:rsidR="005B03F5">
        <w:t xml:space="preserve">tím, že jejich nauku </w:t>
      </w:r>
      <w:r w:rsidR="008431B8">
        <w:t>vymazala z</w:t>
      </w:r>
      <w:r w:rsidR="08A20C75">
        <w:t xml:space="preserve"> akademické paměti</w:t>
      </w:r>
      <w:r w:rsidR="08777B2C">
        <w:t xml:space="preserve"> (</w:t>
      </w:r>
      <w:r w:rsidR="08777B2C" w:rsidRPr="08777B2C">
        <w:rPr>
          <w:i/>
        </w:rPr>
        <w:t>damnatio memoriae</w:t>
      </w:r>
      <w:r w:rsidR="00D515B9">
        <w:rPr>
          <w:i/>
        </w:rPr>
        <w:fldChar w:fldCharType="begin"/>
      </w:r>
      <w:r w:rsidR="00D515B9">
        <w:instrText xml:space="preserve"> XE "</w:instrText>
      </w:r>
      <w:r w:rsidR="00D515B9" w:rsidRPr="00EA29CA">
        <w:rPr>
          <w:i/>
        </w:rPr>
        <w:instrText>damnatio memoriae</w:instrText>
      </w:r>
      <w:r w:rsidR="00D515B9">
        <w:instrText xml:space="preserve">" </w:instrText>
      </w:r>
      <w:r w:rsidR="00D515B9">
        <w:rPr>
          <w:i/>
        </w:rPr>
        <w:fldChar w:fldCharType="end"/>
      </w:r>
      <w:r w:rsidR="08777B2C">
        <w:t>)</w:t>
      </w:r>
      <w:r w:rsidR="08A20C75">
        <w:t xml:space="preserve">. </w:t>
      </w:r>
      <w:r w:rsidR="00C869F6" w:rsidRPr="00C869F6">
        <w:t xml:space="preserve">Modernisté nahradili </w:t>
      </w:r>
      <w:r w:rsidR="00C869F6">
        <w:t xml:space="preserve">jejich </w:t>
      </w:r>
      <w:r w:rsidR="00C869F6" w:rsidRPr="00C869F6">
        <w:t xml:space="preserve">zdravou doktrínu o jednotě osoby </w:t>
      </w:r>
      <w:r w:rsidR="00C869F6">
        <w:t xml:space="preserve">svými averroistickými simulákry za pomoci pilných </w:t>
      </w:r>
      <w:r w:rsidR="00C869F6" w:rsidRPr="00C869F6">
        <w:t>akademický</w:t>
      </w:r>
      <w:r w:rsidR="00C869F6">
        <w:t>ch Fúrií</w:t>
      </w:r>
      <w:r w:rsidR="006E5F84">
        <w:t xml:space="preserve">. Ty </w:t>
      </w:r>
      <w:r w:rsidR="00C869F6">
        <w:t>řídily</w:t>
      </w:r>
      <w:r w:rsidR="00C869F6" w:rsidRPr="00C869F6">
        <w:t xml:space="preserve"> obrannou </w:t>
      </w:r>
      <w:r w:rsidR="006E5F84">
        <w:t>(a nevědomou) strategii</w:t>
      </w:r>
      <w:r w:rsidR="00C869F6">
        <w:t xml:space="preserve"> zvanou „</w:t>
      </w:r>
      <w:r w:rsidR="00C869F6" w:rsidRPr="00C869F6">
        <w:rPr>
          <w:i/>
        </w:rPr>
        <w:t>Verkehrung ins Gegenteil</w:t>
      </w:r>
      <w:r w:rsidR="00C869F6">
        <w:rPr>
          <w:i/>
        </w:rPr>
        <w:fldChar w:fldCharType="begin"/>
      </w:r>
      <w:r w:rsidR="00C869F6">
        <w:instrText xml:space="preserve"> XE "</w:instrText>
      </w:r>
      <w:r w:rsidR="00C869F6" w:rsidRPr="00541819">
        <w:rPr>
          <w:i/>
        </w:rPr>
        <w:instrText>Verkehrung ins Gegenteil</w:instrText>
      </w:r>
      <w:r w:rsidR="00C869F6">
        <w:instrText xml:space="preserve">" </w:instrText>
      </w:r>
      <w:r w:rsidR="00C869F6">
        <w:rPr>
          <w:i/>
        </w:rPr>
        <w:fldChar w:fldCharType="end"/>
      </w:r>
      <w:r w:rsidR="00C869F6">
        <w:t>“</w:t>
      </w:r>
      <w:r w:rsidR="00C869F6" w:rsidRPr="00C869F6">
        <w:t xml:space="preserve">. </w:t>
      </w:r>
      <w:r w:rsidR="00317711">
        <w:t>Velmi moderní a</w:t>
      </w:r>
      <w:r w:rsidR="00C869F6" w:rsidRPr="00C869F6">
        <w:t>kademici vedení dé</w:t>
      </w:r>
      <w:r w:rsidR="00317711">
        <w:t xml:space="preserve">monickými silami Pomsty, ti </w:t>
      </w:r>
      <w:r w:rsidR="00C869F6">
        <w:t>pak „vidí“</w:t>
      </w:r>
      <w:r w:rsidR="00C869F6" w:rsidRPr="00C869F6">
        <w:t xml:space="preserve"> všude démonické výplody své paranoidní mysli.</w:t>
      </w:r>
    </w:p>
    <w:p w14:paraId="69335DDD" w14:textId="3A8ACFEB" w:rsidR="08CF6C3C" w:rsidRDefault="00297CC9" w:rsidP="00222384">
      <w:pPr>
        <w:ind w:firstLine="397"/>
      </w:pPr>
      <w:r w:rsidRPr="00273106">
        <w:t>Albert dobře ví, že hylemorfické věci existující mimo nás</w:t>
      </w:r>
      <w:r w:rsidR="00CC7110">
        <w:t xml:space="preserve"> mají </w:t>
      </w:r>
      <w:r w:rsidR="00E02752">
        <w:t xml:space="preserve">substanční </w:t>
      </w:r>
      <w:r w:rsidRPr="00273106">
        <w:t xml:space="preserve">bytí dané </w:t>
      </w:r>
      <w:r w:rsidRPr="00273106">
        <w:rPr>
          <w:i/>
        </w:rPr>
        <w:t>actualiter</w:t>
      </w:r>
      <w:r w:rsidRPr="00273106">
        <w:t xml:space="preserve"> a </w:t>
      </w:r>
      <w:r w:rsidRPr="00273106">
        <w:rPr>
          <w:i/>
        </w:rPr>
        <w:t>simpliciter</w:t>
      </w:r>
      <w:r w:rsidR="006C7DD1">
        <w:t xml:space="preserve">, které determinuje poznávací potenci. </w:t>
      </w:r>
      <w:r w:rsidR="00CC7110">
        <w:t xml:space="preserve">Proto </w:t>
      </w:r>
      <w:r w:rsidR="00221596" w:rsidRPr="00273106">
        <w:t xml:space="preserve">odmítl </w:t>
      </w:r>
      <w:r w:rsidR="00AD32CC" w:rsidRPr="00273106">
        <w:t xml:space="preserve">metafyzickou stavbu </w:t>
      </w:r>
      <w:r w:rsidR="00AD32CC" w:rsidRPr="00273106">
        <w:rPr>
          <w:i/>
        </w:rPr>
        <w:t>Nominales</w:t>
      </w:r>
      <w:r w:rsidR="00AD32CC" w:rsidRPr="00273106">
        <w:t xml:space="preserve"> založenou na chybné predikaci </w:t>
      </w:r>
      <w:r w:rsidR="00AD32CC" w:rsidRPr="00273106">
        <w:rPr>
          <w:i/>
        </w:rPr>
        <w:t>per prius</w:t>
      </w:r>
      <w:r w:rsidR="00AD32CC" w:rsidRPr="00273106">
        <w:t xml:space="preserve">, která pominula hyparchické postavení první substance. </w:t>
      </w:r>
      <w:r w:rsidR="08103B5E" w:rsidRPr="00273106">
        <w:t xml:space="preserve">Rozdíl mezi esencialistickým </w:t>
      </w:r>
      <w:r w:rsidR="08103B5E" w:rsidRPr="00273106">
        <w:rPr>
          <w:i/>
        </w:rPr>
        <w:t>Weltanschauung</w:t>
      </w:r>
      <w:r w:rsidR="08103B5E">
        <w:rPr>
          <w:i/>
        </w:rPr>
        <w:fldChar w:fldCharType="begin"/>
      </w:r>
      <w:r w:rsidR="08103B5E">
        <w:instrText xml:space="preserve"> XE "</w:instrText>
      </w:r>
      <w:r w:rsidR="08103B5E" w:rsidRPr="001E5389">
        <w:rPr>
          <w:i/>
        </w:rPr>
        <w:instrText>Weltanschauung</w:instrText>
      </w:r>
      <w:r w:rsidR="08103B5E">
        <w:instrText xml:space="preserve">" </w:instrText>
      </w:r>
      <w:r w:rsidR="08103B5E">
        <w:rPr>
          <w:i/>
        </w:rPr>
        <w:fldChar w:fldCharType="end"/>
      </w:r>
      <w:r w:rsidR="08103B5E" w:rsidRPr="00273106">
        <w:t xml:space="preserve"> moderny a mezi přístupem ke světu z hlediska reálného </w:t>
      </w:r>
      <w:r w:rsidR="08103B5E" w:rsidRPr="00273106">
        <w:rPr>
          <w:i/>
        </w:rPr>
        <w:t>actus essendi</w:t>
      </w:r>
      <w:r w:rsidR="08103B5E">
        <w:rPr>
          <w:i/>
        </w:rPr>
        <w:fldChar w:fldCharType="begin"/>
      </w:r>
      <w:r w:rsidR="08103B5E">
        <w:instrText xml:space="preserve"> XE "</w:instrText>
      </w:r>
      <w:r w:rsidR="08103B5E" w:rsidRPr="006D3950">
        <w:rPr>
          <w:i/>
        </w:rPr>
        <w:instrText>actus essendi</w:instrText>
      </w:r>
      <w:r w:rsidR="08103B5E">
        <w:instrText xml:space="preserve">" </w:instrText>
      </w:r>
      <w:r w:rsidR="08103B5E">
        <w:rPr>
          <w:i/>
        </w:rPr>
        <w:fldChar w:fldCharType="end"/>
      </w:r>
      <w:r w:rsidR="08103B5E" w:rsidRPr="00273106">
        <w:t xml:space="preserve"> první substance má pro Alberta základní důležitost a opakuje jej i ve svém pozdějším komentáři k </w:t>
      </w:r>
      <w:r w:rsidR="08103B5E">
        <w:rPr>
          <w:i/>
        </w:rPr>
        <w:t>De anima</w:t>
      </w:r>
      <w:r w:rsidR="08103B5E">
        <w:t xml:space="preserve">. Tohoto </w:t>
      </w:r>
      <w:r w:rsidR="00E032DF">
        <w:t xml:space="preserve">realistického </w:t>
      </w:r>
      <w:r w:rsidR="08103B5E">
        <w:t>zaměření si všimli i současní pozorní čtenáři Albertova díla, ale nevyvodili z tohoto postoje zásadní závěry pro metafyziku (Wéber 1991, 125‒</w:t>
      </w:r>
      <w:r w:rsidR="08103B5E" w:rsidRPr="00273106">
        <w:t>26).</w:t>
      </w:r>
      <w:r w:rsidR="08103B5E">
        <w:t xml:space="preserve"> </w:t>
      </w:r>
      <w:r w:rsidR="009B3FA2" w:rsidRPr="00273106">
        <w:t xml:space="preserve">Poznání </w:t>
      </w:r>
      <w:r w:rsidR="00CE13D9" w:rsidRPr="001165F4">
        <w:rPr>
          <w:i/>
          <w:szCs w:val="24"/>
        </w:rPr>
        <w:t>Doctores latinorum</w:t>
      </w:r>
      <w:r w:rsidR="00CE13D9">
        <w:rPr>
          <w:i/>
          <w:szCs w:val="24"/>
        </w:rPr>
        <w:t xml:space="preserve"> </w:t>
      </w:r>
      <w:r w:rsidR="009B3FA2" w:rsidRPr="00273106">
        <w:t>vrcholí v aktu darovaného intelektu</w:t>
      </w:r>
      <w:r w:rsidR="00CE13D9">
        <w:t xml:space="preserve">, </w:t>
      </w:r>
      <w:r w:rsidR="00CE13D9">
        <w:lastRenderedPageBreak/>
        <w:t xml:space="preserve">který se spojí </w:t>
      </w:r>
      <w:r w:rsidR="00CE13D9" w:rsidRPr="00273106">
        <w:t>s činn</w:t>
      </w:r>
      <w:r w:rsidR="00CE13D9">
        <w:t>ým intelektem v aktu okamžité intuice</w:t>
      </w:r>
      <w:r w:rsidR="009B3FA2">
        <w:fldChar w:fldCharType="begin"/>
      </w:r>
      <w:r w:rsidR="009B3FA2">
        <w:instrText xml:space="preserve"> XE "</w:instrText>
      </w:r>
      <w:r w:rsidR="009B3FA2" w:rsidRPr="00531BC1">
        <w:instrText>iluminace</w:instrText>
      </w:r>
      <w:r w:rsidR="009B3FA2">
        <w:instrText xml:space="preserve">" </w:instrText>
      </w:r>
      <w:r w:rsidR="009B3FA2">
        <w:fldChar w:fldCharType="end"/>
      </w:r>
      <w:r w:rsidR="009B3FA2">
        <w:t xml:space="preserve">. </w:t>
      </w:r>
      <w:r w:rsidR="08196955">
        <w:t>Modern</w:t>
      </w:r>
      <w:r w:rsidR="009B3FA2">
        <w:t xml:space="preserve">í ilumináti </w:t>
      </w:r>
      <w:r w:rsidR="00E02752">
        <w:t xml:space="preserve">vychovaní logickými školami porretánů </w:t>
      </w:r>
      <w:r w:rsidR="006B5FA8" w:rsidRPr="00273106">
        <w:t>přehodili v</w:t>
      </w:r>
      <w:r w:rsidR="08F96864">
        <w:t xml:space="preserve"> avicennistickém </w:t>
      </w:r>
      <w:r w:rsidR="006B5FA8" w:rsidRPr="00273106">
        <w:t xml:space="preserve">pojetí pravdy jako </w:t>
      </w:r>
      <w:r w:rsidR="006B5FA8" w:rsidRPr="00273106">
        <w:rPr>
          <w:i/>
        </w:rPr>
        <w:t>rectitudo</w:t>
      </w:r>
      <w:r w:rsidR="006B5FA8" w:rsidRPr="00273106">
        <w:t xml:space="preserve"> </w:t>
      </w:r>
      <w:r w:rsidR="08F96864">
        <w:t xml:space="preserve">a </w:t>
      </w:r>
      <w:r w:rsidR="08F96864" w:rsidRPr="08F96864">
        <w:rPr>
          <w:i/>
        </w:rPr>
        <w:t>certitudo</w:t>
      </w:r>
      <w:r w:rsidR="08F96864">
        <w:t xml:space="preserve"> </w:t>
      </w:r>
      <w:r w:rsidR="006B5FA8" w:rsidRPr="00273106">
        <w:t xml:space="preserve">pořadí predikace. Dali formální jistotu v modu </w:t>
      </w:r>
      <w:r w:rsidR="006B5FA8" w:rsidRPr="00273106">
        <w:rPr>
          <w:i/>
        </w:rPr>
        <w:t>notius</w:t>
      </w:r>
      <w:r w:rsidR="006B5FA8" w:rsidRPr="00273106">
        <w:t xml:space="preserve"> jako základ určení jsoucna</w:t>
      </w:r>
      <w:r w:rsidR="000C45BA">
        <w:t xml:space="preserve"> v modu</w:t>
      </w:r>
      <w:r w:rsidR="000C45BA" w:rsidRPr="000C45BA">
        <w:rPr>
          <w:i/>
        </w:rPr>
        <w:t xml:space="preserve"> </w:t>
      </w:r>
      <w:r w:rsidR="000C45BA" w:rsidRPr="00273106">
        <w:rPr>
          <w:i/>
        </w:rPr>
        <w:t>per prius</w:t>
      </w:r>
      <w:r w:rsidR="006B5FA8" w:rsidRPr="00273106">
        <w:t xml:space="preserve">, a tím zrušili </w:t>
      </w:r>
      <w:r w:rsidR="00A15161">
        <w:t xml:space="preserve">metafyzickou impozici danou z </w:t>
      </w:r>
      <w:r w:rsidR="006B5FA8" w:rsidRPr="00273106">
        <w:t xml:space="preserve">vnější reality. </w:t>
      </w:r>
      <w:r w:rsidR="08632C90">
        <w:t xml:space="preserve">Moderna </w:t>
      </w:r>
      <w:r w:rsidR="08632C90" w:rsidRPr="00273106">
        <w:t>s plnou jistotou vnímá svět univerzálních forem</w:t>
      </w:r>
      <w:r w:rsidR="08632C90" w:rsidRPr="00411FB3">
        <w:t xml:space="preserve"> </w:t>
      </w:r>
      <w:r w:rsidR="08632C90">
        <w:t>v přímém a bezprostředním náhledu</w:t>
      </w:r>
      <w:r w:rsidR="08632C90" w:rsidRPr="00273106">
        <w:t xml:space="preserve">. </w:t>
      </w:r>
      <w:r w:rsidR="08B55A85">
        <w:t xml:space="preserve">První modernisté latinského Západu jako </w:t>
      </w:r>
      <w:r w:rsidR="08B55A85" w:rsidRPr="00273106">
        <w:t>Grosseteste, Rufus a Kilwardby tvrdí, že intelekt přichází k poznání skrze náhled prvních principů.</w:t>
      </w:r>
      <w:r w:rsidR="00222384">
        <w:t xml:space="preserve"> </w:t>
      </w:r>
      <w:r w:rsidR="00222384" w:rsidRPr="00222384">
        <w:t xml:space="preserve">Tyto principy nevyžadují smyslově vnímanou první substanci. </w:t>
      </w:r>
      <w:r w:rsidR="00222384">
        <w:t>O</w:t>
      </w:r>
      <w:r w:rsidR="00222384" w:rsidRPr="00222384">
        <w:t xml:space="preserve">svícené sebepoznání poznává vnější věc v nedostatečné míře, podle způsobu pravdy jako asimilace. Poznání světa odpovídá prvotní jistotě intelektu, který již existuje sám o sobě. Takové </w:t>
      </w:r>
      <w:r w:rsidR="00222384">
        <w:t xml:space="preserve">vnímání leží mimo poznání dané predikací, která se </w:t>
      </w:r>
      <w:r w:rsidR="00222384" w:rsidRPr="00222384">
        <w:t>vztahuj</w:t>
      </w:r>
      <w:r w:rsidR="00222384">
        <w:t xml:space="preserve">e </w:t>
      </w:r>
      <w:r w:rsidR="00222384" w:rsidRPr="00222384">
        <w:t>k</w:t>
      </w:r>
      <w:r w:rsidR="00222384">
        <w:t> reálnému světu</w:t>
      </w:r>
      <w:r w:rsidR="00222384" w:rsidRPr="00222384">
        <w:t xml:space="preserve">. Principy poznání jsou věčné a dané samy o sobě; proti nim stojí nespolehlivá a podmíněná osobní zkušenost vnější věci. Takové principy poznání samy o sobě nevyžadují smyslově vnímanou první substanci. </w:t>
      </w:r>
      <w:r w:rsidR="00222384">
        <w:t xml:space="preserve">Nazírání stojí mimo prediukaci </w:t>
      </w:r>
      <w:r w:rsidR="00222384" w:rsidRPr="00222384">
        <w:t>vztahující</w:t>
      </w:r>
      <w:r w:rsidR="00222384">
        <w:t xml:space="preserve"> se ke skutečným věcem</w:t>
      </w:r>
      <w:r w:rsidR="00222384" w:rsidRPr="00222384">
        <w:t xml:space="preserve">, </w:t>
      </w:r>
      <w:r w:rsidR="00222384">
        <w:t xml:space="preserve">protože v ní </w:t>
      </w:r>
      <w:r w:rsidR="00222384" w:rsidRPr="00222384">
        <w:t xml:space="preserve">jsou principy poznání obsaženy pouze </w:t>
      </w:r>
      <w:r w:rsidR="00222384">
        <w:t xml:space="preserve">na základě </w:t>
      </w:r>
      <w:r w:rsidR="00222384" w:rsidRPr="00222384">
        <w:t>nespolehliv</w:t>
      </w:r>
      <w:r w:rsidR="00222384">
        <w:t xml:space="preserve">é </w:t>
      </w:r>
      <w:r w:rsidR="00222384" w:rsidRPr="00222384">
        <w:t>a kontingentní osobní zkušenost</w:t>
      </w:r>
      <w:r w:rsidR="00222384">
        <w:t>i</w:t>
      </w:r>
      <w:r w:rsidR="00222384" w:rsidRPr="00222384">
        <w:t>. Sebepoznání iluminátů poznává vnější svět tím, že začleňuje věci v modu pravdy jako asimilaci do prvotní jistoty již aktualizovaného intelektu.</w:t>
      </w:r>
      <w:r w:rsidR="00222384">
        <w:t xml:space="preserve"> </w:t>
      </w:r>
      <w:r w:rsidR="00325285">
        <w:t xml:space="preserve">Pak je nezbytně nutný univoční charakter </w:t>
      </w:r>
      <w:r w:rsidR="00325285" w:rsidRPr="00325285">
        <w:rPr>
          <w:i/>
        </w:rPr>
        <w:t>tertium ens</w:t>
      </w:r>
      <w:r w:rsidR="00325285">
        <w:t xml:space="preserve">, aby </w:t>
      </w:r>
      <w:r w:rsidR="00222384">
        <w:t xml:space="preserve">zajistil </w:t>
      </w:r>
      <w:r w:rsidR="00325285">
        <w:t>toto myt</w:t>
      </w:r>
      <w:r w:rsidR="00222384">
        <w:t>ologické pouto s vnějším světem</w:t>
      </w:r>
      <w:r w:rsidR="00325285">
        <w:t xml:space="preserve">. </w:t>
      </w:r>
      <w:r w:rsidR="08A65479">
        <w:t xml:space="preserve"> </w:t>
      </w:r>
      <w:r w:rsidR="00411FB3">
        <w:t xml:space="preserve">V této </w:t>
      </w:r>
      <w:r w:rsidR="0024586A">
        <w:t xml:space="preserve">avicennovské </w:t>
      </w:r>
      <w:r w:rsidR="00411FB3">
        <w:t xml:space="preserve">linii pokračují již citovaní postmodernisté jako </w:t>
      </w:r>
      <w:r w:rsidR="002B16BD">
        <w:t xml:space="preserve">Descartes, </w:t>
      </w:r>
      <w:r w:rsidR="00411FB3">
        <w:t xml:space="preserve">Arnauld a Husserl. </w:t>
      </w:r>
      <w:r w:rsidR="00221596" w:rsidRPr="00273106">
        <w:t>Albert nepo</w:t>
      </w:r>
      <w:r w:rsidR="00B834FD" w:rsidRPr="00273106">
        <w:t xml:space="preserve">važuje takto daný náhled za vědecké poznání </w:t>
      </w:r>
      <w:r w:rsidR="00221596" w:rsidRPr="00273106">
        <w:t xml:space="preserve">ve smyslu </w:t>
      </w:r>
      <w:r w:rsidR="00221596" w:rsidRPr="00E64ADA">
        <w:rPr>
          <w:i/>
        </w:rPr>
        <w:t>Druhých analytik</w:t>
      </w:r>
      <w:r w:rsidR="087476D2">
        <w:t xml:space="preserve">. Moderní esencialismus </w:t>
      </w:r>
      <w:r w:rsidR="00221596" w:rsidRPr="00273106">
        <w:t xml:space="preserve">nejde </w:t>
      </w:r>
      <w:r w:rsidR="087476D2">
        <w:t>k </w:t>
      </w:r>
      <w:r w:rsidR="00547EB2">
        <w:t xml:space="preserve">hyparchické </w:t>
      </w:r>
      <w:r w:rsidR="087476D2">
        <w:t>kauzalitě prvních substancí, která je vypovídaná kategoriálně skrze druhou substanci (</w:t>
      </w:r>
      <w:r w:rsidR="087476D2" w:rsidRPr="087476D2">
        <w:rPr>
          <w:i/>
        </w:rPr>
        <w:t>ex inmediatis</w:t>
      </w:r>
      <w:r w:rsidR="087476D2">
        <w:t>)</w:t>
      </w:r>
      <w:r w:rsidR="08CF6C3C">
        <w:t>.</w:t>
      </w:r>
    </w:p>
    <w:p w14:paraId="72A4E8C2" w14:textId="34A8B18E" w:rsidR="00221596" w:rsidRPr="00D27FE3" w:rsidRDefault="08CF6C3C" w:rsidP="00221596">
      <w:r>
        <w:tab/>
        <w:t>Směr na</w:t>
      </w:r>
      <w:r w:rsidR="08A10D8B">
        <w:t>s</w:t>
      </w:r>
      <w:r>
        <w:t xml:space="preserve">vícení poznání zepředu nebo zezadu nutně vyvolal </w:t>
      </w:r>
      <w:r w:rsidR="08C7235F">
        <w:t xml:space="preserve">další </w:t>
      </w:r>
      <w:r w:rsidR="003F4511">
        <w:t xml:space="preserve">spor o pojetí </w:t>
      </w:r>
      <w:r w:rsidR="003F4511" w:rsidRPr="003F4511">
        <w:rPr>
          <w:i/>
        </w:rPr>
        <w:t>resolutio</w:t>
      </w:r>
      <w:r w:rsidR="003F4511">
        <w:t>.</w:t>
      </w:r>
      <w:r w:rsidR="00C256F3" w:rsidRPr="00C256F3">
        <w:t xml:space="preserve"> </w:t>
      </w:r>
      <w:r w:rsidR="08E35B48">
        <w:t>H</w:t>
      </w:r>
      <w:r w:rsidR="08E35B48" w:rsidRPr="00273106">
        <w:t xml:space="preserve">ermeneutika zkoumala </w:t>
      </w:r>
      <w:r w:rsidR="08E35B48">
        <w:t xml:space="preserve">pojem </w:t>
      </w:r>
      <w:r w:rsidR="08E35B48" w:rsidRPr="00273106">
        <w:rPr>
          <w:i/>
        </w:rPr>
        <w:t xml:space="preserve">resolutio </w:t>
      </w:r>
      <w:r w:rsidR="08E35B48">
        <w:t>vzniklý</w:t>
      </w:r>
      <w:r w:rsidR="08E35B48" w:rsidRPr="00273106">
        <w:t xml:space="preserve"> v okruhu pařížských avicennistů kolem Filipa Kancléře</w:t>
      </w:r>
      <w:r w:rsidR="085309A6">
        <w:t xml:space="preserve"> kolem roku 1230 (kap. 2</w:t>
      </w:r>
      <w:r w:rsidR="08E35B48">
        <w:t>.3.2)</w:t>
      </w:r>
      <w:r w:rsidR="08E35B48">
        <w:fldChar w:fldCharType="begin"/>
      </w:r>
      <w:r w:rsidR="08E35B48">
        <w:instrText xml:space="preserve"> XE "</w:instrText>
      </w:r>
      <w:r w:rsidR="08E35B48" w:rsidRPr="00841402">
        <w:instrText>zjevování:nasvícení zezadu</w:instrText>
      </w:r>
      <w:r w:rsidR="08E35B48">
        <w:instrText xml:space="preserve">" </w:instrText>
      </w:r>
      <w:r w:rsidR="08E35B48">
        <w:fldChar w:fldCharType="end"/>
      </w:r>
      <w:r w:rsidR="08E35B48" w:rsidRPr="00273106">
        <w:t>.</w:t>
      </w:r>
      <w:r w:rsidR="08E35B48">
        <w:t xml:space="preserve"> </w:t>
      </w:r>
      <w:r w:rsidR="08381E22" w:rsidRPr="00273106">
        <w:t xml:space="preserve">Odmítnutím substance třetího druhu padá pojetí autonomních </w:t>
      </w:r>
      <w:r w:rsidR="08381E22">
        <w:t xml:space="preserve">porretánských </w:t>
      </w:r>
      <w:r w:rsidR="00E02E2A" w:rsidRPr="00E02E2A">
        <w:t>species</w:t>
      </w:r>
      <w:r w:rsidR="08381E22" w:rsidRPr="00273106">
        <w:t xml:space="preserve"> typu </w:t>
      </w:r>
      <w:r w:rsidR="08381E22" w:rsidRPr="00273106">
        <w:rPr>
          <w:i/>
        </w:rPr>
        <w:t>albedo</w:t>
      </w:r>
      <w:r w:rsidR="08381E22">
        <w:t xml:space="preserve">, které zavedla škola </w:t>
      </w:r>
      <w:r w:rsidR="08381E22" w:rsidRPr="00E81CF1">
        <w:rPr>
          <w:i/>
        </w:rPr>
        <w:t>Nominales</w:t>
      </w:r>
      <w:r w:rsidR="08381E22">
        <w:t xml:space="preserve"> </w:t>
      </w:r>
      <w:r w:rsidR="08381E22" w:rsidRPr="00273106">
        <w:t>v rámci univo</w:t>
      </w:r>
      <w:r w:rsidR="089A7D9D">
        <w:t>čně pojatých denominativ (kap. 1</w:t>
      </w:r>
      <w:r w:rsidR="08381E22" w:rsidRPr="00273106">
        <w:t xml:space="preserve">.4). </w:t>
      </w:r>
      <w:r w:rsidR="08381E22">
        <w:t xml:space="preserve">Alvernem kritizovaná škola </w:t>
      </w:r>
      <w:r w:rsidR="08381E22" w:rsidRPr="00E81CF1">
        <w:rPr>
          <w:i/>
        </w:rPr>
        <w:t>Grammatici</w:t>
      </w:r>
      <w:r w:rsidR="08381E22">
        <w:t xml:space="preserve"> </w:t>
      </w:r>
      <w:r w:rsidR="007A7FBF">
        <w:t xml:space="preserve">vzala tyto </w:t>
      </w:r>
      <w:r w:rsidR="08381E22">
        <w:t xml:space="preserve"> hypostáze</w:t>
      </w:r>
      <w:r w:rsidR="007A7FBF">
        <w:t xml:space="preserve"> jako druhé substance a použila</w:t>
      </w:r>
      <w:r w:rsidR="08381E22">
        <w:t xml:space="preserve"> je v moderní verzi kategoriální predikaci v mod</w:t>
      </w:r>
      <w:r w:rsidR="007A7FBF">
        <w:t>u Oxfordské analytické školy</w:t>
      </w:r>
      <w:r w:rsidR="08381E22">
        <w:t xml:space="preserve">. </w:t>
      </w:r>
      <w:r w:rsidR="00C256F3" w:rsidRPr="00273106">
        <w:t>Albert</w:t>
      </w:r>
      <w:r w:rsidR="00C256F3">
        <w:t>ova definice prvních</w:t>
      </w:r>
      <w:r w:rsidR="00C256F3" w:rsidRPr="00273106">
        <w:t xml:space="preserve"> principů</w:t>
      </w:r>
      <w:r w:rsidR="00C256F3">
        <w:t xml:space="preserve"> poznání odmítá </w:t>
      </w:r>
      <w:r w:rsidR="00C256F3" w:rsidRPr="00273106">
        <w:t xml:space="preserve">pojetí </w:t>
      </w:r>
      <w:r w:rsidR="00C256F3">
        <w:t>pařížských avicennistů a hlásí se k Blundově a Alvernově škole.</w:t>
      </w:r>
    </w:p>
    <w:p w14:paraId="3B8255E2" w14:textId="6492861C" w:rsidR="00201964" w:rsidRPr="00794593" w:rsidRDefault="00221596" w:rsidP="00794593">
      <w:pPr>
        <w:pStyle w:val="Citace"/>
        <w:rPr>
          <w:rStyle w:val="Zkladntext1"/>
          <w:rFonts w:ascii="Calibri" w:eastAsia="Times" w:hAnsi="Calibri"/>
          <w:spacing w:val="0"/>
          <w:sz w:val="22"/>
          <w:u w:val="none"/>
          <w:lang w:val="x-none"/>
        </w:rPr>
      </w:pPr>
      <w:r w:rsidRPr="00794593">
        <w:rPr>
          <w:rStyle w:val="Zkladntext1"/>
          <w:rFonts w:ascii="Calibri" w:eastAsia="Times" w:hAnsi="Calibri"/>
          <w:spacing w:val="0"/>
          <w:sz w:val="22"/>
          <w:u w:val="none"/>
          <w:lang w:val="x-none"/>
        </w:rPr>
        <w:lastRenderedPageBreak/>
        <w:t>„</w:t>
      </w:r>
      <w:r w:rsidR="00B52A12">
        <w:rPr>
          <w:rStyle w:val="Zkladntext1"/>
          <w:rFonts w:ascii="Calibri" w:eastAsia="Times" w:hAnsi="Calibri"/>
          <w:spacing w:val="0"/>
          <w:sz w:val="22"/>
          <w:u w:val="none"/>
          <w:lang w:val="cs-CZ"/>
        </w:rPr>
        <w:t xml:space="preserve">Určení </w:t>
      </w:r>
      <w:r w:rsidR="001D5922" w:rsidRPr="00794593">
        <w:rPr>
          <w:rStyle w:val="Zkladntext1"/>
          <w:rFonts w:ascii="Calibri" w:eastAsia="Times" w:hAnsi="Calibri"/>
          <w:spacing w:val="0"/>
          <w:sz w:val="22"/>
          <w:u w:val="none"/>
          <w:lang w:val="x-none"/>
        </w:rPr>
        <w:t>univerzálií</w:t>
      </w:r>
      <w:r w:rsidR="00C72196" w:rsidRPr="00794593">
        <w:rPr>
          <w:rStyle w:val="Zkladntext1"/>
          <w:rFonts w:ascii="Calibri" w:eastAsia="Times" w:hAnsi="Calibri"/>
          <w:spacing w:val="0"/>
          <w:sz w:val="22"/>
          <w:u w:val="none"/>
          <w:lang w:val="x-none"/>
        </w:rPr>
        <w:t xml:space="preserve"> </w:t>
      </w:r>
      <w:r w:rsidR="00661F84" w:rsidRPr="00794593">
        <w:rPr>
          <w:rStyle w:val="Zkladntext1"/>
          <w:rFonts w:ascii="Calibri" w:eastAsia="Times" w:hAnsi="Calibri"/>
          <w:spacing w:val="0"/>
          <w:sz w:val="22"/>
          <w:u w:val="none"/>
          <w:lang w:val="x-none"/>
        </w:rPr>
        <w:t>(</w:t>
      </w:r>
      <w:r w:rsidR="00661F84" w:rsidRPr="00794593">
        <w:rPr>
          <w:rStyle w:val="Zkladntext1"/>
          <w:rFonts w:ascii="Calibri" w:eastAsia="Times" w:hAnsi="Calibri"/>
          <w:i/>
          <w:spacing w:val="0"/>
          <w:sz w:val="22"/>
          <w:u w:val="none"/>
          <w:lang w:val="x-none"/>
        </w:rPr>
        <w:t>resolutio</w:t>
      </w:r>
      <w:r w:rsidR="00E429B9">
        <w:rPr>
          <w:rStyle w:val="Zkladntext1"/>
          <w:rFonts w:ascii="Calibri" w:eastAsia="Times" w:hAnsi="Calibri"/>
          <w:spacing w:val="0"/>
          <w:sz w:val="22"/>
          <w:u w:val="none"/>
          <w:lang w:val="x-none"/>
        </w:rPr>
        <w:t>)</w:t>
      </w:r>
      <w:r w:rsidR="00E429B9">
        <w:rPr>
          <w:rStyle w:val="Zkladntext1"/>
          <w:rFonts w:ascii="Calibri" w:eastAsia="Times" w:hAnsi="Calibri"/>
          <w:spacing w:val="0"/>
          <w:sz w:val="22"/>
          <w:u w:val="none"/>
          <w:lang w:val="cs-CZ"/>
        </w:rPr>
        <w:t xml:space="preserve"> vychází z hylemorfické první </w:t>
      </w:r>
      <w:r w:rsidR="00E429B9" w:rsidRPr="00E429B9">
        <w:rPr>
          <w:rStyle w:val="Zkladntext1"/>
          <w:rFonts w:ascii="Calibri" w:eastAsia="Times" w:hAnsi="Calibri"/>
          <w:spacing w:val="0"/>
          <w:sz w:val="22"/>
          <w:u w:val="none"/>
          <w:lang w:val="cs-CZ"/>
        </w:rPr>
        <w:t xml:space="preserve">substance </w:t>
      </w:r>
      <w:r w:rsidR="00E429B9">
        <w:rPr>
          <w:rStyle w:val="Zkladntext1"/>
          <w:rFonts w:ascii="Calibri" w:eastAsia="Times" w:hAnsi="Calibri"/>
          <w:spacing w:val="0"/>
          <w:sz w:val="22"/>
          <w:u w:val="none"/>
          <w:lang w:val="cs-CZ"/>
        </w:rPr>
        <w:t>a jde abstraktním f</w:t>
      </w:r>
      <w:r w:rsidR="00C452F8">
        <w:rPr>
          <w:rStyle w:val="Zkladntext1"/>
          <w:rFonts w:ascii="Calibri" w:eastAsia="Times" w:hAnsi="Calibri"/>
          <w:spacing w:val="0"/>
          <w:sz w:val="22"/>
          <w:u w:val="none"/>
          <w:lang w:val="cs-CZ"/>
        </w:rPr>
        <w:t xml:space="preserve">ormám. Ty jsou dány </w:t>
      </w:r>
      <w:r w:rsidR="00E429B9" w:rsidRPr="00E429B9">
        <w:rPr>
          <w:rStyle w:val="Zkladntext1"/>
          <w:rFonts w:ascii="Calibri" w:eastAsia="Times" w:hAnsi="Calibri"/>
          <w:i/>
          <w:spacing w:val="0"/>
          <w:sz w:val="22"/>
          <w:u w:val="none"/>
          <w:lang w:val="cs-CZ"/>
        </w:rPr>
        <w:t>per posterius</w:t>
      </w:r>
      <w:r w:rsidR="00E429B9" w:rsidRPr="00E429B9">
        <w:rPr>
          <w:rStyle w:val="Zkladntext1"/>
          <w:rFonts w:ascii="Calibri" w:eastAsia="Times" w:hAnsi="Calibri"/>
          <w:spacing w:val="0"/>
          <w:sz w:val="22"/>
          <w:u w:val="none"/>
          <w:lang w:val="cs-CZ"/>
        </w:rPr>
        <w:t xml:space="preserve"> </w:t>
      </w:r>
      <w:r w:rsidR="00C452F8">
        <w:rPr>
          <w:rStyle w:val="Zkladntext1"/>
          <w:rFonts w:ascii="Calibri" w:eastAsia="Times" w:hAnsi="Calibri"/>
          <w:spacing w:val="0"/>
          <w:sz w:val="22"/>
          <w:u w:val="none"/>
          <w:lang w:val="cs-CZ"/>
        </w:rPr>
        <w:t>vzhledem k</w:t>
      </w:r>
      <w:r w:rsidR="00E429B9">
        <w:rPr>
          <w:rStyle w:val="Zkladntext1"/>
          <w:rFonts w:ascii="Calibri" w:eastAsia="Times" w:hAnsi="Calibri"/>
          <w:spacing w:val="0"/>
          <w:sz w:val="22"/>
          <w:u w:val="none"/>
          <w:lang w:val="cs-CZ"/>
        </w:rPr>
        <w:t xml:space="preserve"> první </w:t>
      </w:r>
      <w:r w:rsidR="00E429B9" w:rsidRPr="00E429B9">
        <w:rPr>
          <w:rStyle w:val="Zkladntext1"/>
          <w:rFonts w:ascii="Calibri" w:eastAsia="Times" w:hAnsi="Calibri"/>
          <w:spacing w:val="0"/>
          <w:sz w:val="22"/>
          <w:u w:val="none"/>
          <w:lang w:val="cs-CZ"/>
        </w:rPr>
        <w:t xml:space="preserve">substanci, jako </w:t>
      </w:r>
      <w:r w:rsidR="00E429B9">
        <w:rPr>
          <w:rStyle w:val="Zkladntext1"/>
          <w:rFonts w:ascii="Calibri" w:eastAsia="Times" w:hAnsi="Calibri"/>
          <w:spacing w:val="0"/>
          <w:sz w:val="22"/>
          <w:u w:val="none"/>
          <w:lang w:val="cs-CZ"/>
        </w:rPr>
        <w:t xml:space="preserve">je dán </w:t>
      </w:r>
      <w:r w:rsidR="00E429B9" w:rsidRPr="00E429B9">
        <w:rPr>
          <w:rStyle w:val="Zkladntext1"/>
          <w:rFonts w:ascii="Calibri" w:eastAsia="Times" w:hAnsi="Calibri"/>
          <w:spacing w:val="0"/>
          <w:sz w:val="22"/>
          <w:u w:val="none"/>
          <w:lang w:val="cs-CZ"/>
        </w:rPr>
        <w:t xml:space="preserve">účinek v příčině. Řád </w:t>
      </w:r>
      <w:r w:rsidR="00E429B9">
        <w:rPr>
          <w:rStyle w:val="Zkladntext1"/>
          <w:rFonts w:ascii="Calibri" w:eastAsia="Times" w:hAnsi="Calibri"/>
          <w:spacing w:val="0"/>
          <w:sz w:val="22"/>
          <w:u w:val="none"/>
          <w:lang w:val="cs-CZ"/>
        </w:rPr>
        <w:t xml:space="preserve">bytí </w:t>
      </w:r>
      <w:r w:rsidR="00E429B9" w:rsidRPr="00E429B9">
        <w:rPr>
          <w:rStyle w:val="Zkladntext1"/>
          <w:rFonts w:ascii="Calibri" w:eastAsia="Times" w:hAnsi="Calibri"/>
          <w:spacing w:val="0"/>
          <w:sz w:val="22"/>
          <w:u w:val="none"/>
          <w:lang w:val="cs-CZ"/>
        </w:rPr>
        <w:t>začíná u první substance v bezprostředním smyslovém jsoucnu a v jeho vnímání</w:t>
      </w:r>
      <w:r w:rsidR="000C51C9">
        <w:rPr>
          <w:rStyle w:val="Zkladntext1"/>
          <w:rFonts w:ascii="Calibri" w:eastAsia="Times" w:hAnsi="Calibri"/>
          <w:spacing w:val="0"/>
          <w:sz w:val="22"/>
          <w:u w:val="none"/>
          <w:lang w:val="cs-CZ"/>
        </w:rPr>
        <w:t xml:space="preserve">. Obecné jsoucno </w:t>
      </w:r>
      <w:r w:rsidR="00E429B9" w:rsidRPr="00E429B9">
        <w:rPr>
          <w:rStyle w:val="Zkladntext1"/>
          <w:rFonts w:ascii="Calibri" w:eastAsia="Times" w:hAnsi="Calibri"/>
          <w:spacing w:val="0"/>
          <w:sz w:val="22"/>
          <w:u w:val="none"/>
          <w:lang w:val="cs-CZ"/>
        </w:rPr>
        <w:t xml:space="preserve">není </w:t>
      </w:r>
      <w:r w:rsidR="003F2258">
        <w:rPr>
          <w:rStyle w:val="Zkladntext1"/>
          <w:rFonts w:ascii="Calibri" w:eastAsia="Times" w:hAnsi="Calibri"/>
          <w:spacing w:val="0"/>
          <w:sz w:val="22"/>
          <w:u w:val="none"/>
          <w:lang w:val="cs-CZ"/>
        </w:rPr>
        <w:t xml:space="preserve">uchopeno jako hypostáze </w:t>
      </w:r>
      <w:r w:rsidR="00E429B9" w:rsidRPr="00E429B9">
        <w:rPr>
          <w:rStyle w:val="Zkladntext1"/>
          <w:rFonts w:ascii="Calibri" w:eastAsia="Times" w:hAnsi="Calibri"/>
          <w:spacing w:val="0"/>
          <w:sz w:val="22"/>
          <w:u w:val="none"/>
          <w:lang w:val="cs-CZ"/>
        </w:rPr>
        <w:t>(</w:t>
      </w:r>
      <w:r w:rsidR="00E429B9" w:rsidRPr="00E429B9">
        <w:rPr>
          <w:rStyle w:val="Zkladntext1"/>
          <w:rFonts w:ascii="Calibri" w:eastAsia="Times" w:hAnsi="Calibri"/>
          <w:i/>
          <w:spacing w:val="0"/>
          <w:sz w:val="22"/>
          <w:u w:val="none"/>
          <w:lang w:val="cs-CZ"/>
        </w:rPr>
        <w:t>per se</w:t>
      </w:r>
      <w:r w:rsidR="00E429B9" w:rsidRPr="00E429B9">
        <w:rPr>
          <w:rStyle w:val="Zkladntext1"/>
          <w:rFonts w:ascii="Calibri" w:eastAsia="Times" w:hAnsi="Calibri"/>
          <w:spacing w:val="0"/>
          <w:sz w:val="22"/>
          <w:u w:val="none"/>
          <w:lang w:val="cs-CZ"/>
        </w:rPr>
        <w:t xml:space="preserve">) nebo </w:t>
      </w:r>
      <w:r w:rsidR="00E429B9">
        <w:rPr>
          <w:rStyle w:val="Zkladntext1"/>
          <w:rFonts w:ascii="Calibri" w:eastAsia="Times" w:hAnsi="Calibri"/>
          <w:spacing w:val="0"/>
          <w:sz w:val="22"/>
          <w:u w:val="none"/>
          <w:lang w:val="cs-CZ"/>
        </w:rPr>
        <w:t>skrze obecn</w:t>
      </w:r>
      <w:r w:rsidR="003F2258">
        <w:rPr>
          <w:rStyle w:val="Zkladntext1"/>
          <w:rFonts w:ascii="Calibri" w:eastAsia="Times" w:hAnsi="Calibri"/>
          <w:spacing w:val="0"/>
          <w:sz w:val="22"/>
          <w:u w:val="none"/>
          <w:lang w:val="cs-CZ"/>
        </w:rPr>
        <w:t>ý</w:t>
      </w:r>
      <w:r w:rsidR="00E429B9">
        <w:rPr>
          <w:rStyle w:val="Zkladntext1"/>
          <w:rFonts w:ascii="Calibri" w:eastAsia="Times" w:hAnsi="Calibri"/>
          <w:spacing w:val="0"/>
          <w:sz w:val="22"/>
          <w:u w:val="none"/>
          <w:lang w:val="cs-CZ"/>
        </w:rPr>
        <w:t xml:space="preserve"> </w:t>
      </w:r>
      <w:r w:rsidR="003F2258">
        <w:rPr>
          <w:rStyle w:val="Zkladntext1"/>
          <w:rFonts w:ascii="Calibri" w:eastAsia="Times" w:hAnsi="Calibri"/>
          <w:spacing w:val="0"/>
          <w:sz w:val="22"/>
          <w:u w:val="none"/>
          <w:lang w:val="cs-CZ"/>
        </w:rPr>
        <w:t>pojen</w:t>
      </w:r>
      <w:r w:rsidR="00E429B9" w:rsidRPr="00E429B9">
        <w:rPr>
          <w:rStyle w:val="Zkladntext1"/>
          <w:rFonts w:ascii="Calibri" w:eastAsia="Times" w:hAnsi="Calibri"/>
          <w:spacing w:val="0"/>
          <w:sz w:val="22"/>
          <w:u w:val="none"/>
          <w:lang w:val="cs-CZ"/>
        </w:rPr>
        <w:t xml:space="preserve"> smysl</w:t>
      </w:r>
      <w:r w:rsidR="00E429B9">
        <w:rPr>
          <w:rStyle w:val="Zkladntext1"/>
          <w:rFonts w:ascii="Calibri" w:eastAsia="Times" w:hAnsi="Calibri"/>
          <w:spacing w:val="0"/>
          <w:sz w:val="22"/>
          <w:u w:val="none"/>
          <w:lang w:val="cs-CZ"/>
        </w:rPr>
        <w:t>ovosti, nýbrž jen jako poznaný akcident první substance</w:t>
      </w:r>
      <w:r w:rsidR="00E429B9" w:rsidRPr="00E429B9">
        <w:rPr>
          <w:rStyle w:val="Zkladntext1"/>
          <w:rFonts w:ascii="Calibri" w:eastAsia="Times" w:hAnsi="Calibri"/>
          <w:spacing w:val="0"/>
          <w:sz w:val="22"/>
          <w:u w:val="none"/>
          <w:lang w:val="cs-CZ"/>
        </w:rPr>
        <w:t xml:space="preserve">. Proto platí, že tato bílá </w:t>
      </w:r>
      <w:r w:rsidR="006B5D39">
        <w:rPr>
          <w:rStyle w:val="Zkladntext1"/>
          <w:rFonts w:ascii="Calibri" w:eastAsia="Times" w:hAnsi="Calibri"/>
          <w:spacing w:val="0"/>
          <w:sz w:val="22"/>
          <w:u w:val="none"/>
          <w:lang w:val="cs-CZ"/>
        </w:rPr>
        <w:t xml:space="preserve">barva </w:t>
      </w:r>
      <w:r w:rsidR="00E429B9" w:rsidRPr="00E429B9">
        <w:rPr>
          <w:rStyle w:val="Zkladntext1"/>
          <w:rFonts w:ascii="Calibri" w:eastAsia="Times" w:hAnsi="Calibri"/>
          <w:spacing w:val="0"/>
          <w:sz w:val="22"/>
          <w:u w:val="none"/>
          <w:lang w:val="cs-CZ"/>
        </w:rPr>
        <w:t>patří k tomuto člověku a abstraktní člověk je dán v tomto skutečném člověku. Tak se dostáváme k prvn</w:t>
      </w:r>
      <w:r w:rsidR="006B5D39">
        <w:rPr>
          <w:rStyle w:val="Zkladntext1"/>
          <w:rFonts w:ascii="Calibri" w:eastAsia="Times" w:hAnsi="Calibri"/>
          <w:spacing w:val="0"/>
          <w:sz w:val="22"/>
          <w:u w:val="none"/>
          <w:lang w:val="cs-CZ"/>
        </w:rPr>
        <w:t xml:space="preserve">í </w:t>
      </w:r>
      <w:r w:rsidR="00CB6853">
        <w:rPr>
          <w:rStyle w:val="Zkladntext1"/>
          <w:rFonts w:ascii="Calibri" w:eastAsia="Times" w:hAnsi="Calibri"/>
          <w:spacing w:val="0"/>
          <w:sz w:val="22"/>
          <w:u w:val="none"/>
          <w:lang w:val="cs-CZ"/>
        </w:rPr>
        <w:t xml:space="preserve">universální </w:t>
      </w:r>
      <w:r w:rsidR="006B5D39">
        <w:rPr>
          <w:rStyle w:val="Zkladntext1"/>
          <w:rFonts w:ascii="Calibri" w:eastAsia="Times" w:hAnsi="Calibri"/>
          <w:spacing w:val="0"/>
          <w:sz w:val="22"/>
          <w:u w:val="none"/>
          <w:lang w:val="cs-CZ"/>
        </w:rPr>
        <w:t xml:space="preserve">věci, která zakládá </w:t>
      </w:r>
      <w:r w:rsidR="00E429B9" w:rsidRPr="00E429B9">
        <w:rPr>
          <w:rStyle w:val="Zkladntext1"/>
          <w:rFonts w:ascii="Calibri" w:eastAsia="Times" w:hAnsi="Calibri"/>
          <w:spacing w:val="0"/>
          <w:sz w:val="22"/>
          <w:u w:val="none"/>
          <w:lang w:val="cs-CZ"/>
        </w:rPr>
        <w:t>dělení (</w:t>
      </w:r>
      <w:r w:rsidR="00E429B9" w:rsidRPr="006B5D39">
        <w:rPr>
          <w:rStyle w:val="Zkladntext1"/>
          <w:rFonts w:ascii="Calibri" w:eastAsia="Times" w:hAnsi="Calibri"/>
          <w:i/>
          <w:spacing w:val="0"/>
          <w:sz w:val="22"/>
          <w:u w:val="none"/>
          <w:lang w:val="cs-CZ"/>
        </w:rPr>
        <w:t>ad primum in quo stat resolutio</w:t>
      </w:r>
      <w:r w:rsidR="006B5D39">
        <w:rPr>
          <w:rStyle w:val="Zkladntext1"/>
          <w:rFonts w:ascii="Calibri" w:eastAsia="Times" w:hAnsi="Calibri"/>
          <w:spacing w:val="0"/>
          <w:sz w:val="22"/>
          <w:u w:val="none"/>
          <w:lang w:val="cs-CZ"/>
        </w:rPr>
        <w:t>).</w:t>
      </w:r>
      <w:r w:rsidR="003E6697" w:rsidRPr="00794593">
        <w:rPr>
          <w:rStyle w:val="Zkladntext1"/>
          <w:rFonts w:ascii="Calibri" w:eastAsia="Times" w:hAnsi="Calibri"/>
          <w:spacing w:val="0"/>
          <w:sz w:val="22"/>
          <w:u w:val="none"/>
          <w:lang w:val="x-none"/>
        </w:rPr>
        <w:t>“</w:t>
      </w:r>
      <w:r w:rsidR="00585C03" w:rsidRPr="00794593">
        <w:rPr>
          <w:rStyle w:val="Zkladntext1"/>
          <w:rFonts w:ascii="Calibri" w:eastAsia="Times" w:hAnsi="Calibri"/>
          <w:spacing w:val="0"/>
          <w:sz w:val="22"/>
          <w:u w:val="none"/>
          <w:lang w:val="x-none"/>
        </w:rPr>
        <w:t xml:space="preserve"> </w:t>
      </w:r>
      <w:r w:rsidR="00585C03" w:rsidRPr="00794593">
        <w:rPr>
          <w:rStyle w:val="Znakapoznpodarou"/>
        </w:rPr>
        <w:footnoteReference w:id="226"/>
      </w:r>
    </w:p>
    <w:p w14:paraId="63808206" w14:textId="77777777" w:rsidR="00857D2D" w:rsidRDefault="08EE7EA8" w:rsidP="08E74A63">
      <w:r>
        <w:t xml:space="preserve">Citát podle </w:t>
      </w:r>
      <w:r w:rsidRPr="08EE7EA8">
        <w:rPr>
          <w:i/>
        </w:rPr>
        <w:t>Isagoge</w:t>
      </w:r>
      <w:r>
        <w:t xml:space="preserve"> jasně vidí, že individuum jako </w:t>
      </w:r>
      <w:r w:rsidRPr="08EE7EA8">
        <w:rPr>
          <w:i/>
        </w:rPr>
        <w:t>primum</w:t>
      </w:r>
      <w:r>
        <w:t xml:space="preserve"> je v řadě dělení poslední univerzálie s úplně minimálním významem (</w:t>
      </w:r>
      <w:r w:rsidR="089A7D9D">
        <w:t xml:space="preserve">OBJ I, </w:t>
      </w:r>
      <w:r>
        <w:t xml:space="preserve">kap. 1.3). </w:t>
      </w:r>
      <w:r w:rsidR="00221596" w:rsidRPr="00273106">
        <w:t>Cesta k univerzálním významům začíná u hylemorfické substance</w:t>
      </w:r>
      <w:r w:rsidR="00A70FA4">
        <w:fldChar w:fldCharType="begin"/>
      </w:r>
      <w:r w:rsidR="00A70FA4">
        <w:instrText xml:space="preserve"> XE "</w:instrText>
      </w:r>
      <w:r w:rsidR="00A70FA4" w:rsidRPr="00DE2A32">
        <w:instrText>substance</w:instrText>
      </w:r>
      <w:r w:rsidR="00382B16">
        <w:instrText>:hylemorfická</w:instrText>
      </w:r>
      <w:r w:rsidR="00A70FA4">
        <w:instrText xml:space="preserve">" </w:instrText>
      </w:r>
      <w:r w:rsidR="00A70FA4">
        <w:fldChar w:fldCharType="end"/>
      </w:r>
      <w:r w:rsidR="00221596" w:rsidRPr="00273106">
        <w:t xml:space="preserve">, která je řádu bytí dána </w:t>
      </w:r>
      <w:r w:rsidR="00221596" w:rsidRPr="00273106">
        <w:rPr>
          <w:i/>
        </w:rPr>
        <w:t>per prius</w:t>
      </w:r>
      <w:r w:rsidR="00D8114A" w:rsidRPr="00273106">
        <w:t xml:space="preserve">. </w:t>
      </w:r>
      <w:r w:rsidR="00A86650" w:rsidRPr="00273106">
        <w:t>Určení univerzálií začíná od bezprostředně dané smyslové zkušenosti první substance, jež kauzálně a akcidentálně působí na smysly (</w:t>
      </w:r>
      <w:r w:rsidR="00A86650" w:rsidRPr="00273106">
        <w:rPr>
          <w:i/>
        </w:rPr>
        <w:t>immediatum sensi</w:t>
      </w:r>
      <w:r w:rsidR="00A86650" w:rsidRPr="00273106">
        <w:rPr>
          <w:rStyle w:val="Zkladntext1"/>
          <w:rFonts w:ascii="Calibri" w:eastAsia="Times" w:hAnsi="Calibri"/>
          <w:i/>
          <w:color w:val="auto"/>
          <w:spacing w:val="0"/>
          <w:sz w:val="24"/>
          <w:u w:val="none"/>
          <w:lang w:val="cs-CZ"/>
        </w:rPr>
        <w:t>bile est sensuum</w:t>
      </w:r>
      <w:r w:rsidR="00A86650" w:rsidRPr="00273106">
        <w:t>).</w:t>
      </w:r>
      <w:r w:rsidR="00A86650">
        <w:t xml:space="preserve"> </w:t>
      </w:r>
      <w:r w:rsidR="00BE31A2">
        <w:t xml:space="preserve">Pojem </w:t>
      </w:r>
      <w:r w:rsidR="00E021F9" w:rsidRPr="00273106">
        <w:rPr>
          <w:i/>
        </w:rPr>
        <w:t>resolutio</w:t>
      </w:r>
      <w:r w:rsidR="005A68A7">
        <w:rPr>
          <w:i/>
        </w:rPr>
        <w:fldChar w:fldCharType="begin"/>
      </w:r>
      <w:r w:rsidR="005A68A7">
        <w:instrText xml:space="preserve"> XE "</w:instrText>
      </w:r>
      <w:r w:rsidR="005A68A7" w:rsidRPr="00111E9E">
        <w:rPr>
          <w:i/>
        </w:rPr>
        <w:instrText>resolutio</w:instrText>
      </w:r>
      <w:r w:rsidR="007D3515">
        <w:instrText>:Albert</w:instrText>
      </w:r>
      <w:r w:rsidR="005A68A7">
        <w:instrText xml:space="preserve">" </w:instrText>
      </w:r>
      <w:r w:rsidR="005A68A7">
        <w:rPr>
          <w:i/>
        </w:rPr>
        <w:fldChar w:fldCharType="end"/>
      </w:r>
      <w:r w:rsidR="00E021F9" w:rsidRPr="00273106">
        <w:t xml:space="preserve"> je vztažen ke kauzálnímu působení první substance vnímané smysly (</w:t>
      </w:r>
      <w:r w:rsidR="00E021F9" w:rsidRPr="00273106">
        <w:rPr>
          <w:i/>
        </w:rPr>
        <w:t>sensuum</w:t>
      </w:r>
      <w:r w:rsidR="00B33F3E">
        <w:t xml:space="preserve">). </w:t>
      </w:r>
      <w:r w:rsidR="003A6AA7" w:rsidRPr="003A6AA7">
        <w:t xml:space="preserve">Tento skutečný účinek neexistuje ve </w:t>
      </w:r>
      <w:r w:rsidR="003A6AA7">
        <w:t>formě hypostatické „substance–species“</w:t>
      </w:r>
      <w:r w:rsidR="003A6AA7" w:rsidRPr="003A6AA7">
        <w:t xml:space="preserve"> jako </w:t>
      </w:r>
      <w:r w:rsidR="003A6AA7" w:rsidRPr="003A6AA7">
        <w:rPr>
          <w:i/>
        </w:rPr>
        <w:t>tertium ens</w:t>
      </w:r>
      <w:r w:rsidR="003A6AA7" w:rsidRPr="003A6AA7">
        <w:t>, ani v obecné koncepci (</w:t>
      </w:r>
      <w:r w:rsidR="003A6AA7" w:rsidRPr="003A6AA7">
        <w:rPr>
          <w:i/>
        </w:rPr>
        <w:t>non quidem per se vel commune sensatum</w:t>
      </w:r>
      <w:r w:rsidR="003A6AA7" w:rsidRPr="003A6AA7">
        <w:t xml:space="preserve">). Ve vztahu k tomu, co skutečně existuje, </w:t>
      </w:r>
      <w:r w:rsidR="003A6AA7">
        <w:t xml:space="preserve">je </w:t>
      </w:r>
      <w:r w:rsidR="003A6AA7" w:rsidRPr="003A6AA7">
        <w:t xml:space="preserve">lidské poznání </w:t>
      </w:r>
      <w:r w:rsidR="003A6AA7">
        <w:t>pouze a</w:t>
      </w:r>
      <w:r w:rsidR="003A6AA7" w:rsidRPr="003A6AA7">
        <w:t>kciden</w:t>
      </w:r>
      <w:r w:rsidR="003A6AA7">
        <w:t xml:space="preserve">tem </w:t>
      </w:r>
      <w:r w:rsidR="003A6AA7" w:rsidRPr="003A6AA7">
        <w:t>(</w:t>
      </w:r>
      <w:r w:rsidR="003A6AA7" w:rsidRPr="003A6AA7">
        <w:rPr>
          <w:i/>
        </w:rPr>
        <w:t>per accidens</w:t>
      </w:r>
      <w:r w:rsidR="003A6AA7" w:rsidRPr="003A6AA7">
        <w:t>).</w:t>
      </w:r>
      <w:r w:rsidR="00B33F3E">
        <w:t xml:space="preserve"> </w:t>
      </w:r>
      <w:r w:rsidR="00FD0B1A" w:rsidRPr="00273106">
        <w:t xml:space="preserve">Albert otočil determinaci poznání od </w:t>
      </w:r>
      <w:r w:rsidR="00915583">
        <w:t xml:space="preserve">neoplatonského </w:t>
      </w:r>
      <w:r w:rsidR="00FD0B1A" w:rsidRPr="00273106">
        <w:t xml:space="preserve">pojmu směrem k </w:t>
      </w:r>
      <w:r w:rsidR="00393076">
        <w:t xml:space="preserve">reálné </w:t>
      </w:r>
      <w:r w:rsidR="00FD0B1A" w:rsidRPr="00273106">
        <w:t>věci</w:t>
      </w:r>
      <w:r w:rsidR="00C16203" w:rsidRPr="00273106">
        <w:t xml:space="preserve"> a odmítl abstraktní dělení reality podle </w:t>
      </w:r>
      <w:r w:rsidR="00393076">
        <w:t xml:space="preserve">jsoucen třetího druhu </w:t>
      </w:r>
      <w:r w:rsidR="00E81CF1">
        <w:t>v rámci Porfy</w:t>
      </w:r>
      <w:r w:rsidR="00C16203" w:rsidRPr="00273106">
        <w:t xml:space="preserve">riova stromu. První substance není </w:t>
      </w:r>
      <w:r w:rsidR="00393076">
        <w:t xml:space="preserve">hypostázované </w:t>
      </w:r>
      <w:r w:rsidR="00C16203" w:rsidRPr="00273106">
        <w:rPr>
          <w:i/>
        </w:rPr>
        <w:t>individuum</w:t>
      </w:r>
      <w:r w:rsidR="00393076">
        <w:t xml:space="preserve"> porretánů</w:t>
      </w:r>
      <w:r w:rsidR="00382B16">
        <w:fldChar w:fldCharType="begin"/>
      </w:r>
      <w:r w:rsidR="00382B16">
        <w:instrText xml:space="preserve"> XE "</w:instrText>
      </w:r>
      <w:r w:rsidR="00382B16" w:rsidRPr="00DE2A32">
        <w:instrText>substance</w:instrText>
      </w:r>
      <w:r w:rsidR="00382B16">
        <w:instrText xml:space="preserve">:porretáni" </w:instrText>
      </w:r>
      <w:r w:rsidR="00382B16">
        <w:fldChar w:fldCharType="end"/>
      </w:r>
      <w:r w:rsidR="00393076">
        <w:t xml:space="preserve">, ale univerzální a </w:t>
      </w:r>
      <w:r w:rsidR="00E81CF1">
        <w:t xml:space="preserve">proto </w:t>
      </w:r>
      <w:r w:rsidR="00393076">
        <w:t xml:space="preserve">pouze potenciální druhá substance. </w:t>
      </w:r>
      <w:r w:rsidR="00C16203" w:rsidRPr="00273106">
        <w:t xml:space="preserve">Běloba neexistuje v Albertově </w:t>
      </w:r>
      <w:r w:rsidR="00C16203" w:rsidRPr="00273106">
        <w:rPr>
          <w:i/>
        </w:rPr>
        <w:t>resolutio</w:t>
      </w:r>
      <w:r w:rsidR="00C16203" w:rsidRPr="00273106">
        <w:t xml:space="preserve"> jako akcident daný </w:t>
      </w:r>
      <w:r w:rsidR="00C16203" w:rsidRPr="00273106">
        <w:rPr>
          <w:i/>
        </w:rPr>
        <w:t>per se,</w:t>
      </w:r>
      <w:r w:rsidR="00C16203" w:rsidRPr="00273106">
        <w:t xml:space="preserve"> který </w:t>
      </w:r>
      <w:r w:rsidR="00DC325A">
        <w:t xml:space="preserve">univočně </w:t>
      </w:r>
      <w:r w:rsidR="00C16203" w:rsidRPr="00273106">
        <w:t xml:space="preserve">supluje </w:t>
      </w:r>
      <w:r w:rsidR="00DC325A">
        <w:t xml:space="preserve">první </w:t>
      </w:r>
      <w:r w:rsidR="00C16203" w:rsidRPr="00273106">
        <w:t>substanci</w:t>
      </w:r>
      <w:r w:rsidR="001D2DD0">
        <w:t xml:space="preserve"> v </w:t>
      </w:r>
      <w:r w:rsidR="00DC325A">
        <w:t xml:space="preserve">supozičním </w:t>
      </w:r>
      <w:r w:rsidR="085823A1">
        <w:t xml:space="preserve">modu </w:t>
      </w:r>
      <w:r w:rsidR="00E261E9">
        <w:t>„</w:t>
      </w:r>
      <w:r w:rsidR="001D2DD0" w:rsidRPr="001D2DD0">
        <w:rPr>
          <w:i/>
        </w:rPr>
        <w:t>album albet</w:t>
      </w:r>
      <w:r w:rsidR="00E261E9">
        <w:t>“</w:t>
      </w:r>
      <w:r w:rsidR="00382B16">
        <w:rPr>
          <w:rStyle w:val="Zkladntext1"/>
          <w:rFonts w:ascii="Calibri" w:eastAsia="Times" w:hAnsi="Calibri"/>
          <w:spacing w:val="0"/>
          <w:sz w:val="22"/>
          <w:u w:val="none"/>
          <w:lang w:val="x-none"/>
        </w:rPr>
        <w:fldChar w:fldCharType="begin"/>
      </w:r>
      <w:r w:rsidR="00382B16">
        <w:instrText xml:space="preserve"> XE "</w:instrText>
      </w:r>
      <w:r w:rsidR="00382B16" w:rsidRPr="00C0177F">
        <w:instrText>predikace:běloba</w:instrText>
      </w:r>
      <w:r w:rsidR="00382B16">
        <w:instrText xml:space="preserve">" </w:instrText>
      </w:r>
      <w:r w:rsidR="00382B16">
        <w:rPr>
          <w:rStyle w:val="Zkladntext1"/>
          <w:rFonts w:ascii="Calibri" w:eastAsia="Times" w:hAnsi="Calibri"/>
          <w:spacing w:val="0"/>
          <w:sz w:val="22"/>
          <w:u w:val="none"/>
          <w:lang w:val="x-none"/>
        </w:rPr>
        <w:fldChar w:fldCharType="end"/>
      </w:r>
      <w:r w:rsidR="00857D2D">
        <w:t>, jak to měli Gramatikové</w:t>
      </w:r>
      <w:r w:rsidR="001D2DD0">
        <w:t xml:space="preserve">. </w:t>
      </w:r>
    </w:p>
    <w:p w14:paraId="4BEC4545" w14:textId="77777777" w:rsidR="00926427" w:rsidRDefault="00857D2D" w:rsidP="08E74A63">
      <w:r w:rsidRPr="00857D2D">
        <w:t xml:space="preserve">Logické školy nominalistů </w:t>
      </w:r>
      <w:r>
        <w:t>měly jako impozici i úplně imaginární hypostáze</w:t>
      </w:r>
      <w:r w:rsidRPr="00857D2D">
        <w:t xml:space="preserve">, jako je chiméra (Ebbesen 1986). Věda </w:t>
      </w:r>
      <w:r>
        <w:t>podle prvního a</w:t>
      </w:r>
      <w:r w:rsidRPr="00857D2D">
        <w:t xml:space="preserve">verroismu </w:t>
      </w:r>
      <w:r>
        <w:t>musí být bezpodmínečně pravdivá, proto je dána jako metafyzika</w:t>
      </w:r>
      <w:r w:rsidRPr="00857D2D">
        <w:t xml:space="preserve"> </w:t>
      </w:r>
      <w:r>
        <w:t>reálných prvních substancí</w:t>
      </w:r>
      <w:r w:rsidRPr="00857D2D">
        <w:t>.</w:t>
      </w:r>
      <w:r>
        <w:t xml:space="preserve"> </w:t>
      </w:r>
      <w:r w:rsidR="00221596" w:rsidRPr="00273106">
        <w:t xml:space="preserve">Nově obhájená predikace </w:t>
      </w:r>
      <w:r w:rsidR="00221596" w:rsidRPr="00273106">
        <w:rPr>
          <w:i/>
        </w:rPr>
        <w:t xml:space="preserve">per prius </w:t>
      </w:r>
      <w:r w:rsidR="006C57E9" w:rsidRPr="00273106">
        <w:t xml:space="preserve">je opět </w:t>
      </w:r>
      <w:r w:rsidR="00221596" w:rsidRPr="00273106">
        <w:t xml:space="preserve">vztažená k </w:t>
      </w:r>
      <w:r w:rsidR="002E3B62">
        <w:t>Averroes</w:t>
      </w:r>
      <w:r w:rsidR="00BA6AD4" w:rsidRPr="00273106">
        <w:t xml:space="preserve">em rehabilitované </w:t>
      </w:r>
      <w:r w:rsidR="00221596" w:rsidRPr="00273106">
        <w:t xml:space="preserve">první </w:t>
      </w:r>
      <w:r w:rsidR="006C57E9" w:rsidRPr="00273106">
        <w:t>substanci</w:t>
      </w:r>
      <w:r w:rsidR="009C72E2" w:rsidRPr="00273106">
        <w:t>, která svou aktualitou zakládá potenciální svět univerzálií a jejich dělení</w:t>
      </w:r>
      <w:r w:rsidR="003E6773" w:rsidRPr="00273106">
        <w:t>.</w:t>
      </w:r>
      <w:r w:rsidR="08C7235F">
        <w:t xml:space="preserve"> </w:t>
      </w:r>
    </w:p>
    <w:p w14:paraId="6223A19D" w14:textId="77777777" w:rsidR="00BB2F9B" w:rsidRDefault="00926427" w:rsidP="00760CD2">
      <w:pPr>
        <w:ind w:firstLine="397"/>
      </w:pPr>
      <w:r w:rsidRPr="00926427">
        <w:t>Filozofická antropologie založená na realistické metafyzice</w:t>
      </w:r>
      <w:r>
        <w:t xml:space="preserve"> „s</w:t>
      </w:r>
      <w:r w:rsidRPr="00926427">
        <w:t xml:space="preserve">ubstance </w:t>
      </w:r>
      <w:r w:rsidRPr="00926427">
        <w:rPr>
          <w:i/>
        </w:rPr>
        <w:t>qua</w:t>
      </w:r>
      <w:r w:rsidR="007C070E">
        <w:t xml:space="preserve"> substance“</w:t>
      </w:r>
      <w:r w:rsidRPr="00926427">
        <w:t xml:space="preserve"> založila dvojí určení člověka. Albert zce</w:t>
      </w:r>
      <w:r w:rsidR="00FA45D9">
        <w:t xml:space="preserve">la přesně rozlišuje dějinné </w:t>
      </w:r>
      <w:r w:rsidR="00FA45D9" w:rsidRPr="00FA45D9">
        <w:rPr>
          <w:i/>
        </w:rPr>
        <w:t>Lichtung</w:t>
      </w:r>
      <w:r w:rsidR="00FA45D9">
        <w:rPr>
          <w:i/>
        </w:rPr>
        <w:fldChar w:fldCharType="begin"/>
      </w:r>
      <w:r w:rsidR="00FA45D9">
        <w:instrText xml:space="preserve"> XE "</w:instrText>
      </w:r>
      <w:r w:rsidR="00FA45D9" w:rsidRPr="008D0392">
        <w:rPr>
          <w:i/>
        </w:rPr>
        <w:instrText>Lichtung</w:instrText>
      </w:r>
      <w:r w:rsidR="00FA45D9">
        <w:instrText xml:space="preserve">" </w:instrText>
      </w:r>
      <w:r w:rsidR="00FA45D9">
        <w:rPr>
          <w:i/>
        </w:rPr>
        <w:fldChar w:fldCharType="end"/>
      </w:r>
      <w:r w:rsidR="00FA45D9">
        <w:t xml:space="preserve"> </w:t>
      </w:r>
      <w:r w:rsidRPr="00926427">
        <w:lastRenderedPageBreak/>
        <w:t>moderních humanitních věd. Jsou svou povahou nepravdivé, protože představují nevědecký způsob, jak se vyhnou</w:t>
      </w:r>
      <w:r w:rsidR="007C070E">
        <w:t>t realitě, místo aby následovaly</w:t>
      </w:r>
      <w:r w:rsidRPr="00926427">
        <w:t xml:space="preserve"> </w:t>
      </w:r>
      <w:r w:rsidR="007C070E">
        <w:t xml:space="preserve">nutnost danou </w:t>
      </w:r>
      <w:r w:rsidRPr="00926427">
        <w:t>na úrovni prvních substancí. Je pochopitelné, že existující osoba je součástí této reality, protože jsme první substancí.</w:t>
      </w:r>
      <w:r w:rsidR="007C070E">
        <w:t xml:space="preserve"> </w:t>
      </w:r>
      <w:r w:rsidR="005D276F" w:rsidRPr="005D276F">
        <w:t xml:space="preserve">Buď se podíváme na celek bytí a člověka pomocí moderního porozumění určeného uznáním hypostatizované abstraktní formy jako </w:t>
      </w:r>
      <w:r w:rsidR="005D276F" w:rsidRPr="00FC1DE9">
        <w:rPr>
          <w:i/>
        </w:rPr>
        <w:t>tertium ens</w:t>
      </w:r>
      <w:r w:rsidR="00FC1DE9">
        <w:t>. N</w:t>
      </w:r>
      <w:r w:rsidR="005D276F" w:rsidRPr="005D276F">
        <w:t xml:space="preserve">ebo sledujeme </w:t>
      </w:r>
      <w:r w:rsidR="00FC1DE9">
        <w:t>cestu poznání danou</w:t>
      </w:r>
      <w:r w:rsidR="005D276F" w:rsidRPr="005D276F">
        <w:t xml:space="preserve"> kauzalitou skutečných věcí. Oba způsoby poznání jsou nekompatibilní </w:t>
      </w:r>
      <w:r w:rsidR="005D276F" w:rsidRPr="00FC1DE9">
        <w:rPr>
          <w:i/>
        </w:rPr>
        <w:t>simpliciter</w:t>
      </w:r>
      <w:r w:rsidR="005D276F" w:rsidRPr="005D276F">
        <w:t>, protože</w:t>
      </w:r>
      <w:r w:rsidR="00FC1DE9">
        <w:t xml:space="preserve"> zkoumají naprosto odlišný rod jsoucna</w:t>
      </w:r>
      <w:r w:rsidR="005D276F" w:rsidRPr="005D276F">
        <w:t xml:space="preserve">. </w:t>
      </w:r>
      <w:r w:rsidR="00FC1DE9">
        <w:t xml:space="preserve">A cesta nejsoucna je podle Parmenida neschůdná </w:t>
      </w:r>
      <w:r w:rsidR="00FC1DE9" w:rsidRPr="00FC1DE9">
        <w:rPr>
          <w:i/>
        </w:rPr>
        <w:t>simpliciter</w:t>
      </w:r>
      <w:r w:rsidR="00FC1DE9">
        <w:t xml:space="preserve">. </w:t>
      </w:r>
      <w:r w:rsidR="005D276F" w:rsidRPr="005D276F">
        <w:t xml:space="preserve">Vzhledem ke zcela odlišnému významu používaných pojmů </w:t>
      </w:r>
      <w:r w:rsidR="00FC1DE9">
        <w:t xml:space="preserve">nelze </w:t>
      </w:r>
      <w:r w:rsidR="005D276F" w:rsidRPr="005D276F">
        <w:t xml:space="preserve">zavést </w:t>
      </w:r>
      <w:r w:rsidR="00FC1DE9">
        <w:t xml:space="preserve">jedno pojetí filozofie, jak to </w:t>
      </w:r>
      <w:r w:rsidR="005D276F" w:rsidRPr="005D276F">
        <w:t>předstírají všichni objektivisté</w:t>
      </w:r>
      <w:r w:rsidR="00FC1DE9">
        <w:t xml:space="preserve"> kráčející po neschůdné cestě </w:t>
      </w:r>
      <w:r w:rsidR="00FC1DE9" w:rsidRPr="00FC1DE9">
        <w:rPr>
          <w:i/>
        </w:rPr>
        <w:t>tertium ens</w:t>
      </w:r>
      <w:r w:rsidR="005D276F" w:rsidRPr="005D276F">
        <w:t xml:space="preserve">. Albert a další znalci skutečného aristotelismu velmi </w:t>
      </w:r>
      <w:r w:rsidR="00FC1DE9">
        <w:t>dobře věděli, že první a druhý averroismus nemá</w:t>
      </w:r>
      <w:r w:rsidR="005D276F" w:rsidRPr="005D276F">
        <w:t xml:space="preserve"> stejný koncept bytí.</w:t>
      </w:r>
      <w:r w:rsidR="00887151">
        <w:t xml:space="preserve"> </w:t>
      </w:r>
      <w:r w:rsidR="08706965">
        <w:t xml:space="preserve">Esence není </w:t>
      </w:r>
      <w:r w:rsidR="00887151">
        <w:t xml:space="preserve">hyparchická </w:t>
      </w:r>
      <w:r w:rsidR="08706965">
        <w:t>substance, což u</w:t>
      </w:r>
      <w:r w:rsidR="0094651A">
        <w:t xml:space="preserve">kázal </w:t>
      </w:r>
      <w:r w:rsidR="00610366">
        <w:t xml:space="preserve">dvojí </w:t>
      </w:r>
      <w:r w:rsidR="0094651A">
        <w:t xml:space="preserve">výklad </w:t>
      </w:r>
      <w:r w:rsidR="0094651A" w:rsidRPr="00610366">
        <w:rPr>
          <w:i/>
        </w:rPr>
        <w:t>Kategorií</w:t>
      </w:r>
      <w:r w:rsidR="0094651A">
        <w:t xml:space="preserve"> a </w:t>
      </w:r>
      <w:r w:rsidR="0094651A" w:rsidRPr="00610366">
        <w:rPr>
          <w:i/>
        </w:rPr>
        <w:t>Druhých analytik</w:t>
      </w:r>
      <w:r w:rsidR="00610366">
        <w:t xml:space="preserve"> podle metafyziky Avicenny a podle „meta</w:t>
      </w:r>
      <w:r w:rsidR="00610366">
        <w:noBreakHyphen/>
        <w:t>fyziky“ Averroese</w:t>
      </w:r>
      <w:r w:rsidR="0094651A">
        <w:t xml:space="preserve">. </w:t>
      </w:r>
      <w:r w:rsidR="002F0B9E">
        <w:t>První cesta poznání je definovaná podle abstrak</w:t>
      </w:r>
      <w:r w:rsidR="00700F03">
        <w:t>t</w:t>
      </w:r>
      <w:r w:rsidR="009A0070">
        <w:t xml:space="preserve">ního náhledu </w:t>
      </w:r>
      <w:r w:rsidR="002F0B9E">
        <w:t xml:space="preserve">Avicenny v </w:t>
      </w:r>
      <w:r w:rsidR="00226578">
        <w:t xml:space="preserve">logickém </w:t>
      </w:r>
      <w:r w:rsidR="002F0B9E">
        <w:t xml:space="preserve">modu </w:t>
      </w:r>
      <w:r w:rsidR="002F0B9E" w:rsidRPr="002F0B9E">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rsidR="08F01710">
        <w:t xml:space="preserve"> a druhá </w:t>
      </w:r>
      <w:r w:rsidR="002F0B9E">
        <w:t xml:space="preserve">podle </w:t>
      </w:r>
      <w:r w:rsidR="002E3B62">
        <w:t>Averroes</w:t>
      </w:r>
      <w:r w:rsidR="002F0B9E">
        <w:t>ovy metafyziky sleduj</w:t>
      </w:r>
      <w:r w:rsidR="00700F03">
        <w:t>í</w:t>
      </w:r>
      <w:r w:rsidR="002F0B9E">
        <w:t xml:space="preserve">cí predikaci substance </w:t>
      </w:r>
      <w:r w:rsidR="002F0B9E" w:rsidRPr="002F0B9E">
        <w:rPr>
          <w:i/>
        </w:rPr>
        <w:t>qua</w:t>
      </w:r>
      <w:r w:rsidR="002F0B9E">
        <w:t xml:space="preserve"> substance</w:t>
      </w:r>
      <w:r w:rsidR="00044D37">
        <w:fldChar w:fldCharType="begin"/>
      </w:r>
      <w:r w:rsidR="00044D37">
        <w:instrText xml:space="preserve"> XE "</w:instrText>
      </w:r>
      <w:r w:rsidR="00044D37" w:rsidRPr="009C5362">
        <w:instrText>substance:</w:instrText>
      </w:r>
      <w:r w:rsidR="00044D37" w:rsidRPr="009C5362">
        <w:rPr>
          <w:i/>
        </w:rPr>
        <w:instrText>qua</w:instrText>
      </w:r>
      <w:r w:rsidR="00044D37" w:rsidRPr="009C5362">
        <w:instrText xml:space="preserve"> substance</w:instrText>
      </w:r>
      <w:r w:rsidR="00044D37">
        <w:instrText xml:space="preserve">" </w:instrText>
      </w:r>
      <w:r w:rsidR="00044D37">
        <w:fldChar w:fldCharType="end"/>
      </w:r>
      <w:r w:rsidR="002F0B9E">
        <w:t xml:space="preserve">. </w:t>
      </w:r>
      <w:r w:rsidR="00726103">
        <w:t xml:space="preserve">Vraťme se k úvodní a zcela zásadní části spisu </w:t>
      </w:r>
      <w:r w:rsidR="00726103" w:rsidRPr="00726103">
        <w:rPr>
          <w:i/>
        </w:rPr>
        <w:t>De homine</w:t>
      </w:r>
      <w:r w:rsidR="00726103">
        <w:t>, který brání vědecké poznání duše</w:t>
      </w:r>
      <w:r w:rsidR="00AB4431">
        <w:t xml:space="preserve"> potvrzené pozdějším výkladem </w:t>
      </w:r>
      <w:r w:rsidR="00AB4431" w:rsidRPr="00BA66E9">
        <w:rPr>
          <w:i/>
        </w:rPr>
        <w:t>Druhých analytik</w:t>
      </w:r>
      <w:r w:rsidR="00726103">
        <w:t xml:space="preserve">. </w:t>
      </w:r>
      <w:r w:rsidR="00BA66E9" w:rsidRPr="00273106">
        <w:t xml:space="preserve">Albert kritizuje nominalistické pojetí </w:t>
      </w:r>
      <w:r w:rsidR="00B1298A" w:rsidRPr="00760CD2">
        <w:t>species</w:t>
      </w:r>
      <w:r w:rsidR="00BA66E9" w:rsidRPr="00273106">
        <w:t>.</w:t>
      </w:r>
      <w:r w:rsidR="00BA66E9" w:rsidRPr="00273106">
        <w:rPr>
          <w:rStyle w:val="Znakapoznpodarou"/>
        </w:rPr>
        <w:footnoteReference w:id="227"/>
      </w:r>
      <w:r w:rsidR="00BA66E9" w:rsidRPr="00273106">
        <w:t xml:space="preserve"> </w:t>
      </w:r>
      <w:r w:rsidR="00760CD2">
        <w:t>Nesledují metafyzickou i</w:t>
      </w:r>
      <w:r w:rsidR="00760CD2" w:rsidRPr="00760CD2">
        <w:t xml:space="preserve">mpozici </w:t>
      </w:r>
      <w:r w:rsidR="00760CD2">
        <w:t>z reality, nýbrž jen logickou s</w:t>
      </w:r>
      <w:r w:rsidR="00760CD2" w:rsidRPr="00760CD2">
        <w:t>uppozici, která spočívá na nejednoznačné abstrakci. Poznání nemůže být založeno na sebepoznání osvíceného intelektu v rámci abstraktního rozdělení rodu na niž</w:t>
      </w:r>
      <w:r w:rsidR="00760CD2">
        <w:t>ší části v rámci Porfyriova stromu</w:t>
      </w:r>
      <w:r w:rsidR="00760CD2" w:rsidRPr="00760CD2">
        <w:t>.</w:t>
      </w:r>
    </w:p>
    <w:p w14:paraId="12259F3D" w14:textId="0BFBDF4D" w:rsidR="08E74A63" w:rsidRPr="00273106" w:rsidRDefault="00355619" w:rsidP="00760CD2">
      <w:pPr>
        <w:ind w:firstLine="397"/>
      </w:pPr>
      <w:r>
        <w:t xml:space="preserve">Nutnost určující </w:t>
      </w:r>
      <w:r w:rsidR="08E74A63" w:rsidRPr="00273106">
        <w:t>myšlení a činění pravdivých závěrů je dán</w:t>
      </w:r>
      <w:r>
        <w:t>a</w:t>
      </w:r>
      <w:r w:rsidR="08E74A63" w:rsidRPr="00273106">
        <w:t xml:space="preserve"> z realit</w:t>
      </w:r>
      <w:r w:rsidR="08E74A63">
        <w:t xml:space="preserve">y poznávané nasvícením zepředu, což Albert ukazuje novou definicí poznávající mysli </w:t>
      </w:r>
      <w:r w:rsidR="08E74A63" w:rsidRPr="00273106">
        <w:t>(</w:t>
      </w:r>
      <w:r w:rsidR="08E74A63" w:rsidRPr="00273106">
        <w:rPr>
          <w:i/>
        </w:rPr>
        <w:t>habitus</w:t>
      </w:r>
      <w:r w:rsidR="08E74A63" w:rsidRPr="00273106">
        <w:t>).</w:t>
      </w:r>
      <w:r w:rsidR="08E74A63">
        <w:t xml:space="preserve"> </w:t>
      </w:r>
      <w:r w:rsidR="08E74A63" w:rsidRPr="00273106">
        <w:t xml:space="preserve">Moderní ilumináti inspirovaní Avicennou přijímají </w:t>
      </w:r>
      <w:r w:rsidR="00CF3A86">
        <w:t xml:space="preserve">neoplatonské </w:t>
      </w:r>
      <w:r w:rsidR="08E74A63" w:rsidRPr="00273106">
        <w:t xml:space="preserve">poznání </w:t>
      </w:r>
      <w:r w:rsidR="08E74A63">
        <w:t>s</w:t>
      </w:r>
      <w:r w:rsidR="08E74A63" w:rsidRPr="00273106">
        <w:t xml:space="preserve">hůry a pak </w:t>
      </w:r>
      <w:r w:rsidR="08E74A63">
        <w:t xml:space="preserve">poznané </w:t>
      </w:r>
      <w:r w:rsidR="08E74A63" w:rsidRPr="00273106">
        <w:t>podržují ve zvláštní formě paměti a mysli opřené o permanentn</w:t>
      </w:r>
      <w:r w:rsidR="08E74A63">
        <w:t>ě dané první principy. V</w:t>
      </w:r>
      <w:r w:rsidR="08E74A63" w:rsidRPr="00273106">
        <w:t xml:space="preserve">iz </w:t>
      </w:r>
      <w:r w:rsidR="08E74A63">
        <w:t xml:space="preserve">pozdější </w:t>
      </w:r>
      <w:r w:rsidR="00FE2F69">
        <w:t xml:space="preserve">modernistický </w:t>
      </w:r>
      <w:r w:rsidR="08E74A63">
        <w:t xml:space="preserve">termín </w:t>
      </w:r>
      <w:r w:rsidR="00A4198B">
        <w:t>„</w:t>
      </w:r>
      <w:r w:rsidR="08E74A63" w:rsidRPr="00273106">
        <w:rPr>
          <w:i/>
        </w:rPr>
        <w:t>habitus innatus</w:t>
      </w:r>
      <w:r w:rsidR="00A4198B">
        <w:t>“</w:t>
      </w:r>
      <w:r w:rsidR="08E74A63">
        <w:rPr>
          <w:i/>
        </w:rPr>
        <w:fldChar w:fldCharType="begin"/>
      </w:r>
      <w:r w:rsidR="08E74A63">
        <w:instrText xml:space="preserve"> XE "</w:instrText>
      </w:r>
      <w:r w:rsidR="08E74A63" w:rsidRPr="0022452D">
        <w:rPr>
          <w:i/>
        </w:rPr>
        <w:instrText>habitus innatus</w:instrText>
      </w:r>
      <w:r w:rsidR="08E74A63">
        <w:instrText xml:space="preserve">" </w:instrText>
      </w:r>
      <w:r w:rsidR="08E74A63">
        <w:rPr>
          <w:i/>
        </w:rPr>
        <w:fldChar w:fldCharType="end"/>
      </w:r>
      <w:r w:rsidR="08E74A63">
        <w:t xml:space="preserve"> a Descartovu vrozenou ideu boha</w:t>
      </w:r>
      <w:r w:rsidR="08E74A63" w:rsidRPr="00273106">
        <w:t xml:space="preserve">. Albert </w:t>
      </w:r>
      <w:r w:rsidR="08E74A63">
        <w:t xml:space="preserve">jasně </w:t>
      </w:r>
      <w:r w:rsidR="08E74A63" w:rsidRPr="00273106">
        <w:t>vidí</w:t>
      </w:r>
      <w:r w:rsidR="08E74A63">
        <w:t xml:space="preserve"> v komentáři ke </w:t>
      </w:r>
      <w:r w:rsidR="08E74A63" w:rsidRPr="003478F4">
        <w:rPr>
          <w:i/>
        </w:rPr>
        <w:t>Druhým analytikám</w:t>
      </w:r>
      <w:r w:rsidR="08E74A63" w:rsidRPr="00273106">
        <w:t xml:space="preserve">, že princip určující vědecký charakter </w:t>
      </w:r>
      <w:r w:rsidR="08E74A63" w:rsidRPr="00273106">
        <w:rPr>
          <w:i/>
        </w:rPr>
        <w:t>demonstratio</w:t>
      </w:r>
      <w:r w:rsidR="08E74A63">
        <w:rPr>
          <w:i/>
        </w:rPr>
        <w:fldChar w:fldCharType="begin"/>
      </w:r>
      <w:r w:rsidR="08E74A63">
        <w:instrText xml:space="preserve"> XE "</w:instrText>
      </w:r>
      <w:r w:rsidR="08E74A63" w:rsidRPr="004E6075">
        <w:rPr>
          <w:i/>
        </w:rPr>
        <w:instrText>demonstratio</w:instrText>
      </w:r>
      <w:r w:rsidR="08E74A63" w:rsidRPr="004D3432">
        <w:instrText>:druhý averroismus</w:instrText>
      </w:r>
      <w:r w:rsidR="08E74A63">
        <w:instrText xml:space="preserve">" </w:instrText>
      </w:r>
      <w:r w:rsidR="08E74A63">
        <w:rPr>
          <w:i/>
        </w:rPr>
        <w:fldChar w:fldCharType="end"/>
      </w:r>
      <w:r w:rsidR="08E74A63" w:rsidRPr="00273106">
        <w:t xml:space="preserve"> jeho protivníků není vzat z reality, ale pouze z poznání daného v</w:t>
      </w:r>
      <w:r w:rsidR="00952ACA">
        <w:t xml:space="preserve"> samotné </w:t>
      </w:r>
      <w:r w:rsidR="08E74A63" w:rsidRPr="00273106">
        <w:t>mysli.</w:t>
      </w:r>
    </w:p>
    <w:p w14:paraId="485A9C5C" w14:textId="1F7090A0" w:rsidR="08E74A63" w:rsidRPr="00273106" w:rsidRDefault="08E74A63" w:rsidP="08E74A63">
      <w:pPr>
        <w:pStyle w:val="Citace"/>
        <w:rPr>
          <w:noProof/>
          <w:lang w:val="cs-CZ"/>
        </w:rPr>
      </w:pPr>
      <w:r w:rsidRPr="00273106">
        <w:rPr>
          <w:noProof/>
          <w:lang w:val="cs-CZ"/>
        </w:rPr>
        <w:lastRenderedPageBreak/>
        <w:t>„Někteří tvrdí, že vědecké poznání je definováno v duši tak, že je dáno ve způsobu, jak je deduktivní soud uchopen sám o sobě</w:t>
      </w:r>
      <w:r>
        <w:rPr>
          <w:noProof/>
          <w:lang w:val="cs-CZ"/>
        </w:rPr>
        <w:t xml:space="preserve"> (</w:t>
      </w:r>
      <w:r>
        <w:rPr>
          <w:i/>
        </w:rPr>
        <w:t>habitus acqui</w:t>
      </w:r>
      <w:r w:rsidRPr="00596669">
        <w:rPr>
          <w:i/>
        </w:rPr>
        <w:t>situs per demonstrationem</w:t>
      </w:r>
      <w:r>
        <w:rPr>
          <w:noProof/>
          <w:lang w:val="cs-CZ"/>
        </w:rPr>
        <w:t>)</w:t>
      </w:r>
      <w:r w:rsidRPr="00273106">
        <w:rPr>
          <w:noProof/>
          <w:lang w:val="cs-CZ"/>
        </w:rPr>
        <w:t xml:space="preserve">. Ale to by se definované poznání nevztahovalo k tomu, co je </w:t>
      </w:r>
      <w:r w:rsidR="001C4B6A">
        <w:rPr>
          <w:noProof/>
          <w:lang w:val="cs-CZ"/>
        </w:rPr>
        <w:t xml:space="preserve">deduktivně </w:t>
      </w:r>
      <w:r w:rsidRPr="00273106">
        <w:rPr>
          <w:noProof/>
          <w:lang w:val="cs-CZ"/>
        </w:rPr>
        <w:t>definováno</w:t>
      </w:r>
      <w:r>
        <w:rPr>
          <w:noProof/>
          <w:lang w:val="cs-CZ"/>
        </w:rPr>
        <w:t xml:space="preserve"> </w:t>
      </w:r>
      <w:r w:rsidR="001C4B6A">
        <w:rPr>
          <w:noProof/>
          <w:lang w:val="cs-CZ"/>
        </w:rPr>
        <w:t xml:space="preserve">z reality </w:t>
      </w:r>
      <w:r>
        <w:rPr>
          <w:noProof/>
          <w:lang w:val="cs-CZ"/>
        </w:rPr>
        <w:t>(</w:t>
      </w:r>
      <w:r w:rsidRPr="00596669">
        <w:rPr>
          <w:i/>
        </w:rPr>
        <w:t>non erit diffinitio demonstrata de diffinito</w:t>
      </w:r>
      <w:r>
        <w:rPr>
          <w:noProof/>
          <w:lang w:val="cs-CZ"/>
        </w:rPr>
        <w:t>)</w:t>
      </w:r>
      <w:r w:rsidRPr="00273106">
        <w:rPr>
          <w:noProof/>
          <w:lang w:val="cs-CZ"/>
        </w:rPr>
        <w:t>. Propozice '</w:t>
      </w:r>
      <w:r w:rsidRPr="00273106">
        <w:rPr>
          <w:i/>
          <w:noProof/>
          <w:lang w:val="cs-CZ"/>
        </w:rPr>
        <w:t>ex</w:t>
      </w:r>
      <w:r w:rsidRPr="00273106">
        <w:rPr>
          <w:noProof/>
          <w:lang w:val="cs-CZ"/>
        </w:rPr>
        <w:t>' o</w:t>
      </w:r>
      <w:r>
        <w:rPr>
          <w:noProof/>
          <w:lang w:val="cs-CZ"/>
        </w:rPr>
        <w:t>značuje buď kauzu nebo okolnosti</w:t>
      </w:r>
      <w:r w:rsidRPr="00273106">
        <w:rPr>
          <w:noProof/>
          <w:lang w:val="cs-CZ"/>
        </w:rPr>
        <w:t xml:space="preserve"> jejího účinnéh</w:t>
      </w:r>
      <w:r w:rsidR="0889013B">
        <w:rPr>
          <w:noProof/>
          <w:lang w:val="cs-CZ"/>
        </w:rPr>
        <w:t xml:space="preserve">o působení. Premisy dané </w:t>
      </w:r>
      <w:r w:rsidR="0028576A">
        <w:rPr>
          <w:noProof/>
          <w:lang w:val="cs-CZ"/>
        </w:rPr>
        <w:t xml:space="preserve">tímto druhem kauzality </w:t>
      </w:r>
      <w:r w:rsidRPr="00273106">
        <w:rPr>
          <w:noProof/>
          <w:lang w:val="cs-CZ"/>
        </w:rPr>
        <w:t xml:space="preserve">zakládají </w:t>
      </w:r>
      <w:r w:rsidR="003F252A">
        <w:rPr>
          <w:noProof/>
          <w:lang w:val="cs-CZ"/>
        </w:rPr>
        <w:t xml:space="preserve">tento </w:t>
      </w:r>
      <w:r w:rsidR="0028576A" w:rsidRPr="00273106">
        <w:rPr>
          <w:noProof/>
          <w:lang w:val="cs-CZ"/>
        </w:rPr>
        <w:t>habitus</w:t>
      </w:r>
      <w:r w:rsidR="0028576A">
        <w:rPr>
          <w:noProof/>
          <w:lang w:val="cs-CZ"/>
        </w:rPr>
        <w:t xml:space="preserve"> </w:t>
      </w:r>
      <w:r w:rsidR="003F252A">
        <w:rPr>
          <w:lang w:val="fr-FR"/>
        </w:rPr>
        <w:t>(</w:t>
      </w:r>
      <w:r w:rsidR="003F252A" w:rsidRPr="00CD16D8">
        <w:rPr>
          <w:i/>
        </w:rPr>
        <w:t>talis habitus</w:t>
      </w:r>
      <w:r w:rsidR="003F252A">
        <w:rPr>
          <w:lang w:val="fr-FR"/>
        </w:rPr>
        <w:t xml:space="preserve">) </w:t>
      </w:r>
      <w:r w:rsidR="0028576A">
        <w:rPr>
          <w:noProof/>
          <w:lang w:val="cs-CZ"/>
        </w:rPr>
        <w:t>v modu účinné příčiny</w:t>
      </w:r>
      <w:r w:rsidRPr="00273106">
        <w:rPr>
          <w:noProof/>
          <w:lang w:val="cs-CZ"/>
        </w:rPr>
        <w:t xml:space="preserve">.“ </w:t>
      </w:r>
      <w:r w:rsidRPr="00273106">
        <w:rPr>
          <w:rStyle w:val="Znakapoznpodarou"/>
          <w:noProof/>
          <w:lang w:val="cs-CZ"/>
        </w:rPr>
        <w:footnoteReference w:id="228"/>
      </w:r>
    </w:p>
    <w:p w14:paraId="572D4DE9" w14:textId="22ED3145" w:rsidR="00BA66BC" w:rsidRPr="00273106" w:rsidRDefault="08E74A63" w:rsidP="00BA66BC">
      <w:r w:rsidRPr="00273106">
        <w:t>Modernistům stačí podle Alberta pouze fakt, že dedukce je vytvořena formálně správně v mysli poznávajícího (</w:t>
      </w:r>
      <w:r w:rsidRPr="00273106">
        <w:rPr>
          <w:i/>
        </w:rPr>
        <w:t>scientiam in anima</w:t>
      </w:r>
      <w:r w:rsidRPr="00273106">
        <w:t xml:space="preserve">). Citát zdůrazňuje, že </w:t>
      </w:r>
      <w:r w:rsidR="087E3D88">
        <w:t xml:space="preserve">takové </w:t>
      </w:r>
      <w:r>
        <w:t xml:space="preserve">logické </w:t>
      </w:r>
      <w:r w:rsidRPr="00273106">
        <w:t>závěry nejsou vzaty z reality. Zdůrazněný</w:t>
      </w:r>
      <w:r>
        <w:t xml:space="preserve"> </w:t>
      </w:r>
      <w:r w:rsidRPr="00273106">
        <w:t xml:space="preserve">první princip poznání daného kauzalitou první substance </w:t>
      </w:r>
      <w:r>
        <w:t>(</w:t>
      </w:r>
      <w:r w:rsidRPr="00273106">
        <w:rPr>
          <w:i/>
        </w:rPr>
        <w:t>ex</w:t>
      </w:r>
      <w:r w:rsidRPr="00273106">
        <w:t xml:space="preserve">) se musí vztahovat ke skutečnému </w:t>
      </w:r>
      <w:r w:rsidRPr="00273106">
        <w:rPr>
          <w:i/>
        </w:rPr>
        <w:t>demonstratio</w:t>
      </w:r>
      <w:r>
        <w:rPr>
          <w:i/>
        </w:rPr>
        <w:fldChar w:fldCharType="begin"/>
      </w:r>
      <w:r>
        <w:instrText xml:space="preserve"> XE "</w:instrText>
      </w:r>
      <w:r w:rsidRPr="004E6075">
        <w:rPr>
          <w:i/>
        </w:rPr>
        <w:instrText>demonstratio:</w:instrText>
      </w:r>
      <w:r>
        <w:instrText>A</w:instrText>
      </w:r>
      <w:r w:rsidR="08FC0A24">
        <w:instrText>lbert</w:instrText>
      </w:r>
      <w:r>
        <w:instrText xml:space="preserve">" </w:instrText>
      </w:r>
      <w:r>
        <w:rPr>
          <w:i/>
        </w:rPr>
        <w:fldChar w:fldCharType="end"/>
      </w:r>
      <w:r w:rsidRPr="00273106">
        <w:t xml:space="preserve">. </w:t>
      </w:r>
      <w:r>
        <w:t xml:space="preserve">Proto Albert hájí poznání v modu </w:t>
      </w:r>
      <w:r w:rsidR="00785524">
        <w:t>„</w:t>
      </w:r>
      <w:r w:rsidRPr="00273106">
        <w:rPr>
          <w:i/>
        </w:rPr>
        <w:t>habitus acquisitus</w:t>
      </w:r>
      <w:r w:rsidR="00785524">
        <w:t>“</w:t>
      </w:r>
      <w:r>
        <w:t xml:space="preserve">, protože duše je svou podstatou </w:t>
      </w:r>
      <w:r w:rsidRPr="08E74A63">
        <w:rPr>
          <w:i/>
        </w:rPr>
        <w:t>tabula rasa</w:t>
      </w:r>
      <w:r>
        <w:t xml:space="preserve"> a veškeré poznání musí přijmout od smyslů. </w:t>
      </w:r>
      <w:r w:rsidRPr="00273106">
        <w:t xml:space="preserve">Vědecká demonstrace je podle prvního a nejdůležitějšího principu </w:t>
      </w:r>
      <w:r w:rsidRPr="00773F89">
        <w:rPr>
          <w:i/>
        </w:rPr>
        <w:t>Druhých analytik</w:t>
      </w:r>
      <w:r w:rsidRPr="00273106">
        <w:t xml:space="preserve"> determinována </w:t>
      </w:r>
      <w:r w:rsidR="08D91F67">
        <w:rPr>
          <w:i/>
        </w:rPr>
        <w:t>ex in</w:t>
      </w:r>
      <w:r w:rsidRPr="00773F89">
        <w:rPr>
          <w:i/>
        </w:rPr>
        <w:t>mediatis</w:t>
      </w:r>
      <w:r>
        <w:t xml:space="preserve">, tedy </w:t>
      </w:r>
      <w:r w:rsidRPr="00273106">
        <w:t>poznáním reálné příčiny (</w:t>
      </w:r>
      <w:r w:rsidRPr="00273106">
        <w:rPr>
          <w:i/>
        </w:rPr>
        <w:t>notat causam</w:t>
      </w:r>
      <w:r w:rsidRPr="00273106">
        <w:t xml:space="preserve">). Albert jasně vidí, že vědecké poznání </w:t>
      </w:r>
      <w:r>
        <w:t xml:space="preserve">učených Latiníků </w:t>
      </w:r>
      <w:r w:rsidRPr="00273106">
        <w:t>vinou hypostázovaného pojetí logiky ztratilo přesah do reality</w:t>
      </w:r>
      <w:r>
        <w:fldChar w:fldCharType="begin"/>
      </w:r>
      <w:r>
        <w:instrText xml:space="preserve"> XE "</w:instrText>
      </w:r>
      <w:r>
        <w:rPr>
          <w:rStyle w:val="addmd"/>
        </w:rPr>
        <w:instrText>kauzalita:druhý averroismus</w:instrText>
      </w:r>
      <w:r>
        <w:instrText xml:space="preserve">" </w:instrText>
      </w:r>
      <w:r>
        <w:fldChar w:fldCharType="end"/>
      </w:r>
      <w:r>
        <w:t xml:space="preserve">. </w:t>
      </w:r>
      <w:r w:rsidR="00BA66E9">
        <w:t xml:space="preserve">Poznání musí jít od </w:t>
      </w:r>
      <w:r w:rsidR="00A459CD">
        <w:t xml:space="preserve">reality ke </w:t>
      </w:r>
      <w:r w:rsidR="00B1298A" w:rsidRPr="00A459CD">
        <w:t>species</w:t>
      </w:r>
      <w:r w:rsidR="08D158A2">
        <w:t xml:space="preserve">, protože aristotelská pravda </w:t>
      </w:r>
      <w:r w:rsidR="00A459CD">
        <w:t xml:space="preserve">je reálná </w:t>
      </w:r>
      <w:r w:rsidR="08D158A2">
        <w:t>adekvace</w:t>
      </w:r>
      <w:r w:rsidR="00BA66E9" w:rsidRPr="00273106">
        <w:t xml:space="preserve">. </w:t>
      </w:r>
      <w:r w:rsidR="08564564">
        <w:t xml:space="preserve">Dvojím nasvícením smyslu jsoucna od esence v mysli nebo od první substance v realitě </w:t>
      </w:r>
      <w:r w:rsidR="00BA66E9" w:rsidRPr="00273106">
        <w:t>je dán základní rozdíl mezi prvním a druhým averroismem</w:t>
      </w:r>
      <w:r w:rsidR="00BA66E9">
        <w:fldChar w:fldCharType="begin"/>
      </w:r>
      <w:r w:rsidR="00BA66E9">
        <w:instrText xml:space="preserve"> XE "</w:instrText>
      </w:r>
      <w:r w:rsidR="00BA66E9" w:rsidRPr="004A4401">
        <w:instrText>druhý averroismus:kritika Alberta</w:instrText>
      </w:r>
      <w:r w:rsidR="00BA66E9">
        <w:instrText xml:space="preserve">" </w:instrText>
      </w:r>
      <w:r w:rsidR="00BA66E9">
        <w:fldChar w:fldCharType="end"/>
      </w:r>
      <w:r w:rsidR="00BA66E9" w:rsidRPr="00273106">
        <w:t xml:space="preserve">. </w:t>
      </w:r>
      <w:r w:rsidR="00726103">
        <w:t xml:space="preserve">Z hlediska dvojího výkladu </w:t>
      </w:r>
      <w:r w:rsidR="00726103" w:rsidRPr="00726103">
        <w:rPr>
          <w:i/>
        </w:rPr>
        <w:t>demonstratio</w:t>
      </w:r>
      <w:r w:rsidR="007A6052">
        <w:rPr>
          <w:i/>
        </w:rPr>
        <w:fldChar w:fldCharType="begin"/>
      </w:r>
      <w:r w:rsidR="007A6052">
        <w:instrText xml:space="preserve"> XE "</w:instrText>
      </w:r>
      <w:r w:rsidR="007A6052" w:rsidRPr="004E6075">
        <w:rPr>
          <w:i/>
        </w:rPr>
        <w:instrText>demonstratio:</w:instrText>
      </w:r>
      <w:r w:rsidR="007A6052" w:rsidRPr="004E6075">
        <w:instrText>A</w:instrText>
      </w:r>
      <w:r w:rsidR="00044D37">
        <w:instrText>lbert</w:instrText>
      </w:r>
      <w:r w:rsidR="007A6052">
        <w:instrText xml:space="preserve">" </w:instrText>
      </w:r>
      <w:r w:rsidR="007A6052">
        <w:rPr>
          <w:i/>
        </w:rPr>
        <w:fldChar w:fldCharType="end"/>
      </w:r>
      <w:r w:rsidR="00726103">
        <w:t xml:space="preserve"> </w:t>
      </w:r>
      <w:r w:rsidR="002F0B9E" w:rsidRPr="00273106">
        <w:t>je jasné, že věda o duši je dvojí</w:t>
      </w:r>
      <w:r w:rsidR="00554018">
        <w:t>. Buď</w:t>
      </w:r>
      <w:r w:rsidR="008B1DA6">
        <w:t xml:space="preserve"> </w:t>
      </w:r>
      <w:r w:rsidR="00554018">
        <w:t xml:space="preserve">je </w:t>
      </w:r>
      <w:r w:rsidR="00695A49">
        <w:t xml:space="preserve">filosofická antropologie </w:t>
      </w:r>
      <w:r w:rsidR="00554018">
        <w:t xml:space="preserve">dána směrem od abstraktní definice </w:t>
      </w:r>
      <w:r w:rsidR="00695A49">
        <w:t xml:space="preserve">člověka; nebo od kauzálních účinků první substance, která skrze impozici adekvátně určuje </w:t>
      </w:r>
      <w:r w:rsidR="00554018">
        <w:t xml:space="preserve">poznání </w:t>
      </w:r>
      <w:r w:rsidR="008B1DA6">
        <w:t>(</w:t>
      </w:r>
      <w:r w:rsidR="002F0B9E" w:rsidRPr="00273106">
        <w:rPr>
          <w:i/>
        </w:rPr>
        <w:t>rationis, et rei</w:t>
      </w:r>
      <w:r w:rsidR="008B1DA6">
        <w:t>)</w:t>
      </w:r>
      <w:r w:rsidR="002F0B9E" w:rsidRPr="00273106">
        <w:t>.</w:t>
      </w:r>
    </w:p>
    <w:p w14:paraId="0012D158" w14:textId="4A4439D4" w:rsidR="00AA5690" w:rsidRPr="00273106" w:rsidRDefault="00BA66BC" w:rsidP="00BA66BC">
      <w:pPr>
        <w:pStyle w:val="Citace"/>
        <w:rPr>
          <w:noProof/>
          <w:lang w:val="cs-CZ"/>
        </w:rPr>
      </w:pPr>
      <w:r w:rsidRPr="00273106">
        <w:rPr>
          <w:noProof/>
          <w:lang w:val="cs-CZ"/>
        </w:rPr>
        <w:t>„</w:t>
      </w:r>
      <w:r w:rsidR="00AA5690" w:rsidRPr="00273106">
        <w:rPr>
          <w:noProof/>
          <w:lang w:val="cs-CZ"/>
        </w:rPr>
        <w:t>Potvrzuj</w:t>
      </w:r>
      <w:r w:rsidR="0036334B">
        <w:rPr>
          <w:noProof/>
          <w:lang w:val="cs-CZ"/>
        </w:rPr>
        <w:t>e</w:t>
      </w:r>
      <w:r w:rsidR="00AA5690" w:rsidRPr="00273106">
        <w:rPr>
          <w:noProof/>
          <w:lang w:val="cs-CZ"/>
        </w:rPr>
        <w:t xml:space="preserve">me, že duši lze chápat dvojím způsobem, tedy podle obecné definice a podle </w:t>
      </w:r>
      <w:r w:rsidR="086912F6">
        <w:rPr>
          <w:noProof/>
          <w:lang w:val="cs-CZ"/>
        </w:rPr>
        <w:t>reálné věci</w:t>
      </w:r>
      <w:r w:rsidR="00BD5F6F">
        <w:rPr>
          <w:noProof/>
          <w:lang w:val="cs-CZ"/>
        </w:rPr>
        <w:t xml:space="preserve"> (</w:t>
      </w:r>
      <w:r w:rsidR="00BD5F6F" w:rsidRPr="00BD5F6F">
        <w:rPr>
          <w:i/>
        </w:rPr>
        <w:t>in duplici consideratione, scilicet rationis, et rei</w:t>
      </w:r>
      <w:r w:rsidR="00BD5F6F">
        <w:rPr>
          <w:noProof/>
          <w:lang w:val="cs-CZ"/>
        </w:rPr>
        <w:t>)</w:t>
      </w:r>
      <w:r w:rsidR="086912F6">
        <w:rPr>
          <w:noProof/>
          <w:lang w:val="cs-CZ"/>
        </w:rPr>
        <w:t xml:space="preserve">. Obecná definice </w:t>
      </w:r>
      <w:r w:rsidR="004255BD">
        <w:rPr>
          <w:noProof/>
          <w:lang w:val="cs-CZ"/>
        </w:rPr>
        <w:t xml:space="preserve">se </w:t>
      </w:r>
      <w:r w:rsidR="00D96EB1">
        <w:rPr>
          <w:noProof/>
          <w:lang w:val="cs-CZ"/>
        </w:rPr>
        <w:t>týká buď obecniny nebo jednotliviny</w:t>
      </w:r>
      <w:r w:rsidR="00AA5690" w:rsidRPr="00273106">
        <w:rPr>
          <w:noProof/>
          <w:lang w:val="cs-CZ"/>
        </w:rPr>
        <w:t xml:space="preserve">. </w:t>
      </w:r>
      <w:r w:rsidR="004255BD">
        <w:rPr>
          <w:noProof/>
          <w:lang w:val="cs-CZ"/>
        </w:rPr>
        <w:t xml:space="preserve">Totéž platí v </w:t>
      </w:r>
      <w:r w:rsidR="004255BD" w:rsidRPr="00273106">
        <w:rPr>
          <w:noProof/>
          <w:lang w:val="cs-CZ"/>
        </w:rPr>
        <w:t>rámci logického uvažování</w:t>
      </w:r>
      <w:r w:rsidR="00E2738C">
        <w:rPr>
          <w:noProof/>
          <w:lang w:val="cs-CZ"/>
        </w:rPr>
        <w:t xml:space="preserve">. </w:t>
      </w:r>
      <w:r w:rsidR="0066562D">
        <w:rPr>
          <w:noProof/>
          <w:lang w:val="cs-CZ"/>
        </w:rPr>
        <w:t>D</w:t>
      </w:r>
      <w:r w:rsidR="00E2738C">
        <w:rPr>
          <w:noProof/>
          <w:lang w:val="cs-CZ"/>
        </w:rPr>
        <w:t>uš</w:t>
      </w:r>
      <w:r w:rsidR="0066562D">
        <w:rPr>
          <w:noProof/>
          <w:lang w:val="cs-CZ"/>
        </w:rPr>
        <w:t>i lze zkoumat v rámci dvojího způsobu</w:t>
      </w:r>
      <w:r w:rsidR="00E2738C">
        <w:rPr>
          <w:noProof/>
          <w:lang w:val="cs-CZ"/>
        </w:rPr>
        <w:t>: b</w:t>
      </w:r>
      <w:r w:rsidR="00AA5690" w:rsidRPr="00273106">
        <w:rPr>
          <w:noProof/>
          <w:lang w:val="cs-CZ"/>
        </w:rPr>
        <w:t xml:space="preserve">uď </w:t>
      </w:r>
      <w:r w:rsidR="00E2738C">
        <w:rPr>
          <w:noProof/>
          <w:lang w:val="cs-CZ"/>
        </w:rPr>
        <w:t xml:space="preserve">je zkoumání dáno podle </w:t>
      </w:r>
      <w:r w:rsidR="00AA5690" w:rsidRPr="00273106">
        <w:rPr>
          <w:noProof/>
          <w:lang w:val="cs-CZ"/>
        </w:rPr>
        <w:t>toho, jak je dána v realitě, což spadá do přírodní filosofie. Nebo podle toho, jak je duše dána jako substance mimo vztah ke vznikajícímu a porušitelném</w:t>
      </w:r>
      <w:r w:rsidR="003F4511">
        <w:rPr>
          <w:noProof/>
          <w:lang w:val="cs-CZ"/>
        </w:rPr>
        <w:t>u tělesu, a to je pojetí první f</w:t>
      </w:r>
      <w:r w:rsidR="00AA5690" w:rsidRPr="00273106">
        <w:rPr>
          <w:noProof/>
          <w:lang w:val="cs-CZ"/>
        </w:rPr>
        <w:t xml:space="preserve">ilosofie.“ </w:t>
      </w:r>
      <w:r w:rsidR="00AA5690" w:rsidRPr="00273106">
        <w:rPr>
          <w:rStyle w:val="Znakapoznpodarou"/>
          <w:noProof/>
          <w:lang w:val="cs-CZ"/>
        </w:rPr>
        <w:footnoteReference w:id="229"/>
      </w:r>
    </w:p>
    <w:p w14:paraId="6A522F80" w14:textId="77777777" w:rsidR="00B86928" w:rsidRDefault="00DD0D15" w:rsidP="009912AF">
      <w:r>
        <w:lastRenderedPageBreak/>
        <w:t xml:space="preserve">Druhá kvestie </w:t>
      </w:r>
      <w:r w:rsidRPr="00DD0D15">
        <w:rPr>
          <w:i/>
        </w:rPr>
        <w:t>De homine</w:t>
      </w:r>
      <w:r>
        <w:t xml:space="preserve"> prohlásila</w:t>
      </w:r>
      <w:r w:rsidR="00BA66BC" w:rsidRPr="00273106">
        <w:t xml:space="preserve"> avicennistickou perspektivu zkoumání duše za </w:t>
      </w:r>
      <w:r w:rsidR="08E15B5F">
        <w:t xml:space="preserve">vědecky </w:t>
      </w:r>
      <w:r w:rsidR="087E0CF3">
        <w:t>nedostatečnou</w:t>
      </w:r>
      <w:r w:rsidR="00BA66BC" w:rsidRPr="00273106">
        <w:t xml:space="preserve">. </w:t>
      </w:r>
      <w:r w:rsidR="006B47CE">
        <w:t xml:space="preserve">Důvod je jasný. </w:t>
      </w:r>
      <w:r w:rsidR="0066562D">
        <w:t>Falešně zavedená</w:t>
      </w:r>
      <w:r w:rsidR="0066562D" w:rsidRPr="0066562D">
        <w:t xml:space="preserve"> </w:t>
      </w:r>
      <w:r w:rsidR="0066562D">
        <w:t>impozice „</w:t>
      </w:r>
      <w:r w:rsidR="0066562D" w:rsidRPr="0066562D">
        <w:rPr>
          <w:i/>
        </w:rPr>
        <w:t>anima intellectiva</w:t>
      </w:r>
      <w:r w:rsidR="0066562D">
        <w:t>“ uvedla</w:t>
      </w:r>
      <w:r w:rsidR="0066562D" w:rsidRPr="0066562D">
        <w:t xml:space="preserve"> modernisty v omyl. Nevědí, o čem ve skutečnosti mluví, protože si vytvořili mytologickou doménu </w:t>
      </w:r>
      <w:r w:rsidR="0066562D" w:rsidRPr="0066562D">
        <w:rPr>
          <w:i/>
        </w:rPr>
        <w:t>tertium ens</w:t>
      </w:r>
      <w:r w:rsidR="0066562D" w:rsidRPr="0066562D">
        <w:t>.</w:t>
      </w:r>
      <w:r w:rsidR="0066562D">
        <w:t xml:space="preserve"> </w:t>
      </w:r>
      <w:r w:rsidR="08E74A63">
        <w:t xml:space="preserve">Logická abstrakce zakládající </w:t>
      </w:r>
      <w:r w:rsidR="00BB35BA">
        <w:t xml:space="preserve">moderní </w:t>
      </w:r>
      <w:r w:rsidR="08E74A63">
        <w:t xml:space="preserve">poznání nemá pravdivost danou metafyzickou abstrakcí vztaženou k první substanci </w:t>
      </w:r>
      <w:r w:rsidR="08E74A63" w:rsidRPr="00273106">
        <w:t>(</w:t>
      </w:r>
      <w:r w:rsidR="08E74A63" w:rsidRPr="00273106">
        <w:rPr>
          <w:i/>
        </w:rPr>
        <w:t>haec enim sunt principia cognitionis et non esse</w:t>
      </w:r>
      <w:r w:rsidR="08E74A63" w:rsidRPr="00273106">
        <w:t>)</w:t>
      </w:r>
      <w:r w:rsidR="08E74A63">
        <w:t xml:space="preserve">. </w:t>
      </w:r>
      <w:r w:rsidR="00BA66BC" w:rsidRPr="00273106">
        <w:t>Avicennisté směřují k esenciální definici duše, která j</w:t>
      </w:r>
      <w:r w:rsidR="00F956D0">
        <w:t xml:space="preserve">e pro Alberta redukcí komplexního </w:t>
      </w:r>
      <w:r w:rsidR="00D34100">
        <w:t xml:space="preserve">poznání metafyziky na </w:t>
      </w:r>
      <w:r w:rsidR="00F956D0">
        <w:t xml:space="preserve">pouhou </w:t>
      </w:r>
      <w:r w:rsidR="00D34100">
        <w:t>logickou abstrakci</w:t>
      </w:r>
      <w:r w:rsidR="08633E9F">
        <w:t xml:space="preserve"> (</w:t>
      </w:r>
      <w:r w:rsidR="08633E9F" w:rsidRPr="08633E9F">
        <w:rPr>
          <w:i/>
          <w:szCs w:val="24"/>
        </w:rPr>
        <w:t>principia cognitionis</w:t>
      </w:r>
      <w:r w:rsidR="08633E9F">
        <w:t>)</w:t>
      </w:r>
      <w:r w:rsidR="00BA66BC" w:rsidRPr="00273106">
        <w:t>. Logika sama o sobě nezaručuje poznání reálné kauzality</w:t>
      </w:r>
      <w:r w:rsidR="08CC686E">
        <w:t xml:space="preserve"> v modu </w:t>
      </w:r>
      <w:r w:rsidR="08D91F67">
        <w:rPr>
          <w:i/>
        </w:rPr>
        <w:t>ex in</w:t>
      </w:r>
      <w:r w:rsidR="08CC686E" w:rsidRPr="08CC686E">
        <w:rPr>
          <w:i/>
        </w:rPr>
        <w:t>mediatis</w:t>
      </w:r>
      <w:r w:rsidR="00BA66BC" w:rsidRPr="00273106">
        <w:t xml:space="preserve">, jak to vyžadují </w:t>
      </w:r>
      <w:r w:rsidR="00BA66BC" w:rsidRPr="00BA66E9">
        <w:rPr>
          <w:i/>
        </w:rPr>
        <w:t>Druhé analytiky</w:t>
      </w:r>
      <w:r w:rsidR="00BA66BC" w:rsidRPr="00273106">
        <w:t xml:space="preserve">. </w:t>
      </w:r>
      <w:r w:rsidR="08CC686E">
        <w:t xml:space="preserve">Avicennistická definice duše </w:t>
      </w:r>
      <w:r w:rsidR="00125505">
        <w:t xml:space="preserve">v modu sofistického </w:t>
      </w:r>
      <w:r w:rsidR="00125505" w:rsidRPr="08CC686E">
        <w:rPr>
          <w:i/>
        </w:rPr>
        <w:t>demonst</w:t>
      </w:r>
      <w:r w:rsidR="00125505">
        <w:rPr>
          <w:i/>
        </w:rPr>
        <w:t>r</w:t>
      </w:r>
      <w:r w:rsidR="00125505" w:rsidRPr="08CC686E">
        <w:rPr>
          <w:i/>
        </w:rPr>
        <w:t>atio</w:t>
      </w:r>
      <w:r w:rsidR="00125505">
        <w:t xml:space="preserve"> nemá predikaci kauzality</w:t>
      </w:r>
      <w:r w:rsidR="08CC686E">
        <w:t xml:space="preserve">, </w:t>
      </w:r>
      <w:r w:rsidR="00125505">
        <w:t xml:space="preserve">kterou </w:t>
      </w:r>
      <w:r w:rsidR="08CC686E">
        <w:t xml:space="preserve">reálně </w:t>
      </w:r>
      <w:r w:rsidR="08F8018E">
        <w:t xml:space="preserve">a aktuálně </w:t>
      </w:r>
      <w:r w:rsidR="08CC686E">
        <w:t>poznáváme</w:t>
      </w:r>
      <w:r w:rsidR="08F8018E">
        <w:t xml:space="preserve"> svět</w:t>
      </w:r>
      <w:r w:rsidR="08CC686E">
        <w:t xml:space="preserve">. </w:t>
      </w:r>
      <w:r w:rsidR="00BA66BC" w:rsidRPr="00273106">
        <w:t xml:space="preserve">Na druhé straně stojí </w:t>
      </w:r>
      <w:r w:rsidR="002E3B62">
        <w:t>Averroes</w:t>
      </w:r>
      <w:r w:rsidR="00F956D0">
        <w:t>ova perspektiva daná</w:t>
      </w:r>
      <w:r w:rsidR="005444B6">
        <w:t xml:space="preserve"> v rámci </w:t>
      </w:r>
      <w:r w:rsidR="005444B6" w:rsidRPr="005444B6">
        <w:rPr>
          <w:i/>
        </w:rPr>
        <w:t>Fyziky</w:t>
      </w:r>
      <w:r w:rsidR="005444B6">
        <w:t xml:space="preserve"> a následně </w:t>
      </w:r>
      <w:r w:rsidR="005444B6" w:rsidRPr="005444B6">
        <w:rPr>
          <w:i/>
        </w:rPr>
        <w:t>M</w:t>
      </w:r>
      <w:r w:rsidR="00BA66BC" w:rsidRPr="005444B6">
        <w:rPr>
          <w:i/>
        </w:rPr>
        <w:t>etafyziky</w:t>
      </w:r>
      <w:r w:rsidR="00BA66BC" w:rsidRPr="00273106">
        <w:t xml:space="preserve"> postihující dvojí bytí první substance</w:t>
      </w:r>
      <w:r w:rsidR="00A70FA4">
        <w:fldChar w:fldCharType="begin"/>
      </w:r>
      <w:r w:rsidR="00A70FA4">
        <w:instrText xml:space="preserve"> XE "</w:instrText>
      </w:r>
      <w:r w:rsidR="00A70FA4" w:rsidRPr="00DE2A32">
        <w:instrText>substance</w:instrText>
      </w:r>
      <w:r w:rsidR="00044D37">
        <w:instrText>:</w:instrText>
      </w:r>
      <w:r w:rsidR="002E3B62">
        <w:instrText>Averroes</w:instrText>
      </w:r>
      <w:r w:rsidR="00A70FA4">
        <w:instrText xml:space="preserve">" </w:instrText>
      </w:r>
      <w:r w:rsidR="00A70FA4">
        <w:fldChar w:fldCharType="end"/>
      </w:r>
      <w:r w:rsidR="00BA66BC" w:rsidRPr="00273106">
        <w:t xml:space="preserve">. Viz </w:t>
      </w:r>
      <w:r w:rsidR="00B127E7">
        <w:t xml:space="preserve">předešlý </w:t>
      </w:r>
      <w:r w:rsidR="00BA66BC" w:rsidRPr="00273106">
        <w:t>vý</w:t>
      </w:r>
      <w:r w:rsidR="00AF71E7">
        <w:t xml:space="preserve">klad </w:t>
      </w:r>
      <w:r w:rsidR="002E3B62">
        <w:t>Averroes</w:t>
      </w:r>
      <w:r w:rsidR="00B127E7">
        <w:t>ovy</w:t>
      </w:r>
      <w:r w:rsidR="00AF71E7">
        <w:t xml:space="preserve"> metafyziky reálné substance</w:t>
      </w:r>
      <w:r w:rsidR="00BA66BC" w:rsidRPr="00273106">
        <w:t xml:space="preserve"> (</w:t>
      </w:r>
      <w:r w:rsidR="08F8018E">
        <w:t xml:space="preserve">OBJ I, </w:t>
      </w:r>
      <w:r w:rsidR="00BA66BC" w:rsidRPr="00273106">
        <w:t xml:space="preserve">kap. 2.4.1). </w:t>
      </w:r>
      <w:r w:rsidR="082C7996">
        <w:t xml:space="preserve">Citát z komentáře </w:t>
      </w:r>
      <w:r w:rsidR="082C7996" w:rsidRPr="005A36F9">
        <w:rPr>
          <w:i/>
        </w:rPr>
        <w:t>Druhých analytik</w:t>
      </w:r>
      <w:r w:rsidR="082C7996">
        <w:t xml:space="preserve"> dosvědčuje e</w:t>
      </w:r>
      <w:r w:rsidR="082C7996" w:rsidRPr="00273106">
        <w:t>pochálně změněný</w:t>
      </w:r>
      <w:r w:rsidR="082C7996">
        <w:t xml:space="preserve"> </w:t>
      </w:r>
      <w:r w:rsidR="083155F4">
        <w:t xml:space="preserve">myšlenkový </w:t>
      </w:r>
      <w:r w:rsidR="082C7996" w:rsidRPr="005A36F9">
        <w:rPr>
          <w:i/>
        </w:rPr>
        <w:t>habitus</w:t>
      </w:r>
      <w:r w:rsidR="082C7996">
        <w:t xml:space="preserve"> moderny, který Albert odmítl jako nevědecký. </w:t>
      </w:r>
      <w:r w:rsidR="08FB0E0B">
        <w:t>K</w:t>
      </w:r>
      <w:r w:rsidR="009929FA" w:rsidRPr="00273106">
        <w:t>auzální působení</w:t>
      </w:r>
      <w:r w:rsidR="009B007D" w:rsidRPr="00273106">
        <w:t xml:space="preserve"> </w:t>
      </w:r>
      <w:r w:rsidR="00630671">
        <w:t xml:space="preserve">v realitě určuje </w:t>
      </w:r>
      <w:r w:rsidR="009B007D" w:rsidRPr="00273106">
        <w:t>myšlení</w:t>
      </w:r>
      <w:r w:rsidR="00630671">
        <w:t xml:space="preserve">, </w:t>
      </w:r>
      <w:r w:rsidR="00A406DA">
        <w:t>protože opačný postoj je čistá paranoia</w:t>
      </w:r>
      <w:r w:rsidR="003657B9" w:rsidRPr="00273106">
        <w:t>.</w:t>
      </w:r>
      <w:r w:rsidR="08070A27" w:rsidRPr="00273106">
        <w:t xml:space="preserve"> </w:t>
      </w:r>
      <w:r w:rsidR="08D55621">
        <w:t xml:space="preserve">Tento </w:t>
      </w:r>
      <w:r w:rsidR="08E00CB3">
        <w:t xml:space="preserve">sofistický </w:t>
      </w:r>
      <w:r w:rsidR="08D55621">
        <w:t>model hájila Sherwoodova analyticko-logická škola v Oxfordu, kterou zá</w:t>
      </w:r>
      <w:r w:rsidR="08FC5E6E">
        <w:t>sadně odmítl Bacon (kap. 3</w:t>
      </w:r>
      <w:r w:rsidR="08D55621">
        <w:t xml:space="preserve">.4.3). </w:t>
      </w:r>
      <w:r w:rsidR="08C10060">
        <w:t>Výklad vědeckého poznání světa, člověka a boha vyvolal</w:t>
      </w:r>
      <w:r w:rsidR="08D55621">
        <w:t xml:space="preserve"> </w:t>
      </w:r>
      <w:r w:rsidR="08D55621" w:rsidRPr="00273106">
        <w:t xml:space="preserve">spor o analytický a realistický výklad </w:t>
      </w:r>
      <w:r w:rsidR="08D55621" w:rsidRPr="00F203CD">
        <w:rPr>
          <w:i/>
        </w:rPr>
        <w:t>Druhých analytik</w:t>
      </w:r>
      <w:r w:rsidR="08D55621" w:rsidRPr="00273106">
        <w:t xml:space="preserve"> mezi Grossetestem, Rufusem a Kilwardbym na straně jedné, a </w:t>
      </w:r>
      <w:r w:rsidR="08D55621">
        <w:t xml:space="preserve">Alvernem, </w:t>
      </w:r>
      <w:r w:rsidR="08D55621" w:rsidRPr="00273106">
        <w:t xml:space="preserve">Albertem </w:t>
      </w:r>
      <w:r w:rsidR="08D55621">
        <w:t>a Baconem</w:t>
      </w:r>
      <w:r w:rsidR="00B86928">
        <w:t xml:space="preserve"> na straně druhé.</w:t>
      </w:r>
    </w:p>
    <w:p w14:paraId="6CF12DBD" w14:textId="668A1894" w:rsidR="009912AF" w:rsidRPr="00227825" w:rsidRDefault="08D55621" w:rsidP="00227825">
      <w:pPr>
        <w:ind w:firstLine="397"/>
        <w:rPr>
          <w:szCs w:val="24"/>
        </w:rPr>
      </w:pPr>
      <w:r>
        <w:t>Místem tohoto zásadního sporu o status pravdy, vědy</w:t>
      </w:r>
      <w:r w:rsidR="005A3D1E">
        <w:t xml:space="preserve"> a evropského humanismu </w:t>
      </w:r>
      <w:r w:rsidR="001F12AB">
        <w:t xml:space="preserve">byla </w:t>
      </w:r>
      <w:r>
        <w:t xml:space="preserve">Pařížská univerzita v letech 1240‒45. </w:t>
      </w:r>
      <w:r w:rsidR="009B007D" w:rsidRPr="00273106">
        <w:t>K</w:t>
      </w:r>
      <w:r w:rsidR="009929FA" w:rsidRPr="00273106">
        <w:t xml:space="preserve">auzalita byla nahrazena pouhou formální dedukcí, kdy se z první </w:t>
      </w:r>
      <w:r w:rsidR="00E5645B" w:rsidRPr="00273106">
        <w:t xml:space="preserve">substance stala </w:t>
      </w:r>
      <w:r w:rsidR="00874074">
        <w:t>neoplatonsk</w:t>
      </w:r>
      <w:r w:rsidR="00E5645B" w:rsidRPr="00273106">
        <w:t xml:space="preserve">á </w:t>
      </w:r>
      <w:r w:rsidR="000C0F08">
        <w:t xml:space="preserve">hypostatická </w:t>
      </w:r>
      <w:r w:rsidR="00E5645B" w:rsidRPr="00273106">
        <w:t>forma</w:t>
      </w:r>
      <w:r w:rsidR="000C0F08">
        <w:t xml:space="preserve">. </w:t>
      </w:r>
      <w:r w:rsidR="000C0F08" w:rsidRPr="000C0F08">
        <w:t xml:space="preserve">Kauzalita byla nahrazena formální dedukcí a první látkou se stala Neoplatonická účinná hypostatizovaná forma. Citát Alberta </w:t>
      </w:r>
      <w:r w:rsidR="000C0F08">
        <w:t>správně potvrzuje, že moderní i</w:t>
      </w:r>
      <w:r w:rsidR="000C0F08" w:rsidRPr="000C0F08">
        <w:t>lumi</w:t>
      </w:r>
      <w:r w:rsidR="000C0F08">
        <w:t>náti dělají zázračnou „vědu“</w:t>
      </w:r>
      <w:r w:rsidR="000C0F08" w:rsidRPr="000C0F08">
        <w:t xml:space="preserve"> pouze ve své mysli </w:t>
      </w:r>
      <w:r w:rsidR="00E97101" w:rsidRPr="00273106">
        <w:t>(</w:t>
      </w:r>
      <w:r w:rsidR="00E97101" w:rsidRPr="00273106">
        <w:rPr>
          <w:i/>
        </w:rPr>
        <w:t>scientiam in anima</w:t>
      </w:r>
      <w:r w:rsidR="00E97101" w:rsidRPr="00273106">
        <w:t>)</w:t>
      </w:r>
      <w:r w:rsidR="009929FA" w:rsidRPr="00273106">
        <w:t xml:space="preserve">. </w:t>
      </w:r>
      <w:r w:rsidR="001215B5">
        <w:t xml:space="preserve">Albertův traktát brání </w:t>
      </w:r>
      <w:r w:rsidR="00421F61">
        <w:t>filosofickou dů</w:t>
      </w:r>
      <w:r w:rsidR="086D43CC">
        <w:t>stojnost člověka</w:t>
      </w:r>
      <w:r w:rsidR="001215B5">
        <w:t xml:space="preserve">, proto </w:t>
      </w:r>
      <w:r w:rsidR="086D43CC">
        <w:t xml:space="preserve">jasně vidí </w:t>
      </w:r>
      <w:r w:rsidR="00421F61">
        <w:t xml:space="preserve">epochální </w:t>
      </w:r>
      <w:r w:rsidR="001215B5">
        <w:t xml:space="preserve">způsob, </w:t>
      </w:r>
      <w:r w:rsidR="00421F61">
        <w:t>„jak“ (</w:t>
      </w:r>
      <w:r w:rsidR="001215B5">
        <w:t xml:space="preserve">Heideggerovo </w:t>
      </w:r>
      <w:r w:rsidR="00421F61" w:rsidRPr="00421F61">
        <w:rPr>
          <w:i/>
        </w:rPr>
        <w:t>Wie</w:t>
      </w:r>
      <w:r w:rsidR="00421F61">
        <w:t>) došlo v moderně k zatmění pr</w:t>
      </w:r>
      <w:r w:rsidR="001E5A6C">
        <w:t>v</w:t>
      </w:r>
      <w:r w:rsidR="00421F61">
        <w:t>ní substance</w:t>
      </w:r>
      <w:r w:rsidR="00E27ABC">
        <w:fldChar w:fldCharType="begin"/>
      </w:r>
      <w:r w:rsidR="00E27ABC">
        <w:instrText xml:space="preserve"> XE "</w:instrText>
      </w:r>
      <w:r w:rsidR="00E27ABC" w:rsidRPr="00C27681">
        <w:instrText>zatmění</w:instrText>
      </w:r>
      <w:r w:rsidR="00774011">
        <w:instrText>:</w:instrText>
      </w:r>
      <w:r w:rsidR="00E27ABC" w:rsidRPr="00C27681">
        <w:instrText>substance</w:instrText>
      </w:r>
      <w:r w:rsidR="00E27ABC">
        <w:instrText xml:space="preserve">" </w:instrText>
      </w:r>
      <w:r w:rsidR="00E27ABC">
        <w:fldChar w:fldCharType="end"/>
      </w:r>
      <w:r w:rsidR="00421F61">
        <w:t xml:space="preserve">. </w:t>
      </w:r>
      <w:r w:rsidR="086D43CC">
        <w:t xml:space="preserve">Osoba se poznává v modu esence a tím vzniklo sofistické simulákrum osoby jako moderního subjektu. Moderní člověk přestal správně poznávat sám sebe, protože své vlastní poznání změnil na chimérické a paranoické. </w:t>
      </w:r>
      <w:r w:rsidR="08F26987">
        <w:t>Z</w:t>
      </w:r>
      <w:r w:rsidR="086D43CC">
        <w:t xml:space="preserve">atmění osoby jako první substance </w:t>
      </w:r>
      <w:r w:rsidR="08F26987">
        <w:lastRenderedPageBreak/>
        <w:t xml:space="preserve">založilo školu </w:t>
      </w:r>
      <w:r w:rsidR="08F26987" w:rsidRPr="08F26987">
        <w:rPr>
          <w:i/>
        </w:rPr>
        <w:t>Modernorum</w:t>
      </w:r>
      <w:r w:rsidR="08F26987" w:rsidRPr="08F26987">
        <w:t xml:space="preserve"> </w:t>
      </w:r>
      <w:r w:rsidR="08F26987">
        <w:t xml:space="preserve">v modu epochálního </w:t>
      </w:r>
      <w:r w:rsidR="08F26987" w:rsidRPr="086D43CC">
        <w:rPr>
          <w:i/>
        </w:rPr>
        <w:t>Irrtum</w:t>
      </w:r>
      <w:r w:rsidR="086D43CC">
        <w:t xml:space="preserve">. </w:t>
      </w:r>
      <w:r w:rsidR="08F26987" w:rsidRPr="00273106">
        <w:t xml:space="preserve">Přeměna </w:t>
      </w:r>
      <w:r w:rsidR="08F26987">
        <w:t xml:space="preserve">intelektu </w:t>
      </w:r>
      <w:r w:rsidR="08F26987" w:rsidRPr="00273106">
        <w:t xml:space="preserve">na </w:t>
      </w:r>
      <w:r w:rsidR="08F26987">
        <w:t xml:space="preserve">porretánskou hypostázi danou v duši </w:t>
      </w:r>
      <w:r w:rsidR="08F26987" w:rsidRPr="00273106">
        <w:t xml:space="preserve">ukazuje zatmění </w:t>
      </w:r>
      <w:r w:rsidR="08C95E1D">
        <w:t xml:space="preserve">člověka jako </w:t>
      </w:r>
      <w:r w:rsidR="08F26987" w:rsidRPr="00273106">
        <w:t xml:space="preserve">první </w:t>
      </w:r>
      <w:r w:rsidR="08F26987">
        <w:t>substance</w:t>
      </w:r>
      <w:r w:rsidR="08C95E1D">
        <w:t xml:space="preserve">. </w:t>
      </w:r>
      <w:r w:rsidR="006B4004">
        <w:t xml:space="preserve">Poznání nejde od aktuální věci v realitě, která </w:t>
      </w:r>
      <w:r w:rsidR="009047DC">
        <w:t>kauzálně působí</w:t>
      </w:r>
      <w:r w:rsidR="006B4004">
        <w:t xml:space="preserve"> na naše poznání skrze metafyzický dativ; věc založila </w:t>
      </w:r>
      <w:r w:rsidR="00F83331">
        <w:t>událost donace</w:t>
      </w:r>
      <w:r w:rsidR="006B4004">
        <w:t xml:space="preserve"> bytí </w:t>
      </w:r>
      <w:r w:rsidR="00F83331">
        <w:t xml:space="preserve">pro poznávajícího člověka </w:t>
      </w:r>
      <w:r w:rsidR="00227825">
        <w:t xml:space="preserve">a sama se stáhla do minulosti. </w:t>
      </w:r>
      <w:r w:rsidR="087679EF">
        <w:t xml:space="preserve">Moderna žije v </w:t>
      </w:r>
      <w:r w:rsidR="08A53022">
        <w:t xml:space="preserve">akademické </w:t>
      </w:r>
      <w:r w:rsidR="087679EF">
        <w:t xml:space="preserve">jeskyni </w:t>
      </w:r>
      <w:r w:rsidR="00F90944">
        <w:t xml:space="preserve">Platona, kterou </w:t>
      </w:r>
      <w:r w:rsidR="087679EF">
        <w:t>Fúrie</w:t>
      </w:r>
      <w:r w:rsidR="00F90944">
        <w:t xml:space="preserve"> po zániku první substrance v moderní filosofii upravily pro paranoické p</w:t>
      </w:r>
      <w:r w:rsidR="08A53022">
        <w:t>ostmoderní vědo</w:t>
      </w:r>
      <w:r w:rsidR="088F6D0D">
        <w:t xml:space="preserve">mí. V </w:t>
      </w:r>
      <w:r w:rsidR="087679EF">
        <w:t xml:space="preserve">tomto původním chaosu </w:t>
      </w:r>
      <w:r w:rsidR="000528B7">
        <w:t xml:space="preserve">třetího </w:t>
      </w:r>
      <w:r w:rsidR="087679EF">
        <w:t xml:space="preserve">světa </w:t>
      </w:r>
      <w:r w:rsidR="085A1F90">
        <w:t xml:space="preserve">daném mimo reálný svět </w:t>
      </w:r>
      <w:r w:rsidR="087679EF">
        <w:t xml:space="preserve">prožívá </w:t>
      </w:r>
      <w:r w:rsidR="088F6D0D">
        <w:t xml:space="preserve">moderní iluminát </w:t>
      </w:r>
      <w:r w:rsidR="000528B7">
        <w:t xml:space="preserve">zjevení vědění, které chápe jako </w:t>
      </w:r>
      <w:r w:rsidR="087679EF">
        <w:t>eidetickou parousii</w:t>
      </w:r>
      <w:r w:rsidR="08F26987">
        <w:t xml:space="preserve">. </w:t>
      </w:r>
      <w:r w:rsidR="08E50BEE">
        <w:t>Iluminát utváří realitu specifickým ustrojením mysli (</w:t>
      </w:r>
      <w:r w:rsidR="08E50BEE" w:rsidRPr="08E50BEE">
        <w:rPr>
          <w:i/>
        </w:rPr>
        <w:t>habitus</w:t>
      </w:r>
      <w:r w:rsidR="08E50BEE">
        <w:t xml:space="preserve">) a tak si </w:t>
      </w:r>
      <w:r w:rsidR="08E50BEE" w:rsidRPr="00273106">
        <w:t>přivlastňuje s</w:t>
      </w:r>
      <w:r w:rsidR="08E50BEE">
        <w:t xml:space="preserve">vět </w:t>
      </w:r>
      <w:r w:rsidR="08E50BEE" w:rsidRPr="00273106">
        <w:t>abso</w:t>
      </w:r>
      <w:r w:rsidR="08E50BEE">
        <w:t>lutním způsobem</w:t>
      </w:r>
      <w:r w:rsidR="000528B7">
        <w:t xml:space="preserve">, podle moderní verze Heideggerova </w:t>
      </w:r>
      <w:r w:rsidR="000528B7">
        <w:rPr>
          <w:szCs w:val="24"/>
          <w:lang w:val="de-DE"/>
        </w:rPr>
        <w:t>Ge-Stell</w:t>
      </w:r>
      <w:r w:rsidR="00F36AAC">
        <w:rPr>
          <w:szCs w:val="24"/>
          <w:lang w:val="de-DE"/>
        </w:rPr>
        <w:fldChar w:fldCharType="begin"/>
      </w:r>
      <w:r w:rsidR="00F36AAC">
        <w:instrText xml:space="preserve"> XE "</w:instrText>
      </w:r>
      <w:r w:rsidR="00F36AAC" w:rsidRPr="00CC0A41">
        <w:rPr>
          <w:szCs w:val="24"/>
          <w:lang w:val="de-DE"/>
        </w:rPr>
        <w:instrText>Ge-Stell</w:instrText>
      </w:r>
      <w:r w:rsidR="00F36AAC">
        <w:instrText xml:space="preserve">" </w:instrText>
      </w:r>
      <w:r w:rsidR="00F36AAC">
        <w:rPr>
          <w:szCs w:val="24"/>
          <w:lang w:val="de-DE"/>
        </w:rPr>
        <w:fldChar w:fldCharType="end"/>
      </w:r>
      <w:r w:rsidR="000528B7">
        <w:rPr>
          <w:szCs w:val="24"/>
          <w:lang w:val="de-DE"/>
        </w:rPr>
        <w:t xml:space="preserve"> </w:t>
      </w:r>
      <w:r w:rsidR="000528B7">
        <w:rPr>
          <w:szCs w:val="24"/>
        </w:rPr>
        <w:t>(OBJ I, kap. 2.3.1)</w:t>
      </w:r>
      <w:r w:rsidR="08E50BEE">
        <w:t>. Neurčitá e</w:t>
      </w:r>
      <w:r w:rsidR="08E50BEE" w:rsidRPr="00273106">
        <w:t xml:space="preserve">nergie a činnost původně vlastněná každou substancí </w:t>
      </w:r>
      <w:r w:rsidR="08E50BEE">
        <w:t xml:space="preserve">v rámci habitu jako akcidentu </w:t>
      </w:r>
      <w:r w:rsidR="08E50BEE" w:rsidRPr="00273106">
        <w:t>(ἐνέργειά τις</w:t>
      </w:r>
      <w:r w:rsidR="08E50BEE">
        <w:rPr>
          <w:i/>
        </w:rPr>
        <w:fldChar w:fldCharType="begin"/>
      </w:r>
      <w:r w:rsidR="08E50BEE">
        <w:instrText xml:space="preserve"> XE "</w:instrText>
      </w:r>
      <w:r w:rsidR="08E50BEE" w:rsidRPr="00E67C42">
        <w:rPr>
          <w:i/>
        </w:rPr>
        <w:instrText>Lichtung</w:instrText>
      </w:r>
      <w:r w:rsidR="08E50BEE">
        <w:instrText xml:space="preserve">:moderní subjekt" </w:instrText>
      </w:r>
      <w:r w:rsidR="08E50BEE">
        <w:rPr>
          <w:i/>
        </w:rPr>
        <w:fldChar w:fldCharType="end"/>
      </w:r>
      <w:r w:rsidR="08E03567">
        <w:t xml:space="preserve">; OBJ I, </w:t>
      </w:r>
      <w:r w:rsidR="08E50BEE">
        <w:t xml:space="preserve">kap. 1.3.2) </w:t>
      </w:r>
      <w:r w:rsidR="000528B7">
        <w:t xml:space="preserve">přešla </w:t>
      </w:r>
      <w:r w:rsidR="08E50BEE">
        <w:t>na lidského demiurga</w:t>
      </w:r>
      <w:r w:rsidR="08E50BEE">
        <w:fldChar w:fldCharType="begin"/>
      </w:r>
      <w:r w:rsidR="08E50BEE">
        <w:instrText xml:space="preserve"> XE "</w:instrText>
      </w:r>
      <w:r w:rsidR="08E50BEE" w:rsidRPr="005C2F4A">
        <w:rPr>
          <w:rStyle w:val="addmd"/>
        </w:rPr>
        <w:instrText>demiurg</w:instrText>
      </w:r>
      <w:r w:rsidR="08E50BEE">
        <w:instrText xml:space="preserve">" </w:instrText>
      </w:r>
      <w:r w:rsidR="08E50BEE">
        <w:fldChar w:fldCharType="end"/>
      </w:r>
      <w:r w:rsidR="000528B7">
        <w:t>. Jeho poznání je moc a tím vznikla ve světě nová forma paranoické kauzality</w:t>
      </w:r>
      <w:r w:rsidR="08E50BEE" w:rsidRPr="00273106">
        <w:t>.</w:t>
      </w:r>
      <w:r w:rsidR="08E50BEE">
        <w:t xml:space="preserve"> </w:t>
      </w:r>
      <w:r w:rsidR="086D43CC">
        <w:t>Pak platí, že v</w:t>
      </w:r>
      <w:r w:rsidR="006A5D15" w:rsidRPr="00273106">
        <w:t xml:space="preserve">eškerý smysl jsoucna </w:t>
      </w:r>
      <w:r w:rsidR="006A5D15">
        <w:t xml:space="preserve">nese </w:t>
      </w:r>
      <w:r w:rsidR="006A5D15" w:rsidRPr="00273106">
        <w:t>západní subjekt a jím determinovaná praxe</w:t>
      </w:r>
      <w:r w:rsidR="003C1272">
        <w:t xml:space="preserve"> daná jako habituální </w:t>
      </w:r>
      <w:r w:rsidR="00717086">
        <w:t>poznání aktivního demiurgického intelektu</w:t>
      </w:r>
      <w:r w:rsidR="006A5D15" w:rsidRPr="00273106">
        <w:t xml:space="preserve">. </w:t>
      </w:r>
      <w:r w:rsidR="0059046E">
        <w:t xml:space="preserve">Realita tvoří pro školu </w:t>
      </w:r>
      <w:r w:rsidR="0059046E" w:rsidRPr="00184C6A">
        <w:rPr>
          <w:i/>
        </w:rPr>
        <w:t>Modernorum</w:t>
      </w:r>
      <w:r w:rsidR="0059046E">
        <w:t xml:space="preserve"> součást habituálně dané demiurgické </w:t>
      </w:r>
      <w:r w:rsidR="0059046E" w:rsidRPr="00273106">
        <w:t>energie</w:t>
      </w:r>
      <w:r w:rsidR="00674DAE">
        <w:t xml:space="preserve">. </w:t>
      </w:r>
      <w:r w:rsidR="00674DAE" w:rsidRPr="00674DAE">
        <w:t>Ta</w:t>
      </w:r>
      <w:r w:rsidR="00674DAE">
        <w:t xml:space="preserve">to energie </w:t>
      </w:r>
      <w:r w:rsidR="00674DAE" w:rsidRPr="00674DAE">
        <w:t xml:space="preserve">proudí do instrumentálního rozumu a </w:t>
      </w:r>
      <w:r w:rsidR="00674DAE">
        <w:t>subjektivní libovůle, které nejsou ničím omezeny (</w:t>
      </w:r>
      <w:r w:rsidR="00674DAE" w:rsidRPr="00674DAE">
        <w:rPr>
          <w:i/>
        </w:rPr>
        <w:t>nihil</w:t>
      </w:r>
      <w:r w:rsidR="00674DAE">
        <w:t xml:space="preserve">). </w:t>
      </w:r>
      <w:r w:rsidR="00DF62F6">
        <w:t xml:space="preserve">Obě schopnosti </w:t>
      </w:r>
      <w:r w:rsidR="00DE5BB8">
        <w:t xml:space="preserve">zakládají </w:t>
      </w:r>
      <w:r w:rsidR="00DF62F6">
        <w:t xml:space="preserve">nihilistickou </w:t>
      </w:r>
      <w:r w:rsidR="00DE5BB8">
        <w:t xml:space="preserve">praxi, která je </w:t>
      </w:r>
      <w:r w:rsidR="00674DAE">
        <w:t xml:space="preserve">esenciálně </w:t>
      </w:r>
      <w:r w:rsidR="0059046E" w:rsidRPr="00273106">
        <w:t xml:space="preserve">vlastní </w:t>
      </w:r>
      <w:r w:rsidR="00DF62F6">
        <w:t xml:space="preserve">modernímu subjektu </w:t>
      </w:r>
      <w:r w:rsidR="0059046E" w:rsidRPr="00273106">
        <w:t xml:space="preserve">jako </w:t>
      </w:r>
      <w:r w:rsidR="00093EC7">
        <w:t>ab</w:t>
      </w:r>
      <w:r w:rsidR="00DE5BB8">
        <w:t>s</w:t>
      </w:r>
      <w:r w:rsidR="00093EC7">
        <w:t xml:space="preserve">olutně danému </w:t>
      </w:r>
      <w:r w:rsidR="0059046E" w:rsidRPr="00273106">
        <w:t xml:space="preserve">zástupci </w:t>
      </w:r>
      <w:r w:rsidR="00DF62F6">
        <w:t>moderního boha</w:t>
      </w:r>
      <w:r w:rsidR="0059046E">
        <w:t xml:space="preserve">. </w:t>
      </w:r>
      <w:r w:rsidR="002E3F1A">
        <w:t xml:space="preserve">Pojem </w:t>
      </w:r>
      <w:r w:rsidR="00B05310">
        <w:t>absolutn</w:t>
      </w:r>
      <w:r w:rsidR="002E3F1A">
        <w:t>a</w:t>
      </w:r>
      <w:r w:rsidR="00DE5BB8">
        <w:t xml:space="preserve"> je třeba chápat na základě předešlého konceptu moderní vědy, která provedla metodolickou absolulici od kritického rozumu, protože reality je dána odděleně (</w:t>
      </w:r>
      <w:r w:rsidR="00DE5BB8" w:rsidRPr="00DE5BB8">
        <w:rPr>
          <w:i/>
        </w:rPr>
        <w:t>absolute</w:t>
      </w:r>
      <w:r w:rsidR="00DE5BB8">
        <w:t xml:space="preserve">) od autonomně pojaté esence. </w:t>
      </w:r>
      <w:r w:rsidR="08001189">
        <w:t>D</w:t>
      </w:r>
      <w:r w:rsidR="08001189" w:rsidRPr="00273106">
        <w:t xml:space="preserve">ějinné určení moderny </w:t>
      </w:r>
      <w:r w:rsidR="08001189">
        <w:t>je dáno t</w:t>
      </w:r>
      <w:r w:rsidR="08001189" w:rsidRPr="00273106">
        <w:t xml:space="preserve">ransformací habitu </w:t>
      </w:r>
      <w:r w:rsidR="08001189">
        <w:t xml:space="preserve">z akcidentu </w:t>
      </w:r>
      <w:r w:rsidR="00665C19">
        <w:t xml:space="preserve">jako </w:t>
      </w:r>
      <w:r w:rsidR="08001189">
        <w:t>neurčité e</w:t>
      </w:r>
      <w:r w:rsidR="08001189" w:rsidRPr="00273106">
        <w:t>nergie a činnost</w:t>
      </w:r>
      <w:r w:rsidR="08001189">
        <w:t>i na demiurgický a substanciální základ porretánského lidství (</w:t>
      </w:r>
      <w:r w:rsidR="08001189" w:rsidRPr="08CA4737">
        <w:rPr>
          <w:i/>
        </w:rPr>
        <w:t>humanitas</w:t>
      </w:r>
      <w:r w:rsidR="08001189">
        <w:t>)</w:t>
      </w:r>
      <w:r w:rsidR="00BD050A">
        <w:t xml:space="preserve">. </w:t>
      </w:r>
      <w:r w:rsidR="00BD050A" w:rsidRPr="00BD050A">
        <w:t xml:space="preserve">Taková proměna v Kafkově </w:t>
      </w:r>
      <w:r w:rsidR="00BD050A">
        <w:t xml:space="preserve">stylu </w:t>
      </w:r>
      <w:r w:rsidR="00BD050A" w:rsidRPr="00BD050A">
        <w:t>determinuje celou epochu pojetím pravdy</w:t>
      </w:r>
      <w:r w:rsidR="00BD050A">
        <w:t xml:space="preserve"> jako demiurgickou odkrytostí </w:t>
      </w:r>
      <w:r w:rsidR="00BD050A" w:rsidRPr="00BD050A">
        <w:t>jsoucna. V tomto pojetí habitu a vědecké pra</w:t>
      </w:r>
      <w:r w:rsidR="00BD050A">
        <w:t>vdy odhaluje avicennistická m</w:t>
      </w:r>
      <w:r w:rsidR="0015662F">
        <w:t>oderna v letech 1240–</w:t>
      </w:r>
      <w:r w:rsidR="00BD050A" w:rsidRPr="00BD050A">
        <w:t xml:space="preserve">45 epochální možnosti vývoje </w:t>
      </w:r>
      <w:r w:rsidR="00A76853">
        <w:t xml:space="preserve">ukončené </w:t>
      </w:r>
      <w:r w:rsidR="00BD050A">
        <w:t>současnou podobou a</w:t>
      </w:r>
      <w:r w:rsidR="00BD050A" w:rsidRPr="00BD050A">
        <w:t xml:space="preserve">ntropocénu. Hermeneutika musí analyzovat tuto historickou událost přechodu bytí do nového pojmu pravdy. Jeho nihilistická povaha je dána přeměnou první </w:t>
      </w:r>
      <w:r w:rsidR="009912AF">
        <w:t xml:space="preserve">substance </w:t>
      </w:r>
      <w:r w:rsidR="00BD050A" w:rsidRPr="00BD050A">
        <w:t xml:space="preserve">na </w:t>
      </w:r>
      <w:r w:rsidR="009912AF">
        <w:t xml:space="preserve">objektivní simulákrum. Modernista si přivlastňuje první substanci ve vědomí jako parusii esence (Heideggerovo </w:t>
      </w:r>
      <w:r w:rsidR="009912AF" w:rsidRPr="009912AF">
        <w:rPr>
          <w:i/>
        </w:rPr>
        <w:t>Ereignen</w:t>
      </w:r>
      <w:r w:rsidR="009912AF">
        <w:rPr>
          <w:i/>
        </w:rPr>
        <w:fldChar w:fldCharType="begin"/>
      </w:r>
      <w:r w:rsidR="009912AF">
        <w:instrText xml:space="preserve"> XE "</w:instrText>
      </w:r>
      <w:r w:rsidR="009912AF" w:rsidRPr="00AF41F7">
        <w:rPr>
          <w:i/>
        </w:rPr>
        <w:instrText>Ereignen</w:instrText>
      </w:r>
      <w:r w:rsidR="009912AF">
        <w:instrText xml:space="preserve">" </w:instrText>
      </w:r>
      <w:r w:rsidR="009912AF">
        <w:rPr>
          <w:i/>
        </w:rPr>
        <w:fldChar w:fldCharType="end"/>
      </w:r>
      <w:r w:rsidR="00BD050A" w:rsidRPr="00BD050A">
        <w:t xml:space="preserve">). Moderna a postmoderna se </w:t>
      </w:r>
      <w:r w:rsidR="009912AF">
        <w:t>tím usadily v jejich vlastním habitatu</w:t>
      </w:r>
      <w:r w:rsidR="00BD050A" w:rsidRPr="00BD050A">
        <w:t xml:space="preserve">. </w:t>
      </w:r>
      <w:r w:rsidR="009912AF">
        <w:t xml:space="preserve">Ten je </w:t>
      </w:r>
      <w:r w:rsidR="00BD050A" w:rsidRPr="00BD050A">
        <w:t xml:space="preserve">dán nihilistickým smyslem jsoucna, </w:t>
      </w:r>
      <w:r w:rsidR="009912AF">
        <w:t xml:space="preserve">jehož forma je dána </w:t>
      </w:r>
      <w:r w:rsidR="00BD050A" w:rsidRPr="00BD050A">
        <w:t xml:space="preserve">ve vědomí </w:t>
      </w:r>
      <w:r w:rsidR="009912AF">
        <w:t>jako p</w:t>
      </w:r>
      <w:r w:rsidR="00BD050A" w:rsidRPr="00BD050A">
        <w:t>arusie esence.</w:t>
      </w:r>
      <w:bookmarkStart w:id="82" w:name="_Toc487234308"/>
      <w:bookmarkStart w:id="83" w:name="_Toc12558315"/>
    </w:p>
    <w:p w14:paraId="2CD77C43" w14:textId="6C57B367" w:rsidR="00221596" w:rsidRPr="009912AF" w:rsidRDefault="009912AF" w:rsidP="009912AF">
      <w:pPr>
        <w:pStyle w:val="Nadpis3"/>
        <w:rPr>
          <w:rStyle w:val="Zkladntext1"/>
          <w:rFonts w:ascii="Calibri" w:eastAsia="Times" w:hAnsi="Calibri"/>
          <w:color w:val="auto"/>
          <w:spacing w:val="0"/>
          <w:sz w:val="24"/>
          <w:szCs w:val="20"/>
          <w:u w:val="none"/>
          <w:lang w:val="cs-CZ"/>
        </w:rPr>
      </w:pPr>
      <w:r>
        <w:br w:type="page"/>
      </w:r>
      <w:bookmarkStart w:id="84" w:name="_Toc160449327"/>
      <w:r w:rsidR="08D20D28">
        <w:lastRenderedPageBreak/>
        <w:t>2</w:t>
      </w:r>
      <w:r w:rsidR="00E0012E" w:rsidRPr="00273106">
        <w:t xml:space="preserve">.4.2 </w:t>
      </w:r>
      <w:r w:rsidR="08D33539">
        <w:t xml:space="preserve">Osobní </w:t>
      </w:r>
      <w:r w:rsidR="00221596" w:rsidRPr="00273106">
        <w:t xml:space="preserve">poznání </w:t>
      </w:r>
      <w:r w:rsidR="00952968" w:rsidRPr="00273106">
        <w:t xml:space="preserve">a </w:t>
      </w:r>
      <w:r w:rsidR="08D33539">
        <w:t xml:space="preserve">univerzální </w:t>
      </w:r>
      <w:r w:rsidR="00952968" w:rsidRPr="00273106">
        <w:t>intelekt</w:t>
      </w:r>
      <w:bookmarkEnd w:id="82"/>
      <w:bookmarkEnd w:id="83"/>
      <w:bookmarkEnd w:id="84"/>
      <w:r w:rsidR="00952968" w:rsidRPr="00273106">
        <w:t xml:space="preserve"> </w:t>
      </w:r>
    </w:p>
    <w:p w14:paraId="5F620084" w14:textId="46973B93" w:rsidR="00010A9A" w:rsidRDefault="08B4766B" w:rsidP="00221596">
      <w:r w:rsidRPr="00273106">
        <w:t xml:space="preserve">Předešlý výklad </w:t>
      </w:r>
      <w:r w:rsidR="0036436B">
        <w:t xml:space="preserve">vyložil </w:t>
      </w:r>
      <w:r w:rsidRPr="00273106">
        <w:t xml:space="preserve">Albertovu </w:t>
      </w:r>
      <w:r w:rsidR="0036436B">
        <w:t xml:space="preserve">kritiku </w:t>
      </w:r>
      <w:r w:rsidRPr="00273106">
        <w:t>nominalistick</w:t>
      </w:r>
      <w:r w:rsidR="0036436B">
        <w:t xml:space="preserve">ého </w:t>
      </w:r>
      <w:r w:rsidRPr="00273106">
        <w:t xml:space="preserve">pojetí </w:t>
      </w:r>
      <w:r w:rsidRPr="00D31817">
        <w:rPr>
          <w:i/>
        </w:rPr>
        <w:t>Druhých analytik</w:t>
      </w:r>
      <w:r w:rsidR="0036436B">
        <w:t xml:space="preserve">. Modernisté zrušili </w:t>
      </w:r>
      <w:r w:rsidRPr="00273106">
        <w:t xml:space="preserve"> </w:t>
      </w:r>
      <w:r w:rsidR="0036436B">
        <w:t xml:space="preserve">aristotelské pojetí vědy, které zakládá </w:t>
      </w:r>
      <w:r w:rsidRPr="00273106">
        <w:t xml:space="preserve">poznání </w:t>
      </w:r>
      <w:r w:rsidR="0036436B">
        <w:t xml:space="preserve">na kauzalitě </w:t>
      </w:r>
      <w:r>
        <w:t>reáln</w:t>
      </w:r>
      <w:r w:rsidR="0036436B">
        <w:t xml:space="preserve">ých </w:t>
      </w:r>
      <w:r>
        <w:t>první</w:t>
      </w:r>
      <w:r w:rsidR="0036436B">
        <w:t>ch</w:t>
      </w:r>
      <w:r>
        <w:t xml:space="preserve"> substancí. Vědecké zkoumání reality </w:t>
      </w:r>
      <w:r w:rsidRPr="00273106">
        <w:t xml:space="preserve">stojí a padá s </w:t>
      </w:r>
      <w:r>
        <w:t xml:space="preserve">primátem třetího principu </w:t>
      </w:r>
      <w:r w:rsidRPr="00273106">
        <w:rPr>
          <w:i/>
        </w:rPr>
        <w:t>immediat</w:t>
      </w:r>
      <w:r w:rsidR="08375C24">
        <w:rPr>
          <w:i/>
        </w:rPr>
        <w:t>um</w:t>
      </w:r>
      <w:r w:rsidR="0036436B">
        <w:rPr>
          <w:i/>
        </w:rPr>
        <w:t xml:space="preserve"> </w:t>
      </w:r>
      <w:r w:rsidR="0036436B" w:rsidRPr="0036436B">
        <w:t>nebo</w:t>
      </w:r>
      <w:r w:rsidR="0036436B">
        <w:rPr>
          <w:i/>
        </w:rPr>
        <w:t xml:space="preserve"> ex inmediatis</w:t>
      </w:r>
      <w:r>
        <w:rPr>
          <w:i/>
          <w:lang w:eastAsia="en-US"/>
        </w:rPr>
        <w:fldChar w:fldCharType="begin"/>
      </w:r>
      <w:r>
        <w:instrText xml:space="preserve"> XE "princip </w:instrText>
      </w:r>
      <w:r w:rsidR="08D91F67">
        <w:rPr>
          <w:i/>
        </w:rPr>
        <w:instrText>ex in</w:instrText>
      </w:r>
      <w:r w:rsidRPr="004B277A">
        <w:rPr>
          <w:i/>
        </w:rPr>
        <w:instrText>mediatis</w:instrText>
      </w:r>
      <w:r>
        <w:instrText xml:space="preserve">" </w:instrText>
      </w:r>
      <w:r>
        <w:rPr>
          <w:i/>
          <w:lang w:eastAsia="en-US"/>
        </w:rPr>
        <w:fldChar w:fldCharType="end"/>
      </w:r>
      <w:r w:rsidRPr="00273106">
        <w:t>, který indikuje první substanci jako místo, odkud vychází pravdivé poznání</w:t>
      </w:r>
      <w:r>
        <w:rPr>
          <w:i/>
          <w:lang w:eastAsia="en-US"/>
        </w:rPr>
        <w:fldChar w:fldCharType="begin"/>
      </w:r>
      <w:r>
        <w:instrText xml:space="preserve"> XE "substance:první" </w:instrText>
      </w:r>
      <w:r>
        <w:rPr>
          <w:i/>
          <w:lang w:eastAsia="en-US"/>
        </w:rPr>
        <w:fldChar w:fldCharType="end"/>
      </w:r>
      <w:r w:rsidRPr="00273106">
        <w:t xml:space="preserve">. </w:t>
      </w:r>
      <w:r w:rsidR="087B3C86" w:rsidRPr="00273106">
        <w:t xml:space="preserve">Rozchod </w:t>
      </w:r>
      <w:r w:rsidR="087B3C86">
        <w:t xml:space="preserve">prvního averroismu </w:t>
      </w:r>
      <w:r w:rsidR="087B3C86" w:rsidRPr="00273106">
        <w:t xml:space="preserve">s tehdejší školou </w:t>
      </w:r>
      <w:r w:rsidR="087B3C86" w:rsidRPr="00273106">
        <w:rPr>
          <w:i/>
        </w:rPr>
        <w:t>Nominales</w:t>
      </w:r>
      <w:r w:rsidR="087B3C86" w:rsidRPr="00273106">
        <w:t xml:space="preserve"> se týká pojetí vědy, výkladu duše, definice vědeckého poznání a filosofického určení člověka.</w:t>
      </w:r>
      <w:r w:rsidR="087B3C86">
        <w:t xml:space="preserve"> </w:t>
      </w:r>
      <w:r w:rsidRPr="00273106">
        <w:t xml:space="preserve">Albert stejně jako Alvernus a Bacon obhajuje výklad </w:t>
      </w:r>
      <w:r>
        <w:t>Averroes</w:t>
      </w:r>
      <w:r w:rsidRPr="00273106">
        <w:t>e podaný v duchu prvního averroismu</w:t>
      </w:r>
      <w:r>
        <w:t xml:space="preserve"> Sicilské školy</w:t>
      </w:r>
      <w:r w:rsidRPr="00273106">
        <w:t>, proto odmítl produkci různých forem jsoucna třetího druhu.</w:t>
      </w:r>
      <w:r>
        <w:t xml:space="preserve"> </w:t>
      </w:r>
      <w:r w:rsidR="087F4C8E" w:rsidRPr="00273106">
        <w:t xml:space="preserve">Hlavním bodem rozkolu mezi Albertem a </w:t>
      </w:r>
      <w:r w:rsidR="000904BB">
        <w:t xml:space="preserve">školou </w:t>
      </w:r>
      <w:r w:rsidR="000904BB" w:rsidRPr="000904BB">
        <w:rPr>
          <w:i/>
        </w:rPr>
        <w:t>Latinorum</w:t>
      </w:r>
      <w:r w:rsidR="000904BB">
        <w:t xml:space="preserve"> </w:t>
      </w:r>
      <w:r w:rsidR="08D66098">
        <w:t>se stal především status</w:t>
      </w:r>
      <w:r w:rsidR="087F4C8E" w:rsidRPr="00273106">
        <w:t xml:space="preserve"> </w:t>
      </w:r>
      <w:r w:rsidR="00E02E2A" w:rsidRPr="00E02E2A">
        <w:t>species</w:t>
      </w:r>
      <w:r w:rsidR="087F4C8E" w:rsidRPr="00273106">
        <w:t xml:space="preserve"> a </w:t>
      </w:r>
      <w:r w:rsidR="08D66098">
        <w:t xml:space="preserve">postavení </w:t>
      </w:r>
      <w:r w:rsidR="087F4C8E" w:rsidRPr="00273106">
        <w:t>receptivně-aktivního intelektu</w:t>
      </w:r>
      <w:r w:rsidR="08D66098">
        <w:t xml:space="preserve"> ve schématu poznání</w:t>
      </w:r>
      <w:r w:rsidR="087F4C8E" w:rsidRPr="00273106">
        <w:t xml:space="preserve">. </w:t>
      </w:r>
      <w:r w:rsidR="08475CF7">
        <w:t>Albert kolem 1240 řeší</w:t>
      </w:r>
      <w:r w:rsidR="08475CF7" w:rsidRPr="00273106">
        <w:t xml:space="preserve"> </w:t>
      </w:r>
      <w:r w:rsidR="00165A64">
        <w:t>jednotu</w:t>
      </w:r>
      <w:r w:rsidR="08475CF7" w:rsidRPr="00273106">
        <w:t xml:space="preserve"> intelektu </w:t>
      </w:r>
      <w:r w:rsidR="08475CF7">
        <w:t>s</w:t>
      </w:r>
      <w:r w:rsidR="08475CF7" w:rsidRPr="00273106">
        <w:t xml:space="preserve">tejně jako </w:t>
      </w:r>
      <w:r w:rsidR="08475CF7">
        <w:t xml:space="preserve">Blund, Grosseteste a </w:t>
      </w:r>
      <w:r w:rsidR="08475CF7" w:rsidRPr="00273106">
        <w:t>Alvernu</w:t>
      </w:r>
      <w:r w:rsidR="08475CF7">
        <w:t>s</w:t>
      </w:r>
      <w:r w:rsidR="08475CF7" w:rsidRPr="00273106">
        <w:t xml:space="preserve">. Odmítnutí </w:t>
      </w:r>
      <w:r w:rsidR="08475CF7">
        <w:t xml:space="preserve">neoplatonských </w:t>
      </w:r>
      <w:r w:rsidR="08475CF7" w:rsidRPr="00273106">
        <w:t xml:space="preserve">modernistů na základě aristotelského výkladu vědeckého poznání podle </w:t>
      </w:r>
      <w:r w:rsidR="08475CF7" w:rsidRPr="089568A9">
        <w:rPr>
          <w:i/>
        </w:rPr>
        <w:t>Druhých analytik</w:t>
      </w:r>
      <w:r w:rsidR="08475CF7" w:rsidRPr="00273106">
        <w:t xml:space="preserve"> a podle skutečného průběhu poznání daného v </w:t>
      </w:r>
      <w:r w:rsidR="08475CF7">
        <w:rPr>
          <w:i/>
        </w:rPr>
        <w:t>De anima</w:t>
      </w:r>
      <w:r w:rsidR="08475CF7" w:rsidRPr="00273106">
        <w:t xml:space="preserve"> představuje Albertovo celoživotní rozhodnutí. Úvod </w:t>
      </w:r>
      <w:r w:rsidR="08475CF7" w:rsidRPr="00273106">
        <w:rPr>
          <w:i/>
        </w:rPr>
        <w:t>De homine</w:t>
      </w:r>
      <w:r w:rsidR="08475CF7" w:rsidRPr="00273106">
        <w:t xml:space="preserve"> potvrdil, že logická a esencialistická dělení nejdou k první substanci, protože kon</w:t>
      </w:r>
      <w:r w:rsidR="08475CF7">
        <w:t xml:space="preserve">čí na rovině logické abstrakce. </w:t>
      </w:r>
      <w:r w:rsidR="087F4C8E" w:rsidRPr="00273106">
        <w:t xml:space="preserve">Úvodní část </w:t>
      </w:r>
      <w:r w:rsidR="087F4C8E" w:rsidRPr="00273106">
        <w:rPr>
          <w:i/>
        </w:rPr>
        <w:t>De homine</w:t>
      </w:r>
      <w:r w:rsidR="087F4C8E" w:rsidRPr="00273106">
        <w:t xml:space="preserve"> (q. 1, a. 1) rozebíraná v předešlé kapitole jasně vytýčila, že je třeba </w:t>
      </w:r>
      <w:r w:rsidR="087F4C8E">
        <w:t xml:space="preserve">nejprve a zásadně </w:t>
      </w:r>
      <w:r w:rsidR="087F4C8E" w:rsidRPr="00273106">
        <w:t xml:space="preserve">zkoumat duši </w:t>
      </w:r>
      <w:r w:rsidR="087F4C8E">
        <w:t xml:space="preserve">v modu </w:t>
      </w:r>
      <w:r w:rsidR="087F4C8E" w:rsidRPr="00273106">
        <w:rPr>
          <w:i/>
        </w:rPr>
        <w:t>quoad nos</w:t>
      </w:r>
      <w:r w:rsidR="087F4C8E">
        <w:rPr>
          <w:i/>
          <w:lang w:eastAsia="en-US"/>
        </w:rPr>
        <w:fldChar w:fldCharType="begin"/>
      </w:r>
      <w:r w:rsidR="087F4C8E">
        <w:instrText xml:space="preserve"> XE "poznání </w:instrText>
      </w:r>
      <w:r w:rsidR="087F4C8E" w:rsidRPr="00AF2687">
        <w:rPr>
          <w:i/>
          <w:lang w:eastAsia="en-US"/>
        </w:rPr>
        <w:instrText>quoad nos</w:instrText>
      </w:r>
      <w:r w:rsidR="087F4C8E">
        <w:instrText xml:space="preserve">" </w:instrText>
      </w:r>
      <w:r w:rsidR="087F4C8E">
        <w:rPr>
          <w:i/>
          <w:lang w:eastAsia="en-US"/>
        </w:rPr>
        <w:fldChar w:fldCharType="end"/>
      </w:r>
      <w:r w:rsidR="087F4C8E" w:rsidRPr="00273106">
        <w:t xml:space="preserve">, tedy v jejím individuálním výkonu a v projevech daných v těle. </w:t>
      </w:r>
      <w:r w:rsidR="08123806" w:rsidRPr="00273106">
        <w:t xml:space="preserve">Vraťme se k úvodní citaci </w:t>
      </w:r>
      <w:r w:rsidR="08123806" w:rsidRPr="00273106">
        <w:rPr>
          <w:i/>
        </w:rPr>
        <w:t>De homine</w:t>
      </w:r>
      <w:r w:rsidR="08123806" w:rsidRPr="00273106">
        <w:t xml:space="preserve">, kde je hledaná jistota vědění určena vzhledem vzhledem k duši jako části </w:t>
      </w:r>
      <w:r w:rsidR="009245B4">
        <w:t xml:space="preserve">reálné </w:t>
      </w:r>
      <w:r w:rsidR="08123806" w:rsidRPr="00273106">
        <w:t>substance (</w:t>
      </w:r>
      <w:r w:rsidR="08123806" w:rsidRPr="00273106">
        <w:rPr>
          <w:i/>
        </w:rPr>
        <w:t>certitudo secundum quid</w:t>
      </w:r>
      <w:r w:rsidR="08123806" w:rsidRPr="00273106">
        <w:t xml:space="preserve">). </w:t>
      </w:r>
      <w:r w:rsidR="08123806">
        <w:t>Poznání v lidské duši je založeno na kauzálním</w:t>
      </w:r>
      <w:r w:rsidR="08123806" w:rsidRPr="00273106">
        <w:t xml:space="preserve"> působení </w:t>
      </w:r>
      <w:r w:rsidR="08123806">
        <w:t xml:space="preserve">těla jako </w:t>
      </w:r>
      <w:r w:rsidR="08123806" w:rsidRPr="00273106">
        <w:t>první substance (</w:t>
      </w:r>
      <w:r w:rsidR="08123806" w:rsidRPr="00273106">
        <w:rPr>
          <w:i/>
        </w:rPr>
        <w:t>anima est causa dans esse specificum corpori</w:t>
      </w:r>
      <w:r w:rsidR="08123806">
        <w:t xml:space="preserve">). Albert se </w:t>
      </w:r>
      <w:r w:rsidR="08123806" w:rsidRPr="00273106">
        <w:t xml:space="preserve">drží </w:t>
      </w:r>
      <w:r w:rsidR="08123806">
        <w:t xml:space="preserve">Averroesova </w:t>
      </w:r>
      <w:r w:rsidR="00696326">
        <w:t xml:space="preserve">dvojího </w:t>
      </w:r>
      <w:r w:rsidR="08123806" w:rsidRPr="00273106">
        <w:t>výměru duše</w:t>
      </w:r>
      <w:r w:rsidR="08123806">
        <w:t xml:space="preserve">, protože je daný </w:t>
      </w:r>
      <w:r w:rsidR="08123806" w:rsidRPr="00273106">
        <w:t xml:space="preserve">realistickým výkladem </w:t>
      </w:r>
      <w:r w:rsidR="08123806" w:rsidRPr="00B54ABF">
        <w:rPr>
          <w:i/>
        </w:rPr>
        <w:t>Druhých analytik</w:t>
      </w:r>
      <w:r w:rsidR="08123806" w:rsidRPr="00273106">
        <w:t xml:space="preserve"> v rámci </w:t>
      </w:r>
      <w:r w:rsidR="08123806">
        <w:t xml:space="preserve">výše definované </w:t>
      </w:r>
      <w:r w:rsidR="08123806" w:rsidRPr="00273106">
        <w:t>dvojí vědy o duši (</w:t>
      </w:r>
      <w:r w:rsidR="08123806" w:rsidRPr="00273106">
        <w:rPr>
          <w:i/>
        </w:rPr>
        <w:t>rationis et rei</w:t>
      </w:r>
      <w:r w:rsidR="08123806" w:rsidRPr="00273106">
        <w:t xml:space="preserve">). </w:t>
      </w:r>
      <w:r w:rsidR="08123806">
        <w:t xml:space="preserve">Proto pomíjí abstraktní dělení intelektu podle avicennistů v rámci hypostázovaného </w:t>
      </w:r>
      <w:r w:rsidR="08123806" w:rsidRPr="002150CC">
        <w:rPr>
          <w:i/>
        </w:rPr>
        <w:t>gradus</w:t>
      </w:r>
      <w:r w:rsidR="08123806">
        <w:t xml:space="preserve"> daného podle Toledské školy</w:t>
      </w:r>
      <w:r w:rsidR="08123806">
        <w:fldChar w:fldCharType="begin"/>
      </w:r>
      <w:r w:rsidR="08123806">
        <w:instrText xml:space="preserve"> XE "Toledská škola" </w:instrText>
      </w:r>
      <w:r w:rsidR="08123806">
        <w:fldChar w:fldCharType="end"/>
      </w:r>
      <w:r w:rsidR="00010A9A">
        <w:t>.</w:t>
      </w:r>
    </w:p>
    <w:p w14:paraId="03929E61" w14:textId="77777777" w:rsidR="00885322" w:rsidRDefault="0804631A" w:rsidP="00885322">
      <w:pPr>
        <w:ind w:firstLine="397"/>
      </w:pPr>
      <w:r w:rsidRPr="00273106">
        <w:t xml:space="preserve">Rozdíl v pojetí metafyziky mezi prvním a druhým averroismem se musí </w:t>
      </w:r>
      <w:r>
        <w:t xml:space="preserve">zásadně </w:t>
      </w:r>
      <w:r w:rsidR="08475CF7">
        <w:t xml:space="preserve">projevit i v nauce o intelektu. </w:t>
      </w:r>
      <w:r w:rsidR="00F05970" w:rsidRPr="00273106">
        <w:t>Al</w:t>
      </w:r>
      <w:r w:rsidR="00BF51B7" w:rsidRPr="00273106">
        <w:t xml:space="preserve">bert vychází z Avicennovy definice duše a bere na </w:t>
      </w:r>
      <w:r w:rsidR="00F05970" w:rsidRPr="00273106">
        <w:t xml:space="preserve">formální </w:t>
      </w:r>
      <w:r w:rsidR="081B2D55">
        <w:t xml:space="preserve">úrovni </w:t>
      </w:r>
      <w:r w:rsidR="00BF51B7" w:rsidRPr="00273106">
        <w:t>jeho nauku o čtyřech formách intelektu.</w:t>
      </w:r>
      <w:r w:rsidR="00BF51B7" w:rsidRPr="00273106">
        <w:rPr>
          <w:rStyle w:val="Znakapoznpodarou"/>
        </w:rPr>
        <w:footnoteReference w:id="230"/>
      </w:r>
      <w:r w:rsidR="00221596" w:rsidRPr="00273106">
        <w:t xml:space="preserve"> </w:t>
      </w:r>
      <w:r w:rsidR="002C3524">
        <w:t>Ale tuto definici</w:t>
      </w:r>
      <w:r w:rsidR="00DA452B">
        <w:t xml:space="preserve"> okamžitě doplňuje dělením podle </w:t>
      </w:r>
      <w:r w:rsidR="002E3B62">
        <w:lastRenderedPageBreak/>
        <w:t>Averroes</w:t>
      </w:r>
      <w:r w:rsidR="00DA452B">
        <w:t xml:space="preserve">e, </w:t>
      </w:r>
      <w:r w:rsidR="00E12037">
        <w:t xml:space="preserve">v níž </w:t>
      </w:r>
      <w:r w:rsidR="00DA452B">
        <w:t>jsou pouze tři základní druhy intelektu</w:t>
      </w:r>
      <w:r w:rsidR="009C044A">
        <w:t xml:space="preserve"> (</w:t>
      </w:r>
      <w:r w:rsidR="009C044A" w:rsidRPr="009C044A">
        <w:rPr>
          <w:i/>
        </w:rPr>
        <w:t xml:space="preserve">tres </w:t>
      </w:r>
      <w:r w:rsidR="004B4D52" w:rsidRPr="004B4D52">
        <w:t>species</w:t>
      </w:r>
      <w:r w:rsidR="009C044A" w:rsidRPr="009C044A">
        <w:rPr>
          <w:i/>
        </w:rPr>
        <w:t xml:space="preserve"> intellectus</w:t>
      </w:r>
      <w:r w:rsidR="009C044A">
        <w:t>)</w:t>
      </w:r>
      <w:r w:rsidR="00DA452B">
        <w:t>.</w:t>
      </w:r>
      <w:r w:rsidR="00DA452B">
        <w:rPr>
          <w:rStyle w:val="Znakapoznpodarou"/>
        </w:rPr>
        <w:footnoteReference w:id="231"/>
      </w:r>
      <w:r w:rsidR="086372EB">
        <w:t xml:space="preserve"> Slovo </w:t>
      </w:r>
      <w:r w:rsidR="00DA452B" w:rsidRPr="00DA452B">
        <w:rPr>
          <w:i/>
        </w:rPr>
        <w:t>vere</w:t>
      </w:r>
      <w:r w:rsidR="00DA452B">
        <w:t xml:space="preserve"> jasně indikuje, že rozdělení </w:t>
      </w:r>
      <w:r w:rsidR="009C044A">
        <w:t xml:space="preserve">na tři složky </w:t>
      </w:r>
      <w:r w:rsidR="00DA452B">
        <w:t xml:space="preserve">je pro Alberta základní a má přednost před Avicennovou </w:t>
      </w:r>
      <w:r w:rsidR="002C3524">
        <w:t xml:space="preserve">formální </w:t>
      </w:r>
      <w:r w:rsidR="00DA452B">
        <w:t>definicí</w:t>
      </w:r>
      <w:r w:rsidR="002C3524">
        <w:t xml:space="preserve"> </w:t>
      </w:r>
      <w:r w:rsidR="08D8719F">
        <w:t>da</w:t>
      </w:r>
      <w:r w:rsidR="08594DB9">
        <w:t>nou skrze rostoucí míru seberef</w:t>
      </w:r>
      <w:r w:rsidR="08D8719F">
        <w:t>l</w:t>
      </w:r>
      <w:r w:rsidR="08594DB9">
        <w:t>e</w:t>
      </w:r>
      <w:r w:rsidR="08D8719F">
        <w:t xml:space="preserve">xe a aktualizace </w:t>
      </w:r>
      <w:r w:rsidR="002C3524">
        <w:t>různých forem intelektu</w:t>
      </w:r>
      <w:r w:rsidR="00DA452B">
        <w:t xml:space="preserve">. </w:t>
      </w:r>
      <w:r w:rsidR="08D434A2">
        <w:t xml:space="preserve">Albertovo </w:t>
      </w:r>
      <w:r w:rsidR="009A60C5" w:rsidRPr="00273106">
        <w:t xml:space="preserve">rozdělení </w:t>
      </w:r>
      <w:r w:rsidR="08D434A2">
        <w:t xml:space="preserve">v </w:t>
      </w:r>
      <w:r w:rsidR="08D434A2" w:rsidRPr="08D434A2">
        <w:rPr>
          <w:i/>
        </w:rPr>
        <w:t>De homine</w:t>
      </w:r>
      <w:r w:rsidR="08D434A2">
        <w:t xml:space="preserve"> </w:t>
      </w:r>
      <w:r w:rsidR="009A60C5" w:rsidRPr="00273106">
        <w:t xml:space="preserve">neurčuje abstraktní poměr potence a </w:t>
      </w:r>
      <w:r w:rsidR="083E0AD1">
        <w:t xml:space="preserve">nemateriální formy </w:t>
      </w:r>
      <w:r w:rsidR="009A60C5">
        <w:t xml:space="preserve">daný porretánskými hypostázemi </w:t>
      </w:r>
      <w:r w:rsidR="009A60C5" w:rsidRPr="00273106">
        <w:t>(</w:t>
      </w:r>
      <w:r w:rsidR="009A60C5" w:rsidRPr="00273106">
        <w:rPr>
          <w:i/>
        </w:rPr>
        <w:t>gradus</w:t>
      </w:r>
      <w:r w:rsidR="009A60C5" w:rsidRPr="00273106">
        <w:t xml:space="preserve">), ale trojí druh reálné </w:t>
      </w:r>
      <w:r w:rsidR="009A60C5">
        <w:t xml:space="preserve">specifické </w:t>
      </w:r>
      <w:r w:rsidR="009A60C5" w:rsidRPr="00273106">
        <w:t>činnosti</w:t>
      </w:r>
      <w:r w:rsidR="009A60C5">
        <w:t xml:space="preserve"> intelektu (</w:t>
      </w:r>
      <w:r w:rsidR="004B4D52" w:rsidRPr="004B4D52">
        <w:rPr>
          <w:rStyle w:val="TextpoznpodarouChar"/>
        </w:rPr>
        <w:t>species</w:t>
      </w:r>
      <w:r w:rsidR="009A60C5">
        <w:t>)</w:t>
      </w:r>
      <w:r w:rsidR="009A60C5" w:rsidRPr="00273106">
        <w:t xml:space="preserve">. </w:t>
      </w:r>
      <w:r w:rsidR="00267486">
        <w:t>Avicennovo</w:t>
      </w:r>
      <w:r w:rsidR="002150CC">
        <w:t xml:space="preserve"> rozd</w:t>
      </w:r>
      <w:r w:rsidR="00267486">
        <w:t>ě</w:t>
      </w:r>
      <w:r w:rsidR="002150CC">
        <w:t xml:space="preserve">lení je pouze abstraktní a dělí složky intelektu na rody a </w:t>
      </w:r>
      <w:r w:rsidR="007704EA">
        <w:t>druhy podle Porfy</w:t>
      </w:r>
      <w:r w:rsidR="002150CC">
        <w:t>riova stromu.</w:t>
      </w:r>
      <w:r w:rsidR="00267486">
        <w:t xml:space="preserve"> Toto objektivní dělení </w:t>
      </w:r>
      <w:r w:rsidR="002150CC">
        <w:t xml:space="preserve">není vědecké poznání duše, protože pracuje pouze s konceptem a ne s reálnou aktualitou výkonu myšlení v jedinečné osobě. </w:t>
      </w:r>
      <w:r w:rsidR="006124AB">
        <w:t xml:space="preserve">Intelekt jako univerzálie </w:t>
      </w:r>
      <w:r w:rsidR="002150CC">
        <w:t>představuje logickou definici v řádu potentiality, nikoliv vědeckou definici v řádu metafyziky první substance.</w:t>
      </w:r>
      <w:r w:rsidR="002150CC">
        <w:rPr>
          <w:rStyle w:val="Znakapoznpodarou"/>
        </w:rPr>
        <w:footnoteReference w:id="232"/>
      </w:r>
      <w:r w:rsidR="081B2D55">
        <w:t xml:space="preserve"> Avicennistická gradualita intelektu je daná jen abstraktně a neodpovídá skutečnému způsobu poznání. </w:t>
      </w:r>
      <w:r w:rsidR="00221596" w:rsidRPr="00273106">
        <w:t xml:space="preserve">Abstraktní definice určují </w:t>
      </w:r>
      <w:r w:rsidR="00AB0B0C">
        <w:t>pouze odlišnou</w:t>
      </w:r>
      <w:r w:rsidR="00221596" w:rsidRPr="00273106">
        <w:t xml:space="preserve"> </w:t>
      </w:r>
      <w:r w:rsidR="00AB0B0C">
        <w:t>formu</w:t>
      </w:r>
      <w:r w:rsidR="00DA452B">
        <w:t xml:space="preserve"> </w:t>
      </w:r>
      <w:r w:rsidR="00221596" w:rsidRPr="00273106">
        <w:t xml:space="preserve">potenciality </w:t>
      </w:r>
      <w:r w:rsidR="00AB0B0C">
        <w:t>danou</w:t>
      </w:r>
      <w:r w:rsidR="001005A5">
        <w:t xml:space="preserve"> dělení</w:t>
      </w:r>
      <w:r w:rsidR="00AB0B0C">
        <w:t>m</w:t>
      </w:r>
      <w:r w:rsidR="001005A5">
        <w:t xml:space="preserve"> rodu na</w:t>
      </w:r>
      <w:r w:rsidR="003F30FF">
        <w:t xml:space="preserve"> druh</w:t>
      </w:r>
      <w:r w:rsidR="00221596" w:rsidRPr="00273106">
        <w:t>.</w:t>
      </w:r>
      <w:r w:rsidR="00DF3E26" w:rsidRPr="00273106">
        <w:t xml:space="preserve"> </w:t>
      </w:r>
      <w:r w:rsidR="00221596" w:rsidRPr="00273106">
        <w:t>Jiná věc je zkoumání aktuálního a různorodého výkonu intelektu</w:t>
      </w:r>
      <w:r w:rsidR="00D14F45">
        <w:t xml:space="preserve"> </w:t>
      </w:r>
      <w:r w:rsidR="00621026">
        <w:t xml:space="preserve">v existující osobě jako aktuální </w:t>
      </w:r>
      <w:r w:rsidR="00221596" w:rsidRPr="00273106">
        <w:t xml:space="preserve">první substanci. </w:t>
      </w:r>
      <w:r w:rsidR="00D14F45">
        <w:t xml:space="preserve">Ta </w:t>
      </w:r>
      <w:r w:rsidR="00D14F45" w:rsidRPr="00273106">
        <w:t xml:space="preserve">zakládá </w:t>
      </w:r>
      <w:r w:rsidR="008410C3" w:rsidRPr="00273106">
        <w:t xml:space="preserve">skrze </w:t>
      </w:r>
      <w:r w:rsidR="00983495" w:rsidRPr="00273106">
        <w:t xml:space="preserve">jedinečný </w:t>
      </w:r>
      <w:r w:rsidR="008410C3" w:rsidRPr="00273106">
        <w:rPr>
          <w:i/>
        </w:rPr>
        <w:t>actus es</w:t>
      </w:r>
      <w:r w:rsidR="006A58A9">
        <w:rPr>
          <w:i/>
        </w:rPr>
        <w:t>s</w:t>
      </w:r>
      <w:r w:rsidR="008410C3" w:rsidRPr="00273106">
        <w:rPr>
          <w:i/>
        </w:rPr>
        <w:t>endi</w:t>
      </w:r>
      <w:r w:rsidR="00E80C9D">
        <w:rPr>
          <w:i/>
        </w:rPr>
        <w:fldChar w:fldCharType="begin"/>
      </w:r>
      <w:r w:rsidR="00E80C9D">
        <w:instrText xml:space="preserve"> XE "</w:instrText>
      </w:r>
      <w:r w:rsidR="00E80C9D" w:rsidRPr="001C467C">
        <w:rPr>
          <w:i/>
        </w:rPr>
        <w:instrText>actus es</w:instrText>
      </w:r>
      <w:r w:rsidR="006A58A9">
        <w:rPr>
          <w:i/>
        </w:rPr>
        <w:instrText>s</w:instrText>
      </w:r>
      <w:r w:rsidR="00E80C9D" w:rsidRPr="001C467C">
        <w:rPr>
          <w:i/>
        </w:rPr>
        <w:instrText>endi</w:instrText>
      </w:r>
      <w:r w:rsidR="00E80C9D">
        <w:instrText xml:space="preserve">" </w:instrText>
      </w:r>
      <w:r w:rsidR="00E80C9D">
        <w:rPr>
          <w:i/>
        </w:rPr>
        <w:fldChar w:fldCharType="end"/>
      </w:r>
      <w:r w:rsidR="008410C3" w:rsidRPr="00273106">
        <w:t xml:space="preserve"> </w:t>
      </w:r>
      <w:r w:rsidR="00E91058">
        <w:t xml:space="preserve">personalizované </w:t>
      </w:r>
      <w:r w:rsidR="008410C3" w:rsidRPr="00273106">
        <w:rPr>
          <w:i/>
        </w:rPr>
        <w:t>operatio</w:t>
      </w:r>
      <w:r w:rsidR="008410C3" w:rsidRPr="00273106">
        <w:t xml:space="preserve"> intelektu v té či oné specifické činnosti (</w:t>
      </w:r>
      <w:r w:rsidR="004B4D52" w:rsidRPr="00E91058">
        <w:rPr>
          <w:i/>
        </w:rPr>
        <w:t>species</w:t>
      </w:r>
      <w:r w:rsidR="008410C3" w:rsidRPr="00273106">
        <w:t xml:space="preserve">). </w:t>
      </w:r>
      <w:r w:rsidR="00980324">
        <w:t xml:space="preserve">Opět je vidět zásadní rozdíl mezi </w:t>
      </w:r>
      <w:r w:rsidR="00E02E2A" w:rsidRPr="00E02E2A">
        <w:t>species</w:t>
      </w:r>
      <w:r w:rsidR="00980324">
        <w:t xml:space="preserve"> prvního averroismu daného výkonem myšlení a </w:t>
      </w:r>
      <w:r w:rsidR="003F30FF">
        <w:t xml:space="preserve">mezi </w:t>
      </w:r>
      <w:r w:rsidR="00980324">
        <w:t xml:space="preserve">abstraktním a univočním pojetím </w:t>
      </w:r>
      <w:r w:rsidR="00E02E2A" w:rsidRPr="00E02E2A">
        <w:t>species</w:t>
      </w:r>
      <w:r w:rsidR="00980324">
        <w:t xml:space="preserve"> </w:t>
      </w:r>
      <w:r w:rsidR="087D1D2A">
        <w:t>třetího druhu</w:t>
      </w:r>
      <w:r w:rsidR="08AD20C3">
        <w:t xml:space="preserve">. </w:t>
      </w:r>
      <w:r w:rsidR="0815472C">
        <w:t>Hermeneutika sleduje dvojí dráhu náhledu na lidský intelekt (</w:t>
      </w:r>
      <w:r w:rsidR="0815472C" w:rsidRPr="00725F02">
        <w:rPr>
          <w:i/>
        </w:rPr>
        <w:t>Vor-blickbahn</w:t>
      </w:r>
      <w:r w:rsidR="08A516BF">
        <w:rPr>
          <w:i/>
        </w:rPr>
        <w:fldChar w:fldCharType="begin"/>
      </w:r>
      <w:r w:rsidR="08A516BF">
        <w:instrText xml:space="preserve"> XE "</w:instrText>
      </w:r>
      <w:r w:rsidR="08A516BF" w:rsidRPr="084604AF">
        <w:rPr>
          <w:i/>
        </w:rPr>
        <w:instrText>Vor-blickbahn</w:instrText>
      </w:r>
      <w:r w:rsidR="08A516BF" w:rsidRPr="08A516BF">
        <w:instrText>:Sicilská škola</w:instrText>
      </w:r>
      <w:r w:rsidR="08A516BF">
        <w:instrText xml:space="preserve">" </w:instrText>
      </w:r>
      <w:r w:rsidR="08A516BF">
        <w:rPr>
          <w:i/>
        </w:rPr>
        <w:fldChar w:fldCharType="end"/>
      </w:r>
      <w:r w:rsidR="0815472C">
        <w:t xml:space="preserve">), která se zásadně liší </w:t>
      </w:r>
      <w:r w:rsidR="0815472C" w:rsidRPr="009C5B54">
        <w:rPr>
          <w:i/>
        </w:rPr>
        <w:t>ad mentem Averrois</w:t>
      </w:r>
      <w:r w:rsidR="0815472C">
        <w:t xml:space="preserve"> v exegezi Toledské nebo Sicil</w:t>
      </w:r>
      <w:r w:rsidR="080120A6">
        <w:t>sk</w:t>
      </w:r>
      <w:r w:rsidR="0815472C">
        <w:t xml:space="preserve">é školy. </w:t>
      </w:r>
      <w:r w:rsidR="08E03986">
        <w:t xml:space="preserve">V tom spočívá zásadní rozdíl mezi Akvinským a Albertem, protože jejich výklad Komentátora se zásadně liší. Tomáš inspirovaný Toledskou školou vzal Avicennovu gradualitu kosmických intelektů jako základ pro definici </w:t>
      </w:r>
      <w:r w:rsidR="08E03986" w:rsidRPr="005C308D">
        <w:rPr>
          <w:i/>
        </w:rPr>
        <w:t>intellectus possibilis</w:t>
      </w:r>
      <w:r w:rsidR="08E03986">
        <w:t>, který pojal individuálně a odmítl oddělený možný intelekt sofisticky připsaný Averroesovi (</w:t>
      </w:r>
      <w:r w:rsidR="0895749B">
        <w:t xml:space="preserve">OBJ III, </w:t>
      </w:r>
      <w:r w:rsidR="08B33D13">
        <w:t>kap. 4</w:t>
      </w:r>
      <w:r w:rsidR="08E03986">
        <w:t xml:space="preserve">.5.1). Albert tuto sofistiku nemůže udělat, protože Avicennova definice intelektu v rámci </w:t>
      </w:r>
      <w:r w:rsidR="08E03986" w:rsidRPr="086559DB">
        <w:rPr>
          <w:i/>
        </w:rPr>
        <w:t>gradus</w:t>
      </w:r>
      <w:r w:rsidR="08E03986">
        <w:t xml:space="preserve"> signifikuje pouze v rámci abstraktního určení jsoucna (</w:t>
      </w:r>
      <w:r w:rsidR="08E03986" w:rsidRPr="002150CC">
        <w:rPr>
          <w:i/>
        </w:rPr>
        <w:t>esse diminutum</w:t>
      </w:r>
      <w:r w:rsidR="08E03986">
        <w:rPr>
          <w:i/>
        </w:rPr>
        <w:fldChar w:fldCharType="begin"/>
      </w:r>
      <w:r w:rsidR="08E03986">
        <w:instrText xml:space="preserve"> XE "</w:instrText>
      </w:r>
      <w:r w:rsidR="08E03986" w:rsidRPr="00C3583D">
        <w:rPr>
          <w:i/>
        </w:rPr>
        <w:instrText>esse diminutum</w:instrText>
      </w:r>
      <w:r w:rsidR="08E03986">
        <w:instrText xml:space="preserve">" </w:instrText>
      </w:r>
      <w:r w:rsidR="08E03986">
        <w:rPr>
          <w:i/>
        </w:rPr>
        <w:fldChar w:fldCharType="end"/>
      </w:r>
      <w:r w:rsidR="08E03986">
        <w:t xml:space="preserve">). </w:t>
      </w:r>
      <w:r w:rsidR="002D5165">
        <w:t>Ale v</w:t>
      </w:r>
      <w:r w:rsidR="00C13CC7" w:rsidRPr="00273106">
        <w:t xml:space="preserve">ýkon intelektu je navázán nikoliv na abstraktní formu Avicenny, ale na žijícího člověka zkoumaného </w:t>
      </w:r>
      <w:r w:rsidR="00683132" w:rsidRPr="00273106">
        <w:t>v rámci jedinečné existence vázané na aktuální bytí první substance</w:t>
      </w:r>
      <w:r w:rsidR="00C13CC7" w:rsidRPr="00273106">
        <w:t xml:space="preserve">. </w:t>
      </w:r>
      <w:r w:rsidR="08BD75C6">
        <w:t>Pro Al</w:t>
      </w:r>
      <w:r w:rsidR="00861FD2">
        <w:t xml:space="preserve">berta to znamená, že vědecké zkoumání člověka musí jít </w:t>
      </w:r>
      <w:r w:rsidR="00861FD2">
        <w:lastRenderedPageBreak/>
        <w:t xml:space="preserve">v modu </w:t>
      </w:r>
      <w:r w:rsidR="00861FD2" w:rsidRPr="08BD75C6">
        <w:rPr>
          <w:i/>
        </w:rPr>
        <w:t>per prius</w:t>
      </w:r>
      <w:r w:rsidR="08BD75C6">
        <w:t xml:space="preserve"> k existenciální </w:t>
      </w:r>
      <w:r w:rsidR="00861FD2">
        <w:t>činnosti myslící osoby, a pak te</w:t>
      </w:r>
      <w:r w:rsidR="08BD75C6">
        <w:t>p</w:t>
      </w:r>
      <w:r w:rsidR="00861FD2">
        <w:t xml:space="preserve">rve ke </w:t>
      </w:r>
      <w:r w:rsidR="00E02E2A" w:rsidRPr="00E02E2A">
        <w:t>species</w:t>
      </w:r>
      <w:r w:rsidR="00861FD2">
        <w:t xml:space="preserve"> intelektu jako abstrakci dané v mysli. </w:t>
      </w:r>
      <w:r w:rsidR="08BD75C6">
        <w:t>A otáz</w:t>
      </w:r>
      <w:r w:rsidR="08925BA9">
        <w:t xml:space="preserve">ku graduality je možné řešit </w:t>
      </w:r>
      <w:r w:rsidR="08BD75C6">
        <w:t>úplně nakonec, až je etablovaný pojem intelektu jako univerzálie</w:t>
      </w:r>
      <w:r w:rsidR="08007E95">
        <w:t xml:space="preserve">, viz </w:t>
      </w:r>
      <w:r w:rsidR="08413C41">
        <w:t xml:space="preserve">Averroesův </w:t>
      </w:r>
      <w:r w:rsidR="08413C41" w:rsidRPr="08413C41">
        <w:rPr>
          <w:i/>
        </w:rPr>
        <w:t xml:space="preserve">quartum </w:t>
      </w:r>
      <w:r w:rsidR="00B1298A">
        <w:rPr>
          <w:i/>
        </w:rPr>
        <w:t>genus</w:t>
      </w:r>
      <w:r w:rsidR="082D2668">
        <w:t xml:space="preserve"> </w:t>
      </w:r>
      <w:r w:rsidR="082D2668" w:rsidRPr="082D2668">
        <w:rPr>
          <w:szCs w:val="24"/>
        </w:rPr>
        <w:t>(</w:t>
      </w:r>
      <w:r w:rsidR="082D2668">
        <w:rPr>
          <w:szCs w:val="24"/>
        </w:rPr>
        <w:t>OBJ I, k</w:t>
      </w:r>
      <w:r w:rsidR="082D2668" w:rsidRPr="082D2668">
        <w:rPr>
          <w:szCs w:val="24"/>
        </w:rPr>
        <w:t xml:space="preserve">ap. 2.4.3). </w:t>
      </w:r>
      <w:r w:rsidR="00B81502">
        <w:rPr>
          <w:szCs w:val="24"/>
        </w:rPr>
        <w:t xml:space="preserve">Sofistický </w:t>
      </w:r>
      <w:r w:rsidR="08227A38">
        <w:t xml:space="preserve">pohled moderny a postmoderny na intelekt jako jsoucno třetího druhu nemůže vyložit nuance Albertova aristotelského výkladu, který řídí jeho základní rozlišení druhů intelektu mezi </w:t>
      </w:r>
      <w:r w:rsidR="08227A38" w:rsidRPr="08AD20C3">
        <w:rPr>
          <w:i/>
        </w:rPr>
        <w:t>gradus</w:t>
      </w:r>
      <w:r w:rsidR="08227A38">
        <w:t xml:space="preserve"> a </w:t>
      </w:r>
      <w:r w:rsidR="004B4D52" w:rsidRPr="004B4D52">
        <w:t>species</w:t>
      </w:r>
      <w:r w:rsidR="00F30FCD">
        <w:t>.</w:t>
      </w:r>
      <w:r w:rsidR="00885322">
        <w:t xml:space="preserve"> </w:t>
      </w:r>
      <w:r w:rsidR="00515656">
        <w:t xml:space="preserve">Albert postupuje </w:t>
      </w:r>
      <w:r w:rsidR="08925BA9">
        <w:t>od Averroesovy fenomeno</w:t>
      </w:r>
      <w:r w:rsidR="00861FD2">
        <w:t>logie specifického int</w:t>
      </w:r>
      <w:r w:rsidR="08094467">
        <w:t xml:space="preserve">elektuálního aktu myšlení. </w:t>
      </w:r>
      <w:r w:rsidR="086C01AB">
        <w:t xml:space="preserve">Výklad </w:t>
      </w:r>
      <w:r w:rsidR="08094467">
        <w:t xml:space="preserve">začíná od existující </w:t>
      </w:r>
      <w:r w:rsidR="00861FD2">
        <w:t xml:space="preserve">osoby v modu </w:t>
      </w:r>
      <w:r w:rsidR="00861FD2" w:rsidRPr="00861FD2">
        <w:rPr>
          <w:i/>
        </w:rPr>
        <w:t xml:space="preserve">tertium </w:t>
      </w:r>
      <w:r w:rsidR="00B1298A">
        <w:rPr>
          <w:i/>
        </w:rPr>
        <w:t>genus</w:t>
      </w:r>
      <w:r w:rsidR="00861FD2">
        <w:t xml:space="preserve"> </w:t>
      </w:r>
      <w:r w:rsidR="08094467">
        <w:t xml:space="preserve">a pak jde </w:t>
      </w:r>
      <w:r w:rsidR="00861FD2">
        <w:t xml:space="preserve">k Avicennově abstraktní kategorizaci různých </w:t>
      </w:r>
      <w:r w:rsidR="08094467">
        <w:t xml:space="preserve">forem </w:t>
      </w:r>
      <w:r w:rsidR="00861FD2">
        <w:t xml:space="preserve">intelektu v modu </w:t>
      </w:r>
      <w:r w:rsidR="00861FD2" w:rsidRPr="00861FD2">
        <w:rPr>
          <w:i/>
        </w:rPr>
        <w:t xml:space="preserve">quartum </w:t>
      </w:r>
      <w:r w:rsidR="00B1298A">
        <w:rPr>
          <w:i/>
        </w:rPr>
        <w:t>genus</w:t>
      </w:r>
      <w:r w:rsidR="00861FD2">
        <w:t xml:space="preserve">. </w:t>
      </w:r>
      <w:r w:rsidR="003858D3">
        <w:t>Intelekt daný</w:t>
      </w:r>
      <w:r w:rsidR="00861FD2">
        <w:t xml:space="preserve"> v prvním modu je vázaný na existenciální výkon osoby</w:t>
      </w:r>
      <w:r w:rsidR="003858D3">
        <w:t>. P</w:t>
      </w:r>
      <w:r w:rsidR="00861FD2">
        <w:t>roto má toto poznání vědecký charakter daný reálnou kauzalitou</w:t>
      </w:r>
      <w:r w:rsidR="003858D3">
        <w:t xml:space="preserve"> v modu </w:t>
      </w:r>
      <w:r w:rsidR="08D91F67">
        <w:rPr>
          <w:i/>
        </w:rPr>
        <w:t>ex in</w:t>
      </w:r>
      <w:r w:rsidR="003858D3" w:rsidRPr="003858D3">
        <w:rPr>
          <w:i/>
        </w:rPr>
        <w:t>mediatis</w:t>
      </w:r>
      <w:r w:rsidR="00861FD2">
        <w:t xml:space="preserve">. Ve druhém aktu poznání </w:t>
      </w:r>
      <w:r w:rsidR="082F098C">
        <w:t xml:space="preserve">daným skrze systém abstraktní graduality </w:t>
      </w:r>
      <w:r w:rsidR="00861FD2">
        <w:t xml:space="preserve">je </w:t>
      </w:r>
      <w:r w:rsidR="0889564B">
        <w:t xml:space="preserve">definovaný lidský </w:t>
      </w:r>
      <w:r w:rsidR="00861FD2">
        <w:t>intelekt pouhá logická abstrakce, která nemá plný vědecký charakter</w:t>
      </w:r>
      <w:r w:rsidR="085A3303">
        <w:t xml:space="preserve">. Tento zásadní rozdíl v přístupu k intelektu podle Avicenny a podle Averroese </w:t>
      </w:r>
      <w:r w:rsidR="00861FD2">
        <w:t xml:space="preserve">neviděla a dodnes nevidí škola </w:t>
      </w:r>
      <w:r w:rsidR="00861FD2" w:rsidRPr="00861FD2">
        <w:rPr>
          <w:i/>
        </w:rPr>
        <w:t>Modernorum</w:t>
      </w:r>
      <w:r w:rsidR="00861FD2">
        <w:t xml:space="preserve">. </w:t>
      </w:r>
      <w:r w:rsidR="0889564B">
        <w:t xml:space="preserve">Škola prvního averroismu </w:t>
      </w:r>
      <w:r w:rsidR="008410C3" w:rsidRPr="00273106">
        <w:t>přij</w:t>
      </w:r>
      <w:r w:rsidR="0889564B">
        <w:t xml:space="preserve">ala podle </w:t>
      </w:r>
      <w:r w:rsidR="0889564B" w:rsidRPr="0889564B">
        <w:rPr>
          <w:i/>
        </w:rPr>
        <w:t>De anima</w:t>
      </w:r>
      <w:r w:rsidR="0889564B">
        <w:t xml:space="preserve"> základní </w:t>
      </w:r>
      <w:r w:rsidR="008410C3" w:rsidRPr="00273106">
        <w:t xml:space="preserve">dělení </w:t>
      </w:r>
      <w:r w:rsidR="0889564B" w:rsidRPr="00273106">
        <w:t xml:space="preserve">intelektu </w:t>
      </w:r>
      <w:r w:rsidR="0889564B">
        <w:t xml:space="preserve">do </w:t>
      </w:r>
      <w:r w:rsidR="008410C3" w:rsidRPr="00273106">
        <w:t xml:space="preserve">tří druhů, které je </w:t>
      </w:r>
      <w:r w:rsidR="00804078">
        <w:t xml:space="preserve">genericky </w:t>
      </w:r>
      <w:r w:rsidR="008410C3" w:rsidRPr="00273106">
        <w:t xml:space="preserve">odlišné od avicennovských stupňů </w:t>
      </w:r>
      <w:r w:rsidR="0889564B">
        <w:t xml:space="preserve">abstrahovaného </w:t>
      </w:r>
      <w:r w:rsidR="008410C3" w:rsidRPr="00273106">
        <w:t>intelektu</w:t>
      </w:r>
      <w:r w:rsidR="0889564B">
        <w:t xml:space="preserve"> pojatého jako univerzálie</w:t>
      </w:r>
      <w:r w:rsidR="00885322">
        <w:t>.</w:t>
      </w:r>
    </w:p>
    <w:p w14:paraId="61C6E28A" w14:textId="04444D8F" w:rsidR="00C05068" w:rsidRPr="00273106" w:rsidRDefault="002E3B62" w:rsidP="00885322">
      <w:pPr>
        <w:ind w:firstLine="397"/>
      </w:pPr>
      <w:r>
        <w:t>Averroes</w:t>
      </w:r>
      <w:r w:rsidR="00946BC7" w:rsidRPr="00273106">
        <w:t xml:space="preserve"> a po něm Albert musí vyřešit problém materiálního intelektu </w:t>
      </w:r>
      <w:r w:rsidR="00E80C9D">
        <w:fldChar w:fldCharType="begin"/>
      </w:r>
      <w:r w:rsidR="00E80C9D">
        <w:instrText xml:space="preserve"> XE "</w:instrText>
      </w:r>
      <w:r w:rsidR="00E80C9D" w:rsidRPr="00E80C9D">
        <w:rPr>
          <w:i/>
        </w:rPr>
        <w:instrText>intellectus possibilis</w:instrText>
      </w:r>
      <w:r w:rsidR="00E80C9D" w:rsidRPr="005303AA">
        <w:instrText>:Albert</w:instrText>
      </w:r>
      <w:r w:rsidR="00E80C9D">
        <w:instrText xml:space="preserve">" </w:instrText>
      </w:r>
      <w:r w:rsidR="00E80C9D">
        <w:fldChar w:fldCharType="end"/>
      </w:r>
      <w:r w:rsidR="00946BC7" w:rsidRPr="00273106">
        <w:t xml:space="preserve">jako receptivní </w:t>
      </w:r>
      <w:r w:rsidR="007E2AF7">
        <w:t xml:space="preserve">schopnosti prováděné ve výkonu </w:t>
      </w:r>
      <w:r w:rsidR="008D3D6B">
        <w:t xml:space="preserve">existence jako </w:t>
      </w:r>
      <w:r w:rsidR="00946BC7" w:rsidRPr="00273106">
        <w:rPr>
          <w:i/>
        </w:rPr>
        <w:t>ipsum</w:t>
      </w:r>
      <w:r w:rsidR="00946BC7" w:rsidRPr="00273106">
        <w:t xml:space="preserve"> </w:t>
      </w:r>
      <w:r w:rsidR="00B239FE">
        <w:fldChar w:fldCharType="begin"/>
      </w:r>
      <w:r w:rsidR="00B239FE">
        <w:instrText xml:space="preserve"> XE "</w:instrText>
      </w:r>
      <w:r w:rsidR="00B239FE" w:rsidRPr="003B6323">
        <w:instrText>osoba:ipseita</w:instrText>
      </w:r>
      <w:r w:rsidR="00B239FE">
        <w:instrText xml:space="preserve">" </w:instrText>
      </w:r>
      <w:r w:rsidR="00B239FE">
        <w:fldChar w:fldCharType="end"/>
      </w:r>
      <w:r w:rsidR="00946BC7" w:rsidRPr="00273106">
        <w:t xml:space="preserve">daném v porozumění </w:t>
      </w:r>
      <w:r w:rsidR="007E2AF7">
        <w:t xml:space="preserve">osoby jako první substance. </w:t>
      </w:r>
      <w:r w:rsidR="08156E79">
        <w:t>Její výkon myšlení se vztahuje</w:t>
      </w:r>
      <w:r w:rsidR="08156E79" w:rsidRPr="00273106">
        <w:t xml:space="preserve"> k té či oné složce intelektu </w:t>
      </w:r>
      <w:r w:rsidR="08156E79">
        <w:t xml:space="preserve">jako specifické schopnosti duše </w:t>
      </w:r>
      <w:r w:rsidR="08156E79" w:rsidRPr="00273106">
        <w:t>(</w:t>
      </w:r>
      <w:r w:rsidR="08104288">
        <w:t xml:space="preserve">OBJ I, </w:t>
      </w:r>
      <w:r w:rsidR="08156E79" w:rsidRPr="00273106">
        <w:t xml:space="preserve">kap. 2.4.3). </w:t>
      </w:r>
      <w:r w:rsidR="08CA3C78">
        <w:t xml:space="preserve">Spis </w:t>
      </w:r>
      <w:r w:rsidR="00CF4B5B">
        <w:t>CMDA tvrdí, že p</w:t>
      </w:r>
      <w:r w:rsidR="00CF4B5B" w:rsidRPr="00273106">
        <w:t>asivní a aktivní složka intelektu musí být dána v individuálním výkonu spekulativního intelektu, který není nic jiného, než aktivní výkon jednotlivé duše</w:t>
      </w:r>
      <w:r w:rsidR="00CF4B5B">
        <w:t xml:space="preserve"> v modu ipseity</w:t>
      </w:r>
      <w:r w:rsidR="00CF4B5B" w:rsidRPr="00273106">
        <w:t>.</w:t>
      </w:r>
      <w:r w:rsidR="00CF4B5B" w:rsidRPr="00273106">
        <w:rPr>
          <w:rStyle w:val="Znakapoznpodarou"/>
        </w:rPr>
        <w:footnoteReference w:id="233"/>
      </w:r>
      <w:r w:rsidR="00CF4B5B" w:rsidRPr="00273106">
        <w:t xml:space="preserve"> </w:t>
      </w:r>
      <w:r w:rsidR="008C49A5">
        <w:t>Albertovo d</w:t>
      </w:r>
      <w:r w:rsidR="00946BC7" w:rsidRPr="00273106">
        <w:t xml:space="preserve">ělení intelektu </w:t>
      </w:r>
      <w:r w:rsidR="00303AAB">
        <w:t xml:space="preserve">v Averroesově modu </w:t>
      </w:r>
      <w:r w:rsidR="00303AAB" w:rsidRPr="00303AAB">
        <w:rPr>
          <w:i/>
        </w:rPr>
        <w:t xml:space="preserve">tertium </w:t>
      </w:r>
      <w:r w:rsidR="00B1298A">
        <w:rPr>
          <w:i/>
        </w:rPr>
        <w:t>genus</w:t>
      </w:r>
      <w:r w:rsidR="00303AAB">
        <w:t xml:space="preserve"> </w:t>
      </w:r>
      <w:r w:rsidR="00946BC7" w:rsidRPr="00273106">
        <w:t xml:space="preserve">je dáno podle </w:t>
      </w:r>
      <w:r w:rsidR="00863D70">
        <w:t xml:space="preserve">CMDA. </w:t>
      </w:r>
      <w:r w:rsidR="00CF4B5B" w:rsidRPr="00273106">
        <w:t>Albert sleduje centrální část argumentace Aristotelova pojetí intelektu (νοῦς τῷ πάντα γίνεσθαι, ὁ δὲ τῷ πάντα ποιεῖν,</w:t>
      </w:r>
      <w:r w:rsidR="00CF4B5B" w:rsidRPr="00273106">
        <w:rPr>
          <w:i/>
        </w:rPr>
        <w:t xml:space="preserve"> </w:t>
      </w:r>
      <w:r w:rsidR="00CF4B5B">
        <w:rPr>
          <w:i/>
        </w:rPr>
        <w:t>De anima</w:t>
      </w:r>
      <w:r w:rsidR="00CF4B5B" w:rsidRPr="00273106">
        <w:t xml:space="preserve"> 430a14–15</w:t>
      </w:r>
      <w:r w:rsidR="00CF4B5B">
        <w:fldChar w:fldCharType="begin"/>
      </w:r>
      <w:r w:rsidR="00CF4B5B">
        <w:instrText xml:space="preserve"> XE "Aristoteles:</w:instrText>
      </w:r>
      <w:r w:rsidR="00CF4B5B" w:rsidRPr="003029EC">
        <w:rPr>
          <w:i/>
        </w:rPr>
        <w:instrText>De anima</w:instrText>
      </w:r>
      <w:r w:rsidR="00CF4B5B" w:rsidRPr="003029EC">
        <w:instrText xml:space="preserve"> 430a14–15</w:instrText>
      </w:r>
      <w:r w:rsidR="00CF4B5B">
        <w:instrText xml:space="preserve">" </w:instrText>
      </w:r>
      <w:r w:rsidR="00CF4B5B">
        <w:fldChar w:fldCharType="end"/>
      </w:r>
      <w:r w:rsidR="00CF4B5B" w:rsidRPr="00273106">
        <w:t xml:space="preserve">). </w:t>
      </w:r>
      <w:r w:rsidR="00CF4B5B">
        <w:t xml:space="preserve">Citát </w:t>
      </w:r>
      <w:r w:rsidR="008D2A1C">
        <w:t>ana</w:t>
      </w:r>
      <w:r w:rsidR="00A84FC1">
        <w:t>l</w:t>
      </w:r>
      <w:r w:rsidR="008D2A1C">
        <w:t>y</w:t>
      </w:r>
      <w:r w:rsidR="00A84FC1">
        <w:t xml:space="preserve">zuje </w:t>
      </w:r>
      <w:r w:rsidR="08130C4E">
        <w:t xml:space="preserve">aktuální </w:t>
      </w:r>
      <w:r w:rsidR="00946BC7" w:rsidRPr="00273106">
        <w:t xml:space="preserve"> činnost</w:t>
      </w:r>
      <w:r w:rsidR="00A84FC1">
        <w:t xml:space="preserve"> intelektu</w:t>
      </w:r>
      <w:r w:rsidR="00946BC7" w:rsidRPr="00273106">
        <w:t xml:space="preserve"> v oduševněném těle </w:t>
      </w:r>
      <w:r w:rsidR="00863D70">
        <w:t xml:space="preserve">v modu recepce, syntézy a výsledného pojmu </w:t>
      </w:r>
      <w:r w:rsidR="00946BC7" w:rsidRPr="00273106">
        <w:t>(</w:t>
      </w:r>
      <w:r w:rsidR="00946BC7" w:rsidRPr="00273106">
        <w:rPr>
          <w:rStyle w:val="TextpoznpodarouChar"/>
          <w:i/>
        </w:rPr>
        <w:t>transmutans</w:t>
      </w:r>
      <w:r w:rsidR="00946BC7" w:rsidRPr="00273106">
        <w:rPr>
          <w:rStyle w:val="TextpoznpodarouChar"/>
        </w:rPr>
        <w:t xml:space="preserve">, </w:t>
      </w:r>
      <w:r w:rsidR="00946BC7" w:rsidRPr="00273106">
        <w:rPr>
          <w:rStyle w:val="TextpoznpodarouChar"/>
          <w:i/>
        </w:rPr>
        <w:t>transmutatus</w:t>
      </w:r>
      <w:r w:rsidR="00946BC7" w:rsidRPr="00273106">
        <w:rPr>
          <w:rStyle w:val="TextpoznpodarouChar"/>
        </w:rPr>
        <w:t xml:space="preserve">, </w:t>
      </w:r>
      <w:r w:rsidR="00946BC7" w:rsidRPr="00273106">
        <w:rPr>
          <w:rStyle w:val="TextpoznpodarouChar"/>
          <w:i/>
        </w:rPr>
        <w:t>transmutatio</w:t>
      </w:r>
      <w:r w:rsidR="00946BC7" w:rsidRPr="00273106">
        <w:rPr>
          <w:rStyle w:val="TextpoznpodarouChar"/>
        </w:rPr>
        <w:t>)</w:t>
      </w:r>
      <w:r w:rsidR="00946BC7" w:rsidRPr="00273106">
        <w:t>.</w:t>
      </w:r>
    </w:p>
    <w:p w14:paraId="25EDBDEC" w14:textId="63449FCC" w:rsidR="00CC0D53" w:rsidRPr="00273106" w:rsidRDefault="00C05068" w:rsidP="00CC0D53">
      <w:pPr>
        <w:pStyle w:val="Citace"/>
        <w:rPr>
          <w:noProof/>
          <w:lang w:val="cs-CZ"/>
        </w:rPr>
      </w:pPr>
      <w:r w:rsidRPr="00273106">
        <w:rPr>
          <w:noProof/>
          <w:lang w:val="cs-CZ"/>
        </w:rPr>
        <w:t xml:space="preserve">„Pak jsou </w:t>
      </w:r>
      <w:r w:rsidR="00330D12">
        <w:rPr>
          <w:noProof/>
          <w:lang w:val="cs-CZ"/>
        </w:rPr>
        <w:t xml:space="preserve">dány </w:t>
      </w:r>
      <w:r w:rsidRPr="00273106">
        <w:rPr>
          <w:noProof/>
          <w:lang w:val="cs-CZ"/>
        </w:rPr>
        <w:t>jen tři druhy intelektu</w:t>
      </w:r>
      <w:r w:rsidR="08B20605">
        <w:rPr>
          <w:noProof/>
          <w:lang w:val="cs-CZ"/>
        </w:rPr>
        <w:t xml:space="preserve"> (</w:t>
      </w:r>
      <w:r w:rsidR="08B20605" w:rsidRPr="08B20605">
        <w:rPr>
          <w:i/>
        </w:rPr>
        <w:t xml:space="preserve">tres </w:t>
      </w:r>
      <w:r w:rsidR="004B4D52" w:rsidRPr="004B4D52">
        <w:t>species</w:t>
      </w:r>
      <w:r w:rsidR="08B20605" w:rsidRPr="08B20605">
        <w:rPr>
          <w:i/>
        </w:rPr>
        <w:t xml:space="preserve"> intellectus</w:t>
      </w:r>
      <w:r w:rsidR="08B20605">
        <w:rPr>
          <w:noProof/>
          <w:lang w:val="cs-CZ"/>
        </w:rPr>
        <w:t>)</w:t>
      </w:r>
      <w:r w:rsidRPr="00273106">
        <w:rPr>
          <w:noProof/>
          <w:lang w:val="cs-CZ"/>
        </w:rPr>
        <w:t xml:space="preserve">. Při všem poznání, které vychází od potence k aktu, jsou jen tři složky, totiž </w:t>
      </w:r>
      <w:r w:rsidR="086912F6" w:rsidRPr="00273106">
        <w:rPr>
          <w:noProof/>
          <w:lang w:val="cs-CZ"/>
        </w:rPr>
        <w:t>p</w:t>
      </w:r>
      <w:r w:rsidR="086912F6">
        <w:rPr>
          <w:noProof/>
          <w:lang w:val="cs-CZ"/>
        </w:rPr>
        <w:t xml:space="preserve">roměňující, proměněné a to, v čem probíhá změna </w:t>
      </w:r>
      <w:r w:rsidR="004C220D">
        <w:rPr>
          <w:noProof/>
          <w:lang w:val="cs-CZ"/>
        </w:rPr>
        <w:t>(</w:t>
      </w:r>
      <w:r w:rsidR="004C220D" w:rsidRPr="004C220D">
        <w:rPr>
          <w:i/>
        </w:rPr>
        <w:t>transmutans, et transmutatum, et illud in quod est transmutatio</w:t>
      </w:r>
      <w:r w:rsidR="004C220D">
        <w:rPr>
          <w:noProof/>
          <w:lang w:val="cs-CZ"/>
        </w:rPr>
        <w:t>)</w:t>
      </w:r>
      <w:r w:rsidRPr="00273106">
        <w:rPr>
          <w:noProof/>
          <w:lang w:val="cs-CZ"/>
        </w:rPr>
        <w:t xml:space="preserve">. </w:t>
      </w:r>
      <w:r w:rsidR="007F277E" w:rsidRPr="00273106">
        <w:rPr>
          <w:noProof/>
          <w:lang w:val="cs-CZ"/>
        </w:rPr>
        <w:t xml:space="preserve">Protože intelektuální duše se </w:t>
      </w:r>
      <w:r w:rsidR="007F277E" w:rsidRPr="00273106">
        <w:rPr>
          <w:noProof/>
          <w:lang w:val="cs-CZ"/>
        </w:rPr>
        <w:lastRenderedPageBreak/>
        <w:t>vzhledem k poznatkům rozlišuje podle toho, co je proměňováno, pak jsou v intelektu pouze tři formy: činný intelekt, který promě</w:t>
      </w:r>
      <w:r w:rsidR="00CC0D53" w:rsidRPr="00273106">
        <w:rPr>
          <w:noProof/>
          <w:lang w:val="cs-CZ"/>
        </w:rPr>
        <w:t xml:space="preserve">ňuje; </w:t>
      </w:r>
      <w:r w:rsidR="007F277E" w:rsidRPr="00273106">
        <w:rPr>
          <w:noProof/>
          <w:lang w:val="cs-CZ"/>
        </w:rPr>
        <w:t>možný intelekt, který je proměňovaný</w:t>
      </w:r>
      <w:r w:rsidR="00CC0D53" w:rsidRPr="00273106">
        <w:rPr>
          <w:noProof/>
          <w:lang w:val="cs-CZ"/>
        </w:rPr>
        <w:t xml:space="preserve">; </w:t>
      </w:r>
      <w:r w:rsidR="007F277E" w:rsidRPr="00273106">
        <w:rPr>
          <w:noProof/>
          <w:lang w:val="cs-CZ"/>
        </w:rPr>
        <w:t>spekulativní intelekt, v němž se tato proměna děje.“</w:t>
      </w:r>
      <w:r w:rsidR="001463DD">
        <w:rPr>
          <w:noProof/>
          <w:lang w:val="cs-CZ"/>
        </w:rPr>
        <w:t> </w:t>
      </w:r>
      <w:r w:rsidR="009A23A5" w:rsidRPr="00273106">
        <w:rPr>
          <w:rStyle w:val="Znakapoznpodarou"/>
          <w:noProof/>
          <w:lang w:val="cs-CZ"/>
        </w:rPr>
        <w:footnoteReference w:id="234"/>
      </w:r>
      <w:r w:rsidR="009A23A5" w:rsidRPr="00273106">
        <w:rPr>
          <w:noProof/>
          <w:lang w:val="cs-CZ"/>
        </w:rPr>
        <w:t xml:space="preserve"> </w:t>
      </w:r>
    </w:p>
    <w:p w14:paraId="2C9BCEE4" w14:textId="57ED2FD7" w:rsidR="00221596" w:rsidRPr="00273106" w:rsidRDefault="0020659E" w:rsidP="00CC0D53">
      <w:r w:rsidRPr="00273106">
        <w:t xml:space="preserve">Jak již víme z úvodu </w:t>
      </w:r>
      <w:r w:rsidRPr="00273106">
        <w:rPr>
          <w:i/>
        </w:rPr>
        <w:t>De homine</w:t>
      </w:r>
      <w:r w:rsidRPr="00273106">
        <w:t>, věda o duši je dvojí</w:t>
      </w:r>
      <w:r w:rsidR="088E2DD1">
        <w:t xml:space="preserve">, </w:t>
      </w:r>
      <w:r w:rsidR="08055239">
        <w:t>podle náhledu na střední člen vědeckého soudu (</w:t>
      </w:r>
      <w:r w:rsidR="08055239">
        <w:rPr>
          <w:i/>
        </w:rPr>
        <w:t>rationis</w:t>
      </w:r>
      <w:r w:rsidRPr="00273106">
        <w:rPr>
          <w:i/>
        </w:rPr>
        <w:t xml:space="preserve"> et rei</w:t>
      </w:r>
      <w:r w:rsidR="08055239">
        <w:t xml:space="preserve">). </w:t>
      </w:r>
      <w:r w:rsidRPr="00273106">
        <w:t xml:space="preserve">Specifikum intelektu také musí být dvojí, protože jeho </w:t>
      </w:r>
      <w:r w:rsidR="082D39F8">
        <w:t>signifikace je vzata</w:t>
      </w:r>
      <w:r w:rsidRPr="00273106">
        <w:t xml:space="preserve"> buď z abstraktní metafyziky </w:t>
      </w:r>
      <w:r w:rsidRPr="00273106">
        <w:rPr>
          <w:i/>
        </w:rPr>
        <w:t>Latinorum</w:t>
      </w:r>
      <w:r w:rsidRPr="00273106">
        <w:t xml:space="preserve">, nebo z metafyziky první substance podle </w:t>
      </w:r>
      <w:r w:rsidR="002E3B62">
        <w:t>Averroes</w:t>
      </w:r>
      <w:r w:rsidRPr="00273106">
        <w:t xml:space="preserve">e. </w:t>
      </w:r>
      <w:r w:rsidR="00221596" w:rsidRPr="00273106">
        <w:t xml:space="preserve">Pak má </w:t>
      </w:r>
      <w:r w:rsidR="0081719C" w:rsidRPr="00273106">
        <w:t xml:space="preserve">intelekt jako </w:t>
      </w:r>
      <w:r w:rsidR="002E30FF" w:rsidRPr="002E30FF">
        <w:t>species</w:t>
      </w:r>
      <w:r w:rsidR="00A10918" w:rsidRPr="00273106">
        <w:t xml:space="preserve"> dvojí charakter. B</w:t>
      </w:r>
      <w:r w:rsidR="00221596" w:rsidRPr="00273106">
        <w:t xml:space="preserve">uď </w:t>
      </w:r>
      <w:r w:rsidR="0081719C" w:rsidRPr="00273106">
        <w:t>je vzat</w:t>
      </w:r>
      <w:r w:rsidR="00FE3232" w:rsidRPr="00273106">
        <w:t xml:space="preserve"> v esenciálním významu podle avicennovské </w:t>
      </w:r>
      <w:r w:rsidR="00221596" w:rsidRPr="00273106">
        <w:t xml:space="preserve">typologie intelektu </w:t>
      </w:r>
      <w:r w:rsidR="00FE3232" w:rsidRPr="00273106">
        <w:t>(</w:t>
      </w:r>
      <w:r w:rsidR="00FE3232" w:rsidRPr="00273106">
        <w:rPr>
          <w:i/>
        </w:rPr>
        <w:t>quatuor sunt gradus</w:t>
      </w:r>
      <w:r w:rsidR="00FE3232" w:rsidRPr="00273106">
        <w:t>). N</w:t>
      </w:r>
      <w:r w:rsidR="00006373" w:rsidRPr="00273106">
        <w:t>ebo je vzat</w:t>
      </w:r>
      <w:r w:rsidR="00F506F0">
        <w:t xml:space="preserve"> v citovaném specifickém</w:t>
      </w:r>
      <w:r w:rsidR="00221596" w:rsidRPr="00273106">
        <w:t xml:space="preserve"> významu intelektuálních schopností vzatých podle výše uvedené definice duše ja</w:t>
      </w:r>
      <w:r w:rsidR="00865EFF" w:rsidRPr="00273106">
        <w:t>ko první substance</w:t>
      </w:r>
      <w:r w:rsidR="08134511">
        <w:t xml:space="preserve"> (</w:t>
      </w:r>
      <w:r w:rsidR="08134511" w:rsidRPr="08134511">
        <w:rPr>
          <w:i/>
        </w:rPr>
        <w:t>totum</w:t>
      </w:r>
      <w:r w:rsidR="08134511">
        <w:t>)</w:t>
      </w:r>
      <w:r w:rsidR="00865EFF" w:rsidRPr="00273106">
        <w:t xml:space="preserve">, </w:t>
      </w:r>
      <w:r w:rsidR="007F01E2" w:rsidRPr="00273106">
        <w:t xml:space="preserve">jež vykonává </w:t>
      </w:r>
      <w:r w:rsidR="00865EFF" w:rsidRPr="00273106">
        <w:t xml:space="preserve">různé činnosti </w:t>
      </w:r>
      <w:r w:rsidR="00221596" w:rsidRPr="00273106">
        <w:t>(</w:t>
      </w:r>
      <w:r w:rsidR="00221596" w:rsidRPr="00273106">
        <w:rPr>
          <w:i/>
        </w:rPr>
        <w:t>totum praedicatur de omnibus partibus</w:t>
      </w:r>
      <w:r w:rsidR="00221596" w:rsidRPr="00273106">
        <w:t xml:space="preserve">). </w:t>
      </w:r>
      <w:r w:rsidR="08E47C06">
        <w:t xml:space="preserve">Připomeňme inspiraci </w:t>
      </w:r>
      <w:r w:rsidR="00E44BB3">
        <w:t>té</w:t>
      </w:r>
      <w:r w:rsidR="08E47C06">
        <w:t>to definic</w:t>
      </w:r>
      <w:r w:rsidR="00E44BB3">
        <w:t>e</w:t>
      </w:r>
      <w:r w:rsidR="08E47C06">
        <w:t xml:space="preserve"> </w:t>
      </w:r>
      <w:r w:rsidR="00E44BB3">
        <w:t>v CMDA, kde</w:t>
      </w:r>
      <w:r w:rsidR="08E47C06">
        <w:t xml:space="preserve"> </w:t>
      </w:r>
      <w:r w:rsidR="08E47C06" w:rsidRPr="00273106">
        <w:t xml:space="preserve">entelechická jednota celku organimu </w:t>
      </w:r>
      <w:r w:rsidR="00E44BB3">
        <w:t xml:space="preserve">určuje </w:t>
      </w:r>
      <w:r w:rsidR="08E47C06" w:rsidRPr="00273106">
        <w:t>části (</w:t>
      </w:r>
      <w:r w:rsidR="08E47C06" w:rsidRPr="00273106">
        <w:rPr>
          <w:i/>
          <w:szCs w:val="28"/>
        </w:rPr>
        <w:t>in omnibus</w:t>
      </w:r>
      <w:r w:rsidR="08B5568F">
        <w:t xml:space="preserve">; OBJ I, </w:t>
      </w:r>
      <w:r w:rsidR="08E47C06">
        <w:t xml:space="preserve">kap. 2.4.3). </w:t>
      </w:r>
      <w:r w:rsidR="008D2A1C">
        <w:t>Jedině toto dělení splňuje požadavky vědeckého důkazu</w:t>
      </w:r>
      <w:r w:rsidR="00F97C51">
        <w:t xml:space="preserve"> podle </w:t>
      </w:r>
      <w:r w:rsidR="00F97C51" w:rsidRPr="00F506F0">
        <w:rPr>
          <w:i/>
        </w:rPr>
        <w:t>Druhých analytik</w:t>
      </w:r>
      <w:r w:rsidR="08F07DD0">
        <w:t xml:space="preserve">. </w:t>
      </w:r>
      <w:r w:rsidR="00BD649E">
        <w:t xml:space="preserve">Impozice významu </w:t>
      </w:r>
      <w:r w:rsidR="0848782C" w:rsidRPr="0848782C">
        <w:t xml:space="preserve">vychází z </w:t>
      </w:r>
      <w:r w:rsidR="08332439">
        <w:t xml:space="preserve">reálné </w:t>
      </w:r>
      <w:r w:rsidR="0848782C" w:rsidRPr="0848782C">
        <w:t>činnosti intelektu</w:t>
      </w:r>
      <w:r w:rsidR="08332439">
        <w:t>,</w:t>
      </w:r>
      <w:r w:rsidR="0848782C" w:rsidRPr="0848782C">
        <w:t xml:space="preserve"> jehož subjektem je osoba jako aktuální první substance</w:t>
      </w:r>
      <w:r w:rsidR="008D2A1C" w:rsidRPr="0848782C">
        <w:t>.</w:t>
      </w:r>
      <w:r w:rsidR="008D2A1C">
        <w:t xml:space="preserve"> </w:t>
      </w:r>
      <w:r w:rsidR="005032BB" w:rsidRPr="00273106">
        <w:t>Vyjmenované tři druhy intelektu (</w:t>
      </w:r>
      <w:r w:rsidR="005032BB" w:rsidRPr="00273106">
        <w:rPr>
          <w:rStyle w:val="TextpoznpodarouChar"/>
          <w:i/>
        </w:rPr>
        <w:t xml:space="preserve">tres </w:t>
      </w:r>
      <w:r w:rsidR="004B4D52" w:rsidRPr="004B4D52">
        <w:rPr>
          <w:rStyle w:val="TextpoznpodarouChar"/>
        </w:rPr>
        <w:t>species</w:t>
      </w:r>
      <w:r w:rsidR="005032BB" w:rsidRPr="00273106">
        <w:rPr>
          <w:rStyle w:val="TextpoznpodarouChar"/>
          <w:i/>
        </w:rPr>
        <w:t xml:space="preserve"> intellectus</w:t>
      </w:r>
      <w:r w:rsidR="005032BB" w:rsidRPr="00273106">
        <w:rPr>
          <w:rStyle w:val="TextpoznpodarouChar"/>
        </w:rPr>
        <w:t>)</w:t>
      </w:r>
      <w:r w:rsidR="08332439">
        <w:t xml:space="preserve"> nemají</w:t>
      </w:r>
      <w:r w:rsidR="005032BB" w:rsidRPr="00273106">
        <w:t xml:space="preserve"> stejný </w:t>
      </w:r>
      <w:r w:rsidR="08332439">
        <w:t xml:space="preserve">kategoriální </w:t>
      </w:r>
      <w:r w:rsidR="005032BB" w:rsidRPr="00273106">
        <w:t xml:space="preserve">význam v prvním </w:t>
      </w:r>
      <w:r w:rsidR="08332439">
        <w:t xml:space="preserve">a </w:t>
      </w:r>
      <w:r w:rsidR="005032BB" w:rsidRPr="00273106">
        <w:t>ve druhém averroismu</w:t>
      </w:r>
      <w:r w:rsidR="08332439">
        <w:t xml:space="preserve">, protože spis </w:t>
      </w:r>
      <w:r w:rsidR="08332439" w:rsidRPr="08332439">
        <w:rPr>
          <w:i/>
        </w:rPr>
        <w:t>Kategorie</w:t>
      </w:r>
      <w:r w:rsidR="08332439">
        <w:t xml:space="preserve"> není vyložen stejným metafyzickým způsobem. </w:t>
      </w:r>
      <w:r w:rsidR="00F506F0">
        <w:t xml:space="preserve">Hermeneutika již několikrát zdůraznila, že </w:t>
      </w:r>
      <w:r w:rsidR="08332439">
        <w:t xml:space="preserve">termín </w:t>
      </w:r>
      <w:r w:rsidR="000F1DE5">
        <w:t>„</w:t>
      </w:r>
      <w:r w:rsidR="004B4D52" w:rsidRPr="004B4D52">
        <w:t>species</w:t>
      </w:r>
      <w:r w:rsidR="000F1DE5">
        <w:t>“</w:t>
      </w:r>
      <w:r w:rsidR="005032BB" w:rsidRPr="00273106">
        <w:t xml:space="preserve"> nemá v obou školách </w:t>
      </w:r>
      <w:r w:rsidR="00A54CEC">
        <w:t>stejný význam</w:t>
      </w:r>
      <w:r w:rsidR="00C30FBF">
        <w:fldChar w:fldCharType="begin"/>
      </w:r>
      <w:r w:rsidR="00C30FBF">
        <w:instrText xml:space="preserve"> XE "</w:instrText>
      </w:r>
      <w:r w:rsidR="00C30FBF" w:rsidRPr="08A516BF">
        <w:rPr>
          <w:i/>
        </w:rPr>
        <w:instrText>species</w:instrText>
      </w:r>
      <w:r w:rsidR="00C30FBF">
        <w:instrText xml:space="preserve">:dvojí určení" </w:instrText>
      </w:r>
      <w:r w:rsidR="00C30FBF">
        <w:fldChar w:fldCharType="end"/>
      </w:r>
      <w:r w:rsidR="005032BB" w:rsidRPr="00273106">
        <w:t xml:space="preserve">. </w:t>
      </w:r>
      <w:r w:rsidR="0089266C" w:rsidRPr="00273106">
        <w:t>S odvoláním na spor</w:t>
      </w:r>
      <w:r w:rsidR="000273E2" w:rsidRPr="00273106">
        <w:t xml:space="preserve"> A</w:t>
      </w:r>
      <w:r w:rsidR="00B13C26">
        <w:t xml:space="preserve">verroese </w:t>
      </w:r>
      <w:r w:rsidR="000273E2" w:rsidRPr="00273106">
        <w:t xml:space="preserve">proti Theofrastovi, jenž </w:t>
      </w:r>
      <w:r w:rsidR="0089266C" w:rsidRPr="00273106">
        <w:t>obhajoval přímé nazírání forem v receptivním intelektu stejně jako druhý averroismus</w:t>
      </w:r>
      <w:r w:rsidR="000273E2" w:rsidRPr="00273106">
        <w:t>,</w:t>
      </w:r>
      <w:r w:rsidR="0089266C" w:rsidRPr="00273106">
        <w:t xml:space="preserve"> staví komentář ke </w:t>
      </w:r>
      <w:r w:rsidR="0089266C" w:rsidRPr="00453C7D">
        <w:rPr>
          <w:i/>
        </w:rPr>
        <w:t>Druhým Analytikám</w:t>
      </w:r>
      <w:r w:rsidR="0089266C" w:rsidRPr="00273106">
        <w:t xml:space="preserve"> jasný rozdíl mezi dvěma druhy </w:t>
      </w:r>
      <w:r w:rsidR="002E30FF" w:rsidRPr="002E30FF">
        <w:t>species</w:t>
      </w:r>
      <w:r w:rsidR="000273E2" w:rsidRPr="00273106">
        <w:t>. Jedny jsou dány</w:t>
      </w:r>
      <w:r w:rsidR="0089266C" w:rsidRPr="00273106">
        <w:t xml:space="preserve"> v intele</w:t>
      </w:r>
      <w:r w:rsidR="00A260A7" w:rsidRPr="00273106">
        <w:t>k</w:t>
      </w:r>
      <w:r w:rsidR="0089266C" w:rsidRPr="00273106">
        <w:t>tuálním výkonu (</w:t>
      </w:r>
      <w:r w:rsidR="0089266C" w:rsidRPr="00273106">
        <w:rPr>
          <w:i/>
        </w:rPr>
        <w:t>secundum suum esse</w:t>
      </w:r>
      <w:r w:rsidR="0089266C" w:rsidRPr="00273106">
        <w:t xml:space="preserve">) a </w:t>
      </w:r>
      <w:r w:rsidR="000273E2" w:rsidRPr="00273106">
        <w:t xml:space="preserve">druhé </w:t>
      </w:r>
      <w:r w:rsidR="0089266C" w:rsidRPr="00273106">
        <w:t>jako univerzálie (</w:t>
      </w:r>
      <w:r w:rsidR="0089266C" w:rsidRPr="00273106">
        <w:rPr>
          <w:i/>
        </w:rPr>
        <w:t>secundum suam potentiam</w:t>
      </w:r>
      <w:r w:rsidR="0089266C" w:rsidRPr="00273106">
        <w:t>).</w:t>
      </w:r>
      <w:r w:rsidR="0089266C" w:rsidRPr="00273106">
        <w:rPr>
          <w:rStyle w:val="Znakapoznpodarou"/>
        </w:rPr>
        <w:footnoteReference w:id="235"/>
      </w:r>
      <w:r w:rsidR="0089266C" w:rsidRPr="00273106">
        <w:t xml:space="preserve"> </w:t>
      </w:r>
      <w:r w:rsidR="00135981">
        <w:t xml:space="preserve">Formální </w:t>
      </w:r>
      <w:r w:rsidR="002E30FF" w:rsidRPr="002E30FF">
        <w:t>species</w:t>
      </w:r>
      <w:r w:rsidR="00453C7D">
        <w:t xml:space="preserve"> představuje </w:t>
      </w:r>
      <w:r w:rsidR="00221596" w:rsidRPr="00273106">
        <w:t>abs</w:t>
      </w:r>
      <w:r w:rsidR="00ED1B62" w:rsidRPr="00273106">
        <w:t>traktní vyjádření rodu určeného</w:t>
      </w:r>
      <w:r w:rsidR="00221596" w:rsidRPr="00273106">
        <w:t xml:space="preserve"> specifickou diferencí</w:t>
      </w:r>
      <w:r w:rsidR="08C565D6">
        <w:t xml:space="preserve">. Univerzální </w:t>
      </w:r>
      <w:r w:rsidR="00755D6F">
        <w:t xml:space="preserve">pojetí </w:t>
      </w:r>
      <w:r w:rsidR="00154B91">
        <w:t xml:space="preserve">intelektu </w:t>
      </w:r>
      <w:r w:rsidR="00453C7D">
        <w:t>v mysli není totéž jako specifický</w:t>
      </w:r>
      <w:r w:rsidR="00221596" w:rsidRPr="00273106">
        <w:t xml:space="preserve"> význam intelektu predikovaného </w:t>
      </w:r>
      <w:r w:rsidR="00221596" w:rsidRPr="00273106">
        <w:rPr>
          <w:i/>
        </w:rPr>
        <w:t>de omnibus partibus</w:t>
      </w:r>
      <w:r w:rsidR="006D5A96" w:rsidRPr="00273106">
        <w:t xml:space="preserve">, tedy </w:t>
      </w:r>
      <w:r w:rsidR="00221596" w:rsidRPr="00273106">
        <w:t>vzhledem k první substanci</w:t>
      </w:r>
      <w:r w:rsidR="00E31B5D" w:rsidRPr="00273106">
        <w:t xml:space="preserve"> jako zdroji</w:t>
      </w:r>
      <w:r w:rsidR="006D5A96" w:rsidRPr="00273106">
        <w:t xml:space="preserve"> </w:t>
      </w:r>
      <w:r w:rsidR="008F631B">
        <w:t xml:space="preserve">existenciálně dané </w:t>
      </w:r>
      <w:r w:rsidR="006D5A96" w:rsidRPr="00273106">
        <w:t>kauzality</w:t>
      </w:r>
      <w:r w:rsidR="08837390">
        <w:t xml:space="preserve"> způsobující vznik poznatku</w:t>
      </w:r>
      <w:r w:rsidR="00221596" w:rsidRPr="00273106">
        <w:t xml:space="preserve">. </w:t>
      </w:r>
      <w:r w:rsidR="08B940B9">
        <w:t xml:space="preserve">Ve druhém případě je </w:t>
      </w:r>
      <w:r w:rsidR="00F3592F">
        <w:t>tělesně pojatý intelekt nositelem</w:t>
      </w:r>
      <w:r w:rsidR="08B940B9">
        <w:t xml:space="preserve"> poznávacích aktů (</w:t>
      </w:r>
      <w:r w:rsidR="08B940B9" w:rsidRPr="08B940B9">
        <w:rPr>
          <w:i/>
        </w:rPr>
        <w:t>subiectum</w:t>
      </w:r>
      <w:r w:rsidR="08B940B9">
        <w:t xml:space="preserve">). </w:t>
      </w:r>
      <w:r w:rsidR="00C55BCC" w:rsidRPr="00273106">
        <w:t xml:space="preserve">Způsob, jak je intelekt pochopen, odpovídá </w:t>
      </w:r>
      <w:r w:rsidR="00C55BCC" w:rsidRPr="00273106">
        <w:lastRenderedPageBreak/>
        <w:t xml:space="preserve">dvojímu charakteru </w:t>
      </w:r>
      <w:r w:rsidR="002E30FF" w:rsidRPr="002E30FF">
        <w:t>species</w:t>
      </w:r>
      <w:r w:rsidR="00C55BCC" w:rsidRPr="00273106">
        <w:t xml:space="preserve">. </w:t>
      </w:r>
      <w:r w:rsidR="00221596" w:rsidRPr="00273106">
        <w:t>Výsledný výkon intelektu v aktualitě jeho poznání (</w:t>
      </w:r>
      <w:r w:rsidR="00221596"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DF1B39" w:rsidRPr="00E2134B">
        <w:instrText>A</w:instrText>
      </w:r>
      <w:r w:rsidR="00F02C43">
        <w:instrText>lbert</w:instrText>
      </w:r>
      <w:r w:rsidR="00DF1B39">
        <w:instrText xml:space="preserve">" </w:instrText>
      </w:r>
      <w:r w:rsidR="00DF1B39">
        <w:rPr>
          <w:i/>
        </w:rPr>
        <w:fldChar w:fldCharType="end"/>
      </w:r>
      <w:r w:rsidR="00221596" w:rsidRPr="00273106">
        <w:t xml:space="preserve">) je tedy dvojí, stejně jako existuje dvojí funkce </w:t>
      </w:r>
      <w:r w:rsidR="002E30FF" w:rsidRPr="002E30FF">
        <w:t>species</w:t>
      </w:r>
      <w:r w:rsidR="00221596" w:rsidRPr="00273106">
        <w:t>.</w:t>
      </w:r>
    </w:p>
    <w:p w14:paraId="705CD798" w14:textId="6C48D5DE" w:rsidR="005F3179" w:rsidRPr="00273106" w:rsidRDefault="00221596" w:rsidP="005F3179">
      <w:pPr>
        <w:pStyle w:val="Citace"/>
        <w:rPr>
          <w:noProof/>
          <w:lang w:val="cs-CZ"/>
        </w:rPr>
      </w:pPr>
      <w:r w:rsidRPr="00273106">
        <w:rPr>
          <w:noProof/>
          <w:lang w:val="cs-CZ"/>
        </w:rPr>
        <w:t>„</w:t>
      </w:r>
      <w:r w:rsidR="005F3179" w:rsidRPr="00273106">
        <w:rPr>
          <w:noProof/>
          <w:lang w:val="cs-CZ"/>
        </w:rPr>
        <w:t xml:space="preserve">Spekulativní intelekt má dvojí charakter substrátu a </w:t>
      </w:r>
      <w:r w:rsidR="086474E7">
        <w:rPr>
          <w:noProof/>
          <w:lang w:val="cs-CZ"/>
        </w:rPr>
        <w:t>pojmu (</w:t>
      </w:r>
      <w:r w:rsidR="086474E7" w:rsidRPr="086474E7">
        <w:rPr>
          <w:i/>
        </w:rPr>
        <w:t>habet duo, scilicet subjectum, et speciem</w:t>
      </w:r>
      <w:r w:rsidR="086474E7">
        <w:rPr>
          <w:noProof/>
          <w:lang w:val="cs-CZ"/>
        </w:rPr>
        <w:t>)</w:t>
      </w:r>
      <w:r w:rsidR="005F3179" w:rsidRPr="00273106">
        <w:rPr>
          <w:noProof/>
          <w:lang w:val="cs-CZ"/>
        </w:rPr>
        <w:t xml:space="preserve">. Ale substrát není </w:t>
      </w:r>
      <w:r w:rsidR="00D854EC">
        <w:rPr>
          <w:noProof/>
          <w:lang w:val="cs-CZ"/>
        </w:rPr>
        <w:t xml:space="preserve">u </w:t>
      </w:r>
      <w:r w:rsidR="005F3179" w:rsidRPr="00273106">
        <w:rPr>
          <w:noProof/>
          <w:lang w:val="cs-CZ"/>
        </w:rPr>
        <w:t xml:space="preserve">všech lidí stejný. </w:t>
      </w:r>
      <w:r w:rsidR="081D52A1">
        <w:rPr>
          <w:noProof/>
          <w:lang w:val="cs-CZ"/>
        </w:rPr>
        <w:t xml:space="preserve">Pojem </w:t>
      </w:r>
      <w:r w:rsidR="005F3179" w:rsidRPr="00273106">
        <w:rPr>
          <w:noProof/>
          <w:lang w:val="cs-CZ"/>
        </w:rPr>
        <w:t xml:space="preserve">je třeba vidět ve dvou modech, totiž jako výměr věci </w:t>
      </w:r>
      <w:r w:rsidR="003F6E6E">
        <w:rPr>
          <w:lang w:val="fr-FR"/>
        </w:rPr>
        <w:t>(</w:t>
      </w:r>
      <w:r w:rsidR="003F6E6E" w:rsidRPr="00640234">
        <w:rPr>
          <w:i/>
          <w:lang w:val="fr-FR"/>
        </w:rPr>
        <w:t>ratio rei</w:t>
      </w:r>
      <w:r w:rsidR="003F6E6E">
        <w:rPr>
          <w:lang w:val="fr-FR"/>
        </w:rPr>
        <w:t>)</w:t>
      </w:r>
      <w:r w:rsidR="003F6E6E" w:rsidRPr="00F5722B">
        <w:rPr>
          <w:lang w:val="fr-FR"/>
        </w:rPr>
        <w:t xml:space="preserve"> </w:t>
      </w:r>
      <w:r w:rsidR="005F3179" w:rsidRPr="00273106">
        <w:rPr>
          <w:noProof/>
          <w:lang w:val="cs-CZ"/>
        </w:rPr>
        <w:t>a jako případek činnosti duše</w:t>
      </w:r>
      <w:r w:rsidR="087374B1">
        <w:rPr>
          <w:noProof/>
          <w:lang w:val="cs-CZ"/>
        </w:rPr>
        <w:t xml:space="preserve"> (</w:t>
      </w:r>
      <w:r w:rsidR="087374B1" w:rsidRPr="087374B1">
        <w:rPr>
          <w:i/>
        </w:rPr>
        <w:t>accidens animae</w:t>
      </w:r>
      <w:r w:rsidR="087374B1">
        <w:rPr>
          <w:noProof/>
          <w:lang w:val="cs-CZ"/>
        </w:rPr>
        <w:t>)</w:t>
      </w:r>
      <w:r w:rsidR="005F3179" w:rsidRPr="00273106">
        <w:rPr>
          <w:noProof/>
          <w:lang w:val="cs-CZ"/>
        </w:rPr>
        <w:t>. Z hlediska</w:t>
      </w:r>
      <w:r w:rsidR="00761927" w:rsidRPr="00273106">
        <w:rPr>
          <w:noProof/>
          <w:lang w:val="cs-CZ"/>
        </w:rPr>
        <w:t xml:space="preserve"> </w:t>
      </w:r>
      <w:r w:rsidR="005F3179" w:rsidRPr="00273106">
        <w:rPr>
          <w:noProof/>
          <w:lang w:val="cs-CZ"/>
        </w:rPr>
        <w:t xml:space="preserve">definice je spekulativní intelekt u všech lidí stejný. </w:t>
      </w:r>
      <w:r w:rsidR="082D569E">
        <w:rPr>
          <w:noProof/>
          <w:lang w:val="cs-CZ"/>
        </w:rPr>
        <w:t>Ale j</w:t>
      </w:r>
      <w:r w:rsidR="005F3179" w:rsidRPr="00273106">
        <w:rPr>
          <w:noProof/>
          <w:lang w:val="cs-CZ"/>
        </w:rPr>
        <w:t xml:space="preserve">ako pravdivý </w:t>
      </w:r>
      <w:r w:rsidR="08E122DC">
        <w:rPr>
          <w:noProof/>
          <w:lang w:val="cs-CZ"/>
        </w:rPr>
        <w:t xml:space="preserve">případek </w:t>
      </w:r>
      <w:r w:rsidR="005F3179" w:rsidRPr="00273106">
        <w:rPr>
          <w:noProof/>
          <w:lang w:val="cs-CZ"/>
        </w:rPr>
        <w:t>duše se spekulativní intelekt liší u všech žijících</w:t>
      </w:r>
      <w:r w:rsidRPr="00273106">
        <w:rPr>
          <w:noProof/>
          <w:lang w:val="cs-CZ"/>
        </w:rPr>
        <w:t xml:space="preserve">.“ </w:t>
      </w:r>
      <w:r w:rsidR="005F3179" w:rsidRPr="00273106">
        <w:rPr>
          <w:rStyle w:val="Znakapoznpodarou"/>
          <w:noProof/>
          <w:lang w:val="cs-CZ"/>
        </w:rPr>
        <w:footnoteReference w:id="236"/>
      </w:r>
    </w:p>
    <w:p w14:paraId="34C7C919" w14:textId="3C242D94" w:rsidR="0034222E" w:rsidRPr="00273106" w:rsidRDefault="00221596" w:rsidP="003440B3">
      <w:r w:rsidRPr="00273106">
        <w:t xml:space="preserve">Intelekt je vzatý buď jako </w:t>
      </w:r>
      <w:r w:rsidR="00F8752B">
        <w:t xml:space="preserve">aktuální </w:t>
      </w:r>
      <w:r w:rsidR="00055BBB">
        <w:t>duševní stav osoby, která provádí akt poznání</w:t>
      </w:r>
      <w:r w:rsidRPr="00273106">
        <w:t xml:space="preserve"> (</w:t>
      </w:r>
      <w:r w:rsidRPr="00273106">
        <w:rPr>
          <w:i/>
        </w:rPr>
        <w:t>subjectum</w:t>
      </w:r>
      <w:r w:rsidR="00055BBB">
        <w:t xml:space="preserve">); </w:t>
      </w:r>
      <w:r w:rsidRPr="00273106">
        <w:t xml:space="preserve">nebo jako formální schopnost </w:t>
      </w:r>
      <w:r w:rsidR="00055BBB">
        <w:t>nemateriálního intelektu, který pro</w:t>
      </w:r>
      <w:r w:rsidRPr="00273106">
        <w:t>dukuj</w:t>
      </w:r>
      <w:r w:rsidR="00055BBB">
        <w:t>e</w:t>
      </w:r>
      <w:r w:rsidRPr="00273106">
        <w:t xml:space="preserve"> </w:t>
      </w:r>
      <w:r w:rsidR="00572D4D" w:rsidRPr="00273106">
        <w:t xml:space="preserve">univerzální </w:t>
      </w:r>
      <w:r w:rsidRPr="00273106">
        <w:t xml:space="preserve">obsahy </w:t>
      </w:r>
      <w:r w:rsidR="00572D4D" w:rsidRPr="00273106">
        <w:t xml:space="preserve">myšlení </w:t>
      </w:r>
      <w:r w:rsidRPr="00273106">
        <w:t>(</w:t>
      </w:r>
      <w:r w:rsidR="004B4D52" w:rsidRPr="00055BBB">
        <w:rPr>
          <w:i/>
        </w:rPr>
        <w:t>species</w:t>
      </w:r>
      <w:r w:rsidRPr="00273106">
        <w:t xml:space="preserve">). Toto </w:t>
      </w:r>
      <w:r w:rsidR="00572D4D" w:rsidRPr="00273106">
        <w:t xml:space="preserve">inteligibilní </w:t>
      </w:r>
      <w:r w:rsidR="002E30FF" w:rsidRPr="002E30FF">
        <w:t>species</w:t>
      </w:r>
      <w:r w:rsidRPr="00273106">
        <w:t xml:space="preserve"> musí být nutně také dvojí, protože je vztaženo ke dvěma různým pohledům na intelekt. </w:t>
      </w:r>
      <w:r w:rsidR="008C6C72">
        <w:t xml:space="preserve">Impozice je bere </w:t>
      </w:r>
      <w:r w:rsidRPr="00273106">
        <w:t xml:space="preserve">jako </w:t>
      </w:r>
      <w:r w:rsidR="008C6C72">
        <w:t xml:space="preserve">personalizovaný případ </w:t>
      </w:r>
      <w:r w:rsidRPr="00273106">
        <w:t>poznání (</w:t>
      </w:r>
      <w:r w:rsidRPr="00273106">
        <w:rPr>
          <w:i/>
        </w:rPr>
        <w:t>accidens animae</w:t>
      </w:r>
      <w:r w:rsidRPr="00273106">
        <w:t xml:space="preserve">), </w:t>
      </w:r>
      <w:r w:rsidR="000A7F53">
        <w:t xml:space="preserve">které poznáváme skrze kauzální výkon myšlení </w:t>
      </w:r>
      <w:r w:rsidR="008C6C72">
        <w:t xml:space="preserve">v duši </w:t>
      </w:r>
      <w:r w:rsidR="000A7F53">
        <w:t>a pak abstrahujeme do konceptu. Tento specifický přístup k poznání podle prvního averroismu</w:t>
      </w:r>
      <w:r w:rsidR="080C43B6">
        <w:t xml:space="preserve"> se zásadně liší od objektivní</w:t>
      </w:r>
      <w:r w:rsidR="000A7F53">
        <w:t xml:space="preserve"> </w:t>
      </w:r>
      <w:r w:rsidR="002E30FF" w:rsidRPr="002E30FF">
        <w:t>species</w:t>
      </w:r>
      <w:r w:rsidRPr="00273106">
        <w:t xml:space="preserve"> dané univerzálně</w:t>
      </w:r>
      <w:r w:rsidR="080C43B6">
        <w:t xml:space="preserve">, protože </w:t>
      </w:r>
      <w:r w:rsidR="002E30FF" w:rsidRPr="002E30FF">
        <w:t>species</w:t>
      </w:r>
      <w:r w:rsidR="087455B8">
        <w:t xml:space="preserve"> jako </w:t>
      </w:r>
      <w:r w:rsidR="080C43B6">
        <w:t xml:space="preserve">pojem definuje </w:t>
      </w:r>
      <w:r w:rsidRPr="00273106">
        <w:t>esenci věci (</w:t>
      </w:r>
      <w:r w:rsidRPr="00273106">
        <w:rPr>
          <w:i/>
        </w:rPr>
        <w:t>ratio rei</w:t>
      </w:r>
      <w:r w:rsidRPr="00273106">
        <w:t xml:space="preserve">). Dvojí hledisko vymezuje zásadní rozdíl mezi </w:t>
      </w:r>
      <w:r w:rsidR="087455B8">
        <w:t>dvěma pojetími intelektu. J</w:t>
      </w:r>
      <w:r w:rsidRPr="00273106">
        <w:t>ednot</w:t>
      </w:r>
      <w:r w:rsidR="087455B8">
        <w:t>a</w:t>
      </w:r>
      <w:r w:rsidRPr="00273106">
        <w:t xml:space="preserve"> intelektu v rámci</w:t>
      </w:r>
      <w:r w:rsidR="087455B8">
        <w:t xml:space="preserve"> existenciálního výkonu poznání v aktuální osobě je kategoriálně odlišná od </w:t>
      </w:r>
      <w:r w:rsidR="08FA495B">
        <w:t xml:space="preserve">abstraktního </w:t>
      </w:r>
      <w:r w:rsidR="087455B8">
        <w:t xml:space="preserve">pojmu intelektu </w:t>
      </w:r>
      <w:r w:rsidR="087455B8" w:rsidRPr="00273106">
        <w:t>společné</w:t>
      </w:r>
      <w:r w:rsidR="087455B8">
        <w:t>ho</w:t>
      </w:r>
      <w:r w:rsidR="087455B8" w:rsidRPr="00273106">
        <w:t xml:space="preserve"> </w:t>
      </w:r>
      <w:r w:rsidRPr="00273106">
        <w:t>všem lidem.</w:t>
      </w:r>
      <w:r w:rsidR="00124F20" w:rsidRPr="00273106">
        <w:t xml:space="preserve"> </w:t>
      </w:r>
      <w:r w:rsidR="002E3B62">
        <w:t>Averroes</w:t>
      </w:r>
      <w:r w:rsidR="00DF3327" w:rsidRPr="00273106">
        <w:t xml:space="preserve"> tuto ambivalenci traktoval v rozdílu mezi intelektem jako </w:t>
      </w:r>
      <w:r w:rsidR="00DF3327" w:rsidRPr="00273106">
        <w:rPr>
          <w:i/>
        </w:rPr>
        <w:t>tertium</w:t>
      </w:r>
      <w:r w:rsidR="00DF3327" w:rsidRPr="00273106">
        <w:t xml:space="preserve"> </w:t>
      </w:r>
      <w:r w:rsidR="00F02C43">
        <w:rPr>
          <w:i/>
        </w:rPr>
        <w:fldChar w:fldCharType="begin"/>
      </w:r>
      <w:r w:rsidR="00F02C43">
        <w:instrText xml:space="preserve"> XE "</w:instrText>
      </w:r>
      <w:r w:rsidR="00F02C43">
        <w:rPr>
          <w:i/>
        </w:rPr>
        <w:instrText>tertium</w:instrText>
      </w:r>
      <w:r w:rsidR="00F02C43" w:rsidRPr="00191848">
        <w:rPr>
          <w:i/>
        </w:rPr>
        <w:instrText xml:space="preserve"> genus</w:instrText>
      </w:r>
      <w:r w:rsidR="00F02C43">
        <w:instrText xml:space="preserve">" </w:instrText>
      </w:r>
      <w:r w:rsidR="00F02C43">
        <w:rPr>
          <w:i/>
        </w:rPr>
        <w:fldChar w:fldCharType="end"/>
      </w:r>
      <w:r w:rsidR="00DF3327" w:rsidRPr="00273106">
        <w:t xml:space="preserve">a </w:t>
      </w:r>
      <w:r w:rsidR="00DF3327" w:rsidRPr="00273106">
        <w:rPr>
          <w:i/>
        </w:rPr>
        <w:t>quartum</w:t>
      </w:r>
      <w:r w:rsidR="00DF3327" w:rsidRPr="00273106">
        <w:t xml:space="preserve">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DF3327" w:rsidRPr="00273106">
        <w:t>.</w:t>
      </w:r>
      <w:r w:rsidR="00DF3327">
        <w:t xml:space="preserve"> </w:t>
      </w:r>
      <w:r w:rsidR="00124F20" w:rsidRPr="00273106">
        <w:rPr>
          <w:rStyle w:val="TextpoznpodarouChar"/>
        </w:rPr>
        <w:t xml:space="preserve">Albert v závěru citovaného </w:t>
      </w:r>
      <w:r w:rsidR="00124F20" w:rsidRPr="00273106">
        <w:rPr>
          <w:rStyle w:val="TextpoznpodarouChar"/>
          <w:i/>
        </w:rPr>
        <w:t>solutio</w:t>
      </w:r>
      <w:r w:rsidR="00124F20" w:rsidRPr="00273106">
        <w:rPr>
          <w:rStyle w:val="TextpoznpodarouChar"/>
        </w:rPr>
        <w:t xml:space="preserve"> dá tyto dva významy </w:t>
      </w:r>
      <w:r w:rsidR="002E30FF" w:rsidRPr="002E30FF">
        <w:rPr>
          <w:rStyle w:val="TextpoznpodarouChar"/>
        </w:rPr>
        <w:t>species</w:t>
      </w:r>
      <w:r w:rsidR="00124F20" w:rsidRPr="00273106">
        <w:rPr>
          <w:rStyle w:val="TextpoznpodarouChar"/>
        </w:rPr>
        <w:t xml:space="preserve"> </w:t>
      </w:r>
      <w:r w:rsidR="08485A7A">
        <w:rPr>
          <w:rStyle w:val="TextpoznpodarouChar"/>
        </w:rPr>
        <w:t xml:space="preserve">jako pojmu a </w:t>
      </w:r>
      <w:r w:rsidR="002E30FF" w:rsidRPr="002E30FF">
        <w:rPr>
          <w:rStyle w:val="TextpoznpodarouChar"/>
        </w:rPr>
        <w:t>species</w:t>
      </w:r>
      <w:r w:rsidR="08485A7A">
        <w:rPr>
          <w:rStyle w:val="TextpoznpodarouChar"/>
        </w:rPr>
        <w:t xml:space="preserve"> jako existenciálního výkonu </w:t>
      </w:r>
      <w:r w:rsidR="00124F20" w:rsidRPr="00273106">
        <w:rPr>
          <w:rStyle w:val="TextpoznpodarouChar"/>
        </w:rPr>
        <w:t>do vylučovacího vztahu, protože nemají stejné určení jsoucna</w:t>
      </w:r>
      <w:r w:rsidR="087F2A29">
        <w:rPr>
          <w:rStyle w:val="TextpoznpodarouChar"/>
        </w:rPr>
        <w:t xml:space="preserve"> (</w:t>
      </w:r>
      <w:r w:rsidR="087F2A29" w:rsidRPr="087F2A29">
        <w:rPr>
          <w:rStyle w:val="TextpoznpodarouChar"/>
          <w:i/>
        </w:rPr>
        <w:t>universale est accidens animae</w:t>
      </w:r>
      <w:r w:rsidR="087F2A29" w:rsidRPr="087F2A29">
        <w:rPr>
          <w:rStyle w:val="TextpoznpodarouChar"/>
          <w:rFonts w:eastAsia="David"/>
          <w:i/>
        </w:rPr>
        <w:t>, non est ratio rei</w:t>
      </w:r>
      <w:r w:rsidR="087F2A29">
        <w:rPr>
          <w:rStyle w:val="TextpoznpodarouChar"/>
        </w:rPr>
        <w:t>)</w:t>
      </w:r>
      <w:r w:rsidR="00124F20" w:rsidRPr="00273106">
        <w:rPr>
          <w:rStyle w:val="TextpoznpodarouChar"/>
        </w:rPr>
        <w:t>.</w:t>
      </w:r>
      <w:r w:rsidRPr="00273106">
        <w:rPr>
          <w:rStyle w:val="Znakapoznpodarou"/>
        </w:rPr>
        <w:footnoteReference w:id="237"/>
      </w:r>
      <w:r w:rsidRPr="00273106">
        <w:t xml:space="preserve"> </w:t>
      </w:r>
      <w:r w:rsidR="087E49A9">
        <w:t xml:space="preserve">Vědecký výměr </w:t>
      </w:r>
      <w:r w:rsidR="006C1EBC">
        <w:t xml:space="preserve">sleduje cestu </w:t>
      </w:r>
      <w:r w:rsidR="082A724F">
        <w:t xml:space="preserve">metafyzického </w:t>
      </w:r>
      <w:r w:rsidR="087E49A9">
        <w:t xml:space="preserve">dativu </w:t>
      </w:r>
      <w:r w:rsidR="006C1EBC">
        <w:t xml:space="preserve">a jde </w:t>
      </w:r>
      <w:r w:rsidR="087E49A9">
        <w:t xml:space="preserve">k reálné substanci </w:t>
      </w:r>
      <w:r w:rsidR="08944B2B">
        <w:t xml:space="preserve">dané mimo mysl </w:t>
      </w:r>
      <w:r w:rsidR="087E49A9">
        <w:t>(</w:t>
      </w:r>
      <w:r w:rsidR="087E49A9" w:rsidRPr="087E49A9">
        <w:rPr>
          <w:rStyle w:val="TextpoznpodarouChar"/>
          <w:i/>
        </w:rPr>
        <w:t>ratio enim est quidditas rei et substan</w:t>
      </w:r>
      <w:r w:rsidR="087E49A9" w:rsidRPr="087E49A9">
        <w:rPr>
          <w:rStyle w:val="TextpoznpodarouChar"/>
          <w:rFonts w:eastAsia="David"/>
          <w:i/>
        </w:rPr>
        <w:t>tia</w:t>
      </w:r>
      <w:r w:rsidR="087E49A9">
        <w:t xml:space="preserve">). </w:t>
      </w:r>
      <w:r w:rsidRPr="00273106">
        <w:t xml:space="preserve">Albert převzal </w:t>
      </w:r>
      <w:r w:rsidR="009C01B9" w:rsidRPr="00273106">
        <w:t xml:space="preserve">rozdělení </w:t>
      </w:r>
      <w:r w:rsidR="00714D7B" w:rsidRPr="00273106">
        <w:t xml:space="preserve">CMDA </w:t>
      </w:r>
      <w:r w:rsidR="00697824">
        <w:t>v novém kontextu, který vzal první</w:t>
      </w:r>
      <w:r w:rsidRPr="00273106">
        <w:t xml:space="preserve"> averroi</w:t>
      </w:r>
      <w:r w:rsidR="00D806FA" w:rsidRPr="00273106">
        <w:t>smu</w:t>
      </w:r>
      <w:r w:rsidR="00697824">
        <w:t>s</w:t>
      </w:r>
      <w:r w:rsidR="084077D1">
        <w:t xml:space="preserve"> </w:t>
      </w:r>
      <w:r w:rsidR="00697824">
        <w:t xml:space="preserve">podle </w:t>
      </w:r>
      <w:r w:rsidR="084077D1">
        <w:t>Blundovy školy</w:t>
      </w:r>
      <w:r w:rsidRPr="00273106">
        <w:t xml:space="preserve">. </w:t>
      </w:r>
      <w:r w:rsidR="005F2BF0" w:rsidRPr="00273106">
        <w:t xml:space="preserve">Klíčový pojem </w:t>
      </w:r>
      <w:r w:rsidR="084077D1">
        <w:t xml:space="preserve">představuje </w:t>
      </w:r>
      <w:r w:rsidR="004B4D52" w:rsidRPr="004B4D52">
        <w:t>species</w:t>
      </w:r>
      <w:r w:rsidR="005F2BF0" w:rsidRPr="00273106">
        <w:rPr>
          <w:i/>
        </w:rPr>
        <w:t xml:space="preserve"> intelli</w:t>
      </w:r>
      <w:r w:rsidR="009C01B9" w:rsidRPr="00273106">
        <w:rPr>
          <w:i/>
        </w:rPr>
        <w:t>gi</w:t>
      </w:r>
      <w:r w:rsidR="005F2BF0" w:rsidRPr="00273106">
        <w:rPr>
          <w:i/>
        </w:rPr>
        <w:t>bilis</w:t>
      </w:r>
      <w:r w:rsidR="008061D5">
        <w:rPr>
          <w:i/>
        </w:rPr>
        <w:fldChar w:fldCharType="begin"/>
      </w:r>
      <w:r w:rsidR="008061D5">
        <w:instrText xml:space="preserve"> XE "</w:instrText>
      </w:r>
      <w:r w:rsidR="008061D5" w:rsidRPr="00DD403C">
        <w:rPr>
          <w:i/>
        </w:rPr>
        <w:instrText>species intelligibilis:</w:instrText>
      </w:r>
      <w:r w:rsidR="008061D5" w:rsidRPr="00DD403C">
        <w:instrText>Avicenna</w:instrText>
      </w:r>
      <w:r w:rsidR="008061D5">
        <w:instrText xml:space="preserve">" </w:instrText>
      </w:r>
      <w:r w:rsidR="008061D5">
        <w:rPr>
          <w:i/>
        </w:rPr>
        <w:fldChar w:fldCharType="end"/>
      </w:r>
      <w:r w:rsidR="005F2BF0" w:rsidRPr="00273106">
        <w:t xml:space="preserve"> vytvořené v procesu abstrakce (</w:t>
      </w:r>
      <w:r w:rsidR="001331D9" w:rsidRPr="00273106">
        <w:rPr>
          <w:i/>
        </w:rPr>
        <w:t>res</w:t>
      </w:r>
      <w:r w:rsidR="005F2BF0" w:rsidRPr="00273106">
        <w:rPr>
          <w:i/>
        </w:rPr>
        <w:t xml:space="preserve"> intellecta</w:t>
      </w:r>
      <w:r w:rsidR="005F2BF0" w:rsidRPr="00273106">
        <w:t>), které z</w:t>
      </w:r>
      <w:r w:rsidR="08DF23D3">
        <w:t xml:space="preserve">avršuje proces </w:t>
      </w:r>
      <w:r w:rsidR="08DF23D3">
        <w:lastRenderedPageBreak/>
        <w:t>poznání</w:t>
      </w:r>
      <w:r w:rsidR="005F2BF0" w:rsidRPr="00273106">
        <w:t xml:space="preserve">. </w:t>
      </w:r>
      <w:r w:rsidR="007D5FA3" w:rsidRPr="00273106">
        <w:t xml:space="preserve">Spekulativní intelekt je instance, která odpovídá za výsledné </w:t>
      </w:r>
      <w:r w:rsidR="007D5FA3" w:rsidRPr="00273106">
        <w:rPr>
          <w:rStyle w:val="TextpoznpodarouChar"/>
          <w:i/>
        </w:rPr>
        <w:t>transmutatio</w:t>
      </w:r>
      <w:r w:rsidR="007D5FA3" w:rsidRPr="00273106">
        <w:t xml:space="preserve"> smyslových představ do intelektuálního poznání</w:t>
      </w:r>
      <w:r w:rsidR="086C57FD">
        <w:t>. P</w:t>
      </w:r>
      <w:r w:rsidR="08EB20EE">
        <w:t xml:space="preserve">roto </w:t>
      </w:r>
      <w:r w:rsidR="086C57FD" w:rsidRPr="086C57FD">
        <w:rPr>
          <w:i/>
        </w:rPr>
        <w:t>intellectus speculativus</w:t>
      </w:r>
      <w:r w:rsidR="086C57FD">
        <w:t xml:space="preserve"> </w:t>
      </w:r>
      <w:r w:rsidR="007D5FA3" w:rsidRPr="00273106">
        <w:t>završ</w:t>
      </w:r>
      <w:r w:rsidR="086C57FD">
        <w:t>uje</w:t>
      </w:r>
      <w:r w:rsidR="007D5FA3" w:rsidRPr="00273106">
        <w:t xml:space="preserve"> receptivně-syntetické operace</w:t>
      </w:r>
      <w:r w:rsidR="0065108D" w:rsidRPr="00273106">
        <w:t xml:space="preserve"> nižších druhů poznání</w:t>
      </w:r>
      <w:r w:rsidR="007D5FA3" w:rsidRPr="00273106">
        <w:t xml:space="preserve">. </w:t>
      </w:r>
      <w:r w:rsidR="003440B3" w:rsidRPr="00273106">
        <w:t xml:space="preserve">Představitelé druhého averroismu </w:t>
      </w:r>
      <w:r w:rsidR="0023445C">
        <w:t xml:space="preserve">a </w:t>
      </w:r>
      <w:r w:rsidR="00094D3C">
        <w:t xml:space="preserve">současné postmoderny </w:t>
      </w:r>
      <w:r w:rsidRPr="00273106">
        <w:t xml:space="preserve">toto </w:t>
      </w:r>
      <w:r w:rsidR="00724675">
        <w:t xml:space="preserve">dvojí </w:t>
      </w:r>
      <w:r w:rsidRPr="00273106">
        <w:t xml:space="preserve">rozdělení </w:t>
      </w:r>
      <w:r w:rsidR="00094D3C">
        <w:t xml:space="preserve">intelektu jednoduše </w:t>
      </w:r>
      <w:r w:rsidRPr="00273106">
        <w:t>pominuli</w:t>
      </w:r>
      <w:r w:rsidR="00724675">
        <w:t xml:space="preserve"> stejně jako </w:t>
      </w:r>
      <w:r w:rsidR="00EC7780">
        <w:t>dvojí interpretaci</w:t>
      </w:r>
      <w:r w:rsidR="00724675">
        <w:t xml:space="preserve"> Aristotela podle Alv</w:t>
      </w:r>
      <w:r w:rsidR="0859646C">
        <w:t>erna (kap. 2</w:t>
      </w:r>
      <w:r w:rsidR="00724675">
        <w:t>.3.1</w:t>
      </w:r>
      <w:r w:rsidR="002E7F2B">
        <w:t xml:space="preserve">). </w:t>
      </w:r>
      <w:r w:rsidR="087D60AB">
        <w:t>Dominantní p</w:t>
      </w:r>
      <w:r w:rsidR="002E7F2B">
        <w:t xml:space="preserve">ředporozumění </w:t>
      </w:r>
      <w:r w:rsidR="08603B5B">
        <w:t xml:space="preserve">Albertovy analýzy v </w:t>
      </w:r>
      <w:r w:rsidR="08603B5B" w:rsidRPr="08603B5B">
        <w:rPr>
          <w:i/>
        </w:rPr>
        <w:t>De homine</w:t>
      </w:r>
      <w:r w:rsidR="08603B5B">
        <w:t xml:space="preserve"> </w:t>
      </w:r>
      <w:r w:rsidR="002E7F2B">
        <w:t xml:space="preserve">epochy je </w:t>
      </w:r>
      <w:r w:rsidR="083A468E">
        <w:t xml:space="preserve">objektivní a proto </w:t>
      </w:r>
      <w:r w:rsidR="00EF04EC">
        <w:t xml:space="preserve">deformované </w:t>
      </w:r>
      <w:r w:rsidR="005F4B8B">
        <w:t>viděním vítězných</w:t>
      </w:r>
      <w:r w:rsidR="00CD5D60">
        <w:t xml:space="preserve"> </w:t>
      </w:r>
      <w:r w:rsidR="08603B5B">
        <w:t xml:space="preserve">avicennistických </w:t>
      </w:r>
      <w:r w:rsidR="00EF0918" w:rsidRPr="00EF0918">
        <w:rPr>
          <w:i/>
        </w:rPr>
        <w:t>Modernorum</w:t>
      </w:r>
      <w:r w:rsidR="00EC7780">
        <w:t xml:space="preserve">. </w:t>
      </w:r>
      <w:r w:rsidR="087D60AB">
        <w:t>Toto dějinně dané zaslání bytí (</w:t>
      </w:r>
      <w:r w:rsidR="087D60AB" w:rsidRPr="087D60AB">
        <w:rPr>
          <w:i/>
        </w:rPr>
        <w:t>Geschick</w:t>
      </w:r>
      <w:r w:rsidR="087D60AB">
        <w:rPr>
          <w:i/>
        </w:rPr>
        <w:fldChar w:fldCharType="begin"/>
      </w:r>
      <w:r w:rsidR="087D60AB">
        <w:instrText xml:space="preserve"> XE "</w:instrText>
      </w:r>
      <w:r w:rsidR="087D60AB" w:rsidRPr="081C697D">
        <w:rPr>
          <w:i/>
        </w:rPr>
        <w:instrText>Geschick</w:instrText>
      </w:r>
      <w:r w:rsidR="087D60AB">
        <w:instrText xml:space="preserve">" </w:instrText>
      </w:r>
      <w:r w:rsidR="087D60AB">
        <w:rPr>
          <w:i/>
        </w:rPr>
        <w:fldChar w:fldCharType="end"/>
      </w:r>
      <w:r w:rsidR="087D60AB">
        <w:t xml:space="preserve">) do bytí jsoucna (Heidegegův </w:t>
      </w:r>
      <w:r w:rsidR="087D60AB" w:rsidRPr="087D60AB">
        <w:rPr>
          <w:i/>
        </w:rPr>
        <w:t>Irrtum</w:t>
      </w:r>
      <w:r w:rsidR="087D60AB">
        <w:rPr>
          <w:i/>
        </w:rPr>
        <w:fldChar w:fldCharType="begin"/>
      </w:r>
      <w:r w:rsidR="087D60AB">
        <w:instrText xml:space="preserve"> XE "</w:instrText>
      </w:r>
      <w:r w:rsidR="087D60AB" w:rsidRPr="081817FD">
        <w:rPr>
          <w:i/>
        </w:rPr>
        <w:instrText>Irrtum</w:instrText>
      </w:r>
      <w:r w:rsidR="087D60AB">
        <w:instrText xml:space="preserve">" </w:instrText>
      </w:r>
      <w:r w:rsidR="087D60AB">
        <w:rPr>
          <w:i/>
        </w:rPr>
        <w:fldChar w:fldCharType="end"/>
      </w:r>
      <w:r w:rsidR="087D60AB">
        <w:t xml:space="preserve">) ovlivňuje v podobě skrytého dění pravdy jako </w:t>
      </w:r>
      <w:r w:rsidR="087D60AB">
        <w:rPr>
          <w:i/>
        </w:rPr>
        <w:t>aléthe</w:t>
      </w:r>
      <w:r w:rsidR="087D60AB" w:rsidRPr="087D60AB">
        <w:rPr>
          <w:i/>
        </w:rPr>
        <w:t>ia</w:t>
      </w:r>
      <w:r w:rsidR="087D60AB">
        <w:t xml:space="preserve"> výslednou mytopoetickou podobu pravdy jako moderní </w:t>
      </w:r>
      <w:r w:rsidR="087D60AB" w:rsidRPr="087D60AB">
        <w:rPr>
          <w:i/>
        </w:rPr>
        <w:t>veritas</w:t>
      </w:r>
      <w:r w:rsidR="087D60AB">
        <w:t xml:space="preserve">. </w:t>
      </w:r>
      <w:r w:rsidR="084304B5">
        <w:t xml:space="preserve">Výsledkem </w:t>
      </w:r>
      <w:r w:rsidR="08E171E0">
        <w:t xml:space="preserve">tohoto dějinně daného omylu </w:t>
      </w:r>
      <w:r w:rsidR="08E171E0" w:rsidRPr="08E171E0">
        <w:rPr>
          <w:i/>
        </w:rPr>
        <w:t>Modernorum</w:t>
      </w:r>
      <w:r w:rsidR="08E171E0">
        <w:t xml:space="preserve"> </w:t>
      </w:r>
      <w:r w:rsidR="084304B5">
        <w:t>je chybné vidění konfliktů charakterizujících vznik objektivity a desinterpretace hlavních metafyzických sporů v letech 1240‒77.</w:t>
      </w:r>
    </w:p>
    <w:p w14:paraId="6F7A86B1" w14:textId="42E164C1" w:rsidR="007631F4" w:rsidRPr="00273106" w:rsidRDefault="0034222E" w:rsidP="007631F4">
      <w:r w:rsidRPr="00273106">
        <w:tab/>
      </w:r>
      <w:r w:rsidR="00221596" w:rsidRPr="00273106">
        <w:t xml:space="preserve">Podle dvojího náhledu na </w:t>
      </w:r>
      <w:r w:rsidR="007457E6">
        <w:t>intelekt</w:t>
      </w:r>
      <w:r w:rsidR="007457E6" w:rsidRPr="00273106">
        <w:t xml:space="preserve"> </w:t>
      </w:r>
      <w:r w:rsidR="007457E6">
        <w:t xml:space="preserve">v jeho </w:t>
      </w:r>
      <w:r w:rsidR="00221596" w:rsidRPr="00273106">
        <w:t>výkon</w:t>
      </w:r>
      <w:r w:rsidR="007457E6">
        <w:t xml:space="preserve">u a jako </w:t>
      </w:r>
      <w:r w:rsidR="00221596" w:rsidRPr="00273106">
        <w:t xml:space="preserve">univerzální </w:t>
      </w:r>
      <w:r w:rsidR="089047E0">
        <w:t>pojem</w:t>
      </w:r>
      <w:r w:rsidR="00221596" w:rsidRPr="00273106">
        <w:t xml:space="preserve"> můžeme projít nauku o zbývajících dvou </w:t>
      </w:r>
      <w:r w:rsidR="00AC10F5">
        <w:t xml:space="preserve">schopností </w:t>
      </w:r>
      <w:r w:rsidR="00221596" w:rsidRPr="00273106">
        <w:t xml:space="preserve">intelektu: </w:t>
      </w:r>
      <w:r w:rsidR="00221596"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6D3D1A">
        <w:instrText>Albert</w:instrText>
      </w:r>
      <w:r w:rsidR="00DF1F0F">
        <w:instrText xml:space="preserve">" </w:instrText>
      </w:r>
      <w:r w:rsidR="00DF1F0F">
        <w:rPr>
          <w:i/>
        </w:rPr>
        <w:fldChar w:fldCharType="end"/>
      </w:r>
      <w:r w:rsidR="00221596" w:rsidRPr="00273106">
        <w:t xml:space="preserve"> a </w:t>
      </w:r>
      <w:r w:rsidR="00221596" w:rsidRPr="00273106">
        <w:rPr>
          <w:i/>
        </w:rPr>
        <w:t>possibilis</w:t>
      </w:r>
      <w:r w:rsidR="00221596" w:rsidRPr="00273106">
        <w:t xml:space="preserve">. Začneme </w:t>
      </w:r>
      <w:r w:rsidR="000A614B">
        <w:t>otázkou</w:t>
      </w:r>
      <w:r w:rsidR="00221596" w:rsidRPr="00273106">
        <w:t xml:space="preserve"> </w:t>
      </w:r>
      <w:r w:rsidR="000A614B">
        <w:t xml:space="preserve">ohledně </w:t>
      </w:r>
      <w:r w:rsidR="00221596" w:rsidRPr="00273106">
        <w:rPr>
          <w:i/>
        </w:rPr>
        <w:t>intellectus agens</w:t>
      </w:r>
      <w:r w:rsidR="00221596" w:rsidRPr="00273106">
        <w:t>. Albert stejn</w:t>
      </w:r>
      <w:r w:rsidR="004D24B6" w:rsidRPr="00273106">
        <w:t xml:space="preserve">ě jako Alvernus zásadně odmítá </w:t>
      </w:r>
      <w:r w:rsidR="00221596" w:rsidRPr="00273106">
        <w:t xml:space="preserve">teorii odděleného intelektu, který působí zvnějšku jako samostatná substance na subjektivní </w:t>
      </w:r>
      <w:r w:rsidR="00221596"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6D3D1A" w:rsidRPr="00490D32">
        <w:rPr>
          <w:i/>
        </w:rPr>
        <w:instrText>:</w:instrText>
      </w:r>
      <w:r w:rsidR="006D3D1A">
        <w:instrText>Albert</w:instrText>
      </w:r>
      <w:r w:rsidR="009D323B">
        <w:instrText xml:space="preserve">" </w:instrText>
      </w:r>
      <w:r w:rsidR="009D323B">
        <w:rPr>
          <w:i/>
        </w:rPr>
        <w:fldChar w:fldCharType="end"/>
      </w:r>
      <w:r w:rsidR="00221596" w:rsidRPr="00273106">
        <w:t xml:space="preserve">. </w:t>
      </w:r>
      <w:r w:rsidR="007631F4">
        <w:t>Albert dává s</w:t>
      </w:r>
      <w:r w:rsidR="007631F4" w:rsidRPr="00273106">
        <w:t xml:space="preserve">měr poznání </w:t>
      </w:r>
      <w:r w:rsidR="007631F4">
        <w:t>jsoucna (</w:t>
      </w:r>
      <w:r w:rsidR="007631F4" w:rsidRPr="00BE739D">
        <w:rPr>
          <w:i/>
        </w:rPr>
        <w:t>Vor</w:t>
      </w:r>
      <w:r w:rsidR="007631F4" w:rsidRPr="00BE739D">
        <w:rPr>
          <w:i/>
        </w:rPr>
        <w:noBreakHyphen/>
        <w:t>blickbahn</w:t>
      </w:r>
      <w:r w:rsidR="006B28CF">
        <w:rPr>
          <w:i/>
        </w:rPr>
        <w:fldChar w:fldCharType="begin"/>
      </w:r>
      <w:r w:rsidR="006B28CF">
        <w:instrText xml:space="preserve"> XE "</w:instrText>
      </w:r>
      <w:r w:rsidR="08106DC9">
        <w:rPr>
          <w:i/>
        </w:rPr>
        <w:instrText>Vor-</w:instrText>
      </w:r>
      <w:r w:rsidR="006B28CF" w:rsidRPr="000C66F2">
        <w:rPr>
          <w:i/>
        </w:rPr>
        <w:instrText>b</w:instrText>
      </w:r>
      <w:r w:rsidR="006B28CF" w:rsidRPr="000C66F2">
        <w:rPr>
          <w:i/>
          <w:iCs/>
        </w:rPr>
        <w:instrText>lickbahn</w:instrText>
      </w:r>
      <w:r w:rsidR="006D3D1A">
        <w:rPr>
          <w:i/>
          <w:iCs/>
        </w:rPr>
        <w:instrText>:</w:instrText>
      </w:r>
      <w:r w:rsidR="006D3D1A" w:rsidRPr="08106DC9">
        <w:rPr>
          <w:iCs/>
        </w:rPr>
        <w:instrText>Albert</w:instrText>
      </w:r>
      <w:r w:rsidR="006B28CF">
        <w:instrText xml:space="preserve">" </w:instrText>
      </w:r>
      <w:r w:rsidR="006B28CF">
        <w:rPr>
          <w:i/>
        </w:rPr>
        <w:fldChar w:fldCharType="end"/>
      </w:r>
      <w:r w:rsidR="007631F4">
        <w:t xml:space="preserve">) </w:t>
      </w:r>
      <w:r w:rsidR="007631F4" w:rsidRPr="00273106">
        <w:t xml:space="preserve">v souladu teorií prvního averroismu </w:t>
      </w:r>
      <w:r w:rsidR="004F2039">
        <w:t>pod</w:t>
      </w:r>
      <w:r w:rsidR="00AC10F5">
        <w:t>l</w:t>
      </w:r>
      <w:r w:rsidR="004F2039">
        <w:t>e</w:t>
      </w:r>
      <w:r w:rsidR="00AC10F5">
        <w:t xml:space="preserve"> Sicilské školy </w:t>
      </w:r>
      <w:r w:rsidR="007631F4">
        <w:t xml:space="preserve">pouze </w:t>
      </w:r>
      <w:r w:rsidR="007631F4" w:rsidRPr="00273106">
        <w:t xml:space="preserve">pro duši jako </w:t>
      </w:r>
      <w:r w:rsidR="007631F4"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7631F4" w:rsidRPr="00273106">
        <w:t>.</w:t>
      </w:r>
      <w:r w:rsidR="083C5AD5">
        <w:t xml:space="preserve"> </w:t>
      </w:r>
      <w:r w:rsidR="083C5AD5" w:rsidRPr="00273106">
        <w:t xml:space="preserve">Albert stejně jako Blund a Alvernus odmítne teorii kosmické duše, kterou měli tehdejší </w:t>
      </w:r>
      <w:r w:rsidR="08D56BFE">
        <w:t xml:space="preserve">aristotelští </w:t>
      </w:r>
      <w:r w:rsidR="083C5AD5" w:rsidRPr="00273106">
        <w:t xml:space="preserve">neoplatonikové jako </w:t>
      </w:r>
      <w:r w:rsidR="083C5AD5">
        <w:t>Dinant</w:t>
      </w:r>
      <w:r w:rsidR="08730AFA">
        <w:fldChar w:fldCharType="begin"/>
      </w:r>
      <w:r w:rsidR="08730AFA">
        <w:instrText xml:space="preserve"> XE "</w:instrText>
      </w:r>
      <w:r w:rsidR="08730AFA" w:rsidRPr="081B0776">
        <w:instrText>David z Dinantu</w:instrText>
      </w:r>
      <w:r w:rsidR="08730AFA">
        <w:instrText xml:space="preserve">" </w:instrText>
      </w:r>
      <w:r w:rsidR="08730AFA">
        <w:fldChar w:fldCharType="end"/>
      </w:r>
      <w:r w:rsidR="083C5AD5">
        <w:t xml:space="preserve"> a </w:t>
      </w:r>
      <w:r w:rsidR="083C5AD5" w:rsidRPr="00273106">
        <w:t xml:space="preserve">Rufus. </w:t>
      </w:r>
      <w:r w:rsidR="088219BF">
        <w:t xml:space="preserve">Jeho komentář </w:t>
      </w:r>
      <w:r w:rsidR="088219BF" w:rsidRPr="00BA19AF">
        <w:rPr>
          <w:i/>
        </w:rPr>
        <w:t>De anima</w:t>
      </w:r>
      <w:r w:rsidR="088219BF">
        <w:t xml:space="preserve"> vzniklý během Rufusova pobytu v </w:t>
      </w:r>
      <w:r w:rsidR="083C5AD5">
        <w:t>P</w:t>
      </w:r>
      <w:r w:rsidR="083C5AD5" w:rsidRPr="00273106">
        <w:t>aříž</w:t>
      </w:r>
      <w:r w:rsidR="088219BF">
        <w:t>i za p</w:t>
      </w:r>
      <w:r w:rsidR="083C5AD5" w:rsidRPr="00273106">
        <w:t xml:space="preserve">ontifikátu biskupa Alverna </w:t>
      </w:r>
      <w:r w:rsidR="083C5AD5">
        <w:t xml:space="preserve">rozebíráme dále </w:t>
      </w:r>
      <w:r w:rsidR="088219BF">
        <w:t>(kap. 3</w:t>
      </w:r>
      <w:r w:rsidR="083C5AD5" w:rsidRPr="00273106">
        <w:t xml:space="preserve">.3.4). Albert s </w:t>
      </w:r>
      <w:r w:rsidR="083C5AD5">
        <w:t xml:space="preserve">těmito </w:t>
      </w:r>
      <w:r w:rsidR="083C5AD5" w:rsidRPr="00273106">
        <w:t>augustiniánskými avicen</w:t>
      </w:r>
      <w:r w:rsidR="083C5AD5">
        <w:t xml:space="preserve">nisty zásadně nesouhlasí. Kosmická duše </w:t>
      </w:r>
      <w:r w:rsidR="08730AFA">
        <w:t xml:space="preserve">koncipovaná podle </w:t>
      </w:r>
      <w:r w:rsidR="08730AFA" w:rsidRPr="08730AFA">
        <w:rPr>
          <w:i/>
        </w:rPr>
        <w:t xml:space="preserve">De anima </w:t>
      </w:r>
      <w:r w:rsidR="083C5AD5">
        <w:t xml:space="preserve">je </w:t>
      </w:r>
      <w:r w:rsidR="087F5BBC">
        <w:t xml:space="preserve">metafyzický </w:t>
      </w:r>
      <w:r w:rsidR="086054D6">
        <w:t>nesmysl. S</w:t>
      </w:r>
      <w:r w:rsidR="083C5AD5">
        <w:t xml:space="preserve">telární inteligence jako čisté formy nejsou založeny na myšlení jako duševní činnosti dané v závislosti na těle. Kosmické inteligence </w:t>
      </w:r>
      <w:r w:rsidR="001C4622">
        <w:t>mají bytí intelektu v přímém aktu jako nemateriální substance</w:t>
      </w:r>
      <w:r w:rsidR="083C5AD5">
        <w:t>.</w:t>
      </w:r>
    </w:p>
    <w:p w14:paraId="4A8E207F" w14:textId="77777777" w:rsidR="007631F4" w:rsidRPr="00B5276B" w:rsidRDefault="007631F4" w:rsidP="007631F4">
      <w:pPr>
        <w:pStyle w:val="Citace"/>
        <w:rPr>
          <w:rStyle w:val="ZkladntextKurzvadkovn0pt"/>
          <w:rFonts w:ascii="Calibri" w:eastAsia="Times" w:hAnsi="Calibri"/>
          <w:i w:val="0"/>
          <w:iCs w:val="0"/>
          <w:spacing w:val="0"/>
          <w:sz w:val="22"/>
          <w:u w:val="none"/>
          <w:lang w:val="x-none"/>
        </w:rPr>
      </w:pPr>
      <w:r w:rsidRPr="00B5276B">
        <w:rPr>
          <w:rStyle w:val="Zkladntextdkovn0pt"/>
          <w:rFonts w:ascii="Calibri" w:eastAsia="Times" w:hAnsi="Calibri" w:cs="Times New Roman"/>
          <w:spacing w:val="0"/>
          <w:sz w:val="22"/>
          <w:u w:val="none"/>
          <w:lang w:val="x-none"/>
        </w:rPr>
        <w:t xml:space="preserve">„Následujeme Aristotela a </w:t>
      </w:r>
      <w:r w:rsidR="002E3B62">
        <w:rPr>
          <w:rStyle w:val="Zkladntextdkovn0pt"/>
          <w:rFonts w:ascii="Calibri" w:eastAsia="Times" w:hAnsi="Calibri" w:cs="Times New Roman"/>
          <w:spacing w:val="0"/>
          <w:sz w:val="22"/>
          <w:u w:val="none"/>
          <w:lang w:val="x-none"/>
        </w:rPr>
        <w:t>Averroes</w:t>
      </w:r>
      <w:r w:rsidRPr="00B5276B">
        <w:rPr>
          <w:rStyle w:val="Zkladntextdkovn0pt"/>
          <w:rFonts w:ascii="Calibri" w:eastAsia="Times" w:hAnsi="Calibri" w:cs="Times New Roman"/>
          <w:spacing w:val="0"/>
          <w:sz w:val="22"/>
          <w:u w:val="none"/>
          <w:lang w:val="x-none"/>
        </w:rPr>
        <w:t xml:space="preserve">e a říkáme, že kosmos nemá duši mimo kosmické inteligence, jak bylo řečeno výše ve spise </w:t>
      </w:r>
      <w:r w:rsidRPr="0058239F">
        <w:rPr>
          <w:rStyle w:val="Zkladntextdkovn0pt"/>
          <w:rFonts w:ascii="Calibri" w:eastAsia="Times" w:hAnsi="Calibri" w:cs="Times New Roman"/>
          <w:i/>
          <w:spacing w:val="0"/>
          <w:sz w:val="22"/>
          <w:u w:val="none"/>
          <w:lang w:val="x-none"/>
        </w:rPr>
        <w:t>De coelo</w:t>
      </w:r>
      <w:r w:rsidRPr="00B5276B">
        <w:rPr>
          <w:rStyle w:val="Zkladntextdkovn0pt"/>
          <w:rFonts w:ascii="Calibri" w:eastAsia="Times" w:hAnsi="Calibri" w:cs="Times New Roman"/>
          <w:spacing w:val="0"/>
          <w:sz w:val="22"/>
          <w:u w:val="none"/>
          <w:lang w:val="x-none"/>
        </w:rPr>
        <w:t>. Podobně říkáme, že lidský činný intelekt je spojen s lidskou duší, má jen abstraktní bytí a neobsahuje sám o sobě žádné inteligibilní obsahy. Jedná jako takový pouze v možném intelektu skrze fantasmata</w:t>
      </w:r>
      <w:r w:rsidR="0058239F">
        <w:rPr>
          <w:rStyle w:val="Zkladntextdkovn0pt"/>
          <w:rFonts w:ascii="Calibri" w:eastAsia="Times" w:hAnsi="Calibri" w:cs="Times New Roman"/>
          <w:spacing w:val="0"/>
          <w:sz w:val="22"/>
          <w:u w:val="none"/>
          <w:lang w:val="x-none"/>
        </w:rPr>
        <w:t xml:space="preserve">, jak výslovně řekl </w:t>
      </w:r>
      <w:r w:rsidR="002E3B62">
        <w:rPr>
          <w:rStyle w:val="Zkladntextdkovn0pt"/>
          <w:rFonts w:ascii="Calibri" w:eastAsia="Times" w:hAnsi="Calibri" w:cs="Times New Roman"/>
          <w:spacing w:val="0"/>
          <w:sz w:val="22"/>
          <w:u w:val="none"/>
          <w:lang w:val="x-none"/>
        </w:rPr>
        <w:t>Averroes</w:t>
      </w:r>
      <w:r w:rsidR="0058239F">
        <w:rPr>
          <w:rStyle w:val="Zkladntextdkovn0pt"/>
          <w:rFonts w:ascii="Calibri" w:eastAsia="Times" w:hAnsi="Calibri" w:cs="Times New Roman"/>
          <w:spacing w:val="0"/>
          <w:sz w:val="22"/>
          <w:u w:val="none"/>
          <w:lang w:val="x-none"/>
        </w:rPr>
        <w:t xml:space="preserve"> v</w:t>
      </w:r>
      <w:r w:rsidR="0058239F">
        <w:rPr>
          <w:rStyle w:val="Zkladntextdkovn0pt"/>
          <w:rFonts w:ascii="Calibri" w:eastAsia="Times" w:hAnsi="Calibri" w:cs="Times New Roman"/>
          <w:spacing w:val="0"/>
          <w:sz w:val="22"/>
          <w:u w:val="none"/>
          <w:lang w:val="cs-CZ"/>
        </w:rPr>
        <w:t xml:space="preserve"> </w:t>
      </w:r>
      <w:r w:rsidRPr="00B5276B">
        <w:rPr>
          <w:rStyle w:val="Zkladntextdkovn0pt"/>
          <w:rFonts w:ascii="Calibri" w:eastAsia="Times" w:hAnsi="Calibri" w:cs="Times New Roman"/>
          <w:spacing w:val="0"/>
          <w:sz w:val="22"/>
          <w:u w:val="none"/>
          <w:lang w:val="x-none"/>
        </w:rPr>
        <w:t>kome</w:t>
      </w:r>
      <w:r w:rsidR="0058239F">
        <w:rPr>
          <w:rStyle w:val="Zkladntextdkovn0pt"/>
          <w:rFonts w:ascii="Calibri" w:eastAsia="Times" w:hAnsi="Calibri" w:cs="Times New Roman"/>
          <w:spacing w:val="0"/>
          <w:sz w:val="22"/>
          <w:u w:val="none"/>
          <w:lang w:val="cs-CZ"/>
        </w:rPr>
        <w:t>n</w:t>
      </w:r>
      <w:r w:rsidRPr="00B5276B">
        <w:rPr>
          <w:rStyle w:val="Zkladntextdkovn0pt"/>
          <w:rFonts w:ascii="Calibri" w:eastAsia="Times" w:hAnsi="Calibri" w:cs="Times New Roman"/>
          <w:spacing w:val="0"/>
          <w:sz w:val="22"/>
          <w:u w:val="none"/>
          <w:lang w:val="x-none"/>
        </w:rPr>
        <w:t xml:space="preserve">táři </w:t>
      </w:r>
      <w:r w:rsidRPr="00084C15">
        <w:rPr>
          <w:rStyle w:val="Zkladntextdkovn0pt"/>
          <w:rFonts w:ascii="Calibri" w:eastAsia="Times" w:hAnsi="Calibri" w:cs="Times New Roman"/>
          <w:i/>
          <w:spacing w:val="0"/>
          <w:sz w:val="22"/>
          <w:u w:val="none"/>
          <w:lang w:val="x-none"/>
        </w:rPr>
        <w:t>De anima</w:t>
      </w:r>
      <w:r w:rsidRPr="00B5276B">
        <w:rPr>
          <w:rStyle w:val="Zkladntextdkovn0pt"/>
          <w:rFonts w:ascii="Calibri" w:eastAsia="Times" w:hAnsi="Calibri" w:cs="Times New Roman"/>
          <w:spacing w:val="0"/>
          <w:sz w:val="22"/>
          <w:u w:val="none"/>
          <w:lang w:val="x-none"/>
        </w:rPr>
        <w:t>.</w:t>
      </w:r>
      <w:r w:rsidRPr="00B5276B">
        <w:rPr>
          <w:rStyle w:val="ZkladntextKurzvadkovn0pt"/>
          <w:rFonts w:ascii="Calibri" w:eastAsia="Times" w:hAnsi="Calibri"/>
          <w:i w:val="0"/>
          <w:iCs w:val="0"/>
          <w:spacing w:val="0"/>
          <w:sz w:val="22"/>
          <w:u w:val="none"/>
          <w:lang w:val="x-none"/>
        </w:rPr>
        <w:t xml:space="preserve">“ </w:t>
      </w:r>
      <w:r w:rsidRPr="00B5276B">
        <w:rPr>
          <w:rStyle w:val="Znakapoznpodarou"/>
        </w:rPr>
        <w:footnoteReference w:id="238"/>
      </w:r>
    </w:p>
    <w:p w14:paraId="49818D11" w14:textId="6F1BE7B3" w:rsidR="007631F4" w:rsidRPr="00273106" w:rsidRDefault="007631F4" w:rsidP="007631F4">
      <w:r w:rsidRPr="00273106">
        <w:lastRenderedPageBreak/>
        <w:t>Činný intelekt má poznání pouze z fantasmat a je ve své činnosti odkázaný na receptivní složku intelektu (</w:t>
      </w:r>
      <w:r w:rsidRPr="00273106">
        <w:rPr>
          <w:i/>
        </w:rPr>
        <w:t>agere ipsa in intellectu possibili ex phantasmatibus</w:t>
      </w:r>
      <w:r w:rsidRPr="00273106">
        <w:t>).</w:t>
      </w:r>
      <w:r>
        <w:t xml:space="preserve"> </w:t>
      </w:r>
      <w:r w:rsidR="08BA51BD">
        <w:t xml:space="preserve">Sofisté </w:t>
      </w:r>
      <w:r w:rsidR="002B76DB">
        <w:t xml:space="preserve">nejsou </w:t>
      </w:r>
      <w:r w:rsidR="005F66D2" w:rsidRPr="00273106">
        <w:t xml:space="preserve">schopni rozlišit mezi oběma stránkami jednoho a téhož individuálně daného intelektu. </w:t>
      </w:r>
      <w:r w:rsidR="08193042">
        <w:t>Q</w:t>
      </w:r>
      <w:r w:rsidR="08193042" w:rsidRPr="00273106">
        <w:t xml:space="preserve">uidamové sofisticky zapletli do </w:t>
      </w:r>
      <w:r w:rsidR="08193042">
        <w:t xml:space="preserve">univerzální definice </w:t>
      </w:r>
      <w:r w:rsidR="08193042" w:rsidRPr="00273106">
        <w:t xml:space="preserve">aktivního intelektu </w:t>
      </w:r>
      <w:r w:rsidR="08193042">
        <w:t>také</w:t>
      </w:r>
      <w:r w:rsidR="08193042" w:rsidRPr="00273106">
        <w:t xml:space="preserve"> intelekt jako </w:t>
      </w:r>
      <w:r w:rsidR="001C4622">
        <w:t xml:space="preserve">personální </w:t>
      </w:r>
      <w:r w:rsidR="08193042" w:rsidRPr="00273106">
        <w:t xml:space="preserve">výkon duše. </w:t>
      </w:r>
      <w:r w:rsidR="00197743">
        <w:t xml:space="preserve">Tím dostali intelekt i duši jako dvojí formu </w:t>
      </w:r>
      <w:r w:rsidR="00197743" w:rsidRPr="00197743">
        <w:rPr>
          <w:i/>
        </w:rPr>
        <w:t>tertium ens</w:t>
      </w:r>
      <w:r w:rsidR="00197743">
        <w:t xml:space="preserve">. </w:t>
      </w:r>
      <w:r w:rsidR="005F66D2" w:rsidRPr="00273106">
        <w:t xml:space="preserve">Intelekt jako </w:t>
      </w:r>
      <w:r w:rsidR="002E30FF">
        <w:t>abstrahovaná univerzálie–</w:t>
      </w:r>
      <w:r w:rsidR="002E30FF" w:rsidRPr="002E30FF">
        <w:t>species</w:t>
      </w:r>
      <w:r w:rsidR="005F66D2" w:rsidRPr="00273106">
        <w:t xml:space="preserve"> není totéž jako inteligibilní </w:t>
      </w:r>
      <w:r w:rsidR="002E30FF" w:rsidRPr="002E30FF">
        <w:t>species</w:t>
      </w:r>
      <w:r w:rsidR="005F66D2" w:rsidRPr="00273106">
        <w:t xml:space="preserve"> produkované intelektem, i když jsou oba druhy </w:t>
      </w:r>
      <w:r w:rsidR="00F60891">
        <w:t xml:space="preserve">poznání </w:t>
      </w:r>
      <w:r w:rsidR="005F66D2" w:rsidRPr="00273106">
        <w:t>nemateriální</w:t>
      </w:r>
      <w:r w:rsidR="000A064C">
        <w:t xml:space="preserve"> a jsou dány v modu </w:t>
      </w:r>
      <w:r w:rsidR="000A064C" w:rsidRPr="000A064C">
        <w:rPr>
          <w:i/>
        </w:rPr>
        <w:t>simpliciter</w:t>
      </w:r>
      <w:r w:rsidR="005F66D2" w:rsidRPr="00273106">
        <w:t>.</w:t>
      </w:r>
      <w:r w:rsidR="005F66D2">
        <w:t xml:space="preserve"> </w:t>
      </w:r>
      <w:r w:rsidR="08730AFA">
        <w:t xml:space="preserve">Kosmická duše </w:t>
      </w:r>
      <w:r w:rsidR="088F4467">
        <w:t xml:space="preserve">podaná </w:t>
      </w:r>
      <w:r w:rsidR="08730AFA">
        <w:t>v Dinantově</w:t>
      </w:r>
      <w:r w:rsidR="08D56BFE">
        <w:fldChar w:fldCharType="begin"/>
      </w:r>
      <w:r w:rsidR="08D56BFE">
        <w:instrText xml:space="preserve"> XE "</w:instrText>
      </w:r>
      <w:r w:rsidR="08D56BFE" w:rsidRPr="081B0776">
        <w:instrText>David z Dinantu</w:instrText>
      </w:r>
      <w:r w:rsidR="08D56BFE">
        <w:instrText xml:space="preserve">" </w:instrText>
      </w:r>
      <w:r w:rsidR="08D56BFE">
        <w:fldChar w:fldCharType="end"/>
      </w:r>
      <w:r w:rsidR="08730AFA">
        <w:t xml:space="preserve"> panteistickém modu </w:t>
      </w:r>
      <w:r w:rsidR="08730AFA" w:rsidRPr="08730AFA">
        <w:rPr>
          <w:i/>
        </w:rPr>
        <w:t>De anima</w:t>
      </w:r>
      <w:r w:rsidR="08730AFA">
        <w:t xml:space="preserve"> nemá jak existovat, protože by musela přijímat fantasmata, což je </w:t>
      </w:r>
      <w:r w:rsidR="0829180D">
        <w:t xml:space="preserve">podle Blunda a Alberta </w:t>
      </w:r>
      <w:r w:rsidR="08730AFA">
        <w:t>naprostý nesmysl</w:t>
      </w:r>
      <w:r w:rsidR="086E1A9A">
        <w:t xml:space="preserve"> (kap. 2</w:t>
      </w:r>
      <w:r w:rsidR="088F4467">
        <w:t>.1.3)</w:t>
      </w:r>
      <w:r w:rsidR="08730AFA">
        <w:t xml:space="preserve">. Inteligibilní kosmické inteligence mají princip života v čistém myšlení a tím </w:t>
      </w:r>
      <w:r w:rsidR="08543D83">
        <w:t xml:space="preserve">jsou </w:t>
      </w:r>
      <w:r w:rsidR="08730AFA">
        <w:t xml:space="preserve">zásadně naprosto odděleny od lidské duše, která dostává aktualitu poznání pouze ze smyslů. </w:t>
      </w:r>
      <w:r w:rsidR="00AF6D02">
        <w:t>Albert odmítá z</w:t>
      </w:r>
      <w:r w:rsidRPr="00273106">
        <w:t>kreslené pochopení spekulativního intelektu</w:t>
      </w:r>
      <w:r w:rsidR="00E670CE">
        <w:fldChar w:fldCharType="begin"/>
      </w:r>
      <w:r w:rsidR="00E670CE">
        <w:instrText xml:space="preserve"> XE "</w:instrText>
      </w:r>
      <w:r w:rsidR="00E670CE" w:rsidRPr="00E670CE">
        <w:rPr>
          <w:i/>
        </w:rPr>
        <w:instrText>intellectus speculativus</w:instrText>
      </w:r>
      <w:r w:rsidR="00E670CE">
        <w:instrText xml:space="preserve">:Albert" </w:instrText>
      </w:r>
      <w:r w:rsidR="00E670CE">
        <w:fldChar w:fldCharType="end"/>
      </w:r>
      <w:r w:rsidRPr="00273106">
        <w:t xml:space="preserve"> </w:t>
      </w:r>
      <w:r w:rsidR="00806CBC">
        <w:t xml:space="preserve">avicennovských </w:t>
      </w:r>
      <w:r w:rsidR="00AF6D02">
        <w:t xml:space="preserve">modernistů, které stojí v rozporu s </w:t>
      </w:r>
      <w:r w:rsidR="00F60891">
        <w:t xml:space="preserve">pojetím </w:t>
      </w:r>
      <w:r w:rsidR="00AF6D02">
        <w:t>CMDA</w:t>
      </w:r>
      <w:r w:rsidRPr="00273106">
        <w:t xml:space="preserve">. </w:t>
      </w:r>
      <w:r w:rsidR="00F37565" w:rsidRPr="00273106">
        <w:t xml:space="preserve">Tím je odmítnuta Grossetesteho teze o aktivním náhledu do prvních principů poznání, kterou přebrali všichni </w:t>
      </w:r>
      <w:r w:rsidR="00F37565" w:rsidRPr="00273106">
        <w:rPr>
          <w:i/>
        </w:rPr>
        <w:t>Moderni</w:t>
      </w:r>
      <w:r w:rsidR="00F37565">
        <w:rPr>
          <w:i/>
        </w:rPr>
        <w:fldChar w:fldCharType="begin"/>
      </w:r>
      <w:r w:rsidR="00F37565">
        <w:instrText xml:space="preserve"> XE "</w:instrText>
      </w:r>
      <w:r w:rsidR="00F37565" w:rsidRPr="00B46F32">
        <w:instrText>averroismus:Moderni</w:instrText>
      </w:r>
      <w:r w:rsidR="00F37565">
        <w:instrText xml:space="preserve">" </w:instrText>
      </w:r>
      <w:r w:rsidR="00F37565">
        <w:rPr>
          <w:i/>
        </w:rPr>
        <w:fldChar w:fldCharType="end"/>
      </w:r>
      <w:r w:rsidR="08CC34EA">
        <w:t xml:space="preserve"> (kap. 3</w:t>
      </w:r>
      <w:r w:rsidR="00F37565" w:rsidRPr="00273106">
        <w:t>.1</w:t>
      </w:r>
      <w:r w:rsidR="00F37565">
        <w:t xml:space="preserve">.1). </w:t>
      </w:r>
      <w:r w:rsidR="00F60891">
        <w:t xml:space="preserve">Následují citát </w:t>
      </w:r>
      <w:r w:rsidR="00F61ABD">
        <w:t xml:space="preserve">odmítá </w:t>
      </w:r>
      <w:r w:rsidR="08501B30">
        <w:t>definic</w:t>
      </w:r>
      <w:r w:rsidR="08BB7D6A">
        <w:t xml:space="preserve">i </w:t>
      </w:r>
      <w:r w:rsidR="08501B30">
        <w:t xml:space="preserve">habituálního </w:t>
      </w:r>
      <w:r w:rsidR="00F60891">
        <w:t>intelektu</w:t>
      </w:r>
      <w:r w:rsidR="08E37DE3">
        <w:t xml:space="preserve"> </w:t>
      </w:r>
      <w:r w:rsidR="08501B30">
        <w:t xml:space="preserve">s vrozenými principy poznání podle Themistia a </w:t>
      </w:r>
      <w:r w:rsidR="08BB7D6A">
        <w:t xml:space="preserve">podle </w:t>
      </w:r>
      <w:r w:rsidR="08E37DE3">
        <w:t>Toledské školy</w:t>
      </w:r>
      <w:r w:rsidR="00BD5C89">
        <w:t xml:space="preserve">, </w:t>
      </w:r>
      <w:r w:rsidR="00F60891">
        <w:t xml:space="preserve">kterou </w:t>
      </w:r>
      <w:r w:rsidR="00BD5C89">
        <w:t xml:space="preserve">naopak </w:t>
      </w:r>
      <w:r w:rsidR="08E37DE3">
        <w:t xml:space="preserve">přebral </w:t>
      </w:r>
      <w:r w:rsidR="00053DA0">
        <w:t>Descart</w:t>
      </w:r>
      <w:r w:rsidR="08CC555C">
        <w:t>es</w:t>
      </w:r>
      <w:r w:rsidR="080E3548">
        <w:fldChar w:fldCharType="begin"/>
      </w:r>
      <w:r w:rsidR="080E3548">
        <w:instrText xml:space="preserve"> XE "</w:instrText>
      </w:r>
      <w:r w:rsidR="080E3548" w:rsidRPr="08C64074">
        <w:instrText>Descartes, R.</w:instrText>
      </w:r>
      <w:r w:rsidR="080E3548">
        <w:instrText xml:space="preserve">" </w:instrText>
      </w:r>
      <w:r w:rsidR="080E3548">
        <w:fldChar w:fldCharType="end"/>
      </w:r>
      <w:r w:rsidR="00053DA0">
        <w:t xml:space="preserve"> </w:t>
      </w:r>
      <w:r w:rsidR="08E37DE3">
        <w:t>a Kant</w:t>
      </w:r>
      <w:r w:rsidR="080E3548">
        <w:fldChar w:fldCharType="begin"/>
      </w:r>
      <w:r w:rsidR="080E3548">
        <w:instrText xml:space="preserve"> XE "</w:instrText>
      </w:r>
      <w:r w:rsidR="080E3548" w:rsidRPr="08B31192">
        <w:instrText>Kant, I.</w:instrText>
      </w:r>
      <w:r w:rsidR="080E3548">
        <w:instrText xml:space="preserve">" </w:instrText>
      </w:r>
      <w:r w:rsidR="080E3548">
        <w:fldChar w:fldCharType="end"/>
      </w:r>
      <w:r w:rsidR="00F60891">
        <w:t>.</w:t>
      </w:r>
    </w:p>
    <w:p w14:paraId="0A0D925B" w14:textId="24823BFD" w:rsidR="007631F4" w:rsidRPr="00244660" w:rsidRDefault="007631F4" w:rsidP="007631F4">
      <w:pPr>
        <w:pStyle w:val="Citace"/>
      </w:pPr>
      <w:r w:rsidRPr="00244660">
        <w:rPr>
          <w:rStyle w:val="Zkladntextdkovn0pt"/>
          <w:rFonts w:ascii="Calibri" w:eastAsia="Times" w:hAnsi="Calibri" w:cs="Times New Roman"/>
          <w:spacing w:val="0"/>
          <w:sz w:val="22"/>
          <w:u w:val="none"/>
          <w:lang w:val="x-none"/>
        </w:rPr>
        <w:t xml:space="preserve">„Někteří říkají, že definici spekulativního intelektu je třeba chápat vzhledem k habituálnímu držení prvních principů poznání, protože toto poznání tvoří součást naší přirozenosti. </w:t>
      </w:r>
      <w:r w:rsidR="00CD2752">
        <w:rPr>
          <w:rStyle w:val="Zkladntextdkovn0pt"/>
          <w:rFonts w:ascii="Calibri" w:eastAsia="Times" w:hAnsi="Calibri" w:cs="Times New Roman"/>
          <w:spacing w:val="0"/>
          <w:sz w:val="22"/>
          <w:u w:val="none"/>
          <w:lang w:val="cs-CZ"/>
        </w:rPr>
        <w:t xml:space="preserve">Takový intelekt je </w:t>
      </w:r>
      <w:r w:rsidRPr="00244660">
        <w:rPr>
          <w:rStyle w:val="Zkladntextdkovn0pt"/>
          <w:rFonts w:ascii="Calibri" w:eastAsia="Times" w:hAnsi="Calibri" w:cs="Times New Roman"/>
          <w:spacing w:val="0"/>
          <w:sz w:val="22"/>
          <w:u w:val="none"/>
          <w:lang w:val="x-none"/>
        </w:rPr>
        <w:t xml:space="preserve">prý </w:t>
      </w:r>
      <w:r w:rsidR="005A07D2">
        <w:rPr>
          <w:rStyle w:val="Zkladntextdkovn0pt"/>
          <w:rFonts w:ascii="Calibri" w:eastAsia="Times" w:hAnsi="Calibri" w:cs="Times New Roman"/>
          <w:i/>
          <w:spacing w:val="0"/>
          <w:sz w:val="22"/>
          <w:u w:val="none"/>
          <w:lang w:val="x-none"/>
        </w:rPr>
        <w:t>nesmrteln</w:t>
      </w:r>
      <w:r w:rsidR="005A07D2">
        <w:rPr>
          <w:rStyle w:val="Zkladntextdkovn0pt"/>
          <w:rFonts w:ascii="Calibri" w:eastAsia="Times" w:hAnsi="Calibri" w:cs="Times New Roman"/>
          <w:i/>
          <w:spacing w:val="0"/>
          <w:sz w:val="22"/>
          <w:u w:val="none"/>
          <w:lang w:val="cs-CZ"/>
        </w:rPr>
        <w:t>ý</w:t>
      </w:r>
      <w:r w:rsidR="005A07D2">
        <w:rPr>
          <w:rStyle w:val="Zkladntextdkovn0pt"/>
          <w:rFonts w:ascii="Calibri" w:eastAsia="Times" w:hAnsi="Calibri" w:cs="Times New Roman"/>
          <w:spacing w:val="0"/>
          <w:sz w:val="22"/>
          <w:u w:val="none"/>
          <w:lang w:val="x-none"/>
        </w:rPr>
        <w:t>, tedy neporušiteln</w:t>
      </w:r>
      <w:r w:rsidR="005A07D2">
        <w:rPr>
          <w:rStyle w:val="Zkladntextdkovn0pt"/>
          <w:rFonts w:ascii="Calibri" w:eastAsia="Times" w:hAnsi="Calibri" w:cs="Times New Roman"/>
          <w:spacing w:val="0"/>
          <w:sz w:val="22"/>
          <w:u w:val="none"/>
          <w:lang w:val="cs-CZ"/>
        </w:rPr>
        <w:t>ý</w:t>
      </w:r>
      <w:r w:rsidR="005A07D2">
        <w:rPr>
          <w:rStyle w:val="Zkladntextdkovn0pt"/>
          <w:rFonts w:ascii="Calibri" w:eastAsia="Times" w:hAnsi="Calibri" w:cs="Times New Roman"/>
          <w:spacing w:val="0"/>
          <w:sz w:val="22"/>
          <w:u w:val="none"/>
          <w:lang w:val="x-none"/>
        </w:rPr>
        <w:t xml:space="preserve">, protože nemůže být </w:t>
      </w:r>
      <w:r w:rsidR="005A07D2">
        <w:rPr>
          <w:rStyle w:val="Zkladntextdkovn0pt"/>
          <w:rFonts w:ascii="Calibri" w:eastAsia="Times" w:hAnsi="Calibri" w:cs="Times New Roman"/>
          <w:spacing w:val="0"/>
          <w:sz w:val="22"/>
          <w:u w:val="none"/>
          <w:lang w:val="cs-CZ"/>
        </w:rPr>
        <w:t>zničen</w:t>
      </w:r>
      <w:r w:rsidRPr="00244660">
        <w:rPr>
          <w:rStyle w:val="Zkladntextdkovn0pt"/>
          <w:rFonts w:ascii="Calibri" w:eastAsia="Times" w:hAnsi="Calibri" w:cs="Times New Roman"/>
          <w:spacing w:val="0"/>
          <w:sz w:val="22"/>
          <w:u w:val="none"/>
          <w:lang w:val="x-none"/>
        </w:rPr>
        <w:t xml:space="preserve">. A prý je </w:t>
      </w:r>
      <w:r w:rsidR="005A07D2">
        <w:rPr>
          <w:rStyle w:val="Zkladntextdkovn0pt"/>
          <w:rFonts w:ascii="Calibri" w:eastAsia="Times" w:hAnsi="Calibri" w:cs="Times New Roman"/>
          <w:i/>
          <w:spacing w:val="0"/>
          <w:sz w:val="22"/>
          <w:u w:val="none"/>
          <w:lang w:val="x-none"/>
        </w:rPr>
        <w:t>věčn</w:t>
      </w:r>
      <w:r w:rsidR="005A07D2">
        <w:rPr>
          <w:rStyle w:val="Zkladntextdkovn0pt"/>
          <w:rFonts w:ascii="Calibri" w:eastAsia="Times" w:hAnsi="Calibri" w:cs="Times New Roman"/>
          <w:i/>
          <w:spacing w:val="0"/>
          <w:sz w:val="22"/>
          <w:u w:val="none"/>
          <w:lang w:val="cs-CZ"/>
        </w:rPr>
        <w:t>ý</w:t>
      </w:r>
      <w:r w:rsidR="005A07D2">
        <w:rPr>
          <w:rStyle w:val="Zkladntextdkovn0pt"/>
          <w:rFonts w:ascii="Calibri" w:eastAsia="Times" w:hAnsi="Calibri" w:cs="Times New Roman"/>
          <w:spacing w:val="0"/>
          <w:sz w:val="22"/>
          <w:u w:val="none"/>
          <w:lang w:val="x-none"/>
        </w:rPr>
        <w:t xml:space="preserve"> proto, že není dán</w:t>
      </w:r>
      <w:r w:rsidRPr="00244660">
        <w:rPr>
          <w:rStyle w:val="Zkladntextdkovn0pt"/>
          <w:rFonts w:ascii="Calibri" w:eastAsia="Times" w:hAnsi="Calibri" w:cs="Times New Roman"/>
          <w:spacing w:val="0"/>
          <w:sz w:val="22"/>
          <w:u w:val="none"/>
          <w:lang w:val="x-none"/>
        </w:rPr>
        <w:t xml:space="preserve"> jen v potenci.“ </w:t>
      </w:r>
      <w:r w:rsidRPr="00244660">
        <w:rPr>
          <w:rStyle w:val="Znakapoznpodarou"/>
        </w:rPr>
        <w:footnoteReference w:id="239"/>
      </w:r>
    </w:p>
    <w:p w14:paraId="45B463FB" w14:textId="1C8205FF" w:rsidR="00221596" w:rsidRPr="00273106" w:rsidRDefault="00803F98" w:rsidP="00221596">
      <w:r w:rsidRPr="00803F98">
        <w:t xml:space="preserve">Modernisté chtějí být ve svém paranoidním myšlení nesmrtelní a věční, což </w:t>
      </w:r>
      <w:r w:rsidR="00D57AB8" w:rsidRPr="00803F98">
        <w:t xml:space="preserve">samo o sobě </w:t>
      </w:r>
      <w:r w:rsidR="00D57AB8">
        <w:t>představuje chvályhodný mytický počin.</w:t>
      </w:r>
      <w:r>
        <w:t xml:space="preserve"> </w:t>
      </w:r>
      <w:r w:rsidR="00093B36" w:rsidRPr="00273106">
        <w:t>Moderní intelekt je dán jako substance</w:t>
      </w:r>
      <w:r w:rsidR="00A70FA4">
        <w:fldChar w:fldCharType="begin"/>
      </w:r>
      <w:r w:rsidR="00A70FA4">
        <w:instrText xml:space="preserve"> XE "</w:instrText>
      </w:r>
      <w:r w:rsidR="00A70FA4" w:rsidRPr="00DE2A32">
        <w:instrText>substance</w:instrText>
      </w:r>
      <w:r w:rsidR="00E670CE">
        <w:instrText>:intelekt</w:instrText>
      </w:r>
      <w:r w:rsidR="00A70FA4">
        <w:instrText xml:space="preserve">" </w:instrText>
      </w:r>
      <w:r w:rsidR="00A70FA4">
        <w:fldChar w:fldCharType="end"/>
      </w:r>
      <w:r w:rsidR="00093B36" w:rsidRPr="00273106">
        <w:t xml:space="preserve"> oddělená od těla, která v sobě odkrývá v aktu intelektuální anamnéze trvalé principy poznání a věčné ideje (</w:t>
      </w:r>
      <w:r w:rsidR="00093B36" w:rsidRPr="00273106">
        <w:rPr>
          <w:i/>
        </w:rPr>
        <w:t>intelIectu speculativo quoad habitum principiorum</w:t>
      </w:r>
      <w:r w:rsidR="00093B36" w:rsidRPr="00273106">
        <w:t xml:space="preserve">). </w:t>
      </w:r>
      <w:r w:rsidR="00CA70CA" w:rsidRPr="00273106">
        <w:t xml:space="preserve">Pak je aktualita intelektu dána v něm samotném jako trvalá možnost, která patří k jeho </w:t>
      </w:r>
      <w:r w:rsidR="00CA70CA" w:rsidRPr="00273106">
        <w:lastRenderedPageBreak/>
        <w:t>přirozenosti (</w:t>
      </w:r>
      <w:r w:rsidR="00CA70CA" w:rsidRPr="00273106">
        <w:rPr>
          <w:i/>
        </w:rPr>
        <w:t>connaturalis est nobis</w:t>
      </w:r>
      <w:r w:rsidR="00CA70CA" w:rsidRPr="00273106">
        <w:t xml:space="preserve">). </w:t>
      </w:r>
      <w:r w:rsidR="08B06362">
        <w:t xml:space="preserve">Moderní intelekt </w:t>
      </w:r>
      <w:r w:rsidR="00806CBC">
        <w:t xml:space="preserve">aktualizuje poznání </w:t>
      </w:r>
      <w:r w:rsidR="00093B36" w:rsidRPr="00273106">
        <w:t xml:space="preserve">sám v sobě na základě aktu sebereflexe. </w:t>
      </w:r>
      <w:r w:rsidR="08D4143A">
        <w:t xml:space="preserve">Habituální držení principů poznání v rámci hypostázovaného intelektu jako substance třetího druhu </w:t>
      </w:r>
      <w:r w:rsidR="08D4143A" w:rsidRPr="00273106">
        <w:t xml:space="preserve">definuje </w:t>
      </w:r>
      <w:r w:rsidR="08D4143A">
        <w:t>A</w:t>
      </w:r>
      <w:r w:rsidR="08D4143A" w:rsidRPr="00273106">
        <w:t xml:space="preserve">vicennův </w:t>
      </w:r>
      <w:r w:rsidR="08D4143A">
        <w:t xml:space="preserve">intelekt </w:t>
      </w:r>
      <w:r w:rsidR="08D4143A" w:rsidRPr="00273106">
        <w:t>„létající</w:t>
      </w:r>
      <w:r w:rsidR="08D4143A">
        <w:t>ho</w:t>
      </w:r>
      <w:r w:rsidR="08D4143A" w:rsidRPr="00273106">
        <w:t xml:space="preserve"> muž</w:t>
      </w:r>
      <w:r w:rsidR="08D4143A">
        <w:t>e</w:t>
      </w:r>
      <w:r w:rsidR="08D4143A" w:rsidRPr="00273106">
        <w:t>“</w:t>
      </w:r>
      <w:r w:rsidR="08D4143A">
        <w:t>,</w:t>
      </w:r>
      <w:r w:rsidR="08D4143A" w:rsidRPr="00273106">
        <w:t xml:space="preserve"> karteziánský výkon </w:t>
      </w:r>
      <w:r w:rsidR="08D4143A" w:rsidRPr="00273106">
        <w:rPr>
          <w:i/>
        </w:rPr>
        <w:t>cogito</w:t>
      </w:r>
      <w:r w:rsidR="08D4143A">
        <w:rPr>
          <w:i/>
        </w:rPr>
        <w:fldChar w:fldCharType="begin"/>
      </w:r>
      <w:r w:rsidR="08D4143A">
        <w:instrText xml:space="preserve"> XE "</w:instrText>
      </w:r>
      <w:r w:rsidR="08D4143A" w:rsidRPr="003D2937">
        <w:rPr>
          <w:i/>
        </w:rPr>
        <w:instrText>cogito</w:instrText>
      </w:r>
      <w:r w:rsidR="08D4143A">
        <w:instrText xml:space="preserve">" </w:instrText>
      </w:r>
      <w:r w:rsidR="08D4143A">
        <w:rPr>
          <w:i/>
        </w:rPr>
        <w:fldChar w:fldCharType="end"/>
      </w:r>
      <w:r w:rsidR="08D4143A">
        <w:t xml:space="preserve"> a Kantovy apriorní poznávací formy. </w:t>
      </w:r>
      <w:r w:rsidR="08B94CA2">
        <w:t xml:space="preserve">Zakladatel moderny Rufus poprvé definuje </w:t>
      </w:r>
      <w:r w:rsidR="00A866A1" w:rsidRPr="00273106">
        <w:t xml:space="preserve">schopnost poznání </w:t>
      </w:r>
      <w:r w:rsidR="08B94CA2">
        <w:t>jako trvalou</w:t>
      </w:r>
      <w:r w:rsidR="00A866A1" w:rsidRPr="00273106">
        <w:t xml:space="preserve"> dispozici mysli (</w:t>
      </w:r>
      <w:r w:rsidR="00A866A1" w:rsidRPr="00273106">
        <w:rPr>
          <w:i/>
        </w:rPr>
        <w:t>esse tale</w:t>
      </w:r>
      <w:r w:rsidR="00A866A1" w:rsidRPr="00273106">
        <w:t xml:space="preserve">), </w:t>
      </w:r>
      <w:r w:rsidR="08B94CA2">
        <w:t>kde je mysl jako substance schopná</w:t>
      </w:r>
      <w:r w:rsidR="00A866A1" w:rsidRPr="00273106">
        <w:t xml:space="preserve"> činit závěry </w:t>
      </w:r>
      <w:r w:rsidR="08B94CA2">
        <w:t xml:space="preserve">sama ze sebe </w:t>
      </w:r>
      <w:r w:rsidR="00A866A1" w:rsidRPr="00273106">
        <w:t>(</w:t>
      </w:r>
      <w:r w:rsidR="08B94CA2" w:rsidRPr="003E4899">
        <w:rPr>
          <w:i/>
        </w:rPr>
        <w:t>potentia duplex est, essentialis et accidentalis</w:t>
      </w:r>
      <w:r w:rsidR="08B94CA2">
        <w:t xml:space="preserve">, </w:t>
      </w:r>
      <w:r w:rsidR="082B0C3D">
        <w:t>kap. 3</w:t>
      </w:r>
      <w:r w:rsidR="08D65CCE">
        <w:t xml:space="preserve">.3.1). </w:t>
      </w:r>
      <w:r w:rsidR="088D1AFC">
        <w:t>T</w:t>
      </w:r>
      <w:r w:rsidR="08D65CCE">
        <w:t xml:space="preserve">akto definovaná </w:t>
      </w:r>
      <w:r w:rsidR="00A866A1" w:rsidRPr="00273106">
        <w:t xml:space="preserve">mysl </w:t>
      </w:r>
      <w:r w:rsidR="00305A8A">
        <w:t xml:space="preserve">učených Latiníků </w:t>
      </w:r>
      <w:r w:rsidR="00A866A1" w:rsidRPr="00273106">
        <w:t xml:space="preserve">je nutně </w:t>
      </w:r>
      <w:r w:rsidR="00A866A1" w:rsidRPr="00273106">
        <w:rPr>
          <w:i/>
        </w:rPr>
        <w:t>hoc aliquid</w:t>
      </w:r>
      <w:r w:rsidR="009A43F5">
        <w:rPr>
          <w:i/>
        </w:rPr>
        <w:fldChar w:fldCharType="begin"/>
      </w:r>
      <w:r w:rsidR="009A43F5">
        <w:instrText xml:space="preserve"> XE "</w:instrText>
      </w:r>
      <w:r w:rsidR="009A43F5" w:rsidRPr="006B0AC6">
        <w:rPr>
          <w:rStyle w:val="FontStyle129"/>
          <w:rFonts w:ascii="Calibri" w:hAnsi="Calibri"/>
          <w:i/>
          <w:sz w:val="24"/>
        </w:rPr>
        <w:instrText>hoc aliquid</w:instrText>
      </w:r>
      <w:r w:rsidR="009A43F5" w:rsidRPr="00E670CE">
        <w:rPr>
          <w:rStyle w:val="FontStyle129"/>
          <w:rFonts w:ascii="Calibri" w:hAnsi="Calibri"/>
          <w:sz w:val="24"/>
        </w:rPr>
        <w:instrText>:</w:instrText>
      </w:r>
      <w:r w:rsidR="00E670CE" w:rsidRPr="00E670CE">
        <w:rPr>
          <w:rStyle w:val="FontStyle129"/>
          <w:rFonts w:ascii="Calibri" w:hAnsi="Calibri"/>
          <w:sz w:val="24"/>
        </w:rPr>
        <w:instrText>intelekt</w:instrText>
      </w:r>
      <w:r w:rsidR="009A43F5">
        <w:instrText xml:space="preserve">" </w:instrText>
      </w:r>
      <w:r w:rsidR="009A43F5">
        <w:rPr>
          <w:i/>
        </w:rPr>
        <w:fldChar w:fldCharType="end"/>
      </w:r>
      <w:r w:rsidR="00305A8A">
        <w:t xml:space="preserve">, čili individuální substance </w:t>
      </w:r>
      <w:r w:rsidR="00A866A1" w:rsidRPr="00273106">
        <w:t xml:space="preserve">a </w:t>
      </w:r>
      <w:r w:rsidR="00305A8A">
        <w:t xml:space="preserve">později i </w:t>
      </w:r>
      <w:r w:rsidR="00937BA3">
        <w:t xml:space="preserve">karteziánská </w:t>
      </w:r>
      <w:r w:rsidR="00A866A1" w:rsidRPr="00273106">
        <w:rPr>
          <w:i/>
        </w:rPr>
        <w:t>res cogitans</w:t>
      </w:r>
      <w:r w:rsidR="009A1BD1">
        <w:rPr>
          <w:i/>
        </w:rPr>
        <w:fldChar w:fldCharType="begin"/>
      </w:r>
      <w:r w:rsidR="009A1BD1">
        <w:instrText xml:space="preserve"> XE "</w:instrText>
      </w:r>
      <w:r w:rsidR="009A1BD1" w:rsidRPr="003F49D8">
        <w:rPr>
          <w:i/>
        </w:rPr>
        <w:instrText>res cogitans</w:instrText>
      </w:r>
      <w:r w:rsidR="009A1BD1">
        <w:instrText xml:space="preserve">" </w:instrText>
      </w:r>
      <w:r w:rsidR="009A1BD1">
        <w:rPr>
          <w:i/>
        </w:rPr>
        <w:fldChar w:fldCharType="end"/>
      </w:r>
      <w:r w:rsidR="00A866A1" w:rsidRPr="00273106">
        <w:t xml:space="preserve">. </w:t>
      </w:r>
      <w:r w:rsidR="0808115F" w:rsidRPr="00273106">
        <w:t xml:space="preserve">Toto řešení </w:t>
      </w:r>
      <w:r w:rsidR="0808115F" w:rsidRPr="00273106">
        <w:rPr>
          <w:i/>
        </w:rPr>
        <w:t>Modernorum</w:t>
      </w:r>
      <w:r w:rsidR="0808115F" w:rsidRPr="00273106">
        <w:t xml:space="preserve"> na způsob tehdejších </w:t>
      </w:r>
      <w:r w:rsidR="0808115F">
        <w:t>alexandrovc</w:t>
      </w:r>
      <w:r w:rsidR="0808115F" w:rsidRPr="00273106">
        <w:t>ů</w:t>
      </w:r>
      <w:r w:rsidR="0808115F">
        <w:fldChar w:fldCharType="begin"/>
      </w:r>
      <w:r w:rsidR="0808115F">
        <w:instrText xml:space="preserve"> XE "alexandrovci" </w:instrText>
      </w:r>
      <w:r w:rsidR="0808115F">
        <w:fldChar w:fldCharType="end"/>
      </w:r>
      <w:r w:rsidR="0808115F" w:rsidRPr="00273106">
        <w:t xml:space="preserve"> zásadně odmítl </w:t>
      </w:r>
      <w:r w:rsidR="0808115F">
        <w:t>Averroes</w:t>
      </w:r>
      <w:r w:rsidR="0808115F" w:rsidRPr="00273106">
        <w:t xml:space="preserve">, po něm i Albert a všichni představitelé prvního averroismu. </w:t>
      </w:r>
      <w:r w:rsidR="0852063F">
        <w:t xml:space="preserve">Albert tvrdí, že intelekt </w:t>
      </w:r>
      <w:r w:rsidR="0852063F" w:rsidRPr="00273106">
        <w:t xml:space="preserve">schopen individuálního výkonu </w:t>
      </w:r>
      <w:r w:rsidR="00F04311">
        <w:t xml:space="preserve">jedině </w:t>
      </w:r>
      <w:r w:rsidR="00F04311" w:rsidRPr="00273106">
        <w:t>díky své potenci</w:t>
      </w:r>
      <w:r w:rsidR="00F04311">
        <w:t xml:space="preserve"> a duše tak může poznat vše</w:t>
      </w:r>
      <w:r w:rsidR="000D0E48" w:rsidRPr="00273106">
        <w:t>.</w:t>
      </w:r>
      <w:r w:rsidR="00D84061" w:rsidRPr="00273106">
        <w:t xml:space="preserve"> </w:t>
      </w:r>
      <w:r w:rsidR="00C4562E" w:rsidRPr="00273106">
        <w:t>Pasivní a aktivní složka</w:t>
      </w:r>
      <w:r w:rsidR="00221596" w:rsidRPr="00273106">
        <w:t xml:space="preserve"> intelektu </w:t>
      </w:r>
      <w:r w:rsidR="00CC18AD">
        <w:t xml:space="preserve">je definována </w:t>
      </w:r>
      <w:r w:rsidR="00221596" w:rsidRPr="00273106">
        <w:t xml:space="preserve">vzhledem k </w:t>
      </w:r>
      <w:r w:rsidR="002E3B62">
        <w:t>Averroes</w:t>
      </w:r>
      <w:r w:rsidR="00221596" w:rsidRPr="00273106">
        <w:t xml:space="preserve">ově teorii vidění skrze diafanum, a tím je zásadně rozlišena </w:t>
      </w:r>
      <w:r w:rsidR="00DF4FA4" w:rsidRPr="00273106">
        <w:t xml:space="preserve">dvojí </w:t>
      </w:r>
      <w:r w:rsidR="00221596" w:rsidRPr="00273106">
        <w:t>aktivita</w:t>
      </w:r>
      <w:r w:rsidR="00221596" w:rsidRPr="00273106">
        <w:rPr>
          <w:i/>
        </w:rPr>
        <w:t xml:space="preserve"> </w:t>
      </w:r>
      <w:r w:rsidR="00221596" w:rsidRPr="00273106">
        <w:t>(</w:t>
      </w:r>
      <w:r w:rsidR="00337E93" w:rsidRPr="00273106">
        <w:rPr>
          <w:i/>
        </w:rPr>
        <w:t>De homine</w:t>
      </w:r>
      <w:r w:rsidR="00337E93" w:rsidRPr="00273106">
        <w:t xml:space="preserve">, </w:t>
      </w:r>
      <w:r w:rsidR="00337E93" w:rsidRPr="00273106">
        <w:rPr>
          <w:rStyle w:val="TextpoznpodarouChar"/>
        </w:rPr>
        <w:t>q. 55</w:t>
      </w:r>
      <w:r w:rsidR="007417D2" w:rsidRPr="00273106">
        <w:t>,</w:t>
      </w:r>
      <w:r w:rsidR="00250964" w:rsidRPr="00273106">
        <w:t xml:space="preserve"> s.c</w:t>
      </w:r>
      <w:r w:rsidR="00952D21" w:rsidRPr="00273106">
        <w:t>.</w:t>
      </w:r>
      <w:r w:rsidR="00250964" w:rsidRPr="00273106">
        <w:t>, ad 2</w:t>
      </w:r>
      <w:r w:rsidR="00FE7D51" w:rsidRPr="00273106">
        <w:t xml:space="preserve">; </w:t>
      </w:r>
      <w:r w:rsidR="00221596" w:rsidRPr="00273106">
        <w:t>p. 475</w:t>
      </w:r>
      <w:r w:rsidR="001F6970" w:rsidRPr="00273106">
        <w:t>b</w:t>
      </w:r>
      <w:r w:rsidR="00E670CE">
        <w:fldChar w:fldCharType="begin"/>
      </w:r>
      <w:r w:rsidR="00E670CE">
        <w:instrText xml:space="preserve"> XE "Albert:</w:instrText>
      </w:r>
      <w:r w:rsidR="00E670CE" w:rsidRPr="00A7106E">
        <w:rPr>
          <w:i/>
        </w:rPr>
        <w:instrText>De homine</w:instrText>
      </w:r>
      <w:r w:rsidR="00E670CE">
        <w:rPr>
          <w:i/>
        </w:rPr>
        <w:instrText xml:space="preserve"> </w:instrText>
      </w:r>
      <w:r w:rsidR="00E670CE">
        <w:instrText>475</w:instrText>
      </w:r>
      <w:r w:rsidR="00E670CE" w:rsidRPr="00A7106E">
        <w:instrText>b</w:instrText>
      </w:r>
      <w:r w:rsidR="00E670CE">
        <w:instrText xml:space="preserve">" </w:instrText>
      </w:r>
      <w:r w:rsidR="00E670CE">
        <w:fldChar w:fldCharType="end"/>
      </w:r>
      <w:r w:rsidR="00221596" w:rsidRPr="00273106">
        <w:t xml:space="preserve">).  </w:t>
      </w:r>
      <w:r w:rsidR="006B6419" w:rsidRPr="00273106">
        <w:t>S</w:t>
      </w:r>
      <w:r w:rsidR="00221596" w:rsidRPr="00273106">
        <w:t>větlo aktivuje skrze neviditelné diafanum</w:t>
      </w:r>
      <w:r w:rsidR="00E670CE">
        <w:fldChar w:fldCharType="begin"/>
      </w:r>
      <w:r w:rsidR="00E670CE">
        <w:instrText xml:space="preserve"> XE "</w:instrText>
      </w:r>
      <w:r w:rsidR="00E670CE" w:rsidRPr="00BC74BC">
        <w:instrText>diafanum:Albert</w:instrText>
      </w:r>
      <w:r w:rsidR="00E670CE">
        <w:instrText xml:space="preserve">" </w:instrText>
      </w:r>
      <w:r w:rsidR="00E670CE">
        <w:fldChar w:fldCharType="end"/>
      </w:r>
      <w:r w:rsidR="00221596" w:rsidRPr="00273106">
        <w:t xml:space="preserve"> barvy, které jsme schopni vidět. Poznávací vztah existuje mezi barvou a potenciální schopností oka vidět, která je </w:t>
      </w:r>
      <w:r w:rsidR="00DD69C4" w:rsidRPr="00273106">
        <w:t xml:space="preserve">aktivována </w:t>
      </w:r>
      <w:r w:rsidR="00221596" w:rsidRPr="00273106">
        <w:t>nasvícenou plochou. Vztah m</w:t>
      </w:r>
      <w:r w:rsidR="08E12B24">
        <w:t>ezi intelektem a poznávanou věcí</w:t>
      </w:r>
      <w:r w:rsidR="00221596" w:rsidRPr="00273106">
        <w:t xml:space="preserve"> je podobný. </w:t>
      </w:r>
      <w:r w:rsidR="08BA5DA9">
        <w:t xml:space="preserve">Poznání </w:t>
      </w:r>
      <w:r w:rsidR="00221596" w:rsidRPr="00273106">
        <w:t xml:space="preserve">jde od věcí, je přijato </w:t>
      </w:r>
      <w:r w:rsidR="00F23547">
        <w:t xml:space="preserve">skrze intenci do smyslových </w:t>
      </w:r>
      <w:r w:rsidR="002E30FF" w:rsidRPr="002E30FF">
        <w:t>species</w:t>
      </w:r>
      <w:r w:rsidR="00F23547">
        <w:t>. S</w:t>
      </w:r>
      <w:r w:rsidR="00221596" w:rsidRPr="00273106">
        <w:t>krze fantasmata</w:t>
      </w:r>
      <w:r w:rsidR="00F23547">
        <w:t xml:space="preserve"> je </w:t>
      </w:r>
      <w:r w:rsidR="00221596" w:rsidRPr="00273106">
        <w:t xml:space="preserve">pak aktivována nemateriální receptivní složka </w:t>
      </w:r>
      <w:r w:rsidR="00221596" w:rsidRPr="00273106">
        <w:rPr>
          <w:i/>
        </w:rPr>
        <w:t>intellectus possibilis</w:t>
      </w:r>
      <w:r w:rsidR="00221596" w:rsidRPr="00273106">
        <w:t xml:space="preserve">, která je aktualizovaná </w:t>
      </w:r>
      <w:r w:rsidR="00E45122">
        <w:t xml:space="preserve">jako </w:t>
      </w:r>
      <w:r w:rsidR="004B4D52" w:rsidRPr="004B4D52">
        <w:rPr>
          <w:szCs w:val="24"/>
        </w:rPr>
        <w:t>species</w:t>
      </w:r>
      <w:r w:rsidR="00E45122" w:rsidRPr="00792436">
        <w:rPr>
          <w:i/>
          <w:szCs w:val="24"/>
        </w:rPr>
        <w:t xml:space="preserve"> </w:t>
      </w:r>
      <w:r w:rsidR="00E45122">
        <w:rPr>
          <w:i/>
          <w:szCs w:val="24"/>
        </w:rPr>
        <w:t xml:space="preserve">intelligibilis </w:t>
      </w:r>
      <w:r w:rsidR="00221596" w:rsidRPr="00273106">
        <w:t xml:space="preserve">skrze </w:t>
      </w:r>
      <w:r w:rsidR="00E929C6">
        <w:t xml:space="preserve">personalizovaný </w:t>
      </w:r>
      <w:r w:rsidR="00221596" w:rsidRPr="00273106">
        <w:rPr>
          <w:i/>
        </w:rPr>
        <w:t>intellectus agens</w:t>
      </w:r>
      <w:r w:rsidR="00221596" w:rsidRPr="00273106">
        <w:t xml:space="preserve">. Tento postup determinuje </w:t>
      </w:r>
      <w:r w:rsidR="08D336E8">
        <w:t xml:space="preserve">ve spise </w:t>
      </w:r>
      <w:r w:rsidR="08D336E8" w:rsidRPr="08D336E8">
        <w:rPr>
          <w:i/>
        </w:rPr>
        <w:t>De homine</w:t>
      </w:r>
      <w:r w:rsidR="08D336E8">
        <w:t xml:space="preserve"> </w:t>
      </w:r>
      <w:r w:rsidR="00221596" w:rsidRPr="00273106">
        <w:t>poznání od první substance, která jediná je plně v aktualitě a determinuje následné akcidentální poznání obou složek intelektu (</w:t>
      </w:r>
      <w:r w:rsidR="00221596" w:rsidRPr="00273106">
        <w:rPr>
          <w:i/>
        </w:rPr>
        <w:t>ita actio intellectus agentis non est nisi in possibili</w:t>
      </w:r>
      <w:r w:rsidR="00023BBD" w:rsidRPr="00273106">
        <w:t xml:space="preserve">; </w:t>
      </w:r>
      <w:r w:rsidR="080151B7">
        <w:t xml:space="preserve">ibid, </w:t>
      </w:r>
      <w:r w:rsidR="00023BBD" w:rsidRPr="00273106">
        <w:rPr>
          <w:rStyle w:val="TextpoznpodarouChar"/>
        </w:rPr>
        <w:t xml:space="preserve">q. 55, </w:t>
      </w:r>
      <w:r w:rsidR="00023BBD" w:rsidRPr="00D05850">
        <w:rPr>
          <w:rStyle w:val="TextpoznpodarouChar"/>
          <w:i/>
        </w:rPr>
        <w:t>solutio</w:t>
      </w:r>
      <w:r w:rsidR="00F22233" w:rsidRPr="00273106">
        <w:rPr>
          <w:rStyle w:val="TextpoznpodarouChar"/>
        </w:rPr>
        <w:t>;</w:t>
      </w:r>
      <w:r w:rsidR="00221596" w:rsidRPr="00273106">
        <w:t xml:space="preserve"> p. 476</w:t>
      </w:r>
      <w:r w:rsidR="001F6970" w:rsidRPr="00273106">
        <w:t>a</w:t>
      </w:r>
      <w:r w:rsidR="00E670CE">
        <w:fldChar w:fldCharType="begin"/>
      </w:r>
      <w:r w:rsidR="00E670CE">
        <w:instrText xml:space="preserve"> XE "Albert:</w:instrText>
      </w:r>
      <w:r w:rsidR="00E670CE" w:rsidRPr="00A7106E">
        <w:rPr>
          <w:i/>
        </w:rPr>
        <w:instrText>De homine</w:instrText>
      </w:r>
      <w:r w:rsidR="00E670CE">
        <w:rPr>
          <w:i/>
        </w:rPr>
        <w:instrText xml:space="preserve"> </w:instrText>
      </w:r>
      <w:r w:rsidR="00E670CE">
        <w:instrText xml:space="preserve">476a" </w:instrText>
      </w:r>
      <w:r w:rsidR="00E670CE">
        <w:fldChar w:fldCharType="end"/>
      </w:r>
      <w:r w:rsidR="00221596" w:rsidRPr="00273106">
        <w:t xml:space="preserve">). </w:t>
      </w:r>
      <w:r w:rsidR="004A13C5">
        <w:t xml:space="preserve"> N</w:t>
      </w:r>
      <w:r w:rsidR="00221596" w:rsidRPr="00273106">
        <w:t xml:space="preserve">ásledující otázka po možném intelektu </w:t>
      </w:r>
      <w:r w:rsidR="084E4652">
        <w:t xml:space="preserve">odliší jeho </w:t>
      </w:r>
      <w:r w:rsidR="08E83878">
        <w:t xml:space="preserve">výkon od </w:t>
      </w:r>
      <w:r w:rsidR="08996292">
        <w:t>abst</w:t>
      </w:r>
      <w:r w:rsidR="084E4652">
        <w:t>rahovan</w:t>
      </w:r>
      <w:r w:rsidR="08E83878">
        <w:t>é</w:t>
      </w:r>
      <w:r w:rsidR="084E4652">
        <w:t xml:space="preserve"> form</w:t>
      </w:r>
      <w:r w:rsidR="08E83878">
        <w:t>y</w:t>
      </w:r>
      <w:r w:rsidR="00064CEE">
        <w:t>.</w:t>
      </w:r>
    </w:p>
    <w:p w14:paraId="346C737E" w14:textId="0BE5A8BF" w:rsidR="004D10C0" w:rsidRPr="00B12B47" w:rsidRDefault="00221596" w:rsidP="00B12B47">
      <w:pPr>
        <w:pStyle w:val="Citace"/>
        <w:rPr>
          <w:rStyle w:val="Znakapoznpodarou"/>
        </w:rPr>
      </w:pPr>
      <w:r w:rsidRPr="00B12B47">
        <w:rPr>
          <w:rStyle w:val="Zkladntextdkovn0pt"/>
          <w:rFonts w:ascii="Calibri" w:eastAsia="Times" w:hAnsi="Calibri" w:cs="Times New Roman"/>
          <w:spacing w:val="0"/>
          <w:sz w:val="22"/>
          <w:u w:val="none"/>
          <w:lang w:val="x-none"/>
        </w:rPr>
        <w:t>„</w:t>
      </w:r>
      <w:r w:rsidR="002E3B62">
        <w:rPr>
          <w:rStyle w:val="Zkladntextdkovn0pt"/>
          <w:rFonts w:ascii="Calibri" w:eastAsia="Times" w:hAnsi="Calibri" w:cs="Times New Roman"/>
          <w:spacing w:val="0"/>
          <w:sz w:val="22"/>
          <w:u w:val="none"/>
          <w:lang w:val="x-none"/>
        </w:rPr>
        <w:t>Averroes</w:t>
      </w:r>
      <w:r w:rsidR="004D10C0" w:rsidRPr="00B12B47">
        <w:rPr>
          <w:rStyle w:val="Zkladntextdkovn0pt"/>
          <w:rFonts w:ascii="Calibri" w:eastAsia="Times" w:hAnsi="Calibri" w:cs="Times New Roman"/>
          <w:spacing w:val="0"/>
          <w:sz w:val="22"/>
          <w:u w:val="none"/>
          <w:lang w:val="x-none"/>
        </w:rPr>
        <w:t xml:space="preserve"> říká ve třetí knize komentáře </w:t>
      </w:r>
      <w:r w:rsidR="00B713C5" w:rsidRPr="00B12B47">
        <w:rPr>
          <w:rStyle w:val="Zkladntextdkovn0pt"/>
          <w:rFonts w:ascii="Calibri" w:eastAsia="Times" w:hAnsi="Calibri" w:cs="Times New Roman"/>
          <w:i/>
          <w:spacing w:val="0"/>
          <w:sz w:val="22"/>
          <w:u w:val="none"/>
          <w:lang w:val="x-none"/>
        </w:rPr>
        <w:t>De anima</w:t>
      </w:r>
      <w:r w:rsidR="004D10C0" w:rsidRPr="00B12B47">
        <w:rPr>
          <w:rStyle w:val="Zkladntextdkovn0pt"/>
          <w:rFonts w:ascii="Calibri" w:eastAsia="Times" w:hAnsi="Calibri" w:cs="Times New Roman"/>
          <w:spacing w:val="0"/>
          <w:sz w:val="22"/>
          <w:u w:val="none"/>
          <w:lang w:val="x-none"/>
        </w:rPr>
        <w:t xml:space="preserve">, že možný intelekt je neporušitelný podle své substance, ale porušitelný podle </w:t>
      </w:r>
      <w:r w:rsidR="002E30FF" w:rsidRPr="002E30FF">
        <w:rPr>
          <w:rStyle w:val="Zkladntextdkovn0pt"/>
          <w:rFonts w:ascii="Calibri" w:eastAsia="Times" w:hAnsi="Calibri" w:cs="Times New Roman"/>
          <w:spacing w:val="0"/>
          <w:sz w:val="22"/>
          <w:u w:val="none"/>
          <w:lang w:val="x-none"/>
        </w:rPr>
        <w:t>species</w:t>
      </w:r>
      <w:r w:rsidR="004D10C0" w:rsidRPr="00B12B47">
        <w:rPr>
          <w:rStyle w:val="Zkladntextdkovn0pt"/>
          <w:rFonts w:ascii="Calibri" w:eastAsia="Times" w:hAnsi="Calibri" w:cs="Times New Roman"/>
          <w:spacing w:val="0"/>
          <w:sz w:val="22"/>
          <w:u w:val="none"/>
          <w:lang w:val="x-none"/>
        </w:rPr>
        <w:t xml:space="preserve">, která se v něm nacházejí. </w:t>
      </w:r>
      <w:r w:rsidR="00FE1C58" w:rsidRPr="00B12B47">
        <w:rPr>
          <w:rStyle w:val="Zkladntextdkovn0pt"/>
          <w:rFonts w:ascii="Calibri" w:eastAsia="Times" w:hAnsi="Calibri" w:cs="Times New Roman"/>
          <w:spacing w:val="0"/>
          <w:sz w:val="22"/>
          <w:u w:val="none"/>
          <w:lang w:val="x-none"/>
        </w:rPr>
        <w:t>Podobně i h</w:t>
      </w:r>
      <w:r w:rsidR="004D10C0" w:rsidRPr="00B12B47">
        <w:rPr>
          <w:rStyle w:val="Zkladntextdkovn0pt"/>
          <w:rFonts w:ascii="Calibri" w:eastAsia="Times" w:hAnsi="Calibri" w:cs="Times New Roman"/>
          <w:spacing w:val="0"/>
          <w:sz w:val="22"/>
          <w:u w:val="none"/>
          <w:lang w:val="x-none"/>
        </w:rPr>
        <w:t>udebník má sníženou muzikální schopnost, když přestane hrát, ale jeho lidství zůstává neporušeno.</w:t>
      </w:r>
      <w:r w:rsidRPr="00B12B47">
        <w:rPr>
          <w:rStyle w:val="Zkladntextdkovn0pt"/>
          <w:rFonts w:ascii="Calibri" w:eastAsia="Times" w:hAnsi="Calibri" w:cs="Times New Roman"/>
          <w:spacing w:val="0"/>
          <w:sz w:val="22"/>
          <w:u w:val="none"/>
          <w:lang w:val="x-none"/>
        </w:rPr>
        <w:t xml:space="preserve">“ </w:t>
      </w:r>
      <w:r w:rsidR="004D10C0" w:rsidRPr="00B12B47">
        <w:rPr>
          <w:rStyle w:val="Znakapoznpodarou"/>
        </w:rPr>
        <w:footnoteReference w:id="240"/>
      </w:r>
    </w:p>
    <w:p w14:paraId="3F978469" w14:textId="721C3D9B" w:rsidR="005F6AAD" w:rsidRPr="00273106" w:rsidRDefault="00B37455" w:rsidP="00682A8B">
      <w:r w:rsidRPr="00B37455">
        <w:lastRenderedPageBreak/>
        <w:t>Citát rozlišuje nehmotnou část intelektu jako druhou substanci (</w:t>
      </w:r>
      <w:r w:rsidRPr="00B37455">
        <w:rPr>
          <w:i/>
        </w:rPr>
        <w:t>incorruptibilis secundum suam substantiam</w:t>
      </w:r>
      <w:r w:rsidRPr="00B37455">
        <w:t xml:space="preserve">) a osobní schopnost recepce nehmotných </w:t>
      </w:r>
      <w:r w:rsidR="00AA1EA3">
        <w:t xml:space="preserve">species. Tato recept je dána v </w:t>
      </w:r>
      <w:r w:rsidRPr="00B37455">
        <w:t>rámci abstrakce</w:t>
      </w:r>
      <w:r w:rsidR="00AA1EA3">
        <w:t xml:space="preserve">, kterou provádí vtělený </w:t>
      </w:r>
      <w:r w:rsidRPr="00B37455">
        <w:t>intelekt.</w:t>
      </w:r>
      <w:r>
        <w:t xml:space="preserve"> </w:t>
      </w:r>
      <w:r w:rsidR="004B6E3D" w:rsidRPr="00273106">
        <w:t xml:space="preserve">Hudebník může přestat hrát, protože to je v jeho moci. Ale tím pouze </w:t>
      </w:r>
      <w:r w:rsidR="00904E8A">
        <w:t xml:space="preserve">omezí </w:t>
      </w:r>
      <w:r w:rsidR="004B6E3D" w:rsidRPr="00273106">
        <w:t xml:space="preserve">svou </w:t>
      </w:r>
      <w:r w:rsidR="084342E7">
        <w:t xml:space="preserve">akcidentální </w:t>
      </w:r>
      <w:r w:rsidR="004B6E3D" w:rsidRPr="00273106">
        <w:t xml:space="preserve">schopnost produkce hudby, nikoliv svou </w:t>
      </w:r>
      <w:r w:rsidR="084342E7">
        <w:t xml:space="preserve">existující </w:t>
      </w:r>
      <w:r w:rsidR="004B6E3D" w:rsidRPr="00273106">
        <w:t>substanci. Osoba jako substance</w:t>
      </w:r>
      <w:r w:rsidR="00A70FA4">
        <w:fldChar w:fldCharType="begin"/>
      </w:r>
      <w:r w:rsidR="00A70FA4">
        <w:instrText xml:space="preserve"> XE "</w:instrText>
      </w:r>
      <w:r w:rsidR="00A60F8B">
        <w:instrText>osoba:hylemorfická jednota</w:instrText>
      </w:r>
      <w:r w:rsidR="00A70FA4">
        <w:instrText xml:space="preserve">" </w:instrText>
      </w:r>
      <w:r w:rsidR="00A70FA4">
        <w:fldChar w:fldCharType="end"/>
      </w:r>
      <w:r w:rsidR="004B6E3D" w:rsidRPr="00273106">
        <w:t xml:space="preserve"> tuto schopnost nese, ať ji daný hudebník </w:t>
      </w:r>
      <w:r w:rsidR="08234D9F">
        <w:t xml:space="preserve">aktuálně </w:t>
      </w:r>
      <w:r w:rsidR="004B6E3D" w:rsidRPr="00273106">
        <w:t xml:space="preserve">používá nebo nikoliv. </w:t>
      </w:r>
      <w:r w:rsidR="00E43C93" w:rsidRPr="00E43C93">
        <w:t>Opět se objevuje známé dělení v CMDA na intelekt jako abstraktní pojem (</w:t>
      </w:r>
      <w:r w:rsidR="00E43C93" w:rsidRPr="00E43C93">
        <w:rPr>
          <w:i/>
        </w:rPr>
        <w:t>quartum genus</w:t>
      </w:r>
      <w:r w:rsidR="00E43C93" w:rsidRPr="00E43C93">
        <w:t xml:space="preserve">) a proměnlivé poznání </w:t>
      </w:r>
      <w:r w:rsidR="00E43C93">
        <w:t xml:space="preserve">v rámci </w:t>
      </w:r>
      <w:r w:rsidR="00E43C93" w:rsidRPr="00E43C93">
        <w:t>tělesného subjektu (</w:t>
      </w:r>
      <w:r w:rsidR="00E43C93" w:rsidRPr="00E43C93">
        <w:rPr>
          <w:i/>
        </w:rPr>
        <w:t>tertium genus</w:t>
      </w:r>
      <w:r w:rsidR="00E43C93" w:rsidRPr="00E43C93">
        <w:t>).</w:t>
      </w:r>
      <w:r w:rsidR="00E43C93">
        <w:t xml:space="preserve"> </w:t>
      </w:r>
      <w:r w:rsidR="00221596" w:rsidRPr="00273106">
        <w:t>Rozdělení se opět týká dvojí</w:t>
      </w:r>
      <w:r w:rsidR="00E43C93">
        <w:t xml:space="preserve"> povahy </w:t>
      </w:r>
      <w:r w:rsidR="00221596"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F518C2" w:rsidRPr="00F518C2">
        <w:instrText>:Albert</w:instrText>
      </w:r>
      <w:r w:rsidR="009D323B">
        <w:instrText xml:space="preserve">" </w:instrText>
      </w:r>
      <w:r w:rsidR="009D323B">
        <w:rPr>
          <w:i/>
        </w:rPr>
        <w:fldChar w:fldCharType="end"/>
      </w:r>
      <w:r w:rsidR="00221596" w:rsidRPr="00273106">
        <w:t xml:space="preserve">. Buď je pojednán z hlediska formálního výkonu, tj. </w:t>
      </w:r>
      <w:r w:rsidR="08107108">
        <w:t xml:space="preserve">z </w:t>
      </w:r>
      <w:r w:rsidR="08757E00">
        <w:t xml:space="preserve">neporušitelné </w:t>
      </w:r>
      <w:r w:rsidR="00221596" w:rsidRPr="00273106">
        <w:t xml:space="preserve">esenciality receptivní složky jako takové, nebo z hlediska jeho </w:t>
      </w:r>
      <w:r w:rsidR="08757E00">
        <w:t xml:space="preserve">porušitelného </w:t>
      </w:r>
      <w:r w:rsidR="00221596" w:rsidRPr="00273106">
        <w:rPr>
          <w:i/>
        </w:rPr>
        <w:t>operatio</w:t>
      </w:r>
      <w:r w:rsidR="083857E4">
        <w:t xml:space="preserve"> daného v existující osobě. </w:t>
      </w:r>
      <w:r w:rsidR="08EF196B">
        <w:t>Albert v modu CMDA vidí receptivní intelekt jako pojem (</w:t>
      </w:r>
      <w:r w:rsidR="08EF196B" w:rsidRPr="00EF6CC8">
        <w:rPr>
          <w:i/>
        </w:rPr>
        <w:t xml:space="preserve">quartum </w:t>
      </w:r>
      <w:r w:rsidR="00B1298A">
        <w:rPr>
          <w:i/>
        </w:rPr>
        <w:t>genus</w:t>
      </w:r>
      <w:r w:rsidR="08EF196B">
        <w:t>) abstrahovaný z výkonu myšlení osoby (</w:t>
      </w:r>
      <w:r w:rsidR="08EF196B" w:rsidRPr="08EF196B">
        <w:rPr>
          <w:i/>
        </w:rPr>
        <w:t xml:space="preserve">tertium </w:t>
      </w:r>
      <w:r w:rsidR="00B1298A">
        <w:rPr>
          <w:i/>
        </w:rPr>
        <w:t>genus</w:t>
      </w:r>
      <w:r w:rsidR="08EF196B">
        <w:t>).</w:t>
      </w:r>
    </w:p>
    <w:p w14:paraId="32BF8F9B" w14:textId="11568DB1" w:rsidR="005F6AAD" w:rsidRPr="00E939BB" w:rsidRDefault="005F6AAD" w:rsidP="00E939BB">
      <w:pPr>
        <w:pStyle w:val="Citace"/>
      </w:pPr>
      <w:r w:rsidRPr="00E939BB">
        <w:rPr>
          <w:rStyle w:val="Zkladntextdkovn0pt"/>
          <w:rFonts w:ascii="Calibri" w:eastAsia="Times" w:hAnsi="Calibri" w:cs="Times New Roman"/>
          <w:spacing w:val="0"/>
          <w:sz w:val="22"/>
          <w:u w:val="none"/>
          <w:lang w:val="x-none"/>
        </w:rPr>
        <w:t>„Možný intelekt je neporušitelný podle substance a potence, ale je porušitelný s</w:t>
      </w:r>
      <w:r w:rsidR="00AC4548">
        <w:rPr>
          <w:rStyle w:val="Zkladntextdkovn0pt"/>
          <w:rFonts w:ascii="Calibri" w:eastAsia="Times" w:hAnsi="Calibri" w:cs="Times New Roman"/>
          <w:spacing w:val="0"/>
          <w:sz w:val="22"/>
          <w:u w:val="none"/>
          <w:lang w:val="x-none"/>
        </w:rPr>
        <w:t>krze svůj výkon, tedy sk</w:t>
      </w:r>
      <w:r w:rsidR="00AC4548">
        <w:rPr>
          <w:rStyle w:val="Zkladntextdkovn0pt"/>
          <w:rFonts w:ascii="Calibri" w:eastAsia="Times" w:hAnsi="Calibri" w:cs="Times New Roman"/>
          <w:spacing w:val="0"/>
          <w:sz w:val="22"/>
          <w:u w:val="none"/>
          <w:lang w:val="cs-CZ"/>
        </w:rPr>
        <w:t xml:space="preserve">rze sobě vlastní aktualitu </w:t>
      </w:r>
      <w:r w:rsidR="000543F5">
        <w:rPr>
          <w:rStyle w:val="Zkladntextdkovn0pt"/>
          <w:rFonts w:ascii="Calibri" w:eastAsia="Times" w:hAnsi="Calibri" w:cs="Times New Roman"/>
          <w:spacing w:val="0"/>
          <w:sz w:val="22"/>
          <w:u w:val="none"/>
          <w:lang w:val="cs-CZ"/>
        </w:rPr>
        <w:t>(</w:t>
      </w:r>
      <w:r w:rsidR="000543F5" w:rsidRPr="000543F5">
        <w:rPr>
          <w:rStyle w:val="Zkladntextdkovn0pt"/>
          <w:rFonts w:ascii="Calibri" w:eastAsia="Times" w:hAnsi="Calibri" w:cs="Times New Roman"/>
          <w:i/>
          <w:spacing w:val="0"/>
          <w:sz w:val="22"/>
          <w:u w:val="none"/>
          <w:lang w:val="x-none"/>
        </w:rPr>
        <w:t>per actum qui est in ipso</w:t>
      </w:r>
      <w:r w:rsidR="000543F5">
        <w:rPr>
          <w:rStyle w:val="Zkladntextdkovn0pt"/>
          <w:rFonts w:ascii="Calibri" w:eastAsia="Times" w:hAnsi="Calibri" w:cs="Times New Roman"/>
          <w:spacing w:val="0"/>
          <w:sz w:val="22"/>
          <w:u w:val="none"/>
          <w:lang w:val="cs-CZ"/>
        </w:rPr>
        <w:t>)</w:t>
      </w:r>
      <w:r w:rsidRPr="00E939BB">
        <w:rPr>
          <w:rStyle w:val="Zkladntextdkovn0pt"/>
          <w:rFonts w:ascii="Calibri" w:eastAsia="Times" w:hAnsi="Calibri" w:cs="Times New Roman"/>
          <w:spacing w:val="0"/>
          <w:sz w:val="22"/>
          <w:u w:val="none"/>
          <w:lang w:val="x-none"/>
        </w:rPr>
        <w:t xml:space="preserve">. A tato porušitelnost </w:t>
      </w:r>
      <w:r w:rsidR="00AC4548">
        <w:rPr>
          <w:rStyle w:val="Zkladntextdkovn0pt"/>
          <w:rFonts w:ascii="Calibri" w:eastAsia="Times" w:hAnsi="Calibri" w:cs="Times New Roman"/>
          <w:spacing w:val="0"/>
          <w:sz w:val="22"/>
          <w:u w:val="none"/>
          <w:lang w:val="cs-CZ"/>
        </w:rPr>
        <w:t xml:space="preserve">způsobuje </w:t>
      </w:r>
      <w:r w:rsidRPr="00E939BB">
        <w:rPr>
          <w:rStyle w:val="Zkladntextdkovn0pt"/>
          <w:rFonts w:ascii="Calibri" w:eastAsia="Times" w:hAnsi="Calibri" w:cs="Times New Roman"/>
          <w:spacing w:val="0"/>
          <w:sz w:val="22"/>
          <w:u w:val="none"/>
          <w:lang w:val="x-none"/>
        </w:rPr>
        <w:t>zapomenutí obsah</w:t>
      </w:r>
      <w:r w:rsidR="00AC4548">
        <w:rPr>
          <w:rStyle w:val="Zkladntextdkovn0pt"/>
          <w:rFonts w:ascii="Calibri" w:eastAsia="Times" w:hAnsi="Calibri" w:cs="Times New Roman"/>
          <w:spacing w:val="0"/>
          <w:sz w:val="22"/>
          <w:u w:val="none"/>
          <w:lang w:val="x-none"/>
        </w:rPr>
        <w:t xml:space="preserve">ů porozumění. Tak </w:t>
      </w:r>
      <w:r w:rsidR="00331CC0">
        <w:rPr>
          <w:rStyle w:val="Zkladntextdkovn0pt"/>
          <w:rFonts w:ascii="Calibri" w:eastAsia="Times" w:hAnsi="Calibri" w:cs="Times New Roman"/>
          <w:spacing w:val="0"/>
          <w:sz w:val="22"/>
          <w:u w:val="none"/>
          <w:lang w:val="cs-CZ"/>
        </w:rPr>
        <w:t xml:space="preserve">je třeba </w:t>
      </w:r>
      <w:r w:rsidR="00AC4548">
        <w:rPr>
          <w:rStyle w:val="Zkladntextdkovn0pt"/>
          <w:rFonts w:ascii="Calibri" w:eastAsia="Times" w:hAnsi="Calibri" w:cs="Times New Roman"/>
          <w:spacing w:val="0"/>
          <w:sz w:val="22"/>
          <w:u w:val="none"/>
          <w:lang w:val="x-none"/>
        </w:rPr>
        <w:t>cháp</w:t>
      </w:r>
      <w:r w:rsidR="00331CC0">
        <w:rPr>
          <w:rStyle w:val="Zkladntextdkovn0pt"/>
          <w:rFonts w:ascii="Calibri" w:eastAsia="Times" w:hAnsi="Calibri" w:cs="Times New Roman"/>
          <w:spacing w:val="0"/>
          <w:sz w:val="22"/>
          <w:u w:val="none"/>
          <w:lang w:val="cs-CZ"/>
        </w:rPr>
        <w:t xml:space="preserve">at </w:t>
      </w:r>
      <w:r w:rsidR="00AC4548">
        <w:rPr>
          <w:rStyle w:val="Zkladntextdkovn0pt"/>
          <w:rFonts w:ascii="Calibri" w:eastAsia="Times" w:hAnsi="Calibri" w:cs="Times New Roman"/>
          <w:spacing w:val="0"/>
          <w:sz w:val="22"/>
          <w:u w:val="none"/>
          <w:lang w:val="cs-CZ"/>
        </w:rPr>
        <w:t>Aristotelův výrok</w:t>
      </w:r>
      <w:r w:rsidRPr="00E939BB">
        <w:rPr>
          <w:rStyle w:val="Zkladntextdkovn0pt"/>
          <w:rFonts w:ascii="Calibri" w:eastAsia="Times" w:hAnsi="Calibri" w:cs="Times New Roman"/>
          <w:spacing w:val="0"/>
          <w:sz w:val="22"/>
          <w:u w:val="none"/>
          <w:lang w:val="x-none"/>
        </w:rPr>
        <w:t xml:space="preserve">.“ </w:t>
      </w:r>
      <w:r w:rsidRPr="00E939BB">
        <w:rPr>
          <w:rStyle w:val="Znakapoznpodarou"/>
        </w:rPr>
        <w:footnoteReference w:id="241"/>
      </w:r>
    </w:p>
    <w:p w14:paraId="79F4F084" w14:textId="17455E0A" w:rsidR="00682A8B" w:rsidRPr="00273106" w:rsidRDefault="08042A29" w:rsidP="00682A8B">
      <w:r>
        <w:t xml:space="preserve">První pohled </w:t>
      </w:r>
      <w:r w:rsidR="00EF6CC8">
        <w:t xml:space="preserve">chápe </w:t>
      </w:r>
      <w:r>
        <w:t>intelig</w:t>
      </w:r>
      <w:r w:rsidR="08EF196B">
        <w:t>ibilní duši z hlediska neporuši</w:t>
      </w:r>
      <w:r>
        <w:t xml:space="preserve">telnosti a tím i nemateriality. </w:t>
      </w:r>
      <w:r w:rsidR="00682A8B" w:rsidRPr="00273106">
        <w:t xml:space="preserve">Albert </w:t>
      </w:r>
      <w:r w:rsidR="08C612F6">
        <w:t xml:space="preserve">přesně zná Komentátorův výklad </w:t>
      </w:r>
      <w:r w:rsidR="00682A8B" w:rsidRPr="00273106">
        <w:t xml:space="preserve">v klíčové části CMDA III.5 </w:t>
      </w:r>
      <w:r w:rsidR="08C612F6">
        <w:t xml:space="preserve">a </w:t>
      </w:r>
      <w:r w:rsidR="00682A8B" w:rsidRPr="00273106">
        <w:t xml:space="preserve">odmítá status materiálního intelektu vázaného jen na smysly. </w:t>
      </w:r>
      <w:r w:rsidR="006D251F">
        <w:t xml:space="preserve">Receptivní složka intelektu je nemateriální a stejně tak i její výkon. </w:t>
      </w:r>
      <w:r w:rsidR="081729FB">
        <w:t>Díky této nemateriální abstrakci založené na nemateriá</w:t>
      </w:r>
      <w:r w:rsidR="08220130">
        <w:t>l</w:t>
      </w:r>
      <w:r w:rsidR="081729FB">
        <w:t xml:space="preserve">ní receptivitě </w:t>
      </w:r>
      <w:r w:rsidR="081729FB" w:rsidRPr="081729FB">
        <w:rPr>
          <w:i/>
        </w:rPr>
        <w:t>intellectus possibilis</w:t>
      </w:r>
      <w:r w:rsidR="081729FB">
        <w:t xml:space="preserve"> </w:t>
      </w:r>
      <w:r w:rsidR="001F3CDC">
        <w:t>e</w:t>
      </w:r>
      <w:r w:rsidR="007452F0" w:rsidRPr="00273106">
        <w:t xml:space="preserve">xistuje formální </w:t>
      </w:r>
      <w:r w:rsidR="009B0149">
        <w:t xml:space="preserve">jednota intelektuálních obsahů, protože </w:t>
      </w:r>
      <w:r w:rsidR="007452F0" w:rsidRPr="00273106">
        <w:t>myslíme stejný nemateriální obsah</w:t>
      </w:r>
      <w:r w:rsidR="08220130">
        <w:t xml:space="preserve">. Ale nemateriální recepce je dána jako intencionální akt díky </w:t>
      </w:r>
      <w:r w:rsidR="007452F0" w:rsidRPr="00273106">
        <w:t>různost</w:t>
      </w:r>
      <w:r w:rsidR="08220130">
        <w:t>i</w:t>
      </w:r>
      <w:r w:rsidR="007452F0" w:rsidRPr="00273106">
        <w:t xml:space="preserve"> subjektu</w:t>
      </w:r>
      <w:r w:rsidR="009B0149">
        <w:t xml:space="preserve">, protože </w:t>
      </w:r>
      <w:r w:rsidR="007452F0" w:rsidRPr="00273106">
        <w:t xml:space="preserve">myšlení je </w:t>
      </w:r>
      <w:r w:rsidR="087B581B">
        <w:t xml:space="preserve">osobní </w:t>
      </w:r>
      <w:r w:rsidR="00ED0184">
        <w:t>volní činnost a můžeme</w:t>
      </w:r>
      <w:r w:rsidR="007452F0" w:rsidRPr="00273106">
        <w:t xml:space="preserve"> </w:t>
      </w:r>
      <w:r w:rsidR="009B0149">
        <w:t>se v ní zdokonalovat nebo zhoršovat</w:t>
      </w:r>
      <w:r w:rsidR="007452F0" w:rsidRPr="00273106">
        <w:t xml:space="preserve">. </w:t>
      </w:r>
      <w:r w:rsidR="002E3B62">
        <w:t>Averroes</w:t>
      </w:r>
      <w:r w:rsidR="007452F0" w:rsidRPr="00273106">
        <w:t xml:space="preserve"> podává </w:t>
      </w:r>
      <w:r w:rsidR="00ED0184">
        <w:t>originální</w:t>
      </w:r>
      <w:r w:rsidR="007452F0" w:rsidRPr="00273106">
        <w:t xml:space="preserve"> pojetí </w:t>
      </w:r>
      <w:r w:rsidR="007452F0" w:rsidRPr="00273106">
        <w:rPr>
          <w:i/>
        </w:rPr>
        <w:t>intellectus possibilis</w:t>
      </w:r>
      <w:r w:rsidR="007452F0" w:rsidRPr="00273106">
        <w:t xml:space="preserve">, který splňuje základní požadavky </w:t>
      </w:r>
      <w:r w:rsidR="00B713C5">
        <w:rPr>
          <w:i/>
        </w:rPr>
        <w:t>De anima</w:t>
      </w:r>
      <w:r w:rsidR="007452F0" w:rsidRPr="00273106">
        <w:t xml:space="preserve"> na činnost lidského inte</w:t>
      </w:r>
      <w:r w:rsidR="001F3CDC">
        <w:t>le</w:t>
      </w:r>
      <w:r w:rsidR="007452F0" w:rsidRPr="00273106">
        <w:t xml:space="preserve">ktu vázaného na </w:t>
      </w:r>
      <w:r w:rsidR="008C1DCB">
        <w:t xml:space="preserve">tělesnou </w:t>
      </w:r>
      <w:r w:rsidR="007452F0" w:rsidRPr="00273106">
        <w:t xml:space="preserve">hylemorfickou substanci. </w:t>
      </w:r>
      <w:r w:rsidR="001F3CDC">
        <w:t>Albert</w:t>
      </w:r>
      <w:r w:rsidR="087B581B">
        <w:t xml:space="preserve"> </w:t>
      </w:r>
      <w:r w:rsidR="000E5F7D">
        <w:t>r</w:t>
      </w:r>
      <w:r w:rsidR="00682A8B" w:rsidRPr="00273106">
        <w:t xml:space="preserve">ozlišuje </w:t>
      </w:r>
      <w:r w:rsidR="00520CCB" w:rsidRPr="00273106">
        <w:t xml:space="preserve">po vzoru Blunda </w:t>
      </w:r>
      <w:r w:rsidR="00682A8B" w:rsidRPr="00273106">
        <w:t xml:space="preserve">mezi tvorbou </w:t>
      </w:r>
      <w:r w:rsidR="002E30FF" w:rsidRPr="002E30FF">
        <w:t>species</w:t>
      </w:r>
      <w:r w:rsidR="00682A8B" w:rsidRPr="00273106">
        <w:t xml:space="preserve"> v rámci </w:t>
      </w:r>
      <w:r w:rsidR="009852F1">
        <w:t xml:space="preserve">personálního </w:t>
      </w:r>
      <w:r w:rsidR="00682A8B" w:rsidRPr="00273106">
        <w:t xml:space="preserve">intencionálního aktu a mezi formálním pojetím </w:t>
      </w:r>
      <w:r w:rsidR="004B4D52" w:rsidRPr="004B4D52">
        <w:t>species</w:t>
      </w:r>
      <w:r w:rsidR="00682A8B" w:rsidRPr="00273106">
        <w:rPr>
          <w:i/>
        </w:rPr>
        <w:t xml:space="preserve"> intelligibilis</w:t>
      </w:r>
      <w:r w:rsidR="00682A8B" w:rsidRPr="00273106">
        <w:t xml:space="preserve"> </w:t>
      </w:r>
      <w:r w:rsidR="00106EA4">
        <w:t>nazíraného v procesu abstrakce</w:t>
      </w:r>
      <w:r w:rsidR="0018047A">
        <w:t xml:space="preserve">. </w:t>
      </w:r>
      <w:r w:rsidR="0056756C">
        <w:t>Blund</w:t>
      </w:r>
      <w:r w:rsidR="0018047A">
        <w:t xml:space="preserve"> ji chápal skrze výkon </w:t>
      </w:r>
      <w:r w:rsidR="0056756C" w:rsidRPr="0056756C">
        <w:rPr>
          <w:i/>
        </w:rPr>
        <w:t>intellectus formalis</w:t>
      </w:r>
      <w:r w:rsidR="08250ED0">
        <w:t xml:space="preserve"> (kap. 2</w:t>
      </w:r>
      <w:r w:rsidR="0056756C">
        <w:t>.1.1)</w:t>
      </w:r>
      <w:r w:rsidR="00106EA4">
        <w:t>. Pak je jasné, že toto výsledné</w:t>
      </w:r>
      <w:r w:rsidR="00682A8B" w:rsidRPr="00273106">
        <w:t xml:space="preserve"> porozumění </w:t>
      </w:r>
      <w:r w:rsidR="0056756C">
        <w:t xml:space="preserve">dané jako výsledek abstrakce </w:t>
      </w:r>
      <w:r w:rsidR="00106EA4">
        <w:t xml:space="preserve">je </w:t>
      </w:r>
      <w:r w:rsidR="00682A8B" w:rsidRPr="00273106">
        <w:t>společné všem lidem</w:t>
      </w:r>
      <w:r w:rsidR="00AB5455">
        <w:t xml:space="preserve">. Universální pojem </w:t>
      </w:r>
      <w:r w:rsidR="00106EA4">
        <w:t xml:space="preserve">není </w:t>
      </w:r>
      <w:r w:rsidR="083D52B4">
        <w:t xml:space="preserve">porretánská </w:t>
      </w:r>
      <w:r w:rsidR="00106EA4">
        <w:t>substance třetího druhu</w:t>
      </w:r>
      <w:r w:rsidR="00682A8B" w:rsidRPr="00273106">
        <w:t>.</w:t>
      </w:r>
    </w:p>
    <w:p w14:paraId="44BBF588" w14:textId="62858B5B" w:rsidR="00682A8B" w:rsidRPr="00AF3C54" w:rsidRDefault="00682A8B" w:rsidP="00AF3C54">
      <w:pPr>
        <w:pStyle w:val="Citace"/>
        <w:rPr>
          <w:rStyle w:val="Zkladntextdkovn0pt"/>
          <w:rFonts w:ascii="Calibri" w:eastAsia="Times" w:hAnsi="Calibri" w:cs="Times New Roman"/>
          <w:spacing w:val="0"/>
          <w:sz w:val="22"/>
          <w:u w:val="none"/>
          <w:lang w:val="x-none"/>
        </w:rPr>
      </w:pPr>
      <w:r w:rsidRPr="00AF3C54">
        <w:rPr>
          <w:rStyle w:val="Zkladntextdkovn0pt"/>
          <w:rFonts w:ascii="Calibri" w:eastAsia="Times" w:hAnsi="Calibri" w:cs="Times New Roman"/>
          <w:spacing w:val="0"/>
          <w:sz w:val="22"/>
          <w:u w:val="none"/>
          <w:lang w:val="x-none"/>
        </w:rPr>
        <w:lastRenderedPageBreak/>
        <w:t>„</w:t>
      </w:r>
      <w:r w:rsidR="002E3B62">
        <w:rPr>
          <w:rStyle w:val="Zkladntextdkovn0pt"/>
          <w:rFonts w:ascii="Calibri" w:eastAsia="Times" w:hAnsi="Calibri" w:cs="Times New Roman"/>
          <w:spacing w:val="0"/>
          <w:sz w:val="22"/>
          <w:u w:val="none"/>
          <w:lang w:val="x-none"/>
        </w:rPr>
        <w:t>Averroes</w:t>
      </w:r>
      <w:r w:rsidRPr="00AF3C54">
        <w:rPr>
          <w:rStyle w:val="Zkladntextdkovn0pt"/>
          <w:rFonts w:ascii="Calibri" w:eastAsia="Times" w:hAnsi="Calibri" w:cs="Times New Roman"/>
          <w:spacing w:val="0"/>
          <w:sz w:val="22"/>
          <w:u w:val="none"/>
          <w:lang w:val="x-none"/>
        </w:rPr>
        <w:t xml:space="preserve"> tvrdí, ž</w:t>
      </w:r>
      <w:r w:rsidR="009B69A2">
        <w:rPr>
          <w:rStyle w:val="Zkladntextdkovn0pt"/>
          <w:rFonts w:ascii="Calibri" w:eastAsia="Times" w:hAnsi="Calibri" w:cs="Times New Roman"/>
          <w:spacing w:val="0"/>
          <w:sz w:val="22"/>
          <w:u w:val="none"/>
          <w:lang w:val="x-none"/>
        </w:rPr>
        <w:t xml:space="preserve">e intelekt je porušitelný </w:t>
      </w:r>
      <w:r w:rsidR="009B69A2">
        <w:rPr>
          <w:rStyle w:val="Zkladntextdkovn0pt"/>
          <w:rFonts w:ascii="Calibri" w:eastAsia="Times" w:hAnsi="Calibri" w:cs="Times New Roman"/>
          <w:spacing w:val="0"/>
          <w:sz w:val="22"/>
          <w:u w:val="none"/>
          <w:lang w:val="cs-CZ"/>
        </w:rPr>
        <w:t xml:space="preserve">kvůli proměnlivým obsahům </w:t>
      </w:r>
      <w:r w:rsidRPr="00AF3C54">
        <w:rPr>
          <w:rStyle w:val="Zkladntextdkovn0pt"/>
          <w:rFonts w:ascii="Calibri" w:eastAsia="Times" w:hAnsi="Calibri" w:cs="Times New Roman"/>
          <w:spacing w:val="0"/>
          <w:sz w:val="22"/>
          <w:u w:val="none"/>
          <w:lang w:val="x-none"/>
        </w:rPr>
        <w:t>pozná</w:t>
      </w:r>
      <w:r w:rsidR="009B69A2">
        <w:rPr>
          <w:rStyle w:val="Zkladntextdkovn0pt"/>
          <w:rFonts w:ascii="Calibri" w:eastAsia="Times" w:hAnsi="Calibri" w:cs="Times New Roman"/>
          <w:spacing w:val="0"/>
          <w:sz w:val="22"/>
          <w:u w:val="none"/>
          <w:lang w:val="cs-CZ"/>
        </w:rPr>
        <w:t>ní</w:t>
      </w:r>
      <w:r w:rsidRPr="00AF3C54">
        <w:rPr>
          <w:rStyle w:val="Zkladntextdkovn0pt"/>
          <w:rFonts w:ascii="Calibri" w:eastAsia="Times" w:hAnsi="Calibri" w:cs="Times New Roman"/>
          <w:spacing w:val="0"/>
          <w:sz w:val="22"/>
          <w:u w:val="none"/>
          <w:lang w:val="x-none"/>
        </w:rPr>
        <w:t xml:space="preserve">, nikoliv z hlediska své </w:t>
      </w:r>
      <w:r w:rsidR="009B69A2">
        <w:rPr>
          <w:rStyle w:val="Zkladntextdkovn0pt"/>
          <w:rFonts w:ascii="Calibri" w:eastAsia="Times" w:hAnsi="Calibri" w:cs="Times New Roman"/>
          <w:spacing w:val="0"/>
          <w:sz w:val="22"/>
          <w:u w:val="none"/>
          <w:lang w:val="cs-CZ"/>
        </w:rPr>
        <w:t xml:space="preserve">esenciální </w:t>
      </w:r>
      <w:r w:rsidRPr="00AF3C54">
        <w:rPr>
          <w:rStyle w:val="Zkladntextdkovn0pt"/>
          <w:rFonts w:ascii="Calibri" w:eastAsia="Times" w:hAnsi="Calibri" w:cs="Times New Roman"/>
          <w:spacing w:val="0"/>
          <w:sz w:val="22"/>
          <w:u w:val="none"/>
          <w:lang w:val="x-none"/>
        </w:rPr>
        <w:t xml:space="preserve">povahy. Univerzálie </w:t>
      </w:r>
      <w:r w:rsidR="009B69A2">
        <w:rPr>
          <w:rStyle w:val="Zkladntextdkovn0pt"/>
          <w:rFonts w:ascii="Calibri" w:eastAsia="Times" w:hAnsi="Calibri" w:cs="Times New Roman"/>
          <w:spacing w:val="0"/>
          <w:sz w:val="22"/>
          <w:u w:val="none"/>
          <w:lang w:val="cs-CZ"/>
        </w:rPr>
        <w:t>jako esence (</w:t>
      </w:r>
      <w:r w:rsidR="009B69A2" w:rsidRPr="009B69A2">
        <w:rPr>
          <w:rStyle w:val="Zkladntextdkovn0pt"/>
          <w:rFonts w:ascii="Calibri" w:eastAsia="Times" w:hAnsi="Calibri" w:cs="Times New Roman"/>
          <w:i/>
          <w:color w:val="auto"/>
          <w:spacing w:val="0"/>
          <w:sz w:val="20"/>
          <w:u w:val="none"/>
          <w:lang w:val="x-none"/>
        </w:rPr>
        <w:t>universale secundum quod</w:t>
      </w:r>
      <w:r w:rsidR="009B69A2">
        <w:rPr>
          <w:rStyle w:val="Zkladntextdkovn0pt"/>
          <w:rFonts w:ascii="Calibri" w:eastAsia="Times" w:hAnsi="Calibri" w:cs="Times New Roman"/>
          <w:spacing w:val="0"/>
          <w:sz w:val="22"/>
          <w:u w:val="none"/>
          <w:lang w:val="cs-CZ"/>
        </w:rPr>
        <w:t xml:space="preserve">) je stejná pro </w:t>
      </w:r>
      <w:r w:rsidRPr="00AF3C54">
        <w:rPr>
          <w:rStyle w:val="Zkladntextdkovn0pt"/>
          <w:rFonts w:ascii="Calibri" w:eastAsia="Times" w:hAnsi="Calibri" w:cs="Times New Roman"/>
          <w:spacing w:val="0"/>
          <w:sz w:val="22"/>
          <w:u w:val="none"/>
          <w:lang w:val="x-none"/>
        </w:rPr>
        <w:t>všechy lidi</w:t>
      </w:r>
      <w:r w:rsidR="009B69A2">
        <w:rPr>
          <w:rStyle w:val="Zkladntextdkovn0pt"/>
          <w:rFonts w:ascii="Calibri" w:eastAsia="Times" w:hAnsi="Calibri" w:cs="Times New Roman"/>
          <w:spacing w:val="0"/>
          <w:sz w:val="22"/>
          <w:u w:val="none"/>
          <w:lang w:val="cs-CZ"/>
        </w:rPr>
        <w:t xml:space="preserve">. Ale pak není osobním výkonem </w:t>
      </w:r>
      <w:r w:rsidRPr="00AF3C54">
        <w:rPr>
          <w:rStyle w:val="Zkladntextdkovn0pt"/>
          <w:rFonts w:ascii="Calibri" w:eastAsia="Times" w:hAnsi="Calibri" w:cs="Times New Roman"/>
          <w:spacing w:val="0"/>
          <w:sz w:val="22"/>
          <w:u w:val="none"/>
          <w:lang w:val="x-none"/>
        </w:rPr>
        <w:t xml:space="preserve">intelektu, ale je </w:t>
      </w:r>
      <w:r w:rsidR="009B69A2">
        <w:rPr>
          <w:rStyle w:val="Zkladntextdkovn0pt"/>
          <w:rFonts w:ascii="Calibri" w:eastAsia="Times" w:hAnsi="Calibri" w:cs="Times New Roman"/>
          <w:spacing w:val="0"/>
          <w:sz w:val="22"/>
          <w:u w:val="none"/>
          <w:lang w:val="cs-CZ"/>
        </w:rPr>
        <w:t xml:space="preserve">dána jako species </w:t>
      </w:r>
      <w:r w:rsidRPr="00AF3C54">
        <w:rPr>
          <w:rStyle w:val="Zkladntextdkovn0pt"/>
          <w:rFonts w:ascii="Calibri" w:eastAsia="Times" w:hAnsi="Calibri" w:cs="Times New Roman"/>
          <w:spacing w:val="0"/>
          <w:sz w:val="22"/>
          <w:u w:val="none"/>
          <w:lang w:val="x-none"/>
        </w:rPr>
        <w:t>v</w:t>
      </w:r>
      <w:r w:rsidR="009B69A2">
        <w:rPr>
          <w:rStyle w:val="Zkladntextdkovn0pt"/>
          <w:rFonts w:ascii="Calibri" w:eastAsia="Times" w:hAnsi="Calibri" w:cs="Times New Roman"/>
          <w:spacing w:val="0"/>
          <w:sz w:val="22"/>
          <w:u w:val="none"/>
          <w:lang w:val="x-none"/>
        </w:rPr>
        <w:t> </w:t>
      </w:r>
      <w:r w:rsidR="009B69A2">
        <w:rPr>
          <w:rStyle w:val="Zkladntextdkovn0pt"/>
          <w:rFonts w:ascii="Calibri" w:eastAsia="Times" w:hAnsi="Calibri" w:cs="Times New Roman"/>
          <w:spacing w:val="0"/>
          <w:sz w:val="22"/>
          <w:u w:val="none"/>
          <w:lang w:val="cs-CZ"/>
        </w:rPr>
        <w:t xml:space="preserve">univerzálním </w:t>
      </w:r>
      <w:r w:rsidRPr="00AF3C54">
        <w:rPr>
          <w:rStyle w:val="Zkladntextdkovn0pt"/>
          <w:rFonts w:ascii="Calibri" w:eastAsia="Times" w:hAnsi="Calibri" w:cs="Times New Roman"/>
          <w:spacing w:val="0"/>
          <w:sz w:val="22"/>
          <w:u w:val="none"/>
          <w:lang w:val="x-none"/>
        </w:rPr>
        <w:t>intelektu</w:t>
      </w:r>
      <w:r w:rsidR="009B69A2">
        <w:rPr>
          <w:rStyle w:val="Zkladntextdkovn0pt"/>
          <w:rFonts w:ascii="Calibri" w:eastAsia="Times" w:hAnsi="Calibri" w:cs="Times New Roman"/>
          <w:spacing w:val="0"/>
          <w:sz w:val="22"/>
          <w:u w:val="none"/>
          <w:lang w:val="cs-CZ"/>
        </w:rPr>
        <w:t xml:space="preserve">, který je nositelem </w:t>
      </w:r>
      <w:r w:rsidRPr="00AF3C54">
        <w:rPr>
          <w:rStyle w:val="Zkladntextdkovn0pt"/>
          <w:rFonts w:ascii="Calibri" w:eastAsia="Times" w:hAnsi="Calibri" w:cs="Times New Roman"/>
          <w:spacing w:val="0"/>
          <w:sz w:val="22"/>
          <w:u w:val="none"/>
          <w:lang w:val="x-none"/>
        </w:rPr>
        <w:t>těchto obsahů</w:t>
      </w:r>
      <w:r w:rsidR="000C5A12">
        <w:rPr>
          <w:rStyle w:val="Zkladntextdkovn0pt"/>
          <w:rFonts w:ascii="Calibri" w:eastAsia="Times" w:hAnsi="Calibri" w:cs="Times New Roman"/>
          <w:spacing w:val="0"/>
          <w:sz w:val="22"/>
          <w:u w:val="none"/>
          <w:lang w:val="cs-CZ"/>
        </w:rPr>
        <w:t xml:space="preserve"> (</w:t>
      </w:r>
      <w:r w:rsidR="004B4D52" w:rsidRPr="004B4D52">
        <w:rPr>
          <w:rStyle w:val="Zkladntextdkovn0pt"/>
          <w:rFonts w:ascii="Calibri" w:eastAsia="Times" w:hAnsi="Calibri" w:cs="Times New Roman"/>
          <w:spacing w:val="0"/>
          <w:sz w:val="22"/>
          <w:u w:val="none"/>
          <w:lang w:val="x-none"/>
        </w:rPr>
        <w:t>species</w:t>
      </w:r>
      <w:r w:rsidR="000C5A12" w:rsidRPr="000C5A12">
        <w:rPr>
          <w:rStyle w:val="Zkladntextdkovn0pt"/>
          <w:rFonts w:ascii="Calibri" w:eastAsia="Times" w:hAnsi="Calibri" w:cs="Times New Roman"/>
          <w:i/>
          <w:spacing w:val="0"/>
          <w:sz w:val="22"/>
          <w:u w:val="none"/>
          <w:lang w:val="x-none"/>
        </w:rPr>
        <w:t xml:space="preserve"> quae est in intellectu sicut in subjecto</w:t>
      </w:r>
      <w:r w:rsidR="000C5A12">
        <w:rPr>
          <w:rStyle w:val="Zkladntextdkovn0pt"/>
          <w:rFonts w:ascii="Calibri" w:eastAsia="Times" w:hAnsi="Calibri" w:cs="Times New Roman"/>
          <w:spacing w:val="0"/>
          <w:sz w:val="22"/>
          <w:u w:val="none"/>
          <w:lang w:val="cs-CZ"/>
        </w:rPr>
        <w:t>)</w:t>
      </w:r>
      <w:r w:rsidRPr="00AF3C54">
        <w:rPr>
          <w:rStyle w:val="Zkladntextdkovn0pt"/>
          <w:rFonts w:ascii="Calibri" w:eastAsia="Times" w:hAnsi="Calibri" w:cs="Times New Roman"/>
          <w:spacing w:val="0"/>
          <w:sz w:val="22"/>
          <w:u w:val="none"/>
          <w:lang w:val="x-none"/>
        </w:rPr>
        <w:t xml:space="preserve">. Protože nejde o stejný subjekt, </w:t>
      </w:r>
      <w:r w:rsidR="00E07564">
        <w:rPr>
          <w:rStyle w:val="Zkladntextdkovn0pt"/>
          <w:rFonts w:ascii="Calibri" w:eastAsia="Times" w:hAnsi="Calibri" w:cs="Times New Roman"/>
          <w:spacing w:val="0"/>
          <w:sz w:val="22"/>
          <w:u w:val="none"/>
          <w:lang w:val="cs-CZ"/>
        </w:rPr>
        <w:t xml:space="preserve">není ani stejná </w:t>
      </w:r>
      <w:r w:rsidR="00B1298A" w:rsidRPr="009B69A2">
        <w:rPr>
          <w:rStyle w:val="Zkladntextdkovn0pt"/>
          <w:rFonts w:ascii="Calibri" w:eastAsia="Times" w:hAnsi="Calibri" w:cs="Times New Roman"/>
          <w:spacing w:val="0"/>
          <w:sz w:val="22"/>
          <w:u w:val="none"/>
          <w:lang w:val="x-none"/>
        </w:rPr>
        <w:t>species</w:t>
      </w:r>
      <w:r w:rsidRPr="00AF3C54">
        <w:rPr>
          <w:rStyle w:val="Zkladntextdkovn0pt"/>
          <w:rFonts w:ascii="Calibri" w:eastAsia="Times" w:hAnsi="Calibri" w:cs="Times New Roman"/>
          <w:spacing w:val="0"/>
          <w:sz w:val="22"/>
          <w:u w:val="none"/>
          <w:lang w:val="x-none"/>
        </w:rPr>
        <w:t xml:space="preserve">.“ </w:t>
      </w:r>
      <w:r w:rsidRPr="00AF3C54">
        <w:rPr>
          <w:rStyle w:val="Znakapoznpodarou"/>
        </w:rPr>
        <w:footnoteReference w:id="242"/>
      </w:r>
    </w:p>
    <w:p w14:paraId="79C74CBA" w14:textId="29D21629" w:rsidR="00682A8B" w:rsidRPr="00273106" w:rsidRDefault="00682A8B" w:rsidP="00682A8B">
      <w:r w:rsidRPr="00273106">
        <w:t xml:space="preserve">Albert provádí zásadní rozlišení mezi </w:t>
      </w:r>
      <w:r w:rsidR="006B05EC" w:rsidRPr="00273106">
        <w:t>třemi danostmi. Za prvé. P</w:t>
      </w:r>
      <w:r w:rsidRPr="00273106">
        <w:t xml:space="preserve">orušitelný a individuální </w:t>
      </w:r>
      <w:r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DF1B39" w:rsidRPr="00E2134B">
        <w:instrText>A</w:instrText>
      </w:r>
      <w:r w:rsidR="006A499B">
        <w:instrText>lbert</w:instrText>
      </w:r>
      <w:r w:rsidR="00DF1B39">
        <w:instrText xml:space="preserve">" </w:instrText>
      </w:r>
      <w:r w:rsidR="00DF1B39">
        <w:rPr>
          <w:i/>
        </w:rPr>
        <w:fldChar w:fldCharType="end"/>
      </w:r>
      <w:r w:rsidRPr="00273106">
        <w:t xml:space="preserve"> jako jedna z mnohých </w:t>
      </w:r>
      <w:r w:rsidR="003154AA" w:rsidRPr="00273106">
        <w:t xml:space="preserve">schopností </w:t>
      </w:r>
      <w:r w:rsidRPr="00273106">
        <w:t>duše, která je sama o sobě formou hyleformické substance</w:t>
      </w:r>
      <w:r w:rsidR="00A70FA4">
        <w:fldChar w:fldCharType="begin"/>
      </w:r>
      <w:r w:rsidR="00A70FA4">
        <w:instrText xml:space="preserve"> XE "</w:instrText>
      </w:r>
      <w:r w:rsidR="006A499B">
        <w:instrText>osoba:hylemorfická jednota</w:instrText>
      </w:r>
      <w:r w:rsidR="00A70FA4">
        <w:instrText xml:space="preserve">" </w:instrText>
      </w:r>
      <w:r w:rsidR="00A70FA4">
        <w:fldChar w:fldCharType="end"/>
      </w:r>
      <w:r w:rsidRPr="00273106">
        <w:t xml:space="preserve"> (</w:t>
      </w:r>
      <w:r w:rsidRPr="00273106">
        <w:rPr>
          <w:rStyle w:val="Zkladntextdkovn0pt"/>
          <w:rFonts w:ascii="Calibri" w:eastAsia="Times" w:hAnsi="Calibri" w:cs="Times New Roman"/>
          <w:i/>
          <w:color w:val="auto"/>
          <w:spacing w:val="0"/>
          <w:sz w:val="24"/>
          <w:u w:val="none"/>
          <w:lang w:val="cs-CZ"/>
        </w:rPr>
        <w:t>intellectus corrumpitur corruptione intelligibilium</w:t>
      </w:r>
      <w:r w:rsidR="006B05EC" w:rsidRPr="00273106">
        <w:t>). Za druhé. I</w:t>
      </w:r>
      <w:r w:rsidRPr="00273106">
        <w:t xml:space="preserve">ntelekt jako </w:t>
      </w:r>
      <w:r w:rsidR="006B6A4A">
        <w:t xml:space="preserve">abstrahovaná </w:t>
      </w:r>
      <w:r w:rsidR="0887535B">
        <w:t xml:space="preserve">forma myšlení představuje neosobní </w:t>
      </w:r>
      <w:r w:rsidR="0887535B" w:rsidRPr="00273106">
        <w:t>substrát</w:t>
      </w:r>
      <w:r w:rsidR="0887535B">
        <w:t xml:space="preserve">, </w:t>
      </w:r>
      <w:r w:rsidR="08476B34">
        <w:t>nositel</w:t>
      </w:r>
      <w:r w:rsidR="0887535B">
        <w:t xml:space="preserve">, subjekt atd. </w:t>
      </w:r>
      <w:r w:rsidRPr="00273106">
        <w:t xml:space="preserve">(ὑποκείμενον, </w:t>
      </w:r>
      <w:r w:rsidRPr="00273106">
        <w:rPr>
          <w:i/>
        </w:rPr>
        <w:t>subiectum</w:t>
      </w:r>
      <w:r w:rsidR="004C27BA">
        <w:rPr>
          <w:i/>
        </w:rPr>
        <w:fldChar w:fldCharType="begin"/>
      </w:r>
      <w:r w:rsidR="004C27BA">
        <w:instrText xml:space="preserve"> XE "</w:instrText>
      </w:r>
      <w:r w:rsidR="004C27BA" w:rsidRPr="00360013">
        <w:rPr>
          <w:i/>
        </w:rPr>
        <w:instrText>subiectum</w:instrText>
      </w:r>
      <w:r w:rsidR="004C27BA" w:rsidRPr="006A499B">
        <w:instrText>:</w:instrText>
      </w:r>
      <w:r w:rsidR="006A499B" w:rsidRPr="006A499B">
        <w:instrText>intelekt</w:instrText>
      </w:r>
      <w:r w:rsidR="004C27BA">
        <w:instrText xml:space="preserve">" </w:instrText>
      </w:r>
      <w:r w:rsidR="004C27BA">
        <w:rPr>
          <w:i/>
        </w:rPr>
        <w:fldChar w:fldCharType="end"/>
      </w:r>
      <w:r w:rsidRPr="00273106">
        <w:t xml:space="preserve">) určitých činností, které jsou mu vlastní z hlediska jeho nemateriální </w:t>
      </w:r>
      <w:r w:rsidR="088A1367">
        <w:t xml:space="preserve">poznávací </w:t>
      </w:r>
      <w:r w:rsidRPr="00273106">
        <w:t>přirozenosti (</w:t>
      </w:r>
      <w:r w:rsidRPr="00273106">
        <w:rPr>
          <w:i/>
        </w:rPr>
        <w:t>in</w:t>
      </w:r>
      <w:r w:rsidRPr="00273106">
        <w:t xml:space="preserve"> </w:t>
      </w:r>
      <w:r w:rsidRPr="00273106">
        <w:rPr>
          <w:i/>
        </w:rPr>
        <w:t>intellectu sicut in subjecto</w:t>
      </w:r>
      <w:r w:rsidRPr="00273106">
        <w:t>)</w:t>
      </w:r>
      <w:r w:rsidR="003154AA" w:rsidRPr="00273106">
        <w:t xml:space="preserve">. Za třetí. Intencionálně utvořené </w:t>
      </w:r>
      <w:r w:rsidR="004B4D52" w:rsidRPr="004B4D52">
        <w:t>species</w:t>
      </w:r>
      <w:r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DD403C">
        <w:instrText>A</w:instrText>
      </w:r>
      <w:r w:rsidR="006A499B">
        <w:instrText>lbert</w:instrText>
      </w:r>
      <w:r w:rsidR="008061D5">
        <w:instrText xml:space="preserve">" </w:instrText>
      </w:r>
      <w:r w:rsidR="008061D5">
        <w:rPr>
          <w:i/>
        </w:rPr>
        <w:fldChar w:fldCharType="end"/>
      </w:r>
      <w:r w:rsidR="003D5FF9">
        <w:t xml:space="preserve"> vznikly </w:t>
      </w:r>
      <w:r w:rsidRPr="00273106">
        <w:t xml:space="preserve">v procesu abstrakce </w:t>
      </w:r>
      <w:r w:rsidR="003D5FF9">
        <w:t xml:space="preserve">osobního </w:t>
      </w:r>
      <w:r w:rsidRPr="00273106">
        <w:t>intelektu (</w:t>
      </w:r>
      <w:r w:rsidR="004B4D52" w:rsidRPr="004B4D52">
        <w:t>species</w:t>
      </w:r>
      <w:r w:rsidRPr="00273106">
        <w:rPr>
          <w:i/>
        </w:rPr>
        <w:t xml:space="preserve"> quae est in intellectu</w:t>
      </w:r>
      <w:r w:rsidR="003D5FF9">
        <w:t xml:space="preserve">). Tato </w:t>
      </w:r>
      <w:r w:rsidR="00B1298A" w:rsidRPr="003D5FF9">
        <w:t>species</w:t>
      </w:r>
      <w:r w:rsidR="003D5FF9">
        <w:t xml:space="preserve"> nejsou falešně univoční </w:t>
      </w:r>
      <w:r w:rsidR="003D5FF9" w:rsidRPr="003D5FF9">
        <w:rPr>
          <w:i/>
        </w:rPr>
        <w:t>tertium ens</w:t>
      </w:r>
      <w:r w:rsidR="003D5FF9">
        <w:t xml:space="preserve"> modernistů a musí se přesně rozlišit vzhledem ke dvojí podobě </w:t>
      </w:r>
      <w:r w:rsidR="085C0E2F">
        <w:t xml:space="preserve">intelektu. </w:t>
      </w:r>
      <w:r w:rsidR="003D5FF9">
        <w:t xml:space="preserve">Buď jsou </w:t>
      </w:r>
      <w:r w:rsidR="085C0E2F">
        <w:t>dána</w:t>
      </w:r>
      <w:r w:rsidRPr="00273106">
        <w:t xml:space="preserve"> jako in</w:t>
      </w:r>
      <w:r w:rsidR="085C0E2F">
        <w:t xml:space="preserve">tencionální </w:t>
      </w:r>
      <w:r w:rsidR="002E30FF" w:rsidRPr="002E30FF">
        <w:t>species</w:t>
      </w:r>
      <w:r w:rsidRPr="00273106">
        <w:rPr>
          <w:i/>
        </w:rPr>
        <w:t xml:space="preserve"> intelligibilis</w:t>
      </w:r>
      <w:r w:rsidR="00065852" w:rsidRPr="00273106">
        <w:t xml:space="preserve"> v procesu </w:t>
      </w:r>
      <w:r w:rsidRPr="00273106">
        <w:t xml:space="preserve">abstrakce, a tudíž </w:t>
      </w:r>
      <w:r w:rsidR="003D5FF9">
        <w:t xml:space="preserve">jsou </w:t>
      </w:r>
      <w:r w:rsidR="085C0E2F">
        <w:t>porušitelná</w:t>
      </w:r>
      <w:r w:rsidRPr="00273106">
        <w:t xml:space="preserve">. </w:t>
      </w:r>
      <w:r w:rsidR="003D5FF9">
        <w:t xml:space="preserve">Nebo je chápeme jako esence, kdy jsou tato species </w:t>
      </w:r>
      <w:r w:rsidR="085C0E2F">
        <w:t>dán</w:t>
      </w:r>
      <w:r w:rsidR="003D5FF9">
        <w:t>a</w:t>
      </w:r>
      <w:r w:rsidR="085C0E2F">
        <w:t xml:space="preserve"> </w:t>
      </w:r>
      <w:r w:rsidR="003D5FF9">
        <w:t xml:space="preserve">jako formální a </w:t>
      </w:r>
      <w:r w:rsidRPr="00273106">
        <w:t>univerzální obsah intelektu</w:t>
      </w:r>
      <w:r w:rsidR="003D5FF9">
        <w:t>. Pak dostaneme specifický pojem intelektu</w:t>
      </w:r>
      <w:r w:rsidRPr="00273106">
        <w:t xml:space="preserve">, </w:t>
      </w:r>
      <w:r w:rsidR="003D5FF9">
        <w:t xml:space="preserve">který </w:t>
      </w:r>
      <w:r w:rsidRPr="00273106">
        <w:t>je společný všem myslícím lidem</w:t>
      </w:r>
      <w:r w:rsidR="004C0561">
        <w:t xml:space="preserve"> schopných abstrakce</w:t>
      </w:r>
      <w:r w:rsidR="00E539A0">
        <w:t xml:space="preserve">, </w:t>
      </w:r>
      <w:r w:rsidR="088A1367">
        <w:t xml:space="preserve">proto </w:t>
      </w:r>
      <w:r w:rsidRPr="00273106">
        <w:t xml:space="preserve">je nemateriální a neporušitelný. Tímto dvojím spojením je dáno podle Alberta i výsledné řešení jednoty intelektu v modu </w:t>
      </w:r>
      <w:r w:rsidRPr="00273106">
        <w:rPr>
          <w:i/>
        </w:rPr>
        <w:t>intellectus speculativus</w:t>
      </w:r>
      <w:r w:rsidR="00FE7985">
        <w:t>. Hotovou</w:t>
      </w:r>
      <w:r w:rsidRPr="00273106">
        <w:t xml:space="preserve"> syntézu najdeme ve spisu </w:t>
      </w:r>
      <w:r w:rsidRPr="00273106">
        <w:rPr>
          <w:i/>
        </w:rPr>
        <w:t>De homine</w:t>
      </w:r>
      <w:r w:rsidRPr="00273106">
        <w:t xml:space="preserve">, </w:t>
      </w:r>
      <w:r w:rsidRPr="08922C66">
        <w:t>q</w:t>
      </w:r>
      <w:r w:rsidR="08922C66" w:rsidRPr="08922C66">
        <w:t>.</w:t>
      </w:r>
      <w:r w:rsidRPr="00273106">
        <w:t xml:space="preserve"> 57, kde Albert s odvoláním na </w:t>
      </w:r>
      <w:r w:rsidR="002E3B62">
        <w:t>Averroes</w:t>
      </w:r>
      <w:r w:rsidRPr="00273106">
        <w:t xml:space="preserve">e </w:t>
      </w:r>
      <w:r w:rsidR="0017397A">
        <w:t>definuje jednotu</w:t>
      </w:r>
      <w:r w:rsidRPr="00273106">
        <w:t xml:space="preserve"> intelektu.</w:t>
      </w:r>
      <w:r w:rsidR="0881178C" w:rsidRPr="0881178C">
        <w:t xml:space="preserve"> </w:t>
      </w:r>
      <w:r w:rsidR="0881178C" w:rsidRPr="00273106">
        <w:t xml:space="preserve">První averroismus rozlišil </w:t>
      </w:r>
      <w:r w:rsidR="088A592A">
        <w:t xml:space="preserve">s odvoláním na CMDA </w:t>
      </w:r>
      <w:r w:rsidR="0881178C" w:rsidRPr="00273106">
        <w:t xml:space="preserve">jak porušitelný </w:t>
      </w:r>
      <w:r w:rsidR="0881178C">
        <w:t>intelekt</w:t>
      </w:r>
      <w:r w:rsidR="0881178C" w:rsidRPr="00273106">
        <w:t xml:space="preserve"> </w:t>
      </w:r>
      <w:r w:rsidR="00C1715F">
        <w:t xml:space="preserve">výkonný </w:t>
      </w:r>
      <w:r w:rsidR="0881178C" w:rsidRPr="00273106">
        <w:t xml:space="preserve">na úrovni </w:t>
      </w:r>
      <w:r w:rsidR="00C1715F">
        <w:t xml:space="preserve">osoby </w:t>
      </w:r>
      <w:r w:rsidR="0881178C" w:rsidRPr="00273106">
        <w:t>(</w:t>
      </w:r>
      <w:r w:rsidR="0881178C" w:rsidRPr="00273106">
        <w:rPr>
          <w:i/>
        </w:rPr>
        <w:t xml:space="preserve">tertium </w:t>
      </w:r>
      <w:r w:rsidR="00B1298A">
        <w:rPr>
          <w:i/>
        </w:rPr>
        <w:t>genus</w:t>
      </w:r>
      <w:r w:rsidR="0881178C">
        <w:rPr>
          <w:i/>
        </w:rPr>
        <w:fldChar w:fldCharType="begin"/>
      </w:r>
      <w:r w:rsidR="0881178C">
        <w:instrText xml:space="preserve"> XE "</w:instrText>
      </w:r>
      <w:r w:rsidR="0881178C" w:rsidRPr="00D80F84">
        <w:rPr>
          <w:i/>
        </w:rPr>
        <w:instrText>tertium genus</w:instrText>
      </w:r>
      <w:r w:rsidR="0881178C">
        <w:instrText xml:space="preserve">" </w:instrText>
      </w:r>
      <w:r w:rsidR="0881178C">
        <w:rPr>
          <w:i/>
        </w:rPr>
        <w:fldChar w:fldCharType="end"/>
      </w:r>
      <w:r w:rsidR="0881178C" w:rsidRPr="00273106">
        <w:t xml:space="preserve">), tak </w:t>
      </w:r>
      <w:r w:rsidR="00C1715F">
        <w:t xml:space="preserve">obecně pojatý </w:t>
      </w:r>
      <w:r w:rsidR="0881178C" w:rsidRPr="00273106">
        <w:t xml:space="preserve">intelekt jako univerzální </w:t>
      </w:r>
      <w:r w:rsidR="0881178C">
        <w:t xml:space="preserve">pojem </w:t>
      </w:r>
      <w:r w:rsidR="0881178C" w:rsidRPr="00273106">
        <w:t>(</w:t>
      </w:r>
      <w:r w:rsidR="0881178C" w:rsidRPr="00273106">
        <w:rPr>
          <w:i/>
        </w:rPr>
        <w:t xml:space="preserve">quartum </w:t>
      </w:r>
      <w:r w:rsidR="00B1298A">
        <w:rPr>
          <w:i/>
        </w:rPr>
        <w:t>genus</w:t>
      </w:r>
      <w:r w:rsidR="0881178C">
        <w:rPr>
          <w:i/>
        </w:rPr>
        <w:fldChar w:fldCharType="begin"/>
      </w:r>
      <w:r w:rsidR="0881178C">
        <w:instrText xml:space="preserve"> XE "</w:instrText>
      </w:r>
      <w:r w:rsidR="0881178C" w:rsidRPr="00191848">
        <w:rPr>
          <w:i/>
        </w:rPr>
        <w:instrText>quartum genus</w:instrText>
      </w:r>
      <w:r w:rsidR="0881178C">
        <w:instrText xml:space="preserve">" </w:instrText>
      </w:r>
      <w:r w:rsidR="0881178C">
        <w:rPr>
          <w:i/>
        </w:rPr>
        <w:fldChar w:fldCharType="end"/>
      </w:r>
      <w:r w:rsidR="0881178C" w:rsidRPr="00273106">
        <w:t>).</w:t>
      </w:r>
    </w:p>
    <w:p w14:paraId="6DD7721B" w14:textId="77777777" w:rsidR="00682A8B" w:rsidRPr="00FE7985" w:rsidRDefault="00682A8B" w:rsidP="00FE7985">
      <w:pPr>
        <w:pStyle w:val="Citace"/>
      </w:pPr>
      <w:r w:rsidRPr="00FE7985">
        <w:t>„</w:t>
      </w:r>
      <w:r w:rsidR="002E3B62">
        <w:t>Averroes</w:t>
      </w:r>
      <w:r w:rsidRPr="00FE7985">
        <w:t xml:space="preserve"> říká ve třetí knize komentáře </w:t>
      </w:r>
      <w:r w:rsidR="00B713C5" w:rsidRPr="00FE7985">
        <w:rPr>
          <w:i/>
        </w:rPr>
        <w:t>De anima</w:t>
      </w:r>
      <w:r w:rsidRPr="00FE7985">
        <w:t xml:space="preserve">, že pro všechny lidi existuje jen jeden </w:t>
      </w:r>
      <w:r w:rsidR="085C2838">
        <w:rPr>
          <w:lang w:val="cs-CZ"/>
        </w:rPr>
        <w:t xml:space="preserve">pojem </w:t>
      </w:r>
      <w:r w:rsidRPr="00FE7985">
        <w:t xml:space="preserve">spekulativního intelektu.“ </w:t>
      </w:r>
      <w:r w:rsidRPr="00FE7985">
        <w:rPr>
          <w:rStyle w:val="Znakapoznpodarou"/>
        </w:rPr>
        <w:footnoteReference w:id="243"/>
      </w:r>
    </w:p>
    <w:p w14:paraId="10A45C15" w14:textId="77777777" w:rsidR="006F15FA" w:rsidRDefault="00682A8B" w:rsidP="000072B9">
      <w:pPr>
        <w:rPr>
          <w:color w:val="000000"/>
        </w:rPr>
      </w:pPr>
      <w:r w:rsidRPr="00273106">
        <w:lastRenderedPageBreak/>
        <w:t>Tato věta se týká spekulativního intelektu</w:t>
      </w:r>
      <w:r w:rsidR="086C74F6">
        <w:t xml:space="preserve"> jako univerzálie</w:t>
      </w:r>
      <w:r w:rsidRPr="00273106">
        <w:t xml:space="preserve">, a nikoliv </w:t>
      </w:r>
      <w:r w:rsidR="086C74F6">
        <w:t>jeho aktuálního výkonu</w:t>
      </w:r>
      <w:r w:rsidRPr="00273106">
        <w:t xml:space="preserve">. </w:t>
      </w:r>
      <w:r w:rsidR="086C74F6">
        <w:t xml:space="preserve">Proto se </w:t>
      </w:r>
      <w:r w:rsidRPr="00273106">
        <w:t xml:space="preserve">citovaná jednota vztahuje </w:t>
      </w:r>
      <w:r w:rsidR="00632C04">
        <w:t xml:space="preserve">k výslednému </w:t>
      </w:r>
      <w:r w:rsidR="086C74F6">
        <w:t xml:space="preserve">univerzálnímu </w:t>
      </w:r>
      <w:r w:rsidR="00632C04">
        <w:t>poznatku, který</w:t>
      </w:r>
      <w:r w:rsidRPr="00273106">
        <w:t xml:space="preserve"> produkuje spekulativní intelekt</w:t>
      </w:r>
      <w:r w:rsidR="00B049E6">
        <w:t xml:space="preserve"> jako koncept</w:t>
      </w:r>
      <w:r w:rsidRPr="00273106">
        <w:t xml:space="preserve">. </w:t>
      </w:r>
      <w:r w:rsidR="00E004DA">
        <w:t xml:space="preserve">Poznatek </w:t>
      </w:r>
      <w:r w:rsidRPr="00273106">
        <w:t>je</w:t>
      </w:r>
      <w:r w:rsidR="00632C04">
        <w:t xml:space="preserve"> specifický v tom, že je</w:t>
      </w:r>
      <w:r w:rsidRPr="00273106">
        <w:t xml:space="preserve"> dán </w:t>
      </w:r>
      <w:r w:rsidR="00E004DA">
        <w:t>společně</w:t>
      </w:r>
      <w:r w:rsidRPr="00273106">
        <w:t xml:space="preserve"> všem lidem z hlediska jimi produkovaného významu. Takto jednotný intelekt </w:t>
      </w:r>
      <w:r w:rsidR="00632C04">
        <w:t xml:space="preserve">v </w:t>
      </w:r>
      <w:r w:rsidR="086C74F6">
        <w:t>ab</w:t>
      </w:r>
      <w:r w:rsidR="08843AAF">
        <w:t>s</w:t>
      </w:r>
      <w:r w:rsidR="086C74F6">
        <w:t xml:space="preserve">trahovanému </w:t>
      </w:r>
      <w:r w:rsidR="00632C04">
        <w:t xml:space="preserve">modu </w:t>
      </w:r>
      <w:r w:rsidR="00632C04" w:rsidRPr="00632C04">
        <w:rPr>
          <w:i/>
        </w:rPr>
        <w:t xml:space="preserve">quartum </w:t>
      </w:r>
      <w:r w:rsidR="00B1298A">
        <w:rPr>
          <w:i/>
        </w:rPr>
        <w:t>genus</w:t>
      </w:r>
      <w:r w:rsidR="00632C04">
        <w:t xml:space="preserve"> </w:t>
      </w:r>
      <w:r w:rsidR="00C06AC2">
        <w:t xml:space="preserve">je universálie daná v esenciální </w:t>
      </w:r>
      <w:r w:rsidRPr="00273106">
        <w:t>individualitě, nematerialitě a obecnosti</w:t>
      </w:r>
      <w:r w:rsidR="00831434">
        <w:t xml:space="preserve">. </w:t>
      </w:r>
      <w:r w:rsidR="00831434" w:rsidRPr="00831434">
        <w:t>L'intelekt uchopený ve své ne</w:t>
      </w:r>
      <w:r w:rsidR="00831434">
        <w:t xml:space="preserve">materialitě </w:t>
      </w:r>
      <w:r w:rsidR="00831434" w:rsidRPr="00831434">
        <w:t xml:space="preserve">a obecnosti vytváří univerzální pojmy. Jednotu týkající se dvojího spekulativního intelektu (pojem, akt osoby v těle) </w:t>
      </w:r>
      <w:r w:rsidR="00EF5677">
        <w:t xml:space="preserve">je třeba doplnit o dvojí povahu </w:t>
      </w:r>
      <w:r w:rsidR="00EF5677" w:rsidRPr="00EF5677">
        <w:rPr>
          <w:i/>
        </w:rPr>
        <w:t>species</w:t>
      </w:r>
      <w:r w:rsidR="00EF5677">
        <w:t xml:space="preserve"> podle výkladu </w:t>
      </w:r>
      <w:r w:rsidR="00EF5677" w:rsidRPr="00EF5677">
        <w:rPr>
          <w:i/>
        </w:rPr>
        <w:t>Kategorií</w:t>
      </w:r>
      <w:r w:rsidR="00EF5677">
        <w:t xml:space="preserve">. Buď je smysl </w:t>
      </w:r>
      <w:r w:rsidR="00EF5677" w:rsidRPr="00EF5677">
        <w:rPr>
          <w:i/>
        </w:rPr>
        <w:t>species</w:t>
      </w:r>
      <w:r w:rsidR="00EF5677">
        <w:t xml:space="preserve"> určen impozicí, tedy nasvícení</w:t>
      </w:r>
      <w:r w:rsidR="00B4086C">
        <w:t>m</w:t>
      </w:r>
      <w:r w:rsidR="00EF5677">
        <w:t xml:space="preserve"> smyslu „</w:t>
      </w:r>
      <w:r w:rsidR="00EF5677" w:rsidRPr="00B4086C">
        <w:rPr>
          <w:i/>
        </w:rPr>
        <w:t>species</w:t>
      </w:r>
      <w:r w:rsidR="00EF5677">
        <w:t xml:space="preserve">“ zepředu od hyparchické </w:t>
      </w:r>
      <w:r w:rsidR="00B4086C">
        <w:t xml:space="preserve">první </w:t>
      </w:r>
      <w:r w:rsidR="00EF5677">
        <w:t>substance</w:t>
      </w:r>
      <w:r w:rsidR="00B4086C">
        <w:t>. N</w:t>
      </w:r>
      <w:r w:rsidR="00EF5677">
        <w:t xml:space="preserve">ebo </w:t>
      </w:r>
      <w:r w:rsidR="00B4086C">
        <w:t>je smysl „</w:t>
      </w:r>
      <w:r w:rsidR="00B4086C" w:rsidRPr="00B4086C">
        <w:rPr>
          <w:i/>
        </w:rPr>
        <w:t>species</w:t>
      </w:r>
      <w:r w:rsidR="00B4086C">
        <w:t xml:space="preserve">“ určen </w:t>
      </w:r>
      <w:r w:rsidR="00EF5677">
        <w:t xml:space="preserve">supozicí, tedy nasvícením zezadu, od vyššího univerzálního pojmu daného jako rod. </w:t>
      </w:r>
      <w:r w:rsidR="08F165D9">
        <w:t xml:space="preserve">Pojem </w:t>
      </w:r>
      <w:r w:rsidR="00A12F22">
        <w:t>„</w:t>
      </w:r>
      <w:r w:rsidR="00B1298A" w:rsidRPr="00A12F22">
        <w:t>species</w:t>
      </w:r>
      <w:r w:rsidR="00A12F22">
        <w:t>“</w:t>
      </w:r>
      <w:r w:rsidR="082E4233">
        <w:t xml:space="preserve"> je v prvním případě vztažený k</w:t>
      </w:r>
      <w:r w:rsidR="08F165D9">
        <w:t xml:space="preserve"> porušitelnému intencionálnímu předmětu </w:t>
      </w:r>
      <w:r w:rsidR="08843AAF">
        <w:t xml:space="preserve">danému v </w:t>
      </w:r>
      <w:r w:rsidR="08EA164D">
        <w:t>existenciálním výkonu intelektu. V</w:t>
      </w:r>
      <w:r w:rsidR="08F165D9">
        <w:t xml:space="preserve">e druhém případě </w:t>
      </w:r>
      <w:r w:rsidR="08EA164D">
        <w:t xml:space="preserve">patří </w:t>
      </w:r>
      <w:r w:rsidR="002E30FF" w:rsidRPr="002E30FF">
        <w:t>species</w:t>
      </w:r>
      <w:r w:rsidR="08EA164D">
        <w:t xml:space="preserve"> </w:t>
      </w:r>
      <w:r w:rsidR="08F165D9">
        <w:t>k obecnému pojmu</w:t>
      </w:r>
      <w:r w:rsidR="08843AAF">
        <w:t xml:space="preserve"> pojímanému jako abstrakce a vztaženému ke specificky pojatému lidskému intelektu</w:t>
      </w:r>
      <w:r w:rsidR="08CA4F67">
        <w:t>,</w:t>
      </w:r>
      <w:r w:rsidR="08843AAF">
        <w:t xml:space="preserve"> také danému jako abstrakce</w:t>
      </w:r>
      <w:r w:rsidR="08F165D9">
        <w:t>. J</w:t>
      </w:r>
      <w:r w:rsidR="08843AAF">
        <w:t xml:space="preserve">ednota obou definic intelektu </w:t>
      </w:r>
      <w:r w:rsidR="00221596" w:rsidRPr="00273106">
        <w:t xml:space="preserve">je </w:t>
      </w:r>
      <w:r w:rsidR="00736BC8" w:rsidRPr="00273106">
        <w:t>dána pouze nasvícením zepředu</w:t>
      </w:r>
      <w:r w:rsidR="006A499B">
        <w:t xml:space="preserve">, protože </w:t>
      </w:r>
      <w:r w:rsidR="00FD7A31" w:rsidRPr="00273106">
        <w:rPr>
          <w:i/>
        </w:rPr>
        <w:t>intellectus</w:t>
      </w:r>
      <w:r w:rsidR="00FD7A31" w:rsidRPr="00273106">
        <w:t xml:space="preserve"> </w:t>
      </w:r>
      <w:r w:rsidR="00221596" w:rsidRPr="00273106">
        <w:rPr>
          <w:i/>
        </w:rPr>
        <w:t>agens</w:t>
      </w:r>
      <w:r w:rsidR="00DF1F0F">
        <w:rPr>
          <w:i/>
        </w:rPr>
        <w:fldChar w:fldCharType="begin"/>
      </w:r>
      <w:r w:rsidR="00DF1F0F">
        <w:instrText xml:space="preserve"> XE "</w:instrText>
      </w:r>
      <w:r w:rsidR="006A499B" w:rsidRPr="006A499B">
        <w:instrText>zjevování:nasvícení zepředu</w:instrText>
      </w:r>
      <w:r w:rsidR="00DF1F0F">
        <w:instrText xml:space="preserve">" </w:instrText>
      </w:r>
      <w:r w:rsidR="00DF1F0F">
        <w:rPr>
          <w:i/>
        </w:rPr>
        <w:fldChar w:fldCharType="end"/>
      </w:r>
      <w:r w:rsidR="00221596" w:rsidRPr="00273106">
        <w:t xml:space="preserve"> </w:t>
      </w:r>
      <w:r w:rsidR="085F14E3">
        <w:t xml:space="preserve">a </w:t>
      </w:r>
      <w:r w:rsidR="085F14E3" w:rsidRPr="085F14E3">
        <w:rPr>
          <w:i/>
        </w:rPr>
        <w:t>speculativus</w:t>
      </w:r>
      <w:r w:rsidR="085F14E3">
        <w:t xml:space="preserve"> </w:t>
      </w:r>
      <w:r w:rsidR="00196072">
        <w:t>působí</w:t>
      </w:r>
      <w:r w:rsidR="00221596" w:rsidRPr="00273106">
        <w:t xml:space="preserve"> </w:t>
      </w:r>
      <w:r w:rsidR="00221596" w:rsidRPr="00273106">
        <w:rPr>
          <w:color w:val="000000"/>
        </w:rPr>
        <w:t xml:space="preserve">pouze </w:t>
      </w:r>
      <w:r w:rsidR="00221596" w:rsidRPr="00273106">
        <w:t xml:space="preserve">skrze </w:t>
      </w:r>
      <w:r w:rsidR="00196072" w:rsidRPr="00273106">
        <w:rPr>
          <w:i/>
        </w:rPr>
        <w:t>intellectus</w:t>
      </w:r>
      <w:r w:rsidR="00196072" w:rsidRPr="00273106">
        <w:t xml:space="preserve"> </w:t>
      </w:r>
      <w:r w:rsidR="00221596" w:rsidRPr="00273106">
        <w:rPr>
          <w:i/>
        </w:rPr>
        <w:t>possibilis</w:t>
      </w:r>
      <w:r w:rsidR="00221596" w:rsidRPr="00273106">
        <w:t xml:space="preserve">. </w:t>
      </w:r>
      <w:r w:rsidR="00027243" w:rsidRPr="00027243">
        <w:t xml:space="preserve">Protože vše chápeme smysly a tělem, abstrakce se odehrává ve vztahu k této kauzálně dané činnosti. Pak provádíme vědeckou dedukci lidského intelektu v modalitě pravdy jako </w:t>
      </w:r>
      <w:r w:rsidR="00027243" w:rsidRPr="00027243">
        <w:rPr>
          <w:i/>
        </w:rPr>
        <w:t>proportio</w:t>
      </w:r>
      <w:r w:rsidR="00027243" w:rsidRPr="00027243">
        <w:t xml:space="preserve">. Predikace následuje po </w:t>
      </w:r>
      <w:r w:rsidR="00027243">
        <w:t xml:space="preserve">impozici </w:t>
      </w:r>
      <w:r w:rsidR="00027243" w:rsidRPr="00027243">
        <w:t xml:space="preserve">existenciálního </w:t>
      </w:r>
      <w:r w:rsidR="00027243" w:rsidRPr="00027243">
        <w:rPr>
          <w:i/>
        </w:rPr>
        <w:t>intellectus possibilis</w:t>
      </w:r>
      <w:r w:rsidR="00027243">
        <w:t xml:space="preserve"> jako první</w:t>
      </w:r>
      <w:r w:rsidR="00027243" w:rsidRPr="00027243">
        <w:t xml:space="preserve"> </w:t>
      </w:r>
      <w:r w:rsidR="009C5DA9">
        <w:t xml:space="preserve">predikované </w:t>
      </w:r>
      <w:r w:rsidR="00027243">
        <w:t>species, která</w:t>
      </w:r>
      <w:r w:rsidR="00027243" w:rsidRPr="00027243">
        <w:t xml:space="preserve"> stojí hned vedle tělesně </w:t>
      </w:r>
      <w:r w:rsidR="00027243">
        <w:t xml:space="preserve">prováděné </w:t>
      </w:r>
      <w:r w:rsidR="00027243" w:rsidRPr="00027243">
        <w:t>operace myšlen</w:t>
      </w:r>
      <w:r w:rsidR="00027243">
        <w:t>í v člověku jako první substanci (</w:t>
      </w:r>
      <w:r w:rsidR="00027243" w:rsidRPr="00027243">
        <w:rPr>
          <w:i/>
        </w:rPr>
        <w:t>ex inmediatis</w:t>
      </w:r>
      <w:r w:rsidR="00027243">
        <w:t>)</w:t>
      </w:r>
      <w:r w:rsidR="00027243" w:rsidRPr="00027243">
        <w:t>.</w:t>
      </w:r>
      <w:r w:rsidR="00027243">
        <w:t xml:space="preserve"> Tato </w:t>
      </w:r>
      <w:r w:rsidR="005973E0">
        <w:t xml:space="preserve">primární </w:t>
      </w:r>
      <w:r w:rsidR="00027243">
        <w:t xml:space="preserve">pozice </w:t>
      </w:r>
      <w:r w:rsidR="00623413">
        <w:t xml:space="preserve">zajišťuje </w:t>
      </w:r>
      <w:r w:rsidR="00027243">
        <w:t>kauz</w:t>
      </w:r>
      <w:r w:rsidR="00623413">
        <w:t xml:space="preserve">alitu intelektu </w:t>
      </w:r>
      <w:r w:rsidR="00027243">
        <w:t>ve středním členu deduktivního</w:t>
      </w:r>
      <w:r w:rsidR="00027243" w:rsidRPr="00027243">
        <w:t xml:space="preserve"> sylogismu </w:t>
      </w:r>
      <w:r w:rsidR="00027243">
        <w:t>(</w:t>
      </w:r>
      <w:r w:rsidR="00027243" w:rsidRPr="00027243">
        <w:rPr>
          <w:i/>
        </w:rPr>
        <w:t>medium</w:t>
      </w:r>
      <w:r w:rsidR="00027243">
        <w:t>)</w:t>
      </w:r>
      <w:r w:rsidR="00C606C6">
        <w:t xml:space="preserve">. Pak je nutně deduktivně dána také univočně </w:t>
      </w:r>
      <w:r w:rsidR="00027243" w:rsidRPr="00027243">
        <w:t>vytvořen</w:t>
      </w:r>
      <w:r w:rsidR="00C606C6">
        <w:t>á supozice</w:t>
      </w:r>
      <w:r w:rsidR="00027243" w:rsidRPr="00027243">
        <w:t xml:space="preserve"> dalších dvou druhů aktivního intelektu (</w:t>
      </w:r>
      <w:r w:rsidR="00027243" w:rsidRPr="00C606C6">
        <w:rPr>
          <w:i/>
        </w:rPr>
        <w:t>agens, speculativus</w:t>
      </w:r>
      <w:r w:rsidR="00027243" w:rsidRPr="00027243">
        <w:t xml:space="preserve">), které zaručují jednotu intelektuálního obsahu pro všechny lidi. Takto pravdivě predikovaný možný intelekt nemůže být hypostatickou substancí modernistů. </w:t>
      </w:r>
      <w:r w:rsidR="00C606C6">
        <w:t xml:space="preserve">Proto spis CMDA odmítl </w:t>
      </w:r>
      <w:r w:rsidR="00027243" w:rsidRPr="00027243">
        <w:t xml:space="preserve">Themistiův a Alexandrův </w:t>
      </w:r>
      <w:r w:rsidR="00027243" w:rsidRPr="00C606C6">
        <w:rPr>
          <w:i/>
        </w:rPr>
        <w:t>intellectus possibilis</w:t>
      </w:r>
      <w:r w:rsidR="00027243" w:rsidRPr="00027243">
        <w:t xml:space="preserve"> oddělen</w:t>
      </w:r>
      <w:r w:rsidR="00C606C6">
        <w:t>ý</w:t>
      </w:r>
      <w:r w:rsidR="00027243" w:rsidRPr="00027243">
        <w:t xml:space="preserve"> od poznávající fyzické osoby.</w:t>
      </w:r>
      <w:r w:rsidR="00C606C6">
        <w:t xml:space="preserve"> </w:t>
      </w:r>
      <w:r w:rsidR="00085ADA">
        <w:t xml:space="preserve">Receptivní složka </w:t>
      </w:r>
      <w:r w:rsidR="0828206E">
        <w:t>intelektu</w:t>
      </w:r>
      <w:r w:rsidR="08C7119A">
        <w:t xml:space="preserve"> </w:t>
      </w:r>
      <w:r w:rsidR="00085ADA">
        <w:t xml:space="preserve">je </w:t>
      </w:r>
      <w:r w:rsidR="08C7119A">
        <w:t xml:space="preserve">pouhá </w:t>
      </w:r>
      <w:r w:rsidR="001E26F6" w:rsidRPr="00273106">
        <w:rPr>
          <w:color w:val="000000"/>
        </w:rPr>
        <w:t xml:space="preserve">potence duše, </w:t>
      </w:r>
      <w:r w:rsidR="00085ADA">
        <w:rPr>
          <w:color w:val="000000"/>
        </w:rPr>
        <w:t xml:space="preserve">protože substanci tvoří </w:t>
      </w:r>
      <w:r w:rsidR="00E00C0E">
        <w:rPr>
          <w:color w:val="000000"/>
        </w:rPr>
        <w:t xml:space="preserve">pouze a jedině </w:t>
      </w:r>
      <w:r w:rsidR="001E26F6" w:rsidRPr="00273106">
        <w:rPr>
          <w:color w:val="000000"/>
        </w:rPr>
        <w:t>aktuální výkon existence</w:t>
      </w:r>
      <w:r w:rsidR="082F771F">
        <w:rPr>
          <w:color w:val="000000"/>
        </w:rPr>
        <w:t xml:space="preserve"> reálné osoby</w:t>
      </w:r>
      <w:r w:rsidR="001E26F6" w:rsidRPr="00273106">
        <w:rPr>
          <w:color w:val="000000"/>
        </w:rPr>
        <w:t xml:space="preserve">. </w:t>
      </w:r>
      <w:r w:rsidR="08A52719">
        <w:rPr>
          <w:color w:val="000000"/>
        </w:rPr>
        <w:t>D</w:t>
      </w:r>
      <w:r w:rsidR="001E26F6" w:rsidRPr="00273106">
        <w:rPr>
          <w:color w:val="000000"/>
        </w:rPr>
        <w:t xml:space="preserve">íky této univerzální receptivitě </w:t>
      </w:r>
      <w:r w:rsidR="00CA4455" w:rsidRPr="0087582B">
        <w:rPr>
          <w:i/>
          <w:lang w:eastAsia="x-none"/>
        </w:rPr>
        <w:t>anima intellectiva</w:t>
      </w:r>
      <w:r w:rsidR="00CA4455">
        <w:rPr>
          <w:i/>
          <w:lang w:eastAsia="x-none"/>
        </w:rPr>
        <w:t xml:space="preserve"> </w:t>
      </w:r>
      <w:r w:rsidR="00CA4455">
        <w:rPr>
          <w:lang w:eastAsia="x-none"/>
        </w:rPr>
        <w:t>dané</w:t>
      </w:r>
      <w:r w:rsidR="00CA4455" w:rsidRPr="00CA4455">
        <w:rPr>
          <w:lang w:eastAsia="x-none"/>
        </w:rPr>
        <w:t xml:space="preserve"> v těle </w:t>
      </w:r>
      <w:r w:rsidR="08867136">
        <w:rPr>
          <w:color w:val="000000"/>
        </w:rPr>
        <w:t xml:space="preserve">jako </w:t>
      </w:r>
      <w:r w:rsidR="08476B34">
        <w:rPr>
          <w:color w:val="000000"/>
        </w:rPr>
        <w:t>nositel</w:t>
      </w:r>
      <w:r w:rsidR="08867136">
        <w:rPr>
          <w:color w:val="000000"/>
        </w:rPr>
        <w:t>i</w:t>
      </w:r>
      <w:r w:rsidR="001E26F6" w:rsidRPr="00273106">
        <w:rPr>
          <w:color w:val="000000"/>
        </w:rPr>
        <w:t xml:space="preserve"> poznání (</w:t>
      </w:r>
      <w:r w:rsidR="001E26F6" w:rsidRPr="00273106">
        <w:rPr>
          <w:i/>
          <w:color w:val="000000"/>
        </w:rPr>
        <w:t>subiectum</w:t>
      </w:r>
      <w:r w:rsidR="004C27BA">
        <w:rPr>
          <w:i/>
          <w:color w:val="000000"/>
        </w:rPr>
        <w:fldChar w:fldCharType="begin"/>
      </w:r>
      <w:r w:rsidR="004C27BA">
        <w:instrText xml:space="preserve"> XE "</w:instrText>
      </w:r>
      <w:r w:rsidR="004C27BA" w:rsidRPr="00360013">
        <w:rPr>
          <w:i/>
        </w:rPr>
        <w:instrText>subiectum:</w:instrText>
      </w:r>
      <w:r w:rsidR="005677B5">
        <w:instrText>duše</w:instrText>
      </w:r>
      <w:r w:rsidR="004C27BA">
        <w:instrText xml:space="preserve">" </w:instrText>
      </w:r>
      <w:r w:rsidR="004C27BA">
        <w:rPr>
          <w:i/>
          <w:color w:val="000000"/>
        </w:rPr>
        <w:fldChar w:fldCharType="end"/>
      </w:r>
      <w:r w:rsidR="00CA4455">
        <w:rPr>
          <w:color w:val="000000"/>
        </w:rPr>
        <w:t xml:space="preserve">), </w:t>
      </w:r>
      <w:r w:rsidR="001E26F6" w:rsidRPr="00273106">
        <w:rPr>
          <w:color w:val="000000"/>
        </w:rPr>
        <w:t xml:space="preserve">je nemateriální </w:t>
      </w:r>
      <w:r w:rsidR="001E26F6" w:rsidRPr="00273106">
        <w:rPr>
          <w:i/>
          <w:color w:val="000000"/>
        </w:rPr>
        <w:t>intellectus possibilis</w:t>
      </w:r>
      <w:r w:rsidR="001E26F6" w:rsidRPr="00273106">
        <w:rPr>
          <w:color w:val="000000"/>
        </w:rPr>
        <w:t xml:space="preserve"> schopen </w:t>
      </w:r>
      <w:r w:rsidR="009F0C38">
        <w:rPr>
          <w:color w:val="000000"/>
        </w:rPr>
        <w:t>intencionálně přijmout všechna</w:t>
      </w:r>
      <w:r w:rsidR="001E26F6" w:rsidRPr="00273106">
        <w:rPr>
          <w:color w:val="000000"/>
        </w:rPr>
        <w:t xml:space="preserve"> </w:t>
      </w:r>
      <w:r w:rsidR="002E30FF" w:rsidRPr="002E30FF">
        <w:rPr>
          <w:color w:val="000000"/>
        </w:rPr>
        <w:t>species</w:t>
      </w:r>
      <w:r w:rsidR="001E26F6" w:rsidRPr="00273106">
        <w:rPr>
          <w:color w:val="000000"/>
        </w:rPr>
        <w:t xml:space="preserve"> tak, jak jsou d</w:t>
      </w:r>
      <w:r w:rsidR="00885594" w:rsidRPr="00273106">
        <w:rPr>
          <w:color w:val="000000"/>
        </w:rPr>
        <w:t>ána skrze smyslovou zkušenost</w:t>
      </w:r>
      <w:r w:rsidR="001E26F6" w:rsidRPr="00273106">
        <w:rPr>
          <w:color w:val="000000"/>
        </w:rPr>
        <w:t xml:space="preserve">. </w:t>
      </w:r>
      <w:r w:rsidR="00F674B2" w:rsidRPr="00273106">
        <w:t>Možný</w:t>
      </w:r>
      <w:r w:rsidR="00221596" w:rsidRPr="00273106">
        <w:t xml:space="preserve"> intelekt má </w:t>
      </w:r>
      <w:r w:rsidR="083552CD">
        <w:t xml:space="preserve">reálnou </w:t>
      </w:r>
      <w:r w:rsidR="00847DA9">
        <w:t xml:space="preserve">kognitivní </w:t>
      </w:r>
      <w:r w:rsidR="00221596" w:rsidRPr="00273106">
        <w:t xml:space="preserve">schopnost stát se subjektem </w:t>
      </w:r>
      <w:r w:rsidR="00221596" w:rsidRPr="00273106">
        <w:rPr>
          <w:i/>
        </w:rPr>
        <w:t>in potentia</w:t>
      </w:r>
      <w:r w:rsidR="00221596" w:rsidRPr="00273106">
        <w:t xml:space="preserve"> pro to, co je </w:t>
      </w:r>
      <w:r w:rsidR="00221596" w:rsidRPr="00273106">
        <w:rPr>
          <w:color w:val="000000"/>
        </w:rPr>
        <w:t xml:space="preserve">na </w:t>
      </w:r>
      <w:r w:rsidR="00221596" w:rsidRPr="00273106">
        <w:rPr>
          <w:color w:val="000000"/>
        </w:rPr>
        <w:lastRenderedPageBreak/>
        <w:t>smyslových fanta</w:t>
      </w:r>
      <w:r w:rsidR="08D40436">
        <w:rPr>
          <w:color w:val="000000"/>
        </w:rPr>
        <w:t xml:space="preserve">smatech intelligibilní. Proto lidský </w:t>
      </w:r>
      <w:r w:rsidR="00206EF0" w:rsidRPr="00273106">
        <w:rPr>
          <w:color w:val="000000"/>
        </w:rPr>
        <w:t xml:space="preserve">intelekt </w:t>
      </w:r>
      <w:r w:rsidR="08D40436">
        <w:rPr>
          <w:color w:val="000000"/>
        </w:rPr>
        <w:t xml:space="preserve">není </w:t>
      </w:r>
      <w:r w:rsidR="08B20106">
        <w:rPr>
          <w:color w:val="000000"/>
        </w:rPr>
        <w:t xml:space="preserve">ani karteziánskou </w:t>
      </w:r>
      <w:r w:rsidR="000C657F" w:rsidRPr="00273106">
        <w:rPr>
          <w:color w:val="000000"/>
        </w:rPr>
        <w:t>aktuální substancí</w:t>
      </w:r>
      <w:r w:rsidR="08D40436">
        <w:rPr>
          <w:color w:val="000000"/>
        </w:rPr>
        <w:t xml:space="preserve"> ani porretánskou pseudo-substancí danou ve formě nějaké neoplatonské hypostáze</w:t>
      </w:r>
      <w:r w:rsidR="083552CD">
        <w:rPr>
          <w:color w:val="000000"/>
        </w:rPr>
        <w:t>. T</w:t>
      </w:r>
      <w:r w:rsidR="00221596" w:rsidRPr="00273106">
        <w:rPr>
          <w:color w:val="000000"/>
        </w:rPr>
        <w:t>o by by</w:t>
      </w:r>
      <w:r w:rsidR="000C657F" w:rsidRPr="00273106">
        <w:rPr>
          <w:color w:val="000000"/>
        </w:rPr>
        <w:t xml:space="preserve">l </w:t>
      </w:r>
      <w:r w:rsidR="08135CD4">
        <w:rPr>
          <w:color w:val="000000"/>
        </w:rPr>
        <w:t xml:space="preserve">intelekt </w:t>
      </w:r>
      <w:r w:rsidR="000C657F" w:rsidRPr="00273106">
        <w:rPr>
          <w:color w:val="000000"/>
        </w:rPr>
        <w:t>aktuální a ne potenciální</w:t>
      </w:r>
      <w:r w:rsidR="00206EF0" w:rsidRPr="00273106">
        <w:rPr>
          <w:color w:val="000000"/>
        </w:rPr>
        <w:t>, a nemohl by poznávat vše</w:t>
      </w:r>
      <w:r w:rsidR="083552CD">
        <w:rPr>
          <w:color w:val="000000"/>
        </w:rPr>
        <w:t xml:space="preserve">. </w:t>
      </w:r>
      <w:r w:rsidR="08135CD4">
        <w:rPr>
          <w:color w:val="000000"/>
        </w:rPr>
        <w:t>Receptivní část intelektu není založena smyslově jako u avicennistů a alexandrovců</w:t>
      </w:r>
      <w:r w:rsidR="083552CD">
        <w:rPr>
          <w:color w:val="000000"/>
        </w:rPr>
        <w:t xml:space="preserve">. </w:t>
      </w:r>
      <w:r w:rsidR="08964FB5">
        <w:rPr>
          <w:color w:val="000000"/>
        </w:rPr>
        <w:t xml:space="preserve">Čistě hylická forma </w:t>
      </w:r>
      <w:r w:rsidR="08E07F23" w:rsidRPr="08E07F23">
        <w:rPr>
          <w:i/>
          <w:color w:val="000000"/>
        </w:rPr>
        <w:t>intellectus materialis</w:t>
      </w:r>
      <w:r w:rsidR="08E07F23">
        <w:rPr>
          <w:color w:val="000000"/>
        </w:rPr>
        <w:t xml:space="preserve"> </w:t>
      </w:r>
      <w:r w:rsidR="08964FB5">
        <w:rPr>
          <w:color w:val="000000"/>
        </w:rPr>
        <w:t>nemůže</w:t>
      </w:r>
      <w:r w:rsidR="00221596" w:rsidRPr="00273106">
        <w:rPr>
          <w:color w:val="000000"/>
        </w:rPr>
        <w:t xml:space="preserve"> tvořit jednotu s aktivním in</w:t>
      </w:r>
      <w:r w:rsidR="000C657F" w:rsidRPr="00273106">
        <w:rPr>
          <w:color w:val="000000"/>
        </w:rPr>
        <w:t>telektem, který je nemateriální</w:t>
      </w:r>
      <w:r w:rsidR="00DA1DBE">
        <w:rPr>
          <w:color w:val="000000"/>
        </w:rPr>
        <w:t xml:space="preserve"> schopnost duše</w:t>
      </w:r>
      <w:r w:rsidR="00221596" w:rsidRPr="00273106">
        <w:rPr>
          <w:color w:val="000000"/>
        </w:rPr>
        <w:t>.</w:t>
      </w:r>
    </w:p>
    <w:p w14:paraId="7D415D6E" w14:textId="0C6D3E24" w:rsidR="08CB4342" w:rsidRDefault="00AF24A9" w:rsidP="006F15FA">
      <w:pPr>
        <w:ind w:firstLine="397"/>
      </w:pPr>
      <w:r w:rsidRPr="00273106">
        <w:t xml:space="preserve">Albert shrnuje </w:t>
      </w:r>
      <w:r w:rsidR="002E3B62">
        <w:t>Averroes</w:t>
      </w:r>
      <w:r w:rsidRPr="00273106">
        <w:t xml:space="preserve">ovu syntézu obou forem z hlediska pojetí </w:t>
      </w:r>
      <w:r w:rsidRPr="00273106">
        <w:rPr>
          <w:i/>
        </w:rPr>
        <w:t>intellectus possibilis</w:t>
      </w:r>
      <w:r w:rsidRPr="00273106">
        <w:t>.</w:t>
      </w:r>
      <w:r w:rsidRPr="00273106">
        <w:rPr>
          <w:rStyle w:val="Znakapoznpodarou"/>
        </w:rPr>
        <w:footnoteReference w:id="244"/>
      </w:r>
      <w:r w:rsidRPr="00273106">
        <w:t xml:space="preserve"> Ten je porušitelný a </w:t>
      </w:r>
      <w:r w:rsidR="08F9110C">
        <w:t xml:space="preserve">proto </w:t>
      </w:r>
      <w:r w:rsidR="00C53B32">
        <w:t xml:space="preserve">aktuálně </w:t>
      </w:r>
      <w:r w:rsidR="08F9110C">
        <w:t>odlišný v každém člověku. J</w:t>
      </w:r>
      <w:r w:rsidRPr="00273106">
        <w:t>eho reálný výkon (</w:t>
      </w:r>
      <w:r w:rsidRPr="00273106">
        <w:rPr>
          <w:i/>
        </w:rPr>
        <w:t>intellecta speculativa</w:t>
      </w:r>
      <w:r w:rsidRPr="00273106">
        <w:t xml:space="preserve">) je vázaný na individuální první substanci. Ale díky své nematerialitě dané jako formální jednota myšleného je </w:t>
      </w:r>
      <w:r w:rsidRPr="00273106">
        <w:rPr>
          <w:i/>
        </w:rPr>
        <w:t>intellectus possibilis</w:t>
      </w:r>
      <w:r w:rsidRPr="00273106">
        <w:t xml:space="preserve"> jeden a věčný</w:t>
      </w:r>
      <w:r w:rsidR="0009748E" w:rsidRPr="00273106">
        <w:t xml:space="preserve">, proto funguje pouze jako </w:t>
      </w:r>
      <w:r w:rsidR="002E3B62">
        <w:t>Averroes</w:t>
      </w:r>
      <w:r w:rsidR="0009748E" w:rsidRPr="00273106">
        <w:t xml:space="preserve">ovo </w:t>
      </w:r>
      <w:r w:rsidR="0009748E" w:rsidRPr="00273106">
        <w:rPr>
          <w:i/>
        </w:rPr>
        <w:t xml:space="preserve">quartum </w:t>
      </w:r>
      <w:r w:rsidR="00B1298A">
        <w:rPr>
          <w:i/>
        </w:rPr>
        <w:t>genus</w:t>
      </w:r>
      <w:r w:rsidR="005D121F">
        <w:rPr>
          <w:i/>
        </w:rPr>
        <w:fldChar w:fldCharType="begin"/>
      </w:r>
      <w:r w:rsidR="005D121F">
        <w:instrText xml:space="preserve"> XE "</w:instrText>
      </w:r>
      <w:r w:rsidR="005D121F" w:rsidRPr="00AE39EF">
        <w:rPr>
          <w:i/>
        </w:rPr>
        <w:instrText>quartum genus</w:instrText>
      </w:r>
      <w:r w:rsidR="005D121F">
        <w:instrText xml:space="preserve">" </w:instrText>
      </w:r>
      <w:r w:rsidR="005D121F">
        <w:rPr>
          <w:i/>
        </w:rPr>
        <w:fldChar w:fldCharType="end"/>
      </w:r>
      <w:r w:rsidR="0009748E" w:rsidRPr="00273106">
        <w:t xml:space="preserve">. </w:t>
      </w:r>
      <w:r w:rsidRPr="00273106">
        <w:t xml:space="preserve">Opět platí </w:t>
      </w:r>
      <w:r w:rsidR="08EE426D">
        <w:t xml:space="preserve">kategoriální </w:t>
      </w:r>
      <w:r w:rsidR="00062575" w:rsidRPr="00273106">
        <w:t xml:space="preserve">rozlišení </w:t>
      </w:r>
      <w:r w:rsidRPr="00273106">
        <w:t>dvou pohledů</w:t>
      </w:r>
      <w:r w:rsidR="08EE426D">
        <w:t xml:space="preserve"> na intelekt dané v podle vztahu první a druhé kategorie</w:t>
      </w:r>
      <w:r w:rsidR="08AD4E8E">
        <w:t xml:space="preserve"> </w:t>
      </w:r>
      <w:r w:rsidR="08EE426D">
        <w:t>(</w:t>
      </w:r>
      <w:r w:rsidR="08EE426D" w:rsidRPr="00C66B65">
        <w:rPr>
          <w:i/>
        </w:rPr>
        <w:t>Cat</w:t>
      </w:r>
      <w:r w:rsidR="08EE426D">
        <w:t xml:space="preserve">. </w:t>
      </w:r>
      <w:r w:rsidR="08EE426D" w:rsidRPr="00273106">
        <w:t>2a11–16</w:t>
      </w:r>
      <w:r w:rsidR="08EE426D">
        <w:fldChar w:fldCharType="begin"/>
      </w:r>
      <w:r w:rsidR="08EE426D">
        <w:instrText xml:space="preserve"> XE "Aristoteles:</w:instrText>
      </w:r>
      <w:r w:rsidR="08EE426D" w:rsidRPr="00940FA0">
        <w:rPr>
          <w:i/>
        </w:rPr>
        <w:instrText>Cat</w:instrText>
      </w:r>
      <w:r w:rsidR="08EE426D" w:rsidRPr="00940FA0">
        <w:instrText>. 2a11–16</w:instrText>
      </w:r>
      <w:r w:rsidR="08EE426D">
        <w:instrText xml:space="preserve">" </w:instrText>
      </w:r>
      <w:r w:rsidR="08EE426D">
        <w:fldChar w:fldCharType="end"/>
      </w:r>
      <w:r w:rsidR="08EE426D">
        <w:t>). B</w:t>
      </w:r>
      <w:r w:rsidRPr="00273106">
        <w:t xml:space="preserve">uď je </w:t>
      </w:r>
      <w:r w:rsidRPr="00273106">
        <w:rPr>
          <w:i/>
        </w:rPr>
        <w:t>intellectus possibilis</w:t>
      </w:r>
      <w:r w:rsidRPr="00273106">
        <w:t xml:space="preserve"> individualizovaný výkon myšlení prod</w:t>
      </w:r>
      <w:r w:rsidR="001073E4">
        <w:t>uk</w:t>
      </w:r>
      <w:r w:rsidRPr="00273106">
        <w:t xml:space="preserve">ující </w:t>
      </w:r>
      <w:r w:rsidR="002E30FF" w:rsidRPr="002E30FF">
        <w:t>species</w:t>
      </w:r>
      <w:r w:rsidR="0828206E">
        <w:t>. N</w:t>
      </w:r>
      <w:r w:rsidRPr="00273106">
        <w:t xml:space="preserve">ebo jej vidíme jako formální substrát </w:t>
      </w:r>
      <w:r w:rsidR="00C53B32">
        <w:t xml:space="preserve">lidstva jako druhu </w:t>
      </w:r>
      <w:r w:rsidR="001073E4">
        <w:t xml:space="preserve">(tj. </w:t>
      </w:r>
      <w:r w:rsidR="002E30FF" w:rsidRPr="002E30FF">
        <w:t>species</w:t>
      </w:r>
      <w:r w:rsidR="001073E4">
        <w:t xml:space="preserve">) </w:t>
      </w:r>
      <w:r w:rsidRPr="00273106">
        <w:t>produk</w:t>
      </w:r>
      <w:r w:rsidR="00D9755C" w:rsidRPr="00273106">
        <w:t>ující</w:t>
      </w:r>
      <w:r w:rsidR="00C53B32">
        <w:t>ho</w:t>
      </w:r>
      <w:r w:rsidR="00D9755C" w:rsidRPr="00273106">
        <w:t xml:space="preserve"> myšlené a poznané </w:t>
      </w:r>
      <w:r w:rsidR="08DC28DF">
        <w:t xml:space="preserve">univerzální </w:t>
      </w:r>
      <w:r w:rsidR="00D9755C" w:rsidRPr="00273106">
        <w:t>obsahy</w:t>
      </w:r>
      <w:r w:rsidR="08DC28DF">
        <w:t xml:space="preserve"> a poznání</w:t>
      </w:r>
      <w:r w:rsidR="00D9755C" w:rsidRPr="00273106">
        <w:t>.</w:t>
      </w:r>
      <w:r w:rsidR="001073E4">
        <w:t xml:space="preserve"> </w:t>
      </w:r>
      <w:r w:rsidR="002E30FF">
        <w:t>Pak intelekt–</w:t>
      </w:r>
      <w:r w:rsidR="002E30FF" w:rsidRPr="002E30FF">
        <w:t>species</w:t>
      </w:r>
      <w:r w:rsidR="080F7DE4">
        <w:t xml:space="preserve"> odpovídá na univoční úrovni predikace univerzálním poznatkům daným na úrovni lidstva jako </w:t>
      </w:r>
      <w:r w:rsidR="002E30FF" w:rsidRPr="002E30FF">
        <w:t>species</w:t>
      </w:r>
      <w:r w:rsidR="080F7DE4">
        <w:t xml:space="preserve">. </w:t>
      </w:r>
      <w:r w:rsidR="001073E4">
        <w:t xml:space="preserve">Mezi těmito oběma formami </w:t>
      </w:r>
      <w:r w:rsidR="00226C39">
        <w:t xml:space="preserve">intelektu (existenciální výkon, abstraktní pojem) </w:t>
      </w:r>
      <w:r w:rsidR="002A61AD">
        <w:t xml:space="preserve">nemůže existovat žádné </w:t>
      </w:r>
      <w:r w:rsidR="08A10ADF">
        <w:t xml:space="preserve">třetí </w:t>
      </w:r>
      <w:r w:rsidR="002E30FF" w:rsidRPr="002E30FF">
        <w:t>species</w:t>
      </w:r>
      <w:r w:rsidR="002A61AD">
        <w:t xml:space="preserve"> intelektu jako </w:t>
      </w:r>
      <w:r w:rsidR="00225BCF">
        <w:t>av</w:t>
      </w:r>
      <w:r w:rsidR="002A61AD">
        <w:t>icennovské, porretánské či postmoderní jsoucno třetího druhu.</w:t>
      </w:r>
      <w:r w:rsidR="08520C81">
        <w:t xml:space="preserve"> </w:t>
      </w:r>
      <w:r w:rsidR="004444A1" w:rsidRPr="00273106">
        <w:t xml:space="preserve">Albert </w:t>
      </w:r>
      <w:r w:rsidR="08520C81">
        <w:t xml:space="preserve">proto zásadně </w:t>
      </w:r>
      <w:r w:rsidR="004444A1" w:rsidRPr="00273106">
        <w:t xml:space="preserve">odmítá všechny teorie tehdejších </w:t>
      </w:r>
      <w:r w:rsidR="004444A1" w:rsidRPr="00273106">
        <w:rPr>
          <w:i/>
        </w:rPr>
        <w:t>Modernorum</w:t>
      </w:r>
      <w:r w:rsidR="08DE18BB">
        <w:t>, kteří podobně jako a</w:t>
      </w:r>
      <w:r w:rsidR="004444A1" w:rsidRPr="00273106">
        <w:t>lexandrovci</w:t>
      </w:r>
      <w:r w:rsidR="001762A8">
        <w:fldChar w:fldCharType="begin"/>
      </w:r>
      <w:r w:rsidR="001762A8">
        <w:instrText xml:space="preserve"> XE "</w:instrText>
      </w:r>
      <w:r w:rsidR="08DE18BB">
        <w:instrText>alexandrovci</w:instrText>
      </w:r>
      <w:r w:rsidR="001762A8">
        <w:instrText xml:space="preserve">" </w:instrText>
      </w:r>
      <w:r w:rsidR="001762A8">
        <w:fldChar w:fldCharType="end"/>
      </w:r>
      <w:r w:rsidR="004444A1" w:rsidRPr="00273106">
        <w:t xml:space="preserve"> za časů </w:t>
      </w:r>
      <w:r w:rsidR="002E3B62">
        <w:t>Averroes</w:t>
      </w:r>
      <w:r w:rsidR="004444A1" w:rsidRPr="00273106">
        <w:t xml:space="preserve">e trvají na smyslové podstatě </w:t>
      </w:r>
      <w:r w:rsidR="004444A1"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5D121F" w:rsidRPr="005D121F">
        <w:instrText>:druhý averroismus</w:instrText>
      </w:r>
      <w:r w:rsidR="009D323B">
        <w:instrText xml:space="preserve">" </w:instrText>
      </w:r>
      <w:r w:rsidR="009D323B">
        <w:rPr>
          <w:i/>
        </w:rPr>
        <w:fldChar w:fldCharType="end"/>
      </w:r>
      <w:r w:rsidR="004444A1" w:rsidRPr="00273106">
        <w:t xml:space="preserve">. Nebudeme se vracet ke všem problémům, které teorie materiálního intelektu produkuje, </w:t>
      </w:r>
      <w:r w:rsidR="08471457">
        <w:t xml:space="preserve">protože to již popsala </w:t>
      </w:r>
      <w:r w:rsidR="004444A1" w:rsidRPr="00273106">
        <w:t xml:space="preserve">první matrice objektivity. </w:t>
      </w:r>
      <w:r w:rsidR="00221596" w:rsidRPr="00273106">
        <w:rPr>
          <w:color w:val="000000"/>
        </w:rPr>
        <w:t xml:space="preserve">Všechny </w:t>
      </w:r>
      <w:r w:rsidR="08471457">
        <w:rPr>
          <w:color w:val="000000"/>
        </w:rPr>
        <w:t xml:space="preserve">klíčové </w:t>
      </w:r>
      <w:r w:rsidR="00221596" w:rsidRPr="00273106">
        <w:rPr>
          <w:color w:val="000000"/>
        </w:rPr>
        <w:t xml:space="preserve">vlastnosti </w:t>
      </w:r>
      <w:r w:rsidR="00800344">
        <w:rPr>
          <w:color w:val="000000"/>
        </w:rPr>
        <w:t xml:space="preserve">intelektu </w:t>
      </w:r>
      <w:r w:rsidR="08471457">
        <w:rPr>
          <w:color w:val="000000"/>
        </w:rPr>
        <w:t xml:space="preserve">dané </w:t>
      </w:r>
      <w:r w:rsidR="00800344">
        <w:rPr>
          <w:color w:val="000000"/>
        </w:rPr>
        <w:t xml:space="preserve">podle </w:t>
      </w:r>
      <w:r w:rsidR="00800344" w:rsidRPr="00800344">
        <w:rPr>
          <w:i/>
          <w:color w:val="000000"/>
        </w:rPr>
        <w:t>De anima</w:t>
      </w:r>
      <w:r w:rsidR="00800344">
        <w:rPr>
          <w:color w:val="000000"/>
        </w:rPr>
        <w:t xml:space="preserve"> </w:t>
      </w:r>
      <w:r w:rsidR="00221596" w:rsidRPr="00273106">
        <w:rPr>
          <w:color w:val="000000"/>
        </w:rPr>
        <w:t xml:space="preserve">splňuje jedině a pouze </w:t>
      </w:r>
      <w:r w:rsidR="002E3B62">
        <w:rPr>
          <w:color w:val="000000"/>
        </w:rPr>
        <w:t>Averroes</w:t>
      </w:r>
      <w:r w:rsidR="00221596" w:rsidRPr="00273106">
        <w:rPr>
          <w:color w:val="000000"/>
        </w:rPr>
        <w:t xml:space="preserve">ův koncept možného intelektu v CMDA. </w:t>
      </w:r>
      <w:r w:rsidR="00B36DF2">
        <w:rPr>
          <w:color w:val="000000"/>
        </w:rPr>
        <w:t>To je základní teze všech vrcholných představitelů školy prvního averroismu</w:t>
      </w:r>
      <w:r w:rsidR="004A77A8">
        <w:rPr>
          <w:color w:val="000000"/>
        </w:rPr>
        <w:t xml:space="preserve">, </w:t>
      </w:r>
      <w:r w:rsidR="082E7153">
        <w:rPr>
          <w:color w:val="000000"/>
        </w:rPr>
        <w:t>kterou odmítli pouze oba semiaverroisté</w:t>
      </w:r>
      <w:r w:rsidR="081804EA">
        <w:rPr>
          <w:color w:val="000000"/>
        </w:rPr>
        <w:fldChar w:fldCharType="begin"/>
      </w:r>
      <w:r w:rsidR="081804EA">
        <w:instrText xml:space="preserve"> XE "</w:instrText>
      </w:r>
      <w:r w:rsidR="081804EA" w:rsidRPr="08317374">
        <w:rPr>
          <w:color w:val="000000"/>
        </w:rPr>
        <w:instrText>semiaverroismus</w:instrText>
      </w:r>
      <w:r w:rsidR="081804EA">
        <w:instrText xml:space="preserve">" </w:instrText>
      </w:r>
      <w:r w:rsidR="081804EA">
        <w:rPr>
          <w:color w:val="000000"/>
        </w:rPr>
        <w:fldChar w:fldCharType="end"/>
      </w:r>
      <w:r w:rsidR="081804EA">
        <w:rPr>
          <w:color w:val="000000"/>
        </w:rPr>
        <w:t xml:space="preserve"> z této školy</w:t>
      </w:r>
      <w:r w:rsidR="082E7153">
        <w:rPr>
          <w:color w:val="000000"/>
        </w:rPr>
        <w:t xml:space="preserve">, tedy Tomáš </w:t>
      </w:r>
      <w:r w:rsidR="004A77A8">
        <w:rPr>
          <w:color w:val="000000"/>
        </w:rPr>
        <w:t>Akvinsk</w:t>
      </w:r>
      <w:r w:rsidR="082E7153">
        <w:rPr>
          <w:color w:val="000000"/>
        </w:rPr>
        <w:t xml:space="preserve">ý </w:t>
      </w:r>
      <w:r w:rsidR="004A77A8">
        <w:rPr>
          <w:color w:val="000000"/>
        </w:rPr>
        <w:t>a Aegidi</w:t>
      </w:r>
      <w:r w:rsidR="082E7153">
        <w:rPr>
          <w:color w:val="000000"/>
        </w:rPr>
        <w:t>us Romanus</w:t>
      </w:r>
      <w:r w:rsidR="00B36DF2">
        <w:rPr>
          <w:color w:val="000000"/>
        </w:rPr>
        <w:t xml:space="preserve">. </w:t>
      </w:r>
      <w:r w:rsidR="089F5F9A">
        <w:rPr>
          <w:color w:val="000000"/>
        </w:rPr>
        <w:t xml:space="preserve">Ti mají </w:t>
      </w:r>
      <w:r w:rsidR="089F0750">
        <w:rPr>
          <w:color w:val="000000"/>
        </w:rPr>
        <w:t>výsled</w:t>
      </w:r>
      <w:r w:rsidR="081804EA">
        <w:rPr>
          <w:color w:val="000000"/>
        </w:rPr>
        <w:t xml:space="preserve">nou jednotu intelektu dualistickou </w:t>
      </w:r>
      <w:r w:rsidR="08DA2816">
        <w:rPr>
          <w:color w:val="000000"/>
        </w:rPr>
        <w:t>podle Toledské školy</w:t>
      </w:r>
      <w:r w:rsidR="088D42E9">
        <w:rPr>
          <w:color w:val="000000"/>
        </w:rPr>
        <w:fldChar w:fldCharType="begin"/>
      </w:r>
      <w:r w:rsidR="088D42E9">
        <w:instrText xml:space="preserve"> XE "</w:instrText>
      </w:r>
      <w:r w:rsidR="088D42E9" w:rsidRPr="08597547">
        <w:rPr>
          <w:color w:val="000000"/>
        </w:rPr>
        <w:instrText>Toledská škola</w:instrText>
      </w:r>
      <w:r w:rsidR="088D42E9">
        <w:instrText xml:space="preserve">" </w:instrText>
      </w:r>
      <w:r w:rsidR="088D42E9">
        <w:rPr>
          <w:color w:val="000000"/>
        </w:rPr>
        <w:fldChar w:fldCharType="end"/>
      </w:r>
      <w:r w:rsidR="08DA2816">
        <w:rPr>
          <w:color w:val="000000"/>
        </w:rPr>
        <w:t xml:space="preserve">, a to </w:t>
      </w:r>
      <w:r w:rsidR="089F0750">
        <w:rPr>
          <w:color w:val="000000"/>
        </w:rPr>
        <w:t xml:space="preserve">buď </w:t>
      </w:r>
      <w:r w:rsidR="081804EA">
        <w:rPr>
          <w:color w:val="000000"/>
        </w:rPr>
        <w:t xml:space="preserve">podle substančního (Aegidius) nebo formálně hypostázovaného </w:t>
      </w:r>
      <w:r w:rsidR="081804EA">
        <w:rPr>
          <w:color w:val="000000"/>
        </w:rPr>
        <w:lastRenderedPageBreak/>
        <w:t>intelektu (Akvinský</w:t>
      </w:r>
      <w:r w:rsidR="088D42E9">
        <w:rPr>
          <w:color w:val="000000"/>
        </w:rPr>
        <w:t>)</w:t>
      </w:r>
      <w:r w:rsidR="081804EA">
        <w:rPr>
          <w:color w:val="000000"/>
        </w:rPr>
        <w:t xml:space="preserve">. </w:t>
      </w:r>
      <w:r w:rsidR="00C04985">
        <w:rPr>
          <w:color w:val="000000"/>
        </w:rPr>
        <w:t xml:space="preserve">Albert hájí v podstatných bodech výklad </w:t>
      </w:r>
      <w:r w:rsidR="00C04985" w:rsidRPr="081804EA">
        <w:rPr>
          <w:i/>
          <w:color w:val="000000"/>
        </w:rPr>
        <w:t xml:space="preserve">De anima </w:t>
      </w:r>
      <w:r w:rsidR="00C04985">
        <w:rPr>
          <w:color w:val="000000"/>
        </w:rPr>
        <w:t xml:space="preserve">podle Sicilské školy, na rozdíl od obou semiaverroistů. </w:t>
      </w:r>
      <w:r w:rsidR="08602BB5">
        <w:rPr>
          <w:color w:val="000000"/>
        </w:rPr>
        <w:t xml:space="preserve">Autentický výklad </w:t>
      </w:r>
      <w:r w:rsidR="08602BB5" w:rsidRPr="08602BB5">
        <w:rPr>
          <w:i/>
          <w:color w:val="000000"/>
        </w:rPr>
        <w:t>De anima</w:t>
      </w:r>
      <w:r w:rsidR="08602BB5">
        <w:rPr>
          <w:color w:val="000000"/>
        </w:rPr>
        <w:t xml:space="preserve"> podle CMDA spojil všechny složky </w:t>
      </w:r>
      <w:r w:rsidR="00221596" w:rsidRPr="00273106">
        <w:rPr>
          <w:color w:val="000000"/>
        </w:rPr>
        <w:t xml:space="preserve">poznání </w:t>
      </w:r>
      <w:r w:rsidR="08602BB5">
        <w:rPr>
          <w:color w:val="000000"/>
        </w:rPr>
        <w:t xml:space="preserve">do aktu </w:t>
      </w:r>
      <w:r w:rsidR="08980DEC">
        <w:rPr>
          <w:color w:val="000000"/>
        </w:rPr>
        <w:t xml:space="preserve">existující </w:t>
      </w:r>
      <w:r w:rsidR="00221596" w:rsidRPr="00273106">
        <w:rPr>
          <w:color w:val="000000"/>
        </w:rPr>
        <w:t>osoby</w:t>
      </w:r>
      <w:r w:rsidR="08602BB5">
        <w:rPr>
          <w:color w:val="000000"/>
        </w:rPr>
        <w:t xml:space="preserve">. Tím </w:t>
      </w:r>
      <w:r w:rsidR="080E2913">
        <w:rPr>
          <w:color w:val="000000"/>
        </w:rPr>
        <w:t xml:space="preserve">Albert </w:t>
      </w:r>
      <w:r w:rsidR="08602BB5">
        <w:rPr>
          <w:color w:val="000000"/>
        </w:rPr>
        <w:t>dokázal</w:t>
      </w:r>
      <w:r w:rsidR="00221596" w:rsidRPr="00273106">
        <w:rPr>
          <w:color w:val="000000"/>
        </w:rPr>
        <w:t xml:space="preserve">, že separovaný činný intelekt </w:t>
      </w:r>
      <w:r w:rsidR="08602BB5">
        <w:rPr>
          <w:color w:val="000000"/>
        </w:rPr>
        <w:t xml:space="preserve">působící v duši podle </w:t>
      </w:r>
      <w:r w:rsidR="08602BB5" w:rsidRPr="08602BB5">
        <w:rPr>
          <w:i/>
          <w:color w:val="000000"/>
        </w:rPr>
        <w:t>sequaces Aristotelis</w:t>
      </w:r>
      <w:r w:rsidR="08602BB5">
        <w:rPr>
          <w:color w:val="000000"/>
        </w:rPr>
        <w:t xml:space="preserve"> </w:t>
      </w:r>
      <w:r w:rsidR="00221596" w:rsidRPr="00273106">
        <w:rPr>
          <w:color w:val="000000"/>
        </w:rPr>
        <w:t>je nesmysl</w:t>
      </w:r>
      <w:r w:rsidR="00AC71ED">
        <w:rPr>
          <w:color w:val="000000"/>
        </w:rPr>
        <w:t xml:space="preserve"> a sofistické simulákrum</w:t>
      </w:r>
      <w:r w:rsidR="00221596" w:rsidRPr="00273106">
        <w:rPr>
          <w:color w:val="000000"/>
        </w:rPr>
        <w:t xml:space="preserve">. Podle </w:t>
      </w:r>
      <w:r w:rsidR="002E3B62">
        <w:rPr>
          <w:color w:val="000000"/>
        </w:rPr>
        <w:t>Averroes</w:t>
      </w:r>
      <w:r w:rsidR="00221596" w:rsidRPr="00273106">
        <w:rPr>
          <w:color w:val="000000"/>
        </w:rPr>
        <w:t>e i podle Alberta by takový oddělený aktivní intelek</w:t>
      </w:r>
      <w:r w:rsidR="085B4C1B" w:rsidRPr="00273106">
        <w:rPr>
          <w:color w:val="000000"/>
        </w:rPr>
        <w:t>t nemohl nic poznat (</w:t>
      </w:r>
      <w:r w:rsidR="00221596" w:rsidRPr="00273106">
        <w:rPr>
          <w:i/>
          <w:color w:val="000000"/>
        </w:rPr>
        <w:t>intellectus agens</w:t>
      </w:r>
      <w:r w:rsidR="00DF1F0F">
        <w:rPr>
          <w:i/>
          <w:color w:val="000000"/>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color w:val="000000"/>
        </w:rPr>
        <w:fldChar w:fldCharType="end"/>
      </w:r>
      <w:r w:rsidR="00221596" w:rsidRPr="00273106">
        <w:rPr>
          <w:i/>
          <w:color w:val="000000"/>
        </w:rPr>
        <w:t xml:space="preserve"> secundum se separatus a possibili nihil intelligit</w:t>
      </w:r>
      <w:r w:rsidR="085B4C1B" w:rsidRPr="00273106">
        <w:rPr>
          <w:color w:val="000000"/>
        </w:rPr>
        <w:t xml:space="preserve">; </w:t>
      </w:r>
      <w:r w:rsidR="00404583" w:rsidRPr="00273106">
        <w:rPr>
          <w:rStyle w:val="TextpoznpodarouChar"/>
        </w:rPr>
        <w:t xml:space="preserve">q. 55, solutio, ad 1; </w:t>
      </w:r>
      <w:r w:rsidR="00221596" w:rsidRPr="00273106">
        <w:rPr>
          <w:color w:val="000000"/>
        </w:rPr>
        <w:t>p. 476</w:t>
      </w:r>
      <w:r w:rsidR="001F6970" w:rsidRPr="00273106">
        <w:rPr>
          <w:color w:val="000000"/>
        </w:rPr>
        <w:t>a</w:t>
      </w:r>
      <w:r w:rsidR="005D121F">
        <w:fldChar w:fldCharType="begin"/>
      </w:r>
      <w:r w:rsidR="005D121F">
        <w:instrText xml:space="preserve"> XE "Albert:</w:instrText>
      </w:r>
      <w:r w:rsidR="005D121F" w:rsidRPr="00A7106E">
        <w:rPr>
          <w:i/>
        </w:rPr>
        <w:instrText>De homine</w:instrText>
      </w:r>
      <w:r w:rsidR="005D121F">
        <w:rPr>
          <w:i/>
        </w:rPr>
        <w:instrText xml:space="preserve"> </w:instrText>
      </w:r>
      <w:r w:rsidR="005D121F">
        <w:instrText>476</w:instrText>
      </w:r>
      <w:r w:rsidR="005D121F" w:rsidRPr="00A7106E">
        <w:instrText>b</w:instrText>
      </w:r>
      <w:r w:rsidR="005D121F">
        <w:instrText xml:space="preserve">" </w:instrText>
      </w:r>
      <w:r w:rsidR="005D121F">
        <w:fldChar w:fldCharType="end"/>
      </w:r>
      <w:r w:rsidR="00221596" w:rsidRPr="00273106">
        <w:rPr>
          <w:color w:val="000000"/>
        </w:rPr>
        <w:t>)</w:t>
      </w:r>
      <w:r w:rsidR="0070501A" w:rsidRPr="00273106">
        <w:rPr>
          <w:color w:val="000000"/>
        </w:rPr>
        <w:t>.</w:t>
      </w:r>
      <w:r w:rsidR="00221596" w:rsidRPr="00273106">
        <w:rPr>
          <w:color w:val="000000"/>
        </w:rPr>
        <w:t xml:space="preserve"> </w:t>
      </w:r>
      <w:r w:rsidR="00FF7F43">
        <w:rPr>
          <w:color w:val="000000"/>
        </w:rPr>
        <w:t>T</w:t>
      </w:r>
      <w:r w:rsidR="00221596" w:rsidRPr="00273106">
        <w:t xml:space="preserve">ento </w:t>
      </w:r>
      <w:r w:rsidR="00221596" w:rsidRPr="00273106">
        <w:rPr>
          <w:i/>
        </w:rPr>
        <w:t>intel</w:t>
      </w:r>
      <w:r w:rsidR="004D3A5B">
        <w:rPr>
          <w:i/>
        </w:rPr>
        <w:t>l</w:t>
      </w:r>
      <w:r w:rsidR="00221596" w:rsidRPr="00273106">
        <w:rPr>
          <w:i/>
        </w:rPr>
        <w:t>ectus possibilis</w:t>
      </w:r>
      <w:r w:rsidR="00221596" w:rsidRPr="00273106">
        <w:t xml:space="preserve"> díky své nemateriální, a tím i univerzální receptivitě, může přijímat i separované obsahy prvních zcela oddělených inteligencí (</w:t>
      </w:r>
      <w:r w:rsidR="00221596" w:rsidRPr="00273106">
        <w:rPr>
          <w:i/>
        </w:rPr>
        <w:t>actum intelligendi habeat quemdam ab intelligentiis separatis</w:t>
      </w:r>
      <w:r w:rsidR="00221596" w:rsidRPr="00273106">
        <w:t xml:space="preserve">). Ale to buď až po smrti, kdy je jako nemateriální </w:t>
      </w:r>
      <w:r w:rsidR="08A140BA">
        <w:t>složka oddělený od těla, nebo výji</w:t>
      </w:r>
      <w:r w:rsidR="00221596" w:rsidRPr="00273106">
        <w:t>mečně v prorockém snu (</w:t>
      </w:r>
      <w:r w:rsidR="00B60DB7" w:rsidRPr="00273106">
        <w:t>q. 56, a. 4, solutio, ad 4;</w:t>
      </w:r>
      <w:r w:rsidR="00221596" w:rsidRPr="00273106">
        <w:t xml:space="preserve"> p. 484</w:t>
      </w:r>
      <w:r w:rsidR="001F6970" w:rsidRPr="00273106">
        <w:t>a</w:t>
      </w:r>
      <w:r w:rsidR="00BF2129">
        <w:fldChar w:fldCharType="begin"/>
      </w:r>
      <w:r w:rsidR="00BF2129">
        <w:instrText xml:space="preserve"> XE "Albert:</w:instrText>
      </w:r>
      <w:r w:rsidR="00BF2129" w:rsidRPr="00A7106E">
        <w:rPr>
          <w:i/>
        </w:rPr>
        <w:instrText>De homine</w:instrText>
      </w:r>
      <w:r w:rsidR="00BF2129">
        <w:rPr>
          <w:i/>
        </w:rPr>
        <w:instrText xml:space="preserve"> </w:instrText>
      </w:r>
      <w:r w:rsidR="00BF2129">
        <w:instrText xml:space="preserve">484a" </w:instrText>
      </w:r>
      <w:r w:rsidR="00BF2129">
        <w:fldChar w:fldCharType="end"/>
      </w:r>
      <w:r w:rsidR="00221596" w:rsidRPr="00273106">
        <w:t xml:space="preserve">). </w:t>
      </w:r>
      <w:r w:rsidR="08CB4342" w:rsidRPr="00273106">
        <w:t>Stejně to před ním provedl pařížský biskup Al</w:t>
      </w:r>
      <w:r w:rsidR="08CB4342">
        <w:t>vernus (kap. 2</w:t>
      </w:r>
      <w:r w:rsidR="08CB4342" w:rsidRPr="00273106">
        <w:t>.3</w:t>
      </w:r>
      <w:r w:rsidR="08CB4342">
        <w:t xml:space="preserve">.2). </w:t>
      </w:r>
      <w:r w:rsidR="00221596" w:rsidRPr="00273106">
        <w:t xml:space="preserve">Touto úpravou konformní s rámcem nemateriální receptivity možného intelektu Albert </w:t>
      </w:r>
      <w:r w:rsidR="001A7B94" w:rsidRPr="00273106">
        <w:t xml:space="preserve">integroval </w:t>
      </w:r>
      <w:r w:rsidR="00221596" w:rsidRPr="00273106">
        <w:t xml:space="preserve">do systému prvního averroismu i velkou část teologicky potřebné augustiniánské iluminace naroubované na Avicennův </w:t>
      </w:r>
      <w:r w:rsidR="00221596" w:rsidRPr="00273106">
        <w:rPr>
          <w:i/>
        </w:rPr>
        <w:t>intellectus sanctus</w:t>
      </w:r>
      <w:r w:rsidR="00AE6EEC">
        <w:rPr>
          <w:i/>
        </w:rPr>
        <w:fldChar w:fldCharType="begin"/>
      </w:r>
      <w:r w:rsidR="00AE6EEC">
        <w:instrText xml:space="preserve"> XE "</w:instrText>
      </w:r>
      <w:r w:rsidR="00AE6EEC" w:rsidRPr="00473DEE">
        <w:rPr>
          <w:i/>
        </w:rPr>
        <w:instrText>intellectus sanctus</w:instrText>
      </w:r>
      <w:r w:rsidR="00AE6EEC">
        <w:instrText xml:space="preserve">" </w:instrText>
      </w:r>
      <w:r w:rsidR="00AE6EEC">
        <w:rPr>
          <w:i/>
        </w:rPr>
        <w:fldChar w:fldCharType="end"/>
      </w:r>
      <w:r w:rsidR="00221596" w:rsidRPr="00273106">
        <w:t xml:space="preserve">. </w:t>
      </w:r>
    </w:p>
    <w:p w14:paraId="4FAA4D41" w14:textId="63FBFC17" w:rsidR="000072B9" w:rsidRPr="00273106" w:rsidRDefault="000072B9" w:rsidP="08CB4342">
      <w:pPr>
        <w:ind w:firstLine="397"/>
      </w:pPr>
      <w:r w:rsidRPr="00273106">
        <w:t xml:space="preserve">Podívejme se na klíčovou část komentáře </w:t>
      </w:r>
      <w:r w:rsidR="00612F5E" w:rsidRPr="00273106">
        <w:t xml:space="preserve">ke třetí knize </w:t>
      </w:r>
      <w:r w:rsidR="00B713C5">
        <w:rPr>
          <w:i/>
        </w:rPr>
        <w:t>De anima</w:t>
      </w:r>
      <w:r w:rsidRPr="00273106">
        <w:t xml:space="preserve"> </w:t>
      </w:r>
      <w:r w:rsidR="00612F5E" w:rsidRPr="00273106">
        <w:t xml:space="preserve">psaném </w:t>
      </w:r>
      <w:r w:rsidR="08B76DDA">
        <w:t xml:space="preserve">někdy roku </w:t>
      </w:r>
      <w:r w:rsidR="00612F5E" w:rsidRPr="00273106">
        <w:t xml:space="preserve">1255, která </w:t>
      </w:r>
      <w:r w:rsidR="003A241A">
        <w:t xml:space="preserve">komplexně </w:t>
      </w:r>
      <w:r w:rsidRPr="00273106">
        <w:t>odmít</w:t>
      </w:r>
      <w:r w:rsidR="00612F5E" w:rsidRPr="00273106">
        <w:t>á</w:t>
      </w:r>
      <w:r w:rsidRPr="00273106">
        <w:t xml:space="preserve"> </w:t>
      </w:r>
      <w:r w:rsidR="003A241A">
        <w:t xml:space="preserve">nauku modernistů nazvanou </w:t>
      </w:r>
      <w:r w:rsidR="005F42FB">
        <w:t xml:space="preserve">termínem </w:t>
      </w:r>
      <w:r w:rsidRPr="00273106">
        <w:rPr>
          <w:i/>
        </w:rPr>
        <w:t>opinio Latinorum</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Pr="00273106">
        <w:t xml:space="preserve"> (</w:t>
      </w:r>
      <w:r w:rsidRPr="00273106">
        <w:rPr>
          <w:i/>
        </w:rPr>
        <w:t>Liber III De anima</w:t>
      </w:r>
      <w:r w:rsidRPr="00273106">
        <w:t xml:space="preserve">, tract. II, cap. 11). Albertova kritika </w:t>
      </w:r>
      <w:r w:rsidR="00527FBB">
        <w:t xml:space="preserve">augustiniánských </w:t>
      </w:r>
      <w:r w:rsidR="00270FB7">
        <w:t xml:space="preserve">avicennistů </w:t>
      </w:r>
      <w:r w:rsidRPr="00273106">
        <w:t xml:space="preserve">si bere na pomoc </w:t>
      </w:r>
      <w:r w:rsidR="00270FB7">
        <w:t xml:space="preserve">i </w:t>
      </w:r>
      <w:r w:rsidRPr="00273106">
        <w:t xml:space="preserve">Avicennu, ale argumentuje z pozice </w:t>
      </w:r>
      <w:r w:rsidR="002E3B62">
        <w:t>Averroes</w:t>
      </w:r>
      <w:r w:rsidRPr="00273106">
        <w:t xml:space="preserve">e. Podle Avicenny tvoří </w:t>
      </w:r>
      <w:r w:rsidRPr="00273106">
        <w:rPr>
          <w:i/>
        </w:rPr>
        <w:t>intellectus possibilis</w:t>
      </w:r>
      <w:r w:rsidRPr="00273106">
        <w:t xml:space="preserve"> pouze </w:t>
      </w:r>
      <w:r w:rsidR="00D30CC9">
        <w:t xml:space="preserve">jednu ze schopností </w:t>
      </w:r>
      <w:r w:rsidRPr="00273106">
        <w:t xml:space="preserve">duše, </w:t>
      </w:r>
      <w:r w:rsidR="00D30CC9">
        <w:t xml:space="preserve">proto </w:t>
      </w:r>
      <w:r w:rsidRPr="00273106">
        <w:t xml:space="preserve">nemůže být individualizovanou substancí na způsob </w:t>
      </w:r>
      <w:r w:rsidRPr="00273106">
        <w:rPr>
          <w:i/>
        </w:rPr>
        <w:t>hoc aliquid</w:t>
      </w:r>
      <w:r w:rsidRPr="00273106">
        <w:t>.</w:t>
      </w:r>
      <w:r w:rsidRPr="00273106">
        <w:rPr>
          <w:rStyle w:val="Znakapoznpodarou"/>
        </w:rPr>
        <w:footnoteReference w:id="245"/>
      </w:r>
      <w:r w:rsidRPr="00273106">
        <w:t xml:space="preserve"> Tím se Avicenna přibližuje pojetí Aristotela a Komentátora</w:t>
      </w:r>
      <w:r w:rsidR="089862F2">
        <w:t xml:space="preserve"> (</w:t>
      </w:r>
      <w:r w:rsidR="08215884">
        <w:rPr>
          <w:i/>
        </w:rPr>
        <w:t>Avicennae</w:t>
      </w:r>
      <w:r w:rsidR="089862F2" w:rsidRPr="089862F2">
        <w:rPr>
          <w:i/>
        </w:rPr>
        <w:t xml:space="preserve"> dicta accipiamus</w:t>
      </w:r>
      <w:r w:rsidR="089862F2">
        <w:t>)</w:t>
      </w:r>
      <w:r w:rsidR="00EA3267">
        <w:t xml:space="preserve">. Tento avicennismus je chybný, </w:t>
      </w:r>
      <w:r w:rsidR="007240DB">
        <w:t xml:space="preserve">za což později </w:t>
      </w:r>
      <w:r w:rsidR="00EA3267">
        <w:t xml:space="preserve">Siger </w:t>
      </w:r>
      <w:r w:rsidR="007240DB">
        <w:t>krit</w:t>
      </w:r>
      <w:r w:rsidR="08874AA9">
        <w:t>i</w:t>
      </w:r>
      <w:r w:rsidR="08AA4F27">
        <w:t xml:space="preserve">zoval </w:t>
      </w:r>
      <w:r w:rsidR="00EA3267">
        <w:t xml:space="preserve">Alberta </w:t>
      </w:r>
      <w:r w:rsidR="08AA4F27">
        <w:t>(OBJ III, kap. 4</w:t>
      </w:r>
      <w:r w:rsidR="08D20859">
        <w:t>.4.4</w:t>
      </w:r>
      <w:r w:rsidR="007240DB">
        <w:t>)</w:t>
      </w:r>
      <w:r w:rsidRPr="00273106">
        <w:t xml:space="preserve">. </w:t>
      </w:r>
      <w:r w:rsidR="08B30061" w:rsidRPr="00273106">
        <w:t xml:space="preserve">Předložená kritika </w:t>
      </w:r>
      <w:r w:rsidR="08B30061" w:rsidRPr="00273106">
        <w:rPr>
          <w:i/>
        </w:rPr>
        <w:t>Latinorum</w:t>
      </w:r>
      <w:r w:rsidR="08B30061" w:rsidRPr="00273106">
        <w:t xml:space="preserve"> ukazuje vznik objektivního jsoucna, který popíšeme v následujících kapitolách věnovaných hlavním představitelům druhého averrroismu kolem 1250, tedy pseudo-Grossetestemu, Rufusovi a Kilwardbymu.</w:t>
      </w:r>
      <w:r w:rsidR="08B30061">
        <w:t xml:space="preserve"> </w:t>
      </w:r>
      <w:r w:rsidR="007F2713">
        <w:t xml:space="preserve">Albertovi moderní </w:t>
      </w:r>
      <w:r w:rsidR="00E52BEF">
        <w:t xml:space="preserve">současníci </w:t>
      </w:r>
      <w:r w:rsidRPr="00273106">
        <w:t xml:space="preserve">vytvářejí </w:t>
      </w:r>
      <w:r w:rsidR="08B134EE">
        <w:t xml:space="preserve">po vzoru Avicenny </w:t>
      </w:r>
      <w:r w:rsidRPr="00273106">
        <w:t xml:space="preserve">novou verzi neoplatonismu. Učení </w:t>
      </w:r>
      <w:r w:rsidRPr="00273106">
        <w:rPr>
          <w:i/>
        </w:rPr>
        <w:t>Latini</w:t>
      </w:r>
      <w:r w:rsidRPr="00273106">
        <w:t xml:space="preserve"> přeměnili koncept </w:t>
      </w:r>
      <w:r w:rsidRPr="00273106">
        <w:rPr>
          <w:i/>
        </w:rPr>
        <w:t>intellectus possibilis</w:t>
      </w:r>
      <w:r w:rsidR="009A5D69">
        <w:rPr>
          <w:i/>
        </w:rPr>
        <w:fldChar w:fldCharType="begin"/>
      </w:r>
      <w:r w:rsidR="009A5D69">
        <w:instrText xml:space="preserve"> XE "</w:instrText>
      </w:r>
      <w:r w:rsidR="009A5D69" w:rsidRPr="00F6639F">
        <w:rPr>
          <w:i/>
        </w:rPr>
        <w:instrText>intellectus possibilis</w:instrText>
      </w:r>
      <w:r w:rsidR="009A5D69" w:rsidRPr="009A5D69">
        <w:instrText>:druhý averroismus</w:instrText>
      </w:r>
      <w:r w:rsidR="009A5D69">
        <w:instrText xml:space="preserve">" </w:instrText>
      </w:r>
      <w:r w:rsidR="009A5D69">
        <w:rPr>
          <w:i/>
        </w:rPr>
        <w:fldChar w:fldCharType="end"/>
      </w:r>
      <w:r w:rsidRPr="00273106">
        <w:t xml:space="preserve"> podle prvního averroismu na čisté simulákrum, zcela v duchu </w:t>
      </w:r>
      <w:r w:rsidRPr="00273106">
        <w:lastRenderedPageBreak/>
        <w:t xml:space="preserve">dialogu </w:t>
      </w:r>
      <w:r w:rsidR="007F2713">
        <w:rPr>
          <w:i/>
        </w:rPr>
        <w:t>Sofiste</w:t>
      </w:r>
      <w:r w:rsidRPr="00273106">
        <w:rPr>
          <w:i/>
        </w:rPr>
        <w:t>s</w:t>
      </w:r>
      <w:r w:rsidRPr="00273106">
        <w:t>.</w:t>
      </w:r>
      <w:r w:rsidR="08AE07E2" w:rsidRPr="00273106">
        <w:rPr>
          <w:rStyle w:val="Znakapoznpodarou"/>
        </w:rPr>
        <w:footnoteReference w:id="246"/>
      </w:r>
      <w:r w:rsidRPr="00273106">
        <w:t xml:space="preserve"> Albert odmítá dualismus Latiníků</w:t>
      </w:r>
      <w:r w:rsidR="007F2713">
        <w:t xml:space="preserve"> po vzoru Alvernem odmítnutých </w:t>
      </w:r>
      <w:r w:rsidRPr="00273106">
        <w:rPr>
          <w:i/>
        </w:rPr>
        <w:t>sophistae Latini</w:t>
      </w:r>
      <w:r w:rsidR="005109BC">
        <w:rPr>
          <w:i/>
        </w:rPr>
        <w:fldChar w:fldCharType="begin"/>
      </w:r>
      <w:r w:rsidR="005109BC">
        <w:instrText xml:space="preserve"> XE "</w:instrText>
      </w:r>
      <w:r w:rsidR="009E6409" w:rsidRPr="009A5D69">
        <w:rPr>
          <w:lang w:eastAsia="en-US"/>
        </w:rPr>
        <w:instrText>druhý averroismus</w:instrText>
      </w:r>
      <w:r w:rsidR="009E6409">
        <w:rPr>
          <w:i/>
          <w:lang w:eastAsia="en-US"/>
        </w:rPr>
        <w:instrText>:</w:instrText>
      </w:r>
      <w:r w:rsidR="005109BC" w:rsidRPr="00EC0AF4">
        <w:rPr>
          <w:i/>
          <w:lang w:eastAsia="en-US"/>
        </w:rPr>
        <w:instrText>sophistae Latini</w:instrText>
      </w:r>
      <w:r w:rsidR="005109BC">
        <w:instrText xml:space="preserve">" </w:instrText>
      </w:r>
      <w:r w:rsidR="005109BC">
        <w:rPr>
          <w:i/>
        </w:rPr>
        <w:fldChar w:fldCharType="end"/>
      </w:r>
      <w:r w:rsidR="00A45A11">
        <w:t xml:space="preserve">, protože dublují realitu </w:t>
      </w:r>
      <w:r w:rsidR="00DB0531">
        <w:t xml:space="preserve">a osobu </w:t>
      </w:r>
      <w:r w:rsidR="00A45A11">
        <w:t>v modelu univerz</w:t>
      </w:r>
      <w:r w:rsidR="000765EE">
        <w:t>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A45A11">
        <w:t>.</w:t>
      </w:r>
    </w:p>
    <w:p w14:paraId="5362A009" w14:textId="008E77DC" w:rsidR="000072B9" w:rsidRPr="00B92FB7" w:rsidRDefault="000072B9" w:rsidP="00B92FB7">
      <w:pPr>
        <w:pStyle w:val="Citace"/>
      </w:pPr>
      <w:r w:rsidRPr="00B92FB7">
        <w:rPr>
          <w:rStyle w:val="FontStyle157"/>
          <w:rFonts w:ascii="Calibri" w:hAnsi="Calibri"/>
          <w:sz w:val="22"/>
        </w:rPr>
        <w:t>„Rac</w:t>
      </w:r>
      <w:r w:rsidR="00404544">
        <w:rPr>
          <w:rStyle w:val="FontStyle157"/>
          <w:rFonts w:ascii="Calibri" w:hAnsi="Calibri"/>
          <w:sz w:val="22"/>
        </w:rPr>
        <w:t>ionální duše je prý individu</w:t>
      </w:r>
      <w:r w:rsidR="00404544">
        <w:rPr>
          <w:rStyle w:val="FontStyle157"/>
          <w:rFonts w:ascii="Calibri" w:hAnsi="Calibri"/>
          <w:sz w:val="22"/>
          <w:lang w:val="cs-CZ"/>
        </w:rPr>
        <w:t>alizována</w:t>
      </w:r>
      <w:r w:rsidRPr="00B92FB7">
        <w:rPr>
          <w:rStyle w:val="FontStyle157"/>
          <w:rFonts w:ascii="Calibri" w:hAnsi="Calibri"/>
          <w:sz w:val="22"/>
        </w:rPr>
        <w:t xml:space="preserve"> dvojím způsobem</w:t>
      </w:r>
      <w:r w:rsidR="08BA4A23">
        <w:rPr>
          <w:rStyle w:val="FontStyle157"/>
          <w:rFonts w:ascii="Calibri" w:hAnsi="Calibri"/>
          <w:sz w:val="22"/>
          <w:lang w:val="cs-CZ"/>
        </w:rPr>
        <w:t xml:space="preserve"> </w:t>
      </w:r>
      <w:r w:rsidR="00A45A11">
        <w:rPr>
          <w:rStyle w:val="FontStyle157"/>
          <w:rFonts w:ascii="Calibri" w:hAnsi="Calibri"/>
          <w:sz w:val="22"/>
          <w:lang w:val="cs-CZ"/>
        </w:rPr>
        <w:t>(</w:t>
      </w:r>
      <w:r w:rsidR="00A45A11" w:rsidRPr="00A45A11">
        <w:rPr>
          <w:i/>
        </w:rPr>
        <w:t>duplici individuitate</w:t>
      </w:r>
      <w:r w:rsidR="00A45A11">
        <w:rPr>
          <w:rStyle w:val="FontStyle157"/>
          <w:rFonts w:ascii="Calibri" w:hAnsi="Calibri"/>
          <w:sz w:val="22"/>
          <w:lang w:val="cs-CZ"/>
        </w:rPr>
        <w:t>)</w:t>
      </w:r>
      <w:r w:rsidRPr="00B92FB7">
        <w:rPr>
          <w:rStyle w:val="FontStyle157"/>
          <w:rFonts w:ascii="Calibri" w:hAnsi="Calibri"/>
          <w:sz w:val="22"/>
        </w:rPr>
        <w:t xml:space="preserve">. Tvrdí o duši, že je </w:t>
      </w:r>
      <w:r w:rsidR="00D90269">
        <w:rPr>
          <w:rStyle w:val="FontStyle157"/>
          <w:rFonts w:ascii="Calibri" w:hAnsi="Calibri"/>
          <w:sz w:val="22"/>
          <w:lang w:val="cs-CZ"/>
        </w:rPr>
        <w:t>autonomní s</w:t>
      </w:r>
      <w:r w:rsidRPr="00B92FB7">
        <w:rPr>
          <w:rStyle w:val="FontStyle157"/>
          <w:rFonts w:ascii="Calibri" w:hAnsi="Calibri"/>
          <w:sz w:val="22"/>
        </w:rPr>
        <w:t>ubstance (</w:t>
      </w:r>
      <w:r w:rsidRPr="00B92FB7">
        <w:rPr>
          <w:rStyle w:val="FontStyle157"/>
          <w:rFonts w:ascii="Calibri" w:hAnsi="Calibri"/>
          <w:i/>
          <w:sz w:val="22"/>
        </w:rPr>
        <w:t>hoc aliquid</w:t>
      </w:r>
      <w:r w:rsidRPr="00B92FB7">
        <w:rPr>
          <w:rStyle w:val="FontStyle157"/>
          <w:rFonts w:ascii="Calibri" w:hAnsi="Calibri"/>
          <w:sz w:val="22"/>
        </w:rPr>
        <w:t xml:space="preserve">) </w:t>
      </w:r>
      <w:r w:rsidR="00D90269">
        <w:rPr>
          <w:rStyle w:val="FontStyle157"/>
          <w:rFonts w:ascii="Calibri" w:hAnsi="Calibri"/>
          <w:sz w:val="22"/>
          <w:lang w:val="cs-CZ"/>
        </w:rPr>
        <w:t xml:space="preserve">určená </w:t>
      </w:r>
      <w:r w:rsidRPr="00B92FB7">
        <w:rPr>
          <w:rStyle w:val="FontStyle157"/>
          <w:rFonts w:ascii="Calibri" w:hAnsi="Calibri"/>
          <w:sz w:val="22"/>
        </w:rPr>
        <w:t>skrze netělesnou a spirituální materii</w:t>
      </w:r>
      <w:r w:rsidR="00A45A11">
        <w:rPr>
          <w:rStyle w:val="FontStyle157"/>
          <w:rFonts w:ascii="Calibri" w:hAnsi="Calibri"/>
          <w:sz w:val="22"/>
          <w:lang w:val="cs-CZ"/>
        </w:rPr>
        <w:t xml:space="preserve"> (</w:t>
      </w:r>
      <w:r w:rsidR="00A45A11" w:rsidRPr="00A45A11">
        <w:rPr>
          <w:i/>
        </w:rPr>
        <w:t>per materiam incorpoream et spiritualem</w:t>
      </w:r>
      <w:r w:rsidR="00A45A11">
        <w:rPr>
          <w:rStyle w:val="FontStyle157"/>
          <w:rFonts w:ascii="Calibri" w:hAnsi="Calibri"/>
          <w:sz w:val="22"/>
          <w:lang w:val="cs-CZ"/>
        </w:rPr>
        <w:t>)</w:t>
      </w:r>
      <w:r w:rsidR="00E55B42">
        <w:rPr>
          <w:rStyle w:val="FontStyle157"/>
          <w:rFonts w:ascii="Calibri" w:hAnsi="Calibri"/>
          <w:sz w:val="22"/>
          <w:lang w:val="cs-CZ"/>
        </w:rPr>
        <w:t xml:space="preserve">. Tato materie nese duši jako </w:t>
      </w:r>
      <w:r w:rsidRPr="00B92FB7">
        <w:rPr>
          <w:rStyle w:val="FontStyle157"/>
          <w:rFonts w:ascii="Calibri" w:hAnsi="Calibri"/>
          <w:sz w:val="22"/>
        </w:rPr>
        <w:t>formu (</w:t>
      </w:r>
      <w:r w:rsidRPr="00B92FB7">
        <w:rPr>
          <w:rStyle w:val="FontStyle157"/>
          <w:rFonts w:ascii="Calibri" w:hAnsi="Calibri"/>
          <w:i/>
          <w:sz w:val="22"/>
        </w:rPr>
        <w:t>est subjectum formae ejus</w:t>
      </w:r>
      <w:r w:rsidRPr="00B92FB7">
        <w:rPr>
          <w:rStyle w:val="FontStyle157"/>
          <w:rFonts w:ascii="Calibri" w:hAnsi="Calibri"/>
          <w:sz w:val="22"/>
        </w:rPr>
        <w:t>). Z této formy dochází k další individuaci mimo její přirozenost (</w:t>
      </w:r>
      <w:r w:rsidRPr="00B92FB7">
        <w:rPr>
          <w:rStyle w:val="FontStyle157"/>
          <w:rFonts w:ascii="Calibri" w:hAnsi="Calibri"/>
          <w:i/>
          <w:sz w:val="22"/>
        </w:rPr>
        <w:t>individuans extra naturam ejus</w:t>
      </w:r>
      <w:r w:rsidRPr="00B92FB7">
        <w:rPr>
          <w:rStyle w:val="FontStyle157"/>
          <w:rFonts w:ascii="Calibri" w:hAnsi="Calibri"/>
          <w:sz w:val="22"/>
        </w:rPr>
        <w:t>), což je materiální tělo</w:t>
      </w:r>
      <w:r w:rsidR="0099182E">
        <w:rPr>
          <w:rStyle w:val="FontStyle157"/>
          <w:rFonts w:ascii="Calibri" w:hAnsi="Calibri"/>
          <w:sz w:val="22"/>
          <w:lang w:val="cs-CZ"/>
        </w:rPr>
        <w:t xml:space="preserve">. Duše jako forma pak vytváří jeho aktualitu </w:t>
      </w:r>
      <w:r w:rsidR="00C06B0F">
        <w:rPr>
          <w:rStyle w:val="FontStyle157"/>
          <w:rFonts w:ascii="Calibri" w:hAnsi="Calibri"/>
          <w:sz w:val="22"/>
          <w:lang w:val="cs-CZ"/>
        </w:rPr>
        <w:t>(</w:t>
      </w:r>
      <w:r w:rsidR="00C06B0F" w:rsidRPr="00C06B0F">
        <w:rPr>
          <w:i/>
        </w:rPr>
        <w:t>quod est corpus cujus ipsa est actus</w:t>
      </w:r>
      <w:r w:rsidR="00C06B0F">
        <w:rPr>
          <w:rStyle w:val="FontStyle157"/>
          <w:rFonts w:ascii="Calibri" w:hAnsi="Calibri"/>
          <w:sz w:val="22"/>
          <w:lang w:val="cs-CZ"/>
        </w:rPr>
        <w:t>)</w:t>
      </w:r>
      <w:r w:rsidRPr="00B92FB7">
        <w:rPr>
          <w:rStyle w:val="FontStyle157"/>
          <w:rFonts w:ascii="Calibri" w:hAnsi="Calibri"/>
          <w:sz w:val="22"/>
        </w:rPr>
        <w:t xml:space="preserve">. Tím ale říkají, že </w:t>
      </w:r>
      <w:r w:rsidR="088C0551">
        <w:rPr>
          <w:rStyle w:val="FontStyle157"/>
          <w:rFonts w:ascii="Calibri" w:hAnsi="Calibri"/>
          <w:sz w:val="22"/>
          <w:lang w:val="cs-CZ"/>
        </w:rPr>
        <w:t>ta</w:t>
      </w:r>
      <w:r w:rsidR="08AA4F27">
        <w:rPr>
          <w:rStyle w:val="FontStyle157"/>
          <w:rFonts w:ascii="Calibri" w:hAnsi="Calibri"/>
          <w:sz w:val="22"/>
          <w:lang w:val="cs-CZ"/>
        </w:rPr>
        <w:t xml:space="preserve">to </w:t>
      </w:r>
      <w:r w:rsidRPr="00B92FB7">
        <w:rPr>
          <w:rStyle w:val="FontStyle157"/>
          <w:rFonts w:ascii="Calibri" w:hAnsi="Calibri"/>
          <w:sz w:val="22"/>
        </w:rPr>
        <w:t>individuali</w:t>
      </w:r>
      <w:r w:rsidR="08166D27">
        <w:rPr>
          <w:rStyle w:val="FontStyle157"/>
          <w:rFonts w:ascii="Calibri" w:hAnsi="Calibri"/>
          <w:sz w:val="22"/>
        </w:rPr>
        <w:t xml:space="preserve">zovaná forma je sama o sobě </w:t>
      </w:r>
      <w:r w:rsidR="002A0348">
        <w:rPr>
          <w:rStyle w:val="FontStyle157"/>
          <w:rFonts w:ascii="Calibri" w:hAnsi="Calibri"/>
          <w:sz w:val="22"/>
          <w:lang w:val="cs-CZ"/>
        </w:rPr>
        <w:t>autonomní substa</w:t>
      </w:r>
      <w:r w:rsidR="0099182E">
        <w:rPr>
          <w:rStyle w:val="FontStyle157"/>
          <w:rFonts w:ascii="Calibri" w:hAnsi="Calibri"/>
          <w:sz w:val="22"/>
          <w:lang w:val="cs-CZ"/>
        </w:rPr>
        <w:t>n</w:t>
      </w:r>
      <w:r w:rsidR="002A0348">
        <w:rPr>
          <w:rStyle w:val="FontStyle157"/>
          <w:rFonts w:ascii="Calibri" w:hAnsi="Calibri"/>
          <w:sz w:val="22"/>
          <w:lang w:val="cs-CZ"/>
        </w:rPr>
        <w:t xml:space="preserve">cí </w:t>
      </w:r>
      <w:r w:rsidR="08AA4F27">
        <w:rPr>
          <w:rStyle w:val="FontStyle157"/>
          <w:rFonts w:ascii="Calibri" w:hAnsi="Calibri"/>
          <w:sz w:val="22"/>
          <w:lang w:val="cs-CZ"/>
        </w:rPr>
        <w:t>(</w:t>
      </w:r>
      <w:r w:rsidR="08AA4F27" w:rsidRPr="08AA4F27">
        <w:rPr>
          <w:i/>
        </w:rPr>
        <w:t>in ipsa secundum esse est individuata forma</w:t>
      </w:r>
      <w:r w:rsidR="08AA4F27">
        <w:rPr>
          <w:lang w:val="cs-CZ"/>
        </w:rPr>
        <w:t>)</w:t>
      </w:r>
      <w:r w:rsidRPr="00B92FB7">
        <w:rPr>
          <w:rStyle w:val="FontStyle157"/>
          <w:rFonts w:ascii="Calibri" w:hAnsi="Calibri"/>
          <w:sz w:val="22"/>
        </w:rPr>
        <w:t>.“</w:t>
      </w:r>
      <w:r w:rsidR="00B92FB7">
        <w:rPr>
          <w:rStyle w:val="FontStyle157"/>
          <w:rFonts w:ascii="Calibri" w:hAnsi="Calibri"/>
          <w:sz w:val="22"/>
          <w:lang w:val="cs-CZ"/>
        </w:rPr>
        <w:t> </w:t>
      </w:r>
      <w:r w:rsidRPr="00B92FB7">
        <w:rPr>
          <w:rStyle w:val="Znakapoznpodarou"/>
        </w:rPr>
        <w:footnoteReference w:id="247"/>
      </w:r>
    </w:p>
    <w:p w14:paraId="3E9CEFC3" w14:textId="77777777" w:rsidR="0065196E" w:rsidRDefault="000072B9" w:rsidP="000072B9">
      <w:r w:rsidRPr="00273106">
        <w:t xml:space="preserve">Citát popisuje moderní </w:t>
      </w:r>
      <w:r w:rsidR="085D75C6">
        <w:t xml:space="preserve">definici </w:t>
      </w:r>
      <w:r w:rsidR="08291BB1">
        <w:t xml:space="preserve">intelektu jako porretánské a později i </w:t>
      </w:r>
      <w:r w:rsidRPr="00273106">
        <w:t>karteziánské první substance</w:t>
      </w:r>
      <w:r w:rsidR="00A70FA4">
        <w:fldChar w:fldCharType="begin"/>
      </w:r>
      <w:r w:rsidR="00A70FA4">
        <w:instrText xml:space="preserve"> XE "</w:instrText>
      </w:r>
      <w:r w:rsidR="00A70FA4" w:rsidRPr="00DE2A32">
        <w:instrText>substance</w:instrText>
      </w:r>
      <w:r w:rsidR="001A6639">
        <w:instrText>:objektivní</w:instrText>
      </w:r>
      <w:r w:rsidR="00A70FA4">
        <w:instrText xml:space="preserve">" </w:instrText>
      </w:r>
      <w:r w:rsidR="00A70FA4">
        <w:fldChar w:fldCharType="end"/>
      </w:r>
      <w:r w:rsidRPr="00273106">
        <w:t xml:space="preserve">. </w:t>
      </w:r>
      <w:r w:rsidR="08B4240A">
        <w:t xml:space="preserve">Opět se objevuje fundamentální omyl moderny, která nevidí žádný rozdíl mezi jednotlivinou jako logické individuum a jako </w:t>
      </w:r>
      <w:r w:rsidR="08F27D5F">
        <w:t>první substance</w:t>
      </w:r>
      <w:r w:rsidR="08B4240A">
        <w:t xml:space="preserve"> </w:t>
      </w:r>
      <w:r w:rsidR="08B4240A">
        <w:rPr>
          <w:szCs w:val="24"/>
        </w:rPr>
        <w:t>(OBJ I, kap. 1.3). Z</w:t>
      </w:r>
      <w:r w:rsidR="082361E9">
        <w:t>avedením univerzálního hylemorfismu daného skrze materii třetího druhu (</w:t>
      </w:r>
      <w:r w:rsidR="082361E9" w:rsidRPr="082361E9">
        <w:rPr>
          <w:i/>
        </w:rPr>
        <w:t>per materiam incorpoream et spiritualem</w:t>
      </w:r>
      <w:r w:rsidR="082361E9">
        <w:t>)</w:t>
      </w:r>
      <w:r w:rsidR="087B0ED9">
        <w:t xml:space="preserve"> vznikla nová</w:t>
      </w:r>
      <w:r w:rsidR="082361E9">
        <w:t xml:space="preserve"> první substance daná jako simulákrum reálné první substance</w:t>
      </w:r>
      <w:r w:rsidR="08201257">
        <w:t xml:space="preserve"> (kap. 3</w:t>
      </w:r>
      <w:r w:rsidR="087B0ED9">
        <w:t>.2)</w:t>
      </w:r>
      <w:r w:rsidR="082361E9">
        <w:t xml:space="preserve">. </w:t>
      </w:r>
      <w:r w:rsidR="083A2560" w:rsidRPr="00273106">
        <w:t>Ke klasické charakteristice duše jako formy oživující první substanci  přibyla nová identita, která je dána pouze v mysli, ale dostala vlastnosti reálné substance (</w:t>
      </w:r>
      <w:r w:rsidR="083A2560" w:rsidRPr="00273106">
        <w:rPr>
          <w:i/>
        </w:rPr>
        <w:t>quod est corpus cujus ipsa est actus</w:t>
      </w:r>
      <w:r w:rsidR="083A2560" w:rsidRPr="00273106">
        <w:t xml:space="preserve">). Toto simulákrum </w:t>
      </w:r>
      <w:r w:rsidR="083A2560">
        <w:t>reprezentuje nový typ jsoucna třetího druhu (</w:t>
      </w:r>
      <w:r w:rsidR="083A2560" w:rsidRPr="00273106">
        <w:rPr>
          <w:i/>
        </w:rPr>
        <w:t>hoc aliquid</w:t>
      </w:r>
      <w:r w:rsidR="083A2560">
        <w:rPr>
          <w:i/>
        </w:rPr>
        <w:fldChar w:fldCharType="begin"/>
      </w:r>
      <w:r w:rsidR="083A2560">
        <w:instrText xml:space="preserve"> XE "</w:instrText>
      </w:r>
      <w:r w:rsidR="083A2560" w:rsidRPr="006B0AC6">
        <w:rPr>
          <w:rStyle w:val="FontStyle129"/>
          <w:rFonts w:ascii="Calibri" w:hAnsi="Calibri"/>
          <w:i/>
          <w:sz w:val="24"/>
        </w:rPr>
        <w:instrText>hoc aliquid</w:instrText>
      </w:r>
      <w:r w:rsidR="083A2560" w:rsidRPr="001A6639">
        <w:rPr>
          <w:rStyle w:val="FontStyle129"/>
          <w:rFonts w:ascii="Calibri" w:hAnsi="Calibri"/>
          <w:sz w:val="24"/>
        </w:rPr>
        <w:instrText>:druhý averroismus</w:instrText>
      </w:r>
      <w:r w:rsidR="083A2560">
        <w:instrText xml:space="preserve">" </w:instrText>
      </w:r>
      <w:r w:rsidR="083A2560">
        <w:rPr>
          <w:i/>
        </w:rPr>
        <w:fldChar w:fldCharType="end"/>
      </w:r>
      <w:r w:rsidR="083A2560">
        <w:t xml:space="preserve">). </w:t>
      </w:r>
      <w:r w:rsidR="00056CA0">
        <w:t>I</w:t>
      </w:r>
      <w:r w:rsidR="00056CA0" w:rsidRPr="00273106">
        <w:t>ndividualizovaná materie třetího druhu</w:t>
      </w:r>
      <w:r w:rsidR="00056CA0">
        <w:t xml:space="preserve"> tvoří nový hypostázovaný subjekt, který ve druhém kroku </w:t>
      </w:r>
      <w:r w:rsidR="083A2560" w:rsidRPr="00273106">
        <w:t xml:space="preserve">určuje substanční povahu </w:t>
      </w:r>
      <w:r w:rsidR="00056CA0">
        <w:t xml:space="preserve">moderního </w:t>
      </w:r>
      <w:r w:rsidR="083A2560" w:rsidRPr="00273106">
        <w:t xml:space="preserve">intelektu. </w:t>
      </w:r>
      <w:r w:rsidRPr="00273106">
        <w:t xml:space="preserve">Spirituální materie se stala novým </w:t>
      </w:r>
      <w:r w:rsidR="08476B34">
        <w:t>nositel</w:t>
      </w:r>
      <w:r w:rsidRPr="00273106">
        <w:t>em formy a vytvořila nový subjekt intelektu (</w:t>
      </w:r>
      <w:r w:rsidRPr="00273106">
        <w:rPr>
          <w:i/>
        </w:rPr>
        <w:t>quae est subjectum formae</w:t>
      </w:r>
      <w:r w:rsidRPr="00273106">
        <w:t xml:space="preserve">). </w:t>
      </w:r>
      <w:r w:rsidR="088F73B7">
        <w:t xml:space="preserve">Zdvojení reality se opakuje i při definici duše a intelektu. </w:t>
      </w:r>
      <w:r w:rsidRPr="00273106">
        <w:t>Latiníci udělali z jedné rozumné duše dvě individuální entity (</w:t>
      </w:r>
      <w:r w:rsidRPr="00273106">
        <w:rPr>
          <w:i/>
        </w:rPr>
        <w:t>individuam duplici individuitate</w:t>
      </w:r>
      <w:r w:rsidRPr="00273106">
        <w:t>). Tut</w:t>
      </w:r>
      <w:r w:rsidR="004C3792">
        <w:t xml:space="preserve">o atomární substanci </w:t>
      </w:r>
      <w:r w:rsidRPr="00273106">
        <w:t>považují za univoční vzhledem k první substanci (</w:t>
      </w:r>
      <w:r w:rsidRPr="00273106">
        <w:rPr>
          <w:i/>
        </w:rPr>
        <w:t>ipsa secundum esse est individuata forma</w:t>
      </w:r>
      <w:r w:rsidRPr="00273106">
        <w:t>). Forma se díky materii třetího druhu hypostázovala po vzoru Gilbertovy subsistence</w:t>
      </w:r>
      <w:r w:rsidR="00015564">
        <w:fldChar w:fldCharType="begin"/>
      </w:r>
      <w:r w:rsidR="00015564">
        <w:instrText xml:space="preserve"> XE "</w:instrText>
      </w:r>
      <w:r w:rsidR="00015564" w:rsidRPr="001D1E42">
        <w:instrText>subsistence</w:instrText>
      </w:r>
      <w:r w:rsidR="00981AEA">
        <w:instrText>:porretáni</w:instrText>
      </w:r>
      <w:r w:rsidR="00015564">
        <w:instrText xml:space="preserve">" </w:instrText>
      </w:r>
      <w:r w:rsidR="00015564">
        <w:fldChar w:fldCharType="end"/>
      </w:r>
      <w:r w:rsidRPr="00273106">
        <w:t xml:space="preserve"> a </w:t>
      </w:r>
      <w:r w:rsidR="08F305A7">
        <w:t>intelekt či duše dostaly</w:t>
      </w:r>
      <w:r w:rsidRPr="00273106">
        <w:t xml:space="preserve"> vlastní existenci jako</w:t>
      </w:r>
      <w:r w:rsidR="080824AF">
        <w:t xml:space="preserve"> substance třetího </w:t>
      </w:r>
      <w:r w:rsidR="080824AF">
        <w:lastRenderedPageBreak/>
        <w:t>druhu (kap. 1</w:t>
      </w:r>
      <w:r w:rsidRPr="00273106">
        <w:t>.4). Takto individualizovaná forma je dána univ</w:t>
      </w:r>
      <w:r w:rsidR="08BE1D8B">
        <w:t>očně v reálu i v mysli a proto vychází</w:t>
      </w:r>
      <w:r w:rsidRPr="00273106">
        <w:t xml:space="preserve"> </w:t>
      </w:r>
      <w:r w:rsidR="08744429">
        <w:t>z objektivní a věčné esence</w:t>
      </w:r>
      <w:r w:rsidR="08BE1D8B">
        <w:t xml:space="preserve"> </w:t>
      </w:r>
      <w:r w:rsidRPr="00273106">
        <w:t>do první substance (</w:t>
      </w:r>
      <w:r w:rsidRPr="00273106">
        <w:rPr>
          <w:i/>
        </w:rPr>
        <w:t>individuans extra naturam ejus</w:t>
      </w:r>
      <w:r w:rsidRPr="00273106">
        <w:t xml:space="preserve">). </w:t>
      </w:r>
      <w:r w:rsidR="006D4263">
        <w:t>Citát přesně definuje karteziánský obrat modernistů</w:t>
      </w:r>
      <w:r w:rsidR="006925C0">
        <w:t xml:space="preserve"> k </w:t>
      </w:r>
      <w:r w:rsidR="084C0D36">
        <w:t>duši</w:t>
      </w:r>
      <w:r w:rsidR="006925C0">
        <w:t xml:space="preserve"> jako samostatné </w:t>
      </w:r>
      <w:r w:rsidR="005064EF">
        <w:t xml:space="preserve">atomární </w:t>
      </w:r>
      <w:r w:rsidR="084C0D36">
        <w:t>substanci, který proběhl v</w:t>
      </w:r>
      <w:r w:rsidR="084C0D36" w:rsidRPr="084C0D36">
        <w:t xml:space="preserve"> letech </w:t>
      </w:r>
      <w:r w:rsidR="006D4263">
        <w:t>12</w:t>
      </w:r>
      <w:r w:rsidR="002C646D">
        <w:t>35</w:t>
      </w:r>
      <w:r w:rsidR="006D4263">
        <w:t>‒</w:t>
      </w:r>
      <w:r w:rsidR="002C646D">
        <w:t>4</w:t>
      </w:r>
      <w:r w:rsidR="006D4263">
        <w:t xml:space="preserve">0. </w:t>
      </w:r>
      <w:r w:rsidRPr="00273106">
        <w:t xml:space="preserve">Duše je objektivovaná na způsob </w:t>
      </w:r>
      <w:r w:rsidR="00874074">
        <w:t>neoplatonsk</w:t>
      </w:r>
      <w:r w:rsidRPr="00273106">
        <w:t>é kvazi-substance a získala identitu mimo</w:t>
      </w:r>
      <w:r w:rsidR="0065196E">
        <w:t xml:space="preserve"> materiální individuaci v těle.</w:t>
      </w:r>
    </w:p>
    <w:p w14:paraId="09A268EB" w14:textId="14D774FB" w:rsidR="000072B9" w:rsidRPr="00273106" w:rsidRDefault="089B3A30" w:rsidP="00347663">
      <w:pPr>
        <w:ind w:firstLine="397"/>
      </w:pPr>
      <w:r w:rsidRPr="00273106">
        <w:t>Zdvojením duše (</w:t>
      </w:r>
      <w:r w:rsidRPr="00273106">
        <w:rPr>
          <w:i/>
        </w:rPr>
        <w:t>duplici individuitate</w:t>
      </w:r>
      <w:r w:rsidRPr="00273106">
        <w:t xml:space="preserve">) vytvořil </w:t>
      </w:r>
      <w:r w:rsidR="00A90F95">
        <w:t xml:space="preserve">latinský </w:t>
      </w:r>
      <w:r w:rsidR="0062382C">
        <w:t xml:space="preserve">a </w:t>
      </w:r>
      <w:r w:rsidR="00E67F50">
        <w:t xml:space="preserve">objektivně vzdělaný </w:t>
      </w:r>
      <w:r w:rsidRPr="00273106">
        <w:t xml:space="preserve">Západ nový </w:t>
      </w:r>
      <w:r w:rsidR="002372DE">
        <w:t>mytologický subjekt</w:t>
      </w:r>
      <w:r w:rsidR="0062382C">
        <w:t xml:space="preserve">. Tento podivuhodný tvor mytologicky (tedy objektivně) „poznává“ </w:t>
      </w:r>
      <w:r w:rsidR="002372DE">
        <w:t xml:space="preserve">neexistující </w:t>
      </w:r>
      <w:r w:rsidRPr="00273106">
        <w:t xml:space="preserve">objektivní </w:t>
      </w:r>
      <w:r>
        <w:t>jsoucno třetího druhu</w:t>
      </w:r>
      <w:r>
        <w:fldChar w:fldCharType="begin"/>
      </w:r>
      <w:r>
        <w:instrText xml:space="preserve"> XE "</w:instrText>
      </w:r>
      <w:r w:rsidRPr="00981AEA">
        <w:rPr>
          <w:i/>
        </w:rPr>
        <w:instrText>subiectum</w:instrText>
      </w:r>
      <w:r>
        <w:instrText xml:space="preserve">:objektivní" </w:instrText>
      </w:r>
      <w:r>
        <w:fldChar w:fldCharType="end"/>
      </w:r>
      <w:r w:rsidRPr="00273106">
        <w:t xml:space="preserve">. </w:t>
      </w:r>
      <w:r w:rsidR="0062382C" w:rsidRPr="0062382C">
        <w:t xml:space="preserve">Nový způsob </w:t>
      </w:r>
      <w:r w:rsidR="0062382C" w:rsidRPr="0062382C">
        <w:rPr>
          <w:i/>
        </w:rPr>
        <w:t>Ge-Stell</w:t>
      </w:r>
      <w:r w:rsidR="0062382C">
        <w:rPr>
          <w:i/>
        </w:rPr>
        <w:fldChar w:fldCharType="begin"/>
      </w:r>
      <w:r w:rsidR="0062382C">
        <w:instrText xml:space="preserve"> XE "</w:instrText>
      </w:r>
      <w:r w:rsidR="0062382C" w:rsidRPr="004B1391">
        <w:rPr>
          <w:i/>
        </w:rPr>
        <w:instrText>Ge-Stell</w:instrText>
      </w:r>
      <w:r w:rsidR="0062382C">
        <w:instrText xml:space="preserve">" </w:instrText>
      </w:r>
      <w:r w:rsidR="0062382C">
        <w:rPr>
          <w:i/>
        </w:rPr>
        <w:fldChar w:fldCharType="end"/>
      </w:r>
      <w:r w:rsidR="0062382C" w:rsidRPr="0062382C">
        <w:t xml:space="preserve"> je nyní dokončen</w:t>
      </w:r>
      <w:r w:rsidR="00312C86">
        <w:t xml:space="preserve"> a </w:t>
      </w:r>
      <w:r w:rsidR="0062382C" w:rsidRPr="0062382C">
        <w:t xml:space="preserve">západní demiurg </w:t>
      </w:r>
      <w:r w:rsidR="00312C86">
        <w:t xml:space="preserve">nastartoval </w:t>
      </w:r>
      <w:r w:rsidR="0062382C">
        <w:t>epoch</w:t>
      </w:r>
      <w:r w:rsidR="00312C86">
        <w:t>u</w:t>
      </w:r>
      <w:r w:rsidR="0062382C">
        <w:t xml:space="preserve"> </w:t>
      </w:r>
      <w:r w:rsidR="0062382C" w:rsidRPr="0062382C">
        <w:t xml:space="preserve">antropocénu. </w:t>
      </w:r>
      <w:r w:rsidR="0062382C">
        <w:t>Šílená moderna n</w:t>
      </w:r>
      <w:r w:rsidR="0062382C" w:rsidRPr="0062382C">
        <w:t xml:space="preserve">emůže stvořit Zemi jako první substanci, </w:t>
      </w:r>
      <w:r w:rsidR="0062382C">
        <w:t xml:space="preserve">proto </w:t>
      </w:r>
      <w:r w:rsidR="0062382C" w:rsidRPr="0062382C">
        <w:t xml:space="preserve">před sebe staví </w:t>
      </w:r>
      <w:r w:rsidR="0062382C">
        <w:t>její nihilistické simulá</w:t>
      </w:r>
      <w:r w:rsidR="00347663">
        <w:t xml:space="preserve">krum. </w:t>
      </w:r>
      <w:r w:rsidR="000072B9" w:rsidRPr="00273106">
        <w:t xml:space="preserve">Komentář ke třetí knize </w:t>
      </w:r>
      <w:r w:rsidR="00B713C5">
        <w:rPr>
          <w:i/>
        </w:rPr>
        <w:t>De anima</w:t>
      </w:r>
      <w:r w:rsidR="000072B9" w:rsidRPr="00273106">
        <w:t xml:space="preserve"> přesně </w:t>
      </w:r>
      <w:r w:rsidR="000D7718">
        <w:t>popisuje</w:t>
      </w:r>
      <w:r w:rsidR="000072B9" w:rsidRPr="00273106">
        <w:t xml:space="preserve">, jak vznikl moderní subjekt, který </w:t>
      </w:r>
      <w:r w:rsidR="08F04B99">
        <w:t xml:space="preserve">z procesu poznání </w:t>
      </w:r>
      <w:r w:rsidR="000072B9" w:rsidRPr="00273106">
        <w:t xml:space="preserve">vyloučil adekvaci intelektu k reálné první substanci. </w:t>
      </w:r>
      <w:r w:rsidR="089F57B5">
        <w:t>Vznikem objektivního subjekt</w:t>
      </w:r>
      <w:r>
        <w:t>u</w:t>
      </w:r>
      <w:r w:rsidR="089F57B5">
        <w:t xml:space="preserve"> </w:t>
      </w:r>
      <w:r w:rsidR="00B00CC7">
        <w:t xml:space="preserve">je daný základní kámen ke </w:t>
      </w:r>
      <w:r w:rsidR="002927EB">
        <w:t xml:space="preserve">stavbě </w:t>
      </w:r>
      <w:r w:rsidR="00B00CC7">
        <w:t xml:space="preserve">moderní </w:t>
      </w:r>
      <w:r w:rsidR="002927EB">
        <w:t xml:space="preserve">vědy </w:t>
      </w:r>
      <w:r w:rsidR="08BB60C4">
        <w:t xml:space="preserve">v modu Heideggerova </w:t>
      </w:r>
      <w:r w:rsidR="00B26B1E" w:rsidRPr="00E876F7">
        <w:rPr>
          <w:i/>
        </w:rPr>
        <w:t>Irrtum</w:t>
      </w:r>
      <w:r w:rsidR="002927EB">
        <w:t xml:space="preserve">. Zdvojení </w:t>
      </w:r>
      <w:r w:rsidR="0076376F">
        <w:t xml:space="preserve">subjektu </w:t>
      </w:r>
      <w:r w:rsidR="009819BA">
        <w:t xml:space="preserve">a </w:t>
      </w:r>
      <w:r w:rsidR="002927EB">
        <w:t>realit</w:t>
      </w:r>
      <w:r w:rsidR="009819BA">
        <w:t>a</w:t>
      </w:r>
      <w:r w:rsidR="002927EB">
        <w:t xml:space="preserve"> </w:t>
      </w:r>
      <w:r w:rsidR="0076376F">
        <w:t>jako simulákr</w:t>
      </w:r>
      <w:r w:rsidR="009819BA">
        <w:t>um</w:t>
      </w:r>
      <w:r w:rsidR="0076376F">
        <w:t xml:space="preserve"> d</w:t>
      </w:r>
      <w:r w:rsidR="00B26B1E">
        <w:t>efinuj</w:t>
      </w:r>
      <w:r w:rsidR="009819BA">
        <w:t>í</w:t>
      </w:r>
      <w:r w:rsidR="00B26B1E">
        <w:t xml:space="preserve"> metafyziku moderny. </w:t>
      </w:r>
      <w:r w:rsidR="083658C3">
        <w:t xml:space="preserve">Moderní </w:t>
      </w:r>
      <w:r w:rsidR="083658C3" w:rsidRPr="00273106">
        <w:t xml:space="preserve">verze </w:t>
      </w:r>
      <w:r w:rsidR="083658C3" w:rsidRPr="00273106">
        <w:rPr>
          <w:i/>
        </w:rPr>
        <w:t>intellectus possibilis</w:t>
      </w:r>
      <w:r w:rsidR="083658C3" w:rsidRPr="00273106">
        <w:t xml:space="preserve"> a jeho demiurgické produkce vrací na scénu </w:t>
      </w:r>
      <w:r w:rsidR="083658C3">
        <w:t>neoplatonsk</w:t>
      </w:r>
      <w:r w:rsidR="083658C3" w:rsidRPr="00273106">
        <w:t>ý termín „zdvojené bytí</w:t>
      </w:r>
      <w:r w:rsidR="083658C3">
        <w:fldChar w:fldCharType="begin"/>
      </w:r>
      <w:r w:rsidR="083658C3">
        <w:instrText xml:space="preserve"> XE "</w:instrText>
      </w:r>
      <w:r w:rsidR="083658C3" w:rsidRPr="000651FC">
        <w:instrText>zdvojení bytí</w:instrText>
      </w:r>
      <w:r w:rsidR="083658C3">
        <w:instrText xml:space="preserve">" </w:instrText>
      </w:r>
      <w:r w:rsidR="083658C3">
        <w:fldChar w:fldCharType="end"/>
      </w:r>
      <w:r w:rsidR="083658C3" w:rsidRPr="00273106">
        <w:t>“ (</w:t>
      </w:r>
      <w:r w:rsidR="00597859">
        <w:t xml:space="preserve">OBJ I, </w:t>
      </w:r>
      <w:r w:rsidR="084E7952">
        <w:t>kap. 1.3</w:t>
      </w:r>
      <w:r w:rsidR="083658C3" w:rsidRPr="00273106">
        <w:t xml:space="preserve">.1). </w:t>
      </w:r>
      <w:r w:rsidR="08454760">
        <w:t xml:space="preserve">K modernímu </w:t>
      </w:r>
      <w:r w:rsidR="08A061E7">
        <w:t xml:space="preserve">rozštěpenému </w:t>
      </w:r>
      <w:r w:rsidR="000072B9" w:rsidRPr="00273106">
        <w:t xml:space="preserve">subjektu patří i odpovídající </w:t>
      </w:r>
      <w:r w:rsidR="08A061E7">
        <w:t xml:space="preserve">imaginární </w:t>
      </w:r>
      <w:r w:rsidR="083658C3">
        <w:t>objekt ve formě porretánské</w:t>
      </w:r>
      <w:r w:rsidR="000072B9" w:rsidRPr="00273106">
        <w:t xml:space="preserve"> </w:t>
      </w:r>
      <w:r w:rsidR="002E30FF" w:rsidRPr="002E30FF">
        <w:t>species</w:t>
      </w:r>
      <w:r w:rsidR="083658C3">
        <w:t>, která</w:t>
      </w:r>
      <w:r w:rsidR="000072B9" w:rsidRPr="00273106">
        <w:t xml:space="preserve"> má všechny základní znaky jsoucna třetího druhu. </w:t>
      </w:r>
      <w:r w:rsidR="00152069">
        <w:t>Albertův spor s L</w:t>
      </w:r>
      <w:r w:rsidR="00152069" w:rsidRPr="00152069">
        <w:t xml:space="preserve">atiníky v citované 11. kapitole se týká způsobu, jakým moderní </w:t>
      </w:r>
      <w:r w:rsidR="00152069" w:rsidRPr="00152069">
        <w:rPr>
          <w:i/>
        </w:rPr>
        <w:t>intellectus possibilis</w:t>
      </w:r>
      <w:r w:rsidR="00152069" w:rsidRPr="00152069">
        <w:t xml:space="preserve"> poznává moderní svět, neboť oba </w:t>
      </w:r>
      <w:r w:rsidR="00396E0C">
        <w:t xml:space="preserve">mytopoetické </w:t>
      </w:r>
      <w:r w:rsidR="00152069" w:rsidRPr="00152069">
        <w:t>fenomény jsou odpovídajícím obrazem moderního myšlení</w:t>
      </w:r>
      <w:r w:rsidR="00152069">
        <w:t xml:space="preserve"> (</w:t>
      </w:r>
      <w:r w:rsidR="00152069" w:rsidRPr="00152069">
        <w:rPr>
          <w:i/>
        </w:rPr>
        <w:t>proportio</w:t>
      </w:r>
      <w:r w:rsidR="00152069">
        <w:t>)</w:t>
      </w:r>
      <w:r w:rsidR="00152069" w:rsidRPr="00152069">
        <w:t>.</w:t>
      </w:r>
      <w:r w:rsidR="00152069">
        <w:t xml:space="preserve"> </w:t>
      </w:r>
      <w:r w:rsidR="000072B9" w:rsidRPr="00273106">
        <w:t>Ad</w:t>
      </w:r>
      <w:r w:rsidR="00152069">
        <w:t>epti druhého averroismu odmítli</w:t>
      </w:r>
      <w:r w:rsidR="000072B9" w:rsidRPr="00273106">
        <w:t xml:space="preserve"> aristotelsk</w:t>
      </w:r>
      <w:r w:rsidR="00152069">
        <w:t>ou abstrakci</w:t>
      </w:r>
      <w:r w:rsidR="000072B9" w:rsidRPr="00273106">
        <w:t xml:space="preserve"> a vytv</w:t>
      </w:r>
      <w:r w:rsidR="00152069">
        <w:t xml:space="preserve">ořili </w:t>
      </w:r>
      <w:r w:rsidR="000072B9" w:rsidRPr="00273106">
        <w:t xml:space="preserve">ze </w:t>
      </w:r>
      <w:r w:rsidR="00B1298A" w:rsidRPr="00152069">
        <w:t>species</w:t>
      </w:r>
      <w:r w:rsidR="000072B9" w:rsidRPr="00273106">
        <w:t xml:space="preserve"> novou substanci třetího druhu</w:t>
      </w:r>
      <w:r w:rsidR="00152069">
        <w:t xml:space="preserve"> </w:t>
      </w:r>
      <w:r w:rsidR="00152069" w:rsidRPr="00273106">
        <w:t>(</w:t>
      </w:r>
      <w:r w:rsidR="00152069" w:rsidRPr="00273106">
        <w:rPr>
          <w:i/>
        </w:rPr>
        <w:t>esse individuatum</w:t>
      </w:r>
      <w:r w:rsidR="00152069">
        <w:t>)</w:t>
      </w:r>
      <w:r w:rsidR="000072B9" w:rsidRPr="00273106">
        <w:t xml:space="preserve">. </w:t>
      </w:r>
      <w:r w:rsidR="08E2247A">
        <w:t xml:space="preserve">Albert </w:t>
      </w:r>
      <w:r w:rsidR="00152069">
        <w:t xml:space="preserve">zásadně kritizuje toto objektivní bytí, </w:t>
      </w:r>
      <w:r w:rsidR="00305C0E">
        <w:t xml:space="preserve">protože </w:t>
      </w:r>
      <w:r w:rsidR="00152069">
        <w:rPr>
          <w:lang w:eastAsia="x-none"/>
        </w:rPr>
        <w:t xml:space="preserve">existuje </w:t>
      </w:r>
      <w:r w:rsidR="00152069">
        <w:t>pouze v</w:t>
      </w:r>
      <w:r w:rsidR="00305C0E">
        <w:t> </w:t>
      </w:r>
      <w:r w:rsidR="08FC0919">
        <w:t>mysl</w:t>
      </w:r>
      <w:r w:rsidR="08D23A28">
        <w:t>i</w:t>
      </w:r>
      <w:r w:rsidR="00305C0E">
        <w:t xml:space="preserve"> </w:t>
      </w:r>
      <w:r w:rsidR="00443F65">
        <w:t xml:space="preserve">moderních </w:t>
      </w:r>
      <w:r w:rsidR="00305C0E">
        <w:t>iluminátů</w:t>
      </w:r>
      <w:r w:rsidR="08E2247A" w:rsidRPr="00273106">
        <w:t>.</w:t>
      </w:r>
    </w:p>
    <w:p w14:paraId="369FA536" w14:textId="6377B933" w:rsidR="000072B9" w:rsidRPr="00493357" w:rsidRDefault="000072B9" w:rsidP="00493357">
      <w:pPr>
        <w:pStyle w:val="Citace"/>
      </w:pPr>
      <w:r w:rsidRPr="00493357">
        <w:rPr>
          <w:rStyle w:val="FontStyle157"/>
          <w:rFonts w:ascii="Calibri" w:hAnsi="Calibri"/>
          <w:sz w:val="22"/>
        </w:rPr>
        <w:t>„</w:t>
      </w:r>
      <w:r w:rsidR="000C2013">
        <w:rPr>
          <w:rStyle w:val="FontStyle157"/>
          <w:rFonts w:ascii="Calibri" w:hAnsi="Calibri"/>
          <w:sz w:val="22"/>
          <w:lang w:val="cs-CZ"/>
        </w:rPr>
        <w:t>Ti t</w:t>
      </w:r>
      <w:r w:rsidRPr="00493357">
        <w:rPr>
          <w:rStyle w:val="FontStyle157"/>
          <w:rFonts w:ascii="Calibri" w:hAnsi="Calibri"/>
          <w:sz w:val="22"/>
        </w:rPr>
        <w:t>vrdí, že intence, které jsou v možném intelektu</w:t>
      </w:r>
      <w:r w:rsidR="001927C3" w:rsidRPr="00493357">
        <w:rPr>
          <w:rStyle w:val="FontStyle157"/>
          <w:rFonts w:ascii="Calibri" w:hAnsi="Calibri"/>
          <w:sz w:val="22"/>
        </w:rPr>
        <w:t>,</w:t>
      </w:r>
      <w:r w:rsidRPr="00493357">
        <w:rPr>
          <w:rStyle w:val="FontStyle157"/>
          <w:rFonts w:ascii="Calibri" w:hAnsi="Calibri"/>
          <w:sz w:val="22"/>
        </w:rPr>
        <w:t xml:space="preserve"> je třeba posuzovat dvojím způsobem. Jak jsou dány v procesu abstrakce</w:t>
      </w:r>
      <w:r w:rsidR="08173239">
        <w:rPr>
          <w:rStyle w:val="FontStyle157"/>
          <w:rFonts w:ascii="Calibri" w:hAnsi="Calibri"/>
          <w:sz w:val="22"/>
          <w:lang w:val="cs-CZ"/>
        </w:rPr>
        <w:t xml:space="preserve"> (</w:t>
      </w:r>
      <w:r w:rsidR="08173239" w:rsidRPr="08173239">
        <w:rPr>
          <w:i/>
        </w:rPr>
        <w:t>prout sunt abstractae</w:t>
      </w:r>
      <w:r w:rsidR="08173239">
        <w:rPr>
          <w:rStyle w:val="FontStyle157"/>
          <w:rFonts w:ascii="Calibri" w:hAnsi="Calibri"/>
          <w:sz w:val="22"/>
          <w:lang w:val="cs-CZ"/>
        </w:rPr>
        <w:t xml:space="preserve">) a </w:t>
      </w:r>
      <w:r w:rsidRPr="00493357">
        <w:rPr>
          <w:rStyle w:val="FontStyle157"/>
          <w:rFonts w:ascii="Calibri" w:hAnsi="Calibri"/>
          <w:sz w:val="22"/>
        </w:rPr>
        <w:t>jaký způsob bytí mají v tom, co má být abstrahováno</w:t>
      </w:r>
      <w:r w:rsidR="08173239">
        <w:rPr>
          <w:rStyle w:val="FontStyle157"/>
          <w:rFonts w:ascii="Calibri" w:hAnsi="Calibri"/>
          <w:sz w:val="22"/>
          <w:lang w:val="cs-CZ"/>
        </w:rPr>
        <w:t xml:space="preserve"> (</w:t>
      </w:r>
      <w:r w:rsidR="08173239" w:rsidRPr="08173239">
        <w:rPr>
          <w:i/>
        </w:rPr>
        <w:t>prout habent esse in abstrahendo</w:t>
      </w:r>
      <w:r w:rsidR="08173239">
        <w:rPr>
          <w:rStyle w:val="FontStyle157"/>
          <w:rFonts w:ascii="Calibri" w:hAnsi="Calibri"/>
          <w:sz w:val="22"/>
          <w:lang w:val="cs-CZ"/>
        </w:rPr>
        <w:t>)</w:t>
      </w:r>
      <w:r w:rsidRPr="00493357">
        <w:rPr>
          <w:rStyle w:val="FontStyle157"/>
          <w:rFonts w:ascii="Calibri" w:hAnsi="Calibri"/>
          <w:sz w:val="22"/>
        </w:rPr>
        <w:t xml:space="preserve">. První způsob je ukazuje jako univerzální formy oddělené od materie a od jejích vlastností.  Druhý způsob jim dává individuální </w:t>
      </w:r>
      <w:r w:rsidR="0055243F">
        <w:rPr>
          <w:rStyle w:val="FontStyle157"/>
          <w:rFonts w:ascii="Calibri" w:hAnsi="Calibri"/>
          <w:sz w:val="22"/>
          <w:lang w:val="cs-CZ"/>
        </w:rPr>
        <w:t xml:space="preserve">existenci </w:t>
      </w:r>
      <w:r w:rsidRPr="00493357">
        <w:rPr>
          <w:rStyle w:val="FontStyle157"/>
          <w:rFonts w:ascii="Calibri" w:hAnsi="Calibri"/>
          <w:sz w:val="22"/>
        </w:rPr>
        <w:t>v možném intelektu</w:t>
      </w:r>
      <w:r w:rsidR="00493357">
        <w:rPr>
          <w:rStyle w:val="FontStyle157"/>
          <w:rFonts w:ascii="Calibri" w:hAnsi="Calibri"/>
          <w:sz w:val="22"/>
          <w:lang w:val="cs-CZ"/>
        </w:rPr>
        <w:t xml:space="preserve"> (</w:t>
      </w:r>
      <w:r w:rsidR="00493357" w:rsidRPr="00493357">
        <w:rPr>
          <w:i/>
        </w:rPr>
        <w:t>esse individuatum in intellectu possibili</w:t>
      </w:r>
      <w:r w:rsidR="00493357">
        <w:rPr>
          <w:rStyle w:val="FontStyle157"/>
          <w:rFonts w:ascii="Calibri" w:hAnsi="Calibri"/>
          <w:sz w:val="22"/>
          <w:lang w:val="cs-CZ"/>
        </w:rPr>
        <w:t>)</w:t>
      </w:r>
      <w:r w:rsidRPr="00493357">
        <w:rPr>
          <w:rStyle w:val="FontStyle157"/>
          <w:rFonts w:ascii="Calibri" w:hAnsi="Calibri"/>
          <w:sz w:val="22"/>
        </w:rPr>
        <w:t xml:space="preserve">.“ </w:t>
      </w:r>
      <w:r w:rsidRPr="00493357">
        <w:rPr>
          <w:rStyle w:val="Znakapoznpodarou"/>
        </w:rPr>
        <w:footnoteReference w:id="248"/>
      </w:r>
    </w:p>
    <w:p w14:paraId="1E0AEEDC" w14:textId="77777777" w:rsidR="00E455B4" w:rsidRDefault="000072B9" w:rsidP="00E455B4">
      <w:r w:rsidRPr="00273106">
        <w:lastRenderedPageBreak/>
        <w:t>Latiníci v prvním kroku uznávají intencionalitu možného intelektu, včetně aristotelské formy abstrakce z představivosti (</w:t>
      </w:r>
      <w:r w:rsidRPr="00273106">
        <w:rPr>
          <w:i/>
        </w:rPr>
        <w:t>sunt abstractae</w:t>
      </w:r>
      <w:r w:rsidRPr="00273106">
        <w:t xml:space="preserve">). Tím vznikne klasický statut </w:t>
      </w:r>
      <w:r w:rsidR="004B4D52" w:rsidRPr="004B4D52">
        <w:t>species</w:t>
      </w:r>
      <w:r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035800">
        <w:instrText>první averroismus</w:instrText>
      </w:r>
      <w:r w:rsidR="008061D5">
        <w:instrText xml:space="preserve">" </w:instrText>
      </w:r>
      <w:r w:rsidR="008061D5">
        <w:rPr>
          <w:i/>
        </w:rPr>
        <w:fldChar w:fldCharType="end"/>
      </w:r>
      <w:r w:rsidRPr="00273106">
        <w:t xml:space="preserve"> z prvního averroismu, protože výsledné species jsou univerzální a nemateriální (</w:t>
      </w:r>
      <w:r w:rsidRPr="00273106">
        <w:rPr>
          <w:i/>
        </w:rPr>
        <w:t>formae universales liberatae a materia</w:t>
      </w:r>
      <w:r w:rsidRPr="00273106">
        <w:t xml:space="preserve">). Jenže druhá činnost </w:t>
      </w:r>
      <w:r w:rsidRPr="00273106">
        <w:rPr>
          <w:i/>
        </w:rPr>
        <w:t>intellectus possibilis</w:t>
      </w:r>
      <w:r w:rsidRPr="00273106">
        <w:t xml:space="preserve"> už nemá nic společného s recepcí a syntézou inteligibilních </w:t>
      </w:r>
      <w:r w:rsidR="002E30FF" w:rsidRPr="002E30FF">
        <w:t>species</w:t>
      </w:r>
      <w:r w:rsidRPr="00273106">
        <w:t xml:space="preserve"> podle </w:t>
      </w:r>
      <w:r w:rsidR="00B713C5">
        <w:rPr>
          <w:i/>
        </w:rPr>
        <w:t>De anima</w:t>
      </w:r>
      <w:r w:rsidRPr="00273106">
        <w:t xml:space="preserve">. </w:t>
      </w:r>
      <w:r w:rsidR="087D4D4A">
        <w:t xml:space="preserve">Ve druhém patře </w:t>
      </w:r>
      <w:r w:rsidR="08E42DE7">
        <w:t xml:space="preserve">poznání a abstrakce </w:t>
      </w:r>
      <w:r w:rsidR="087D4D4A">
        <w:t xml:space="preserve">funguje </w:t>
      </w:r>
      <w:r w:rsidR="087D4D4A" w:rsidRPr="087D4D4A">
        <w:rPr>
          <w:i/>
        </w:rPr>
        <w:t>intellectus possibilis</w:t>
      </w:r>
      <w:r w:rsidR="087D4D4A">
        <w:t xml:space="preserve"> jako neoplatonská hypostáze na způsob materie třetího druhu, do níž se vtiskují hypostázovaná porretánská </w:t>
      </w:r>
      <w:r w:rsidR="002E30FF" w:rsidRPr="002E30FF">
        <w:t>species</w:t>
      </w:r>
      <w:r w:rsidR="087D4D4A">
        <w:t xml:space="preserve">, která </w:t>
      </w:r>
      <w:r w:rsidR="08E42DE7">
        <w:t>„ex</w:t>
      </w:r>
      <w:r w:rsidR="087D4D4A">
        <w:t>s</w:t>
      </w:r>
      <w:r w:rsidR="08E42DE7">
        <w:t>is</w:t>
      </w:r>
      <w:r w:rsidR="087D4D4A">
        <w:t>tují</w:t>
      </w:r>
      <w:r w:rsidR="08E42DE7">
        <w:t>“</w:t>
      </w:r>
      <w:r w:rsidR="087D4D4A">
        <w:t xml:space="preserve"> </w:t>
      </w:r>
      <w:r w:rsidR="08E42DE7">
        <w:t xml:space="preserve">podle díla </w:t>
      </w:r>
      <w:r w:rsidR="08E42DE7" w:rsidRPr="08E42DE7">
        <w:rPr>
          <w:i/>
        </w:rPr>
        <w:t>De causis</w:t>
      </w:r>
      <w:r w:rsidR="08E42DE7">
        <w:t xml:space="preserve"> </w:t>
      </w:r>
      <w:r w:rsidR="08897468">
        <w:t xml:space="preserve">skrze </w:t>
      </w:r>
      <w:r w:rsidR="08E42DE7">
        <w:t>přesah autonomních kosmických forem do reálných věcí</w:t>
      </w:r>
      <w:r w:rsidR="087D4D4A">
        <w:t xml:space="preserve">. </w:t>
      </w:r>
      <w:r w:rsidR="08F63592">
        <w:t>To bylo ukáz</w:t>
      </w:r>
      <w:r w:rsidR="083C77F2">
        <w:t xml:space="preserve">áno na výkladu </w:t>
      </w:r>
      <w:r w:rsidR="08F63592">
        <w:t xml:space="preserve">substance podle </w:t>
      </w:r>
      <w:r w:rsidR="083C77F2">
        <w:t xml:space="preserve">Prokla (OBJ I, kap. 1.3.1). </w:t>
      </w:r>
      <w:r w:rsidRPr="00273106">
        <w:t>Intencionalita druhého averroismu našla v procesu avicennovské denudace</w:t>
      </w:r>
      <w:r w:rsidR="00CD35D2">
        <w:fldChar w:fldCharType="begin"/>
      </w:r>
      <w:r w:rsidR="00CD35D2">
        <w:instrText xml:space="preserve"> XE "</w:instrText>
      </w:r>
      <w:r w:rsidR="00CD35D2" w:rsidRPr="00CD35D2">
        <w:rPr>
          <w:i/>
        </w:rPr>
        <w:instrText>denudatio</w:instrText>
      </w:r>
      <w:r w:rsidR="00CD35D2">
        <w:instrText xml:space="preserve">:druhý averroismus" </w:instrText>
      </w:r>
      <w:r w:rsidR="00CD35D2">
        <w:fldChar w:fldCharType="end"/>
      </w:r>
      <w:r w:rsidRPr="00273106">
        <w:t xml:space="preserve"> nové </w:t>
      </w:r>
      <w:r w:rsidR="002E30FF" w:rsidRPr="002E30FF">
        <w:t>species</w:t>
      </w:r>
      <w:r w:rsidRPr="00273106">
        <w:t xml:space="preserve"> třetího druhu </w:t>
      </w:r>
      <w:r w:rsidR="08472608">
        <w:t>dané jako abstrahovaný objekt</w:t>
      </w:r>
      <w:r w:rsidR="0869464C">
        <w:t xml:space="preserve"> </w:t>
      </w:r>
      <w:r w:rsidRPr="00273106">
        <w:t>(</w:t>
      </w:r>
      <w:r w:rsidRPr="00273106">
        <w:rPr>
          <w:i/>
        </w:rPr>
        <w:t>habent esse in abstrahendo</w:t>
      </w:r>
      <w:r w:rsidRPr="00273106">
        <w:t xml:space="preserve">). </w:t>
      </w:r>
      <w:r w:rsidR="00542477">
        <w:t>Poznané formy</w:t>
      </w:r>
      <w:r w:rsidR="00DF33D3">
        <w:t xml:space="preserve"> se staly</w:t>
      </w:r>
      <w:r w:rsidRPr="00273106">
        <w:t xml:space="preserve"> objektivními entitami vybavenými vlastní pseudo-formou a pseudo-látkou </w:t>
      </w:r>
      <w:r w:rsidR="00DF33D3">
        <w:t xml:space="preserve">v </w:t>
      </w:r>
      <w:r w:rsidRPr="00273106">
        <w:t>abstrahující</w:t>
      </w:r>
      <w:r w:rsidR="00DF33D3">
        <w:t>m</w:t>
      </w:r>
      <w:r w:rsidRPr="00273106">
        <w:t xml:space="preserve"> intel</w:t>
      </w:r>
      <w:r w:rsidR="00493357">
        <w:t>ek</w:t>
      </w:r>
      <w:r w:rsidR="08E76779">
        <w:t>t</w:t>
      </w:r>
      <w:r w:rsidR="00DF33D3">
        <w:t>u. Tato „hylemorfická“ substance se začala zaměňovat za první reálnou substanci</w:t>
      </w:r>
      <w:r w:rsidR="00A70FA4">
        <w:fldChar w:fldCharType="begin"/>
      </w:r>
      <w:r w:rsidR="00A70FA4">
        <w:instrText xml:space="preserve"> XE "</w:instrText>
      </w:r>
      <w:r w:rsidR="00A70FA4" w:rsidRPr="00DE2A32">
        <w:instrText>substance</w:instrText>
      </w:r>
      <w:r w:rsidR="00CD35D2">
        <w:instrText>:</w:instrText>
      </w:r>
      <w:r w:rsidR="00CD35D2" w:rsidRPr="08CE63C5">
        <w:rPr>
          <w:i/>
        </w:rPr>
        <w:instrText>species</w:instrText>
      </w:r>
      <w:r w:rsidR="00A70FA4">
        <w:instrText xml:space="preserve">" </w:instrText>
      </w:r>
      <w:r w:rsidR="00A70FA4">
        <w:fldChar w:fldCharType="end"/>
      </w:r>
      <w:r w:rsidR="00BF15E2">
        <w:t xml:space="preserve">. </w:t>
      </w:r>
      <w:r w:rsidR="000A4244">
        <w:t>P</w:t>
      </w:r>
      <w:r w:rsidR="00BF15E2">
        <w:t xml:space="preserve">ojetí </w:t>
      </w:r>
      <w:r w:rsidR="00220930">
        <w:t xml:space="preserve">porretánské </w:t>
      </w:r>
      <w:r w:rsidR="08F63592">
        <w:t>„</w:t>
      </w:r>
      <w:r w:rsidR="00220930">
        <w:t>ex</w:t>
      </w:r>
      <w:r w:rsidR="08F63592">
        <w:t>-s</w:t>
      </w:r>
      <w:r w:rsidR="00220930">
        <w:t>istence</w:t>
      </w:r>
      <w:r w:rsidR="08F63592">
        <w:t>“</w:t>
      </w:r>
      <w:r w:rsidR="00220930">
        <w:t xml:space="preserve"> jako přesahu věčné esence do kontingentní existence </w:t>
      </w:r>
      <w:r w:rsidR="00BF15E2">
        <w:t xml:space="preserve">najdeme v Rufusově termínu </w:t>
      </w:r>
      <w:r w:rsidR="00842AC9">
        <w:t>„</w:t>
      </w:r>
      <w:r w:rsidR="00BF15E2" w:rsidRPr="00273106">
        <w:rPr>
          <w:i/>
        </w:rPr>
        <w:t>exsistere</w:t>
      </w:r>
      <w:r w:rsidR="00842AC9">
        <w:t>“</w:t>
      </w:r>
      <w:r w:rsidR="005A68A7">
        <w:rPr>
          <w:i/>
        </w:rPr>
        <w:fldChar w:fldCharType="begin"/>
      </w:r>
      <w:r w:rsidR="005A68A7">
        <w:instrText xml:space="preserve"> XE "</w:instrText>
      </w:r>
      <w:r w:rsidR="005A68A7" w:rsidRPr="008E07A9">
        <w:rPr>
          <w:i/>
        </w:rPr>
        <w:instrText>exsistere</w:instrText>
      </w:r>
      <w:r w:rsidR="00CD35D2" w:rsidRPr="00CD35D2">
        <w:instrText>:Rufus</w:instrText>
      </w:r>
      <w:r w:rsidR="005A68A7">
        <w:instrText xml:space="preserve">" </w:instrText>
      </w:r>
      <w:r w:rsidR="005A68A7">
        <w:rPr>
          <w:i/>
        </w:rPr>
        <w:fldChar w:fldCharType="end"/>
      </w:r>
      <w:r w:rsidR="08DD7E0D">
        <w:t xml:space="preserve"> (kap. 3</w:t>
      </w:r>
      <w:r w:rsidR="00BF15E2">
        <w:t>.3.2</w:t>
      </w:r>
      <w:r w:rsidR="00BF15E2" w:rsidRPr="00273106">
        <w:t>)</w:t>
      </w:r>
      <w:r w:rsidR="000A4244">
        <w:t xml:space="preserve"> kolem 1235</w:t>
      </w:r>
      <w:r w:rsidRPr="00273106">
        <w:t xml:space="preserve">. Díky </w:t>
      </w:r>
      <w:r w:rsidR="00807B03">
        <w:t xml:space="preserve">této </w:t>
      </w:r>
      <w:r w:rsidRPr="00273106">
        <w:t>svérázně pojaté „ex</w:t>
      </w:r>
      <w:r w:rsidR="00603B31">
        <w:t>s</w:t>
      </w:r>
      <w:r w:rsidRPr="00273106">
        <w:t xml:space="preserve">istenci“ získávají </w:t>
      </w:r>
      <w:r w:rsidR="004B4D52" w:rsidRPr="004B4D52">
        <w:t>species</w:t>
      </w:r>
      <w:r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7D7C0C">
        <w:instrText>:</w:instrText>
      </w:r>
      <w:r w:rsidR="007D7C0C" w:rsidRPr="007D7C0C">
        <w:instrText>druhý averroismus</w:instrText>
      </w:r>
      <w:r w:rsidR="008061D5">
        <w:instrText xml:space="preserve">" </w:instrText>
      </w:r>
      <w:r w:rsidR="008061D5">
        <w:rPr>
          <w:i/>
        </w:rPr>
        <w:fldChar w:fldCharType="end"/>
      </w:r>
      <w:r w:rsidRPr="00273106">
        <w:t xml:space="preserve"> uvnitř možného intelektu vlastní formu hypostázované jsoucnosti (</w:t>
      </w:r>
      <w:r w:rsidRPr="00273106">
        <w:rPr>
          <w:i/>
        </w:rPr>
        <w:t>habent esse individuatum in intellectu possibili</w:t>
      </w:r>
      <w:r w:rsidRPr="00273106">
        <w:t xml:space="preserve">). </w:t>
      </w:r>
      <w:r w:rsidR="08CA0EC1" w:rsidRPr="00273106">
        <w:t xml:space="preserve">Albert </w:t>
      </w:r>
      <w:r w:rsidR="08CA0EC1">
        <w:t xml:space="preserve">asi </w:t>
      </w:r>
      <w:r w:rsidR="08CA0EC1" w:rsidRPr="00273106">
        <w:t xml:space="preserve">naráží na citovanou definici možného intelektu z díla </w:t>
      </w:r>
      <w:r w:rsidR="08CA0EC1" w:rsidRPr="00273106">
        <w:rPr>
          <w:i/>
        </w:rPr>
        <w:t xml:space="preserve">Speculum animae </w:t>
      </w:r>
      <w:r w:rsidR="08CA0EC1">
        <w:t>(asi 1245), kterou</w:t>
      </w:r>
      <w:r w:rsidR="08CA0EC1" w:rsidRPr="00273106">
        <w:t xml:space="preserve"> </w:t>
      </w:r>
      <w:r w:rsidR="08CA0EC1">
        <w:t xml:space="preserve">jistě </w:t>
      </w:r>
      <w:r w:rsidR="08CA0EC1" w:rsidRPr="00273106">
        <w:t>znal z Rufusovýc</w:t>
      </w:r>
      <w:r w:rsidR="08CA0EC1">
        <w:t xml:space="preserve">h přednášek v Paříži. </w:t>
      </w:r>
      <w:r w:rsidR="0810420C">
        <w:t>Poslední věta citátu odmítá</w:t>
      </w:r>
      <w:r w:rsidR="003665AB">
        <w:t xml:space="preserve"> demagogii modernistů ohledně numericky jednotného receptivního intelektu připsaného </w:t>
      </w:r>
      <w:r w:rsidR="002E3B62">
        <w:t>Averroes</w:t>
      </w:r>
      <w:r w:rsidR="003665AB">
        <w:t xml:space="preserve">ovi. </w:t>
      </w:r>
      <w:r w:rsidR="08103877">
        <w:t>M</w:t>
      </w:r>
      <w:r w:rsidR="003665AB">
        <w:t xml:space="preserve">oderní </w:t>
      </w:r>
      <w:r w:rsidR="002E30FF" w:rsidRPr="002E30FF">
        <w:t>species</w:t>
      </w:r>
      <w:r w:rsidR="003665AB">
        <w:t xml:space="preserve"> jsou </w:t>
      </w:r>
      <w:r w:rsidR="08682626">
        <w:t>materiálně</w:t>
      </w:r>
      <w:r w:rsidR="000D19EC">
        <w:t xml:space="preserve"> </w:t>
      </w:r>
      <w:r w:rsidR="003665AB">
        <w:t>individualizovaná jsou</w:t>
      </w:r>
      <w:r w:rsidR="00551F7D">
        <w:t>c</w:t>
      </w:r>
      <w:r w:rsidR="003665AB">
        <w:t>na třetího druhu</w:t>
      </w:r>
      <w:r w:rsidR="003665AB" w:rsidRPr="003665AB">
        <w:rPr>
          <w:rStyle w:val="FontStyle157"/>
          <w:rFonts w:ascii="Calibri" w:hAnsi="Calibri"/>
          <w:sz w:val="24"/>
        </w:rPr>
        <w:t xml:space="preserve"> </w:t>
      </w:r>
      <w:r w:rsidR="08103877">
        <w:rPr>
          <w:rStyle w:val="FontStyle157"/>
          <w:rFonts w:ascii="Calibri" w:hAnsi="Calibri"/>
          <w:sz w:val="24"/>
        </w:rPr>
        <w:t xml:space="preserve">daná univerzálně skrze dělení v rámci Porfýriova stromu </w:t>
      </w:r>
      <w:r w:rsidR="003665AB">
        <w:rPr>
          <w:rStyle w:val="FontStyle157"/>
          <w:rFonts w:ascii="Calibri" w:hAnsi="Calibri"/>
          <w:sz w:val="22"/>
        </w:rPr>
        <w:t>(</w:t>
      </w:r>
      <w:r w:rsidR="003665AB" w:rsidRPr="00493357">
        <w:rPr>
          <w:i/>
        </w:rPr>
        <w:t>esse individuatum</w:t>
      </w:r>
      <w:r w:rsidR="003665AB">
        <w:rPr>
          <w:rStyle w:val="FontStyle157"/>
          <w:rFonts w:ascii="Calibri" w:hAnsi="Calibri"/>
          <w:sz w:val="22"/>
        </w:rPr>
        <w:t>)</w:t>
      </w:r>
      <w:r w:rsidR="08103877">
        <w:t xml:space="preserve">. </w:t>
      </w:r>
      <w:r w:rsidR="087C1AE6" w:rsidRPr="00273106">
        <w:t xml:space="preserve">Latiníci vytvořili individuum </w:t>
      </w:r>
      <w:r w:rsidR="087C1AE6">
        <w:t xml:space="preserve">jako sofistické simulákrum </w:t>
      </w:r>
      <w:r w:rsidR="087C1AE6" w:rsidRPr="00273106">
        <w:t xml:space="preserve">ve formě specifické univerzálie, která má univoční bytí </w:t>
      </w:r>
      <w:r w:rsidR="087C1AE6">
        <w:t xml:space="preserve">jak v realitě, tak v intelektu. Individuum vzniklo </w:t>
      </w:r>
      <w:r w:rsidR="087C1AE6" w:rsidRPr="00273106">
        <w:t xml:space="preserve">v procesu denudace </w:t>
      </w:r>
      <w:r w:rsidR="087C1AE6">
        <w:t xml:space="preserve">a je predikováno v porretánském pojetí kategorií.  Predikaci jsoucen třetího druhu tím </w:t>
      </w:r>
      <w:r w:rsidR="087C1AE6" w:rsidRPr="00273106">
        <w:t>dostal</w:t>
      </w:r>
      <w:r w:rsidR="087C1AE6">
        <w:t>a</w:t>
      </w:r>
      <w:r w:rsidR="087C1AE6" w:rsidRPr="00273106">
        <w:t xml:space="preserve"> charakter existenciálního výroku</w:t>
      </w:r>
      <w:r w:rsidR="087C1AE6">
        <w:t xml:space="preserve">. </w:t>
      </w:r>
      <w:r w:rsidR="00A75F38">
        <w:t xml:space="preserve">Supozice </w:t>
      </w:r>
      <w:r w:rsidR="00117751">
        <w:t xml:space="preserve">chápe </w:t>
      </w:r>
      <w:r w:rsidR="00A75F38">
        <w:t xml:space="preserve">vlastní výtvor myšlení jako </w:t>
      </w:r>
      <w:r w:rsidR="089747B5">
        <w:t xml:space="preserve">objektivní </w:t>
      </w:r>
      <w:r w:rsidR="00A75F38" w:rsidRPr="00A75F38">
        <w:rPr>
          <w:i/>
        </w:rPr>
        <w:t>res</w:t>
      </w:r>
      <w:r w:rsidR="00117751">
        <w:t xml:space="preserve"> v modu </w:t>
      </w:r>
      <w:r w:rsidR="00117751">
        <w:fldChar w:fldCharType="begin"/>
      </w:r>
      <w:r w:rsidR="00117751">
        <w:instrText xml:space="preserve"> XE "supozice:</w:instrText>
      </w:r>
      <w:r w:rsidR="00117751" w:rsidRPr="00916E6F">
        <w:instrText>modu</w:instrText>
      </w:r>
      <w:r w:rsidR="00117751">
        <w:instrText>s</w:instrText>
      </w:r>
      <w:r w:rsidR="00117751" w:rsidRPr="00916E6F">
        <w:instrText xml:space="preserve"> </w:instrText>
      </w:r>
      <w:r w:rsidR="00117751" w:rsidRPr="002E01A1">
        <w:rPr>
          <w:i/>
        </w:rPr>
        <w:instrText>absolute</w:instrText>
      </w:r>
      <w:r w:rsidR="00117751">
        <w:instrText xml:space="preserve">" </w:instrText>
      </w:r>
      <w:r w:rsidR="00117751">
        <w:fldChar w:fldCharType="end"/>
      </w:r>
      <w:r w:rsidR="00117751" w:rsidRPr="00501967">
        <w:rPr>
          <w:i/>
        </w:rPr>
        <w:t>absolute</w:t>
      </w:r>
      <w:r w:rsidR="00117751">
        <w:t xml:space="preserve"> </w:t>
      </w:r>
      <w:r w:rsidR="089747B5">
        <w:t xml:space="preserve">danou </w:t>
      </w:r>
      <w:r w:rsidR="00117751">
        <w:t xml:space="preserve">bez ohledu na existenci reálné věci. </w:t>
      </w:r>
      <w:r w:rsidR="089747B5">
        <w:t xml:space="preserve">Pak má reálná osoba, mrtvola a chiméra stejný objektivní význam daný univerzální supozicí pouze v intelektu. </w:t>
      </w:r>
      <w:r w:rsidR="00FF5074">
        <w:t>Augustiniánská porretánská m</w:t>
      </w:r>
      <w:r w:rsidR="00FF5074" w:rsidRPr="00273106">
        <w:t xml:space="preserve">oderna </w:t>
      </w:r>
      <w:r w:rsidR="00C246D6">
        <w:t xml:space="preserve">po svém </w:t>
      </w:r>
      <w:r w:rsidR="00FF5074" w:rsidRPr="00273106">
        <w:t>oživila starý spor neoplatoniků o nedělitelnou substanci (</w:t>
      </w:r>
      <w:r w:rsidR="08A1061C">
        <w:t xml:space="preserve">OBJ I, </w:t>
      </w:r>
      <w:r w:rsidR="084E7952">
        <w:t>kap. 1.3</w:t>
      </w:r>
      <w:r w:rsidR="00FF5074" w:rsidRPr="00273106">
        <w:t xml:space="preserve">.1). </w:t>
      </w:r>
      <w:r w:rsidR="00117751">
        <w:t xml:space="preserve">Moderní </w:t>
      </w:r>
      <w:r w:rsidR="002E30FF" w:rsidRPr="002E30FF">
        <w:lastRenderedPageBreak/>
        <w:t>species</w:t>
      </w:r>
      <w:r w:rsidR="00700683">
        <w:t xml:space="preserve"> </w:t>
      </w:r>
      <w:r w:rsidRPr="00273106">
        <w:t xml:space="preserve">nemají </w:t>
      </w:r>
      <w:r w:rsidR="00700683">
        <w:t xml:space="preserve">intencionální </w:t>
      </w:r>
      <w:r w:rsidRPr="00273106">
        <w:t xml:space="preserve">statut </w:t>
      </w:r>
      <w:r w:rsidR="004B4D52" w:rsidRPr="004B4D52">
        <w:t>species</w:t>
      </w:r>
      <w:r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DD403C">
        <w:instrText>Avicenna</w:instrText>
      </w:r>
      <w:r w:rsidR="008061D5">
        <w:instrText xml:space="preserve">" </w:instrText>
      </w:r>
      <w:r w:rsidR="008061D5">
        <w:rPr>
          <w:i/>
        </w:rPr>
        <w:fldChar w:fldCharType="end"/>
      </w:r>
      <w:r w:rsidR="00700683">
        <w:rPr>
          <w:i/>
        </w:rPr>
        <w:t xml:space="preserve"> </w:t>
      </w:r>
      <w:r w:rsidR="00700683" w:rsidRPr="00700683">
        <w:t>jako v prvním averroismu</w:t>
      </w:r>
      <w:r w:rsidR="08C57E7B">
        <w:t xml:space="preserve">, protože </w:t>
      </w:r>
      <w:r w:rsidR="002E30FF" w:rsidRPr="002E30FF">
        <w:t>species</w:t>
      </w:r>
      <w:r w:rsidRPr="00273106">
        <w:t xml:space="preserve"> u porretánů </w:t>
      </w:r>
      <w:r w:rsidR="00700683">
        <w:t xml:space="preserve">má </w:t>
      </w:r>
      <w:r w:rsidRPr="00273106">
        <w:t>univoční charakter jsoucna na způsob první substance (</w:t>
      </w:r>
      <w:r w:rsidRPr="00273106">
        <w:rPr>
          <w:i/>
        </w:rPr>
        <w:t>individuum</w:t>
      </w:r>
      <w:r w:rsidRPr="00273106">
        <w:t xml:space="preserve">). </w:t>
      </w:r>
      <w:r w:rsidR="0062084F">
        <w:t xml:space="preserve">Jednou je </w:t>
      </w:r>
      <w:r w:rsidR="085A51A0">
        <w:t xml:space="preserve">toto modernistické univoční </w:t>
      </w:r>
      <w:r w:rsidR="002E30FF" w:rsidRPr="002E30FF">
        <w:t>species</w:t>
      </w:r>
      <w:r w:rsidR="08DF3B79" w:rsidRPr="00273106">
        <w:t xml:space="preserve"> </w:t>
      </w:r>
      <w:r w:rsidR="0062084F">
        <w:t>dá</w:t>
      </w:r>
      <w:r w:rsidR="008E75DD">
        <w:t>no v odděleném kosmickém intele</w:t>
      </w:r>
      <w:r w:rsidR="0062084F">
        <w:t>k</w:t>
      </w:r>
      <w:r w:rsidR="008E75DD">
        <w:t>t</w:t>
      </w:r>
      <w:r w:rsidR="0062084F">
        <w:t xml:space="preserve">u, jindy v hylemorfické věci, jindy v našem intelektu. </w:t>
      </w:r>
      <w:r w:rsidR="00626BB5" w:rsidRPr="00626BB5">
        <w:t xml:space="preserve">Příjemce a nositel těchto univerzálních hylemorfních </w:t>
      </w:r>
      <w:r w:rsidR="00626BB5">
        <w:t xml:space="preserve">entit </w:t>
      </w:r>
      <w:r w:rsidR="00626BB5" w:rsidRPr="00626BB5">
        <w:t>mus</w:t>
      </w:r>
      <w:r w:rsidR="00626BB5">
        <w:t>í být individualizován spirituální materií</w:t>
      </w:r>
      <w:r w:rsidR="00626BB5" w:rsidRPr="00626BB5">
        <w:t xml:space="preserve">. Takový univerzální </w:t>
      </w:r>
      <w:r w:rsidR="00626BB5" w:rsidRPr="00626BB5">
        <w:rPr>
          <w:i/>
        </w:rPr>
        <w:t>intellectus possibilis</w:t>
      </w:r>
      <w:r w:rsidR="00626BB5" w:rsidRPr="00626BB5">
        <w:t xml:space="preserve"> je numericky shodný u všech </w:t>
      </w:r>
      <w:r w:rsidR="00626BB5">
        <w:t xml:space="preserve">lidí </w:t>
      </w:r>
      <w:r w:rsidR="00626BB5" w:rsidRPr="00626BB5">
        <w:t xml:space="preserve">jako mytologické a </w:t>
      </w:r>
      <w:r w:rsidR="00626BB5">
        <w:t xml:space="preserve">zcela </w:t>
      </w:r>
      <w:r w:rsidR="00626BB5" w:rsidRPr="00626BB5">
        <w:t xml:space="preserve">moderní </w:t>
      </w:r>
      <w:r w:rsidR="00626BB5" w:rsidRPr="00626BB5">
        <w:rPr>
          <w:i/>
        </w:rPr>
        <w:t>tertium ens</w:t>
      </w:r>
      <w:r w:rsidR="00626BB5" w:rsidRPr="00626BB5">
        <w:t>. Tato chiméra je především kosmická, věčná a nepomíjivá ve své podstatě (</w:t>
      </w:r>
      <w:r w:rsidR="00626BB5" w:rsidRPr="00626BB5">
        <w:rPr>
          <w:i/>
        </w:rPr>
        <w:t>quartum genus</w:t>
      </w:r>
      <w:r w:rsidR="00626BB5" w:rsidRPr="00626BB5">
        <w:t xml:space="preserve"> </w:t>
      </w:r>
      <w:r w:rsidR="00626BB5">
        <w:t xml:space="preserve">podle </w:t>
      </w:r>
      <w:r w:rsidR="00626BB5" w:rsidRPr="00626BB5">
        <w:t xml:space="preserve">CMDA). Druhý druh možného intelektu </w:t>
      </w:r>
      <w:r w:rsidR="00626BB5">
        <w:t xml:space="preserve">je dán </w:t>
      </w:r>
      <w:r w:rsidR="00626BB5" w:rsidRPr="00626BB5">
        <w:t xml:space="preserve">jako individuální první substance, tedy jako porretánské </w:t>
      </w:r>
      <w:r w:rsidR="00626BB5" w:rsidRPr="00626BB5">
        <w:rPr>
          <w:i/>
        </w:rPr>
        <w:t>individuum</w:t>
      </w:r>
      <w:r w:rsidR="00626BB5" w:rsidRPr="00626BB5">
        <w:t>. Od ostatních nehmotných forem se liší tím, že přijímá duchovní hmotu třetího druhu (</w:t>
      </w:r>
      <w:r w:rsidR="00626BB5" w:rsidRPr="00626BB5">
        <w:rPr>
          <w:i/>
        </w:rPr>
        <w:t>tertium genus</w:t>
      </w:r>
      <w:r w:rsidR="00626BB5" w:rsidRPr="00626BB5">
        <w:t>).</w:t>
      </w:r>
      <w:r w:rsidR="00626BB5">
        <w:t xml:space="preserve"> </w:t>
      </w:r>
      <w:r w:rsidR="08212D7D">
        <w:t xml:space="preserve">Touto sofistickou simulací CMDA </w:t>
      </w:r>
      <w:r w:rsidR="087C1AE6">
        <w:t xml:space="preserve">vznikla averroistická forma </w:t>
      </w:r>
      <w:r w:rsidR="087C1AE6" w:rsidRPr="0824697A">
        <w:rPr>
          <w:i/>
        </w:rPr>
        <w:t>intellectus possibilis</w:t>
      </w:r>
      <w:r w:rsidR="087C1AE6">
        <w:t>, který se stal hypostázovanou porretánskou substancí třetího druhu definovanou v rámci univerzálního hylemorfismu</w:t>
      </w:r>
      <w:r w:rsidR="0804485C">
        <w:t xml:space="preserve"> (kap. 3.2)</w:t>
      </w:r>
      <w:r w:rsidR="087C1AE6">
        <w:t xml:space="preserve">. První model tohoto simulákra vytvořil Rufus v díle </w:t>
      </w:r>
      <w:r w:rsidR="087C1AE6" w:rsidRPr="08103877">
        <w:rPr>
          <w:i/>
        </w:rPr>
        <w:t>Contra Averroem</w:t>
      </w:r>
      <w:r w:rsidR="08770C3D">
        <w:t xml:space="preserve"> okolo roku 1236 (kap. 3</w:t>
      </w:r>
      <w:r w:rsidR="087C1AE6">
        <w:t xml:space="preserve">.3.3). Toto dílo udělalo z Komentátora porretánského averroistu, což odmítl jak Alvenus, tak Albert a Bacon. </w:t>
      </w:r>
      <w:r w:rsidRPr="00273106">
        <w:t xml:space="preserve">Aktuální intelekt </w:t>
      </w:r>
      <w:r w:rsidR="082C4E46">
        <w:t>představuje substanci</w:t>
      </w:r>
      <w:r w:rsidRPr="00273106">
        <w:t xml:space="preserve"> </w:t>
      </w:r>
      <w:r w:rsidR="082C4E46">
        <w:t>třetího druhu schopnou</w:t>
      </w:r>
      <w:r w:rsidRPr="00273106">
        <w:t xml:space="preserve"> avicennovské či</w:t>
      </w:r>
      <w:r w:rsidR="00DC1188">
        <w:t xml:space="preserve"> kartez</w:t>
      </w:r>
      <w:r w:rsidR="0883694F">
        <w:t xml:space="preserve">iánsko-husserlovské reflexe. </w:t>
      </w:r>
      <w:r w:rsidR="08A46B51">
        <w:t>Intelekt jako m</w:t>
      </w:r>
      <w:r w:rsidR="0883694F">
        <w:t xml:space="preserve">oderní simulákrum sebereflexivně </w:t>
      </w:r>
      <w:r w:rsidR="0883694F" w:rsidRPr="00273106">
        <w:t xml:space="preserve">produkuje </w:t>
      </w:r>
      <w:r w:rsidR="0883694F">
        <w:t>d</w:t>
      </w:r>
      <w:r w:rsidR="003A5B63" w:rsidRPr="00273106">
        <w:t xml:space="preserve">íky vlastní nezávislé aktivitě </w:t>
      </w:r>
      <w:r w:rsidRPr="00273106">
        <w:t xml:space="preserve">moderní verzi </w:t>
      </w:r>
      <w:r w:rsidR="002E30FF" w:rsidRPr="002E30FF">
        <w:t>species</w:t>
      </w:r>
      <w:r w:rsidR="003A5B63" w:rsidRPr="00273106">
        <w:t xml:space="preserve"> jako  pseudo-substance</w:t>
      </w:r>
      <w:r w:rsidR="00EF286D">
        <w:t xml:space="preserve"> </w:t>
      </w:r>
      <w:r w:rsidR="08D3380E">
        <w:t xml:space="preserve">dané přímo v receptivním intelektu </w:t>
      </w:r>
      <w:r w:rsidR="00EF286D">
        <w:t>(</w:t>
      </w:r>
      <w:r w:rsidR="00EF286D" w:rsidRPr="00273106">
        <w:rPr>
          <w:i/>
        </w:rPr>
        <w:t>esse individuatum in intellectu possibili</w:t>
      </w:r>
      <w:r w:rsidR="00EF286D">
        <w:t>)</w:t>
      </w:r>
      <w:r w:rsidR="003A5B63" w:rsidRPr="00273106">
        <w:t xml:space="preserve">. </w:t>
      </w:r>
      <w:r w:rsidR="086C7B70">
        <w:t xml:space="preserve">Toto konkrétní a individuální vidění světa běží v modu </w:t>
      </w:r>
      <w:r w:rsidR="086C7B70" w:rsidRPr="08A5313B">
        <w:rPr>
          <w:i/>
        </w:rPr>
        <w:t>discrete videamus</w:t>
      </w:r>
      <w:r w:rsidR="086C7B70">
        <w:rPr>
          <w:i/>
        </w:rPr>
        <w:fldChar w:fldCharType="begin"/>
      </w:r>
      <w:r w:rsidR="086C7B70">
        <w:instrText xml:space="preserve"> XE "</w:instrText>
      </w:r>
      <w:r w:rsidR="086C7B70" w:rsidRPr="085349A2">
        <w:rPr>
          <w:i/>
        </w:rPr>
        <w:instrText>discrete videamus</w:instrText>
      </w:r>
      <w:r w:rsidR="086C7B70">
        <w:instrText xml:space="preserve">" </w:instrText>
      </w:r>
      <w:r w:rsidR="086C7B70">
        <w:rPr>
          <w:i/>
        </w:rPr>
        <w:fldChar w:fldCharType="end"/>
      </w:r>
      <w:r w:rsidR="086C7B70">
        <w:t xml:space="preserve"> </w:t>
      </w:r>
      <w:r w:rsidR="086C7B70" w:rsidRPr="00273106">
        <w:t xml:space="preserve">podle moderního pojetí </w:t>
      </w:r>
      <w:r w:rsidR="00BC4209">
        <w:t>impozice</w:t>
      </w:r>
      <w:r w:rsidR="086C7B70">
        <w:t>, která k etablování vědeckého poznání už nepotřebuje aktualitu reálné věci</w:t>
      </w:r>
      <w:r w:rsidR="0836085B">
        <w:t xml:space="preserve"> (kap. </w:t>
      </w:r>
      <w:r w:rsidR="087D2CBA">
        <w:t>1.5</w:t>
      </w:r>
      <w:r w:rsidR="0836085B">
        <w:t>)</w:t>
      </w:r>
      <w:r w:rsidR="086C7B70" w:rsidRPr="00273106">
        <w:t xml:space="preserve">. </w:t>
      </w:r>
      <w:r w:rsidR="007265C0">
        <w:t>Poznání místo impozice od první substance se vystačí pouze s univerzální supozici v mysli (</w:t>
      </w:r>
      <w:r w:rsidR="007265C0" w:rsidRPr="081107D6">
        <w:rPr>
          <w:i/>
        </w:rPr>
        <w:t>ubi</w:t>
      </w:r>
      <w:r w:rsidR="007265C0" w:rsidRPr="00273106">
        <w:rPr>
          <w:i/>
        </w:rPr>
        <w:t xml:space="preserve"> est subiectum, non ostenditur, sed supponitur</w:t>
      </w:r>
      <w:r w:rsidR="007265C0">
        <w:rPr>
          <w:i/>
        </w:rPr>
        <w:t xml:space="preserve">, </w:t>
      </w:r>
      <w:r w:rsidR="007265C0">
        <w:t>kap. 3.3.1). U</w:t>
      </w:r>
      <w:r w:rsidR="007265C0" w:rsidRPr="00273106">
        <w:t>vedený citát Rufuse</w:t>
      </w:r>
      <w:r w:rsidR="007265C0">
        <w:t xml:space="preserve"> shrnuje t</w:t>
      </w:r>
      <w:r w:rsidR="086C7B70">
        <w:t>uto spekulativní pozici</w:t>
      </w:r>
      <w:r w:rsidR="007265C0">
        <w:t xml:space="preserve">. </w:t>
      </w:r>
      <w:r w:rsidR="086C7B70">
        <w:t xml:space="preserve">Jeho postup pak opakuje </w:t>
      </w:r>
      <w:r w:rsidR="086C7B70" w:rsidRPr="00273106">
        <w:t>Kilwardby</w:t>
      </w:r>
      <w:r w:rsidR="086C7B70">
        <w:t xml:space="preserve"> a je</w:t>
      </w:r>
      <w:r w:rsidR="086C7B70" w:rsidRPr="00273106">
        <w:t xml:space="preserve">ho </w:t>
      </w:r>
      <w:r w:rsidR="086C7B70">
        <w:t xml:space="preserve">škola </w:t>
      </w:r>
      <w:r w:rsidR="086C7B70" w:rsidRPr="00273106">
        <w:t xml:space="preserve">v anonymním </w:t>
      </w:r>
      <w:r w:rsidR="086C7B70" w:rsidRPr="00F04640">
        <w:rPr>
          <w:i/>
        </w:rPr>
        <w:t>Erfurtském traktátu</w:t>
      </w:r>
      <w:r w:rsidR="00F04640">
        <w:t xml:space="preserve">. Ten postavil </w:t>
      </w:r>
      <w:r w:rsidR="086C7B70">
        <w:t xml:space="preserve">autonomní bytí intelektu-substance </w:t>
      </w:r>
      <w:r w:rsidR="00F04640">
        <w:t xml:space="preserve">zcela </w:t>
      </w:r>
      <w:r w:rsidR="086C7B70">
        <w:t>karteziánsky jako základ poznání (</w:t>
      </w:r>
      <w:r w:rsidR="086C7B70" w:rsidRPr="00273106">
        <w:rPr>
          <w:i/>
        </w:rPr>
        <w:t>quaestio quid est intellectus non supponit quaestionem si est res, sed si est intellectus</w:t>
      </w:r>
      <w:r w:rsidR="086C7B70">
        <w:rPr>
          <w:i/>
        </w:rPr>
        <w:t xml:space="preserve">, </w:t>
      </w:r>
      <w:r w:rsidR="08561B5A">
        <w:t>kap. 3</w:t>
      </w:r>
      <w:r w:rsidR="086C7B70">
        <w:t>.4.3</w:t>
      </w:r>
      <w:r w:rsidR="086C7B70" w:rsidRPr="00273106">
        <w:t>)</w:t>
      </w:r>
      <w:r w:rsidR="086C7B70">
        <w:t xml:space="preserve">. </w:t>
      </w:r>
      <w:r w:rsidR="08D3380E">
        <w:t>Tuto p</w:t>
      </w:r>
      <w:r w:rsidRPr="00273106">
        <w:t>ochybnou individualitu intelekt</w:t>
      </w:r>
      <w:r w:rsidR="0873552B">
        <w:t>u jako pseudo-substance</w:t>
      </w:r>
      <w:r w:rsidR="00DC1188">
        <w:t xml:space="preserve"> založila</w:t>
      </w:r>
      <w:r w:rsidRPr="00273106">
        <w:t xml:space="preserve"> Rufusov</w:t>
      </w:r>
      <w:r w:rsidR="08965D06">
        <w:t xml:space="preserve">a </w:t>
      </w:r>
      <w:r w:rsidR="000641F4">
        <w:t>„</w:t>
      </w:r>
      <w:r w:rsidR="08965D06">
        <w:t>konkrétní</w:t>
      </w:r>
      <w:r w:rsidR="00A42C4C" w:rsidRPr="00273106">
        <w:t xml:space="preserve"> </w:t>
      </w:r>
      <w:r w:rsidR="000641F4">
        <w:t xml:space="preserve">a pravdivá“ </w:t>
      </w:r>
      <w:r w:rsidR="00A42C4C" w:rsidRPr="00273106">
        <w:t xml:space="preserve">definice </w:t>
      </w:r>
      <w:r w:rsidR="000F581A">
        <w:fldChar w:fldCharType="begin"/>
      </w:r>
      <w:r w:rsidR="000F581A">
        <w:instrText xml:space="preserve"> XE "</w:instrText>
      </w:r>
      <w:r w:rsidR="000F581A" w:rsidRPr="00805986">
        <w:instrText>predikace:konkrétní</w:instrText>
      </w:r>
      <w:r w:rsidR="000F581A">
        <w:instrText xml:space="preserve">" </w:instrText>
      </w:r>
      <w:r w:rsidR="000F581A">
        <w:fldChar w:fldCharType="end"/>
      </w:r>
      <w:r w:rsidR="00A8160B" w:rsidRPr="00273106">
        <w:t>možného intelektu</w:t>
      </w:r>
      <w:r w:rsidRPr="00273106">
        <w:t xml:space="preserve"> (</w:t>
      </w:r>
      <w:r w:rsidR="00A8160B" w:rsidRPr="00273106">
        <w:rPr>
          <w:i/>
        </w:rPr>
        <w:t>intellectu possibili praedicatur concretive et vere</w:t>
      </w:r>
      <w:r w:rsidR="00A8160B" w:rsidRPr="00273106">
        <w:t xml:space="preserve">, </w:t>
      </w:r>
      <w:r w:rsidR="08A801C1">
        <w:t>kap. 3</w:t>
      </w:r>
      <w:r w:rsidR="00F631F7" w:rsidRPr="00273106">
        <w:t>.3.4</w:t>
      </w:r>
      <w:r w:rsidRPr="00273106">
        <w:t xml:space="preserve">). </w:t>
      </w:r>
      <w:r w:rsidR="087E28A3">
        <w:t>Dnes ji</w:t>
      </w:r>
      <w:r w:rsidR="08C875E3">
        <w:t xml:space="preserve"> známe například z teze o </w:t>
      </w:r>
      <w:r w:rsidR="0010784D">
        <w:t>„</w:t>
      </w:r>
      <w:r w:rsidR="08C875E3">
        <w:t>numericky</w:t>
      </w:r>
      <w:r w:rsidR="0010784D">
        <w:t>“</w:t>
      </w:r>
      <w:r w:rsidR="08C875E3">
        <w:t xml:space="preserve"> </w:t>
      </w:r>
      <w:r w:rsidR="0010784D">
        <w:t xml:space="preserve">jednotném nebo </w:t>
      </w:r>
      <w:r w:rsidR="08C875E3">
        <w:t>odlišném intelektu</w:t>
      </w:r>
      <w:r w:rsidR="087E28A3">
        <w:t xml:space="preserve">, který představuje klasické simulákrum averroistické moderny a postmoderny. </w:t>
      </w:r>
      <w:r w:rsidR="002A1566" w:rsidRPr="00273106">
        <w:t xml:space="preserve">Druhý averroismus nepochopil </w:t>
      </w:r>
      <w:r w:rsidR="08E944DD">
        <w:lastRenderedPageBreak/>
        <w:t xml:space="preserve">dvojí </w:t>
      </w:r>
      <w:r w:rsidR="002A1566" w:rsidRPr="00273106">
        <w:t>charakter receptivního intelektu podle CMDA</w:t>
      </w:r>
      <w:r w:rsidR="00B52699">
        <w:t xml:space="preserve">. </w:t>
      </w:r>
      <w:r w:rsidR="00B52699" w:rsidRPr="00B52699">
        <w:t>Modernisté proto vytvořili vlastní sofistické simulakrum, které mytologicky reprodukovalo dvojí povahu intelektu popsanou v CMDA.</w:t>
      </w:r>
      <w:r w:rsidR="00B52699">
        <w:t xml:space="preserve"> Tím vznikla nová </w:t>
      </w:r>
      <w:r w:rsidR="002A1566">
        <w:t>atomární substance neoplatoniků</w:t>
      </w:r>
      <w:r w:rsidR="00B52699">
        <w:t>,</w:t>
      </w:r>
      <w:r w:rsidR="002A1566">
        <w:t xml:space="preserve"> </w:t>
      </w:r>
      <w:r w:rsidR="00B52699">
        <w:t xml:space="preserve">jako ji měl </w:t>
      </w:r>
      <w:r w:rsidR="002A1566">
        <w:t>Simpliki</w:t>
      </w:r>
      <w:r w:rsidR="00B52699">
        <w:t>us</w:t>
      </w:r>
      <w:r w:rsidR="002A1566">
        <w:t xml:space="preserve"> (</w:t>
      </w:r>
      <w:r w:rsidR="08A801C1">
        <w:t xml:space="preserve">OBJ I, </w:t>
      </w:r>
      <w:r w:rsidR="084E7952">
        <w:t>kap. 1.3</w:t>
      </w:r>
      <w:r w:rsidR="002A1566">
        <w:t>.1)</w:t>
      </w:r>
      <w:r w:rsidR="002A1566" w:rsidRPr="00273106">
        <w:t xml:space="preserve">. </w:t>
      </w:r>
      <w:r w:rsidR="00D53C9B" w:rsidRPr="00D53C9B">
        <w:t>Škola latinských sofistů provedla poprvé</w:t>
      </w:r>
      <w:r w:rsidR="00D53C9B">
        <w:t xml:space="preserve"> </w:t>
      </w:r>
      <w:r w:rsidR="00D53C9B" w:rsidRPr="00D53C9B">
        <w:t xml:space="preserve">tuto transmutaci první substance </w:t>
      </w:r>
      <w:r w:rsidR="00D53C9B">
        <w:t xml:space="preserve">na nihilistické simulákrum </w:t>
      </w:r>
      <w:r w:rsidR="00D53C9B" w:rsidRPr="00D53C9B">
        <w:t xml:space="preserve">jako </w:t>
      </w:r>
      <w:r w:rsidR="00D53C9B" w:rsidRPr="00D53C9B">
        <w:rPr>
          <w:i/>
        </w:rPr>
        <w:t>tertium ens</w:t>
      </w:r>
      <w:r w:rsidR="00D53C9B" w:rsidRPr="00D53C9B">
        <w:t>. Alvernus a Albert pr</w:t>
      </w:r>
      <w:r w:rsidR="00D53C9B">
        <w:t>o novou školu těchto „filosofů“ použili ironický název „</w:t>
      </w:r>
      <w:r w:rsidR="00D53C9B" w:rsidRPr="00273106">
        <w:rPr>
          <w:i/>
        </w:rPr>
        <w:t>doctores Latin</w:t>
      </w:r>
      <w:r w:rsidR="00D53C9B">
        <w:rPr>
          <w:i/>
        </w:rPr>
        <w:t>i“</w:t>
      </w:r>
      <w:r w:rsidR="00D53C9B" w:rsidRPr="00004F90">
        <w:fldChar w:fldCharType="begin"/>
      </w:r>
      <w:r w:rsidR="00D53C9B" w:rsidRPr="00004F90">
        <w:instrText xml:space="preserve"> XE "druhý averroismus:</w:instrText>
      </w:r>
      <w:r w:rsidR="00D53C9B" w:rsidRPr="003869DD">
        <w:rPr>
          <w:i/>
        </w:rPr>
        <w:instrText>doctores Latini</w:instrText>
      </w:r>
      <w:r w:rsidR="00D53C9B" w:rsidRPr="00004F90">
        <w:instrText xml:space="preserve">" </w:instrText>
      </w:r>
      <w:r w:rsidR="00D53C9B" w:rsidRPr="00004F90">
        <w:fldChar w:fldCharType="end"/>
      </w:r>
      <w:r w:rsidR="00D53C9B" w:rsidRPr="00004F90">
        <w:t>.</w:t>
      </w:r>
      <w:r w:rsidR="00D53C9B">
        <w:t xml:space="preserve"> </w:t>
      </w:r>
      <w:r w:rsidR="00ED07A3">
        <w:t xml:space="preserve">Albert kritizuje především mendikantské kolegy ze školy druhého </w:t>
      </w:r>
      <w:r w:rsidR="006C4E8F">
        <w:t>a</w:t>
      </w:r>
      <w:r w:rsidR="00ED07A3">
        <w:t>ver</w:t>
      </w:r>
      <w:r w:rsidR="006C4E8F">
        <w:t>r</w:t>
      </w:r>
      <w:r w:rsidR="00ED07A3">
        <w:t>ois</w:t>
      </w:r>
      <w:r w:rsidR="006C4E8F">
        <w:t>m</w:t>
      </w:r>
      <w:r w:rsidR="00ED07A3">
        <w:t>u, zatímco bi</w:t>
      </w:r>
      <w:r w:rsidR="006C4E8F">
        <w:t>s</w:t>
      </w:r>
      <w:r w:rsidR="00ED07A3">
        <w:t>ku</w:t>
      </w:r>
      <w:r w:rsidR="006C4E8F">
        <w:t>p</w:t>
      </w:r>
      <w:r w:rsidR="00ED07A3">
        <w:t xml:space="preserve"> Alvernu</w:t>
      </w:r>
      <w:r w:rsidR="006C4E8F">
        <w:t>s jako světský kněz</w:t>
      </w:r>
      <w:r w:rsidR="009E366F">
        <w:t xml:space="preserve"> a rektor un</w:t>
      </w:r>
      <w:r w:rsidR="00ED07A3">
        <w:t>i</w:t>
      </w:r>
      <w:r w:rsidR="009E366F">
        <w:t>v</w:t>
      </w:r>
      <w:r w:rsidR="00ED07A3">
        <w:t>erzity kritizuje především diecézní klérus</w:t>
      </w:r>
      <w:r w:rsidR="08E026BE">
        <w:t xml:space="preserve"> nově vzniklé Pařížské univerzity</w:t>
      </w:r>
      <w:r w:rsidR="00ED07A3">
        <w:t xml:space="preserve">. </w:t>
      </w:r>
      <w:r w:rsidR="00510374" w:rsidRPr="00510374">
        <w:t xml:space="preserve">Sofistický subjekt a averroistická verze </w:t>
      </w:r>
      <w:r w:rsidR="00510374" w:rsidRPr="00510374">
        <w:rPr>
          <w:i/>
        </w:rPr>
        <w:t>intellectus possibilis</w:t>
      </w:r>
      <w:r w:rsidR="00510374" w:rsidRPr="00510374">
        <w:t xml:space="preserve"> byly nezbytné pro vytvoření moderního objektu jako </w:t>
      </w:r>
      <w:r w:rsidR="00510374" w:rsidRPr="00510374">
        <w:rPr>
          <w:i/>
        </w:rPr>
        <w:t>tertium ens</w:t>
      </w:r>
      <w:r w:rsidR="00510374" w:rsidRPr="00510374">
        <w:t>.</w:t>
      </w:r>
      <w:r w:rsidR="00510374">
        <w:t xml:space="preserve"> </w:t>
      </w:r>
      <w:r w:rsidR="006C5F7A">
        <w:t>Nový subjekt-objektový vztah vedl k zatmění reálné první substance</w:t>
      </w:r>
      <w:r w:rsidR="006C5F7A">
        <w:fldChar w:fldCharType="begin"/>
      </w:r>
      <w:r w:rsidR="006C5F7A">
        <w:instrText xml:space="preserve"> XE "zatmění:</w:instrText>
      </w:r>
      <w:r w:rsidR="006C5F7A" w:rsidRPr="00DE2A32">
        <w:instrText>substance</w:instrText>
      </w:r>
      <w:r w:rsidR="006C5F7A">
        <w:instrText xml:space="preserve">" </w:instrText>
      </w:r>
      <w:r w:rsidR="006C5F7A">
        <w:fldChar w:fldCharType="end"/>
      </w:r>
      <w:r w:rsidR="006C5F7A" w:rsidRPr="00273106">
        <w:t xml:space="preserve">. </w:t>
      </w:r>
      <w:r w:rsidRPr="00273106">
        <w:t xml:space="preserve">Reálná věc dostala svůj duplikát v podobě </w:t>
      </w:r>
      <w:r w:rsidRPr="00273106">
        <w:rPr>
          <w:i/>
        </w:rPr>
        <w:t>esse individuatum</w:t>
      </w:r>
      <w:r w:rsidRPr="00273106">
        <w:t>, které za</w:t>
      </w:r>
      <w:r w:rsidR="00E455B4">
        <w:t>čalo hrát roli první substance.</w:t>
      </w:r>
    </w:p>
    <w:p w14:paraId="2591D80B" w14:textId="247A3987" w:rsidR="00221596" w:rsidRPr="00273106" w:rsidRDefault="006C5F7A" w:rsidP="00E455B4">
      <w:pPr>
        <w:ind w:firstLine="360"/>
      </w:pPr>
      <w:r w:rsidRPr="006C5F7A">
        <w:t>Albertovi současníc</w:t>
      </w:r>
      <w:r>
        <w:t xml:space="preserve">i </w:t>
      </w:r>
      <w:r w:rsidR="00C33E55">
        <w:rPr>
          <w:lang w:eastAsia="x-none"/>
        </w:rPr>
        <w:t>(</w:t>
      </w:r>
      <w:r w:rsidR="00C33E55" w:rsidRPr="00E12549">
        <w:rPr>
          <w:i/>
          <w:lang w:eastAsia="x-none"/>
        </w:rPr>
        <w:t>Moderni</w:t>
      </w:r>
      <w:r w:rsidR="00C33E55">
        <w:rPr>
          <w:lang w:eastAsia="x-none"/>
        </w:rPr>
        <w:t xml:space="preserve">) </w:t>
      </w:r>
      <w:r>
        <w:t>duplikovali hyparchickou</w:t>
      </w:r>
      <w:r w:rsidR="00EA597D">
        <w:t xml:space="preserve"> substanci. Modernisté jako noví</w:t>
      </w:r>
      <w:r>
        <w:t xml:space="preserve"> demiurg</w:t>
      </w:r>
      <w:r w:rsidR="00EA597D">
        <w:t>ové</w:t>
      </w:r>
      <w:r w:rsidRPr="006C5F7A">
        <w:t xml:space="preserve"> </w:t>
      </w:r>
      <w:r>
        <w:t xml:space="preserve">zavedli materii </w:t>
      </w:r>
      <w:r w:rsidRPr="006C5F7A">
        <w:t xml:space="preserve">a formu třetího druhu podle archetypálního postupu prvního modernisty v dialogu </w:t>
      </w:r>
      <w:r w:rsidRPr="006C5F7A">
        <w:rPr>
          <w:i/>
        </w:rPr>
        <w:t>Timaios</w:t>
      </w:r>
      <w:r>
        <w:rPr>
          <w:i/>
        </w:rPr>
        <w:fldChar w:fldCharType="begin"/>
      </w:r>
      <w:r>
        <w:instrText xml:space="preserve"> XE "dialog </w:instrText>
      </w:r>
      <w:r w:rsidRPr="08A360D2">
        <w:rPr>
          <w:i/>
        </w:rPr>
        <w:instrText>Timaios</w:instrText>
      </w:r>
      <w:r>
        <w:instrText xml:space="preserve">" </w:instrText>
      </w:r>
      <w:r>
        <w:rPr>
          <w:i/>
        </w:rPr>
        <w:fldChar w:fldCharType="end"/>
      </w:r>
      <w:r>
        <w:t xml:space="preserve">. </w:t>
      </w:r>
      <w:r w:rsidR="001945A5">
        <w:t>Platonův d</w:t>
      </w:r>
      <w:r>
        <w:t>emiurg</w:t>
      </w:r>
      <w:r>
        <w:fldChar w:fldCharType="begin"/>
      </w:r>
      <w:r>
        <w:instrText xml:space="preserve"> XE "</w:instrText>
      </w:r>
      <w:r w:rsidRPr="00EB3772">
        <w:instrText>demiurg</w:instrText>
      </w:r>
      <w:r>
        <w:instrText xml:space="preserve">" </w:instrText>
      </w:r>
      <w:r>
        <w:fldChar w:fldCharType="end"/>
      </w:r>
      <w:r w:rsidR="001945A5">
        <w:t xml:space="preserve"> měl</w:t>
      </w:r>
      <w:r w:rsidRPr="006C5F7A">
        <w:t xml:space="preserve"> před sebou ideální svět matematických a geometrických forem, které mus</w:t>
      </w:r>
      <w:r w:rsidR="001945A5">
        <w:t>el</w:t>
      </w:r>
      <w:r w:rsidRPr="006C5F7A">
        <w:t xml:space="preserve"> replikovat v problematické a nespolehlivé hmotě.</w:t>
      </w:r>
      <w:r>
        <w:t xml:space="preserve"> </w:t>
      </w:r>
      <w:r w:rsidR="000072B9" w:rsidRPr="00273106">
        <w:t>Mytický kosmický řemeslník pak vytváří věrné a pravdivé simulákrum původního svě</w:t>
      </w:r>
      <w:r w:rsidR="08FB0E25">
        <w:t xml:space="preserve">ta idejí, nakolik mu to umožní </w:t>
      </w:r>
      <w:r w:rsidR="08630714">
        <w:t xml:space="preserve">chaotický </w:t>
      </w:r>
      <w:r w:rsidR="08FB0E25">
        <w:t>druh</w:t>
      </w:r>
      <w:r w:rsidR="000072B9" w:rsidRPr="00273106">
        <w:t xml:space="preserve"> neurčité příčinnosti (τὸ τῆς πλανωμένης εἶδος αἰτίας, </w:t>
      </w:r>
      <w:r w:rsidR="000072B9" w:rsidRPr="00C73398">
        <w:rPr>
          <w:i/>
        </w:rPr>
        <w:t>Tim</w:t>
      </w:r>
      <w:r w:rsidR="000072B9" w:rsidRPr="00273106">
        <w:t>. 48a7‒8</w:t>
      </w:r>
      <w:r w:rsidR="00C73398">
        <w:fldChar w:fldCharType="begin"/>
      </w:r>
      <w:r w:rsidR="00C73398">
        <w:instrText xml:space="preserve"> XE "</w:instrText>
      </w:r>
      <w:r w:rsidR="008E02F5">
        <w:instrText>Platon</w:instrText>
      </w:r>
      <w:r w:rsidR="00C73398">
        <w:instrText>:</w:instrText>
      </w:r>
      <w:r w:rsidR="00C73398" w:rsidRPr="00C73398">
        <w:rPr>
          <w:i/>
        </w:rPr>
        <w:instrText>Tim</w:instrText>
      </w:r>
      <w:r w:rsidR="00C73398" w:rsidRPr="00763D27">
        <w:instrText>. 48a7‒8</w:instrText>
      </w:r>
      <w:r w:rsidR="00C73398">
        <w:instrText xml:space="preserve">" </w:instrText>
      </w:r>
      <w:r w:rsidR="00C73398">
        <w:fldChar w:fldCharType="end"/>
      </w:r>
      <w:r w:rsidR="000072B9" w:rsidRPr="00273106">
        <w:t>)</w:t>
      </w:r>
      <w:r w:rsidR="008B4392">
        <w:t>. Později je to R</w:t>
      </w:r>
      <w:r w:rsidR="000072B9" w:rsidRPr="00273106">
        <w:t>ufusem zm</w:t>
      </w:r>
      <w:r w:rsidR="08FB0E25">
        <w:t xml:space="preserve">íněná </w:t>
      </w:r>
      <w:r w:rsidR="008B4392">
        <w:t>„</w:t>
      </w:r>
      <w:r w:rsidR="000072B9" w:rsidRPr="00273106">
        <w:t>neposlušnost materie</w:t>
      </w:r>
      <w:r w:rsidR="008B4392">
        <w:t>“</w:t>
      </w:r>
      <w:r w:rsidR="00C73398">
        <w:fldChar w:fldCharType="begin"/>
      </w:r>
      <w:r w:rsidR="00C73398">
        <w:instrText xml:space="preserve"> XE "</w:instrText>
      </w:r>
      <w:r w:rsidR="00C73398" w:rsidRPr="0035112A">
        <w:instrText>materie:neposlušnost</w:instrText>
      </w:r>
      <w:r w:rsidR="00C73398">
        <w:instrText xml:space="preserve">" </w:instrText>
      </w:r>
      <w:r w:rsidR="00C73398">
        <w:fldChar w:fldCharType="end"/>
      </w:r>
      <w:r w:rsidR="000072B9" w:rsidRPr="00273106">
        <w:t xml:space="preserve"> (</w:t>
      </w:r>
      <w:r w:rsidR="000072B9" w:rsidRPr="00273106">
        <w:rPr>
          <w:i/>
        </w:rPr>
        <w:t>inoboedientia materiae,</w:t>
      </w:r>
      <w:r w:rsidR="087D2CBA">
        <w:t xml:space="preserve"> kap. 3</w:t>
      </w:r>
      <w:r w:rsidR="000072B9" w:rsidRPr="00273106">
        <w:t>.3.2).</w:t>
      </w:r>
      <w:r w:rsidR="00137F05">
        <w:t xml:space="preserve"> </w:t>
      </w:r>
      <w:r w:rsidR="00C73398">
        <w:t xml:space="preserve">Albert tvrdí, že škola </w:t>
      </w:r>
      <w:r w:rsidR="005E66F1">
        <w:t xml:space="preserve">latinských sofistů </w:t>
      </w:r>
      <w:r w:rsidR="00137F05">
        <w:t>vytváří duplikáty prvních substancí a zachází s nimi jako s reálnými substancemi</w:t>
      </w:r>
      <w:r w:rsidR="00871054" w:rsidRPr="00273106">
        <w:t xml:space="preserve">. </w:t>
      </w:r>
      <w:r w:rsidR="08861D28">
        <w:t xml:space="preserve">Pak ale nevidí pravdu světa, </w:t>
      </w:r>
      <w:r w:rsidR="0800011E">
        <w:t xml:space="preserve">protože nazírají </w:t>
      </w:r>
      <w:r w:rsidR="08861D28">
        <w:t>v modu objektivního subjekt-objektového vzt</w:t>
      </w:r>
      <w:r w:rsidR="08B1692F">
        <w:t>ahu vlastní paranoické výtvory.</w:t>
      </w:r>
      <w:r w:rsidR="080C3BAE">
        <w:t xml:space="preserve"> </w:t>
      </w:r>
      <w:r w:rsidR="00871054" w:rsidRPr="00273106">
        <w:t>P</w:t>
      </w:r>
      <w:r w:rsidR="000072B9" w:rsidRPr="00273106">
        <w:t xml:space="preserve">ravda </w:t>
      </w:r>
      <w:r w:rsidR="0800011E">
        <w:t xml:space="preserve">moderny </w:t>
      </w:r>
      <w:r w:rsidR="000072B9" w:rsidRPr="00273106">
        <w:t>přestala být adekvací intelektu a věci</w:t>
      </w:r>
      <w:r w:rsidR="009E0120" w:rsidRPr="00273106">
        <w:t xml:space="preserve"> stala se </w:t>
      </w:r>
      <w:r w:rsidR="00E155D4">
        <w:t xml:space="preserve">součástí demiurgické správnosti </w:t>
      </w:r>
      <w:r w:rsidR="009E0120" w:rsidRPr="00273106">
        <w:t>subjektu (</w:t>
      </w:r>
      <w:r w:rsidR="009E0120" w:rsidRPr="00273106">
        <w:rPr>
          <w:i/>
        </w:rPr>
        <w:t>r</w:t>
      </w:r>
      <w:r w:rsidR="00E155D4">
        <w:rPr>
          <w:i/>
        </w:rPr>
        <w:t>ec</w:t>
      </w:r>
      <w:r w:rsidR="009E0120" w:rsidRPr="00273106">
        <w:rPr>
          <w:i/>
        </w:rPr>
        <w:t>titudo</w:t>
      </w:r>
      <w:r w:rsidR="000845E1">
        <w:rPr>
          <w:i/>
        </w:rPr>
        <w:fldChar w:fldCharType="begin"/>
      </w:r>
      <w:r w:rsidR="000845E1">
        <w:instrText xml:space="preserve"> XE "pravda:</w:instrText>
      </w:r>
      <w:r w:rsidR="000845E1" w:rsidRPr="00805853">
        <w:rPr>
          <w:i/>
        </w:rPr>
        <w:instrText>rectitudo</w:instrText>
      </w:r>
      <w:r w:rsidR="000845E1">
        <w:instrText xml:space="preserve">" </w:instrText>
      </w:r>
      <w:r w:rsidR="000845E1">
        <w:rPr>
          <w:i/>
        </w:rPr>
        <w:fldChar w:fldCharType="end"/>
      </w:r>
      <w:r w:rsidR="009E0120" w:rsidRPr="00273106">
        <w:t>)</w:t>
      </w:r>
      <w:r w:rsidR="006F3127" w:rsidRPr="00273106">
        <w:t>, jehož poznání je determinované avicennovskou jistotou bytí esence</w:t>
      </w:r>
      <w:r w:rsidR="00E155D4">
        <w:t xml:space="preserve"> </w:t>
      </w:r>
      <w:r w:rsidR="00E155D4" w:rsidRPr="00273106">
        <w:t>(</w:t>
      </w:r>
      <w:r w:rsidR="00E155D4" w:rsidRPr="00273106">
        <w:rPr>
          <w:i/>
        </w:rPr>
        <w:t>certitudo</w:t>
      </w:r>
      <w:r w:rsidR="000845E1">
        <w:rPr>
          <w:i/>
        </w:rPr>
        <w:fldChar w:fldCharType="begin"/>
      </w:r>
      <w:r w:rsidR="000845E1">
        <w:instrText xml:space="preserve"> XE "pravda:</w:instrText>
      </w:r>
      <w:r w:rsidR="000845E1">
        <w:rPr>
          <w:i/>
        </w:rPr>
        <w:instrText>c</w:instrText>
      </w:r>
      <w:r w:rsidR="000845E1" w:rsidRPr="00805853">
        <w:rPr>
          <w:i/>
        </w:rPr>
        <w:instrText>e</w:instrText>
      </w:r>
      <w:r w:rsidR="000845E1">
        <w:rPr>
          <w:i/>
        </w:rPr>
        <w:instrText>r</w:instrText>
      </w:r>
      <w:r w:rsidR="000845E1" w:rsidRPr="00805853">
        <w:rPr>
          <w:i/>
        </w:rPr>
        <w:instrText>titudo</w:instrText>
      </w:r>
      <w:r w:rsidR="000845E1">
        <w:instrText xml:space="preserve">" </w:instrText>
      </w:r>
      <w:r w:rsidR="000845E1">
        <w:rPr>
          <w:i/>
        </w:rPr>
        <w:fldChar w:fldCharType="end"/>
      </w:r>
      <w:r w:rsidR="00E155D4" w:rsidRPr="00273106">
        <w:t>)</w:t>
      </w:r>
      <w:r w:rsidR="000072B9" w:rsidRPr="00273106">
        <w:t>.</w:t>
      </w:r>
      <w:r w:rsidR="00D024FE" w:rsidRPr="00273106">
        <w:t xml:space="preserve"> Tato jistota esence</w:t>
      </w:r>
      <w:r w:rsidR="00485643">
        <w:rPr>
          <w:i/>
          <w:iCs/>
        </w:rPr>
        <w:fldChar w:fldCharType="begin"/>
      </w:r>
      <w:r w:rsidR="00485643">
        <w:instrText xml:space="preserve"> XE "esence:druhý averroismus" </w:instrText>
      </w:r>
      <w:r w:rsidR="00485643">
        <w:rPr>
          <w:i/>
          <w:iCs/>
        </w:rPr>
        <w:fldChar w:fldCharType="end"/>
      </w:r>
      <w:r w:rsidR="00D024FE" w:rsidRPr="00273106">
        <w:t xml:space="preserve"> </w:t>
      </w:r>
      <w:r w:rsidR="00F539F2" w:rsidRPr="00273106">
        <w:t>(</w:t>
      </w:r>
      <w:r w:rsidR="00F539F2" w:rsidRPr="00273106">
        <w:rPr>
          <w:i/>
        </w:rPr>
        <w:t>esse proprium</w:t>
      </w:r>
      <w:r w:rsidR="00F539F2">
        <w:rPr>
          <w:i/>
        </w:rPr>
        <w:fldChar w:fldCharType="begin"/>
      </w:r>
      <w:r w:rsidR="00F539F2">
        <w:instrText xml:space="preserve"> XE "</w:instrText>
      </w:r>
      <w:r w:rsidR="00F539F2" w:rsidRPr="00E02A04">
        <w:rPr>
          <w:i/>
          <w:szCs w:val="18"/>
        </w:rPr>
        <w:instrText>esse proprium</w:instrText>
      </w:r>
      <w:r w:rsidR="00F539F2">
        <w:instrText xml:space="preserve">" </w:instrText>
      </w:r>
      <w:r w:rsidR="00F539F2">
        <w:rPr>
          <w:i/>
        </w:rPr>
        <w:fldChar w:fldCharType="end"/>
      </w:r>
      <w:r w:rsidR="00F539F2" w:rsidRPr="00273106">
        <w:t xml:space="preserve">) </w:t>
      </w:r>
      <w:r w:rsidR="00F539F2">
        <w:t xml:space="preserve">se stala aktem </w:t>
      </w:r>
      <w:r w:rsidR="00D024FE" w:rsidRPr="00273106">
        <w:t xml:space="preserve">bytí jsoucna </w:t>
      </w:r>
      <w:r w:rsidR="00F539F2">
        <w:t xml:space="preserve">v modu </w:t>
      </w:r>
      <w:r w:rsidR="00F539F2" w:rsidRPr="00F539F2">
        <w:rPr>
          <w:i/>
        </w:rPr>
        <w:t>actus essend</w:t>
      </w:r>
      <w:r w:rsidR="00F539F2">
        <w:rPr>
          <w:i/>
        </w:rPr>
        <w:t>i</w:t>
      </w:r>
      <w:r w:rsidR="00F539F2">
        <w:t xml:space="preserve"> (</w:t>
      </w:r>
      <w:r w:rsidR="00F539F2" w:rsidRPr="00F539F2">
        <w:rPr>
          <w:i/>
        </w:rPr>
        <w:t>quo est</w:t>
      </w:r>
      <w:r w:rsidR="00F539F2">
        <w:t xml:space="preserve">). Tato jistota a správnost daná moderním subjektem </w:t>
      </w:r>
      <w:r w:rsidR="00D024FE" w:rsidRPr="00273106">
        <w:t xml:space="preserve">tvoří první princip </w:t>
      </w:r>
      <w:r w:rsidR="002E2AF5" w:rsidRPr="00273106">
        <w:t xml:space="preserve">zakládající </w:t>
      </w:r>
      <w:r w:rsidR="00C025B6">
        <w:t xml:space="preserve">v moderní metafyzice </w:t>
      </w:r>
      <w:r w:rsidR="00CC54BB">
        <w:t xml:space="preserve">základní </w:t>
      </w:r>
      <w:r w:rsidR="009D79D3">
        <w:t>smysl</w:t>
      </w:r>
      <w:r w:rsidR="00CC54BB">
        <w:t xml:space="preserve"> všeho</w:t>
      </w:r>
      <w:r w:rsidR="009D79D3">
        <w:t xml:space="preserve"> </w:t>
      </w:r>
      <w:r w:rsidR="003816EC" w:rsidRPr="00273106">
        <w:t xml:space="preserve">jsoucího </w:t>
      </w:r>
      <w:r w:rsidR="00D024FE" w:rsidRPr="00273106">
        <w:t>(</w:t>
      </w:r>
      <w:r w:rsidR="00D024FE" w:rsidRPr="00273106">
        <w:rPr>
          <w:i/>
        </w:rPr>
        <w:t xml:space="preserve">certitudo </w:t>
      </w:r>
      <w:r w:rsidR="00D024FE" w:rsidRPr="00273106">
        <w:rPr>
          <w:i/>
        </w:rPr>
        <w:lastRenderedPageBreak/>
        <w:t>qua est</w:t>
      </w:r>
      <w:r w:rsidR="00D024FE" w:rsidRPr="00273106">
        <w:t>).</w:t>
      </w:r>
      <w:r w:rsidR="00D024FE" w:rsidRPr="00273106">
        <w:rPr>
          <w:rStyle w:val="Znakapoznpodarou"/>
        </w:rPr>
        <w:footnoteReference w:id="249"/>
      </w:r>
      <w:r w:rsidR="00D024FE" w:rsidRPr="00273106">
        <w:t xml:space="preserve"> </w:t>
      </w:r>
      <w:r w:rsidR="00BE5F07">
        <w:t>Albertův komentář</w:t>
      </w:r>
      <w:r w:rsidR="00BE5F07" w:rsidRPr="00273106">
        <w:t xml:space="preserve"> ke třetí knize </w:t>
      </w:r>
      <w:r w:rsidR="00BE5F07">
        <w:rPr>
          <w:i/>
        </w:rPr>
        <w:t>De anima</w:t>
      </w:r>
      <w:r w:rsidR="00BE5F07" w:rsidRPr="00273106">
        <w:t xml:space="preserve"> </w:t>
      </w:r>
      <w:r w:rsidR="00BE5F07">
        <w:t xml:space="preserve">ukazuje, že v této době se západní </w:t>
      </w:r>
      <w:r w:rsidR="00BE5F07" w:rsidRPr="00273106">
        <w:t>subjekt se stal suverénním místem produkce reality</w:t>
      </w:r>
      <w:r w:rsidR="00BE5F07">
        <w:t>, k čemuž výrazně přispěl františkánský Bonaventura</w:t>
      </w:r>
      <w:r w:rsidR="08695F56">
        <w:t xml:space="preserve">, jehož </w:t>
      </w:r>
      <w:r w:rsidR="080F7729">
        <w:t xml:space="preserve">modernistická </w:t>
      </w:r>
      <w:r w:rsidR="08695F56">
        <w:t xml:space="preserve">škola začíná plně působit na </w:t>
      </w:r>
      <w:r w:rsidR="000F5C65">
        <w:t>Pařížské univerzitě od roku 1255</w:t>
      </w:r>
      <w:r w:rsidR="00BE5F07">
        <w:t xml:space="preserve">. </w:t>
      </w:r>
      <w:r w:rsidR="000072B9" w:rsidRPr="00273106">
        <w:t xml:space="preserve">Není divu, že </w:t>
      </w:r>
      <w:r w:rsidR="08B01E37">
        <w:t xml:space="preserve">klasický aristotelik </w:t>
      </w:r>
      <w:r w:rsidR="000072B9" w:rsidRPr="00273106">
        <w:t>Bacon považoval tyto sofisty za šílené myslitele (</w:t>
      </w:r>
      <w:r w:rsidR="000072B9" w:rsidRPr="00273106">
        <w:rPr>
          <w:i/>
        </w:rPr>
        <w:t>insaniunt contra veritatem</w:t>
      </w:r>
      <w:r w:rsidR="08B01E37" w:rsidRPr="08B01E37">
        <w:t xml:space="preserve">, </w:t>
      </w:r>
      <w:r w:rsidR="00A16549">
        <w:rPr>
          <w:i/>
        </w:rPr>
        <w:fldChar w:fldCharType="begin"/>
      </w:r>
      <w:r w:rsidR="00A16549">
        <w:instrText xml:space="preserve"> XE "druhý</w:instrText>
      </w:r>
      <w:r w:rsidR="00A16549" w:rsidRPr="005B7E92">
        <w:instrText xml:space="preserve"> averroismu</w:instrText>
      </w:r>
      <w:r w:rsidR="00A16549">
        <w:instrText xml:space="preserve">s:kritika Bacona" </w:instrText>
      </w:r>
      <w:r w:rsidR="00A16549">
        <w:rPr>
          <w:i/>
        </w:rPr>
        <w:fldChar w:fldCharType="end"/>
      </w:r>
      <w:r w:rsidR="08A27B87">
        <w:t>kap. 3</w:t>
      </w:r>
      <w:r w:rsidR="08E54617">
        <w:t>.4.2</w:t>
      </w:r>
      <w:r w:rsidR="000072B9" w:rsidRPr="00273106">
        <w:t xml:space="preserve">). Každé z těchto </w:t>
      </w:r>
      <w:r w:rsidR="00544C2F">
        <w:t xml:space="preserve">moderních </w:t>
      </w:r>
      <w:r w:rsidR="000072B9" w:rsidRPr="00273106">
        <w:t>simuláker</w:t>
      </w:r>
      <w:r w:rsidR="00B40981">
        <w:fldChar w:fldCharType="begin"/>
      </w:r>
      <w:r w:rsidR="00B40981">
        <w:instrText xml:space="preserve"> XE "</w:instrText>
      </w:r>
      <w:r w:rsidR="002E709C">
        <w:instrText>simulákrum</w:instrText>
      </w:r>
      <w:r w:rsidR="00B40981">
        <w:instrText xml:space="preserve">" </w:instrText>
      </w:r>
      <w:r w:rsidR="00B40981">
        <w:fldChar w:fldCharType="end"/>
      </w:r>
      <w:r w:rsidR="000072B9" w:rsidRPr="00273106">
        <w:t xml:space="preserve"> </w:t>
      </w:r>
      <w:r w:rsidR="00B938E9">
        <w:t xml:space="preserve">je </w:t>
      </w:r>
      <w:r w:rsidR="000072B9" w:rsidRPr="00273106">
        <w:t xml:space="preserve">dáno </w:t>
      </w:r>
      <w:r w:rsidR="000072B9" w:rsidRPr="00273106">
        <w:rPr>
          <w:i/>
        </w:rPr>
        <w:t>absolute</w:t>
      </w:r>
      <w:r w:rsidR="000072B9" w:rsidRPr="00273106">
        <w:t>, čili odděleně od reality první substance</w:t>
      </w:r>
      <w:r w:rsidR="004E2BC4">
        <w:rPr>
          <w:rStyle w:val="addmd"/>
          <w:i/>
        </w:rPr>
        <w:fldChar w:fldCharType="begin"/>
      </w:r>
      <w:r w:rsidR="004E2BC4">
        <w:instrText xml:space="preserve"> XE "substance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00072B9" w:rsidRPr="00273106">
        <w:t xml:space="preserve">. </w:t>
      </w:r>
      <w:r w:rsidR="00B938E9">
        <w:t>Ale i</w:t>
      </w:r>
      <w:r w:rsidR="000072B9" w:rsidRPr="00273106">
        <w:t xml:space="preserve"> moderna musí uznat, že myšlenka domu není dána v mysli stejným způsobem, jako fyzická stavba v realitě. Náhrada první substance za myšlenkový konstrukt probíhá různým způsobem, ale vždy dojde ke konstituci jsoucna třetího druhu</w:t>
      </w:r>
      <w:r w:rsidR="082E7853">
        <w:t>, které oba světy</w:t>
      </w:r>
      <w:r w:rsidR="0002348B">
        <w:t xml:space="preserve"> spojuje v moderní formě ontoteologického či matematického diakosmu</w:t>
      </w:r>
      <w:r w:rsidR="08251E6E">
        <w:t xml:space="preserve">. Falsafa </w:t>
      </w:r>
      <w:r w:rsidR="080368FF">
        <w:t xml:space="preserve">spekulativního </w:t>
      </w:r>
      <w:r w:rsidR="08251E6E">
        <w:t xml:space="preserve">Al-Fárábího, Ibn Ádího a zejména </w:t>
      </w:r>
      <w:r w:rsidR="000072B9" w:rsidRPr="00273106">
        <w:t xml:space="preserve">Avicenny </w:t>
      </w:r>
      <w:r w:rsidR="08251E6E">
        <w:t xml:space="preserve">jasně ukázala, že jakákoliv </w:t>
      </w:r>
      <w:r w:rsidR="000072B9" w:rsidRPr="00273106">
        <w:t xml:space="preserve">konstrukce jsoucna třetího druhu musí být provedena v ontoteologickém scénáři, který je </w:t>
      </w:r>
      <w:r w:rsidR="000072B9" w:rsidRPr="00273106">
        <w:rPr>
          <w:i/>
        </w:rPr>
        <w:t>conditio sine qua non</w:t>
      </w:r>
      <w:r w:rsidR="000072B9" w:rsidRPr="00273106">
        <w:t xml:space="preserve"> pro moderní metafyziku. </w:t>
      </w:r>
      <w:r w:rsidR="005D5229" w:rsidRPr="00273106">
        <w:t xml:space="preserve">Avicenna </w:t>
      </w:r>
      <w:r w:rsidR="005D5229">
        <w:t xml:space="preserve">dal </w:t>
      </w:r>
      <w:r w:rsidR="000072B9" w:rsidRPr="00273106">
        <w:t>ontoteologi</w:t>
      </w:r>
      <w:r w:rsidR="005D5229">
        <w:t>i</w:t>
      </w:r>
      <w:r w:rsidR="00640BE5">
        <w:fldChar w:fldCharType="begin"/>
      </w:r>
      <w:r w:rsidR="00640BE5">
        <w:instrText xml:space="preserve"> XE "</w:instrText>
      </w:r>
      <w:r w:rsidR="00640BE5" w:rsidRPr="00A45678">
        <w:rPr>
          <w:rStyle w:val="addmd"/>
        </w:rPr>
        <w:instrText>ontoteologie:</w:instrText>
      </w:r>
      <w:r w:rsidR="004C4957">
        <w:rPr>
          <w:rStyle w:val="addmd"/>
        </w:rPr>
        <w:instrText>Avicenna</w:instrText>
      </w:r>
      <w:r w:rsidR="00640BE5">
        <w:instrText xml:space="preserve">" </w:instrText>
      </w:r>
      <w:r w:rsidR="00640BE5">
        <w:fldChar w:fldCharType="end"/>
      </w:r>
      <w:r w:rsidR="000072B9" w:rsidRPr="00273106">
        <w:t xml:space="preserve"> </w:t>
      </w:r>
      <w:r w:rsidR="005D5229">
        <w:t xml:space="preserve">do scénáře </w:t>
      </w:r>
      <w:r w:rsidR="000072B9" w:rsidRPr="00273106">
        <w:t>emanac</w:t>
      </w:r>
      <w:r w:rsidR="005D5229">
        <w:t>e</w:t>
      </w:r>
      <w:r w:rsidR="000072B9" w:rsidRPr="00273106">
        <w:t xml:space="preserve"> forem od </w:t>
      </w:r>
      <w:r w:rsidR="005D5229">
        <w:t xml:space="preserve">činného kosmického intelektu jako </w:t>
      </w:r>
      <w:r w:rsidR="000072B9" w:rsidRPr="00273106">
        <w:rPr>
          <w:i/>
        </w:rPr>
        <w:t>Dator formarum</w:t>
      </w:r>
      <w:r w:rsidR="00160B80">
        <w:rPr>
          <w:i/>
        </w:rPr>
        <w:fldChar w:fldCharType="begin"/>
      </w:r>
      <w:r w:rsidR="00160B80">
        <w:instrText xml:space="preserve"> XE "</w:instrText>
      </w:r>
      <w:r w:rsidR="00160B80" w:rsidRPr="009607D7">
        <w:rPr>
          <w:i/>
        </w:rPr>
        <w:instrText>Dator formarum</w:instrText>
      </w:r>
      <w:r w:rsidR="00160B80">
        <w:instrText xml:space="preserve">" </w:instrText>
      </w:r>
      <w:r w:rsidR="00160B80">
        <w:rPr>
          <w:i/>
        </w:rPr>
        <w:fldChar w:fldCharType="end"/>
      </w:r>
      <w:r w:rsidR="000072B9" w:rsidRPr="00273106">
        <w:t xml:space="preserve">, což odmítla křesťanská scholastika. </w:t>
      </w:r>
      <w:r w:rsidR="08933E72">
        <w:t xml:space="preserve">Scholastická </w:t>
      </w:r>
      <w:r w:rsidR="00515E70">
        <w:t>verz</w:t>
      </w:r>
      <w:r w:rsidR="005C1536">
        <w:t xml:space="preserve">e tohoto zdvojeného bytí zvaná </w:t>
      </w:r>
      <w:r w:rsidR="00515E70" w:rsidRPr="00502CCA">
        <w:rPr>
          <w:i/>
        </w:rPr>
        <w:t>exemplar</w:t>
      </w:r>
      <w:r w:rsidR="00B7167E">
        <w:rPr>
          <w:i/>
        </w:rPr>
        <w:fldChar w:fldCharType="begin"/>
      </w:r>
      <w:r w:rsidR="00B7167E">
        <w:instrText xml:space="preserve"> XE "</w:instrText>
      </w:r>
      <w:r w:rsidR="00B7167E" w:rsidRPr="003F72AE">
        <w:rPr>
          <w:i/>
        </w:rPr>
        <w:instrText>exemplar</w:instrText>
      </w:r>
      <w:r w:rsidR="00B7167E">
        <w:instrText xml:space="preserve">" </w:instrText>
      </w:r>
      <w:r w:rsidR="00B7167E">
        <w:rPr>
          <w:i/>
        </w:rPr>
        <w:fldChar w:fldCharType="end"/>
      </w:r>
      <w:r w:rsidR="00515E70">
        <w:t xml:space="preserve"> zhruba od 1230 epochálně ovlivňuje ontoteologii</w:t>
      </w:r>
      <w:r w:rsidR="00640BE5">
        <w:fldChar w:fldCharType="begin"/>
      </w:r>
      <w:r w:rsidR="00640BE5">
        <w:instrText xml:space="preserve"> XE "</w:instrText>
      </w:r>
      <w:r w:rsidR="00640BE5" w:rsidRPr="00A45678">
        <w:rPr>
          <w:rStyle w:val="addmd"/>
        </w:rPr>
        <w:instrText>ontoteologie:</w:instrText>
      </w:r>
      <w:r w:rsidR="005469D5">
        <w:rPr>
          <w:rStyle w:val="addmd"/>
        </w:rPr>
        <w:instrText>druhý averroismus</w:instrText>
      </w:r>
      <w:r w:rsidR="00640BE5">
        <w:instrText xml:space="preserve">" </w:instrText>
      </w:r>
      <w:r w:rsidR="00640BE5">
        <w:fldChar w:fldCharType="end"/>
      </w:r>
      <w:r w:rsidR="00515E70">
        <w:t xml:space="preserve"> západní moderny inspirované pojetím Avicenny </w:t>
      </w:r>
      <w:r w:rsidR="00F6515E">
        <w:t>a Augustina</w:t>
      </w:r>
      <w:r w:rsidR="00515E70">
        <w:t>.</w:t>
      </w:r>
      <w:r w:rsidR="000072B9" w:rsidRPr="00273106">
        <w:rPr>
          <w:rStyle w:val="Znakapoznpodarou"/>
        </w:rPr>
        <w:footnoteReference w:id="250"/>
      </w:r>
      <w:r w:rsidR="000072B9" w:rsidRPr="00273106">
        <w:t xml:space="preserve"> </w:t>
      </w:r>
      <w:r w:rsidR="00515E70">
        <w:t>Moderní říši</w:t>
      </w:r>
      <w:r w:rsidR="00515E70" w:rsidRPr="00273106">
        <w:t xml:space="preserve"> exemplarů reflektovanou bohem </w:t>
      </w:r>
      <w:r w:rsidR="00515E70">
        <w:t xml:space="preserve">vytvořil </w:t>
      </w:r>
      <w:r w:rsidR="00515E70" w:rsidRPr="00273106">
        <w:t>Bonaventura, což vedlo u Dunse Scota k ustavení objektivního jsoucna</w:t>
      </w:r>
      <w:r w:rsidR="006D4F57">
        <w:t xml:space="preserve"> a pak i </w:t>
      </w:r>
      <w:r w:rsidR="00515E70" w:rsidRPr="00273106">
        <w:t>postmoderní konstituc</w:t>
      </w:r>
      <w:r w:rsidR="006D4F57">
        <w:t xml:space="preserve">i </w:t>
      </w:r>
      <w:r w:rsidR="00515E70" w:rsidRPr="00273106">
        <w:t>jsoucna v řádu matematické ontologie (Leibniz</w:t>
      </w:r>
      <w:r w:rsidR="00232109">
        <w:fldChar w:fldCharType="begin"/>
      </w:r>
      <w:r w:rsidR="00232109">
        <w:instrText xml:space="preserve"> XE "</w:instrText>
      </w:r>
      <w:r w:rsidR="00232109" w:rsidRPr="000F32E5">
        <w:instrText>Leibniz, G. W.</w:instrText>
      </w:r>
      <w:r w:rsidR="00232109">
        <w:instrText xml:space="preserve">" </w:instrText>
      </w:r>
      <w:r w:rsidR="00232109">
        <w:fldChar w:fldCharType="end"/>
      </w:r>
      <w:r w:rsidR="00515E70" w:rsidRPr="00273106">
        <w:t>).</w:t>
      </w:r>
      <w:r w:rsidR="00515E70">
        <w:t xml:space="preserve"> </w:t>
      </w:r>
      <w:r w:rsidR="00477923">
        <w:t>M</w:t>
      </w:r>
      <w:r w:rsidR="08982086">
        <w:t>atematizace světa</w:t>
      </w:r>
      <w:r w:rsidR="08933E72">
        <w:t xml:space="preserve"> nahradila </w:t>
      </w:r>
      <w:r w:rsidR="08982086">
        <w:t>dogmatickou mytopoetiku scholastiky</w:t>
      </w:r>
      <w:r w:rsidR="081C3348">
        <w:t xml:space="preserve">. </w:t>
      </w:r>
      <w:r w:rsidR="00A11A25">
        <w:t>Mytologický</w:t>
      </w:r>
      <w:r w:rsidR="083E28E9">
        <w:t xml:space="preserve"> </w:t>
      </w:r>
      <w:r w:rsidR="009265FC">
        <w:t>za</w:t>
      </w:r>
      <w:r w:rsidR="081C3348" w:rsidRPr="00273106">
        <w:t xml:space="preserve">čátek </w:t>
      </w:r>
      <w:r w:rsidR="00D426D0">
        <w:t>(</w:t>
      </w:r>
      <w:r w:rsidR="009265FC" w:rsidRPr="009265FC">
        <w:rPr>
          <w:i/>
        </w:rPr>
        <w:t>Beginn</w:t>
      </w:r>
      <w:r w:rsidR="00D426D0">
        <w:t xml:space="preserve">) </w:t>
      </w:r>
      <w:r w:rsidR="081C3348" w:rsidRPr="00273106">
        <w:t xml:space="preserve">myšlení </w:t>
      </w:r>
      <w:r w:rsidR="00D426D0">
        <w:t xml:space="preserve">na </w:t>
      </w:r>
      <w:r w:rsidR="00D426D0" w:rsidRPr="00D426D0">
        <w:rPr>
          <w:i/>
        </w:rPr>
        <w:t>via</w:t>
      </w:r>
      <w:r w:rsidR="00D426D0">
        <w:t xml:space="preserve"> </w:t>
      </w:r>
      <w:r w:rsidR="081C3348" w:rsidRPr="00273106">
        <w:rPr>
          <w:i/>
        </w:rPr>
        <w:t>Modernorum</w:t>
      </w:r>
      <w:r w:rsidR="081C3348" w:rsidRPr="00273106">
        <w:t xml:space="preserve"> </w:t>
      </w:r>
      <w:r w:rsidR="083E28E9" w:rsidRPr="00273106">
        <w:t xml:space="preserve">ovládá </w:t>
      </w:r>
      <w:r w:rsidR="08B03372">
        <w:rPr>
          <w:i/>
        </w:rPr>
        <w:fldChar w:fldCharType="begin"/>
      </w:r>
      <w:r w:rsidR="08B03372">
        <w:instrText xml:space="preserve"> XE "objektivita:</w:instrText>
      </w:r>
      <w:r w:rsidR="08B03372" w:rsidRPr="00807E55">
        <w:rPr>
          <w:i/>
        </w:rPr>
        <w:instrText>Anfang/Beginn</w:instrText>
      </w:r>
      <w:r w:rsidR="08B03372">
        <w:instrText xml:space="preserve">" </w:instrText>
      </w:r>
      <w:r w:rsidR="08B03372">
        <w:rPr>
          <w:i/>
        </w:rPr>
        <w:fldChar w:fldCharType="end"/>
      </w:r>
      <w:r w:rsidR="000072B9" w:rsidRPr="00273106">
        <w:t xml:space="preserve">následné etapy </w:t>
      </w:r>
      <w:r w:rsidR="08B4310A">
        <w:t xml:space="preserve">moderny a </w:t>
      </w:r>
      <w:r w:rsidR="000072B9" w:rsidRPr="00273106">
        <w:t>postmode</w:t>
      </w:r>
      <w:r w:rsidR="008173CD">
        <w:t>rny</w:t>
      </w:r>
      <w:r w:rsidR="000072B9" w:rsidRPr="00273106">
        <w:t xml:space="preserve">. </w:t>
      </w:r>
      <w:r w:rsidR="00D14829">
        <w:t>V</w:t>
      </w:r>
      <w:r w:rsidR="00D14829" w:rsidRPr="00273106">
        <w:t xml:space="preserve"> době plného nihilismu už metafyzika ztratila vazbu na svůj</w:t>
      </w:r>
      <w:r w:rsidR="08DE18BB">
        <w:t xml:space="preserve"> moderní původ daný latinskými a</w:t>
      </w:r>
      <w:r w:rsidR="00D14829" w:rsidRPr="00273106">
        <w:t>lexandrovci</w:t>
      </w:r>
      <w:r w:rsidR="001762A8">
        <w:fldChar w:fldCharType="begin"/>
      </w:r>
      <w:r w:rsidR="001762A8">
        <w:instrText xml:space="preserve"> XE "</w:instrText>
      </w:r>
      <w:r w:rsidR="08DE18BB">
        <w:instrText>alexandrovci</w:instrText>
      </w:r>
      <w:r w:rsidR="001762A8">
        <w:instrText xml:space="preserve">" </w:instrText>
      </w:r>
      <w:r w:rsidR="001762A8">
        <w:fldChar w:fldCharType="end"/>
      </w:r>
      <w:r w:rsidR="005030AD">
        <w:t xml:space="preserve"> </w:t>
      </w:r>
      <w:r w:rsidR="003D0962" w:rsidRPr="00273106">
        <w:t>(</w:t>
      </w:r>
      <w:r w:rsidR="003D0962" w:rsidRPr="00273106">
        <w:rPr>
          <w:i/>
        </w:rPr>
        <w:t>nullus enim est sciens et perfectus apud eos nisi qui est Alexandreus</w:t>
      </w:r>
      <w:r w:rsidR="08F80CFF">
        <w:t xml:space="preserve">; OBJ </w:t>
      </w:r>
      <w:r w:rsidR="08F80CFF">
        <w:lastRenderedPageBreak/>
        <w:t xml:space="preserve">I, </w:t>
      </w:r>
      <w:r w:rsidR="003D0962">
        <w:t xml:space="preserve">kap. 2.4.2). </w:t>
      </w:r>
      <w:r w:rsidR="000072B9" w:rsidRPr="00273106">
        <w:t xml:space="preserve">Ontoteologická struktura </w:t>
      </w:r>
      <w:r w:rsidR="08E1370D">
        <w:t>nahradila</w:t>
      </w:r>
      <w:r w:rsidR="000072B9" w:rsidRPr="00273106">
        <w:t xml:space="preserve"> </w:t>
      </w:r>
      <w:r w:rsidR="08E1370D">
        <w:t>chybějící kauzalitu</w:t>
      </w:r>
      <w:r w:rsidR="000072B9" w:rsidRPr="00273106">
        <w:t xml:space="preserve"> první substance, kterou držela metafyzika Aristotela a </w:t>
      </w:r>
      <w:r w:rsidR="002E3B62">
        <w:t>Averroes</w:t>
      </w:r>
      <w:r w:rsidR="000072B9" w:rsidRPr="00273106">
        <w:t>e.</w:t>
      </w:r>
      <w:r w:rsidR="00612F5E" w:rsidRPr="00273106">
        <w:t xml:space="preserve"> </w:t>
      </w:r>
      <w:r w:rsidR="000B6874">
        <w:t>V epoše metafyzického a vědecko-technického nihilismu</w:t>
      </w:r>
      <w:r w:rsidR="000B6874">
        <w:fldChar w:fldCharType="begin"/>
      </w:r>
      <w:r w:rsidR="000B6874">
        <w:instrText xml:space="preserve"> XE "</w:instrText>
      </w:r>
      <w:r w:rsidR="000B6874" w:rsidRPr="00C44F84">
        <w:instrText>nihilismus</w:instrText>
      </w:r>
      <w:r w:rsidR="000B6874">
        <w:instrText xml:space="preserve">" </w:instrText>
      </w:r>
      <w:r w:rsidR="000B6874">
        <w:fldChar w:fldCharType="end"/>
      </w:r>
      <w:r w:rsidR="00AE6088">
        <w:t xml:space="preserve"> zůstala pouze produkce </w:t>
      </w:r>
      <w:r w:rsidR="082A3397">
        <w:t>post</w:t>
      </w:r>
      <w:r w:rsidR="000B6874">
        <w:t>moderního intelektu odděleného od těl</w:t>
      </w:r>
      <w:r w:rsidR="00AE6088">
        <w:t>a. Tím se dokonala</w:t>
      </w:r>
      <w:r w:rsidR="082A3397">
        <w:t xml:space="preserve"> </w:t>
      </w:r>
      <w:r w:rsidR="00B02541">
        <w:t>cesta moderních</w:t>
      </w:r>
      <w:r w:rsidR="00AE6088">
        <w:t xml:space="preserve"> zahájená</w:t>
      </w:r>
      <w:r w:rsidR="082A3397">
        <w:t xml:space="preserve"> </w:t>
      </w:r>
      <w:r w:rsidR="08413B45">
        <w:t>skrze metafyzické bloudění rozumu v modu Heideggerovy</w:t>
      </w:r>
      <w:r w:rsidR="082A3397">
        <w:t xml:space="preserve"> </w:t>
      </w:r>
      <w:r w:rsidR="082A3397" w:rsidRPr="00273106">
        <w:rPr>
          <w:i/>
        </w:rPr>
        <w:t>Irre</w:t>
      </w:r>
      <w:r w:rsidR="082A3397">
        <w:rPr>
          <w:i/>
        </w:rPr>
        <w:fldChar w:fldCharType="begin"/>
      </w:r>
      <w:r w:rsidR="082A3397">
        <w:instrText xml:space="preserve"> XE "</w:instrText>
      </w:r>
      <w:r w:rsidR="082A3397" w:rsidRPr="00E338E0">
        <w:rPr>
          <w:i/>
        </w:rPr>
        <w:instrText>Irre</w:instrText>
      </w:r>
      <w:r w:rsidR="082A3397">
        <w:instrText xml:space="preserve">" </w:instrText>
      </w:r>
      <w:r w:rsidR="082A3397">
        <w:rPr>
          <w:i/>
        </w:rPr>
        <w:fldChar w:fldCharType="end"/>
      </w:r>
      <w:r w:rsidR="000B6874">
        <w:t xml:space="preserve">. </w:t>
      </w:r>
      <w:r w:rsidR="00221596" w:rsidRPr="00273106">
        <w:t xml:space="preserve">Shrňme závěrem hlavní teze </w:t>
      </w:r>
      <w:r w:rsidR="00187F28">
        <w:t xml:space="preserve">spisu </w:t>
      </w:r>
      <w:r w:rsidR="00221596" w:rsidRPr="00273106">
        <w:rPr>
          <w:i/>
        </w:rPr>
        <w:t>De homine</w:t>
      </w:r>
      <w:r w:rsidR="00221596" w:rsidRPr="00273106">
        <w:t xml:space="preserve"> </w:t>
      </w:r>
      <w:r w:rsidR="08943DF7">
        <w:t xml:space="preserve">kritizující </w:t>
      </w:r>
      <w:r w:rsidR="00A46735">
        <w:t>prv</w:t>
      </w:r>
      <w:r w:rsidR="08943DF7">
        <w:t>ní vlnu</w:t>
      </w:r>
      <w:r w:rsidR="00A46735">
        <w:t xml:space="preserve"> modern</w:t>
      </w:r>
      <w:r w:rsidR="005B6716">
        <w:t xml:space="preserve">istů působící v Paříži </w:t>
      </w:r>
      <w:r w:rsidR="0891260D">
        <w:t xml:space="preserve">v letech </w:t>
      </w:r>
      <w:r w:rsidR="005B6716">
        <w:t>124</w:t>
      </w:r>
      <w:r w:rsidR="0891260D">
        <w:t>0‒4</w:t>
      </w:r>
      <w:r w:rsidR="005B6716">
        <w:t>5</w:t>
      </w:r>
      <w:r w:rsidR="00441B82">
        <w:rPr>
          <w:i/>
        </w:rPr>
        <w:fldChar w:fldCharType="begin"/>
      </w:r>
      <w:r w:rsidR="00441B82">
        <w:instrText xml:space="preserve"> XE "intelekt:Albert" </w:instrText>
      </w:r>
      <w:r w:rsidR="00441B82">
        <w:rPr>
          <w:i/>
        </w:rPr>
        <w:fldChar w:fldCharType="end"/>
      </w:r>
      <w:r w:rsidR="003B3550" w:rsidRPr="00273106">
        <w:t xml:space="preserve">. </w:t>
      </w:r>
    </w:p>
    <w:p w14:paraId="6719E626" w14:textId="77777777" w:rsidR="00221596" w:rsidRPr="00273106" w:rsidRDefault="003B3550" w:rsidP="00565C35">
      <w:pPr>
        <w:numPr>
          <w:ilvl w:val="0"/>
          <w:numId w:val="6"/>
        </w:numPr>
      </w:pPr>
      <w:r w:rsidRPr="00273106">
        <w:t>I</w:t>
      </w:r>
      <w:r w:rsidR="00221596" w:rsidRPr="00273106">
        <w:t>ntel</w:t>
      </w:r>
      <w:r w:rsidR="00E84E44" w:rsidRPr="00273106">
        <w:t xml:space="preserve">ekt je nemateriální </w:t>
      </w:r>
      <w:r w:rsidR="00221596" w:rsidRPr="00273106">
        <w:t>ve své receptivní a syntetizuj</w:t>
      </w:r>
      <w:r w:rsidR="00E84E44" w:rsidRPr="00273106">
        <w:t>ící složce</w:t>
      </w:r>
      <w:r w:rsidR="00127F54">
        <w:t xml:space="preserve">. Je to </w:t>
      </w:r>
      <w:r w:rsidR="00BB7E33">
        <w:t>schopnost duše jako hylemorfické formy dané v jedinečně existující osobě</w:t>
      </w:r>
      <w:r w:rsidRPr="00273106">
        <w:t>.</w:t>
      </w:r>
    </w:p>
    <w:p w14:paraId="679F3CEF" w14:textId="77777777" w:rsidR="008B7AFB" w:rsidRDefault="003B3550" w:rsidP="00565C35">
      <w:pPr>
        <w:numPr>
          <w:ilvl w:val="0"/>
          <w:numId w:val="6"/>
        </w:numPr>
      </w:pPr>
      <w:r w:rsidRPr="00273106">
        <w:t>J</w:t>
      </w:r>
      <w:r w:rsidR="008B7AFB">
        <w:t xml:space="preserve">ednota </w:t>
      </w:r>
      <w:r w:rsidR="084C4481">
        <w:t xml:space="preserve">osoby </w:t>
      </w:r>
      <w:r w:rsidR="007B53B6">
        <w:t xml:space="preserve">v rámci existenciálního aktu </w:t>
      </w:r>
      <w:r w:rsidR="007B53B6" w:rsidRPr="007B53B6">
        <w:rPr>
          <w:i/>
        </w:rPr>
        <w:t>anima intelle</w:t>
      </w:r>
      <w:r w:rsidR="00A75860">
        <w:rPr>
          <w:i/>
        </w:rPr>
        <w:t>c</w:t>
      </w:r>
      <w:r w:rsidR="007B53B6" w:rsidRPr="007B53B6">
        <w:rPr>
          <w:i/>
        </w:rPr>
        <w:t>tiva</w:t>
      </w:r>
      <w:r w:rsidR="007B53B6">
        <w:t xml:space="preserve"> </w:t>
      </w:r>
      <w:r w:rsidR="008B7AFB">
        <w:t>je dána kauzálně</w:t>
      </w:r>
      <w:r w:rsidR="00221596" w:rsidRPr="00273106">
        <w:t xml:space="preserve">, </w:t>
      </w:r>
      <w:r w:rsidR="008B7AFB">
        <w:t>proto</w:t>
      </w:r>
      <w:r w:rsidR="00221596" w:rsidRPr="00273106">
        <w:t xml:space="preserve">že </w:t>
      </w:r>
      <w:r w:rsidR="00221596" w:rsidRPr="008B7AFB">
        <w:rPr>
          <w:i/>
        </w:rPr>
        <w:t>intellectus agens</w:t>
      </w:r>
      <w:r w:rsidR="00221596" w:rsidRPr="00273106">
        <w:t xml:space="preserve"> </w:t>
      </w:r>
      <w:r w:rsidR="00FC104B">
        <w:t xml:space="preserve">jako individuální </w:t>
      </w:r>
      <w:r w:rsidR="007977C2">
        <w:t xml:space="preserve">aktivní </w:t>
      </w:r>
      <w:r w:rsidR="00FC104B">
        <w:t xml:space="preserve">schopnost duše </w:t>
      </w:r>
      <w:r w:rsidR="00221596" w:rsidRPr="00273106">
        <w:t>je ve své činnost</w:t>
      </w:r>
      <w:r w:rsidR="007977C2">
        <w:t>i</w:t>
      </w:r>
      <w:r w:rsidR="00221596" w:rsidRPr="00273106">
        <w:t xml:space="preserve"> odkázaný na receptivní složku </w:t>
      </w:r>
      <w:r w:rsidR="00221596" w:rsidRPr="008B7AFB">
        <w:rPr>
          <w:i/>
        </w:rPr>
        <w:t>intellectus possibilis</w:t>
      </w:r>
      <w:r w:rsidR="008B7AFB">
        <w:t>.</w:t>
      </w:r>
    </w:p>
    <w:p w14:paraId="62F183B3" w14:textId="55DFED20" w:rsidR="00E86115" w:rsidRDefault="08F84F8E" w:rsidP="00565C35">
      <w:pPr>
        <w:numPr>
          <w:ilvl w:val="0"/>
          <w:numId w:val="6"/>
        </w:numPr>
      </w:pPr>
      <w:r>
        <w:t xml:space="preserve">Intelekt je čistá </w:t>
      </w:r>
      <w:r w:rsidRPr="00E86115">
        <w:rPr>
          <w:i/>
        </w:rPr>
        <w:t>tabula rasa</w:t>
      </w:r>
      <w:r>
        <w:rPr>
          <w:i/>
        </w:rPr>
        <w:fldChar w:fldCharType="begin"/>
      </w:r>
      <w:r>
        <w:instrText xml:space="preserve"> XE "</w:instrText>
      </w:r>
      <w:r w:rsidRPr="00CE6D17">
        <w:rPr>
          <w:i/>
        </w:rPr>
        <w:instrText>tabula rasa</w:instrText>
      </w:r>
      <w:r>
        <w:instrText xml:space="preserve">" </w:instrText>
      </w:r>
      <w:r>
        <w:rPr>
          <w:i/>
        </w:rPr>
        <w:fldChar w:fldCharType="end"/>
      </w:r>
      <w:r>
        <w:t xml:space="preserve"> a poznání člověka jde pouze ze smyslů. </w:t>
      </w:r>
      <w:r w:rsidR="006E6EB7">
        <w:t>Nemateriální m</w:t>
      </w:r>
      <w:r w:rsidR="007977C2">
        <w:t xml:space="preserve">ožný intelekt </w:t>
      </w:r>
      <w:r>
        <w:t xml:space="preserve">je </w:t>
      </w:r>
      <w:r w:rsidR="007977C2">
        <w:t xml:space="preserve">potenciální absolutním, čili odděleným způsobem jak od </w:t>
      </w:r>
      <w:r w:rsidR="006E6EB7">
        <w:t xml:space="preserve">metariálních </w:t>
      </w:r>
      <w:r w:rsidR="007977C2">
        <w:t xml:space="preserve">smyslů, tak od kosmického činného intelektu. Proto je </w:t>
      </w:r>
      <w:r w:rsidR="008B7AFB">
        <w:t xml:space="preserve">zásadně </w:t>
      </w:r>
      <w:r w:rsidR="007F0435" w:rsidRPr="00273106">
        <w:t>odkázaný na smyslové obsahy</w:t>
      </w:r>
      <w:r w:rsidR="008B7AFB">
        <w:t>, protože jen ty jsou aktuáln</w:t>
      </w:r>
      <w:r>
        <w:t>í</w:t>
      </w:r>
      <w:r w:rsidR="007F0435" w:rsidRPr="00273106">
        <w:t>.</w:t>
      </w:r>
      <w:r w:rsidR="00E86115">
        <w:t xml:space="preserve"> </w:t>
      </w:r>
    </w:p>
    <w:p w14:paraId="665652ED" w14:textId="19F86C5D" w:rsidR="00221596" w:rsidRPr="00273106" w:rsidRDefault="00E86115" w:rsidP="00565C35">
      <w:pPr>
        <w:numPr>
          <w:ilvl w:val="0"/>
          <w:numId w:val="6"/>
        </w:numPr>
      </w:pPr>
      <w:r>
        <w:t>Postupem kauzality od efektivní k formální</w:t>
      </w:r>
      <w:r w:rsidR="08E9203C">
        <w:t xml:space="preserve"> (tj. </w:t>
      </w:r>
      <w:r>
        <w:t xml:space="preserve">od </w:t>
      </w:r>
      <w:r w:rsidR="004B4D52" w:rsidRPr="00415794">
        <w:rPr>
          <w:i/>
        </w:rPr>
        <w:t>species</w:t>
      </w:r>
      <w:r w:rsidRPr="00E86115">
        <w:rPr>
          <w:i/>
        </w:rPr>
        <w:t xml:space="preserve"> sensibilis</w:t>
      </w:r>
      <w:r>
        <w:t xml:space="preserve"> ke </w:t>
      </w:r>
      <w:r w:rsidR="004B4D52" w:rsidRPr="00415794">
        <w:rPr>
          <w:i/>
        </w:rPr>
        <w:t>species</w:t>
      </w:r>
      <w:r w:rsidRPr="00E86115">
        <w:rPr>
          <w:i/>
        </w:rPr>
        <w:t xml:space="preserve"> intelligibilis</w:t>
      </w:r>
      <w:r w:rsidR="08E9203C">
        <w:t xml:space="preserve">) </w:t>
      </w:r>
      <w:r w:rsidR="00392F11" w:rsidRPr="00273106">
        <w:t>je dáno schéma nasví</w:t>
      </w:r>
      <w:r w:rsidR="008B7AFB">
        <w:t>c</w:t>
      </w:r>
      <w:r w:rsidR="00392F11" w:rsidRPr="00273106">
        <w:t>ení smyslu jsoucna zepředu</w:t>
      </w:r>
      <w:r w:rsidR="00232B4E">
        <w:t>. Impozice významu začí</w:t>
      </w:r>
      <w:r w:rsidR="00C87E94">
        <w:t xml:space="preserve">ná u </w:t>
      </w:r>
      <w:r w:rsidR="00392F11" w:rsidRPr="00273106">
        <w:t>aktuální první substance</w:t>
      </w:r>
      <w:r w:rsidR="00DB754D">
        <w:t xml:space="preserve"> dané reálně</w:t>
      </w:r>
      <w:r w:rsidR="00392F11" w:rsidRPr="00273106">
        <w:t>.</w:t>
      </w:r>
      <w:r w:rsidR="00F96B31">
        <w:t xml:space="preserve"> Tím je zajištěno vědecké poznání </w:t>
      </w:r>
      <w:r w:rsidR="08E429BD">
        <w:t xml:space="preserve">světa </w:t>
      </w:r>
      <w:r w:rsidR="085F02C1">
        <w:t xml:space="preserve">v aristotelském pojetí pravdy jako </w:t>
      </w:r>
      <w:r w:rsidR="085F02C1" w:rsidRPr="085F02C1">
        <w:rPr>
          <w:i/>
        </w:rPr>
        <w:t>adaequatio</w:t>
      </w:r>
      <w:r w:rsidR="00F96B31">
        <w:t>.</w:t>
      </w:r>
    </w:p>
    <w:p w14:paraId="6D95E033" w14:textId="01527EB1" w:rsidR="08F84F8E" w:rsidRDefault="00E916D9" w:rsidP="00565C35">
      <w:pPr>
        <w:numPr>
          <w:ilvl w:val="0"/>
          <w:numId w:val="6"/>
        </w:numPr>
      </w:pPr>
      <w:r w:rsidRPr="00273106">
        <w:t xml:space="preserve">Substanciální jednota intelektu </w:t>
      </w:r>
      <w:r w:rsidR="00221596" w:rsidRPr="00273106">
        <w:t xml:space="preserve">je dána </w:t>
      </w:r>
      <w:r w:rsidR="00277B7A">
        <w:t xml:space="preserve">jako </w:t>
      </w:r>
      <w:r w:rsidR="00A453D5">
        <w:t xml:space="preserve">personální </w:t>
      </w:r>
      <w:r w:rsidR="00221596" w:rsidRPr="00273106">
        <w:rPr>
          <w:i/>
        </w:rPr>
        <w:t>actus essendi</w:t>
      </w:r>
      <w:r w:rsidR="000A2302">
        <w:rPr>
          <w:i/>
        </w:rPr>
        <w:fldChar w:fldCharType="begin"/>
      </w:r>
      <w:r w:rsidR="000A2302">
        <w:instrText xml:space="preserve"> XE "</w:instrText>
      </w:r>
      <w:r w:rsidR="000A2302" w:rsidRPr="006D3950">
        <w:rPr>
          <w:i/>
        </w:rPr>
        <w:instrText>actus essendi</w:instrText>
      </w:r>
      <w:r w:rsidR="000A2302">
        <w:instrText xml:space="preserve">" </w:instrText>
      </w:r>
      <w:r w:rsidR="000A2302">
        <w:rPr>
          <w:i/>
        </w:rPr>
        <w:fldChar w:fldCharType="end"/>
      </w:r>
      <w:r w:rsidRPr="00273106">
        <w:t xml:space="preserve">, tedy na úrovni </w:t>
      </w:r>
      <w:r w:rsidR="002E3B62">
        <w:t>Averroes</w:t>
      </w:r>
      <w:r w:rsidRPr="00273106">
        <w:t xml:space="preserve">ova </w:t>
      </w:r>
      <w:r w:rsidRPr="00273106">
        <w:rPr>
          <w:i/>
        </w:rPr>
        <w:t xml:space="preserve">tertium </w:t>
      </w:r>
      <w:r w:rsidR="00B1298A">
        <w:rPr>
          <w:i/>
        </w:rPr>
        <w:t>genus</w:t>
      </w:r>
      <w:r w:rsidR="00982C89">
        <w:rPr>
          <w:i/>
        </w:rPr>
        <w:fldChar w:fldCharType="begin"/>
      </w:r>
      <w:r w:rsidR="00982C89">
        <w:instrText xml:space="preserve"> XE "</w:instrText>
      </w:r>
      <w:r w:rsidR="00982C89" w:rsidRPr="00D80F84">
        <w:rPr>
          <w:i/>
        </w:rPr>
        <w:instrText>tertium genus</w:instrText>
      </w:r>
      <w:r w:rsidR="00982C89">
        <w:instrText xml:space="preserve">" </w:instrText>
      </w:r>
      <w:r w:rsidR="00982C89">
        <w:rPr>
          <w:i/>
        </w:rPr>
        <w:fldChar w:fldCharType="end"/>
      </w:r>
      <w:r w:rsidRPr="00273106">
        <w:t xml:space="preserve">. Ipseitně daný </w:t>
      </w:r>
      <w:r w:rsidR="00221596" w:rsidRPr="00273106">
        <w:rPr>
          <w:i/>
        </w:rPr>
        <w:t>intellectus possibilis</w:t>
      </w:r>
      <w:r w:rsidR="00221596" w:rsidRPr="00273106">
        <w:t xml:space="preserve">, </w:t>
      </w:r>
      <w:r w:rsidR="00221596" w:rsidRPr="00273106">
        <w:rPr>
          <w:i/>
        </w:rPr>
        <w:t xml:space="preserve">agens </w:t>
      </w:r>
      <w:r w:rsidR="00221596" w:rsidRPr="00273106">
        <w:t xml:space="preserve">i </w:t>
      </w:r>
      <w:r w:rsidR="00221596" w:rsidRPr="00273106">
        <w:rPr>
          <w:i/>
        </w:rPr>
        <w:t>speculativus</w:t>
      </w:r>
      <w:r w:rsidR="003B3550" w:rsidRPr="00273106">
        <w:t xml:space="preserve"> tvoří nemateriální </w:t>
      </w:r>
      <w:r w:rsidR="007F0435" w:rsidRPr="00273106">
        <w:t xml:space="preserve">poznávací schopnosti </w:t>
      </w:r>
      <w:r w:rsidR="00221596" w:rsidRPr="00273106">
        <w:t>jedn</w:t>
      </w:r>
      <w:r w:rsidR="00176FC7">
        <w:t xml:space="preserve">é osoby dané ve výkonu existence. Tyto duševní schopnosti </w:t>
      </w:r>
      <w:r w:rsidR="00221596" w:rsidRPr="00273106">
        <w:t xml:space="preserve">jsou </w:t>
      </w:r>
      <w:r w:rsidR="007F0435" w:rsidRPr="00273106">
        <w:t xml:space="preserve">ve svém výkonu neseny </w:t>
      </w:r>
      <w:r w:rsidR="007A1FA3" w:rsidRPr="00273106">
        <w:t xml:space="preserve">hylemorfickou </w:t>
      </w:r>
      <w:r w:rsidR="007F0435" w:rsidRPr="00273106">
        <w:t xml:space="preserve">hypostází </w:t>
      </w:r>
      <w:r w:rsidR="00221596" w:rsidRPr="00273106">
        <w:t>jedné první substance</w:t>
      </w:r>
      <w:r w:rsidR="007F0435" w:rsidRPr="00273106">
        <w:t xml:space="preserve"> </w:t>
      </w:r>
      <w:r w:rsidR="003F49C1">
        <w:t xml:space="preserve">dané jako existující osoba </w:t>
      </w:r>
      <w:r w:rsidR="007F0435" w:rsidRPr="00273106">
        <w:t>(</w:t>
      </w:r>
      <w:r w:rsidR="007F0435" w:rsidRPr="00273106">
        <w:rPr>
          <w:i/>
        </w:rPr>
        <w:t>subiectum</w:t>
      </w:r>
      <w:r w:rsidR="007F0435" w:rsidRPr="00273106">
        <w:t>)</w:t>
      </w:r>
      <w:r w:rsidR="003B3550" w:rsidRPr="00273106">
        <w:t>.</w:t>
      </w:r>
      <w:r w:rsidR="08F84F8E">
        <w:t xml:space="preserve"> </w:t>
      </w:r>
      <w:r w:rsidR="003B3550" w:rsidRPr="00273106">
        <w:t>T</w:t>
      </w:r>
      <w:r w:rsidR="00221596" w:rsidRPr="00273106">
        <w:t xml:space="preserve">ato </w:t>
      </w:r>
      <w:r w:rsidR="00896E2E" w:rsidRPr="00273106">
        <w:t xml:space="preserve">architektonická </w:t>
      </w:r>
      <w:r w:rsidR="00020CB6" w:rsidRPr="00273106">
        <w:t xml:space="preserve">jednota intelektu je daná skrze </w:t>
      </w:r>
      <w:r w:rsidR="0006051E">
        <w:t xml:space="preserve">reálný </w:t>
      </w:r>
      <w:r w:rsidR="00020CB6" w:rsidRPr="00273106">
        <w:t>akt</w:t>
      </w:r>
      <w:r w:rsidR="00221596" w:rsidRPr="00273106">
        <w:t xml:space="preserve"> </w:t>
      </w:r>
      <w:r w:rsidR="003B3550" w:rsidRPr="00273106">
        <w:t>duše</w:t>
      </w:r>
      <w:r w:rsidR="0006051E">
        <w:t xml:space="preserve"> a s</w:t>
      </w:r>
      <w:r w:rsidR="003B3550" w:rsidRPr="00273106">
        <w:t>krze individuální schopnosti</w:t>
      </w:r>
      <w:r w:rsidR="0006051E">
        <w:t xml:space="preserve">, proto je tranzitorní a </w:t>
      </w:r>
      <w:r w:rsidR="00221596" w:rsidRPr="00273106">
        <w:t>pomíjivá.</w:t>
      </w:r>
    </w:p>
    <w:p w14:paraId="3D08DB35" w14:textId="77777777" w:rsidR="002B657D" w:rsidRDefault="00AF3E40" w:rsidP="00565C35">
      <w:pPr>
        <w:numPr>
          <w:ilvl w:val="0"/>
          <w:numId w:val="6"/>
        </w:numPr>
      </w:pPr>
      <w:r>
        <w:t>U</w:t>
      </w:r>
      <w:r w:rsidR="003D6106">
        <w:t xml:space="preserve">niverzální podoba </w:t>
      </w:r>
      <w:r w:rsidR="003D6106" w:rsidRPr="08F84F8E">
        <w:rPr>
          <w:i/>
        </w:rPr>
        <w:t>intellectus possibilis</w:t>
      </w:r>
      <w:r w:rsidR="003D6106">
        <w:t xml:space="preserve"> </w:t>
      </w:r>
      <w:r w:rsidR="002419E7">
        <w:t xml:space="preserve">daného jako čistá abstrakce </w:t>
      </w:r>
      <w:r w:rsidR="003D6106">
        <w:t xml:space="preserve">vytváří specifickou jednotu lidského rodu odlišného od zvířat a od kosmických inteligencí.   </w:t>
      </w:r>
      <w:r w:rsidR="08F84F8E">
        <w:t>Jeho produktem je univerzální pojem, jehož význam je díky abstrakci oddělený od existenciálního výkonu porozumění</w:t>
      </w:r>
      <w:r w:rsidR="08686E30">
        <w:t xml:space="preserve"> (</w:t>
      </w:r>
      <w:r w:rsidR="08686E30" w:rsidRPr="08686E30">
        <w:rPr>
          <w:i/>
        </w:rPr>
        <w:t xml:space="preserve">quartum </w:t>
      </w:r>
      <w:r w:rsidR="00B1298A">
        <w:rPr>
          <w:i/>
        </w:rPr>
        <w:t>genus</w:t>
      </w:r>
      <w:r w:rsidR="08686E30">
        <w:t>)</w:t>
      </w:r>
      <w:r w:rsidR="002B657D">
        <w:t>.</w:t>
      </w:r>
    </w:p>
    <w:p w14:paraId="29C6F7B2" w14:textId="42124EC8" w:rsidR="00CF725E" w:rsidRPr="00273106" w:rsidRDefault="00E36D3C" w:rsidP="00565C35">
      <w:pPr>
        <w:numPr>
          <w:ilvl w:val="0"/>
          <w:numId w:val="6"/>
        </w:numPr>
      </w:pPr>
      <w:r>
        <w:lastRenderedPageBreak/>
        <w:t>Specifický p</w:t>
      </w:r>
      <w:r w:rsidR="08F84F8E">
        <w:t xml:space="preserve">ojem </w:t>
      </w:r>
      <w:r>
        <w:t xml:space="preserve">lidstva založeného na tomto druhu intelektu </w:t>
      </w:r>
      <w:r w:rsidR="08F84F8E">
        <w:t>je nepomíjivý tak dlouho, dokud bude existovat lidský rod</w:t>
      </w:r>
      <w:r w:rsidR="08F71B1C">
        <w:t xml:space="preserve"> </w:t>
      </w:r>
      <w:r>
        <w:t xml:space="preserve"> jako abstrakce. Tato pravdivá impozice </w:t>
      </w:r>
      <w:r w:rsidR="004B4D52" w:rsidRPr="004B4D52">
        <w:t>species</w:t>
      </w:r>
      <w:r w:rsidRPr="00E36D3C">
        <w:rPr>
          <w:i/>
        </w:rPr>
        <w:t xml:space="preserve"> humana</w:t>
      </w:r>
      <w:r>
        <w:t xml:space="preserve"> vyžaduje </w:t>
      </w:r>
      <w:r w:rsidR="08A37D9F">
        <w:t>existenc</w:t>
      </w:r>
      <w:r>
        <w:t>i</w:t>
      </w:r>
      <w:r w:rsidR="08F71B1C">
        <w:t xml:space="preserve"> alespoň jedné reálné osoby schopné </w:t>
      </w:r>
      <w:r>
        <w:t xml:space="preserve">anti-moderně </w:t>
      </w:r>
      <w:r w:rsidR="08F71B1C">
        <w:t>myslet</w:t>
      </w:r>
      <w:r w:rsidR="00C9658D">
        <w:t xml:space="preserve">, protože ta kauzálně zakládá </w:t>
      </w:r>
      <w:r w:rsidR="00232AC2">
        <w:t xml:space="preserve">jednotu </w:t>
      </w:r>
      <w:r w:rsidR="00C9658D">
        <w:t>lidstva</w:t>
      </w:r>
      <w:r w:rsidR="00201DE2">
        <w:t xml:space="preserve"> na základě specifika určeného metafyzickou impozicí (</w:t>
      </w:r>
      <w:r w:rsidR="00201DE2" w:rsidRPr="00201DE2">
        <w:rPr>
          <w:i/>
        </w:rPr>
        <w:t>species humana</w:t>
      </w:r>
      <w:r w:rsidR="00201DE2">
        <w:t>)</w:t>
      </w:r>
      <w:r w:rsidR="08F84F8E">
        <w:t>.</w:t>
      </w:r>
    </w:p>
    <w:p w14:paraId="7EFECE21" w14:textId="4CA232EA" w:rsidR="008512C8" w:rsidRDefault="006A1E3C" w:rsidP="00BD1F1C">
      <w:r>
        <w:t>H</w:t>
      </w:r>
      <w:r w:rsidRPr="00273106">
        <w:t>yleformická jednota osoby</w:t>
      </w:r>
      <w:r>
        <w:t xml:space="preserve"> tvoří jedinou substanci</w:t>
      </w:r>
      <w:r w:rsidR="00CF725E" w:rsidRPr="00273106">
        <w:t xml:space="preserve"> pro všechny formy intelektu</w:t>
      </w:r>
      <w:r>
        <w:t>, který tvoří jednu ze specifických schopností duše</w:t>
      </w:r>
      <w:r w:rsidR="00CF725E" w:rsidRPr="00273106">
        <w:t xml:space="preserve">. Duše je entelechická forma </w:t>
      </w:r>
      <w:r w:rsidR="00E54DA7">
        <w:t>těla; r</w:t>
      </w:r>
      <w:r w:rsidR="00CF725E" w:rsidRPr="00273106">
        <w:t xml:space="preserve">ůzné </w:t>
      </w:r>
      <w:r w:rsidR="00131188">
        <w:t xml:space="preserve">činnosti </w:t>
      </w:r>
      <w:r w:rsidR="00CF725E" w:rsidRPr="00273106">
        <w:t xml:space="preserve">toho či onoho </w:t>
      </w:r>
      <w:r w:rsidR="089E5605">
        <w:t xml:space="preserve">intelektu patří do </w:t>
      </w:r>
      <w:r w:rsidR="00CF725E" w:rsidRPr="00273106">
        <w:t>schopností</w:t>
      </w:r>
      <w:r w:rsidR="089E5605">
        <w:t xml:space="preserve"> duše</w:t>
      </w:r>
      <w:r w:rsidR="00CF725E" w:rsidRPr="00273106">
        <w:t xml:space="preserve">. </w:t>
      </w:r>
      <w:r w:rsidR="00221596" w:rsidRPr="00273106">
        <w:t xml:space="preserve">Albert zdůrazňuje od samého začátku spisu </w:t>
      </w:r>
      <w:r w:rsidR="00221596" w:rsidRPr="00273106">
        <w:rPr>
          <w:i/>
        </w:rPr>
        <w:t>De homine</w:t>
      </w:r>
      <w:r w:rsidR="00221596" w:rsidRPr="00273106">
        <w:t xml:space="preserve">, že náhled na </w:t>
      </w:r>
      <w:r w:rsidR="004146F8">
        <w:t xml:space="preserve">lidský </w:t>
      </w:r>
      <w:r w:rsidR="00221596" w:rsidRPr="00273106">
        <w:t xml:space="preserve">intelekt může být </w:t>
      </w:r>
      <w:r w:rsidR="004F57B8" w:rsidRPr="00273106">
        <w:t xml:space="preserve">různý. </w:t>
      </w:r>
      <w:r w:rsidR="089A5B4B">
        <w:t>Intelekt může vidět j</w:t>
      </w:r>
      <w:r w:rsidR="00221596" w:rsidRPr="00273106">
        <w:t xml:space="preserve">ak podle schopností duše, tak i podle odlišného </w:t>
      </w:r>
      <w:r w:rsidR="00221596" w:rsidRPr="00273106">
        <w:rPr>
          <w:i/>
        </w:rPr>
        <w:t>resolutio</w:t>
      </w:r>
      <w:r w:rsidR="00221596" w:rsidRPr="00273106">
        <w:t xml:space="preserve"> daného buď vzhledem k reálné věci nebo k esenciální definici</w:t>
      </w:r>
      <w:r w:rsidR="089A5B4B">
        <w:t xml:space="preserve"> </w:t>
      </w:r>
      <w:r w:rsidR="00221596" w:rsidRPr="00273106">
        <w:t>v rámci rámci dvojí vědy o duši (</w:t>
      </w:r>
      <w:r w:rsidR="00221596" w:rsidRPr="00273106">
        <w:rPr>
          <w:i/>
        </w:rPr>
        <w:t>rationis et rei</w:t>
      </w:r>
      <w:r w:rsidR="00221596" w:rsidRPr="00273106">
        <w:t xml:space="preserve">). </w:t>
      </w:r>
      <w:r w:rsidR="087473DE">
        <w:t xml:space="preserve">Jednotu pravdivého poznání pro všechny lidi je třeba budovat na principu </w:t>
      </w:r>
      <w:r w:rsidR="08D91F67">
        <w:rPr>
          <w:i/>
        </w:rPr>
        <w:t>ex in</w:t>
      </w:r>
      <w:r w:rsidR="087473DE" w:rsidRPr="089A5B4B">
        <w:rPr>
          <w:i/>
        </w:rPr>
        <w:t>mediatis</w:t>
      </w:r>
      <w:r w:rsidR="087473DE">
        <w:t xml:space="preserve"> skrze takto predikovanou kauzalitu myslící osoby. </w:t>
      </w:r>
      <w:r w:rsidR="00916B8F">
        <w:t xml:space="preserve">Reálné věci </w:t>
      </w:r>
      <w:r w:rsidR="089A5B4B">
        <w:t>odpovídá</w:t>
      </w:r>
      <w:r w:rsidR="00916B8F" w:rsidRPr="00273106">
        <w:t xml:space="preserve"> ve vědeckém soudu univerzální pravdivé poznání dané v individuálním poznávacím výkonu toho či onoho člověka. </w:t>
      </w:r>
      <w:r w:rsidR="089A5B4B">
        <w:t xml:space="preserve">Totéž pochopitelně platí i pro poznání osobně zakoušeného intelektu v modu </w:t>
      </w:r>
      <w:r w:rsidR="089A5B4B" w:rsidRPr="089A5B4B">
        <w:rPr>
          <w:i/>
        </w:rPr>
        <w:t xml:space="preserve">tertium </w:t>
      </w:r>
      <w:r w:rsidR="00B1298A">
        <w:rPr>
          <w:i/>
        </w:rPr>
        <w:t>genus</w:t>
      </w:r>
      <w:r w:rsidR="089A5B4B">
        <w:t xml:space="preserve">. </w:t>
      </w:r>
      <w:r w:rsidR="08106074">
        <w:t>I</w:t>
      </w:r>
      <w:r w:rsidR="08106074" w:rsidRPr="00273106">
        <w:t xml:space="preserve">ntelekt jako abstraktní </w:t>
      </w:r>
      <w:r w:rsidR="002E30FF" w:rsidRPr="002E30FF">
        <w:t>species</w:t>
      </w:r>
      <w:r w:rsidR="08106074" w:rsidRPr="00273106">
        <w:t xml:space="preserve"> v </w:t>
      </w:r>
      <w:r w:rsidR="08106074">
        <w:t>Averroes</w:t>
      </w:r>
      <w:r w:rsidR="08106074" w:rsidRPr="00273106">
        <w:t xml:space="preserve">ově smyslu </w:t>
      </w:r>
      <w:r w:rsidR="08106074" w:rsidRPr="08F84F8E">
        <w:rPr>
          <w:i/>
        </w:rPr>
        <w:t xml:space="preserve">quartum </w:t>
      </w:r>
      <w:r w:rsidR="00B1298A">
        <w:rPr>
          <w:i/>
        </w:rPr>
        <w:t>genus</w:t>
      </w:r>
      <w:r w:rsidR="08106074" w:rsidRPr="08F84F8E">
        <w:rPr>
          <w:i/>
        </w:rPr>
        <w:fldChar w:fldCharType="begin"/>
      </w:r>
      <w:r w:rsidR="08106074">
        <w:instrText xml:space="preserve"> XE "</w:instrText>
      </w:r>
      <w:r w:rsidR="08106074" w:rsidRPr="08F84F8E">
        <w:rPr>
          <w:i/>
        </w:rPr>
        <w:instrText>quartum genus</w:instrText>
      </w:r>
      <w:r w:rsidR="08106074">
        <w:instrText xml:space="preserve">" </w:instrText>
      </w:r>
      <w:r w:rsidR="08106074" w:rsidRPr="08F84F8E">
        <w:rPr>
          <w:i/>
        </w:rPr>
        <w:fldChar w:fldCharType="end"/>
      </w:r>
      <w:r w:rsidR="08106074" w:rsidRPr="00273106">
        <w:t xml:space="preserve">, tedy jako schopnost lidského druhu </w:t>
      </w:r>
      <w:r w:rsidR="08106074">
        <w:t>univerzálně myslet</w:t>
      </w:r>
      <w:r w:rsidR="08106074" w:rsidRPr="00273106">
        <w:t>, je n</w:t>
      </w:r>
      <w:r w:rsidR="08106074">
        <w:t>emateriální univerzál</w:t>
      </w:r>
      <w:r w:rsidR="084070B1">
        <w:t>i</w:t>
      </w:r>
      <w:r w:rsidR="08106074">
        <w:t xml:space="preserve">e daná v lidské mysli. Ale moderna udělá z </w:t>
      </w:r>
      <w:r w:rsidR="08106074" w:rsidRPr="08106074">
        <w:rPr>
          <w:i/>
        </w:rPr>
        <w:t>intellectus possib</w:t>
      </w:r>
      <w:r w:rsidR="08106074">
        <w:rPr>
          <w:i/>
        </w:rPr>
        <w:t>i</w:t>
      </w:r>
      <w:r w:rsidR="08106074" w:rsidRPr="08106074">
        <w:rPr>
          <w:i/>
        </w:rPr>
        <w:t>lis</w:t>
      </w:r>
      <w:r w:rsidR="08106074">
        <w:t xml:space="preserve"> oddě</w:t>
      </w:r>
      <w:r w:rsidR="008512C8">
        <w:t xml:space="preserve">lenou </w:t>
      </w:r>
      <w:r w:rsidR="007F4D6F">
        <w:t xml:space="preserve">a mytologickou </w:t>
      </w:r>
      <w:r w:rsidR="008512C8">
        <w:t>averroistickou substanci.</w:t>
      </w:r>
    </w:p>
    <w:p w14:paraId="5119222F" w14:textId="06AA7F1F" w:rsidR="00BD1F1C" w:rsidRPr="00273106" w:rsidRDefault="00221596" w:rsidP="008512C8">
      <w:pPr>
        <w:ind w:firstLine="397"/>
        <w:rPr>
          <w:rStyle w:val="FontStyle157"/>
          <w:rFonts w:ascii="Calibri" w:hAnsi="Calibri"/>
          <w:sz w:val="24"/>
        </w:rPr>
      </w:pPr>
      <w:r w:rsidRPr="00273106">
        <w:t xml:space="preserve">Albert </w:t>
      </w:r>
      <w:r w:rsidR="08A9703A">
        <w:t xml:space="preserve">zásadně a jednoznačně </w:t>
      </w:r>
      <w:r w:rsidR="00460376">
        <w:t xml:space="preserve">obhájil </w:t>
      </w:r>
      <w:r w:rsidRPr="00273106">
        <w:t>teorii prvního aver</w:t>
      </w:r>
      <w:r w:rsidR="08F017AB">
        <w:t>r</w:t>
      </w:r>
      <w:r w:rsidRPr="00273106">
        <w:t xml:space="preserve">oismu během </w:t>
      </w:r>
      <w:r w:rsidR="00377F4A">
        <w:t xml:space="preserve">jeho </w:t>
      </w:r>
      <w:r w:rsidR="088B0068">
        <w:t>působení v Paříži (1240‒48)</w:t>
      </w:r>
      <w:r w:rsidR="08A9703A">
        <w:t xml:space="preserve">. Tato škola jako jediná </w:t>
      </w:r>
      <w:r w:rsidR="087D1CF8">
        <w:t xml:space="preserve">integrálně </w:t>
      </w:r>
      <w:r w:rsidR="00AD2CD2">
        <w:t xml:space="preserve">pochopila </w:t>
      </w:r>
      <w:r w:rsidR="08A9703A">
        <w:t>křes</w:t>
      </w:r>
      <w:r w:rsidR="08021764">
        <w:t>ťa</w:t>
      </w:r>
      <w:r w:rsidR="08A9703A">
        <w:t xml:space="preserve">nské pojetí osoby, protože </w:t>
      </w:r>
      <w:r w:rsidR="088B0068">
        <w:t xml:space="preserve">vykládá </w:t>
      </w:r>
      <w:r w:rsidRPr="00273106">
        <w:t xml:space="preserve">jednotně a koherentně </w:t>
      </w:r>
      <w:r w:rsidR="009052E1" w:rsidRPr="00273106">
        <w:t>celý řetěz kauzality</w:t>
      </w:r>
      <w:r w:rsidR="003B5BE8" w:rsidRPr="00273106">
        <w:t xml:space="preserve"> </w:t>
      </w:r>
      <w:r w:rsidR="08A9703A">
        <w:t xml:space="preserve">a poznání, jak </w:t>
      </w:r>
      <w:r w:rsidR="003B5BE8" w:rsidRPr="00273106">
        <w:t xml:space="preserve">materiálně </w:t>
      </w:r>
      <w:r w:rsidR="08A9703A">
        <w:t xml:space="preserve">tak </w:t>
      </w:r>
      <w:r w:rsidR="003B5BE8" w:rsidRPr="00273106">
        <w:t>i formálně</w:t>
      </w:r>
      <w:r w:rsidR="009052E1" w:rsidRPr="00273106">
        <w:t xml:space="preserve">. </w:t>
      </w:r>
      <w:r w:rsidR="00B16BDD" w:rsidRPr="00273106">
        <w:t xml:space="preserve">Teorie intelektu koncipovaná podle Aristotela </w:t>
      </w:r>
      <w:r w:rsidR="00377F4A">
        <w:t xml:space="preserve">daného </w:t>
      </w:r>
      <w:r w:rsidR="082F2D63">
        <w:rPr>
          <w:i/>
        </w:rPr>
        <w:t>ad</w:t>
      </w:r>
      <w:r w:rsidR="00377F4A" w:rsidRPr="00377F4A">
        <w:rPr>
          <w:i/>
        </w:rPr>
        <w:t xml:space="preserve"> mentem Averrois</w:t>
      </w:r>
      <w:r w:rsidR="00570007">
        <w:rPr>
          <w:i/>
        </w:rPr>
        <w:fldChar w:fldCharType="begin"/>
      </w:r>
      <w:r w:rsidR="00570007">
        <w:instrText xml:space="preserve"> XE "</w:instrText>
      </w:r>
      <w:r w:rsidR="082F2D63">
        <w:rPr>
          <w:i/>
        </w:rPr>
        <w:instrText>ad mentem Averrois</w:instrText>
      </w:r>
      <w:r w:rsidR="00570007">
        <w:instrText xml:space="preserve">" </w:instrText>
      </w:r>
      <w:r w:rsidR="00570007">
        <w:rPr>
          <w:i/>
        </w:rPr>
        <w:fldChar w:fldCharType="end"/>
      </w:r>
      <w:r w:rsidR="00377F4A">
        <w:t xml:space="preserve"> podle Sicil</w:t>
      </w:r>
      <w:r w:rsidR="00B21A9D">
        <w:t>s</w:t>
      </w:r>
      <w:r w:rsidR="00377F4A">
        <w:t xml:space="preserve">ké školy </w:t>
      </w:r>
      <w:r w:rsidR="00B16BDD" w:rsidRPr="00273106">
        <w:t xml:space="preserve">jasně podržuje všechny klíčové složky pojetí pravdy jako </w:t>
      </w:r>
      <w:r w:rsidR="00B16BDD" w:rsidRPr="00273106">
        <w:rPr>
          <w:i/>
        </w:rPr>
        <w:t>proportio</w:t>
      </w:r>
      <w:r w:rsidR="00253218">
        <w:rPr>
          <w:i/>
        </w:rPr>
        <w:fldChar w:fldCharType="begin"/>
      </w:r>
      <w:r w:rsidR="00253218">
        <w:instrText xml:space="preserve"> XE "pravda:</w:instrText>
      </w:r>
      <w:r w:rsidR="00253218" w:rsidRPr="009A4BF3">
        <w:rPr>
          <w:i/>
        </w:rPr>
        <w:instrText>proportio</w:instrText>
      </w:r>
      <w:r w:rsidR="00253218">
        <w:instrText xml:space="preserve">" </w:instrText>
      </w:r>
      <w:r w:rsidR="00253218">
        <w:rPr>
          <w:i/>
        </w:rPr>
        <w:fldChar w:fldCharType="end"/>
      </w:r>
      <w:r w:rsidR="00B16BDD" w:rsidRPr="00273106">
        <w:t xml:space="preserve">. </w:t>
      </w:r>
      <w:r w:rsidR="009052E1" w:rsidRPr="00273106">
        <w:t>Determinace poznání běží s</w:t>
      </w:r>
      <w:r w:rsidRPr="00273106">
        <w:t>měrem od aktuální externí věci, přes její materiální a singulární poznání ve smyslech, až k nemateriálnímu a univerzálnímu poznání téže věci v intelektu. Rozdíl proti tamějším</w:t>
      </w:r>
      <w:r w:rsidR="00CC5D2F" w:rsidRPr="00273106">
        <w:t>u</w:t>
      </w:r>
      <w:r w:rsidRPr="00273106">
        <w:t xml:space="preserve"> biskupu Alvernovi je v</w:t>
      </w:r>
      <w:r w:rsidR="00032057" w:rsidRPr="00273106">
        <w:t xml:space="preserve"> tom, že Albert do prvního aver</w:t>
      </w:r>
      <w:r w:rsidRPr="00273106">
        <w:t>r</w:t>
      </w:r>
      <w:r w:rsidR="00032057" w:rsidRPr="00273106">
        <w:t>o</w:t>
      </w:r>
      <w:r w:rsidRPr="00273106">
        <w:t xml:space="preserve">ismu a do výkladu </w:t>
      </w:r>
      <w:r w:rsidR="00B713C5">
        <w:rPr>
          <w:i/>
        </w:rPr>
        <w:t>De anima</w:t>
      </w:r>
      <w:r w:rsidRPr="00273106">
        <w:t xml:space="preserve"> </w:t>
      </w:r>
      <w:r w:rsidR="006C19BC" w:rsidRPr="00273106">
        <w:t xml:space="preserve">lépe </w:t>
      </w:r>
      <w:r w:rsidRPr="00273106">
        <w:t>integ</w:t>
      </w:r>
      <w:r w:rsidR="00032057" w:rsidRPr="00273106">
        <w:t>roval formální náhled avicennistů</w:t>
      </w:r>
      <w:r w:rsidR="00D2796F">
        <w:t xml:space="preserve">. To </w:t>
      </w:r>
      <w:r w:rsidRPr="00273106">
        <w:t>jistě ocenil zejména jeho dominikánský kolega Kilwardby</w:t>
      </w:r>
      <w:r w:rsidR="00CC5D2F" w:rsidRPr="00273106">
        <w:t xml:space="preserve"> ze školy </w:t>
      </w:r>
      <w:r w:rsidR="009641ED">
        <w:t xml:space="preserve">Albertem </w:t>
      </w:r>
      <w:r w:rsidR="00CC5D2F" w:rsidRPr="00273106">
        <w:t xml:space="preserve">zásadně odmítnutých </w:t>
      </w:r>
      <w:r w:rsidR="00CC5D2F" w:rsidRPr="00273106">
        <w:rPr>
          <w:i/>
        </w:rPr>
        <w:t>Latinorum</w:t>
      </w:r>
      <w:r w:rsidRPr="00273106">
        <w:t xml:space="preserve">. </w:t>
      </w:r>
      <w:r w:rsidR="00BD2D33">
        <w:t>O</w:t>
      </w:r>
      <w:r w:rsidR="00CC5D2F" w:rsidRPr="00273106">
        <w:t xml:space="preserve">ba tito filosofové </w:t>
      </w:r>
      <w:r w:rsidR="007B4C0E" w:rsidRPr="00273106">
        <w:t xml:space="preserve">byli </w:t>
      </w:r>
      <w:r w:rsidR="00A644C6" w:rsidRPr="00273106">
        <w:t xml:space="preserve">v době sporu </w:t>
      </w:r>
      <w:r w:rsidR="00FB62FD">
        <w:t xml:space="preserve">o učené Latiníky </w:t>
      </w:r>
      <w:r w:rsidR="0851090A">
        <w:t xml:space="preserve">po roce 1255 </w:t>
      </w:r>
      <w:r w:rsidR="00CC5D2F" w:rsidRPr="00273106">
        <w:t xml:space="preserve">také biskupové, a to velmi významní. Případný </w:t>
      </w:r>
      <w:r w:rsidR="007B4C0E" w:rsidRPr="00273106">
        <w:t xml:space="preserve">filosoficko-teologický spor </w:t>
      </w:r>
      <w:r w:rsidR="00B16BDD" w:rsidRPr="00273106">
        <w:t xml:space="preserve">obou </w:t>
      </w:r>
      <w:r w:rsidR="00B16BDD" w:rsidRPr="00273106">
        <w:lastRenderedPageBreak/>
        <w:t xml:space="preserve">myslitelů a vysokých církevních hodnostářů </w:t>
      </w:r>
      <w:r w:rsidR="007B4C0E" w:rsidRPr="00273106">
        <w:t xml:space="preserve">by dostal mocenský charakter, který by nakonec musel urovnat papež nebo </w:t>
      </w:r>
      <w:r w:rsidR="00213B11" w:rsidRPr="00273106">
        <w:t xml:space="preserve">místní </w:t>
      </w:r>
      <w:r w:rsidR="007B4C0E" w:rsidRPr="00273106">
        <w:t xml:space="preserve">koncil. </w:t>
      </w:r>
      <w:r w:rsidR="00213B11" w:rsidRPr="00273106">
        <w:t xml:space="preserve">A tak se </w:t>
      </w:r>
      <w:r w:rsidRPr="00273106">
        <w:t xml:space="preserve">stalo, že </w:t>
      </w:r>
      <w:r w:rsidR="005269AB" w:rsidRPr="00273106">
        <w:t xml:space="preserve">biskup </w:t>
      </w:r>
      <w:r w:rsidRPr="00273106">
        <w:t>Albert dlící v Kolí</w:t>
      </w:r>
      <w:r w:rsidR="00C60A9A" w:rsidRPr="00273106">
        <w:t>ně a ne v Paříži, nebyl v roce 1277</w:t>
      </w:r>
      <w:r w:rsidRPr="00273106">
        <w:t xml:space="preserve"> </w:t>
      </w:r>
      <w:r w:rsidR="00253218">
        <w:rPr>
          <w:i/>
        </w:rPr>
        <w:fldChar w:fldCharType="begin"/>
      </w:r>
      <w:r w:rsidR="00253218">
        <w:instrText xml:space="preserve"> XE "odsouzení 1277" </w:instrText>
      </w:r>
      <w:r w:rsidR="00253218">
        <w:rPr>
          <w:i/>
        </w:rPr>
        <w:fldChar w:fldCharType="end"/>
      </w:r>
      <w:r w:rsidRPr="00273106">
        <w:t xml:space="preserve">zařazen na </w:t>
      </w:r>
      <w:r w:rsidR="00C60A9A" w:rsidRPr="00273106">
        <w:t xml:space="preserve">černou listinu </w:t>
      </w:r>
      <w:r w:rsidR="00DB5F2C" w:rsidRPr="00273106">
        <w:t xml:space="preserve">tzv. </w:t>
      </w:r>
      <w:r w:rsidRPr="00273106">
        <w:t>„a</w:t>
      </w:r>
      <w:r w:rsidR="00277C20" w:rsidRPr="00273106">
        <w:t xml:space="preserve">veroristů“, kam by jinak </w:t>
      </w:r>
      <w:r w:rsidR="008C07F0" w:rsidRPr="00273106">
        <w:t xml:space="preserve">jistě </w:t>
      </w:r>
      <w:r w:rsidR="00277C20" w:rsidRPr="00273106">
        <w:t xml:space="preserve">patřil, </w:t>
      </w:r>
      <w:r w:rsidR="08352B84">
        <w:t xml:space="preserve">protože hájil stejné schéma poznání podané podle Komentátora jako měl Siger. </w:t>
      </w:r>
      <w:r w:rsidR="00A768A9">
        <w:rPr>
          <w:rStyle w:val="FontStyle157"/>
          <w:rFonts w:ascii="Calibri" w:hAnsi="Calibri"/>
          <w:sz w:val="24"/>
        </w:rPr>
        <w:t>Albert obhajoval</w:t>
      </w:r>
      <w:r w:rsidR="00BD1F1C" w:rsidRPr="00273106">
        <w:rPr>
          <w:rStyle w:val="FontStyle157"/>
          <w:rFonts w:ascii="Calibri" w:hAnsi="Calibri"/>
          <w:sz w:val="24"/>
        </w:rPr>
        <w:t xml:space="preserve"> po celý život nauku prvního averroismu, kterou v Paříži do své smrti bránil filosof, teolog a moudrý biskup Alvernus. </w:t>
      </w:r>
      <w:r w:rsidR="00857622">
        <w:rPr>
          <w:rStyle w:val="FontStyle157"/>
          <w:rFonts w:ascii="Calibri" w:hAnsi="Calibri"/>
          <w:sz w:val="24"/>
        </w:rPr>
        <w:t xml:space="preserve">Albertovi </w:t>
      </w:r>
      <w:r w:rsidR="00BD1F1C" w:rsidRPr="00273106">
        <w:rPr>
          <w:rStyle w:val="FontStyle157"/>
          <w:rFonts w:ascii="Calibri" w:hAnsi="Calibri"/>
          <w:sz w:val="24"/>
        </w:rPr>
        <w:t>nástupci už šli jinou cestou.</w:t>
      </w:r>
      <w:r w:rsidR="006D1B82" w:rsidRPr="00273106">
        <w:rPr>
          <w:rStyle w:val="FontStyle157"/>
          <w:rFonts w:ascii="Calibri" w:hAnsi="Calibri"/>
          <w:sz w:val="24"/>
        </w:rPr>
        <w:t xml:space="preserve"> </w:t>
      </w:r>
      <w:r w:rsidR="00A768A9">
        <w:t xml:space="preserve">Akvinský udělal z Averrose averroistu a odmítl pouze dualismus modernistů jako aristotelsky nesmyslný. </w:t>
      </w:r>
      <w:r w:rsidR="006D1B82" w:rsidRPr="00273106">
        <w:t xml:space="preserve">Latinští sofisté se pokusili smířit Avicennu a </w:t>
      </w:r>
      <w:r w:rsidR="002E3B62">
        <w:t>Averroes</w:t>
      </w:r>
      <w:r w:rsidR="006D1B82" w:rsidRPr="00273106">
        <w:t xml:space="preserve">em </w:t>
      </w:r>
      <w:r w:rsidR="08234020">
        <w:t xml:space="preserve">na způsob neoplatonismu </w:t>
      </w:r>
      <w:r w:rsidR="006D1B82" w:rsidRPr="00273106">
        <w:t xml:space="preserve">a </w:t>
      </w:r>
      <w:r w:rsidR="008A30F3">
        <w:t xml:space="preserve">tragikomický </w:t>
      </w:r>
      <w:r w:rsidR="006D1B82" w:rsidRPr="00273106">
        <w:t>výsledek jejich snažení změnil dějiny Západu.</w:t>
      </w:r>
    </w:p>
    <w:p w14:paraId="4C413998" w14:textId="65D3049C" w:rsidR="00221596" w:rsidRPr="00273106" w:rsidRDefault="00C51568" w:rsidP="086C1F19">
      <w:pPr>
        <w:pStyle w:val="Nadpis3"/>
      </w:pPr>
      <w:bookmarkStart w:id="85" w:name="_Toc487234309"/>
      <w:bookmarkStart w:id="86" w:name="_Toc12558316"/>
      <w:r>
        <w:rPr>
          <w:lang w:val="cs-CZ"/>
        </w:rPr>
        <w:br w:type="page"/>
      </w:r>
      <w:bookmarkStart w:id="87" w:name="_Toc160449328"/>
      <w:r w:rsidR="08D20D28">
        <w:rPr>
          <w:lang w:val="cs-CZ"/>
        </w:rPr>
        <w:lastRenderedPageBreak/>
        <w:t>2</w:t>
      </w:r>
      <w:r w:rsidR="00B05E81" w:rsidRPr="00273106">
        <w:t xml:space="preserve">.4.3 </w:t>
      </w:r>
      <w:r w:rsidR="00CC1C4E" w:rsidRPr="00273106">
        <w:t>Albert</w:t>
      </w:r>
      <w:r w:rsidR="00794EEF">
        <w:rPr>
          <w:lang w:val="cs-CZ"/>
        </w:rPr>
        <w:t xml:space="preserve"> a modernisté</w:t>
      </w:r>
      <w:bookmarkEnd w:id="85"/>
      <w:bookmarkEnd w:id="86"/>
      <w:bookmarkEnd w:id="87"/>
    </w:p>
    <w:p w14:paraId="7D4B51DC" w14:textId="7EA35EBF" w:rsidR="00221596" w:rsidRPr="00273106" w:rsidRDefault="00311647" w:rsidP="00221596">
      <w:r w:rsidRPr="00273106">
        <w:t>S</w:t>
      </w:r>
      <w:r w:rsidR="00221596" w:rsidRPr="00273106">
        <w:t xml:space="preserve">por ohledně </w:t>
      </w:r>
      <w:r w:rsidR="00221596" w:rsidRPr="00273106">
        <w:rPr>
          <w:i/>
        </w:rPr>
        <w:t>intellectus possibilis</w:t>
      </w:r>
      <w:r w:rsidR="008B4FBA" w:rsidRPr="00273106">
        <w:t xml:space="preserve"> </w:t>
      </w:r>
      <w:r w:rsidR="08B655D0">
        <w:t xml:space="preserve">ve spise </w:t>
      </w:r>
      <w:r w:rsidR="08B655D0" w:rsidRPr="08B655D0">
        <w:rPr>
          <w:i/>
        </w:rPr>
        <w:t>De homine</w:t>
      </w:r>
      <w:r w:rsidR="08B655D0">
        <w:t xml:space="preserve"> </w:t>
      </w:r>
      <w:r w:rsidR="008B4FBA" w:rsidRPr="00273106">
        <w:t>měl</w:t>
      </w:r>
      <w:r w:rsidR="00221596" w:rsidRPr="00273106">
        <w:t xml:space="preserve"> filosofický charakter limitovaný na úzký okruh </w:t>
      </w:r>
      <w:r w:rsidR="003D57E1" w:rsidRPr="00273106">
        <w:t xml:space="preserve">latinských </w:t>
      </w:r>
      <w:r w:rsidR="00221596" w:rsidRPr="00273106">
        <w:t xml:space="preserve">vykladačů Aristotela. Albert </w:t>
      </w:r>
      <w:r w:rsidR="08B655D0">
        <w:t xml:space="preserve">ale </w:t>
      </w:r>
      <w:r w:rsidR="00E00C40">
        <w:t xml:space="preserve">po vydání </w:t>
      </w:r>
      <w:r w:rsidR="00E00C40" w:rsidRPr="00E00C40">
        <w:rPr>
          <w:i/>
        </w:rPr>
        <w:t>De homine</w:t>
      </w:r>
      <w:r w:rsidR="00E00C40">
        <w:t xml:space="preserve"> přešel na kritickou </w:t>
      </w:r>
      <w:r w:rsidR="087F6B36">
        <w:t xml:space="preserve">pozici Alvernova teologického komentáře </w:t>
      </w:r>
      <w:r w:rsidR="00B713C5">
        <w:rPr>
          <w:i/>
        </w:rPr>
        <w:t>De anima</w:t>
      </w:r>
      <w:r w:rsidR="00221596" w:rsidRPr="00273106">
        <w:t xml:space="preserve">, protože </w:t>
      </w:r>
      <w:r w:rsidR="00347B89">
        <w:t xml:space="preserve">si uvědomil devastující </w:t>
      </w:r>
      <w:r w:rsidR="00221596" w:rsidRPr="00273106">
        <w:t>důsledky modernis</w:t>
      </w:r>
      <w:r w:rsidR="004012F9" w:rsidRPr="00273106">
        <w:t>tického postoje</w:t>
      </w:r>
      <w:r w:rsidR="00347B89">
        <w:t xml:space="preserve"> pro křesťanskou teologii</w:t>
      </w:r>
      <w:r w:rsidR="006B087C">
        <w:fldChar w:fldCharType="begin"/>
      </w:r>
      <w:r w:rsidR="006B087C">
        <w:instrText xml:space="preserve"> XE "</w:instrText>
      </w:r>
      <w:r w:rsidR="006B087C" w:rsidRPr="00072DCC">
        <w:instrText>osoba:pluralita substancí</w:instrText>
      </w:r>
      <w:r w:rsidR="006B087C">
        <w:instrText xml:space="preserve">" </w:instrText>
      </w:r>
      <w:r w:rsidR="006B087C">
        <w:fldChar w:fldCharType="end"/>
      </w:r>
      <w:r w:rsidR="004012F9" w:rsidRPr="00273106">
        <w:t xml:space="preserve">. Spor </w:t>
      </w:r>
      <w:r w:rsidR="00E00C40">
        <w:t xml:space="preserve">s modernisty </w:t>
      </w:r>
      <w:r w:rsidR="004012F9" w:rsidRPr="00273106">
        <w:t>se týkal</w:t>
      </w:r>
      <w:r w:rsidR="00221596" w:rsidRPr="00273106">
        <w:t xml:space="preserve"> </w:t>
      </w:r>
      <w:r w:rsidR="00E00C40">
        <w:t xml:space="preserve">pojetí </w:t>
      </w:r>
      <w:r w:rsidR="00A159A2">
        <w:t xml:space="preserve">člověka </w:t>
      </w:r>
      <w:r w:rsidR="00221596" w:rsidRPr="00273106">
        <w:t xml:space="preserve">jako jedné </w:t>
      </w:r>
      <w:r w:rsidR="00DD7AD7" w:rsidRPr="00273106">
        <w:t>či více substancí</w:t>
      </w:r>
      <w:r w:rsidR="00B4281A" w:rsidRPr="00273106">
        <w:t>. V sázce stála</w:t>
      </w:r>
      <w:r w:rsidR="00221596" w:rsidRPr="00273106">
        <w:t xml:space="preserve"> </w:t>
      </w:r>
      <w:r w:rsidR="00C02702" w:rsidRPr="00273106">
        <w:t xml:space="preserve">filosofická </w:t>
      </w:r>
      <w:r w:rsidR="00221596" w:rsidRPr="00273106">
        <w:t>jednota osoby</w:t>
      </w:r>
      <w:r w:rsidR="00C02702" w:rsidRPr="00273106">
        <w:t xml:space="preserve"> a křesťanské určení člověka v rámci </w:t>
      </w:r>
      <w:r w:rsidR="00221596" w:rsidRPr="00273106">
        <w:t>teologie spásy</w:t>
      </w:r>
      <w:r w:rsidR="00B75AA6">
        <w:t xml:space="preserve">, které hájil </w:t>
      </w:r>
      <w:r w:rsidR="00E00C40">
        <w:t xml:space="preserve">biskup Alvernus </w:t>
      </w:r>
      <w:r w:rsidR="00EB46AB">
        <w:t>prot</w:t>
      </w:r>
      <w:r w:rsidR="08F6675F">
        <w:t>i latinským a italským sofistům</w:t>
      </w:r>
      <w:r w:rsidR="00221596" w:rsidRPr="00273106">
        <w:t xml:space="preserve">. </w:t>
      </w:r>
      <w:r w:rsidR="00934DA5">
        <w:t>Ce</w:t>
      </w:r>
      <w:r w:rsidR="003A4588">
        <w:t>sty obou vykladačů Averro</w:t>
      </w:r>
      <w:r w:rsidR="08105157">
        <w:t>e</w:t>
      </w:r>
      <w:r w:rsidR="003A4588">
        <w:t>se podle Sicil</w:t>
      </w:r>
      <w:r w:rsidR="00934DA5">
        <w:t>s</w:t>
      </w:r>
      <w:r w:rsidR="003A4588">
        <w:t xml:space="preserve">ké školy </w:t>
      </w:r>
      <w:r w:rsidR="00934DA5">
        <w:t xml:space="preserve">se </w:t>
      </w:r>
      <w:r w:rsidR="003A4588">
        <w:t>velmi podobají</w:t>
      </w:r>
      <w:r w:rsidR="00934DA5">
        <w:t xml:space="preserve">, protože </w:t>
      </w:r>
      <w:r w:rsidR="08F6675F">
        <w:t xml:space="preserve">jak Alvernus tak Albert </w:t>
      </w:r>
      <w:r w:rsidR="00934DA5">
        <w:t xml:space="preserve">musí bránit jednotu osoby podle CMDA. </w:t>
      </w:r>
      <w:r w:rsidR="00E56578">
        <w:t xml:space="preserve">Albertův </w:t>
      </w:r>
      <w:r w:rsidR="00221596" w:rsidRPr="00273106">
        <w:t xml:space="preserve">komentář k </w:t>
      </w:r>
      <w:r w:rsidR="00B713C5">
        <w:rPr>
          <w:i/>
        </w:rPr>
        <w:t>De anima</w:t>
      </w:r>
      <w:r w:rsidR="004C6E58" w:rsidRPr="00273106">
        <w:t xml:space="preserve"> obsahuje v ú</w:t>
      </w:r>
      <w:r w:rsidR="00221596" w:rsidRPr="00273106">
        <w:t xml:space="preserve">vodu </w:t>
      </w:r>
      <w:r w:rsidR="00CA53CD" w:rsidRPr="00273106">
        <w:t xml:space="preserve">programové </w:t>
      </w:r>
      <w:r w:rsidR="00221596" w:rsidRPr="00273106">
        <w:t xml:space="preserve">prohlášení </w:t>
      </w:r>
      <w:r w:rsidR="0082104A">
        <w:t xml:space="preserve">tohoto </w:t>
      </w:r>
      <w:r w:rsidR="00221596" w:rsidRPr="00273106">
        <w:t>střízlivého a zdrženlivého myslitele. Albert načrtává celoživotní program komentářů aristotelského Korpusu a zároveň vysvětluje, proč toto epochální dílo dělá.</w:t>
      </w:r>
    </w:p>
    <w:p w14:paraId="4D90565D" w14:textId="61748E60" w:rsidR="004A390B" w:rsidRPr="00273106" w:rsidRDefault="00465BEC" w:rsidP="00CF5A2D">
      <w:pPr>
        <w:pStyle w:val="Citace"/>
        <w:rPr>
          <w:noProof/>
          <w:lang w:val="cs-CZ"/>
        </w:rPr>
      </w:pPr>
      <w:r>
        <w:rPr>
          <w:noProof/>
          <w:lang w:val="cs-CZ"/>
        </w:rPr>
        <w:t>„N</w:t>
      </w:r>
      <w:r w:rsidR="00CF5A2D" w:rsidRPr="00273106">
        <w:rPr>
          <w:noProof/>
          <w:lang w:val="cs-CZ"/>
        </w:rPr>
        <w:t>ejprve chci vysvětlit</w:t>
      </w:r>
      <w:r w:rsidR="004A390B" w:rsidRPr="00273106">
        <w:rPr>
          <w:noProof/>
          <w:lang w:val="cs-CZ"/>
        </w:rPr>
        <w:t xml:space="preserve"> Ari</w:t>
      </w:r>
      <w:r w:rsidR="00F104FD" w:rsidRPr="00273106">
        <w:rPr>
          <w:noProof/>
          <w:lang w:val="cs-CZ"/>
        </w:rPr>
        <w:t>sto</w:t>
      </w:r>
      <w:r w:rsidR="00C26091">
        <w:rPr>
          <w:noProof/>
          <w:lang w:val="cs-CZ"/>
        </w:rPr>
        <w:t xml:space="preserve">telovu vědu </w:t>
      </w:r>
      <w:r w:rsidR="004A390B" w:rsidRPr="00273106">
        <w:rPr>
          <w:noProof/>
          <w:lang w:val="cs-CZ"/>
        </w:rPr>
        <w:t xml:space="preserve">podle </w:t>
      </w:r>
      <w:r w:rsidR="00C26091">
        <w:rPr>
          <w:noProof/>
          <w:lang w:val="cs-CZ"/>
        </w:rPr>
        <w:t>mých znalostí</w:t>
      </w:r>
      <w:r w:rsidR="00CF5A2D" w:rsidRPr="00273106">
        <w:rPr>
          <w:noProof/>
          <w:lang w:val="cs-CZ"/>
        </w:rPr>
        <w:t>,</w:t>
      </w:r>
      <w:r w:rsidR="004A390B" w:rsidRPr="00273106">
        <w:rPr>
          <w:noProof/>
          <w:lang w:val="cs-CZ"/>
        </w:rPr>
        <w:t xml:space="preserve"> pak uvést názory ostatních Per</w:t>
      </w:r>
      <w:r w:rsidR="00CF5A2D" w:rsidRPr="00273106">
        <w:rPr>
          <w:noProof/>
          <w:lang w:val="cs-CZ"/>
        </w:rPr>
        <w:t xml:space="preserve">ipatetiků, dále </w:t>
      </w:r>
      <w:r w:rsidR="008E02F5">
        <w:rPr>
          <w:noProof/>
          <w:lang w:val="cs-CZ"/>
        </w:rPr>
        <w:t>Platon</w:t>
      </w:r>
      <w:r w:rsidR="00CF5A2D" w:rsidRPr="00273106">
        <w:rPr>
          <w:noProof/>
          <w:lang w:val="cs-CZ"/>
        </w:rPr>
        <w:t>ovo pojetí</w:t>
      </w:r>
      <w:r w:rsidR="004A390B" w:rsidRPr="00273106">
        <w:rPr>
          <w:noProof/>
          <w:lang w:val="cs-CZ"/>
        </w:rPr>
        <w:t xml:space="preserve">, a </w:t>
      </w:r>
      <w:r w:rsidR="00CF5A2D" w:rsidRPr="00273106">
        <w:rPr>
          <w:noProof/>
          <w:lang w:val="cs-CZ"/>
        </w:rPr>
        <w:t>nakonec podám</w:t>
      </w:r>
      <w:r w:rsidR="004A390B" w:rsidRPr="00273106">
        <w:rPr>
          <w:noProof/>
          <w:lang w:val="cs-CZ"/>
        </w:rPr>
        <w:t xml:space="preserve"> vlastní názor. Při posuzování těchto otázek zásadně odmítáme teze</w:t>
      </w:r>
      <w:r w:rsidR="00A15A2D">
        <w:rPr>
          <w:noProof/>
          <w:lang w:val="cs-CZ"/>
        </w:rPr>
        <w:t xml:space="preserve"> učených Latiníků</w:t>
      </w:r>
      <w:r w:rsidR="004A390B" w:rsidRPr="00273106">
        <w:rPr>
          <w:noProof/>
          <w:lang w:val="cs-CZ"/>
        </w:rPr>
        <w:t xml:space="preserve"> (</w:t>
      </w:r>
      <w:r w:rsidR="004A390B" w:rsidRPr="00273106">
        <w:rPr>
          <w:i/>
          <w:noProof/>
          <w:lang w:val="cs-CZ"/>
        </w:rPr>
        <w:t>omnino abhorremus Doctorum Latinorum verba</w:t>
      </w:r>
      <w:r w:rsidR="004A390B" w:rsidRPr="00273106">
        <w:rPr>
          <w:noProof/>
          <w:lang w:val="cs-CZ"/>
        </w:rPr>
        <w:t xml:space="preserve">). </w:t>
      </w:r>
      <w:r w:rsidR="00497143">
        <w:rPr>
          <w:noProof/>
          <w:lang w:val="cs-CZ"/>
        </w:rPr>
        <w:t>P</w:t>
      </w:r>
      <w:r w:rsidR="004A390B" w:rsidRPr="00273106">
        <w:rPr>
          <w:noProof/>
          <w:lang w:val="cs-CZ"/>
        </w:rPr>
        <w:t>odle našeh</w:t>
      </w:r>
      <w:r w:rsidR="00CF5A2D" w:rsidRPr="00273106">
        <w:rPr>
          <w:noProof/>
          <w:lang w:val="cs-CZ"/>
        </w:rPr>
        <w:t xml:space="preserve">o soudu </w:t>
      </w:r>
      <w:r w:rsidR="00497143">
        <w:rPr>
          <w:noProof/>
          <w:lang w:val="cs-CZ"/>
        </w:rPr>
        <w:t>v</w:t>
      </w:r>
      <w:r w:rsidR="00497143" w:rsidRPr="00273106">
        <w:rPr>
          <w:noProof/>
          <w:lang w:val="cs-CZ"/>
        </w:rPr>
        <w:t xml:space="preserve"> nich </w:t>
      </w:r>
      <w:r w:rsidR="00CF5A2D" w:rsidRPr="00273106">
        <w:rPr>
          <w:noProof/>
          <w:lang w:val="cs-CZ"/>
        </w:rPr>
        <w:t xml:space="preserve">nelze najít pevné jádro. Proto nepodávají ani pravdu vědy, ani nesahají po správných slovech.“ </w:t>
      </w:r>
      <w:r w:rsidR="004A390B" w:rsidRPr="00273106">
        <w:rPr>
          <w:rStyle w:val="Znakapoznpodarou"/>
          <w:noProof/>
          <w:lang w:val="cs-CZ"/>
        </w:rPr>
        <w:footnoteReference w:id="251"/>
      </w:r>
      <w:r w:rsidR="00221596" w:rsidRPr="00273106">
        <w:rPr>
          <w:noProof/>
          <w:lang w:val="cs-CZ"/>
        </w:rPr>
        <w:t xml:space="preserve"> </w:t>
      </w:r>
    </w:p>
    <w:p w14:paraId="354E07ED" w14:textId="19C51BB0" w:rsidR="005C52D5" w:rsidRPr="00273106" w:rsidRDefault="004051BB" w:rsidP="005C52D5">
      <w:r>
        <w:t>Kritika</w:t>
      </w:r>
      <w:r w:rsidR="008C0637" w:rsidRPr="00273106">
        <w:t xml:space="preserve"> </w:t>
      </w:r>
      <w:r w:rsidR="00174003" w:rsidRPr="00273106">
        <w:t>od</w:t>
      </w:r>
      <w:r w:rsidR="00221596" w:rsidRPr="00273106">
        <w:t xml:space="preserve">suzuje </w:t>
      </w:r>
      <w:r w:rsidR="00174003" w:rsidRPr="00273106">
        <w:t xml:space="preserve">jménem školy prvního averroismu </w:t>
      </w:r>
      <w:r w:rsidR="00221596" w:rsidRPr="00273106">
        <w:t>sk</w:t>
      </w:r>
      <w:r w:rsidR="00174003" w:rsidRPr="00273106">
        <w:t xml:space="preserve">upinu Albertových současníků, jejichž </w:t>
      </w:r>
      <w:r w:rsidR="00221596" w:rsidRPr="00273106">
        <w:t xml:space="preserve">pojetí pravdy nemá vědecký charakter </w:t>
      </w:r>
      <w:r w:rsidR="00174003" w:rsidRPr="00273106">
        <w:t>(</w:t>
      </w:r>
      <w:r w:rsidR="00174003" w:rsidRPr="00273106">
        <w:rPr>
          <w:i/>
        </w:rPr>
        <w:t>scientiam veritatis nec ostendunt</w:t>
      </w:r>
      <w:r w:rsidR="00174003" w:rsidRPr="00273106">
        <w:t>)</w:t>
      </w:r>
      <w:r w:rsidR="00026967" w:rsidRPr="00273106">
        <w:t>. J</w:t>
      </w:r>
      <w:r w:rsidR="00221596" w:rsidRPr="00273106">
        <w:t>ejich</w:t>
      </w:r>
      <w:r w:rsidR="003F4751" w:rsidRPr="00273106">
        <w:t xml:space="preserve"> verbalismus nevytváří </w:t>
      </w:r>
      <w:r w:rsidR="009F530C" w:rsidRPr="00273106">
        <w:t xml:space="preserve">kategoriální predikaci </w:t>
      </w:r>
      <w:r w:rsidR="00630345" w:rsidRPr="00273106">
        <w:t xml:space="preserve">sahající ke kauzalitě reálné </w:t>
      </w:r>
      <w:r w:rsidR="008C0637" w:rsidRPr="00273106">
        <w:t>věci</w:t>
      </w:r>
      <w:r w:rsidR="00221596" w:rsidRPr="00273106">
        <w:t xml:space="preserve"> (</w:t>
      </w:r>
      <w:r w:rsidR="00221596" w:rsidRPr="00273106">
        <w:rPr>
          <w:i/>
        </w:rPr>
        <w:t>nec verbis propriis attingunt</w:t>
      </w:r>
      <w:r w:rsidR="00221596" w:rsidRPr="00273106">
        <w:t xml:space="preserve">). Citát </w:t>
      </w:r>
      <w:r w:rsidR="084448AE">
        <w:t>dokládá růst</w:t>
      </w:r>
      <w:r w:rsidR="00C376D6" w:rsidRPr="00273106">
        <w:t xml:space="preserve"> </w:t>
      </w:r>
      <w:r w:rsidR="084448AE">
        <w:t xml:space="preserve">vlivu </w:t>
      </w:r>
      <w:r w:rsidR="00C376D6" w:rsidRPr="00273106">
        <w:t>druhého averroismu po smrti biskupa Alverna</w:t>
      </w:r>
      <w:r w:rsidR="00221596" w:rsidRPr="00273106">
        <w:t xml:space="preserve">. </w:t>
      </w:r>
      <w:r w:rsidR="084448AE">
        <w:t>N</w:t>
      </w:r>
      <w:r w:rsidR="0089658F" w:rsidRPr="00273106">
        <w:t xml:space="preserve">a Oxfordu byl tento směr spolehlivě etablován už od </w:t>
      </w:r>
      <w:r w:rsidR="0843549B">
        <w:t xml:space="preserve">roku </w:t>
      </w:r>
      <w:r w:rsidR="0089658F" w:rsidRPr="00273106">
        <w:t>1240.</w:t>
      </w:r>
      <w:r w:rsidR="003147A4" w:rsidRPr="00273106">
        <w:t xml:space="preserve"> </w:t>
      </w:r>
      <w:r w:rsidR="001E7887" w:rsidRPr="00273106">
        <w:t xml:space="preserve">Skupina </w:t>
      </w:r>
      <w:r w:rsidR="002B0EFB" w:rsidRPr="00273106">
        <w:rPr>
          <w:i/>
        </w:rPr>
        <w:t>Latin</w:t>
      </w:r>
      <w:r w:rsidR="008D2424">
        <w:rPr>
          <w:i/>
        </w:rPr>
        <w:t>i</w:t>
      </w:r>
      <w:r w:rsidR="002B0EFB" w:rsidRPr="00273106">
        <w:t xml:space="preserve"> </w:t>
      </w:r>
      <w:r w:rsidR="008C0637" w:rsidRPr="00273106">
        <w:t xml:space="preserve">inspirovaná porretány a </w:t>
      </w:r>
      <w:r w:rsidR="008C0637" w:rsidRPr="00273106">
        <w:rPr>
          <w:i/>
        </w:rPr>
        <w:t>Nominales</w:t>
      </w:r>
      <w:r w:rsidR="008C0637" w:rsidRPr="00273106">
        <w:t xml:space="preserve"> </w:t>
      </w:r>
      <w:r w:rsidR="002B0EFB" w:rsidRPr="00273106">
        <w:t xml:space="preserve">vzala </w:t>
      </w:r>
      <w:r w:rsidR="00126607" w:rsidRPr="00273106">
        <w:t>z Avicebronova</w:t>
      </w:r>
      <w:r w:rsidR="004C27BA">
        <w:fldChar w:fldCharType="begin"/>
      </w:r>
      <w:r w:rsidR="004C27BA">
        <w:instrText xml:space="preserve"> XE "</w:instrText>
      </w:r>
      <w:r w:rsidR="004C27BA" w:rsidRPr="00E1327E">
        <w:instrText>Avicebron</w:instrText>
      </w:r>
      <w:r w:rsidR="004C27BA">
        <w:instrText xml:space="preserve">" </w:instrText>
      </w:r>
      <w:r w:rsidR="004C27BA">
        <w:fldChar w:fldCharType="end"/>
      </w:r>
      <w:r w:rsidR="00126607" w:rsidRPr="00273106">
        <w:t xml:space="preserve"> díla </w:t>
      </w:r>
      <w:r w:rsidR="00126607" w:rsidRPr="00273106">
        <w:rPr>
          <w:i/>
        </w:rPr>
        <w:t>Fons vitae</w:t>
      </w:r>
      <w:r w:rsidR="00126607" w:rsidRPr="00273106">
        <w:t xml:space="preserve"> koncept zvaný</w:t>
      </w:r>
      <w:r w:rsidR="009764A0">
        <w:t xml:space="preserve"> </w:t>
      </w:r>
      <w:r w:rsidR="002B0EFB"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2B0EFB" w:rsidRPr="00273106">
        <w:t xml:space="preserve"> </w:t>
      </w:r>
      <w:r w:rsidR="080F6AF7">
        <w:t>(kap. 3</w:t>
      </w:r>
      <w:r w:rsidR="00126607" w:rsidRPr="00273106">
        <w:t xml:space="preserve">.2). Tento koncept </w:t>
      </w:r>
      <w:r w:rsidR="084F06B4">
        <w:t xml:space="preserve">začal fungovat jako moderní substance v systému klasifikace podle </w:t>
      </w:r>
      <w:r w:rsidR="084F06B4" w:rsidRPr="084F06B4">
        <w:rPr>
          <w:i/>
        </w:rPr>
        <w:t>Arbor Porphyriana</w:t>
      </w:r>
      <w:r w:rsidR="084F06B4">
        <w:t>.</w:t>
      </w:r>
      <w:r w:rsidR="082C046A">
        <w:t xml:space="preserve"> Na konci třídění </w:t>
      </w:r>
      <w:r w:rsidR="002D4E7A">
        <w:t xml:space="preserve">stojí moderní individuum </w:t>
      </w:r>
      <w:r w:rsidR="00FF4856">
        <w:t xml:space="preserve">vybavené </w:t>
      </w:r>
      <w:r w:rsidR="084A4A9A">
        <w:t xml:space="preserve">spirituální materií. Spojením individua jako formy a spirituální materie vznikla nová hylemorfická substance třetího druhu. </w:t>
      </w:r>
      <w:r w:rsidR="082756A0">
        <w:rPr>
          <w:rStyle w:val="FontStyle157"/>
          <w:rFonts w:ascii="Calibri" w:hAnsi="Calibri"/>
          <w:sz w:val="24"/>
        </w:rPr>
        <w:t xml:space="preserve">Tento abstraktní pojem funguje </w:t>
      </w:r>
      <w:r w:rsidR="082756A0">
        <w:rPr>
          <w:rStyle w:val="FontStyle157"/>
          <w:rFonts w:ascii="Calibri" w:hAnsi="Calibri"/>
          <w:sz w:val="24"/>
        </w:rPr>
        <w:lastRenderedPageBreak/>
        <w:t>v kategoriální predikaci modernistů jako univoční predikát a determinuje</w:t>
      </w:r>
      <w:r w:rsidR="082756A0" w:rsidRPr="00273106">
        <w:rPr>
          <w:rStyle w:val="FontStyle157"/>
          <w:rFonts w:ascii="Calibri" w:hAnsi="Calibri"/>
          <w:sz w:val="24"/>
        </w:rPr>
        <w:t xml:space="preserve"> dělení v rámci </w:t>
      </w:r>
      <w:r w:rsidR="002E30FF" w:rsidRPr="002E30FF">
        <w:rPr>
          <w:rStyle w:val="FontStyle157"/>
          <w:rFonts w:ascii="Calibri" w:hAnsi="Calibri"/>
          <w:sz w:val="24"/>
        </w:rPr>
        <w:t>species</w:t>
      </w:r>
      <w:r w:rsidR="082756A0" w:rsidRPr="00273106">
        <w:rPr>
          <w:rStyle w:val="FontStyle157"/>
          <w:rFonts w:ascii="Calibri" w:hAnsi="Calibri"/>
          <w:sz w:val="24"/>
        </w:rPr>
        <w:t xml:space="preserve">. </w:t>
      </w:r>
      <w:r w:rsidR="081445FE">
        <w:t xml:space="preserve">Rufusův termín </w:t>
      </w:r>
      <w:r w:rsidR="004B4D52" w:rsidRPr="004B4D52">
        <w:t>species</w:t>
      </w:r>
      <w:r w:rsidR="002B0EFB" w:rsidRPr="00273106">
        <w:rPr>
          <w:i/>
        </w:rPr>
        <w:t xml:space="preserve"> obiecti exsistentis</w:t>
      </w:r>
      <w:r w:rsidR="083D2FED">
        <w:t xml:space="preserve"> </w:t>
      </w:r>
      <w:r w:rsidR="083D2FED" w:rsidRPr="00273106">
        <w:t>(k</w:t>
      </w:r>
      <w:r w:rsidR="085E38D0">
        <w:t>ap. 3</w:t>
      </w:r>
      <w:r w:rsidR="083D2FED" w:rsidRPr="00273106">
        <w:t>.3.4)</w:t>
      </w:r>
      <w:r w:rsidR="0091768A">
        <w:rPr>
          <w:i/>
        </w:rPr>
        <w:fldChar w:fldCharType="begin"/>
      </w:r>
      <w:r w:rsidR="0091768A">
        <w:instrText xml:space="preserve"> XE "</w:instrText>
      </w:r>
      <w:r w:rsidR="0091768A" w:rsidRPr="00C05196">
        <w:rPr>
          <w:i/>
        </w:rPr>
        <w:instrText>species</w:instrText>
      </w:r>
      <w:r w:rsidR="0091768A" w:rsidRPr="00C05196">
        <w:instrText xml:space="preserve"> </w:instrText>
      </w:r>
      <w:r w:rsidR="0091768A" w:rsidRPr="00C05196">
        <w:rPr>
          <w:i/>
        </w:rPr>
        <w:instrText>obiecti exsistentis</w:instrText>
      </w:r>
      <w:r w:rsidR="0091768A">
        <w:instrText xml:space="preserve">" </w:instrText>
      </w:r>
      <w:r w:rsidR="0091768A">
        <w:rPr>
          <w:i/>
        </w:rPr>
        <w:fldChar w:fldCharType="end"/>
      </w:r>
      <w:r w:rsidR="002B0EFB" w:rsidRPr="00273106">
        <w:t xml:space="preserve"> </w:t>
      </w:r>
      <w:r w:rsidR="08877D92">
        <w:t>vzniklý v Pař</w:t>
      </w:r>
      <w:r w:rsidR="083D74B7">
        <w:t xml:space="preserve">íži někdy roku 1245 </w:t>
      </w:r>
      <w:r w:rsidR="001E7887" w:rsidRPr="00273106">
        <w:t xml:space="preserve">označuje </w:t>
      </w:r>
      <w:r w:rsidR="0843549B">
        <w:t xml:space="preserve">objektivně </w:t>
      </w:r>
      <w:r w:rsidR="002B0EFB" w:rsidRPr="00273106">
        <w:t xml:space="preserve">utvořenou hylemorfickou substanci, </w:t>
      </w:r>
      <w:r w:rsidR="001E7887" w:rsidRPr="00273106">
        <w:t xml:space="preserve">na kterou </w:t>
      </w:r>
      <w:r w:rsidR="0068358E" w:rsidRPr="00273106">
        <w:t xml:space="preserve">navázalo </w:t>
      </w:r>
      <w:r w:rsidR="00901C52" w:rsidRPr="00273106">
        <w:t xml:space="preserve">v další dekádě </w:t>
      </w:r>
      <w:r w:rsidR="002B0EFB" w:rsidRPr="00273106">
        <w:t xml:space="preserve">podobné pojetí Grossetesteho školy </w:t>
      </w:r>
      <w:r w:rsidR="083D74B7">
        <w:t xml:space="preserve">v Oxfordu </w:t>
      </w:r>
      <w:r w:rsidR="085E38D0">
        <w:t>(kap. 3</w:t>
      </w:r>
      <w:r w:rsidR="002B0EFB" w:rsidRPr="00273106">
        <w:t>.1</w:t>
      </w:r>
      <w:r w:rsidR="001E475F" w:rsidRPr="00273106">
        <w:t>.3</w:t>
      </w:r>
      <w:r w:rsidR="002B0EFB" w:rsidRPr="00273106">
        <w:t xml:space="preserve">). </w:t>
      </w:r>
      <w:r w:rsidR="08EE4031">
        <w:t>M</w:t>
      </w:r>
      <w:r w:rsidR="00763544" w:rsidRPr="00273106">
        <w:t xml:space="preserve">odernisté použili Avicebronovu </w:t>
      </w:r>
      <w:r w:rsidR="00763544" w:rsidRPr="00273106">
        <w:rPr>
          <w:i/>
        </w:rPr>
        <w:t>materia prima</w:t>
      </w:r>
      <w:r w:rsidR="00763544" w:rsidRPr="00273106">
        <w:t xml:space="preserve"> </w:t>
      </w:r>
      <w:r w:rsidR="00BA23A6" w:rsidRPr="00273106">
        <w:t xml:space="preserve">rovněž </w:t>
      </w:r>
      <w:r w:rsidR="00763544" w:rsidRPr="00273106">
        <w:t xml:space="preserve">ke konstrukci nové verze </w:t>
      </w:r>
      <w:r w:rsidR="00763544" w:rsidRPr="00273106">
        <w:rPr>
          <w:i/>
        </w:rPr>
        <w:t>intellectus possibilis</w:t>
      </w:r>
      <w:r w:rsidR="00763544" w:rsidRPr="00273106">
        <w:t xml:space="preserve">. </w:t>
      </w:r>
      <w:r w:rsidR="00221596" w:rsidRPr="00273106">
        <w:t xml:space="preserve">Látka ve formě </w:t>
      </w:r>
      <w:r w:rsidR="00874074">
        <w:t>neoplatonsk</w:t>
      </w:r>
      <w:r w:rsidR="00221596" w:rsidRPr="00273106">
        <w:t xml:space="preserve">é </w:t>
      </w:r>
      <w:r w:rsidR="00221596" w:rsidRPr="00273106">
        <w:rPr>
          <w:i/>
        </w:rPr>
        <w:t>materia prima</w:t>
      </w:r>
      <w:r w:rsidR="00221596" w:rsidRPr="00273106">
        <w:t xml:space="preserve"> </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221596" w:rsidRPr="00273106">
        <w:t xml:space="preserve">nebo </w:t>
      </w:r>
      <w:r w:rsidR="00221596" w:rsidRPr="00273106">
        <w:rPr>
          <w:i/>
        </w:rPr>
        <w:t>materia spiritualis</w:t>
      </w:r>
      <w:r w:rsidR="00842CF7">
        <w:rPr>
          <w:i/>
        </w:rPr>
        <w:fldChar w:fldCharType="begin"/>
      </w:r>
      <w:r w:rsidR="00842CF7">
        <w:instrText xml:space="preserve"> XE "</w:instrText>
      </w:r>
      <w:r w:rsidR="00212D0A" w:rsidRPr="08A516BF">
        <w:instrText>materie</w:instrText>
      </w:r>
      <w:r w:rsidR="00766DC4">
        <w:rPr>
          <w:i/>
        </w:rPr>
        <w:instrText>:</w:instrText>
      </w:r>
      <w:r w:rsidR="08A516BF">
        <w:rPr>
          <w:i/>
        </w:rPr>
        <w:instrText xml:space="preserve">materia </w:instrText>
      </w:r>
      <w:r w:rsidR="00842CF7" w:rsidRPr="00612581">
        <w:rPr>
          <w:i/>
        </w:rPr>
        <w:instrText>spiritualis</w:instrText>
      </w:r>
      <w:r w:rsidR="00842CF7">
        <w:instrText xml:space="preserve">" </w:instrText>
      </w:r>
      <w:r w:rsidR="00842CF7">
        <w:rPr>
          <w:i/>
        </w:rPr>
        <w:fldChar w:fldCharType="end"/>
      </w:r>
      <w:r w:rsidR="00221596" w:rsidRPr="00273106">
        <w:t xml:space="preserve"> začíná fungovat jako nejvyšší </w:t>
      </w:r>
      <w:r w:rsidR="08D66012">
        <w:t xml:space="preserve">rod </w:t>
      </w:r>
      <w:r w:rsidR="00221596" w:rsidRPr="00273106">
        <w:t xml:space="preserve">pro materii </w:t>
      </w:r>
      <w:r w:rsidR="00763544" w:rsidRPr="00273106">
        <w:t xml:space="preserve">i </w:t>
      </w:r>
      <w:r w:rsidR="00221596" w:rsidRPr="00273106">
        <w:t xml:space="preserve">na úrovni intelektu. </w:t>
      </w:r>
      <w:r w:rsidR="003147A4" w:rsidRPr="00273106">
        <w:t xml:space="preserve">A </w:t>
      </w:r>
      <w:r w:rsidR="00221596" w:rsidRPr="00273106">
        <w:t xml:space="preserve">díky pasivní povaze </w:t>
      </w:r>
      <w:r w:rsidR="00221596" w:rsidRPr="00273106">
        <w:rPr>
          <w:i/>
        </w:rPr>
        <w:t>materia prima</w:t>
      </w:r>
      <w:r w:rsidR="08752AA6">
        <w:rPr>
          <w:i/>
        </w:rPr>
        <w:t xml:space="preserve"> </w:t>
      </w:r>
      <w:r w:rsidR="0065508B" w:rsidRPr="00273106">
        <w:t xml:space="preserve">má </w:t>
      </w:r>
      <w:r w:rsidR="0016688E" w:rsidRPr="00273106">
        <w:t xml:space="preserve">toto simulákrum </w:t>
      </w:r>
      <w:r w:rsidR="0036000D">
        <w:t>dané jako atomární substance</w:t>
      </w:r>
      <w:r w:rsidR="00A70FA4">
        <w:fldChar w:fldCharType="begin"/>
      </w:r>
      <w:r w:rsidR="00A70FA4">
        <w:instrText xml:space="preserve"> XE "</w:instrText>
      </w:r>
      <w:r w:rsidR="00A70FA4" w:rsidRPr="00DE2A32">
        <w:instrText>substance</w:instrText>
      </w:r>
      <w:r w:rsidR="008B07CF">
        <w:instrText>:třetího druhu</w:instrText>
      </w:r>
      <w:r w:rsidR="00A70FA4">
        <w:instrText xml:space="preserve">" </w:instrText>
      </w:r>
      <w:r w:rsidR="00A70FA4">
        <w:fldChar w:fldCharType="end"/>
      </w:r>
      <w:r w:rsidR="0036000D">
        <w:t xml:space="preserve"> také </w:t>
      </w:r>
      <w:r w:rsidR="00221596" w:rsidRPr="00273106">
        <w:t>schopnost neomezené recepce</w:t>
      </w:r>
      <w:r w:rsidR="0016688E" w:rsidRPr="00273106">
        <w:t xml:space="preserve">, </w:t>
      </w:r>
      <w:r w:rsidR="00FD39F6" w:rsidRPr="00273106">
        <w:t xml:space="preserve">čímž splňuje </w:t>
      </w:r>
      <w:r w:rsidR="003147A4" w:rsidRPr="00273106">
        <w:t>požadav</w:t>
      </w:r>
      <w:r w:rsidR="00FD39F6" w:rsidRPr="00273106">
        <w:t>ek</w:t>
      </w:r>
      <w:r w:rsidR="003147A4" w:rsidRPr="00273106">
        <w:t xml:space="preserve"> </w:t>
      </w:r>
      <w:r w:rsidR="00B713C5">
        <w:rPr>
          <w:i/>
        </w:rPr>
        <w:t>De anima</w:t>
      </w:r>
      <w:r w:rsidR="003147A4" w:rsidRPr="00273106">
        <w:t xml:space="preserve"> na neomezenou receptivitu intelektu</w:t>
      </w:r>
      <w:r w:rsidR="00221596" w:rsidRPr="00273106">
        <w:t xml:space="preserve">. </w:t>
      </w:r>
      <w:r w:rsidR="082756A0" w:rsidRPr="00273106">
        <w:t xml:space="preserve">Díky materializované pseudo-formě se stal </w:t>
      </w:r>
      <w:r w:rsidR="082756A0" w:rsidRPr="00273106">
        <w:rPr>
          <w:i/>
        </w:rPr>
        <w:t>intellectus possibilis</w:t>
      </w:r>
      <w:r w:rsidR="082756A0">
        <w:t xml:space="preserve"> kvazi-substancí, která dostala numerickou individuaci podle materie třetího druhu. </w:t>
      </w:r>
      <w:r w:rsidR="00E96FED">
        <w:t xml:space="preserve">Touto tranformací modernisté zachránili </w:t>
      </w:r>
      <w:r w:rsidR="00E96FED" w:rsidRPr="00CA4217">
        <w:rPr>
          <w:i/>
        </w:rPr>
        <w:t>intellectus materialis</w:t>
      </w:r>
      <w:r w:rsidR="00E96FED">
        <w:t xml:space="preserve"> podle CMDA jako plně receptivní a plně nemateriální. </w:t>
      </w:r>
      <w:r w:rsidR="08032395" w:rsidRPr="00273106">
        <w:rPr>
          <w:rStyle w:val="FontStyle157"/>
          <w:rFonts w:ascii="Calibri" w:hAnsi="Calibri"/>
          <w:sz w:val="24"/>
        </w:rPr>
        <w:t xml:space="preserve">Tak </w:t>
      </w:r>
      <w:r w:rsidR="08032395" w:rsidRPr="00273106">
        <w:t>vznikl</w:t>
      </w:r>
      <w:r w:rsidR="082616A7">
        <w:t>o</w:t>
      </w:r>
      <w:r w:rsidR="08032395" w:rsidRPr="00273106">
        <w:t xml:space="preserve"> v prostředí </w:t>
      </w:r>
      <w:r w:rsidR="082616A7">
        <w:t xml:space="preserve">začínající moderny sofistické simulákrum Averroesova </w:t>
      </w:r>
      <w:r w:rsidR="08032395" w:rsidRPr="00273106">
        <w:rPr>
          <w:i/>
        </w:rPr>
        <w:t>intellectus materialis</w:t>
      </w:r>
      <w:r w:rsidR="08032395">
        <w:rPr>
          <w:i/>
        </w:rPr>
        <w:fldChar w:fldCharType="begin"/>
      </w:r>
      <w:r w:rsidR="08032395">
        <w:instrText xml:space="preserve"> XE "</w:instrText>
      </w:r>
      <w:r w:rsidR="08032395" w:rsidRPr="00BE489A">
        <w:rPr>
          <w:i/>
        </w:rPr>
        <w:instrText>intellectus materialis:</w:instrText>
      </w:r>
      <w:r w:rsidR="08032395" w:rsidRPr="00BE489A">
        <w:instrText>Avicenna</w:instrText>
      </w:r>
      <w:r w:rsidR="08032395">
        <w:instrText xml:space="preserve">" </w:instrText>
      </w:r>
      <w:r w:rsidR="08032395">
        <w:rPr>
          <w:i/>
        </w:rPr>
        <w:fldChar w:fldCharType="end"/>
      </w:r>
      <w:r w:rsidR="08032395" w:rsidRPr="00273106">
        <w:t xml:space="preserve">, který </w:t>
      </w:r>
      <w:r w:rsidR="082616A7">
        <w:t xml:space="preserve">díky nově utvořené nematerialitě už </w:t>
      </w:r>
      <w:r w:rsidR="08032395" w:rsidRPr="00273106">
        <w:t>neměl nic společného s původním hylickým intelektem Alexandra</w:t>
      </w:r>
      <w:r w:rsidR="08032395">
        <w:fldChar w:fldCharType="begin"/>
      </w:r>
      <w:r w:rsidR="08032395">
        <w:instrText xml:space="preserve"> XE "Alexander, Afrodisias" </w:instrText>
      </w:r>
      <w:r w:rsidR="08032395">
        <w:fldChar w:fldCharType="end"/>
      </w:r>
      <w:r w:rsidR="08032395" w:rsidRPr="00273106">
        <w:t xml:space="preserve"> a Avicenny vázaným na smysly.</w:t>
      </w:r>
      <w:r w:rsidR="08032395">
        <w:t xml:space="preserve"> </w:t>
      </w:r>
      <w:r w:rsidR="082616A7">
        <w:t>M</w:t>
      </w:r>
      <w:r w:rsidR="08BC5BB1">
        <w:t xml:space="preserve">odernisté </w:t>
      </w:r>
      <w:r w:rsidR="00E96FED">
        <w:t>definitivně přišli o možnost, jak poznat s</w:t>
      </w:r>
      <w:r w:rsidR="088B3F1F">
        <w:t>kutečnou argumentaci Averroese</w:t>
      </w:r>
      <w:r w:rsidR="08CC18D4">
        <w:t xml:space="preserve">. Proto z něj </w:t>
      </w:r>
      <w:r w:rsidR="088B3F1F">
        <w:t>uděla</w:t>
      </w:r>
      <w:r w:rsidR="08CC18D4">
        <w:t>li</w:t>
      </w:r>
      <w:r w:rsidR="088B3F1F">
        <w:t xml:space="preserve"> obětního beránka vlas</w:t>
      </w:r>
      <w:r w:rsidR="08CC18D4">
        <w:t xml:space="preserve">tní neschopnosti </w:t>
      </w:r>
      <w:r w:rsidR="088B3F1F">
        <w:t>(</w:t>
      </w:r>
      <w:r w:rsidR="088B3F1F" w:rsidRPr="0047630E">
        <w:rPr>
          <w:i/>
        </w:rPr>
        <w:t>Leviticus</w:t>
      </w:r>
      <w:r w:rsidR="088B3F1F">
        <w:t xml:space="preserve"> 16:10</w:t>
      </w:r>
      <w:r w:rsidR="088B3F1F">
        <w:fldChar w:fldCharType="begin"/>
      </w:r>
      <w:r w:rsidR="088B3F1F">
        <w:instrText xml:space="preserve"> XE "Starý zákon:Lv 16.</w:instrText>
      </w:r>
      <w:r w:rsidR="088B3F1F" w:rsidRPr="00BD17BC">
        <w:instrText>10</w:instrText>
      </w:r>
      <w:r w:rsidR="088B3F1F">
        <w:instrText xml:space="preserve">" </w:instrText>
      </w:r>
      <w:r w:rsidR="088B3F1F">
        <w:fldChar w:fldCharType="end"/>
      </w:r>
      <w:r w:rsidR="088B3F1F">
        <w:t>)</w:t>
      </w:r>
      <w:r w:rsidR="08D7363D">
        <w:t xml:space="preserve"> </w:t>
      </w:r>
      <w:r w:rsidR="088B3F1F">
        <w:t xml:space="preserve">a pak jej vyhnali do pouště akademického </w:t>
      </w:r>
      <w:r w:rsidR="08CC18D4">
        <w:t xml:space="preserve">a církevního </w:t>
      </w:r>
      <w:r w:rsidR="088B3F1F" w:rsidRPr="088B3F1F">
        <w:rPr>
          <w:i/>
        </w:rPr>
        <w:t>damnatio memoriae</w:t>
      </w:r>
      <w:r w:rsidR="088B3F1F">
        <w:rPr>
          <w:i/>
        </w:rPr>
        <w:fldChar w:fldCharType="begin"/>
      </w:r>
      <w:r w:rsidR="088B3F1F">
        <w:instrText xml:space="preserve"> XE "</w:instrText>
      </w:r>
      <w:r w:rsidR="088B3F1F" w:rsidRPr="08F639FE">
        <w:rPr>
          <w:i/>
        </w:rPr>
        <w:instrText>damnatio memoriae</w:instrText>
      </w:r>
      <w:r w:rsidR="088B3F1F">
        <w:instrText xml:space="preserve">" </w:instrText>
      </w:r>
      <w:r w:rsidR="088B3F1F">
        <w:rPr>
          <w:i/>
        </w:rPr>
        <w:fldChar w:fldCharType="end"/>
      </w:r>
      <w:r w:rsidR="08EE4031">
        <w:t>.</w:t>
      </w:r>
      <w:r w:rsidR="0871243D">
        <w:t xml:space="preserve"> </w:t>
      </w:r>
      <w:r w:rsidR="086C25DA">
        <w:t>Albert s obavami pozoroval</w:t>
      </w:r>
      <w:r w:rsidR="00606CC8">
        <w:t xml:space="preserve"> v letech 1254‒57</w:t>
      </w:r>
      <w:r w:rsidR="00606CC8" w:rsidRPr="00273106">
        <w:t xml:space="preserve">, jak </w:t>
      </w:r>
      <w:r w:rsidR="00606CC8">
        <w:t>neoplatonsk</w:t>
      </w:r>
      <w:r w:rsidR="00606CC8" w:rsidRPr="00273106">
        <w:t xml:space="preserve">á materie začala skrze Avicebronovo dílo </w:t>
      </w:r>
      <w:r w:rsidR="00606CC8" w:rsidRPr="00273106">
        <w:rPr>
          <w:i/>
        </w:rPr>
        <w:t>Fons vitae</w:t>
      </w:r>
      <w:r w:rsidR="00606CC8" w:rsidRPr="00273106">
        <w:t xml:space="preserve"> determinovat moderně utvářený </w:t>
      </w:r>
      <w:r w:rsidR="00606CC8" w:rsidRPr="00273106">
        <w:rPr>
          <w:i/>
        </w:rPr>
        <w:t>intellectus possibilis</w:t>
      </w:r>
      <w:r w:rsidR="00606CC8" w:rsidRPr="004F14BD">
        <w:t>.</w:t>
      </w:r>
      <w:r w:rsidR="08064E98">
        <w:t xml:space="preserve"> Stejně tak nesouhlasil</w:t>
      </w:r>
      <w:r w:rsidR="00606CC8">
        <w:t xml:space="preserve"> s porretánskými výklady hypostázované potence, protože tato cesta není aristotelská. </w:t>
      </w:r>
      <w:r w:rsidR="00221596" w:rsidRPr="00273106">
        <w:t xml:space="preserve">Následující část </w:t>
      </w:r>
      <w:r w:rsidR="005B2AAF" w:rsidRPr="00273106">
        <w:t xml:space="preserve">Albertova </w:t>
      </w:r>
      <w:r w:rsidR="00221596" w:rsidRPr="00273106">
        <w:t xml:space="preserve">komentáře </w:t>
      </w:r>
      <w:r w:rsidR="00B713C5">
        <w:rPr>
          <w:i/>
        </w:rPr>
        <w:t>De anima</w:t>
      </w:r>
      <w:r w:rsidR="00E56569" w:rsidRPr="00273106">
        <w:t xml:space="preserve"> odmítá koncept možného intelektu </w:t>
      </w:r>
      <w:r w:rsidR="00221596" w:rsidRPr="00273106">
        <w:t xml:space="preserve">jako </w:t>
      </w:r>
      <w:r w:rsidR="00001D87">
        <w:t xml:space="preserve">moderní </w:t>
      </w:r>
      <w:r w:rsidR="00221596" w:rsidRPr="00273106">
        <w:t>kvazi-substance.</w:t>
      </w:r>
      <w:r w:rsidR="00A705D7" w:rsidRPr="00273106">
        <w:t xml:space="preserve"> Spor běží o význam </w:t>
      </w:r>
      <w:r w:rsidR="009E53CC">
        <w:t xml:space="preserve">Avicebronova tvrzení, že </w:t>
      </w:r>
      <w:r w:rsidR="00A705D7" w:rsidRPr="00273106">
        <w:t xml:space="preserve">možný intelekt je </w:t>
      </w:r>
      <w:r w:rsidR="00CD23BD">
        <w:t xml:space="preserve">univerzální </w:t>
      </w:r>
      <w:r w:rsidR="08D7363D">
        <w:t>jako materie</w:t>
      </w:r>
      <w:r w:rsidR="00CD23BD">
        <w:t xml:space="preserve"> (</w:t>
      </w:r>
      <w:r w:rsidR="00CD23BD" w:rsidRPr="00CD23BD">
        <w:rPr>
          <w:i/>
        </w:rPr>
        <w:t>i</w:t>
      </w:r>
      <w:r w:rsidR="00CD23BD" w:rsidRPr="00CD23BD">
        <w:rPr>
          <w:rStyle w:val="FontStyle157"/>
          <w:rFonts w:ascii="Calibri" w:hAnsi="Calibri"/>
          <w:i/>
          <w:sz w:val="24"/>
        </w:rPr>
        <w:t>ntellectus</w:t>
      </w:r>
      <w:r w:rsidR="00CD23BD">
        <w:rPr>
          <w:rStyle w:val="FontStyle157"/>
          <w:rFonts w:ascii="Calibri" w:hAnsi="Calibri"/>
          <w:i/>
          <w:sz w:val="24"/>
        </w:rPr>
        <w:t xml:space="preserve"> possi</w:t>
      </w:r>
      <w:r w:rsidR="00CD23BD" w:rsidRPr="00273106">
        <w:rPr>
          <w:rStyle w:val="FontStyle157"/>
          <w:rFonts w:ascii="Calibri" w:hAnsi="Calibri"/>
          <w:i/>
          <w:sz w:val="24"/>
        </w:rPr>
        <w:t>bilis est communis sicut materiae</w:t>
      </w:r>
      <w:r w:rsidR="00CD23BD">
        <w:t>)</w:t>
      </w:r>
      <w:r w:rsidR="00A705D7" w:rsidRPr="00273106">
        <w:t xml:space="preserve">. </w:t>
      </w:r>
      <w:r w:rsidR="00085B3D" w:rsidRPr="00273106">
        <w:rPr>
          <w:rStyle w:val="FontStyle157"/>
          <w:rFonts w:ascii="Calibri" w:hAnsi="Calibri"/>
          <w:sz w:val="24"/>
        </w:rPr>
        <w:t xml:space="preserve">Albert připomíná Latiníkům, že filosofie Avicebrona ohledně možného intelektu může mít vedle </w:t>
      </w:r>
      <w:r w:rsidR="00085B3D">
        <w:rPr>
          <w:rStyle w:val="FontStyle157"/>
          <w:rFonts w:ascii="Calibri" w:hAnsi="Calibri"/>
          <w:sz w:val="24"/>
        </w:rPr>
        <w:t>neoplatonsk</w:t>
      </w:r>
      <w:r w:rsidR="00085B3D" w:rsidRPr="00273106">
        <w:rPr>
          <w:rStyle w:val="FontStyle157"/>
          <w:rFonts w:ascii="Calibri" w:hAnsi="Calibri"/>
          <w:sz w:val="24"/>
        </w:rPr>
        <w:t>é interpretace i aristotelský výklad.</w:t>
      </w:r>
      <w:r w:rsidR="00085B3D">
        <w:rPr>
          <w:rStyle w:val="Znakapoznpodarou"/>
        </w:rPr>
        <w:footnoteReference w:id="252"/>
      </w:r>
      <w:r w:rsidR="00085B3D">
        <w:rPr>
          <w:rStyle w:val="FontStyle157"/>
          <w:rFonts w:ascii="Calibri" w:hAnsi="Calibri"/>
          <w:sz w:val="24"/>
        </w:rPr>
        <w:t xml:space="preserve"> </w:t>
      </w:r>
      <w:r w:rsidR="081018C3" w:rsidRPr="00273106">
        <w:rPr>
          <w:rStyle w:val="FontStyle157"/>
          <w:rFonts w:ascii="Calibri" w:hAnsi="Calibri"/>
          <w:sz w:val="24"/>
        </w:rPr>
        <w:t xml:space="preserve">Předešlá matrice ukázala, že slůvko </w:t>
      </w:r>
      <w:r w:rsidR="081018C3" w:rsidRPr="00273106">
        <w:rPr>
          <w:rStyle w:val="FontStyle157"/>
          <w:rFonts w:ascii="Calibri" w:hAnsi="Calibri"/>
          <w:i/>
          <w:sz w:val="24"/>
        </w:rPr>
        <w:t>sicut</w:t>
      </w:r>
      <w:r w:rsidR="081018C3" w:rsidRPr="00273106">
        <w:rPr>
          <w:rStyle w:val="FontStyle157"/>
          <w:rFonts w:ascii="Calibri" w:hAnsi="Calibri"/>
          <w:sz w:val="24"/>
        </w:rPr>
        <w:t xml:space="preserve"> </w:t>
      </w:r>
      <w:r w:rsidR="081018C3" w:rsidRPr="00273106">
        <w:rPr>
          <w:rStyle w:val="FontStyle157"/>
          <w:rFonts w:ascii="Calibri" w:hAnsi="Calibri"/>
          <w:sz w:val="24"/>
        </w:rPr>
        <w:lastRenderedPageBreak/>
        <w:t xml:space="preserve">hraje klíčovu roli ve formě </w:t>
      </w:r>
      <w:r w:rsidR="081018C3" w:rsidRPr="00273106">
        <w:rPr>
          <w:rStyle w:val="FontStyle157"/>
          <w:rFonts w:ascii="Calibri" w:hAnsi="Calibri"/>
          <w:i/>
          <w:sz w:val="24"/>
        </w:rPr>
        <w:t>quasi</w:t>
      </w:r>
      <w:r w:rsidR="081018C3" w:rsidRPr="00273106">
        <w:rPr>
          <w:rStyle w:val="FontStyle157"/>
          <w:rFonts w:ascii="Calibri" w:hAnsi="Calibri"/>
          <w:sz w:val="24"/>
        </w:rPr>
        <w:t xml:space="preserve"> při určení povahy receptivního intelektu od Al</w:t>
      </w:r>
      <w:r w:rsidR="081018C3">
        <w:rPr>
          <w:rStyle w:val="FontStyle157"/>
          <w:rFonts w:ascii="Calibri" w:hAnsi="Calibri"/>
          <w:sz w:val="24"/>
        </w:rPr>
        <w:noBreakHyphen/>
        <w:t>Fárábí</w:t>
      </w:r>
      <w:r w:rsidR="081018C3" w:rsidRPr="00273106">
        <w:rPr>
          <w:rStyle w:val="FontStyle157"/>
          <w:rFonts w:ascii="Calibri" w:hAnsi="Calibri"/>
          <w:sz w:val="24"/>
        </w:rPr>
        <w:t xml:space="preserve">ho až po </w:t>
      </w:r>
      <w:r w:rsidR="081018C3">
        <w:rPr>
          <w:rStyle w:val="FontStyle157"/>
          <w:rFonts w:ascii="Calibri" w:hAnsi="Calibri"/>
          <w:sz w:val="24"/>
        </w:rPr>
        <w:t>Averroes</w:t>
      </w:r>
      <w:r w:rsidR="081018C3" w:rsidRPr="00273106">
        <w:rPr>
          <w:rStyle w:val="FontStyle157"/>
          <w:rFonts w:ascii="Calibri" w:hAnsi="Calibri"/>
          <w:sz w:val="24"/>
        </w:rPr>
        <w:t>e.</w:t>
      </w:r>
      <w:r w:rsidR="081018C3">
        <w:rPr>
          <w:rStyle w:val="FontStyle157"/>
          <w:rFonts w:ascii="Calibri" w:hAnsi="Calibri"/>
          <w:sz w:val="24"/>
        </w:rPr>
        <w:t xml:space="preserve"> </w:t>
      </w:r>
      <w:r w:rsidR="005C52D5" w:rsidRPr="00273106">
        <w:rPr>
          <w:rStyle w:val="FontStyle157"/>
          <w:rFonts w:ascii="Calibri" w:hAnsi="Calibri"/>
          <w:sz w:val="24"/>
        </w:rPr>
        <w:t>Toto tvrzení obsahuje jádro sporu mezi prvním a druhým averroismem</w:t>
      </w:r>
      <w:r w:rsidR="00F17D0C" w:rsidRPr="00273106">
        <w:rPr>
          <w:rStyle w:val="FontStyle157"/>
          <w:rFonts w:ascii="Calibri" w:hAnsi="Calibri"/>
          <w:sz w:val="24"/>
        </w:rPr>
        <w:t>.</w:t>
      </w:r>
      <w:r w:rsidR="006008EC" w:rsidRPr="00273106">
        <w:rPr>
          <w:rStyle w:val="FontStyle157"/>
          <w:rFonts w:ascii="Calibri" w:hAnsi="Calibri"/>
          <w:sz w:val="24"/>
        </w:rPr>
        <w:t xml:space="preserve"> </w:t>
      </w:r>
      <w:r w:rsidR="00705DA9">
        <w:rPr>
          <w:rStyle w:val="FontStyle157"/>
          <w:rFonts w:ascii="Calibri" w:hAnsi="Calibri"/>
          <w:sz w:val="24"/>
        </w:rPr>
        <w:t xml:space="preserve"> </w:t>
      </w:r>
    </w:p>
    <w:p w14:paraId="0D92D648" w14:textId="77777777" w:rsidR="000B3D42" w:rsidRPr="0039350C" w:rsidRDefault="00221596" w:rsidP="0039350C">
      <w:pPr>
        <w:pStyle w:val="Citace"/>
      </w:pPr>
      <w:r w:rsidRPr="0039350C">
        <w:rPr>
          <w:rStyle w:val="FontStyle157"/>
          <w:rFonts w:ascii="Calibri" w:hAnsi="Calibri"/>
          <w:sz w:val="22"/>
        </w:rPr>
        <w:t>„</w:t>
      </w:r>
      <w:r w:rsidR="000B3D42" w:rsidRPr="0039350C">
        <w:rPr>
          <w:rStyle w:val="FontStyle157"/>
          <w:rFonts w:ascii="Calibri" w:hAnsi="Calibri"/>
          <w:sz w:val="22"/>
        </w:rPr>
        <w:t xml:space="preserve">Avicebron chtěl říci, </w:t>
      </w:r>
      <w:r w:rsidR="00D56565" w:rsidRPr="0039350C">
        <w:rPr>
          <w:rStyle w:val="FontStyle157"/>
          <w:rFonts w:ascii="Calibri" w:hAnsi="Calibri"/>
          <w:sz w:val="22"/>
        </w:rPr>
        <w:t xml:space="preserve">že </w:t>
      </w:r>
      <w:r w:rsidR="000B3D42" w:rsidRPr="0039350C">
        <w:rPr>
          <w:rStyle w:val="FontStyle157"/>
          <w:rFonts w:ascii="Calibri" w:hAnsi="Calibri"/>
          <w:sz w:val="22"/>
        </w:rPr>
        <w:t xml:space="preserve">potence </w:t>
      </w:r>
      <w:r w:rsidR="00D56565" w:rsidRPr="0039350C">
        <w:rPr>
          <w:rStyle w:val="FontStyle157"/>
          <w:rFonts w:ascii="Calibri" w:hAnsi="Calibri"/>
          <w:sz w:val="22"/>
        </w:rPr>
        <w:t xml:space="preserve">možného intelektu </w:t>
      </w:r>
      <w:r w:rsidR="00783409">
        <w:rPr>
          <w:rStyle w:val="FontStyle157"/>
          <w:rFonts w:ascii="Calibri" w:hAnsi="Calibri"/>
          <w:sz w:val="22"/>
          <w:lang w:val="cs-CZ"/>
        </w:rPr>
        <w:t xml:space="preserve">vzatá obecně </w:t>
      </w:r>
      <w:r w:rsidR="00D56565" w:rsidRPr="0039350C">
        <w:rPr>
          <w:rStyle w:val="FontStyle157"/>
          <w:rFonts w:ascii="Calibri" w:hAnsi="Calibri"/>
          <w:sz w:val="22"/>
        </w:rPr>
        <w:t>je jako materie</w:t>
      </w:r>
      <w:r w:rsidR="00783409">
        <w:rPr>
          <w:rStyle w:val="FontStyle157"/>
          <w:rFonts w:ascii="Calibri" w:hAnsi="Calibri"/>
          <w:sz w:val="22"/>
          <w:lang w:val="cs-CZ"/>
        </w:rPr>
        <w:t xml:space="preserve"> (</w:t>
      </w:r>
      <w:r w:rsidR="00D90B42">
        <w:rPr>
          <w:i/>
        </w:rPr>
        <w:t>potentia intellectus possi</w:t>
      </w:r>
      <w:r w:rsidR="00783409" w:rsidRPr="00783409">
        <w:rPr>
          <w:i/>
        </w:rPr>
        <w:t>bilis communis est sicut et materiae</w:t>
      </w:r>
      <w:r w:rsidR="00783409">
        <w:rPr>
          <w:rStyle w:val="FontStyle157"/>
          <w:rFonts w:ascii="Calibri" w:hAnsi="Calibri"/>
          <w:sz w:val="22"/>
          <w:lang w:val="cs-CZ"/>
        </w:rPr>
        <w:t>). P</w:t>
      </w:r>
      <w:r w:rsidR="00D56565" w:rsidRPr="0039350C">
        <w:rPr>
          <w:rStyle w:val="FontStyle157"/>
          <w:rFonts w:ascii="Calibri" w:hAnsi="Calibri"/>
          <w:sz w:val="22"/>
        </w:rPr>
        <w:t xml:space="preserve">roto je oddělena od determinace forem, které tento intelekt </w:t>
      </w:r>
      <w:r w:rsidR="00FA6863" w:rsidRPr="0039350C">
        <w:rPr>
          <w:rStyle w:val="FontStyle157"/>
          <w:rFonts w:ascii="Calibri" w:hAnsi="Calibri"/>
          <w:sz w:val="22"/>
        </w:rPr>
        <w:t>obsahuje pouze potenciálně</w:t>
      </w:r>
      <w:r w:rsidR="00D56565" w:rsidRPr="0039350C">
        <w:rPr>
          <w:rStyle w:val="FontStyle157"/>
          <w:rFonts w:ascii="Calibri" w:hAnsi="Calibri"/>
          <w:sz w:val="22"/>
        </w:rPr>
        <w:t>,</w:t>
      </w:r>
      <w:r w:rsidR="00FA6863" w:rsidRPr="0039350C">
        <w:rPr>
          <w:rStyle w:val="FontStyle157"/>
          <w:rFonts w:ascii="Calibri" w:hAnsi="Calibri"/>
          <w:sz w:val="22"/>
        </w:rPr>
        <w:t xml:space="preserve"> a ne aktuálně</w:t>
      </w:r>
      <w:r w:rsidR="00D56565" w:rsidRPr="0039350C">
        <w:rPr>
          <w:rStyle w:val="FontStyle157"/>
          <w:rFonts w:ascii="Calibri" w:hAnsi="Calibri"/>
          <w:sz w:val="22"/>
        </w:rPr>
        <w:t xml:space="preserve">. </w:t>
      </w:r>
      <w:r w:rsidR="00783409">
        <w:rPr>
          <w:rStyle w:val="FontStyle157"/>
          <w:rFonts w:ascii="Calibri" w:hAnsi="Calibri"/>
          <w:sz w:val="22"/>
          <w:lang w:val="cs-CZ"/>
        </w:rPr>
        <w:t>M</w:t>
      </w:r>
      <w:r w:rsidR="00D56565" w:rsidRPr="0039350C">
        <w:rPr>
          <w:rStyle w:val="FontStyle157"/>
          <w:rFonts w:ascii="Calibri" w:hAnsi="Calibri"/>
          <w:sz w:val="22"/>
        </w:rPr>
        <w:t xml:space="preserve">ožnost tohoto intelektu </w:t>
      </w:r>
      <w:r w:rsidR="00783409">
        <w:rPr>
          <w:rStyle w:val="FontStyle157"/>
          <w:rFonts w:ascii="Calibri" w:hAnsi="Calibri"/>
          <w:sz w:val="22"/>
          <w:lang w:val="cs-CZ"/>
        </w:rPr>
        <w:t xml:space="preserve">je tudíž </w:t>
      </w:r>
      <w:r w:rsidR="00D56565" w:rsidRPr="0039350C">
        <w:rPr>
          <w:rStyle w:val="FontStyle157"/>
          <w:rFonts w:ascii="Calibri" w:hAnsi="Calibri"/>
          <w:sz w:val="22"/>
        </w:rPr>
        <w:t xml:space="preserve">všeobecná, protože </w:t>
      </w:r>
      <w:r w:rsidR="08752AA6">
        <w:rPr>
          <w:rStyle w:val="FontStyle157"/>
          <w:rFonts w:ascii="Calibri" w:hAnsi="Calibri"/>
          <w:sz w:val="22"/>
        </w:rPr>
        <w:t>obecn</w:t>
      </w:r>
      <w:r w:rsidR="08752AA6">
        <w:rPr>
          <w:rStyle w:val="FontStyle157"/>
          <w:rFonts w:ascii="Calibri" w:hAnsi="Calibri"/>
          <w:sz w:val="22"/>
          <w:lang w:val="cs-CZ"/>
        </w:rPr>
        <w:t>ý význam</w:t>
      </w:r>
      <w:r w:rsidR="00783409" w:rsidRPr="0039350C">
        <w:rPr>
          <w:rStyle w:val="FontStyle157"/>
          <w:rFonts w:ascii="Calibri" w:hAnsi="Calibri"/>
          <w:sz w:val="22"/>
        </w:rPr>
        <w:t xml:space="preserve"> </w:t>
      </w:r>
      <w:r w:rsidR="082043F1">
        <w:rPr>
          <w:rStyle w:val="FontStyle157"/>
          <w:rFonts w:ascii="Calibri" w:hAnsi="Calibri"/>
          <w:sz w:val="22"/>
          <w:lang w:val="cs-CZ"/>
        </w:rPr>
        <w:t>(</w:t>
      </w:r>
      <w:r w:rsidR="082043F1" w:rsidRPr="082043F1">
        <w:rPr>
          <w:rStyle w:val="FontStyle157"/>
          <w:rFonts w:ascii="Calibri" w:hAnsi="Calibri"/>
          <w:i/>
          <w:sz w:val="21"/>
        </w:rPr>
        <w:t>universale</w:t>
      </w:r>
      <w:r w:rsidR="082043F1">
        <w:rPr>
          <w:rStyle w:val="FontStyle157"/>
          <w:rFonts w:ascii="Calibri" w:hAnsi="Calibri"/>
          <w:sz w:val="22"/>
          <w:lang w:val="cs-CZ"/>
        </w:rPr>
        <w:t xml:space="preserve">) </w:t>
      </w:r>
      <w:r w:rsidR="08752AA6">
        <w:rPr>
          <w:rStyle w:val="FontStyle157"/>
          <w:rFonts w:ascii="Calibri" w:hAnsi="Calibri"/>
          <w:sz w:val="22"/>
        </w:rPr>
        <w:t>j</w:t>
      </w:r>
      <w:r w:rsidR="08752AA6">
        <w:rPr>
          <w:rStyle w:val="FontStyle157"/>
          <w:rFonts w:ascii="Calibri" w:hAnsi="Calibri"/>
          <w:sz w:val="22"/>
          <w:lang w:val="cs-CZ"/>
        </w:rPr>
        <w:t xml:space="preserve">e </w:t>
      </w:r>
      <w:r w:rsidR="00D56565" w:rsidRPr="0039350C">
        <w:rPr>
          <w:rStyle w:val="FontStyle157"/>
          <w:rFonts w:ascii="Calibri" w:hAnsi="Calibri"/>
          <w:sz w:val="22"/>
        </w:rPr>
        <w:t xml:space="preserve">v něm </w:t>
      </w:r>
      <w:r w:rsidR="08752AA6">
        <w:rPr>
          <w:rStyle w:val="FontStyle157"/>
          <w:rFonts w:ascii="Calibri" w:hAnsi="Calibri"/>
          <w:sz w:val="22"/>
        </w:rPr>
        <w:t>obsažen</w:t>
      </w:r>
      <w:r w:rsidR="00783409" w:rsidRPr="00783409">
        <w:rPr>
          <w:rStyle w:val="FontStyle157"/>
          <w:rFonts w:ascii="Calibri" w:hAnsi="Calibri"/>
          <w:sz w:val="22"/>
        </w:rPr>
        <w:t xml:space="preserve"> </w:t>
      </w:r>
      <w:r w:rsidR="00783409" w:rsidRPr="0039350C">
        <w:rPr>
          <w:rStyle w:val="FontStyle157"/>
          <w:rFonts w:ascii="Calibri" w:hAnsi="Calibri"/>
          <w:sz w:val="22"/>
        </w:rPr>
        <w:t>tímto způsobem</w:t>
      </w:r>
      <w:r w:rsidR="00D56565" w:rsidRPr="0039350C">
        <w:rPr>
          <w:rStyle w:val="FontStyle157"/>
          <w:rFonts w:ascii="Calibri" w:hAnsi="Calibri"/>
          <w:sz w:val="22"/>
        </w:rPr>
        <w:t>.“</w:t>
      </w:r>
      <w:r w:rsidR="0039350C">
        <w:rPr>
          <w:rStyle w:val="FontStyle157"/>
          <w:rFonts w:ascii="Calibri" w:hAnsi="Calibri"/>
          <w:sz w:val="22"/>
          <w:lang w:val="cs-CZ"/>
        </w:rPr>
        <w:t> </w:t>
      </w:r>
      <w:r w:rsidR="000B3D42" w:rsidRPr="0039350C">
        <w:rPr>
          <w:rStyle w:val="Znakapoznpodarou"/>
        </w:rPr>
        <w:footnoteReference w:id="253"/>
      </w:r>
    </w:p>
    <w:p w14:paraId="566BD065" w14:textId="032A4FDD" w:rsidR="00D816E6" w:rsidRDefault="0094641D" w:rsidP="08C40821">
      <w:r w:rsidRPr="00273106">
        <w:rPr>
          <w:rStyle w:val="FontStyle157"/>
          <w:rFonts w:ascii="Calibri" w:hAnsi="Calibri"/>
          <w:sz w:val="24"/>
        </w:rPr>
        <w:t>První averroismus tvrdí, že mate</w:t>
      </w:r>
      <w:r w:rsidR="00A9721C" w:rsidRPr="00273106">
        <w:rPr>
          <w:rStyle w:val="FontStyle157"/>
          <w:rFonts w:ascii="Calibri" w:hAnsi="Calibri"/>
          <w:sz w:val="24"/>
        </w:rPr>
        <w:t xml:space="preserve">rialita znamená </w:t>
      </w:r>
      <w:r w:rsidRPr="00273106">
        <w:rPr>
          <w:rStyle w:val="FontStyle157"/>
          <w:rFonts w:ascii="Calibri" w:hAnsi="Calibri"/>
          <w:sz w:val="24"/>
        </w:rPr>
        <w:t xml:space="preserve">v definici intelektu </w:t>
      </w:r>
      <w:r w:rsidR="00A9721C" w:rsidRPr="00273106">
        <w:rPr>
          <w:rStyle w:val="FontStyle157"/>
          <w:rFonts w:ascii="Calibri" w:hAnsi="Calibri"/>
          <w:sz w:val="24"/>
        </w:rPr>
        <w:t xml:space="preserve">pouze </w:t>
      </w:r>
      <w:r w:rsidRPr="00273106">
        <w:rPr>
          <w:rStyle w:val="FontStyle157"/>
          <w:rFonts w:ascii="Calibri" w:hAnsi="Calibri"/>
          <w:sz w:val="24"/>
        </w:rPr>
        <w:t xml:space="preserve">univerzální </w:t>
      </w:r>
      <w:r w:rsidR="00A9721C" w:rsidRPr="00273106">
        <w:rPr>
          <w:rStyle w:val="FontStyle157"/>
          <w:rFonts w:ascii="Calibri" w:hAnsi="Calibri"/>
          <w:sz w:val="24"/>
        </w:rPr>
        <w:t>receptivitu, protože intelekt je nemater</w:t>
      </w:r>
      <w:r w:rsidR="00653E3A" w:rsidRPr="00273106">
        <w:rPr>
          <w:rStyle w:val="FontStyle157"/>
          <w:rFonts w:ascii="Calibri" w:hAnsi="Calibri"/>
          <w:sz w:val="24"/>
        </w:rPr>
        <w:t>i</w:t>
      </w:r>
      <w:r w:rsidR="00A9721C" w:rsidRPr="00273106">
        <w:rPr>
          <w:rStyle w:val="FontStyle157"/>
          <w:rFonts w:ascii="Calibri" w:hAnsi="Calibri"/>
          <w:sz w:val="24"/>
        </w:rPr>
        <w:t xml:space="preserve">ální schopnost duše. </w:t>
      </w:r>
      <w:r w:rsidR="08C35B47" w:rsidRPr="00273106">
        <w:rPr>
          <w:rStyle w:val="FontStyle157"/>
          <w:rFonts w:ascii="Calibri" w:hAnsi="Calibri"/>
          <w:sz w:val="24"/>
        </w:rPr>
        <w:t>V prvním averroismu nemohl být intelekt nikdy substancí, protože je schopnost duše, která není substancí, ale pouze oživující formou těla.</w:t>
      </w:r>
      <w:r w:rsidR="08C35B47">
        <w:rPr>
          <w:rStyle w:val="FontStyle157"/>
          <w:rFonts w:ascii="Calibri" w:hAnsi="Calibri"/>
          <w:sz w:val="24"/>
        </w:rPr>
        <w:t xml:space="preserve"> </w:t>
      </w:r>
      <w:r w:rsidR="00A40A70" w:rsidRPr="00273106">
        <w:rPr>
          <w:rStyle w:val="FontStyle157"/>
          <w:rFonts w:ascii="Calibri" w:hAnsi="Calibri"/>
          <w:sz w:val="24"/>
        </w:rPr>
        <w:t xml:space="preserve">Druhý averroimus tento význam jednoduše pominul a </w:t>
      </w:r>
      <w:r w:rsidR="00A9721C" w:rsidRPr="00273106">
        <w:rPr>
          <w:rStyle w:val="FontStyle157"/>
          <w:rFonts w:ascii="Calibri" w:hAnsi="Calibri"/>
          <w:sz w:val="24"/>
        </w:rPr>
        <w:t xml:space="preserve">vytvořil </w:t>
      </w:r>
      <w:r w:rsidR="00B33FC1" w:rsidRPr="00273106">
        <w:rPr>
          <w:rStyle w:val="FontStyle157"/>
          <w:rFonts w:ascii="Calibri" w:hAnsi="Calibri"/>
          <w:sz w:val="24"/>
        </w:rPr>
        <w:t xml:space="preserve">pomocí materie třetího druhu </w:t>
      </w:r>
      <w:r w:rsidR="005D03D9">
        <w:rPr>
          <w:rStyle w:val="FontStyle157"/>
          <w:rFonts w:ascii="Calibri" w:hAnsi="Calibri"/>
          <w:sz w:val="24"/>
        </w:rPr>
        <w:t>z intelektu moderní kartez</w:t>
      </w:r>
      <w:r w:rsidR="00A9721C" w:rsidRPr="00273106">
        <w:rPr>
          <w:rStyle w:val="FontStyle157"/>
          <w:rFonts w:ascii="Calibri" w:hAnsi="Calibri"/>
          <w:sz w:val="24"/>
        </w:rPr>
        <w:t xml:space="preserve">iánskou substanci. </w:t>
      </w:r>
      <w:r w:rsidR="00A12D46" w:rsidRPr="00273106">
        <w:rPr>
          <w:rStyle w:val="FontStyle157"/>
          <w:rFonts w:ascii="Calibri" w:hAnsi="Calibri"/>
          <w:sz w:val="24"/>
        </w:rPr>
        <w:t>Neo</w:t>
      </w:r>
      <w:r w:rsidR="008B12D2">
        <w:rPr>
          <w:rStyle w:val="FontStyle157"/>
          <w:rFonts w:ascii="Calibri" w:hAnsi="Calibri"/>
          <w:sz w:val="24"/>
        </w:rPr>
        <w:t>p</w:t>
      </w:r>
      <w:r w:rsidR="008E02F5">
        <w:rPr>
          <w:rStyle w:val="FontStyle157"/>
          <w:rFonts w:ascii="Calibri" w:hAnsi="Calibri"/>
          <w:sz w:val="24"/>
        </w:rPr>
        <w:t>laton</w:t>
      </w:r>
      <w:r w:rsidR="00A12D46" w:rsidRPr="00273106">
        <w:rPr>
          <w:rStyle w:val="FontStyle157"/>
          <w:rFonts w:ascii="Calibri" w:hAnsi="Calibri"/>
          <w:sz w:val="24"/>
        </w:rPr>
        <w:t xml:space="preserve">ská </w:t>
      </w:r>
      <w:r w:rsidR="00221596" w:rsidRPr="00273106">
        <w:rPr>
          <w:rStyle w:val="FontStyle157"/>
          <w:rFonts w:ascii="Calibri" w:hAnsi="Calibri"/>
          <w:i/>
          <w:sz w:val="24"/>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A12D46" w:rsidRPr="00273106">
        <w:rPr>
          <w:rStyle w:val="FontStyle157"/>
          <w:rFonts w:ascii="Calibri" w:hAnsi="Calibri"/>
          <w:sz w:val="24"/>
        </w:rPr>
        <w:t xml:space="preserve"> </w:t>
      </w:r>
      <w:r w:rsidR="00221596" w:rsidRPr="00273106">
        <w:rPr>
          <w:rStyle w:val="FontStyle157"/>
          <w:rFonts w:ascii="Calibri" w:hAnsi="Calibri"/>
          <w:sz w:val="24"/>
        </w:rPr>
        <w:t xml:space="preserve">se stala </w:t>
      </w:r>
      <w:r w:rsidR="006825F0" w:rsidRPr="00273106">
        <w:rPr>
          <w:rStyle w:val="FontStyle157"/>
          <w:rFonts w:ascii="Calibri" w:hAnsi="Calibri"/>
          <w:sz w:val="24"/>
        </w:rPr>
        <w:t xml:space="preserve">samostatným </w:t>
      </w:r>
      <w:r w:rsidR="00221596" w:rsidRPr="00273106">
        <w:rPr>
          <w:rStyle w:val="FontStyle157"/>
          <w:rFonts w:ascii="Calibri" w:hAnsi="Calibri"/>
          <w:sz w:val="24"/>
        </w:rPr>
        <w:t xml:space="preserve">rodem, tedy univočně pojatou formou. </w:t>
      </w:r>
      <w:r w:rsidR="00E37966" w:rsidRPr="00273106">
        <w:rPr>
          <w:rStyle w:val="FontStyle157"/>
          <w:rFonts w:ascii="Calibri" w:hAnsi="Calibri"/>
          <w:sz w:val="24"/>
        </w:rPr>
        <w:t>N</w:t>
      </w:r>
      <w:r w:rsidR="00221596" w:rsidRPr="00273106">
        <w:rPr>
          <w:rStyle w:val="FontStyle157"/>
          <w:rFonts w:ascii="Calibri" w:hAnsi="Calibri"/>
          <w:sz w:val="24"/>
        </w:rPr>
        <w:t xml:space="preserve">ové </w:t>
      </w:r>
      <w:r w:rsidR="00221596" w:rsidRPr="00273106">
        <w:rPr>
          <w:rStyle w:val="FontStyle157"/>
          <w:rFonts w:ascii="Calibri" w:hAnsi="Calibri"/>
          <w:i/>
          <w:sz w:val="24"/>
        </w:rPr>
        <w:t>tertium ens</w:t>
      </w:r>
      <w:r w:rsidR="003F16A5">
        <w:rPr>
          <w:rStyle w:val="FontStyle157"/>
          <w:rFonts w:ascii="Calibri" w:hAnsi="Calibri"/>
          <w:i/>
          <w:sz w:val="24"/>
        </w:rPr>
        <w:fldChar w:fldCharType="begin"/>
      </w:r>
      <w:r w:rsidR="003F16A5">
        <w:instrText xml:space="preserve"> XE "</w:instrText>
      </w:r>
      <w:r w:rsidR="003F16A5" w:rsidRPr="002F10B4">
        <w:rPr>
          <w:rStyle w:val="Zvraznn"/>
        </w:rPr>
        <w:instrText>tertium ens</w:instrText>
      </w:r>
      <w:r w:rsidR="00D90B42" w:rsidRPr="00D90B42">
        <w:rPr>
          <w:rStyle w:val="Zvraznn"/>
          <w:i w:val="0"/>
        </w:rPr>
        <w:instrText>:materie</w:instrText>
      </w:r>
      <w:r w:rsidR="003F16A5">
        <w:instrText xml:space="preserve">" </w:instrText>
      </w:r>
      <w:r w:rsidR="003F16A5">
        <w:rPr>
          <w:rStyle w:val="FontStyle157"/>
          <w:rFonts w:ascii="Calibri" w:hAnsi="Calibri"/>
          <w:i/>
          <w:sz w:val="24"/>
        </w:rPr>
        <w:fldChar w:fldCharType="end"/>
      </w:r>
      <w:r w:rsidR="00221596" w:rsidRPr="00273106">
        <w:rPr>
          <w:rStyle w:val="FontStyle157"/>
          <w:rFonts w:ascii="Calibri" w:hAnsi="Calibri"/>
          <w:i/>
          <w:sz w:val="24"/>
        </w:rPr>
        <w:t xml:space="preserve"> </w:t>
      </w:r>
      <w:r w:rsidR="00221596" w:rsidRPr="00273106">
        <w:rPr>
          <w:rStyle w:val="FontStyle157"/>
          <w:rFonts w:ascii="Calibri" w:hAnsi="Calibri"/>
          <w:sz w:val="24"/>
        </w:rPr>
        <w:t xml:space="preserve">bylo použito ke konstrukci </w:t>
      </w:r>
      <w:r w:rsidR="00146D01">
        <w:rPr>
          <w:rStyle w:val="FontStyle157"/>
          <w:rFonts w:ascii="Calibri" w:hAnsi="Calibri"/>
          <w:sz w:val="24"/>
        </w:rPr>
        <w:t xml:space="preserve">averroistického </w:t>
      </w:r>
      <w:r w:rsidR="008B0955" w:rsidRPr="00273106">
        <w:rPr>
          <w:rStyle w:val="FontStyle157"/>
          <w:rFonts w:ascii="Calibri" w:hAnsi="Calibri"/>
          <w:i/>
          <w:sz w:val="24"/>
        </w:rPr>
        <w:t>intellectus possi</w:t>
      </w:r>
      <w:r w:rsidR="00221596" w:rsidRPr="00273106">
        <w:rPr>
          <w:rStyle w:val="FontStyle157"/>
          <w:rFonts w:ascii="Calibri" w:hAnsi="Calibri"/>
          <w:i/>
          <w:sz w:val="24"/>
        </w:rPr>
        <w:t>bilis</w:t>
      </w:r>
      <w:r w:rsidR="009D323B">
        <w:rPr>
          <w:rStyle w:val="FontStyle157"/>
          <w:rFonts w:ascii="Calibri" w:hAnsi="Calibri"/>
          <w:i/>
          <w:sz w:val="24"/>
        </w:rPr>
        <w:fldChar w:fldCharType="begin"/>
      </w:r>
      <w:r w:rsidR="009D323B">
        <w:instrText xml:space="preserve"> XE "</w:instrText>
      </w:r>
      <w:r w:rsidR="009D323B" w:rsidRPr="00770D02">
        <w:rPr>
          <w:i/>
        </w:rPr>
        <w:instrText>intellectus possibilis</w:instrText>
      </w:r>
      <w:r w:rsidR="00D90B42" w:rsidRPr="00D90B42">
        <w:instrText>:druhý aver</w:instrText>
      </w:r>
      <w:r w:rsidR="00395731">
        <w:instrText>r</w:instrText>
      </w:r>
      <w:r w:rsidR="00D90B42" w:rsidRPr="00D90B42">
        <w:instrText>oismus</w:instrText>
      </w:r>
      <w:r w:rsidR="009D323B">
        <w:instrText xml:space="preserve">" </w:instrText>
      </w:r>
      <w:r w:rsidR="009D323B">
        <w:rPr>
          <w:rStyle w:val="FontStyle157"/>
          <w:rFonts w:ascii="Calibri" w:hAnsi="Calibri"/>
          <w:i/>
          <w:sz w:val="24"/>
        </w:rPr>
        <w:fldChar w:fldCharType="end"/>
      </w:r>
      <w:r w:rsidR="00221596" w:rsidRPr="00273106">
        <w:rPr>
          <w:rStyle w:val="FontStyle157"/>
          <w:rFonts w:ascii="Calibri" w:hAnsi="Calibri"/>
          <w:sz w:val="24"/>
        </w:rPr>
        <w:t>, který dostal protikladné vlastnosti</w:t>
      </w:r>
      <w:r w:rsidR="00624BDC">
        <w:rPr>
          <w:rStyle w:val="FontStyle157"/>
          <w:rFonts w:ascii="Calibri" w:hAnsi="Calibri"/>
          <w:sz w:val="24"/>
        </w:rPr>
        <w:t xml:space="preserve"> vázané na jeho </w:t>
      </w:r>
      <w:r w:rsidR="08C35B47">
        <w:rPr>
          <w:rStyle w:val="FontStyle157"/>
          <w:rFonts w:ascii="Calibri" w:hAnsi="Calibri"/>
          <w:sz w:val="24"/>
        </w:rPr>
        <w:t xml:space="preserve">sofistickou </w:t>
      </w:r>
      <w:r w:rsidR="00624BDC">
        <w:rPr>
          <w:rStyle w:val="FontStyle157"/>
          <w:rFonts w:ascii="Calibri" w:hAnsi="Calibri"/>
          <w:sz w:val="24"/>
        </w:rPr>
        <w:t>substancialitu</w:t>
      </w:r>
      <w:r w:rsidR="004C2DBA">
        <w:rPr>
          <w:rStyle w:val="FontStyle157"/>
          <w:rFonts w:ascii="Calibri" w:hAnsi="Calibri"/>
          <w:sz w:val="24"/>
        </w:rPr>
        <w:t xml:space="preserve">. </w:t>
      </w:r>
      <w:r w:rsidR="004C2DBA" w:rsidRPr="004C2DBA">
        <w:rPr>
          <w:rStyle w:val="FontStyle157"/>
          <w:rFonts w:ascii="Calibri" w:hAnsi="Calibri"/>
          <w:sz w:val="24"/>
        </w:rPr>
        <w:t>Moderní intelekt není a</w:t>
      </w:r>
      <w:r w:rsidR="00344EE2">
        <w:rPr>
          <w:rStyle w:val="FontStyle157"/>
          <w:rFonts w:ascii="Calibri" w:hAnsi="Calibri"/>
          <w:sz w:val="24"/>
        </w:rPr>
        <w:t xml:space="preserve"> není první substancí, protože </w:t>
      </w:r>
      <w:r w:rsidR="004C2DBA" w:rsidRPr="004C2DBA">
        <w:rPr>
          <w:rStyle w:val="FontStyle157"/>
          <w:rFonts w:ascii="Calibri" w:hAnsi="Calibri"/>
          <w:sz w:val="24"/>
        </w:rPr>
        <w:t>ex</w:t>
      </w:r>
      <w:r w:rsidR="004C2DBA">
        <w:rPr>
          <w:rStyle w:val="FontStyle157"/>
          <w:rFonts w:ascii="Calibri" w:hAnsi="Calibri"/>
          <w:sz w:val="24"/>
        </w:rPr>
        <w:t>istu</w:t>
      </w:r>
      <w:r w:rsidR="00344EE2">
        <w:rPr>
          <w:rStyle w:val="FontStyle157"/>
          <w:rFonts w:ascii="Calibri" w:hAnsi="Calibri"/>
          <w:sz w:val="24"/>
        </w:rPr>
        <w:t xml:space="preserve">je </w:t>
      </w:r>
      <w:r w:rsidR="004C2DBA" w:rsidRPr="004C2DBA">
        <w:rPr>
          <w:rStyle w:val="FontStyle157"/>
          <w:rFonts w:ascii="Calibri" w:hAnsi="Calibri"/>
          <w:sz w:val="24"/>
        </w:rPr>
        <w:t>pouze v mysli ilum</w:t>
      </w:r>
      <w:r w:rsidR="004C2DBA">
        <w:rPr>
          <w:rStyle w:val="FontStyle157"/>
          <w:rFonts w:ascii="Calibri" w:hAnsi="Calibri"/>
          <w:sz w:val="24"/>
        </w:rPr>
        <w:t xml:space="preserve">inátů. Taková mytologická impozice </w:t>
      </w:r>
      <w:r w:rsidR="004C2DBA" w:rsidRPr="004C2DBA">
        <w:rPr>
          <w:rStyle w:val="FontStyle157"/>
          <w:rFonts w:ascii="Calibri" w:hAnsi="Calibri"/>
          <w:sz w:val="24"/>
        </w:rPr>
        <w:t>mu brání být druhou subst</w:t>
      </w:r>
      <w:r w:rsidR="004C2DBA">
        <w:rPr>
          <w:rStyle w:val="FontStyle157"/>
          <w:rFonts w:ascii="Calibri" w:hAnsi="Calibri"/>
          <w:sz w:val="24"/>
        </w:rPr>
        <w:t xml:space="preserve">ancí, která vzniká metafyzickou </w:t>
      </w:r>
      <w:r w:rsidR="00344EE2">
        <w:rPr>
          <w:rStyle w:val="FontStyle157"/>
          <w:rFonts w:ascii="Calibri" w:hAnsi="Calibri"/>
          <w:sz w:val="24"/>
        </w:rPr>
        <w:t>impozicí</w:t>
      </w:r>
      <w:r w:rsidR="004C2DBA" w:rsidRPr="004C2DBA">
        <w:rPr>
          <w:rStyle w:val="FontStyle157"/>
          <w:rFonts w:ascii="Calibri" w:hAnsi="Calibri"/>
          <w:sz w:val="24"/>
        </w:rPr>
        <w:t xml:space="preserve">. Navíc </w:t>
      </w:r>
      <w:r w:rsidR="004C2DBA">
        <w:rPr>
          <w:rStyle w:val="FontStyle157"/>
          <w:rFonts w:ascii="Calibri" w:hAnsi="Calibri"/>
          <w:sz w:val="24"/>
        </w:rPr>
        <w:t xml:space="preserve">je tento </w:t>
      </w:r>
      <w:r w:rsidR="004C2DBA" w:rsidRPr="004C2DBA">
        <w:rPr>
          <w:rStyle w:val="FontStyle157"/>
          <w:rFonts w:ascii="Calibri" w:hAnsi="Calibri"/>
          <w:i/>
          <w:sz w:val="24"/>
        </w:rPr>
        <w:t>intellectus possibilis</w:t>
      </w:r>
      <w:r w:rsidR="004C2DBA" w:rsidRPr="004C2DBA">
        <w:rPr>
          <w:rStyle w:val="FontStyle157"/>
          <w:rFonts w:ascii="Calibri" w:hAnsi="Calibri"/>
          <w:sz w:val="24"/>
        </w:rPr>
        <w:t xml:space="preserve"> je </w:t>
      </w:r>
      <w:r w:rsidR="004C2DBA" w:rsidRPr="004C2DBA">
        <w:rPr>
          <w:rStyle w:val="FontStyle157"/>
          <w:rFonts w:ascii="Calibri" w:hAnsi="Calibri"/>
          <w:i/>
          <w:sz w:val="24"/>
        </w:rPr>
        <w:t>individuum</w:t>
      </w:r>
      <w:r w:rsidR="004C2DBA" w:rsidRPr="004C2DBA">
        <w:rPr>
          <w:rStyle w:val="FontStyle157"/>
          <w:rFonts w:ascii="Calibri" w:hAnsi="Calibri"/>
          <w:sz w:val="24"/>
        </w:rPr>
        <w:t xml:space="preserve"> a </w:t>
      </w:r>
      <w:r w:rsidR="004C2DBA">
        <w:rPr>
          <w:rStyle w:val="FontStyle157"/>
          <w:rFonts w:ascii="Calibri" w:hAnsi="Calibri"/>
          <w:sz w:val="24"/>
        </w:rPr>
        <w:t xml:space="preserve">zároveň není, vzhledem k univočně pojaté </w:t>
      </w:r>
      <w:r w:rsidR="004C2DBA" w:rsidRPr="004C2DBA">
        <w:rPr>
          <w:rStyle w:val="FontStyle157"/>
          <w:rFonts w:ascii="Calibri" w:hAnsi="Calibri"/>
          <w:i/>
          <w:sz w:val="24"/>
        </w:rPr>
        <w:t>materia prima</w:t>
      </w:r>
      <w:r w:rsidR="004C2DBA">
        <w:rPr>
          <w:i/>
        </w:rPr>
        <w:fldChar w:fldCharType="begin"/>
      </w:r>
      <w:r w:rsidR="004C2DBA">
        <w:instrText xml:space="preserve"> XE "</w:instrText>
      </w:r>
      <w:r w:rsidR="004C2DBA" w:rsidRPr="08D704BF">
        <w:instrText>materie</w:instrText>
      </w:r>
      <w:r w:rsidR="004C2DBA">
        <w:rPr>
          <w:i/>
        </w:rPr>
        <w:instrText xml:space="preserve">:materia </w:instrText>
      </w:r>
      <w:r w:rsidR="004C2DBA" w:rsidRPr="006D194D">
        <w:rPr>
          <w:i/>
        </w:rPr>
        <w:instrText>prima</w:instrText>
      </w:r>
      <w:r w:rsidR="004C2DBA">
        <w:instrText xml:space="preserve">" </w:instrText>
      </w:r>
      <w:r w:rsidR="004C2DBA">
        <w:rPr>
          <w:i/>
        </w:rPr>
        <w:fldChar w:fldCharType="end"/>
      </w:r>
      <w:r w:rsidR="004C2DBA" w:rsidRPr="004C2DBA">
        <w:rPr>
          <w:rStyle w:val="FontStyle157"/>
          <w:rFonts w:ascii="Calibri" w:hAnsi="Calibri"/>
          <w:sz w:val="24"/>
        </w:rPr>
        <w:t>. Je hyparchickou formou a zároveň tvoří dělitelnou substa</w:t>
      </w:r>
      <w:r w:rsidR="004C2DBA">
        <w:rPr>
          <w:rStyle w:val="FontStyle157"/>
          <w:rFonts w:ascii="Calibri" w:hAnsi="Calibri"/>
          <w:sz w:val="24"/>
        </w:rPr>
        <w:t>nci třetího druhu jako univerzálie</w:t>
      </w:r>
      <w:r w:rsidR="004C2DBA" w:rsidRPr="004C2DBA">
        <w:rPr>
          <w:rStyle w:val="FontStyle157"/>
          <w:rFonts w:ascii="Calibri" w:hAnsi="Calibri"/>
          <w:sz w:val="24"/>
        </w:rPr>
        <w:t xml:space="preserve"> v Porfyriově stromu.</w:t>
      </w:r>
      <w:r w:rsidR="004C2DBA">
        <w:rPr>
          <w:rStyle w:val="FontStyle157"/>
          <w:rFonts w:ascii="Calibri" w:hAnsi="Calibri"/>
          <w:sz w:val="24"/>
        </w:rPr>
        <w:t xml:space="preserve"> </w:t>
      </w:r>
      <w:r w:rsidR="00221596" w:rsidRPr="00273106">
        <w:rPr>
          <w:rStyle w:val="FontStyle157"/>
          <w:rFonts w:ascii="Calibri" w:hAnsi="Calibri"/>
          <w:sz w:val="24"/>
        </w:rPr>
        <w:t xml:space="preserve">A navíc tento moderní </w:t>
      </w:r>
      <w:r w:rsidR="00FD7524">
        <w:rPr>
          <w:rStyle w:val="FontStyle157"/>
          <w:rFonts w:ascii="Calibri" w:hAnsi="Calibri"/>
          <w:i/>
          <w:sz w:val="24"/>
        </w:rPr>
        <w:t>intellectus possi</w:t>
      </w:r>
      <w:r w:rsidR="00221596" w:rsidRPr="00273106">
        <w:rPr>
          <w:rStyle w:val="FontStyle157"/>
          <w:rFonts w:ascii="Calibri" w:hAnsi="Calibri"/>
          <w:i/>
          <w:sz w:val="24"/>
        </w:rPr>
        <w:t>bilis</w:t>
      </w:r>
      <w:r w:rsidR="00221596" w:rsidRPr="00273106">
        <w:rPr>
          <w:rStyle w:val="FontStyle157"/>
          <w:rFonts w:ascii="Calibri" w:hAnsi="Calibri"/>
          <w:sz w:val="24"/>
        </w:rPr>
        <w:t xml:space="preserve"> je a není společný všem lidem, protože jeho </w:t>
      </w:r>
      <w:r w:rsidR="00962C28">
        <w:rPr>
          <w:rStyle w:val="FontStyle157"/>
          <w:rFonts w:ascii="Calibri" w:hAnsi="Calibri"/>
          <w:sz w:val="24"/>
        </w:rPr>
        <w:t>individualizovaná</w:t>
      </w:r>
      <w:r w:rsidR="00426686" w:rsidRPr="00273106">
        <w:rPr>
          <w:rStyle w:val="FontStyle157"/>
          <w:rFonts w:ascii="Calibri" w:hAnsi="Calibri"/>
          <w:sz w:val="24"/>
        </w:rPr>
        <w:t xml:space="preserve"> </w:t>
      </w:r>
      <w:r w:rsidR="00221596" w:rsidRPr="00273106">
        <w:rPr>
          <w:rStyle w:val="FontStyle157"/>
          <w:rFonts w:ascii="Calibri" w:hAnsi="Calibri"/>
          <w:i/>
          <w:sz w:val="24"/>
        </w:rPr>
        <w:t>potentia</w:t>
      </w:r>
      <w:r w:rsidR="00221596" w:rsidRPr="00273106">
        <w:rPr>
          <w:rStyle w:val="FontStyle157"/>
          <w:rFonts w:ascii="Calibri" w:hAnsi="Calibri"/>
          <w:sz w:val="24"/>
        </w:rPr>
        <w:t xml:space="preserve"> je dána také </w:t>
      </w:r>
      <w:r w:rsidR="00221596" w:rsidRPr="00273106">
        <w:rPr>
          <w:rStyle w:val="FontStyle157"/>
          <w:rFonts w:ascii="Calibri" w:hAnsi="Calibri"/>
          <w:i/>
          <w:sz w:val="24"/>
        </w:rPr>
        <w:t>commune</w:t>
      </w:r>
      <w:r w:rsidR="00221596" w:rsidRPr="00273106">
        <w:rPr>
          <w:rStyle w:val="FontStyle157"/>
          <w:rFonts w:ascii="Calibri" w:hAnsi="Calibri"/>
          <w:sz w:val="24"/>
        </w:rPr>
        <w:t>, a to skrze pochybný koncept materie</w:t>
      </w:r>
      <w:r w:rsidR="00780DCE" w:rsidRPr="00273106">
        <w:rPr>
          <w:rStyle w:val="FontStyle157"/>
          <w:rFonts w:ascii="Calibri" w:hAnsi="Calibri"/>
          <w:sz w:val="24"/>
        </w:rPr>
        <w:t xml:space="preserve"> třetího druhu</w:t>
      </w:r>
      <w:r w:rsidR="00607CC7">
        <w:fldChar w:fldCharType="begin"/>
      </w:r>
      <w:r w:rsidR="00607CC7">
        <w:instrText xml:space="preserve"> XE "</w:instrText>
      </w:r>
      <w:r w:rsidR="00607CC7" w:rsidRPr="00423560">
        <w:instrText>univerzální hylemorfismus</w:instrText>
      </w:r>
      <w:r w:rsidR="00607CC7">
        <w:instrText xml:space="preserve">" </w:instrText>
      </w:r>
      <w:r w:rsidR="00607CC7">
        <w:fldChar w:fldCharType="end"/>
      </w:r>
      <w:r w:rsidR="00221596" w:rsidRPr="00273106">
        <w:rPr>
          <w:rStyle w:val="FontStyle157"/>
          <w:rFonts w:ascii="Calibri" w:hAnsi="Calibri"/>
          <w:sz w:val="24"/>
        </w:rPr>
        <w:t xml:space="preserve">. </w:t>
      </w:r>
      <w:r w:rsidR="08E82F5C" w:rsidRPr="00273106">
        <w:rPr>
          <w:rStyle w:val="FontStyle157"/>
          <w:rFonts w:ascii="Calibri" w:hAnsi="Calibri"/>
          <w:sz w:val="24"/>
        </w:rPr>
        <w:t>Zavedení spirituální materie do povahy intelektu změnilo aristotelskou nauku směrem k neoplatonimu. M</w:t>
      </w:r>
      <w:r w:rsidR="08E82F5C" w:rsidRPr="00273106">
        <w:t>odernisté vyrobili další jsoucno třetího druhu po vzoru Si</w:t>
      </w:r>
      <w:r w:rsidR="00D816E6">
        <w:t>mplikia a dalších neoplatoniků.</w:t>
      </w:r>
    </w:p>
    <w:p w14:paraId="5533510F" w14:textId="12181E1F" w:rsidR="08C40821" w:rsidRPr="08C40821" w:rsidRDefault="0023026E" w:rsidP="00D816E6">
      <w:pPr>
        <w:ind w:firstLine="397"/>
      </w:pPr>
      <w:r>
        <w:t xml:space="preserve">Albert, </w:t>
      </w:r>
      <w:r w:rsidR="08E82F5C" w:rsidRPr="00273106">
        <w:t xml:space="preserve">stejně jako Alvernus a </w:t>
      </w:r>
      <w:r w:rsidR="08E82F5C">
        <w:t>Bacon</w:t>
      </w:r>
      <w:r>
        <w:t>,</w:t>
      </w:r>
      <w:r w:rsidR="08E82F5C">
        <w:t xml:space="preserve"> se nemohl podílet na </w:t>
      </w:r>
      <w:r w:rsidR="08E82F5C" w:rsidRPr="00273106">
        <w:t xml:space="preserve">kapitulaci </w:t>
      </w:r>
      <w:r w:rsidR="08E82F5C">
        <w:t xml:space="preserve">kritického </w:t>
      </w:r>
      <w:r w:rsidR="08E82F5C" w:rsidRPr="00273106">
        <w:t>rozumu</w:t>
      </w:r>
      <w:r w:rsidR="08E82F5C">
        <w:t xml:space="preserve">, kterou prováděla škola modernistů nejprve </w:t>
      </w:r>
      <w:r w:rsidR="08120F77">
        <w:t xml:space="preserve">v Oxfordu a pak </w:t>
      </w:r>
      <w:r w:rsidR="08E82F5C">
        <w:t>v Paříži</w:t>
      </w:r>
      <w:r w:rsidR="08E82F5C" w:rsidRPr="00273106">
        <w:t xml:space="preserve">. </w:t>
      </w:r>
      <w:r w:rsidR="00607CC7">
        <w:rPr>
          <w:rStyle w:val="FontStyle157"/>
          <w:rFonts w:ascii="Calibri" w:hAnsi="Calibri"/>
          <w:sz w:val="24"/>
        </w:rPr>
        <w:t>P</w:t>
      </w:r>
      <w:r w:rsidR="00221596" w:rsidRPr="00273106">
        <w:rPr>
          <w:rStyle w:val="FontStyle157"/>
          <w:rFonts w:ascii="Calibri" w:hAnsi="Calibri"/>
          <w:sz w:val="24"/>
        </w:rPr>
        <w:t xml:space="preserve">ojetí možného intelektu </w:t>
      </w:r>
      <w:r w:rsidR="00607CC7">
        <w:rPr>
          <w:rStyle w:val="FontStyle157"/>
          <w:rFonts w:ascii="Calibri" w:hAnsi="Calibri"/>
          <w:sz w:val="24"/>
        </w:rPr>
        <w:t xml:space="preserve">v modu univerzálního hylemorfismu </w:t>
      </w:r>
      <w:r w:rsidR="00221596" w:rsidRPr="00273106">
        <w:rPr>
          <w:rStyle w:val="FontStyle157"/>
          <w:rFonts w:ascii="Calibri" w:hAnsi="Calibri"/>
          <w:sz w:val="24"/>
        </w:rPr>
        <w:t>znamenalo pro Alberta popře</w:t>
      </w:r>
      <w:r w:rsidR="002417D8" w:rsidRPr="00273106">
        <w:rPr>
          <w:rStyle w:val="FontStyle157"/>
          <w:rFonts w:ascii="Calibri" w:hAnsi="Calibri"/>
          <w:sz w:val="24"/>
        </w:rPr>
        <w:t xml:space="preserve">ní aristotelismu v </w:t>
      </w:r>
      <w:r w:rsidR="002417D8" w:rsidRPr="00273106">
        <w:rPr>
          <w:rStyle w:val="FontStyle157"/>
          <w:rFonts w:ascii="Calibri" w:hAnsi="Calibri"/>
          <w:sz w:val="24"/>
        </w:rPr>
        <w:lastRenderedPageBreak/>
        <w:t>jeho celku</w:t>
      </w:r>
      <w:r w:rsidR="00537FEC" w:rsidRPr="00273106">
        <w:rPr>
          <w:rStyle w:val="FontStyle157"/>
          <w:rFonts w:ascii="Calibri" w:hAnsi="Calibri"/>
          <w:sz w:val="24"/>
        </w:rPr>
        <w:t xml:space="preserve">. </w:t>
      </w:r>
      <w:r w:rsidR="08337B97">
        <w:rPr>
          <w:rStyle w:val="FontStyle157"/>
          <w:rFonts w:ascii="Calibri" w:hAnsi="Calibri"/>
          <w:sz w:val="24"/>
        </w:rPr>
        <w:t xml:space="preserve">Racionálně </w:t>
      </w:r>
      <w:r w:rsidR="007D4EC1">
        <w:rPr>
          <w:rStyle w:val="FontStyle157"/>
          <w:rFonts w:ascii="Calibri" w:hAnsi="Calibri"/>
          <w:sz w:val="24"/>
        </w:rPr>
        <w:t xml:space="preserve">je </w:t>
      </w:r>
      <w:r w:rsidR="08337B97">
        <w:rPr>
          <w:rStyle w:val="FontStyle157"/>
          <w:rFonts w:ascii="Calibri" w:hAnsi="Calibri"/>
          <w:sz w:val="24"/>
        </w:rPr>
        <w:t xml:space="preserve">toto řešení moderny </w:t>
      </w:r>
      <w:r w:rsidR="007D4EC1">
        <w:rPr>
          <w:rStyle w:val="FontStyle157"/>
          <w:rFonts w:ascii="Calibri" w:hAnsi="Calibri"/>
          <w:sz w:val="24"/>
        </w:rPr>
        <w:t>úplně nesmyslné</w:t>
      </w:r>
      <w:r w:rsidR="08572B4C">
        <w:rPr>
          <w:rStyle w:val="FontStyle157"/>
          <w:rFonts w:ascii="Calibri" w:hAnsi="Calibri"/>
          <w:sz w:val="24"/>
        </w:rPr>
        <w:t xml:space="preserve">, stojí </w:t>
      </w:r>
      <w:r w:rsidR="08120F77">
        <w:rPr>
          <w:rStyle w:val="FontStyle157"/>
          <w:rFonts w:ascii="Calibri" w:hAnsi="Calibri"/>
          <w:sz w:val="24"/>
        </w:rPr>
        <w:t>mimo rozumné filosofické</w:t>
      </w:r>
      <w:r w:rsidR="08337B97">
        <w:rPr>
          <w:rStyle w:val="FontStyle157"/>
          <w:rFonts w:ascii="Calibri" w:hAnsi="Calibri"/>
          <w:sz w:val="24"/>
        </w:rPr>
        <w:t xml:space="preserve"> myšlení </w:t>
      </w:r>
      <w:r w:rsidR="007D4EC1">
        <w:rPr>
          <w:rStyle w:val="FontStyle157"/>
          <w:rFonts w:ascii="Calibri" w:hAnsi="Calibri"/>
          <w:sz w:val="24"/>
        </w:rPr>
        <w:t xml:space="preserve">a zrušilo jednotu osoby. </w:t>
      </w:r>
      <w:r w:rsidR="00537FEC" w:rsidRPr="00273106">
        <w:rPr>
          <w:rStyle w:val="FontStyle157"/>
          <w:rFonts w:ascii="Calibri" w:hAnsi="Calibri"/>
          <w:sz w:val="24"/>
        </w:rPr>
        <w:t xml:space="preserve">Proto </w:t>
      </w:r>
      <w:r w:rsidR="00393317" w:rsidRPr="00273106">
        <w:rPr>
          <w:rStyle w:val="FontStyle157"/>
          <w:rFonts w:ascii="Calibri" w:hAnsi="Calibri"/>
          <w:sz w:val="24"/>
        </w:rPr>
        <w:t xml:space="preserve">se </w:t>
      </w:r>
      <w:r w:rsidR="007D4EC1">
        <w:rPr>
          <w:rStyle w:val="FontStyle157"/>
          <w:rFonts w:ascii="Calibri" w:hAnsi="Calibri"/>
          <w:sz w:val="24"/>
        </w:rPr>
        <w:t xml:space="preserve">Albert </w:t>
      </w:r>
      <w:r w:rsidR="00393317" w:rsidRPr="00273106">
        <w:rPr>
          <w:rStyle w:val="FontStyle157"/>
          <w:rFonts w:ascii="Calibri" w:hAnsi="Calibri"/>
          <w:sz w:val="24"/>
        </w:rPr>
        <w:t xml:space="preserve">rozhodl </w:t>
      </w:r>
      <w:r w:rsidR="00537FEC" w:rsidRPr="00273106">
        <w:rPr>
          <w:rStyle w:val="FontStyle157"/>
          <w:rFonts w:ascii="Calibri" w:hAnsi="Calibri"/>
          <w:sz w:val="24"/>
        </w:rPr>
        <w:t xml:space="preserve">integrálně vyložit </w:t>
      </w:r>
      <w:r w:rsidR="00D2463E">
        <w:rPr>
          <w:rStyle w:val="FontStyle157"/>
          <w:rFonts w:ascii="Calibri" w:hAnsi="Calibri"/>
          <w:sz w:val="24"/>
        </w:rPr>
        <w:t xml:space="preserve">Aristotelovo </w:t>
      </w:r>
      <w:r w:rsidR="005628C3">
        <w:rPr>
          <w:rStyle w:val="FontStyle157"/>
          <w:rFonts w:ascii="Calibri" w:hAnsi="Calibri"/>
          <w:sz w:val="24"/>
        </w:rPr>
        <w:t>dílo</w:t>
      </w:r>
      <w:r w:rsidR="00537FEC" w:rsidRPr="00273106">
        <w:rPr>
          <w:rStyle w:val="FontStyle157"/>
          <w:rFonts w:ascii="Calibri" w:hAnsi="Calibri"/>
          <w:sz w:val="24"/>
        </w:rPr>
        <w:t>, aby k podobným nesmyslům nedocházelo</w:t>
      </w:r>
      <w:r w:rsidR="00D44EDD" w:rsidRPr="00273106">
        <w:rPr>
          <w:rStyle w:val="FontStyle157"/>
          <w:rFonts w:ascii="Calibri" w:hAnsi="Calibri"/>
          <w:sz w:val="24"/>
        </w:rPr>
        <w:t xml:space="preserve"> i v dalších pokoleních</w:t>
      </w:r>
      <w:r w:rsidR="002417D8" w:rsidRPr="00273106">
        <w:rPr>
          <w:rStyle w:val="FontStyle157"/>
          <w:rFonts w:ascii="Calibri" w:hAnsi="Calibri"/>
          <w:sz w:val="24"/>
        </w:rPr>
        <w:t>.</w:t>
      </w:r>
      <w:r w:rsidR="00F35172" w:rsidRPr="00273106">
        <w:rPr>
          <w:rStyle w:val="FontStyle157"/>
          <w:rFonts w:ascii="Calibri" w:hAnsi="Calibri"/>
          <w:sz w:val="24"/>
        </w:rPr>
        <w:t xml:space="preserve"> </w:t>
      </w:r>
      <w:r w:rsidR="08320E18">
        <w:rPr>
          <w:rStyle w:val="FontStyle157"/>
          <w:rFonts w:ascii="Calibri" w:hAnsi="Calibri"/>
          <w:sz w:val="24"/>
        </w:rPr>
        <w:t>Totéž dě</w:t>
      </w:r>
      <w:r w:rsidR="08C40821">
        <w:rPr>
          <w:rStyle w:val="FontStyle157"/>
          <w:rFonts w:ascii="Calibri" w:hAnsi="Calibri"/>
          <w:sz w:val="24"/>
        </w:rPr>
        <w:t xml:space="preserve">lá Roger Bacon v téže době </w:t>
      </w:r>
      <w:r w:rsidR="08320E18">
        <w:rPr>
          <w:rStyle w:val="FontStyle157"/>
          <w:rFonts w:ascii="Calibri" w:hAnsi="Calibri"/>
          <w:sz w:val="24"/>
        </w:rPr>
        <w:t xml:space="preserve">sepsáním díla </w:t>
      </w:r>
      <w:r w:rsidR="08320E18" w:rsidRPr="08320E18">
        <w:rPr>
          <w:rStyle w:val="FontStyle157"/>
          <w:rFonts w:ascii="Calibri" w:hAnsi="Calibri"/>
          <w:i/>
          <w:sz w:val="24"/>
        </w:rPr>
        <w:t>Opus maius</w:t>
      </w:r>
      <w:r w:rsidR="08320E18">
        <w:rPr>
          <w:rStyle w:val="FontStyle157"/>
          <w:rFonts w:ascii="Calibri" w:hAnsi="Calibri"/>
          <w:sz w:val="24"/>
        </w:rPr>
        <w:t xml:space="preserve"> a </w:t>
      </w:r>
      <w:r w:rsidR="08320E18" w:rsidRPr="08320E18">
        <w:rPr>
          <w:rStyle w:val="FontStyle157"/>
          <w:rFonts w:ascii="Calibri" w:hAnsi="Calibri"/>
          <w:i/>
          <w:sz w:val="24"/>
        </w:rPr>
        <w:t>Opus minus</w:t>
      </w:r>
      <w:r w:rsidR="08320E18">
        <w:rPr>
          <w:rStyle w:val="FontStyle157"/>
          <w:rFonts w:ascii="Calibri" w:hAnsi="Calibri"/>
          <w:sz w:val="24"/>
        </w:rPr>
        <w:t xml:space="preserve"> (</w:t>
      </w:r>
      <w:r w:rsidR="087D3378">
        <w:t>kap. 3</w:t>
      </w:r>
      <w:r w:rsidR="08320E18" w:rsidRPr="00273106">
        <w:t>.4.3</w:t>
      </w:r>
      <w:r w:rsidR="08320E18">
        <w:rPr>
          <w:rStyle w:val="FontStyle157"/>
          <w:rFonts w:ascii="Calibri" w:hAnsi="Calibri"/>
          <w:sz w:val="24"/>
        </w:rPr>
        <w:t xml:space="preserve">). </w:t>
      </w:r>
      <w:r w:rsidR="00E518EA" w:rsidRPr="00273106">
        <w:rPr>
          <w:rStyle w:val="FontStyle157"/>
          <w:rFonts w:ascii="Calibri" w:hAnsi="Calibri"/>
          <w:sz w:val="24"/>
        </w:rPr>
        <w:t xml:space="preserve">V </w:t>
      </w:r>
      <w:r w:rsidR="00D73D1A" w:rsidRPr="00273106">
        <w:rPr>
          <w:rStyle w:val="FontStyle157"/>
          <w:rFonts w:ascii="Calibri" w:hAnsi="Calibri"/>
          <w:sz w:val="24"/>
        </w:rPr>
        <w:t xml:space="preserve">obraně autentického aristotelismu </w:t>
      </w:r>
      <w:r w:rsidR="000C7B65" w:rsidRPr="00273106">
        <w:rPr>
          <w:rStyle w:val="FontStyle157"/>
          <w:rFonts w:ascii="Calibri" w:hAnsi="Calibri"/>
          <w:sz w:val="24"/>
        </w:rPr>
        <w:t xml:space="preserve">proti </w:t>
      </w:r>
      <w:r w:rsidR="00086AA9" w:rsidRPr="00273106">
        <w:rPr>
          <w:rStyle w:val="FontStyle157"/>
          <w:rFonts w:ascii="Calibri" w:hAnsi="Calibri"/>
          <w:sz w:val="24"/>
        </w:rPr>
        <w:t xml:space="preserve">sofistickým Latiníkům </w:t>
      </w:r>
      <w:r w:rsidR="00E518EA" w:rsidRPr="00273106">
        <w:rPr>
          <w:rStyle w:val="FontStyle157"/>
          <w:rFonts w:ascii="Calibri" w:hAnsi="Calibri"/>
          <w:sz w:val="24"/>
        </w:rPr>
        <w:t>neuspěl</w:t>
      </w:r>
      <w:r w:rsidR="08DC0D71">
        <w:rPr>
          <w:rStyle w:val="FontStyle157"/>
          <w:rFonts w:ascii="Calibri" w:hAnsi="Calibri"/>
          <w:sz w:val="24"/>
        </w:rPr>
        <w:t xml:space="preserve"> ani jeden z nich</w:t>
      </w:r>
      <w:r w:rsidR="005849A1">
        <w:rPr>
          <w:rStyle w:val="FontStyle157"/>
          <w:rFonts w:ascii="Calibri" w:hAnsi="Calibri"/>
          <w:sz w:val="24"/>
        </w:rPr>
        <w:t xml:space="preserve">. To definitivně </w:t>
      </w:r>
      <w:r w:rsidR="008745C7">
        <w:rPr>
          <w:rStyle w:val="FontStyle157"/>
          <w:rFonts w:ascii="Calibri" w:hAnsi="Calibri"/>
          <w:sz w:val="24"/>
        </w:rPr>
        <w:t>potvrzuje současná epocha</w:t>
      </w:r>
      <w:r w:rsidR="005849A1">
        <w:rPr>
          <w:rStyle w:val="FontStyle157"/>
          <w:rFonts w:ascii="Calibri" w:hAnsi="Calibri"/>
          <w:sz w:val="24"/>
        </w:rPr>
        <w:t xml:space="preserve"> v modu </w:t>
      </w:r>
      <w:r w:rsidR="005849A1" w:rsidRPr="005849A1">
        <w:rPr>
          <w:rStyle w:val="FontStyle157"/>
          <w:rFonts w:ascii="Calibri" w:hAnsi="Calibri"/>
          <w:i/>
          <w:sz w:val="24"/>
        </w:rPr>
        <w:t>de fine</w:t>
      </w:r>
      <w:r w:rsidR="005849A1">
        <w:rPr>
          <w:rStyle w:val="FontStyle157"/>
          <w:rFonts w:ascii="Calibri" w:hAnsi="Calibri"/>
          <w:sz w:val="24"/>
        </w:rPr>
        <w:t>, tedy od současného metafyzického nihilismu postmoderny</w:t>
      </w:r>
      <w:r w:rsidR="084E49F9">
        <w:rPr>
          <w:rStyle w:val="FontStyle157"/>
          <w:rFonts w:ascii="Calibri" w:hAnsi="Calibri"/>
          <w:sz w:val="24"/>
        </w:rPr>
        <w:t>. Současná doba převzala od moderny schizofrenické pojetí člověka rozděleného na několik substancí a paranoický pohled na svět zabydlený substancemi třetího druhu</w:t>
      </w:r>
      <w:r w:rsidR="00E518EA" w:rsidRPr="00273106">
        <w:rPr>
          <w:rStyle w:val="FontStyle157"/>
          <w:rFonts w:ascii="Calibri" w:hAnsi="Calibri"/>
          <w:sz w:val="24"/>
        </w:rPr>
        <w:t xml:space="preserve">. </w:t>
      </w:r>
      <w:r w:rsidR="08F94A8C">
        <w:rPr>
          <w:rStyle w:val="FontStyle157"/>
          <w:rFonts w:ascii="Calibri" w:hAnsi="Calibri"/>
          <w:sz w:val="24"/>
        </w:rPr>
        <w:t>Toto pojetí světa a člověka zásadně odmítl první averroismus Sicilské školy</w:t>
      </w:r>
      <w:r w:rsidR="08F94A8C">
        <w:rPr>
          <w:rStyle w:val="FontStyle157"/>
          <w:rFonts w:ascii="Calibri" w:hAnsi="Calibri"/>
          <w:sz w:val="24"/>
        </w:rPr>
        <w:fldChar w:fldCharType="begin"/>
      </w:r>
      <w:r w:rsidR="08F94A8C">
        <w:instrText xml:space="preserve"> XE "</w:instrText>
      </w:r>
      <w:r w:rsidR="08F94A8C" w:rsidRPr="085A395C">
        <w:rPr>
          <w:rStyle w:val="FontStyle157"/>
          <w:rFonts w:ascii="Calibri" w:hAnsi="Calibri"/>
          <w:sz w:val="24"/>
        </w:rPr>
        <w:instrText>Sicilská škola</w:instrText>
      </w:r>
      <w:r w:rsidR="08F94A8C">
        <w:instrText xml:space="preserve">" </w:instrText>
      </w:r>
      <w:r w:rsidR="08F94A8C">
        <w:rPr>
          <w:rStyle w:val="FontStyle157"/>
          <w:rFonts w:ascii="Calibri" w:hAnsi="Calibri"/>
          <w:sz w:val="24"/>
        </w:rPr>
        <w:fldChar w:fldCharType="end"/>
      </w:r>
      <w:r w:rsidR="08F94A8C">
        <w:rPr>
          <w:rStyle w:val="FontStyle157"/>
          <w:rFonts w:ascii="Calibri" w:hAnsi="Calibri"/>
          <w:sz w:val="24"/>
        </w:rPr>
        <w:t xml:space="preserve">. </w:t>
      </w:r>
      <w:r w:rsidR="00B41142" w:rsidRPr="00273106">
        <w:rPr>
          <w:rStyle w:val="FontStyle157"/>
          <w:rFonts w:ascii="Calibri" w:hAnsi="Calibri"/>
          <w:sz w:val="24"/>
        </w:rPr>
        <w:t xml:space="preserve">V prvním averroismu </w:t>
      </w:r>
      <w:r w:rsidR="003F60F2">
        <w:rPr>
          <w:rStyle w:val="FontStyle157"/>
          <w:rFonts w:ascii="Calibri" w:hAnsi="Calibri"/>
          <w:sz w:val="24"/>
        </w:rPr>
        <w:t xml:space="preserve">sledujícím výklad CMDA </w:t>
      </w:r>
      <w:r w:rsidR="00B41142" w:rsidRPr="00273106">
        <w:rPr>
          <w:rStyle w:val="FontStyle157"/>
          <w:rFonts w:ascii="Calibri" w:hAnsi="Calibri"/>
          <w:sz w:val="24"/>
        </w:rPr>
        <w:t xml:space="preserve">je </w:t>
      </w:r>
      <w:r w:rsidR="00B41142" w:rsidRPr="00273106">
        <w:rPr>
          <w:rStyle w:val="FontStyle157"/>
          <w:rFonts w:ascii="Calibri" w:hAnsi="Calibri"/>
          <w:i/>
          <w:sz w:val="24"/>
        </w:rPr>
        <w:t>intellectus possibilis</w:t>
      </w:r>
      <w:r w:rsidR="00B41142" w:rsidRPr="00273106">
        <w:rPr>
          <w:rStyle w:val="FontStyle157"/>
          <w:rFonts w:ascii="Calibri" w:hAnsi="Calibri"/>
          <w:sz w:val="24"/>
        </w:rPr>
        <w:t xml:space="preserve"> </w:t>
      </w:r>
      <w:r w:rsidR="003F60F2">
        <w:rPr>
          <w:rStyle w:val="FontStyle157"/>
          <w:rFonts w:ascii="Calibri" w:hAnsi="Calibri"/>
          <w:sz w:val="24"/>
        </w:rPr>
        <w:t xml:space="preserve">zásadně </w:t>
      </w:r>
      <w:r w:rsidR="004C3916">
        <w:rPr>
          <w:rStyle w:val="FontStyle157"/>
          <w:rFonts w:ascii="Calibri" w:hAnsi="Calibri"/>
          <w:sz w:val="24"/>
        </w:rPr>
        <w:t xml:space="preserve">osobní </w:t>
      </w:r>
      <w:r w:rsidR="0065534F" w:rsidRPr="00273106">
        <w:rPr>
          <w:rStyle w:val="FontStyle157"/>
          <w:rFonts w:ascii="Calibri" w:hAnsi="Calibri"/>
          <w:sz w:val="24"/>
        </w:rPr>
        <w:t xml:space="preserve">jako </w:t>
      </w:r>
      <w:r w:rsidR="0065534F" w:rsidRPr="00273106">
        <w:rPr>
          <w:rStyle w:val="FontStyle157"/>
          <w:rFonts w:ascii="Calibri" w:hAnsi="Calibri"/>
          <w:i/>
          <w:sz w:val="24"/>
        </w:rPr>
        <w:t xml:space="preserve">tertium </w:t>
      </w:r>
      <w:r w:rsidR="00B1298A">
        <w:rPr>
          <w:rStyle w:val="FontStyle157"/>
          <w:rFonts w:ascii="Calibri" w:hAnsi="Calibri"/>
          <w:i/>
          <w:sz w:val="24"/>
        </w:rPr>
        <w:t>genus</w:t>
      </w:r>
      <w:r w:rsidR="00982C89">
        <w:rPr>
          <w:rStyle w:val="FontStyle157"/>
          <w:rFonts w:ascii="Calibri" w:hAnsi="Calibri"/>
          <w:i/>
          <w:sz w:val="24"/>
        </w:rPr>
        <w:fldChar w:fldCharType="begin"/>
      </w:r>
      <w:r w:rsidR="00982C89">
        <w:instrText xml:space="preserve"> XE "</w:instrText>
      </w:r>
      <w:r w:rsidR="00982C89" w:rsidRPr="00D80F84">
        <w:rPr>
          <w:i/>
        </w:rPr>
        <w:instrText>tertium genus</w:instrText>
      </w:r>
      <w:r w:rsidR="00982C89">
        <w:instrText xml:space="preserve">" </w:instrText>
      </w:r>
      <w:r w:rsidR="00982C89">
        <w:rPr>
          <w:rStyle w:val="FontStyle157"/>
          <w:rFonts w:ascii="Calibri" w:hAnsi="Calibri"/>
          <w:i/>
          <w:sz w:val="24"/>
        </w:rPr>
        <w:fldChar w:fldCharType="end"/>
      </w:r>
      <w:r w:rsidR="00B41142" w:rsidRPr="00273106">
        <w:rPr>
          <w:rStyle w:val="FontStyle157"/>
          <w:rFonts w:ascii="Calibri" w:hAnsi="Calibri"/>
          <w:sz w:val="24"/>
        </w:rPr>
        <w:t xml:space="preserve">. Univerzální </w:t>
      </w:r>
      <w:r w:rsidR="08F11AE5">
        <w:rPr>
          <w:rStyle w:val="FontStyle157"/>
          <w:rFonts w:ascii="Calibri" w:hAnsi="Calibri"/>
          <w:sz w:val="24"/>
        </w:rPr>
        <w:t xml:space="preserve">intelekt </w:t>
      </w:r>
      <w:r w:rsidR="00B41142" w:rsidRPr="00273106">
        <w:rPr>
          <w:rStyle w:val="FontStyle157"/>
          <w:rFonts w:ascii="Calibri" w:hAnsi="Calibri"/>
          <w:sz w:val="24"/>
        </w:rPr>
        <w:t xml:space="preserve">je </w:t>
      </w:r>
      <w:r w:rsidR="00420031" w:rsidRPr="00273106">
        <w:rPr>
          <w:rStyle w:val="FontStyle157"/>
          <w:rFonts w:ascii="Calibri" w:hAnsi="Calibri"/>
          <w:sz w:val="24"/>
        </w:rPr>
        <w:t xml:space="preserve">v </w:t>
      </w:r>
      <w:r w:rsidR="004E030B">
        <w:rPr>
          <w:rStyle w:val="FontStyle157"/>
          <w:rFonts w:ascii="Calibri" w:hAnsi="Calibri"/>
          <w:sz w:val="24"/>
        </w:rPr>
        <w:t xml:space="preserve">abstrahovaném </w:t>
      </w:r>
      <w:r w:rsidR="00420031" w:rsidRPr="00273106">
        <w:rPr>
          <w:rStyle w:val="FontStyle157"/>
          <w:rFonts w:ascii="Calibri" w:hAnsi="Calibri"/>
          <w:sz w:val="24"/>
        </w:rPr>
        <w:t xml:space="preserve">modu </w:t>
      </w:r>
      <w:r w:rsidR="00420031" w:rsidRPr="00273106">
        <w:rPr>
          <w:rStyle w:val="FontStyle157"/>
          <w:rFonts w:ascii="Calibri" w:hAnsi="Calibri"/>
          <w:i/>
          <w:sz w:val="24"/>
        </w:rPr>
        <w:t xml:space="preserve">quartum </w:t>
      </w:r>
      <w:r w:rsidR="00B1298A">
        <w:rPr>
          <w:rStyle w:val="FontStyle157"/>
          <w:rFonts w:ascii="Calibri" w:hAnsi="Calibri"/>
          <w:i/>
          <w:sz w:val="24"/>
        </w:rPr>
        <w:t>genus</w:t>
      </w:r>
      <w:r w:rsidR="00982C89">
        <w:rPr>
          <w:rStyle w:val="FontStyle157"/>
          <w:rFonts w:ascii="Calibri" w:hAnsi="Calibri"/>
          <w:i/>
          <w:sz w:val="24"/>
        </w:rPr>
        <w:fldChar w:fldCharType="begin"/>
      </w:r>
      <w:r w:rsidR="00982C89">
        <w:instrText xml:space="preserve"> XE "</w:instrText>
      </w:r>
      <w:r w:rsidR="00982C89" w:rsidRPr="00191848">
        <w:rPr>
          <w:i/>
        </w:rPr>
        <w:instrText>quartum genus</w:instrText>
      </w:r>
      <w:r w:rsidR="00982C89">
        <w:instrText xml:space="preserve">" </w:instrText>
      </w:r>
      <w:r w:rsidR="00982C89">
        <w:rPr>
          <w:rStyle w:val="FontStyle157"/>
          <w:rFonts w:ascii="Calibri" w:hAnsi="Calibri"/>
          <w:i/>
          <w:sz w:val="24"/>
        </w:rPr>
        <w:fldChar w:fldCharType="end"/>
      </w:r>
      <w:r w:rsidR="00B8199B">
        <w:rPr>
          <w:rStyle w:val="FontStyle157"/>
          <w:rFonts w:ascii="Calibri" w:hAnsi="Calibri"/>
          <w:sz w:val="24"/>
        </w:rPr>
        <w:t>. Formální hledisko</w:t>
      </w:r>
      <w:r w:rsidR="00B41142" w:rsidRPr="00273106">
        <w:rPr>
          <w:rStyle w:val="FontStyle157"/>
          <w:rFonts w:ascii="Calibri" w:hAnsi="Calibri"/>
          <w:sz w:val="24"/>
        </w:rPr>
        <w:t xml:space="preserve"> nemateriality intelektu </w:t>
      </w:r>
      <w:r w:rsidR="00B8199B">
        <w:rPr>
          <w:rStyle w:val="FontStyle157"/>
          <w:rFonts w:ascii="Calibri" w:hAnsi="Calibri"/>
          <w:sz w:val="24"/>
        </w:rPr>
        <w:t>z něj dělá druhou substanci (s</w:t>
      </w:r>
      <w:r w:rsidR="00B41142" w:rsidRPr="00273106">
        <w:rPr>
          <w:rStyle w:val="FontStyle157"/>
          <w:rFonts w:ascii="Calibri" w:hAnsi="Calibri"/>
          <w:i/>
          <w:sz w:val="24"/>
        </w:rPr>
        <w:t>ubiectum</w:t>
      </w:r>
      <w:r w:rsidR="004C27BA">
        <w:rPr>
          <w:rStyle w:val="FontStyle157"/>
          <w:rFonts w:ascii="Calibri" w:hAnsi="Calibri"/>
          <w:i/>
          <w:sz w:val="24"/>
        </w:rPr>
        <w:fldChar w:fldCharType="begin"/>
      </w:r>
      <w:r w:rsidR="004C27BA">
        <w:instrText xml:space="preserve"> XE "</w:instrText>
      </w:r>
      <w:r w:rsidR="004C27BA" w:rsidRPr="00360013">
        <w:rPr>
          <w:i/>
        </w:rPr>
        <w:instrText>subiectum</w:instrText>
      </w:r>
      <w:r w:rsidR="004C27BA" w:rsidRPr="00D90B42">
        <w:instrText>:</w:instrText>
      </w:r>
      <w:r w:rsidR="00D90B42" w:rsidRPr="00D90B42">
        <w:instrText>intelekt</w:instrText>
      </w:r>
      <w:r w:rsidR="004C27BA">
        <w:instrText xml:space="preserve">" </w:instrText>
      </w:r>
      <w:r w:rsidR="004C27BA">
        <w:rPr>
          <w:rStyle w:val="FontStyle157"/>
          <w:rFonts w:ascii="Calibri" w:hAnsi="Calibri"/>
          <w:i/>
          <w:sz w:val="24"/>
        </w:rPr>
        <w:fldChar w:fldCharType="end"/>
      </w:r>
      <w:r w:rsidR="00B8199B" w:rsidRPr="00B8199B">
        <w:rPr>
          <w:rStyle w:val="FontStyle157"/>
          <w:rFonts w:ascii="Calibri" w:hAnsi="Calibri"/>
          <w:sz w:val="24"/>
        </w:rPr>
        <w:t xml:space="preserve">), která nese </w:t>
      </w:r>
      <w:r w:rsidR="00B8199B">
        <w:rPr>
          <w:rStyle w:val="FontStyle157"/>
          <w:rFonts w:ascii="Calibri" w:hAnsi="Calibri"/>
          <w:sz w:val="24"/>
        </w:rPr>
        <w:t xml:space="preserve">univerzální obsahy </w:t>
      </w:r>
      <w:r w:rsidR="00530569">
        <w:rPr>
          <w:rStyle w:val="FontStyle157"/>
          <w:rFonts w:ascii="Calibri" w:hAnsi="Calibri"/>
          <w:sz w:val="24"/>
        </w:rPr>
        <w:t>na úrovni lidst</w:t>
      </w:r>
      <w:r w:rsidR="004E030B">
        <w:rPr>
          <w:rStyle w:val="FontStyle157"/>
          <w:rFonts w:ascii="Calibri" w:hAnsi="Calibri"/>
          <w:sz w:val="24"/>
        </w:rPr>
        <w:t>v</w:t>
      </w:r>
      <w:r w:rsidR="00530569">
        <w:rPr>
          <w:rStyle w:val="FontStyle157"/>
          <w:rFonts w:ascii="Calibri" w:hAnsi="Calibri"/>
          <w:sz w:val="24"/>
        </w:rPr>
        <w:t>a</w:t>
      </w:r>
      <w:r w:rsidR="004E030B">
        <w:rPr>
          <w:rStyle w:val="FontStyle157"/>
          <w:rFonts w:ascii="Calibri" w:hAnsi="Calibri"/>
          <w:sz w:val="24"/>
        </w:rPr>
        <w:t xml:space="preserve"> jako </w:t>
      </w:r>
      <w:r w:rsidR="002E30FF" w:rsidRPr="002E30FF">
        <w:rPr>
          <w:rStyle w:val="FontStyle157"/>
          <w:rFonts w:ascii="Calibri" w:hAnsi="Calibri"/>
          <w:sz w:val="24"/>
        </w:rPr>
        <w:t>species</w:t>
      </w:r>
      <w:r w:rsidR="00530569">
        <w:rPr>
          <w:rStyle w:val="FontStyle157"/>
          <w:rFonts w:ascii="Calibri" w:hAnsi="Calibri"/>
          <w:sz w:val="24"/>
        </w:rPr>
        <w:t>. Abstrahova</w:t>
      </w:r>
      <w:r w:rsidR="009A5299">
        <w:rPr>
          <w:rStyle w:val="FontStyle157"/>
          <w:rFonts w:ascii="Calibri" w:hAnsi="Calibri"/>
          <w:sz w:val="24"/>
        </w:rPr>
        <w:t>n</w:t>
      </w:r>
      <w:r w:rsidR="087D7AFC">
        <w:rPr>
          <w:rStyle w:val="FontStyle157"/>
          <w:rFonts w:ascii="Calibri" w:hAnsi="Calibri"/>
          <w:sz w:val="24"/>
        </w:rPr>
        <w:t xml:space="preserve">ý </w:t>
      </w:r>
      <w:r w:rsidR="00530569">
        <w:rPr>
          <w:rStyle w:val="FontStyle157"/>
          <w:rFonts w:ascii="Calibri" w:hAnsi="Calibri"/>
          <w:sz w:val="24"/>
        </w:rPr>
        <w:t>a nikoliv hypo</w:t>
      </w:r>
      <w:r w:rsidR="087D7AFC">
        <w:rPr>
          <w:rStyle w:val="FontStyle157"/>
          <w:rFonts w:ascii="Calibri" w:hAnsi="Calibri"/>
          <w:sz w:val="24"/>
        </w:rPr>
        <w:t>stázovaný</w:t>
      </w:r>
      <w:r w:rsidR="00530569">
        <w:rPr>
          <w:rStyle w:val="FontStyle157"/>
          <w:rFonts w:ascii="Calibri" w:hAnsi="Calibri"/>
          <w:sz w:val="24"/>
        </w:rPr>
        <w:t xml:space="preserve"> možný intelekt na úrovni lidstva produkuje</w:t>
      </w:r>
      <w:r w:rsidR="00B41142" w:rsidRPr="00273106">
        <w:rPr>
          <w:rStyle w:val="FontStyle157"/>
          <w:rFonts w:ascii="Calibri" w:hAnsi="Calibri"/>
          <w:sz w:val="24"/>
        </w:rPr>
        <w:t xml:space="preserve"> univerzální formu </w:t>
      </w:r>
      <w:r w:rsidR="004B4D52" w:rsidRPr="004B4D52">
        <w:rPr>
          <w:rStyle w:val="FontStyle157"/>
          <w:rFonts w:ascii="Calibri" w:hAnsi="Calibri"/>
          <w:sz w:val="24"/>
        </w:rPr>
        <w:t>species</w:t>
      </w:r>
      <w:r w:rsidR="00B41142" w:rsidRPr="00273106">
        <w:rPr>
          <w:rStyle w:val="FontStyle157"/>
          <w:rFonts w:ascii="Calibri" w:hAnsi="Calibri"/>
          <w:i/>
          <w:sz w:val="24"/>
        </w:rPr>
        <w:t xml:space="preserve"> intelligibilis</w:t>
      </w:r>
      <w:r w:rsidR="004E030B">
        <w:rPr>
          <w:rStyle w:val="FontStyle157"/>
          <w:rFonts w:ascii="Calibri" w:hAnsi="Calibri"/>
          <w:sz w:val="24"/>
        </w:rPr>
        <w:t xml:space="preserve"> společnou všem lidem, kteří jsou schopni filosofické formy abstrakce.</w:t>
      </w:r>
      <w:r w:rsidR="00B41142" w:rsidRPr="00273106">
        <w:rPr>
          <w:rStyle w:val="FontStyle157"/>
          <w:rFonts w:ascii="Calibri" w:hAnsi="Calibri"/>
          <w:sz w:val="24"/>
        </w:rPr>
        <w:t xml:space="preserve"> </w:t>
      </w:r>
      <w:r w:rsidR="000A4AA3">
        <w:rPr>
          <w:rStyle w:val="FontStyle157"/>
          <w:rFonts w:ascii="Calibri" w:hAnsi="Calibri"/>
          <w:sz w:val="24"/>
        </w:rPr>
        <w:t xml:space="preserve">Aktuálním </w:t>
      </w:r>
      <w:r w:rsidR="00B41142" w:rsidRPr="00273106">
        <w:rPr>
          <w:rStyle w:val="FontStyle157"/>
          <w:rFonts w:ascii="Calibri" w:hAnsi="Calibri"/>
          <w:sz w:val="24"/>
        </w:rPr>
        <w:t>subjektem intelektu je hylemorfická složenina konkrétní osoby, která představuje aktuální jednotu těla a duše.</w:t>
      </w:r>
      <w:r w:rsidR="008745C7">
        <w:rPr>
          <w:rStyle w:val="FontStyle157"/>
          <w:rFonts w:ascii="Calibri" w:hAnsi="Calibri"/>
          <w:sz w:val="24"/>
        </w:rPr>
        <w:t xml:space="preserve"> </w:t>
      </w:r>
      <w:r w:rsidR="089C054B">
        <w:rPr>
          <w:rStyle w:val="FontStyle157"/>
          <w:rFonts w:ascii="Calibri" w:hAnsi="Calibri"/>
          <w:sz w:val="24"/>
        </w:rPr>
        <w:t xml:space="preserve">Aristotelští myslitelé všech směrů vykládající metafyziku </w:t>
      </w:r>
      <w:r w:rsidR="089C054B" w:rsidRPr="089C054B">
        <w:rPr>
          <w:rStyle w:val="FontStyle157"/>
          <w:rFonts w:ascii="Calibri" w:hAnsi="Calibri"/>
          <w:i/>
          <w:sz w:val="24"/>
        </w:rPr>
        <w:t>ad mentem Averrois</w:t>
      </w:r>
      <w:r w:rsidR="089C054B">
        <w:rPr>
          <w:rStyle w:val="FontStyle157"/>
          <w:rFonts w:ascii="Calibri" w:hAnsi="Calibri"/>
          <w:sz w:val="24"/>
        </w:rPr>
        <w:t xml:space="preserve"> dobře věděli z CMDA, že z</w:t>
      </w:r>
      <w:r w:rsidR="006E176D" w:rsidRPr="00273106">
        <w:t xml:space="preserve">koumání </w:t>
      </w:r>
      <w:r w:rsidR="08AB4B66">
        <w:t xml:space="preserve">lidského </w:t>
      </w:r>
      <w:r w:rsidR="085B4C1B" w:rsidRPr="00273106">
        <w:t xml:space="preserve">intelektu </w:t>
      </w:r>
      <w:r w:rsidR="006E176D" w:rsidRPr="00273106">
        <w:t xml:space="preserve">představuje jeden z největších problémů filosofie. </w:t>
      </w:r>
      <w:r w:rsidR="003D671E" w:rsidRPr="00273106">
        <w:t xml:space="preserve">Otázka jednoty intelektu patří do oblasti skutečných znalců filosofie, kterými tehdejší </w:t>
      </w:r>
      <w:r w:rsidR="003D671E">
        <w:t xml:space="preserve">učení </w:t>
      </w:r>
      <w:r w:rsidR="003D671E" w:rsidRPr="00273106">
        <w:t>Latiníci příliš neoplývali.</w:t>
      </w:r>
      <w:r w:rsidR="003D671E">
        <w:t xml:space="preserve"> </w:t>
      </w:r>
      <w:r w:rsidR="08C40821" w:rsidRPr="00273106">
        <w:t xml:space="preserve">Výklad objektivity musí v najít začátek sporu o modernu v Albertově komentáři ke třetí knize </w:t>
      </w:r>
      <w:r w:rsidR="08C40821">
        <w:rPr>
          <w:i/>
        </w:rPr>
        <w:t>De anima</w:t>
      </w:r>
      <w:r w:rsidR="08C40821" w:rsidRPr="00273106">
        <w:t xml:space="preserve"> (kolem 1255). Albert moderní sofisty upozorňuje na klíčovou pasáž  CMDA a používá </w:t>
      </w:r>
      <w:r w:rsidR="08C40821">
        <w:t xml:space="preserve">stejná </w:t>
      </w:r>
      <w:r w:rsidR="08C40821" w:rsidRPr="00273106">
        <w:t xml:space="preserve">slova jako </w:t>
      </w:r>
      <w:r w:rsidR="08C40821">
        <w:t>Averroes</w:t>
      </w:r>
      <w:r w:rsidR="08C40821" w:rsidRPr="00273106">
        <w:t xml:space="preserve"> (</w:t>
      </w:r>
      <w:r w:rsidR="08C40821" w:rsidRPr="00273106">
        <w:rPr>
          <w:i/>
        </w:rPr>
        <w:t>questio valde est difficilis, et maximam habet ambiguitatem</w:t>
      </w:r>
      <w:r w:rsidR="08C40821" w:rsidRPr="00273106">
        <w:t xml:space="preserve">; </w:t>
      </w:r>
      <w:r w:rsidR="08C40821">
        <w:t xml:space="preserve">CMDA, p. </w:t>
      </w:r>
      <w:r w:rsidR="08C40821" w:rsidRPr="00273106">
        <w:t>402.431</w:t>
      </w:r>
      <w:r w:rsidR="08C40821">
        <w:fldChar w:fldCharType="begin"/>
      </w:r>
      <w:r w:rsidR="08C40821">
        <w:instrText xml:space="preserve"> XE "Averroes:</w:instrText>
      </w:r>
      <w:r w:rsidR="08C40821" w:rsidRPr="00FA7245">
        <w:instrText>CMDA</w:instrText>
      </w:r>
      <w:r w:rsidR="08C40821">
        <w:instrText xml:space="preserve"> </w:instrText>
      </w:r>
      <w:r w:rsidR="08C40821" w:rsidRPr="00FA7245">
        <w:instrText>402.431</w:instrText>
      </w:r>
      <w:r w:rsidR="08C40821">
        <w:instrText xml:space="preserve">" </w:instrText>
      </w:r>
      <w:r w:rsidR="08C40821">
        <w:fldChar w:fldCharType="end"/>
      </w:r>
      <w:r w:rsidR="08C40821" w:rsidRPr="00273106">
        <w:t xml:space="preserve">). Kolínský dominikán drží stejnou pozici. </w:t>
      </w:r>
    </w:p>
    <w:p w14:paraId="2CB9A28A" w14:textId="77777777" w:rsidR="08C40821" w:rsidRPr="00273106" w:rsidRDefault="08C40821" w:rsidP="08C40821">
      <w:pPr>
        <w:pStyle w:val="Citace"/>
        <w:rPr>
          <w:noProof/>
          <w:lang w:val="cs-CZ"/>
        </w:rPr>
      </w:pPr>
      <w:r w:rsidRPr="00273106">
        <w:rPr>
          <w:noProof/>
          <w:lang w:val="cs-CZ"/>
        </w:rPr>
        <w:t xml:space="preserve">„Tato disputace je nadmíru obtížná, a </w:t>
      </w:r>
      <w:r>
        <w:rPr>
          <w:noProof/>
          <w:lang w:val="cs-CZ"/>
        </w:rPr>
        <w:t xml:space="preserve">je třeba </w:t>
      </w:r>
      <w:r w:rsidRPr="00273106">
        <w:rPr>
          <w:noProof/>
          <w:lang w:val="cs-CZ"/>
        </w:rPr>
        <w:t>k ní přizv</w:t>
      </w:r>
      <w:r>
        <w:rPr>
          <w:noProof/>
          <w:lang w:val="cs-CZ"/>
        </w:rPr>
        <w:t>at jen ty</w:t>
      </w:r>
      <w:r w:rsidRPr="00273106">
        <w:rPr>
          <w:noProof/>
          <w:lang w:val="cs-CZ"/>
        </w:rPr>
        <w:t xml:space="preserve">, kteří jsou dostatečně vzdělaní ve filosofii. Ti ostatní mohou slyšet pronášená slova, ale nemají na to, aby pochopili jejich smysl.“ </w:t>
      </w:r>
      <w:r w:rsidRPr="00273106">
        <w:rPr>
          <w:rStyle w:val="Znakapoznpodarou"/>
          <w:noProof/>
          <w:lang w:val="cs-CZ"/>
        </w:rPr>
        <w:footnoteReference w:id="254"/>
      </w:r>
    </w:p>
    <w:p w14:paraId="689D45CC" w14:textId="0C85A79A" w:rsidR="08043769" w:rsidRDefault="08C40821" w:rsidP="00161413">
      <w:r w:rsidRPr="00273106">
        <w:lastRenderedPageBreak/>
        <w:t>Sofisté Albertovy doby papouškují text CMDA o jednotě intelektu (</w:t>
      </w:r>
      <w:r w:rsidRPr="00273106">
        <w:rPr>
          <w:i/>
        </w:rPr>
        <w:t>verba quidem audire possunt</w:t>
      </w:r>
      <w:r w:rsidRPr="00273106">
        <w:t>), ale nejsou schopni pochopit skutečný obsah této jednoty (</w:t>
      </w:r>
      <w:r w:rsidRPr="00273106">
        <w:rPr>
          <w:i/>
        </w:rPr>
        <w:t>ad intellectum eorum non sunt idonei</w:t>
      </w:r>
      <w:r w:rsidRPr="00273106">
        <w:t xml:space="preserve">). Stoupenci druhého averroismu pochopili CMDA po svém, proto napadli </w:t>
      </w:r>
      <w:r>
        <w:t>Averroes</w:t>
      </w:r>
      <w:r w:rsidRPr="00273106">
        <w:t xml:space="preserve">e a jeho latinské znalce </w:t>
      </w:r>
      <w:r>
        <w:t xml:space="preserve">jako </w:t>
      </w:r>
      <w:r w:rsidRPr="00273106">
        <w:t>averroi</w:t>
      </w:r>
      <w:r>
        <w:t xml:space="preserve">sty. </w:t>
      </w:r>
      <w:r w:rsidR="003D671E" w:rsidRPr="00273106">
        <w:t xml:space="preserve">Albertův komentář </w:t>
      </w:r>
      <w:r w:rsidR="003D671E">
        <w:rPr>
          <w:i/>
        </w:rPr>
        <w:t>De anima</w:t>
      </w:r>
      <w:r w:rsidR="003D671E" w:rsidRPr="00273106">
        <w:t xml:space="preserve"> vysvětluje podobně jako </w:t>
      </w:r>
      <w:r w:rsidR="003D671E">
        <w:t>Averroes</w:t>
      </w:r>
      <w:r w:rsidR="003D671E" w:rsidRPr="00273106">
        <w:t xml:space="preserve"> v C</w:t>
      </w:r>
      <w:r w:rsidR="08DE18BB">
        <w:t>MDA všechny omyly Arabů, Řeků, a</w:t>
      </w:r>
      <w:r w:rsidR="003D671E" w:rsidRPr="00273106">
        <w:t>lexandrovců</w:t>
      </w:r>
      <w:r w:rsidR="003D671E">
        <w:fldChar w:fldCharType="begin"/>
      </w:r>
      <w:r w:rsidR="003D671E">
        <w:instrText xml:space="preserve"> XE "</w:instrText>
      </w:r>
      <w:r w:rsidR="08DE18BB">
        <w:instrText>alexandrovci</w:instrText>
      </w:r>
      <w:r w:rsidR="003D671E">
        <w:instrText xml:space="preserve">" </w:instrText>
      </w:r>
      <w:r w:rsidR="003D671E">
        <w:fldChar w:fldCharType="end"/>
      </w:r>
      <w:r w:rsidR="003D671E" w:rsidRPr="00273106">
        <w:t xml:space="preserve"> a oněch </w:t>
      </w:r>
      <w:r w:rsidR="003D671E" w:rsidRPr="00273106">
        <w:rPr>
          <w:i/>
        </w:rPr>
        <w:t>Modernorum</w:t>
      </w:r>
      <w:r w:rsidR="003D671E" w:rsidRPr="00273106">
        <w:t>, kteří tehdy ani dnes nejsou schopni vidět skutečnou povahu intelektu</w:t>
      </w:r>
      <w:r w:rsidR="003D671E">
        <w:t xml:space="preserve"> spojenou v rámci jednoho aktu s bytím jedinečné osoby</w:t>
      </w:r>
      <w:r w:rsidR="003D671E" w:rsidRPr="00273106">
        <w:t xml:space="preserve">. </w:t>
      </w:r>
      <w:r w:rsidR="003D671E" w:rsidRPr="00273106">
        <w:rPr>
          <w:rStyle w:val="FontStyle157"/>
          <w:rFonts w:ascii="Calibri" w:hAnsi="Calibri"/>
          <w:sz w:val="24"/>
        </w:rPr>
        <w:t xml:space="preserve">Stejně jako </w:t>
      </w:r>
      <w:r w:rsidR="003D671E">
        <w:rPr>
          <w:rStyle w:val="FontStyle157"/>
          <w:rFonts w:ascii="Calibri" w:hAnsi="Calibri"/>
          <w:sz w:val="24"/>
        </w:rPr>
        <w:t>Averroes</w:t>
      </w:r>
      <w:r w:rsidR="003D671E" w:rsidRPr="00273106">
        <w:rPr>
          <w:rStyle w:val="FontStyle157"/>
          <w:rFonts w:ascii="Calibri" w:hAnsi="Calibri"/>
          <w:sz w:val="24"/>
        </w:rPr>
        <w:t xml:space="preserve"> si také Albert dává za úkol vyložit Aristotelovo dílo tak, aby jasně vynikly jeho hlavní metafyzické volby a koncepty.</w:t>
      </w:r>
      <w:r w:rsidR="08E04246">
        <w:rPr>
          <w:rStyle w:val="FontStyle157"/>
          <w:rFonts w:ascii="Calibri" w:hAnsi="Calibri"/>
          <w:sz w:val="24"/>
        </w:rPr>
        <w:t xml:space="preserve"> </w:t>
      </w:r>
      <w:r w:rsidR="08105B76">
        <w:rPr>
          <w:rStyle w:val="FontStyle157"/>
          <w:rFonts w:ascii="Calibri" w:hAnsi="Calibri"/>
          <w:sz w:val="24"/>
        </w:rPr>
        <w:t xml:space="preserve">Kolínský myslitel </w:t>
      </w:r>
      <w:r w:rsidR="08105B76">
        <w:t>odmítl základní formu</w:t>
      </w:r>
      <w:r w:rsidR="08105B76" w:rsidRPr="00273106">
        <w:t xml:space="preserve"> nově vznikající metafyziky </w:t>
      </w:r>
      <w:r w:rsidR="08105B76" w:rsidRPr="00273106">
        <w:rPr>
          <w:i/>
        </w:rPr>
        <w:t>Modernorum</w:t>
      </w:r>
      <w:r w:rsidR="08105B76">
        <w:t xml:space="preserve"> </w:t>
      </w:r>
      <w:r w:rsidR="08043769">
        <w:t>jako tragický omyl myšlení.</w:t>
      </w:r>
    </w:p>
    <w:p w14:paraId="748B8FC1" w14:textId="1A55F81C" w:rsidR="00161413" w:rsidRPr="00273106" w:rsidRDefault="08043769" w:rsidP="00161413">
      <w:r>
        <w:tab/>
      </w:r>
      <w:r w:rsidR="08E04246" w:rsidRPr="00273106">
        <w:t xml:space="preserve">Hermeneutika </w:t>
      </w:r>
      <w:r w:rsidR="008E3CC0">
        <w:t xml:space="preserve">hledá </w:t>
      </w:r>
      <w:r w:rsidR="08E04246" w:rsidRPr="00273106">
        <w:t xml:space="preserve">místo, kde se epochální </w:t>
      </w:r>
      <w:r w:rsidR="00B30221">
        <w:t>omyl (</w:t>
      </w:r>
      <w:r w:rsidR="08E04246" w:rsidRPr="00273106">
        <w:rPr>
          <w:i/>
        </w:rPr>
        <w:t>Irrtum</w:t>
      </w:r>
      <w:r w:rsidR="08E04246">
        <w:rPr>
          <w:i/>
        </w:rPr>
        <w:fldChar w:fldCharType="begin"/>
      </w:r>
      <w:r w:rsidR="08E04246">
        <w:instrText xml:space="preserve"> XE "</w:instrText>
      </w:r>
      <w:r w:rsidR="08E04246" w:rsidRPr="00453B3F">
        <w:rPr>
          <w:i/>
        </w:rPr>
        <w:instrText>Irrtum</w:instrText>
      </w:r>
      <w:r w:rsidR="08E04246">
        <w:instrText xml:space="preserve">:moderna" </w:instrText>
      </w:r>
      <w:r w:rsidR="08E04246">
        <w:rPr>
          <w:i/>
        </w:rPr>
        <w:fldChar w:fldCharType="end"/>
      </w:r>
      <w:r w:rsidR="00B30221">
        <w:t xml:space="preserve">) </w:t>
      </w:r>
      <w:r w:rsidR="00942BF8">
        <w:t>západního myšlení dostal</w:t>
      </w:r>
      <w:r w:rsidR="08E04246" w:rsidRPr="00273106">
        <w:t xml:space="preserve"> do prostoru plné odkrytosti (</w:t>
      </w:r>
      <w:r w:rsidR="08E04246" w:rsidRPr="00273106">
        <w:rPr>
          <w:i/>
        </w:rPr>
        <w:t>alétheia</w:t>
      </w:r>
      <w:r w:rsidR="00B30221">
        <w:t xml:space="preserve">). Změna v pojetí </w:t>
      </w:r>
      <w:r w:rsidR="08E04246" w:rsidRPr="00273106">
        <w:t xml:space="preserve">pravdy </w:t>
      </w:r>
      <w:r w:rsidR="00B30221">
        <w:t xml:space="preserve">umožnila manifestaci </w:t>
      </w:r>
      <w:r w:rsidR="004B1EE5">
        <w:t xml:space="preserve">jiného typu </w:t>
      </w:r>
      <w:r w:rsidR="089B6861">
        <w:t>jsoucna</w:t>
      </w:r>
      <w:r w:rsidR="009A3D7D">
        <w:t>, které má objektivn</w:t>
      </w:r>
      <w:r w:rsidR="00B30221">
        <w:t>í</w:t>
      </w:r>
      <w:r w:rsidR="009A3D7D">
        <w:t>,</w:t>
      </w:r>
      <w:r w:rsidR="00B30221">
        <w:t xml:space="preserve"> a tedy </w:t>
      </w:r>
      <w:r w:rsidR="009A3D7D">
        <w:t xml:space="preserve">z hlediska aristotelismu </w:t>
      </w:r>
      <w:r w:rsidR="00B30221">
        <w:t xml:space="preserve">nepravdivý charakter. Tato zásadní událost metafyzického myšlení latinského Západu </w:t>
      </w:r>
      <w:r w:rsidR="004B1EE5">
        <w:t>(</w:t>
      </w:r>
      <w:r w:rsidR="08E04246" w:rsidRPr="00273106">
        <w:rPr>
          <w:i/>
        </w:rPr>
        <w:t>Ereignis</w:t>
      </w:r>
      <w:r w:rsidR="08E04246">
        <w:rPr>
          <w:i/>
        </w:rPr>
        <w:fldChar w:fldCharType="begin"/>
      </w:r>
      <w:r w:rsidR="08E04246">
        <w:instrText xml:space="preserve"> XE "</w:instrText>
      </w:r>
      <w:r w:rsidR="08E04246" w:rsidRPr="00120BB2">
        <w:rPr>
          <w:i/>
        </w:rPr>
        <w:instrText>Ereignis</w:instrText>
      </w:r>
      <w:r w:rsidR="08E04246">
        <w:instrText xml:space="preserve">" </w:instrText>
      </w:r>
      <w:r w:rsidR="08E04246">
        <w:rPr>
          <w:i/>
        </w:rPr>
        <w:fldChar w:fldCharType="end"/>
      </w:r>
      <w:r w:rsidR="004B1EE5">
        <w:t xml:space="preserve">) založila </w:t>
      </w:r>
      <w:r w:rsidR="00B30221">
        <w:t>epochu objektivity</w:t>
      </w:r>
      <w:r w:rsidR="004B1EE5">
        <w:t xml:space="preserve">, protože jsoucno dostalo nový smysl. </w:t>
      </w:r>
      <w:r w:rsidR="00DA50B7" w:rsidRPr="00273106">
        <w:t xml:space="preserve">Klíčový termín </w:t>
      </w:r>
      <w:r w:rsidR="00741712" w:rsidRPr="00273106">
        <w:t>nové gigantomachie o substanci</w:t>
      </w:r>
      <w:r w:rsidR="08A42A81">
        <w:rPr>
          <w:i/>
        </w:rPr>
        <w:fldChar w:fldCharType="begin"/>
      </w:r>
      <w:r w:rsidR="08A42A81">
        <w:instrText xml:space="preserve"> XE "metafyzika:gigantomachie" </w:instrText>
      </w:r>
      <w:r w:rsidR="08A42A81">
        <w:rPr>
          <w:i/>
        </w:rPr>
        <w:fldChar w:fldCharType="end"/>
      </w:r>
      <w:r w:rsidR="00741712" w:rsidRPr="00273106">
        <w:t xml:space="preserve"> </w:t>
      </w:r>
      <w:r w:rsidR="008D0E49">
        <w:t xml:space="preserve">se týká statutu první substance </w:t>
      </w:r>
      <w:r w:rsidR="080B053E">
        <w:t>(</w:t>
      </w:r>
      <w:r w:rsidR="080B053E" w:rsidRPr="00273106">
        <w:rPr>
          <w:i/>
        </w:rPr>
        <w:t>esse ratum</w:t>
      </w:r>
      <w:r w:rsidR="080B053E">
        <w:t>). Bytí substance je dané buď v modu moderní jistoty dané pouze v</w:t>
      </w:r>
      <w:r w:rsidR="08395B6A">
        <w:t> </w:t>
      </w:r>
      <w:r w:rsidR="080B053E">
        <w:t>intelektu</w:t>
      </w:r>
      <w:r w:rsidR="08395B6A">
        <w:t>, což představuje nasvícení jsoucna zezadu. N</w:t>
      </w:r>
      <w:r w:rsidR="080B053E">
        <w:t xml:space="preserve">ebo je </w:t>
      </w:r>
      <w:r w:rsidR="08395B6A" w:rsidRPr="08395B6A">
        <w:rPr>
          <w:i/>
        </w:rPr>
        <w:t>esse ratum</w:t>
      </w:r>
      <w:r w:rsidR="08395B6A">
        <w:t xml:space="preserve"> </w:t>
      </w:r>
      <w:r w:rsidR="080B053E">
        <w:t xml:space="preserve">dané skrze aristotelskou kategoriální definici substance </w:t>
      </w:r>
      <w:r w:rsidR="08395B6A">
        <w:t xml:space="preserve">postavenou </w:t>
      </w:r>
      <w:r w:rsidR="080B053E">
        <w:t>na základě apodiktického vědeckého soudu</w:t>
      </w:r>
      <w:r w:rsidR="080B053E">
        <w:rPr>
          <w:i/>
        </w:rPr>
        <w:fldChar w:fldCharType="begin"/>
      </w:r>
      <w:r w:rsidR="080B053E">
        <w:instrText xml:space="preserve"> XE "esse</w:instrText>
      </w:r>
      <w:r w:rsidR="080B053E" w:rsidRPr="00B2798F">
        <w:rPr>
          <w:rStyle w:val="addmd"/>
          <w:i/>
        </w:rPr>
        <w:instrText xml:space="preserve"> ratum</w:instrText>
      </w:r>
      <w:r w:rsidR="080B053E">
        <w:instrText xml:space="preserve">" </w:instrText>
      </w:r>
      <w:r w:rsidR="080B053E">
        <w:rPr>
          <w:i/>
        </w:rPr>
        <w:fldChar w:fldCharType="end"/>
      </w:r>
      <w:r w:rsidR="08395B6A">
        <w:t xml:space="preserve">, což představuje nasvícení jsoucna zepředu. </w:t>
      </w:r>
      <w:r w:rsidR="00161413" w:rsidRPr="00273106">
        <w:t xml:space="preserve">Albert hájí </w:t>
      </w:r>
      <w:r w:rsidR="008D0E49">
        <w:t xml:space="preserve">v případě nasvícení smyslu jsoucna </w:t>
      </w:r>
      <w:r w:rsidR="00161413" w:rsidRPr="00273106">
        <w:t>přesně opačnou perspektivu</w:t>
      </w:r>
      <w:r w:rsidR="008E47F2" w:rsidRPr="00273106">
        <w:t xml:space="preserve">, než druhý averroismus. </w:t>
      </w:r>
      <w:r w:rsidR="082C146D">
        <w:t xml:space="preserve">V modu </w:t>
      </w:r>
      <w:r w:rsidR="081144CB">
        <w:t xml:space="preserve">moderní </w:t>
      </w:r>
      <w:r w:rsidR="082C146D">
        <w:t>nevzdělanosti (ἀπαιδευσία</w:t>
      </w:r>
      <w:r w:rsidR="08626BE7">
        <w:rPr>
          <w:lang w:eastAsia="en-US"/>
        </w:rPr>
        <w:fldChar w:fldCharType="begin"/>
      </w:r>
      <w:r w:rsidR="08626BE7">
        <w:instrText xml:space="preserve"> XE "</w:instrText>
      </w:r>
      <w:r w:rsidR="08626BE7" w:rsidRPr="08CF3194">
        <w:rPr>
          <w:i/>
        </w:rPr>
        <w:instrText>apaideusía</w:instrText>
      </w:r>
      <w:r w:rsidR="08626BE7">
        <w:instrText xml:space="preserve">" </w:instrText>
      </w:r>
      <w:r w:rsidR="08626BE7">
        <w:rPr>
          <w:lang w:eastAsia="en-US"/>
        </w:rPr>
        <w:fldChar w:fldCharType="end"/>
      </w:r>
      <w:r w:rsidR="082C146D">
        <w:t xml:space="preserve">, </w:t>
      </w:r>
      <w:r w:rsidR="082C146D" w:rsidRPr="000421A2">
        <w:rPr>
          <w:i/>
        </w:rPr>
        <w:t>Met</w:t>
      </w:r>
      <w:r w:rsidR="082C146D">
        <w:t>. 1006a6</w:t>
      </w:r>
      <w:r w:rsidR="082C146D">
        <w:rPr>
          <w:i/>
        </w:rPr>
        <w:fldChar w:fldCharType="begin"/>
      </w:r>
      <w:r w:rsidR="082C146D">
        <w:instrText xml:space="preserve"> XE "Aristoteles:</w:instrText>
      </w:r>
      <w:r w:rsidR="082C146D" w:rsidRPr="000421A2">
        <w:rPr>
          <w:i/>
        </w:rPr>
        <w:instrText>Met</w:instrText>
      </w:r>
      <w:r w:rsidR="082C146D">
        <w:instrText xml:space="preserve">. 1006a6" </w:instrText>
      </w:r>
      <w:r w:rsidR="082C146D">
        <w:rPr>
          <w:i/>
        </w:rPr>
        <w:fldChar w:fldCharType="end"/>
      </w:r>
      <w:r w:rsidR="082C146D">
        <w:t xml:space="preserve">) </w:t>
      </w:r>
      <w:r w:rsidR="08C61E46">
        <w:t xml:space="preserve">vzniklo </w:t>
      </w:r>
      <w:r w:rsidR="081144CB">
        <w:t xml:space="preserve">pojetí pravdy jako </w:t>
      </w:r>
      <w:r w:rsidR="08C61E46">
        <w:t xml:space="preserve">simulákra </w:t>
      </w:r>
      <w:r w:rsidR="081144CB">
        <w:t xml:space="preserve">adekvace </w:t>
      </w:r>
      <w:r w:rsidR="08C61E46">
        <w:t xml:space="preserve"> a tím </w:t>
      </w:r>
      <w:r w:rsidR="082C146D">
        <w:t xml:space="preserve">vznikla </w:t>
      </w:r>
      <w:r w:rsidR="08C61E46">
        <w:t xml:space="preserve">i </w:t>
      </w:r>
      <w:r w:rsidR="082C146D">
        <w:t xml:space="preserve">nová forma metafyzického </w:t>
      </w:r>
      <w:r w:rsidR="082C146D" w:rsidRPr="007F451A">
        <w:rPr>
          <w:i/>
        </w:rPr>
        <w:t>Irrtum</w:t>
      </w:r>
      <w:r w:rsidR="08C61E46">
        <w:t>. Z</w:t>
      </w:r>
      <w:r w:rsidR="082C146D" w:rsidRPr="00273106">
        <w:t>atmění první substance</w:t>
      </w:r>
      <w:r w:rsidR="082C146D">
        <w:fldChar w:fldCharType="begin"/>
      </w:r>
      <w:r w:rsidR="082C146D">
        <w:instrText xml:space="preserve"> XE "</w:instrText>
      </w:r>
      <w:r w:rsidR="082C146D" w:rsidRPr="00DE2A32">
        <w:instrText>substance</w:instrText>
      </w:r>
      <w:r w:rsidR="082C146D">
        <w:instrText xml:space="preserve">:zatmění" </w:instrText>
      </w:r>
      <w:r w:rsidR="082C146D">
        <w:fldChar w:fldCharType="end"/>
      </w:r>
      <w:r w:rsidR="082C146D" w:rsidRPr="00273106">
        <w:t xml:space="preserve"> </w:t>
      </w:r>
      <w:r w:rsidR="082C146D">
        <w:t>změnilo</w:t>
      </w:r>
      <w:r w:rsidR="082C146D" w:rsidRPr="00273106">
        <w:t xml:space="preserve"> </w:t>
      </w:r>
      <w:r w:rsidR="08474F88">
        <w:t xml:space="preserve">klasickou </w:t>
      </w:r>
      <w:r w:rsidR="082C146D" w:rsidRPr="00273106">
        <w:t xml:space="preserve">metafyziku na </w:t>
      </w:r>
      <w:r w:rsidR="082C146D">
        <w:t xml:space="preserve">její </w:t>
      </w:r>
      <w:r w:rsidR="08500DEA">
        <w:t>nihilistickou podobu</w:t>
      </w:r>
      <w:r w:rsidR="082C146D" w:rsidRPr="00273106">
        <w:t>.</w:t>
      </w:r>
      <w:r w:rsidR="082C146D" w:rsidRPr="082C146D">
        <w:t xml:space="preserve"> </w:t>
      </w:r>
      <w:r w:rsidR="082C146D" w:rsidRPr="00273106">
        <w:t xml:space="preserve">Citát odmítá falešný hylemorfismus duše daný ve škole </w:t>
      </w:r>
      <w:r w:rsidR="082C146D">
        <w:t xml:space="preserve">učených Latiníků a ukazuje </w:t>
      </w:r>
      <w:r w:rsidR="080367DB">
        <w:t xml:space="preserve">epochální </w:t>
      </w:r>
      <w:r w:rsidR="082C146D">
        <w:t>obrat v</w:t>
      </w:r>
      <w:r w:rsidR="082C146D" w:rsidRPr="00273106">
        <w:t xml:space="preserve"> </w:t>
      </w:r>
      <w:r w:rsidR="082C146D">
        <w:t>myšlení západního subjektu.</w:t>
      </w:r>
    </w:p>
    <w:p w14:paraId="2916C77D" w14:textId="6D6C7F4F" w:rsidR="00440CAC" w:rsidRPr="00273106" w:rsidRDefault="00161413" w:rsidP="00AA1024">
      <w:pPr>
        <w:pStyle w:val="Citace"/>
        <w:rPr>
          <w:noProof/>
          <w:lang w:val="cs-CZ"/>
        </w:rPr>
      </w:pPr>
      <w:r w:rsidRPr="00273106">
        <w:rPr>
          <w:noProof/>
          <w:lang w:val="cs-CZ"/>
        </w:rPr>
        <w:t>„</w:t>
      </w:r>
      <w:r w:rsidR="00ED6D03" w:rsidRPr="00273106">
        <w:rPr>
          <w:noProof/>
          <w:lang w:val="cs-CZ"/>
        </w:rPr>
        <w:t xml:space="preserve">Věda, která je v duši </w:t>
      </w:r>
      <w:r w:rsidR="0867123F">
        <w:rPr>
          <w:noProof/>
          <w:lang w:val="cs-CZ"/>
        </w:rPr>
        <w:t xml:space="preserve"> a také další intelektuální schopnosti, nemají</w:t>
      </w:r>
      <w:r w:rsidR="00ED6D03" w:rsidRPr="00273106">
        <w:rPr>
          <w:noProof/>
          <w:lang w:val="cs-CZ"/>
        </w:rPr>
        <w:t xml:space="preserve"> reálné a jisté bytí věci jako ve světě</w:t>
      </w:r>
      <w:r w:rsidR="008F1922">
        <w:rPr>
          <w:noProof/>
          <w:lang w:val="cs-CZ"/>
        </w:rPr>
        <w:t xml:space="preserve"> (</w:t>
      </w:r>
      <w:r w:rsidR="008F1922" w:rsidRPr="008F1922">
        <w:rPr>
          <w:i/>
        </w:rPr>
        <w:t>non habent esse reale et ratum in natura</w:t>
      </w:r>
      <w:r w:rsidR="008F1922">
        <w:rPr>
          <w:noProof/>
          <w:lang w:val="cs-CZ"/>
        </w:rPr>
        <w:t>)</w:t>
      </w:r>
      <w:r w:rsidR="00ED6D03" w:rsidRPr="00273106">
        <w:rPr>
          <w:noProof/>
          <w:lang w:val="cs-CZ"/>
        </w:rPr>
        <w:t xml:space="preserve">, </w:t>
      </w:r>
      <w:r w:rsidR="08512EE8">
        <w:rPr>
          <w:noProof/>
          <w:lang w:val="cs-CZ"/>
        </w:rPr>
        <w:t>ale jen v</w:t>
      </w:r>
      <w:r w:rsidR="00ED6D03" w:rsidRPr="00273106">
        <w:rPr>
          <w:noProof/>
          <w:lang w:val="cs-CZ"/>
        </w:rPr>
        <w:t xml:space="preserve"> </w:t>
      </w:r>
      <w:r w:rsidR="00AA1024" w:rsidRPr="00273106">
        <w:rPr>
          <w:noProof/>
          <w:lang w:val="cs-CZ"/>
        </w:rPr>
        <w:t>duši</w:t>
      </w:r>
      <w:r w:rsidR="088A1301">
        <w:rPr>
          <w:noProof/>
          <w:lang w:val="cs-CZ"/>
        </w:rPr>
        <w:t xml:space="preserve"> (</w:t>
      </w:r>
      <w:r w:rsidR="088A1301" w:rsidRPr="088A1301">
        <w:rPr>
          <w:i/>
        </w:rPr>
        <w:t>in anima tantum</w:t>
      </w:r>
      <w:r w:rsidR="088A1301">
        <w:rPr>
          <w:noProof/>
          <w:lang w:val="cs-CZ"/>
        </w:rPr>
        <w:t>)</w:t>
      </w:r>
      <w:r w:rsidR="00AA1024" w:rsidRPr="00273106">
        <w:rPr>
          <w:noProof/>
          <w:lang w:val="cs-CZ"/>
        </w:rPr>
        <w:t>. Toto bytí věci je slabé</w:t>
      </w:r>
      <w:r w:rsidR="008F1922">
        <w:rPr>
          <w:noProof/>
          <w:lang w:val="cs-CZ"/>
        </w:rPr>
        <w:t xml:space="preserve"> (</w:t>
      </w:r>
      <w:r w:rsidR="008F1922" w:rsidRPr="008F1922">
        <w:rPr>
          <w:i/>
        </w:rPr>
        <w:t>hoc est esse debile</w:t>
      </w:r>
      <w:r w:rsidR="008F1922">
        <w:rPr>
          <w:noProof/>
          <w:lang w:val="cs-CZ"/>
        </w:rPr>
        <w:t>)</w:t>
      </w:r>
      <w:r w:rsidR="00AA1024" w:rsidRPr="00273106">
        <w:rPr>
          <w:noProof/>
          <w:lang w:val="cs-CZ"/>
        </w:rPr>
        <w:t xml:space="preserve"> a vzhledem k reálnému jsoucnu je něčím jiným</w:t>
      </w:r>
      <w:r w:rsidR="0037213C">
        <w:rPr>
          <w:noProof/>
          <w:lang w:val="cs-CZ"/>
        </w:rPr>
        <w:t>,</w:t>
      </w:r>
      <w:r w:rsidR="00AA1024" w:rsidRPr="00273106">
        <w:rPr>
          <w:noProof/>
          <w:lang w:val="cs-CZ"/>
        </w:rPr>
        <w:t xml:space="preserve"> než vlastní bytí</w:t>
      </w:r>
      <w:r w:rsidR="088D359C">
        <w:rPr>
          <w:noProof/>
          <w:lang w:val="cs-CZ"/>
        </w:rPr>
        <w:t xml:space="preserve"> jsoucna</w:t>
      </w:r>
      <w:r w:rsidR="00AA1024" w:rsidRPr="00273106">
        <w:rPr>
          <w:noProof/>
          <w:lang w:val="cs-CZ"/>
        </w:rPr>
        <w:t xml:space="preserve">.  </w:t>
      </w:r>
      <w:r w:rsidR="00AA1024" w:rsidRPr="00273106">
        <w:rPr>
          <w:noProof/>
          <w:lang w:val="cs-CZ"/>
        </w:rPr>
        <w:lastRenderedPageBreak/>
        <w:t xml:space="preserve">Taková určení jsoucna jsou správně řazena nikoliv do </w:t>
      </w:r>
      <w:r w:rsidR="00F16C58">
        <w:rPr>
          <w:noProof/>
          <w:lang w:val="cs-CZ"/>
        </w:rPr>
        <w:t xml:space="preserve">reálných </w:t>
      </w:r>
      <w:r w:rsidR="00AA1024" w:rsidRPr="00273106">
        <w:rPr>
          <w:noProof/>
          <w:lang w:val="cs-CZ"/>
        </w:rPr>
        <w:t xml:space="preserve">jednotlivin, ale do </w:t>
      </w:r>
      <w:r w:rsidR="00F16C58">
        <w:rPr>
          <w:noProof/>
          <w:lang w:val="cs-CZ"/>
        </w:rPr>
        <w:t xml:space="preserve">inteligibilních </w:t>
      </w:r>
      <w:r w:rsidR="00AA1024" w:rsidRPr="00273106">
        <w:rPr>
          <w:noProof/>
          <w:lang w:val="cs-CZ"/>
        </w:rPr>
        <w:t xml:space="preserve">forem.“ </w:t>
      </w:r>
      <w:r w:rsidR="00440CAC" w:rsidRPr="00273106">
        <w:rPr>
          <w:rStyle w:val="Znakapoznpodarou"/>
          <w:noProof/>
          <w:lang w:val="cs-CZ"/>
        </w:rPr>
        <w:footnoteReference w:id="255"/>
      </w:r>
    </w:p>
    <w:p w14:paraId="5CD1DAF1" w14:textId="7AE245FF" w:rsidR="000117FA" w:rsidRDefault="00161413" w:rsidP="009525F2">
      <w:r w:rsidRPr="00273106">
        <w:t xml:space="preserve">Albert považuje </w:t>
      </w:r>
      <w:r w:rsidR="005B526F" w:rsidRPr="00273106">
        <w:t xml:space="preserve">první substanci </w:t>
      </w:r>
      <w:r w:rsidRPr="00273106">
        <w:t xml:space="preserve">za pevně </w:t>
      </w:r>
      <w:r w:rsidR="00C7243E" w:rsidRPr="00273106">
        <w:t xml:space="preserve">dané jsoucno, protože existuje mimo nás </w:t>
      </w:r>
      <w:r w:rsidRPr="00273106">
        <w:t>v externí realitě (</w:t>
      </w:r>
      <w:r w:rsidRPr="00273106">
        <w:rPr>
          <w:i/>
        </w:rPr>
        <w:t>esse reale et ratum in natura</w:t>
      </w:r>
      <w:r w:rsidRPr="00273106">
        <w:t xml:space="preserve">). </w:t>
      </w:r>
      <w:r w:rsidR="08C40821">
        <w:t xml:space="preserve">Termín </w:t>
      </w:r>
      <w:r w:rsidRPr="00273106">
        <w:t>„slabé jsoucno“ (</w:t>
      </w:r>
      <w:r w:rsidRPr="00273106">
        <w:rPr>
          <w:i/>
        </w:rPr>
        <w:t>esse debile</w:t>
      </w:r>
      <w:r w:rsidR="00D90B42">
        <w:rPr>
          <w:i/>
        </w:rPr>
        <w:fldChar w:fldCharType="begin"/>
      </w:r>
      <w:r w:rsidR="00D90B42">
        <w:instrText xml:space="preserve"> XE "</w:instrText>
      </w:r>
      <w:r w:rsidR="00D90B42" w:rsidRPr="00EC392D">
        <w:rPr>
          <w:i/>
        </w:rPr>
        <w:instrText>esse debile</w:instrText>
      </w:r>
      <w:r w:rsidR="00D90B42">
        <w:instrText xml:space="preserve">" </w:instrText>
      </w:r>
      <w:r w:rsidR="00D90B42">
        <w:rPr>
          <w:i/>
        </w:rPr>
        <w:fldChar w:fldCharType="end"/>
      </w:r>
      <w:r w:rsidRPr="00273106">
        <w:t>) patří univerzálii vytvořené v procesu abstrakce, která zakládá obecné, a tím pouze potenciální poznání v duši (</w:t>
      </w:r>
      <w:r w:rsidRPr="00273106">
        <w:rPr>
          <w:i/>
        </w:rPr>
        <w:t>scientia quae est in anima</w:t>
      </w:r>
      <w:r w:rsidRPr="00273106">
        <w:t xml:space="preserve">). </w:t>
      </w:r>
      <w:r w:rsidR="002B2957">
        <w:t>B</w:t>
      </w:r>
      <w:r w:rsidRPr="00273106">
        <w:t>ytí této ob</w:t>
      </w:r>
      <w:r w:rsidR="08F3222F">
        <w:t xml:space="preserve">ecniny nemá aktualitu a </w:t>
      </w:r>
      <w:r w:rsidR="002B2957">
        <w:t>stabilitu</w:t>
      </w:r>
      <w:r w:rsidRPr="00273106">
        <w:t xml:space="preserve"> </w:t>
      </w:r>
      <w:r w:rsidR="08F3222F">
        <w:t>či pevnost</w:t>
      </w:r>
      <w:r w:rsidR="002B2957">
        <w:t xml:space="preserve"> reálně dané existence věcí </w:t>
      </w:r>
      <w:r w:rsidRPr="00273106">
        <w:t>mimo nás</w:t>
      </w:r>
      <w:r w:rsidR="000639DC">
        <w:t xml:space="preserve"> (</w:t>
      </w:r>
      <w:r w:rsidR="000639DC" w:rsidRPr="000639DC">
        <w:rPr>
          <w:i/>
        </w:rPr>
        <w:t>esse reale et ratum</w:t>
      </w:r>
      <w:r w:rsidR="000639DC">
        <w:t>)</w:t>
      </w:r>
      <w:r w:rsidRPr="00273106">
        <w:t>, protože se nachází pouze v duši (</w:t>
      </w:r>
      <w:r w:rsidRPr="00273106">
        <w:rPr>
          <w:i/>
        </w:rPr>
        <w:t>in anima tantum</w:t>
      </w:r>
      <w:r w:rsidRPr="00273106">
        <w:t xml:space="preserve">). </w:t>
      </w:r>
      <w:r w:rsidR="082117B5">
        <w:t xml:space="preserve">Dělicí čára mezi </w:t>
      </w:r>
      <w:r w:rsidR="082117B5" w:rsidRPr="00273106">
        <w:rPr>
          <w:i/>
        </w:rPr>
        <w:t>esse ratum</w:t>
      </w:r>
      <w:r w:rsidR="082117B5">
        <w:rPr>
          <w:i/>
        </w:rPr>
        <w:fldChar w:fldCharType="begin"/>
      </w:r>
      <w:r w:rsidR="082117B5">
        <w:instrText xml:space="preserve"> XE "</w:instrText>
      </w:r>
      <w:r w:rsidR="082117B5" w:rsidRPr="00AD770D">
        <w:rPr>
          <w:i/>
        </w:rPr>
        <w:instrText>esse ratum</w:instrText>
      </w:r>
      <w:r w:rsidR="082117B5">
        <w:instrText xml:space="preserve">" </w:instrText>
      </w:r>
      <w:r w:rsidR="082117B5">
        <w:rPr>
          <w:i/>
        </w:rPr>
        <w:fldChar w:fldCharType="end"/>
      </w:r>
      <w:r w:rsidR="082117B5">
        <w:t xml:space="preserve"> a mezi </w:t>
      </w:r>
      <w:r w:rsidR="082117B5" w:rsidRPr="00273106">
        <w:rPr>
          <w:i/>
        </w:rPr>
        <w:t>esse debile</w:t>
      </w:r>
      <w:r w:rsidR="082117B5" w:rsidRPr="00273106">
        <w:t xml:space="preserve"> tvoří </w:t>
      </w:r>
      <w:r w:rsidR="082117B5">
        <w:t xml:space="preserve">pro hermeneutiku </w:t>
      </w:r>
      <w:r w:rsidR="082117B5" w:rsidRPr="00273106">
        <w:t>hraniční kámen (</w:t>
      </w:r>
      <w:r w:rsidR="082117B5" w:rsidRPr="00273106">
        <w:rPr>
          <w:i/>
        </w:rPr>
        <w:t>terminus</w:t>
      </w:r>
      <w:r w:rsidR="082117B5">
        <w:rPr>
          <w:i/>
        </w:rPr>
        <w:fldChar w:fldCharType="begin"/>
      </w:r>
      <w:r w:rsidR="082117B5">
        <w:instrText xml:space="preserve"> XE "</w:instrText>
      </w:r>
      <w:r w:rsidR="082117B5" w:rsidRPr="00F1366A">
        <w:rPr>
          <w:i/>
          <w:color w:val="000000"/>
        </w:rPr>
        <w:instrText>terminus</w:instrText>
      </w:r>
      <w:r w:rsidR="082117B5">
        <w:instrText xml:space="preserve">" </w:instrText>
      </w:r>
      <w:r w:rsidR="082117B5">
        <w:rPr>
          <w:i/>
        </w:rPr>
        <w:fldChar w:fldCharType="end"/>
      </w:r>
      <w:r w:rsidR="082117B5" w:rsidRPr="00273106">
        <w:t>) mezi prvním a druhým averroismem.</w:t>
      </w:r>
      <w:r w:rsidR="082117B5">
        <w:t xml:space="preserve"> </w:t>
      </w:r>
      <w:r w:rsidR="00497FA5" w:rsidRPr="00273106">
        <w:t xml:space="preserve"> </w:t>
      </w:r>
      <w:r w:rsidR="004E2B81" w:rsidRPr="00273106">
        <w:t xml:space="preserve">Buď </w:t>
      </w:r>
      <w:r w:rsidR="08C4240A">
        <w:t xml:space="preserve">je slovem </w:t>
      </w:r>
      <w:r w:rsidR="004E2B81" w:rsidRPr="00273106">
        <w:rPr>
          <w:i/>
        </w:rPr>
        <w:t>debilis</w:t>
      </w:r>
      <w:r w:rsidR="004E2B81" w:rsidRPr="00273106">
        <w:t xml:space="preserve"> označeno jsoucno v inte</w:t>
      </w:r>
      <w:r w:rsidR="000855FC">
        <w:t xml:space="preserve">lektu, nebo jsoucno v realitě. </w:t>
      </w:r>
      <w:r w:rsidR="08352942">
        <w:t>K</w:t>
      </w:r>
      <w:r w:rsidR="08352942" w:rsidRPr="00273106">
        <w:t>olínský magistr br</w:t>
      </w:r>
      <w:r w:rsidR="08352942">
        <w:t xml:space="preserve">ánil proti Kilwardbymu princip </w:t>
      </w:r>
      <w:r w:rsidR="00010B8E">
        <w:rPr>
          <w:i/>
        </w:rPr>
        <w:t>inmediate</w:t>
      </w:r>
      <w:r w:rsidR="08352942" w:rsidRPr="00273106">
        <w:t xml:space="preserve"> z </w:t>
      </w:r>
      <w:r w:rsidR="08352942" w:rsidRPr="08C4240A">
        <w:rPr>
          <w:i/>
        </w:rPr>
        <w:t>Druhých analytik</w:t>
      </w:r>
      <w:r w:rsidR="08352942" w:rsidRPr="00273106">
        <w:t xml:space="preserve"> jako fundame</w:t>
      </w:r>
      <w:r w:rsidR="08352942">
        <w:t xml:space="preserve">ntální určení vědy (kap. </w:t>
      </w:r>
      <w:r w:rsidR="00B51670">
        <w:t>2</w:t>
      </w:r>
      <w:r w:rsidR="08352942" w:rsidRPr="00273106">
        <w:t>.4.1).</w:t>
      </w:r>
      <w:r w:rsidR="08352942">
        <w:t xml:space="preserve"> </w:t>
      </w:r>
      <w:r w:rsidR="00D3170C" w:rsidRPr="00273106">
        <w:t>Albert odkázal následujícím generacím myslitelů zásadní dilema zakládající křižovatku západ</w:t>
      </w:r>
      <w:r w:rsidR="000E2779">
        <w:t xml:space="preserve">ního myšlení. </w:t>
      </w:r>
      <w:r w:rsidR="089E0AAB">
        <w:t>Modernisté dali status</w:t>
      </w:r>
      <w:r w:rsidR="000855FC" w:rsidRPr="00273106">
        <w:t xml:space="preserve"> slabého jsoucna (</w:t>
      </w:r>
      <w:r w:rsidR="000855FC" w:rsidRPr="00273106">
        <w:rPr>
          <w:i/>
        </w:rPr>
        <w:t>esse debile</w:t>
      </w:r>
      <w:r w:rsidR="000855FC" w:rsidRPr="00273106">
        <w:t>)</w:t>
      </w:r>
      <w:r w:rsidR="08BA2AC5">
        <w:t xml:space="preserve"> reálné první substanci a status</w:t>
      </w:r>
      <w:r w:rsidR="000E2779">
        <w:t xml:space="preserve"> </w:t>
      </w:r>
      <w:r w:rsidR="000855FC" w:rsidRPr="00273106">
        <w:rPr>
          <w:i/>
        </w:rPr>
        <w:t>ens</w:t>
      </w:r>
      <w:r w:rsidR="000855FC" w:rsidRPr="00273106">
        <w:t xml:space="preserve"> </w:t>
      </w:r>
      <w:r w:rsidR="000855FC" w:rsidRPr="00273106">
        <w:rPr>
          <w:i/>
        </w:rPr>
        <w:t>ratum</w:t>
      </w:r>
      <w:r w:rsidR="000855FC">
        <w:rPr>
          <w:i/>
        </w:rPr>
        <w:fldChar w:fldCharType="begin"/>
      </w:r>
      <w:r w:rsidR="000855FC">
        <w:instrText xml:space="preserve"> XE "</w:instrText>
      </w:r>
      <w:r w:rsidR="000855FC" w:rsidRPr="00B2798F">
        <w:rPr>
          <w:rStyle w:val="addmd"/>
          <w:i/>
        </w:rPr>
        <w:instrText>ens ratum:</w:instrText>
      </w:r>
      <w:r w:rsidR="000855FC">
        <w:instrText xml:space="preserve">druhý averroismus" </w:instrText>
      </w:r>
      <w:r w:rsidR="000855FC">
        <w:rPr>
          <w:i/>
        </w:rPr>
        <w:fldChar w:fldCharType="end"/>
      </w:r>
      <w:r w:rsidR="087078A4">
        <w:t xml:space="preserve"> dostalo</w:t>
      </w:r>
      <w:r w:rsidR="000855FC" w:rsidRPr="00273106">
        <w:t xml:space="preserve"> jsoucno produkované intelektem. </w:t>
      </w:r>
      <w:r w:rsidR="08292A3F">
        <w:t xml:space="preserve">Moderna otočila smysl </w:t>
      </w:r>
      <w:r w:rsidR="082A724F">
        <w:t xml:space="preserve">metafyzického </w:t>
      </w:r>
      <w:r w:rsidR="08292A3F">
        <w:t>dativu</w:t>
      </w:r>
      <w:r w:rsidR="08292A3F">
        <w:fldChar w:fldCharType="begin"/>
      </w:r>
      <w:r w:rsidR="08292A3F">
        <w:instrText xml:space="preserve"> XE "</w:instrText>
      </w:r>
      <w:r w:rsidR="082A724F">
        <w:rPr>
          <w:i/>
        </w:rPr>
        <w:instrText>dativus metaphysi</w:instrText>
      </w:r>
      <w:r w:rsidR="08292A3F" w:rsidRPr="08292A3F">
        <w:rPr>
          <w:i/>
        </w:rPr>
        <w:instrText>cus</w:instrText>
      </w:r>
      <w:r w:rsidR="08292A3F">
        <w:instrText xml:space="preserve">" </w:instrText>
      </w:r>
      <w:r w:rsidR="08292A3F">
        <w:fldChar w:fldCharType="end"/>
      </w:r>
      <w:r w:rsidR="08292A3F">
        <w:t xml:space="preserve"> a změnila směr donace jsoucna. Původní aristotelská donace běžela s modu aktuality z reality do intelektu. Neoplatonská donace jde přesně opačně, protože parousie smyslu jsoucna je dána v mysli moderního ilumináta. Jeho intelekt-slunce mytopoeticky osvětluje celek jsoucna a dává mu paranoický smysl</w:t>
      </w:r>
      <w:r w:rsidR="08AC0F4D">
        <w:t xml:space="preserve"> pouze ze subjektu</w:t>
      </w:r>
      <w:r w:rsidR="00FA081C">
        <w:t>. Modernity vede jejich vlastní metafyzická</w:t>
      </w:r>
      <w:r w:rsidR="08AC0F4D">
        <w:t xml:space="preserve"> </w:t>
      </w:r>
      <w:r w:rsidR="08AC0F4D" w:rsidRPr="08AC0F4D">
        <w:rPr>
          <w:i/>
        </w:rPr>
        <w:t>hýbris</w:t>
      </w:r>
      <w:r w:rsidR="08AC0F4D">
        <w:rPr>
          <w:i/>
        </w:rPr>
        <w:fldChar w:fldCharType="begin"/>
      </w:r>
      <w:r w:rsidR="08AC0F4D">
        <w:instrText xml:space="preserve"> XE "</w:instrText>
      </w:r>
      <w:r w:rsidR="08AC0F4D" w:rsidRPr="08483B34">
        <w:rPr>
          <w:i/>
        </w:rPr>
        <w:instrText>hýbris</w:instrText>
      </w:r>
      <w:r w:rsidR="08AC0F4D">
        <w:instrText xml:space="preserve">" </w:instrText>
      </w:r>
      <w:r w:rsidR="08AC0F4D">
        <w:rPr>
          <w:i/>
        </w:rPr>
        <w:fldChar w:fldCharType="end"/>
      </w:r>
      <w:r w:rsidR="00FA081C">
        <w:t>, kterou manipulují</w:t>
      </w:r>
      <w:r w:rsidR="08080AA3">
        <w:t xml:space="preserve"> </w:t>
      </w:r>
      <w:r w:rsidR="08AC0F4D">
        <w:t>moderně smýšlející</w:t>
      </w:r>
      <w:r w:rsidR="00FA081C">
        <w:t xml:space="preserve"> Fúrie</w:t>
      </w:r>
      <w:r w:rsidR="08292A3F">
        <w:t xml:space="preserve">. </w:t>
      </w:r>
      <w:r w:rsidR="004D132A">
        <w:t xml:space="preserve">Spor o </w:t>
      </w:r>
      <w:r w:rsidRPr="00273106">
        <w:rPr>
          <w:i/>
        </w:rPr>
        <w:t>esse ratu</w:t>
      </w:r>
      <w:r w:rsidR="004D132A">
        <w:rPr>
          <w:i/>
        </w:rPr>
        <w:t>m</w:t>
      </w:r>
      <w:r w:rsidR="00A859FD">
        <w:rPr>
          <w:i/>
        </w:rPr>
        <w:fldChar w:fldCharType="begin"/>
      </w:r>
      <w:r w:rsidR="00A859FD">
        <w:instrText xml:space="preserve"> XE "</w:instrText>
      </w:r>
      <w:r w:rsidR="00A859FD" w:rsidRPr="00EC6393">
        <w:rPr>
          <w:i/>
        </w:rPr>
        <w:instrText>esse ratum</w:instrText>
      </w:r>
      <w:r w:rsidR="00A859FD">
        <w:instrText xml:space="preserve">" </w:instrText>
      </w:r>
      <w:r w:rsidR="00A859FD">
        <w:rPr>
          <w:i/>
        </w:rPr>
        <w:fldChar w:fldCharType="end"/>
      </w:r>
      <w:r w:rsidR="004D132A">
        <w:t xml:space="preserve"> a </w:t>
      </w:r>
      <w:r w:rsidRPr="00273106">
        <w:rPr>
          <w:i/>
        </w:rPr>
        <w:t>esse debile</w:t>
      </w:r>
      <w:r w:rsidR="00A859FD">
        <w:rPr>
          <w:i/>
        </w:rPr>
        <w:fldChar w:fldCharType="begin"/>
      </w:r>
      <w:r w:rsidR="00A859FD">
        <w:instrText xml:space="preserve"> XE "</w:instrText>
      </w:r>
      <w:r w:rsidR="00A859FD" w:rsidRPr="00104EDC">
        <w:rPr>
          <w:i/>
        </w:rPr>
        <w:instrText>esse debile</w:instrText>
      </w:r>
      <w:r w:rsidR="00A859FD">
        <w:instrText xml:space="preserve">" </w:instrText>
      </w:r>
      <w:r w:rsidR="00A859FD">
        <w:rPr>
          <w:i/>
        </w:rPr>
        <w:fldChar w:fldCharType="end"/>
      </w:r>
      <w:r w:rsidRPr="00273106">
        <w:t xml:space="preserve"> má pro hermeneutiku objektivity klíčový charakter</w:t>
      </w:r>
      <w:r w:rsidR="00AD05D9">
        <w:t xml:space="preserve"> dějinné události zakládající </w:t>
      </w:r>
      <w:r w:rsidR="08F76BF0">
        <w:t>t</w:t>
      </w:r>
      <w:r w:rsidR="08942D17">
        <w:t>ragi</w:t>
      </w:r>
      <w:r w:rsidR="08F76BF0">
        <w:t xml:space="preserve">komickou </w:t>
      </w:r>
      <w:r w:rsidR="00AD05D9">
        <w:t xml:space="preserve">podobu metafyziky </w:t>
      </w:r>
      <w:r w:rsidR="088D1377">
        <w:t xml:space="preserve">latinského Západu </w:t>
      </w:r>
      <w:r w:rsidR="00AD05D9">
        <w:t>(</w:t>
      </w:r>
      <w:r w:rsidR="00AD05D9" w:rsidRPr="00AD05D9">
        <w:rPr>
          <w:i/>
        </w:rPr>
        <w:t>Ereignis</w:t>
      </w:r>
      <w:r w:rsidR="00AD05D9">
        <w:t>)</w:t>
      </w:r>
      <w:r w:rsidRPr="00273106">
        <w:t xml:space="preserve">. </w:t>
      </w:r>
      <w:r w:rsidR="08C40821" w:rsidRPr="00273106">
        <w:t xml:space="preserve">Latinští averroisté uvedli myšlení Západu do nových dějin, již provozovaných v rámci </w:t>
      </w:r>
      <w:r w:rsidR="08C40821" w:rsidRPr="00273106">
        <w:rPr>
          <w:i/>
        </w:rPr>
        <w:t>via</w:t>
      </w:r>
      <w:r w:rsidR="08C40821" w:rsidRPr="00273106">
        <w:t xml:space="preserve"> </w:t>
      </w:r>
      <w:r w:rsidR="08C40821" w:rsidRPr="00273106">
        <w:rPr>
          <w:i/>
        </w:rPr>
        <w:t>Modernorum</w:t>
      </w:r>
      <w:r w:rsidR="08C40821">
        <w:rPr>
          <w:i/>
        </w:rPr>
        <w:fldChar w:fldCharType="begin"/>
      </w:r>
      <w:r w:rsidR="08C40821">
        <w:instrText xml:space="preserve"> XE "</w:instrText>
      </w:r>
      <w:r w:rsidR="08C40821" w:rsidRPr="00ED0748">
        <w:rPr>
          <w:i/>
        </w:rPr>
        <w:instrText>via Modernorum</w:instrText>
      </w:r>
      <w:r w:rsidR="08C40821">
        <w:instrText xml:space="preserve">" </w:instrText>
      </w:r>
      <w:r w:rsidR="08C40821">
        <w:rPr>
          <w:i/>
        </w:rPr>
        <w:fldChar w:fldCharType="end"/>
      </w:r>
      <w:r w:rsidR="08C40821" w:rsidRPr="00273106">
        <w:t>. Původní po</w:t>
      </w:r>
      <w:r w:rsidR="08C40821" w:rsidRPr="00273106">
        <w:noBreakHyphen/>
        <w:t xml:space="preserve">odhalenost </w:t>
      </w:r>
      <w:r w:rsidR="083A101D">
        <w:t xml:space="preserve">objektivně daného </w:t>
      </w:r>
      <w:r w:rsidR="08C40821" w:rsidRPr="00273106">
        <w:t>jsoucna (</w:t>
      </w:r>
      <w:r w:rsidR="08C40821" w:rsidRPr="00273106">
        <w:rPr>
          <w:i/>
        </w:rPr>
        <w:t>a/létheia</w:t>
      </w:r>
      <w:r w:rsidR="08C40821">
        <w:rPr>
          <w:i/>
        </w:rPr>
        <w:fldChar w:fldCharType="begin"/>
      </w:r>
      <w:r w:rsidR="08C40821">
        <w:instrText xml:space="preserve"> XE "</w:instrText>
      </w:r>
      <w:r w:rsidR="08C40821" w:rsidRPr="08937E60">
        <w:rPr>
          <w:i/>
          <w:lang w:eastAsia="en-US"/>
        </w:rPr>
        <w:instrText>a/létheia</w:instrText>
      </w:r>
      <w:r w:rsidR="08C40821">
        <w:instrText xml:space="preserve">" </w:instrText>
      </w:r>
      <w:r w:rsidR="08C40821">
        <w:rPr>
          <w:i/>
        </w:rPr>
        <w:fldChar w:fldCharType="end"/>
      </w:r>
      <w:r w:rsidR="08C40821" w:rsidRPr="00273106">
        <w:t xml:space="preserve">) </w:t>
      </w:r>
      <w:r w:rsidR="08C40821">
        <w:t>vstoupila</w:t>
      </w:r>
      <w:r w:rsidR="08C40821" w:rsidRPr="00273106">
        <w:t xml:space="preserve"> </w:t>
      </w:r>
      <w:r w:rsidR="08C40821">
        <w:t xml:space="preserve">skrze novou událost založení metafyziky </w:t>
      </w:r>
      <w:r w:rsidR="08C40821" w:rsidRPr="00273106">
        <w:t>do prostoru epochálně učinné manifestace (</w:t>
      </w:r>
      <w:r w:rsidR="08C40821" w:rsidRPr="00273106">
        <w:rPr>
          <w:i/>
        </w:rPr>
        <w:t>alétheia</w:t>
      </w:r>
      <w:r w:rsidR="08C40821" w:rsidRPr="00273106">
        <w:t>)</w:t>
      </w:r>
      <w:r w:rsidR="000117FA">
        <w:t xml:space="preserve">. Nové pojetí metafyziky </w:t>
      </w:r>
      <w:r w:rsidR="08C40821">
        <w:t xml:space="preserve">manifestuje </w:t>
      </w:r>
      <w:r w:rsidR="08F76BF0">
        <w:t xml:space="preserve">aristotelské </w:t>
      </w:r>
      <w:r w:rsidR="08C40821">
        <w:t>jsoucno jako objektivně jsoucí</w:t>
      </w:r>
      <w:r w:rsidR="000117FA">
        <w:t>.</w:t>
      </w:r>
    </w:p>
    <w:p w14:paraId="08F132A3" w14:textId="5F942F0C" w:rsidR="002F2F58" w:rsidRDefault="087271A8" w:rsidP="000117FA">
      <w:pPr>
        <w:ind w:firstLine="397"/>
      </w:pPr>
      <w:r>
        <w:lastRenderedPageBreak/>
        <w:t xml:space="preserve">Nový status </w:t>
      </w:r>
      <w:r w:rsidRPr="08C40821">
        <w:rPr>
          <w:i/>
        </w:rPr>
        <w:t>esse ratum</w:t>
      </w:r>
      <w:r w:rsidRPr="00273106">
        <w:t xml:space="preserve"> </w:t>
      </w:r>
      <w:r>
        <w:t>zrušil p</w:t>
      </w:r>
      <w:r w:rsidR="08C40821" w:rsidRPr="00273106">
        <w:t xml:space="preserve">ůvodní </w:t>
      </w:r>
      <w:r>
        <w:t>význam jsoucna daný</w:t>
      </w:r>
      <w:r w:rsidR="08C40821" w:rsidRPr="00273106">
        <w:t xml:space="preserve"> skrze hyparchick</w:t>
      </w:r>
      <w:r>
        <w:t>ou první substanci</w:t>
      </w:r>
      <w:r w:rsidR="08C50B5E">
        <w:t xml:space="preserve"> </w:t>
      </w:r>
      <w:r w:rsidR="08C50B5E" w:rsidRPr="00273106">
        <w:t>(</w:t>
      </w:r>
      <w:r w:rsidR="08C50B5E" w:rsidRPr="00273106">
        <w:rPr>
          <w:i/>
        </w:rPr>
        <w:t>Seinsvergesenheit</w:t>
      </w:r>
      <w:r w:rsidR="08C50B5E" w:rsidRPr="00273106">
        <w:t>)</w:t>
      </w:r>
      <w:r w:rsidR="00B539CB">
        <w:t>.</w:t>
      </w:r>
      <w:r w:rsidR="009525F2">
        <w:t xml:space="preserve"> </w:t>
      </w:r>
      <w:r w:rsidR="08C15B34">
        <w:t xml:space="preserve">Vytěsnění </w:t>
      </w:r>
      <w:r w:rsidR="082A724F">
        <w:t xml:space="preserve">metafyzického </w:t>
      </w:r>
      <w:r w:rsidR="08FA0F9D">
        <w:t>dativu řídícího kategoriální predikaci směrem k</w:t>
      </w:r>
      <w:r w:rsidR="005058A9">
        <w:t> </w:t>
      </w:r>
      <w:r w:rsidR="08FA0F9D">
        <w:t>hy</w:t>
      </w:r>
      <w:r w:rsidR="005058A9">
        <w:t xml:space="preserve">parchické substanci </w:t>
      </w:r>
      <w:r w:rsidR="0041674E">
        <w:t xml:space="preserve">bylo </w:t>
      </w:r>
      <w:r w:rsidR="08C40821" w:rsidRPr="00273106">
        <w:t>dáno jako vědomá volba myslitelů ve škole druhého averroismu.</w:t>
      </w:r>
      <w:r w:rsidR="08C40821">
        <w:t xml:space="preserve"> </w:t>
      </w:r>
      <w:r w:rsidR="08C40821" w:rsidRPr="00273106">
        <w:t>Další kapitoly věnované druhému averroismu ukáží, že Rufu</w:t>
      </w:r>
      <w:r w:rsidR="00902852">
        <w:t>s, Kilwardby a Bonaventura otočili</w:t>
      </w:r>
      <w:r w:rsidR="08C40821" w:rsidRPr="00273106">
        <w:t xml:space="preserve"> celé schéma</w:t>
      </w:r>
      <w:r w:rsidR="08C40821">
        <w:t xml:space="preserve"> od aristotelské pozice hyparchického postavení první substance směrem k metafyzickému primátu esence</w:t>
      </w:r>
      <w:r w:rsidR="08C40821" w:rsidRPr="00273106">
        <w:t>. Zatmění první substance</w:t>
      </w:r>
      <w:r w:rsidR="08C40821">
        <w:fldChar w:fldCharType="begin"/>
      </w:r>
      <w:r w:rsidR="08C40821">
        <w:instrText xml:space="preserve"> XE "</w:instrText>
      </w:r>
      <w:r w:rsidR="08C40821" w:rsidRPr="00DE2A32">
        <w:instrText>substance</w:instrText>
      </w:r>
      <w:r w:rsidR="08C40821">
        <w:instrText xml:space="preserve">:zatmění" </w:instrText>
      </w:r>
      <w:r w:rsidR="08C40821">
        <w:fldChar w:fldCharType="end"/>
      </w:r>
      <w:r w:rsidR="08C40821" w:rsidRPr="00273106">
        <w:t xml:space="preserve"> se </w:t>
      </w:r>
      <w:r w:rsidR="08C40821">
        <w:t>dostalo</w:t>
      </w:r>
      <w:r w:rsidR="08C40821" w:rsidRPr="00273106">
        <w:t xml:space="preserve"> do </w:t>
      </w:r>
      <w:r w:rsidR="08C40821">
        <w:t>terminální fáze charakterizující</w:t>
      </w:r>
      <w:r w:rsidR="08C40821" w:rsidRPr="00273106">
        <w:t xml:space="preserve"> bludné cesty modernistů a postmodernistů.</w:t>
      </w:r>
      <w:r w:rsidR="080E6DCA">
        <w:t xml:space="preserve"> </w:t>
      </w:r>
      <w:r w:rsidR="00E321F1" w:rsidRPr="00273106">
        <w:t>Druhý averroismus změnil</w:t>
      </w:r>
      <w:r w:rsidR="00161413" w:rsidRPr="00273106">
        <w:t xml:space="preserve"> principy metafyziky kodifikované Boethiem, který držel s Aristotele</w:t>
      </w:r>
      <w:r w:rsidR="00F400C5" w:rsidRPr="00273106">
        <w:t>m primát první substance.</w:t>
      </w:r>
      <w:r w:rsidR="00BE0532" w:rsidRPr="00273106">
        <w:t xml:space="preserve"> </w:t>
      </w:r>
      <w:r w:rsidR="00F400C5" w:rsidRPr="00273106">
        <w:t>P</w:t>
      </w:r>
      <w:r w:rsidR="00161413" w:rsidRPr="00273106">
        <w:t xml:space="preserve">redikace </w:t>
      </w:r>
      <w:r w:rsidR="00161413" w:rsidRPr="00273106">
        <w:rPr>
          <w:i/>
        </w:rPr>
        <w:t>per prius</w:t>
      </w:r>
      <w:r w:rsidR="00A859FD">
        <w:rPr>
          <w:i/>
        </w:rPr>
        <w:fldChar w:fldCharType="begin"/>
      </w:r>
      <w:r w:rsidR="00A859FD">
        <w:instrText xml:space="preserve"> XE "predikace:</w:instrText>
      </w:r>
      <w:r w:rsidR="00A859FD" w:rsidRPr="003D577D">
        <w:rPr>
          <w:i/>
        </w:rPr>
        <w:instrText>per prius</w:instrText>
      </w:r>
      <w:r w:rsidR="00A859FD">
        <w:instrText xml:space="preserve">" </w:instrText>
      </w:r>
      <w:r w:rsidR="00A859FD">
        <w:rPr>
          <w:i/>
        </w:rPr>
        <w:fldChar w:fldCharType="end"/>
      </w:r>
      <w:r w:rsidR="00161413" w:rsidRPr="00273106">
        <w:t xml:space="preserve"> </w:t>
      </w:r>
      <w:r w:rsidR="00BC0F98" w:rsidRPr="00273106">
        <w:t xml:space="preserve">postavená </w:t>
      </w:r>
      <w:r w:rsidR="00F400C5" w:rsidRPr="00273106">
        <w:t xml:space="preserve">mimo reálnou substanci </w:t>
      </w:r>
      <w:r w:rsidR="00BC0F98" w:rsidRPr="00273106">
        <w:t xml:space="preserve">nebyla </w:t>
      </w:r>
      <w:r w:rsidR="00957014" w:rsidRPr="00273106">
        <w:t>v prvním averroismu</w:t>
      </w:r>
      <w:r w:rsidR="00EE2E1C" w:rsidRPr="00EE2E1C">
        <w:t xml:space="preserve"> </w:t>
      </w:r>
      <w:r w:rsidR="00EE2E1C">
        <w:t xml:space="preserve">vůbec </w:t>
      </w:r>
      <w:r w:rsidR="00EE2E1C" w:rsidRPr="00273106">
        <w:t>možná</w:t>
      </w:r>
      <w:r w:rsidR="00AD05D9">
        <w:t xml:space="preserve">, protože by zrušila </w:t>
      </w:r>
      <w:r w:rsidR="00EE2E1C">
        <w:t>vědecké poznání reality</w:t>
      </w:r>
      <w:r w:rsidR="00BC0F98" w:rsidRPr="00273106">
        <w:t>. V</w:t>
      </w:r>
      <w:r w:rsidR="00161413" w:rsidRPr="00273106">
        <w:t>ěda by se stala metaforickým podnikem založeným na pouhé homonymii</w:t>
      </w:r>
      <w:r w:rsidR="004F1B1D" w:rsidRPr="00273106">
        <w:t xml:space="preserve">, </w:t>
      </w:r>
      <w:r w:rsidR="00017DA2" w:rsidRPr="00273106">
        <w:t xml:space="preserve">což </w:t>
      </w:r>
      <w:r w:rsidR="00DF29CF" w:rsidRPr="00273106">
        <w:t xml:space="preserve">završila </w:t>
      </w:r>
      <w:r w:rsidR="004F1B1D" w:rsidRPr="00273106">
        <w:t>nihilistická postmoderna</w:t>
      </w:r>
      <w:r w:rsidR="08A00F67">
        <w:t xml:space="preserve"> Derridy</w:t>
      </w:r>
      <w:r w:rsidR="08FE7315">
        <w:fldChar w:fldCharType="begin"/>
      </w:r>
      <w:r w:rsidR="08FE7315">
        <w:instrText xml:space="preserve"> XE "</w:instrText>
      </w:r>
      <w:r w:rsidR="08FE7315" w:rsidRPr="085C0D1D">
        <w:instrText>Derrida, J.</w:instrText>
      </w:r>
      <w:r w:rsidR="08FE7315">
        <w:instrText xml:space="preserve">" </w:instrText>
      </w:r>
      <w:r w:rsidR="08FE7315">
        <w:fldChar w:fldCharType="end"/>
      </w:r>
      <w:r w:rsidR="08A00F67">
        <w:t xml:space="preserve"> a Rortyho</w:t>
      </w:r>
      <w:r w:rsidR="08FE7315">
        <w:fldChar w:fldCharType="begin"/>
      </w:r>
      <w:r w:rsidR="08FE7315">
        <w:instrText xml:space="preserve"> XE "</w:instrText>
      </w:r>
      <w:r w:rsidR="08FE7315" w:rsidRPr="08E241F0">
        <w:instrText>Rorty, R.</w:instrText>
      </w:r>
      <w:r w:rsidR="08FE7315">
        <w:instrText xml:space="preserve">" </w:instrText>
      </w:r>
      <w:r w:rsidR="08FE7315">
        <w:fldChar w:fldCharType="end"/>
      </w:r>
      <w:r w:rsidR="00161413" w:rsidRPr="00273106">
        <w:t xml:space="preserve">. </w:t>
      </w:r>
      <w:r w:rsidR="08CE403A">
        <w:t xml:space="preserve">Spor o metafyzickou </w:t>
      </w:r>
      <w:r w:rsidR="00466573">
        <w:t>„</w:t>
      </w:r>
      <w:r w:rsidR="08CE403A">
        <w:t>debilitu</w:t>
      </w:r>
      <w:r w:rsidR="00466573">
        <w:t>“</w:t>
      </w:r>
      <w:r w:rsidR="00F84DC0" w:rsidRPr="00273106">
        <w:t xml:space="preserve"> intelektu dostává z hlediska objektivity </w:t>
      </w:r>
      <w:r w:rsidR="081F7F2B">
        <w:t xml:space="preserve">terminální </w:t>
      </w:r>
      <w:r w:rsidR="00F84DC0" w:rsidRPr="00273106">
        <w:t>význam</w:t>
      </w:r>
      <w:r w:rsidR="00944345">
        <w:t xml:space="preserve"> v modu pravdy jako </w:t>
      </w:r>
      <w:r w:rsidR="00944345" w:rsidRPr="00944345">
        <w:rPr>
          <w:i/>
        </w:rPr>
        <w:t>alétheia</w:t>
      </w:r>
      <w:r w:rsidR="00F84DC0" w:rsidRPr="00273106">
        <w:t xml:space="preserve">. </w:t>
      </w:r>
      <w:r w:rsidR="00944345">
        <w:t xml:space="preserve">Moderna tímto sporem přišla na začátek </w:t>
      </w:r>
      <w:r w:rsidR="00944345" w:rsidRPr="00944345">
        <w:rPr>
          <w:i/>
        </w:rPr>
        <w:t>via Modernorum</w:t>
      </w:r>
      <w:r w:rsidR="00944345">
        <w:t xml:space="preserve">. </w:t>
      </w:r>
      <w:r w:rsidR="08B22E60">
        <w:t xml:space="preserve">Její </w:t>
      </w:r>
      <w:r w:rsidR="082358D6">
        <w:t xml:space="preserve">vědomé </w:t>
      </w:r>
      <w:r w:rsidR="081B522B">
        <w:t xml:space="preserve">filosofické </w:t>
      </w:r>
      <w:r w:rsidR="08B22E60">
        <w:t xml:space="preserve">dějiny v rámci </w:t>
      </w:r>
      <w:r w:rsidR="082358D6">
        <w:t xml:space="preserve">pozitivistické </w:t>
      </w:r>
      <w:r w:rsidR="08B22E60" w:rsidRPr="00944345">
        <w:rPr>
          <w:i/>
        </w:rPr>
        <w:t>Wirkungsgeschichte</w:t>
      </w:r>
      <w:r w:rsidR="08B22E60">
        <w:t xml:space="preserve"> začínají tím, že p</w:t>
      </w:r>
      <w:r w:rsidR="08B678E8">
        <w:t>ůvodní o</w:t>
      </w:r>
      <w:r w:rsidR="08B678E8" w:rsidRPr="00273106">
        <w:t xml:space="preserve">dkrytost objektivně nazíraného jsoucna </w:t>
      </w:r>
      <w:r w:rsidR="08B678E8">
        <w:t xml:space="preserve">v modu </w:t>
      </w:r>
      <w:r w:rsidR="08B678E8" w:rsidRPr="082E5BEC">
        <w:rPr>
          <w:i/>
        </w:rPr>
        <w:t>Anfang</w:t>
      </w:r>
      <w:r w:rsidR="08B678E8">
        <w:t xml:space="preserve"> </w:t>
      </w:r>
      <w:r w:rsidR="08B678E8" w:rsidRPr="00273106">
        <w:t xml:space="preserve">se mění </w:t>
      </w:r>
      <w:r w:rsidR="08B678E8">
        <w:t>ustanovením silného intelektu moderny (</w:t>
      </w:r>
      <w:r w:rsidR="08B678E8" w:rsidRPr="082E5BEC">
        <w:rPr>
          <w:i/>
        </w:rPr>
        <w:t>Beginn</w:t>
      </w:r>
      <w:r w:rsidR="08B678E8">
        <w:rPr>
          <w:i/>
        </w:rPr>
        <w:fldChar w:fldCharType="begin"/>
      </w:r>
      <w:r w:rsidR="08B678E8">
        <w:instrText xml:space="preserve"> XE "objektivita:</w:instrText>
      </w:r>
      <w:r w:rsidR="08B678E8" w:rsidRPr="00807E55">
        <w:rPr>
          <w:i/>
        </w:rPr>
        <w:instrText>Anfang/Beginn</w:instrText>
      </w:r>
      <w:r w:rsidR="08B678E8">
        <w:instrText xml:space="preserve">" </w:instrText>
      </w:r>
      <w:r w:rsidR="08B678E8">
        <w:rPr>
          <w:i/>
        </w:rPr>
        <w:fldChar w:fldCharType="end"/>
      </w:r>
      <w:r w:rsidR="08B678E8">
        <w:t xml:space="preserve">) </w:t>
      </w:r>
      <w:r w:rsidR="08B678E8" w:rsidRPr="00273106">
        <w:t>na trvalou odkrytost objektivity</w:t>
      </w:r>
      <w:r w:rsidR="088A3C63">
        <w:t>. Paranoia moderny je nyní daná</w:t>
      </w:r>
      <w:r w:rsidR="08B678E8" w:rsidRPr="00273106">
        <w:t xml:space="preserve"> </w:t>
      </w:r>
      <w:r w:rsidR="087776FA" w:rsidRPr="00273106">
        <w:t>termin</w:t>
      </w:r>
      <w:r w:rsidR="08A369C7">
        <w:t xml:space="preserve">álně </w:t>
      </w:r>
      <w:r w:rsidR="087776FA">
        <w:t xml:space="preserve">jako dějinné </w:t>
      </w:r>
      <w:r w:rsidR="087776FA" w:rsidRPr="087776FA">
        <w:rPr>
          <w:i/>
        </w:rPr>
        <w:t>factum</w:t>
      </w:r>
      <w:r w:rsidR="087776FA">
        <w:t xml:space="preserve"> </w:t>
      </w:r>
      <w:r w:rsidR="08B678E8" w:rsidRPr="00273106">
        <w:t xml:space="preserve">v podobě </w:t>
      </w:r>
      <w:r w:rsidR="08B678E8">
        <w:t xml:space="preserve">změněného významu </w:t>
      </w:r>
      <w:r w:rsidR="08B678E8" w:rsidRPr="00273106">
        <w:rPr>
          <w:i/>
        </w:rPr>
        <w:t>esse ratum</w:t>
      </w:r>
      <w:r w:rsidR="08B678E8" w:rsidRPr="00273106">
        <w:t>.</w:t>
      </w:r>
      <w:r w:rsidR="08B678E8">
        <w:t xml:space="preserve"> </w:t>
      </w:r>
      <w:r w:rsidR="08465138">
        <w:t xml:space="preserve">Po odmítnutí </w:t>
      </w:r>
      <w:r w:rsidR="08616F47">
        <w:t xml:space="preserve">metafyziky </w:t>
      </w:r>
      <w:r w:rsidR="086A3121">
        <w:t>slabého intelektu vůč</w:t>
      </w:r>
      <w:r w:rsidR="08465138">
        <w:t xml:space="preserve">i silné realitě </w:t>
      </w:r>
      <w:r w:rsidR="086A3121">
        <w:t xml:space="preserve">již </w:t>
      </w:r>
      <w:r w:rsidR="08465138">
        <w:t xml:space="preserve">moderna </w:t>
      </w:r>
      <w:r w:rsidR="00944345">
        <w:t xml:space="preserve">kráčí po široké a pohodlné cestě </w:t>
      </w:r>
      <w:r w:rsidR="084B411B">
        <w:t>epochální</w:t>
      </w:r>
      <w:r w:rsidR="005D6D6E">
        <w:t xml:space="preserve"> </w:t>
      </w:r>
      <w:r w:rsidR="004F22CF" w:rsidRPr="004F22CF">
        <w:t>paranoie (</w:t>
      </w:r>
      <w:r w:rsidR="004F22CF" w:rsidRPr="004F22CF">
        <w:rPr>
          <w:i/>
        </w:rPr>
        <w:t>Irre</w:t>
      </w:r>
      <w:r w:rsidR="000A39A2">
        <w:rPr>
          <w:i/>
        </w:rPr>
        <w:fldChar w:fldCharType="begin"/>
      </w:r>
      <w:r w:rsidR="000A39A2">
        <w:instrText xml:space="preserve"> XE "</w:instrText>
      </w:r>
      <w:r w:rsidR="000A39A2" w:rsidRPr="00453A0A">
        <w:rPr>
          <w:i/>
        </w:rPr>
        <w:instrText>Irre</w:instrText>
      </w:r>
      <w:r w:rsidR="000A39A2">
        <w:instrText xml:space="preserve">" </w:instrText>
      </w:r>
      <w:r w:rsidR="000A39A2">
        <w:rPr>
          <w:i/>
        </w:rPr>
        <w:fldChar w:fldCharType="end"/>
      </w:r>
      <w:r w:rsidR="004F22CF" w:rsidRPr="004F22CF">
        <w:t>)</w:t>
      </w:r>
      <w:r w:rsidR="002F2F58" w:rsidRPr="004F22CF">
        <w:t>.</w:t>
      </w:r>
    </w:p>
    <w:p w14:paraId="69EFE14C" w14:textId="379BA736" w:rsidR="004F1B1D" w:rsidRPr="00273106" w:rsidRDefault="08B91003" w:rsidP="002F2F58">
      <w:pPr>
        <w:ind w:firstLine="397"/>
      </w:pPr>
      <w:r>
        <w:t>Albertova p</w:t>
      </w:r>
      <w:r w:rsidR="08737AEB">
        <w:t>olemika s modernisty ukazuje, kde a za jakých okolností vzniklo učení Modistů (</w:t>
      </w:r>
      <w:r w:rsidR="08737AEB" w:rsidRPr="00187ED7">
        <w:rPr>
          <w:i/>
        </w:rPr>
        <w:t>Modistae</w:t>
      </w:r>
      <w:r w:rsidR="08737AEB">
        <w:rPr>
          <w:i/>
        </w:rPr>
        <w:fldChar w:fldCharType="begin"/>
      </w:r>
      <w:r w:rsidR="08737AEB">
        <w:instrText xml:space="preserve"> XE "Modisté" </w:instrText>
      </w:r>
      <w:r w:rsidR="08737AEB">
        <w:rPr>
          <w:i/>
        </w:rPr>
        <w:fldChar w:fldCharType="end"/>
      </w:r>
      <w:r w:rsidR="08737AEB">
        <w:t xml:space="preserve">), které se začalo šířit v další dekádě. První traktáty </w:t>
      </w:r>
      <w:r w:rsidR="08737AEB">
        <w:rPr>
          <w:i/>
          <w:iCs/>
        </w:rPr>
        <w:t>De modis significandi</w:t>
      </w:r>
      <w:r w:rsidR="08737AEB">
        <w:t xml:space="preserve"> </w:t>
      </w:r>
      <w:r w:rsidR="009525F2">
        <w:t xml:space="preserve">ze </w:t>
      </w:r>
      <w:r w:rsidR="08737AEB">
        <w:t xml:space="preserve">školy prvního averroismu </w:t>
      </w:r>
      <w:r w:rsidR="009525F2">
        <w:t xml:space="preserve">jsou namířené </w:t>
      </w:r>
      <w:r w:rsidR="08737AEB">
        <w:t xml:space="preserve">proti zástupcům </w:t>
      </w:r>
      <w:r w:rsidR="08737AEB" w:rsidRPr="0073305F">
        <w:rPr>
          <w:i/>
        </w:rPr>
        <w:t xml:space="preserve">Oxfordian Fallacy </w:t>
      </w:r>
      <w:r w:rsidR="009525F2">
        <w:t xml:space="preserve">a </w:t>
      </w:r>
      <w:r w:rsidR="001D37FA">
        <w:t xml:space="preserve">vznikají okolo roku </w:t>
      </w:r>
      <w:r w:rsidR="08737AEB">
        <w:t xml:space="preserve">1255 (Martinus de Dacia, Boethius de Dacia). </w:t>
      </w:r>
      <w:r w:rsidR="08C467E1" w:rsidRPr="00273106">
        <w:t xml:space="preserve">Albertův komentář k </w:t>
      </w:r>
      <w:r w:rsidR="08C467E1">
        <w:rPr>
          <w:i/>
        </w:rPr>
        <w:t>De anima</w:t>
      </w:r>
      <w:r w:rsidR="08C467E1" w:rsidRPr="00273106">
        <w:t xml:space="preserve"> </w:t>
      </w:r>
      <w:r w:rsidR="00B74986">
        <w:t xml:space="preserve">pokračuje v této linii a </w:t>
      </w:r>
      <w:r w:rsidR="08C467E1" w:rsidRPr="00273106">
        <w:t>dos</w:t>
      </w:r>
      <w:r w:rsidR="08C467E1">
        <w:t xml:space="preserve">vědčuje </w:t>
      </w:r>
      <w:r w:rsidR="08C467E1" w:rsidRPr="00273106">
        <w:t>provedený obrat moderny</w:t>
      </w:r>
      <w:r w:rsidR="009E358D">
        <w:t xml:space="preserve">, která </w:t>
      </w:r>
      <w:r w:rsidR="08C467E1" w:rsidRPr="00273106">
        <w:t xml:space="preserve">se v předešlé dekádě postavila na pozici </w:t>
      </w:r>
      <w:r w:rsidR="00B74986">
        <w:t xml:space="preserve">epochálního </w:t>
      </w:r>
      <w:r w:rsidR="08C467E1" w:rsidRPr="00273106">
        <w:rPr>
          <w:i/>
        </w:rPr>
        <w:t>Irrtum</w:t>
      </w:r>
      <w:r w:rsidR="08C467E1" w:rsidRPr="00273106">
        <w:t xml:space="preserve">. </w:t>
      </w:r>
      <w:r w:rsidR="00CF1ACC">
        <w:t>Akvinský komentuje statut první substance stejně jako Albert</w:t>
      </w:r>
      <w:r w:rsidR="00181318">
        <w:t xml:space="preserve">, viz citát z </w:t>
      </w:r>
      <w:r w:rsidR="00181318" w:rsidRPr="00181318">
        <w:rPr>
          <w:i/>
        </w:rPr>
        <w:t>D</w:t>
      </w:r>
      <w:r w:rsidR="00CE24C1" w:rsidRPr="00181318">
        <w:rPr>
          <w:i/>
        </w:rPr>
        <w:t>ruhé knihy Sentencí</w:t>
      </w:r>
      <w:r w:rsidR="00CE24C1">
        <w:t xml:space="preserve"> </w:t>
      </w:r>
      <w:r w:rsidR="00CB25C6">
        <w:t>na</w:t>
      </w:r>
      <w:r w:rsidR="00CE24C1">
        <w:t xml:space="preserve">psané kolem roku 1257. </w:t>
      </w:r>
      <w:r w:rsidR="00851F01">
        <w:t xml:space="preserve">Aktuální </w:t>
      </w:r>
      <w:r w:rsidR="000108AA">
        <w:t xml:space="preserve">a zajištěné </w:t>
      </w:r>
      <w:r w:rsidR="00851F01">
        <w:t>bytí věci je dáno v</w:t>
      </w:r>
      <w:r w:rsidR="007522E4">
        <w:t xml:space="preserve"> </w:t>
      </w:r>
      <w:r w:rsidR="00851F01">
        <w:t xml:space="preserve">realitě </w:t>
      </w:r>
      <w:r w:rsidR="007522E4">
        <w:t>(</w:t>
      </w:r>
      <w:r w:rsidR="00851F01" w:rsidRPr="00851F01">
        <w:rPr>
          <w:i/>
        </w:rPr>
        <w:t>esse ratum et firmum in natura</w:t>
      </w:r>
      <w:r w:rsidR="007522E4">
        <w:t>)</w:t>
      </w:r>
      <w:r w:rsidR="00851F01">
        <w:t>,</w:t>
      </w:r>
      <w:r w:rsidR="007522E4">
        <w:t xml:space="preserve"> a </w:t>
      </w:r>
      <w:r w:rsidR="00851F01">
        <w:t xml:space="preserve">tím se liší substance </w:t>
      </w:r>
      <w:r w:rsidR="00851F01">
        <w:lastRenderedPageBreak/>
        <w:t xml:space="preserve">věci od </w:t>
      </w:r>
      <w:r w:rsidR="007522E4">
        <w:t xml:space="preserve">jejího odděleného poznání </w:t>
      </w:r>
      <w:r w:rsidR="00851F01">
        <w:t xml:space="preserve">esence věci </w:t>
      </w:r>
      <w:r w:rsidR="007522E4">
        <w:t>v mysli (</w:t>
      </w:r>
      <w:r w:rsidR="007522E4" w:rsidRPr="00136BB3">
        <w:rPr>
          <w:i/>
        </w:rPr>
        <w:t>res a reor reris</w:t>
      </w:r>
      <w:r w:rsidR="007522E4">
        <w:t>).</w:t>
      </w:r>
      <w:r w:rsidR="007522E4" w:rsidRPr="00273106">
        <w:rPr>
          <w:rStyle w:val="Znakapoznpodarou"/>
        </w:rPr>
        <w:footnoteReference w:id="256"/>
      </w:r>
      <w:r w:rsidR="007522E4" w:rsidRPr="00273106">
        <w:t xml:space="preserve"> </w:t>
      </w:r>
      <w:r w:rsidR="00CE24C1">
        <w:t>Ale Tomáš</w:t>
      </w:r>
      <w:r w:rsidR="007522E4">
        <w:t xml:space="preserve"> na rozdíl od Alberta </w:t>
      </w:r>
      <w:r w:rsidR="00CE24C1">
        <w:t xml:space="preserve">vykládá primát </w:t>
      </w:r>
      <w:r w:rsidR="007522E4" w:rsidRPr="007522E4">
        <w:rPr>
          <w:i/>
        </w:rPr>
        <w:t>esse</w:t>
      </w:r>
      <w:r w:rsidR="00CE24C1" w:rsidRPr="00CE24C1">
        <w:rPr>
          <w:i/>
        </w:rPr>
        <w:t xml:space="preserve"> ratum</w:t>
      </w:r>
      <w:r w:rsidR="00CE24C1">
        <w:t xml:space="preserve"> v modu Avicennovy metafyziky podané podle jím upravené verze Toledské školy</w:t>
      </w:r>
      <w:r w:rsidR="00F673B2">
        <w:t xml:space="preserve">. Jeho </w:t>
      </w:r>
      <w:r w:rsidR="007F1036">
        <w:fldChar w:fldCharType="begin"/>
      </w:r>
      <w:r w:rsidR="007F1036">
        <w:instrText xml:space="preserve"> XE "</w:instrText>
      </w:r>
      <w:r w:rsidR="004A155A">
        <w:instrText>Toledská škola</w:instrText>
      </w:r>
      <w:r w:rsidR="007F1036">
        <w:instrText xml:space="preserve">" </w:instrText>
      </w:r>
      <w:r w:rsidR="007F1036">
        <w:fldChar w:fldCharType="end"/>
      </w:r>
      <w:r w:rsidR="00CE24C1">
        <w:t xml:space="preserve"> </w:t>
      </w:r>
      <w:r w:rsidR="00ED72CE">
        <w:t>první významné</w:t>
      </w:r>
      <w:r w:rsidR="00F673B2">
        <w:t xml:space="preserve"> dílo</w:t>
      </w:r>
      <w:r w:rsidR="00ED72CE">
        <w:t xml:space="preserve"> </w:t>
      </w:r>
      <w:r w:rsidR="00CE24C1" w:rsidRPr="00CE24C1">
        <w:rPr>
          <w:i/>
        </w:rPr>
        <w:t>De ente et essentia</w:t>
      </w:r>
      <w:r w:rsidR="00CE24C1">
        <w:t xml:space="preserve"> </w:t>
      </w:r>
      <w:r w:rsidR="00F673B2">
        <w:t>bylo pojato</w:t>
      </w:r>
      <w:r w:rsidR="00CE24C1">
        <w:t xml:space="preserve"> v </w:t>
      </w:r>
      <w:r w:rsidR="082E62CA">
        <w:t xml:space="preserve">duchu </w:t>
      </w:r>
      <w:r w:rsidR="00F673B2">
        <w:t xml:space="preserve">reformovaného </w:t>
      </w:r>
      <w:r w:rsidR="082E62CA">
        <w:t>prvního averroismu (</w:t>
      </w:r>
      <w:r w:rsidR="085F6FB7">
        <w:t xml:space="preserve">OBJ III, </w:t>
      </w:r>
      <w:r w:rsidR="082E62CA">
        <w:t>kap. 4</w:t>
      </w:r>
      <w:r w:rsidR="00CE24C1">
        <w:t xml:space="preserve">.5.1). </w:t>
      </w:r>
      <w:r w:rsidR="00BE0532" w:rsidRPr="00273106">
        <w:t xml:space="preserve">Poslední svědek scholastické </w:t>
      </w:r>
      <w:r w:rsidR="0031438C">
        <w:rPr>
          <w:i/>
        </w:rPr>
        <w:t>aléth</w:t>
      </w:r>
      <w:r w:rsidR="00BE0532" w:rsidRPr="00273106">
        <w:rPr>
          <w:i/>
        </w:rPr>
        <w:t>eia</w:t>
      </w:r>
      <w:r w:rsidR="00BE0532" w:rsidRPr="00273106">
        <w:t xml:space="preserve"> dané epochálním obratem od bytí jsoucího k esenc</w:t>
      </w:r>
      <w:r w:rsidR="00FD2517" w:rsidRPr="00273106">
        <w:t xml:space="preserve">i je </w:t>
      </w:r>
      <w:r w:rsidR="00D948B4">
        <w:t>první postmoderní metafyzik Francisco Suá</w:t>
      </w:r>
      <w:r w:rsidR="00FD2517" w:rsidRPr="00273106">
        <w:t>rez</w:t>
      </w:r>
      <w:r w:rsidR="0018039F">
        <w:fldChar w:fldCharType="begin"/>
      </w:r>
      <w:r w:rsidR="0018039F">
        <w:instrText xml:space="preserve"> XE "</w:instrText>
      </w:r>
      <w:r w:rsidR="001131A2">
        <w:instrText>Suárez</w:instrText>
      </w:r>
      <w:r w:rsidR="0018039F" w:rsidRPr="00CB53EF">
        <w:instrText>, F.</w:instrText>
      </w:r>
      <w:r w:rsidR="0018039F">
        <w:instrText xml:space="preserve">" </w:instrText>
      </w:r>
      <w:r w:rsidR="0018039F">
        <w:fldChar w:fldCharType="end"/>
      </w:r>
      <w:r w:rsidR="00D948B4">
        <w:t xml:space="preserve"> (†1617)</w:t>
      </w:r>
      <w:r w:rsidR="00FD2517" w:rsidRPr="00273106">
        <w:t xml:space="preserve">. Španělský jezuita </w:t>
      </w:r>
      <w:r w:rsidR="00BE0532" w:rsidRPr="00273106">
        <w:t xml:space="preserve">předává </w:t>
      </w:r>
      <w:r w:rsidR="00271125">
        <w:t xml:space="preserve">nihilistické současnosti </w:t>
      </w:r>
      <w:r w:rsidR="00BC44F8" w:rsidRPr="00273106">
        <w:t xml:space="preserve">objektivní </w:t>
      </w:r>
      <w:r w:rsidR="00600EF5">
        <w:t xml:space="preserve">pojetí </w:t>
      </w:r>
      <w:r w:rsidR="008846D3" w:rsidRPr="00273106">
        <w:rPr>
          <w:i/>
        </w:rPr>
        <w:t>esse</w:t>
      </w:r>
      <w:r w:rsidR="008846D3" w:rsidRPr="00273106">
        <w:t xml:space="preserve"> </w:t>
      </w:r>
      <w:r w:rsidR="00BE0532" w:rsidRPr="00273106">
        <w:rPr>
          <w:i/>
        </w:rPr>
        <w:t>ratum</w:t>
      </w:r>
      <w:r w:rsidR="00171B97">
        <w:rPr>
          <w:i/>
        </w:rPr>
        <w:fldChar w:fldCharType="begin"/>
      </w:r>
      <w:r w:rsidR="00171B97">
        <w:instrText xml:space="preserve"> XE "</w:instrText>
      </w:r>
      <w:r w:rsidR="00171B97" w:rsidRPr="00AD770D">
        <w:rPr>
          <w:i/>
        </w:rPr>
        <w:instrText>esse ratum</w:instrText>
      </w:r>
      <w:r w:rsidR="00171B97">
        <w:instrText xml:space="preserve">" </w:instrText>
      </w:r>
      <w:r w:rsidR="00171B97">
        <w:rPr>
          <w:i/>
        </w:rPr>
        <w:fldChar w:fldCharType="end"/>
      </w:r>
      <w:r w:rsidR="00BE0532" w:rsidRPr="00273106">
        <w:t xml:space="preserve"> jako pevně definovanou esenci podle Avicenny </w:t>
      </w:r>
      <w:r w:rsidR="08105429">
        <w:t>(</w:t>
      </w:r>
      <w:r w:rsidR="08105429" w:rsidRPr="08105429">
        <w:rPr>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8105429">
        <w:t xml:space="preserve">). Věc je nasvícena od logické abstrakce </w:t>
      </w:r>
      <w:r w:rsidR="0818049E" w:rsidRPr="00273106">
        <w:t xml:space="preserve">Scota </w:t>
      </w:r>
      <w:r w:rsidR="0818049E">
        <w:t xml:space="preserve">a podle </w:t>
      </w:r>
      <w:r w:rsidR="08105429">
        <w:t xml:space="preserve">Avicennovy metafyziky </w:t>
      </w:r>
      <w:r w:rsidR="00B46409" w:rsidRPr="00273106">
        <w:t>(</w:t>
      </w:r>
      <w:r w:rsidR="00B46409" w:rsidRPr="00273106">
        <w:rPr>
          <w:i/>
          <w:iCs/>
        </w:rPr>
        <w:t xml:space="preserve">res </w:t>
      </w:r>
      <w:r w:rsidR="00B46409" w:rsidRPr="00273106">
        <w:rPr>
          <w:i/>
        </w:rPr>
        <w:t>dicitur a quidditate, quatenus est aliquid firmum et ratum</w:t>
      </w:r>
      <w:r w:rsidR="00B46409" w:rsidRPr="00273106">
        <w:t>)</w:t>
      </w:r>
      <w:r w:rsidR="00BE0532" w:rsidRPr="00273106">
        <w:t>.</w:t>
      </w:r>
      <w:r w:rsidR="00BE0532" w:rsidRPr="00273106">
        <w:rPr>
          <w:rStyle w:val="Znakapoznpodarou"/>
        </w:rPr>
        <w:footnoteReference w:id="257"/>
      </w:r>
      <w:r w:rsidR="004F1B1D" w:rsidRPr="00273106">
        <w:t xml:space="preserve"> </w:t>
      </w:r>
      <w:r w:rsidR="008A0D62" w:rsidRPr="00273106">
        <w:t xml:space="preserve">Poznání takto daného jsoucna </w:t>
      </w:r>
      <w:r w:rsidR="00C97846">
        <w:t>Suá</w:t>
      </w:r>
      <w:r w:rsidR="0069026F" w:rsidRPr="00273106">
        <w:t>rez</w:t>
      </w:r>
      <w:r w:rsidR="009B350B">
        <w:fldChar w:fldCharType="begin"/>
      </w:r>
      <w:r w:rsidR="009B350B">
        <w:instrText xml:space="preserve"> XE "</w:instrText>
      </w:r>
      <w:r w:rsidR="001131A2">
        <w:instrText>Suárez</w:instrText>
      </w:r>
      <w:r w:rsidR="009B350B" w:rsidRPr="00E73967">
        <w:instrText>, F.</w:instrText>
      </w:r>
      <w:r w:rsidR="009B350B">
        <w:instrText xml:space="preserve">" </w:instrText>
      </w:r>
      <w:r w:rsidR="009B350B">
        <w:fldChar w:fldCharType="end"/>
      </w:r>
      <w:r w:rsidR="0069026F" w:rsidRPr="00273106">
        <w:t xml:space="preserve"> chápe již </w:t>
      </w:r>
      <w:r w:rsidR="008A0D62" w:rsidRPr="00273106">
        <w:t xml:space="preserve">v modu </w:t>
      </w:r>
      <w:r w:rsidR="00D75275" w:rsidRPr="00273106">
        <w:t xml:space="preserve">postmoderní </w:t>
      </w:r>
      <w:r w:rsidR="00D75275" w:rsidRPr="00273106">
        <w:rPr>
          <w:i/>
        </w:rPr>
        <w:t>veritas</w:t>
      </w:r>
      <w:r w:rsidR="08C90828">
        <w:t xml:space="preserve"> </w:t>
      </w:r>
      <w:r w:rsidR="008A0D62" w:rsidRPr="00273106">
        <w:t xml:space="preserve">skrze </w:t>
      </w:r>
      <w:r w:rsidR="00D75275" w:rsidRPr="00273106">
        <w:t>nasvícení jsoucna zezadu, od objektivně pojaté esence věci identifikované s její jsoucností</w:t>
      </w:r>
      <w:r w:rsidR="006053ED" w:rsidRPr="00273106">
        <w:t xml:space="preserve"> (</w:t>
      </w:r>
      <w:r w:rsidR="006053ED" w:rsidRPr="00273106">
        <w:rPr>
          <w:i/>
        </w:rPr>
        <w:t>qua ratione dicitur quidditas realis</w:t>
      </w:r>
      <w:r w:rsidR="006053ED" w:rsidRPr="00273106">
        <w:t>)</w:t>
      </w:r>
      <w:r w:rsidR="00D75275" w:rsidRPr="00273106">
        <w:t xml:space="preserve">. </w:t>
      </w:r>
      <w:r w:rsidR="00C97846">
        <w:t xml:space="preserve">Pojetí </w:t>
      </w:r>
      <w:r w:rsidR="00EA0CC3" w:rsidRPr="00273106">
        <w:rPr>
          <w:i/>
        </w:rPr>
        <w:t>ratum</w:t>
      </w:r>
      <w:r w:rsidR="00EA0CC3" w:rsidRPr="00273106">
        <w:t xml:space="preserve"> u posledního scholastika </w:t>
      </w:r>
      <w:r w:rsidR="008D554C" w:rsidRPr="00273106">
        <w:t xml:space="preserve">a prvního postmodernisty </w:t>
      </w:r>
      <w:r w:rsidR="00EA0CC3" w:rsidRPr="00273106">
        <w:t xml:space="preserve">dosvědčuje, že </w:t>
      </w:r>
      <w:r w:rsidR="0078501B" w:rsidRPr="00273106">
        <w:t>modern</w:t>
      </w:r>
      <w:r w:rsidR="00C97846">
        <w:t xml:space="preserve">a </w:t>
      </w:r>
      <w:r w:rsidR="00B21421" w:rsidRPr="00273106">
        <w:t>završila proces metafyzické</w:t>
      </w:r>
      <w:r w:rsidR="00BE3B55" w:rsidRPr="00273106">
        <w:t xml:space="preserve"> </w:t>
      </w:r>
      <w:r w:rsidR="00BE3B55" w:rsidRPr="00273106">
        <w:rPr>
          <w:i/>
        </w:rPr>
        <w:t>Seinsvergessenheit</w:t>
      </w:r>
      <w:r w:rsidR="00C73EF0">
        <w:rPr>
          <w:i/>
        </w:rPr>
        <w:fldChar w:fldCharType="begin"/>
      </w:r>
      <w:r w:rsidR="00C73EF0">
        <w:instrText xml:space="preserve"> XE "</w:instrText>
      </w:r>
      <w:r w:rsidR="00C73EF0" w:rsidRPr="003B3CCF">
        <w:rPr>
          <w:i/>
        </w:rPr>
        <w:instrText>Seinsvergessenheit</w:instrText>
      </w:r>
      <w:r w:rsidR="00C73EF0">
        <w:instrText xml:space="preserve">" </w:instrText>
      </w:r>
      <w:r w:rsidR="00C73EF0">
        <w:rPr>
          <w:i/>
        </w:rPr>
        <w:fldChar w:fldCharType="end"/>
      </w:r>
      <w:r w:rsidR="00BE3B55" w:rsidRPr="00273106">
        <w:t xml:space="preserve"> </w:t>
      </w:r>
      <w:r w:rsidR="00CE5D53">
        <w:t xml:space="preserve">dané v </w:t>
      </w:r>
      <w:r w:rsidR="00EA0CC3" w:rsidRPr="00273106">
        <w:t>hyparchické</w:t>
      </w:r>
      <w:r w:rsidR="00CE5D53">
        <w:t>m</w:t>
      </w:r>
      <w:r w:rsidR="00EA0CC3" w:rsidRPr="00273106">
        <w:t xml:space="preserve"> bytí první substance</w:t>
      </w:r>
      <w:r w:rsidR="0017139C" w:rsidRPr="00273106">
        <w:t>. Předešlá scholasti</w:t>
      </w:r>
      <w:r w:rsidR="00480A59" w:rsidRPr="00273106">
        <w:t>c</w:t>
      </w:r>
      <w:r w:rsidR="0017139C" w:rsidRPr="00273106">
        <w:t xml:space="preserve">ká </w:t>
      </w:r>
      <w:r w:rsidR="00C97846">
        <w:t xml:space="preserve">učenost Latiníků </w:t>
      </w:r>
      <w:r w:rsidR="0017139C" w:rsidRPr="00273106">
        <w:t xml:space="preserve">přešla na postmoderní </w:t>
      </w:r>
      <w:r w:rsidR="0017139C" w:rsidRPr="00273106">
        <w:rPr>
          <w:i/>
        </w:rPr>
        <w:t>veritas</w:t>
      </w:r>
      <w:r w:rsidR="00171B97">
        <w:rPr>
          <w:i/>
        </w:rPr>
        <w:fldChar w:fldCharType="begin"/>
      </w:r>
      <w:r w:rsidR="00171B97">
        <w:instrText xml:space="preserve"> XE "pravda:</w:instrText>
      </w:r>
      <w:r w:rsidR="00171B97" w:rsidRPr="00A829B8">
        <w:rPr>
          <w:i/>
        </w:rPr>
        <w:instrText>veritas</w:instrText>
      </w:r>
      <w:r w:rsidR="00171B97">
        <w:instrText xml:space="preserve">" </w:instrText>
      </w:r>
      <w:r w:rsidR="00171B97">
        <w:rPr>
          <w:i/>
        </w:rPr>
        <w:fldChar w:fldCharType="end"/>
      </w:r>
      <w:r w:rsidR="00C97846">
        <w:t xml:space="preserve"> danou v modu </w:t>
      </w:r>
      <w:r w:rsidR="00C97846" w:rsidRPr="00C97846">
        <w:rPr>
          <w:i/>
        </w:rPr>
        <w:t>metaphysica generalis</w:t>
      </w:r>
      <w:r w:rsidR="00C97846">
        <w:rPr>
          <w:i/>
        </w:rPr>
        <w:fldChar w:fldCharType="begin"/>
      </w:r>
      <w:r w:rsidR="00C97846">
        <w:instrText xml:space="preserve"> XE "</w:instrText>
      </w:r>
      <w:r w:rsidR="00C97846" w:rsidRPr="00E01D5E">
        <w:rPr>
          <w:i/>
        </w:rPr>
        <w:instrText>metaphysica generalis</w:instrText>
      </w:r>
      <w:r w:rsidR="00C97846">
        <w:instrText xml:space="preserve">" </w:instrText>
      </w:r>
      <w:r w:rsidR="00C97846">
        <w:rPr>
          <w:i/>
        </w:rPr>
        <w:fldChar w:fldCharType="end"/>
      </w:r>
      <w:r w:rsidR="00C97846">
        <w:t xml:space="preserve">. </w:t>
      </w:r>
      <w:r w:rsidR="087F4A74">
        <w:t>J</w:t>
      </w:r>
      <w:r w:rsidR="08275C04">
        <w:t>s</w:t>
      </w:r>
      <w:r w:rsidR="087F4A74">
        <w:t xml:space="preserve">oucno třetího druhu se skrze sofistické slovo </w:t>
      </w:r>
      <w:r w:rsidR="080203EA">
        <w:t xml:space="preserve">prvních </w:t>
      </w:r>
      <w:r w:rsidR="080203EA" w:rsidRPr="080203EA">
        <w:rPr>
          <w:i/>
        </w:rPr>
        <w:t>Modernorum</w:t>
      </w:r>
      <w:r w:rsidR="080203EA">
        <w:t xml:space="preserve"> </w:t>
      </w:r>
      <w:r w:rsidR="087F4A74">
        <w:t>stalo</w:t>
      </w:r>
      <w:r w:rsidR="00AC21CB">
        <w:t xml:space="preserve"> </w:t>
      </w:r>
      <w:r w:rsidR="087F4A74">
        <w:t xml:space="preserve">simulákrem reality </w:t>
      </w:r>
      <w:r w:rsidR="00AC21CB">
        <w:t xml:space="preserve">a od té doby </w:t>
      </w:r>
      <w:r w:rsidR="00D3340C">
        <w:t xml:space="preserve">objektivně </w:t>
      </w:r>
      <w:r w:rsidR="00AC21CB">
        <w:t xml:space="preserve">přebývá mezi námi. </w:t>
      </w:r>
      <w:r w:rsidR="00B73C4A" w:rsidRPr="00273106">
        <w:t xml:space="preserve">Albert naopak hájí s Aristotelem a s </w:t>
      </w:r>
      <w:r w:rsidR="00B73C4A">
        <w:t>Averroes</w:t>
      </w:r>
      <w:r w:rsidR="085D44A1">
        <w:t xml:space="preserve">em </w:t>
      </w:r>
      <w:r w:rsidR="001C389C">
        <w:t>„</w:t>
      </w:r>
      <w:r w:rsidR="085D44A1">
        <w:t>slabou realitu</w:t>
      </w:r>
      <w:r w:rsidR="001C389C">
        <w:t>“</w:t>
      </w:r>
      <w:r w:rsidR="085D44A1">
        <w:t xml:space="preserve"> proti </w:t>
      </w:r>
      <w:r w:rsidR="001C389C">
        <w:t>„</w:t>
      </w:r>
      <w:r w:rsidR="085D44A1">
        <w:t>silným</w:t>
      </w:r>
      <w:r w:rsidR="00B73C4A" w:rsidRPr="00273106">
        <w:t xml:space="preserve"> sofistům</w:t>
      </w:r>
      <w:r w:rsidR="001C389C">
        <w:t>“</w:t>
      </w:r>
      <w:r w:rsidR="00DA43F1">
        <w:fldChar w:fldCharType="begin"/>
      </w:r>
      <w:r w:rsidR="00DA43F1">
        <w:instrText xml:space="preserve"> XE "</w:instrText>
      </w:r>
      <w:r w:rsidR="00DA43F1" w:rsidRPr="00771B47">
        <w:instrText>druhý averroismus:</w:instrText>
      </w:r>
      <w:r w:rsidR="00DA43F1" w:rsidRPr="00171B97">
        <w:rPr>
          <w:i/>
        </w:rPr>
        <w:instrText>sophistae Latini</w:instrText>
      </w:r>
      <w:r w:rsidR="00DA43F1">
        <w:instrText xml:space="preserve">" </w:instrText>
      </w:r>
      <w:r w:rsidR="00DA43F1">
        <w:fldChar w:fldCharType="end"/>
      </w:r>
      <w:r w:rsidR="00DA43F1">
        <w:t xml:space="preserve">. Sofisté </w:t>
      </w:r>
      <w:r w:rsidR="00B73C4A" w:rsidRPr="00273106">
        <w:t xml:space="preserve">dělají od doby </w:t>
      </w:r>
      <w:r w:rsidR="080E4CB6">
        <w:t xml:space="preserve">Sokrata a </w:t>
      </w:r>
      <w:r w:rsidR="00297480">
        <w:t>Gilberta z Porrée</w:t>
      </w:r>
      <w:r w:rsidR="00B73C4A" w:rsidRPr="00273106">
        <w:t xml:space="preserve"> malé věci velkými.</w:t>
      </w:r>
      <w:r w:rsidR="00B73C4A">
        <w:t xml:space="preserve"> </w:t>
      </w:r>
      <w:r w:rsidR="08EF2E48">
        <w:t xml:space="preserve">Pod vedením Fúriií se z neexistujícího individua stala objektivní první substance. </w:t>
      </w:r>
      <w:r w:rsidR="007A3952">
        <w:t xml:space="preserve">Albert </w:t>
      </w:r>
      <w:r w:rsidR="00BD405D">
        <w:t xml:space="preserve">na začátku citovaného </w:t>
      </w:r>
      <w:r w:rsidR="086F374A">
        <w:lastRenderedPageBreak/>
        <w:t xml:space="preserve">komentáře ke třetí knize </w:t>
      </w:r>
      <w:r w:rsidR="086F374A" w:rsidRPr="086F374A">
        <w:rPr>
          <w:i/>
        </w:rPr>
        <w:t>De anima</w:t>
      </w:r>
      <w:r w:rsidR="086F374A">
        <w:t xml:space="preserve"> </w:t>
      </w:r>
      <w:r w:rsidR="004F1B1D" w:rsidRPr="00273106">
        <w:t xml:space="preserve">říká, že skupina </w:t>
      </w:r>
      <w:r w:rsidR="004F1B1D" w:rsidRPr="00273106">
        <w:rPr>
          <w:i/>
        </w:rPr>
        <w:t>Latinorum</w:t>
      </w:r>
      <w:r w:rsidR="004F1B1D" w:rsidRPr="00273106">
        <w:t xml:space="preserve"> pochopila Aristotelovu nauku naprosto chybným způsobem</w:t>
      </w:r>
      <w:r w:rsidR="009302E3">
        <w:fldChar w:fldCharType="begin"/>
      </w:r>
      <w:r w:rsidR="009302E3">
        <w:instrText xml:space="preserve"> XE "</w:instrText>
      </w:r>
      <w:r w:rsidR="009302E3" w:rsidRPr="00771B47">
        <w:instrText>druhý averroismus</w:instrText>
      </w:r>
      <w:r w:rsidR="009302E3" w:rsidRPr="009302E3">
        <w:instrText>:kritika Alberta</w:instrText>
      </w:r>
      <w:r w:rsidR="009302E3">
        <w:instrText xml:space="preserve">" </w:instrText>
      </w:r>
      <w:r w:rsidR="009302E3">
        <w:fldChar w:fldCharType="end"/>
      </w:r>
      <w:r w:rsidR="004F1B1D" w:rsidRPr="00273106">
        <w:t>.</w:t>
      </w:r>
    </w:p>
    <w:p w14:paraId="32A3071D" w14:textId="77777777" w:rsidR="004F1B1D" w:rsidRPr="00273106" w:rsidRDefault="004F1B1D" w:rsidP="004F1B1D">
      <w:pPr>
        <w:pStyle w:val="Citace"/>
        <w:rPr>
          <w:noProof/>
          <w:lang w:val="cs-CZ"/>
        </w:rPr>
      </w:pPr>
      <w:r w:rsidRPr="00273106">
        <w:rPr>
          <w:noProof/>
          <w:lang w:val="cs-CZ"/>
        </w:rPr>
        <w:t xml:space="preserve">„Ti ale nade vší pochybnost nikdy správně nepochopili Aristotelův záměr. Z obou předpokladů, že </w:t>
      </w:r>
      <w:r w:rsidR="007235F3" w:rsidRPr="00273106">
        <w:rPr>
          <w:noProof/>
          <w:lang w:val="cs-CZ"/>
        </w:rPr>
        <w:t xml:space="preserve">totiž </w:t>
      </w:r>
      <w:r w:rsidRPr="00273106">
        <w:rPr>
          <w:noProof/>
          <w:lang w:val="cs-CZ"/>
        </w:rPr>
        <w:t xml:space="preserve">intelekt je nemateriální a oddělený, </w:t>
      </w:r>
      <w:r w:rsidR="007235F3" w:rsidRPr="00273106">
        <w:rPr>
          <w:noProof/>
          <w:lang w:val="cs-CZ"/>
        </w:rPr>
        <w:t xml:space="preserve">naprosto </w:t>
      </w:r>
      <w:r w:rsidRPr="00273106">
        <w:rPr>
          <w:noProof/>
          <w:lang w:val="cs-CZ"/>
        </w:rPr>
        <w:t xml:space="preserve">nutně vyplývá, že nemůže být individuálním jsoucnem. </w:t>
      </w:r>
      <w:r w:rsidR="085A52BE">
        <w:rPr>
          <w:noProof/>
          <w:lang w:val="cs-CZ"/>
        </w:rPr>
        <w:t>A t</w:t>
      </w:r>
      <w:r w:rsidRPr="00273106">
        <w:rPr>
          <w:noProof/>
          <w:lang w:val="cs-CZ"/>
        </w:rPr>
        <w:t>o</w:t>
      </w:r>
      <w:r w:rsidR="085A52BE">
        <w:rPr>
          <w:noProof/>
          <w:lang w:val="cs-CZ"/>
        </w:rPr>
        <w:t>,</w:t>
      </w:r>
      <w:r w:rsidRPr="00273106">
        <w:rPr>
          <w:noProof/>
          <w:lang w:val="cs-CZ"/>
        </w:rPr>
        <w:t xml:space="preserve"> co říkají, je </w:t>
      </w:r>
      <w:r w:rsidR="00E468B5">
        <w:rPr>
          <w:noProof/>
          <w:lang w:val="cs-CZ"/>
        </w:rPr>
        <w:t xml:space="preserve">naprostý </w:t>
      </w:r>
      <w:r w:rsidRPr="00273106">
        <w:rPr>
          <w:noProof/>
          <w:lang w:val="cs-CZ"/>
        </w:rPr>
        <w:t>nesmysl</w:t>
      </w:r>
      <w:r w:rsidR="00E468B5">
        <w:rPr>
          <w:noProof/>
          <w:lang w:val="cs-CZ"/>
        </w:rPr>
        <w:t xml:space="preserve"> (</w:t>
      </w:r>
      <w:r w:rsidR="00E468B5" w:rsidRPr="00E468B5">
        <w:rPr>
          <w:i/>
          <w:noProof/>
          <w:lang w:val="cs-CZ"/>
        </w:rPr>
        <w:t xml:space="preserve">ideo </w:t>
      </w:r>
      <w:r w:rsidR="00E468B5" w:rsidRPr="00E468B5">
        <w:rPr>
          <w:i/>
        </w:rPr>
        <w:t>nihil est quod dicunt isti</w:t>
      </w:r>
      <w:r w:rsidR="00E468B5">
        <w:rPr>
          <w:noProof/>
          <w:lang w:val="cs-CZ"/>
        </w:rPr>
        <w:t>)</w:t>
      </w:r>
      <w:r w:rsidRPr="00273106">
        <w:rPr>
          <w:noProof/>
          <w:lang w:val="cs-CZ"/>
        </w:rPr>
        <w:t>. A k tomu</w:t>
      </w:r>
      <w:r w:rsidR="08756C2B">
        <w:rPr>
          <w:noProof/>
          <w:lang w:val="cs-CZ"/>
        </w:rPr>
        <w:t xml:space="preserve"> tvrdí</w:t>
      </w:r>
      <w:r w:rsidRPr="00273106">
        <w:rPr>
          <w:noProof/>
          <w:lang w:val="cs-CZ"/>
        </w:rPr>
        <w:t xml:space="preserve">, že duše je daná hylemorficky a individuálně, což nemohou dokázat žádným argumentem, jen s odvoláním na Boethia, že každé bytí vztažené k prvnímu principu musí být determinovaným jsoucnem. A tak berou duši </w:t>
      </w:r>
      <w:r w:rsidR="0030500D">
        <w:rPr>
          <w:noProof/>
          <w:lang w:val="cs-CZ"/>
        </w:rPr>
        <w:t>jako složeninu té či oné hylemorfické substance (</w:t>
      </w:r>
      <w:r w:rsidR="0030500D" w:rsidRPr="0030500D">
        <w:rPr>
          <w:i/>
        </w:rPr>
        <w:t>esse hoc et hoc</w:t>
      </w:r>
      <w:r w:rsidR="0030500D">
        <w:rPr>
          <w:noProof/>
          <w:lang w:val="cs-CZ"/>
        </w:rPr>
        <w:t>)</w:t>
      </w:r>
      <w:r w:rsidR="00755BA4" w:rsidRPr="00273106">
        <w:rPr>
          <w:noProof/>
          <w:lang w:val="cs-CZ"/>
        </w:rPr>
        <w:t>. A</w:t>
      </w:r>
      <w:r w:rsidRPr="00273106">
        <w:rPr>
          <w:noProof/>
          <w:lang w:val="cs-CZ"/>
        </w:rPr>
        <w:t xml:space="preserve">le z toho přece nelze vyvodit, </w:t>
      </w:r>
      <w:r w:rsidR="00755BA4" w:rsidRPr="00273106">
        <w:rPr>
          <w:noProof/>
          <w:lang w:val="cs-CZ"/>
        </w:rPr>
        <w:t xml:space="preserve">že duše jako </w:t>
      </w:r>
      <w:r w:rsidRPr="00273106">
        <w:rPr>
          <w:noProof/>
          <w:lang w:val="cs-CZ"/>
        </w:rPr>
        <w:t xml:space="preserve">jednotlivina je složena z formy a látky.“ </w:t>
      </w:r>
      <w:r w:rsidRPr="00273106">
        <w:rPr>
          <w:rStyle w:val="Znakapoznpodarou"/>
          <w:noProof/>
          <w:lang w:val="cs-CZ"/>
        </w:rPr>
        <w:footnoteReference w:id="258"/>
      </w:r>
    </w:p>
    <w:p w14:paraId="4F04F0A4" w14:textId="0D7042F1" w:rsidR="00774910" w:rsidRDefault="08771540" w:rsidP="007737C4">
      <w:r>
        <w:t xml:space="preserve">Albertův citát jasně ukazuje, že modernisté </w:t>
      </w:r>
      <w:r w:rsidRPr="00273106">
        <w:t xml:space="preserve">chápou první principy podle Gilbertovy hypostázované existence jako </w:t>
      </w:r>
      <w:r w:rsidR="000C3C61">
        <w:t>individualizovanou substanci</w:t>
      </w:r>
      <w:r w:rsidRPr="00273106">
        <w:t xml:space="preserve"> (</w:t>
      </w:r>
      <w:r w:rsidRPr="00273106">
        <w:rPr>
          <w:i/>
        </w:rPr>
        <w:t>in omni quod est circa primum, est hoc et hoc</w:t>
      </w:r>
      <w:r w:rsidRPr="00273106">
        <w:t xml:space="preserve">). </w:t>
      </w:r>
      <w:r>
        <w:t xml:space="preserve">Modernisté záměnili reálnou první substanci za myšlenou esenci vybavenou materií třetího druhu. Chybně </w:t>
      </w:r>
      <w:r w:rsidRPr="00273106">
        <w:t>zdůvodněné poznání dává duši hylemorfický charakter a tím z ní dělá jednotlivou substanci (</w:t>
      </w:r>
      <w:r w:rsidRPr="00273106">
        <w:rPr>
          <w:i/>
        </w:rPr>
        <w:t>animam... esse compositam et individuam</w:t>
      </w:r>
      <w:r w:rsidRPr="00273106">
        <w:t xml:space="preserve">). </w:t>
      </w:r>
      <w:r w:rsidR="086652EA">
        <w:t xml:space="preserve">Citát shrnuje </w:t>
      </w:r>
      <w:r w:rsidR="086652EA" w:rsidRPr="00273106">
        <w:t>av</w:t>
      </w:r>
      <w:r w:rsidR="086652EA">
        <w:t>erroistické</w:t>
      </w:r>
      <w:r w:rsidR="086652EA" w:rsidRPr="00273106">
        <w:t xml:space="preserve"> dilema </w:t>
      </w:r>
      <w:r w:rsidR="086652EA">
        <w:t xml:space="preserve">postavené na </w:t>
      </w:r>
      <w:r w:rsidR="086652EA" w:rsidRPr="00273106">
        <w:t>dvou základních předpokladech, které si prý podle Latiníků vzájemně odporují (</w:t>
      </w:r>
      <w:r w:rsidR="086652EA" w:rsidRPr="00273106">
        <w:rPr>
          <w:i/>
        </w:rPr>
        <w:t>ex duobus his concessis</w:t>
      </w:r>
      <w:r w:rsidR="086652EA" w:rsidRPr="00273106">
        <w:t xml:space="preserve">). </w:t>
      </w:r>
      <w:r w:rsidR="086652EA">
        <w:t>I</w:t>
      </w:r>
      <w:r w:rsidR="086652EA" w:rsidRPr="00273106">
        <w:t xml:space="preserve">ntelekt </w:t>
      </w:r>
      <w:r w:rsidR="086652EA">
        <w:t xml:space="preserve">podle nich nemůže být </w:t>
      </w:r>
      <w:r w:rsidR="086652EA" w:rsidRPr="00273106">
        <w:t>nemateriální a individuální schopnost duše</w:t>
      </w:r>
      <w:r w:rsidR="086652EA">
        <w:t xml:space="preserve"> daná v modu </w:t>
      </w:r>
      <w:r w:rsidR="086652EA" w:rsidRPr="0001433C">
        <w:rPr>
          <w:i/>
        </w:rPr>
        <w:t>separabilis</w:t>
      </w:r>
      <w:r w:rsidR="086652EA">
        <w:t>, jako to mělo řešení CMDA</w:t>
      </w:r>
      <w:r w:rsidR="086652EA">
        <w:fldChar w:fldCharType="begin"/>
      </w:r>
      <w:r w:rsidR="086652EA">
        <w:instrText xml:space="preserve"> XE "intelekt:</w:instrText>
      </w:r>
      <w:r w:rsidR="086652EA" w:rsidRPr="008E31F8">
        <w:rPr>
          <w:i/>
        </w:rPr>
        <w:instrText>separabilis</w:instrText>
      </w:r>
      <w:r w:rsidR="086652EA">
        <w:instrText>/</w:instrText>
      </w:r>
      <w:r w:rsidR="086652EA" w:rsidRPr="008E31F8">
        <w:rPr>
          <w:i/>
        </w:rPr>
        <w:instrText>separatus</w:instrText>
      </w:r>
      <w:r w:rsidR="086652EA">
        <w:instrText xml:space="preserve">" </w:instrText>
      </w:r>
      <w:r w:rsidR="086652EA">
        <w:fldChar w:fldCharType="end"/>
      </w:r>
      <w:r w:rsidR="086652EA">
        <w:t xml:space="preserve">. </w:t>
      </w:r>
      <w:r w:rsidR="086652EA" w:rsidRPr="00273106">
        <w:t xml:space="preserve">Lidský intelekt </w:t>
      </w:r>
      <w:r w:rsidR="086652EA">
        <w:t xml:space="preserve">je </w:t>
      </w:r>
      <w:r w:rsidR="086652EA" w:rsidRPr="00273106">
        <w:t>podle modernistů nemateriální a oddělený jen jako individuální substance</w:t>
      </w:r>
      <w:r w:rsidR="086652EA">
        <w:t xml:space="preserve"> </w:t>
      </w:r>
      <w:r w:rsidR="086652EA" w:rsidRPr="00273106">
        <w:t>(</w:t>
      </w:r>
      <w:r w:rsidR="086652EA" w:rsidRPr="00273106">
        <w:rPr>
          <w:i/>
        </w:rPr>
        <w:t>est immixtus, et separatus</w:t>
      </w:r>
      <w:r w:rsidR="086652EA" w:rsidRPr="00273106">
        <w:t>)</w:t>
      </w:r>
      <w:r w:rsidR="086652EA">
        <w:fldChar w:fldCharType="begin"/>
      </w:r>
      <w:r w:rsidR="086652EA">
        <w:instrText xml:space="preserve"> XE "</w:instrText>
      </w:r>
      <w:r w:rsidR="086652EA" w:rsidRPr="00DE2A32">
        <w:instrText>substance</w:instrText>
      </w:r>
      <w:r w:rsidR="086652EA">
        <w:instrText xml:space="preserve">:intelekt" </w:instrText>
      </w:r>
      <w:r w:rsidR="086652EA">
        <w:fldChar w:fldCharType="end"/>
      </w:r>
      <w:r w:rsidR="086652EA" w:rsidRPr="00273106">
        <w:t xml:space="preserve">. </w:t>
      </w:r>
      <w:r w:rsidR="086652EA">
        <w:t>D</w:t>
      </w:r>
      <w:r w:rsidR="086652EA" w:rsidRPr="00273106">
        <w:t xml:space="preserve">ilema druhého averroismu </w:t>
      </w:r>
      <w:r w:rsidR="086652EA">
        <w:t xml:space="preserve">falešně připsané Komentátorovi </w:t>
      </w:r>
      <w:r w:rsidR="086652EA" w:rsidRPr="00273106">
        <w:t xml:space="preserve">je z filosofického hlediska </w:t>
      </w:r>
      <w:r w:rsidR="086652EA">
        <w:t xml:space="preserve">naprostý </w:t>
      </w:r>
      <w:r w:rsidR="086652EA" w:rsidRPr="00273106">
        <w:t>nesmysl (</w:t>
      </w:r>
      <w:r w:rsidR="086652EA" w:rsidRPr="00273106">
        <w:rPr>
          <w:i/>
        </w:rPr>
        <w:t>nihil est quod dicunt isti</w:t>
      </w:r>
      <w:r w:rsidR="086652EA" w:rsidRPr="00273106">
        <w:t>).</w:t>
      </w:r>
      <w:r w:rsidR="086652EA">
        <w:t xml:space="preserve"> Tato skupina modernistů vzala Averroesův </w:t>
      </w:r>
      <w:r w:rsidR="086652EA" w:rsidRPr="00E60B8A">
        <w:rPr>
          <w:i/>
        </w:rPr>
        <w:t>intellectus possib</w:t>
      </w:r>
      <w:r w:rsidR="086652EA">
        <w:rPr>
          <w:i/>
        </w:rPr>
        <w:t>i</w:t>
      </w:r>
      <w:r w:rsidR="086652EA" w:rsidRPr="00E60B8A">
        <w:rPr>
          <w:i/>
        </w:rPr>
        <w:t>lis</w:t>
      </w:r>
      <w:r w:rsidR="086652EA">
        <w:t xml:space="preserve"> jako aktuální oddělenou nemateriální substanci kosmického charakteru a v modu Avicennova </w:t>
      </w:r>
      <w:r w:rsidR="086652EA" w:rsidRPr="00E60B8A">
        <w:rPr>
          <w:i/>
        </w:rPr>
        <w:t>copulatio</w:t>
      </w:r>
      <w:r w:rsidR="086652EA">
        <w:t xml:space="preserve"> ji spojila hypostázovaným </w:t>
      </w:r>
      <w:r w:rsidR="002E30FF" w:rsidRPr="002E30FF">
        <w:t>species</w:t>
      </w:r>
      <w:r w:rsidR="086652EA">
        <w:t xml:space="preserve"> téhož substančního intelektu daného v individuálním těle. Tím vzniklo pojetí tzv. „numericky odlišného“ a „numericky jednotného“ intelektu</w:t>
      </w:r>
      <w:r w:rsidR="086652EA">
        <w:fldChar w:fldCharType="begin"/>
      </w:r>
      <w:r w:rsidR="086652EA">
        <w:instrText xml:space="preserve"> XE "</w:instrText>
      </w:r>
      <w:r w:rsidR="086652EA" w:rsidRPr="00B57CA0">
        <w:instrText>intelekt:numericky odlišný</w:instrText>
      </w:r>
      <w:r w:rsidR="086652EA">
        <w:instrText xml:space="preserve">" </w:instrText>
      </w:r>
      <w:r w:rsidR="086652EA">
        <w:fldChar w:fldCharType="end"/>
      </w:r>
      <w:r w:rsidR="086652EA">
        <w:t>. Touto sofistickou kopulací danou v rozporu s argumentací CMDA se dodnes definují filosofické spory této epochy</w:t>
      </w:r>
      <w:r w:rsidR="004972CA">
        <w:t>. S</w:t>
      </w:r>
      <w:r w:rsidR="086652EA">
        <w:t>emiaverroista Akvinský</w:t>
      </w:r>
      <w:r w:rsidR="004972CA">
        <w:t xml:space="preserve"> vytvořil kanonický výklad takto určeného averristického intelektu</w:t>
      </w:r>
      <w:r w:rsidR="086652EA">
        <w:t xml:space="preserve">. </w:t>
      </w:r>
      <w:r w:rsidR="086652EA" w:rsidRPr="00273106">
        <w:t xml:space="preserve">Albert naráží na Rufusovo dilema v díle </w:t>
      </w:r>
      <w:r w:rsidR="086652EA" w:rsidRPr="00273106">
        <w:rPr>
          <w:i/>
        </w:rPr>
        <w:t>Contra Averroem</w:t>
      </w:r>
      <w:r w:rsidR="086652EA">
        <w:t xml:space="preserve"> (</w:t>
      </w:r>
      <w:r w:rsidR="086652EA" w:rsidRPr="00273106">
        <w:t xml:space="preserve">1236), </w:t>
      </w:r>
      <w:r w:rsidR="086652EA" w:rsidRPr="00273106">
        <w:lastRenderedPageBreak/>
        <w:t xml:space="preserve">kde je tato sofistika poprvé zformulována explicitně </w:t>
      </w:r>
      <w:r w:rsidR="08180962">
        <w:t>(kap. 3</w:t>
      </w:r>
      <w:r w:rsidR="086652EA" w:rsidRPr="00273106">
        <w:t xml:space="preserve">.3.3). Rufus tvrdí, že </w:t>
      </w:r>
      <w:r w:rsidR="086652EA">
        <w:t>Averroes</w:t>
      </w:r>
      <w:r w:rsidR="086652EA" w:rsidRPr="00273106">
        <w:t xml:space="preserve">ův </w:t>
      </w:r>
      <w:r w:rsidR="086652EA" w:rsidRPr="00273106">
        <w:rPr>
          <w:i/>
        </w:rPr>
        <w:t>intellectus possibilis</w:t>
      </w:r>
      <w:r w:rsidR="086652EA">
        <w:rPr>
          <w:i/>
        </w:rPr>
        <w:fldChar w:fldCharType="begin"/>
      </w:r>
      <w:r w:rsidR="086652EA">
        <w:instrText xml:space="preserve"> XE "</w:instrText>
      </w:r>
      <w:r w:rsidR="086652EA" w:rsidRPr="00770D02">
        <w:rPr>
          <w:i/>
        </w:rPr>
        <w:instrText>intellectus possibilis</w:instrText>
      </w:r>
      <w:r w:rsidR="086652EA" w:rsidRPr="004D3CA0">
        <w:instrText>:Rufus</w:instrText>
      </w:r>
      <w:r w:rsidR="086652EA">
        <w:instrText xml:space="preserve">" </w:instrText>
      </w:r>
      <w:r w:rsidR="086652EA">
        <w:rPr>
          <w:i/>
        </w:rPr>
        <w:fldChar w:fldCharType="end"/>
      </w:r>
      <w:r w:rsidR="086652EA" w:rsidRPr="00273106">
        <w:t xml:space="preserve"> je nemateriální a univerzální substance, proto nemůže být singulárně daný v jednotlivcích. </w:t>
      </w:r>
      <w:r w:rsidR="086652EA">
        <w:t xml:space="preserve">Albert toto Rufusovo </w:t>
      </w:r>
      <w:r w:rsidR="086652EA" w:rsidRPr="00273106">
        <w:t xml:space="preserve">dílo </w:t>
      </w:r>
      <w:r w:rsidR="086652EA">
        <w:t xml:space="preserve">jistě </w:t>
      </w:r>
      <w:r w:rsidR="086652EA" w:rsidRPr="00273106">
        <w:t xml:space="preserve">znal ze studií v Paříži, když psal první část traktátu </w:t>
      </w:r>
      <w:r w:rsidR="086652EA" w:rsidRPr="00273106">
        <w:rPr>
          <w:i/>
        </w:rPr>
        <w:t>De homine</w:t>
      </w:r>
      <w:r w:rsidR="086652EA" w:rsidRPr="00273106">
        <w:t>.</w:t>
      </w:r>
      <w:r w:rsidR="086652EA">
        <w:t xml:space="preserve"> V době psaní komentáře k DA III již mohl Albert číst i první </w:t>
      </w:r>
      <w:r w:rsidR="004972CA">
        <w:t xml:space="preserve">a druhou knihu </w:t>
      </w:r>
      <w:r w:rsidR="086652EA">
        <w:t xml:space="preserve">Bonaventurových </w:t>
      </w:r>
      <w:r w:rsidR="086652EA" w:rsidRPr="00683E1D">
        <w:rPr>
          <w:i/>
        </w:rPr>
        <w:t>Sentencí</w:t>
      </w:r>
      <w:r w:rsidR="086652EA">
        <w:t>, kter</w:t>
      </w:r>
      <w:r w:rsidR="08180962">
        <w:t>é hájí podobné stanovisko (kap 4</w:t>
      </w:r>
      <w:r w:rsidR="086652EA">
        <w:t xml:space="preserve">.1.2). </w:t>
      </w:r>
      <w:r w:rsidR="086652EA" w:rsidRPr="00273106">
        <w:t xml:space="preserve">Tezi o falešně pochopené univocitě </w:t>
      </w:r>
      <w:r w:rsidR="086652EA">
        <w:t xml:space="preserve">a substancialitě </w:t>
      </w:r>
      <w:r w:rsidR="086652EA" w:rsidRPr="00273106">
        <w:rPr>
          <w:i/>
        </w:rPr>
        <w:t>intellectus possibilis</w:t>
      </w:r>
      <w:r w:rsidR="086652EA" w:rsidRPr="00273106">
        <w:t xml:space="preserve"> po Rufusovi zopakovali všichni stoupenci </w:t>
      </w:r>
      <w:r w:rsidR="086652EA" w:rsidRPr="00273106">
        <w:rPr>
          <w:i/>
        </w:rPr>
        <w:t>Latinorum</w:t>
      </w:r>
      <w:r w:rsidR="086652EA" w:rsidRPr="00273106">
        <w:t xml:space="preserve">. Pak se ovšem dostávají Latiníci do neřešitelného rozporu </w:t>
      </w:r>
      <w:r w:rsidR="086652EA">
        <w:t xml:space="preserve">dokonce </w:t>
      </w:r>
      <w:r w:rsidR="086652EA" w:rsidRPr="00273106">
        <w:t>i vůči definici duše podle Avicenny, protože v duši jako formě předpokládají mnohost substanciálních forem (</w:t>
      </w:r>
      <w:r w:rsidR="086652EA" w:rsidRPr="00273106">
        <w:rPr>
          <w:i/>
        </w:rPr>
        <w:t>hoc et hoc esse materiam et formam</w:t>
      </w:r>
      <w:r w:rsidR="086652EA" w:rsidRPr="00273106">
        <w:t xml:space="preserve">). </w:t>
      </w:r>
      <w:r w:rsidRPr="00273106">
        <w:t>Moderně hypostázovaný intelekt dostal charakter substance</w:t>
      </w:r>
      <w:r>
        <w:t xml:space="preserve">, což završí Kartéziova </w:t>
      </w:r>
      <w:r w:rsidRPr="00B52151">
        <w:rPr>
          <w:i/>
        </w:rPr>
        <w:t>res cogitans</w:t>
      </w:r>
      <w:r>
        <w:rPr>
          <w:i/>
        </w:rPr>
        <w:fldChar w:fldCharType="begin"/>
      </w:r>
      <w:r>
        <w:instrText xml:space="preserve"> XE "</w:instrText>
      </w:r>
      <w:r w:rsidRPr="003F49D8">
        <w:rPr>
          <w:i/>
        </w:rPr>
        <w:instrText>res cogitans</w:instrText>
      </w:r>
      <w:r>
        <w:instrText xml:space="preserve">" </w:instrText>
      </w:r>
      <w:r>
        <w:rPr>
          <w:i/>
        </w:rPr>
        <w:fldChar w:fldCharType="end"/>
      </w:r>
      <w:r w:rsidRPr="00273106">
        <w:t>.</w:t>
      </w:r>
      <w:r>
        <w:t xml:space="preserve"> </w:t>
      </w:r>
      <w:r w:rsidR="004F1B1D" w:rsidRPr="00273106">
        <w:t xml:space="preserve">Latiníci nepochopili Aristotelovu nauku </w:t>
      </w:r>
      <w:r w:rsidR="08935441">
        <w:t>v jejím základním</w:t>
      </w:r>
      <w:r w:rsidR="004F1B1D" w:rsidRPr="00273106">
        <w:t xml:space="preserve"> zaměření (</w:t>
      </w:r>
      <w:r w:rsidR="004F1B1D" w:rsidRPr="00273106">
        <w:rPr>
          <w:i/>
        </w:rPr>
        <w:t>nunquam bene intentionem Aristotelis intellexerunt</w:t>
      </w:r>
      <w:r w:rsidR="0001433C">
        <w:t xml:space="preserve">). </w:t>
      </w:r>
      <w:r w:rsidRPr="00273106">
        <w:t xml:space="preserve">Skutečný </w:t>
      </w:r>
      <w:r>
        <w:t xml:space="preserve">milovník moudrosti </w:t>
      </w:r>
      <w:r w:rsidRPr="00273106">
        <w:t xml:space="preserve">nemůže dělat nic jiného, než </w:t>
      </w:r>
      <w:r w:rsidR="00F55BB8">
        <w:t>bojovat pravdou proti sofistům.</w:t>
      </w:r>
      <w:r w:rsidR="007737C4">
        <w:t xml:space="preserve"> </w:t>
      </w:r>
      <w:r w:rsidR="087B06A9">
        <w:t>S</w:t>
      </w:r>
      <w:r w:rsidR="087B06A9" w:rsidRPr="00273106">
        <w:t xml:space="preserve">kupina </w:t>
      </w:r>
      <w:r w:rsidR="087B06A9" w:rsidRPr="00273106">
        <w:rPr>
          <w:i/>
        </w:rPr>
        <w:t>Latinorum</w:t>
      </w:r>
      <w:r w:rsidR="087B06A9" w:rsidRPr="00273106">
        <w:t xml:space="preserve"> f</w:t>
      </w:r>
      <w:r w:rsidR="00B3709E">
        <w:t>alešným odkazem na Boethia vnesla</w:t>
      </w:r>
      <w:r w:rsidR="087B06A9" w:rsidRPr="00273106">
        <w:t xml:space="preserve"> do metafyziky neoplatonismus budovaný systémem univoční predikace prvních principů. </w:t>
      </w:r>
      <w:r w:rsidR="087B06A9">
        <w:t xml:space="preserve">Latiníci deteminovaní myšlením v rámci </w:t>
      </w:r>
      <w:r w:rsidR="087B06A9" w:rsidRPr="003A6000">
        <w:rPr>
          <w:i/>
        </w:rPr>
        <w:t>Oxfordian Fallacy</w:t>
      </w:r>
      <w:r w:rsidR="087B06A9">
        <w:t xml:space="preserve"> vycházejí z jistoty</w:t>
      </w:r>
      <w:r w:rsidR="087B06A9" w:rsidRPr="00273106">
        <w:t xml:space="preserve"> esence (</w:t>
      </w:r>
      <w:r w:rsidR="087B06A9" w:rsidRPr="00273106">
        <w:rPr>
          <w:i/>
        </w:rPr>
        <w:t>esse proprium</w:t>
      </w:r>
      <w:r w:rsidR="087B06A9">
        <w:rPr>
          <w:i/>
        </w:rPr>
        <w:fldChar w:fldCharType="begin"/>
      </w:r>
      <w:r w:rsidR="087B06A9">
        <w:instrText xml:space="preserve"> XE "</w:instrText>
      </w:r>
      <w:r w:rsidR="087B06A9" w:rsidRPr="00E02A04">
        <w:rPr>
          <w:i/>
          <w:szCs w:val="18"/>
        </w:rPr>
        <w:instrText>esse proprium</w:instrText>
      </w:r>
      <w:r w:rsidR="087B06A9">
        <w:instrText xml:space="preserve">" </w:instrText>
      </w:r>
      <w:r w:rsidR="087B06A9">
        <w:rPr>
          <w:i/>
        </w:rPr>
        <w:fldChar w:fldCharType="end"/>
      </w:r>
      <w:r w:rsidR="087B06A9" w:rsidRPr="00273106">
        <w:t>) jako prvního principu bytí u Avicenny (</w:t>
      </w:r>
      <w:r w:rsidR="087B06A9" w:rsidRPr="00273106">
        <w:rPr>
          <w:i/>
        </w:rPr>
        <w:t>certitudo qua est</w:t>
      </w:r>
      <w:r w:rsidR="087B06A9" w:rsidRPr="00273106">
        <w:t>)</w:t>
      </w:r>
      <w:r w:rsidR="087B06A9">
        <w:t>, kterou vyložila předešlá kapitola</w:t>
      </w:r>
      <w:r w:rsidR="08180962">
        <w:t xml:space="preserve">. </w:t>
      </w:r>
      <w:r w:rsidR="004F1B1D" w:rsidRPr="00273106">
        <w:t>Albert</w:t>
      </w:r>
      <w:r w:rsidR="009B75BA">
        <w:t xml:space="preserve"> považuje </w:t>
      </w:r>
      <w:r w:rsidR="004F1B1D" w:rsidRPr="00273106">
        <w:t xml:space="preserve">tento nesmyslný dualismus převzatý od </w:t>
      </w:r>
      <w:r w:rsidR="009B75BA">
        <w:t xml:space="preserve">sofisticky vyloženého </w:t>
      </w:r>
      <w:r w:rsidR="004F1B1D" w:rsidRPr="00273106">
        <w:t xml:space="preserve">Avicebrona </w:t>
      </w:r>
      <w:r w:rsidR="0069605A">
        <w:t xml:space="preserve">za </w:t>
      </w:r>
      <w:r w:rsidR="004F1B1D" w:rsidRPr="00273106">
        <w:t>širokou a pohodlnou cestu</w:t>
      </w:r>
      <w:r w:rsidR="00AF59FC" w:rsidRPr="00273106">
        <w:t xml:space="preserve"> k metafyzickému nihilismu</w:t>
      </w:r>
      <w:r w:rsidR="00DA4469">
        <w:t xml:space="preserve"> (</w:t>
      </w:r>
      <w:r w:rsidR="00DA4469" w:rsidRPr="00E468B5">
        <w:rPr>
          <w:i/>
        </w:rPr>
        <w:t>nihil est quod dicunt</w:t>
      </w:r>
      <w:r w:rsidR="00DA4469">
        <w:t>)</w:t>
      </w:r>
      <w:r w:rsidR="004F1B1D" w:rsidRPr="00273106">
        <w:t xml:space="preserve">. Albertovo řešení v rámci </w:t>
      </w:r>
      <w:r w:rsidR="002E3B62">
        <w:t>Averroes</w:t>
      </w:r>
      <w:r w:rsidR="004F1B1D" w:rsidRPr="00273106">
        <w:t xml:space="preserve">ova konceptu </w:t>
      </w:r>
      <w:r w:rsidR="004F1B1D" w:rsidRPr="00273106">
        <w:rPr>
          <w:i/>
        </w:rPr>
        <w:t>intellectus possibilis</w:t>
      </w:r>
      <w:r w:rsidR="004F1B1D" w:rsidRPr="00273106">
        <w:t xml:space="preserve"> </w:t>
      </w:r>
      <w:r w:rsidR="003B7CF7" w:rsidRPr="00273106">
        <w:t xml:space="preserve">je </w:t>
      </w:r>
      <w:r w:rsidR="004F1B1D" w:rsidRPr="00273106">
        <w:t>zasazené do tradice prvního averroismu</w:t>
      </w:r>
      <w:r w:rsidR="00CE3792" w:rsidRPr="00273106">
        <w:t xml:space="preserve">. </w:t>
      </w:r>
      <w:r w:rsidR="007737C4">
        <w:t xml:space="preserve">Albertova se proto netýká semiaverroismu Akvinského, který vykládá Avicennu v modu Averroesovy metafyziky substance </w:t>
      </w:r>
      <w:r w:rsidR="007737C4" w:rsidRPr="0069605A">
        <w:rPr>
          <w:i/>
        </w:rPr>
        <w:t>qua</w:t>
      </w:r>
      <w:r w:rsidR="007737C4">
        <w:t xml:space="preserve"> substance</w:t>
      </w:r>
      <w:r w:rsidR="007737C4">
        <w:fldChar w:fldCharType="begin"/>
      </w:r>
      <w:r w:rsidR="007737C4">
        <w:instrText xml:space="preserve"> XE "</w:instrText>
      </w:r>
      <w:r w:rsidR="007737C4" w:rsidRPr="080632B1">
        <w:instrText xml:space="preserve">substance </w:instrText>
      </w:r>
      <w:r w:rsidR="007737C4" w:rsidRPr="080632B1">
        <w:rPr>
          <w:i/>
        </w:rPr>
        <w:instrText>qua</w:instrText>
      </w:r>
      <w:r w:rsidR="007737C4" w:rsidRPr="080632B1">
        <w:instrText xml:space="preserve"> substance</w:instrText>
      </w:r>
      <w:r w:rsidR="007737C4">
        <w:instrText xml:space="preserve">" </w:instrText>
      </w:r>
      <w:r w:rsidR="007737C4">
        <w:fldChar w:fldCharType="end"/>
      </w:r>
      <w:r w:rsidR="007737C4">
        <w:t xml:space="preserve">. </w:t>
      </w:r>
      <w:r w:rsidR="00CE3792" w:rsidRPr="00273106">
        <w:t>J</w:t>
      </w:r>
      <w:r w:rsidR="003B7CF7" w:rsidRPr="00273106">
        <w:t xml:space="preserve">eho základní rysy </w:t>
      </w:r>
      <w:r w:rsidR="004F1B1D" w:rsidRPr="00273106">
        <w:t>jsme už rozebrali</w:t>
      </w:r>
      <w:r w:rsidR="009A041F" w:rsidRPr="00273106">
        <w:t xml:space="preserve"> v předcházejích kapitolách</w:t>
      </w:r>
      <w:r w:rsidR="004F1B1D" w:rsidRPr="00273106">
        <w:t xml:space="preserve">, včetně citací důležité kapitoly 11 z komentáře ke třetí knize </w:t>
      </w:r>
      <w:r w:rsidR="00B713C5">
        <w:rPr>
          <w:i/>
        </w:rPr>
        <w:t>De anima</w:t>
      </w:r>
      <w:r w:rsidR="004F1B1D" w:rsidRPr="00273106">
        <w:t>.</w:t>
      </w:r>
      <w:r w:rsidR="00DA4469">
        <w:t xml:space="preserve"> </w:t>
      </w:r>
      <w:r w:rsidR="085A1790">
        <w:t xml:space="preserve">Rozlišení mezi </w:t>
      </w:r>
      <w:r w:rsidR="085A1790" w:rsidRPr="00273106">
        <w:rPr>
          <w:i/>
        </w:rPr>
        <w:t>tertium</w:t>
      </w:r>
      <w:r w:rsidR="085A1790" w:rsidRPr="00273106">
        <w:t xml:space="preserve"> a </w:t>
      </w:r>
      <w:r w:rsidR="085A1790" w:rsidRPr="00273106">
        <w:rPr>
          <w:i/>
        </w:rPr>
        <w:t xml:space="preserve">quartum </w:t>
      </w:r>
      <w:r w:rsidR="00B1298A">
        <w:rPr>
          <w:i/>
        </w:rPr>
        <w:t>genus</w:t>
      </w:r>
      <w:r w:rsidR="085A1790">
        <w:rPr>
          <w:i/>
        </w:rPr>
        <w:fldChar w:fldCharType="begin"/>
      </w:r>
      <w:r w:rsidR="085A1790">
        <w:instrText xml:space="preserve"> XE "</w:instrText>
      </w:r>
      <w:r w:rsidR="085A1790" w:rsidRPr="00191848">
        <w:rPr>
          <w:i/>
        </w:rPr>
        <w:instrText>quartum genus</w:instrText>
      </w:r>
      <w:r w:rsidR="085A1790">
        <w:instrText xml:space="preserve">" </w:instrText>
      </w:r>
      <w:r w:rsidR="085A1790">
        <w:rPr>
          <w:i/>
        </w:rPr>
        <w:fldChar w:fldCharType="end"/>
      </w:r>
      <w:r w:rsidR="085A1790" w:rsidRPr="00273106">
        <w:t xml:space="preserve"> podle CMDA jasně ukázalo, že lze spojit oba požadavky</w:t>
      </w:r>
      <w:r w:rsidR="085A1790">
        <w:t xml:space="preserve">, ale nikoliv v paradigmatu sofistické moderny. </w:t>
      </w:r>
      <w:r w:rsidR="00DA4469">
        <w:t>Albertova kritika z let 1255‒57 ukazuje, že p</w:t>
      </w:r>
      <w:r w:rsidR="00D22347" w:rsidRPr="00273106">
        <w:t xml:space="preserve">rvní averroismus </w:t>
      </w:r>
      <w:r w:rsidR="007C7406" w:rsidRPr="00273106">
        <w:t xml:space="preserve">principiálně </w:t>
      </w:r>
      <w:r w:rsidR="00D22347" w:rsidRPr="00273106">
        <w:t xml:space="preserve">odmítá </w:t>
      </w:r>
      <w:r w:rsidR="00F65F0C" w:rsidRPr="00273106">
        <w:t>ko</w:t>
      </w:r>
      <w:r w:rsidR="000F3913" w:rsidRPr="00273106">
        <w:t>n</w:t>
      </w:r>
      <w:r w:rsidR="00F65F0C" w:rsidRPr="00273106">
        <w:t>cept hypostázované existence</w:t>
      </w:r>
      <w:r w:rsidR="00D22347" w:rsidRPr="00273106">
        <w:t xml:space="preserve"> </w:t>
      </w:r>
      <w:r w:rsidR="00F65F0C" w:rsidRPr="00273106">
        <w:t xml:space="preserve">propagovaný moderními porretány </w:t>
      </w:r>
      <w:r w:rsidR="00CC2718">
        <w:t>v modu univerzálního hylemorfismu</w:t>
      </w:r>
      <w:r w:rsidR="00607CC7">
        <w:fldChar w:fldCharType="begin"/>
      </w:r>
      <w:r w:rsidR="00607CC7">
        <w:instrText xml:space="preserve"> XE "</w:instrText>
      </w:r>
      <w:r w:rsidR="00607CC7" w:rsidRPr="003204AA">
        <w:instrText>univerzální hylemorfismus</w:instrText>
      </w:r>
      <w:r w:rsidR="00607CC7">
        <w:instrText xml:space="preserve">" </w:instrText>
      </w:r>
      <w:r w:rsidR="00607CC7">
        <w:fldChar w:fldCharType="end"/>
      </w:r>
      <w:r w:rsidR="00774910">
        <w:t>.</w:t>
      </w:r>
    </w:p>
    <w:p w14:paraId="3354A998" w14:textId="1AAF8187" w:rsidR="00221596" w:rsidRPr="00273106" w:rsidRDefault="089C40CC" w:rsidP="004A7DB1">
      <w:pPr>
        <w:ind w:firstLine="397"/>
      </w:pPr>
      <w:r>
        <w:t>Albert</w:t>
      </w:r>
      <w:r w:rsidR="00561C7C">
        <w:t xml:space="preserve">ovy teze mají zásadní význam vzhledem </w:t>
      </w:r>
      <w:r>
        <w:t>k</w:t>
      </w:r>
      <w:r w:rsidR="00561C7C">
        <w:t xml:space="preserve"> prvnímu mocenskému </w:t>
      </w:r>
      <w:r>
        <w:t>sporu mendikantů s artisti</w:t>
      </w:r>
      <w:r w:rsidR="084D4177">
        <w:t>c</w:t>
      </w:r>
      <w:r>
        <w:t>kou fakultou na Rue du Fouarre</w:t>
      </w:r>
      <w:r w:rsidR="00561C7C">
        <w:t xml:space="preserve">, který vyvrcholil </w:t>
      </w:r>
      <w:r w:rsidR="00B374C3">
        <w:t>v roce 1255</w:t>
      </w:r>
      <w:r w:rsidR="084D4177">
        <w:t xml:space="preserve">. V této době vypukl zásadní spor mezi akademickými mendikanty a světskými magistry na Pařížské </w:t>
      </w:r>
      <w:r w:rsidR="084D4177">
        <w:lastRenderedPageBreak/>
        <w:t xml:space="preserve">univerzitě, který papež </w:t>
      </w:r>
      <w:r w:rsidR="08156879">
        <w:t xml:space="preserve">vyřešil </w:t>
      </w:r>
      <w:r w:rsidR="084D4177">
        <w:t>ve prospěch mode</w:t>
      </w:r>
      <w:r w:rsidR="08156879">
        <w:t>r</w:t>
      </w:r>
      <w:r w:rsidR="08543B6F">
        <w:t>nistů (</w:t>
      </w:r>
      <w:r w:rsidR="085F6FB7">
        <w:t xml:space="preserve">OBJ III, </w:t>
      </w:r>
      <w:r w:rsidR="08543B6F">
        <w:t>kap. 4</w:t>
      </w:r>
      <w:r w:rsidR="084D4177">
        <w:t>.1.2). Světští magistři bránili</w:t>
      </w:r>
      <w:r>
        <w:t xml:space="preserve"> </w:t>
      </w:r>
      <w:r w:rsidR="084D4177">
        <w:t>interp</w:t>
      </w:r>
      <w:r>
        <w:t>r</w:t>
      </w:r>
      <w:r w:rsidR="084D4177">
        <w:t>eta</w:t>
      </w:r>
      <w:r>
        <w:t xml:space="preserve">ci </w:t>
      </w:r>
      <w:r w:rsidR="084D4177" w:rsidRPr="084D4177">
        <w:rPr>
          <w:i/>
        </w:rPr>
        <w:t>De anima</w:t>
      </w:r>
      <w:r w:rsidR="084D4177">
        <w:t xml:space="preserve"> </w:t>
      </w:r>
      <w:r>
        <w:t xml:space="preserve">po vzoru biskupa </w:t>
      </w:r>
      <w:r w:rsidR="084D4177">
        <w:t>Alverna, proto jim Alvernův nejlepší pařížský žák filosoficky spěchal na pomoc.</w:t>
      </w:r>
      <w:r>
        <w:t xml:space="preserve"> </w:t>
      </w:r>
      <w:r w:rsidR="005F2159" w:rsidRPr="00273106">
        <w:t xml:space="preserve">Z hlediska </w:t>
      </w:r>
      <w:r w:rsidR="00CA2392" w:rsidRPr="00273106">
        <w:t xml:space="preserve">Aristotelovy </w:t>
      </w:r>
      <w:r w:rsidR="008922E2" w:rsidRPr="00273106">
        <w:t xml:space="preserve">metafyziky </w:t>
      </w:r>
      <w:r w:rsidR="00377520">
        <w:t xml:space="preserve">vykládané </w:t>
      </w:r>
      <w:r w:rsidR="082F2D63">
        <w:rPr>
          <w:i/>
        </w:rPr>
        <w:t>ad</w:t>
      </w:r>
      <w:r w:rsidR="00377520" w:rsidRPr="00377520">
        <w:rPr>
          <w:i/>
        </w:rPr>
        <w:t xml:space="preserve"> mentem Averrois</w:t>
      </w:r>
      <w:r w:rsidR="00570007">
        <w:rPr>
          <w:i/>
        </w:rPr>
        <w:fldChar w:fldCharType="begin"/>
      </w:r>
      <w:r w:rsidR="00570007">
        <w:instrText xml:space="preserve"> XE "</w:instrText>
      </w:r>
      <w:r w:rsidR="082F2D63">
        <w:rPr>
          <w:i/>
        </w:rPr>
        <w:instrText>ad mentem Averrois</w:instrText>
      </w:r>
      <w:r w:rsidR="00570007">
        <w:instrText xml:space="preserve">" </w:instrText>
      </w:r>
      <w:r w:rsidR="00570007">
        <w:rPr>
          <w:i/>
        </w:rPr>
        <w:fldChar w:fldCharType="end"/>
      </w:r>
      <w:r w:rsidR="00377520">
        <w:t xml:space="preserve"> podle Sicilské školy</w:t>
      </w:r>
      <w:r w:rsidR="00377520">
        <w:fldChar w:fldCharType="begin"/>
      </w:r>
      <w:r w:rsidR="00377520">
        <w:instrText xml:space="preserve"> XE "</w:instrText>
      </w:r>
      <w:r w:rsidR="004A155A">
        <w:instrText>Sicilská škola</w:instrText>
      </w:r>
      <w:r w:rsidR="00377520">
        <w:instrText xml:space="preserve">" </w:instrText>
      </w:r>
      <w:r w:rsidR="00377520">
        <w:fldChar w:fldCharType="end"/>
      </w:r>
      <w:r w:rsidR="00377520">
        <w:t xml:space="preserve"> </w:t>
      </w:r>
      <w:r w:rsidR="002A35E3" w:rsidRPr="00273106">
        <w:t xml:space="preserve">se </w:t>
      </w:r>
      <w:r w:rsidR="08DE18BB">
        <w:t>noví a</w:t>
      </w:r>
      <w:r w:rsidR="00377520">
        <w:t xml:space="preserve">lexandrovci </w:t>
      </w:r>
      <w:r w:rsidR="002A35E3" w:rsidRPr="00273106">
        <w:t>dopustili zásadního omylu</w:t>
      </w:r>
      <w:r w:rsidR="0081061E">
        <w:t xml:space="preserve">, který ukazují následující kapitoly rozborem </w:t>
      </w:r>
      <w:r w:rsidR="0081061E" w:rsidRPr="0081061E">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15798D">
        <w:instrText>původ</w:instrText>
      </w:r>
      <w:r w:rsidR="00924399">
        <w:instrText xml:space="preserve">" </w:instrText>
      </w:r>
      <w:r w:rsidR="00924399">
        <w:rPr>
          <w:i/>
        </w:rPr>
        <w:fldChar w:fldCharType="end"/>
      </w:r>
      <w:r w:rsidR="002A35E3" w:rsidRPr="00273106">
        <w:t xml:space="preserve">. </w:t>
      </w:r>
      <w:r w:rsidR="00D2624C">
        <w:t>Moderní sofisté z</w:t>
      </w:r>
      <w:r w:rsidR="00DD1FAE" w:rsidRPr="00273106">
        <w:t xml:space="preserve">rušili kategoriální </w:t>
      </w:r>
      <w:r w:rsidR="005F2159" w:rsidRPr="00273106">
        <w:t xml:space="preserve">predikaci </w:t>
      </w:r>
      <w:r w:rsidR="005F2159" w:rsidRPr="00273106">
        <w:rPr>
          <w:i/>
        </w:rPr>
        <w:t>secundum quid</w:t>
      </w:r>
      <w:r w:rsidR="00DC66D7">
        <w:t xml:space="preserve">. Impozici </w:t>
      </w:r>
      <w:r w:rsidR="002A35E3" w:rsidRPr="00273106">
        <w:t>n</w:t>
      </w:r>
      <w:r w:rsidR="00DD1FAE" w:rsidRPr="00273106">
        <w:t xml:space="preserve">ahradili predikací </w:t>
      </w:r>
      <w:r w:rsidR="00046A8D" w:rsidRPr="00273106">
        <w:t xml:space="preserve">jsoucna </w:t>
      </w:r>
      <w:r w:rsidR="00DD1FAE" w:rsidRPr="00273106">
        <w:t xml:space="preserve">v modu </w:t>
      </w:r>
      <w:r w:rsidR="005F2159" w:rsidRPr="00273106">
        <w:rPr>
          <w:i/>
        </w:rPr>
        <w:t>simpliciter</w:t>
      </w:r>
      <w:r w:rsidR="00974891" w:rsidRPr="00273106">
        <w:t xml:space="preserve"> podle univočního modelu </w:t>
      </w:r>
      <w:r w:rsidR="00974891" w:rsidRPr="00273106">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rsidR="00974891" w:rsidRPr="00273106">
        <w:t xml:space="preserve"> daného Avicennou</w:t>
      </w:r>
      <w:r w:rsidR="005F2159" w:rsidRPr="00273106">
        <w:t xml:space="preserve">. </w:t>
      </w:r>
      <w:r w:rsidR="0091789B" w:rsidRPr="00273106">
        <w:t xml:space="preserve">První averroismus </w:t>
      </w:r>
      <w:r w:rsidR="00D2624C">
        <w:t>daný metafyzi</w:t>
      </w:r>
      <w:r w:rsidR="00DE1610">
        <w:t>ckou jednotou jsoucna v rámc</w:t>
      </w:r>
      <w:r w:rsidR="00D2624C">
        <w:t>i první substance</w:t>
      </w:r>
      <w:r w:rsidR="00A70FA4">
        <w:fldChar w:fldCharType="begin"/>
      </w:r>
      <w:r w:rsidR="00A70FA4">
        <w:instrText xml:space="preserve"> XE "</w:instrText>
      </w:r>
      <w:r w:rsidR="00A70FA4" w:rsidRPr="00DE2A32">
        <w:instrText>substance</w:instrText>
      </w:r>
      <w:r w:rsidR="004A1C8F">
        <w:instrText>:první averroismus</w:instrText>
      </w:r>
      <w:r w:rsidR="00A70FA4">
        <w:instrText xml:space="preserve">" </w:instrText>
      </w:r>
      <w:r w:rsidR="00A70FA4">
        <w:fldChar w:fldCharType="end"/>
      </w:r>
      <w:r w:rsidR="00D2624C">
        <w:t xml:space="preserve"> principiálně nesouhlasí s</w:t>
      </w:r>
      <w:r w:rsidR="086F6A97">
        <w:t>e</w:t>
      </w:r>
      <w:r w:rsidR="00D2624C">
        <w:t xml:space="preserve"> </w:t>
      </w:r>
      <w:r w:rsidR="00AA7F84">
        <w:t xml:space="preserve">sofistickou </w:t>
      </w:r>
      <w:r w:rsidR="0091789B" w:rsidRPr="00273106">
        <w:t xml:space="preserve">záměnou </w:t>
      </w:r>
      <w:r w:rsidR="000A3B7D" w:rsidRPr="00273106">
        <w:t xml:space="preserve">smyslu jsoucna </w:t>
      </w:r>
      <w:r w:rsidR="00D2624C">
        <w:t>danou v rámci logické univocity a abstrakce</w:t>
      </w:r>
      <w:r w:rsidR="00AA7F84">
        <w:t xml:space="preserve"> vyučované ve školách </w:t>
      </w:r>
      <w:r w:rsidR="00AA7F84" w:rsidRPr="00AA7F84">
        <w:rPr>
          <w:i/>
        </w:rPr>
        <w:t>logica Modernorum</w:t>
      </w:r>
      <w:r w:rsidR="0091789B" w:rsidRPr="00273106">
        <w:t xml:space="preserve">. </w:t>
      </w:r>
      <w:r w:rsidR="00E03D42">
        <w:t>Z pohle</w:t>
      </w:r>
      <w:r w:rsidR="009F408F">
        <w:t xml:space="preserve">du aristotelské </w:t>
      </w:r>
      <w:r w:rsidR="00AA7F84" w:rsidRPr="00AA7F84">
        <w:rPr>
          <w:i/>
        </w:rPr>
        <w:t>logica Vetus</w:t>
      </w:r>
      <w:r w:rsidR="08000411">
        <w:rPr>
          <w:i/>
        </w:rPr>
        <w:fldChar w:fldCharType="begin"/>
      </w:r>
      <w:r w:rsidR="08000411">
        <w:instrText xml:space="preserve"> XE "</w:instrText>
      </w:r>
      <w:r w:rsidR="08000411" w:rsidRPr="007C256F">
        <w:rPr>
          <w:i/>
        </w:rPr>
        <w:instrText>logica Vetus</w:instrText>
      </w:r>
      <w:r w:rsidR="08000411">
        <w:instrText xml:space="preserve">" </w:instrText>
      </w:r>
      <w:r w:rsidR="08000411">
        <w:rPr>
          <w:i/>
        </w:rPr>
        <w:fldChar w:fldCharType="end"/>
      </w:r>
      <w:r w:rsidR="00AA7F84">
        <w:t xml:space="preserve"> </w:t>
      </w:r>
      <w:r w:rsidR="009F408F">
        <w:t>jde o</w:t>
      </w:r>
      <w:r w:rsidR="00227A0A">
        <w:t xml:space="preserve"> typický omyl typu </w:t>
      </w:r>
      <w:r w:rsidR="004A7DB1">
        <w:t>„</w:t>
      </w:r>
      <w:r w:rsidR="009F408F" w:rsidRPr="009F408F">
        <w:rPr>
          <w:i/>
        </w:rPr>
        <w:t>fallacia secundum quid et simpliciter</w:t>
      </w:r>
      <w:r w:rsidR="004A7DB1">
        <w:t>“</w:t>
      </w:r>
      <w:r w:rsidR="00A120B9">
        <w:rPr>
          <w:i/>
        </w:rPr>
        <w:fldChar w:fldCharType="begin"/>
      </w:r>
      <w:r w:rsidR="00A120B9">
        <w:instrText xml:space="preserve"> XE "</w:instrText>
      </w:r>
      <w:r w:rsidR="00A120B9" w:rsidRPr="00027DD3">
        <w:rPr>
          <w:i/>
        </w:rPr>
        <w:instrText>fallacia secundum quid et simpliciter</w:instrText>
      </w:r>
      <w:r w:rsidR="00A120B9">
        <w:instrText xml:space="preserve">" </w:instrText>
      </w:r>
      <w:r w:rsidR="00A120B9">
        <w:rPr>
          <w:i/>
        </w:rPr>
        <w:fldChar w:fldCharType="end"/>
      </w:r>
      <w:r w:rsidR="009F408F">
        <w:t xml:space="preserve">. </w:t>
      </w:r>
      <w:r w:rsidR="004A7DB1">
        <w:t xml:space="preserve">Impozice </w:t>
      </w:r>
      <w:r w:rsidR="004A7DB1" w:rsidRPr="004A7DB1">
        <w:t xml:space="preserve">metafyzického významu </w:t>
      </w:r>
      <w:r w:rsidR="004A7DB1">
        <w:t xml:space="preserve">v modu </w:t>
      </w:r>
      <w:r w:rsidR="004A7DB1" w:rsidRPr="004A7DB1">
        <w:rPr>
          <w:i/>
        </w:rPr>
        <w:t>secundum quid</w:t>
      </w:r>
      <w:r w:rsidR="004A7DB1" w:rsidRPr="004A7DB1">
        <w:t xml:space="preserve"> není </w:t>
      </w:r>
      <w:r w:rsidR="004A7DB1">
        <w:t>supozice l</w:t>
      </w:r>
      <w:r w:rsidR="004A7DB1" w:rsidRPr="004A7DB1">
        <w:t xml:space="preserve">ogického významu, který je dán pouze </w:t>
      </w:r>
      <w:r w:rsidR="004A7DB1" w:rsidRPr="004A7DB1">
        <w:rPr>
          <w:i/>
        </w:rPr>
        <w:t>simpliciter</w:t>
      </w:r>
      <w:r w:rsidR="004A7DB1" w:rsidRPr="004A7DB1">
        <w:t>.</w:t>
      </w:r>
      <w:r w:rsidR="004A7DB1">
        <w:t xml:space="preserve"> </w:t>
      </w:r>
      <w:r w:rsidR="0060053E">
        <w:t>Navíc platí, že a</w:t>
      </w:r>
      <w:r w:rsidR="00221596" w:rsidRPr="00273106">
        <w:t xml:space="preserve">ktuální první substance </w:t>
      </w:r>
      <w:r w:rsidR="00CA7B02" w:rsidRPr="00273106">
        <w:t xml:space="preserve">nemají </w:t>
      </w:r>
      <w:r w:rsidR="00221596" w:rsidRPr="00273106">
        <w:t>samostat</w:t>
      </w:r>
      <w:r w:rsidR="0084307C">
        <w:t>né bytí v lidském intelektu. D</w:t>
      </w:r>
      <w:r w:rsidR="00221596" w:rsidRPr="00273106">
        <w:t>okonce je nemají ani v absolutně jednoduchém božím intelektu</w:t>
      </w:r>
      <w:r w:rsidR="0084307C">
        <w:t>, protože by nebyl jednoduchý</w:t>
      </w:r>
      <w:r w:rsidR="00221596" w:rsidRPr="00273106">
        <w:t xml:space="preserve">. </w:t>
      </w:r>
      <w:r w:rsidR="00A72E4A" w:rsidRPr="00273106">
        <w:t xml:space="preserve">To by byl návrat k modelu </w:t>
      </w:r>
      <w:r w:rsidR="0084307C">
        <w:t>p</w:t>
      </w:r>
      <w:r w:rsidR="008E02F5">
        <w:t>laton</w:t>
      </w:r>
      <w:r w:rsidR="00A72E4A" w:rsidRPr="00273106">
        <w:t>ských idejí</w:t>
      </w:r>
      <w:r w:rsidR="0084307C">
        <w:t xml:space="preserve">, </w:t>
      </w:r>
      <w:r w:rsidR="00F01D40">
        <w:t xml:space="preserve">což by znamenalo konec </w:t>
      </w:r>
      <w:r w:rsidR="0084307C">
        <w:t>aristotelismu</w:t>
      </w:r>
      <w:r w:rsidR="00A72E4A" w:rsidRPr="00273106">
        <w:t xml:space="preserve">. </w:t>
      </w:r>
      <w:r w:rsidR="00924D2D">
        <w:t xml:space="preserve">Učení </w:t>
      </w:r>
      <w:r w:rsidR="00C739FA" w:rsidRPr="00273106">
        <w:t xml:space="preserve">Latiníci si pletou </w:t>
      </w:r>
      <w:r w:rsidR="009A4E65" w:rsidRPr="00273106">
        <w:t xml:space="preserve">intencionální významy </w:t>
      </w:r>
      <w:r w:rsidR="00C739FA" w:rsidRPr="00273106">
        <w:t xml:space="preserve">syntetizované </w:t>
      </w:r>
      <w:r w:rsidR="009A4E65" w:rsidRPr="00273106">
        <w:t>nemateriál</w:t>
      </w:r>
      <w:r w:rsidR="00805231">
        <w:t>ní intelektuální schopností duše</w:t>
      </w:r>
      <w:r w:rsidR="005F6362" w:rsidRPr="00273106">
        <w:t xml:space="preserve"> </w:t>
      </w:r>
      <w:r w:rsidR="00805231">
        <w:t xml:space="preserve">a dané </w:t>
      </w:r>
      <w:r w:rsidR="00C739FA" w:rsidRPr="00273106">
        <w:t xml:space="preserve">v modu </w:t>
      </w:r>
      <w:r w:rsidR="005F6362" w:rsidRPr="00273106">
        <w:rPr>
          <w:i/>
        </w:rPr>
        <w:t>simpliciter</w:t>
      </w:r>
      <w:r w:rsidR="005F6362" w:rsidRPr="00273106">
        <w:t xml:space="preserve"> </w:t>
      </w:r>
      <w:r w:rsidR="00B8576D" w:rsidRPr="00273106">
        <w:t>(</w:t>
      </w:r>
      <w:r w:rsidR="003F124E" w:rsidRPr="00273106">
        <w:t>esence</w:t>
      </w:r>
      <w:r w:rsidR="003F124E">
        <w:t>,</w:t>
      </w:r>
      <w:r w:rsidR="003F124E" w:rsidRPr="00273106">
        <w:rPr>
          <w:i/>
        </w:rPr>
        <w:t xml:space="preserve"> </w:t>
      </w:r>
      <w:r w:rsidR="004B4D52" w:rsidRPr="004B4D52">
        <w:t>species</w:t>
      </w:r>
      <w:r w:rsidR="005F6362"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DD403C">
        <w:instrText>A</w:instrText>
      </w:r>
      <w:r w:rsidR="009501B1">
        <w:instrText>lbert</w:instrText>
      </w:r>
      <w:r w:rsidR="008061D5">
        <w:instrText xml:space="preserve">" </w:instrText>
      </w:r>
      <w:r w:rsidR="008061D5">
        <w:rPr>
          <w:i/>
        </w:rPr>
        <w:fldChar w:fldCharType="end"/>
      </w:r>
      <w:r w:rsidR="00295565" w:rsidRPr="00273106">
        <w:t xml:space="preserve">, univerzálie, </w:t>
      </w:r>
      <w:r w:rsidR="003F124E">
        <w:t xml:space="preserve">kvália, eidetické významy </w:t>
      </w:r>
      <w:r w:rsidR="005F6362" w:rsidRPr="00273106">
        <w:t>atd.</w:t>
      </w:r>
      <w:r w:rsidR="00B8576D" w:rsidRPr="00273106">
        <w:t>)</w:t>
      </w:r>
      <w:r w:rsidR="005F6362" w:rsidRPr="00273106">
        <w:t xml:space="preserve"> s </w:t>
      </w:r>
      <w:r w:rsidR="00BE013E" w:rsidRPr="00273106">
        <w:t xml:space="preserve">aktuálními </w:t>
      </w:r>
      <w:r w:rsidR="005F6362" w:rsidRPr="00273106">
        <w:t>entitami</w:t>
      </w:r>
      <w:r w:rsidR="089B48C9">
        <w:t xml:space="preserve"> danými v přírodě</w:t>
      </w:r>
      <w:r w:rsidR="00805231">
        <w:t xml:space="preserve">. </w:t>
      </w:r>
      <w:r w:rsidR="08C20CB9">
        <w:t>Modernisté n</w:t>
      </w:r>
      <w:r w:rsidR="0865250D">
        <w:t>ejprve vytěsnili impozici významu z re</w:t>
      </w:r>
      <w:r w:rsidR="08922AA9">
        <w:t>a</w:t>
      </w:r>
      <w:r w:rsidR="0865250D">
        <w:t xml:space="preserve">lity </w:t>
      </w:r>
      <w:r w:rsidR="009B0FB6">
        <w:t xml:space="preserve">v modu epochální </w:t>
      </w:r>
      <w:r w:rsidR="009B0FB6" w:rsidRPr="009B0FB6">
        <w:rPr>
          <w:i/>
        </w:rPr>
        <w:t>Seinsvergessenheit</w:t>
      </w:r>
      <w:r w:rsidR="009B0FB6">
        <w:rPr>
          <w:i/>
        </w:rPr>
        <w:fldChar w:fldCharType="begin"/>
      </w:r>
      <w:r w:rsidR="009B0FB6">
        <w:instrText xml:space="preserve"> XE "</w:instrText>
      </w:r>
      <w:r w:rsidR="009B0FB6" w:rsidRPr="00DD0F1C">
        <w:rPr>
          <w:i/>
        </w:rPr>
        <w:instrText>Seinsvergessenheit</w:instrText>
      </w:r>
      <w:r w:rsidR="009B0FB6">
        <w:instrText xml:space="preserve">" </w:instrText>
      </w:r>
      <w:r w:rsidR="009B0FB6">
        <w:rPr>
          <w:i/>
        </w:rPr>
        <w:fldChar w:fldCharType="end"/>
      </w:r>
      <w:r w:rsidR="08922AA9">
        <w:t>. Metafyzi</w:t>
      </w:r>
      <w:r w:rsidR="089E5CB3">
        <w:t>c</w:t>
      </w:r>
      <w:r w:rsidR="08922AA9">
        <w:t>kou hrůzu z takto daného prázdna</w:t>
      </w:r>
      <w:r w:rsidR="08795B9F">
        <w:t xml:space="preserve"> po první substanci</w:t>
      </w:r>
      <w:r w:rsidR="08922AA9">
        <w:t xml:space="preserve"> </w:t>
      </w:r>
      <w:r w:rsidR="082F247A">
        <w:t>(</w:t>
      </w:r>
      <w:r w:rsidR="082F247A" w:rsidRPr="080A2917">
        <w:rPr>
          <w:i/>
        </w:rPr>
        <w:t>horror vacui</w:t>
      </w:r>
      <w:r w:rsidR="082F247A">
        <w:t xml:space="preserve">) </w:t>
      </w:r>
      <w:r w:rsidR="08922AA9">
        <w:t xml:space="preserve">vyřešili </w:t>
      </w:r>
      <w:r w:rsidR="080A2917">
        <w:t>produkcí simuláker. Modernisté a</w:t>
      </w:r>
      <w:r w:rsidR="00805231">
        <w:t>bsolutizovali supozici podle moderní logiky</w:t>
      </w:r>
      <w:r w:rsidR="009B0FB6">
        <w:t xml:space="preserve"> porretánů</w:t>
      </w:r>
      <w:r w:rsidR="00805231">
        <w:t xml:space="preserve"> v </w:t>
      </w:r>
      <w:r w:rsidR="000A3453">
        <w:t xml:space="preserve">modu </w:t>
      </w:r>
      <w:r w:rsidR="00805231">
        <w:t xml:space="preserve">sofisticky pojaté </w:t>
      </w:r>
      <w:r w:rsidR="000A3453">
        <w:t xml:space="preserve">kategoriální impozice </w:t>
      </w:r>
      <w:r w:rsidR="00E03D42" w:rsidRPr="00E03D42">
        <w:rPr>
          <w:i/>
        </w:rPr>
        <w:t>secundum quid</w:t>
      </w:r>
      <w:r w:rsidR="009501B1">
        <w:rPr>
          <w:i/>
        </w:rPr>
        <w:fldChar w:fldCharType="begin"/>
      </w:r>
      <w:r w:rsidR="009501B1">
        <w:instrText xml:space="preserve"> XE "</w:instrText>
      </w:r>
      <w:r w:rsidR="009501B1" w:rsidRPr="00B2675C">
        <w:instrText>impozice:</w:instrText>
      </w:r>
      <w:r w:rsidR="009501B1" w:rsidRPr="00B2675C">
        <w:rPr>
          <w:i/>
        </w:rPr>
        <w:instrText>secundum quid</w:instrText>
      </w:r>
      <w:r w:rsidR="009501B1">
        <w:instrText xml:space="preserve">" </w:instrText>
      </w:r>
      <w:r w:rsidR="009501B1">
        <w:rPr>
          <w:i/>
        </w:rPr>
        <w:fldChar w:fldCharType="end"/>
      </w:r>
      <w:r w:rsidR="001F60C4" w:rsidRPr="00273106">
        <w:t xml:space="preserve">. </w:t>
      </w:r>
      <w:r w:rsidR="089E5CB3">
        <w:t>Moder</w:t>
      </w:r>
      <w:r w:rsidR="08864972">
        <w:t>n</w:t>
      </w:r>
      <w:r w:rsidR="089E5CB3">
        <w:t xml:space="preserve">isté řízení chtonickými Fúriemi </w:t>
      </w:r>
      <w:r w:rsidR="08864972">
        <w:t xml:space="preserve">provedli tragikomickou parodii na mystéria a vytvořili objektivní epoptii bytí jsoucna. V </w:t>
      </w:r>
      <w:r w:rsidR="089E5CB3">
        <w:t xml:space="preserve">modu </w:t>
      </w:r>
      <w:r w:rsidR="089E5CB3" w:rsidRPr="089E5CB3">
        <w:rPr>
          <w:i/>
        </w:rPr>
        <w:t>epoché</w:t>
      </w:r>
      <w:r w:rsidR="089E5CB3">
        <w:t xml:space="preserve"> nejprve zhasli reálný svět a pak si jej stvořili </w:t>
      </w:r>
      <w:r w:rsidR="089E5CB3" w:rsidRPr="089E5CB3">
        <w:rPr>
          <w:i/>
        </w:rPr>
        <w:t>ex nihilo</w:t>
      </w:r>
      <w:r w:rsidR="089E5CB3">
        <w:rPr>
          <w:i/>
        </w:rPr>
        <w:fldChar w:fldCharType="begin"/>
      </w:r>
      <w:r w:rsidR="089E5CB3">
        <w:instrText xml:space="preserve"> XE "</w:instrText>
      </w:r>
      <w:r w:rsidR="089E5CB3">
        <w:rPr>
          <w:i/>
        </w:rPr>
        <w:instrText>creatio</w:instrText>
      </w:r>
      <w:r w:rsidR="089E5CB3" w:rsidRPr="08743131">
        <w:rPr>
          <w:i/>
        </w:rPr>
        <w:instrText xml:space="preserve"> ex nihilo</w:instrText>
      </w:r>
      <w:r w:rsidR="089E5CB3">
        <w:instrText xml:space="preserve">" </w:instrText>
      </w:r>
      <w:r w:rsidR="089E5CB3">
        <w:rPr>
          <w:i/>
        </w:rPr>
        <w:fldChar w:fldCharType="end"/>
      </w:r>
      <w:r w:rsidR="089E5CB3">
        <w:rPr>
          <w:i/>
        </w:rPr>
        <w:t xml:space="preserve"> </w:t>
      </w:r>
      <w:r w:rsidR="089E5CB3">
        <w:t xml:space="preserve">ze jsoucen třetího druhu. </w:t>
      </w:r>
      <w:r w:rsidR="001F013F">
        <w:t>První averroismus marně vysvěloval</w:t>
      </w:r>
      <w:r w:rsidR="08C20CB9">
        <w:t xml:space="preserve"> latinským sofistům</w:t>
      </w:r>
      <w:r w:rsidR="001F013F">
        <w:t>, že p</w:t>
      </w:r>
      <w:r w:rsidR="001F60C4" w:rsidRPr="00273106">
        <w:t xml:space="preserve">rvní substance jsou dány aktuálně </w:t>
      </w:r>
      <w:r w:rsidR="001F60C4" w:rsidRPr="00273106">
        <w:rPr>
          <w:i/>
        </w:rPr>
        <w:t>simpliciter</w:t>
      </w:r>
      <w:r w:rsidR="001F60C4" w:rsidRPr="00273106">
        <w:t xml:space="preserve"> </w:t>
      </w:r>
      <w:r w:rsidR="001F013F" w:rsidRPr="00273106">
        <w:t>v modu efektivní kauzality</w:t>
      </w:r>
      <w:r w:rsidR="001F013F">
        <w:t>. P</w:t>
      </w:r>
      <w:r w:rsidR="001F60C4" w:rsidRPr="00273106">
        <w:t>redik</w:t>
      </w:r>
      <w:r w:rsidR="00996A94" w:rsidRPr="00273106">
        <w:t>a</w:t>
      </w:r>
      <w:r w:rsidR="001F60C4" w:rsidRPr="00273106">
        <w:t>ce vzhle</w:t>
      </w:r>
      <w:r w:rsidR="001F013F">
        <w:t xml:space="preserve">dem tělesům daným substanciálně je dána pouze </w:t>
      </w:r>
      <w:r w:rsidR="00E03D42">
        <w:t>vzhledem ke druhé substanci</w:t>
      </w:r>
      <w:r w:rsidR="001F013F">
        <w:t xml:space="preserve"> a věda musí v deduktivním soudu tuto reálnou kauzalitu držet ve středním členu soudu v modu </w:t>
      </w:r>
      <w:r w:rsidR="08D91F67">
        <w:rPr>
          <w:i/>
        </w:rPr>
        <w:t xml:space="preserve">ex </w:t>
      </w:r>
      <w:r w:rsidR="08D91F67">
        <w:rPr>
          <w:i/>
        </w:rPr>
        <w:lastRenderedPageBreak/>
        <w:t>in</w:t>
      </w:r>
      <w:r w:rsidR="001F013F" w:rsidRPr="001F013F">
        <w:rPr>
          <w:i/>
        </w:rPr>
        <w:t>mediatis</w:t>
      </w:r>
      <w:r w:rsidR="005F6362" w:rsidRPr="00273106">
        <w:t xml:space="preserve">. </w:t>
      </w:r>
      <w:r w:rsidR="001F013F">
        <w:t xml:space="preserve">Moderna udělala z univerzálních esencí první substance a tím změnila nauku </w:t>
      </w:r>
      <w:r w:rsidR="001F013F" w:rsidRPr="001F013F">
        <w:rPr>
          <w:i/>
        </w:rPr>
        <w:t>Druhých analytik</w:t>
      </w:r>
      <w:r w:rsidR="001F013F">
        <w:t xml:space="preserve">. </w:t>
      </w:r>
      <w:r w:rsidR="00221596" w:rsidRPr="00273106">
        <w:t xml:space="preserve">Albertův komentář zásadně odmítá </w:t>
      </w:r>
      <w:r w:rsidR="08192A6B">
        <w:t xml:space="preserve">základní </w:t>
      </w:r>
      <w:r w:rsidR="00221596" w:rsidRPr="00273106">
        <w:t xml:space="preserve">tezi </w:t>
      </w:r>
      <w:r w:rsidR="08297DFE">
        <w:t xml:space="preserve">modernistů </w:t>
      </w:r>
      <w:r w:rsidR="00221596" w:rsidRPr="00273106">
        <w:t xml:space="preserve">o individualizovaných </w:t>
      </w:r>
      <w:r w:rsidR="004B4D52" w:rsidRPr="008645EC">
        <w:rPr>
          <w:i/>
        </w:rPr>
        <w:t>species</w:t>
      </w:r>
      <w:r w:rsidR="00221596"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9501B1">
        <w:instrText>:</w:instrText>
      </w:r>
      <w:r w:rsidR="009501B1" w:rsidRPr="009501B1">
        <w:instrText>druhý averroismus</w:instrText>
      </w:r>
      <w:r w:rsidR="008061D5">
        <w:instrText xml:space="preserve">" </w:instrText>
      </w:r>
      <w:r w:rsidR="008061D5">
        <w:rPr>
          <w:i/>
        </w:rPr>
        <w:fldChar w:fldCharType="end"/>
      </w:r>
      <w:r w:rsidR="00221596" w:rsidRPr="00273106">
        <w:t xml:space="preserve">, které </w:t>
      </w:r>
      <w:r w:rsidR="008645EC">
        <w:t xml:space="preserve">vytvářejí </w:t>
      </w:r>
      <w:r w:rsidR="008645EC" w:rsidRPr="008645EC">
        <w:rPr>
          <w:i/>
        </w:rPr>
        <w:t>individuum</w:t>
      </w:r>
      <w:r w:rsidR="008645EC">
        <w:t xml:space="preserve"> jako </w:t>
      </w:r>
      <w:r w:rsidR="00221596" w:rsidRPr="00273106">
        <w:t>substanc</w:t>
      </w:r>
      <w:r w:rsidR="008645EC">
        <w:t>i</w:t>
      </w:r>
      <w:r w:rsidR="00221596" w:rsidRPr="00273106">
        <w:t xml:space="preserve"> třetího druhu.</w:t>
      </w:r>
    </w:p>
    <w:p w14:paraId="51FAFFB0" w14:textId="77777777" w:rsidR="00F277E3" w:rsidRPr="006969EF" w:rsidRDefault="00221596" w:rsidP="006969EF">
      <w:pPr>
        <w:pStyle w:val="Citace"/>
      </w:pPr>
      <w:r w:rsidRPr="006969EF">
        <w:rPr>
          <w:rStyle w:val="FontStyle157"/>
          <w:rFonts w:ascii="Calibri" w:hAnsi="Calibri"/>
          <w:sz w:val="22"/>
        </w:rPr>
        <w:t>„</w:t>
      </w:r>
      <w:r w:rsidR="00F277E3" w:rsidRPr="006969EF">
        <w:rPr>
          <w:rStyle w:val="FontStyle157"/>
          <w:rFonts w:ascii="Calibri" w:hAnsi="Calibri"/>
          <w:sz w:val="22"/>
        </w:rPr>
        <w:t>Tento názor předpokládá, že uni</w:t>
      </w:r>
      <w:r w:rsidR="08836F94">
        <w:rPr>
          <w:rStyle w:val="FontStyle157"/>
          <w:rFonts w:ascii="Calibri" w:hAnsi="Calibri"/>
          <w:sz w:val="22"/>
        </w:rPr>
        <w:t>verzálie je v duši dána jako v</w:t>
      </w:r>
      <w:r w:rsidR="08836F94">
        <w:rPr>
          <w:rStyle w:val="FontStyle157"/>
          <w:rFonts w:ascii="Calibri" w:hAnsi="Calibri"/>
          <w:sz w:val="22"/>
          <w:lang w:val="cs-CZ"/>
        </w:rPr>
        <w:t xml:space="preserve"> substančním </w:t>
      </w:r>
      <w:r w:rsidR="00F277E3" w:rsidRPr="006969EF">
        <w:rPr>
          <w:rStyle w:val="FontStyle157"/>
          <w:rFonts w:ascii="Calibri" w:hAnsi="Calibri"/>
          <w:sz w:val="22"/>
        </w:rPr>
        <w:t>nositeli</w:t>
      </w:r>
      <w:r w:rsidR="08B20763">
        <w:rPr>
          <w:rStyle w:val="FontStyle157"/>
          <w:rFonts w:ascii="Calibri" w:hAnsi="Calibri"/>
          <w:sz w:val="22"/>
          <w:lang w:val="cs-CZ"/>
        </w:rPr>
        <w:t>,</w:t>
      </w:r>
      <w:r w:rsidR="00F277E3" w:rsidRPr="006969EF">
        <w:rPr>
          <w:rStyle w:val="FontStyle157"/>
          <w:rFonts w:ascii="Calibri" w:hAnsi="Calibri"/>
          <w:sz w:val="22"/>
        </w:rPr>
        <w:t xml:space="preserve"> a to je naprostý omyl</w:t>
      </w:r>
      <w:r w:rsidRPr="006969EF">
        <w:rPr>
          <w:rStyle w:val="FontStyle157"/>
          <w:rFonts w:ascii="Calibri" w:hAnsi="Calibri"/>
          <w:sz w:val="22"/>
        </w:rPr>
        <w:t>.“</w:t>
      </w:r>
      <w:r w:rsidR="006969EF">
        <w:rPr>
          <w:rStyle w:val="FontStyle157"/>
          <w:rFonts w:ascii="Calibri" w:hAnsi="Calibri"/>
          <w:sz w:val="22"/>
          <w:lang w:val="cs-CZ"/>
        </w:rPr>
        <w:t> </w:t>
      </w:r>
      <w:r w:rsidR="00F277E3" w:rsidRPr="006969EF">
        <w:rPr>
          <w:rStyle w:val="Znakapoznpodarou"/>
        </w:rPr>
        <w:footnoteReference w:id="259"/>
      </w:r>
    </w:p>
    <w:p w14:paraId="2342FEBA" w14:textId="6F16AD21" w:rsidR="009C0433" w:rsidRDefault="00F277E3" w:rsidP="086F225A">
      <w:r w:rsidRPr="00273106">
        <w:t xml:space="preserve">Univerzálie v duši není dána jako </w:t>
      </w:r>
      <w:r w:rsidR="085A33D1" w:rsidRPr="085A33D1">
        <w:rPr>
          <w:i/>
        </w:rPr>
        <w:t>tertium ens</w:t>
      </w:r>
      <w:r w:rsidRPr="00273106">
        <w:t xml:space="preserve">, protože duše </w:t>
      </w:r>
      <w:r w:rsidR="080561C2">
        <w:t>je jediná forma osoby daná v těle</w:t>
      </w:r>
      <w:r w:rsidRPr="00273106">
        <w:t xml:space="preserve">. Univerzálie je </w:t>
      </w:r>
      <w:r w:rsidR="08DD0E93">
        <w:t xml:space="preserve">podle Alberta </w:t>
      </w:r>
      <w:r w:rsidRPr="00273106">
        <w:t>syntetizována jako nemateriální význam reálné věci</w:t>
      </w:r>
      <w:r w:rsidR="08A50BA6">
        <w:t xml:space="preserve">. </w:t>
      </w:r>
      <w:r w:rsidR="08DD0E93">
        <w:t xml:space="preserve">Univerzální hylemorfismus </w:t>
      </w:r>
      <w:r w:rsidR="084662F1">
        <w:t xml:space="preserve">moderny </w:t>
      </w:r>
      <w:r w:rsidR="00994E66" w:rsidRPr="00273106">
        <w:t>hypostázuj</w:t>
      </w:r>
      <w:r w:rsidR="08DD0E93">
        <w:t>e</w:t>
      </w:r>
      <w:r w:rsidR="00994E66" w:rsidRPr="00273106">
        <w:t xml:space="preserve"> </w:t>
      </w:r>
      <w:r w:rsidR="00221596" w:rsidRPr="00273106">
        <w:t>univer</w:t>
      </w:r>
      <w:r w:rsidR="00576ED8" w:rsidRPr="00273106">
        <w:t>z</w:t>
      </w:r>
      <w:r w:rsidR="00221596" w:rsidRPr="00273106">
        <w:t>álie v duši</w:t>
      </w:r>
      <w:r w:rsidR="00757486" w:rsidRPr="00273106">
        <w:t xml:space="preserve"> tím, že je</w:t>
      </w:r>
      <w:r w:rsidR="08DD0E93">
        <w:t xml:space="preserve"> chápe</w:t>
      </w:r>
      <w:r w:rsidR="00994E66" w:rsidRPr="00273106">
        <w:t xml:space="preserve"> </w:t>
      </w:r>
      <w:r w:rsidR="00C543A6" w:rsidRPr="00273106">
        <w:t>v modu</w:t>
      </w:r>
      <w:r w:rsidR="08DD0E93">
        <w:t xml:space="preserve"> </w:t>
      </w:r>
      <w:r w:rsidR="003D6BDA">
        <w:t xml:space="preserve">hyparchické </w:t>
      </w:r>
      <w:r w:rsidR="08DD0E93">
        <w:t>první substance</w:t>
      </w:r>
      <w:r w:rsidR="00757486" w:rsidRPr="00273106">
        <w:t xml:space="preserve">. Toto jsoucno třetího druhu je v duši </w:t>
      </w:r>
      <w:r w:rsidR="00653F69" w:rsidRPr="00273106">
        <w:t xml:space="preserve">vytvářeno </w:t>
      </w:r>
      <w:r w:rsidR="00757486" w:rsidRPr="00273106">
        <w:rPr>
          <w:i/>
        </w:rPr>
        <w:t>ex nihilo</w:t>
      </w:r>
      <w:r w:rsidR="00052772">
        <w:rPr>
          <w:i/>
        </w:rPr>
        <w:fldChar w:fldCharType="begin"/>
      </w:r>
      <w:r w:rsidR="00052772">
        <w:instrText xml:space="preserve"> XE "</w:instrText>
      </w:r>
      <w:r w:rsidR="00052772" w:rsidRPr="00052772">
        <w:rPr>
          <w:i/>
        </w:rPr>
        <w:instrText>creatio</w:instrText>
      </w:r>
      <w:r w:rsidR="00052772">
        <w:instrText xml:space="preserve"> </w:instrText>
      </w:r>
      <w:r w:rsidR="00052772" w:rsidRPr="00BF0FC9">
        <w:rPr>
          <w:i/>
        </w:rPr>
        <w:instrText>ex nihilo</w:instrText>
      </w:r>
      <w:r w:rsidR="00052772">
        <w:instrText xml:space="preserve">" </w:instrText>
      </w:r>
      <w:r w:rsidR="00052772">
        <w:rPr>
          <w:i/>
        </w:rPr>
        <w:fldChar w:fldCharType="end"/>
      </w:r>
      <w:r w:rsidR="00757486" w:rsidRPr="00273106">
        <w:t xml:space="preserve"> tím, </w:t>
      </w:r>
      <w:r w:rsidR="00221596" w:rsidRPr="00273106">
        <w:t xml:space="preserve">že </w:t>
      </w:r>
      <w:r w:rsidR="00B62C0E" w:rsidRPr="00273106">
        <w:t xml:space="preserve">první modernisté </w:t>
      </w:r>
      <w:r w:rsidR="00994E66" w:rsidRPr="00273106">
        <w:t xml:space="preserve">duši </w:t>
      </w:r>
      <w:r w:rsidR="00221596" w:rsidRPr="00273106">
        <w:t>individualizovali přes generický</w:t>
      </w:r>
      <w:r w:rsidR="00192B41" w:rsidRPr="00273106">
        <w:t xml:space="preserve"> koncept materie třetího druhu.</w:t>
      </w:r>
      <w:r w:rsidR="086F225A">
        <w:t xml:space="preserve">  </w:t>
      </w:r>
      <w:r w:rsidR="087836AB">
        <w:t xml:space="preserve">Tím vzniklo moderní simulákrum substance, které stojí na začátku cesty latinského Západu </w:t>
      </w:r>
      <w:r w:rsidR="0846707F">
        <w:t xml:space="preserve">k matematickým modelům reality a </w:t>
      </w:r>
      <w:r w:rsidR="087836AB">
        <w:t xml:space="preserve">k finančním derivátům. </w:t>
      </w:r>
      <w:r w:rsidR="00C21F6C">
        <w:t>Tento druh „s</w:t>
      </w:r>
      <w:r w:rsidR="08240343">
        <w:t>ilné</w:t>
      </w:r>
      <w:r w:rsidR="00C21F6C">
        <w:t>ho“ myšlení porazil</w:t>
      </w:r>
      <w:r w:rsidR="08240343">
        <w:t xml:space="preserve"> </w:t>
      </w:r>
      <w:r w:rsidR="00C21F6C">
        <w:t>„</w:t>
      </w:r>
      <w:r w:rsidR="08240343">
        <w:t>slabou</w:t>
      </w:r>
      <w:r w:rsidR="00C21F6C">
        <w:t>“</w:t>
      </w:r>
      <w:r w:rsidR="08240343">
        <w:t xml:space="preserve"> realitu</w:t>
      </w:r>
      <w:r w:rsidR="08420197" w:rsidRPr="08420197">
        <w:t xml:space="preserve"> </w:t>
      </w:r>
      <w:r w:rsidR="00C21F6C">
        <w:t>a tím založil</w:t>
      </w:r>
      <w:r w:rsidR="08420197">
        <w:t xml:space="preserve"> současnou epochu antropocénu</w:t>
      </w:r>
      <w:r w:rsidR="009C0433">
        <w:t>.</w:t>
      </w:r>
    </w:p>
    <w:p w14:paraId="252FEA1E" w14:textId="5C32EAA7" w:rsidR="081E5CFF" w:rsidRDefault="087E163B" w:rsidP="009C0433">
      <w:pPr>
        <w:ind w:firstLine="397"/>
      </w:pPr>
      <w:r w:rsidRPr="00273106">
        <w:t xml:space="preserve">Albert jasněji než Alvernus odlišuje ve výsledné aktualizaci poznání skrze </w:t>
      </w:r>
      <w:r w:rsidRPr="00273106">
        <w:rPr>
          <w:i/>
        </w:rPr>
        <w:t>intellectus speculativus</w:t>
      </w:r>
      <w:r>
        <w:rPr>
          <w:i/>
        </w:rPr>
        <w:fldChar w:fldCharType="begin"/>
      </w:r>
      <w:r>
        <w:instrText xml:space="preserve"> XE "</w:instrText>
      </w:r>
      <w:r w:rsidRPr="00E2134B">
        <w:rPr>
          <w:i/>
        </w:rPr>
        <w:instrText>intellectus speculativus:</w:instrText>
      </w:r>
      <w:r w:rsidRPr="00E2134B">
        <w:instrText>A</w:instrText>
      </w:r>
      <w:r>
        <w:instrText xml:space="preserve">lbert" </w:instrText>
      </w:r>
      <w:r>
        <w:rPr>
          <w:i/>
        </w:rPr>
        <w:fldChar w:fldCharType="end"/>
      </w:r>
      <w:r w:rsidRPr="00273106">
        <w:t xml:space="preserve"> jak </w:t>
      </w:r>
      <w:r>
        <w:t>subjektivní</w:t>
      </w:r>
      <w:r w:rsidRPr="00273106">
        <w:t xml:space="preserve"> výkon</w:t>
      </w:r>
      <w:r>
        <w:t xml:space="preserve"> intelektuální schopnosti duše</w:t>
      </w:r>
      <w:r w:rsidRPr="00273106">
        <w:t xml:space="preserve">, tak i </w:t>
      </w:r>
      <w:r>
        <w:t xml:space="preserve">výsledek abstrakce </w:t>
      </w:r>
      <w:r w:rsidRPr="00273106">
        <w:t>produkující univerzální esenci.</w:t>
      </w:r>
      <w:r>
        <w:t xml:space="preserve"> P</w:t>
      </w:r>
      <w:r w:rsidR="086F225A">
        <w:t>olemika</w:t>
      </w:r>
      <w:r w:rsidR="086F225A" w:rsidRPr="00273106">
        <w:t xml:space="preserve"> proti </w:t>
      </w:r>
      <w:r w:rsidR="086F225A">
        <w:t>moderním a</w:t>
      </w:r>
      <w:r w:rsidR="086F225A" w:rsidRPr="00273106">
        <w:t>lexandrovcům</w:t>
      </w:r>
      <w:r w:rsidR="086F225A">
        <w:fldChar w:fldCharType="begin"/>
      </w:r>
      <w:r w:rsidR="086F225A">
        <w:instrText xml:space="preserve"> XE "alexandrovci" </w:instrText>
      </w:r>
      <w:r w:rsidR="086F225A">
        <w:fldChar w:fldCharType="end"/>
      </w:r>
      <w:r w:rsidR="086F225A" w:rsidRPr="00273106">
        <w:t xml:space="preserve"> </w:t>
      </w:r>
      <w:r w:rsidR="086F225A">
        <w:t xml:space="preserve">je inspirována </w:t>
      </w:r>
      <w:r w:rsidR="081E5CFF">
        <w:t xml:space="preserve">podle </w:t>
      </w:r>
      <w:r w:rsidR="086F225A">
        <w:t>CMDA</w:t>
      </w:r>
      <w:r w:rsidR="08A53205">
        <w:t xml:space="preserve"> </w:t>
      </w:r>
      <w:r w:rsidR="08D05979">
        <w:t xml:space="preserve">komentujícího </w:t>
      </w:r>
      <w:r w:rsidR="08A53205" w:rsidRPr="08D05979">
        <w:rPr>
          <w:i/>
        </w:rPr>
        <w:t xml:space="preserve">De anima </w:t>
      </w:r>
      <w:r w:rsidR="08A53205" w:rsidRPr="0091331C">
        <w:t>417b22‒25</w:t>
      </w:r>
      <w:r w:rsidR="08A53205" w:rsidRPr="0091331C">
        <w:fldChar w:fldCharType="begin"/>
      </w:r>
      <w:r w:rsidR="08A53205" w:rsidRPr="0091331C">
        <w:instrText xml:space="preserve"> XE "Aristoteles:</w:instrText>
      </w:r>
      <w:r w:rsidR="08A53205" w:rsidRPr="0091331C">
        <w:rPr>
          <w:i/>
        </w:rPr>
        <w:instrText>De anima</w:instrText>
      </w:r>
      <w:r w:rsidR="08A53205" w:rsidRPr="0091331C">
        <w:instrText xml:space="preserve"> 417b22‒25" </w:instrText>
      </w:r>
      <w:r w:rsidR="08A53205" w:rsidRPr="0091331C">
        <w:fldChar w:fldCharType="end"/>
      </w:r>
      <w:r w:rsidR="081E5CFF">
        <w:t>.</w:t>
      </w:r>
    </w:p>
    <w:p w14:paraId="3A3538F2" w14:textId="77777777" w:rsidR="086F225A" w:rsidRPr="08C2424E" w:rsidRDefault="086F225A" w:rsidP="081E5CFF">
      <w:pPr>
        <w:pStyle w:val="Citace"/>
      </w:pPr>
      <w:r>
        <w:t>„Inte</w:t>
      </w:r>
      <w:r w:rsidR="08FA6153">
        <w:rPr>
          <w:lang w:val="cs-CZ"/>
        </w:rPr>
        <w:t>le</w:t>
      </w:r>
      <w:r>
        <w:t>kt je aktualizován směrem k nejvyšší dokonalosti od univerzálních pojmů a ty jsou v duši (</w:t>
      </w:r>
      <w:r w:rsidRPr="08C2424E">
        <w:rPr>
          <w:i/>
        </w:rPr>
        <w:t>a rebus universalibus, et iste sunt in anima</w:t>
      </w:r>
      <w:r>
        <w:t xml:space="preserve">).  </w:t>
      </w:r>
      <w:r w:rsidR="081E5CFF">
        <w:rPr>
          <w:lang w:val="cs-CZ"/>
        </w:rPr>
        <w:t xml:space="preserve">Aristoteles </w:t>
      </w:r>
      <w:r>
        <w:t xml:space="preserve">řekl, že </w:t>
      </w:r>
      <w:r w:rsidR="08FA6153">
        <w:t>'</w:t>
      </w:r>
      <w:r w:rsidRPr="08FA6153">
        <w:t>tyto pojmy jsou v duši jako věci</w:t>
      </w:r>
      <w:r w:rsidR="08FA6153">
        <w:t>'</w:t>
      </w:r>
      <w:r>
        <w:t xml:space="preserve"> (</w:t>
      </w:r>
      <w:r w:rsidRPr="00DB74F3">
        <w:rPr>
          <w:i/>
        </w:rPr>
        <w:t>iste quasi sunt in anima</w:t>
      </w:r>
      <w:r>
        <w:t xml:space="preserve">). Pak totiž prohlásil, že </w:t>
      </w:r>
      <w:r>
        <w:rPr>
          <w:lang w:val="cs-CZ"/>
        </w:rPr>
        <w:t xml:space="preserve">to </w:t>
      </w:r>
      <w:r>
        <w:t>jsou ta inteligibilia, která jsou v duši v modu prvního završení poznání</w:t>
      </w:r>
      <w:r w:rsidR="08084950">
        <w:rPr>
          <w:lang w:val="cs-CZ"/>
        </w:rPr>
        <w:t>,</w:t>
      </w:r>
      <w:r>
        <w:t xml:space="preserve"> jako jsou sensibilia ve smyslech v modu prvního završení poznání. To, co oba mody poznání aktualizuje, jsou smyslové intence (</w:t>
      </w:r>
      <w:r w:rsidRPr="08C2424E">
        <w:rPr>
          <w:i/>
        </w:rPr>
        <w:t>intentiones ymaginabiles</w:t>
      </w:r>
      <w:r>
        <w:t>) a ty jsou z hlediska univerzality pouze v potenci</w:t>
      </w:r>
      <w:r w:rsidR="08592AA2">
        <w:rPr>
          <w:lang w:val="cs-CZ"/>
        </w:rPr>
        <w:t>,</w:t>
      </w:r>
      <w:r>
        <w:t xml:space="preserve"> a nikoliv v aktualitě. A proto A</w:t>
      </w:r>
      <w:r w:rsidR="081E5CFF">
        <w:rPr>
          <w:lang w:val="cs-CZ"/>
        </w:rPr>
        <w:t>ristoteles</w:t>
      </w:r>
      <w:r>
        <w:t xml:space="preserve"> řekl</w:t>
      </w:r>
      <w:r>
        <w:rPr>
          <w:lang w:val="cs-CZ"/>
        </w:rPr>
        <w:t>,</w:t>
      </w:r>
      <w:r>
        <w:t xml:space="preserve"> že univerální věci jsou v duši jen zdánlivě </w:t>
      </w:r>
      <w:r>
        <w:rPr>
          <w:lang w:val="cs-CZ"/>
        </w:rPr>
        <w:t xml:space="preserve">aktuálně </w:t>
      </w:r>
      <w:r>
        <w:t>(</w:t>
      </w:r>
      <w:r w:rsidRPr="00DB74F3">
        <w:rPr>
          <w:i/>
        </w:rPr>
        <w:t>et iste quasi sunt in anima</w:t>
      </w:r>
      <w:r>
        <w:t>) a odmítl říci, že tam jsou reálně (</w:t>
      </w:r>
      <w:r w:rsidRPr="08C2424E">
        <w:rPr>
          <w:i/>
        </w:rPr>
        <w:t xml:space="preserve">non dixit </w:t>
      </w:r>
      <w:r w:rsidRPr="08C2424E">
        <w:t>sunt</w:t>
      </w:r>
      <w:r>
        <w:t>), protože univerzální intencionalita se liší od smyslové intencionality. A dále řekl: 'A tím člověk může rozumět atd.'“</w:t>
      </w:r>
      <w:r w:rsidR="081E5CFF">
        <w:rPr>
          <w:lang w:val="cs-CZ"/>
        </w:rPr>
        <w:t xml:space="preserve"> </w:t>
      </w:r>
      <w:r w:rsidR="081E5CFF" w:rsidRPr="00273106">
        <w:rPr>
          <w:rStyle w:val="Znakapoznpodarou"/>
        </w:rPr>
        <w:footnoteReference w:id="260"/>
      </w:r>
    </w:p>
    <w:p w14:paraId="26D670A9" w14:textId="75F02ABE" w:rsidR="08495A9D" w:rsidRDefault="087E163B" w:rsidP="00622907">
      <w:r w:rsidRPr="00273106">
        <w:lastRenderedPageBreak/>
        <w:t xml:space="preserve">Jde o klíčovou část komentáře </w:t>
      </w:r>
      <w:r>
        <w:rPr>
          <w:i/>
        </w:rPr>
        <w:t>De anima</w:t>
      </w:r>
      <w:r w:rsidRPr="00273106">
        <w:rPr>
          <w:i/>
        </w:rPr>
        <w:t xml:space="preserve"> III</w:t>
      </w:r>
      <w:r w:rsidRPr="00273106">
        <w:t xml:space="preserve">, v níž se řeší status </w:t>
      </w:r>
      <w:r w:rsidRPr="00273106">
        <w:rPr>
          <w:i/>
        </w:rPr>
        <w:t>quidditas</w:t>
      </w:r>
      <w:r>
        <w:rPr>
          <w:i/>
        </w:rPr>
        <w:fldChar w:fldCharType="begin"/>
      </w:r>
      <w:r>
        <w:instrText xml:space="preserve"> XE "</w:instrText>
      </w:r>
      <w:r>
        <w:rPr>
          <w:i/>
        </w:rPr>
        <w:instrText>quidditas</w:instrText>
      </w:r>
      <w:r>
        <w:instrText xml:space="preserve">" </w:instrText>
      </w:r>
      <w:r>
        <w:rPr>
          <w:i/>
        </w:rPr>
        <w:fldChar w:fldCharType="end"/>
      </w:r>
      <w:r>
        <w:t xml:space="preserve"> podle nasvícení smyslu jsoucna zepředu. </w:t>
      </w:r>
      <w:r w:rsidRPr="00273106">
        <w:t xml:space="preserve">Vzhledem k poznání věci v </w:t>
      </w:r>
      <w:r w:rsidRPr="00273106">
        <w:rPr>
          <w:i/>
        </w:rPr>
        <w:t>intellectus possibilis</w:t>
      </w:r>
      <w:r w:rsidRPr="00273106">
        <w:t xml:space="preserve"> jde o </w:t>
      </w:r>
      <w:r w:rsidRPr="00273106">
        <w:rPr>
          <w:i/>
        </w:rPr>
        <w:t>determinatio</w:t>
      </w:r>
      <w:r w:rsidRPr="00273106">
        <w:t xml:space="preserve"> tohoto pasivního intelektu skrze aktuální věc aktivizující nemateriální intelekt skrze smysly. Podle neoplatoniků vykonává veškerou poznávací činnost oddělený </w:t>
      </w:r>
      <w:r w:rsidRPr="00273106">
        <w:rPr>
          <w:i/>
        </w:rPr>
        <w:t>intellectus agens</w:t>
      </w:r>
      <w:r>
        <w:rPr>
          <w:i/>
        </w:rPr>
        <w:fldChar w:fldCharType="begin"/>
      </w:r>
      <w:r>
        <w:instrText xml:space="preserve"> XE "</w:instrText>
      </w:r>
      <w:r w:rsidRPr="00490D32">
        <w:rPr>
          <w:i/>
        </w:rPr>
        <w:instrText>intellectus agens:</w:instrText>
      </w:r>
      <w:r w:rsidRPr="00490D32">
        <w:instrText>neoplatonismus</w:instrText>
      </w:r>
      <w:r>
        <w:instrText xml:space="preserve">" </w:instrText>
      </w:r>
      <w:r>
        <w:rPr>
          <w:i/>
        </w:rPr>
        <w:fldChar w:fldCharType="end"/>
      </w:r>
      <w:r w:rsidRPr="00273106">
        <w:t xml:space="preserve">, viz popsaný model Avicennova </w:t>
      </w:r>
      <w:r w:rsidRPr="00273106">
        <w:rPr>
          <w:i/>
        </w:rPr>
        <w:t>denudatio</w:t>
      </w:r>
      <w:r w:rsidRPr="00273106">
        <w:t xml:space="preserve"> (</w:t>
      </w:r>
      <w:r w:rsidR="08212ABD">
        <w:t xml:space="preserve">OBJ I, </w:t>
      </w:r>
      <w:r w:rsidRPr="00273106">
        <w:t xml:space="preserve">kap. 2.1.1). </w:t>
      </w:r>
      <w:r>
        <w:t xml:space="preserve">Citát ukazuje, že toto simulákrum averroistů nemá podle správného výkladu CMDA jak existovat, protože Komentátorův výklad nepřipouští neoplatonská jsoucna třetího druhu. </w:t>
      </w:r>
      <w:r w:rsidR="08276096">
        <w:t>Albert odmítl</w:t>
      </w:r>
      <w:r w:rsidRPr="00273106">
        <w:t xml:space="preserve"> </w:t>
      </w:r>
      <w:r w:rsidR="08382C38">
        <w:t xml:space="preserve">v duchu prvního averroismu </w:t>
      </w:r>
      <w:r w:rsidR="08276096">
        <w:t xml:space="preserve">jakoukoliv </w:t>
      </w:r>
      <w:r>
        <w:t xml:space="preserve">substancializaci </w:t>
      </w:r>
      <w:r w:rsidRPr="006B70C8">
        <w:rPr>
          <w:i/>
        </w:rPr>
        <w:t>intellectus possibilis</w:t>
      </w:r>
      <w:r w:rsidR="08276096">
        <w:t>.</w:t>
      </w:r>
      <w:r w:rsidR="0858655B">
        <w:t xml:space="preserve"> </w:t>
      </w:r>
      <w:r w:rsidRPr="00273106">
        <w:t>Algaze</w:t>
      </w:r>
      <w:r w:rsidR="0858655B">
        <w:t xml:space="preserve">l, Avicenna a </w:t>
      </w:r>
      <w:r>
        <w:t xml:space="preserve">Toledská škola </w:t>
      </w:r>
      <w:r w:rsidR="0858655B">
        <w:t xml:space="preserve">definují </w:t>
      </w:r>
      <w:r w:rsidR="0858655B" w:rsidRPr="006B70C8">
        <w:rPr>
          <w:i/>
        </w:rPr>
        <w:t>intellectus possibilis</w:t>
      </w:r>
      <w:r w:rsidR="0858655B">
        <w:rPr>
          <w:i/>
        </w:rPr>
        <w:t xml:space="preserve"> </w:t>
      </w:r>
      <w:r w:rsidR="08DE58BD">
        <w:t xml:space="preserve">jako substanci </w:t>
      </w:r>
      <w:r>
        <w:t>a Akvinský</w:t>
      </w:r>
      <w:r w:rsidR="08DE58BD">
        <w:t xml:space="preserve"> </w:t>
      </w:r>
      <w:r w:rsidR="0858655B">
        <w:t>jej považuje za kvazi-nezávislou formu v duši</w:t>
      </w:r>
      <w:r w:rsidR="08465DF5">
        <w:t>. H</w:t>
      </w:r>
      <w:r w:rsidR="08465DF5" w:rsidRPr="00273106">
        <w:t xml:space="preserve">ermeneutika zařadila </w:t>
      </w:r>
      <w:r w:rsidR="08A66C7F">
        <w:t xml:space="preserve">tak či onak </w:t>
      </w:r>
      <w:r w:rsidR="08465DF5">
        <w:t xml:space="preserve">hypostázovaný intelekt </w:t>
      </w:r>
      <w:r w:rsidRPr="00273106">
        <w:t xml:space="preserve">do </w:t>
      </w:r>
      <w:r w:rsidR="00FA7D3E">
        <w:t xml:space="preserve">schématu </w:t>
      </w:r>
      <w:r w:rsidRPr="00273106">
        <w:t>nasvícení jsoucna zezadu</w:t>
      </w:r>
      <w:r>
        <w:t>.</w:t>
      </w:r>
      <w:r w:rsidR="08DE58BD">
        <w:t xml:space="preserve"> </w:t>
      </w:r>
      <w:r w:rsidR="08E35C58">
        <w:t xml:space="preserve">Albertova kritika modernistů se týká již uvedeného sporu o Avicebronovo tvrzení, že možný intelekt je univerzální jako materie. </w:t>
      </w:r>
      <w:r w:rsidR="00221596" w:rsidRPr="00273106">
        <w:t xml:space="preserve">Důsledek transformace </w:t>
      </w:r>
      <w:r w:rsidR="00221596" w:rsidRPr="00273106">
        <w:rPr>
          <w:i/>
        </w:rPr>
        <w:t>intellectus possibilis</w:t>
      </w:r>
      <w:r w:rsidR="00221596" w:rsidRPr="00273106">
        <w:t xml:space="preserve"> na </w:t>
      </w:r>
      <w:r w:rsidR="00221596" w:rsidRPr="00273106">
        <w:rPr>
          <w:i/>
        </w:rPr>
        <w:t>intellectus materialis</w:t>
      </w:r>
      <w:r w:rsidR="08DE18BB">
        <w:t xml:space="preserve"> moderních a</w:t>
      </w:r>
      <w:r w:rsidR="00221596" w:rsidRPr="00273106">
        <w:t>lexandrovců</w:t>
      </w:r>
      <w:r w:rsidR="00955903">
        <w:fldChar w:fldCharType="begin"/>
      </w:r>
      <w:r w:rsidR="00955903">
        <w:instrText xml:space="preserve"> XE "</w:instrText>
      </w:r>
      <w:r w:rsidR="08DE18BB">
        <w:instrText>alexandrovci</w:instrText>
      </w:r>
      <w:r w:rsidR="00955903">
        <w:instrText xml:space="preserve">" </w:instrText>
      </w:r>
      <w:r w:rsidR="00955903">
        <w:fldChar w:fldCharType="end"/>
      </w:r>
      <w:r w:rsidR="00221596" w:rsidRPr="00273106">
        <w:t xml:space="preserve"> na sebe nedal dlouho čekat. </w:t>
      </w:r>
      <w:r w:rsidR="00192B41" w:rsidRPr="00273106">
        <w:t xml:space="preserve">V období 1240‒50 vznikla </w:t>
      </w:r>
      <w:r w:rsidR="00221596" w:rsidRPr="00273106">
        <w:t>celá řada rozporů, které budou charakt</w:t>
      </w:r>
      <w:r w:rsidR="08B200BE">
        <w:t>erizovat pozdější spory o averroismus</w:t>
      </w:r>
      <w:r w:rsidR="009B675B" w:rsidRPr="00273106">
        <w:t xml:space="preserve">. </w:t>
      </w:r>
      <w:r w:rsidR="00E347D0" w:rsidRPr="00273106">
        <w:t>Vyjmenujme alespoň některá dilemata</w:t>
      </w:r>
      <w:r w:rsidR="006B05F9" w:rsidRPr="00273106">
        <w:t xml:space="preserve">, která </w:t>
      </w:r>
      <w:r w:rsidR="00DA193F" w:rsidRPr="00273106">
        <w:t xml:space="preserve">Albert </w:t>
      </w:r>
      <w:r w:rsidR="00257E50" w:rsidRPr="00273106">
        <w:t xml:space="preserve">a </w:t>
      </w:r>
      <w:r w:rsidR="001F013F">
        <w:t xml:space="preserve">po něm i </w:t>
      </w:r>
      <w:r w:rsidR="00257E50" w:rsidRPr="00273106">
        <w:t xml:space="preserve">Akvinský </w:t>
      </w:r>
      <w:r w:rsidR="00991A43" w:rsidRPr="00273106">
        <w:t xml:space="preserve">v </w:t>
      </w:r>
      <w:r w:rsidR="006B05F9" w:rsidRPr="00273106">
        <w:t xml:space="preserve">následující </w:t>
      </w:r>
      <w:r w:rsidR="00991A43" w:rsidRPr="00273106">
        <w:t xml:space="preserve">dekádě po 1250 </w:t>
      </w:r>
      <w:r w:rsidR="00257E50" w:rsidRPr="00273106">
        <w:t>přičítají</w:t>
      </w:r>
      <w:r w:rsidR="00DA193F" w:rsidRPr="00273106">
        <w:t xml:space="preserve"> skupině </w:t>
      </w:r>
      <w:r w:rsidR="08B21327">
        <w:t xml:space="preserve">oxfordských a </w:t>
      </w:r>
      <w:r w:rsidR="00BD6AAA">
        <w:t xml:space="preserve">pařížských </w:t>
      </w:r>
      <w:r w:rsidR="002F09C6">
        <w:t xml:space="preserve">modernistů </w:t>
      </w:r>
      <w:r w:rsidR="00BD6AAA">
        <w:t>zvaných</w:t>
      </w:r>
      <w:r w:rsidR="001F013F">
        <w:t xml:space="preserve"> </w:t>
      </w:r>
      <w:r w:rsidR="00DA193F" w:rsidRPr="00273106">
        <w:rPr>
          <w:i/>
        </w:rPr>
        <w:t>Averroistae</w:t>
      </w:r>
      <w:r w:rsidR="00226D12">
        <w:rPr>
          <w:i/>
        </w:rPr>
        <w:fldChar w:fldCharType="begin"/>
      </w:r>
      <w:r w:rsidR="00226D12">
        <w:instrText xml:space="preserve"> XE "</w:instrText>
      </w:r>
      <w:r w:rsidR="008011F3">
        <w:instrText>druhý averroismus:</w:instrText>
      </w:r>
      <w:r w:rsidR="00226D12" w:rsidRPr="00851DB4">
        <w:rPr>
          <w:i/>
          <w:lang w:eastAsia="en-US"/>
        </w:rPr>
        <w:instrText>Averroistae</w:instrText>
      </w:r>
      <w:r w:rsidR="00226D12">
        <w:instrText xml:space="preserve">" </w:instrText>
      </w:r>
      <w:r w:rsidR="00226D12">
        <w:rPr>
          <w:i/>
        </w:rPr>
        <w:fldChar w:fldCharType="end"/>
      </w:r>
      <w:r w:rsidR="00E347D0" w:rsidRPr="00273106">
        <w:t xml:space="preserve">. </w:t>
      </w:r>
      <w:r w:rsidR="08B200BE" w:rsidRPr="00273106">
        <w:t xml:space="preserve">Látka se v podání učených </w:t>
      </w:r>
      <w:r w:rsidR="08B200BE" w:rsidRPr="00273106">
        <w:rPr>
          <w:i/>
        </w:rPr>
        <w:t>Latinorum</w:t>
      </w:r>
      <w:r w:rsidR="08B200BE" w:rsidRPr="00273106">
        <w:t xml:space="preserve"> stala rodem a funguje mimo hyleformickou složeninu v systému moderních transcendentálií daných jako </w:t>
      </w:r>
      <w:r w:rsidR="08B200BE" w:rsidRPr="00273106">
        <w:rPr>
          <w:i/>
        </w:rPr>
        <w:t>tertium ens</w:t>
      </w:r>
      <w:r w:rsidR="08B200BE">
        <w:rPr>
          <w:i/>
        </w:rPr>
        <w:fldChar w:fldCharType="begin"/>
      </w:r>
      <w:r w:rsidR="08B200BE">
        <w:instrText xml:space="preserve"> XE "</w:instrText>
      </w:r>
      <w:r w:rsidR="08B200BE" w:rsidRPr="002F10B4">
        <w:rPr>
          <w:rStyle w:val="Zvraznn"/>
        </w:rPr>
        <w:instrText>tertium ens</w:instrText>
      </w:r>
      <w:r w:rsidR="08B200BE" w:rsidRPr="00925E3D">
        <w:rPr>
          <w:rStyle w:val="Zvraznn"/>
          <w:i w:val="0"/>
        </w:rPr>
        <w:instrText>:materie</w:instrText>
      </w:r>
      <w:r w:rsidR="08B200BE">
        <w:instrText xml:space="preserve">" </w:instrText>
      </w:r>
      <w:r w:rsidR="08B200BE">
        <w:rPr>
          <w:i/>
        </w:rPr>
        <w:fldChar w:fldCharType="end"/>
      </w:r>
      <w:r w:rsidR="08B200BE" w:rsidRPr="00273106">
        <w:t xml:space="preserve">. </w:t>
      </w:r>
      <w:r w:rsidR="08B20763">
        <w:t>Z</w:t>
      </w:r>
      <w:r w:rsidR="08B200BE" w:rsidRPr="00273106">
        <w:t>mizel rozdíl mezi myšleným a reálným jsoucnem</w:t>
      </w:r>
      <w:r w:rsidR="08B20763">
        <w:t xml:space="preserve"> a s</w:t>
      </w:r>
      <w:r w:rsidR="08FF226C">
        <w:t>vět mo</w:t>
      </w:r>
      <w:r w:rsidR="08185BA2">
        <w:t xml:space="preserve">dernistů se stal jedním velkým </w:t>
      </w:r>
      <w:r w:rsidR="08FF226C">
        <w:t xml:space="preserve">sofistickým </w:t>
      </w:r>
      <w:r w:rsidR="08185BA2">
        <w:t>simulákrem dnes vytvářeným virtuálními manipulacemi reality</w:t>
      </w:r>
      <w:r w:rsidR="08B200BE" w:rsidRPr="00273106">
        <w:t xml:space="preserve">. </w:t>
      </w:r>
      <w:r w:rsidR="00DA68AF">
        <w:t xml:space="preserve">Averroistický </w:t>
      </w:r>
      <w:r w:rsidR="00221596" w:rsidRPr="00273106">
        <w:rPr>
          <w:i/>
        </w:rPr>
        <w:t>intellectus possibilis</w:t>
      </w:r>
      <w:r w:rsidR="08B20763">
        <w:t xml:space="preserve"> </w:t>
      </w:r>
      <w:r w:rsidR="00DA68AF">
        <w:t>se stal substancí třetího druhu a zničil substanční jednotu osoby</w:t>
      </w:r>
      <w:r w:rsidR="00E347D0" w:rsidRPr="00273106">
        <w:t xml:space="preserve">. </w:t>
      </w:r>
      <w:r w:rsidR="08B200BE" w:rsidRPr="00273106">
        <w:t>Vznikl karteziánský dualismu</w:t>
      </w:r>
      <w:r w:rsidR="08B20763">
        <w:t xml:space="preserve">s mezi substanční duší a tělem </w:t>
      </w:r>
      <w:r w:rsidR="08B200BE" w:rsidRPr="00273106">
        <w:t xml:space="preserve">a dále mezi smyslovým a rozumovým poznáním. </w:t>
      </w:r>
      <w:r w:rsidR="08C449BA">
        <w:t xml:space="preserve">Moderna řeší v systému porretánského nebo postmoderního </w:t>
      </w:r>
      <w:r w:rsidR="08C449BA" w:rsidRPr="006E26E8">
        <w:rPr>
          <w:i/>
        </w:rPr>
        <w:t>colligatio</w:t>
      </w:r>
      <w:r w:rsidR="08C449BA">
        <w:t xml:space="preserve"> </w:t>
      </w:r>
      <w:r w:rsidR="08C449BA" w:rsidRPr="00273106">
        <w:t xml:space="preserve">vztah dvou </w:t>
      </w:r>
      <w:r w:rsidR="08C449BA">
        <w:t>substancí, těla a mysli, nikoliv aktuální výkon myšlení a poznání daný dvojí intencionalitou smyslů a intelektu</w:t>
      </w:r>
      <w:r w:rsidR="08C449BA" w:rsidRPr="00273106">
        <w:t xml:space="preserve">. </w:t>
      </w:r>
      <w:r w:rsidR="089B3EDB">
        <w:t>D</w:t>
      </w:r>
      <w:r w:rsidR="089B3EDB" w:rsidRPr="00273106">
        <w:t>ruhý averro</w:t>
      </w:r>
      <w:r w:rsidR="089B3EDB">
        <w:t xml:space="preserve">ismus vyjádřený v postmoderním </w:t>
      </w:r>
      <w:r w:rsidR="089B3EDB">
        <w:rPr>
          <w:i/>
        </w:rPr>
        <w:t>Mind‒</w:t>
      </w:r>
      <w:r w:rsidR="089B3EDB" w:rsidRPr="00273106">
        <w:rPr>
          <w:i/>
        </w:rPr>
        <w:t>Body Problem</w:t>
      </w:r>
      <w:r w:rsidR="089B3EDB">
        <w:rPr>
          <w:i/>
        </w:rPr>
        <w:fldChar w:fldCharType="begin"/>
      </w:r>
      <w:r w:rsidR="089B3EDB">
        <w:instrText xml:space="preserve"> XE "</w:instrText>
      </w:r>
      <w:r w:rsidR="089B3EDB">
        <w:rPr>
          <w:i/>
        </w:rPr>
        <w:instrText>Mind</w:instrText>
      </w:r>
      <w:r w:rsidR="089B3EDB">
        <w:rPr>
          <w:rFonts w:cs="Calibri"/>
          <w:i/>
        </w:rPr>
        <w:instrText>–</w:instrText>
      </w:r>
      <w:r w:rsidR="089B3EDB" w:rsidRPr="00FA70AD">
        <w:rPr>
          <w:i/>
        </w:rPr>
        <w:instrText>Body Problem</w:instrText>
      </w:r>
      <w:r w:rsidR="089B3EDB">
        <w:instrText xml:space="preserve">" </w:instrText>
      </w:r>
      <w:r w:rsidR="089B3EDB">
        <w:rPr>
          <w:i/>
        </w:rPr>
        <w:fldChar w:fldCharType="end"/>
      </w:r>
      <w:r w:rsidR="00622907">
        <w:t xml:space="preserve">, který tvoří </w:t>
      </w:r>
      <w:r w:rsidR="089B3EDB">
        <w:t>dnešní matrixový svět mediálních simuláker</w:t>
      </w:r>
      <w:r w:rsidR="00622907">
        <w:t>. Takové „</w:t>
      </w:r>
      <w:r w:rsidR="00622907" w:rsidRPr="00622907">
        <w:rPr>
          <w:i/>
        </w:rPr>
        <w:t>colligatio</w:t>
      </w:r>
      <w:r w:rsidR="00622907">
        <w:t>“ či „</w:t>
      </w:r>
      <w:r w:rsidR="00622907" w:rsidRPr="00622907">
        <w:rPr>
          <w:i/>
        </w:rPr>
        <w:t>copulatio</w:t>
      </w:r>
      <w:r w:rsidR="00622907">
        <w:t xml:space="preserve">“ dvou nekompatibilních </w:t>
      </w:r>
      <w:r w:rsidR="00622907" w:rsidRPr="00622907">
        <w:t xml:space="preserve">substancí </w:t>
      </w:r>
      <w:r w:rsidR="00622907">
        <w:t xml:space="preserve">nezakládá </w:t>
      </w:r>
      <w:r w:rsidR="00622907" w:rsidRPr="00622907">
        <w:t xml:space="preserve">adekvátní vztah mezi smysly a intelektem na úrovni </w:t>
      </w:r>
      <w:r w:rsidR="00622907" w:rsidRPr="00622907">
        <w:lastRenderedPageBreak/>
        <w:t>účinné a formální kauzality.</w:t>
      </w:r>
      <w:r w:rsidR="00622907">
        <w:t xml:space="preserve"> </w:t>
      </w:r>
      <w:r w:rsidR="089B3EDB" w:rsidRPr="00273106">
        <w:t xml:space="preserve">Moderní intencionalita </w:t>
      </w:r>
      <w:r w:rsidR="00622907">
        <w:t xml:space="preserve">daná </w:t>
      </w:r>
      <w:r w:rsidR="089B3EDB" w:rsidRPr="00273106">
        <w:t xml:space="preserve">skrze Grossetesteho </w:t>
      </w:r>
      <w:r w:rsidR="089B3EDB" w:rsidRPr="00273106">
        <w:rPr>
          <w:i/>
        </w:rPr>
        <w:t>intellectus</w:t>
      </w:r>
      <w:r w:rsidR="089B3EDB" w:rsidRPr="00273106">
        <w:t xml:space="preserve"> a skrze Husserlovu </w:t>
      </w:r>
      <w:r w:rsidR="089B3EDB" w:rsidRPr="00273106">
        <w:rPr>
          <w:i/>
        </w:rPr>
        <w:t>Wesensschau</w:t>
      </w:r>
      <w:r w:rsidR="089B3EDB">
        <w:rPr>
          <w:i/>
        </w:rPr>
        <w:fldChar w:fldCharType="begin"/>
      </w:r>
      <w:r w:rsidR="089B3EDB">
        <w:instrText xml:space="preserve"> XE "</w:instrText>
      </w:r>
      <w:r w:rsidR="089B3EDB" w:rsidRPr="007202D0">
        <w:rPr>
          <w:i/>
        </w:rPr>
        <w:instrText>Wesensschau</w:instrText>
      </w:r>
      <w:r w:rsidR="089B3EDB">
        <w:instrText xml:space="preserve">" </w:instrText>
      </w:r>
      <w:r w:rsidR="089B3EDB">
        <w:rPr>
          <w:i/>
        </w:rPr>
        <w:fldChar w:fldCharType="end"/>
      </w:r>
      <w:r w:rsidR="089B3EDB" w:rsidRPr="00273106">
        <w:t xml:space="preserve"> produkuje v kreativní mysli</w:t>
      </w:r>
      <w:r w:rsidR="083B464B">
        <w:t xml:space="preserve"> modernistů univoční porretánskou</w:t>
      </w:r>
      <w:r w:rsidR="089B3EDB" w:rsidRPr="00273106">
        <w:t xml:space="preserve"> </w:t>
      </w:r>
      <w:r w:rsidR="002E30FF" w:rsidRPr="002E30FF">
        <w:t>species</w:t>
      </w:r>
      <w:r w:rsidR="089B3EDB" w:rsidRPr="00273106">
        <w:t xml:space="preserve"> či postmoderní </w:t>
      </w:r>
      <w:r w:rsidR="089B3EDB" w:rsidRPr="083B464B">
        <w:rPr>
          <w:i/>
        </w:rPr>
        <w:t>eidos</w:t>
      </w:r>
      <w:r w:rsidR="089B3EDB" w:rsidRPr="00273106">
        <w:t xml:space="preserve">, v němž splývá realita první substance s jejím poznáním. </w:t>
      </w:r>
      <w:r w:rsidR="089471BC">
        <w:t>Moderní s</w:t>
      </w:r>
      <w:r w:rsidR="089471BC" w:rsidRPr="00273106">
        <w:t xml:space="preserve">ofisté zrušili pravdu jako </w:t>
      </w:r>
      <w:r w:rsidR="089471BC">
        <w:t>Averroes</w:t>
      </w:r>
      <w:r w:rsidR="089471BC" w:rsidRPr="00273106">
        <w:t xml:space="preserve">ovo </w:t>
      </w:r>
      <w:r w:rsidR="089471BC" w:rsidRPr="00273106">
        <w:rPr>
          <w:i/>
        </w:rPr>
        <w:t>proportio</w:t>
      </w:r>
      <w:r w:rsidR="089471BC" w:rsidRPr="00273106">
        <w:t xml:space="preserve"> intelektu dané vzhledem ke kauzalitě externí věci. </w:t>
      </w:r>
      <w:r w:rsidR="08BA1FC2">
        <w:t>Z</w:t>
      </w:r>
      <w:r w:rsidR="08C449BA">
        <w:t>mizelo aristotelské pojetí pravdy jako adekvace a nas</w:t>
      </w:r>
      <w:r w:rsidR="08A359A0">
        <w:t>toupilo moderní pojetí</w:t>
      </w:r>
      <w:r w:rsidR="08C449BA">
        <w:t xml:space="preserve"> pr</w:t>
      </w:r>
      <w:r w:rsidR="08C2177E">
        <w:t>avdy jako asimiliace všech dostu</w:t>
      </w:r>
      <w:r w:rsidR="08C449BA">
        <w:t>pných jsoucen třetího druhu</w:t>
      </w:r>
      <w:r w:rsidR="08214933">
        <w:t xml:space="preserve">. Tato porretánská </w:t>
      </w:r>
      <w:r w:rsidR="002E30FF" w:rsidRPr="002E30FF">
        <w:t>species</w:t>
      </w:r>
      <w:r w:rsidR="08214933">
        <w:t xml:space="preserve"> jsou lokalizována</w:t>
      </w:r>
      <w:r w:rsidR="08A359A0">
        <w:t xml:space="preserve"> v augustiniánské paměti třetího druhu (</w:t>
      </w:r>
      <w:r w:rsidR="08A359A0" w:rsidRPr="08A359A0">
        <w:rPr>
          <w:i/>
        </w:rPr>
        <w:t>locus specierum</w:t>
      </w:r>
      <w:r w:rsidR="08A359A0">
        <w:rPr>
          <w:i/>
        </w:rPr>
        <w:fldChar w:fldCharType="begin"/>
      </w:r>
      <w:r w:rsidR="08A359A0">
        <w:instrText xml:space="preserve"> XE "</w:instrText>
      </w:r>
      <w:r w:rsidR="08A359A0" w:rsidRPr="08283267">
        <w:rPr>
          <w:i/>
        </w:rPr>
        <w:instrText>locus specierum</w:instrText>
      </w:r>
      <w:r w:rsidR="08A359A0">
        <w:instrText xml:space="preserve">" </w:instrText>
      </w:r>
      <w:r w:rsidR="08A359A0">
        <w:rPr>
          <w:i/>
        </w:rPr>
        <w:fldChar w:fldCharType="end"/>
      </w:r>
      <w:r w:rsidR="08214933">
        <w:t>) a d</w:t>
      </w:r>
      <w:r w:rsidR="08C449BA">
        <w:t xml:space="preserve">nes </w:t>
      </w:r>
      <w:r w:rsidR="08A359A0">
        <w:t xml:space="preserve">jsou </w:t>
      </w:r>
      <w:r w:rsidR="08C449BA">
        <w:t>uskladněn</w:t>
      </w:r>
      <w:r w:rsidR="08A359A0">
        <w:t>y</w:t>
      </w:r>
      <w:r w:rsidR="08C449BA">
        <w:t xml:space="preserve"> </w:t>
      </w:r>
      <w:r w:rsidR="08C2177E">
        <w:t>a m</w:t>
      </w:r>
      <w:r w:rsidR="089B3EDB">
        <w:t>an</w:t>
      </w:r>
      <w:r w:rsidR="08C2177E">
        <w:t>ipu</w:t>
      </w:r>
      <w:r w:rsidR="08A359A0">
        <w:t>lová</w:t>
      </w:r>
      <w:r w:rsidR="08C449BA">
        <w:t>n</w:t>
      </w:r>
      <w:r w:rsidR="08A359A0">
        <w:t>y</w:t>
      </w:r>
      <w:r w:rsidR="08C449BA">
        <w:t xml:space="preserve"> v cloudových databázích</w:t>
      </w:r>
      <w:r w:rsidR="082B0126">
        <w:rPr>
          <w:i/>
          <w:iCs/>
        </w:rPr>
        <w:fldChar w:fldCharType="begin"/>
      </w:r>
      <w:r w:rsidR="082B0126">
        <w:instrText xml:space="preserve"> XE "</w:instrText>
      </w:r>
      <w:r w:rsidR="082B0126" w:rsidRPr="00E1232A">
        <w:rPr>
          <w:i/>
        </w:rPr>
        <w:instrText>cloud computing</w:instrText>
      </w:r>
      <w:r w:rsidR="082B0126">
        <w:instrText xml:space="preserve">" </w:instrText>
      </w:r>
      <w:r w:rsidR="082B0126">
        <w:rPr>
          <w:i/>
          <w:iCs/>
        </w:rPr>
        <w:fldChar w:fldCharType="end"/>
      </w:r>
      <w:r w:rsidR="08C449BA">
        <w:t xml:space="preserve">. </w:t>
      </w:r>
      <w:r w:rsidR="009B1432" w:rsidRPr="00273106">
        <w:t xml:space="preserve">Moderní pojetí </w:t>
      </w:r>
      <w:r w:rsidR="009B1432">
        <w:t xml:space="preserve">hypostázovaného </w:t>
      </w:r>
      <w:r w:rsidR="009B1432" w:rsidRPr="00752AB2">
        <w:rPr>
          <w:i/>
        </w:rPr>
        <w:t>intellectus agens</w:t>
      </w:r>
      <w:r w:rsidR="009B1432">
        <w:rPr>
          <w:i/>
        </w:rPr>
        <w:fldChar w:fldCharType="begin"/>
      </w:r>
      <w:r w:rsidR="009B1432">
        <w:instrText xml:space="preserve"> XE "</w:instrText>
      </w:r>
      <w:r w:rsidR="009B1432" w:rsidRPr="00490D32">
        <w:rPr>
          <w:i/>
        </w:rPr>
        <w:instrText>intellectus agens:</w:instrText>
      </w:r>
      <w:r w:rsidR="009B1432" w:rsidRPr="00490D32">
        <w:instrText>neoplatonismus</w:instrText>
      </w:r>
      <w:r w:rsidR="009B1432">
        <w:instrText xml:space="preserve">" </w:instrText>
      </w:r>
      <w:r w:rsidR="009B1432">
        <w:rPr>
          <w:i/>
        </w:rPr>
        <w:fldChar w:fldCharType="end"/>
      </w:r>
      <w:r w:rsidR="009B1432">
        <w:t xml:space="preserve"> </w:t>
      </w:r>
      <w:r w:rsidR="009B1432" w:rsidRPr="00273106">
        <w:t xml:space="preserve">poznatek primárně </w:t>
      </w:r>
      <w:r w:rsidR="009B1432">
        <w:t xml:space="preserve">nazírá </w:t>
      </w:r>
      <w:r w:rsidR="009B1432" w:rsidRPr="00273106">
        <w:t>v mysli</w:t>
      </w:r>
      <w:r w:rsidR="08A97447">
        <w:t xml:space="preserve"> a v databázích</w:t>
      </w:r>
      <w:r w:rsidR="009B1432" w:rsidRPr="00273106">
        <w:t xml:space="preserve">, místo aby jej </w:t>
      </w:r>
      <w:r w:rsidR="009B1432">
        <w:t xml:space="preserve">nejprve pasivně </w:t>
      </w:r>
      <w:r w:rsidR="009B1432" w:rsidRPr="00273106">
        <w:t>přijímalo z vnější reality</w:t>
      </w:r>
      <w:r w:rsidR="009B1432">
        <w:t xml:space="preserve"> skrze</w:t>
      </w:r>
      <w:r w:rsidR="001F1539">
        <w:t xml:space="preserve"> intencionalitu</w:t>
      </w:r>
      <w:r w:rsidR="009B1432" w:rsidRPr="00273106">
        <w:t xml:space="preserve">. </w:t>
      </w:r>
      <w:r w:rsidR="08BA1FC2">
        <w:t>Epochálním seskupením těchto omylů v</w:t>
      </w:r>
      <w:r w:rsidR="00E0561B">
        <w:t xml:space="preserve">znikla paranoia </w:t>
      </w:r>
      <w:r w:rsidR="08BA1FC2">
        <w:t xml:space="preserve">moderního </w:t>
      </w:r>
      <w:r w:rsidR="00E0561B">
        <w:t>intelektu, který přímo nazírá neexistující substance</w:t>
      </w:r>
      <w:r w:rsidR="00A70FA4">
        <w:fldChar w:fldCharType="begin"/>
      </w:r>
      <w:r w:rsidR="00A70FA4">
        <w:instrText xml:space="preserve"> XE "</w:instrText>
      </w:r>
      <w:r w:rsidR="00A70FA4" w:rsidRPr="00DE2A32">
        <w:instrText>substance</w:instrText>
      </w:r>
      <w:r w:rsidR="00517A44">
        <w:instrText>:třetího druhu</w:instrText>
      </w:r>
      <w:r w:rsidR="00A70FA4">
        <w:instrText xml:space="preserve">" </w:instrText>
      </w:r>
      <w:r w:rsidR="00A70FA4">
        <w:fldChar w:fldCharType="end"/>
      </w:r>
      <w:r w:rsidR="00E0561B">
        <w:t xml:space="preserve"> třetího druhu</w:t>
      </w:r>
      <w:r w:rsidR="001D5428">
        <w:t>, což do karteziánské postmoderny poprvé zavedl Arnauld (</w:t>
      </w:r>
      <w:r w:rsidR="08EC2147">
        <w:t xml:space="preserve">OBJ I, </w:t>
      </w:r>
      <w:r w:rsidR="001D5428">
        <w:t>kap. 2.4.4)</w:t>
      </w:r>
      <w:r w:rsidR="0809455A">
        <w:t xml:space="preserve">. </w:t>
      </w:r>
      <w:r w:rsidR="08024DC4">
        <w:t>V</w:t>
      </w:r>
      <w:r w:rsidR="08024DC4" w:rsidRPr="00273106">
        <w:t>inou univočně pojaté materie třetího druhu</w:t>
      </w:r>
      <w:r w:rsidR="08024DC4">
        <w:t xml:space="preserve">, neexistujícího diafanum, špatně pochopené intencionality a chybné definici </w:t>
      </w:r>
      <w:r w:rsidR="002E30FF" w:rsidRPr="002E30FF">
        <w:t>species</w:t>
      </w:r>
      <w:r w:rsidR="08024DC4">
        <w:t xml:space="preserve"> jako porretánských hypostází</w:t>
      </w:r>
      <w:r w:rsidR="08024DC4" w:rsidRPr="00273106">
        <w:t xml:space="preserve"> </w:t>
      </w:r>
      <w:r w:rsidR="08024DC4">
        <w:t>se m</w:t>
      </w:r>
      <w:r w:rsidR="00F12081" w:rsidRPr="00273106">
        <w:t xml:space="preserve">oderní </w:t>
      </w:r>
      <w:r w:rsidR="00F12081" w:rsidRPr="00273106">
        <w:rPr>
          <w:i/>
        </w:rPr>
        <w:t>intellectus possibilis</w:t>
      </w:r>
      <w:r w:rsidR="08024DC4">
        <w:t xml:space="preserve"> stal</w:t>
      </w:r>
      <w:r w:rsidR="00F12081" w:rsidRPr="00273106">
        <w:t xml:space="preserve"> kvazi-substancí</w:t>
      </w:r>
      <w:r w:rsidR="08024DC4">
        <w:t xml:space="preserve">. </w:t>
      </w:r>
      <w:r w:rsidR="08B30D9C">
        <w:t xml:space="preserve">Osoby se změnila na </w:t>
      </w:r>
      <w:r w:rsidR="0809455A">
        <w:t xml:space="preserve">simulákrum </w:t>
      </w:r>
      <w:r w:rsidR="0809455A">
        <w:fldChar w:fldCharType="begin"/>
      </w:r>
      <w:r w:rsidR="0809455A">
        <w:instrText xml:space="preserve"> XE "</w:instrText>
      </w:r>
      <w:r w:rsidR="0809455A" w:rsidRPr="00C31C7E">
        <w:instrText>intelekt:paranoický</w:instrText>
      </w:r>
      <w:r w:rsidR="0809455A">
        <w:instrText xml:space="preserve">" </w:instrText>
      </w:r>
      <w:r w:rsidR="0809455A">
        <w:fldChar w:fldCharType="end"/>
      </w:r>
      <w:r w:rsidR="08B30D9C">
        <w:t>ro</w:t>
      </w:r>
      <w:r w:rsidR="0809455A">
        <w:t xml:space="preserve">zdělené na několik nezávislých substancí. </w:t>
      </w:r>
      <w:r w:rsidR="08024DC4">
        <w:t xml:space="preserve">A toto simulákrum </w:t>
      </w:r>
      <w:r w:rsidR="0809455A">
        <w:t>osoby je spojen</w:t>
      </w:r>
      <w:r w:rsidR="08770829">
        <w:t>é v modu moderní nebo postmodern</w:t>
      </w:r>
      <w:r w:rsidR="0809455A">
        <w:t xml:space="preserve">í kopulace </w:t>
      </w:r>
      <w:r w:rsidR="08D204BC">
        <w:t xml:space="preserve">intelektu s tělem </w:t>
      </w:r>
      <w:r w:rsidR="0809455A">
        <w:t xml:space="preserve">do </w:t>
      </w:r>
      <w:r w:rsidR="083E30D1">
        <w:t xml:space="preserve">jednoho schizofrenického </w:t>
      </w:r>
      <w:r w:rsidR="0809455A">
        <w:t xml:space="preserve">subjektu. </w:t>
      </w:r>
      <w:r w:rsidR="08B92495">
        <w:t>Tento z</w:t>
      </w:r>
      <w:r w:rsidR="08770829">
        <w:t xml:space="preserve">ápadní </w:t>
      </w:r>
      <w:r w:rsidR="08B92495">
        <w:t xml:space="preserve">moderní </w:t>
      </w:r>
      <w:r w:rsidR="08770829">
        <w:t>s</w:t>
      </w:r>
      <w:r w:rsidR="0809455A">
        <w:t xml:space="preserve">ubjekt </w:t>
      </w:r>
      <w:r w:rsidR="08770829">
        <w:t xml:space="preserve">vytvořený v modu </w:t>
      </w:r>
      <w:r w:rsidR="08770829" w:rsidRPr="08770829">
        <w:rPr>
          <w:i/>
        </w:rPr>
        <w:t>colligatio</w:t>
      </w:r>
      <w:r w:rsidR="08770829">
        <w:t xml:space="preserve"> </w:t>
      </w:r>
      <w:r w:rsidR="083E30D1">
        <w:t>představuje největší kapitál moderny</w:t>
      </w:r>
      <w:r w:rsidR="08921ABE">
        <w:t xml:space="preserve">, protože si </w:t>
      </w:r>
      <w:r w:rsidR="08BC450E">
        <w:t xml:space="preserve">mocensky </w:t>
      </w:r>
      <w:r w:rsidR="08921ABE">
        <w:t xml:space="preserve">podrobil svět a </w:t>
      </w:r>
      <w:r w:rsidR="08BC450E">
        <w:t xml:space="preserve">přitom </w:t>
      </w:r>
      <w:r w:rsidR="08921ABE">
        <w:t>zabil i moderního boha</w:t>
      </w:r>
      <w:r w:rsidR="08191582">
        <w:fldChar w:fldCharType="begin"/>
      </w:r>
      <w:r w:rsidR="08191582">
        <w:instrText xml:space="preserve"> XE "</w:instrText>
      </w:r>
      <w:r w:rsidR="08191582" w:rsidRPr="08CA3A16">
        <w:instrText>smrt boha</w:instrText>
      </w:r>
      <w:r w:rsidR="08191582">
        <w:instrText xml:space="preserve">" </w:instrText>
      </w:r>
      <w:r w:rsidR="08191582">
        <w:fldChar w:fldCharType="end"/>
      </w:r>
      <w:r w:rsidR="08921ABE">
        <w:t>, kterého vytvořil Avicenna</w:t>
      </w:r>
      <w:r w:rsidR="00E8718D">
        <w:t xml:space="preserve">. Kolaterálním škodám se bohužel nelze vyhnout. </w:t>
      </w:r>
      <w:r w:rsidR="083E30D1">
        <w:t xml:space="preserve">Schizofrenický demiurg </w:t>
      </w:r>
      <w:r w:rsidR="08024DC4">
        <w:t xml:space="preserve">fatálně nutně </w:t>
      </w:r>
      <w:r w:rsidR="08024DC4" w:rsidRPr="00273106">
        <w:t xml:space="preserve">produkuje </w:t>
      </w:r>
      <w:r w:rsidR="00F12081" w:rsidRPr="00273106">
        <w:t>další kvazi-substance</w:t>
      </w:r>
      <w:r w:rsidR="08EE49AF">
        <w:t xml:space="preserve"> v nihilistickém modu dějinné </w:t>
      </w:r>
      <w:r w:rsidR="08EE49AF" w:rsidRPr="08EE49AF">
        <w:rPr>
          <w:i/>
        </w:rPr>
        <w:t>Irre</w:t>
      </w:r>
      <w:r w:rsidR="08EE49AF">
        <w:rPr>
          <w:i/>
        </w:rPr>
        <w:fldChar w:fldCharType="begin"/>
      </w:r>
      <w:r w:rsidR="08EE49AF">
        <w:instrText xml:space="preserve"> XE "</w:instrText>
      </w:r>
      <w:r w:rsidR="08EE49AF" w:rsidRPr="081720C3">
        <w:rPr>
          <w:i/>
        </w:rPr>
        <w:instrText>Irre</w:instrText>
      </w:r>
      <w:r w:rsidR="08EE49AF">
        <w:instrText xml:space="preserve">" </w:instrText>
      </w:r>
      <w:r w:rsidR="08EE49AF">
        <w:rPr>
          <w:i/>
        </w:rPr>
        <w:fldChar w:fldCharType="end"/>
      </w:r>
      <w:r w:rsidR="08EE49AF">
        <w:t xml:space="preserve">. </w:t>
      </w:r>
      <w:r w:rsidR="009A1E65" w:rsidRPr="00273106">
        <w:t xml:space="preserve">Latinští sofisté založili následnou bezradnost novověké filosofie prohlubující epochální </w:t>
      </w:r>
      <w:r w:rsidR="081D20D6">
        <w:t>pochybení z</w:t>
      </w:r>
      <w:r w:rsidR="004F774C" w:rsidRPr="00273106">
        <w:t xml:space="preserve">ápadní metafyziky determinované </w:t>
      </w:r>
      <w:r w:rsidR="00874074">
        <w:t>neoplatonsk</w:t>
      </w:r>
      <w:r w:rsidR="005D0E8B">
        <w:t xml:space="preserve">ým </w:t>
      </w:r>
      <w:r w:rsidR="009A1E65" w:rsidRPr="00273106">
        <w:t xml:space="preserve">pojetím smyslu jsoucna podle prvních </w:t>
      </w:r>
      <w:r w:rsidR="009A1E65" w:rsidRPr="00273106">
        <w:rPr>
          <w:i/>
        </w:rPr>
        <w:t>Modernorum</w:t>
      </w:r>
      <w:r w:rsidR="009A1E65" w:rsidRPr="00273106">
        <w:t>.</w:t>
      </w:r>
      <w:r w:rsidR="08580BD7">
        <w:t xml:space="preserve"> </w:t>
      </w:r>
      <w:r w:rsidR="088558F9">
        <w:t xml:space="preserve">Moderní </w:t>
      </w:r>
      <w:r w:rsidR="088558F9" w:rsidRPr="00273106">
        <w:t xml:space="preserve">sofistika </w:t>
      </w:r>
      <w:r w:rsidR="088558F9">
        <w:t xml:space="preserve">podle prvního averroismu </w:t>
      </w:r>
      <w:r w:rsidR="088558F9" w:rsidRPr="00273106">
        <w:t xml:space="preserve">zničila jak nauku o duši, tak identitu osoby, tak i pojetí pravdy jako adekvace obecného intelektu a singulární věci. </w:t>
      </w:r>
      <w:r w:rsidR="081416A3">
        <w:t>Č</w:t>
      </w:r>
      <w:r w:rsidR="088558F9">
        <w:t>lověk se stal specifickou mrtvolou, což skutkem provedly totalitní hnutí a války ve XX. století a vulgární ekonomismus</w:t>
      </w:r>
      <w:r w:rsidR="088558F9">
        <w:fldChar w:fldCharType="begin"/>
      </w:r>
      <w:r w:rsidR="088558F9">
        <w:instrText xml:space="preserve"> XE "</w:instrText>
      </w:r>
      <w:r w:rsidR="088558F9" w:rsidRPr="00A51B97">
        <w:instrText>neoliberalismus</w:instrText>
      </w:r>
      <w:r w:rsidR="088558F9">
        <w:instrText xml:space="preserve">" </w:instrText>
      </w:r>
      <w:r w:rsidR="088558F9">
        <w:fldChar w:fldCharType="end"/>
      </w:r>
      <w:r w:rsidR="088558F9">
        <w:t xml:space="preserve"> oligarchického </w:t>
      </w:r>
      <w:r w:rsidR="00FC5DED">
        <w:t>neoliberalismu</w:t>
      </w:r>
      <w:r w:rsidR="0070353A">
        <w:t xml:space="preserve"> na začátku </w:t>
      </w:r>
      <w:r w:rsidR="08495A9D">
        <w:t>XXI. století.</w:t>
      </w:r>
    </w:p>
    <w:p w14:paraId="03A47853" w14:textId="77777777" w:rsidR="00A92884" w:rsidRDefault="08495A9D" w:rsidP="00A370E3">
      <w:r>
        <w:lastRenderedPageBreak/>
        <w:tab/>
      </w:r>
      <w:r w:rsidR="005862D7">
        <w:t>Současný n</w:t>
      </w:r>
      <w:r w:rsidR="08D862F7">
        <w:t xml:space="preserve">ihilismus </w:t>
      </w:r>
      <w:r w:rsidR="08AE6059">
        <w:t xml:space="preserve">předjímá </w:t>
      </w:r>
      <w:r w:rsidR="008C0E29" w:rsidRPr="00273106">
        <w:t xml:space="preserve">kritika </w:t>
      </w:r>
      <w:r w:rsidR="00221596" w:rsidRPr="00273106">
        <w:t xml:space="preserve">averrorismu </w:t>
      </w:r>
      <w:r w:rsidR="005862D7">
        <w:t>v Albertově komentáři</w:t>
      </w:r>
      <w:r w:rsidR="000149B4" w:rsidRPr="00273106">
        <w:t xml:space="preserve"> </w:t>
      </w:r>
      <w:r w:rsidR="005862D7">
        <w:t xml:space="preserve">ke </w:t>
      </w:r>
      <w:r w:rsidR="081A13B0">
        <w:t xml:space="preserve">třetí části </w:t>
      </w:r>
      <w:r w:rsidR="00B713C5">
        <w:rPr>
          <w:i/>
        </w:rPr>
        <w:t>De anima</w:t>
      </w:r>
      <w:r w:rsidR="00221596" w:rsidRPr="00273106">
        <w:t xml:space="preserve">. </w:t>
      </w:r>
      <w:r w:rsidR="0821141A" w:rsidRPr="00273106">
        <w:t>Albert</w:t>
      </w:r>
      <w:r w:rsidR="0821141A">
        <w:t>ovy filosofické</w:t>
      </w:r>
      <w:r w:rsidR="0821141A" w:rsidRPr="00273106">
        <w:t xml:space="preserve"> spis</w:t>
      </w:r>
      <w:r w:rsidR="0821141A">
        <w:t xml:space="preserve">y psané </w:t>
      </w:r>
      <w:r w:rsidR="0821141A" w:rsidRPr="00273106">
        <w:t xml:space="preserve">po </w:t>
      </w:r>
      <w:r w:rsidR="0821141A">
        <w:t xml:space="preserve">roce </w:t>
      </w:r>
      <w:r w:rsidR="0821141A" w:rsidRPr="00273106">
        <w:t xml:space="preserve">1250 </w:t>
      </w:r>
      <w:r w:rsidR="0821141A">
        <w:t xml:space="preserve">namítají, </w:t>
      </w:r>
      <w:r w:rsidR="0821141A" w:rsidRPr="00273106">
        <w:t xml:space="preserve">že </w:t>
      </w:r>
      <w:r w:rsidR="002E30FF" w:rsidRPr="002E30FF">
        <w:t>species</w:t>
      </w:r>
      <w:r w:rsidR="0821141A">
        <w:t xml:space="preserve"> jako </w:t>
      </w:r>
      <w:r w:rsidR="0821141A" w:rsidRPr="00273106">
        <w:t xml:space="preserve">simulákrum sofistické moderny nelze vztáhnout k jednotlivé </w:t>
      </w:r>
      <w:r w:rsidR="004D1D04">
        <w:t xml:space="preserve">reálné </w:t>
      </w:r>
      <w:r w:rsidR="0821141A" w:rsidRPr="00273106">
        <w:t xml:space="preserve">věci </w:t>
      </w:r>
      <w:r w:rsidR="004D1D04">
        <w:t xml:space="preserve">jako </w:t>
      </w:r>
      <w:r w:rsidR="0821141A" w:rsidRPr="00273106">
        <w:t>„běžící Sokrates“. Externí věc se poznává skrze reprezentaci věcí a stavů v mysli</w:t>
      </w:r>
      <w:r w:rsidR="08A95B08">
        <w:t xml:space="preserve"> a ne hypostázovaným slovem</w:t>
      </w:r>
      <w:r w:rsidR="0821141A" w:rsidRPr="00273106">
        <w:t xml:space="preserve">. Latiníkům podle Alberta vypadl problém reference, tj. vztah k vnější věci zprostředkovávaný smysly a formalizovaný intelektem. </w:t>
      </w:r>
      <w:r w:rsidR="08E675FC">
        <w:t xml:space="preserve">Zrušením </w:t>
      </w:r>
      <w:r w:rsidR="082A724F">
        <w:t xml:space="preserve">metafyzického </w:t>
      </w:r>
      <w:r w:rsidR="08E675FC">
        <w:t xml:space="preserve">dativu </w:t>
      </w:r>
      <w:r w:rsidR="0821141A" w:rsidRPr="00273106">
        <w:t xml:space="preserve">popřeli pojetí pravdy </w:t>
      </w:r>
      <w:r w:rsidR="0821141A">
        <w:t xml:space="preserve">jako dvojí adekvace </w:t>
      </w:r>
      <w:r w:rsidR="0821141A" w:rsidRPr="00273106">
        <w:t xml:space="preserve">v modu </w:t>
      </w:r>
      <w:r w:rsidR="0821141A">
        <w:t>Averroes</w:t>
      </w:r>
      <w:r w:rsidR="0821141A" w:rsidRPr="00273106">
        <w:t>ova</w:t>
      </w:r>
      <w:r w:rsidR="0821141A" w:rsidRPr="00273106">
        <w:rPr>
          <w:i/>
        </w:rPr>
        <w:t xml:space="preserve"> </w:t>
      </w:r>
      <w:r w:rsidR="0821141A" w:rsidRPr="00DC343D">
        <w:t>smyslového</w:t>
      </w:r>
      <w:r w:rsidR="0821141A">
        <w:rPr>
          <w:i/>
        </w:rPr>
        <w:t xml:space="preserve"> </w:t>
      </w:r>
      <w:r w:rsidR="0821141A" w:rsidRPr="00DC343D">
        <w:rPr>
          <w:i/>
        </w:rPr>
        <w:t>similitudo</w:t>
      </w:r>
      <w:r w:rsidR="0821141A" w:rsidRPr="00273106">
        <w:rPr>
          <w:i/>
        </w:rPr>
        <w:t xml:space="preserve"> </w:t>
      </w:r>
      <w:r w:rsidR="0821141A" w:rsidRPr="00DC343D">
        <w:t>a</w:t>
      </w:r>
      <w:r w:rsidR="0821141A">
        <w:rPr>
          <w:i/>
        </w:rPr>
        <w:t xml:space="preserve"> </w:t>
      </w:r>
      <w:r w:rsidR="0821141A">
        <w:t>intelektu</w:t>
      </w:r>
      <w:r w:rsidR="0821141A" w:rsidRPr="00DC343D">
        <w:t>álního</w:t>
      </w:r>
      <w:r w:rsidR="0821141A">
        <w:rPr>
          <w:i/>
        </w:rPr>
        <w:t xml:space="preserve"> </w:t>
      </w:r>
      <w:r w:rsidR="0821141A" w:rsidRPr="00273106">
        <w:rPr>
          <w:i/>
        </w:rPr>
        <w:t>proportio</w:t>
      </w:r>
      <w:r w:rsidR="0821141A">
        <w:rPr>
          <w:i/>
        </w:rPr>
        <w:fldChar w:fldCharType="begin"/>
      </w:r>
      <w:r w:rsidR="0821141A">
        <w:instrText xml:space="preserve"> XE "pravda:</w:instrText>
      </w:r>
      <w:r w:rsidR="0821141A" w:rsidRPr="00F95440">
        <w:rPr>
          <w:i/>
        </w:rPr>
        <w:instrText>proportio</w:instrText>
      </w:r>
      <w:r w:rsidR="0821141A">
        <w:instrText xml:space="preserve">" </w:instrText>
      </w:r>
      <w:r w:rsidR="0821141A">
        <w:rPr>
          <w:i/>
        </w:rPr>
        <w:fldChar w:fldCharType="end"/>
      </w:r>
      <w:r w:rsidR="0821141A">
        <w:t xml:space="preserve">. </w:t>
      </w:r>
      <w:r w:rsidR="00221596" w:rsidRPr="00273106">
        <w:t xml:space="preserve">Albert </w:t>
      </w:r>
      <w:r w:rsidR="00446EAC" w:rsidRPr="00273106">
        <w:t xml:space="preserve">proti </w:t>
      </w:r>
      <w:r w:rsidR="00015F40" w:rsidRPr="00273106">
        <w:t xml:space="preserve">pomýleným </w:t>
      </w:r>
      <w:r w:rsidR="00446EAC" w:rsidRPr="00273106">
        <w:t xml:space="preserve">averroistům </w:t>
      </w:r>
      <w:r w:rsidR="00221596" w:rsidRPr="00273106">
        <w:t>zdůrazňuje</w:t>
      </w:r>
      <w:r w:rsidR="002076FA" w:rsidRPr="00273106">
        <w:t xml:space="preserve"> učení Pe</w:t>
      </w:r>
      <w:r w:rsidR="00221596" w:rsidRPr="00273106">
        <w:t>ripatetiků</w:t>
      </w:r>
      <w:r w:rsidR="00446EAC" w:rsidRPr="00273106">
        <w:t xml:space="preserve"> </w:t>
      </w:r>
      <w:r w:rsidR="00015F40" w:rsidRPr="00273106">
        <w:t xml:space="preserve">podané </w:t>
      </w:r>
      <w:r w:rsidR="00446EAC" w:rsidRPr="00273106">
        <w:t xml:space="preserve">v </w:t>
      </w:r>
      <w:r w:rsidR="002E3B62">
        <w:t>Averroes</w:t>
      </w:r>
      <w:r w:rsidR="00015F40" w:rsidRPr="00273106">
        <w:t xml:space="preserve">ově </w:t>
      </w:r>
      <w:r w:rsidR="00154E70" w:rsidRPr="00273106">
        <w:t xml:space="preserve">díle </w:t>
      </w:r>
      <w:r w:rsidR="00446EAC" w:rsidRPr="00273106">
        <w:t xml:space="preserve">CMDA. </w:t>
      </w:r>
      <w:r w:rsidR="0821141A">
        <w:t xml:space="preserve">Poznané </w:t>
      </w:r>
      <w:r w:rsidR="002E30FF" w:rsidRPr="002E30FF">
        <w:t>species</w:t>
      </w:r>
      <w:r w:rsidR="0821141A" w:rsidRPr="00273106">
        <w:t xml:space="preserve"> jako univerzálie není možné v intelektu individualizovat</w:t>
      </w:r>
      <w:r w:rsidR="0821141A">
        <w:t xml:space="preserve">, protože poznané formy existují jako vytvořená inteligibilia pouze ve výkonu intencionálně zaměřeného intelektu na smyslové nebo inteligibilní </w:t>
      </w:r>
      <w:r w:rsidR="002E30FF" w:rsidRPr="002E30FF">
        <w:t>species</w:t>
      </w:r>
      <w:r w:rsidR="0821141A">
        <w:t xml:space="preserve"> syntetizované v procesu smyslové nebo intelektuální abstrakce. </w:t>
      </w:r>
      <w:r w:rsidR="00F12081">
        <w:t>P</w:t>
      </w:r>
      <w:r w:rsidR="00221596" w:rsidRPr="00273106">
        <w:t xml:space="preserve">oznání je dáno jen </w:t>
      </w:r>
      <w:r w:rsidR="001D4F30" w:rsidRPr="00273106">
        <w:t xml:space="preserve">v </w:t>
      </w:r>
      <w:r w:rsidR="00221596" w:rsidRPr="00273106">
        <w:t xml:space="preserve">akcidentálním modu vzhledem k aktuální jednotlivině existující </w:t>
      </w:r>
      <w:r w:rsidR="00221596" w:rsidRPr="00273106">
        <w:rPr>
          <w:i/>
        </w:rPr>
        <w:t>simpliciter</w:t>
      </w:r>
      <w:r w:rsidR="00221596" w:rsidRPr="00273106">
        <w:t>. Stejně tak i reálná jednotlivina má v sobě univerzalitu pouze potenciálně</w:t>
      </w:r>
      <w:r w:rsidR="08812700">
        <w:t xml:space="preserve"> skrze výkon intektu</w:t>
      </w:r>
      <w:r w:rsidR="00221596" w:rsidRPr="00273106">
        <w:t xml:space="preserve">, </w:t>
      </w:r>
      <w:r w:rsidR="08812700">
        <w:t xml:space="preserve">protože </w:t>
      </w:r>
      <w:r w:rsidR="00221596" w:rsidRPr="00273106">
        <w:t xml:space="preserve">sama o sobě existuje </w:t>
      </w:r>
      <w:r w:rsidR="00221596" w:rsidRPr="00273106">
        <w:rPr>
          <w:i/>
        </w:rPr>
        <w:t>simpliciter</w:t>
      </w:r>
      <w:r w:rsidR="00CD2BCD">
        <w:rPr>
          <w:i/>
        </w:rPr>
        <w:t xml:space="preserve"> </w:t>
      </w:r>
      <w:r w:rsidR="00CD2BCD" w:rsidRPr="00CD2BCD">
        <w:t>aktuálně</w:t>
      </w:r>
      <w:r w:rsidR="00221596" w:rsidRPr="00273106">
        <w:t xml:space="preserve">. </w:t>
      </w:r>
      <w:r w:rsidR="00A22EF5">
        <w:t>Z</w:t>
      </w:r>
      <w:r w:rsidR="00285F8D" w:rsidRPr="00273106">
        <w:t xml:space="preserve">ávěr polemiky jasně </w:t>
      </w:r>
      <w:r w:rsidR="08D40C4E">
        <w:t xml:space="preserve">definuje </w:t>
      </w:r>
      <w:r w:rsidR="00285F8D" w:rsidRPr="00273106">
        <w:t xml:space="preserve">oba </w:t>
      </w:r>
      <w:r w:rsidR="08D40C4E">
        <w:t xml:space="preserve">fundamentální </w:t>
      </w:r>
      <w:r w:rsidR="00285F8D" w:rsidRPr="00273106">
        <w:t xml:space="preserve">problémy </w:t>
      </w:r>
      <w:r w:rsidR="08D40C4E">
        <w:t xml:space="preserve">moderny, tedy </w:t>
      </w:r>
      <w:r w:rsidR="00285F8D" w:rsidRPr="00273106">
        <w:t xml:space="preserve">intelekt oddělený od smyslů a nemožnost </w:t>
      </w:r>
      <w:r w:rsidR="00E402B7">
        <w:t>pravdivého poznání</w:t>
      </w:r>
      <w:r w:rsidR="08D40C4E">
        <w:t>. Podle Alberta je správně p</w:t>
      </w:r>
      <w:r w:rsidR="00285F8D" w:rsidRPr="00273106">
        <w:t xml:space="preserve">ojednal </w:t>
      </w:r>
      <w:r w:rsidR="08D40C4E">
        <w:t xml:space="preserve">už </w:t>
      </w:r>
      <w:r w:rsidR="002E3B62">
        <w:t>Averroes</w:t>
      </w:r>
      <w:r w:rsidR="00285F8D" w:rsidRPr="00273106">
        <w:t xml:space="preserve"> v CMDA proti tehdejším modernistům</w:t>
      </w:r>
      <w:r w:rsidR="08A04CD4">
        <w:t xml:space="preserve"> (</w:t>
      </w:r>
      <w:r w:rsidR="009F4688" w:rsidRPr="009F4688">
        <w:rPr>
          <w:i/>
        </w:rPr>
        <w:t>istae duae ultimae objectiones sunt Averrois in commento libri de Anima</w:t>
      </w:r>
      <w:r w:rsidR="08A04CD4">
        <w:t xml:space="preserve">; </w:t>
      </w:r>
      <w:r w:rsidR="009F4688" w:rsidRPr="00277F6C">
        <w:rPr>
          <w:i/>
        </w:rPr>
        <w:t>Liber III De anima</w:t>
      </w:r>
      <w:r w:rsidR="009F4688">
        <w:t>; ed. Bo</w:t>
      </w:r>
      <w:r w:rsidR="0803522A">
        <w:t>r</w:t>
      </w:r>
      <w:r w:rsidR="009F4688">
        <w:t>gnet 5, 349a</w:t>
      </w:r>
      <w:r w:rsidR="009F4688">
        <w:fldChar w:fldCharType="begin"/>
      </w:r>
      <w:r w:rsidR="009F4688">
        <w:instrText xml:space="preserve"> XE "Albert:</w:instrText>
      </w:r>
      <w:r w:rsidR="009F4688" w:rsidRPr="00DC1EF9">
        <w:rPr>
          <w:i/>
        </w:rPr>
        <w:instrText>Liber III De anima</w:instrText>
      </w:r>
      <w:r w:rsidR="009F4688" w:rsidRPr="00DC1EF9">
        <w:instrText xml:space="preserve"> 349a</w:instrText>
      </w:r>
      <w:r w:rsidR="009F4688">
        <w:instrText xml:space="preserve">" </w:instrText>
      </w:r>
      <w:r w:rsidR="009F4688">
        <w:fldChar w:fldCharType="end"/>
      </w:r>
      <w:r w:rsidR="009F4688">
        <w:t>)</w:t>
      </w:r>
      <w:r w:rsidR="08A04CD4">
        <w:t xml:space="preserve">. </w:t>
      </w:r>
      <w:r w:rsidR="00C27ADF" w:rsidRPr="00C27ADF">
        <w:t>Albert vytvořil na způsob sicilské školy úplné schéma obecného poznání skutečných věcí. Moderní a postmoderní latinisté jej nevyřešili</w:t>
      </w:r>
      <w:r w:rsidR="00C27ADF">
        <w:t xml:space="preserve"> dodnes</w:t>
      </w:r>
      <w:r w:rsidR="00C27ADF" w:rsidRPr="00C27ADF">
        <w:t>.</w:t>
      </w:r>
      <w:r w:rsidR="00C27ADF">
        <w:t xml:space="preserve"> </w:t>
      </w:r>
      <w:r w:rsidR="00D115A8" w:rsidRPr="00273106">
        <w:t xml:space="preserve">Kauzální působení externí věci na smysly </w:t>
      </w:r>
      <w:r w:rsidR="005F7822" w:rsidRPr="00273106">
        <w:t xml:space="preserve">tvoří základ porozumění, protože aktualizuje intelekt jako </w:t>
      </w:r>
      <w:r w:rsidR="005F7822"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5F7822" w:rsidRPr="00273106">
        <w:t xml:space="preserve">. </w:t>
      </w:r>
      <w:r w:rsidR="089F1A9A">
        <w:t>S</w:t>
      </w:r>
      <w:r w:rsidR="00D115A8" w:rsidRPr="00273106">
        <w:t xml:space="preserve">mysl jsoucna </w:t>
      </w:r>
      <w:r w:rsidR="089F1A9A">
        <w:t xml:space="preserve">je </w:t>
      </w:r>
      <w:r w:rsidR="003B7629" w:rsidRPr="00273106">
        <w:t xml:space="preserve">kauzálně </w:t>
      </w:r>
      <w:r w:rsidR="00D115A8" w:rsidRPr="00273106">
        <w:t>aktua</w:t>
      </w:r>
      <w:r w:rsidR="003B7629" w:rsidRPr="00273106">
        <w:t xml:space="preserve">lizován ve smyslech a v </w:t>
      </w:r>
      <w:r w:rsidR="005F7822" w:rsidRPr="00273106">
        <w:t xml:space="preserve">intelektu jako </w:t>
      </w:r>
      <w:r w:rsidR="003B7629" w:rsidRPr="00273106">
        <w:t xml:space="preserve">dvou komplementárních </w:t>
      </w:r>
      <w:r w:rsidR="005F7822" w:rsidRPr="00273106">
        <w:t>receptivní</w:t>
      </w:r>
      <w:r w:rsidR="003B7629" w:rsidRPr="00273106">
        <w:t>ch potencí</w:t>
      </w:r>
      <w:r w:rsidR="005F7822" w:rsidRPr="00273106">
        <w:t xml:space="preserve"> duše</w:t>
      </w:r>
      <w:r w:rsidR="08BA29FF">
        <w:t xml:space="preserve"> daných jednak materiálně a jednak nemateriálně</w:t>
      </w:r>
      <w:r w:rsidR="005F7822" w:rsidRPr="00273106">
        <w:t xml:space="preserve">. </w:t>
      </w:r>
      <w:r w:rsidR="08494FA8" w:rsidRPr="00273106">
        <w:t>Pasivní recepce se v prvním averroismu neobejde bez smyslového poznání</w:t>
      </w:r>
      <w:r w:rsidR="08494FA8">
        <w:t xml:space="preserve"> přinášejícího aktualitu od reálného světa. V </w:t>
      </w:r>
      <w:r w:rsidR="08494FA8" w:rsidRPr="00273106">
        <w:t>mysli existuje pouze potenciální a univerzální forma</w:t>
      </w:r>
      <w:r w:rsidR="08494FA8">
        <w:t xml:space="preserve"> bez aktuality. </w:t>
      </w:r>
      <w:r w:rsidR="00965F2B" w:rsidRPr="00273106">
        <w:t xml:space="preserve">Moderní </w:t>
      </w:r>
      <w:r w:rsidR="00221596" w:rsidRPr="00273106">
        <w:t xml:space="preserve">pojetí </w:t>
      </w:r>
      <w:r w:rsidR="007E19A5">
        <w:t xml:space="preserve">materie </w:t>
      </w:r>
      <w:r w:rsidR="00965F2B" w:rsidRPr="00273106">
        <w:t xml:space="preserve">jako jsoucna třetího druhu </w:t>
      </w:r>
      <w:r w:rsidR="00221596" w:rsidRPr="00273106">
        <w:t xml:space="preserve">je </w:t>
      </w:r>
      <w:r w:rsidR="00F80C74" w:rsidRPr="00273106">
        <w:t xml:space="preserve">podle Alberta </w:t>
      </w:r>
      <w:r w:rsidR="007E19A5">
        <w:t xml:space="preserve">naprostý </w:t>
      </w:r>
      <w:r w:rsidR="004004D2">
        <w:t xml:space="preserve">nesmys. Žádné </w:t>
      </w:r>
      <w:r w:rsidR="089B5F60" w:rsidRPr="089B5F60">
        <w:rPr>
          <w:i/>
        </w:rPr>
        <w:t>tertium ens</w:t>
      </w:r>
      <w:r w:rsidR="089B5F60">
        <w:t xml:space="preserve"> </w:t>
      </w:r>
      <w:r w:rsidR="004004D2">
        <w:t xml:space="preserve">reálně </w:t>
      </w:r>
      <w:r w:rsidR="089B5F60">
        <w:t xml:space="preserve">neexistuje, nemá jak. </w:t>
      </w:r>
      <w:r w:rsidR="00D52C54" w:rsidRPr="00273106">
        <w:t xml:space="preserve">Kdyby byla inteligibilní forma </w:t>
      </w:r>
      <w:r w:rsidR="0041490F" w:rsidRPr="00273106">
        <w:t xml:space="preserve">opravdu </w:t>
      </w:r>
      <w:r w:rsidR="00221596" w:rsidRPr="00273106">
        <w:t xml:space="preserve">individualizovaná, modernisté by měli v poznání </w:t>
      </w:r>
      <w:r w:rsidR="00E1791C" w:rsidRPr="00273106">
        <w:t xml:space="preserve">individuálního </w:t>
      </w:r>
      <w:r w:rsidR="00221596" w:rsidRPr="00273106">
        <w:t xml:space="preserve">osla nebo kámen. </w:t>
      </w:r>
      <w:r w:rsidR="0073174A" w:rsidRPr="00273106">
        <w:t xml:space="preserve">A kdyby byla </w:t>
      </w:r>
      <w:r w:rsidR="00E515E9" w:rsidRPr="00273106">
        <w:t xml:space="preserve">tato forma </w:t>
      </w:r>
      <w:r w:rsidR="00A32B55">
        <w:t xml:space="preserve">dána jako </w:t>
      </w:r>
      <w:r w:rsidR="0073174A" w:rsidRPr="00273106">
        <w:t>unive</w:t>
      </w:r>
      <w:r w:rsidR="00E515E9" w:rsidRPr="00273106">
        <w:t>r</w:t>
      </w:r>
      <w:r w:rsidR="0073174A" w:rsidRPr="00273106">
        <w:t>zální</w:t>
      </w:r>
      <w:r w:rsidR="003F3BA2">
        <w:t xml:space="preserve"> </w:t>
      </w:r>
      <w:r w:rsidR="00A32B55">
        <w:t xml:space="preserve">intelektuální substance na způsob intelektu hvězdných sfér, </w:t>
      </w:r>
      <w:r w:rsidR="0073174A" w:rsidRPr="00273106">
        <w:t xml:space="preserve">tak by </w:t>
      </w:r>
      <w:r w:rsidR="00A32B55">
        <w:t xml:space="preserve">hypostázované </w:t>
      </w:r>
      <w:r w:rsidR="002E30FF" w:rsidRPr="002E30FF">
        <w:t>species</w:t>
      </w:r>
      <w:r w:rsidR="0073174A" w:rsidRPr="00273106">
        <w:t xml:space="preserve"> osla poznávali skrze </w:t>
      </w:r>
      <w:r w:rsidR="00A32B55">
        <w:t xml:space="preserve">oddělený </w:t>
      </w:r>
      <w:r w:rsidR="0073174A" w:rsidRPr="00273106">
        <w:t xml:space="preserve">aktivní intelekt </w:t>
      </w:r>
      <w:r w:rsidR="00A32B55">
        <w:t xml:space="preserve">hvězdných sféry </w:t>
      </w:r>
      <w:r w:rsidR="0073174A" w:rsidRPr="00273106">
        <w:t xml:space="preserve">a nepotřebovali by k inteligibilnímu poznání </w:t>
      </w:r>
      <w:r w:rsidR="0073174A" w:rsidRPr="00273106">
        <w:lastRenderedPageBreak/>
        <w:t>aktuální existenci</w:t>
      </w:r>
      <w:r w:rsidR="003F3BA2">
        <w:t xml:space="preserve"> věci v realitě</w:t>
      </w:r>
      <w:r w:rsidR="005E614E">
        <w:t>.</w:t>
      </w:r>
      <w:r w:rsidR="08DD3B27">
        <w:t xml:space="preserve"> L</w:t>
      </w:r>
      <w:r w:rsidR="001E05D0" w:rsidRPr="00273106">
        <w:t>atinští averroisté zavedli materii třetího druhu i do intelektu</w:t>
      </w:r>
      <w:r w:rsidR="08DD3B27">
        <w:t>, aby se této kritice vyhnuli</w:t>
      </w:r>
      <w:r w:rsidR="001E05D0">
        <w:t xml:space="preserve">. </w:t>
      </w:r>
      <w:r w:rsidR="08B82412">
        <w:t xml:space="preserve">Tím změnili původní metafyzický </w:t>
      </w:r>
      <w:r w:rsidR="08B82412" w:rsidRPr="08B82412">
        <w:rPr>
          <w:i/>
        </w:rPr>
        <w:t>Irrtum</w:t>
      </w:r>
      <w:r w:rsidR="08B82412">
        <w:t xml:space="preserve"> moderny na jeho nihilisti</w:t>
      </w:r>
      <w:r w:rsidR="0813298B">
        <w:t>c</w:t>
      </w:r>
      <w:r w:rsidR="08B82412">
        <w:t xml:space="preserve">kou formu a vykročili na </w:t>
      </w:r>
      <w:r w:rsidR="08B82412" w:rsidRPr="08B82412">
        <w:rPr>
          <w:i/>
        </w:rPr>
        <w:t>via Modernorum</w:t>
      </w:r>
      <w:r w:rsidR="08B82412">
        <w:t xml:space="preserve">. </w:t>
      </w:r>
      <w:r w:rsidR="0832049B" w:rsidRPr="00273106">
        <w:t xml:space="preserve">Učení Latiníci degradovali nemateriální </w:t>
      </w:r>
      <w:r w:rsidR="0832049B" w:rsidRPr="00273106">
        <w:rPr>
          <w:i/>
        </w:rPr>
        <w:t>intellectus possibilis</w:t>
      </w:r>
      <w:r w:rsidR="0832049B" w:rsidRPr="00273106">
        <w:t xml:space="preserve"> na </w:t>
      </w:r>
      <w:r w:rsidR="0832049B">
        <w:t>pseudo-</w:t>
      </w:r>
      <w:r w:rsidR="0832049B" w:rsidRPr="00273106">
        <w:t xml:space="preserve">materiální </w:t>
      </w:r>
      <w:r w:rsidR="0832049B" w:rsidRPr="00273106">
        <w:rPr>
          <w:i/>
        </w:rPr>
        <w:t>intellectus materialis</w:t>
      </w:r>
      <w:r w:rsidR="0832049B">
        <w:rPr>
          <w:i/>
        </w:rPr>
        <w:fldChar w:fldCharType="begin"/>
      </w:r>
      <w:r w:rsidR="0832049B">
        <w:instrText xml:space="preserve"> XE "</w:instrText>
      </w:r>
      <w:r w:rsidR="0832049B" w:rsidRPr="00BE489A">
        <w:rPr>
          <w:i/>
        </w:rPr>
        <w:instrText>intellectus materialis:</w:instrText>
      </w:r>
      <w:r w:rsidR="0832049B" w:rsidRPr="00EE6AA1">
        <w:instrText>druhý averroismus</w:instrText>
      </w:r>
      <w:r w:rsidR="0832049B">
        <w:instrText xml:space="preserve">" </w:instrText>
      </w:r>
      <w:r w:rsidR="0832049B">
        <w:rPr>
          <w:i/>
        </w:rPr>
        <w:fldChar w:fldCharType="end"/>
      </w:r>
      <w:r w:rsidR="0832049B" w:rsidRPr="00273106">
        <w:t xml:space="preserve"> po vzoru Alexandra</w:t>
      </w:r>
      <w:r w:rsidR="0832049B">
        <w:fldChar w:fldCharType="begin"/>
      </w:r>
      <w:r w:rsidR="0832049B">
        <w:instrText xml:space="preserve"> XE "Alexander, Afrodisias" </w:instrText>
      </w:r>
      <w:r w:rsidR="0832049B">
        <w:fldChar w:fldCharType="end"/>
      </w:r>
      <w:r w:rsidR="0832049B" w:rsidRPr="00273106">
        <w:t xml:space="preserve">, </w:t>
      </w:r>
      <w:r w:rsidR="0832049B">
        <w:t>neoplatonsk</w:t>
      </w:r>
      <w:r w:rsidR="0832049B" w:rsidRPr="00273106">
        <w:t>ého Themistia</w:t>
      </w:r>
      <w:r w:rsidR="0832049B">
        <w:fldChar w:fldCharType="begin"/>
      </w:r>
      <w:r w:rsidR="0832049B">
        <w:instrText xml:space="preserve"> XE "</w:instrText>
      </w:r>
      <w:r w:rsidR="0832049B" w:rsidRPr="002255E5">
        <w:instrText>Themistius</w:instrText>
      </w:r>
      <w:r w:rsidR="0832049B">
        <w:instrText xml:space="preserve">" </w:instrText>
      </w:r>
      <w:r w:rsidR="0832049B">
        <w:fldChar w:fldCharType="end"/>
      </w:r>
      <w:r w:rsidR="0832049B" w:rsidRPr="00273106">
        <w:t xml:space="preserve"> a španělského myslitele falsafy Avempaceho</w:t>
      </w:r>
      <w:r w:rsidR="0832049B">
        <w:fldChar w:fldCharType="begin"/>
      </w:r>
      <w:r w:rsidR="0832049B">
        <w:instrText xml:space="preserve"> XE "</w:instrText>
      </w:r>
      <w:r w:rsidR="0832049B" w:rsidRPr="00503A03">
        <w:instrText>Avempace</w:instrText>
      </w:r>
      <w:r w:rsidR="0832049B">
        <w:instrText xml:space="preserve">" </w:instrText>
      </w:r>
      <w:r w:rsidR="0832049B">
        <w:fldChar w:fldCharType="end"/>
      </w:r>
      <w:r w:rsidR="0832049B" w:rsidRPr="00273106">
        <w:t xml:space="preserve"> (†1138).</w:t>
      </w:r>
      <w:r w:rsidR="0832049B">
        <w:t xml:space="preserve"> </w:t>
      </w:r>
      <w:r w:rsidR="0813298B">
        <w:t xml:space="preserve">Modernisté </w:t>
      </w:r>
      <w:r w:rsidR="001E05D0">
        <w:t xml:space="preserve">vytvořili nový diakosmos nikoliv ve filosofické pohádce jako měl dialog </w:t>
      </w:r>
      <w:r w:rsidR="001E05D0" w:rsidRPr="001E05D0">
        <w:rPr>
          <w:i/>
        </w:rPr>
        <w:t>Timaios</w:t>
      </w:r>
      <w:r w:rsidR="081325FA">
        <w:rPr>
          <w:i/>
        </w:rPr>
        <w:fldChar w:fldCharType="begin"/>
      </w:r>
      <w:r w:rsidR="081325FA">
        <w:instrText xml:space="preserve"> XE "dialog </w:instrText>
      </w:r>
      <w:r w:rsidR="081325FA" w:rsidRPr="08A360D2">
        <w:rPr>
          <w:i/>
        </w:rPr>
        <w:instrText>Timaios</w:instrText>
      </w:r>
      <w:r w:rsidR="081325FA">
        <w:instrText xml:space="preserve">" </w:instrText>
      </w:r>
      <w:r w:rsidR="081325FA">
        <w:rPr>
          <w:i/>
        </w:rPr>
        <w:fldChar w:fldCharType="end"/>
      </w:r>
      <w:r w:rsidR="001E05D0">
        <w:t xml:space="preserve"> a Jamblichův výklad, ale dali jej přímo do duše a</w:t>
      </w:r>
      <w:r w:rsidR="08580BD7">
        <w:t xml:space="preserve"> do myšlení západního subjektu.</w:t>
      </w:r>
      <w:r w:rsidR="08F73831">
        <w:t xml:space="preserve"> </w:t>
      </w:r>
      <w:r w:rsidR="005E614E">
        <w:t xml:space="preserve">Podle aristoteliků </w:t>
      </w:r>
      <w:r w:rsidR="082B755C">
        <w:t xml:space="preserve">jako Albert </w:t>
      </w:r>
      <w:r w:rsidR="005E614E">
        <w:t xml:space="preserve">tvrdili </w:t>
      </w:r>
      <w:r w:rsidR="0802380F">
        <w:t xml:space="preserve">Latiníci </w:t>
      </w:r>
      <w:r w:rsidR="005E614E">
        <w:t>naprosté</w:t>
      </w:r>
      <w:r w:rsidR="00087D87">
        <w:t xml:space="preserve"> nesmysly</w:t>
      </w:r>
      <w:r w:rsidR="00BE13D8">
        <w:t xml:space="preserve">, protože </w:t>
      </w:r>
      <w:r w:rsidR="005E614E">
        <w:t xml:space="preserve">univočně predikovali bytí </w:t>
      </w:r>
      <w:r w:rsidR="082021B3">
        <w:t>objektivně-reálného</w:t>
      </w:r>
      <w:r w:rsidR="005E614E">
        <w:t xml:space="preserve"> kamene v mysli</w:t>
      </w:r>
      <w:r w:rsidR="00BE13D8">
        <w:t xml:space="preserve"> v modu univerzálního hylemorfismu. </w:t>
      </w:r>
      <w:r w:rsidR="001623FD" w:rsidRPr="001623FD">
        <w:t>Moderní myšlení se</w:t>
      </w:r>
      <w:r w:rsidR="001623FD">
        <w:t xml:space="preserve"> oddělilo od reality tak, že </w:t>
      </w:r>
      <w:r w:rsidR="001623FD" w:rsidRPr="001623FD">
        <w:t xml:space="preserve">poznává skutečný kámen pouze v sobě. Objektivní forma je v mysli přístupná prostřednictvím věčné božské kopie, </w:t>
      </w:r>
      <w:r w:rsidR="001623FD">
        <w:t xml:space="preserve">což </w:t>
      </w:r>
      <w:r w:rsidR="001623FD" w:rsidRPr="001623FD">
        <w:t>zajišťuje ontoteologický scénář poznání. Objektivní forma každé</w:t>
      </w:r>
      <w:r w:rsidR="001623FD">
        <w:t xml:space="preserve">ho jsoucna </w:t>
      </w:r>
      <w:r w:rsidR="001623FD" w:rsidRPr="001623FD">
        <w:t xml:space="preserve">je </w:t>
      </w:r>
      <w:r w:rsidR="001623FD">
        <w:t>nazírána p</w:t>
      </w:r>
      <w:r w:rsidR="001623FD" w:rsidRPr="001623FD">
        <w:t>rostředni</w:t>
      </w:r>
      <w:r w:rsidR="001623FD">
        <w:t>ctvím věčného božského exemplaru</w:t>
      </w:r>
      <w:r w:rsidR="001623FD" w:rsidRPr="001623FD">
        <w:t>. K tomu je nutné rozdělit člo</w:t>
      </w:r>
      <w:r w:rsidR="001623FD">
        <w:t>věka na několik oddělených substancí</w:t>
      </w:r>
      <w:r w:rsidR="001623FD" w:rsidRPr="001623FD">
        <w:t>. Modernisté nakonec nemohou objektivně</w:t>
      </w:r>
      <w:r w:rsidR="001623FD">
        <w:t xml:space="preserve"> odlišit živou osobu od mrtvoly</w:t>
      </w:r>
      <w:r w:rsidR="00A92884">
        <w:t>.</w:t>
      </w:r>
    </w:p>
    <w:p w14:paraId="0BACC795" w14:textId="57A8B136" w:rsidR="0014604D" w:rsidRDefault="001729E8" w:rsidP="00A92884">
      <w:pPr>
        <w:ind w:firstLine="397"/>
      </w:pPr>
      <w:r w:rsidRPr="001729E8">
        <w:t xml:space="preserve">V epoše metafyzického nihilismu obdivujeme vítězství postmoderní pravdy jako </w:t>
      </w:r>
      <w:r w:rsidRPr="08A225E8">
        <w:rPr>
          <w:i/>
        </w:rPr>
        <w:t>certitudo</w:t>
      </w:r>
      <w:r>
        <w:t xml:space="preserve"> a </w:t>
      </w:r>
      <w:r w:rsidRPr="08A225E8">
        <w:rPr>
          <w:i/>
        </w:rPr>
        <w:t>rectitudo</w:t>
      </w:r>
      <w:r w:rsidRPr="001729E8">
        <w:t>. V Albertově době došlo k</w:t>
      </w:r>
      <w:r>
        <w:t> </w:t>
      </w:r>
      <w:r w:rsidRPr="001729E8">
        <w:t>první</w:t>
      </w:r>
      <w:r>
        <w:t>mu prosazení moderního teorie pravdy jako  asimilace</w:t>
      </w:r>
      <w:r w:rsidRPr="001729E8">
        <w:t xml:space="preserve"> </w:t>
      </w:r>
      <w:r w:rsidRPr="001729E8">
        <w:rPr>
          <w:i/>
        </w:rPr>
        <w:t>tertium ens</w:t>
      </w:r>
      <w:r w:rsidRPr="001729E8">
        <w:t xml:space="preserve"> a tento </w:t>
      </w:r>
      <w:r>
        <w:t xml:space="preserve">mytologický </w:t>
      </w:r>
      <w:r w:rsidRPr="001729E8">
        <w:t>nesmysl byl prohlášen za pravdivý a vědecky správný</w:t>
      </w:r>
      <w:r>
        <w:t xml:space="preserve"> obraz světa</w:t>
      </w:r>
      <w:r w:rsidRPr="001729E8">
        <w:t xml:space="preserve">. Na začátku </w:t>
      </w:r>
      <w:r w:rsidRPr="001729E8">
        <w:rPr>
          <w:i/>
        </w:rPr>
        <w:t>via Modernorum</w:t>
      </w:r>
      <w:r w:rsidRPr="001729E8">
        <w:t xml:space="preserve"> však mis</w:t>
      </w:r>
      <w:r>
        <w:t>tři Pařížské univerzity uznali K</w:t>
      </w:r>
      <w:r w:rsidRPr="001729E8">
        <w:t>omentátora za nejuznávanějšího filozofa</w:t>
      </w:r>
      <w:r>
        <w:t>, proto nemohli</w:t>
      </w:r>
      <w:r w:rsidRPr="001729E8">
        <w:t xml:space="preserve"> přijmout </w:t>
      </w:r>
      <w:r>
        <w:t xml:space="preserve">zničení kritické aristotelské vědy podle </w:t>
      </w:r>
      <w:r w:rsidRPr="001729E8">
        <w:rPr>
          <w:i/>
        </w:rPr>
        <w:t>Druhých Analytik</w:t>
      </w:r>
      <w:r>
        <w:t xml:space="preserve">. </w:t>
      </w:r>
      <w:r w:rsidR="081858BE">
        <w:t xml:space="preserve">První averroismus hájený kritickými aristotelskými mysliteli </w:t>
      </w:r>
      <w:r>
        <w:t xml:space="preserve">odmítl </w:t>
      </w:r>
      <w:r w:rsidR="081858BE">
        <w:t xml:space="preserve">sofistiku </w:t>
      </w:r>
      <w:r w:rsidR="081858BE" w:rsidRPr="081858BE">
        <w:rPr>
          <w:i/>
        </w:rPr>
        <w:t>Modernorum</w:t>
      </w:r>
      <w:r w:rsidR="081858BE">
        <w:t xml:space="preserve">, protože vytvořili simulákrum jednoho objektivního intelektu na způsob </w:t>
      </w:r>
      <w:r w:rsidR="081858BE" w:rsidRPr="081858BE">
        <w:rPr>
          <w:i/>
        </w:rPr>
        <w:t>tertium ens</w:t>
      </w:r>
      <w:r w:rsidR="081858BE">
        <w:t xml:space="preserve">. </w:t>
      </w:r>
      <w:r w:rsidR="00033DC1">
        <w:t xml:space="preserve">Albertův modus intelektu podle </w:t>
      </w:r>
      <w:r w:rsidR="00033DC1" w:rsidRPr="00033DC1">
        <w:rPr>
          <w:i/>
        </w:rPr>
        <w:t>tertium</w:t>
      </w:r>
      <w:r w:rsidR="00033DC1">
        <w:t xml:space="preserve"> a </w:t>
      </w:r>
      <w:r w:rsidR="00033DC1" w:rsidRPr="00033DC1">
        <w:rPr>
          <w:i/>
        </w:rPr>
        <w:t xml:space="preserve">quartum </w:t>
      </w:r>
      <w:r w:rsidR="00B1298A">
        <w:rPr>
          <w:i/>
        </w:rPr>
        <w:t>genus</w:t>
      </w:r>
      <w:r w:rsidR="00033DC1">
        <w:t xml:space="preserve"> </w:t>
      </w:r>
      <w:r w:rsidR="082A5329">
        <w:t xml:space="preserve">daného v CMDA </w:t>
      </w:r>
      <w:r w:rsidR="00033DC1">
        <w:t>ukazuje tato citace.</w:t>
      </w:r>
    </w:p>
    <w:p w14:paraId="7E715DD7" w14:textId="2EBDBC67" w:rsidR="0014604D" w:rsidRDefault="0014604D" w:rsidP="0014604D">
      <w:pPr>
        <w:pStyle w:val="Citace"/>
      </w:pPr>
      <w:r>
        <w:t>„A podobně i vědecké poznání je dané z obecnin, které vznikají (</w:t>
      </w:r>
      <w:r w:rsidRPr="0014604D">
        <w:rPr>
          <w:i/>
        </w:rPr>
        <w:t>fiunt</w:t>
      </w:r>
      <w:r>
        <w:t xml:space="preserve">) z individuálně </w:t>
      </w:r>
      <w:r w:rsidR="00596F38">
        <w:rPr>
          <w:lang w:val="cs-CZ"/>
        </w:rPr>
        <w:t xml:space="preserve">přijatých </w:t>
      </w:r>
      <w:r>
        <w:t>poznatků a smyslových zkušeností</w:t>
      </w:r>
      <w:r w:rsidR="003D4FDD">
        <w:rPr>
          <w:lang w:val="cs-CZ"/>
        </w:rPr>
        <w:t xml:space="preserve"> (</w:t>
      </w:r>
      <w:r w:rsidR="003D4FDD" w:rsidRPr="003D4FDD">
        <w:rPr>
          <w:i/>
          <w:lang w:val="cs-CZ"/>
        </w:rPr>
        <w:t>ex multis memoriis</w:t>
      </w:r>
      <w:r w:rsidR="00402241">
        <w:rPr>
          <w:i/>
          <w:lang w:val="cs-CZ"/>
        </w:rPr>
        <w:t xml:space="preserve"> e</w:t>
      </w:r>
      <w:r w:rsidR="003D4FDD" w:rsidRPr="003D4FDD">
        <w:rPr>
          <w:i/>
          <w:lang w:val="cs-CZ"/>
        </w:rPr>
        <w:t>t experientiis</w:t>
      </w:r>
      <w:r w:rsidR="003D4FDD">
        <w:rPr>
          <w:lang w:val="cs-CZ"/>
        </w:rPr>
        <w:t>)</w:t>
      </w:r>
      <w:r>
        <w:t>, které nejsou ve všech lidech stejné. A t</w:t>
      </w:r>
      <w:r w:rsidR="00F879DC">
        <w:t>o jsme již řekli výše, že tyto osobní a jedinečné</w:t>
      </w:r>
      <w:r>
        <w:t xml:space="preserve"> poznatky nazírané spekulativním intelekt</w:t>
      </w:r>
      <w:r w:rsidR="00F879DC">
        <w:t>em jsou v jednotě s tím, co je abstraktně a obecně</w:t>
      </w:r>
      <w:r>
        <w:t xml:space="preserve"> spekulativní intelekt (</w:t>
      </w:r>
      <w:r w:rsidRPr="0014604D">
        <w:rPr>
          <w:i/>
        </w:rPr>
        <w:t>speculativi intellectus sunt unus in eo quod speculativi intellectus sunt</w:t>
      </w:r>
      <w:r>
        <w:t>) a tyto</w:t>
      </w:r>
      <w:r w:rsidR="00F879DC">
        <w:t xml:space="preserve"> poznatky jsou ty či ony podle poznání</w:t>
      </w:r>
      <w:r>
        <w:t xml:space="preserve"> jednotlivých osob. </w:t>
      </w:r>
      <w:r>
        <w:lastRenderedPageBreak/>
        <w:t>V tomto určení se shodujeme s pojetím Averroes</w:t>
      </w:r>
      <w:r w:rsidR="00F879DC">
        <w:t>e, protože v modu abstrakce se obecný intelekt liší od našeho osobního výkonu poznání</w:t>
      </w:r>
      <w:r>
        <w:t>.“ </w:t>
      </w:r>
      <w:r w:rsidR="00221596" w:rsidRPr="00273106">
        <w:rPr>
          <w:rStyle w:val="Znakapoznpodarou"/>
        </w:rPr>
        <w:footnoteReference w:id="261"/>
      </w:r>
    </w:p>
    <w:p w14:paraId="0BAF8E38" w14:textId="0CF1E420" w:rsidR="00CA2C57" w:rsidRDefault="008F1DAA" w:rsidP="0014604D">
      <w:r w:rsidRPr="00273106">
        <w:t>V</w:t>
      </w:r>
      <w:r w:rsidR="00221596" w:rsidRPr="00273106">
        <w:t xml:space="preserve">zhledem </w:t>
      </w:r>
      <w:r w:rsidR="00402241">
        <w:t xml:space="preserve">k reálné věci běží poznání jako </w:t>
      </w:r>
      <w:r w:rsidR="002E3B62">
        <w:rPr>
          <w:i/>
        </w:rPr>
        <w:t>adaequatio</w:t>
      </w:r>
      <w:r w:rsidR="00C161A5">
        <w:rPr>
          <w:i/>
        </w:rPr>
        <w:fldChar w:fldCharType="begin"/>
      </w:r>
      <w:r w:rsidR="00C161A5">
        <w:instrText xml:space="preserve"> XE "</w:instrText>
      </w:r>
      <w:r w:rsidR="002E3B62">
        <w:rPr>
          <w:i/>
        </w:rPr>
        <w:instrText>adaequatio</w:instrText>
      </w:r>
      <w:r w:rsidR="00C161A5" w:rsidRPr="00BD02BA">
        <w:rPr>
          <w:i/>
        </w:rPr>
        <w:instrText>:</w:instrText>
      </w:r>
      <w:r w:rsidR="00C161A5" w:rsidRPr="00BD02BA">
        <w:instrText>A</w:instrText>
      </w:r>
      <w:r w:rsidR="00EE6AA1">
        <w:instrText>lbert</w:instrText>
      </w:r>
      <w:r w:rsidR="00C161A5">
        <w:instrText xml:space="preserve">" </w:instrText>
      </w:r>
      <w:r w:rsidR="00C161A5">
        <w:rPr>
          <w:i/>
        </w:rPr>
        <w:fldChar w:fldCharType="end"/>
      </w:r>
      <w:r w:rsidR="00221596" w:rsidRPr="00273106">
        <w:t xml:space="preserve"> </w:t>
      </w:r>
      <w:r w:rsidR="00334FE1">
        <w:t xml:space="preserve">nebo </w:t>
      </w:r>
      <w:r w:rsidR="00334FE1" w:rsidRPr="00334FE1">
        <w:rPr>
          <w:i/>
        </w:rPr>
        <w:t>proportio</w:t>
      </w:r>
      <w:r w:rsidR="00334FE1">
        <w:t xml:space="preserve"> </w:t>
      </w:r>
      <w:r w:rsidR="00221596" w:rsidRPr="00273106">
        <w:t xml:space="preserve">intelektu, který </w:t>
      </w:r>
      <w:r w:rsidR="00051746">
        <w:t xml:space="preserve">vytváří </w:t>
      </w:r>
      <w:r w:rsidR="00221596" w:rsidRPr="00273106">
        <w:t xml:space="preserve">nemateriální poznání externí věci. </w:t>
      </w:r>
      <w:r w:rsidR="08D75C04">
        <w:t xml:space="preserve">Tato schopnost </w:t>
      </w:r>
      <w:r w:rsidR="080C4886">
        <w:t xml:space="preserve">reálně existující </w:t>
      </w:r>
      <w:r w:rsidR="08D75C04">
        <w:t xml:space="preserve">lidské </w:t>
      </w:r>
      <w:r w:rsidR="08F73831">
        <w:t xml:space="preserve">duše </w:t>
      </w:r>
      <w:r w:rsidR="08D75C04">
        <w:t>produkuje univerzální a nemateriální poznatek</w:t>
      </w:r>
      <w:r w:rsidR="080C4886">
        <w:t>, který adekvátně signifikuje</w:t>
      </w:r>
      <w:r w:rsidR="084C7409">
        <w:t xml:space="preserve"> svět</w:t>
      </w:r>
      <w:r w:rsidR="08D75C04">
        <w:t xml:space="preserve"> prvních substancí. </w:t>
      </w:r>
      <w:r w:rsidR="006B70C8">
        <w:t xml:space="preserve">Citát ukazuje, že abstrakce </w:t>
      </w:r>
      <w:r w:rsidR="080364C2">
        <w:t xml:space="preserve">intelektu jako </w:t>
      </w:r>
      <w:r w:rsidR="002E30FF" w:rsidRPr="002E30FF">
        <w:t>species</w:t>
      </w:r>
      <w:r w:rsidR="080364C2">
        <w:t xml:space="preserve"> </w:t>
      </w:r>
      <w:r w:rsidR="006B70C8">
        <w:t xml:space="preserve">v modu </w:t>
      </w:r>
      <w:r w:rsidR="006B70C8" w:rsidRPr="006B70C8">
        <w:rPr>
          <w:i/>
        </w:rPr>
        <w:t xml:space="preserve">quartum </w:t>
      </w:r>
      <w:r w:rsidR="00B1298A">
        <w:rPr>
          <w:i/>
        </w:rPr>
        <w:t>genus</w:t>
      </w:r>
      <w:r w:rsidR="006B70C8" w:rsidRPr="006B70C8">
        <w:rPr>
          <w:i/>
        </w:rPr>
        <w:t xml:space="preserve"> </w:t>
      </w:r>
      <w:r w:rsidR="080364C2">
        <w:t xml:space="preserve">nemůže produkovat </w:t>
      </w:r>
      <w:r w:rsidR="006B70C8">
        <w:t>žádné poznání</w:t>
      </w:r>
      <w:r w:rsidR="08D60C8E">
        <w:t xml:space="preserve"> osoby</w:t>
      </w:r>
      <w:r w:rsidR="006B70C8">
        <w:t>, pro</w:t>
      </w:r>
      <w:r w:rsidR="085F0693">
        <w:t xml:space="preserve">tože </w:t>
      </w:r>
      <w:r w:rsidR="080364C2">
        <w:t xml:space="preserve">univerzální pojem </w:t>
      </w:r>
      <w:r w:rsidR="085F0693">
        <w:t xml:space="preserve">nemá </w:t>
      </w:r>
      <w:r w:rsidR="080364C2">
        <w:t xml:space="preserve">žádný </w:t>
      </w:r>
      <w:r w:rsidR="082318B6">
        <w:t xml:space="preserve">reálný </w:t>
      </w:r>
      <w:r w:rsidR="080364C2">
        <w:t xml:space="preserve">způsob, </w:t>
      </w:r>
      <w:r w:rsidR="006B70C8">
        <w:t>jak</w:t>
      </w:r>
      <w:r w:rsidR="085F0693">
        <w:t xml:space="preserve"> by to mohl u</w:t>
      </w:r>
      <w:r w:rsidR="006B70C8">
        <w:t xml:space="preserve">dělat. </w:t>
      </w:r>
      <w:r w:rsidR="086C3E4D">
        <w:t xml:space="preserve">Proto je zcela závislý </w:t>
      </w:r>
      <w:r w:rsidR="08D43931">
        <w:t>na nemateriálním</w:t>
      </w:r>
      <w:r w:rsidR="086C3E4D">
        <w:t xml:space="preserve"> poznání </w:t>
      </w:r>
      <w:r w:rsidR="08D43931">
        <w:t>aktuální osoby</w:t>
      </w:r>
      <w:r w:rsidR="086C3E4D">
        <w:t xml:space="preserve">. </w:t>
      </w:r>
      <w:r w:rsidR="08BC599F">
        <w:t xml:space="preserve">Genericky je proto třeba rozlišit čtyři různé formy poznání v modu </w:t>
      </w:r>
      <w:r w:rsidR="00B1298A">
        <w:rPr>
          <w:i/>
        </w:rPr>
        <w:t>genus</w:t>
      </w:r>
      <w:r w:rsidR="08BC599F">
        <w:t xml:space="preserve">: </w:t>
      </w:r>
      <w:r w:rsidR="002D3584">
        <w:t xml:space="preserve">1) </w:t>
      </w:r>
      <w:r w:rsidR="08BC599F">
        <w:t xml:space="preserve">reálnou existenci věci mimo nás; </w:t>
      </w:r>
      <w:r w:rsidR="002D3584">
        <w:t xml:space="preserve">2) </w:t>
      </w:r>
      <w:r w:rsidR="08BC599F">
        <w:t xml:space="preserve">její smyslovou recepci; </w:t>
      </w:r>
      <w:r w:rsidR="002D3584">
        <w:t xml:space="preserve">3) </w:t>
      </w:r>
      <w:r w:rsidR="08BC599F">
        <w:t xml:space="preserve">její inteligibilní abstrakci; </w:t>
      </w:r>
      <w:r w:rsidR="002D3584">
        <w:t xml:space="preserve">4) </w:t>
      </w:r>
      <w:r w:rsidR="08BC599F">
        <w:t xml:space="preserve">závěrečný abstraktní pohled na všechny tato existenciální a kauzálně dané výkony osoby. </w:t>
      </w:r>
      <w:r w:rsidR="002D3584">
        <w:t>Modernistický „intelekt“ je pouze č</w:t>
      </w:r>
      <w:r w:rsidR="006B70C8">
        <w:t xml:space="preserve">tvrtý rod </w:t>
      </w:r>
      <w:r w:rsidR="089F6A48">
        <w:t>intelektu</w:t>
      </w:r>
      <w:r w:rsidR="002D3584">
        <w:t>. Jedná se o univerzální</w:t>
      </w:r>
      <w:r w:rsidR="089F6A48">
        <w:t xml:space="preserve"> </w:t>
      </w:r>
      <w:r w:rsidR="002D3584">
        <w:t>poznatek</w:t>
      </w:r>
      <w:r w:rsidR="00EB5691">
        <w:t xml:space="preserve"> v meta</w:t>
      </w:r>
      <w:r w:rsidR="00EB5691">
        <w:noBreakHyphen/>
        <w:t>diskurzu</w:t>
      </w:r>
      <w:r w:rsidR="006B70C8">
        <w:t xml:space="preserve">, </w:t>
      </w:r>
      <w:r w:rsidR="00BA229A">
        <w:t xml:space="preserve">který popisuje </w:t>
      </w:r>
      <w:r w:rsidR="006B70C8">
        <w:t xml:space="preserve">intelekt </w:t>
      </w:r>
      <w:r w:rsidR="083D0AD1">
        <w:t>z hlediska lidské přirozenosti</w:t>
      </w:r>
      <w:r w:rsidR="086C3E4D">
        <w:t xml:space="preserve">. </w:t>
      </w:r>
      <w:r w:rsidR="089F6A48">
        <w:t xml:space="preserve">Proto je pojem v modu </w:t>
      </w:r>
      <w:r w:rsidR="089F6A48" w:rsidRPr="089F6A48">
        <w:rPr>
          <w:i/>
        </w:rPr>
        <w:t xml:space="preserve">quartum </w:t>
      </w:r>
      <w:r w:rsidR="00B1298A">
        <w:rPr>
          <w:i/>
        </w:rPr>
        <w:t>genus</w:t>
      </w:r>
      <w:r w:rsidR="089F6A48">
        <w:t xml:space="preserve">, protože abstrahuje od existenciálního výkonu nemateriálního porozumění člověka v modu </w:t>
      </w:r>
      <w:r w:rsidR="089F6A48" w:rsidRPr="089F6A48">
        <w:rPr>
          <w:i/>
        </w:rPr>
        <w:t xml:space="preserve">tertium </w:t>
      </w:r>
      <w:r w:rsidR="00B1298A">
        <w:rPr>
          <w:i/>
        </w:rPr>
        <w:t>genus</w:t>
      </w:r>
      <w:r w:rsidR="089F6A48">
        <w:t xml:space="preserve">. </w:t>
      </w:r>
      <w:r w:rsidR="083D0AD1">
        <w:t xml:space="preserve">Averroes, Albert a po něm Siger </w:t>
      </w:r>
      <w:r w:rsidR="086C3E4D">
        <w:t xml:space="preserve">a Dante </w:t>
      </w:r>
      <w:r w:rsidR="08FE6D40">
        <w:t>aktualizovali Al-Gh</w:t>
      </w:r>
      <w:r w:rsidR="083D0AD1">
        <w:t>azálího pojetí lidské přirozenosti (</w:t>
      </w:r>
      <w:r w:rsidR="083D0AD1" w:rsidRPr="00273106">
        <w:rPr>
          <w:i/>
        </w:rPr>
        <w:t>fiṭra</w:t>
      </w:r>
      <w:r w:rsidR="083D0AD1" w:rsidRPr="083D0AD1">
        <w:t>)</w:t>
      </w:r>
      <w:r w:rsidR="083D0AD1">
        <w:t xml:space="preserve"> napojené nikoliv na </w:t>
      </w:r>
      <w:r w:rsidR="083D0AD1" w:rsidRPr="083D0AD1">
        <w:rPr>
          <w:i/>
        </w:rPr>
        <w:t>intellectus adeptus</w:t>
      </w:r>
      <w:r w:rsidR="083D0AD1">
        <w:t xml:space="preserve"> jako u Avicenny, ale na </w:t>
      </w:r>
      <w:r w:rsidR="083D0AD1" w:rsidRPr="083D0AD1">
        <w:rPr>
          <w:i/>
        </w:rPr>
        <w:t>intellectus possibilis</w:t>
      </w:r>
      <w:r w:rsidR="083D0AD1">
        <w:t xml:space="preserve"> jako </w:t>
      </w:r>
      <w:r w:rsidR="083D0AD1" w:rsidRPr="083D0AD1">
        <w:rPr>
          <w:i/>
        </w:rPr>
        <w:t xml:space="preserve">quartum </w:t>
      </w:r>
      <w:r w:rsidR="00B1298A">
        <w:rPr>
          <w:i/>
        </w:rPr>
        <w:t>genus</w:t>
      </w:r>
      <w:r w:rsidR="08A55291">
        <w:t xml:space="preserve"> v CMDA. </w:t>
      </w:r>
      <w:r w:rsidR="00186B25" w:rsidRPr="00273106">
        <w:t xml:space="preserve">Po formální stránce se argumentace proti avicennistům shoduje s výkladem </w:t>
      </w:r>
      <w:r w:rsidR="00186B25">
        <w:rPr>
          <w:i/>
        </w:rPr>
        <w:t>De anima</w:t>
      </w:r>
      <w:r w:rsidR="00186B25" w:rsidRPr="00273106">
        <w:t xml:space="preserve"> pa</w:t>
      </w:r>
      <w:r w:rsidR="085F6FB7">
        <w:t>řížského biskupa Alverna (kap. 2</w:t>
      </w:r>
      <w:r w:rsidR="00186B25" w:rsidRPr="00273106">
        <w:t>.3</w:t>
      </w:r>
      <w:r w:rsidR="00186B25">
        <w:t>.1</w:t>
      </w:r>
      <w:r w:rsidR="00186B25" w:rsidRPr="00273106">
        <w:t xml:space="preserve">). Albertova kritika je však mnohem propracovanější, protože zahrnuje </w:t>
      </w:r>
      <w:r w:rsidR="00FD5B95">
        <w:t>Avicennovu</w:t>
      </w:r>
      <w:r w:rsidR="00186B25" w:rsidRPr="00273106">
        <w:t xml:space="preserve"> </w:t>
      </w:r>
      <w:r w:rsidR="00FD5B95">
        <w:t>intencionalitu</w:t>
      </w:r>
      <w:r w:rsidR="084F41CC">
        <w:t xml:space="preserve"> do Averroesova sch</w:t>
      </w:r>
      <w:r w:rsidR="084F6FAE">
        <w:t xml:space="preserve">ématu. Albert rozlišením intelektu jako </w:t>
      </w:r>
      <w:r w:rsidR="084F6FAE" w:rsidRPr="084F6FAE">
        <w:rPr>
          <w:i/>
        </w:rPr>
        <w:t>tertium</w:t>
      </w:r>
      <w:r w:rsidR="084F6FAE">
        <w:t xml:space="preserve"> a </w:t>
      </w:r>
      <w:r w:rsidR="084F6FAE" w:rsidRPr="084F6FAE">
        <w:rPr>
          <w:i/>
        </w:rPr>
        <w:t xml:space="preserve">quartum </w:t>
      </w:r>
      <w:r w:rsidR="00B1298A">
        <w:rPr>
          <w:i/>
        </w:rPr>
        <w:t>genus</w:t>
      </w:r>
      <w:r w:rsidR="084F6FAE">
        <w:t xml:space="preserve"> podle CMDA vytvořil první kompletní model </w:t>
      </w:r>
      <w:r w:rsidR="084F41CC">
        <w:t xml:space="preserve">kauzálně-reálné duševní činnosti, která je predikována jako </w:t>
      </w:r>
      <w:r w:rsidR="084F6FAE">
        <w:t xml:space="preserve">kategoriální </w:t>
      </w:r>
      <w:r w:rsidR="084F41CC">
        <w:t xml:space="preserve">impozice v modu </w:t>
      </w:r>
      <w:r w:rsidR="084F41CC" w:rsidRPr="084F41CC">
        <w:rPr>
          <w:i/>
        </w:rPr>
        <w:t>per prius</w:t>
      </w:r>
      <w:r w:rsidR="00186B25" w:rsidRPr="00273106">
        <w:t>.</w:t>
      </w:r>
      <w:r w:rsidR="00186B25">
        <w:t xml:space="preserve"> </w:t>
      </w:r>
      <w:r w:rsidR="00F61289" w:rsidRPr="00273106">
        <w:t xml:space="preserve">Albert </w:t>
      </w:r>
      <w:r w:rsidR="08921302">
        <w:t xml:space="preserve">vědecky </w:t>
      </w:r>
      <w:r w:rsidR="08342CD2">
        <w:t>argumentuje</w:t>
      </w:r>
      <w:r w:rsidR="08921302">
        <w:t xml:space="preserve"> </w:t>
      </w:r>
      <w:r w:rsidR="084F6FAE">
        <w:t xml:space="preserve">podle </w:t>
      </w:r>
      <w:r w:rsidR="084F6FAE" w:rsidRPr="084F6FAE">
        <w:rPr>
          <w:i/>
        </w:rPr>
        <w:t>Druhých analytik</w:t>
      </w:r>
      <w:r w:rsidR="005157E3">
        <w:t xml:space="preserve">. Proto </w:t>
      </w:r>
      <w:r w:rsidR="00F61289" w:rsidRPr="00273106">
        <w:t>výslovně odmítá scénář moderny</w:t>
      </w:r>
      <w:r w:rsidR="00721807" w:rsidRPr="00273106">
        <w:t xml:space="preserve"> reprezentovaný pařížskou avicennis</w:t>
      </w:r>
      <w:r w:rsidR="08910671">
        <w:t>tickou školou kolem Bonaventury, moderních zástupců Grossetesteho školy jako byl Rufus</w:t>
      </w:r>
      <w:r w:rsidR="08910671" w:rsidRPr="00273106">
        <w:t xml:space="preserve"> </w:t>
      </w:r>
      <w:r w:rsidR="00721807" w:rsidRPr="00273106">
        <w:t>a oxfordskou větví modernistů shromážděných kolem Kilwardbyho</w:t>
      </w:r>
      <w:r w:rsidR="001516B9">
        <w:t xml:space="preserve">. </w:t>
      </w:r>
      <w:r w:rsidR="08C576CA">
        <w:t>Albert s těmito školami moderního avicenni</w:t>
      </w:r>
      <w:r w:rsidR="08760377">
        <w:t>s</w:t>
      </w:r>
      <w:r w:rsidR="08C576CA">
        <w:t xml:space="preserve">mu zásadně nesouhlasí. </w:t>
      </w:r>
      <w:r w:rsidR="000F6B4D">
        <w:t>M</w:t>
      </w:r>
      <w:r w:rsidR="001516B9">
        <w:t xml:space="preserve">odernisté </w:t>
      </w:r>
      <w:r w:rsidR="000F6B4D">
        <w:t xml:space="preserve">na Oxfordu </w:t>
      </w:r>
      <w:r w:rsidR="001516B9">
        <w:t xml:space="preserve">editovali </w:t>
      </w:r>
      <w:r w:rsidR="002817B6">
        <w:t xml:space="preserve">duchovní závěť Grossetesteho pod názvem </w:t>
      </w:r>
      <w:r w:rsidR="002817B6" w:rsidRPr="001516B9">
        <w:rPr>
          <w:i/>
        </w:rPr>
        <w:t>Summa philosophiae</w:t>
      </w:r>
      <w:r w:rsidR="08DE6CFE">
        <w:t xml:space="preserve"> (kap. 3</w:t>
      </w:r>
      <w:r w:rsidR="002817B6">
        <w:t xml:space="preserve">.1.3) </w:t>
      </w:r>
      <w:r w:rsidR="001516B9">
        <w:t xml:space="preserve">na způsob </w:t>
      </w:r>
      <w:r w:rsidR="001516B9">
        <w:lastRenderedPageBreak/>
        <w:t xml:space="preserve">pařížských františkánů </w:t>
      </w:r>
      <w:r w:rsidR="002817B6">
        <w:t xml:space="preserve">shromážděných </w:t>
      </w:r>
      <w:r w:rsidR="001516B9">
        <w:t xml:space="preserve">kolem </w:t>
      </w:r>
      <w:r w:rsidR="000F6B4D">
        <w:rPr>
          <w:i/>
        </w:rPr>
        <w:t>Summa H</w:t>
      </w:r>
      <w:r w:rsidR="001516B9" w:rsidRPr="001516B9">
        <w:rPr>
          <w:i/>
        </w:rPr>
        <w:t>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1516B9">
        <w:t xml:space="preserve"> </w:t>
      </w:r>
      <w:r w:rsidR="002817B6">
        <w:t>v Paříži</w:t>
      </w:r>
      <w:r w:rsidR="00F61289" w:rsidRPr="00273106">
        <w:t>.</w:t>
      </w:r>
      <w:r w:rsidR="00721807" w:rsidRPr="00273106">
        <w:t xml:space="preserve"> </w:t>
      </w:r>
      <w:r w:rsidR="006270D5">
        <w:t>Editace těcht</w:t>
      </w:r>
      <w:r w:rsidR="002D42FA">
        <w:t xml:space="preserve">o dvou děl </w:t>
      </w:r>
      <w:r w:rsidR="00D0587F">
        <w:t xml:space="preserve">lokalizuje </w:t>
      </w:r>
      <w:r w:rsidR="002D42FA">
        <w:t>původní myšlenkové dílny moderny</w:t>
      </w:r>
      <w:r w:rsidR="006270D5">
        <w:t xml:space="preserve"> dané v Paříži a v Oxfordu</w:t>
      </w:r>
      <w:r w:rsidR="002D42FA">
        <w:t xml:space="preserve">. </w:t>
      </w:r>
      <w:r w:rsidR="00665D17" w:rsidRPr="00273106">
        <w:t xml:space="preserve">Podle averroistů </w:t>
      </w:r>
      <w:r w:rsidR="00242997">
        <w:t xml:space="preserve">inspirovaných Toledským výkladem Averroese </w:t>
      </w:r>
      <w:r w:rsidR="003934BB">
        <w:fldChar w:fldCharType="begin"/>
      </w:r>
      <w:r w:rsidR="003934BB">
        <w:instrText xml:space="preserve"> XE "</w:instrText>
      </w:r>
      <w:r w:rsidR="004A155A">
        <w:instrText>Toledská škola</w:instrText>
      </w:r>
      <w:r w:rsidR="003934BB">
        <w:instrText xml:space="preserve">" </w:instrText>
      </w:r>
      <w:r w:rsidR="003934BB">
        <w:fldChar w:fldCharType="end"/>
      </w:r>
      <w:r w:rsidR="00665D17" w:rsidRPr="00273106">
        <w:t>dělá p</w:t>
      </w:r>
      <w:r w:rsidR="00221596" w:rsidRPr="00273106">
        <w:t>oznání jeden oddělený činný intelekt pro všechny lidi</w:t>
      </w:r>
      <w:r w:rsidR="00665D17" w:rsidRPr="00273106">
        <w:t xml:space="preserve"> a </w:t>
      </w:r>
      <w:r w:rsidR="00221596" w:rsidRPr="00273106">
        <w:t>v duši existuje pouze materiálně daný možný intelekt</w:t>
      </w:r>
      <w:r w:rsidR="08891EC8">
        <w:t xml:space="preserve"> ve formě jsoucna třetího druhu</w:t>
      </w:r>
      <w:r w:rsidR="00221596" w:rsidRPr="00273106">
        <w:t xml:space="preserve">. </w:t>
      </w:r>
      <w:r w:rsidR="00B36F77">
        <w:t>N</w:t>
      </w:r>
      <w:r w:rsidR="00221596" w:rsidRPr="00273106">
        <w:t xml:space="preserve">asvícení </w:t>
      </w:r>
      <w:r w:rsidR="00B36F77">
        <w:t xml:space="preserve">receptivního intelektu </w:t>
      </w:r>
      <w:r w:rsidR="00221596" w:rsidRPr="00273106">
        <w:t>je dáno od</w:t>
      </w:r>
      <w:r w:rsidR="00B36F77">
        <w:t xml:space="preserve"> substanční oddělené hypostáze</w:t>
      </w:r>
      <w:r w:rsidR="08F93AC0">
        <w:t xml:space="preserve"> </w:t>
      </w:r>
      <w:r w:rsidR="08F93AC0" w:rsidRPr="08F93AC0">
        <w:rPr>
          <w:i/>
        </w:rPr>
        <w:t>intellectus agens</w:t>
      </w:r>
      <w:r w:rsidR="00B03BAB">
        <w:t xml:space="preserve">. </w:t>
      </w:r>
      <w:r w:rsidR="08606296">
        <w:t xml:space="preserve">Averroisté </w:t>
      </w:r>
      <w:r w:rsidR="00744B46">
        <w:t xml:space="preserve">v sofistickém výkladu CMDA </w:t>
      </w:r>
      <w:r w:rsidR="0040418B">
        <w:t xml:space="preserve">nechávají </w:t>
      </w:r>
      <w:r w:rsidR="08606296">
        <w:t xml:space="preserve">působit na člověka numericky jeden </w:t>
      </w:r>
      <w:r w:rsidR="00B03BAB" w:rsidRPr="00B03BAB">
        <w:rPr>
          <w:i/>
        </w:rPr>
        <w:t>intellectus possibilis</w:t>
      </w:r>
      <w:r w:rsidR="00F623C6">
        <w:t xml:space="preserve">. </w:t>
      </w:r>
      <w:r w:rsidR="00F623C6" w:rsidRPr="00F623C6">
        <w:t>Individualizovaný</w:t>
      </w:r>
      <w:r w:rsidR="00F623C6">
        <w:t xml:space="preserve"> materiální </w:t>
      </w:r>
      <w:r w:rsidR="00F623C6" w:rsidRPr="00F623C6">
        <w:t>intelekt se připojuje k tomuto oddělenému možn</w:t>
      </w:r>
      <w:r w:rsidR="00F623C6">
        <w:t xml:space="preserve">ému intelektu v </w:t>
      </w:r>
      <w:r w:rsidR="0064776E">
        <w:t xml:space="preserve">modu </w:t>
      </w:r>
      <w:r w:rsidR="0064776E" w:rsidRPr="0064776E">
        <w:rPr>
          <w:i/>
        </w:rPr>
        <w:t>copulatio</w:t>
      </w:r>
      <w:r w:rsidR="00221596" w:rsidRPr="00273106">
        <w:t xml:space="preserve">. </w:t>
      </w:r>
    </w:p>
    <w:p w14:paraId="5E2A0294" w14:textId="1E6BE771" w:rsidR="00A370E3" w:rsidRPr="0014604D" w:rsidRDefault="003C09B6" w:rsidP="00CA2C57">
      <w:pPr>
        <w:ind w:firstLine="397"/>
      </w:pPr>
      <w:r>
        <w:t xml:space="preserve">Albertův výklad třetí rozhodující knihy </w:t>
      </w:r>
      <w:r w:rsidRPr="00F81750">
        <w:rPr>
          <w:i/>
        </w:rPr>
        <w:t>De anima</w:t>
      </w:r>
      <w:r>
        <w:t xml:space="preserve"> </w:t>
      </w:r>
      <w:r w:rsidR="08194A73">
        <w:t>bránil</w:t>
      </w:r>
      <w:r>
        <w:t xml:space="preserve"> autentický v</w:t>
      </w:r>
      <w:r w:rsidR="00CC355C">
        <w:t>ýklad CMDA podle Sicilské školy. M</w:t>
      </w:r>
      <w:r>
        <w:t xml:space="preserve">odernisté </w:t>
      </w:r>
      <w:r w:rsidR="00CC355C">
        <w:t>zničili</w:t>
      </w:r>
      <w:r>
        <w:t xml:space="preserve"> pojetí pravdy jako adekvace a jednotu osoby. </w:t>
      </w:r>
      <w:r w:rsidR="00A370E3">
        <w:t>Pokračující zatmění první substance</w:t>
      </w:r>
      <w:r w:rsidR="00E27ABC">
        <w:fldChar w:fldCharType="begin"/>
      </w:r>
      <w:r w:rsidR="00E27ABC">
        <w:instrText xml:space="preserve"> XE "</w:instrText>
      </w:r>
      <w:r w:rsidR="00E73F13">
        <w:instrText>zatmění:</w:instrText>
      </w:r>
      <w:r w:rsidR="00E27ABC" w:rsidRPr="00C27681">
        <w:instrText>substance</w:instrText>
      </w:r>
      <w:r w:rsidR="00E27ABC">
        <w:instrText xml:space="preserve">" </w:instrText>
      </w:r>
      <w:r w:rsidR="00E27ABC">
        <w:fldChar w:fldCharType="end"/>
      </w:r>
      <w:r w:rsidR="00A370E3">
        <w:t xml:space="preserve"> v mode</w:t>
      </w:r>
      <w:r w:rsidR="000C59FB">
        <w:t xml:space="preserve">rně potvrzuje následující citát, který rozlišuje nasvícení jsoucna zezadu </w:t>
      </w:r>
      <w:r w:rsidR="080E754A">
        <w:t xml:space="preserve">podle Toledské školy </w:t>
      </w:r>
      <w:r w:rsidR="000C59FB">
        <w:t>nebo zepředu</w:t>
      </w:r>
      <w:r w:rsidR="080E754A" w:rsidRPr="080E754A">
        <w:t xml:space="preserve"> </w:t>
      </w:r>
      <w:r w:rsidR="080E754A">
        <w:t>podle Sicilské školy</w:t>
      </w:r>
      <w:r w:rsidR="000C59FB">
        <w:t xml:space="preserve">. Modernisté </w:t>
      </w:r>
      <w:r w:rsidR="00B247E1">
        <w:t xml:space="preserve">v linii Algazela a Avicenny </w:t>
      </w:r>
      <w:r w:rsidR="00F81750">
        <w:t xml:space="preserve">podali </w:t>
      </w:r>
      <w:r w:rsidR="000C59FB">
        <w:t>syntézu poznání formálně správně, ale definují ji v neoplatonské metafyzice intelektu-slunce.</w:t>
      </w:r>
      <w:r w:rsidR="0864012D" w:rsidRPr="0864012D">
        <w:t xml:space="preserve"> </w:t>
      </w:r>
      <w:r w:rsidR="0864012D">
        <w:t>Citát jasně vidí změněnou dráhu náhledu (</w:t>
      </w:r>
      <w:r w:rsidR="08F975E6">
        <w:rPr>
          <w:i/>
        </w:rPr>
        <w:t>Vor-</w:t>
      </w:r>
      <w:r w:rsidR="0864012D" w:rsidRPr="00A370E3">
        <w:rPr>
          <w:i/>
        </w:rPr>
        <w:t>blickbahn</w:t>
      </w:r>
      <w:r w:rsidR="0864012D">
        <w:rPr>
          <w:i/>
        </w:rPr>
        <w:fldChar w:fldCharType="begin"/>
      </w:r>
      <w:r w:rsidR="0864012D">
        <w:instrText xml:space="preserve"> XE "</w:instrText>
      </w:r>
      <w:r w:rsidR="08106DC9">
        <w:rPr>
          <w:i/>
        </w:rPr>
        <w:instrText>Vor-</w:instrText>
      </w:r>
      <w:r w:rsidR="0864012D" w:rsidRPr="000C66F2">
        <w:rPr>
          <w:i/>
        </w:rPr>
        <w:instrText>b</w:instrText>
      </w:r>
      <w:r w:rsidR="0864012D" w:rsidRPr="000C66F2">
        <w:rPr>
          <w:i/>
          <w:iCs/>
        </w:rPr>
        <w:instrText>lickbahn</w:instrText>
      </w:r>
      <w:r w:rsidR="0864012D" w:rsidRPr="00436712">
        <w:rPr>
          <w:iCs/>
        </w:rPr>
        <w:instrText>:druhý averroismus</w:instrText>
      </w:r>
      <w:r w:rsidR="0864012D">
        <w:instrText xml:space="preserve">" </w:instrText>
      </w:r>
      <w:r w:rsidR="0864012D">
        <w:rPr>
          <w:i/>
        </w:rPr>
        <w:fldChar w:fldCharType="end"/>
      </w:r>
      <w:r w:rsidR="0864012D">
        <w:t>) na smysl jsoucna v moderně.</w:t>
      </w:r>
      <w:r w:rsidR="087050E7" w:rsidRPr="087050E7">
        <w:t xml:space="preserve"> </w:t>
      </w:r>
      <w:r w:rsidR="087050E7" w:rsidRPr="0864012D">
        <w:t>Pojetí</w:t>
      </w:r>
      <w:r w:rsidR="087050E7">
        <w:rPr>
          <w:i/>
        </w:rPr>
        <w:t xml:space="preserve"> </w:t>
      </w:r>
      <w:r w:rsidR="087050E7" w:rsidRPr="00A370E3">
        <w:rPr>
          <w:i/>
        </w:rPr>
        <w:t>intellectus pos</w:t>
      </w:r>
      <w:r w:rsidR="087050E7">
        <w:rPr>
          <w:i/>
        </w:rPr>
        <w:t>s</w:t>
      </w:r>
      <w:r w:rsidR="087050E7" w:rsidRPr="00A370E3">
        <w:rPr>
          <w:i/>
        </w:rPr>
        <w:t>ibilis</w:t>
      </w:r>
      <w:r w:rsidR="087050E7">
        <w:t xml:space="preserve"> je zásadně změněno, protože receptivní intelekt se stal materií </w:t>
      </w:r>
      <w:r w:rsidR="080D629E">
        <w:t xml:space="preserve">třetího druhu v modu univerzálního hylemorfismu </w:t>
      </w:r>
      <w:r w:rsidR="086B2153">
        <w:t xml:space="preserve">pro aktivní intelekt. Ten mytopoeticky působí jako hypostázovaná forma na materiální intelekt složený z </w:t>
      </w:r>
      <w:r w:rsidR="086B2153" w:rsidRPr="086B2153">
        <w:rPr>
          <w:i/>
        </w:rPr>
        <w:t>materia spiritualis</w:t>
      </w:r>
      <w:r w:rsidR="080D629E">
        <w:t xml:space="preserve">. </w:t>
      </w:r>
      <w:r w:rsidR="08051D41" w:rsidRPr="00273106">
        <w:t xml:space="preserve">V modelu </w:t>
      </w:r>
      <w:r w:rsidR="08051D41" w:rsidRPr="00273106">
        <w:rPr>
          <w:i/>
        </w:rPr>
        <w:t>conversio</w:t>
      </w:r>
      <w:r w:rsidR="08051D41" w:rsidRPr="00273106">
        <w:t xml:space="preserve"> možného intelektu směrem k činnému intelektu jsou obsažené všechny nevýhody nasvícení smyslu jsoucna zezadu</w:t>
      </w:r>
      <w:r w:rsidR="08051D41">
        <w:fldChar w:fldCharType="begin"/>
      </w:r>
      <w:r w:rsidR="08051D41">
        <w:instrText xml:space="preserve"> XE "zjevování:</w:instrText>
      </w:r>
      <w:r w:rsidR="08051D41" w:rsidRPr="00A00B29">
        <w:instrText>nasvícení zezadu</w:instrText>
      </w:r>
      <w:r w:rsidR="08051D41">
        <w:instrText xml:space="preserve">" </w:instrText>
      </w:r>
      <w:r w:rsidR="08051D41">
        <w:fldChar w:fldCharType="end"/>
      </w:r>
      <w:r w:rsidR="08051D41" w:rsidRPr="00273106">
        <w:t>.</w:t>
      </w:r>
      <w:r w:rsidR="082E0D37">
        <w:t xml:space="preserve"> Podle Alberta je toto pojetí poznání naprosto absurdní, protože člověk přestane myslet jako osoba. </w:t>
      </w:r>
    </w:p>
    <w:p w14:paraId="0CB1E32D" w14:textId="77777777" w:rsidR="00A370E3" w:rsidRPr="00273106" w:rsidRDefault="00A370E3" w:rsidP="00A370E3">
      <w:pPr>
        <w:pStyle w:val="Citace"/>
        <w:rPr>
          <w:noProof/>
        </w:rPr>
      </w:pPr>
      <w:r w:rsidRPr="00273106">
        <w:rPr>
          <w:noProof/>
        </w:rPr>
        <w:t>„Intelekt přijme poznané formy tím, že činný intelekt formy očistí a připojí je k možnému intelektu</w:t>
      </w:r>
      <w:r w:rsidR="085665E6">
        <w:rPr>
          <w:noProof/>
          <w:lang w:val="cs-CZ"/>
        </w:rPr>
        <w:t xml:space="preserve"> (</w:t>
      </w:r>
      <w:r w:rsidR="085665E6" w:rsidRPr="085665E6">
        <w:rPr>
          <w:i/>
        </w:rPr>
        <w:t>agens, denudat eas et conjungit eas intellectui possibili</w:t>
      </w:r>
      <w:r w:rsidR="085665E6">
        <w:rPr>
          <w:noProof/>
          <w:lang w:val="cs-CZ"/>
        </w:rPr>
        <w:t>)</w:t>
      </w:r>
      <w:r w:rsidRPr="00273106">
        <w:rPr>
          <w:noProof/>
        </w:rPr>
        <w:t xml:space="preserve">. A protože jakákoliv intelektuální forma je přijatá od činného intelektu, je nutné, aby možný intelekt byl vždy obrácený k činnému intelektu.“ </w:t>
      </w:r>
      <w:r w:rsidRPr="00273106">
        <w:rPr>
          <w:rStyle w:val="Znakapoznpodarou"/>
          <w:noProof/>
          <w:lang w:val="cs-CZ"/>
        </w:rPr>
        <w:footnoteReference w:id="262"/>
      </w:r>
    </w:p>
    <w:p w14:paraId="1F64EF0B" w14:textId="6AC06AE8" w:rsidR="080B406D" w:rsidRDefault="082A64C8" w:rsidP="009D5A29">
      <w:r>
        <w:t xml:space="preserve">Moderní poznání </w:t>
      </w:r>
      <w:r w:rsidR="00CA2AA6">
        <w:t xml:space="preserve">bere </w:t>
      </w:r>
      <w:r w:rsidRPr="00A370E3">
        <w:rPr>
          <w:i/>
        </w:rPr>
        <w:t>intellectus</w:t>
      </w:r>
      <w:r>
        <w:rPr>
          <w:i/>
        </w:rPr>
        <w:t xml:space="preserve"> agens </w:t>
      </w:r>
      <w:r>
        <w:t>nasvícením zezadu</w:t>
      </w:r>
      <w:r w:rsidR="00CA2AA6">
        <w:t xml:space="preserve">. Aktivní intelekt pak vezme </w:t>
      </w:r>
      <w:r w:rsidRPr="00A370E3">
        <w:rPr>
          <w:i/>
        </w:rPr>
        <w:t xml:space="preserve"> intellectus pos</w:t>
      </w:r>
      <w:r>
        <w:rPr>
          <w:i/>
        </w:rPr>
        <w:t>s</w:t>
      </w:r>
      <w:r w:rsidRPr="00A370E3">
        <w:rPr>
          <w:i/>
        </w:rPr>
        <w:t>ibilis</w:t>
      </w:r>
      <w:r>
        <w:t xml:space="preserve"> jako spirituální materii</w:t>
      </w:r>
      <w:r w:rsidR="082B0126">
        <w:t xml:space="preserve"> a vtiskuje do ní denudované formy</w:t>
      </w:r>
      <w:r>
        <w:t xml:space="preserve">. </w:t>
      </w:r>
      <w:r w:rsidR="00CA2AA6">
        <w:t>Tím vznikne v lidské duši</w:t>
      </w:r>
      <w:r w:rsidR="082B0126">
        <w:t xml:space="preserve"> zásobárna porretánských </w:t>
      </w:r>
      <w:r w:rsidR="002E30FF" w:rsidRPr="002E30FF">
        <w:t>species</w:t>
      </w:r>
      <w:r w:rsidR="082B0126">
        <w:t xml:space="preserve"> daných jako simulákrum reálného světa</w:t>
      </w:r>
      <w:r w:rsidR="08F877E1">
        <w:t xml:space="preserve">. </w:t>
      </w:r>
      <w:r>
        <w:lastRenderedPageBreak/>
        <w:t>A</w:t>
      </w:r>
      <w:r w:rsidR="0071380F">
        <w:t xml:space="preserve">ugustiniánská </w:t>
      </w:r>
      <w:r w:rsidR="0071380F" w:rsidRPr="0071380F">
        <w:rPr>
          <w:i/>
        </w:rPr>
        <w:t>memoria</w:t>
      </w:r>
      <w:r w:rsidR="0071380F">
        <w:t xml:space="preserve"> funguje jako zásobárna </w:t>
      </w:r>
      <w:r w:rsidR="002E30FF" w:rsidRPr="002E30FF">
        <w:t>species</w:t>
      </w:r>
      <w:r w:rsidR="08AB6C8B">
        <w:t xml:space="preserve"> třetího druhu</w:t>
      </w:r>
      <w:r w:rsidR="00A834A2">
        <w:t>. Odělený činný intelekt si pak vytahuje tato species třetího druhu do moderního poznání skrze platonský akt anamnéze</w:t>
      </w:r>
      <w:r w:rsidR="0071380F">
        <w:t xml:space="preserve">. </w:t>
      </w:r>
      <w:r w:rsidR="0864378E">
        <w:t xml:space="preserve">Moderna postuluje </w:t>
      </w:r>
      <w:r w:rsidR="00D11422">
        <w:t xml:space="preserve">aktualitu </w:t>
      </w:r>
      <w:r w:rsidR="002E30FF" w:rsidRPr="002E30FF">
        <w:t>species</w:t>
      </w:r>
      <w:r w:rsidR="00D11422">
        <w:t xml:space="preserve"> v modu první substance, která působí </w:t>
      </w:r>
      <w:r w:rsidR="00700EB1">
        <w:t xml:space="preserve">skrze zásobárnu těchto esencí-substancí v </w:t>
      </w:r>
      <w:r w:rsidR="00700EB1" w:rsidRPr="00700EB1">
        <w:rPr>
          <w:i/>
        </w:rPr>
        <w:t>memoria</w:t>
      </w:r>
      <w:r w:rsidR="00700EB1">
        <w:t xml:space="preserve"> </w:t>
      </w:r>
      <w:r w:rsidR="00D11422">
        <w:t>na receptivní schopnost duše.</w:t>
      </w:r>
      <w:r w:rsidR="08AB6C8B">
        <w:t xml:space="preserve"> Albert obranou dvojího aktu intencionality </w:t>
      </w:r>
      <w:r w:rsidR="08E30842">
        <w:t xml:space="preserve">podle CMDA </w:t>
      </w:r>
      <w:r w:rsidR="08AB6C8B">
        <w:t xml:space="preserve">zásadně odmítá pojetí paměti jako </w:t>
      </w:r>
      <w:r w:rsidR="08AB6C8B" w:rsidRPr="08AB6C8B">
        <w:rPr>
          <w:i/>
        </w:rPr>
        <w:t>locus specierum</w:t>
      </w:r>
      <w:r w:rsidR="08AB6C8B">
        <w:t>, které měl druhý averroismus Bonaventury a Pechama v podobě jsoucen třetího druhu (</w:t>
      </w:r>
      <w:r w:rsidR="08AB6C8B" w:rsidRPr="08AB6C8B">
        <w:rPr>
          <w:i/>
        </w:rPr>
        <w:t>sunt in anima sicut actus in potentia, hoc esse non potest</w:t>
      </w:r>
      <w:r w:rsidR="08AB6C8B">
        <w:t>).</w:t>
      </w:r>
      <w:r w:rsidR="00D11422">
        <w:rPr>
          <w:rStyle w:val="Znakapoznpodarou"/>
        </w:rPr>
        <w:footnoteReference w:id="263"/>
      </w:r>
      <w:r w:rsidR="00D11422">
        <w:t xml:space="preserve"> </w:t>
      </w:r>
      <w:r w:rsidR="08E30842">
        <w:t>T</w:t>
      </w:r>
      <w:r w:rsidR="00D11422">
        <w:t xml:space="preserve">oto </w:t>
      </w:r>
      <w:r w:rsidR="00700EB1">
        <w:t xml:space="preserve">pseudo-aktuální </w:t>
      </w:r>
      <w:r w:rsidR="00D11422">
        <w:t>jsoucno třetího</w:t>
      </w:r>
      <w:r w:rsidR="00700EB1">
        <w:t xml:space="preserve"> druhu</w:t>
      </w:r>
      <w:r w:rsidR="00D11422">
        <w:t xml:space="preserve"> </w:t>
      </w:r>
      <w:r w:rsidR="08E30842">
        <w:t>(</w:t>
      </w:r>
      <w:r w:rsidR="08E30842" w:rsidRPr="08E30842">
        <w:rPr>
          <w:i/>
        </w:rPr>
        <w:t>hoc esse</w:t>
      </w:r>
      <w:r w:rsidR="08E30842">
        <w:t xml:space="preserve">) </w:t>
      </w:r>
      <w:r w:rsidR="08C57658">
        <w:t xml:space="preserve">v aristotelské paměti </w:t>
      </w:r>
      <w:r w:rsidR="00D11422">
        <w:t>neexistuje</w:t>
      </w:r>
      <w:r w:rsidR="00700EB1">
        <w:t>, protože nemá jak</w:t>
      </w:r>
      <w:r w:rsidR="00D11422">
        <w:t xml:space="preserve">. Proto je modernistické pojetí poznání </w:t>
      </w:r>
      <w:r w:rsidR="08E30842">
        <w:t xml:space="preserve">založené na </w:t>
      </w:r>
      <w:r w:rsidR="086E352E">
        <w:t>a</w:t>
      </w:r>
      <w:r w:rsidR="08E30842">
        <w:t xml:space="preserve">similačním modelu pravdy </w:t>
      </w:r>
      <w:r w:rsidR="00D11422">
        <w:t xml:space="preserve">zásadně mylné. </w:t>
      </w:r>
      <w:r w:rsidR="086E352E">
        <w:t xml:space="preserve">V modu současného metafyzického nihilismu funguje nikoliv kosmický </w:t>
      </w:r>
      <w:r w:rsidR="086E352E" w:rsidRPr="08F877E1">
        <w:rPr>
          <w:i/>
        </w:rPr>
        <w:t>intellectus agens</w:t>
      </w:r>
      <w:r w:rsidR="086E352E">
        <w:t xml:space="preserve">, ale jeho </w:t>
      </w:r>
      <w:r w:rsidR="00E96D2A">
        <w:t xml:space="preserve">současná </w:t>
      </w:r>
      <w:r w:rsidR="086E352E">
        <w:t>globální náhražka</w:t>
      </w:r>
      <w:r w:rsidR="00E96D2A">
        <w:t xml:space="preserve"> ve formě umělé inteligence</w:t>
      </w:r>
      <w:r w:rsidR="086E352E">
        <w:t xml:space="preserve">. Ta vtiskuje jsoucna třetího druhu skrze digitální pečetidlo z dialogu </w:t>
      </w:r>
      <w:r w:rsidR="086E352E" w:rsidRPr="08F877E1">
        <w:rPr>
          <w:i/>
        </w:rPr>
        <w:t>Theaitetos</w:t>
      </w:r>
      <w:r w:rsidR="086E352E">
        <w:t xml:space="preserve"> (</w:t>
      </w:r>
      <w:r w:rsidR="08F975E6">
        <w:t xml:space="preserve">OBJ I, </w:t>
      </w:r>
      <w:r w:rsidR="086E352E">
        <w:t>kap. 2.4.2) do spirituální materie tvořené cloudovými databázemi</w:t>
      </w:r>
      <w:r w:rsidR="086E352E">
        <w:rPr>
          <w:i/>
          <w:iCs/>
        </w:rPr>
        <w:fldChar w:fldCharType="begin"/>
      </w:r>
      <w:r w:rsidR="086E352E">
        <w:instrText xml:space="preserve"> XE "</w:instrText>
      </w:r>
      <w:r w:rsidR="086E352E" w:rsidRPr="00E1232A">
        <w:rPr>
          <w:i/>
        </w:rPr>
        <w:instrText>cloud computing</w:instrText>
      </w:r>
      <w:r w:rsidR="086E352E">
        <w:instrText xml:space="preserve">" </w:instrText>
      </w:r>
      <w:r w:rsidR="086E352E">
        <w:rPr>
          <w:i/>
          <w:iCs/>
        </w:rPr>
        <w:fldChar w:fldCharType="end"/>
      </w:r>
      <w:r w:rsidR="086E352E">
        <w:t xml:space="preserve">. Albert správně namítá, že toto schéma poznání podle Toledské školy je platonské, nikoliv aristotelské. </w:t>
      </w:r>
      <w:r w:rsidR="00221596" w:rsidRPr="00273106">
        <w:t xml:space="preserve">Podle Alberta tehdejší </w:t>
      </w:r>
      <w:r w:rsidR="00221596" w:rsidRPr="00273106">
        <w:rPr>
          <w:i/>
        </w:rPr>
        <w:t>Moderni</w:t>
      </w:r>
      <w:r w:rsidR="00B86F73">
        <w:rPr>
          <w:i/>
        </w:rPr>
        <w:fldChar w:fldCharType="begin"/>
      </w:r>
      <w:r w:rsidR="00B86F73">
        <w:instrText xml:space="preserve"> XE "</w:instrText>
      </w:r>
      <w:r w:rsidR="00B86F73" w:rsidRPr="00B46F32">
        <w:instrText>averroismus:</w:instrText>
      </w:r>
      <w:r w:rsidR="00B86F73" w:rsidRPr="00436712">
        <w:rPr>
          <w:i/>
        </w:rPr>
        <w:instrText>Moderni</w:instrText>
      </w:r>
      <w:r w:rsidR="00B86F73">
        <w:instrText xml:space="preserve">" </w:instrText>
      </w:r>
      <w:r w:rsidR="00B86F73">
        <w:rPr>
          <w:i/>
        </w:rPr>
        <w:fldChar w:fldCharType="end"/>
      </w:r>
      <w:r w:rsidR="00221596" w:rsidRPr="00273106">
        <w:t xml:space="preserve"> nakupili všechny omyly neoplatoniků na jednu hromadu. Od Avicenny si vzali systém nasvícení </w:t>
      </w:r>
      <w:r w:rsidR="007A015A" w:rsidRPr="00273106">
        <w:t xml:space="preserve">zezadu </w:t>
      </w:r>
      <w:r w:rsidR="0069460B">
        <w:t xml:space="preserve">jako substanci </w:t>
      </w:r>
      <w:r w:rsidR="00221596" w:rsidRPr="00273106">
        <w:t>(</w:t>
      </w:r>
      <w:r w:rsidR="00221596" w:rsidRPr="00273106">
        <w:rPr>
          <w:i/>
        </w:rPr>
        <w:t>conversio possibilis ad intellectum agentem</w:t>
      </w:r>
      <w:r w:rsidR="00221596" w:rsidRPr="00273106">
        <w:t>)</w:t>
      </w:r>
      <w:r w:rsidR="0069460B">
        <w:t xml:space="preserve">. Tím </w:t>
      </w:r>
      <w:r w:rsidR="00B47B12" w:rsidRPr="00273106">
        <w:t xml:space="preserve">si zajistili </w:t>
      </w:r>
      <w:r w:rsidR="00055559" w:rsidRPr="00273106">
        <w:t xml:space="preserve">avicennovskou </w:t>
      </w:r>
      <w:r w:rsidR="00B47B12" w:rsidRPr="00273106">
        <w:t xml:space="preserve">jistotu esence v rámci </w:t>
      </w:r>
      <w:r w:rsidR="08AE4EF4">
        <w:t xml:space="preserve">spekulativního zrcadlení </w:t>
      </w:r>
      <w:r w:rsidR="00B47B12" w:rsidRPr="00273106">
        <w:t>univočních forem</w:t>
      </w:r>
      <w:r w:rsidR="00055559" w:rsidRPr="00273106">
        <w:t xml:space="preserve"> </w:t>
      </w:r>
      <w:r w:rsidR="00C87354" w:rsidRPr="00273106">
        <w:t xml:space="preserve">přešlých </w:t>
      </w:r>
      <w:r w:rsidR="00055559" w:rsidRPr="00273106">
        <w:t>z odděleného intelektu do našeho poznání</w:t>
      </w:r>
      <w:r w:rsidR="0069460B">
        <w:t xml:space="preserve"> </w:t>
      </w:r>
      <w:r w:rsidR="00485643">
        <w:fldChar w:fldCharType="begin"/>
      </w:r>
      <w:r w:rsidR="00485643">
        <w:instrText xml:space="preserve"> XE "</w:instrText>
      </w:r>
      <w:r w:rsidR="00485643" w:rsidRPr="00A60682">
        <w:instrText>dedukce:objektivní</w:instrText>
      </w:r>
      <w:r w:rsidR="00485643">
        <w:instrText xml:space="preserve">" </w:instrText>
      </w:r>
      <w:r w:rsidR="00485643">
        <w:fldChar w:fldCharType="end"/>
      </w:r>
      <w:r w:rsidR="08720A00">
        <w:t>(</w:t>
      </w:r>
      <w:r w:rsidR="08720A00" w:rsidRPr="08AE4EF4">
        <w:rPr>
          <w:i/>
        </w:rPr>
        <w:t>exsistere</w:t>
      </w:r>
      <w:r w:rsidR="08296BED">
        <w:rPr>
          <w:i/>
          <w:vertAlign w:val="superscript"/>
        </w:rPr>
        <w:t>1</w:t>
      </w:r>
      <w:r w:rsidR="08720A00">
        <w:t>)</w:t>
      </w:r>
      <w:r w:rsidR="08B7205D">
        <w:t xml:space="preserve">. </w:t>
      </w:r>
      <w:r w:rsidR="00B92894" w:rsidRPr="00273106">
        <w:t xml:space="preserve">Formy přecházejí z odděleného intelektu do darovaného intelektu v rámci </w:t>
      </w:r>
      <w:r w:rsidR="08D64110">
        <w:t xml:space="preserve">příslušného eidetického </w:t>
      </w:r>
      <w:r w:rsidR="08720A00">
        <w:t xml:space="preserve">a tedy „ex-sistenčního“ </w:t>
      </w:r>
      <w:r w:rsidR="08D64110">
        <w:t>náhledu</w:t>
      </w:r>
      <w:r w:rsidR="08720A00">
        <w:t xml:space="preserve">. </w:t>
      </w:r>
      <w:r w:rsidR="08B7205D">
        <w:t>P</w:t>
      </w:r>
      <w:r w:rsidR="083804F9">
        <w:t>ozn</w:t>
      </w:r>
      <w:r w:rsidR="08B7205D">
        <w:t>á</w:t>
      </w:r>
      <w:r w:rsidR="083804F9">
        <w:t>ní</w:t>
      </w:r>
      <w:r w:rsidR="08B7205D">
        <w:t xml:space="preserve"> vzniká v intelektu </w:t>
      </w:r>
      <w:r w:rsidR="083804F9">
        <w:t>jako porretánská forma</w:t>
      </w:r>
      <w:r w:rsidR="08B7205D">
        <w:t xml:space="preserve"> buď v procesu denudace </w:t>
      </w:r>
      <w:r w:rsidR="00B92894" w:rsidRPr="08D64110">
        <w:t>(</w:t>
      </w:r>
      <w:r w:rsidR="00B92894" w:rsidRPr="08D64110">
        <w:rPr>
          <w:i/>
        </w:rPr>
        <w:t>productio</w:t>
      </w:r>
      <w:r w:rsidR="08B7205D">
        <w:t>). N</w:t>
      </w:r>
      <w:r w:rsidR="08D64110">
        <w:t xml:space="preserve">ebo </w:t>
      </w:r>
      <w:r w:rsidR="08B7205D">
        <w:t xml:space="preserve">vzniká </w:t>
      </w:r>
      <w:r w:rsidR="08D64110">
        <w:t xml:space="preserve">dělením v rámci amfibolní predikace </w:t>
      </w:r>
      <w:r w:rsidR="08D64110">
        <w:fldChar w:fldCharType="begin"/>
      </w:r>
      <w:r w:rsidR="08D64110">
        <w:instrText xml:space="preserve"> XE "</w:instrText>
      </w:r>
      <w:r w:rsidR="08D64110" w:rsidRPr="08644743">
        <w:instrText>predikace:amfibolní</w:instrText>
      </w:r>
      <w:r w:rsidR="08D64110">
        <w:instrText xml:space="preserve">" </w:instrText>
      </w:r>
      <w:r w:rsidR="08D64110">
        <w:fldChar w:fldCharType="end"/>
      </w:r>
      <w:r w:rsidR="083804F9">
        <w:t>, kdy d</w:t>
      </w:r>
      <w:r w:rsidR="08B7205D">
        <w:t xml:space="preserve">ělení rodů skrze </w:t>
      </w:r>
      <w:r w:rsidR="08B7205D" w:rsidRPr="08B7205D">
        <w:rPr>
          <w:i/>
        </w:rPr>
        <w:t>Arbor Porphyriana</w:t>
      </w:r>
      <w:r w:rsidR="08B7205D">
        <w:t xml:space="preserve"> jde až k </w:t>
      </w:r>
      <w:r w:rsidR="08D64110">
        <w:t>poslední individu</w:t>
      </w:r>
      <w:r w:rsidR="08D64110" w:rsidRPr="08D64110">
        <w:t>á</w:t>
      </w:r>
      <w:r w:rsidR="08D64110">
        <w:t>ln</w:t>
      </w:r>
      <w:r w:rsidR="08B7205D">
        <w:t>í jednotce</w:t>
      </w:r>
      <w:r w:rsidR="08D64110" w:rsidRPr="08D64110">
        <w:t xml:space="preserve"> významu (</w:t>
      </w:r>
      <w:r w:rsidR="00B92894" w:rsidRPr="08D64110">
        <w:rPr>
          <w:i/>
        </w:rPr>
        <w:t>resolutio</w:t>
      </w:r>
      <w:r w:rsidR="005A68A7" w:rsidRPr="08D64110">
        <w:fldChar w:fldCharType="begin"/>
      </w:r>
      <w:r w:rsidR="005A68A7" w:rsidRPr="08D64110">
        <w:instrText xml:space="preserve"> XE "</w:instrText>
      </w:r>
      <w:r w:rsidR="005A68A7" w:rsidRPr="088B58DA">
        <w:rPr>
          <w:i/>
        </w:rPr>
        <w:instrText>resolutio</w:instrText>
      </w:r>
      <w:r w:rsidR="007D3515" w:rsidRPr="08D64110">
        <w:instrText>:druhý averroismus</w:instrText>
      </w:r>
      <w:r w:rsidR="005A68A7" w:rsidRPr="08D64110">
        <w:instrText xml:space="preserve">" </w:instrText>
      </w:r>
      <w:r w:rsidR="005A68A7" w:rsidRPr="08D64110">
        <w:fldChar w:fldCharType="end"/>
      </w:r>
      <w:r w:rsidR="00B92894" w:rsidRPr="08D64110">
        <w:t>).</w:t>
      </w:r>
      <w:r w:rsidR="00B92894" w:rsidRPr="00273106">
        <w:t xml:space="preserve"> </w:t>
      </w:r>
      <w:r w:rsidR="002529C5" w:rsidRPr="00273106">
        <w:t>I</w:t>
      </w:r>
      <w:r w:rsidR="00B92894" w:rsidRPr="00273106">
        <w:t>ntelekt moderních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B92894" w:rsidRPr="00273106">
        <w:t xml:space="preserve"> či karteziánské </w:t>
      </w:r>
      <w:r w:rsidR="00B92894" w:rsidRPr="00273106">
        <w:rPr>
          <w:i/>
        </w:rPr>
        <w:t>cogito</w:t>
      </w:r>
      <w:r w:rsidR="00303907">
        <w:rPr>
          <w:i/>
        </w:rPr>
        <w:fldChar w:fldCharType="begin"/>
      </w:r>
      <w:r w:rsidR="00303907">
        <w:instrText xml:space="preserve"> XE "</w:instrText>
      </w:r>
      <w:r w:rsidR="00303907" w:rsidRPr="003D2937">
        <w:rPr>
          <w:i/>
        </w:rPr>
        <w:instrText>cogito</w:instrText>
      </w:r>
      <w:r w:rsidR="00303907">
        <w:instrText xml:space="preserve">" </w:instrText>
      </w:r>
      <w:r w:rsidR="00303907">
        <w:rPr>
          <w:i/>
        </w:rPr>
        <w:fldChar w:fldCharType="end"/>
      </w:r>
      <w:r w:rsidR="00B92894" w:rsidRPr="00273106">
        <w:t xml:space="preserve"> dodatečně rektifikuje </w:t>
      </w:r>
      <w:r w:rsidR="001E4204" w:rsidRPr="00273106">
        <w:t xml:space="preserve">v modu pravdy jako </w:t>
      </w:r>
      <w:r w:rsidR="00AD46AA" w:rsidRPr="00273106">
        <w:t xml:space="preserve">Anselmova </w:t>
      </w:r>
      <w:r w:rsidR="001E4204" w:rsidRPr="00273106">
        <w:rPr>
          <w:i/>
        </w:rPr>
        <w:t>rectitudo</w:t>
      </w:r>
      <w:r w:rsidR="00436712">
        <w:rPr>
          <w:i/>
        </w:rPr>
        <w:fldChar w:fldCharType="begin"/>
      </w:r>
      <w:r w:rsidR="00436712">
        <w:instrText xml:space="preserve"> XE "pravda:</w:instrText>
      </w:r>
      <w:r w:rsidR="00436712" w:rsidRPr="00AB6C3D">
        <w:rPr>
          <w:i/>
        </w:rPr>
        <w:instrText>rectitudo</w:instrText>
      </w:r>
      <w:r w:rsidR="00436712">
        <w:instrText xml:space="preserve">" </w:instrText>
      </w:r>
      <w:r w:rsidR="00436712">
        <w:rPr>
          <w:i/>
        </w:rPr>
        <w:fldChar w:fldCharType="end"/>
      </w:r>
      <w:r w:rsidR="001E4204" w:rsidRPr="00273106">
        <w:t xml:space="preserve"> </w:t>
      </w:r>
      <w:r w:rsidR="002529C5" w:rsidRPr="00273106">
        <w:t xml:space="preserve">a </w:t>
      </w:r>
      <w:r w:rsidR="00AD46AA" w:rsidRPr="00273106">
        <w:t xml:space="preserve">Avicennova </w:t>
      </w:r>
      <w:r w:rsidR="002529C5" w:rsidRPr="00273106">
        <w:rPr>
          <w:i/>
        </w:rPr>
        <w:t>certitudo</w:t>
      </w:r>
      <w:r w:rsidR="00436712">
        <w:rPr>
          <w:i/>
        </w:rPr>
        <w:fldChar w:fldCharType="begin"/>
      </w:r>
      <w:r w:rsidR="00436712">
        <w:instrText xml:space="preserve"> XE "pravda:</w:instrText>
      </w:r>
      <w:r w:rsidR="00436712" w:rsidRPr="00211505">
        <w:rPr>
          <w:i/>
        </w:rPr>
        <w:instrText>certitudo</w:instrText>
      </w:r>
      <w:r w:rsidR="00436712">
        <w:instrText xml:space="preserve">" </w:instrText>
      </w:r>
      <w:r w:rsidR="00436712">
        <w:rPr>
          <w:i/>
        </w:rPr>
        <w:fldChar w:fldCharType="end"/>
      </w:r>
      <w:r w:rsidR="002529C5" w:rsidRPr="00273106">
        <w:t xml:space="preserve"> </w:t>
      </w:r>
      <w:r w:rsidR="001E4204" w:rsidRPr="00273106">
        <w:t xml:space="preserve">výskyt </w:t>
      </w:r>
      <w:r w:rsidR="00B92894" w:rsidRPr="00273106">
        <w:t xml:space="preserve">již nahlédnutých </w:t>
      </w:r>
      <w:r w:rsidR="08183D44">
        <w:t xml:space="preserve">a reflektovaných </w:t>
      </w:r>
      <w:r w:rsidR="00B92894" w:rsidRPr="00273106">
        <w:t xml:space="preserve">forem </w:t>
      </w:r>
      <w:r w:rsidR="001E4204" w:rsidRPr="00273106">
        <w:t xml:space="preserve">také </w:t>
      </w:r>
      <w:r w:rsidR="00B92894" w:rsidRPr="00273106">
        <w:t>v sekundárním aktu jejich „přesazení“ do reálné věci (</w:t>
      </w:r>
      <w:r w:rsidR="007E7D7D" w:rsidRPr="00273106">
        <w:rPr>
          <w:i/>
        </w:rPr>
        <w:t>ex</w:t>
      </w:r>
      <w:r w:rsidR="00B92894" w:rsidRPr="00273106">
        <w:rPr>
          <w:i/>
        </w:rPr>
        <w:t>sistere</w:t>
      </w:r>
      <w:r w:rsidR="08296BED">
        <w:rPr>
          <w:i/>
          <w:vertAlign w:val="superscript"/>
        </w:rPr>
        <w:t>2</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B92894" w:rsidRPr="00273106">
        <w:t>). Tím</w:t>
      </w:r>
      <w:r w:rsidR="00117073" w:rsidRPr="00273106">
        <w:t>to</w:t>
      </w:r>
      <w:r w:rsidR="00B92894" w:rsidRPr="00273106">
        <w:t xml:space="preserve"> dvojím pohybem jistoty od </w:t>
      </w:r>
      <w:r w:rsidR="00056380" w:rsidRPr="00273106">
        <w:t xml:space="preserve">objektivního </w:t>
      </w:r>
      <w:r w:rsidR="00117073" w:rsidRPr="00273106">
        <w:t xml:space="preserve">exemplaru k </w:t>
      </w:r>
      <w:r w:rsidR="00305588" w:rsidRPr="00273106">
        <w:lastRenderedPageBreak/>
        <w:t xml:space="preserve">esenciální </w:t>
      </w:r>
      <w:r w:rsidR="00117073" w:rsidRPr="00273106">
        <w:t xml:space="preserve">formě a </w:t>
      </w:r>
      <w:r w:rsidR="08D13D14">
        <w:t xml:space="preserve">od </w:t>
      </w:r>
      <w:r w:rsidR="08D13D14" w:rsidRPr="00273106">
        <w:t xml:space="preserve">esenciální </w:t>
      </w:r>
      <w:r w:rsidR="08D13D14">
        <w:t>formy</w:t>
      </w:r>
      <w:r w:rsidR="08D13D14" w:rsidRPr="00273106">
        <w:t xml:space="preserve"> </w:t>
      </w:r>
      <w:r w:rsidR="00B92894" w:rsidRPr="00273106">
        <w:t xml:space="preserve">k </w:t>
      </w:r>
      <w:r w:rsidR="00305588" w:rsidRPr="00273106">
        <w:t xml:space="preserve">reálné </w:t>
      </w:r>
      <w:r w:rsidR="00B92894" w:rsidRPr="00273106">
        <w:t xml:space="preserve">věci </w:t>
      </w:r>
      <w:r w:rsidR="002916CF" w:rsidRPr="00273106">
        <w:t xml:space="preserve">našla </w:t>
      </w:r>
      <w:r w:rsidR="00B92894" w:rsidRPr="00273106">
        <w:t xml:space="preserve">moderna poslední určení jsoucna v rámci </w:t>
      </w:r>
      <w:r w:rsidR="00305588" w:rsidRPr="00273106">
        <w:t>nov</w:t>
      </w:r>
      <w:r w:rsidR="00B92894" w:rsidRPr="00273106">
        <w:t xml:space="preserve">ého metafyzického </w:t>
      </w:r>
      <w:r w:rsidR="00B92894" w:rsidRPr="00273106">
        <w:rPr>
          <w:i/>
        </w:rPr>
        <w:t>Gründung</w:t>
      </w:r>
      <w:r w:rsidR="00AB6F62">
        <w:rPr>
          <w:i/>
        </w:rPr>
        <w:fldChar w:fldCharType="begin"/>
      </w:r>
      <w:r w:rsidR="00AB6F62">
        <w:instrText xml:space="preserve"> XE "metafyzika:</w:instrText>
      </w:r>
      <w:r w:rsidR="00AB6F62" w:rsidRPr="00F1306C">
        <w:rPr>
          <w:i/>
        </w:rPr>
        <w:instrText>Gründung</w:instrText>
      </w:r>
      <w:r w:rsidR="00AB6F62">
        <w:instrText xml:space="preserve">" </w:instrText>
      </w:r>
      <w:r w:rsidR="00AB6F62">
        <w:rPr>
          <w:i/>
        </w:rPr>
        <w:fldChar w:fldCharType="end"/>
      </w:r>
      <w:r w:rsidR="08C94322">
        <w:t xml:space="preserve"> (OBJ I, kap. 1.2). </w:t>
      </w:r>
      <w:r w:rsidR="00B47B12" w:rsidRPr="00273106">
        <w:t xml:space="preserve">Stejný typ </w:t>
      </w:r>
      <w:r w:rsidR="00B47B12" w:rsidRPr="00273106">
        <w:rPr>
          <w:i/>
        </w:rPr>
        <w:t>tertium ens</w:t>
      </w:r>
      <w:r w:rsidR="00B47B12" w:rsidRPr="00273106">
        <w:t xml:space="preserve"> denudované</w:t>
      </w:r>
      <w:r w:rsidR="008A3624">
        <w:t>ho</w:t>
      </w:r>
      <w:r w:rsidR="00B47B12" w:rsidRPr="00273106">
        <w:t xml:space="preserve"> z hylemorfických prvních substancí </w:t>
      </w:r>
      <w:r w:rsidR="000708F4" w:rsidRPr="00273106">
        <w:t xml:space="preserve">averroisté </w:t>
      </w:r>
      <w:r w:rsidR="00221596" w:rsidRPr="00273106">
        <w:t xml:space="preserve">umístili do augustiniánsky pojaté </w:t>
      </w:r>
      <w:r w:rsidR="00221596" w:rsidRPr="00273106">
        <w:rPr>
          <w:i/>
        </w:rPr>
        <w:t>memoria</w:t>
      </w:r>
      <w:r w:rsidR="00E6051F">
        <w:rPr>
          <w:i/>
        </w:rPr>
        <w:fldChar w:fldCharType="begin"/>
      </w:r>
      <w:r w:rsidR="00E6051F">
        <w:instrText xml:space="preserve"> XE "</w:instrText>
      </w:r>
      <w:r w:rsidR="00E6051F" w:rsidRPr="00840D0F">
        <w:rPr>
          <w:i/>
        </w:rPr>
        <w:instrText>memoria:</w:instrText>
      </w:r>
      <w:r w:rsidR="00E6051F" w:rsidRPr="00840D0F">
        <w:instrText>druhý averroismus</w:instrText>
      </w:r>
      <w:r w:rsidR="00E6051F">
        <w:instrText xml:space="preserve">" </w:instrText>
      </w:r>
      <w:r w:rsidR="00E6051F">
        <w:rPr>
          <w:i/>
        </w:rPr>
        <w:fldChar w:fldCharType="end"/>
      </w:r>
      <w:r w:rsidR="00221596" w:rsidRPr="00273106">
        <w:t xml:space="preserve">, která se stala zásobárnou </w:t>
      </w:r>
      <w:r w:rsidR="007A015A" w:rsidRPr="00273106">
        <w:t xml:space="preserve">nemateriálních </w:t>
      </w:r>
      <w:r w:rsidR="002E30FF" w:rsidRPr="002E30FF">
        <w:t>species</w:t>
      </w:r>
      <w:r w:rsidR="00BF0CA2" w:rsidRPr="00273106">
        <w:t xml:space="preserve"> (</w:t>
      </w:r>
      <w:r w:rsidR="00BF0CA2" w:rsidRPr="00273106">
        <w:rPr>
          <w:i/>
        </w:rPr>
        <w:t>locus specierum</w:t>
      </w:r>
      <w:r w:rsidR="00CC2962">
        <w:rPr>
          <w:i/>
        </w:rPr>
        <w:fldChar w:fldCharType="begin"/>
      </w:r>
      <w:r w:rsidR="00CC2962">
        <w:instrText xml:space="preserve"> XE "</w:instrText>
      </w:r>
      <w:r w:rsidR="00CC2962" w:rsidRPr="009E5259">
        <w:rPr>
          <w:i/>
        </w:rPr>
        <w:instrText>locus specierum</w:instrText>
      </w:r>
      <w:r w:rsidR="00CC2962">
        <w:instrText xml:space="preserve">" </w:instrText>
      </w:r>
      <w:r w:rsidR="00CC2962">
        <w:rPr>
          <w:i/>
        </w:rPr>
        <w:fldChar w:fldCharType="end"/>
      </w:r>
      <w:r w:rsidR="08C94322">
        <w:t>; OBJ III, kap. 4</w:t>
      </w:r>
      <w:r w:rsidR="00DB1608" w:rsidRPr="00273106">
        <w:t>.3.1</w:t>
      </w:r>
      <w:r w:rsidR="00BF0CA2" w:rsidRPr="00273106">
        <w:t>)</w:t>
      </w:r>
      <w:r w:rsidR="00221596" w:rsidRPr="00273106">
        <w:t xml:space="preserve">. </w:t>
      </w:r>
      <w:r w:rsidR="00BF0CA2" w:rsidRPr="00273106">
        <w:t xml:space="preserve">Paměť </w:t>
      </w:r>
      <w:r w:rsidR="006D39F4" w:rsidRPr="00273106">
        <w:t xml:space="preserve">uchovávající </w:t>
      </w:r>
      <w:r w:rsidR="002E30FF" w:rsidRPr="002E30FF">
        <w:t>species</w:t>
      </w:r>
      <w:r w:rsidR="00BF0CA2" w:rsidRPr="00273106">
        <w:t xml:space="preserve"> třetího druhu se </w:t>
      </w:r>
      <w:r w:rsidR="006D39F4" w:rsidRPr="00273106">
        <w:t xml:space="preserve">v postmoderně </w:t>
      </w:r>
      <w:r w:rsidR="00BF0CA2" w:rsidRPr="00273106">
        <w:t>stala epochálně novým místem, odk</w:t>
      </w:r>
      <w:r w:rsidR="00EB4057" w:rsidRPr="00273106">
        <w:t xml:space="preserve">ud se rozbíhá poznání aktuálního, čili sebereflektujícího </w:t>
      </w:r>
      <w:r w:rsidR="00EB4057"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436712" w:rsidRPr="00436712">
        <w:instrText>moderna</w:instrText>
      </w:r>
      <w:r w:rsidR="00DF1F0F">
        <w:instrText xml:space="preserve">" </w:instrText>
      </w:r>
      <w:r w:rsidR="00DF1F0F">
        <w:rPr>
          <w:i/>
        </w:rPr>
        <w:fldChar w:fldCharType="end"/>
      </w:r>
      <w:r w:rsidR="00EB4057" w:rsidRPr="00273106">
        <w:t>. O</w:t>
      </w:r>
      <w:r w:rsidR="00DB1608" w:rsidRPr="00273106">
        <w:t xml:space="preserve">d </w:t>
      </w:r>
      <w:r w:rsidR="003E5BAC" w:rsidRPr="00273106">
        <w:t xml:space="preserve">postmoderního avicennisty </w:t>
      </w:r>
      <w:r w:rsidR="00DB1608" w:rsidRPr="00273106">
        <w:t>Johna Locka</w:t>
      </w:r>
      <w:r w:rsidR="005D7A5D">
        <w:fldChar w:fldCharType="begin"/>
      </w:r>
      <w:r w:rsidR="005D7A5D">
        <w:instrText xml:space="preserve"> XE "</w:instrText>
      </w:r>
      <w:r w:rsidR="005D7A5D" w:rsidRPr="00204F54">
        <w:instrText>Locke, J.</w:instrText>
      </w:r>
      <w:r w:rsidR="005D7A5D">
        <w:instrText xml:space="preserve">" </w:instrText>
      </w:r>
      <w:r w:rsidR="005D7A5D">
        <w:fldChar w:fldCharType="end"/>
      </w:r>
      <w:r w:rsidR="00DB1608" w:rsidRPr="00273106">
        <w:t xml:space="preserve"> se </w:t>
      </w:r>
      <w:r w:rsidR="00EB4057" w:rsidRPr="00273106">
        <w:t xml:space="preserve">takto daná sebereflexivní paměť </w:t>
      </w:r>
      <w:r w:rsidR="00DB1608" w:rsidRPr="00273106">
        <w:t xml:space="preserve">stala i místem </w:t>
      </w:r>
      <w:r w:rsidR="0069460B">
        <w:t xml:space="preserve">individuální (a nikoliv </w:t>
      </w:r>
      <w:r w:rsidR="00DB1608" w:rsidRPr="00273106">
        <w:t>osobní</w:t>
      </w:r>
      <w:r w:rsidR="0069460B">
        <w:t>)</w:t>
      </w:r>
      <w:r w:rsidR="00DB1608" w:rsidRPr="00273106">
        <w:t xml:space="preserve"> identity</w:t>
      </w:r>
      <w:r w:rsidR="005D7A5D">
        <w:rPr>
          <w:i/>
        </w:rPr>
        <w:fldChar w:fldCharType="begin"/>
      </w:r>
      <w:r w:rsidR="005D7A5D">
        <w:instrText xml:space="preserve"> XE "</w:instrText>
      </w:r>
      <w:r w:rsidR="005D7A5D" w:rsidRPr="00840D0F">
        <w:rPr>
          <w:i/>
        </w:rPr>
        <w:instrText>memoria:</w:instrText>
      </w:r>
      <w:r w:rsidR="005D7A5D">
        <w:instrText xml:space="preserve">Locke" </w:instrText>
      </w:r>
      <w:r w:rsidR="005D7A5D">
        <w:rPr>
          <w:i/>
        </w:rPr>
        <w:fldChar w:fldCharType="end"/>
      </w:r>
      <w:r w:rsidR="08BD5469">
        <w:t xml:space="preserve">. </w:t>
      </w:r>
      <w:r w:rsidR="00221596" w:rsidRPr="00273106">
        <w:t xml:space="preserve">Modernisté naroubovali činnost odděleného </w:t>
      </w:r>
      <w:r w:rsidR="00221596" w:rsidRPr="00273106">
        <w:rPr>
          <w:i/>
        </w:rPr>
        <w:t>intellectus</w:t>
      </w:r>
      <w:r w:rsidR="00221596" w:rsidRPr="00273106">
        <w:t xml:space="preserve"> </w:t>
      </w:r>
      <w:r w:rsidR="00221596" w:rsidRPr="00273106">
        <w:rPr>
          <w:i/>
        </w:rPr>
        <w:t>agens</w:t>
      </w:r>
      <w:r w:rsidR="00221596" w:rsidRPr="00273106">
        <w:t xml:space="preserve"> na akt vůle a na individuální poznání</w:t>
      </w:r>
      <w:r w:rsidR="007D02CE" w:rsidRPr="00273106">
        <w:t xml:space="preserve"> skrze systém porretánských hypostází všeho druhu</w:t>
      </w:r>
      <w:r w:rsidR="00221596" w:rsidRPr="00273106">
        <w:t xml:space="preserve">. Cena </w:t>
      </w:r>
      <w:r w:rsidR="00B95975" w:rsidRPr="00273106">
        <w:t xml:space="preserve">zaplacená za tento </w:t>
      </w:r>
      <w:r w:rsidR="001B23D3" w:rsidRPr="00273106">
        <w:t xml:space="preserve">filosofický </w:t>
      </w:r>
      <w:r w:rsidR="00D90C00">
        <w:t xml:space="preserve">zmatek obsahuje </w:t>
      </w:r>
      <w:r w:rsidR="00221596" w:rsidRPr="00273106">
        <w:t xml:space="preserve">všechny omyly </w:t>
      </w:r>
      <w:r w:rsidR="00221596" w:rsidRPr="00273106">
        <w:rPr>
          <w:i/>
        </w:rPr>
        <w:t>Latinorum</w:t>
      </w:r>
      <w:r w:rsidR="00A370E3">
        <w:t>, které kritizují</w:t>
      </w:r>
      <w:r w:rsidR="00221596" w:rsidRPr="00273106">
        <w:t xml:space="preserve"> </w:t>
      </w:r>
      <w:r w:rsidR="08E75D99">
        <w:t xml:space="preserve">od roku 1240 </w:t>
      </w:r>
      <w:r w:rsidR="00221596" w:rsidRPr="00273106">
        <w:t>zastánci prvního averroismu.</w:t>
      </w:r>
      <w:r w:rsidR="080B406D">
        <w:t xml:space="preserve"> </w:t>
      </w:r>
      <w:r w:rsidR="08E75D99">
        <w:t xml:space="preserve">V jejich myšlení </w:t>
      </w:r>
      <w:r w:rsidR="080B406D">
        <w:t xml:space="preserve">vznikla první humanistická tradice Západu, v níž člověk nebyl definován jako specifická mrtvola, ale jako kauzálně působící a existující osoba. Schizofrenie moderního subjektu způsobila, že tato tradice humanismu zanikla v epoše </w:t>
      </w:r>
      <w:r w:rsidR="080B406D" w:rsidRPr="08D75C04">
        <w:rPr>
          <w:i/>
        </w:rPr>
        <w:t>Seinsvergessenheit</w:t>
      </w:r>
      <w:r w:rsidR="080B406D">
        <w:t xml:space="preserve"> společně se školou prvního averrorismu. A paranoia moderního hypostázovaného intelektu </w:t>
      </w:r>
      <w:r w:rsidR="00BC2AE4">
        <w:t xml:space="preserve">zničila </w:t>
      </w:r>
      <w:r w:rsidR="080B406D">
        <w:t xml:space="preserve">původní humanismus osoby založený na správném pochopení </w:t>
      </w:r>
      <w:r w:rsidR="080B406D" w:rsidRPr="085E7A94">
        <w:rPr>
          <w:i/>
        </w:rPr>
        <w:t>intellectus possibilis</w:t>
      </w:r>
      <w:r w:rsidR="00BC2AE4">
        <w:t xml:space="preserve">. Tragikomický exorcismus </w:t>
      </w:r>
      <w:r w:rsidR="00BC2AE4" w:rsidRPr="00BC2AE4">
        <w:t>vymít</w:t>
      </w:r>
      <w:r w:rsidR="00BC2AE4">
        <w:t>al modernistických omyly, které se týkaly pouze jejich chybného a</w:t>
      </w:r>
      <w:r w:rsidR="00BC2AE4" w:rsidRPr="00BC2AE4">
        <w:t>verroismu</w:t>
      </w:r>
      <w:r w:rsidR="00BC2AE4">
        <w:t xml:space="preserve"> pozorovaného v křivém zrcadle. </w:t>
      </w:r>
      <w:r w:rsidR="009D5A29">
        <w:t>Ve skutečnosti</w:t>
      </w:r>
      <w:r w:rsidR="00BC2AE4" w:rsidRPr="00BC2AE4">
        <w:t xml:space="preserve"> moderní myslitelé v dubnu 1277 </w:t>
      </w:r>
      <w:r w:rsidR="009D5A29">
        <w:t>odsoudili vl</w:t>
      </w:r>
      <w:r w:rsidR="00A214EE">
        <w:t>a</w:t>
      </w:r>
      <w:r w:rsidR="009D5A29">
        <w:t>stní omyly</w:t>
      </w:r>
      <w:r w:rsidR="00A214EE">
        <w:t xml:space="preserve">, </w:t>
      </w:r>
      <w:r w:rsidR="009D5A29">
        <w:t xml:space="preserve">pod vedením zdatných Fúrií a </w:t>
      </w:r>
      <w:r w:rsidR="08A10E3B">
        <w:t xml:space="preserve">podle Freudova </w:t>
      </w:r>
      <w:r w:rsidR="080B406D">
        <w:t xml:space="preserve">modu </w:t>
      </w:r>
      <w:r w:rsidR="080B406D" w:rsidRPr="083D0AD1">
        <w:rPr>
          <w:i/>
        </w:rPr>
        <w:t>Verkehrung ins Gege</w:t>
      </w:r>
      <w:r w:rsidR="080B406D">
        <w:rPr>
          <w:i/>
        </w:rPr>
        <w:t>n</w:t>
      </w:r>
      <w:r w:rsidR="080B406D" w:rsidRPr="083D0AD1">
        <w:rPr>
          <w:i/>
        </w:rPr>
        <w:t>teil</w:t>
      </w:r>
      <w:r w:rsidR="080B406D">
        <w:rPr>
          <w:i/>
        </w:rPr>
        <w:fldChar w:fldCharType="begin"/>
      </w:r>
      <w:r w:rsidR="080B406D">
        <w:instrText xml:space="preserve"> XE "</w:instrText>
      </w:r>
      <w:r w:rsidR="080B406D" w:rsidRPr="08E61268">
        <w:rPr>
          <w:i/>
        </w:rPr>
        <w:instrText>Verkehrung ins Gegenteil</w:instrText>
      </w:r>
      <w:r w:rsidR="080B406D">
        <w:instrText xml:space="preserve">" </w:instrText>
      </w:r>
      <w:r w:rsidR="080B406D">
        <w:rPr>
          <w:i/>
        </w:rPr>
        <w:fldChar w:fldCharType="end"/>
      </w:r>
      <w:r w:rsidR="080B406D">
        <w:t>.</w:t>
      </w:r>
    </w:p>
    <w:p w14:paraId="69D3590F" w14:textId="3C19E81D" w:rsidR="00DC7A1C" w:rsidRDefault="080B406D" w:rsidP="00221596">
      <w:r>
        <w:tab/>
      </w:r>
      <w:r w:rsidR="00A370E3" w:rsidRPr="00273106">
        <w:t xml:space="preserve">Albert v další části </w:t>
      </w:r>
      <w:r w:rsidR="00A370E3">
        <w:t xml:space="preserve">komentáře ke třetí knize </w:t>
      </w:r>
      <w:r w:rsidR="00A370E3" w:rsidRPr="00A370E3">
        <w:rPr>
          <w:i/>
        </w:rPr>
        <w:t>De anima</w:t>
      </w:r>
      <w:r w:rsidR="00A370E3">
        <w:t xml:space="preserve"> </w:t>
      </w:r>
      <w:r w:rsidR="00A370E3" w:rsidRPr="00273106">
        <w:t>souhlasí s procesem abstrakce arabských neoplatoniků (Avempace</w:t>
      </w:r>
      <w:r w:rsidR="00842CF7">
        <w:fldChar w:fldCharType="begin"/>
      </w:r>
      <w:r w:rsidR="00842CF7">
        <w:instrText xml:space="preserve"> XE "</w:instrText>
      </w:r>
      <w:r w:rsidR="00842CF7" w:rsidRPr="00762D06">
        <w:rPr>
          <w:iCs/>
        </w:rPr>
        <w:instrText>Avempace</w:instrText>
      </w:r>
      <w:r w:rsidR="00842CF7">
        <w:instrText xml:space="preserve">" </w:instrText>
      </w:r>
      <w:r w:rsidR="00842CF7">
        <w:fldChar w:fldCharType="end"/>
      </w:r>
      <w:r w:rsidR="00A370E3" w:rsidRPr="00273106">
        <w:t>,  Abubacher</w:t>
      </w:r>
      <w:r w:rsidR="005D7A5D">
        <w:fldChar w:fldCharType="begin"/>
      </w:r>
      <w:r w:rsidR="005D7A5D">
        <w:instrText xml:space="preserve"> XE "</w:instrText>
      </w:r>
      <w:r w:rsidR="005D7A5D" w:rsidRPr="004B737D">
        <w:instrText>Abubacher</w:instrText>
      </w:r>
      <w:r w:rsidR="005D7A5D">
        <w:instrText xml:space="preserve">" </w:instrText>
      </w:r>
      <w:r w:rsidR="005D7A5D">
        <w:fldChar w:fldCharType="end"/>
      </w:r>
      <w:r w:rsidR="00A370E3" w:rsidRPr="00273106">
        <w:t xml:space="preserve">) z fantasmat </w:t>
      </w:r>
      <w:r w:rsidR="00A370E3">
        <w:t xml:space="preserve">daných podle </w:t>
      </w:r>
      <w:r w:rsidR="00A370E3" w:rsidRPr="00273106">
        <w:t xml:space="preserve">Aristotelova spisu </w:t>
      </w:r>
      <w:r w:rsidR="00A370E3">
        <w:rPr>
          <w:i/>
        </w:rPr>
        <w:t>De anima</w:t>
      </w:r>
      <w:r w:rsidR="00A370E3" w:rsidRPr="00273106">
        <w:t xml:space="preserve">. </w:t>
      </w:r>
      <w:r w:rsidR="00A370E3">
        <w:t xml:space="preserve">Ale předchozí analýzy poznání u Avicenny ukázaly, že aristotelské </w:t>
      </w:r>
      <w:r w:rsidR="00A370E3" w:rsidRPr="00A370E3">
        <w:rPr>
          <w:i/>
        </w:rPr>
        <w:t>abstractio</w:t>
      </w:r>
      <w:r w:rsidR="00A370E3">
        <w:t xml:space="preserve"> ze smyslů má v avicennismu jen propedeutický charakter (</w:t>
      </w:r>
      <w:r w:rsidR="08561079">
        <w:t xml:space="preserve">OBJ I, </w:t>
      </w:r>
      <w:r w:rsidR="00A370E3">
        <w:t xml:space="preserve">kap. 2.3.1). </w:t>
      </w:r>
      <w:r w:rsidR="00697D5D">
        <w:t xml:space="preserve">Averroes naopak definuje plně </w:t>
      </w:r>
      <w:r w:rsidR="00697D5D" w:rsidRPr="00273106">
        <w:t xml:space="preserve">formální charakter </w:t>
      </w:r>
      <w:r w:rsidR="00697D5D" w:rsidRPr="007D0807">
        <w:rPr>
          <w:i/>
        </w:rPr>
        <w:t>species</w:t>
      </w:r>
      <w:r w:rsidR="00697D5D" w:rsidRPr="00273106">
        <w:rPr>
          <w:i/>
        </w:rPr>
        <w:t xml:space="preserve"> intelligibilis</w:t>
      </w:r>
      <w:r w:rsidR="00697D5D">
        <w:rPr>
          <w:i/>
        </w:rPr>
        <w:fldChar w:fldCharType="begin"/>
      </w:r>
      <w:r w:rsidR="00697D5D">
        <w:instrText xml:space="preserve"> XE "</w:instrText>
      </w:r>
      <w:r w:rsidR="00697D5D" w:rsidRPr="00DD403C">
        <w:rPr>
          <w:i/>
        </w:rPr>
        <w:instrText>species intelligibilis:</w:instrText>
      </w:r>
      <w:r w:rsidR="00697D5D">
        <w:rPr>
          <w:i/>
        </w:rPr>
        <w:instrText>druhý averroismus</w:instrText>
      </w:r>
      <w:r w:rsidR="00697D5D">
        <w:instrText xml:space="preserve">" </w:instrText>
      </w:r>
      <w:r w:rsidR="00697D5D">
        <w:rPr>
          <w:i/>
        </w:rPr>
        <w:fldChar w:fldCharType="end"/>
      </w:r>
      <w:r w:rsidR="00697D5D">
        <w:t xml:space="preserve"> n</w:t>
      </w:r>
      <w:r w:rsidR="00A370E3" w:rsidRPr="00273106">
        <w:t>apojením na smyslové poznání</w:t>
      </w:r>
      <w:r w:rsidR="00697D5D">
        <w:t xml:space="preserve">, kdy vznikne </w:t>
      </w:r>
      <w:r w:rsidR="00697D5D" w:rsidRPr="00273106">
        <w:t xml:space="preserve">nemateriální a univerzální význam </w:t>
      </w:r>
      <w:r w:rsidR="00697D5D">
        <w:t>daný kauzálním působením aktuální věci na smysly.</w:t>
      </w:r>
      <w:r w:rsidR="00A370E3" w:rsidRPr="00273106">
        <w:t xml:space="preserve"> </w:t>
      </w:r>
      <w:r w:rsidR="08D35FED">
        <w:t>K</w:t>
      </w:r>
      <w:r w:rsidR="084853D1">
        <w:t xml:space="preserve">apitola 11 </w:t>
      </w:r>
      <w:r w:rsidR="08D35FED">
        <w:t>z</w:t>
      </w:r>
      <w:r w:rsidR="08324DF3">
        <w:t xml:space="preserve"> Albertova </w:t>
      </w:r>
      <w:r w:rsidR="08D35FED">
        <w:t xml:space="preserve">kometáře k </w:t>
      </w:r>
      <w:r w:rsidR="08D35FED" w:rsidRPr="08D35FED">
        <w:rPr>
          <w:i/>
        </w:rPr>
        <w:t>De anima</w:t>
      </w:r>
      <w:r w:rsidR="08D35FED">
        <w:t xml:space="preserve"> </w:t>
      </w:r>
      <w:r w:rsidR="084853D1">
        <w:t xml:space="preserve">říká, že tento výklad se liší od neoplatonského výkladu Averroese podle Toledské školy, která bere oddělený </w:t>
      </w:r>
      <w:r w:rsidR="084853D1" w:rsidRPr="00F81750">
        <w:rPr>
          <w:i/>
        </w:rPr>
        <w:t>intellectus agens</w:t>
      </w:r>
      <w:r w:rsidR="084853D1">
        <w:t xml:space="preserve"> v modu nasvícení zezadu i pro lidské poznání (</w:t>
      </w:r>
      <w:r w:rsidR="084853D1" w:rsidRPr="00F81750">
        <w:rPr>
          <w:i/>
        </w:rPr>
        <w:t xml:space="preserve">nos autem dissentimus paucis ab </w:t>
      </w:r>
      <w:r w:rsidR="084853D1" w:rsidRPr="00F81750">
        <w:rPr>
          <w:i/>
        </w:rPr>
        <w:lastRenderedPageBreak/>
        <w:t>Averroe</w:t>
      </w:r>
      <w:r w:rsidR="084853D1">
        <w:t>, ibid, p. 385b</w:t>
      </w:r>
      <w:r w:rsidR="003C6581">
        <w:fldChar w:fldCharType="begin"/>
      </w:r>
      <w:r w:rsidR="003C6581">
        <w:instrText xml:space="preserve"> XE "Albert:</w:instrText>
      </w:r>
      <w:r w:rsidR="003C6581" w:rsidRPr="00220DA6">
        <w:rPr>
          <w:i/>
        </w:rPr>
        <w:instrText>Liber III De anima</w:instrText>
      </w:r>
      <w:r w:rsidR="003C6581">
        <w:rPr>
          <w:i/>
        </w:rPr>
        <w:instrText xml:space="preserve"> </w:instrText>
      </w:r>
      <w:r w:rsidR="003C6581" w:rsidRPr="00220DA6">
        <w:instrText>385</w:instrText>
      </w:r>
      <w:r w:rsidR="003C6581">
        <w:instrText xml:space="preserve">b" </w:instrText>
      </w:r>
      <w:r w:rsidR="003C6581">
        <w:fldChar w:fldCharType="end"/>
      </w:r>
      <w:r w:rsidR="084853D1">
        <w:t xml:space="preserve">). </w:t>
      </w:r>
      <w:r w:rsidR="087B2631">
        <w:t>Albert ví, že Averroes zásadně a jednoznačně odmítl Avicennovu metafyziku z naprosto správných důvodů. Ale pokud vezme</w:t>
      </w:r>
      <w:r w:rsidR="08BB25D6">
        <w:t>me</w:t>
      </w:r>
      <w:r w:rsidR="087B2631">
        <w:t xml:space="preserve"> jako základ aristotelské metafyziky Komentátorovu nauku první vědy o substanci </w:t>
      </w:r>
      <w:r w:rsidR="087B2631" w:rsidRPr="087B2631">
        <w:rPr>
          <w:i/>
        </w:rPr>
        <w:t>qua</w:t>
      </w:r>
      <w:r w:rsidR="087B2631">
        <w:t xml:space="preserve"> substanci</w:t>
      </w:r>
      <w:r w:rsidR="087B2631">
        <w:fldChar w:fldCharType="begin"/>
      </w:r>
      <w:r w:rsidR="087B2631">
        <w:instrText xml:space="preserve"> XE "</w:instrText>
      </w:r>
      <w:r w:rsidR="087B2631" w:rsidRPr="08550727">
        <w:instrText xml:space="preserve">substance </w:instrText>
      </w:r>
      <w:r w:rsidR="087B2631" w:rsidRPr="08550727">
        <w:rPr>
          <w:i/>
        </w:rPr>
        <w:instrText>qua</w:instrText>
      </w:r>
      <w:r w:rsidR="087B2631" w:rsidRPr="08550727">
        <w:instrText xml:space="preserve"> substance</w:instrText>
      </w:r>
      <w:r w:rsidR="087B2631">
        <w:instrText xml:space="preserve">" </w:instrText>
      </w:r>
      <w:r w:rsidR="087B2631">
        <w:fldChar w:fldCharType="end"/>
      </w:r>
      <w:r w:rsidR="087B2631">
        <w:t>, pak můžeme jeho pr</w:t>
      </w:r>
      <w:r w:rsidR="08BB25D6">
        <w:t>o</w:t>
      </w:r>
      <w:r w:rsidR="087B2631">
        <w:t xml:space="preserve">jekt </w:t>
      </w:r>
      <w:r w:rsidR="08BB25D6">
        <w:t xml:space="preserve">první vědy </w:t>
      </w:r>
      <w:r w:rsidR="087B2631">
        <w:t>integrovat s me</w:t>
      </w:r>
      <w:r w:rsidR="08BB25D6">
        <w:t>tafyzikou Avicenny, která se po</w:t>
      </w:r>
      <w:r w:rsidR="087B2631">
        <w:t>hybu</w:t>
      </w:r>
      <w:r w:rsidR="08BB25D6">
        <w:t>j</w:t>
      </w:r>
      <w:r w:rsidR="087B2631">
        <w:t xml:space="preserve">e ve světě čisté abstrakce </w:t>
      </w:r>
      <w:r w:rsidR="087B2631" w:rsidRPr="08BB25D6">
        <w:rPr>
          <w:i/>
        </w:rPr>
        <w:t>ens inquantum ens</w:t>
      </w:r>
      <w:r w:rsidR="08BB25D6">
        <w:rPr>
          <w:i/>
        </w:rPr>
        <w:fldChar w:fldCharType="begin"/>
      </w:r>
      <w:r w:rsidR="08BB25D6">
        <w:instrText xml:space="preserve"> XE "</w:instrText>
      </w:r>
      <w:r w:rsidR="08BB25D6" w:rsidRPr="082570FB">
        <w:rPr>
          <w:i/>
        </w:rPr>
        <w:instrText>ens inquantum ens</w:instrText>
      </w:r>
      <w:r w:rsidR="08BB25D6">
        <w:instrText xml:space="preserve">" </w:instrText>
      </w:r>
      <w:r w:rsidR="08BB25D6">
        <w:rPr>
          <w:i/>
        </w:rPr>
        <w:fldChar w:fldCharType="end"/>
      </w:r>
      <w:r w:rsidR="087B2631">
        <w:t xml:space="preserve">. Opět platí vědecký postup z </w:t>
      </w:r>
      <w:r w:rsidR="087B2631" w:rsidRPr="087B2631">
        <w:rPr>
          <w:i/>
        </w:rPr>
        <w:t>De homine</w:t>
      </w:r>
      <w:r w:rsidR="087B2631">
        <w:t xml:space="preserve">, kdy nejprve etablujeme reálnou kauzalitu </w:t>
      </w:r>
      <w:r w:rsidR="085148A8">
        <w:t>(</w:t>
      </w:r>
      <w:r w:rsidR="085148A8" w:rsidRPr="00273106">
        <w:rPr>
          <w:i/>
        </w:rPr>
        <w:t>prius comparatum ad rem</w:t>
      </w:r>
      <w:r w:rsidR="085148A8">
        <w:rPr>
          <w:i/>
        </w:rPr>
        <w:t xml:space="preserve">, </w:t>
      </w:r>
      <w:r w:rsidR="080D0F91">
        <w:t>kap. 2</w:t>
      </w:r>
      <w:r w:rsidR="085148A8" w:rsidRPr="085148A8">
        <w:t>.4.1</w:t>
      </w:r>
      <w:r w:rsidR="085148A8">
        <w:t xml:space="preserve">) </w:t>
      </w:r>
      <w:r w:rsidR="087B2631">
        <w:t>a pak ji predikujeme</w:t>
      </w:r>
      <w:r w:rsidR="085148A8">
        <w:t xml:space="preserve"> univerzálně</w:t>
      </w:r>
      <w:r w:rsidR="087B2631">
        <w:t>. Metafyzika první substance umožňuje kritickou integraci Avicenny</w:t>
      </w:r>
      <w:r w:rsidR="083431C5">
        <w:t>, ale až ve druhém kroku</w:t>
      </w:r>
      <w:r w:rsidR="089A5426">
        <w:t>. O</w:t>
      </w:r>
      <w:r w:rsidR="087B2631">
        <w:t xml:space="preserve">pačný postup </w:t>
      </w:r>
      <w:r w:rsidR="08F522F7">
        <w:t xml:space="preserve">toletánů a modernistů </w:t>
      </w:r>
      <w:r w:rsidR="087B2631">
        <w:t>představuje zásadní omyl</w:t>
      </w:r>
      <w:r w:rsidR="089A5426">
        <w:t xml:space="preserve"> myšlení, proto</w:t>
      </w:r>
      <w:r w:rsidR="08EC3EFF">
        <w:t>že zmiz</w:t>
      </w:r>
      <w:r w:rsidR="089A5426">
        <w:t xml:space="preserve">í </w:t>
      </w:r>
      <w:r w:rsidR="084D3B4B">
        <w:t xml:space="preserve">původní zaměření první vědy o jsoucnu, </w:t>
      </w:r>
      <w:r w:rsidR="08EC3EFF">
        <w:t xml:space="preserve">což </w:t>
      </w:r>
      <w:r w:rsidR="089A5426">
        <w:t xml:space="preserve">je </w:t>
      </w:r>
      <w:r w:rsidR="08EC3EFF">
        <w:t xml:space="preserve">podle </w:t>
      </w:r>
      <w:r w:rsidR="08777181">
        <w:t xml:space="preserve">kanonické teze </w:t>
      </w:r>
      <w:r w:rsidR="08EC3EFF" w:rsidRPr="08EC3EFF">
        <w:rPr>
          <w:i/>
        </w:rPr>
        <w:t>Metafyziky</w:t>
      </w:r>
      <w:r w:rsidR="08DB314A">
        <w:rPr>
          <w:i/>
        </w:rPr>
        <w:t xml:space="preserve"> </w:t>
      </w:r>
      <w:r w:rsidR="089A5426">
        <w:t xml:space="preserve">zkoumání první </w:t>
      </w:r>
      <w:r w:rsidR="004F2467">
        <w:t xml:space="preserve">hyparchické </w:t>
      </w:r>
      <w:r w:rsidR="089A5426">
        <w:t>substa</w:t>
      </w:r>
      <w:r w:rsidR="08EC3EFF">
        <w:t>n</w:t>
      </w:r>
      <w:r w:rsidR="089A5426">
        <w:t>ce</w:t>
      </w:r>
      <w:r w:rsidR="087B2631">
        <w:t xml:space="preserve">. </w:t>
      </w:r>
      <w:r w:rsidR="08F522F7">
        <w:t>A navíc je Avi</w:t>
      </w:r>
      <w:r w:rsidR="087B2631">
        <w:t xml:space="preserve">cennova </w:t>
      </w:r>
      <w:r w:rsidR="08F522F7">
        <w:t>metafyzika naprosto chybná v po</w:t>
      </w:r>
      <w:r w:rsidR="087B2631">
        <w:t>j</w:t>
      </w:r>
      <w:r w:rsidR="08F522F7">
        <w:t>e</w:t>
      </w:r>
      <w:r w:rsidR="087B2631">
        <w:t>tí osoby a poznání</w:t>
      </w:r>
      <w:r w:rsidR="08F522F7">
        <w:t>, které ohrožuje křesťanskou nauku o spáse</w:t>
      </w:r>
      <w:r w:rsidR="087B2631">
        <w:t xml:space="preserve">. Albert </w:t>
      </w:r>
      <w:r w:rsidR="08A036E1">
        <w:t xml:space="preserve">z těchto zásadních důvodů </w:t>
      </w:r>
      <w:r w:rsidR="084853D1">
        <w:t>nesouhlasí s averroistickým výkladem Averroese podle To</w:t>
      </w:r>
      <w:r w:rsidR="08A036E1">
        <w:t xml:space="preserve">ledské školy a tím i podle Akvinského, protože sleduje </w:t>
      </w:r>
      <w:r w:rsidR="084853D1">
        <w:t xml:space="preserve">linii biskupa Alverna proti neoplatonským </w:t>
      </w:r>
      <w:r w:rsidR="084853D1" w:rsidRPr="0873044F">
        <w:rPr>
          <w:i/>
        </w:rPr>
        <w:t>sequaces Aristotelis</w:t>
      </w:r>
      <w:r w:rsidR="087B2631">
        <w:t xml:space="preserve"> </w:t>
      </w:r>
      <w:r w:rsidR="080B35A3">
        <w:t>(kap. 2</w:t>
      </w:r>
      <w:r w:rsidR="08FE0B0F" w:rsidRPr="00273106">
        <w:t>.3</w:t>
      </w:r>
      <w:r w:rsidR="08FE0B0F">
        <w:t>.1</w:t>
      </w:r>
      <w:r w:rsidR="08FE0B0F" w:rsidRPr="00273106">
        <w:t xml:space="preserve">). </w:t>
      </w:r>
      <w:r w:rsidR="08660ADB">
        <w:t>Alvernus jasně oddělil rodově odlišný kosmický aktivní intelekt od lidské syntetic</w:t>
      </w:r>
      <w:r w:rsidR="087A5B44">
        <w:t xml:space="preserve">ké schopnosti dané v duši jako </w:t>
      </w:r>
      <w:r w:rsidR="08660ADB" w:rsidRPr="007D3B22">
        <w:rPr>
          <w:i/>
        </w:rPr>
        <w:t xml:space="preserve">tertium </w:t>
      </w:r>
      <w:r w:rsidR="00B1298A">
        <w:rPr>
          <w:i/>
        </w:rPr>
        <w:t>genus</w:t>
      </w:r>
      <w:r w:rsidR="08660ADB">
        <w:t xml:space="preserve"> podle CMDA. Pařížský biskup </w:t>
      </w:r>
      <w:r w:rsidR="086F7CAB">
        <w:t>odmítl výklad</w:t>
      </w:r>
      <w:r w:rsidR="086F7CAB" w:rsidRPr="00273106">
        <w:t xml:space="preserve"> Aristotel</w:t>
      </w:r>
      <w:r w:rsidR="086F7CAB">
        <w:t>a podle tzv. „Arabů</w:t>
      </w:r>
      <w:r w:rsidR="08660ADB">
        <w:t>“ a d</w:t>
      </w:r>
      <w:r w:rsidR="08FE0B0F" w:rsidRPr="00273106">
        <w:t xml:space="preserve">o skupiny obránců odděleného </w:t>
      </w:r>
      <w:r w:rsidR="08FE0B0F" w:rsidRPr="00273106">
        <w:rPr>
          <w:i/>
        </w:rPr>
        <w:t>intellectus agens</w:t>
      </w:r>
      <w:r w:rsidR="08FE0B0F">
        <w:rPr>
          <w:i/>
        </w:rPr>
        <w:fldChar w:fldCharType="begin"/>
      </w:r>
      <w:r w:rsidR="08FE0B0F">
        <w:instrText xml:space="preserve"> XE "</w:instrText>
      </w:r>
      <w:r w:rsidR="08FE0B0F" w:rsidRPr="00490D32">
        <w:rPr>
          <w:i/>
        </w:rPr>
        <w:instrText>intellectus agens:</w:instrText>
      </w:r>
      <w:r w:rsidR="08FE0B0F">
        <w:instrText xml:space="preserve">Averroes" </w:instrText>
      </w:r>
      <w:r w:rsidR="08FE0B0F">
        <w:rPr>
          <w:i/>
        </w:rPr>
        <w:fldChar w:fldCharType="end"/>
      </w:r>
      <w:r w:rsidR="08FE0B0F" w:rsidRPr="00273106">
        <w:t xml:space="preserve"> působícího zvnějšku na lidskou duši výslovně zahrnul Avicennu a naopak z ní vyloučil </w:t>
      </w:r>
      <w:r w:rsidR="08FE0B0F">
        <w:t>Averroes</w:t>
      </w:r>
      <w:r w:rsidR="08FE0B0F" w:rsidRPr="00273106">
        <w:t>e.</w:t>
      </w:r>
      <w:r w:rsidR="08FE0B0F">
        <w:t xml:space="preserve"> </w:t>
      </w:r>
      <w:r w:rsidR="00A370E3" w:rsidRPr="00273106">
        <w:t xml:space="preserve">Albert </w:t>
      </w:r>
      <w:r w:rsidR="00F64397">
        <w:t xml:space="preserve">v linii Alverna </w:t>
      </w:r>
      <w:r w:rsidR="00A370E3" w:rsidRPr="00273106">
        <w:t xml:space="preserve">zásadně nesouhlasí s pojetím Arabů (Avempace,  Abubacher) v tom, že by abstrakci prováděl oddělený </w:t>
      </w:r>
      <w:r w:rsidR="00A370E3" w:rsidRPr="00273106">
        <w:rPr>
          <w:i/>
        </w:rPr>
        <w:t>intellectus agens</w:t>
      </w:r>
      <w:r w:rsidR="00A370E3" w:rsidRPr="00273106">
        <w:t xml:space="preserve"> a že by </w:t>
      </w:r>
      <w:r w:rsidR="00A370E3" w:rsidRPr="00273106">
        <w:rPr>
          <w:i/>
        </w:rPr>
        <w:t>intellectus possibilis</w:t>
      </w:r>
      <w:r w:rsidR="00A370E3" w:rsidRPr="00273106">
        <w:t xml:space="preserve"> byl redukovaný na smyslovou a </w:t>
      </w:r>
      <w:r w:rsidR="08971BF9">
        <w:t xml:space="preserve">tím porušitelnou část duše, tedy </w:t>
      </w:r>
      <w:r w:rsidR="00A370E3" w:rsidRPr="00273106">
        <w:t xml:space="preserve">na Alexandrův hylický intelekt. </w:t>
      </w:r>
      <w:r w:rsidR="084E46E5">
        <w:t xml:space="preserve">Základem </w:t>
      </w:r>
      <w:r w:rsidR="0031674D">
        <w:t xml:space="preserve">prvního averroismu </w:t>
      </w:r>
      <w:r w:rsidR="084E46E5">
        <w:t xml:space="preserve">Sicilské školy </w:t>
      </w:r>
      <w:r w:rsidR="080B35A3">
        <w:t xml:space="preserve">je </w:t>
      </w:r>
      <w:r w:rsidR="0031674D">
        <w:t xml:space="preserve">odmítnutí všech oddělených forem intelektu v lidské duši. </w:t>
      </w:r>
      <w:r w:rsidR="00221596" w:rsidRPr="00273106">
        <w:t xml:space="preserve">Druhý averroismus drží inteligibilní formu jako </w:t>
      </w:r>
      <w:r w:rsidR="00B2383B">
        <w:t xml:space="preserve">hypostázovanou </w:t>
      </w:r>
      <w:r w:rsidR="002E30FF" w:rsidRPr="002E30FF">
        <w:t>species</w:t>
      </w:r>
      <w:r w:rsidR="00B2383B">
        <w:t xml:space="preserve"> danou</w:t>
      </w:r>
      <w:r w:rsidR="00643F34" w:rsidRPr="00273106">
        <w:t xml:space="preserve"> identicky </w:t>
      </w:r>
      <w:r w:rsidR="00221596" w:rsidRPr="00273106">
        <w:t xml:space="preserve">ve věcech i v intelektu. </w:t>
      </w:r>
      <w:r w:rsidR="00B2383B">
        <w:t xml:space="preserve">Tvrdí, že esence </w:t>
      </w:r>
      <w:r w:rsidR="00B2383B" w:rsidRPr="00B2383B">
        <w:t>daná aktivním intelektem působí na lidský intelekt v rámci účinné kauzali</w:t>
      </w:r>
      <w:r w:rsidR="00B2383B">
        <w:t xml:space="preserve">ty, protože je primárně dána v aktuálním </w:t>
      </w:r>
      <w:r w:rsidR="00B2383B" w:rsidRPr="00B2383B">
        <w:t xml:space="preserve">kosmickém </w:t>
      </w:r>
      <w:r w:rsidR="00B2383B" w:rsidRPr="00B2383B">
        <w:rPr>
          <w:i/>
        </w:rPr>
        <w:t>intellectus agens</w:t>
      </w:r>
      <w:r w:rsidR="00B2383B" w:rsidRPr="00B2383B">
        <w:t xml:space="preserve"> jako </w:t>
      </w:r>
      <w:r w:rsidR="00B2383B">
        <w:t>nehmotné</w:t>
      </w:r>
      <w:r w:rsidR="00B2383B" w:rsidRPr="00B2383B">
        <w:t xml:space="preserve"> první </w:t>
      </w:r>
      <w:r w:rsidR="00B2383B">
        <w:t>substanci</w:t>
      </w:r>
      <w:r w:rsidR="00B2383B" w:rsidRPr="00B2383B">
        <w:t>.</w:t>
      </w:r>
      <w:r w:rsidR="00B2383B">
        <w:t xml:space="preserve"> </w:t>
      </w:r>
      <w:r w:rsidR="08F73290">
        <w:t>V</w:t>
      </w:r>
      <w:r w:rsidR="000A6EC5" w:rsidRPr="00273106">
        <w:t xml:space="preserve"> prvním averroismu není </w:t>
      </w:r>
      <w:r w:rsidR="08F73290">
        <w:t xml:space="preserve">žádná </w:t>
      </w:r>
      <w:r w:rsidR="000A6EC5" w:rsidRPr="00273106">
        <w:t xml:space="preserve">forma dána </w:t>
      </w:r>
      <w:r w:rsidR="00581FF2">
        <w:t xml:space="preserve">v intelektu </w:t>
      </w:r>
      <w:r w:rsidR="000A6EC5" w:rsidRPr="00273106">
        <w:t xml:space="preserve">přímo, ale jen jako </w:t>
      </w:r>
      <w:r w:rsidR="0873444C">
        <w:t xml:space="preserve">smyslově </w:t>
      </w:r>
      <w:r w:rsidR="000A6EC5" w:rsidRPr="00273106">
        <w:t>poznané, syntetizované, intendované</w:t>
      </w:r>
      <w:r w:rsidR="08AD3506">
        <w:t xml:space="preserve"> a </w:t>
      </w:r>
      <w:r w:rsidR="009E039E" w:rsidRPr="00273106">
        <w:t xml:space="preserve">inteligibilní </w:t>
      </w:r>
      <w:r w:rsidR="08AE388B">
        <w:t xml:space="preserve">obsahy </w:t>
      </w:r>
      <w:r w:rsidR="009E039E" w:rsidRPr="00273106">
        <w:t xml:space="preserve">manifestované </w:t>
      </w:r>
      <w:r w:rsidR="000A6EC5" w:rsidRPr="00273106">
        <w:t xml:space="preserve">v podobě </w:t>
      </w:r>
      <w:r w:rsidR="004B4D52" w:rsidRPr="002C6506">
        <w:rPr>
          <w:i/>
        </w:rPr>
        <w:t>species</w:t>
      </w:r>
      <w:r w:rsidR="000A6EC5"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E27478">
        <w:instrText>:</w:instrText>
      </w:r>
      <w:r w:rsidR="00E27478">
        <w:instrText>první averroi</w:instrText>
      </w:r>
      <w:r w:rsidR="00E27478" w:rsidRPr="00E27478">
        <w:instrText>s</w:instrText>
      </w:r>
      <w:r w:rsidR="00E27478">
        <w:instrText>m</w:instrText>
      </w:r>
      <w:r w:rsidR="00E27478" w:rsidRPr="00E27478">
        <w:instrText>us</w:instrText>
      </w:r>
      <w:r w:rsidR="00E27478">
        <w:instrText xml:space="preserve"> </w:instrText>
      </w:r>
      <w:r w:rsidR="008061D5">
        <w:instrText xml:space="preserve">" </w:instrText>
      </w:r>
      <w:r w:rsidR="008061D5">
        <w:rPr>
          <w:i/>
        </w:rPr>
        <w:fldChar w:fldCharType="end"/>
      </w:r>
      <w:r w:rsidR="08A54159">
        <w:t>. A ta</w:t>
      </w:r>
      <w:r w:rsidR="000A6EC5" w:rsidRPr="00273106">
        <w:t xml:space="preserve">to </w:t>
      </w:r>
      <w:r w:rsidR="002E30FF" w:rsidRPr="002E30FF">
        <w:t>species</w:t>
      </w:r>
      <w:r w:rsidR="000A6EC5" w:rsidRPr="00273106">
        <w:t xml:space="preserve"> by nevznikl</w:t>
      </w:r>
      <w:r w:rsidR="08A54159">
        <w:t>a, kdyby ji</w:t>
      </w:r>
      <w:r w:rsidR="000A6EC5" w:rsidRPr="00273106">
        <w:t xml:space="preserve"> smysly </w:t>
      </w:r>
      <w:r w:rsidR="008641B8">
        <w:t xml:space="preserve">kauzálně </w:t>
      </w:r>
      <w:r w:rsidR="000A6EC5" w:rsidRPr="00273106">
        <w:t xml:space="preserve">nevnímaly </w:t>
      </w:r>
      <w:r w:rsidR="08A54159">
        <w:t xml:space="preserve">a nesyntetizovaly v podobě </w:t>
      </w:r>
      <w:r w:rsidR="004B4D52" w:rsidRPr="004B4D52">
        <w:t>species</w:t>
      </w:r>
      <w:r w:rsidR="08A54159" w:rsidRPr="08A54159">
        <w:rPr>
          <w:i/>
        </w:rPr>
        <w:t xml:space="preserve"> sensibilis</w:t>
      </w:r>
      <w:r w:rsidR="08A54159">
        <w:t xml:space="preserve"> </w:t>
      </w:r>
      <w:r w:rsidR="000A6EC5" w:rsidRPr="00273106">
        <w:t>od aktuální první substance</w:t>
      </w:r>
      <w:r w:rsidR="00A70FA4">
        <w:fldChar w:fldCharType="begin"/>
      </w:r>
      <w:r w:rsidR="00A70FA4">
        <w:instrText xml:space="preserve"> XE "</w:instrText>
      </w:r>
      <w:r w:rsidR="00A70FA4" w:rsidRPr="00DE2A32">
        <w:instrText>substance</w:instrText>
      </w:r>
      <w:r w:rsidR="00E27478">
        <w:instrText>:první</w:instrText>
      </w:r>
      <w:r w:rsidR="00A70FA4">
        <w:instrText xml:space="preserve">" </w:instrText>
      </w:r>
      <w:r w:rsidR="00A70FA4">
        <w:fldChar w:fldCharType="end"/>
      </w:r>
      <w:r w:rsidR="000A6EC5" w:rsidRPr="00273106">
        <w:t xml:space="preserve"> dané odděleně</w:t>
      </w:r>
      <w:r w:rsidR="000F2CA2" w:rsidRPr="00273106">
        <w:t xml:space="preserve"> v realitě</w:t>
      </w:r>
      <w:r w:rsidR="000A6EC5" w:rsidRPr="00273106">
        <w:t xml:space="preserve">. </w:t>
      </w:r>
      <w:r w:rsidR="0869672D">
        <w:t xml:space="preserve">A </w:t>
      </w:r>
      <w:r w:rsidR="002E30FF" w:rsidRPr="002E30FF">
        <w:t>species</w:t>
      </w:r>
      <w:r w:rsidR="08AE388B">
        <w:t xml:space="preserve"> </w:t>
      </w:r>
      <w:r w:rsidR="08AE388B">
        <w:lastRenderedPageBreak/>
        <w:t>poskytuje formu k abstrakci na úrovni činné a spekulativní schopnosti duše</w:t>
      </w:r>
      <w:r w:rsidR="08952E60">
        <w:t>, která vytvář</w:t>
      </w:r>
      <w:r w:rsidR="086A34AE">
        <w:t>í výsledný pojem a reflexi tohoto pojmu</w:t>
      </w:r>
      <w:r w:rsidR="08AE388B">
        <w:t xml:space="preserve">. </w:t>
      </w:r>
      <w:r w:rsidR="0874717A">
        <w:t>O</w:t>
      </w:r>
      <w:r w:rsidR="000A6EC5" w:rsidRPr="00273106">
        <w:t xml:space="preserve">ddělené působení první substance držel první averroismus </w:t>
      </w:r>
      <w:r w:rsidR="00F76858" w:rsidRPr="00273106">
        <w:t xml:space="preserve">v poznávající mysli </w:t>
      </w:r>
      <w:r w:rsidR="000A6EC5" w:rsidRPr="00273106">
        <w:t xml:space="preserve">skrze </w:t>
      </w:r>
      <w:r w:rsidR="008641B8">
        <w:t xml:space="preserve">kauzálně koncipovanou </w:t>
      </w:r>
      <w:r w:rsidR="000A6EC5" w:rsidRPr="00273106">
        <w:t>intencionalitu</w:t>
      </w:r>
      <w:r w:rsidR="008641B8">
        <w:t xml:space="preserve"> v modu diafanum (</w:t>
      </w:r>
      <w:r w:rsidR="087B5BE5">
        <w:t xml:space="preserve">OBJ I, </w:t>
      </w:r>
      <w:r w:rsidR="008641B8">
        <w:t xml:space="preserve">kap. 2.4.4). </w:t>
      </w:r>
      <w:r w:rsidR="0891540E">
        <w:t xml:space="preserve">Poznání začíná skrze </w:t>
      </w:r>
      <w:r w:rsidR="005913D0">
        <w:t>smysly</w:t>
      </w:r>
      <w:r w:rsidR="0891540E">
        <w:t xml:space="preserve"> dané v tělesných orgánech</w:t>
      </w:r>
      <w:r w:rsidR="005913D0">
        <w:t xml:space="preserve">, protože ty jsou receptivní přímo </w:t>
      </w:r>
      <w:r w:rsidR="0891540E">
        <w:t>v modu eficientní kauzality</w:t>
      </w:r>
      <w:r w:rsidR="005913D0" w:rsidRPr="00273106">
        <w:t xml:space="preserve">. Adekvace poznání a věci je predikovaná skrze </w:t>
      </w:r>
      <w:r w:rsidR="005913D0" w:rsidRPr="00273106">
        <w:rPr>
          <w:i/>
        </w:rPr>
        <w:t>medium</w:t>
      </w:r>
      <w:r w:rsidR="005913D0">
        <w:rPr>
          <w:i/>
        </w:rPr>
        <w:fldChar w:fldCharType="begin"/>
      </w:r>
      <w:r w:rsidR="005913D0">
        <w:instrText xml:space="preserve"> XE "</w:instrText>
      </w:r>
      <w:r w:rsidR="005913D0" w:rsidRPr="001618A5">
        <w:rPr>
          <w:i/>
        </w:rPr>
        <w:instrText>medium:</w:instrText>
      </w:r>
      <w:r w:rsidR="005913D0" w:rsidRPr="001618A5">
        <w:instrText>Albert</w:instrText>
      </w:r>
      <w:r w:rsidR="005913D0">
        <w:instrText xml:space="preserve">" </w:instrText>
      </w:r>
      <w:r w:rsidR="005913D0">
        <w:rPr>
          <w:i/>
        </w:rPr>
        <w:fldChar w:fldCharType="end"/>
      </w:r>
      <w:r w:rsidR="005913D0" w:rsidRPr="00273106">
        <w:t xml:space="preserve"> v demonstrativním soudu, kt</w:t>
      </w:r>
      <w:r w:rsidR="0874717A">
        <w:t xml:space="preserve">erý </w:t>
      </w:r>
      <w:r w:rsidR="005913D0" w:rsidRPr="00273106">
        <w:t xml:space="preserve">v modu </w:t>
      </w:r>
      <w:r w:rsidR="0874717A">
        <w:t xml:space="preserve">formální </w:t>
      </w:r>
      <w:r w:rsidR="005913D0" w:rsidRPr="00273106">
        <w:t xml:space="preserve">kauzality poznává reálné kauzální působení </w:t>
      </w:r>
      <w:r w:rsidR="08F63AD0">
        <w:t xml:space="preserve">dané </w:t>
      </w:r>
      <w:r w:rsidR="005913D0" w:rsidRPr="00273106">
        <w:t xml:space="preserve">mezi externími prvními substancemi. </w:t>
      </w:r>
      <w:r w:rsidR="008641B8">
        <w:t>N</w:t>
      </w:r>
      <w:r w:rsidR="00CB25A2" w:rsidRPr="00273106">
        <w:t xml:space="preserve">emateriální </w:t>
      </w:r>
      <w:r w:rsidR="008641B8">
        <w:t>syntézu</w:t>
      </w:r>
      <w:r w:rsidR="0053659F" w:rsidRPr="00273106">
        <w:t xml:space="preserve"> </w:t>
      </w:r>
      <w:r w:rsidR="00CB25A2" w:rsidRPr="00273106">
        <w:t xml:space="preserve">poznaných forem </w:t>
      </w:r>
      <w:r w:rsidR="008641B8">
        <w:t xml:space="preserve">do pojmu završuje </w:t>
      </w:r>
      <w:r w:rsidR="00E535DF" w:rsidRPr="00273106">
        <w:t xml:space="preserve">finální </w:t>
      </w:r>
      <w:r w:rsidR="0053659F" w:rsidRPr="00273106">
        <w:t xml:space="preserve">schopnost duše zvaná </w:t>
      </w:r>
      <w:r w:rsidR="0053659F"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DF1B39" w:rsidRPr="00E2134B">
        <w:instrText>A</w:instrText>
      </w:r>
      <w:r w:rsidR="0055182D">
        <w:instrText>lbert</w:instrText>
      </w:r>
      <w:r w:rsidR="00DF1B39">
        <w:instrText xml:space="preserve">" </w:instrText>
      </w:r>
      <w:r w:rsidR="00DF1B39">
        <w:rPr>
          <w:i/>
        </w:rPr>
        <w:fldChar w:fldCharType="end"/>
      </w:r>
      <w:r w:rsidR="088E3B67">
        <w:t xml:space="preserve"> daný na poslední úrovni </w:t>
      </w:r>
      <w:r w:rsidR="085C4B00">
        <w:t xml:space="preserve">intelektuální reflexe </w:t>
      </w:r>
      <w:r w:rsidR="088E3B67">
        <w:t xml:space="preserve">v modu </w:t>
      </w:r>
      <w:r w:rsidR="088E3B67" w:rsidRPr="088E3B67">
        <w:rPr>
          <w:i/>
        </w:rPr>
        <w:t xml:space="preserve">quartum </w:t>
      </w:r>
      <w:r w:rsidR="00B1298A">
        <w:rPr>
          <w:i/>
        </w:rPr>
        <w:t>genus</w:t>
      </w:r>
      <w:r w:rsidR="088E3B67">
        <w:t>.</w:t>
      </w:r>
      <w:r w:rsidR="000A6EC5" w:rsidRPr="00273106">
        <w:t xml:space="preserve"> </w:t>
      </w:r>
      <w:r w:rsidR="085C4B00">
        <w:t xml:space="preserve">Intelekt na této </w:t>
      </w:r>
      <w:r w:rsidR="08B17F1C">
        <w:t xml:space="preserve">poslední </w:t>
      </w:r>
      <w:r w:rsidR="085C4B00">
        <w:t xml:space="preserve">úrovni je schopen reflektovat pojem vytvořený v </w:t>
      </w:r>
      <w:r w:rsidR="08B17F1C">
        <w:t xml:space="preserve">individuálním výkonu </w:t>
      </w:r>
      <w:r w:rsidR="085C4B00" w:rsidRPr="085C4B00">
        <w:rPr>
          <w:i/>
        </w:rPr>
        <w:t>intellectus agens</w:t>
      </w:r>
      <w:r w:rsidR="085C4B00">
        <w:t xml:space="preserve"> </w:t>
      </w:r>
      <w:r w:rsidR="08B17F1C">
        <w:t xml:space="preserve">také </w:t>
      </w:r>
      <w:r w:rsidR="085C4B00">
        <w:t xml:space="preserve">jako kategoriální a pravdivou jednotku univerzálního významu v rámci </w:t>
      </w:r>
      <w:r w:rsidR="004B4D52" w:rsidRPr="004B4D52">
        <w:t>species</w:t>
      </w:r>
      <w:r w:rsidR="085C4B00" w:rsidRPr="085C4B00">
        <w:rPr>
          <w:i/>
        </w:rPr>
        <w:t xml:space="preserve"> humana</w:t>
      </w:r>
      <w:r w:rsidR="085C4B00">
        <w:t xml:space="preserve">. </w:t>
      </w:r>
      <w:r w:rsidR="00CB25A2" w:rsidRPr="00273106">
        <w:t xml:space="preserve">Viz Albertovo dělení duše na tři </w:t>
      </w:r>
      <w:r w:rsidR="00874EF2">
        <w:t xml:space="preserve">individuální </w:t>
      </w:r>
      <w:r w:rsidR="00CB25A2" w:rsidRPr="00273106">
        <w:t xml:space="preserve">výkony </w:t>
      </w:r>
      <w:r w:rsidR="00874EF2">
        <w:t xml:space="preserve">poznání </w:t>
      </w:r>
      <w:r w:rsidR="00CB25A2" w:rsidRPr="00273106">
        <w:t>(</w:t>
      </w:r>
      <w:r w:rsidR="00A366B4">
        <w:rPr>
          <w:i/>
        </w:rPr>
        <w:t xml:space="preserve">transmutans, </w:t>
      </w:r>
      <w:r w:rsidR="00CB25A2" w:rsidRPr="00273106">
        <w:rPr>
          <w:i/>
        </w:rPr>
        <w:t>transmutatum, transmutatio</w:t>
      </w:r>
      <w:r w:rsidR="00A366B4">
        <w:rPr>
          <w:i/>
        </w:rPr>
        <w:t>;</w:t>
      </w:r>
      <w:r w:rsidR="08F63AD0">
        <w:t xml:space="preserve"> kap. 2</w:t>
      </w:r>
      <w:r w:rsidR="00CB25A2" w:rsidRPr="00273106">
        <w:t xml:space="preserve">.4.2). </w:t>
      </w:r>
      <w:r w:rsidR="08433BDB" w:rsidRPr="00273106">
        <w:t xml:space="preserve">Pravdivé poznání </w:t>
      </w:r>
      <w:r w:rsidR="08433BDB">
        <w:t xml:space="preserve">v modu adekvace </w:t>
      </w:r>
      <w:r w:rsidR="08433BDB" w:rsidRPr="00273106">
        <w:t xml:space="preserve">zakládá univoční referenci k realitě </w:t>
      </w:r>
      <w:r w:rsidR="080C3819">
        <w:t xml:space="preserve">první substance </w:t>
      </w:r>
      <w:r w:rsidR="08433BDB" w:rsidRPr="00273106">
        <w:t>dané kategoriálním poznáním druhé substance</w:t>
      </w:r>
      <w:r w:rsidR="08433BDB">
        <w:t xml:space="preserve">. </w:t>
      </w:r>
      <w:r w:rsidR="000A6EC5" w:rsidRPr="00273106">
        <w:t>M</w:t>
      </w:r>
      <w:r w:rsidR="00221596" w:rsidRPr="00273106">
        <w:t xml:space="preserve">oderna </w:t>
      </w:r>
      <w:r w:rsidR="000719FD" w:rsidRPr="00273106">
        <w:t xml:space="preserve">inspirovaná Avicennou </w:t>
      </w:r>
      <w:r w:rsidR="00221596" w:rsidRPr="00273106">
        <w:t>nahradila aktuální působení externí věci</w:t>
      </w:r>
      <w:r w:rsidR="000A6EC5" w:rsidRPr="00273106">
        <w:t xml:space="preserve"> skrze nasvícení intelektu zezadu dané jako působení autonomních forem</w:t>
      </w:r>
      <w:r w:rsidR="001D737D">
        <w:t>, později daných skrze matematiku</w:t>
      </w:r>
      <w:r w:rsidR="00221596" w:rsidRPr="00273106">
        <w:t xml:space="preserve">. </w:t>
      </w:r>
      <w:r w:rsidR="000562FC">
        <w:t xml:space="preserve">Tato </w:t>
      </w:r>
      <w:r w:rsidR="00D6175A">
        <w:t xml:space="preserve">jsoucna </w:t>
      </w:r>
      <w:r w:rsidR="000562FC">
        <w:t xml:space="preserve">třetího druhu univočně existují i v reálných věcech jako Bonaventurovy exemplary, které </w:t>
      </w:r>
      <w:r w:rsidR="08482E2C">
        <w:t xml:space="preserve">aristotelikové jako </w:t>
      </w:r>
      <w:r w:rsidR="00C9298A">
        <w:t xml:space="preserve">Bacon, </w:t>
      </w:r>
      <w:r w:rsidR="000562FC">
        <w:t xml:space="preserve">Albert </w:t>
      </w:r>
      <w:r w:rsidR="00C9298A">
        <w:t xml:space="preserve"> a Akvinský </w:t>
      </w:r>
      <w:r w:rsidR="000562FC">
        <w:t>odmítl</w:t>
      </w:r>
      <w:r w:rsidR="00C9298A">
        <w:t>i jako metafyzický nesmysl</w:t>
      </w:r>
      <w:r w:rsidR="000562FC">
        <w:t xml:space="preserve">. </w:t>
      </w:r>
      <w:r w:rsidR="000A6EC5" w:rsidRPr="00273106">
        <w:t xml:space="preserve">Činný intelekt </w:t>
      </w:r>
      <w:r w:rsidR="00C9298A">
        <w:t xml:space="preserve">tyto </w:t>
      </w:r>
      <w:r w:rsidR="0856739A">
        <w:t xml:space="preserve">exemplary nazírá přímo </w:t>
      </w:r>
      <w:r w:rsidR="000A6EC5" w:rsidRPr="00273106">
        <w:t xml:space="preserve">v procesu </w:t>
      </w:r>
      <w:r w:rsidR="000A6EC5" w:rsidRPr="00273106">
        <w:rPr>
          <w:i/>
        </w:rPr>
        <w:t>denudatio</w:t>
      </w:r>
      <w:r w:rsidR="00D44795">
        <w:rPr>
          <w:i/>
        </w:rPr>
        <w:fldChar w:fldCharType="begin"/>
      </w:r>
      <w:r w:rsidR="00D44795">
        <w:instrText xml:space="preserve"> XE "</w:instrText>
      </w:r>
      <w:r w:rsidR="00D44795" w:rsidRPr="00C23100">
        <w:rPr>
          <w:i/>
        </w:rPr>
        <w:instrText>denudatio</w:instrText>
      </w:r>
      <w:r w:rsidR="00B72FA9" w:rsidRPr="00B72FA9">
        <w:instrText>:druhý averroismus</w:instrText>
      </w:r>
      <w:r w:rsidR="00D44795">
        <w:instrText xml:space="preserve">" </w:instrText>
      </w:r>
      <w:r w:rsidR="00D44795">
        <w:rPr>
          <w:i/>
        </w:rPr>
        <w:fldChar w:fldCharType="end"/>
      </w:r>
      <w:r w:rsidR="000A6EC5" w:rsidRPr="00273106">
        <w:t xml:space="preserve"> a předá je receptivnímu intelektu</w:t>
      </w:r>
      <w:r w:rsidR="003F1F09">
        <w:t xml:space="preserve">. Tento </w:t>
      </w:r>
      <w:r w:rsidR="003F1F09" w:rsidRPr="000113CA">
        <w:rPr>
          <w:i/>
          <w:lang w:eastAsia="en-US"/>
        </w:rPr>
        <w:t>intellectus possib</w:t>
      </w:r>
      <w:r w:rsidR="003F1F09">
        <w:rPr>
          <w:i/>
          <w:lang w:eastAsia="en-US"/>
        </w:rPr>
        <w:t>i</w:t>
      </w:r>
      <w:r w:rsidR="003F1F09" w:rsidRPr="000113CA">
        <w:rPr>
          <w:i/>
          <w:lang w:eastAsia="en-US"/>
        </w:rPr>
        <w:t>lis</w:t>
      </w:r>
      <w:r w:rsidR="003F1F09">
        <w:rPr>
          <w:lang w:eastAsia="en-US"/>
        </w:rPr>
        <w:t xml:space="preserve"> je u </w:t>
      </w:r>
      <w:r w:rsidR="00D6175A">
        <w:t xml:space="preserve">averroistů </w:t>
      </w:r>
      <w:r w:rsidR="003F1F09">
        <w:t xml:space="preserve">daný </w:t>
      </w:r>
      <w:r w:rsidR="00D6175A">
        <w:t>jako kosmická nemateriální substance</w:t>
      </w:r>
      <w:r w:rsidR="000A6EC5" w:rsidRPr="00273106">
        <w:t xml:space="preserve">. </w:t>
      </w:r>
      <w:r w:rsidR="003F1F09">
        <w:t>K</w:t>
      </w:r>
      <w:r w:rsidR="0856739A">
        <w:t xml:space="preserve">opulace </w:t>
      </w:r>
      <w:r w:rsidR="003F1F09">
        <w:t xml:space="preserve">mezi oběma intelekty </w:t>
      </w:r>
      <w:r w:rsidR="0856739A">
        <w:t>je daná skrze klíčovou kognitivní vazbu moderních iluminátů</w:t>
      </w:r>
      <w:r w:rsidR="0856739A">
        <w:fldChar w:fldCharType="begin"/>
      </w:r>
      <w:r w:rsidR="0856739A">
        <w:instrText xml:space="preserve"> XE "</w:instrText>
      </w:r>
      <w:r w:rsidR="0856739A" w:rsidRPr="00BD65D1">
        <w:instrText>ilumináti</w:instrText>
      </w:r>
      <w:r w:rsidR="0856739A">
        <w:instrText xml:space="preserve">" </w:instrText>
      </w:r>
      <w:r w:rsidR="0856739A">
        <w:fldChar w:fldCharType="end"/>
      </w:r>
      <w:r w:rsidR="0856739A">
        <w:t xml:space="preserve"> mezi </w:t>
      </w:r>
      <w:r w:rsidR="0856739A" w:rsidRPr="00C9298A">
        <w:rPr>
          <w:i/>
        </w:rPr>
        <w:t>intellectus adeptus</w:t>
      </w:r>
      <w:r w:rsidR="0856739A">
        <w:rPr>
          <w:i/>
        </w:rPr>
        <w:fldChar w:fldCharType="begin"/>
      </w:r>
      <w:r w:rsidR="0856739A">
        <w:instrText xml:space="preserve"> XE "</w:instrText>
      </w:r>
      <w:r w:rsidR="0856739A" w:rsidRPr="00F77FCE">
        <w:rPr>
          <w:i/>
        </w:rPr>
        <w:instrText>intellectus adeptus</w:instrText>
      </w:r>
      <w:r w:rsidR="0856739A" w:rsidRPr="002B4096">
        <w:instrText>:druhý averroismus</w:instrText>
      </w:r>
      <w:r w:rsidR="0856739A">
        <w:instrText xml:space="preserve">" </w:instrText>
      </w:r>
      <w:r w:rsidR="0856739A">
        <w:rPr>
          <w:i/>
        </w:rPr>
        <w:fldChar w:fldCharType="end"/>
      </w:r>
      <w:r w:rsidR="0856739A">
        <w:t xml:space="preserve"> a </w:t>
      </w:r>
      <w:r w:rsidR="0856739A" w:rsidRPr="00C9298A">
        <w:rPr>
          <w:i/>
        </w:rPr>
        <w:t>intellectus agens</w:t>
      </w:r>
      <w:r w:rsidR="0873637A" w:rsidRPr="0873637A">
        <w:t>, kterou vytvořil Al-Fáráb</w:t>
      </w:r>
      <w:r w:rsidR="0873637A">
        <w:t>í (</w:t>
      </w:r>
      <w:r w:rsidR="088E209B">
        <w:t xml:space="preserve">OBJ I, </w:t>
      </w:r>
      <w:r w:rsidR="0873637A">
        <w:t>kap. 2.1.2).</w:t>
      </w:r>
      <w:r w:rsidR="0856739A" w:rsidRPr="0873637A">
        <w:t xml:space="preserve"> </w:t>
      </w:r>
      <w:r w:rsidR="086B04C7">
        <w:t xml:space="preserve">Osvícený receptivní </w:t>
      </w:r>
      <w:r w:rsidR="086B04C7" w:rsidRPr="00C9298A">
        <w:rPr>
          <w:i/>
        </w:rPr>
        <w:t>intellectus adeptus</w:t>
      </w:r>
      <w:r w:rsidR="086B04C7">
        <w:rPr>
          <w:i/>
        </w:rPr>
        <w:fldChar w:fldCharType="begin"/>
      </w:r>
      <w:r w:rsidR="086B04C7">
        <w:instrText xml:space="preserve"> XE "</w:instrText>
      </w:r>
      <w:r w:rsidR="086B04C7" w:rsidRPr="00F77FCE">
        <w:rPr>
          <w:i/>
        </w:rPr>
        <w:instrText>intellectus adeptus</w:instrText>
      </w:r>
      <w:r w:rsidR="086B04C7" w:rsidRPr="002B4096">
        <w:instrText>:druhý averroismus</w:instrText>
      </w:r>
      <w:r w:rsidR="086B04C7">
        <w:instrText xml:space="preserve">" </w:instrText>
      </w:r>
      <w:r w:rsidR="086B04C7">
        <w:rPr>
          <w:i/>
        </w:rPr>
        <w:fldChar w:fldCharType="end"/>
      </w:r>
      <w:r w:rsidR="086B04C7">
        <w:t xml:space="preserve"> </w:t>
      </w:r>
      <w:r w:rsidR="00C54864">
        <w:t xml:space="preserve">přijme hypostázovaná </w:t>
      </w:r>
      <w:r w:rsidR="002E30FF" w:rsidRPr="002E30FF">
        <w:t>species</w:t>
      </w:r>
      <w:r w:rsidR="00C54864">
        <w:t xml:space="preserve"> </w:t>
      </w:r>
      <w:r w:rsidR="0856739A">
        <w:t xml:space="preserve">od aktuálního </w:t>
      </w:r>
      <w:r w:rsidR="080130CD">
        <w:t xml:space="preserve">a odděleného </w:t>
      </w:r>
      <w:r w:rsidR="080130CD">
        <w:rPr>
          <w:i/>
        </w:rPr>
        <w:t>intellectus agens</w:t>
      </w:r>
      <w:r w:rsidR="00373A0F" w:rsidRPr="00373A0F">
        <w:t xml:space="preserve">. Tato forma mimozemské receptivity je </w:t>
      </w:r>
      <w:r w:rsidR="00373A0F">
        <w:t>spojena</w:t>
      </w:r>
      <w:r w:rsidR="0856739A">
        <w:t xml:space="preserve"> s člověkem </w:t>
      </w:r>
      <w:r w:rsidR="00C54864">
        <w:t xml:space="preserve">v modu avicennovského </w:t>
      </w:r>
      <w:r w:rsidR="00C54864" w:rsidRPr="00C54864">
        <w:rPr>
          <w:i/>
        </w:rPr>
        <w:t>copulati</w:t>
      </w:r>
      <w:r w:rsidR="00373A0F">
        <w:rPr>
          <w:i/>
        </w:rPr>
        <w:t>o.</w:t>
      </w:r>
      <w:r w:rsidR="00373A0F">
        <w:t xml:space="preserve"> Vzniklá s</w:t>
      </w:r>
      <w:r w:rsidR="002E30FF" w:rsidRPr="002E30FF">
        <w:t>pecies</w:t>
      </w:r>
      <w:r w:rsidR="0856739A">
        <w:t xml:space="preserve"> </w:t>
      </w:r>
      <w:r w:rsidR="00373A0F">
        <w:t xml:space="preserve">jsou pak uložena </w:t>
      </w:r>
      <w:r w:rsidR="00C9298A">
        <w:t xml:space="preserve">do augustiniánské </w:t>
      </w:r>
      <w:r w:rsidR="0856739A">
        <w:t xml:space="preserve">formy </w:t>
      </w:r>
      <w:r w:rsidR="00C9298A">
        <w:t xml:space="preserve">paměti </w:t>
      </w:r>
      <w:r w:rsidR="00373A0F">
        <w:t xml:space="preserve">jako jsoucna </w:t>
      </w:r>
      <w:r w:rsidR="0856739A">
        <w:t>třetího druhu</w:t>
      </w:r>
      <w:r w:rsidR="00C54864">
        <w:t xml:space="preserve">. </w:t>
      </w:r>
      <w:r w:rsidR="085B1615" w:rsidRPr="00273106">
        <w:t xml:space="preserve">Přímé působení </w:t>
      </w:r>
      <w:r w:rsidR="085B1615">
        <w:t>neoplatonsk</w:t>
      </w:r>
      <w:r w:rsidR="085B1615" w:rsidRPr="00273106">
        <w:t>ého intelektu-slunce</w:t>
      </w:r>
      <w:r w:rsidR="085B1615">
        <w:fldChar w:fldCharType="begin"/>
      </w:r>
      <w:r w:rsidR="085B1615">
        <w:instrText xml:space="preserve"> XE "</w:instrText>
      </w:r>
      <w:r w:rsidR="085B1615" w:rsidRPr="008844E7">
        <w:instrText>intelekt-slunce</w:instrText>
      </w:r>
      <w:r w:rsidR="085B1615">
        <w:instrText xml:space="preserve">" </w:instrText>
      </w:r>
      <w:r w:rsidR="085B1615">
        <w:fldChar w:fldCharType="end"/>
      </w:r>
      <w:r w:rsidR="085B1615" w:rsidRPr="00273106">
        <w:t xml:space="preserve"> </w:t>
      </w:r>
      <w:r w:rsidR="003B5182">
        <w:t xml:space="preserve">je dána </w:t>
      </w:r>
      <w:r w:rsidR="085B1615" w:rsidRPr="00273106">
        <w:t xml:space="preserve">jako </w:t>
      </w:r>
      <w:r w:rsidR="003B5182">
        <w:t>Avicennův Dator Formarum</w:t>
      </w:r>
      <w:r w:rsidR="085B1615">
        <w:fldChar w:fldCharType="begin"/>
      </w:r>
      <w:r w:rsidR="085B1615">
        <w:instrText xml:space="preserve"> XE "</w:instrText>
      </w:r>
      <w:r w:rsidR="085B1615" w:rsidRPr="00BA7E25">
        <w:instrText>intelekt:dárce forem</w:instrText>
      </w:r>
      <w:r w:rsidR="085B1615">
        <w:instrText xml:space="preserve">" </w:instrText>
      </w:r>
      <w:r w:rsidR="085B1615">
        <w:fldChar w:fldCharType="end"/>
      </w:r>
      <w:r w:rsidR="003B5182">
        <w:t xml:space="preserve">. Ten pak </w:t>
      </w:r>
      <w:r w:rsidR="08321C9A">
        <w:t>myto</w:t>
      </w:r>
      <w:r w:rsidR="003B5182">
        <w:t>logicky</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321C9A">
        <w:t xml:space="preserve"> kopuluje s </w:t>
      </w:r>
      <w:r w:rsidR="085B1615" w:rsidRPr="00273106">
        <w:t>možný</w:t>
      </w:r>
      <w:r w:rsidR="08321C9A">
        <w:t>m</w:t>
      </w:r>
      <w:r w:rsidR="085B1615" w:rsidRPr="00273106">
        <w:t xml:space="preserve"> intelekt</w:t>
      </w:r>
      <w:r w:rsidR="003B5182">
        <w:t>em a g</w:t>
      </w:r>
      <w:r w:rsidR="085B1615" w:rsidRPr="00273106">
        <w:t xml:space="preserve">eneruje výsledné poznání </w:t>
      </w:r>
      <w:r w:rsidR="00AD3850">
        <w:t xml:space="preserve">jako </w:t>
      </w:r>
      <w:r w:rsidR="00AD3850" w:rsidRPr="006A21DD">
        <w:rPr>
          <w:i/>
        </w:rPr>
        <w:t>intellectus</w:t>
      </w:r>
      <w:r w:rsidR="00AD3850">
        <w:t xml:space="preserve"> </w:t>
      </w:r>
      <w:r w:rsidR="00AD3850" w:rsidRPr="00C241C0">
        <w:rPr>
          <w:i/>
        </w:rPr>
        <w:t>in effectu</w:t>
      </w:r>
      <w:r w:rsidR="085B1615" w:rsidRPr="00273106">
        <w:t>.</w:t>
      </w:r>
      <w:r w:rsidR="085B1615">
        <w:t xml:space="preserve"> </w:t>
      </w:r>
      <w:r w:rsidR="08321C9A">
        <w:t xml:space="preserve">Na </w:t>
      </w:r>
      <w:r w:rsidR="08321C9A">
        <w:lastRenderedPageBreak/>
        <w:t xml:space="preserve">této úrovni </w:t>
      </w:r>
      <w:r w:rsidR="00C54864">
        <w:t xml:space="preserve">je </w:t>
      </w:r>
      <w:r w:rsidR="08321C9A">
        <w:t xml:space="preserve">moderní </w:t>
      </w:r>
      <w:r w:rsidR="00C54864">
        <w:t>p</w:t>
      </w:r>
      <w:r w:rsidR="088D629E">
        <w:t xml:space="preserve">oznání </w:t>
      </w:r>
      <w:r w:rsidR="08886211">
        <w:t xml:space="preserve">na úrovni osoby </w:t>
      </w:r>
      <w:r w:rsidR="08E04C2D">
        <w:t xml:space="preserve">už volním aktem. </w:t>
      </w:r>
      <w:r w:rsidR="004A6EA9">
        <w:t>H</w:t>
      </w:r>
      <w:r w:rsidR="08E04C2D">
        <w:t xml:space="preserve">ermeneutika ukázala, jak plodivá síla intelektuálně potentních </w:t>
      </w:r>
      <w:r w:rsidR="08AD678F">
        <w:t>Múz</w:t>
      </w:r>
      <w:r w:rsidR="08AD678F">
        <w:fldChar w:fldCharType="begin"/>
      </w:r>
      <w:r w:rsidR="08AD678F">
        <w:instrText xml:space="preserve"> XE "</w:instrText>
      </w:r>
      <w:r w:rsidR="08AD678F" w:rsidRPr="089F0DCE">
        <w:instrText>Múzy</w:instrText>
      </w:r>
      <w:r w:rsidR="08AD678F">
        <w:instrText xml:space="preserve">" </w:instrText>
      </w:r>
      <w:r w:rsidR="08AD678F">
        <w:fldChar w:fldCharType="end"/>
      </w:r>
      <w:r w:rsidR="08AD678F">
        <w:t xml:space="preserve"> </w:t>
      </w:r>
      <w:r w:rsidR="08E04C2D">
        <w:t xml:space="preserve">skrze tento epochální </w:t>
      </w:r>
      <w:r w:rsidR="08E04C2D" w:rsidRPr="08E04C2D">
        <w:rPr>
          <w:i/>
        </w:rPr>
        <w:t>Irrtum</w:t>
      </w:r>
      <w:r w:rsidR="08E04C2D">
        <w:t xml:space="preserve"> vytvořila moderní</w:t>
      </w:r>
      <w:r w:rsidR="004A6EA9">
        <w:t xml:space="preserve"> subjekt</w:t>
      </w:r>
      <w:r w:rsidR="08E04C2D">
        <w:t xml:space="preserve">. </w:t>
      </w:r>
      <w:r w:rsidR="08B9440A">
        <w:t>Od Descarta spolu akademicky kopuluje duše a tělo</w:t>
      </w:r>
      <w:r w:rsidR="00BC783D">
        <w:t xml:space="preserve"> v modu akademického </w:t>
      </w:r>
      <w:r w:rsidR="00BC783D" w:rsidRPr="00694DD3">
        <w:rPr>
          <w:i/>
        </w:rPr>
        <w:t>certitudo</w:t>
      </w:r>
      <w:r w:rsidR="00BC783D">
        <w:t xml:space="preserve"> a </w:t>
      </w:r>
      <w:r w:rsidR="00BC783D" w:rsidRPr="00694DD3">
        <w:rPr>
          <w:i/>
        </w:rPr>
        <w:t>rectitudo</w:t>
      </w:r>
      <w:r w:rsidR="00DC7A1C">
        <w:t>. Obě jsoucna třetího druhu se snaží už několik století zplodit neexistující postmoderní subjekt, pochopitelně pod odborným vedením bohyní akademické Pomsty.</w:t>
      </w:r>
    </w:p>
    <w:p w14:paraId="7E334D96" w14:textId="5118EC48" w:rsidR="00221596" w:rsidRPr="00273106" w:rsidRDefault="088D629E" w:rsidP="00DC7A1C">
      <w:pPr>
        <w:ind w:firstLine="397"/>
      </w:pPr>
      <w:r>
        <w:t>M</w:t>
      </w:r>
      <w:r w:rsidR="000E396E">
        <w:t xml:space="preserve">odernisté </w:t>
      </w:r>
      <w:r w:rsidR="00CB4E40">
        <w:t>porov</w:t>
      </w:r>
      <w:r w:rsidR="000E396E">
        <w:t>návají</w:t>
      </w:r>
      <w:r w:rsidR="00C9298A">
        <w:t xml:space="preserve"> </w:t>
      </w:r>
      <w:r w:rsidR="002E30FF" w:rsidRPr="002E30FF">
        <w:t>species</w:t>
      </w:r>
      <w:r w:rsidR="002E6F7E">
        <w:t xml:space="preserve"> </w:t>
      </w:r>
      <w:r>
        <w:t>danou ar</w:t>
      </w:r>
      <w:r w:rsidR="004E64AE">
        <w:t xml:space="preserve">istotelskou abstrakcí se </w:t>
      </w:r>
      <w:r w:rsidR="002E30FF" w:rsidRPr="002E30FF">
        <w:t>species</w:t>
      </w:r>
      <w:r>
        <w:t xml:space="preserve"> uchovan</w:t>
      </w:r>
      <w:r w:rsidR="08C40E05">
        <w:t xml:space="preserve">ou v </w:t>
      </w:r>
      <w:r w:rsidR="086C7D15">
        <w:t xml:space="preserve">augustiniánské </w:t>
      </w:r>
      <w:r w:rsidR="004E64AE">
        <w:t xml:space="preserve">paměti </w:t>
      </w:r>
      <w:r w:rsidR="08C40E05">
        <w:t xml:space="preserve">jako </w:t>
      </w:r>
      <w:r w:rsidR="08C40E05" w:rsidRPr="00CB4E40">
        <w:rPr>
          <w:i/>
        </w:rPr>
        <w:t>locus specierum</w:t>
      </w:r>
      <w:r>
        <w:t xml:space="preserve">. </w:t>
      </w:r>
      <w:r w:rsidR="089F274D">
        <w:t xml:space="preserve">Porovnání dvou </w:t>
      </w:r>
      <w:r w:rsidR="002E30FF" w:rsidRPr="002E30FF">
        <w:t>species</w:t>
      </w:r>
      <w:r w:rsidR="089F274D">
        <w:t xml:space="preserve"> třetího druhu vznikne pravda jako spekulativní </w:t>
      </w:r>
      <w:r w:rsidR="089F274D" w:rsidRPr="088D629E">
        <w:rPr>
          <w:i/>
        </w:rPr>
        <w:t>certitudo</w:t>
      </w:r>
      <w:r w:rsidR="089F274D">
        <w:t xml:space="preserve">. </w:t>
      </w:r>
      <w:r>
        <w:t>Další úroveň pravdy v modu anselmovské</w:t>
      </w:r>
      <w:r w:rsidR="08F10BE1">
        <w:t>ho</w:t>
      </w:r>
      <w:r>
        <w:t xml:space="preserve"> </w:t>
      </w:r>
      <w:r w:rsidRPr="088D629E">
        <w:rPr>
          <w:i/>
        </w:rPr>
        <w:t>rectitudo</w:t>
      </w:r>
      <w:r w:rsidR="08F10BE1">
        <w:t xml:space="preserve"> se zajistí</w:t>
      </w:r>
      <w:r>
        <w:t xml:space="preserve"> tím, že tato </w:t>
      </w:r>
      <w:r w:rsidR="002E30FF" w:rsidRPr="002E30FF">
        <w:t>species</w:t>
      </w:r>
      <w:r>
        <w:t xml:space="preserve"> uložená v augustiniánské </w:t>
      </w:r>
      <w:r w:rsidRPr="088D629E">
        <w:rPr>
          <w:i/>
        </w:rPr>
        <w:t>memoria</w:t>
      </w:r>
      <w:r w:rsidR="08EC1B5F">
        <w:t xml:space="preserve"> modernisté </w:t>
      </w:r>
      <w:r>
        <w:t>poro</w:t>
      </w:r>
      <w:r w:rsidR="085B1615">
        <w:t>vnají</w:t>
      </w:r>
      <w:r>
        <w:t xml:space="preserve"> </w:t>
      </w:r>
      <w:r w:rsidR="00C9298A">
        <w:t xml:space="preserve">s ideálními typy těchto </w:t>
      </w:r>
      <w:r w:rsidR="002E30FF" w:rsidRPr="002E30FF">
        <w:t>species</w:t>
      </w:r>
      <w:r w:rsidR="006E28E8">
        <w:t xml:space="preserve"> danými v moderním bohu</w:t>
      </w:r>
      <w:r w:rsidR="08EC4D69">
        <w:t xml:space="preserve">, v matematice, </w:t>
      </w:r>
      <w:r w:rsidR="0856031D">
        <w:t xml:space="preserve">v </w:t>
      </w:r>
      <w:r w:rsidR="08EC4D69">
        <w:t>teoretických modelech</w:t>
      </w:r>
      <w:r w:rsidR="0856031D">
        <w:t xml:space="preserve"> čehokoliv</w:t>
      </w:r>
      <w:r w:rsidR="08EC4D69">
        <w:t xml:space="preserve">, </w:t>
      </w:r>
      <w:r w:rsidR="00C54864">
        <w:t>nebo v kosmických inteligencích</w:t>
      </w:r>
      <w:r w:rsidR="082B54F0">
        <w:t xml:space="preserve">. </w:t>
      </w:r>
      <w:r w:rsidR="087C0276">
        <w:t>Spekulativní s</w:t>
      </w:r>
      <w:r w:rsidR="000A6EC5" w:rsidRPr="00273106">
        <w:t xml:space="preserve">chéma poznání </w:t>
      </w:r>
      <w:r w:rsidR="00B5332B">
        <w:t xml:space="preserve">reality </w:t>
      </w:r>
      <w:r w:rsidR="00B203E1" w:rsidRPr="00273106">
        <w:t xml:space="preserve">ve druhém averroismu </w:t>
      </w:r>
      <w:r w:rsidR="087C0276">
        <w:t xml:space="preserve">je </w:t>
      </w:r>
      <w:r w:rsidR="00B5332B">
        <w:t>postaveno úplně na hlavu</w:t>
      </w:r>
      <w:r w:rsidR="00962909">
        <w:t>, protože k němu není třeba reálná první substance</w:t>
      </w:r>
      <w:r w:rsidR="00B5332B">
        <w:t>.</w:t>
      </w:r>
      <w:r w:rsidR="08671D15">
        <w:t xml:space="preserve"> </w:t>
      </w:r>
      <w:r w:rsidR="089F096D">
        <w:t>Po smrti moderního boha je tato iluze pravdy dána v matematice</w:t>
      </w:r>
      <w:r w:rsidR="089F096D" w:rsidRPr="082B54F0">
        <w:t xml:space="preserve"> </w:t>
      </w:r>
      <w:r w:rsidR="089F096D">
        <w:t>postmoderního karteziánského světa a současné nihilistické ekonomiky</w:t>
      </w:r>
      <w:r w:rsidR="00436B3F">
        <w:t xml:space="preserve">. Definice virtuálního kapitálu říká jasně, že je dán </w:t>
      </w:r>
      <w:r w:rsidR="089F096D">
        <w:t>pouze v hlavě (</w:t>
      </w:r>
      <w:r w:rsidR="089F096D" w:rsidRPr="08762483">
        <w:rPr>
          <w:i/>
        </w:rPr>
        <w:t>caput</w:t>
      </w:r>
      <w:r w:rsidR="00436B3F">
        <w:t xml:space="preserve">) </w:t>
      </w:r>
      <w:r w:rsidR="006805C5">
        <w:t xml:space="preserve">současných </w:t>
      </w:r>
      <w:r w:rsidR="00436B3F">
        <w:t>iluminátů</w:t>
      </w:r>
      <w:r w:rsidR="089F096D">
        <w:t xml:space="preserve">. </w:t>
      </w:r>
      <w:r w:rsidR="00E01EC4">
        <w:t>Jejich</w:t>
      </w:r>
      <w:r w:rsidR="086F3FAA">
        <w:t xml:space="preserve"> mysl osvícená Fúriemi tvoří zá</w:t>
      </w:r>
      <w:r w:rsidR="08E04F11">
        <w:t xml:space="preserve">kladní kapitál této zajímavé epochy. </w:t>
      </w:r>
      <w:r w:rsidR="00DC0B69">
        <w:t>Fantastické v</w:t>
      </w:r>
      <w:r w:rsidR="00DC0B69" w:rsidRPr="00273106">
        <w:t xml:space="preserve">ědění dubluje realitu </w:t>
      </w:r>
      <w:r w:rsidR="00DC0B69">
        <w:t xml:space="preserve">paranoickým </w:t>
      </w:r>
      <w:r w:rsidR="00DC0B69" w:rsidRPr="00273106">
        <w:t xml:space="preserve">způsobem. </w:t>
      </w:r>
      <w:r w:rsidR="08F36581">
        <w:t>Následující část</w:t>
      </w:r>
      <w:r w:rsidR="00221596" w:rsidRPr="00273106">
        <w:t xml:space="preserve"> </w:t>
      </w:r>
      <w:r w:rsidR="08BB71A1">
        <w:t xml:space="preserve">Albertova </w:t>
      </w:r>
      <w:r w:rsidR="08F36581">
        <w:t>komentáře obhajuje</w:t>
      </w:r>
      <w:r w:rsidR="00221596" w:rsidRPr="00273106">
        <w:t xml:space="preserve"> integrální postoj CMDA </w:t>
      </w:r>
      <w:r w:rsidR="08F36581">
        <w:t xml:space="preserve">tím, že </w:t>
      </w:r>
      <w:r w:rsidR="00221596" w:rsidRPr="00273106">
        <w:t>exponuje</w:t>
      </w:r>
      <w:r w:rsidR="002B4096">
        <w:t xml:space="preserve"> </w:t>
      </w:r>
      <w:r w:rsidR="00221596" w:rsidRPr="00273106">
        <w:t>formu</w:t>
      </w:r>
      <w:r w:rsidR="000A6EC5" w:rsidRPr="00273106">
        <w:t xml:space="preserve"> </w:t>
      </w:r>
      <w:r w:rsidR="000A6EC5" w:rsidRPr="00273106">
        <w:rPr>
          <w:i/>
        </w:rPr>
        <w:t>Irrtum</w:t>
      </w:r>
      <w:r w:rsidR="00D9521A" w:rsidRPr="00273106">
        <w:t>,</w:t>
      </w:r>
      <w:r w:rsidR="008C4B01" w:rsidRPr="00273106">
        <w:t xml:space="preserve"> kterou se vyznačuje moderní</w:t>
      </w:r>
      <w:r w:rsidR="000A6EC5" w:rsidRPr="00273106">
        <w:t xml:space="preserve"> poznání</w:t>
      </w:r>
      <w:r w:rsidR="00A41C86" w:rsidRPr="00273106">
        <w:t xml:space="preserve">. </w:t>
      </w:r>
      <w:r w:rsidR="00454028">
        <w:t xml:space="preserve">Albert </w:t>
      </w:r>
      <w:r w:rsidR="00532A65">
        <w:t xml:space="preserve">odmítá </w:t>
      </w:r>
      <w:r w:rsidR="00454028">
        <w:t>averroistický model</w:t>
      </w:r>
      <w:r w:rsidR="00532A65">
        <w:t xml:space="preserve"> jedné pravdy založené na soustavě simuláker a substancí třetího druhu. </w:t>
      </w:r>
      <w:r w:rsidR="0030332F">
        <w:t>Citát odděl</w:t>
      </w:r>
      <w:r w:rsidR="00454028">
        <w:t>uje aristotelskou</w:t>
      </w:r>
      <w:r w:rsidR="00532A65">
        <w:t xml:space="preserve"> </w:t>
      </w:r>
      <w:r w:rsidR="00454028">
        <w:t>abstrakci</w:t>
      </w:r>
      <w:r w:rsidR="0030332F">
        <w:t xml:space="preserve"> a </w:t>
      </w:r>
      <w:r w:rsidR="00454028">
        <w:t>neoplatonskou</w:t>
      </w:r>
      <w:r w:rsidR="00E66FBE">
        <w:t xml:space="preserve"> </w:t>
      </w:r>
      <w:r w:rsidR="00454028">
        <w:t>denudaci</w:t>
      </w:r>
      <w:r w:rsidR="0030332F">
        <w:t xml:space="preserve"> d</w:t>
      </w:r>
      <w:r w:rsidR="000A76CB">
        <w:t xml:space="preserve">o dvou oddělených rovin poznání, které se </w:t>
      </w:r>
      <w:r w:rsidR="089828D6">
        <w:t xml:space="preserve">podle Alberta </w:t>
      </w:r>
      <w:r w:rsidR="000A76CB">
        <w:t xml:space="preserve">nemohou </w:t>
      </w:r>
      <w:r w:rsidR="089828D6">
        <w:t xml:space="preserve">nikdy </w:t>
      </w:r>
      <w:r w:rsidR="000A76CB">
        <w:t>potkat</w:t>
      </w:r>
      <w:r w:rsidR="00A87A71">
        <w:t xml:space="preserve"> přímo, pouze nepřímo</w:t>
      </w:r>
      <w:r w:rsidR="000A76CB">
        <w:t>.</w:t>
      </w:r>
      <w:r w:rsidR="0030332F">
        <w:t xml:space="preserve"> </w:t>
      </w:r>
    </w:p>
    <w:p w14:paraId="11347678" w14:textId="5946E3AB" w:rsidR="00DB3EFC" w:rsidRPr="00273106" w:rsidRDefault="00221596" w:rsidP="00311DC1">
      <w:pPr>
        <w:pStyle w:val="Citace"/>
        <w:rPr>
          <w:noProof/>
          <w:lang w:val="cs-CZ"/>
        </w:rPr>
      </w:pPr>
      <w:r w:rsidRPr="00273106">
        <w:rPr>
          <w:noProof/>
          <w:lang w:val="cs-CZ"/>
        </w:rPr>
        <w:t>„</w:t>
      </w:r>
      <w:r w:rsidR="00311DC1" w:rsidRPr="00311DC1">
        <w:rPr>
          <w:noProof/>
          <w:lang w:val="cs-CZ"/>
        </w:rPr>
        <w:t>Poznání získané fantasmaty je dvojího druhu (</w:t>
      </w:r>
      <w:r w:rsidR="00311DC1" w:rsidRPr="00311DC1">
        <w:rPr>
          <w:i/>
          <w:noProof/>
          <w:lang w:val="cs-CZ"/>
        </w:rPr>
        <w:t>duplex scientia ex phantasmate</w:t>
      </w:r>
      <w:r w:rsidR="00311DC1" w:rsidRPr="00311DC1">
        <w:rPr>
          <w:noProof/>
          <w:lang w:val="cs-CZ"/>
        </w:rPr>
        <w:t>). V prvním smyslu pochází přímo z fantasmat, protože forma, která má být pochopena (</w:t>
      </w:r>
      <w:r w:rsidR="00311DC1" w:rsidRPr="00311DC1">
        <w:rPr>
          <w:i/>
          <w:noProof/>
          <w:lang w:val="cs-CZ"/>
        </w:rPr>
        <w:t>ipsa forma intellecta</w:t>
      </w:r>
      <w:r w:rsidR="00311DC1" w:rsidRPr="00311DC1">
        <w:rPr>
          <w:noProof/>
          <w:lang w:val="cs-CZ"/>
        </w:rPr>
        <w:t>), má své bytí přímo v jednotlivé věci (</w:t>
      </w:r>
      <w:r w:rsidR="00311DC1" w:rsidRPr="00311DC1">
        <w:rPr>
          <w:i/>
          <w:noProof/>
          <w:lang w:val="cs-CZ"/>
        </w:rPr>
        <w:t>forma habens esse in particulari</w:t>
      </w:r>
      <w:r w:rsidR="00311DC1" w:rsidRPr="00311DC1">
        <w:rPr>
          <w:noProof/>
          <w:lang w:val="cs-CZ"/>
        </w:rPr>
        <w:t>). V druhém případě není poznávaná forma dána jako hylemorfní jednotlivá věc (</w:t>
      </w:r>
      <w:r w:rsidR="00311DC1" w:rsidRPr="00311DC1">
        <w:rPr>
          <w:i/>
          <w:noProof/>
          <w:lang w:val="cs-CZ"/>
        </w:rPr>
        <w:t>forma intellecta non est secundum esse in particulari</w:t>
      </w:r>
      <w:r w:rsidR="00311DC1" w:rsidRPr="00311DC1">
        <w:rPr>
          <w:noProof/>
          <w:lang w:val="cs-CZ"/>
        </w:rPr>
        <w:t>); účinek těchto oddělených jevů se však projevuje prostřednictvím smyslů. Účinek takové hypostatické intelektuální formy pak tvoří přímou příčinu, která ovlivňuje lidský intelekt. Tímto způsobem poznáváme oddělené kosmické formy.</w:t>
      </w:r>
      <w:r w:rsidR="00E212AD" w:rsidRPr="00273106">
        <w:rPr>
          <w:noProof/>
          <w:lang w:val="cs-CZ"/>
        </w:rPr>
        <w:t>“</w:t>
      </w:r>
      <w:r w:rsidR="002A0A9A" w:rsidRPr="00273106">
        <w:rPr>
          <w:noProof/>
          <w:lang w:val="cs-CZ"/>
        </w:rPr>
        <w:t xml:space="preserve"> </w:t>
      </w:r>
      <w:r w:rsidR="00DB3EFC" w:rsidRPr="00273106">
        <w:rPr>
          <w:rStyle w:val="Znakapoznpodarou"/>
          <w:noProof/>
          <w:lang w:val="cs-CZ"/>
        </w:rPr>
        <w:footnoteReference w:id="264"/>
      </w:r>
    </w:p>
    <w:p w14:paraId="320B8B3E" w14:textId="4148EB87" w:rsidR="00CD2B94" w:rsidRDefault="00587620" w:rsidP="08B96597">
      <w:r w:rsidRPr="00587620">
        <w:lastRenderedPageBreak/>
        <w:t xml:space="preserve">První poznání jde klasickou cestou abstrakce od fantasmat, která dostávají bytí </w:t>
      </w:r>
      <w:r>
        <w:t xml:space="preserve">od </w:t>
      </w:r>
      <w:r w:rsidRPr="00587620">
        <w:t>singulární formy dané ve věcech (</w:t>
      </w:r>
      <w:r w:rsidRPr="00587620">
        <w:rPr>
          <w:i/>
        </w:rPr>
        <w:t>forma habens esse in particulari</w:t>
      </w:r>
      <w:r>
        <w:t>). Výraz „</w:t>
      </w:r>
      <w:r w:rsidRPr="00587620">
        <w:rPr>
          <w:i/>
        </w:rPr>
        <w:t>habens esse</w:t>
      </w:r>
      <w:r>
        <w:t>“</w:t>
      </w:r>
      <w:r w:rsidRPr="00587620">
        <w:t xml:space="preserve"> neznamená totožnost formy v intelek</w:t>
      </w:r>
      <w:r w:rsidR="00D07772">
        <w:t>tu a v realitě ve smyslu hypostázovaného habitu Porretá</w:t>
      </w:r>
      <w:r w:rsidRPr="00587620">
        <w:t xml:space="preserve">nů. Bytí intelektuální formy je vždy univerzální a je dáno pouze v myšlení. Poznání postupuje v řádu abstrakce od věci ke smyslům. Věc existuje ve skutečnosti a mysl k ní nemůže přistupovat přímo, protože </w:t>
      </w:r>
      <w:r w:rsidR="00393B06">
        <w:t xml:space="preserve">platí </w:t>
      </w:r>
      <w:r w:rsidRPr="00587620">
        <w:t xml:space="preserve">metafyzický dativ. </w:t>
      </w:r>
      <w:r w:rsidR="00393B06">
        <w:t xml:space="preserve">První substance je </w:t>
      </w:r>
      <w:r w:rsidRPr="00587620">
        <w:t>příčinou poznání</w:t>
      </w:r>
      <w:r w:rsidR="00393B06">
        <w:t xml:space="preserve">, protože nasvěcuje smysl jsoucna </w:t>
      </w:r>
      <w:r w:rsidRPr="00587620">
        <w:t xml:space="preserve">zepředu. To vytváří teorii pravdy jako korespondence mezi věcí a myšlením. Moderní spekulace </w:t>
      </w:r>
      <w:r w:rsidR="00393B06">
        <w:t xml:space="preserve">naopak </w:t>
      </w:r>
      <w:r w:rsidRPr="00587620">
        <w:t xml:space="preserve">pozoruje poznávací formu jako </w:t>
      </w:r>
      <w:r w:rsidRPr="00393B06">
        <w:rPr>
          <w:i/>
        </w:rPr>
        <w:t>tertium ens</w:t>
      </w:r>
      <w:r w:rsidRPr="00587620">
        <w:t xml:space="preserve"> v reálných věcech. Druhý případ poznání se týká hypostatických nehmotných inteligencí a forem, které existují mimo hylemorfní substance (</w:t>
      </w:r>
      <w:r w:rsidRPr="00AC4D47">
        <w:rPr>
          <w:i/>
        </w:rPr>
        <w:t>intellecta non est secundum esse in particulari</w:t>
      </w:r>
      <w:r w:rsidRPr="00587620">
        <w:t xml:space="preserve">). Neexistuje žádné přímé osvícení, které by tyto formy přímo zpřístupnilo lidskému intelektu. Lidské myšlení má receptivní </w:t>
      </w:r>
      <w:r w:rsidR="00CC4F37">
        <w:t xml:space="preserve">schopnost </w:t>
      </w:r>
      <w:r w:rsidRPr="00587620">
        <w:t xml:space="preserve">pouze prostřednictvím </w:t>
      </w:r>
      <w:r w:rsidRPr="00CC4F37">
        <w:rPr>
          <w:i/>
        </w:rPr>
        <w:t>intellectus possibilis</w:t>
      </w:r>
      <w:r w:rsidRPr="00587620">
        <w:t xml:space="preserve"> a nemůže sdílet aktivní schopnosti pocházející z odděleného </w:t>
      </w:r>
      <w:r w:rsidRPr="00CC4F37">
        <w:rPr>
          <w:i/>
        </w:rPr>
        <w:t>intellectus agens</w:t>
      </w:r>
      <w:r w:rsidRPr="00587620">
        <w:t>. Mystické vytržení a iluminace mají přístup k intelektuálním formám (</w:t>
      </w:r>
      <w:r w:rsidRPr="00D05607">
        <w:rPr>
          <w:i/>
        </w:rPr>
        <w:t>sic cognoscimus separata</w:t>
      </w:r>
      <w:r w:rsidRPr="00587620">
        <w:t xml:space="preserve">), ale pouze prostřednictvím aristotelského způsobu recepce, který </w:t>
      </w:r>
      <w:r w:rsidR="00D05607">
        <w:t xml:space="preserve">běží </w:t>
      </w:r>
      <w:r w:rsidRPr="00587620">
        <w:t xml:space="preserve">skrze smysly  </w:t>
      </w:r>
      <w:r w:rsidR="00D05607">
        <w:t>a rezeptivní intellekt (</w:t>
      </w:r>
      <w:r w:rsidR="00D05607" w:rsidRPr="00F843C7">
        <w:rPr>
          <w:i/>
        </w:rPr>
        <w:t>in sensibili manifestantur opera ejus</w:t>
      </w:r>
      <w:r w:rsidR="00D05607">
        <w:t>).</w:t>
      </w:r>
      <w:r w:rsidR="08617DDC">
        <w:t xml:space="preserve"> </w:t>
      </w:r>
      <w:r w:rsidR="08B96597">
        <w:t xml:space="preserve">Moderna </w:t>
      </w:r>
      <w:r w:rsidR="088943F9">
        <w:t xml:space="preserve">vedená chtónickými silami temnoty </w:t>
      </w:r>
      <w:r w:rsidR="08B96597">
        <w:t xml:space="preserve">udělala z mystického </w:t>
      </w:r>
      <w:r w:rsidR="084356EA">
        <w:t xml:space="preserve">osvícení </w:t>
      </w:r>
      <w:r w:rsidR="08B96597">
        <w:t xml:space="preserve">normální </w:t>
      </w:r>
      <w:r w:rsidR="084356EA">
        <w:t>poznávací proces</w:t>
      </w:r>
      <w:r w:rsidR="08B96597">
        <w:t xml:space="preserve">. </w:t>
      </w:r>
      <w:r w:rsidR="08BC1C4C">
        <w:t xml:space="preserve">Aktivní oddělený intelekt modernistů projektuje poznávané formy </w:t>
      </w:r>
      <w:r w:rsidR="00DE021D">
        <w:t xml:space="preserve">přímo </w:t>
      </w:r>
      <w:r w:rsidR="08BC1C4C">
        <w:t xml:space="preserve">do </w:t>
      </w:r>
      <w:r w:rsidR="00DE021D">
        <w:t>lidského intelektu</w:t>
      </w:r>
      <w:r w:rsidR="08BC1C4C">
        <w:fldChar w:fldCharType="begin"/>
      </w:r>
      <w:r w:rsidR="08BC1C4C">
        <w:instrText xml:space="preserve"> XE "</w:instrText>
      </w:r>
      <w:r w:rsidR="08BC1C4C" w:rsidRPr="001D1E42">
        <w:instrText>subsistence</w:instrText>
      </w:r>
      <w:r w:rsidR="08BC1C4C">
        <w:instrText xml:space="preserve">:porretáni" </w:instrText>
      </w:r>
      <w:r w:rsidR="08BC1C4C">
        <w:fldChar w:fldCharType="end"/>
      </w:r>
      <w:r w:rsidR="08BC1C4C">
        <w:t xml:space="preserve">, protože hypostázovaný </w:t>
      </w:r>
      <w:r w:rsidR="08BC1C4C" w:rsidRPr="08743BDD">
        <w:rPr>
          <w:i/>
        </w:rPr>
        <w:t>intellectus agens</w:t>
      </w:r>
      <w:r w:rsidR="08BC1C4C">
        <w:t xml:space="preserve"> je </w:t>
      </w:r>
      <w:r w:rsidR="000929F6">
        <w:t xml:space="preserve">aktivní </w:t>
      </w:r>
      <w:r w:rsidR="08BC1C4C">
        <w:t xml:space="preserve">příčinou </w:t>
      </w:r>
      <w:r w:rsidR="0030590B">
        <w:t xml:space="preserve">moderního </w:t>
      </w:r>
      <w:r w:rsidR="00CD2B94">
        <w:t>poznání.</w:t>
      </w:r>
    </w:p>
    <w:p w14:paraId="24B1A08E" w14:textId="190FF0D0" w:rsidR="00A41C86" w:rsidRPr="00273106" w:rsidRDefault="000B0A55" w:rsidP="00932786">
      <w:pPr>
        <w:ind w:firstLine="397"/>
      </w:pPr>
      <w:r w:rsidRPr="000B0A55">
        <w:t xml:space="preserve">Gnoseologie je založena na </w:t>
      </w:r>
      <w:r w:rsidRPr="000B0A55">
        <w:rPr>
          <w:i/>
        </w:rPr>
        <w:t>certitudo</w:t>
      </w:r>
      <w:r w:rsidRPr="000B0A55">
        <w:t xml:space="preserve"> a </w:t>
      </w:r>
      <w:r w:rsidRPr="000B0A55">
        <w:rPr>
          <w:i/>
        </w:rPr>
        <w:t>rectitudo</w:t>
      </w:r>
      <w:r w:rsidRPr="000B0A55">
        <w:t xml:space="preserve"> moderního subjektu. Základ poznání nepotřebuje reálný svět k vytvoření vědy. K vytvoření </w:t>
      </w:r>
      <w:r w:rsidRPr="000B0A55">
        <w:rPr>
          <w:i/>
        </w:rPr>
        <w:t>verisimilitudo</w:t>
      </w:r>
      <w:r w:rsidRPr="000B0A55">
        <w:t xml:space="preserve"> světa </w:t>
      </w:r>
      <w:r>
        <w:t xml:space="preserve">stačí moderní </w:t>
      </w:r>
      <w:r w:rsidRPr="000B0A55">
        <w:t xml:space="preserve">panoptikum </w:t>
      </w:r>
      <w:r w:rsidRPr="000B0A55">
        <w:rPr>
          <w:i/>
        </w:rPr>
        <w:t>tertium ens</w:t>
      </w:r>
      <w:r w:rsidRPr="000B0A55">
        <w:t>.</w:t>
      </w:r>
      <w:r>
        <w:t xml:space="preserve"> </w:t>
      </w:r>
      <w:r w:rsidR="00CD2B94" w:rsidRPr="00CD2B94">
        <w:t xml:space="preserve">Osvícená mysl zpracovává formy pocházející z odděleného </w:t>
      </w:r>
      <w:r w:rsidR="00CD2B94" w:rsidRPr="00AB78E6">
        <w:rPr>
          <w:i/>
        </w:rPr>
        <w:t>intellectus agens</w:t>
      </w:r>
      <w:r w:rsidR="00B01C7D">
        <w:t xml:space="preserve"> a vy</w:t>
      </w:r>
      <w:r w:rsidR="00CD2B94" w:rsidRPr="00CD2B94">
        <w:t xml:space="preserve">tváří </w:t>
      </w:r>
      <w:r w:rsidR="00B01C7D">
        <w:t xml:space="preserve">intelekt jako autonomní substanci, nebo </w:t>
      </w:r>
      <w:r w:rsidR="00CD2B94" w:rsidRPr="00CD2B94">
        <w:t xml:space="preserve">jako </w:t>
      </w:r>
      <w:r w:rsidR="00AB78E6">
        <w:t xml:space="preserve">karteziánskou </w:t>
      </w:r>
      <w:r w:rsidR="00CD2B94" w:rsidRPr="00AB78E6">
        <w:rPr>
          <w:i/>
        </w:rPr>
        <w:t>res cogitans</w:t>
      </w:r>
      <w:r w:rsidR="00F32345">
        <w:rPr>
          <w:i/>
        </w:rPr>
        <w:fldChar w:fldCharType="begin"/>
      </w:r>
      <w:r w:rsidR="00F32345">
        <w:instrText xml:space="preserve"> XE "</w:instrText>
      </w:r>
      <w:r w:rsidR="00F32345" w:rsidRPr="007A701E">
        <w:rPr>
          <w:i/>
        </w:rPr>
        <w:instrText>res cogitans</w:instrText>
      </w:r>
      <w:r w:rsidR="00F32345">
        <w:instrText xml:space="preserve">" </w:instrText>
      </w:r>
      <w:r w:rsidR="00F32345">
        <w:rPr>
          <w:i/>
        </w:rPr>
        <w:fldChar w:fldCharType="end"/>
      </w:r>
      <w:r w:rsidR="00CD2B94" w:rsidRPr="00CD2B94">
        <w:t xml:space="preserve">. Klasická metafyzika definovala tento druh demiurgické produkce smyslu jako predikaci zvanou </w:t>
      </w:r>
      <w:r w:rsidR="00CD2B94" w:rsidRPr="002D4827">
        <w:rPr>
          <w:i/>
        </w:rPr>
        <w:t>in artificialibus</w:t>
      </w:r>
      <w:r w:rsidR="00CD2B94">
        <w:fldChar w:fldCharType="begin"/>
      </w:r>
      <w:r w:rsidR="00CD2B94">
        <w:instrText xml:space="preserve"> XE "</w:instrText>
      </w:r>
      <w:r w:rsidR="00CD2B94" w:rsidRPr="009615F6">
        <w:instrText>predikac</w:instrText>
      </w:r>
      <w:r w:rsidR="00CD2B94">
        <w:instrText>e:</w:instrText>
      </w:r>
      <w:r w:rsidR="00CD2B94" w:rsidRPr="009615F6">
        <w:rPr>
          <w:i/>
        </w:rPr>
        <w:instrText>in artificialibus</w:instrText>
      </w:r>
      <w:r w:rsidR="00CD2B94">
        <w:instrText xml:space="preserve">" </w:instrText>
      </w:r>
      <w:r w:rsidR="00CD2B94">
        <w:fldChar w:fldCharType="end"/>
      </w:r>
      <w:r w:rsidR="00CD2B94">
        <w:rPr>
          <w:i/>
        </w:rPr>
        <w:t>.</w:t>
      </w:r>
      <w:r w:rsidR="00CD2B94">
        <w:t xml:space="preserve"> </w:t>
      </w:r>
      <w:r w:rsidR="08BC1C4C" w:rsidRPr="00273106">
        <w:t xml:space="preserve">V </w:t>
      </w:r>
      <w:r w:rsidR="08BC1C4C">
        <w:t>neoplatonsk</w:t>
      </w:r>
      <w:r w:rsidR="08BC1C4C" w:rsidRPr="00273106">
        <w:t>ém modelu demiurg poznává svět tím, že jej tvoří vtiskováním oddělené formy do amorfní materie. Poznání modernistů nepotřebuje reálnou věc</w:t>
      </w:r>
      <w:r w:rsidR="08BC1C4C">
        <w:t xml:space="preserve">, protože tvoří její poznanou formu skrze demiurgickou </w:t>
      </w:r>
      <w:r w:rsidR="089073E3">
        <w:t>M</w:t>
      </w:r>
      <w:r w:rsidR="089073E3" w:rsidRPr="00273106">
        <w:t>odernisté zaměnili poznání světa s jeho pomyslnou tvorbou</w:t>
      </w:r>
      <w:r w:rsidR="089073E3">
        <w:t xml:space="preserve"> v diakosmu daném poprvé u Jamblicha a Simplikia (OBJ I, kap. 1.3.1)</w:t>
      </w:r>
      <w:r w:rsidR="00111D13">
        <w:t>. Podle prvního averroismu S</w:t>
      </w:r>
      <w:r w:rsidR="00111D13" w:rsidRPr="00111D13">
        <w:t xml:space="preserve">icilské školy je touto predikací definována pouze řemeslná výroba. Akt poznání </w:t>
      </w:r>
      <w:r w:rsidR="00111D13" w:rsidRPr="00111D13">
        <w:lastRenderedPageBreak/>
        <w:t>je zcela receptivní a v r</w:t>
      </w:r>
      <w:r w:rsidR="00111D13">
        <w:t>eálném světě existuje pouze jako accident</w:t>
      </w:r>
      <w:r w:rsidR="00111D13" w:rsidRPr="00111D13">
        <w:t xml:space="preserve">. Realitu nemůžeme vytvořit </w:t>
      </w:r>
      <w:r w:rsidR="00111D13">
        <w:t xml:space="preserve">v mysli </w:t>
      </w:r>
      <w:r w:rsidR="00111D13" w:rsidRPr="00111D13">
        <w:rPr>
          <w:i/>
        </w:rPr>
        <w:t>ex nihilo</w:t>
      </w:r>
      <w:r w:rsidR="00111D13" w:rsidRPr="00111D13">
        <w:t>, protože člověk není božským stvořitelem kosmu.</w:t>
      </w:r>
      <w:r w:rsidR="00111D13">
        <w:t xml:space="preserve"> </w:t>
      </w:r>
      <w:r w:rsidR="08736A8A">
        <w:t>S</w:t>
      </w:r>
      <w:r w:rsidR="08736A8A" w:rsidRPr="00273106">
        <w:t>tejný tragi</w:t>
      </w:r>
      <w:r w:rsidR="00726AD1">
        <w:t>komi</w:t>
      </w:r>
      <w:r w:rsidR="08736A8A" w:rsidRPr="00273106">
        <w:t xml:space="preserve">cký omyl </w:t>
      </w:r>
      <w:r w:rsidR="08736A8A">
        <w:t xml:space="preserve">daný chybným užitím predikace </w:t>
      </w:r>
      <w:r w:rsidR="08736A8A" w:rsidRPr="08751298">
        <w:rPr>
          <w:i/>
        </w:rPr>
        <w:t>in artificialibus</w:t>
      </w:r>
      <w:r w:rsidR="08736A8A">
        <w:t xml:space="preserve"> </w:t>
      </w:r>
      <w:r w:rsidR="08736A8A" w:rsidRPr="00273106">
        <w:t>vytýká Baco</w:t>
      </w:r>
      <w:r w:rsidR="089073E3">
        <w:t>n modernistům na Oxfordu (kap. 3</w:t>
      </w:r>
      <w:r w:rsidR="08736A8A" w:rsidRPr="00273106">
        <w:t>.2).</w:t>
      </w:r>
      <w:r w:rsidR="08736A8A">
        <w:t xml:space="preserve"> </w:t>
      </w:r>
      <w:r w:rsidR="00932786" w:rsidRPr="00932786">
        <w:t>Albertův cit</w:t>
      </w:r>
      <w:r w:rsidR="00932786">
        <w:t>át potvrzuje, že modernisté poja</w:t>
      </w:r>
      <w:r w:rsidR="00932786" w:rsidRPr="00932786">
        <w:t>li kauzalitu na úrovni ese</w:t>
      </w:r>
      <w:r w:rsidR="00932786">
        <w:t>ncí a jejich účinek prohlácili</w:t>
      </w:r>
      <w:r w:rsidR="00932786" w:rsidRPr="00932786">
        <w:t xml:space="preserve"> za univo</w:t>
      </w:r>
      <w:r w:rsidR="00932786">
        <w:t>čně danou form</w:t>
      </w:r>
      <w:r w:rsidR="00932786" w:rsidRPr="00932786">
        <w:t>u, která působí v demonstrativním důkazu (</w:t>
      </w:r>
      <w:r w:rsidR="00932786" w:rsidRPr="00932786">
        <w:rPr>
          <w:i/>
        </w:rPr>
        <w:t>per opera sicut per effectum venitur in causam per intellectum</w:t>
      </w:r>
      <w:r w:rsidR="00932786" w:rsidRPr="00932786">
        <w:t>).</w:t>
      </w:r>
      <w:r w:rsidR="00932786">
        <w:t xml:space="preserve"> </w:t>
      </w:r>
      <w:r w:rsidR="08E30FF8" w:rsidRPr="00273106">
        <w:t xml:space="preserve">Jejich </w:t>
      </w:r>
      <w:r w:rsidR="08E30FF8">
        <w:t xml:space="preserve">demiurgický intelekt se dostal přímo do reálné </w:t>
      </w:r>
      <w:r w:rsidR="08E30FF8" w:rsidRPr="00273106">
        <w:t xml:space="preserve">věci skrze </w:t>
      </w:r>
      <w:r w:rsidR="08E30FF8">
        <w:t>nazírání porretánského</w:t>
      </w:r>
      <w:r w:rsidR="08E30FF8" w:rsidRPr="00273106">
        <w:t xml:space="preserve"> </w:t>
      </w:r>
      <w:r w:rsidR="002E30FF" w:rsidRPr="002E30FF">
        <w:t>species</w:t>
      </w:r>
      <w:r w:rsidR="08E30FF8">
        <w:t xml:space="preserve"> třetího druhu. Pak predikují pravdu v modu </w:t>
      </w:r>
      <w:r w:rsidR="08E30FF8" w:rsidRPr="08EE02AA">
        <w:rPr>
          <w:i/>
        </w:rPr>
        <w:t>in artificialibus</w:t>
      </w:r>
      <w:r w:rsidR="08E30FF8">
        <w:t>,</w:t>
      </w:r>
      <w:r w:rsidR="08E30FF8">
        <w:fldChar w:fldCharType="begin"/>
      </w:r>
      <w:r w:rsidR="08E30FF8">
        <w:instrText xml:space="preserve"> XE "</w:instrText>
      </w:r>
      <w:r w:rsidR="08E30FF8" w:rsidRPr="009615F6">
        <w:instrText>predikac</w:instrText>
      </w:r>
      <w:r w:rsidR="08E30FF8">
        <w:instrText>e:</w:instrText>
      </w:r>
      <w:r w:rsidR="08E30FF8" w:rsidRPr="009615F6">
        <w:rPr>
          <w:i/>
        </w:rPr>
        <w:instrText>in artificialibus</w:instrText>
      </w:r>
      <w:r w:rsidR="08E30FF8">
        <w:instrText xml:space="preserve">" </w:instrText>
      </w:r>
      <w:r w:rsidR="08E30FF8">
        <w:fldChar w:fldCharType="end"/>
      </w:r>
      <w:r w:rsidR="08E30FF8">
        <w:t xml:space="preserve"> což je možné pro matematickou a logickou abstrakci, ale nikoliv pro pravdivé metafyzické poznání světa daného reálně. </w:t>
      </w:r>
      <w:r w:rsidR="00221596" w:rsidRPr="00273106">
        <w:t>Albert odmítá pojetí</w:t>
      </w:r>
      <w:r w:rsidR="00E57548" w:rsidRPr="00273106">
        <w:t xml:space="preserve"> odděleného intelektu</w:t>
      </w:r>
      <w:r w:rsidR="00221596" w:rsidRPr="00273106">
        <w:t>,</w:t>
      </w:r>
      <w:r w:rsidR="002D4827">
        <w:t xml:space="preserve"> který by působil </w:t>
      </w:r>
      <w:r w:rsidR="08984EB0">
        <w:t xml:space="preserve">v modu řemeslné produkce </w:t>
      </w:r>
      <w:r w:rsidR="002D4827">
        <w:t>na receptivní materii</w:t>
      </w:r>
      <w:r w:rsidR="00E9733B">
        <w:t xml:space="preserve"> třetího druhu</w:t>
      </w:r>
      <w:r w:rsidR="002D4827">
        <w:t xml:space="preserve"> </w:t>
      </w:r>
      <w:r w:rsidR="00E9733B">
        <w:t xml:space="preserve">danou v </w:t>
      </w:r>
      <w:r w:rsidR="00E9733B" w:rsidRPr="00E9733B">
        <w:rPr>
          <w:i/>
        </w:rPr>
        <w:t>intellectus materialis</w:t>
      </w:r>
      <w:r w:rsidR="002D4827">
        <w:t xml:space="preserve">. </w:t>
      </w:r>
      <w:r w:rsidR="00221141">
        <w:t>T</w:t>
      </w:r>
      <w:r w:rsidR="002D4827">
        <w:t xml:space="preserve">oto pojetí </w:t>
      </w:r>
      <w:r w:rsidR="002D4827" w:rsidRPr="002D4827">
        <w:rPr>
          <w:i/>
        </w:rPr>
        <w:t>intellectus possibilis</w:t>
      </w:r>
      <w:r w:rsidR="002D4827">
        <w:t xml:space="preserve"> </w:t>
      </w:r>
      <w:r w:rsidR="009A7577">
        <w:t xml:space="preserve">predikované </w:t>
      </w:r>
      <w:r w:rsidR="002D4827">
        <w:t xml:space="preserve">v modu </w:t>
      </w:r>
      <w:r w:rsidR="002D4827" w:rsidRPr="002D4827">
        <w:rPr>
          <w:i/>
        </w:rPr>
        <w:t>in artificialibus</w:t>
      </w:r>
      <w:r w:rsidR="002D4827">
        <w:t xml:space="preserve"> </w:t>
      </w:r>
      <w:r w:rsidR="00221141">
        <w:t xml:space="preserve">připsal </w:t>
      </w:r>
      <w:r w:rsidR="08DE54B6">
        <w:t xml:space="preserve">Averroesovi ve stejné době </w:t>
      </w:r>
      <w:r w:rsidR="002D4827">
        <w:t xml:space="preserve">avicennista Akvinský </w:t>
      </w:r>
      <w:r w:rsidR="00221141">
        <w:t xml:space="preserve">inspirovaný výkladem Toledské školy </w:t>
      </w:r>
      <w:r w:rsidR="08F07FF0">
        <w:t>(</w:t>
      </w:r>
      <w:r w:rsidR="085F6FB7">
        <w:t xml:space="preserve">OBJ III, </w:t>
      </w:r>
      <w:r w:rsidR="08F07FF0">
        <w:t>kap. 4</w:t>
      </w:r>
      <w:r w:rsidR="002D4827">
        <w:t xml:space="preserve">.5.1). Albert sledující s biskupem Alvernem linii argumentace CMDA podle Sicilské školy </w:t>
      </w:r>
      <w:r w:rsidR="00933BBD">
        <w:t xml:space="preserve">odmítá pro lidské poznání jakýkoliv přirozený zásah </w:t>
      </w:r>
      <w:r w:rsidR="002D4827">
        <w:t>oddělen</w:t>
      </w:r>
      <w:r w:rsidR="00933BBD">
        <w:t>ého kosmického</w:t>
      </w:r>
      <w:r w:rsidR="002D4827">
        <w:t xml:space="preserve"> inte</w:t>
      </w:r>
      <w:r w:rsidR="00DF03C9">
        <w:t>le</w:t>
      </w:r>
      <w:r w:rsidR="002D4827">
        <w:t>kt</w:t>
      </w:r>
      <w:r w:rsidR="00933BBD">
        <w:t>u</w:t>
      </w:r>
      <w:r w:rsidR="08051B7F">
        <w:t xml:space="preserve">. To ukázala </w:t>
      </w:r>
      <w:r w:rsidR="00221596" w:rsidRPr="00273106">
        <w:t xml:space="preserve">předešlá </w:t>
      </w:r>
      <w:r w:rsidR="008767E3" w:rsidRPr="00273106">
        <w:t xml:space="preserve">argumentace </w:t>
      </w:r>
      <w:r w:rsidR="00221596" w:rsidRPr="00273106">
        <w:t xml:space="preserve">spisu </w:t>
      </w:r>
      <w:r w:rsidR="00221596" w:rsidRPr="00273106">
        <w:rPr>
          <w:i/>
        </w:rPr>
        <w:t>De homine</w:t>
      </w:r>
      <w:r w:rsidR="00221596" w:rsidRPr="00273106">
        <w:t xml:space="preserve">. </w:t>
      </w:r>
      <w:r w:rsidR="00974635" w:rsidRPr="00974635">
        <w:t>Proto nikdy nemůžeme poznat vesmírné inteligibilní formy a andělské inteligence tak, jak existují samy o sobě, protože lidské poznání je aktualizováno smyslovou představivostí.</w:t>
      </w:r>
      <w:r w:rsidR="00974635">
        <w:t xml:space="preserve"> </w:t>
      </w:r>
      <w:r w:rsidR="08332DEC">
        <w:t xml:space="preserve">Moderní pojetí poznání není vědecké, ale </w:t>
      </w:r>
      <w:r w:rsidR="002A4B67">
        <w:t>„</w:t>
      </w:r>
      <w:r w:rsidR="08332DEC">
        <w:t>spekulativní</w:t>
      </w:r>
      <w:r w:rsidR="002A4B67">
        <w:t xml:space="preserve">“ podle slova </w:t>
      </w:r>
      <w:r w:rsidR="002A4B67" w:rsidRPr="00173B4A">
        <w:rPr>
          <w:i/>
        </w:rPr>
        <w:t>speculum</w:t>
      </w:r>
      <w:r w:rsidR="08332DEC">
        <w:t xml:space="preserve">. Moderní mysl se zrcadlí sama v sobě, protože </w:t>
      </w:r>
      <w:r w:rsidR="08332DEC" w:rsidRPr="0833555E">
        <w:rPr>
          <w:i/>
        </w:rPr>
        <w:t>tertium ens</w:t>
      </w:r>
      <w:r w:rsidR="08332DEC">
        <w:t xml:space="preserve"> dané v realitě zrcadlí </w:t>
      </w:r>
      <w:r w:rsidR="08332DEC" w:rsidRPr="0833555E">
        <w:rPr>
          <w:i/>
        </w:rPr>
        <w:t>tertium ens</w:t>
      </w:r>
      <w:r w:rsidR="08332DEC">
        <w:t xml:space="preserve"> dané v mysli a naopak. Augustiniánská paměť třetího druhu slouží jako zásobárna porretánských </w:t>
      </w:r>
      <w:r w:rsidR="002E30FF" w:rsidRPr="002E30FF">
        <w:t>species</w:t>
      </w:r>
      <w:r w:rsidR="08332DEC">
        <w:t xml:space="preserve">, které si mysl po libosti vytáhne, a pak se v nich sama zrcadlí v modu nutně dané správnosti a jistoty. </w:t>
      </w:r>
      <w:r w:rsidR="08332DEC" w:rsidRPr="00273106">
        <w:t xml:space="preserve">Podle Alberta tím vzniklo sofistické poznání separovaných forem, které mají kauzalitu z </w:t>
      </w:r>
      <w:r w:rsidR="08332DEC">
        <w:t xml:space="preserve">odděleného </w:t>
      </w:r>
      <w:r w:rsidR="08332DEC" w:rsidRPr="00273106">
        <w:t>intelekt</w:t>
      </w:r>
      <w:r w:rsidR="00C90826">
        <w:t>u, a ne z hyparchických prvních substancí</w:t>
      </w:r>
      <w:r w:rsidR="08332DEC">
        <w:t xml:space="preserve">. Jenže takto poznávají jen kosmické inteligence, které mají intelekt daný jako </w:t>
      </w:r>
      <w:r w:rsidR="005305E9">
        <w:t xml:space="preserve">hyparchickou </w:t>
      </w:r>
      <w:r w:rsidR="00976957">
        <w:t>nemateriální substanci. B</w:t>
      </w:r>
      <w:r w:rsidR="08332DEC" w:rsidRPr="00273106">
        <w:t xml:space="preserve">ůh může poznávat svět tím, že jej stvořitelsky myslí, ale my ne. Naše </w:t>
      </w:r>
      <w:r w:rsidR="08332DEC" w:rsidRPr="00273106">
        <w:rPr>
          <w:i/>
        </w:rPr>
        <w:t>opus</w:t>
      </w:r>
      <w:r w:rsidR="08332DEC" w:rsidRPr="00273106">
        <w:t xml:space="preserve"> dané poznáním </w:t>
      </w:r>
      <w:r w:rsidR="08332DEC">
        <w:t xml:space="preserve">skrze smyslovou abstrakci </w:t>
      </w:r>
      <w:r w:rsidR="08332DEC" w:rsidRPr="00273106">
        <w:t>je pouze potenciální a pouze v mysli.</w:t>
      </w:r>
      <w:r w:rsidR="08332DEC">
        <w:t xml:space="preserve"> </w:t>
      </w:r>
      <w:r w:rsidR="007A5327" w:rsidRPr="00273106">
        <w:t xml:space="preserve">Následující citát </w:t>
      </w:r>
      <w:r w:rsidR="00A41C86" w:rsidRPr="00273106">
        <w:t>do</w:t>
      </w:r>
      <w:r w:rsidR="007A5327" w:rsidRPr="00273106">
        <w:t xml:space="preserve">kládá </w:t>
      </w:r>
      <w:r w:rsidR="00A41C86" w:rsidRPr="00273106">
        <w:t xml:space="preserve">vznik </w:t>
      </w:r>
      <w:r w:rsidR="004A0255" w:rsidRPr="00273106">
        <w:t xml:space="preserve">filosofické </w:t>
      </w:r>
      <w:r w:rsidR="00A41C86" w:rsidRPr="00273106">
        <w:t>moderny</w:t>
      </w:r>
      <w:r w:rsidR="007A5327" w:rsidRPr="00273106">
        <w:t xml:space="preserve"> a zároveň ji odsuzuje</w:t>
      </w:r>
      <w:r w:rsidR="00A41C86" w:rsidRPr="00273106">
        <w:t xml:space="preserve"> jako fundamentální selhání rozumu.</w:t>
      </w:r>
      <w:r w:rsidR="00EA3242" w:rsidRPr="00273106">
        <w:t xml:space="preserve"> Albert </w:t>
      </w:r>
      <w:r w:rsidR="00F9165C">
        <w:t xml:space="preserve">odmítl jít po </w:t>
      </w:r>
      <w:r w:rsidR="00EA3242"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EA3242" w:rsidRPr="00273106">
        <w:t>.</w:t>
      </w:r>
    </w:p>
    <w:p w14:paraId="4D691B96" w14:textId="5E424AEA" w:rsidR="008D0438" w:rsidRPr="00273106" w:rsidRDefault="00546657" w:rsidP="00F21A19">
      <w:pPr>
        <w:pStyle w:val="Citace"/>
        <w:rPr>
          <w:noProof/>
          <w:lang w:val="cs-CZ"/>
        </w:rPr>
      </w:pPr>
      <w:r w:rsidRPr="00273106">
        <w:rPr>
          <w:noProof/>
          <w:lang w:val="cs-CZ"/>
        </w:rPr>
        <w:t>„</w:t>
      </w:r>
      <w:r w:rsidR="008D0438" w:rsidRPr="00273106">
        <w:rPr>
          <w:noProof/>
          <w:lang w:val="cs-CZ"/>
        </w:rPr>
        <w:t>A to je cesta, kterou dnes kráčejí skoro všichni současní Latiníci</w:t>
      </w:r>
      <w:r w:rsidR="08F4341A">
        <w:rPr>
          <w:noProof/>
          <w:lang w:val="cs-CZ"/>
        </w:rPr>
        <w:t xml:space="preserve"> (</w:t>
      </w:r>
      <w:r w:rsidR="08F4341A" w:rsidRPr="08F4341A">
        <w:rPr>
          <w:i/>
        </w:rPr>
        <w:t>via quam fere sequuntur omnes moderni Latini</w:t>
      </w:r>
      <w:r w:rsidR="08F4341A">
        <w:rPr>
          <w:noProof/>
          <w:lang w:val="cs-CZ"/>
        </w:rPr>
        <w:t>)</w:t>
      </w:r>
      <w:r w:rsidR="008D0438" w:rsidRPr="00273106">
        <w:rPr>
          <w:noProof/>
          <w:lang w:val="cs-CZ"/>
        </w:rPr>
        <w:t xml:space="preserve">. Ale v tom se zásadně rozcházejí </w:t>
      </w:r>
      <w:r w:rsidR="00131F94">
        <w:rPr>
          <w:noProof/>
          <w:lang w:val="cs-CZ"/>
        </w:rPr>
        <w:t>s</w:t>
      </w:r>
      <w:r w:rsidR="008D0438" w:rsidRPr="00273106">
        <w:rPr>
          <w:noProof/>
          <w:lang w:val="cs-CZ"/>
        </w:rPr>
        <w:t xml:space="preserve"> Peripatetiky. Kdyby totiž vědění bylo pouze vlastností samotné duše, pak by věda nebyla univerzálním poznání</w:t>
      </w:r>
      <w:r w:rsidR="00ED345F" w:rsidRPr="00273106">
        <w:rPr>
          <w:noProof/>
          <w:lang w:val="cs-CZ"/>
        </w:rPr>
        <w:t>m</w:t>
      </w:r>
      <w:r w:rsidR="008D0438" w:rsidRPr="00273106">
        <w:rPr>
          <w:noProof/>
          <w:lang w:val="cs-CZ"/>
        </w:rPr>
        <w:t xml:space="preserve"> daným v intelektu a platným </w:t>
      </w:r>
      <w:r w:rsidR="008D0438" w:rsidRPr="00273106">
        <w:rPr>
          <w:noProof/>
          <w:lang w:val="cs-CZ"/>
        </w:rPr>
        <w:lastRenderedPageBreak/>
        <w:t xml:space="preserve">vždy a všude. </w:t>
      </w:r>
      <w:r w:rsidR="00042DC7" w:rsidRPr="00042DC7">
        <w:rPr>
          <w:noProof/>
          <w:lang w:val="cs-CZ"/>
        </w:rPr>
        <w:t>Peripatetikové shodně tvrdí, že univerzální smysl ve své aktuálnosti existuje</w:t>
      </w:r>
      <w:r w:rsidR="00042DC7">
        <w:rPr>
          <w:noProof/>
          <w:lang w:val="cs-CZ"/>
        </w:rPr>
        <w:t xml:space="preserve"> pouze v duši a že hyparchická </w:t>
      </w:r>
      <w:r w:rsidR="00042DC7" w:rsidRPr="00042DC7">
        <w:rPr>
          <w:noProof/>
          <w:lang w:val="cs-CZ"/>
        </w:rPr>
        <w:t>subsistentní forma existuje pouze v</w:t>
      </w:r>
      <w:r w:rsidR="00042DC7">
        <w:rPr>
          <w:noProof/>
          <w:lang w:val="cs-CZ"/>
        </w:rPr>
        <w:t xml:space="preserve"> kosmických inteligencích. </w:t>
      </w:r>
      <w:r w:rsidR="00AD6C0B" w:rsidRPr="00273106">
        <w:rPr>
          <w:noProof/>
          <w:lang w:val="cs-CZ"/>
        </w:rPr>
        <w:t>A to je postoj Avicenny, s ní</w:t>
      </w:r>
      <w:r w:rsidR="008B1669" w:rsidRPr="00273106">
        <w:rPr>
          <w:noProof/>
          <w:lang w:val="cs-CZ"/>
        </w:rPr>
        <w:t>m</w:t>
      </w:r>
      <w:r w:rsidR="00AD6C0B" w:rsidRPr="00273106">
        <w:rPr>
          <w:noProof/>
          <w:lang w:val="cs-CZ"/>
        </w:rPr>
        <w:t>ž všichni souhlasili</w:t>
      </w:r>
      <w:r w:rsidRPr="00273106">
        <w:rPr>
          <w:noProof/>
          <w:lang w:val="cs-CZ"/>
        </w:rPr>
        <w:t xml:space="preserve">.“ </w:t>
      </w:r>
      <w:r w:rsidR="008D0438" w:rsidRPr="00273106">
        <w:rPr>
          <w:rStyle w:val="Znakapoznpodarou"/>
          <w:noProof/>
          <w:lang w:val="cs-CZ"/>
        </w:rPr>
        <w:footnoteReference w:id="265"/>
      </w:r>
    </w:p>
    <w:p w14:paraId="54542594" w14:textId="54C5D68D" w:rsidR="00AA6509" w:rsidRPr="00273106" w:rsidRDefault="00237F06" w:rsidP="00BA10D4">
      <w:r w:rsidRPr="00237F06">
        <w:t>Albert považuje poznání dané mimo kauzální vztah první substance za nedostatečné k založení vědy, neboť spočívá výhradně v subjektu (</w:t>
      </w:r>
      <w:r w:rsidRPr="00237F06">
        <w:rPr>
          <w:i/>
        </w:rPr>
        <w:t>si enim scientia sit qualitas in anima</w:t>
      </w:r>
      <w:r w:rsidRPr="00237F06">
        <w:t>). Takové poznání by končilo na úrovni matematické abstrakce (kap. 1.5). Modernisté se neřídí ani Avicennou, kterého považují za svou nejdůležitější autoritu (</w:t>
      </w:r>
      <w:r w:rsidRPr="00896F7D">
        <w:rPr>
          <w:i/>
        </w:rPr>
        <w:t>haec est objectio Avicennae, in quam omnes concordaverunt</w:t>
      </w:r>
      <w:r w:rsidRPr="00237F06">
        <w:t>). Postmodernisté pokračují v této cestě i dnes, protože již nechápou učení klasického aristotelismu. Moderna absolutizuje platónskou jeskyni karteziánského myšlení odděleného od sku</w:t>
      </w:r>
      <w:r>
        <w:t>tečnosti (</w:t>
      </w:r>
      <w:r w:rsidRPr="00896F7D">
        <w:rPr>
          <w:i/>
        </w:rPr>
        <w:t>id quod est intellectu</w:t>
      </w:r>
      <w:r w:rsidRPr="00237F06">
        <w:t xml:space="preserve">), </w:t>
      </w:r>
      <w:r w:rsidR="00896F7D">
        <w:t>protože pohrdá  smyslovým</w:t>
      </w:r>
      <w:r w:rsidRPr="00237F06">
        <w:t xml:space="preserve"> poznání</w:t>
      </w:r>
      <w:r w:rsidR="00896F7D">
        <w:t>m</w:t>
      </w:r>
      <w:r w:rsidRPr="00237F06">
        <w:t>.</w:t>
      </w:r>
      <w:r>
        <w:t xml:space="preserve"> </w:t>
      </w:r>
      <w:r w:rsidR="083B43A4" w:rsidRPr="00273106">
        <w:t xml:space="preserve">Albert moderním kolegům připomíná, že i </w:t>
      </w:r>
      <w:r w:rsidR="08E33899">
        <w:t>Avicenna drží metafyziku</w:t>
      </w:r>
      <w:r w:rsidR="083B43A4" w:rsidRPr="00273106">
        <w:t xml:space="preserve"> v rovině </w:t>
      </w:r>
      <w:r w:rsidR="083B43A4" w:rsidRPr="00273106">
        <w:rPr>
          <w:i/>
        </w:rPr>
        <w:t>ens inquantum ens</w:t>
      </w:r>
      <w:r w:rsidR="083B43A4">
        <w:rPr>
          <w:i/>
        </w:rPr>
        <w:fldChar w:fldCharType="begin"/>
      </w:r>
      <w:r w:rsidR="083B43A4">
        <w:instrText xml:space="preserve"> XE "</w:instrText>
      </w:r>
      <w:r w:rsidR="083B43A4" w:rsidRPr="005424E2">
        <w:rPr>
          <w:i/>
        </w:rPr>
        <w:instrText>ens inquantum ens</w:instrText>
      </w:r>
      <w:r w:rsidR="083B43A4">
        <w:instrText xml:space="preserve">" </w:instrText>
      </w:r>
      <w:r w:rsidR="083B43A4">
        <w:rPr>
          <w:i/>
        </w:rPr>
        <w:fldChar w:fldCharType="end"/>
      </w:r>
      <w:r w:rsidR="08E33899">
        <w:t xml:space="preserve"> </w:t>
      </w:r>
      <w:r w:rsidR="083B43A4" w:rsidRPr="00273106">
        <w:t xml:space="preserve">a </w:t>
      </w:r>
      <w:r w:rsidR="000131F5">
        <w:t xml:space="preserve">nikoliv jako abstraktně pojatými pojmy </w:t>
      </w:r>
      <w:r w:rsidR="083B43A4" w:rsidRPr="00273106">
        <w:t>spojen</w:t>
      </w:r>
      <w:r w:rsidR="000131F5">
        <w:t>ými s univočně pojatými esencemi</w:t>
      </w:r>
      <w:r w:rsidR="083B43A4" w:rsidRPr="00273106">
        <w:t xml:space="preserve"> na způsob </w:t>
      </w:r>
      <w:r w:rsidR="083B43A4" w:rsidRPr="00273106">
        <w:rPr>
          <w:i/>
        </w:rPr>
        <w:t>Nominales</w:t>
      </w:r>
      <w:r w:rsidR="083B43A4" w:rsidRPr="00273106">
        <w:t xml:space="preserve">. Matematika oddělená abstrakcí od kauzálního působení první substance nemůže založit metafyzickou jednotu jsoucího, která si jako jediná může nárokovat skutečnou univerzalitu danou kauzálně. Formální kauzalita </w:t>
      </w:r>
      <w:r w:rsidR="083B43A4">
        <w:t xml:space="preserve">logiků produkuje významy pouze v modu </w:t>
      </w:r>
      <w:r w:rsidR="083B43A4" w:rsidRPr="00273106">
        <w:rPr>
          <w:i/>
        </w:rPr>
        <w:t>discrete videamus</w:t>
      </w:r>
      <w:r w:rsidR="083B43A4">
        <w:rPr>
          <w:i/>
        </w:rPr>
        <w:fldChar w:fldCharType="begin"/>
      </w:r>
      <w:r w:rsidR="083B43A4">
        <w:instrText xml:space="preserve"> XE "</w:instrText>
      </w:r>
      <w:r w:rsidR="083B43A4" w:rsidRPr="00E90B20">
        <w:rPr>
          <w:i/>
        </w:rPr>
        <w:instrText>discrete videamus</w:instrText>
      </w:r>
      <w:r w:rsidR="083B43A4">
        <w:instrText xml:space="preserve">" </w:instrText>
      </w:r>
      <w:r w:rsidR="083B43A4">
        <w:rPr>
          <w:i/>
        </w:rPr>
        <w:fldChar w:fldCharType="end"/>
      </w:r>
      <w:r w:rsidR="084B39E2">
        <w:t xml:space="preserve">  (kap. 1</w:t>
      </w:r>
      <w:r w:rsidR="083B43A4" w:rsidRPr="00273106">
        <w:t>.4).</w:t>
      </w:r>
      <w:r w:rsidR="083B43A4">
        <w:t xml:space="preserve"> </w:t>
      </w:r>
      <w:r w:rsidR="00A14476">
        <w:t xml:space="preserve">Stejným </w:t>
      </w:r>
      <w:r w:rsidR="006E3363">
        <w:t>kritickým postojem vůči modernímu avicennismu začíná ak</w:t>
      </w:r>
      <w:r w:rsidR="00A14476">
        <w:t>a</w:t>
      </w:r>
      <w:r w:rsidR="006E3363">
        <w:t xml:space="preserve">demickou dráhu Akvinský ve spise </w:t>
      </w:r>
      <w:r w:rsidR="006E3363" w:rsidRPr="006E3363">
        <w:rPr>
          <w:i/>
        </w:rPr>
        <w:t>De ente et es</w:t>
      </w:r>
      <w:r w:rsidR="08F57416">
        <w:rPr>
          <w:i/>
        </w:rPr>
        <w:t>s</w:t>
      </w:r>
      <w:r w:rsidR="006E3363" w:rsidRPr="006E3363">
        <w:rPr>
          <w:i/>
        </w:rPr>
        <w:t>entia</w:t>
      </w:r>
      <w:r w:rsidR="084B39E2">
        <w:t xml:space="preserve"> (</w:t>
      </w:r>
      <w:r w:rsidR="08A07044">
        <w:t xml:space="preserve">OBJ III, </w:t>
      </w:r>
      <w:r w:rsidR="084B39E2">
        <w:t>kap. 4</w:t>
      </w:r>
      <w:r w:rsidR="006E3363">
        <w:t xml:space="preserve">.5.1). </w:t>
      </w:r>
      <w:r w:rsidR="00221596" w:rsidRPr="00273106">
        <w:t>Závěr komentáře považuje teorii o dvojí či dokonce trojí substance v duši za největší nesmysl ze všech pojednávaných omylů (</w:t>
      </w:r>
      <w:r w:rsidR="00221596" w:rsidRPr="00273106">
        <w:rPr>
          <w:i/>
        </w:rPr>
        <w:t xml:space="preserve">quod tanto est absurdius caeteris quae dicta sunt, </w:t>
      </w:r>
      <w:r w:rsidR="00221596" w:rsidRPr="00273106">
        <w:t>ibid, p. 418</w:t>
      </w:r>
      <w:r w:rsidR="001F6970" w:rsidRPr="00273106">
        <w:t>b</w:t>
      </w:r>
      <w:r w:rsidR="00FD2B38">
        <w:fldChar w:fldCharType="begin"/>
      </w:r>
      <w:r w:rsidR="00FD2B38">
        <w:instrText xml:space="preserve"> XE "Albert:</w:instrText>
      </w:r>
      <w:r w:rsidR="00FD2B38" w:rsidRPr="00A64BF1">
        <w:rPr>
          <w:i/>
        </w:rPr>
        <w:instrText>Liber III De anima</w:instrText>
      </w:r>
      <w:r w:rsidR="00FD2B38">
        <w:instrText xml:space="preserve"> 418b" </w:instrText>
      </w:r>
      <w:r w:rsidR="00FD2B38">
        <w:fldChar w:fldCharType="end"/>
      </w:r>
      <w:r w:rsidR="00C8096E" w:rsidRPr="00273106">
        <w:t xml:space="preserve">). </w:t>
      </w:r>
      <w:r w:rsidR="00D2275A" w:rsidRPr="00273106">
        <w:t>Učení o pluralitě substancí v člově</w:t>
      </w:r>
      <w:r w:rsidR="00C8096E" w:rsidRPr="00273106">
        <w:t xml:space="preserve">ku jde </w:t>
      </w:r>
      <w:r w:rsidR="00221596" w:rsidRPr="00273106">
        <w:t xml:space="preserve">proti učení všech Peripatetiků, a také </w:t>
      </w:r>
      <w:r w:rsidR="00022514" w:rsidRPr="00273106">
        <w:t xml:space="preserve">proti metafyzice </w:t>
      </w:r>
      <w:r w:rsidR="00221596" w:rsidRPr="00273106">
        <w:t xml:space="preserve">Avicenny. </w:t>
      </w:r>
      <w:r w:rsidR="00BA10D4" w:rsidRPr="00273106">
        <w:t>Albert potvrzuje, že</w:t>
      </w:r>
      <w:r w:rsidR="001D241A" w:rsidRPr="00273106">
        <w:t xml:space="preserve"> této </w:t>
      </w:r>
      <w:r w:rsidR="00BA10D4" w:rsidRPr="00273106">
        <w:t xml:space="preserve">schizofrenii intelektu </w:t>
      </w:r>
      <w:r w:rsidR="00835C35" w:rsidRPr="00273106">
        <w:t xml:space="preserve">u Latiníků </w:t>
      </w:r>
      <w:r w:rsidR="00BA10D4" w:rsidRPr="00273106">
        <w:t xml:space="preserve">odpovídá i </w:t>
      </w:r>
      <w:r w:rsidR="00835C35" w:rsidRPr="00273106">
        <w:t xml:space="preserve">jejich </w:t>
      </w:r>
      <w:r w:rsidR="00BA10D4" w:rsidRPr="00273106">
        <w:t>schizofrenické vidění světa.</w:t>
      </w:r>
      <w:r w:rsidR="00114287" w:rsidRPr="00273106">
        <w:t xml:space="preserve"> </w:t>
      </w:r>
      <w:r w:rsidR="084D726A">
        <w:t xml:space="preserve">Následujcí citát </w:t>
      </w:r>
      <w:r w:rsidR="080F6F98">
        <w:t xml:space="preserve">odmítá </w:t>
      </w:r>
      <w:r w:rsidR="084D726A">
        <w:t>eidetické vidění moderních iluminátů jako naprostý nesmysl.</w:t>
      </w:r>
    </w:p>
    <w:p w14:paraId="3B3281AC" w14:textId="77777777" w:rsidR="00AA6509" w:rsidRPr="0014265E" w:rsidRDefault="00AA6509" w:rsidP="0014265E">
      <w:pPr>
        <w:pStyle w:val="Citace"/>
        <w:rPr>
          <w:rStyle w:val="FontStyle157"/>
          <w:rFonts w:ascii="Calibri" w:hAnsi="Calibri"/>
          <w:sz w:val="22"/>
        </w:rPr>
      </w:pPr>
      <w:r w:rsidRPr="0014265E">
        <w:rPr>
          <w:rStyle w:val="FontStyle157"/>
          <w:rFonts w:ascii="Calibri" w:hAnsi="Calibri"/>
          <w:sz w:val="22"/>
        </w:rPr>
        <w:t>„</w:t>
      </w:r>
      <w:r w:rsidR="0014265E">
        <w:rPr>
          <w:rStyle w:val="FontStyle157"/>
          <w:rFonts w:ascii="Calibri" w:hAnsi="Calibri"/>
          <w:sz w:val="22"/>
          <w:lang w:val="cs-CZ"/>
        </w:rPr>
        <w:t>L</w:t>
      </w:r>
      <w:r w:rsidR="00E0634C" w:rsidRPr="0014265E">
        <w:rPr>
          <w:rStyle w:val="FontStyle157"/>
          <w:rFonts w:ascii="Calibri" w:hAnsi="Calibri"/>
          <w:sz w:val="22"/>
        </w:rPr>
        <w:t xml:space="preserve">idský intelekt </w:t>
      </w:r>
      <w:r w:rsidR="0014265E">
        <w:rPr>
          <w:rStyle w:val="FontStyle157"/>
          <w:rFonts w:ascii="Calibri" w:hAnsi="Calibri"/>
          <w:sz w:val="22"/>
          <w:lang w:val="cs-CZ"/>
        </w:rPr>
        <w:t xml:space="preserve">je </w:t>
      </w:r>
      <w:r w:rsidR="00E0634C" w:rsidRPr="0014265E">
        <w:rPr>
          <w:rStyle w:val="FontStyle157"/>
          <w:rFonts w:ascii="Calibri" w:hAnsi="Calibri"/>
          <w:sz w:val="22"/>
        </w:rPr>
        <w:t>hypostázován skrze světlo</w:t>
      </w:r>
      <w:r w:rsidR="006C305E" w:rsidRPr="0014265E">
        <w:rPr>
          <w:rStyle w:val="FontStyle157"/>
          <w:rFonts w:ascii="Calibri" w:hAnsi="Calibri"/>
          <w:sz w:val="22"/>
        </w:rPr>
        <w:t xml:space="preserve"> činného intelektu a toto světlo završuje tím, </w:t>
      </w:r>
      <w:r w:rsidR="00E0634C" w:rsidRPr="0014265E">
        <w:rPr>
          <w:rStyle w:val="FontStyle157"/>
          <w:rFonts w:ascii="Calibri" w:hAnsi="Calibri"/>
          <w:sz w:val="22"/>
        </w:rPr>
        <w:t xml:space="preserve">že </w:t>
      </w:r>
      <w:r w:rsidR="006C305E" w:rsidRPr="0014265E">
        <w:rPr>
          <w:rStyle w:val="FontStyle157"/>
          <w:rFonts w:ascii="Calibri" w:hAnsi="Calibri"/>
          <w:sz w:val="22"/>
        </w:rPr>
        <w:t xml:space="preserve">postupně stoupá ke spojení s odděleným </w:t>
      </w:r>
      <w:r w:rsidR="00E0634C" w:rsidRPr="0014265E">
        <w:rPr>
          <w:rStyle w:val="FontStyle157"/>
          <w:rFonts w:ascii="Calibri" w:hAnsi="Calibri"/>
          <w:sz w:val="22"/>
        </w:rPr>
        <w:t xml:space="preserve">kosmickým </w:t>
      </w:r>
      <w:r w:rsidR="006C305E" w:rsidRPr="0014265E">
        <w:rPr>
          <w:rStyle w:val="FontStyle157"/>
          <w:rFonts w:ascii="Calibri" w:hAnsi="Calibri"/>
          <w:sz w:val="22"/>
        </w:rPr>
        <w:t>intelektem. Tím se spekulativní intelekt stává jakousi dispozicí umožňující spojení lidského a odděleného intelektu (</w:t>
      </w:r>
      <w:r w:rsidR="006C305E" w:rsidRPr="0014265E">
        <w:rPr>
          <w:rStyle w:val="FontStyle157"/>
          <w:rFonts w:ascii="Calibri" w:hAnsi="Calibri"/>
          <w:i/>
          <w:sz w:val="22"/>
        </w:rPr>
        <w:t>intellectus speculativus quasi dispositio media conjunctivus istius</w:t>
      </w:r>
      <w:r w:rsidR="00CA5830" w:rsidRPr="0014265E">
        <w:rPr>
          <w:rStyle w:val="FontStyle157"/>
          <w:rFonts w:ascii="Calibri" w:hAnsi="Calibri"/>
          <w:sz w:val="22"/>
        </w:rPr>
        <w:t xml:space="preserve">). </w:t>
      </w:r>
      <w:r w:rsidR="006C305E" w:rsidRPr="0014265E">
        <w:rPr>
          <w:rStyle w:val="FontStyle157"/>
          <w:rFonts w:ascii="Calibri" w:hAnsi="Calibri"/>
          <w:sz w:val="22"/>
        </w:rPr>
        <w:t xml:space="preserve">A </w:t>
      </w:r>
      <w:r w:rsidR="00E0634C" w:rsidRPr="0014265E">
        <w:rPr>
          <w:rStyle w:val="FontStyle157"/>
          <w:rFonts w:ascii="Calibri" w:hAnsi="Calibri"/>
          <w:sz w:val="22"/>
        </w:rPr>
        <w:t>to je prakt</w:t>
      </w:r>
      <w:r w:rsidR="00833890" w:rsidRPr="0014265E">
        <w:rPr>
          <w:rStyle w:val="FontStyle157"/>
          <w:rFonts w:ascii="Calibri" w:hAnsi="Calibri"/>
          <w:sz w:val="22"/>
        </w:rPr>
        <w:t>icky totéž, jak</w:t>
      </w:r>
      <w:r w:rsidR="005E149A">
        <w:rPr>
          <w:rStyle w:val="FontStyle157"/>
          <w:rFonts w:ascii="Calibri" w:hAnsi="Calibri"/>
          <w:sz w:val="22"/>
          <w:lang w:val="cs-CZ"/>
        </w:rPr>
        <w:t>o</w:t>
      </w:r>
      <w:r w:rsidR="00833890" w:rsidRPr="0014265E">
        <w:rPr>
          <w:rStyle w:val="FontStyle157"/>
          <w:rFonts w:ascii="Calibri" w:hAnsi="Calibri"/>
          <w:sz w:val="22"/>
        </w:rPr>
        <w:t xml:space="preserve"> by tvrdili, že </w:t>
      </w:r>
      <w:r w:rsidR="00E0634C" w:rsidRPr="0014265E">
        <w:rPr>
          <w:rStyle w:val="FontStyle157"/>
          <w:rFonts w:ascii="Calibri" w:hAnsi="Calibri"/>
          <w:sz w:val="22"/>
        </w:rPr>
        <w:t xml:space="preserve">činný lidský intelekt má </w:t>
      </w:r>
      <w:r w:rsidR="00E0634C" w:rsidRPr="0014265E">
        <w:rPr>
          <w:rStyle w:val="FontStyle157"/>
          <w:rFonts w:ascii="Calibri" w:hAnsi="Calibri"/>
          <w:sz w:val="22"/>
        </w:rPr>
        <w:lastRenderedPageBreak/>
        <w:t>zpočátku pouze slabé světlo poznání (</w:t>
      </w:r>
      <w:r w:rsidR="00E0634C" w:rsidRPr="0014265E">
        <w:rPr>
          <w:rStyle w:val="FontStyle157"/>
          <w:rFonts w:ascii="Calibri" w:hAnsi="Calibri"/>
          <w:i/>
          <w:sz w:val="22"/>
        </w:rPr>
        <w:t>lumen debile</w:t>
      </w:r>
      <w:r w:rsidR="00E0634C" w:rsidRPr="0014265E">
        <w:rPr>
          <w:rStyle w:val="FontStyle157"/>
          <w:rFonts w:ascii="Calibri" w:hAnsi="Calibri"/>
          <w:sz w:val="22"/>
        </w:rPr>
        <w:t>), kterým poznává oddělené formy na ú</w:t>
      </w:r>
      <w:r w:rsidR="005E149A">
        <w:rPr>
          <w:rStyle w:val="FontStyle157"/>
          <w:rFonts w:ascii="Calibri" w:hAnsi="Calibri"/>
          <w:sz w:val="22"/>
        </w:rPr>
        <w:t>rovni spekulativního intelektu.</w:t>
      </w:r>
      <w:r w:rsidR="005E149A">
        <w:rPr>
          <w:rStyle w:val="FontStyle157"/>
          <w:rFonts w:ascii="Calibri" w:hAnsi="Calibri"/>
          <w:sz w:val="22"/>
          <w:lang w:val="cs-CZ"/>
        </w:rPr>
        <w:t xml:space="preserve"> </w:t>
      </w:r>
      <w:r w:rsidR="00E0634C" w:rsidRPr="0014265E">
        <w:rPr>
          <w:rStyle w:val="FontStyle157"/>
          <w:rFonts w:ascii="Calibri" w:hAnsi="Calibri"/>
          <w:sz w:val="22"/>
        </w:rPr>
        <w:t>Pak ale dostane silné světlo poznání (</w:t>
      </w:r>
      <w:r w:rsidR="00E0634C" w:rsidRPr="0014265E">
        <w:rPr>
          <w:rStyle w:val="FontStyle157"/>
          <w:rFonts w:ascii="Calibri" w:hAnsi="Calibri"/>
          <w:i/>
          <w:sz w:val="22"/>
        </w:rPr>
        <w:t>lumen forte</w:t>
      </w:r>
      <w:r w:rsidR="00335C6C" w:rsidRPr="0014265E">
        <w:rPr>
          <w:rStyle w:val="FontStyle157"/>
          <w:rFonts w:ascii="Calibri" w:hAnsi="Calibri"/>
          <w:sz w:val="22"/>
        </w:rPr>
        <w:t xml:space="preserve">), kterým </w:t>
      </w:r>
      <w:r w:rsidR="00E0634C" w:rsidRPr="0014265E">
        <w:rPr>
          <w:rStyle w:val="FontStyle157"/>
          <w:rFonts w:ascii="Calibri" w:hAnsi="Calibri"/>
          <w:sz w:val="22"/>
        </w:rPr>
        <w:t>poznává oddělené inteligence a formy.</w:t>
      </w:r>
      <w:r w:rsidR="00550FDC" w:rsidRPr="0014265E">
        <w:rPr>
          <w:rStyle w:val="FontStyle157"/>
          <w:rFonts w:ascii="Calibri" w:hAnsi="Calibri"/>
          <w:sz w:val="22"/>
        </w:rPr>
        <w:t xml:space="preserve"> Tím </w:t>
      </w:r>
      <w:r w:rsidR="004E5D3B" w:rsidRPr="0014265E">
        <w:rPr>
          <w:rStyle w:val="FontStyle157"/>
          <w:rFonts w:ascii="Calibri" w:hAnsi="Calibri"/>
          <w:sz w:val="22"/>
        </w:rPr>
        <w:t xml:space="preserve">pro ně </w:t>
      </w:r>
      <w:r w:rsidR="00550FDC" w:rsidRPr="0014265E">
        <w:rPr>
          <w:rStyle w:val="FontStyle157"/>
          <w:rFonts w:ascii="Calibri" w:hAnsi="Calibri"/>
          <w:sz w:val="22"/>
        </w:rPr>
        <w:t xml:space="preserve">splynulo </w:t>
      </w:r>
      <w:r w:rsidR="00E0634C" w:rsidRPr="0014265E">
        <w:rPr>
          <w:rStyle w:val="FontStyle157"/>
          <w:rFonts w:ascii="Calibri" w:hAnsi="Calibri"/>
          <w:sz w:val="22"/>
        </w:rPr>
        <w:t xml:space="preserve">poznání esencí oddělených od materie a poznání </w:t>
      </w:r>
      <w:r w:rsidR="00AE6D80" w:rsidRPr="0014265E">
        <w:rPr>
          <w:rStyle w:val="FontStyle157"/>
          <w:rFonts w:ascii="Calibri" w:hAnsi="Calibri"/>
          <w:sz w:val="22"/>
        </w:rPr>
        <w:t>oddělených kosmických existencí</w:t>
      </w:r>
      <w:r w:rsidR="00E0634C" w:rsidRPr="0014265E">
        <w:rPr>
          <w:rStyle w:val="FontStyle157"/>
          <w:rFonts w:ascii="Calibri" w:hAnsi="Calibri"/>
          <w:sz w:val="22"/>
        </w:rPr>
        <w:t>.</w:t>
      </w:r>
      <w:r w:rsidR="00550FDC" w:rsidRPr="0014265E">
        <w:rPr>
          <w:rStyle w:val="FontStyle157"/>
          <w:rFonts w:ascii="Calibri" w:hAnsi="Calibri"/>
          <w:sz w:val="22"/>
        </w:rPr>
        <w:t>“</w:t>
      </w:r>
      <w:r w:rsidR="00E06414" w:rsidRPr="0014265E">
        <w:rPr>
          <w:rStyle w:val="Znakapoznpodarou"/>
          <w:vertAlign w:val="baseline"/>
        </w:rPr>
        <w:t> </w:t>
      </w:r>
      <w:r w:rsidR="00550FDC" w:rsidRPr="0014265E">
        <w:rPr>
          <w:rStyle w:val="Znakapoznpodarou"/>
        </w:rPr>
        <w:footnoteReference w:id="266"/>
      </w:r>
    </w:p>
    <w:p w14:paraId="1BA57456" w14:textId="1EC1B599" w:rsidR="00E86517" w:rsidRPr="083C34D6" w:rsidRDefault="00BA10D4" w:rsidP="00221596">
      <w:r w:rsidRPr="00273106">
        <w:t xml:space="preserve">Spekulativní intelekt novodobých gnostiků </w:t>
      </w:r>
      <w:r w:rsidR="00BF14C5">
        <w:t>a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BF14C5">
        <w:t xml:space="preserve"> </w:t>
      </w:r>
      <w:r w:rsidRPr="00273106">
        <w:t>už nepotřebuje mate</w:t>
      </w:r>
      <w:r w:rsidR="083C3292">
        <w:t xml:space="preserve">riální realitu k poznání světa. Moderní intelekt </w:t>
      </w:r>
      <w:r w:rsidRPr="00273106">
        <w:t>není z tohoto světa</w:t>
      </w:r>
      <w:r w:rsidR="083C3292">
        <w:t>,</w:t>
      </w:r>
      <w:r w:rsidR="08B75834">
        <w:t xml:space="preserve"> stejně jako </w:t>
      </w:r>
      <w:r w:rsidR="00DF0531">
        <w:t xml:space="preserve">moderní subjekt </w:t>
      </w:r>
      <w:r w:rsidR="083C3292">
        <w:t xml:space="preserve">není </w:t>
      </w:r>
      <w:r w:rsidR="08B75834">
        <w:t xml:space="preserve">z tohoto </w:t>
      </w:r>
      <w:r w:rsidR="00DF0531">
        <w:t>světa</w:t>
      </w:r>
      <w:r w:rsidRPr="00273106">
        <w:t xml:space="preserve">. </w:t>
      </w:r>
      <w:r w:rsidR="088B6696">
        <w:t xml:space="preserve">Intelekt iluminátů se musí při hledání plné pravdy jako sofistické adekvace nejprve spojit </w:t>
      </w:r>
      <w:r w:rsidRPr="00273106">
        <w:t>s odděleným činným intelektem</w:t>
      </w:r>
      <w:r w:rsidR="00A67EED">
        <w:t xml:space="preserve">. </w:t>
      </w:r>
      <w:r w:rsidR="00A67EED" w:rsidRPr="00A67EED">
        <w:t>Připojuje se k oddělenému činnému intelektu, protože kauzalita tohoto odděleného intelektu tvoří střední člen (</w:t>
      </w:r>
      <w:r w:rsidR="00A67EED" w:rsidRPr="00A67EED">
        <w:rPr>
          <w:i/>
        </w:rPr>
        <w:t>dispositio media</w:t>
      </w:r>
      <w:r w:rsidR="00A67EED" w:rsidRPr="00A67EED">
        <w:t>) v deduktivním sylogismu moderního spekulativního intelektu (</w:t>
      </w:r>
      <w:r w:rsidR="00A67EED" w:rsidRPr="00A67EED">
        <w:rPr>
          <w:i/>
        </w:rPr>
        <w:t>fit intellectus speculativus quasi dispositio media conjunctivus istius</w:t>
      </w:r>
      <w:r w:rsidR="00A67EED" w:rsidRPr="00A67EED">
        <w:t>).</w:t>
      </w:r>
      <w:r w:rsidR="00A67EED">
        <w:t xml:space="preserve"> </w:t>
      </w:r>
      <w:r w:rsidRPr="00273106">
        <w:t xml:space="preserve">Toto vyšší mystické nebo gnostické spojení zakouší </w:t>
      </w:r>
      <w:r w:rsidR="009C175B">
        <w:t xml:space="preserve">osvícený </w:t>
      </w:r>
      <w:r w:rsidRPr="00273106">
        <w:t xml:space="preserve">intelekt </w:t>
      </w:r>
      <w:r w:rsidRPr="00273106">
        <w:rPr>
          <w:i/>
        </w:rPr>
        <w:t>Modernorum</w:t>
      </w:r>
      <w:r w:rsidR="08894412">
        <w:t xml:space="preserve"> přímo</w:t>
      </w:r>
      <w:r w:rsidR="08B2127D">
        <w:t xml:space="preserve">. Iluminát </w:t>
      </w:r>
      <w:r w:rsidR="08894412">
        <w:t xml:space="preserve"> nazírá </w:t>
      </w:r>
      <w:r w:rsidR="08B2127D">
        <w:t xml:space="preserve">nejprve </w:t>
      </w:r>
      <w:r w:rsidR="08894412">
        <w:t>slabým</w:t>
      </w:r>
      <w:r w:rsidRPr="00273106">
        <w:t xml:space="preserve"> světlem spekulativního intelektu (</w:t>
      </w:r>
      <w:r w:rsidRPr="00273106">
        <w:rPr>
          <w:i/>
        </w:rPr>
        <w:t>quod agens habet primo lumen debile</w:t>
      </w:r>
      <w:r w:rsidRPr="00273106">
        <w:t xml:space="preserve">) </w:t>
      </w:r>
      <w:r w:rsidR="08894412">
        <w:t xml:space="preserve">porretánsky existující </w:t>
      </w:r>
      <w:r w:rsidR="087D1119">
        <w:t xml:space="preserve">esence. Tato jsoucna třetího druhu </w:t>
      </w:r>
      <w:r w:rsidR="08C3604C">
        <w:t xml:space="preserve">aristotelsky </w:t>
      </w:r>
      <w:r w:rsidR="086C7583">
        <w:t>abstrah</w:t>
      </w:r>
      <w:r w:rsidR="087D1119">
        <w:t xml:space="preserve">uje </w:t>
      </w:r>
      <w:r w:rsidR="083C34D6">
        <w:t xml:space="preserve">od materiálně daných substancí </w:t>
      </w:r>
      <w:r w:rsidRPr="00273106">
        <w:t>(</w:t>
      </w:r>
      <w:r w:rsidRPr="00273106">
        <w:rPr>
          <w:i/>
        </w:rPr>
        <w:t>intelligens quidditates quas a materia separatas habet</w:t>
      </w:r>
      <w:r w:rsidRPr="00273106">
        <w:t xml:space="preserve">). A nakonec je </w:t>
      </w:r>
      <w:r w:rsidR="08C3604C">
        <w:t xml:space="preserve">silný </w:t>
      </w:r>
      <w:r w:rsidRPr="00273106">
        <w:t xml:space="preserve">intelekt </w:t>
      </w:r>
      <w:r w:rsidR="08C3604C">
        <w:t xml:space="preserve">ilumináta </w:t>
      </w:r>
      <w:r w:rsidR="08C3604C" w:rsidRPr="00273106">
        <w:t>schopen</w:t>
      </w:r>
      <w:r w:rsidR="08C3604C">
        <w:t xml:space="preserve"> plného následu do světa existujících kosmických nemateriálních substancí </w:t>
      </w:r>
      <w:r w:rsidR="08C3604C" w:rsidRPr="00273106">
        <w:t>(</w:t>
      </w:r>
      <w:r w:rsidR="08C3604C" w:rsidRPr="00273106">
        <w:rPr>
          <w:i/>
        </w:rPr>
        <w:t>postea acquirit lumen forte, per quod intelligit separata</w:t>
      </w:r>
      <w:r w:rsidR="08C3604C" w:rsidRPr="00273106">
        <w:t>).</w:t>
      </w:r>
      <w:r w:rsidR="08C3604C">
        <w:t xml:space="preserve"> </w:t>
      </w:r>
      <w:r w:rsidR="083C34D6">
        <w:t>Tento postup má Grosseteste ve dvojím pojetí vědy (</w:t>
      </w:r>
      <w:r w:rsidR="083C34D6" w:rsidRPr="083C34D6">
        <w:rPr>
          <w:i/>
        </w:rPr>
        <w:t>scientia</w:t>
      </w:r>
      <w:r w:rsidR="083C34D6">
        <w:t xml:space="preserve">, </w:t>
      </w:r>
      <w:r w:rsidR="083C34D6" w:rsidRPr="083C34D6">
        <w:rPr>
          <w:i/>
        </w:rPr>
        <w:t>intellectus</w:t>
      </w:r>
      <w:r w:rsidR="083C34D6">
        <w:t xml:space="preserve">) a Bonaventura ve dvojím </w:t>
      </w:r>
      <w:r w:rsidR="08D12477">
        <w:t>náhledu čistých esencí (</w:t>
      </w:r>
      <w:r w:rsidR="083C34D6" w:rsidRPr="083C34D6">
        <w:rPr>
          <w:i/>
        </w:rPr>
        <w:t>resolutio semiplena</w:t>
      </w:r>
      <w:r w:rsidR="083C34D6">
        <w:t xml:space="preserve"> a </w:t>
      </w:r>
      <w:r w:rsidR="083C34D6" w:rsidRPr="083C34D6">
        <w:rPr>
          <w:i/>
        </w:rPr>
        <w:t>plena</w:t>
      </w:r>
      <w:r w:rsidR="08D12477">
        <w:t>)</w:t>
      </w:r>
      <w:r w:rsidR="083C34D6">
        <w:t xml:space="preserve">. Metodu </w:t>
      </w:r>
      <w:r w:rsidR="08C3604C">
        <w:t xml:space="preserve">slabé a silné iluminace převezme </w:t>
      </w:r>
      <w:r w:rsidR="083C34D6">
        <w:t>fenomenologická</w:t>
      </w:r>
      <w:r w:rsidR="08C3604C">
        <w:t xml:space="preserve"> redukce</w:t>
      </w:r>
      <w:r w:rsidRPr="00273106">
        <w:t xml:space="preserve"> </w:t>
      </w:r>
      <w:r w:rsidR="08C3604C">
        <w:t xml:space="preserve">v modu </w:t>
      </w:r>
      <w:r w:rsidR="08033BB3">
        <w:t xml:space="preserve">Descartovy nebo Husserlovy </w:t>
      </w:r>
      <w:r w:rsidRPr="08033BB3">
        <w:rPr>
          <w:i/>
        </w:rPr>
        <w:t>epoché</w:t>
      </w:r>
      <w:r w:rsidR="00B85E85">
        <w:fldChar w:fldCharType="begin"/>
      </w:r>
      <w:r w:rsidR="00B85E85">
        <w:instrText xml:space="preserve"> XE "</w:instrText>
      </w:r>
      <w:r w:rsidR="00B85E85" w:rsidRPr="001B0D03">
        <w:rPr>
          <w:i/>
        </w:rPr>
        <w:instrText>epoché</w:instrText>
      </w:r>
      <w:r w:rsidR="00B85E85">
        <w:instrText xml:space="preserve">" </w:instrText>
      </w:r>
      <w:r w:rsidR="00B85E85">
        <w:fldChar w:fldCharType="end"/>
      </w:r>
      <w:r w:rsidR="00D8324B">
        <w:t>. P</w:t>
      </w:r>
      <w:r w:rsidR="08C3604C">
        <w:t xml:space="preserve">o uzávorkování abstrahovaných </w:t>
      </w:r>
      <w:r w:rsidR="00D8324B">
        <w:t xml:space="preserve">eidetických </w:t>
      </w:r>
      <w:r w:rsidR="08C3604C">
        <w:t xml:space="preserve">obsahů </w:t>
      </w:r>
      <w:r w:rsidR="00D8324B">
        <w:t>od s</w:t>
      </w:r>
      <w:r w:rsidR="08C3604C">
        <w:t>věta</w:t>
      </w:r>
      <w:r w:rsidR="00E735D6">
        <w:t xml:space="preserve"> se kontempluje </w:t>
      </w:r>
      <w:r w:rsidRPr="00273106">
        <w:t>transcendence noemat v plné imanenci absolutně separovaného sebevědomí</w:t>
      </w:r>
      <w:r w:rsidR="08C3604C">
        <w:t>.</w:t>
      </w:r>
      <w:r w:rsidRPr="00273106">
        <w:t xml:space="preserve"> </w:t>
      </w:r>
      <w:r w:rsidR="080650A6">
        <w:t xml:space="preserve">Postmoderní iluminát </w:t>
      </w:r>
      <w:r w:rsidR="088A425F">
        <w:t>uzavřený</w:t>
      </w:r>
      <w:r w:rsidR="080650A6">
        <w:t xml:space="preserve"> v jeskyni imanentního vědomí vidí svět ve světle silného intelektu-slunce, který eidetické obsahy nasvěcuje přímo. Platon ještě znal původní dialektiku vidění a vědění a proto poslal filosofa z jeskyně ven (</w:t>
      </w:r>
      <w:r w:rsidR="08944AA3">
        <w:t xml:space="preserve">OBJ I, </w:t>
      </w:r>
      <w:r w:rsidR="080650A6">
        <w:t xml:space="preserve">kap. 1). </w:t>
      </w:r>
      <w:r w:rsidR="08047A69">
        <w:t>Moderní filosof vedený Fúriemi už nemusí z</w:t>
      </w:r>
      <w:r w:rsidR="00AA18C3">
        <w:t xml:space="preserve"> mytologické </w:t>
      </w:r>
      <w:r w:rsidR="08047A69">
        <w:t xml:space="preserve">jeskyně </w:t>
      </w:r>
      <w:r w:rsidR="00AA18C3">
        <w:t>vůbec vycházet. Z</w:t>
      </w:r>
      <w:r w:rsidR="08047A69">
        <w:t>aří</w:t>
      </w:r>
      <w:r w:rsidR="08F922FA">
        <w:t>dil</w:t>
      </w:r>
      <w:r w:rsidR="08047A69">
        <w:t xml:space="preserve"> </w:t>
      </w:r>
      <w:r w:rsidR="00AA18C3">
        <w:t xml:space="preserve">si </w:t>
      </w:r>
      <w:r w:rsidR="08047A69">
        <w:t xml:space="preserve">vlastní formu </w:t>
      </w:r>
      <w:r w:rsidR="08A22342">
        <w:t xml:space="preserve">sekulárních akademických </w:t>
      </w:r>
      <w:r w:rsidR="08047A69">
        <w:t>mystérií</w:t>
      </w:r>
      <w:r w:rsidR="08F922FA">
        <w:t xml:space="preserve"> osvícenou vlastním intelektem-sluncem</w:t>
      </w:r>
      <w:r w:rsidR="08047A69">
        <w:t xml:space="preserve">. </w:t>
      </w:r>
      <w:r w:rsidR="00FB5AF7">
        <w:t xml:space="preserve">Marxova kritika ideologie německého idealismu přesně viděla, </w:t>
      </w:r>
      <w:r w:rsidR="00FB5AF7">
        <w:lastRenderedPageBreak/>
        <w:t xml:space="preserve">že pojem se stal realitou a ideologicky zaslepení ilumináti si toho ani nevšimli (OBJ III, kap. 4.1.4). </w:t>
      </w:r>
      <w:r w:rsidRPr="00273106">
        <w:t xml:space="preserve">Paranoia intelektu </w:t>
      </w:r>
      <w:r w:rsidRPr="00273106">
        <w:rPr>
          <w:i/>
        </w:rPr>
        <w:t>Modernorum</w:t>
      </w:r>
      <w:r w:rsidRPr="00273106">
        <w:t xml:space="preserve"> odvozeného od </w:t>
      </w:r>
      <w:r w:rsidR="005C4CB1" w:rsidRPr="00273106">
        <w:t xml:space="preserve">Avicenny a </w:t>
      </w:r>
      <w:r w:rsidRPr="00273106">
        <w:t xml:space="preserve">Avicebrona je podle Alberta v tom, že univočně bere </w:t>
      </w:r>
      <w:r w:rsidRPr="08D44D16">
        <w:rPr>
          <w:i/>
        </w:rPr>
        <w:t>quidditas</w:t>
      </w:r>
      <w:r w:rsidR="00782210" w:rsidRPr="08D44D16">
        <w:rPr>
          <w:i/>
        </w:rPr>
        <w:fldChar w:fldCharType="begin"/>
      </w:r>
      <w:r w:rsidR="08E6733C">
        <w:rPr>
          <w:i/>
        </w:rPr>
        <w:instrText xml:space="preserve"> XE "quidditas</w:instrText>
      </w:r>
      <w:r w:rsidR="00782210" w:rsidRPr="08D44D16">
        <w:rPr>
          <w:i/>
        </w:rPr>
        <w:instrText xml:space="preserve">" </w:instrText>
      </w:r>
      <w:r w:rsidR="00782210" w:rsidRPr="08D44D16">
        <w:rPr>
          <w:i/>
        </w:rPr>
        <w:fldChar w:fldCharType="end"/>
      </w:r>
      <w:r w:rsidRPr="00273106">
        <w:t xml:space="preserve"> věci a esencialitu vytvořenou v aktu poznání</w:t>
      </w:r>
      <w:r w:rsidR="008E25C6" w:rsidRPr="00273106">
        <w:t xml:space="preserve"> a identifikuje ji s </w:t>
      </w:r>
      <w:r w:rsidR="08D44D16">
        <w:t xml:space="preserve">oddělenými poznávacími </w:t>
      </w:r>
      <w:r w:rsidR="08D44D16" w:rsidRPr="00273106">
        <w:t xml:space="preserve">formami </w:t>
      </w:r>
      <w:r w:rsidR="00341942" w:rsidRPr="00273106">
        <w:t xml:space="preserve">aktuálně existujícími </w:t>
      </w:r>
      <w:r w:rsidR="008E25C6" w:rsidRPr="00273106">
        <w:t>na úrovni separovaných kosmických inteligencí</w:t>
      </w:r>
      <w:r w:rsidR="00E54F7D" w:rsidRPr="00273106">
        <w:t xml:space="preserve"> (</w:t>
      </w:r>
      <w:r w:rsidR="00E54F7D" w:rsidRPr="00273106">
        <w:rPr>
          <w:i/>
        </w:rPr>
        <w:t>quidditates separatorum</w:t>
      </w:r>
      <w:r w:rsidR="00E54F7D" w:rsidRPr="00273106">
        <w:t>)</w:t>
      </w:r>
      <w:r w:rsidRPr="00273106">
        <w:t xml:space="preserve">. </w:t>
      </w:r>
      <w:r w:rsidR="00034816" w:rsidRPr="00273106">
        <w:t xml:space="preserve">V tomto </w:t>
      </w:r>
      <w:r w:rsidR="00830620" w:rsidRPr="00273106">
        <w:t xml:space="preserve">sofistickém </w:t>
      </w:r>
      <w:r w:rsidR="00034816" w:rsidRPr="00273106">
        <w:t xml:space="preserve">druhu poznání </w:t>
      </w:r>
      <w:r w:rsidRPr="00273106">
        <w:t xml:space="preserve">se činný intelekt </w:t>
      </w:r>
      <w:r w:rsidR="08B45009">
        <w:t xml:space="preserve">ilumináta </w:t>
      </w:r>
      <w:r w:rsidRPr="00273106">
        <w:t xml:space="preserve">spojí s odděleným světem forem a inteligencí. </w:t>
      </w:r>
      <w:r w:rsidR="088A425F">
        <w:t>Moderní v</w:t>
      </w:r>
      <w:r w:rsidR="0068041F" w:rsidRPr="00273106">
        <w:t>idění středověkých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68041F" w:rsidRPr="00273106">
        <w:t xml:space="preserve"> nahradí </w:t>
      </w:r>
      <w:r w:rsidR="00CF5438">
        <w:t>Leibnizova matematika</w:t>
      </w:r>
      <w:r w:rsidR="00E67D4E">
        <w:fldChar w:fldCharType="begin"/>
      </w:r>
      <w:r w:rsidR="00E67D4E">
        <w:instrText xml:space="preserve"> XE "</w:instrText>
      </w:r>
      <w:r w:rsidR="00E67D4E" w:rsidRPr="00DC040D">
        <w:instrText>matematika</w:instrText>
      </w:r>
      <w:r w:rsidR="00E67D4E">
        <w:instrText xml:space="preserve">" </w:instrText>
      </w:r>
      <w:r w:rsidR="00E67D4E">
        <w:fldChar w:fldCharType="end"/>
      </w:r>
      <w:r w:rsidR="00CF5438">
        <w:t xml:space="preserve"> a karteziánský </w:t>
      </w:r>
      <w:r w:rsidR="00180757">
        <w:t xml:space="preserve">či husserlovský </w:t>
      </w:r>
      <w:r w:rsidR="0068041F" w:rsidRPr="00273106">
        <w:t>způsob nazírání čistých význ</w:t>
      </w:r>
      <w:r w:rsidR="00CF5438">
        <w:t>amů ve vědomí</w:t>
      </w:r>
      <w:r w:rsidR="0068041F" w:rsidRPr="00273106">
        <w:t xml:space="preserve">. </w:t>
      </w:r>
      <w:r w:rsidR="082516FA" w:rsidRPr="00273106">
        <w:t xml:space="preserve">Modernisté na základě přepracovaného avicennismu </w:t>
      </w:r>
      <w:r w:rsidR="082516FA" w:rsidRPr="00273106">
        <w:rPr>
          <w:iCs/>
        </w:rPr>
        <w:t xml:space="preserve">vytvořili novou sérii jsoucen třetího druhu opřených o matematickou abstrakci, a také o logický pojem jsoucna zděděný ze zaniklých škol </w:t>
      </w:r>
      <w:r w:rsidR="082516FA" w:rsidRPr="00273106">
        <w:rPr>
          <w:i/>
          <w:iCs/>
        </w:rPr>
        <w:t>logica Modernorum</w:t>
      </w:r>
      <w:r w:rsidR="082516FA">
        <w:rPr>
          <w:i/>
          <w:iCs/>
        </w:rPr>
        <w:fldChar w:fldCharType="begin"/>
      </w:r>
      <w:r w:rsidR="082516FA">
        <w:instrText xml:space="preserve"> XE "</w:instrText>
      </w:r>
      <w:r w:rsidR="082516FA" w:rsidRPr="001100BE">
        <w:rPr>
          <w:i/>
        </w:rPr>
        <w:instrText>logica Modernorum</w:instrText>
      </w:r>
      <w:r w:rsidR="082516FA">
        <w:instrText xml:space="preserve">" </w:instrText>
      </w:r>
      <w:r w:rsidR="082516FA">
        <w:rPr>
          <w:i/>
          <w:iCs/>
        </w:rPr>
        <w:fldChar w:fldCharType="end"/>
      </w:r>
      <w:r w:rsidR="082516FA" w:rsidRPr="00273106">
        <w:rPr>
          <w:iCs/>
        </w:rPr>
        <w:t>.</w:t>
      </w:r>
      <w:r w:rsidR="082516FA">
        <w:rPr>
          <w:iCs/>
        </w:rPr>
        <w:t xml:space="preserve"> </w:t>
      </w:r>
      <w:r w:rsidRPr="00273106">
        <w:t xml:space="preserve">V sobě rozdělený intelekt </w:t>
      </w:r>
      <w:r w:rsidRPr="00273106">
        <w:rPr>
          <w:i/>
        </w:rPr>
        <w:t>Modernorum</w:t>
      </w:r>
      <w:r w:rsidRPr="00273106">
        <w:t xml:space="preserve"> následuje cestu</w:t>
      </w:r>
      <w:r w:rsidR="00BD6613" w:rsidRPr="00273106">
        <w:t xml:space="preserve"> </w:t>
      </w:r>
      <w:r w:rsidR="00B848FC">
        <w:t xml:space="preserve">platonského </w:t>
      </w:r>
      <w:r w:rsidR="00BD6613" w:rsidRPr="00273106">
        <w:t>demiurga</w:t>
      </w:r>
      <w:r w:rsidR="00640BE5">
        <w:fldChar w:fldCharType="begin"/>
      </w:r>
      <w:r w:rsidR="00640BE5">
        <w:instrText xml:space="preserve"> XE "</w:instrText>
      </w:r>
      <w:r w:rsidR="00640BE5" w:rsidRPr="005C2F4A">
        <w:rPr>
          <w:rStyle w:val="addmd"/>
        </w:rPr>
        <w:instrText>demiurg</w:instrText>
      </w:r>
      <w:r w:rsidR="00640BE5">
        <w:instrText xml:space="preserve">" </w:instrText>
      </w:r>
      <w:r w:rsidR="00640BE5">
        <w:fldChar w:fldCharType="end"/>
      </w:r>
      <w:r w:rsidR="00BD6613" w:rsidRPr="00273106">
        <w:t xml:space="preserve"> z dialogu </w:t>
      </w:r>
      <w:r w:rsidR="00BD6613" w:rsidRPr="005E149A">
        <w:rPr>
          <w:i/>
        </w:rPr>
        <w:t>Timaios</w:t>
      </w:r>
      <w:r w:rsidR="00163EA9" w:rsidRPr="00273106">
        <w:t xml:space="preserve">. </w:t>
      </w:r>
      <w:r w:rsidR="082516FA">
        <w:t>M</w:t>
      </w:r>
      <w:r w:rsidR="00B848FC">
        <w:t xml:space="preserve">oderní </w:t>
      </w:r>
      <w:r w:rsidR="082516FA">
        <w:t>i</w:t>
      </w:r>
      <w:r w:rsidR="00163EA9" w:rsidRPr="00273106">
        <w:t>ntelekt s</w:t>
      </w:r>
      <w:r w:rsidRPr="00273106">
        <w:t>e stal plně kreativním</w:t>
      </w:r>
      <w:r w:rsidR="00163EA9" w:rsidRPr="00273106">
        <w:t xml:space="preserve">, protože </w:t>
      </w:r>
      <w:r w:rsidRPr="00273106">
        <w:t>má vlastní aktualitu a k tomu i vlastní materii</w:t>
      </w:r>
      <w:r w:rsidR="08EB2B32">
        <w:t xml:space="preserve"> třetího druhu</w:t>
      </w:r>
      <w:r w:rsidRPr="00273106">
        <w:t xml:space="preserve">. </w:t>
      </w:r>
      <w:r w:rsidR="00966366" w:rsidRPr="00273106">
        <w:t xml:space="preserve">Osvícený intelekt Latiníků </w:t>
      </w:r>
      <w:r w:rsidR="000F515C" w:rsidRPr="00273106">
        <w:t>potřebuje k pravdivému p</w:t>
      </w:r>
      <w:r w:rsidR="002D37BE" w:rsidRPr="00273106">
        <w:t xml:space="preserve">oznání </w:t>
      </w:r>
      <w:r w:rsidR="000F515C" w:rsidRPr="00273106">
        <w:t>hmotnou realitu</w:t>
      </w:r>
      <w:r w:rsidR="002D37BE" w:rsidRPr="00273106">
        <w:t xml:space="preserve"> a </w:t>
      </w:r>
      <w:r w:rsidR="000F515C" w:rsidRPr="00273106">
        <w:t>smysly</w:t>
      </w:r>
      <w:r w:rsidR="089A14CF">
        <w:t xml:space="preserve"> pouze jako akcident. P</w:t>
      </w:r>
      <w:r w:rsidR="00CD465A">
        <w:t xml:space="preserve">ředmět poznání </w:t>
      </w:r>
      <w:r w:rsidR="002D37BE" w:rsidRPr="00273106">
        <w:t xml:space="preserve">tvoří </w:t>
      </w:r>
      <w:r w:rsidR="089A14CF">
        <w:t xml:space="preserve">v modu řemeslné produkce idejí </w:t>
      </w:r>
      <w:r w:rsidR="002D37BE" w:rsidRPr="00273106">
        <w:t xml:space="preserve">jako svrchované </w:t>
      </w:r>
      <w:r w:rsidR="002D37BE" w:rsidRPr="00273106">
        <w:rPr>
          <w:i/>
        </w:rPr>
        <w:t>subjectum</w:t>
      </w:r>
      <w:r w:rsidR="002D37BE" w:rsidRPr="00273106">
        <w:t xml:space="preserve"> poznání</w:t>
      </w:r>
      <w:r w:rsidR="089D56ED">
        <w:t>, protože jim vtiskuje subjek</w:t>
      </w:r>
      <w:r w:rsidR="089A14CF">
        <w:t>tivně daný logos</w:t>
      </w:r>
      <w:r w:rsidR="002D37BE" w:rsidRPr="00273106">
        <w:t>.</w:t>
      </w:r>
      <w:r w:rsidR="000F515C" w:rsidRPr="00273106">
        <w:t xml:space="preserve"> </w:t>
      </w:r>
      <w:r w:rsidR="089A14CF">
        <w:t xml:space="preserve">Albert ukázal </w:t>
      </w:r>
      <w:r w:rsidR="089A14CF" w:rsidRPr="089A14CF">
        <w:rPr>
          <w:i/>
        </w:rPr>
        <w:t>Lichtung</w:t>
      </w:r>
      <w:r w:rsidR="089A14CF">
        <w:t xml:space="preserve"> postmoderní formy </w:t>
      </w:r>
      <w:r w:rsidR="088E2AFC">
        <w:t xml:space="preserve">kapitalistické </w:t>
      </w:r>
      <w:r w:rsidR="089A14CF">
        <w:t>ideologie</w:t>
      </w:r>
      <w:r w:rsidR="088E2AFC">
        <w:t xml:space="preserve"> fetišisticky přetvářející svět</w:t>
      </w:r>
      <w:r w:rsidR="089A14CF">
        <w:t xml:space="preserve">, kterou </w:t>
      </w:r>
      <w:r w:rsidR="0855761B">
        <w:t xml:space="preserve">v její historicko-ekonomické </w:t>
      </w:r>
      <w:r w:rsidR="0855761B" w:rsidRPr="0855761B">
        <w:rPr>
          <w:i/>
        </w:rPr>
        <w:t>veritas</w:t>
      </w:r>
      <w:r w:rsidR="0855761B">
        <w:t xml:space="preserve"> </w:t>
      </w:r>
      <w:r w:rsidR="08256656">
        <w:t xml:space="preserve">poprvé </w:t>
      </w:r>
      <w:r w:rsidR="089A14CF">
        <w:t>analyzoval Karel Marx</w:t>
      </w:r>
      <w:r w:rsidR="08256656">
        <w:fldChar w:fldCharType="begin"/>
      </w:r>
      <w:r w:rsidR="08256656">
        <w:instrText xml:space="preserve"> XE "</w:instrText>
      </w:r>
      <w:r w:rsidR="08256656" w:rsidRPr="08065433">
        <w:instrText>Marx, K.</w:instrText>
      </w:r>
      <w:r w:rsidR="08256656">
        <w:instrText xml:space="preserve">" </w:instrText>
      </w:r>
      <w:r w:rsidR="08256656">
        <w:fldChar w:fldCharType="end"/>
      </w:r>
      <w:r w:rsidR="089A14CF">
        <w:t xml:space="preserve"> (</w:t>
      </w:r>
      <w:r w:rsidR="08635C5E">
        <w:t>OBJ III, kap. 4</w:t>
      </w:r>
      <w:r w:rsidR="089A14CF">
        <w:t xml:space="preserve">.1.4). </w:t>
      </w:r>
      <w:r w:rsidR="006C2069" w:rsidRPr="00273106">
        <w:t>Receptivní i</w:t>
      </w:r>
      <w:r w:rsidR="00434CD0" w:rsidRPr="00273106">
        <w:t xml:space="preserve">ntelekt spojený </w:t>
      </w:r>
      <w:r w:rsidR="006C2069" w:rsidRPr="00273106">
        <w:t xml:space="preserve">skrze smysly </w:t>
      </w:r>
      <w:r w:rsidR="00434CD0" w:rsidRPr="00273106">
        <w:t xml:space="preserve">s první substancí a </w:t>
      </w:r>
      <w:r w:rsidR="006C2069" w:rsidRPr="00273106">
        <w:t xml:space="preserve">s </w:t>
      </w:r>
      <w:r w:rsidR="00434CD0" w:rsidRPr="00273106">
        <w:t xml:space="preserve">její faktickou kauzalitou je naopak vázaný na poznávací sylogismus </w:t>
      </w:r>
      <w:r w:rsidR="00434CD0" w:rsidRPr="005E149A">
        <w:rPr>
          <w:i/>
        </w:rPr>
        <w:t>Druhých analytik</w:t>
      </w:r>
      <w:r w:rsidR="00434CD0" w:rsidRPr="00273106">
        <w:t xml:space="preserve">. </w:t>
      </w:r>
      <w:r w:rsidR="083046AA">
        <w:t>Proto se stal</w:t>
      </w:r>
      <w:r w:rsidR="004C7B22" w:rsidRPr="00273106">
        <w:t xml:space="preserve"> výklad </w:t>
      </w:r>
      <w:r w:rsidR="007D4D62" w:rsidRPr="005E149A">
        <w:rPr>
          <w:i/>
        </w:rPr>
        <w:t>Druhých analytik</w:t>
      </w:r>
      <w:r w:rsidR="007D4D62" w:rsidRPr="00273106">
        <w:t xml:space="preserve"> </w:t>
      </w:r>
      <w:r w:rsidR="004C7B22" w:rsidRPr="00273106">
        <w:t xml:space="preserve">základním kamenem sporu </w:t>
      </w:r>
      <w:r w:rsidR="001D029D" w:rsidRPr="00273106">
        <w:t>mezi prvním a d</w:t>
      </w:r>
      <w:r w:rsidR="00D86118" w:rsidRPr="00273106">
        <w:t xml:space="preserve">ruhým averroismem od </w:t>
      </w:r>
      <w:r w:rsidR="087F4EDC">
        <w:t xml:space="preserve">roku </w:t>
      </w:r>
      <w:r w:rsidR="00D86118" w:rsidRPr="00273106">
        <w:t>1230</w:t>
      </w:r>
      <w:r w:rsidR="083046AA">
        <w:t>, kdy se objevil</w:t>
      </w:r>
      <w:r w:rsidR="004C7B22" w:rsidRPr="00273106">
        <w:t xml:space="preserve"> latinský překlad</w:t>
      </w:r>
      <w:r w:rsidR="00DD01AD" w:rsidRPr="00273106">
        <w:t xml:space="preserve"> s </w:t>
      </w:r>
      <w:r w:rsidR="002E3B62">
        <w:t>Averroes</w:t>
      </w:r>
      <w:r w:rsidR="00430F88" w:rsidRPr="00273106">
        <w:t xml:space="preserve">ovým komentářem </w:t>
      </w:r>
      <w:r w:rsidR="00DD01AD" w:rsidRPr="00273106">
        <w:t xml:space="preserve">od </w:t>
      </w:r>
      <w:bookmarkStart w:id="88" w:name="01"/>
      <w:r w:rsidR="00DD01AD" w:rsidRPr="00273106">
        <w:t>Michaela Scot</w:t>
      </w:r>
      <w:bookmarkEnd w:id="88"/>
      <w:r w:rsidR="00D86118" w:rsidRPr="00273106">
        <w:t>a</w:t>
      </w:r>
      <w:r w:rsidR="004C7B22" w:rsidRPr="00273106">
        <w:t xml:space="preserve">. </w:t>
      </w:r>
      <w:r w:rsidR="080F384A">
        <w:t xml:space="preserve">Konfliktu obou interpretací ohledně </w:t>
      </w:r>
      <w:r w:rsidR="080F384A" w:rsidRPr="08F4397F">
        <w:rPr>
          <w:i/>
        </w:rPr>
        <w:t>Druhých Analytik</w:t>
      </w:r>
      <w:r w:rsidR="080F384A">
        <w:t xml:space="preserve"> se budeme věnovat v následujících kapitolách věnovaných vzniku </w:t>
      </w:r>
      <w:r w:rsidR="08F4397F">
        <w:rPr>
          <w:i/>
        </w:rPr>
        <w:t>Oxf</w:t>
      </w:r>
      <w:r w:rsidR="080F384A" w:rsidRPr="080F384A">
        <w:rPr>
          <w:i/>
        </w:rPr>
        <w:t>o</w:t>
      </w:r>
      <w:r w:rsidR="08F4397F">
        <w:rPr>
          <w:i/>
        </w:rPr>
        <w:t>r</w:t>
      </w:r>
      <w:r w:rsidR="080F384A" w:rsidRPr="080F384A">
        <w:rPr>
          <w:i/>
        </w:rPr>
        <w:t>dian Fallacy</w:t>
      </w:r>
      <w:r w:rsidR="080F384A">
        <w:t>.</w:t>
      </w:r>
    </w:p>
    <w:p w14:paraId="356CBA58" w14:textId="018ECCBD" w:rsidR="00221596" w:rsidRPr="00273106" w:rsidRDefault="00E86517" w:rsidP="00221596">
      <w:r>
        <w:rPr>
          <w:iCs/>
        </w:rPr>
        <w:tab/>
      </w:r>
      <w:r w:rsidR="00221596" w:rsidRPr="00273106">
        <w:t xml:space="preserve">Spis </w:t>
      </w:r>
      <w:r w:rsidR="00221596" w:rsidRPr="00273106">
        <w:rPr>
          <w:i/>
        </w:rPr>
        <w:t xml:space="preserve">Libellus de unitate intellectus </w:t>
      </w:r>
      <w:r w:rsidR="00C92D31" w:rsidRPr="00273106">
        <w:rPr>
          <w:i/>
        </w:rPr>
        <w:t>contra Averroistas</w:t>
      </w:r>
      <w:r w:rsidR="00C92D31" w:rsidRPr="00273106">
        <w:t xml:space="preserve"> </w:t>
      </w:r>
      <w:r w:rsidR="00221596" w:rsidRPr="00273106">
        <w:t xml:space="preserve">(kolem 1256, dokončeno 1263) shrnuje všechny zásadní námitky Alberta proti druhému averroismu a v didaktickém přehledu nastiňuje základní omyly této školy. </w:t>
      </w:r>
      <w:r w:rsidR="002E6847" w:rsidRPr="00273106">
        <w:t xml:space="preserve">Argumenty polemického spisu proti averroistům z velké části opakují vývody komentované v předchozích </w:t>
      </w:r>
      <w:r w:rsidR="0057625D">
        <w:t xml:space="preserve">traktátech </w:t>
      </w:r>
      <w:r w:rsidR="002E6847" w:rsidRPr="00273106">
        <w:t xml:space="preserve">o duši a o intelektu, na které odkazuje úvod spisu. </w:t>
      </w:r>
      <w:r w:rsidR="00221596" w:rsidRPr="00273106">
        <w:t>Styl psaní</w:t>
      </w:r>
      <w:r w:rsidR="00601970">
        <w:t xml:space="preserve"> potvrzuje</w:t>
      </w:r>
      <w:r w:rsidR="00221596" w:rsidRPr="00273106">
        <w:t xml:space="preserve">, že pro Alberta je spor </w:t>
      </w:r>
      <w:r w:rsidR="08F97337">
        <w:t xml:space="preserve">se sofisty </w:t>
      </w:r>
      <w:r w:rsidR="00221596" w:rsidRPr="00273106">
        <w:t xml:space="preserve">na filosofické rovině uzavřen, protože </w:t>
      </w:r>
      <w:r w:rsidR="08F97337">
        <w:t xml:space="preserve">spis </w:t>
      </w:r>
      <w:r w:rsidR="00221596" w:rsidRPr="00273106">
        <w:t xml:space="preserve">nepřidává žádné nové argumenty k těm, které známe z předešlého komentáře k </w:t>
      </w:r>
      <w:r w:rsidR="00B713C5">
        <w:rPr>
          <w:i/>
        </w:rPr>
        <w:t>De anima</w:t>
      </w:r>
      <w:r w:rsidR="0090509E" w:rsidRPr="00273106">
        <w:t xml:space="preserve">. Teze jen shrnují </w:t>
      </w:r>
      <w:r w:rsidR="08922C66">
        <w:t xml:space="preserve">Albertovu pozici </w:t>
      </w:r>
      <w:r w:rsidR="002A3626" w:rsidRPr="00273106">
        <w:t xml:space="preserve">ohledně </w:t>
      </w:r>
      <w:r w:rsidR="002A3626" w:rsidRPr="00273106">
        <w:lastRenderedPageBreak/>
        <w:t xml:space="preserve">jednoty a individualizaci intelektu. Třicítku výsledných odpovědí </w:t>
      </w:r>
      <w:r w:rsidR="087B1F34">
        <w:t xml:space="preserve">Alberta </w:t>
      </w:r>
      <w:r w:rsidR="002A3626" w:rsidRPr="00273106">
        <w:t xml:space="preserve">odmítne </w:t>
      </w:r>
      <w:r w:rsidR="087B1F34">
        <w:t xml:space="preserve">avicennista </w:t>
      </w:r>
      <w:r w:rsidR="002A3626" w:rsidRPr="00273106">
        <w:t xml:space="preserve">Johannes </w:t>
      </w:r>
      <w:r w:rsidR="004F3E0F">
        <w:t>Pecham</w:t>
      </w:r>
      <w:r w:rsidR="002A3626" w:rsidRPr="00273106">
        <w:t xml:space="preserve"> a provede jejich </w:t>
      </w:r>
      <w:r w:rsidR="009A2291" w:rsidRPr="00273106">
        <w:t xml:space="preserve">kritiku podle </w:t>
      </w:r>
      <w:r w:rsidR="002A3626" w:rsidRPr="00273106">
        <w:t>druhého averroismu (</w:t>
      </w:r>
      <w:r w:rsidR="08720F92">
        <w:t>OBJ III, kap. 4</w:t>
      </w:r>
      <w:r w:rsidR="002A3626" w:rsidRPr="00273106">
        <w:t xml:space="preserve">.3.1). </w:t>
      </w:r>
      <w:r w:rsidR="0025733D" w:rsidRPr="00273106">
        <w:t xml:space="preserve">Albert postuluje </w:t>
      </w:r>
      <w:r w:rsidR="0025733D" w:rsidRPr="00273106">
        <w:rPr>
          <w:i/>
        </w:rPr>
        <w:t>intellectus possibilis</w:t>
      </w:r>
      <w:r w:rsidR="0025733D" w:rsidRPr="00273106">
        <w:t xml:space="preserve"> jako nemater</w:t>
      </w:r>
      <w:r w:rsidR="00601970">
        <w:t>i</w:t>
      </w:r>
      <w:r w:rsidR="0025733D" w:rsidRPr="00273106">
        <w:t xml:space="preserve">ální potenci lidské duše, která může vše přijímat a také může být </w:t>
      </w:r>
      <w:r w:rsidR="00CB3417" w:rsidRPr="00273106">
        <w:t xml:space="preserve">jako potence </w:t>
      </w:r>
      <w:r w:rsidR="0025733D" w:rsidRPr="00273106">
        <w:t xml:space="preserve">individualizovaná skrze </w:t>
      </w:r>
      <w:r w:rsidR="0025733D" w:rsidRPr="00273106">
        <w:rPr>
          <w:i/>
        </w:rPr>
        <w:t>intellectus agens</w:t>
      </w:r>
      <w:r w:rsidR="0025733D" w:rsidRPr="00273106">
        <w:t xml:space="preserve">. To je pozice CMDA, která jako jediná umožňuje individuaci nemateriální </w:t>
      </w:r>
      <w:r w:rsidR="0025733D" w:rsidRPr="00273106">
        <w:rPr>
          <w:i/>
        </w:rPr>
        <w:t>anima intellectiva</w:t>
      </w:r>
      <w:r w:rsidR="0025733D" w:rsidRPr="00273106">
        <w:t xml:space="preserve"> dané v těle. Albert nechce úplně </w:t>
      </w:r>
      <w:r w:rsidR="00A86715" w:rsidRPr="00273106">
        <w:t>o</w:t>
      </w:r>
      <w:r w:rsidR="0025733D" w:rsidRPr="00273106">
        <w:t>pustit Avicennovu ontoteologickou pozici</w:t>
      </w:r>
      <w:r w:rsidR="08586E85">
        <w:t xml:space="preserve">, protože ji integroval do </w:t>
      </w:r>
      <w:r w:rsidR="08624D27">
        <w:t>„</w:t>
      </w:r>
      <w:r w:rsidR="08586E85">
        <w:t>meta</w:t>
      </w:r>
      <w:r w:rsidR="08624D27">
        <w:t>-</w:t>
      </w:r>
      <w:r w:rsidR="08586E85">
        <w:t>fyziky</w:t>
      </w:r>
      <w:r w:rsidR="08624D27">
        <w:t>“</w:t>
      </w:r>
      <w:r w:rsidR="08586E85">
        <w:t xml:space="preserve"> Komentátora ve výše uvedeném modu </w:t>
      </w:r>
      <w:r w:rsidR="08586E85" w:rsidRPr="08586E85">
        <w:rPr>
          <w:i/>
        </w:rPr>
        <w:t>per posterius</w:t>
      </w:r>
      <w:r w:rsidR="0025733D" w:rsidRPr="00273106">
        <w:t xml:space="preserve">. </w:t>
      </w:r>
      <w:r>
        <w:t xml:space="preserve">Důležitý </w:t>
      </w:r>
      <w:r w:rsidR="00254BB1" w:rsidRPr="00273106">
        <w:t xml:space="preserve">je </w:t>
      </w:r>
      <w:r>
        <w:t xml:space="preserve">článek </w:t>
      </w:r>
      <w:r w:rsidR="00254BB1" w:rsidRPr="00273106">
        <w:t xml:space="preserve">25, </w:t>
      </w:r>
      <w:r>
        <w:t xml:space="preserve">který </w:t>
      </w:r>
      <w:r w:rsidR="00254BB1" w:rsidRPr="00273106">
        <w:t>shrnuje definici intelektu o</w:t>
      </w:r>
      <w:r w:rsidR="005C1835">
        <w:t>dkazem na kauzalitu P</w:t>
      </w:r>
      <w:r w:rsidR="0044077A">
        <w:t>rvní příčiny</w:t>
      </w:r>
      <w:r w:rsidR="00A70FA4">
        <w:fldChar w:fldCharType="begin"/>
      </w:r>
      <w:r w:rsidR="00A70FA4">
        <w:instrText xml:space="preserve"> XE "</w:instrText>
      </w:r>
      <w:r w:rsidR="00A70FA4" w:rsidRPr="00DE2A32">
        <w:instrText>substance</w:instrText>
      </w:r>
      <w:r w:rsidR="00292841">
        <w:instrText>:první</w:instrText>
      </w:r>
      <w:r w:rsidR="00A70FA4">
        <w:instrText xml:space="preserve">" </w:instrText>
      </w:r>
      <w:r w:rsidR="00A70FA4">
        <w:fldChar w:fldCharType="end"/>
      </w:r>
      <w:r w:rsidR="00254BB1">
        <w:t>.</w:t>
      </w:r>
      <w:r w:rsidR="00254BB1" w:rsidRPr="00273106">
        <w:rPr>
          <w:rStyle w:val="Znakapoznpodarou"/>
        </w:rPr>
        <w:footnoteReference w:id="267"/>
      </w:r>
      <w:r w:rsidR="00254BB1" w:rsidRPr="00273106">
        <w:t xml:space="preserve"> </w:t>
      </w:r>
      <w:r w:rsidR="00254BB1">
        <w:t>Klíčová věta citátu ukazuje přímé spojení individuálního činného intelektu s první kauzou (</w:t>
      </w:r>
      <w:r w:rsidR="00254BB1" w:rsidRPr="00D82FD9">
        <w:rPr>
          <w:i/>
        </w:rPr>
        <w:t>ad intellectum agentem secundum quem dependet ad causam primam</w:t>
      </w:r>
      <w:r w:rsidR="00254BB1">
        <w:t>)</w:t>
      </w:r>
      <w:r w:rsidR="00254BB1" w:rsidRPr="00273106">
        <w:t xml:space="preserve">. </w:t>
      </w:r>
      <w:r>
        <w:t xml:space="preserve">Albert </w:t>
      </w:r>
      <w:r w:rsidRPr="00273106">
        <w:t xml:space="preserve">drží i ontoteologické určení lidského intelektu přímo od boha, a to v rámci jeho napojení na stvořitelskou </w:t>
      </w:r>
      <w:r w:rsidRPr="00273106">
        <w:rPr>
          <w:i/>
        </w:rPr>
        <w:t>causa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rsidRPr="00273106">
        <w:t>.</w:t>
      </w:r>
      <w:r>
        <w:t xml:space="preserve"> </w:t>
      </w:r>
      <w:r w:rsidR="0834711A">
        <w:t>Podobné teologické stanovisko měl i biskup Alvernus</w:t>
      </w:r>
      <w:r w:rsidR="08720F92">
        <w:t xml:space="preserve"> (kap. 2.3.3)</w:t>
      </w:r>
      <w:r w:rsidR="0834711A">
        <w:t xml:space="preserve">. </w:t>
      </w:r>
      <w:r w:rsidR="00254BB1">
        <w:t xml:space="preserve">Tím </w:t>
      </w:r>
      <w:r>
        <w:t xml:space="preserve">došlo i u Alberta </w:t>
      </w:r>
      <w:r w:rsidR="00254BB1">
        <w:t xml:space="preserve">k hypostázování činného intelektu v semiaverroistickém modu, v němž je lidský </w:t>
      </w:r>
      <w:r w:rsidR="00254BB1" w:rsidRPr="002508B7">
        <w:rPr>
          <w:i/>
        </w:rPr>
        <w:t>intellectus agens</w:t>
      </w:r>
      <w:r w:rsidR="00254BB1">
        <w:t xml:space="preserve"> nasvícen přímo od první kauzy. </w:t>
      </w:r>
      <w:r w:rsidR="00BD12B0" w:rsidRPr="00273106">
        <w:t>Lidský intelekt je nepřímo hypostázovaná entita-potence daná v duši, která je p</w:t>
      </w:r>
      <w:r w:rsidR="0025733D" w:rsidRPr="00273106">
        <w:t>římo stvořen</w:t>
      </w:r>
      <w:r w:rsidR="00BD12B0" w:rsidRPr="00273106">
        <w:t>á od</w:t>
      </w:r>
      <w:r w:rsidR="0025733D" w:rsidRPr="00273106">
        <w:t xml:space="preserve"> boha</w:t>
      </w:r>
      <w:r w:rsidR="00740B60">
        <w:t xml:space="preserve"> (</w:t>
      </w:r>
      <w:r w:rsidR="00740B60" w:rsidRPr="00740B60">
        <w:rPr>
          <w:i/>
        </w:rPr>
        <w:t>potentia</w:t>
      </w:r>
      <w:r w:rsidR="00740B60">
        <w:t>...</w:t>
      </w:r>
      <w:r w:rsidR="00740B60" w:rsidRPr="00740B60">
        <w:t xml:space="preserve"> </w:t>
      </w:r>
      <w:r w:rsidR="00740B60" w:rsidRPr="00740B60">
        <w:rPr>
          <w:i/>
        </w:rPr>
        <w:t>ad intellectum agentem secundum quem dependet ad causam primam</w:t>
      </w:r>
      <w:r w:rsidR="00740B60">
        <w:t>)</w:t>
      </w:r>
      <w:r w:rsidR="0025733D" w:rsidRPr="00273106">
        <w:t xml:space="preserve">. </w:t>
      </w:r>
      <w:r w:rsidR="0878337B">
        <w:t xml:space="preserve">Toto bylo i pojetí Grossetesteho a Bacona, kteří považovali lidskou </w:t>
      </w:r>
      <w:r w:rsidR="0878337B" w:rsidRPr="0878337B">
        <w:rPr>
          <w:i/>
        </w:rPr>
        <w:t>anima intellectiva</w:t>
      </w:r>
      <w:r w:rsidR="0878337B">
        <w:t xml:space="preserve"> za primární for</w:t>
      </w:r>
      <w:r w:rsidR="081F4E08">
        <w:t>mu přímo stvořenou bohem (kap. 3</w:t>
      </w:r>
      <w:r w:rsidR="0878337B">
        <w:t xml:space="preserve">.2). </w:t>
      </w:r>
      <w:r w:rsidR="00DA5DF6" w:rsidRPr="00273106">
        <w:t xml:space="preserve">Přímé stvoření a udržování lidského intelektu skrze boží intelekt podržuje jeho trvalou nematerialitu a jednotu. </w:t>
      </w:r>
      <w:r w:rsidR="00740B60">
        <w:t xml:space="preserve">Intentionalitu v podobě </w:t>
      </w:r>
      <w:r w:rsidR="000C0A40">
        <w:t xml:space="preserve">receptivní </w:t>
      </w:r>
      <w:r w:rsidR="00740B60">
        <w:t xml:space="preserve">potence dané směrem bohu jako první kauze </w:t>
      </w:r>
      <w:r w:rsidR="00937BCC" w:rsidRPr="00273106">
        <w:t>potřebuje Albert k tomu, aby obešel konstrukci intelektu jako samostatnou substanci (</w:t>
      </w:r>
      <w:r w:rsidR="00937BCC" w:rsidRPr="00273106">
        <w:rPr>
          <w:i/>
        </w:rPr>
        <w:t>hoc aliquid</w:t>
      </w:r>
      <w:r w:rsidR="009A43F5">
        <w:rPr>
          <w:i/>
        </w:rPr>
        <w:fldChar w:fldCharType="begin"/>
      </w:r>
      <w:r w:rsidR="009A43F5">
        <w:instrText xml:space="preserve"> XE "</w:instrText>
      </w:r>
      <w:r w:rsidR="009A43F5" w:rsidRPr="006B0AC6">
        <w:rPr>
          <w:rStyle w:val="FontStyle129"/>
          <w:rFonts w:ascii="Calibri" w:hAnsi="Calibri"/>
          <w:i/>
          <w:sz w:val="24"/>
        </w:rPr>
        <w:instrText>hoc aliquid</w:instrText>
      </w:r>
      <w:r w:rsidR="009A43F5" w:rsidRPr="00292841">
        <w:rPr>
          <w:rStyle w:val="FontStyle129"/>
          <w:rFonts w:ascii="Calibri" w:hAnsi="Calibri"/>
          <w:sz w:val="24"/>
        </w:rPr>
        <w:instrText>:</w:instrText>
      </w:r>
      <w:r w:rsidR="00292841" w:rsidRPr="00292841">
        <w:rPr>
          <w:rStyle w:val="FontStyle129"/>
          <w:rFonts w:ascii="Calibri" w:hAnsi="Calibri"/>
          <w:sz w:val="24"/>
        </w:rPr>
        <w:instrText>intelekt</w:instrText>
      </w:r>
      <w:r w:rsidR="009A43F5">
        <w:instrText xml:space="preserve">" </w:instrText>
      </w:r>
      <w:r w:rsidR="009A43F5">
        <w:rPr>
          <w:i/>
        </w:rPr>
        <w:fldChar w:fldCharType="end"/>
      </w:r>
      <w:r w:rsidR="00937BCC" w:rsidRPr="00273106">
        <w:t xml:space="preserve">). </w:t>
      </w:r>
      <w:r w:rsidR="00377CFA">
        <w:t xml:space="preserve">Akvinský </w:t>
      </w:r>
      <w:r w:rsidR="08614C0C">
        <w:t xml:space="preserve">jde ještě dál a </w:t>
      </w:r>
      <w:r w:rsidR="00377CFA" w:rsidRPr="00273106">
        <w:t xml:space="preserve">nechá </w:t>
      </w:r>
      <w:r w:rsidR="00377CFA" w:rsidRPr="00273106">
        <w:rPr>
          <w:i/>
        </w:rPr>
        <w:t>intellectus possibilis</w:t>
      </w:r>
      <w:r w:rsidR="00377CFA" w:rsidRPr="00273106">
        <w:t xml:space="preserve"> </w:t>
      </w:r>
      <w:r w:rsidR="000C0A40">
        <w:t xml:space="preserve">již přímo fungovat v </w:t>
      </w:r>
      <w:r w:rsidR="001A199C">
        <w:t xml:space="preserve">avicennistické hierarchii a lidský </w:t>
      </w:r>
      <w:r w:rsidR="001A199C" w:rsidRPr="001A199C">
        <w:rPr>
          <w:i/>
        </w:rPr>
        <w:t>intellectus materialis</w:t>
      </w:r>
      <w:r w:rsidR="001A199C">
        <w:t xml:space="preserve"> nechá </w:t>
      </w:r>
      <w:r w:rsidR="00377CFA" w:rsidRPr="00273106">
        <w:t>individualizovat aktem individuální duše v těle</w:t>
      </w:r>
      <w:r w:rsidR="008C2E3D">
        <w:t>, která se</w:t>
      </w:r>
      <w:r w:rsidR="001A199C">
        <w:t xml:space="preserve"> chová jako hypostázovaná forma</w:t>
      </w:r>
      <w:r w:rsidR="00377CFA">
        <w:t xml:space="preserve">. </w:t>
      </w:r>
      <w:r w:rsidR="00330C6F" w:rsidRPr="00273106">
        <w:t xml:space="preserve">Tato ontoteologická struktura intelektu daná částečně podle Avicenny zajistí i nesmrtelnost duše. </w:t>
      </w:r>
      <w:r w:rsidR="00330C6F">
        <w:t xml:space="preserve">Tyto zbytky avicennismu </w:t>
      </w:r>
      <w:r w:rsidR="00BF285F">
        <w:t xml:space="preserve">má </w:t>
      </w:r>
      <w:r w:rsidR="08D114FC">
        <w:t>v různé míře</w:t>
      </w:r>
      <w:r w:rsidR="00A753FA">
        <w:t xml:space="preserve"> </w:t>
      </w:r>
      <w:r w:rsidR="00BF285F">
        <w:t>Albert</w:t>
      </w:r>
      <w:r w:rsidR="08D114FC">
        <w:t>, Bacon a Grosseteste</w:t>
      </w:r>
      <w:r w:rsidR="00BF285F">
        <w:t xml:space="preserve"> a </w:t>
      </w:r>
      <w:r w:rsidR="00330C6F">
        <w:t xml:space="preserve">převezme </w:t>
      </w:r>
      <w:r w:rsidR="00BF285F">
        <w:t xml:space="preserve">je i </w:t>
      </w:r>
      <w:r w:rsidR="00330C6F">
        <w:t xml:space="preserve">Akvinský do spisu </w:t>
      </w:r>
      <w:r w:rsidR="00330C6F" w:rsidRPr="00007338">
        <w:rPr>
          <w:i/>
        </w:rPr>
        <w:t>De unitate intellectus</w:t>
      </w:r>
      <w:r w:rsidR="08D114FC">
        <w:t xml:space="preserve">. Tento semiaverroismus </w:t>
      </w:r>
      <w:r w:rsidR="08CA24B4">
        <w:t xml:space="preserve">Alberta a Akvinského </w:t>
      </w:r>
      <w:r w:rsidR="00330C6F">
        <w:lastRenderedPageBreak/>
        <w:t>odmítne Siger přesným rozborem CMDA</w:t>
      </w:r>
      <w:r w:rsidR="08D114FC">
        <w:t xml:space="preserve">, kdy od sebe jasně odliší </w:t>
      </w:r>
      <w:r w:rsidR="08CD1A2E">
        <w:t xml:space="preserve">rodově odlišné </w:t>
      </w:r>
      <w:r w:rsidR="08D114FC">
        <w:t>možnosti poznání filosofie a teologie</w:t>
      </w:r>
      <w:r w:rsidR="08CD1A2E">
        <w:t xml:space="preserve"> ohledně nesmrteln</w:t>
      </w:r>
      <w:r w:rsidR="08D114FC">
        <w:t>o</w:t>
      </w:r>
      <w:r w:rsidR="08CD1A2E">
        <w:t>s</w:t>
      </w:r>
      <w:r w:rsidR="08D114FC">
        <w:t>ti duše</w:t>
      </w:r>
      <w:r w:rsidR="00330C6F">
        <w:t xml:space="preserve">. </w:t>
      </w:r>
      <w:r w:rsidR="08CD1A2E">
        <w:t xml:space="preserve">Siger odmítne </w:t>
      </w:r>
      <w:r w:rsidR="00731E73">
        <w:t xml:space="preserve">definici intelektu </w:t>
      </w:r>
      <w:r w:rsidR="08CD1A2E">
        <w:t xml:space="preserve">Alberta i Akvinského </w:t>
      </w:r>
      <w:r w:rsidR="00731E73">
        <w:t>jako částečné hypostáze (</w:t>
      </w:r>
      <w:r w:rsidR="00731E73" w:rsidRPr="00731E73">
        <w:rPr>
          <w:i/>
        </w:rPr>
        <w:t>intellectus</w:t>
      </w:r>
      <w:r w:rsidR="00731E73">
        <w:t xml:space="preserve"> </w:t>
      </w:r>
      <w:r w:rsidR="00731E73" w:rsidRPr="001376CC">
        <w:rPr>
          <w:i/>
        </w:rPr>
        <w:t>quo intelligit</w:t>
      </w:r>
      <w:r w:rsidR="00731E73">
        <w:rPr>
          <w:i/>
        </w:rPr>
        <w:fldChar w:fldCharType="begin"/>
      </w:r>
      <w:r w:rsidR="00731E73">
        <w:instrText xml:space="preserve"> XE "</w:instrText>
      </w:r>
      <w:r w:rsidR="00731E73" w:rsidRPr="00E6720B">
        <w:instrText>intelekt:hypostáze</w:instrText>
      </w:r>
      <w:r w:rsidR="00731E73">
        <w:instrText xml:space="preserve">" </w:instrText>
      </w:r>
      <w:r w:rsidR="00731E73">
        <w:rPr>
          <w:i/>
        </w:rPr>
        <w:fldChar w:fldCharType="end"/>
      </w:r>
      <w:r w:rsidR="00731E73">
        <w:t>)</w:t>
      </w:r>
      <w:r w:rsidR="08E83608">
        <w:t xml:space="preserve"> a navrhne </w:t>
      </w:r>
      <w:r w:rsidR="00937BCC" w:rsidRPr="00273106">
        <w:t xml:space="preserve">jinou možnost </w:t>
      </w:r>
      <w:r w:rsidR="08E83608">
        <w:t xml:space="preserve">výkonu </w:t>
      </w:r>
      <w:r w:rsidR="00937BCC" w:rsidRPr="00273106">
        <w:t>intelektu</w:t>
      </w:r>
      <w:r w:rsidR="00C73932">
        <w:t xml:space="preserve"> v </w:t>
      </w:r>
      <w:r w:rsidR="00791AC6">
        <w:t xml:space="preserve">existenciálním </w:t>
      </w:r>
      <w:r w:rsidR="004A3E5D">
        <w:t xml:space="preserve">modu </w:t>
      </w:r>
      <w:r w:rsidR="006E7E70">
        <w:rPr>
          <w:i/>
        </w:rPr>
        <w:t>homo ipse intelligit</w:t>
      </w:r>
      <w:r w:rsidR="006E7E70">
        <w:rPr>
          <w:i/>
        </w:rPr>
        <w:fldChar w:fldCharType="begin"/>
      </w:r>
      <w:r w:rsidR="006E7E70">
        <w:instrText xml:space="preserve"> XE "</w:instrText>
      </w:r>
      <w:r w:rsidR="006E7E70" w:rsidRPr="00B935DC">
        <w:rPr>
          <w:rStyle w:val="Zkladntext350"/>
        </w:rPr>
        <w:instrText>osoba</w:instrText>
      </w:r>
      <w:r w:rsidR="006E7E70" w:rsidRPr="00B935DC">
        <w:rPr>
          <w:rStyle w:val="Zkladntext350"/>
          <w:i/>
        </w:rPr>
        <w:instrText>:</w:instrText>
      </w:r>
      <w:r w:rsidR="006E7E70">
        <w:rPr>
          <w:rStyle w:val="Zkladntext350"/>
          <w:i/>
        </w:rPr>
        <w:instrText>homo ipse intelligit</w:instrText>
      </w:r>
      <w:r w:rsidR="006E7E70">
        <w:instrText xml:space="preserve">" </w:instrText>
      </w:r>
      <w:r w:rsidR="006E7E70">
        <w:rPr>
          <w:i/>
        </w:rPr>
        <w:fldChar w:fldCharType="end"/>
      </w:r>
      <w:r w:rsidR="00937BCC" w:rsidRPr="00273106">
        <w:t>. Ale tyto spory již běží uvnitř pr</w:t>
      </w:r>
      <w:r w:rsidR="08B55BB7">
        <w:t>vního averroismu, který má substanční jednotu</w:t>
      </w:r>
      <w:r w:rsidR="00937BCC" w:rsidRPr="00273106">
        <w:t xml:space="preserve"> osoby</w:t>
      </w:r>
      <w:r w:rsidR="08B55BB7">
        <w:t xml:space="preserve"> a řeší </w:t>
      </w:r>
      <w:r w:rsidR="085A76B4">
        <w:t xml:space="preserve">nemateriální </w:t>
      </w:r>
      <w:r w:rsidR="00740B60">
        <w:t xml:space="preserve">status </w:t>
      </w:r>
      <w:r w:rsidR="00740B60" w:rsidRPr="00740B60">
        <w:rPr>
          <w:i/>
        </w:rPr>
        <w:t>anima intellectiva</w:t>
      </w:r>
      <w:r w:rsidR="080D45F7">
        <w:t xml:space="preserve"> podle primátu teologie nebo filosofie.</w:t>
      </w:r>
      <w:r w:rsidR="00937BCC" w:rsidRPr="00273106">
        <w:t xml:space="preserve"> </w:t>
      </w:r>
      <w:r w:rsidR="009A299F" w:rsidRPr="00273106">
        <w:t>Albertův t</w:t>
      </w:r>
      <w:r w:rsidR="00683300" w:rsidRPr="00273106">
        <w:t xml:space="preserve">raktát </w:t>
      </w:r>
      <w:r w:rsidR="00424861" w:rsidRPr="00273106">
        <w:t xml:space="preserve">o jednotě intelektu </w:t>
      </w:r>
      <w:r w:rsidR="005D2F46" w:rsidRPr="00273106">
        <w:t>hájí individualizovaný akt myšlení</w:t>
      </w:r>
      <w:r w:rsidR="00683300" w:rsidRPr="00273106">
        <w:t xml:space="preserve"> a </w:t>
      </w:r>
      <w:r w:rsidR="00221596" w:rsidRPr="00273106">
        <w:t xml:space="preserve">po vzoru Alverna odděluje nauku arabských filosofů od výjimečného </w:t>
      </w:r>
      <w:r w:rsidR="002E3B62">
        <w:t>Averroes</w:t>
      </w:r>
      <w:r w:rsidR="00221596" w:rsidRPr="00273106">
        <w:t>e (</w:t>
      </w:r>
      <w:r w:rsidR="00221596" w:rsidRPr="00273106">
        <w:rPr>
          <w:i/>
        </w:rPr>
        <w:t>philosophus nobilissimus</w:t>
      </w:r>
      <w:r w:rsidR="081F4E08">
        <w:t xml:space="preserve"> pro Alverna, kap. 2</w:t>
      </w:r>
      <w:r w:rsidR="00206F91" w:rsidRPr="00273106">
        <w:t xml:space="preserve">.3). Albert stejně jako Alvernus </w:t>
      </w:r>
      <w:r w:rsidR="00221596" w:rsidRPr="00273106">
        <w:t>zdůraznuje nebezpečnost nauky modernistů pro křesťanskou teologii</w:t>
      </w:r>
      <w:r w:rsidR="00662676">
        <w:t xml:space="preserve"> kvůli ne</w:t>
      </w:r>
      <w:r w:rsidR="00221596" w:rsidRPr="00273106">
        <w:t>správně pochopen</w:t>
      </w:r>
      <w:r w:rsidR="00662676">
        <w:t xml:space="preserve">ému </w:t>
      </w:r>
      <w:r w:rsidR="00221596" w:rsidRPr="00273106">
        <w:t xml:space="preserve">intelektu </w:t>
      </w:r>
      <w:r w:rsidR="00662676">
        <w:t xml:space="preserve">definovaném </w:t>
      </w:r>
      <w:r w:rsidR="00C3029E">
        <w:t>jako hypostatická forma</w:t>
      </w:r>
      <w:r w:rsidR="00221596" w:rsidRPr="00273106">
        <w:t xml:space="preserve">. </w:t>
      </w:r>
      <w:r w:rsidR="0051289B">
        <w:t>Tato forma intelektu byla převzata</w:t>
      </w:r>
      <w:r w:rsidR="00221596" w:rsidRPr="00273106">
        <w:t xml:space="preserve"> od arabských myslitelů</w:t>
      </w:r>
      <w:r w:rsidR="008E1CA0" w:rsidRPr="00273106">
        <w:t xml:space="preserve"> podle </w:t>
      </w:r>
      <w:r w:rsidR="00874074">
        <w:t>neoplatonsk</w:t>
      </w:r>
      <w:r w:rsidR="008E1CA0" w:rsidRPr="00273106">
        <w:t xml:space="preserve">ého scénáře knihy </w:t>
      </w:r>
      <w:r w:rsidR="008E1CA0" w:rsidRPr="00273106">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221596" w:rsidRPr="00273106">
        <w:t>.</w:t>
      </w:r>
    </w:p>
    <w:p w14:paraId="2735972A" w14:textId="289E2F25" w:rsidR="008E1CA0" w:rsidRPr="00273106" w:rsidRDefault="00221596" w:rsidP="00C16F7A">
      <w:pPr>
        <w:pStyle w:val="Citace"/>
        <w:rPr>
          <w:noProof/>
          <w:lang w:val="cs-CZ"/>
        </w:rPr>
      </w:pPr>
      <w:r w:rsidRPr="00273106">
        <w:rPr>
          <w:noProof/>
          <w:lang w:val="cs-CZ"/>
        </w:rPr>
        <w:t>„</w:t>
      </w:r>
      <w:r w:rsidR="00E508BC" w:rsidRPr="00273106">
        <w:rPr>
          <w:noProof/>
          <w:lang w:val="cs-CZ"/>
        </w:rPr>
        <w:t>Neustále tvrdí, že inteli</w:t>
      </w:r>
      <w:r w:rsidR="00C901B0">
        <w:rPr>
          <w:noProof/>
          <w:lang w:val="cs-CZ"/>
        </w:rPr>
        <w:t>gence nebo intelekt dávají</w:t>
      </w:r>
      <w:r w:rsidR="008E1CA0" w:rsidRPr="00273106">
        <w:rPr>
          <w:noProof/>
          <w:lang w:val="cs-CZ"/>
        </w:rPr>
        <w:t xml:space="preserve"> formy, protože intelekt je prvním zdrojem forem. (...) A používají k tomu tento argument: čím je kauza daná působením forem na úrovni jejich formální </w:t>
      </w:r>
      <w:r w:rsidR="003C7489">
        <w:rPr>
          <w:noProof/>
          <w:lang w:val="cs-CZ"/>
        </w:rPr>
        <w:t xml:space="preserve">vyšší </w:t>
      </w:r>
      <w:r w:rsidR="008E1CA0" w:rsidRPr="00273106">
        <w:rPr>
          <w:noProof/>
          <w:lang w:val="cs-CZ"/>
        </w:rPr>
        <w:t>existence, to je také kauzou na úrovni existence nižších forem. Prý totiž bytí formy, nakolik je formou, nemůže být jiné než indivi</w:t>
      </w:r>
      <w:r w:rsidR="00C16F7A" w:rsidRPr="00273106">
        <w:rPr>
          <w:noProof/>
          <w:lang w:val="cs-CZ"/>
        </w:rPr>
        <w:t xml:space="preserve">duální; nižší formální kauzy </w:t>
      </w:r>
      <w:r w:rsidR="0040692E" w:rsidRPr="00273106">
        <w:rPr>
          <w:noProof/>
          <w:lang w:val="cs-CZ"/>
        </w:rPr>
        <w:t xml:space="preserve">pak </w:t>
      </w:r>
      <w:r w:rsidR="008E1CA0" w:rsidRPr="00273106">
        <w:rPr>
          <w:noProof/>
          <w:lang w:val="cs-CZ"/>
        </w:rPr>
        <w:t>přijímají</w:t>
      </w:r>
      <w:r w:rsidR="00C16F7A" w:rsidRPr="00273106">
        <w:rPr>
          <w:noProof/>
          <w:lang w:val="cs-CZ"/>
        </w:rPr>
        <w:t xml:space="preserve"> kauzalitu </w:t>
      </w:r>
      <w:r w:rsidR="0040692E" w:rsidRPr="00273106">
        <w:rPr>
          <w:noProof/>
          <w:lang w:val="cs-CZ"/>
        </w:rPr>
        <w:t xml:space="preserve">od </w:t>
      </w:r>
      <w:r w:rsidR="00C16F7A" w:rsidRPr="00273106">
        <w:rPr>
          <w:noProof/>
          <w:lang w:val="cs-CZ"/>
        </w:rPr>
        <w:t>forem vyššího řádu (</w:t>
      </w:r>
      <w:r w:rsidR="00C16F7A" w:rsidRPr="00273106">
        <w:rPr>
          <w:i/>
          <w:noProof/>
          <w:lang w:val="cs-CZ"/>
        </w:rPr>
        <w:t>reducuntur causae in suas causas passivas</w:t>
      </w:r>
      <w:r w:rsidR="00C16F7A" w:rsidRPr="00273106">
        <w:rPr>
          <w:noProof/>
          <w:lang w:val="cs-CZ"/>
        </w:rPr>
        <w:t>)</w:t>
      </w:r>
      <w:r w:rsidR="008E1CA0" w:rsidRPr="00273106">
        <w:rPr>
          <w:noProof/>
          <w:lang w:val="cs-CZ"/>
        </w:rPr>
        <w:t>.</w:t>
      </w:r>
      <w:r w:rsidR="0011312B">
        <w:rPr>
          <w:noProof/>
          <w:lang w:val="cs-CZ"/>
        </w:rPr>
        <w:t>“ </w:t>
      </w:r>
      <w:r w:rsidR="008E1CA0" w:rsidRPr="00273106">
        <w:rPr>
          <w:rStyle w:val="Znakapoznpodarou"/>
          <w:noProof/>
          <w:lang w:val="cs-CZ"/>
        </w:rPr>
        <w:footnoteReference w:id="268"/>
      </w:r>
    </w:p>
    <w:p w14:paraId="4DF4EDE4" w14:textId="0A221787" w:rsidR="000D2D3A" w:rsidRPr="00273106" w:rsidRDefault="081E3E15" w:rsidP="000D2D3A">
      <w:r>
        <w:t>Druhý a</w:t>
      </w:r>
      <w:r w:rsidR="00221596" w:rsidRPr="00273106">
        <w:t xml:space="preserve">verroismus </w:t>
      </w:r>
      <w:r w:rsidR="007A7E2B">
        <w:t xml:space="preserve">měl </w:t>
      </w:r>
      <w:r w:rsidR="00BF15E2">
        <w:t>hypostázovaný</w:t>
      </w:r>
      <w:r w:rsidR="00343D37" w:rsidRPr="00273106">
        <w:t xml:space="preserve"> </w:t>
      </w:r>
      <w:r w:rsidR="00343D37"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292841">
        <w:instrText>averroismus</w:instrText>
      </w:r>
      <w:r w:rsidR="00DF1F0F">
        <w:instrText xml:space="preserve">" </w:instrText>
      </w:r>
      <w:r w:rsidR="00DF1F0F">
        <w:rPr>
          <w:i/>
        </w:rPr>
        <w:fldChar w:fldCharType="end"/>
      </w:r>
      <w:r w:rsidR="00221596" w:rsidRPr="00273106">
        <w:t xml:space="preserve">, který </w:t>
      </w:r>
      <w:r w:rsidR="009D30BD">
        <w:t xml:space="preserve">kauzálně </w:t>
      </w:r>
      <w:r w:rsidR="007A7E2B">
        <w:t xml:space="preserve">zakládal poznání </w:t>
      </w:r>
      <w:r w:rsidR="009D30BD">
        <w:t xml:space="preserve">skrze </w:t>
      </w:r>
      <w:r w:rsidR="081337A7">
        <w:t xml:space="preserve">objektivní </w:t>
      </w:r>
      <w:r w:rsidR="081F5384">
        <w:t xml:space="preserve">bytí </w:t>
      </w:r>
      <w:r w:rsidR="009D30BD">
        <w:t>kognitivních forem</w:t>
      </w:r>
      <w:r w:rsidR="081337A7">
        <w:t xml:space="preserve"> </w:t>
      </w:r>
      <w:r w:rsidR="00C616AE">
        <w:t xml:space="preserve">v duši </w:t>
      </w:r>
      <w:r w:rsidR="00221596" w:rsidRPr="00273106">
        <w:t>(</w:t>
      </w:r>
      <w:r w:rsidR="00221596" w:rsidRPr="00273106">
        <w:rPr>
          <w:i/>
        </w:rPr>
        <w:t>est causa formarum in esse formali</w:t>
      </w:r>
      <w:r w:rsidR="00FC6DD9" w:rsidRPr="00273106">
        <w:t xml:space="preserve">). </w:t>
      </w:r>
      <w:r w:rsidR="081F561C" w:rsidRPr="00273106">
        <w:t>Protože forma má univoční charakter, je její kauzální působení také univoční.</w:t>
      </w:r>
      <w:r w:rsidR="081F561C" w:rsidRPr="00273106">
        <w:rPr>
          <w:rStyle w:val="Znakapoznpodarou"/>
        </w:rPr>
        <w:footnoteReference w:id="269"/>
      </w:r>
      <w:r w:rsidR="081F561C" w:rsidRPr="00273106">
        <w:t xml:space="preserve"> </w:t>
      </w:r>
      <w:r w:rsidR="081F561C">
        <w:t xml:space="preserve">Vyšší </w:t>
      </w:r>
      <w:r w:rsidR="007D7E31">
        <w:t xml:space="preserve">nemateriální </w:t>
      </w:r>
      <w:r w:rsidR="081F561C">
        <w:t>forma díky své aktualitě vyvádí</w:t>
      </w:r>
      <w:r w:rsidR="081F561C" w:rsidRPr="00273106">
        <w:t xml:space="preserve"> nižší formy i do kauzality dané</w:t>
      </w:r>
      <w:r w:rsidR="081F561C">
        <w:t xml:space="preserve"> </w:t>
      </w:r>
      <w:r w:rsidR="081F561C" w:rsidRPr="00273106">
        <w:t>hylemorficky (</w:t>
      </w:r>
      <w:r w:rsidR="081F561C" w:rsidRPr="00273106">
        <w:rPr>
          <w:i/>
        </w:rPr>
        <w:t>reducuntur causae in suas causas passivas</w:t>
      </w:r>
      <w:r w:rsidR="081F561C" w:rsidRPr="00273106">
        <w:t xml:space="preserve">). </w:t>
      </w:r>
      <w:r w:rsidR="081F561C">
        <w:t xml:space="preserve">Tato </w:t>
      </w:r>
      <w:r w:rsidR="007D7E31">
        <w:t>„</w:t>
      </w:r>
      <w:r w:rsidR="081F561C">
        <w:t>redukce</w:t>
      </w:r>
      <w:r w:rsidR="007D7E31">
        <w:t>“</w:t>
      </w:r>
      <w:r w:rsidR="081F561C">
        <w:t xml:space="preserve"> aktivní hypostázované formy na její kontigentní výskyt v pasivní materii zásadně určila </w:t>
      </w:r>
      <w:r w:rsidR="00EC118A">
        <w:t>moderní metafyziku</w:t>
      </w:r>
      <w:r w:rsidR="081F561C">
        <w:t xml:space="preserve">. </w:t>
      </w:r>
      <w:r w:rsidR="001D6F8D">
        <w:t>Albert asi naráží na R</w:t>
      </w:r>
      <w:r w:rsidR="081F561C" w:rsidRPr="00273106">
        <w:t xml:space="preserve">ufusovo pojetí </w:t>
      </w:r>
      <w:r w:rsidR="081F561C">
        <w:t xml:space="preserve">objektivní </w:t>
      </w:r>
      <w:r w:rsidR="081F561C" w:rsidRPr="00273106">
        <w:t xml:space="preserve">existence </w:t>
      </w:r>
      <w:r w:rsidR="001D6F8D">
        <w:t>(</w:t>
      </w:r>
      <w:r w:rsidR="001D6F8D" w:rsidRPr="00273106">
        <w:rPr>
          <w:i/>
        </w:rPr>
        <w:t>exsistere</w:t>
      </w:r>
      <w:r w:rsidR="001D6F8D">
        <w:t>). To je dané na úrovni kauzálně působící formy</w:t>
      </w:r>
      <w:r w:rsidR="081F561C">
        <w:rPr>
          <w:i/>
        </w:rPr>
        <w:fldChar w:fldCharType="begin"/>
      </w:r>
      <w:r w:rsidR="081F561C">
        <w:instrText xml:space="preserve"> XE "</w:instrText>
      </w:r>
      <w:r w:rsidR="081F561C" w:rsidRPr="008E07A9">
        <w:rPr>
          <w:i/>
        </w:rPr>
        <w:instrText>exsistere</w:instrText>
      </w:r>
      <w:r w:rsidR="081F561C">
        <w:instrText xml:space="preserve">" </w:instrText>
      </w:r>
      <w:r w:rsidR="081F561C">
        <w:rPr>
          <w:i/>
        </w:rPr>
        <w:fldChar w:fldCharType="end"/>
      </w:r>
      <w:r w:rsidR="001D6F8D">
        <w:t xml:space="preserve"> podle neoplatonského scénáře daného jako </w:t>
      </w:r>
      <w:r w:rsidR="081F561C">
        <w:t xml:space="preserve">moderní </w:t>
      </w:r>
      <w:r w:rsidR="081F561C" w:rsidRPr="00273106">
        <w:rPr>
          <w:i/>
        </w:rPr>
        <w:t>resolutio</w:t>
      </w:r>
      <w:r w:rsidR="081F561C">
        <w:rPr>
          <w:i/>
        </w:rPr>
        <w:fldChar w:fldCharType="begin"/>
      </w:r>
      <w:r w:rsidR="081F561C">
        <w:instrText xml:space="preserve"> XE "</w:instrText>
      </w:r>
      <w:r w:rsidR="081F561C" w:rsidRPr="00111E9E">
        <w:rPr>
          <w:i/>
        </w:rPr>
        <w:instrText>resolutio</w:instrText>
      </w:r>
      <w:r w:rsidR="081F561C">
        <w:rPr>
          <w:i/>
        </w:rPr>
        <w:instrText>:</w:instrText>
      </w:r>
      <w:r w:rsidR="081F561C" w:rsidRPr="007D3515">
        <w:instrText>moderna</w:instrText>
      </w:r>
      <w:r w:rsidR="081F561C">
        <w:instrText xml:space="preserve">" </w:instrText>
      </w:r>
      <w:r w:rsidR="081F561C">
        <w:rPr>
          <w:i/>
        </w:rPr>
        <w:fldChar w:fldCharType="end"/>
      </w:r>
      <w:r w:rsidR="081F561C" w:rsidRPr="00273106">
        <w:t xml:space="preserve"> </w:t>
      </w:r>
      <w:r w:rsidR="001D6F8D">
        <w:t xml:space="preserve">od </w:t>
      </w:r>
      <w:r w:rsidR="081F561C" w:rsidRPr="00273106">
        <w:t>vyšších forem do nižších</w:t>
      </w:r>
      <w:r w:rsidR="08552B71">
        <w:t xml:space="preserve"> (kap. 3</w:t>
      </w:r>
      <w:r w:rsidR="081F561C">
        <w:t>.3.2)</w:t>
      </w:r>
      <w:r w:rsidR="081F561C" w:rsidRPr="00273106">
        <w:t xml:space="preserve">. </w:t>
      </w:r>
      <w:r w:rsidR="00174879" w:rsidRPr="00174879">
        <w:lastRenderedPageBreak/>
        <w:t>Latiníci redukují existenci první substance na mentální konstrukt. Do procesu poznání vkládají věčně dané for</w:t>
      </w:r>
      <w:r w:rsidR="00174879">
        <w:t xml:space="preserve">my prostřednictvím porretánského </w:t>
      </w:r>
      <w:r w:rsidR="00174879" w:rsidRPr="00174879">
        <w:t xml:space="preserve">aktu </w:t>
      </w:r>
      <w:r w:rsidR="00174879">
        <w:t>„</w:t>
      </w:r>
      <w:r w:rsidR="00174879" w:rsidRPr="00174879">
        <w:rPr>
          <w:i/>
        </w:rPr>
        <w:t>exsistere</w:t>
      </w:r>
      <w:r w:rsidR="00174879">
        <w:t>“</w:t>
      </w:r>
      <w:r w:rsidR="00174879" w:rsidRPr="00174879">
        <w:t xml:space="preserve">. Trvalá </w:t>
      </w:r>
      <w:r w:rsidR="00174879">
        <w:t xml:space="preserve">esence </w:t>
      </w:r>
      <w:r w:rsidR="00174879" w:rsidRPr="00174879">
        <w:t>utváří kontingentní mat</w:t>
      </w:r>
      <w:r w:rsidR="00174879">
        <w:t>eriální realitu, kde vytváří „exsistující“</w:t>
      </w:r>
      <w:r w:rsidR="00174879" w:rsidRPr="00174879">
        <w:t xml:space="preserve"> </w:t>
      </w:r>
      <w:r w:rsidR="00174879" w:rsidRPr="00174879">
        <w:rPr>
          <w:i/>
        </w:rPr>
        <w:t>individuum</w:t>
      </w:r>
      <w:r w:rsidR="00174879" w:rsidRPr="00174879">
        <w:t xml:space="preserve"> třetího druhu.</w:t>
      </w:r>
      <w:r w:rsidR="00174879">
        <w:t xml:space="preserve"> </w:t>
      </w:r>
      <w:r w:rsidR="08330CAD">
        <w:t xml:space="preserve">Citát definuje novou formu objektivity v termínu </w:t>
      </w:r>
      <w:r w:rsidR="001D6F8D">
        <w:t>„</w:t>
      </w:r>
      <w:r w:rsidR="08330CAD">
        <w:rPr>
          <w:i/>
        </w:rPr>
        <w:t>esse formale</w:t>
      </w:r>
      <w:r w:rsidR="001D6F8D">
        <w:t>“</w:t>
      </w:r>
      <w:r w:rsidR="009348CE">
        <w:t>, jeho</w:t>
      </w:r>
      <w:r w:rsidR="08330CAD">
        <w:t>ž původ analyzujeme u Rufuse (</w:t>
      </w:r>
      <w:r w:rsidR="004B4D52" w:rsidRPr="00C82BA2">
        <w:rPr>
          <w:i/>
        </w:rPr>
        <w:t>species</w:t>
      </w:r>
      <w:r w:rsidR="08330CAD">
        <w:rPr>
          <w:i/>
        </w:rPr>
        <w:t xml:space="preserve"> obiecti exsistentis</w:t>
      </w:r>
      <w:r w:rsidR="08043CCA">
        <w:t>, kap. 3</w:t>
      </w:r>
      <w:r w:rsidR="08330CAD">
        <w:t xml:space="preserve">.3.4). </w:t>
      </w:r>
      <w:r w:rsidR="081337A7">
        <w:t>P</w:t>
      </w:r>
      <w:r w:rsidR="08CC0F14">
        <w:t xml:space="preserve">řipomeňme, že první averroismus má </w:t>
      </w:r>
      <w:r w:rsidR="08B677F1">
        <w:t xml:space="preserve">proces abstrakce </w:t>
      </w:r>
      <w:r w:rsidR="08A31F58">
        <w:t>a bytí abstrahované formy je dáno pouze v mysli. Proto nemůže přijmout filosofickou pohádku o mytopoetickém</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B677F1">
        <w:t xml:space="preserve"> </w:t>
      </w:r>
      <w:r w:rsidR="08CC0F14">
        <w:t>sestup</w:t>
      </w:r>
      <w:r w:rsidR="08A31F58">
        <w:t>u</w:t>
      </w:r>
      <w:r w:rsidR="08CC0F14">
        <w:t xml:space="preserve"> hypostázovaných forem </w:t>
      </w:r>
      <w:r w:rsidR="08B677F1">
        <w:t xml:space="preserve">do světa </w:t>
      </w:r>
      <w:r w:rsidR="08CC0F14">
        <w:t>a</w:t>
      </w:r>
      <w:r w:rsidR="08A31F58">
        <w:t xml:space="preserve"> do mysli </w:t>
      </w:r>
      <w:r w:rsidR="081F561C">
        <w:t xml:space="preserve">moderních </w:t>
      </w:r>
      <w:r w:rsidR="08A31F58">
        <w:t>iluminátů</w:t>
      </w:r>
      <w:r w:rsidR="08CC0F14">
        <w:t xml:space="preserve">. </w:t>
      </w:r>
      <w:r w:rsidR="08915A16">
        <w:t xml:space="preserve">V prvním averroismu nemůže </w:t>
      </w:r>
      <w:r w:rsidR="003E33C2">
        <w:t xml:space="preserve">existovat </w:t>
      </w:r>
      <w:r w:rsidR="08915A16">
        <w:t>individuum</w:t>
      </w:r>
      <w:r w:rsidR="003E33C2">
        <w:t xml:space="preserve"> jko jsoucno třetího druhu</w:t>
      </w:r>
      <w:r w:rsidR="00E81660">
        <w:t>. Iluminát</w:t>
      </w:r>
      <w:r w:rsidR="004A50AE">
        <w:t>i</w:t>
      </w:r>
      <w:r w:rsidR="00E81660">
        <w:t xml:space="preserve"> si </w:t>
      </w:r>
      <w:r w:rsidR="081E48E1">
        <w:t>v mysli vytvořil</w:t>
      </w:r>
      <w:r w:rsidR="004A50AE">
        <w:t>i</w:t>
      </w:r>
      <w:r w:rsidR="00E81660">
        <w:t xml:space="preserve"> objektivní diakosmos v </w:t>
      </w:r>
      <w:r w:rsidR="002C2D0D">
        <w:t xml:space="preserve">modu pravdy jako </w:t>
      </w:r>
      <w:r w:rsidR="002C2D0D" w:rsidRPr="002C2D0D">
        <w:rPr>
          <w:i/>
        </w:rPr>
        <w:t>rectitudo</w:t>
      </w:r>
      <w:r w:rsidR="002C2D0D">
        <w:t xml:space="preserve"> a </w:t>
      </w:r>
      <w:r w:rsidR="002C2D0D" w:rsidRPr="002C2D0D">
        <w:rPr>
          <w:i/>
        </w:rPr>
        <w:t>certitudo</w:t>
      </w:r>
      <w:r w:rsidR="002C2D0D">
        <w:t xml:space="preserve">. </w:t>
      </w:r>
      <w:r w:rsidR="0085168B">
        <w:t xml:space="preserve">Po sedmi stoletích uražených na cestě </w:t>
      </w:r>
      <w:r w:rsidR="004A35B3">
        <w:t xml:space="preserve">moderny a postmoderny </w:t>
      </w:r>
      <w:r w:rsidR="085D689C">
        <w:t xml:space="preserve">se zdá </w:t>
      </w:r>
      <w:r w:rsidR="0085168B">
        <w:t xml:space="preserve">tento metafyzický </w:t>
      </w:r>
      <w:r w:rsidR="0085168B" w:rsidRPr="0085168B">
        <w:rPr>
          <w:i/>
        </w:rPr>
        <w:t>Irrtum</w:t>
      </w:r>
      <w:r w:rsidR="0085168B">
        <w:t xml:space="preserve"> </w:t>
      </w:r>
      <w:r w:rsidR="08E86277">
        <w:t xml:space="preserve">už </w:t>
      </w:r>
      <w:r w:rsidR="008E437D">
        <w:t xml:space="preserve">úplně </w:t>
      </w:r>
      <w:r w:rsidR="0085168B">
        <w:t xml:space="preserve">normální. </w:t>
      </w:r>
      <w:r w:rsidR="007B430E">
        <w:t>S</w:t>
      </w:r>
      <w:r w:rsidR="007B44FF" w:rsidRPr="00273106">
        <w:t xml:space="preserve">chéma poznání </w:t>
      </w:r>
      <w:r w:rsidR="009C49E1">
        <w:t xml:space="preserve">„šílených“ (Bacon) či „směšných“ (Albert) modernistů </w:t>
      </w:r>
      <w:r w:rsidR="007B44FF" w:rsidRPr="00273106">
        <w:t>je založen</w:t>
      </w:r>
      <w:r w:rsidR="00BB34BE">
        <w:t xml:space="preserve">o na emanačním schématu Avicennova kosmického </w:t>
      </w:r>
      <w:r w:rsidR="00BB34BE" w:rsidRPr="00BB34BE">
        <w:rPr>
          <w:i/>
        </w:rPr>
        <w:t>intellectus agens</w:t>
      </w:r>
      <w:r w:rsidR="007B44FF" w:rsidRPr="00273106">
        <w:t xml:space="preserve">. </w:t>
      </w:r>
      <w:r w:rsidR="00F76D61">
        <w:t>M</w:t>
      </w:r>
      <w:r w:rsidR="00343D37" w:rsidRPr="00273106">
        <w:t>oderní vyvádění for</w:t>
      </w:r>
      <w:r w:rsidR="003376A0" w:rsidRPr="00273106">
        <w:t xml:space="preserve">em </w:t>
      </w:r>
      <w:r w:rsidR="00F76D61">
        <w:t xml:space="preserve">determinuje </w:t>
      </w:r>
      <w:r w:rsidR="00343D37" w:rsidRPr="00273106">
        <w:t>demiurgický pří</w:t>
      </w:r>
      <w:r w:rsidR="00246C38" w:rsidRPr="00273106">
        <w:t>stup k</w:t>
      </w:r>
      <w:r w:rsidR="00343D37" w:rsidRPr="00273106">
        <w:t xml:space="preserve"> realitě</w:t>
      </w:r>
      <w:r w:rsidR="08EA3A92">
        <w:t xml:space="preserve"> podle predikace </w:t>
      </w:r>
      <w:r w:rsidR="00733BA3" w:rsidRPr="00733BA3">
        <w:rPr>
          <w:i/>
        </w:rPr>
        <w:t>in ar</w:t>
      </w:r>
      <w:r w:rsidR="00733BA3">
        <w:rPr>
          <w:i/>
        </w:rPr>
        <w:t>ti</w:t>
      </w:r>
      <w:r w:rsidR="00733BA3" w:rsidRPr="00733BA3">
        <w:rPr>
          <w:i/>
        </w:rPr>
        <w:t>ficialibus</w:t>
      </w:r>
      <w:r w:rsidR="00432AB1">
        <w:t>. N</w:t>
      </w:r>
      <w:r w:rsidR="00874074">
        <w:t>eoplatonsk</w:t>
      </w:r>
      <w:r w:rsidR="00343D37" w:rsidRPr="00273106">
        <w:t xml:space="preserve">é poznání na základě účinné formální kauzality </w:t>
      </w:r>
      <w:r w:rsidR="002F309F">
        <w:t xml:space="preserve">platí </w:t>
      </w:r>
      <w:r w:rsidR="00343D37" w:rsidRPr="00273106">
        <w:t xml:space="preserve">podle Alberta jen </w:t>
      </w:r>
      <w:r w:rsidR="00432AB1">
        <w:t xml:space="preserve">pro </w:t>
      </w:r>
      <w:r w:rsidR="003376A0" w:rsidRPr="00273106">
        <w:t xml:space="preserve">jeden, a to </w:t>
      </w:r>
      <w:r w:rsidR="00343D37" w:rsidRPr="00273106">
        <w:t>velmi specifický způsob poznání daný řemeslnou tvorbou (</w:t>
      </w:r>
      <w:r w:rsidR="00343D37" w:rsidRPr="00273106">
        <w:rPr>
          <w:i/>
        </w:rPr>
        <w:t>hoc enim videmus intelligendo et in operando per artem</w:t>
      </w:r>
      <w:r w:rsidR="008E3E03" w:rsidRPr="00273106">
        <w:t>;</w:t>
      </w:r>
      <w:r w:rsidR="00343D37" w:rsidRPr="00273106">
        <w:t xml:space="preserve"> ibid</w:t>
      </w:r>
      <w:r w:rsidR="008E3E03" w:rsidRPr="00273106">
        <w:t>, p. 439b</w:t>
      </w:r>
      <w:r w:rsidR="00654280">
        <w:fldChar w:fldCharType="begin"/>
      </w:r>
      <w:r w:rsidR="00654280">
        <w:instrText xml:space="preserve"> XE "Albert:</w:instrText>
      </w:r>
      <w:r w:rsidR="00654280" w:rsidRPr="00AC7D26">
        <w:rPr>
          <w:i/>
        </w:rPr>
        <w:instrText>De unitate intellectus</w:instrText>
      </w:r>
      <w:r w:rsidR="00654280" w:rsidRPr="00AC7D26">
        <w:instrText xml:space="preserve"> 439b</w:instrText>
      </w:r>
      <w:r w:rsidR="00654280">
        <w:instrText xml:space="preserve">" </w:instrText>
      </w:r>
      <w:r w:rsidR="00654280">
        <w:fldChar w:fldCharType="end"/>
      </w:r>
      <w:r w:rsidR="00343D37" w:rsidRPr="00273106">
        <w:t xml:space="preserve">). </w:t>
      </w:r>
      <w:r w:rsidR="08BB2BFA">
        <w:t>Stejně tak i v</w:t>
      </w:r>
      <w:r w:rsidR="08A651B5">
        <w:t xml:space="preserve">ýklad </w:t>
      </w:r>
      <w:r w:rsidR="08A651B5" w:rsidRPr="00204092">
        <w:rPr>
          <w:i/>
        </w:rPr>
        <w:t>Metafyziky</w:t>
      </w:r>
      <w:r w:rsidR="08A651B5">
        <w:t xml:space="preserve"> podle prvního averroismu Bacona </w:t>
      </w:r>
      <w:r w:rsidR="08A651B5" w:rsidRPr="00273106">
        <w:t>dělá zásadní rozdíl mezi predikací vztaženou k demiurgické projekci a mezi kauzálním působením substancí v realitě.</w:t>
      </w:r>
      <w:r w:rsidR="08A651B5">
        <w:rPr>
          <w:rStyle w:val="Znakapoznpodarou"/>
        </w:rPr>
        <w:footnoteReference w:id="270"/>
      </w:r>
      <w:r w:rsidR="08A651B5">
        <w:t xml:space="preserve"> </w:t>
      </w:r>
      <w:r w:rsidR="08BB2BFA" w:rsidRPr="00273106">
        <w:t xml:space="preserve">Abstrahovaná materie je dána v </w:t>
      </w:r>
      <w:r w:rsidR="08BB2BFA">
        <w:t xml:space="preserve">matematické </w:t>
      </w:r>
      <w:r w:rsidR="08BB2BFA" w:rsidRPr="00273106">
        <w:t>predikaci pouze jako univerzálie (</w:t>
      </w:r>
      <w:r w:rsidR="08BB2BFA" w:rsidRPr="00273106">
        <w:rPr>
          <w:i/>
        </w:rPr>
        <w:t>materia tantum</w:t>
      </w:r>
      <w:r w:rsidR="08BB2BFA">
        <w:rPr>
          <w:i/>
        </w:rPr>
        <w:fldChar w:fldCharType="begin"/>
      </w:r>
      <w:r w:rsidR="08BB2BFA">
        <w:instrText xml:space="preserve"> XE "</w:instrText>
      </w:r>
      <w:r w:rsidR="08BB2BFA" w:rsidRPr="08854525">
        <w:instrText>materie</w:instrText>
      </w:r>
      <w:r w:rsidR="08BB2BFA" w:rsidRPr="00622A5C">
        <w:rPr>
          <w:i/>
        </w:rPr>
        <w:instrText>:</w:instrText>
      </w:r>
      <w:r w:rsidR="08854525">
        <w:rPr>
          <w:i/>
        </w:rPr>
        <w:instrText xml:space="preserve">materia </w:instrText>
      </w:r>
      <w:r w:rsidR="08BB2BFA" w:rsidRPr="00622A5C">
        <w:rPr>
          <w:i/>
        </w:rPr>
        <w:instrText>tantum</w:instrText>
      </w:r>
      <w:r w:rsidR="08BB2BFA">
        <w:instrText xml:space="preserve">" </w:instrText>
      </w:r>
      <w:r w:rsidR="08BB2BFA">
        <w:rPr>
          <w:i/>
        </w:rPr>
        <w:fldChar w:fldCharType="end"/>
      </w:r>
      <w:r w:rsidR="08BB2BFA" w:rsidRPr="00273106">
        <w:t xml:space="preserve">). Tvorba významu v mysli </w:t>
      </w:r>
      <w:r w:rsidR="08BB2BFA">
        <w:t xml:space="preserve">nemůže v modu </w:t>
      </w:r>
      <w:r w:rsidR="08BB2BFA" w:rsidRPr="00D5138C">
        <w:rPr>
          <w:i/>
        </w:rPr>
        <w:t>ex nihilo</w:t>
      </w:r>
      <w:r w:rsidR="08BB2BFA" w:rsidRPr="00273106">
        <w:t xml:space="preserve"> </w:t>
      </w:r>
      <w:r w:rsidR="08BB2BFA">
        <w:t xml:space="preserve">založit hyparchický význam daný pouze impozicí od první substance. </w:t>
      </w:r>
      <w:r w:rsidR="086C3411" w:rsidRPr="00273106">
        <w:t>Univerzální intence tvůrce (</w:t>
      </w:r>
      <w:r w:rsidR="086C3411" w:rsidRPr="00273106">
        <w:rPr>
          <w:i/>
        </w:rPr>
        <w:t>universale quod est in artificialibus</w:t>
      </w:r>
      <w:r w:rsidR="086C3411" w:rsidRPr="00273106">
        <w:t>) sice zakládá univerzální predikaci</w:t>
      </w:r>
      <w:r w:rsidR="086C3411">
        <w:fldChar w:fldCharType="begin"/>
      </w:r>
      <w:r w:rsidR="086C3411">
        <w:instrText xml:space="preserve"> XE "predikace:</w:instrText>
      </w:r>
      <w:r w:rsidR="086C3411" w:rsidRPr="001F7DF9">
        <w:rPr>
          <w:i/>
        </w:rPr>
        <w:instrText>in</w:instrText>
      </w:r>
      <w:r w:rsidR="086C3411">
        <w:instrText xml:space="preserve"> </w:instrText>
      </w:r>
      <w:r w:rsidR="086C3411" w:rsidRPr="00273106">
        <w:rPr>
          <w:i/>
        </w:rPr>
        <w:instrText>artificialibus</w:instrText>
      </w:r>
      <w:r w:rsidR="086C3411">
        <w:instrText xml:space="preserve">" </w:instrText>
      </w:r>
      <w:r w:rsidR="086C3411">
        <w:fldChar w:fldCharType="end"/>
      </w:r>
      <w:r w:rsidR="086C3411" w:rsidRPr="00273106">
        <w:t xml:space="preserve">, ale nikoliv univoční výměr kauzality podle </w:t>
      </w:r>
      <w:r w:rsidR="086C3411" w:rsidRPr="004273C9">
        <w:rPr>
          <w:i/>
        </w:rPr>
        <w:t>Druhých analytik</w:t>
      </w:r>
      <w:r w:rsidR="086C3411" w:rsidRPr="00273106">
        <w:t xml:space="preserve"> (</w:t>
      </w:r>
      <w:r w:rsidR="086C3411" w:rsidRPr="00273106">
        <w:rPr>
          <w:i/>
        </w:rPr>
        <w:t>non retinet ... ratio causalitatis</w:t>
      </w:r>
      <w:r w:rsidR="086C3411" w:rsidRPr="00273106">
        <w:t>). Kauza v mysli tvůrce je něco úplně jiného než kauzalita první substance působící v reálu</w:t>
      </w:r>
      <w:r w:rsidR="086C3411">
        <w:fldChar w:fldCharType="begin"/>
      </w:r>
      <w:r w:rsidR="086C3411">
        <w:instrText xml:space="preserve"> XE "</w:instrText>
      </w:r>
      <w:r w:rsidR="086C3411" w:rsidRPr="008A31D2">
        <w:instrText>kauzalita:demiurga</w:instrText>
      </w:r>
      <w:r w:rsidR="086C3411">
        <w:instrText xml:space="preserve">" </w:instrText>
      </w:r>
      <w:r w:rsidR="086C3411">
        <w:fldChar w:fldCharType="end"/>
      </w:r>
      <w:r w:rsidR="086C3411" w:rsidRPr="00273106">
        <w:t xml:space="preserve">. </w:t>
      </w:r>
      <w:r w:rsidR="08321254">
        <w:t xml:space="preserve">Produkční forma v mysli řemeslníka má pouze sekundární status vzhledem k již dané realitě </w:t>
      </w:r>
      <w:r w:rsidR="08321254" w:rsidRPr="00273106">
        <w:t>(</w:t>
      </w:r>
      <w:r w:rsidR="08321254" w:rsidRPr="00273106">
        <w:rPr>
          <w:i/>
        </w:rPr>
        <w:t>forma enim artificialis non est nova natura vel essentia</w:t>
      </w:r>
      <w:r w:rsidR="08321254" w:rsidRPr="00273106">
        <w:t>).</w:t>
      </w:r>
      <w:r w:rsidR="08321254">
        <w:t xml:space="preserve"> </w:t>
      </w:r>
      <w:r w:rsidR="086C3411" w:rsidRPr="00273106">
        <w:t xml:space="preserve">Tvůrce může predikovat pouze ekvivoční shodu mezi věcmi na základě univerzálního poznání </w:t>
      </w:r>
      <w:r w:rsidR="086C3411" w:rsidRPr="00273106">
        <w:lastRenderedPageBreak/>
        <w:t>tvorby, tvůrčí ideje, habituálního poznání příčiny a účinku (</w:t>
      </w:r>
      <w:r w:rsidR="086C3411" w:rsidRPr="00273106">
        <w:rPr>
          <w:i/>
        </w:rPr>
        <w:t>rationem et proprietatem predicationis</w:t>
      </w:r>
      <w:r w:rsidR="086C3411">
        <w:t xml:space="preserve">). </w:t>
      </w:r>
      <w:r w:rsidR="08BB2BFA" w:rsidRPr="00273106">
        <w:t xml:space="preserve"> Tím má kauzalita z čisté formy dané v modu abstrakce od látky jiný status, než kauzalita daná v metafyzice prvníc</w:t>
      </w:r>
      <w:r w:rsidR="00AE71AD">
        <w:t>h substancí daných hyleformicky.</w:t>
      </w:r>
      <w:r w:rsidR="08BB2BFA">
        <w:t xml:space="preserve"> </w:t>
      </w:r>
      <w:r w:rsidR="08A651B5">
        <w:t xml:space="preserve">Reálná </w:t>
      </w:r>
      <w:r w:rsidR="08A651B5" w:rsidRPr="00273106">
        <w:t xml:space="preserve">kauzalita </w:t>
      </w:r>
      <w:r w:rsidR="08A651B5">
        <w:t xml:space="preserve">neexistuje </w:t>
      </w:r>
      <w:r w:rsidR="08A651B5" w:rsidRPr="00273106">
        <w:t xml:space="preserve">v mysli tvůrce, ale </w:t>
      </w:r>
      <w:r w:rsidR="08A651B5">
        <w:t xml:space="preserve">jen </w:t>
      </w:r>
      <w:r w:rsidR="08A651B5" w:rsidRPr="00273106">
        <w:t xml:space="preserve">mezi singulárními a aktuálními prvními substancemi danými </w:t>
      </w:r>
      <w:r w:rsidR="08A651B5" w:rsidRPr="00273106">
        <w:rPr>
          <w:i/>
        </w:rPr>
        <w:t>simpliciter</w:t>
      </w:r>
      <w:r w:rsidR="08A651B5" w:rsidRPr="00273106">
        <w:t xml:space="preserve"> v realitě.</w:t>
      </w:r>
      <w:r w:rsidR="08A651B5">
        <w:t xml:space="preserve"> </w:t>
      </w:r>
      <w:r w:rsidR="086C3411">
        <w:t>Pak už ale nejde o predikaci v rámci teoretického intelektu, ale o tvorbu v rámci praktického intelektu působícího singulárně-kauzálně v realit</w:t>
      </w:r>
      <w:r w:rsidR="088E04C8">
        <w:t>ě</w:t>
      </w:r>
      <w:r w:rsidR="086C3411">
        <w:t xml:space="preserve">. </w:t>
      </w:r>
      <w:r w:rsidR="00CC4801" w:rsidRPr="00273106">
        <w:t>Formální kauzalita v</w:t>
      </w:r>
      <w:r w:rsidR="009C7BC8" w:rsidRPr="00273106">
        <w:t xml:space="preserve"> </w:t>
      </w:r>
      <w:r w:rsidR="086D7EB7">
        <w:t xml:space="preserve">procesu poznání </w:t>
      </w:r>
      <w:r w:rsidR="00283978" w:rsidRPr="00273106">
        <w:t xml:space="preserve">autentického aristotelismu </w:t>
      </w:r>
      <w:r w:rsidR="009C7BC8" w:rsidRPr="00273106">
        <w:t>platí je</w:t>
      </w:r>
      <w:r w:rsidR="086D7EB7">
        <w:t>n</w:t>
      </w:r>
      <w:r w:rsidR="009C7BC8" w:rsidRPr="00273106">
        <w:t xml:space="preserve"> velmi omezeně</w:t>
      </w:r>
      <w:r w:rsidR="00EE6D56" w:rsidRPr="00273106">
        <w:t xml:space="preserve"> pro materii</w:t>
      </w:r>
      <w:r w:rsidR="002C21B7" w:rsidRPr="00273106">
        <w:t xml:space="preserve"> utvářenou v procesu řemeslné nebo umělecké tvorby</w:t>
      </w:r>
      <w:r w:rsidR="00F247EE">
        <w:t xml:space="preserve"> (</w:t>
      </w:r>
      <w:r w:rsidR="00F247EE" w:rsidRPr="00F247EE">
        <w:rPr>
          <w:i/>
        </w:rPr>
        <w:t>in artificialibus</w:t>
      </w:r>
      <w:r w:rsidR="00654280">
        <w:rPr>
          <w:i/>
        </w:rPr>
        <w:fldChar w:fldCharType="begin"/>
      </w:r>
      <w:r w:rsidR="00654280">
        <w:instrText xml:space="preserve"> XE "kauzalita:</w:instrText>
      </w:r>
      <w:r w:rsidR="00654280" w:rsidRPr="00327667">
        <w:rPr>
          <w:i/>
        </w:rPr>
        <w:instrText>in artificialibus</w:instrText>
      </w:r>
      <w:r w:rsidR="00654280">
        <w:instrText xml:space="preserve">" </w:instrText>
      </w:r>
      <w:r w:rsidR="00654280">
        <w:rPr>
          <w:i/>
        </w:rPr>
        <w:fldChar w:fldCharType="end"/>
      </w:r>
      <w:r w:rsidR="00F247EE">
        <w:t>)</w:t>
      </w:r>
      <w:r w:rsidR="00832E40" w:rsidRPr="00273106">
        <w:t>, nebo pro její abstrakci</w:t>
      </w:r>
      <w:r w:rsidR="0065433F" w:rsidRPr="00273106">
        <w:t xml:space="preserve"> v matematice</w:t>
      </w:r>
      <w:r w:rsidR="008D4A9A" w:rsidRPr="00273106">
        <w:t>.</w:t>
      </w:r>
      <w:r w:rsidR="005951EC" w:rsidRPr="00273106">
        <w:t xml:space="preserve"> </w:t>
      </w:r>
      <w:r w:rsidR="00BE58A0" w:rsidRPr="00273106">
        <w:t xml:space="preserve">Obojí opus </w:t>
      </w:r>
      <w:r w:rsidR="002810A3">
        <w:t>ne</w:t>
      </w:r>
      <w:r w:rsidR="00BE58A0" w:rsidRPr="00273106">
        <w:t xml:space="preserve">potřebuje první substanci jako </w:t>
      </w:r>
      <w:r w:rsidR="002810A3">
        <w:t xml:space="preserve">efektivní kauzu produkce, protože řemeslník si nosí ideu výrobku v sobě a jen ji vtiskuje do materiálu. </w:t>
      </w:r>
      <w:r w:rsidR="0800727B">
        <w:t>Tento druh aktivního poznání řídí z tohoto zásadního důvodu jiná složka intelektu napojená na kauzálně působící lidskou vůli (</w:t>
      </w:r>
      <w:r w:rsidR="0800727B" w:rsidRPr="0800727B">
        <w:rPr>
          <w:i/>
        </w:rPr>
        <w:t>intellectus practicus</w:t>
      </w:r>
      <w:r w:rsidR="08180FAC">
        <w:rPr>
          <w:i/>
        </w:rPr>
        <w:fldChar w:fldCharType="begin"/>
      </w:r>
      <w:r w:rsidR="08180FAC">
        <w:instrText xml:space="preserve"> XE "</w:instrText>
      </w:r>
      <w:r w:rsidR="08180FAC" w:rsidRPr="001A1255">
        <w:rPr>
          <w:i/>
        </w:rPr>
        <w:instrText>intellectus practicus</w:instrText>
      </w:r>
      <w:r w:rsidR="08180FAC">
        <w:instrText xml:space="preserve">" </w:instrText>
      </w:r>
      <w:r w:rsidR="08180FAC">
        <w:rPr>
          <w:i/>
        </w:rPr>
        <w:fldChar w:fldCharType="end"/>
      </w:r>
      <w:r w:rsidR="08107F7E">
        <w:t>; OBJ III, kap. 6</w:t>
      </w:r>
      <w:r w:rsidR="08180FAC">
        <w:t>.1</w:t>
      </w:r>
      <w:r w:rsidR="0800727B">
        <w:t>). Je jasné, že povaha tohoto intelektu se bude v první a ve druhé škole ari</w:t>
      </w:r>
      <w:r w:rsidR="08A651B5">
        <w:t>s</w:t>
      </w:r>
      <w:r w:rsidR="0800727B">
        <w:t xml:space="preserve">toteliků zásadně lišit. </w:t>
      </w:r>
      <w:r w:rsidR="081F1408">
        <w:t xml:space="preserve">Podobně i logik nebo matematik pracuje ve světě univočně pojaté abstrakce. V tomto světě univerzálií si může dělat, co je logicky pravdivé a nestará se o to, co je metafyzicky reálné. </w:t>
      </w:r>
      <w:r w:rsidR="08BB2BFA" w:rsidRPr="00273106">
        <w:t xml:space="preserve">Bacon </w:t>
      </w:r>
      <w:r w:rsidR="08BB2BFA">
        <w:t>argumentuje proti univerzálním hylemorfistům</w:t>
      </w:r>
      <w:r w:rsidR="08BB2BFA" w:rsidRPr="00273106">
        <w:t xml:space="preserve">, </w:t>
      </w:r>
      <w:r w:rsidR="00361F27">
        <w:t>proto</w:t>
      </w:r>
      <w:r w:rsidR="08BB2BFA" w:rsidRPr="00273106">
        <w:t xml:space="preserve">že materie daná v matematice a geometrii je subjektem </w:t>
      </w:r>
      <w:r w:rsidR="00361F27">
        <w:t xml:space="preserve">pouze </w:t>
      </w:r>
      <w:r w:rsidR="08BB2BFA" w:rsidRPr="00273106">
        <w:t>formální výpovědi</w:t>
      </w:r>
      <w:r w:rsidR="08BB2BFA">
        <w:t xml:space="preserve"> (</w:t>
      </w:r>
      <w:r w:rsidR="08BB2BFA" w:rsidRPr="00F247EE">
        <w:rPr>
          <w:i/>
        </w:rPr>
        <w:t>hoc materia artificialis de artificialibus predicatur</w:t>
      </w:r>
      <w:r w:rsidR="08BB2BFA">
        <w:t>)</w:t>
      </w:r>
      <w:r w:rsidR="08BB2BFA" w:rsidRPr="00273106">
        <w:t>.</w:t>
      </w:r>
      <w:r w:rsidR="08BB2BFA" w:rsidRPr="00273106">
        <w:rPr>
          <w:rStyle w:val="Znakapoznpodarou"/>
        </w:rPr>
        <w:footnoteReference w:id="271"/>
      </w:r>
      <w:r w:rsidR="08BB2BFA" w:rsidRPr="00273106">
        <w:t xml:space="preserve"> </w:t>
      </w:r>
      <w:r w:rsidR="08BB2BFA">
        <w:t xml:space="preserve">Demiurgické pojetí materie dané jako jsoucno třetího druhu považuje Albert a Bacon za omyl nekritického myšlení, které neví co dělá, když myslí. </w:t>
      </w:r>
      <w:r w:rsidR="08C72D2D">
        <w:t xml:space="preserve">Moderní iluminát-demiurg degraduje v procesu denudace realitu první substance na pouhý materiál </w:t>
      </w:r>
      <w:r w:rsidR="08C72D2D" w:rsidRPr="00273106">
        <w:t>pro matematickou abstrakci</w:t>
      </w:r>
      <w:r w:rsidR="08C72D2D">
        <w:t>, která se pro p</w:t>
      </w:r>
      <w:r w:rsidR="082E3B58">
        <w:t xml:space="preserve">ostmodernu stala účinnou formou, </w:t>
      </w:r>
      <w:r w:rsidR="08C72D2D" w:rsidRPr="002810A3">
        <w:t xml:space="preserve">viz Rufusovo </w:t>
      </w:r>
      <w:r w:rsidR="08C72D2D" w:rsidRPr="002810A3">
        <w:rPr>
          <w:i/>
        </w:rPr>
        <w:t>scibile</w:t>
      </w:r>
      <w:r w:rsidR="08C72D2D" w:rsidRPr="00273106">
        <w:t xml:space="preserve">. </w:t>
      </w:r>
      <w:r w:rsidR="08AD7890" w:rsidRPr="00273106">
        <w:t xml:space="preserve">Bonaventura zavedl </w:t>
      </w:r>
      <w:r w:rsidR="08C72D2D">
        <w:t xml:space="preserve">po roce 1250 </w:t>
      </w:r>
      <w:r w:rsidR="08AD7890" w:rsidRPr="00273106">
        <w:t xml:space="preserve">predikaci </w:t>
      </w:r>
      <w:r w:rsidR="08AD7890" w:rsidRPr="00273106">
        <w:rPr>
          <w:i/>
        </w:rPr>
        <w:t>in artificialibus</w:t>
      </w:r>
      <w:r w:rsidR="08AD7890">
        <w:fldChar w:fldCharType="begin"/>
      </w:r>
      <w:r w:rsidR="08AD7890">
        <w:instrText xml:space="preserve"> XE "</w:instrText>
      </w:r>
      <w:r w:rsidR="08AD7890" w:rsidRPr="001B7686">
        <w:instrText>predikace:</w:instrText>
      </w:r>
      <w:r w:rsidR="08AD7890" w:rsidRPr="003B0E20">
        <w:rPr>
          <w:i/>
        </w:rPr>
        <w:instrText>in artificialibus</w:instrText>
      </w:r>
      <w:r w:rsidR="08AD7890">
        <w:instrText xml:space="preserve">" </w:instrText>
      </w:r>
      <w:r w:rsidR="08AD7890">
        <w:fldChar w:fldCharType="end"/>
      </w:r>
      <w:r w:rsidR="08AD7890" w:rsidRPr="00273106">
        <w:t xml:space="preserve"> do ontoteologické struktury nové metafyziky založené na druhém averorismu a na analytickém výkladu </w:t>
      </w:r>
      <w:r w:rsidR="08AD7890" w:rsidRPr="0036108D">
        <w:rPr>
          <w:i/>
        </w:rPr>
        <w:t>Druhých analytik</w:t>
      </w:r>
      <w:r w:rsidR="08AD7890" w:rsidRPr="00273106">
        <w:t>.</w:t>
      </w:r>
      <w:r w:rsidR="08AD7890">
        <w:t xml:space="preserve"> </w:t>
      </w:r>
      <w:r w:rsidR="087E4E5A">
        <w:t xml:space="preserve">Tím se hyparchické postavení první substance mění </w:t>
      </w:r>
      <w:r w:rsidR="08C72D2D">
        <w:t xml:space="preserve">na poznání </w:t>
      </w:r>
      <w:r w:rsidR="00E618DD">
        <w:t>„substance–</w:t>
      </w:r>
      <w:r w:rsidR="002E30FF" w:rsidRPr="002E30FF">
        <w:t>species</w:t>
      </w:r>
      <w:r w:rsidR="00E618DD">
        <w:t xml:space="preserve">“. Ta „exsistuje“ </w:t>
      </w:r>
      <w:r w:rsidR="08C72D2D">
        <w:t>v</w:t>
      </w:r>
      <w:r w:rsidR="00E618DD">
        <w:t xml:space="preserve"> moderním </w:t>
      </w:r>
      <w:r w:rsidR="08C72D2D">
        <w:t xml:space="preserve">diakosmu </w:t>
      </w:r>
      <w:r w:rsidR="08925D85">
        <w:t xml:space="preserve">nebo je </w:t>
      </w:r>
      <w:r w:rsidR="08C72D2D">
        <w:t xml:space="preserve">vytažena </w:t>
      </w:r>
      <w:r w:rsidR="087E4E5A">
        <w:t xml:space="preserve">z augustiniánské paměti třetího druhu. </w:t>
      </w:r>
      <w:r w:rsidR="00221596" w:rsidRPr="00273106">
        <w:t xml:space="preserve">Akvinský </w:t>
      </w:r>
      <w:r w:rsidR="008D4A9A" w:rsidRPr="00273106">
        <w:t>napad</w:t>
      </w:r>
      <w:r w:rsidR="00746634" w:rsidRPr="00273106">
        <w:t>l</w:t>
      </w:r>
      <w:r w:rsidR="008D4A9A" w:rsidRPr="00273106">
        <w:t xml:space="preserve"> </w:t>
      </w:r>
      <w:r w:rsidR="0084072F" w:rsidRPr="00273106">
        <w:t xml:space="preserve">univoční </w:t>
      </w:r>
      <w:r w:rsidR="0084072F" w:rsidRPr="00273106">
        <w:lastRenderedPageBreak/>
        <w:t xml:space="preserve">formální kauzalitu </w:t>
      </w:r>
      <w:r w:rsidR="00654280">
        <w:fldChar w:fldCharType="begin"/>
      </w:r>
      <w:r w:rsidR="00654280">
        <w:instrText xml:space="preserve"> XE "</w:instrText>
      </w:r>
      <w:r w:rsidR="00654280" w:rsidRPr="00446359">
        <w:instrText>kauzalita:formální</w:instrText>
      </w:r>
      <w:r w:rsidR="00654280">
        <w:instrText xml:space="preserve">" </w:instrText>
      </w:r>
      <w:r w:rsidR="00654280">
        <w:fldChar w:fldCharType="end"/>
      </w:r>
      <w:r w:rsidR="00F44358" w:rsidRPr="00273106">
        <w:t>Latiník</w:t>
      </w:r>
      <w:r w:rsidR="0084072F" w:rsidRPr="00273106">
        <w:t>ů</w:t>
      </w:r>
      <w:r w:rsidR="00F44358" w:rsidRPr="00273106">
        <w:t xml:space="preserve"> </w:t>
      </w:r>
      <w:r w:rsidR="08F51485">
        <w:t>podobnými argumenty</w:t>
      </w:r>
      <w:r w:rsidR="00F44358" w:rsidRPr="00273106">
        <w:t xml:space="preserve"> jako Albert</w:t>
      </w:r>
      <w:r w:rsidR="086E26BC">
        <w:t xml:space="preserve"> v díle </w:t>
      </w:r>
      <w:r w:rsidR="00221596" w:rsidRPr="00273106">
        <w:rPr>
          <w:i/>
        </w:rPr>
        <w:t>Summa contra Gentiles</w:t>
      </w:r>
      <w:r w:rsidR="00221596" w:rsidRPr="00273106">
        <w:t>.</w:t>
      </w:r>
      <w:r w:rsidR="0026101F" w:rsidRPr="00273106">
        <w:rPr>
          <w:rStyle w:val="Znakapoznpodarou"/>
        </w:rPr>
        <w:footnoteReference w:id="272"/>
      </w:r>
      <w:r w:rsidR="00221596" w:rsidRPr="00273106">
        <w:t xml:space="preserve"> </w:t>
      </w:r>
      <w:r w:rsidR="0875550C">
        <w:t>Řemeslná formace materie nemá vzhledem k realitě stvořitelský charakter (</w:t>
      </w:r>
      <w:r w:rsidR="0875550C" w:rsidRPr="00DA027F">
        <w:rPr>
          <w:i/>
        </w:rPr>
        <w:t>impossibile est quod prima inductio formarum in materia sit ab aliquo creante formam tantum</w:t>
      </w:r>
      <w:r w:rsidR="0875550C">
        <w:t xml:space="preserve">). </w:t>
      </w:r>
      <w:r w:rsidR="00DA027F">
        <w:t>Řemeslník tvoří s reálnou materií a logik pracuje pouze s abstraktní materií v mysli. Proto jsou obě formy materie zásadně odděleny (aktuální hyleformická substance v realitě, potenciální koncept v mysli) a mezi nimi n</w:t>
      </w:r>
      <w:r w:rsidR="00D40DE1">
        <w:t xml:space="preserve">ení žádné jsoucno třetího druhu. Lidský intelekt je původně </w:t>
      </w:r>
      <w:r w:rsidR="00D40DE1" w:rsidRPr="00D40DE1">
        <w:rPr>
          <w:i/>
        </w:rPr>
        <w:t>tabula rasa</w:t>
      </w:r>
      <w:r w:rsidR="00D40DE1">
        <w:t>, proto nemůže tvořit sám ze sebe hypostázované formy</w:t>
      </w:r>
      <w:r w:rsidR="085904D1">
        <w:t xml:space="preserve">, natož aby tvořil substanční realitu </w:t>
      </w:r>
      <w:r w:rsidR="085904D1" w:rsidRPr="085904D1">
        <w:rPr>
          <w:i/>
        </w:rPr>
        <w:t>ex nihilo</w:t>
      </w:r>
      <w:r w:rsidR="00D40DE1">
        <w:t xml:space="preserve">. </w:t>
      </w:r>
      <w:r w:rsidR="00480109" w:rsidRPr="00273106">
        <w:t xml:space="preserve">Akvinský odmítá </w:t>
      </w:r>
      <w:r w:rsidR="00221596" w:rsidRPr="00273106">
        <w:t xml:space="preserve">výše popsané </w:t>
      </w:r>
      <w:r w:rsidR="005C10F7">
        <w:t xml:space="preserve">moderní </w:t>
      </w:r>
      <w:r w:rsidR="00221596" w:rsidRPr="00273106">
        <w:rPr>
          <w:i/>
        </w:rPr>
        <w:t>resolutio</w:t>
      </w:r>
      <w:r w:rsidR="00221596" w:rsidRPr="00273106">
        <w:t xml:space="preserve"> </w:t>
      </w:r>
      <w:r w:rsidR="005C10F7">
        <w:t xml:space="preserve">univerzálních hyleforfických </w:t>
      </w:r>
      <w:r w:rsidR="00221596" w:rsidRPr="00273106">
        <w:t xml:space="preserve">forem směrem od univočního </w:t>
      </w:r>
      <w:r w:rsidR="00221596" w:rsidRPr="00273106">
        <w:rPr>
          <w:i/>
        </w:rPr>
        <w:t>intellectus agens</w:t>
      </w:r>
      <w:r w:rsidR="00221596" w:rsidRPr="00273106">
        <w:t xml:space="preserve">, který je numericky jednotný pro všechny lidi, a navíc je oddělený od individuální duše. </w:t>
      </w:r>
      <w:r w:rsidR="002E6847" w:rsidRPr="00273106">
        <w:t xml:space="preserve">Albert </w:t>
      </w:r>
      <w:r w:rsidR="00F31C51">
        <w:t xml:space="preserve">o dekádu před ním </w:t>
      </w:r>
      <w:r w:rsidR="002E6847" w:rsidRPr="00273106">
        <w:t>zdůrazňuje, že činný intelekt Latiníků působí skrze metaforu slunce, které zv</w:t>
      </w:r>
      <w:r w:rsidR="00672C7A">
        <w:t>n</w:t>
      </w:r>
      <w:r w:rsidR="002E6847" w:rsidRPr="00273106">
        <w:t>ějšku ozařuje duši, a tak v ní způsobuje poznání (</w:t>
      </w:r>
      <w:r w:rsidR="002E6847" w:rsidRPr="00273106">
        <w:rPr>
          <w:i/>
        </w:rPr>
        <w:t>hoc idem est quod irradians super animam facit in eam intellectum</w:t>
      </w:r>
      <w:r w:rsidR="007165A6">
        <w:rPr>
          <w:i/>
        </w:rPr>
        <w:t>;</w:t>
      </w:r>
      <w:r w:rsidR="007165A6">
        <w:t xml:space="preserve"> </w:t>
      </w:r>
      <w:r w:rsidR="00857165" w:rsidRPr="002319E2">
        <w:rPr>
          <w:i/>
        </w:rPr>
        <w:t>De unitate intellectus</w:t>
      </w:r>
      <w:r w:rsidR="00857165">
        <w:rPr>
          <w:i/>
        </w:rPr>
        <w:t xml:space="preserve"> </w:t>
      </w:r>
      <w:r w:rsidR="00857165">
        <w:t>II</w:t>
      </w:r>
      <w:r w:rsidR="007165A6">
        <w:t>,</w:t>
      </w:r>
      <w:r w:rsidR="00857165">
        <w:t xml:space="preserve"> </w:t>
      </w:r>
      <w:r w:rsidR="007165A6">
        <w:t xml:space="preserve">p. </w:t>
      </w:r>
      <w:r w:rsidR="002E6847" w:rsidRPr="00273106">
        <w:t>440a</w:t>
      </w:r>
      <w:r w:rsidR="00654280">
        <w:fldChar w:fldCharType="begin"/>
      </w:r>
      <w:r w:rsidR="00654280">
        <w:instrText xml:space="preserve"> XE "Albert:</w:instrText>
      </w:r>
      <w:r w:rsidR="00654280" w:rsidRPr="00AC7D26">
        <w:rPr>
          <w:i/>
        </w:rPr>
        <w:instrText>De unitate intellectus</w:instrText>
      </w:r>
      <w:r w:rsidR="00654280" w:rsidRPr="00AC7D26">
        <w:instrText xml:space="preserve"> </w:instrText>
      </w:r>
      <w:r w:rsidR="00654280">
        <w:instrText xml:space="preserve">440a" </w:instrText>
      </w:r>
      <w:r w:rsidR="00654280">
        <w:fldChar w:fldCharType="end"/>
      </w:r>
      <w:r w:rsidR="002E6847" w:rsidRPr="00273106">
        <w:t xml:space="preserve">). </w:t>
      </w:r>
      <w:r w:rsidR="008F1779">
        <w:t>Takto hypostázovaný intelekt determinuje poznání</w:t>
      </w:r>
      <w:r w:rsidR="002E6847" w:rsidRPr="00273106">
        <w:t xml:space="preserve">, </w:t>
      </w:r>
      <w:r w:rsidR="008F1779">
        <w:t xml:space="preserve">které </w:t>
      </w:r>
      <w:r w:rsidR="002E6847" w:rsidRPr="00273106">
        <w:t xml:space="preserve">zakládá </w:t>
      </w:r>
      <w:r w:rsidR="008F1779">
        <w:t>smysl j</w:t>
      </w:r>
      <w:r w:rsidR="002E6847" w:rsidRPr="00273106">
        <w:t>soucna mimo</w:t>
      </w:r>
      <w:r w:rsidR="004D3FDA" w:rsidRPr="00273106">
        <w:t xml:space="preserve"> </w:t>
      </w:r>
      <w:r w:rsidR="00A509D9">
        <w:t>první substanci</w:t>
      </w:r>
      <w:r w:rsidR="004D3FDA" w:rsidRPr="00273106">
        <w:t>, tedy nasvícením zezadu</w:t>
      </w:r>
      <w:r w:rsidR="00E85337" w:rsidRPr="00273106">
        <w:t xml:space="preserve"> (</w:t>
      </w:r>
      <w:r w:rsidR="00E85337" w:rsidRPr="00273106">
        <w:rPr>
          <w:i/>
        </w:rPr>
        <w:t>reductio causarum</w:t>
      </w:r>
      <w:r w:rsidR="00E85337" w:rsidRPr="00273106">
        <w:t>)</w:t>
      </w:r>
      <w:r w:rsidR="002E6847" w:rsidRPr="00273106">
        <w:t xml:space="preserve">. </w:t>
      </w:r>
      <w:r w:rsidR="004D3FDA" w:rsidRPr="00273106">
        <w:t xml:space="preserve">Pro </w:t>
      </w:r>
      <w:r w:rsidR="00D53F0F">
        <w:t xml:space="preserve">určení </w:t>
      </w:r>
      <w:r w:rsidR="00DB1E3C" w:rsidRPr="00273106">
        <w:t xml:space="preserve"> identity</w:t>
      </w:r>
      <w:r w:rsidR="004D3FDA" w:rsidRPr="00273106">
        <w:t xml:space="preserve"> </w:t>
      </w:r>
      <w:r w:rsidR="00D53F0F">
        <w:t xml:space="preserve">těchto </w:t>
      </w:r>
      <w:r w:rsidR="004D3FDA" w:rsidRPr="00273106">
        <w:t>averroistů</w:t>
      </w:r>
      <w:r w:rsidR="00221596" w:rsidRPr="00273106">
        <w:t xml:space="preserve"> je velmi důležitý čtvrtý argument</w:t>
      </w:r>
      <w:r w:rsidR="00D53F0F">
        <w:t xml:space="preserve">. Albert odmítl definici </w:t>
      </w:r>
      <w:r w:rsidR="000D2D3A" w:rsidRPr="00273106">
        <w:t xml:space="preserve">intelektu </w:t>
      </w:r>
      <w:r w:rsidR="00221596" w:rsidRPr="00273106">
        <w:t xml:space="preserve">na základě </w:t>
      </w:r>
      <w:r w:rsidR="00276B20" w:rsidRPr="00273106">
        <w:t xml:space="preserve">sofistického výkladu </w:t>
      </w:r>
      <w:r w:rsidR="00221596" w:rsidRPr="08053485">
        <w:rPr>
          <w:i/>
        </w:rPr>
        <w:t>Druhých analytik</w:t>
      </w:r>
      <w:r w:rsidR="00221596" w:rsidRPr="00273106">
        <w:t xml:space="preserve">. </w:t>
      </w:r>
      <w:r w:rsidR="000907F1" w:rsidRPr="00273106">
        <w:t>Moderní intelekt primárně determinuje sám sebe a chová se jako kvazi-substance</w:t>
      </w:r>
      <w:r w:rsidR="000907F1">
        <w:fldChar w:fldCharType="begin"/>
      </w:r>
      <w:r w:rsidR="000907F1">
        <w:instrText xml:space="preserve"> XE "</w:instrText>
      </w:r>
      <w:r w:rsidR="000907F1" w:rsidRPr="00DE2A32">
        <w:instrText>substance</w:instrText>
      </w:r>
      <w:r w:rsidR="000907F1">
        <w:instrText xml:space="preserve">:intelekt" </w:instrText>
      </w:r>
      <w:r w:rsidR="000907F1">
        <w:fldChar w:fldCharType="end"/>
      </w:r>
      <w:r w:rsidR="000907F1" w:rsidRPr="00273106">
        <w:t xml:space="preserve"> vůči materiálnímu intelektu, který obsahuje spirituálně danou materii. </w:t>
      </w:r>
      <w:r w:rsidR="003135D6" w:rsidRPr="003135D6">
        <w:t>Skupina novodobých iluminátů stvořila svět v</w:t>
      </w:r>
      <w:r w:rsidR="00BC3B70">
        <w:t xml:space="preserve"> jejich </w:t>
      </w:r>
      <w:r w:rsidR="003135D6" w:rsidRPr="003135D6">
        <w:t>intelektu podo</w:t>
      </w:r>
      <w:r w:rsidR="003135D6">
        <w:t>bně jako platónský demiurg Timaio</w:t>
      </w:r>
      <w:r w:rsidR="003135D6" w:rsidRPr="003135D6">
        <w:t xml:space="preserve">s pomocí predikace </w:t>
      </w:r>
      <w:r w:rsidR="003135D6" w:rsidRPr="003135D6">
        <w:rPr>
          <w:i/>
        </w:rPr>
        <w:t>in artificialibus</w:t>
      </w:r>
      <w:r w:rsidR="003135D6">
        <w:rPr>
          <w:i/>
        </w:rPr>
        <w:fldChar w:fldCharType="begin"/>
      </w:r>
      <w:r w:rsidR="003135D6">
        <w:instrText xml:space="preserve"> XE "kauzalita:</w:instrText>
      </w:r>
      <w:r w:rsidR="003135D6" w:rsidRPr="00120EE8">
        <w:rPr>
          <w:i/>
        </w:rPr>
        <w:instrText>in artificialibus</w:instrText>
      </w:r>
      <w:r w:rsidR="003135D6">
        <w:instrText xml:space="preserve">" </w:instrText>
      </w:r>
      <w:r w:rsidR="003135D6">
        <w:rPr>
          <w:i/>
        </w:rPr>
        <w:fldChar w:fldCharType="end"/>
      </w:r>
      <w:r w:rsidR="003135D6" w:rsidRPr="003135D6">
        <w:t>.</w:t>
      </w:r>
      <w:r w:rsidR="00BC3B70">
        <w:t xml:space="preserve"> </w:t>
      </w:r>
      <w:r w:rsidR="08CA4017">
        <w:t>P</w:t>
      </w:r>
      <w:r w:rsidR="000907F1">
        <w:t xml:space="preserve">ak </w:t>
      </w:r>
      <w:r w:rsidR="08CA4017">
        <w:t xml:space="preserve">tento abstraktní svět </w:t>
      </w:r>
      <w:r w:rsidR="00BC3B70">
        <w:t>promítli</w:t>
      </w:r>
      <w:r w:rsidR="000907F1">
        <w:t xml:space="preserve"> do reality skrze objektivní formu vidění světa</w:t>
      </w:r>
      <w:r w:rsidR="00BC3B70">
        <w:t xml:space="preserve"> a provedli</w:t>
      </w:r>
      <w:r w:rsidR="08F749E0">
        <w:t xml:space="preserve"> asimilaci obou vidění a poznání v modu moderního pojetí pravdy</w:t>
      </w:r>
      <w:r w:rsidR="00BC3B70">
        <w:t>,</w:t>
      </w:r>
      <w:r w:rsidR="002439B5">
        <w:t xml:space="preserve"> popr</w:t>
      </w:r>
      <w:r w:rsidR="087D1C80">
        <w:t>vé dané</w:t>
      </w:r>
      <w:r w:rsidR="00BC3B70">
        <w:t>ho</w:t>
      </w:r>
      <w:r w:rsidR="087D1C80">
        <w:t xml:space="preserve"> v Rufusově poj</w:t>
      </w:r>
      <w:r w:rsidR="08C90576">
        <w:t xml:space="preserve">mu </w:t>
      </w:r>
      <w:r w:rsidR="08C90576" w:rsidRPr="00273106">
        <w:rPr>
          <w:i/>
        </w:rPr>
        <w:t>coaequatio</w:t>
      </w:r>
      <w:r w:rsidR="08854525">
        <w:t xml:space="preserve"> (kap. 3</w:t>
      </w:r>
      <w:r w:rsidR="08C90576">
        <w:t>.3.2)</w:t>
      </w:r>
      <w:r w:rsidR="000907F1">
        <w:t xml:space="preserve">. </w:t>
      </w:r>
      <w:r w:rsidR="089F01A1">
        <w:t xml:space="preserve">Tento pojem pravdy a poznání je pro první averroismus naprosto nepřijatelný. </w:t>
      </w:r>
      <w:r w:rsidR="00591132" w:rsidRPr="00273106">
        <w:t xml:space="preserve">Nasvícení zepředu </w:t>
      </w:r>
      <w:r w:rsidR="08EB1420">
        <w:t xml:space="preserve">od reálné věci </w:t>
      </w:r>
      <w:r w:rsidR="085768C7">
        <w:t>vylučuje možnost</w:t>
      </w:r>
      <w:r w:rsidR="00591132" w:rsidRPr="00273106">
        <w:t xml:space="preserve">, že intelekt v aktu poznání </w:t>
      </w:r>
      <w:r w:rsidR="00A73F1A">
        <w:t xml:space="preserve">přijímá </w:t>
      </w:r>
      <w:r w:rsidR="00061036">
        <w:t xml:space="preserve">efektivní </w:t>
      </w:r>
      <w:r w:rsidR="089F01A1">
        <w:t xml:space="preserve">kauzalitu </w:t>
      </w:r>
      <w:r w:rsidR="00A73F1A">
        <w:t xml:space="preserve">od </w:t>
      </w:r>
      <w:r w:rsidR="089F01A1">
        <w:t>poznávané věci. A</w:t>
      </w:r>
      <w:r w:rsidR="08737414">
        <w:t xml:space="preserve">ristotelský </w:t>
      </w:r>
      <w:r w:rsidR="00831618">
        <w:t xml:space="preserve">intelekt je v modu </w:t>
      </w:r>
      <w:r w:rsidR="00831618" w:rsidRPr="00831618">
        <w:rPr>
          <w:i/>
        </w:rPr>
        <w:t>per prius</w:t>
      </w:r>
      <w:r w:rsidR="00831618">
        <w:t xml:space="preserve"> </w:t>
      </w:r>
      <w:r w:rsidR="00F31C51">
        <w:t>pouze receptivní</w:t>
      </w:r>
      <w:r w:rsidR="089F01A1">
        <w:t xml:space="preserve"> potence daná jako </w:t>
      </w:r>
      <w:r w:rsidR="089F01A1" w:rsidRPr="089F01A1">
        <w:rPr>
          <w:i/>
        </w:rPr>
        <w:t>intellectus possib</w:t>
      </w:r>
      <w:r w:rsidR="089F01A1">
        <w:rPr>
          <w:i/>
        </w:rPr>
        <w:t>i</w:t>
      </w:r>
      <w:r w:rsidR="089F01A1" w:rsidRPr="089F01A1">
        <w:rPr>
          <w:i/>
        </w:rPr>
        <w:t>lis</w:t>
      </w:r>
      <w:r w:rsidR="00F31C51">
        <w:t xml:space="preserve">. A tato univerzální receptivita </w:t>
      </w:r>
      <w:r w:rsidR="00061036">
        <w:lastRenderedPageBreak/>
        <w:t>garantuje pojetí pravdy jako adekvace</w:t>
      </w:r>
      <w:r w:rsidR="00591132" w:rsidRPr="00273106">
        <w:t xml:space="preserve">. Intelekt je vůči poznávané realitě </w:t>
      </w:r>
      <w:r w:rsidR="00591132"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591132" w:rsidRPr="00273106">
        <w:t xml:space="preserve"> a </w:t>
      </w:r>
      <w:r w:rsidR="08737414">
        <w:t xml:space="preserve">tím je duše </w:t>
      </w:r>
      <w:r w:rsidR="00591132" w:rsidRPr="00273106">
        <w:t>potenciálně vším</w:t>
      </w:r>
      <w:r w:rsidR="08737414">
        <w:t xml:space="preserve"> poznatelným</w:t>
      </w:r>
      <w:r w:rsidR="00591132" w:rsidRPr="00273106">
        <w:t xml:space="preserve">. </w:t>
      </w:r>
      <w:r w:rsidR="00553A94" w:rsidRPr="00273106">
        <w:t xml:space="preserve">Averroisté </w:t>
      </w:r>
      <w:r w:rsidR="00850F0F">
        <w:t>propadli</w:t>
      </w:r>
      <w:r w:rsidR="08FF221F">
        <w:t xml:space="preserve"> iluzi univerzální tvorby a jejich demiurgický </w:t>
      </w:r>
      <w:r w:rsidR="00850F0F">
        <w:t xml:space="preserve">intelekt </w:t>
      </w:r>
      <w:r w:rsidR="00A36114">
        <w:t xml:space="preserve">může </w:t>
      </w:r>
      <w:r w:rsidR="00850F0F">
        <w:t>tvořit cokoliv</w:t>
      </w:r>
      <w:r w:rsidR="08FF221F">
        <w:t>. P</w:t>
      </w:r>
      <w:r w:rsidR="00A36114">
        <w:t>roto mu p</w:t>
      </w:r>
      <w:r w:rsidR="00342775">
        <w:t>řidali</w:t>
      </w:r>
      <w:r w:rsidR="00A36114">
        <w:t xml:space="preserve"> </w:t>
      </w:r>
      <w:r w:rsidR="00342775">
        <w:t>účinnou kauzalit</w:t>
      </w:r>
      <w:r w:rsidR="00342775" w:rsidRPr="00273106">
        <w:t>u vůči realitě</w:t>
      </w:r>
      <w:r w:rsidR="00850F0F">
        <w:t xml:space="preserve">. </w:t>
      </w:r>
      <w:r w:rsidR="00A36114">
        <w:t xml:space="preserve">Na začátku moderny ještě bylo mnohým kritickým filosofům jasné, že </w:t>
      </w:r>
      <w:r w:rsidR="08D31211">
        <w:t>člověk není S</w:t>
      </w:r>
      <w:r w:rsidR="00A36114">
        <w:t>tvořitelem, pro</w:t>
      </w:r>
      <w:r w:rsidR="00CD1F7B">
        <w:t>to</w:t>
      </w:r>
      <w:r w:rsidR="00A36114">
        <w:t>že má genericky odlišný intelekt</w:t>
      </w:r>
      <w:r w:rsidR="080208D6">
        <w:t xml:space="preserve"> než bůh a kosmické inteligence</w:t>
      </w:r>
      <w:r w:rsidR="00A36114">
        <w:t xml:space="preserve">. Albert modernisty upozorňuje, že </w:t>
      </w:r>
      <w:r w:rsidR="00553A94" w:rsidRPr="00273106">
        <w:t>nedrží správně</w:t>
      </w:r>
      <w:r w:rsidR="000D2D3A" w:rsidRPr="00273106">
        <w:t xml:space="preserve"> </w:t>
      </w:r>
      <w:r w:rsidR="00553A94" w:rsidRPr="00273106">
        <w:t>intelekt</w:t>
      </w:r>
      <w:r w:rsidR="00850F0F">
        <w:t xml:space="preserve"> jako </w:t>
      </w:r>
      <w:r w:rsidR="000D2D3A" w:rsidRPr="00273106">
        <w:rPr>
          <w:i/>
        </w:rPr>
        <w:t>inmixtus</w:t>
      </w:r>
      <w:r w:rsidR="000D2D3A" w:rsidRPr="00273106">
        <w:t xml:space="preserve"> podle </w:t>
      </w:r>
      <w:r w:rsidR="00B713C5">
        <w:rPr>
          <w:i/>
        </w:rPr>
        <w:t>De anima</w:t>
      </w:r>
      <w:r w:rsidR="00591132" w:rsidRPr="00273106">
        <w:t xml:space="preserve"> a podle CMDA.</w:t>
      </w:r>
    </w:p>
    <w:p w14:paraId="4857102E" w14:textId="24542A8E" w:rsidR="000D2D3A" w:rsidRPr="00644B1A" w:rsidRDefault="000D2D3A" w:rsidP="00DB0CA7">
      <w:pPr>
        <w:pStyle w:val="Citace"/>
        <w:rPr>
          <w:szCs w:val="13"/>
          <w:shd w:val="clear" w:color="auto" w:fill="FFFFFF"/>
          <w:lang w:val="cs-CZ"/>
        </w:rPr>
      </w:pPr>
      <w:r w:rsidRPr="00DB0CA7">
        <w:rPr>
          <w:rStyle w:val="Zkladntext65ptMalpsmena"/>
          <w:rFonts w:ascii="Calibri" w:eastAsia="Times" w:hAnsi="Calibri" w:cs="Times New Roman"/>
          <w:smallCaps w:val="0"/>
          <w:spacing w:val="0"/>
          <w:sz w:val="22"/>
        </w:rPr>
        <w:t>„</w:t>
      </w:r>
      <w:r w:rsidR="00644B1A" w:rsidRPr="00644B1A">
        <w:rPr>
          <w:rStyle w:val="Zkladntext65ptMalpsmena"/>
          <w:rFonts w:ascii="Calibri" w:eastAsia="Times" w:hAnsi="Calibri" w:cs="Times New Roman"/>
          <w:smallCaps w:val="0"/>
          <w:spacing w:val="0"/>
          <w:sz w:val="22"/>
        </w:rPr>
        <w:t>Pokud něco samo o sobě nedefinuje nebo neurčuje něco jiného, zůstává to univerzální a je to všude jedno a totéž. Oddělený intelekt sám o sobě nedefinuje a neurčuje hmotné jsoucno (</w:t>
      </w:r>
      <w:r w:rsidR="00644B1A" w:rsidRPr="00644B1A">
        <w:rPr>
          <w:rStyle w:val="Zkladntext65ptMalpsmena"/>
          <w:rFonts w:ascii="Calibri" w:eastAsia="Times" w:hAnsi="Calibri" w:cs="Times New Roman"/>
          <w:i/>
          <w:smallCaps w:val="0"/>
          <w:spacing w:val="0"/>
          <w:sz w:val="22"/>
        </w:rPr>
        <w:t>aliquid</w:t>
      </w:r>
      <w:r w:rsidR="00644B1A" w:rsidRPr="00644B1A">
        <w:rPr>
          <w:rStyle w:val="Zkladntext65ptMalpsmena"/>
          <w:rFonts w:ascii="Calibri" w:eastAsia="Times" w:hAnsi="Calibri" w:cs="Times New Roman"/>
          <w:smallCaps w:val="0"/>
          <w:spacing w:val="0"/>
          <w:sz w:val="22"/>
        </w:rPr>
        <w:t>), proto zů</w:t>
      </w:r>
      <w:r w:rsidR="00644B1A">
        <w:rPr>
          <w:rStyle w:val="Zkladntext65ptMalpsmena"/>
          <w:rFonts w:ascii="Calibri" w:eastAsia="Times" w:hAnsi="Calibri" w:cs="Times New Roman"/>
          <w:smallCaps w:val="0"/>
          <w:spacing w:val="0"/>
          <w:sz w:val="22"/>
        </w:rPr>
        <w:t xml:space="preserve">stává všude univerzální. </w:t>
      </w:r>
      <w:r w:rsidR="00644B1A">
        <w:rPr>
          <w:rStyle w:val="Zkladntext65ptMalpsmena"/>
          <w:rFonts w:ascii="Calibri" w:eastAsia="Times" w:hAnsi="Calibri" w:cs="Times New Roman"/>
          <w:smallCaps w:val="0"/>
          <w:spacing w:val="0"/>
          <w:sz w:val="22"/>
          <w:lang w:val="cs-CZ"/>
        </w:rPr>
        <w:t>K</w:t>
      </w:r>
      <w:r w:rsidR="00644B1A" w:rsidRPr="00644B1A">
        <w:rPr>
          <w:rStyle w:val="Zkladntext65ptMalpsmena"/>
          <w:rFonts w:ascii="Calibri" w:eastAsia="Times" w:hAnsi="Calibri" w:cs="Times New Roman"/>
          <w:smallCaps w:val="0"/>
          <w:spacing w:val="0"/>
          <w:sz w:val="22"/>
        </w:rPr>
        <w:t>dyby intelekt určoval něco sám ze sebe, p</w:t>
      </w:r>
      <w:r w:rsidR="00644B1A">
        <w:rPr>
          <w:rStyle w:val="Zkladntext65ptMalpsmena"/>
          <w:rFonts w:ascii="Calibri" w:eastAsia="Times" w:hAnsi="Calibri" w:cs="Times New Roman"/>
          <w:smallCaps w:val="0"/>
          <w:spacing w:val="0"/>
          <w:sz w:val="22"/>
        </w:rPr>
        <w:t>ak by to byla jeho vlastní</w:t>
      </w:r>
      <w:r w:rsidR="00644B1A">
        <w:rPr>
          <w:rStyle w:val="Zkladntext65ptMalpsmena"/>
          <w:rFonts w:ascii="Calibri" w:eastAsia="Times" w:hAnsi="Calibri" w:cs="Times New Roman"/>
          <w:smallCaps w:val="0"/>
          <w:spacing w:val="0"/>
          <w:sz w:val="22"/>
          <w:lang w:val="cs-CZ"/>
        </w:rPr>
        <w:t xml:space="preserve"> materie</w:t>
      </w:r>
      <w:r w:rsidR="00644B1A" w:rsidRPr="00644B1A">
        <w:rPr>
          <w:rStyle w:val="Zkladntext65ptMalpsmena"/>
          <w:rFonts w:ascii="Calibri" w:eastAsia="Times" w:hAnsi="Calibri" w:cs="Times New Roman"/>
          <w:smallCaps w:val="0"/>
          <w:spacing w:val="0"/>
          <w:sz w:val="22"/>
        </w:rPr>
        <w:t xml:space="preserve">. Takový </w:t>
      </w:r>
      <w:r w:rsidR="00644B1A">
        <w:rPr>
          <w:rStyle w:val="Zkladntext65ptMalpsmena"/>
          <w:rFonts w:ascii="Calibri" w:eastAsia="Times" w:hAnsi="Calibri" w:cs="Times New Roman"/>
          <w:smallCaps w:val="0"/>
          <w:spacing w:val="0"/>
          <w:sz w:val="22"/>
          <w:lang w:val="cs-CZ"/>
        </w:rPr>
        <w:t xml:space="preserve">materiální </w:t>
      </w:r>
      <w:r w:rsidR="00644B1A" w:rsidRPr="00644B1A">
        <w:rPr>
          <w:rStyle w:val="Zkladntext65ptMalpsmena"/>
          <w:rFonts w:ascii="Calibri" w:eastAsia="Times" w:hAnsi="Calibri" w:cs="Times New Roman"/>
          <w:smallCaps w:val="0"/>
          <w:spacing w:val="0"/>
          <w:sz w:val="22"/>
        </w:rPr>
        <w:t xml:space="preserve">intelekt </w:t>
      </w:r>
      <w:r w:rsidR="00644B1A">
        <w:rPr>
          <w:rStyle w:val="Zkladntext65ptMalpsmena"/>
          <w:rFonts w:ascii="Calibri" w:eastAsia="Times" w:hAnsi="Calibri" w:cs="Times New Roman"/>
          <w:smallCaps w:val="0"/>
          <w:spacing w:val="0"/>
          <w:sz w:val="22"/>
          <w:lang w:val="cs-CZ"/>
        </w:rPr>
        <w:t xml:space="preserve">ale </w:t>
      </w:r>
      <w:r w:rsidR="00644B1A" w:rsidRPr="00644B1A">
        <w:rPr>
          <w:rStyle w:val="Zkladntext65ptMalpsmena"/>
          <w:rFonts w:ascii="Calibri" w:eastAsia="Times" w:hAnsi="Calibri" w:cs="Times New Roman"/>
          <w:smallCaps w:val="0"/>
          <w:spacing w:val="0"/>
          <w:sz w:val="22"/>
        </w:rPr>
        <w:t>vůbec neexistuje. Proto intelekt nemůže určovat vnější jsoucno ze sebe sama</w:t>
      </w:r>
      <w:r w:rsidR="00644B1A">
        <w:rPr>
          <w:rStyle w:val="Zkladntext65ptMalpsmena"/>
          <w:rFonts w:ascii="Calibri" w:eastAsia="Times" w:hAnsi="Calibri" w:cs="Times New Roman"/>
          <w:smallCaps w:val="0"/>
          <w:spacing w:val="0"/>
          <w:sz w:val="22"/>
          <w:lang w:val="cs-CZ"/>
        </w:rPr>
        <w:t>.</w:t>
      </w:r>
      <w:r w:rsidRPr="00DB0CA7">
        <w:rPr>
          <w:rStyle w:val="Zkladntext65ptMalpsmena"/>
          <w:rFonts w:ascii="Calibri" w:eastAsia="Times" w:hAnsi="Calibri" w:cs="Times New Roman"/>
          <w:smallCaps w:val="0"/>
          <w:spacing w:val="0"/>
          <w:sz w:val="22"/>
        </w:rPr>
        <w:t xml:space="preserve"> </w:t>
      </w:r>
      <w:r w:rsidR="00B741C2" w:rsidRPr="00DB0CA7">
        <w:rPr>
          <w:rStyle w:val="Zkladntext65ptMalpsmena"/>
          <w:rFonts w:ascii="Calibri" w:eastAsia="Times" w:hAnsi="Calibri" w:cs="Times New Roman"/>
          <w:smallCaps w:val="0"/>
          <w:spacing w:val="0"/>
          <w:sz w:val="22"/>
        </w:rPr>
        <w:t xml:space="preserve">(...) </w:t>
      </w:r>
      <w:r w:rsidRPr="00DB0CA7">
        <w:rPr>
          <w:rStyle w:val="Zkladntext65ptMalpsmena"/>
          <w:rFonts w:ascii="Calibri" w:eastAsia="Times" w:hAnsi="Calibri" w:cs="Times New Roman"/>
          <w:smallCaps w:val="0"/>
          <w:spacing w:val="0"/>
          <w:sz w:val="22"/>
        </w:rPr>
        <w:t xml:space="preserve">Tyto argumenty výborně vyložil </w:t>
      </w:r>
      <w:r w:rsidR="002E3B62">
        <w:rPr>
          <w:rStyle w:val="Zkladntext65ptMalpsmena"/>
          <w:rFonts w:ascii="Calibri" w:eastAsia="Times" w:hAnsi="Calibri" w:cs="Times New Roman"/>
          <w:smallCaps w:val="0"/>
          <w:spacing w:val="0"/>
          <w:sz w:val="22"/>
        </w:rPr>
        <w:t>Averroes</w:t>
      </w:r>
      <w:r w:rsidRPr="00DB0CA7">
        <w:rPr>
          <w:rStyle w:val="Zkladntext65ptMalpsmena"/>
          <w:rFonts w:ascii="Calibri" w:eastAsia="Times" w:hAnsi="Calibri" w:cs="Times New Roman"/>
          <w:smallCaps w:val="0"/>
          <w:spacing w:val="0"/>
          <w:sz w:val="22"/>
        </w:rPr>
        <w:t xml:space="preserve">, ale jinými slovy.“ </w:t>
      </w:r>
      <w:r w:rsidRPr="00DB0CA7">
        <w:rPr>
          <w:rStyle w:val="Znakapoznpodarou"/>
        </w:rPr>
        <w:footnoteReference w:id="273"/>
      </w:r>
    </w:p>
    <w:p w14:paraId="4F149212" w14:textId="582A5034" w:rsidR="00221596" w:rsidRPr="00273106" w:rsidRDefault="000D2D3A" w:rsidP="000D2D3A">
      <w:r w:rsidRPr="00273106">
        <w:t>Avicennisté v</w:t>
      </w:r>
      <w:r w:rsidR="00B65F07">
        <w:t>ycházejí z univoční</w:t>
      </w:r>
      <w:r w:rsidR="00221596" w:rsidRPr="00273106">
        <w:t>ho pojetí formy, a tím i z primátu odděleného činného intelektu</w:t>
      </w:r>
      <w:r w:rsidR="001D1FA1" w:rsidRPr="00273106">
        <w:t>, který působí jako eficientní kauza i na úrovni hylemorfické reality</w:t>
      </w:r>
      <w:r w:rsidR="00221596" w:rsidRPr="00273106">
        <w:t xml:space="preserve">. </w:t>
      </w:r>
      <w:r w:rsidR="08C571CD">
        <w:t xml:space="preserve">Albert </w:t>
      </w:r>
      <w:r w:rsidR="001D2D34" w:rsidRPr="00273106">
        <w:t>zdůrazňuje proti moder</w:t>
      </w:r>
      <w:r w:rsidR="0876521C">
        <w:t xml:space="preserve">nistické kreaci jsoucna </w:t>
      </w:r>
      <w:r w:rsidR="0876521C" w:rsidRPr="0876521C">
        <w:rPr>
          <w:i/>
        </w:rPr>
        <w:t>ex nihilo</w:t>
      </w:r>
      <w:r w:rsidR="0876521C">
        <w:rPr>
          <w:i/>
        </w:rPr>
        <w:fldChar w:fldCharType="begin"/>
      </w:r>
      <w:r w:rsidR="0876521C">
        <w:instrText xml:space="preserve"> XE "</w:instrText>
      </w:r>
      <w:r w:rsidR="0876521C" w:rsidRPr="08C17EDE">
        <w:rPr>
          <w:i/>
        </w:rPr>
        <w:instrText>creatio ex nihilo</w:instrText>
      </w:r>
      <w:r w:rsidR="0876521C">
        <w:instrText xml:space="preserve">" </w:instrText>
      </w:r>
      <w:r w:rsidR="0876521C">
        <w:rPr>
          <w:i/>
        </w:rPr>
        <w:fldChar w:fldCharType="end"/>
      </w:r>
      <w:r w:rsidR="001D2D34" w:rsidRPr="00273106">
        <w:t xml:space="preserve">, že </w:t>
      </w:r>
      <w:r w:rsidR="0876521C">
        <w:t xml:space="preserve">lidský intelekt </w:t>
      </w:r>
      <w:r w:rsidR="001D2D34" w:rsidRPr="00273106">
        <w:t xml:space="preserve">nemůže v aktu poznání tvořit </w:t>
      </w:r>
      <w:r w:rsidR="00341B46" w:rsidRPr="00273106">
        <w:t xml:space="preserve">poznané </w:t>
      </w:r>
      <w:r w:rsidR="001D2D34" w:rsidRPr="00273106">
        <w:t xml:space="preserve">jsoucno sám od sebe. </w:t>
      </w:r>
      <w:r w:rsidR="08C5224A">
        <w:t xml:space="preserve">A vlastní materii intelekt nemá, protože Komentátorův </w:t>
      </w:r>
      <w:r w:rsidR="08C5224A" w:rsidRPr="08C5224A">
        <w:rPr>
          <w:i/>
        </w:rPr>
        <w:t>intellectus materialis</w:t>
      </w:r>
      <w:r w:rsidR="08C5224A">
        <w:t xml:space="preserve"> je čistá poznávací potence duše. </w:t>
      </w:r>
      <w:r w:rsidR="00FD5AF9">
        <w:t>Moderní t</w:t>
      </w:r>
      <w:r w:rsidR="001D2D34" w:rsidRPr="00273106">
        <w:t>voření interního objektu-simulákra</w:t>
      </w:r>
      <w:r w:rsidR="009650A4">
        <w:fldChar w:fldCharType="begin"/>
      </w:r>
      <w:r w:rsidR="009650A4">
        <w:instrText xml:space="preserve"> XE "</w:instrText>
      </w:r>
      <w:r w:rsidR="009650A4" w:rsidRPr="00C2134D">
        <w:instrText>simulákrum</w:instrText>
      </w:r>
      <w:r w:rsidR="009650A4">
        <w:instrText xml:space="preserve">" </w:instrText>
      </w:r>
      <w:r w:rsidR="009650A4">
        <w:fldChar w:fldCharType="end"/>
      </w:r>
      <w:r w:rsidR="08C24090">
        <w:t xml:space="preserve"> nahradilo klasickou recepci reálné věci. Poznání moderny vzniká tím, že </w:t>
      </w:r>
      <w:r w:rsidR="001D2D34" w:rsidRPr="00273106">
        <w:t xml:space="preserve">činný intelekt vystupuje jako avicennovská </w:t>
      </w:r>
      <w:r w:rsidR="001D2D34" w:rsidRPr="00273106">
        <w:rPr>
          <w:i/>
        </w:rPr>
        <w:t>forma formarum</w:t>
      </w:r>
      <w:r w:rsidR="001D2D34" w:rsidRPr="00273106">
        <w:t xml:space="preserve"> vybavená kauzální účinností danou v řádu forem směrem dolů. Ke tvoření substance třetího druhu má navíc tento intelekt </w:t>
      </w:r>
      <w:r w:rsidR="08FD7986">
        <w:t xml:space="preserve">jako </w:t>
      </w:r>
      <w:r w:rsidR="08FD7986" w:rsidRPr="08FD7986">
        <w:rPr>
          <w:i/>
        </w:rPr>
        <w:t>Dator formarum</w:t>
      </w:r>
      <w:r w:rsidR="08FD7986">
        <w:t xml:space="preserve"> </w:t>
      </w:r>
      <w:r w:rsidR="001D2D34" w:rsidRPr="00273106">
        <w:t>k dispozici i d</w:t>
      </w:r>
      <w:r w:rsidR="08FD7986">
        <w:t>alší jsoucno třetího druhu, což je</w:t>
      </w:r>
      <w:r w:rsidR="001D2D34" w:rsidRPr="00273106">
        <w:t xml:space="preserve"> </w:t>
      </w:r>
      <w:r w:rsidR="001D2D34" w:rsidRPr="0027310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1D2D34" w:rsidRPr="00273106">
        <w:t>. P</w:t>
      </w:r>
      <w:r w:rsidR="00F0592E" w:rsidRPr="00273106">
        <w:t xml:space="preserve">ojetí intelektu podle averroistů stojí ve zřejmém rozporu s učením </w:t>
      </w:r>
      <w:r w:rsidR="002E3B62">
        <w:t>Averroes</w:t>
      </w:r>
      <w:r w:rsidR="00F0592E" w:rsidRPr="00273106">
        <w:t xml:space="preserve">e, který nebyl averroistou. </w:t>
      </w:r>
      <w:r w:rsidR="00221596" w:rsidRPr="00273106">
        <w:t xml:space="preserve">Znovu se na scénu dostává </w:t>
      </w:r>
      <w:r w:rsidR="00947F8B" w:rsidRPr="00273106">
        <w:t>Alverno</w:t>
      </w:r>
      <w:r w:rsidR="007F5115">
        <w:t xml:space="preserve">vo určení této skupiny jako </w:t>
      </w:r>
      <w:r w:rsidR="00E421D2">
        <w:rPr>
          <w:i/>
        </w:rPr>
        <w:t>sophis</w:t>
      </w:r>
      <w:r w:rsidR="00221596" w:rsidRPr="00273106">
        <w:rPr>
          <w:i/>
        </w:rPr>
        <w:t>t</w:t>
      </w:r>
      <w:r w:rsidR="00AD598B">
        <w:rPr>
          <w:i/>
        </w:rPr>
        <w:t>a</w:t>
      </w:r>
      <w:r w:rsidR="00221596" w:rsidRPr="00273106">
        <w:rPr>
          <w:i/>
        </w:rPr>
        <w:t>e Latini</w:t>
      </w:r>
      <w:r w:rsidR="00EB76FD">
        <w:rPr>
          <w:i/>
        </w:rPr>
        <w:fldChar w:fldCharType="begin"/>
      </w:r>
      <w:r w:rsidR="00EB76FD">
        <w:instrText xml:space="preserve"> XE "druhý averroismus:</w:instrText>
      </w:r>
      <w:r w:rsidR="00E421D2">
        <w:rPr>
          <w:i/>
        </w:rPr>
        <w:instrText>sophis</w:instrText>
      </w:r>
      <w:r w:rsidR="00EB76FD" w:rsidRPr="00F80B49">
        <w:rPr>
          <w:i/>
        </w:rPr>
        <w:instrText>t</w:instrText>
      </w:r>
      <w:r w:rsidR="00AD598B">
        <w:rPr>
          <w:i/>
        </w:rPr>
        <w:instrText>a</w:instrText>
      </w:r>
      <w:r w:rsidR="00EB76FD" w:rsidRPr="00F80B49">
        <w:rPr>
          <w:i/>
        </w:rPr>
        <w:instrText>e Latini</w:instrText>
      </w:r>
      <w:r w:rsidR="00EB76FD">
        <w:instrText xml:space="preserve">" </w:instrText>
      </w:r>
      <w:r w:rsidR="00EB76FD">
        <w:rPr>
          <w:i/>
        </w:rPr>
        <w:fldChar w:fldCharType="end"/>
      </w:r>
      <w:r w:rsidR="00221596" w:rsidRPr="00273106">
        <w:t xml:space="preserve">, vůči které je třeba provést </w:t>
      </w:r>
      <w:r w:rsidR="00186129" w:rsidRPr="00273106">
        <w:t xml:space="preserve">správný výklad </w:t>
      </w:r>
      <w:r w:rsidR="002E3B62">
        <w:t>Averroes</w:t>
      </w:r>
      <w:r w:rsidR="08854525">
        <w:t>e (kap. 2</w:t>
      </w:r>
      <w:r w:rsidR="00221596" w:rsidRPr="00273106">
        <w:t>.3</w:t>
      </w:r>
      <w:r w:rsidR="00D548D9">
        <w:t>.1</w:t>
      </w:r>
      <w:r w:rsidR="00221596" w:rsidRPr="00273106">
        <w:t>). Učení druhého averroismu je formulováno v sedmém argumentu, kde je jasně odmítnut vznik moderního indiv</w:t>
      </w:r>
      <w:r w:rsidR="007F5115">
        <w:t>idua pomocí dělení v rámci Porfy</w:t>
      </w:r>
      <w:r w:rsidR="00221596" w:rsidRPr="00273106">
        <w:t xml:space="preserve">riova stromu skrze </w:t>
      </w:r>
      <w:r w:rsidR="00221596" w:rsidRPr="00273106">
        <w:rPr>
          <w:i/>
        </w:rPr>
        <w:lastRenderedPageBreak/>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221596" w:rsidRPr="00273106">
        <w:t>. Proto m</w:t>
      </w:r>
      <w:r w:rsidR="008D3C91" w:rsidRPr="00273106">
        <w:t>usí být intelekt averroistů</w:t>
      </w:r>
      <w:r w:rsidR="00221596" w:rsidRPr="00273106">
        <w:t xml:space="preserve"> kvazi-mater</w:t>
      </w:r>
      <w:r w:rsidR="009C412C" w:rsidRPr="00273106">
        <w:t>i</w:t>
      </w:r>
      <w:r w:rsidR="086D5513">
        <w:t xml:space="preserve">ální </w:t>
      </w:r>
      <w:r w:rsidR="008D3C91" w:rsidRPr="00273106">
        <w:t xml:space="preserve">jako v postmoderním </w:t>
      </w:r>
      <w:r w:rsidR="009C412C" w:rsidRPr="00273106">
        <w:t xml:space="preserve">pojetí </w:t>
      </w:r>
      <w:r w:rsidR="009C412C" w:rsidRPr="00273106">
        <w:rPr>
          <w:i/>
        </w:rPr>
        <w:t>res cogitans</w:t>
      </w:r>
      <w:r w:rsidR="009A1BD1">
        <w:rPr>
          <w:i/>
        </w:rPr>
        <w:fldChar w:fldCharType="begin"/>
      </w:r>
      <w:r w:rsidR="009A1BD1">
        <w:instrText xml:space="preserve"> XE "</w:instrText>
      </w:r>
      <w:r w:rsidR="009A1BD1" w:rsidRPr="003F49D8">
        <w:rPr>
          <w:i/>
        </w:rPr>
        <w:instrText>res cogitans</w:instrText>
      </w:r>
      <w:r w:rsidR="009A1BD1">
        <w:instrText xml:space="preserve">" </w:instrText>
      </w:r>
      <w:r w:rsidR="009A1BD1">
        <w:rPr>
          <w:i/>
        </w:rPr>
        <w:fldChar w:fldCharType="end"/>
      </w:r>
      <w:r w:rsidR="00221596" w:rsidRPr="00273106">
        <w:t>.</w:t>
      </w:r>
    </w:p>
    <w:p w14:paraId="6334A2D0" w14:textId="681F4FE7" w:rsidR="00446057" w:rsidRPr="0031429A" w:rsidRDefault="00221596" w:rsidP="0031429A">
      <w:pPr>
        <w:pStyle w:val="Citace"/>
        <w:rPr>
          <w:shd w:val="clear" w:color="auto" w:fill="FFFFFF"/>
        </w:rPr>
      </w:pPr>
      <w:r w:rsidRPr="0031429A">
        <w:rPr>
          <w:rStyle w:val="Zkladntext65ptMalpsmena"/>
          <w:rFonts w:ascii="Calibri" w:eastAsia="Times" w:hAnsi="Calibri" w:cs="Times New Roman"/>
          <w:smallCaps w:val="0"/>
          <w:spacing w:val="0"/>
          <w:sz w:val="22"/>
        </w:rPr>
        <w:t>„</w:t>
      </w:r>
      <w:r w:rsidR="0010381F" w:rsidRPr="0031429A">
        <w:rPr>
          <w:rStyle w:val="Zkladntext65ptMalpsmena"/>
          <w:rFonts w:ascii="Calibri" w:eastAsia="Times" w:hAnsi="Calibri" w:cs="Times New Roman"/>
          <w:smallCaps w:val="0"/>
          <w:spacing w:val="0"/>
          <w:sz w:val="22"/>
        </w:rPr>
        <w:t xml:space="preserve">Říkají, že </w:t>
      </w:r>
      <w:r w:rsidR="002E30FF" w:rsidRPr="002E30FF">
        <w:rPr>
          <w:rStyle w:val="Zkladntext65ptMalpsmena"/>
          <w:rFonts w:ascii="Calibri" w:eastAsia="Times" w:hAnsi="Calibri" w:cs="Times New Roman"/>
          <w:smallCaps w:val="0"/>
          <w:spacing w:val="0"/>
          <w:sz w:val="22"/>
        </w:rPr>
        <w:t>species</w:t>
      </w:r>
      <w:r w:rsidR="0073447F">
        <w:rPr>
          <w:rStyle w:val="Zkladntext65ptMalpsmena"/>
          <w:rFonts w:ascii="Calibri" w:eastAsia="Times" w:hAnsi="Calibri" w:cs="Times New Roman"/>
          <w:smallCaps w:val="0"/>
          <w:spacing w:val="0"/>
          <w:sz w:val="22"/>
        </w:rPr>
        <w:t xml:space="preserve"> přijatý mimo materii </w:t>
      </w:r>
      <w:r w:rsidR="0073447F">
        <w:rPr>
          <w:rStyle w:val="Zkladntext65ptMalpsmena"/>
          <w:rFonts w:ascii="Calibri" w:eastAsia="Times" w:hAnsi="Calibri" w:cs="Times New Roman"/>
          <w:smallCaps w:val="0"/>
          <w:spacing w:val="0"/>
          <w:sz w:val="22"/>
          <w:lang w:val="cs-CZ"/>
        </w:rPr>
        <w:t>má</w:t>
      </w:r>
      <w:r w:rsidR="0073447F">
        <w:rPr>
          <w:rStyle w:val="Zkladntext65ptMalpsmena"/>
          <w:rFonts w:ascii="Calibri" w:eastAsia="Times" w:hAnsi="Calibri" w:cs="Times New Roman"/>
          <w:smallCaps w:val="0"/>
          <w:spacing w:val="0"/>
          <w:sz w:val="22"/>
        </w:rPr>
        <w:t xml:space="preserve"> neděliteln</w:t>
      </w:r>
      <w:r w:rsidR="0073447F">
        <w:rPr>
          <w:rStyle w:val="Zkladntext65ptMalpsmena"/>
          <w:rFonts w:ascii="Calibri" w:eastAsia="Times" w:hAnsi="Calibri" w:cs="Times New Roman"/>
          <w:smallCaps w:val="0"/>
          <w:spacing w:val="0"/>
          <w:sz w:val="22"/>
          <w:lang w:val="cs-CZ"/>
        </w:rPr>
        <w:t>ou</w:t>
      </w:r>
      <w:r w:rsidR="0010381F" w:rsidRPr="0031429A">
        <w:rPr>
          <w:rStyle w:val="Zkladntext65ptMalpsmena"/>
          <w:rFonts w:ascii="Calibri" w:eastAsia="Times" w:hAnsi="Calibri" w:cs="Times New Roman"/>
          <w:smallCaps w:val="0"/>
          <w:spacing w:val="0"/>
          <w:sz w:val="22"/>
        </w:rPr>
        <w:t xml:space="preserve"> přirozenost, která se dále nemůže individualizovat jinak než skrze materii. A tato individualizace má ak</w:t>
      </w:r>
      <w:r w:rsidR="00FC094C" w:rsidRPr="0031429A">
        <w:rPr>
          <w:rStyle w:val="Zkladntext65ptMalpsmena"/>
          <w:rFonts w:ascii="Calibri" w:eastAsia="Times" w:hAnsi="Calibri" w:cs="Times New Roman"/>
          <w:smallCaps w:val="0"/>
          <w:spacing w:val="0"/>
          <w:sz w:val="22"/>
        </w:rPr>
        <w:t xml:space="preserve">cidentální charakter tím, že </w:t>
      </w:r>
      <w:r w:rsidR="002E30FF" w:rsidRPr="002E30FF">
        <w:rPr>
          <w:rStyle w:val="Zkladntext65ptMalpsmena"/>
          <w:rFonts w:ascii="Calibri" w:eastAsia="Times" w:hAnsi="Calibri" w:cs="Times New Roman"/>
          <w:smallCaps w:val="0"/>
          <w:spacing w:val="0"/>
          <w:sz w:val="22"/>
        </w:rPr>
        <w:t>species</w:t>
      </w:r>
      <w:r w:rsidR="00FC094C" w:rsidRPr="0031429A">
        <w:rPr>
          <w:rStyle w:val="Zkladntext65ptMalpsmena"/>
          <w:rFonts w:ascii="Calibri" w:eastAsia="Times" w:hAnsi="Calibri" w:cs="Times New Roman"/>
          <w:smallCaps w:val="0"/>
          <w:spacing w:val="0"/>
          <w:sz w:val="22"/>
        </w:rPr>
        <w:t xml:space="preserve"> se ocitá</w:t>
      </w:r>
      <w:r w:rsidR="0010381F" w:rsidRPr="0031429A">
        <w:rPr>
          <w:rStyle w:val="Zkladntext65ptMalpsmena"/>
          <w:rFonts w:ascii="Calibri" w:eastAsia="Times" w:hAnsi="Calibri" w:cs="Times New Roman"/>
          <w:smallCaps w:val="0"/>
          <w:spacing w:val="0"/>
          <w:sz w:val="22"/>
        </w:rPr>
        <w:t xml:space="preserve"> v materii</w:t>
      </w:r>
      <w:r w:rsidR="00016846" w:rsidRPr="0031429A">
        <w:rPr>
          <w:rStyle w:val="Zkladntext65ptMalpsmena"/>
          <w:rFonts w:ascii="Calibri" w:eastAsia="Times" w:hAnsi="Calibri" w:cs="Times New Roman"/>
          <w:smallCaps w:val="0"/>
          <w:spacing w:val="0"/>
          <w:sz w:val="22"/>
        </w:rPr>
        <w:t xml:space="preserve"> (</w:t>
      </w:r>
      <w:r w:rsidR="00016846" w:rsidRPr="0031429A">
        <w:rPr>
          <w:i/>
        </w:rPr>
        <w:t>hoc accidit ei in quantum est in materia</w:t>
      </w:r>
      <w:r w:rsidR="00016846" w:rsidRPr="0031429A">
        <w:rPr>
          <w:rStyle w:val="Zkladntext65ptMalpsmena"/>
          <w:rFonts w:ascii="Calibri" w:eastAsia="Times" w:hAnsi="Calibri" w:cs="Times New Roman"/>
          <w:smallCaps w:val="0"/>
          <w:spacing w:val="0"/>
          <w:sz w:val="22"/>
        </w:rPr>
        <w:t>)</w:t>
      </w:r>
      <w:r w:rsidR="0010381F" w:rsidRPr="0031429A">
        <w:rPr>
          <w:rStyle w:val="Zkladntext65ptMalpsmena"/>
          <w:rFonts w:ascii="Calibri" w:eastAsia="Times" w:hAnsi="Calibri" w:cs="Times New Roman"/>
          <w:smallCaps w:val="0"/>
          <w:spacing w:val="0"/>
          <w:sz w:val="22"/>
        </w:rPr>
        <w:t>, ale</w:t>
      </w:r>
      <w:r w:rsidR="00876307">
        <w:rPr>
          <w:rStyle w:val="Zkladntext65ptMalpsmena"/>
          <w:rFonts w:ascii="Calibri" w:eastAsia="Times" w:hAnsi="Calibri" w:cs="Times New Roman"/>
          <w:smallCaps w:val="0"/>
          <w:spacing w:val="0"/>
          <w:sz w:val="22"/>
        </w:rPr>
        <w:t xml:space="preserve"> sam</w:t>
      </w:r>
      <w:r w:rsidR="00876307">
        <w:rPr>
          <w:rStyle w:val="Zkladntext65ptMalpsmena"/>
          <w:rFonts w:ascii="Calibri" w:eastAsia="Times" w:hAnsi="Calibri" w:cs="Times New Roman"/>
          <w:smallCaps w:val="0"/>
          <w:spacing w:val="0"/>
          <w:sz w:val="22"/>
          <w:lang w:val="cs-CZ"/>
        </w:rPr>
        <w:t>a</w:t>
      </w:r>
      <w:r w:rsidR="00016846" w:rsidRPr="0031429A">
        <w:rPr>
          <w:rStyle w:val="Zkladntext65ptMalpsmena"/>
          <w:rFonts w:ascii="Calibri" w:eastAsia="Times" w:hAnsi="Calibri" w:cs="Times New Roman"/>
          <w:smallCaps w:val="0"/>
          <w:spacing w:val="0"/>
          <w:sz w:val="22"/>
        </w:rPr>
        <w:t xml:space="preserve"> o sobě </w:t>
      </w:r>
      <w:r w:rsidR="00876307">
        <w:rPr>
          <w:rStyle w:val="Zkladntext65ptMalpsmena"/>
          <w:rFonts w:ascii="Calibri" w:eastAsia="Times" w:hAnsi="Calibri" w:cs="Times New Roman"/>
          <w:smallCaps w:val="0"/>
          <w:spacing w:val="0"/>
          <w:sz w:val="22"/>
          <w:lang w:val="cs-CZ"/>
        </w:rPr>
        <w:t xml:space="preserve">species není </w:t>
      </w:r>
      <w:r w:rsidR="0073447F">
        <w:rPr>
          <w:rStyle w:val="Zkladntext65ptMalpsmena"/>
          <w:rFonts w:ascii="Calibri" w:eastAsia="Times" w:hAnsi="Calibri" w:cs="Times New Roman"/>
          <w:smallCaps w:val="0"/>
          <w:spacing w:val="0"/>
          <w:sz w:val="22"/>
          <w:lang w:val="cs-CZ"/>
        </w:rPr>
        <w:t>mat</w:t>
      </w:r>
      <w:r w:rsidR="00876307">
        <w:rPr>
          <w:rStyle w:val="Zkladntext65ptMalpsmena"/>
          <w:rFonts w:ascii="Calibri" w:eastAsia="Times" w:hAnsi="Calibri" w:cs="Times New Roman"/>
          <w:smallCaps w:val="0"/>
          <w:spacing w:val="0"/>
          <w:sz w:val="22"/>
          <w:lang w:val="cs-CZ"/>
        </w:rPr>
        <w:t>e</w:t>
      </w:r>
      <w:r w:rsidR="0073447F">
        <w:rPr>
          <w:rStyle w:val="Zkladntext65ptMalpsmena"/>
          <w:rFonts w:ascii="Calibri" w:eastAsia="Times" w:hAnsi="Calibri" w:cs="Times New Roman"/>
          <w:smallCaps w:val="0"/>
          <w:spacing w:val="0"/>
          <w:sz w:val="22"/>
          <w:lang w:val="cs-CZ"/>
        </w:rPr>
        <w:t xml:space="preserve">riální </w:t>
      </w:r>
      <w:r w:rsidR="00016846" w:rsidRPr="0031429A">
        <w:rPr>
          <w:rStyle w:val="Zkladntext65ptMalpsmena"/>
          <w:rFonts w:ascii="Calibri" w:eastAsia="Times" w:hAnsi="Calibri" w:cs="Times New Roman"/>
          <w:smallCaps w:val="0"/>
          <w:spacing w:val="0"/>
          <w:sz w:val="22"/>
        </w:rPr>
        <w:t>(</w:t>
      </w:r>
      <w:r w:rsidR="00016846" w:rsidRPr="0031429A">
        <w:rPr>
          <w:i/>
        </w:rPr>
        <w:t>non secundum se</w:t>
      </w:r>
      <w:r w:rsidR="00016846" w:rsidRPr="0031429A">
        <w:rPr>
          <w:rStyle w:val="Zkladntext65ptMalpsmena"/>
          <w:rFonts w:ascii="Calibri" w:eastAsia="Times" w:hAnsi="Calibri" w:cs="Times New Roman"/>
          <w:smallCaps w:val="0"/>
          <w:spacing w:val="0"/>
          <w:sz w:val="22"/>
        </w:rPr>
        <w:t>)</w:t>
      </w:r>
      <w:r w:rsidR="0010381F" w:rsidRPr="0031429A">
        <w:rPr>
          <w:rStyle w:val="Zkladntext65ptMalpsmena"/>
          <w:rFonts w:ascii="Calibri" w:eastAsia="Times" w:hAnsi="Calibri" w:cs="Times New Roman"/>
          <w:smallCaps w:val="0"/>
          <w:spacing w:val="0"/>
          <w:sz w:val="22"/>
        </w:rPr>
        <w:t xml:space="preserve">.  A tím spíše se tak </w:t>
      </w:r>
      <w:r w:rsidR="00DB24AF" w:rsidRPr="0031429A">
        <w:rPr>
          <w:rStyle w:val="Zkladntext65ptMalpsmena"/>
          <w:rFonts w:ascii="Calibri" w:eastAsia="Times" w:hAnsi="Calibri" w:cs="Times New Roman"/>
          <w:smallCaps w:val="0"/>
          <w:spacing w:val="0"/>
          <w:sz w:val="22"/>
        </w:rPr>
        <w:t xml:space="preserve">prý </w:t>
      </w:r>
      <w:r w:rsidR="0010381F" w:rsidRPr="0031429A">
        <w:rPr>
          <w:rStyle w:val="Zkladntext65ptMalpsmena"/>
          <w:rFonts w:ascii="Calibri" w:eastAsia="Times" w:hAnsi="Calibri" w:cs="Times New Roman"/>
          <w:smallCaps w:val="0"/>
          <w:spacing w:val="0"/>
          <w:sz w:val="22"/>
        </w:rPr>
        <w:t xml:space="preserve">děje v případě jsoucna, které je </w:t>
      </w:r>
      <w:r w:rsidR="08D519E6">
        <w:rPr>
          <w:rStyle w:val="Zkladntext65ptMalpsmena"/>
          <w:rFonts w:ascii="Calibri" w:eastAsia="Times" w:hAnsi="Calibri" w:cs="Times New Roman"/>
          <w:smallCaps w:val="0"/>
          <w:spacing w:val="0"/>
          <w:sz w:val="22"/>
          <w:lang w:val="cs-CZ"/>
        </w:rPr>
        <w:t xml:space="preserve">specifickým druhem </w:t>
      </w:r>
      <w:r w:rsidR="08F21191">
        <w:rPr>
          <w:rStyle w:val="Zkladntext65ptMalpsmena"/>
          <w:rFonts w:ascii="Calibri" w:eastAsia="Times" w:hAnsi="Calibri" w:cs="Times New Roman"/>
          <w:smallCaps w:val="0"/>
          <w:spacing w:val="0"/>
          <w:sz w:val="22"/>
          <w:lang w:val="cs-CZ"/>
        </w:rPr>
        <w:t xml:space="preserve">pro </w:t>
      </w:r>
      <w:r w:rsidR="0010381F" w:rsidRPr="0031429A">
        <w:rPr>
          <w:rStyle w:val="Zkladntext65ptMalpsmena"/>
          <w:rFonts w:ascii="Calibri" w:eastAsia="Times" w:hAnsi="Calibri" w:cs="Times New Roman"/>
          <w:smallCaps w:val="0"/>
          <w:spacing w:val="0"/>
          <w:sz w:val="22"/>
        </w:rPr>
        <w:t xml:space="preserve">ostatní </w:t>
      </w:r>
      <w:r w:rsidR="002E30FF" w:rsidRPr="002E30FF">
        <w:rPr>
          <w:rStyle w:val="Zkladntext65ptMalpsmena"/>
          <w:rFonts w:ascii="Calibri" w:eastAsia="Times" w:hAnsi="Calibri" w:cs="Times New Roman"/>
          <w:smallCaps w:val="0"/>
          <w:spacing w:val="0"/>
          <w:sz w:val="22"/>
        </w:rPr>
        <w:t>species</w:t>
      </w:r>
      <w:r w:rsidR="08F21191">
        <w:rPr>
          <w:rStyle w:val="Zkladntext65ptMalpsmena"/>
          <w:rFonts w:ascii="Calibri" w:eastAsia="Times" w:hAnsi="Calibri" w:cs="Times New Roman"/>
          <w:smallCaps w:val="0"/>
          <w:spacing w:val="0"/>
          <w:sz w:val="22"/>
          <w:lang w:val="cs-CZ"/>
        </w:rPr>
        <w:t xml:space="preserve"> (</w:t>
      </w:r>
      <w:r w:rsidR="08F21191" w:rsidRPr="08F21191">
        <w:rPr>
          <w:i/>
        </w:rPr>
        <w:t xml:space="preserve">quod est </w:t>
      </w:r>
      <w:r w:rsidR="004B4D52" w:rsidRPr="004E15F5">
        <w:rPr>
          <w:i/>
        </w:rPr>
        <w:t>species</w:t>
      </w:r>
      <w:r w:rsidR="08F21191" w:rsidRPr="08F21191">
        <w:rPr>
          <w:i/>
        </w:rPr>
        <w:t xml:space="preserve"> specierum</w:t>
      </w:r>
      <w:r w:rsidR="08F21191">
        <w:rPr>
          <w:rStyle w:val="Zkladntext65ptMalpsmena"/>
          <w:rFonts w:ascii="Calibri" w:eastAsia="Times" w:hAnsi="Calibri" w:cs="Times New Roman"/>
          <w:smallCaps w:val="0"/>
          <w:spacing w:val="0"/>
          <w:sz w:val="22"/>
          <w:lang w:val="cs-CZ"/>
        </w:rPr>
        <w:t>).</w:t>
      </w:r>
      <w:r w:rsidR="087602EE">
        <w:rPr>
          <w:rStyle w:val="Zkladntext65ptMalpsmena"/>
          <w:rFonts w:ascii="Calibri" w:eastAsia="Times" w:hAnsi="Calibri" w:cs="Times New Roman"/>
          <w:smallCaps w:val="0"/>
          <w:spacing w:val="0"/>
          <w:sz w:val="22"/>
        </w:rPr>
        <w:t xml:space="preserve"> A intelekt je dán </w:t>
      </w:r>
      <w:r w:rsidR="087602EE">
        <w:rPr>
          <w:rStyle w:val="Zkladntext65ptMalpsmena"/>
          <w:rFonts w:ascii="Calibri" w:eastAsia="Times" w:hAnsi="Calibri" w:cs="Times New Roman"/>
          <w:smallCaps w:val="0"/>
          <w:spacing w:val="0"/>
          <w:sz w:val="22"/>
          <w:lang w:val="cs-CZ"/>
        </w:rPr>
        <w:t xml:space="preserve">jako specifický druh pro </w:t>
      </w:r>
      <w:r w:rsidR="087602EE" w:rsidRPr="0031429A">
        <w:rPr>
          <w:rStyle w:val="Zkladntext65ptMalpsmena"/>
          <w:rFonts w:ascii="Calibri" w:eastAsia="Times" w:hAnsi="Calibri" w:cs="Times New Roman"/>
          <w:smallCaps w:val="0"/>
          <w:spacing w:val="0"/>
          <w:sz w:val="22"/>
        </w:rPr>
        <w:t xml:space="preserve">ostatní </w:t>
      </w:r>
      <w:r w:rsidR="002E30FF" w:rsidRPr="002E30FF">
        <w:rPr>
          <w:rStyle w:val="Zkladntext65ptMalpsmena"/>
          <w:rFonts w:ascii="Calibri" w:eastAsia="Times" w:hAnsi="Calibri" w:cs="Times New Roman"/>
          <w:smallCaps w:val="0"/>
          <w:spacing w:val="0"/>
          <w:sz w:val="22"/>
        </w:rPr>
        <w:t>species</w:t>
      </w:r>
      <w:r w:rsidR="0010381F" w:rsidRPr="0031429A">
        <w:rPr>
          <w:rStyle w:val="Zkladntext65ptMalpsmena"/>
          <w:rFonts w:ascii="Calibri" w:eastAsia="Times" w:hAnsi="Calibri" w:cs="Times New Roman"/>
          <w:smallCaps w:val="0"/>
          <w:spacing w:val="0"/>
          <w:sz w:val="22"/>
        </w:rPr>
        <w:t xml:space="preserve">. Pak se </w:t>
      </w:r>
      <w:r w:rsidR="0881467C">
        <w:rPr>
          <w:rStyle w:val="Zkladntext65ptMalpsmena"/>
          <w:rFonts w:ascii="Calibri" w:eastAsia="Times" w:hAnsi="Calibri" w:cs="Times New Roman"/>
          <w:smallCaps w:val="0"/>
          <w:spacing w:val="0"/>
          <w:sz w:val="22"/>
          <w:lang w:val="cs-CZ"/>
        </w:rPr>
        <w:t xml:space="preserve">intelekt </w:t>
      </w:r>
      <w:r w:rsidR="0010381F" w:rsidRPr="0031429A">
        <w:rPr>
          <w:rStyle w:val="Zkladntext65ptMalpsmena"/>
          <w:rFonts w:ascii="Calibri" w:eastAsia="Times" w:hAnsi="Calibri" w:cs="Times New Roman"/>
          <w:smallCaps w:val="0"/>
          <w:spacing w:val="0"/>
          <w:sz w:val="22"/>
        </w:rPr>
        <w:t>nemůže individualizovat jinak, než skrze materii. Ale materiální založení intelektu je v rozporu s jeho povahou a s jeho definicí.“</w:t>
      </w:r>
      <w:r w:rsidR="00837347" w:rsidRPr="0031429A">
        <w:rPr>
          <w:rStyle w:val="Zkladntext65ptMalpsmena"/>
          <w:rFonts w:ascii="Calibri" w:eastAsia="Times" w:hAnsi="Calibri" w:cs="Times New Roman"/>
          <w:smallCaps w:val="0"/>
          <w:spacing w:val="0"/>
          <w:sz w:val="22"/>
        </w:rPr>
        <w:t xml:space="preserve"> </w:t>
      </w:r>
      <w:r w:rsidR="00446057" w:rsidRPr="0031429A">
        <w:rPr>
          <w:rStyle w:val="Znakapoznpodarou"/>
        </w:rPr>
        <w:footnoteReference w:id="274"/>
      </w:r>
    </w:p>
    <w:p w14:paraId="7585DD12" w14:textId="094A38F6" w:rsidR="00927957" w:rsidRDefault="00954021" w:rsidP="009C7BF9">
      <w:r w:rsidRPr="00273106">
        <w:t xml:space="preserve">Intelekt </w:t>
      </w:r>
      <w:r w:rsidR="001C71D4" w:rsidRPr="00273106">
        <w:t xml:space="preserve">modernistů </w:t>
      </w:r>
      <w:r w:rsidR="086D5513">
        <w:t xml:space="preserve">vystupuje </w:t>
      </w:r>
      <w:r w:rsidR="082747E0">
        <w:t xml:space="preserve">jako </w:t>
      </w:r>
      <w:r w:rsidRPr="00273106">
        <w:t>super-</w:t>
      </w:r>
      <w:r w:rsidR="002E30FF" w:rsidRPr="002E30FF">
        <w:t>species</w:t>
      </w:r>
      <w:r w:rsidRPr="00273106">
        <w:t xml:space="preserve"> </w:t>
      </w:r>
      <w:r w:rsidR="000A7FB8" w:rsidRPr="00273106">
        <w:t>(</w:t>
      </w:r>
      <w:r w:rsidR="000A7FB8" w:rsidRPr="00273106">
        <w:rPr>
          <w:i/>
        </w:rPr>
        <w:t xml:space="preserve">intellectus </w:t>
      </w:r>
      <w:r w:rsidR="086D5513" w:rsidRPr="00273106">
        <w:rPr>
          <w:i/>
        </w:rPr>
        <w:t xml:space="preserve">est </w:t>
      </w:r>
      <w:r w:rsidR="004B4D52" w:rsidRPr="004B4D52">
        <w:t>species</w:t>
      </w:r>
      <w:r w:rsidR="000A7FB8" w:rsidRPr="00273106">
        <w:rPr>
          <w:i/>
        </w:rPr>
        <w:t xml:space="preserve"> specierum</w:t>
      </w:r>
      <w:r w:rsidR="086D5513">
        <w:t xml:space="preserve">). Proto je tato hypostáze </w:t>
      </w:r>
      <w:r w:rsidRPr="00273106">
        <w:t>je</w:t>
      </w:r>
      <w:r w:rsidR="086D5513">
        <w:t>n</w:t>
      </w:r>
      <w:r w:rsidRPr="00273106">
        <w:t xml:space="preserve"> jedn</w:t>
      </w:r>
      <w:r w:rsidR="086D5513">
        <w:t>a, oddělená</w:t>
      </w:r>
      <w:r w:rsidRPr="00273106">
        <w:t xml:space="preserve">, nemateriální a v modu konjunkce </w:t>
      </w:r>
      <w:r w:rsidR="001C71D4" w:rsidRPr="00273106">
        <w:t>s lidským poznání</w:t>
      </w:r>
      <w:r w:rsidR="00517B8F" w:rsidRPr="00273106">
        <w:t>m</w:t>
      </w:r>
      <w:r w:rsidR="001C71D4" w:rsidRPr="00273106">
        <w:t xml:space="preserve">. </w:t>
      </w:r>
      <w:r w:rsidR="00517B8F" w:rsidRPr="00273106">
        <w:t>Poznáváme tak</w:t>
      </w:r>
      <w:r w:rsidRPr="00273106">
        <w:t xml:space="preserve">, že </w:t>
      </w:r>
      <w:r w:rsidR="001C71D4" w:rsidRPr="00273106">
        <w:t>tento s</w:t>
      </w:r>
      <w:r w:rsidR="08AF4C93">
        <w:t xml:space="preserve">pecifický </w:t>
      </w:r>
      <w:r w:rsidR="001C71D4" w:rsidRPr="00273106">
        <w:t xml:space="preserve">intelekt se </w:t>
      </w:r>
      <w:r w:rsidR="08AF4C93">
        <w:t xml:space="preserve">individualizuje </w:t>
      </w:r>
      <w:r w:rsidRPr="00273106">
        <w:t xml:space="preserve">skrze spirituální materii </w:t>
      </w:r>
      <w:r w:rsidR="00517B8F" w:rsidRPr="00273106">
        <w:t>v jednot</w:t>
      </w:r>
      <w:r w:rsidR="00E22A3A" w:rsidRPr="00273106">
        <w:t>l</w:t>
      </w:r>
      <w:r w:rsidR="00517B8F" w:rsidRPr="00273106">
        <w:t>ivci</w:t>
      </w:r>
      <w:r w:rsidR="00E41DCE" w:rsidRPr="00273106">
        <w:t xml:space="preserve"> (</w:t>
      </w:r>
      <w:r w:rsidR="00E41DCE" w:rsidRPr="00273106">
        <w:rPr>
          <w:i/>
        </w:rPr>
        <w:t>intellectus materialis</w:t>
      </w:r>
      <w:r w:rsidR="0881467C">
        <w:rPr>
          <w:i/>
        </w:rPr>
        <w:t>, adeptus</w:t>
      </w:r>
      <w:r w:rsidR="00E41DCE" w:rsidRPr="00273106">
        <w:t>)</w:t>
      </w:r>
      <w:r w:rsidR="00517B8F" w:rsidRPr="00273106">
        <w:t xml:space="preserve">. </w:t>
      </w:r>
      <w:r w:rsidR="003448C1" w:rsidRPr="00273106">
        <w:t>Výsledná konjukce obou i</w:t>
      </w:r>
      <w:r w:rsidR="00517B8F" w:rsidRPr="00273106">
        <w:t>ntelekt</w:t>
      </w:r>
      <w:r w:rsidR="003448C1" w:rsidRPr="00273106">
        <w:t>ů</w:t>
      </w:r>
      <w:r w:rsidR="00517B8F" w:rsidRPr="00273106">
        <w:t xml:space="preserve"> </w:t>
      </w:r>
      <w:r w:rsidR="00780964">
        <w:t xml:space="preserve">se projeví na lidské úrovni v podobě porretánského </w:t>
      </w:r>
      <w:r w:rsidR="004B4D52" w:rsidRPr="004B4D52">
        <w:t>species</w:t>
      </w:r>
      <w:r w:rsidR="00517B8F"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517B8F" w:rsidRPr="00273106">
        <w:t>, kt</w:t>
      </w:r>
      <w:r w:rsidR="087E67FA">
        <w:t>erá</w:t>
      </w:r>
      <w:r w:rsidR="00517B8F" w:rsidRPr="00273106">
        <w:t xml:space="preserve"> determinuje materiální </w:t>
      </w:r>
      <w:r w:rsidRPr="00273106">
        <w:t xml:space="preserve">substrát </w:t>
      </w:r>
      <w:r w:rsidR="00866144">
        <w:t xml:space="preserve">skrze dělení </w:t>
      </w:r>
      <w:r w:rsidR="00517B8F" w:rsidRPr="00273106">
        <w:t>na dále nedělitelnou jednotlivinu (</w:t>
      </w:r>
      <w:r w:rsidR="00517B8F" w:rsidRPr="00273106">
        <w:rPr>
          <w:i/>
        </w:rPr>
        <w:t>i</w:t>
      </w:r>
      <w:r w:rsidRPr="00273106">
        <w:rPr>
          <w:i/>
        </w:rPr>
        <w:t>ndividuu</w:t>
      </w:r>
      <w:r w:rsidR="00517B8F" w:rsidRPr="00273106">
        <w:rPr>
          <w:i/>
        </w:rPr>
        <w:t>m</w:t>
      </w:r>
      <w:r w:rsidR="00EB5E08">
        <w:rPr>
          <w:i/>
        </w:rPr>
        <w:fldChar w:fldCharType="begin"/>
      </w:r>
      <w:r w:rsidR="00EB5E08">
        <w:instrText xml:space="preserve"> XE "</w:instrText>
      </w:r>
      <w:r w:rsidR="00EB5E08" w:rsidRPr="00EB5E08">
        <w:instrText>substance:individuum</w:instrText>
      </w:r>
      <w:r w:rsidR="00EB5E08">
        <w:instrText xml:space="preserve">" </w:instrText>
      </w:r>
      <w:r w:rsidR="00EB5E08">
        <w:rPr>
          <w:i/>
        </w:rPr>
        <w:fldChar w:fldCharType="end"/>
      </w:r>
      <w:r w:rsidR="00517B8F" w:rsidRPr="00273106">
        <w:t>)</w:t>
      </w:r>
      <w:r w:rsidRPr="00273106">
        <w:t xml:space="preserve">. </w:t>
      </w:r>
      <w:r w:rsidR="005B3793" w:rsidRPr="00273106">
        <w:t xml:space="preserve">Kvazi-substanční </w:t>
      </w:r>
      <w:r w:rsidR="007C7F14" w:rsidRPr="00273106">
        <w:t xml:space="preserve">intelekt </w:t>
      </w:r>
      <w:r w:rsidR="000D2934" w:rsidRPr="00273106">
        <w:t xml:space="preserve">averroistů </w:t>
      </w:r>
      <w:r w:rsidR="000426D3">
        <w:t xml:space="preserve">tím dostal </w:t>
      </w:r>
      <w:r w:rsidR="000426D3" w:rsidRPr="00273106">
        <w:t>materiál</w:t>
      </w:r>
      <w:r w:rsidR="000426D3">
        <w:t xml:space="preserve">ní individuaci. Pak </w:t>
      </w:r>
      <w:r w:rsidR="000426D3" w:rsidRPr="00273106">
        <w:t xml:space="preserve">dodává </w:t>
      </w:r>
      <w:r w:rsidR="003E19C5">
        <w:t>v aktu poznání</w:t>
      </w:r>
      <w:r w:rsidR="000426D3">
        <w:t xml:space="preserve"> tuto </w:t>
      </w:r>
      <w:r w:rsidR="000426D3" w:rsidRPr="00273106">
        <w:t xml:space="preserve">kvazi-materiální </w:t>
      </w:r>
      <w:r w:rsidR="000426D3">
        <w:t xml:space="preserve">individualitu i </w:t>
      </w:r>
      <w:r w:rsidR="000426D3" w:rsidRPr="00273106">
        <w:t>poznaným formám</w:t>
      </w:r>
      <w:r w:rsidRPr="00273106">
        <w:t xml:space="preserve">. </w:t>
      </w:r>
      <w:r w:rsidR="003D425A">
        <w:t xml:space="preserve">Citát ukazuje </w:t>
      </w:r>
      <w:r w:rsidR="003E19C5">
        <w:t xml:space="preserve">typickou </w:t>
      </w:r>
      <w:r w:rsidR="003D425A">
        <w:t>konstruk</w:t>
      </w:r>
      <w:r w:rsidR="003E19C5">
        <w:t xml:space="preserve">ci averroismu </w:t>
      </w:r>
      <w:r w:rsidR="003E19C5" w:rsidRPr="003E19C5">
        <w:rPr>
          <w:i/>
        </w:rPr>
        <w:t>Latinorum</w:t>
      </w:r>
      <w:r w:rsidR="00A21847">
        <w:fldChar w:fldCharType="begin"/>
      </w:r>
      <w:r w:rsidR="00A21847">
        <w:instrText xml:space="preserve"> XE "</w:instrText>
      </w:r>
      <w:r w:rsidR="004A155A">
        <w:instrText>Toledská škola</w:instrText>
      </w:r>
      <w:r w:rsidR="00A21847">
        <w:instrText xml:space="preserve">" </w:instrText>
      </w:r>
      <w:r w:rsidR="00A21847">
        <w:fldChar w:fldCharType="end"/>
      </w:r>
      <w:r w:rsidR="003D425A">
        <w:t xml:space="preserve">. </w:t>
      </w:r>
      <w:r w:rsidR="00575695" w:rsidRPr="00575695">
        <w:t>Skupina latinských sofistů přijala výklad C</w:t>
      </w:r>
      <w:r w:rsidR="00575695">
        <w:t xml:space="preserve">MDA podle neoplatónského učení toledské školy. Jejich </w:t>
      </w:r>
      <w:r w:rsidR="00575695" w:rsidRPr="00575695">
        <w:rPr>
          <w:i/>
        </w:rPr>
        <w:t>intellectus possibilis</w:t>
      </w:r>
      <w:r w:rsidR="00575695" w:rsidRPr="00575695">
        <w:t xml:space="preserve"> </w:t>
      </w:r>
      <w:r w:rsidR="00575695">
        <w:t xml:space="preserve">se stal </w:t>
      </w:r>
      <w:r w:rsidR="00575695" w:rsidRPr="00575695">
        <w:t xml:space="preserve">numericky </w:t>
      </w:r>
      <w:r w:rsidR="00575695">
        <w:t xml:space="preserve">jedním </w:t>
      </w:r>
      <w:r w:rsidR="00575695" w:rsidRPr="00575695">
        <w:t>podle chybně int</w:t>
      </w:r>
      <w:r w:rsidR="00575695">
        <w:t>erpretovaného Averroesova učení. Toto t</w:t>
      </w:r>
      <w:r w:rsidR="00575695" w:rsidRPr="00575695">
        <w:t>ertium ens</w:t>
      </w:r>
      <w:r w:rsidR="00575695">
        <w:t xml:space="preserve"> se p</w:t>
      </w:r>
      <w:r w:rsidR="00575695" w:rsidRPr="00575695">
        <w:t>řipoj</w:t>
      </w:r>
      <w:r w:rsidR="00575695">
        <w:t xml:space="preserve">ilo </w:t>
      </w:r>
      <w:r w:rsidR="00575695" w:rsidRPr="00575695">
        <w:t>k mytologickému lidskému individuu (a nikoliv ke skutečné lidské osobě) v</w:t>
      </w:r>
      <w:r w:rsidR="00575695">
        <w:t xml:space="preserve"> </w:t>
      </w:r>
      <w:r w:rsidR="00575695" w:rsidRPr="00575695">
        <w:t>aktu myšlení, který diferencuje jednotlivé obsahy myšlení podle mytologické materie. To je naprosté šílenství.</w:t>
      </w:r>
      <w:r w:rsidR="00575695">
        <w:t xml:space="preserve"> </w:t>
      </w:r>
      <w:r w:rsidR="00221596" w:rsidRPr="00273106">
        <w:t xml:space="preserve">Albert odmítá univoční teorii </w:t>
      </w:r>
      <w:r w:rsidR="002E30FF" w:rsidRPr="002E30FF">
        <w:t>species</w:t>
      </w:r>
      <w:r w:rsidR="00221596" w:rsidRPr="00273106">
        <w:t>, které jsou v intelektu dány s</w:t>
      </w:r>
      <w:r w:rsidRPr="00273106">
        <w:t xml:space="preserve"> pomocí materie třetího druhu. </w:t>
      </w:r>
      <w:r w:rsidR="00221596" w:rsidRPr="00273106">
        <w:t>Toto pojetí receptivity je podle Alberta nesmysl ze dvou důvodů</w:t>
      </w:r>
      <w:r w:rsidR="005404F3">
        <w:t xml:space="preserve">. Za prvé, </w:t>
      </w:r>
      <w:r w:rsidR="00F1091F">
        <w:t>mysl by</w:t>
      </w:r>
      <w:r w:rsidR="005404F3">
        <w:t xml:space="preserve"> měla</w:t>
      </w:r>
      <w:r w:rsidR="00F1091F">
        <w:t xml:space="preserve"> materiální</w:t>
      </w:r>
      <w:r w:rsidR="00221596" w:rsidRPr="00273106">
        <w:t xml:space="preserve"> obtisk poznané věci</w:t>
      </w:r>
      <w:r w:rsidR="00F1091F">
        <w:t xml:space="preserve"> na způsob smyslového imaga</w:t>
      </w:r>
      <w:r w:rsidR="005404F3">
        <w:t>,</w:t>
      </w:r>
      <w:r w:rsidR="00221596" w:rsidRPr="00273106">
        <w:t xml:space="preserve"> a nikoliv univerzální nemateriální poznatek. Za druhé, intelekt by se díky aktualizaci této kvazi-materie stal oddělenou substancí v duši a fungoval by jako zásobárna esenciálních významů vytvořených intelektem a daných kvazi-materiálně </w:t>
      </w:r>
      <w:r w:rsidR="00221596" w:rsidRPr="00273106">
        <w:lastRenderedPageBreak/>
        <w:t>(</w:t>
      </w:r>
      <w:r w:rsidR="00221596" w:rsidRPr="00273106">
        <w:rPr>
          <w:i/>
        </w:rPr>
        <w:t xml:space="preserve">intellectus est </w:t>
      </w:r>
      <w:r w:rsidR="004B4D52" w:rsidRPr="004B4D52">
        <w:t>species</w:t>
      </w:r>
      <w:r w:rsidR="00221596" w:rsidRPr="00273106">
        <w:rPr>
          <w:i/>
        </w:rPr>
        <w:t xml:space="preserve"> specierum</w:t>
      </w:r>
      <w:r w:rsidR="00094E6A">
        <w:t xml:space="preserve">). </w:t>
      </w:r>
      <w:r w:rsidR="00144497">
        <w:t xml:space="preserve">A subjektem myšlení by byl </w:t>
      </w:r>
      <w:r w:rsidR="084E6F96">
        <w:t>externí kosmický intelekt</w:t>
      </w:r>
      <w:r w:rsidR="00144497">
        <w:t>, a ne reálná osoba.</w:t>
      </w:r>
      <w:r w:rsidR="084E6F96">
        <w:t xml:space="preserve"> </w:t>
      </w:r>
      <w:r w:rsidR="00221596" w:rsidRPr="00273106">
        <w:t>Albert</w:t>
      </w:r>
      <w:r w:rsidR="008E54C6" w:rsidRPr="00273106">
        <w:t xml:space="preserve"> považuje </w:t>
      </w:r>
      <w:r w:rsidR="00344979">
        <w:t xml:space="preserve">teorii poznání založenou na univerzálním hylemorfismu za </w:t>
      </w:r>
      <w:r w:rsidR="008E54C6" w:rsidRPr="00273106">
        <w:t xml:space="preserve">zcela chybnou, protože </w:t>
      </w:r>
      <w:r w:rsidR="00221596" w:rsidRPr="00273106">
        <w:t>odporuje skut</w:t>
      </w:r>
      <w:r w:rsidR="001D1160" w:rsidRPr="00273106">
        <w:t xml:space="preserve">ečnému průběhu </w:t>
      </w:r>
      <w:r w:rsidR="084F03AF">
        <w:t xml:space="preserve">lidského </w:t>
      </w:r>
      <w:r w:rsidR="001D1160" w:rsidRPr="00273106">
        <w:t xml:space="preserve">poznání danému </w:t>
      </w:r>
      <w:r w:rsidR="084F03AF">
        <w:t xml:space="preserve">vědecky podle </w:t>
      </w:r>
      <w:r w:rsidR="00221596" w:rsidRPr="00344979">
        <w:rPr>
          <w:i/>
        </w:rPr>
        <w:t>Druhých analytik</w:t>
      </w:r>
      <w:r w:rsidR="00D548D9">
        <w:t xml:space="preserve"> </w:t>
      </w:r>
      <w:r w:rsidR="08AE5B2F">
        <w:t>(kap. 2</w:t>
      </w:r>
      <w:r w:rsidR="00D548D9">
        <w:t>.4</w:t>
      </w:r>
      <w:r w:rsidR="00AB4095" w:rsidRPr="00273106">
        <w:t>.1)</w:t>
      </w:r>
      <w:r w:rsidR="00927957">
        <w:t>.</w:t>
      </w:r>
      <w:r w:rsidR="00167FE6">
        <w:t xml:space="preserve"> Neoplatonská teorie poznání a intelektu vznikla podle Alberta </w:t>
      </w:r>
      <w:r w:rsidR="00167FE6" w:rsidRPr="00273106">
        <w:t xml:space="preserve">chybným výkladem </w:t>
      </w:r>
      <w:r w:rsidR="00167FE6" w:rsidRPr="00094E6A">
        <w:rPr>
          <w:i/>
        </w:rPr>
        <w:t>Druhých analytik</w:t>
      </w:r>
      <w:r w:rsidR="00167FE6" w:rsidRPr="00273106">
        <w:t xml:space="preserve"> v rámci </w:t>
      </w:r>
      <w:r w:rsidR="00167FE6" w:rsidRPr="00273106">
        <w:rPr>
          <w:i/>
        </w:rPr>
        <w:t>logica Modernorum</w:t>
      </w:r>
      <w:r w:rsidR="00167FE6">
        <w:rPr>
          <w:i/>
        </w:rPr>
        <w:t xml:space="preserve"> </w:t>
      </w:r>
      <w:r w:rsidR="00167FE6" w:rsidRPr="00273106">
        <w:t>(</w:t>
      </w:r>
      <w:r w:rsidR="00167FE6" w:rsidRPr="00273106">
        <w:rPr>
          <w:i/>
        </w:rPr>
        <w:t>fundatur super propositiones logicas</w:t>
      </w:r>
      <w:r w:rsidR="00167FE6">
        <w:t>)</w:t>
      </w:r>
      <w:r w:rsidR="00167FE6">
        <w:rPr>
          <w:i/>
        </w:rPr>
        <w:fldChar w:fldCharType="begin"/>
      </w:r>
      <w:r w:rsidR="00167FE6">
        <w:instrText xml:space="preserve"> XE "</w:instrText>
      </w:r>
      <w:r w:rsidR="00167FE6" w:rsidRPr="001100BE">
        <w:rPr>
          <w:i/>
        </w:rPr>
        <w:instrText>logica Modernorum</w:instrText>
      </w:r>
      <w:r w:rsidR="00167FE6">
        <w:instrText xml:space="preserve">" </w:instrText>
      </w:r>
      <w:r w:rsidR="00167FE6">
        <w:rPr>
          <w:i/>
        </w:rPr>
        <w:fldChar w:fldCharType="end"/>
      </w:r>
      <w:r w:rsidR="00167FE6" w:rsidRPr="00273106">
        <w:t xml:space="preserve">. </w:t>
      </w:r>
      <w:r w:rsidR="00167FE6">
        <w:t>K</w:t>
      </w:r>
      <w:r w:rsidR="00167FE6" w:rsidRPr="00273106">
        <w:t xml:space="preserve">apitoly věnované </w:t>
      </w:r>
      <w:r w:rsidR="00167FE6" w:rsidRPr="00273106">
        <w:rPr>
          <w:i/>
        </w:rPr>
        <w:t>Oxfordian Fallacy</w:t>
      </w:r>
      <w:r w:rsidR="00167FE6">
        <w:rPr>
          <w:i/>
        </w:rPr>
        <w:fldChar w:fldCharType="begin"/>
      </w:r>
      <w:r w:rsidR="00167FE6">
        <w:instrText xml:space="preserve"> XE "</w:instrText>
      </w:r>
      <w:r w:rsidR="00167FE6" w:rsidRPr="0015798D">
        <w:rPr>
          <w:i/>
        </w:rPr>
        <w:instrText>Oxfordian Fallacy:</w:instrText>
      </w:r>
      <w:r w:rsidR="00167FE6" w:rsidRPr="0015798D">
        <w:instrText>původ</w:instrText>
      </w:r>
      <w:r w:rsidR="00167FE6">
        <w:instrText xml:space="preserve">" </w:instrText>
      </w:r>
      <w:r w:rsidR="00167FE6">
        <w:rPr>
          <w:i/>
        </w:rPr>
        <w:fldChar w:fldCharType="end"/>
      </w:r>
      <w:r w:rsidR="00167FE6" w:rsidRPr="00273106">
        <w:t xml:space="preserve"> ukáží, kde a jak vznikl analytický výklad </w:t>
      </w:r>
      <w:r w:rsidR="00167FE6" w:rsidRPr="00094E6A">
        <w:rPr>
          <w:i/>
        </w:rPr>
        <w:t>Druhých analytik</w:t>
      </w:r>
      <w:r w:rsidR="00167FE6" w:rsidRPr="00273106">
        <w:t xml:space="preserve">. </w:t>
      </w:r>
    </w:p>
    <w:p w14:paraId="75570370" w14:textId="6ABE499A" w:rsidR="009C7BF9" w:rsidRPr="00273106" w:rsidRDefault="00927957" w:rsidP="00B0232B">
      <w:pPr>
        <w:ind w:firstLine="397"/>
      </w:pPr>
      <w:r>
        <w:t xml:space="preserve">Polemika v díle </w:t>
      </w:r>
      <w:r w:rsidRPr="002319E2">
        <w:rPr>
          <w:i/>
        </w:rPr>
        <w:t>De unitate intellectus</w:t>
      </w:r>
      <w:r w:rsidRPr="00273106">
        <w:t xml:space="preserve"> </w:t>
      </w:r>
      <w:r>
        <w:t xml:space="preserve">zahrnuje </w:t>
      </w:r>
      <w:r w:rsidRPr="00273106">
        <w:t>jednotu intelektu</w:t>
      </w:r>
      <w:r>
        <w:t xml:space="preserve"> v osobě a specifickou </w:t>
      </w:r>
      <w:r w:rsidRPr="00273106">
        <w:t xml:space="preserve">jednotu poznání pro všechny lidi. </w:t>
      </w:r>
      <w:r>
        <w:t>S</w:t>
      </w:r>
      <w:r w:rsidR="08BE57C7" w:rsidRPr="00273106">
        <w:t>ofistick</w:t>
      </w:r>
      <w:r>
        <w:t>ý v</w:t>
      </w:r>
      <w:r w:rsidR="08BE57C7" w:rsidRPr="00273106">
        <w:t xml:space="preserve">ýklad druhého averroismu </w:t>
      </w:r>
      <w:r>
        <w:t xml:space="preserve">je odmítnut hlavně v argumentu č. 25. a 28. </w:t>
      </w:r>
      <w:r w:rsidR="08BE57C7" w:rsidRPr="00273106">
        <w:t xml:space="preserve">Chybné pojetí poznání nutně vede k chybné definici </w:t>
      </w:r>
      <w:r w:rsidR="08BE57C7" w:rsidRPr="00273106">
        <w:rPr>
          <w:i/>
        </w:rPr>
        <w:t>intellectus possibilis</w:t>
      </w:r>
      <w:r w:rsidR="08BE57C7">
        <w:t xml:space="preserve">. </w:t>
      </w:r>
      <w:r w:rsidR="08BE57C7" w:rsidRPr="00273106">
        <w:t xml:space="preserve">Receptivní intelekt musí být nemateriální a musí být oddělen od Alexandrova a Themistiova </w:t>
      </w:r>
      <w:r w:rsidR="08BE57C7" w:rsidRPr="00273106">
        <w:rPr>
          <w:i/>
        </w:rPr>
        <w:t>intellectus materialis</w:t>
      </w:r>
      <w:r w:rsidR="08BE57C7">
        <w:rPr>
          <w:i/>
        </w:rPr>
        <w:fldChar w:fldCharType="begin"/>
      </w:r>
      <w:r w:rsidR="08BE57C7">
        <w:instrText xml:space="preserve"> XE "</w:instrText>
      </w:r>
      <w:r w:rsidR="08BE57C7" w:rsidRPr="00BE489A">
        <w:rPr>
          <w:i/>
        </w:rPr>
        <w:instrText>intellectus materialis:</w:instrText>
      </w:r>
      <w:r w:rsidR="08BE57C7" w:rsidRPr="00BE489A">
        <w:instrText>A</w:instrText>
      </w:r>
      <w:r w:rsidR="08BE57C7">
        <w:instrText xml:space="preserve">lbert" </w:instrText>
      </w:r>
      <w:r w:rsidR="08BE57C7">
        <w:rPr>
          <w:i/>
        </w:rPr>
        <w:fldChar w:fldCharType="end"/>
      </w:r>
      <w:r w:rsidR="08BE57C7" w:rsidRPr="00273106">
        <w:t>.</w:t>
      </w:r>
      <w:r w:rsidR="001276F9" w:rsidRPr="00273106">
        <w:t xml:space="preserve"> Viz </w:t>
      </w:r>
      <w:r w:rsidR="00D61816" w:rsidRPr="00273106">
        <w:t>všechny výše</w:t>
      </w:r>
      <w:r w:rsidR="005511B6" w:rsidRPr="00273106">
        <w:t xml:space="preserve"> </w:t>
      </w:r>
      <w:r w:rsidR="00D61816" w:rsidRPr="00273106">
        <w:t xml:space="preserve">uvedené </w:t>
      </w:r>
      <w:r w:rsidR="001276F9" w:rsidRPr="00273106">
        <w:t>klíčové</w:t>
      </w:r>
      <w:r w:rsidR="00221596" w:rsidRPr="00273106">
        <w:t xml:space="preserve"> bod</w:t>
      </w:r>
      <w:r w:rsidR="001276F9" w:rsidRPr="00273106">
        <w:t>y</w:t>
      </w:r>
      <w:r w:rsidR="00E42D7B" w:rsidRPr="00273106">
        <w:t xml:space="preserve"> proti </w:t>
      </w:r>
      <w:r w:rsidR="08DE18BB">
        <w:t>moderním a</w:t>
      </w:r>
      <w:r w:rsidR="00767214" w:rsidRPr="00273106">
        <w:t>lexandrov</w:t>
      </w:r>
      <w:r w:rsidR="00C76FA9">
        <w:t>c</w:t>
      </w:r>
      <w:r w:rsidR="00767214" w:rsidRPr="00273106">
        <w:t>ům</w:t>
      </w:r>
      <w:r w:rsidR="001276F9" w:rsidRPr="00273106">
        <w:t xml:space="preserve">, </w:t>
      </w:r>
      <w:r w:rsidR="00221596" w:rsidRPr="00273106">
        <w:t xml:space="preserve">které obhajuje </w:t>
      </w:r>
      <w:r w:rsidR="001276F9" w:rsidRPr="00273106">
        <w:t xml:space="preserve">Albertův </w:t>
      </w:r>
      <w:r w:rsidR="00FB1E09" w:rsidRPr="00273106">
        <w:t xml:space="preserve">výklad </w:t>
      </w:r>
      <w:r w:rsidR="00B713C5">
        <w:rPr>
          <w:i/>
        </w:rPr>
        <w:t>De anima</w:t>
      </w:r>
      <w:r w:rsidR="08B5093E">
        <w:rPr>
          <w:i/>
        </w:rPr>
        <w:t xml:space="preserve"> </w:t>
      </w:r>
      <w:r w:rsidR="08B5093E" w:rsidRPr="08B5093E">
        <w:t xml:space="preserve">založený na </w:t>
      </w:r>
      <w:r w:rsidR="00221596" w:rsidRPr="08B5093E">
        <w:t>rozdíl</w:t>
      </w:r>
      <w:r w:rsidR="08B5093E">
        <w:t>u</w:t>
      </w:r>
      <w:r w:rsidR="00221596" w:rsidRPr="00273106">
        <w:t xml:space="preserve"> mezi </w:t>
      </w:r>
      <w:r w:rsidR="08162D43">
        <w:t xml:space="preserve">intelektem jako </w:t>
      </w:r>
      <w:r w:rsidR="00221596" w:rsidRPr="00273106">
        <w:rPr>
          <w:i/>
        </w:rPr>
        <w:t>tertium</w:t>
      </w:r>
      <w:r w:rsidR="00221596" w:rsidRPr="00273106">
        <w:t xml:space="preserve"> a </w:t>
      </w:r>
      <w:r w:rsidR="00221596" w:rsidRPr="00273106">
        <w:rPr>
          <w:i/>
        </w:rPr>
        <w:t xml:space="preserve">quartum </w:t>
      </w:r>
      <w:r w:rsidR="00B1298A">
        <w:rPr>
          <w:i/>
        </w:rPr>
        <w:t>genus</w:t>
      </w:r>
      <w:r w:rsidR="00982C89">
        <w:rPr>
          <w:i/>
        </w:rPr>
        <w:fldChar w:fldCharType="begin"/>
      </w:r>
      <w:r w:rsidR="00982C89">
        <w:instrText xml:space="preserve"> XE "</w:instrText>
      </w:r>
      <w:r w:rsidR="00EB5E08">
        <w:rPr>
          <w:i/>
        </w:rPr>
        <w:instrText>tertium</w:instrText>
      </w:r>
      <w:r w:rsidR="00982C89" w:rsidRPr="00191848">
        <w:rPr>
          <w:i/>
        </w:rPr>
        <w:instrText xml:space="preserve"> genus</w:instrText>
      </w:r>
      <w:r w:rsidR="00982C89">
        <w:instrText xml:space="preserve">" </w:instrText>
      </w:r>
      <w:r w:rsidR="00982C89">
        <w:rPr>
          <w:i/>
        </w:rPr>
        <w:fldChar w:fldCharType="end"/>
      </w:r>
      <w:r w:rsidR="00221596" w:rsidRPr="00273106">
        <w:t xml:space="preserve"> v CMDA. V tomto bodu je </w:t>
      </w:r>
      <w:r w:rsidR="00873CFE" w:rsidRPr="00273106">
        <w:t xml:space="preserve">averroistická </w:t>
      </w:r>
      <w:r w:rsidR="00221596" w:rsidRPr="00273106">
        <w:t xml:space="preserve">desinterpretace </w:t>
      </w:r>
      <w:r w:rsidR="002E3B62">
        <w:t>Averroes</w:t>
      </w:r>
      <w:r w:rsidR="00221596" w:rsidRPr="00273106">
        <w:t>ova učení o jednotě a odlišnosti int</w:t>
      </w:r>
      <w:r w:rsidR="00863D07" w:rsidRPr="00273106">
        <w:t xml:space="preserve">elektu úplně zřejmá. </w:t>
      </w:r>
      <w:r w:rsidR="085A6005">
        <w:t xml:space="preserve">Averroisté </w:t>
      </w:r>
      <w:r w:rsidR="08B62BE6">
        <w:t xml:space="preserve">odchovaní Avicennou </w:t>
      </w:r>
      <w:r w:rsidR="085A6005">
        <w:t>nepochopili základní linii výkladu CMDA</w:t>
      </w:r>
      <w:r w:rsidR="00B552D7" w:rsidRPr="00273106">
        <w:t xml:space="preserve">, </w:t>
      </w:r>
      <w:r w:rsidR="085A6005">
        <w:t>což ukázala výše uvedená Albertova kritika</w:t>
      </w:r>
      <w:r w:rsidR="00B552D7" w:rsidRPr="00273106">
        <w:t xml:space="preserve"> neslučitelnosti dvou základních předpokladů, které si prý podle Latiníků vzájemně odporují (</w:t>
      </w:r>
      <w:r w:rsidR="00B552D7" w:rsidRPr="00273106">
        <w:rPr>
          <w:i/>
        </w:rPr>
        <w:t>ex duobus his concessis</w:t>
      </w:r>
      <w:r w:rsidR="00B552D7" w:rsidRPr="00273106">
        <w:t>)</w:t>
      </w:r>
      <w:r w:rsidR="00B552D7">
        <w:t xml:space="preserve">. </w:t>
      </w:r>
      <w:r w:rsidR="08364737" w:rsidRPr="00273106">
        <w:t xml:space="preserve">Averroisté v linii Rufusova spisu </w:t>
      </w:r>
      <w:r w:rsidR="08364737" w:rsidRPr="00273106">
        <w:rPr>
          <w:i/>
        </w:rPr>
        <w:t>Contra Averroem</w:t>
      </w:r>
      <w:r w:rsidR="08364737" w:rsidRPr="00273106">
        <w:t xml:space="preserve"> (kap. </w:t>
      </w:r>
      <w:r w:rsidR="08DE6CFE">
        <w:t>3</w:t>
      </w:r>
      <w:r w:rsidR="08364737" w:rsidRPr="00273106">
        <w:t xml:space="preserve">.3.3) vůbec nepochopili </w:t>
      </w:r>
      <w:r w:rsidR="08364737">
        <w:t xml:space="preserve">Komentátorovu </w:t>
      </w:r>
      <w:r w:rsidR="08364737" w:rsidRPr="00273106">
        <w:t xml:space="preserve">nauku o </w:t>
      </w:r>
      <w:r w:rsidR="08364737" w:rsidRPr="00273106">
        <w:rPr>
          <w:i/>
        </w:rPr>
        <w:t>intellectus possibilis</w:t>
      </w:r>
      <w:r w:rsidR="08364737" w:rsidRPr="00273106">
        <w:t xml:space="preserve">. </w:t>
      </w:r>
      <w:r w:rsidR="00221596" w:rsidRPr="00273106">
        <w:t>Rufus</w:t>
      </w:r>
      <w:r w:rsidR="00101340">
        <w:t xml:space="preserve"> vytvořil f</w:t>
      </w:r>
      <w:r w:rsidR="007E02F0" w:rsidRPr="00273106">
        <w:t xml:space="preserve">alešné </w:t>
      </w:r>
      <w:r w:rsidR="00221596" w:rsidRPr="00273106">
        <w:t xml:space="preserve">dilema </w:t>
      </w:r>
      <w:r w:rsidR="00D435B5" w:rsidRPr="00273106">
        <w:t xml:space="preserve">připsané </w:t>
      </w:r>
      <w:r w:rsidR="002E3B62">
        <w:t>Averroes</w:t>
      </w:r>
      <w:r w:rsidR="00D435B5" w:rsidRPr="00273106">
        <w:t>ovi ve formě</w:t>
      </w:r>
      <w:r w:rsidR="00101340">
        <w:t>: „B</w:t>
      </w:r>
      <w:r w:rsidR="00221596" w:rsidRPr="00273106">
        <w:t xml:space="preserve">uď individuální </w:t>
      </w:r>
      <w:r w:rsidR="00101340">
        <w:t xml:space="preserve">a numericky odlišný </w:t>
      </w:r>
      <w:r w:rsidR="00221596" w:rsidRPr="00273106">
        <w:rPr>
          <w:i/>
        </w:rPr>
        <w:t>intellectus materialis</w:t>
      </w:r>
      <w:r w:rsidR="00101340">
        <w:t xml:space="preserve"> ; </w:t>
      </w:r>
      <w:r w:rsidR="00221596" w:rsidRPr="00273106">
        <w:t xml:space="preserve">nebo jeden nemateriální </w:t>
      </w:r>
      <w:r w:rsidR="00101340">
        <w:t xml:space="preserve">a komsický </w:t>
      </w:r>
      <w:r w:rsidR="00221596" w:rsidRPr="00273106">
        <w:rPr>
          <w:i/>
        </w:rPr>
        <w:t>intellectus possibilis</w:t>
      </w:r>
      <w:r w:rsidR="00101340">
        <w:t>.</w:t>
      </w:r>
      <w:r w:rsidR="00810484">
        <w:t>“</w:t>
      </w:r>
      <w:r w:rsidR="00101340">
        <w:t xml:space="preserve"> Toto chybné dilema </w:t>
      </w:r>
      <w:r w:rsidR="00221596" w:rsidRPr="00273106">
        <w:t>parafráz</w:t>
      </w:r>
      <w:r w:rsidR="00101340">
        <w:t xml:space="preserve">uje argument 27. Albert odmítl tento </w:t>
      </w:r>
      <w:r w:rsidR="00221596" w:rsidRPr="00273106">
        <w:t>dvojí chybný závěr druhého averroismu. Individualizace myšlení by byla dosažena absurdním způsobem. Buď importem materie třetího druhu do čistě receptivního intelektu, nebo numericky jedním možným intelektem pro všechny lidi</w:t>
      </w:r>
      <w:r w:rsidR="088558B2">
        <w:t>, který zvnějšku determinuje lidské poznání</w:t>
      </w:r>
      <w:r w:rsidR="00221596" w:rsidRPr="00273106">
        <w:t>.</w:t>
      </w:r>
      <w:r w:rsidR="008E57D9" w:rsidRPr="00273106">
        <w:t xml:space="preserve"> </w:t>
      </w:r>
      <w:r w:rsidR="0047166C" w:rsidRPr="00273106">
        <w:t xml:space="preserve">Připomeňme váhání anonymní </w:t>
      </w:r>
      <w:r w:rsidR="0047166C" w:rsidRPr="00273106">
        <w:rPr>
          <w:i/>
        </w:rPr>
        <w:t>Summa Duacensis</w:t>
      </w:r>
      <w:r w:rsidR="008509E4">
        <w:rPr>
          <w:i/>
        </w:rPr>
        <w:fldChar w:fldCharType="begin"/>
      </w:r>
      <w:r w:rsidR="008509E4">
        <w:instrText xml:space="preserve"> XE "</w:instrText>
      </w:r>
      <w:r w:rsidR="008509E4" w:rsidRPr="000E2AD6">
        <w:rPr>
          <w:i/>
        </w:rPr>
        <w:instrText>Summa Duacensis</w:instrText>
      </w:r>
      <w:r w:rsidR="008509E4">
        <w:instrText xml:space="preserve">" </w:instrText>
      </w:r>
      <w:r w:rsidR="008509E4">
        <w:rPr>
          <w:i/>
        </w:rPr>
        <w:fldChar w:fldCharType="end"/>
      </w:r>
      <w:r w:rsidR="0047166C" w:rsidRPr="00273106">
        <w:t>, která nebyla schopna vyřeš</w:t>
      </w:r>
      <w:r w:rsidR="00337CB3" w:rsidRPr="00273106">
        <w:t>it stejný problém, protože stála</w:t>
      </w:r>
      <w:r w:rsidR="0047166C" w:rsidRPr="00273106">
        <w:t xml:space="preserve"> mimo proud</w:t>
      </w:r>
      <w:r w:rsidR="08E963C0">
        <w:t xml:space="preserve"> prvního averroismu podle Blundovy školy</w:t>
      </w:r>
      <w:r w:rsidR="085F6FB7">
        <w:t xml:space="preserve"> (kap. 2</w:t>
      </w:r>
      <w:r w:rsidR="0047166C" w:rsidRPr="00273106">
        <w:t>.2</w:t>
      </w:r>
      <w:r w:rsidR="085022FC">
        <w:t>.2</w:t>
      </w:r>
      <w:r w:rsidR="0047166C" w:rsidRPr="00273106">
        <w:t xml:space="preserve">). </w:t>
      </w:r>
      <w:r w:rsidR="00B0232B" w:rsidRPr="00B0232B">
        <w:t xml:space="preserve">Averroismus pracuje buď s individuálním </w:t>
      </w:r>
      <w:r w:rsidR="00B0232B" w:rsidRPr="00B0232B">
        <w:rPr>
          <w:i/>
        </w:rPr>
        <w:t>intellectus materialis</w:t>
      </w:r>
      <w:r w:rsidR="00B0232B" w:rsidRPr="00B0232B">
        <w:t xml:space="preserve">, nebo s numericky jediným nemateriálním </w:t>
      </w:r>
      <w:r w:rsidR="00B0232B" w:rsidRPr="00B0232B">
        <w:rPr>
          <w:i/>
        </w:rPr>
        <w:t>intellectus possibilis</w:t>
      </w:r>
      <w:r w:rsidR="00B0232B" w:rsidRPr="00B0232B">
        <w:t>. Tato mytologická substance přichází zvenčí a připojuje se k modernímu neexistujícímu individuu.</w:t>
      </w:r>
      <w:r w:rsidR="00B0232B">
        <w:t xml:space="preserve"> </w:t>
      </w:r>
      <w:r w:rsidR="0824140D">
        <w:t>Toto d</w:t>
      </w:r>
      <w:r w:rsidR="0824140D" w:rsidRPr="00273106">
        <w:t xml:space="preserve">ilema </w:t>
      </w:r>
      <w:r w:rsidR="0824140D">
        <w:t xml:space="preserve">individuální a kosmické receptivity </w:t>
      </w:r>
      <w:r w:rsidR="00760AF8" w:rsidRPr="00273106">
        <w:t xml:space="preserve">je podle Alberta </w:t>
      </w:r>
      <w:r w:rsidR="084311E3">
        <w:lastRenderedPageBreak/>
        <w:t xml:space="preserve">úplně </w:t>
      </w:r>
      <w:r w:rsidR="00760AF8" w:rsidRPr="00273106">
        <w:t>nesmyslné.</w:t>
      </w:r>
      <w:r w:rsidR="081C010E" w:rsidRPr="081C010E">
        <w:t xml:space="preserve"> </w:t>
      </w:r>
      <w:r w:rsidR="081C010E" w:rsidRPr="00273106">
        <w:t xml:space="preserve">Averroisté nepochopili povahu možného intelektu podle </w:t>
      </w:r>
      <w:r w:rsidR="081C010E">
        <w:rPr>
          <w:i/>
        </w:rPr>
        <w:t>De anima</w:t>
      </w:r>
      <w:r w:rsidR="081C010E" w:rsidRPr="00273106">
        <w:t xml:space="preserve"> a redukují ho na hylický intelekt Alexandra</w:t>
      </w:r>
      <w:r w:rsidR="081C010E">
        <w:fldChar w:fldCharType="begin"/>
      </w:r>
      <w:r w:rsidR="081C010E">
        <w:instrText xml:space="preserve"> XE "Alexander, Afrodisias" </w:instrText>
      </w:r>
      <w:r w:rsidR="081C010E">
        <w:fldChar w:fldCharType="end"/>
      </w:r>
      <w:r w:rsidR="081C010E" w:rsidRPr="00273106">
        <w:t xml:space="preserve"> a neoplatoniků.</w:t>
      </w:r>
    </w:p>
    <w:p w14:paraId="262BE5E3" w14:textId="77777777" w:rsidR="009C7BF9" w:rsidRPr="00273106" w:rsidRDefault="009C7BF9" w:rsidP="009C7BF9">
      <w:pPr>
        <w:pStyle w:val="Citace"/>
        <w:rPr>
          <w:noProof/>
          <w:lang w:val="cs-CZ"/>
        </w:rPr>
      </w:pPr>
      <w:r w:rsidRPr="00273106">
        <w:rPr>
          <w:noProof/>
          <w:lang w:val="cs-CZ"/>
        </w:rPr>
        <w:t>„Z toho by vyplývalo, že recepce v možném intelektu by byla stejná jako v materii. Vše totiž, co je přijímáno do poznávací formy z bytí jednotlivin, to je prý materiální a je přijím</w:t>
      </w:r>
      <w:r w:rsidR="008E5603">
        <w:rPr>
          <w:noProof/>
          <w:lang w:val="cs-CZ"/>
        </w:rPr>
        <w:t xml:space="preserve">áno pouze v modu materie. To </w:t>
      </w:r>
      <w:r w:rsidRPr="00273106">
        <w:rPr>
          <w:noProof/>
          <w:lang w:val="cs-CZ"/>
        </w:rPr>
        <w:t xml:space="preserve">ale protiřečí receptivnímu intelektu jako separované formy, což je definice </w:t>
      </w:r>
      <w:r w:rsidRPr="00273106">
        <w:rPr>
          <w:i/>
          <w:noProof/>
          <w:lang w:val="cs-CZ"/>
        </w:rPr>
        <w:t>intellectus possibilis</w:t>
      </w:r>
      <w:r w:rsidRPr="00273106">
        <w:rPr>
          <w:noProof/>
          <w:lang w:val="cs-CZ"/>
        </w:rPr>
        <w:t xml:space="preserve"> podle Filosofa.“ </w:t>
      </w:r>
      <w:r w:rsidRPr="00273106">
        <w:rPr>
          <w:rStyle w:val="Znakapoznpodarou"/>
          <w:noProof/>
          <w:lang w:val="cs-CZ"/>
        </w:rPr>
        <w:footnoteReference w:id="275"/>
      </w:r>
    </w:p>
    <w:p w14:paraId="17285B3E" w14:textId="77777777" w:rsidR="00F66C34" w:rsidRDefault="080E502E" w:rsidP="00AE4F1E">
      <w:r>
        <w:t>Obrana jednoty intelektu podle CMDA</w:t>
      </w:r>
      <w:r w:rsidRPr="00273106">
        <w:t xml:space="preserve"> zdůrazňuje proti </w:t>
      </w:r>
      <w:r w:rsidR="08C26BBC">
        <w:t>Modernistům</w:t>
      </w:r>
      <w:r w:rsidRPr="00273106">
        <w:t xml:space="preserve">, že receptivní složka intelektu nesmí být ani materiální, ani aktuální, protože </w:t>
      </w:r>
      <w:r>
        <w:t xml:space="preserve">receptivní </w:t>
      </w:r>
      <w:r w:rsidRPr="00273106">
        <w:t>schopnost existuje v duši pouze potenciálně.</w:t>
      </w:r>
      <w:r w:rsidRPr="00760AF8">
        <w:t xml:space="preserve"> </w:t>
      </w:r>
      <w:r w:rsidRPr="00273106">
        <w:t xml:space="preserve">Intelekt musí být oddělený od materie a v čisté potenci dané noeticky (τὸ αἰσθητικὸν πρὸς τὰ αἰσθητά, οὕτω τὸν νοῦν πρὸς τὰ νοητά), aby mohl vše poznat (πάντα νοεῖ, ἀμιγῆ εἶναι; </w:t>
      </w:r>
      <w:r>
        <w:rPr>
          <w:i/>
        </w:rPr>
        <w:t>De anima</w:t>
      </w:r>
      <w:r w:rsidRPr="00273106">
        <w:t xml:space="preserve"> 429a17‒18</w:t>
      </w:r>
      <w:r>
        <w:fldChar w:fldCharType="begin"/>
      </w:r>
      <w:r>
        <w:instrText xml:space="preserve"> XE "Aristoteles:</w:instrText>
      </w:r>
      <w:r w:rsidRPr="00FA56B3">
        <w:rPr>
          <w:i/>
        </w:rPr>
        <w:instrText>De anima</w:instrText>
      </w:r>
      <w:r w:rsidRPr="00FA56B3">
        <w:instrText xml:space="preserve"> 429a17‒18</w:instrText>
      </w:r>
      <w:r>
        <w:instrText xml:space="preserve">" </w:instrText>
      </w:r>
      <w:r>
        <w:fldChar w:fldCharType="end"/>
      </w:r>
      <w:r w:rsidRPr="00273106">
        <w:t xml:space="preserve">). Tuto linii mistrovsky obhájila </w:t>
      </w:r>
      <w:r>
        <w:t>Averroes</w:t>
      </w:r>
      <w:r w:rsidRPr="00273106">
        <w:t xml:space="preserve">ova interpretace v CMDA. </w:t>
      </w:r>
      <w:r w:rsidR="00CC0CCF" w:rsidRPr="00273106">
        <w:t xml:space="preserve">Albert završuje první averroismus a správně vyložil </w:t>
      </w:r>
      <w:r w:rsidR="002E3B62">
        <w:t>Averroes</w:t>
      </w:r>
      <w:r w:rsidR="00CC0CCF" w:rsidRPr="00273106">
        <w:t xml:space="preserve">ovo pojetí intelektu podle </w:t>
      </w:r>
      <w:r w:rsidR="00CC0CCF" w:rsidRPr="00273106">
        <w:rPr>
          <w:i/>
        </w:rPr>
        <w:t>tertium</w:t>
      </w:r>
      <w:r w:rsidR="00CC0CCF" w:rsidRPr="00273106">
        <w:t xml:space="preserve"> a </w:t>
      </w:r>
      <w:r w:rsidR="00CC0CCF" w:rsidRPr="00273106">
        <w:rPr>
          <w:i/>
        </w:rPr>
        <w:t xml:space="preserve">quartum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CC0CCF" w:rsidRPr="00273106">
        <w:t xml:space="preserve">. </w:t>
      </w:r>
      <w:r w:rsidR="0060521A" w:rsidRPr="00273106">
        <w:t xml:space="preserve">Známé řešení </w:t>
      </w:r>
      <w:r w:rsidR="08C26BBC">
        <w:t xml:space="preserve">latinských </w:t>
      </w:r>
      <w:r w:rsidR="0060521A" w:rsidRPr="00273106">
        <w:t>averro</w:t>
      </w:r>
      <w:r w:rsidR="000F13BD" w:rsidRPr="00273106">
        <w:t>i</w:t>
      </w:r>
      <w:r w:rsidR="0060521A" w:rsidRPr="00273106">
        <w:t>s</w:t>
      </w:r>
      <w:r w:rsidR="00746BA5" w:rsidRPr="00273106">
        <w:t xml:space="preserve">tů </w:t>
      </w:r>
      <w:r w:rsidR="000F13BD" w:rsidRPr="00273106">
        <w:t xml:space="preserve">sofisticky podsunuté </w:t>
      </w:r>
      <w:r w:rsidR="002E3B62">
        <w:t>Averroes</w:t>
      </w:r>
      <w:r w:rsidR="000F13BD" w:rsidRPr="00273106">
        <w:t>ovi odporuje</w:t>
      </w:r>
      <w:r w:rsidR="00C836E1" w:rsidRPr="00273106">
        <w:t xml:space="preserve"> </w:t>
      </w:r>
      <w:r w:rsidR="008E57D9" w:rsidRPr="00273106">
        <w:t xml:space="preserve">výkladu </w:t>
      </w:r>
      <w:r w:rsidR="00B713C5">
        <w:rPr>
          <w:i/>
        </w:rPr>
        <w:t>De anima</w:t>
      </w:r>
      <w:r w:rsidR="000056D1" w:rsidRPr="00273106">
        <w:rPr>
          <w:i/>
        </w:rPr>
        <w:t xml:space="preserve"> </w:t>
      </w:r>
      <w:r w:rsidR="009B5B24">
        <w:t xml:space="preserve">ve všech důležitých bodech. Nemá osobní </w:t>
      </w:r>
      <w:r w:rsidR="003D767D">
        <w:t>akt</w:t>
      </w:r>
      <w:r w:rsidR="00C836E1" w:rsidRPr="00273106">
        <w:t xml:space="preserve"> poznání, </w:t>
      </w:r>
      <w:r w:rsidR="009B5B24">
        <w:t xml:space="preserve">nemá </w:t>
      </w:r>
      <w:r w:rsidR="000056D1" w:rsidRPr="00273106">
        <w:t xml:space="preserve">definici </w:t>
      </w:r>
      <w:r w:rsidR="08B36412">
        <w:t xml:space="preserve">nemateriálního </w:t>
      </w:r>
      <w:r w:rsidR="000056D1" w:rsidRPr="00273106">
        <w:t xml:space="preserve">intelektu </w:t>
      </w:r>
      <w:r w:rsidR="08B36412">
        <w:t>(</w:t>
      </w:r>
      <w:r w:rsidR="08B36412">
        <w:rPr>
          <w:i/>
        </w:rPr>
        <w:t>inmixtus</w:t>
      </w:r>
      <w:r w:rsidR="009B5B24">
        <w:t>)</w:t>
      </w:r>
      <w:r w:rsidR="003D767D">
        <w:t>, ne</w:t>
      </w:r>
      <w:r w:rsidR="009B5B24">
        <w:t xml:space="preserve">ní genericky odděleno od smyslového poznání </w:t>
      </w:r>
      <w:r w:rsidR="08B36412">
        <w:t xml:space="preserve"> (</w:t>
      </w:r>
      <w:r w:rsidR="000056D1" w:rsidRPr="00273106">
        <w:rPr>
          <w:i/>
        </w:rPr>
        <w:t>sepa</w:t>
      </w:r>
      <w:r w:rsidR="08D34141">
        <w:rPr>
          <w:i/>
        </w:rPr>
        <w:t>rabilis</w:t>
      </w:r>
      <w:r w:rsidR="08B36412">
        <w:t>)</w:t>
      </w:r>
      <w:r w:rsidR="0060521A" w:rsidRPr="00273106">
        <w:t xml:space="preserve">. </w:t>
      </w:r>
      <w:r w:rsidR="08D34141">
        <w:t xml:space="preserve">Moderna udělala z </w:t>
      </w:r>
      <w:r w:rsidR="08D34141" w:rsidRPr="08D34141">
        <w:rPr>
          <w:i/>
        </w:rPr>
        <w:t>intellectus possibilis</w:t>
      </w:r>
      <w:r w:rsidR="08D34141">
        <w:t xml:space="preserve"> po vzoru u Davida z Dinantu</w:t>
      </w:r>
      <w:r w:rsidR="08D34141">
        <w:fldChar w:fldCharType="begin"/>
      </w:r>
      <w:r w:rsidR="08D34141">
        <w:instrText xml:space="preserve"> XE "</w:instrText>
      </w:r>
      <w:r w:rsidR="08D34141" w:rsidRPr="08595788">
        <w:instrText>David z Dinantu</w:instrText>
      </w:r>
      <w:r w:rsidR="08D34141">
        <w:instrText xml:space="preserve">" </w:instrText>
      </w:r>
      <w:r w:rsidR="08D34141">
        <w:fldChar w:fldCharType="end"/>
      </w:r>
      <w:r w:rsidR="08D34141">
        <w:t xml:space="preserve"> averroistické simulákrum definované jako kosmická hypostáze </w:t>
      </w:r>
      <w:r w:rsidR="08716DA8">
        <w:t xml:space="preserve">s </w:t>
      </w:r>
      <w:r w:rsidR="08D34141">
        <w:t>nemateriálním bytí</w:t>
      </w:r>
      <w:r w:rsidR="08716DA8">
        <w:t>m</w:t>
      </w:r>
      <w:r w:rsidR="08D34141">
        <w:t xml:space="preserve"> </w:t>
      </w:r>
      <w:r w:rsidR="08CB1B49">
        <w:t>(kap. 2</w:t>
      </w:r>
      <w:r w:rsidR="08D34141" w:rsidRPr="00273106">
        <w:t>.1</w:t>
      </w:r>
      <w:r w:rsidR="08D34141">
        <w:t>.3</w:t>
      </w:r>
      <w:r w:rsidR="08D34141" w:rsidRPr="00273106">
        <w:t>)</w:t>
      </w:r>
      <w:r w:rsidR="08716DA8">
        <w:t>. Dinant to</w:t>
      </w:r>
      <w:r w:rsidR="08DF7FD8">
        <w:t>to simulákr</w:t>
      </w:r>
      <w:r w:rsidR="08D34141">
        <w:t xml:space="preserve">um dokonce přidal do boží myslitelské esence v modu panteismu, což moderna inspirovaná monoteistickým Avicennou </w:t>
      </w:r>
      <w:r w:rsidR="08044E3A">
        <w:t xml:space="preserve">tehdy </w:t>
      </w:r>
      <w:r w:rsidR="08D34141">
        <w:t xml:space="preserve">zásadně odmítla. </w:t>
      </w:r>
      <w:r w:rsidR="082A7528">
        <w:t xml:space="preserve">Albert </w:t>
      </w:r>
      <w:r w:rsidR="08DF7FD8">
        <w:t xml:space="preserve">kritizuje </w:t>
      </w:r>
      <w:r w:rsidR="082A7528" w:rsidRPr="00273106">
        <w:t>tvrzení averroistů, že receptivní intelekt je oddělený od individuální poznávací schopnosti.</w:t>
      </w:r>
      <w:r w:rsidR="082A7528" w:rsidRPr="00273106">
        <w:rPr>
          <w:rStyle w:val="Znakapoznpodarou"/>
        </w:rPr>
        <w:footnoteReference w:id="276"/>
      </w:r>
      <w:r w:rsidR="082A7528" w:rsidRPr="00273106">
        <w:t xml:space="preserve"> </w:t>
      </w:r>
      <w:r w:rsidR="08C13221">
        <w:t>Prot</w:t>
      </w:r>
      <w:r w:rsidR="082A7528">
        <w:t>o</w:t>
      </w:r>
      <w:r w:rsidR="08C13221">
        <w:t xml:space="preserve"> musí Albert </w:t>
      </w:r>
      <w:r w:rsidR="08C13221" w:rsidRPr="00273106">
        <w:t xml:space="preserve">proti sofistice </w:t>
      </w:r>
      <w:r w:rsidR="08C13221" w:rsidRPr="00273106">
        <w:rPr>
          <w:i/>
        </w:rPr>
        <w:t>Modernorum</w:t>
      </w:r>
      <w:r w:rsidR="08C13221" w:rsidRPr="00273106">
        <w:t xml:space="preserve"> hájit </w:t>
      </w:r>
      <w:r w:rsidR="08C13221">
        <w:t>Averroes</w:t>
      </w:r>
      <w:r w:rsidR="08C13221" w:rsidRPr="00273106">
        <w:t xml:space="preserve">ův možný intelekt jako </w:t>
      </w:r>
      <w:r w:rsidR="08054FDD" w:rsidRPr="08054FDD">
        <w:rPr>
          <w:i/>
        </w:rPr>
        <w:t>tertium</w:t>
      </w:r>
      <w:r w:rsidR="08054FDD">
        <w:t xml:space="preserve"> </w:t>
      </w:r>
      <w:r w:rsidR="00B1298A">
        <w:rPr>
          <w:i/>
        </w:rPr>
        <w:t>genus</w:t>
      </w:r>
      <w:r w:rsidR="00492570">
        <w:t>. V</w:t>
      </w:r>
      <w:r w:rsidR="08054FDD">
        <w:t>ýkon poznání existující osoby</w:t>
      </w:r>
      <w:r w:rsidR="00492570">
        <w:t xml:space="preserve"> </w:t>
      </w:r>
      <w:r w:rsidR="08054FDD">
        <w:t>se liší od nemateriální abstrakce společné</w:t>
      </w:r>
      <w:r w:rsidR="00492570">
        <w:t xml:space="preserve"> všem lidem</w:t>
      </w:r>
      <w:r w:rsidR="00916249">
        <w:t xml:space="preserve">. Abstrakce dělá </w:t>
      </w:r>
      <w:r w:rsidR="08F47E2C" w:rsidRPr="08F47E2C">
        <w:t xml:space="preserve">intellekt jako univerzální </w:t>
      </w:r>
      <w:r w:rsidR="002E30FF" w:rsidRPr="002E30FF">
        <w:t>species</w:t>
      </w:r>
      <w:r w:rsidR="00916249">
        <w:t xml:space="preserve"> v modu </w:t>
      </w:r>
      <w:r w:rsidR="08F47E2C" w:rsidRPr="08F47E2C">
        <w:rPr>
          <w:i/>
        </w:rPr>
        <w:t xml:space="preserve">quartum </w:t>
      </w:r>
      <w:r w:rsidR="00B1298A">
        <w:rPr>
          <w:i/>
        </w:rPr>
        <w:t>genus</w:t>
      </w:r>
      <w:r w:rsidR="00F66C34">
        <w:t>.</w:t>
      </w:r>
    </w:p>
    <w:p w14:paraId="7D1EF53A" w14:textId="0C9C5752" w:rsidR="00AE4F1E" w:rsidRPr="00273106" w:rsidRDefault="00221596" w:rsidP="00F66C34">
      <w:pPr>
        <w:ind w:firstLine="397"/>
        <w:rPr>
          <w:rStyle w:val="TextpoznpodarouChar"/>
        </w:rPr>
      </w:pPr>
      <w:r w:rsidRPr="00273106">
        <w:t>Albertova odpověď na shrnuté argumenty averroistů je obsažena již v sedmé a v osmé odpovědi</w:t>
      </w:r>
      <w:r w:rsidR="00D37A8D">
        <w:t xml:space="preserve"> spisu </w:t>
      </w:r>
      <w:r w:rsidR="00F66C34" w:rsidRPr="007C066E">
        <w:rPr>
          <w:i/>
          <w:lang w:eastAsia="en-US"/>
        </w:rPr>
        <w:t>De unitate intellectus</w:t>
      </w:r>
      <w:r w:rsidR="00F66C34">
        <w:rPr>
          <w:lang w:eastAsia="en-US"/>
        </w:rPr>
        <w:t>. O</w:t>
      </w:r>
      <w:r w:rsidR="00D65C9E" w:rsidRPr="00273106">
        <w:t xml:space="preserve">statní části </w:t>
      </w:r>
      <w:r w:rsidR="00712FAF">
        <w:t xml:space="preserve">spisu </w:t>
      </w:r>
      <w:r w:rsidR="00D65C9E" w:rsidRPr="00273106">
        <w:t xml:space="preserve">tyto </w:t>
      </w:r>
      <w:r w:rsidR="00F66C34">
        <w:t xml:space="preserve">argumenty </w:t>
      </w:r>
      <w:r w:rsidR="00A90FAF">
        <w:t xml:space="preserve">jen podrobněji </w:t>
      </w:r>
      <w:r w:rsidR="00D65C9E" w:rsidRPr="00273106">
        <w:lastRenderedPageBreak/>
        <w:t>rozvádějí</w:t>
      </w:r>
      <w:r w:rsidRPr="00273106">
        <w:t xml:space="preserve">. Receptivní intelekt je v jistém smyslu </w:t>
      </w:r>
      <w:r w:rsidR="004B4D52" w:rsidRPr="004B4D52">
        <w:t>species</w:t>
      </w:r>
      <w:r w:rsidRPr="00273106">
        <w:rPr>
          <w:i/>
        </w:rPr>
        <w:t xml:space="preserve"> specierum</w:t>
      </w:r>
      <w:r w:rsidRPr="00273106">
        <w:t xml:space="preserve">, protože duše je </w:t>
      </w:r>
      <w:r w:rsidR="0062444A" w:rsidRPr="00273106">
        <w:t>potenciálně vším.</w:t>
      </w:r>
      <w:r w:rsidRPr="00273106">
        <w:t xml:space="preserve"> Ale </w:t>
      </w:r>
      <w:r w:rsidR="0062444A" w:rsidRPr="00273106">
        <w:t xml:space="preserve">tuto činnost vykonává </w:t>
      </w:r>
      <w:r w:rsidR="085B3DB4">
        <w:t xml:space="preserve">receptivní intelekt </w:t>
      </w:r>
      <w:r w:rsidR="0062444A" w:rsidRPr="00273106">
        <w:t>úplně jinak, n</w:t>
      </w:r>
      <w:r w:rsidRPr="00273106">
        <w:t xml:space="preserve">ež </w:t>
      </w:r>
      <w:r w:rsidR="085B3DB4">
        <w:t xml:space="preserve">jak to </w:t>
      </w:r>
      <w:r w:rsidR="0062444A" w:rsidRPr="00273106">
        <w:t xml:space="preserve">podává averroistické </w:t>
      </w:r>
      <w:r w:rsidRPr="00273106">
        <w:t xml:space="preserve">řešení poprvé dané v Rufusově </w:t>
      </w:r>
      <w:r w:rsidR="002666C2">
        <w:t xml:space="preserve">díle </w:t>
      </w:r>
      <w:r w:rsidRPr="00273106">
        <w:rPr>
          <w:i/>
        </w:rPr>
        <w:t>Speculum animae</w:t>
      </w:r>
      <w:r w:rsidR="002666C2">
        <w:t xml:space="preserve">, které podává první definici objektivní </w:t>
      </w:r>
      <w:r w:rsidR="002E30FF" w:rsidRPr="002E30FF">
        <w:t>species</w:t>
      </w:r>
      <w:r w:rsidR="085B3DB4">
        <w:t xml:space="preserve"> (kap. 3</w:t>
      </w:r>
      <w:r w:rsidR="00F631F7" w:rsidRPr="00273106">
        <w:t>.3.4</w:t>
      </w:r>
      <w:r w:rsidR="00B056AF" w:rsidRPr="00273106">
        <w:t>)</w:t>
      </w:r>
      <w:r w:rsidR="0062444A" w:rsidRPr="00273106">
        <w:t xml:space="preserve">. </w:t>
      </w:r>
      <w:r w:rsidR="00A46720">
        <w:t xml:space="preserve">Rufus jako první důsledný modernista hájí </w:t>
      </w:r>
      <w:r w:rsidR="080A31C7">
        <w:t>spekulativní</w:t>
      </w:r>
      <w:r w:rsidR="00B056AF" w:rsidRPr="00273106">
        <w:t xml:space="preserve"> pojetí intelektu, v němž se vzájemně zrcadlí tělo i duše skrze poznávané simulákrum intelektu.</w:t>
      </w:r>
      <w:r w:rsidR="00B056AF" w:rsidRPr="00273106">
        <w:rPr>
          <w:rStyle w:val="Znakapoznpodarou"/>
        </w:rPr>
        <w:footnoteReference w:id="277"/>
      </w:r>
      <w:r w:rsidR="00B056AF" w:rsidRPr="00273106">
        <w:t xml:space="preserve"> </w:t>
      </w:r>
      <w:r w:rsidR="009027F1" w:rsidRPr="00273106">
        <w:t>P</w:t>
      </w:r>
      <w:r w:rsidR="00356EFC" w:rsidRPr="00273106">
        <w:t xml:space="preserve">rvní sofistická kritika </w:t>
      </w:r>
      <w:r w:rsidR="002E3B62">
        <w:t>Averroes</w:t>
      </w:r>
      <w:r w:rsidR="0062444A" w:rsidRPr="00273106">
        <w:t xml:space="preserve">e nechává fungovat nemateriální </w:t>
      </w:r>
      <w:r w:rsidR="00DF7272" w:rsidRPr="00273106">
        <w:t xml:space="preserve">a numericky jednotný </w:t>
      </w:r>
      <w:r w:rsidR="0062444A"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EB5E08" w:rsidRPr="00EB5E08">
        <w:instrText>:averroismus</w:instrText>
      </w:r>
      <w:r w:rsidR="009D323B">
        <w:instrText xml:space="preserve">" </w:instrText>
      </w:r>
      <w:r w:rsidR="009D323B">
        <w:rPr>
          <w:i/>
        </w:rPr>
        <w:fldChar w:fldCharType="end"/>
      </w:r>
      <w:r w:rsidR="0062444A" w:rsidRPr="00273106">
        <w:t xml:space="preserve"> </w:t>
      </w:r>
      <w:r w:rsidRPr="00273106">
        <w:t xml:space="preserve">jako </w:t>
      </w:r>
      <w:r w:rsidR="00DF7272" w:rsidRPr="00273106">
        <w:t xml:space="preserve">jedno univočně pojaté </w:t>
      </w:r>
      <w:r w:rsidRPr="00273106">
        <w:t xml:space="preserve">zrcadlo </w:t>
      </w:r>
      <w:r w:rsidR="001B7263" w:rsidRPr="00273106">
        <w:t xml:space="preserve">reflektující </w:t>
      </w:r>
      <w:r w:rsidRPr="00273106">
        <w:t>neosobní poznávací sí</w:t>
      </w:r>
      <w:r w:rsidR="00F06419" w:rsidRPr="00273106">
        <w:t xml:space="preserve">lu odděleného </w:t>
      </w:r>
      <w:r w:rsidR="084A3E73">
        <w:t xml:space="preserve">kosmického </w:t>
      </w:r>
      <w:r w:rsidR="00F06419" w:rsidRPr="00273106">
        <w:t>intelektu</w:t>
      </w:r>
      <w:r w:rsidRPr="00273106">
        <w:t xml:space="preserve">. </w:t>
      </w:r>
      <w:r w:rsidR="08960D5B">
        <w:t>Jenže taková teorie zas</w:t>
      </w:r>
      <w:r w:rsidR="087A218A">
        <w:t>táncům Blundovy školy připomínala</w:t>
      </w:r>
      <w:r w:rsidR="08960D5B">
        <w:t xml:space="preserve"> panteistickou verzi kosmického receptivního intelektu podle Davida z Dinantu</w:t>
      </w:r>
      <w:r w:rsidR="08960D5B">
        <w:fldChar w:fldCharType="begin"/>
      </w:r>
      <w:r w:rsidR="08960D5B">
        <w:instrText xml:space="preserve"> XE "</w:instrText>
      </w:r>
      <w:r w:rsidR="08960D5B" w:rsidRPr="08AA3A6B">
        <w:instrText>David z Dinantu</w:instrText>
      </w:r>
      <w:r w:rsidR="08960D5B">
        <w:instrText xml:space="preserve">" </w:instrText>
      </w:r>
      <w:r w:rsidR="08960D5B">
        <w:fldChar w:fldCharType="end"/>
      </w:r>
      <w:r w:rsidR="08632959">
        <w:t xml:space="preserve">. Proto měl spor moderních mendikantů se sekulárními artisty na Rue du Fouarre zásadní charakter. Ve hře bylo dvojí pojetí teologie jako zjevené nauky a univerzální ontoteologie. Modernisté </w:t>
      </w:r>
      <w:r w:rsidR="080A7CAF">
        <w:t xml:space="preserve">bojující pod praporem objektivně pojaté ortodoxie </w:t>
      </w:r>
      <w:r w:rsidR="08632959">
        <w:t xml:space="preserve">museli klasické myslitele </w:t>
      </w:r>
      <w:r w:rsidR="08305903">
        <w:t xml:space="preserve">mocensky </w:t>
      </w:r>
      <w:r w:rsidR="08632959">
        <w:t xml:space="preserve">zničit, což poprvé provedli </w:t>
      </w:r>
      <w:r w:rsidR="08305903">
        <w:t xml:space="preserve">akademickou </w:t>
      </w:r>
      <w:r w:rsidR="08632959">
        <w:t>čistkou v roce 1255</w:t>
      </w:r>
      <w:r w:rsidR="089C4111">
        <w:t xml:space="preserve"> a definitivně v roce 1277</w:t>
      </w:r>
      <w:r w:rsidR="08305903">
        <w:t>. T</w:t>
      </w:r>
      <w:r w:rsidR="08632959">
        <w:t>ím</w:t>
      </w:r>
      <w:r w:rsidR="089C4111">
        <w:t xml:space="preserve">to epochálním moderně-revolučním činem </w:t>
      </w:r>
      <w:r w:rsidR="08632959">
        <w:t xml:space="preserve">otevřeli cestu k </w:t>
      </w:r>
      <w:r w:rsidR="08632959" w:rsidRPr="08632959">
        <w:rPr>
          <w:i/>
        </w:rPr>
        <w:t>metaphysica generalis</w:t>
      </w:r>
      <w:r w:rsidR="08632959">
        <w:rPr>
          <w:i/>
        </w:rPr>
        <w:fldChar w:fldCharType="begin"/>
      </w:r>
      <w:r w:rsidR="08632959">
        <w:instrText xml:space="preserve"> XE "</w:instrText>
      </w:r>
      <w:r w:rsidR="08632959" w:rsidRPr="085D7C04">
        <w:rPr>
          <w:i/>
        </w:rPr>
        <w:instrText>metaphysica generalis</w:instrText>
      </w:r>
      <w:r w:rsidR="08632959">
        <w:instrText xml:space="preserve">" </w:instrText>
      </w:r>
      <w:r w:rsidR="08632959">
        <w:rPr>
          <w:i/>
        </w:rPr>
        <w:fldChar w:fldCharType="end"/>
      </w:r>
      <w:r w:rsidR="08632959">
        <w:t xml:space="preserve"> a ke smrti boha </w:t>
      </w:r>
      <w:r w:rsidR="08632959" w:rsidRPr="08632959">
        <w:rPr>
          <w:i/>
        </w:rPr>
        <w:t>Modernorum</w:t>
      </w:r>
      <w:r w:rsidR="08632959">
        <w:t xml:space="preserve">. </w:t>
      </w:r>
      <w:r w:rsidRPr="00273106">
        <w:t>Albert</w:t>
      </w:r>
      <w:r w:rsidR="089C4111">
        <w:t xml:space="preserve">ovo klasické </w:t>
      </w:r>
      <w:r w:rsidR="089C4111" w:rsidRPr="089C4111">
        <w:rPr>
          <w:i/>
        </w:rPr>
        <w:t>revolutio</w:t>
      </w:r>
      <w:r w:rsidR="089C4111">
        <w:t xml:space="preserve"> </w:t>
      </w:r>
      <w:r w:rsidRPr="00273106">
        <w:t xml:space="preserve">s odvoláním na </w:t>
      </w:r>
      <w:r w:rsidR="002E3B62">
        <w:t>Averroes</w:t>
      </w:r>
      <w:r w:rsidRPr="00273106">
        <w:t xml:space="preserve">e zdůrazňuje, že díky nematerialitě a receptivitě dané skrze </w:t>
      </w:r>
      <w:r w:rsidRPr="00273106">
        <w:rPr>
          <w:i/>
        </w:rPr>
        <w:t>intellectus possibilis</w:t>
      </w:r>
      <w:r w:rsidRPr="00273106">
        <w:t xml:space="preserve"> je možné jak individuální, tak i univerzální poznání. </w:t>
      </w:r>
      <w:r w:rsidR="00D16B65" w:rsidRPr="00273106">
        <w:t xml:space="preserve">Ze všech bodů polemiky je zřejmé, že Albert hájí autentického </w:t>
      </w:r>
      <w:r w:rsidR="002E3B62">
        <w:t>Averroes</w:t>
      </w:r>
      <w:r w:rsidR="00D16B65" w:rsidRPr="00273106">
        <w:t xml:space="preserve">e proti sofistickým averroistům, což před ním v Paříži </w:t>
      </w:r>
      <w:r w:rsidR="00B32D50" w:rsidRPr="00273106">
        <w:t xml:space="preserve">prováděl </w:t>
      </w:r>
      <w:r w:rsidR="08997434">
        <w:t xml:space="preserve">jeho učitel </w:t>
      </w:r>
      <w:r w:rsidR="00D16B65" w:rsidRPr="00273106">
        <w:t>Alvernus.</w:t>
      </w:r>
      <w:r w:rsidR="001D2D34" w:rsidRPr="00273106">
        <w:t xml:space="preserve"> </w:t>
      </w:r>
      <w:r w:rsidR="00006CBB" w:rsidRPr="00273106">
        <w:t xml:space="preserve">Modernisté inspirovaní Avicebronem trvají na </w:t>
      </w:r>
      <w:r w:rsidR="082C0964">
        <w:t>„exsistenci“ spirituálně dané materie</w:t>
      </w:r>
      <w:r w:rsidR="00006CBB" w:rsidRPr="00273106">
        <w:t xml:space="preserve"> v intelektu. Tím vytvořili nové </w:t>
      </w:r>
      <w:r w:rsidR="00006CBB"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EB5E08">
        <w:rPr>
          <w:rStyle w:val="Zvraznn"/>
        </w:rPr>
        <w:instrText>:</w:instrText>
      </w:r>
      <w:r w:rsidR="00EB5E08" w:rsidRPr="00EB5E08">
        <w:rPr>
          <w:rStyle w:val="Zvraznn"/>
          <w:i w:val="0"/>
        </w:rPr>
        <w:instrText>materie</w:instrText>
      </w:r>
      <w:r w:rsidR="003F16A5">
        <w:instrText xml:space="preserve">" </w:instrText>
      </w:r>
      <w:r w:rsidR="003F16A5">
        <w:rPr>
          <w:i/>
        </w:rPr>
        <w:fldChar w:fldCharType="end"/>
      </w:r>
      <w:r w:rsidR="00006CBB" w:rsidRPr="00273106">
        <w:t xml:space="preserve"> dané univočně jak v realitě, tak i v mysli. </w:t>
      </w:r>
      <w:r w:rsidR="08851EC0" w:rsidRPr="00273106">
        <w:t xml:space="preserve">Albertův koncept </w:t>
      </w:r>
      <w:r w:rsidR="08851EC0" w:rsidRPr="00273106">
        <w:rPr>
          <w:i/>
        </w:rPr>
        <w:t>intellectus possibilis</w:t>
      </w:r>
      <w:r w:rsidR="08851EC0" w:rsidRPr="00273106">
        <w:t xml:space="preserve"> zásadně vylučuje tvorbu jsoucna třetího druhu. </w:t>
      </w:r>
      <w:r w:rsidR="08851EC0">
        <w:t xml:space="preserve">Albert hájí </w:t>
      </w:r>
      <w:r w:rsidR="08DB3953">
        <w:t xml:space="preserve">intelekt </w:t>
      </w:r>
      <w:r w:rsidR="08851EC0" w:rsidRPr="00273106">
        <w:t xml:space="preserve">jako aktuální výkon </w:t>
      </w:r>
      <w:r w:rsidR="08851EC0">
        <w:t xml:space="preserve">existující </w:t>
      </w:r>
      <w:r w:rsidR="08851EC0" w:rsidRPr="00273106">
        <w:t>osoby</w:t>
      </w:r>
      <w:r w:rsidR="08851EC0">
        <w:t xml:space="preserve">. </w:t>
      </w:r>
      <w:r w:rsidR="00AE4F1E" w:rsidRPr="00273106">
        <w:rPr>
          <w:rStyle w:val="TextpoznpodarouChar"/>
        </w:rPr>
        <w:t>Jádro sporu o intelekt mezi averroisty a Albertem se skrývá v tomto tvrzení.</w:t>
      </w:r>
    </w:p>
    <w:p w14:paraId="27B2A204" w14:textId="77777777" w:rsidR="00AE4F1E" w:rsidRPr="00273106" w:rsidRDefault="00AE4F1E" w:rsidP="00AE4F1E">
      <w:pPr>
        <w:pStyle w:val="Citace"/>
        <w:rPr>
          <w:rStyle w:val="TextpoznpodarouChar"/>
          <w:noProof/>
          <w:lang w:val="cs-CZ"/>
        </w:rPr>
      </w:pPr>
      <w:r w:rsidRPr="08656956">
        <w:lastRenderedPageBreak/>
        <w:t xml:space="preserve">„Nesouhlasíme s Avicebronem, že racionální duše je složena </w:t>
      </w:r>
      <w:r w:rsidR="0002798F" w:rsidRPr="08656956">
        <w:t xml:space="preserve">z </w:t>
      </w:r>
      <w:r w:rsidRPr="08656956">
        <w:t>materie a formy, ale tvrdíme, že se naopak skládá z potence a z aktu.“</w:t>
      </w:r>
      <w:r w:rsidRPr="00273106">
        <w:rPr>
          <w:rStyle w:val="Znakapoznpodarou"/>
          <w:noProof/>
          <w:lang w:val="cs-CZ"/>
        </w:rPr>
        <w:t xml:space="preserve"> </w:t>
      </w:r>
      <w:r w:rsidRPr="00273106">
        <w:rPr>
          <w:noProof/>
          <w:lang w:val="cs-CZ"/>
        </w:rPr>
        <w:t xml:space="preserve"> </w:t>
      </w:r>
      <w:r w:rsidRPr="00273106">
        <w:rPr>
          <w:rStyle w:val="Znakapoznpodarou"/>
          <w:noProof/>
          <w:lang w:val="cs-CZ"/>
        </w:rPr>
        <w:footnoteReference w:id="278"/>
      </w:r>
    </w:p>
    <w:p w14:paraId="0AFE3552" w14:textId="7DDBC75D" w:rsidR="00221596" w:rsidRPr="00273106" w:rsidRDefault="00FF6444" w:rsidP="00221596">
      <w:r>
        <w:t>M</w:t>
      </w:r>
      <w:r w:rsidR="00F923CC" w:rsidRPr="00273106">
        <w:t xml:space="preserve">yslící první substance </w:t>
      </w:r>
      <w:r>
        <w:t xml:space="preserve">se skládá </w:t>
      </w:r>
      <w:r w:rsidR="00E11B34" w:rsidRPr="00273106">
        <w:t>ze dvou odlišných</w:t>
      </w:r>
      <w:r w:rsidR="00221596" w:rsidRPr="00273106">
        <w:t xml:space="preserve"> potenc</w:t>
      </w:r>
      <w:r w:rsidR="00E11B34" w:rsidRPr="00273106">
        <w:t>í</w:t>
      </w:r>
      <w:r w:rsidR="00221596" w:rsidRPr="00273106">
        <w:t xml:space="preserve">: aktivní a pasivní. </w:t>
      </w:r>
      <w:r w:rsidR="00F546FB" w:rsidRPr="00273106">
        <w:t>Receptivní intelekt nematerialitou a čistou potencí garantuje rozděl</w:t>
      </w:r>
      <w:r w:rsidR="007C3BA1">
        <w:t>ení mezi potencí intel</w:t>
      </w:r>
      <w:r w:rsidR="00F546FB" w:rsidRPr="00273106">
        <w:t xml:space="preserve">igibilního </w:t>
      </w:r>
      <w:r w:rsidR="002E30FF" w:rsidRPr="002E30FF">
        <w:t>species</w:t>
      </w:r>
      <w:r w:rsidR="00F546FB" w:rsidRPr="00273106">
        <w:t xml:space="preserve"> a mezi aktualitou </w:t>
      </w:r>
      <w:r w:rsidR="00283916">
        <w:t xml:space="preserve">externí </w:t>
      </w:r>
      <w:r w:rsidR="00283916" w:rsidRPr="00273106">
        <w:t>věci</w:t>
      </w:r>
      <w:r w:rsidR="00283916">
        <w:t xml:space="preserve">, kterou máme </w:t>
      </w:r>
      <w:r w:rsidR="00F546FB" w:rsidRPr="00273106">
        <w:t>pozn</w:t>
      </w:r>
      <w:r w:rsidR="00283916">
        <w:t>at</w:t>
      </w:r>
      <w:r w:rsidR="08DB7736">
        <w:t xml:space="preserve">. </w:t>
      </w:r>
      <w:r w:rsidR="002E01D9">
        <w:t>Receptivní intelekt přijímá r</w:t>
      </w:r>
      <w:r w:rsidR="08DB7736">
        <w:t>eálnou věc pouze ve svém modu</w:t>
      </w:r>
      <w:r w:rsidR="00F546FB" w:rsidRPr="00273106">
        <w:t>, ale nevytváří</w:t>
      </w:r>
      <w:r w:rsidR="002E01D9">
        <w:t xml:space="preserve"> ji</w:t>
      </w:r>
      <w:r w:rsidR="00F546FB" w:rsidRPr="00273106">
        <w:t xml:space="preserve">. Tím je dáno nikoliv </w:t>
      </w:r>
      <w:r w:rsidR="00F546FB" w:rsidRPr="00273106">
        <w:rPr>
          <w:i/>
        </w:rPr>
        <w:t>creatio</w:t>
      </w:r>
      <w:r w:rsidR="00F546FB" w:rsidRPr="00273106">
        <w:t xml:space="preserve"> jsoucna třetího druhu, ale </w:t>
      </w:r>
      <w:r w:rsidR="002E3B62">
        <w:t>Averroes</w:t>
      </w:r>
      <w:r w:rsidR="00F546FB" w:rsidRPr="00273106">
        <w:t xml:space="preserve">ovo </w:t>
      </w:r>
      <w:r w:rsidR="00F546FB" w:rsidRPr="00273106">
        <w:rPr>
          <w:i/>
        </w:rPr>
        <w:t>proportio</w:t>
      </w:r>
      <w:r w:rsidR="00F546FB" w:rsidRPr="00273106">
        <w:t xml:space="preserve"> vzhledem k pravdě věci dané externě a poznávané interně. </w:t>
      </w:r>
      <w:r w:rsidR="00430E6F">
        <w:t>P</w:t>
      </w:r>
      <w:r w:rsidR="00430E6F" w:rsidRPr="00273106">
        <w:t>ředstavitelé druhého averroismu</w:t>
      </w:r>
      <w:r w:rsidR="00430E6F">
        <w:t xml:space="preserve"> trvají na m</w:t>
      </w:r>
      <w:r w:rsidR="00221596" w:rsidRPr="00273106">
        <w:t>esalianci mezi dvěma druhy int</w:t>
      </w:r>
      <w:r w:rsidR="00430E6F">
        <w:t>elektu danými substanciálně</w:t>
      </w:r>
      <w:r w:rsidR="00221596" w:rsidRPr="00273106">
        <w:t>. Obrana receptivního intelektu je odv</w:t>
      </w:r>
      <w:r w:rsidR="00B31DC4">
        <w:t xml:space="preserve">ozena z již podané obrany dvojího </w:t>
      </w:r>
      <w:r w:rsidR="00A52632" w:rsidRPr="00273106">
        <w:t xml:space="preserve">poznání v rámci </w:t>
      </w:r>
      <w:r w:rsidR="00221596"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DF1B39" w:rsidRPr="00E2134B">
        <w:instrText>A</w:instrText>
      </w:r>
      <w:r w:rsidR="00965C02">
        <w:instrText>lbert</w:instrText>
      </w:r>
      <w:r w:rsidR="00DF1B39">
        <w:instrText xml:space="preserve">" </w:instrText>
      </w:r>
      <w:r w:rsidR="00DF1B39">
        <w:rPr>
          <w:i/>
        </w:rPr>
        <w:fldChar w:fldCharType="end"/>
      </w:r>
      <w:r w:rsidR="085F6FB7">
        <w:t xml:space="preserve"> (kap. 2</w:t>
      </w:r>
      <w:r w:rsidR="00A52632" w:rsidRPr="00273106">
        <w:t>.4.2</w:t>
      </w:r>
      <w:r w:rsidR="00221596" w:rsidRPr="00273106">
        <w:t xml:space="preserve">). Albert </w:t>
      </w:r>
      <w:r w:rsidR="00D844C0" w:rsidRPr="00273106">
        <w:t xml:space="preserve">v polemice </w:t>
      </w:r>
      <w:r w:rsidR="00221596" w:rsidRPr="00273106">
        <w:t xml:space="preserve">proti averroistům opakuje stanovisko uvedené v citovaném komentáři k </w:t>
      </w:r>
      <w:r w:rsidR="00B713C5">
        <w:rPr>
          <w:i/>
        </w:rPr>
        <w:t>De anima</w:t>
      </w:r>
      <w:r w:rsidR="00221596" w:rsidRPr="00273106">
        <w:t>.</w:t>
      </w:r>
    </w:p>
    <w:p w14:paraId="5550314D" w14:textId="193711C2" w:rsidR="00164915" w:rsidRPr="00273106" w:rsidRDefault="00221596" w:rsidP="00061A52">
      <w:pPr>
        <w:pStyle w:val="Citace"/>
        <w:rPr>
          <w:noProof/>
          <w:lang w:val="cs-CZ"/>
        </w:rPr>
      </w:pPr>
      <w:r w:rsidRPr="00273106">
        <w:rPr>
          <w:noProof/>
          <w:lang w:val="cs-CZ"/>
        </w:rPr>
        <w:t>„</w:t>
      </w:r>
      <w:r w:rsidR="00164915" w:rsidRPr="00273106">
        <w:rPr>
          <w:noProof/>
          <w:lang w:val="cs-CZ"/>
        </w:rPr>
        <w:t>Spekulativní intelekt je dán podle</w:t>
      </w:r>
      <w:r w:rsidR="08EC6DE8">
        <w:rPr>
          <w:noProof/>
          <w:lang w:val="cs-CZ"/>
        </w:rPr>
        <w:t xml:space="preserve"> osob</w:t>
      </w:r>
      <w:r w:rsidR="00164915" w:rsidRPr="00273106">
        <w:rPr>
          <w:noProof/>
          <w:lang w:val="cs-CZ"/>
        </w:rPr>
        <w:t xml:space="preserve">, v nichž se vyskytuje. Pak je nutné, aby jeho receptivní základ </w:t>
      </w:r>
      <w:r w:rsidR="08EC6DE8">
        <w:rPr>
          <w:noProof/>
          <w:lang w:val="cs-CZ"/>
        </w:rPr>
        <w:t>(</w:t>
      </w:r>
      <w:r w:rsidR="08EC6DE8" w:rsidRPr="08EC6DE8">
        <w:rPr>
          <w:i/>
        </w:rPr>
        <w:t>subjectum ipsius quod est patiens</w:t>
      </w:r>
      <w:r w:rsidR="08EC6DE8">
        <w:rPr>
          <w:noProof/>
          <w:lang w:val="cs-CZ"/>
        </w:rPr>
        <w:t xml:space="preserve">) </w:t>
      </w:r>
      <w:r w:rsidR="00164915" w:rsidRPr="00273106">
        <w:rPr>
          <w:noProof/>
          <w:lang w:val="cs-CZ"/>
        </w:rPr>
        <w:t xml:space="preserve">byl </w:t>
      </w:r>
      <w:r w:rsidR="00D60D68">
        <w:rPr>
          <w:noProof/>
          <w:lang w:val="cs-CZ"/>
        </w:rPr>
        <w:t xml:space="preserve">chápaný </w:t>
      </w:r>
      <w:r w:rsidR="00164915" w:rsidRPr="00273106">
        <w:rPr>
          <w:noProof/>
          <w:lang w:val="cs-CZ"/>
        </w:rPr>
        <w:t xml:space="preserve">stejným způsobem, protože spekulativní intelekt je dán </w:t>
      </w:r>
      <w:r w:rsidR="086249E8">
        <w:rPr>
          <w:noProof/>
          <w:lang w:val="cs-CZ"/>
        </w:rPr>
        <w:t xml:space="preserve">v osobách </w:t>
      </w:r>
      <w:r w:rsidR="00A36A12" w:rsidRPr="00273106">
        <w:rPr>
          <w:noProof/>
          <w:lang w:val="cs-CZ"/>
        </w:rPr>
        <w:t xml:space="preserve">skrze </w:t>
      </w:r>
      <w:r w:rsidR="00EE2BFF">
        <w:rPr>
          <w:noProof/>
          <w:lang w:val="cs-CZ"/>
        </w:rPr>
        <w:t xml:space="preserve">osobní </w:t>
      </w:r>
      <w:r w:rsidR="00A36A12" w:rsidRPr="00273106">
        <w:rPr>
          <w:noProof/>
          <w:lang w:val="cs-CZ"/>
        </w:rPr>
        <w:t>nositele</w:t>
      </w:r>
      <w:r w:rsidR="00164915" w:rsidRPr="00273106">
        <w:rPr>
          <w:noProof/>
          <w:lang w:val="cs-CZ"/>
        </w:rPr>
        <w:t xml:space="preserve">. Stejně tak je možný intelekt </w:t>
      </w:r>
      <w:r w:rsidR="00834094">
        <w:rPr>
          <w:noProof/>
          <w:lang w:val="cs-CZ"/>
        </w:rPr>
        <w:t xml:space="preserve">personalizován </w:t>
      </w:r>
      <w:r w:rsidR="00164915" w:rsidRPr="00273106">
        <w:rPr>
          <w:noProof/>
          <w:lang w:val="cs-CZ"/>
        </w:rPr>
        <w:t>skrze jednotlivé instance spekulativního intele</w:t>
      </w:r>
      <w:r w:rsidR="082870F7">
        <w:rPr>
          <w:noProof/>
          <w:lang w:val="cs-CZ"/>
        </w:rPr>
        <w:t xml:space="preserve">ktu, a proto je </w:t>
      </w:r>
      <w:r w:rsidR="00834094">
        <w:rPr>
          <w:noProof/>
          <w:lang w:val="cs-CZ"/>
        </w:rPr>
        <w:t xml:space="preserve">činný </w:t>
      </w:r>
      <w:r w:rsidR="00164915" w:rsidRPr="00273106">
        <w:rPr>
          <w:noProof/>
          <w:lang w:val="cs-CZ"/>
        </w:rPr>
        <w:t xml:space="preserve">skrze tyto </w:t>
      </w:r>
      <w:r w:rsidR="082870F7">
        <w:rPr>
          <w:noProof/>
          <w:lang w:val="cs-CZ"/>
        </w:rPr>
        <w:t xml:space="preserve">jednotlivé </w:t>
      </w:r>
      <w:r w:rsidR="08076867">
        <w:rPr>
          <w:noProof/>
          <w:lang w:val="cs-CZ"/>
        </w:rPr>
        <w:t xml:space="preserve">osoby. </w:t>
      </w:r>
      <w:r w:rsidR="00164915" w:rsidRPr="00273106">
        <w:rPr>
          <w:noProof/>
          <w:lang w:val="cs-CZ"/>
        </w:rPr>
        <w:t xml:space="preserve">Proto </w:t>
      </w:r>
      <w:r w:rsidR="00BE677F">
        <w:rPr>
          <w:noProof/>
          <w:lang w:val="cs-CZ"/>
        </w:rPr>
        <w:t xml:space="preserve">v </w:t>
      </w:r>
      <w:r w:rsidR="00507DCC">
        <w:rPr>
          <w:noProof/>
          <w:lang w:val="cs-CZ"/>
        </w:rPr>
        <w:t xml:space="preserve">různých </w:t>
      </w:r>
      <w:r w:rsidR="00507DCC" w:rsidRPr="00273106">
        <w:rPr>
          <w:noProof/>
          <w:lang w:val="cs-CZ"/>
        </w:rPr>
        <w:t xml:space="preserve">osobách </w:t>
      </w:r>
      <w:r w:rsidR="00507DCC">
        <w:rPr>
          <w:noProof/>
          <w:lang w:val="cs-CZ"/>
        </w:rPr>
        <w:t>existují r</w:t>
      </w:r>
      <w:r w:rsidR="0006173B" w:rsidRPr="00273106">
        <w:rPr>
          <w:noProof/>
          <w:lang w:val="cs-CZ"/>
        </w:rPr>
        <w:t xml:space="preserve">ůzné </w:t>
      </w:r>
      <w:r w:rsidR="00507DCC">
        <w:rPr>
          <w:noProof/>
          <w:lang w:val="cs-CZ"/>
        </w:rPr>
        <w:t xml:space="preserve">podoby </w:t>
      </w:r>
      <w:r w:rsidR="0006173B" w:rsidRPr="00273106">
        <w:rPr>
          <w:noProof/>
          <w:lang w:val="cs-CZ"/>
        </w:rPr>
        <w:t>možného intelektu</w:t>
      </w:r>
      <w:r w:rsidR="00164915" w:rsidRPr="00273106">
        <w:rPr>
          <w:noProof/>
          <w:lang w:val="cs-CZ"/>
        </w:rPr>
        <w:t>.“</w:t>
      </w:r>
      <w:r w:rsidR="00061A52" w:rsidRPr="00273106">
        <w:rPr>
          <w:noProof/>
          <w:lang w:val="cs-CZ"/>
        </w:rPr>
        <w:t xml:space="preserve"> </w:t>
      </w:r>
      <w:r w:rsidR="00164915" w:rsidRPr="00273106">
        <w:rPr>
          <w:rStyle w:val="Znakapoznpodarou"/>
          <w:noProof/>
          <w:lang w:val="cs-CZ"/>
        </w:rPr>
        <w:footnoteReference w:id="279"/>
      </w:r>
    </w:p>
    <w:p w14:paraId="49B1EEE2" w14:textId="77777777" w:rsidR="007D4060" w:rsidRDefault="00221596" w:rsidP="00221596">
      <w:r w:rsidRPr="00273106">
        <w:t>Smysly mají receptivně-syntetický charakter a jsou individuální</w:t>
      </w:r>
      <w:r w:rsidR="087C48B5">
        <w:t xml:space="preserve"> podle těla</w:t>
      </w:r>
      <w:r w:rsidRPr="00273106">
        <w:t xml:space="preserve">. Intelekt musí mít stejný charakter, ale jeho povaha musí být nemateriální a univerzální </w:t>
      </w:r>
      <w:r w:rsidR="087C48B5">
        <w:t xml:space="preserve">skrze aktuální existenci </w:t>
      </w:r>
      <w:r w:rsidR="08166281">
        <w:t xml:space="preserve">osoby </w:t>
      </w:r>
      <w:r w:rsidRPr="00273106">
        <w:t>(</w:t>
      </w:r>
      <w:r w:rsidRPr="00273106">
        <w:rPr>
          <w:i/>
        </w:rPr>
        <w:t>speculativus intellectus qui est factus et generatus multipliciter secundum ea in quibus sit</w:t>
      </w:r>
      <w:r w:rsidRPr="00273106">
        <w:t xml:space="preserve">). Obojí požadavek pochopitelně </w:t>
      </w:r>
      <w:r w:rsidR="008F5B2E" w:rsidRPr="00273106">
        <w:t xml:space="preserve">musí splňovat </w:t>
      </w:r>
      <w:r w:rsidRPr="00273106">
        <w:t>i receptivní charakter intelektu</w:t>
      </w:r>
      <w:r w:rsidR="087C48B5">
        <w:t xml:space="preserve">, protože také tvoří nemateriální výkon </w:t>
      </w:r>
      <w:r w:rsidR="087C48B5" w:rsidRPr="087C48B5">
        <w:rPr>
          <w:i/>
        </w:rPr>
        <w:t>anima intellectiva</w:t>
      </w:r>
      <w:r w:rsidR="00EB4D8C" w:rsidRPr="00273106">
        <w:t xml:space="preserve">. </w:t>
      </w:r>
      <w:r w:rsidR="087C48B5">
        <w:t xml:space="preserve">Proto je </w:t>
      </w:r>
      <w:r w:rsidR="087C48B5" w:rsidRPr="087C48B5">
        <w:rPr>
          <w:i/>
        </w:rPr>
        <w:t>intellectus possibilis</w:t>
      </w:r>
      <w:r w:rsidR="087C48B5">
        <w:t xml:space="preserve"> </w:t>
      </w:r>
      <w:r w:rsidR="00F661ED" w:rsidRPr="00273106">
        <w:t>d</w:t>
      </w:r>
      <w:r w:rsidR="00EB4D8C" w:rsidRPr="00273106">
        <w:t>án</w:t>
      </w:r>
      <w:r w:rsidR="00111BDC">
        <w:t xml:space="preserve"> v</w:t>
      </w:r>
      <w:r w:rsidR="00E56F55">
        <w:t xml:space="preserve"> osobách </w:t>
      </w:r>
      <w:r w:rsidR="00F661ED" w:rsidRPr="00273106">
        <w:t xml:space="preserve">jako jejich </w:t>
      </w:r>
      <w:r w:rsidR="00E56F55">
        <w:t xml:space="preserve">personální schopnost myslet </w:t>
      </w:r>
      <w:r w:rsidR="00F661ED" w:rsidRPr="00273106">
        <w:t>stejné univerzální obsahy</w:t>
      </w:r>
      <w:r w:rsidRPr="00273106">
        <w:t xml:space="preserve"> (</w:t>
      </w:r>
      <w:r w:rsidRPr="00273106">
        <w:rPr>
          <w:i/>
        </w:rPr>
        <w:t>possibilis intellectus multiplicatur secundum numerum speculantium</w:t>
      </w:r>
      <w:r w:rsidRPr="00273106">
        <w:t xml:space="preserve">). Problém averroistů je v tom, že </w:t>
      </w:r>
      <w:r w:rsidR="08A656D4">
        <w:t xml:space="preserve">nemají </w:t>
      </w:r>
      <w:r w:rsidR="00ED4F57">
        <w:t>spr</w:t>
      </w:r>
      <w:r w:rsidR="08A656D4">
        <w:t>á</w:t>
      </w:r>
      <w:r w:rsidR="00ED4F57">
        <w:t>vn</w:t>
      </w:r>
      <w:r w:rsidR="08A656D4">
        <w:t xml:space="preserve">ý výklad </w:t>
      </w:r>
      <w:r w:rsidRPr="00273106">
        <w:t xml:space="preserve">ani </w:t>
      </w:r>
      <w:r w:rsidR="00B713C5">
        <w:rPr>
          <w:i/>
        </w:rPr>
        <w:t>De anima</w:t>
      </w:r>
      <w:r w:rsidR="08A656D4">
        <w:t xml:space="preserve"> </w:t>
      </w:r>
      <w:r w:rsidRPr="00273106">
        <w:t xml:space="preserve">ani CMDA. </w:t>
      </w:r>
      <w:r w:rsidR="009967F8">
        <w:t>F</w:t>
      </w:r>
      <w:r w:rsidR="009967F8" w:rsidRPr="00273106">
        <w:t xml:space="preserve">alešným odkazem na </w:t>
      </w:r>
      <w:r w:rsidR="009967F8">
        <w:t>Averroes</w:t>
      </w:r>
      <w:r w:rsidR="009967F8" w:rsidRPr="00273106">
        <w:t xml:space="preserve">e </w:t>
      </w:r>
      <w:r w:rsidR="009967F8">
        <w:t>p</w:t>
      </w:r>
      <w:r w:rsidR="00E0629B" w:rsidRPr="00273106">
        <w:t xml:space="preserve">ředkládají </w:t>
      </w:r>
      <w:r w:rsidRPr="00273106">
        <w:lastRenderedPageBreak/>
        <w:t>absurdní kombinace</w:t>
      </w:r>
      <w:r w:rsidR="00E2119E" w:rsidRPr="00273106">
        <w:t xml:space="preserve"> pseudo-substancí</w:t>
      </w:r>
      <w:r w:rsidRPr="00273106">
        <w:t>, které ničí jednotu osoby</w:t>
      </w:r>
      <w:r w:rsidR="00E0629B" w:rsidRPr="00273106">
        <w:t xml:space="preserve">. </w:t>
      </w:r>
      <w:r w:rsidR="00B944C9" w:rsidRPr="00273106">
        <w:t xml:space="preserve">Tento pomýlený </w:t>
      </w:r>
      <w:r w:rsidR="005D03D9">
        <w:t>kartezi</w:t>
      </w:r>
      <w:r w:rsidR="00B944C9" w:rsidRPr="00273106">
        <w:t xml:space="preserve">anismus </w:t>
      </w:r>
      <w:r w:rsidR="0004020D" w:rsidRPr="00273106">
        <w:rPr>
          <w:i/>
        </w:rPr>
        <w:t>avant la lettre</w:t>
      </w:r>
      <w:r w:rsidR="0004020D" w:rsidRPr="00273106">
        <w:t xml:space="preserve"> </w:t>
      </w:r>
      <w:r w:rsidR="00E0629B" w:rsidRPr="00273106">
        <w:t xml:space="preserve">považují Alvernus a </w:t>
      </w:r>
      <w:r w:rsidRPr="00273106">
        <w:t xml:space="preserve">Albert za zásadní problém. </w:t>
      </w:r>
      <w:r w:rsidR="000467C2" w:rsidRPr="00273106">
        <w:t>Jejich h</w:t>
      </w:r>
      <w:r w:rsidRPr="00273106">
        <w:rPr>
          <w:rStyle w:val="TextpoznpodarouChar"/>
        </w:rPr>
        <w:t xml:space="preserve">lavní argument proti nauce </w:t>
      </w:r>
      <w:r w:rsidRPr="00273106">
        <w:rPr>
          <w:rStyle w:val="TextpoznpodarouChar"/>
          <w:i/>
        </w:rPr>
        <w:t>Latinorum</w:t>
      </w:r>
      <w:r w:rsidRPr="00273106">
        <w:rPr>
          <w:rStyle w:val="TextpoznpodarouChar"/>
        </w:rPr>
        <w:t xml:space="preserve"> odmítá </w:t>
      </w:r>
      <w:r w:rsidR="00AE1AF1">
        <w:rPr>
          <w:rStyle w:val="TextpoznpodarouChar"/>
        </w:rPr>
        <w:t xml:space="preserve">univerzální </w:t>
      </w:r>
      <w:r w:rsidR="00831124" w:rsidRPr="00273106">
        <w:rPr>
          <w:rStyle w:val="TextpoznpodarouChar"/>
        </w:rPr>
        <w:t>hylemorfismus</w:t>
      </w:r>
      <w:r w:rsidR="004C27BA">
        <w:rPr>
          <w:rStyle w:val="TextpoznpodarouChar"/>
        </w:rPr>
        <w:fldChar w:fldCharType="begin"/>
      </w:r>
      <w:r w:rsidR="004C27BA">
        <w:instrText xml:space="preserve"> XE "</w:instrText>
      </w:r>
      <w:r w:rsidR="004C27BA" w:rsidRPr="005619B2">
        <w:instrText>univerzální hylemorfismus</w:instrText>
      </w:r>
      <w:r w:rsidR="004C27BA">
        <w:instrText xml:space="preserve">" </w:instrText>
      </w:r>
      <w:r w:rsidR="004C27BA">
        <w:rPr>
          <w:rStyle w:val="TextpoznpodarouChar"/>
        </w:rPr>
        <w:fldChar w:fldCharType="end"/>
      </w:r>
      <w:r w:rsidRPr="00273106">
        <w:rPr>
          <w:rStyle w:val="TextpoznpodarouChar"/>
        </w:rPr>
        <w:t xml:space="preserve">, kterým </w:t>
      </w:r>
      <w:r w:rsidR="000467C2" w:rsidRPr="00273106">
        <w:rPr>
          <w:rStyle w:val="TextpoznpodarouChar"/>
        </w:rPr>
        <w:t xml:space="preserve">modernisté </w:t>
      </w:r>
      <w:r w:rsidRPr="00273106">
        <w:rPr>
          <w:rStyle w:val="TextpoznpodarouChar"/>
        </w:rPr>
        <w:t xml:space="preserve">popírají celou tradici aristotelské filosofie. Univerzália nemohou být ve věcech, protože </w:t>
      </w:r>
      <w:r w:rsidRPr="00273106">
        <w:rPr>
          <w:rStyle w:val="TextpoznpodarouChar"/>
          <w:i/>
        </w:rPr>
        <w:t>ens rationis</w:t>
      </w:r>
      <w:r w:rsidR="00597669">
        <w:rPr>
          <w:rStyle w:val="TextpoznpodarouChar"/>
          <w:i/>
        </w:rPr>
        <w:fldChar w:fldCharType="begin"/>
      </w:r>
      <w:r w:rsidR="00597669">
        <w:instrText xml:space="preserve"> XE "</w:instrText>
      </w:r>
      <w:r w:rsidR="00597669" w:rsidRPr="00C500F1">
        <w:rPr>
          <w:i/>
        </w:rPr>
        <w:instrText>ens rationis</w:instrText>
      </w:r>
      <w:r w:rsidR="00597669">
        <w:instrText xml:space="preserve">" </w:instrText>
      </w:r>
      <w:r w:rsidR="00597669">
        <w:rPr>
          <w:rStyle w:val="TextpoznpodarouChar"/>
          <w:i/>
        </w:rPr>
        <w:fldChar w:fldCharType="end"/>
      </w:r>
      <w:r w:rsidRPr="00273106">
        <w:rPr>
          <w:rStyle w:val="TextpoznpodarouChar"/>
        </w:rPr>
        <w:t xml:space="preserve"> existuje jen v mysli poznávajícího. Navíc lidské poznání vychází z aktuální </w:t>
      </w:r>
      <w:r w:rsidR="003376C0">
        <w:rPr>
          <w:rStyle w:val="TextpoznpodarouChar"/>
        </w:rPr>
        <w:t xml:space="preserve">první </w:t>
      </w:r>
      <w:r w:rsidRPr="00273106">
        <w:rPr>
          <w:rStyle w:val="TextpoznpodarouChar"/>
        </w:rPr>
        <w:t xml:space="preserve">substance, jejíž univerzální význam je pouze abstrahován a není dán v nějaké autonomní </w:t>
      </w:r>
      <w:r w:rsidR="00135A6A">
        <w:rPr>
          <w:rStyle w:val="TextpoznpodarouChar"/>
        </w:rPr>
        <w:t xml:space="preserve">univerzální </w:t>
      </w:r>
      <w:r w:rsidRPr="00273106">
        <w:rPr>
          <w:rStyle w:val="TextpoznpodarouChar"/>
        </w:rPr>
        <w:t>formě.</w:t>
      </w:r>
      <w:r w:rsidRPr="00273106">
        <w:rPr>
          <w:rStyle w:val="Znakapoznpodarou"/>
        </w:rPr>
        <w:footnoteReference w:id="280"/>
      </w:r>
      <w:r w:rsidRPr="00273106">
        <w:t xml:space="preserve"> </w:t>
      </w:r>
      <w:r w:rsidR="083B6B24">
        <w:t xml:space="preserve">První abstrakce běží už na smyslové úrovni. </w:t>
      </w:r>
      <w:r w:rsidRPr="00273106">
        <w:t xml:space="preserve">Albert dobře ví, že oko není </w:t>
      </w:r>
      <w:r w:rsidRPr="00273106">
        <w:rPr>
          <w:i/>
        </w:rPr>
        <w:t>subiectum</w:t>
      </w:r>
      <w:r w:rsidRPr="00273106">
        <w:t xml:space="preserve"> pro barevné světlo, protože oko se při vněmu barvy samo nezbarví</w:t>
      </w:r>
      <w:r w:rsidR="008B36DC">
        <w:t xml:space="preserve">. Oko </w:t>
      </w:r>
      <w:r w:rsidRPr="00273106">
        <w:t xml:space="preserve"> </w:t>
      </w:r>
      <w:r w:rsidR="008B36DC" w:rsidRPr="00273106">
        <w:t>pasivně přijímá</w:t>
      </w:r>
      <w:r w:rsidR="008B36DC">
        <w:t xml:space="preserve"> </w:t>
      </w:r>
      <w:r w:rsidRPr="00273106">
        <w:t xml:space="preserve">nasvícenou plochu </w:t>
      </w:r>
      <w:r w:rsidR="0033542B">
        <w:t xml:space="preserve">skrze </w:t>
      </w:r>
      <w:r w:rsidR="086B2385">
        <w:t xml:space="preserve">smyslové </w:t>
      </w:r>
      <w:r w:rsidR="0033542B">
        <w:t>diafanum</w:t>
      </w:r>
      <w:r w:rsidR="00965C02">
        <w:fldChar w:fldCharType="begin"/>
      </w:r>
      <w:r w:rsidR="00965C02">
        <w:instrText xml:space="preserve"> XE "</w:instrText>
      </w:r>
      <w:r w:rsidR="00965C02" w:rsidRPr="00B10ED7">
        <w:instrText>diafanum:Albert</w:instrText>
      </w:r>
      <w:r w:rsidR="00965C02">
        <w:instrText xml:space="preserve">" </w:instrText>
      </w:r>
      <w:r w:rsidR="00965C02">
        <w:fldChar w:fldCharType="end"/>
      </w:r>
      <w:r w:rsidRPr="00273106">
        <w:t xml:space="preserve">. </w:t>
      </w:r>
      <w:r w:rsidR="082C5FC3">
        <w:t xml:space="preserve">Syntetický poznatek vzniká až v duši a ne v oku. </w:t>
      </w:r>
      <w:r w:rsidR="0072185F" w:rsidRPr="00273106">
        <w:t>R</w:t>
      </w:r>
      <w:r w:rsidRPr="00273106">
        <w:t xml:space="preserve">eceptivní intelekt není </w:t>
      </w:r>
      <w:r w:rsidR="084974E4">
        <w:t xml:space="preserve">aktuálním </w:t>
      </w:r>
      <w:r w:rsidRPr="00273106">
        <w:t xml:space="preserve">subjektem poznané věci jak tvrdí modernisté, protože </w:t>
      </w:r>
      <w:r w:rsidR="0899751C">
        <w:t xml:space="preserve">duševní poznávací schopnost </w:t>
      </w:r>
      <w:r w:rsidRPr="00273106">
        <w:t xml:space="preserve">je svou potencialitou </w:t>
      </w:r>
      <w:r w:rsidR="0899751C">
        <w:t xml:space="preserve">a </w:t>
      </w:r>
      <w:r w:rsidRPr="00273106">
        <w:t>n</w:t>
      </w:r>
      <w:r w:rsidR="0899751C">
        <w:t xml:space="preserve">emateriálností zásadně oddělena </w:t>
      </w:r>
      <w:r w:rsidRPr="00273106">
        <w:t>od poznávané věci</w:t>
      </w:r>
      <w:r w:rsidR="084974E4">
        <w:t xml:space="preserve">. Poznání </w:t>
      </w:r>
      <w:r w:rsidR="0033542B">
        <w:t>tvoří další formu diafanum</w:t>
      </w:r>
      <w:r w:rsidR="084974E4">
        <w:t xml:space="preserve">, protože od věci </w:t>
      </w:r>
      <w:r w:rsidR="002857C7">
        <w:t xml:space="preserve">zprostředková </w:t>
      </w:r>
      <w:r w:rsidR="084974E4">
        <w:t>její univerzální aspekt</w:t>
      </w:r>
      <w:r w:rsidR="007D4060">
        <w:t>.</w:t>
      </w:r>
    </w:p>
    <w:p w14:paraId="00803EC1" w14:textId="7B5A2589" w:rsidR="00221596" w:rsidRPr="00273106" w:rsidRDefault="00221596" w:rsidP="00846F01">
      <w:pPr>
        <w:ind w:firstLine="397"/>
      </w:pPr>
      <w:r w:rsidRPr="00273106">
        <w:t xml:space="preserve">Podívejme se na Albertovu verzi </w:t>
      </w:r>
      <w:r w:rsidR="003376C0">
        <w:t>výše uvedené Baconovy poznámky</w:t>
      </w:r>
      <w:r w:rsidR="00A16549">
        <w:rPr>
          <w:i/>
        </w:rPr>
        <w:fldChar w:fldCharType="begin"/>
      </w:r>
      <w:r w:rsidR="00A16549">
        <w:instrText xml:space="preserve"> XE "druhý</w:instrText>
      </w:r>
      <w:r w:rsidR="00A16549" w:rsidRPr="005B7E92">
        <w:instrText xml:space="preserve"> averroismu</w:instrText>
      </w:r>
      <w:r w:rsidR="00A16549">
        <w:instrText xml:space="preserve">s:kritika Bacona" </w:instrText>
      </w:r>
      <w:r w:rsidR="00A16549">
        <w:rPr>
          <w:i/>
        </w:rPr>
        <w:fldChar w:fldCharType="end"/>
      </w:r>
      <w:r w:rsidRPr="00273106">
        <w:t xml:space="preserve"> </w:t>
      </w:r>
      <w:r w:rsidR="003376C0">
        <w:t>o šílených naukách</w:t>
      </w:r>
      <w:r w:rsidR="007D4060">
        <w:t xml:space="preserve">, které hlásali jeho současníci </w:t>
      </w:r>
      <w:r w:rsidR="004F05DA" w:rsidRPr="00273106">
        <w:t>na Oxfordu (</w:t>
      </w:r>
      <w:r w:rsidR="003376C0" w:rsidRPr="00273106">
        <w:rPr>
          <w:i/>
        </w:rPr>
        <w:t>insaniunt contra veritatem</w:t>
      </w:r>
      <w:r w:rsidR="003376C0">
        <w:t xml:space="preserve">, </w:t>
      </w:r>
      <w:r w:rsidR="082870F7">
        <w:t>kap. 3</w:t>
      </w:r>
      <w:r w:rsidR="004F05DA" w:rsidRPr="00273106">
        <w:t>.4</w:t>
      </w:r>
      <w:r w:rsidR="08E54617">
        <w:t>.2</w:t>
      </w:r>
      <w:r w:rsidRPr="00273106">
        <w:t xml:space="preserve">). </w:t>
      </w:r>
      <w:r w:rsidR="00846F01" w:rsidRPr="00846F01">
        <w:t>Albert nepřímo komentuje první čistku ar</w:t>
      </w:r>
      <w:r w:rsidR="00846F01">
        <w:t>istoteliků ze sicilské školy v R</w:t>
      </w:r>
      <w:r w:rsidR="00846F01" w:rsidRPr="00846F01">
        <w:t xml:space="preserve">ue de Fouarre. Obhajoval je ve svých komentářích k </w:t>
      </w:r>
      <w:r w:rsidR="00846F01" w:rsidRPr="00846F01">
        <w:rPr>
          <w:i/>
        </w:rPr>
        <w:t>De anima</w:t>
      </w:r>
      <w:r w:rsidR="00846F01" w:rsidRPr="00846F01">
        <w:t xml:space="preserve"> a v pojednáních o intelektu napsaných kolem roku 1255.</w:t>
      </w:r>
      <w:r w:rsidR="00846F01">
        <w:t xml:space="preserve"> </w:t>
      </w:r>
      <w:r w:rsidRPr="00273106">
        <w:t xml:space="preserve">Odmítnutí pomýlených teorií druhého averroismu začíná výslovným odvoláním na </w:t>
      </w:r>
      <w:r w:rsidR="002E3B62">
        <w:t>Averroes</w:t>
      </w:r>
      <w:r w:rsidRPr="00273106">
        <w:t>e (</w:t>
      </w:r>
      <w:r w:rsidRPr="00273106">
        <w:rPr>
          <w:i/>
        </w:rPr>
        <w:t>secundum expositionem Averrois</w:t>
      </w:r>
      <w:r w:rsidRPr="00273106">
        <w:t>) a pokračuje následovně.</w:t>
      </w:r>
    </w:p>
    <w:p w14:paraId="52F4152E" w14:textId="45E6998C" w:rsidR="00C50EA0" w:rsidRPr="00273106" w:rsidRDefault="00221596" w:rsidP="008F395B">
      <w:pPr>
        <w:pStyle w:val="Citace"/>
        <w:rPr>
          <w:noProof/>
          <w:lang w:val="cs-CZ"/>
        </w:rPr>
      </w:pPr>
      <w:r w:rsidRPr="00273106">
        <w:rPr>
          <w:noProof/>
          <w:lang w:val="cs-CZ"/>
        </w:rPr>
        <w:t>„</w:t>
      </w:r>
      <w:r w:rsidR="00C50EA0" w:rsidRPr="00273106">
        <w:rPr>
          <w:noProof/>
          <w:lang w:val="cs-CZ"/>
        </w:rPr>
        <w:t xml:space="preserve">Někteří z nich tvrdí, </w:t>
      </w:r>
      <w:r w:rsidR="0033745A" w:rsidRPr="00273106">
        <w:rPr>
          <w:noProof/>
          <w:lang w:val="cs-CZ"/>
        </w:rPr>
        <w:t>v</w:t>
      </w:r>
      <w:r w:rsidR="0033745A">
        <w:rPr>
          <w:noProof/>
          <w:lang w:val="cs-CZ"/>
        </w:rPr>
        <w:t> </w:t>
      </w:r>
      <w:r w:rsidR="0033745A" w:rsidRPr="00273106">
        <w:rPr>
          <w:noProof/>
          <w:lang w:val="cs-CZ"/>
        </w:rPr>
        <w:t>člověku</w:t>
      </w:r>
      <w:r w:rsidR="0033745A">
        <w:rPr>
          <w:noProof/>
          <w:lang w:val="cs-CZ"/>
        </w:rPr>
        <w:t xml:space="preserve"> jsou </w:t>
      </w:r>
      <w:r w:rsidR="00C50EA0" w:rsidRPr="00273106">
        <w:rPr>
          <w:noProof/>
          <w:lang w:val="cs-CZ"/>
        </w:rPr>
        <w:t>tři substance</w:t>
      </w:r>
      <w:r w:rsidR="0033745A">
        <w:rPr>
          <w:noProof/>
          <w:lang w:val="cs-CZ"/>
        </w:rPr>
        <w:t xml:space="preserve">. To </w:t>
      </w:r>
      <w:r w:rsidR="00C50EA0" w:rsidRPr="00273106">
        <w:rPr>
          <w:noProof/>
          <w:lang w:val="cs-CZ"/>
        </w:rPr>
        <w:t xml:space="preserve">je tak směšné, že </w:t>
      </w:r>
      <w:r w:rsidR="00596D37">
        <w:rPr>
          <w:noProof/>
          <w:lang w:val="cs-CZ"/>
        </w:rPr>
        <w:t>se k tomu nebudu vyjadřovat</w:t>
      </w:r>
      <w:r w:rsidR="00226964">
        <w:rPr>
          <w:noProof/>
          <w:lang w:val="cs-CZ"/>
        </w:rPr>
        <w:t>. To netvrdil</w:t>
      </w:r>
      <w:r w:rsidR="00C50EA0" w:rsidRPr="00273106">
        <w:rPr>
          <w:noProof/>
          <w:lang w:val="cs-CZ"/>
        </w:rPr>
        <w:t xml:space="preserve"> </w:t>
      </w:r>
      <w:r w:rsidR="00226964">
        <w:rPr>
          <w:noProof/>
          <w:lang w:val="cs-CZ"/>
        </w:rPr>
        <w:t>žádný p</w:t>
      </w:r>
      <w:r w:rsidR="00C50EA0" w:rsidRPr="00273106">
        <w:rPr>
          <w:noProof/>
          <w:lang w:val="cs-CZ"/>
        </w:rPr>
        <w:t>er</w:t>
      </w:r>
      <w:r w:rsidR="00226964">
        <w:rPr>
          <w:noProof/>
          <w:lang w:val="cs-CZ"/>
        </w:rPr>
        <w:t>ipatetik</w:t>
      </w:r>
      <w:r w:rsidR="00596D37">
        <w:rPr>
          <w:noProof/>
          <w:lang w:val="cs-CZ"/>
        </w:rPr>
        <w:t xml:space="preserve">, ale toto vymysleli </w:t>
      </w:r>
      <w:r w:rsidR="00C50EA0" w:rsidRPr="00273106">
        <w:rPr>
          <w:noProof/>
          <w:lang w:val="cs-CZ"/>
        </w:rPr>
        <w:t>nějací Latiníci</w:t>
      </w:r>
      <w:r w:rsidR="00465A73">
        <w:rPr>
          <w:noProof/>
          <w:lang w:val="cs-CZ"/>
        </w:rPr>
        <w:t xml:space="preserve">. Ti nemají ponětí o  povaze duše a </w:t>
      </w:r>
      <w:r w:rsidR="00C50EA0" w:rsidRPr="00273106">
        <w:rPr>
          <w:noProof/>
          <w:lang w:val="cs-CZ"/>
        </w:rPr>
        <w:t xml:space="preserve">odmítl </w:t>
      </w:r>
      <w:r w:rsidR="00465A73">
        <w:rPr>
          <w:noProof/>
          <w:lang w:val="cs-CZ"/>
        </w:rPr>
        <w:t xml:space="preserve">jsem to </w:t>
      </w:r>
      <w:r w:rsidR="00C50EA0" w:rsidRPr="00273106">
        <w:rPr>
          <w:noProof/>
          <w:lang w:val="cs-CZ"/>
        </w:rPr>
        <w:t>v mnoha pojednáních.“</w:t>
      </w:r>
      <w:r w:rsidR="008F395B" w:rsidRPr="00273106">
        <w:rPr>
          <w:noProof/>
          <w:lang w:val="cs-CZ"/>
        </w:rPr>
        <w:t xml:space="preserve"> </w:t>
      </w:r>
      <w:r w:rsidR="00C50EA0" w:rsidRPr="00273106">
        <w:rPr>
          <w:rStyle w:val="Znakapoznpodarou"/>
          <w:noProof/>
          <w:lang w:val="cs-CZ"/>
        </w:rPr>
        <w:footnoteReference w:id="281"/>
      </w:r>
    </w:p>
    <w:p w14:paraId="78DD5FD9" w14:textId="6D9AA1F4" w:rsidR="08E82638" w:rsidRDefault="00EA26BC" w:rsidP="00264222">
      <w:r w:rsidRPr="00273106">
        <w:lastRenderedPageBreak/>
        <w:t>Albert nehodlá akademicky diskutovat s lidmi, kteří neznají</w:t>
      </w:r>
      <w:r w:rsidR="00186E02">
        <w:t xml:space="preserve"> základní filosofickou abecedu,. Jejich argumenty </w:t>
      </w:r>
      <w:r w:rsidRPr="00273106">
        <w:t xml:space="preserve">jsou </w:t>
      </w:r>
      <w:r w:rsidR="00186E02">
        <w:t xml:space="preserve">absolutně </w:t>
      </w:r>
      <w:r w:rsidRPr="00273106">
        <w:t>směšné (</w:t>
      </w:r>
      <w:r w:rsidRPr="00273106">
        <w:rPr>
          <w:i/>
        </w:rPr>
        <w:t>non reputo opinionem, sed ridiculum</w:t>
      </w:r>
      <w:r w:rsidRPr="00273106">
        <w:t xml:space="preserve">). </w:t>
      </w:r>
      <w:r w:rsidR="00221596" w:rsidRPr="00273106">
        <w:t>Kritizovaní Latiníci neznají skutečnou povahu duše, proto zcela bez zábran fabulují své teze (</w:t>
      </w:r>
      <w:r w:rsidR="00221596" w:rsidRPr="00273106">
        <w:rPr>
          <w:i/>
        </w:rPr>
        <w:t>Latini naturam animae nescientes hoc confinxerunt</w:t>
      </w:r>
      <w:r w:rsidR="00221596" w:rsidRPr="00273106">
        <w:t xml:space="preserve">). Podobným způsobem Alvernus kritizoval </w:t>
      </w:r>
      <w:r w:rsidR="00E968A1">
        <w:t>latinské sofisty jeho doby</w:t>
      </w:r>
      <w:r w:rsidR="005109BC">
        <w:rPr>
          <w:i/>
        </w:rPr>
        <w:fldChar w:fldCharType="begin"/>
      </w:r>
      <w:r w:rsidR="005109BC">
        <w:instrText xml:space="preserve"> XE "</w:instrText>
      </w:r>
      <w:r w:rsidR="00965C02">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82870F7">
        <w:t xml:space="preserve"> (kap. 2</w:t>
      </w:r>
      <w:r w:rsidR="001F4510" w:rsidRPr="00273106">
        <w:t>.3</w:t>
      </w:r>
      <w:r w:rsidR="00D548D9">
        <w:t>.1</w:t>
      </w:r>
      <w:r w:rsidR="00221596" w:rsidRPr="00273106">
        <w:t xml:space="preserve">). </w:t>
      </w:r>
      <w:r w:rsidR="003B028C">
        <w:t xml:space="preserve">Albertova kritika jasně míří na skupinu </w:t>
      </w:r>
      <w:r w:rsidR="003B028C" w:rsidRPr="003B028C">
        <w:rPr>
          <w:i/>
        </w:rPr>
        <w:t>Modernorum</w:t>
      </w:r>
      <w:r w:rsidR="003B028C">
        <w:t xml:space="preserve"> na Oxfordu, kteří vyznávali univerální hyleforfismus (k</w:t>
      </w:r>
      <w:r w:rsidR="082870F7">
        <w:t>ap. 3</w:t>
      </w:r>
      <w:r w:rsidR="003B028C">
        <w:t xml:space="preserve">.2). Kritizované trojí substanční pojetí výslovně cituje </w:t>
      </w:r>
      <w:r w:rsidR="00132B79">
        <w:t>Adam z</w:t>
      </w:r>
      <w:r w:rsidR="00F8008E">
        <w:t> </w:t>
      </w:r>
      <w:r w:rsidR="00132B79">
        <w:t>Buckfieldu</w:t>
      </w:r>
      <w:r w:rsidR="00F8008E">
        <w:t xml:space="preserve">. Jeho </w:t>
      </w:r>
      <w:r w:rsidR="00132B79">
        <w:t xml:space="preserve">komentář k </w:t>
      </w:r>
      <w:r w:rsidR="00132B79" w:rsidRPr="00132B79">
        <w:rPr>
          <w:i/>
        </w:rPr>
        <w:t>De anima</w:t>
      </w:r>
      <w:r w:rsidR="00132B79">
        <w:t xml:space="preserve"> </w:t>
      </w:r>
      <w:r w:rsidR="00E9423D">
        <w:t>byl naps</w:t>
      </w:r>
      <w:r w:rsidR="00F8008E">
        <w:t>án okolo 1240 v Oxfordu</w:t>
      </w:r>
      <w:r w:rsidR="00132B79">
        <w:t>.</w:t>
      </w:r>
      <w:r w:rsidR="00132B79">
        <w:rPr>
          <w:rStyle w:val="Znakapoznpodarou"/>
        </w:rPr>
        <w:footnoteReference w:id="282"/>
      </w:r>
      <w:r w:rsidR="00132B79">
        <w:t xml:space="preserve"> </w:t>
      </w:r>
      <w:r w:rsidR="00221596" w:rsidRPr="00273106">
        <w:t xml:space="preserve">Argumenty Latiníků jsou </w:t>
      </w:r>
      <w:r w:rsidR="002973F6">
        <w:t xml:space="preserve">podle Alberta </w:t>
      </w:r>
      <w:r w:rsidR="00221596" w:rsidRPr="00273106">
        <w:t xml:space="preserve">tak slabé, že nezasluhují název „argument“, protože jsou čistým výmyslem odporujícím celé dosavadní filosofické tradici. Podobnou formulaci najdeme i ve spisu </w:t>
      </w:r>
      <w:r w:rsidR="00221596" w:rsidRPr="00273106">
        <w:rPr>
          <w:i/>
        </w:rPr>
        <w:t xml:space="preserve">De intellectu et intelligibili </w:t>
      </w:r>
      <w:r w:rsidR="00221596" w:rsidRPr="00273106">
        <w:t>a je přímo namířena pro</w:t>
      </w:r>
      <w:r w:rsidR="00B35FB9" w:rsidRPr="00273106">
        <w:t>ti analytické Oxfordské škole</w:t>
      </w:r>
      <w:r w:rsidR="0067511C" w:rsidRPr="00273106">
        <w:t xml:space="preserve"> založené </w:t>
      </w:r>
      <w:r w:rsidR="000844C0">
        <w:t xml:space="preserve">Rufusem a </w:t>
      </w:r>
      <w:r w:rsidR="0067511C" w:rsidRPr="00273106">
        <w:t>Kilwardbym</w:t>
      </w:r>
      <w:r w:rsidR="00B35FB9" w:rsidRPr="00273106">
        <w:t>.</w:t>
      </w:r>
      <w:bookmarkStart w:id="89" w:name="_Ref399176319"/>
      <w:r w:rsidR="00B35FB9" w:rsidRPr="00273106">
        <w:rPr>
          <w:rStyle w:val="Znakapoznpodarou"/>
        </w:rPr>
        <w:footnoteReference w:id="283"/>
      </w:r>
      <w:bookmarkEnd w:id="89"/>
      <w:r w:rsidR="00B35FB9" w:rsidRPr="00273106">
        <w:t xml:space="preserve"> </w:t>
      </w:r>
      <w:r w:rsidR="00221596" w:rsidRPr="00273106">
        <w:t xml:space="preserve">Albert nemůže uznat žádnou substanci třetího druhu. Buď je substance pojatá absolutně </w:t>
      </w:r>
      <w:r w:rsidR="00221596" w:rsidRPr="00273106">
        <w:rPr>
          <w:i/>
        </w:rPr>
        <w:t>per se</w:t>
      </w:r>
      <w:r w:rsidR="00221596" w:rsidRPr="00273106">
        <w:t xml:space="preserve"> jako univerzální </w:t>
      </w:r>
      <w:r w:rsidR="00221596" w:rsidRPr="00273106">
        <w:rPr>
          <w:i/>
        </w:rPr>
        <w:t>essentia</w:t>
      </w:r>
      <w:r w:rsidR="00221596" w:rsidRPr="00273106">
        <w:t xml:space="preserve"> v mysli, nebo je to individualizovaný princip samotné věci, která je ovšem daná </w:t>
      </w:r>
      <w:r w:rsidR="00221596" w:rsidRPr="00273106">
        <w:rPr>
          <w:i/>
        </w:rPr>
        <w:t>simpliciter</w:t>
      </w:r>
      <w:r w:rsidR="00221596" w:rsidRPr="00273106">
        <w:t xml:space="preserve"> v reálu (</w:t>
      </w:r>
      <w:r w:rsidR="00221596" w:rsidRPr="00273106">
        <w:rPr>
          <w:i/>
        </w:rPr>
        <w:t>esse rei</w:t>
      </w:r>
      <w:r w:rsidR="089D4EA1">
        <w:t>). Pak je es</w:t>
      </w:r>
      <w:r w:rsidR="00221596" w:rsidRPr="00273106">
        <w:t xml:space="preserve">ence přičitatelná věcem jen v modu </w:t>
      </w:r>
      <w:r w:rsidR="00221596" w:rsidRPr="00273106">
        <w:rPr>
          <w:i/>
        </w:rPr>
        <w:t>universaliter</w:t>
      </w:r>
      <w:r w:rsidR="00221596" w:rsidRPr="00273106">
        <w:t xml:space="preserve"> a tato esence </w:t>
      </w:r>
      <w:r w:rsidR="00485643">
        <w:rPr>
          <w:i/>
          <w:iCs/>
        </w:rPr>
        <w:fldChar w:fldCharType="begin"/>
      </w:r>
      <w:r w:rsidR="00485643">
        <w:instrText xml:space="preserve"> XE "esence:první averroismus" </w:instrText>
      </w:r>
      <w:r w:rsidR="00485643">
        <w:rPr>
          <w:i/>
          <w:iCs/>
        </w:rPr>
        <w:fldChar w:fldCharType="end"/>
      </w:r>
      <w:r w:rsidR="00221596" w:rsidRPr="00273106">
        <w:t>existuje pouze v intelektu jako univerzální forma (</w:t>
      </w:r>
      <w:r w:rsidR="00221596" w:rsidRPr="00273106">
        <w:rPr>
          <w:i/>
        </w:rPr>
        <w:t>universale non est nisi in intellectu</w:t>
      </w:r>
      <w:r w:rsidR="00221596" w:rsidRPr="00273106">
        <w:t xml:space="preserve">). Predikace formy je pouze </w:t>
      </w:r>
      <w:r w:rsidR="00221596" w:rsidRPr="00273106">
        <w:rPr>
          <w:i/>
        </w:rPr>
        <w:t>de re</w:t>
      </w:r>
      <w:r w:rsidR="000E6A74">
        <w:t xml:space="preserve">, </w:t>
      </w:r>
      <w:r w:rsidR="08A234D6">
        <w:t xml:space="preserve">protože univerzální význam </w:t>
      </w:r>
      <w:r w:rsidR="00221596" w:rsidRPr="00273106">
        <w:t xml:space="preserve">nikdy nemůže být </w:t>
      </w:r>
      <w:r w:rsidR="00221596" w:rsidRPr="00273106">
        <w:rPr>
          <w:i/>
        </w:rPr>
        <w:t>in re</w:t>
      </w:r>
      <w:r w:rsidR="00221596" w:rsidRPr="00273106">
        <w:t xml:space="preserve">. </w:t>
      </w:r>
      <w:r w:rsidR="08904534">
        <w:t>Predikace</w:t>
      </w:r>
      <w:r w:rsidR="08204C7A">
        <w:t xml:space="preserve"> </w:t>
      </w:r>
      <w:r w:rsidR="08204C7A" w:rsidRPr="08204C7A">
        <w:rPr>
          <w:i/>
        </w:rPr>
        <w:t>in re</w:t>
      </w:r>
      <w:r w:rsidR="08204C7A">
        <w:t xml:space="preserve"> je možná pouze v logice a </w:t>
      </w:r>
      <w:r w:rsidR="08904534">
        <w:t xml:space="preserve">v </w:t>
      </w:r>
      <w:r w:rsidR="08204C7A">
        <w:t xml:space="preserve">matematice, protože </w:t>
      </w:r>
      <w:r w:rsidR="08904534">
        <w:t xml:space="preserve">v těchto vědách </w:t>
      </w:r>
      <w:r w:rsidR="08B72841">
        <w:t>je prováděna v médiu</w:t>
      </w:r>
      <w:r w:rsidR="08204C7A">
        <w:t xml:space="preserve"> logické ab</w:t>
      </w:r>
      <w:r w:rsidR="08CD019A">
        <w:t>s</w:t>
      </w:r>
      <w:r w:rsidR="08204C7A">
        <w:t>trakce</w:t>
      </w:r>
      <w:r w:rsidR="00684005">
        <w:t xml:space="preserve">. Ale </w:t>
      </w:r>
      <w:r w:rsidR="08904534">
        <w:t>princip</w:t>
      </w:r>
      <w:r w:rsidR="00684005">
        <w:t xml:space="preserve"> „</w:t>
      </w:r>
      <w:r w:rsidR="00684005" w:rsidRPr="00684005">
        <w:rPr>
          <w:i/>
        </w:rPr>
        <w:t>ex</w:t>
      </w:r>
      <w:r w:rsidR="08904534">
        <w:t xml:space="preserve"> </w:t>
      </w:r>
      <w:r w:rsidR="08D950FE">
        <w:rPr>
          <w:i/>
        </w:rPr>
        <w:t>in</w:t>
      </w:r>
      <w:r w:rsidR="08B72841" w:rsidRPr="08B72841">
        <w:rPr>
          <w:i/>
        </w:rPr>
        <w:t>mediat</w:t>
      </w:r>
      <w:r w:rsidR="00684005">
        <w:rPr>
          <w:i/>
        </w:rPr>
        <w:t>is</w:t>
      </w:r>
      <w:r w:rsidR="00684005">
        <w:t>“</w:t>
      </w:r>
      <w:r w:rsidR="08B72841">
        <w:t xml:space="preserve"> </w:t>
      </w:r>
      <w:r w:rsidR="00684005">
        <w:t xml:space="preserve">odkazuje na </w:t>
      </w:r>
      <w:r w:rsidR="08B72841">
        <w:t xml:space="preserve">kauzalitu prvních substancí podle </w:t>
      </w:r>
      <w:r w:rsidR="08B72841" w:rsidRPr="08B72841">
        <w:rPr>
          <w:i/>
        </w:rPr>
        <w:t>Druhých analytik</w:t>
      </w:r>
      <w:r w:rsidR="08204C7A">
        <w:t xml:space="preserve">. </w:t>
      </w:r>
      <w:r w:rsidR="00221596" w:rsidRPr="00273106">
        <w:t xml:space="preserve">Ve věci existuje esence pouze jako aktualizovaná v látce, tj. ve formě </w:t>
      </w:r>
      <w:r w:rsidR="00221596" w:rsidRPr="00273106">
        <w:rPr>
          <w:i/>
        </w:rPr>
        <w:t>quidditas rei</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0221596" w:rsidRPr="00273106">
        <w:t xml:space="preserve"> dané </w:t>
      </w:r>
      <w:r w:rsidR="008F7E6B">
        <w:t xml:space="preserve">jako hyparchická první substance, </w:t>
      </w:r>
      <w:r w:rsidR="00221596" w:rsidRPr="00273106">
        <w:t xml:space="preserve">aktuálně a </w:t>
      </w:r>
      <w:r w:rsidR="00221596" w:rsidRPr="00273106">
        <w:rPr>
          <w:i/>
        </w:rPr>
        <w:t>simpliciter</w:t>
      </w:r>
      <w:r w:rsidR="00221596" w:rsidRPr="00273106">
        <w:t xml:space="preserve">. </w:t>
      </w:r>
      <w:r w:rsidR="00CF7C21" w:rsidRPr="00273106">
        <w:t xml:space="preserve">Porovnejme tuto kritiku s postupem Erfurtského anonyma z Kilwardbyho školy. Anonym </w:t>
      </w:r>
      <w:r w:rsidR="002C18D3" w:rsidRPr="00273106">
        <w:t>po vzoru 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2C18D3" w:rsidRPr="00273106">
        <w:t xml:space="preserve"> a Husserla</w:t>
      </w:r>
      <w:r w:rsidR="00E75B24">
        <w:fldChar w:fldCharType="begin"/>
      </w:r>
      <w:r w:rsidR="00E75B24">
        <w:instrText xml:space="preserve"> XE "</w:instrText>
      </w:r>
      <w:r w:rsidR="00E75B24" w:rsidRPr="000710C4">
        <w:instrText>Husserl, E.</w:instrText>
      </w:r>
      <w:r w:rsidR="00E75B24">
        <w:instrText xml:space="preserve">" </w:instrText>
      </w:r>
      <w:r w:rsidR="00E75B24">
        <w:fldChar w:fldCharType="end"/>
      </w:r>
      <w:r w:rsidR="002C18D3" w:rsidRPr="00273106">
        <w:t xml:space="preserve"> </w:t>
      </w:r>
      <w:r w:rsidR="08CD019A" w:rsidRPr="00273106">
        <w:t xml:space="preserve">zajišťuje </w:t>
      </w:r>
      <w:r w:rsidR="08CD019A">
        <w:t>univerzální jsoucno třetího druhu (</w:t>
      </w:r>
      <w:r w:rsidR="00CF7C21" w:rsidRPr="00273106">
        <w:rPr>
          <w:i/>
        </w:rPr>
        <w:t>universale secundum aliquid esse</w:t>
      </w:r>
      <w:r w:rsidR="08CD019A">
        <w:t>)</w:t>
      </w:r>
      <w:r w:rsidR="00CF7C21" w:rsidRPr="00273106">
        <w:rPr>
          <w:i/>
        </w:rPr>
        <w:t xml:space="preserve"> </w:t>
      </w:r>
      <w:r w:rsidR="08CD019A">
        <w:t xml:space="preserve">skrze sebereflexi intelektu. </w:t>
      </w:r>
      <w:r w:rsidR="0818234B">
        <w:t xml:space="preserve">Analytický iluminát </w:t>
      </w:r>
      <w:r w:rsidR="08CD019A">
        <w:t xml:space="preserve">tuto eidetickou substanci </w:t>
      </w:r>
      <w:r w:rsidR="0818234B">
        <w:t xml:space="preserve">přímo vidí </w:t>
      </w:r>
      <w:r w:rsidR="00C6512C">
        <w:t>„</w:t>
      </w:r>
      <w:r w:rsidR="0818234B">
        <w:rPr>
          <w:i/>
        </w:rPr>
        <w:t>in rebus</w:t>
      </w:r>
      <w:r w:rsidR="00C6512C">
        <w:t>“</w:t>
      </w:r>
      <w:r w:rsidR="08B91DDC">
        <w:t xml:space="preserve">, </w:t>
      </w:r>
      <w:r w:rsidR="08B91DDC">
        <w:lastRenderedPageBreak/>
        <w:t xml:space="preserve">takže toto </w:t>
      </w:r>
      <w:r w:rsidR="08B91DDC" w:rsidRPr="08B91DDC">
        <w:rPr>
          <w:i/>
        </w:rPr>
        <w:t>tertium ens</w:t>
      </w:r>
      <w:r w:rsidR="08B91DDC">
        <w:t xml:space="preserve"> </w:t>
      </w:r>
      <w:r w:rsidR="00CF7C21" w:rsidRPr="0818234B">
        <w:t xml:space="preserve">univočně </w:t>
      </w:r>
      <w:r w:rsidR="08CD019A" w:rsidRPr="0818234B">
        <w:t>pr</w:t>
      </w:r>
      <w:r w:rsidR="00CF7C21" w:rsidRPr="0818234B">
        <w:t>edikuje</w:t>
      </w:r>
      <w:r w:rsidR="0818234B">
        <w:t xml:space="preserve"> </w:t>
      </w:r>
      <w:r w:rsidR="00C6512C">
        <w:t xml:space="preserve">jako první substanci </w:t>
      </w:r>
      <w:r w:rsidR="082D22E4">
        <w:t>(kap. 3</w:t>
      </w:r>
      <w:r w:rsidR="00EC15DA">
        <w:t>.4.3).</w:t>
      </w:r>
      <w:r w:rsidR="00264222">
        <w:t xml:space="preserve"> </w:t>
      </w:r>
      <w:r w:rsidR="085E2DB9" w:rsidRPr="00273106">
        <w:t xml:space="preserve">Souhrn argumentace proti </w:t>
      </w:r>
      <w:r w:rsidR="085E2DB9" w:rsidRPr="00273106">
        <w:rPr>
          <w:i/>
        </w:rPr>
        <w:t>Latinorum</w:t>
      </w:r>
      <w:r w:rsidR="085E2DB9" w:rsidRPr="00273106">
        <w:t xml:space="preserve"> a proti jejich mater</w:t>
      </w:r>
      <w:r w:rsidR="00CF7C21" w:rsidRPr="00273106">
        <w:t>i</w:t>
      </w:r>
      <w:r w:rsidR="085E2DB9" w:rsidRPr="00273106">
        <w:t xml:space="preserve">álně pojatému intelektu obsahuje spis </w:t>
      </w:r>
      <w:r w:rsidR="085E2DB9" w:rsidRPr="00273106">
        <w:rPr>
          <w:i/>
        </w:rPr>
        <w:t>De intellectu et intelligibili</w:t>
      </w:r>
      <w:r w:rsidR="003C69C2" w:rsidRPr="00273106">
        <w:rPr>
          <w:i/>
        </w:rPr>
        <w:t xml:space="preserve"> </w:t>
      </w:r>
      <w:r w:rsidR="003C69C2" w:rsidRPr="00273106">
        <w:t>(</w:t>
      </w:r>
      <w:r w:rsidR="00397142">
        <w:t>ibid, pp. 487‒</w:t>
      </w:r>
      <w:r w:rsidR="006315CF">
        <w:t>4</w:t>
      </w:r>
      <w:r w:rsidR="085E2DB9" w:rsidRPr="00273106">
        <w:t>89). Zde se nachází kompletní teze o spojení intelektu a duše (</w:t>
      </w:r>
      <w:r w:rsidR="085E2DB9" w:rsidRPr="00273106">
        <w:rPr>
          <w:i/>
        </w:rPr>
        <w:t>tripliciter homini unitur intellectus</w:t>
      </w:r>
      <w:r w:rsidR="085E2DB9" w:rsidRPr="00273106">
        <w:t xml:space="preserve">), která má tyto principy: 1) </w:t>
      </w:r>
      <w:r w:rsidR="001A74E5">
        <w:t xml:space="preserve">osobní </w:t>
      </w:r>
      <w:r w:rsidR="085E2DB9" w:rsidRPr="00273106">
        <w:t>přirozenost duše</w:t>
      </w:r>
      <w:r w:rsidR="08B91DDC">
        <w:t xml:space="preserve"> daná v reálné osobě</w:t>
      </w:r>
      <w:r w:rsidR="085E2DB9" w:rsidRPr="00273106">
        <w:t xml:space="preserve">; 2) potence </w:t>
      </w:r>
      <w:r w:rsidR="08B91DDC">
        <w:t xml:space="preserve">intelektu </w:t>
      </w:r>
      <w:r w:rsidR="085E2DB9" w:rsidRPr="00273106">
        <w:t>k univerzálnímu</w:t>
      </w:r>
      <w:r w:rsidR="08B91DDC">
        <w:t xml:space="preserve"> významu</w:t>
      </w:r>
      <w:r w:rsidR="085E2DB9" w:rsidRPr="00273106">
        <w:t xml:space="preserve">; 3) participace na </w:t>
      </w:r>
      <w:r w:rsidR="08B91DDC">
        <w:t xml:space="preserve">univerzáliích </w:t>
      </w:r>
      <w:r w:rsidR="085E2DB9" w:rsidRPr="00273106">
        <w:t xml:space="preserve">skrze výkon </w:t>
      </w:r>
      <w:r w:rsidR="006E6664">
        <w:t xml:space="preserve">osobního </w:t>
      </w:r>
      <w:r w:rsidR="085E2DB9" w:rsidRPr="00273106">
        <w:t xml:space="preserve">činného intelektu. </w:t>
      </w:r>
      <w:r w:rsidR="00935B21">
        <w:t>A</w:t>
      </w:r>
      <w:r w:rsidR="0815708A">
        <w:t xml:space="preserve">rgumentace proti Latiníkům </w:t>
      </w:r>
      <w:r w:rsidR="0815708A" w:rsidRPr="00273106">
        <w:t>(</w:t>
      </w:r>
      <w:r w:rsidR="0815708A">
        <w:t>ibid, pp. 454‒</w:t>
      </w:r>
      <w:r w:rsidR="002D71CE">
        <w:t>4</w:t>
      </w:r>
      <w:r w:rsidR="0815708A">
        <w:t>58</w:t>
      </w:r>
      <w:r w:rsidR="0815708A" w:rsidRPr="00273106">
        <w:t>)</w:t>
      </w:r>
      <w:r w:rsidR="00935B21">
        <w:t xml:space="preserve"> sleduje </w:t>
      </w:r>
      <w:r w:rsidR="009734AE">
        <w:t xml:space="preserve">linii </w:t>
      </w:r>
      <w:r w:rsidR="00935B21">
        <w:t>Sicilsk</w:t>
      </w:r>
      <w:r w:rsidR="009734AE">
        <w:t>é</w:t>
      </w:r>
      <w:r w:rsidR="00935B21">
        <w:t xml:space="preserve"> škol</w:t>
      </w:r>
      <w:r w:rsidR="009734AE">
        <w:t>y</w:t>
      </w:r>
      <w:r w:rsidR="084811DD">
        <w:t xml:space="preserve"> a Sigera</w:t>
      </w:r>
      <w:r w:rsidR="009734AE">
        <w:t xml:space="preserve"> z Brabantu</w:t>
      </w:r>
      <w:r w:rsidR="00935B21">
        <w:t>. Alber</w:t>
      </w:r>
      <w:r w:rsidR="006956CB">
        <w:t>t</w:t>
      </w:r>
      <w:r w:rsidR="00935B21">
        <w:t xml:space="preserve"> používá </w:t>
      </w:r>
      <w:r w:rsidR="0815708A">
        <w:t>na podporu svých argumentů přírodovědné spisy Aristotela (</w:t>
      </w:r>
      <w:r w:rsidR="0815708A" w:rsidRPr="00383CF3">
        <w:rPr>
          <w:i/>
        </w:rPr>
        <w:t>De animalium</w:t>
      </w:r>
      <w:r w:rsidR="0815708A">
        <w:t xml:space="preserve">) společně se spisem </w:t>
      </w:r>
      <w:r w:rsidR="0815708A" w:rsidRPr="00120B2B">
        <w:rPr>
          <w:i/>
        </w:rPr>
        <w:t>De anima</w:t>
      </w:r>
      <w:r w:rsidR="0815708A">
        <w:t>.</w:t>
      </w:r>
      <w:r w:rsidR="08387B15" w:rsidRPr="08387B15">
        <w:t xml:space="preserve"> </w:t>
      </w:r>
      <w:r w:rsidR="08387B15" w:rsidRPr="00273106">
        <w:t xml:space="preserve">Odpůrci ze školy </w:t>
      </w:r>
      <w:r w:rsidR="08387B15" w:rsidRPr="00273106">
        <w:rPr>
          <w:i/>
        </w:rPr>
        <w:t>Latinorum</w:t>
      </w:r>
      <w:r w:rsidR="08387B15" w:rsidRPr="00273106">
        <w:t xml:space="preserve"> překroutili učení Komentátora tak, že jej nevykládají v duchu tradice </w:t>
      </w:r>
      <w:r w:rsidR="08387B15" w:rsidRPr="00273106">
        <w:rPr>
          <w:i/>
        </w:rPr>
        <w:t>Peripateticorum</w:t>
      </w:r>
      <w:r w:rsidR="08387B15" w:rsidRPr="00273106">
        <w:t xml:space="preserve">, ale skrze </w:t>
      </w:r>
      <w:r w:rsidR="08387B15">
        <w:t>neoplatonsk</w:t>
      </w:r>
      <w:r w:rsidR="08387B15" w:rsidRPr="00273106">
        <w:t>ou falsafu (</w:t>
      </w:r>
      <w:r w:rsidR="08387B15" w:rsidRPr="00273106">
        <w:rPr>
          <w:i/>
        </w:rPr>
        <w:t>philosophi Arabum</w:t>
      </w:r>
      <w:r w:rsidR="08387B15" w:rsidRPr="00273106">
        <w:t>).</w:t>
      </w:r>
    </w:p>
    <w:p w14:paraId="658CC664" w14:textId="77777777" w:rsidR="00290EE3" w:rsidRDefault="081644ED" w:rsidP="00290EE3">
      <w:pPr>
        <w:ind w:firstLine="397"/>
        <w:rPr>
          <w:bCs/>
        </w:rPr>
      </w:pPr>
      <w:r>
        <w:t xml:space="preserve">Termín </w:t>
      </w:r>
      <w:r w:rsidRPr="005348E9">
        <w:rPr>
          <w:i/>
        </w:rPr>
        <w:t>ad mentem Averrois</w:t>
      </w:r>
      <w:r>
        <w:t xml:space="preserve"> neznamená stejný metafyzický výklad Komentátora ve škole prvního nebo druhého averroismu, protože obě školy rozděluje odlišné pojetí poznání, pravdy a bytí jsoucna. </w:t>
      </w:r>
      <w:r w:rsidR="087C1C8A">
        <w:t xml:space="preserve">Hermeneutika doložila v Albertově díle </w:t>
      </w:r>
      <w:r w:rsidR="005348E9">
        <w:t>konflikt mezi Sicil</w:t>
      </w:r>
      <w:r w:rsidR="00383CF3">
        <w:t>sko</w:t>
      </w:r>
      <w:r w:rsidR="005348E9">
        <w:t xml:space="preserve">u a Toledskou školou </w:t>
      </w:r>
      <w:r w:rsidR="00120B2B">
        <w:t xml:space="preserve">daný ohledně </w:t>
      </w:r>
      <w:r w:rsidR="005348E9">
        <w:t>interpretace Averroesova korpusu</w:t>
      </w:r>
      <w:r w:rsidR="00383CF3">
        <w:t xml:space="preserve">. </w:t>
      </w:r>
      <w:r w:rsidR="0082584E">
        <w:t>Výklad metafyziky provedený „</w:t>
      </w:r>
      <w:r w:rsidR="0082584E" w:rsidRPr="0082584E">
        <w:rPr>
          <w:i/>
        </w:rPr>
        <w:t>ad mentem Averrois</w:t>
      </w:r>
      <w:r w:rsidR="0082584E">
        <w:t>“</w:t>
      </w:r>
      <w:r w:rsidR="0082584E" w:rsidRPr="0082584E">
        <w:t xml:space="preserve"> představ</w:t>
      </w:r>
      <w:r w:rsidR="0082584E">
        <w:t>i</w:t>
      </w:r>
      <w:r w:rsidR="0082584E" w:rsidRPr="0082584E">
        <w:t xml:space="preserve">l dvojí paradigma moderního a antimoderního aristotelismu. </w:t>
      </w:r>
      <w:r w:rsidR="004E17A5" w:rsidRPr="004E17A5">
        <w:t xml:space="preserve">Nutně zaujímáme stejný kritický postoj, jaký Albert použil vůči </w:t>
      </w:r>
      <w:r w:rsidR="004E17A5">
        <w:t>„</w:t>
      </w:r>
      <w:r w:rsidR="004E17A5" w:rsidRPr="004E17A5">
        <w:rPr>
          <w:i/>
        </w:rPr>
        <w:t>Doctores Latinorum</w:t>
      </w:r>
      <w:r w:rsidR="004E17A5">
        <w:t>“</w:t>
      </w:r>
      <w:r w:rsidR="004E17A5" w:rsidRPr="004E17A5">
        <w:t xml:space="preserve">, </w:t>
      </w:r>
      <w:r w:rsidR="004E17A5">
        <w:t xml:space="preserve">abychom provedli kritiku </w:t>
      </w:r>
      <w:r w:rsidR="004E17A5" w:rsidRPr="004E17A5">
        <w:t>současných učenců.</w:t>
      </w:r>
      <w:r w:rsidR="004E17A5">
        <w:t xml:space="preserve"> </w:t>
      </w:r>
      <w:r w:rsidR="087C1C8A">
        <w:t xml:space="preserve">Albert dostal v současné interpretaci avicennovských objektivistů nálepku umírněného a tak trochu zmateného averroisty v protikladu </w:t>
      </w:r>
      <w:r w:rsidR="0834659B">
        <w:t xml:space="preserve">k filosoficky neomylnému anti-averroistovi </w:t>
      </w:r>
      <w:r w:rsidR="087C1C8A">
        <w:t xml:space="preserve">Tomáši Akvinskému. </w:t>
      </w:r>
      <w:r w:rsidR="08963347">
        <w:t xml:space="preserve">Z hlediska </w:t>
      </w:r>
      <w:r w:rsidR="083F18F9">
        <w:t xml:space="preserve">moderního </w:t>
      </w:r>
      <w:r w:rsidR="08963347" w:rsidRPr="08963347">
        <w:rPr>
          <w:i/>
        </w:rPr>
        <w:t>Irrtum</w:t>
      </w:r>
      <w:r w:rsidR="08963347">
        <w:t xml:space="preserve"> j</w:t>
      </w:r>
      <w:r w:rsidR="0858409C">
        <w:t xml:space="preserve">e to </w:t>
      </w:r>
      <w:r w:rsidR="08963347">
        <w:t xml:space="preserve">zcela </w:t>
      </w:r>
      <w:r w:rsidR="0858409C">
        <w:t>logické</w:t>
      </w:r>
      <w:r w:rsidR="083F18F9">
        <w:t xml:space="preserve"> a objektivně pravdivé</w:t>
      </w:r>
      <w:r w:rsidR="08614E5A">
        <w:t xml:space="preserve">, protože </w:t>
      </w:r>
      <w:r w:rsidR="08D62892">
        <w:t xml:space="preserve">avicennovští </w:t>
      </w:r>
      <w:r w:rsidR="08614E5A">
        <w:t xml:space="preserve">mediavelisté porovnávají dvě simulákra. Pak platí, že </w:t>
      </w:r>
      <w:r w:rsidR="0858409C">
        <w:t xml:space="preserve">pomýlený výklad </w:t>
      </w:r>
      <w:r w:rsidR="08CB1705">
        <w:t xml:space="preserve">Albertovy </w:t>
      </w:r>
      <w:r w:rsidR="0858409C">
        <w:t xml:space="preserve">filosofie odráží </w:t>
      </w:r>
      <w:r w:rsidR="08207CEA">
        <w:t xml:space="preserve">v modu univerzální objektivity </w:t>
      </w:r>
      <w:r w:rsidR="0858409C">
        <w:t xml:space="preserve">pomýlený výklad jeho učitele Alverna. </w:t>
      </w:r>
      <w:r w:rsidR="087C1C8A">
        <w:t>Ve skute</w:t>
      </w:r>
      <w:r w:rsidR="083B628B">
        <w:t>čnosti to bylo přesně naopak. S</w:t>
      </w:r>
      <w:r w:rsidR="087C1C8A">
        <w:t>emiaverro</w:t>
      </w:r>
      <w:r w:rsidR="08C735B5">
        <w:t>i</w:t>
      </w:r>
      <w:r w:rsidR="087C1C8A">
        <w:t>stou byl Akvinský, což ukáží další matrice</w:t>
      </w:r>
      <w:r w:rsidR="08B61833">
        <w:t xml:space="preserve"> a </w:t>
      </w:r>
      <w:r w:rsidR="081A0E01">
        <w:t xml:space="preserve">závěrečný výklad </w:t>
      </w:r>
      <w:r w:rsidR="08B61833">
        <w:t>politické racionality</w:t>
      </w:r>
      <w:r w:rsidR="087C1C8A">
        <w:t xml:space="preserve">. </w:t>
      </w:r>
      <w:r w:rsidR="08252841">
        <w:t>P</w:t>
      </w:r>
      <w:r w:rsidR="004A3074" w:rsidRPr="00273106">
        <w:t>rvní diferenci mezi oběma pojetími aristotelského korpusu měl již Alvernus</w:t>
      </w:r>
      <w:r w:rsidR="00340CF2" w:rsidRPr="00273106">
        <w:t xml:space="preserve">, který oddělil </w:t>
      </w:r>
      <w:r w:rsidR="002E3B62">
        <w:t>Averroes</w:t>
      </w:r>
      <w:r w:rsidR="00340CF2" w:rsidRPr="00273106">
        <w:t xml:space="preserve">ovu </w:t>
      </w:r>
      <w:r w:rsidR="009252AD" w:rsidRPr="00273106">
        <w:t xml:space="preserve">interpretaci </w:t>
      </w:r>
      <w:r w:rsidR="009252AD">
        <w:t xml:space="preserve">podle Sicilské školy jako autenticky křesťanskou </w:t>
      </w:r>
      <w:r w:rsidR="00340CF2" w:rsidRPr="00273106">
        <w:t>a na druh</w:t>
      </w:r>
      <w:r w:rsidR="009252AD">
        <w:t xml:space="preserve">ou stranu postavil kritizované </w:t>
      </w:r>
      <w:r w:rsidR="00340CF2" w:rsidRPr="00273106">
        <w:rPr>
          <w:i/>
        </w:rPr>
        <w:t>sequaces Aristotelis</w:t>
      </w:r>
      <w:r w:rsidR="00BF7E89">
        <w:rPr>
          <w:i/>
        </w:rPr>
        <w:fldChar w:fldCharType="begin"/>
      </w:r>
      <w:r w:rsidR="00BF7E89">
        <w:instrText xml:space="preserve"> XE "druhý averroismus:</w:instrText>
      </w:r>
      <w:r w:rsidR="00BF7E89" w:rsidRPr="00B81DDF">
        <w:rPr>
          <w:i/>
        </w:rPr>
        <w:instrText>sequaces Aristotelis</w:instrText>
      </w:r>
      <w:r w:rsidR="00BF7E89">
        <w:instrText xml:space="preserve">" </w:instrText>
      </w:r>
      <w:r w:rsidR="00BF7E89">
        <w:rPr>
          <w:i/>
        </w:rPr>
        <w:fldChar w:fldCharType="end"/>
      </w:r>
      <w:r w:rsidR="08C810A6">
        <w:t xml:space="preserve"> (kap. 2</w:t>
      </w:r>
      <w:r w:rsidR="00C647CC" w:rsidRPr="00273106">
        <w:t>.3</w:t>
      </w:r>
      <w:r w:rsidR="00D548D9">
        <w:t>.1</w:t>
      </w:r>
      <w:r w:rsidR="00C647CC" w:rsidRPr="00273106">
        <w:t>)</w:t>
      </w:r>
      <w:r w:rsidR="00454BF7" w:rsidRPr="00273106">
        <w:t xml:space="preserve">. </w:t>
      </w:r>
      <w:r w:rsidR="009252AD">
        <w:t xml:space="preserve">Zásadní momentem rozchodu obou škol </w:t>
      </w:r>
      <w:r w:rsidR="00454BF7" w:rsidRPr="00273106">
        <w:t xml:space="preserve">byla nauka o separovaném </w:t>
      </w:r>
      <w:r w:rsidR="00454BF7"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21608">
        <w:instrText>:</w:instrText>
      </w:r>
      <w:r w:rsidR="00421608" w:rsidRPr="00421608">
        <w:instrText>moderna</w:instrText>
      </w:r>
      <w:r w:rsidR="00DF1F0F">
        <w:instrText xml:space="preserve">" </w:instrText>
      </w:r>
      <w:r w:rsidR="00DF1F0F">
        <w:rPr>
          <w:i/>
        </w:rPr>
        <w:fldChar w:fldCharType="end"/>
      </w:r>
      <w:r w:rsidR="009252AD">
        <w:t xml:space="preserve"> a jeho vlivu na lidské poznání. </w:t>
      </w:r>
      <w:r w:rsidR="00221596" w:rsidRPr="00273106">
        <w:t xml:space="preserve">Albert a Bacon </w:t>
      </w:r>
      <w:r w:rsidR="08252841">
        <w:t xml:space="preserve">bránili </w:t>
      </w:r>
      <w:r w:rsidR="002F1A0F">
        <w:t xml:space="preserve">po vzoru Alverna </w:t>
      </w:r>
      <w:r w:rsidR="00221596" w:rsidRPr="00273106">
        <w:t xml:space="preserve">rozdíl mezi </w:t>
      </w:r>
      <w:r w:rsidR="00874074">
        <w:t>neoplatonsk</w:t>
      </w:r>
      <w:r w:rsidR="00221596" w:rsidRPr="00273106">
        <w:t xml:space="preserve">ým Avicennou a aristotelským </w:t>
      </w:r>
      <w:r w:rsidR="002E3B62">
        <w:t>Averroes</w:t>
      </w:r>
      <w:r w:rsidR="00221596" w:rsidRPr="00273106">
        <w:t>em</w:t>
      </w:r>
      <w:r w:rsidR="002F1A0F">
        <w:t xml:space="preserve">. Tento rozdíl poprvé etablovala </w:t>
      </w:r>
      <w:r w:rsidR="00995612" w:rsidRPr="00273106">
        <w:t>pařížská škola prvního averroismu</w:t>
      </w:r>
      <w:r w:rsidR="009D2A7E" w:rsidRPr="00273106">
        <w:t xml:space="preserve"> </w:t>
      </w:r>
      <w:r w:rsidR="00995612" w:rsidRPr="00273106">
        <w:t xml:space="preserve">ustavená Blundovým výkladem </w:t>
      </w:r>
      <w:r w:rsidR="00B713C5">
        <w:rPr>
          <w:i/>
        </w:rPr>
        <w:t>De anima</w:t>
      </w:r>
      <w:r w:rsidR="009A6608" w:rsidRPr="00273106">
        <w:t xml:space="preserve"> a potvrzená </w:t>
      </w:r>
      <w:r w:rsidR="00467BA8">
        <w:t xml:space="preserve">Scotovou </w:t>
      </w:r>
      <w:r w:rsidR="009A6608" w:rsidRPr="00273106">
        <w:t>četbou CMDA</w:t>
      </w:r>
      <w:r w:rsidR="00467BA8">
        <w:t xml:space="preserve"> po </w:t>
      </w:r>
      <w:r w:rsidR="00467BA8">
        <w:lastRenderedPageBreak/>
        <w:t>roce 123</w:t>
      </w:r>
      <w:r w:rsidR="00A74177" w:rsidRPr="00273106">
        <w:t>0</w:t>
      </w:r>
      <w:r w:rsidR="002F1A0F">
        <w:t xml:space="preserve"> (kap.</w:t>
      </w:r>
      <w:r w:rsidR="085F023E">
        <w:t xml:space="preserve"> 2</w:t>
      </w:r>
      <w:r w:rsidR="08145000">
        <w:t>.</w:t>
      </w:r>
      <w:r w:rsidR="085022FC">
        <w:t>1</w:t>
      </w:r>
      <w:r w:rsidR="08145000">
        <w:t>.3</w:t>
      </w:r>
      <w:r w:rsidR="002F1A0F">
        <w:t>)</w:t>
      </w:r>
      <w:r w:rsidR="009A6608" w:rsidRPr="00273106">
        <w:t xml:space="preserve">. </w:t>
      </w:r>
      <w:r w:rsidR="002841AD">
        <w:t>Z</w:t>
      </w:r>
      <w:r w:rsidR="00E06296" w:rsidRPr="00273106">
        <w:t xml:space="preserve">nalci Aristotela </w:t>
      </w:r>
      <w:r w:rsidR="00221596" w:rsidRPr="00273106">
        <w:t xml:space="preserve">hájili </w:t>
      </w:r>
      <w:r w:rsidR="00E06296" w:rsidRPr="00273106">
        <w:t xml:space="preserve">linii prvního averroismu </w:t>
      </w:r>
      <w:r w:rsidR="009252AD">
        <w:t xml:space="preserve">podle </w:t>
      </w:r>
      <w:r w:rsidR="00467BA8">
        <w:t xml:space="preserve">Sicilské školy </w:t>
      </w:r>
      <w:r w:rsidR="009252AD">
        <w:t xml:space="preserve">Michaela Scota </w:t>
      </w:r>
      <w:r w:rsidR="00E06296" w:rsidRPr="00273106">
        <w:t>proti</w:t>
      </w:r>
      <w:r w:rsidR="009D7785" w:rsidRPr="00273106">
        <w:t xml:space="preserve"> </w:t>
      </w:r>
      <w:r w:rsidR="0895133C">
        <w:t xml:space="preserve">toletánským avicennistům </w:t>
      </w:r>
      <w:r w:rsidR="009D7785" w:rsidRPr="00273106">
        <w:t>ze školy druhého averroismu</w:t>
      </w:r>
      <w:r w:rsidR="00211145">
        <w:t>, kteří se etablovali kolem 12</w:t>
      </w:r>
      <w:r w:rsidR="085F023E">
        <w:t>35–</w:t>
      </w:r>
      <w:r w:rsidR="00211145">
        <w:t>4</w:t>
      </w:r>
      <w:r w:rsidR="002841AD">
        <w:t>0 v Paříži i v Oxfordu</w:t>
      </w:r>
      <w:r w:rsidR="009D7785" w:rsidRPr="00273106">
        <w:t xml:space="preserve">. </w:t>
      </w:r>
      <w:r w:rsidR="009252AD">
        <w:t>Jejich výklad Averroese držel linii neoplatonismu podle Avicenny</w:t>
      </w:r>
      <w:r w:rsidR="00467BA8">
        <w:t xml:space="preserve">, protože neviděli </w:t>
      </w:r>
      <w:r w:rsidR="00D3643A">
        <w:t xml:space="preserve">žádnou důležitou </w:t>
      </w:r>
      <w:r w:rsidR="00467BA8">
        <w:t xml:space="preserve">souvislost mezi přírodovědnými spisy o poznání zvířat s lidským poznáním daným ve spise </w:t>
      </w:r>
      <w:r w:rsidR="00467BA8" w:rsidRPr="00467BA8">
        <w:rPr>
          <w:i/>
        </w:rPr>
        <w:t>De anima</w:t>
      </w:r>
      <w:r w:rsidR="009252AD">
        <w:t xml:space="preserve">. </w:t>
      </w:r>
      <w:r w:rsidR="08B96865">
        <w:t xml:space="preserve">Již jsme zmínili, že moderní toletáni četli a čtou </w:t>
      </w:r>
      <w:r w:rsidR="0848171D">
        <w:t xml:space="preserve">spis </w:t>
      </w:r>
      <w:r w:rsidR="08B96865" w:rsidRPr="08B96865">
        <w:rPr>
          <w:i/>
        </w:rPr>
        <w:t>De anima</w:t>
      </w:r>
      <w:r w:rsidR="08B96865">
        <w:t xml:space="preserve"> od třetí knihy ke druhé. </w:t>
      </w:r>
      <w:r w:rsidR="009D7785" w:rsidRPr="00273106">
        <w:t xml:space="preserve">Nový boj </w:t>
      </w:r>
      <w:r w:rsidR="00544575" w:rsidRPr="00273106">
        <w:t xml:space="preserve">obou škol </w:t>
      </w:r>
      <w:r w:rsidR="009D7785" w:rsidRPr="00273106">
        <w:t xml:space="preserve">začne </w:t>
      </w:r>
      <w:r w:rsidR="0813683B">
        <w:t xml:space="preserve">roku </w:t>
      </w:r>
      <w:r w:rsidR="00221596" w:rsidRPr="00273106">
        <w:t>1270</w:t>
      </w:r>
      <w:r w:rsidR="009D7785" w:rsidRPr="00273106">
        <w:t xml:space="preserve">, kdy štafetu kritiky </w:t>
      </w:r>
      <w:r w:rsidR="00E514E7" w:rsidRPr="00273106">
        <w:t xml:space="preserve">averroistů </w:t>
      </w:r>
      <w:r w:rsidR="009D7785" w:rsidRPr="00273106">
        <w:t>převezme Albertův žák</w:t>
      </w:r>
      <w:r w:rsidR="00221596" w:rsidRPr="00273106">
        <w:t xml:space="preserve">. </w:t>
      </w:r>
      <w:r w:rsidR="009D7785" w:rsidRPr="00273106">
        <w:t xml:space="preserve">Akvinský </w:t>
      </w:r>
      <w:r w:rsidR="00221596" w:rsidRPr="00273106">
        <w:t xml:space="preserve">už měl v ruce originální překlad </w:t>
      </w:r>
      <w:r w:rsidR="00B713C5">
        <w:rPr>
          <w:i/>
        </w:rPr>
        <w:t>De anima</w:t>
      </w:r>
      <w:r w:rsidR="00221596" w:rsidRPr="00273106">
        <w:t xml:space="preserve"> </w:t>
      </w:r>
      <w:r w:rsidR="00174627" w:rsidRPr="00273106">
        <w:t xml:space="preserve">od </w:t>
      </w:r>
      <w:r w:rsidR="00174627" w:rsidRPr="00273106">
        <w:rPr>
          <w:bCs/>
        </w:rPr>
        <w:t>Williama Moerbeke</w:t>
      </w:r>
      <w:r w:rsidR="00174627">
        <w:rPr>
          <w:bCs/>
        </w:rPr>
        <w:t xml:space="preserve">ho </w:t>
      </w:r>
      <w:r w:rsidR="00221596" w:rsidRPr="00273106">
        <w:t xml:space="preserve">a Proklových </w:t>
      </w:r>
      <w:r w:rsidR="00221596" w:rsidRPr="00273106">
        <w:rPr>
          <w:i/>
        </w:rPr>
        <w:t>Elementa theologica et physica</w:t>
      </w:r>
      <w:r w:rsidR="00090865">
        <w:rPr>
          <w:bCs/>
        </w:rPr>
        <w:fldChar w:fldCharType="begin"/>
      </w:r>
      <w:r w:rsidR="00090865">
        <w:instrText xml:space="preserve"> XE "</w:instrText>
      </w:r>
      <w:r w:rsidR="00090865" w:rsidRPr="004D414E">
        <w:rPr>
          <w:bCs/>
        </w:rPr>
        <w:instrText>Moerbeke, W.</w:instrText>
      </w:r>
      <w:r w:rsidR="00090865">
        <w:instrText xml:space="preserve">" </w:instrText>
      </w:r>
      <w:r w:rsidR="00090865">
        <w:rPr>
          <w:bCs/>
        </w:rPr>
        <w:fldChar w:fldCharType="end"/>
      </w:r>
      <w:r w:rsidR="00174627">
        <w:rPr>
          <w:bCs/>
        </w:rPr>
        <w:t xml:space="preserve">. Akvinský rozhodl </w:t>
      </w:r>
      <w:r w:rsidR="00221596" w:rsidRPr="00273106">
        <w:rPr>
          <w:bCs/>
        </w:rPr>
        <w:t>spor ob</w:t>
      </w:r>
      <w:r w:rsidR="008D51BE" w:rsidRPr="00273106">
        <w:rPr>
          <w:bCs/>
        </w:rPr>
        <w:t xml:space="preserve">ou škol </w:t>
      </w:r>
      <w:r w:rsidR="00D3643A">
        <w:rPr>
          <w:bCs/>
        </w:rPr>
        <w:t>v duchu vítězného semiaverroismu</w:t>
      </w:r>
      <w:r w:rsidR="00290EE3">
        <w:rPr>
          <w:bCs/>
        </w:rPr>
        <w:t xml:space="preserve">. </w:t>
      </w:r>
      <w:r w:rsidR="00290EE3" w:rsidRPr="00290EE3">
        <w:rPr>
          <w:bCs/>
        </w:rPr>
        <w:t xml:space="preserve">Hermeneutika interpretovala identitu averroistů na způsob </w:t>
      </w:r>
      <w:r w:rsidR="00290EE3" w:rsidRPr="00290EE3">
        <w:rPr>
          <w:bCs/>
          <w:i/>
        </w:rPr>
        <w:t>alétheia</w:t>
      </w:r>
      <w:r w:rsidR="00290EE3" w:rsidRPr="00290EE3">
        <w:rPr>
          <w:bCs/>
        </w:rPr>
        <w:t xml:space="preserve">. Bylo třeba obnovit původní význam Albertových citátů ve vztahu k autentickému Averroesovu učení a oddělit je od latinských učenců, kteří byli jeho současníky. Podle této metody jsme představili ucelenou linii protiverroistických polemik o jednotě intelektu, které jsou obsaženy v Albertově komentáři ke </w:t>
      </w:r>
      <w:r w:rsidR="00290EE3" w:rsidRPr="00290EE3">
        <w:rPr>
          <w:bCs/>
          <w:i/>
        </w:rPr>
        <w:t>Corpus Aristotelicum</w:t>
      </w:r>
      <w:r w:rsidR="00290EE3" w:rsidRPr="00290EE3">
        <w:rPr>
          <w:bCs/>
        </w:rPr>
        <w:t>.</w:t>
      </w:r>
      <w:bookmarkStart w:id="90" w:name="_Toc487234310"/>
      <w:bookmarkStart w:id="91" w:name="_Toc12558317"/>
    </w:p>
    <w:p w14:paraId="71341F6E" w14:textId="64A3C8F6" w:rsidR="084F36F5" w:rsidRPr="00273106" w:rsidRDefault="08626077" w:rsidP="0026790C">
      <w:pPr>
        <w:pStyle w:val="Nadpis2"/>
        <w:rPr>
          <w:rStyle w:val="Zkladntext158dkovn0pt"/>
          <w:color w:val="auto"/>
          <w:spacing w:val="0"/>
          <w:sz w:val="24"/>
          <w:lang w:val="cs-CZ"/>
        </w:rPr>
      </w:pPr>
      <w:r>
        <w:rPr>
          <w:rStyle w:val="Zkladntext158dkovn0pt"/>
          <w:color w:val="auto"/>
          <w:spacing w:val="0"/>
          <w:sz w:val="24"/>
          <w:lang w:val="cs-CZ"/>
        </w:rPr>
        <w:br w:type="page"/>
      </w:r>
      <w:bookmarkStart w:id="92" w:name="_Toc160449329"/>
      <w:r w:rsidR="08D20D28">
        <w:rPr>
          <w:rStyle w:val="Zkladntext158dkovn0pt"/>
          <w:color w:val="auto"/>
          <w:spacing w:val="0"/>
          <w:sz w:val="24"/>
          <w:lang w:val="cs-CZ"/>
        </w:rPr>
        <w:lastRenderedPageBreak/>
        <w:t>2</w:t>
      </w:r>
      <w:r w:rsidR="084F36F5" w:rsidRPr="00273106">
        <w:rPr>
          <w:rStyle w:val="Zkladntext158dkovn0pt"/>
          <w:color w:val="auto"/>
          <w:spacing w:val="0"/>
          <w:sz w:val="24"/>
          <w:lang w:val="cs-CZ"/>
        </w:rPr>
        <w:t xml:space="preserve">.5 </w:t>
      </w:r>
      <w:r w:rsidR="006C744C">
        <w:rPr>
          <w:rStyle w:val="Zkladntext158dkovn0pt"/>
          <w:color w:val="auto"/>
          <w:spacing w:val="0"/>
          <w:sz w:val="24"/>
          <w:lang w:val="cs-CZ"/>
        </w:rPr>
        <w:t xml:space="preserve">Gigantomachie </w:t>
      </w:r>
      <w:r w:rsidR="00E56BE3">
        <w:rPr>
          <w:rStyle w:val="Zkladntext158dkovn0pt"/>
          <w:color w:val="auto"/>
          <w:spacing w:val="0"/>
          <w:sz w:val="24"/>
          <w:lang w:val="cs-CZ"/>
        </w:rPr>
        <w:t>p</w:t>
      </w:r>
      <w:r w:rsidR="000426F8">
        <w:rPr>
          <w:rStyle w:val="Zkladntext158dkovn0pt"/>
          <w:color w:val="auto"/>
          <w:spacing w:val="0"/>
          <w:sz w:val="24"/>
          <w:lang w:val="cs-CZ"/>
        </w:rPr>
        <w:t>rvní</w:t>
      </w:r>
      <w:r w:rsidR="00E56BE3">
        <w:rPr>
          <w:rStyle w:val="Zkladntext158dkovn0pt"/>
          <w:color w:val="auto"/>
          <w:spacing w:val="0"/>
          <w:sz w:val="24"/>
          <w:lang w:val="cs-CZ"/>
        </w:rPr>
        <w:t>ho a druhého</w:t>
      </w:r>
      <w:r w:rsidR="000426F8">
        <w:rPr>
          <w:rStyle w:val="Zkladntext158dkovn0pt"/>
          <w:color w:val="auto"/>
          <w:spacing w:val="0"/>
          <w:sz w:val="24"/>
          <w:lang w:val="cs-CZ"/>
        </w:rPr>
        <w:t xml:space="preserve"> averroismu</w:t>
      </w:r>
      <w:bookmarkEnd w:id="90"/>
      <w:bookmarkEnd w:id="91"/>
      <w:bookmarkEnd w:id="92"/>
      <w:r w:rsidR="000426F8">
        <w:rPr>
          <w:rStyle w:val="Zkladntext158dkovn0pt"/>
          <w:color w:val="auto"/>
          <w:spacing w:val="0"/>
          <w:sz w:val="24"/>
          <w:lang w:val="cs-CZ"/>
        </w:rPr>
        <w:t xml:space="preserve"> </w:t>
      </w:r>
    </w:p>
    <w:p w14:paraId="6A3E5D20" w14:textId="2F94B9BD" w:rsidR="00682DC0" w:rsidRDefault="00E27723" w:rsidP="00682DC0">
      <w:r>
        <w:t xml:space="preserve">Johannes </w:t>
      </w:r>
      <w:r w:rsidR="08D6751B" w:rsidRPr="00273106">
        <w:t>Blund</w:t>
      </w:r>
      <w:r w:rsidR="08ED0B08" w:rsidRPr="00273106">
        <w:t xml:space="preserve"> byl první </w:t>
      </w:r>
      <w:r w:rsidR="00DB48E6">
        <w:t xml:space="preserve">latinský </w:t>
      </w:r>
      <w:r w:rsidR="001A71AA">
        <w:t>aristotelik</w:t>
      </w:r>
      <w:r w:rsidR="00DB48E6">
        <w:t xml:space="preserve">, který interpretoval Aristotelovu </w:t>
      </w:r>
      <w:r w:rsidR="00DB48E6" w:rsidRPr="00DB48E6">
        <w:rPr>
          <w:i/>
        </w:rPr>
        <w:t>De anima</w:t>
      </w:r>
      <w:r w:rsidR="00DB48E6">
        <w:t xml:space="preserve"> </w:t>
      </w:r>
      <w:r w:rsidR="08ED0B08" w:rsidRPr="00273106">
        <w:t xml:space="preserve">tak, že v </w:t>
      </w:r>
      <w:r w:rsidR="08680D9A" w:rsidRPr="00273106">
        <w:t xml:space="preserve">procesu </w:t>
      </w:r>
      <w:r w:rsidR="08ED0B08" w:rsidRPr="00273106">
        <w:t xml:space="preserve">poznání </w:t>
      </w:r>
      <w:r w:rsidR="00E60E08" w:rsidRPr="00273106">
        <w:t xml:space="preserve">vyloučil </w:t>
      </w:r>
      <w:r w:rsidR="08D6751B" w:rsidRPr="00273106">
        <w:t xml:space="preserve">vznik </w:t>
      </w:r>
      <w:r w:rsidR="00874074">
        <w:t>neoplatonsk</w:t>
      </w:r>
      <w:r w:rsidR="00E15206" w:rsidRPr="00273106">
        <w:t xml:space="preserve">ého </w:t>
      </w:r>
      <w:r w:rsidR="08D6751B" w:rsidRPr="00273106">
        <w:t>jsoucna třetího druhu. Význam tohoto myslitele působící</w:t>
      </w:r>
      <w:r w:rsidR="00674E0D">
        <w:t>ho</w:t>
      </w:r>
      <w:r w:rsidR="08D6751B" w:rsidRPr="00273106">
        <w:t xml:space="preserve"> v Paříži a </w:t>
      </w:r>
      <w:r w:rsidR="00674E0D">
        <w:t xml:space="preserve">možná </w:t>
      </w:r>
      <w:r w:rsidR="08D6751B" w:rsidRPr="00273106">
        <w:t>v Oxfordu je srovnatelný s integrující rolí Al-</w:t>
      </w:r>
      <w:r w:rsidR="008E02F5">
        <w:t>Fárábí</w:t>
      </w:r>
      <w:r w:rsidR="08D6751B" w:rsidRPr="00273106">
        <w:t>ho v Bagdádské škole moudrosti (</w:t>
      </w:r>
      <w:r w:rsidR="08212771">
        <w:t xml:space="preserve">OBJ I, </w:t>
      </w:r>
      <w:r w:rsidR="08D6751B" w:rsidRPr="00273106">
        <w:t xml:space="preserve">kap. 2.1). </w:t>
      </w:r>
      <w:r w:rsidR="007F50A7">
        <w:t>Tento p</w:t>
      </w:r>
      <w:r w:rsidR="08D6751B" w:rsidRPr="00273106">
        <w:t xml:space="preserve">rvní </w:t>
      </w:r>
      <w:r w:rsidR="007F50A7">
        <w:t xml:space="preserve">aristotelik </w:t>
      </w:r>
      <w:r w:rsidR="08D6751B" w:rsidRPr="00273106">
        <w:t>falsafy poznal význam skutečného Aristotela</w:t>
      </w:r>
      <w:r w:rsidR="08D17908" w:rsidRPr="00273106">
        <w:t xml:space="preserve"> odděleného od neoplatonismu Al</w:t>
      </w:r>
      <w:r w:rsidR="08D17908" w:rsidRPr="00273106">
        <w:noBreakHyphen/>
      </w:r>
      <w:r w:rsidR="08D6751B" w:rsidRPr="00273106">
        <w:t>Kindího</w:t>
      </w:r>
      <w:r w:rsidR="08BC0EE9">
        <w:t xml:space="preserve"> a tím se stal Blundovým předchůdcem</w:t>
      </w:r>
      <w:r w:rsidR="08D6751B" w:rsidRPr="00273106">
        <w:t xml:space="preserve">. </w:t>
      </w:r>
      <w:r w:rsidR="00DF4DCE">
        <w:t xml:space="preserve">Blund </w:t>
      </w:r>
      <w:r w:rsidR="009250E5">
        <w:t xml:space="preserve">oddělil Aristotelovu filosofii </w:t>
      </w:r>
      <w:r w:rsidR="00987A51" w:rsidRPr="00273106">
        <w:t xml:space="preserve">od Avicenny </w:t>
      </w:r>
      <w:r w:rsidR="00EB6A1E">
        <w:t xml:space="preserve">tím, že </w:t>
      </w:r>
      <w:r w:rsidR="00987A51" w:rsidRPr="00273106">
        <w:t xml:space="preserve">obnovil aristotelskou formu </w:t>
      </w:r>
      <w:r w:rsidR="08D6751B" w:rsidRPr="00273106">
        <w:t xml:space="preserve">západní metafyziky vzhledem ke způsobu poznání </w:t>
      </w:r>
      <w:r w:rsidR="08313670">
        <w:t xml:space="preserve">daného </w:t>
      </w:r>
      <w:r w:rsidR="08D6751B" w:rsidRPr="00273106">
        <w:t xml:space="preserve">v </w:t>
      </w:r>
      <w:r w:rsidR="00447B52" w:rsidRPr="00273106">
        <w:t xml:space="preserve">lidské </w:t>
      </w:r>
      <w:r w:rsidR="08D6751B" w:rsidRPr="00273106">
        <w:t>duši. Blund</w:t>
      </w:r>
      <w:r w:rsidR="00EB6A1E">
        <w:t xml:space="preserve">ův </w:t>
      </w:r>
      <w:r w:rsidR="0037619C" w:rsidRPr="00273106">
        <w:t xml:space="preserve">výklad </w:t>
      </w:r>
      <w:r w:rsidR="00B713C5">
        <w:rPr>
          <w:i/>
        </w:rPr>
        <w:t>De anima</w:t>
      </w:r>
      <w:r w:rsidR="0037619C" w:rsidRPr="00273106">
        <w:t xml:space="preserve"> </w:t>
      </w:r>
      <w:r w:rsidR="00EB6A1E">
        <w:t xml:space="preserve">převzal </w:t>
      </w:r>
      <w:r w:rsidR="08D6751B" w:rsidRPr="00273106">
        <w:t>první averroismus</w:t>
      </w:r>
      <w:r w:rsidR="00EB6A1E">
        <w:t>, který o</w:t>
      </w:r>
      <w:r w:rsidR="08D6751B" w:rsidRPr="00273106">
        <w:t>dmítn</w:t>
      </w:r>
      <w:r w:rsidR="00EB6A1E">
        <w:t xml:space="preserve">ul </w:t>
      </w:r>
      <w:r w:rsidR="00874074">
        <w:t>neoplatonsk</w:t>
      </w:r>
      <w:r w:rsidR="08D6751B" w:rsidRPr="00273106">
        <w:t xml:space="preserve">é formy </w:t>
      </w:r>
      <w:r w:rsidR="08D6751B"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661024" w:rsidRPr="00661024">
        <w:rPr>
          <w:rStyle w:val="Zvraznn"/>
          <w:i w:val="0"/>
        </w:rPr>
        <w:instrText>:Avicenna</w:instrText>
      </w:r>
      <w:r w:rsidR="003F16A5">
        <w:instrText xml:space="preserve">" </w:instrText>
      </w:r>
      <w:r w:rsidR="003F16A5">
        <w:rPr>
          <w:i/>
        </w:rPr>
        <w:fldChar w:fldCharType="end"/>
      </w:r>
      <w:r w:rsidR="08D6751B" w:rsidRPr="00273106">
        <w:t xml:space="preserve"> důrazem na adekvátní formu poznání doloženou </w:t>
      </w:r>
      <w:r w:rsidR="002E3B62">
        <w:t>Averroes</w:t>
      </w:r>
      <w:r w:rsidR="08D6751B" w:rsidRPr="00273106">
        <w:t xml:space="preserve">em. </w:t>
      </w:r>
      <w:r w:rsidR="00EB6A1E">
        <w:t xml:space="preserve">Konkurenční </w:t>
      </w:r>
      <w:r w:rsidR="08D6751B" w:rsidRPr="00273106">
        <w:t xml:space="preserve">cesta </w:t>
      </w:r>
      <w:r w:rsidR="00A52465" w:rsidRPr="00273106">
        <w:t xml:space="preserve">myšlení </w:t>
      </w:r>
      <w:r w:rsidR="00EB6A1E">
        <w:t xml:space="preserve">daná školou druhého averroismu </w:t>
      </w:r>
      <w:r w:rsidR="08D6751B" w:rsidRPr="00273106">
        <w:t>ustaví moderní matrici objektivity</w:t>
      </w:r>
      <w:r w:rsidR="000B4511">
        <w:t xml:space="preserve">, mimo jiné i skrze </w:t>
      </w:r>
      <w:r w:rsidR="08D6751B" w:rsidRPr="00273106">
        <w:rPr>
          <w:i/>
        </w:rPr>
        <w:t>augustinisme avicennisant</w:t>
      </w:r>
      <w:r w:rsidR="00F83129">
        <w:fldChar w:fldCharType="begin"/>
      </w:r>
      <w:r w:rsidR="00F83129">
        <w:instrText xml:space="preserve"> XE "druhý averroismus:</w:instrText>
      </w:r>
      <w:r w:rsidR="00F83129" w:rsidRPr="00F707A4">
        <w:rPr>
          <w:i/>
        </w:rPr>
        <w:instrText>augustinisme avicennisant</w:instrText>
      </w:r>
      <w:r w:rsidR="00F83129">
        <w:instrText xml:space="preserve">" </w:instrText>
      </w:r>
      <w:r w:rsidR="00F83129">
        <w:fldChar w:fldCharType="end"/>
      </w:r>
      <w:r w:rsidR="08D6751B" w:rsidRPr="00273106">
        <w:t xml:space="preserve">, jenž </w:t>
      </w:r>
      <w:r w:rsidR="00606DAD">
        <w:t xml:space="preserve">poprvé </w:t>
      </w:r>
      <w:r w:rsidR="08D6751B" w:rsidRPr="00273106">
        <w:t>popsal Etienne Gilson</w:t>
      </w:r>
      <w:r w:rsidR="00DD4EDB">
        <w:fldChar w:fldCharType="begin"/>
      </w:r>
      <w:r w:rsidR="00DD4EDB">
        <w:instrText xml:space="preserve"> XE "</w:instrText>
      </w:r>
      <w:r w:rsidR="00DD4EDB" w:rsidRPr="0045423D">
        <w:instrText>Gilson, E.</w:instrText>
      </w:r>
      <w:r w:rsidR="00DD4EDB">
        <w:instrText xml:space="preserve">" </w:instrText>
      </w:r>
      <w:r w:rsidR="00DD4EDB">
        <w:fldChar w:fldCharType="end"/>
      </w:r>
      <w:r w:rsidR="08D6751B" w:rsidRPr="00273106">
        <w:t xml:space="preserve">. </w:t>
      </w:r>
      <w:r w:rsidR="00CF25AB">
        <w:t xml:space="preserve">Spojení </w:t>
      </w:r>
      <w:r w:rsidR="08EB421E">
        <w:t xml:space="preserve">Komentátora a Avicenny do jednoho projektu první vědy tvoří další kapitolu vrcholné scholastiky, kterou toto dílo z podstaty věci nemůže zkoumat. Ale komentovali jsme integraci neoplatonismu a aristotelismu u Al-Fárábího a </w:t>
      </w:r>
      <w:r w:rsidR="0823233D">
        <w:t xml:space="preserve">konkurenční projekt </w:t>
      </w:r>
      <w:r w:rsidR="08EB421E">
        <w:t>Averroese. Na jeho myšlení navazuje projekt první vědy Alberta a Sigera</w:t>
      </w:r>
      <w:r w:rsidR="0823233D">
        <w:t xml:space="preserve"> z Brabantu</w:t>
      </w:r>
      <w:r w:rsidR="08EB421E">
        <w:t>. Tito myslitelé pochopili a korigovali epochální selhání metafyziky Avicenny</w:t>
      </w:r>
      <w:r w:rsidR="086039CC">
        <w:t xml:space="preserve"> dané zatměním první substance, což Akvinský provedl jen velmi částečně. </w:t>
      </w:r>
      <w:r w:rsidR="086A0754" w:rsidRPr="00273106">
        <w:t xml:space="preserve">První napětí mezi oběma směry </w:t>
      </w:r>
      <w:r w:rsidR="08480CA5">
        <w:t xml:space="preserve">metafyziky </w:t>
      </w:r>
      <w:r w:rsidR="086A0754" w:rsidRPr="00273106">
        <w:t xml:space="preserve">lze pozorovat kolem 1225‒30, kdy vznikla volba mezi dvěma přístupy k realitě danými aristotelsky a </w:t>
      </w:r>
      <w:r w:rsidR="00874074">
        <w:t>neoplatonsk</w:t>
      </w:r>
      <w:r w:rsidR="086A0754" w:rsidRPr="00273106">
        <w:t xml:space="preserve">y. </w:t>
      </w:r>
      <w:r w:rsidR="00F21071">
        <w:t>Gigantomachie o substanci dostala nový impulz v první třetině 13. století</w:t>
      </w:r>
      <w:r w:rsidR="00F21071" w:rsidRPr="00273106">
        <w:t>, kdy</w:t>
      </w:r>
      <w:r w:rsidR="00F21071">
        <w:t xml:space="preserve"> na Západ přišel</w:t>
      </w:r>
      <w:r w:rsidR="00F21071" w:rsidRPr="00273106">
        <w:t xml:space="preserve"> aristotelismus skrze </w:t>
      </w:r>
      <w:r w:rsidR="00F21071">
        <w:t>Averroes</w:t>
      </w:r>
      <w:r w:rsidR="00F21071" w:rsidRPr="00273106">
        <w:t>ovy komentáře.</w:t>
      </w:r>
      <w:r w:rsidR="00F21071">
        <w:t xml:space="preserve"> </w:t>
      </w:r>
      <w:r w:rsidR="007936E9">
        <w:t xml:space="preserve">Do jisté míry </w:t>
      </w:r>
      <w:r w:rsidR="086A0754" w:rsidRPr="00273106">
        <w:t>se opakovalo schéma</w:t>
      </w:r>
      <w:r w:rsidR="087F29DA">
        <w:t xml:space="preserve"> známé z předešlé matrice, kdy Avicennovy spisy přišly </w:t>
      </w:r>
      <w:r w:rsidR="007936E9">
        <w:t>do katedrálních škol</w:t>
      </w:r>
      <w:r w:rsidR="087F29DA" w:rsidRPr="087F29DA">
        <w:t xml:space="preserve"> </w:t>
      </w:r>
      <w:r w:rsidR="087F29DA">
        <w:t>ve druhé polovině 12. století</w:t>
      </w:r>
      <w:r w:rsidR="009B4F4F">
        <w:t xml:space="preserve">. </w:t>
      </w:r>
      <w:r w:rsidR="08384283" w:rsidRPr="00273106">
        <w:t>T</w:t>
      </w:r>
      <w:r w:rsidR="086A0754" w:rsidRPr="00273106">
        <w:t xml:space="preserve">radiční školy </w:t>
      </w:r>
      <w:r w:rsidR="009D578E">
        <w:t xml:space="preserve">logiky a metafyziky </w:t>
      </w:r>
      <w:r w:rsidR="086A0754" w:rsidRPr="00273106">
        <w:t xml:space="preserve">odchované Boethiem a Abelardem braly </w:t>
      </w:r>
      <w:r w:rsidR="08B3237B" w:rsidRPr="00273106">
        <w:t>s</w:t>
      </w:r>
      <w:r w:rsidR="086A0754" w:rsidRPr="00273106">
        <w:t xml:space="preserve"> velkou rezervou </w:t>
      </w:r>
      <w:r w:rsidR="00874074">
        <w:t>neoplatonsk</w:t>
      </w:r>
      <w:r w:rsidR="086A0754" w:rsidRPr="00273106">
        <w:t>ý import Avicenny</w:t>
      </w:r>
      <w:r w:rsidR="000311A5">
        <w:t xml:space="preserve">, který přišel z Toledské překladatelské školy. </w:t>
      </w:r>
      <w:r w:rsidR="00BD3E6C">
        <w:t>U</w:t>
      </w:r>
      <w:r w:rsidR="00BD3E6C" w:rsidRPr="00273106">
        <w:t xml:space="preserve">čení </w:t>
      </w:r>
      <w:r w:rsidR="00BD3E6C">
        <w:t xml:space="preserve">Avicenny </w:t>
      </w:r>
      <w:r w:rsidR="00BD3E6C" w:rsidRPr="00273106">
        <w:t xml:space="preserve">naopak přijali na logických školách ovlivněných porretány a učením </w:t>
      </w:r>
      <w:r w:rsidR="00BD3E6C" w:rsidRPr="00273106">
        <w:rPr>
          <w:i/>
        </w:rPr>
        <w:t>Nominales</w:t>
      </w:r>
      <w:r w:rsidR="00BD3E6C">
        <w:t xml:space="preserve">. </w:t>
      </w:r>
      <w:r w:rsidR="0073068A">
        <w:t xml:space="preserve">Základní chyby porretánů a jejich moderní logiky </w:t>
      </w:r>
      <w:r w:rsidR="0073068A" w:rsidRPr="00273106">
        <w:t xml:space="preserve">viděli </w:t>
      </w:r>
      <w:r w:rsidR="083C2B4A">
        <w:t>zcela jednoznačně</w:t>
      </w:r>
      <w:r w:rsidR="083C2B4A" w:rsidRPr="00273106">
        <w:t xml:space="preserve"> </w:t>
      </w:r>
      <w:r w:rsidR="0073068A" w:rsidRPr="00273106">
        <w:t xml:space="preserve">jasnozřiví duchové jako </w:t>
      </w:r>
      <w:r w:rsidR="0073068A">
        <w:t>Jan ze Salisbury</w:t>
      </w:r>
      <w:r w:rsidR="003F03EE">
        <w:fldChar w:fldCharType="begin"/>
      </w:r>
      <w:r w:rsidR="003F03EE">
        <w:instrText xml:space="preserve"> XE "</w:instrText>
      </w:r>
      <w:r w:rsidR="003F03EE" w:rsidRPr="00763295">
        <w:instrText>Jan ze Salisbury</w:instrText>
      </w:r>
      <w:r w:rsidR="003F03EE">
        <w:instrText xml:space="preserve">" </w:instrText>
      </w:r>
      <w:r w:rsidR="003F03EE">
        <w:fldChar w:fldCharType="end"/>
      </w:r>
      <w:r w:rsidR="0073068A">
        <w:t xml:space="preserve"> nebo </w:t>
      </w:r>
      <w:r w:rsidR="0073068A" w:rsidRPr="00273106">
        <w:t>Godfrey od Sv. Victora</w:t>
      </w:r>
      <w:r w:rsidR="009D578E">
        <w:fldChar w:fldCharType="begin"/>
      </w:r>
      <w:r w:rsidR="009D578E">
        <w:instrText xml:space="preserve"> XE "</w:instrText>
      </w:r>
      <w:r w:rsidR="009D578E" w:rsidRPr="000E4DFF">
        <w:instrText>Godfrey od Sv. Victora</w:instrText>
      </w:r>
      <w:r w:rsidR="009D578E">
        <w:instrText xml:space="preserve">" </w:instrText>
      </w:r>
      <w:r w:rsidR="009D578E">
        <w:fldChar w:fldCharType="end"/>
      </w:r>
      <w:r w:rsidR="009D578E">
        <w:t>. Godfrey jasně říká, že podobný obraz světa</w:t>
      </w:r>
      <w:r w:rsidR="08F14310">
        <w:t xml:space="preserve"> může obhajovat pouze paranoický</w:t>
      </w:r>
      <w:r w:rsidR="009D578E">
        <w:t xml:space="preserve"> mysl</w:t>
      </w:r>
      <w:r w:rsidR="08F14310">
        <w:t>itel</w:t>
      </w:r>
      <w:r w:rsidR="009D578E">
        <w:t xml:space="preserve"> </w:t>
      </w:r>
      <w:r w:rsidR="0073068A" w:rsidRPr="00273106">
        <w:t>(</w:t>
      </w:r>
      <w:r w:rsidR="0073068A" w:rsidRPr="00273106">
        <w:rPr>
          <w:i/>
        </w:rPr>
        <w:t xml:space="preserve">hoc crediderit mentis alienus, </w:t>
      </w:r>
      <w:r w:rsidR="0073068A" w:rsidRPr="00273106">
        <w:t>kap. 3.6).</w:t>
      </w:r>
      <w:r w:rsidR="0073068A">
        <w:t xml:space="preserve"> </w:t>
      </w:r>
      <w:r w:rsidR="084E55DF">
        <w:t xml:space="preserve">Stejně </w:t>
      </w:r>
      <w:r w:rsidR="084E55DF">
        <w:lastRenderedPageBreak/>
        <w:t>kritický postoj zaujali jejich následovníci v Blundově škole po příchodu Toledských překladů Averroesova korpusu</w:t>
      </w:r>
      <w:r w:rsidR="00682DC0">
        <w:t>.</w:t>
      </w:r>
    </w:p>
    <w:p w14:paraId="77A6AB4E" w14:textId="028FDFC9" w:rsidR="08A34431" w:rsidRDefault="00682DC0" w:rsidP="00682DC0">
      <w:pPr>
        <w:ind w:firstLine="397"/>
      </w:pPr>
      <w:r w:rsidRPr="00682DC0">
        <w:t>Vzor týkající se recepce Avicenny se znovu uplatnil. Stoupenci Blundovy školy přesně rozpoznali původní aristotelské myšlení Komentátora a odmítli neoplatónský výklad toletánů provedený podle Avicenny.</w:t>
      </w:r>
      <w:r>
        <w:t xml:space="preserve"> </w:t>
      </w:r>
      <w:r w:rsidR="00381392">
        <w:t xml:space="preserve">Blundova škola nahradila </w:t>
      </w:r>
      <w:r w:rsidR="000311A5">
        <w:t>Abelardovu logickou séma</w:t>
      </w:r>
      <w:r w:rsidR="08551C27">
        <w:t>n</w:t>
      </w:r>
      <w:r w:rsidR="000311A5">
        <w:t xml:space="preserve">tiku </w:t>
      </w:r>
      <w:r w:rsidR="08CD0E11">
        <w:t xml:space="preserve">kompletní </w:t>
      </w:r>
      <w:r w:rsidR="00381392">
        <w:t>aristotelskou strukturou</w:t>
      </w:r>
      <w:r w:rsidR="000311A5">
        <w:t xml:space="preserve"> poznání a signifikace podle Averroesova výkladu </w:t>
      </w:r>
      <w:r w:rsidR="000311A5" w:rsidRPr="00D2177C">
        <w:rPr>
          <w:i/>
        </w:rPr>
        <w:t>De anima</w:t>
      </w:r>
      <w:r w:rsidR="000311A5">
        <w:t xml:space="preserve"> a jeho </w:t>
      </w:r>
      <w:r w:rsidR="001D02BA">
        <w:t>„</w:t>
      </w:r>
      <w:r w:rsidR="000311A5">
        <w:t>meta</w:t>
      </w:r>
      <w:r w:rsidR="001D02BA">
        <w:noBreakHyphen/>
      </w:r>
      <w:r w:rsidR="000311A5">
        <w:t>fyziky</w:t>
      </w:r>
      <w:r w:rsidR="001D02BA">
        <w:t>“ dané primátem první substance</w:t>
      </w:r>
      <w:r w:rsidR="000311A5">
        <w:t xml:space="preserve">. </w:t>
      </w:r>
      <w:r w:rsidR="008421C2">
        <w:t xml:space="preserve">Nové </w:t>
      </w:r>
      <w:r w:rsidR="000311A5">
        <w:t xml:space="preserve">rozdělení </w:t>
      </w:r>
      <w:r w:rsidR="00AD0132">
        <w:t xml:space="preserve">metafyziky </w:t>
      </w:r>
      <w:r w:rsidR="008421C2">
        <w:t xml:space="preserve">vzniklo </w:t>
      </w:r>
      <w:r w:rsidR="00F21071">
        <w:t xml:space="preserve">posloupností </w:t>
      </w:r>
      <w:r w:rsidR="001D02BA">
        <w:t xml:space="preserve">tří na sebe navázaných sfér </w:t>
      </w:r>
      <w:r w:rsidR="008421C2">
        <w:t xml:space="preserve">postupujících v řádu poznání podle hyparchického postavení aktuální první substance </w:t>
      </w:r>
      <w:r w:rsidR="00AD0132">
        <w:t>(</w:t>
      </w:r>
      <w:r w:rsidR="00AD0132" w:rsidRPr="00C00780">
        <w:rPr>
          <w:i/>
        </w:rPr>
        <w:t>ordo essendi</w:t>
      </w:r>
      <w:r w:rsidR="00AD0132">
        <w:t xml:space="preserve">, </w:t>
      </w:r>
      <w:r w:rsidR="00AD0132" w:rsidRPr="00C00780">
        <w:rPr>
          <w:i/>
        </w:rPr>
        <w:t>cognoscendi</w:t>
      </w:r>
      <w:r w:rsidR="00AD0132">
        <w:t xml:space="preserve">, </w:t>
      </w:r>
      <w:r w:rsidR="00AD0132" w:rsidRPr="00C00780">
        <w:rPr>
          <w:i/>
        </w:rPr>
        <w:t>significandi</w:t>
      </w:r>
      <w:r w:rsidR="00AD0132">
        <w:t>)</w:t>
      </w:r>
      <w:r w:rsidR="006D354F">
        <w:t xml:space="preserve">. </w:t>
      </w:r>
      <w:r w:rsidR="082423C3">
        <w:t xml:space="preserve">Toto pořadí formálně kodifikovala škola Modistů z prvního averroismu Sicilské školy </w:t>
      </w:r>
      <w:r w:rsidR="08CD0E11">
        <w:t>v návaznosti na citovaného Jana ze Salisbury</w:t>
      </w:r>
      <w:r w:rsidR="08CD0E11">
        <w:fldChar w:fldCharType="begin"/>
      </w:r>
      <w:r w:rsidR="08CD0E11">
        <w:instrText xml:space="preserve"> XE "</w:instrText>
      </w:r>
      <w:r w:rsidR="08CD0E11" w:rsidRPr="00763295">
        <w:instrText>Jan ze Salisbury</w:instrText>
      </w:r>
      <w:r w:rsidR="08CD0E11">
        <w:instrText xml:space="preserve">" </w:instrText>
      </w:r>
      <w:r w:rsidR="08CD0E11">
        <w:fldChar w:fldCharType="end"/>
      </w:r>
      <w:r w:rsidR="08CD0E11">
        <w:t xml:space="preserve"> </w:t>
      </w:r>
      <w:r w:rsidR="082423C3">
        <w:fldChar w:fldCharType="begin"/>
      </w:r>
      <w:r w:rsidR="082423C3">
        <w:instrText xml:space="preserve"> XE "první averroismus:</w:instrText>
      </w:r>
      <w:r w:rsidR="082423C3" w:rsidRPr="00290367">
        <w:instrText>Modisté</w:instrText>
      </w:r>
      <w:r w:rsidR="082423C3">
        <w:instrText xml:space="preserve">" </w:instrText>
      </w:r>
      <w:r w:rsidR="082423C3">
        <w:fldChar w:fldCharType="end"/>
      </w:r>
      <w:r w:rsidR="082423C3">
        <w:t xml:space="preserve">a tím přispěla k zániku školy </w:t>
      </w:r>
      <w:r w:rsidR="082423C3" w:rsidRPr="00C00780">
        <w:rPr>
          <w:i/>
        </w:rPr>
        <w:t>Nominales</w:t>
      </w:r>
      <w:r w:rsidR="082423C3" w:rsidRPr="00C00780">
        <w:t>.</w:t>
      </w:r>
      <w:r w:rsidR="082423C3">
        <w:t xml:space="preserve"> </w:t>
      </w:r>
      <w:r w:rsidR="089D2831">
        <w:t>P</w:t>
      </w:r>
      <w:r w:rsidR="006214FC">
        <w:t xml:space="preserve">ostup </w:t>
      </w:r>
      <w:r w:rsidR="089D2831">
        <w:t xml:space="preserve">Blundovy školy vychází </w:t>
      </w:r>
      <w:r w:rsidR="006214FC">
        <w:t xml:space="preserve">z </w:t>
      </w:r>
      <w:r w:rsidR="089D2831">
        <w:t xml:space="preserve">aristotelské </w:t>
      </w:r>
      <w:r w:rsidR="006214FC">
        <w:t xml:space="preserve">interpretace klíčové věty </w:t>
      </w:r>
      <w:r w:rsidR="006214FC" w:rsidRPr="00884DAA">
        <w:rPr>
          <w:i/>
        </w:rPr>
        <w:t>De int</w:t>
      </w:r>
      <w:r w:rsidR="006214FC">
        <w:t>. 16a3‒8</w:t>
      </w:r>
      <w:r w:rsidR="006214FC">
        <w:fldChar w:fldCharType="begin"/>
      </w:r>
      <w:r w:rsidR="006214FC">
        <w:instrText xml:space="preserve"> XE "Aristoteles:</w:instrText>
      </w:r>
      <w:r w:rsidR="006214FC" w:rsidRPr="00A86830">
        <w:rPr>
          <w:i/>
        </w:rPr>
        <w:instrText xml:space="preserve">De Int. </w:instrText>
      </w:r>
      <w:r w:rsidR="006214FC" w:rsidRPr="00A86830">
        <w:instrText>16a3–8</w:instrText>
      </w:r>
      <w:r w:rsidR="006214FC">
        <w:instrText xml:space="preserve">" </w:instrText>
      </w:r>
      <w:r w:rsidR="006214FC">
        <w:fldChar w:fldCharType="end"/>
      </w:r>
      <w:r w:rsidR="006214FC">
        <w:t xml:space="preserve">, která stanovuje </w:t>
      </w:r>
      <w:r w:rsidR="00A27EE3">
        <w:t xml:space="preserve">fundamentální návaznost </w:t>
      </w:r>
      <w:r w:rsidR="006214FC">
        <w:t xml:space="preserve">signifikace na spis </w:t>
      </w:r>
      <w:r w:rsidR="006214FC" w:rsidRPr="006214FC">
        <w:rPr>
          <w:i/>
        </w:rPr>
        <w:t>De anima</w:t>
      </w:r>
      <w:r w:rsidR="006214FC">
        <w:t xml:space="preserve">. </w:t>
      </w:r>
      <w:r w:rsidR="082423C3">
        <w:t xml:space="preserve">Po roce 1200 a po zřízení Pařížské univerzity se tento spor přesunul na výklad </w:t>
      </w:r>
      <w:r w:rsidR="082423C3" w:rsidRPr="00BD4996">
        <w:rPr>
          <w:i/>
        </w:rPr>
        <w:t>De anima</w:t>
      </w:r>
      <w:r w:rsidR="082423C3">
        <w:t xml:space="preserve"> poznamenané výkladem</w:t>
      </w:r>
      <w:r w:rsidR="08AA0FDC">
        <w:t xml:space="preserve"> Davida z</w:t>
      </w:r>
      <w:r w:rsidR="08A90595">
        <w:t> </w:t>
      </w:r>
      <w:r w:rsidR="08AA0FDC">
        <w:t>Dinantu</w:t>
      </w:r>
      <w:r w:rsidR="08A90595">
        <w:t xml:space="preserve"> v duchu aristotelského panteismu</w:t>
      </w:r>
      <w:r w:rsidR="08AA0FDC">
        <w:t>.</w:t>
      </w:r>
      <w:r w:rsidR="08C1417B">
        <w:t xml:space="preserve"> </w:t>
      </w:r>
      <w:r w:rsidR="00F21071">
        <w:t xml:space="preserve">Spor o výklad poznání mezi neoplatonismem a aristotelismem dostal konfrontační charakter poté, </w:t>
      </w:r>
      <w:r w:rsidR="08C1417B">
        <w:t xml:space="preserve">kdy </w:t>
      </w:r>
      <w:r w:rsidR="00DA13BC">
        <w:t>na Západ přišel</w:t>
      </w:r>
      <w:r w:rsidR="086A0754" w:rsidRPr="00273106">
        <w:t xml:space="preserve"> aristotelismus skrze </w:t>
      </w:r>
      <w:r w:rsidR="002E3B62">
        <w:t>Averroes</w:t>
      </w:r>
      <w:r w:rsidR="086A0754" w:rsidRPr="00273106">
        <w:t>ovy komentáře.</w:t>
      </w:r>
      <w:r w:rsidR="08B31AA4" w:rsidRPr="00273106">
        <w:t xml:space="preserve"> </w:t>
      </w:r>
      <w:r w:rsidR="00DA13BC">
        <w:t>Hermeneutika ukázala, že jde o čtyři různé události, které nelze objektivisticky sloučit do</w:t>
      </w:r>
      <w:r w:rsidR="08B24124">
        <w:t xml:space="preserve"> dějin jediné recepce. Za prvé. </w:t>
      </w:r>
      <w:r w:rsidR="00DA13BC">
        <w:t xml:space="preserve">Averroesův korpus byl intepretován skrze paradigma Toledské nebo Sicilské školy, jejichž zástupci patřili k předešlým proudům neoplatonismu (porretáni, </w:t>
      </w:r>
      <w:r w:rsidR="00DA13BC" w:rsidRPr="005F2DE3">
        <w:rPr>
          <w:i/>
        </w:rPr>
        <w:t>Nominales</w:t>
      </w:r>
      <w:r w:rsidR="00DA13BC">
        <w:t xml:space="preserve">, </w:t>
      </w:r>
      <w:r w:rsidR="00DA13BC" w:rsidRPr="009B4F4F">
        <w:rPr>
          <w:i/>
        </w:rPr>
        <w:t>logica Modernorum</w:t>
      </w:r>
      <w:r w:rsidR="00DA13BC">
        <w:t>) nebo Boethiovského aristotelismu (</w:t>
      </w:r>
      <w:r w:rsidR="00DA13BC" w:rsidRPr="009B4F4F">
        <w:rPr>
          <w:i/>
        </w:rPr>
        <w:t>logica Vetus</w:t>
      </w:r>
      <w:r w:rsidR="08000411">
        <w:rPr>
          <w:i/>
        </w:rPr>
        <w:fldChar w:fldCharType="begin"/>
      </w:r>
      <w:r w:rsidR="08000411">
        <w:instrText xml:space="preserve"> XE "</w:instrText>
      </w:r>
      <w:r w:rsidR="08000411" w:rsidRPr="007C256F">
        <w:rPr>
          <w:i/>
        </w:rPr>
        <w:instrText>logica Vetus</w:instrText>
      </w:r>
      <w:r w:rsidR="08000411">
        <w:instrText xml:space="preserve">" </w:instrText>
      </w:r>
      <w:r w:rsidR="08000411">
        <w:rPr>
          <w:i/>
        </w:rPr>
        <w:fldChar w:fldCharType="end"/>
      </w:r>
      <w:r w:rsidR="00DA13BC">
        <w:t>, Abelardova šk</w:t>
      </w:r>
      <w:r w:rsidR="08B24124">
        <w:t xml:space="preserve">ola, Blundova škola). </w:t>
      </w:r>
      <w:r w:rsidR="083C4BFC">
        <w:t xml:space="preserve">Tím vznikla odlišná recepce </w:t>
      </w:r>
      <w:r w:rsidR="08BE5894">
        <w:t xml:space="preserve">Averroesova korpusu </w:t>
      </w:r>
      <w:r w:rsidR="083C4BFC">
        <w:t xml:space="preserve">podle té či oné školy porretánských nebo abelardovských aristoteliků. </w:t>
      </w:r>
      <w:r w:rsidR="08B24124">
        <w:t xml:space="preserve">Za druhé. </w:t>
      </w:r>
      <w:r w:rsidR="00DA13BC">
        <w:t>Komentátorovy spis</w:t>
      </w:r>
      <w:r w:rsidR="083C4BFC">
        <w:t>y šly na Západ ve dvou vlnách</w:t>
      </w:r>
      <w:r w:rsidR="00DA13BC">
        <w:t xml:space="preserve">. První vlna </w:t>
      </w:r>
      <w:r w:rsidR="00FC0A3A">
        <w:t xml:space="preserve">přišla z Toleda kolem </w:t>
      </w:r>
      <w:r w:rsidR="08C1417B">
        <w:t xml:space="preserve">roku </w:t>
      </w:r>
      <w:r w:rsidR="00FC0A3A">
        <w:t>122</w:t>
      </w:r>
      <w:r w:rsidR="00DA13BC">
        <w:t>0 a druhá vlna spisů dorazila z překladatelské dílny Friedricha Sicilského, kterou do Paříže přinesl Michal Scotus</w:t>
      </w:r>
      <w:r w:rsidR="00DA13BC" w:rsidRPr="00EB6A1E">
        <w:t xml:space="preserve"> </w:t>
      </w:r>
      <w:r w:rsidR="00DA13BC">
        <w:t>roku 1230</w:t>
      </w:r>
      <w:r w:rsidR="004A5C55">
        <w:fldChar w:fldCharType="begin"/>
      </w:r>
      <w:r w:rsidR="004A5C55">
        <w:instrText xml:space="preserve"> XE "</w:instrText>
      </w:r>
      <w:r w:rsidR="004A155A">
        <w:instrText>Sicilská škola</w:instrText>
      </w:r>
      <w:r w:rsidR="004A5C55">
        <w:instrText xml:space="preserve">" </w:instrText>
      </w:r>
      <w:r w:rsidR="004A5C55">
        <w:fldChar w:fldCharType="end"/>
      </w:r>
      <w:r w:rsidR="00DA13BC">
        <w:t xml:space="preserve">. Kombinace těchto čtyřech dějinných </w:t>
      </w:r>
      <w:r w:rsidR="08344407">
        <w:t xml:space="preserve">fenoménů </w:t>
      </w:r>
      <w:r w:rsidR="00DA13BC">
        <w:t xml:space="preserve">způsobila, že máme celkem čtyři odlišné interpretace Averroesova korpusu </w:t>
      </w:r>
      <w:r w:rsidR="003E474F">
        <w:t xml:space="preserve">dané příslušnými kombinacemi </w:t>
      </w:r>
      <w:r w:rsidR="08302B49">
        <w:t xml:space="preserve">dvou </w:t>
      </w:r>
      <w:r w:rsidR="00820668">
        <w:t xml:space="preserve">škol a </w:t>
      </w:r>
      <w:r w:rsidR="08302B49">
        <w:t xml:space="preserve">dvou </w:t>
      </w:r>
      <w:r w:rsidR="00820668">
        <w:t xml:space="preserve">recepcí. </w:t>
      </w:r>
      <w:r w:rsidR="08140B7C">
        <w:t xml:space="preserve">Objektivistický přístup </w:t>
      </w:r>
      <w:r w:rsidR="085040F3">
        <w:t xml:space="preserve">recepci Komentárora </w:t>
      </w:r>
      <w:r w:rsidR="08140B7C">
        <w:t xml:space="preserve">je metodologicky </w:t>
      </w:r>
      <w:r w:rsidR="089F4CF6">
        <w:t>zcestný. T</w:t>
      </w:r>
      <w:r w:rsidR="08071F0F">
        <w:t xml:space="preserve">oto pojetí metafyziky </w:t>
      </w:r>
      <w:r w:rsidR="089F4CF6">
        <w:t xml:space="preserve">v modu avicennovské univocity </w:t>
      </w:r>
      <w:r w:rsidR="08140B7C">
        <w:t xml:space="preserve">vychází </w:t>
      </w:r>
      <w:r w:rsidR="088F6074">
        <w:t>z neoplatonského náhledu na substanci jako jsoucno třetího druhu. Tento náhled daný nasvícením jsoucna zezadu</w:t>
      </w:r>
      <w:r w:rsidR="08D97913">
        <w:t xml:space="preserve"> </w:t>
      </w:r>
      <w:r w:rsidR="088F6074">
        <w:lastRenderedPageBreak/>
        <w:t xml:space="preserve">považoval </w:t>
      </w:r>
      <w:r w:rsidR="08D97913">
        <w:t xml:space="preserve">Averroes za fundamentální omyl myšlení. </w:t>
      </w:r>
      <w:r w:rsidR="003E0F6E">
        <w:t>Proto je třeba velice opatrně z</w:t>
      </w:r>
      <w:r w:rsidR="08CE321F">
        <w:t>važovat</w:t>
      </w:r>
      <w:r w:rsidR="003E0F6E">
        <w:t>, jak</w:t>
      </w:r>
      <w:r w:rsidR="08CE321F">
        <w:t xml:space="preserve">ý korpus </w:t>
      </w:r>
      <w:r w:rsidR="003E0F6E">
        <w:t>Averro</w:t>
      </w:r>
      <w:r w:rsidR="08CE321F">
        <w:t xml:space="preserve">ese </w:t>
      </w:r>
      <w:r w:rsidR="003E0F6E">
        <w:t xml:space="preserve">měl před sebou </w:t>
      </w:r>
      <w:r w:rsidR="084F38E1">
        <w:t xml:space="preserve">příslušný </w:t>
      </w:r>
      <w:r w:rsidR="003E0F6E">
        <w:t xml:space="preserve">scholastik </w:t>
      </w:r>
      <w:r w:rsidR="084F38E1">
        <w:t xml:space="preserve">v letech </w:t>
      </w:r>
      <w:r w:rsidR="003E0F6E">
        <w:t>1230‒70</w:t>
      </w:r>
      <w:r w:rsidR="081745E8">
        <w:t xml:space="preserve"> a ke které vykladatelské škole </w:t>
      </w:r>
      <w:r w:rsidR="08DD17AA">
        <w:t xml:space="preserve">Komentátora dotyčný autor </w:t>
      </w:r>
      <w:r w:rsidR="081745E8">
        <w:t>patřil</w:t>
      </w:r>
      <w:r w:rsidR="003E0F6E">
        <w:t xml:space="preserve">. </w:t>
      </w:r>
      <w:r w:rsidR="08A34431">
        <w:t>A pochopitelně existují různé mezistupně, které už asi ani nelze určit pro nedostatek pramenů.</w:t>
      </w:r>
    </w:p>
    <w:p w14:paraId="5006C25A" w14:textId="6B04B72F" w:rsidR="00A51643" w:rsidRPr="08781B41" w:rsidRDefault="08A34431" w:rsidP="00961C1B">
      <w:r>
        <w:tab/>
      </w:r>
      <w:r w:rsidR="001A7E21" w:rsidRPr="00273106">
        <w:t>P</w:t>
      </w:r>
      <w:r w:rsidR="001A7E21" w:rsidRPr="00273106">
        <w:rPr>
          <w:szCs w:val="18"/>
        </w:rPr>
        <w:t xml:space="preserve">oznání vytvořené na základě </w:t>
      </w:r>
      <w:r w:rsidR="001A7E21">
        <w:rPr>
          <w:szCs w:val="18"/>
        </w:rPr>
        <w:t xml:space="preserve">Blundova výkladu </w:t>
      </w:r>
      <w:r w:rsidR="001A7E21">
        <w:rPr>
          <w:i/>
        </w:rPr>
        <w:t>De anima</w:t>
      </w:r>
      <w:r w:rsidR="001A7E21" w:rsidRPr="00273106">
        <w:t xml:space="preserve"> otevřelo po roce 1200 novou etapu metafyziky, z níž čerpala zejména první vlna averroistů</w:t>
      </w:r>
      <w:r w:rsidR="081078D7">
        <w:t xml:space="preserve"> v paradigmatu Sicilské školy. Tito učenci </w:t>
      </w:r>
      <w:r w:rsidR="003100B7">
        <w:t>respe</w:t>
      </w:r>
      <w:r w:rsidR="081078D7">
        <w:t xml:space="preserve">ktovali </w:t>
      </w:r>
      <w:r w:rsidR="002D5F5B">
        <w:t>linii Aristotelových pří</w:t>
      </w:r>
      <w:r w:rsidR="003100B7">
        <w:t xml:space="preserve">rodovědných děl daných v návaznosti na spis </w:t>
      </w:r>
      <w:r w:rsidR="003100B7" w:rsidRPr="003100B7">
        <w:rPr>
          <w:i/>
        </w:rPr>
        <w:t>De anima</w:t>
      </w:r>
      <w:r w:rsidR="001A7E21" w:rsidRPr="00273106">
        <w:t>.</w:t>
      </w:r>
      <w:r w:rsidR="001A7E21">
        <w:t xml:space="preserve"> </w:t>
      </w:r>
      <w:r w:rsidR="08CE35C3" w:rsidRPr="00273106">
        <w:t xml:space="preserve">V novém pojetí </w:t>
      </w:r>
      <w:r w:rsidR="004B4D52" w:rsidRPr="00BB4443">
        <w:rPr>
          <w:i/>
        </w:rPr>
        <w:t>species</w:t>
      </w:r>
      <w:r w:rsidR="08CE35C3" w:rsidRPr="00681BFF">
        <w:rPr>
          <w:i/>
        </w:rPr>
        <w:t xml:space="preserve"> sensibilis</w:t>
      </w:r>
      <w:r w:rsidR="08CE35C3">
        <w:rPr>
          <w:i/>
        </w:rPr>
        <w:fldChar w:fldCharType="begin"/>
      </w:r>
      <w:r w:rsidR="08CE35C3">
        <w:instrText xml:space="preserve"> XE "</w:instrText>
      </w:r>
      <w:r w:rsidR="08CE35C3" w:rsidRPr="00374FA1">
        <w:rPr>
          <w:i/>
        </w:rPr>
        <w:instrText>species sensibilis</w:instrText>
      </w:r>
      <w:r w:rsidR="08CE35C3">
        <w:instrText xml:space="preserve">" </w:instrText>
      </w:r>
      <w:r w:rsidR="08CE35C3">
        <w:rPr>
          <w:i/>
        </w:rPr>
        <w:fldChar w:fldCharType="end"/>
      </w:r>
      <w:r w:rsidR="08CE35C3">
        <w:t xml:space="preserve"> a </w:t>
      </w:r>
      <w:r w:rsidR="08CE35C3" w:rsidRPr="00681BFF">
        <w:rPr>
          <w:i/>
        </w:rPr>
        <w:t>intelligibilis</w:t>
      </w:r>
      <w:r w:rsidR="08CE35C3">
        <w:rPr>
          <w:i/>
        </w:rPr>
        <w:fldChar w:fldCharType="begin"/>
      </w:r>
      <w:r w:rsidR="08CE35C3">
        <w:instrText xml:space="preserve"> XE "</w:instrText>
      </w:r>
      <w:r w:rsidR="08CE35C3" w:rsidRPr="00374FA1">
        <w:rPr>
          <w:i/>
        </w:rPr>
        <w:instrText xml:space="preserve">species </w:instrText>
      </w:r>
      <w:r w:rsidR="08CE35C3">
        <w:rPr>
          <w:i/>
        </w:rPr>
        <w:instrText>intelligibilis</w:instrText>
      </w:r>
      <w:r w:rsidR="08CE35C3">
        <w:instrText>:první averroi</w:instrText>
      </w:r>
      <w:r w:rsidR="08CE35C3" w:rsidRPr="0004740B">
        <w:instrText>s</w:instrText>
      </w:r>
      <w:r w:rsidR="08CE35C3">
        <w:instrText>m</w:instrText>
      </w:r>
      <w:r w:rsidR="08CE35C3" w:rsidRPr="0004740B">
        <w:instrText>us</w:instrText>
      </w:r>
      <w:r w:rsidR="08CE35C3">
        <w:instrText xml:space="preserve">" </w:instrText>
      </w:r>
      <w:r w:rsidR="08CE35C3">
        <w:rPr>
          <w:i/>
        </w:rPr>
        <w:fldChar w:fldCharType="end"/>
      </w:r>
      <w:r w:rsidR="08CE35C3">
        <w:t xml:space="preserve"> má mediační funkci smyslová představivost zvířat </w:t>
      </w:r>
      <w:r w:rsidR="00B272F0">
        <w:t xml:space="preserve">a </w:t>
      </w:r>
      <w:r w:rsidR="08CE35C3">
        <w:t xml:space="preserve">na ni navázaný receptivní intelekt člověka. </w:t>
      </w:r>
      <w:r w:rsidR="082725FD">
        <w:t xml:space="preserve">První averroismus </w:t>
      </w:r>
      <w:r w:rsidR="082725FD" w:rsidRPr="00273106">
        <w:t xml:space="preserve">odmítl </w:t>
      </w:r>
      <w:r w:rsidR="082725FD">
        <w:t xml:space="preserve">pojetí člověka </w:t>
      </w:r>
      <w:r w:rsidR="082725FD" w:rsidRPr="00273106">
        <w:t>jako mrtvoly</w:t>
      </w:r>
      <w:r w:rsidR="082725FD">
        <w:t xml:space="preserve"> a vytvořil společný svět života a poznání pro všechny živé bytosti</w:t>
      </w:r>
      <w:r w:rsidR="082725FD" w:rsidRPr="00273106">
        <w:t>.</w:t>
      </w:r>
      <w:r w:rsidR="082725FD">
        <w:t xml:space="preserve"> </w:t>
      </w:r>
      <w:r w:rsidR="08187B9F">
        <w:t xml:space="preserve">Tato skupina Blundových žáků společně s jejich mistrem </w:t>
      </w:r>
      <w:r w:rsidR="082A17C3">
        <w:t xml:space="preserve">působila na Abelardem založené </w:t>
      </w:r>
      <w:r w:rsidR="08187B9F">
        <w:t>katedrální škole (</w:t>
      </w:r>
      <w:r w:rsidR="08187B9F" w:rsidRPr="08187B9F">
        <w:rPr>
          <w:i/>
        </w:rPr>
        <w:t>École de Paris</w:t>
      </w:r>
      <w:r w:rsidR="08595C01">
        <w:rPr>
          <w:i/>
        </w:rPr>
        <w:fldChar w:fldCharType="begin"/>
      </w:r>
      <w:r w:rsidR="08595C01">
        <w:instrText xml:space="preserve"> XE "</w:instrText>
      </w:r>
      <w:r w:rsidR="08595C01" w:rsidRPr="08C5191F">
        <w:rPr>
          <w:i/>
        </w:rPr>
        <w:instrText>École de Paris</w:instrText>
      </w:r>
      <w:r w:rsidR="08595C01">
        <w:instrText xml:space="preserve">" </w:instrText>
      </w:r>
      <w:r w:rsidR="08595C01">
        <w:rPr>
          <w:i/>
        </w:rPr>
        <w:fldChar w:fldCharType="end"/>
      </w:r>
      <w:r w:rsidR="08187B9F">
        <w:t>)</w:t>
      </w:r>
      <w:r w:rsidR="003B2E3A">
        <w:t>. Ti obhájili</w:t>
      </w:r>
      <w:r w:rsidR="08187B9F">
        <w:t xml:space="preserve"> proti Davidovi z Dinantu integr</w:t>
      </w:r>
      <w:r w:rsidR="082A17C3">
        <w:t xml:space="preserve">ální křesťanský aristotelismus </w:t>
      </w:r>
      <w:r w:rsidR="081078D7">
        <w:t xml:space="preserve">podle Boethia a Abelarda. </w:t>
      </w:r>
      <w:r w:rsidR="08760432">
        <w:t xml:space="preserve">Přitom geniálně rozlišila </w:t>
      </w:r>
      <w:r w:rsidR="08972A0E">
        <w:t xml:space="preserve">dvě formy aristotelismu: autenticky </w:t>
      </w:r>
      <w:r w:rsidR="08760432">
        <w:t>křesťansk</w:t>
      </w:r>
      <w:r w:rsidR="08972A0E">
        <w:t xml:space="preserve">ou obranu osoby </w:t>
      </w:r>
      <w:r w:rsidR="08760432">
        <w:t xml:space="preserve">a </w:t>
      </w:r>
      <w:r w:rsidR="08972A0E">
        <w:t xml:space="preserve">heretickou neoplatonskou verzi, která </w:t>
      </w:r>
      <w:r w:rsidR="08EA53AB">
        <w:t xml:space="preserve">na latinském Západě </w:t>
      </w:r>
      <w:r w:rsidR="08972A0E">
        <w:t>zvítězila za cenu rozpadu osoby a smrti moderního boha</w:t>
      </w:r>
      <w:r w:rsidR="08760432">
        <w:t xml:space="preserve">. Za tento interpretační výkon </w:t>
      </w:r>
      <w:r w:rsidR="082A17C3">
        <w:t xml:space="preserve">postižený </w:t>
      </w:r>
      <w:r w:rsidR="00067DAA">
        <w:t>post</w:t>
      </w:r>
      <w:r w:rsidR="082A17C3">
        <w:t xml:space="preserve">moderním </w:t>
      </w:r>
      <w:r w:rsidR="082A17C3" w:rsidRPr="082A17C3">
        <w:rPr>
          <w:i/>
        </w:rPr>
        <w:t>damnatio memoriae</w:t>
      </w:r>
      <w:r w:rsidR="082A17C3">
        <w:rPr>
          <w:i/>
        </w:rPr>
        <w:fldChar w:fldCharType="begin"/>
      </w:r>
      <w:r w:rsidR="082A17C3">
        <w:instrText xml:space="preserve"> XE "</w:instrText>
      </w:r>
      <w:r w:rsidR="082A17C3" w:rsidRPr="089F2008">
        <w:rPr>
          <w:i/>
        </w:rPr>
        <w:instrText>damnatio memoriae</w:instrText>
      </w:r>
      <w:r w:rsidR="082A17C3">
        <w:instrText xml:space="preserve">" </w:instrText>
      </w:r>
      <w:r w:rsidR="082A17C3">
        <w:rPr>
          <w:i/>
        </w:rPr>
        <w:fldChar w:fldCharType="end"/>
      </w:r>
      <w:r w:rsidR="082A17C3">
        <w:t xml:space="preserve"> </w:t>
      </w:r>
      <w:r w:rsidR="08187B9F">
        <w:t xml:space="preserve">dostala </w:t>
      </w:r>
      <w:r w:rsidR="08760432">
        <w:t xml:space="preserve">Blundova škola </w:t>
      </w:r>
      <w:r w:rsidR="08187B9F">
        <w:t xml:space="preserve">souhlas </w:t>
      </w:r>
      <w:r w:rsidR="08C946B8">
        <w:t xml:space="preserve">Innocenta III. </w:t>
      </w:r>
      <w:r w:rsidR="08187B9F">
        <w:t xml:space="preserve">k založení Pařížské univerzity </w:t>
      </w:r>
      <w:r w:rsidR="08550367">
        <w:t xml:space="preserve">převedené pod papežskou autoritu </w:t>
      </w:r>
      <w:r w:rsidR="08187B9F">
        <w:t xml:space="preserve">v roce 1215. </w:t>
      </w:r>
      <w:r w:rsidR="08B953B9">
        <w:t>K</w:t>
      </w:r>
      <w:r w:rsidR="08A87C65">
        <w:t xml:space="preserve">řesťanský výklad Aristotela byl od roku 1230 potvrzený </w:t>
      </w:r>
      <w:r w:rsidR="08A87C65">
        <w:rPr>
          <w:i/>
        </w:rPr>
        <w:t>ad mente</w:t>
      </w:r>
      <w:r w:rsidR="08A87C65" w:rsidRPr="08726AFC">
        <w:rPr>
          <w:i/>
        </w:rPr>
        <w:t>m Averrois</w:t>
      </w:r>
      <w:r w:rsidR="08A87C65">
        <w:t xml:space="preserve"> podle Sicilské školy. Proto byl na univerzitě v Paříži hned následujícího roku zrušen zákaz studia Aristotelových spisů. </w:t>
      </w:r>
      <w:r w:rsidR="08F63F16">
        <w:t>V paradigmatu Sicilské školy vypadá svět života úplně jinak než v</w:t>
      </w:r>
      <w:r w:rsidR="084B3E79">
        <w:t xml:space="preserve"> neoplatonském </w:t>
      </w:r>
      <w:r w:rsidR="08F63F16">
        <w:t>diakosmu Toledské školy. Ta sice část přírodovědných spisů Aristotela přeložila jako první, ale aplikovala tyto spisy do schématu poznání daného d</w:t>
      </w:r>
      <w:r w:rsidR="08E54117">
        <w:t xml:space="preserve">enudací a iluminací. </w:t>
      </w:r>
      <w:r w:rsidR="08B953B9">
        <w:t xml:space="preserve">Spor o </w:t>
      </w:r>
      <w:r w:rsidR="087E0EE9">
        <w:t>poznání dané</w:t>
      </w:r>
      <w:r w:rsidR="08B953B9">
        <w:t xml:space="preserve"> nasvícením</w:t>
      </w:r>
      <w:r w:rsidR="08B953B9" w:rsidRPr="00773B5F">
        <w:t xml:space="preserve"> </w:t>
      </w:r>
      <w:r w:rsidR="087E0EE9">
        <w:t xml:space="preserve">od </w:t>
      </w:r>
      <w:r w:rsidR="08B953B9">
        <w:t xml:space="preserve">neoplatonského intelektu-slunce byl asi hlavní </w:t>
      </w:r>
      <w:r w:rsidR="08F63F16">
        <w:t xml:space="preserve">důvod, proč Michael Scotus od Toledské školy odešel na </w:t>
      </w:r>
      <w:r w:rsidR="00FA0CE8">
        <w:t>Sicílii</w:t>
      </w:r>
      <w:r w:rsidR="08F63F16">
        <w:t xml:space="preserve">, kde </w:t>
      </w:r>
      <w:r w:rsidR="083832A3">
        <w:t xml:space="preserve">vládlo </w:t>
      </w:r>
      <w:r w:rsidR="08F63F16">
        <w:t xml:space="preserve">jiné paradigma zkoumání aristotelského korpusu. </w:t>
      </w:r>
      <w:r w:rsidR="081C70DA">
        <w:t xml:space="preserve">Myslitelé na dvoře Friedricha </w:t>
      </w:r>
      <w:r w:rsidR="00FA0CE8">
        <w:t xml:space="preserve">II. </w:t>
      </w:r>
      <w:r w:rsidR="081C70DA">
        <w:t>do hloubky studovali arabskou kompilaci Aristotela a vytvořili brilantní spis o sokolnictví (</w:t>
      </w:r>
      <w:r w:rsidR="081C70DA" w:rsidRPr="080922E9">
        <w:rPr>
          <w:i/>
          <w:iCs/>
        </w:rPr>
        <w:t>De arte venandi cum avibus</w:t>
      </w:r>
      <w:r w:rsidR="081C70DA">
        <w:t xml:space="preserve">). Připomeňme klíčovou roli Scotova překladu díla </w:t>
      </w:r>
      <w:r w:rsidR="081C70DA" w:rsidRPr="00681CD4">
        <w:rPr>
          <w:i/>
        </w:rPr>
        <w:t>O životě zvířat</w:t>
      </w:r>
      <w:r w:rsidR="081C70DA">
        <w:t xml:space="preserve"> (</w:t>
      </w:r>
      <w:r w:rsidR="081C70DA">
        <w:rPr>
          <w:bCs/>
          <w:i/>
          <w:iCs/>
        </w:rPr>
        <w:t xml:space="preserve">Kitāb </w:t>
      </w:r>
      <w:r w:rsidR="081C70DA" w:rsidRPr="00681CD4">
        <w:rPr>
          <w:bCs/>
          <w:i/>
          <w:iCs/>
        </w:rPr>
        <w:t>al-hayawān</w:t>
      </w:r>
      <w:r w:rsidR="081C70DA">
        <w:rPr>
          <w:bCs/>
          <w:i/>
          <w:iCs/>
        </w:rPr>
        <w:fldChar w:fldCharType="begin"/>
      </w:r>
      <w:r w:rsidR="081C70DA">
        <w:instrText xml:space="preserve"> XE "</w:instrText>
      </w:r>
      <w:r w:rsidR="081C70DA" w:rsidRPr="00A630F0">
        <w:rPr>
          <w:bCs/>
          <w:i/>
          <w:iCs/>
        </w:rPr>
        <w:instrText>Kitāb al-hayawān</w:instrText>
      </w:r>
      <w:r w:rsidR="081C70DA">
        <w:instrText xml:space="preserve">" </w:instrText>
      </w:r>
      <w:r w:rsidR="081C70DA">
        <w:rPr>
          <w:bCs/>
          <w:i/>
          <w:iCs/>
        </w:rPr>
        <w:fldChar w:fldCharType="end"/>
      </w:r>
      <w:r w:rsidR="081C70DA">
        <w:t>), která složila přírodovědné spisy Aristotela (</w:t>
      </w:r>
      <w:r w:rsidR="081C70DA" w:rsidRPr="00681CD4">
        <w:rPr>
          <w:i/>
        </w:rPr>
        <w:t>Historia animalium</w:t>
      </w:r>
      <w:r w:rsidR="081C70DA">
        <w:t xml:space="preserve">, </w:t>
      </w:r>
      <w:r w:rsidR="081C70DA">
        <w:rPr>
          <w:rStyle w:val="lang-la"/>
          <w:i/>
          <w:iCs/>
          <w:lang w:val="la-Latn"/>
        </w:rPr>
        <w:t xml:space="preserve">De </w:t>
      </w:r>
      <w:r w:rsidR="081C70DA">
        <w:rPr>
          <w:rStyle w:val="lang-la"/>
          <w:i/>
          <w:iCs/>
        </w:rPr>
        <w:t>p</w:t>
      </w:r>
      <w:r w:rsidR="081C70DA">
        <w:rPr>
          <w:rStyle w:val="lang-la"/>
          <w:i/>
          <w:iCs/>
          <w:lang w:val="la-Latn"/>
        </w:rPr>
        <w:t xml:space="preserve">artibus </w:t>
      </w:r>
      <w:r w:rsidR="081C70DA">
        <w:rPr>
          <w:rStyle w:val="lang-la"/>
          <w:i/>
          <w:iCs/>
        </w:rPr>
        <w:t>a</w:t>
      </w:r>
      <w:r w:rsidR="081C70DA">
        <w:rPr>
          <w:rStyle w:val="lang-la"/>
          <w:i/>
          <w:iCs/>
          <w:lang w:val="la-Latn"/>
        </w:rPr>
        <w:t>nimalium</w:t>
      </w:r>
      <w:r w:rsidR="081C70DA">
        <w:rPr>
          <w:rStyle w:val="lang-la"/>
          <w:i/>
          <w:iCs/>
        </w:rPr>
        <w:t xml:space="preserve">, </w:t>
      </w:r>
      <w:r w:rsidR="081C70DA">
        <w:t xml:space="preserve"> </w:t>
      </w:r>
      <w:r w:rsidR="081C70DA">
        <w:rPr>
          <w:rStyle w:val="lang-la"/>
          <w:i/>
          <w:iCs/>
          <w:lang w:val="la-Latn"/>
        </w:rPr>
        <w:t xml:space="preserve">De </w:t>
      </w:r>
      <w:r w:rsidR="081C70DA">
        <w:rPr>
          <w:rStyle w:val="lang-la"/>
          <w:i/>
          <w:iCs/>
        </w:rPr>
        <w:t>g</w:t>
      </w:r>
      <w:r w:rsidR="081C70DA">
        <w:rPr>
          <w:rStyle w:val="lang-la"/>
          <w:i/>
          <w:iCs/>
          <w:lang w:val="la-Latn"/>
        </w:rPr>
        <w:t xml:space="preserve">eneratione </w:t>
      </w:r>
      <w:r w:rsidR="081C70DA">
        <w:rPr>
          <w:rStyle w:val="lang-la"/>
          <w:i/>
          <w:iCs/>
        </w:rPr>
        <w:t>a</w:t>
      </w:r>
      <w:r w:rsidR="081C70DA">
        <w:rPr>
          <w:rStyle w:val="lang-la"/>
          <w:i/>
          <w:iCs/>
          <w:lang w:val="la-Latn"/>
        </w:rPr>
        <w:t>nimalium</w:t>
      </w:r>
      <w:r w:rsidR="081C70DA">
        <w:t xml:space="preserve">) do jednoho didaktického celku. </w:t>
      </w:r>
      <w:r w:rsidR="08466379">
        <w:t xml:space="preserve">Možná na univerzitě v Bologni nebo přímo na Sicílii </w:t>
      </w:r>
      <w:r w:rsidR="08F63F16">
        <w:t xml:space="preserve">vznikly </w:t>
      </w:r>
      <w:r w:rsidR="001674A6">
        <w:t xml:space="preserve">důležité ideje, </w:t>
      </w:r>
      <w:r w:rsidR="08F63F16">
        <w:t xml:space="preserve">překlady a </w:t>
      </w:r>
      <w:r w:rsidR="08F63F16">
        <w:lastRenderedPageBreak/>
        <w:t xml:space="preserve">myšlení spojující animální poznání podle Aristotela se spisem </w:t>
      </w:r>
      <w:r w:rsidR="08F63F16" w:rsidRPr="000F0D1C">
        <w:rPr>
          <w:i/>
        </w:rPr>
        <w:t>De anima</w:t>
      </w:r>
      <w:r w:rsidR="08F63F16">
        <w:t xml:space="preserve">. </w:t>
      </w:r>
      <w:r w:rsidR="08781B41">
        <w:t>První averroismus v pojetí Sicilské školy zásadně odmítl cestu avicennistických iluminátů, kteří v následující dekádě po roce</w:t>
      </w:r>
      <w:r w:rsidR="00EF776F">
        <w:t xml:space="preserve"> 1250 zakládají myšlení moderny</w:t>
      </w:r>
      <w:r w:rsidR="08781B41">
        <w:t xml:space="preserve">. </w:t>
      </w:r>
      <w:r w:rsidR="00EF776F">
        <w:t>Vzali</w:t>
      </w:r>
      <w:r w:rsidR="00A44DC2">
        <w:t xml:space="preserve"> člověka jako specificky definovanou mrtvolu, protože logická abstrakce nevychází od reálné první substance</w:t>
      </w:r>
      <w:r w:rsidR="00A70FA4">
        <w:fldChar w:fldCharType="begin"/>
      </w:r>
      <w:r w:rsidR="00A70FA4">
        <w:instrText xml:space="preserve"> XE "</w:instrText>
      </w:r>
      <w:r w:rsidR="00A70FA4" w:rsidRPr="00DE2A32">
        <w:instrText>substance</w:instrText>
      </w:r>
      <w:r w:rsidR="00E75B24">
        <w:instrText>:druhý averroismus</w:instrText>
      </w:r>
      <w:r w:rsidR="00A70FA4">
        <w:instrText xml:space="preserve">" </w:instrText>
      </w:r>
      <w:r w:rsidR="00A70FA4">
        <w:fldChar w:fldCharType="end"/>
      </w:r>
      <w:r w:rsidR="00A44DC2">
        <w:t xml:space="preserve">. </w:t>
      </w:r>
      <w:r w:rsidR="00635C4B">
        <w:t>Karteziánská podoba člověka jako vtěleného intelektu daného „létajícím mužem</w:t>
      </w:r>
      <w:r w:rsidR="00635C4B">
        <w:fldChar w:fldCharType="begin"/>
      </w:r>
      <w:r w:rsidR="00635C4B">
        <w:instrText xml:space="preserve"> XE "</w:instrText>
      </w:r>
      <w:r w:rsidR="00635C4B" w:rsidRPr="00070BD9">
        <w:instrText>létající muž</w:instrText>
      </w:r>
      <w:r w:rsidR="00635C4B">
        <w:instrText xml:space="preserve">" </w:instrText>
      </w:r>
      <w:r w:rsidR="00635C4B">
        <w:fldChar w:fldCharType="end"/>
      </w:r>
      <w:r w:rsidR="00635C4B">
        <w:t>“ Avicenny zničila společný svět poznání a života a nastolila postmoderní éru vědecko-techn</w:t>
      </w:r>
      <w:r w:rsidR="084D4943">
        <w:t>ického nihilismu. Modelem společného světa</w:t>
      </w:r>
      <w:r w:rsidR="00635C4B">
        <w:t xml:space="preserve"> Descarta</w:t>
      </w:r>
      <w:r w:rsidR="00635C4B">
        <w:fldChar w:fldCharType="begin"/>
      </w:r>
      <w:r w:rsidR="00635C4B">
        <w:instrText xml:space="preserve"> XE "</w:instrText>
      </w:r>
      <w:r w:rsidR="00635C4B" w:rsidRPr="004146C6">
        <w:rPr>
          <w:rStyle w:val="addmd"/>
        </w:rPr>
        <w:instrText>Descartes, R.</w:instrText>
      </w:r>
      <w:r w:rsidR="00635C4B">
        <w:instrText xml:space="preserve">" </w:instrText>
      </w:r>
      <w:r w:rsidR="00635C4B">
        <w:fldChar w:fldCharType="end"/>
      </w:r>
      <w:r w:rsidR="00635C4B">
        <w:t xml:space="preserve"> a Husserla</w:t>
      </w:r>
      <w:r w:rsidR="00635C4B">
        <w:fldChar w:fldCharType="begin"/>
      </w:r>
      <w:r w:rsidR="00635C4B">
        <w:instrText xml:space="preserve"> XE "</w:instrText>
      </w:r>
      <w:r w:rsidR="00635C4B" w:rsidRPr="000710C4">
        <w:instrText>Husserl, E.</w:instrText>
      </w:r>
      <w:r w:rsidR="00635C4B">
        <w:instrText xml:space="preserve">" </w:instrText>
      </w:r>
      <w:r w:rsidR="00635C4B">
        <w:fldChar w:fldCharType="end"/>
      </w:r>
      <w:r w:rsidR="00635C4B">
        <w:t xml:space="preserve"> je matematizace přírody, což je typické dědictví Toledské neoplatonské školy</w:t>
      </w:r>
      <w:r w:rsidR="00AC7F3D">
        <w:t xml:space="preserve">. Modernisté </w:t>
      </w:r>
      <w:r w:rsidR="00850A13">
        <w:t>pozoruj</w:t>
      </w:r>
      <w:r w:rsidR="00AC7F3D">
        <w:t>í</w:t>
      </w:r>
      <w:r w:rsidR="00850A13">
        <w:t xml:space="preserve"> svět v </w:t>
      </w:r>
      <w:r w:rsidR="088E286E">
        <w:t xml:space="preserve">porretánském </w:t>
      </w:r>
      <w:r w:rsidR="00850A13">
        <w:t xml:space="preserve">modu </w:t>
      </w:r>
      <w:r w:rsidR="00850A13" w:rsidRPr="00850A13">
        <w:rPr>
          <w:i/>
        </w:rPr>
        <w:t>discrete videamus</w:t>
      </w:r>
      <w:r w:rsidR="00F02B18">
        <w:t xml:space="preserve">. </w:t>
      </w:r>
      <w:r w:rsidR="00AC7F3D">
        <w:t xml:space="preserve">Jejich </w:t>
      </w:r>
      <w:r w:rsidR="088C3B74">
        <w:t xml:space="preserve">poznání je </w:t>
      </w:r>
      <w:r w:rsidR="00AC7F3D">
        <w:t xml:space="preserve">odděleno </w:t>
      </w:r>
      <w:r w:rsidR="088C3B74">
        <w:t xml:space="preserve">od smyslů a tento podivuhodný a </w:t>
      </w:r>
      <w:r w:rsidR="0098437E">
        <w:t xml:space="preserve">reálně </w:t>
      </w:r>
      <w:r w:rsidR="088C3B74">
        <w:t xml:space="preserve">neexistující tvor má přímý náhled intelektu do světa kosmických inteligencí. </w:t>
      </w:r>
      <w:r w:rsidR="00133202">
        <w:t>Moderní subjekt p</w:t>
      </w:r>
      <w:r w:rsidR="088C3B74">
        <w:rPr>
          <w:rStyle w:val="citation"/>
          <w:bCs/>
        </w:rPr>
        <w:t xml:space="preserve">roto nesdílí </w:t>
      </w:r>
      <w:r w:rsidR="00133202">
        <w:rPr>
          <w:rStyle w:val="citation"/>
          <w:bCs/>
        </w:rPr>
        <w:t xml:space="preserve">s jinými živými bytostmi </w:t>
      </w:r>
      <w:r w:rsidR="088C3B74">
        <w:rPr>
          <w:rStyle w:val="citation"/>
          <w:bCs/>
        </w:rPr>
        <w:t xml:space="preserve">společný svět daný v prvním averroismu smyslovou intencionalitou. </w:t>
      </w:r>
      <w:r w:rsidR="008608F6">
        <w:t>Moderní subjekt vznikl na základě iluminace přicházející z jiného světa</w:t>
      </w:r>
      <w:r w:rsidR="089C1CBB" w:rsidRPr="08D67ACB">
        <w:t>,</w:t>
      </w:r>
      <w:r w:rsidR="089C1CBB">
        <w:t xml:space="preserve"> proto nemá </w:t>
      </w:r>
      <w:r w:rsidR="008F6351">
        <w:t>nic společného s materiálně žijícími bytostmi</w:t>
      </w:r>
      <w:r w:rsidR="089C1CBB">
        <w:t xml:space="preserve">. </w:t>
      </w:r>
      <w:r w:rsidR="00F11116">
        <w:t>M</w:t>
      </w:r>
      <w:r w:rsidR="00F02B18">
        <w:t xml:space="preserve">oderna </w:t>
      </w:r>
      <w:r w:rsidR="00635C4B">
        <w:t xml:space="preserve">zařadila </w:t>
      </w:r>
      <w:r w:rsidR="00850A13">
        <w:t xml:space="preserve">tohoto matematizujícího </w:t>
      </w:r>
      <w:r w:rsidR="00F02B18">
        <w:t xml:space="preserve">a nezúčastného </w:t>
      </w:r>
      <w:r w:rsidR="00850A13">
        <w:t xml:space="preserve">pozorovatele </w:t>
      </w:r>
      <w:r w:rsidR="00F02B18">
        <w:t xml:space="preserve">hylemorfického světa </w:t>
      </w:r>
      <w:r w:rsidR="00635C4B">
        <w:t>mezi andělské bytosti</w:t>
      </w:r>
      <w:r w:rsidR="081638C3">
        <w:t>, protože jeho poznání vzniká přímým náhledem do světa kosmických inteligencí</w:t>
      </w:r>
      <w:r w:rsidR="08B26F89">
        <w:t xml:space="preserve">. </w:t>
      </w:r>
      <w:r w:rsidR="08D86C4F" w:rsidRPr="00DE54E2">
        <w:rPr>
          <w:i/>
        </w:rPr>
        <w:t>Corruptio optimi pessima</w:t>
      </w:r>
      <w:r w:rsidR="08D86C4F">
        <w:t xml:space="preserve">. </w:t>
      </w:r>
      <w:r w:rsidR="08C55CB5">
        <w:rPr>
          <w:rStyle w:val="citation"/>
          <w:bCs/>
        </w:rPr>
        <w:t xml:space="preserve">Andělská bytost se o </w:t>
      </w:r>
      <w:r w:rsidR="08AB78B8">
        <w:rPr>
          <w:rStyle w:val="citation"/>
          <w:bCs/>
        </w:rPr>
        <w:t xml:space="preserve">společný </w:t>
      </w:r>
      <w:r w:rsidR="08C55CB5">
        <w:rPr>
          <w:rStyle w:val="citation"/>
          <w:bCs/>
        </w:rPr>
        <w:t xml:space="preserve">svět života </w:t>
      </w:r>
      <w:r w:rsidR="08AB78B8">
        <w:rPr>
          <w:rStyle w:val="citation"/>
          <w:bCs/>
        </w:rPr>
        <w:t xml:space="preserve">starat nemusí, protože </w:t>
      </w:r>
      <w:r w:rsidR="084A6A0A">
        <w:rPr>
          <w:rStyle w:val="citation"/>
          <w:bCs/>
        </w:rPr>
        <w:t xml:space="preserve">patří </w:t>
      </w:r>
      <w:r w:rsidR="08AB78B8">
        <w:rPr>
          <w:rStyle w:val="citation"/>
          <w:bCs/>
        </w:rPr>
        <w:t>svým určením do demiurgického diakosmu</w:t>
      </w:r>
      <w:r w:rsidR="08125ED7">
        <w:rPr>
          <w:rStyle w:val="citation"/>
          <w:bCs/>
        </w:rPr>
        <w:t xml:space="preserve"> objektivních duchů</w:t>
      </w:r>
      <w:r w:rsidR="084A6A0A">
        <w:rPr>
          <w:rStyle w:val="citation"/>
          <w:bCs/>
        </w:rPr>
        <w:t>,</w:t>
      </w:r>
      <w:r w:rsidR="08AB78B8">
        <w:rPr>
          <w:rStyle w:val="citation"/>
          <w:bCs/>
        </w:rPr>
        <w:t xml:space="preserve"> a ne do </w:t>
      </w:r>
      <w:r w:rsidR="084A6A0A">
        <w:rPr>
          <w:rStyle w:val="citation"/>
          <w:bCs/>
        </w:rPr>
        <w:t xml:space="preserve">hylemorfické </w:t>
      </w:r>
      <w:r w:rsidR="08AB78B8">
        <w:rPr>
          <w:rStyle w:val="citation"/>
          <w:bCs/>
        </w:rPr>
        <w:t>přírody</w:t>
      </w:r>
      <w:r w:rsidR="08C55CB5">
        <w:rPr>
          <w:rStyle w:val="citation"/>
          <w:bCs/>
        </w:rPr>
        <w:t xml:space="preserve">. </w:t>
      </w:r>
      <w:r w:rsidR="08252592">
        <w:t>Vidění postmoderny dodnes určuje paradigma Toledské školy, s čestnou výjimkou Heideggera a jeho hermeneutiky fakticity</w:t>
      </w:r>
      <w:r w:rsidR="08252592">
        <w:fldChar w:fldCharType="begin"/>
      </w:r>
      <w:r w:rsidR="08252592">
        <w:instrText xml:space="preserve"> XE "</w:instrText>
      </w:r>
      <w:r w:rsidR="08252592" w:rsidRPr="00CA46D3">
        <w:instrText>herme</w:instrText>
      </w:r>
      <w:r w:rsidR="08252592">
        <w:instrText>ne</w:instrText>
      </w:r>
      <w:r w:rsidR="08252592" w:rsidRPr="00CA46D3">
        <w:instrText>utika:fakticity</w:instrText>
      </w:r>
      <w:r w:rsidR="08252592">
        <w:instrText xml:space="preserve">" </w:instrText>
      </w:r>
      <w:r w:rsidR="08252592">
        <w:fldChar w:fldCharType="end"/>
      </w:r>
      <w:r w:rsidR="08252592">
        <w:t>, která aristotelismus vrátila od roku 1920 k exist</w:t>
      </w:r>
      <w:r w:rsidR="00A3182C">
        <w:t>enciálně pojaté Sicilské škole.</w:t>
      </w:r>
      <w:r w:rsidR="00961C1B">
        <w:t xml:space="preserve"> </w:t>
      </w:r>
      <w:r w:rsidR="08252592">
        <w:t>Pro aristotelskou vědu představuje první přírodní vědu biologie a fyzika a po ní následuje metafyzika.</w:t>
      </w:r>
      <w:r w:rsidR="08252592">
        <w:rPr>
          <w:rStyle w:val="citation"/>
          <w:bCs/>
        </w:rPr>
        <w:t xml:space="preserve"> </w:t>
      </w:r>
      <w:r w:rsidR="08252592">
        <w:t xml:space="preserve">V celistvém poznání zvířat i člověka daném jednotnou architekturou hierachicky navazujících schopností duše (materiálních i nemateriálních) </w:t>
      </w:r>
      <w:r w:rsidR="08252592" w:rsidRPr="00273106">
        <w:t xml:space="preserve">je </w:t>
      </w:r>
      <w:r w:rsidR="08F46413">
        <w:t xml:space="preserve">dán počátek autentického </w:t>
      </w:r>
      <w:r w:rsidR="08252592" w:rsidRPr="00273106">
        <w:t>humani</w:t>
      </w:r>
      <w:r w:rsidR="08252592">
        <w:t>stického projektu Západu</w:t>
      </w:r>
      <w:r w:rsidR="08FD7EB7">
        <w:t xml:space="preserve">. V jeho </w:t>
      </w:r>
      <w:r w:rsidR="08F46413">
        <w:t>centru stojí osoba jako první substance, která je zasazena do společného světa přírody a živých bytostí</w:t>
      </w:r>
      <w:r w:rsidR="08252592">
        <w:t xml:space="preserve">. Humanismus opřený o existenciální pojetí osoby ovšem historicky prohrál s nástupem školy </w:t>
      </w:r>
      <w:r w:rsidR="08252592" w:rsidRPr="080D653C">
        <w:rPr>
          <w:i/>
        </w:rPr>
        <w:t>Modernorum</w:t>
      </w:r>
      <w:r w:rsidR="08252592">
        <w:t xml:space="preserve">. </w:t>
      </w:r>
      <w:r w:rsidR="00DB6F5A">
        <w:t>Matematická abstrakce</w:t>
      </w:r>
      <w:r w:rsidR="00DB6F5A">
        <w:fldChar w:fldCharType="begin"/>
      </w:r>
      <w:r w:rsidR="00DB6F5A">
        <w:instrText xml:space="preserve"> XE "</w:instrText>
      </w:r>
      <w:r w:rsidR="00DB6F5A" w:rsidRPr="009B3D7D">
        <w:instrText>abstrakce:matematická</w:instrText>
      </w:r>
      <w:r w:rsidR="00DB6F5A">
        <w:instrText xml:space="preserve">" </w:instrText>
      </w:r>
      <w:r w:rsidR="00DB6F5A">
        <w:fldChar w:fldCharType="end"/>
      </w:r>
      <w:r w:rsidR="00DB6F5A">
        <w:t xml:space="preserve"> nepodává podle Aristotela reálný obraz světa, v němž na sebe kauzálně působí první substance. </w:t>
      </w:r>
      <w:r w:rsidR="08074088">
        <w:t xml:space="preserve">Válku </w:t>
      </w:r>
      <w:r w:rsidR="00041E92">
        <w:t>objektivní moderny proti společnému světu všeho živého potvrdí</w:t>
      </w:r>
      <w:r w:rsidR="00041E92" w:rsidRPr="00273106">
        <w:t xml:space="preserve"> šest</w:t>
      </w:r>
      <w:r w:rsidR="00041E92">
        <w:t>á</w:t>
      </w:r>
      <w:r w:rsidR="00041E92" w:rsidRPr="00273106">
        <w:t xml:space="preserve"> část </w:t>
      </w:r>
      <w:r w:rsidR="00041E92">
        <w:rPr>
          <w:i/>
        </w:rPr>
        <w:t>Rozpravy</w:t>
      </w:r>
      <w:r w:rsidR="00041E92" w:rsidRPr="00273106">
        <w:rPr>
          <w:i/>
        </w:rPr>
        <w:t xml:space="preserve"> o metodě</w:t>
      </w:r>
      <w:r w:rsidR="00041E92" w:rsidRPr="00273106">
        <w:t xml:space="preserve"> (</w:t>
      </w:r>
      <w:r w:rsidR="00041E92" w:rsidRPr="00273106">
        <w:rPr>
          <w:rStyle w:val="citation"/>
          <w:bCs/>
        </w:rPr>
        <w:t xml:space="preserve">1637), která z </w:t>
      </w:r>
      <w:r w:rsidR="08A40471">
        <w:rPr>
          <w:rStyle w:val="citation"/>
          <w:bCs/>
        </w:rPr>
        <w:t xml:space="preserve">moderních subjektů manipulovaných již zcela postmoderními Fúriemi </w:t>
      </w:r>
      <w:r w:rsidR="00041E92" w:rsidRPr="00273106">
        <w:rPr>
          <w:rStyle w:val="citation"/>
          <w:bCs/>
        </w:rPr>
        <w:t>ud</w:t>
      </w:r>
      <w:r w:rsidR="00677B3E">
        <w:rPr>
          <w:rStyle w:val="citation"/>
          <w:bCs/>
        </w:rPr>
        <w:t xml:space="preserve">ělá </w:t>
      </w:r>
      <w:r w:rsidR="00041E92" w:rsidRPr="00273106">
        <w:rPr>
          <w:rStyle w:val="citation"/>
          <w:bCs/>
          <w:i/>
        </w:rPr>
        <w:t>maîtres et possesseurs de la nature</w:t>
      </w:r>
      <w:r w:rsidR="08E939C6">
        <w:rPr>
          <w:rStyle w:val="citation"/>
          <w:bCs/>
          <w:i/>
        </w:rPr>
        <w:t xml:space="preserve">. </w:t>
      </w:r>
      <w:r w:rsidR="08E939C6">
        <w:rPr>
          <w:rStyle w:val="citation"/>
          <w:bCs/>
        </w:rPr>
        <w:lastRenderedPageBreak/>
        <w:t>Post</w:t>
      </w:r>
      <w:r w:rsidR="08E939C6" w:rsidRPr="08E939C6">
        <w:rPr>
          <w:rStyle w:val="citation"/>
          <w:bCs/>
        </w:rPr>
        <w:t>moderna</w:t>
      </w:r>
      <w:r w:rsidR="08E939C6">
        <w:rPr>
          <w:rStyle w:val="citation"/>
          <w:bCs/>
          <w:i/>
        </w:rPr>
        <w:t xml:space="preserve"> </w:t>
      </w:r>
      <w:r w:rsidR="08E939C6">
        <w:t>Descarta</w:t>
      </w:r>
      <w:r w:rsidR="08E939C6">
        <w:fldChar w:fldCharType="begin"/>
      </w:r>
      <w:r w:rsidR="08E939C6">
        <w:instrText xml:space="preserve"> XE "</w:instrText>
      </w:r>
      <w:r w:rsidR="08E939C6" w:rsidRPr="004146C6">
        <w:rPr>
          <w:rStyle w:val="addmd"/>
        </w:rPr>
        <w:instrText>Descartes, R.</w:instrText>
      </w:r>
      <w:r w:rsidR="08E939C6">
        <w:instrText xml:space="preserve">" </w:instrText>
      </w:r>
      <w:r w:rsidR="08E939C6">
        <w:fldChar w:fldCharType="end"/>
      </w:r>
      <w:r w:rsidR="08E939C6">
        <w:t>, Hobbese</w:t>
      </w:r>
      <w:r w:rsidR="08E939C6">
        <w:fldChar w:fldCharType="begin"/>
      </w:r>
      <w:r w:rsidR="08E939C6">
        <w:instrText xml:space="preserve"> XE "</w:instrText>
      </w:r>
      <w:r w:rsidR="08E939C6" w:rsidRPr="007C389D">
        <w:instrText>Hobbes, T.</w:instrText>
      </w:r>
      <w:r w:rsidR="08E939C6">
        <w:instrText xml:space="preserve">" </w:instrText>
      </w:r>
      <w:r w:rsidR="08E939C6">
        <w:fldChar w:fldCharType="end"/>
      </w:r>
      <w:r w:rsidR="08E939C6">
        <w:t xml:space="preserve"> a Maleblancheho</w:t>
      </w:r>
      <w:r w:rsidR="0037736B">
        <w:rPr>
          <w:rStyle w:val="citation"/>
          <w:bCs/>
        </w:rPr>
        <w:t xml:space="preserve"> změnila </w:t>
      </w:r>
      <w:r w:rsidR="084F499D" w:rsidRPr="084F499D">
        <w:rPr>
          <w:rStyle w:val="citation"/>
          <w:bCs/>
        </w:rPr>
        <w:t>zvíře na</w:t>
      </w:r>
      <w:r w:rsidR="084F499D">
        <w:rPr>
          <w:rStyle w:val="citation"/>
          <w:bCs/>
          <w:i/>
        </w:rPr>
        <w:t xml:space="preserve"> </w:t>
      </w:r>
      <w:r w:rsidR="00677B3E">
        <w:t>animální s</w:t>
      </w:r>
      <w:r w:rsidR="005938D3">
        <w:t>troj</w:t>
      </w:r>
      <w:r w:rsidR="00DD05EF">
        <w:rPr>
          <w:rStyle w:val="st"/>
        </w:rPr>
        <w:t xml:space="preserve"> </w:t>
      </w:r>
      <w:r w:rsidR="005938D3">
        <w:rPr>
          <w:rStyle w:val="st"/>
        </w:rPr>
        <w:t>(</w:t>
      </w:r>
      <w:r w:rsidR="005938D3" w:rsidRPr="00500C91">
        <w:rPr>
          <w:i/>
        </w:rPr>
        <w:t>b</w:t>
      </w:r>
      <w:r w:rsidR="005938D3">
        <w:rPr>
          <w:rStyle w:val="st"/>
          <w:i/>
        </w:rPr>
        <w:t>ête</w:t>
      </w:r>
      <w:r w:rsidR="005938D3">
        <w:rPr>
          <w:rStyle w:val="st"/>
          <w:i/>
        </w:rPr>
        <w:noBreakHyphen/>
      </w:r>
      <w:r w:rsidR="005938D3" w:rsidRPr="00500C91">
        <w:rPr>
          <w:rStyle w:val="st"/>
          <w:i/>
        </w:rPr>
        <w:t>machine</w:t>
      </w:r>
      <w:r w:rsidR="000900C1">
        <w:rPr>
          <w:rStyle w:val="st"/>
          <w:i/>
        </w:rPr>
        <w:fldChar w:fldCharType="begin"/>
      </w:r>
      <w:r w:rsidR="000900C1">
        <w:instrText xml:space="preserve"> XE "</w:instrText>
      </w:r>
      <w:r w:rsidR="000900C1" w:rsidRPr="008B1F97">
        <w:rPr>
          <w:i/>
        </w:rPr>
        <w:instrText>b</w:instrText>
      </w:r>
      <w:r w:rsidR="000900C1" w:rsidRPr="008B1F97">
        <w:rPr>
          <w:rStyle w:val="st"/>
          <w:i/>
        </w:rPr>
        <w:instrText>ête</w:instrText>
      </w:r>
      <w:r w:rsidR="000900C1" w:rsidRPr="008B1F97">
        <w:rPr>
          <w:rStyle w:val="st"/>
          <w:i/>
        </w:rPr>
        <w:noBreakHyphen/>
        <w:instrText>machine</w:instrText>
      </w:r>
      <w:r w:rsidR="000900C1">
        <w:instrText xml:space="preserve">" </w:instrText>
      </w:r>
      <w:r w:rsidR="000900C1">
        <w:rPr>
          <w:rStyle w:val="st"/>
          <w:i/>
        </w:rPr>
        <w:fldChar w:fldCharType="end"/>
      </w:r>
      <w:r w:rsidR="08E939C6">
        <w:rPr>
          <w:rStyle w:val="st"/>
        </w:rPr>
        <w:t>)</w:t>
      </w:r>
      <w:r w:rsidR="00E75B24">
        <w:fldChar w:fldCharType="begin"/>
      </w:r>
      <w:r w:rsidR="00E75B24">
        <w:instrText xml:space="preserve"> XE "</w:instrText>
      </w:r>
      <w:r w:rsidR="00E75B24" w:rsidRPr="00C015B0">
        <w:instrText>Maleblanche, N.</w:instrText>
      </w:r>
      <w:r w:rsidR="00E75B24">
        <w:instrText xml:space="preserve">" </w:instrText>
      </w:r>
      <w:r w:rsidR="00E75B24">
        <w:fldChar w:fldCharType="end"/>
      </w:r>
      <w:r w:rsidR="089E376D">
        <w:t xml:space="preserve">. Objektivní </w:t>
      </w:r>
      <w:r w:rsidR="00794AFE">
        <w:t xml:space="preserve">humanismus </w:t>
      </w:r>
      <w:r w:rsidR="08F27327">
        <w:rPr>
          <w:rStyle w:val="citation"/>
          <w:bCs/>
        </w:rPr>
        <w:t>zahájil</w:t>
      </w:r>
      <w:r w:rsidR="00041E92">
        <w:rPr>
          <w:rStyle w:val="citation"/>
          <w:bCs/>
        </w:rPr>
        <w:t xml:space="preserve"> </w:t>
      </w:r>
      <w:r w:rsidR="083A3786">
        <w:rPr>
          <w:rStyle w:val="citation"/>
          <w:bCs/>
        </w:rPr>
        <w:t xml:space="preserve">v modelu pravdy jako asimilace jsoucen třetího druhu novou </w:t>
      </w:r>
      <w:r w:rsidR="00041E92">
        <w:rPr>
          <w:rStyle w:val="citation"/>
          <w:bCs/>
        </w:rPr>
        <w:t>éru dobývání světa, průmyslové revoluce</w:t>
      </w:r>
      <w:r w:rsidR="00DD05EF">
        <w:rPr>
          <w:rStyle w:val="citation"/>
          <w:bCs/>
        </w:rPr>
        <w:t xml:space="preserve">, </w:t>
      </w:r>
      <w:r w:rsidR="00787E19">
        <w:rPr>
          <w:rStyle w:val="citation"/>
          <w:bCs/>
        </w:rPr>
        <w:t xml:space="preserve">obou světových válek a totalitních režimů, </w:t>
      </w:r>
      <w:r w:rsidR="00041E92">
        <w:rPr>
          <w:rStyle w:val="citation"/>
          <w:bCs/>
        </w:rPr>
        <w:t>globálního oteplování</w:t>
      </w:r>
      <w:r w:rsidR="00DD05EF">
        <w:rPr>
          <w:rStyle w:val="citation"/>
          <w:bCs/>
        </w:rPr>
        <w:t xml:space="preserve"> a masového vyhlazování rostlinných a živočišných druhů</w:t>
      </w:r>
      <w:r w:rsidR="00E75B24">
        <w:rPr>
          <w:rStyle w:val="citation"/>
          <w:bCs/>
        </w:rPr>
        <w:fldChar w:fldCharType="begin"/>
      </w:r>
      <w:r w:rsidR="00E75B24">
        <w:instrText xml:space="preserve"> XE "</w:instrText>
      </w:r>
      <w:r w:rsidR="00E75B24" w:rsidRPr="00EF4F83">
        <w:instrText>nihilismus</w:instrText>
      </w:r>
      <w:r w:rsidR="00E75B24">
        <w:instrText xml:space="preserve">" </w:instrText>
      </w:r>
      <w:r w:rsidR="00E75B24">
        <w:rPr>
          <w:rStyle w:val="citation"/>
          <w:bCs/>
        </w:rPr>
        <w:fldChar w:fldCharType="end"/>
      </w:r>
      <w:r w:rsidR="00041E92">
        <w:rPr>
          <w:rStyle w:val="citation"/>
          <w:bCs/>
        </w:rPr>
        <w:t xml:space="preserve">. </w:t>
      </w:r>
      <w:r w:rsidR="08C9320B">
        <w:rPr>
          <w:rStyle w:val="citation"/>
          <w:bCs/>
        </w:rPr>
        <w:t xml:space="preserve">Klasická obrana osoby </w:t>
      </w:r>
      <w:r w:rsidR="08C9320B">
        <w:t>prohrála další bitvu s metafyzickým nihilismem v</w:t>
      </w:r>
      <w:r w:rsidR="08781B41">
        <w:t xml:space="preserve">e válečném totalitarismu XX. století </w:t>
      </w:r>
      <w:r w:rsidR="087E141C">
        <w:t xml:space="preserve">a </w:t>
      </w:r>
      <w:r w:rsidR="08C9320B">
        <w:t xml:space="preserve">stejně tak prohrává v </w:t>
      </w:r>
      <w:r w:rsidR="087E141C">
        <w:t>současné epoše antropocénu</w:t>
      </w:r>
      <w:r w:rsidR="08781B41">
        <w:t xml:space="preserve">. </w:t>
      </w:r>
    </w:p>
    <w:p w14:paraId="63C938AD" w14:textId="5D9A80EC" w:rsidR="009D7C90" w:rsidRDefault="08B31AA4" w:rsidP="08071FF8">
      <w:r w:rsidRPr="00273106">
        <w:tab/>
      </w:r>
      <w:r w:rsidR="003100B7" w:rsidRPr="00273106">
        <w:t xml:space="preserve">Vznik druhého averroismu dává hermeneutika společně s Albertem do přímé souvislosti se skupinou myslitelů zvaných </w:t>
      </w:r>
      <w:r w:rsidR="003100B7" w:rsidRPr="00273106">
        <w:rPr>
          <w:i/>
        </w:rPr>
        <w:t>Latini</w:t>
      </w:r>
      <w:r w:rsidR="00345835">
        <w:t xml:space="preserve">. Ti měli </w:t>
      </w:r>
      <w:r w:rsidR="003100B7" w:rsidRPr="00273106">
        <w:t xml:space="preserve">zásadní problém s </w:t>
      </w:r>
      <w:r w:rsidR="0838005E">
        <w:t>poznáním</w:t>
      </w:r>
      <w:r w:rsidR="003100B7" w:rsidRPr="00273106">
        <w:t xml:space="preserve">, protože do </w:t>
      </w:r>
      <w:r w:rsidR="0838005E">
        <w:t xml:space="preserve">duše </w:t>
      </w:r>
      <w:r w:rsidR="00345835">
        <w:t>zavedli</w:t>
      </w:r>
      <w:r w:rsidR="003100B7" w:rsidRPr="00273106">
        <w:t xml:space="preserve"> dvě formy nebo dokonce dvě substance. T</w:t>
      </w:r>
      <w:r w:rsidR="089B387D">
        <w:t xml:space="preserve">outo mytopoetikou </w:t>
      </w:r>
      <w:r w:rsidR="00345835">
        <w:t xml:space="preserve">vytvořili </w:t>
      </w:r>
      <w:r w:rsidR="082018D0">
        <w:t xml:space="preserve">novou </w:t>
      </w:r>
      <w:r w:rsidR="003100B7" w:rsidRPr="00273106">
        <w:t>první substanci</w:t>
      </w:r>
      <w:r w:rsidR="003100B7" w:rsidRPr="00273106">
        <w:rPr>
          <w:i/>
        </w:rPr>
        <w:t xml:space="preserve"> ex nihilo</w:t>
      </w:r>
      <w:r w:rsidR="003100B7">
        <w:rPr>
          <w:i/>
        </w:rPr>
        <w:fldChar w:fldCharType="begin"/>
      </w:r>
      <w:r w:rsidR="003100B7">
        <w:instrText xml:space="preserve"> XE "</w:instrText>
      </w:r>
      <w:r w:rsidR="003100B7" w:rsidRPr="00292841">
        <w:rPr>
          <w:i/>
        </w:rPr>
        <w:instrText>creatio</w:instrText>
      </w:r>
      <w:r w:rsidR="003100B7">
        <w:instrText xml:space="preserve"> </w:instrText>
      </w:r>
      <w:r w:rsidR="003100B7" w:rsidRPr="00220EAD">
        <w:rPr>
          <w:i/>
        </w:rPr>
        <w:instrText>ex nihilo</w:instrText>
      </w:r>
      <w:r w:rsidR="003100B7">
        <w:instrText xml:space="preserve">" </w:instrText>
      </w:r>
      <w:r w:rsidR="003100B7">
        <w:rPr>
          <w:i/>
        </w:rPr>
        <w:fldChar w:fldCharType="end"/>
      </w:r>
      <w:r w:rsidR="009E079C">
        <w:t xml:space="preserve"> a i</w:t>
      </w:r>
      <w:r w:rsidR="003100B7" w:rsidRPr="00273106">
        <w:t xml:space="preserve">ndividuaci </w:t>
      </w:r>
      <w:r w:rsidR="00345835">
        <w:t>intelektu provedli</w:t>
      </w:r>
      <w:r w:rsidR="084F2281">
        <w:t xml:space="preserve"> </w:t>
      </w:r>
      <w:r w:rsidR="08373070">
        <w:t xml:space="preserve">skrze </w:t>
      </w:r>
      <w:r w:rsidR="003100B7" w:rsidRPr="0027310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3100B7" w:rsidRPr="00273106">
        <w:t xml:space="preserve">. </w:t>
      </w:r>
      <w:r w:rsidR="00C8535E">
        <w:t xml:space="preserve">Učení Latiníci </w:t>
      </w:r>
      <w:r w:rsidR="08311EB2">
        <w:t xml:space="preserve">principiálně určili </w:t>
      </w:r>
      <w:r w:rsidR="00C8535E">
        <w:t>p</w:t>
      </w:r>
      <w:r w:rsidR="003100B7" w:rsidRPr="00273106">
        <w:t xml:space="preserve">oznání univerzálních obsahů intelektu </w:t>
      </w:r>
      <w:r w:rsidR="083507E9">
        <w:t xml:space="preserve">nikoliv </w:t>
      </w:r>
      <w:r w:rsidR="08311EB2">
        <w:t>skrze recepci</w:t>
      </w:r>
      <w:r w:rsidR="00C8535E">
        <w:t xml:space="preserve"> smyslových vjemů, ale </w:t>
      </w:r>
      <w:r w:rsidR="08EB470D">
        <w:t>jako kolekci</w:t>
      </w:r>
      <w:r w:rsidR="00C8535E">
        <w:t xml:space="preserve"> inteligibilních hypostází aktivně vytvářených</w:t>
      </w:r>
      <w:r w:rsidR="003100B7" w:rsidRPr="00273106">
        <w:t xml:space="preserve"> v</w:t>
      </w:r>
      <w:r w:rsidR="0094050B">
        <w:t xml:space="preserve"> demiurgické </w:t>
      </w:r>
      <w:r w:rsidR="003100B7" w:rsidRPr="00273106">
        <w:t>mysli. Pak jsou myšlené formy dány přímo v intelektu na způsob individuálních substancí.</w:t>
      </w:r>
      <w:r w:rsidR="003100B7">
        <w:t xml:space="preserve"> </w:t>
      </w:r>
      <w:r w:rsidR="0091686F">
        <w:t xml:space="preserve">Mysl avicennistů </w:t>
      </w:r>
      <w:r w:rsidR="003100B7" w:rsidRPr="00273106">
        <w:t xml:space="preserve">nahlédnutá augustiniánským </w:t>
      </w:r>
      <w:r w:rsidR="006A2EE0">
        <w:t xml:space="preserve">a mystickým </w:t>
      </w:r>
      <w:r w:rsidR="086A7753">
        <w:t>okem duše</w:t>
      </w:r>
      <w:r w:rsidR="006A2EE0" w:rsidRPr="00273106">
        <w:t xml:space="preserve"> (</w:t>
      </w:r>
      <w:r w:rsidR="006A2EE0" w:rsidRPr="00273106">
        <w:rPr>
          <w:i/>
        </w:rPr>
        <w:t>mens nostra, qui est oculus animae</w:t>
      </w:r>
      <w:r w:rsidR="006A2EE0">
        <w:rPr>
          <w:i/>
        </w:rPr>
        <w:t xml:space="preserve">, </w:t>
      </w:r>
      <w:r w:rsidR="08281133">
        <w:t>kap. 1</w:t>
      </w:r>
      <w:r w:rsidR="006A2EE0" w:rsidRPr="006A2EE0">
        <w:t>.4)</w:t>
      </w:r>
      <w:r w:rsidR="006A2EE0">
        <w:t xml:space="preserve"> </w:t>
      </w:r>
      <w:r w:rsidR="003100B7" w:rsidRPr="00273106">
        <w:t>se stala místem produkujícím moderní s</w:t>
      </w:r>
      <w:r w:rsidR="003100B7">
        <w:t>imulákra</w:t>
      </w:r>
      <w:r w:rsidR="003100B7">
        <w:fldChar w:fldCharType="begin"/>
      </w:r>
      <w:r w:rsidR="003100B7">
        <w:instrText xml:space="preserve"> XE "</w:instrText>
      </w:r>
      <w:r w:rsidR="003100B7" w:rsidRPr="00C2134D">
        <w:instrText>simulákrum</w:instrText>
      </w:r>
      <w:r w:rsidR="003100B7">
        <w:instrText xml:space="preserve">" </w:instrText>
      </w:r>
      <w:r w:rsidR="003100B7">
        <w:fldChar w:fldCharType="end"/>
      </w:r>
      <w:r w:rsidR="003100B7">
        <w:t xml:space="preserve">, </w:t>
      </w:r>
      <w:r w:rsidR="003100B7" w:rsidRPr="00273106">
        <w:t xml:space="preserve">hypostáze a pseudo-substance daná jako jsoucna třetího druhu. </w:t>
      </w:r>
      <w:r w:rsidR="08251A70">
        <w:t>To</w:t>
      </w:r>
      <w:r w:rsidR="086A7753">
        <w:t>to  mytopoetické</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6A7753">
        <w:t xml:space="preserve"> vidění neexistujících přeludů reality obloudilo latinský Západ. </w:t>
      </w:r>
      <w:r w:rsidR="00EB5B33">
        <w:t xml:space="preserve">Způsob, jak je </w:t>
      </w:r>
      <w:r w:rsidR="08376E55">
        <w:t>duše</w:t>
      </w:r>
      <w:r w:rsidR="00EB5B33">
        <w:t xml:space="preserve"> aktualizována skrze poznání</w:t>
      </w:r>
      <w:r w:rsidR="006A657A">
        <w:t xml:space="preserve"> (</w:t>
      </w:r>
      <w:r w:rsidR="006A657A" w:rsidRPr="00273106">
        <w:rPr>
          <w:i/>
        </w:rPr>
        <w:t>passio animi</w:t>
      </w:r>
      <w:r w:rsidR="006A657A">
        <w:t xml:space="preserve">, </w:t>
      </w:r>
      <w:r w:rsidR="0037736B">
        <w:rPr>
          <w:i/>
        </w:rPr>
        <w:t>De int</w:t>
      </w:r>
      <w:r w:rsidR="006A657A" w:rsidRPr="00273106">
        <w:rPr>
          <w:i/>
        </w:rPr>
        <w:t>.</w:t>
      </w:r>
      <w:r w:rsidR="08376E55">
        <w:t xml:space="preserve"> 16a7</w:t>
      </w:r>
      <w:r w:rsidR="08595C01">
        <w:fldChar w:fldCharType="begin"/>
      </w:r>
      <w:r w:rsidR="08595C01">
        <w:instrText xml:space="preserve"> XE "Aristoteles:</w:instrText>
      </w:r>
      <w:r w:rsidR="08595C01" w:rsidRPr="08CD02BB">
        <w:rPr>
          <w:i/>
        </w:rPr>
        <w:instrText>De interpret</w:instrText>
      </w:r>
      <w:r w:rsidR="08595C01">
        <w:rPr>
          <w:i/>
        </w:rPr>
        <w:instrText>atione</w:instrText>
      </w:r>
      <w:r w:rsidR="08595C01" w:rsidRPr="08CD02BB">
        <w:instrText xml:space="preserve"> 16a7</w:instrText>
      </w:r>
      <w:r w:rsidR="08595C01">
        <w:instrText xml:space="preserve">" </w:instrText>
      </w:r>
      <w:r w:rsidR="08595C01">
        <w:fldChar w:fldCharType="end"/>
      </w:r>
      <w:r w:rsidR="08376E55">
        <w:t xml:space="preserve">) </w:t>
      </w:r>
      <w:r w:rsidR="006A657A" w:rsidRPr="00273106">
        <w:t>rozdělil pla</w:t>
      </w:r>
      <w:r w:rsidR="08376E55">
        <w:t>toniky a aristoteliky</w:t>
      </w:r>
      <w:r w:rsidR="006A657A" w:rsidRPr="00273106">
        <w:t>. Střední člen vědeckého soudu (</w:t>
      </w:r>
      <w:r w:rsidR="006A657A" w:rsidRPr="00273106">
        <w:rPr>
          <w:i/>
        </w:rPr>
        <w:t>demonstratio</w:t>
      </w:r>
      <w:r w:rsidR="006A657A">
        <w:rPr>
          <w:i/>
        </w:rPr>
        <w:fldChar w:fldCharType="begin"/>
      </w:r>
      <w:r w:rsidR="006A657A">
        <w:instrText xml:space="preserve"> XE "</w:instrText>
      </w:r>
      <w:r w:rsidR="006A657A" w:rsidRPr="004E6075">
        <w:rPr>
          <w:i/>
        </w:rPr>
        <w:instrText>demonstratio</w:instrText>
      </w:r>
      <w:r w:rsidR="006A657A" w:rsidRPr="00292841">
        <w:instrText>:moderna</w:instrText>
      </w:r>
      <w:r w:rsidR="006A657A">
        <w:instrText xml:space="preserve"> " </w:instrText>
      </w:r>
      <w:r w:rsidR="006A657A">
        <w:rPr>
          <w:i/>
        </w:rPr>
        <w:fldChar w:fldCharType="end"/>
      </w:r>
      <w:r w:rsidR="006A657A">
        <w:t xml:space="preserve">) dostal určení kauzálního </w:t>
      </w:r>
      <w:r w:rsidR="006A657A" w:rsidRPr="00273106">
        <w:rPr>
          <w:i/>
        </w:rPr>
        <w:t>passio</w:t>
      </w:r>
      <w:r w:rsidR="006A657A" w:rsidRPr="00273106">
        <w:t xml:space="preserve"> nikoliv od </w:t>
      </w:r>
      <w:r w:rsidR="006A657A">
        <w:t xml:space="preserve">účinků reálné </w:t>
      </w:r>
      <w:r w:rsidR="006A657A" w:rsidRPr="00273106">
        <w:t>první substan</w:t>
      </w:r>
      <w:r w:rsidR="006A657A">
        <w:t>ce, ale od abstraktního určení atomární substance</w:t>
      </w:r>
      <w:r w:rsidR="006A657A" w:rsidRPr="00273106">
        <w:t xml:space="preserve"> jako jsoucna třetího druhu</w:t>
      </w:r>
      <w:r w:rsidR="08251A70">
        <w:t xml:space="preserve"> daného pouze v mysli ilumináta</w:t>
      </w:r>
      <w:r w:rsidR="008C6B44">
        <w:t xml:space="preserve">. </w:t>
      </w:r>
      <w:r w:rsidR="008C6B44" w:rsidRPr="008C6B44">
        <w:t>Moderní akademici po vzoru starověkých neoplatoniků milují iluze, zejména pokud jde o produkty, které vytvářejí svou vlastní gnózí.</w:t>
      </w:r>
      <w:r w:rsidR="008C6B44">
        <w:t xml:space="preserve"> </w:t>
      </w:r>
      <w:r w:rsidR="085E2E8C" w:rsidRPr="00273106">
        <w:t xml:space="preserve">Kauzalita první substance působící na smysly je zrušena a vidění světa je navázáno na přímé filosofické nebo mystické nazírání </w:t>
      </w:r>
      <w:r w:rsidR="08F1158D">
        <w:t xml:space="preserve">aktuálních a autonomních </w:t>
      </w:r>
      <w:r w:rsidR="085E2E8C" w:rsidRPr="00273106">
        <w:t xml:space="preserve">subsistentních forem skrze Avicennův </w:t>
      </w:r>
      <w:r w:rsidR="08C6557E">
        <w:t xml:space="preserve">kosmický </w:t>
      </w:r>
      <w:r w:rsidR="085E2E8C" w:rsidRPr="00273106">
        <w:rPr>
          <w:i/>
        </w:rPr>
        <w:t xml:space="preserve">intellectus agens </w:t>
      </w:r>
      <w:r w:rsidR="085E2E8C" w:rsidRPr="00273106">
        <w:t>nebo</w:t>
      </w:r>
      <w:r w:rsidR="08C6557E">
        <w:t xml:space="preserve"> mystický</w:t>
      </w:r>
      <w:r w:rsidR="085E2E8C" w:rsidRPr="00273106">
        <w:rPr>
          <w:i/>
        </w:rPr>
        <w:t xml:space="preserve"> intellectus sanctus</w:t>
      </w:r>
      <w:r w:rsidR="085E2E8C">
        <w:rPr>
          <w:i/>
        </w:rPr>
        <w:fldChar w:fldCharType="begin"/>
      </w:r>
      <w:r w:rsidR="085E2E8C">
        <w:instrText xml:space="preserve"> XE "</w:instrText>
      </w:r>
      <w:r w:rsidR="085E2E8C" w:rsidRPr="00473DEE">
        <w:rPr>
          <w:i/>
        </w:rPr>
        <w:instrText>intellectus sanctus</w:instrText>
      </w:r>
      <w:r w:rsidR="085E2E8C">
        <w:instrText xml:space="preserve">" </w:instrText>
      </w:r>
      <w:r w:rsidR="085E2E8C">
        <w:rPr>
          <w:i/>
        </w:rPr>
        <w:fldChar w:fldCharType="end"/>
      </w:r>
      <w:r w:rsidR="085E2E8C" w:rsidRPr="00273106">
        <w:t xml:space="preserve">. </w:t>
      </w:r>
      <w:r w:rsidR="084F7F94">
        <w:t xml:space="preserve">Další matrice provede </w:t>
      </w:r>
      <w:r w:rsidR="006A657A" w:rsidRPr="00273106">
        <w:t xml:space="preserve">rozbory </w:t>
      </w:r>
      <w:r w:rsidR="006A657A" w:rsidRPr="00B97F51">
        <w:rPr>
          <w:i/>
        </w:rPr>
        <w:t>Druhých analytik</w:t>
      </w:r>
      <w:r w:rsidR="006A657A" w:rsidRPr="00273106">
        <w:t xml:space="preserve"> </w:t>
      </w:r>
      <w:r w:rsidR="00283BAA">
        <w:t xml:space="preserve">podle </w:t>
      </w:r>
      <w:r w:rsidR="006A657A" w:rsidRPr="00273106">
        <w:t>Gross</w:t>
      </w:r>
      <w:r w:rsidR="006A657A">
        <w:t>e</w:t>
      </w:r>
      <w:r w:rsidR="006A657A" w:rsidRPr="00273106">
        <w:t>testeho</w:t>
      </w:r>
      <w:r w:rsidR="084F7F94">
        <w:t>,</w:t>
      </w:r>
      <w:r w:rsidR="006A657A">
        <w:t xml:space="preserve"> </w:t>
      </w:r>
      <w:r w:rsidR="006A657A" w:rsidRPr="00273106">
        <w:t xml:space="preserve">Rufuse </w:t>
      </w:r>
      <w:r w:rsidR="084F7F94">
        <w:t xml:space="preserve">a Kilwardbyho </w:t>
      </w:r>
      <w:r w:rsidR="006A657A" w:rsidRPr="00273106">
        <w:t xml:space="preserve">jako hlavních představitelů </w:t>
      </w:r>
      <w:r w:rsidR="006A657A">
        <w:t xml:space="preserve">školy </w:t>
      </w:r>
      <w:r w:rsidR="006A657A" w:rsidRPr="00273106">
        <w:t xml:space="preserve">druhého averroismu. </w:t>
      </w:r>
      <w:r w:rsidR="008908F1">
        <w:t>Gilson</w:t>
      </w:r>
      <w:r w:rsidR="008908F1">
        <w:fldChar w:fldCharType="begin"/>
      </w:r>
      <w:r w:rsidR="008908F1">
        <w:instrText xml:space="preserve"> XE "</w:instrText>
      </w:r>
      <w:r w:rsidR="008908F1" w:rsidRPr="002A1167">
        <w:instrText>Gilson, E.</w:instrText>
      </w:r>
      <w:r w:rsidR="008908F1">
        <w:instrText xml:space="preserve">" </w:instrText>
      </w:r>
      <w:r w:rsidR="008908F1">
        <w:fldChar w:fldCharType="end"/>
      </w:r>
      <w:r w:rsidR="008908F1">
        <w:t xml:space="preserve"> správně viděl, že a</w:t>
      </w:r>
      <w:r w:rsidR="003100B7" w:rsidRPr="00273106">
        <w:t xml:space="preserve">vicennovský augustinianismus zrušil základní schéma </w:t>
      </w:r>
      <w:r w:rsidR="006907DA">
        <w:t xml:space="preserve">aristotelského </w:t>
      </w:r>
      <w:r w:rsidR="00746EEE">
        <w:t>poznání</w:t>
      </w:r>
      <w:r w:rsidR="006907DA">
        <w:t xml:space="preserve">. To bylo dané </w:t>
      </w:r>
      <w:r w:rsidR="008908F1">
        <w:lastRenderedPageBreak/>
        <w:t>impozicí významu od první substance</w:t>
      </w:r>
      <w:r w:rsidR="003E7483">
        <w:t>, skrze n</w:t>
      </w:r>
      <w:r w:rsidR="003100B7" w:rsidRPr="00273106">
        <w:t xml:space="preserve">asvícení </w:t>
      </w:r>
      <w:r w:rsidR="08464B81">
        <w:t xml:space="preserve">intelektu </w:t>
      </w:r>
      <w:r w:rsidR="003100B7" w:rsidRPr="00273106">
        <w:t xml:space="preserve">zepředu. Produkce univočních </w:t>
      </w:r>
      <w:r w:rsidR="002E30FF" w:rsidRPr="002E30FF">
        <w:t>species</w:t>
      </w:r>
      <w:r w:rsidR="003100B7" w:rsidRPr="00273106">
        <w:t xml:space="preserve"> </w:t>
      </w:r>
      <w:r w:rsidR="008B2A08">
        <w:t xml:space="preserve">třetího druhu </w:t>
      </w:r>
      <w:r w:rsidR="003100B7" w:rsidRPr="00273106">
        <w:t xml:space="preserve">nahradila v averroistické moderně původní kauzální vztah k realitě zprostředkovaný smysly. </w:t>
      </w:r>
      <w:r w:rsidR="00C56F46" w:rsidRPr="00273106">
        <w:t>První averroismus hájí primát první substance</w:t>
      </w:r>
      <w:r w:rsidR="00A70FA4">
        <w:fldChar w:fldCharType="begin"/>
      </w:r>
      <w:r w:rsidR="00A70FA4">
        <w:instrText xml:space="preserve"> XE "</w:instrText>
      </w:r>
      <w:r w:rsidR="00A70FA4" w:rsidRPr="00DE2A32">
        <w:instrText>substance</w:instrText>
      </w:r>
      <w:r w:rsidR="00507CDE">
        <w:instrText>:první averroi</w:instrText>
      </w:r>
      <w:r w:rsidR="00D86263">
        <w:instrText>s</w:instrText>
      </w:r>
      <w:r w:rsidR="00507CDE">
        <w:instrText>m</w:instrText>
      </w:r>
      <w:r w:rsidR="00D86263">
        <w:instrText>us</w:instrText>
      </w:r>
      <w:r w:rsidR="00A70FA4">
        <w:instrText xml:space="preserve">" </w:instrText>
      </w:r>
      <w:r w:rsidR="00A70FA4">
        <w:fldChar w:fldCharType="end"/>
      </w:r>
      <w:r w:rsidR="00C56F46" w:rsidRPr="00273106">
        <w:t xml:space="preserve"> jako </w:t>
      </w:r>
      <w:r w:rsidR="00C56F46" w:rsidRPr="00273106">
        <w:rPr>
          <w:i/>
        </w:rPr>
        <w:t>ens ratum</w:t>
      </w:r>
      <w:r w:rsidR="00C8762F">
        <w:rPr>
          <w:i/>
        </w:rPr>
        <w:fldChar w:fldCharType="begin"/>
      </w:r>
      <w:r w:rsidR="00C8762F">
        <w:instrText xml:space="preserve"> XE "</w:instrText>
      </w:r>
      <w:r w:rsidR="00C8762F" w:rsidRPr="00B2798F">
        <w:rPr>
          <w:rStyle w:val="addmd"/>
          <w:i/>
        </w:rPr>
        <w:instrText>ens ratum:</w:instrText>
      </w:r>
      <w:r w:rsidR="00C8762F" w:rsidRPr="00B2798F">
        <w:instrText>Avicenna</w:instrText>
      </w:r>
      <w:r w:rsidR="00C8762F">
        <w:instrText xml:space="preserve">" </w:instrText>
      </w:r>
      <w:r w:rsidR="00C8762F">
        <w:rPr>
          <w:i/>
        </w:rPr>
        <w:fldChar w:fldCharType="end"/>
      </w:r>
      <w:r w:rsidR="00C56F46" w:rsidRPr="00273106">
        <w:t>, protož</w:t>
      </w:r>
      <w:r w:rsidR="08427529">
        <w:t xml:space="preserve">e smysl jsoucna je dán </w:t>
      </w:r>
      <w:r w:rsidR="00C56F46" w:rsidRPr="00273106">
        <w:t xml:space="preserve">od reálné substance. Realita </w:t>
      </w:r>
      <w:r w:rsidR="00F44C70">
        <w:t xml:space="preserve">hylemorfických věcí </w:t>
      </w:r>
      <w:r w:rsidR="00C56F46" w:rsidRPr="00273106">
        <w:t xml:space="preserve">je dána </w:t>
      </w:r>
      <w:r w:rsidR="00C56F46" w:rsidRPr="00273106">
        <w:rPr>
          <w:i/>
        </w:rPr>
        <w:t>simpliciter</w:t>
      </w:r>
      <w:r w:rsidR="08427529">
        <w:t xml:space="preserve"> </w:t>
      </w:r>
      <w:r w:rsidR="00C56F46" w:rsidRPr="00273106">
        <w:t xml:space="preserve">a tím aktuálně. Proto určuje lidské poznání, které je dáno </w:t>
      </w:r>
      <w:r w:rsidR="00C56F46" w:rsidRPr="00273106">
        <w:rPr>
          <w:i/>
        </w:rPr>
        <w:t>universaliter</w:t>
      </w:r>
      <w:r w:rsidR="08427529">
        <w:t xml:space="preserve"> </w:t>
      </w:r>
      <w:r w:rsidR="00C56F46" w:rsidRPr="00273106">
        <w:t xml:space="preserve">a pouze potenciálně. </w:t>
      </w:r>
      <w:r w:rsidR="00A16176">
        <w:t xml:space="preserve">Podle Albertova výkladu aristotelismu </w:t>
      </w:r>
      <w:r w:rsidR="00C52036">
        <w:t xml:space="preserve">v linii </w:t>
      </w:r>
      <w:r w:rsidR="00787312">
        <w:t xml:space="preserve">Sicilského </w:t>
      </w:r>
      <w:r w:rsidR="002E3B62">
        <w:t>Averroes</w:t>
      </w:r>
      <w:r w:rsidR="00A16176">
        <w:t>e má p</w:t>
      </w:r>
      <w:r w:rsidR="000F4849">
        <w:t>ojem v lidské mysli</w:t>
      </w:r>
      <w:r w:rsidR="000F4849" w:rsidRPr="00273106">
        <w:t xml:space="preserve"> </w:t>
      </w:r>
      <w:r w:rsidR="000F4849">
        <w:t>s</w:t>
      </w:r>
      <w:r w:rsidR="00C56F46" w:rsidRPr="00273106">
        <w:t xml:space="preserve">tatut </w:t>
      </w:r>
      <w:r w:rsidR="00C52036">
        <w:t xml:space="preserve">pouze </w:t>
      </w:r>
      <w:r w:rsidR="00C56F46" w:rsidRPr="00273106">
        <w:t>slabého jsoucna (</w:t>
      </w:r>
      <w:r w:rsidR="00C56F46" w:rsidRPr="00273106">
        <w:rPr>
          <w:i/>
        </w:rPr>
        <w:t>esse debile</w:t>
      </w:r>
      <w:r w:rsidR="00D90B42">
        <w:rPr>
          <w:i/>
        </w:rPr>
        <w:fldChar w:fldCharType="begin"/>
      </w:r>
      <w:r w:rsidR="00D90B42">
        <w:instrText xml:space="preserve"> XE "</w:instrText>
      </w:r>
      <w:r w:rsidR="00D90B42" w:rsidRPr="00EC392D">
        <w:rPr>
          <w:i/>
        </w:rPr>
        <w:instrText>esse debile</w:instrText>
      </w:r>
      <w:r w:rsidR="00D90B42">
        <w:instrText xml:space="preserve">" </w:instrText>
      </w:r>
      <w:r w:rsidR="00D90B42">
        <w:rPr>
          <w:i/>
        </w:rPr>
        <w:fldChar w:fldCharType="end"/>
      </w:r>
      <w:r w:rsidR="00C56F46" w:rsidRPr="00273106">
        <w:t>)</w:t>
      </w:r>
      <w:r w:rsidR="00C56F46">
        <w:t xml:space="preserve">, </w:t>
      </w:r>
      <w:r w:rsidR="00C56F46" w:rsidRPr="00273106">
        <w:t xml:space="preserve">zatímco </w:t>
      </w:r>
      <w:r w:rsidR="000F4849">
        <w:t>reálná první substance</w:t>
      </w:r>
      <w:r w:rsidR="000F4849" w:rsidRPr="00273106">
        <w:t xml:space="preserve"> </w:t>
      </w:r>
      <w:r w:rsidR="000F4849">
        <w:t>drží</w:t>
      </w:r>
      <w:r w:rsidR="000F4849" w:rsidRPr="00273106">
        <w:t xml:space="preserve"> </w:t>
      </w:r>
      <w:r w:rsidR="00C56F46" w:rsidRPr="00273106">
        <w:t xml:space="preserve">statut </w:t>
      </w:r>
      <w:r w:rsidR="08427529">
        <w:t>aktuálního a proto pevného</w:t>
      </w:r>
      <w:r w:rsidR="000F4849">
        <w:t xml:space="preserve"> </w:t>
      </w:r>
      <w:r w:rsidR="00C56F46">
        <w:t>bytí jsoucna (</w:t>
      </w:r>
      <w:r w:rsidR="00C56F46" w:rsidRPr="00273106">
        <w:rPr>
          <w:i/>
        </w:rPr>
        <w:t>ens</w:t>
      </w:r>
      <w:r w:rsidR="00C56F46" w:rsidRPr="00273106">
        <w:t xml:space="preserve"> </w:t>
      </w:r>
      <w:r w:rsidR="00C56F46" w:rsidRPr="00273106">
        <w:rPr>
          <w:i/>
        </w:rPr>
        <w:t>ratum</w:t>
      </w:r>
      <w:r w:rsidR="00C8762F">
        <w:rPr>
          <w:i/>
        </w:rPr>
        <w:fldChar w:fldCharType="begin"/>
      </w:r>
      <w:r w:rsidR="00C8762F">
        <w:instrText xml:space="preserve"> XE "</w:instrText>
      </w:r>
      <w:r w:rsidR="00C8762F" w:rsidRPr="00B2798F">
        <w:rPr>
          <w:rStyle w:val="addmd"/>
          <w:i/>
        </w:rPr>
        <w:instrText>ens ratum:</w:instrText>
      </w:r>
      <w:r w:rsidR="00C8762F" w:rsidRPr="00B2798F">
        <w:instrText>A</w:instrText>
      </w:r>
      <w:r w:rsidR="00C77DDA">
        <w:instrText>lbert</w:instrText>
      </w:r>
      <w:r w:rsidR="00C8762F">
        <w:instrText xml:space="preserve">" </w:instrText>
      </w:r>
      <w:r w:rsidR="00C8762F">
        <w:rPr>
          <w:i/>
        </w:rPr>
        <w:fldChar w:fldCharType="end"/>
      </w:r>
      <w:r w:rsidR="00C56F46">
        <w:t>)</w:t>
      </w:r>
      <w:r w:rsidR="00C56F46" w:rsidRPr="00273106">
        <w:t>.</w:t>
      </w:r>
      <w:r w:rsidR="00C56F46">
        <w:t xml:space="preserve"> </w:t>
      </w:r>
      <w:r w:rsidR="00C56F46" w:rsidRPr="00273106">
        <w:t xml:space="preserve">Druhý averroismus </w:t>
      </w:r>
      <w:r w:rsidR="00787312">
        <w:t xml:space="preserve">Toledské školy </w:t>
      </w:r>
      <w:r w:rsidR="088B2446">
        <w:t xml:space="preserve">pod vedením </w:t>
      </w:r>
      <w:r w:rsidR="082A2B97">
        <w:t xml:space="preserve">své intelektuální </w:t>
      </w:r>
      <w:r w:rsidR="082A2B97" w:rsidRPr="082A2B97">
        <w:rPr>
          <w:i/>
        </w:rPr>
        <w:t>hýbris</w:t>
      </w:r>
      <w:r w:rsidR="082A2B97">
        <w:t xml:space="preserve"> </w:t>
      </w:r>
      <w:r w:rsidR="00C56F46">
        <w:t>toto schéma otočil. P</w:t>
      </w:r>
      <w:r w:rsidR="00C56F46" w:rsidRPr="00273106">
        <w:t xml:space="preserve">ostavil </w:t>
      </w:r>
      <w:r w:rsidR="080B1820">
        <w:t xml:space="preserve">nový </w:t>
      </w:r>
      <w:r w:rsidR="00C56F46" w:rsidRPr="00273106">
        <w:t xml:space="preserve">smysl jsoucna tím, že jej v procesu poznání nasvítil zezadu od automní vyšší formy, esence, </w:t>
      </w:r>
      <w:r w:rsidR="002E30FF" w:rsidRPr="002E30FF">
        <w:t>species</w:t>
      </w:r>
      <w:r w:rsidR="00C56F46" w:rsidRPr="00273106">
        <w:t xml:space="preserve"> atd., jež ve své průzračnosti a jistotě tvoří přirozené prostředí nezávislého spekulativního ducha</w:t>
      </w:r>
      <w:r w:rsidR="004242B0">
        <w:fldChar w:fldCharType="begin"/>
      </w:r>
      <w:r w:rsidR="004242B0">
        <w:instrText xml:space="preserve"> XE "</w:instrText>
      </w:r>
      <w:r w:rsidR="004242B0" w:rsidRPr="003904FF">
        <w:instrText>zjevování:nas</w:instrText>
      </w:r>
      <w:r w:rsidR="00155047">
        <w:instrText>v</w:instrText>
      </w:r>
      <w:r w:rsidR="004242B0" w:rsidRPr="003904FF">
        <w:instrText>ícení zezadu</w:instrText>
      </w:r>
      <w:r w:rsidR="004242B0">
        <w:instrText xml:space="preserve">" </w:instrText>
      </w:r>
      <w:r w:rsidR="004242B0">
        <w:fldChar w:fldCharType="end"/>
      </w:r>
      <w:r w:rsidR="00C56F46" w:rsidRPr="00273106">
        <w:t xml:space="preserve">. </w:t>
      </w:r>
      <w:r w:rsidR="00A1647A" w:rsidRPr="00273106">
        <w:t>Po uzávorkování hyparchické funkce první substanc</w:t>
      </w:r>
      <w:r w:rsidR="00A1647A">
        <w:t xml:space="preserve">e </w:t>
      </w:r>
      <w:r w:rsidR="00A1647A" w:rsidRPr="00273106">
        <w:t>hr</w:t>
      </w:r>
      <w:r w:rsidR="00A1647A">
        <w:t>aje</w:t>
      </w:r>
      <w:r w:rsidR="00A1647A" w:rsidRPr="00273106">
        <w:t xml:space="preserve"> </w:t>
      </w:r>
      <w:r w:rsidR="088F6C07">
        <w:t xml:space="preserve">pod vedením Fúrií hlavní </w:t>
      </w:r>
      <w:r w:rsidR="08124C16">
        <w:t xml:space="preserve">roli </w:t>
      </w:r>
      <w:r w:rsidR="08342D3C">
        <w:t>silný a pevný</w:t>
      </w:r>
      <w:r w:rsidR="003257EB">
        <w:t xml:space="preserve"> </w:t>
      </w:r>
      <w:r w:rsidR="00A1647A" w:rsidRPr="00273106">
        <w:t xml:space="preserve">intelekt </w:t>
      </w:r>
      <w:r w:rsidR="00A1647A" w:rsidRPr="00273106">
        <w:rPr>
          <w:i/>
        </w:rPr>
        <w:t>Modernorum</w:t>
      </w:r>
      <w:r w:rsidR="00170C1E">
        <w:t xml:space="preserve">. Akademický a mystický </w:t>
      </w:r>
      <w:r w:rsidR="00D30638">
        <w:t xml:space="preserve">iluminát </w:t>
      </w:r>
      <w:r w:rsidR="006E44D3">
        <w:t xml:space="preserve">poznává </w:t>
      </w:r>
      <w:r w:rsidR="003257EB">
        <w:t xml:space="preserve">v modu </w:t>
      </w:r>
      <w:r w:rsidR="003257EB" w:rsidRPr="003257EB">
        <w:rPr>
          <w:i/>
        </w:rPr>
        <w:t>per prius</w:t>
      </w:r>
      <w:r w:rsidR="003257EB">
        <w:t xml:space="preserve"> </w:t>
      </w:r>
      <w:r w:rsidR="006E44D3">
        <w:t>vlastní formy dané mimo reálný hylemorfický svět.</w:t>
      </w:r>
      <w:r w:rsidR="00C750E2">
        <w:t xml:space="preserve"> </w:t>
      </w:r>
      <w:r w:rsidR="006E44D3">
        <w:t xml:space="preserve">Tím vznikla metafyzická paranoia Západu, před níž marně varovali osvícení duchové z konce 12. </w:t>
      </w:r>
      <w:r w:rsidR="086B1132">
        <w:t xml:space="preserve">století </w:t>
      </w:r>
      <w:r w:rsidR="006E44D3">
        <w:t>a</w:t>
      </w:r>
      <w:r w:rsidR="009D7C90">
        <w:t xml:space="preserve"> z první poloviny 13. století. </w:t>
      </w:r>
    </w:p>
    <w:p w14:paraId="620F3462" w14:textId="4CF3AD37" w:rsidR="00616B2F" w:rsidRDefault="006E1E06" w:rsidP="006A3586">
      <w:pPr>
        <w:ind w:firstLine="397"/>
      </w:pPr>
      <w:r>
        <w:t>Od poloviny 13. století se s</w:t>
      </w:r>
      <w:r w:rsidR="0020609A">
        <w:t>mysl jsoucna dostal na průsečík</w:t>
      </w:r>
      <w:r w:rsidR="08904FF0" w:rsidRPr="00273106">
        <w:t xml:space="preserve"> </w:t>
      </w:r>
      <w:r w:rsidR="0020609A">
        <w:t xml:space="preserve">mezi první a druhý averroismus. Tento epochálně nový </w:t>
      </w:r>
      <w:r w:rsidR="009965D3">
        <w:rPr>
          <w:i/>
        </w:rPr>
        <w:t>Ge-Stell</w:t>
      </w:r>
      <w:r w:rsidR="0020609A">
        <w:rPr>
          <w:i/>
        </w:rPr>
        <w:fldChar w:fldCharType="begin"/>
      </w:r>
      <w:r w:rsidR="0020609A">
        <w:instrText xml:space="preserve"> XE "</w:instrText>
      </w:r>
      <w:r w:rsidR="009965D3">
        <w:rPr>
          <w:i/>
        </w:rPr>
        <w:instrText>Ge-Stell</w:instrText>
      </w:r>
      <w:r w:rsidR="0020609A">
        <w:instrText xml:space="preserve">" </w:instrText>
      </w:r>
      <w:r w:rsidR="0020609A">
        <w:rPr>
          <w:i/>
        </w:rPr>
        <w:fldChar w:fldCharType="end"/>
      </w:r>
      <w:r w:rsidR="0020609A">
        <w:t xml:space="preserve"> jsoucna vytvořil</w:t>
      </w:r>
      <w:r w:rsidR="08904FF0" w:rsidRPr="00273106">
        <w:t xml:space="preserve"> pojetí </w:t>
      </w:r>
      <w:r w:rsidR="0020609A">
        <w:t xml:space="preserve">pravdy jako </w:t>
      </w:r>
      <w:r w:rsidR="08904FF0" w:rsidRPr="00273106">
        <w:t>jistoty vázané na subjekt</w:t>
      </w:r>
      <w:r w:rsidR="0020609A">
        <w:t xml:space="preserve">, což </w:t>
      </w:r>
      <w:r w:rsidR="08904FF0" w:rsidRPr="00273106">
        <w:t xml:space="preserve">poprvé zavedl Anselm v pojmu </w:t>
      </w:r>
      <w:r w:rsidR="08904FF0" w:rsidRPr="00273106">
        <w:rPr>
          <w:i/>
        </w:rPr>
        <w:t>rectitudo</w:t>
      </w:r>
      <w:r w:rsidR="08904FF0">
        <w:rPr>
          <w:i/>
        </w:rPr>
        <w:fldChar w:fldCharType="begin"/>
      </w:r>
      <w:r w:rsidR="08904FF0">
        <w:instrText xml:space="preserve"> XE "pravda:</w:instrText>
      </w:r>
      <w:r w:rsidR="08904FF0" w:rsidRPr="00711C6D">
        <w:rPr>
          <w:i/>
        </w:rPr>
        <w:instrText>rectitudo</w:instrText>
      </w:r>
      <w:r w:rsidR="08904FF0">
        <w:instrText xml:space="preserve">" </w:instrText>
      </w:r>
      <w:r w:rsidR="08904FF0">
        <w:rPr>
          <w:i/>
        </w:rPr>
        <w:fldChar w:fldCharType="end"/>
      </w:r>
      <w:r w:rsidR="08904FF0" w:rsidRPr="00273106">
        <w:t xml:space="preserve">. </w:t>
      </w:r>
      <w:r w:rsidR="08C84E27" w:rsidRPr="00273106">
        <w:t>Moderní intelekt je jistý a silný (</w:t>
      </w:r>
      <w:r w:rsidR="08C84E27" w:rsidRPr="00273106">
        <w:rPr>
          <w:i/>
        </w:rPr>
        <w:t>ratus</w:t>
      </w:r>
      <w:r w:rsidR="08C84E27" w:rsidRPr="00273106">
        <w:t xml:space="preserve">) díky vlastní aktualitě a jistotě, s níž bezprostředně nazírá univerzální formy. </w:t>
      </w:r>
      <w:r w:rsidR="088244B9">
        <w:t xml:space="preserve">Metafyzický status </w:t>
      </w:r>
      <w:r w:rsidR="088244B9" w:rsidRPr="0066568E">
        <w:rPr>
          <w:i/>
        </w:rPr>
        <w:t>ens ratum</w:t>
      </w:r>
      <w:r w:rsidR="088244B9">
        <w:t xml:space="preserve"> tvoří fundamentální </w:t>
      </w:r>
      <w:r w:rsidR="088244B9" w:rsidRPr="0066568E">
        <w:rPr>
          <w:i/>
        </w:rPr>
        <w:t>terminus</w:t>
      </w:r>
      <w:r w:rsidR="088244B9">
        <w:t xml:space="preserve"> po</w:t>
      </w:r>
      <w:r w:rsidR="088244B9">
        <w:noBreakHyphen/>
        <w:t>odk</w:t>
      </w:r>
      <w:r w:rsidR="080B79A6">
        <w:t>ryté dějinnosti bytí jsoucna. T</w:t>
      </w:r>
      <w:r w:rsidR="088244B9">
        <w:t xml:space="preserve">ento </w:t>
      </w:r>
      <w:r w:rsidR="088244B9" w:rsidRPr="0066568E">
        <w:rPr>
          <w:i/>
        </w:rPr>
        <w:t>Ereignis</w:t>
      </w:r>
      <w:r w:rsidR="088244B9">
        <w:t xml:space="preserve"> dějinnosti v modu </w:t>
      </w:r>
      <w:r w:rsidR="088244B9" w:rsidRPr="00B508B2">
        <w:rPr>
          <w:i/>
        </w:rPr>
        <w:t>a/létheia</w:t>
      </w:r>
      <w:r w:rsidR="088244B9">
        <w:t xml:space="preserve"> určuje dějiny filosofie latinského Západu. </w:t>
      </w:r>
      <w:r w:rsidR="088244B9" w:rsidRPr="00273106">
        <w:t xml:space="preserve">Z hlediska </w:t>
      </w:r>
      <w:r w:rsidR="088244B9" w:rsidRPr="00273106">
        <w:rPr>
          <w:i/>
        </w:rPr>
        <w:t>Lichtung</w:t>
      </w:r>
      <w:r w:rsidR="088244B9" w:rsidRPr="00273106">
        <w:t xml:space="preserve"> dosvědčují tyto dvě podoby bytí jsoucího </w:t>
      </w:r>
      <w:r w:rsidR="088244B9">
        <w:t xml:space="preserve">vázané na </w:t>
      </w:r>
      <w:r w:rsidR="088244B9" w:rsidRPr="006E33A3">
        <w:rPr>
          <w:i/>
        </w:rPr>
        <w:t>ens ratum</w:t>
      </w:r>
      <w:r w:rsidR="088244B9">
        <w:rPr>
          <w:i/>
        </w:rPr>
        <w:fldChar w:fldCharType="begin"/>
      </w:r>
      <w:r w:rsidR="088244B9">
        <w:instrText xml:space="preserve"> XE "</w:instrText>
      </w:r>
      <w:r w:rsidR="088244B9" w:rsidRPr="00B2798F">
        <w:rPr>
          <w:rStyle w:val="addmd"/>
          <w:i/>
        </w:rPr>
        <w:instrText>ens ratum:</w:instrText>
      </w:r>
      <w:r w:rsidR="088244B9" w:rsidRPr="00AE347C">
        <w:instrText>první averroismus</w:instrText>
      </w:r>
      <w:r w:rsidR="088244B9">
        <w:instrText xml:space="preserve">" </w:instrText>
      </w:r>
      <w:r w:rsidR="088244B9">
        <w:rPr>
          <w:i/>
        </w:rPr>
        <w:fldChar w:fldCharType="end"/>
      </w:r>
      <w:r w:rsidR="088244B9">
        <w:t xml:space="preserve"> dvě </w:t>
      </w:r>
      <w:r w:rsidR="088244B9" w:rsidRPr="00273106">
        <w:t>epochální formy dějinnosti vzniklé v</w:t>
      </w:r>
      <w:r w:rsidR="088244B9">
        <w:t xml:space="preserve"> rámci té či oné konfigurace </w:t>
      </w:r>
      <w:r w:rsidR="088244B9" w:rsidRPr="00273106">
        <w:t>odkrytosti jsoucna</w:t>
      </w:r>
      <w:r w:rsidR="088244B9">
        <w:t xml:space="preserve"> (</w:t>
      </w:r>
      <w:r w:rsidR="088244B9" w:rsidRPr="0066568E">
        <w:rPr>
          <w:i/>
        </w:rPr>
        <w:t>alétheia</w:t>
      </w:r>
      <w:r w:rsidR="088244B9">
        <w:t>). Pravda je buď daná ve slabém intelektu (</w:t>
      </w:r>
      <w:r w:rsidR="0865295A" w:rsidRPr="0865295A">
        <w:rPr>
          <w:i/>
        </w:rPr>
        <w:t>intellectus</w:t>
      </w:r>
      <w:r w:rsidR="0865295A">
        <w:t xml:space="preserve"> </w:t>
      </w:r>
      <w:r w:rsidR="088244B9" w:rsidRPr="088244B9">
        <w:rPr>
          <w:i/>
        </w:rPr>
        <w:t>debilis</w:t>
      </w:r>
      <w:r w:rsidR="088244B9">
        <w:t>) jako aristotelská adekvace myšlení a reálné první substance</w:t>
      </w:r>
      <w:r w:rsidR="08F42EB3">
        <w:t>. N</w:t>
      </w:r>
      <w:r w:rsidR="088244B9">
        <w:t xml:space="preserve">ebo </w:t>
      </w:r>
      <w:r w:rsidR="08F42EB3">
        <w:t xml:space="preserve">je poznání demiurgicky produkováno </w:t>
      </w:r>
      <w:r w:rsidR="08F42EB3" w:rsidRPr="08F42EB3">
        <w:rPr>
          <w:i/>
        </w:rPr>
        <w:t>ex nihilo</w:t>
      </w:r>
      <w:r w:rsidR="08F3517A">
        <w:rPr>
          <w:i/>
        </w:rPr>
        <w:fldChar w:fldCharType="begin"/>
      </w:r>
      <w:r w:rsidR="08F3517A">
        <w:instrText xml:space="preserve"> XE "</w:instrText>
      </w:r>
      <w:r w:rsidR="08F3517A" w:rsidRPr="08B631B7">
        <w:rPr>
          <w:i/>
        </w:rPr>
        <w:instrText>creatio ex nihilo</w:instrText>
      </w:r>
      <w:r w:rsidR="08F3517A">
        <w:instrText xml:space="preserve">" </w:instrText>
      </w:r>
      <w:r w:rsidR="08F3517A">
        <w:rPr>
          <w:i/>
        </w:rPr>
        <w:fldChar w:fldCharType="end"/>
      </w:r>
      <w:r w:rsidR="08F42EB3">
        <w:t xml:space="preserve"> </w:t>
      </w:r>
      <w:r w:rsidR="088244B9">
        <w:t xml:space="preserve">v silném intelektu </w:t>
      </w:r>
      <w:r w:rsidR="08F3517A">
        <w:t xml:space="preserve">a pravda je dána </w:t>
      </w:r>
      <w:r w:rsidR="088244B9">
        <w:t>jako moderní a</w:t>
      </w:r>
      <w:r w:rsidR="00BF3953">
        <w:t xml:space="preserve">similace jsoucen třetího druhu. Hermeneutická otázka </w:t>
      </w:r>
      <w:r w:rsidR="00BF3953" w:rsidRPr="00273106">
        <w:t xml:space="preserve">superiority </w:t>
      </w:r>
      <w:r w:rsidR="00BF3953">
        <w:t>skrytá v k</w:t>
      </w:r>
      <w:r w:rsidR="00BF3953" w:rsidRPr="00BF3953">
        <w:t>oncept</w:t>
      </w:r>
      <w:r w:rsidR="00BF3953">
        <w:t>u</w:t>
      </w:r>
      <w:r w:rsidR="00BF3953" w:rsidRPr="00BF3953">
        <w:t xml:space="preserve"> </w:t>
      </w:r>
      <w:r w:rsidR="00BF3953" w:rsidRPr="00BF3953">
        <w:rPr>
          <w:i/>
        </w:rPr>
        <w:t>esse debile</w:t>
      </w:r>
      <w:r w:rsidR="00BF3953" w:rsidRPr="00BF3953">
        <w:t xml:space="preserve"> odhaluje slepou nadřazenost moderního intelektu nebo kritickou obezřetnost klasického </w:t>
      </w:r>
      <w:r w:rsidR="00BF3953" w:rsidRPr="00BF3953">
        <w:lastRenderedPageBreak/>
        <w:t>intelektu.</w:t>
      </w:r>
      <w:r w:rsidR="00BF3953">
        <w:t xml:space="preserve"> Takto vyložený smysl jsoucna vztažený</w:t>
      </w:r>
      <w:r w:rsidR="08927432">
        <w:t xml:space="preserve"> k pojetí </w:t>
      </w:r>
      <w:r w:rsidR="08927432" w:rsidRPr="08927432">
        <w:rPr>
          <w:i/>
        </w:rPr>
        <w:t>esse debile</w:t>
      </w:r>
      <w:r w:rsidR="08927432">
        <w:t xml:space="preserve"> </w:t>
      </w:r>
      <w:r w:rsidR="00C56F46" w:rsidRPr="00273106">
        <w:t xml:space="preserve">nastiňuje </w:t>
      </w:r>
      <w:r w:rsidR="086A090D">
        <w:t xml:space="preserve">v </w:t>
      </w:r>
      <w:r w:rsidR="083C27D1">
        <w:t xml:space="preserve">múzickém </w:t>
      </w:r>
      <w:r w:rsidR="086A090D">
        <w:t xml:space="preserve">modu </w:t>
      </w:r>
      <w:r w:rsidR="086A090D" w:rsidRPr="086A090D">
        <w:rPr>
          <w:i/>
        </w:rPr>
        <w:t>a/létheia</w:t>
      </w:r>
      <w:r w:rsidR="086A090D">
        <w:t xml:space="preserve"> </w:t>
      </w:r>
      <w:r w:rsidR="084968B1">
        <w:t xml:space="preserve">základní </w:t>
      </w:r>
      <w:r w:rsidR="084968B1" w:rsidRPr="084968B1">
        <w:rPr>
          <w:i/>
        </w:rPr>
        <w:t>Lichtung</w:t>
      </w:r>
      <w:r w:rsidR="084968B1">
        <w:t xml:space="preserve"> koexistence </w:t>
      </w:r>
      <w:r w:rsidR="00C56F46" w:rsidRPr="00273106">
        <w:t xml:space="preserve">pravdy a nepravdy. </w:t>
      </w:r>
      <w:r w:rsidR="08927432">
        <w:t>Další matrice objektivity ukáže, jak se  od roku 1230 stalo pojetí slabého intelektu určeného existencí reálné první substance zcela „debilní</w:t>
      </w:r>
      <w:r w:rsidR="08927432" w:rsidRPr="00273106">
        <w:t>“</w:t>
      </w:r>
      <w:r w:rsidR="08927432">
        <w:t xml:space="preserve"> a nemoderní. </w:t>
      </w:r>
      <w:r w:rsidR="08D30AD1">
        <w:t xml:space="preserve">Mytopoetický </w:t>
      </w:r>
      <w:r w:rsidR="08AD6F15" w:rsidRPr="00273106">
        <w:t xml:space="preserve">intelekt </w:t>
      </w:r>
      <w:r w:rsidR="08AD6F15">
        <w:t xml:space="preserve">demiurgických </w:t>
      </w:r>
      <w:r w:rsidR="08AD6F15" w:rsidRPr="00273106">
        <w:rPr>
          <w:i/>
        </w:rPr>
        <w:t>Modernorum</w:t>
      </w:r>
      <w:r w:rsidR="08AD6F15" w:rsidRPr="00273106">
        <w:t xml:space="preserve"> je aktuální a produktivní sám o sobě</w:t>
      </w:r>
      <w:r w:rsidR="08643827">
        <w:t xml:space="preserve"> a v tom je jeho slepá síla vědění</w:t>
      </w:r>
      <w:r w:rsidR="084F2CD0">
        <w:t xml:space="preserve"> v modu </w:t>
      </w:r>
      <w:r w:rsidR="084F2CD0" w:rsidRPr="084F2CD0">
        <w:rPr>
          <w:i/>
        </w:rPr>
        <w:t>Irrtum</w:t>
      </w:r>
      <w:r w:rsidR="08AD6F15" w:rsidRPr="00273106">
        <w:t xml:space="preserve">. </w:t>
      </w:r>
      <w:r w:rsidR="084F2CD0">
        <w:t>Moderní intelekt se n</w:t>
      </w:r>
      <w:r w:rsidR="0833190D">
        <w:t xml:space="preserve">emusí starat o </w:t>
      </w:r>
      <w:r w:rsidR="082B496B">
        <w:t xml:space="preserve">smyslovou realitu, protože si </w:t>
      </w:r>
      <w:r w:rsidR="0833190D">
        <w:t xml:space="preserve">vytváří </w:t>
      </w:r>
      <w:r w:rsidR="082B496B">
        <w:t xml:space="preserve">její simulákrum </w:t>
      </w:r>
      <w:r w:rsidR="0833190D">
        <w:t xml:space="preserve">ve vyšší formě diakosmického vědění. </w:t>
      </w:r>
      <w:r w:rsidR="08AD6F15" w:rsidRPr="00273106">
        <w:t xml:space="preserve">Evidentní aktuální formy pak zpětně nachází ve „slabé“ </w:t>
      </w:r>
      <w:r w:rsidR="08AD6F15">
        <w:t xml:space="preserve">či „debilní“ </w:t>
      </w:r>
      <w:r w:rsidR="08AD6F15" w:rsidRPr="00273106">
        <w:t xml:space="preserve">realitě dané </w:t>
      </w:r>
      <w:r w:rsidR="08AD6F15">
        <w:t xml:space="preserve">pouze kontigentně, </w:t>
      </w:r>
      <w:r w:rsidR="08AD6F15" w:rsidRPr="00273106">
        <w:t xml:space="preserve">materiálně a poznávané </w:t>
      </w:r>
      <w:r w:rsidR="08AD6F15">
        <w:t xml:space="preserve">nejprve skrze </w:t>
      </w:r>
      <w:r w:rsidR="08AD6F15" w:rsidRPr="00273106">
        <w:t>smysl</w:t>
      </w:r>
      <w:r w:rsidR="08AD6F15">
        <w:t>y</w:t>
      </w:r>
      <w:r w:rsidR="08AD6F15">
        <w:rPr>
          <w:i/>
        </w:rPr>
        <w:fldChar w:fldCharType="begin"/>
      </w:r>
      <w:r w:rsidR="08AD6F15">
        <w:instrText xml:space="preserve"> XE "</w:instrText>
      </w:r>
      <w:r w:rsidR="08AD6F15" w:rsidRPr="00B2798F">
        <w:rPr>
          <w:rStyle w:val="addmd"/>
          <w:i/>
        </w:rPr>
        <w:instrText>ens ratum:</w:instrText>
      </w:r>
      <w:r w:rsidR="08AD6F15">
        <w:instrText>druhý</w:instrText>
      </w:r>
      <w:r w:rsidR="08AD6F15" w:rsidRPr="00AE347C">
        <w:instrText xml:space="preserve"> averroismus</w:instrText>
      </w:r>
      <w:r w:rsidR="08AD6F15">
        <w:instrText xml:space="preserve">" </w:instrText>
      </w:r>
      <w:r w:rsidR="08AD6F15">
        <w:rPr>
          <w:i/>
        </w:rPr>
        <w:fldChar w:fldCharType="end"/>
      </w:r>
      <w:r w:rsidR="08AD6F15" w:rsidRPr="00273106">
        <w:t xml:space="preserve">. </w:t>
      </w:r>
      <w:r w:rsidR="00FA4C19" w:rsidRPr="00273106">
        <w:t>Tato epochální manifestace smyslu jsoucna (</w:t>
      </w:r>
      <w:r w:rsidR="00FA4C19" w:rsidRPr="00273106">
        <w:rPr>
          <w:i/>
        </w:rPr>
        <w:t>Ereignis</w:t>
      </w:r>
      <w:r w:rsidR="00FA4C19">
        <w:rPr>
          <w:i/>
        </w:rPr>
        <w:fldChar w:fldCharType="begin"/>
      </w:r>
      <w:r w:rsidR="00FA4C19">
        <w:instrText xml:space="preserve"> XE "</w:instrText>
      </w:r>
      <w:r w:rsidR="00FA4C19" w:rsidRPr="00120BB2">
        <w:rPr>
          <w:i/>
        </w:rPr>
        <w:instrText>Ereignis</w:instrText>
      </w:r>
      <w:r w:rsidR="00FA4C19">
        <w:instrText xml:space="preserve">" </w:instrText>
      </w:r>
      <w:r w:rsidR="00FA4C19">
        <w:rPr>
          <w:i/>
        </w:rPr>
        <w:fldChar w:fldCharType="end"/>
      </w:r>
      <w:r w:rsidR="00FA4C19" w:rsidRPr="00273106">
        <w:t xml:space="preserve">) určuje </w:t>
      </w:r>
      <w:r w:rsidR="00FA4C19">
        <w:t xml:space="preserve">odkrytost </w:t>
      </w:r>
      <w:r w:rsidR="00FA4C19" w:rsidRPr="00273106">
        <w:t xml:space="preserve">bytí jsoucna </w:t>
      </w:r>
      <w:r w:rsidR="00FA4C19">
        <w:t>(</w:t>
      </w:r>
      <w:r w:rsidR="006B7673">
        <w:rPr>
          <w:i/>
        </w:rPr>
        <w:t>a</w:t>
      </w:r>
      <w:r w:rsidR="00FA4C19" w:rsidRPr="00FA4C19">
        <w:rPr>
          <w:i/>
        </w:rPr>
        <w:t>létheia</w:t>
      </w:r>
      <w:r w:rsidR="085A313E">
        <w:rPr>
          <w:i/>
        </w:rPr>
        <w:fldChar w:fldCharType="begin"/>
      </w:r>
      <w:r w:rsidR="085A313E">
        <w:instrText xml:space="preserve"> XE "</w:instrText>
      </w:r>
      <w:r w:rsidR="085A313E" w:rsidRPr="08937E60">
        <w:rPr>
          <w:i/>
          <w:lang w:eastAsia="en-US"/>
        </w:rPr>
        <w:instrText>a/létheia</w:instrText>
      </w:r>
      <w:r w:rsidR="085A313E">
        <w:instrText xml:space="preserve">" </w:instrText>
      </w:r>
      <w:r w:rsidR="085A313E">
        <w:rPr>
          <w:i/>
        </w:rPr>
        <w:fldChar w:fldCharType="end"/>
      </w:r>
      <w:r w:rsidR="00FA4C19">
        <w:t xml:space="preserve">) </w:t>
      </w:r>
      <w:r w:rsidR="00FA4C19" w:rsidRPr="00273106">
        <w:t xml:space="preserve">od začátku 13. století. </w:t>
      </w:r>
      <w:r w:rsidR="088244B9" w:rsidRPr="00273106">
        <w:t>Moderní vidění světa poprvé realizované ve škole porretánů se stalo dějinnou skutečností Západu.</w:t>
      </w:r>
      <w:r w:rsidR="088244B9">
        <w:t xml:space="preserve"> </w:t>
      </w:r>
      <w:r w:rsidR="004A5C8D">
        <w:t>P</w:t>
      </w:r>
      <w:r w:rsidR="00D960E7">
        <w:t>aranoický pohled Západu na svět vysvětluje</w:t>
      </w:r>
      <w:r w:rsidR="00FD4B6C">
        <w:t xml:space="preserve">, proč mohou dnešní svět řídit </w:t>
      </w:r>
      <w:r w:rsidR="0858147D">
        <w:t xml:space="preserve">chaotičtí </w:t>
      </w:r>
      <w:r w:rsidR="00FD4B6C">
        <w:t>nihilističtí ilumináti</w:t>
      </w:r>
      <w:r w:rsidR="00B20D91">
        <w:t>. Ti</w:t>
      </w:r>
      <w:r w:rsidR="003346B9">
        <w:t xml:space="preserve"> manipují</w:t>
      </w:r>
      <w:r w:rsidR="00FD4B6C">
        <w:t xml:space="preserve"> </w:t>
      </w:r>
      <w:r w:rsidR="08E81E39">
        <w:t xml:space="preserve">pod vedením </w:t>
      </w:r>
      <w:r w:rsidR="00B20D91">
        <w:t>neoliberálních F</w:t>
      </w:r>
      <w:r w:rsidR="08E81E39">
        <w:t xml:space="preserve">úrií </w:t>
      </w:r>
      <w:r w:rsidR="000D0D5F">
        <w:t xml:space="preserve">půl světa </w:t>
      </w:r>
      <w:r w:rsidR="00B20D91">
        <w:t xml:space="preserve">skrze koupené politiky, </w:t>
      </w:r>
      <w:r w:rsidR="08706E14">
        <w:t>virt</w:t>
      </w:r>
      <w:r w:rsidR="00B20D91">
        <w:t>u</w:t>
      </w:r>
      <w:r w:rsidR="08706E14">
        <w:t xml:space="preserve">ální </w:t>
      </w:r>
      <w:r w:rsidR="0016611C">
        <w:t xml:space="preserve">bankovní </w:t>
      </w:r>
      <w:r w:rsidR="00A51A25">
        <w:t>dluh</w:t>
      </w:r>
      <w:r w:rsidR="0016611C">
        <w:t xml:space="preserve">y </w:t>
      </w:r>
      <w:r w:rsidR="08706E14">
        <w:t xml:space="preserve">a </w:t>
      </w:r>
      <w:r w:rsidR="00A51A25">
        <w:t xml:space="preserve">simulákrum </w:t>
      </w:r>
      <w:r w:rsidR="083921BF">
        <w:t>finančních derivátů</w:t>
      </w:r>
      <w:r w:rsidR="00FD4B6C">
        <w:t xml:space="preserve">. </w:t>
      </w:r>
      <w:r w:rsidR="086C4A52">
        <w:t>Teorie chaosu se stala od prací I. L. Prigogina</w:t>
      </w:r>
      <w:r w:rsidR="086C4A52">
        <w:fldChar w:fldCharType="begin"/>
      </w:r>
      <w:r w:rsidR="086C4A52">
        <w:instrText xml:space="preserve"> XE "</w:instrText>
      </w:r>
      <w:r w:rsidR="086C4A52" w:rsidRPr="08525B09">
        <w:instrText>Prigogin, I. L.</w:instrText>
      </w:r>
      <w:r w:rsidR="086C4A52">
        <w:instrText xml:space="preserve">" </w:instrText>
      </w:r>
      <w:r w:rsidR="086C4A52">
        <w:fldChar w:fldCharType="end"/>
      </w:r>
      <w:r w:rsidR="086C4A52">
        <w:t xml:space="preserve"> (†2003) jedním ze základních nástrojů moderní vědy. </w:t>
      </w:r>
      <w:r w:rsidR="08790E29">
        <w:t>N</w:t>
      </w:r>
      <w:r w:rsidR="007E6DCE">
        <w:t xml:space="preserve">ová forma digitální kolonizace </w:t>
      </w:r>
      <w:r w:rsidR="08B20978">
        <w:t>nastolená</w:t>
      </w:r>
      <w:r w:rsidR="08633C64">
        <w:t xml:space="preserve"> totalitní ideologií Západu </w:t>
      </w:r>
      <w:r w:rsidR="00D960E7">
        <w:t xml:space="preserve">v </w:t>
      </w:r>
      <w:r w:rsidR="003E2B4A">
        <w:t xml:space="preserve">rámci </w:t>
      </w:r>
      <w:r w:rsidR="003E2B4A" w:rsidRPr="003E2B4A">
        <w:rPr>
          <w:i/>
        </w:rPr>
        <w:t>global village</w:t>
      </w:r>
      <w:r w:rsidR="003E2B4A">
        <w:rPr>
          <w:i/>
        </w:rPr>
        <w:fldChar w:fldCharType="begin"/>
      </w:r>
      <w:r w:rsidR="003E2B4A">
        <w:instrText xml:space="preserve"> XE "</w:instrText>
      </w:r>
      <w:r w:rsidR="003E2B4A" w:rsidRPr="009A70A1">
        <w:rPr>
          <w:i/>
        </w:rPr>
        <w:instrText>global village</w:instrText>
      </w:r>
      <w:r w:rsidR="003E2B4A">
        <w:instrText xml:space="preserve">" </w:instrText>
      </w:r>
      <w:r w:rsidR="003E2B4A">
        <w:rPr>
          <w:i/>
        </w:rPr>
        <w:fldChar w:fldCharType="end"/>
      </w:r>
      <w:r w:rsidR="003E2B4A">
        <w:t xml:space="preserve"> </w:t>
      </w:r>
      <w:r w:rsidR="00CF7F08">
        <w:t xml:space="preserve">znamená další fázi </w:t>
      </w:r>
      <w:r w:rsidR="007E6DCE">
        <w:t xml:space="preserve">politického nihilismu </w:t>
      </w:r>
      <w:r w:rsidR="08297134">
        <w:t xml:space="preserve">a kolonialismu vzniklého po Druhé světové válce a </w:t>
      </w:r>
      <w:r w:rsidR="088A49C8">
        <w:t xml:space="preserve">po </w:t>
      </w:r>
      <w:r w:rsidR="007E6DCE">
        <w:t>rozpad</w:t>
      </w:r>
      <w:r w:rsidR="088A49C8">
        <w:t>u</w:t>
      </w:r>
      <w:r w:rsidR="08297134">
        <w:t xml:space="preserve"> koloniální říše</w:t>
      </w:r>
      <w:r w:rsidR="08B20978">
        <w:t xml:space="preserve"> západních velmocí</w:t>
      </w:r>
      <w:r w:rsidR="007E6DCE">
        <w:t xml:space="preserve">. </w:t>
      </w:r>
      <w:r w:rsidR="00977C55" w:rsidRPr="00273106">
        <w:t xml:space="preserve">Godfrey v citovaném epigramu z </w:t>
      </w:r>
      <w:r w:rsidR="00977C55" w:rsidRPr="00273106">
        <w:rPr>
          <w:i/>
        </w:rPr>
        <w:t>Fons philosophiae</w:t>
      </w:r>
      <w:r w:rsidR="004B2790">
        <w:fldChar w:fldCharType="begin"/>
      </w:r>
      <w:r w:rsidR="004B2790">
        <w:instrText xml:space="preserve"> XE "</w:instrText>
      </w:r>
      <w:r w:rsidR="004B2790" w:rsidRPr="000E4DFF">
        <w:instrText>Godfrey od Sv. Victora</w:instrText>
      </w:r>
      <w:r w:rsidR="004B2790">
        <w:instrText xml:space="preserve">" </w:instrText>
      </w:r>
      <w:r w:rsidR="004B2790">
        <w:fldChar w:fldCharType="end"/>
      </w:r>
      <w:r w:rsidR="00977C55" w:rsidRPr="00273106">
        <w:t xml:space="preserve"> ukazuje, jak </w:t>
      </w:r>
      <w:r w:rsidR="00B75557">
        <w:t>modernisté</w:t>
      </w:r>
      <w:r w:rsidR="00977C55" w:rsidRPr="00273106">
        <w:t xml:space="preserve"> zabydlili svět svými sofistickými výtvory</w:t>
      </w:r>
      <w:r w:rsidR="00977C55">
        <w:t xml:space="preserve"> danými </w:t>
      </w:r>
      <w:r w:rsidR="00B75557">
        <w:t>jako jsoucna</w:t>
      </w:r>
      <w:r w:rsidR="00977C55">
        <w:t xml:space="preserve"> třetího druhu</w:t>
      </w:r>
      <w:r w:rsidR="00977C55" w:rsidRPr="00273106">
        <w:t xml:space="preserve"> (</w:t>
      </w:r>
      <w:r w:rsidR="00977C55" w:rsidRPr="00273106">
        <w:rPr>
          <w:i/>
        </w:rPr>
        <w:t>sit tot generibus rerum mundus plenus</w:t>
      </w:r>
      <w:r w:rsidR="085E5FD5">
        <w:t>, kap. 1</w:t>
      </w:r>
      <w:r w:rsidR="00977C55" w:rsidRPr="00876DE7">
        <w:t>.6</w:t>
      </w:r>
      <w:r w:rsidR="00977C55" w:rsidRPr="00273106">
        <w:t>).</w:t>
      </w:r>
      <w:r w:rsidR="005037F9">
        <w:t xml:space="preserve"> Archeologie objektivity</w:t>
      </w:r>
      <w:r w:rsidR="005037F9">
        <w:fldChar w:fldCharType="begin"/>
      </w:r>
      <w:r w:rsidR="005037F9">
        <w:instrText xml:space="preserve"> XE "objektivita:archeologie" </w:instrText>
      </w:r>
      <w:r w:rsidR="005037F9">
        <w:fldChar w:fldCharType="end"/>
      </w:r>
      <w:r w:rsidR="005037F9">
        <w:t xml:space="preserve"> musí </w:t>
      </w:r>
      <w:r w:rsidR="00B75557">
        <w:t>f</w:t>
      </w:r>
      <w:r w:rsidR="005037F9">
        <w:t xml:space="preserve">osilii </w:t>
      </w:r>
      <w:r w:rsidR="00812BDA">
        <w:t xml:space="preserve">západního nihilismu </w:t>
      </w:r>
      <w:r w:rsidR="005037F9">
        <w:t xml:space="preserve">nejprve vykopat z nánosů </w:t>
      </w:r>
      <w:r w:rsidR="00793415">
        <w:t>post</w:t>
      </w:r>
      <w:r w:rsidR="005037F9">
        <w:t xml:space="preserve">moderního </w:t>
      </w:r>
      <w:r w:rsidR="005037F9" w:rsidRPr="006570AC">
        <w:rPr>
          <w:i/>
        </w:rPr>
        <w:t>damnatio memoriae</w:t>
      </w:r>
      <w:r w:rsidR="005037F9">
        <w:rPr>
          <w:i/>
        </w:rPr>
        <w:fldChar w:fldCharType="begin"/>
      </w:r>
      <w:r w:rsidR="005037F9">
        <w:instrText xml:space="preserve"> XE "</w:instrText>
      </w:r>
      <w:r w:rsidR="005037F9" w:rsidRPr="00C65046">
        <w:rPr>
          <w:i/>
        </w:rPr>
        <w:instrText>damnatio memoriae</w:instrText>
      </w:r>
      <w:r w:rsidR="005037F9">
        <w:instrText xml:space="preserve">" </w:instrText>
      </w:r>
      <w:r w:rsidR="005037F9">
        <w:rPr>
          <w:i/>
        </w:rPr>
        <w:fldChar w:fldCharType="end"/>
      </w:r>
      <w:r w:rsidR="005037F9">
        <w:t>.</w:t>
      </w:r>
      <w:r w:rsidR="00812BDA" w:rsidRPr="00812BDA">
        <w:t xml:space="preserve"> </w:t>
      </w:r>
      <w:r w:rsidR="00812BDA">
        <w:t>Současný globální nihilismus musel někdy a nějak vzniknout a tento počátek má skrytou vládu nad tím, co následuje.</w:t>
      </w:r>
      <w:r w:rsidR="08C761A7">
        <w:t xml:space="preserve"> </w:t>
      </w:r>
      <w:r w:rsidR="005037F9">
        <w:t>Hermeneutická arch</w:t>
      </w:r>
      <w:r w:rsidR="00E671C3">
        <w:t>e</w:t>
      </w:r>
      <w:r w:rsidR="005037F9">
        <w:t xml:space="preserve">ologie </w:t>
      </w:r>
      <w:r w:rsidR="005037F9" w:rsidRPr="00273106">
        <w:t xml:space="preserve">inspirovaná myšlením Heideggera </w:t>
      </w:r>
      <w:r w:rsidR="00812BDA">
        <w:t xml:space="preserve">proto </w:t>
      </w:r>
      <w:r w:rsidR="005037F9" w:rsidRPr="00273106">
        <w:t>musí určit místo původního př</w:t>
      </w:r>
      <w:r w:rsidR="005037F9">
        <w:t xml:space="preserve">ebývání </w:t>
      </w:r>
      <w:r w:rsidR="08E300D6">
        <w:t>objektivity v letech 1230‒</w:t>
      </w:r>
      <w:r w:rsidR="005037F9" w:rsidRPr="00273106">
        <w:t>50</w:t>
      </w:r>
      <w:r w:rsidR="005037F9">
        <w:fldChar w:fldCharType="begin"/>
      </w:r>
      <w:r w:rsidR="005037F9">
        <w:instrText xml:space="preserve"> XE "</w:instrText>
      </w:r>
      <w:r w:rsidR="005037F9" w:rsidRPr="00813992">
        <w:instrText>objektivita:dějinnost</w:instrText>
      </w:r>
      <w:r w:rsidR="005037F9">
        <w:instrText xml:space="preserve">" </w:instrText>
      </w:r>
      <w:r w:rsidR="005037F9">
        <w:fldChar w:fldCharType="end"/>
      </w:r>
      <w:r w:rsidR="005037F9" w:rsidRPr="00273106">
        <w:t>.</w:t>
      </w:r>
      <w:r w:rsidR="00C82DC2">
        <w:t xml:space="preserve"> </w:t>
      </w:r>
      <w:r w:rsidR="00AA50F7" w:rsidRPr="00273106">
        <w:t>Po vzoru úvodního metodologického násti</w:t>
      </w:r>
      <w:r w:rsidR="009B7A68">
        <w:t xml:space="preserve">nu daného v triádě </w:t>
      </w:r>
      <w:r w:rsidR="00FE257E" w:rsidRPr="00273106">
        <w:t>dějinnost</w:t>
      </w:r>
      <w:r w:rsidR="009B7A68">
        <w:t>, d</w:t>
      </w:r>
      <w:r w:rsidR="00AA50F7" w:rsidRPr="00273106">
        <w:t>ějiny</w:t>
      </w:r>
      <w:r w:rsidR="009B7A68">
        <w:t xml:space="preserve">, </w:t>
      </w:r>
      <w:r w:rsidR="00AA50F7" w:rsidRPr="00273106">
        <w:t>historie je třeba popsat původní událost metafyzické</w:t>
      </w:r>
      <w:r w:rsidR="00396DB4">
        <w:t xml:space="preserve">ho </w:t>
      </w:r>
      <w:r w:rsidR="001135B6">
        <w:t xml:space="preserve">jsoucna </w:t>
      </w:r>
      <w:r w:rsidR="00AA50F7" w:rsidRPr="00273106">
        <w:t>(</w:t>
      </w:r>
      <w:r w:rsidR="00AA50F7" w:rsidRPr="00273106">
        <w:rPr>
          <w:i/>
        </w:rPr>
        <w:t>Ereignis</w:t>
      </w:r>
      <w:r w:rsidR="00AA50F7" w:rsidRPr="00273106">
        <w:t>)</w:t>
      </w:r>
      <w:r w:rsidR="00396DB4">
        <w:t xml:space="preserve">. Objektivní </w:t>
      </w:r>
      <w:r w:rsidR="00396DB4" w:rsidRPr="00396DB4">
        <w:rPr>
          <w:i/>
        </w:rPr>
        <w:t>ter</w:t>
      </w:r>
      <w:r w:rsidR="00396DB4">
        <w:rPr>
          <w:i/>
        </w:rPr>
        <w:t>t</w:t>
      </w:r>
      <w:r w:rsidR="00396DB4" w:rsidRPr="00396DB4">
        <w:rPr>
          <w:i/>
        </w:rPr>
        <w:t>ium ens</w:t>
      </w:r>
      <w:r w:rsidR="00396DB4">
        <w:t xml:space="preserve"> vyšlo </w:t>
      </w:r>
      <w:r w:rsidR="007D6B05">
        <w:t xml:space="preserve">z dějinné skrytosti do </w:t>
      </w:r>
      <w:r w:rsidR="00FD416B">
        <w:t xml:space="preserve">odkrytých </w:t>
      </w:r>
      <w:r w:rsidR="007D6B05">
        <w:t xml:space="preserve">dějin v rámci západní </w:t>
      </w:r>
      <w:r w:rsidR="007D6B05" w:rsidRPr="007D6B05">
        <w:rPr>
          <w:i/>
        </w:rPr>
        <w:t>Wirkungsgeschichte</w:t>
      </w:r>
      <w:r w:rsidR="007D6B05">
        <w:t xml:space="preserve"> nihilistické objektivity dané filosoficky, vědecky, technicky a nakonec digitálně-technokraticky. </w:t>
      </w:r>
      <w:r w:rsidR="003A1B24">
        <w:t xml:space="preserve">Z </w:t>
      </w:r>
      <w:r w:rsidR="00E72DD3">
        <w:t>hermeneuticky vyložených d</w:t>
      </w:r>
      <w:r w:rsidR="003A1B24">
        <w:t xml:space="preserve">ějin myšlení </w:t>
      </w:r>
      <w:r w:rsidR="00E72DD3">
        <w:t xml:space="preserve">v modu archaické archeologie </w:t>
      </w:r>
      <w:r w:rsidR="003A1B24">
        <w:t xml:space="preserve">pak </w:t>
      </w:r>
      <w:r w:rsidR="083A42F3" w:rsidRPr="00273106">
        <w:t xml:space="preserve">vychází </w:t>
      </w:r>
      <w:r w:rsidR="083A42F3" w:rsidRPr="00273106">
        <w:rPr>
          <w:i/>
        </w:rPr>
        <w:t>factum</w:t>
      </w:r>
      <w:r w:rsidR="004B2790">
        <w:rPr>
          <w:i/>
        </w:rPr>
        <w:fldChar w:fldCharType="begin"/>
      </w:r>
      <w:r w:rsidR="004B2790">
        <w:instrText xml:space="preserve"> XE "</w:instrText>
      </w:r>
      <w:r w:rsidR="004B2790" w:rsidRPr="004B2790">
        <w:instrText>objektivita:</w:instrText>
      </w:r>
      <w:r w:rsidR="004B2790" w:rsidRPr="00F87064">
        <w:rPr>
          <w:i/>
        </w:rPr>
        <w:instrText>factum</w:instrText>
      </w:r>
      <w:r w:rsidR="004B2790">
        <w:instrText xml:space="preserve">" </w:instrText>
      </w:r>
      <w:r w:rsidR="004B2790">
        <w:rPr>
          <w:i/>
        </w:rPr>
        <w:fldChar w:fldCharType="end"/>
      </w:r>
      <w:r w:rsidR="083A42F3" w:rsidRPr="00273106">
        <w:t xml:space="preserve"> objektivní historie</w:t>
      </w:r>
      <w:r w:rsidR="001135B6">
        <w:t xml:space="preserve"> dané v modu </w:t>
      </w:r>
      <w:r w:rsidR="001135B6">
        <w:lastRenderedPageBreak/>
        <w:t xml:space="preserve">objektivní </w:t>
      </w:r>
      <w:r w:rsidR="001135B6" w:rsidRPr="001135B6">
        <w:rPr>
          <w:i/>
        </w:rPr>
        <w:t>veritas</w:t>
      </w:r>
      <w:r w:rsidR="00AA50F7" w:rsidRPr="00273106">
        <w:t xml:space="preserve">. </w:t>
      </w:r>
      <w:r w:rsidR="006A5B45">
        <w:t>Tuto pravdu již manipuluje objek</w:t>
      </w:r>
      <w:r w:rsidR="00F44F6C">
        <w:t>t</w:t>
      </w:r>
      <w:r w:rsidR="006A5B45">
        <w:t>i</w:t>
      </w:r>
      <w:r w:rsidR="00F44F6C">
        <w:t xml:space="preserve">vní vědění regionálních věd. </w:t>
      </w:r>
      <w:r w:rsidR="08E51875" w:rsidRPr="00273106">
        <w:t xml:space="preserve">Obě předešlé matrice ukázaly </w:t>
      </w:r>
      <w:r w:rsidR="00D92A95">
        <w:t xml:space="preserve">zakládající </w:t>
      </w:r>
      <w:r w:rsidR="08DC4D91" w:rsidRPr="00273106">
        <w:rPr>
          <w:i/>
        </w:rPr>
        <w:t>res gestae</w:t>
      </w:r>
      <w:r w:rsidR="08DC4D91" w:rsidRPr="00273106">
        <w:t xml:space="preserve"> </w:t>
      </w:r>
      <w:r w:rsidR="00D92A95">
        <w:t>nového myšlení</w:t>
      </w:r>
      <w:r w:rsidR="08076E54">
        <w:t xml:space="preserve"> do začátku 13. století</w:t>
      </w:r>
      <w:r w:rsidR="00D92A95">
        <w:t xml:space="preserve">. </w:t>
      </w:r>
      <w:r w:rsidR="082A0ECF">
        <w:t>Myšlení falsafy a rané scholastiky za</w:t>
      </w:r>
      <w:r w:rsidR="08E51875" w:rsidRPr="00273106">
        <w:t>ložil</w:t>
      </w:r>
      <w:r w:rsidR="082A0ECF">
        <w:t>o</w:t>
      </w:r>
      <w:r w:rsidR="08E51875" w:rsidRPr="00273106">
        <w:t xml:space="preserve"> </w:t>
      </w:r>
      <w:r w:rsidR="08DC4D91" w:rsidRPr="00273106">
        <w:rPr>
          <w:i/>
        </w:rPr>
        <w:t>Lichtung</w:t>
      </w:r>
      <w:r w:rsidR="08353954" w:rsidRPr="00273106">
        <w:t xml:space="preserve"> západní objektivity</w:t>
      </w:r>
      <w:r w:rsidR="08E51875" w:rsidRPr="00273106">
        <w:t xml:space="preserve">, jehož </w:t>
      </w:r>
      <w:r w:rsidR="082A0ECF">
        <w:t xml:space="preserve">archaické </w:t>
      </w:r>
      <w:r w:rsidR="08E51875" w:rsidRPr="00273106">
        <w:t xml:space="preserve">dění </w:t>
      </w:r>
      <w:r w:rsidR="08353954" w:rsidRPr="00273106">
        <w:t xml:space="preserve">pravdy a nepravdy </w:t>
      </w:r>
      <w:r w:rsidR="08D04FFC">
        <w:t>manifestuje</w:t>
      </w:r>
      <w:r w:rsidR="00DE07F9">
        <w:t xml:space="preserve"> epochálně nový způsob bytí jsoucna</w:t>
      </w:r>
      <w:r w:rsidR="00977C55">
        <w:t>.</w:t>
      </w:r>
      <w:r w:rsidR="08071FF8">
        <w:t xml:space="preserve"> </w:t>
      </w:r>
      <w:r w:rsidR="00616B2F">
        <w:t xml:space="preserve">Dějinný </w:t>
      </w:r>
      <w:r w:rsidR="00616B2F" w:rsidRPr="00D731E7">
        <w:rPr>
          <w:i/>
        </w:rPr>
        <w:t>Ereignis</w:t>
      </w:r>
      <w:r w:rsidR="00616B2F">
        <w:t xml:space="preserve"> metafyzické pravdy jako </w:t>
      </w:r>
      <w:r w:rsidR="00616B2F" w:rsidRPr="00D731E7">
        <w:rPr>
          <w:i/>
        </w:rPr>
        <w:t>a/létheia</w:t>
      </w:r>
      <w:r w:rsidR="00616B2F">
        <w:rPr>
          <w:i/>
        </w:rPr>
        <w:fldChar w:fldCharType="begin"/>
      </w:r>
      <w:r w:rsidR="00616B2F">
        <w:instrText xml:space="preserve"> XE "</w:instrText>
      </w:r>
      <w:r w:rsidR="00616B2F" w:rsidRPr="08937E60">
        <w:rPr>
          <w:i/>
          <w:lang w:eastAsia="en-US"/>
        </w:rPr>
        <w:instrText>a/létheia</w:instrText>
      </w:r>
      <w:r w:rsidR="00616B2F">
        <w:instrText xml:space="preserve">" </w:instrText>
      </w:r>
      <w:r w:rsidR="00616B2F">
        <w:rPr>
          <w:i/>
        </w:rPr>
        <w:fldChar w:fldCharType="end"/>
      </w:r>
      <w:r w:rsidR="00616B2F">
        <w:t xml:space="preserve"> vznikl ve falsafě. Jeho pokračování na latinském Západě vyprodukovalo dvě interpetace Averroese v rámci dvou škol (Toledská a Sicilská škola), které založily dvě verze metafyziky (první a druhý averroismus). Příchod Averroesova korpusu ve dvou vlnách utvrdil obě již existující aristotelské školy (Blundovu a </w:t>
      </w:r>
      <w:r w:rsidR="00616B2F" w:rsidRPr="000E784F">
        <w:rPr>
          <w:i/>
        </w:rPr>
        <w:t>Modernorum</w:t>
      </w:r>
      <w:r w:rsidR="00616B2F">
        <w:t xml:space="preserve">) v jejich výkladu </w:t>
      </w:r>
      <w:r w:rsidR="00616B2F" w:rsidRPr="00FE4066">
        <w:rPr>
          <w:i/>
          <w:lang w:eastAsia="en-US"/>
        </w:rPr>
        <w:t>Corpus Aristotelicum</w:t>
      </w:r>
      <w:r w:rsidR="00616B2F">
        <w:t>. Zatmění substance odmítnuté Averroesovou metafyzikou se stalo objektivním faktem i pro výklad dnešní mediavelistiky s čestnou výjimkou několika kritických znalců, o které se opírá tato studie. Proto mohl tak dlouho vládnout mýtus objektivně daného averroismu.</w:t>
      </w:r>
    </w:p>
    <w:p w14:paraId="2E5AC9A4" w14:textId="3F5570A5" w:rsidR="08071FF8" w:rsidRDefault="08071FF8" w:rsidP="00616B2F"/>
    <w:p w14:paraId="6BF67556" w14:textId="77777777" w:rsidR="00E45479" w:rsidRPr="085F33A9" w:rsidRDefault="085F33A9" w:rsidP="085F33A9">
      <w:pPr>
        <w:pStyle w:val="Nadpis1"/>
      </w:pPr>
      <w:r>
        <w:rPr>
          <w:rStyle w:val="Zkladntext158dkovn0pt"/>
          <w:color w:val="auto"/>
          <w:spacing w:val="0"/>
          <w:sz w:val="24"/>
          <w:lang w:val="cs-CZ"/>
        </w:rPr>
        <w:br w:type="page"/>
      </w:r>
      <w:bookmarkStart w:id="93" w:name="_Toc487234311"/>
      <w:bookmarkStart w:id="94" w:name="_Toc12558318"/>
      <w:bookmarkStart w:id="95" w:name="_Toc160449330"/>
      <w:r w:rsidR="08D20D28">
        <w:rPr>
          <w:rStyle w:val="Zkladntext158dkovn0pt"/>
          <w:color w:val="auto"/>
          <w:spacing w:val="0"/>
          <w:sz w:val="26"/>
          <w:lang w:val="cs-CZ"/>
        </w:rPr>
        <w:lastRenderedPageBreak/>
        <w:t>3</w:t>
      </w:r>
      <w:r w:rsidR="00E45479" w:rsidRPr="085F33A9">
        <w:rPr>
          <w:rStyle w:val="Zkladntext158dkovn0pt"/>
          <w:color w:val="auto"/>
          <w:spacing w:val="0"/>
          <w:sz w:val="26"/>
          <w:lang w:val="x-none"/>
        </w:rPr>
        <w:t xml:space="preserve">. </w:t>
      </w:r>
      <w:r w:rsidR="002D1FDF" w:rsidRPr="085F33A9">
        <w:rPr>
          <w:rStyle w:val="Zkladntext158dkovn0pt"/>
          <w:color w:val="auto"/>
          <w:spacing w:val="0"/>
          <w:sz w:val="26"/>
          <w:lang w:val="x-none"/>
        </w:rPr>
        <w:t xml:space="preserve">Škola </w:t>
      </w:r>
      <w:r w:rsidR="08D20D28">
        <w:rPr>
          <w:rStyle w:val="Zkladntext158dkovn0pt"/>
          <w:color w:val="auto"/>
          <w:spacing w:val="0"/>
          <w:sz w:val="26"/>
          <w:lang w:val="x-none"/>
        </w:rPr>
        <w:t>druhého averroismu (Matrice I</w:t>
      </w:r>
      <w:r w:rsidR="08D20D28">
        <w:rPr>
          <w:rStyle w:val="Zkladntext158dkovn0pt"/>
          <w:color w:val="auto"/>
          <w:spacing w:val="0"/>
          <w:sz w:val="26"/>
          <w:lang w:val="cs-CZ"/>
        </w:rPr>
        <w:t>II</w:t>
      </w:r>
      <w:r w:rsidR="00E45479" w:rsidRPr="085F33A9">
        <w:rPr>
          <w:rStyle w:val="Zkladntext158dkovn0pt"/>
          <w:color w:val="auto"/>
          <w:spacing w:val="0"/>
          <w:sz w:val="26"/>
          <w:lang w:val="x-none"/>
        </w:rPr>
        <w:t>)</w:t>
      </w:r>
      <w:bookmarkEnd w:id="93"/>
      <w:bookmarkEnd w:id="94"/>
      <w:bookmarkEnd w:id="95"/>
    </w:p>
    <w:p w14:paraId="69005F7F" w14:textId="738FEAD6" w:rsidR="08A03E23" w:rsidRPr="00273106" w:rsidRDefault="08A03E23" w:rsidP="08A03E23">
      <w:r>
        <w:t xml:space="preserve">Třetí </w:t>
      </w:r>
      <w:r w:rsidR="08502E6F">
        <w:t>matrice objektivity popíše vznik a vývoj druhého averroismu po roce 1230,</w:t>
      </w:r>
      <w:r w:rsidR="08502E6F" w:rsidRPr="080B5039">
        <w:t xml:space="preserve"> </w:t>
      </w:r>
      <w:r w:rsidR="08502E6F">
        <w:t xml:space="preserve">který ustavil plnou odhalenost objektivity. </w:t>
      </w:r>
      <w:r w:rsidR="08A20E4D">
        <w:t xml:space="preserve">Opět je třeba najít stopu apollinské sémantiky, která bude metodologicky určovat četbu přeložených textů. </w:t>
      </w:r>
      <w:r>
        <w:t xml:space="preserve">Úvod druhého dílu definoval latinský termín </w:t>
      </w:r>
      <w:r>
        <w:rPr>
          <w:i/>
        </w:rPr>
        <w:t>matrix</w:t>
      </w:r>
      <w:r>
        <w:t xml:space="preserve"> podle učení neoplatoniků a valentiniánských gnostiků. Působení počátku je dáno v součtveří pythygorejské harmonie, která dostala objektivní a gnostický charakter (</w:t>
      </w:r>
      <w:r w:rsidRPr="08B43092">
        <w:rPr>
          <w:i/>
        </w:rPr>
        <w:t>Bythos et Sige, Nus et Veritas prima quadriga</w:t>
      </w:r>
      <w:r w:rsidR="08661F17">
        <w:rPr>
          <w:i/>
        </w:rPr>
        <w:t xml:space="preserve">; </w:t>
      </w:r>
      <w:r w:rsidR="08661F17">
        <w:t>OBJ II, úvod</w:t>
      </w:r>
      <w:r>
        <w:t xml:space="preserve">). Hermeneutika chápe </w:t>
      </w:r>
      <w:r w:rsidR="00DA0468">
        <w:t xml:space="preserve">moderní </w:t>
      </w:r>
      <w:r>
        <w:t>gnózi ve světle apollinské sémantiky, která dává součtveří význam v modu archegetického dativu (</w:t>
      </w:r>
      <w:r w:rsidRPr="08B43092">
        <w:rPr>
          <w:i/>
        </w:rPr>
        <w:t xml:space="preserve">dativus </w:t>
      </w:r>
      <w:r w:rsidR="082A724F">
        <w:rPr>
          <w:i/>
        </w:rPr>
        <w:t>archegeticus</w:t>
      </w:r>
      <w:r>
        <w:fldChar w:fldCharType="begin"/>
      </w:r>
      <w:r>
        <w:instrText xml:space="preserve"> XE "</w:instrText>
      </w:r>
      <w:r w:rsidRPr="08B43092">
        <w:rPr>
          <w:i/>
        </w:rPr>
        <w:instrText xml:space="preserve">dativus </w:instrText>
      </w:r>
      <w:r w:rsidR="082A724F">
        <w:rPr>
          <w:i/>
        </w:rPr>
        <w:instrText>archegeticus</w:instrText>
      </w:r>
      <w:r>
        <w:instrText xml:space="preserve">" </w:instrText>
      </w:r>
      <w:r>
        <w:fldChar w:fldCharType="end"/>
      </w:r>
      <w:r>
        <w:t xml:space="preserve">). </w:t>
      </w:r>
      <w:r w:rsidRPr="00273106">
        <w:t>Pro pochopení této a následující</w:t>
      </w:r>
      <w:r w:rsidR="08162967">
        <w:t>ch</w:t>
      </w:r>
      <w:r w:rsidRPr="00273106">
        <w:t xml:space="preserve"> matri</w:t>
      </w:r>
      <w:r w:rsidR="08162967">
        <w:t>c</w:t>
      </w:r>
      <w:r w:rsidRPr="00273106">
        <w:t xml:space="preserve"> objektivity </w:t>
      </w:r>
      <w:r>
        <w:t xml:space="preserve">je </w:t>
      </w:r>
      <w:r w:rsidRPr="00273106">
        <w:t xml:space="preserve">třeba </w:t>
      </w:r>
      <w:r>
        <w:t xml:space="preserve">znovu </w:t>
      </w:r>
      <w:r w:rsidRPr="00273106">
        <w:t>sáhnout do repertoáru Heideggerova myšlení.</w:t>
      </w:r>
      <w:r w:rsidRPr="00273106">
        <w:rPr>
          <w:rStyle w:val="Znakapoznpodarou"/>
        </w:rPr>
        <w:footnoteReference w:id="284"/>
      </w:r>
      <w:r w:rsidRPr="00273106">
        <w:t xml:space="preserve"> </w:t>
      </w:r>
      <w:r>
        <w:t xml:space="preserve">Přednáška </w:t>
      </w:r>
      <w:r w:rsidR="00252C60">
        <w:rPr>
          <w:i/>
        </w:rPr>
        <w:t>Bauen Wohnen D</w:t>
      </w:r>
      <w:r w:rsidRPr="00273106">
        <w:rPr>
          <w:i/>
        </w:rPr>
        <w:t>enken</w:t>
      </w:r>
      <w:r w:rsidRPr="00273106">
        <w:t xml:space="preserve"> (1951) váže s</w:t>
      </w:r>
      <w:r w:rsidR="00A8274C">
        <w:t>pojení pravdy jako epochální po</w:t>
      </w:r>
      <w:r w:rsidRPr="00273106">
        <w:t>odkrytosti s pohybem součtveří (</w:t>
      </w:r>
      <w:r w:rsidRPr="00273106">
        <w:rPr>
          <w:i/>
        </w:rPr>
        <w:t>Geviert</w:t>
      </w:r>
      <w:r w:rsidRPr="00273106">
        <w:rPr>
          <w:i/>
        </w:rPr>
        <w:fldChar w:fldCharType="begin"/>
      </w:r>
      <w:r w:rsidRPr="00273106">
        <w:instrText xml:space="preserve"> XE "</w:instrText>
      </w:r>
      <w:r w:rsidRPr="00273106">
        <w:rPr>
          <w:i/>
        </w:rPr>
        <w:instrText>Geviert</w:instrText>
      </w:r>
      <w:r w:rsidRPr="00273106">
        <w:instrText xml:space="preserve">" </w:instrText>
      </w:r>
      <w:r w:rsidRPr="00273106">
        <w:rPr>
          <w:i/>
        </w:rPr>
        <w:fldChar w:fldCharType="end"/>
      </w:r>
      <w:r>
        <w:t xml:space="preserve">). Tento hermeneutický </w:t>
      </w:r>
      <w:r w:rsidR="08B445EA">
        <w:t xml:space="preserve">pojem popisující </w:t>
      </w:r>
      <w:r w:rsidRPr="00273106">
        <w:t xml:space="preserve">dějinný smysl bytí a následně i bytí jsoucího představuje poslední fázi Heideggerova pojetí </w:t>
      </w:r>
      <w:r w:rsidRPr="00273106">
        <w:rPr>
          <w:i/>
        </w:rPr>
        <w:t>Lichtung</w:t>
      </w:r>
      <w:r>
        <w:rPr>
          <w:i/>
        </w:rPr>
        <w:fldChar w:fldCharType="begin"/>
      </w:r>
      <w:r>
        <w:instrText xml:space="preserve"> XE "</w:instrText>
      </w:r>
      <w:r w:rsidRPr="00E642B2">
        <w:rPr>
          <w:i/>
        </w:rPr>
        <w:instrText>Lichtung:</w:instrText>
      </w:r>
      <w:r w:rsidRPr="00E642B2">
        <w:instrText>Heidegger</w:instrText>
      </w:r>
      <w:r>
        <w:instrText xml:space="preserve">" </w:instrText>
      </w:r>
      <w:r>
        <w:rPr>
          <w:i/>
        </w:rPr>
        <w:fldChar w:fldCharType="end"/>
      </w:r>
      <w:r w:rsidRPr="00273106">
        <w:t>.</w:t>
      </w:r>
    </w:p>
    <w:p w14:paraId="4E5C83B2" w14:textId="066247D6" w:rsidR="08A03E23" w:rsidRPr="00273106" w:rsidRDefault="08A03E23" w:rsidP="08A03E23">
      <w:pPr>
        <w:pStyle w:val="Citace"/>
        <w:rPr>
          <w:noProof/>
          <w:lang w:val="cs-CZ"/>
        </w:rPr>
      </w:pPr>
      <w:r w:rsidRPr="00273106">
        <w:rPr>
          <w:noProof/>
          <w:lang w:val="cs-CZ"/>
        </w:rPr>
        <w:t>„V ochraně země, v přijímání nebe, v očekávání bohů a v doprovázení smrtelníků se dává bytostné určení vezdejšího přebývání (</w:t>
      </w:r>
      <w:r w:rsidRPr="00273106">
        <w:rPr>
          <w:i/>
          <w:noProof/>
          <w:lang w:val="cs-CZ"/>
        </w:rPr>
        <w:t>Wohnen</w:t>
      </w:r>
      <w:r>
        <w:rPr>
          <w:i/>
          <w:noProof/>
          <w:lang w:val="cs-CZ"/>
        </w:rPr>
        <w:fldChar w:fldCharType="begin"/>
      </w:r>
      <w:r>
        <w:instrText xml:space="preserve"> XE "</w:instrText>
      </w:r>
      <w:r>
        <w:rPr>
          <w:i/>
        </w:rPr>
        <w:instrText>Wohnen</w:instrText>
      </w:r>
      <w:r>
        <w:instrText xml:space="preserve">" </w:instrText>
      </w:r>
      <w:r>
        <w:rPr>
          <w:i/>
          <w:noProof/>
          <w:lang w:val="cs-CZ"/>
        </w:rPr>
        <w:fldChar w:fldCharType="end"/>
      </w:r>
      <w:r w:rsidRPr="00273106">
        <w:rPr>
          <w:noProof/>
          <w:lang w:val="cs-CZ"/>
        </w:rPr>
        <w:t>) jako čtverý způsob uchovávání součtveří.“</w:t>
      </w:r>
      <w:r w:rsidR="00DA0468">
        <w:rPr>
          <w:noProof/>
          <w:lang w:val="cs-CZ"/>
        </w:rPr>
        <w:t> </w:t>
      </w:r>
      <w:r w:rsidRPr="00273106">
        <w:rPr>
          <w:rStyle w:val="Znakapoznpodarou"/>
          <w:noProof/>
          <w:lang w:val="cs-CZ"/>
        </w:rPr>
        <w:footnoteReference w:id="285"/>
      </w:r>
      <w:r w:rsidRPr="00273106">
        <w:rPr>
          <w:noProof/>
          <w:lang w:val="cs-CZ"/>
        </w:rPr>
        <w:t xml:space="preserve"> </w:t>
      </w:r>
    </w:p>
    <w:p w14:paraId="106A9FF8" w14:textId="02B41C7A" w:rsidR="00A8274C" w:rsidRDefault="00BC0726" w:rsidP="08A03E23">
      <w:r w:rsidRPr="00BC0726">
        <w:t>Objektivita vznikla na latinském Západě (</w:t>
      </w:r>
      <w:r w:rsidR="003D5826" w:rsidRPr="00BC0726">
        <w:rPr>
          <w:i/>
        </w:rPr>
        <w:t>Wohnen</w:t>
      </w:r>
      <w:r w:rsidRPr="00BC0726">
        <w:t xml:space="preserve">), z tohoto místa  odvíjí dějiny svého působení </w:t>
      </w:r>
      <w:r w:rsidR="005B1609" w:rsidRPr="00BC0726">
        <w:t>(</w:t>
      </w:r>
      <w:r w:rsidR="003D5826" w:rsidRPr="00BC0726">
        <w:rPr>
          <w:i/>
        </w:rPr>
        <w:t>Bauen</w:t>
      </w:r>
      <w:r w:rsidR="005B1609" w:rsidRPr="00BC0726">
        <w:t>)</w:t>
      </w:r>
      <w:r w:rsidR="005B1609">
        <w:t xml:space="preserve"> </w:t>
      </w:r>
      <w:r w:rsidRPr="00BC0726">
        <w:t xml:space="preserve">a archaická hermeneutika </w:t>
      </w:r>
      <w:r>
        <w:t xml:space="preserve">musí zkoumat tento typ </w:t>
      </w:r>
      <w:r w:rsidRPr="00BC0726">
        <w:t>myšlení a světonázor (</w:t>
      </w:r>
      <w:r w:rsidRPr="00BC0726">
        <w:rPr>
          <w:i/>
        </w:rPr>
        <w:t>Denken</w:t>
      </w:r>
      <w:r>
        <w:t>)</w:t>
      </w:r>
      <w:r w:rsidRPr="00BC0726">
        <w:t>.</w:t>
      </w:r>
      <w:r>
        <w:t xml:space="preserve"> </w:t>
      </w:r>
      <w:r w:rsidR="08A03E23" w:rsidRPr="00273106">
        <w:t xml:space="preserve">Stručně popišme čtyři základní metafyzické koncepce formující smysl objektivity, které tvoří </w:t>
      </w:r>
      <w:r w:rsidR="08A03E23">
        <w:t xml:space="preserve">hledanou </w:t>
      </w:r>
      <w:r w:rsidR="08A03E23" w:rsidRPr="00273106">
        <w:t xml:space="preserve">analogii k pojmu </w:t>
      </w:r>
      <w:r w:rsidR="08A03E23" w:rsidRPr="00273106">
        <w:rPr>
          <w:i/>
        </w:rPr>
        <w:t>Geviert</w:t>
      </w:r>
      <w:r w:rsidR="08A03E23" w:rsidRPr="00273106">
        <w:t xml:space="preserve">. </w:t>
      </w:r>
      <w:r w:rsidR="08A03E23">
        <w:t>Gigantomachii o smysl substance</w:t>
      </w:r>
      <w:r w:rsidR="08A03E23">
        <w:fldChar w:fldCharType="begin"/>
      </w:r>
      <w:r w:rsidR="08A03E23">
        <w:instrText xml:space="preserve"> XE "</w:instrText>
      </w:r>
      <w:r w:rsidR="08A03E23" w:rsidRPr="00DE2A32">
        <w:instrText>substance</w:instrText>
      </w:r>
      <w:r w:rsidR="08A03E23">
        <w:instrText xml:space="preserve">:gigantomachie" </w:instrText>
      </w:r>
      <w:r w:rsidR="08A03E23">
        <w:fldChar w:fldCharType="end"/>
      </w:r>
      <w:r w:rsidR="08A03E23">
        <w:t xml:space="preserve"> určují čtyři základní školy myšlení, které založily čtyři rozdílné recepce Avicenny a Averroese</w:t>
      </w:r>
      <w:r w:rsidR="00A8274C">
        <w:t>, a tím i Platona a Aristotela.</w:t>
      </w:r>
    </w:p>
    <w:p w14:paraId="6A69BA1C" w14:textId="21B05959" w:rsidR="00313A7C" w:rsidRDefault="08A03E23" w:rsidP="00474302">
      <w:pPr>
        <w:ind w:firstLine="397"/>
      </w:pPr>
      <w:r w:rsidRPr="00273106">
        <w:t xml:space="preserve">První </w:t>
      </w:r>
      <w:r w:rsidR="0088290E">
        <w:t xml:space="preserve">pól součtveří se týká pohybu myšlení kolem roku </w:t>
      </w:r>
      <w:r w:rsidRPr="00273106">
        <w:t>1200</w:t>
      </w:r>
      <w:r w:rsidR="0088290E">
        <w:t xml:space="preserve">. Tehdy se objevila </w:t>
      </w:r>
      <w:r w:rsidRPr="00273106">
        <w:t xml:space="preserve">nová recepce Aristotelova spisu </w:t>
      </w:r>
      <w:r>
        <w:rPr>
          <w:i/>
        </w:rPr>
        <w:t>De anima</w:t>
      </w:r>
      <w:r w:rsidRPr="00273106">
        <w:t xml:space="preserve"> v </w:t>
      </w:r>
      <w:r>
        <w:t xml:space="preserve">rámci revidovaného avicennismu </w:t>
      </w:r>
      <w:r w:rsidRPr="00273106">
        <w:t xml:space="preserve">(Johannes Blund, </w:t>
      </w:r>
      <w:r w:rsidRPr="00273106">
        <w:rPr>
          <w:i/>
        </w:rPr>
        <w:t>Tractatus de anima</w:t>
      </w:r>
      <w:r w:rsidRPr="00273106">
        <w:t xml:space="preserve">). </w:t>
      </w:r>
      <w:r w:rsidR="007755B1" w:rsidRPr="007755B1">
        <w:t>Tat</w:t>
      </w:r>
      <w:r w:rsidR="007755B1">
        <w:t xml:space="preserve">o škola kolem roku 1225 přijala </w:t>
      </w:r>
      <w:r w:rsidR="007755B1" w:rsidRPr="007755B1">
        <w:t>Averroesovu filozofii</w:t>
      </w:r>
      <w:r w:rsidR="007755B1">
        <w:t xml:space="preserve"> v konkrétních otázkách a odmítla</w:t>
      </w:r>
      <w:r w:rsidR="00A8274C">
        <w:t xml:space="preserve"> avicennovský výklad podle T</w:t>
      </w:r>
      <w:r w:rsidR="007755B1" w:rsidRPr="007755B1">
        <w:t xml:space="preserve">oledské </w:t>
      </w:r>
      <w:r w:rsidR="007755B1" w:rsidRPr="007755B1">
        <w:rPr>
          <w:i/>
        </w:rPr>
        <w:t>školy (in hoc erravit Avicenna ... plus placet nobis sensus Aueneroist</w:t>
      </w:r>
      <w:r w:rsidR="007755B1" w:rsidRPr="007755B1">
        <w:t xml:space="preserve">, kap. 2.2.1). Podle Gauthiera se v tomto prostředí objevil </w:t>
      </w:r>
      <w:r w:rsidR="007755B1" w:rsidRPr="007755B1">
        <w:lastRenderedPageBreak/>
        <w:t xml:space="preserve">první averroismus. Tato škola </w:t>
      </w:r>
      <w:r w:rsidR="007755B1">
        <w:t>držela tradici aristotelismu</w:t>
      </w:r>
      <w:r w:rsidR="007755B1" w:rsidRPr="007755B1">
        <w:t xml:space="preserve"> za</w:t>
      </w:r>
      <w:r w:rsidR="007755B1">
        <w:t>loženého Ab</w:t>
      </w:r>
      <w:r w:rsidR="007755B1" w:rsidRPr="007755B1">
        <w:t>elardem kolem roku 11</w:t>
      </w:r>
      <w:r w:rsidR="007755B1">
        <w:t xml:space="preserve">10 v opatství Sainte Geneviève. </w:t>
      </w:r>
      <w:r>
        <w:t>Klíčovou událostí byla polemika s</w:t>
      </w:r>
      <w:r w:rsidR="007755B1">
        <w:t xml:space="preserve"> heretickým </w:t>
      </w:r>
      <w:r>
        <w:t xml:space="preserve">aristotelismem Davida z Dinantu, která prokázala hodnotu exegeze Aristotela z Blundovy školy pro křesťanský Západ. </w:t>
      </w:r>
      <w:r w:rsidR="0010074F">
        <w:t xml:space="preserve">Pařížská univerzita vznikla jako uznání této škole, protože křesťanský aristotelismus se stal základní hodnotou tehdejšího vzdělaného Západu. </w:t>
      </w:r>
      <w:r>
        <w:t xml:space="preserve">Abelardem odchovaní katedrální magistři spoluzakládali Pařížskou univerzitu a </w:t>
      </w:r>
      <w:r w:rsidRPr="00273106">
        <w:t xml:space="preserve">v osobě jejího prvního mluvčího </w:t>
      </w:r>
      <w:r>
        <w:t xml:space="preserve">biskupa a kancléře </w:t>
      </w:r>
      <w:r w:rsidRPr="00273106">
        <w:t>Williama z Auvergne vytvoř</w:t>
      </w:r>
      <w:r>
        <w:t>ili</w:t>
      </w:r>
      <w:r w:rsidRPr="00273106">
        <w:t xml:space="preserve"> první jednotu osoby a poznání založenou autenticky aristotelsky.</w:t>
      </w:r>
      <w:r>
        <w:t xml:space="preserve"> V nihilistické éře postmoderního myšlení tato univerzita zanikla, protože neudržela původní jednotu metafyzického poznání světa odkázanou zakladatelskými </w:t>
      </w:r>
      <w:r w:rsidRPr="080202DA">
        <w:rPr>
          <w:i/>
        </w:rPr>
        <w:t>res gestae</w:t>
      </w:r>
      <w:r>
        <w:t xml:space="preserve"> původních křesťanských autorit jako byl Blund a Alvernus. Oxfordská univerzita historicky založila objektivně myslící modernu</w:t>
      </w:r>
      <w:r w:rsidR="00724488">
        <w:t xml:space="preserve"> jako </w:t>
      </w:r>
      <w:r>
        <w:t xml:space="preserve"> </w:t>
      </w:r>
      <w:r w:rsidR="00724488">
        <w:t xml:space="preserve">dějinně účinné </w:t>
      </w:r>
      <w:r w:rsidR="00724488" w:rsidRPr="00724488">
        <w:rPr>
          <w:i/>
        </w:rPr>
        <w:t>factum</w:t>
      </w:r>
      <w:r w:rsidR="00724488">
        <w:t>. Do</w:t>
      </w:r>
      <w:r>
        <w:t xml:space="preserve">kud bude tato </w:t>
      </w:r>
      <w:r w:rsidRPr="08B36EBC">
        <w:rPr>
          <w:i/>
        </w:rPr>
        <w:t>Irre</w:t>
      </w:r>
      <w:r>
        <w:t xml:space="preserve"> západního myšlení trvat, pak má tato škola metafyzický </w:t>
      </w:r>
      <w:r w:rsidRPr="08B36EBC">
        <w:rPr>
          <w:i/>
        </w:rPr>
        <w:t>raison d'être</w:t>
      </w:r>
      <w:r w:rsidR="00736665">
        <w:t>. Po roce 1230 přijala</w:t>
      </w:r>
      <w:r>
        <w:t xml:space="preserve"> Blundova škola Scotův výklad Komentátora podle Sicilské školy. </w:t>
      </w:r>
      <w:r w:rsidRPr="00273106">
        <w:t xml:space="preserve">Role filosofa a biskupa Alverna je naprosto klíčová a kontrastuje s </w:t>
      </w:r>
      <w:r>
        <w:t xml:space="preserve">problematickou </w:t>
      </w:r>
      <w:r w:rsidRPr="00273106">
        <w:t xml:space="preserve">érou jeho nástupce Tempiera. </w:t>
      </w:r>
      <w:r>
        <w:t xml:space="preserve">Objektivní medievalistika současnosti udělala z kancléře </w:t>
      </w:r>
      <w:r w:rsidRPr="00273106">
        <w:t xml:space="preserve">Alverna </w:t>
      </w:r>
      <w:r>
        <w:t xml:space="preserve">averroistu. Hermeneutika naopak považuje roli tohoto akademického zakladatele školy prvního averroismu za </w:t>
      </w:r>
      <w:r w:rsidR="089F17A9">
        <w:t xml:space="preserve">zcela </w:t>
      </w:r>
      <w:r>
        <w:t>zásadní. Prozíravý kancléř Pařížské univerzity zachránil skutečnéh</w:t>
      </w:r>
      <w:r w:rsidR="0010074F">
        <w:t xml:space="preserve">o Aristotela pro latinský Západ. </w:t>
      </w:r>
      <w:r w:rsidR="00C82F1C">
        <w:t xml:space="preserve">Alvernus ve funkci biskupa a kancléře umožnil plnou recepci Averroesových spisů na Pařížské univerzitě. </w:t>
      </w:r>
      <w:r w:rsidR="0010074F" w:rsidRPr="0010074F">
        <w:t>Aristot</w:t>
      </w:r>
      <w:r w:rsidR="0010074F">
        <w:t>eles představený v perspektivě S</w:t>
      </w:r>
      <w:r w:rsidR="0010074F" w:rsidRPr="0010074F">
        <w:t>icilské školy se po roce 1230 stal filozofickým ochráncem křesťanství.</w:t>
      </w:r>
      <w:r w:rsidR="0010074F">
        <w:t xml:space="preserve"> D</w:t>
      </w:r>
      <w:r>
        <w:t xml:space="preserve">íky pravdivému ocenění Komentátora jako </w:t>
      </w:r>
      <w:r w:rsidRPr="00BD25B6">
        <w:rPr>
          <w:i/>
        </w:rPr>
        <w:t>philosophus nobilissimus</w:t>
      </w:r>
      <w:r>
        <w:t xml:space="preserve"> </w:t>
      </w:r>
      <w:r w:rsidR="00C82F1C">
        <w:t xml:space="preserve">Alvernus </w:t>
      </w:r>
      <w:r>
        <w:t xml:space="preserve">potvrdil jedinečnost lidské osoby proti </w:t>
      </w:r>
      <w:r w:rsidR="08557BC9">
        <w:t xml:space="preserve">moderním </w:t>
      </w:r>
      <w:r>
        <w:t>neoplatonikům. Bez tohoto moudrého biskupa a filosofa z Blundovy školy by nevznikla následná škola prvního averroismu a humanismu (Albert, Bacon, Siger, Dante</w:t>
      </w:r>
      <w:r>
        <w:fldChar w:fldCharType="begin"/>
      </w:r>
      <w:r>
        <w:instrText xml:space="preserve"> XE "</w:instrText>
      </w:r>
      <w:r w:rsidRPr="00E871B9">
        <w:instrText>Dante, A.</w:instrText>
      </w:r>
      <w:r>
        <w:instrText xml:space="preserve">" </w:instrText>
      </w:r>
      <w:r>
        <w:fldChar w:fldCharType="end"/>
      </w:r>
      <w:r>
        <w:t xml:space="preserve">). Alvernova interpretace stála proti paradigmatu Toledské školy dané v neoplatonském duchu </w:t>
      </w:r>
      <w:r w:rsidRPr="00AC5E11">
        <w:rPr>
          <w:i/>
        </w:rPr>
        <w:t>sequaces Aristotelis</w:t>
      </w:r>
      <w:r>
        <w:t xml:space="preserve">. Klasicky </w:t>
      </w:r>
      <w:r w:rsidRPr="00273106">
        <w:t xml:space="preserve">vzdělaný biskup jasně viděl jak omyly starší větve </w:t>
      </w:r>
      <w:r w:rsidRPr="00273106">
        <w:rPr>
          <w:i/>
        </w:rPr>
        <w:t>Nominales</w:t>
      </w:r>
      <w:r w:rsidRPr="00273106">
        <w:t xml:space="preserve"> (</w:t>
      </w:r>
      <w:r w:rsidRPr="00273106">
        <w:rPr>
          <w:i/>
        </w:rPr>
        <w:t>sophistae Italici</w:t>
      </w:r>
      <w:r>
        <w:rPr>
          <w:i/>
        </w:rPr>
        <w:t>, Grammatici</w:t>
      </w:r>
      <w:r w:rsidRPr="00273106">
        <w:t xml:space="preserve">), tak i zmatek prvních představitelů </w:t>
      </w:r>
      <w:r>
        <w:t>moderny</w:t>
      </w:r>
      <w:r w:rsidRPr="00273106">
        <w:t xml:space="preserve">, mezi něž kolem 1240 patřila františkánská škola editující </w:t>
      </w:r>
      <w:r w:rsidRPr="00273106">
        <w:rPr>
          <w:i/>
        </w:rPr>
        <w:t>Summa Halensis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(Rufus z Cornwallu, Bonaventura)</w:t>
      </w:r>
      <w:r>
        <w:t xml:space="preserve"> a dominikán </w:t>
      </w:r>
      <w:r w:rsidR="000909C2">
        <w:t xml:space="preserve">Robert </w:t>
      </w:r>
      <w:r>
        <w:t>Kil</w:t>
      </w:r>
      <w:r w:rsidRPr="00273106">
        <w:t>wardby</w:t>
      </w:r>
      <w:r>
        <w:t xml:space="preserve">. </w:t>
      </w:r>
      <w:r w:rsidRPr="00273106">
        <w:t>Alvernus vy</w:t>
      </w:r>
      <w:r>
        <w:t xml:space="preserve">čítá těmto myslitelům nazvaným </w:t>
      </w:r>
      <w:r w:rsidRPr="00273106">
        <w:rPr>
          <w:i/>
        </w:rPr>
        <w:t>sophistae Latini</w:t>
      </w:r>
      <w:r>
        <w:rPr>
          <w:i/>
        </w:rPr>
        <w:fldChar w:fldCharType="begin"/>
      </w:r>
      <w:r>
        <w:instrText xml:space="preserve"> XE "druhý averroismus:</w:instrText>
      </w:r>
      <w:r w:rsidRPr="00EC0AF4">
        <w:rPr>
          <w:i/>
          <w:lang w:eastAsia="en-US"/>
        </w:rPr>
        <w:instrText>sophistae Latini</w:instrText>
      </w:r>
      <w:r>
        <w:instrText xml:space="preserve">" </w:instrText>
      </w:r>
      <w:r>
        <w:rPr>
          <w:i/>
        </w:rPr>
        <w:fldChar w:fldCharType="end"/>
      </w:r>
      <w:r w:rsidRPr="00273106">
        <w:t xml:space="preserve"> něko</w:t>
      </w:r>
      <w:r>
        <w:t>lik základních omylů. Za prvé. P</w:t>
      </w:r>
      <w:r w:rsidRPr="00273106">
        <w:t xml:space="preserve">řebírají nauku </w:t>
      </w:r>
      <w:r>
        <w:t xml:space="preserve">porretánských </w:t>
      </w:r>
      <w:r w:rsidRPr="00273106">
        <w:rPr>
          <w:i/>
        </w:rPr>
        <w:t>Nominales</w:t>
      </w:r>
      <w:r>
        <w:t xml:space="preserve"> ze škol </w:t>
      </w:r>
      <w:r w:rsidRPr="08586D6F">
        <w:rPr>
          <w:i/>
        </w:rPr>
        <w:t>sophistae Italici</w:t>
      </w:r>
      <w:r>
        <w:t xml:space="preserve"> a </w:t>
      </w:r>
      <w:r w:rsidRPr="08586D6F">
        <w:rPr>
          <w:i/>
        </w:rPr>
        <w:t>Gramm</w:t>
      </w:r>
      <w:r>
        <w:rPr>
          <w:i/>
        </w:rPr>
        <w:t>a</w:t>
      </w:r>
      <w:r w:rsidRPr="08586D6F">
        <w:rPr>
          <w:i/>
        </w:rPr>
        <w:t>tici</w:t>
      </w:r>
      <w:r>
        <w:t xml:space="preserve">, v nichž </w:t>
      </w:r>
      <w:r w:rsidRPr="00273106">
        <w:t xml:space="preserve">je destruována první </w:t>
      </w:r>
      <w:r w:rsidRPr="00273106">
        <w:lastRenderedPageBreak/>
        <w:t>substance</w:t>
      </w:r>
      <w:r>
        <w:fldChar w:fldCharType="begin"/>
      </w:r>
      <w:r>
        <w:instrText xml:space="preserve"> XE "</w:instrText>
      </w:r>
      <w:r w:rsidRPr="00DE2A32">
        <w:instrText>substance</w:instrText>
      </w:r>
      <w:r>
        <w:instrText xml:space="preserve">:zatmění" </w:instrText>
      </w:r>
      <w:r>
        <w:fldChar w:fldCharType="end"/>
      </w:r>
      <w:r>
        <w:t xml:space="preserve">. Za druhé. Tito sofističtí </w:t>
      </w:r>
      <w:r w:rsidRPr="006560CE">
        <w:rPr>
          <w:i/>
        </w:rPr>
        <w:t>sequaces Aristotelis</w:t>
      </w:r>
      <w:r>
        <w:rPr>
          <w:i/>
        </w:rPr>
        <w:fldChar w:fldCharType="begin"/>
      </w:r>
      <w:r>
        <w:instrText xml:space="preserve"> XE "druhý averroismus:</w:instrText>
      </w:r>
      <w:r w:rsidRPr="00B81DDF">
        <w:rPr>
          <w:i/>
        </w:rPr>
        <w:instrText>sequaces Aristotelis</w:instrText>
      </w:r>
      <w:r>
        <w:instrText xml:space="preserve">" </w:instrText>
      </w:r>
      <w:r>
        <w:rPr>
          <w:i/>
        </w:rPr>
        <w:fldChar w:fldCharType="end"/>
      </w:r>
      <w:r w:rsidRPr="00273106">
        <w:t xml:space="preserve"> nejsou schopni rozlišit mezi </w:t>
      </w:r>
      <w:r>
        <w:t>neoplatonsk</w:t>
      </w:r>
      <w:r w:rsidRPr="00273106">
        <w:t>ými a autentickými výklady Aristotela, protože do výkladu Korpusu zavlekli avicennismus</w:t>
      </w:r>
      <w:r>
        <w:t xml:space="preserve"> skrze nedomyšlené výpůjčky arabských neoplatonských filosofů předaných Toledskou školou</w:t>
      </w:r>
      <w:r w:rsidRPr="00273106">
        <w:t>. Za třetí</w:t>
      </w:r>
      <w:r>
        <w:t>. Vinou jejich sofistiky</w:t>
      </w:r>
      <w:r w:rsidRPr="00273106">
        <w:t xml:space="preserve"> se ocitla v nebezpečí centrální část křesťanské nauky, totiž jednota osoby. </w:t>
      </w:r>
      <w:r>
        <w:t xml:space="preserve">Z hlediska jednoty osoby efektivně zničené objektivním filosofickým nihilismem Západu a z něj vycházející koncepce vědy je naprosto zásadní Alvernovo slavnostní </w:t>
      </w:r>
      <w:r w:rsidRPr="00273106">
        <w:t xml:space="preserve">prohlášení na půdě Pařížské univerzity, které cituje Bacon proti představitelům druhého averroismu. </w:t>
      </w:r>
      <w:r>
        <w:t xml:space="preserve">V </w:t>
      </w:r>
      <w:r w:rsidRPr="00273106">
        <w:t xml:space="preserve">duši existuje intelekt pouze jako </w:t>
      </w:r>
      <w:r>
        <w:t xml:space="preserve">individuální </w:t>
      </w:r>
      <w:r w:rsidRPr="00273106">
        <w:t xml:space="preserve">schopnost poznání daná skrze </w:t>
      </w:r>
      <w:r>
        <w:t>individuální akt intencionality a abstrakce</w:t>
      </w:r>
      <w:r w:rsidRPr="00273106">
        <w:t xml:space="preserve">. Oddělený </w:t>
      </w:r>
      <w:r w:rsidRPr="00273106">
        <w:rPr>
          <w:i/>
        </w:rPr>
        <w:t>intellectus agens</w:t>
      </w:r>
      <w:r w:rsidRPr="00273106">
        <w:t xml:space="preserve"> tvoří součást kosmické sféry, protože tam je dán jako auto</w:t>
      </w:r>
      <w:r>
        <w:t>no</w:t>
      </w:r>
      <w:r w:rsidRPr="00273106">
        <w:t>mní substance a aktuálně</w:t>
      </w:r>
      <w:r w:rsidRPr="00273106">
        <w:noBreakHyphen/>
        <w:t xml:space="preserve">subsistentní forma. </w:t>
      </w:r>
      <w:r>
        <w:t xml:space="preserve">Tento výklad odmítl moderní humanismus </w:t>
      </w:r>
      <w:r w:rsidRPr="00C377A2">
        <w:rPr>
          <w:i/>
        </w:rPr>
        <w:t>sequaces Aristotelis</w:t>
      </w:r>
      <w:r>
        <w:t xml:space="preserve"> založený na emanačních teoriích neoplatonismu a na nauce o odděleném intelektu podle Avicenny. </w:t>
      </w:r>
      <w:r w:rsidRPr="00273106">
        <w:t xml:space="preserve">Alvernus jednoznačně hájil základní tezi prvního averroismu, tedy nasvícení </w:t>
      </w:r>
      <w:r>
        <w:t xml:space="preserve">poznání </w:t>
      </w:r>
      <w:r w:rsidRPr="00273106">
        <w:t>zepředu</w:t>
      </w:r>
      <w:r>
        <w:t>,</w:t>
      </w:r>
      <w:r w:rsidRPr="00273106">
        <w:t xml:space="preserve"> skrze aktuálně danou věc zprostředkovanou smysly (</w:t>
      </w:r>
      <w:r w:rsidRPr="00273106">
        <w:rPr>
          <w:i/>
        </w:rPr>
        <w:t>im</w:t>
      </w:r>
      <w:r>
        <w:rPr>
          <w:i/>
        </w:rPr>
        <w:t>possib</w:t>
      </w:r>
      <w:r w:rsidRPr="00273106">
        <w:rPr>
          <w:i/>
        </w:rPr>
        <w:t>ile est intelligi sine fantasmate</w:t>
      </w:r>
      <w:r w:rsidRPr="00273106">
        <w:t xml:space="preserve">). Proto formoval teorii abstrakce podle prvního averroismu a teorii </w:t>
      </w:r>
      <w:r w:rsidR="004B4D52" w:rsidRPr="004B4D52">
        <w:t>species</w:t>
      </w:r>
      <w:r w:rsidRPr="00273106">
        <w:rPr>
          <w:i/>
        </w:rPr>
        <w:t xml:space="preserve"> intelligibilis</w:t>
      </w:r>
      <w:r>
        <w:rPr>
          <w:i/>
        </w:rPr>
        <w:fldChar w:fldCharType="begin"/>
      </w:r>
      <w:r>
        <w:instrText xml:space="preserve"> XE "</w:instrText>
      </w:r>
      <w:r w:rsidRPr="00DD403C">
        <w:rPr>
          <w:i/>
        </w:rPr>
        <w:instrText>species intelligibilis:</w:instrText>
      </w:r>
      <w:r w:rsidRPr="00DD403C">
        <w:instrText>A</w:instrText>
      </w:r>
      <w:r>
        <w:instrText xml:space="preserve">lvernus" </w:instrText>
      </w:r>
      <w:r>
        <w:rPr>
          <w:i/>
        </w:rPr>
        <w:fldChar w:fldCharType="end"/>
      </w:r>
      <w:r w:rsidRPr="00273106">
        <w:t xml:space="preserve"> vzal podle Blundova výkladu </w:t>
      </w:r>
      <w:r>
        <w:rPr>
          <w:i/>
        </w:rPr>
        <w:t>De anima</w:t>
      </w:r>
      <w:r w:rsidRPr="00273106">
        <w:t>.</w:t>
      </w:r>
      <w:r>
        <w:t xml:space="preserve"> </w:t>
      </w:r>
      <w:r w:rsidR="001F2E32">
        <w:t xml:space="preserve">Alvernus </w:t>
      </w:r>
      <w:r w:rsidR="001F2E32" w:rsidRPr="001F2E32">
        <w:t xml:space="preserve">začlenil </w:t>
      </w:r>
      <w:r w:rsidR="001F2E32">
        <w:t xml:space="preserve">Blundův výklad </w:t>
      </w:r>
      <w:r w:rsidR="001F2E32" w:rsidRPr="001F2E32">
        <w:t xml:space="preserve">do nově vzniklé filozofie CMDA podle sicilské školy, kterou Michael Scotus </w:t>
      </w:r>
      <w:r w:rsidR="001F2E32">
        <w:t xml:space="preserve">podal </w:t>
      </w:r>
      <w:r w:rsidR="001F2E32" w:rsidRPr="001F2E32">
        <w:t>v Paříži.</w:t>
      </w:r>
      <w:r w:rsidR="001F2E32">
        <w:t xml:space="preserve"> </w:t>
      </w:r>
      <w:r w:rsidR="002829CE">
        <w:t>Tento interpretativní výkon zásadně kontrastuje s intelektuálním zmatkem modernistů ve školách druhého averroismu. Ti měli stejné možnosti poznat filosofickou pravdu, ale místo toho zvolili mytologii založenou na ontoteologických fabulacích.</w:t>
      </w:r>
      <w:r w:rsidR="00474302">
        <w:t xml:space="preserve"> </w:t>
      </w:r>
      <w:r>
        <w:t xml:space="preserve">Rehabilitace kancléře a biskupa Alverna je nyní věcí akademické cti současné generace. A totéž by měla provést Oxfordská univerzita v případě Rogera Bacona, jehož klíčovou roli v utváření školy prvního averroismu pojednáme dále. Škola </w:t>
      </w:r>
      <w:r w:rsidRPr="008149AB">
        <w:rPr>
          <w:i/>
        </w:rPr>
        <w:t>Modernorum</w:t>
      </w:r>
      <w:r>
        <w:t xml:space="preserve"> v podání mendikantských magistrů začala vítězné tažení proti magistrům na Rue du Fouarre až po smrti tohoto vynikajícího učence a prozíravého biskupa, tedy po roce 1250. Alvernus je klíčovým autorem křesťanského výkladu Aristotela v modu CMDA podle Sicilské školy, který Gilson</w:t>
      </w:r>
      <w:r>
        <w:fldChar w:fldCharType="begin"/>
      </w:r>
      <w:r>
        <w:instrText xml:space="preserve"> XE "</w:instrText>
      </w:r>
      <w:r w:rsidRPr="00C20F2E">
        <w:instrText>Gilson, E.</w:instrText>
      </w:r>
      <w:r>
        <w:instrText xml:space="preserve">" </w:instrText>
      </w:r>
      <w:r>
        <w:fldChar w:fldCharType="end"/>
      </w:r>
      <w:r>
        <w:t xml:space="preserve"> a jeho současní nástupci připsali semiaverroistovi Akvinskému, který bohužel držel v pojetí osoby pluralismus forem (ale nikoliv substancí) v modu Toledské školy. Alvernova</w:t>
      </w:r>
      <w:r w:rsidRPr="00273106">
        <w:t xml:space="preserve"> </w:t>
      </w:r>
      <w:r>
        <w:t xml:space="preserve">a později i Albertova kritika </w:t>
      </w:r>
      <w:r w:rsidRPr="00273106">
        <w:t>mířil</w:t>
      </w:r>
      <w:r>
        <w:t>a</w:t>
      </w:r>
      <w:r w:rsidRPr="00273106">
        <w:t xml:space="preserve"> na </w:t>
      </w:r>
      <w:r>
        <w:t xml:space="preserve">avicennovské </w:t>
      </w:r>
      <w:r w:rsidRPr="00273106">
        <w:t>dualisty, jako byli Rufus</w:t>
      </w:r>
      <w:r w:rsidR="083B59D5">
        <w:t xml:space="preserve"> z Cornwallu</w:t>
      </w:r>
      <w:r w:rsidRPr="00273106">
        <w:t xml:space="preserve"> a Kilwardby. Rufus po neúspěšné obhajobě </w:t>
      </w:r>
      <w:r>
        <w:t xml:space="preserve">moderního porretánského výkladu </w:t>
      </w:r>
      <w:r w:rsidRPr="0821239A">
        <w:rPr>
          <w:i/>
        </w:rPr>
        <w:t xml:space="preserve">De </w:t>
      </w:r>
      <w:r w:rsidRPr="0821239A">
        <w:rPr>
          <w:i/>
        </w:rPr>
        <w:lastRenderedPageBreak/>
        <w:t>anima</w:t>
      </w:r>
      <w:r>
        <w:t xml:space="preserve"> podaného </w:t>
      </w:r>
      <w:r w:rsidRPr="00273106">
        <w:t xml:space="preserve">v díle </w:t>
      </w:r>
      <w:r w:rsidRPr="00273106">
        <w:rPr>
          <w:i/>
        </w:rPr>
        <w:t>Speculum animae</w:t>
      </w:r>
      <w:r w:rsidRPr="00273106">
        <w:t xml:space="preserve"> (</w:t>
      </w:r>
      <w:r>
        <w:t>asi 1</w:t>
      </w:r>
      <w:r w:rsidRPr="00273106">
        <w:t>245)</w:t>
      </w:r>
      <w:r>
        <w:t xml:space="preserve"> odešel z Paříže </w:t>
      </w:r>
      <w:r w:rsidR="08784437">
        <w:t xml:space="preserve">zpět </w:t>
      </w:r>
      <w:r>
        <w:t>do Oxfordu</w:t>
      </w:r>
      <w:r w:rsidRPr="00273106">
        <w:t xml:space="preserve">. Bacon datuje tento </w:t>
      </w:r>
      <w:r>
        <w:t xml:space="preserve">zásadní </w:t>
      </w:r>
      <w:r w:rsidRPr="00273106">
        <w:t xml:space="preserve">spor </w:t>
      </w:r>
      <w:r>
        <w:t xml:space="preserve">o modernu do roku </w:t>
      </w:r>
      <w:r w:rsidRPr="00273106">
        <w:t>1250 a také jasně vysvětluje, proč Rufus m</w:t>
      </w:r>
      <w:r w:rsidR="08784437">
        <w:t>usel z Paříže odejít (kap. 3</w:t>
      </w:r>
      <w:r>
        <w:t>.2</w:t>
      </w:r>
      <w:r w:rsidRPr="00273106">
        <w:t xml:space="preserve">). </w:t>
      </w:r>
      <w:r>
        <w:t xml:space="preserve">Díky působení biskupa Alverna ovládla škola prvního averroismu Pařížskou univerzitu, což se zásadně změnilo po jeho smrti. </w:t>
      </w:r>
      <w:r w:rsidRPr="00273106">
        <w:t xml:space="preserve">Vítězem prvního klání mezi prvním a druhým averroismem se stal Albert Veliký, který </w:t>
      </w:r>
      <w:r>
        <w:t xml:space="preserve">bohužel </w:t>
      </w:r>
      <w:r w:rsidRPr="00273106">
        <w:t>z Paříže odešel a působil v Kolíně.</w:t>
      </w:r>
      <w:r>
        <w:t xml:space="preserve"> Odchod Bacona a Alberta z Pařížské univerzity prohloubil zatmění první substance na zdejší </w:t>
      </w:r>
      <w:r w:rsidRPr="004345EC">
        <w:rPr>
          <w:i/>
        </w:rPr>
        <w:t>alma mater</w:t>
      </w:r>
      <w:r>
        <w:t xml:space="preserve"> a umožnil epochální </w:t>
      </w:r>
      <w:r w:rsidRPr="0077358C">
        <w:rPr>
          <w:i/>
        </w:rPr>
        <w:t>Wirkungsgeschichte</w:t>
      </w:r>
      <w:r>
        <w:t xml:space="preserve"> moderní objektivity.</w:t>
      </w:r>
      <w:r w:rsidR="00313A7C">
        <w:t xml:space="preserve"> Zapomenutí </w:t>
      </w:r>
      <w:r w:rsidR="00313A7C" w:rsidRPr="00313A7C">
        <w:t xml:space="preserve">první </w:t>
      </w:r>
      <w:r w:rsidR="00313A7C">
        <w:t xml:space="preserve">substance </w:t>
      </w:r>
      <w:r w:rsidR="00313A7C" w:rsidRPr="00313A7C">
        <w:t xml:space="preserve">v metafyzice vzniklo po Blundově smrti, po odchodu nejlepších představitelů prvního averroismu z Paříže a poté po smrti biskupa Alverna. Tento souběh událostí dal vzniknout </w:t>
      </w:r>
      <w:r w:rsidR="00313A7C" w:rsidRPr="00313A7C">
        <w:rPr>
          <w:i/>
        </w:rPr>
        <w:t>via Modernorum</w:t>
      </w:r>
      <w:r w:rsidR="00313A7C" w:rsidRPr="00313A7C">
        <w:t xml:space="preserve"> </w:t>
      </w:r>
      <w:r w:rsidR="00313A7C">
        <w:t xml:space="preserve">určené </w:t>
      </w:r>
      <w:r w:rsidR="00313A7C" w:rsidRPr="00313A7C">
        <w:t>Bonaventurou, Rufem a Kilwardbym, kteří založili školu druhého averroismu.</w:t>
      </w:r>
    </w:p>
    <w:p w14:paraId="6837FE55" w14:textId="0D7FD512" w:rsidR="08A03E23" w:rsidRPr="08BE1ED3" w:rsidRDefault="009A15BD" w:rsidP="006214FE">
      <w:pPr>
        <w:ind w:firstLine="397"/>
      </w:pPr>
      <w:r>
        <w:t xml:space="preserve">Druhý bod součtveří ukazují </w:t>
      </w:r>
      <w:r w:rsidR="08A03E23" w:rsidRPr="00273106">
        <w:t xml:space="preserve">spisy </w:t>
      </w:r>
      <w:r>
        <w:t xml:space="preserve">ze </w:t>
      </w:r>
      <w:r w:rsidR="08A03E23" w:rsidRPr="00273106">
        <w:t>druhé poloviny 12. století</w:t>
      </w:r>
      <w:r>
        <w:t xml:space="preserve">. Ty vytvářejí nové pojetí </w:t>
      </w:r>
      <w:r w:rsidR="08A03E23" w:rsidRPr="00273106">
        <w:t>iluminace da</w:t>
      </w:r>
      <w:r>
        <w:t>né</w:t>
      </w:r>
      <w:r w:rsidR="08A03E23">
        <w:t xml:space="preserve"> </w:t>
      </w:r>
      <w:r w:rsidR="001C18A0">
        <w:t xml:space="preserve">kolem </w:t>
      </w:r>
      <w:r w:rsidR="001A3778">
        <w:t xml:space="preserve">roku </w:t>
      </w:r>
      <w:r w:rsidR="001C18A0">
        <w:t xml:space="preserve">1170 </w:t>
      </w:r>
      <w:r w:rsidR="08A03E23">
        <w:t>spojením avicennismu (Gundissa</w:t>
      </w:r>
      <w:r w:rsidR="08A03E23" w:rsidRPr="00273106">
        <w:t>l</w:t>
      </w:r>
      <w:r w:rsidR="08A03E23">
        <w:t>in</w:t>
      </w:r>
      <w:r w:rsidR="08A03E23" w:rsidRPr="00273106">
        <w:t>us</w:t>
      </w:r>
      <w:r w:rsidR="08A03E23">
        <w:fldChar w:fldCharType="begin"/>
      </w:r>
      <w:r w:rsidR="08A03E23">
        <w:instrText xml:space="preserve"> XE "</w:instrText>
      </w:r>
      <w:r w:rsidR="08A03E23" w:rsidRPr="00627801">
        <w:instrText>Gundis</w:instrText>
      </w:r>
      <w:r w:rsidR="08A03E23">
        <w:instrText>s</w:instrText>
      </w:r>
      <w:r w:rsidR="08A03E23" w:rsidRPr="00627801">
        <w:instrText>al</w:instrText>
      </w:r>
      <w:r w:rsidR="08A03E23">
        <w:instrText>in</w:instrText>
      </w:r>
      <w:r w:rsidR="08A03E23" w:rsidRPr="00627801">
        <w:instrText>us, D.</w:instrText>
      </w:r>
      <w:r w:rsidR="08A03E23">
        <w:instrText xml:space="preserve">" </w:instrText>
      </w:r>
      <w:r w:rsidR="08A03E23">
        <w:fldChar w:fldCharType="end"/>
      </w:r>
      <w:r w:rsidR="08A03E23" w:rsidRPr="00273106">
        <w:t xml:space="preserve">, </w:t>
      </w:r>
      <w:r w:rsidR="08A03E23" w:rsidRPr="00273106">
        <w:rPr>
          <w:i/>
        </w:rPr>
        <w:t>Liber de anima</w:t>
      </w:r>
      <w:r w:rsidR="08A03E23" w:rsidRPr="00273106">
        <w:t>) a augustinianismu (</w:t>
      </w:r>
      <w:r w:rsidR="08A03E23" w:rsidRPr="00273106">
        <w:rPr>
          <w:i/>
        </w:rPr>
        <w:t>De spiritu et anima</w:t>
      </w:r>
      <w:r w:rsidR="08A03E23" w:rsidRPr="00273106">
        <w:t xml:space="preserve">). </w:t>
      </w:r>
      <w:r w:rsidR="08A03E23">
        <w:t>Tuto linii jednoznačně reprezentuje kompletní překladatelská a myslitelská škola z Toleda (Jan ze Sevilly</w:t>
      </w:r>
      <w:r w:rsidR="08A03E23" w:rsidRPr="00CA53E5">
        <w:t xml:space="preserve">, Herman </w:t>
      </w:r>
      <w:r w:rsidR="08A03E23">
        <w:t xml:space="preserve">z </w:t>
      </w:r>
      <w:r w:rsidR="08A03E23" w:rsidRPr="00CA53E5">
        <w:t>Carinthie, Adé</w:t>
      </w:r>
      <w:r w:rsidR="08A03E23">
        <w:t>lard z Bathu, Gérard z Cremony). Vzdáleným zakladatelem této školy je Isidor ze Sevilly</w:t>
      </w:r>
      <w:r w:rsidR="08A03E23">
        <w:fldChar w:fldCharType="begin"/>
      </w:r>
      <w:r w:rsidR="08A03E23">
        <w:instrText xml:space="preserve"> XE "</w:instrText>
      </w:r>
      <w:r w:rsidR="08A03E23" w:rsidRPr="00BD5E7B">
        <w:instrText>Isidor ze Sevilly</w:instrText>
      </w:r>
      <w:r w:rsidR="08A03E23">
        <w:instrText xml:space="preserve">" </w:instrText>
      </w:r>
      <w:r w:rsidR="08A03E23">
        <w:fldChar w:fldCharType="end"/>
      </w:r>
      <w:r w:rsidR="08A03E23">
        <w:t xml:space="preserve"> (†636), konkrétně jeho filosoficko-teologická kompilace zvaná </w:t>
      </w:r>
      <w:r w:rsidR="08A03E23">
        <w:rPr>
          <w:i/>
          <w:iCs/>
        </w:rPr>
        <w:t>Etymologiae</w:t>
      </w:r>
      <w:r w:rsidR="08A03E23">
        <w:rPr>
          <w:iCs/>
        </w:rPr>
        <w:t xml:space="preserve">. </w:t>
      </w:r>
      <w:r w:rsidR="08A03E23">
        <w:t xml:space="preserve">Isidor byl právem prohlášen patronem informatiků, protože jako první zavedl alfabetické třídení podle první nominalistické verze </w:t>
      </w:r>
      <w:r w:rsidR="08A03E23" w:rsidRPr="00B457C2">
        <w:rPr>
          <w:i/>
        </w:rPr>
        <w:t>Arbor Porphyriana</w:t>
      </w:r>
      <w:r w:rsidR="08A03E23">
        <w:t>. Škola druhého averroismu vyrostla na základě filosofické mystiky dané nominálním a id</w:t>
      </w:r>
      <w:r w:rsidR="085B1720">
        <w:t xml:space="preserve">eovým významem alfabety či slov. Toto </w:t>
      </w:r>
      <w:r w:rsidR="08A03E23">
        <w:t xml:space="preserve">platonské třídění reality </w:t>
      </w:r>
      <w:r w:rsidR="085B1720">
        <w:t xml:space="preserve">najdeme </w:t>
      </w:r>
      <w:r w:rsidR="08A03E23">
        <w:t xml:space="preserve">v dialozích </w:t>
      </w:r>
      <w:r w:rsidR="08A03E23" w:rsidRPr="00B457C2">
        <w:rPr>
          <w:i/>
        </w:rPr>
        <w:t>Theaitetos</w:t>
      </w:r>
      <w:r w:rsidR="08A03E23">
        <w:t xml:space="preserve"> a </w:t>
      </w:r>
      <w:r w:rsidR="08A03E23" w:rsidRPr="00B457C2">
        <w:rPr>
          <w:i/>
        </w:rPr>
        <w:t>Kratylos</w:t>
      </w:r>
      <w:r w:rsidR="08A03E23">
        <w:t>. U</w:t>
      </w:r>
      <w:r w:rsidR="08A03E23" w:rsidRPr="00273106">
        <w:t xml:space="preserve">nitární mysticko-filosofické vidění světa </w:t>
      </w:r>
      <w:r w:rsidR="08A03E23">
        <w:t xml:space="preserve">Toledské školy částečně převzaté ze světa islámské a židovské mystiky </w:t>
      </w:r>
      <w:r w:rsidR="08A03E23" w:rsidRPr="00273106">
        <w:t xml:space="preserve">se naroubovalo na </w:t>
      </w:r>
      <w:r w:rsidR="08A03E23">
        <w:t>neoplatonsk</w:t>
      </w:r>
      <w:r w:rsidR="08A03E23" w:rsidRPr="00273106">
        <w:t xml:space="preserve">é školy </w:t>
      </w:r>
      <w:r w:rsidR="08A03E23">
        <w:t xml:space="preserve">latinského Západu </w:t>
      </w:r>
      <w:r w:rsidR="08A03E23" w:rsidRPr="00273106">
        <w:t xml:space="preserve">v rámci </w:t>
      </w:r>
      <w:r w:rsidR="08A03E23">
        <w:t xml:space="preserve">porretánské </w:t>
      </w:r>
      <w:r w:rsidR="08A03E23" w:rsidRPr="00273106">
        <w:rPr>
          <w:i/>
        </w:rPr>
        <w:t>logica Modernorum</w:t>
      </w:r>
      <w:r w:rsidR="08A03E23">
        <w:rPr>
          <w:i/>
        </w:rPr>
        <w:fldChar w:fldCharType="begin"/>
      </w:r>
      <w:r w:rsidR="08A03E23">
        <w:instrText xml:space="preserve"> XE "</w:instrText>
      </w:r>
      <w:r w:rsidR="08A03E23" w:rsidRPr="001100BE">
        <w:rPr>
          <w:i/>
        </w:rPr>
        <w:instrText>logica Modernorum</w:instrText>
      </w:r>
      <w:r w:rsidR="08A03E23">
        <w:instrText xml:space="preserve">" </w:instrText>
      </w:r>
      <w:r w:rsidR="08A03E23">
        <w:rPr>
          <w:i/>
        </w:rPr>
        <w:fldChar w:fldCharType="end"/>
      </w:r>
      <w:r w:rsidR="08A03E23" w:rsidRPr="00273106">
        <w:t xml:space="preserve">. </w:t>
      </w:r>
      <w:r w:rsidR="08A03E23">
        <w:t>K</w:t>
      </w:r>
      <w:r w:rsidR="08A03E23" w:rsidRPr="00273106">
        <w:t xml:space="preserve">lasické logické školy v Paříži postavené na </w:t>
      </w:r>
      <w:r w:rsidR="08A03E23">
        <w:t>neoplatonsk</w:t>
      </w:r>
      <w:r w:rsidR="08A03E23" w:rsidRPr="00273106">
        <w:t xml:space="preserve">ém nominalismu </w:t>
      </w:r>
      <w:r w:rsidR="08A03E23">
        <w:t xml:space="preserve">s nástupem Blundovy školy postupně </w:t>
      </w:r>
      <w:r w:rsidR="08A03E23" w:rsidRPr="00273106">
        <w:t>zanikly</w:t>
      </w:r>
      <w:r w:rsidR="08A03E23">
        <w:t xml:space="preserve"> a nahradila je škola druhého averroismu formovaného neoplatonským aristotelismem Toledské školy</w:t>
      </w:r>
      <w:r w:rsidR="08A03E23" w:rsidRPr="00273106">
        <w:t>.</w:t>
      </w:r>
      <w:r w:rsidR="08A03E23">
        <w:t xml:space="preserve"> Extrémním příkladem první vlny moderních aristotelských avicennistů byl David z Dinantu</w:t>
      </w:r>
      <w:r w:rsidR="08A03E23">
        <w:fldChar w:fldCharType="begin"/>
      </w:r>
      <w:r w:rsidR="08A03E23">
        <w:instrText xml:space="preserve"> XE "</w:instrText>
      </w:r>
      <w:r w:rsidR="08A03E23" w:rsidRPr="005D14A8">
        <w:instrText>David z Dinantu</w:instrText>
      </w:r>
      <w:r w:rsidR="08A03E23">
        <w:instrText xml:space="preserve">" </w:instrText>
      </w:r>
      <w:r w:rsidR="08A03E23">
        <w:fldChar w:fldCharType="end"/>
      </w:r>
      <w:r w:rsidR="08A03E23">
        <w:t xml:space="preserve">, který vytvořil čistý panteismus v aristotelském balení, </w:t>
      </w:r>
      <w:r w:rsidR="00807698">
        <w:t>což zopakoval židovský myslitel Baruch Spinoza (†1677) v postmoderně</w:t>
      </w:r>
      <w:r w:rsidR="08A03E23">
        <w:t xml:space="preserve">. Tato škola integrovala </w:t>
      </w:r>
      <w:r w:rsidR="08A03E23" w:rsidRPr="00273106">
        <w:t xml:space="preserve">po recepci Avicenny </w:t>
      </w:r>
      <w:r w:rsidR="08A03E23">
        <w:t xml:space="preserve">ve 2. polovině 12. století do svého systému </w:t>
      </w:r>
      <w:r w:rsidR="08A03E23" w:rsidRPr="00273106">
        <w:t xml:space="preserve">také </w:t>
      </w:r>
      <w:r w:rsidR="08A03E23" w:rsidRPr="006F00B2">
        <w:rPr>
          <w:i/>
        </w:rPr>
        <w:t>Etiku Nikomachovu</w:t>
      </w:r>
      <w:r w:rsidR="08A03E23" w:rsidRPr="00273106">
        <w:t xml:space="preserve"> a </w:t>
      </w:r>
      <w:r w:rsidR="08A03E23" w:rsidRPr="006F00B2">
        <w:rPr>
          <w:i/>
        </w:rPr>
        <w:t>Metafyziku</w:t>
      </w:r>
      <w:r w:rsidR="08A03E23" w:rsidRPr="00273106">
        <w:t xml:space="preserve">, které se objevily v prvních částečných překladech do latiny </w:t>
      </w:r>
      <w:r w:rsidR="08A03E23">
        <w:t xml:space="preserve">na </w:t>
      </w:r>
      <w:r w:rsidR="08A03E23">
        <w:lastRenderedPageBreak/>
        <w:t>konci 12</w:t>
      </w:r>
      <w:r w:rsidR="08A03E23" w:rsidRPr="00273106">
        <w:t xml:space="preserve">. století. </w:t>
      </w:r>
      <w:r w:rsidR="08A03E23">
        <w:t xml:space="preserve">Modernisté k výkladu Aristotela použili </w:t>
      </w:r>
      <w:r w:rsidR="08A03E23" w:rsidRPr="00273106">
        <w:t xml:space="preserve">známou </w:t>
      </w:r>
      <w:r w:rsidR="08A03E23">
        <w:t xml:space="preserve">neoplatonskou </w:t>
      </w:r>
      <w:r w:rsidR="08A03E23" w:rsidRPr="00273106">
        <w:t>nauku o dvou tvářích duše</w:t>
      </w:r>
      <w:r w:rsidR="08A03E23">
        <w:fldChar w:fldCharType="begin"/>
      </w:r>
      <w:r w:rsidR="08A03E23">
        <w:instrText xml:space="preserve"> XE "</w:instrText>
      </w:r>
      <w:r w:rsidR="08A03E23" w:rsidRPr="00E10F76">
        <w:instrText>osoba:dualismus</w:instrText>
      </w:r>
      <w:r w:rsidR="08A03E23">
        <w:instrText xml:space="preserve">" </w:instrText>
      </w:r>
      <w:r w:rsidR="08A03E23">
        <w:fldChar w:fldCharType="end"/>
      </w:r>
      <w:r w:rsidR="08A03E23" w:rsidRPr="00273106">
        <w:t xml:space="preserve"> (</w:t>
      </w:r>
      <w:r w:rsidR="089A686D">
        <w:t xml:space="preserve">OBJ I, </w:t>
      </w:r>
      <w:r w:rsidR="08A03E23" w:rsidRPr="00273106">
        <w:t xml:space="preserve">kap. 2.3.1), která formovala aristotelské </w:t>
      </w:r>
      <w:r w:rsidR="00E22C9A">
        <w:t xml:space="preserve">avicennisty </w:t>
      </w:r>
      <w:r w:rsidR="08A03E23">
        <w:t xml:space="preserve">a augustiniány. Komentátoři druhého averroismu přebrali spisy Komentátora v paradigmatu Toledské školy, tedy v plné </w:t>
      </w:r>
      <w:r w:rsidR="00807698">
        <w:t xml:space="preserve">shodě </w:t>
      </w:r>
      <w:r w:rsidR="08A03E23">
        <w:t xml:space="preserve">s neoplatonismem Avicenny. Tito </w:t>
      </w:r>
      <w:r w:rsidR="08A03E23" w:rsidRPr="00273106">
        <w:t xml:space="preserve">modernisté modelovali Aristotelovu nauku podle </w:t>
      </w:r>
      <w:r w:rsidR="08A03E23">
        <w:t>neoplatonsk</w:t>
      </w:r>
      <w:r w:rsidR="08A03E23" w:rsidRPr="00273106">
        <w:t xml:space="preserve">ého a Avicennova dualismu nižší a vyšší složky poznání, </w:t>
      </w:r>
      <w:r w:rsidR="08A03E23">
        <w:t>což ukazuje neoplatonsky vyložená</w:t>
      </w:r>
      <w:r w:rsidR="08A03E23" w:rsidRPr="00273106">
        <w:t xml:space="preserve"> </w:t>
      </w:r>
      <w:r w:rsidR="08A03E23" w:rsidRPr="00273106">
        <w:rPr>
          <w:i/>
        </w:rPr>
        <w:t>fronésis</w:t>
      </w:r>
      <w:r w:rsidR="08A03E23">
        <w:rPr>
          <w:i/>
        </w:rPr>
        <w:fldChar w:fldCharType="begin"/>
      </w:r>
      <w:r w:rsidR="08A03E23">
        <w:instrText xml:space="preserve"> XE "</w:instrText>
      </w:r>
      <w:r w:rsidR="08A03E23" w:rsidRPr="00BD03F3">
        <w:rPr>
          <w:i/>
        </w:rPr>
        <w:instrText>fronésis</w:instrText>
      </w:r>
      <w:r w:rsidR="08A03E23">
        <w:instrText xml:space="preserve">" </w:instrText>
      </w:r>
      <w:r w:rsidR="08A03E23">
        <w:rPr>
          <w:i/>
        </w:rPr>
        <w:fldChar w:fldCharType="end"/>
      </w:r>
      <w:r w:rsidR="08A03E23" w:rsidRPr="00273106">
        <w:t xml:space="preserve"> (Gauthier 1963). </w:t>
      </w:r>
      <w:r w:rsidR="08A03E23">
        <w:t xml:space="preserve">Proto </w:t>
      </w:r>
      <w:r w:rsidR="08A03E23" w:rsidRPr="00273106">
        <w:t>dali klíčovým termínům Aristotelova korpusu dualistický charakter (</w:t>
      </w:r>
      <w:r w:rsidR="08A03E23" w:rsidRPr="00273106">
        <w:rPr>
          <w:i/>
        </w:rPr>
        <w:t>Summa Duacensis</w:t>
      </w:r>
      <w:r w:rsidR="08A03E23">
        <w:rPr>
          <w:i/>
        </w:rPr>
        <w:fldChar w:fldCharType="begin"/>
      </w:r>
      <w:r w:rsidR="08A03E23">
        <w:instrText xml:space="preserve"> XE "</w:instrText>
      </w:r>
      <w:r w:rsidR="08A03E23" w:rsidRPr="000E2AD6">
        <w:rPr>
          <w:i/>
        </w:rPr>
        <w:instrText>Summa Duacensis</w:instrText>
      </w:r>
      <w:r w:rsidR="08A03E23">
        <w:instrText xml:space="preserve">" </w:instrText>
      </w:r>
      <w:r w:rsidR="08A03E23">
        <w:rPr>
          <w:i/>
        </w:rPr>
        <w:fldChar w:fldCharType="end"/>
      </w:r>
      <w:r w:rsidR="08A03E23" w:rsidRPr="00273106">
        <w:t xml:space="preserve">, anonymní komentáře k </w:t>
      </w:r>
      <w:r w:rsidR="08A03E23" w:rsidRPr="006F00B2">
        <w:rPr>
          <w:i/>
        </w:rPr>
        <w:t>Etice</w:t>
      </w:r>
      <w:r w:rsidR="08A03E23" w:rsidRPr="00273106">
        <w:t xml:space="preserve"> kolem 1240). Citovaná </w:t>
      </w:r>
      <w:r w:rsidR="08A03E23" w:rsidRPr="00273106">
        <w:rPr>
          <w:i/>
        </w:rPr>
        <w:t>Summa Duacensis</w:t>
      </w:r>
      <w:r w:rsidR="08A03E23" w:rsidRPr="00273106">
        <w:t xml:space="preserve"> </w:t>
      </w:r>
      <w:r w:rsidR="08A03E23">
        <w:t>(1230) dokládá</w:t>
      </w:r>
      <w:r w:rsidR="08A03E23" w:rsidRPr="00273106">
        <w:t xml:space="preserve">, jaký zmatek vyvolalo pojetí </w:t>
      </w:r>
      <w:r w:rsidR="08A03E23">
        <w:t xml:space="preserve">Averroesova </w:t>
      </w:r>
      <w:r w:rsidR="08A03E23" w:rsidRPr="003F695C">
        <w:rPr>
          <w:i/>
        </w:rPr>
        <w:t>intellectus possibilis</w:t>
      </w:r>
      <w:r w:rsidR="08A03E23">
        <w:rPr>
          <w:i/>
        </w:rPr>
        <w:fldChar w:fldCharType="begin"/>
      </w:r>
      <w:r w:rsidR="08A03E23">
        <w:instrText xml:space="preserve"> XE "</w:instrText>
      </w:r>
      <w:r w:rsidR="08A03E23" w:rsidRPr="00770D02">
        <w:rPr>
          <w:i/>
        </w:rPr>
        <w:instrText>intellectus possibilis</w:instrText>
      </w:r>
      <w:r w:rsidR="08A03E23">
        <w:instrText>:</w:instrText>
      </w:r>
      <w:r w:rsidR="08A03E23" w:rsidRPr="00273106">
        <w:rPr>
          <w:i/>
        </w:rPr>
        <w:instrText>Summa Duacensis</w:instrText>
      </w:r>
      <w:r w:rsidR="08A03E23">
        <w:instrText xml:space="preserve">" </w:instrText>
      </w:r>
      <w:r w:rsidR="08A03E23">
        <w:rPr>
          <w:i/>
        </w:rPr>
        <w:fldChar w:fldCharType="end"/>
      </w:r>
      <w:r w:rsidR="08A03E23">
        <w:t xml:space="preserve"> </w:t>
      </w:r>
      <w:r w:rsidR="08A03E23" w:rsidRPr="00273106">
        <w:t xml:space="preserve">v táboře myslitelů </w:t>
      </w:r>
      <w:r w:rsidR="08A03E23">
        <w:t xml:space="preserve">kolem Filipa Kancléře </w:t>
      </w:r>
      <w:r w:rsidR="08A03E23" w:rsidRPr="00273106">
        <w:t xml:space="preserve">ovlivněných myšlením Avicenny a </w:t>
      </w:r>
      <w:r w:rsidR="08A03E23" w:rsidRPr="00273106">
        <w:rPr>
          <w:i/>
        </w:rPr>
        <w:t>Nominales</w:t>
      </w:r>
      <w:r w:rsidR="08A03E23" w:rsidRPr="00273106">
        <w:t xml:space="preserve">. </w:t>
      </w:r>
      <w:r w:rsidR="08A03E23">
        <w:t xml:space="preserve">Pojetí receptivního intelektu daného v paradigmatu Toledského výkladu CMDA představovalo základní </w:t>
      </w:r>
      <w:r w:rsidR="08A03E23" w:rsidRPr="006F00B2">
        <w:rPr>
          <w:i/>
        </w:rPr>
        <w:t>crux interpretatorum</w:t>
      </w:r>
      <w:r w:rsidR="08A03E23">
        <w:t xml:space="preserve">. </w:t>
      </w:r>
      <w:r w:rsidR="006214FE">
        <w:t xml:space="preserve">Moderní neoplatonici </w:t>
      </w:r>
      <w:r w:rsidR="006214FE" w:rsidRPr="006214FE">
        <w:t xml:space="preserve">začlenili </w:t>
      </w:r>
      <w:r w:rsidR="006214FE" w:rsidRPr="006214FE">
        <w:rPr>
          <w:i/>
        </w:rPr>
        <w:t>intellectus possibilis</w:t>
      </w:r>
      <w:r w:rsidR="006214FE" w:rsidRPr="006214FE">
        <w:t xml:space="preserve"> do svého systému podle falešně interpretované</w:t>
      </w:r>
      <w:r w:rsidR="006214FE">
        <w:t xml:space="preserve">ho spisu </w:t>
      </w:r>
      <w:r w:rsidR="006214FE" w:rsidRPr="006214FE">
        <w:t>CMDA. Definovali jej jako kosmickou oddělenou nehmotnou substanci, aby udrželi krok s panteistickým modelem Davida</w:t>
      </w:r>
      <w:r w:rsidR="006214FE">
        <w:t xml:space="preserve"> z</w:t>
      </w:r>
      <w:r w:rsidR="00C4362A">
        <w:t> </w:t>
      </w:r>
      <w:r w:rsidR="006214FE">
        <w:t>Dinantu</w:t>
      </w:r>
      <w:r w:rsidR="00C4362A">
        <w:t>. Tento filosofický zmatek považovali za moderní formu aristotelismu, protože spojila oba hlavní arabské komentátory do jedné formy paranoické metafyziky</w:t>
      </w:r>
      <w:r w:rsidR="006214FE">
        <w:t xml:space="preserve">. </w:t>
      </w:r>
      <w:r w:rsidR="08A03E23">
        <w:t>Ž</w:t>
      </w:r>
      <w:r w:rsidR="08A03E23" w:rsidRPr="00273106">
        <w:t>áci</w:t>
      </w:r>
      <w:r w:rsidR="08A03E23">
        <w:t xml:space="preserve"> školy </w:t>
      </w:r>
      <w:r w:rsidR="08A03E23" w:rsidRPr="005A1E77">
        <w:rPr>
          <w:i/>
        </w:rPr>
        <w:t>Nominales</w:t>
      </w:r>
      <w:r w:rsidR="00644A4E">
        <w:t xml:space="preserve"> recipovali</w:t>
      </w:r>
      <w:r w:rsidR="08A03E23" w:rsidRPr="00273106">
        <w:t xml:space="preserve"> </w:t>
      </w:r>
      <w:r w:rsidR="008A0A3D">
        <w:t xml:space="preserve">tuto </w:t>
      </w:r>
      <w:r w:rsidR="08A03E23" w:rsidRPr="00273106">
        <w:t xml:space="preserve">novou formu aristotelismu </w:t>
      </w:r>
      <w:r w:rsidR="08A03E23">
        <w:t xml:space="preserve">danou </w:t>
      </w:r>
      <w:r w:rsidR="08A03E23">
        <w:rPr>
          <w:i/>
        </w:rPr>
        <w:t>ad</w:t>
      </w:r>
      <w:r w:rsidR="08A03E23" w:rsidRPr="08200D57">
        <w:rPr>
          <w:i/>
        </w:rPr>
        <w:t xml:space="preserve"> mentem Averrois</w:t>
      </w:r>
      <w:r w:rsidR="08A03E23">
        <w:rPr>
          <w:i/>
        </w:rPr>
        <w:fldChar w:fldCharType="begin"/>
      </w:r>
      <w:r w:rsidR="08A03E23">
        <w:instrText xml:space="preserve"> XE "</w:instrText>
      </w:r>
      <w:r w:rsidR="08A03E23" w:rsidRPr="08AF1005">
        <w:rPr>
          <w:i/>
        </w:rPr>
        <w:instrText>ad mentem Averrois</w:instrText>
      </w:r>
      <w:r w:rsidR="08A03E23">
        <w:instrText xml:space="preserve">" </w:instrText>
      </w:r>
      <w:r w:rsidR="08A03E23">
        <w:rPr>
          <w:i/>
        </w:rPr>
        <w:fldChar w:fldCharType="end"/>
      </w:r>
      <w:r w:rsidR="08A03E23" w:rsidRPr="08200D57">
        <w:rPr>
          <w:i/>
        </w:rPr>
        <w:t xml:space="preserve"> </w:t>
      </w:r>
      <w:r w:rsidR="08A03E23" w:rsidRPr="00273106">
        <w:t xml:space="preserve">skrze revidovaný avicennismus </w:t>
      </w:r>
      <w:r w:rsidR="08A03E23">
        <w:t xml:space="preserve">v rámci Gilsonova </w:t>
      </w:r>
      <w:r w:rsidR="08A03E23" w:rsidRPr="00273106">
        <w:rPr>
          <w:i/>
        </w:rPr>
        <w:t>augustinisme avicennisant</w:t>
      </w:r>
      <w:r w:rsidR="08A03E23">
        <w:fldChar w:fldCharType="begin"/>
      </w:r>
      <w:r w:rsidR="08A03E23">
        <w:instrText xml:space="preserve"> XE "druhý averroismus:</w:instrText>
      </w:r>
      <w:r w:rsidR="08A03E23" w:rsidRPr="00F707A4">
        <w:rPr>
          <w:i/>
        </w:rPr>
        <w:instrText>augustinsme avicennisant</w:instrText>
      </w:r>
      <w:r w:rsidR="08A03E23">
        <w:instrText xml:space="preserve">" </w:instrText>
      </w:r>
      <w:r w:rsidR="08A03E23">
        <w:fldChar w:fldCharType="end"/>
      </w:r>
      <w:r w:rsidR="08A03E23" w:rsidRPr="00273106">
        <w:t xml:space="preserve"> v letech 1230‒40. Příkladem </w:t>
      </w:r>
      <w:r w:rsidR="08A03E23">
        <w:t xml:space="preserve">moderní recepce avicennovského Averroese </w:t>
      </w:r>
      <w:r w:rsidR="08A03E23" w:rsidRPr="00273106">
        <w:t>byl Filip Kancléř (</w:t>
      </w:r>
      <w:r w:rsidR="08A03E23" w:rsidRPr="00273106">
        <w:rPr>
          <w:i/>
        </w:rPr>
        <w:t>Summa de bono</w:t>
      </w:r>
      <w:r w:rsidR="08A03E23">
        <w:t>) a Jean de L</w:t>
      </w:r>
      <w:r w:rsidR="08A03E23" w:rsidRPr="00273106">
        <w:t>a Rochelle</w:t>
      </w:r>
      <w:r w:rsidR="08A03E23">
        <w:fldChar w:fldCharType="begin"/>
      </w:r>
      <w:r w:rsidR="08A03E23">
        <w:instrText xml:space="preserve"> XE "</w:instrText>
      </w:r>
      <w:r w:rsidR="08A03E23" w:rsidRPr="00AF76AF">
        <w:instrText>Jean de la Rochelle</w:instrText>
      </w:r>
      <w:r w:rsidR="08A03E23">
        <w:instrText xml:space="preserve">" </w:instrText>
      </w:r>
      <w:r w:rsidR="08A03E23">
        <w:fldChar w:fldCharType="end"/>
      </w:r>
      <w:r w:rsidR="08A03E23" w:rsidRPr="00273106">
        <w:t xml:space="preserve"> (</w:t>
      </w:r>
      <w:r w:rsidR="08A03E23" w:rsidRPr="00273106">
        <w:rPr>
          <w:i/>
        </w:rPr>
        <w:t>Summa de anima</w:t>
      </w:r>
      <w:r w:rsidR="08A03E23" w:rsidRPr="00273106">
        <w:t>)</w:t>
      </w:r>
      <w:r w:rsidR="08A03E23">
        <w:t>. Role J</w:t>
      </w:r>
      <w:r w:rsidR="08A03E23" w:rsidRPr="00273106">
        <w:t>an</w:t>
      </w:r>
      <w:r w:rsidR="08A03E23">
        <w:t>a z L</w:t>
      </w:r>
      <w:r w:rsidR="08A03E23" w:rsidRPr="00273106">
        <w:t>a Rochelle</w:t>
      </w:r>
      <w:r w:rsidR="08A03E23">
        <w:fldChar w:fldCharType="begin"/>
      </w:r>
      <w:r w:rsidR="08A03E23">
        <w:instrText xml:space="preserve"> XE "</w:instrText>
      </w:r>
      <w:r w:rsidR="08A03E23" w:rsidRPr="00AF76AF">
        <w:instrText>Jean de la Rochelle</w:instrText>
      </w:r>
      <w:r w:rsidR="08A03E23">
        <w:instrText xml:space="preserve">" </w:instrText>
      </w:r>
      <w:r w:rsidR="08A03E23">
        <w:fldChar w:fldCharType="end"/>
      </w:r>
      <w:r w:rsidR="08A03E23" w:rsidRPr="00273106">
        <w:t xml:space="preserve"> </w:t>
      </w:r>
      <w:r w:rsidR="08A03E23">
        <w:t xml:space="preserve">(†1245) má pro ranou historii objektivity v Paříži zásadní význam, protože svou autoritou chránil františkánskou školu prvních modernistů sdruženou kolem editace </w:t>
      </w:r>
      <w:r w:rsidR="08A03E23" w:rsidRPr="08D57A39">
        <w:rPr>
          <w:i/>
        </w:rPr>
        <w:t>Summa Halensis</w:t>
      </w:r>
      <w:r w:rsidR="08A03E23">
        <w:t xml:space="preserve">. V této líhni pařížských modernistů působil oxfordský bakalář Rufus a zde začínal svá studia i Bonaventura. Krize modernistů v Paříži naplno vypukla v roce 1245, kdy nový magistr regens Odo Rigaldus </w:t>
      </w:r>
      <w:r w:rsidR="00C27321">
        <w:t xml:space="preserve">asi </w:t>
      </w:r>
      <w:r w:rsidR="08A03E23">
        <w:t xml:space="preserve">přestal tyto </w:t>
      </w:r>
      <w:r w:rsidR="00797931">
        <w:t xml:space="preserve">modernisty </w:t>
      </w:r>
      <w:r w:rsidR="08A03E23">
        <w:t xml:space="preserve">akademicky hájit. </w:t>
      </w:r>
      <w:r w:rsidR="00C27321">
        <w:t xml:space="preserve">V této době </w:t>
      </w:r>
      <w:r w:rsidR="08A03E23">
        <w:t xml:space="preserve">Rufus neobhájil svůj výklad </w:t>
      </w:r>
      <w:r w:rsidR="08A03E23" w:rsidRPr="081C79EA">
        <w:rPr>
          <w:i/>
        </w:rPr>
        <w:t>De anima</w:t>
      </w:r>
      <w:r w:rsidR="08A03E23">
        <w:t xml:space="preserve"> proti </w:t>
      </w:r>
      <w:r w:rsidR="00644A4E">
        <w:t xml:space="preserve">Albertovi </w:t>
      </w:r>
      <w:r w:rsidR="08A03E23">
        <w:t xml:space="preserve">tehdy jmenovanému </w:t>
      </w:r>
      <w:r w:rsidR="00644A4E">
        <w:t>jako nový magistr</w:t>
      </w:r>
      <w:r w:rsidR="08A03E23">
        <w:t xml:space="preserve"> regens</w:t>
      </w:r>
      <w:r w:rsidR="00644A4E">
        <w:t xml:space="preserve"> Pařížské univerzity</w:t>
      </w:r>
      <w:r w:rsidR="08A03E23">
        <w:t xml:space="preserve">. </w:t>
      </w:r>
      <w:r w:rsidR="00C27321">
        <w:t xml:space="preserve">Rufus musel opustit Paříž, což bylo rozhodnutí františkánů, a ne magistrů univerzity. </w:t>
      </w:r>
      <w:r w:rsidR="08A03E23">
        <w:t xml:space="preserve">Škola augustiniánského avicennismu zavedla kategoriální </w:t>
      </w:r>
      <w:r w:rsidR="08A03E23" w:rsidRPr="00273106">
        <w:t xml:space="preserve">predikaci univerzálií a první dualismus duše a těla jako dvou oddělených substancí. Tato skupina </w:t>
      </w:r>
      <w:r w:rsidR="08A03E23">
        <w:t xml:space="preserve">působící v Paříži </w:t>
      </w:r>
      <w:r w:rsidR="08A03E23" w:rsidRPr="00273106">
        <w:lastRenderedPageBreak/>
        <w:t xml:space="preserve">utváří výchozí pozici nově dané školy </w:t>
      </w:r>
      <w:r w:rsidR="08A03E23" w:rsidRPr="00273106">
        <w:rPr>
          <w:i/>
        </w:rPr>
        <w:t>Modernorum</w:t>
      </w:r>
      <w:r w:rsidR="08A03E23">
        <w:t xml:space="preserve"> a b</w:t>
      </w:r>
      <w:r w:rsidR="08A03E23" w:rsidRPr="00273106">
        <w:t xml:space="preserve">iskup Alvernus </w:t>
      </w:r>
      <w:r w:rsidR="08A03E23">
        <w:t xml:space="preserve">ji nazval termínem </w:t>
      </w:r>
      <w:r w:rsidR="08A03E23" w:rsidRPr="00273106">
        <w:rPr>
          <w:i/>
        </w:rPr>
        <w:t xml:space="preserve">sophistae </w:t>
      </w:r>
      <w:r w:rsidR="08A03E23">
        <w:rPr>
          <w:i/>
        </w:rPr>
        <w:t>Latini</w:t>
      </w:r>
      <w:r w:rsidR="08A03E23">
        <w:rPr>
          <w:i/>
        </w:rPr>
        <w:fldChar w:fldCharType="begin"/>
      </w:r>
      <w:r w:rsidR="08A03E23">
        <w:instrText xml:space="preserve"> XE "</w:instrText>
      </w:r>
      <w:r w:rsidR="08A03E23" w:rsidRPr="0007799C">
        <w:instrText>druhý averroismus</w:instrText>
      </w:r>
      <w:r w:rsidR="08A03E23">
        <w:rPr>
          <w:i/>
        </w:rPr>
        <w:instrText>:</w:instrText>
      </w:r>
      <w:r w:rsidR="08FC6A62">
        <w:rPr>
          <w:i/>
        </w:rPr>
        <w:instrText>sophistae Latini</w:instrText>
      </w:r>
      <w:r w:rsidR="08A03E23">
        <w:instrText xml:space="preserve">" </w:instrText>
      </w:r>
      <w:r w:rsidR="08A03E23">
        <w:rPr>
          <w:i/>
        </w:rPr>
        <w:fldChar w:fldCharType="end"/>
      </w:r>
      <w:r w:rsidR="08A03E23" w:rsidRPr="00273106">
        <w:t xml:space="preserve">. </w:t>
      </w:r>
      <w:r w:rsidR="08A03E23">
        <w:t>Situace na Pařížské univerzitě</w:t>
      </w:r>
      <w:r w:rsidR="08A03E23" w:rsidRPr="00273106">
        <w:t xml:space="preserve"> kolem 1230‒40 ukazuje další kolo sporu</w:t>
      </w:r>
      <w:r w:rsidR="08A03E23">
        <w:t xml:space="preserve"> daného recepcí Averroese v mixu Sicilské a Toledské školy</w:t>
      </w:r>
      <w:r w:rsidR="08A03E23" w:rsidRPr="00273106">
        <w:t>.</w:t>
      </w:r>
      <w:r w:rsidR="08A03E23">
        <w:t xml:space="preserve"> Univerzální hylemorfismus zásadně odmítnutý prvním averorismem v Paříži je spojen s Rufusovou akademickou dráhou. Tento první moderní objektivista se po prohře v Paříži odsune do Oxfordu ovládaného myšlením </w:t>
      </w:r>
      <w:r w:rsidR="08A03E23" w:rsidRPr="00CD33B8">
        <w:rPr>
          <w:i/>
        </w:rPr>
        <w:t>Oxfordian Fallacy</w:t>
      </w:r>
      <w:r w:rsidR="08A03E23">
        <w:t xml:space="preserve"> a univerzálním hylemorfismem, které hájili zdejší kancléři a arcibiskupové Kilwardby a po něm </w:t>
      </w:r>
      <w:r w:rsidR="080663DB">
        <w:t xml:space="preserve">Johannes </w:t>
      </w:r>
      <w:r w:rsidR="08A03E23">
        <w:t xml:space="preserve">Pecham. Rufus na Oxfordu přežije v klidu a míru krátké, ani ne desetileté období vítězného tažení prvního averroismu Sicilské školy v Paříži. Nové kolo gigantomachie vznikne od roku 1250 na Pařížské univerzitě, kdy Sicilská škola přišla o svého zásadního církevního i akademického protektora. Po smrti biskupa Alverna se Rufus opět vrací na modernistickou školu Bonaventury do Paříže jako její ideový </w:t>
      </w:r>
      <w:r w:rsidR="08A03E23" w:rsidRPr="002A5F2C">
        <w:rPr>
          <w:i/>
        </w:rPr>
        <w:t>spiritus agens</w:t>
      </w:r>
      <w:r w:rsidR="08A03E23">
        <w:t xml:space="preserve">. Jeho příchodem do Bonaventurovy školy začínají nové dějiny objektivity dané v modu plné odkrytosti. Epochu působení západního </w:t>
      </w:r>
      <w:r w:rsidR="08A03E23" w:rsidRPr="009109C5">
        <w:rPr>
          <w:i/>
        </w:rPr>
        <w:t>Irrtum</w:t>
      </w:r>
      <w:r w:rsidR="08A03E23">
        <w:t xml:space="preserve"> zahájila tato škola oficiálním útokem na Averroese jako pohanského heretika po smrti biskupa Alverna. Na Oxfordské univerzitě ovládané myšlením </w:t>
      </w:r>
      <w:r w:rsidR="08A03E23" w:rsidRPr="000327C2">
        <w:rPr>
          <w:i/>
        </w:rPr>
        <w:t>Oxfordian Fallacy</w:t>
      </w:r>
      <w:r w:rsidR="08A03E23">
        <w:t xml:space="preserve"> už dojde jen ke střídání stráží ve škole druhého averroismu, v němž plně vítězí modernisté. Grosseteste odchází na biskupský stolec do Lincolnu a v letech 1245–50 přichází do Oxfordu z Paříže jak františkán Rufus tak dominikán Kilwardby.</w:t>
      </w:r>
    </w:p>
    <w:p w14:paraId="4724F79E" w14:textId="44B19CDC" w:rsidR="08A03E23" w:rsidRDefault="0053497A" w:rsidP="00AC7D25">
      <w:pPr>
        <w:ind w:firstLine="397"/>
      </w:pPr>
      <w:r>
        <w:t xml:space="preserve">Třetí a čtvrtý </w:t>
      </w:r>
      <w:r w:rsidRPr="0053497A">
        <w:t>pól</w:t>
      </w:r>
      <w:r>
        <w:t xml:space="preserve"> součtveří</w:t>
      </w:r>
      <w:r w:rsidRPr="0053497A">
        <w:t>, který se týká sporu o smy</w:t>
      </w:r>
      <w:r>
        <w:t xml:space="preserve">sl jsoucna, </w:t>
      </w:r>
      <w:r w:rsidRPr="00273106">
        <w:t>ukáže následující m</w:t>
      </w:r>
      <w:r>
        <w:t xml:space="preserve">atrice sledující vývoj metafyziky latinského Západu po roce 1250. </w:t>
      </w:r>
      <w:r w:rsidR="003A6652">
        <w:t>Třetí pól součtveří se utvářel jinak v Oxfordu a jinak v Paříži. Sk</w:t>
      </w:r>
      <w:r w:rsidR="003A6652" w:rsidRPr="00273106">
        <w:t xml:space="preserve">upina </w:t>
      </w:r>
      <w:r w:rsidR="003A6652">
        <w:t xml:space="preserve">myslitelů kolem </w:t>
      </w:r>
      <w:r w:rsidR="003A6652" w:rsidRPr="00273106">
        <w:t>Jan</w:t>
      </w:r>
      <w:r w:rsidR="003A6652">
        <w:t>a</w:t>
      </w:r>
      <w:r w:rsidR="003A6652" w:rsidRPr="00273106">
        <w:t xml:space="preserve"> Pagus</w:t>
      </w:r>
      <w:r w:rsidR="003A6652">
        <w:t>e</w:t>
      </w:r>
      <w:r w:rsidR="003A6652">
        <w:fldChar w:fldCharType="begin"/>
      </w:r>
      <w:r w:rsidR="003A6652">
        <w:instrText xml:space="preserve"> XE "</w:instrText>
      </w:r>
      <w:r w:rsidR="003A6652" w:rsidRPr="00BB6E8D">
        <w:instrText>Pagus</w:instrText>
      </w:r>
      <w:r w:rsidR="003A6652">
        <w:instrText xml:space="preserve">, John" </w:instrText>
      </w:r>
      <w:r w:rsidR="003A6652">
        <w:fldChar w:fldCharType="end"/>
      </w:r>
      <w:r w:rsidR="003A6652" w:rsidRPr="00273106">
        <w:t xml:space="preserve"> </w:t>
      </w:r>
      <w:r w:rsidR="003A6652">
        <w:t>(</w:t>
      </w:r>
      <w:r w:rsidR="003A6652">
        <w:rPr>
          <w:rStyle w:val="reference-text"/>
        </w:rPr>
        <w:t>Johannes Pagus</w:t>
      </w:r>
      <w:r w:rsidR="003A6652">
        <w:t xml:space="preserve">) </w:t>
      </w:r>
      <w:r w:rsidR="003A6652" w:rsidRPr="00273106">
        <w:t xml:space="preserve">inspirovaná zanikajícími školami </w:t>
      </w:r>
      <w:r w:rsidR="003A6652" w:rsidRPr="00273106">
        <w:rPr>
          <w:i/>
        </w:rPr>
        <w:t>logica Modernorum</w:t>
      </w:r>
      <w:r w:rsidR="003A6652" w:rsidRPr="00273106">
        <w:t xml:space="preserve"> předloží </w:t>
      </w:r>
      <w:r w:rsidR="003A6652">
        <w:t xml:space="preserve">na Oxfordu </w:t>
      </w:r>
      <w:r w:rsidR="003A6652" w:rsidRPr="00273106">
        <w:t>kolem 1230</w:t>
      </w:r>
      <w:r w:rsidR="003A6652">
        <w:t xml:space="preserve"> neoplatonsk</w:t>
      </w:r>
      <w:r w:rsidR="003A6652" w:rsidRPr="00273106">
        <w:t xml:space="preserve">ý výklad logických spisů Aristotela, hlavně </w:t>
      </w:r>
      <w:r w:rsidR="003A6652" w:rsidRPr="00A33C49">
        <w:rPr>
          <w:i/>
        </w:rPr>
        <w:t>Kategorií</w:t>
      </w:r>
      <w:r w:rsidR="003A6652">
        <w:t>, která doplnila ana</w:t>
      </w:r>
      <w:r w:rsidR="003A6652" w:rsidRPr="005B1358">
        <w:t>l</w:t>
      </w:r>
      <w:r w:rsidR="003A6652">
        <w:t>y</w:t>
      </w:r>
      <w:r w:rsidR="003A6652" w:rsidRPr="005B1358">
        <w:t>tický výklad</w:t>
      </w:r>
      <w:r w:rsidR="003A6652">
        <w:rPr>
          <w:i/>
        </w:rPr>
        <w:t xml:space="preserve"> </w:t>
      </w:r>
      <w:r w:rsidR="003A6652" w:rsidRPr="00A33C49">
        <w:rPr>
          <w:i/>
        </w:rPr>
        <w:t>Druhých analytik</w:t>
      </w:r>
      <w:r w:rsidR="003A6652" w:rsidRPr="00273106">
        <w:t xml:space="preserve"> </w:t>
      </w:r>
      <w:r w:rsidR="003A6652">
        <w:t xml:space="preserve">od Grossetesteho vzniklý ve stejné době. Kolem tohoto vzdělaného aristotelika vzniká rozhodující </w:t>
      </w:r>
      <w:r w:rsidR="00D042F8">
        <w:t>událost (</w:t>
      </w:r>
      <w:r w:rsidR="00D042F8" w:rsidRPr="00D042F8">
        <w:rPr>
          <w:i/>
        </w:rPr>
        <w:t>Ereignis</w:t>
      </w:r>
      <w:r w:rsidR="00D042F8">
        <w:t xml:space="preserve">) </w:t>
      </w:r>
      <w:r w:rsidR="003A6652">
        <w:rPr>
          <w:i/>
        </w:rPr>
        <w:fldChar w:fldCharType="begin"/>
      </w:r>
      <w:r w:rsidR="003A6652">
        <w:instrText xml:space="preserve"> XE "</w:instrText>
      </w:r>
      <w:r w:rsidR="003A6652" w:rsidRPr="00120BB2">
        <w:rPr>
          <w:i/>
        </w:rPr>
        <w:instrText>Ereignis</w:instrText>
      </w:r>
      <w:r w:rsidR="003A6652">
        <w:instrText xml:space="preserve">" </w:instrText>
      </w:r>
      <w:r w:rsidR="003A6652">
        <w:rPr>
          <w:i/>
        </w:rPr>
        <w:fldChar w:fldCharType="end"/>
      </w:r>
      <w:r w:rsidR="003A6652">
        <w:t xml:space="preserve">moderního myšlení, který jsme nazvali termínem </w:t>
      </w:r>
      <w:r w:rsidR="003A6652" w:rsidRPr="000158D4">
        <w:rPr>
          <w:i/>
        </w:rPr>
        <w:t>Oxfordian Fallacy</w:t>
      </w:r>
      <w:r w:rsidR="003A6652">
        <w:rPr>
          <w:i/>
        </w:rPr>
        <w:fldChar w:fldCharType="begin"/>
      </w:r>
      <w:r w:rsidR="003A6652">
        <w:instrText xml:space="preserve"> XE "objektivita</w:instrText>
      </w:r>
      <w:r w:rsidR="003A6652" w:rsidRPr="00906998">
        <w:instrText>:</w:instrText>
      </w:r>
      <w:r w:rsidR="003A6652">
        <w:instrText xml:space="preserve">Grosseteste" </w:instrText>
      </w:r>
      <w:r w:rsidR="003A6652">
        <w:rPr>
          <w:i/>
        </w:rPr>
        <w:fldChar w:fldCharType="end"/>
      </w:r>
      <w:r w:rsidR="003A6652">
        <w:t xml:space="preserve">. Analytický výklad </w:t>
      </w:r>
      <w:r w:rsidR="003A6652" w:rsidRPr="00A33C49">
        <w:rPr>
          <w:i/>
        </w:rPr>
        <w:t>Druhých analytik</w:t>
      </w:r>
      <w:r w:rsidR="003A6652">
        <w:t xml:space="preserve"> byl navázán na Anselmovo pojetí pravdy jako </w:t>
      </w:r>
      <w:r w:rsidR="003A6652" w:rsidRPr="00CC7422">
        <w:rPr>
          <w:i/>
        </w:rPr>
        <w:t>rectitudo</w:t>
      </w:r>
      <w:r w:rsidR="003A6652">
        <w:rPr>
          <w:i/>
        </w:rPr>
        <w:t xml:space="preserve"> </w:t>
      </w:r>
      <w:r w:rsidR="003A6652" w:rsidRPr="00CC7422">
        <w:t xml:space="preserve">a na Avicennovo </w:t>
      </w:r>
      <w:r w:rsidR="003A6652">
        <w:rPr>
          <w:i/>
        </w:rPr>
        <w:t>certitudo</w:t>
      </w:r>
      <w:r w:rsidR="003A6652" w:rsidRPr="00273106">
        <w:t>.</w:t>
      </w:r>
      <w:r w:rsidR="003A6652">
        <w:t xml:space="preserve"> Modernisté ovlivnění Augustinovým neoplatonismem a Avicennou byli akademicky etablovaní na Oxfordu pod Grossetestem, který byl od roku 1230 magistr regens zdejších františkánů. Ten ovšem zásadně odmítal polemické výpady iluminátů a modernistů proti Aristotelovi. Tito f</w:t>
      </w:r>
      <w:r w:rsidR="003A6652" w:rsidRPr="00273106">
        <w:t>rantiškán</w:t>
      </w:r>
      <w:r w:rsidR="003A6652">
        <w:t xml:space="preserve">ští a dominikánští bakaláři </w:t>
      </w:r>
      <w:r w:rsidR="003A6652" w:rsidRPr="00273106">
        <w:t xml:space="preserve">z Oxfordu přišli na magisterská </w:t>
      </w:r>
      <w:r w:rsidR="003A6652" w:rsidRPr="00273106">
        <w:lastRenderedPageBreak/>
        <w:t>studia do Paříže</w:t>
      </w:r>
      <w:r w:rsidR="003A6652" w:rsidRPr="00971621">
        <w:t xml:space="preserve"> </w:t>
      </w:r>
      <w:r w:rsidR="003A6652">
        <w:t>v letech 1235‒</w:t>
      </w:r>
      <w:r w:rsidR="003A6652" w:rsidRPr="00273106">
        <w:t>40</w:t>
      </w:r>
      <w:r w:rsidR="003A6652">
        <w:t xml:space="preserve">. Na rozdíl od Grossetesteho přijali oxfordští modernisté před rokem 1240 nauku o univerzálním hylemorfismu, kterou přinesli do Paříže. </w:t>
      </w:r>
      <w:r w:rsidR="003A6652" w:rsidRPr="00273106">
        <w:t>Rufus z Cornwallu</w:t>
      </w:r>
      <w:r w:rsidR="003A6652">
        <w:t xml:space="preserve"> a </w:t>
      </w:r>
      <w:r w:rsidR="003A6652" w:rsidRPr="00273106">
        <w:t>Robert Kilwardby</w:t>
      </w:r>
      <w:r w:rsidR="003A6652">
        <w:t xml:space="preserve"> </w:t>
      </w:r>
      <w:r w:rsidR="003A6652" w:rsidRPr="00273106">
        <w:t xml:space="preserve">importují do zdejší </w:t>
      </w:r>
      <w:r w:rsidR="003A6652" w:rsidRPr="00273106">
        <w:rPr>
          <w:i/>
        </w:rPr>
        <w:t>alma mater</w:t>
      </w:r>
      <w:r w:rsidR="003A6652">
        <w:t xml:space="preserve"> </w:t>
      </w:r>
      <w:r w:rsidR="003A6652" w:rsidRPr="00273106">
        <w:t xml:space="preserve">analytickou interpretaci </w:t>
      </w:r>
      <w:r w:rsidR="003A6652" w:rsidRPr="001C0EE2">
        <w:rPr>
          <w:i/>
        </w:rPr>
        <w:t>Organonu</w:t>
      </w:r>
      <w:r w:rsidR="003A6652">
        <w:t xml:space="preserve"> danou na Oxfordu v logice porretánských škol. V Paříži tato škola logických analytiků existovala také, což ukazuje rozbor </w:t>
      </w:r>
      <w:r w:rsidR="003A6652" w:rsidRPr="005B1358">
        <w:rPr>
          <w:i/>
        </w:rPr>
        <w:t>Kategorií</w:t>
      </w:r>
      <w:r w:rsidR="003A6652">
        <w:t xml:space="preserve"> podle logických škol </w:t>
      </w:r>
      <w:r w:rsidR="003A6652" w:rsidRPr="00721877">
        <w:rPr>
          <w:i/>
        </w:rPr>
        <w:t>Nominales</w:t>
      </w:r>
      <w:r w:rsidR="003A6652">
        <w:t xml:space="preserve"> jako byl </w:t>
      </w:r>
      <w:r w:rsidR="003A6652" w:rsidRPr="00273106">
        <w:t>Mikuláš z Paříže</w:t>
      </w:r>
      <w:r w:rsidR="003A6652">
        <w:fldChar w:fldCharType="begin"/>
      </w:r>
      <w:r w:rsidR="003A6652">
        <w:instrText xml:space="preserve"> XE "</w:instrText>
      </w:r>
      <w:r w:rsidR="003A6652" w:rsidRPr="00E044F0">
        <w:instrText>Mikuláš z Paříže</w:instrText>
      </w:r>
      <w:r w:rsidR="003A6652">
        <w:instrText xml:space="preserve">" </w:instrText>
      </w:r>
      <w:r w:rsidR="003A6652">
        <w:fldChar w:fldCharType="end"/>
      </w:r>
      <w:r w:rsidR="003A6652" w:rsidRPr="00273106">
        <w:t xml:space="preserve"> </w:t>
      </w:r>
      <w:r w:rsidR="003A6652">
        <w:t xml:space="preserve">(Nicolaus Parisiensis, kap. 3.1.2). Rozvoj porretánské analytické školy zvané </w:t>
      </w:r>
      <w:r w:rsidR="003A6652" w:rsidRPr="005B1358">
        <w:rPr>
          <w:i/>
        </w:rPr>
        <w:t>Grammatici</w:t>
      </w:r>
      <w:r w:rsidR="003A6652">
        <w:t xml:space="preserve"> však zabrzdila kritika biskupa a kancléře Alverna, která navazovala na Abelardovu školu a její obranu Boethia. Tuto linii metafyziky bránila klasická </w:t>
      </w:r>
      <w:r w:rsidR="003A6652" w:rsidRPr="00E90777">
        <w:rPr>
          <w:i/>
        </w:rPr>
        <w:t>logika Vetus</w:t>
      </w:r>
      <w:r w:rsidR="003A6652">
        <w:t xml:space="preserve">. Dalším faktorem brzdícím nástup moderny na Pařížské univerzitě byl příchod Sicilské interpretace Averroese podané Michaelem Scotem roku 1230. </w:t>
      </w:r>
      <w:r w:rsidR="003A37DF">
        <w:t>Logicky daná univocita</w:t>
      </w:r>
      <w:r w:rsidR="003A37DF" w:rsidRPr="00273106">
        <w:t xml:space="preserve"> jsoucna podle </w:t>
      </w:r>
      <w:r w:rsidR="003A37DF">
        <w:t xml:space="preserve">již </w:t>
      </w:r>
      <w:r w:rsidR="003A37DF" w:rsidRPr="00273106">
        <w:t xml:space="preserve">zaniklých </w:t>
      </w:r>
      <w:r w:rsidR="003A37DF">
        <w:t xml:space="preserve">škol </w:t>
      </w:r>
      <w:r w:rsidR="003A37DF" w:rsidRPr="00273106">
        <w:rPr>
          <w:i/>
        </w:rPr>
        <w:t>Nominales</w:t>
      </w:r>
      <w:r w:rsidR="003A37DF">
        <w:t xml:space="preserve"> umožnila první </w:t>
      </w:r>
      <w:r w:rsidR="003A37DF" w:rsidRPr="00273106">
        <w:t xml:space="preserve">systematizovaný </w:t>
      </w:r>
      <w:r w:rsidR="003A37DF">
        <w:t>ná</w:t>
      </w:r>
      <w:r w:rsidR="003A37DF" w:rsidRPr="00273106">
        <w:t xml:space="preserve">hled na </w:t>
      </w:r>
      <w:r w:rsidR="003A37DF">
        <w:t xml:space="preserve">hypostázovanou verzi </w:t>
      </w:r>
      <w:r w:rsidR="003A37DF" w:rsidRPr="003A37DF">
        <w:rPr>
          <w:i/>
        </w:rPr>
        <w:t>tertium ens</w:t>
      </w:r>
      <w:r w:rsidR="003A37DF">
        <w:t xml:space="preserve">. Tuto první vlnu účinnou modernismu lze datovat do již zmíněné </w:t>
      </w:r>
      <w:r w:rsidR="003A37DF" w:rsidRPr="00273106">
        <w:t xml:space="preserve">františkánské </w:t>
      </w:r>
      <w:r w:rsidR="003A37DF">
        <w:t xml:space="preserve">komunity kolem Alexandra Halského, kterou doplnili akademičtí ilumináti z Oxfordu jako byl Rufus a Kilwardby. </w:t>
      </w:r>
      <w:r w:rsidR="00D24CCF">
        <w:t>R</w:t>
      </w:r>
      <w:r w:rsidRPr="0053497A">
        <w:t>ozhodující bitva</w:t>
      </w:r>
      <w:r>
        <w:t xml:space="preserve"> mezi školou prvního a druhého a</w:t>
      </w:r>
      <w:r w:rsidRPr="0053497A">
        <w:t>verroismu se konala po vzniku první fakulty modernistů na un</w:t>
      </w:r>
      <w:r>
        <w:t>iverzitě v Paříži v letech 1255–</w:t>
      </w:r>
      <w:r w:rsidRPr="0053497A">
        <w:t>77. Františkáni</w:t>
      </w:r>
      <w:r>
        <w:t xml:space="preserve"> vedeni Bonaventurou a oxfordským m</w:t>
      </w:r>
      <w:r w:rsidRPr="0053497A">
        <w:t>odernistou Rufusem museli dobýt nejdůležitější univerzitu na Zá</w:t>
      </w:r>
      <w:r>
        <w:t xml:space="preserve">padě. </w:t>
      </w:r>
      <w:r w:rsidR="08A03E23">
        <w:t>Kolem roku 1245 to neměli oxfordští modernisté v Paříži lehké a byli terčem akademické kritiky. Po obhajově univerzálního hylemorfismu přineseného z Oxfordu se tato kritika změnila na přímý posměch Alberta a Bacona. Hlavní opora těchto bakalářů-modernistů v jejich krušných časech (1240‒50) byly logické a nominalistické školy v Paříži. Jenže ty zanikají zejména díky působení Blundovy aristotelské školy posílené příchodem Averroesova korpusu interpretovaného podle Sicilské školy</w:t>
      </w:r>
      <w:r w:rsidR="08A03E23" w:rsidRPr="00273106">
        <w:t xml:space="preserve">. </w:t>
      </w:r>
      <w:r w:rsidR="08A03E23">
        <w:t>A útok na Averroese jako nejvznešenějš</w:t>
      </w:r>
      <w:r w:rsidR="00112DCB">
        <w:t>ího filosofa byl kolem roku 1240–50</w:t>
      </w:r>
      <w:r w:rsidR="08A03E23">
        <w:t xml:space="preserve"> v Paříži akademicky neprůchodný</w:t>
      </w:r>
      <w:r w:rsidR="00821D1A">
        <w:t>,</w:t>
      </w:r>
      <w:r w:rsidR="08A03E23">
        <w:t xml:space="preserve"> díky brilantní interpretaci Alverna, Alberta a Bacona. Tato trojice </w:t>
      </w:r>
      <w:r w:rsidR="00CC1CAF">
        <w:t xml:space="preserve">eminentních </w:t>
      </w:r>
      <w:r w:rsidR="08A03E23">
        <w:t xml:space="preserve">vykladačů oddělila Aristotela od neoplatonské interpretace a odmítla Rufusovu kritiku Komentátora podanou v díle </w:t>
      </w:r>
      <w:r w:rsidR="08A03E23" w:rsidRPr="00016AB3">
        <w:rPr>
          <w:i/>
        </w:rPr>
        <w:t>Contra Averroem</w:t>
      </w:r>
      <w:r w:rsidR="08A03E23">
        <w:t xml:space="preserve"> (asi 1236). Novým terčem útoku prvních modernistů v Paříži se po rehabilitaci Aristotela (1231) stane Komentátor jako brilantní vykladač aristotelského smyslu Korpusu. První averroismus Sicilské školy vytvořil aristotelismus</w:t>
      </w:r>
      <w:r w:rsidR="08A03E23" w:rsidRPr="00C879BC">
        <w:t xml:space="preserve"> </w:t>
      </w:r>
      <w:r w:rsidR="08A03E23">
        <w:t xml:space="preserve">slučitelný s křesťanstvím, což udělal Averroes a Al-Ghazálí pro falsafu už o </w:t>
      </w:r>
      <w:r w:rsidR="009127D0">
        <w:t xml:space="preserve">jedno </w:t>
      </w:r>
      <w:r w:rsidR="08A03E23">
        <w:t>století dříve. Toledská recepce Averroese prodělává v této době zajímavý vývoj. P</w:t>
      </w:r>
      <w:r w:rsidR="08A03E23" w:rsidRPr="00273106">
        <w:t xml:space="preserve">roud </w:t>
      </w:r>
      <w:r w:rsidR="08A03E23">
        <w:t xml:space="preserve">myšlení vzniklý v rámci </w:t>
      </w:r>
      <w:r w:rsidR="08A03E23" w:rsidRPr="000F3A07">
        <w:rPr>
          <w:i/>
        </w:rPr>
        <w:t>Oxfordian Fallacy</w:t>
      </w:r>
      <w:r w:rsidR="08A03E23">
        <w:rPr>
          <w:i/>
        </w:rPr>
        <w:fldChar w:fldCharType="begin"/>
      </w:r>
      <w:r w:rsidR="08A03E23">
        <w:instrText xml:space="preserve"> XE "</w:instrText>
      </w:r>
      <w:r w:rsidR="08A03E23" w:rsidRPr="0015798D">
        <w:rPr>
          <w:i/>
        </w:rPr>
        <w:instrText>Oxfordian Fallacy:</w:instrText>
      </w:r>
      <w:r w:rsidR="08A03E23">
        <w:instrText xml:space="preserve">Bonaventurova </w:instrText>
      </w:r>
      <w:r w:rsidR="08A03E23">
        <w:lastRenderedPageBreak/>
        <w:instrText xml:space="preserve">škola" </w:instrText>
      </w:r>
      <w:r w:rsidR="08A03E23">
        <w:rPr>
          <w:i/>
        </w:rPr>
        <w:fldChar w:fldCharType="end"/>
      </w:r>
      <w:r w:rsidR="08A03E23">
        <w:t xml:space="preserve"> na Oxfordu splyne s augustiniánskými a avicennistickými kompilátory </w:t>
      </w:r>
      <w:r w:rsidR="08A03E23">
        <w:rPr>
          <w:i/>
        </w:rPr>
        <w:t>Summa H</w:t>
      </w:r>
      <w:r w:rsidR="08A03E23" w:rsidRPr="000F3A07">
        <w:rPr>
          <w:i/>
        </w:rPr>
        <w:t>alensis</w:t>
      </w:r>
      <w:r w:rsidR="08A03E23">
        <w:rPr>
          <w:i/>
        </w:rPr>
        <w:fldChar w:fldCharType="begin"/>
      </w:r>
      <w:r w:rsidR="08A03E23">
        <w:instrText xml:space="preserve"> XE "</w:instrText>
      </w:r>
      <w:r w:rsidR="08A03E23" w:rsidRPr="00F14A6F">
        <w:rPr>
          <w:i/>
        </w:rPr>
        <w:instrText>Summa Halensis</w:instrText>
      </w:r>
      <w:r w:rsidR="08A03E23">
        <w:instrText xml:space="preserve">" </w:instrText>
      </w:r>
      <w:r w:rsidR="08A03E23">
        <w:rPr>
          <w:i/>
        </w:rPr>
        <w:fldChar w:fldCharType="end"/>
      </w:r>
      <w:r w:rsidR="08A03E23">
        <w:t xml:space="preserve"> v Paříži. Škola druhého averroismu vznikla fůzí </w:t>
      </w:r>
      <w:r w:rsidR="08A03E23" w:rsidRPr="00273106">
        <w:t xml:space="preserve">dvou proudů </w:t>
      </w:r>
      <w:r w:rsidR="08A03E23" w:rsidRPr="00273106">
        <w:rPr>
          <w:i/>
        </w:rPr>
        <w:t>Modernorum</w:t>
      </w:r>
      <w:r w:rsidR="08A03E23">
        <w:t>, tedy oxfordských porretánů a pařížských avicennistů v letech 1235‒40</w:t>
      </w:r>
      <w:r w:rsidR="08A03E23">
        <w:fldChar w:fldCharType="begin"/>
      </w:r>
      <w:r w:rsidR="08A03E23">
        <w:instrText xml:space="preserve"> XE "</w:instrText>
      </w:r>
      <w:r w:rsidR="08A03E23" w:rsidRPr="00042587">
        <w:instrText>druhý averroismus:původ</w:instrText>
      </w:r>
      <w:r w:rsidR="08A03E23">
        <w:instrText xml:space="preserve">" </w:instrText>
      </w:r>
      <w:r w:rsidR="08A03E23">
        <w:fldChar w:fldCharType="end"/>
      </w:r>
      <w:r w:rsidR="08A03E23">
        <w:t xml:space="preserve">. </w:t>
      </w:r>
      <w:r w:rsidR="08A03E23" w:rsidRPr="00273106">
        <w:t xml:space="preserve">Skupina editorů kolem </w:t>
      </w:r>
      <w:r w:rsidR="08A03E23" w:rsidRPr="00273106">
        <w:rPr>
          <w:i/>
        </w:rPr>
        <w:t>Summa Halensis</w:t>
      </w:r>
      <w:r w:rsidR="08A03E23" w:rsidRPr="00273106">
        <w:t xml:space="preserve"> </w:t>
      </w:r>
      <w:r w:rsidR="08A03E23">
        <w:t>pod vedením Rupelly a avicennistů kolem Filipa Kancléře tímto spojením dostala c</w:t>
      </w:r>
      <w:r w:rsidR="08A03E23" w:rsidRPr="00273106">
        <w:t>harakter nové školy myšlení, což neušlo kritickému biskupu Alvernovi.</w:t>
      </w:r>
      <w:r w:rsidR="08A03E23">
        <w:t xml:space="preserve"> </w:t>
      </w:r>
      <w:r w:rsidR="08A03E23" w:rsidRPr="00273106">
        <w:t>P</w:t>
      </w:r>
      <w:r w:rsidR="08A03E23">
        <w:t xml:space="preserve">ojmenovává tuto skupinu názvem </w:t>
      </w:r>
      <w:r w:rsidR="08A03E23" w:rsidRPr="00273106">
        <w:rPr>
          <w:i/>
        </w:rPr>
        <w:t>sophistae Latini</w:t>
      </w:r>
      <w:r w:rsidR="08A03E23" w:rsidRPr="00273106">
        <w:t xml:space="preserve"> a po něm totéž provede </w:t>
      </w:r>
      <w:r w:rsidR="08A03E23">
        <w:t xml:space="preserve">jeho žák Albert posměšným titulem </w:t>
      </w:r>
      <w:r w:rsidR="08A03E23" w:rsidRPr="00273106">
        <w:rPr>
          <w:i/>
        </w:rPr>
        <w:t>Latin</w:t>
      </w:r>
      <w:r w:rsidR="08A03E23">
        <w:rPr>
          <w:i/>
        </w:rPr>
        <w:t xml:space="preserve">i </w:t>
      </w:r>
      <w:r w:rsidR="08A03E23" w:rsidRPr="00F82CDE">
        <w:t xml:space="preserve">či </w:t>
      </w:r>
      <w:r w:rsidR="08A03E23">
        <w:rPr>
          <w:i/>
        </w:rPr>
        <w:t>doctores Latini</w:t>
      </w:r>
      <w:r w:rsidR="08A03E23">
        <w:rPr>
          <w:i/>
        </w:rPr>
        <w:fldChar w:fldCharType="begin"/>
      </w:r>
      <w:r w:rsidR="08A03E23">
        <w:instrText xml:space="preserve"> XE "druhý averroismus:</w:instrText>
      </w:r>
      <w:r w:rsidR="08A03E23">
        <w:rPr>
          <w:i/>
        </w:rPr>
        <w:instrText>doctores Latini</w:instrText>
      </w:r>
      <w:r w:rsidR="08A03E23">
        <w:instrText xml:space="preserve">" </w:instrText>
      </w:r>
      <w:r w:rsidR="08A03E23">
        <w:rPr>
          <w:i/>
        </w:rPr>
        <w:fldChar w:fldCharType="end"/>
      </w:r>
      <w:r w:rsidR="08A03E23" w:rsidRPr="00273106">
        <w:t xml:space="preserve">, který je adresovaný především </w:t>
      </w:r>
      <w:r w:rsidR="08A03E23">
        <w:t>jeho řádovému kolegovi</w:t>
      </w:r>
      <w:r w:rsidR="08A03E23" w:rsidRPr="00273106">
        <w:t xml:space="preserve"> Kilwardbymu. </w:t>
      </w:r>
      <w:r w:rsidR="08A03E23">
        <w:t>Stejně kriticky postupuje Bacon v Oxfordu vzhledem k prvnímu modernistovi Rufusovi z Cornwallu. Po Baconově vyhnání z Oxfordu do Paříže se jeho terčem stane Bonaventura</w:t>
      </w:r>
      <w:r w:rsidR="08A03E23" w:rsidRPr="007C224A">
        <w:rPr>
          <w:i/>
        </w:rPr>
        <w:t xml:space="preserve"> </w:t>
      </w:r>
      <w:r w:rsidR="08A03E23" w:rsidRPr="0822722A">
        <w:t>jako</w:t>
      </w:r>
      <w:r w:rsidR="08A03E23">
        <w:rPr>
          <w:i/>
        </w:rPr>
        <w:t xml:space="preserve"> </w:t>
      </w:r>
      <w:r w:rsidR="08A03E23" w:rsidRPr="007C224A">
        <w:rPr>
          <w:i/>
        </w:rPr>
        <w:t>spiritus agens</w:t>
      </w:r>
      <w:r w:rsidR="08A03E23">
        <w:t xml:space="preserve"> celé školy druhého averroismu. Spojením oxfordských porretánů vyznávajících analytické paradigma </w:t>
      </w:r>
      <w:r w:rsidR="08A03E23" w:rsidRPr="00226631">
        <w:rPr>
          <w:i/>
        </w:rPr>
        <w:t>Oxfordian Fallacy</w:t>
      </w:r>
      <w:r w:rsidR="08A03E23">
        <w:rPr>
          <w:i/>
        </w:rPr>
        <w:fldChar w:fldCharType="begin"/>
      </w:r>
      <w:r w:rsidR="08A03E23">
        <w:instrText xml:space="preserve"> XE "</w:instrText>
      </w:r>
      <w:r w:rsidR="08A03E23" w:rsidRPr="0015798D">
        <w:rPr>
          <w:i/>
        </w:rPr>
        <w:instrText>Oxfordian Fallacy:</w:instrText>
      </w:r>
      <w:r w:rsidR="08A03E23" w:rsidRPr="00EF0B16">
        <w:instrText xml:space="preserve">analytické </w:instrText>
      </w:r>
      <w:r w:rsidR="08A03E23">
        <w:instrText xml:space="preserve">paradigma" </w:instrText>
      </w:r>
      <w:r w:rsidR="08A03E23">
        <w:rPr>
          <w:i/>
        </w:rPr>
        <w:fldChar w:fldCharType="end"/>
      </w:r>
      <w:r w:rsidR="08A03E23">
        <w:t xml:space="preserve"> se školou porretánských logiků a avicennistů kolem Filipa Kancléře (</w:t>
      </w:r>
      <w:r w:rsidR="08A03E23" w:rsidRPr="00226631">
        <w:rPr>
          <w:i/>
        </w:rPr>
        <w:t>Grammatici</w:t>
      </w:r>
      <w:r w:rsidR="08A03E23">
        <w:t>) a s františkánskou školou Alexandra</w:t>
      </w:r>
      <w:r w:rsidR="08A03E23">
        <w:fldChar w:fldCharType="begin"/>
      </w:r>
      <w:r w:rsidR="08A03E23">
        <w:instrText xml:space="preserve"> XE "Alexander, Halský" </w:instrText>
      </w:r>
      <w:r w:rsidR="08A03E23">
        <w:fldChar w:fldCharType="end"/>
      </w:r>
      <w:r w:rsidR="08A03E23">
        <w:t xml:space="preserve"> Halského (</w:t>
      </w:r>
      <w:r w:rsidR="08A03E23" w:rsidRPr="080746D2">
        <w:rPr>
          <w:i/>
        </w:rPr>
        <w:t>sophistae Latini</w:t>
      </w:r>
      <w:r w:rsidR="08A03E23">
        <w:t xml:space="preserve">) </w:t>
      </w:r>
      <w:r w:rsidR="08A03E23">
        <w:rPr>
          <w:i/>
        </w:rPr>
        <w:fldChar w:fldCharType="begin"/>
      </w:r>
      <w:r w:rsidR="08A03E23">
        <w:instrText xml:space="preserve"> XE "druhý averroismus:</w:instrText>
      </w:r>
      <w:r w:rsidR="08A03E23">
        <w:rPr>
          <w:i/>
        </w:rPr>
        <w:instrText>Grammatici</w:instrText>
      </w:r>
      <w:r w:rsidR="08A03E23">
        <w:instrText xml:space="preserve">" </w:instrText>
      </w:r>
      <w:r w:rsidR="08A03E23">
        <w:rPr>
          <w:i/>
        </w:rPr>
        <w:fldChar w:fldCharType="end"/>
      </w:r>
      <w:r w:rsidR="08A03E23">
        <w:t xml:space="preserve">vzniká kompletní třetí pól epochálního součtveří, v němž se formuje koncept západní objektivity. Hlavním znakem nové školy modernistů se stalo nasvícení jsoucna zezadu a pluralita substancí v člověku. </w:t>
      </w:r>
      <w:r w:rsidR="08A03E23" w:rsidRPr="00273106">
        <w:t>Albert tuto skupinu po roce</w:t>
      </w:r>
      <w:r w:rsidR="08A03E23">
        <w:t xml:space="preserve"> 1250 nazývá ironickým titulem </w:t>
      </w:r>
      <w:r w:rsidR="08A03E23" w:rsidRPr="00273106">
        <w:rPr>
          <w:i/>
        </w:rPr>
        <w:t>Averroistae</w:t>
      </w:r>
      <w:r w:rsidR="08A03E23">
        <w:rPr>
          <w:i/>
        </w:rPr>
        <w:fldChar w:fldCharType="begin"/>
      </w:r>
      <w:r w:rsidR="08A03E23">
        <w:instrText xml:space="preserve"> XE "druhý averroismus:</w:instrText>
      </w:r>
      <w:r w:rsidR="08A03E23" w:rsidRPr="00851DB4">
        <w:rPr>
          <w:i/>
          <w:lang w:eastAsia="en-US"/>
        </w:rPr>
        <w:instrText>Averroistae</w:instrText>
      </w:r>
      <w:r w:rsidR="08A03E23">
        <w:instrText xml:space="preserve">" </w:instrText>
      </w:r>
      <w:r w:rsidR="08A03E23">
        <w:rPr>
          <w:i/>
        </w:rPr>
        <w:fldChar w:fldCharType="end"/>
      </w:r>
      <w:r w:rsidR="08A03E23" w:rsidRPr="00273106">
        <w:t xml:space="preserve">, protože </w:t>
      </w:r>
      <w:r w:rsidR="08A03E23">
        <w:t xml:space="preserve">tito modernisté </w:t>
      </w:r>
      <w:r w:rsidR="08A03E23" w:rsidRPr="00273106">
        <w:t xml:space="preserve">se drží </w:t>
      </w:r>
      <w:r w:rsidR="08A03E23">
        <w:t xml:space="preserve">toletánského </w:t>
      </w:r>
      <w:r w:rsidR="08A03E23" w:rsidRPr="00273106">
        <w:t xml:space="preserve">výkladu CMDA předloženého Rufusem ve spisu </w:t>
      </w:r>
      <w:r w:rsidR="08A03E23" w:rsidRPr="00273106">
        <w:rPr>
          <w:i/>
        </w:rPr>
        <w:t>Contra Averroem</w:t>
      </w:r>
      <w:r w:rsidR="08A03E23" w:rsidRPr="00273106">
        <w:t xml:space="preserve">. Syntéza </w:t>
      </w:r>
      <w:r w:rsidR="08A03E23">
        <w:t xml:space="preserve">pařížské a oxfordské větve </w:t>
      </w:r>
      <w:r w:rsidR="08A03E23" w:rsidRPr="00273106">
        <w:t>druhého</w:t>
      </w:r>
      <w:r w:rsidR="08A03E23">
        <w:t xml:space="preserve"> averroismu vytvoří kolem 1240‒</w:t>
      </w:r>
      <w:r w:rsidR="08A03E23" w:rsidRPr="00273106">
        <w:t>5</w:t>
      </w:r>
      <w:r w:rsidR="08A03E23">
        <w:t>0</w:t>
      </w:r>
      <w:r w:rsidR="08A03E23" w:rsidRPr="00273106">
        <w:t xml:space="preserve"> nový koncept </w:t>
      </w:r>
      <w:r w:rsidR="08A03E23" w:rsidRPr="00273106">
        <w:rPr>
          <w:i/>
        </w:rPr>
        <w:t>tertium ens</w:t>
      </w:r>
      <w:r w:rsidR="08A03E23">
        <w:rPr>
          <w:i/>
        </w:rPr>
        <w:fldChar w:fldCharType="begin"/>
      </w:r>
      <w:r w:rsidR="08A03E23">
        <w:instrText xml:space="preserve"> XE "</w:instrText>
      </w:r>
      <w:r w:rsidR="08A03E23" w:rsidRPr="002F10B4">
        <w:rPr>
          <w:rStyle w:val="Zvraznn"/>
        </w:rPr>
        <w:instrText>tertium ens</w:instrText>
      </w:r>
      <w:r w:rsidR="08A03E23" w:rsidRPr="00297761">
        <w:rPr>
          <w:rStyle w:val="Zvraznn"/>
          <w:i w:val="0"/>
        </w:rPr>
        <w:instrText>:moderna</w:instrText>
      </w:r>
      <w:r w:rsidR="08A03E23">
        <w:instrText xml:space="preserve">" </w:instrText>
      </w:r>
      <w:r w:rsidR="08A03E23">
        <w:rPr>
          <w:i/>
        </w:rPr>
        <w:fldChar w:fldCharType="end"/>
      </w:r>
      <w:r w:rsidR="08A03E23" w:rsidRPr="00273106">
        <w:t xml:space="preserve">, který založí moderní objektivitu (Rufusovo </w:t>
      </w:r>
      <w:r w:rsidR="08A03E23" w:rsidRPr="00273106">
        <w:rPr>
          <w:i/>
        </w:rPr>
        <w:t>Speculum animae</w:t>
      </w:r>
      <w:r w:rsidR="08A03E23" w:rsidRPr="00273106">
        <w:t xml:space="preserve">, </w:t>
      </w:r>
      <w:r w:rsidR="08A03E23">
        <w:t>K</w:t>
      </w:r>
      <w:r w:rsidR="08A03E23" w:rsidRPr="00273106">
        <w:t>ilwardbyho</w:t>
      </w:r>
      <w:r w:rsidR="08A03E23" w:rsidRPr="00C2736C">
        <w:t xml:space="preserve"> </w:t>
      </w:r>
      <w:r w:rsidR="08A03E23" w:rsidRPr="00C2736C">
        <w:rPr>
          <w:i/>
        </w:rPr>
        <w:t>De ortu scientiarum</w:t>
      </w:r>
      <w:r w:rsidR="08A03E23">
        <w:rPr>
          <w:i/>
        </w:rPr>
        <w:t>,</w:t>
      </w:r>
      <w:r w:rsidR="08A03E23" w:rsidRPr="0012668D">
        <w:t xml:space="preserve"> </w:t>
      </w:r>
      <w:r w:rsidR="08A03E23" w:rsidRPr="00273106">
        <w:t>anonym</w:t>
      </w:r>
      <w:r w:rsidR="08DF295B">
        <w:t>ní</w:t>
      </w:r>
      <w:r w:rsidR="08A03E23" w:rsidRPr="00273106">
        <w:t xml:space="preserve"> </w:t>
      </w:r>
      <w:r w:rsidR="08A03E23" w:rsidRPr="00273106">
        <w:rPr>
          <w:i/>
        </w:rPr>
        <w:t>Summa philosophiae</w:t>
      </w:r>
      <w:r w:rsidR="08A03E23">
        <w:t xml:space="preserve">). </w:t>
      </w:r>
      <w:r w:rsidR="00751FEA">
        <w:t>Podle Bacona vznikla š</w:t>
      </w:r>
      <w:r w:rsidR="08A03E23">
        <w:t xml:space="preserve">kola druhého averroismu v Paříži, kde byli oxfordští bakaláři na </w:t>
      </w:r>
      <w:r w:rsidR="08114F1B">
        <w:t xml:space="preserve">magisterských </w:t>
      </w:r>
      <w:r w:rsidR="08A03E23">
        <w:t xml:space="preserve">studiích. Tito latinští sofisté ovšem nemohli do smrti biskupa Alverna působit na artistické fakultě v Rue du Fouarre ovládané znalci Aristotela z prvního averroismu </w:t>
      </w:r>
      <w:r w:rsidR="08DE6CFE">
        <w:t>(kap. 3</w:t>
      </w:r>
      <w:r w:rsidR="08A03E23" w:rsidRPr="00273106">
        <w:t>.2.3)</w:t>
      </w:r>
      <w:r w:rsidR="08A03E23">
        <w:t>. Za pontifikátu Alverna  se modernisté stáhli z artistické fakulty na svá řádová učiliště, což dosvědčuje spor akademických mendikantů se sekulárními magistry na Rue du Fouarre jako byl aristotelik a rektor Guillelmus</w:t>
      </w:r>
      <w:r w:rsidR="08A03E23" w:rsidRPr="00052A0E">
        <w:t xml:space="preserve"> de Sancto Amore</w:t>
      </w:r>
      <w:r w:rsidR="08A03E23">
        <w:fldChar w:fldCharType="begin"/>
      </w:r>
      <w:r w:rsidR="08A03E23">
        <w:instrText xml:space="preserve"> XE "</w:instrText>
      </w:r>
      <w:r w:rsidR="08A03E23" w:rsidRPr="003B256A">
        <w:instrText xml:space="preserve"> </w:instrText>
      </w:r>
      <w:r w:rsidR="08A03E23">
        <w:instrText>Guillelmus</w:instrText>
      </w:r>
      <w:r w:rsidR="08A03E23" w:rsidRPr="00E51395">
        <w:instrText xml:space="preserve"> de Sancto Amore</w:instrText>
      </w:r>
      <w:r w:rsidR="08A03E23">
        <w:instrText xml:space="preserve">" </w:instrText>
      </w:r>
      <w:r w:rsidR="08A03E23">
        <w:fldChar w:fldCharType="end"/>
      </w:r>
      <w:r w:rsidR="08A03E23">
        <w:t xml:space="preserve">. </w:t>
      </w:r>
      <w:r w:rsidR="08A03E23" w:rsidRPr="00273106">
        <w:t>Zastánci druhého averroismu jako dominikán Kilwardby na Oxfordu nebo františkán Bonaventura v Paříž</w:t>
      </w:r>
      <w:r w:rsidR="08A03E23">
        <w:t>i</w:t>
      </w:r>
      <w:r w:rsidR="08A03E23" w:rsidRPr="00273106">
        <w:t xml:space="preserve"> museli vyrazit po </w:t>
      </w:r>
      <w:r w:rsidR="08A03E23">
        <w:t xml:space="preserve">roce </w:t>
      </w:r>
      <w:r w:rsidR="08A03E23" w:rsidRPr="00273106">
        <w:t>1250 do protiútoku</w:t>
      </w:r>
      <w:r w:rsidR="08A03E23">
        <w:t xml:space="preserve"> proti tzv. „averroistům“ ze školy prvního </w:t>
      </w:r>
      <w:r w:rsidR="08A03E23">
        <w:lastRenderedPageBreak/>
        <w:t>averroismu. O</w:t>
      </w:r>
      <w:r w:rsidR="08A03E23" w:rsidRPr="00273106">
        <w:t>bviněními z hereze byly ohroženy akademické pozice a církevní úřady</w:t>
      </w:r>
      <w:r w:rsidR="08A03E23">
        <w:t xml:space="preserve"> všech představitelů druhého averroismu, minimálně do smrti biskupa Alverna</w:t>
      </w:r>
      <w:r w:rsidR="08A03E23" w:rsidRPr="00273106">
        <w:t xml:space="preserve">. </w:t>
      </w:r>
      <w:r w:rsidR="08A03E23">
        <w:t xml:space="preserve">Františkán Bonaventura začíná vítězné tažení modernismu </w:t>
      </w:r>
      <w:r w:rsidR="08A03E23" w:rsidRPr="00273106">
        <w:t>po roce 1250</w:t>
      </w:r>
      <w:r w:rsidR="08A03E23">
        <w:t xml:space="preserve"> útokem na Averroese jako heretického filosofa. </w:t>
      </w:r>
      <w:r w:rsidR="00782D40">
        <w:t>Po smrti biskupa Alverna</w:t>
      </w:r>
      <w:r w:rsidR="00782D40" w:rsidRPr="0053497A">
        <w:t xml:space="preserve"> </w:t>
      </w:r>
      <w:r w:rsidR="00782D40">
        <w:t>skončila krátká, ale důležitá vláda</w:t>
      </w:r>
      <w:r w:rsidR="00782D40" w:rsidRPr="0053497A">
        <w:t xml:space="preserve"> kritické filozofie, která byla spojena s biskupskou autoritou v Paříži. Odchod aristotelského kancléře, který spolu s mladými filozofy jako </w:t>
      </w:r>
      <w:r w:rsidR="00782D40">
        <w:t xml:space="preserve">byl </w:t>
      </w:r>
      <w:r w:rsidR="00782D40" w:rsidRPr="0053497A">
        <w:t xml:space="preserve">Bacon a </w:t>
      </w:r>
      <w:r w:rsidR="00782D40">
        <w:t>Albert obhajoval školu prvního a</w:t>
      </w:r>
      <w:r w:rsidR="00782D40" w:rsidRPr="0053497A">
        <w:t xml:space="preserve">verroismu sicilského původu, změnil </w:t>
      </w:r>
      <w:r w:rsidR="00782D40">
        <w:t>rovno</w:t>
      </w:r>
      <w:r w:rsidR="00782D40" w:rsidRPr="0053497A">
        <w:t xml:space="preserve">váhu sil a umožnil akademický a autoritářský příchod moderny. Akademický </w:t>
      </w:r>
      <w:r w:rsidR="00782D40">
        <w:t>p</w:t>
      </w:r>
      <w:r w:rsidR="00782D40" w:rsidRPr="0053497A">
        <w:t xml:space="preserve">očátek </w:t>
      </w:r>
      <w:r w:rsidR="00782D40" w:rsidRPr="0053497A">
        <w:rPr>
          <w:i/>
        </w:rPr>
        <w:t>via Modernorum</w:t>
      </w:r>
      <w:r w:rsidR="00782D40" w:rsidRPr="0053497A">
        <w:t xml:space="preserve"> lze datovat papežskou bulou </w:t>
      </w:r>
      <w:r w:rsidR="00782D40" w:rsidRPr="00273106">
        <w:rPr>
          <w:i/>
        </w:rPr>
        <w:t>Quasi lignum vitae</w:t>
      </w:r>
      <w:r w:rsidR="00782D40">
        <w:t xml:space="preserve"> (1255)</w:t>
      </w:r>
      <w:r w:rsidR="00782D40" w:rsidRPr="0053497A">
        <w:t xml:space="preserve">, která potvrdila vytvoření dvou profesorských křesel vedených </w:t>
      </w:r>
      <w:r w:rsidR="00782D40">
        <w:t xml:space="preserve">mendikantskými </w:t>
      </w:r>
      <w:r w:rsidR="00782D40" w:rsidRPr="0053497A">
        <w:t>řády na Pařížské univerzitě.</w:t>
      </w:r>
      <w:r w:rsidR="00782D40">
        <w:t xml:space="preserve"> Nová </w:t>
      </w:r>
      <w:r w:rsidR="00782D40" w:rsidRPr="0053497A">
        <w:t>fakulta první moderní filozofie se musela vyrovnat se zavedenou inter</w:t>
      </w:r>
      <w:r w:rsidR="00782D40">
        <w:t>pretací Averroesova korpusu na Sicilské a Toledské škole. Aristotelský a avicennovský</w:t>
      </w:r>
      <w:r w:rsidR="00782D40" w:rsidRPr="0053497A">
        <w:t xml:space="preserve"> Averroes byl modernizován podle </w:t>
      </w:r>
      <w:r w:rsidR="00782D40">
        <w:t xml:space="preserve">filosofie založené na </w:t>
      </w:r>
      <w:r w:rsidR="00782D40" w:rsidRPr="00E068BC">
        <w:rPr>
          <w:i/>
        </w:rPr>
        <w:t>Oxfordian Fallacy</w:t>
      </w:r>
      <w:r w:rsidR="00782D40" w:rsidRPr="0053497A">
        <w:t xml:space="preserve">, </w:t>
      </w:r>
      <w:r w:rsidR="00782D40">
        <w:t>která byla importována na Pařížskou</w:t>
      </w:r>
      <w:r w:rsidR="00782D40" w:rsidRPr="0053497A">
        <w:t xml:space="preserve"> univerzit</w:t>
      </w:r>
      <w:r w:rsidR="00782D40">
        <w:t>u</w:t>
      </w:r>
      <w:r w:rsidR="009A73F3">
        <w:t xml:space="preserve">. </w:t>
      </w:r>
      <w:r w:rsidR="009A73F3" w:rsidRPr="009A73F3">
        <w:t>Modernisté se vysmívaliAverro</w:t>
      </w:r>
      <w:r w:rsidR="009A73F3">
        <w:t>esovi a částečně i Aristotelovi</w:t>
      </w:r>
      <w:r w:rsidR="009A73F3" w:rsidRPr="009A73F3">
        <w:t xml:space="preserve">. Jejich hybris dala vzniknout prvnímu modernímu aristotelismu založenému </w:t>
      </w:r>
      <w:r w:rsidR="009A73F3">
        <w:t xml:space="preserve">na analytickém výkladu </w:t>
      </w:r>
      <w:r w:rsidR="009A73F3" w:rsidRPr="009A73F3">
        <w:rPr>
          <w:i/>
        </w:rPr>
        <w:t>Druhých Analytik</w:t>
      </w:r>
      <w:r w:rsidR="009A73F3" w:rsidRPr="009A73F3">
        <w:t>.</w:t>
      </w:r>
      <w:r w:rsidR="009A73F3">
        <w:t xml:space="preserve"> </w:t>
      </w:r>
      <w:r w:rsidR="00782D40">
        <w:t>Akademičtí mendikanti odmítli roku 1254 přísahat na statuty papežské univerzity. Rektor Guillelmus de Sancto Amore</w:t>
      </w:r>
      <w:r w:rsidR="00782D40">
        <w:fldChar w:fldCharType="begin"/>
      </w:r>
      <w:r w:rsidR="00782D40">
        <w:instrText xml:space="preserve"> XE "</w:instrText>
      </w:r>
      <w:r w:rsidR="00782D40" w:rsidRPr="00236AD3">
        <w:instrText>Guillelmus de Sancto Amore</w:instrText>
      </w:r>
      <w:r w:rsidR="00782D40">
        <w:instrText xml:space="preserve">" </w:instrText>
      </w:r>
      <w:r w:rsidR="00782D40">
        <w:fldChar w:fldCharType="end"/>
      </w:r>
      <w:r w:rsidR="00782D40">
        <w:t xml:space="preserve"> tento případ akademické neposlušnosti předložil k řešení do Říma. Papež Innocent IV. dal ve sporu za pravdu sekulárním magistrům bulou </w:t>
      </w:r>
      <w:r w:rsidR="00782D40" w:rsidRPr="00DF1C8F">
        <w:rPr>
          <w:i/>
        </w:rPr>
        <w:t>Etsi animarum</w:t>
      </w:r>
      <w:r w:rsidR="00782D40">
        <w:t xml:space="preserve"> vydanou na konci roku 1254. Ale deset dnů po smrti Innocenta IV. vychází nová bula papeže Alexandra IV. nazvaná </w:t>
      </w:r>
      <w:r w:rsidR="00782D40" w:rsidRPr="00273106">
        <w:rPr>
          <w:i/>
        </w:rPr>
        <w:t>Quasi lignum vitae</w:t>
      </w:r>
      <w:r w:rsidR="001F2F57">
        <w:t xml:space="preserve"> (1255), </w:t>
      </w:r>
      <w:r w:rsidR="00782D40">
        <w:t>která naopak potvrdila stanovisko mendikantských magistrů. Tento akademický ochránce mendikantů se stal otcem moderny</w:t>
      </w:r>
      <w:r w:rsidR="00782D40" w:rsidRPr="085843BF">
        <w:t xml:space="preserve"> </w:t>
      </w:r>
      <w:r w:rsidR="00782D40">
        <w:t xml:space="preserve">vinou svých mocenských zásahů do chodu Pařížské univertity (OBJ III, kap. 4.1.2). </w:t>
      </w:r>
      <w:r w:rsidR="08A03E23">
        <w:t>Babylonské zajetí modernistů trvalo do roku 1255, kdy si mendikantské řády zřídily vlastní katedru na Pařížské univerzitě. V tomto roce vrcholí akademický spor mezi mendikaty a sekulárními magistry, v němž škola prvního averroismu poprvé prohrává vynuceným odchodem prvních artistů z Rue du Fouarre. Prominentní obětí modernistů byl samotný rektor z Rue du Fouarre, tedy magistr Guillelmus</w:t>
      </w:r>
      <w:r w:rsidR="08A03E23" w:rsidRPr="00052A0E">
        <w:t xml:space="preserve"> de Sancto Amore</w:t>
      </w:r>
      <w:r w:rsidR="08A03E23">
        <w:t xml:space="preserve"> a jeho další kolegové. Druhá a mnohem důkladnější čistka filosofické fakulty nastolená modernisty přišla v dubnu 1277, kdy se na stranu mendikantů přidali i sekulární artističtí magistři ze školy druhého averroismu jako byl Henry z Gentu. Bonaventurův projekt předělané avicennovské metafyziky dokončí jeho řádový kolega Duns Scotus přednášející nejprve na Oxfordu a pak v Paříži kolem 1300. Tato moderní </w:t>
      </w:r>
      <w:r w:rsidR="08A03E23" w:rsidRPr="00E678C3">
        <w:rPr>
          <w:i/>
        </w:rPr>
        <w:lastRenderedPageBreak/>
        <w:t>inteligentia spiritualis</w:t>
      </w:r>
      <w:r w:rsidR="08A03E23">
        <w:t xml:space="preserve"> vzniklá v Oxfordu založila vítězný věk nikoliv Ducha svatého podle vize Joachima z Fiore, ale objektivní nihilismus Západu.</w:t>
      </w:r>
    </w:p>
    <w:p w14:paraId="703C4216" w14:textId="52D1601B" w:rsidR="08A03E23" w:rsidRDefault="08A03E23" w:rsidP="08A03E23">
      <w:r>
        <w:tab/>
        <w:t xml:space="preserve">Čtvrtý pól součtveří tvoří reformovaná škola prvního averroismu na Rue du Fouarre, které Dante </w:t>
      </w:r>
      <w:r w:rsidR="0831402F">
        <w:rPr>
          <w:rStyle w:val="st"/>
        </w:rPr>
        <w:t xml:space="preserve">Alighieri </w:t>
      </w:r>
      <w:r>
        <w:t xml:space="preserve">v </w:t>
      </w:r>
      <w:r w:rsidRPr="00EB2E6D">
        <w:rPr>
          <w:i/>
        </w:rPr>
        <w:t>Božské komedii</w:t>
      </w:r>
      <w:r>
        <w:fldChar w:fldCharType="begin"/>
      </w:r>
      <w:r>
        <w:instrText xml:space="preserve"> XE "</w:instrText>
      </w:r>
      <w:r w:rsidRPr="00B444D0">
        <w:instrText>první averroismus:vznik</w:instrText>
      </w:r>
      <w:r>
        <w:instrText xml:space="preserve">" </w:instrText>
      </w:r>
      <w:r>
        <w:fldChar w:fldCharType="end"/>
      </w:r>
      <w:r>
        <w:t xml:space="preserve"> přiřkl nesmrtelnou slávu v nebi skrze jejího velikána Sigera z Brabantu. Tato p</w:t>
      </w:r>
      <w:r w:rsidRPr="00273106">
        <w:t xml:space="preserve">oslední a pro hermeneutiku nejdůležitější skupina naváže na </w:t>
      </w:r>
      <w:r>
        <w:t xml:space="preserve">výklad </w:t>
      </w:r>
      <w:r w:rsidRPr="00DD36AC">
        <w:rPr>
          <w:i/>
        </w:rPr>
        <w:t>De anima</w:t>
      </w:r>
      <w:r>
        <w:t xml:space="preserve"> od </w:t>
      </w:r>
      <w:r w:rsidRPr="00273106">
        <w:t>Johna Blunda</w:t>
      </w:r>
      <w:r>
        <w:t xml:space="preserve"> a </w:t>
      </w:r>
      <w:r w:rsidRPr="00273106">
        <w:t xml:space="preserve">nově přečte </w:t>
      </w:r>
      <w:r w:rsidR="080A76E3">
        <w:t xml:space="preserve">aristotelský </w:t>
      </w:r>
      <w:r w:rsidRPr="00273106">
        <w:t xml:space="preserve">spis </w:t>
      </w:r>
      <w:r>
        <w:rPr>
          <w:i/>
        </w:rPr>
        <w:t>De anima</w:t>
      </w:r>
      <w:r>
        <w:t>. Podle první aristotelské recepce</w:t>
      </w:r>
      <w:r w:rsidRPr="00273106">
        <w:t xml:space="preserve"> </w:t>
      </w:r>
      <w:r>
        <w:t>Averroes</w:t>
      </w:r>
      <w:r w:rsidRPr="00273106">
        <w:t>e (</w:t>
      </w:r>
      <w:r w:rsidRPr="00273106">
        <w:rPr>
          <w:i/>
        </w:rPr>
        <w:t>De anima et de potenciis eius</w:t>
      </w:r>
      <w:r>
        <w:t xml:space="preserve">) postaví metafyziku Komentátora proti porretánům a toletánům. V duchu Sicilské školy vznikne Alvernův spis </w:t>
      </w:r>
      <w:r w:rsidRPr="08873708">
        <w:rPr>
          <w:i/>
        </w:rPr>
        <w:t>De potentiis animae et obiectis</w:t>
      </w:r>
      <w:r>
        <w:t xml:space="preserve"> proti modernistům, který završí Albertova obrana jednoty osoby v </w:t>
      </w:r>
      <w:r w:rsidRPr="08856AEA">
        <w:rPr>
          <w:i/>
        </w:rPr>
        <w:t>De homine</w:t>
      </w:r>
      <w:r>
        <w:t xml:space="preserve">. Škola prvního averroismu obhájí proti toletánům </w:t>
      </w:r>
      <w:r w:rsidRPr="00273106">
        <w:t xml:space="preserve">výklad CMDA ohledně </w:t>
      </w:r>
      <w:r w:rsidRPr="00273106">
        <w:rPr>
          <w:i/>
        </w:rPr>
        <w:t>intellectus possibilis</w:t>
      </w:r>
      <w:r>
        <w:t xml:space="preserve"> a intencionality. </w:t>
      </w:r>
      <w:r w:rsidR="083C3103">
        <w:t xml:space="preserve">První averroismus biskupa Alverna obhájil </w:t>
      </w:r>
      <w:r w:rsidR="083C3103" w:rsidRPr="00273106">
        <w:t>nauku Komentátora</w:t>
      </w:r>
      <w:r w:rsidR="083C3103">
        <w:t xml:space="preserve"> ohledně </w:t>
      </w:r>
      <w:r w:rsidR="083C3103" w:rsidRPr="083C3103">
        <w:rPr>
          <w:i/>
        </w:rPr>
        <w:t>intellectus possibilis</w:t>
      </w:r>
      <w:r w:rsidR="083C3103">
        <w:t xml:space="preserve"> a </w:t>
      </w:r>
      <w:r w:rsidR="083C3103" w:rsidRPr="083C3103">
        <w:rPr>
          <w:i/>
        </w:rPr>
        <w:t>agens</w:t>
      </w:r>
      <w:r w:rsidR="083C3103">
        <w:t xml:space="preserve"> v rámci existující osoby jako jedné substance </w:t>
      </w:r>
      <w:r w:rsidR="083C3103" w:rsidRPr="00273106">
        <w:t>(</w:t>
      </w:r>
      <w:r w:rsidR="083C3103" w:rsidRPr="00273106">
        <w:rPr>
          <w:i/>
        </w:rPr>
        <w:t>De potenciis animae et obiectis</w:t>
      </w:r>
      <w:r w:rsidR="083C3103" w:rsidRPr="00273106">
        <w:t>)</w:t>
      </w:r>
      <w:r w:rsidR="083C3103">
        <w:t xml:space="preserve">. </w:t>
      </w:r>
      <w:r w:rsidRPr="00273106">
        <w:t>Gauthier</w:t>
      </w:r>
      <w:r>
        <w:fldChar w:fldCharType="begin"/>
      </w:r>
      <w:r>
        <w:instrText xml:space="preserve"> XE "</w:instrText>
      </w:r>
      <w:r w:rsidRPr="00B030E6">
        <w:rPr>
          <w:lang w:eastAsia="en-US"/>
        </w:rPr>
        <w:instrText>Gauthier, A. R.</w:instrText>
      </w:r>
      <w:r>
        <w:instrText xml:space="preserve">" </w:instrText>
      </w:r>
      <w:r>
        <w:fldChar w:fldCharType="end"/>
      </w:r>
      <w:r w:rsidRPr="00273106">
        <w:t xml:space="preserve"> pojmenoval tu</w:t>
      </w:r>
      <w:r>
        <w:t xml:space="preserve">to školu aristoteliků termínem </w:t>
      </w:r>
      <w:r w:rsidR="00185102">
        <w:t>„</w:t>
      </w:r>
      <w:r>
        <w:t>první averroismus</w:t>
      </w:r>
      <w:r w:rsidR="00185102">
        <w:t>“</w:t>
      </w:r>
      <w:r w:rsidRPr="00273106">
        <w:t xml:space="preserve">, protože navzdory opakovaným církevním zákazům studovali do hloubky tehdy známé části </w:t>
      </w:r>
      <w:r w:rsidRPr="00273106">
        <w:rPr>
          <w:i/>
        </w:rPr>
        <w:t>Corpus Aristotelicum</w:t>
      </w:r>
      <w:r w:rsidRPr="00273106">
        <w:t xml:space="preserve">. Tito myslitelé roztroušení od Toleda, přes Oxford, Paříž, Bolognu, až na Sicílii pochopili </w:t>
      </w:r>
      <w:r>
        <w:t xml:space="preserve">zásadní </w:t>
      </w:r>
      <w:r w:rsidRPr="00273106">
        <w:t xml:space="preserve">význam </w:t>
      </w:r>
      <w:r>
        <w:t>Averroes</w:t>
      </w:r>
      <w:r w:rsidRPr="00273106">
        <w:t xml:space="preserve">ova </w:t>
      </w:r>
      <w:r w:rsidRPr="00273106">
        <w:rPr>
          <w:i/>
        </w:rPr>
        <w:t>intellectus possibilis</w:t>
      </w:r>
      <w:r w:rsidRPr="00273106">
        <w:t xml:space="preserve"> pro individuální poznání. </w:t>
      </w:r>
      <w:r>
        <w:t xml:space="preserve">Byla to první </w:t>
      </w:r>
      <w:r w:rsidRPr="00ED68C6">
        <w:rPr>
          <w:i/>
        </w:rPr>
        <w:t>respublica</w:t>
      </w:r>
      <w:r>
        <w:t xml:space="preserve"> intelektuálů, která skrytě utvářela společný osud Západu ve falsafě i v křesťanství. Pro vývoj této školy v židovství dosud chybí studie o samostatném aristotelismu v podobě Sicilské školy. </w:t>
      </w:r>
      <w:r w:rsidR="00394BBF" w:rsidRPr="00394BBF">
        <w:t xml:space="preserve">Vliv druhého averroismu v židovských kruzích byl každopádně </w:t>
      </w:r>
      <w:r w:rsidR="00394BBF">
        <w:t>zásadní</w:t>
      </w:r>
      <w:r w:rsidR="00394BBF" w:rsidRPr="00394BBF">
        <w:t>.</w:t>
      </w:r>
      <w:r w:rsidR="00394BBF">
        <w:t xml:space="preserve"> </w:t>
      </w:r>
      <w:r>
        <w:t xml:space="preserve">Doklady vlivu Toledské školy na vývoj spekulativního judaismu jsou zcela masivní po celé 13. století a zná je i Dante skrze židovské mystiky a filosofy jako byl Maimonides, Abulafia a další. </w:t>
      </w:r>
      <w:r w:rsidR="00E21248" w:rsidRPr="00273106">
        <w:t xml:space="preserve"> </w:t>
      </w:r>
      <w:r w:rsidRPr="00273106">
        <w:t xml:space="preserve">Škola prvního averroismu zavede </w:t>
      </w:r>
      <w:r>
        <w:t>Averroes</w:t>
      </w:r>
      <w:r w:rsidRPr="00273106">
        <w:t xml:space="preserve">e jako autentického komentátora Aristotela proti avicennistům a proti tehdejším </w:t>
      </w:r>
      <w:r w:rsidRPr="00273106">
        <w:rPr>
          <w:i/>
        </w:rPr>
        <w:t>Nominales</w:t>
      </w:r>
      <w:r w:rsidRPr="00273106">
        <w:t xml:space="preserve"> a využije jeho </w:t>
      </w:r>
      <w:r>
        <w:t xml:space="preserve">metafyziku </w:t>
      </w:r>
      <w:r w:rsidRPr="00273106">
        <w:t xml:space="preserve">pro křesťanskou teologii. </w:t>
      </w:r>
      <w:r w:rsidR="008F28E1">
        <w:t>Zakladatelé druhého averroismu měli zmatený koncept odděleného intelektu Toledské školy, který hájili teologové</w:t>
      </w:r>
      <w:r w:rsidR="008F28E1" w:rsidRPr="00273106">
        <w:t xml:space="preserve"> typu </w:t>
      </w:r>
      <w:r w:rsidR="008F28E1" w:rsidRPr="00273106">
        <w:rPr>
          <w:i/>
        </w:rPr>
        <w:t>Summa Duacensis</w:t>
      </w:r>
      <w:r w:rsidR="008F28E1">
        <w:rPr>
          <w:i/>
        </w:rPr>
        <w:fldChar w:fldCharType="begin"/>
      </w:r>
      <w:r w:rsidR="008F28E1">
        <w:instrText xml:space="preserve"> XE "</w:instrText>
      </w:r>
      <w:r w:rsidR="008F28E1" w:rsidRPr="000E2AD6">
        <w:rPr>
          <w:i/>
        </w:rPr>
        <w:instrText>Summa Duacensis</w:instrText>
      </w:r>
      <w:r w:rsidR="008F28E1">
        <w:instrText xml:space="preserve">" </w:instrText>
      </w:r>
      <w:r w:rsidR="008F28E1">
        <w:rPr>
          <w:i/>
        </w:rPr>
        <w:fldChar w:fldCharType="end"/>
      </w:r>
      <w:r w:rsidR="008F28E1" w:rsidRPr="00273106">
        <w:t xml:space="preserve"> </w:t>
      </w:r>
      <w:r w:rsidR="008F28E1">
        <w:t>v prostředí školy Filipa Kancléře kolem roku 1230</w:t>
      </w:r>
      <w:r w:rsidR="008F28E1" w:rsidRPr="00273106">
        <w:t>.</w:t>
      </w:r>
      <w:r w:rsidR="008F28E1">
        <w:t xml:space="preserve"> </w:t>
      </w:r>
      <w:r w:rsidR="00EB5486">
        <w:t>Pařížský biskup Alvernus odmítl</w:t>
      </w:r>
      <w:r w:rsidRPr="00273106">
        <w:t xml:space="preserve"> jako kancléř na akademické půdě Pařížské univerzity jsoucno třetího druhu obhajovaného výše uvedenou školou druhého averroismu</w:t>
      </w:r>
      <w:r w:rsidR="08AA69DE">
        <w:t xml:space="preserve">. Také veřejně odsoudil jako kancléř a arcibiskup </w:t>
      </w:r>
      <w:r>
        <w:t>teorii odděleného kosmického intelektu, který zakládá poznání světa nasvícením celku jsoucna zezadu</w:t>
      </w:r>
      <w:r w:rsidR="08262392">
        <w:t xml:space="preserve"> a zničil substanční jednotu osoby</w:t>
      </w:r>
      <w:r w:rsidRPr="00273106">
        <w:t xml:space="preserve">. První averroismus předá </w:t>
      </w:r>
      <w:r w:rsidRPr="00273106">
        <w:lastRenderedPageBreak/>
        <w:t xml:space="preserve">Západu jak nové pojetí osoby, tak i přepracované pojetí pravdy jako adekvace věci a intelektu dané na základě </w:t>
      </w:r>
      <w:r>
        <w:t>Averroes</w:t>
      </w:r>
      <w:r w:rsidRPr="00273106">
        <w:t xml:space="preserve">ových termínů </w:t>
      </w:r>
      <w:r w:rsidRPr="00273106">
        <w:rPr>
          <w:i/>
        </w:rPr>
        <w:t>proportio</w:t>
      </w:r>
      <w:r w:rsidRPr="00273106">
        <w:t xml:space="preserve">, </w:t>
      </w:r>
      <w:r w:rsidRPr="00273106">
        <w:rPr>
          <w:i/>
        </w:rPr>
        <w:t>dispositio</w:t>
      </w:r>
      <w:r w:rsidRPr="00273106">
        <w:t xml:space="preserve"> či </w:t>
      </w:r>
      <w:r w:rsidRPr="00273106">
        <w:rPr>
          <w:i/>
        </w:rPr>
        <w:t>consimilitudo</w:t>
      </w:r>
      <w:r>
        <w:rPr>
          <w:i/>
        </w:rPr>
        <w:fldChar w:fldCharType="begin"/>
      </w:r>
      <w:r>
        <w:instrText xml:space="preserve"> XE "pravda:</w:instrText>
      </w:r>
      <w:r w:rsidRPr="00DD5A84">
        <w:rPr>
          <w:i/>
        </w:rPr>
        <w:instrText>consimilitudo</w:instrText>
      </w:r>
      <w:r>
        <w:instrText xml:space="preserve">" </w:instrText>
      </w:r>
      <w:r>
        <w:rPr>
          <w:i/>
        </w:rPr>
        <w:fldChar w:fldCharType="end"/>
      </w:r>
      <w:r w:rsidRPr="00273106">
        <w:t xml:space="preserve"> (</w:t>
      </w:r>
      <w:r w:rsidR="08E909CB">
        <w:t xml:space="preserve">OBJ I, </w:t>
      </w:r>
      <w:r w:rsidRPr="00273106">
        <w:t xml:space="preserve">kap. 2.4.2). </w:t>
      </w:r>
      <w:r>
        <w:t xml:space="preserve">Díky poznání Averroesovy metafyziky Alvernus a další myslitelé zásadním způsobem rozliší neoplatonské a aristotelské výklady Korpusu, a tím založí věk klasické aristotelské scholastiky. </w:t>
      </w:r>
      <w:r w:rsidRPr="00273106">
        <w:t>A nakonec Albert Veliký za tuto skupinu běh</w:t>
      </w:r>
      <w:r>
        <w:t>em svého pařížského pobytu (</w:t>
      </w:r>
      <w:r w:rsidRPr="00273106">
        <w:t xml:space="preserve">1242‒45) předloží </w:t>
      </w:r>
      <w:r>
        <w:t xml:space="preserve">první </w:t>
      </w:r>
      <w:r w:rsidRPr="00273106">
        <w:t xml:space="preserve">systematickou koncepci individuálního poznání a intelektu </w:t>
      </w:r>
      <w:r>
        <w:t xml:space="preserve">v díle </w:t>
      </w:r>
      <w:r w:rsidRPr="00273106">
        <w:rPr>
          <w:i/>
        </w:rPr>
        <w:t>De homine</w:t>
      </w:r>
      <w:r w:rsidRPr="00273106">
        <w:t xml:space="preserve">. Na Oxfordu provede totéž kritické dílo františkán Roger Bacon, který studoval a přednášel v Paříži v letech 1237‒45 za biskupa Alverna. Jeho práce se soustředí na výklad Aristotelovy </w:t>
      </w:r>
      <w:r w:rsidRPr="004E3563">
        <w:rPr>
          <w:i/>
        </w:rPr>
        <w:t>Metafyziky</w:t>
      </w:r>
      <w:r w:rsidRPr="00273106">
        <w:t xml:space="preserve"> proti škole druhého averroismu (</w:t>
      </w:r>
      <w:r w:rsidRPr="00273106">
        <w:rPr>
          <w:i/>
        </w:rPr>
        <w:t>Metaphysica</w:t>
      </w:r>
      <w:r>
        <w:t xml:space="preserve">, </w:t>
      </w:r>
      <w:r w:rsidRPr="00273106">
        <w:t xml:space="preserve">1240‒47). </w:t>
      </w:r>
      <w:r>
        <w:t>D</w:t>
      </w:r>
      <w:r w:rsidRPr="00273106">
        <w:t>í</w:t>
      </w:r>
      <w:r>
        <w:t>lo Alberta a Bacona uzavře</w:t>
      </w:r>
      <w:r w:rsidRPr="00273106">
        <w:t xml:space="preserve"> první kolo pozitivní recepce </w:t>
      </w:r>
      <w:r>
        <w:t>Averroes</w:t>
      </w:r>
      <w:r w:rsidRPr="00273106">
        <w:t xml:space="preserve">e na latinském Západě. </w:t>
      </w:r>
      <w:r>
        <w:t xml:space="preserve">Později se k nim </w:t>
      </w:r>
      <w:r w:rsidR="08FC2A8B">
        <w:t xml:space="preserve">velmi problematicky </w:t>
      </w:r>
      <w:r>
        <w:t xml:space="preserve">připojí Tomáš Akvinský, který absolvoval </w:t>
      </w:r>
      <w:r w:rsidRPr="00273106">
        <w:t xml:space="preserve">noviciát v Paříži </w:t>
      </w:r>
      <w:r>
        <w:t>(</w:t>
      </w:r>
      <w:r w:rsidRPr="00273106">
        <w:t>1245‒48</w:t>
      </w:r>
      <w:r>
        <w:t>)</w:t>
      </w:r>
      <w:r w:rsidRPr="00273106">
        <w:t xml:space="preserve">, první </w:t>
      </w:r>
      <w:r>
        <w:t xml:space="preserve">pobyt </w:t>
      </w:r>
      <w:r w:rsidRPr="00273106">
        <w:t xml:space="preserve">jako </w:t>
      </w:r>
      <w:r>
        <w:t xml:space="preserve">student </w:t>
      </w:r>
      <w:r w:rsidRPr="00273106">
        <w:t xml:space="preserve">v Paříži </w:t>
      </w:r>
      <w:r>
        <w:t>(</w:t>
      </w:r>
      <w:r w:rsidRPr="00273106">
        <w:t>1252‒59</w:t>
      </w:r>
      <w:r>
        <w:t xml:space="preserve">) a </w:t>
      </w:r>
      <w:r w:rsidRPr="00273106">
        <w:t xml:space="preserve">druhý pobyt jako </w:t>
      </w:r>
      <w:r w:rsidRPr="00273106">
        <w:rPr>
          <w:i/>
        </w:rPr>
        <w:t>magistr regens</w:t>
      </w:r>
      <w:r>
        <w:t xml:space="preserve"> (1269‒72). </w:t>
      </w:r>
      <w:r w:rsidRPr="00273106">
        <w:t xml:space="preserve">Druhé kolo recepce </w:t>
      </w:r>
      <w:r>
        <w:t xml:space="preserve">Averroese </w:t>
      </w:r>
      <w:r w:rsidRPr="00273106">
        <w:t xml:space="preserve">otevře v následující matrici </w:t>
      </w:r>
      <w:r>
        <w:t xml:space="preserve">spor o averroismus, v němž se angažují </w:t>
      </w:r>
      <w:r w:rsidRPr="00273106">
        <w:t>představit</w:t>
      </w:r>
      <w:r>
        <w:t xml:space="preserve">elé </w:t>
      </w:r>
      <w:r w:rsidRPr="00273106">
        <w:t>druhé vlny obou škol. Druhý averroismus brání sofistická škola ustavená Bonaventurou v Paříži po 1250 a Kilwardbyho žáci na Oxfordu. Učení prvního averroismu bránil mimo Alberta Velikého také Tomáš Akvinský narychlo povolaný do Paříže na konci roku 1269. V této době první averroismus brilantně reprezentuje</w:t>
      </w:r>
      <w:r>
        <w:t xml:space="preserve"> artistický </w:t>
      </w:r>
      <w:r w:rsidRPr="00273106">
        <w:t xml:space="preserve">magistr </w:t>
      </w:r>
      <w:r>
        <w:t>a rektor</w:t>
      </w:r>
      <w:r w:rsidRPr="00A649DA">
        <w:t xml:space="preserve"> </w:t>
      </w:r>
      <w:r w:rsidRPr="00273106">
        <w:t xml:space="preserve">Siger z Brabantu, který představuje myslitelský vrchol </w:t>
      </w:r>
      <w:r w:rsidR="082F4C35">
        <w:t>této školy</w:t>
      </w:r>
      <w:r w:rsidRPr="00273106">
        <w:t xml:space="preserve">. Danteho oslava Sigera v </w:t>
      </w:r>
      <w:r w:rsidRPr="002C5153">
        <w:rPr>
          <w:i/>
        </w:rPr>
        <w:t>Božské komedii</w:t>
      </w:r>
      <w:r w:rsidRPr="00273106">
        <w:t xml:space="preserve"> dokazuje, že tento myslitel porozuměl Komentátorovi do největší hloubky z celé dosavadní západní tradice.</w:t>
      </w:r>
      <w:r>
        <w:t xml:space="preserve"> </w:t>
      </w:r>
      <w:r w:rsidRPr="00273106">
        <w:t xml:space="preserve">Sekulární kněz </w:t>
      </w:r>
      <w:r>
        <w:t xml:space="preserve">přednášející </w:t>
      </w:r>
      <w:r w:rsidRPr="00273106">
        <w:t xml:space="preserve">na slavné adrese </w:t>
      </w:r>
      <w:r>
        <w:t>Rue du Fouarre</w:t>
      </w:r>
      <w:r w:rsidRPr="00273106">
        <w:t xml:space="preserve"> sdílel neblahý osud </w:t>
      </w:r>
      <w:r>
        <w:t>Averroes</w:t>
      </w:r>
      <w:r w:rsidRPr="00273106">
        <w:t xml:space="preserve">e proskribovaného </w:t>
      </w:r>
      <w:r>
        <w:t>islámskými a křesťanskými</w:t>
      </w:r>
      <w:r w:rsidRPr="00273106">
        <w:t xml:space="preserve"> modernisty</w:t>
      </w:r>
      <w:r>
        <w:t xml:space="preserve">. Sigerův </w:t>
      </w:r>
      <w:r w:rsidRPr="00273106">
        <w:t>osud připomíná aristotelského velikána Abelarda</w:t>
      </w:r>
      <w:r>
        <w:t xml:space="preserve">, který byl </w:t>
      </w:r>
      <w:r w:rsidRPr="00273106">
        <w:t>předchůdce prvního averroismu</w:t>
      </w:r>
      <w:r>
        <w:t xml:space="preserve"> (kap. 3.3). Siger dopadl stejně špatně jako jeho předchůdce rektor Guillelmus de Sancto Amore vyhnaný z aristické fakulty po sporech s mendikanty v roce 1255. Myslitelský zmatek modernistů nepředstavoval většinové mínění vzdělaných pařížských artistů jako byli Siger z Brabantu a Boethius</w:t>
      </w:r>
      <w:r>
        <w:fldChar w:fldCharType="begin"/>
      </w:r>
      <w:r>
        <w:instrText xml:space="preserve"> XE "</w:instrText>
      </w:r>
      <w:r>
        <w:rPr>
          <w:lang w:eastAsia="en-US"/>
        </w:rPr>
        <w:instrText>Boethius z Dácie</w:instrText>
      </w:r>
      <w:r>
        <w:instrText xml:space="preserve">" </w:instrText>
      </w:r>
      <w:r>
        <w:fldChar w:fldCharType="end"/>
      </w:r>
      <w:r>
        <w:t xml:space="preserve"> z Dácie. To ukázal artistický dekret o dvojí metodě filosofie a teologie z </w:t>
      </w:r>
      <w:r w:rsidRPr="00273106">
        <w:t xml:space="preserve">1. </w:t>
      </w:r>
      <w:r>
        <w:t>dubna</w:t>
      </w:r>
      <w:r w:rsidRPr="00273106">
        <w:t xml:space="preserve"> 1272</w:t>
      </w:r>
      <w:r>
        <w:t xml:space="preserve">, který psala škola prvního averroismu podle Sicilského výkladu Komentátora. Tento dekret artistů byl zásadně zaměřen proti škole modernistů z druhého averroismu. Ale také částečně postihl i semiaverroisty z Toledské školy prvního averroismu, jako byl Tomáš Akvinský a Aegidius Romanus, </w:t>
      </w:r>
      <w:r>
        <w:rPr>
          <w:szCs w:val="24"/>
        </w:rPr>
        <w:fldChar w:fldCharType="begin"/>
      </w:r>
      <w:r>
        <w:instrText xml:space="preserve"> XE "</w:instrText>
      </w:r>
      <w:r w:rsidRPr="00FD37CA">
        <w:rPr>
          <w:szCs w:val="24"/>
        </w:rPr>
        <w:instrText>dekret artistů 1272</w:instrText>
      </w:r>
      <w:r>
        <w:instrText xml:space="preserve">" </w:instrText>
      </w:r>
      <w:r>
        <w:rPr>
          <w:szCs w:val="24"/>
        </w:rPr>
        <w:fldChar w:fldCharType="end"/>
      </w:r>
      <w:r>
        <w:t xml:space="preserve">kteří byli v této </w:t>
      </w:r>
      <w:r>
        <w:lastRenderedPageBreak/>
        <w:t>době činní jako magistři v Paříži (</w:t>
      </w:r>
      <w:r w:rsidR="08A3696A">
        <w:t>OBJ III, kap. 4</w:t>
      </w:r>
      <w:r w:rsidR="004B1EAA">
        <w:t xml:space="preserve">.1.2). V této době, </w:t>
      </w:r>
      <w:r>
        <w:t>asi roku 1270</w:t>
      </w:r>
      <w:r w:rsidR="004B1EAA">
        <w:t>,</w:t>
      </w:r>
      <w:r>
        <w:t xml:space="preserve"> je z Paříže odvolán Johannes Pecham ze školy druhého averroismu, protože stejně jako Rufus neustál kritiku sekulárních artistů z Rue du Fouarre a Akvinského. Jeho kritik Akvinský odchází po vydání dekretu artistů v roce 1272, protože modernistickou školu Pechama napadl současně s kritikou magistrů na Ru</w:t>
      </w:r>
      <w:r w:rsidR="083E19C6">
        <w:t>e du Fouarre. Ti</w:t>
      </w:r>
      <w:r w:rsidR="08EA6D19">
        <w:t>to magistři</w:t>
      </w:r>
      <w:r w:rsidR="083E19C6">
        <w:t xml:space="preserve"> nepřijali Akvinského </w:t>
      </w:r>
      <w:r>
        <w:t xml:space="preserve">výklad Aristotela, protože </w:t>
      </w:r>
      <w:r w:rsidR="08B05413">
        <w:t xml:space="preserve">jeho semi-averroistický výklad </w:t>
      </w:r>
      <w:r w:rsidR="08B05413" w:rsidRPr="08B05413">
        <w:rPr>
          <w:i/>
        </w:rPr>
        <w:t>De anima</w:t>
      </w:r>
      <w:r w:rsidR="08B05413">
        <w:t xml:space="preserve"> </w:t>
      </w:r>
      <w:r w:rsidR="083E19C6">
        <w:t xml:space="preserve">kvalifikovaně </w:t>
      </w:r>
      <w:r>
        <w:t>neodpověděl na opakované námitky Sigera. A nakonec se proti skupině Sigerovců (</w:t>
      </w:r>
      <w:r w:rsidRPr="00E25314">
        <w:rPr>
          <w:i/>
        </w:rPr>
        <w:t>pars Sigeri</w:t>
      </w:r>
      <w:r>
        <w:t>) postavila i část modernistických magistrů z Rue du Fouarre, jako byl Henry z Gentu. Vývoj po roce 1272 šel už nezadržitelně k odsouzení skupiny prvního averroismu na artistických fakultách v Paříži a v Oxfrodu v dubnu 1277. Moderní ilumináti pod vlivem pravdy jako subjektivní jistoty a správnosti použ</w:t>
      </w:r>
      <w:r w:rsidR="00045770">
        <w:t xml:space="preserve">ili k prosazení své sofistiky </w:t>
      </w:r>
      <w:r>
        <w:t xml:space="preserve">jiné prostředky, než jen filosofickou debatu. </w:t>
      </w:r>
      <w:r w:rsidRPr="00273106">
        <w:t xml:space="preserve">Albert </w:t>
      </w:r>
      <w:r>
        <w:t xml:space="preserve">znechucený myslitelským úpadkem modernistů </w:t>
      </w:r>
      <w:r w:rsidRPr="00273106">
        <w:t xml:space="preserve">odmítl </w:t>
      </w:r>
      <w:r>
        <w:t xml:space="preserve">přijet </w:t>
      </w:r>
      <w:r w:rsidRPr="00273106">
        <w:t xml:space="preserve">na Pařížskou univerzitu v době nejtěžšího sporu s druhým averroismem kolem 1270. </w:t>
      </w:r>
      <w:r>
        <w:t xml:space="preserve">Navíc by musel odpovědět na fundovanou kritiku Sigera z Brabantu, nejlepšího aristotelika tehdejší doby a největšího znalce CMDA vůbec. A jistě by musel odmítnout v duchu korektního výkladu CMDA podle Sicilské školy také Tomášův semiaverroistický výklad intelektu dělaný podle avicennismu Toledské školy. Albert nepovažoval Averroese za averroistu, což naopak jednoznačně tvrdil Akvinský od začátku své myslitelské dráhy až do konce. </w:t>
      </w:r>
      <w:r w:rsidRPr="00273106">
        <w:t xml:space="preserve">Kdyby </w:t>
      </w:r>
      <w:r>
        <w:t xml:space="preserve">věhlasní akademikové Albert s Baconem </w:t>
      </w:r>
      <w:r w:rsidRPr="00273106">
        <w:t>veřejně umravnil</w:t>
      </w:r>
      <w:r>
        <w:t>i</w:t>
      </w:r>
      <w:r w:rsidRPr="00273106">
        <w:t xml:space="preserve"> </w:t>
      </w:r>
      <w:r>
        <w:t xml:space="preserve">společnou autoritou </w:t>
      </w:r>
      <w:r w:rsidRPr="00273106">
        <w:t xml:space="preserve">pokřivené myšlení latinských sofistů </w:t>
      </w:r>
      <w:r>
        <w:t>kolem Bonaventury a kolem aristotelských semiaverroistů (Akvinský, Romanus) na P</w:t>
      </w:r>
      <w:r w:rsidRPr="00273106">
        <w:t xml:space="preserve">ařížské </w:t>
      </w:r>
      <w:r w:rsidRPr="00273106">
        <w:rPr>
          <w:i/>
        </w:rPr>
        <w:t>alma mater</w:t>
      </w:r>
      <w:r w:rsidRPr="000C4EA9">
        <w:t xml:space="preserve"> </w:t>
      </w:r>
      <w:r w:rsidRPr="00273106">
        <w:t>v osudov</w:t>
      </w:r>
      <w:r>
        <w:t>é době</w:t>
      </w:r>
      <w:r w:rsidRPr="00273106">
        <w:t xml:space="preserve"> </w:t>
      </w:r>
      <w:r>
        <w:t>1270‒77</w:t>
      </w:r>
      <w:r w:rsidRPr="00273106">
        <w:t xml:space="preserve">, možná by se </w:t>
      </w:r>
      <w:r>
        <w:t xml:space="preserve">intelektuální historie </w:t>
      </w:r>
      <w:r w:rsidRPr="00273106">
        <w:t>Západu vyvíjel</w:t>
      </w:r>
      <w:r>
        <w:t>a</w:t>
      </w:r>
      <w:r w:rsidRPr="00273106">
        <w:t xml:space="preserve"> </w:t>
      </w:r>
      <w:r>
        <w:t>úplně jinak.</w:t>
      </w:r>
    </w:p>
    <w:p w14:paraId="0064D5DD" w14:textId="679F9F00" w:rsidR="00E07582" w:rsidRDefault="08A03E23" w:rsidP="08A03E23">
      <w:r>
        <w:tab/>
        <w:t xml:space="preserve">Moderní gnostici na Západě porazili </w:t>
      </w:r>
      <w:r w:rsidR="00C63CCC">
        <w:t xml:space="preserve">autentický </w:t>
      </w:r>
      <w:r>
        <w:t>aristotelismus</w:t>
      </w:r>
      <w:r w:rsidR="007D2CC3">
        <w:t xml:space="preserve">. Objektivita se vynořila ve školách </w:t>
      </w:r>
      <w:r w:rsidR="00AC7D25">
        <w:t>epochální</w:t>
      </w:r>
      <w:r w:rsidR="007D2CC3">
        <w:t>ch vítězů</w:t>
      </w:r>
      <w:r w:rsidR="00C63CCC">
        <w:t xml:space="preserve"> gigantomachie o objektivní substanci</w:t>
      </w:r>
      <w:r>
        <w:t xml:space="preserve">. Jejich pravda daná sbírkou mytopoetických jsoucen třetího druhu se stala normou myšlení Západu v modu </w:t>
      </w:r>
      <w:r w:rsidR="08EA6D19">
        <w:t xml:space="preserve">klasické </w:t>
      </w:r>
      <w:r>
        <w:t xml:space="preserve">gnostické dvojice </w:t>
      </w:r>
      <w:r w:rsidR="0002692C">
        <w:t>„</w:t>
      </w:r>
      <w:r w:rsidRPr="08B43092">
        <w:rPr>
          <w:i/>
        </w:rPr>
        <w:t>Nus et Veritas</w:t>
      </w:r>
      <w:r w:rsidR="0002692C">
        <w:t>“</w:t>
      </w:r>
      <w:r>
        <w:t xml:space="preserve">. Scholastická moderna  vytěsnila skrze obranný mechanismus </w:t>
      </w:r>
      <w:r w:rsidRPr="088176B4">
        <w:rPr>
          <w:i/>
        </w:rPr>
        <w:t>Verkehrung ins Gegenteil</w:t>
      </w:r>
      <w:r>
        <w:rPr>
          <w:i/>
        </w:rPr>
        <w:fldChar w:fldCharType="begin"/>
      </w:r>
      <w:r>
        <w:instrText xml:space="preserve"> XE "</w:instrText>
      </w:r>
      <w:r w:rsidRPr="080B0D4D">
        <w:rPr>
          <w:i/>
        </w:rPr>
        <w:instrText>Verkehrung ins Gegenteil</w:instrText>
      </w:r>
      <w:r>
        <w:instrText xml:space="preserve">" </w:instrText>
      </w:r>
      <w:r>
        <w:rPr>
          <w:i/>
        </w:rPr>
        <w:fldChar w:fldCharType="end"/>
      </w:r>
      <w:r>
        <w:t xml:space="preserve"> všechny ostatní školy zavedla je do </w:t>
      </w:r>
      <w:r w:rsidR="08BD24DC">
        <w:t xml:space="preserve">gnostické </w:t>
      </w:r>
      <w:r>
        <w:t>temnoty a mlčení (</w:t>
      </w:r>
      <w:r w:rsidRPr="08B43092">
        <w:rPr>
          <w:i/>
        </w:rPr>
        <w:t>Bythos et Sig</w:t>
      </w:r>
      <w:r>
        <w:rPr>
          <w:i/>
        </w:rPr>
        <w:t>e</w:t>
      </w:r>
      <w:r>
        <w:t>)</w:t>
      </w:r>
      <w:r w:rsidR="006A1635">
        <w:t xml:space="preserve">. Ale v této temnotě existuje také </w:t>
      </w:r>
      <w:r w:rsidR="000E02A7">
        <w:t xml:space="preserve">archaická </w:t>
      </w:r>
      <w:r w:rsidR="006A1635">
        <w:t>hermeneutika</w:t>
      </w:r>
      <w:r w:rsidR="08806BF7">
        <w:t xml:space="preserve"> a </w:t>
      </w:r>
      <w:r w:rsidR="000E02A7">
        <w:t xml:space="preserve">apollinská </w:t>
      </w:r>
      <w:r w:rsidR="006A1635">
        <w:t>dějinnost bytí</w:t>
      </w:r>
      <w:r>
        <w:t xml:space="preserve">. Vítězství logiků a akademických iluminátů nemůže být jiné než totální, protože aplikují pod vedením Fúrií na dějiny myšlení Aristotelův zákon o vyloučeném třetím. Obojí historické a vskutku apokalyptické </w:t>
      </w:r>
      <w:r w:rsidRPr="08C35D41">
        <w:rPr>
          <w:i/>
        </w:rPr>
        <w:t>factum</w:t>
      </w:r>
      <w:r>
        <w:t xml:space="preserve"> (viz </w:t>
      </w:r>
      <w:r>
        <w:lastRenderedPageBreak/>
        <w:t xml:space="preserve">původní význam slova ἀποκαλύπτω a </w:t>
      </w:r>
      <w:r w:rsidRPr="08C35D41">
        <w:rPr>
          <w:i/>
        </w:rPr>
        <w:t>facere</w:t>
      </w:r>
      <w:r>
        <w:t>) zjevuje dvojí po</w:t>
      </w:r>
      <w:r w:rsidR="00F17C51">
        <w:t>rážku Aristotelovy metafyziky. Faktografie objektivity vyrůstá ze</w:t>
      </w:r>
      <w:r>
        <w:t xml:space="preserve"> skryté dějinnosti dané skrze gigantomachii o substanci skrze Komentátora ve falsavě a na latinském Západě. Obě větve západního myšlení svedly podobný dějinný zápas myšlení o poznání světa daný v rámci platonismu nebo aristotelismu. Podobnost sporů na latinském Západě mezi filosofy a teology souvisí s vývojem </w:t>
      </w:r>
      <w:r w:rsidR="009C4409">
        <w:t xml:space="preserve">myšlení </w:t>
      </w:r>
      <w:r>
        <w:t xml:space="preserve">po zániku falsafy a přechodu islámu na teologický výklad v rámci škol </w:t>
      </w:r>
      <w:r w:rsidRPr="0016579E">
        <w:rPr>
          <w:i/>
        </w:rPr>
        <w:t xml:space="preserve">Ilm al-Kalām </w:t>
      </w:r>
      <w:r>
        <w:t xml:space="preserve">nebo </w:t>
      </w:r>
      <w:r w:rsidRPr="0016579E">
        <w:rPr>
          <w:i/>
        </w:rPr>
        <w:t>mutakalim</w:t>
      </w:r>
      <w:r>
        <w:fldChar w:fldCharType="begin"/>
      </w:r>
      <w:r>
        <w:instrText xml:space="preserve"> XE "</w:instrText>
      </w:r>
      <w:r w:rsidRPr="00514ABA">
        <w:instrText>mutakalim</w:instrText>
      </w:r>
      <w:r>
        <w:instrText xml:space="preserve">" </w:instrText>
      </w:r>
      <w:r>
        <w:fldChar w:fldCharType="end"/>
      </w:r>
      <w:r w:rsidR="00523B8A">
        <w:t xml:space="preserve">. Dílo Algazela je </w:t>
      </w:r>
      <w:r w:rsidR="00523B8A" w:rsidRPr="00523B8A">
        <w:t>nejdůležitější</w:t>
      </w:r>
      <w:r w:rsidR="00523B8A">
        <w:t xml:space="preserve"> filozofický</w:t>
      </w:r>
      <w:r w:rsidR="00523B8A" w:rsidRPr="00523B8A">
        <w:t xml:space="preserve"> průvodce </w:t>
      </w:r>
      <w:r w:rsidR="00523B8A">
        <w:t xml:space="preserve">ohledně </w:t>
      </w:r>
      <w:r w:rsidR="00523B8A" w:rsidRPr="00523B8A">
        <w:t>modernistické bitvy islámské teologie a práva.</w:t>
      </w:r>
      <w:r w:rsidR="00523B8A">
        <w:t xml:space="preserve"> </w:t>
      </w:r>
      <w:r>
        <w:t xml:space="preserve">Tento kritický muslimský teolog odmítl neoplatonský aristotelismus a svou kritikou falsafy vytvořil dějinné </w:t>
      </w:r>
      <w:r w:rsidRPr="001B1E21">
        <w:rPr>
          <w:i/>
        </w:rPr>
        <w:t>Lichtung</w:t>
      </w:r>
      <w:r>
        <w:t xml:space="preserve"> přechodu mezi falsafou a myšlením školy </w:t>
      </w:r>
      <w:r w:rsidRPr="00693CA7">
        <w:rPr>
          <w:i/>
        </w:rPr>
        <w:t>mutakalim</w:t>
      </w:r>
      <w:r>
        <w:t xml:space="preserve">. Filosofie ale dopadla na Západě přesně opačně než v islámu. Tam neoplatonští modernisté prohráli proti právnicky a fundamentálně pojatým teologům, kteří filosofické myšlení falsafy prakticky zrušili. Proto </w:t>
      </w:r>
      <w:r w:rsidR="004C18E8">
        <w:t xml:space="preserve">moderní </w:t>
      </w:r>
      <w:r>
        <w:t>bůh na islámském Západě nezemřel v procesu sekularizace</w:t>
      </w:r>
      <w:r w:rsidR="004C18E8">
        <w:t>. T</w:t>
      </w:r>
      <w:r>
        <w:t>o</w:t>
      </w:r>
      <w:r w:rsidR="004C18E8">
        <w:t>to</w:t>
      </w:r>
      <w:r>
        <w:t xml:space="preserve"> simulákrum v islámu </w:t>
      </w:r>
      <w:r w:rsidR="004C18E8">
        <w:t xml:space="preserve">vůbec </w:t>
      </w:r>
      <w:r>
        <w:t>nemohlo vzniknout. Na latinském Západě filosofičtí modernisté zvítězili skrze teology za pomoci teorie jedné pravdy založené na systému neoplatonské ontoteologie. Po zničení prvního averroismu tato škola vytvořila zpočátku velmi mocného a později reformovan</w:t>
      </w:r>
      <w:r w:rsidRPr="00DD400A">
        <w:t>ého</w:t>
      </w:r>
      <w:r>
        <w:rPr>
          <w:i/>
        </w:rPr>
        <w:t xml:space="preserve"> </w:t>
      </w:r>
      <w:r>
        <w:t xml:space="preserve">boha </w:t>
      </w:r>
      <w:r w:rsidRPr="00FF67C6">
        <w:rPr>
          <w:i/>
        </w:rPr>
        <w:t>Modernorum</w:t>
      </w:r>
      <w:r>
        <w:rPr>
          <w:i/>
        </w:rPr>
        <w:fldChar w:fldCharType="begin"/>
      </w:r>
      <w:r>
        <w:instrText xml:space="preserve"> XE "</w:instrText>
      </w:r>
      <w:r w:rsidRPr="00CC6161">
        <w:instrText>smrt boha</w:instrText>
      </w:r>
      <w:r>
        <w:instrText xml:space="preserve">" </w:instrText>
      </w:r>
      <w:r>
        <w:rPr>
          <w:i/>
        </w:rPr>
        <w:fldChar w:fldCharType="end"/>
      </w:r>
      <w:r>
        <w:t xml:space="preserve">. Toto simulákrum dosloužilo v epoše Nietzscheho, kdy se podle něj </w:t>
      </w:r>
      <w:r w:rsidR="00D5568F">
        <w:t xml:space="preserve">tento </w:t>
      </w:r>
      <w:r>
        <w:t xml:space="preserve">bůh definitivně zadusil </w:t>
      </w:r>
      <w:r w:rsidR="08DF2B3A">
        <w:t xml:space="preserve">moderní </w:t>
      </w:r>
      <w:r>
        <w:t>teologií (</w:t>
      </w:r>
      <w:r w:rsidRPr="08D87308">
        <w:rPr>
          <w:i/>
        </w:rPr>
        <w:t>Gott erstickte an der Theologie; und die Moral an der Moralität</w:t>
      </w:r>
      <w:r>
        <w:t xml:space="preserve">; </w:t>
      </w:r>
      <w:r w:rsidRPr="08BC0089">
        <w:rPr>
          <w:i/>
        </w:rPr>
        <w:t>Nachlaß</w:t>
      </w:r>
      <w:r w:rsidR="084D6973">
        <w:t xml:space="preserve"> 3.7</w:t>
      </w:r>
      <w:r w:rsidR="004B5611">
        <w:t xml:space="preserve">; </w:t>
      </w:r>
      <w:r>
        <w:t>KSA 10, 54</w:t>
      </w:r>
      <w:r>
        <w:fldChar w:fldCharType="begin"/>
      </w:r>
      <w:r w:rsidR="009B13A1">
        <w:instrText xml:space="preserve"> XE "Nietzs</w:instrText>
      </w:r>
      <w:r>
        <w:instrText xml:space="preserve">che </w:instrText>
      </w:r>
      <w:r w:rsidRPr="082B7072">
        <w:rPr>
          <w:i/>
        </w:rPr>
        <w:instrText>Nachlaß</w:instrText>
      </w:r>
      <w:r>
        <w:instrText xml:space="preserve"> </w:instrText>
      </w:r>
      <w:r w:rsidRPr="082B7072">
        <w:instrText>10, 54</w:instrText>
      </w:r>
      <w:r>
        <w:instrText xml:space="preserve">" </w:instrText>
      </w:r>
      <w:r>
        <w:fldChar w:fldCharType="end"/>
      </w:r>
      <w:r>
        <w:t xml:space="preserve">). Hermeneutika k tomu výroku dodává, že šlo o boha </w:t>
      </w:r>
      <w:r w:rsidRPr="089856E5">
        <w:rPr>
          <w:i/>
        </w:rPr>
        <w:t>Modernorum</w:t>
      </w:r>
      <w:r>
        <w:t xml:space="preserve"> a že se zadusil objektivní metafyzikou, což Nietzsche přesně viděl a pod vedením Múz také poeticky popsal.</w:t>
      </w:r>
      <w:r>
        <w:rPr>
          <w:rStyle w:val="Znakapoznpodarou"/>
        </w:rPr>
        <w:footnoteReference w:id="286"/>
      </w:r>
      <w:r>
        <w:t xml:space="preserve"> Ofenzívní latinští sofisté mocensky ovládli artistickou fakultu v Rue du Fouarre. Odtud byli vyhnáni někdy po roce 1240 prohlášením kancléře a biskupa Alverna o neslučitelnosti neoplatonských nauk o odděleném </w:t>
      </w:r>
      <w:r w:rsidRPr="00F5009F">
        <w:rPr>
          <w:i/>
        </w:rPr>
        <w:t>intellectus agens</w:t>
      </w:r>
      <w:r>
        <w:t xml:space="preserve"> s křesťanským pojetím osoby podle Sicilské interpretace CMDA. Škola druhého averroismu do sídla filosofické moudrosti vítězně vrátila pod egidou církevního práva a pořádku daného odsouzením anti-modernistů prvního averroismu ze Sicilské školy jak v Paříži tak na Oxfordu v dubnu 1277</w:t>
      </w:r>
      <w:r>
        <w:fldChar w:fldCharType="begin"/>
      </w:r>
      <w:r>
        <w:instrText xml:space="preserve"> XE "odsouzení 1277" </w:instrText>
      </w:r>
      <w:r>
        <w:fldChar w:fldCharType="end"/>
      </w:r>
      <w:r w:rsidR="00E07582">
        <w:t>.</w:t>
      </w:r>
    </w:p>
    <w:p w14:paraId="52C03017" w14:textId="039817DA" w:rsidR="08A03E23" w:rsidRDefault="00B05A2F" w:rsidP="00E07582">
      <w:pPr>
        <w:ind w:firstLine="397"/>
      </w:pPr>
      <w:r>
        <w:lastRenderedPageBreak/>
        <w:t xml:space="preserve">Dějiny modernismu ukazují </w:t>
      </w:r>
      <w:r w:rsidR="00725ABC">
        <w:t xml:space="preserve">dvojí </w:t>
      </w:r>
      <w:r w:rsidR="08A03E23" w:rsidRPr="0016579E">
        <w:rPr>
          <w:i/>
        </w:rPr>
        <w:t>Irrtum</w:t>
      </w:r>
      <w:r w:rsidR="08A03E23">
        <w:t xml:space="preserve"> metafyziky Západu. Islámská forma </w:t>
      </w:r>
      <w:r w:rsidR="006A6CF2">
        <w:t>dějinně urč</w:t>
      </w:r>
      <w:r w:rsidR="00246CD5">
        <w:t>e</w:t>
      </w:r>
      <w:r w:rsidR="006A6CF2">
        <w:t xml:space="preserve">ného omylu </w:t>
      </w:r>
      <w:r w:rsidR="08A03E23">
        <w:t>je charakterizována porážkou falsafy, protože zvítězili kritičtí teologové typu Al-Ghazálího. Jeho spor s Avicennou vítězně ukončili islámští právníci a chalífové bránící základní kulturní tradice různ</w:t>
      </w:r>
      <w:r w:rsidR="00E07582">
        <w:t>orod</w:t>
      </w:r>
      <w:r w:rsidR="08A03E23">
        <w:t xml:space="preserve">ých arabských a perských kultur spojených jednou monoteistickou vírou. Druhou formu </w:t>
      </w:r>
      <w:r w:rsidR="08A03E23" w:rsidRPr="0016579E">
        <w:rPr>
          <w:i/>
        </w:rPr>
        <w:t>Irrtum</w:t>
      </w:r>
      <w:r w:rsidR="08A03E23">
        <w:t xml:space="preserve"> na latinském Západě charakterizuje vítězství filosofie v podání latinských sofistů. Ti </w:t>
      </w:r>
      <w:r w:rsidR="00893E2A">
        <w:t xml:space="preserve">ovládli </w:t>
      </w:r>
      <w:r w:rsidR="08A03E23">
        <w:t>Pařížskou a Oxfordskou univerzitu jako zdroj moci a na univerzitní půdě porazili Averroesovu filosofii. Připomeňme, že obrana jednoty osoby podle Averroese stála u zrodu Pařížské univerzity</w:t>
      </w:r>
      <w:r w:rsidR="00B73748">
        <w:t>,</w:t>
      </w:r>
      <w:r w:rsidR="08A03E23">
        <w:t xml:space="preserve"> na rozdíl od modernistického Oxfordu. Tragický osud myšlení Západu ukazuje Averroesova kritická filosofie odmítnutá jak teologickými islamisty tak křesťanskými modernisty. Pravda filosofie reprezentovaná Averroesem se stává jak ve škole </w:t>
      </w:r>
      <w:r w:rsidR="08A03E23" w:rsidRPr="00693CA7">
        <w:rPr>
          <w:i/>
        </w:rPr>
        <w:t>mutakalim</w:t>
      </w:r>
      <w:r w:rsidR="08A03E23">
        <w:t xml:space="preserve"> tak ve druhém averroismu oficiální nepravdou odmítnutou islámskými a křesťanskými teology. Proto je tento geniální učenec a vykladač Aristotela postižen dvojí formou </w:t>
      </w:r>
      <w:r w:rsidR="08A03E23" w:rsidRPr="00BE6EA9">
        <w:rPr>
          <w:i/>
        </w:rPr>
        <w:t>damnatio memoriae</w:t>
      </w:r>
      <w:r w:rsidR="08A03E23">
        <w:t xml:space="preserve">. Dogmatické odmítnutí autentické aristotelské filosofie, jejího pojetí pravdy a poznání, založilo po smrti Ibn Rušda obě tragické verze </w:t>
      </w:r>
      <w:r w:rsidR="08A03E23" w:rsidRPr="00036C3E">
        <w:rPr>
          <w:i/>
        </w:rPr>
        <w:t>via Modernorum</w:t>
      </w:r>
      <w:r w:rsidR="08A03E23">
        <w:t xml:space="preserve"> dnešního Západu: teologický fundamentalismus islámu a objektivistický fundamentalismus moderny. Každý z těchto směrů spekulativního myšlení vidí dějiny skrze vlastní epochální </w:t>
      </w:r>
      <w:r w:rsidR="0047361D">
        <w:t>omyl podaný</w:t>
      </w:r>
      <w:r w:rsidR="08A03E23">
        <w:t xml:space="preserve"> dogmaticky. Islám a křesťanství tvoří </w:t>
      </w:r>
      <w:r w:rsidR="08A03E23" w:rsidRPr="005306F3">
        <w:t>spekulativn</w:t>
      </w:r>
      <w:r w:rsidR="08A03E23">
        <w:t>í</w:t>
      </w:r>
      <w:r w:rsidR="08A03E23" w:rsidRPr="005306F3">
        <w:t xml:space="preserve"> myšlení</w:t>
      </w:r>
      <w:r w:rsidR="08A03E23">
        <w:t xml:space="preserve"> obou škol dané skrze ten či onen vývoj metafyzického nihilismu či právního fundamentalismu.</w:t>
      </w:r>
      <w:r w:rsidR="08A03E23" w:rsidRPr="0081073A">
        <w:t xml:space="preserve"> </w:t>
      </w:r>
      <w:r w:rsidR="08A03E23">
        <w:t xml:space="preserve">V modu příslušného </w:t>
      </w:r>
      <w:r w:rsidR="001060B1">
        <w:t xml:space="preserve">nevědomého </w:t>
      </w:r>
      <w:r w:rsidR="08A03E23">
        <w:t xml:space="preserve">mechanismu </w:t>
      </w:r>
      <w:r w:rsidR="08A03E23" w:rsidRPr="008A1D71">
        <w:rPr>
          <w:i/>
        </w:rPr>
        <w:t>Verkehrung ins Gege</w:t>
      </w:r>
      <w:r w:rsidR="08A03E23">
        <w:rPr>
          <w:i/>
        </w:rPr>
        <w:t>n</w:t>
      </w:r>
      <w:r w:rsidR="08A03E23" w:rsidRPr="008A1D71">
        <w:rPr>
          <w:i/>
        </w:rPr>
        <w:t>teil</w:t>
      </w:r>
      <w:r w:rsidR="08A03E23">
        <w:rPr>
          <w:i/>
        </w:rPr>
        <w:fldChar w:fldCharType="begin"/>
      </w:r>
      <w:r w:rsidR="08A03E23">
        <w:instrText xml:space="preserve"> XE "</w:instrText>
      </w:r>
      <w:r w:rsidR="08A03E23" w:rsidRPr="00140E2F">
        <w:rPr>
          <w:i/>
        </w:rPr>
        <w:instrText>Verkehrung ins Gegenteil</w:instrText>
      </w:r>
      <w:r w:rsidR="08A03E23">
        <w:instrText xml:space="preserve">" </w:instrText>
      </w:r>
      <w:r w:rsidR="08A03E23">
        <w:rPr>
          <w:i/>
        </w:rPr>
        <w:fldChar w:fldCharType="end"/>
      </w:r>
      <w:r w:rsidR="08A03E23">
        <w:t xml:space="preserve"> dvojí dogmatické myšlení Západu promítá do diabolického Jiného (viz původní význam διαβάλλω) své perfektní, čili dějinně završené </w:t>
      </w:r>
      <w:r w:rsidR="08A03E23" w:rsidRPr="00554DE9">
        <w:rPr>
          <w:i/>
        </w:rPr>
        <w:t xml:space="preserve">alter </w:t>
      </w:r>
      <w:r w:rsidR="08A03E23" w:rsidRPr="004D7430">
        <w:rPr>
          <w:i/>
        </w:rPr>
        <w:t>ego</w:t>
      </w:r>
      <w:r w:rsidR="08A03E23">
        <w:t xml:space="preserve">. Není divu, že oba směry teologické a filosofické dogmatiky se nesnáší od </w:t>
      </w:r>
      <w:r w:rsidR="001060B1">
        <w:t>K</w:t>
      </w:r>
      <w:r w:rsidR="08A03E23">
        <w:t>řížových výprav</w:t>
      </w:r>
      <w:r w:rsidR="08A03E23">
        <w:fldChar w:fldCharType="begin"/>
      </w:r>
      <w:r w:rsidR="08A03E23">
        <w:instrText xml:space="preserve"> XE "</w:instrText>
      </w:r>
      <w:r w:rsidR="08A03E23" w:rsidRPr="006E5430">
        <w:instrText>křížové výpravy</w:instrText>
      </w:r>
      <w:r w:rsidR="08A03E23">
        <w:instrText xml:space="preserve">" </w:instrText>
      </w:r>
      <w:r w:rsidR="08A03E23">
        <w:fldChar w:fldCharType="end"/>
      </w:r>
      <w:r w:rsidR="08A03E23">
        <w:t xml:space="preserve"> až dodnes. Čestnou výjimkou obou směrů myšlení jsou pravdiví a kr</w:t>
      </w:r>
      <w:r w:rsidR="00492B63">
        <w:t>itičtí mudrci a básníci. D</w:t>
      </w:r>
      <w:r w:rsidR="08A03E23">
        <w:t>íky přízni Múz vidí nezastřenou pravdu zjevnou těm, kteří mají schopnost skutečného vidění světa.</w:t>
      </w:r>
    </w:p>
    <w:p w14:paraId="3201C3FD" w14:textId="16965E0D" w:rsidR="00643A7A" w:rsidRPr="00273106" w:rsidRDefault="00504ED5" w:rsidP="00050538">
      <w:pPr>
        <w:pStyle w:val="Nadpis2"/>
      </w:pPr>
      <w:bookmarkStart w:id="96" w:name="_Toc487234312"/>
      <w:bookmarkStart w:id="97" w:name="_Toc12558319"/>
      <w:r>
        <w:rPr>
          <w:lang w:val="cs-CZ"/>
        </w:rPr>
        <w:br w:type="page"/>
      </w:r>
      <w:bookmarkStart w:id="98" w:name="_Toc160449331"/>
      <w:r w:rsidR="08D20D28">
        <w:rPr>
          <w:lang w:val="cs-CZ"/>
        </w:rPr>
        <w:lastRenderedPageBreak/>
        <w:t>3</w:t>
      </w:r>
      <w:r w:rsidR="00895802" w:rsidRPr="00273106">
        <w:t>.</w:t>
      </w:r>
      <w:r w:rsidR="00050538" w:rsidRPr="00273106">
        <w:t>1</w:t>
      </w:r>
      <w:r w:rsidR="00895802" w:rsidRPr="00273106">
        <w:t xml:space="preserve"> </w:t>
      </w:r>
      <w:r w:rsidR="00D20534" w:rsidRPr="00273106">
        <w:t xml:space="preserve">Analytický výklad </w:t>
      </w:r>
      <w:r w:rsidR="00D20534" w:rsidRPr="00DB1188">
        <w:rPr>
          <w:i/>
        </w:rPr>
        <w:t>Druhých analytik</w:t>
      </w:r>
      <w:r w:rsidR="00D20534" w:rsidRPr="00273106">
        <w:t xml:space="preserve"> </w:t>
      </w:r>
      <w:r w:rsidR="00F218CE" w:rsidRPr="00273106">
        <w:t>(</w:t>
      </w:r>
      <w:r w:rsidR="001B4514" w:rsidRPr="00273106">
        <w:t xml:space="preserve">Robert </w:t>
      </w:r>
      <w:r w:rsidR="00F218CE" w:rsidRPr="00273106">
        <w:t>Grosseteste)</w:t>
      </w:r>
      <w:bookmarkEnd w:id="96"/>
      <w:bookmarkEnd w:id="97"/>
      <w:bookmarkEnd w:id="98"/>
    </w:p>
    <w:p w14:paraId="743AC3B3" w14:textId="5C886B18" w:rsidR="006564AE" w:rsidRDefault="08FB661E" w:rsidP="08A03E23">
      <w:r>
        <w:rPr>
          <w:color w:val="000000"/>
        </w:rPr>
        <w:t>P</w:t>
      </w:r>
      <w:r w:rsidRPr="00273106">
        <w:rPr>
          <w:color w:val="000000"/>
        </w:rPr>
        <w:t xml:space="preserve">rvní latinští vykladači </w:t>
      </w:r>
      <w:r>
        <w:rPr>
          <w:color w:val="000000"/>
        </w:rPr>
        <w:t xml:space="preserve">navázaní na výklad Averrose podle Sicilské školy </w:t>
      </w:r>
      <w:r w:rsidRPr="00273106">
        <w:rPr>
          <w:color w:val="000000"/>
        </w:rPr>
        <w:t xml:space="preserve">pochopili </w:t>
      </w:r>
      <w:r>
        <w:rPr>
          <w:color w:val="000000"/>
        </w:rPr>
        <w:t xml:space="preserve">spis </w:t>
      </w:r>
      <w:r w:rsidRPr="00B74C4E">
        <w:rPr>
          <w:i/>
          <w:color w:val="000000"/>
        </w:rPr>
        <w:t>De anima</w:t>
      </w:r>
      <w:r>
        <w:rPr>
          <w:color w:val="000000"/>
        </w:rPr>
        <w:t xml:space="preserve"> novátorským způsobem</w:t>
      </w:r>
      <w:r w:rsidRPr="00273106">
        <w:rPr>
          <w:color w:val="000000"/>
        </w:rPr>
        <w:t xml:space="preserve">. </w:t>
      </w:r>
      <w:r>
        <w:rPr>
          <w:color w:val="000000"/>
        </w:rPr>
        <w:t>T</w:t>
      </w:r>
      <w:r>
        <w:t>raktát</w:t>
      </w:r>
      <w:r w:rsidRPr="00273106">
        <w:t xml:space="preserve"> </w:t>
      </w:r>
      <w:r w:rsidRPr="00273106">
        <w:rPr>
          <w:i/>
        </w:rPr>
        <w:t>De potenciis animae et obiectis</w:t>
      </w:r>
      <w:r>
        <w:t xml:space="preserve"> kritizoval</w:t>
      </w:r>
      <w:r w:rsidRPr="00273106">
        <w:t xml:space="preserve"> průběh poznání u tehdejších neoplatoniků a </w:t>
      </w:r>
      <w:r>
        <w:t>odmítl</w:t>
      </w:r>
      <w:r w:rsidRPr="00273106">
        <w:t xml:space="preserve"> jejich koncept odděleného </w:t>
      </w:r>
      <w:r w:rsidRPr="00273106">
        <w:rPr>
          <w:i/>
        </w:rPr>
        <w:t>intellectus agens</w:t>
      </w:r>
      <w:r>
        <w:rPr>
          <w:i/>
        </w:rPr>
        <w:fldChar w:fldCharType="begin"/>
      </w:r>
      <w:r>
        <w:instrText xml:space="preserve"> XE "</w:instrText>
      </w:r>
      <w:r w:rsidRPr="00490D32">
        <w:rPr>
          <w:i/>
        </w:rPr>
        <w:instrText>intellectus agens</w:instrText>
      </w:r>
      <w:r w:rsidRPr="00C532AC">
        <w:instrText>:druhý averroismus</w:instrText>
      </w:r>
      <w:r>
        <w:instrText xml:space="preserve">" </w:instrText>
      </w:r>
      <w:r>
        <w:rPr>
          <w:i/>
        </w:rPr>
        <w:fldChar w:fldCharType="end"/>
      </w:r>
      <w:r w:rsidR="08361125">
        <w:t xml:space="preserve"> (kap. 2</w:t>
      </w:r>
      <w:r w:rsidRPr="00273106">
        <w:t>.2</w:t>
      </w:r>
      <w:r>
        <w:t>.2</w:t>
      </w:r>
      <w:r w:rsidRPr="00273106">
        <w:t xml:space="preserve">). </w:t>
      </w:r>
      <w:r w:rsidRPr="00273106">
        <w:rPr>
          <w:color w:val="000000"/>
        </w:rPr>
        <w:t>Škola kolem Blunda a její eminentní mluv</w:t>
      </w:r>
      <w:r>
        <w:rPr>
          <w:color w:val="000000"/>
        </w:rPr>
        <w:t xml:space="preserve">čí, </w:t>
      </w:r>
      <w:r w:rsidRPr="00273106">
        <w:rPr>
          <w:color w:val="000000"/>
        </w:rPr>
        <w:t>pařížský biskup Alvernus</w:t>
      </w:r>
      <w:r>
        <w:rPr>
          <w:color w:val="000000"/>
        </w:rPr>
        <w:t xml:space="preserve"> a Albert Veliký,</w:t>
      </w:r>
      <w:r w:rsidRPr="00273106">
        <w:rPr>
          <w:color w:val="000000"/>
        </w:rPr>
        <w:t xml:space="preserve"> vytvořila </w:t>
      </w:r>
      <w:r>
        <w:rPr>
          <w:color w:val="000000"/>
        </w:rPr>
        <w:t xml:space="preserve">kolem roku 1240 </w:t>
      </w:r>
      <w:r w:rsidR="00891C2E">
        <w:rPr>
          <w:color w:val="000000"/>
        </w:rPr>
        <w:t xml:space="preserve">ucelený filsofický personalismus oddělený </w:t>
      </w:r>
      <w:r w:rsidRPr="00273106">
        <w:rPr>
          <w:color w:val="000000"/>
        </w:rPr>
        <w:t xml:space="preserve">od </w:t>
      </w:r>
      <w:r>
        <w:rPr>
          <w:color w:val="000000"/>
        </w:rPr>
        <w:t>neoplatonsk</w:t>
      </w:r>
      <w:r w:rsidRPr="00273106">
        <w:rPr>
          <w:color w:val="000000"/>
        </w:rPr>
        <w:t>ých výkladů</w:t>
      </w:r>
      <w:r>
        <w:rPr>
          <w:color w:val="000000"/>
        </w:rPr>
        <w:t xml:space="preserve"> Aristotela podle Toledské školy</w:t>
      </w:r>
      <w:r w:rsidRPr="00273106">
        <w:rPr>
          <w:color w:val="000000"/>
        </w:rPr>
        <w:t>.</w:t>
      </w:r>
      <w:r>
        <w:rPr>
          <w:color w:val="000000"/>
        </w:rPr>
        <w:t xml:space="preserve"> </w:t>
      </w:r>
      <w:r w:rsidRPr="00273106">
        <w:t xml:space="preserve">Tato druhá skupina interpretátorů nehledala </w:t>
      </w:r>
      <w:r w:rsidR="00F949EB" w:rsidRPr="00273106">
        <w:t>rozdíl</w:t>
      </w:r>
      <w:r w:rsidR="00F949EB">
        <w:t xml:space="preserve"> </w:t>
      </w:r>
      <w:r w:rsidRPr="00273106">
        <w:t xml:space="preserve">mezi </w:t>
      </w:r>
      <w:r w:rsidR="00F949EB">
        <w:t>metafyzikou Averroes</w:t>
      </w:r>
      <w:r w:rsidR="00F949EB" w:rsidRPr="00273106">
        <w:t>e</w:t>
      </w:r>
      <w:r w:rsidR="00F949EB">
        <w:t xml:space="preserve"> </w:t>
      </w:r>
      <w:r w:rsidR="008E2F02">
        <w:t>a Avi</w:t>
      </w:r>
      <w:r w:rsidR="00F949EB">
        <w:t xml:space="preserve">cenny </w:t>
      </w:r>
      <w:r>
        <w:t>jako první averroismus</w:t>
      </w:r>
      <w:r w:rsidRPr="00273106">
        <w:t>, ale naopak zásadní shodu. Druhý averroismus ovlivněný neoplatonismem a augu</w:t>
      </w:r>
      <w:r>
        <w:t xml:space="preserve">stinismem sledoval </w:t>
      </w:r>
      <w:r w:rsidRPr="00273106">
        <w:t xml:space="preserve">projekt </w:t>
      </w:r>
      <w:r>
        <w:t>Al</w:t>
      </w:r>
      <w:r>
        <w:noBreakHyphen/>
        <w:t>Fárábího</w:t>
      </w:r>
      <w:r w:rsidRPr="00273106">
        <w:t xml:space="preserve"> unifikované metafyziky</w:t>
      </w:r>
      <w:r>
        <w:t xml:space="preserve"> ve stylu Avicenny, kterou na latinský Západ předal Toledský překlad </w:t>
      </w:r>
      <w:r w:rsidR="08547EA2">
        <w:t xml:space="preserve">Alfarabiova </w:t>
      </w:r>
      <w:r>
        <w:t xml:space="preserve">spisu </w:t>
      </w:r>
      <w:r w:rsidR="007C5498" w:rsidRPr="00B568C5">
        <w:rPr>
          <w:i/>
        </w:rPr>
        <w:t>De intellectu et intellecto</w:t>
      </w:r>
      <w:r w:rsidR="007C5498">
        <w:t xml:space="preserve"> </w:t>
      </w:r>
      <w:r>
        <w:t>(</w:t>
      </w:r>
      <w:r w:rsidR="08EC43A6">
        <w:t>OBJ I</w:t>
      </w:r>
      <w:r w:rsidR="08732364">
        <w:t xml:space="preserve">, </w:t>
      </w:r>
      <w:r>
        <w:t xml:space="preserve">kap. 2.1.1). </w:t>
      </w:r>
      <w:r w:rsidR="0005312E">
        <w:t>Toledský překlad</w:t>
      </w:r>
      <w:r w:rsidR="0005312E" w:rsidRPr="00273106">
        <w:t xml:space="preserve"> </w:t>
      </w:r>
      <w:r w:rsidR="0005312E">
        <w:t xml:space="preserve">byl převeden do neoplatonského paradigmatu. </w:t>
      </w:r>
      <w:r>
        <w:t>Latinský Západ provedl unifikaci neoplatonismu a aristotelismu skrze spojení Avicenny a Averroese</w:t>
      </w:r>
      <w:r w:rsidR="0076440A">
        <w:t>. Toletáni</w:t>
      </w:r>
      <w:r w:rsidR="0076440A" w:rsidRPr="0076440A">
        <w:t xml:space="preserve"> nejprve četli spisy Druhého mistra v paradigmatu Avicennovy metafyziky a</w:t>
      </w:r>
      <w:r w:rsidR="0076440A">
        <w:t xml:space="preserve"> poté učinili totéž s korpusem Komentátora</w:t>
      </w:r>
      <w:r w:rsidR="0076440A" w:rsidRPr="0076440A">
        <w:t>.</w:t>
      </w:r>
      <w:r w:rsidR="0076440A">
        <w:t xml:space="preserve"> V </w:t>
      </w:r>
      <w:r w:rsidRPr="00273106">
        <w:t xml:space="preserve">rámci známé harmonizace </w:t>
      </w:r>
      <w:r>
        <w:t>Platon</w:t>
      </w:r>
      <w:r w:rsidRPr="00273106">
        <w:t xml:space="preserve">a a Aristotela dané už ve falsafě vytvořili latinští učenci z filosofie Avicenny a </w:t>
      </w:r>
      <w:r>
        <w:t>Averroes</w:t>
      </w:r>
      <w:r w:rsidRPr="00273106">
        <w:t xml:space="preserve">e originální </w:t>
      </w:r>
      <w:r>
        <w:t>aristotelskou</w:t>
      </w:r>
      <w:r w:rsidRPr="00273106">
        <w:t xml:space="preserve"> syntézu</w:t>
      </w:r>
      <w:r>
        <w:t xml:space="preserve"> </w:t>
      </w:r>
      <w:r w:rsidRPr="00273106">
        <w:rPr>
          <w:bCs/>
          <w:i/>
        </w:rPr>
        <w:t>ad mentem Averrois</w:t>
      </w:r>
      <w:r>
        <w:t xml:space="preserve"> v modu Toledské školy</w:t>
      </w:r>
      <w:r w:rsidRPr="00273106">
        <w:t>.</w:t>
      </w:r>
      <w:r>
        <w:t xml:space="preserve"> Sofistická unifikace Avicenny a Averroese na latinském Západě navázala na neoplatonskou Al-Kindího školu ve falsafě, která podobně unifikovala Aristotela a Platona skrze učení Druhého mistra. Cenou za tuto unifikaci bylo zrušení diafanum a destrukce původní funkce </w:t>
      </w:r>
      <w:r w:rsidRPr="00D23A9C">
        <w:rPr>
          <w:i/>
        </w:rPr>
        <w:t>intellectus in potenti</w:t>
      </w:r>
      <w:r>
        <w:rPr>
          <w:i/>
        </w:rPr>
        <w:t>a</w:t>
      </w:r>
      <w:r w:rsidR="087A3A82">
        <w:t xml:space="preserve">. </w:t>
      </w:r>
      <w:r>
        <w:t>S</w:t>
      </w:r>
      <w:r w:rsidRPr="00273106">
        <w:t xml:space="preserve">yntéza </w:t>
      </w:r>
      <w:r>
        <w:t xml:space="preserve">obou velikánů falsafy </w:t>
      </w:r>
      <w:r w:rsidRPr="00273106">
        <w:t xml:space="preserve">inspirovaná </w:t>
      </w:r>
      <w:r>
        <w:t xml:space="preserve">augustiniánským </w:t>
      </w:r>
      <w:r w:rsidRPr="00273106">
        <w:t xml:space="preserve">neoplatonismem vytvořila </w:t>
      </w:r>
      <w:r>
        <w:t xml:space="preserve">v letech 1235‒40 </w:t>
      </w:r>
      <w:r w:rsidRPr="00273106">
        <w:t xml:space="preserve">problematickou konkordanci obou myslitelů, která </w:t>
      </w:r>
      <w:r>
        <w:t xml:space="preserve">založila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w:t>
      </w:r>
      <w:r>
        <w:t xml:space="preserve">Blundova škola po recepci Averroese pochopila, že </w:t>
      </w:r>
      <w:r w:rsidRPr="00273106">
        <w:t xml:space="preserve">filosofická východiska </w:t>
      </w:r>
      <w:r>
        <w:t>obo</w:t>
      </w:r>
      <w:r w:rsidR="086A7843">
        <w:t>u metafyzik se diametrálně liší</w:t>
      </w:r>
      <w:r w:rsidRPr="00273106">
        <w:t>.</w:t>
      </w:r>
      <w:r>
        <w:t xml:space="preserve"> Podobným </w:t>
      </w:r>
      <w:r w:rsidRPr="00273106">
        <w:t xml:space="preserve">způsobem se lišil antický neoplatonismus od autentického aristotelismu, což ukázala </w:t>
      </w:r>
      <w:r>
        <w:t xml:space="preserve">prolegomena k objektivitě </w:t>
      </w:r>
      <w:r w:rsidRPr="00273106">
        <w:t xml:space="preserve">na rozchodu </w:t>
      </w:r>
      <w:r>
        <w:t>Porfy</w:t>
      </w:r>
      <w:r w:rsidRPr="00273106">
        <w:t xml:space="preserve">ria s neoplatoniky ohledně výkladu spisu </w:t>
      </w:r>
      <w:r w:rsidRPr="001F22CE">
        <w:rPr>
          <w:i/>
        </w:rPr>
        <w:t>Kategorie</w:t>
      </w:r>
      <w:r w:rsidRPr="00273106">
        <w:t>.</w:t>
      </w:r>
      <w:r>
        <w:t xml:space="preserve"> První averroismus vytvořil </w:t>
      </w:r>
      <w:r w:rsidR="008C01C9">
        <w:t xml:space="preserve">integrální projekt </w:t>
      </w:r>
      <w:r>
        <w:t xml:space="preserve">metafyziky tím, že Albert </w:t>
      </w:r>
      <w:r w:rsidR="008C01C9">
        <w:t xml:space="preserve">spojil obě verze pod primátem Komentátora </w:t>
      </w:r>
      <w:r w:rsidR="08EC43A6">
        <w:t>(kap. 2</w:t>
      </w:r>
      <w:r>
        <w:t xml:space="preserve">.4.3). Avicennovské určení jsoucna v modu </w:t>
      </w:r>
      <w:r w:rsidRPr="004C0EBF">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bylo označeno jako pouhá logická abstrakce a bylo podřízeno metafyzickému určení substance </w:t>
      </w:r>
      <w:r w:rsidRPr="00D23A9C">
        <w:rPr>
          <w:i/>
        </w:rPr>
        <w:t>qua</w:t>
      </w:r>
      <w:r>
        <w:t xml:space="preserve"> substance</w:t>
      </w:r>
      <w:r>
        <w:fldChar w:fldCharType="begin"/>
      </w:r>
      <w:r>
        <w:instrText xml:space="preserve"> XE "</w:instrText>
      </w:r>
      <w:r w:rsidRPr="080632B1">
        <w:instrText xml:space="preserve">substance </w:instrText>
      </w:r>
      <w:r w:rsidRPr="080632B1">
        <w:rPr>
          <w:i/>
        </w:rPr>
        <w:instrText>qua</w:instrText>
      </w:r>
      <w:r w:rsidRPr="080632B1">
        <w:instrText xml:space="preserve"> substance</w:instrText>
      </w:r>
      <w:r>
        <w:instrText xml:space="preserve">" </w:instrText>
      </w:r>
      <w:r>
        <w:fldChar w:fldCharType="end"/>
      </w:r>
      <w:r>
        <w:t xml:space="preserve"> podle Averroese</w:t>
      </w:r>
      <w:r>
        <w:fldChar w:fldCharType="begin"/>
      </w:r>
      <w:r>
        <w:instrText xml:space="preserve"> XE "</w:instrText>
      </w:r>
      <w:r w:rsidRPr="00DE2A32">
        <w:instrText>substance</w:instrText>
      </w:r>
      <w:r>
        <w:instrText xml:space="preserve">:první averroismus" </w:instrText>
      </w:r>
      <w:r>
        <w:fldChar w:fldCharType="end"/>
      </w:r>
      <w:r>
        <w:t xml:space="preserve">. </w:t>
      </w:r>
      <w:r w:rsidR="08EA4E7C">
        <w:t xml:space="preserve">První latinský komentář Aristotelovy </w:t>
      </w:r>
      <w:r w:rsidR="08EA4E7C" w:rsidRPr="003B2DA0">
        <w:rPr>
          <w:i/>
        </w:rPr>
        <w:t>De anima</w:t>
      </w:r>
      <w:r w:rsidR="08EA4E7C">
        <w:t xml:space="preserve"> ze školy druhého averroismu </w:t>
      </w:r>
      <w:r w:rsidR="08EA4E7C">
        <w:lastRenderedPageBreak/>
        <w:t>najdeme v Erfurtském rukopisu (</w:t>
      </w:r>
      <w:r w:rsidR="08EA4E7C" w:rsidRPr="087541AD">
        <w:rPr>
          <w:i/>
        </w:rPr>
        <w:t>Quarto</w:t>
      </w:r>
      <w:r w:rsidR="08EA4E7C">
        <w:t xml:space="preserve"> 312) datovaném někdy roku 1240, jehož autorem je Rufus z Cornwallu (Wood 2001, 121). K avicennistické recepci spisu </w:t>
      </w:r>
      <w:r w:rsidR="08EA4E7C" w:rsidRPr="00837E3C">
        <w:rPr>
          <w:i/>
        </w:rPr>
        <w:t>De anima</w:t>
      </w:r>
      <w:r w:rsidR="08EA4E7C">
        <w:t xml:space="preserve"> v analytickém modu </w:t>
      </w:r>
      <w:r w:rsidR="08EA4E7C" w:rsidRPr="00A36208">
        <w:rPr>
          <w:i/>
        </w:rPr>
        <w:t>Oxfordian Fallacy</w:t>
      </w:r>
      <w:r w:rsidR="08EA4E7C">
        <w:t xml:space="preserve"> došlo v této době, což dokazují Rufusovy akademické zápasy na Pařížské univerzitě v letech 1240‒50. Ale Aristotelovy logické a vědecké spisy byly komentovány v paradigmatu modernistů už o jednu generaci dříve. </w:t>
      </w:r>
      <w:r w:rsidR="08EA4E7C" w:rsidRPr="00273106">
        <w:t xml:space="preserve">Klíčovou roli v těchto sporech hraje vedle </w:t>
      </w:r>
      <w:r w:rsidR="08EA4E7C">
        <w:t xml:space="preserve">dvojího výkladu </w:t>
      </w:r>
      <w:r w:rsidR="08EA4E7C">
        <w:rPr>
          <w:i/>
        </w:rPr>
        <w:t>De anima</w:t>
      </w:r>
      <w:r w:rsidR="08EA4E7C" w:rsidRPr="00273106">
        <w:t xml:space="preserve"> </w:t>
      </w:r>
      <w:r w:rsidR="08EA4E7C">
        <w:t xml:space="preserve">podle Sicilského či Toledského podání Komentátora </w:t>
      </w:r>
      <w:r w:rsidR="08EA4E7C" w:rsidRPr="00273106">
        <w:t xml:space="preserve">také logický spis </w:t>
      </w:r>
      <w:r w:rsidR="08EA4E7C" w:rsidRPr="00273106">
        <w:rPr>
          <w:i/>
        </w:rPr>
        <w:t>Analytica posteriora</w:t>
      </w:r>
      <w:r w:rsidR="08EA4E7C" w:rsidRPr="00273106">
        <w:t>.</w:t>
      </w:r>
      <w:r w:rsidR="08EA4E7C">
        <w:t xml:space="preserve"> </w:t>
      </w:r>
      <w:r w:rsidR="08EA4E7C" w:rsidRPr="00273106">
        <w:t xml:space="preserve">První latinský překlad </w:t>
      </w:r>
      <w:r w:rsidR="08EA4E7C" w:rsidRPr="00BC011E">
        <w:rPr>
          <w:i/>
        </w:rPr>
        <w:t>Druhých analytik</w:t>
      </w:r>
      <w:r w:rsidR="08EA4E7C" w:rsidRPr="00273106">
        <w:t xml:space="preserve"> udělal Jakub z Benátek</w:t>
      </w:r>
      <w:r w:rsidR="08EA4E7C">
        <w:fldChar w:fldCharType="begin"/>
      </w:r>
      <w:r w:rsidR="08EA4E7C">
        <w:instrText xml:space="preserve"> XE "</w:instrText>
      </w:r>
      <w:r w:rsidR="08EA4E7C" w:rsidRPr="000B0365">
        <w:instrText>Jakub z Benátek</w:instrText>
      </w:r>
      <w:r w:rsidR="08EA4E7C">
        <w:instrText xml:space="preserve">" </w:instrText>
      </w:r>
      <w:r w:rsidR="08EA4E7C">
        <w:fldChar w:fldCharType="end"/>
      </w:r>
      <w:r w:rsidR="08EA4E7C" w:rsidRPr="00273106">
        <w:t xml:space="preserve"> (</w:t>
      </w:r>
      <w:r w:rsidR="08EA4E7C" w:rsidRPr="00273106">
        <w:rPr>
          <w:color w:val="000000"/>
        </w:rPr>
        <w:t xml:space="preserve">Iacobus Veneticus Grecus) </w:t>
      </w:r>
      <w:r w:rsidR="086D72C9">
        <w:rPr>
          <w:color w:val="000000"/>
        </w:rPr>
        <w:t xml:space="preserve">v první </w:t>
      </w:r>
      <w:r w:rsidR="086D72C9" w:rsidRPr="00273106">
        <w:rPr>
          <w:color w:val="000000"/>
        </w:rPr>
        <w:t>pol</w:t>
      </w:r>
      <w:r w:rsidR="086D72C9">
        <w:rPr>
          <w:color w:val="000000"/>
        </w:rPr>
        <w:t>ovině</w:t>
      </w:r>
      <w:r w:rsidR="086D72C9" w:rsidRPr="00273106">
        <w:rPr>
          <w:color w:val="000000"/>
        </w:rPr>
        <w:t xml:space="preserve"> 12. stol</w:t>
      </w:r>
      <w:r w:rsidR="086D72C9">
        <w:rPr>
          <w:color w:val="000000"/>
        </w:rPr>
        <w:t>etí</w:t>
      </w:r>
      <w:r w:rsidR="086D72C9" w:rsidRPr="00273106">
        <w:rPr>
          <w:color w:val="000000"/>
        </w:rPr>
        <w:t xml:space="preserve"> </w:t>
      </w:r>
      <w:r w:rsidR="08EA4E7C" w:rsidRPr="00273106">
        <w:rPr>
          <w:color w:val="000000"/>
        </w:rPr>
        <w:t>a po něm minimálně dva další anonymní autoři ve druhé pol</w:t>
      </w:r>
      <w:r w:rsidR="08EA4E7C">
        <w:rPr>
          <w:color w:val="000000"/>
        </w:rPr>
        <w:t>ovině</w:t>
      </w:r>
      <w:r w:rsidR="08EA4E7C" w:rsidRPr="00273106">
        <w:rPr>
          <w:color w:val="000000"/>
        </w:rPr>
        <w:t xml:space="preserve"> 12. stol</w:t>
      </w:r>
      <w:r w:rsidR="08EA4E7C">
        <w:rPr>
          <w:color w:val="000000"/>
        </w:rPr>
        <w:t>etí</w:t>
      </w:r>
      <w:r w:rsidR="08EA4E7C" w:rsidRPr="00273106">
        <w:rPr>
          <w:color w:val="000000"/>
        </w:rPr>
        <w:t xml:space="preserve"> (</w:t>
      </w:r>
      <w:r w:rsidR="08EA4E7C" w:rsidRPr="00273106">
        <w:rPr>
          <w:i/>
          <w:color w:val="000000"/>
        </w:rPr>
        <w:t>Aristoteles Latinus</w:t>
      </w:r>
      <w:r w:rsidR="08EA4E7C">
        <w:rPr>
          <w:color w:val="000000"/>
        </w:rPr>
        <w:t xml:space="preserve"> IV.1‒</w:t>
      </w:r>
      <w:r w:rsidR="08EA4E7C" w:rsidRPr="00273106">
        <w:rPr>
          <w:color w:val="000000"/>
        </w:rPr>
        <w:t xml:space="preserve">4). </w:t>
      </w:r>
      <w:r w:rsidR="08EA4E7C">
        <w:rPr>
          <w:color w:val="000000"/>
        </w:rPr>
        <w:t>G</w:t>
      </w:r>
      <w:r w:rsidR="08EA4E7C" w:rsidRPr="00273106">
        <w:t>enerace mladých badatelů v Paříži a na Oxfordu</w:t>
      </w:r>
      <w:r w:rsidR="08EA4E7C">
        <w:rPr>
          <w:color w:val="000000"/>
        </w:rPr>
        <w:t xml:space="preserve"> četla </w:t>
      </w:r>
      <w:r w:rsidR="08EA4E7C" w:rsidRPr="00901C41">
        <w:rPr>
          <w:i/>
        </w:rPr>
        <w:t>Druhé analytiky</w:t>
      </w:r>
      <w:r w:rsidR="08EA4E7C">
        <w:rPr>
          <w:color w:val="000000"/>
        </w:rPr>
        <w:t xml:space="preserve"> </w:t>
      </w:r>
      <w:r w:rsidR="08EA4E7C" w:rsidRPr="00273106">
        <w:t xml:space="preserve">skrze integrovaný komentář </w:t>
      </w:r>
      <w:r w:rsidR="08EA4E7C">
        <w:t>Averroes</w:t>
      </w:r>
      <w:r w:rsidR="08EA4E7C" w:rsidRPr="00273106">
        <w:t xml:space="preserve">e. </w:t>
      </w:r>
      <w:r w:rsidR="08EA4E7C">
        <w:t xml:space="preserve">Dvojí recepce Averroese na latinském Západě způsobila, že musela vzniknout dvojí četba tohoto spisu podaného </w:t>
      </w:r>
      <w:r w:rsidR="08EA4E7C" w:rsidRPr="00273106">
        <w:rPr>
          <w:bCs/>
          <w:i/>
        </w:rPr>
        <w:t>ad mentem Averrois</w:t>
      </w:r>
      <w:r w:rsidR="08EA4E7C">
        <w:t xml:space="preserve">. </w:t>
      </w:r>
      <w:r w:rsidR="005225A3">
        <w:t xml:space="preserve">Na Pařížské univerzitě vznikl okolo roku 1240 zásadní a nepřekonatelný rozdíl mezi metafyzikou modernistů a klasických aristoteliků. Dílo </w:t>
      </w:r>
      <w:r w:rsidR="005225A3" w:rsidRPr="082D1E70">
        <w:rPr>
          <w:i/>
        </w:rPr>
        <w:t>De homine</w:t>
      </w:r>
      <w:r w:rsidR="005225A3">
        <w:t xml:space="preserve"> ustavilo pozici křesťanského humanismu a Albert zásadně odmítl omyly modernistů. </w:t>
      </w:r>
      <w:r w:rsidR="08EA4E7C">
        <w:t xml:space="preserve">Výklad </w:t>
      </w:r>
      <w:r w:rsidR="08EA4E7C" w:rsidRPr="00897068">
        <w:rPr>
          <w:i/>
        </w:rPr>
        <w:t>Druhých analytik</w:t>
      </w:r>
      <w:r w:rsidR="08EA4E7C">
        <w:t xml:space="preserve"> v modu prvního averroismu Sicilské školy doložil Albertův spis </w:t>
      </w:r>
      <w:r w:rsidR="08EA4E7C" w:rsidRPr="00897068">
        <w:rPr>
          <w:i/>
        </w:rPr>
        <w:t>De homine</w:t>
      </w:r>
      <w:r w:rsidR="08966465">
        <w:t xml:space="preserve"> (kap. 2</w:t>
      </w:r>
      <w:r w:rsidR="08EA4E7C">
        <w:t xml:space="preserve">.4.1). Jeho kritika </w:t>
      </w:r>
      <w:r w:rsidR="000917CB">
        <w:t xml:space="preserve">sofistických modernistů bránila aristotelské pojetí vědeckého důkazu podle </w:t>
      </w:r>
      <w:r w:rsidR="00930B8E">
        <w:t>uvedeného díla.</w:t>
      </w:r>
      <w:r w:rsidR="08EA4E7C">
        <w:t xml:space="preserve"> </w:t>
      </w:r>
      <w:r w:rsidR="08107414" w:rsidRPr="00273106">
        <w:t xml:space="preserve">Důvodem nové gigantomachie o substanci mezi prvním a druhým averroismem byl odlišný výklad </w:t>
      </w:r>
      <w:r w:rsidR="08107414" w:rsidRPr="00B87408">
        <w:rPr>
          <w:i/>
        </w:rPr>
        <w:t>Druhých analytik</w:t>
      </w:r>
      <w:r w:rsidR="08107414">
        <w:t xml:space="preserve"> vzniklý v Oxfordu kolem 1230. Tento výklad byl vyt</w:t>
      </w:r>
      <w:r w:rsidR="009A2750">
        <w:t>vořen podle metafyziky Avicenny</w:t>
      </w:r>
      <w:r w:rsidR="08107414">
        <w:t xml:space="preserve">. To bylo aristotelikům Blundovy školy zcela zřejmé, protože ve stejné době přichází do Paříže Scotův výklad Averroese podle Sicilské školy. </w:t>
      </w:r>
      <w:r w:rsidR="08107414" w:rsidRPr="00273106">
        <w:t xml:space="preserve">Spor </w:t>
      </w:r>
      <w:r w:rsidR="08107414">
        <w:t xml:space="preserve">o pojetí vědy </w:t>
      </w:r>
      <w:r w:rsidR="08107414" w:rsidRPr="00273106">
        <w:t xml:space="preserve">se týkal </w:t>
      </w:r>
      <w:r w:rsidR="08107414">
        <w:t>filosofického určení člověka</w:t>
      </w:r>
      <w:r w:rsidR="08107414" w:rsidRPr="00273106">
        <w:t xml:space="preserve">, což ukázala </w:t>
      </w:r>
      <w:r w:rsidR="08107414">
        <w:t xml:space="preserve">citovaná </w:t>
      </w:r>
      <w:r w:rsidR="08107414" w:rsidRPr="00273106">
        <w:t xml:space="preserve">exegeze </w:t>
      </w:r>
      <w:r w:rsidR="08107414">
        <w:t xml:space="preserve">dvojího poznání duše v úvodní části </w:t>
      </w:r>
      <w:r w:rsidR="08107414" w:rsidRPr="000D053D">
        <w:rPr>
          <w:i/>
        </w:rPr>
        <w:t>De homine</w:t>
      </w:r>
      <w:r w:rsidR="006564AE">
        <w:t>.</w:t>
      </w:r>
    </w:p>
    <w:p w14:paraId="4DC022A4" w14:textId="2B70BE6F" w:rsidR="00B03F3E" w:rsidRDefault="009A2750" w:rsidP="002E3A69">
      <w:pPr>
        <w:ind w:firstLine="397"/>
      </w:pPr>
      <w:r w:rsidRPr="009A2750">
        <w:t>Generace f</w:t>
      </w:r>
      <w:r w:rsidR="00F94626">
        <w:t>ilos</w:t>
      </w:r>
      <w:r>
        <w:t>ofů v Oxfordu v letech 1230–</w:t>
      </w:r>
      <w:r w:rsidRPr="009A2750">
        <w:t xml:space="preserve">40 absolutizovala </w:t>
      </w:r>
      <w:r>
        <w:t xml:space="preserve">esenci v univoční predikaci a </w:t>
      </w:r>
      <w:r w:rsidR="009F5813">
        <w:t xml:space="preserve">její logickou definici </w:t>
      </w:r>
      <w:r>
        <w:t xml:space="preserve">vzala jako </w:t>
      </w:r>
      <w:r w:rsidRPr="009A2750">
        <w:t xml:space="preserve">první substanci. </w:t>
      </w:r>
      <w:r w:rsidR="00D81125">
        <w:t xml:space="preserve">Tato logická esence v modu </w:t>
      </w:r>
      <w:r w:rsidR="00D81125" w:rsidRPr="00D81125">
        <w:rPr>
          <w:i/>
        </w:rPr>
        <w:t>simpliciter</w:t>
      </w:r>
      <w:r w:rsidR="00D81125" w:rsidRPr="00D81125">
        <w:t xml:space="preserve"> přešla do kategoriá</w:t>
      </w:r>
      <w:r w:rsidR="00D81125">
        <w:t xml:space="preserve">lní predikace ve formě impozice, </w:t>
      </w:r>
      <w:r w:rsidR="00D81125" w:rsidRPr="00D81125">
        <w:t>na</w:t>
      </w:r>
      <w:r w:rsidR="00D81125">
        <w:t xml:space="preserve"> </w:t>
      </w:r>
      <w:r w:rsidR="00D81125" w:rsidRPr="00D81125">
        <w:t>mís</w:t>
      </w:r>
      <w:r w:rsidR="00D81125">
        <w:t xml:space="preserve">to hyparchické první substance. </w:t>
      </w:r>
      <w:r w:rsidR="00FD3AE5" w:rsidRPr="00FD3AE5">
        <w:t xml:space="preserve">Ilumináti v Oxfordu přijali esenci jako </w:t>
      </w:r>
      <w:r w:rsidR="00FD3AE5" w:rsidRPr="00FD3AE5">
        <w:rPr>
          <w:i/>
        </w:rPr>
        <w:t>individuum</w:t>
      </w:r>
      <w:r w:rsidR="00FD3AE5" w:rsidRPr="00FD3AE5">
        <w:t xml:space="preserve"> </w:t>
      </w:r>
      <w:r w:rsidR="00FD3AE5">
        <w:t xml:space="preserve">ve školách </w:t>
      </w:r>
      <w:r w:rsidR="00FD3AE5" w:rsidRPr="00FD3AE5">
        <w:rPr>
          <w:i/>
        </w:rPr>
        <w:t>Nominales</w:t>
      </w:r>
      <w:r w:rsidR="00FD3AE5" w:rsidRPr="00FD3AE5">
        <w:t>, na způsob již zav</w:t>
      </w:r>
      <w:r w:rsidR="00FD3AE5">
        <w:t>edené atomické substance</w:t>
      </w:r>
      <w:r w:rsidR="00551841">
        <w:t xml:space="preserve"> p</w:t>
      </w:r>
      <w:r w:rsidR="00FD3AE5">
        <w:t>orretá</w:t>
      </w:r>
      <w:r w:rsidR="00FD3AE5" w:rsidRPr="00FD3AE5">
        <w:t xml:space="preserve">nů. Individualizovaná esence byla prohlášena za reálně působící příčinu </w:t>
      </w:r>
      <w:r w:rsidR="00FD3AE5">
        <w:t xml:space="preserve">a tím vešla do </w:t>
      </w:r>
      <w:r w:rsidR="00FD3AE5" w:rsidRPr="00FD3AE5">
        <w:t>stř</w:t>
      </w:r>
      <w:r w:rsidR="00FD3AE5">
        <w:t>edního členu</w:t>
      </w:r>
      <w:r w:rsidR="00FD3AE5" w:rsidRPr="00FD3AE5">
        <w:t xml:space="preserve"> (</w:t>
      </w:r>
      <w:r w:rsidR="00FD3AE5" w:rsidRPr="00FD3AE5">
        <w:rPr>
          <w:i/>
        </w:rPr>
        <w:t>medium</w:t>
      </w:r>
      <w:r w:rsidR="00FD3AE5">
        <w:rPr>
          <w:i/>
        </w:rPr>
        <w:fldChar w:fldCharType="begin"/>
      </w:r>
      <w:r w:rsidR="00FD3AE5">
        <w:instrText xml:space="preserve"> XE "</w:instrText>
      </w:r>
      <w:r w:rsidR="00FD3AE5" w:rsidRPr="001618A5">
        <w:rPr>
          <w:i/>
        </w:rPr>
        <w:instrText>medium:</w:instrText>
      </w:r>
      <w:r w:rsidR="00FD3AE5" w:rsidRPr="008227AD">
        <w:instrText>druhý averroismus</w:instrText>
      </w:r>
      <w:r w:rsidR="00FD3AE5">
        <w:instrText xml:space="preserve">" </w:instrText>
      </w:r>
      <w:r w:rsidR="00FD3AE5">
        <w:rPr>
          <w:i/>
        </w:rPr>
        <w:fldChar w:fldCharType="end"/>
      </w:r>
      <w:r w:rsidR="00FD3AE5">
        <w:t>) vědeckého důkazu</w:t>
      </w:r>
      <w:r w:rsidR="00FD3AE5" w:rsidRPr="00FD3AE5">
        <w:t xml:space="preserve">. </w:t>
      </w:r>
      <w:r w:rsidR="002E3A69">
        <w:t xml:space="preserve">Druhá návěst </w:t>
      </w:r>
      <w:r w:rsidR="002E3A69" w:rsidRPr="002E3A69">
        <w:t xml:space="preserve">deduktivního sylogismu se stala zcela sofistickou a mytologickou. Tento přechod od skutečné kauzality k moderní verzi hluboce změnil povahu </w:t>
      </w:r>
      <w:r w:rsidR="002E3A69" w:rsidRPr="002E3A69">
        <w:lastRenderedPageBreak/>
        <w:t>dedukce, která tvoří základ vědeckého důkazu (</w:t>
      </w:r>
      <w:r w:rsidR="002E3A69" w:rsidRPr="002E3A69">
        <w:rPr>
          <w:i/>
        </w:rPr>
        <w:t>demonstratio</w:t>
      </w:r>
      <w:r w:rsidR="002E3A69" w:rsidRPr="002E3A69">
        <w:t>).</w:t>
      </w:r>
      <w:r w:rsidR="002E3A69">
        <w:t xml:space="preserve"> </w:t>
      </w:r>
      <w:r w:rsidR="0000664E">
        <w:t xml:space="preserve">Mytologické </w:t>
      </w:r>
      <w:r w:rsidR="08107414" w:rsidRPr="00273106">
        <w:rPr>
          <w:i/>
        </w:rPr>
        <w:t>medium</w:t>
      </w:r>
      <w:r w:rsidR="08107414" w:rsidRPr="00273106">
        <w:t xml:space="preserve"> založené na su</w:t>
      </w:r>
      <w:r w:rsidR="08107414">
        <w:t xml:space="preserve">bstanci třetího druhu </w:t>
      </w:r>
      <w:r w:rsidR="08107414" w:rsidRPr="00273106">
        <w:t xml:space="preserve">oddělilo </w:t>
      </w:r>
      <w:r w:rsidR="00BB19BC">
        <w:t xml:space="preserve">moderní vědu </w:t>
      </w:r>
      <w:r w:rsidR="08107414" w:rsidRPr="00273106">
        <w:t>od reality první substance a od reálné kauzality</w:t>
      </w:r>
      <w:r w:rsidR="08107414">
        <w:t>. Tento vývoj zahájil neoplatonismus zavedením nedělitelné substance</w:t>
      </w:r>
      <w:r w:rsidR="08107414" w:rsidRPr="00273106">
        <w:t xml:space="preserve"> dané v rámci </w:t>
      </w:r>
      <w:r w:rsidR="08107414">
        <w:t xml:space="preserve">hypostázované </w:t>
      </w:r>
      <w:r w:rsidR="002E30FF" w:rsidRPr="002E30FF">
        <w:t>species</w:t>
      </w:r>
      <w:r w:rsidR="08107414" w:rsidRPr="00273106">
        <w:t xml:space="preserve"> u Simplikia (</w:t>
      </w:r>
      <w:r w:rsidR="08F838CC">
        <w:t xml:space="preserve">OBJ I, </w:t>
      </w:r>
      <w:r w:rsidR="08107414">
        <w:t>kap. 1.3</w:t>
      </w:r>
      <w:r w:rsidR="08107414" w:rsidRPr="00273106">
        <w:t xml:space="preserve">.1) a později v rámci porretánského </w:t>
      </w:r>
      <w:r w:rsidR="08107414" w:rsidRPr="00273106">
        <w:rPr>
          <w:i/>
        </w:rPr>
        <w:t>individuum</w:t>
      </w:r>
      <w:r w:rsidR="08107414" w:rsidRPr="00273106">
        <w:t xml:space="preserve"> (kap. </w:t>
      </w:r>
      <w:r w:rsidR="08F838CC">
        <w:t>1</w:t>
      </w:r>
      <w:r w:rsidR="08107414" w:rsidRPr="00273106">
        <w:t xml:space="preserve">.4). </w:t>
      </w:r>
      <w:r w:rsidR="08107414">
        <w:t>První m</w:t>
      </w:r>
      <w:r w:rsidR="08107414" w:rsidRPr="00273106">
        <w:t xml:space="preserve">odernisté vytvořili </w:t>
      </w:r>
      <w:r w:rsidR="08107414">
        <w:t xml:space="preserve">objektivní simulákrum </w:t>
      </w:r>
      <w:r w:rsidR="08107414" w:rsidRPr="00273106">
        <w:t>typ</w:t>
      </w:r>
      <w:r w:rsidR="08107414">
        <w:t>u kauzálně působící esence</w:t>
      </w:r>
      <w:r w:rsidR="08107414">
        <w:rPr>
          <w:i/>
          <w:iCs/>
        </w:rPr>
        <w:fldChar w:fldCharType="begin"/>
      </w:r>
      <w:r w:rsidR="08107414">
        <w:instrText xml:space="preserve"> XE "esence:druhý averroismus" </w:instrText>
      </w:r>
      <w:r w:rsidR="08107414">
        <w:rPr>
          <w:i/>
          <w:iCs/>
        </w:rPr>
        <w:fldChar w:fldCharType="end"/>
      </w:r>
      <w:r w:rsidR="089F5C37">
        <w:t>. T</w:t>
      </w:r>
      <w:r w:rsidR="08107414" w:rsidRPr="00273106">
        <w:t xml:space="preserve">oto </w:t>
      </w:r>
      <w:r w:rsidR="08107414">
        <w:t xml:space="preserve">jsoucno </w:t>
      </w:r>
      <w:r w:rsidR="08107414" w:rsidRPr="00273106">
        <w:t>třetího druhu změnilo status vědeckého poznání</w:t>
      </w:r>
      <w:r w:rsidR="08107414">
        <w:fldChar w:fldCharType="begin"/>
      </w:r>
      <w:r w:rsidR="08107414">
        <w:instrText xml:space="preserve"> XE "</w:instrText>
      </w:r>
      <w:r w:rsidR="08107414" w:rsidRPr="00E20ABA">
        <w:instrText>objektivita:vznik</w:instrText>
      </w:r>
      <w:r w:rsidR="08107414">
        <w:instrText xml:space="preserve">" </w:instrText>
      </w:r>
      <w:r w:rsidR="08107414">
        <w:fldChar w:fldCharType="end"/>
      </w:r>
      <w:r w:rsidR="08107414" w:rsidRPr="00273106">
        <w:t xml:space="preserve">. Střední člen </w:t>
      </w:r>
      <w:r w:rsidR="08107414">
        <w:t xml:space="preserve">vědeckého důkazu </w:t>
      </w:r>
      <w:r w:rsidR="08107414" w:rsidRPr="00273106">
        <w:t xml:space="preserve">dostal význam </w:t>
      </w:r>
      <w:r w:rsidR="0074282E">
        <w:t>první substance</w:t>
      </w:r>
      <w:r w:rsidR="08107414" w:rsidRPr="00273106">
        <w:t xml:space="preserve">, protože nahradil </w:t>
      </w:r>
      <w:r w:rsidR="08107414">
        <w:t xml:space="preserve">impozici směrem od existence jedinečné </w:t>
      </w:r>
      <w:r w:rsidR="08107414" w:rsidRPr="00273106">
        <w:t xml:space="preserve">věci a </w:t>
      </w:r>
      <w:r w:rsidR="08107414">
        <w:t xml:space="preserve">od její </w:t>
      </w:r>
      <w:r w:rsidR="0074282E">
        <w:t xml:space="preserve">reálné </w:t>
      </w:r>
      <w:r w:rsidR="08107414">
        <w:t>kauzality</w:t>
      </w:r>
      <w:r w:rsidR="08107414">
        <w:fldChar w:fldCharType="begin"/>
      </w:r>
      <w:r w:rsidR="08107414">
        <w:instrText xml:space="preserve"> XE "</w:instrText>
      </w:r>
      <w:r w:rsidR="08107414" w:rsidRPr="008F3393">
        <w:instrText>kauzalita:objektivní</w:instrText>
      </w:r>
      <w:r w:rsidR="08107414">
        <w:instrText xml:space="preserve">" </w:instrText>
      </w:r>
      <w:r w:rsidR="08107414">
        <w:fldChar w:fldCharType="end"/>
      </w:r>
      <w:r w:rsidR="08107414" w:rsidRPr="00273106">
        <w:t xml:space="preserve">. Současně je toto </w:t>
      </w:r>
      <w:r w:rsidR="08107414" w:rsidRPr="00273106">
        <w:rPr>
          <w:i/>
        </w:rPr>
        <w:t>medium</w:t>
      </w:r>
      <w:r w:rsidR="08107414">
        <w:rPr>
          <w:i/>
        </w:rPr>
        <w:fldChar w:fldCharType="begin"/>
      </w:r>
      <w:r w:rsidR="08107414">
        <w:instrText xml:space="preserve"> XE "</w:instrText>
      </w:r>
      <w:r w:rsidR="08107414" w:rsidRPr="001618A5">
        <w:rPr>
          <w:i/>
        </w:rPr>
        <w:instrText>medium</w:instrText>
      </w:r>
      <w:r w:rsidR="08107414" w:rsidRPr="00A71032">
        <w:instrText>:druhý averroismus</w:instrText>
      </w:r>
      <w:r w:rsidR="08107414">
        <w:instrText xml:space="preserve">" </w:instrText>
      </w:r>
      <w:r w:rsidR="08107414">
        <w:rPr>
          <w:i/>
        </w:rPr>
        <w:fldChar w:fldCharType="end"/>
      </w:r>
      <w:r w:rsidR="08107414" w:rsidRPr="00273106">
        <w:t xml:space="preserve"> </w:t>
      </w:r>
      <w:r w:rsidR="005F4BB8">
        <w:t>v</w:t>
      </w:r>
      <w:r w:rsidR="0074282E">
        <w:t> </w:t>
      </w:r>
      <w:r w:rsidR="005F4BB8">
        <w:t>rá</w:t>
      </w:r>
      <w:r w:rsidR="0074282E">
        <w:t>m</w:t>
      </w:r>
      <w:r w:rsidR="005F4BB8">
        <w:t>ci</w:t>
      </w:r>
      <w:r w:rsidR="0074282E">
        <w:t xml:space="preserve"> druhé návěsti </w:t>
      </w:r>
      <w:r w:rsidR="08107414" w:rsidRPr="00273106">
        <w:t xml:space="preserve">také univerzální, protože je predikováno v modu </w:t>
      </w:r>
      <w:r w:rsidR="08107414" w:rsidRPr="00273106">
        <w:rPr>
          <w:i/>
        </w:rPr>
        <w:t>simpliciter</w:t>
      </w:r>
      <w:r w:rsidR="08107414" w:rsidRPr="00273106">
        <w:t xml:space="preserve"> jako esence. Proto vyhovuje formální definici středního členu soudu, který musí být univerzální. Tento postup školy Gramatiků</w:t>
      </w:r>
      <w:r w:rsidR="08107414">
        <w:fldChar w:fldCharType="begin"/>
      </w:r>
      <w:r w:rsidR="08107414">
        <w:instrText xml:space="preserve"> XE "druhý averroismus:</w:instrText>
      </w:r>
      <w:r w:rsidR="08107414" w:rsidRPr="00B624CC">
        <w:rPr>
          <w:i/>
        </w:rPr>
        <w:instrText>Grammatici</w:instrText>
      </w:r>
      <w:r w:rsidR="08107414">
        <w:instrText xml:space="preserve">" </w:instrText>
      </w:r>
      <w:r w:rsidR="08107414">
        <w:fldChar w:fldCharType="end"/>
      </w:r>
      <w:r w:rsidR="08107414" w:rsidRPr="00273106">
        <w:t xml:space="preserve"> odmítl biskup Alvernus v Paříži jako filosofický omyl </w:t>
      </w:r>
      <w:r w:rsidR="08107414">
        <w:t xml:space="preserve">připsaný škole latinských sofistů </w:t>
      </w:r>
      <w:r w:rsidR="08107414" w:rsidRPr="00273106">
        <w:t>(</w:t>
      </w:r>
      <w:r w:rsidR="08107414" w:rsidRPr="00273106">
        <w:rPr>
          <w:i/>
        </w:rPr>
        <w:t>praedicabant dispositiones, ponebantque eas in substantiis de quibus dicebatur</w:t>
      </w:r>
      <w:r w:rsidR="0831624B">
        <w:t>, kap. 2</w:t>
      </w:r>
      <w:r w:rsidR="08107414" w:rsidRPr="00273106">
        <w:t>.3</w:t>
      </w:r>
      <w:r w:rsidR="08107414">
        <w:t>.2</w:t>
      </w:r>
      <w:r w:rsidR="08107414" w:rsidRPr="00273106">
        <w:t>).</w:t>
      </w:r>
      <w:r w:rsidR="08107414">
        <w:t xml:space="preserve"> </w:t>
      </w:r>
      <w:r w:rsidR="08107414" w:rsidRPr="00273106">
        <w:t xml:space="preserve">Střední člen </w:t>
      </w:r>
      <w:r w:rsidR="08107414">
        <w:t xml:space="preserve">deduktivního vědeckého sylogismu </w:t>
      </w:r>
      <w:r w:rsidR="08107414" w:rsidRPr="00273106">
        <w:t>dostal stejně ambivalentní status jako měla substance třetího druhu.</w:t>
      </w:r>
      <w:r w:rsidR="08107414">
        <w:t xml:space="preserve"> </w:t>
      </w:r>
      <w:r w:rsidR="0801544E">
        <w:t xml:space="preserve">V modernistické </w:t>
      </w:r>
      <w:r w:rsidR="0801544E" w:rsidRPr="00273106">
        <w:t xml:space="preserve">škole došlo k drastické formalizaci Aristotelova </w:t>
      </w:r>
      <w:r w:rsidR="00140702">
        <w:t xml:space="preserve">původního </w:t>
      </w:r>
      <w:r w:rsidR="0801544E" w:rsidRPr="00273106">
        <w:t>výroku</w:t>
      </w:r>
      <w:r w:rsidR="0801544E">
        <w:t>: „Z</w:t>
      </w:r>
      <w:r w:rsidR="0801544E" w:rsidRPr="00273106">
        <w:t xml:space="preserve">nát povahu </w:t>
      </w:r>
      <w:r w:rsidR="00140702">
        <w:t xml:space="preserve">reálné </w:t>
      </w:r>
      <w:r w:rsidR="0801544E" w:rsidRPr="00273106">
        <w:t>věci je totéž</w:t>
      </w:r>
      <w:r w:rsidR="0801544E">
        <w:t>, jako poznat účinnou příčinu</w:t>
      </w:r>
      <w:r w:rsidR="0801544E" w:rsidRPr="00273106">
        <w:t xml:space="preserve"> její existence“ (τὸ τί ἐστιν εἰδέναι ταὐτό ἐστι καὶ διὰ τί ἔστιν, </w:t>
      </w:r>
      <w:r w:rsidR="0801544E" w:rsidRPr="00BD53EE">
        <w:rPr>
          <w:i/>
        </w:rPr>
        <w:t>Anal. post</w:t>
      </w:r>
      <w:r w:rsidR="0801544E" w:rsidRPr="00273106">
        <w:t>. 90a31‒32</w:t>
      </w:r>
      <w:r w:rsidR="0801544E">
        <w:fldChar w:fldCharType="begin"/>
      </w:r>
      <w:r w:rsidR="0801544E">
        <w:instrText xml:space="preserve"> XE "Aristoteles:</w:instrText>
      </w:r>
      <w:r w:rsidR="0801544E" w:rsidRPr="00010AA8">
        <w:rPr>
          <w:i/>
        </w:rPr>
        <w:instrText>Anal. post</w:instrText>
      </w:r>
      <w:r w:rsidR="0801544E" w:rsidRPr="00010AA8">
        <w:instrText>. 90a31‒32</w:instrText>
      </w:r>
      <w:r w:rsidR="0801544E">
        <w:instrText xml:space="preserve">" </w:instrText>
      </w:r>
      <w:r w:rsidR="0801544E">
        <w:fldChar w:fldCharType="end"/>
      </w:r>
      <w:r w:rsidR="0801544E" w:rsidRPr="00273106">
        <w:t xml:space="preserve">). </w:t>
      </w:r>
      <w:r w:rsidR="00F6678B">
        <w:t>Aristoteles definoval existenci</w:t>
      </w:r>
      <w:r w:rsidR="0801544E" w:rsidRPr="00273106">
        <w:t xml:space="preserve"> </w:t>
      </w:r>
      <w:r w:rsidR="0801544E">
        <w:t xml:space="preserve">reálné věci </w:t>
      </w:r>
      <w:r w:rsidR="0801544E" w:rsidRPr="00273106">
        <w:t xml:space="preserve">(διὰ τί) </w:t>
      </w:r>
      <w:r w:rsidR="00F6678B">
        <w:t xml:space="preserve">skrze </w:t>
      </w:r>
      <w:r w:rsidR="0801544E">
        <w:t xml:space="preserve">eficientně </w:t>
      </w:r>
      <w:r w:rsidR="00F6678B">
        <w:t>působící kauzalit</w:t>
      </w:r>
      <w:r w:rsidR="0801544E" w:rsidRPr="00273106">
        <w:t xml:space="preserve">u </w:t>
      </w:r>
      <w:r w:rsidR="00F6678B">
        <w:t>prvních substancí</w:t>
      </w:r>
      <w:r w:rsidR="0801544E">
        <w:t xml:space="preserve"> v modu fyzikálního či biologického </w:t>
      </w:r>
      <w:r w:rsidR="0801544E" w:rsidRPr="00C638EF">
        <w:rPr>
          <w:i/>
        </w:rPr>
        <w:t>passio</w:t>
      </w:r>
      <w:r w:rsidR="0801544E">
        <w:t xml:space="preserve">. </w:t>
      </w:r>
      <w:r w:rsidR="007556C9">
        <w:t>R</w:t>
      </w:r>
      <w:r w:rsidR="0801544E">
        <w:t xml:space="preserve">eálné působení prvních substancí </w:t>
      </w:r>
      <w:r w:rsidR="0801544E" w:rsidRPr="00273106">
        <w:t>byl</w:t>
      </w:r>
      <w:r w:rsidR="007556C9">
        <w:t>o</w:t>
      </w:r>
      <w:r w:rsidR="0801544E" w:rsidRPr="00273106">
        <w:t xml:space="preserve"> </w:t>
      </w:r>
      <w:r w:rsidR="0801544E">
        <w:t xml:space="preserve">v porretánské škole logiky a metafyziky </w:t>
      </w:r>
      <w:r w:rsidR="0801544E" w:rsidRPr="00273106">
        <w:t>převeden</w:t>
      </w:r>
      <w:r w:rsidR="007556C9">
        <w:t>o</w:t>
      </w:r>
      <w:r w:rsidR="0801544E" w:rsidRPr="00273106">
        <w:t xml:space="preserve"> na trvalou esenci určenou jako </w:t>
      </w:r>
      <w:r w:rsidR="0801544E">
        <w:t xml:space="preserve">hypostázovaná a věčná </w:t>
      </w:r>
      <w:r w:rsidR="0801544E" w:rsidRPr="00273106">
        <w:t xml:space="preserve">forma. Pak byla i mrtvola </w:t>
      </w:r>
      <w:r w:rsidR="0801544E">
        <w:t xml:space="preserve">„exsistujícím“ </w:t>
      </w:r>
      <w:r w:rsidR="0801544E" w:rsidRPr="00273106">
        <w:t>člověkem</w:t>
      </w:r>
      <w:r w:rsidR="0801544E">
        <w:t xml:space="preserve"> v řádu objektivní kauzality. Určení člověka bylo</w:t>
      </w:r>
      <w:r w:rsidR="0801544E" w:rsidRPr="00273106">
        <w:t xml:space="preserve"> </w:t>
      </w:r>
      <w:r w:rsidR="0801544E">
        <w:t>univočně vztaženo</w:t>
      </w:r>
      <w:r w:rsidR="0801544E" w:rsidRPr="00273106">
        <w:t xml:space="preserve"> jak k esenci (</w:t>
      </w:r>
      <w:r w:rsidR="0801544E" w:rsidRPr="00273106">
        <w:rPr>
          <w:i/>
        </w:rPr>
        <w:t>humanitas</w:t>
      </w:r>
      <w:r w:rsidR="0801544E">
        <w:rPr>
          <w:i/>
        </w:rPr>
        <w:fldChar w:fldCharType="begin"/>
      </w:r>
      <w:r w:rsidR="0801544E">
        <w:instrText xml:space="preserve"> XE "</w:instrText>
      </w:r>
      <w:r w:rsidR="0801544E" w:rsidRPr="00420622">
        <w:rPr>
          <w:i/>
        </w:rPr>
        <w:instrText>humanitas</w:instrText>
      </w:r>
      <w:r w:rsidR="0801544E" w:rsidRPr="00BD53EE">
        <w:instrText>:porretáni</w:instrText>
      </w:r>
      <w:r w:rsidR="0801544E">
        <w:instrText xml:space="preserve">" </w:instrText>
      </w:r>
      <w:r w:rsidR="0801544E">
        <w:rPr>
          <w:i/>
        </w:rPr>
        <w:fldChar w:fldCharType="end"/>
      </w:r>
      <w:r w:rsidR="0801544E" w:rsidRPr="00273106">
        <w:t>) tak i k reálné první substanci (</w:t>
      </w:r>
      <w:r w:rsidR="0801544E" w:rsidRPr="00F4075E">
        <w:rPr>
          <w:i/>
        </w:rPr>
        <w:t>hic</w:t>
      </w:r>
      <w:r w:rsidR="0801544E">
        <w:t xml:space="preserve"> </w:t>
      </w:r>
      <w:r w:rsidR="0801544E" w:rsidRPr="00273106">
        <w:rPr>
          <w:i/>
        </w:rPr>
        <w:t>homo</w:t>
      </w:r>
      <w:r w:rsidR="0801544E" w:rsidRPr="00273106">
        <w:t xml:space="preserve">). Tento omyl </w:t>
      </w:r>
      <w:r w:rsidR="0801544E">
        <w:t xml:space="preserve">vznikající </w:t>
      </w:r>
      <w:r w:rsidR="0801544E" w:rsidRPr="00273106">
        <w:t xml:space="preserve">moderny kritizovaly oba </w:t>
      </w:r>
      <w:r w:rsidR="0801544E">
        <w:t xml:space="preserve">výše uvedené </w:t>
      </w:r>
      <w:r w:rsidR="0801544E" w:rsidRPr="00273106">
        <w:t>anonymní traktáty</w:t>
      </w:r>
      <w:r w:rsidR="0801544E">
        <w:t xml:space="preserve"> Blundovy školy recipující Averroesovu metafyziku kolem roku 1225‒30. Spor o povahu mrtvého muže danou buď v modu impozice aristoteliků nebo v modu absolutní supozice porretánů </w:t>
      </w:r>
      <w:r w:rsidR="0801544E" w:rsidRPr="00273106">
        <w:t xml:space="preserve">se </w:t>
      </w:r>
      <w:r w:rsidR="0801544E">
        <w:t xml:space="preserve">zásadně </w:t>
      </w:r>
      <w:r w:rsidR="0801544E" w:rsidRPr="00273106">
        <w:t xml:space="preserve">týkal </w:t>
      </w:r>
      <w:r w:rsidR="0801544E">
        <w:t xml:space="preserve">způsobu </w:t>
      </w:r>
      <w:r w:rsidR="0801544E" w:rsidRPr="00273106">
        <w:t>vědeckého poznání</w:t>
      </w:r>
      <w:r w:rsidR="0801544E">
        <w:t xml:space="preserve"> světa, nejen kategoriální predikace. </w:t>
      </w:r>
      <w:r w:rsidR="003A0ECC">
        <w:t xml:space="preserve">Jsoucno </w:t>
      </w:r>
      <w:r w:rsidR="082B7CFE">
        <w:t xml:space="preserve">v jeho původním bytí již </w:t>
      </w:r>
      <w:r w:rsidR="003A0ECC">
        <w:t>nemohlo být poznané stejným způsobem</w:t>
      </w:r>
      <w:r w:rsidR="00712BC8">
        <w:t xml:space="preserve"> v jedné nebo ve druhé škole</w:t>
      </w:r>
      <w:r w:rsidR="08F0559F">
        <w:t>, protože se změnil koncept metafyzického smyslu jsoucna</w:t>
      </w:r>
      <w:r w:rsidR="00712BC8">
        <w:t xml:space="preserve">. </w:t>
      </w:r>
      <w:r w:rsidR="00D24E71">
        <w:t>M</w:t>
      </w:r>
      <w:r w:rsidR="003A0ECC">
        <w:t xml:space="preserve">etafyzický status první substance se </w:t>
      </w:r>
      <w:r w:rsidR="00D24E71">
        <w:t>zásadně lišil</w:t>
      </w:r>
      <w:r w:rsidR="083126CF">
        <w:t xml:space="preserve"> </w:t>
      </w:r>
      <w:r w:rsidR="00D24E71">
        <w:t xml:space="preserve">ve </w:t>
      </w:r>
      <w:r w:rsidR="003A0ECC">
        <w:t>škol</w:t>
      </w:r>
      <w:r w:rsidR="00D24E71">
        <w:t>e</w:t>
      </w:r>
      <w:r w:rsidR="003A0ECC">
        <w:t xml:space="preserve"> prvního </w:t>
      </w:r>
      <w:r w:rsidR="00D24E71">
        <w:t xml:space="preserve">nebo </w:t>
      </w:r>
      <w:r w:rsidR="003A0ECC">
        <w:t>druhého averroismu</w:t>
      </w:r>
      <w:r w:rsidR="088C36EB" w:rsidRPr="00273106">
        <w:t xml:space="preserve">. </w:t>
      </w:r>
      <w:r w:rsidR="007C7C24">
        <w:t xml:space="preserve">Křesťanští </w:t>
      </w:r>
      <w:r w:rsidR="007C7C24">
        <w:lastRenderedPageBreak/>
        <w:t xml:space="preserve">aristotelikové jako </w:t>
      </w:r>
      <w:r w:rsidR="001647EB">
        <w:t xml:space="preserve">Alvernus obhajovali </w:t>
      </w:r>
      <w:r w:rsidR="002E3B62">
        <w:t>Averroes</w:t>
      </w:r>
      <w:r w:rsidR="001647EB">
        <w:t xml:space="preserve">ovu metafyziku a tím i autentický postup výkladu vědeckého poznání podle </w:t>
      </w:r>
      <w:r w:rsidR="00DB5FDD">
        <w:rPr>
          <w:i/>
        </w:rPr>
        <w:t>Druhých A</w:t>
      </w:r>
      <w:r w:rsidR="00900501" w:rsidRPr="00B87408">
        <w:rPr>
          <w:i/>
        </w:rPr>
        <w:t>nalytik</w:t>
      </w:r>
      <w:r w:rsidR="001647EB">
        <w:t xml:space="preserve">. </w:t>
      </w:r>
      <w:r w:rsidR="008F7222" w:rsidRPr="00273106">
        <w:t xml:space="preserve">První averroismus </w:t>
      </w:r>
      <w:r w:rsidR="00B87408">
        <w:t xml:space="preserve">recipující metafyziku </w:t>
      </w:r>
      <w:r w:rsidR="00B87408" w:rsidRPr="001647EB">
        <w:rPr>
          <w:i/>
        </w:rPr>
        <w:t>ad mentem Averrois</w:t>
      </w:r>
      <w:r w:rsidR="00B87408" w:rsidRPr="00273106">
        <w:t xml:space="preserve"> </w:t>
      </w:r>
      <w:r w:rsidR="00B87408">
        <w:t xml:space="preserve">v modu substance </w:t>
      </w:r>
      <w:r w:rsidR="00B87408" w:rsidRPr="00B87408">
        <w:rPr>
          <w:i/>
        </w:rPr>
        <w:t>qua</w:t>
      </w:r>
      <w:r w:rsidR="00B87408">
        <w:t xml:space="preserve"> substance </w:t>
      </w:r>
      <w:r w:rsidR="008F7222" w:rsidRPr="00273106">
        <w:t xml:space="preserve">neměl žádný </w:t>
      </w:r>
      <w:r w:rsidR="085E57BE">
        <w:t xml:space="preserve">problém s obhajobou hyparchicky dané </w:t>
      </w:r>
      <w:r w:rsidR="008F7222" w:rsidRPr="00273106">
        <w:t xml:space="preserve">první substance. </w:t>
      </w:r>
      <w:r w:rsidR="00A02C8D">
        <w:t xml:space="preserve">Význam determinuje v modu </w:t>
      </w:r>
      <w:r w:rsidR="00A02C8D" w:rsidRPr="00A02C8D">
        <w:rPr>
          <w:i/>
        </w:rPr>
        <w:t>per prius</w:t>
      </w:r>
      <w:r w:rsidR="00A02C8D">
        <w:t xml:space="preserve"> </w:t>
      </w:r>
      <w:r w:rsidR="00BD53EE">
        <w:rPr>
          <w:i/>
        </w:rPr>
        <w:fldChar w:fldCharType="begin"/>
      </w:r>
      <w:r w:rsidR="00BD53EE">
        <w:instrText xml:space="preserve"> XE "predikace:</w:instrText>
      </w:r>
      <w:r w:rsidR="00BD53EE" w:rsidRPr="00BD53EE">
        <w:rPr>
          <w:i/>
        </w:rPr>
        <w:instrText>per prius</w:instrText>
      </w:r>
      <w:r w:rsidR="00BD53EE">
        <w:instrText xml:space="preserve">" </w:instrText>
      </w:r>
      <w:r w:rsidR="00BD53EE">
        <w:rPr>
          <w:i/>
        </w:rPr>
        <w:fldChar w:fldCharType="end"/>
      </w:r>
      <w:r w:rsidR="00A02C8D">
        <w:t xml:space="preserve">impozice od </w:t>
      </w:r>
      <w:r w:rsidR="00C36B86">
        <w:t xml:space="preserve">aktuální </w:t>
      </w:r>
      <w:r w:rsidR="00A02C8D">
        <w:t>první substance</w:t>
      </w:r>
      <w:r w:rsidR="083F4F06">
        <w:t xml:space="preserve"> v modu </w:t>
      </w:r>
      <w:r w:rsidR="082A724F">
        <w:t xml:space="preserve">metafyzického </w:t>
      </w:r>
      <w:r w:rsidR="083F4F06">
        <w:t>dativu</w:t>
      </w:r>
      <w:r w:rsidR="00267F8F">
        <w:rPr>
          <w:i/>
        </w:rPr>
        <w:fldChar w:fldCharType="begin"/>
      </w:r>
      <w:r w:rsidR="00267F8F">
        <w:instrText xml:space="preserve"> XE "impozice:první averroismus" </w:instrText>
      </w:r>
      <w:r w:rsidR="00267F8F">
        <w:rPr>
          <w:i/>
        </w:rPr>
        <w:fldChar w:fldCharType="end"/>
      </w:r>
      <w:r w:rsidR="00A02C8D">
        <w:t xml:space="preserve">. </w:t>
      </w:r>
      <w:r w:rsidR="082D3CA3" w:rsidRPr="00273106">
        <w:t xml:space="preserve">Metafyzik nejprve poznává reálné věci a potom definuje jejich </w:t>
      </w:r>
      <w:r w:rsidR="082D3CA3">
        <w:t xml:space="preserve">univerzální </w:t>
      </w:r>
      <w:r w:rsidR="082D3CA3" w:rsidRPr="00273106">
        <w:t>esenci.</w:t>
      </w:r>
      <w:r w:rsidR="082D3CA3">
        <w:t xml:space="preserve"> </w:t>
      </w:r>
      <w:r w:rsidR="000B003A" w:rsidRPr="00273106">
        <w:t xml:space="preserve">Protože mrtvý muž neexistuje jako živý, pak není možné definovat esenci </w:t>
      </w:r>
      <w:r w:rsidR="000B003A" w:rsidRPr="00273106">
        <w:rPr>
          <w:i/>
        </w:rPr>
        <w:t>absolute</w:t>
      </w:r>
      <w:r w:rsidR="000B003A" w:rsidRPr="00273106">
        <w:t xml:space="preserve"> </w:t>
      </w:r>
      <w:r w:rsidR="004E2BC4">
        <w:rPr>
          <w:rStyle w:val="addmd"/>
          <w:i/>
        </w:rPr>
        <w:fldChar w:fldCharType="begin"/>
      </w:r>
      <w:r w:rsidR="004E2BC4">
        <w:instrText xml:space="preserve"> XE "esence</w:instrText>
      </w:r>
      <w:r w:rsidR="003F1231">
        <w:instrText xml:space="preserve"> </w:instrText>
      </w:r>
      <w:r w:rsidR="004E2BC4" w:rsidRPr="008D23BF">
        <w:rPr>
          <w:i/>
        </w:rPr>
        <w:instrText>absolute</w:instrText>
      </w:r>
      <w:r w:rsidR="004E2BC4">
        <w:instrText xml:space="preserve">" </w:instrText>
      </w:r>
      <w:r w:rsidR="004E2BC4">
        <w:rPr>
          <w:rStyle w:val="addmd"/>
          <w:i/>
        </w:rPr>
        <w:fldChar w:fldCharType="end"/>
      </w:r>
      <w:r w:rsidR="000B003A" w:rsidRPr="00273106">
        <w:t>po vzoru neoplatoniků</w:t>
      </w:r>
      <w:r w:rsidR="0090149B">
        <w:t xml:space="preserve">. Není dovoleno zkoumat metafyzickou substanci </w:t>
      </w:r>
      <w:r w:rsidR="000B003A" w:rsidRPr="00273106">
        <w:t>odděleně od existence</w:t>
      </w:r>
      <w:r w:rsidR="00FF042E" w:rsidRPr="00273106">
        <w:t xml:space="preserve"> první substance</w:t>
      </w:r>
      <w:r w:rsidR="000B003A" w:rsidRPr="00273106">
        <w:t>. To může udělat logik v rámci univočně pojaté abstrakc</w:t>
      </w:r>
      <w:r w:rsidR="00FE68E7" w:rsidRPr="00273106">
        <w:t>e</w:t>
      </w:r>
      <w:r w:rsidR="0062425C">
        <w:fldChar w:fldCharType="begin"/>
      </w:r>
      <w:r w:rsidR="0062425C">
        <w:instrText xml:space="preserve"> XE "</w:instrText>
      </w:r>
      <w:r w:rsidR="0062425C" w:rsidRPr="00264E79">
        <w:instrText>abstrakce:logická</w:instrText>
      </w:r>
      <w:r w:rsidR="0062425C">
        <w:instrText xml:space="preserve">" </w:instrText>
      </w:r>
      <w:r w:rsidR="0062425C">
        <w:fldChar w:fldCharType="end"/>
      </w:r>
      <w:r w:rsidR="00FE68E7" w:rsidRPr="00273106">
        <w:t>, ale nikoliv metafyzik</w:t>
      </w:r>
      <w:r w:rsidR="007103F0" w:rsidRPr="00273106">
        <w:t>, jehož poznání je determinováno akt</w:t>
      </w:r>
      <w:r w:rsidR="005F1719" w:rsidRPr="00273106">
        <w:t xml:space="preserve">uálně existující </w:t>
      </w:r>
      <w:r w:rsidR="007103F0" w:rsidRPr="00273106">
        <w:t>první substancí</w:t>
      </w:r>
      <w:r w:rsidR="088F4FB2">
        <w:t xml:space="preserve">. Kategoriální </w:t>
      </w:r>
      <w:r w:rsidR="008C6BD3" w:rsidRPr="00273106">
        <w:t>predikace</w:t>
      </w:r>
      <w:r w:rsidR="08A77EDB">
        <w:t xml:space="preserve"> </w:t>
      </w:r>
      <w:r w:rsidR="088F4FB2">
        <w:t>je hyparchicky</w:t>
      </w:r>
      <w:r w:rsidR="088F4FB2" w:rsidRPr="00273106">
        <w:t xml:space="preserve"> </w:t>
      </w:r>
      <w:r w:rsidR="088F4FB2">
        <w:t>vztažena</w:t>
      </w:r>
      <w:r w:rsidR="08C3252D">
        <w:t xml:space="preserve"> k reálnému ka</w:t>
      </w:r>
      <w:r w:rsidR="08A77EDB">
        <w:t>u</w:t>
      </w:r>
      <w:r w:rsidR="08C3252D">
        <w:t>z</w:t>
      </w:r>
      <w:r w:rsidR="08A77EDB">
        <w:t>álnímu působení věcí ve světě</w:t>
      </w:r>
      <w:r w:rsidR="005F1719" w:rsidRPr="00273106">
        <w:t xml:space="preserve">. </w:t>
      </w:r>
      <w:r w:rsidR="08A77EDB">
        <w:t>Mrtvola nemů</w:t>
      </w:r>
      <w:r w:rsidR="085337AE">
        <w:t xml:space="preserve">že ve světě nic </w:t>
      </w:r>
      <w:r w:rsidR="08465CFF">
        <w:t xml:space="preserve">specificky </w:t>
      </w:r>
      <w:r w:rsidR="085337AE">
        <w:t>lidského založit</w:t>
      </w:r>
      <w:r w:rsidR="08A77EDB">
        <w:t xml:space="preserve"> a způsobit</w:t>
      </w:r>
      <w:r w:rsidR="085337AE">
        <w:t xml:space="preserve">, </w:t>
      </w:r>
      <w:r w:rsidR="08465CFF">
        <w:t xml:space="preserve">protože </w:t>
      </w:r>
      <w:r w:rsidR="085337AE">
        <w:t>to může jen existující osoba</w:t>
      </w:r>
      <w:r w:rsidR="08A77EDB">
        <w:t xml:space="preserve">. </w:t>
      </w:r>
      <w:r w:rsidR="08C3252D">
        <w:t xml:space="preserve">Spor o člověka-mrtvolu jasně ukázal, že oba směry nepoznávají svět stejným způsobem a proto nemohou mít stejné pojetí vědeckého důkazu. </w:t>
      </w:r>
      <w:r w:rsidR="08AD7C55">
        <w:t xml:space="preserve">Po konfliktním </w:t>
      </w:r>
      <w:r w:rsidR="08AD7C55" w:rsidRPr="00273106">
        <w:t xml:space="preserve">rozboru CMDA mezi prvním a druhým averroismem </w:t>
      </w:r>
      <w:r w:rsidR="08AD7C55">
        <w:t xml:space="preserve">v letech 1225‒30 v Blundově škole a ve škole Filipa Kancléře vznikl další závažný spor o podstatu vědeckého poznání, který za první averroismus řešil Albert v úvodu </w:t>
      </w:r>
      <w:r w:rsidR="08AD7C55" w:rsidRPr="00F1114E">
        <w:rPr>
          <w:i/>
        </w:rPr>
        <w:t>De homine</w:t>
      </w:r>
      <w:r w:rsidR="08AC2258">
        <w:t xml:space="preserve"> (kap. 2</w:t>
      </w:r>
      <w:r w:rsidR="08AD7C55">
        <w:t xml:space="preserve">.4.1). Výklad </w:t>
      </w:r>
      <w:r w:rsidR="08AD7C55" w:rsidRPr="007A7DAB">
        <w:rPr>
          <w:i/>
        </w:rPr>
        <w:t>Druhých analytik</w:t>
      </w:r>
      <w:r w:rsidR="08AD7C55">
        <w:t xml:space="preserve"> rozdělil obě školy kvůli odlišnému </w:t>
      </w:r>
      <w:r w:rsidR="08AD7C55" w:rsidRPr="00273106">
        <w:t xml:space="preserve">statutu </w:t>
      </w:r>
      <w:r w:rsidR="08AD7C55">
        <w:t xml:space="preserve">první </w:t>
      </w:r>
      <w:r w:rsidR="08AD7C55" w:rsidRPr="00273106">
        <w:t>substance</w:t>
      </w:r>
      <w:r w:rsidR="08AD7C55">
        <w:rPr>
          <w:i/>
        </w:rPr>
        <w:fldChar w:fldCharType="begin"/>
      </w:r>
      <w:r w:rsidR="08AD7C55">
        <w:instrText xml:space="preserve"> XE "substance:</w:instrText>
      </w:r>
      <w:r w:rsidR="08AD7C55">
        <w:rPr>
          <w:i/>
        </w:rPr>
        <w:instrText>Oxfordian Fallacy</w:instrText>
      </w:r>
      <w:r w:rsidR="08AD7C55">
        <w:instrText xml:space="preserve">" </w:instrText>
      </w:r>
      <w:r w:rsidR="08AD7C55">
        <w:rPr>
          <w:i/>
        </w:rPr>
        <w:fldChar w:fldCharType="end"/>
      </w:r>
      <w:r w:rsidR="00B03F3E">
        <w:t>.</w:t>
      </w:r>
    </w:p>
    <w:p w14:paraId="02943B58" w14:textId="77777777" w:rsidR="00940530" w:rsidRDefault="08AD7C55" w:rsidP="00C06703">
      <w:pPr>
        <w:ind w:firstLine="397"/>
      </w:pPr>
      <w:r w:rsidRPr="00273106">
        <w:t xml:space="preserve">Analytická četba </w:t>
      </w:r>
      <w:r w:rsidRPr="007A7DAB">
        <w:rPr>
          <w:i/>
        </w:rPr>
        <w:t>Druhých analytik</w:t>
      </w:r>
      <w:r w:rsidRPr="00273106">
        <w:t xml:space="preserve"> </w:t>
      </w:r>
      <w:r w:rsidR="08A41803">
        <w:t xml:space="preserve">vznikla díky zavedení neoplatonských inovací do </w:t>
      </w:r>
      <w:r w:rsidR="08742DDF">
        <w:t>klasické metafyziky. T</w:t>
      </w:r>
      <w:r w:rsidR="08A41803">
        <w:t xml:space="preserve">ento </w:t>
      </w:r>
      <w:r w:rsidR="08742DDF">
        <w:t xml:space="preserve">problematický </w:t>
      </w:r>
      <w:r w:rsidR="08A41803">
        <w:t xml:space="preserve">postup označujeme termínem </w:t>
      </w:r>
      <w:r w:rsidRPr="00273106">
        <w:rPr>
          <w:i/>
        </w:rPr>
        <w:t>Oxfordian Fallacy</w:t>
      </w:r>
      <w:r w:rsidR="00C06703">
        <w:t>. Oxfordská univerzita nevznikla přeměnou jedné katedrální školy na akademickou křesťanskou instituci chráněnou papežskou autoritou, která do sebe potupně integrovala ostatní lokálně významné katedrální řádové a biskupské školy. Oxford na rozdíl od Paříže vznikl z nezávislého kolegia studentů vedených magistrem (</w:t>
      </w:r>
      <w:r w:rsidR="00C06703">
        <w:rPr>
          <w:rStyle w:val="Zvraznn"/>
        </w:rPr>
        <w:t>magister scolarum Oxonie</w:t>
      </w:r>
      <w:r w:rsidR="00C06703">
        <w:rPr>
          <w:rStyle w:val="field-item-single"/>
        </w:rPr>
        <w:t xml:space="preserve">, 1201). Prvním známým  magistrem byl </w:t>
      </w:r>
      <w:r w:rsidR="00C06703">
        <w:t>Edmund z Abingdonu (Giraldus Cambrensis), který dokončil magisterská studia v Paříži a začal vyučovat asi roku 1214 s právem být odměňován od studentů (</w:t>
      </w:r>
      <w:r w:rsidR="00C06703" w:rsidRPr="08A765BC">
        <w:rPr>
          <w:i/>
        </w:rPr>
        <w:t>cathedram magistralem ascendit</w:t>
      </w:r>
      <w:r w:rsidR="00C06703">
        <w:t>). Funkce kancléře je poprvé zmíněna na listině z roku 1221.</w:t>
      </w:r>
      <w:r w:rsidR="00C06703" w:rsidRPr="082426C4">
        <w:t xml:space="preserve"> </w:t>
      </w:r>
      <w:r w:rsidR="00C06703">
        <w:t xml:space="preserve">První oxfordský výklad přírodovědných a metafyzických spisů Aristotela dostal </w:t>
      </w:r>
      <w:r w:rsidR="00C06703">
        <w:lastRenderedPageBreak/>
        <w:t>mnohé neoplatonské rysy v modu avicennismu podle Toledské školy.</w:t>
      </w:r>
      <w:r w:rsidR="00C06703">
        <w:rPr>
          <w:rStyle w:val="Znakapoznpodarou"/>
        </w:rPr>
        <w:footnoteReference w:id="287"/>
      </w:r>
      <w:r w:rsidR="00C06703">
        <w:t xml:space="preserve"> </w:t>
      </w:r>
      <w:r w:rsidR="08A41803">
        <w:t xml:space="preserve">Oxfordská škola druhého averroismu </w:t>
      </w:r>
      <w:r w:rsidRPr="00273106">
        <w:t>stojí u zrodu objektivity</w:t>
      </w:r>
      <w:r>
        <w:t xml:space="preserve">, </w:t>
      </w:r>
      <w:r w:rsidR="08A41803">
        <w:t xml:space="preserve">protože </w:t>
      </w:r>
      <w:r>
        <w:t>dokonala zatmění první substance vinou sofistického výkladu vědeckého důkazu</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t xml:space="preserve">. Proti tomuto pseudo-aristotelskému výkladu </w:t>
      </w:r>
      <w:r w:rsidRPr="00273106">
        <w:t>bojoval</w:t>
      </w:r>
      <w:r>
        <w:t xml:space="preserve"> </w:t>
      </w:r>
      <w:r w:rsidRPr="00273106">
        <w:t xml:space="preserve">Albert Veliký během </w:t>
      </w:r>
      <w:r>
        <w:t xml:space="preserve">svého pobytu </w:t>
      </w:r>
      <w:r w:rsidRPr="00273106">
        <w:t>na Pařížské univerzitě</w:t>
      </w:r>
      <w:r>
        <w:t>. Ale celoživotně byl do něj angažovaný Bacon jak v Oxfordu tak v Paříži</w:t>
      </w:r>
      <w:r w:rsidR="086D3211">
        <w:t xml:space="preserve">, proto na rozdíl od </w:t>
      </w:r>
      <w:r w:rsidR="08175C73">
        <w:t xml:space="preserve">biskupa </w:t>
      </w:r>
      <w:r w:rsidR="086D3211">
        <w:t xml:space="preserve">Alberta skončil </w:t>
      </w:r>
      <w:r w:rsidR="08175C73">
        <w:t xml:space="preserve">v domácím vězení </w:t>
      </w:r>
      <w:r w:rsidR="086D3211">
        <w:t xml:space="preserve">jako akademický disident. </w:t>
      </w:r>
      <w:r w:rsidR="00C961DB" w:rsidRPr="00273106">
        <w:t xml:space="preserve">V podání filosofů </w:t>
      </w:r>
      <w:r w:rsidR="005E3E61" w:rsidRPr="00273106">
        <w:t xml:space="preserve">na Oxfordu </w:t>
      </w:r>
      <w:r w:rsidR="001E1E84" w:rsidRPr="00273106">
        <w:t xml:space="preserve">vzniklo </w:t>
      </w:r>
      <w:r w:rsidR="08742DDF">
        <w:t xml:space="preserve">epochální </w:t>
      </w:r>
      <w:r w:rsidR="001E1E84" w:rsidRPr="00273106">
        <w:rPr>
          <w:i/>
        </w:rPr>
        <w:t>Lichtung</w:t>
      </w:r>
      <w:r w:rsidR="007D4EAA">
        <w:rPr>
          <w:i/>
        </w:rPr>
        <w:fldChar w:fldCharType="begin"/>
      </w:r>
      <w:r w:rsidR="007D4EAA">
        <w:instrText xml:space="preserve"> XE "</w:instrText>
      </w:r>
      <w:r w:rsidR="007D4EAA" w:rsidRPr="001A37FA">
        <w:rPr>
          <w:i/>
        </w:rPr>
        <w:instrText>Lichtung:</w:instrText>
      </w:r>
      <w:r w:rsidR="007D4EAA" w:rsidRPr="001A37FA">
        <w:instrText>moderna</w:instrText>
      </w:r>
      <w:r w:rsidR="007D4EAA">
        <w:instrText xml:space="preserve">" </w:instrText>
      </w:r>
      <w:r w:rsidR="007D4EAA">
        <w:rPr>
          <w:i/>
        </w:rPr>
        <w:fldChar w:fldCharType="end"/>
      </w:r>
      <w:r w:rsidR="001E1E84" w:rsidRPr="00273106">
        <w:t xml:space="preserve"> moderny, </w:t>
      </w:r>
      <w:r w:rsidR="00CE70F5" w:rsidRPr="00273106">
        <w:t xml:space="preserve">v němž </w:t>
      </w:r>
      <w:r w:rsidR="00C961DB" w:rsidRPr="00273106">
        <w:t>se první substance stala</w:t>
      </w:r>
      <w:r w:rsidR="006708F6" w:rsidRPr="00273106">
        <w:t xml:space="preserve"> pouhým akcidentem vědeckého poznání reality</w:t>
      </w:r>
      <w:r w:rsidR="00C961DB" w:rsidRPr="00273106">
        <w:t xml:space="preserve">. </w:t>
      </w:r>
      <w:r w:rsidR="08A03E23">
        <w:t xml:space="preserve">Tato škola představuje třetí pól ve výše uvedeném součtveří dějinnosti (kap. 3). Rozbor </w:t>
      </w:r>
      <w:r w:rsidR="08467A7C">
        <w:t xml:space="preserve">anonymního díla </w:t>
      </w:r>
      <w:r w:rsidR="08A03E23" w:rsidRPr="081610B4">
        <w:rPr>
          <w:i/>
        </w:rPr>
        <w:t>Summa theologiae</w:t>
      </w:r>
      <w:r w:rsidR="08467A7C">
        <w:t xml:space="preserve"> ukáže </w:t>
      </w:r>
      <w:r w:rsidR="08A03E23">
        <w:t xml:space="preserve">vznik tohoto pólu ve dvou fázích (kap. 3.1.3). Oxfordští ilumináti se během studiíí v Paříži po roce 1235 spojili  pařížskou školou modernistů redigující </w:t>
      </w:r>
      <w:r w:rsidR="08A03E23" w:rsidRPr="003E49ED">
        <w:rPr>
          <w:i/>
        </w:rPr>
        <w:t>Summa Halensis</w:t>
      </w:r>
      <w:r w:rsidR="08A03E23">
        <w:rPr>
          <w:i/>
        </w:rPr>
        <w:fldChar w:fldCharType="begin"/>
      </w:r>
      <w:r w:rsidR="08A03E23">
        <w:instrText xml:space="preserve"> XE "</w:instrText>
      </w:r>
      <w:r w:rsidR="08A03E23" w:rsidRPr="00F14A6F">
        <w:rPr>
          <w:i/>
        </w:rPr>
        <w:instrText>Summa Halensis</w:instrText>
      </w:r>
      <w:r w:rsidR="08A03E23">
        <w:instrText xml:space="preserve">" </w:instrText>
      </w:r>
      <w:r w:rsidR="08A03E23">
        <w:rPr>
          <w:i/>
        </w:rPr>
        <w:fldChar w:fldCharType="end"/>
      </w:r>
      <w:r w:rsidR="08A03E23">
        <w:t xml:space="preserve"> a vytvořili novou metafyziku (kap. 3.2). Ve druhém kole se tato skupina začala integrovat v Paříži i na Oxfordu se začínajícím tomismem. Klíčovou událostí byla publikace Akvinského druhé knihy Sentencí, v níž předložil modernizaci</w:t>
      </w:r>
      <w:r w:rsidR="089036FF">
        <w:t xml:space="preserve"> Avicenny okolo roku 1257 (</w:t>
      </w:r>
      <w:r w:rsidR="08A23F2C">
        <w:t xml:space="preserve">OBJ III, </w:t>
      </w:r>
      <w:r w:rsidR="089036FF">
        <w:t xml:space="preserve">kap. </w:t>
      </w:r>
      <w:r w:rsidR="08A23F2C">
        <w:t>4</w:t>
      </w:r>
      <w:r w:rsidR="08A03E23">
        <w:t xml:space="preserve">.5.1). Klíčovou roli při vzniku moderního tomismu v Oxfordu a v Paříži hraje Aegidius Romanus, který se stal prvním tomistou v modu </w:t>
      </w:r>
      <w:r w:rsidR="08A03E23" w:rsidRPr="08CD0CD0">
        <w:rPr>
          <w:i/>
        </w:rPr>
        <w:t>sophist</w:t>
      </w:r>
      <w:r w:rsidR="08A03E23">
        <w:rPr>
          <w:i/>
        </w:rPr>
        <w:t>a</w:t>
      </w:r>
      <w:r w:rsidR="08A03E23" w:rsidRPr="08CD0CD0">
        <w:rPr>
          <w:i/>
        </w:rPr>
        <w:t>e Latini</w:t>
      </w:r>
      <w:r w:rsidR="00940530">
        <w:t>.</w:t>
      </w:r>
    </w:p>
    <w:p w14:paraId="22709F47" w14:textId="5C0F69E5" w:rsidR="00397353" w:rsidRDefault="08A03E23" w:rsidP="00940530">
      <w:pPr>
        <w:ind w:firstLine="397"/>
      </w:pPr>
      <w:r>
        <w:t>Archeologie objektivity</w:t>
      </w:r>
      <w:r>
        <w:fldChar w:fldCharType="begin"/>
      </w:r>
      <w:r>
        <w:instrText xml:space="preserve"> XE "objektivita:archeologie" </w:instrText>
      </w:r>
      <w:r>
        <w:fldChar w:fldCharType="end"/>
      </w:r>
      <w:r w:rsidR="00940530">
        <w:t xml:space="preserve"> odhaluje</w:t>
      </w:r>
      <w:r>
        <w:t xml:space="preserve"> </w:t>
      </w:r>
      <w:r w:rsidRPr="006570AC">
        <w:rPr>
          <w:i/>
        </w:rPr>
        <w:t>Irrtum</w:t>
      </w:r>
      <w:r>
        <w:rPr>
          <w:i/>
        </w:rPr>
        <w:fldChar w:fldCharType="begin"/>
      </w:r>
      <w:r>
        <w:instrText xml:space="preserve"> XE "</w:instrText>
      </w:r>
      <w:r w:rsidRPr="00453B3F">
        <w:rPr>
          <w:i/>
        </w:rPr>
        <w:instrText>Irrtum</w:instrText>
      </w:r>
      <w:r>
        <w:instrText xml:space="preserve">:hermeneutika" </w:instrText>
      </w:r>
      <w:r>
        <w:rPr>
          <w:i/>
        </w:rPr>
        <w:fldChar w:fldCharType="end"/>
      </w:r>
      <w:r>
        <w:t xml:space="preserve"> </w:t>
      </w:r>
      <w:r w:rsidR="00940530">
        <w:t xml:space="preserve">současné metafyziky a nihilismu. Proto </w:t>
      </w:r>
      <w:r>
        <w:t xml:space="preserve">musí tuto ideovou fosilii nejprve vyprostit z nánosů moderního </w:t>
      </w:r>
      <w:r w:rsidRPr="006570AC">
        <w:rPr>
          <w:i/>
        </w:rPr>
        <w:t>damnatio memoriae</w:t>
      </w:r>
      <w:r>
        <w:rPr>
          <w:i/>
        </w:rPr>
        <w:fldChar w:fldCharType="begin"/>
      </w:r>
      <w:r>
        <w:instrText xml:space="preserve"> XE "</w:instrText>
      </w:r>
      <w:r w:rsidRPr="00C65046">
        <w:rPr>
          <w:i/>
        </w:rPr>
        <w:instrText>damnatio memoriae</w:instrText>
      </w:r>
      <w:r>
        <w:instrText xml:space="preserve">" </w:instrText>
      </w:r>
      <w:r>
        <w:rPr>
          <w:i/>
        </w:rPr>
        <w:fldChar w:fldCharType="end"/>
      </w:r>
      <w:r>
        <w:t xml:space="preserve"> a kolektivních obranných mechanismů typu </w:t>
      </w:r>
      <w:r w:rsidRPr="080B5039">
        <w:rPr>
          <w:i/>
        </w:rPr>
        <w:t>Verkehrung ins Gegenteil</w:t>
      </w:r>
      <w:r>
        <w:rPr>
          <w:i/>
        </w:rPr>
        <w:fldChar w:fldCharType="begin"/>
      </w:r>
      <w:r>
        <w:instrText xml:space="preserve"> XE "</w:instrText>
      </w:r>
      <w:r w:rsidRPr="08381FF1">
        <w:rPr>
          <w:i/>
        </w:rPr>
        <w:instrText>Verkehrung ins Gegenteil</w:instrText>
      </w:r>
      <w:r>
        <w:instrText xml:space="preserve">" </w:instrText>
      </w:r>
      <w:r>
        <w:rPr>
          <w:i/>
        </w:rPr>
        <w:fldChar w:fldCharType="end"/>
      </w:r>
      <w:r w:rsidR="086C1CFF">
        <w:t xml:space="preserve">. </w:t>
      </w:r>
      <w:r w:rsidR="081346BF">
        <w:t xml:space="preserve">Škola </w:t>
      </w:r>
      <w:r w:rsidR="081346BF" w:rsidRPr="080B5039">
        <w:rPr>
          <w:i/>
        </w:rPr>
        <w:t>Modernorum</w:t>
      </w:r>
      <w:r w:rsidR="081346BF">
        <w:t xml:space="preserve"> projektovala vlastní omyly do učení svých filosofických protivníků a udělala z nich tzv. „averroisty“. Kolektivní ztráta filosofické a akademické paměti je </w:t>
      </w:r>
      <w:r w:rsidR="081D764E">
        <w:t xml:space="preserve">i dnes </w:t>
      </w:r>
      <w:r w:rsidR="00D81E73">
        <w:t>daná slepotou vůči</w:t>
      </w:r>
      <w:r w:rsidR="081346BF">
        <w:t xml:space="preserve"> první substanci v porretánském myšlení moderny</w:t>
      </w:r>
      <w:r w:rsidR="080843A9">
        <w:t xml:space="preserve"> a postmoderny</w:t>
      </w:r>
      <w:r w:rsidR="081346BF">
        <w:t xml:space="preserve">. Hermeneutika vidí </w:t>
      </w:r>
      <w:r w:rsidR="084360D9">
        <w:t xml:space="preserve">tento </w:t>
      </w:r>
      <w:r w:rsidR="081346BF">
        <w:t xml:space="preserve">heideggerovský </w:t>
      </w:r>
      <w:r w:rsidR="081346BF" w:rsidRPr="08857805">
        <w:rPr>
          <w:i/>
        </w:rPr>
        <w:t>Irrtum</w:t>
      </w:r>
      <w:r w:rsidR="081346BF">
        <w:t xml:space="preserve"> skrze tři různé způsoby dané v rámci předložené triadické struktury. </w:t>
      </w:r>
      <w:r w:rsidR="006B2748" w:rsidRPr="006B2748">
        <w:t xml:space="preserve">Slepota k </w:t>
      </w:r>
      <w:r w:rsidR="006B2748">
        <w:t>po</w:t>
      </w:r>
      <w:r w:rsidR="006B2748" w:rsidRPr="006B2748">
        <w:t>/</w:t>
      </w:r>
      <w:r w:rsidR="006B2748">
        <w:t>od</w:t>
      </w:r>
      <w:r w:rsidR="006B2748" w:rsidRPr="006B2748">
        <w:t xml:space="preserve">krytosti </w:t>
      </w:r>
      <w:r w:rsidR="006B2748">
        <w:t xml:space="preserve">dějinnosti </w:t>
      </w:r>
      <w:r w:rsidR="006B2748" w:rsidRPr="006B2748">
        <w:t>bytí (</w:t>
      </w:r>
      <w:r w:rsidR="006B2748" w:rsidRPr="006B2748">
        <w:rPr>
          <w:i/>
        </w:rPr>
        <w:t>a/létheia</w:t>
      </w:r>
      <w:r w:rsidR="006B2748" w:rsidRPr="006B2748">
        <w:t xml:space="preserve">) odhaluje pravdu o </w:t>
      </w:r>
      <w:r w:rsidR="006B2748">
        <w:t xml:space="preserve">dějinách </w:t>
      </w:r>
      <w:r w:rsidR="00B97A74">
        <w:t xml:space="preserve">jsoucna </w:t>
      </w:r>
      <w:r w:rsidR="006B2748" w:rsidRPr="006B2748">
        <w:t>v metafyzice (</w:t>
      </w:r>
      <w:r w:rsidR="006B2748" w:rsidRPr="006B2748">
        <w:rPr>
          <w:i/>
        </w:rPr>
        <w:t>alétheia</w:t>
      </w:r>
      <w:r w:rsidR="006B2748">
        <w:t xml:space="preserve">). Nový směr historie </w:t>
      </w:r>
      <w:r w:rsidR="006B2748" w:rsidRPr="006B2748">
        <w:t>scholastiky v Oxfordu a Paříži vytvořil objektivní pravdu (</w:t>
      </w:r>
      <w:r w:rsidR="006B2748" w:rsidRPr="006B2748">
        <w:rPr>
          <w:i/>
        </w:rPr>
        <w:t>veritas</w:t>
      </w:r>
      <w:r w:rsidR="006B2748">
        <w:t xml:space="preserve">) </w:t>
      </w:r>
      <w:r w:rsidR="00B97A74">
        <w:t>vztaženou k </w:t>
      </w:r>
      <w:r w:rsidR="00B97A74" w:rsidRPr="00B97A74">
        <w:rPr>
          <w:i/>
        </w:rPr>
        <w:t>tertium ens</w:t>
      </w:r>
      <w:r w:rsidR="00B97A74">
        <w:t xml:space="preserve"> </w:t>
      </w:r>
      <w:r w:rsidR="006B2748">
        <w:t xml:space="preserve">na základě </w:t>
      </w:r>
      <w:r w:rsidR="006B2748" w:rsidRPr="006B2748">
        <w:rPr>
          <w:i/>
        </w:rPr>
        <w:lastRenderedPageBreak/>
        <w:t>Oxfordian Fallacy</w:t>
      </w:r>
      <w:r w:rsidR="006B2748" w:rsidRPr="006B2748">
        <w:t>.</w:t>
      </w:r>
      <w:r w:rsidR="006B2748">
        <w:t xml:space="preserve"> </w:t>
      </w:r>
      <w:r w:rsidR="081346BF">
        <w:t>Zápas školy prvního a druhého averroismu byl daný skrze spor o tzv. „dvojí pravdu“</w:t>
      </w:r>
      <w:r w:rsidR="084C7274">
        <w:t>, který je třeba nově vyložit</w:t>
      </w:r>
      <w:r w:rsidR="00AC64C4">
        <w:t>. Hegeliánské a pozitivistické výklady</w:t>
      </w:r>
      <w:r>
        <w:t xml:space="preserve"> středověku </w:t>
      </w:r>
      <w:r w:rsidR="00AC64C4">
        <w:t xml:space="preserve">jsou dané </w:t>
      </w:r>
      <w:r>
        <w:t xml:space="preserve">ve schématech </w:t>
      </w:r>
      <w:r w:rsidR="000B255E">
        <w:t>objektivního jsoucna</w:t>
      </w:r>
      <w:r w:rsidR="00AC64C4">
        <w:t xml:space="preserve">. Tam </w:t>
      </w:r>
      <w:r>
        <w:t>nemá hermeneutická triáda dějinnosti, dějin a historie žádn</w:t>
      </w:r>
      <w:r w:rsidR="00193EE1">
        <w:t>ou možnost</w:t>
      </w:r>
      <w:r w:rsidR="00577A34">
        <w:t>, jak by mohla filosoficky působit</w:t>
      </w:r>
      <w:r>
        <w:t xml:space="preserve">. Objektivisté nevidí pravdu v modu </w:t>
      </w:r>
      <w:r w:rsidRPr="000428A0">
        <w:rPr>
          <w:i/>
        </w:rPr>
        <w:t>a/létheia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t xml:space="preserve">, protože </w:t>
      </w:r>
      <w:r w:rsidRPr="006D376E">
        <w:rPr>
          <w:i/>
        </w:rPr>
        <w:t>Lichtung</w:t>
      </w:r>
      <w:r>
        <w:t xml:space="preserve"> této pravdy pro ně objektivně neexistuje</w:t>
      </w:r>
      <w:r w:rsidR="00AE5E27">
        <w:t>. S</w:t>
      </w:r>
      <w:r>
        <w:t xml:space="preserve">tejně pro první modernisty neexistovalo diafanum Aristotela, Al-Fárábího a Averroese, či skutečná forma </w:t>
      </w:r>
      <w:r w:rsidRPr="007628CC">
        <w:rPr>
          <w:i/>
        </w:rPr>
        <w:t>intellectus possibilis</w:t>
      </w:r>
      <w:r>
        <w:t xml:space="preserve"> podle CMDA. Komentátorova </w:t>
      </w:r>
      <w:r w:rsidRPr="00273106">
        <w:t xml:space="preserve">zásadní </w:t>
      </w:r>
      <w:r>
        <w:t xml:space="preserve">kritika Avicennovy metafyzické </w:t>
      </w:r>
      <w:r w:rsidRPr="00273106">
        <w:rPr>
          <w:i/>
        </w:rPr>
        <w:t>obscurity</w:t>
      </w:r>
      <w:r>
        <w:rPr>
          <w:i/>
        </w:rPr>
        <w:fldChar w:fldCharType="begin"/>
      </w:r>
      <w:r>
        <w:instrText xml:space="preserve"> XE "</w:instrText>
      </w:r>
      <w:r w:rsidRPr="000E608A">
        <w:instrText>zatmění:substance</w:instrText>
      </w:r>
      <w:r>
        <w:instrText xml:space="preserve">" </w:instrText>
      </w:r>
      <w:r>
        <w:rPr>
          <w:i/>
        </w:rPr>
        <w:fldChar w:fldCharType="end"/>
      </w:r>
      <w:r w:rsidRPr="00273106">
        <w:t xml:space="preserve"> ukázala, že neexistuje žádná shoda mezi těmito dvěma klíčovými mysliteli Západu v otázce první filosofie.</w:t>
      </w:r>
      <w:r>
        <w:t xml:space="preserve"> Škola prvního averroismu komentuje </w:t>
      </w:r>
      <w:r w:rsidRPr="00DA4AF7">
        <w:rPr>
          <w:i/>
        </w:rPr>
        <w:t>De anima</w:t>
      </w:r>
      <w:r>
        <w:t xml:space="preserve"> podle CMDA již od roku 1225‒30 v obou výše vyložených anonymních spisech a předtím provedla aristotelský výklad </w:t>
      </w:r>
      <w:r w:rsidR="08841094" w:rsidRPr="083D7EC1">
        <w:rPr>
          <w:i/>
          <w:szCs w:val="24"/>
        </w:rPr>
        <w:t>De anima</w:t>
      </w:r>
      <w:r w:rsidR="08841094" w:rsidRPr="083D7EC1">
        <w:rPr>
          <w:szCs w:val="24"/>
        </w:rPr>
        <w:t xml:space="preserve"> </w:t>
      </w:r>
      <w:r>
        <w:t xml:space="preserve">již Blundova škola. Gigantomachie mezi prvním a druhým averroismem se týkala recepce Stagiritových spisů buď na způsob Avicenny nebo Averroese. Latinská scholastika </w:t>
      </w:r>
      <w:r w:rsidRPr="00273106">
        <w:t xml:space="preserve">přebírá spor mezi </w:t>
      </w:r>
      <w:r>
        <w:t>Averroes</w:t>
      </w:r>
      <w:r w:rsidRPr="00273106">
        <w:t xml:space="preserve">em a Avicennou a originálním způsobem </w:t>
      </w:r>
      <w:r>
        <w:t xml:space="preserve">jej </w:t>
      </w:r>
      <w:r w:rsidRPr="00273106">
        <w:t>modifikuje sm</w:t>
      </w:r>
      <w:r>
        <w:t>ěr</w:t>
      </w:r>
      <w:r w:rsidR="00397353">
        <w:t>em k objektivnímu vidění světa.</w:t>
      </w:r>
    </w:p>
    <w:p w14:paraId="5BACF5DD" w14:textId="77777777" w:rsidR="00520961" w:rsidRDefault="08A03E23" w:rsidP="009438FE">
      <w:pPr>
        <w:ind w:firstLine="397"/>
      </w:pPr>
      <w:r w:rsidRPr="00273106">
        <w:t xml:space="preserve">Škola </w:t>
      </w:r>
      <w:r w:rsidRPr="00273106">
        <w:rPr>
          <w:i/>
        </w:rPr>
        <w:t>Nominales</w:t>
      </w:r>
      <w:r w:rsidRPr="00273106">
        <w:t xml:space="preserve"> pod vedením Gilberta </w:t>
      </w:r>
      <w:r w:rsidR="002239AA">
        <w:t>de La Porrée</w:t>
      </w:r>
      <w:r w:rsidRPr="00273106">
        <w:t xml:space="preserve"> univočně spojila esenci a existenci, a tím stvořila </w:t>
      </w:r>
      <w:r w:rsidRPr="00273106">
        <w:rPr>
          <w:i/>
        </w:rPr>
        <w:t>ex nihilo</w:t>
      </w:r>
      <w:r w:rsidRPr="00273106">
        <w:t xml:space="preserve"> první substanci jako jsoucno třetího druhu. O další proměnu tohoto </w:t>
      </w:r>
      <w:r w:rsidRPr="00273106">
        <w:rPr>
          <w:i/>
        </w:rPr>
        <w:t>tertium ens</w:t>
      </w:r>
      <w:r w:rsidRPr="00273106">
        <w:t xml:space="preserve"> se postarala v první polovině 13. století skupina myslitelů druhého averroism</w:t>
      </w:r>
      <w:r>
        <w:t>u z Toledské školy</w:t>
      </w:r>
      <w:r w:rsidRPr="00273106">
        <w:t xml:space="preserve">, která šířila Albertem kritizované nauky zvané </w:t>
      </w:r>
      <w:r w:rsidRPr="00273106">
        <w:rPr>
          <w:i/>
        </w:rPr>
        <w:t>opinio Latinorum</w:t>
      </w:r>
      <w:r>
        <w:rPr>
          <w:i/>
        </w:rPr>
        <w:fldChar w:fldCharType="begin"/>
      </w:r>
      <w:r>
        <w:instrText xml:space="preserve"> XE "druhý averroismus:</w:instrText>
      </w:r>
      <w:r w:rsidRPr="00894CD6">
        <w:rPr>
          <w:i/>
        </w:rPr>
        <w:instrText>opinio Latinorum</w:instrText>
      </w:r>
      <w:r>
        <w:instrText xml:space="preserve">" </w:instrText>
      </w:r>
      <w:r>
        <w:rPr>
          <w:i/>
        </w:rPr>
        <w:fldChar w:fldCharType="end"/>
      </w:r>
      <w:r w:rsidRPr="00273106">
        <w:t xml:space="preserve">. </w:t>
      </w:r>
      <w:r w:rsidR="002D455F">
        <w:t>P</w:t>
      </w:r>
      <w:r w:rsidR="002D455F" w:rsidRPr="00273106">
        <w:t>rvní matrice</w:t>
      </w:r>
      <w:r w:rsidR="002D455F">
        <w:t xml:space="preserve"> objektivity sledovala vznik objektivity na základě rozdílných intepretací spisu </w:t>
      </w:r>
      <w:r w:rsidR="083D7EC1" w:rsidRPr="00273106">
        <w:t xml:space="preserve">CMDA </w:t>
      </w:r>
      <w:r w:rsidR="002D455F">
        <w:t>v letech 1225‒40</w:t>
      </w:r>
      <w:r w:rsidR="083D7EC1" w:rsidRPr="00273106">
        <w:t>.</w:t>
      </w:r>
      <w:r w:rsidR="083D7EC1">
        <w:t xml:space="preserve"> </w:t>
      </w:r>
      <w:r w:rsidR="008B4DC2">
        <w:t xml:space="preserve">Hlavní </w:t>
      </w:r>
      <w:r w:rsidRPr="00273106">
        <w:t xml:space="preserve">metafyzické </w:t>
      </w:r>
      <w:r w:rsidR="008B4DC2">
        <w:t>volby skupiny „</w:t>
      </w:r>
      <w:r w:rsidRPr="00273106">
        <w:rPr>
          <w:i/>
        </w:rPr>
        <w:t>doctorum Latinorum</w:t>
      </w:r>
      <w:r w:rsidR="008B4DC2">
        <w:t>“</w:t>
      </w:r>
      <w:r w:rsidRPr="00273106">
        <w:t xml:space="preserve"> </w:t>
      </w:r>
      <w:r>
        <w:t xml:space="preserve">z let 1250‒55 </w:t>
      </w:r>
      <w:r w:rsidRPr="00273106">
        <w:t xml:space="preserve">jsou totožné </w:t>
      </w:r>
      <w:r>
        <w:t xml:space="preserve">se skupinou </w:t>
      </w:r>
      <w:r w:rsidRPr="00273106">
        <w:rPr>
          <w:i/>
        </w:rPr>
        <w:t>sophistae Latini</w:t>
      </w:r>
      <w:r>
        <w:rPr>
          <w:i/>
        </w:rPr>
        <w:fldChar w:fldCharType="begin"/>
      </w:r>
      <w:r>
        <w:instrText xml:space="preserve"> XE "druhý averroismus:</w:instrText>
      </w:r>
      <w:r w:rsidRPr="00EC0AF4">
        <w:rPr>
          <w:i/>
          <w:lang w:eastAsia="en-US"/>
        </w:rPr>
        <w:instrText>sophistae Latini</w:instrText>
      </w:r>
      <w:r>
        <w:instrText xml:space="preserve">" </w:instrText>
      </w:r>
      <w:r>
        <w:rPr>
          <w:i/>
        </w:rPr>
        <w:fldChar w:fldCharType="end"/>
      </w:r>
      <w:r w:rsidRPr="00273106">
        <w:t xml:space="preserve"> odmítnutou biskupem Alvernem </w:t>
      </w:r>
      <w:r w:rsidR="00E034E5">
        <w:t xml:space="preserve">v letech </w:t>
      </w:r>
      <w:r w:rsidRPr="00273106">
        <w:t>1240</w:t>
      </w:r>
      <w:r>
        <w:t>‒45</w:t>
      </w:r>
      <w:r w:rsidRPr="00273106">
        <w:t xml:space="preserve">. První averroismus odmítl </w:t>
      </w:r>
      <w:r w:rsidR="08F31797">
        <w:t xml:space="preserve">metafyzický koncept </w:t>
      </w:r>
      <w:r w:rsidR="08F31797" w:rsidRPr="00273106">
        <w:t>svět</w:t>
      </w:r>
      <w:r w:rsidR="08F31797">
        <w:t>a daný modernisty</w:t>
      </w:r>
      <w:r w:rsidR="08A33A9C">
        <w:t xml:space="preserve">. Tito klasikové </w:t>
      </w:r>
      <w:r w:rsidR="08F31797">
        <w:t>vycházel</w:t>
      </w:r>
      <w:r w:rsidR="08A33A9C">
        <w:t>i</w:t>
      </w:r>
      <w:r w:rsidR="08F31797">
        <w:t xml:space="preserve"> z tradice </w:t>
      </w:r>
      <w:r>
        <w:t xml:space="preserve">aristotelských </w:t>
      </w:r>
      <w:r w:rsidR="08F31797">
        <w:t xml:space="preserve">katedrálních </w:t>
      </w:r>
      <w:r>
        <w:t xml:space="preserve">škol </w:t>
      </w:r>
      <w:r w:rsidR="08F31797">
        <w:t xml:space="preserve">angažovaných </w:t>
      </w:r>
      <w:r>
        <w:t xml:space="preserve">proti </w:t>
      </w:r>
      <w:r w:rsidR="08F31797">
        <w:t xml:space="preserve">neoplatonským školám </w:t>
      </w:r>
      <w:r w:rsidRPr="00F9379D">
        <w:rPr>
          <w:i/>
        </w:rPr>
        <w:t>Nominales</w:t>
      </w:r>
      <w:r w:rsidR="08F31797">
        <w:t xml:space="preserve">. Moderní vidění </w:t>
      </w:r>
      <w:r w:rsidR="083258E1">
        <w:t xml:space="preserve">dekandentního </w:t>
      </w:r>
      <w:r w:rsidR="08A33A9C">
        <w:t>„světa naruby“ (</w:t>
      </w:r>
      <w:r w:rsidR="08A33A9C" w:rsidRPr="00074B1F">
        <w:rPr>
          <w:bCs/>
        </w:rPr>
        <w:t>J</w:t>
      </w:r>
      <w:r w:rsidR="08A33A9C">
        <w:rPr>
          <w:bCs/>
        </w:rPr>
        <w:t xml:space="preserve">. </w:t>
      </w:r>
      <w:r w:rsidR="08A33A9C" w:rsidRPr="00074B1F">
        <w:rPr>
          <w:bCs/>
        </w:rPr>
        <w:t>K</w:t>
      </w:r>
      <w:r w:rsidR="08A33A9C">
        <w:rPr>
          <w:bCs/>
        </w:rPr>
        <w:t>.</w:t>
      </w:r>
      <w:r w:rsidR="08A33A9C" w:rsidRPr="00074B1F">
        <w:rPr>
          <w:bCs/>
        </w:rPr>
        <w:t xml:space="preserve"> Huysmans</w:t>
      </w:r>
      <w:r w:rsidR="08A33A9C">
        <w:t xml:space="preserve">) </w:t>
      </w:r>
      <w:r w:rsidR="08F31797">
        <w:t xml:space="preserve">vzniklo na základě </w:t>
      </w:r>
      <w:r>
        <w:t xml:space="preserve">sofistického výkladu Averroese, který se pro modernisty </w:t>
      </w:r>
      <w:r w:rsidRPr="00273106">
        <w:t>stal černou ovcí až dodnes.</w:t>
      </w:r>
      <w:r w:rsidRPr="00273106">
        <w:rPr>
          <w:lang w:eastAsia="en-US"/>
        </w:rPr>
        <w:t xml:space="preserve"> </w:t>
      </w:r>
      <w:r w:rsidRPr="00273106">
        <w:t xml:space="preserve">Skupina augustiniánů a avicennistů vyložila </w:t>
      </w:r>
      <w:r>
        <w:t>Averroes</w:t>
      </w:r>
      <w:r w:rsidRPr="00273106">
        <w:t>e</w:t>
      </w:r>
      <w:r>
        <w:t xml:space="preserve"> v letech 1230‒40 podle neoplatonské Toledské školy. S</w:t>
      </w:r>
      <w:r w:rsidRPr="00273106">
        <w:t xml:space="preserve">ofistický výklad </w:t>
      </w:r>
      <w:r>
        <w:t xml:space="preserve">CMDA </w:t>
      </w:r>
      <w:r w:rsidRPr="00273106">
        <w:t xml:space="preserve">vysloužil </w:t>
      </w:r>
      <w:r>
        <w:t xml:space="preserve">těmto učeným Latiníkům a sofistům </w:t>
      </w:r>
      <w:r w:rsidRPr="00273106">
        <w:t>novou ironic</w:t>
      </w:r>
      <w:r>
        <w:t xml:space="preserve">kou přezdívku </w:t>
      </w:r>
      <w:r w:rsidRPr="00273106">
        <w:rPr>
          <w:i/>
        </w:rPr>
        <w:t>Averroistae</w:t>
      </w:r>
      <w:r>
        <w:rPr>
          <w:i/>
        </w:rPr>
        <w:fldChar w:fldCharType="begin"/>
      </w:r>
      <w:r>
        <w:instrText xml:space="preserve"> XE "druhý averroismus:</w:instrText>
      </w:r>
      <w:r w:rsidRPr="00851DB4">
        <w:rPr>
          <w:i/>
          <w:lang w:eastAsia="en-US"/>
        </w:rPr>
        <w:instrText>Averroistae</w:instrText>
      </w:r>
      <w:r>
        <w:instrText xml:space="preserve">" </w:instrText>
      </w:r>
      <w:r>
        <w:rPr>
          <w:i/>
        </w:rPr>
        <w:fldChar w:fldCharType="end"/>
      </w:r>
      <w:r w:rsidRPr="00273106">
        <w:t xml:space="preserve">. Úkol učených Latiníků zakládajích </w:t>
      </w:r>
      <w:r w:rsidRPr="00273106">
        <w:rPr>
          <w:i/>
        </w:rPr>
        <w:t>Weltanschauung</w:t>
      </w:r>
      <w:r>
        <w:rPr>
          <w:i/>
        </w:rPr>
        <w:fldChar w:fldCharType="begin"/>
      </w:r>
      <w:r>
        <w:instrText xml:space="preserve"> XE "</w:instrText>
      </w:r>
      <w:r w:rsidRPr="001E5389">
        <w:rPr>
          <w:i/>
        </w:rPr>
        <w:instrText>Weltanschauung</w:instrText>
      </w:r>
      <w:r>
        <w:instrText xml:space="preserve">" </w:instrText>
      </w:r>
      <w:r>
        <w:rPr>
          <w:i/>
        </w:rPr>
        <w:fldChar w:fldCharType="end"/>
      </w:r>
      <w:r w:rsidRPr="00273106">
        <w:t xml:space="preserve"> moderny kolem 1240‒45 nebyl jednoduchý a prohráli první kol</w:t>
      </w:r>
      <w:r>
        <w:t>o n</w:t>
      </w:r>
      <w:r w:rsidRPr="00273106">
        <w:t>a Pařížské univerzitě.</w:t>
      </w:r>
      <w:r>
        <w:t xml:space="preserve"> Ale v této době </w:t>
      </w:r>
      <w:r w:rsidRPr="00273106">
        <w:t xml:space="preserve">jim už </w:t>
      </w:r>
      <w:r w:rsidRPr="00273106">
        <w:lastRenderedPageBreak/>
        <w:t xml:space="preserve">patřil Oxford, kde proti jejich „šílenému myšlení“ bojoval aristotelik Roger Bacon. Ale i v Paříži byli moderní sofisté pilní a </w:t>
      </w:r>
      <w:r>
        <w:t xml:space="preserve">vytrvalí. </w:t>
      </w:r>
      <w:r w:rsidR="08D17227" w:rsidRPr="00273106">
        <w:rPr>
          <w:lang w:eastAsia="en-US"/>
        </w:rPr>
        <w:t xml:space="preserve">Výklad </w:t>
      </w:r>
      <w:r w:rsidR="08D17227">
        <w:rPr>
          <w:lang w:eastAsia="en-US"/>
        </w:rPr>
        <w:t xml:space="preserve">aristotelského korpusu v paradigmatu Sicilské nebo Toledské školy </w:t>
      </w:r>
      <w:r w:rsidR="08D17227" w:rsidRPr="00273106">
        <w:rPr>
          <w:lang w:eastAsia="en-US"/>
        </w:rPr>
        <w:t xml:space="preserve">vyvolal </w:t>
      </w:r>
      <w:r w:rsidR="08D17227" w:rsidRPr="00273106">
        <w:t xml:space="preserve">zásadní spor, který dalece překročil filosofické a věroučné spory Abelarda s tehdejšími porretány a se školou </w:t>
      </w:r>
      <w:r w:rsidR="08D17227" w:rsidRPr="00273106">
        <w:rPr>
          <w:i/>
        </w:rPr>
        <w:t>Nominales</w:t>
      </w:r>
      <w:r w:rsidR="08D17227" w:rsidRPr="00273106">
        <w:t>.</w:t>
      </w:r>
      <w:r w:rsidR="08D17227">
        <w:t xml:space="preserve"> </w:t>
      </w:r>
      <w:r>
        <w:t>P</w:t>
      </w:r>
      <w:r w:rsidRPr="00273106">
        <w:t xml:space="preserve">o smrti rektora univerzity a biskupa Alverna byl postup kompilátorů kolem </w:t>
      </w:r>
      <w:r>
        <w:rPr>
          <w:i/>
        </w:rPr>
        <w:t>Summa H</w:t>
      </w:r>
      <w:r w:rsidRPr="00273106">
        <w:rPr>
          <w:i/>
        </w:rPr>
        <w:t>alensis</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už nezadržitelný. </w:t>
      </w:r>
      <w:r>
        <w:t>Minulá</w:t>
      </w:r>
      <w:r w:rsidRPr="00273106">
        <w:t xml:space="preserve"> matric</w:t>
      </w:r>
      <w:r>
        <w:t xml:space="preserve">e vyložila </w:t>
      </w:r>
      <w:r w:rsidRPr="00273106">
        <w:t>počátek celého sporu</w:t>
      </w:r>
      <w:r>
        <w:t xml:space="preserve"> </w:t>
      </w:r>
      <w:r w:rsidRPr="00273106">
        <w:t xml:space="preserve">z hlediska </w:t>
      </w:r>
      <w:r>
        <w:t>Alverna a Alberta Velikého. Tito</w:t>
      </w:r>
      <w:r w:rsidRPr="00273106">
        <w:t xml:space="preserve"> brilantní aristotelik</w:t>
      </w:r>
      <w:r>
        <w:t>ové a první znal</w:t>
      </w:r>
      <w:r w:rsidRPr="00273106">
        <w:t>c</w:t>
      </w:r>
      <w:r>
        <w:t>i</w:t>
      </w:r>
      <w:r w:rsidRPr="00273106">
        <w:t xml:space="preserve"> </w:t>
      </w:r>
      <w:r>
        <w:t>Averroes</w:t>
      </w:r>
      <w:r w:rsidRPr="00273106">
        <w:t xml:space="preserve">e </w:t>
      </w:r>
      <w:r>
        <w:t>podle Sicilské školy představují vrcholné</w:t>
      </w:r>
      <w:r w:rsidRPr="00273106">
        <w:t xml:space="preserve"> představitele prvního averroismu. První averroismus tvrdil, že pojetí osoby dualisticky napojené přes oddělený intelekt na svět forem identických s kosmickým intelektem není s</w:t>
      </w:r>
      <w:r>
        <w:t xml:space="preserve">lučitelné s křesťanskou naukou. </w:t>
      </w:r>
      <w:r w:rsidRPr="00273106">
        <w:t xml:space="preserve">Na věroučné problémy ohledně ohrožené autonomie světa a jednoty osoby upozorňují Albertovy spisy obhajující jednotu intelektu po </w:t>
      </w:r>
      <w:r>
        <w:t xml:space="preserve">roce </w:t>
      </w:r>
      <w:r w:rsidRPr="00273106">
        <w:t xml:space="preserve">1250. Druhý averroismus měl velký problém, jak se bránit proti obviněním z herezí </w:t>
      </w:r>
      <w:r>
        <w:t xml:space="preserve">daných v učení tzv. </w:t>
      </w:r>
      <w:r w:rsidRPr="00273106">
        <w:t xml:space="preserve">„Arabů“. </w:t>
      </w:r>
      <w:r>
        <w:t xml:space="preserve">Porretánská individua, hypostázované </w:t>
      </w:r>
      <w:r w:rsidR="002E30FF" w:rsidRPr="002E30FF">
        <w:t>species</w:t>
      </w:r>
      <w:r>
        <w:t xml:space="preserve"> ve věcech a v mysli, svět nazíraný skrze oddělený </w:t>
      </w:r>
      <w:r w:rsidRPr="00273106">
        <w:t>činn</w:t>
      </w:r>
      <w:r>
        <w:t>ý intelekt, definice osoby jako specifické mrtvoly</w:t>
      </w:r>
      <w:r>
        <w:fldChar w:fldCharType="begin"/>
      </w:r>
      <w:r>
        <w:instrText xml:space="preserve"> XE "sofisma člověk-mrtvola" </w:instrText>
      </w:r>
      <w:r>
        <w:fldChar w:fldCharType="end"/>
      </w:r>
      <w:r>
        <w:t>, navíc seskládané do mnohosti nekompatibilních substancí ‒ všechny tyto objektivní výdobytky myšlení tvořily</w:t>
      </w:r>
      <w:r w:rsidRPr="00273106">
        <w:t xml:space="preserve"> integrální součást </w:t>
      </w:r>
      <w:r>
        <w:t>začínající moderny</w:t>
      </w:r>
      <w:r w:rsidRPr="00273106">
        <w:t xml:space="preserve">. </w:t>
      </w:r>
      <w:r>
        <w:t xml:space="preserve">Učení neoplatonských </w:t>
      </w:r>
      <w:r w:rsidRPr="00273106">
        <w:rPr>
          <w:i/>
        </w:rPr>
        <w:t>sequaces Aristotelis</w:t>
      </w:r>
      <w:r>
        <w:rPr>
          <w:i/>
        </w:rPr>
        <w:fldChar w:fldCharType="begin"/>
      </w:r>
      <w:r>
        <w:instrText xml:space="preserve"> XE "druhý averroismus:</w:instrText>
      </w:r>
      <w:r w:rsidRPr="00B81DDF">
        <w:rPr>
          <w:i/>
        </w:rPr>
        <w:instrText>sequaces Aristotelis</w:instrText>
      </w:r>
      <w:r>
        <w:instrText xml:space="preserve">" </w:instrText>
      </w:r>
      <w:r>
        <w:rPr>
          <w:i/>
        </w:rPr>
        <w:fldChar w:fldCharType="end"/>
      </w:r>
      <w:r w:rsidRPr="00273106">
        <w:t xml:space="preserve"> oficiálně odsoudil biskup Alvernus na půdě univerzity skrze spor o oddělený </w:t>
      </w:r>
      <w:r w:rsidRPr="00273106">
        <w:rPr>
          <w:i/>
        </w:rPr>
        <w:t>intellectus agens</w:t>
      </w:r>
      <w:r w:rsidR="085A223A">
        <w:rPr>
          <w:i/>
        </w:rPr>
        <w:fldChar w:fldCharType="begin"/>
      </w:r>
      <w:r w:rsidR="085A223A">
        <w:instrText xml:space="preserve"> XE "</w:instrText>
      </w:r>
      <w:r w:rsidR="085A223A" w:rsidRPr="00490D32">
        <w:rPr>
          <w:i/>
        </w:rPr>
        <w:instrText>intellectus agens:</w:instrText>
      </w:r>
      <w:r w:rsidR="085A223A" w:rsidRPr="0081412C">
        <w:instrText>Alvernus</w:instrText>
      </w:r>
      <w:r w:rsidR="085A223A">
        <w:instrText xml:space="preserve">" </w:instrText>
      </w:r>
      <w:r w:rsidR="085A223A">
        <w:rPr>
          <w:i/>
        </w:rPr>
        <w:fldChar w:fldCharType="end"/>
      </w:r>
      <w:r>
        <w:t xml:space="preserve"> v člověku</w:t>
      </w:r>
      <w:r w:rsidRPr="00273106">
        <w:t>. Slavnostní proh</w:t>
      </w:r>
      <w:r>
        <w:t>lášení biskupa Alverna na půdě Pařížské univerzity</w:t>
      </w:r>
      <w:r w:rsidRPr="00273106">
        <w:t xml:space="preserve"> cituje Bacon proti </w:t>
      </w:r>
      <w:r>
        <w:t xml:space="preserve">modernistům </w:t>
      </w:r>
      <w:r w:rsidRPr="00273106">
        <w:t>obhaju</w:t>
      </w:r>
      <w:r>
        <w:t>jících</w:t>
      </w:r>
      <w:r w:rsidRPr="00273106">
        <w:t xml:space="preserve"> avicennovskou verzi m</w:t>
      </w:r>
      <w:r>
        <w:t>onopsychismu (</w:t>
      </w:r>
      <w:r w:rsidRPr="00273106">
        <w:rPr>
          <w:i/>
        </w:rPr>
        <w:t>intellectus agens non potest esse pars animae</w:t>
      </w:r>
      <w:r>
        <w:rPr>
          <w:i/>
        </w:rPr>
        <w:t>,</w:t>
      </w:r>
      <w:r w:rsidRPr="085D62CA">
        <w:t xml:space="preserve"> </w:t>
      </w:r>
      <w:r w:rsidR="085B3403">
        <w:t>kap. 2</w:t>
      </w:r>
      <w:r w:rsidRPr="00273106">
        <w:t>.3</w:t>
      </w:r>
      <w:r>
        <w:t>)</w:t>
      </w:r>
      <w:r w:rsidRPr="00273106">
        <w:t>.</w:t>
      </w:r>
      <w:r>
        <w:t xml:space="preserve"> </w:t>
      </w:r>
      <w:r w:rsidRPr="00273106">
        <w:t xml:space="preserve">Podle aristoteliků </w:t>
      </w:r>
      <w:r>
        <w:t xml:space="preserve">Sicilské školy </w:t>
      </w:r>
      <w:r w:rsidRPr="00273106">
        <w:t>ohrozili latinští sofisté autonomii stvořeného světa, kterou první averroismus obhajoval skrze Aristotelovo hyparchické postavení první substance</w:t>
      </w:r>
      <w:r>
        <w:fldChar w:fldCharType="begin"/>
      </w:r>
      <w:r>
        <w:instrText xml:space="preserve"> XE "predikace:hyparchická" </w:instrText>
      </w:r>
      <w:r>
        <w:fldChar w:fldCharType="end"/>
      </w:r>
      <w:r w:rsidRPr="00273106">
        <w:t xml:space="preserve">. </w:t>
      </w:r>
      <w:r>
        <w:t>Latiníci zničili jednotu osoby tím, že do ní zavedli mnohost substancí. Porretánci v díle</w:t>
      </w:r>
      <w:r w:rsidRPr="00273106">
        <w:t xml:space="preserve"> </w:t>
      </w:r>
      <w:r w:rsidRPr="00273106">
        <w:rPr>
          <w:i/>
        </w:rPr>
        <w:t>Dialogus Ratii et Everardi</w:t>
      </w:r>
      <w:r w:rsidRPr="00273106">
        <w:t xml:space="preserve"> </w:t>
      </w:r>
      <w:r>
        <w:t xml:space="preserve">ustavili </w:t>
      </w:r>
      <w:r w:rsidRPr="008D31A1">
        <w:rPr>
          <w:i/>
        </w:rPr>
        <w:t>Lichtung</w:t>
      </w:r>
      <w:r>
        <w:t xml:space="preserve"> nihilistického </w:t>
      </w:r>
      <w:r w:rsidRPr="00273106">
        <w:t xml:space="preserve">humanismu </w:t>
      </w:r>
      <w:r>
        <w:t>tím, že avicennovskou komitaci přidali k aristotelské kategoriální predikaci</w:t>
      </w:r>
      <w:r w:rsidR="009438FE">
        <w:t xml:space="preserve">. </w:t>
      </w:r>
      <w:r w:rsidR="009438FE" w:rsidRPr="009438FE">
        <w:t xml:space="preserve">Neoplatónská abstrakce zvaná </w:t>
      </w:r>
      <w:r w:rsidR="009438FE" w:rsidRPr="009438FE">
        <w:rPr>
          <w:i/>
        </w:rPr>
        <w:t>individuum</w:t>
      </w:r>
      <w:r w:rsidR="009438FE" w:rsidRPr="009438FE">
        <w:t xml:space="preserve"> nahradila </w:t>
      </w:r>
      <w:r w:rsidR="009438FE">
        <w:t xml:space="preserve">impozici </w:t>
      </w:r>
      <w:r w:rsidR="009438FE" w:rsidRPr="009438FE">
        <w:t xml:space="preserve">významu prostřednictvím živé osoby. Modernismus </w:t>
      </w:r>
      <w:r w:rsidR="00FF68D8">
        <w:t xml:space="preserve">založil </w:t>
      </w:r>
      <w:r w:rsidR="009438FE" w:rsidRPr="009438FE">
        <w:t xml:space="preserve">vědecký pojem druhé substance zcela </w:t>
      </w:r>
      <w:r w:rsidR="009438FE" w:rsidRPr="00FF68D8">
        <w:rPr>
          <w:i/>
        </w:rPr>
        <w:t>ex nihilo</w:t>
      </w:r>
      <w:r w:rsidR="009438FE">
        <w:t xml:space="preserve">, tj. na úrovni logické supozice </w:t>
      </w:r>
      <w:r w:rsidRPr="00273106">
        <w:t>(</w:t>
      </w:r>
      <w:r w:rsidRPr="00273106">
        <w:rPr>
          <w:i/>
          <w:szCs w:val="24"/>
        </w:rPr>
        <w:t>sic est verus homo veritate humanitatem comitante</w:t>
      </w:r>
      <w:r w:rsidR="08240D9F">
        <w:rPr>
          <w:szCs w:val="24"/>
        </w:rPr>
        <w:t>; kap. 1</w:t>
      </w:r>
      <w:r w:rsidRPr="00273106">
        <w:rPr>
          <w:szCs w:val="24"/>
        </w:rPr>
        <w:t>.5)</w:t>
      </w:r>
      <w:r w:rsidRPr="00273106">
        <w:t xml:space="preserve">. </w:t>
      </w:r>
      <w:r>
        <w:t>Augustiniánští avicennisté ve škole porretánů a Gramatiků tyto emanace hypostázovali a začali je predikovat jako</w:t>
      </w:r>
      <w:r w:rsidR="08240D9F">
        <w:t xml:space="preserve"> substance třetího druhu (kap. 2</w:t>
      </w:r>
      <w:r>
        <w:t xml:space="preserve">.3.2). Proud hypostázovaných </w:t>
      </w:r>
      <w:r>
        <w:lastRenderedPageBreak/>
        <w:t>akcidentů daných pouze v moderním subjektu jako dárce forem začal plynout směrem k atomární substanci třetího druhu</w:t>
      </w:r>
      <w:r>
        <w:rPr>
          <w:i/>
        </w:rPr>
        <w:fldChar w:fldCharType="begin"/>
      </w:r>
      <w:r>
        <w:instrText xml:space="preserve"> XE "substance:individuum" </w:instrText>
      </w:r>
      <w:r>
        <w:rPr>
          <w:i/>
        </w:rPr>
        <w:fldChar w:fldCharType="end"/>
      </w:r>
      <w:r>
        <w:t xml:space="preserve">. Objektivní kolektou hypostází vzniklo moderní individuum a také nová forma porretánské metafyziky. </w:t>
      </w:r>
      <w:r w:rsidRPr="00273106">
        <w:t>Postupnou aristotelizaci této avicennovské komitace</w:t>
      </w:r>
      <w:r>
        <w:fldChar w:fldCharType="begin"/>
      </w:r>
      <w:r>
        <w:instrText xml:space="preserve"> XE "</w:instrText>
      </w:r>
      <w:r w:rsidRPr="00467B7F">
        <w:instrText>komitace</w:instrText>
      </w:r>
      <w:r>
        <w:instrText xml:space="preserve">" </w:instrText>
      </w:r>
      <w:r>
        <w:fldChar w:fldCharType="end"/>
      </w:r>
      <w:r>
        <w:t xml:space="preserve"> ukáže spor o exemplary</w:t>
      </w:r>
      <w:r w:rsidRPr="00273106">
        <w:t xml:space="preserve"> u Grossetesteho a Bonaventury. Hlavní </w:t>
      </w:r>
      <w:r>
        <w:t xml:space="preserve">teologický </w:t>
      </w:r>
      <w:r w:rsidRPr="00273106">
        <w:t>problém</w:t>
      </w:r>
      <w:r>
        <w:t xml:space="preserve"> představovalo emanační </w:t>
      </w:r>
      <w:r w:rsidRPr="00273106">
        <w:t xml:space="preserve">pojetí proudu forem plynoucích přímo do stvoření od </w:t>
      </w:r>
      <w:r>
        <w:t xml:space="preserve">odděleného kosmického </w:t>
      </w:r>
      <w:r w:rsidRPr="00BA3D14">
        <w:rPr>
          <w:i/>
        </w:rPr>
        <w:t>intellectus agens</w:t>
      </w:r>
      <w:r>
        <w:rPr>
          <w:i/>
        </w:rPr>
        <w:fldChar w:fldCharType="begin"/>
      </w:r>
      <w:r>
        <w:instrText xml:space="preserve"> XE "emanace" </w:instrText>
      </w:r>
      <w:r>
        <w:rPr>
          <w:i/>
        </w:rPr>
        <w:fldChar w:fldCharType="end"/>
      </w:r>
      <w:r>
        <w:rPr>
          <w:i/>
        </w:rPr>
        <w:t xml:space="preserve"> </w:t>
      </w:r>
      <w:r w:rsidRPr="005E393A">
        <w:t>definovaného jako</w:t>
      </w:r>
      <w:r w:rsidRPr="00273106">
        <w:t xml:space="preserve"> </w:t>
      </w:r>
      <w:r>
        <w:t xml:space="preserve">avicennovský </w:t>
      </w:r>
      <w:r>
        <w:rPr>
          <w:i/>
        </w:rPr>
        <w:t>Dator f</w:t>
      </w:r>
      <w:r w:rsidRPr="00273106">
        <w:rPr>
          <w:i/>
        </w:rPr>
        <w:t>ormarum</w:t>
      </w:r>
      <w:r>
        <w:rPr>
          <w:i/>
        </w:rPr>
        <w:fldChar w:fldCharType="begin"/>
      </w:r>
      <w:r>
        <w:instrText xml:space="preserve"> XE "</w:instrText>
      </w:r>
      <w:r w:rsidRPr="009607D7">
        <w:rPr>
          <w:i/>
        </w:rPr>
        <w:instrText>Dator formarum</w:instrText>
      </w:r>
      <w:r>
        <w:instrText xml:space="preserve">" </w:instrText>
      </w:r>
      <w:r>
        <w:rPr>
          <w:i/>
        </w:rPr>
        <w:fldChar w:fldCharType="end"/>
      </w:r>
      <w:r>
        <w:t>. Na latinském Západě se tato teorie dostala do oběhu skrze komitaci hyp</w:t>
      </w:r>
      <w:r w:rsidR="00520961">
        <w:t>ostází, kterou zavedl Avicenna.</w:t>
      </w:r>
    </w:p>
    <w:p w14:paraId="110B3EC4" w14:textId="579EE137" w:rsidR="08A03E23" w:rsidRPr="00523DED" w:rsidRDefault="08A03E23" w:rsidP="00C8549A">
      <w:pPr>
        <w:ind w:firstLine="397"/>
      </w:pPr>
      <w:r>
        <w:t>Církevní kritika druhého averroismu jako heretické nauky znamenala na tehdejší dobu velmi vážné</w:t>
      </w:r>
      <w:r w:rsidRPr="00273106">
        <w:t xml:space="preserve"> obvinění. Ale naštěstí pro začínající druhý averroismus</w:t>
      </w:r>
      <w:r>
        <w:t xml:space="preserve"> tyto námitky vznesli okolo roku 1245</w:t>
      </w:r>
      <w:r w:rsidRPr="00273106">
        <w:t xml:space="preserve"> moudří </w:t>
      </w:r>
      <w:r>
        <w:t xml:space="preserve">filosofové </w:t>
      </w:r>
      <w:r w:rsidRPr="00273106">
        <w:t xml:space="preserve">a pouze na akademické půdě. </w:t>
      </w:r>
      <w:r>
        <w:t>Skupina latinských sofistů</w:t>
      </w:r>
      <w:r w:rsidRPr="00273106">
        <w:t xml:space="preserve"> začala po smrti biskupa Alverna prosazovat svůj názor jinými prostředky než filosofickou argumentací. K obraně moderní sofistiky museli vlivní představitelé druhého averroismu použít všechny prostředky, které měli po ruce: filosofické, teologické, vliv na akademických postech a v řádových kolejích. Nakonec sáhli </w:t>
      </w:r>
      <w:r>
        <w:t xml:space="preserve">modernisté v letech 1270‒77 </w:t>
      </w:r>
      <w:r w:rsidRPr="00273106">
        <w:t>i k mocenským zásahům skrze církevní instituce</w:t>
      </w:r>
      <w:r>
        <w:t xml:space="preserve">. Represivní dekrety, inkviziční procesy a částečné exkomunikace založily první historickou fázi </w:t>
      </w:r>
      <w:r w:rsidRPr="00365B31">
        <w:rPr>
          <w:i/>
        </w:rPr>
        <w:t>Wirkunsgeschichte</w:t>
      </w:r>
      <w:r>
        <w:rPr>
          <w:i/>
        </w:rPr>
        <w:fldChar w:fldCharType="begin"/>
      </w:r>
      <w:r>
        <w:instrText xml:space="preserve"> XE "</w:instrText>
      </w:r>
      <w:r w:rsidRPr="00B4551E">
        <w:rPr>
          <w:i/>
        </w:rPr>
        <w:instrText>Wirkunsgeschichte</w:instrText>
      </w:r>
      <w:r>
        <w:instrText xml:space="preserve">" </w:instrText>
      </w:r>
      <w:r>
        <w:rPr>
          <w:i/>
        </w:rPr>
        <w:fldChar w:fldCharType="end"/>
      </w:r>
      <w:r>
        <w:t xml:space="preserve"> moderny</w:t>
      </w:r>
      <w:r w:rsidRPr="00273106">
        <w:t>. Teologický útok vedený skrze církevní a akademické instituce byl nejlepší obranou proti tzv. „averroistům“ z první vlny</w:t>
      </w:r>
      <w:r>
        <w:t xml:space="preserve"> recepce Averroese podle Sicilské školy</w:t>
      </w:r>
      <w:r w:rsidRPr="00273106">
        <w:t>. Protože druzí averroisté měli omezenou působnost v Paříži pod biskupem Alvernem, výsledky svého bádání mocensky etablovali nejprve na Oxfordu</w:t>
      </w:r>
      <w:r>
        <w:t xml:space="preserve"> za rektora Kilwardbyho a za jeho nástupce Pechama</w:t>
      </w:r>
      <w:r w:rsidRPr="00273106">
        <w:t xml:space="preserve">. </w:t>
      </w:r>
      <w:r>
        <w:t>Oba tito význační představitelé sofistické moderny skončili svou církevní kariéru jako arcibiskupové v Canterbury. M</w:t>
      </w:r>
      <w:r w:rsidRPr="00273106">
        <w:t>yslitelé</w:t>
      </w:r>
      <w:r>
        <w:t xml:space="preserve"> druhého averroismu</w:t>
      </w:r>
      <w:r w:rsidRPr="00273106">
        <w:t xml:space="preserve">, jejichž nauky </w:t>
      </w:r>
      <w:r>
        <w:t xml:space="preserve">syntetizoval avicennista a aristotelik </w:t>
      </w:r>
      <w:r w:rsidRPr="00273106">
        <w:t xml:space="preserve">Duns Scotus, byli etablovaní na zdejší univerzitě </w:t>
      </w:r>
      <w:r>
        <w:t xml:space="preserve">od roku 1230 </w:t>
      </w:r>
      <w:r w:rsidRPr="00273106">
        <w:t xml:space="preserve">a zde založili </w:t>
      </w:r>
      <w:r>
        <w:t xml:space="preserve">první školu </w:t>
      </w:r>
      <w:r w:rsidRPr="00273106">
        <w:t>moderní objek</w:t>
      </w:r>
      <w:r>
        <w:t>tivity</w:t>
      </w:r>
      <w:r w:rsidRPr="00273106">
        <w:t>.</w:t>
      </w:r>
      <w:r w:rsidR="00C8549A">
        <w:t xml:space="preserve"> </w:t>
      </w:r>
      <w:r>
        <w:t>Předešlá matrice ukázala, že tato krize vypukla již ve 12. století v katedrálních školách inspirovaných buď aristotel</w:t>
      </w:r>
      <w:r w:rsidR="00721494">
        <w:t>ikem A</w:t>
      </w:r>
      <w:r>
        <w:t>belardem nebo neoplatoniky Anselma z Canterbury</w:t>
      </w:r>
      <w:r w:rsidR="00721494">
        <w:t xml:space="preserve"> a příznivci Gilberta z Porrée</w:t>
      </w:r>
      <w:r>
        <w:t xml:space="preserve"> později ovlivněnými Avicennou (</w:t>
      </w:r>
      <w:r w:rsidRPr="00D275F9">
        <w:rPr>
          <w:i/>
        </w:rPr>
        <w:t>Nominales</w:t>
      </w:r>
      <w:r>
        <w:rPr>
          <w:i/>
        </w:rPr>
        <w:t>, Grammatici</w:t>
      </w:r>
      <w:r>
        <w:t xml:space="preserve">). </w:t>
      </w:r>
      <w:r w:rsidRPr="00273106">
        <w:t xml:space="preserve">Dramatická situace vznikla na latinském Západě v momentu, kdy </w:t>
      </w:r>
      <w:r>
        <w:t xml:space="preserve">školy </w:t>
      </w:r>
      <w:r w:rsidRPr="086F2A56">
        <w:rPr>
          <w:i/>
        </w:rPr>
        <w:t>logica Modernorum</w:t>
      </w:r>
      <w:r>
        <w:t xml:space="preserve"> vzaly </w:t>
      </w:r>
      <w:r w:rsidRPr="00273106">
        <w:t xml:space="preserve">univerzální koncept esence </w:t>
      </w:r>
      <w:r>
        <w:t xml:space="preserve">daný </w:t>
      </w:r>
      <w:r w:rsidRPr="086F2A56">
        <w:rPr>
          <w:i/>
        </w:rPr>
        <w:t>simpliciter</w:t>
      </w:r>
      <w:r>
        <w:t xml:space="preserve"> a tímto konceptem univočně nahradily původní jednoduchost danou</w:t>
      </w:r>
      <w:r w:rsidRPr="00273106">
        <w:t xml:space="preserve"> singulární ex</w:t>
      </w:r>
      <w:r>
        <w:t xml:space="preserve">istencí první </w:t>
      </w:r>
      <w:r>
        <w:lastRenderedPageBreak/>
        <w:t>substance</w:t>
      </w:r>
      <w:r w:rsidRPr="00273106">
        <w:t xml:space="preserve">. Individuum </w:t>
      </w:r>
      <w:r>
        <w:t xml:space="preserve">porretánských </w:t>
      </w:r>
      <w:r w:rsidRPr="00273106">
        <w:rPr>
          <w:i/>
        </w:rPr>
        <w:t>Nominales</w:t>
      </w:r>
      <w:r w:rsidRPr="00273106">
        <w:t xml:space="preserve"> dostalo statut první substance podle aristotelových </w:t>
      </w:r>
      <w:r w:rsidRPr="00954BF8">
        <w:rPr>
          <w:i/>
        </w:rPr>
        <w:t>Kategorií</w:t>
      </w:r>
      <w:r w:rsidRPr="00273106">
        <w:t>. Kapitoly věnované sporu mezi Abe</w:t>
      </w:r>
      <w:r>
        <w:t xml:space="preserve">lardem a Anselmem ukázaly, že </w:t>
      </w:r>
      <w:r w:rsidRPr="00273106">
        <w:rPr>
          <w:i/>
        </w:rPr>
        <w:t>Nominales</w:t>
      </w:r>
      <w:r w:rsidRPr="00273106">
        <w:t xml:space="preserve"> vinou této záměny </w:t>
      </w:r>
      <w:r>
        <w:t xml:space="preserve">vytvořili </w:t>
      </w:r>
      <w:r w:rsidRPr="00273106">
        <w:t xml:space="preserve">nové </w:t>
      </w:r>
      <w:r>
        <w:t>pojetí pravdy, která</w:t>
      </w:r>
      <w:r w:rsidRPr="00273106">
        <w:t xml:space="preserve"> nepotřebuje adekvaci </w:t>
      </w:r>
      <w:r>
        <w:t>intelektu k reálné věci</w:t>
      </w:r>
      <w:r w:rsidRPr="00273106">
        <w:t xml:space="preserve">. Povaha věci se začala zkoumat bez ohledu na reálnou existenci věci, k níž </w:t>
      </w:r>
      <w:r w:rsidRPr="00954BF8">
        <w:rPr>
          <w:i/>
        </w:rPr>
        <w:t>Druhé analytiky</w:t>
      </w:r>
      <w:r w:rsidRPr="00273106">
        <w:t xml:space="preserve"> a </w:t>
      </w:r>
      <w:r w:rsidRPr="00954BF8">
        <w:rPr>
          <w:i/>
        </w:rPr>
        <w:t>Kategorie</w:t>
      </w:r>
      <w:r w:rsidRPr="00273106">
        <w:t xml:space="preserve"> vztahují znalost esence a kauzality. </w:t>
      </w:r>
      <w:r>
        <w:t>P</w:t>
      </w:r>
      <w:r w:rsidRPr="00273106">
        <w:t xml:space="preserve">odle </w:t>
      </w:r>
      <w:r>
        <w:t xml:space="preserve">klasických </w:t>
      </w:r>
      <w:r w:rsidRPr="00273106">
        <w:t xml:space="preserve">aristoteliků </w:t>
      </w:r>
      <w:r>
        <w:t xml:space="preserve">v linii Boethia a Abelarda </w:t>
      </w:r>
      <w:r w:rsidRPr="00273106">
        <w:t>tato jednoduchost univerzálie existuje pouze v rámci logické či matematické abstrakce</w:t>
      </w:r>
      <w:r>
        <w:fldChar w:fldCharType="begin"/>
      </w:r>
      <w:r>
        <w:instrText xml:space="preserve"> XE "</w:instrText>
      </w:r>
      <w:r w:rsidRPr="00A824F0">
        <w:instrText>abstrakce:matematická</w:instrText>
      </w:r>
      <w:r>
        <w:instrText xml:space="preserve">" </w:instrText>
      </w:r>
      <w:r>
        <w:fldChar w:fldCharType="end"/>
      </w:r>
      <w:r>
        <w:t>, proto je dána pouze v mysli</w:t>
      </w:r>
      <w:r w:rsidRPr="00273106">
        <w:t>.</w:t>
      </w:r>
      <w:r>
        <w:t xml:space="preserve"> Řádové </w:t>
      </w:r>
      <w:r w:rsidRPr="00273106">
        <w:t>školy</w:t>
      </w:r>
      <w:r w:rsidRPr="00640053">
        <w:t xml:space="preserve"> </w:t>
      </w:r>
      <w:r>
        <w:t xml:space="preserve">v linii Abelardovy </w:t>
      </w:r>
      <w:r w:rsidRPr="00465D99">
        <w:rPr>
          <w:i/>
        </w:rPr>
        <w:t xml:space="preserve">Logica Ingredientibus </w:t>
      </w:r>
      <w:r>
        <w:t>vyučovaly logiku v návaznosti na pravdivé metafyzické myšlení. N</w:t>
      </w:r>
      <w:r w:rsidRPr="00273106">
        <w:t xml:space="preserve">apříklad výše citovaný </w:t>
      </w:r>
      <w:r w:rsidRPr="00273106">
        <w:rPr>
          <w:i/>
        </w:rPr>
        <w:t>Tractatus Anagnini</w:t>
      </w:r>
      <w:r>
        <w:rPr>
          <w:i/>
        </w:rPr>
        <w:fldChar w:fldCharType="begin"/>
      </w:r>
      <w:r>
        <w:instrText xml:space="preserve"> XE "logické školy:</w:instrText>
      </w:r>
      <w:r w:rsidRPr="00436B3A">
        <w:rPr>
          <w:i/>
        </w:rPr>
        <w:instrText>Anagnini</w:instrText>
      </w:r>
      <w:r>
        <w:instrText xml:space="preserve">" </w:instrText>
      </w:r>
      <w:r>
        <w:rPr>
          <w:i/>
        </w:rPr>
        <w:fldChar w:fldCharType="end"/>
      </w:r>
      <w:r w:rsidRPr="00273106">
        <w:t xml:space="preserve"> </w:t>
      </w:r>
      <w:r>
        <w:t>interpretoval</w:t>
      </w:r>
      <w:r w:rsidRPr="00273106">
        <w:t xml:space="preserve"> </w:t>
      </w:r>
      <w:r>
        <w:t xml:space="preserve">dostupné spisy </w:t>
      </w:r>
      <w:r w:rsidRPr="0077340D">
        <w:rPr>
          <w:i/>
        </w:rPr>
        <w:t>Organonu</w:t>
      </w:r>
      <w:r>
        <w:t xml:space="preserve"> podle Porfyriovy a Boethiově linie dané </w:t>
      </w:r>
      <w:r w:rsidRPr="00273106">
        <w:t xml:space="preserve">v duchu </w:t>
      </w:r>
      <w:r>
        <w:t xml:space="preserve">autentického aristotelismu </w:t>
      </w:r>
      <w:r w:rsidR="08205EBD">
        <w:t>(kap. 1</w:t>
      </w:r>
      <w:r w:rsidRPr="00273106">
        <w:t xml:space="preserve">.6). Na tuto tradici </w:t>
      </w:r>
      <w:r>
        <w:t xml:space="preserve">kriticky rozlišující a subordinující logiku a metafyziku navázal </w:t>
      </w:r>
      <w:r w:rsidRPr="00273106">
        <w:t xml:space="preserve">první averroismus </w:t>
      </w:r>
      <w:r>
        <w:t>z Blundovy školy</w:t>
      </w:r>
      <w:r w:rsidRPr="00273106">
        <w:t xml:space="preserve"> ve sporu s modernis</w:t>
      </w:r>
      <w:r>
        <w:t xml:space="preserve">ty hned po vzniku Pařížské univerzity. </w:t>
      </w:r>
      <w:r w:rsidR="009E646F">
        <w:t xml:space="preserve">Blund a jeho škola stála u zrodu Pařížské univerzity po roce 1200. </w:t>
      </w:r>
      <w:r w:rsidR="009E646F" w:rsidRPr="009E646F">
        <w:t xml:space="preserve">Tato skrytá autorita počátku v podobě </w:t>
      </w:r>
      <w:r w:rsidR="009E646F">
        <w:t xml:space="preserve">dějinnosti </w:t>
      </w:r>
      <w:r w:rsidR="009E646F" w:rsidRPr="009E646F">
        <w:t>vyvolala skryté účinky. K</w:t>
      </w:r>
      <w:r w:rsidR="009E646F">
        <w:t xml:space="preserve"> zániku </w:t>
      </w:r>
      <w:r w:rsidR="009E646F" w:rsidRPr="009E646F">
        <w:t xml:space="preserve">univerzity došlo během Francouzské revoluce, která zahájila éru </w:t>
      </w:r>
      <w:r w:rsidR="00D03016">
        <w:t>postmoderního kartesianismu</w:t>
      </w:r>
      <w:r w:rsidR="009E646F" w:rsidRPr="009E646F">
        <w:t>.</w:t>
      </w:r>
      <w:r w:rsidR="009E646F">
        <w:t xml:space="preserve"> </w:t>
      </w:r>
      <w:r w:rsidR="005B79A4">
        <w:t>Konec scholastické moderny je dán skrze revoluční chaos francouzského osvícenství, kdy zanikla jednotná Pařížská univerzita.</w:t>
      </w:r>
      <w:r w:rsidR="005B79A4">
        <w:rPr>
          <w:rStyle w:val="Znakapoznpodarou"/>
        </w:rPr>
        <w:footnoteReference w:id="288"/>
      </w:r>
      <w:r w:rsidR="005B79A4">
        <w:t xml:space="preserve"> </w:t>
      </w:r>
      <w:r>
        <w:t xml:space="preserve">Spor mezi oběma školami se zásadně vyostřil po roce 1230, kdy ve škole augustiniánů ovlivněných avicennismem vznikl jak v Oxfordu tak v Paříži nový výklad </w:t>
      </w:r>
      <w:r w:rsidRPr="0077340D">
        <w:rPr>
          <w:i/>
        </w:rPr>
        <w:t xml:space="preserve">Kategorií </w:t>
      </w:r>
      <w:r w:rsidRPr="00382F1C">
        <w:t>a</w:t>
      </w:r>
      <w:r>
        <w:rPr>
          <w:i/>
        </w:rPr>
        <w:t xml:space="preserve"> </w:t>
      </w:r>
      <w:r w:rsidRPr="0077340D">
        <w:rPr>
          <w:i/>
        </w:rPr>
        <w:t>Druhých analytik</w:t>
      </w:r>
      <w:r w:rsidRPr="00273106">
        <w:t>.</w:t>
      </w:r>
      <w:r w:rsidR="008E2C16">
        <w:t xml:space="preserve"> </w:t>
      </w:r>
      <w:r w:rsidR="003E5D1A">
        <w:t>Vyhlášení války „</w:t>
      </w:r>
      <w:r w:rsidR="005220E9">
        <w:t>šíleným</w:t>
      </w:r>
      <w:r w:rsidR="005220E9" w:rsidRPr="005220E9">
        <w:t xml:space="preserve"> moderni</w:t>
      </w:r>
      <w:r w:rsidR="005220E9">
        <w:t xml:space="preserve">stům“ nebo „kacířským averroistům“ </w:t>
      </w:r>
      <w:r w:rsidR="008E2C16">
        <w:t>zahájilo další kolo gigantomachie o substanci.</w:t>
      </w:r>
    </w:p>
    <w:p w14:paraId="77738DA9" w14:textId="5A0E04C0" w:rsidR="00557950" w:rsidRPr="00273106" w:rsidRDefault="00C51568" w:rsidP="086C1F19">
      <w:pPr>
        <w:pStyle w:val="Nadpis3"/>
      </w:pPr>
      <w:bookmarkStart w:id="99" w:name="_Toc487234313"/>
      <w:bookmarkStart w:id="100" w:name="_Toc12558320"/>
      <w:r>
        <w:rPr>
          <w:lang w:val="cs-CZ"/>
        </w:rPr>
        <w:br w:type="page"/>
      </w:r>
      <w:bookmarkStart w:id="101" w:name="_Toc160449332"/>
      <w:r w:rsidR="08D20D28">
        <w:rPr>
          <w:lang w:val="cs-CZ"/>
        </w:rPr>
        <w:lastRenderedPageBreak/>
        <w:t>3</w:t>
      </w:r>
      <w:r w:rsidR="08B729A8" w:rsidRPr="00273106">
        <w:t xml:space="preserve">.1.1 </w:t>
      </w:r>
      <w:r w:rsidR="004123AE">
        <w:rPr>
          <w:lang w:val="cs-CZ"/>
        </w:rPr>
        <w:t xml:space="preserve">Zrod </w:t>
      </w:r>
      <w:r w:rsidR="00557950" w:rsidRPr="080919C4">
        <w:rPr>
          <w:i/>
        </w:rPr>
        <w:t>Oxfordian Fallacy</w:t>
      </w:r>
      <w:bookmarkEnd w:id="99"/>
      <w:bookmarkEnd w:id="100"/>
      <w:bookmarkEnd w:id="101"/>
    </w:p>
    <w:p w14:paraId="4AB1A80A" w14:textId="71900305" w:rsidR="00FC6628" w:rsidRDefault="00C8549A" w:rsidP="001D5E64">
      <w:r>
        <w:t xml:space="preserve">Kritická interpretace moderního vidění světa našla další zdroj objektivity. Jeho základ je dán skrze rozdílnou definici vědeckého poznání podle </w:t>
      </w:r>
      <w:r w:rsidRPr="00954BF8">
        <w:rPr>
          <w:i/>
        </w:rPr>
        <w:t>Druhých analytik</w:t>
      </w:r>
      <w:r>
        <w:t xml:space="preserve">. </w:t>
      </w:r>
      <w:r w:rsidR="00972B58" w:rsidRPr="00273106">
        <w:t xml:space="preserve">Po Boethiově překladu </w:t>
      </w:r>
      <w:r w:rsidR="00545030" w:rsidRPr="00AB571C">
        <w:rPr>
          <w:i/>
        </w:rPr>
        <w:t>Prvních Analytik</w:t>
      </w:r>
      <w:r w:rsidR="00545030" w:rsidRPr="00273106">
        <w:t xml:space="preserve"> </w:t>
      </w:r>
      <w:r w:rsidR="00972B58" w:rsidRPr="00273106">
        <w:t>zkompiloval další překlad mnich Thierry ze Chartres</w:t>
      </w:r>
      <w:r w:rsidR="00C65A91">
        <w:fldChar w:fldCharType="begin"/>
      </w:r>
      <w:r w:rsidR="00C65A91">
        <w:instrText xml:space="preserve"> XE "</w:instrText>
      </w:r>
      <w:r w:rsidR="00C65A91" w:rsidRPr="00A0604F">
        <w:instrText>Thierry ze Chartres</w:instrText>
      </w:r>
      <w:r w:rsidR="00C65A91">
        <w:instrText xml:space="preserve">" </w:instrText>
      </w:r>
      <w:r w:rsidR="00C65A91">
        <w:fldChar w:fldCharType="end"/>
      </w:r>
      <w:r w:rsidR="00972B58" w:rsidRPr="00273106">
        <w:t xml:space="preserve"> kolem </w:t>
      </w:r>
      <w:r w:rsidR="08F24865">
        <w:t xml:space="preserve">roku </w:t>
      </w:r>
      <w:r w:rsidR="00972B58" w:rsidRPr="00273106">
        <w:t xml:space="preserve">1140, ale </w:t>
      </w:r>
      <w:r w:rsidR="00972B58" w:rsidRPr="00AB571C">
        <w:rPr>
          <w:i/>
        </w:rPr>
        <w:t>Druhé analytiky</w:t>
      </w:r>
      <w:r w:rsidR="00972B58" w:rsidRPr="00273106">
        <w:t xml:space="preserve"> se šířily mnohem pomaleji</w:t>
      </w:r>
      <w:r w:rsidR="00287FE5" w:rsidRPr="00273106">
        <w:t xml:space="preserve"> (Ebbsen 2010)</w:t>
      </w:r>
      <w:r w:rsidR="00972B58" w:rsidRPr="00273106">
        <w:t xml:space="preserve">. </w:t>
      </w:r>
      <w:r w:rsidR="00B241D1" w:rsidRPr="00273106">
        <w:t xml:space="preserve">Aristotelská škola neměla </w:t>
      </w:r>
      <w:r w:rsidR="007F5E56" w:rsidRPr="00273106">
        <w:t>žádný problém s výkladem tohoto spisu</w:t>
      </w:r>
      <w:r w:rsidR="00413BF9">
        <w:t xml:space="preserve">, protože navazoval </w:t>
      </w:r>
      <w:r w:rsidR="00B241D1" w:rsidRPr="00273106">
        <w:t xml:space="preserve">na </w:t>
      </w:r>
      <w:r w:rsidR="007F5E56" w:rsidRPr="00273106">
        <w:t xml:space="preserve">aristotelskou školu </w:t>
      </w:r>
      <w:r w:rsidR="00B241D1" w:rsidRPr="00273106">
        <w:t xml:space="preserve">Boethia, Abelarda a </w:t>
      </w:r>
      <w:r w:rsidR="007F5E56" w:rsidRPr="00273106">
        <w:t xml:space="preserve">na </w:t>
      </w:r>
      <w:r w:rsidR="00BA7FC2">
        <w:t xml:space="preserve">logické traktáty </w:t>
      </w:r>
      <w:r w:rsidR="00C65A91">
        <w:t xml:space="preserve">škol typu </w:t>
      </w:r>
      <w:r w:rsidR="00BA7FC2">
        <w:t>Anagninců</w:t>
      </w:r>
      <w:r w:rsidR="001C6A95">
        <w:t xml:space="preserve"> (kap. 2.1.3).</w:t>
      </w:r>
      <w:r w:rsidR="006863AA">
        <w:t xml:space="preserve"> Po importu </w:t>
      </w:r>
      <w:r w:rsidR="002E3B62">
        <w:t>Averroes</w:t>
      </w:r>
      <w:r w:rsidR="006863AA">
        <w:t>o</w:t>
      </w:r>
      <w:r w:rsidR="007F5E56" w:rsidRPr="00273106">
        <w:t>v</w:t>
      </w:r>
      <w:r w:rsidR="006863AA">
        <w:t xml:space="preserve">ých spisů </w:t>
      </w:r>
      <w:r w:rsidR="00335109">
        <w:t xml:space="preserve">podle Sicilské exegeze </w:t>
      </w:r>
      <w:r w:rsidR="006863AA">
        <w:t xml:space="preserve">bylo </w:t>
      </w:r>
      <w:r w:rsidR="00335109">
        <w:t xml:space="preserve">ve </w:t>
      </w:r>
      <w:r w:rsidR="006863AA">
        <w:t xml:space="preserve">škole prvního averroismu jasné, že </w:t>
      </w:r>
      <w:r w:rsidR="007F5E56" w:rsidRPr="00273106">
        <w:t xml:space="preserve">výklad </w:t>
      </w:r>
      <w:r w:rsidR="007F5E56" w:rsidRPr="00AB571C">
        <w:rPr>
          <w:i/>
        </w:rPr>
        <w:t>Druhých analytik</w:t>
      </w:r>
      <w:r w:rsidR="007F5E56" w:rsidRPr="00273106">
        <w:t xml:space="preserve"> odpovíd</w:t>
      </w:r>
      <w:r w:rsidR="00C65A91">
        <w:t>á</w:t>
      </w:r>
      <w:r w:rsidR="007F5E56" w:rsidRPr="00273106">
        <w:t xml:space="preserve"> </w:t>
      </w:r>
      <w:r w:rsidR="000612D0" w:rsidRPr="00273106">
        <w:t xml:space="preserve">základní linii výkladu </w:t>
      </w:r>
      <w:r w:rsidR="006863AA" w:rsidRPr="00AB571C">
        <w:rPr>
          <w:i/>
        </w:rPr>
        <w:t>Kategorií</w:t>
      </w:r>
      <w:r w:rsidR="006863AA">
        <w:t xml:space="preserve">, </w:t>
      </w:r>
      <w:r w:rsidR="00702964" w:rsidRPr="00702964">
        <w:rPr>
          <w:i/>
        </w:rPr>
        <w:t>Fyziky</w:t>
      </w:r>
      <w:r w:rsidR="00702964">
        <w:t xml:space="preserve">, </w:t>
      </w:r>
      <w:r w:rsidR="006863AA" w:rsidRPr="00AB571C">
        <w:rPr>
          <w:i/>
        </w:rPr>
        <w:t>Metafyziky</w:t>
      </w:r>
      <w:r w:rsidR="00335109">
        <w:t xml:space="preserve">, </w:t>
      </w:r>
      <w:r w:rsidR="00E108B5">
        <w:t xml:space="preserve">arabské kompilace </w:t>
      </w:r>
      <w:r w:rsidR="00E108B5" w:rsidRPr="00681CD4">
        <w:rPr>
          <w:i/>
        </w:rPr>
        <w:t>O životě zvířat</w:t>
      </w:r>
      <w:r w:rsidR="00E108B5">
        <w:t xml:space="preserve"> (</w:t>
      </w:r>
      <w:r w:rsidR="00E108B5">
        <w:rPr>
          <w:bCs/>
          <w:i/>
          <w:iCs/>
        </w:rPr>
        <w:t xml:space="preserve">Kitāb </w:t>
      </w:r>
      <w:r w:rsidR="00E108B5" w:rsidRPr="00681CD4">
        <w:rPr>
          <w:bCs/>
          <w:i/>
          <w:iCs/>
        </w:rPr>
        <w:t>al-hayawān</w:t>
      </w:r>
      <w:r w:rsidR="00E108B5">
        <w:rPr>
          <w:bCs/>
          <w:i/>
          <w:iCs/>
        </w:rPr>
        <w:fldChar w:fldCharType="begin"/>
      </w:r>
      <w:r w:rsidR="00E108B5">
        <w:instrText xml:space="preserve"> XE "</w:instrText>
      </w:r>
      <w:r w:rsidR="00E108B5" w:rsidRPr="00A630F0">
        <w:rPr>
          <w:bCs/>
          <w:i/>
          <w:iCs/>
        </w:rPr>
        <w:instrText>Kitāb al-hayawān</w:instrText>
      </w:r>
      <w:r w:rsidR="00E108B5">
        <w:instrText xml:space="preserve">" </w:instrText>
      </w:r>
      <w:r w:rsidR="00E108B5">
        <w:rPr>
          <w:bCs/>
          <w:i/>
          <w:iCs/>
        </w:rPr>
        <w:fldChar w:fldCharType="end"/>
      </w:r>
      <w:r w:rsidR="00E108B5">
        <w:t xml:space="preserve">) </w:t>
      </w:r>
      <w:r w:rsidR="006863AA">
        <w:t xml:space="preserve">a </w:t>
      </w:r>
      <w:r w:rsidR="006863AA" w:rsidRPr="006863AA">
        <w:rPr>
          <w:i/>
        </w:rPr>
        <w:t>De anima</w:t>
      </w:r>
      <w:r w:rsidR="001C6A95">
        <w:t xml:space="preserve">. </w:t>
      </w:r>
      <w:r w:rsidR="00063F91" w:rsidRPr="00063F91">
        <w:t xml:space="preserve">Klíčový výklad </w:t>
      </w:r>
      <w:r w:rsidR="00063F91" w:rsidRPr="00063F91">
        <w:rPr>
          <w:i/>
        </w:rPr>
        <w:t>Anal. Post.</w:t>
      </w:r>
      <w:r w:rsidR="00063F91">
        <w:t xml:space="preserve"> I.4–</w:t>
      </w:r>
      <w:r w:rsidR="00063F91" w:rsidRPr="00063F91">
        <w:t>10 podle školy prvního averroismu ukazuje povahu vědy, která ve všech d</w:t>
      </w:r>
      <w:r w:rsidR="00EE3A7A">
        <w:t>ůležitých bodech odporuje náhledu</w:t>
      </w:r>
      <w:r w:rsidR="00063F91" w:rsidRPr="00063F91">
        <w:t xml:space="preserve"> modernistů.</w:t>
      </w:r>
      <w:r w:rsidR="00063F91">
        <w:t xml:space="preserve"> </w:t>
      </w:r>
      <w:r w:rsidR="000D00B0">
        <w:t>Již citovaný Guil</w:t>
      </w:r>
      <w:r w:rsidR="000D00B0" w:rsidRPr="00052A0E">
        <w:t>l</w:t>
      </w:r>
      <w:r w:rsidR="000D00B0">
        <w:t>el</w:t>
      </w:r>
      <w:r w:rsidR="000D00B0" w:rsidRPr="00052A0E">
        <w:t>mus de Sancto Amore</w:t>
      </w:r>
      <w:r w:rsidR="000D00B0">
        <w:fldChar w:fldCharType="begin"/>
      </w:r>
      <w:r w:rsidR="000D00B0">
        <w:instrText xml:space="preserve"> XE "</w:instrText>
      </w:r>
      <w:r w:rsidR="000D00B0" w:rsidRPr="00E51395">
        <w:instrText>Guilelmus de Sancto Amore</w:instrText>
      </w:r>
      <w:r w:rsidR="000D00B0">
        <w:instrText xml:space="preserve">" </w:instrText>
      </w:r>
      <w:r w:rsidR="000D00B0">
        <w:fldChar w:fldCharType="end"/>
      </w:r>
      <w:r w:rsidR="000D00B0">
        <w:t xml:space="preserve"> sehrál h</w:t>
      </w:r>
      <w:r w:rsidR="08AC488A">
        <w:t xml:space="preserve">lavní </w:t>
      </w:r>
      <w:r w:rsidR="00EB75FF">
        <w:t xml:space="preserve">roli v </w:t>
      </w:r>
      <w:r w:rsidR="08113A75">
        <w:t xml:space="preserve">boji proti </w:t>
      </w:r>
      <w:r w:rsidR="00EB75FF">
        <w:t>druhé</w:t>
      </w:r>
      <w:r w:rsidR="08113A75">
        <w:t>mu</w:t>
      </w:r>
      <w:r w:rsidR="00EB75FF">
        <w:t xml:space="preserve"> averroismu</w:t>
      </w:r>
      <w:r w:rsidR="000D00B0">
        <w:t>. J</w:t>
      </w:r>
      <w:r w:rsidR="00A9639E">
        <w:t xml:space="preserve">eho komentáře k </w:t>
      </w:r>
      <w:r w:rsidR="00A9639E" w:rsidRPr="00A9639E">
        <w:rPr>
          <w:i/>
        </w:rPr>
        <w:t>Prvním</w:t>
      </w:r>
      <w:r w:rsidR="00A9639E">
        <w:t xml:space="preserve"> a </w:t>
      </w:r>
      <w:r w:rsidR="00A9639E" w:rsidRPr="00A9639E">
        <w:rPr>
          <w:i/>
        </w:rPr>
        <w:t>Druhým anal</w:t>
      </w:r>
      <w:r w:rsidR="00A9639E">
        <w:rPr>
          <w:i/>
        </w:rPr>
        <w:t>y</w:t>
      </w:r>
      <w:r w:rsidR="00A9639E" w:rsidRPr="00A9639E">
        <w:rPr>
          <w:i/>
        </w:rPr>
        <w:t>tikám</w:t>
      </w:r>
      <w:r w:rsidR="00A9639E">
        <w:t xml:space="preserve"> čekají na kritické zpracování</w:t>
      </w:r>
      <w:r w:rsidR="00372946">
        <w:t xml:space="preserve"> (</w:t>
      </w:r>
      <w:r w:rsidR="00372946" w:rsidRPr="00372946">
        <w:rPr>
          <w:i/>
        </w:rPr>
        <w:t>Glossae totius libri Priorum</w:t>
      </w:r>
      <w:r w:rsidR="00372946">
        <w:t xml:space="preserve">, </w:t>
      </w:r>
      <w:r w:rsidR="00372946" w:rsidRPr="00372946">
        <w:rPr>
          <w:i/>
        </w:rPr>
        <w:t>Glossae totius Posteriorum</w:t>
      </w:r>
      <w:r w:rsidR="00372946">
        <w:t>)</w:t>
      </w:r>
      <w:r w:rsidR="00A9639E">
        <w:t xml:space="preserve">. </w:t>
      </w:r>
      <w:r w:rsidR="00607854">
        <w:t xml:space="preserve">Hermeneutika předpokládá, že jeho </w:t>
      </w:r>
      <w:r w:rsidR="08457B69">
        <w:t xml:space="preserve">výklad </w:t>
      </w:r>
      <w:r w:rsidR="08457B69" w:rsidRPr="08457B69">
        <w:rPr>
          <w:i/>
        </w:rPr>
        <w:t>Analytik</w:t>
      </w:r>
      <w:r w:rsidR="08457B69">
        <w:t xml:space="preserve"> bude v paradigmatu prvního averroismu Sicilské školy</w:t>
      </w:r>
      <w:r w:rsidR="00607854">
        <w:t xml:space="preserve">. To by </w:t>
      </w:r>
      <w:r w:rsidR="084143C6">
        <w:t>pot</w:t>
      </w:r>
      <w:r w:rsidR="084A5F8E">
        <w:t>v</w:t>
      </w:r>
      <w:r w:rsidR="084143C6">
        <w:t xml:space="preserve">rdilo jeho klíčovou roli </w:t>
      </w:r>
      <w:r w:rsidR="00607854">
        <w:t xml:space="preserve">ve vedení </w:t>
      </w:r>
      <w:r w:rsidR="084143C6">
        <w:t xml:space="preserve">školy </w:t>
      </w:r>
      <w:r w:rsidR="082E563C">
        <w:t xml:space="preserve">prvního averroismu </w:t>
      </w:r>
      <w:r w:rsidR="084143C6">
        <w:t>po odchodu bi</w:t>
      </w:r>
      <w:r w:rsidR="087A69A3">
        <w:t>s</w:t>
      </w:r>
      <w:r w:rsidR="084143C6">
        <w:t>kupa Alverna</w:t>
      </w:r>
      <w:r w:rsidR="00F2051D">
        <w:t xml:space="preserve">. </w:t>
      </w:r>
      <w:r w:rsidR="00F2051D" w:rsidRPr="00DC6664">
        <w:rPr>
          <w:szCs w:val="24"/>
        </w:rPr>
        <w:t xml:space="preserve">Guillelmus </w:t>
      </w:r>
      <w:r w:rsidR="00F2051D">
        <w:rPr>
          <w:szCs w:val="24"/>
        </w:rPr>
        <w:t xml:space="preserve">byl jmenován </w:t>
      </w:r>
      <w:r w:rsidR="00607854">
        <w:t xml:space="preserve">rektorem artistů na Rue du Fouarre. </w:t>
      </w:r>
      <w:r w:rsidR="00BD72BC" w:rsidRPr="00BD72BC">
        <w:t>Je zřejmé, že tento významný odpůrce druhého averroismu musel opustit univerzitu během první čistky vyvolané modernisty v roce 1255.</w:t>
      </w:r>
      <w:r w:rsidR="00BD72BC">
        <w:t xml:space="preserve"> </w:t>
      </w:r>
      <w:r w:rsidR="00F2051D">
        <w:t>Jeho nástupce Siger z Brabantu m</w:t>
      </w:r>
      <w:r w:rsidR="00607854">
        <w:t xml:space="preserve">ěl </w:t>
      </w:r>
      <w:r w:rsidR="00F2051D">
        <w:t>podobně tragický osud</w:t>
      </w:r>
      <w:r w:rsidR="00607854">
        <w:t xml:space="preserve">. </w:t>
      </w:r>
      <w:r w:rsidR="00A9639E">
        <w:t xml:space="preserve">Mimo </w:t>
      </w:r>
      <w:r w:rsidR="003604AF">
        <w:t xml:space="preserve">již vyložený </w:t>
      </w:r>
      <w:r w:rsidR="00A9639E">
        <w:t>Albertův komentář (</w:t>
      </w:r>
      <w:r w:rsidR="00A9639E">
        <w:rPr>
          <w:rStyle w:val="Zvraznn"/>
        </w:rPr>
        <w:t>Analytica posteriora</w:t>
      </w:r>
      <w:r w:rsidR="00A9639E">
        <w:t xml:space="preserve">; ed. Borgnet 2, pp. 233‒524) je třeba vyčkat na kritické posouzení komentářů </w:t>
      </w:r>
      <w:r w:rsidR="00A9639E" w:rsidRPr="00280FEB">
        <w:rPr>
          <w:i/>
        </w:rPr>
        <w:t>Prvních</w:t>
      </w:r>
      <w:r w:rsidR="00A9639E">
        <w:t xml:space="preserve"> a </w:t>
      </w:r>
      <w:r w:rsidR="00A9639E" w:rsidRPr="00280FEB">
        <w:rPr>
          <w:i/>
        </w:rPr>
        <w:t>Druhých analytik</w:t>
      </w:r>
      <w:r w:rsidR="00A9639E">
        <w:t xml:space="preserve"> (</w:t>
      </w:r>
      <w:r w:rsidR="081200D1">
        <w:rPr>
          <w:i/>
        </w:rPr>
        <w:t>Glosae super Analytica P</w:t>
      </w:r>
      <w:r w:rsidR="00A9639E" w:rsidRPr="00421336">
        <w:rPr>
          <w:i/>
        </w:rPr>
        <w:t>riora</w:t>
      </w:r>
      <w:r w:rsidR="00A9639E">
        <w:t xml:space="preserve">, </w:t>
      </w:r>
      <w:r w:rsidR="00A9639E" w:rsidRPr="00421336">
        <w:rPr>
          <w:i/>
        </w:rPr>
        <w:t>Posteriora</w:t>
      </w:r>
      <w:r w:rsidR="00A9639E">
        <w:t xml:space="preserve">) a díla </w:t>
      </w:r>
      <w:r w:rsidR="00A9639E" w:rsidRPr="00AF2437">
        <w:rPr>
          <w:bCs/>
          <w:i/>
          <w:iCs/>
        </w:rPr>
        <w:t>Scriptum super logicam veterem</w:t>
      </w:r>
      <w:r w:rsidR="00A9639E">
        <w:rPr>
          <w:b/>
          <w:bCs/>
        </w:rPr>
        <w:t xml:space="preserve">, </w:t>
      </w:r>
      <w:r w:rsidR="00A9639E">
        <w:t xml:space="preserve">které napsal magistr </w:t>
      </w:r>
      <w:r w:rsidR="00A9639E" w:rsidRPr="005E77AF">
        <w:rPr>
          <w:bCs/>
        </w:rPr>
        <w:t>Guillelmus Arnaldi</w:t>
      </w:r>
      <w:r w:rsidR="00A9639E">
        <w:rPr>
          <w:bCs/>
        </w:rPr>
        <w:t xml:space="preserve"> z Toulouse (†1242).</w:t>
      </w:r>
      <w:r w:rsidR="08707C09">
        <w:rPr>
          <w:bCs/>
        </w:rPr>
        <w:t xml:space="preserve"> </w:t>
      </w:r>
      <w:r w:rsidR="08707C09">
        <w:t>Barcelonský</w:t>
      </w:r>
      <w:r w:rsidR="08707C09" w:rsidRPr="007279F1">
        <w:t xml:space="preserve"> kodex (</w:t>
      </w:r>
      <w:r w:rsidR="08707C09" w:rsidRPr="08E33279">
        <w:rPr>
          <w:i/>
        </w:rPr>
        <w:t>Cod. Ripoll</w:t>
      </w:r>
      <w:r w:rsidR="08707C09" w:rsidRPr="00D12CDB">
        <w:t xml:space="preserve"> 109</w:t>
      </w:r>
      <w:r w:rsidR="08707C09" w:rsidRPr="007279F1">
        <w:t>)</w:t>
      </w:r>
      <w:r w:rsidR="08707C09">
        <w:t xml:space="preserve"> obsahuje oba Arnaldiho citované komentáře k </w:t>
      </w:r>
      <w:r w:rsidR="08707C09" w:rsidRPr="009B6A60">
        <w:rPr>
          <w:i/>
        </w:rPr>
        <w:t>Analytikám</w:t>
      </w:r>
      <w:r w:rsidR="08707C09">
        <w:t xml:space="preserve"> (</w:t>
      </w:r>
      <w:r w:rsidR="08707C09" w:rsidRPr="089043A7">
        <w:rPr>
          <w:i/>
        </w:rPr>
        <w:t>Ripoll</w:t>
      </w:r>
      <w:r w:rsidR="08707C09" w:rsidRPr="00D12CDB">
        <w:t xml:space="preserve"> </w:t>
      </w:r>
      <w:r w:rsidR="08707C09">
        <w:t xml:space="preserve">181ra‒228vb; 229ra‒253va). </w:t>
      </w:r>
      <w:r w:rsidR="08A67808">
        <w:t xml:space="preserve">Tento rukopis a manuskript </w:t>
      </w:r>
      <w:r w:rsidR="00B368E3">
        <w:t xml:space="preserve">z </w:t>
      </w:r>
      <w:r w:rsidR="08A67808">
        <w:t>Merton College (</w:t>
      </w:r>
      <w:r w:rsidR="08A67808" w:rsidRPr="089043A7">
        <w:rPr>
          <w:i/>
        </w:rPr>
        <w:t>Ms. 275</w:t>
      </w:r>
      <w:r w:rsidR="08A67808">
        <w:t xml:space="preserve">) </w:t>
      </w:r>
      <w:r w:rsidR="081343D4">
        <w:t xml:space="preserve">podávají důležité svědectví o výkladu </w:t>
      </w:r>
      <w:r w:rsidR="08707C09" w:rsidRPr="00543656">
        <w:rPr>
          <w:i/>
        </w:rPr>
        <w:t>Corpus Aristotelicum</w:t>
      </w:r>
      <w:r w:rsidR="085817C5">
        <w:t xml:space="preserve"> podle prvního averroismu </w:t>
      </w:r>
      <w:r w:rsidR="08707C09">
        <w:t>v modu Sicilské školy.</w:t>
      </w:r>
      <w:r w:rsidR="00BD4474">
        <w:t xml:space="preserve"> </w:t>
      </w:r>
      <w:r w:rsidR="00DE13C1" w:rsidRPr="00DE13C1">
        <w:t xml:space="preserve">V úvodu Albertova spisu </w:t>
      </w:r>
      <w:r w:rsidR="00DE13C1" w:rsidRPr="00DE13C1">
        <w:rPr>
          <w:i/>
        </w:rPr>
        <w:t>De homine</w:t>
      </w:r>
      <w:r w:rsidR="00DE13C1" w:rsidRPr="00DE13C1">
        <w:t xml:space="preserve"> je odmítnuta doktrína druhého averroismu, která obsahuje chybný aristotelský výklad </w:t>
      </w:r>
      <w:r w:rsidR="00DE13C1" w:rsidRPr="00DE13C1">
        <w:rPr>
          <w:i/>
        </w:rPr>
        <w:t>Druhých analytik</w:t>
      </w:r>
      <w:r w:rsidR="00DE13C1" w:rsidRPr="00DE13C1">
        <w:t xml:space="preserve"> (kap. 2.4.1). Proto jsme interpretovali stanovisko prvního averroismu</w:t>
      </w:r>
      <w:r w:rsidR="00DE13C1">
        <w:t xml:space="preserve"> </w:t>
      </w:r>
      <w:r w:rsidR="00DE13C1" w:rsidRPr="00DE13C1">
        <w:t xml:space="preserve">v Albertově raném díle, které hájí </w:t>
      </w:r>
      <w:r w:rsidR="00DE13C1" w:rsidRPr="00DE13C1">
        <w:rPr>
          <w:i/>
        </w:rPr>
        <w:t>ad mentem Averrois</w:t>
      </w:r>
      <w:r w:rsidR="00DE13C1" w:rsidRPr="00DE13C1">
        <w:t xml:space="preserve"> jednotu osoby a správný řá</w:t>
      </w:r>
      <w:r w:rsidR="00DE13C1">
        <w:t xml:space="preserve">d poznání v </w:t>
      </w:r>
      <w:r w:rsidR="00DE13C1" w:rsidRPr="00DE13C1">
        <w:rPr>
          <w:i/>
        </w:rPr>
        <w:t>anima intellectiva</w:t>
      </w:r>
      <w:r w:rsidR="00DE13C1" w:rsidRPr="00DE13C1">
        <w:t xml:space="preserve">. Jeho vědecká dedukce zakládá </w:t>
      </w:r>
      <w:r w:rsidR="00DE13C1" w:rsidRPr="00DE13C1">
        <w:lastRenderedPageBreak/>
        <w:t xml:space="preserve">křesťanskou antropologii a navazuje na </w:t>
      </w:r>
      <w:r w:rsidR="001C5714">
        <w:t xml:space="preserve">interpretaci </w:t>
      </w:r>
      <w:r w:rsidR="001C5714" w:rsidRPr="001C5714">
        <w:rPr>
          <w:i/>
        </w:rPr>
        <w:t>D</w:t>
      </w:r>
      <w:r w:rsidR="00DE13C1" w:rsidRPr="001C5714">
        <w:rPr>
          <w:i/>
        </w:rPr>
        <w:t xml:space="preserve">ruhých </w:t>
      </w:r>
      <w:r w:rsidR="001C5714">
        <w:rPr>
          <w:i/>
        </w:rPr>
        <w:t>a</w:t>
      </w:r>
      <w:r w:rsidR="00DE13C1" w:rsidRPr="001C5714">
        <w:rPr>
          <w:i/>
        </w:rPr>
        <w:t>nalytik</w:t>
      </w:r>
      <w:r w:rsidR="00DE13C1" w:rsidRPr="00DE13C1">
        <w:t xml:space="preserve"> po</w:t>
      </w:r>
      <w:r w:rsidR="001C5714">
        <w:t>dle S</w:t>
      </w:r>
      <w:r w:rsidR="00DE13C1" w:rsidRPr="00DE13C1">
        <w:t>icilské škol</w:t>
      </w:r>
      <w:r w:rsidR="001C5714">
        <w:t>y</w:t>
      </w:r>
      <w:r w:rsidR="00DE13C1" w:rsidRPr="00DE13C1">
        <w:t xml:space="preserve">. </w:t>
      </w:r>
      <w:r w:rsidR="001C5714">
        <w:t>Tento přístup z</w:t>
      </w:r>
      <w:r w:rsidR="00DE13C1" w:rsidRPr="00DE13C1">
        <w:t xml:space="preserve">ahrnuje jak jeho první výklad aristotelismu ve spise </w:t>
      </w:r>
      <w:r w:rsidR="00DE13C1" w:rsidRPr="001C5714">
        <w:rPr>
          <w:i/>
        </w:rPr>
        <w:t>De homine</w:t>
      </w:r>
      <w:r w:rsidR="00DE13C1" w:rsidRPr="00DE13C1">
        <w:t xml:space="preserve">, tak komentář </w:t>
      </w:r>
      <w:r w:rsidR="001C5714">
        <w:t xml:space="preserve">ke </w:t>
      </w:r>
      <w:r w:rsidR="001C5714" w:rsidRPr="00D1058D">
        <w:rPr>
          <w:i/>
        </w:rPr>
        <w:t>Druhým analytikám</w:t>
      </w:r>
      <w:r w:rsidR="00DE13C1" w:rsidRPr="00DE13C1">
        <w:t>, který napsal o deset let později, v době prvního kola sporů s modernis</w:t>
      </w:r>
      <w:r w:rsidR="001C5714">
        <w:t>ty na Pařížské univerzitě (1255–</w:t>
      </w:r>
      <w:r w:rsidR="00DE13C1" w:rsidRPr="00DE13C1">
        <w:t>56).</w:t>
      </w:r>
      <w:r w:rsidR="001C5714">
        <w:t xml:space="preserve"> </w:t>
      </w:r>
      <w:r w:rsidR="08687095">
        <w:t>H</w:t>
      </w:r>
      <w:r w:rsidR="086C047F">
        <w:t xml:space="preserve">ermeneutika </w:t>
      </w:r>
      <w:r w:rsidR="08A413E3">
        <w:t>ukázala</w:t>
      </w:r>
      <w:r w:rsidR="086C047F">
        <w:t>, že obrana autentického aristotelismu proti Dinantově panteismu založila Pařížskou univerzitu</w:t>
      </w:r>
      <w:r w:rsidR="08A413E3">
        <w:t>. Z</w:t>
      </w:r>
      <w:r w:rsidR="086C047F">
        <w:t xml:space="preserve">anedbání tohoto počátečního úkolu myšlení </w:t>
      </w:r>
      <w:r w:rsidR="08A413E3">
        <w:t xml:space="preserve">a pravdy dané </w:t>
      </w:r>
      <w:r w:rsidR="086C047F">
        <w:t xml:space="preserve">v modu </w:t>
      </w:r>
      <w:r w:rsidR="08A57B43">
        <w:rPr>
          <w:i/>
        </w:rPr>
        <w:t>Anf</w:t>
      </w:r>
      <w:r w:rsidR="086C047F" w:rsidRPr="0871276F">
        <w:rPr>
          <w:i/>
        </w:rPr>
        <w:t>ang</w:t>
      </w:r>
      <w:r w:rsidR="086C047F">
        <w:t xml:space="preserve"> způsobilo její zánik v postmoderně. </w:t>
      </w:r>
      <w:r w:rsidR="089945A8">
        <w:t xml:space="preserve">Oxfordská univerzita začíná na opačném pólu vědění daném </w:t>
      </w:r>
      <w:r w:rsidR="008C226B">
        <w:t xml:space="preserve">myšlením moderních iluminátů a </w:t>
      </w:r>
      <w:r w:rsidR="089945A8">
        <w:fldChar w:fldCharType="begin"/>
      </w:r>
      <w:r w:rsidR="089945A8">
        <w:instrText xml:space="preserve"> XE "</w:instrText>
      </w:r>
      <w:r w:rsidR="089945A8" w:rsidRPr="08FB3CFA">
        <w:instrText>mytopoiesis</w:instrText>
      </w:r>
      <w:r w:rsidR="089945A8">
        <w:instrText xml:space="preserve">" </w:instrText>
      </w:r>
      <w:r w:rsidR="089945A8">
        <w:fldChar w:fldCharType="end"/>
      </w:r>
      <w:r w:rsidR="089945A8">
        <w:t xml:space="preserve">determinovaném temnotou první substance. </w:t>
      </w:r>
      <w:r w:rsidR="00D1058D">
        <w:t xml:space="preserve">Západní modernisté dobyli celý svět a přitom nikdy nezapomněli na svou </w:t>
      </w:r>
      <w:r w:rsidR="00D1058D" w:rsidRPr="00D1058D">
        <w:rPr>
          <w:i/>
        </w:rPr>
        <w:t>alma mater</w:t>
      </w:r>
      <w:r w:rsidR="00D1058D">
        <w:t xml:space="preserve">. </w:t>
      </w:r>
      <w:r w:rsidR="08F449C6">
        <w:t>John Blund odešel velmi brzy do Pa</w:t>
      </w:r>
      <w:r w:rsidR="001C773D">
        <w:t xml:space="preserve">říže a jeho vliv na Oxfordu </w:t>
      </w:r>
      <w:r w:rsidR="08941011">
        <w:t>byl</w:t>
      </w:r>
      <w:r w:rsidR="08F449C6">
        <w:t xml:space="preserve"> </w:t>
      </w:r>
      <w:r w:rsidR="001C773D">
        <w:t>minimální</w:t>
      </w:r>
      <w:r w:rsidR="08F449C6">
        <w:t xml:space="preserve">. </w:t>
      </w:r>
      <w:r w:rsidR="086C047F">
        <w:t xml:space="preserve">Výklad </w:t>
      </w:r>
      <w:r w:rsidR="088E54EF">
        <w:t>Abelardova aristotelismu zastupoval Roger Bacon, který rozvinul výklad Blundovy školy o metafyziku Komentátora</w:t>
      </w:r>
      <w:r w:rsidR="001C773D">
        <w:t xml:space="preserve">. </w:t>
      </w:r>
      <w:r w:rsidR="08254A05">
        <w:t xml:space="preserve">Aristotelik </w:t>
      </w:r>
      <w:r w:rsidR="000B17E5">
        <w:t>nemohl</w:t>
      </w:r>
      <w:r w:rsidR="001C773D">
        <w:t xml:space="preserve"> vést klidný život na </w:t>
      </w:r>
      <w:r w:rsidR="0025799A">
        <w:t>univerzitě manipulované modernististy</w:t>
      </w:r>
      <w:r w:rsidR="001C773D">
        <w:t xml:space="preserve">. </w:t>
      </w:r>
      <w:r w:rsidR="08CF5140">
        <w:t>Bacon s</w:t>
      </w:r>
      <w:r w:rsidR="086C047F">
        <w:t xml:space="preserve">e </w:t>
      </w:r>
      <w:r w:rsidR="08C23F70">
        <w:t xml:space="preserve">stal </w:t>
      </w:r>
      <w:r w:rsidR="086C047F">
        <w:t xml:space="preserve">akademickým disidentem a dopadl stejně jako </w:t>
      </w:r>
      <w:r w:rsidR="08512E88">
        <w:t>William Ockham</w:t>
      </w:r>
      <w:r w:rsidR="08E65DAD">
        <w:t>, který se stal posledním obráncem školy prvního averroismu</w:t>
      </w:r>
      <w:r w:rsidR="08512E88">
        <w:t xml:space="preserve">. </w:t>
      </w:r>
      <w:r w:rsidR="08E65DAD">
        <w:t xml:space="preserve">Jeho vyhnáním z Oxfordu </w:t>
      </w:r>
      <w:r w:rsidR="0846203A">
        <w:t xml:space="preserve">a sofistickým výkladem jeho metafyziky </w:t>
      </w:r>
      <w:r w:rsidR="081060F7">
        <w:t>v paradigmatu nominalis</w:t>
      </w:r>
      <w:r w:rsidR="08680BE9">
        <w:t>m</w:t>
      </w:r>
      <w:r w:rsidR="081060F7">
        <w:t xml:space="preserve">u </w:t>
      </w:r>
      <w:r w:rsidR="08E65DAD">
        <w:t>je definitivně ustaven epochální charakter této univerzity jako bašty</w:t>
      </w:r>
      <w:r w:rsidR="08680BE9">
        <w:t xml:space="preserve"> </w:t>
      </w:r>
      <w:r w:rsidR="08680BE9" w:rsidRPr="08680BE9">
        <w:rPr>
          <w:i/>
        </w:rPr>
        <w:t>Modernorum</w:t>
      </w:r>
      <w:r w:rsidR="00A7373E">
        <w:t>.</w:t>
      </w:r>
    </w:p>
    <w:p w14:paraId="2E7CAD5D" w14:textId="6AD4B586" w:rsidR="0007571A" w:rsidRDefault="080A4600" w:rsidP="004352C5">
      <w:pPr>
        <w:ind w:firstLine="397"/>
      </w:pPr>
      <w:r>
        <w:t xml:space="preserve">Klíčovou postavou utvářející </w:t>
      </w:r>
      <w:r w:rsidR="085156CE">
        <w:t xml:space="preserve">epochální působení </w:t>
      </w:r>
      <w:r>
        <w:t>Oxfordu se stal Robert Gross</w:t>
      </w:r>
      <w:r w:rsidR="08FE4297">
        <w:t>e</w:t>
      </w:r>
      <w:r>
        <w:t xml:space="preserve">teste. </w:t>
      </w:r>
      <w:r w:rsidR="08FE4297">
        <w:t xml:space="preserve">Oxfordskou fázi jeho myšlení je třeba </w:t>
      </w:r>
      <w:r w:rsidR="086C047F">
        <w:t xml:space="preserve">rozlišit od předešlé fáze prvního averroismu dané během jeho studijního pobytu v Paříži, kdy psal spis </w:t>
      </w:r>
      <w:r w:rsidR="089A1B6F">
        <w:rPr>
          <w:i/>
        </w:rPr>
        <w:t>De anima et de potenciis eius</w:t>
      </w:r>
      <w:r w:rsidR="08EF128C">
        <w:t xml:space="preserve"> (kap. 2</w:t>
      </w:r>
      <w:r w:rsidR="086C047F">
        <w:t xml:space="preserve">.2.1). </w:t>
      </w:r>
      <w:r w:rsidR="088A4FD4">
        <w:t xml:space="preserve">Během </w:t>
      </w:r>
      <w:r w:rsidR="08746AE6">
        <w:t xml:space="preserve">pařížských </w:t>
      </w:r>
      <w:r w:rsidR="088A4FD4">
        <w:t xml:space="preserve">studií tento učenec hájil aristotelskou linii Blundovy školy danou nasvícením poznání </w:t>
      </w:r>
      <w:r w:rsidR="08834FF9">
        <w:t xml:space="preserve">lidské duše a intelektu </w:t>
      </w:r>
      <w:r w:rsidR="088A4FD4">
        <w:t>od aktuální první substance</w:t>
      </w:r>
      <w:r w:rsidR="087C62B2">
        <w:t xml:space="preserve">. Ale </w:t>
      </w:r>
      <w:r w:rsidR="00AA53E4">
        <w:t xml:space="preserve">nikdy úplně </w:t>
      </w:r>
      <w:r w:rsidR="087C62B2">
        <w:t xml:space="preserve">nevyloučil </w:t>
      </w:r>
      <w:r w:rsidR="00AA53E4">
        <w:t xml:space="preserve">aktualizaci </w:t>
      </w:r>
      <w:r w:rsidR="08834FF9" w:rsidRPr="08834FF9">
        <w:rPr>
          <w:i/>
        </w:rPr>
        <w:t>intellectus possibilis</w:t>
      </w:r>
      <w:r w:rsidR="00AA53E4">
        <w:t xml:space="preserve"> zezadu, </w:t>
      </w:r>
      <w:r w:rsidR="08834FF9">
        <w:t xml:space="preserve">od </w:t>
      </w:r>
      <w:r w:rsidR="00AA53E4">
        <w:t xml:space="preserve">odděleného </w:t>
      </w:r>
      <w:r w:rsidR="08834FF9" w:rsidRPr="08834FF9">
        <w:rPr>
          <w:i/>
        </w:rPr>
        <w:t>intellectus agens</w:t>
      </w:r>
      <w:r w:rsidR="088A4FD4">
        <w:t xml:space="preserve">. </w:t>
      </w:r>
      <w:r w:rsidR="08834FF9">
        <w:t>Asi již v Paříži a zejména na Oxfordu začíná Grossetesteho druhé období aristoteli</w:t>
      </w:r>
      <w:r w:rsidR="001D5E64">
        <w:t xml:space="preserve">smu dané návratem k </w:t>
      </w:r>
      <w:r w:rsidR="00436B5E">
        <w:t>neo</w:t>
      </w:r>
      <w:r w:rsidR="001D5E64">
        <w:t>platonismu.</w:t>
      </w:r>
      <w:r w:rsidR="00FC6628">
        <w:t xml:space="preserve"> </w:t>
      </w:r>
      <w:r w:rsidR="082D3434">
        <w:t>Gross</w:t>
      </w:r>
      <w:r w:rsidR="08DE3D05">
        <w:t>e</w:t>
      </w:r>
      <w:r w:rsidR="082D3434">
        <w:t xml:space="preserve">testete odchází </w:t>
      </w:r>
      <w:r w:rsidR="08905D2B">
        <w:t>z Pařížské univer</w:t>
      </w:r>
      <w:r w:rsidR="08E65B0E">
        <w:t>z</w:t>
      </w:r>
      <w:r w:rsidR="08905D2B">
        <w:t xml:space="preserve">ity ustavené Blundovou školou </w:t>
      </w:r>
      <w:r w:rsidR="081C0D08">
        <w:t xml:space="preserve">do </w:t>
      </w:r>
      <w:r w:rsidR="08DE3D05">
        <w:t xml:space="preserve">málo </w:t>
      </w:r>
      <w:r w:rsidR="081C0D08">
        <w:t>nevýznamného</w:t>
      </w:r>
      <w:r w:rsidR="08A53066">
        <w:t xml:space="preserve"> a </w:t>
      </w:r>
      <w:r w:rsidR="082D3434">
        <w:t>provinciální</w:t>
      </w:r>
      <w:r w:rsidR="081C0D08">
        <w:t>ho</w:t>
      </w:r>
      <w:r w:rsidR="082D3434">
        <w:t xml:space="preserve"> Oxford</w:t>
      </w:r>
      <w:r w:rsidR="081C0D08">
        <w:t>u</w:t>
      </w:r>
      <w:r w:rsidR="08DE4220">
        <w:t xml:space="preserve"> před rokem 1230</w:t>
      </w:r>
      <w:r w:rsidR="089945A8">
        <w:t xml:space="preserve">. </w:t>
      </w:r>
      <w:r w:rsidR="08DE3D05">
        <w:t>Je dobré se ptát po filosofických důvodech jeho odchodu z Pařížské univerzity, kterou pomáhal zakládat v letech 1215‒25 s biskupem Alvernem</w:t>
      </w:r>
      <w:r w:rsidR="0856342B">
        <w:t xml:space="preserve">. Oba dva učenci byli </w:t>
      </w:r>
      <w:r w:rsidR="08DE3D05">
        <w:t xml:space="preserve">hlavními žáky Blundovy školy </w:t>
      </w:r>
      <w:r w:rsidR="0856342B">
        <w:t>a byli angažováni v p</w:t>
      </w:r>
      <w:r w:rsidR="08DE3D05">
        <w:t xml:space="preserve">olemice s Davidem z Dinantu. </w:t>
      </w:r>
      <w:r w:rsidR="08DE4220">
        <w:t>Grossesteste hájil</w:t>
      </w:r>
      <w:r w:rsidR="08834FF9">
        <w:t xml:space="preserve"> celý život neoplatonskou a avicennistickou kosmologii </w:t>
      </w:r>
      <w:r w:rsidR="08834FF9" w:rsidRPr="08834FF9">
        <w:rPr>
          <w:i/>
        </w:rPr>
        <w:t>sequaces Aristotelis</w:t>
      </w:r>
      <w:r w:rsidR="08834FF9">
        <w:t xml:space="preserve"> spojenou</w:t>
      </w:r>
      <w:r w:rsidR="08106524">
        <w:t xml:space="preserve"> s obhajobou kosmické </w:t>
      </w:r>
      <w:r w:rsidR="08106524" w:rsidRPr="0829635E">
        <w:rPr>
          <w:i/>
        </w:rPr>
        <w:t xml:space="preserve">anima </w:t>
      </w:r>
      <w:r w:rsidR="08106524" w:rsidRPr="0829635E">
        <w:rPr>
          <w:i/>
        </w:rPr>
        <w:lastRenderedPageBreak/>
        <w:t>mundi</w:t>
      </w:r>
      <w:r w:rsidR="08106524">
        <w:rPr>
          <w:i/>
        </w:rPr>
        <w:fldChar w:fldCharType="begin"/>
      </w:r>
      <w:r w:rsidR="08106524">
        <w:instrText xml:space="preserve"> XE "</w:instrText>
      </w:r>
      <w:r w:rsidR="08106524" w:rsidRPr="08344F8B">
        <w:rPr>
          <w:i/>
        </w:rPr>
        <w:instrText>anima mundi</w:instrText>
      </w:r>
      <w:r w:rsidR="08106524">
        <w:instrText xml:space="preserve">" </w:instrText>
      </w:r>
      <w:r w:rsidR="08106524">
        <w:rPr>
          <w:i/>
        </w:rPr>
        <w:fldChar w:fldCharType="end"/>
      </w:r>
      <w:r w:rsidR="08106524">
        <w:t>.</w:t>
      </w:r>
      <w:r w:rsidR="08106524">
        <w:rPr>
          <w:rStyle w:val="Znakapoznpodarou"/>
        </w:rPr>
        <w:footnoteReference w:id="289"/>
      </w:r>
      <w:r w:rsidR="08106524">
        <w:t xml:space="preserve"> Tuto nauku Blundova škola odmítala jako</w:t>
      </w:r>
      <w:r w:rsidR="086B1D1C">
        <w:t xml:space="preserve"> herezi Davida z Dinantu (kap. 2</w:t>
      </w:r>
      <w:r w:rsidR="08106524">
        <w:t xml:space="preserve">.1.3). </w:t>
      </w:r>
      <w:r w:rsidR="082F2180">
        <w:t xml:space="preserve">Kosmologii </w:t>
      </w:r>
      <w:r w:rsidR="082F481A">
        <w:t xml:space="preserve">upravenou </w:t>
      </w:r>
      <w:r w:rsidR="082F2180">
        <w:t xml:space="preserve">podle </w:t>
      </w:r>
      <w:r w:rsidR="082F481A">
        <w:t xml:space="preserve">Toledské školy a podle </w:t>
      </w:r>
      <w:r w:rsidR="082F2180">
        <w:t xml:space="preserve">Davida z Dinantu nemohl tolerovat kancléř a biskup Alvernus, který odmítl heretické nauky </w:t>
      </w:r>
      <w:r w:rsidR="082F2180" w:rsidRPr="082D3434">
        <w:rPr>
          <w:i/>
        </w:rPr>
        <w:t>sequaces Aristotelis</w:t>
      </w:r>
      <w:r w:rsidR="082F2180">
        <w:t xml:space="preserve"> na Pařížské univerzitě. </w:t>
      </w:r>
      <w:r w:rsidR="08456745">
        <w:t>Další důležitý b</w:t>
      </w:r>
      <w:r w:rsidR="08881A6E">
        <w:t>od rozporu ukáže</w:t>
      </w:r>
      <w:r w:rsidR="082F481A">
        <w:t xml:space="preserve"> </w:t>
      </w:r>
      <w:r w:rsidR="08855F53">
        <w:t xml:space="preserve">Grossetesteho </w:t>
      </w:r>
      <w:r w:rsidR="082F481A">
        <w:t xml:space="preserve">výklad </w:t>
      </w:r>
      <w:r w:rsidR="082F481A" w:rsidRPr="08881A6E">
        <w:rPr>
          <w:i/>
        </w:rPr>
        <w:t>Druhých analytik</w:t>
      </w:r>
      <w:r w:rsidR="08881A6E">
        <w:t xml:space="preserve">. Zavedení </w:t>
      </w:r>
      <w:r w:rsidR="08881A6E" w:rsidRPr="08881A6E">
        <w:rPr>
          <w:i/>
        </w:rPr>
        <w:t>Oxfordian Falla</w:t>
      </w:r>
      <w:r w:rsidR="08881A6E">
        <w:t>cy bylo v rozporu</w:t>
      </w:r>
      <w:r w:rsidR="082F481A">
        <w:t xml:space="preserve"> s výše uvedeným výkladem Alberta</w:t>
      </w:r>
      <w:r w:rsidR="00A405B1">
        <w:t xml:space="preserve">. Ten se stal velmi pravděpodobně </w:t>
      </w:r>
      <w:r w:rsidR="00A405B1" w:rsidRPr="00A405B1">
        <w:rPr>
          <w:i/>
        </w:rPr>
        <w:t>magister regens</w:t>
      </w:r>
      <w:r w:rsidR="00A405B1">
        <w:t xml:space="preserve"> </w:t>
      </w:r>
      <w:r w:rsidR="08456745">
        <w:t>během Alvernova působe</w:t>
      </w:r>
      <w:r w:rsidR="082F481A">
        <w:t>ní v</w:t>
      </w:r>
      <w:r w:rsidR="00A405B1">
        <w:t> </w:t>
      </w:r>
      <w:r w:rsidR="082F481A">
        <w:t>Paříži</w:t>
      </w:r>
      <w:r w:rsidR="00A405B1">
        <w:t xml:space="preserve">. Jeho učení bylo podáno </w:t>
      </w:r>
      <w:r w:rsidR="08881A6E" w:rsidRPr="08881A6E">
        <w:rPr>
          <w:i/>
        </w:rPr>
        <w:t>ad mentem Averrois</w:t>
      </w:r>
      <w:r w:rsidR="08881A6E">
        <w:t xml:space="preserve"> p</w:t>
      </w:r>
      <w:r w:rsidR="00A405B1">
        <w:t>o</w:t>
      </w:r>
      <w:r w:rsidR="08881A6E">
        <w:t xml:space="preserve">dle Sicilské školy </w:t>
      </w:r>
      <w:r w:rsidR="086B1D1C">
        <w:t>(kap. 2</w:t>
      </w:r>
      <w:r w:rsidR="086F0094">
        <w:t xml:space="preserve">.4.1). </w:t>
      </w:r>
      <w:r w:rsidR="082F481A">
        <w:t>A pos</w:t>
      </w:r>
      <w:r w:rsidR="08923D87">
        <w:t>lední důleži</w:t>
      </w:r>
      <w:r w:rsidR="082F481A">
        <w:t>tý důvod je</w:t>
      </w:r>
      <w:r w:rsidR="0836700F">
        <w:t xml:space="preserve"> již vyložený rozpor mezi Albert</w:t>
      </w:r>
      <w:r w:rsidR="082F481A">
        <w:t xml:space="preserve">ovým a Grossetesteho </w:t>
      </w:r>
      <w:r w:rsidR="083218B2">
        <w:t>komentářem</w:t>
      </w:r>
      <w:r w:rsidR="082F481A">
        <w:t xml:space="preserve"> </w:t>
      </w:r>
      <w:r w:rsidR="082F481A" w:rsidRPr="08456745">
        <w:rPr>
          <w:i/>
        </w:rPr>
        <w:t>De anima</w:t>
      </w:r>
      <w:r w:rsidR="082F481A">
        <w:t>, kde je vidět rozdílný postoj k otázce plurality forem v duši</w:t>
      </w:r>
      <w:r w:rsidR="086B1D1C">
        <w:t xml:space="preserve"> (kap. 2</w:t>
      </w:r>
      <w:r w:rsidR="086F0094">
        <w:t>.4</w:t>
      </w:r>
      <w:r w:rsidR="08456745">
        <w:t>.2)</w:t>
      </w:r>
      <w:r w:rsidR="082F481A">
        <w:t xml:space="preserve">. </w:t>
      </w:r>
      <w:r w:rsidR="08DB2FB3">
        <w:t xml:space="preserve">Pařížský biskup a univerzitní kancléř </w:t>
      </w:r>
      <w:r w:rsidR="082F481A">
        <w:t xml:space="preserve">Alvernus nemohl připustit </w:t>
      </w:r>
      <w:r w:rsidR="08923D87">
        <w:t>pluralismus substancí nebo forem v člověku</w:t>
      </w:r>
      <w:r w:rsidR="082F481A">
        <w:t xml:space="preserve">, protože </w:t>
      </w:r>
      <w:r w:rsidR="08CF1010">
        <w:t xml:space="preserve">tato nauka by </w:t>
      </w:r>
      <w:r w:rsidR="082F481A">
        <w:t>zrušil</w:t>
      </w:r>
      <w:r w:rsidR="08CF1010">
        <w:t>a</w:t>
      </w:r>
      <w:r w:rsidR="082F481A">
        <w:t xml:space="preserve"> jednotu osoby jako </w:t>
      </w:r>
      <w:r w:rsidR="08923D87">
        <w:t xml:space="preserve">Boethiovy </w:t>
      </w:r>
      <w:r w:rsidR="082F481A">
        <w:t xml:space="preserve">nedělitené první substance. </w:t>
      </w:r>
      <w:r w:rsidR="087334D5">
        <w:t xml:space="preserve">Pak by </w:t>
      </w:r>
      <w:r w:rsidR="082D3434">
        <w:t>Gro</w:t>
      </w:r>
      <w:r w:rsidR="08531B6F">
        <w:t>s</w:t>
      </w:r>
      <w:r w:rsidR="082D3434">
        <w:t>s</w:t>
      </w:r>
      <w:r w:rsidR="08531B6F">
        <w:t>et</w:t>
      </w:r>
      <w:r w:rsidR="082D3434">
        <w:t xml:space="preserve">esteho příchod na </w:t>
      </w:r>
      <w:r w:rsidR="08973184">
        <w:t>Oxf</w:t>
      </w:r>
      <w:r w:rsidR="082D3434">
        <w:t>o</w:t>
      </w:r>
      <w:r w:rsidR="08973184">
        <w:t>r</w:t>
      </w:r>
      <w:r w:rsidR="082D3434">
        <w:t xml:space="preserve">d </w:t>
      </w:r>
      <w:r w:rsidR="087334D5">
        <w:t xml:space="preserve">byl daný rokem 1228 jako </w:t>
      </w:r>
      <w:r w:rsidR="08495607">
        <w:t xml:space="preserve">základním datem </w:t>
      </w:r>
      <w:r w:rsidR="087334D5">
        <w:rPr>
          <w:i/>
        </w:rPr>
        <w:t>post</w:t>
      </w:r>
      <w:r w:rsidR="087334D5">
        <w:t xml:space="preserve"> </w:t>
      </w:r>
      <w:r w:rsidR="087334D5" w:rsidRPr="087334D5">
        <w:rPr>
          <w:i/>
        </w:rPr>
        <w:t>quem</w:t>
      </w:r>
      <w:r w:rsidR="08344798">
        <w:t xml:space="preserve">. V </w:t>
      </w:r>
      <w:r w:rsidR="087334D5">
        <w:t xml:space="preserve">tomto roce se magistr </w:t>
      </w:r>
      <w:r w:rsidR="082D3434">
        <w:t>A</w:t>
      </w:r>
      <w:r w:rsidR="08EC061A">
        <w:t xml:space="preserve">lvernus stal </w:t>
      </w:r>
      <w:r w:rsidR="08C717EA">
        <w:t>arci</w:t>
      </w:r>
      <w:r w:rsidR="08EC061A">
        <w:t>biskupem v</w:t>
      </w:r>
      <w:r w:rsidR="004352C5">
        <w:t> </w:t>
      </w:r>
      <w:r w:rsidR="08EC061A">
        <w:t>Paříži</w:t>
      </w:r>
      <w:r w:rsidR="004352C5">
        <w:t xml:space="preserve">. </w:t>
      </w:r>
      <w:r w:rsidR="004352C5" w:rsidRPr="004352C5">
        <w:t xml:space="preserve">Jako Blundův nástupce na </w:t>
      </w:r>
      <w:r w:rsidR="004352C5" w:rsidRPr="004352C5">
        <w:rPr>
          <w:i/>
        </w:rPr>
        <w:t>École de Paris</w:t>
      </w:r>
      <w:r w:rsidR="004352C5" w:rsidRPr="004352C5">
        <w:t xml:space="preserve"> založil Alvernus </w:t>
      </w:r>
      <w:r w:rsidR="004352C5" w:rsidRPr="004352C5">
        <w:rPr>
          <w:i/>
        </w:rPr>
        <w:t>Université de Paris</w:t>
      </w:r>
      <w:r w:rsidR="004352C5" w:rsidRPr="004352C5">
        <w:t xml:space="preserve">, která převzala výuku této slavné školy. </w:t>
      </w:r>
      <w:r w:rsidR="004352C5">
        <w:t xml:space="preserve">Blundova </w:t>
      </w:r>
      <w:r w:rsidR="004352C5" w:rsidRPr="004352C5">
        <w:rPr>
          <w:i/>
        </w:rPr>
        <w:t>École de Paris</w:t>
      </w:r>
      <w:r w:rsidR="004352C5" w:rsidRPr="004352C5">
        <w:t xml:space="preserve"> umožnila v roce 1215 založení univerzity, která v roce 1231 získala plná papežská práva.</w:t>
      </w:r>
      <w:r w:rsidR="004352C5">
        <w:t xml:space="preserve"> </w:t>
      </w:r>
      <w:r w:rsidR="08615D68">
        <w:t xml:space="preserve">Výklad komentáře ke </w:t>
      </w:r>
      <w:r w:rsidR="08615D68" w:rsidRPr="082E5554">
        <w:rPr>
          <w:i/>
        </w:rPr>
        <w:t>Druhým analytikám</w:t>
      </w:r>
      <w:r w:rsidR="08615D68">
        <w:t xml:space="preserve"> ukáže </w:t>
      </w:r>
      <w:r w:rsidR="08D65944">
        <w:t xml:space="preserve">problematické </w:t>
      </w:r>
      <w:r w:rsidR="08615D68">
        <w:t xml:space="preserve">rysy Grossetesteho nauky asi přednášené během finální fáze jeho pobytu v Paříži do roku 1228. </w:t>
      </w:r>
      <w:r w:rsidR="08577B57">
        <w:t>Grossetest</w:t>
      </w:r>
      <w:r w:rsidR="08CF1010">
        <w:t xml:space="preserve">e se stal na univerzitě </w:t>
      </w:r>
      <w:r w:rsidR="08CF1010" w:rsidRPr="08CF1010">
        <w:rPr>
          <w:i/>
        </w:rPr>
        <w:t>persona non grata</w:t>
      </w:r>
      <w:r w:rsidR="08CF1010">
        <w:t xml:space="preserve"> a jeho post artistického magistra po</w:t>
      </w:r>
      <w:r w:rsidR="084E1667">
        <w:t>z</w:t>
      </w:r>
      <w:r w:rsidR="08CF1010">
        <w:t xml:space="preserve">ději převzal Albert Veliký. </w:t>
      </w:r>
      <w:r w:rsidR="00A22B85">
        <w:t xml:space="preserve">Vyloučení z papežské univerzity v Paříži může vysvětlit, proč jeho jméno není uvedeno v dokumentu, v němž jsou uvedeni první rektoři Oxfordské univerzity. Roku </w:t>
      </w:r>
      <w:r w:rsidR="08615D68">
        <w:t xml:space="preserve">1231 </w:t>
      </w:r>
      <w:r w:rsidR="00A22B85">
        <w:t>byl kancléřem j</w:t>
      </w:r>
      <w:r w:rsidR="08615D68">
        <w:t xml:space="preserve">eho pařížský </w:t>
      </w:r>
      <w:r w:rsidR="00A22B85">
        <w:t xml:space="preserve">kolega, </w:t>
      </w:r>
      <w:r w:rsidR="08615D68">
        <w:t xml:space="preserve">magistr </w:t>
      </w:r>
      <w:r w:rsidR="08615D68" w:rsidRPr="086B74D2">
        <w:t xml:space="preserve">Ralph de Maidstone, popřípadě magistr </w:t>
      </w:r>
      <w:r w:rsidR="08615D68" w:rsidRPr="08352A74">
        <w:rPr>
          <w:bCs/>
        </w:rPr>
        <w:t>Ralph Cole</w:t>
      </w:r>
      <w:r w:rsidR="08615D68" w:rsidRPr="086B74D2">
        <w:t>.</w:t>
      </w:r>
      <w:r w:rsidR="08615D68">
        <w:t xml:space="preserve"> </w:t>
      </w:r>
      <w:r w:rsidR="08494F2A">
        <w:t xml:space="preserve">Grosseteste se stává </w:t>
      </w:r>
      <w:r w:rsidR="00B71840">
        <w:t xml:space="preserve">magistrem a </w:t>
      </w:r>
      <w:r w:rsidR="08494F2A">
        <w:t xml:space="preserve">lektorem oxfordských františkánů roku 1230 </w:t>
      </w:r>
      <w:r w:rsidR="085A11A0">
        <w:t xml:space="preserve">a </w:t>
      </w:r>
      <w:r w:rsidR="08494F2A">
        <w:t xml:space="preserve">zakládá modernu novým výkladem </w:t>
      </w:r>
      <w:r w:rsidR="08494F2A" w:rsidRPr="084B5808">
        <w:rPr>
          <w:i/>
        </w:rPr>
        <w:t>Druhých analytik</w:t>
      </w:r>
      <w:r w:rsidR="08494F2A">
        <w:t xml:space="preserve">. </w:t>
      </w:r>
      <w:r w:rsidR="08A16279">
        <w:t xml:space="preserve">Po příchodu tohoto učence na františkánskou kolej se </w:t>
      </w:r>
      <w:r w:rsidR="085514B2">
        <w:t xml:space="preserve">Oxford stává oficiální </w:t>
      </w:r>
      <w:r w:rsidR="085514B2" w:rsidRPr="085514B2">
        <w:rPr>
          <w:i/>
        </w:rPr>
        <w:t>universitas</w:t>
      </w:r>
      <w:r w:rsidR="087B3D2B">
        <w:t xml:space="preserve"> magistrů a studentů, kterou vede zvolený </w:t>
      </w:r>
      <w:r w:rsidR="08B270F6">
        <w:t xml:space="preserve">kancléř </w:t>
      </w:r>
      <w:r w:rsidR="085514B2">
        <w:t xml:space="preserve">(1231). </w:t>
      </w:r>
      <w:r w:rsidR="005D7F1F" w:rsidRPr="005D7F1F">
        <w:t xml:space="preserve">Za prvé, Grosseteste založil intelektuální </w:t>
      </w:r>
      <w:r w:rsidR="005D7F1F">
        <w:rPr>
          <w:i/>
        </w:rPr>
        <w:t>raison d</w:t>
      </w:r>
      <w:r w:rsidR="005D7F1F">
        <w:rPr>
          <w:rFonts w:cs="Calibri"/>
          <w:i/>
        </w:rPr>
        <w:t>’</w:t>
      </w:r>
      <w:r w:rsidR="005D7F1F" w:rsidRPr="005D7F1F">
        <w:rPr>
          <w:i/>
        </w:rPr>
        <w:t>être</w:t>
      </w:r>
      <w:r w:rsidR="005D7F1F" w:rsidRPr="005D7F1F">
        <w:t xml:space="preserve"> Oxfordské univerzity, který je stále platný. Za druhé, jeho příchod kolem roku 1230 je spojen s přeměnou </w:t>
      </w:r>
      <w:r w:rsidR="00236FBD">
        <w:t xml:space="preserve">zdejších </w:t>
      </w:r>
      <w:r w:rsidR="005D7F1F" w:rsidRPr="005D7F1F">
        <w:t xml:space="preserve">kolejí podle pařížského univerzitního vzoru. </w:t>
      </w:r>
      <w:r w:rsidR="0007571A" w:rsidRPr="0007571A">
        <w:t xml:space="preserve">Tato dvojí činnost Grossetesteho jako učitele a </w:t>
      </w:r>
      <w:r w:rsidR="0007571A">
        <w:t xml:space="preserve">reformátora studií vytvořila </w:t>
      </w:r>
      <w:r w:rsidR="0007571A" w:rsidRPr="0007571A">
        <w:t xml:space="preserve">zakladatelskou událost </w:t>
      </w:r>
      <w:r w:rsidR="0007571A" w:rsidRPr="0007571A">
        <w:lastRenderedPageBreak/>
        <w:t>(</w:t>
      </w:r>
      <w:r w:rsidR="0007571A" w:rsidRPr="0007571A">
        <w:rPr>
          <w:i/>
        </w:rPr>
        <w:t>Ereignis</w:t>
      </w:r>
      <w:r w:rsidR="0007571A">
        <w:t xml:space="preserve">) západní modernity. </w:t>
      </w:r>
      <w:r w:rsidR="0007571A" w:rsidRPr="0007571A">
        <w:t xml:space="preserve">Grossetesteho působení v Oxfordu založilo </w:t>
      </w:r>
      <w:r w:rsidR="0007571A">
        <w:t xml:space="preserve">globální vesnici </w:t>
      </w:r>
      <w:r w:rsidR="0007571A" w:rsidRPr="0007571A">
        <w:t>modernistů, která trvá až do současného věku metafyzického nihilismu.</w:t>
      </w:r>
    </w:p>
    <w:p w14:paraId="5BBF2CED" w14:textId="77777777" w:rsidR="00F823F4" w:rsidRDefault="08036EA2" w:rsidP="005D7F1F">
      <w:pPr>
        <w:ind w:firstLine="397"/>
      </w:pPr>
      <w:r>
        <w:t xml:space="preserve">Epochu </w:t>
      </w:r>
      <w:r w:rsidR="00AA53E4">
        <w:t xml:space="preserve">objektivity </w:t>
      </w:r>
      <w:r w:rsidRPr="00273106">
        <w:t xml:space="preserve">otevírá </w:t>
      </w:r>
      <w:r w:rsidR="087C4F02">
        <w:t xml:space="preserve">Grossetesteho </w:t>
      </w:r>
      <w:r w:rsidR="08013AA3">
        <w:t>výklad</w:t>
      </w:r>
      <w:r w:rsidRPr="00273106">
        <w:t xml:space="preserve"> </w:t>
      </w:r>
      <w:r>
        <w:rPr>
          <w:i/>
        </w:rPr>
        <w:t>Druhých a</w:t>
      </w:r>
      <w:r w:rsidRPr="000615F6">
        <w:rPr>
          <w:i/>
        </w:rPr>
        <w:t>nalytik</w:t>
      </w:r>
      <w:r w:rsidRPr="00273106">
        <w:t xml:space="preserve"> (</w:t>
      </w:r>
      <w:r w:rsidRPr="00273106">
        <w:rPr>
          <w:i/>
        </w:rPr>
        <w:t>Commentarius in posteriorum analyticorum libros</w:t>
      </w:r>
      <w:r>
        <w:t xml:space="preserve">), který vznikl </w:t>
      </w:r>
      <w:r w:rsidR="08534971">
        <w:t xml:space="preserve">asi již </w:t>
      </w:r>
      <w:r w:rsidR="08270E90">
        <w:t xml:space="preserve">na Oxfordu </w:t>
      </w:r>
      <w:r w:rsidR="087C4F02">
        <w:t xml:space="preserve">okolo roku </w:t>
      </w:r>
      <w:r w:rsidRPr="00273106">
        <w:t xml:space="preserve">1230. </w:t>
      </w:r>
      <w:r w:rsidR="08337F1E">
        <w:t xml:space="preserve">A pokud byl napsán ještě v Paříži, tak se jistě stal hlavním důvodem odchodu tohoto toletána </w:t>
      </w:r>
      <w:r w:rsidR="08F954D8">
        <w:t xml:space="preserve">ze zdejší </w:t>
      </w:r>
      <w:r w:rsidR="08F954D8" w:rsidRPr="08F954D8">
        <w:rPr>
          <w:i/>
        </w:rPr>
        <w:t>alma mater</w:t>
      </w:r>
      <w:r w:rsidR="08F954D8">
        <w:t xml:space="preserve"> </w:t>
      </w:r>
      <w:r w:rsidR="08337F1E">
        <w:t xml:space="preserve">ovládané mysliteli ze Sicilské školy. </w:t>
      </w:r>
      <w:r w:rsidR="083E2D70">
        <w:t>N</w:t>
      </w:r>
      <w:r w:rsidR="08032A69">
        <w:t>áhled</w:t>
      </w:r>
      <w:r w:rsidR="08032A69" w:rsidRPr="00273106">
        <w:t xml:space="preserve"> </w:t>
      </w:r>
      <w:r w:rsidR="08032A69" w:rsidRPr="00273106">
        <w:rPr>
          <w:i/>
        </w:rPr>
        <w:t>Modernorum</w:t>
      </w:r>
      <w:r w:rsidR="08032A69" w:rsidRPr="0801619A">
        <w:t xml:space="preserve"> </w:t>
      </w:r>
      <w:r w:rsidR="083E2D70">
        <w:t xml:space="preserve">podaný </w:t>
      </w:r>
      <w:r w:rsidR="08032A69">
        <w:t xml:space="preserve">skrze tohoto latinského učence změnil </w:t>
      </w:r>
      <w:r w:rsidR="08032A69" w:rsidRPr="0801619A">
        <w:t>byt</w:t>
      </w:r>
      <w:r w:rsidR="08032A69">
        <w:t xml:space="preserve">í vědecky poznaného jsoucna </w:t>
      </w:r>
      <w:r w:rsidR="08E20417">
        <w:t xml:space="preserve">tak, že </w:t>
      </w:r>
      <w:r w:rsidR="08396908">
        <w:t xml:space="preserve">se krylo </w:t>
      </w:r>
      <w:r w:rsidR="08E20417">
        <w:t xml:space="preserve">v hlavních bodech </w:t>
      </w:r>
      <w:r w:rsidR="08396908">
        <w:t xml:space="preserve">s </w:t>
      </w:r>
      <w:r w:rsidR="08032A69">
        <w:t>Alver</w:t>
      </w:r>
      <w:r w:rsidR="08396908">
        <w:t>nem odmítnutou školou</w:t>
      </w:r>
      <w:r w:rsidR="08032A69">
        <w:t xml:space="preserve"> </w:t>
      </w:r>
      <w:r w:rsidR="08E20417">
        <w:t>porretánských nominalistů (</w:t>
      </w:r>
      <w:r w:rsidR="08E20417">
        <w:rPr>
          <w:i/>
        </w:rPr>
        <w:t>Grammatici</w:t>
      </w:r>
      <w:r w:rsidR="08E20417">
        <w:t>)</w:t>
      </w:r>
      <w:r w:rsidR="08032A69">
        <w:t xml:space="preserve">. To byl </w:t>
      </w:r>
      <w:r w:rsidR="08C27609">
        <w:t xml:space="preserve">další </w:t>
      </w:r>
      <w:r w:rsidR="08032A69">
        <w:t>důvod Grossetesteho odchodu z Paříže</w:t>
      </w:r>
      <w:r w:rsidR="088A77AA">
        <w:t xml:space="preserve">, protože </w:t>
      </w:r>
      <w:r w:rsidR="089C1DFC">
        <w:t>s velkou pravděpo</w:t>
      </w:r>
      <w:r w:rsidR="084A6858">
        <w:t xml:space="preserve">dobností </w:t>
      </w:r>
      <w:r w:rsidR="088A77AA">
        <w:t>přednášel logické a vědecké spisy Aristotela v tomto duchu</w:t>
      </w:r>
      <w:r w:rsidR="082B1358">
        <w:t xml:space="preserve"> již před rokem 1230</w:t>
      </w:r>
      <w:r w:rsidR="089C1DFC">
        <w:t xml:space="preserve">. Jeho výklad </w:t>
      </w:r>
      <w:r w:rsidR="089C1DFC" w:rsidRPr="089C1DFC">
        <w:rPr>
          <w:i/>
        </w:rPr>
        <w:t>Druhých analytik</w:t>
      </w:r>
      <w:r w:rsidR="089C1DFC">
        <w:t xml:space="preserve"> se zařadil do porretánského výkladu </w:t>
      </w:r>
      <w:r w:rsidR="089C1DFC" w:rsidRPr="089C1DFC">
        <w:rPr>
          <w:i/>
        </w:rPr>
        <w:t>Kategorií</w:t>
      </w:r>
      <w:r w:rsidR="089C1DFC">
        <w:t xml:space="preserve"> podle moderních logiků jako byl okolo roku 1230 například </w:t>
      </w:r>
      <w:r w:rsidR="089C1DFC" w:rsidRPr="00273106">
        <w:t>Jan Pagus</w:t>
      </w:r>
      <w:r w:rsidR="089C1DFC">
        <w:fldChar w:fldCharType="begin"/>
      </w:r>
      <w:r w:rsidR="089C1DFC">
        <w:instrText xml:space="preserve"> XE "</w:instrText>
      </w:r>
      <w:r w:rsidR="089C1DFC" w:rsidRPr="00BB6E8D">
        <w:instrText>Pagus</w:instrText>
      </w:r>
      <w:r w:rsidR="089C1DFC">
        <w:instrText xml:space="preserve">, John" </w:instrText>
      </w:r>
      <w:r w:rsidR="089C1DFC">
        <w:fldChar w:fldCharType="end"/>
      </w:r>
      <w:r w:rsidR="089C1DFC" w:rsidRPr="00273106">
        <w:t xml:space="preserve"> a Mikuláš z Paříže</w:t>
      </w:r>
      <w:r w:rsidR="08606F8D">
        <w:t xml:space="preserve"> (kap. 3</w:t>
      </w:r>
      <w:r w:rsidR="085D60F3">
        <w:t>.</w:t>
      </w:r>
      <w:r w:rsidR="083B3034">
        <w:t>1.</w:t>
      </w:r>
      <w:r w:rsidR="085D60F3">
        <w:t>2)</w:t>
      </w:r>
      <w:r w:rsidR="089C1DFC">
        <w:fldChar w:fldCharType="begin"/>
      </w:r>
      <w:r w:rsidR="089C1DFC">
        <w:instrText xml:space="preserve"> XE "Nicolas</w:instrText>
      </w:r>
      <w:r w:rsidR="089C1DFC" w:rsidRPr="00E044F0">
        <w:instrText xml:space="preserve"> z Paříže</w:instrText>
      </w:r>
      <w:r w:rsidR="089C1DFC">
        <w:instrText xml:space="preserve">" </w:instrText>
      </w:r>
      <w:r w:rsidR="089C1DFC">
        <w:fldChar w:fldCharType="end"/>
      </w:r>
      <w:r w:rsidR="089C1DFC">
        <w:t>.</w:t>
      </w:r>
      <w:r w:rsidR="08032A69">
        <w:t xml:space="preserve"> </w:t>
      </w:r>
      <w:r w:rsidR="08073F78">
        <w:t xml:space="preserve">Něco jiného je jeho aristotelský výklad </w:t>
      </w:r>
      <w:r w:rsidR="08073F78" w:rsidRPr="08073F78">
        <w:rPr>
          <w:i/>
        </w:rPr>
        <w:t>De anima</w:t>
      </w:r>
      <w:r w:rsidR="089C1DFC">
        <w:rPr>
          <w:i/>
        </w:rPr>
        <w:t xml:space="preserve"> </w:t>
      </w:r>
      <w:r w:rsidR="089C1DFC" w:rsidRPr="089C1DFC">
        <w:t>a teorie signifikace</w:t>
      </w:r>
      <w:r w:rsidR="089C1DFC">
        <w:t xml:space="preserve"> podle Abelardova výkladu </w:t>
      </w:r>
      <w:r w:rsidR="089C1DFC" w:rsidRPr="089C1DFC">
        <w:rPr>
          <w:i/>
        </w:rPr>
        <w:t>Kategorií</w:t>
      </w:r>
      <w:r w:rsidR="08073F78" w:rsidRPr="089C1DFC">
        <w:t>,</w:t>
      </w:r>
      <w:r w:rsidR="08073F78">
        <w:t xml:space="preserve"> který si </w:t>
      </w:r>
      <w:r w:rsidR="083B3034">
        <w:t xml:space="preserve">Grosseteste </w:t>
      </w:r>
      <w:r w:rsidR="08073F78">
        <w:t xml:space="preserve">zachoval i v Oxfordu podle </w:t>
      </w:r>
      <w:r w:rsidR="080417BF">
        <w:t xml:space="preserve">Blundovy školy. </w:t>
      </w:r>
      <w:r w:rsidR="08B542CE">
        <w:t xml:space="preserve">Grossetesteho tezi o pluralitě forem v duši přebral i avicennista </w:t>
      </w:r>
      <w:r w:rsidR="002D4F36">
        <w:t xml:space="preserve">Tomáš </w:t>
      </w:r>
      <w:r w:rsidR="08B542CE">
        <w:t>Akvin</w:t>
      </w:r>
      <w:r w:rsidR="00222C2E">
        <w:t>ský</w:t>
      </w:r>
      <w:r w:rsidR="08B542CE">
        <w:t xml:space="preserve">. Ale osoba daná </w:t>
      </w:r>
      <w:r w:rsidR="08073F78">
        <w:t xml:space="preserve">v duchu Avicenny </w:t>
      </w:r>
      <w:r w:rsidR="08B542CE">
        <w:t>skrze pluralitu</w:t>
      </w:r>
      <w:r w:rsidR="08073F78">
        <w:t xml:space="preserve"> hypostázovaných forem</w:t>
      </w:r>
      <w:r w:rsidR="08B542CE">
        <w:t xml:space="preserve"> zůstala </w:t>
      </w:r>
      <w:r w:rsidR="08606F8D">
        <w:t xml:space="preserve">u </w:t>
      </w:r>
      <w:r w:rsidR="08606F8D">
        <w:rPr>
          <w:szCs w:val="24"/>
        </w:rPr>
        <w:t xml:space="preserve">Grossetesteho </w:t>
      </w:r>
      <w:r w:rsidR="08B542CE">
        <w:t>jed</w:t>
      </w:r>
      <w:r w:rsidR="08891E74">
        <w:t>i</w:t>
      </w:r>
      <w:r w:rsidR="08B542CE">
        <w:t xml:space="preserve">nou </w:t>
      </w:r>
      <w:r w:rsidR="08891E74">
        <w:t xml:space="preserve">a jednotnou </w:t>
      </w:r>
      <w:r w:rsidR="08B542CE">
        <w:t>substancí, což bylo aristotelské řešení</w:t>
      </w:r>
      <w:r w:rsidR="084F3819">
        <w:t xml:space="preserve"> prvního averroismu</w:t>
      </w:r>
      <w:r w:rsidR="08B542CE">
        <w:t xml:space="preserve">. </w:t>
      </w:r>
      <w:r w:rsidR="08217F0C">
        <w:t xml:space="preserve">Proto se </w:t>
      </w:r>
      <w:r w:rsidR="085472ED">
        <w:t xml:space="preserve">Grossetesteho </w:t>
      </w:r>
      <w:r w:rsidR="08217F0C">
        <w:t xml:space="preserve">aristotelského výkladu </w:t>
      </w:r>
      <w:r w:rsidR="08217F0C" w:rsidRPr="08217F0C">
        <w:rPr>
          <w:i/>
        </w:rPr>
        <w:t>De anima</w:t>
      </w:r>
      <w:r w:rsidR="087F2794">
        <w:t xml:space="preserve"> dovolávají</w:t>
      </w:r>
      <w:r w:rsidR="08217F0C">
        <w:t xml:space="preserve"> Bacon a Ockham </w:t>
      </w:r>
      <w:r w:rsidR="087F2794">
        <w:t>jako zástupci školy prvního averroismu na Oxfordu proti modernistům</w:t>
      </w:r>
      <w:r w:rsidR="08217F0C">
        <w:t xml:space="preserve">. </w:t>
      </w:r>
      <w:r w:rsidR="08465C70" w:rsidRPr="00273106">
        <w:t xml:space="preserve">Grossetesteho komentář </w:t>
      </w:r>
      <w:r w:rsidR="08465C70">
        <w:rPr>
          <w:i/>
        </w:rPr>
        <w:t>Druhých a</w:t>
      </w:r>
      <w:r w:rsidR="08465C70" w:rsidRPr="000615F6">
        <w:rPr>
          <w:i/>
        </w:rPr>
        <w:t>nalytik</w:t>
      </w:r>
      <w:r w:rsidR="08465C70" w:rsidRPr="00273106">
        <w:t xml:space="preserve"> </w:t>
      </w:r>
      <w:r w:rsidR="08465C70">
        <w:t xml:space="preserve">představuje první ucelený výklad tohoto spisu </w:t>
      </w:r>
      <w:r w:rsidR="08465C70" w:rsidRPr="00273106">
        <w:t>na latinském Západě</w:t>
      </w:r>
      <w:r w:rsidR="08465C70">
        <w:t xml:space="preserve">. </w:t>
      </w:r>
      <w:r w:rsidR="083E34A2">
        <w:t xml:space="preserve">Tento komentář  založil vědecké vidění světa po vzoru </w:t>
      </w:r>
      <w:r w:rsidR="083E34A2" w:rsidRPr="004777BA">
        <w:rPr>
          <w:i/>
        </w:rPr>
        <w:t>discrete videamus</w:t>
      </w:r>
      <w:r w:rsidR="083E34A2">
        <w:rPr>
          <w:i/>
        </w:rPr>
        <w:fldChar w:fldCharType="begin"/>
      </w:r>
      <w:r w:rsidR="083E34A2">
        <w:instrText xml:space="preserve"> XE "</w:instrText>
      </w:r>
      <w:r w:rsidR="083E34A2" w:rsidRPr="00E90B20">
        <w:rPr>
          <w:i/>
        </w:rPr>
        <w:instrText>discrete videamus</w:instrText>
      </w:r>
      <w:r w:rsidR="083E34A2">
        <w:instrText xml:space="preserve">" </w:instrText>
      </w:r>
      <w:r w:rsidR="083E34A2">
        <w:rPr>
          <w:i/>
        </w:rPr>
        <w:fldChar w:fldCharType="end"/>
      </w:r>
      <w:r w:rsidR="084F3819">
        <w:t xml:space="preserve"> porretánské školy (kap. 1</w:t>
      </w:r>
      <w:r w:rsidR="083E34A2">
        <w:t xml:space="preserve">.4) a ustavil analytickou tradici výkladu </w:t>
      </w:r>
      <w:r w:rsidR="083E34A2" w:rsidRPr="000615F6">
        <w:rPr>
          <w:i/>
        </w:rPr>
        <w:t>Druhých analytik</w:t>
      </w:r>
      <w:r w:rsidR="083E34A2">
        <w:t xml:space="preserve">. </w:t>
      </w:r>
      <w:r w:rsidR="081F6D78" w:rsidRPr="00273106">
        <w:t xml:space="preserve">Grosseteste </w:t>
      </w:r>
      <w:r w:rsidR="081F6D78">
        <w:t xml:space="preserve">čte Aristotelovy </w:t>
      </w:r>
      <w:r w:rsidR="081F6D78" w:rsidRPr="00C83B5B">
        <w:rPr>
          <w:i/>
        </w:rPr>
        <w:t>Analytiky</w:t>
      </w:r>
      <w:r w:rsidR="081F6D78">
        <w:t xml:space="preserve"> v avicennovském paradigmatu Toledské školy. Tuto tradici pak potvrdil Kilwardbyho komentář </w:t>
      </w:r>
      <w:r w:rsidR="081F6D78">
        <w:rPr>
          <w:i/>
        </w:rPr>
        <w:t>Druhých a</w:t>
      </w:r>
      <w:r w:rsidR="081F6D78" w:rsidRPr="000615F6">
        <w:rPr>
          <w:i/>
        </w:rPr>
        <w:t>nalytik</w:t>
      </w:r>
      <w:r w:rsidR="081F6D78" w:rsidRPr="00273106">
        <w:t xml:space="preserve"> </w:t>
      </w:r>
      <w:r w:rsidR="084F3819">
        <w:t>(kap. 3</w:t>
      </w:r>
      <w:r w:rsidR="081F6D78">
        <w:t>.4.1)</w:t>
      </w:r>
      <w:r w:rsidR="081F6D78" w:rsidRPr="00273106">
        <w:t>.</w:t>
      </w:r>
      <w:r w:rsidR="081F6D78">
        <w:t xml:space="preserve"> Hlavní představitelé této školy byli oxfordští bakaláři Rufus a Kilwardby, kteří přišli na magisterská studia do Paříže</w:t>
      </w:r>
      <w:r w:rsidR="08673DC2">
        <w:t xml:space="preserve"> někdy okolo roku 1235</w:t>
      </w:r>
      <w:r w:rsidR="081F6D78">
        <w:t xml:space="preserve">. </w:t>
      </w:r>
      <w:r w:rsidR="089266C8">
        <w:t xml:space="preserve">Albertův komentář </w:t>
      </w:r>
      <w:r w:rsidR="083E34A2">
        <w:t xml:space="preserve">vědecké dedukce </w:t>
      </w:r>
      <w:r w:rsidR="089266C8">
        <w:t xml:space="preserve">v </w:t>
      </w:r>
      <w:r w:rsidR="089266C8" w:rsidRPr="00FE396D">
        <w:rPr>
          <w:i/>
        </w:rPr>
        <w:t>De homine</w:t>
      </w:r>
      <w:r w:rsidR="083E34A2">
        <w:t xml:space="preserve"> a</w:t>
      </w:r>
      <w:r w:rsidR="089266C8">
        <w:t xml:space="preserve"> </w:t>
      </w:r>
      <w:r w:rsidR="085F1851">
        <w:t xml:space="preserve">jeho </w:t>
      </w:r>
      <w:r w:rsidR="083E34A2">
        <w:t xml:space="preserve">pozdější </w:t>
      </w:r>
      <w:r w:rsidR="089266C8">
        <w:t xml:space="preserve">výklad </w:t>
      </w:r>
      <w:r w:rsidR="089266C8" w:rsidRPr="00FE396D">
        <w:rPr>
          <w:i/>
        </w:rPr>
        <w:t>Druhých analytik</w:t>
      </w:r>
      <w:r w:rsidR="089266C8">
        <w:t xml:space="preserve"> vznikl jako reakce na </w:t>
      </w:r>
      <w:r w:rsidR="089266C8" w:rsidRPr="00FE396D">
        <w:rPr>
          <w:i/>
        </w:rPr>
        <w:t>Oxfordian Fallacy</w:t>
      </w:r>
      <w:r w:rsidR="089266C8">
        <w:t xml:space="preserve"> založenou </w:t>
      </w:r>
      <w:r w:rsidR="081C7120">
        <w:t xml:space="preserve">skrze </w:t>
      </w:r>
      <w:r w:rsidR="08605033">
        <w:t xml:space="preserve">Rufusův </w:t>
      </w:r>
      <w:r w:rsidR="0835688A">
        <w:t xml:space="preserve">a Kilwardbyho </w:t>
      </w:r>
      <w:r w:rsidR="081C7120">
        <w:t>výklad</w:t>
      </w:r>
      <w:r w:rsidR="0872799A">
        <w:t xml:space="preserve">. Oba tito zástupci Oxfordu </w:t>
      </w:r>
      <w:r w:rsidR="08605033">
        <w:t>radikal</w:t>
      </w:r>
      <w:r w:rsidR="0872799A">
        <w:t>izovali</w:t>
      </w:r>
      <w:r w:rsidR="08605033">
        <w:t xml:space="preserve"> původní pozici Grossetesteho</w:t>
      </w:r>
      <w:r w:rsidR="08F741ED">
        <w:t>, což bylo v Paříži nepřijatelné</w:t>
      </w:r>
      <w:r w:rsidR="08013AA3">
        <w:t>.</w:t>
      </w:r>
      <w:r w:rsidR="08B82BC1" w:rsidRPr="08B82BC1">
        <w:t xml:space="preserve"> </w:t>
      </w:r>
      <w:r w:rsidR="08D86B3E">
        <w:t xml:space="preserve">Spis </w:t>
      </w:r>
      <w:r w:rsidR="08D86B3E" w:rsidRPr="00A43C42">
        <w:rPr>
          <w:i/>
        </w:rPr>
        <w:t>Druhé analytiky</w:t>
      </w:r>
      <w:r w:rsidR="08D86B3E">
        <w:t xml:space="preserve"> podle výkladu prvního averroismu daného Albertovým </w:t>
      </w:r>
      <w:r w:rsidR="08D86B3E" w:rsidRPr="08BD1177">
        <w:rPr>
          <w:i/>
        </w:rPr>
        <w:t>De homine</w:t>
      </w:r>
      <w:r w:rsidR="08D86B3E">
        <w:t xml:space="preserve"> sleduje výklad substance</w:t>
      </w:r>
      <w:r w:rsidR="08D86B3E">
        <w:fldChar w:fldCharType="begin"/>
      </w:r>
      <w:r w:rsidR="08D86B3E">
        <w:instrText xml:space="preserve"> XE "</w:instrText>
      </w:r>
      <w:r w:rsidR="08D86B3E" w:rsidRPr="00DE2A32">
        <w:instrText>substance</w:instrText>
      </w:r>
      <w:r w:rsidR="08D86B3E">
        <w:instrText xml:space="preserve">:druhý averroismus" </w:instrText>
      </w:r>
      <w:r w:rsidR="08D86B3E">
        <w:fldChar w:fldCharType="end"/>
      </w:r>
      <w:r w:rsidR="08D86B3E">
        <w:t xml:space="preserve"> podle kanonické pasáže </w:t>
      </w:r>
      <w:r w:rsidR="08D86B3E" w:rsidRPr="00A43C42">
        <w:rPr>
          <w:i/>
        </w:rPr>
        <w:t>Kategorií</w:t>
      </w:r>
      <w:r w:rsidR="08D86B3E">
        <w:t xml:space="preserve"> (</w:t>
      </w:r>
      <w:r w:rsidR="08D86B3E" w:rsidRPr="003357E1">
        <w:rPr>
          <w:i/>
        </w:rPr>
        <w:t>Cat</w:t>
      </w:r>
      <w:r w:rsidR="08D86B3E">
        <w:t xml:space="preserve">. </w:t>
      </w:r>
      <w:r w:rsidR="08D86B3E" w:rsidRPr="00273106">
        <w:t>2a11–16</w:t>
      </w:r>
      <w:r w:rsidR="08D86B3E">
        <w:fldChar w:fldCharType="begin"/>
      </w:r>
      <w:r w:rsidR="08D86B3E">
        <w:instrText xml:space="preserve"> XE "Aristoteles:</w:instrText>
      </w:r>
      <w:r w:rsidR="08D86B3E" w:rsidRPr="003357E1">
        <w:rPr>
          <w:i/>
        </w:rPr>
        <w:instrText>Cat</w:instrText>
      </w:r>
      <w:r w:rsidR="08D86B3E">
        <w:instrText xml:space="preserve">. </w:instrText>
      </w:r>
      <w:r w:rsidR="08D86B3E" w:rsidRPr="00273106">
        <w:instrText>2a11–</w:instrText>
      </w:r>
      <w:r w:rsidR="08D86B3E" w:rsidRPr="00273106">
        <w:lastRenderedPageBreak/>
        <w:instrText>16</w:instrText>
      </w:r>
      <w:r w:rsidR="08D86B3E">
        <w:instrText xml:space="preserve">" </w:instrText>
      </w:r>
      <w:r w:rsidR="08D86B3E">
        <w:fldChar w:fldCharType="end"/>
      </w:r>
      <w:r w:rsidR="08D86B3E">
        <w:t xml:space="preserve">). </w:t>
      </w:r>
      <w:r w:rsidR="083D461C">
        <w:t xml:space="preserve">Podle prvního averroismu daného v paradigmatu Sicilské školy a podle litery </w:t>
      </w:r>
      <w:r w:rsidR="083D461C" w:rsidRPr="00011BB5">
        <w:rPr>
          <w:i/>
        </w:rPr>
        <w:t>Druhých analytik</w:t>
      </w:r>
      <w:r w:rsidR="083D461C">
        <w:t xml:space="preserve"> je </w:t>
      </w:r>
      <w:r w:rsidR="083D461C" w:rsidRPr="00273106">
        <w:t xml:space="preserve">základní princip vědeckého důkazu vázaný </w:t>
      </w:r>
      <w:r w:rsidR="083D461C">
        <w:t>n</w:t>
      </w:r>
      <w:r w:rsidR="083D461C" w:rsidRPr="00273106">
        <w:t>a existenci reálné věci poznávané smyslově</w:t>
      </w:r>
      <w:r w:rsidR="083D461C" w:rsidRPr="00602945">
        <w:t xml:space="preserve"> </w:t>
      </w:r>
      <w:r w:rsidR="083D461C">
        <w:t xml:space="preserve">v modu </w:t>
      </w:r>
      <w:r w:rsidR="083D461C">
        <w:rPr>
          <w:i/>
        </w:rPr>
        <w:t>ex</w:t>
      </w:r>
      <w:r w:rsidR="08D91F67">
        <w:rPr>
          <w:i/>
        </w:rPr>
        <w:t xml:space="preserve"> in</w:t>
      </w:r>
      <w:r w:rsidR="083D461C" w:rsidRPr="00602945">
        <w:rPr>
          <w:i/>
        </w:rPr>
        <w:t>mediatis</w:t>
      </w:r>
      <w:r w:rsidR="083D461C">
        <w:rPr>
          <w:i/>
        </w:rPr>
        <w:fldChar w:fldCharType="begin"/>
      </w:r>
      <w:r w:rsidR="083D461C">
        <w:instrText xml:space="preserve"> XE "princip </w:instrText>
      </w:r>
      <w:r w:rsidR="08D91F67">
        <w:rPr>
          <w:i/>
        </w:rPr>
        <w:instrText>ex in</w:instrText>
      </w:r>
      <w:r w:rsidR="083D461C" w:rsidRPr="08216DFD">
        <w:rPr>
          <w:i/>
        </w:rPr>
        <w:instrText>mediatis</w:instrText>
      </w:r>
      <w:r w:rsidR="083D461C">
        <w:instrText xml:space="preserve">" </w:instrText>
      </w:r>
      <w:r w:rsidR="083D461C">
        <w:rPr>
          <w:i/>
        </w:rPr>
        <w:fldChar w:fldCharType="end"/>
      </w:r>
      <w:r w:rsidR="00F823F4">
        <w:t>.</w:t>
      </w:r>
    </w:p>
    <w:p w14:paraId="74B315A3" w14:textId="502B646D" w:rsidR="00B241D1" w:rsidRPr="00273106" w:rsidRDefault="089F62D1" w:rsidP="005D7F1F">
      <w:pPr>
        <w:ind w:firstLine="397"/>
      </w:pPr>
      <w:r w:rsidRPr="00273106">
        <w:t xml:space="preserve">Hermeneutika </w:t>
      </w:r>
      <w:r>
        <w:t xml:space="preserve">hledá v </w:t>
      </w:r>
      <w:r w:rsidR="08A333EB">
        <w:t xml:space="preserve">prvním moderním </w:t>
      </w:r>
      <w:r>
        <w:t xml:space="preserve">komentáři </w:t>
      </w:r>
      <w:r w:rsidR="08A333EB">
        <w:t xml:space="preserve">ke </w:t>
      </w:r>
      <w:r w:rsidR="08A333EB" w:rsidRPr="08A333EB">
        <w:rPr>
          <w:i/>
        </w:rPr>
        <w:t>Druhým analytikám</w:t>
      </w:r>
      <w:r w:rsidR="08A333EB">
        <w:t xml:space="preserve"> </w:t>
      </w:r>
      <w:r>
        <w:t>múzickou po</w:t>
      </w:r>
      <w:r>
        <w:noBreakHyphen/>
        <w:t>odkrytost</w:t>
      </w:r>
      <w:r w:rsidRPr="00273106">
        <w:t xml:space="preserve"> (</w:t>
      </w:r>
      <w:r w:rsidRPr="00273106">
        <w:rPr>
          <w:i/>
        </w:rPr>
        <w:t>a/léth</w:t>
      </w:r>
      <w:r>
        <w:rPr>
          <w:i/>
        </w:rPr>
        <w:t>e</w:t>
      </w:r>
      <w:r w:rsidRPr="00273106">
        <w:rPr>
          <w:i/>
        </w:rPr>
        <w:t>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t xml:space="preserve">) objektivity. </w:t>
      </w:r>
      <w:r w:rsidR="08445707">
        <w:t>Objektivní d</w:t>
      </w:r>
      <w:r w:rsidR="085B4415">
        <w:t>ráha ná</w:t>
      </w:r>
      <w:r w:rsidR="089C3449">
        <w:t xml:space="preserve">hledu </w:t>
      </w:r>
      <w:r w:rsidR="08B82BC1">
        <w:t>(</w:t>
      </w:r>
      <w:r w:rsidR="08B82BC1" w:rsidRPr="000615F6">
        <w:rPr>
          <w:i/>
        </w:rPr>
        <w:t>Vor-blickbahn</w:t>
      </w:r>
      <w:r w:rsidR="08B82BC1">
        <w:t xml:space="preserve">) na celek jsoucna ustavená </w:t>
      </w:r>
      <w:r w:rsidR="08AB4AB4">
        <w:t xml:space="preserve">v tomto komentáři </w:t>
      </w:r>
      <w:r w:rsidR="08B82BC1" w:rsidRPr="00273106">
        <w:t>determinuje</w:t>
      </w:r>
      <w:r w:rsidR="08B82BC1">
        <w:t xml:space="preserve"> </w:t>
      </w:r>
      <w:r w:rsidR="08AB4AB4">
        <w:t xml:space="preserve">objektivní vědecké poznání v jeho </w:t>
      </w:r>
      <w:r w:rsidR="08B82BC1">
        <w:t>pravdě a nepravdě.</w:t>
      </w:r>
      <w:r w:rsidR="08465C70">
        <w:t xml:space="preserve"> </w:t>
      </w:r>
      <w:r w:rsidR="08A333EB">
        <w:t>P</w:t>
      </w:r>
      <w:r w:rsidR="00B241D1" w:rsidRPr="00273106">
        <w:t>řím</w:t>
      </w:r>
      <w:r w:rsidR="004319C3" w:rsidRPr="00273106">
        <w:t xml:space="preserve">ý </w:t>
      </w:r>
      <w:r w:rsidR="00B241D1" w:rsidRPr="00273106">
        <w:t xml:space="preserve">náhled </w:t>
      </w:r>
      <w:r w:rsidR="004319C3" w:rsidRPr="00273106">
        <w:t xml:space="preserve">do prvních principů </w:t>
      </w:r>
      <w:r w:rsidR="08A333EB">
        <w:t xml:space="preserve">poznání se považuje </w:t>
      </w:r>
      <w:r w:rsidR="00B241D1" w:rsidRPr="00273106">
        <w:t>za součást osvícení mysli</w:t>
      </w:r>
      <w:r w:rsidR="089F0721">
        <w:t>. Přímý náhled na hypostázované formy je schopen</w:t>
      </w:r>
      <w:r w:rsidR="00B241D1" w:rsidRPr="00273106">
        <w:t xml:space="preserve"> poznávat nejen reálné působení prvních substancí, ale i vyšší svět </w:t>
      </w:r>
      <w:r w:rsidR="089D7E3D">
        <w:t xml:space="preserve">kosmických inteligencí a </w:t>
      </w:r>
      <w:r w:rsidR="00B241D1" w:rsidRPr="00273106">
        <w:t>autonomních forem.</w:t>
      </w:r>
    </w:p>
    <w:p w14:paraId="1551F911" w14:textId="77777777" w:rsidR="00B241D1" w:rsidRPr="00273106" w:rsidRDefault="00B241D1" w:rsidP="00B241D1">
      <w:pPr>
        <w:pStyle w:val="Citace"/>
        <w:rPr>
          <w:noProof/>
          <w:lang w:val="cs-CZ"/>
        </w:rPr>
      </w:pPr>
      <w:r w:rsidRPr="00273106">
        <w:rPr>
          <w:noProof/>
          <w:lang w:val="cs-CZ"/>
        </w:rPr>
        <w:t>„Poznání prvních principů daných přímým náhledem intelektu (</w:t>
      </w:r>
      <w:r w:rsidRPr="00273106">
        <w:rPr>
          <w:i/>
          <w:noProof/>
          <w:lang w:val="cs-CZ"/>
        </w:rPr>
        <w:t>intellectus</w:t>
      </w:r>
      <w:r w:rsidRPr="00273106">
        <w:rPr>
          <w:noProof/>
          <w:lang w:val="cs-CZ"/>
        </w:rPr>
        <w:t xml:space="preserve">) je vyšší forma poznání, než </w:t>
      </w:r>
      <w:r w:rsidR="084E15DC">
        <w:rPr>
          <w:noProof/>
          <w:lang w:val="cs-CZ"/>
        </w:rPr>
        <w:t xml:space="preserve">vědění </w:t>
      </w:r>
      <w:r w:rsidRPr="00273106">
        <w:rPr>
          <w:noProof/>
          <w:lang w:val="cs-CZ"/>
        </w:rPr>
        <w:t>skrze empirický úsudek (</w:t>
      </w:r>
      <w:r w:rsidRPr="00273106">
        <w:rPr>
          <w:i/>
          <w:noProof/>
          <w:lang w:val="cs-CZ"/>
        </w:rPr>
        <w:t>scientia</w:t>
      </w:r>
      <w:r w:rsidR="08FB0895">
        <w:rPr>
          <w:noProof/>
          <w:lang w:val="cs-CZ"/>
        </w:rPr>
        <w:t>), kdy se p</w:t>
      </w:r>
      <w:r w:rsidR="00000611">
        <w:rPr>
          <w:lang w:val="cs-CZ"/>
        </w:rPr>
        <w:t xml:space="preserve">rvní principy poznání </w:t>
      </w:r>
      <w:r w:rsidR="08956F7B">
        <w:rPr>
          <w:lang w:val="cs-CZ"/>
        </w:rPr>
        <w:t xml:space="preserve">se nepoznávají </w:t>
      </w:r>
      <w:r w:rsidR="00000611">
        <w:rPr>
          <w:lang w:val="cs-CZ"/>
        </w:rPr>
        <w:t>přímo intelektuálním náhledem, ale empirickým poznáním</w:t>
      </w:r>
      <w:r w:rsidR="08FB0895">
        <w:rPr>
          <w:lang w:val="cs-CZ"/>
        </w:rPr>
        <w:t xml:space="preserve">. To je </w:t>
      </w:r>
      <w:r w:rsidR="00000611">
        <w:rPr>
          <w:lang w:val="cs-CZ"/>
        </w:rPr>
        <w:t xml:space="preserve">horší způsob poznání, než intelektuální náhled </w:t>
      </w:r>
      <w:r w:rsidR="00702383">
        <w:rPr>
          <w:noProof/>
          <w:lang w:val="cs-CZ"/>
        </w:rPr>
        <w:t>(</w:t>
      </w:r>
      <w:r w:rsidR="00702383" w:rsidRPr="00702383">
        <w:rPr>
          <w:i/>
        </w:rPr>
        <w:t>peior dispositio quam intellectus</w:t>
      </w:r>
      <w:r w:rsidR="00702383">
        <w:rPr>
          <w:noProof/>
          <w:lang w:val="cs-CZ"/>
        </w:rPr>
        <w:t>)</w:t>
      </w:r>
      <w:r w:rsidRPr="00273106">
        <w:rPr>
          <w:noProof/>
          <w:lang w:val="cs-CZ"/>
        </w:rPr>
        <w:t xml:space="preserve">.“ </w:t>
      </w:r>
      <w:r w:rsidRPr="00273106">
        <w:rPr>
          <w:rStyle w:val="Znakapoznpodarou"/>
          <w:noProof/>
          <w:lang w:val="cs-CZ"/>
        </w:rPr>
        <w:footnoteReference w:id="290"/>
      </w:r>
    </w:p>
    <w:p w14:paraId="04CCB58E" w14:textId="485847CC" w:rsidR="00736AAE" w:rsidRDefault="00A807DB" w:rsidP="08960F94">
      <w:r w:rsidRPr="00273106">
        <w:t xml:space="preserve">Citát potvrzuje primát poznání prvních principů v aktu přímého náhledu čistých forem daných v modu </w:t>
      </w:r>
      <w:r w:rsidRPr="00273106">
        <w:rPr>
          <w:i/>
        </w:rPr>
        <w:t>simpliciter</w:t>
      </w:r>
      <w:r w:rsidRPr="00273106">
        <w:t xml:space="preserve"> stejně jako první substance</w:t>
      </w:r>
      <w:r w:rsidR="00A70FA4">
        <w:fldChar w:fldCharType="begin"/>
      </w:r>
      <w:r w:rsidR="00A70FA4">
        <w:instrText xml:space="preserve"> XE "</w:instrText>
      </w:r>
      <w:r w:rsidR="00536260">
        <w:instrText>iluminace</w:instrText>
      </w:r>
      <w:r w:rsidR="00A70FA4">
        <w:instrText xml:space="preserve">" </w:instrText>
      </w:r>
      <w:r w:rsidR="00A70FA4">
        <w:fldChar w:fldCharType="end"/>
      </w:r>
      <w:r w:rsidRPr="00273106">
        <w:t xml:space="preserve"> (</w:t>
      </w:r>
      <w:r w:rsidRPr="00273106">
        <w:rPr>
          <w:i/>
        </w:rPr>
        <w:t>simpliciter prima cognoscuntur</w:t>
      </w:r>
      <w:r w:rsidRPr="00273106">
        <w:t xml:space="preserve">). </w:t>
      </w:r>
      <w:r w:rsidR="08735D5C">
        <w:t xml:space="preserve">Intelekt </w:t>
      </w:r>
      <w:r w:rsidR="08B926F7">
        <w:t>provádí</w:t>
      </w:r>
      <w:r w:rsidR="08735D5C">
        <w:t xml:space="preserve"> přímý náhled</w:t>
      </w:r>
      <w:r w:rsidR="00B241D1" w:rsidRPr="00273106">
        <w:t xml:space="preserve"> </w:t>
      </w:r>
      <w:r w:rsidR="08735D5C">
        <w:t xml:space="preserve">do </w:t>
      </w:r>
      <w:r w:rsidR="00B241D1" w:rsidRPr="00273106">
        <w:t>prvních principů, protože tento náhled tvoří jeho podstatu. Diskurzivní racionalita (</w:t>
      </w:r>
      <w:r w:rsidR="00B241D1" w:rsidRPr="00273106">
        <w:rPr>
          <w:i/>
        </w:rPr>
        <w:t>scientia</w:t>
      </w:r>
      <w:r w:rsidR="009911B3">
        <w:rPr>
          <w:i/>
        </w:rPr>
        <w:fldChar w:fldCharType="begin"/>
      </w:r>
      <w:r w:rsidR="009911B3">
        <w:instrText xml:space="preserve"> XE "</w:instrText>
      </w:r>
      <w:r w:rsidR="009911B3" w:rsidRPr="0015798D">
        <w:rPr>
          <w:i/>
        </w:rPr>
        <w:instrText>Oxfordian Fallacy:</w:instrText>
      </w:r>
      <w:r w:rsidR="009911B3">
        <w:rPr>
          <w:i/>
        </w:rPr>
        <w:instrText>scientia</w:instrText>
      </w:r>
      <w:r w:rsidR="009911B3">
        <w:instrText xml:space="preserve">" </w:instrText>
      </w:r>
      <w:r w:rsidR="009911B3">
        <w:rPr>
          <w:i/>
        </w:rPr>
        <w:fldChar w:fldCharType="end"/>
      </w:r>
      <w:r w:rsidR="00B241D1" w:rsidRPr="00273106">
        <w:t>) musí k prvním principům poznání postupovat složitější cestou přes závěry soudu, jehož k</w:t>
      </w:r>
      <w:r w:rsidR="08613E7F">
        <w:t xml:space="preserve">auzalita je poznatelná smyslově </w:t>
      </w:r>
      <w:r w:rsidR="08613E7F" w:rsidRPr="08613E7F">
        <w:rPr>
          <w:szCs w:val="24"/>
        </w:rPr>
        <w:t>(</w:t>
      </w:r>
      <w:r w:rsidR="08613E7F" w:rsidRPr="08613E7F">
        <w:rPr>
          <w:i/>
          <w:szCs w:val="24"/>
        </w:rPr>
        <w:t>peior dispositio</w:t>
      </w:r>
      <w:r w:rsidR="08613E7F">
        <w:rPr>
          <w:szCs w:val="24"/>
        </w:rPr>
        <w:t>)</w:t>
      </w:r>
      <w:r w:rsidR="00B241D1" w:rsidRPr="00273106">
        <w:t>. Podle prvního oxfordského analytika ukáže soud založený na empirickém poznání první principy poznání jen nepřímo</w:t>
      </w:r>
      <w:r w:rsidR="00536260">
        <w:fldChar w:fldCharType="begin"/>
      </w:r>
      <w:r w:rsidR="00536260">
        <w:instrText xml:space="preserve"> XE "</w:instrText>
      </w:r>
      <w:r w:rsidR="00536260" w:rsidRPr="003B19DF">
        <w:instrText>objektivita:Grosseteste</w:instrText>
      </w:r>
      <w:r w:rsidR="00536260">
        <w:instrText xml:space="preserve">" </w:instrText>
      </w:r>
      <w:r w:rsidR="00536260">
        <w:fldChar w:fldCharType="end"/>
      </w:r>
      <w:r w:rsidR="00B241D1" w:rsidRPr="00273106">
        <w:t xml:space="preserve">. </w:t>
      </w:r>
      <w:r w:rsidR="00530586">
        <w:t>Z hlediska kategoriální predi</w:t>
      </w:r>
      <w:r w:rsidR="00262752">
        <w:t>k</w:t>
      </w:r>
      <w:r w:rsidR="00530586">
        <w:t>a</w:t>
      </w:r>
      <w:r w:rsidR="00262752">
        <w:t>ce je zřejmé, že impo</w:t>
      </w:r>
      <w:r w:rsidR="00530586">
        <w:t xml:space="preserve">zice </w:t>
      </w:r>
      <w:r w:rsidR="00262752">
        <w:t xml:space="preserve">signifikace </w:t>
      </w:r>
      <w:r w:rsidR="08022213">
        <w:t xml:space="preserve">v nové formě metafyzického náhledu </w:t>
      </w:r>
      <w:r w:rsidR="00262752">
        <w:t xml:space="preserve">nejde od první </w:t>
      </w:r>
      <w:r w:rsidR="082A0B08">
        <w:t xml:space="preserve">hylemorfické </w:t>
      </w:r>
      <w:r w:rsidR="00262752">
        <w:t>substance, ale od univerzálně dané supozice</w:t>
      </w:r>
      <w:r w:rsidR="08AC7B84">
        <w:t xml:space="preserve">. </w:t>
      </w:r>
      <w:r w:rsidR="083B131A">
        <w:t xml:space="preserve">Nová forma supozice </w:t>
      </w:r>
      <w:r w:rsidR="08AC7B84">
        <w:t xml:space="preserve">je </w:t>
      </w:r>
      <w:r w:rsidR="00530586">
        <w:t>založen</w:t>
      </w:r>
      <w:r w:rsidR="08AC7B84">
        <w:t>a</w:t>
      </w:r>
      <w:r w:rsidR="00530586">
        <w:t xml:space="preserve"> na iman</w:t>
      </w:r>
      <w:r w:rsidR="00262752">
        <w:t>entním, trvalém a aktuálním držení prvních principů poznání v duši (</w:t>
      </w:r>
      <w:r w:rsidR="00262752" w:rsidRPr="00262752">
        <w:rPr>
          <w:i/>
        </w:rPr>
        <w:t>melior dispositio</w:t>
      </w:r>
      <w:r w:rsidR="00262752">
        <w:t xml:space="preserve">). </w:t>
      </w:r>
      <w:r w:rsidR="08C80877">
        <w:t>Duše je disponovaná sama od sebe k p</w:t>
      </w:r>
      <w:r w:rsidR="08C80877" w:rsidRPr="00273106">
        <w:t>řím</w:t>
      </w:r>
      <w:r w:rsidR="08C80877">
        <w:t xml:space="preserve">ému </w:t>
      </w:r>
      <w:r w:rsidR="08C80877" w:rsidRPr="00273106">
        <w:t>poznání univerzální formy</w:t>
      </w:r>
      <w:r w:rsidR="08C80877">
        <w:t xml:space="preserve">, což je vyšší stupeň vědění, než empirická </w:t>
      </w:r>
      <w:r w:rsidR="08C80877" w:rsidRPr="003F1198">
        <w:rPr>
          <w:i/>
        </w:rPr>
        <w:t>scientia</w:t>
      </w:r>
      <w:r w:rsidR="08C80877">
        <w:t xml:space="preserve">. Toto pojetí odpovídá Anselmově přístupu k pravdě v modu dvojí </w:t>
      </w:r>
      <w:r w:rsidR="08C80877" w:rsidRPr="0837546B">
        <w:rPr>
          <w:i/>
        </w:rPr>
        <w:t>veritas</w:t>
      </w:r>
      <w:r w:rsidR="08C80877">
        <w:t xml:space="preserve"> (kap. 1.2). Neoplatonský </w:t>
      </w:r>
      <w:r w:rsidR="08C80877" w:rsidRPr="00273106">
        <w:t xml:space="preserve">přístup k poznání </w:t>
      </w:r>
      <w:r w:rsidR="08C80877">
        <w:t xml:space="preserve">zakládá pojetí </w:t>
      </w:r>
      <w:r w:rsidR="08C80877" w:rsidRPr="00273106">
        <w:t>vědy</w:t>
      </w:r>
      <w:r w:rsidR="08C80877">
        <w:t xml:space="preserve"> skrze přímý náhled ilumináta </w:t>
      </w:r>
      <w:r w:rsidR="08C80877">
        <w:lastRenderedPageBreak/>
        <w:t xml:space="preserve">do prvních principů poznání. </w:t>
      </w:r>
      <w:r w:rsidR="08ED0349">
        <w:t xml:space="preserve">Tomuto směru odpovídá v Aristotelově originále důkaz daný matematikou nebo geometrií, protože v něm jsou dány v přímém náhledu první principy těchto věd a definice poznávaných esencí. </w:t>
      </w:r>
      <w:r w:rsidR="08C80877">
        <w:t xml:space="preserve">Poznání přírodních věd se neoplatonsky deduktuje z náhledu čistých forem, místo dedukce ze smyslově vnímané reality. </w:t>
      </w:r>
      <w:r w:rsidR="00F02F7D">
        <w:t xml:space="preserve">Tuto cestu </w:t>
      </w:r>
      <w:r w:rsidR="00293A36" w:rsidRPr="00011BB5">
        <w:rPr>
          <w:i/>
        </w:rPr>
        <w:t>Druhé analytiky</w:t>
      </w:r>
      <w:r w:rsidR="00293A36" w:rsidRPr="00273106">
        <w:t xml:space="preserve"> výslovně odmítají, protože by zničila jednotnou architekturu poznání danou aktualizací poznání od existující první substance. </w:t>
      </w:r>
      <w:r w:rsidR="00736AAE">
        <w:t>Uveďme originální pasáž</w:t>
      </w:r>
      <w:r w:rsidR="00736AAE" w:rsidRPr="00273106">
        <w:t xml:space="preserve"> </w:t>
      </w:r>
      <w:r w:rsidR="00736AAE" w:rsidRPr="00BF42D6">
        <w:rPr>
          <w:i/>
        </w:rPr>
        <w:t>Druhých analytik</w:t>
      </w:r>
      <w:r w:rsidR="00736AAE" w:rsidRPr="00273106">
        <w:t>.</w:t>
      </w:r>
      <w:r w:rsidR="00736AAE">
        <w:t xml:space="preserve"> </w:t>
      </w:r>
    </w:p>
    <w:p w14:paraId="3C5DBACA" w14:textId="7E570634" w:rsidR="00736AAE" w:rsidRDefault="00736AAE" w:rsidP="00736AAE">
      <w:pPr>
        <w:pStyle w:val="Citace"/>
        <w:rPr>
          <w:noProof/>
          <w:lang w:val="cs-CZ"/>
        </w:rPr>
      </w:pPr>
      <w:r w:rsidRPr="00273106">
        <w:rPr>
          <w:noProof/>
        </w:rPr>
        <w:t>„</w:t>
      </w:r>
      <w:r w:rsidR="08573F9E">
        <w:rPr>
          <w:noProof/>
          <w:lang w:val="cs-CZ"/>
        </w:rPr>
        <w:t>Apodiktický d</w:t>
      </w:r>
      <w:r w:rsidR="085737E8">
        <w:rPr>
          <w:noProof/>
          <w:lang w:val="cs-CZ"/>
        </w:rPr>
        <w:t>ůkaz se vztahuje k hyparchickému</w:t>
      </w:r>
      <w:r w:rsidR="08573F9E">
        <w:rPr>
          <w:noProof/>
          <w:lang w:val="cs-CZ"/>
        </w:rPr>
        <w:t xml:space="preserve"> bytí jsoucen (</w:t>
      </w:r>
      <w:r w:rsidR="08573F9E" w:rsidRPr="00273106">
        <w:rPr>
          <w:noProof/>
        </w:rPr>
        <w:t>ἀπόδειξίς ἐστι</w:t>
      </w:r>
      <w:r w:rsidR="08573F9E" w:rsidRPr="08573F9E">
        <w:rPr>
          <w:noProof/>
        </w:rPr>
        <w:t xml:space="preserve"> </w:t>
      </w:r>
      <w:r w:rsidR="08573F9E" w:rsidRPr="00273106">
        <w:rPr>
          <w:noProof/>
        </w:rPr>
        <w:t>τῶν ὅσα ὑπάρχει</w:t>
      </w:r>
      <w:r w:rsidR="08573F9E">
        <w:rPr>
          <w:noProof/>
          <w:lang w:val="cs-CZ"/>
        </w:rPr>
        <w:t xml:space="preserve">), který je dán </w:t>
      </w:r>
      <w:r w:rsidR="004F43AA">
        <w:rPr>
          <w:noProof/>
          <w:lang w:val="cs-CZ"/>
        </w:rPr>
        <w:t xml:space="preserve">těmto jsoucnům </w:t>
      </w:r>
      <w:r w:rsidR="08573F9E">
        <w:rPr>
          <w:noProof/>
          <w:lang w:val="cs-CZ"/>
        </w:rPr>
        <w:t xml:space="preserve">v modu </w:t>
      </w:r>
      <w:r w:rsidR="08573F9E" w:rsidRPr="08573F9E">
        <w:rPr>
          <w:i/>
          <w:noProof/>
          <w:lang w:val="cs-CZ"/>
        </w:rPr>
        <w:t>per se</w:t>
      </w:r>
      <w:r w:rsidR="08573F9E">
        <w:rPr>
          <w:noProof/>
          <w:lang w:val="cs-CZ"/>
        </w:rPr>
        <w:t xml:space="preserve"> (</w:t>
      </w:r>
      <w:r w:rsidRPr="00273106">
        <w:rPr>
          <w:noProof/>
        </w:rPr>
        <w:t xml:space="preserve">καθ' αὑτὰ τοῖς πράγμασιν). </w:t>
      </w:r>
      <w:r w:rsidR="004F43AA">
        <w:rPr>
          <w:noProof/>
          <w:lang w:val="cs-CZ"/>
        </w:rPr>
        <w:t xml:space="preserve">Tato jsoucna </w:t>
      </w:r>
      <w:r w:rsidR="001B6AEC">
        <w:rPr>
          <w:noProof/>
          <w:lang w:val="cs-CZ"/>
        </w:rPr>
        <w:t xml:space="preserve">existující </w:t>
      </w:r>
      <w:r w:rsidR="001B6AEC" w:rsidRPr="001B6AEC">
        <w:rPr>
          <w:i/>
          <w:noProof/>
          <w:lang w:val="cs-CZ"/>
        </w:rPr>
        <w:t>per se</w:t>
      </w:r>
      <w:r w:rsidR="001B6AEC">
        <w:rPr>
          <w:noProof/>
          <w:lang w:val="cs-CZ"/>
        </w:rPr>
        <w:t xml:space="preserve"> </w:t>
      </w:r>
      <w:r w:rsidR="004F43AA">
        <w:rPr>
          <w:noProof/>
          <w:lang w:val="cs-CZ"/>
        </w:rPr>
        <w:t>jsou dána</w:t>
      </w:r>
      <w:r w:rsidR="08573F9E">
        <w:rPr>
          <w:noProof/>
          <w:lang w:val="cs-CZ"/>
        </w:rPr>
        <w:t xml:space="preserve"> dvojím způsobem</w:t>
      </w:r>
      <w:r>
        <w:rPr>
          <w:noProof/>
          <w:lang w:val="cs-CZ"/>
        </w:rPr>
        <w:t xml:space="preserve"> </w:t>
      </w:r>
      <w:r w:rsidRPr="00273106">
        <w:rPr>
          <w:noProof/>
        </w:rPr>
        <w:t>(καθ' αὑτὰ δὲ διττῶς)</w:t>
      </w:r>
      <w:r>
        <w:rPr>
          <w:noProof/>
          <w:lang w:val="cs-CZ"/>
        </w:rPr>
        <w:t xml:space="preserve">. Buď </w:t>
      </w:r>
      <w:r w:rsidR="006240AD">
        <w:rPr>
          <w:noProof/>
          <w:lang w:val="cs-CZ"/>
        </w:rPr>
        <w:t xml:space="preserve">je </w:t>
      </w:r>
      <w:r w:rsidR="004F43AA">
        <w:rPr>
          <w:noProof/>
          <w:lang w:val="cs-CZ"/>
        </w:rPr>
        <w:t xml:space="preserve">hyparchické bytí </w:t>
      </w:r>
      <w:r w:rsidR="006240AD">
        <w:rPr>
          <w:noProof/>
          <w:lang w:val="cs-CZ"/>
        </w:rPr>
        <w:t>je dáno v </w:t>
      </w:r>
      <w:r w:rsidR="085737E8">
        <w:rPr>
          <w:noProof/>
          <w:lang w:val="cs-CZ"/>
        </w:rPr>
        <w:t>hyparchické</w:t>
      </w:r>
      <w:r w:rsidR="006240AD">
        <w:rPr>
          <w:noProof/>
          <w:lang w:val="cs-CZ"/>
        </w:rPr>
        <w:t xml:space="preserve">m bytí </w:t>
      </w:r>
      <w:r w:rsidR="004F43AA">
        <w:rPr>
          <w:noProof/>
          <w:lang w:val="cs-CZ"/>
        </w:rPr>
        <w:t xml:space="preserve">reálného </w:t>
      </w:r>
      <w:r w:rsidR="00B31265">
        <w:rPr>
          <w:noProof/>
          <w:lang w:val="cs-CZ"/>
        </w:rPr>
        <w:t xml:space="preserve">subjektu, který existuje </w:t>
      </w:r>
      <w:r w:rsidR="085737E8" w:rsidRPr="085737E8">
        <w:rPr>
          <w:i/>
          <w:noProof/>
          <w:lang w:val="cs-CZ"/>
        </w:rPr>
        <w:t>per se</w:t>
      </w:r>
      <w:r w:rsidR="085737E8">
        <w:rPr>
          <w:noProof/>
          <w:lang w:val="cs-CZ"/>
        </w:rPr>
        <w:t xml:space="preserve"> </w:t>
      </w:r>
      <w:r w:rsidRPr="00273106">
        <w:rPr>
          <w:noProof/>
        </w:rPr>
        <w:t>(ἐνυπάρχει ἐν τῷ τί ἐστι)</w:t>
      </w:r>
      <w:r w:rsidR="08B01866">
        <w:rPr>
          <w:noProof/>
          <w:lang w:val="cs-CZ"/>
        </w:rPr>
        <w:t xml:space="preserve">; </w:t>
      </w:r>
      <w:r w:rsidR="085737E8">
        <w:rPr>
          <w:noProof/>
          <w:lang w:val="cs-CZ"/>
        </w:rPr>
        <w:t xml:space="preserve">nebo je </w:t>
      </w:r>
      <w:r w:rsidR="00B31265">
        <w:rPr>
          <w:noProof/>
          <w:lang w:val="cs-CZ"/>
        </w:rPr>
        <w:t xml:space="preserve">hyparchické </w:t>
      </w:r>
      <w:r w:rsidR="085737E8">
        <w:rPr>
          <w:noProof/>
          <w:lang w:val="cs-CZ"/>
        </w:rPr>
        <w:t xml:space="preserve">bytí </w:t>
      </w:r>
      <w:r w:rsidR="00B31265">
        <w:rPr>
          <w:noProof/>
          <w:lang w:val="cs-CZ"/>
        </w:rPr>
        <w:t xml:space="preserve">dáno </w:t>
      </w:r>
      <w:r w:rsidR="00161448">
        <w:rPr>
          <w:noProof/>
          <w:lang w:val="cs-CZ"/>
        </w:rPr>
        <w:t xml:space="preserve">jako </w:t>
      </w:r>
      <w:r w:rsidR="00B31265">
        <w:rPr>
          <w:noProof/>
          <w:lang w:val="cs-CZ"/>
        </w:rPr>
        <w:t xml:space="preserve"> univerzální</w:t>
      </w:r>
      <w:r w:rsidR="00E51399">
        <w:rPr>
          <w:noProof/>
          <w:lang w:val="cs-CZ"/>
        </w:rPr>
        <w:t xml:space="preserve"> </w:t>
      </w:r>
      <w:r w:rsidR="00161448">
        <w:rPr>
          <w:noProof/>
          <w:lang w:val="cs-CZ"/>
        </w:rPr>
        <w:t>subjekt</w:t>
      </w:r>
      <w:r w:rsidR="0055400A">
        <w:rPr>
          <w:noProof/>
          <w:lang w:val="cs-CZ"/>
        </w:rPr>
        <w:t>, který existuje</w:t>
      </w:r>
      <w:r w:rsidR="00B31265">
        <w:rPr>
          <w:noProof/>
          <w:lang w:val="cs-CZ"/>
        </w:rPr>
        <w:t xml:space="preserve"> </w:t>
      </w:r>
      <w:r w:rsidR="00B31265" w:rsidRPr="085737E8">
        <w:rPr>
          <w:i/>
          <w:noProof/>
          <w:lang w:val="cs-CZ"/>
        </w:rPr>
        <w:t>per se</w:t>
      </w:r>
      <w:r w:rsidR="00B31265">
        <w:rPr>
          <w:noProof/>
          <w:lang w:val="cs-CZ"/>
        </w:rPr>
        <w:t xml:space="preserve"> </w:t>
      </w:r>
      <w:r w:rsidRPr="00273106">
        <w:rPr>
          <w:noProof/>
        </w:rPr>
        <w:t>(ἐν τῷ τί ἐστιν ὑπάρχουσιν αὐτοῖς)</w:t>
      </w:r>
      <w:r>
        <w:rPr>
          <w:noProof/>
          <w:lang w:val="cs-CZ"/>
        </w:rPr>
        <w:t xml:space="preserve">.“ </w:t>
      </w:r>
      <w:r>
        <w:rPr>
          <w:rStyle w:val="Znakapoznpodarou"/>
          <w:noProof/>
          <w:lang w:val="cs-CZ"/>
        </w:rPr>
        <w:footnoteReference w:id="291"/>
      </w:r>
    </w:p>
    <w:p w14:paraId="62A162A3" w14:textId="77777777" w:rsidR="00473494" w:rsidRDefault="00DD0DBE" w:rsidP="08F97BBD">
      <w:r>
        <w:t xml:space="preserve">Analytický výklad této pasáže založil </w:t>
      </w:r>
      <w:r w:rsidRPr="00273106">
        <w:rPr>
          <w:i/>
        </w:rPr>
        <w:t>Oxfordian Fallacy</w:t>
      </w:r>
      <w:r>
        <w:rPr>
          <w:i/>
        </w:rPr>
        <w:fldChar w:fldCharType="begin"/>
      </w:r>
      <w:r>
        <w:instrText xml:space="preserve"> XE "</w:instrText>
      </w:r>
      <w:r w:rsidRPr="0015798D">
        <w:rPr>
          <w:i/>
        </w:rPr>
        <w:instrText>Oxfordian Fallacy:</w:instrText>
      </w:r>
      <w:r>
        <w:instrText xml:space="preserve">Grosseteste" </w:instrText>
      </w:r>
      <w:r>
        <w:rPr>
          <w:i/>
        </w:rPr>
        <w:fldChar w:fldCharType="end"/>
      </w:r>
      <w:r>
        <w:t xml:space="preserve"> </w:t>
      </w:r>
      <w:r w:rsidRPr="00273106">
        <w:t>a tím i západní objektivitu</w:t>
      </w:r>
      <w:r>
        <w:t xml:space="preserve">. </w:t>
      </w:r>
      <w:r w:rsidR="00736AAE">
        <w:t>Aristoteles</w:t>
      </w:r>
      <w:r w:rsidR="00736AAE" w:rsidRPr="00273106">
        <w:t xml:space="preserve"> v citované části </w:t>
      </w:r>
      <w:r w:rsidR="00736AAE" w:rsidRPr="00A43C42">
        <w:rPr>
          <w:i/>
        </w:rPr>
        <w:t>Analytik</w:t>
      </w:r>
      <w:r w:rsidR="00736AAE">
        <w:t xml:space="preserve"> </w:t>
      </w:r>
      <w:r w:rsidR="08DA34EA">
        <w:t>řeš</w:t>
      </w:r>
      <w:r w:rsidR="08007B02">
        <w:t xml:space="preserve">í dvojí predikaci </w:t>
      </w:r>
      <w:r w:rsidR="08007B02" w:rsidRPr="08007B02">
        <w:rPr>
          <w:i/>
        </w:rPr>
        <w:t>per se</w:t>
      </w:r>
      <w:r w:rsidR="08007B02">
        <w:t xml:space="preserve"> (</w:t>
      </w:r>
      <w:r w:rsidR="08007B02" w:rsidRPr="00273106">
        <w:t>καθ' αὑτὰ δὲ διττῶς</w:t>
      </w:r>
      <w:r w:rsidR="082A01E9">
        <w:t xml:space="preserve">, </w:t>
      </w:r>
      <w:r w:rsidR="082A01E9" w:rsidRPr="082A01E9">
        <w:rPr>
          <w:i/>
        </w:rPr>
        <w:t>Anal</w:t>
      </w:r>
      <w:r w:rsidR="082A01E9">
        <w:t xml:space="preserve">. </w:t>
      </w:r>
      <w:r w:rsidR="082A01E9" w:rsidRPr="082A01E9">
        <w:rPr>
          <w:i/>
        </w:rPr>
        <w:t>Post</w:t>
      </w:r>
      <w:r w:rsidR="082A01E9">
        <w:t>. 84a12</w:t>
      </w:r>
      <w:r w:rsidR="082A01E9">
        <w:fldChar w:fldCharType="begin"/>
      </w:r>
      <w:r w:rsidR="082A01E9">
        <w:instrText xml:space="preserve"> XE "Aristoteles:</w:instrText>
      </w:r>
      <w:r w:rsidR="082A01E9" w:rsidRPr="08221238">
        <w:rPr>
          <w:i/>
        </w:rPr>
        <w:instrText>Anal</w:instrText>
      </w:r>
      <w:r w:rsidR="082A01E9" w:rsidRPr="08221238">
        <w:instrText xml:space="preserve">. </w:instrText>
      </w:r>
      <w:r w:rsidR="082A01E9" w:rsidRPr="08221238">
        <w:rPr>
          <w:i/>
        </w:rPr>
        <w:instrText>Post</w:instrText>
      </w:r>
      <w:r w:rsidR="082A01E9" w:rsidRPr="08221238">
        <w:instrText>. 84a12</w:instrText>
      </w:r>
      <w:r w:rsidR="082A01E9">
        <w:instrText xml:space="preserve">" </w:instrText>
      </w:r>
      <w:r w:rsidR="082A01E9">
        <w:fldChar w:fldCharType="end"/>
      </w:r>
      <w:r w:rsidR="08007B02">
        <w:t>) dano</w:t>
      </w:r>
      <w:r w:rsidR="087161CE">
        <w:t xml:space="preserve">u jinak v modu </w:t>
      </w:r>
      <w:r w:rsidR="08ED38CC">
        <w:t xml:space="preserve">logické </w:t>
      </w:r>
      <w:r w:rsidR="087161CE">
        <w:t>abstrakce</w:t>
      </w:r>
      <w:r w:rsidR="08007B02">
        <w:t xml:space="preserve"> a jinak v modu metafyzické abstrakce. Matematická entita </w:t>
      </w:r>
      <w:r w:rsidR="08ED38CC">
        <w:t xml:space="preserve">nebo abstrahovaná esence (např. geometrická definice trojúhelníka) </w:t>
      </w:r>
      <w:r w:rsidR="08007B02">
        <w:t xml:space="preserve">je dána v modu </w:t>
      </w:r>
      <w:r w:rsidR="08007B02" w:rsidRPr="08007B02">
        <w:rPr>
          <w:i/>
        </w:rPr>
        <w:t>per se</w:t>
      </w:r>
      <w:r w:rsidR="08CF2EFE">
        <w:t xml:space="preserve"> jinak než hyparchická první substance. </w:t>
      </w:r>
      <w:r w:rsidR="003C3BD4" w:rsidRPr="003C3BD4">
        <w:t>Hyparch</w:t>
      </w:r>
      <w:r w:rsidR="003C3BD4">
        <w:t xml:space="preserve">ické bytí </w:t>
      </w:r>
      <w:r w:rsidR="003C3BD4" w:rsidRPr="003C3BD4">
        <w:rPr>
          <w:i/>
        </w:rPr>
        <w:t>simpliciter</w:t>
      </w:r>
      <w:r w:rsidR="003C3BD4" w:rsidRPr="003C3BD4">
        <w:t xml:space="preserve"> daného </w:t>
      </w:r>
      <w:r w:rsidR="00380752">
        <w:t xml:space="preserve">logického </w:t>
      </w:r>
      <w:r w:rsidR="003C3BD4" w:rsidRPr="003C3BD4">
        <w:t xml:space="preserve">jsoucna existuje přímo </w:t>
      </w:r>
      <w:r w:rsidR="00123E55" w:rsidRPr="00123E55">
        <w:rPr>
          <w:i/>
        </w:rPr>
        <w:t>per se</w:t>
      </w:r>
      <w:r w:rsidR="00123E55">
        <w:t xml:space="preserve"> (</w:t>
      </w:r>
      <w:r w:rsidR="003C3BD4" w:rsidRPr="003C3BD4">
        <w:t>ἐν τῷ τί ἐ</w:t>
      </w:r>
      <w:r w:rsidR="00062F34">
        <w:t>στιν). A</w:t>
      </w:r>
      <w:r w:rsidR="00380752">
        <w:t>l</w:t>
      </w:r>
      <w:r w:rsidR="003C3BD4" w:rsidRPr="003C3BD4">
        <w:t xml:space="preserve">e </w:t>
      </w:r>
      <w:r w:rsidR="00062F34">
        <w:t xml:space="preserve">tato </w:t>
      </w:r>
      <w:r w:rsidR="003C3BD4" w:rsidRPr="003C3BD4">
        <w:t xml:space="preserve">hyparchická existence vyžaduje další subjekt, který </w:t>
      </w:r>
      <w:r w:rsidR="003C3BD4">
        <w:t xml:space="preserve">je s </w:t>
      </w:r>
      <w:r w:rsidR="003C3BD4" w:rsidRPr="003C3BD4">
        <w:t xml:space="preserve">hyparchickým jsoucnem </w:t>
      </w:r>
      <w:r w:rsidR="003C3BD4">
        <w:t>spojen j</w:t>
      </w:r>
      <w:r w:rsidR="003C3BD4" w:rsidRPr="003C3BD4">
        <w:t xml:space="preserve">ako jeho nositel (ὑπάρχουσιν αὐτοῖς). Akt </w:t>
      </w:r>
      <w:r w:rsidR="003C3BD4">
        <w:t xml:space="preserve">donace </w:t>
      </w:r>
      <w:r w:rsidR="003C3BD4" w:rsidRPr="003C3BD4">
        <w:t xml:space="preserve">takového hyparchického jsoucna (τί ἐστιν) pochází od jiného subjektu stejné univerzální povahy. Takové hyparchické jsoucno může existovat pouze v intelektu (ἐν τῷ). Intelekt je nehmotný subjekt, </w:t>
      </w:r>
      <w:r w:rsidR="003C3BD4">
        <w:t>který má svou vlastní aktualitu</w:t>
      </w:r>
      <w:r w:rsidR="003C3BD4" w:rsidRPr="003C3BD4">
        <w:t xml:space="preserve"> jako první substance (Averroesův </w:t>
      </w:r>
      <w:r w:rsidR="003C3BD4" w:rsidRPr="003C3BD4">
        <w:rPr>
          <w:i/>
        </w:rPr>
        <w:t>tertium genus</w:t>
      </w:r>
      <w:r w:rsidR="003C3BD4" w:rsidRPr="003C3BD4">
        <w:t xml:space="preserve">) a může nehmotné hyparchické jsoucno </w:t>
      </w:r>
      <w:r w:rsidR="003C3BD4">
        <w:t xml:space="preserve">založit aktem metafyzické donace </w:t>
      </w:r>
      <w:r w:rsidR="003C3BD4" w:rsidRPr="003C3BD4">
        <w:t>(τί ἐστιν). Metafyzický dativ pochází z lidského intelektu</w:t>
      </w:r>
      <w:r w:rsidR="00FA0890">
        <w:t xml:space="preserve"> jako</w:t>
      </w:r>
      <w:r w:rsidR="003C3BD4">
        <w:t xml:space="preserve"> původního subjektu</w:t>
      </w:r>
      <w:r w:rsidR="00FA0890">
        <w:t xml:space="preserve">, který nese základní </w:t>
      </w:r>
      <w:r w:rsidR="00FA0890" w:rsidRPr="00FA0890">
        <w:rPr>
          <w:i/>
        </w:rPr>
        <w:t>actus essendi</w:t>
      </w:r>
      <w:r w:rsidR="00FA0890">
        <w:t xml:space="preserve"> (</w:t>
      </w:r>
      <w:r w:rsidR="00FA0890" w:rsidRPr="00551086">
        <w:rPr>
          <w:szCs w:val="24"/>
          <w:lang w:val="de-DE"/>
        </w:rPr>
        <w:t>ὑπάρχουσιν αὐτοῖς</w:t>
      </w:r>
      <w:r w:rsidR="00FA0890">
        <w:t>).</w:t>
      </w:r>
      <w:r w:rsidR="003C3BD4">
        <w:t xml:space="preserve"> Tato </w:t>
      </w:r>
      <w:r w:rsidR="003C3BD4" w:rsidRPr="003C3BD4">
        <w:t xml:space="preserve">hyparchická predikace </w:t>
      </w:r>
      <w:r w:rsidR="00FA0890">
        <w:t xml:space="preserve">definuje univerzální </w:t>
      </w:r>
      <w:r w:rsidR="003C3BD4" w:rsidRPr="003C3BD4">
        <w:t>esenci v modu logické abstrakce.</w:t>
      </w:r>
      <w:r w:rsidR="00062F34">
        <w:t xml:space="preserve"> </w:t>
      </w:r>
      <w:r w:rsidR="00BC5E00">
        <w:t xml:space="preserve">Logická forma jako univerzální význam má hyparchickou existenci sama v sobě, protože myšlený obsah existuje </w:t>
      </w:r>
      <w:r w:rsidR="00BC5E00" w:rsidRPr="00BC5E00">
        <w:rPr>
          <w:i/>
        </w:rPr>
        <w:t>per se</w:t>
      </w:r>
      <w:r w:rsidR="00BC5E00">
        <w:t xml:space="preserve"> v momentu jeho intelektuální reflexe</w:t>
      </w:r>
      <w:r w:rsidR="00D45ADD">
        <w:t xml:space="preserve">, </w:t>
      </w:r>
      <w:r w:rsidR="00D45ADD">
        <w:lastRenderedPageBreak/>
        <w:t>přesně podle výroku Descarta (</w:t>
      </w:r>
      <w:r w:rsidR="00D45ADD" w:rsidRPr="00D45ADD">
        <w:rPr>
          <w:i/>
        </w:rPr>
        <w:t>cogito ergo sum</w:t>
      </w:r>
      <w:r w:rsidR="00D45ADD">
        <w:t>)</w:t>
      </w:r>
      <w:r w:rsidR="00BC5E00">
        <w:t xml:space="preserve">. Takto </w:t>
      </w:r>
      <w:r w:rsidR="08CD1351">
        <w:t xml:space="preserve">je predikována pouze esence, </w:t>
      </w:r>
      <w:r w:rsidR="08142D6C">
        <w:t xml:space="preserve">která existuje </w:t>
      </w:r>
      <w:r w:rsidR="00736AAE" w:rsidRPr="00273106">
        <w:t>mimo první substanci</w:t>
      </w:r>
      <w:r w:rsidR="087161CE">
        <w:t xml:space="preserve"> danou reálně</w:t>
      </w:r>
      <w:r w:rsidR="00473494">
        <w:t>.</w:t>
      </w:r>
    </w:p>
    <w:p w14:paraId="11C0C617" w14:textId="4B5EF61D" w:rsidR="0072387C" w:rsidRDefault="08F75AC8" w:rsidP="0032352D">
      <w:pPr>
        <w:ind w:firstLine="397"/>
        <w:rPr>
          <w:szCs w:val="24"/>
        </w:rPr>
      </w:pPr>
      <w:r>
        <w:t>K</w:t>
      </w:r>
      <w:r w:rsidR="00A43C42" w:rsidRPr="00273106">
        <w:t>ategoriální poznání reálných substa</w:t>
      </w:r>
      <w:r>
        <w:t xml:space="preserve">ncí nemůže být </w:t>
      </w:r>
      <w:r w:rsidR="00A43C42" w:rsidRPr="00273106">
        <w:t>stejné jako abstraktní poznání obecnin</w:t>
      </w:r>
      <w:r w:rsidR="082769F9">
        <w:t xml:space="preserve"> daných esenciálně v mysli</w:t>
      </w:r>
      <w:r w:rsidR="00A43C42">
        <w:t xml:space="preserve">. </w:t>
      </w:r>
      <w:r w:rsidR="08007B02">
        <w:t xml:space="preserve">Reálné první substance existují v modu </w:t>
      </w:r>
      <w:r w:rsidR="08007B02" w:rsidRPr="08007B02">
        <w:rPr>
          <w:i/>
        </w:rPr>
        <w:t>per se</w:t>
      </w:r>
      <w:r w:rsidR="08007B02">
        <w:t xml:space="preserve"> mimo nás (</w:t>
      </w:r>
      <w:r w:rsidR="08007B02" w:rsidRPr="00273106">
        <w:t>τί ἐ</w:t>
      </w:r>
      <w:r w:rsidR="08007B02">
        <w:t>στιν</w:t>
      </w:r>
      <w:r w:rsidR="08CD1351" w:rsidRPr="08CD1351">
        <w:t xml:space="preserve"> </w:t>
      </w:r>
      <w:r w:rsidR="08CD1351" w:rsidRPr="00273106">
        <w:t>ὑπάρχουσιν</w:t>
      </w:r>
      <w:r w:rsidR="08007B02">
        <w:t>)</w:t>
      </w:r>
      <w:r w:rsidR="00564FD8">
        <w:t>. J</w:t>
      </w:r>
      <w:r>
        <w:t xml:space="preserve">ejich </w:t>
      </w:r>
      <w:r w:rsidR="00564FD8">
        <w:t xml:space="preserve">hyparchické bytí je v nás dáno </w:t>
      </w:r>
      <w:r w:rsidR="080545A4">
        <w:t xml:space="preserve">také </w:t>
      </w:r>
      <w:r>
        <w:t>univerzálně</w:t>
      </w:r>
      <w:r w:rsidR="080545A4">
        <w:t>, ale jiným způsobem</w:t>
      </w:r>
      <w:r w:rsidR="08BA2AFD">
        <w:t xml:space="preserve"> než </w:t>
      </w:r>
      <w:r w:rsidR="00564FD8">
        <w:t>existence logických</w:t>
      </w:r>
      <w:r w:rsidR="08BA2AFD">
        <w:t xml:space="preserve"> esencí</w:t>
      </w:r>
      <w:r w:rsidR="08007B02">
        <w:t xml:space="preserve">. </w:t>
      </w:r>
      <w:r w:rsidR="00062F34">
        <w:t xml:space="preserve">Metafyzická </w:t>
      </w:r>
      <w:r w:rsidR="080545A4">
        <w:t xml:space="preserve">predikace </w:t>
      </w:r>
      <w:r w:rsidR="00062F34">
        <w:t xml:space="preserve">je dána v univerzálním modu </w:t>
      </w:r>
      <w:r w:rsidR="00062F34" w:rsidRPr="087D4D05">
        <w:rPr>
          <w:i/>
        </w:rPr>
        <w:t>ex</w:t>
      </w:r>
      <w:r w:rsidR="00062F34">
        <w:t xml:space="preserve"> </w:t>
      </w:r>
      <w:r w:rsidR="00062F34">
        <w:rPr>
          <w:i/>
        </w:rPr>
        <w:t>in</w:t>
      </w:r>
      <w:r w:rsidR="00062F34" w:rsidRPr="08007B02">
        <w:rPr>
          <w:i/>
        </w:rPr>
        <w:t>mediat</w:t>
      </w:r>
      <w:r w:rsidR="00062F34">
        <w:rPr>
          <w:i/>
        </w:rPr>
        <w:t>is</w:t>
      </w:r>
      <w:r w:rsidR="00062F34">
        <w:t xml:space="preserve">, který se váže na </w:t>
      </w:r>
      <w:r w:rsidR="00062F34">
        <w:rPr>
          <w:i/>
        </w:rPr>
        <w:t>actus e</w:t>
      </w:r>
      <w:r w:rsidR="00062F34" w:rsidRPr="00062F34">
        <w:rPr>
          <w:i/>
        </w:rPr>
        <w:t>ssendi</w:t>
      </w:r>
      <w:r w:rsidR="00062F34">
        <w:t xml:space="preserve"> reálné hyparchické substance </w:t>
      </w:r>
      <w:r w:rsidR="00062F34" w:rsidRPr="00062F34">
        <w:t>(ἐνυπάρχει ἐν τῷ τί ἐστι).</w:t>
      </w:r>
      <w:r w:rsidR="00062F34">
        <w:t xml:space="preserve"> </w:t>
      </w:r>
      <w:r w:rsidR="008731A1" w:rsidRPr="008731A1">
        <w:t>Sekundární univerzální význam je dán vzhledem k primárnímu bytí první substance, která existuje sama o sobě v</w:t>
      </w:r>
      <w:r w:rsidR="008731A1">
        <w:t xml:space="preserve"> realitě</w:t>
      </w:r>
      <w:r w:rsidR="008731A1" w:rsidRPr="008731A1">
        <w:t xml:space="preserve">. Z toho vyplývá druhá forma vědecké predikace </w:t>
      </w:r>
      <w:r w:rsidR="008731A1">
        <w:t xml:space="preserve">dané </w:t>
      </w:r>
      <w:r w:rsidR="008731A1" w:rsidRPr="008731A1">
        <w:t xml:space="preserve">s ohledem na reálně existující věci. V tomto případě predikujeme univerzální význam </w:t>
      </w:r>
      <w:r w:rsidR="008731A1" w:rsidRPr="008731A1">
        <w:rPr>
          <w:i/>
        </w:rPr>
        <w:t>per se</w:t>
      </w:r>
      <w:r w:rsidR="008731A1">
        <w:t>, který je v „tomto reálném jsoucnu“</w:t>
      </w:r>
      <w:r w:rsidR="008731A1" w:rsidRPr="008731A1">
        <w:t xml:space="preserve"> (ἐν τῷ). Jeho hyparchické bytí zahrnuje univerzální význam (ὑπάρχουσιν αὐτοῖς), ale není totožné s</w:t>
      </w:r>
      <w:r w:rsidR="00DE465C">
        <w:t xml:space="preserve"> tímto </w:t>
      </w:r>
      <w:r w:rsidR="008731A1" w:rsidRPr="008731A1">
        <w:t xml:space="preserve">univerzálním významem. Sekundární vznik významu </w:t>
      </w:r>
      <w:r w:rsidR="008E589A">
        <w:t xml:space="preserve">vzhledem k realitě </w:t>
      </w:r>
      <w:r w:rsidR="008731A1" w:rsidRPr="008731A1">
        <w:t>není totožný s primárním vznikem významu</w:t>
      </w:r>
      <w:r w:rsidR="008E589A">
        <w:t xml:space="preserve"> v mysli</w:t>
      </w:r>
      <w:r w:rsidR="008731A1" w:rsidRPr="008731A1">
        <w:t xml:space="preserve">, proto existují dva významy hyparchického bytí (καθ' αὑτὰ δὲ διττῶς). </w:t>
      </w:r>
      <w:r w:rsidR="00DE465C">
        <w:t xml:space="preserve">Impozice </w:t>
      </w:r>
      <w:r w:rsidR="008731A1" w:rsidRPr="008731A1">
        <w:t xml:space="preserve">významu </w:t>
      </w:r>
      <w:r w:rsidR="00DE465C">
        <w:t>z hyparchické první substance je nutná</w:t>
      </w:r>
      <w:r w:rsidR="008731A1" w:rsidRPr="008731A1">
        <w:t xml:space="preserve">, abychom dospěli k univerzálnímu pojmu danému </w:t>
      </w:r>
      <w:r w:rsidR="008731A1" w:rsidRPr="00DE465C">
        <w:rPr>
          <w:i/>
        </w:rPr>
        <w:t>per se</w:t>
      </w:r>
      <w:r w:rsidR="008731A1" w:rsidRPr="008731A1">
        <w:t>.</w:t>
      </w:r>
      <w:r w:rsidR="00DE465C">
        <w:t xml:space="preserve"> </w:t>
      </w:r>
      <w:r w:rsidR="08DF1CCF">
        <w:t>M</w:t>
      </w:r>
      <w:r w:rsidR="08500624">
        <w:t xml:space="preserve">etafyzické </w:t>
      </w:r>
      <w:r w:rsidR="08C600F7">
        <w:t xml:space="preserve">poznání a predikaci řídí </w:t>
      </w:r>
      <w:r w:rsidR="082E1406">
        <w:t>reálná</w:t>
      </w:r>
      <w:r w:rsidR="082F2344">
        <w:t xml:space="preserve"> existenc</w:t>
      </w:r>
      <w:r w:rsidR="082E1406">
        <w:t>e</w:t>
      </w:r>
      <w:r w:rsidR="082F2344">
        <w:t xml:space="preserve"> první substance</w:t>
      </w:r>
      <w:r w:rsidR="08DF1CCF">
        <w:t xml:space="preserve"> </w:t>
      </w:r>
      <w:r w:rsidR="08DF1CCF" w:rsidRPr="00EE2B8E">
        <w:rPr>
          <w:szCs w:val="24"/>
        </w:rPr>
        <w:t>(</w:t>
      </w:r>
      <w:r w:rsidR="00F64A9D" w:rsidRPr="00273106">
        <w:t>ἐνυπάρχει ἐν τῷ τί ἐστι</w:t>
      </w:r>
      <w:r w:rsidR="08DF1CCF">
        <w:rPr>
          <w:szCs w:val="24"/>
        </w:rPr>
        <w:t>)</w:t>
      </w:r>
      <w:r w:rsidR="08AD410B">
        <w:t xml:space="preserve">, a ne parousie </w:t>
      </w:r>
      <w:r w:rsidR="082F2344">
        <w:t xml:space="preserve">esenciálního významu </w:t>
      </w:r>
      <w:r w:rsidR="08AD410B">
        <w:t>daná v</w:t>
      </w:r>
      <w:r w:rsidR="001C2A57">
        <w:t> </w:t>
      </w:r>
      <w:r w:rsidR="08AD410B">
        <w:t>mysli</w:t>
      </w:r>
      <w:r w:rsidR="001C2A57">
        <w:t>. Ta</w:t>
      </w:r>
      <w:r w:rsidR="00C746F6">
        <w:t>to parousie</w:t>
      </w:r>
      <w:r w:rsidR="001C2A57">
        <w:t xml:space="preserve"> potřebuje pro svou existenci další substrát, což je tě</w:t>
      </w:r>
      <w:r w:rsidR="00C746F6">
        <w:t>lesn</w:t>
      </w:r>
      <w:r w:rsidR="001C2A57">
        <w:t xml:space="preserve">á existence </w:t>
      </w:r>
      <w:r w:rsidR="004D3C0D">
        <w:t xml:space="preserve">osoby </w:t>
      </w:r>
      <w:r w:rsidR="085E6D9B">
        <w:t>(</w:t>
      </w:r>
      <w:r w:rsidR="00F64A9D" w:rsidRPr="00273106">
        <w:t>ἐν τῷ τί ἐστιν ὑπάρχουσιν αὐτοῖς</w:t>
      </w:r>
      <w:r w:rsidR="085E6D9B">
        <w:t>)</w:t>
      </w:r>
      <w:r w:rsidR="08C600F7">
        <w:t xml:space="preserve">. </w:t>
      </w:r>
      <w:r w:rsidR="0837015A">
        <w:t xml:space="preserve">Výsledkem je jiný postup vědecké dedukce a důkazu v případě reálného zatmění slunce a v případě důkazu matematiky nebo geometrie. </w:t>
      </w:r>
      <w:r w:rsidR="086F57E4">
        <w:t xml:space="preserve">V přírodě nejprve dojde k zatmění slunce, to vnímáme našimi smysly a teprve pak tvoříme univerzální vědění. Nutnost je dána </w:t>
      </w:r>
      <w:r w:rsidR="08AD4199">
        <w:t>reálně-</w:t>
      </w:r>
      <w:r w:rsidR="086F57E4">
        <w:t xml:space="preserve">kauzálně a </w:t>
      </w:r>
      <w:r w:rsidR="08AD4199">
        <w:t xml:space="preserve">proto existuje </w:t>
      </w:r>
      <w:r w:rsidR="08B30996">
        <w:t xml:space="preserve">přímo ve </w:t>
      </w:r>
      <w:r w:rsidR="086F57E4">
        <w:t xml:space="preserve">věcech </w:t>
      </w:r>
      <w:r w:rsidR="086F57E4" w:rsidRPr="086F57E4">
        <w:rPr>
          <w:szCs w:val="24"/>
        </w:rPr>
        <w:t>(</w:t>
      </w:r>
      <w:r w:rsidR="086F57E4" w:rsidRPr="00323D9F">
        <w:t>ἐνυπάρχει ἐν τῷ τί ἐστι</w:t>
      </w:r>
      <w:r w:rsidR="0072387C">
        <w:rPr>
          <w:szCs w:val="24"/>
        </w:rPr>
        <w:t>).</w:t>
      </w:r>
    </w:p>
    <w:p w14:paraId="72D3A5AE" w14:textId="5DFA5480" w:rsidR="083071A5" w:rsidRDefault="08BB2B6F" w:rsidP="0032352D">
      <w:pPr>
        <w:ind w:firstLine="397"/>
      </w:pPr>
      <w:r>
        <w:t xml:space="preserve">Zásadní význam pro následný </w:t>
      </w:r>
      <w:r w:rsidRPr="0849057F">
        <w:rPr>
          <w:i/>
        </w:rPr>
        <w:t>Irrtum</w:t>
      </w:r>
      <w:r>
        <w:t xml:space="preserve"> analytické filosofie hraje určení </w:t>
      </w:r>
      <w:r w:rsidR="004F7F9B">
        <w:t>„</w:t>
      </w:r>
      <w:r w:rsidRPr="00273106">
        <w:t>ἐν τῷ</w:t>
      </w:r>
      <w:r w:rsidR="004F7F9B">
        <w:t>“</w:t>
      </w:r>
      <w:r>
        <w:t xml:space="preserve"> napojené na metafyzickou determinaci </w:t>
      </w:r>
      <w:r w:rsidR="004F7F9B">
        <w:t>„</w:t>
      </w:r>
      <w:r w:rsidRPr="00273106">
        <w:t>αὐτοῖς</w:t>
      </w:r>
      <w:r w:rsidR="004F7F9B">
        <w:t>“</w:t>
      </w:r>
      <w:r>
        <w:t xml:space="preserve"> (</w:t>
      </w:r>
      <w:r w:rsidRPr="00273106">
        <w:rPr>
          <w:i/>
        </w:rPr>
        <w:t>Anal. Post</w:t>
      </w:r>
      <w:r>
        <w:t>. 84a12</w:t>
      </w:r>
      <w:r>
        <w:fldChar w:fldCharType="begin"/>
      </w:r>
      <w:r>
        <w:instrText xml:space="preserve"> XE "Aristoteles:</w:instrText>
      </w:r>
      <w:r w:rsidRPr="088C0C39">
        <w:rPr>
          <w:i/>
        </w:rPr>
        <w:instrText>Anal. Post</w:instrText>
      </w:r>
      <w:r w:rsidRPr="088C0C39">
        <w:instrText>. 84a12</w:instrText>
      </w:r>
      <w:r>
        <w:instrText xml:space="preserve">" </w:instrText>
      </w:r>
      <w:r>
        <w:fldChar w:fldCharType="end"/>
      </w:r>
      <w:r>
        <w:t xml:space="preserve">). </w:t>
      </w:r>
      <w:r w:rsidR="08431742">
        <w:t>Následuj</w:t>
      </w:r>
      <w:r w:rsidR="08E005CC">
        <w:t>í</w:t>
      </w:r>
      <w:r w:rsidR="08431742">
        <w:t xml:space="preserve">cí věta </w:t>
      </w:r>
      <w:r w:rsidR="08D03259">
        <w:t>říká, že první typ p</w:t>
      </w:r>
      <w:r>
        <w:t xml:space="preserve">redikace se vztahuje k potenciální logické esenci </w:t>
      </w:r>
      <w:r w:rsidR="00F64A9D" w:rsidRPr="00273106">
        <w:t>(ἐν τῷ τί ἐστιν ὑπάρχουσιν αὐτοῖς</w:t>
      </w:r>
      <w:r w:rsidR="00F64A9D">
        <w:t>, 84a14</w:t>
      </w:r>
      <w:r w:rsidR="00F64A9D">
        <w:fldChar w:fldCharType="begin"/>
      </w:r>
      <w:r w:rsidR="00F64A9D">
        <w:instrText xml:space="preserve"> XE "Aristoteles:</w:instrText>
      </w:r>
      <w:r w:rsidR="00F64A9D" w:rsidRPr="088C0C39">
        <w:rPr>
          <w:i/>
        </w:rPr>
        <w:instrText>Anal. Post</w:instrText>
      </w:r>
      <w:r w:rsidR="00F64A9D">
        <w:instrText xml:space="preserve">. 84a14" </w:instrText>
      </w:r>
      <w:r w:rsidR="00F64A9D">
        <w:fldChar w:fldCharType="end"/>
      </w:r>
      <w:r w:rsidR="00F64A9D" w:rsidRPr="00273106">
        <w:t>)</w:t>
      </w:r>
      <w:r w:rsidR="00227CD0">
        <w:t xml:space="preserve">. </w:t>
      </w:r>
      <w:r w:rsidR="00227CD0" w:rsidRPr="00227CD0">
        <w:t xml:space="preserve">Je zásadní chybou klást tento druh esenciální parousie, učiněné </w:t>
      </w:r>
      <w:r w:rsidR="00227CD0">
        <w:t xml:space="preserve">v mysli </w:t>
      </w:r>
      <w:r w:rsidR="00227CD0" w:rsidRPr="00227CD0">
        <w:t xml:space="preserve">a </w:t>
      </w:r>
      <w:r w:rsidR="00227CD0">
        <w:t xml:space="preserve">skrze </w:t>
      </w:r>
      <w:r w:rsidR="00227CD0" w:rsidRPr="00227CD0">
        <w:t xml:space="preserve">logickou </w:t>
      </w:r>
      <w:r w:rsidR="00227CD0">
        <w:t>supozici</w:t>
      </w:r>
      <w:r w:rsidR="00227CD0" w:rsidRPr="00227CD0">
        <w:t>, na stejnou úroveň jako význam existujících věcí učině</w:t>
      </w:r>
      <w:r w:rsidR="00227CD0">
        <w:t xml:space="preserve">ný metafyzickou impozicí </w:t>
      </w:r>
      <w:r w:rsidR="08223732" w:rsidRPr="00273106">
        <w:t>(ἐνυπάρχει ἐν τῷ τί ἐστι</w:t>
      </w:r>
      <w:r w:rsidR="08D03259">
        <w:t xml:space="preserve">, </w:t>
      </w:r>
      <w:r w:rsidR="08431742">
        <w:t>84a</w:t>
      </w:r>
      <w:r w:rsidR="08D03259">
        <w:t>13</w:t>
      </w:r>
      <w:r w:rsidR="08431742">
        <w:fldChar w:fldCharType="begin"/>
      </w:r>
      <w:r w:rsidR="08431742">
        <w:instrText xml:space="preserve"> XE "Aristoteles:</w:instrText>
      </w:r>
      <w:r w:rsidR="08431742" w:rsidRPr="088C0C39">
        <w:rPr>
          <w:i/>
        </w:rPr>
        <w:instrText>Anal. Post</w:instrText>
      </w:r>
      <w:r w:rsidR="08431742">
        <w:instrText xml:space="preserve">. 84a13" </w:instrText>
      </w:r>
      <w:r w:rsidR="08431742">
        <w:fldChar w:fldCharType="end"/>
      </w:r>
      <w:r w:rsidR="08223732" w:rsidRPr="00273106">
        <w:t>)</w:t>
      </w:r>
      <w:r w:rsidR="08431742">
        <w:t xml:space="preserve">. </w:t>
      </w:r>
      <w:r w:rsidR="00451291">
        <w:t>Správně vytvořený vědecký důkaz má jít od „</w:t>
      </w:r>
      <w:r w:rsidR="00451291" w:rsidRPr="00273106">
        <w:t>ἐνυπάρχει ἐν τῷ</w:t>
      </w:r>
      <w:r w:rsidR="00451291">
        <w:t>“ (a13) směrem k „</w:t>
      </w:r>
      <w:r w:rsidR="00451291" w:rsidRPr="00273106">
        <w:t>ὑπάρχουσιν αὐτοῖς</w:t>
      </w:r>
      <w:r w:rsidR="00451291">
        <w:t xml:space="preserve">“ (a14). Pak je </w:t>
      </w:r>
      <w:r w:rsidR="08D03259">
        <w:t xml:space="preserve">definována </w:t>
      </w:r>
      <w:r w:rsidR="08431742">
        <w:t xml:space="preserve">univoční kategoriální </w:t>
      </w:r>
      <w:r w:rsidR="08D03259">
        <w:t xml:space="preserve">predikace daná podle </w:t>
      </w:r>
      <w:r w:rsidR="08431742">
        <w:t xml:space="preserve">hyparchické </w:t>
      </w:r>
      <w:r w:rsidR="08085465">
        <w:t xml:space="preserve">existence první substance </w:t>
      </w:r>
      <w:r>
        <w:t xml:space="preserve">v realitě. </w:t>
      </w:r>
      <w:r w:rsidR="0032352D">
        <w:lastRenderedPageBreak/>
        <w:t xml:space="preserve">Aristoteles sleduje základní argumentaci spisu </w:t>
      </w:r>
      <w:r w:rsidR="0032352D" w:rsidRPr="00273106">
        <w:rPr>
          <w:i/>
        </w:rPr>
        <w:t>Cat</w:t>
      </w:r>
      <w:r w:rsidR="0032352D">
        <w:t>. 2a14–15</w:t>
      </w:r>
      <w:r w:rsidR="0032352D">
        <w:rPr>
          <w:lang w:eastAsia="en-US"/>
        </w:rPr>
        <w:fldChar w:fldCharType="begin"/>
      </w:r>
      <w:r w:rsidR="0032352D">
        <w:instrText xml:space="preserve"> XE "Aristoteles:</w:instrText>
      </w:r>
      <w:r w:rsidR="0032352D" w:rsidRPr="00273106">
        <w:rPr>
          <w:i/>
          <w:lang w:eastAsia="en-US"/>
        </w:rPr>
        <w:instrText>Cat</w:instrText>
      </w:r>
      <w:r w:rsidR="0032352D" w:rsidRPr="00273106">
        <w:rPr>
          <w:lang w:eastAsia="en-US"/>
        </w:rPr>
        <w:instrText xml:space="preserve">. </w:instrText>
      </w:r>
      <w:r w:rsidR="0032352D">
        <w:instrText xml:space="preserve">2a14–15" </w:instrText>
      </w:r>
      <w:r w:rsidR="0032352D">
        <w:rPr>
          <w:lang w:eastAsia="en-US"/>
        </w:rPr>
        <w:fldChar w:fldCharType="end"/>
      </w:r>
      <w:r w:rsidR="0032352D">
        <w:t xml:space="preserve">, kde druhé substance univočně a kategoriálně vypovídají o prvních substancích </w:t>
      </w:r>
      <w:r w:rsidR="0032352D" w:rsidRPr="00273106">
        <w:t>(πρώτως οὐσίαι λεγόμεναι ὑ</w:t>
      </w:r>
      <w:r w:rsidR="0032352D">
        <w:t xml:space="preserve">πάρχουσιν; OBJ I, kap. 1.3). Metafyzická predikace respektuje donaci jsoucna z reality, protože reálné bytí kauzálně a proto adekvátně určuje pravdivé myšlení. </w:t>
      </w:r>
      <w:r w:rsidR="08C95A63">
        <w:t xml:space="preserve">Archaická hermeneutika v modu </w:t>
      </w:r>
      <w:r w:rsidR="08C95A63" w:rsidRPr="08E005CC">
        <w:rPr>
          <w:i/>
        </w:rPr>
        <w:t>a/léth</w:t>
      </w:r>
      <w:r w:rsidR="005B34DF">
        <w:rPr>
          <w:i/>
        </w:rPr>
        <w:t>e</w:t>
      </w:r>
      <w:r w:rsidR="08C95A63" w:rsidRPr="08E005CC">
        <w:rPr>
          <w:i/>
        </w:rPr>
        <w:t>ia</w:t>
      </w:r>
      <w:r w:rsidR="08C95A63">
        <w:t xml:space="preserve"> klade do tohoto dvojího </w:t>
      </w:r>
      <w:r w:rsidR="08106917">
        <w:t xml:space="preserve">univerzálního </w:t>
      </w:r>
      <w:r w:rsidR="08C95A63">
        <w:t>určení esence (</w:t>
      </w:r>
      <w:r w:rsidR="08C95A63" w:rsidRPr="00273106">
        <w:t>ἐν τῷ τί ἐστι</w:t>
      </w:r>
      <w:r w:rsidR="08C95A63">
        <w:t>/</w:t>
      </w:r>
      <w:r w:rsidR="08C95A63" w:rsidRPr="00273106">
        <w:t>ν</w:t>
      </w:r>
      <w:r w:rsidR="08C95A63">
        <w:t>)</w:t>
      </w:r>
      <w:r w:rsidR="08C95A63" w:rsidRPr="00273106">
        <w:t xml:space="preserve"> </w:t>
      </w:r>
      <w:r w:rsidR="08C95A63">
        <w:t xml:space="preserve">vznik moderní objektivity v modu </w:t>
      </w:r>
      <w:r w:rsidR="08585887">
        <w:t>tzv. „</w:t>
      </w:r>
      <w:r w:rsidR="08C95A63">
        <w:t>objektivního dativu</w:t>
      </w:r>
      <w:r w:rsidR="08585887">
        <w:t>“</w:t>
      </w:r>
      <w:r w:rsidR="08C95A63">
        <w:t xml:space="preserve"> (</w:t>
      </w:r>
      <w:r w:rsidR="00945956" w:rsidRPr="000D5B01">
        <w:rPr>
          <w:i/>
          <w:lang w:eastAsia="en-US"/>
        </w:rPr>
        <w:t>dativus obiectivus</w:t>
      </w:r>
      <w:r w:rsidR="00945956">
        <w:rPr>
          <w:i/>
          <w:lang w:eastAsia="en-US"/>
        </w:rPr>
        <w:fldChar w:fldCharType="begin"/>
      </w:r>
      <w:r w:rsidR="00945956">
        <w:instrText xml:space="preserve"> XE "</w:instrText>
      </w:r>
      <w:r w:rsidR="00945956" w:rsidRPr="00A1344E">
        <w:rPr>
          <w:i/>
          <w:lang w:eastAsia="en-US"/>
        </w:rPr>
        <w:instrText>dativus obiectivus</w:instrText>
      </w:r>
      <w:r w:rsidR="00945956">
        <w:instrText xml:space="preserve">" </w:instrText>
      </w:r>
      <w:r w:rsidR="00945956">
        <w:rPr>
          <w:i/>
          <w:lang w:eastAsia="en-US"/>
        </w:rPr>
        <w:fldChar w:fldCharType="end"/>
      </w:r>
      <w:r w:rsidR="00945956">
        <w:rPr>
          <w:i/>
          <w:lang w:eastAsia="en-US"/>
        </w:rPr>
        <w:t xml:space="preserve">, </w:t>
      </w:r>
      <w:r w:rsidR="08DF6FDF">
        <w:t>OBJ III, kap. 4</w:t>
      </w:r>
      <w:r w:rsidR="08C95A63">
        <w:t xml:space="preserve">). </w:t>
      </w:r>
      <w:r w:rsidR="084557AD">
        <w:t xml:space="preserve">Originální text </w:t>
      </w:r>
      <w:r w:rsidR="084557AD" w:rsidRPr="085C2653">
        <w:rPr>
          <w:i/>
        </w:rPr>
        <w:t>Druhých analytik</w:t>
      </w:r>
      <w:r w:rsidR="084557AD">
        <w:t xml:space="preserve"> </w:t>
      </w:r>
      <w:r w:rsidR="084557AD" w:rsidRPr="00273106">
        <w:t xml:space="preserve">výslovně odděluje dvojí pojetí </w:t>
      </w:r>
      <w:r w:rsidR="084557AD">
        <w:t xml:space="preserve">univerzální </w:t>
      </w:r>
      <w:r w:rsidR="084557AD" w:rsidRPr="00273106">
        <w:t xml:space="preserve">atribuce dané </w:t>
      </w:r>
      <w:r w:rsidR="084557AD" w:rsidRPr="00273106">
        <w:rPr>
          <w:i/>
        </w:rPr>
        <w:t>per se</w:t>
      </w:r>
      <w:r w:rsidR="084557AD" w:rsidRPr="00273106">
        <w:t xml:space="preserve"> (καθ' αὑτὰ δὲ διττῶς). </w:t>
      </w:r>
      <w:r w:rsidR="08060825">
        <w:t xml:space="preserve">Úvodní výklad </w:t>
      </w:r>
      <w:r w:rsidR="08060825" w:rsidRPr="08F7460A">
        <w:rPr>
          <w:i/>
        </w:rPr>
        <w:t>Metafyzi</w:t>
      </w:r>
      <w:r w:rsidR="08060825">
        <w:rPr>
          <w:i/>
        </w:rPr>
        <w:t>ky</w:t>
      </w:r>
      <w:r w:rsidR="08060825">
        <w:t xml:space="preserve"> Z popsal bytí substance podle aktu původní (tj. minulostně-perfektní) donace bytí do takto </w:t>
      </w:r>
      <w:r w:rsidR="00AC769E">
        <w:t xml:space="preserve">adekvátně </w:t>
      </w:r>
      <w:r w:rsidR="08060825">
        <w:t xml:space="preserve">založeného </w:t>
      </w:r>
      <w:r w:rsidR="00AC769E">
        <w:t xml:space="preserve">univerzálního </w:t>
      </w:r>
      <w:r w:rsidR="08060825">
        <w:t>jsoucna (</w:t>
      </w:r>
      <w:r w:rsidR="08060825" w:rsidRPr="08364F97">
        <w:t>τό τί ἦν εἶναι</w:t>
      </w:r>
      <w:r w:rsidR="08060825">
        <w:t>, kap. 1.1</w:t>
      </w:r>
      <w:r w:rsidR="08060825">
        <w:fldChar w:fldCharType="begin"/>
      </w:r>
      <w:r w:rsidR="08060825">
        <w:instrText xml:space="preserve"> XE "</w:instrText>
      </w:r>
      <w:r w:rsidR="08060825" w:rsidRPr="08D57ABC">
        <w:instrText>τό τί ἦν εἶναι</w:instrText>
      </w:r>
      <w:r w:rsidR="08060825">
        <w:instrText xml:space="preserve">" </w:instrText>
      </w:r>
      <w:r w:rsidR="08060825">
        <w:fldChar w:fldCharType="end"/>
      </w:r>
      <w:r w:rsidR="08060825">
        <w:t>). Akt donace dává „tomuto jsoucnu zde“ (</w:t>
      </w:r>
      <w:r w:rsidR="08060825" w:rsidRPr="08364F97">
        <w:t>τό τί</w:t>
      </w:r>
      <w:r w:rsidR="08060825">
        <w:t xml:space="preserve">) </w:t>
      </w:r>
      <w:r w:rsidR="00136320">
        <w:t xml:space="preserve">univerzální </w:t>
      </w:r>
      <w:r w:rsidR="00CD547D">
        <w:t>b</w:t>
      </w:r>
      <w:r w:rsidR="08060825">
        <w:t>ytí</w:t>
      </w:r>
      <w:r w:rsidR="00CD547D">
        <w:t xml:space="preserve"> určené původní událostí </w:t>
      </w:r>
      <w:r w:rsidR="08060825">
        <w:t xml:space="preserve">přechodu </w:t>
      </w:r>
      <w:r w:rsidR="00CD547D">
        <w:t>„tohoto jsoucna zde“ do minulosti</w:t>
      </w:r>
      <w:r w:rsidR="08881FCE">
        <w:t xml:space="preserve">. </w:t>
      </w:r>
      <w:r w:rsidR="00CD547D">
        <w:t xml:space="preserve">Poznané jsoucno zde už není v jeho původním bytí. </w:t>
      </w:r>
      <w:r w:rsidR="08881FCE">
        <w:t xml:space="preserve">Ve </w:t>
      </w:r>
      <w:r w:rsidR="006744E9">
        <w:t xml:space="preserve">jsoucnu daném jako </w:t>
      </w:r>
      <w:r w:rsidR="006744E9" w:rsidRPr="08060825">
        <w:rPr>
          <w:i/>
        </w:rPr>
        <w:t>quidditas</w:t>
      </w:r>
      <w:r w:rsidR="006744E9">
        <w:rPr>
          <w:i/>
        </w:rPr>
        <w:fldChar w:fldCharType="begin"/>
      </w:r>
      <w:r w:rsidR="006744E9">
        <w:instrText xml:space="preserve"> XE "</w:instrText>
      </w:r>
      <w:r w:rsidR="006744E9" w:rsidRPr="0865651F">
        <w:rPr>
          <w:i/>
        </w:rPr>
        <w:instrText>quidditas</w:instrText>
      </w:r>
      <w:r w:rsidR="006744E9">
        <w:instrText xml:space="preserve">" </w:instrText>
      </w:r>
      <w:r w:rsidR="006744E9">
        <w:rPr>
          <w:i/>
        </w:rPr>
        <w:fldChar w:fldCharType="end"/>
      </w:r>
      <w:r w:rsidR="006744E9">
        <w:t xml:space="preserve">, čili jako </w:t>
      </w:r>
      <w:r w:rsidR="0094598C">
        <w:t xml:space="preserve">druhé </w:t>
      </w:r>
      <w:r w:rsidR="08060825">
        <w:t>substanci</w:t>
      </w:r>
      <w:r w:rsidR="006744E9">
        <w:t xml:space="preserve">, </w:t>
      </w:r>
      <w:r w:rsidR="08060825">
        <w:t>už má původní bytí pouze minulý charakter (</w:t>
      </w:r>
      <w:r w:rsidR="08060825" w:rsidRPr="08364F97">
        <w:t>ἦν εἶναι</w:t>
      </w:r>
      <w:r w:rsidR="08060825">
        <w:t>)</w:t>
      </w:r>
      <w:r w:rsidR="08D53171">
        <w:t xml:space="preserve">. </w:t>
      </w:r>
      <w:r w:rsidR="082055E0" w:rsidRPr="082055E0">
        <w:t>P</w:t>
      </w:r>
      <w:r w:rsidR="082055E0">
        <w:t>ůvodní jsoucn</w:t>
      </w:r>
      <w:r w:rsidR="00907F63">
        <w:t>o</w:t>
      </w:r>
      <w:r w:rsidR="082055E0">
        <w:t xml:space="preserve"> podrobené pohybu a změně dostalo v mysli nové bytí, které vyjadřuje obecné poznání essence a její predikaci. </w:t>
      </w:r>
      <w:r w:rsidR="08484FB4">
        <w:t xml:space="preserve">Hermeneutika označila tento akt donace </w:t>
      </w:r>
      <w:r w:rsidR="082055E0">
        <w:t xml:space="preserve">bytí z reality do poznání </w:t>
      </w:r>
      <w:r w:rsidR="00CF1CD5">
        <w:t>pojmem „</w:t>
      </w:r>
      <w:r w:rsidR="082A724F">
        <w:t xml:space="preserve">metafyzický </w:t>
      </w:r>
      <w:r w:rsidR="08484FB4">
        <w:t>dativ</w:t>
      </w:r>
      <w:r w:rsidR="00CF1CD5">
        <w:t>“</w:t>
      </w:r>
      <w:r w:rsidR="08484FB4">
        <w:t xml:space="preserve"> (</w:t>
      </w:r>
      <w:r w:rsidR="082A724F">
        <w:rPr>
          <w:i/>
        </w:rPr>
        <w:t>dativus metaphysi</w:t>
      </w:r>
      <w:r w:rsidR="08484FB4" w:rsidRPr="08EA332B">
        <w:rPr>
          <w:i/>
        </w:rPr>
        <w:t>cus</w:t>
      </w:r>
      <w:r w:rsidR="08484FB4">
        <w:rPr>
          <w:i/>
        </w:rPr>
        <w:fldChar w:fldCharType="begin"/>
      </w:r>
      <w:r w:rsidR="08484FB4">
        <w:instrText xml:space="preserve"> XE "</w:instrText>
      </w:r>
      <w:r w:rsidR="082A724F">
        <w:rPr>
          <w:i/>
        </w:rPr>
        <w:instrText>dativus metaphysi</w:instrText>
      </w:r>
      <w:r w:rsidR="08484FB4" w:rsidRPr="082F5A4B">
        <w:rPr>
          <w:i/>
        </w:rPr>
        <w:instrText>cus</w:instrText>
      </w:r>
      <w:r w:rsidR="08484FB4">
        <w:instrText xml:space="preserve">" </w:instrText>
      </w:r>
      <w:r w:rsidR="08484FB4">
        <w:rPr>
          <w:i/>
        </w:rPr>
        <w:fldChar w:fldCharType="end"/>
      </w:r>
      <w:r w:rsidR="08484FB4">
        <w:t xml:space="preserve">). </w:t>
      </w:r>
      <w:r w:rsidR="08060825">
        <w:t>Stejný postoj musí zaujmout i vědecká predikace ka</w:t>
      </w:r>
      <w:r w:rsidR="08593505">
        <w:t>uzálního působe</w:t>
      </w:r>
      <w:r w:rsidR="08060825">
        <w:t>ní prvních subst</w:t>
      </w:r>
      <w:r w:rsidR="08593505">
        <w:t>ancí</w:t>
      </w:r>
      <w:r w:rsidR="082D07E6">
        <w:t>. V</w:t>
      </w:r>
      <w:r w:rsidR="08702838">
        <w:t xml:space="preserve">ěda </w:t>
      </w:r>
      <w:r w:rsidR="088A439C">
        <w:t xml:space="preserve">univerzálně predikuje </w:t>
      </w:r>
      <w:r w:rsidR="08702838">
        <w:t xml:space="preserve">původní </w:t>
      </w:r>
      <w:r w:rsidR="088A439C">
        <w:t>událost</w:t>
      </w:r>
      <w:r w:rsidR="08060825">
        <w:t xml:space="preserve"> </w:t>
      </w:r>
      <w:r w:rsidR="082D07E6">
        <w:t xml:space="preserve">ve světě, která kauzálně </w:t>
      </w:r>
      <w:r w:rsidR="08593505">
        <w:t>zaklád</w:t>
      </w:r>
      <w:r w:rsidR="082D07E6">
        <w:t xml:space="preserve">á </w:t>
      </w:r>
      <w:r w:rsidR="088A439C">
        <w:t>deduktivní</w:t>
      </w:r>
      <w:r w:rsidR="082D07E6">
        <w:t xml:space="preserve"> soud</w:t>
      </w:r>
      <w:r w:rsidR="088A439C">
        <w:t xml:space="preserve">. </w:t>
      </w:r>
      <w:r w:rsidR="00736AAE">
        <w:t xml:space="preserve">Univerzálie jsou </w:t>
      </w:r>
      <w:r w:rsidR="00736AAE" w:rsidRPr="00273106">
        <w:t>dan</w:t>
      </w:r>
      <w:r w:rsidR="00736AAE">
        <w:t xml:space="preserve">é v modu </w:t>
      </w:r>
      <w:r w:rsidR="00736AAE" w:rsidRPr="00273106">
        <w:rPr>
          <w:i/>
        </w:rPr>
        <w:t>per se</w:t>
      </w:r>
      <w:r w:rsidR="08A654E8">
        <w:rPr>
          <w:i/>
        </w:rPr>
        <w:t xml:space="preserve"> </w:t>
      </w:r>
      <w:r w:rsidR="08A654E8" w:rsidRPr="08A654E8">
        <w:t>stejně jako reálné první substance</w:t>
      </w:r>
      <w:r w:rsidR="00736AAE" w:rsidRPr="08A654E8">
        <w:t xml:space="preserve">, </w:t>
      </w:r>
      <w:r w:rsidR="00736AAE" w:rsidRPr="00273106">
        <w:t xml:space="preserve">ale </w:t>
      </w:r>
      <w:r w:rsidR="08A654E8">
        <w:t xml:space="preserve">na rozdíl od nich </w:t>
      </w:r>
      <w:r w:rsidR="084C2F48">
        <w:t xml:space="preserve">existují </w:t>
      </w:r>
      <w:r w:rsidR="00736AAE" w:rsidRPr="00273106">
        <w:t>pouze v lidském intelektu.</w:t>
      </w:r>
      <w:r w:rsidR="00736AAE">
        <w:t xml:space="preserve"> </w:t>
      </w:r>
      <w:r w:rsidR="08A654E8">
        <w:t>B</w:t>
      </w:r>
      <w:r w:rsidR="08E83700">
        <w:t xml:space="preserve">ytí </w:t>
      </w:r>
      <w:r w:rsidR="08A654E8">
        <w:t xml:space="preserve">prvních substancí </w:t>
      </w:r>
      <w:r w:rsidR="08E83700">
        <w:t>se ve vědeckém důkazu objevuje pouze v minulostním rázu</w:t>
      </w:r>
      <w:r w:rsidR="08A654E8">
        <w:t xml:space="preserve"> skrze signifikaci druhé substance</w:t>
      </w:r>
      <w:r w:rsidR="08E83700">
        <w:t xml:space="preserve">, </w:t>
      </w:r>
      <w:r w:rsidR="08A654E8">
        <w:t xml:space="preserve">protože </w:t>
      </w:r>
      <w:r w:rsidR="08E83700">
        <w:t xml:space="preserve">bytí abstrakcí je dáno v důkazu jako parousie přímo nazírané esence v mysli. </w:t>
      </w:r>
      <w:r w:rsidR="08A654E8">
        <w:t xml:space="preserve">V případě univerzálního vědeckého poznání predikovaného vzhledem k reálným substancím určuje formu </w:t>
      </w:r>
      <w:r w:rsidR="082A724F">
        <w:t xml:space="preserve">metafyzického </w:t>
      </w:r>
      <w:r w:rsidR="08A654E8">
        <w:t>dativu (</w:t>
      </w:r>
      <w:r w:rsidR="00EE25B5" w:rsidRPr="0044690C">
        <w:rPr>
          <w:szCs w:val="24"/>
        </w:rPr>
        <w:t>ἐν τῷ τί ἐ</w:t>
      </w:r>
      <w:r w:rsidR="00EE25B5">
        <w:rPr>
          <w:szCs w:val="24"/>
        </w:rPr>
        <w:t>στι</w:t>
      </w:r>
      <w:r w:rsidR="08A654E8">
        <w:t xml:space="preserve">) </w:t>
      </w:r>
      <w:r w:rsidR="008937C8">
        <w:t xml:space="preserve">na prvním místě </w:t>
      </w:r>
      <w:r w:rsidR="08A654E8">
        <w:t>nikoliv abstrakce daná v mysli, ale hyparchické bytí první substance (</w:t>
      </w:r>
      <w:r w:rsidR="08A654E8" w:rsidRPr="00273106">
        <w:t>τί ἐστιν</w:t>
      </w:r>
      <w:r w:rsidR="08A654E8">
        <w:t xml:space="preserve">). Reprezentaci tohoto reálného bytí a kauzality daného skrze </w:t>
      </w:r>
      <w:r w:rsidR="08A654E8" w:rsidRPr="084659F3">
        <w:rPr>
          <w:i/>
        </w:rPr>
        <w:t>quidditas</w:t>
      </w:r>
      <w:r w:rsidR="08A654E8">
        <w:rPr>
          <w:i/>
        </w:rPr>
        <w:fldChar w:fldCharType="begin"/>
      </w:r>
      <w:r w:rsidR="08A654E8">
        <w:instrText xml:space="preserve"> XE "</w:instrText>
      </w:r>
      <w:r w:rsidR="08A654E8" w:rsidRPr="087C28DE">
        <w:rPr>
          <w:i/>
        </w:rPr>
        <w:instrText>quidditas</w:instrText>
      </w:r>
      <w:r w:rsidR="08A654E8">
        <w:instrText xml:space="preserve">" </w:instrText>
      </w:r>
      <w:r w:rsidR="08A654E8">
        <w:rPr>
          <w:i/>
        </w:rPr>
        <w:fldChar w:fldCharType="end"/>
      </w:r>
      <w:r w:rsidR="08A654E8">
        <w:t xml:space="preserve"> zajišťuje střední člen </w:t>
      </w:r>
      <w:r w:rsidR="001B052E">
        <w:t>deduktivního syllogismu (</w:t>
      </w:r>
      <w:r w:rsidR="001B052E" w:rsidRPr="001B052E">
        <w:rPr>
          <w:i/>
        </w:rPr>
        <w:t>medium</w:t>
      </w:r>
      <w:r w:rsidR="001B052E">
        <w:t xml:space="preserve">) </w:t>
      </w:r>
      <w:r w:rsidR="08A654E8">
        <w:t xml:space="preserve">a poznávací princip </w:t>
      </w:r>
      <w:r w:rsidR="001B052E">
        <w:t>založený na přímé impozici smyslu (</w:t>
      </w:r>
      <w:r w:rsidR="08A654E8" w:rsidRPr="084659F3">
        <w:rPr>
          <w:i/>
        </w:rPr>
        <w:t>ex</w:t>
      </w:r>
      <w:r w:rsidR="08A654E8">
        <w:t xml:space="preserve"> </w:t>
      </w:r>
      <w:r w:rsidR="08D91F67">
        <w:rPr>
          <w:i/>
        </w:rPr>
        <w:t>in</w:t>
      </w:r>
      <w:r w:rsidR="08A654E8" w:rsidRPr="08665542">
        <w:rPr>
          <w:i/>
        </w:rPr>
        <w:t>mediatis</w:t>
      </w:r>
      <w:r w:rsidR="001B052E">
        <w:t xml:space="preserve">). </w:t>
      </w:r>
      <w:r w:rsidR="00771C4D">
        <w:t>T</w:t>
      </w:r>
      <w:r w:rsidR="00A22E5D">
        <w:t xml:space="preserve">uto </w:t>
      </w:r>
      <w:r w:rsidR="00107D41">
        <w:t xml:space="preserve">pasáž </w:t>
      </w:r>
      <w:r w:rsidR="00B241D1" w:rsidRPr="00273106">
        <w:t xml:space="preserve">je třeba číst podle </w:t>
      </w:r>
      <w:r w:rsidR="00191EA2">
        <w:t xml:space="preserve">celkového záměru </w:t>
      </w:r>
      <w:r w:rsidR="00B241D1" w:rsidRPr="00273106">
        <w:t>Aristotela</w:t>
      </w:r>
      <w:r w:rsidR="08240062">
        <w:t>, k</w:t>
      </w:r>
      <w:r w:rsidR="08077F32">
        <w:t>terý je určen</w:t>
      </w:r>
      <w:r w:rsidR="08240062">
        <w:t xml:space="preserve"> </w:t>
      </w:r>
      <w:r w:rsidR="0870200F">
        <w:t xml:space="preserve">dvojím </w:t>
      </w:r>
      <w:r w:rsidR="08240062">
        <w:t>zaměřením první vědy</w:t>
      </w:r>
      <w:r w:rsidR="00191EA2">
        <w:t xml:space="preserve">. </w:t>
      </w:r>
      <w:r w:rsidR="08E84BBB">
        <w:t>Logik, matematik a geometr nepredikuje původní hyparchicky daný</w:t>
      </w:r>
      <w:r w:rsidR="084D3F2A">
        <w:t xml:space="preserve"> stav světa existující mimo nás. </w:t>
      </w:r>
      <w:r w:rsidR="084D3F2A" w:rsidRPr="084D3F2A">
        <w:t xml:space="preserve">To </w:t>
      </w:r>
      <w:r w:rsidR="084D3F2A">
        <w:t xml:space="preserve">však </w:t>
      </w:r>
      <w:r w:rsidR="084D3F2A" w:rsidRPr="084D3F2A">
        <w:t xml:space="preserve">dělá metafyzik </w:t>
      </w:r>
      <w:r w:rsidR="08E84BBB">
        <w:t>v modu adekvačního poznání pravdy (</w:t>
      </w:r>
      <w:r w:rsidR="08E84BBB" w:rsidRPr="088E6382">
        <w:rPr>
          <w:i/>
        </w:rPr>
        <w:t>De anima</w:t>
      </w:r>
      <w:r w:rsidR="08E84BBB">
        <w:t xml:space="preserve">) a z ní vycházející univoční kategoriální </w:t>
      </w:r>
      <w:r w:rsidR="08E84BBB">
        <w:lastRenderedPageBreak/>
        <w:t>predikace (</w:t>
      </w:r>
      <w:r w:rsidR="08E84BBB" w:rsidRPr="088E6382">
        <w:rPr>
          <w:i/>
        </w:rPr>
        <w:t>Kategorie</w:t>
      </w:r>
      <w:r w:rsidR="08E84BBB">
        <w:t>)</w:t>
      </w:r>
      <w:r w:rsidR="084D3F2A">
        <w:t xml:space="preserve"> a adekvátního vědeckého soudu (</w:t>
      </w:r>
      <w:r w:rsidR="084D3F2A" w:rsidRPr="084D3F2A">
        <w:rPr>
          <w:i/>
        </w:rPr>
        <w:t>Druhé analytiky</w:t>
      </w:r>
      <w:r w:rsidR="084D3F2A">
        <w:t>)</w:t>
      </w:r>
      <w:r w:rsidR="08E84BBB">
        <w:t xml:space="preserve">. </w:t>
      </w:r>
      <w:r w:rsidR="080B0328">
        <w:t>L</w:t>
      </w:r>
      <w:r w:rsidR="08240062">
        <w:t xml:space="preserve">ogická abstrakce </w:t>
      </w:r>
      <w:r w:rsidR="08E7461F">
        <w:t xml:space="preserve">sama o sobě </w:t>
      </w:r>
      <w:r w:rsidR="08240062">
        <w:t>nemůže tvořit základ vědecké výpovědi</w:t>
      </w:r>
      <w:r w:rsidR="08E379C1">
        <w:t xml:space="preserve"> </w:t>
      </w:r>
      <w:r w:rsidR="08EF2F8B">
        <w:t>vztažené k realitě. Z</w:t>
      </w:r>
      <w:r w:rsidR="085C25FF">
        <w:t xml:space="preserve">působ vědeckého poznání musí být </w:t>
      </w:r>
      <w:r w:rsidR="085C25FF" w:rsidRPr="00273106">
        <w:t xml:space="preserve">v souladu s hyparchickým postavením první a druhé substance v </w:t>
      </w:r>
      <w:r w:rsidR="085C25FF" w:rsidRPr="00A90E20">
        <w:rPr>
          <w:i/>
        </w:rPr>
        <w:t>Kategoriích</w:t>
      </w:r>
      <w:r w:rsidR="08E84BBB">
        <w:t xml:space="preserve"> a </w:t>
      </w:r>
      <w:r w:rsidR="085C25FF">
        <w:t xml:space="preserve">musí odpovídat </w:t>
      </w:r>
      <w:r w:rsidR="08E84BBB">
        <w:t xml:space="preserve">pravdivému </w:t>
      </w:r>
      <w:r w:rsidR="085C25FF">
        <w:t xml:space="preserve">poznání </w:t>
      </w:r>
      <w:r w:rsidR="08E84BBB">
        <w:t xml:space="preserve">světa podle </w:t>
      </w:r>
      <w:r w:rsidR="085C25FF">
        <w:rPr>
          <w:i/>
        </w:rPr>
        <w:t>De anima</w:t>
      </w:r>
      <w:r w:rsidR="08273C8D">
        <w:t xml:space="preserve">. A dále </w:t>
      </w:r>
      <w:r w:rsidR="085C25FF">
        <w:t xml:space="preserve">musí </w:t>
      </w:r>
      <w:r w:rsidR="08EF2F8B">
        <w:t xml:space="preserve">věda </w:t>
      </w:r>
      <w:r w:rsidR="085C25FF">
        <w:t>hledat jednotu jsoucna podle „meta</w:t>
      </w:r>
      <w:r w:rsidR="085C25FF">
        <w:noBreakHyphen/>
        <w:t>fyziky“ první substance dané skrze metafyzickou abstrakci</w:t>
      </w:r>
      <w:r w:rsidR="083071A5">
        <w:t>.</w:t>
      </w:r>
    </w:p>
    <w:p w14:paraId="11AA03DF" w14:textId="304FF30C" w:rsidR="004E4F19" w:rsidRDefault="08175714" w:rsidP="006610B4">
      <w:pPr>
        <w:ind w:firstLine="397"/>
      </w:pPr>
      <w:r>
        <w:t xml:space="preserve">Hermeneutika </w:t>
      </w:r>
      <w:r w:rsidR="08EF2F8B">
        <w:t xml:space="preserve">má </w:t>
      </w:r>
      <w:r>
        <w:t xml:space="preserve">ve druhém kroku vyložit fundamentální </w:t>
      </w:r>
      <w:r w:rsidR="08A51BEA">
        <w:t xml:space="preserve">způsob, </w:t>
      </w:r>
      <w:r>
        <w:t>„jak“ (</w:t>
      </w:r>
      <w:r w:rsidR="008C0B22">
        <w:t xml:space="preserve">Heideggerovo </w:t>
      </w:r>
      <w:r w:rsidRPr="00856B15">
        <w:rPr>
          <w:i/>
        </w:rPr>
        <w:t>Wie</w:t>
      </w:r>
      <w:r>
        <w:t>) je utvořeno univoční určení nutnosti</w:t>
      </w:r>
      <w:r w:rsidR="08F85C56">
        <w:t xml:space="preserve"> v analytické filosofii</w:t>
      </w:r>
      <w:r>
        <w:t xml:space="preserve">, které stojí u zrodu </w:t>
      </w:r>
      <w:r w:rsidRPr="00F8133D">
        <w:rPr>
          <w:i/>
        </w:rPr>
        <w:t>Oxfordian Fallacy</w:t>
      </w:r>
      <w:r>
        <w:rPr>
          <w:i/>
        </w:rPr>
        <w:fldChar w:fldCharType="begin"/>
      </w:r>
      <w:r>
        <w:instrText xml:space="preserve"> XE "</w:instrText>
      </w:r>
      <w:r w:rsidRPr="0015798D">
        <w:rPr>
          <w:i/>
        </w:rPr>
        <w:instrText>Oxfordian Fallacy</w:instrText>
      </w:r>
      <w:r w:rsidRPr="009F3C25">
        <w:instrText>:</w:instrText>
      </w:r>
      <w:r>
        <w:instrText xml:space="preserve">analytický výklad" </w:instrText>
      </w:r>
      <w:r>
        <w:rPr>
          <w:i/>
        </w:rPr>
        <w:fldChar w:fldCharType="end"/>
      </w:r>
      <w:r>
        <w:t xml:space="preserve">. </w:t>
      </w:r>
      <w:r w:rsidR="08D26B62">
        <w:t>Grosseteste, Rufus a Kilwardby rozbírají klíčovou</w:t>
      </w:r>
      <w:r w:rsidRPr="00273106">
        <w:t xml:space="preserve"> část </w:t>
      </w:r>
      <w:r w:rsidRPr="000C38F8">
        <w:rPr>
          <w:i/>
        </w:rPr>
        <w:t>Druhých analytik</w:t>
      </w:r>
      <w:r w:rsidR="08D26B62">
        <w:t xml:space="preserve">, která </w:t>
      </w:r>
      <w:r w:rsidRPr="00273106">
        <w:t xml:space="preserve">charakterizuje tři </w:t>
      </w:r>
      <w:r>
        <w:t xml:space="preserve">podmínky </w:t>
      </w:r>
      <w:r w:rsidRPr="00273106">
        <w:t xml:space="preserve">univerzální predikace (καθόλου δὲ λέγω ὃ ἂν κατὰ παντός τε ὑπάρχῃ καὶ καθ' αὑτὸ καὶ ᾗ αὐτό, </w:t>
      </w:r>
      <w:r w:rsidRPr="00273106">
        <w:rPr>
          <w:i/>
        </w:rPr>
        <w:t>Anal. Post</w:t>
      </w:r>
      <w:r w:rsidRPr="00273106">
        <w:t>. 73b26‒27</w:t>
      </w:r>
      <w:r>
        <w:fldChar w:fldCharType="begin"/>
      </w:r>
      <w:r>
        <w:instrText xml:space="preserve"> XE "Aristoteles:</w:instrText>
      </w:r>
      <w:r w:rsidRPr="00201167">
        <w:rPr>
          <w:i/>
        </w:rPr>
        <w:instrText>Anal. Post</w:instrText>
      </w:r>
      <w:r w:rsidRPr="00201167">
        <w:instrText>. 73b26‒27</w:instrText>
      </w:r>
      <w:r>
        <w:instrText xml:space="preserve">" </w:instrText>
      </w:r>
      <w:r>
        <w:fldChar w:fldCharType="end"/>
      </w:r>
      <w:r w:rsidRPr="00273106">
        <w:t xml:space="preserve">). </w:t>
      </w:r>
      <w:r>
        <w:t>Predikace univerzálie platí pro všechna určení, která jsou v nich</w:t>
      </w:r>
      <w:r w:rsidR="001A41DB">
        <w:t xml:space="preserve"> zahrnuta díky hyparchicky danému významu </w:t>
      </w:r>
      <w:r w:rsidRPr="00273106">
        <w:t>(κατὰ παντός τε ὑπάρχῃ</w:t>
      </w:r>
      <w:r>
        <w:t>). Univerzálie je dána skrze sebe (</w:t>
      </w:r>
      <w:r w:rsidRPr="00273106">
        <w:t>καθ' αὑτὸ</w:t>
      </w:r>
      <w:r>
        <w:t xml:space="preserve">) a je sama sebou </w:t>
      </w:r>
      <w:r w:rsidRPr="00273106">
        <w:t xml:space="preserve">(ᾗ αὐτό). </w:t>
      </w:r>
      <w:r>
        <w:t>Aristoteles</w:t>
      </w:r>
      <w:r w:rsidRPr="00273106">
        <w:t xml:space="preserve"> po vyjmenování těchto tří </w:t>
      </w:r>
      <w:r>
        <w:t xml:space="preserve">podmínek </w:t>
      </w:r>
      <w:r w:rsidRPr="00273106">
        <w:t xml:space="preserve">pokračuje tvrzením, že </w:t>
      </w:r>
      <w:r>
        <w:t xml:space="preserve">obě formy </w:t>
      </w:r>
      <w:r w:rsidR="083071A5">
        <w:t xml:space="preserve">predikace </w:t>
      </w:r>
      <w:r>
        <w:t xml:space="preserve">dané v modu </w:t>
      </w:r>
      <w:r w:rsidRPr="00273106">
        <w:rPr>
          <w:i/>
        </w:rPr>
        <w:t>per se</w:t>
      </w:r>
      <w:r>
        <w:t xml:space="preserve"> (</w:t>
      </w:r>
      <w:r w:rsidRPr="00273106">
        <w:t>καθ' αὑτὸ καὶ ᾗ αὐτό</w:t>
      </w:r>
      <w:r>
        <w:t xml:space="preserve">) </w:t>
      </w:r>
      <w:r w:rsidRPr="00273106">
        <w:t xml:space="preserve">patří </w:t>
      </w:r>
      <w:r>
        <w:t xml:space="preserve">k typu univerzality, která je z podstaty takto dané definicie založena na společné jsoucnosti dané hyparchicky </w:t>
      </w:r>
      <w:r w:rsidRPr="00273106">
        <w:t xml:space="preserve">(καθόλου, ἐξ ἀνάγκης ὑπάρχει τοῖς πράγμασιν, </w:t>
      </w:r>
      <w:r w:rsidRPr="00273106">
        <w:rPr>
          <w:i/>
        </w:rPr>
        <w:t>Anal. Post</w:t>
      </w:r>
      <w:r w:rsidRPr="00273106">
        <w:t>. 73b28</w:t>
      </w:r>
      <w:r>
        <w:fldChar w:fldCharType="begin"/>
      </w:r>
      <w:r>
        <w:instrText xml:space="preserve"> XE "Aristoteles:</w:instrText>
      </w:r>
      <w:r w:rsidRPr="085235FF">
        <w:rPr>
          <w:i/>
        </w:rPr>
        <w:instrText>Anal. Post</w:instrText>
      </w:r>
      <w:r w:rsidRPr="085235FF">
        <w:instrText>. 73b28</w:instrText>
      </w:r>
      <w:r>
        <w:instrText xml:space="preserve">" </w:instrText>
      </w:r>
      <w:r>
        <w:fldChar w:fldCharType="end"/>
      </w:r>
      <w:r w:rsidRPr="00273106">
        <w:t xml:space="preserve">). </w:t>
      </w:r>
      <w:r>
        <w:t>Osudem moderní epochy se stává určení způsobu, jak jsou univerzálie dány v hyparchickém modu, který je jim vlastní (</w:t>
      </w:r>
      <w:r w:rsidRPr="00273106">
        <w:t>ὑπάρχει τοῖς πράγμασιν</w:t>
      </w:r>
      <w:r>
        <w:t>).</w:t>
      </w:r>
      <w:r w:rsidR="005A32E1">
        <w:t xml:space="preserve"> </w:t>
      </w:r>
      <w:r w:rsidR="005A32E1" w:rsidRPr="005A32E1">
        <w:t xml:space="preserve">Jestliže hyparchická predikace obsahuje dvojí bytí subjektu, pak i nutnost </w:t>
      </w:r>
      <w:r w:rsidR="005A32E1">
        <w:t xml:space="preserve">daná v soudu </w:t>
      </w:r>
      <w:r w:rsidR="005A32E1" w:rsidRPr="005A32E1">
        <w:t>(ἐξ ἀνάγκης) musí mít dvojí povahu.</w:t>
      </w:r>
      <w:r w:rsidR="005A32E1">
        <w:t xml:space="preserve"> N</w:t>
      </w:r>
      <w:r>
        <w:t>ásledující příklad hyparchicky dané univerzality je vzat z definice úsečky</w:t>
      </w:r>
      <w:r w:rsidR="08B1794B">
        <w:t xml:space="preserve"> a trojúhelníka. K úsečce patří bod v</w:t>
      </w:r>
      <w:r>
        <w:t xml:space="preserve"> modu hyparchicky a univočně dané obecné </w:t>
      </w:r>
      <w:r w:rsidRPr="08026712">
        <w:t>nutnosti (καθ' αὑτὴν τῇ γραμμῇ ὑπάρχει στιγμὴ</w:t>
      </w:r>
      <w:r w:rsidR="086C429A">
        <w:t xml:space="preserve">). Stejným postupem je dána </w:t>
      </w:r>
      <w:r>
        <w:t xml:space="preserve">definice trojúhelníka, k němuž </w:t>
      </w:r>
      <w:r w:rsidR="08B31070">
        <w:t xml:space="preserve">hyparchicky </w:t>
      </w:r>
      <w:r>
        <w:t>patří úsečka (</w:t>
      </w:r>
      <w:r w:rsidRPr="00273106">
        <w:rPr>
          <w:i/>
        </w:rPr>
        <w:t>Anal. Post</w:t>
      </w:r>
      <w:r>
        <w:t>. 73b30‒31</w:t>
      </w:r>
      <w:r>
        <w:fldChar w:fldCharType="begin"/>
      </w:r>
      <w:r>
        <w:instrText xml:space="preserve"> XE "Aristoteles:</w:instrText>
      </w:r>
      <w:r w:rsidRPr="085235FF">
        <w:rPr>
          <w:i/>
        </w:rPr>
        <w:instrText>Anal. Post</w:instrText>
      </w:r>
      <w:r>
        <w:instrText xml:space="preserve">. 73b30‒31" </w:instrText>
      </w:r>
      <w:r>
        <w:fldChar w:fldCharType="end"/>
      </w:r>
      <w:r w:rsidR="08E10B16">
        <w:t xml:space="preserve">). </w:t>
      </w:r>
      <w:r>
        <w:t xml:space="preserve">Z kontextu je jasné, že Aristoteles rozuměl termínu </w:t>
      </w:r>
      <w:r w:rsidRPr="00273106">
        <w:t>ὑ</w:t>
      </w:r>
      <w:r>
        <w:t>πάρχει</w:t>
      </w:r>
      <w:r w:rsidRPr="00273106">
        <w:t xml:space="preserve"> (</w:t>
      </w:r>
      <w:r w:rsidRPr="00273106">
        <w:rPr>
          <w:i/>
        </w:rPr>
        <w:t>inesse</w:t>
      </w:r>
      <w:r>
        <w:rPr>
          <w:i/>
        </w:rPr>
        <w:fldChar w:fldCharType="begin"/>
      </w:r>
      <w:r>
        <w:instrText xml:space="preserve"> XE "esence:</w:instrText>
      </w:r>
      <w:r w:rsidRPr="00CF4ADF">
        <w:rPr>
          <w:i/>
        </w:rPr>
        <w:instrText>inesse</w:instrText>
      </w:r>
      <w:r>
        <w:instrText xml:space="preserve">" </w:instrText>
      </w:r>
      <w:r>
        <w:rPr>
          <w:i/>
        </w:rPr>
        <w:fldChar w:fldCharType="end"/>
      </w:r>
      <w:r w:rsidRPr="00273106">
        <w:t>)</w:t>
      </w:r>
      <w:r>
        <w:t xml:space="preserve"> v modu hyparchické univoční nutnosti pouze pro geometrické nebo matematické definice. Jejich bytí v mysli je dáno hyparchicky a tím nutně také v modu </w:t>
      </w:r>
      <w:r w:rsidRPr="083403DF">
        <w:rPr>
          <w:i/>
        </w:rPr>
        <w:t>per se</w:t>
      </w:r>
      <w:r>
        <w:t>. Jak jsou v mysli univerzální významy dané v jejich bytostné identitě (</w:t>
      </w:r>
      <w:r w:rsidRPr="00273106">
        <w:t>καθ' αὑτὸ καὶ ᾗ αὐτό</w:t>
      </w:r>
      <w:r>
        <w:t xml:space="preserve">), tak také </w:t>
      </w:r>
      <w:r w:rsidR="08E10B16">
        <w:t xml:space="preserve">nutně a </w:t>
      </w:r>
      <w:r>
        <w:t>hyparchicky existují v mentálním bytí těchto univerzálních „věcí“ (</w:t>
      </w:r>
      <w:r w:rsidRPr="00273106">
        <w:t>ὑπάρχει τοῖς πράγμασιν</w:t>
      </w:r>
      <w:r>
        <w:t xml:space="preserve">). </w:t>
      </w:r>
      <w:r w:rsidR="004A7170">
        <w:t xml:space="preserve">V případě logické, geometrické nebo matematické abstrakce je univerzalita definiční součástí hyparchického </w:t>
      </w:r>
      <w:r w:rsidR="004A7170">
        <w:lastRenderedPageBreak/>
        <w:t>bytí jsoucna (</w:t>
      </w:r>
      <w:r w:rsidR="004A7170" w:rsidRPr="00273106">
        <w:t>καθόλου</w:t>
      </w:r>
      <w:r w:rsidR="004A7170">
        <w:t xml:space="preserve"> </w:t>
      </w:r>
      <w:r w:rsidR="004A7170" w:rsidRPr="00273106">
        <w:t>ὑπάρχει τοῖς πράγμασιν</w:t>
      </w:r>
      <w:r w:rsidR="004A7170">
        <w:t xml:space="preserve">), protože obě určení jsoucna jsou daná pouze v mysli. </w:t>
      </w:r>
      <w:r>
        <w:t xml:space="preserve">Věci v realitě naopak mají hyparchické bytí a nutnost samy v sobě a jejich predikaci řídí nutnost </w:t>
      </w:r>
      <w:r w:rsidR="003C457F">
        <w:t>určená metafyzickým</w:t>
      </w:r>
      <w:r w:rsidR="082A724F">
        <w:t xml:space="preserve"> </w:t>
      </w:r>
      <w:r w:rsidR="003C457F">
        <w:t>dativem</w:t>
      </w:r>
      <w:r>
        <w:t xml:space="preserve">. </w:t>
      </w:r>
      <w:r w:rsidR="080417E8">
        <w:t xml:space="preserve">Věci jsou nutné samy od sebe, protože reálně existují. </w:t>
      </w:r>
      <w:r w:rsidR="08993A85">
        <w:t>U</w:t>
      </w:r>
      <w:r w:rsidR="080417E8">
        <w:t>niverzální nutnost není přímo obsažena v reálných věcech</w:t>
      </w:r>
      <w:r w:rsidR="08DA7527">
        <w:t>. P</w:t>
      </w:r>
      <w:r w:rsidR="080417E8">
        <w:t xml:space="preserve">roto </w:t>
      </w:r>
      <w:r w:rsidR="08DA7527">
        <w:t>s</w:t>
      </w:r>
      <w:r w:rsidR="080417E8">
        <w:t xml:space="preserve">e </w:t>
      </w:r>
      <w:r w:rsidR="08DA7527">
        <w:t xml:space="preserve">vzhledem k věcem v realitě musí predikovat jiná forma nutnosti daná pravdivě </w:t>
      </w:r>
      <w:r w:rsidR="003C457F">
        <w:t>v řádu kategoriální impozice</w:t>
      </w:r>
      <w:r w:rsidR="080417E8">
        <w:t xml:space="preserve">. </w:t>
      </w:r>
      <w:r>
        <w:t xml:space="preserve">Proto patří </w:t>
      </w:r>
      <w:r w:rsidR="08EE3A1D">
        <w:t xml:space="preserve">tato nutnost </w:t>
      </w:r>
      <w:r>
        <w:t xml:space="preserve">do prvního modu univerzálně predikované nutnosti, která </w:t>
      </w:r>
      <w:r w:rsidR="08EB6998">
        <w:t xml:space="preserve">signifikuje (ale nevytváří) </w:t>
      </w:r>
      <w:r>
        <w:t xml:space="preserve">jedinečné hyparchické bytí reálných věcí </w:t>
      </w:r>
      <w:r w:rsidRPr="00273106">
        <w:t>(κατὰ παντός τε ὑπάρχῃ</w:t>
      </w:r>
      <w:r>
        <w:t xml:space="preserve">). </w:t>
      </w:r>
      <w:r w:rsidR="08AE41AC">
        <w:t xml:space="preserve">Fatální a tragická </w:t>
      </w:r>
      <w:r w:rsidRPr="00273106">
        <w:t xml:space="preserve">nejasnost </w:t>
      </w:r>
      <w:r>
        <w:t xml:space="preserve">se týká univerzální </w:t>
      </w:r>
      <w:r w:rsidRPr="00273106">
        <w:t>predikace</w:t>
      </w:r>
      <w:r>
        <w:rPr>
          <w:i/>
        </w:rPr>
        <w:fldChar w:fldCharType="begin"/>
      </w:r>
      <w:r>
        <w:instrText xml:space="preserve"> XE "predikace:hyparchická" </w:instrText>
      </w:r>
      <w:r>
        <w:rPr>
          <w:i/>
        </w:rPr>
        <w:fldChar w:fldCharType="end"/>
      </w:r>
      <w:r w:rsidRPr="00273106">
        <w:t xml:space="preserve"> dané vzhledem k </w:t>
      </w:r>
      <w:r>
        <w:t>hyparchicky existujícím univerzálním významů</w:t>
      </w:r>
      <w:r w:rsidR="08495B1A">
        <w:t>m</w:t>
      </w:r>
      <w:r>
        <w:t xml:space="preserve"> jako </w:t>
      </w:r>
      <w:r w:rsidRPr="00273106">
        <w:t>věcem (ὑπάρχει τοῖς πράγμασιν</w:t>
      </w:r>
      <w:r>
        <w:t xml:space="preserve">, </w:t>
      </w:r>
      <w:r w:rsidRPr="00273106">
        <w:rPr>
          <w:i/>
        </w:rPr>
        <w:t>Anal. Post</w:t>
      </w:r>
      <w:r w:rsidRPr="00273106">
        <w:t>. 73b28</w:t>
      </w:r>
      <w:r>
        <w:fldChar w:fldCharType="begin"/>
      </w:r>
      <w:r>
        <w:instrText xml:space="preserve"> XE "Aristoteles:</w:instrText>
      </w:r>
      <w:r w:rsidRPr="00A43448">
        <w:rPr>
          <w:i/>
        </w:rPr>
        <w:instrText>Anal. Post</w:instrText>
      </w:r>
      <w:r w:rsidRPr="00A43448">
        <w:instrText>. 73b28</w:instrText>
      </w:r>
      <w:r>
        <w:instrText xml:space="preserve">" </w:instrText>
      </w:r>
      <w:r>
        <w:fldChar w:fldCharType="end"/>
      </w:r>
      <w:r>
        <w:t xml:space="preserve">). </w:t>
      </w:r>
      <w:r w:rsidR="08AA4CEE">
        <w:t xml:space="preserve">Dativ vztažený k bytí </w:t>
      </w:r>
      <w:r w:rsidR="085E7552">
        <w:t>„věci</w:t>
      </w:r>
      <w:r w:rsidR="08AA4CEE">
        <w:t>“ (</w:t>
      </w:r>
      <w:r w:rsidR="08AA4CEE" w:rsidRPr="00273106">
        <w:t>τοῖς πράγμασιν</w:t>
      </w:r>
      <w:r w:rsidR="08AA4CEE">
        <w:t>) má zásadní význam pro manifestaci objektivity</w:t>
      </w:r>
      <w:r w:rsidR="00AE06A8">
        <w:t xml:space="preserve">. Moderna </w:t>
      </w:r>
      <w:r w:rsidR="08AA4CEE">
        <w:t xml:space="preserve">zakládá kategoriální predikaci v modu dějinného </w:t>
      </w:r>
      <w:r w:rsidR="08AA4CEE" w:rsidRPr="08062B89">
        <w:rPr>
          <w:i/>
        </w:rPr>
        <w:t>dativus obiectivus</w:t>
      </w:r>
      <w:r w:rsidR="08AA4CEE">
        <w:rPr>
          <w:i/>
        </w:rPr>
        <w:fldChar w:fldCharType="begin"/>
      </w:r>
      <w:r w:rsidR="08AA4CEE">
        <w:instrText xml:space="preserve"> XE "</w:instrText>
      </w:r>
      <w:r w:rsidR="08AA4CEE" w:rsidRPr="08A83036">
        <w:rPr>
          <w:i/>
        </w:rPr>
        <w:instrText>dativus obiectivus</w:instrText>
      </w:r>
      <w:r w:rsidR="08AA4CEE">
        <w:instrText xml:space="preserve">" </w:instrText>
      </w:r>
      <w:r w:rsidR="08AA4CEE">
        <w:rPr>
          <w:i/>
        </w:rPr>
        <w:fldChar w:fldCharType="end"/>
      </w:r>
      <w:r w:rsidR="08A607C5">
        <w:t xml:space="preserve"> (OBJ III, kap. 4</w:t>
      </w:r>
      <w:r w:rsidR="08AA4CEE">
        <w:t xml:space="preserve">). </w:t>
      </w:r>
      <w:r w:rsidR="00B144D2">
        <w:t xml:space="preserve">Hermeneutika musí zjistit, jaký </w:t>
      </w:r>
      <w:r w:rsidR="00B144D2" w:rsidRPr="00273106">
        <w:t xml:space="preserve">ontologický status </w:t>
      </w:r>
      <w:r w:rsidR="00B144D2">
        <w:t xml:space="preserve">má </w:t>
      </w:r>
      <w:r w:rsidR="00B144D2" w:rsidRPr="00273106">
        <w:t>t</w:t>
      </w:r>
      <w:r w:rsidR="00B144D2">
        <w:t>a</w:t>
      </w:r>
      <w:r w:rsidR="00B144D2" w:rsidRPr="00273106">
        <w:t xml:space="preserve">to </w:t>
      </w:r>
      <w:r w:rsidR="00B144D2">
        <w:t>„</w:t>
      </w:r>
      <w:r w:rsidR="006976A2">
        <w:t>pragmatika</w:t>
      </w:r>
      <w:r w:rsidR="00B144D2">
        <w:t xml:space="preserve">“. </w:t>
      </w:r>
      <w:r w:rsidR="00B144D2" w:rsidRPr="00B144D2">
        <w:t>Toto jsoucno nemůže mít jednoznačný význam, pokud jde o nutnost</w:t>
      </w:r>
      <w:r w:rsidR="008B7065">
        <w:t xml:space="preserve"> </w:t>
      </w:r>
      <w:r w:rsidR="008B7065" w:rsidRPr="00DC6664">
        <w:rPr>
          <w:szCs w:val="24"/>
        </w:rPr>
        <w:t xml:space="preserve">(καθόλου, ἐξ ἀνάγκης ὑπάρχει τοῖς πράγμασιν, </w:t>
      </w:r>
      <w:r w:rsidR="008B7065" w:rsidRPr="00DC6664">
        <w:rPr>
          <w:i/>
          <w:szCs w:val="24"/>
        </w:rPr>
        <w:t>Anal. Post</w:t>
      </w:r>
      <w:r w:rsidR="008B7065" w:rsidRPr="00DC6664">
        <w:rPr>
          <w:szCs w:val="24"/>
        </w:rPr>
        <w:t>. 73b28</w:t>
      </w:r>
      <w:r w:rsidR="008B7065" w:rsidRPr="00DC6664">
        <w:rPr>
          <w:szCs w:val="24"/>
        </w:rPr>
        <w:fldChar w:fldCharType="begin"/>
      </w:r>
      <w:r w:rsidR="008B7065" w:rsidRPr="00DC6664">
        <w:rPr>
          <w:szCs w:val="24"/>
        </w:rPr>
        <w:instrText xml:space="preserve"> XE "Aristoteles:</w:instrText>
      </w:r>
      <w:r w:rsidR="008B7065" w:rsidRPr="00DC6664">
        <w:rPr>
          <w:i/>
          <w:szCs w:val="24"/>
        </w:rPr>
        <w:instrText>Anal. Post</w:instrText>
      </w:r>
      <w:r w:rsidR="008B7065" w:rsidRPr="00DC6664">
        <w:rPr>
          <w:szCs w:val="24"/>
        </w:rPr>
        <w:instrText xml:space="preserve">. 73b28" </w:instrText>
      </w:r>
      <w:r w:rsidR="008B7065" w:rsidRPr="00DC6664">
        <w:rPr>
          <w:szCs w:val="24"/>
        </w:rPr>
        <w:fldChar w:fldCharType="end"/>
      </w:r>
      <w:r w:rsidR="008B7065">
        <w:rPr>
          <w:szCs w:val="24"/>
        </w:rPr>
        <w:t>)</w:t>
      </w:r>
      <w:r w:rsidR="00B144D2" w:rsidRPr="00B144D2">
        <w:t>. Existuje dvojí hyparchická predikace v důsledku odlišného subjektu poznání, který trvá buď na met</w:t>
      </w:r>
      <w:r w:rsidR="00811395">
        <w:t>afyzické impozici</w:t>
      </w:r>
      <w:r w:rsidR="00B144D2">
        <w:t xml:space="preserve">, nebo logicky kladené </w:t>
      </w:r>
      <w:r w:rsidR="00811395">
        <w:t xml:space="preserve">supozici </w:t>
      </w:r>
      <w:r w:rsidR="00010DA8">
        <w:rPr>
          <w:szCs w:val="24"/>
        </w:rPr>
        <w:t>(</w:t>
      </w:r>
      <w:r w:rsidR="00010DA8" w:rsidRPr="00DC6664">
        <w:rPr>
          <w:lang w:val="de-LU"/>
        </w:rPr>
        <w:t>καθ' αὑτὰ δὲ διττῶς</w:t>
      </w:r>
      <w:r w:rsidR="00010DA8">
        <w:rPr>
          <w:szCs w:val="24"/>
        </w:rPr>
        <w:t>)</w:t>
      </w:r>
      <w:r w:rsidR="00B144D2" w:rsidRPr="00B144D2">
        <w:t>.</w:t>
      </w:r>
      <w:r w:rsidR="00B144D2">
        <w:t xml:space="preserve"> </w:t>
      </w:r>
      <w:r w:rsidR="08A607C5">
        <w:t xml:space="preserve">Hyparchicky daná logická esence nemůže určovat poznání reálné první substance. Účinnou příčinou logické predikace je lidský intelekt, a ne vnější realita. </w:t>
      </w:r>
      <w:r w:rsidR="088B6489">
        <w:t>V pří</w:t>
      </w:r>
      <w:r w:rsidR="08AA4CEE">
        <w:t>padě matematického důkazu a logické abstrakce je garantem hypar</w:t>
      </w:r>
      <w:r w:rsidR="088B6489">
        <w:t>chického bytí jsoucna jen a pou</w:t>
      </w:r>
      <w:r w:rsidR="08AA4CEE">
        <w:t>z</w:t>
      </w:r>
      <w:r w:rsidR="088B6489">
        <w:t>e</w:t>
      </w:r>
      <w:r w:rsidR="08AA4CEE">
        <w:t xml:space="preserve"> poznávající subje</w:t>
      </w:r>
      <w:r w:rsidR="08A607C5">
        <w:t>k</w:t>
      </w:r>
      <w:r w:rsidR="08AA4CEE">
        <w:t xml:space="preserve">t. </w:t>
      </w:r>
      <w:r w:rsidR="088B6489">
        <w:t xml:space="preserve">Realista </w:t>
      </w:r>
      <w:r w:rsidR="08AA4CEE">
        <w:t xml:space="preserve">Aristoteles odmítl primát a monopol eidetické vědy podle Platona a </w:t>
      </w:r>
      <w:r w:rsidR="088B6489">
        <w:t xml:space="preserve">její cestu k poznání </w:t>
      </w:r>
      <w:r w:rsidR="08AA4CEE">
        <w:t xml:space="preserve">dal až na druhé místo po metafyzicky daném </w:t>
      </w:r>
      <w:r w:rsidR="08AA4CEE" w:rsidRPr="08AA4CEE">
        <w:rPr>
          <w:i/>
        </w:rPr>
        <w:t>demonstratio</w:t>
      </w:r>
      <w:r w:rsidR="004E4F19">
        <w:t>.</w:t>
      </w:r>
    </w:p>
    <w:p w14:paraId="2155510F" w14:textId="3BCB1E73" w:rsidR="006C1928" w:rsidRDefault="08175714" w:rsidP="006610B4">
      <w:pPr>
        <w:ind w:firstLine="397"/>
      </w:pPr>
      <w:r>
        <w:t xml:space="preserve">Dvojí scholastická </w:t>
      </w:r>
      <w:r w:rsidR="00B868DA">
        <w:t xml:space="preserve">exegeze </w:t>
      </w:r>
      <w:r w:rsidRPr="00AD3501">
        <w:rPr>
          <w:i/>
        </w:rPr>
        <w:t>Druhých analytik</w:t>
      </w:r>
      <w:r>
        <w:t xml:space="preserve"> zakládá kolem 1230 dvojí cestu budoucí metafyziky</w:t>
      </w:r>
      <w:r w:rsidR="003B0147">
        <w:t xml:space="preserve">. Existuje </w:t>
      </w:r>
      <w:r>
        <w:t>dvojí výklad nutnosti v</w:t>
      </w:r>
      <w:r w:rsidR="00385EE0">
        <w:t xml:space="preserve"> hyparchickém </w:t>
      </w:r>
      <w:r>
        <w:t xml:space="preserve">modu </w:t>
      </w:r>
      <w:r w:rsidR="00385EE0">
        <w:t>„</w:t>
      </w:r>
      <w:r w:rsidRPr="004D00AD">
        <w:rPr>
          <w:i/>
        </w:rPr>
        <w:t>inesse</w:t>
      </w:r>
      <w:r w:rsidR="00385EE0">
        <w:t xml:space="preserve">“. Tato dvojí modality </w:t>
      </w:r>
      <w:r w:rsidR="003B0147">
        <w:t>indikuje zakládající událost (</w:t>
      </w:r>
      <w:r w:rsidR="003B0147" w:rsidRPr="003B0147">
        <w:rPr>
          <w:i/>
        </w:rPr>
        <w:t>Ereignis</w:t>
      </w:r>
      <w:r w:rsidR="003B0147">
        <w:rPr>
          <w:i/>
        </w:rPr>
        <w:fldChar w:fldCharType="begin"/>
      </w:r>
      <w:r w:rsidR="003B0147">
        <w:instrText xml:space="preserve"> XE "</w:instrText>
      </w:r>
      <w:r w:rsidR="003B0147" w:rsidRPr="00685069">
        <w:rPr>
          <w:i/>
        </w:rPr>
        <w:instrText>Ereignis</w:instrText>
      </w:r>
      <w:r w:rsidR="003B0147">
        <w:instrText xml:space="preserve">" </w:instrText>
      </w:r>
      <w:r w:rsidR="003B0147">
        <w:rPr>
          <w:i/>
        </w:rPr>
        <w:fldChar w:fldCharType="end"/>
      </w:r>
      <w:r w:rsidR="003B0147">
        <w:t>) donace jsoucna v</w:t>
      </w:r>
      <w:r w:rsidR="00385EE0">
        <w:t> </w:t>
      </w:r>
      <w:r w:rsidR="003B0147">
        <w:t>metafyzice</w:t>
      </w:r>
      <w:r w:rsidR="00385EE0">
        <w:t xml:space="preserve"> moderny</w:t>
      </w:r>
      <w:r w:rsidR="003B0147">
        <w:t xml:space="preserve">. </w:t>
      </w:r>
      <w:r w:rsidR="00C90970" w:rsidRPr="00C90970">
        <w:t>Tento dativ určuje dvojí povahu metafyziky v důsledku</w:t>
      </w:r>
      <w:r w:rsidR="00C90970">
        <w:t xml:space="preserve"> dvojího hyparchického řádu jsoucna</w:t>
      </w:r>
      <w:r w:rsidR="00C90970" w:rsidRPr="00C90970">
        <w:t xml:space="preserve">. Zakládající nutnost </w:t>
      </w:r>
      <w:r w:rsidR="00C90970">
        <w:t xml:space="preserve">každého jsoucna </w:t>
      </w:r>
      <w:r w:rsidR="00C90970" w:rsidRPr="00C90970">
        <w:t xml:space="preserve">existuje skrze dvojí primární </w:t>
      </w:r>
      <w:r w:rsidR="00C90970">
        <w:t xml:space="preserve">impozici bytí. </w:t>
      </w:r>
      <w:r w:rsidR="00C90970" w:rsidRPr="00C90970">
        <w:t xml:space="preserve">V prvním případě </w:t>
      </w:r>
      <w:r w:rsidR="00C90970">
        <w:t xml:space="preserve">donace </w:t>
      </w:r>
      <w:r w:rsidR="00C90970" w:rsidRPr="00C90970">
        <w:t xml:space="preserve">je nutnost druhé substance stanovena </w:t>
      </w:r>
      <w:r w:rsidR="00C90970">
        <w:t xml:space="preserve">od reálných </w:t>
      </w:r>
      <w:r w:rsidR="00C90970" w:rsidRPr="00C90970">
        <w:t>věcí (τοῖς πράγμασιν</w:t>
      </w:r>
      <w:r w:rsidR="00C90970" w:rsidRPr="00C90970">
        <w:rPr>
          <w:vertAlign w:val="superscript"/>
        </w:rPr>
        <w:t>1</w:t>
      </w:r>
      <w:r w:rsidR="00C90970" w:rsidRPr="00C90970">
        <w:t xml:space="preserve">). Sleduje cestu metafyzického dativu a nutnost takového jsoucna zahrnuje hyparchické </w:t>
      </w:r>
      <w:r w:rsidR="00D85DB8">
        <w:t xml:space="preserve">bytí dané skrze metafyzickou impozici </w:t>
      </w:r>
      <w:r w:rsidR="00C90970" w:rsidRPr="00C90970">
        <w:t>významu (</w:t>
      </w:r>
      <w:r w:rsidR="00C90970" w:rsidRPr="00D85DB8">
        <w:rPr>
          <w:i/>
        </w:rPr>
        <w:t>inesse</w:t>
      </w:r>
      <w:r w:rsidR="00C90970" w:rsidRPr="00D85DB8">
        <w:rPr>
          <w:i/>
          <w:vertAlign w:val="superscript"/>
        </w:rPr>
        <w:t>1</w:t>
      </w:r>
      <w:r w:rsidR="00D206B4">
        <w:fldChar w:fldCharType="begin"/>
      </w:r>
      <w:r w:rsidR="00D206B4">
        <w:instrText xml:space="preserve"> XE "</w:instrText>
      </w:r>
      <w:r w:rsidR="00D206B4" w:rsidRPr="007B41D1">
        <w:instrText>impozice:první averroismus</w:instrText>
      </w:r>
      <w:r w:rsidR="00D206B4">
        <w:instrText xml:space="preserve">" </w:instrText>
      </w:r>
      <w:r w:rsidR="00D206B4">
        <w:fldChar w:fldCharType="end"/>
      </w:r>
      <w:r w:rsidR="00C90970" w:rsidRPr="00C90970">
        <w:t>).</w:t>
      </w:r>
      <w:r w:rsidR="00D206B4">
        <w:t xml:space="preserve"> </w:t>
      </w:r>
      <w:r w:rsidR="00D206B4" w:rsidRPr="00D206B4">
        <w:t xml:space="preserve">V druhém případě je univerzalita vytvořena jako esence v intelektu. </w:t>
      </w:r>
      <w:r w:rsidR="00D206B4">
        <w:t xml:space="preserve">Jsoucno vzniká </w:t>
      </w:r>
      <w:r w:rsidR="00D206B4" w:rsidRPr="00D206B4">
        <w:t xml:space="preserve">v mysli, </w:t>
      </w:r>
      <w:r w:rsidR="00D206B4">
        <w:lastRenderedPageBreak/>
        <w:t xml:space="preserve">která skrze takto určenou donaci tvoří hyparchické bytí </w:t>
      </w:r>
      <w:r w:rsidR="00D206B4" w:rsidRPr="00D206B4">
        <w:t>pojmu (τοῖς πράγμασιν</w:t>
      </w:r>
      <w:r w:rsidR="00D206B4" w:rsidRPr="00D206B4">
        <w:rPr>
          <w:vertAlign w:val="superscript"/>
        </w:rPr>
        <w:t>2</w:t>
      </w:r>
      <w:r w:rsidR="00D206B4" w:rsidRPr="00D206B4">
        <w:t xml:space="preserve">). Tento způsob bytí </w:t>
      </w:r>
      <w:r w:rsidR="00D206B4">
        <w:t xml:space="preserve">jsoucna </w:t>
      </w:r>
      <w:r w:rsidR="00D206B4" w:rsidRPr="00D206B4">
        <w:t>je založen na logické abstrakci dané v modu logické supozice (</w:t>
      </w:r>
      <w:r w:rsidR="00D206B4" w:rsidRPr="00D206B4">
        <w:rPr>
          <w:i/>
        </w:rPr>
        <w:t>inesse</w:t>
      </w:r>
      <w:r w:rsidR="00D206B4" w:rsidRPr="00D206B4">
        <w:rPr>
          <w:i/>
          <w:vertAlign w:val="superscript"/>
        </w:rPr>
        <w:t>2</w:t>
      </w:r>
      <w:r w:rsidR="00D206B4" w:rsidRPr="00D206B4">
        <w:t xml:space="preserve">). Logická </w:t>
      </w:r>
      <w:r w:rsidR="00D206B4">
        <w:t xml:space="preserve">esence má </w:t>
      </w:r>
      <w:r w:rsidR="00D206B4" w:rsidRPr="00D206B4">
        <w:t>vlastní druh nutnosti, který nepotřebuje metafyzický dativ. Je to abstraktní esence, která je dána pouze v myšlení.</w:t>
      </w:r>
      <w:r w:rsidR="001C54A6">
        <w:t xml:space="preserve"> Dvojí forma nutnosti dané dvojí donací bytí v metafyzice jasně ukazuje, že metafyzicky pravdivá věda musí jasně určit dvojí způsob korespondence (</w:t>
      </w:r>
      <w:r w:rsidR="001C54A6" w:rsidRPr="001C54A6">
        <w:rPr>
          <w:i/>
        </w:rPr>
        <w:t>proportio</w:t>
      </w:r>
      <w:r w:rsidR="001C54A6">
        <w:t xml:space="preserve"> v CMDA). Tato korespondence odpovídá dvojí donaci hyparchicky nutného jsoucna. Tím zakládá i dvojí teoretickou nutnost intelektuálního poznání takto darovaného hyparchického jsoucna. Pak máme dvojí formou vědeckého důkazu daného dvojí formou hyparchické nutnosti a tím i dvojí formu kategoriální predikace.</w:t>
      </w:r>
      <w:r w:rsidR="00655122">
        <w:t xml:space="preserve"> Kvůli dvojí </w:t>
      </w:r>
      <w:r>
        <w:t xml:space="preserve">abstrakci není možné tuto genericky odlišnou formu univerzálie, nutnosti a tím i deduktivního důkazu </w:t>
      </w:r>
      <w:r w:rsidR="006610B4">
        <w:t xml:space="preserve">univočně predikovat </w:t>
      </w:r>
      <w:r>
        <w:t>pro jevy dané v</w:t>
      </w:r>
      <w:r w:rsidR="003F05D9">
        <w:t> </w:t>
      </w:r>
      <w:r>
        <w:t>realitě</w:t>
      </w:r>
      <w:r w:rsidR="003F05D9">
        <w:t xml:space="preserve"> a v mysli</w:t>
      </w:r>
      <w:r>
        <w:t xml:space="preserve">. </w:t>
      </w:r>
      <w:r w:rsidR="006610B4">
        <w:t xml:space="preserve">Genus určuje poslední kategoriální univocitu významu a tady máme dvě genericky odlišné donace bytí jsoucna. Teorie dvojí pravdy daná ve </w:t>
      </w:r>
      <w:r w:rsidR="006610B4" w:rsidRPr="006610B4">
        <w:rPr>
          <w:i/>
        </w:rPr>
        <w:t>Druhých analytikách</w:t>
      </w:r>
      <w:r w:rsidR="006610B4">
        <w:t xml:space="preserve"> je nevyhnutelná, protože musí být zachována jednota metafyziky jako první vědy. </w:t>
      </w:r>
      <w:r w:rsidR="082A724F">
        <w:t xml:space="preserve">Metafyzický </w:t>
      </w:r>
      <w:r w:rsidR="08E85813">
        <w:t>d</w:t>
      </w:r>
      <w:r w:rsidR="087F5EDF">
        <w:t>ativ indikuje původní modus po</w:t>
      </w:r>
      <w:r w:rsidR="087F5EDF">
        <w:noBreakHyphen/>
        <w:t xml:space="preserve">odkrytosti Heideggerova </w:t>
      </w:r>
      <w:r w:rsidR="087F5EDF" w:rsidRPr="00DC4809">
        <w:rPr>
          <w:i/>
        </w:rPr>
        <w:t>Es gibt</w:t>
      </w:r>
      <w:r w:rsidR="087F5EDF">
        <w:rPr>
          <w:i/>
        </w:rPr>
        <w:fldChar w:fldCharType="begin"/>
      </w:r>
      <w:r w:rsidR="087F5EDF">
        <w:instrText xml:space="preserve"> XE "</w:instrText>
      </w:r>
      <w:r w:rsidR="087F5EDF" w:rsidRPr="0070512E">
        <w:rPr>
          <w:i/>
        </w:rPr>
        <w:instrText>Es gibt</w:instrText>
      </w:r>
      <w:r w:rsidR="087F5EDF">
        <w:instrText xml:space="preserve">" </w:instrText>
      </w:r>
      <w:r w:rsidR="087F5EDF">
        <w:rPr>
          <w:i/>
        </w:rPr>
        <w:fldChar w:fldCharType="end"/>
      </w:r>
      <w:r w:rsidR="087F5EDF">
        <w:t xml:space="preserve">. </w:t>
      </w:r>
      <w:r>
        <w:t xml:space="preserve">Pokud se </w:t>
      </w:r>
      <w:r w:rsidR="087F5EDF">
        <w:t xml:space="preserve">nerozdělí </w:t>
      </w:r>
      <w:r>
        <w:t>tyto rodově zcela odlišné významy obecnosti, pak dojde k objektivní predikaci univerzality v chaotickém třetím modu bytí</w:t>
      </w:r>
      <w:r w:rsidR="08653879">
        <w:t xml:space="preserve">. Toto </w:t>
      </w:r>
      <w:r w:rsidR="08653879" w:rsidRPr="08423D4C">
        <w:rPr>
          <w:i/>
        </w:rPr>
        <w:t>tertium ens</w:t>
      </w:r>
      <w:r w:rsidR="08653879">
        <w:t xml:space="preserve"> je manipulováno</w:t>
      </w:r>
      <w:r>
        <w:t xml:space="preserve"> analyticky schopnými Fúriemi</w:t>
      </w:r>
      <w:r w:rsidR="081F350B">
        <w:t xml:space="preserve"> usazenými od roku 1230 v</w:t>
      </w:r>
      <w:r w:rsidR="08986C6C">
        <w:t> </w:t>
      </w:r>
      <w:r w:rsidR="081F350B">
        <w:t>Oxfordu</w:t>
      </w:r>
      <w:r w:rsidR="08986C6C">
        <w:t xml:space="preserve">, což ukáže rozbor </w:t>
      </w:r>
      <w:r w:rsidR="08986C6C" w:rsidRPr="00DC4809">
        <w:rPr>
          <w:i/>
        </w:rPr>
        <w:t>dativus obiectivus</w:t>
      </w:r>
      <w:r w:rsidR="08986C6C">
        <w:rPr>
          <w:i/>
        </w:rPr>
        <w:fldChar w:fldCharType="begin"/>
      </w:r>
      <w:r w:rsidR="08986C6C">
        <w:instrText xml:space="preserve"> XE "</w:instrText>
      </w:r>
      <w:r w:rsidR="08986C6C" w:rsidRPr="00343046">
        <w:rPr>
          <w:i/>
        </w:rPr>
        <w:instrText>d</w:instrText>
      </w:r>
      <w:r w:rsidR="08986C6C" w:rsidRPr="00343046">
        <w:rPr>
          <w:i/>
          <w:iCs/>
        </w:rPr>
        <w:instrText>ativus obiectivus</w:instrText>
      </w:r>
      <w:r w:rsidR="08986C6C">
        <w:instrText xml:space="preserve">" </w:instrText>
      </w:r>
      <w:r w:rsidR="08986C6C">
        <w:rPr>
          <w:i/>
        </w:rPr>
        <w:fldChar w:fldCharType="end"/>
      </w:r>
      <w:r w:rsidR="08986C6C">
        <w:t xml:space="preserve"> u Rufuse (kap. 3.3.4). </w:t>
      </w:r>
      <w:r>
        <w:t xml:space="preserve">Božské síly chaosu a jimi ovlivnění ilumináti se nemusí řídit vyloučením třetího, protože jdou po třetí cestě myšlení nazvané </w:t>
      </w:r>
      <w:r>
        <w:rPr>
          <w:i/>
        </w:rPr>
        <w:t>via Moderno</w:t>
      </w:r>
      <w:r w:rsidRPr="0821261B">
        <w:rPr>
          <w:i/>
        </w:rPr>
        <w:t>rum</w:t>
      </w:r>
      <w:r>
        <w:t xml:space="preserve">. Supozice univerzality je dána </w:t>
      </w:r>
      <w:r w:rsidR="082A577E">
        <w:t>skrze novou</w:t>
      </w:r>
      <w:r w:rsidR="08804F6A">
        <w:t xml:space="preserve"> definic</w:t>
      </w:r>
      <w:r w:rsidR="082A577E">
        <w:t>i</w:t>
      </w:r>
      <w:r w:rsidR="08804F6A">
        <w:t xml:space="preserve"> „</w:t>
      </w:r>
      <w:r>
        <w:t>věci</w:t>
      </w:r>
      <w:r w:rsidR="08804F6A">
        <w:t>“</w:t>
      </w:r>
      <w:r>
        <w:t xml:space="preserve"> jako jsoucna třetího druhu (</w:t>
      </w:r>
      <w:r w:rsidRPr="00D86C85">
        <w:rPr>
          <w:i/>
        </w:rPr>
        <w:t>inesse</w:t>
      </w:r>
      <w:r>
        <w:rPr>
          <w:i/>
          <w:vertAlign w:val="superscript"/>
        </w:rPr>
        <w:t>3</w:t>
      </w:r>
      <w:r>
        <w:t>)</w:t>
      </w:r>
      <w:r w:rsidR="08804F6A">
        <w:t>.</w:t>
      </w:r>
      <w:r w:rsidR="0839160D">
        <w:t xml:space="preserve"> </w:t>
      </w:r>
      <w:r w:rsidR="081D765E">
        <w:t>Tato jsoucnost je predikována ve formě objektivního dativu vztaženého k univerzalitě jsoucna třetího druhu (</w:t>
      </w:r>
      <w:r w:rsidR="081D765E" w:rsidRPr="00273106">
        <w:t>τοῖς πράγμασιν</w:t>
      </w:r>
      <w:r w:rsidR="081D765E">
        <w:rPr>
          <w:vertAlign w:val="superscript"/>
        </w:rPr>
        <w:t>3</w:t>
      </w:r>
      <w:r w:rsidR="081D765E">
        <w:t xml:space="preserve">). </w:t>
      </w:r>
      <w:r w:rsidR="082E575A">
        <w:t xml:space="preserve">Toto mytopoetické jsoucno představuje novou formu neoplatonské hypostáze a zakládá novou „věc“ metafyziky. </w:t>
      </w:r>
      <w:r w:rsidR="081D765E">
        <w:t xml:space="preserve">Hyparchická predikace moderny přestala rozlišovat mezi směrem donace jsoucna dané buď z reality (metafyzická nutnost) nebo z mysli (logická nutnost). Tím vznikl v rámci </w:t>
      </w:r>
      <w:r w:rsidR="081D765E" w:rsidRPr="004B7EC8">
        <w:rPr>
          <w:i/>
        </w:rPr>
        <w:t>Oxfordian Fallacy</w:t>
      </w:r>
      <w:r w:rsidR="081D765E">
        <w:rPr>
          <w:i/>
        </w:rPr>
        <w:t xml:space="preserve"> </w:t>
      </w:r>
      <w:r w:rsidR="081D765E">
        <w:t>nový typ ekvivoční vědecké predikace a zmatené kategoriální nutnosti (metafyzická a logická). Z hlediska prvního averroismu je jasné, že objektivní predikace je fatální omyl</w:t>
      </w:r>
      <w:r w:rsidR="08B354D0">
        <w:t xml:space="preserve">. Deduktivní soud dostal falešný vědecký status vinou nominalistického výkladu </w:t>
      </w:r>
      <w:r w:rsidR="08B354D0" w:rsidRPr="004B7EC8">
        <w:rPr>
          <w:i/>
        </w:rPr>
        <w:t>Druhých analytik</w:t>
      </w:r>
      <w:r w:rsidR="08B354D0">
        <w:t>.</w:t>
      </w:r>
      <w:r w:rsidR="088E200B">
        <w:t xml:space="preserve"> </w:t>
      </w:r>
      <w:r w:rsidR="008904BD">
        <w:t>Grosseteste vytvořil sofistický akt donace jsoucna třetího druhu do intelektu (</w:t>
      </w:r>
      <w:r w:rsidR="008904BD" w:rsidRPr="00273106">
        <w:t>τοῖς πράγμασιν</w:t>
      </w:r>
      <w:r w:rsidR="008904BD">
        <w:rPr>
          <w:vertAlign w:val="superscript"/>
        </w:rPr>
        <w:t>3</w:t>
      </w:r>
      <w:r w:rsidR="008904BD">
        <w:t xml:space="preserve">). </w:t>
      </w:r>
      <w:r w:rsidR="008904BD" w:rsidRPr="008904BD">
        <w:t xml:space="preserve">Tento sofistický objektivní dativ zakládá objektivní donaci smíšené univerzálie, která připomíná amfibolickou </w:t>
      </w:r>
      <w:r w:rsidR="008904BD" w:rsidRPr="008904BD">
        <w:lastRenderedPageBreak/>
        <w:t xml:space="preserve">predikaci neoplatonismu (OBJ I, kap. 2.1.2). </w:t>
      </w:r>
      <w:r w:rsidR="08EF382D">
        <w:t xml:space="preserve">Tento sofisticky utvořený </w:t>
      </w:r>
      <w:r>
        <w:t>dativ zakládá novou formu bytí „věci“ jako univerzálně-individuálního jsoucna třetího druhu</w:t>
      </w:r>
      <w:r>
        <w:fldChar w:fldCharType="begin"/>
      </w:r>
      <w:r>
        <w:instrText xml:space="preserve"> XE "</w:instrText>
      </w:r>
      <w:r w:rsidRPr="007B41D1">
        <w:instrText>impozice:</w:instrText>
      </w:r>
      <w:r w:rsidR="08494959">
        <w:instrText xml:space="preserve">druhý </w:instrText>
      </w:r>
      <w:r w:rsidRPr="007B41D1">
        <w:instrText>averroismus</w:instrText>
      </w:r>
      <w:r>
        <w:instrText xml:space="preserve">" </w:instrText>
      </w:r>
      <w:r>
        <w:fldChar w:fldCharType="end"/>
      </w:r>
      <w:r w:rsidR="006C1928">
        <w:t>.</w:t>
      </w:r>
      <w:r w:rsidR="008904BD">
        <w:t xml:space="preserve"> </w:t>
      </w:r>
    </w:p>
    <w:p w14:paraId="3C87FD4C" w14:textId="436CC3B6" w:rsidR="08F97BBD" w:rsidRPr="00273106" w:rsidRDefault="006C1928" w:rsidP="007F5341">
      <w:pPr>
        <w:ind w:firstLine="397"/>
      </w:pPr>
      <w:r>
        <w:t>Analytický</w:t>
      </w:r>
      <w:r w:rsidR="08CB78E4">
        <w:t xml:space="preserve"> v</w:t>
      </w:r>
      <w:r w:rsidR="08175714">
        <w:t xml:space="preserve">ýklad </w:t>
      </w:r>
      <w:r w:rsidR="08EF382D" w:rsidRPr="08EF382D">
        <w:rPr>
          <w:i/>
        </w:rPr>
        <w:t>Druhých Analytik</w:t>
      </w:r>
      <w:r w:rsidR="08EF382D">
        <w:t xml:space="preserve"> </w:t>
      </w:r>
      <w:r w:rsidR="08175714">
        <w:t xml:space="preserve">podle </w:t>
      </w:r>
      <w:r w:rsidR="08175714" w:rsidRPr="08C040EF">
        <w:rPr>
          <w:i/>
        </w:rPr>
        <w:t>Oxfordian Fallacy</w:t>
      </w:r>
      <w:r w:rsidR="08175714">
        <w:t xml:space="preserve"> tvoří základní </w:t>
      </w:r>
      <w:r w:rsidR="08175714" w:rsidRPr="08C040EF">
        <w:rPr>
          <w:i/>
        </w:rPr>
        <w:t>Irrtum</w:t>
      </w:r>
      <w:r w:rsidR="08F97BBD">
        <w:t xml:space="preserve"> moderny, což přesně pochopil Albert</w:t>
      </w:r>
      <w:r w:rsidR="083607E8">
        <w:t xml:space="preserve"> hned na začátku své filosofické kariéry. Tento aristotelik Sicilské školy </w:t>
      </w:r>
      <w:r w:rsidR="08F97BBD">
        <w:t xml:space="preserve">napadl v díle </w:t>
      </w:r>
      <w:r w:rsidR="08F97BBD" w:rsidRPr="08F97BBD">
        <w:rPr>
          <w:i/>
        </w:rPr>
        <w:t xml:space="preserve">De homine </w:t>
      </w:r>
      <w:r w:rsidR="08F97BBD">
        <w:t>základní sofistiku celého důkazu</w:t>
      </w:r>
      <w:r w:rsidR="00C25397">
        <w:t xml:space="preserve"> (kap. 2.4.1). Škola zvaná </w:t>
      </w:r>
      <w:r w:rsidR="00C25397" w:rsidRPr="00C25397">
        <w:rPr>
          <w:i/>
        </w:rPr>
        <w:t>Latini</w:t>
      </w:r>
      <w:r w:rsidR="00C25397">
        <w:t xml:space="preserve"> provedla </w:t>
      </w:r>
      <w:r w:rsidR="08FB086E">
        <w:t>chybný výklad obou triád poznávacích principů</w:t>
      </w:r>
      <w:r w:rsidR="0030082D">
        <w:t xml:space="preserve"> vědy</w:t>
      </w:r>
      <w:r w:rsidR="00C25397">
        <w:t>.</w:t>
      </w:r>
      <w:r w:rsidR="08FB086E">
        <w:t xml:space="preserve"> </w:t>
      </w:r>
      <w:r w:rsidR="08D50251">
        <w:t xml:space="preserve">První triáda principů musí univerzalitu predikovat v modu </w:t>
      </w:r>
      <w:r w:rsidR="08D50251">
        <w:rPr>
          <w:i/>
        </w:rPr>
        <w:t>ex in</w:t>
      </w:r>
      <w:r w:rsidR="08D50251" w:rsidRPr="08EC294D">
        <w:rPr>
          <w:i/>
        </w:rPr>
        <w:t>mediatis</w:t>
      </w:r>
      <w:r w:rsidR="08D50251">
        <w:t xml:space="preserve"> podle hyparchického bytí první substance. </w:t>
      </w:r>
      <w:r w:rsidR="08EB1EB4">
        <w:t xml:space="preserve">Impozice významu </w:t>
      </w:r>
      <w:r w:rsidR="08D50251">
        <w:t xml:space="preserve">jde </w:t>
      </w:r>
      <w:r w:rsidR="08EB1EB4">
        <w:t>z reality první substance</w:t>
      </w:r>
      <w:r w:rsidR="08D50251">
        <w:t xml:space="preserve">, která určuje signifikaci v modu </w:t>
      </w:r>
      <w:r w:rsidR="082A724F">
        <w:t xml:space="preserve">metafyzického </w:t>
      </w:r>
      <w:r w:rsidR="08D50251">
        <w:t xml:space="preserve">dativu. Tím je dána kategoriální impozice významu skrze nasvícení zepředu, od reálných </w:t>
      </w:r>
      <w:r w:rsidR="08A120A0">
        <w:t>věcí.</w:t>
      </w:r>
      <w:r w:rsidR="08D50251">
        <w:t xml:space="preserve"> Jejich reálná nutnost </w:t>
      </w:r>
      <w:r w:rsidR="08EB1EB4">
        <w:t>zakládá univerzální supozici v deduktivním vědeckém soudu</w:t>
      </w:r>
      <w:r w:rsidR="08D50251">
        <w:t xml:space="preserve">. Tento soud </w:t>
      </w:r>
      <w:r w:rsidR="08EB1EB4">
        <w:t>predikuj</w:t>
      </w:r>
      <w:r w:rsidR="08D50251">
        <w:t>e</w:t>
      </w:r>
      <w:r w:rsidR="08EB1EB4">
        <w:t xml:space="preserve"> univerzální nutné </w:t>
      </w:r>
      <w:r w:rsidR="08D50251">
        <w:t xml:space="preserve">vazby mezi druhými substancemi, proto má kategoriální charakter. Ale jeho hyparchický základ je ve věcech samých, protože je založen na kauzalitě reálné </w:t>
      </w:r>
      <w:r w:rsidR="08490D1E">
        <w:t xml:space="preserve">první substance. Druhá triáda poznávajích principů má v univerzalitu sama v sobě, protože logické a matematické pojmy mají hyparchické bytí v mysli poznávajícího. Logika je nutná v momentu, kdy se myslí spojení daných univerzálních pojmů. Pak je univerzalita predikována v modu logické identity jsoucna jako hyparchicky a tedy nutně dané abstrakce. </w:t>
      </w:r>
      <w:r w:rsidR="007F5341">
        <w:t xml:space="preserve">Souběh </w:t>
      </w:r>
      <w:r w:rsidR="007F5341" w:rsidRPr="007F5341">
        <w:t xml:space="preserve">dvojí nutnosti vytváří vědecký důkaz pravdivé metafyziky. </w:t>
      </w:r>
      <w:r w:rsidR="007F5341">
        <w:t xml:space="preserve">Impozice </w:t>
      </w:r>
      <w:r w:rsidR="007F5341" w:rsidRPr="007F5341">
        <w:t>přináší existenciální nutnost skutečné věci, která je jedinečná</w:t>
      </w:r>
      <w:r w:rsidR="00FB48F7">
        <w:t xml:space="preserve">. Důkaz tedy </w:t>
      </w:r>
      <w:r w:rsidR="007F5341" w:rsidRPr="007F5341">
        <w:t xml:space="preserve">sleduje první triádu principů. Supozice </w:t>
      </w:r>
      <w:r w:rsidR="007F5341">
        <w:t xml:space="preserve">předpokládá tuto </w:t>
      </w:r>
      <w:r w:rsidR="007F5341" w:rsidRPr="007F5341">
        <w:t xml:space="preserve">jedinečnost a může vytvářet pravdivou </w:t>
      </w:r>
      <w:r w:rsidR="001D71C5">
        <w:t xml:space="preserve">univerzalitu vztaženou k reálné kauzalitě, a to </w:t>
      </w:r>
      <w:r w:rsidR="007F5341" w:rsidRPr="007F5341">
        <w:t xml:space="preserve">díky </w:t>
      </w:r>
      <w:r w:rsidR="007F5341">
        <w:t xml:space="preserve">druhé </w:t>
      </w:r>
      <w:r w:rsidR="007F5341" w:rsidRPr="007F5341">
        <w:t>triádě principů. Metafyzická nutnost je pak obohacena o logickou nutnost. Existují tedy dvě formy nutnosti: jedna hyparchicky daná ve skutečnosti a druhá supozičně daná v myšlení.</w:t>
      </w:r>
      <w:r w:rsidR="007F5341">
        <w:t xml:space="preserve"> </w:t>
      </w:r>
      <w:r w:rsidR="08490D1E">
        <w:t>Pak máme dvě formy nutnosti</w:t>
      </w:r>
      <w:r w:rsidR="081A2067">
        <w:t xml:space="preserve"> a obě existují</w:t>
      </w:r>
      <w:r w:rsidR="08A120A0">
        <w:t xml:space="preserve"> v modu </w:t>
      </w:r>
      <w:r w:rsidR="08A120A0" w:rsidRPr="081A2067">
        <w:rPr>
          <w:i/>
        </w:rPr>
        <w:t>per se</w:t>
      </w:r>
      <w:r w:rsidR="08A120A0">
        <w:t xml:space="preserve"> a univerzálně. </w:t>
      </w:r>
      <w:r w:rsidR="081F00C3">
        <w:t>První je hyparchicky daná v realitě a teprve pak je kategoriálně predikovaná v soudu a to v modu metafyzické impozice (</w:t>
      </w:r>
      <w:r w:rsidR="081F00C3" w:rsidRPr="081F00C3">
        <w:rPr>
          <w:i/>
        </w:rPr>
        <w:t>impositio</w:t>
      </w:r>
      <w:r w:rsidR="081F00C3">
        <w:t>). Druhý typ nutnosti je dán v mysli a je současně predikován v modu logické supozice (</w:t>
      </w:r>
      <w:r w:rsidR="081F00C3" w:rsidRPr="081F00C3">
        <w:rPr>
          <w:i/>
        </w:rPr>
        <w:t>suppositio</w:t>
      </w:r>
      <w:r w:rsidR="081F00C3">
        <w:t xml:space="preserve">). </w:t>
      </w:r>
      <w:r w:rsidR="08490D1E">
        <w:t xml:space="preserve">Impozice hyparchické nutnosti dané reálnou existencí první substance v modu </w:t>
      </w:r>
      <w:r w:rsidR="08490D1E" w:rsidRPr="08B11393">
        <w:rPr>
          <w:i/>
        </w:rPr>
        <w:t xml:space="preserve">per se </w:t>
      </w:r>
      <w:r w:rsidR="08490D1E">
        <w:t xml:space="preserve">a </w:t>
      </w:r>
      <w:r w:rsidR="08490D1E" w:rsidRPr="08B11393">
        <w:rPr>
          <w:i/>
        </w:rPr>
        <w:t>simpliciter</w:t>
      </w:r>
      <w:r w:rsidR="08490D1E">
        <w:t xml:space="preserve"> je adekvátní supozicí pouze a jedině v modu metafyzické abstrakce, a ne logické. </w:t>
      </w:r>
      <w:r w:rsidR="08F97BBD">
        <w:t xml:space="preserve">Oxfordští porretáni a nominalisté uzávorkovali princip reality pro vědecký důkaz tím, že zrušili hlavní poznávací princip </w:t>
      </w:r>
      <w:r w:rsidR="08D91F67">
        <w:rPr>
          <w:i/>
        </w:rPr>
        <w:t>ex in</w:t>
      </w:r>
      <w:r w:rsidR="08F97BBD" w:rsidRPr="08F97BBD">
        <w:rPr>
          <w:i/>
        </w:rPr>
        <w:t>mediatis</w:t>
      </w:r>
      <w:r w:rsidR="08F97BBD">
        <w:rPr>
          <w:i/>
        </w:rPr>
        <w:fldChar w:fldCharType="begin"/>
      </w:r>
      <w:r w:rsidR="08F97BBD">
        <w:instrText xml:space="preserve"> XE "</w:instrText>
      </w:r>
      <w:r w:rsidR="08F97BBD" w:rsidRPr="08EC210B">
        <w:instrText>princip:</w:instrText>
      </w:r>
      <w:r w:rsidR="08D91F67">
        <w:rPr>
          <w:i/>
        </w:rPr>
        <w:instrText>ex in</w:instrText>
      </w:r>
      <w:r w:rsidR="08F97BBD" w:rsidRPr="08EC210B">
        <w:rPr>
          <w:i/>
        </w:rPr>
        <w:instrText>mediatis</w:instrText>
      </w:r>
      <w:r w:rsidR="08F97BBD">
        <w:instrText xml:space="preserve">" </w:instrText>
      </w:r>
      <w:r w:rsidR="08F97BBD">
        <w:rPr>
          <w:i/>
        </w:rPr>
        <w:fldChar w:fldCharType="end"/>
      </w:r>
      <w:r w:rsidR="08F97BBD">
        <w:t xml:space="preserve">. </w:t>
      </w:r>
      <w:r w:rsidR="08175714">
        <w:t>Aristotelský výklad ukázal, že d</w:t>
      </w:r>
      <w:r w:rsidR="08175714" w:rsidRPr="00273106">
        <w:t xml:space="preserve">ruhá triáda principů poznání se liší od první </w:t>
      </w:r>
      <w:r w:rsidR="08175714" w:rsidRPr="00273106">
        <w:lastRenderedPageBreak/>
        <w:t xml:space="preserve">jiným </w:t>
      </w:r>
      <w:r w:rsidR="08514A30">
        <w:t>modem nutnosti</w:t>
      </w:r>
      <w:r w:rsidR="08BF1B0B">
        <w:t xml:space="preserve"> a </w:t>
      </w:r>
      <w:r w:rsidR="087103F3">
        <w:t xml:space="preserve">jinou formou </w:t>
      </w:r>
      <w:r w:rsidR="08BF1B0B">
        <w:t>abstrakce</w:t>
      </w:r>
      <w:r w:rsidR="08175714">
        <w:t xml:space="preserve">. </w:t>
      </w:r>
      <w:r w:rsidR="08F97BBD">
        <w:t xml:space="preserve">Zavedením identity mezi esenciální a hyparchickou predikací byla zrušena základní teze </w:t>
      </w:r>
      <w:r w:rsidR="08F97BBD" w:rsidRPr="08EC09E8">
        <w:rPr>
          <w:i/>
        </w:rPr>
        <w:t>Druhých analytik</w:t>
      </w:r>
      <w:r w:rsidR="08F97BBD">
        <w:t xml:space="preserve"> o dvojí podobě důkazu (</w:t>
      </w:r>
      <w:r w:rsidR="08F97BBD" w:rsidRPr="00273106">
        <w:t>καθ' αὑτὰ δὲ διττῶς</w:t>
      </w:r>
      <w:r w:rsidR="08F97BBD">
        <w:t xml:space="preserve">, </w:t>
      </w:r>
      <w:r w:rsidR="08F97BBD" w:rsidRPr="082A01E9">
        <w:rPr>
          <w:i/>
        </w:rPr>
        <w:t>Anal</w:t>
      </w:r>
      <w:r w:rsidR="08F97BBD">
        <w:t xml:space="preserve">. </w:t>
      </w:r>
      <w:r w:rsidR="08F97BBD" w:rsidRPr="082A01E9">
        <w:rPr>
          <w:i/>
        </w:rPr>
        <w:t>Post</w:t>
      </w:r>
      <w:r w:rsidR="08F97BBD">
        <w:t>. 84a12</w:t>
      </w:r>
      <w:r w:rsidR="08F97BBD">
        <w:fldChar w:fldCharType="begin"/>
      </w:r>
      <w:r w:rsidR="08F97BBD">
        <w:instrText xml:space="preserve"> XE "Aristoteles:</w:instrText>
      </w:r>
      <w:r w:rsidR="08F97BBD" w:rsidRPr="08221238">
        <w:rPr>
          <w:i/>
        </w:rPr>
        <w:instrText>Anal</w:instrText>
      </w:r>
      <w:r w:rsidR="08F97BBD" w:rsidRPr="08221238">
        <w:instrText xml:space="preserve">. </w:instrText>
      </w:r>
      <w:r w:rsidR="08F97BBD" w:rsidRPr="08221238">
        <w:rPr>
          <w:i/>
        </w:rPr>
        <w:instrText>Post</w:instrText>
      </w:r>
      <w:r w:rsidR="08F97BBD" w:rsidRPr="08221238">
        <w:instrText>. 84a12</w:instrText>
      </w:r>
      <w:r w:rsidR="08F97BBD">
        <w:instrText xml:space="preserve">" </w:instrText>
      </w:r>
      <w:r w:rsidR="08F97BBD">
        <w:fldChar w:fldCharType="end"/>
      </w:r>
      <w:r w:rsidR="08F97BBD">
        <w:t xml:space="preserve">). Identitární modus </w:t>
      </w:r>
      <w:r w:rsidR="0823360F">
        <w:t xml:space="preserve">v analytické predikaci přestal </w:t>
      </w:r>
      <w:r w:rsidR="08F97BBD">
        <w:t>respekto</w:t>
      </w:r>
      <w:r w:rsidR="087103F3">
        <w:t xml:space="preserve">vat ipseitu první substance. Z </w:t>
      </w:r>
      <w:r w:rsidR="08F97BBD">
        <w:t xml:space="preserve">tohoto analytického </w:t>
      </w:r>
      <w:r w:rsidR="087103F3">
        <w:t xml:space="preserve">omylu ve stylu Heideggerova </w:t>
      </w:r>
      <w:r w:rsidR="08F97BBD" w:rsidRPr="082A01E9">
        <w:rPr>
          <w:i/>
        </w:rPr>
        <w:t>Irrtum</w:t>
      </w:r>
      <w:r w:rsidR="08F97BBD">
        <w:t xml:space="preserve"> vznikla první verze </w:t>
      </w:r>
      <w:r w:rsidR="08F97BBD">
        <w:rPr>
          <w:i/>
        </w:rPr>
        <w:t>Oxf</w:t>
      </w:r>
      <w:r w:rsidR="08F97BBD" w:rsidRPr="082A01E9">
        <w:rPr>
          <w:i/>
        </w:rPr>
        <w:t>o</w:t>
      </w:r>
      <w:r w:rsidR="08F97BBD">
        <w:rPr>
          <w:i/>
        </w:rPr>
        <w:t>r</w:t>
      </w:r>
      <w:r w:rsidR="08F97BBD" w:rsidRPr="082A01E9">
        <w:rPr>
          <w:i/>
        </w:rPr>
        <w:t>dian Fallacy</w:t>
      </w:r>
      <w:r w:rsidR="08F97BBD">
        <w:t>.</w:t>
      </w:r>
      <w:r w:rsidR="08CF7E3E" w:rsidRPr="08CF7E3E">
        <w:t xml:space="preserve"> </w:t>
      </w:r>
      <w:r w:rsidR="08CF7E3E">
        <w:t xml:space="preserve">Následující citát z Grossetesteho výkladu ukazuje </w:t>
      </w:r>
      <w:r w:rsidR="08CF7E3E" w:rsidRPr="00B00ED8">
        <w:rPr>
          <w:i/>
        </w:rPr>
        <w:t>Lichtung</w:t>
      </w:r>
      <w:r w:rsidR="08CF7E3E">
        <w:rPr>
          <w:i/>
        </w:rPr>
        <w:fldChar w:fldCharType="begin"/>
      </w:r>
      <w:r w:rsidR="08CF7E3E">
        <w:instrText xml:space="preserve"> XE "</w:instrText>
      </w:r>
      <w:r w:rsidR="08CF7E3E" w:rsidRPr="00EC2F4C">
        <w:rPr>
          <w:i/>
        </w:rPr>
        <w:instrText>Lichtung:</w:instrText>
      </w:r>
      <w:r w:rsidR="08CF7E3E" w:rsidRPr="00EC2F4C">
        <w:instrText>objektivita</w:instrText>
      </w:r>
      <w:r w:rsidR="08CF7E3E">
        <w:instrText xml:space="preserve">" </w:instrText>
      </w:r>
      <w:r w:rsidR="08CF7E3E">
        <w:rPr>
          <w:i/>
        </w:rPr>
        <w:fldChar w:fldCharType="end"/>
      </w:r>
      <w:r w:rsidR="08CF7E3E">
        <w:t>, odkud vzešla pravda a nepravda moderní ob</w:t>
      </w:r>
      <w:r w:rsidR="087103F3">
        <w:t>jektivity. Klíčová věta spojuje</w:t>
      </w:r>
      <w:r w:rsidR="08CF7E3E">
        <w:t xml:space="preserve"> demonstraci hyparchické první substance s </w:t>
      </w:r>
      <w:r w:rsidR="00D56233">
        <w:rPr>
          <w:szCs w:val="24"/>
          <w:lang w:val="de-DE"/>
        </w:rPr>
        <w:t>hyparchickou parousií</w:t>
      </w:r>
      <w:r w:rsidR="08CF7E3E">
        <w:t xml:space="preserve"> esence (</w:t>
      </w:r>
      <w:r w:rsidR="08CF7E3E" w:rsidRPr="082A01E9">
        <w:rPr>
          <w:i/>
        </w:rPr>
        <w:t>demonstrativa scientia et demonstratio sint idem</w:t>
      </w:r>
      <w:r w:rsidR="08CF7E3E">
        <w:t>).</w:t>
      </w:r>
    </w:p>
    <w:p w14:paraId="480D1477" w14:textId="5064A756" w:rsidR="08F97BBD" w:rsidRPr="00273106" w:rsidRDefault="08F97BBD" w:rsidP="08F97BBD">
      <w:pPr>
        <w:pStyle w:val="Citace"/>
        <w:rPr>
          <w:noProof/>
          <w:lang w:val="cs-CZ"/>
        </w:rPr>
      </w:pPr>
      <w:r w:rsidRPr="00273106">
        <w:rPr>
          <w:noProof/>
          <w:lang w:val="cs-CZ"/>
        </w:rPr>
        <w:t>„Vědecké poznání v deduktivním soudu je dáno pravdivě, primárně a bezprostředně reálně (</w:t>
      </w:r>
      <w:r w:rsidRPr="00273106">
        <w:rPr>
          <w:i/>
          <w:noProof/>
          <w:lang w:val="cs-CZ"/>
        </w:rPr>
        <w:t>ex veris, et primis et inmediatis</w:t>
      </w:r>
      <w:r w:rsidRPr="00273106">
        <w:rPr>
          <w:noProof/>
          <w:lang w:val="cs-CZ"/>
        </w:rPr>
        <w:t>), je více známé než závěr, předchází závěr a je příčinou závěru (</w:t>
      </w:r>
      <w:r w:rsidRPr="00273106">
        <w:rPr>
          <w:i/>
          <w:noProof/>
          <w:lang w:val="cs-CZ"/>
        </w:rPr>
        <w:t>prioribus et notioribus et causis conclusionis</w:t>
      </w:r>
      <w:r w:rsidRPr="00273106">
        <w:rPr>
          <w:noProof/>
          <w:lang w:val="cs-CZ"/>
        </w:rPr>
        <w:t>). Způsob reálného poznání a postup formálního důkazu jsou totéž a obě triády principů platí společně (</w:t>
      </w:r>
      <w:r w:rsidRPr="00273106">
        <w:rPr>
          <w:i/>
          <w:noProof/>
          <w:lang w:val="cs-CZ"/>
        </w:rPr>
        <w:t>sint idem et 'ex' sumatur communiter</w:t>
      </w:r>
      <w:r w:rsidRPr="00273106">
        <w:rPr>
          <w:noProof/>
          <w:lang w:val="cs-CZ"/>
        </w:rPr>
        <w:t xml:space="preserve">). Pak můžeme chápat poznání jak v rámci výše uvedených </w:t>
      </w:r>
      <w:r w:rsidR="00B60C98">
        <w:rPr>
          <w:noProof/>
          <w:lang w:val="cs-CZ"/>
        </w:rPr>
        <w:t xml:space="preserve">prvních </w:t>
      </w:r>
      <w:r w:rsidRPr="00273106">
        <w:rPr>
          <w:noProof/>
          <w:lang w:val="cs-CZ"/>
        </w:rPr>
        <w:t xml:space="preserve">principů </w:t>
      </w:r>
      <w:r w:rsidR="0044307E">
        <w:rPr>
          <w:noProof/>
          <w:lang w:val="cs-CZ"/>
        </w:rPr>
        <w:t>nazíraných přímo</w:t>
      </w:r>
      <w:r w:rsidR="00B60C98">
        <w:rPr>
          <w:noProof/>
          <w:lang w:val="cs-CZ"/>
        </w:rPr>
        <w:t xml:space="preserve"> </w:t>
      </w:r>
      <w:r w:rsidR="00B60C98">
        <w:rPr>
          <w:lang w:val="en-US"/>
        </w:rPr>
        <w:t>(</w:t>
      </w:r>
      <w:r w:rsidR="00B60C98" w:rsidRPr="0003340C">
        <w:rPr>
          <w:i/>
          <w:lang w:val="en-US"/>
        </w:rPr>
        <w:t xml:space="preserve">ad 'ex' </w:t>
      </w:r>
      <w:r w:rsidR="00B60C98">
        <w:rPr>
          <w:i/>
          <w:lang w:val="en-US"/>
        </w:rPr>
        <w:t xml:space="preserve">... </w:t>
      </w:r>
      <w:r w:rsidR="00B60C98" w:rsidRPr="0003340C">
        <w:rPr>
          <w:i/>
          <w:lang w:val="en-US"/>
        </w:rPr>
        <w:t>dictum originaliter</w:t>
      </w:r>
      <w:r w:rsidR="00B60C98" w:rsidRPr="00B7648F">
        <w:rPr>
          <w:lang w:val="en-US"/>
        </w:rPr>
        <w:t>)</w:t>
      </w:r>
      <w:r w:rsidRPr="00273106">
        <w:rPr>
          <w:noProof/>
          <w:lang w:val="cs-CZ"/>
        </w:rPr>
        <w:t>, tak i v rámci prvních principů poznání vztažených k materii a k reálnému původu poznání (</w:t>
      </w:r>
      <w:r w:rsidRPr="00273106">
        <w:rPr>
          <w:i/>
          <w:noProof/>
          <w:lang w:val="cs-CZ"/>
        </w:rPr>
        <w:t>ad 'ex' dictum materialiter</w:t>
      </w:r>
      <w:r w:rsidRPr="00273106">
        <w:rPr>
          <w:noProof/>
          <w:lang w:val="cs-CZ"/>
        </w:rPr>
        <w:t>). Proto tvrdím, že v takto daných propozicích je současně dokázána materiální definice, a to skrze její formální definici uvedenou výše (</w:t>
      </w:r>
      <w:r w:rsidRPr="00273106">
        <w:rPr>
          <w:i/>
          <w:noProof/>
          <w:lang w:val="cs-CZ"/>
        </w:rPr>
        <w:t>probatur diffinitio materialis de suo diffinito per diffinitionem formalem</w:t>
      </w:r>
      <w:r w:rsidRPr="00273106">
        <w:rPr>
          <w:noProof/>
          <w:lang w:val="cs-CZ"/>
        </w:rPr>
        <w:t xml:space="preserve">).“ </w:t>
      </w:r>
      <w:r w:rsidRPr="00273106">
        <w:rPr>
          <w:rStyle w:val="Znakapoznpodarou"/>
          <w:noProof/>
          <w:lang w:val="cs-CZ"/>
        </w:rPr>
        <w:footnoteReference w:id="292"/>
      </w:r>
    </w:p>
    <w:p w14:paraId="031AF8DE" w14:textId="77777777" w:rsidR="00F71274" w:rsidRDefault="08527490" w:rsidP="08F97BBD">
      <w:r w:rsidRPr="00273106">
        <w:t xml:space="preserve">Grosseteste zmiňuje ve správném pořadí podle Aristotela </w:t>
      </w:r>
      <w:r>
        <w:t xml:space="preserve">nejprve </w:t>
      </w:r>
      <w:r w:rsidRPr="00273106">
        <w:t xml:space="preserve">tři principy pro poznání první substance dané přímo v realitě: </w:t>
      </w:r>
      <w:r w:rsidRPr="00273106">
        <w:rPr>
          <w:i/>
        </w:rPr>
        <w:t>ex veris, et primis et inmediatis</w:t>
      </w:r>
      <w:r>
        <w:rPr>
          <w:i/>
        </w:rPr>
        <w:fldChar w:fldCharType="begin"/>
      </w:r>
      <w:r>
        <w:instrText xml:space="preserve"> XE "</w:instrText>
      </w:r>
      <w:r w:rsidRPr="005204DC">
        <w:instrText xml:space="preserve">princip </w:instrText>
      </w:r>
      <w:r w:rsidR="08D91F67">
        <w:rPr>
          <w:i/>
        </w:rPr>
        <w:instrText>ex in</w:instrText>
      </w:r>
      <w:r w:rsidRPr="00962978">
        <w:rPr>
          <w:i/>
        </w:rPr>
        <w:instrText>mediatis</w:instrText>
      </w:r>
      <w:r>
        <w:instrText xml:space="preserve">" </w:instrText>
      </w:r>
      <w:r>
        <w:rPr>
          <w:i/>
        </w:rPr>
        <w:fldChar w:fldCharType="end"/>
      </w:r>
      <w:r w:rsidRPr="00273106">
        <w:t xml:space="preserve">. </w:t>
      </w:r>
      <w:r>
        <w:t xml:space="preserve">Tyto </w:t>
      </w:r>
      <w:r w:rsidRPr="00273106">
        <w:t>základní</w:t>
      </w:r>
      <w:r>
        <w:t xml:space="preserve"> principy</w:t>
      </w:r>
      <w:r w:rsidRPr="00273106">
        <w:t xml:space="preserve"> </w:t>
      </w:r>
      <w:r>
        <w:t xml:space="preserve">signifikují v modu univoční kategoriální impozice bytí individuální první </w:t>
      </w:r>
      <w:r w:rsidRPr="00273106">
        <w:t>substance</w:t>
      </w:r>
      <w:r>
        <w:t xml:space="preserve">. K této triádě pak </w:t>
      </w:r>
      <w:r w:rsidRPr="00273106">
        <w:t xml:space="preserve"> přidává druhou trojici </w:t>
      </w:r>
      <w:r>
        <w:t xml:space="preserve">již </w:t>
      </w:r>
      <w:r w:rsidRPr="00273106">
        <w:t xml:space="preserve">formálních principů </w:t>
      </w:r>
      <w:r>
        <w:t>sylo</w:t>
      </w:r>
      <w:r w:rsidRPr="00273106">
        <w:t>gismu, které se týkají vlastností premis v soudu (</w:t>
      </w:r>
      <w:r w:rsidRPr="00273106">
        <w:rPr>
          <w:i/>
        </w:rPr>
        <w:t>prioribus et notioribus et causis conclusionis</w:t>
      </w:r>
      <w:r w:rsidRPr="00273106">
        <w:t>). Úvodní definice demonstrativ</w:t>
      </w:r>
      <w:r>
        <w:t xml:space="preserve">ního soudu spojuje v předložce </w:t>
      </w:r>
      <w:r w:rsidRPr="00273106">
        <w:rPr>
          <w:i/>
        </w:rPr>
        <w:t>ex</w:t>
      </w:r>
      <w:r w:rsidRPr="00273106">
        <w:t xml:space="preserve"> obě důkazové řady. Reálné poznání jednotliviny je dáno v první triádě a na něj navazuje formální predikace un</w:t>
      </w:r>
      <w:r>
        <w:t xml:space="preserve">iverzálně poznaného konceptu ve druhé triádě. </w:t>
      </w:r>
      <w:r w:rsidR="08F97BBD">
        <w:t xml:space="preserve">Původní </w:t>
      </w:r>
      <w:r w:rsidR="08F97BBD" w:rsidRPr="00D36271">
        <w:rPr>
          <w:i/>
        </w:rPr>
        <w:t>Irrtum</w:t>
      </w:r>
      <w:r w:rsidR="08F97BBD">
        <w:t xml:space="preserve"> moderny je dané ambivalentním užitím předložky </w:t>
      </w:r>
      <w:r w:rsidR="08F97BBD" w:rsidRPr="00760914">
        <w:rPr>
          <w:i/>
        </w:rPr>
        <w:t>ex</w:t>
      </w:r>
      <w:r w:rsidR="08F97BBD">
        <w:t xml:space="preserve"> spojující obě triády prvních principů poznání podle </w:t>
      </w:r>
      <w:r w:rsidR="08F97BBD" w:rsidRPr="008952F5">
        <w:rPr>
          <w:i/>
        </w:rPr>
        <w:t>Druhých analytik</w:t>
      </w:r>
      <w:r w:rsidR="08F97BBD">
        <w:t xml:space="preserve"> (</w:t>
      </w:r>
      <w:r w:rsidR="08F97BBD" w:rsidRPr="00273106">
        <w:rPr>
          <w:i/>
        </w:rPr>
        <w:t>'ex' sumatur communiter</w:t>
      </w:r>
      <w:r w:rsidR="08F97BBD">
        <w:t xml:space="preserve">). Termín </w:t>
      </w:r>
      <w:r w:rsidR="08F97BBD" w:rsidRPr="00775F61">
        <w:rPr>
          <w:i/>
        </w:rPr>
        <w:t>communiter</w:t>
      </w:r>
      <w:r w:rsidR="08F97BBD">
        <w:t xml:space="preserve"> </w:t>
      </w:r>
      <w:r w:rsidR="08464917">
        <w:t xml:space="preserve">manifestuje </w:t>
      </w:r>
      <w:r w:rsidR="08F97BBD">
        <w:t xml:space="preserve">původní </w:t>
      </w:r>
      <w:r w:rsidR="08BA4D6A">
        <w:t>H</w:t>
      </w:r>
      <w:r w:rsidR="08784C0A">
        <w:t xml:space="preserve">eideggerův </w:t>
      </w:r>
      <w:r w:rsidR="08F97BBD" w:rsidRPr="008B71F3">
        <w:rPr>
          <w:i/>
        </w:rPr>
        <w:t>Ereignis</w:t>
      </w:r>
      <w:r w:rsidR="08F97BBD">
        <w:rPr>
          <w:i/>
        </w:rPr>
        <w:fldChar w:fldCharType="begin"/>
      </w:r>
      <w:r w:rsidR="08F97BBD">
        <w:instrText xml:space="preserve"> XE "</w:instrText>
      </w:r>
      <w:r w:rsidR="08F97BBD" w:rsidRPr="00120BB2">
        <w:rPr>
          <w:i/>
        </w:rPr>
        <w:instrText>Ereignis</w:instrText>
      </w:r>
      <w:r w:rsidR="08F97BBD">
        <w:instrText xml:space="preserve">" </w:instrText>
      </w:r>
      <w:r w:rsidR="08F97BBD">
        <w:rPr>
          <w:i/>
        </w:rPr>
        <w:fldChar w:fldCharType="end"/>
      </w:r>
      <w:r w:rsidR="08BA4D6A">
        <w:t xml:space="preserve">, kdy </w:t>
      </w:r>
      <w:r w:rsidR="08464917">
        <w:t xml:space="preserve">a jak </w:t>
      </w:r>
      <w:r w:rsidR="08BA4D6A">
        <w:t>vznikla</w:t>
      </w:r>
      <w:r w:rsidR="08F97BBD">
        <w:t xml:space="preserve"> moderní </w:t>
      </w:r>
      <w:r w:rsidR="08F97BBD" w:rsidRPr="00775F61">
        <w:rPr>
          <w:i/>
        </w:rPr>
        <w:t>metaphysica generalis</w:t>
      </w:r>
      <w:r w:rsidR="08F97BBD">
        <w:rPr>
          <w:i/>
        </w:rPr>
        <w:fldChar w:fldCharType="begin"/>
      </w:r>
      <w:r w:rsidR="08F97BBD">
        <w:instrText xml:space="preserve"> XE </w:instrText>
      </w:r>
      <w:r w:rsidR="08F97BBD">
        <w:lastRenderedPageBreak/>
        <w:instrText>"</w:instrText>
      </w:r>
      <w:r w:rsidR="08F97BBD" w:rsidRPr="007E3962">
        <w:rPr>
          <w:i/>
        </w:rPr>
        <w:instrText>metaphysica generalis</w:instrText>
      </w:r>
      <w:r w:rsidR="08F97BBD">
        <w:instrText xml:space="preserve">" </w:instrText>
      </w:r>
      <w:r w:rsidR="08F97BBD">
        <w:rPr>
          <w:i/>
        </w:rPr>
        <w:fldChar w:fldCharType="end"/>
      </w:r>
      <w:r w:rsidR="08464917">
        <w:t xml:space="preserve"> vybudovaná</w:t>
      </w:r>
      <w:r w:rsidR="08F97BBD">
        <w:t xml:space="preserve"> jako univoční ontoteologie. </w:t>
      </w:r>
      <w:r w:rsidR="00240B76" w:rsidRPr="00240B76">
        <w:t>Epochální chyba moderní vědy spočívá v analytickém pohledu logika. Vytvořil mytologický zdroj pravdy zdůvodněný</w:t>
      </w:r>
      <w:r w:rsidR="00240B76">
        <w:t xml:space="preserve"> nesprávně použitou předložkou „</w:t>
      </w:r>
      <w:r w:rsidR="00240B76" w:rsidRPr="00240B76">
        <w:rPr>
          <w:i/>
        </w:rPr>
        <w:t>ex</w:t>
      </w:r>
      <w:r w:rsidR="00240B76">
        <w:t>“</w:t>
      </w:r>
      <w:r w:rsidR="00240B76" w:rsidRPr="00240B76">
        <w:t>.</w:t>
      </w:r>
      <w:r w:rsidR="00240B76">
        <w:t xml:space="preserve"> </w:t>
      </w:r>
      <w:r w:rsidR="08E16CC1">
        <w:t>Heideggerovo „</w:t>
      </w:r>
      <w:r w:rsidR="08E16CC1" w:rsidRPr="08785BE0">
        <w:rPr>
          <w:i/>
        </w:rPr>
        <w:t>Es gibt</w:t>
      </w:r>
      <w:r w:rsidR="08E16CC1">
        <w:t>“ vztažené k původní donaci bytí je lokalizováno do tohoto mytopoetického zdroje moderní p</w:t>
      </w:r>
      <w:r w:rsidR="08785BE0">
        <w:t xml:space="preserve">ravdivosti. </w:t>
      </w:r>
      <w:r w:rsidR="08F97BBD">
        <w:t>C</w:t>
      </w:r>
      <w:r w:rsidR="08F97BBD" w:rsidRPr="00273106">
        <w:t xml:space="preserve">itát přestal rozlišovat mezi </w:t>
      </w:r>
      <w:r w:rsidR="08F97BBD">
        <w:t>metafyzickým určením predikace (</w:t>
      </w:r>
      <w:r w:rsidR="08F97BBD" w:rsidRPr="00273106">
        <w:rPr>
          <w:i/>
        </w:rPr>
        <w:t>ex</w:t>
      </w:r>
      <w:r w:rsidR="08F97BBD">
        <w:rPr>
          <w:i/>
          <w:vertAlign w:val="superscript"/>
        </w:rPr>
        <w:t>1</w:t>
      </w:r>
      <w:r w:rsidR="08F97BBD" w:rsidRPr="00BF42D6">
        <w:t>)</w:t>
      </w:r>
      <w:r w:rsidR="08F97BBD" w:rsidRPr="00273106">
        <w:t xml:space="preserve"> daným na úrovni hyparchické první substance </w:t>
      </w:r>
      <w:r w:rsidR="08F97BBD">
        <w:t>(</w:t>
      </w:r>
      <w:r w:rsidR="08F97BBD" w:rsidRPr="00673EBE">
        <w:rPr>
          <w:i/>
        </w:rPr>
        <w:t>impositio</w:t>
      </w:r>
      <w:r w:rsidR="08F97BBD">
        <w:rPr>
          <w:i/>
        </w:rPr>
        <w:fldChar w:fldCharType="begin"/>
      </w:r>
      <w:r w:rsidR="08F97BBD">
        <w:instrText xml:space="preserve"> XE "</w:instrText>
      </w:r>
      <w:r w:rsidR="08F97BBD" w:rsidRPr="00A77C89">
        <w:instrText>impozice:Grosseteste</w:instrText>
      </w:r>
      <w:r w:rsidR="08F97BBD">
        <w:instrText xml:space="preserve">" </w:instrText>
      </w:r>
      <w:r w:rsidR="08F97BBD">
        <w:rPr>
          <w:i/>
        </w:rPr>
        <w:fldChar w:fldCharType="end"/>
      </w:r>
      <w:r w:rsidR="08F97BBD">
        <w:t xml:space="preserve">) </w:t>
      </w:r>
      <w:r w:rsidR="08F97BBD" w:rsidRPr="00273106">
        <w:t xml:space="preserve">a mezi následnou </w:t>
      </w:r>
      <w:r w:rsidR="08F97BBD">
        <w:t>logickou triádou formální logiky (</w:t>
      </w:r>
      <w:r w:rsidR="08F97BBD" w:rsidRPr="00273106">
        <w:rPr>
          <w:i/>
        </w:rPr>
        <w:t>ex</w:t>
      </w:r>
      <w:r w:rsidR="08F97BBD">
        <w:rPr>
          <w:i/>
          <w:vertAlign w:val="superscript"/>
        </w:rPr>
        <w:t>2</w:t>
      </w:r>
      <w:r w:rsidR="08F97BBD" w:rsidRPr="00BF42D6">
        <w:t>)</w:t>
      </w:r>
      <w:r w:rsidR="08F97BBD" w:rsidRPr="00273106">
        <w:t xml:space="preserve"> </w:t>
      </w:r>
      <w:r w:rsidR="08F97BBD">
        <w:t>zajišťující logické principy soudu (</w:t>
      </w:r>
      <w:r w:rsidR="08F97BBD" w:rsidRPr="00673EBE">
        <w:rPr>
          <w:i/>
        </w:rPr>
        <w:t>suppositio</w:t>
      </w:r>
      <w:r w:rsidR="08F97BBD">
        <w:t>)</w:t>
      </w:r>
      <w:r w:rsidR="08F97BBD" w:rsidRPr="00273106">
        <w:t xml:space="preserve">. Podle </w:t>
      </w:r>
      <w:r w:rsidR="08F97BBD">
        <w:t xml:space="preserve">tohoto </w:t>
      </w:r>
      <w:r w:rsidR="08F97BBD" w:rsidRPr="00273106">
        <w:t xml:space="preserve">citátu zakládajícího </w:t>
      </w:r>
      <w:r w:rsidR="08FA0F45">
        <w:t xml:space="preserve">mytopoetické </w:t>
      </w:r>
      <w:r w:rsidR="08F97BBD" w:rsidRPr="00273106">
        <w:t xml:space="preserve">vědecké poznání </w:t>
      </w:r>
      <w:r w:rsidR="08F97BBD" w:rsidRPr="00273106">
        <w:rPr>
          <w:i/>
        </w:rPr>
        <w:t>Modernorum</w:t>
      </w:r>
      <w:r w:rsidR="08F97BBD" w:rsidRPr="00273106">
        <w:t xml:space="preserve"> jsou obě trojice principů zaměnitelné mezi sebou v rámci univočního pojetí všech šesti principů (</w:t>
      </w:r>
      <w:r w:rsidR="08F97BBD" w:rsidRPr="00273106">
        <w:rPr>
          <w:i/>
        </w:rPr>
        <w:t>'ex' sumatur communiter</w:t>
      </w:r>
      <w:r w:rsidR="08F97BBD" w:rsidRPr="00273106">
        <w:t xml:space="preserve">). </w:t>
      </w:r>
      <w:r w:rsidR="08F97BBD">
        <w:t xml:space="preserve">To je sice </w:t>
      </w:r>
      <w:r w:rsidR="080B5185">
        <w:t>formálně-logicky správně. A</w:t>
      </w:r>
      <w:r w:rsidR="08F97BBD">
        <w:t>le podle v</w:t>
      </w:r>
      <w:r w:rsidR="08B82562">
        <w:t xml:space="preserve">ýše uvedeného klasického </w:t>
      </w:r>
      <w:r w:rsidR="080B5185">
        <w:t xml:space="preserve">a ne moderního </w:t>
      </w:r>
      <w:r w:rsidR="08B82562">
        <w:t xml:space="preserve">výkladu </w:t>
      </w:r>
      <w:r w:rsidR="08F97BBD" w:rsidRPr="00345EAB">
        <w:rPr>
          <w:i/>
        </w:rPr>
        <w:t>Druhých analytik</w:t>
      </w:r>
      <w:r w:rsidR="08F97BBD">
        <w:t xml:space="preserve"> je třeba v metafyzické abstrakci jasně rozlišit modus impozice</w:t>
      </w:r>
      <w:r w:rsidR="08305E9C">
        <w:t>. Jinak dostaneme nikoliv reálnou vědu, ale postmoderní metaforickou mytopoetiku, protože bez impozice není možné pojetí pravdy jako adekvace reality a poznání</w:t>
      </w:r>
      <w:r w:rsidR="08F97BBD">
        <w:t xml:space="preserve">. </w:t>
      </w:r>
      <w:r w:rsidR="082A724F">
        <w:t xml:space="preserve">Metafyzický </w:t>
      </w:r>
      <w:r w:rsidR="08F97BBD">
        <w:t xml:space="preserve">dativ </w:t>
      </w:r>
      <w:r w:rsidR="08305E9C">
        <w:t xml:space="preserve">závazně </w:t>
      </w:r>
      <w:r w:rsidR="08302039">
        <w:t xml:space="preserve">určuje pořadí donace významu </w:t>
      </w:r>
      <w:r w:rsidR="08F97BBD">
        <w:t>a dává vědě její správné místo (</w:t>
      </w:r>
      <w:r w:rsidR="08F97BBD" w:rsidRPr="08EB44A7">
        <w:rPr>
          <w:i/>
        </w:rPr>
        <w:t>ortus scientiarum</w:t>
      </w:r>
      <w:r w:rsidR="08F97BBD">
        <w:t>). Pořadí zjevování smyslu jsoucna je dáno existenc</w:t>
      </w:r>
      <w:r w:rsidR="08302039">
        <w:t xml:space="preserve">í reálné věci. To pro </w:t>
      </w:r>
      <w:r w:rsidR="08F97BBD">
        <w:t xml:space="preserve">vědu znamená determinaci univerzálního významu od </w:t>
      </w:r>
      <w:r w:rsidR="08302039">
        <w:t xml:space="preserve">původního </w:t>
      </w:r>
      <w:r w:rsidR="08F97BBD">
        <w:t>místa</w:t>
      </w:r>
      <w:r w:rsidR="08302039">
        <w:t xml:space="preserve"> vědy</w:t>
      </w:r>
      <w:r w:rsidR="00752B29">
        <w:t>, kde jsou</w:t>
      </w:r>
      <w:r w:rsidR="08F97BBD">
        <w:t xml:space="preserve"> kauzalita </w:t>
      </w:r>
      <w:r w:rsidR="00752B29">
        <w:t>a nutnost dány</w:t>
      </w:r>
      <w:r w:rsidR="08F97BBD">
        <w:t xml:space="preserve"> hyparchickým způsobem. Tuto kauzalitu danou reálně pak </w:t>
      </w:r>
      <w:r w:rsidR="08F1756F">
        <w:t xml:space="preserve">metafyzické </w:t>
      </w:r>
      <w:r w:rsidR="08F1756F" w:rsidRPr="08F1756F">
        <w:rPr>
          <w:i/>
        </w:rPr>
        <w:t>demonstratio</w:t>
      </w:r>
      <w:r w:rsidR="08F1756F">
        <w:t xml:space="preserve"> predikuje </w:t>
      </w:r>
      <w:r w:rsidR="08F97BBD">
        <w:t xml:space="preserve">univočně </w:t>
      </w:r>
      <w:r w:rsidR="08F1756F">
        <w:t xml:space="preserve">a </w:t>
      </w:r>
      <w:r w:rsidR="08F97BBD">
        <w:t>univerzálně</w:t>
      </w:r>
      <w:r w:rsidR="08B53470" w:rsidRPr="08B53470">
        <w:t xml:space="preserve"> </w:t>
      </w:r>
      <w:r w:rsidR="08B53470">
        <w:t>skrze archaický dativ</w:t>
      </w:r>
      <w:r w:rsidR="08F97BBD">
        <w:t>.</w:t>
      </w:r>
      <w:r w:rsidR="08490D1E">
        <w:t xml:space="preserve"> </w:t>
      </w:r>
      <w:r w:rsidR="08175714">
        <w:t>V</w:t>
      </w:r>
      <w:r w:rsidR="08175714" w:rsidRPr="00273106">
        <w:t xml:space="preserve"> rámci autentického aristotelismu </w:t>
      </w:r>
      <w:r w:rsidR="08175714">
        <w:t xml:space="preserve">podle </w:t>
      </w:r>
      <w:r w:rsidR="08175714" w:rsidRPr="08E55F0C">
        <w:rPr>
          <w:i/>
        </w:rPr>
        <w:t>Druhých analytik</w:t>
      </w:r>
      <w:r w:rsidR="08175714">
        <w:t xml:space="preserve"> </w:t>
      </w:r>
      <w:r w:rsidR="08175714" w:rsidRPr="00273106">
        <w:t>je jasn</w:t>
      </w:r>
      <w:r w:rsidR="08175714">
        <w:t>é, že p</w:t>
      </w:r>
      <w:r w:rsidR="08B53470">
        <w:t xml:space="preserve">rvní forma nutnosti pro logické, matematické a geometrické </w:t>
      </w:r>
      <w:r w:rsidR="08175714" w:rsidRPr="00273106">
        <w:rPr>
          <w:i/>
        </w:rPr>
        <w:t>inesse</w:t>
      </w:r>
      <w:r w:rsidR="08175714">
        <w:rPr>
          <w:i/>
        </w:rPr>
        <w:fldChar w:fldCharType="begin"/>
      </w:r>
      <w:r w:rsidR="08175714">
        <w:instrText xml:space="preserve"> XE "esence:</w:instrText>
      </w:r>
      <w:r w:rsidR="08175714" w:rsidRPr="00CF4ADF">
        <w:rPr>
          <w:i/>
        </w:rPr>
        <w:instrText>inesse</w:instrText>
      </w:r>
      <w:r w:rsidR="08175714">
        <w:instrText xml:space="preserve">" </w:instrText>
      </w:r>
      <w:r w:rsidR="08175714">
        <w:rPr>
          <w:i/>
        </w:rPr>
        <w:fldChar w:fldCharType="end"/>
      </w:r>
      <w:r w:rsidR="08175714" w:rsidRPr="00273106">
        <w:t xml:space="preserve"> platí </w:t>
      </w:r>
      <w:r w:rsidR="08175714">
        <w:t xml:space="preserve">univočně </w:t>
      </w:r>
      <w:r w:rsidR="08175714" w:rsidRPr="00273106">
        <w:t xml:space="preserve">pouze v rámci </w:t>
      </w:r>
      <w:r w:rsidR="08175714">
        <w:t>potenciálního bytí jsoucna daného univerzálně-abstraktně</w:t>
      </w:r>
      <w:r w:rsidR="08175714">
        <w:fldChar w:fldCharType="begin"/>
      </w:r>
      <w:r w:rsidR="08175714">
        <w:instrText xml:space="preserve"> XE "</w:instrText>
      </w:r>
      <w:r w:rsidR="08175714" w:rsidRPr="00A824F0">
        <w:instrText>abstrakce:matematická</w:instrText>
      </w:r>
      <w:r w:rsidR="08175714">
        <w:instrText xml:space="preserve">" </w:instrText>
      </w:r>
      <w:r w:rsidR="08175714">
        <w:fldChar w:fldCharType="end"/>
      </w:r>
      <w:r w:rsidR="08175714" w:rsidRPr="00273106">
        <w:t xml:space="preserve">. </w:t>
      </w:r>
      <w:r w:rsidR="08175714">
        <w:t>Druhá triáda poznávacích principů zajišťuje pouze formální nutnost soudu platnou logicky, ale ne kauzální nutnost demonstrace platnou metafyzicky. Tu predikuje první triáda principů determinovaná hyparchickým bytím a reálnou kauzalitou první substance. Metafyzická ipseita v</w:t>
      </w:r>
      <w:r w:rsidR="08B82DE9">
        <w:t>ěci není její logická identita</w:t>
      </w:r>
      <w:r w:rsidR="08F74934">
        <w:t>. P</w:t>
      </w:r>
      <w:r w:rsidR="08B82DE9">
        <w:t xml:space="preserve">roto </w:t>
      </w:r>
      <w:r w:rsidR="08DC07E8">
        <w:t xml:space="preserve">je </w:t>
      </w:r>
      <w:r w:rsidR="08B82DE9">
        <w:t>aristotelská osoba</w:t>
      </w:r>
      <w:r w:rsidR="08F74934">
        <w:t xml:space="preserve"> </w:t>
      </w:r>
      <w:r w:rsidR="08DC07E8">
        <w:t xml:space="preserve">v existenciálním výkonu myšlení </w:t>
      </w:r>
      <w:r w:rsidR="08DC07E8" w:rsidRPr="08DC07E8">
        <w:rPr>
          <w:szCs w:val="24"/>
        </w:rPr>
        <w:t>(</w:t>
      </w:r>
      <w:r w:rsidR="08DC07E8" w:rsidRPr="08DC07E8">
        <w:rPr>
          <w:i/>
          <w:szCs w:val="24"/>
        </w:rPr>
        <w:t xml:space="preserve">tertium </w:t>
      </w:r>
      <w:r w:rsidR="00B1298A">
        <w:rPr>
          <w:i/>
          <w:szCs w:val="24"/>
        </w:rPr>
        <w:t>genus</w:t>
      </w:r>
      <w:r w:rsidR="08DC07E8" w:rsidRPr="08DC07E8">
        <w:rPr>
          <w:szCs w:val="24"/>
        </w:rPr>
        <w:t>) a jako abstrakce (</w:t>
      </w:r>
      <w:r w:rsidR="08DC07E8" w:rsidRPr="08DC07E8">
        <w:rPr>
          <w:i/>
          <w:szCs w:val="24"/>
        </w:rPr>
        <w:t xml:space="preserve">quartum </w:t>
      </w:r>
      <w:r w:rsidR="00B1298A">
        <w:rPr>
          <w:i/>
          <w:szCs w:val="24"/>
        </w:rPr>
        <w:t>genus</w:t>
      </w:r>
      <w:r w:rsidR="08DC07E8" w:rsidRPr="08DC07E8">
        <w:rPr>
          <w:szCs w:val="24"/>
        </w:rPr>
        <w:t xml:space="preserve">) </w:t>
      </w:r>
      <w:r w:rsidR="08DC07E8">
        <w:rPr>
          <w:szCs w:val="24"/>
        </w:rPr>
        <w:t xml:space="preserve">něco úplně jiného než </w:t>
      </w:r>
      <w:r w:rsidR="08B82DE9">
        <w:t>moderní subjekt</w:t>
      </w:r>
      <w:r w:rsidR="08F74934">
        <w:t xml:space="preserve"> daný jako jsoucno třetího druhu</w:t>
      </w:r>
      <w:r w:rsidR="00F71274">
        <w:t xml:space="preserve"> </w:t>
      </w:r>
      <w:r w:rsidR="00F71274">
        <w:rPr>
          <w:lang w:eastAsia="en-US"/>
        </w:rPr>
        <w:t>(</w:t>
      </w:r>
      <w:r w:rsidR="00F71274" w:rsidRPr="00DA40FE">
        <w:rPr>
          <w:i/>
          <w:lang w:eastAsia="en-US"/>
        </w:rPr>
        <w:t>individuum</w:t>
      </w:r>
      <w:r w:rsidR="00F71274">
        <w:rPr>
          <w:lang w:eastAsia="en-US"/>
        </w:rPr>
        <w:t>)</w:t>
      </w:r>
      <w:r w:rsidR="08B82DE9">
        <w:t xml:space="preserve">. </w:t>
      </w:r>
      <w:r w:rsidR="08F74934">
        <w:t>Tento fakt věděla a bránila škola prvního averroismu až</w:t>
      </w:r>
      <w:r w:rsidR="00F71274">
        <w:t xml:space="preserve"> do jejího zničení v roce 1277.</w:t>
      </w:r>
    </w:p>
    <w:p w14:paraId="38D6FA7D" w14:textId="4CB7B899" w:rsidR="0817182D" w:rsidRDefault="08175714" w:rsidP="00F71274">
      <w:pPr>
        <w:ind w:firstLine="397"/>
      </w:pPr>
      <w:r>
        <w:t xml:space="preserve">Logický analytik může vzít obě nutnosti univočně, ale metafyzik nikoliv. </w:t>
      </w:r>
      <w:r w:rsidRPr="00273106">
        <w:t xml:space="preserve">Oba typy univerzálně predikované nutnosti </w:t>
      </w:r>
      <w:r>
        <w:t xml:space="preserve">dané inherentně </w:t>
      </w:r>
      <w:r w:rsidRPr="00273106">
        <w:t>(ἐξ ἀνάγκης ὑπάρχει) se vztahují jak na kategoriální predikaci v rámci de</w:t>
      </w:r>
      <w:r>
        <w:t xml:space="preserve">terminace první substance dané </w:t>
      </w:r>
      <w:r w:rsidRPr="00273106">
        <w:rPr>
          <w:i/>
        </w:rPr>
        <w:t>per se</w:t>
      </w:r>
      <w:r>
        <w:t xml:space="preserve"> a </w:t>
      </w:r>
      <w:r w:rsidRPr="00273106">
        <w:rPr>
          <w:i/>
        </w:rPr>
        <w:t>simpliciter</w:t>
      </w:r>
      <w:r w:rsidRPr="00273106">
        <w:t xml:space="preserve">, tak i na </w:t>
      </w:r>
      <w:r w:rsidRPr="00273106">
        <w:lastRenderedPageBreak/>
        <w:t xml:space="preserve">esenciální predikaci v modu </w:t>
      </w:r>
      <w:r>
        <w:t xml:space="preserve">logické </w:t>
      </w:r>
      <w:r w:rsidRPr="00273106">
        <w:t>abstrakce</w:t>
      </w:r>
      <w:r>
        <w:t xml:space="preserve">, taktéž dané </w:t>
      </w:r>
      <w:r w:rsidRPr="00273106">
        <w:rPr>
          <w:i/>
        </w:rPr>
        <w:t>per se</w:t>
      </w:r>
      <w:r>
        <w:t xml:space="preserve"> a </w:t>
      </w:r>
      <w:r w:rsidRPr="00273106">
        <w:rPr>
          <w:i/>
        </w:rPr>
        <w:t>simpliciter</w:t>
      </w:r>
      <w:r w:rsidRPr="00273106">
        <w:t xml:space="preserve">. Záměna obou triád </w:t>
      </w:r>
      <w:r w:rsidR="08B2749C">
        <w:t xml:space="preserve">poznávacích principů </w:t>
      </w:r>
      <w:r w:rsidRPr="00273106">
        <w:t xml:space="preserve">není možná </w:t>
      </w:r>
      <w:r>
        <w:t xml:space="preserve">kvůli hyparchické impozici založené na </w:t>
      </w:r>
      <w:r w:rsidR="08B2749C">
        <w:t xml:space="preserve">reálné kauzální nutnosti. V metafyzickém důkazu </w:t>
      </w:r>
      <w:r w:rsidR="08557BE4">
        <w:t xml:space="preserve">se </w:t>
      </w:r>
      <w:r w:rsidR="081A7572">
        <w:t>poznáv</w:t>
      </w:r>
      <w:r w:rsidR="08557BE4">
        <w:t xml:space="preserve">á realita </w:t>
      </w:r>
      <w:r w:rsidR="081A7572">
        <w:t>adekvátně</w:t>
      </w:r>
      <w:r w:rsidR="08557BE4">
        <w:t>-n</w:t>
      </w:r>
      <w:r w:rsidR="081A7572">
        <w:t>utně</w:t>
      </w:r>
      <w:r w:rsidR="08557BE4">
        <w:t xml:space="preserve">. Proto v něm </w:t>
      </w:r>
      <w:r w:rsidR="08B2749C">
        <w:t xml:space="preserve">platí, že </w:t>
      </w:r>
      <w:r w:rsidR="081A7572">
        <w:t>kauzální nutnost</w:t>
      </w:r>
      <w:r w:rsidR="08B2749C">
        <w:t xml:space="preserve"> </w:t>
      </w:r>
      <w:r w:rsidR="081A7572">
        <w:t xml:space="preserve">prvních substancí </w:t>
      </w:r>
      <w:r w:rsidR="08B2749C">
        <w:t xml:space="preserve">obsažená ve středním členu soudu podle principu </w:t>
      </w:r>
      <w:r w:rsidR="08D91F67">
        <w:rPr>
          <w:i/>
        </w:rPr>
        <w:t>ex in</w:t>
      </w:r>
      <w:r w:rsidR="08B2749C" w:rsidRPr="08B2749C">
        <w:rPr>
          <w:i/>
        </w:rPr>
        <w:t>mediatis</w:t>
      </w:r>
      <w:r w:rsidR="08B2749C">
        <w:t xml:space="preserve"> </w:t>
      </w:r>
      <w:r>
        <w:t xml:space="preserve">určuje </w:t>
      </w:r>
      <w:r w:rsidR="08B2749C">
        <w:t>druhou triádu poznávacích principů</w:t>
      </w:r>
      <w:r w:rsidR="081A7572">
        <w:t xml:space="preserve">. </w:t>
      </w:r>
      <w:r w:rsidR="08030912">
        <w:t>P</w:t>
      </w:r>
      <w:r w:rsidR="08030912" w:rsidRPr="00273106">
        <w:t xml:space="preserve">oznání jde </w:t>
      </w:r>
      <w:r w:rsidR="08030912">
        <w:t xml:space="preserve">metafyzicky nutně </w:t>
      </w:r>
      <w:r w:rsidR="08030912" w:rsidRPr="00273106">
        <w:t>od reality k mysli, tedy od první triády principů ke druhé.</w:t>
      </w:r>
      <w:r w:rsidR="08030912">
        <w:t xml:space="preserve"> </w:t>
      </w:r>
      <w:r w:rsidR="081A7572">
        <w:t xml:space="preserve">Impozice </w:t>
      </w:r>
      <w:r w:rsidR="08EE4F11">
        <w:t xml:space="preserve">archaického bytí první substance </w:t>
      </w:r>
      <w:r w:rsidR="081A7572">
        <w:t>je první v řadě</w:t>
      </w:r>
      <w:r w:rsidR="0827781F">
        <w:t xml:space="preserve"> poznání</w:t>
      </w:r>
      <w:r w:rsidR="081A7572">
        <w:t xml:space="preserve">, protože </w:t>
      </w:r>
      <w:r w:rsidR="08B2749C">
        <w:t>formální supozice</w:t>
      </w:r>
      <w:r>
        <w:fldChar w:fldCharType="begin"/>
      </w:r>
      <w:r>
        <w:instrText xml:space="preserve"> XE "</w:instrText>
      </w:r>
      <w:r w:rsidRPr="004D7BE1">
        <w:instrText>supozice:objektivní</w:instrText>
      </w:r>
      <w:r>
        <w:instrText xml:space="preserve">" </w:instrText>
      </w:r>
      <w:r>
        <w:fldChar w:fldCharType="end"/>
      </w:r>
      <w:r>
        <w:t xml:space="preserve"> </w:t>
      </w:r>
      <w:r w:rsidR="081A7572">
        <w:t xml:space="preserve">druhé triády </w:t>
      </w:r>
      <w:r w:rsidR="08B2749C">
        <w:t xml:space="preserve">je založena pouze </w:t>
      </w:r>
      <w:r>
        <w:t>na logické nutnosti</w:t>
      </w:r>
      <w:r w:rsidR="08EE4F11">
        <w:t xml:space="preserve"> dané jako parousie významu v mysli</w:t>
      </w:r>
      <w:r w:rsidR="0827781F">
        <w:t xml:space="preserve"> poznávajícího</w:t>
      </w:r>
      <w:r>
        <w:t>. Proto má z</w:t>
      </w:r>
      <w:r w:rsidRPr="00273106">
        <w:t xml:space="preserve">atmění </w:t>
      </w:r>
      <w:r>
        <w:t xml:space="preserve">slunce </w:t>
      </w:r>
      <w:r w:rsidRPr="00273106">
        <w:t xml:space="preserve">hyparchickou formu </w:t>
      </w:r>
      <w:r>
        <w:t xml:space="preserve">nutnosti dané v realitě, aby platilo jako </w:t>
      </w:r>
      <w:r w:rsidRPr="00273106">
        <w:t>vědecký d</w:t>
      </w:r>
      <w:r>
        <w:t xml:space="preserve">ůkaz v řádu pravdy jako adekvace mysli k věci. Tím se liší vědecká nutnost přírodních </w:t>
      </w:r>
      <w:r w:rsidR="08E17E7F">
        <w:t xml:space="preserve">a humanitních </w:t>
      </w:r>
      <w:r>
        <w:t xml:space="preserve">věd od </w:t>
      </w:r>
      <w:r w:rsidRPr="00273106">
        <w:t xml:space="preserve">formální dedukce </w:t>
      </w:r>
      <w:r>
        <w:t xml:space="preserve">dané logickou nutností </w:t>
      </w:r>
      <w:r w:rsidRPr="00273106">
        <w:t xml:space="preserve">v rámci geometrie a matematiky. </w:t>
      </w:r>
      <w:r>
        <w:t xml:space="preserve">První nutnost je dána vzájemným působením reálných prvních substancí kauzálně činných při úkazu zatmění (Slunce, Země, Měsíc). Druhá nutnost ohledně definice trojúhelníka je dána pouze v lidské mysli jako logická abstrakce. </w:t>
      </w:r>
      <w:r w:rsidR="00783B7B">
        <w:t>T</w:t>
      </w:r>
      <w:r w:rsidR="00783B7B" w:rsidRPr="00783B7B">
        <w:t xml:space="preserve">ento zásadní rozdíl mezi dvojí univerzalitou a nutností dokazuje v </w:t>
      </w:r>
      <w:r w:rsidR="00783B7B" w:rsidRPr="00783B7B">
        <w:rPr>
          <w:i/>
        </w:rPr>
        <w:t>Druhých analytikách</w:t>
      </w:r>
      <w:r w:rsidR="00783B7B" w:rsidRPr="00783B7B">
        <w:t xml:space="preserve"> platnost metafyziky jak</w:t>
      </w:r>
      <w:r w:rsidR="00783B7B">
        <w:t xml:space="preserve">o jediné první vědy. </w:t>
      </w:r>
      <w:r>
        <w:t xml:space="preserve">Analytická škola daná skrze </w:t>
      </w:r>
      <w:r w:rsidRPr="00E03315">
        <w:rPr>
          <w:i/>
        </w:rPr>
        <w:t>Oxfordian Fallacy</w:t>
      </w:r>
      <w:r>
        <w:rPr>
          <w:i/>
        </w:rPr>
        <w:fldChar w:fldCharType="begin"/>
      </w:r>
      <w:r>
        <w:instrText xml:space="preserve"> XE "</w:instrText>
      </w:r>
      <w:r w:rsidRPr="0015798D">
        <w:rPr>
          <w:i/>
        </w:rPr>
        <w:instrText>Oxfordian Fallacy:</w:instrText>
      </w:r>
      <w:r>
        <w:instrText xml:space="preserve">analytický výklad" </w:instrText>
      </w:r>
      <w:r>
        <w:rPr>
          <w:i/>
        </w:rPr>
        <w:fldChar w:fldCharType="end"/>
      </w:r>
      <w:r>
        <w:t xml:space="preserve"> nevidí žádný rodový rozdíl mezi oběma druhy univerzality a nutnosti, protože pracuje ve scénáři univocity dané logickou či matematickou abstrakcí a hájí abstraktní</w:t>
      </w:r>
      <w:r w:rsidR="08B73ED4">
        <w:t xml:space="preserve"> vidění světa daného porretány. </w:t>
      </w:r>
      <w:r w:rsidR="08E205F7">
        <w:t>Objektivita vznikla tím, že p</w:t>
      </w:r>
      <w:r w:rsidR="00CD54A5" w:rsidRPr="00273106">
        <w:t>oznání intelektu se oddělilo od smyslově vnímané reality a dostalo nový status</w:t>
      </w:r>
      <w:r w:rsidR="08150EDA">
        <w:t xml:space="preserve"> odvozený od absolutizované parousie významu</w:t>
      </w:r>
      <w:r w:rsidR="00C13E2C">
        <w:t xml:space="preserve">. Smysl světa přichází přímo do </w:t>
      </w:r>
      <w:r w:rsidR="08150EDA">
        <w:t>mysli moderního a postmoderního ilumináta</w:t>
      </w:r>
      <w:r w:rsidR="00CD54A5" w:rsidRPr="00273106">
        <w:t xml:space="preserve">. </w:t>
      </w:r>
      <w:r w:rsidR="08B73ED4">
        <w:t>V případě vědeckého soudu (</w:t>
      </w:r>
      <w:r w:rsidR="08B73ED4" w:rsidRPr="08EB44A7">
        <w:rPr>
          <w:i/>
        </w:rPr>
        <w:t>demo</w:t>
      </w:r>
      <w:r w:rsidR="08B73ED4">
        <w:rPr>
          <w:i/>
        </w:rPr>
        <w:t>n</w:t>
      </w:r>
      <w:r w:rsidR="08B73ED4" w:rsidRPr="08EB44A7">
        <w:rPr>
          <w:i/>
        </w:rPr>
        <w:t>stratio</w:t>
      </w:r>
      <w:r w:rsidR="08B73ED4">
        <w:t xml:space="preserve">) je již nepřítomná </w:t>
      </w:r>
      <w:r w:rsidR="08C77C49">
        <w:t xml:space="preserve">reálná </w:t>
      </w:r>
      <w:r w:rsidR="08B73ED4">
        <w:t xml:space="preserve">kauzalita daná v minulostním modu </w:t>
      </w:r>
      <w:r w:rsidR="08B73ED4" w:rsidRPr="08EB44A7">
        <w:rPr>
          <w:i/>
        </w:rPr>
        <w:t>quidditas</w:t>
      </w:r>
      <w:r w:rsidR="08B73ED4">
        <w:rPr>
          <w:i/>
        </w:rPr>
        <w:fldChar w:fldCharType="begin"/>
      </w:r>
      <w:r w:rsidR="08B73ED4">
        <w:instrText xml:space="preserve"> XE "</w:instrText>
      </w:r>
      <w:r w:rsidR="08B73ED4" w:rsidRPr="08802C74">
        <w:rPr>
          <w:i/>
        </w:rPr>
        <w:instrText>quidditas</w:instrText>
      </w:r>
      <w:r w:rsidR="08B73ED4">
        <w:instrText xml:space="preserve">" </w:instrText>
      </w:r>
      <w:r w:rsidR="08B73ED4">
        <w:rPr>
          <w:i/>
        </w:rPr>
        <w:fldChar w:fldCharType="end"/>
      </w:r>
      <w:r w:rsidR="081E1C2E">
        <w:t xml:space="preserve">, a to </w:t>
      </w:r>
      <w:r w:rsidR="08B73ED4">
        <w:t xml:space="preserve">skrze univočně predikovanou kauzalitu ve středním členu soudu. Tím je určen směr predikace </w:t>
      </w:r>
      <w:r w:rsidR="08557BE4">
        <w:t xml:space="preserve">u Aristotela podle </w:t>
      </w:r>
      <w:r w:rsidR="08B73ED4">
        <w:t>orthotomie</w:t>
      </w:r>
      <w:r w:rsidR="08B73ED4">
        <w:fldChar w:fldCharType="begin"/>
      </w:r>
      <w:r w:rsidR="08B73ED4">
        <w:instrText xml:space="preserve"> XE "</w:instrText>
      </w:r>
      <w:r w:rsidR="08B73ED4" w:rsidRPr="08DB16B4">
        <w:instrText>orthotomie</w:instrText>
      </w:r>
      <w:r w:rsidR="08B73ED4">
        <w:instrText xml:space="preserve">" </w:instrText>
      </w:r>
      <w:r w:rsidR="08B73ED4">
        <w:fldChar w:fldCharType="end"/>
      </w:r>
      <w:r w:rsidR="08B73ED4">
        <w:t xml:space="preserve"> </w:t>
      </w:r>
      <w:r w:rsidR="08557BE4">
        <w:t xml:space="preserve">v </w:t>
      </w:r>
      <w:r w:rsidR="08B73ED4">
        <w:t xml:space="preserve">dialogu </w:t>
      </w:r>
      <w:r w:rsidR="08B73ED4" w:rsidRPr="08EB44A7">
        <w:rPr>
          <w:i/>
        </w:rPr>
        <w:t>Sofistes</w:t>
      </w:r>
      <w:r w:rsidR="08470F53">
        <w:t xml:space="preserve"> (kap. 1</w:t>
      </w:r>
      <w:r w:rsidR="08B73ED4">
        <w:t xml:space="preserve">.4). Aristotelova cesta dialektického vědeckého rozumu je dána reálným stavem věcí a sleduje původní donaci reality bytí jsoucna do poznání. V metafyzice dané </w:t>
      </w:r>
      <w:r w:rsidR="08B73ED4" w:rsidRPr="080B263D">
        <w:rPr>
          <w:i/>
        </w:rPr>
        <w:t>ad mentem Averrois</w:t>
      </w:r>
      <w:r w:rsidR="08B73ED4">
        <w:t xml:space="preserve"> podle Sicilské školy nemůže dojít k záměně první triády poznávacích principů za druhou. V metafyzické abstrakci je principiálně a zásadně vyloučeno, že jsou oba principy univočně zaměnitelné (</w:t>
      </w:r>
      <w:r w:rsidR="08B73ED4" w:rsidRPr="00273106">
        <w:rPr>
          <w:i/>
        </w:rPr>
        <w:t>sumatur communiter</w:t>
      </w:r>
      <w:r w:rsidR="08B73ED4">
        <w:t xml:space="preserve">). Neexistuje jsoucno třetího druhu a tím </w:t>
      </w:r>
      <w:r w:rsidR="08A00978">
        <w:t xml:space="preserve">pro první averroismus neexistuje </w:t>
      </w:r>
      <w:r w:rsidR="08B73ED4">
        <w:t xml:space="preserve">ani moderní cesta rozumu daná jako </w:t>
      </w:r>
      <w:r w:rsidR="00CB36D5">
        <w:t xml:space="preserve">objektivní </w:t>
      </w:r>
      <w:r w:rsidR="08B73ED4" w:rsidRPr="08BE49B9">
        <w:rPr>
          <w:i/>
        </w:rPr>
        <w:t>itinerarium mentis</w:t>
      </w:r>
      <w:r w:rsidR="08B73ED4">
        <w:t xml:space="preserve">. Intelekt musí v modu pravdy jako adekvace </w:t>
      </w:r>
      <w:r w:rsidR="08B73ED4">
        <w:lastRenderedPageBreak/>
        <w:t>následovat bytí reálné věci. Aristoteles jasně praví, že nutnost kategoriálně predikovaná v obou modech nemá stejný generický význam (</w:t>
      </w:r>
      <w:r w:rsidR="08B73ED4" w:rsidRPr="00273106">
        <w:t>καθ' αὑτὰ δὲ διττῶς</w:t>
      </w:r>
      <w:r w:rsidR="08B73ED4">
        <w:t xml:space="preserve">). První triáda má metafyzický charakter je </w:t>
      </w:r>
      <w:r w:rsidR="08B73ED4" w:rsidRPr="001D6E0D">
        <w:rPr>
          <w:i/>
        </w:rPr>
        <w:t>per prius</w:t>
      </w:r>
      <w:r w:rsidR="08B73ED4">
        <w:rPr>
          <w:i/>
        </w:rPr>
        <w:fldChar w:fldCharType="begin"/>
      </w:r>
      <w:r w:rsidR="08B73ED4">
        <w:instrText xml:space="preserve"> XE "predikace:</w:instrText>
      </w:r>
      <w:r w:rsidR="08B73ED4" w:rsidRPr="00866694">
        <w:rPr>
          <w:i/>
        </w:rPr>
        <w:instrText>per prius</w:instrText>
      </w:r>
      <w:r w:rsidR="08B73ED4">
        <w:instrText xml:space="preserve">" </w:instrText>
      </w:r>
      <w:r w:rsidR="08B73ED4">
        <w:rPr>
          <w:i/>
        </w:rPr>
        <w:fldChar w:fldCharType="end"/>
      </w:r>
      <w:r w:rsidR="08B73ED4">
        <w:t xml:space="preserve"> determinována bytím reálné věci. K takto vytvořenému univerzálnímu významu reálného a jedinečného děje přichází druhá triáda logické formalizace, která vytváří deduktivní vědecký soud. Proto jsou jen dvě cesty poznání.</w:t>
      </w:r>
      <w:r w:rsidR="08470F53">
        <w:t xml:space="preserve"> Princip vyloučení třetího daný</w:t>
      </w:r>
      <w:r w:rsidR="08B73ED4">
        <w:t xml:space="preserve"> metafyzicky nutně vylučuje třetí cestu moderního chaosu </w:t>
      </w:r>
      <w:r w:rsidR="08B73ED4" w:rsidRPr="00273106">
        <w:t>(</w:t>
      </w:r>
      <w:r w:rsidR="08B73ED4" w:rsidRPr="00273106">
        <w:rPr>
          <w:i/>
        </w:rPr>
        <w:t>'ex' sumatur communiter</w:t>
      </w:r>
      <w:r w:rsidR="08B73ED4">
        <w:t xml:space="preserve">) řízenou chtónickými  Fúriemi. Primát moderní supozice dané ve druhé triádě </w:t>
      </w:r>
      <w:r w:rsidR="08B73ED4" w:rsidRPr="00273106">
        <w:t xml:space="preserve">zakládá novou formu poznání, která až sekundárně směřuje k </w:t>
      </w:r>
      <w:r w:rsidR="08B73ED4">
        <w:t>univerzální impozici významu od první substance</w:t>
      </w:r>
      <w:r w:rsidR="08B73ED4" w:rsidRPr="00273106">
        <w:t xml:space="preserve"> (</w:t>
      </w:r>
      <w:r w:rsidR="08B73ED4" w:rsidRPr="00273106">
        <w:rPr>
          <w:i/>
        </w:rPr>
        <w:t>ad 'ex' dictum materialiter et dictum originaliter</w:t>
      </w:r>
      <w:r w:rsidR="08B73ED4" w:rsidRPr="00273106">
        <w:t xml:space="preserve">). </w:t>
      </w:r>
      <w:r w:rsidR="08B73ED4">
        <w:t xml:space="preserve">Grossetete ovlivněný Toledskou školou </w:t>
      </w:r>
      <w:r w:rsidR="08B73ED4" w:rsidRPr="00273106">
        <w:t>v závěru říká, že priorita poznání patří nikoliv hyparchickému určení kauzálně působící první su</w:t>
      </w:r>
      <w:r w:rsidR="08B73ED4">
        <w:t>b</w:t>
      </w:r>
      <w:r w:rsidR="08B73ED4" w:rsidRPr="00273106">
        <w:t>stance, ale jejímu formálnímu určení, které do sebe subsumuje materiální danost světa (</w:t>
      </w:r>
      <w:r w:rsidR="08B73ED4" w:rsidRPr="00273106">
        <w:rPr>
          <w:i/>
        </w:rPr>
        <w:t>probatur diffinitio mate</w:t>
      </w:r>
      <w:r w:rsidR="08B73ED4">
        <w:rPr>
          <w:i/>
        </w:rPr>
        <w:t>rialis de suo diffinito per dif</w:t>
      </w:r>
      <w:r w:rsidR="08B73ED4" w:rsidRPr="00273106">
        <w:rPr>
          <w:i/>
        </w:rPr>
        <w:t>finitionem formalem</w:t>
      </w:r>
      <w:r w:rsidR="08B73ED4" w:rsidRPr="00273106">
        <w:t xml:space="preserve">). </w:t>
      </w:r>
      <w:r w:rsidR="08B73ED4">
        <w:t>Sofistika je v tom, že to</w:t>
      </w:r>
      <w:r w:rsidR="08660B38">
        <w:t>to</w:t>
      </w:r>
      <w:r w:rsidR="08B73ED4">
        <w:t xml:space="preserve"> není formální logická chyba, ale omyl v rámci metafyzické impozice významu </w:t>
      </w:r>
      <w:r w:rsidR="002C4733">
        <w:rPr>
          <w:szCs w:val="24"/>
          <w:lang w:val="de-DE"/>
        </w:rPr>
        <w:t>(</w:t>
      </w:r>
      <w:r w:rsidR="002C4733" w:rsidRPr="008066AD">
        <w:rPr>
          <w:i/>
          <w:szCs w:val="24"/>
          <w:lang w:val="de-DE"/>
        </w:rPr>
        <w:t>falla</w:t>
      </w:r>
      <w:r w:rsidR="002C4733">
        <w:rPr>
          <w:i/>
          <w:szCs w:val="24"/>
          <w:lang w:val="de-DE"/>
        </w:rPr>
        <w:t xml:space="preserve">cia </w:t>
      </w:r>
      <w:r w:rsidR="002C4733" w:rsidRPr="008066AD">
        <w:rPr>
          <w:i/>
          <w:szCs w:val="24"/>
          <w:lang w:val="de-DE"/>
        </w:rPr>
        <w:t>secundum quid</w:t>
      </w:r>
      <w:r w:rsidR="002C4733">
        <w:rPr>
          <w:szCs w:val="24"/>
          <w:lang w:val="de-DE"/>
        </w:rPr>
        <w:t xml:space="preserve">). </w:t>
      </w:r>
      <w:r w:rsidR="08B73ED4">
        <w:t>Grosseteste nasvítil smysl</w:t>
      </w:r>
      <w:r w:rsidR="08B73ED4" w:rsidRPr="00273106">
        <w:t xml:space="preserve"> jsoucna zezadu od formálně určené esence</w:t>
      </w:r>
      <w:r w:rsidR="08B73ED4">
        <w:t xml:space="preserve">, což </w:t>
      </w:r>
      <w:r w:rsidR="08B73ED4" w:rsidRPr="00273106">
        <w:t>odpovídá výše uvedenému dvojímu pojetí vědy rozdělené na nižší empirickou a na vyšší teoretickou složku.</w:t>
      </w:r>
    </w:p>
    <w:p w14:paraId="5B1C8201" w14:textId="1D584391" w:rsidR="00D86A61" w:rsidRDefault="081F08A0" w:rsidP="007C6912">
      <w:pPr>
        <w:ind w:firstLine="397"/>
      </w:pPr>
      <w:r w:rsidRPr="00273106">
        <w:t xml:space="preserve">Citujme </w:t>
      </w:r>
      <w:r>
        <w:t xml:space="preserve">úvod do druhé </w:t>
      </w:r>
      <w:r w:rsidRPr="00273106">
        <w:t>část</w:t>
      </w:r>
      <w:r>
        <w:t>i</w:t>
      </w:r>
      <w:r w:rsidRPr="00273106">
        <w:t xml:space="preserve"> </w:t>
      </w:r>
      <w:r w:rsidRPr="00124ECB">
        <w:rPr>
          <w:i/>
        </w:rPr>
        <w:t>Druhých analytik</w:t>
      </w:r>
      <w:r>
        <w:t>, který</w:t>
      </w:r>
      <w:r w:rsidRPr="00273106">
        <w:t xml:space="preserve"> </w:t>
      </w:r>
      <w:r w:rsidR="0838662D">
        <w:t xml:space="preserve">podle Aristotela zakládá vědecké poznání. Citát </w:t>
      </w:r>
      <w:r w:rsidRPr="00273106">
        <w:t>přesně vyjmenovává pořadí čtyř kroků určujících poznání</w:t>
      </w:r>
      <w:r>
        <w:t xml:space="preserve"> podle deduktivního sylogismu</w:t>
      </w:r>
      <w:r w:rsidRPr="00273106">
        <w:t>.</w:t>
      </w:r>
      <w:r w:rsidR="00D46FBD">
        <w:rPr>
          <w:rStyle w:val="Znakapoznpodarou"/>
        </w:rPr>
        <w:footnoteReference w:id="293"/>
      </w:r>
      <w:r>
        <w:t xml:space="preserve"> Pořadí principů začíná obecnou </w:t>
      </w:r>
      <w:r w:rsidR="082102BF">
        <w:t xml:space="preserve">návěstí </w:t>
      </w:r>
      <w:r w:rsidR="08A670ED">
        <w:t>(</w:t>
      </w:r>
      <w:r w:rsidRPr="0800404B">
        <w:rPr>
          <w:i/>
        </w:rPr>
        <w:t>maior</w:t>
      </w:r>
      <w:r w:rsidR="08A670ED">
        <w:t>). Ta</w:t>
      </w:r>
      <w:r w:rsidR="0820220C">
        <w:t xml:space="preserve">to obecná premisa </w:t>
      </w:r>
      <w:r w:rsidR="08BF5F50">
        <w:t xml:space="preserve">je dána </w:t>
      </w:r>
      <w:r w:rsidR="08A670ED">
        <w:t xml:space="preserve">skrze definici </w:t>
      </w:r>
      <w:r w:rsidR="08BF5F50">
        <w:t xml:space="preserve">reálného </w:t>
      </w:r>
      <w:r w:rsidR="08A670ED">
        <w:t xml:space="preserve">jevu, která tvoří formální </w:t>
      </w:r>
      <w:r>
        <w:t>předmět soudu (</w:t>
      </w:r>
      <w:r w:rsidRPr="00273106">
        <w:t>τὸ ὅτι</w:t>
      </w:r>
      <w:r>
        <w:t xml:space="preserve">); dále následuje </w:t>
      </w:r>
      <w:r w:rsidR="082802AD">
        <w:t xml:space="preserve">kauzální </w:t>
      </w:r>
      <w:r>
        <w:t>důvod, proč se daná věc děje (</w:t>
      </w:r>
      <w:r w:rsidRPr="00273106">
        <w:t>τὸ διότι</w:t>
      </w:r>
      <w:r>
        <w:t>). Pak následuje predikace ve středním členu soudu, která se ptá, zda daný jev reálně existuje na úrovni kauzality prvních substancí (</w:t>
      </w:r>
      <w:r w:rsidRPr="00273106">
        <w:t>εἰ ἔ</w:t>
      </w:r>
      <w:r>
        <w:t>στι). Výsledný závěr podává obecnou kauzalitu danou ve formě univerzální esence (</w:t>
      </w:r>
      <w:r w:rsidRPr="00273106">
        <w:t>τί ἐστιν</w:t>
      </w:r>
      <w:r>
        <w:t>). Grosseteste provedl záměn</w:t>
      </w:r>
      <w:r w:rsidRPr="00273106">
        <w:t xml:space="preserve">u existence </w:t>
      </w:r>
      <w:r>
        <w:t xml:space="preserve">reálné věci a její kauzality predikované ve středním členu dedukce </w:t>
      </w:r>
      <w:r w:rsidRPr="00273106">
        <w:t>(εἰ ἔστι) za esenci (τί ἐστιν)</w:t>
      </w:r>
      <w:r w:rsidR="007E3A89">
        <w:t xml:space="preserve">. Jenže nominalistická moderní esence jako </w:t>
      </w:r>
      <w:r w:rsidR="007E3A89" w:rsidRPr="007E3A89">
        <w:rPr>
          <w:i/>
        </w:rPr>
        <w:t>tertium ens</w:t>
      </w:r>
      <w:r w:rsidR="007E3A89">
        <w:t xml:space="preserve"> nemůže být dána v modu metafyzické impozice jako premisa soudu, ale pouze v modu logické supozice. Proto je esence dána až </w:t>
      </w:r>
      <w:r>
        <w:t xml:space="preserve">v závěru vědeckého soudu. </w:t>
      </w:r>
      <w:r w:rsidR="00122E23" w:rsidRPr="00122E23">
        <w:t xml:space="preserve">Metafyzicky správná </w:t>
      </w:r>
      <w:r w:rsidR="00122E23">
        <w:t xml:space="preserve">supozice </w:t>
      </w:r>
      <w:r w:rsidR="00122E23" w:rsidRPr="00122E23">
        <w:t xml:space="preserve">je </w:t>
      </w:r>
      <w:r w:rsidR="00122E23">
        <w:t xml:space="preserve">univoční </w:t>
      </w:r>
      <w:r w:rsidR="00122E23" w:rsidRPr="00122E23">
        <w:t>pouze v případě správně provedené imp</w:t>
      </w:r>
      <w:r w:rsidR="00122E23">
        <w:t xml:space="preserve">ozice </w:t>
      </w:r>
      <w:r w:rsidR="00122E23" w:rsidRPr="00122E23">
        <w:lastRenderedPageBreak/>
        <w:t>významu ze skutečné kauzality. To je důvod, proč má střední čl</w:t>
      </w:r>
      <w:r w:rsidR="00122E23">
        <w:t>en</w:t>
      </w:r>
      <w:r w:rsidR="00122E23" w:rsidRPr="00122E23">
        <w:t xml:space="preserve"> deduktivního sylogismu </w:t>
      </w:r>
      <w:r w:rsidR="00122E23">
        <w:t>zásadní význam pro kompletní vědecký důkaz</w:t>
      </w:r>
      <w:r w:rsidR="00122E23" w:rsidRPr="00122E23">
        <w:t>. Analytický logik se jím nemusí zabývat, protože využívá jiný druh hyparchické nutnosti.</w:t>
      </w:r>
      <w:r w:rsidR="00122E23">
        <w:t xml:space="preserve"> </w:t>
      </w:r>
      <w:r w:rsidR="0820220C">
        <w:t>Zavedením simulákra do středního členu soudu (</w:t>
      </w:r>
      <w:r w:rsidR="0820220C" w:rsidRPr="0820220C">
        <w:rPr>
          <w:i/>
        </w:rPr>
        <w:t>medium</w:t>
      </w:r>
      <w:r w:rsidR="0820220C">
        <w:t xml:space="preserve">) </w:t>
      </w:r>
      <w:r w:rsidRPr="00273106">
        <w:t xml:space="preserve">vznikl na Oxfordu nový výklad </w:t>
      </w:r>
      <w:r w:rsidRPr="00844473">
        <w:rPr>
          <w:i/>
        </w:rPr>
        <w:t>Druhých analytik</w:t>
      </w:r>
      <w:r w:rsidRPr="00273106">
        <w:t xml:space="preserve">, který poslal myšlení na širokou a pohodlnou </w:t>
      </w:r>
      <w:r w:rsidRPr="00273106">
        <w:rPr>
          <w:i/>
        </w:rPr>
        <w:t>via Modernorum</w:t>
      </w:r>
      <w:r>
        <w:rPr>
          <w:i/>
        </w:rPr>
        <w:fldChar w:fldCharType="begin"/>
      </w:r>
      <w:r>
        <w:instrText xml:space="preserve"> XE "</w:instrText>
      </w:r>
      <w:r w:rsidRPr="00ED0748">
        <w:rPr>
          <w:i/>
        </w:rPr>
        <w:instrText>via Modernorum</w:instrText>
      </w:r>
      <w:r>
        <w:instrText xml:space="preserve">" </w:instrText>
      </w:r>
      <w:r>
        <w:rPr>
          <w:i/>
        </w:rPr>
        <w:fldChar w:fldCharType="end"/>
      </w:r>
      <w:r w:rsidRPr="00273106">
        <w:t xml:space="preserve"> směřující k nihilismu západní metafyziky. Tato záměna degradovala metafyzickou jednotu vztaženou k reálné první substanci na abstraktní jednotu bytí jsoucího danou pouze v mysli. </w:t>
      </w:r>
      <w:r>
        <w:t xml:space="preserve">Z hlediska signifikace došlo k tomu, že impozice významu determinovaná realitou byla nahrazena pouhou supozicí danou v lidské mysli jako univerzální esence. </w:t>
      </w:r>
      <w:r w:rsidRPr="00273106">
        <w:t>Tent</w:t>
      </w:r>
      <w:r>
        <w:t xml:space="preserve">o výklad představuje podle klasické logiky Aristotela, Boethia a Abelarda typ sofistického omylu zvaný </w:t>
      </w:r>
      <w:r w:rsidRPr="00D82095">
        <w:rPr>
          <w:i/>
        </w:rPr>
        <w:t>fallacia a dicto simpliciter ad dictum secundum quid</w:t>
      </w:r>
      <w:r>
        <w:rPr>
          <w:i/>
        </w:rPr>
        <w:fldChar w:fldCharType="begin"/>
      </w:r>
      <w:r>
        <w:instrText xml:space="preserve"> XE "</w:instrText>
      </w:r>
      <w:r w:rsidRPr="00D92796">
        <w:rPr>
          <w:i/>
        </w:rPr>
        <w:instrText>fallacia a dicto simpliciter ad dictum secundum quid</w:instrText>
      </w:r>
      <w:r>
        <w:instrText xml:space="preserve">" </w:instrText>
      </w:r>
      <w:r>
        <w:rPr>
          <w:i/>
        </w:rPr>
        <w:fldChar w:fldCharType="end"/>
      </w:r>
      <w:r>
        <w:t xml:space="preserve">. </w:t>
      </w:r>
      <w:r w:rsidR="08B73ED4">
        <w:t xml:space="preserve">Obě triády </w:t>
      </w:r>
      <w:r w:rsidR="082A5580">
        <w:t xml:space="preserve">poznávacích principů </w:t>
      </w:r>
      <w:r>
        <w:t xml:space="preserve">jsou v novém výkladu </w:t>
      </w:r>
      <w:r w:rsidR="08B73ED4">
        <w:t>zcela ekvivalentní a není mezi nimi žádný rozdíl</w:t>
      </w:r>
      <w:r w:rsidR="080A34FD">
        <w:t xml:space="preserve">. Tím zmizelo specifium </w:t>
      </w:r>
      <w:r w:rsidR="08B73ED4">
        <w:t xml:space="preserve">kategoriální predikace dané hyparchickým postavením první substance </w:t>
      </w:r>
      <w:r w:rsidR="08B73ED4" w:rsidRPr="00273106">
        <w:t>(</w:t>
      </w:r>
      <w:r w:rsidR="08B73ED4">
        <w:t xml:space="preserve">οὐσία δέ ἐστιν ἡ κυριώτατά τε καὶ πρώτως, </w:t>
      </w:r>
      <w:r w:rsidR="08B73ED4" w:rsidRPr="00273106">
        <w:rPr>
          <w:i/>
        </w:rPr>
        <w:t>Cat</w:t>
      </w:r>
      <w:r w:rsidR="08B73ED4" w:rsidRPr="00273106">
        <w:t>. 2a11</w:t>
      </w:r>
      <w:r w:rsidR="08B73ED4">
        <w:fldChar w:fldCharType="begin"/>
      </w:r>
      <w:r w:rsidR="08B73ED4">
        <w:instrText xml:space="preserve"> XE "Aristoteles:</w:instrText>
      </w:r>
      <w:r w:rsidR="08B73ED4" w:rsidRPr="00262763">
        <w:rPr>
          <w:i/>
        </w:rPr>
        <w:instrText>Cat</w:instrText>
      </w:r>
      <w:r w:rsidR="08B73ED4" w:rsidRPr="00262763">
        <w:instrText>. 2a11</w:instrText>
      </w:r>
      <w:r w:rsidR="08B73ED4">
        <w:instrText xml:space="preserve">" </w:instrText>
      </w:r>
      <w:r w:rsidR="08B73ED4">
        <w:fldChar w:fldCharType="end"/>
      </w:r>
      <w:r w:rsidR="08B73ED4" w:rsidRPr="00273106">
        <w:t>).</w:t>
      </w:r>
      <w:r w:rsidR="08B73ED4">
        <w:t xml:space="preserve"> </w:t>
      </w:r>
      <w:r w:rsidR="08B73ED4" w:rsidRPr="00273106">
        <w:t xml:space="preserve">Konvertibilita obou triád </w:t>
      </w:r>
      <w:r w:rsidR="08B73ED4">
        <w:t xml:space="preserve">v citátu </w:t>
      </w:r>
      <w:r w:rsidR="08B73ED4" w:rsidRPr="00273106">
        <w:t xml:space="preserve">vychází </w:t>
      </w:r>
      <w:r w:rsidR="08B73ED4">
        <w:t xml:space="preserve">z předpokladu univoční formální záměny kauzálně dané impozice za univerzálně predikovanou supozici. To je samozřejmě ve výše citované pasáži </w:t>
      </w:r>
      <w:r w:rsidR="08B73ED4" w:rsidRPr="006C64E3">
        <w:rPr>
          <w:i/>
        </w:rPr>
        <w:t>Kategorií</w:t>
      </w:r>
      <w:r w:rsidR="08B73ED4">
        <w:t xml:space="preserve"> také, ale výrok </w:t>
      </w:r>
      <w:r w:rsidR="080A34FD">
        <w:t xml:space="preserve">platí </w:t>
      </w:r>
      <w:r w:rsidR="08B73ED4">
        <w:t>v perspektivě univ</w:t>
      </w:r>
      <w:r w:rsidR="080A34FD">
        <w:t xml:space="preserve">erzální supozice, tedy </w:t>
      </w:r>
      <w:r w:rsidR="08B73ED4">
        <w:t xml:space="preserve">pro obrácené pořadí predikace od univerzálních významů </w:t>
      </w:r>
      <w:r w:rsidR="006D4C89">
        <w:t xml:space="preserve">od rodu ke species </w:t>
      </w:r>
      <w:r w:rsidR="08B73ED4">
        <w:t>(</w:t>
      </w:r>
      <w:r w:rsidR="08B73ED4" w:rsidRPr="00273106">
        <w:rPr>
          <w:i/>
        </w:rPr>
        <w:t>Cat</w:t>
      </w:r>
      <w:r w:rsidR="08B73ED4">
        <w:t>. 2a15‒16</w:t>
      </w:r>
      <w:r w:rsidR="08B73ED4">
        <w:fldChar w:fldCharType="begin"/>
      </w:r>
      <w:r w:rsidR="08B73ED4">
        <w:instrText xml:space="preserve"> XE "Aristoteles:</w:instrText>
      </w:r>
      <w:r w:rsidR="08B73ED4" w:rsidRPr="00262763">
        <w:rPr>
          <w:i/>
        </w:rPr>
        <w:instrText>Cat</w:instrText>
      </w:r>
      <w:r w:rsidR="08B73ED4">
        <w:instrText xml:space="preserve">. 2a15‒16" </w:instrText>
      </w:r>
      <w:r w:rsidR="08B73ED4">
        <w:fldChar w:fldCharType="end"/>
      </w:r>
      <w:r w:rsidR="08B73ED4">
        <w:t xml:space="preserve">). Proto je druhá cesta rozumu už jen logická a čistě dialektická, a nikoliv metafyzická. Moderna zaslepená intelektem-sluncem už nemůže vidět tento jemný rozdíl určující smysl Aristotelovy metafyziky jako první vědy o reálném jsoucnu. </w:t>
      </w:r>
      <w:r w:rsidR="00511734">
        <w:t>Grosseteste</w:t>
      </w:r>
      <w:r w:rsidR="08B73ED4">
        <w:t xml:space="preserve"> </w:t>
      </w:r>
      <w:r w:rsidR="00511734">
        <w:t>devaluoval</w:t>
      </w:r>
      <w:r w:rsidR="08B73ED4" w:rsidRPr="00273106">
        <w:t xml:space="preserve"> </w:t>
      </w:r>
      <w:r w:rsidR="08B73ED4">
        <w:t xml:space="preserve">základní princip </w:t>
      </w:r>
      <w:r w:rsidR="08B73ED4" w:rsidRPr="00273106">
        <w:rPr>
          <w:i/>
        </w:rPr>
        <w:t>ex</w:t>
      </w:r>
      <w:r w:rsidR="08B73ED4" w:rsidRPr="00273106">
        <w:t xml:space="preserve"> </w:t>
      </w:r>
      <w:r w:rsidR="08D91F67">
        <w:rPr>
          <w:i/>
        </w:rPr>
        <w:t>in</w:t>
      </w:r>
      <w:r w:rsidR="08B73ED4" w:rsidRPr="00273106">
        <w:rPr>
          <w:i/>
        </w:rPr>
        <w:t>mediatis</w:t>
      </w:r>
      <w:r w:rsidR="08B73ED4">
        <w:rPr>
          <w:i/>
        </w:rPr>
        <w:fldChar w:fldCharType="begin"/>
      </w:r>
      <w:r w:rsidR="08B73ED4">
        <w:instrText xml:space="preserve"> XE "</w:instrText>
      </w:r>
      <w:r w:rsidR="08B73ED4" w:rsidRPr="005204DC">
        <w:instrText xml:space="preserve">princip </w:instrText>
      </w:r>
      <w:r w:rsidR="08D91F67">
        <w:rPr>
          <w:i/>
        </w:rPr>
        <w:instrText>ex in</w:instrText>
      </w:r>
      <w:r w:rsidR="08B73ED4" w:rsidRPr="00C6734F">
        <w:rPr>
          <w:i/>
        </w:rPr>
        <w:instrText>mediatis</w:instrText>
      </w:r>
      <w:r w:rsidR="08B73ED4">
        <w:instrText xml:space="preserve">" </w:instrText>
      </w:r>
      <w:r w:rsidR="08B73ED4">
        <w:rPr>
          <w:i/>
        </w:rPr>
        <w:fldChar w:fldCharType="end"/>
      </w:r>
      <w:r w:rsidR="08B73ED4">
        <w:t xml:space="preserve">, který zajišťuje poznání </w:t>
      </w:r>
      <w:r w:rsidR="08B73ED4" w:rsidRPr="00273106">
        <w:t>první substance a její kauzality</w:t>
      </w:r>
      <w:r w:rsidR="08B73ED4">
        <w:t xml:space="preserve"> </w:t>
      </w:r>
      <w:r w:rsidR="08B73ED4" w:rsidRPr="00273106">
        <w:t xml:space="preserve">(τήν τ' αἰτίαν οἰώμεθα γινώσκειν δι' ἣν τὸ πρᾶγμά ἐστιν, </w:t>
      </w:r>
      <w:r w:rsidR="08B73ED4" w:rsidRPr="00C6734F">
        <w:rPr>
          <w:i/>
        </w:rPr>
        <w:t>Anal. Post</w:t>
      </w:r>
      <w:r w:rsidR="08B73ED4" w:rsidRPr="00273106">
        <w:t>. 71b10‒11</w:t>
      </w:r>
      <w:r w:rsidR="08B73ED4">
        <w:fldChar w:fldCharType="begin"/>
      </w:r>
      <w:r w:rsidR="08B73ED4">
        <w:instrText xml:space="preserve"> XE "Aristoteles:</w:instrText>
      </w:r>
      <w:r w:rsidR="08B73ED4" w:rsidRPr="00C6734F">
        <w:rPr>
          <w:i/>
        </w:rPr>
        <w:instrText>Anal. Post</w:instrText>
      </w:r>
      <w:r w:rsidR="08B73ED4" w:rsidRPr="00D36F69">
        <w:instrText>. 71b10‒11</w:instrText>
      </w:r>
      <w:r w:rsidR="08B73ED4">
        <w:instrText xml:space="preserve">" </w:instrText>
      </w:r>
      <w:r w:rsidR="08B73ED4">
        <w:fldChar w:fldCharType="end"/>
      </w:r>
      <w:r w:rsidR="00BD14EA">
        <w:t xml:space="preserve">). </w:t>
      </w:r>
      <w:r w:rsidR="08B73ED4" w:rsidRPr="00273106">
        <w:t xml:space="preserve">Grosseteste zahájil záměnu esenci a za existenci tím, že zrušil primát otázky po existenci věci působící kauzálně. Klíčová otázka </w:t>
      </w:r>
      <w:r w:rsidR="08B73ED4" w:rsidRPr="003D0F50">
        <w:rPr>
          <w:i/>
        </w:rPr>
        <w:t>Druhých analytik</w:t>
      </w:r>
      <w:r w:rsidR="08B73ED4" w:rsidRPr="00273106">
        <w:t xml:space="preserve"> se ptá po aktuální existenci věci (</w:t>
      </w:r>
      <w:r w:rsidR="08B73ED4" w:rsidRPr="00273106">
        <w:rPr>
          <w:i/>
        </w:rPr>
        <w:t>an sit</w:t>
      </w:r>
      <w:r w:rsidR="08B73ED4" w:rsidRPr="00273106">
        <w:t xml:space="preserve">, λόγος τοῦ τί ἐστι; </w:t>
      </w:r>
      <w:r w:rsidR="08B73ED4" w:rsidRPr="00273106">
        <w:rPr>
          <w:i/>
        </w:rPr>
        <w:t>Anal. Post</w:t>
      </w:r>
      <w:r w:rsidR="08B73ED4" w:rsidRPr="00273106">
        <w:t>. 93b29</w:t>
      </w:r>
      <w:r w:rsidR="08B73ED4">
        <w:fldChar w:fldCharType="begin"/>
      </w:r>
      <w:r w:rsidR="08B73ED4">
        <w:instrText xml:space="preserve"> XE "Aristoteles:</w:instrText>
      </w:r>
      <w:r w:rsidR="08B73ED4" w:rsidRPr="00C6734F">
        <w:rPr>
          <w:i/>
        </w:rPr>
        <w:instrText>Anal. Post</w:instrText>
      </w:r>
      <w:r w:rsidR="08B73ED4">
        <w:instrText>. 93</w:instrText>
      </w:r>
      <w:r w:rsidR="08B73ED4" w:rsidRPr="00D36F69">
        <w:instrText>b</w:instrText>
      </w:r>
      <w:r w:rsidR="08B73ED4">
        <w:instrText xml:space="preserve">29" </w:instrText>
      </w:r>
      <w:r w:rsidR="08B73ED4">
        <w:fldChar w:fldCharType="end"/>
      </w:r>
      <w:r w:rsidR="08B73ED4" w:rsidRPr="00273106">
        <w:t xml:space="preserve">). Podle </w:t>
      </w:r>
      <w:r w:rsidR="082A724F">
        <w:t xml:space="preserve">metafyzického </w:t>
      </w:r>
      <w:r w:rsidR="08B73ED4">
        <w:t>dativu</w:t>
      </w:r>
      <w:r w:rsidR="08B73ED4">
        <w:fldChar w:fldCharType="begin"/>
      </w:r>
      <w:r w:rsidR="08B73ED4">
        <w:instrText xml:space="preserve"> XE "</w:instrText>
      </w:r>
      <w:r w:rsidR="082A724F">
        <w:rPr>
          <w:i/>
        </w:rPr>
        <w:instrText>dativus metaphysi</w:instrText>
      </w:r>
      <w:r w:rsidR="08B73ED4" w:rsidRPr="087166B9">
        <w:rPr>
          <w:i/>
        </w:rPr>
        <w:instrText>cus</w:instrText>
      </w:r>
      <w:r w:rsidR="08B73ED4">
        <w:instrText xml:space="preserve">" </w:instrText>
      </w:r>
      <w:r w:rsidR="08B73ED4">
        <w:fldChar w:fldCharType="end"/>
      </w:r>
      <w:r w:rsidR="08B73ED4">
        <w:t xml:space="preserve"> </w:t>
      </w:r>
      <w:r w:rsidR="08B73ED4" w:rsidRPr="00273106">
        <w:t xml:space="preserve">se otázka po esenci dává až </w:t>
      </w:r>
      <w:r w:rsidR="08B73ED4" w:rsidRPr="00273106">
        <w:rPr>
          <w:i/>
        </w:rPr>
        <w:t>per posterius</w:t>
      </w:r>
      <w:r w:rsidR="08B73ED4">
        <w:rPr>
          <w:i/>
        </w:rPr>
        <w:fldChar w:fldCharType="begin"/>
      </w:r>
      <w:r w:rsidR="08B73ED4">
        <w:instrText xml:space="preserve"> XE "</w:instrText>
      </w:r>
      <w:r w:rsidR="08B73ED4" w:rsidRPr="00A32423">
        <w:instrText>predikace</w:instrText>
      </w:r>
      <w:r w:rsidR="08B73ED4">
        <w:instrText>:</w:instrText>
      </w:r>
      <w:r w:rsidR="08B73ED4" w:rsidRPr="00C6734F">
        <w:rPr>
          <w:i/>
        </w:rPr>
        <w:instrText>per posterius</w:instrText>
      </w:r>
      <w:r w:rsidR="08B73ED4">
        <w:instrText xml:space="preserve">" </w:instrText>
      </w:r>
      <w:r w:rsidR="08B73ED4">
        <w:rPr>
          <w:i/>
        </w:rPr>
        <w:fldChar w:fldCharType="end"/>
      </w:r>
      <w:r w:rsidR="08B73ED4" w:rsidRPr="00273106">
        <w:t xml:space="preserve">, protože věc musí nejprve existovat (ὅπερ ἔχοντες ὅτι ἔστι, ζητοῦμεν διὰ τί ἔστιν, </w:t>
      </w:r>
      <w:r w:rsidR="08B73ED4" w:rsidRPr="00273106">
        <w:rPr>
          <w:i/>
        </w:rPr>
        <w:t>Anal. Post</w:t>
      </w:r>
      <w:r w:rsidR="08B73ED4" w:rsidRPr="00273106">
        <w:t>. 93b32</w:t>
      </w:r>
      <w:r w:rsidR="08B73ED4">
        <w:fldChar w:fldCharType="begin"/>
      </w:r>
      <w:r w:rsidR="08B73ED4">
        <w:instrText xml:space="preserve"> XE "Aristoteles:</w:instrText>
      </w:r>
      <w:r w:rsidR="08B73ED4" w:rsidRPr="00C6734F">
        <w:rPr>
          <w:i/>
        </w:rPr>
        <w:instrText>Anal. Post</w:instrText>
      </w:r>
      <w:r w:rsidR="08B73ED4" w:rsidRPr="00D36F69">
        <w:instrText xml:space="preserve">. </w:instrText>
      </w:r>
      <w:r w:rsidR="08B73ED4" w:rsidRPr="00273106">
        <w:instrText>93b32</w:instrText>
      </w:r>
      <w:r w:rsidR="08B73ED4">
        <w:instrText xml:space="preserve">" </w:instrText>
      </w:r>
      <w:r w:rsidR="08B73ED4">
        <w:fldChar w:fldCharType="end"/>
      </w:r>
      <w:r w:rsidR="08B73ED4" w:rsidRPr="00273106">
        <w:t xml:space="preserve">). </w:t>
      </w:r>
      <w:r w:rsidR="08B73ED4">
        <w:t>Konverze obou triád principů založená na avicennovském primátu</w:t>
      </w:r>
      <w:r w:rsidR="08B73ED4" w:rsidRPr="00273106">
        <w:t xml:space="preserve"> esence vedl</w:t>
      </w:r>
      <w:r w:rsidR="08B73ED4">
        <w:t>a</w:t>
      </w:r>
      <w:r w:rsidR="08B73ED4" w:rsidRPr="00273106">
        <w:t xml:space="preserve"> k zatmění první substance</w:t>
      </w:r>
      <w:r w:rsidR="08B73ED4">
        <w:t xml:space="preserve">. V analytickém soudu podle </w:t>
      </w:r>
      <w:r w:rsidR="08B73ED4">
        <w:lastRenderedPageBreak/>
        <w:t xml:space="preserve">nově upravených </w:t>
      </w:r>
      <w:r w:rsidR="08B73ED4" w:rsidRPr="00392E9E">
        <w:rPr>
          <w:i/>
        </w:rPr>
        <w:t>Druhých analytik</w:t>
      </w:r>
      <w:r w:rsidR="08B73ED4">
        <w:t xml:space="preserve"> je jedno, zda v modu impozice vypovídáme vzhledem k metafyzicky určené existenci věci, nebo v modu supozice logicky definujeme její ideální esenci. </w:t>
      </w:r>
      <w:r w:rsidR="007C6912" w:rsidRPr="007C6912">
        <w:t>Aristoteles byl kritický myslitel; intelekt musí rozpoznat skutečné zatmění Měsíce nebo Slunce, které je způsobeno účinky skutečné kauzality. V tomto případě existuje reálná shoda mezi myšlením a věcí.</w:t>
      </w:r>
      <w:r w:rsidR="007C6912">
        <w:t xml:space="preserve"> </w:t>
      </w:r>
      <w:r w:rsidR="087C4F7B">
        <w:t xml:space="preserve">Aristotelik staré školy postupuje podle </w:t>
      </w:r>
      <w:r w:rsidR="08B73ED4">
        <w:t xml:space="preserve">správně </w:t>
      </w:r>
      <w:r w:rsidR="087C4F7B">
        <w:t xml:space="preserve">dané </w:t>
      </w:r>
      <w:r w:rsidR="08B73ED4">
        <w:t>orthotomie</w:t>
      </w:r>
      <w:r w:rsidR="08B73ED4">
        <w:fldChar w:fldCharType="begin"/>
      </w:r>
      <w:r w:rsidR="08B73ED4">
        <w:instrText xml:space="preserve"> XE "</w:instrText>
      </w:r>
      <w:r w:rsidR="08B73ED4" w:rsidRPr="08546670">
        <w:instrText>orthotomie</w:instrText>
      </w:r>
      <w:r w:rsidR="08B73ED4">
        <w:instrText xml:space="preserve">" </w:instrText>
      </w:r>
      <w:r w:rsidR="08B73ED4">
        <w:fldChar w:fldCharType="end"/>
      </w:r>
      <w:r w:rsidR="087C4F7B">
        <w:t xml:space="preserve">. Protože vidí reálné zatmění slunce, tak predikuje </w:t>
      </w:r>
      <w:r w:rsidR="087C319B">
        <w:t xml:space="preserve">takto </w:t>
      </w:r>
      <w:r w:rsidR="087C4F7B">
        <w:t xml:space="preserve">hyparchicky determinovanou druhou substanci a tím vytváří pravdivý vědecký soud o realitě. Aristotelik </w:t>
      </w:r>
      <w:r w:rsidR="08B73ED4">
        <w:t xml:space="preserve">nemůže </w:t>
      </w:r>
      <w:r w:rsidR="087C4F7B">
        <w:t xml:space="preserve">v tomto soudu </w:t>
      </w:r>
      <w:r w:rsidR="08B73ED4">
        <w:t xml:space="preserve">univočně predikovat </w:t>
      </w:r>
      <w:r w:rsidR="087C4F7B">
        <w:t>idealizovanou esenci nebo abstrakci danou v logice a matematice</w:t>
      </w:r>
      <w:r w:rsidR="08B73ED4">
        <w:t xml:space="preserve">. První a základní princip </w:t>
      </w:r>
      <w:r w:rsidR="08D91F67" w:rsidRPr="08D91F67">
        <w:rPr>
          <w:i/>
        </w:rPr>
        <w:t>ex</w:t>
      </w:r>
      <w:r w:rsidR="08D91F67">
        <w:t xml:space="preserve"> </w:t>
      </w:r>
      <w:r w:rsidR="08D91F67">
        <w:rPr>
          <w:i/>
        </w:rPr>
        <w:t xml:space="preserve">inmediatis </w:t>
      </w:r>
      <w:r w:rsidR="08B73ED4">
        <w:rPr>
          <w:i/>
        </w:rPr>
        <w:fldChar w:fldCharType="begin"/>
      </w:r>
      <w:r w:rsidR="08B73ED4">
        <w:instrText xml:space="preserve"> XE "</w:instrText>
      </w:r>
      <w:r w:rsidR="08B73ED4" w:rsidRPr="005204DC">
        <w:instrText xml:space="preserve">princip </w:instrText>
      </w:r>
      <w:r w:rsidR="08D91F67">
        <w:rPr>
          <w:i/>
        </w:rPr>
        <w:instrText>ex in</w:instrText>
      </w:r>
      <w:r w:rsidR="08B73ED4" w:rsidRPr="00962978">
        <w:rPr>
          <w:i/>
        </w:rPr>
        <w:instrText>mediatis</w:instrText>
      </w:r>
      <w:r w:rsidR="08B73ED4">
        <w:instrText xml:space="preserve">" </w:instrText>
      </w:r>
      <w:r w:rsidR="08B73ED4">
        <w:rPr>
          <w:i/>
        </w:rPr>
        <w:fldChar w:fldCharType="end"/>
      </w:r>
      <w:r w:rsidR="08B73ED4" w:rsidRPr="00273106">
        <w:t xml:space="preserve"> (ἀ</w:t>
      </w:r>
      <w:r w:rsidR="08B73ED4">
        <w:t xml:space="preserve">μέσων) </w:t>
      </w:r>
      <w:r w:rsidR="08B73ED4" w:rsidRPr="00273106">
        <w:t xml:space="preserve">vztahují </w:t>
      </w:r>
      <w:r w:rsidR="08B73ED4" w:rsidRPr="00BF42D6">
        <w:rPr>
          <w:i/>
        </w:rPr>
        <w:t>Druhé analytiky</w:t>
      </w:r>
      <w:r w:rsidR="08B73ED4" w:rsidRPr="00273106">
        <w:t xml:space="preserve"> k poznání první substance v její kauzalitě</w:t>
      </w:r>
      <w:r w:rsidR="08B73ED4">
        <w:t>. Tento princip j</w:t>
      </w:r>
      <w:r w:rsidR="08B73ED4" w:rsidRPr="00273106">
        <w:t>e pro Grossetesteho problematický</w:t>
      </w:r>
      <w:r w:rsidR="08B73ED4">
        <w:t>, protože je daný pouze na základě empirického poznání</w:t>
      </w:r>
      <w:r w:rsidR="08B73ED4" w:rsidRPr="00273106">
        <w:t xml:space="preserve">. </w:t>
      </w:r>
      <w:r w:rsidR="08B73ED4">
        <w:t>K</w:t>
      </w:r>
      <w:r w:rsidR="08B73ED4" w:rsidRPr="00273106">
        <w:t>auzalita aktuální první substance determi</w:t>
      </w:r>
      <w:r w:rsidR="08B73ED4">
        <w:t>nující smyslové lidské poznání</w:t>
      </w:r>
      <w:r w:rsidR="08B73ED4" w:rsidRPr="00273106">
        <w:t xml:space="preserve"> </w:t>
      </w:r>
      <w:r w:rsidR="08B73ED4">
        <w:t>přestal</w:t>
      </w:r>
      <w:r w:rsidR="00D86A61">
        <w:t>a být prvním principem poznání.</w:t>
      </w:r>
    </w:p>
    <w:p w14:paraId="2A545E69" w14:textId="28426A64" w:rsidR="08F97BBD" w:rsidRDefault="08B73ED4" w:rsidP="00613ECD">
      <w:pPr>
        <w:ind w:firstLine="397"/>
      </w:pPr>
      <w:r>
        <w:t xml:space="preserve">Vraťme se Albertově kritice postupu </w:t>
      </w:r>
      <w:r w:rsidR="00C60F30">
        <w:t>modernistů. Ú</w:t>
      </w:r>
      <w:r>
        <w:t xml:space="preserve">vod díla </w:t>
      </w:r>
      <w:r w:rsidRPr="00DE53A5">
        <w:rPr>
          <w:i/>
        </w:rPr>
        <w:t>De homine</w:t>
      </w:r>
      <w:r>
        <w:t xml:space="preserve"> </w:t>
      </w:r>
      <w:r w:rsidR="00C60F30">
        <w:t xml:space="preserve">začíná </w:t>
      </w:r>
      <w:r>
        <w:t xml:space="preserve">obhajovou principu </w:t>
      </w:r>
      <w:r w:rsidR="00010B8E">
        <w:rPr>
          <w:i/>
        </w:rPr>
        <w:t>inmediate</w:t>
      </w:r>
      <w:r>
        <w:t xml:space="preserve">, kterou bere z výkladu stejných pasáží ve </w:t>
      </w:r>
      <w:r w:rsidRPr="00574634">
        <w:rPr>
          <w:i/>
        </w:rPr>
        <w:t>Druhých analytikách</w:t>
      </w:r>
      <w:r w:rsidR="087C319B">
        <w:t xml:space="preserve"> (kap. 2</w:t>
      </w:r>
      <w:r>
        <w:t xml:space="preserve">.4.1). </w:t>
      </w:r>
      <w:r w:rsidR="008E2E4C">
        <w:t>Kanonická věta</w:t>
      </w:r>
      <w:r>
        <w:t xml:space="preserve"> </w:t>
      </w:r>
      <w:r w:rsidR="008E2E4C">
        <w:t>„</w:t>
      </w:r>
      <w:r w:rsidRPr="08487134">
        <w:rPr>
          <w:i/>
        </w:rPr>
        <w:t>ex veris, et primis et inmediatis</w:t>
      </w:r>
      <w:r w:rsidR="008E2E4C">
        <w:t>“ v Grossetesteho v</w:t>
      </w:r>
      <w:r w:rsidR="008E2E4C" w:rsidRPr="00273106">
        <w:t>ýklad</w:t>
      </w:r>
      <w:r w:rsidR="008E2E4C">
        <w:t xml:space="preserve">u podle </w:t>
      </w:r>
      <w:r w:rsidR="008E2E4C" w:rsidRPr="008E2E4C">
        <w:rPr>
          <w:i/>
        </w:rPr>
        <w:t>Oxfordian</w:t>
      </w:r>
      <w:r w:rsidR="008E2E4C" w:rsidRPr="00273106">
        <w:rPr>
          <w:i/>
        </w:rPr>
        <w:t xml:space="preserve"> Fallacy</w:t>
      </w:r>
      <w:r w:rsidR="008E2E4C">
        <w:rPr>
          <w:i/>
        </w:rPr>
        <w:fldChar w:fldCharType="begin"/>
      </w:r>
      <w:r w:rsidR="008E2E4C">
        <w:instrText xml:space="preserve"> XE "</w:instrText>
      </w:r>
      <w:r w:rsidR="008E2E4C" w:rsidRPr="0015798D">
        <w:rPr>
          <w:i/>
        </w:rPr>
        <w:instrText>Oxfordian Fallacy</w:instrText>
      </w:r>
      <w:r w:rsidR="008E2E4C" w:rsidRPr="006A435C">
        <w:instrText>:Grosseteste</w:instrText>
      </w:r>
      <w:r w:rsidR="008E2E4C">
        <w:instrText xml:space="preserve">" </w:instrText>
      </w:r>
      <w:r w:rsidR="008E2E4C">
        <w:rPr>
          <w:i/>
        </w:rPr>
        <w:fldChar w:fldCharType="end"/>
      </w:r>
      <w:r w:rsidR="008E2E4C">
        <w:t xml:space="preserve"> určuje nikoliv metafyzickou druhou substanci, ale logickou esenci. T</w:t>
      </w:r>
      <w:r w:rsidR="008E2E4C" w:rsidRPr="008E2E4C">
        <w:t>o ukončilo kritickou vědu zal</w:t>
      </w:r>
      <w:r w:rsidR="008E2E4C">
        <w:t>oženou na metafyzické impozici. V logické supozici n</w:t>
      </w:r>
      <w:r w:rsidR="008E2E4C" w:rsidRPr="008E2E4C">
        <w:t>elze žádným způsobem dosáhnout</w:t>
      </w:r>
      <w:r w:rsidR="008E2E4C">
        <w:t xml:space="preserve"> univocity vztažené k prvním substancím, protože logicky vytvořená hyparchická nutnost je dána sama v </w:t>
      </w:r>
      <w:r w:rsidR="008E2E4C" w:rsidRPr="008E2E4C">
        <w:t>sobě</w:t>
      </w:r>
      <w:r w:rsidR="008E2E4C">
        <w:t>, a ne v</w:t>
      </w:r>
      <w:r w:rsidR="0079641C">
        <w:t> </w:t>
      </w:r>
      <w:r w:rsidR="008E2E4C">
        <w:t>realitě</w:t>
      </w:r>
      <w:r w:rsidR="0079641C">
        <w:t xml:space="preserve">. </w:t>
      </w:r>
      <w:r w:rsidR="00984FF5" w:rsidRPr="00984FF5">
        <w:t xml:space="preserve">Jestliže esence tvoří předmět první triády principů, pak poznání nezačíná empirickým poznáním </w:t>
      </w:r>
      <w:r w:rsidR="00984FF5">
        <w:t xml:space="preserve">reality </w:t>
      </w:r>
      <w:r w:rsidR="00984FF5" w:rsidRPr="00984FF5">
        <w:t xml:space="preserve">a aristotelský princip </w:t>
      </w:r>
      <w:r w:rsidR="00CF3A29" w:rsidRPr="00CF3A29">
        <w:rPr>
          <w:i/>
        </w:rPr>
        <w:t>ex</w:t>
      </w:r>
      <w:r w:rsidR="00CF3A29">
        <w:t xml:space="preserve"> </w:t>
      </w:r>
      <w:r w:rsidR="00984FF5">
        <w:rPr>
          <w:i/>
        </w:rPr>
        <w:t>in</w:t>
      </w:r>
      <w:r w:rsidR="00984FF5" w:rsidRPr="00273106">
        <w:rPr>
          <w:i/>
        </w:rPr>
        <w:t>mediat</w:t>
      </w:r>
      <w:r w:rsidR="00984FF5">
        <w:rPr>
          <w:i/>
        </w:rPr>
        <w:t>is</w:t>
      </w:r>
      <w:r w:rsidR="00984FF5" w:rsidRPr="00273106">
        <w:t xml:space="preserve"> </w:t>
      </w:r>
      <w:r w:rsidR="00984FF5" w:rsidRPr="00984FF5">
        <w:t>je považován za druhotný.</w:t>
      </w:r>
      <w:r w:rsidR="00CF3A29">
        <w:t xml:space="preserve"> </w:t>
      </w:r>
      <w:r>
        <w:t xml:space="preserve">První </w:t>
      </w:r>
      <w:r w:rsidR="008E2E4C">
        <w:t xml:space="preserve">moderní </w:t>
      </w:r>
      <w:r>
        <w:t>analytik determinoval nutnost hyparchického postavení první substance (</w:t>
      </w:r>
      <w:r w:rsidRPr="00273106">
        <w:rPr>
          <w:i/>
        </w:rPr>
        <w:t>inesse</w:t>
      </w:r>
      <w:r>
        <w:t>)</w:t>
      </w:r>
      <w:r>
        <w:rPr>
          <w:i/>
        </w:rPr>
        <w:fldChar w:fldCharType="begin"/>
      </w:r>
      <w:r>
        <w:instrText xml:space="preserve"> XE "esence:</w:instrText>
      </w:r>
      <w:r w:rsidRPr="00CF4ADF">
        <w:rPr>
          <w:i/>
        </w:rPr>
        <w:instrText>inesse</w:instrText>
      </w:r>
      <w:r>
        <w:instrText xml:space="preserve">" </w:instrText>
      </w:r>
      <w:r>
        <w:rPr>
          <w:i/>
        </w:rPr>
        <w:fldChar w:fldCharType="end"/>
      </w:r>
      <w:r>
        <w:t xml:space="preserve"> ve vědeckém deduktivním soudu z druhé triády</w:t>
      </w:r>
      <w:r w:rsidRPr="00273106">
        <w:t xml:space="preserve"> principů. </w:t>
      </w:r>
      <w:r>
        <w:t xml:space="preserve">Dedukce nejde v modu </w:t>
      </w:r>
      <w:r w:rsidRPr="00C2007B">
        <w:rPr>
          <w:i/>
        </w:rPr>
        <w:t>per prius</w:t>
      </w:r>
      <w:r>
        <w:t xml:space="preserve"> z reality první substance, ale z univerzální esence dané v mysli. </w:t>
      </w:r>
      <w:r w:rsidR="0034415C">
        <w:t>Připomeňme původní zdroj tét</w:t>
      </w:r>
      <w:r w:rsidR="001266C8">
        <w:t xml:space="preserve">o </w:t>
      </w:r>
      <w:r>
        <w:t xml:space="preserve">unifikace </w:t>
      </w:r>
      <w:r w:rsidR="001266C8">
        <w:t xml:space="preserve">ve schématu poznání podle </w:t>
      </w:r>
      <w:r w:rsidR="0034415C">
        <w:t>Avicenny (</w:t>
      </w:r>
      <w:r w:rsidR="08E01FE9">
        <w:t xml:space="preserve">OBJ I, </w:t>
      </w:r>
      <w:r w:rsidR="0034415C">
        <w:t>kap. 2.3.1).</w:t>
      </w:r>
      <w:r w:rsidR="00EB2E56">
        <w:t xml:space="preserve"> </w:t>
      </w:r>
      <w:r w:rsidR="0034415C">
        <w:t xml:space="preserve">Aristotelská </w:t>
      </w:r>
      <w:r w:rsidR="008E746E">
        <w:t>abstrakce</w:t>
      </w:r>
      <w:r w:rsidR="0034415C">
        <w:t xml:space="preserve"> </w:t>
      </w:r>
      <w:r w:rsidR="008E746E">
        <w:t xml:space="preserve">duši </w:t>
      </w:r>
      <w:r w:rsidR="08572A5C">
        <w:t xml:space="preserve">ilumináta </w:t>
      </w:r>
      <w:r w:rsidR="008E746E">
        <w:t xml:space="preserve">pouze </w:t>
      </w:r>
      <w:r w:rsidR="08204323">
        <w:t>„</w:t>
      </w:r>
      <w:r w:rsidR="008E746E">
        <w:t>disponuje</w:t>
      </w:r>
      <w:r w:rsidR="08204323">
        <w:t xml:space="preserve">“ </w:t>
      </w:r>
      <w:r w:rsidR="00DC7BED">
        <w:t xml:space="preserve">(ale nikoliv determinuje) </w:t>
      </w:r>
      <w:r w:rsidR="0034415C">
        <w:t>k tomu, aby přijala vyšší formy (</w:t>
      </w:r>
      <w:r w:rsidR="0034415C" w:rsidRPr="00B356E6">
        <w:rPr>
          <w:i/>
        </w:rPr>
        <w:t>ad recipiendum emanationem</w:t>
      </w:r>
      <w:r w:rsidR="0034415C">
        <w:t xml:space="preserve">). Proto </w:t>
      </w:r>
      <w:r w:rsidR="00AE50BA">
        <w:t xml:space="preserve">podle Avicenny </w:t>
      </w:r>
      <w:r w:rsidR="0034415C">
        <w:t xml:space="preserve">platí, že střední člen demonstrativního soudu již sám od sebe obsahuje nutný univerzální závěr </w:t>
      </w:r>
      <w:r w:rsidR="00AE50BA">
        <w:t>(</w:t>
      </w:r>
      <w:r w:rsidR="00AE50BA" w:rsidRPr="007406A2">
        <w:rPr>
          <w:i/>
        </w:rPr>
        <w:t>sicut termini medii praeparant ad recipiendum conclusionem necessario</w:t>
      </w:r>
      <w:r w:rsidR="00AE50BA">
        <w:t xml:space="preserve">; </w:t>
      </w:r>
      <w:r w:rsidR="00AE50BA" w:rsidRPr="00FD793D">
        <w:rPr>
          <w:i/>
        </w:rPr>
        <w:t>Liber de anima</w:t>
      </w:r>
      <w:r w:rsidR="00AE50BA">
        <w:rPr>
          <w:i/>
        </w:rPr>
        <w:t xml:space="preserve"> </w:t>
      </w:r>
      <w:r w:rsidR="00AE50BA" w:rsidRPr="00FA59A2">
        <w:t>V.5</w:t>
      </w:r>
      <w:r w:rsidR="00AE50BA">
        <w:t xml:space="preserve">; p. </w:t>
      </w:r>
      <w:r w:rsidR="00AE50BA" w:rsidRPr="00FA59A2">
        <w:t>127</w:t>
      </w:r>
      <w:r w:rsidR="00AE50BA">
        <w:t>.48–50</w:t>
      </w:r>
      <w:r w:rsidR="00AE50BA">
        <w:fldChar w:fldCharType="begin"/>
      </w:r>
      <w:r w:rsidR="00AE50BA">
        <w:instrText xml:space="preserve"> XE "Avicenna:</w:instrText>
      </w:r>
      <w:r w:rsidR="00AE50BA" w:rsidRPr="00CC2962">
        <w:rPr>
          <w:i/>
        </w:rPr>
        <w:instrText>Liber de anima</w:instrText>
      </w:r>
      <w:r w:rsidR="00AE50BA">
        <w:instrText xml:space="preserve"> </w:instrText>
      </w:r>
      <w:r w:rsidR="00AE50BA" w:rsidRPr="00E62A06">
        <w:instrText>127</w:instrText>
      </w:r>
      <w:r w:rsidR="00AE50BA">
        <w:instrText xml:space="preserve">.48–50" </w:instrText>
      </w:r>
      <w:r w:rsidR="00AE50BA">
        <w:fldChar w:fldCharType="end"/>
      </w:r>
      <w:r w:rsidR="00AE50BA" w:rsidRPr="00FA59A2">
        <w:t>)</w:t>
      </w:r>
      <w:r w:rsidR="00AE50BA">
        <w:t xml:space="preserve">. </w:t>
      </w:r>
      <w:r w:rsidR="0034415C">
        <w:t xml:space="preserve">Aktualizace středního členu soudu </w:t>
      </w:r>
      <w:r w:rsidR="0034415C">
        <w:lastRenderedPageBreak/>
        <w:t xml:space="preserve">od smyslového </w:t>
      </w:r>
      <w:r w:rsidR="002E30FF" w:rsidRPr="002E30FF">
        <w:t>species</w:t>
      </w:r>
      <w:r w:rsidR="0034415C">
        <w:t xml:space="preserve"> v modu kauzality </w:t>
      </w:r>
      <w:r w:rsidR="00A2772F">
        <w:t>není třeba</w:t>
      </w:r>
      <w:r w:rsidR="0034415C">
        <w:t xml:space="preserve">. </w:t>
      </w:r>
      <w:r w:rsidR="000D1BE7" w:rsidRPr="00273106">
        <w:t xml:space="preserve">Grossestesteho </w:t>
      </w:r>
      <w:r w:rsidR="084D1E56">
        <w:t xml:space="preserve">avicennistický </w:t>
      </w:r>
      <w:r w:rsidR="000D1BE7" w:rsidRPr="00273106">
        <w:t xml:space="preserve">výklad </w:t>
      </w:r>
      <w:r w:rsidR="08191EFD">
        <w:t xml:space="preserve">neuchovává aristotelskou dichotomii </w:t>
      </w:r>
      <w:r w:rsidR="000D1BE7" w:rsidRPr="00273106">
        <w:t xml:space="preserve">vědy </w:t>
      </w:r>
      <w:r w:rsidR="00D32013">
        <w:t>danou</w:t>
      </w:r>
      <w:r w:rsidR="087C065D">
        <w:t xml:space="preserve"> z metafyzicky nebo z logiky. Pro </w:t>
      </w:r>
      <w:r w:rsidR="08191EFD">
        <w:t>Aristotela zůstává věda dichotomická, protože hyparchická predikace obou věd se liší rodem a tedy zásadně. Tuto rodovou odlišno</w:t>
      </w:r>
      <w:r w:rsidR="087C065D">
        <w:t>s</w:t>
      </w:r>
      <w:r w:rsidR="08191EFD">
        <w:t>t obou věd Grosseteste zrušil a nahradil ji hierachickou stavbou</w:t>
      </w:r>
      <w:r w:rsidR="087C065D">
        <w:t xml:space="preserve"> jedné univerzální vědy. V novém neoplatonském schématu dedukce jsou přírodní vědy (</w:t>
      </w:r>
      <w:r w:rsidR="087C065D" w:rsidRPr="08191EFD">
        <w:rPr>
          <w:i/>
        </w:rPr>
        <w:t>scientia</w:t>
      </w:r>
      <w:r w:rsidR="087C065D">
        <w:rPr>
          <w:i/>
        </w:rPr>
        <w:fldChar w:fldCharType="begin"/>
      </w:r>
      <w:r w:rsidR="087C065D">
        <w:instrText xml:space="preserve"> XE "</w:instrText>
      </w:r>
      <w:r w:rsidR="087C065D" w:rsidRPr="0015798D">
        <w:rPr>
          <w:i/>
        </w:rPr>
        <w:instrText>Oxfordian Fallacy:</w:instrText>
      </w:r>
      <w:r w:rsidR="087C065D">
        <w:rPr>
          <w:i/>
        </w:rPr>
        <w:instrText>scientia</w:instrText>
      </w:r>
      <w:r w:rsidR="087C065D">
        <w:instrText xml:space="preserve">" </w:instrText>
      </w:r>
      <w:r w:rsidR="087C065D">
        <w:rPr>
          <w:i/>
        </w:rPr>
        <w:fldChar w:fldCharType="end"/>
      </w:r>
      <w:r w:rsidR="087C065D">
        <w:t>) podrobeny teoretickému vědění (</w:t>
      </w:r>
      <w:r w:rsidR="087C065D" w:rsidRPr="08191EFD">
        <w:rPr>
          <w:i/>
        </w:rPr>
        <w:t>intellectus</w:t>
      </w:r>
      <w:r w:rsidR="087C065D">
        <w:t xml:space="preserve">). Toto vědecké simulákrum se v postmoderně tematizovalo skrze </w:t>
      </w:r>
      <w:r w:rsidR="087C065D" w:rsidRPr="087C065D">
        <w:rPr>
          <w:i/>
        </w:rPr>
        <w:t>metaphysica generalis</w:t>
      </w:r>
      <w:r w:rsidR="087C065D">
        <w:rPr>
          <w:i/>
        </w:rPr>
        <w:fldChar w:fldCharType="begin"/>
      </w:r>
      <w:r w:rsidR="087C065D">
        <w:instrText xml:space="preserve"> XE "</w:instrText>
      </w:r>
      <w:r w:rsidR="087C065D" w:rsidRPr="08BC7890">
        <w:rPr>
          <w:i/>
        </w:rPr>
        <w:instrText>metaphysica generalis</w:instrText>
      </w:r>
      <w:r w:rsidR="087C065D">
        <w:instrText xml:space="preserve">" </w:instrText>
      </w:r>
      <w:r w:rsidR="087C065D">
        <w:rPr>
          <w:i/>
        </w:rPr>
        <w:fldChar w:fldCharType="end"/>
      </w:r>
      <w:r w:rsidR="087C065D">
        <w:t xml:space="preserve"> a ve věku metafyzického nihilismu jako </w:t>
      </w:r>
      <w:r w:rsidR="087C065D" w:rsidRPr="087C065D">
        <w:rPr>
          <w:i/>
        </w:rPr>
        <w:t>Unified Science</w:t>
      </w:r>
      <w:r w:rsidR="087C065D">
        <w:rPr>
          <w:i/>
        </w:rPr>
        <w:fldChar w:fldCharType="begin"/>
      </w:r>
      <w:r w:rsidR="087C065D">
        <w:instrText xml:space="preserve"> XE "</w:instrText>
      </w:r>
      <w:r w:rsidR="087C065D" w:rsidRPr="089276C6">
        <w:rPr>
          <w:i/>
        </w:rPr>
        <w:instrText>Unified Science</w:instrText>
      </w:r>
      <w:r w:rsidR="087C065D">
        <w:instrText xml:space="preserve">" </w:instrText>
      </w:r>
      <w:r w:rsidR="087C065D">
        <w:rPr>
          <w:i/>
        </w:rPr>
        <w:fldChar w:fldCharType="end"/>
      </w:r>
      <w:r w:rsidR="087C065D" w:rsidRPr="087C065D">
        <w:t xml:space="preserve">. </w:t>
      </w:r>
      <w:r>
        <w:t>Přímý avicennistický náhled do prvních principů je pro aristo</w:t>
      </w:r>
      <w:r w:rsidR="00254648">
        <w:t xml:space="preserve">telské pojetí vědy nepřípustný. </w:t>
      </w:r>
      <w:r w:rsidR="00254648" w:rsidRPr="00254648">
        <w:t xml:space="preserve">Intelekt již není </w:t>
      </w:r>
      <w:r w:rsidR="00254648" w:rsidRPr="00254648">
        <w:rPr>
          <w:i/>
        </w:rPr>
        <w:t>tabula rasa</w:t>
      </w:r>
      <w:r w:rsidR="00254648">
        <w:rPr>
          <w:i/>
        </w:rPr>
        <w:fldChar w:fldCharType="begin"/>
      </w:r>
      <w:r w:rsidR="00254648">
        <w:instrText xml:space="preserve"> XE "</w:instrText>
      </w:r>
      <w:r w:rsidR="00254648" w:rsidRPr="00BA7303">
        <w:rPr>
          <w:i/>
        </w:rPr>
        <w:instrText>tabula rasa</w:instrText>
      </w:r>
      <w:r w:rsidR="00254648">
        <w:instrText xml:space="preserve">" </w:instrText>
      </w:r>
      <w:r w:rsidR="00254648">
        <w:rPr>
          <w:i/>
        </w:rPr>
        <w:fldChar w:fldCharType="end"/>
      </w:r>
      <w:r w:rsidR="00254648" w:rsidRPr="00254648">
        <w:t xml:space="preserve"> a poznání není aktualizováno smyslovou zkušeností. Člověk nemůže poznávat svět jako </w:t>
      </w:r>
      <w:r w:rsidR="00E03B93">
        <w:t xml:space="preserve">nějaký </w:t>
      </w:r>
      <w:r w:rsidR="00254648" w:rsidRPr="00254648">
        <w:t>moderni</w:t>
      </w:r>
      <w:r w:rsidR="00A04F49">
        <w:t xml:space="preserve">stický </w:t>
      </w:r>
      <w:r w:rsidR="00254648" w:rsidRPr="00254648">
        <w:t>anděl. V takovém případě aktualizace intelektu nutně vychází z rozděleného kosmického intelektu.</w:t>
      </w:r>
      <w:r w:rsidR="00254648">
        <w:t xml:space="preserve"> </w:t>
      </w:r>
      <w:r w:rsidR="085573A3">
        <w:t>Pokud Grosseteste učil již v Paříži</w:t>
      </w:r>
      <w:r w:rsidR="08F405C0">
        <w:t xml:space="preserve"> toto analytické pojetí </w:t>
      </w:r>
      <w:r w:rsidR="0079641C">
        <w:t xml:space="preserve">unifikované </w:t>
      </w:r>
      <w:r w:rsidR="08F405C0">
        <w:t>vědy</w:t>
      </w:r>
      <w:r w:rsidR="085573A3">
        <w:t xml:space="preserve">, tak nemohl postavil jednotu „meta-fyziky“ jako první vědy podle Sicilského výkladu </w:t>
      </w:r>
      <w:r w:rsidR="085573A3" w:rsidRPr="085573A3">
        <w:rPr>
          <w:i/>
        </w:rPr>
        <w:t>ad mentem Averrois</w:t>
      </w:r>
      <w:r w:rsidR="085573A3">
        <w:t xml:space="preserve">. </w:t>
      </w:r>
      <w:r w:rsidR="08E54AFF">
        <w:t xml:space="preserve">Proto </w:t>
      </w:r>
      <w:r w:rsidR="085573A3">
        <w:t xml:space="preserve">patřil do školy </w:t>
      </w:r>
      <w:r w:rsidR="08E54AFF">
        <w:rPr>
          <w:i/>
        </w:rPr>
        <w:t>sequaces Aris</w:t>
      </w:r>
      <w:r w:rsidR="085573A3" w:rsidRPr="085573A3">
        <w:rPr>
          <w:i/>
        </w:rPr>
        <w:t>totelis</w:t>
      </w:r>
      <w:r w:rsidR="08E54AFF">
        <w:t xml:space="preserve">, i když z úplně jiného titulu než </w:t>
      </w:r>
      <w:r w:rsidR="081F30F7">
        <w:t xml:space="preserve">avicennističtí </w:t>
      </w:r>
      <w:r w:rsidR="08E54AFF">
        <w:t>modernisté</w:t>
      </w:r>
      <w:r w:rsidR="081F30F7">
        <w:t xml:space="preserve"> kolem školy Filipa Kancléře nebo neoplatonikové ve škole opatství Svatého Viktora</w:t>
      </w:r>
      <w:r w:rsidR="08A23AD0">
        <w:t>. Tito porretáni nebyli schopni provést fundovanou filosofickou kritiky aristotelského panteismu Davida z Didantu, protože tento úkol byla schopna v plnosti zvládnout</w:t>
      </w:r>
      <w:r w:rsidR="00613ECD">
        <w:t xml:space="preserve"> pouze a jedině Blundova škola. </w:t>
      </w:r>
      <w:r w:rsidR="00613ECD" w:rsidRPr="00613ECD">
        <w:t>Pařížská univerzita vznikla v boji proti aristotelismu toletánců, hájila skutečnou vědu a skutečný humanismus nerozdělené osoby.</w:t>
      </w:r>
      <w:r w:rsidR="00613ECD">
        <w:t xml:space="preserve"> </w:t>
      </w:r>
      <w:r w:rsidR="08E54AFF">
        <w:t>P</w:t>
      </w:r>
      <w:r w:rsidR="085573A3">
        <w:t xml:space="preserve">o nástupu Alverna jako biskupa a kancléře papežské univerzity </w:t>
      </w:r>
      <w:r w:rsidR="08E54AFF">
        <w:t xml:space="preserve">ustavené v boji proti aristotelismu toletánů </w:t>
      </w:r>
      <w:r w:rsidR="085573A3">
        <w:t xml:space="preserve">nemohl </w:t>
      </w:r>
      <w:r w:rsidR="08E54AFF">
        <w:t xml:space="preserve">Grosseteste </w:t>
      </w:r>
      <w:r w:rsidR="00613ECD">
        <w:t>zůstat na postu</w:t>
      </w:r>
      <w:r w:rsidR="085573A3">
        <w:t xml:space="preserve"> magistra regens nově vznikající univerzity, kam vzhledem ke svému vzdělání a schopnostem jis</w:t>
      </w:r>
      <w:r w:rsidR="08277470">
        <w:t>tě patřil.</w:t>
      </w:r>
      <w:r w:rsidR="08C745B3">
        <w:t xml:space="preserve"> </w:t>
      </w:r>
      <w:r w:rsidR="08A808A3">
        <w:t xml:space="preserve">Toto místo </w:t>
      </w:r>
      <w:r w:rsidR="08CA22C8">
        <w:t xml:space="preserve">později </w:t>
      </w:r>
      <w:r w:rsidR="08A808A3">
        <w:t xml:space="preserve">obsadí Albert Veliký a první </w:t>
      </w:r>
      <w:r w:rsidR="08385AC4">
        <w:t xml:space="preserve">velký </w:t>
      </w:r>
      <w:r w:rsidR="08A808A3">
        <w:t xml:space="preserve">filosofický zápas </w:t>
      </w:r>
      <w:r w:rsidR="08385AC4">
        <w:t xml:space="preserve">na Pařížské univerzitě </w:t>
      </w:r>
      <w:r w:rsidR="08A808A3">
        <w:t xml:space="preserve">vede </w:t>
      </w:r>
      <w:r w:rsidR="08CF46C0">
        <w:t xml:space="preserve">od roku 1240 </w:t>
      </w:r>
      <w:r w:rsidR="08A808A3">
        <w:t>proti oběma nejvýznam</w:t>
      </w:r>
      <w:r w:rsidR="08611F14">
        <w:t>n</w:t>
      </w:r>
      <w:r w:rsidR="08A808A3">
        <w:t>ějším Grossetesteho žákům z O</w:t>
      </w:r>
      <w:r w:rsidR="087C0473">
        <w:t>xf</w:t>
      </w:r>
      <w:r w:rsidR="08A808A3">
        <w:t>o</w:t>
      </w:r>
      <w:r w:rsidR="087C0473">
        <w:t>r</w:t>
      </w:r>
      <w:r w:rsidR="08A808A3">
        <w:t>du</w:t>
      </w:r>
      <w:r w:rsidR="080E6FC0">
        <w:t xml:space="preserve">, což byli </w:t>
      </w:r>
      <w:r w:rsidR="08A808A3">
        <w:t xml:space="preserve">Rufus a Kilwardby. Grossetesteho </w:t>
      </w:r>
      <w:r w:rsidR="08611F14">
        <w:t xml:space="preserve">odchod do akademicky druhořadého </w:t>
      </w:r>
      <w:r w:rsidR="088D3D49">
        <w:t xml:space="preserve">Oxfordu byl nevyhnutelný a zde také našel spřízněné avicennistické akademické duše. </w:t>
      </w:r>
      <w:r w:rsidR="08CD1E26">
        <w:t xml:space="preserve">Tento aristotelský toletánec </w:t>
      </w:r>
      <w:r w:rsidR="082964E5">
        <w:t xml:space="preserve">formoval </w:t>
      </w:r>
      <w:r w:rsidR="08CD1E26">
        <w:t xml:space="preserve">v letech 1230‒35 </w:t>
      </w:r>
      <w:r w:rsidR="082964E5">
        <w:t>na zdejším františkánském kolegiu</w:t>
      </w:r>
      <w:r w:rsidR="087B41E7">
        <w:t xml:space="preserve"> originální </w:t>
      </w:r>
      <w:r w:rsidR="0806227A">
        <w:t xml:space="preserve">sofistické </w:t>
      </w:r>
      <w:r w:rsidR="087B41E7">
        <w:t xml:space="preserve">bakaláře nadané </w:t>
      </w:r>
      <w:r w:rsidR="082F24E9">
        <w:t xml:space="preserve">výjimečným </w:t>
      </w:r>
      <w:r w:rsidR="08690F61">
        <w:t xml:space="preserve">mytopoetickým </w:t>
      </w:r>
      <w:r w:rsidR="082964E5">
        <w:t>talentem k metafyzickým fabulacím</w:t>
      </w:r>
      <w:r w:rsidR="087B41E7">
        <w:t xml:space="preserve"> jako byl Rufus z Cornwallu. </w:t>
      </w:r>
      <w:r>
        <w:t xml:space="preserve">Oxfordská škola zvolila v osobě Grosseteteho výklad </w:t>
      </w:r>
      <w:r w:rsidRPr="00A90E20">
        <w:rPr>
          <w:i/>
        </w:rPr>
        <w:t>Druhých analytik</w:t>
      </w:r>
      <w:r>
        <w:t xml:space="preserve"> podle Toledské školy</w:t>
      </w:r>
      <w:r w:rsidRPr="08737B98">
        <w:t xml:space="preserve"> </w:t>
      </w:r>
      <w:r>
        <w:t xml:space="preserve">roku 1230. Ve stejném roce magistři z Blundovy školy inspirovaní Scotem a jeho korpusem Komentátora </w:t>
      </w:r>
      <w:r w:rsidR="086948EC">
        <w:lastRenderedPageBreak/>
        <w:t xml:space="preserve">formují </w:t>
      </w:r>
      <w:r>
        <w:t xml:space="preserve">Pařížskou univerzitu </w:t>
      </w:r>
      <w:r>
        <w:rPr>
          <w:i/>
        </w:rPr>
        <w:t>ad mentem Ave</w:t>
      </w:r>
      <w:r w:rsidRPr="08FA6F84">
        <w:rPr>
          <w:i/>
        </w:rPr>
        <w:t>rrois</w:t>
      </w:r>
      <w:r>
        <w:t xml:space="preserve"> podle Sicilské školy. </w:t>
      </w:r>
      <w:r w:rsidR="0806227A">
        <w:t xml:space="preserve">Múzický výklad zakládající události metafyziky na rovině </w:t>
      </w:r>
      <w:r w:rsidR="0806227A" w:rsidRPr="082435E5">
        <w:rPr>
          <w:i/>
        </w:rPr>
        <w:t>a/létheia</w:t>
      </w:r>
      <w:r w:rsidR="0806227A">
        <w:t xml:space="preserve"> zásadně doplňuje a mění teorii Kretzmanna a Libery</w:t>
      </w:r>
      <w:r w:rsidR="0806227A">
        <w:fldChar w:fldCharType="begin"/>
      </w:r>
      <w:r w:rsidR="0806227A">
        <w:instrText xml:space="preserve"> XE "</w:instrText>
      </w:r>
      <w:r w:rsidR="0806227A" w:rsidRPr="00E90EF0">
        <w:instrText>Libera, A.</w:instrText>
      </w:r>
      <w:r w:rsidR="0806227A">
        <w:instrText xml:space="preserve">" </w:instrText>
      </w:r>
      <w:r w:rsidR="0806227A">
        <w:fldChar w:fldCharType="end"/>
      </w:r>
      <w:r w:rsidR="0806227A">
        <w:t xml:space="preserve"> ohledně </w:t>
      </w:r>
      <w:r w:rsidR="0806227A">
        <w:rPr>
          <w:i/>
        </w:rPr>
        <w:t>Oxford‒Paris S</w:t>
      </w:r>
      <w:r w:rsidR="0806227A" w:rsidRPr="0809181A">
        <w:rPr>
          <w:i/>
        </w:rPr>
        <w:t>plit</w:t>
      </w:r>
      <w:r w:rsidR="0806227A">
        <w:rPr>
          <w:i/>
        </w:rPr>
        <w:fldChar w:fldCharType="begin"/>
      </w:r>
      <w:r w:rsidR="0806227A">
        <w:instrText xml:space="preserve"> XE "</w:instrText>
      </w:r>
      <w:r w:rsidR="0806227A">
        <w:rPr>
          <w:i/>
        </w:rPr>
        <w:instrText>Oxford‒Paris S</w:instrText>
      </w:r>
      <w:r w:rsidR="0806227A" w:rsidRPr="00B82DBD">
        <w:rPr>
          <w:i/>
        </w:rPr>
        <w:instrText>plit</w:instrText>
      </w:r>
      <w:r w:rsidR="0806227A">
        <w:instrText xml:space="preserve">" </w:instrText>
      </w:r>
      <w:r w:rsidR="0806227A">
        <w:rPr>
          <w:i/>
        </w:rPr>
        <w:fldChar w:fldCharType="end"/>
      </w:r>
      <w:r w:rsidR="0806227A">
        <w:t xml:space="preserve"> chápanou pouze v rámci objektivního rozdílu mezi logickými školami (Libera 1982). </w:t>
      </w:r>
      <w:r w:rsidR="083526AD">
        <w:t xml:space="preserve">Předložený </w:t>
      </w:r>
      <w:r>
        <w:t xml:space="preserve">rozdíl mezi oběma univerzitami </w:t>
      </w:r>
      <w:r w:rsidR="0806227A">
        <w:t xml:space="preserve">v rámci </w:t>
      </w:r>
      <w:r w:rsidR="0806227A" w:rsidRPr="0806227A">
        <w:rPr>
          <w:i/>
        </w:rPr>
        <w:t>a/létheia</w:t>
      </w:r>
      <w:r w:rsidR="0806227A">
        <w:t xml:space="preserve"> </w:t>
      </w:r>
      <w:r w:rsidR="08412170">
        <w:t xml:space="preserve">poodhaluje </w:t>
      </w:r>
      <w:r w:rsidR="0806227A">
        <w:t xml:space="preserve">moderní a klasický výklad pravdy a bytí jsoucna v jeho původní </w:t>
      </w:r>
      <w:r>
        <w:t>dějinnost</w:t>
      </w:r>
      <w:r w:rsidR="08412170">
        <w:t xml:space="preserve">i. Hermeneutická triáda tím </w:t>
      </w:r>
      <w:r w:rsidR="0806227A">
        <w:t xml:space="preserve">určuje </w:t>
      </w:r>
      <w:r>
        <w:t xml:space="preserve">dnešní dějiny obou institucí dané jejich historickou existencí </w:t>
      </w:r>
      <w:r w:rsidR="00C16E08">
        <w:t xml:space="preserve">(Oxford) </w:t>
      </w:r>
      <w:r>
        <w:t>a neexistencí</w:t>
      </w:r>
      <w:r w:rsidR="00C16E08">
        <w:t xml:space="preserve"> (Paříž)</w:t>
      </w:r>
      <w:r>
        <w:t xml:space="preserve">. </w:t>
      </w:r>
    </w:p>
    <w:p w14:paraId="01B6A330" w14:textId="01FC8B64" w:rsidR="083F3906" w:rsidRPr="086D4AEA" w:rsidRDefault="087526DD" w:rsidP="083F3906">
      <w:r>
        <w:tab/>
        <w:t xml:space="preserve">Základní dělící linií ohledně definice vědy ve škole prvního a druhého averroismu se stal výklad zatmění slunce podaný ve </w:t>
      </w:r>
      <w:r w:rsidRPr="00FF74D8">
        <w:rPr>
          <w:i/>
        </w:rPr>
        <w:t>Druhých analytikách</w:t>
      </w:r>
      <w:r>
        <w:fldChar w:fldCharType="begin"/>
      </w:r>
      <w:r>
        <w:instrText xml:space="preserve"> XE "zatmění:</w:instrText>
      </w:r>
      <w:r w:rsidRPr="082526E0">
        <w:rPr>
          <w:i/>
        </w:rPr>
        <w:instrText>Druhé analytiky</w:instrText>
      </w:r>
      <w:r>
        <w:instrText xml:space="preserve">" </w:instrText>
      </w:r>
      <w:r>
        <w:fldChar w:fldCharType="end"/>
      </w:r>
      <w:r>
        <w:t xml:space="preserve">. Aristoteles podává příklad vědeckého důkazu na základě zatmění slunce ve dvou postupech </w:t>
      </w:r>
      <w:r w:rsidRPr="00273106">
        <w:t>(</w:t>
      </w:r>
      <w:r w:rsidRPr="00273106">
        <w:rPr>
          <w:i/>
        </w:rPr>
        <w:t>Anal. Post</w:t>
      </w:r>
      <w:r w:rsidRPr="00273106">
        <w:t>. II.8; 93a29‒31</w:t>
      </w:r>
      <w:r>
        <w:fldChar w:fldCharType="begin"/>
      </w:r>
      <w:r>
        <w:instrText xml:space="preserve"> XE "Aristoteles:</w:instrText>
      </w:r>
      <w:r w:rsidRPr="004D6C83">
        <w:rPr>
          <w:i/>
        </w:rPr>
        <w:instrText>Anal. Post</w:instrText>
      </w:r>
      <w:r>
        <w:instrText xml:space="preserve">. </w:instrText>
      </w:r>
      <w:r w:rsidRPr="004D6C83">
        <w:instrText>93a29‒31</w:instrText>
      </w:r>
      <w:r>
        <w:instrText xml:space="preserve">" </w:instrText>
      </w:r>
      <w:r>
        <w:fldChar w:fldCharType="end"/>
      </w:r>
      <w:r w:rsidRPr="00273106">
        <w:t>; 93a36‒b3</w:t>
      </w:r>
      <w:r>
        <w:fldChar w:fldCharType="begin"/>
      </w:r>
      <w:r>
        <w:instrText xml:space="preserve"> XE "Aristoteles:</w:instrText>
      </w:r>
      <w:r w:rsidRPr="004D6C83">
        <w:rPr>
          <w:i/>
        </w:rPr>
        <w:instrText>Anal. Post</w:instrText>
      </w:r>
      <w:r>
        <w:instrText xml:space="preserve">. </w:instrText>
      </w:r>
      <w:r w:rsidRPr="00FD0F61">
        <w:instrText>93a36‒b3</w:instrText>
      </w:r>
      <w:r>
        <w:instrText xml:space="preserve">" </w:instrText>
      </w:r>
      <w:r>
        <w:fldChar w:fldCharType="end"/>
      </w:r>
      <w:r w:rsidRPr="00273106">
        <w:t xml:space="preserve">). Vědecké vysvětlení zatmění ve </w:t>
      </w:r>
      <w:r w:rsidRPr="00FF74D8">
        <w:rPr>
          <w:i/>
        </w:rPr>
        <w:t>Druhých analytikách</w:t>
      </w:r>
      <w:r>
        <w:t xml:space="preserve"> staví na realitě astronomických těles </w:t>
      </w:r>
      <w:r w:rsidRPr="00273106">
        <w:t>jako první</w:t>
      </w:r>
      <w:r>
        <w:t>ch substancí. Jejich</w:t>
      </w:r>
      <w:r w:rsidRPr="00273106">
        <w:t xml:space="preserve"> </w:t>
      </w:r>
      <w:r>
        <w:t xml:space="preserve">reálná </w:t>
      </w:r>
      <w:r w:rsidRPr="00273106">
        <w:t>kauzalita zakládá obecné vysvětlení dané skrze deduktivní soud</w:t>
      </w:r>
      <w:r>
        <w:t xml:space="preserve">. Zavedením </w:t>
      </w:r>
      <w:r w:rsidR="082A724F">
        <w:t xml:space="preserve">metafyzického </w:t>
      </w:r>
      <w:r>
        <w:t>dativu se liší empirická zkušenost zatmění od univerzální predikace tohoto jevu ve vědeckém důkazu</w:t>
      </w:r>
      <w:r w:rsidRPr="00273106">
        <w:t xml:space="preserve">. </w:t>
      </w:r>
      <w:r>
        <w:t>P</w:t>
      </w:r>
      <w:r w:rsidRPr="00273106">
        <w:t>rvní averroismus</w:t>
      </w:r>
      <w:r>
        <w:t xml:space="preserve"> jasně viděl, že </w:t>
      </w:r>
      <w:r w:rsidR="006C5A64">
        <w:t xml:space="preserve">důkaz </w:t>
      </w:r>
      <w:r>
        <w:t>obsahuje univoční impozici</w:t>
      </w:r>
      <w:r>
        <w:fldChar w:fldCharType="begin"/>
      </w:r>
      <w:r>
        <w:instrText xml:space="preserve"> XE "impozice</w:instrText>
      </w:r>
      <w:r w:rsidRPr="082526E0">
        <w:rPr>
          <w:i/>
        </w:rPr>
        <w:instrText>:Druhé analytiky</w:instrText>
      </w:r>
      <w:r>
        <w:instrText xml:space="preserve">" </w:instrText>
      </w:r>
      <w:r>
        <w:fldChar w:fldCharType="end"/>
      </w:r>
      <w:r>
        <w:t xml:space="preserve"> reálné kauzality astronomických těles</w:t>
      </w:r>
      <w:r>
        <w:fldChar w:fldCharType="begin"/>
      </w:r>
      <w:r>
        <w:instrText xml:space="preserve"> XE "kauzalita</w:instrText>
      </w:r>
      <w:r w:rsidRPr="082526E0">
        <w:rPr>
          <w:i/>
        </w:rPr>
        <w:instrText>:Druhé analytiky</w:instrText>
      </w:r>
      <w:r>
        <w:instrText xml:space="preserve">" </w:instrText>
      </w:r>
      <w:r>
        <w:fldChar w:fldCharType="end"/>
      </w:r>
      <w:r>
        <w:t xml:space="preserve">. </w:t>
      </w:r>
      <w:r w:rsidR="00E2451E">
        <w:t>Moderní zatmění (</w:t>
      </w:r>
      <w:r w:rsidR="00E2451E" w:rsidRPr="00B56772">
        <w:t>ἐποχή</w:t>
      </w:r>
      <w:r w:rsidR="00E2451E">
        <w:t xml:space="preserve">; OBJ I, kap. 1.1) </w:t>
      </w:r>
      <w:r>
        <w:t>Aristotelova vědeckého výkladu astronomického zatmění slunce daného reálně mělo epochální význam v </w:t>
      </w:r>
      <w:r w:rsidR="00E37662">
        <w:t>teoretickém modelu západní vědy</w:t>
      </w:r>
      <w:r>
        <w:t xml:space="preserve">. </w:t>
      </w:r>
      <w:r w:rsidR="083F3906">
        <w:t xml:space="preserve"> </w:t>
      </w:r>
      <w:r w:rsidR="083F3906" w:rsidRPr="00273106">
        <w:t xml:space="preserve">Myšlení v rámci </w:t>
      </w:r>
      <w:r w:rsidR="083F3906" w:rsidRPr="00273106">
        <w:rPr>
          <w:i/>
        </w:rPr>
        <w:t>Oxfordian Fallacy</w:t>
      </w:r>
      <w:r w:rsidR="083F3906">
        <w:rPr>
          <w:i/>
        </w:rPr>
        <w:fldChar w:fldCharType="begin"/>
      </w:r>
      <w:r w:rsidR="083F3906">
        <w:instrText xml:space="preserve"> XE "</w:instrText>
      </w:r>
      <w:r w:rsidR="083F3906" w:rsidRPr="0015798D">
        <w:rPr>
          <w:i/>
        </w:rPr>
        <w:instrText>Oxfordian Fallacy:</w:instrText>
      </w:r>
      <w:r w:rsidR="083F3906">
        <w:instrText xml:space="preserve">Grosseteste" </w:instrText>
      </w:r>
      <w:r w:rsidR="083F3906">
        <w:rPr>
          <w:i/>
        </w:rPr>
        <w:fldChar w:fldCharType="end"/>
      </w:r>
      <w:r w:rsidR="083F3906" w:rsidRPr="00273106">
        <w:t xml:space="preserve"> </w:t>
      </w:r>
      <w:r w:rsidR="083F3906">
        <w:t xml:space="preserve">změnilo </w:t>
      </w:r>
      <w:r w:rsidR="083F3906" w:rsidRPr="00273106">
        <w:t xml:space="preserve">smysl </w:t>
      </w:r>
      <w:r w:rsidR="083F3906" w:rsidRPr="00DB617C">
        <w:rPr>
          <w:i/>
        </w:rPr>
        <w:t>Druhých analytik</w:t>
      </w:r>
      <w:r w:rsidR="083F3906">
        <w:t xml:space="preserve"> tím, že odmítlo metafyzický primát </w:t>
      </w:r>
      <w:r w:rsidR="005D66E9">
        <w:t>vědy</w:t>
      </w:r>
      <w:r w:rsidR="083F3906">
        <w:t>. Reálná kauzalita astronomických těles hraje v novém výkladu pouze druhé housle.</w:t>
      </w:r>
    </w:p>
    <w:p w14:paraId="569F0F06" w14:textId="219F4A0E" w:rsidR="083F3906" w:rsidRDefault="083F3906" w:rsidP="083F3906">
      <w:pPr>
        <w:pStyle w:val="Citace"/>
        <w:rPr>
          <w:lang w:val="cs-CZ"/>
        </w:rPr>
      </w:pPr>
      <w:r w:rsidRPr="00180710">
        <w:t>„</w:t>
      </w:r>
      <w:r>
        <w:rPr>
          <w:lang w:val="cs-CZ"/>
        </w:rPr>
        <w:t>Zatmění v modu trvalé jednoduchosti (</w:t>
      </w:r>
      <w:r w:rsidRPr="001D35A6">
        <w:rPr>
          <w:i/>
        </w:rPr>
        <w:t>simpliciter semper</w:t>
      </w:r>
      <w:r>
        <w:rPr>
          <w:lang w:val="cs-CZ"/>
        </w:rPr>
        <w:t>) je dáno v definici jeho příčin (</w:t>
      </w:r>
      <w:r w:rsidRPr="001D35A6">
        <w:rPr>
          <w:i/>
        </w:rPr>
        <w:t>est in rationibus suis causalibus</w:t>
      </w:r>
      <w:r>
        <w:rPr>
          <w:lang w:val="cs-CZ"/>
        </w:rPr>
        <w:t xml:space="preserve">) a žádný jednotlivý úkaz zatmění není dán trvale v definici </w:t>
      </w:r>
      <w:r w:rsidR="00187F05">
        <w:rPr>
          <w:lang w:val="cs-CZ"/>
        </w:rPr>
        <w:t xml:space="preserve">skrze </w:t>
      </w:r>
      <w:r>
        <w:rPr>
          <w:lang w:val="cs-CZ"/>
        </w:rPr>
        <w:t>kauzalit</w:t>
      </w:r>
      <w:r w:rsidR="00187F05">
        <w:rPr>
          <w:lang w:val="cs-CZ"/>
        </w:rPr>
        <w:t>u</w:t>
      </w:r>
      <w:r>
        <w:rPr>
          <w:lang w:val="cs-CZ"/>
        </w:rPr>
        <w:t xml:space="preserve"> (</w:t>
      </w:r>
      <w:r w:rsidRPr="001D35A6">
        <w:rPr>
          <w:i/>
        </w:rPr>
        <w:t>nulla tamen particularis eclipsis semper est in sua ratione causali</w:t>
      </w:r>
      <w:r>
        <w:rPr>
          <w:lang w:val="cs-CZ"/>
        </w:rPr>
        <w:t>). Buď platí toto, nebo to, co Aristoteles jistě nechtěl říci, že totiž zatmění by bylo vždy. Chtěl říci, že závěr soudu, skrze který je vědecky dokázáno zatmění (</w:t>
      </w:r>
      <w:r w:rsidRPr="001D35A6">
        <w:rPr>
          <w:i/>
        </w:rPr>
        <w:t>conclusio in qua demonstratur eclipsis</w:t>
      </w:r>
      <w:r>
        <w:rPr>
          <w:lang w:val="cs-CZ"/>
        </w:rPr>
        <w:t>), představuje výrok, který má trvalou platnost, ať už je zatmění reálně dáno, nebo nikoliv (</w:t>
      </w:r>
      <w:r w:rsidRPr="00D5300F">
        <w:rPr>
          <w:i/>
        </w:rPr>
        <w:t>sive eclipsis sit sive non sit</w:t>
      </w:r>
      <w:r>
        <w:rPr>
          <w:lang w:val="cs-CZ"/>
        </w:rPr>
        <w:t>).“ </w:t>
      </w:r>
      <w:r w:rsidRPr="00273106">
        <w:rPr>
          <w:rStyle w:val="Znakapoznpodarou"/>
        </w:rPr>
        <w:footnoteReference w:id="294"/>
      </w:r>
    </w:p>
    <w:p w14:paraId="21B2017B" w14:textId="5D19A342" w:rsidR="00C6170E" w:rsidRDefault="083F3906" w:rsidP="00453973">
      <w:r>
        <w:lastRenderedPageBreak/>
        <w:t xml:space="preserve">Znovu je vidět typická dvojznačnost tohoto tvrzení daná opomenutím skutečného </w:t>
      </w:r>
      <w:r w:rsidR="08C57E7D">
        <w:t>směru impozice vědeckého důkazu</w:t>
      </w:r>
      <w:r>
        <w:t xml:space="preserve">. Vědeckou platnost zatmění zakládá v modu </w:t>
      </w:r>
      <w:r w:rsidRPr="08955E76">
        <w:rPr>
          <w:i/>
        </w:rPr>
        <w:t>per prius</w:t>
      </w:r>
      <w:r>
        <w:t xml:space="preserve"> o</w:t>
      </w:r>
      <w:r w:rsidRPr="00273106">
        <w:t>becné vysvětlení v rámci druhé triády principů (</w:t>
      </w:r>
      <w:r w:rsidRPr="00273106">
        <w:rPr>
          <w:i/>
        </w:rPr>
        <w:t>simpliciter semper est in rationibus suis causalibus</w:t>
      </w:r>
      <w:r w:rsidRPr="00273106">
        <w:t xml:space="preserve">). </w:t>
      </w:r>
      <w:r>
        <w:t xml:space="preserve">Formálně-logicky správně platí, že věda existuje pouze v modu </w:t>
      </w:r>
      <w:r w:rsidRPr="0836646C">
        <w:rPr>
          <w:i/>
        </w:rPr>
        <w:t>simpliciter semper</w:t>
      </w:r>
      <w:r>
        <w:t xml:space="preserve">. Vědecké </w:t>
      </w:r>
      <w:r w:rsidRPr="00273106">
        <w:t xml:space="preserve">vysvětlení </w:t>
      </w:r>
      <w:r w:rsidR="08C57E7D">
        <w:t>v jeho univerzální plat</w:t>
      </w:r>
      <w:r>
        <w:t xml:space="preserve">nosti už nepotřebuje </w:t>
      </w:r>
      <w:r w:rsidRPr="00273106">
        <w:t>re</w:t>
      </w:r>
      <w:r>
        <w:t>álný</w:t>
      </w:r>
      <w:r w:rsidRPr="00273106">
        <w:t xml:space="preserve"> průběh</w:t>
      </w:r>
      <w:r>
        <w:t xml:space="preserve"> daný </w:t>
      </w:r>
      <w:r w:rsidRPr="00273106">
        <w:t>kauzalitou prvních substancí</w:t>
      </w:r>
      <w:r>
        <w:t xml:space="preserve">. Jenže </w:t>
      </w:r>
      <w:r w:rsidR="08A40B22">
        <w:t xml:space="preserve">tuto </w:t>
      </w:r>
      <w:r>
        <w:t xml:space="preserve">reálnou kauzalitu drží </w:t>
      </w:r>
      <w:r w:rsidR="087F4E73">
        <w:t xml:space="preserve">u Aristotela </w:t>
      </w:r>
      <w:r>
        <w:t xml:space="preserve">v univerzální predikaci střední člen vědeckého soudu a bez něj by žádná </w:t>
      </w:r>
      <w:r w:rsidR="08C57E7D">
        <w:t xml:space="preserve">přírodní </w:t>
      </w:r>
      <w:r>
        <w:t xml:space="preserve">věda neexistovala. </w:t>
      </w:r>
      <w:r w:rsidR="00204FAD" w:rsidRPr="00204FAD">
        <w:t xml:space="preserve">V rámci druhé formy nutnosti principu </w:t>
      </w:r>
      <w:r w:rsidR="00204FAD" w:rsidRPr="00204FAD">
        <w:rPr>
          <w:i/>
        </w:rPr>
        <w:t>inesse</w:t>
      </w:r>
      <w:r w:rsidR="00204FAD" w:rsidRPr="00204FAD">
        <w:t xml:space="preserve"> lze opět pozorovat záměnu hyparchické p</w:t>
      </w:r>
      <w:r w:rsidR="00204FAD">
        <w:t>redikace. Hyparchická nutnost daná metafyzicky</w:t>
      </w:r>
      <w:r w:rsidR="00204FAD" w:rsidRPr="00204FAD">
        <w:t xml:space="preserve"> zmizela a byla nahrazena logickou nutností.</w:t>
      </w:r>
      <w:r w:rsidR="00204FAD">
        <w:t xml:space="preserve"> </w:t>
      </w:r>
      <w:r w:rsidR="08175711">
        <w:t>Grosseteste nerozlišuje mezi definicí kauzality na úrovni prvních substancí a v</w:t>
      </w:r>
      <w:r w:rsidR="083336CD">
        <w:t> logickém soudu</w:t>
      </w:r>
      <w:r w:rsidR="08175711">
        <w:t xml:space="preserve">, což znamená porušení primátu </w:t>
      </w:r>
      <w:r w:rsidR="08175711" w:rsidRPr="00754793">
        <w:rPr>
          <w:i/>
        </w:rPr>
        <w:t>ex inmediatis</w:t>
      </w:r>
      <w:r w:rsidR="08175711">
        <w:t>. Výrok spojil obě určení tím, že zrušil autonomii metafyzického důkazu a zaměnil jej za logickou dedukci danou v univerzální predikaci (</w:t>
      </w:r>
      <w:r w:rsidR="08175711" w:rsidRPr="00BA696A">
        <w:rPr>
          <w:i/>
        </w:rPr>
        <w:t>in sua ratione causali</w:t>
      </w:r>
      <w:r w:rsidR="08175711">
        <w:t>).</w:t>
      </w:r>
      <w:r w:rsidR="08175711" w:rsidRPr="0893348D">
        <w:rPr>
          <w:szCs w:val="24"/>
        </w:rPr>
        <w:t xml:space="preserve"> </w:t>
      </w:r>
      <w:r>
        <w:t xml:space="preserve">Citát podle porretánské logiky </w:t>
      </w:r>
      <w:r w:rsidRPr="00A94FB5">
        <w:rPr>
          <w:i/>
        </w:rPr>
        <w:t>semel</w:t>
      </w:r>
      <w:r>
        <w:t>‒</w:t>
      </w:r>
      <w:r w:rsidRPr="00A94FB5">
        <w:rPr>
          <w:i/>
        </w:rPr>
        <w:t>semper</w:t>
      </w:r>
      <w:r>
        <w:t xml:space="preserve"> tvrdí, že logická nutnost daná závěrem soudu (druhá triáda principů) je platná vždy, ale empirická událost nemusí nastat vždy (první triáda principů). Pojem nutnosti je zcela univoční, což představuje podle klasického aristotelismu zásadní kategoriální chybu danou nikoliv na úrovni logického myšlení, ale metafyziky. Impozice je daná univerzálně, ale díky principu </w:t>
      </w:r>
      <w:r w:rsidR="08D91F67">
        <w:rPr>
          <w:i/>
        </w:rPr>
        <w:t>ex in</w:t>
      </w:r>
      <w:r w:rsidRPr="080C517E">
        <w:rPr>
          <w:i/>
        </w:rPr>
        <w:t>mediatis</w:t>
      </w:r>
      <w:r>
        <w:t xml:space="preserve"> se univočně vypovídá vzhledem k tomu (ἐν τῷ), co je reálná kauzalita daná hyparchicky (</w:t>
      </w:r>
      <w:r w:rsidRPr="080C517E">
        <w:rPr>
          <w:i/>
        </w:rPr>
        <w:t>Anal. Post.</w:t>
      </w:r>
      <w:r w:rsidR="0022227D">
        <w:t xml:space="preserve"> 84a13</w:t>
      </w:r>
      <w:r>
        <w:fldChar w:fldCharType="begin"/>
      </w:r>
      <w:r>
        <w:instrText xml:space="preserve"> XE "Aristoteles:</w:instrText>
      </w:r>
      <w:r w:rsidRPr="08821841">
        <w:rPr>
          <w:i/>
        </w:rPr>
        <w:instrText>Anal. Post.</w:instrText>
      </w:r>
      <w:r w:rsidRPr="08821841">
        <w:instrText xml:space="preserve"> 84a1</w:instrText>
      </w:r>
      <w:r w:rsidR="0022227D">
        <w:instrText>3</w:instrText>
      </w:r>
      <w:r>
        <w:instrText xml:space="preserve">" </w:instrText>
      </w:r>
      <w:r>
        <w:fldChar w:fldCharType="end"/>
      </w:r>
      <w:r>
        <w:t xml:space="preserve">). </w:t>
      </w:r>
      <w:r w:rsidR="003C458A">
        <w:t xml:space="preserve">Pak platí, že reálná první substance </w:t>
      </w:r>
      <w:r w:rsidR="00A53576">
        <w:t xml:space="preserve">správně </w:t>
      </w:r>
      <w:r w:rsidR="003C458A">
        <w:t xml:space="preserve">nese subjekt </w:t>
      </w:r>
      <w:r w:rsidR="00631C4E">
        <w:t xml:space="preserve">univerzální </w:t>
      </w:r>
      <w:r w:rsidR="003C458A">
        <w:t>výpovědi (ὑπάρχουσιν αὐτοῖς</w:t>
      </w:r>
      <w:r w:rsidR="00A53576">
        <w:t xml:space="preserve">, </w:t>
      </w:r>
      <w:r w:rsidR="0022227D" w:rsidRPr="080C517E">
        <w:rPr>
          <w:i/>
        </w:rPr>
        <w:t>Anal. Post.</w:t>
      </w:r>
      <w:r w:rsidR="0022227D">
        <w:t xml:space="preserve"> 84a14</w:t>
      </w:r>
      <w:r w:rsidR="0022227D">
        <w:fldChar w:fldCharType="begin"/>
      </w:r>
      <w:r w:rsidR="0022227D">
        <w:instrText xml:space="preserve"> XE "Aristoteles:</w:instrText>
      </w:r>
      <w:r w:rsidR="0022227D" w:rsidRPr="08821841">
        <w:rPr>
          <w:i/>
        </w:rPr>
        <w:instrText>Anal. Post.</w:instrText>
      </w:r>
      <w:r w:rsidR="0022227D" w:rsidRPr="08821841">
        <w:instrText xml:space="preserve"> 84a1</w:instrText>
      </w:r>
      <w:r w:rsidR="0022227D">
        <w:instrText xml:space="preserve">4" </w:instrText>
      </w:r>
      <w:r w:rsidR="0022227D">
        <w:fldChar w:fldCharType="end"/>
      </w:r>
      <w:r w:rsidR="003C458A">
        <w:t xml:space="preserve">). </w:t>
      </w:r>
      <w:r>
        <w:t xml:space="preserve">Sofističtí modernisté se dopustili základního omylu, protože metafyzický význam </w:t>
      </w:r>
      <w:r w:rsidRPr="009D5D18">
        <w:rPr>
          <w:i/>
        </w:rPr>
        <w:t>secundum quid</w:t>
      </w:r>
      <w:r>
        <w:rPr>
          <w:i/>
        </w:rPr>
        <w:fldChar w:fldCharType="begin"/>
      </w:r>
      <w:r>
        <w:instrText xml:space="preserve"> XE "predikace:</w:instrText>
      </w:r>
      <w:r w:rsidRPr="00D00040">
        <w:rPr>
          <w:i/>
        </w:rPr>
        <w:instrText>secundum quid</w:instrText>
      </w:r>
      <w:r>
        <w:instrText xml:space="preserve">" </w:instrText>
      </w:r>
      <w:r>
        <w:rPr>
          <w:i/>
        </w:rPr>
        <w:fldChar w:fldCharType="end"/>
      </w:r>
      <w:r>
        <w:t xml:space="preserve"> je predikovaný podle Aristotela pouze vzhledem k realitě skrze impozici reálné kauzality ve středním členu soudu. Modernisté </w:t>
      </w:r>
      <w:r w:rsidR="00D31992">
        <w:t xml:space="preserve">zrušili </w:t>
      </w:r>
      <w:r>
        <w:t>predikaci v modu metafyzické abstrakce</w:t>
      </w:r>
      <w:r w:rsidR="00D31992">
        <w:t xml:space="preserve"> </w:t>
      </w:r>
      <w:r w:rsidR="00D31992" w:rsidRPr="00D31992">
        <w:rPr>
          <w:i/>
        </w:rPr>
        <w:t>secundum quid</w:t>
      </w:r>
      <w:r w:rsidR="00D31992">
        <w:t xml:space="preserve">, která byla dána </w:t>
      </w:r>
      <w:r>
        <w:t xml:space="preserve">impozicí reálné kauzality do středního členu </w:t>
      </w:r>
      <w:r w:rsidRPr="006103C4">
        <w:rPr>
          <w:i/>
        </w:rPr>
        <w:t>demonstratio</w:t>
      </w:r>
      <w:r w:rsidR="00D31992">
        <w:t xml:space="preserve">. Místo ní dali </w:t>
      </w:r>
      <w:r>
        <w:t xml:space="preserve">obecný logický význam v modu </w:t>
      </w:r>
      <w:r w:rsidRPr="009D5D18">
        <w:rPr>
          <w:i/>
        </w:rPr>
        <w:t>secundum simpliciter</w:t>
      </w:r>
      <w:r>
        <w:rPr>
          <w:i/>
        </w:rPr>
        <w:fldChar w:fldCharType="begin"/>
      </w:r>
      <w:r>
        <w:instrText xml:space="preserve"> XE "predikace:</w:instrText>
      </w:r>
      <w:r w:rsidRPr="00E561BF">
        <w:rPr>
          <w:i/>
        </w:rPr>
        <w:instrText>secundum simpliciter</w:instrText>
      </w:r>
      <w:r>
        <w:instrText xml:space="preserve">" </w:instrText>
      </w:r>
      <w:r>
        <w:rPr>
          <w:i/>
        </w:rPr>
        <w:fldChar w:fldCharType="end"/>
      </w:r>
      <w:r>
        <w:t xml:space="preserve">. Tento omyl typu </w:t>
      </w:r>
      <w:r w:rsidRPr="00D82095">
        <w:rPr>
          <w:i/>
        </w:rPr>
        <w:t>fallacia a dicto simpliciter ad dictum secundum quid</w:t>
      </w:r>
      <w:r>
        <w:rPr>
          <w:i/>
        </w:rPr>
        <w:fldChar w:fldCharType="begin"/>
      </w:r>
      <w:r>
        <w:instrText xml:space="preserve"> XE "</w:instrText>
      </w:r>
      <w:r w:rsidRPr="00502FA4">
        <w:rPr>
          <w:i/>
        </w:rPr>
        <w:instrText>fallacia a dicto simpliciter ad dictum secundum quid</w:instrText>
      </w:r>
      <w:r>
        <w:instrText xml:space="preserve">" </w:instrText>
      </w:r>
      <w:r>
        <w:rPr>
          <w:i/>
        </w:rPr>
        <w:fldChar w:fldCharType="end"/>
      </w:r>
      <w:r>
        <w:t xml:space="preserve"> založil vědecké poznání v modu </w:t>
      </w:r>
      <w:r w:rsidRPr="009D5D18">
        <w:rPr>
          <w:i/>
        </w:rPr>
        <w:t>Oxfordian Fallacy</w:t>
      </w:r>
      <w:r>
        <w:t xml:space="preserve">, které již existovalo u porretánů a v Alvernově době u pařížských Gramatiků. V obou inkubátorech druhého averroismu se tvrdí, že supozice výroku platí v modu </w:t>
      </w:r>
      <w:r w:rsidRPr="009C0EE2">
        <w:rPr>
          <w:i/>
        </w:rPr>
        <w:t>semel</w:t>
      </w:r>
      <w:r>
        <w:rPr>
          <w:i/>
        </w:rPr>
        <w:t>‒</w:t>
      </w:r>
      <w:r w:rsidRPr="009C0EE2">
        <w:rPr>
          <w:i/>
        </w:rPr>
        <w:t>semper</w:t>
      </w:r>
      <w:r>
        <w:t xml:space="preserve">. Grosseteste nasvítil poznání středního členu vědeckého deduktivního soudu zezadu od věčných pricipů </w:t>
      </w:r>
      <w:r>
        <w:lastRenderedPageBreak/>
        <w:t xml:space="preserve">místo zepředu od empirické </w:t>
      </w:r>
      <w:r w:rsidRPr="006068BC">
        <w:rPr>
          <w:i/>
        </w:rPr>
        <w:t>scientia</w:t>
      </w:r>
      <w:r>
        <w:t xml:space="preserve">. Proto mu ve výsledném schématu </w:t>
      </w:r>
      <w:r w:rsidRPr="006068BC">
        <w:rPr>
          <w:i/>
        </w:rPr>
        <w:t>demonstratio</w:t>
      </w:r>
      <w:r>
        <w:t xml:space="preserve"> chybí impozice</w:t>
      </w:r>
      <w:r w:rsidR="00C75A4F">
        <w:t xml:space="preserve"> smyslu</w:t>
      </w:r>
      <w:r>
        <w:fldChar w:fldCharType="begin"/>
      </w:r>
      <w:r>
        <w:instrText xml:space="preserve"> XE "</w:instrText>
      </w:r>
      <w:r w:rsidRPr="0098130D">
        <w:instrText>impozice:Grosseteste</w:instrText>
      </w:r>
      <w:r>
        <w:instrText xml:space="preserve">" </w:instrText>
      </w:r>
      <w:r>
        <w:fldChar w:fldCharType="end"/>
      </w:r>
      <w:r>
        <w:t xml:space="preserve"> z reality, kterou citovaný výklad zatmění slunce velkoryse pomine jako pouhou kontigentní událost (</w:t>
      </w:r>
      <w:r w:rsidRPr="00D5300F">
        <w:rPr>
          <w:i/>
        </w:rPr>
        <w:t>sive non sit</w:t>
      </w:r>
      <w:r>
        <w:t xml:space="preserve">). Výstavba vědy podle </w:t>
      </w:r>
      <w:r w:rsidRPr="00BF42D6">
        <w:rPr>
          <w:i/>
        </w:rPr>
        <w:t>Druhých analytik</w:t>
      </w:r>
      <w:r>
        <w:t xml:space="preserve"> je vyložena ve smyslu porretánského </w:t>
      </w:r>
      <w:r w:rsidRPr="00BF42D6">
        <w:rPr>
          <w:i/>
        </w:rPr>
        <w:t>resolutio</w:t>
      </w:r>
      <w:r>
        <w:t>, tedy pomocí dedukce či „rozvazování“ vědění (ἀναλύω) ze subsistentních prvních principů poznání, které nepotřebují kategoriální vztah k realitě</w:t>
      </w:r>
      <w:r>
        <w:fldChar w:fldCharType="begin"/>
      </w:r>
      <w:r>
        <w:instrText xml:space="preserve"> XE "analytická filosofie" </w:instrText>
      </w:r>
      <w:r>
        <w:fldChar w:fldCharType="end"/>
      </w:r>
      <w:r>
        <w:t xml:space="preserve">. Výrok </w:t>
      </w:r>
      <w:r w:rsidRPr="00D5300F">
        <w:rPr>
          <w:i/>
        </w:rPr>
        <w:t>sive non sit</w:t>
      </w:r>
      <w:r>
        <w:t xml:space="preserve"> vzhledem k reálnému průběhu zatmění by Aristoteles nikdy neřekl, protože vědecká a tudíž metafyzicky pravdivá predikace musí respektovat základní způsob, jak je vědecký úsudek reálně determinován kauzalitou prvních substancí. Protože existuje reálné zatmění, tak můžeme predikovat jeho univerzální nutnost</w:t>
      </w:r>
      <w:r>
        <w:fldChar w:fldCharType="begin"/>
      </w:r>
      <w:r>
        <w:instrText xml:space="preserve"> XE "kauzalita</w:instrText>
      </w:r>
      <w:r w:rsidRPr="082526E0">
        <w:rPr>
          <w:i/>
        </w:rPr>
        <w:instrText>:Druhé analytiky</w:instrText>
      </w:r>
      <w:r>
        <w:instrText xml:space="preserve">" </w:instrText>
      </w:r>
      <w:r>
        <w:fldChar w:fldCharType="end"/>
      </w:r>
      <w:r>
        <w:t xml:space="preserve">. Vědecká nutnost je dána v modu metafyzické nutnosti odvozené od interakce prvních substancí v modu </w:t>
      </w:r>
      <w:r w:rsidRPr="08D64878">
        <w:rPr>
          <w:i/>
        </w:rPr>
        <w:t>simpliciter</w:t>
      </w:r>
      <w:r>
        <w:t xml:space="preserve">, protože vědecký soud predikuje kauzální vztahy mezi reálnými astronomickými tělesy. Vlastní kauzální působení astronomických těles je dáno podle Aristotela v hyparchickém modu </w:t>
      </w:r>
      <w:r w:rsidRPr="00631C11">
        <w:rPr>
          <w:i/>
        </w:rPr>
        <w:t>per prius</w:t>
      </w:r>
      <w:r>
        <w:rPr>
          <w:i/>
        </w:rPr>
        <w:fldChar w:fldCharType="begin"/>
      </w:r>
      <w:r>
        <w:instrText xml:space="preserve"> XE "predikace:</w:instrText>
      </w:r>
      <w:r w:rsidRPr="00F00A48">
        <w:rPr>
          <w:i/>
        </w:rPr>
        <w:instrText>per prius</w:instrText>
      </w:r>
      <w:r>
        <w:instrText xml:space="preserve">" </w:instrText>
      </w:r>
      <w:r>
        <w:rPr>
          <w:i/>
        </w:rPr>
        <w:fldChar w:fldCharType="end"/>
      </w:r>
      <w:r>
        <w:t xml:space="preserve"> a bez něj neexistuje pravdivá věda o působení mezi prvními substancemi. Jiná věc jsou vědy dané v mysli, kde je princip </w:t>
      </w:r>
      <w:r w:rsidR="08D91F67">
        <w:rPr>
          <w:i/>
        </w:rPr>
        <w:t>ex in</w:t>
      </w:r>
      <w:r w:rsidRPr="081A1EFA">
        <w:rPr>
          <w:i/>
        </w:rPr>
        <w:t>mediatis</w:t>
      </w:r>
      <w:r>
        <w:t xml:space="preserve"> přímo platný v modu logické abst</w:t>
      </w:r>
      <w:r w:rsidR="086210DF">
        <w:t xml:space="preserve">rakce. Pro tyto teoretické vědy </w:t>
      </w:r>
      <w:r>
        <w:t xml:space="preserve">platí nutnost ve vztahu k rodově odlišné druhé substanci, která se predikuje univerzálně v rámci logické nebo matematické abstrakce </w:t>
      </w:r>
      <w:r w:rsidR="009D554D">
        <w:t>dané hyparchicky jako abstrakce</w:t>
      </w:r>
      <w:r>
        <w:t xml:space="preserve">. Logická nutnost je také dána </w:t>
      </w:r>
      <w:r w:rsidRPr="08070BAE">
        <w:rPr>
          <w:i/>
        </w:rPr>
        <w:t>simpliciter</w:t>
      </w:r>
      <w:r>
        <w:t>, ale v úplně jiném řádu bytí jsoucna, protože existuje pouze v mysli poznávajícího, který provád</w:t>
      </w:r>
      <w:r w:rsidR="00B73B48">
        <w:t>í abstrakci od reálných vztahů.</w:t>
      </w:r>
      <w:r w:rsidR="00CB3775">
        <w:t xml:space="preserve"> </w:t>
      </w:r>
      <w:r>
        <w:t xml:space="preserve">Proto existují dvě cesty vědění. Logické a matematické vztahy nejsou univočně převoditelné na metafyzické poznání reálných vztahů, jako je zatmění Slunce nebo Měsíce jako jedinečných astronomických těles. Modus logické nutnosti daný </w:t>
      </w:r>
      <w:r w:rsidRPr="000E636E">
        <w:rPr>
          <w:i/>
        </w:rPr>
        <w:t>simplex</w:t>
      </w:r>
      <w:r>
        <w:t xml:space="preserve"> není stejný na úrovni predikace k reálné substanci, což aristotelská logika přesně odlišuje. Esence </w:t>
      </w:r>
      <w:r>
        <w:rPr>
          <w:i/>
          <w:iCs/>
        </w:rPr>
        <w:fldChar w:fldCharType="begin"/>
      </w:r>
      <w:r>
        <w:instrText xml:space="preserve"> XE "esence:první averroismus" </w:instrText>
      </w:r>
      <w:r>
        <w:rPr>
          <w:i/>
          <w:iCs/>
        </w:rPr>
        <w:fldChar w:fldCharType="end"/>
      </w:r>
      <w:r>
        <w:t>daná univerzálně-logicky (</w:t>
      </w:r>
      <w:r w:rsidRPr="000614E1">
        <w:rPr>
          <w:i/>
        </w:rPr>
        <w:t>simpliciter</w:t>
      </w:r>
      <w:r>
        <w:t>) a esenciálně-metafyzicky (</w:t>
      </w:r>
      <w:r w:rsidRPr="00750AFB">
        <w:rPr>
          <w:i/>
        </w:rPr>
        <w:t>secundum quid</w:t>
      </w:r>
      <w:r>
        <w:t xml:space="preserve">) </w:t>
      </w:r>
      <w:r>
        <w:rPr>
          <w:i/>
        </w:rPr>
        <w:fldChar w:fldCharType="begin"/>
      </w:r>
      <w:r>
        <w:instrText xml:space="preserve"> XE "predikace:</w:instrText>
      </w:r>
      <w:r w:rsidRPr="00D00040">
        <w:rPr>
          <w:i/>
        </w:rPr>
        <w:instrText>secundum quid</w:instrText>
      </w:r>
      <w:r>
        <w:instrText xml:space="preserve">" </w:instrText>
      </w:r>
      <w:r>
        <w:rPr>
          <w:i/>
        </w:rPr>
        <w:fldChar w:fldCharType="end"/>
      </w:r>
      <w:r>
        <w:t xml:space="preserve">nemůže univočně suplovat ve středním členu soudu kauzální vztahy. Při zatmění jsou totiž tyto vztahy dány nejprve v realitě, což znamená vědeckou impozici v metafyzickém modu </w:t>
      </w:r>
      <w:r w:rsidRPr="00EE21EE">
        <w:rPr>
          <w:i/>
        </w:rPr>
        <w:t>secundum quid</w:t>
      </w:r>
      <w:r>
        <w:t xml:space="preserve">. Takto kategoriálně predikované vztahy existují v modu </w:t>
      </w:r>
      <w:r w:rsidRPr="000614E1">
        <w:rPr>
          <w:i/>
        </w:rPr>
        <w:t>simpliciter</w:t>
      </w:r>
      <w:r>
        <w:t xml:space="preserve"> a </w:t>
      </w:r>
      <w:r w:rsidRPr="000736D7">
        <w:rPr>
          <w:i/>
        </w:rPr>
        <w:t>per prius</w:t>
      </w:r>
      <w:r>
        <w:t xml:space="preserve"> v aktu bytí první substance, kde možné nic přidat. Impozice jejich bytí v modu </w:t>
      </w:r>
      <w:r w:rsidRPr="000736D7">
        <w:rPr>
          <w:i/>
        </w:rPr>
        <w:t>per posterius</w:t>
      </w:r>
      <w:r>
        <w:t xml:space="preserve"> zakládá vědecké poznání skrze kategoriální predikaci v rámci </w:t>
      </w:r>
      <w:r w:rsidRPr="000736D7">
        <w:rPr>
          <w:i/>
        </w:rPr>
        <w:t>demonstratio</w:t>
      </w:r>
      <w:r>
        <w:t xml:space="preserve"> daného podle metafyzické nutnosti </w:t>
      </w:r>
      <w:r w:rsidR="082A724F">
        <w:t xml:space="preserve">metafyzického </w:t>
      </w:r>
      <w:r>
        <w:t xml:space="preserve">dativu. </w:t>
      </w:r>
      <w:r w:rsidR="00C6170E" w:rsidRPr="00C6170E">
        <w:t xml:space="preserve">Logické vztahy v takovém případě existují v </w:t>
      </w:r>
      <w:r w:rsidR="00C6170E" w:rsidRPr="00C6170E">
        <w:lastRenderedPageBreak/>
        <w:t xml:space="preserve">modu </w:t>
      </w:r>
      <w:r w:rsidR="00C6170E" w:rsidRPr="00C6170E">
        <w:rPr>
          <w:i/>
        </w:rPr>
        <w:t>simpliciter</w:t>
      </w:r>
      <w:r w:rsidR="00C6170E" w:rsidRPr="00C6170E">
        <w:t xml:space="preserve"> et </w:t>
      </w:r>
      <w:r w:rsidR="00C6170E" w:rsidRPr="00C6170E">
        <w:rPr>
          <w:i/>
        </w:rPr>
        <w:t>per prius</w:t>
      </w:r>
      <w:r w:rsidR="00C6170E" w:rsidRPr="00C6170E">
        <w:t xml:space="preserve">, který se uskutečňuje na způsob univocity. Pořadí dedukce je správné, pokud jde o pravdu jakožto </w:t>
      </w:r>
      <w:r w:rsidR="00C6170E" w:rsidRPr="00C6170E">
        <w:rPr>
          <w:i/>
        </w:rPr>
        <w:t>adaequatio</w:t>
      </w:r>
      <w:r w:rsidR="00C6170E" w:rsidRPr="00C6170E">
        <w:t>; univo</w:t>
      </w:r>
      <w:r w:rsidR="00C6170E">
        <w:t>ční impozice učiněná</w:t>
      </w:r>
      <w:r w:rsidR="00C6170E" w:rsidRPr="00C6170E">
        <w:t xml:space="preserve"> v modu metafyzických potencialit předchází stejně univo</w:t>
      </w:r>
      <w:r w:rsidR="00C6170E">
        <w:t>ční supozici v</w:t>
      </w:r>
      <w:r w:rsidR="00C6170E" w:rsidRPr="00C6170E">
        <w:t xml:space="preserve"> teoretickém myšlení.</w:t>
      </w:r>
    </w:p>
    <w:p w14:paraId="2F1047ED" w14:textId="7D5E24B5" w:rsidR="08FD20E7" w:rsidRPr="00204FAD" w:rsidRDefault="08603DEA" w:rsidP="00CB3775">
      <w:pPr>
        <w:ind w:firstLine="397"/>
      </w:pPr>
      <w:r>
        <w:t xml:space="preserve">Vraťme se k úvodnímu </w:t>
      </w:r>
      <w:r w:rsidR="08254A34">
        <w:t xml:space="preserve">Grossetesteho </w:t>
      </w:r>
      <w:r>
        <w:t>citátu o dvojím pojetí vědy</w:t>
      </w:r>
      <w:r w:rsidR="08BC43F4">
        <w:t xml:space="preserve">, který ukazuje původní </w:t>
      </w:r>
      <w:r w:rsidR="08BC43F4" w:rsidRPr="08BC43F4">
        <w:rPr>
          <w:i/>
        </w:rPr>
        <w:t>Lichtung</w:t>
      </w:r>
      <w:r w:rsidR="08BC43F4">
        <w:t xml:space="preserve"> nepravdy moderní </w:t>
      </w:r>
      <w:r w:rsidR="08BC43F4" w:rsidRPr="08BC43F4">
        <w:rPr>
          <w:i/>
        </w:rPr>
        <w:t>metaphysica generalis</w:t>
      </w:r>
      <w:r w:rsidR="08BC43F4">
        <w:rPr>
          <w:i/>
        </w:rPr>
        <w:fldChar w:fldCharType="begin"/>
      </w:r>
      <w:r w:rsidR="08BC43F4">
        <w:instrText xml:space="preserve"> XE "</w:instrText>
      </w:r>
      <w:r w:rsidR="08BC43F4" w:rsidRPr="08F25EE8">
        <w:rPr>
          <w:i/>
        </w:rPr>
        <w:instrText>metaphysica generalis</w:instrText>
      </w:r>
      <w:r w:rsidR="08BC43F4">
        <w:instrText xml:space="preserve">" </w:instrText>
      </w:r>
      <w:r w:rsidR="08BC43F4">
        <w:rPr>
          <w:i/>
        </w:rPr>
        <w:fldChar w:fldCharType="end"/>
      </w:r>
      <w:r>
        <w:t xml:space="preserve">. První modus bytí </w:t>
      </w:r>
      <w:r w:rsidRPr="08603DEA">
        <w:rPr>
          <w:i/>
        </w:rPr>
        <w:t>per se</w:t>
      </w:r>
      <w:r>
        <w:t xml:space="preserve"> je vzat </w:t>
      </w:r>
      <w:r w:rsidR="00691D69" w:rsidRPr="00273106">
        <w:t>ve smyslu</w:t>
      </w:r>
      <w:r w:rsidR="00691D69">
        <w:t xml:space="preserve"> porretánských hypostází a Avicennova čistého bytí jsoucna</w:t>
      </w:r>
      <w:r>
        <w:t xml:space="preserve">. Tomuto poznání skrze </w:t>
      </w:r>
      <w:r w:rsidRPr="00273106">
        <w:t>náhled čistých forem</w:t>
      </w:r>
      <w:r>
        <w:t xml:space="preserve"> (</w:t>
      </w:r>
      <w:r w:rsidRPr="08603DEA">
        <w:rPr>
          <w:i/>
        </w:rPr>
        <w:t>intellectus</w:t>
      </w:r>
      <w:r>
        <w:t>) je podřízeno empirické poznání (</w:t>
      </w:r>
      <w:r w:rsidRPr="08603DEA">
        <w:rPr>
          <w:i/>
        </w:rPr>
        <w:t>scientia</w:t>
      </w:r>
      <w:r>
        <w:t>)</w:t>
      </w:r>
      <w:r w:rsidR="00691D69" w:rsidRPr="00273106">
        <w:t xml:space="preserve">. </w:t>
      </w:r>
      <w:r w:rsidR="000E70D8" w:rsidRPr="00273106">
        <w:t xml:space="preserve">Analytický výklad </w:t>
      </w:r>
      <w:r w:rsidR="08F6231F" w:rsidRPr="08F6231F">
        <w:rPr>
          <w:i/>
        </w:rPr>
        <w:t>Analytik</w:t>
      </w:r>
      <w:r w:rsidR="08F6231F">
        <w:t xml:space="preserve"> </w:t>
      </w:r>
      <w:r w:rsidR="000E70D8" w:rsidRPr="00273106">
        <w:t xml:space="preserve">dává </w:t>
      </w:r>
      <w:r w:rsidR="000E70D8">
        <w:t xml:space="preserve">v modu </w:t>
      </w:r>
      <w:r w:rsidR="000E70D8" w:rsidRPr="00381583">
        <w:rPr>
          <w:i/>
        </w:rPr>
        <w:t>per prius</w:t>
      </w:r>
      <w:r w:rsidR="000E70D8" w:rsidRPr="00381583">
        <w:t xml:space="preserve"> </w:t>
      </w:r>
      <w:r w:rsidR="000E70D8" w:rsidRPr="00273106">
        <w:t xml:space="preserve">náhled čistých esencí daných </w:t>
      </w:r>
      <w:r w:rsidR="000E70D8" w:rsidRPr="00273106">
        <w:rPr>
          <w:i/>
        </w:rPr>
        <w:t>per se</w:t>
      </w:r>
      <w:r w:rsidR="000E70D8">
        <w:t xml:space="preserve">. Náhled esence </w:t>
      </w:r>
      <w:r w:rsidR="000E70D8">
        <w:rPr>
          <w:i/>
          <w:iCs/>
        </w:rPr>
        <w:fldChar w:fldCharType="begin"/>
      </w:r>
      <w:r w:rsidR="000E70D8">
        <w:instrText xml:space="preserve"> XE "esence:druhý averroismus" </w:instrText>
      </w:r>
      <w:r w:rsidR="000E70D8">
        <w:rPr>
          <w:i/>
          <w:iCs/>
        </w:rPr>
        <w:fldChar w:fldCharType="end"/>
      </w:r>
      <w:r w:rsidR="000E70D8">
        <w:t>dané pouze v mysli a univerzálně dostal přednost před kauzálně působící první substancí</w:t>
      </w:r>
      <w:r w:rsidR="000E70D8" w:rsidRPr="00273106">
        <w:t xml:space="preserve">. </w:t>
      </w:r>
      <w:r w:rsidR="085E5074" w:rsidRPr="00273106">
        <w:t>První poznání je přímé a nutné (</w:t>
      </w:r>
      <w:r w:rsidR="085E5074" w:rsidRPr="00273106">
        <w:rPr>
          <w:i/>
        </w:rPr>
        <w:t>cognitio primorum principiorum</w:t>
      </w:r>
      <w:r w:rsidR="085E5074" w:rsidRPr="00273106">
        <w:t>), druhé je jen kontingentní a je dané vzhledem ke smyslově vnímané první substanci (</w:t>
      </w:r>
      <w:r w:rsidR="085E5074" w:rsidRPr="00273106">
        <w:rPr>
          <w:i/>
        </w:rPr>
        <w:t>scientia</w:t>
      </w:r>
      <w:r w:rsidR="085E5074">
        <w:rPr>
          <w:i/>
        </w:rPr>
        <w:fldChar w:fldCharType="begin"/>
      </w:r>
      <w:r w:rsidR="085E5074">
        <w:instrText xml:space="preserve"> XE "</w:instrText>
      </w:r>
      <w:r w:rsidR="085E5074" w:rsidRPr="0015798D">
        <w:rPr>
          <w:i/>
        </w:rPr>
        <w:instrText>Oxfordian Fallacy:</w:instrText>
      </w:r>
      <w:r w:rsidR="085E5074">
        <w:rPr>
          <w:i/>
        </w:rPr>
        <w:instrText>scientia</w:instrText>
      </w:r>
      <w:r w:rsidR="085E5074">
        <w:instrText xml:space="preserve">" </w:instrText>
      </w:r>
      <w:r w:rsidR="085E5074">
        <w:rPr>
          <w:i/>
        </w:rPr>
        <w:fldChar w:fldCharType="end"/>
      </w:r>
      <w:r w:rsidR="085E5074" w:rsidRPr="00273106">
        <w:t xml:space="preserve">). </w:t>
      </w:r>
      <w:r w:rsidR="00691D69" w:rsidRPr="00273106">
        <w:t xml:space="preserve">Jenže tento postup </w:t>
      </w:r>
      <w:r w:rsidR="00691D69">
        <w:t xml:space="preserve">platný v matematické a logické abstrakci </w:t>
      </w:r>
      <w:r w:rsidR="00691D69" w:rsidRPr="00273106">
        <w:t xml:space="preserve">není podle </w:t>
      </w:r>
      <w:r w:rsidR="00691D69" w:rsidRPr="00691D69">
        <w:rPr>
          <w:i/>
        </w:rPr>
        <w:t xml:space="preserve">Druhých analytik </w:t>
      </w:r>
      <w:r w:rsidR="00691D69" w:rsidRPr="00273106">
        <w:t xml:space="preserve">možný v případě </w:t>
      </w:r>
      <w:r w:rsidR="00691D69">
        <w:t xml:space="preserve">vědeckého </w:t>
      </w:r>
      <w:r w:rsidR="00691D69" w:rsidRPr="00273106">
        <w:t>poznání reálných prvních substancí</w:t>
      </w:r>
      <w:r w:rsidR="00BB67D7">
        <w:t xml:space="preserve"> jako je například zatmění slunce</w:t>
      </w:r>
      <w:r w:rsidR="00691D69" w:rsidRPr="00273106">
        <w:t>.</w:t>
      </w:r>
      <w:r w:rsidR="00691D69">
        <w:t xml:space="preserve"> </w:t>
      </w:r>
      <w:r w:rsidR="008602D4">
        <w:t>D</w:t>
      </w:r>
      <w:r w:rsidR="008602D4" w:rsidRPr="00273106">
        <w:t xml:space="preserve">anost </w:t>
      </w:r>
      <w:r w:rsidR="008602D4">
        <w:t xml:space="preserve">substance v modu </w:t>
      </w:r>
      <w:r w:rsidR="008602D4" w:rsidRPr="00273106">
        <w:rPr>
          <w:i/>
        </w:rPr>
        <w:t>simpliciter</w:t>
      </w:r>
      <w:r w:rsidR="008602D4" w:rsidRPr="00273106">
        <w:t xml:space="preserve"> je v prvním případě </w:t>
      </w:r>
      <w:r w:rsidR="008602D4">
        <w:t xml:space="preserve">vzata na úrovni metafyzické abstrakce </w:t>
      </w:r>
      <w:r w:rsidR="008602D4" w:rsidRPr="00273106">
        <w:t xml:space="preserve">a ve druhém případě pouze </w:t>
      </w:r>
      <w:r w:rsidR="008602D4">
        <w:t xml:space="preserve">na </w:t>
      </w:r>
      <w:r w:rsidR="008602D4" w:rsidRPr="00273106">
        <w:t>ideální</w:t>
      </w:r>
      <w:r w:rsidR="008602D4">
        <w:t xml:space="preserve"> úrovni matematické nebo logické abstrakce</w:t>
      </w:r>
      <w:r w:rsidR="008602D4" w:rsidRPr="00273106">
        <w:t>.</w:t>
      </w:r>
      <w:r w:rsidR="008602D4">
        <w:t xml:space="preserve"> </w:t>
      </w:r>
      <w:r w:rsidR="000E70D8">
        <w:t xml:space="preserve">Z </w:t>
      </w:r>
      <w:r w:rsidR="00EE769C">
        <w:t xml:space="preserve">originálu </w:t>
      </w:r>
      <w:r w:rsidR="083C02CE" w:rsidRPr="00691D69">
        <w:rPr>
          <w:i/>
        </w:rPr>
        <w:t xml:space="preserve">Druhých analytik </w:t>
      </w:r>
      <w:r w:rsidR="00EE769C">
        <w:t>je jasné, že o</w:t>
      </w:r>
      <w:r w:rsidR="00B241D1" w:rsidRPr="00273106">
        <w:t>ba způsoby věd</w:t>
      </w:r>
      <w:r w:rsidR="00EE769C">
        <w:t xml:space="preserve">eckého poznání a predikace </w:t>
      </w:r>
      <w:r w:rsidR="001572FB">
        <w:t xml:space="preserve">od sebe odděluje </w:t>
      </w:r>
      <w:r w:rsidR="00B241D1" w:rsidRPr="00273106">
        <w:t>odlišný modus</w:t>
      </w:r>
      <w:r w:rsidR="08DA62AF">
        <w:t xml:space="preserve"> vědecké nutnosti</w:t>
      </w:r>
      <w:r w:rsidR="00B241D1" w:rsidRPr="00273106">
        <w:t xml:space="preserve">. </w:t>
      </w:r>
      <w:r w:rsidR="08216D69">
        <w:t xml:space="preserve">Oba mody predikace </w:t>
      </w:r>
      <w:r w:rsidR="08216D69" w:rsidRPr="08216D69">
        <w:rPr>
          <w:i/>
        </w:rPr>
        <w:t>per se</w:t>
      </w:r>
      <w:r w:rsidR="08216D69">
        <w:t xml:space="preserve"> jsou odlišné genericky</w:t>
      </w:r>
      <w:r w:rsidR="08232B51">
        <w:t xml:space="preserve"> v modu </w:t>
      </w:r>
      <w:r w:rsidR="08232B51" w:rsidRPr="00273106">
        <w:t>διττῶς</w:t>
      </w:r>
      <w:r w:rsidR="08216D69">
        <w:t xml:space="preserve">. Podle kategoriální predikace nemůže existovat o genericky odlišných </w:t>
      </w:r>
      <w:r w:rsidR="08DA62AF">
        <w:t xml:space="preserve">druhých substancích (hyparchická a logická) </w:t>
      </w:r>
      <w:r w:rsidR="08216D69">
        <w:t xml:space="preserve">společná věda, protože by nebyla univoční výpovědí vzhledem ke druhé substanci jako rodového garanta univocity. </w:t>
      </w:r>
      <w:r w:rsidR="084D0EB6" w:rsidRPr="00273106">
        <w:t xml:space="preserve">Přechod poznání z jednoho rodu na druhý není možný, protože druhé substance představují poslední jednotky univočního významu v rámci </w:t>
      </w:r>
      <w:r w:rsidR="084D0EB6">
        <w:t xml:space="preserve">aristotelské </w:t>
      </w:r>
      <w:r w:rsidR="084D0EB6" w:rsidRPr="00273106">
        <w:t>kategoriální predikace</w:t>
      </w:r>
      <w:r w:rsidR="084D0EB6">
        <w:t>.</w:t>
      </w:r>
      <w:r w:rsidR="084D0EB6" w:rsidRPr="00273106">
        <w:rPr>
          <w:rStyle w:val="Znakapoznpodarou"/>
        </w:rPr>
        <w:footnoteReference w:id="295"/>
      </w:r>
      <w:r w:rsidR="084D0EB6">
        <w:t xml:space="preserve"> Univoční postavení rodu jako poslední jednotky univocity je dané tím, že predikuje univerzální významy vzhledem ke druhé substanci, která stojí na místě první substance </w:t>
      </w:r>
      <w:r w:rsidR="084D0EB6">
        <w:fldChar w:fldCharType="begin"/>
      </w:r>
      <w:r w:rsidR="084D0EB6">
        <w:instrText xml:space="preserve"> XE "</w:instrText>
      </w:r>
      <w:r w:rsidR="084D0EB6" w:rsidRPr="00EC31A2">
        <w:instrText>supozice:Grosseteste</w:instrText>
      </w:r>
      <w:r w:rsidR="084D0EB6">
        <w:instrText xml:space="preserve">" </w:instrText>
      </w:r>
      <w:r w:rsidR="084D0EB6">
        <w:fldChar w:fldCharType="end"/>
      </w:r>
      <w:r w:rsidR="084D0EB6">
        <w:t>(</w:t>
      </w:r>
      <w:r w:rsidR="084D0EB6" w:rsidRPr="00CA09FC">
        <w:rPr>
          <w:i/>
        </w:rPr>
        <w:t>supponit pro</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rsidR="084D0EB6">
        <w:t xml:space="preserve">). </w:t>
      </w:r>
      <w:r w:rsidR="08594AE1">
        <w:t xml:space="preserve">Matematika existuje v modu </w:t>
      </w:r>
      <w:r w:rsidR="08594AE1" w:rsidRPr="08594AE1">
        <w:rPr>
          <w:i/>
        </w:rPr>
        <w:t>per se</w:t>
      </w:r>
      <w:r w:rsidR="08594AE1">
        <w:t xml:space="preserve"> jinak než astronomická tělesa. </w:t>
      </w:r>
      <w:r w:rsidR="083C3C59">
        <w:t xml:space="preserve">Citovaná </w:t>
      </w:r>
      <w:r w:rsidR="002F0AE9" w:rsidRPr="00273106">
        <w:rPr>
          <w:rStyle w:val="st"/>
        </w:rPr>
        <w:t xml:space="preserve">pasáž Grossetestova </w:t>
      </w:r>
      <w:r w:rsidR="08C1126D">
        <w:rPr>
          <w:rStyle w:val="st"/>
        </w:rPr>
        <w:t xml:space="preserve">výkladu doložila první závažné pochybení </w:t>
      </w:r>
      <w:r w:rsidR="002F0AE9" w:rsidRPr="00273106">
        <w:rPr>
          <w:rStyle w:val="st"/>
        </w:rPr>
        <w:t>ve výkladu vědeckého poznání</w:t>
      </w:r>
      <w:r w:rsidR="08DB02F8">
        <w:rPr>
          <w:rStyle w:val="st"/>
        </w:rPr>
        <w:t xml:space="preserve"> </w:t>
      </w:r>
      <w:r w:rsidR="08041B9A">
        <w:rPr>
          <w:rStyle w:val="st"/>
        </w:rPr>
        <w:t xml:space="preserve">sofisticky </w:t>
      </w:r>
      <w:r w:rsidR="08DB02F8">
        <w:rPr>
          <w:rStyle w:val="st"/>
        </w:rPr>
        <w:t>pojatéh</w:t>
      </w:r>
      <w:r w:rsidR="08C33EAA">
        <w:rPr>
          <w:rStyle w:val="st"/>
        </w:rPr>
        <w:t xml:space="preserve">o v modu Toledské školy a </w:t>
      </w:r>
      <w:r w:rsidR="08DB02F8">
        <w:rPr>
          <w:rStyle w:val="st"/>
        </w:rPr>
        <w:t>Gramatiků</w:t>
      </w:r>
      <w:r w:rsidR="002F0AE9" w:rsidRPr="00273106">
        <w:rPr>
          <w:rStyle w:val="st"/>
        </w:rPr>
        <w:t xml:space="preserve">. </w:t>
      </w:r>
      <w:r w:rsidR="08FD20E7">
        <w:t>Grossetesteho v</w:t>
      </w:r>
      <w:r w:rsidR="08FD20E7" w:rsidRPr="00273106">
        <w:t xml:space="preserve">ýklad </w:t>
      </w:r>
      <w:r w:rsidR="08FD20E7" w:rsidRPr="00D6544F">
        <w:rPr>
          <w:i/>
        </w:rPr>
        <w:t>Druhých Analytik</w:t>
      </w:r>
      <w:r w:rsidR="08FD20E7" w:rsidRPr="00273106">
        <w:t xml:space="preserve"> na Oxfordu zahalil bezprostřední</w:t>
      </w:r>
      <w:r w:rsidR="08FD20E7">
        <w:t xml:space="preserve"> danost první substance </w:t>
      </w:r>
      <w:r w:rsidR="08FD20E7" w:rsidRPr="00273106">
        <w:t xml:space="preserve">pláštěm </w:t>
      </w:r>
      <w:r w:rsidR="08FD20E7">
        <w:lastRenderedPageBreak/>
        <w:t xml:space="preserve">metafyzické </w:t>
      </w:r>
      <w:r w:rsidR="08FD20E7" w:rsidRPr="00273106">
        <w:t>nejasnosti, a tak určil další směřování Západu.</w:t>
      </w:r>
      <w:r w:rsidR="08FD20E7">
        <w:t xml:space="preserve"> Citujme další nejasnost</w:t>
      </w:r>
      <w:r w:rsidR="08FD20E7" w:rsidRPr="00273106">
        <w:t xml:space="preserve"> západní moderny (</w:t>
      </w:r>
      <w:r w:rsidR="08FD20E7" w:rsidRPr="00273106">
        <w:rPr>
          <w:i/>
          <w:color w:val="000000"/>
        </w:rPr>
        <w:t>aliquantulum obscura</w:t>
      </w:r>
      <w:r w:rsidR="08FD20E7">
        <w:rPr>
          <w:i/>
        </w:rPr>
        <w:fldChar w:fldCharType="begin"/>
      </w:r>
      <w:r w:rsidR="08FD20E7">
        <w:instrText xml:space="preserve"> XE "</w:instrText>
      </w:r>
      <w:r w:rsidR="08FD20E7" w:rsidRPr="0015798D">
        <w:rPr>
          <w:i/>
        </w:rPr>
        <w:instrText>Oxfordian Fallacy</w:instrText>
      </w:r>
      <w:r w:rsidR="08FD20E7" w:rsidRPr="00BF346D">
        <w:instrText>:Grossetes</w:instrText>
      </w:r>
      <w:r w:rsidR="08FD20E7">
        <w:instrText>t</w:instrText>
      </w:r>
      <w:r w:rsidR="08FD20E7" w:rsidRPr="00BF346D">
        <w:instrText>e</w:instrText>
      </w:r>
      <w:r w:rsidR="08FD20E7">
        <w:instrText xml:space="preserve">" </w:instrText>
      </w:r>
      <w:r w:rsidR="08FD20E7">
        <w:rPr>
          <w:i/>
        </w:rPr>
        <w:fldChar w:fldCharType="end"/>
      </w:r>
      <w:r w:rsidR="08FD20E7" w:rsidRPr="00273106">
        <w:t xml:space="preserve">), která tvoří epochální </w:t>
      </w:r>
      <w:r w:rsidR="08FD20E7">
        <w:t xml:space="preserve">doplněk výše citované </w:t>
      </w:r>
      <w:r w:rsidR="08FD20E7" w:rsidRPr="00273106">
        <w:rPr>
          <w:i/>
        </w:rPr>
        <w:t>obscurity</w:t>
      </w:r>
      <w:r w:rsidR="08FD20E7">
        <w:rPr>
          <w:i/>
        </w:rPr>
        <w:fldChar w:fldCharType="begin"/>
      </w:r>
      <w:r w:rsidR="08FD20E7">
        <w:instrText xml:space="preserve"> XE "</w:instrText>
      </w:r>
      <w:r w:rsidR="08FD20E7" w:rsidRPr="000E608A">
        <w:instrText>zatmění:substance</w:instrText>
      </w:r>
      <w:r w:rsidR="08FD20E7">
        <w:instrText xml:space="preserve">" </w:instrText>
      </w:r>
      <w:r w:rsidR="08FD20E7">
        <w:rPr>
          <w:i/>
        </w:rPr>
        <w:fldChar w:fldCharType="end"/>
      </w:r>
      <w:r w:rsidR="08FD20E7" w:rsidRPr="00273106">
        <w:t xml:space="preserve">, kterou </w:t>
      </w:r>
      <w:r w:rsidR="08FD20E7">
        <w:t>Averroes</w:t>
      </w:r>
      <w:r w:rsidR="08FD20E7" w:rsidRPr="00273106">
        <w:t xml:space="preserve"> kritizuje rozpory v Avicennově metafyzice (</w:t>
      </w:r>
      <w:r w:rsidR="083E591E">
        <w:t xml:space="preserve">OBJ I, </w:t>
      </w:r>
      <w:r w:rsidR="08FD20E7" w:rsidRPr="00273106">
        <w:t>kap. 2.4.1).</w:t>
      </w:r>
      <w:r w:rsidR="08FD20E7" w:rsidRPr="00CF1F8A">
        <w:t xml:space="preserve"> </w:t>
      </w:r>
      <w:r w:rsidR="08FD20E7" w:rsidRPr="00273106">
        <w:t>Epochu zatmění první substance zahajuje na latinském Západě citát</w:t>
      </w:r>
      <w:r w:rsidR="08FD20E7">
        <w:t>, který potvrzuje vítězství Avicenny</w:t>
      </w:r>
      <w:r w:rsidR="08FD20E7" w:rsidRPr="00273106">
        <w:t xml:space="preserve">.  </w:t>
      </w:r>
    </w:p>
    <w:p w14:paraId="1EA42B69" w14:textId="7793F67A" w:rsidR="08FD20E7" w:rsidRPr="00273106" w:rsidRDefault="08FD20E7" w:rsidP="08FD20E7">
      <w:pPr>
        <w:pStyle w:val="Citace"/>
        <w:rPr>
          <w:noProof/>
          <w:lang w:val="cs-CZ"/>
        </w:rPr>
      </w:pPr>
      <w:r w:rsidRPr="00273106">
        <w:rPr>
          <w:noProof/>
          <w:lang w:val="cs-CZ"/>
        </w:rPr>
        <w:t>„</w:t>
      </w:r>
      <w:r>
        <w:rPr>
          <w:noProof/>
          <w:lang w:val="cs-CZ"/>
        </w:rPr>
        <w:t xml:space="preserve">To </w:t>
      </w:r>
      <w:r w:rsidRPr="00273106">
        <w:rPr>
          <w:noProof/>
          <w:lang w:val="cs-CZ"/>
        </w:rPr>
        <w:t>plyne z poznání daného bezprostředně reálně (</w:t>
      </w:r>
      <w:r w:rsidRPr="00273106">
        <w:rPr>
          <w:i/>
          <w:noProof/>
          <w:lang w:val="cs-CZ"/>
        </w:rPr>
        <w:t>inmediate ex proxima</w:t>
      </w:r>
      <w:r w:rsidRPr="00273106">
        <w:rPr>
          <w:noProof/>
          <w:lang w:val="cs-CZ"/>
        </w:rPr>
        <w:t xml:space="preserve">), </w:t>
      </w:r>
      <w:r w:rsidR="00390332" w:rsidRPr="00390332">
        <w:rPr>
          <w:noProof/>
          <w:lang w:val="cs-CZ"/>
        </w:rPr>
        <w:t>protože nejlépe pozn</w:t>
      </w:r>
      <w:r w:rsidR="00390332">
        <w:rPr>
          <w:noProof/>
          <w:lang w:val="cs-CZ"/>
        </w:rPr>
        <w:t>áme nejprve premisy a pak závěr</w:t>
      </w:r>
      <w:r w:rsidRPr="00273106">
        <w:rPr>
          <w:noProof/>
          <w:lang w:val="cs-CZ"/>
        </w:rPr>
        <w:t>. Výklad této části je podle mne poněkud nejasný (</w:t>
      </w:r>
      <w:r w:rsidRPr="00273106">
        <w:rPr>
          <w:i/>
          <w:noProof/>
          <w:lang w:val="cs-CZ"/>
        </w:rPr>
        <w:t>in hoc loco quia est aliquantulum obscura</w:t>
      </w:r>
      <w:r w:rsidR="0030315E">
        <w:rPr>
          <w:noProof/>
          <w:lang w:val="cs-CZ"/>
        </w:rPr>
        <w:t>). P</w:t>
      </w:r>
      <w:r w:rsidRPr="00273106">
        <w:rPr>
          <w:noProof/>
          <w:lang w:val="cs-CZ"/>
        </w:rPr>
        <w:t xml:space="preserve">rincipy </w:t>
      </w:r>
      <w:r w:rsidR="00221842">
        <w:rPr>
          <w:noProof/>
          <w:lang w:val="cs-CZ"/>
        </w:rPr>
        <w:t xml:space="preserve">takového </w:t>
      </w:r>
      <w:r w:rsidRPr="00273106">
        <w:rPr>
          <w:noProof/>
          <w:lang w:val="cs-CZ"/>
        </w:rPr>
        <w:t>poznání někdy nejsou skutečně první, ale jsou dokázány skrze první principy (</w:t>
      </w:r>
      <w:r>
        <w:rPr>
          <w:i/>
          <w:noProof/>
          <w:lang w:val="cs-CZ"/>
        </w:rPr>
        <w:t>quan</w:t>
      </w:r>
      <w:r w:rsidRPr="00273106">
        <w:rPr>
          <w:i/>
          <w:noProof/>
          <w:lang w:val="cs-CZ"/>
        </w:rPr>
        <w:t>doque non prima, sed probata per prima</w:t>
      </w:r>
      <w:r w:rsidRPr="00273106">
        <w:rPr>
          <w:noProof/>
          <w:lang w:val="cs-CZ"/>
        </w:rPr>
        <w:t xml:space="preserve">). První principy jsou prvními proto, že v sobě neobsahují již žádné jiné principy a z žádných jiných principů nevyplývají.“ </w:t>
      </w:r>
      <w:r w:rsidRPr="00273106">
        <w:rPr>
          <w:rStyle w:val="Znakapoznpodarou"/>
          <w:noProof/>
          <w:lang w:val="cs-CZ"/>
        </w:rPr>
        <w:footnoteReference w:id="296"/>
      </w:r>
    </w:p>
    <w:p w14:paraId="55BD71EA" w14:textId="05CF563A" w:rsidR="00980E2A" w:rsidRDefault="085D6CB9" w:rsidP="00980E2A">
      <w:r w:rsidRPr="00273106">
        <w:t>První analytický komentář znejasnil primát první substance obsažený v první trojici principů určujících vědecké poznání</w:t>
      </w:r>
      <w:r>
        <w:t xml:space="preserve"> v hyparchickém modu </w:t>
      </w:r>
      <w:r w:rsidRPr="00027D8E">
        <w:rPr>
          <w:i/>
        </w:rPr>
        <w:t>per prius</w:t>
      </w:r>
      <w:r>
        <w:t xml:space="preserve">. </w:t>
      </w:r>
      <w:r w:rsidR="08FD20E7" w:rsidRPr="00273106">
        <w:t xml:space="preserve">Principy </w:t>
      </w:r>
      <w:r w:rsidR="08FD20E7">
        <w:t xml:space="preserve">druhé triády </w:t>
      </w:r>
      <w:r w:rsidR="08FD20E7" w:rsidRPr="00273106">
        <w:t>určující formální poznání soudu musí být dány vždy, ať v předpokladech nebo závěru (</w:t>
      </w:r>
      <w:r w:rsidR="08FD20E7" w:rsidRPr="00273106">
        <w:rPr>
          <w:i/>
        </w:rPr>
        <w:t>probata per prima</w:t>
      </w:r>
      <w:r w:rsidR="08FD20E7" w:rsidRPr="00273106">
        <w:t>). Navíc nepodléhají kontingentní existenci první substance</w:t>
      </w:r>
      <w:r w:rsidR="08FD20E7">
        <w:fldChar w:fldCharType="begin"/>
      </w:r>
      <w:r w:rsidR="08FD20E7">
        <w:instrText xml:space="preserve"> XE "</w:instrText>
      </w:r>
      <w:r w:rsidR="08FD20E7" w:rsidRPr="00DE2A32">
        <w:instrText>substance</w:instrText>
      </w:r>
      <w:r w:rsidR="08FD20E7">
        <w:instrText xml:space="preserve">:kontingentní" </w:instrText>
      </w:r>
      <w:r w:rsidR="08FD20E7">
        <w:fldChar w:fldCharType="end"/>
      </w:r>
      <w:r w:rsidR="08FD20E7" w:rsidRPr="00273106">
        <w:rPr>
          <w:i/>
        </w:rPr>
        <w:t xml:space="preserve"> </w:t>
      </w:r>
      <w:r w:rsidR="08FD20E7" w:rsidRPr="00273106">
        <w:t>(</w:t>
      </w:r>
      <w:r w:rsidR="08FD20E7" w:rsidRPr="00273106">
        <w:rPr>
          <w:i/>
        </w:rPr>
        <w:t>non contingunt</w:t>
      </w:r>
      <w:r w:rsidR="08FD20E7" w:rsidRPr="00273106">
        <w:t>), proto jsou první i v řádu bytí (</w:t>
      </w:r>
      <w:r w:rsidR="08FD20E7" w:rsidRPr="00273106">
        <w:rPr>
          <w:i/>
        </w:rPr>
        <w:t>non sequuntur ex alio</w:t>
      </w:r>
      <w:r w:rsidR="08FD20E7" w:rsidRPr="00273106">
        <w:t xml:space="preserve">). </w:t>
      </w:r>
      <w:r w:rsidR="08FD20E7">
        <w:t xml:space="preserve">Proto jsou také přímo nahlédnutelné v jejich věčné evidenci a jistotě dané ontoteologickou strukturou moderní metafyziky. Ale to by znamenalo, že první principy si vystačí v poznání samy, a už nic jiného nepotřebují. To by ovšem nebylo lidské poznání, ale čistě andělské. V modu </w:t>
      </w:r>
      <w:r w:rsidR="08FD20E7" w:rsidRPr="00273106">
        <w:rPr>
          <w:i/>
        </w:rPr>
        <w:t>per prius</w:t>
      </w:r>
      <w:r w:rsidR="08FD20E7" w:rsidRPr="00273106">
        <w:t xml:space="preserve"> </w:t>
      </w:r>
      <w:r w:rsidR="08FD20E7">
        <w:t>se definuje b</w:t>
      </w:r>
      <w:r w:rsidR="08FD20E7" w:rsidRPr="00273106">
        <w:t>ytí esence</w:t>
      </w:r>
      <w:r w:rsidR="08FD20E7">
        <w:fldChar w:fldCharType="begin"/>
      </w:r>
      <w:r w:rsidR="08FD20E7">
        <w:instrText xml:space="preserve"> XE "</w:instrText>
      </w:r>
      <w:r w:rsidR="08FD20E7" w:rsidRPr="00927AF8">
        <w:instrText>predikace:</w:instrText>
      </w:r>
      <w:r w:rsidR="08FD20E7" w:rsidRPr="00AF0EEE">
        <w:rPr>
          <w:i/>
        </w:rPr>
        <w:instrText>per prius</w:instrText>
      </w:r>
      <w:r w:rsidR="08FD20E7">
        <w:instrText xml:space="preserve">" </w:instrText>
      </w:r>
      <w:r w:rsidR="08FD20E7">
        <w:fldChar w:fldCharType="end"/>
      </w:r>
      <w:r w:rsidR="08FD20E7" w:rsidRPr="00273106">
        <w:t xml:space="preserve"> jako prvního principu determinujícího </w:t>
      </w:r>
      <w:r w:rsidR="08FD20E7" w:rsidRPr="00E43657">
        <w:rPr>
          <w:i/>
        </w:rPr>
        <w:t>per posterius</w:t>
      </w:r>
      <w:r w:rsidR="08FD20E7">
        <w:t xml:space="preserve"> </w:t>
      </w:r>
      <w:r w:rsidR="08FD20E7" w:rsidRPr="00273106">
        <w:t xml:space="preserve">druhou triádu principů deduktivního </w:t>
      </w:r>
      <w:r w:rsidR="08FD20E7">
        <w:t>sylo</w:t>
      </w:r>
      <w:r w:rsidR="08FD20E7" w:rsidRPr="00273106">
        <w:t>gismu</w:t>
      </w:r>
      <w:r w:rsidR="08FD20E7">
        <w:t xml:space="preserve">. </w:t>
      </w:r>
      <w:r w:rsidR="08F4730B">
        <w:t xml:space="preserve">Aristotelovo generické </w:t>
      </w:r>
      <w:r w:rsidR="00B241D1" w:rsidRPr="00273106">
        <w:t xml:space="preserve">dvojení </w:t>
      </w:r>
      <w:r w:rsidR="08F4730B">
        <w:t xml:space="preserve">vědecké demonstrace </w:t>
      </w:r>
      <w:r w:rsidR="00B241D1" w:rsidRPr="00273106">
        <w:t>v</w:t>
      </w:r>
      <w:r w:rsidR="00BF42D6">
        <w:t xml:space="preserve">e smyslu originálního adverbia </w:t>
      </w:r>
      <w:r w:rsidR="00291F04">
        <w:t>„</w:t>
      </w:r>
      <w:r w:rsidR="00B241D1" w:rsidRPr="00273106">
        <w:t>διττῶ</w:t>
      </w:r>
      <w:r w:rsidR="00BF42D6">
        <w:t>ς</w:t>
      </w:r>
      <w:r w:rsidR="00291F04">
        <w:t>“</w:t>
      </w:r>
      <w:r w:rsidR="00B241D1" w:rsidRPr="00273106">
        <w:t xml:space="preserve"> </w:t>
      </w:r>
      <w:r w:rsidR="08041B9A">
        <w:t xml:space="preserve">je </w:t>
      </w:r>
      <w:r w:rsidR="00F50FFA">
        <w:t xml:space="preserve">tím úplně </w:t>
      </w:r>
      <w:r w:rsidR="08041B9A">
        <w:t>zrušeno</w:t>
      </w:r>
      <w:r w:rsidR="00F50FFA">
        <w:t>. V</w:t>
      </w:r>
      <w:r w:rsidR="08041B9A">
        <w:t>znikla hierarchie poznání v modu neoplatonské dedukce forem z nadřazeného rodu (</w:t>
      </w:r>
      <w:r w:rsidR="08041B9A" w:rsidRPr="08041B9A">
        <w:rPr>
          <w:i/>
        </w:rPr>
        <w:t>intellectum</w:t>
      </w:r>
      <w:r w:rsidR="08041B9A">
        <w:t>) na podřazený a jím určený druh (</w:t>
      </w:r>
      <w:r w:rsidR="08041B9A" w:rsidRPr="08041B9A">
        <w:rPr>
          <w:i/>
        </w:rPr>
        <w:t>scientia</w:t>
      </w:r>
      <w:r w:rsidR="08041B9A">
        <w:t xml:space="preserve">). </w:t>
      </w:r>
      <w:r w:rsidR="00C86316">
        <w:t>Parousie esence</w:t>
      </w:r>
      <w:r w:rsidR="00C86316">
        <w:rPr>
          <w:i/>
        </w:rPr>
        <w:fldChar w:fldCharType="begin"/>
      </w:r>
      <w:r w:rsidR="00C86316">
        <w:instrText xml:space="preserve"> XE "</w:instrText>
      </w:r>
      <w:r w:rsidR="00C86316" w:rsidRPr="004E6075">
        <w:rPr>
          <w:i/>
        </w:rPr>
        <w:instrText>demonstratio</w:instrText>
      </w:r>
      <w:r w:rsidR="00C86316" w:rsidRPr="00536260">
        <w:instrText>:Grosseteste</w:instrText>
      </w:r>
      <w:r w:rsidR="00C86316">
        <w:instrText xml:space="preserve">" </w:instrText>
      </w:r>
      <w:r w:rsidR="00C86316">
        <w:rPr>
          <w:i/>
        </w:rPr>
        <w:fldChar w:fldCharType="end"/>
      </w:r>
      <w:r w:rsidR="00C86316" w:rsidRPr="00273106">
        <w:t xml:space="preserve"> </w:t>
      </w:r>
      <w:r w:rsidR="00C86316">
        <w:t xml:space="preserve">zjevená v mysli ilumináta </w:t>
      </w:r>
      <w:r w:rsidR="00C86316" w:rsidRPr="00273106">
        <w:t>nahradila univočně pojatou kauzal</w:t>
      </w:r>
      <w:r w:rsidR="00C86316">
        <w:t xml:space="preserve">itu danou predikací v modu metafyzického dativu. Ale Grosseteste je klasicky vzdělaný aristotelik a proto dobře ví, že nejasnost není na straně logiky, protože tam existuje jen pravda a omyl. Nejasnost je dána na straně ekvivočně pojaté kauzality a nutnosti, protože jeho analyticko-logický důkaz už nepotřebuje poznání reálných fenoménů. </w:t>
      </w:r>
      <w:r w:rsidR="08B63D08">
        <w:lastRenderedPageBreak/>
        <w:t xml:space="preserve">Spis </w:t>
      </w:r>
      <w:r w:rsidR="08B63D08" w:rsidRPr="08B63D08">
        <w:rPr>
          <w:i/>
        </w:rPr>
        <w:t xml:space="preserve">Druhé analytiky </w:t>
      </w:r>
      <w:r w:rsidR="08B63D08">
        <w:t xml:space="preserve">dostal na Oxfordu neoplatonský výklad. </w:t>
      </w:r>
      <w:r w:rsidR="00275FD5">
        <w:t xml:space="preserve">Hermeneutika objektivity tím našla </w:t>
      </w:r>
      <w:r w:rsidR="00DD41D1">
        <w:t>o</w:t>
      </w:r>
      <w:r w:rsidR="00DD41D1" w:rsidRPr="00DD41D1">
        <w:t xml:space="preserve">dpověď na </w:t>
      </w:r>
      <w:r w:rsidR="00DD41D1">
        <w:t xml:space="preserve">otázku „fenomenologického </w:t>
      </w:r>
      <w:r w:rsidR="00DD41D1" w:rsidRPr="00DD41D1">
        <w:rPr>
          <w:i/>
        </w:rPr>
        <w:t>Wie</w:t>
      </w:r>
      <w:r w:rsidR="00ED1E34">
        <w:t>“ (Heidegger)</w:t>
      </w:r>
      <w:r w:rsidR="00D2200A">
        <w:t>, te</w:t>
      </w:r>
      <w:r w:rsidR="00ED1E34">
        <w:t xml:space="preserve">dy jak </w:t>
      </w:r>
      <w:r w:rsidR="00DD41D1">
        <w:t>je smysl jsoucna</w:t>
      </w:r>
      <w:r w:rsidR="00DD41D1" w:rsidRPr="00DD41D1">
        <w:t xml:space="preserve"> </w:t>
      </w:r>
      <w:r w:rsidR="00DD41D1">
        <w:t xml:space="preserve">uchopen </w:t>
      </w:r>
      <w:r w:rsidR="00DD41D1" w:rsidRPr="00DD41D1">
        <w:t xml:space="preserve">v ontologické </w:t>
      </w:r>
      <w:r w:rsidR="00DD41D1">
        <w:t>trajektorii moderního porozumění (</w:t>
      </w:r>
      <w:r w:rsidR="00DD41D1" w:rsidRPr="00DD41D1">
        <w:rPr>
          <w:i/>
        </w:rPr>
        <w:t>Vor-blickbahn</w:t>
      </w:r>
      <w:r w:rsidR="00DD41D1">
        <w:rPr>
          <w:i/>
        </w:rPr>
        <w:fldChar w:fldCharType="begin"/>
      </w:r>
      <w:r w:rsidR="00DD41D1">
        <w:instrText xml:space="preserve"> XE "</w:instrText>
      </w:r>
      <w:r w:rsidR="00DD41D1" w:rsidRPr="007B4EBB">
        <w:rPr>
          <w:i/>
        </w:rPr>
        <w:instrText>Vor-blickbahn</w:instrText>
      </w:r>
      <w:r w:rsidR="00DD41D1">
        <w:instrText xml:space="preserve">" </w:instrText>
      </w:r>
      <w:r w:rsidR="00DD41D1">
        <w:rPr>
          <w:i/>
        </w:rPr>
        <w:fldChar w:fldCharType="end"/>
      </w:r>
      <w:r w:rsidR="00DD41D1">
        <w:t>)</w:t>
      </w:r>
      <w:r w:rsidR="00DD41D1" w:rsidRPr="00DD41D1">
        <w:t>. Kauzální účinek reálné věci byl nahrazen univerzálně po</w:t>
      </w:r>
      <w:r w:rsidR="00DD41D1">
        <w:t>jatou esencí</w:t>
      </w:r>
      <w:r w:rsidR="00DD41D1">
        <w:rPr>
          <w:i/>
          <w:iCs/>
        </w:rPr>
        <w:fldChar w:fldCharType="begin"/>
      </w:r>
      <w:r w:rsidR="00DD41D1">
        <w:instrText xml:space="preserve"> XE "esence:druhý averroismus" </w:instrText>
      </w:r>
      <w:r w:rsidR="00DD41D1">
        <w:rPr>
          <w:i/>
          <w:iCs/>
        </w:rPr>
        <w:fldChar w:fldCharType="end"/>
      </w:r>
      <w:r w:rsidR="00DD41D1" w:rsidRPr="00DD41D1">
        <w:t>. Reálné bytí světa nahradila epochál</w:t>
      </w:r>
      <w:r w:rsidR="00DD41D1">
        <w:t>ní účinnost moderního diakosmu</w:t>
      </w:r>
      <w:r w:rsidR="00DD41D1" w:rsidRPr="00DD41D1">
        <w:t>. Její moderní verze v latinské sofis</w:t>
      </w:r>
      <w:r w:rsidR="00DD41D1">
        <w:t>tice vychází z </w:t>
      </w:r>
      <w:r w:rsidR="00DD41D1" w:rsidRPr="00DD41D1">
        <w:rPr>
          <w:i/>
        </w:rPr>
        <w:t>Oxfordian Fallacy</w:t>
      </w:r>
      <w:r w:rsidR="00DD41D1" w:rsidRPr="00DD41D1">
        <w:t xml:space="preserve">. </w:t>
      </w:r>
      <w:r w:rsidR="00571361" w:rsidRPr="00571361">
        <w:t xml:space="preserve">Moderní doba vytvořila objektivní mytologii namísto vědeckého důkazu. </w:t>
      </w:r>
      <w:r w:rsidR="00E87A06">
        <w:t>Scientistická m</w:t>
      </w:r>
      <w:r w:rsidR="00571361" w:rsidRPr="00571361">
        <w:t>ytologie vznikla na základě</w:t>
      </w:r>
      <w:r w:rsidR="00571361">
        <w:t xml:space="preserve"> falešného výkladu </w:t>
      </w:r>
      <w:r w:rsidR="00571361" w:rsidRPr="00571361">
        <w:rPr>
          <w:i/>
        </w:rPr>
        <w:t>Druhých Analytik</w:t>
      </w:r>
      <w:r w:rsidR="00571361" w:rsidRPr="00571361">
        <w:t>.</w:t>
      </w:r>
      <w:r w:rsidR="00980E2A">
        <w:t xml:space="preserve"> </w:t>
      </w:r>
      <w:r w:rsidR="083856C9">
        <w:t xml:space="preserve">Grosseteste založil na Oxfordu novou formu platonské jeskyně a vytvořil pod vedením </w:t>
      </w:r>
      <w:r w:rsidR="003A3DD7">
        <w:t>Fúrií novou formu filosofického chaosu</w:t>
      </w:r>
      <w:r w:rsidR="08412B28">
        <w:t xml:space="preserve">. Oxfordští akademičtí mendikanti ustavili epochálně novou formu </w:t>
      </w:r>
      <w:r w:rsidR="08412B28" w:rsidRPr="08412B28">
        <w:rPr>
          <w:i/>
        </w:rPr>
        <w:t>intelligentia spiritualis</w:t>
      </w:r>
      <w:r w:rsidR="08412B28">
        <w:rPr>
          <w:i/>
        </w:rPr>
        <w:fldChar w:fldCharType="begin"/>
      </w:r>
      <w:r w:rsidR="08412B28">
        <w:instrText xml:space="preserve"> XE "</w:instrText>
      </w:r>
      <w:r w:rsidR="08412B28" w:rsidRPr="081D1326">
        <w:rPr>
          <w:i/>
        </w:rPr>
        <w:instrText>intelligentia spiritualis</w:instrText>
      </w:r>
      <w:r w:rsidR="08412B28">
        <w:instrText xml:space="preserve">" </w:instrText>
      </w:r>
      <w:r w:rsidR="08412B28">
        <w:rPr>
          <w:i/>
        </w:rPr>
        <w:fldChar w:fldCharType="end"/>
      </w:r>
      <w:r w:rsidR="08D35C65">
        <w:t xml:space="preserve">  (kap. 3</w:t>
      </w:r>
      <w:r w:rsidR="08412B28">
        <w:t xml:space="preserve">.1.2). Moderní </w:t>
      </w:r>
      <w:r w:rsidR="00C02D4E">
        <w:t xml:space="preserve">intelektuálové </w:t>
      </w:r>
      <w:r w:rsidR="08412B28">
        <w:t xml:space="preserve">začali vidět svět </w:t>
      </w:r>
      <w:r w:rsidR="008443C7">
        <w:t xml:space="preserve">skrze </w:t>
      </w:r>
      <w:r w:rsidR="08412B28">
        <w:t xml:space="preserve">objektivní </w:t>
      </w:r>
      <w:r w:rsidR="008443C7">
        <w:t>iluminaci</w:t>
      </w:r>
      <w:r w:rsidR="08934F5A">
        <w:t>. V</w:t>
      </w:r>
      <w:r w:rsidR="08412B28">
        <w:t xml:space="preserve">ýznam světa </w:t>
      </w:r>
      <w:r w:rsidR="08934F5A">
        <w:t xml:space="preserve">se </w:t>
      </w:r>
      <w:r w:rsidR="08412B28">
        <w:t xml:space="preserve">zjevuje </w:t>
      </w:r>
      <w:r w:rsidR="08EC50DA">
        <w:t xml:space="preserve">v parousii </w:t>
      </w:r>
      <w:r w:rsidR="08934F5A">
        <w:t xml:space="preserve">všemocného intelektu, který je </w:t>
      </w:r>
      <w:r w:rsidR="08EC50DA">
        <w:t>osvícen přímo ze světa vyšš</w:t>
      </w:r>
      <w:r w:rsidR="087C2166">
        <w:t xml:space="preserve">ích inteligencí a od </w:t>
      </w:r>
      <w:r w:rsidR="08EC50DA">
        <w:t>boha</w:t>
      </w:r>
      <w:r w:rsidR="087C2166">
        <w:t xml:space="preserve"> </w:t>
      </w:r>
      <w:r w:rsidR="087C2166" w:rsidRPr="087C2166">
        <w:rPr>
          <w:i/>
        </w:rPr>
        <w:t>Modernorum</w:t>
      </w:r>
      <w:r w:rsidR="083856C9">
        <w:t xml:space="preserve">. </w:t>
      </w:r>
      <w:r w:rsidR="085F5E68">
        <w:t xml:space="preserve">Do těchto hlavních mystérií intelektu jsou dnes zasvěcováni filosofičtí </w:t>
      </w:r>
      <w:r w:rsidR="00266483">
        <w:t xml:space="preserve">adepti </w:t>
      </w:r>
      <w:r w:rsidR="085F5E68">
        <w:t xml:space="preserve">celého světa. Chtónické Fúrie jsou s objektivním průběhem </w:t>
      </w:r>
      <w:r w:rsidR="08934F5A">
        <w:t xml:space="preserve">této </w:t>
      </w:r>
      <w:r w:rsidR="085F5E68">
        <w:t>božské komedie</w:t>
      </w:r>
      <w:r w:rsidR="085F5E68">
        <w:fldChar w:fldCharType="begin"/>
      </w:r>
      <w:r w:rsidR="085F5E68">
        <w:instrText xml:space="preserve"> XE "</w:instrText>
      </w:r>
      <w:r w:rsidR="085F5E68" w:rsidRPr="080C77C5">
        <w:instrText>božská komedie</w:instrText>
      </w:r>
      <w:r w:rsidR="085F5E68">
        <w:instrText xml:space="preserve">" </w:instrText>
      </w:r>
      <w:r w:rsidR="085F5E68">
        <w:fldChar w:fldCharType="end"/>
      </w:r>
      <w:r w:rsidR="085F5E68">
        <w:t xml:space="preserve"> jistě zcela spokojeny a z podsvětí </w:t>
      </w:r>
      <w:r w:rsidR="0845620C">
        <w:t xml:space="preserve">dnes už </w:t>
      </w:r>
      <w:r w:rsidR="085F5E68">
        <w:t xml:space="preserve">hlídají pouze tvorbu vědeckých indexů a toky virtuálních financí. </w:t>
      </w:r>
      <w:r w:rsidR="087C2166">
        <w:t xml:space="preserve">Analytické pojetí vědy </w:t>
      </w:r>
      <w:r w:rsidR="0851049A">
        <w:t xml:space="preserve">stojí </w:t>
      </w:r>
      <w:r w:rsidR="0851049A" w:rsidRPr="00273106">
        <w:t>na avi</w:t>
      </w:r>
      <w:r w:rsidR="0851049A">
        <w:t xml:space="preserve">cennovském náhledu esence v modu </w:t>
      </w:r>
      <w:r w:rsidR="0851049A" w:rsidRPr="00273106">
        <w:rPr>
          <w:i/>
        </w:rPr>
        <w:t>hoc esse tantum</w:t>
      </w:r>
      <w:r w:rsidR="0851049A">
        <w:rPr>
          <w:i/>
        </w:rPr>
        <w:fldChar w:fldCharType="begin"/>
      </w:r>
      <w:r w:rsidR="0851049A">
        <w:instrText xml:space="preserve"> XE "</w:instrText>
      </w:r>
      <w:r w:rsidR="0851049A" w:rsidRPr="005A071C">
        <w:rPr>
          <w:i/>
          <w:lang w:eastAsia="en-US"/>
        </w:rPr>
        <w:instrText>hoc esse tantum</w:instrText>
      </w:r>
      <w:r w:rsidR="0851049A">
        <w:instrText xml:space="preserve">" </w:instrText>
      </w:r>
      <w:r w:rsidR="0851049A">
        <w:rPr>
          <w:i/>
        </w:rPr>
        <w:fldChar w:fldCharType="end"/>
      </w:r>
      <w:r w:rsidR="0851049A">
        <w:t>, která</w:t>
      </w:r>
      <w:r w:rsidR="0851049A" w:rsidRPr="00273106">
        <w:t xml:space="preserve"> </w:t>
      </w:r>
      <w:r w:rsidR="0851049A">
        <w:t xml:space="preserve">nahradila reálnou první substanci </w:t>
      </w:r>
      <w:r w:rsidR="0851049A" w:rsidRPr="00273106">
        <w:t>(</w:t>
      </w:r>
      <w:r w:rsidR="089F3631">
        <w:t xml:space="preserve">OBJ I, </w:t>
      </w:r>
      <w:r w:rsidR="0851049A" w:rsidRPr="00273106">
        <w:t>kap. 2.3.2).</w:t>
      </w:r>
      <w:r w:rsidR="0851049A">
        <w:t xml:space="preserve"> </w:t>
      </w:r>
      <w:r w:rsidR="089D3CD3">
        <w:t xml:space="preserve">Podobnou pervezi metafyziky nešlo udělat </w:t>
      </w:r>
      <w:r w:rsidR="083856C9">
        <w:t xml:space="preserve">v kriticky myslící Paříži </w:t>
      </w:r>
      <w:r w:rsidR="089D3CD3">
        <w:t>za doby působe</w:t>
      </w:r>
      <w:r w:rsidR="083856C9">
        <w:t xml:space="preserve">ní první generace znalců Averroese. </w:t>
      </w:r>
      <w:r w:rsidR="00366C43">
        <w:t xml:space="preserve">Nové diskrétní vidění světa oxfordských analytiků </w:t>
      </w:r>
      <w:r w:rsidR="087C4421">
        <w:t>je odvozeno</w:t>
      </w:r>
      <w:r w:rsidR="005E5340">
        <w:t xml:space="preserve"> od předešlých škol porretánů, které </w:t>
      </w:r>
      <w:r w:rsidR="084975E2">
        <w:t xml:space="preserve">stejným způsobem </w:t>
      </w:r>
      <w:r w:rsidR="005E5340">
        <w:t>definov</w:t>
      </w:r>
      <w:r w:rsidR="08901ECA">
        <w:t>aly konkrétní individuum (kap. 1</w:t>
      </w:r>
      <w:r w:rsidR="00980E2A">
        <w:t>.5).</w:t>
      </w:r>
    </w:p>
    <w:p w14:paraId="4A23060C" w14:textId="77777777" w:rsidR="00E03D32" w:rsidRDefault="08954FCC" w:rsidP="00980E2A">
      <w:pPr>
        <w:ind w:firstLine="397"/>
      </w:pPr>
      <w:r w:rsidRPr="00273106">
        <w:t>Podíve</w:t>
      </w:r>
      <w:r w:rsidR="085A7C97">
        <w:t xml:space="preserve">jme se na výklad dvojí modality </w:t>
      </w:r>
      <w:r w:rsidRPr="00273106">
        <w:t xml:space="preserve">dané </w:t>
      </w:r>
      <w:r w:rsidRPr="00273106">
        <w:rPr>
          <w:i/>
        </w:rPr>
        <w:t>per se</w:t>
      </w:r>
      <w:r w:rsidRPr="00273106">
        <w:t xml:space="preserve"> (καθ' αὑτὰ δὲ διττῶς) ve výkladu </w:t>
      </w:r>
      <w:r w:rsidRPr="005B358A">
        <w:rPr>
          <w:i/>
        </w:rPr>
        <w:t>Druhých analytik</w:t>
      </w:r>
      <w:r w:rsidR="08C959E0">
        <w:t xml:space="preserve"> uvedeného výše.</w:t>
      </w:r>
      <w:r>
        <w:t xml:space="preserve"> </w:t>
      </w:r>
      <w:r w:rsidR="08F603A2">
        <w:rPr>
          <w:rStyle w:val="st"/>
        </w:rPr>
        <w:t xml:space="preserve">Grosseteste </w:t>
      </w:r>
      <w:r w:rsidR="00427A1C">
        <w:rPr>
          <w:rStyle w:val="st"/>
        </w:rPr>
        <w:t xml:space="preserve">zrušil </w:t>
      </w:r>
      <w:r w:rsidR="08F603A2">
        <w:rPr>
          <w:rStyle w:val="st"/>
        </w:rPr>
        <w:t xml:space="preserve">původní formu Aristotelovy dvojí predikace (logické, metafyzické) vztažené k první substanci </w:t>
      </w:r>
      <w:r w:rsidR="08F603A2" w:rsidRPr="00273106">
        <w:t>(καθ' αὑτὰ δὲ διττῶς</w:t>
      </w:r>
      <w:r w:rsidR="08F603A2">
        <w:rPr>
          <w:rStyle w:val="st"/>
        </w:rPr>
        <w:t>)</w:t>
      </w:r>
      <w:r w:rsidR="00427A1C">
        <w:rPr>
          <w:rStyle w:val="st"/>
        </w:rPr>
        <w:t xml:space="preserve">. Pak ji vyměnil </w:t>
      </w:r>
      <w:r w:rsidR="08F603A2">
        <w:rPr>
          <w:rStyle w:val="st"/>
        </w:rPr>
        <w:t>za dvojí bytí substance třetího druhu podle Porfyria (</w:t>
      </w:r>
      <w:r w:rsidR="08F603A2" w:rsidRPr="00273106">
        <w:t>διττὸν τὸ εἶναι</w:t>
      </w:r>
      <w:r w:rsidR="085A7C97">
        <w:t>; OBJ I, kap. 1.3.1</w:t>
      </w:r>
      <w:r w:rsidR="08F603A2">
        <w:fldChar w:fldCharType="begin"/>
      </w:r>
      <w:r w:rsidR="08F603A2">
        <w:instrText xml:space="preserve"> XE "zdvojení</w:instrText>
      </w:r>
      <w:r w:rsidR="08F603A2" w:rsidRPr="00114862">
        <w:instrText xml:space="preserve"> bytí</w:instrText>
      </w:r>
      <w:r w:rsidR="08F603A2">
        <w:instrText xml:space="preserve">" </w:instrText>
      </w:r>
      <w:r w:rsidR="08F603A2">
        <w:fldChar w:fldCharType="end"/>
      </w:r>
      <w:r w:rsidR="08F603A2">
        <w:rPr>
          <w:rStyle w:val="st"/>
        </w:rPr>
        <w:t>).</w:t>
      </w:r>
      <w:r w:rsidR="08F603A2" w:rsidRPr="08F603A2">
        <w:t xml:space="preserve"> </w:t>
      </w:r>
      <w:r w:rsidR="00364D84" w:rsidRPr="00364D84">
        <w:t xml:space="preserve">Existuje pouze jeden druh logické nutnosti, ale dva způsoby bytí: reálné bytí a mytologické a později objektivní </w:t>
      </w:r>
      <w:r w:rsidR="00364D84" w:rsidRPr="00364D84">
        <w:rPr>
          <w:i/>
        </w:rPr>
        <w:t>tertium ens</w:t>
      </w:r>
      <w:r w:rsidR="00364D84" w:rsidRPr="00364D84">
        <w:t xml:space="preserve">. </w:t>
      </w:r>
    </w:p>
    <w:p w14:paraId="091587B5" w14:textId="0F5623E2" w:rsidR="082B7009" w:rsidRPr="00273106" w:rsidRDefault="00E03D32" w:rsidP="00980E2A">
      <w:pPr>
        <w:ind w:firstLine="397"/>
      </w:pPr>
      <w:r w:rsidRPr="00E03D32">
        <w:t xml:space="preserve">Protože logická nutnost je považována za absolutní hodnotu, pak logicky konzistentní a paranoidní ilumináti musí svět </w:t>
      </w:r>
      <w:r>
        <w:t>zdvojit</w:t>
      </w:r>
      <w:r w:rsidRPr="00E03D32">
        <w:t>.</w:t>
      </w:r>
      <w:r>
        <w:t xml:space="preserve"> </w:t>
      </w:r>
      <w:r w:rsidR="08B3223D">
        <w:t>Kde vidí první averroismus jedinou první</w:t>
      </w:r>
      <w:r w:rsidR="00364D84">
        <w:t xml:space="preserve"> substanci a dva mody predikace</w:t>
      </w:r>
      <w:r w:rsidR="08B3223D">
        <w:t xml:space="preserve">, tam vidí moderna reálné jsoucno a </w:t>
      </w:r>
      <w:r w:rsidR="08B3223D" w:rsidRPr="08B3223D">
        <w:rPr>
          <w:i/>
        </w:rPr>
        <w:t>tertium ens</w:t>
      </w:r>
      <w:r w:rsidR="08756540">
        <w:t xml:space="preserve">, o jejichž významu se </w:t>
      </w:r>
      <w:r w:rsidR="08B3223D">
        <w:t>vypovídá v jed</w:t>
      </w:r>
      <w:r w:rsidR="00364D84">
        <w:t xml:space="preserve">iném modu objektivní predikace. </w:t>
      </w:r>
      <w:r w:rsidR="084A4A6C">
        <w:t>Metafyzický o</w:t>
      </w:r>
      <w:r w:rsidR="0872292E">
        <w:t xml:space="preserve">myl moderny je v tom, že </w:t>
      </w:r>
      <w:r w:rsidR="0872292E">
        <w:lastRenderedPageBreak/>
        <w:t xml:space="preserve">univerzálie daná v modu </w:t>
      </w:r>
      <w:r w:rsidR="0872292E" w:rsidRPr="0872292E">
        <w:rPr>
          <w:i/>
        </w:rPr>
        <w:t>per se</w:t>
      </w:r>
      <w:r w:rsidR="0872292E">
        <w:t xml:space="preserve"> v mysli není a nikdy nemůže být </w:t>
      </w:r>
      <w:r w:rsidR="084A4A6C">
        <w:t>zaměnitelná za první substanci</w:t>
      </w:r>
      <w:r w:rsidR="0872292E">
        <w:t xml:space="preserve">, protože ta má úplně jiný způsob bytí </w:t>
      </w:r>
      <w:r w:rsidR="0872292E" w:rsidRPr="0872292E">
        <w:rPr>
          <w:i/>
        </w:rPr>
        <w:t xml:space="preserve">per se </w:t>
      </w:r>
      <w:r w:rsidR="0872292E">
        <w:t xml:space="preserve">daná aktuálně a reálně. </w:t>
      </w:r>
      <w:r w:rsidR="08C5318C">
        <w:t xml:space="preserve">Zdvojením bytí do archetypálního diakosmu a reálného kosmu </w:t>
      </w:r>
      <w:r w:rsidR="0829675C">
        <w:t xml:space="preserve">vznikla nová univoční metafyzika pro </w:t>
      </w:r>
      <w:r w:rsidR="08F31384">
        <w:t>bytí jsoucen</w:t>
      </w:r>
      <w:r w:rsidR="081F130E">
        <w:t xml:space="preserve"> v modu modernizovaného neoplatonismu</w:t>
      </w:r>
      <w:r w:rsidR="08F31384">
        <w:t xml:space="preserve">. </w:t>
      </w:r>
      <w:r w:rsidR="08C104ED">
        <w:t xml:space="preserve">V prostoru takto utvořeného </w:t>
      </w:r>
      <w:r w:rsidR="08C104ED" w:rsidRPr="0829675C">
        <w:rPr>
          <w:i/>
        </w:rPr>
        <w:t>Lichtung</w:t>
      </w:r>
      <w:r w:rsidR="08C104ED">
        <w:t xml:space="preserve"> objektivity </w:t>
      </w:r>
      <w:r w:rsidR="08C104ED" w:rsidRPr="00273106">
        <w:t xml:space="preserve">se </w:t>
      </w:r>
      <w:r w:rsidR="08C104ED">
        <w:t xml:space="preserve">jsoucna dávají univerzálně a univočně </w:t>
      </w:r>
      <w:r w:rsidR="08C104ED" w:rsidRPr="00273106">
        <w:t>ze sebe a pro sebe (καθ' αὑτὰ).</w:t>
      </w:r>
    </w:p>
    <w:p w14:paraId="1A03DEFB" w14:textId="74102A29" w:rsidR="082B7009" w:rsidRPr="00273106" w:rsidRDefault="082B7009" w:rsidP="082B7009">
      <w:pPr>
        <w:pStyle w:val="Citace"/>
        <w:rPr>
          <w:noProof/>
          <w:lang w:val="cs-CZ"/>
        </w:rPr>
      </w:pPr>
      <w:r w:rsidRPr="00273106">
        <w:rPr>
          <w:noProof/>
          <w:lang w:val="cs-CZ"/>
        </w:rPr>
        <w:t>„</w:t>
      </w:r>
      <w:r>
        <w:rPr>
          <w:lang w:val="cs-CZ"/>
        </w:rPr>
        <w:t>K tomu je třeba říci, že univerzália</w:t>
      </w:r>
      <w:r w:rsidRPr="00273106">
        <w:rPr>
          <w:noProof/>
          <w:lang w:val="cs-CZ"/>
        </w:rPr>
        <w:t xml:space="preserve"> jsou principy poznání a v čistém intelektu odděleném od fantasmat</w:t>
      </w:r>
      <w:r w:rsidR="08A642B5">
        <w:rPr>
          <w:noProof/>
          <w:lang w:val="cs-CZ"/>
        </w:rPr>
        <w:t xml:space="preserve">, který může </w:t>
      </w:r>
      <w:r w:rsidRPr="00273106">
        <w:rPr>
          <w:noProof/>
          <w:lang w:val="cs-CZ"/>
        </w:rPr>
        <w:t>kontemplovat původní světlo, kterým je prvn</w:t>
      </w:r>
      <w:r>
        <w:rPr>
          <w:noProof/>
          <w:lang w:val="cs-CZ"/>
        </w:rPr>
        <w:t xml:space="preserve">í kauza. Tím jsou univerzália také </w:t>
      </w:r>
      <w:r w:rsidRPr="00273106">
        <w:rPr>
          <w:noProof/>
          <w:lang w:val="cs-CZ"/>
        </w:rPr>
        <w:t>p</w:t>
      </w:r>
      <w:r w:rsidR="00A13EAB">
        <w:rPr>
          <w:noProof/>
          <w:lang w:val="cs-CZ"/>
        </w:rPr>
        <w:t>rincipy poznání intelligibilních entit</w:t>
      </w:r>
      <w:r w:rsidRPr="00273106">
        <w:rPr>
          <w:noProof/>
          <w:lang w:val="cs-CZ"/>
        </w:rPr>
        <w:t xml:space="preserve"> (</w:t>
      </w:r>
      <w:r w:rsidRPr="00273106">
        <w:rPr>
          <w:i/>
          <w:noProof/>
          <w:lang w:val="cs-CZ"/>
        </w:rPr>
        <w:t>principia cognoscendi rationes rerum</w:t>
      </w:r>
      <w:r w:rsidRPr="00273106">
        <w:rPr>
          <w:noProof/>
          <w:lang w:val="cs-CZ"/>
        </w:rPr>
        <w:t>), které nestvořeným způsobem a věčně existují v první kauze (</w:t>
      </w:r>
      <w:r w:rsidRPr="00273106">
        <w:rPr>
          <w:i/>
          <w:noProof/>
          <w:lang w:val="cs-CZ"/>
        </w:rPr>
        <w:t>increate ab eterno existentes in causa prima</w:t>
      </w:r>
      <w:r w:rsidRPr="00273106">
        <w:rPr>
          <w:noProof/>
          <w:lang w:val="cs-CZ"/>
        </w:rPr>
        <w:t xml:space="preserve">). Poznání stvořených </w:t>
      </w:r>
      <w:r w:rsidR="00D5497F">
        <w:rPr>
          <w:noProof/>
          <w:lang w:val="cs-CZ"/>
        </w:rPr>
        <w:t xml:space="preserve">inteligibilních </w:t>
      </w:r>
      <w:r w:rsidRPr="00273106">
        <w:rPr>
          <w:noProof/>
          <w:lang w:val="cs-CZ"/>
        </w:rPr>
        <w:t xml:space="preserve">věcí, které </w:t>
      </w:r>
      <w:r w:rsidR="08A642B5">
        <w:rPr>
          <w:noProof/>
          <w:lang w:val="cs-CZ"/>
        </w:rPr>
        <w:t xml:space="preserve">věčně byly a jsou </w:t>
      </w:r>
      <w:r w:rsidRPr="00273106">
        <w:rPr>
          <w:noProof/>
          <w:lang w:val="cs-CZ"/>
        </w:rPr>
        <w:t xml:space="preserve">v první kauze, jsou výměrem věcí stvořených a jejich formální i exemplární příčinou, a tím jsou tyto </w:t>
      </w:r>
      <w:r w:rsidR="00D5497F">
        <w:rPr>
          <w:noProof/>
          <w:lang w:val="cs-CZ"/>
        </w:rPr>
        <w:t xml:space="preserve">formální </w:t>
      </w:r>
      <w:r w:rsidRPr="00273106">
        <w:rPr>
          <w:noProof/>
          <w:lang w:val="cs-CZ"/>
        </w:rPr>
        <w:t xml:space="preserve">výměry </w:t>
      </w:r>
      <w:r w:rsidR="00270C82">
        <w:rPr>
          <w:noProof/>
          <w:lang w:val="cs-CZ"/>
        </w:rPr>
        <w:t xml:space="preserve">rovněž </w:t>
      </w:r>
      <w:r w:rsidRPr="00273106">
        <w:rPr>
          <w:noProof/>
          <w:lang w:val="cs-CZ"/>
        </w:rPr>
        <w:t>tvořivé</w:t>
      </w:r>
      <w:r>
        <w:rPr>
          <w:noProof/>
          <w:lang w:val="cs-CZ"/>
        </w:rPr>
        <w:t xml:space="preserve"> (</w:t>
      </w:r>
      <w:r w:rsidRPr="00FF7DD8">
        <w:rPr>
          <w:i/>
        </w:rPr>
        <w:t>ipse sunt etiam creatrices</w:t>
      </w:r>
      <w:r>
        <w:rPr>
          <w:noProof/>
          <w:lang w:val="cs-CZ"/>
        </w:rPr>
        <w:t>)</w:t>
      </w:r>
      <w:r w:rsidR="00D5497F">
        <w:rPr>
          <w:noProof/>
          <w:lang w:val="cs-CZ"/>
        </w:rPr>
        <w:t xml:space="preserve">. </w:t>
      </w:r>
      <w:r w:rsidRPr="00273106">
        <w:rPr>
          <w:noProof/>
          <w:lang w:val="cs-CZ"/>
        </w:rPr>
        <w:t xml:space="preserve">Tyto výměry </w:t>
      </w:r>
      <w:r>
        <w:rPr>
          <w:noProof/>
          <w:lang w:val="cs-CZ"/>
        </w:rPr>
        <w:t>Platon</w:t>
      </w:r>
      <w:r w:rsidRPr="00273106">
        <w:rPr>
          <w:noProof/>
          <w:lang w:val="cs-CZ"/>
        </w:rPr>
        <w:t xml:space="preserve"> nazval idejemi a archetypálním světem</w:t>
      </w:r>
      <w:r w:rsidR="082B391A">
        <w:rPr>
          <w:noProof/>
          <w:lang w:val="cs-CZ"/>
        </w:rPr>
        <w:t xml:space="preserve"> (</w:t>
      </w:r>
      <w:r w:rsidR="082B391A" w:rsidRPr="082B391A">
        <w:rPr>
          <w:i/>
        </w:rPr>
        <w:t>ydeas et mundum archetypum</w:t>
      </w:r>
      <w:r w:rsidR="082B391A">
        <w:rPr>
          <w:noProof/>
          <w:lang w:val="cs-CZ"/>
        </w:rPr>
        <w:t>)</w:t>
      </w:r>
      <w:r w:rsidRPr="00273106">
        <w:rPr>
          <w:noProof/>
          <w:lang w:val="cs-CZ"/>
        </w:rPr>
        <w:t xml:space="preserve">. </w:t>
      </w:r>
      <w:r w:rsidR="0010627D">
        <w:rPr>
          <w:noProof/>
          <w:lang w:val="cs-CZ"/>
        </w:rPr>
        <w:t xml:space="preserve">To </w:t>
      </w:r>
      <w:r w:rsidRPr="00273106">
        <w:rPr>
          <w:noProof/>
          <w:lang w:val="cs-CZ"/>
        </w:rPr>
        <w:t xml:space="preserve">jsou rody, druhy a principy jak bytí jsoucen, tak i jejich poznání. Pokud intelekt dosáhne náhledem až sem, pak v těchto principech nejpravdivěji a nejjasněji nazírá stvořené věci, a nejen stvořené věci, ale i samotné první světlo, v němž se vše poznává.“ </w:t>
      </w:r>
      <w:r w:rsidRPr="00273106">
        <w:rPr>
          <w:rStyle w:val="Znakapoznpodarou"/>
          <w:noProof/>
          <w:lang w:val="cs-CZ"/>
        </w:rPr>
        <w:footnoteReference w:id="297"/>
      </w:r>
    </w:p>
    <w:p w14:paraId="20B43159" w14:textId="16965881" w:rsidR="00AD776C" w:rsidRDefault="082B7009" w:rsidP="08E61428">
      <w:r w:rsidRPr="00273106">
        <w:t>Pravdivé a jisté poznání nezačíná smyslovou abstrakcí, ale čistým intelektem odděleným od fantasmat (</w:t>
      </w:r>
      <w:r w:rsidRPr="00273106">
        <w:rPr>
          <w:i/>
        </w:rPr>
        <w:t>intellectum purum et separatum a phantasmatibus</w:t>
      </w:r>
      <w:r w:rsidRPr="00273106">
        <w:t>) a schopným nazírat světlo božského intelektu (</w:t>
      </w:r>
      <w:r w:rsidRPr="00273106">
        <w:rPr>
          <w:i/>
        </w:rPr>
        <w:t>possibilem contemplari lucem primam</w:t>
      </w:r>
      <w:r w:rsidRPr="00273106">
        <w:t xml:space="preserve">). </w:t>
      </w:r>
      <w:r w:rsidR="084618E6">
        <w:t>Není obtíž</w:t>
      </w:r>
      <w:r>
        <w:t>né poznat v této pasáži vliv Avicennovy nejvyšší formy osvíceného intelektu (</w:t>
      </w:r>
      <w:r w:rsidRPr="00981FF5">
        <w:rPr>
          <w:i/>
        </w:rPr>
        <w:t>intellectus sanctus</w:t>
      </w:r>
      <w:r w:rsidRPr="088A49B2">
        <w:fldChar w:fldCharType="begin"/>
      </w:r>
      <w:r w:rsidRPr="088A49B2">
        <w:instrText xml:space="preserve"> XE "</w:instrText>
      </w:r>
      <w:r w:rsidRPr="088A49B2">
        <w:rPr>
          <w:i/>
        </w:rPr>
        <w:instrText>intellectus sanctus</w:instrText>
      </w:r>
      <w:r w:rsidRPr="088A49B2">
        <w:instrText xml:space="preserve">" </w:instrText>
      </w:r>
      <w:r w:rsidRPr="088A49B2">
        <w:fldChar w:fldCharType="end"/>
      </w:r>
      <w:r w:rsidR="088A49B2">
        <w:t xml:space="preserve">; OBJ I, </w:t>
      </w:r>
      <w:r w:rsidRPr="00273106">
        <w:t>kap. 2.3.2</w:t>
      </w:r>
      <w:r>
        <w:t xml:space="preserve">). V této božské archetypické sféře se nacházejí původní </w:t>
      </w:r>
      <w:r w:rsidR="0852118C">
        <w:t xml:space="preserve">formy </w:t>
      </w:r>
      <w:r w:rsidRPr="00273106">
        <w:t xml:space="preserve">stvořených věcí </w:t>
      </w:r>
      <w:r>
        <w:t>(</w:t>
      </w:r>
      <w:r w:rsidRPr="00273106">
        <w:rPr>
          <w:i/>
        </w:rPr>
        <w:t>in causa prima eternaliter sunt rationes rerum creandarum</w:t>
      </w:r>
      <w:r>
        <w:t xml:space="preserve">) a také efektivní kauzalita pro exemplární kosmické formy na úrovni nemateriálních inteligencí </w:t>
      </w:r>
      <w:r w:rsidRPr="00273106">
        <w:t>(</w:t>
      </w:r>
      <w:r w:rsidRPr="00273106">
        <w:rPr>
          <w:i/>
        </w:rPr>
        <w:t>caus</w:t>
      </w:r>
      <w:r>
        <w:rPr>
          <w:i/>
        </w:rPr>
        <w:t>a</w:t>
      </w:r>
      <w:r w:rsidRPr="00273106">
        <w:rPr>
          <w:i/>
        </w:rPr>
        <w:t>e formales exemplares</w:t>
      </w:r>
      <w:r w:rsidRPr="00273106">
        <w:t xml:space="preserve">). </w:t>
      </w:r>
      <w:r>
        <w:t xml:space="preserve">Přímý náhled do avicennovské sféry boží mysli jako </w:t>
      </w:r>
      <w:r w:rsidRPr="005C4514">
        <w:rPr>
          <w:i/>
        </w:rPr>
        <w:t>Dator formarum</w:t>
      </w:r>
      <w:r>
        <w:rPr>
          <w:i/>
        </w:rPr>
        <w:fldChar w:fldCharType="begin"/>
      </w:r>
      <w:r>
        <w:instrText xml:space="preserve"> XE "</w:instrText>
      </w:r>
      <w:r w:rsidRPr="00E165B2">
        <w:rPr>
          <w:i/>
        </w:rPr>
        <w:instrText>Dator formarum</w:instrText>
      </w:r>
      <w:r>
        <w:instrText xml:space="preserve">" </w:instrText>
      </w:r>
      <w:r>
        <w:rPr>
          <w:i/>
        </w:rPr>
        <w:fldChar w:fldCharType="end"/>
      </w:r>
      <w:r>
        <w:t xml:space="preserve"> </w:t>
      </w:r>
      <w:r w:rsidRPr="00273106">
        <w:t xml:space="preserve">vysvětluje, proč </w:t>
      </w:r>
      <w:r>
        <w:t>analytické</w:t>
      </w:r>
      <w:r w:rsidRPr="00273106">
        <w:t xml:space="preserve"> poznání nezačíná u reality první subs</w:t>
      </w:r>
      <w:r>
        <w:t>tance</w:t>
      </w:r>
      <w:r>
        <w:fldChar w:fldCharType="begin"/>
      </w:r>
      <w:r>
        <w:instrText xml:space="preserve"> XE "</w:instrText>
      </w:r>
      <w:r w:rsidRPr="00DE2A32">
        <w:instrText>substance</w:instrText>
      </w:r>
      <w:r>
        <w:instrText xml:space="preserve">:Grosseteste" </w:instrText>
      </w:r>
      <w:r>
        <w:fldChar w:fldCharType="end"/>
      </w:r>
      <w:r>
        <w:t xml:space="preserve">. </w:t>
      </w:r>
      <w:r w:rsidR="08582054">
        <w:t>Porretánci a karteziánci se k ní dostanou</w:t>
      </w:r>
      <w:r>
        <w:t xml:space="preserve"> až druhotně</w:t>
      </w:r>
      <w:r w:rsidRPr="00273106">
        <w:t>, protože se nejprve mysticky spojí se sférou automních forem</w:t>
      </w:r>
      <w:r>
        <w:t xml:space="preserve"> u boha nebo v kosmické sféře věčných forem</w:t>
      </w:r>
      <w:r w:rsidR="08086E9F">
        <w:t xml:space="preserve"> a matematických významů</w:t>
      </w:r>
      <w:r w:rsidRPr="00273106">
        <w:t xml:space="preserve">. </w:t>
      </w:r>
      <w:r w:rsidR="08F24845">
        <w:t xml:space="preserve">Zásadní problém </w:t>
      </w:r>
      <w:r w:rsidR="08F24845">
        <w:lastRenderedPageBreak/>
        <w:t>představuje kauzální účinnost kosmi</w:t>
      </w:r>
      <w:r w:rsidR="082A01E9">
        <w:t>ckých forem, k</w:t>
      </w:r>
      <w:r w:rsidR="08F24845">
        <w:t>t</w:t>
      </w:r>
      <w:r w:rsidR="082A01E9">
        <w:t>e</w:t>
      </w:r>
      <w:r w:rsidR="08F24845">
        <w:t xml:space="preserve">ré jsme schopni přímo poznat skrze naši formu </w:t>
      </w:r>
      <w:r w:rsidR="08F24845" w:rsidRPr="08F24845">
        <w:rPr>
          <w:i/>
        </w:rPr>
        <w:t>intellectus agens</w:t>
      </w:r>
      <w:r w:rsidR="08CA7A05">
        <w:t xml:space="preserve"> nazírající kauzálně účinný exemplar. </w:t>
      </w:r>
      <w:r w:rsidR="08F24845">
        <w:t xml:space="preserve">To znamená, že náš intelekt se přímo spojuje s odděleným kosmickým </w:t>
      </w:r>
      <w:r w:rsidR="08F24845" w:rsidRPr="08F24845">
        <w:rPr>
          <w:i/>
        </w:rPr>
        <w:t>intellectus agens</w:t>
      </w:r>
      <w:r w:rsidR="08F24845">
        <w:t xml:space="preserve"> a tvoří v duši samostatnou hypostázi nebo formu. </w:t>
      </w:r>
      <w:r w:rsidR="08734D0E">
        <w:t xml:space="preserve">Podobné názory </w:t>
      </w:r>
      <w:r w:rsidR="00F32CAE">
        <w:t xml:space="preserve">tehdy </w:t>
      </w:r>
      <w:r w:rsidR="08734D0E">
        <w:t>nešlo hlásat v</w:t>
      </w:r>
      <w:r w:rsidR="086203ED">
        <w:t> </w:t>
      </w:r>
      <w:r w:rsidR="08734D0E">
        <w:t xml:space="preserve">Paříži, protože předpokládaly osvícení mysli od kosmického </w:t>
      </w:r>
      <w:r w:rsidR="08734D0E" w:rsidRPr="08734D0E">
        <w:rPr>
          <w:i/>
        </w:rPr>
        <w:t>intellectus agens</w:t>
      </w:r>
      <w:r w:rsidR="08734D0E">
        <w:t xml:space="preserve">. </w:t>
      </w:r>
      <w:r w:rsidRPr="00273106">
        <w:t xml:space="preserve">Další důležitá část citátu ukazuje, jak toto poznání probíhá. </w:t>
      </w:r>
      <w:r>
        <w:t>Pořadí poznání (</w:t>
      </w:r>
      <w:r w:rsidRPr="00F7785C">
        <w:rPr>
          <w:i/>
        </w:rPr>
        <w:t>cognitiones rerum creandarum</w:t>
      </w:r>
      <w:r>
        <w:t xml:space="preserve">) </w:t>
      </w:r>
      <w:r w:rsidR="0071425F">
        <w:t xml:space="preserve">sleduje </w:t>
      </w:r>
      <w:r>
        <w:t>deduk</w:t>
      </w:r>
      <w:r w:rsidR="0071425F">
        <w:t xml:space="preserve">ci danou </w:t>
      </w:r>
      <w:r>
        <w:t>sestup</w:t>
      </w:r>
      <w:r w:rsidR="0071425F">
        <w:t xml:space="preserve">em autonomních forem </w:t>
      </w:r>
      <w:r>
        <w:t xml:space="preserve">podle </w:t>
      </w:r>
      <w:r w:rsidR="0071425F">
        <w:t>scénáře v </w:t>
      </w:r>
      <w:r>
        <w:t>neoplatonské</w:t>
      </w:r>
      <w:r w:rsidR="0071425F">
        <w:t xml:space="preserve">m díle </w:t>
      </w:r>
      <w:r w:rsidRPr="00F7785C">
        <w:rPr>
          <w:i/>
        </w:rPr>
        <w:t>Liber de ca</w:t>
      </w:r>
      <w:r>
        <w:rPr>
          <w:i/>
        </w:rPr>
        <w:t>u</w:t>
      </w:r>
      <w:r w:rsidRPr="00F7785C">
        <w:rPr>
          <w:i/>
        </w:rPr>
        <w:t>sis</w:t>
      </w:r>
      <w:r>
        <w:rPr>
          <w:i/>
        </w:rPr>
        <w:fldChar w:fldCharType="begin"/>
      </w:r>
      <w:r>
        <w:instrText xml:space="preserve"> XE "</w:instrText>
      </w:r>
      <w:r w:rsidRPr="00C46BD8">
        <w:rPr>
          <w:i/>
        </w:rPr>
        <w:instrText>Liber de causis</w:instrText>
      </w:r>
      <w:r>
        <w:instrText xml:space="preserve">" </w:instrText>
      </w:r>
      <w:r>
        <w:rPr>
          <w:i/>
        </w:rPr>
        <w:fldChar w:fldCharType="end"/>
      </w:r>
      <w:r>
        <w:t>. Vyšší f</w:t>
      </w:r>
      <w:r w:rsidRPr="00F7785C">
        <w:t>o</w:t>
      </w:r>
      <w:r>
        <w:t>r</w:t>
      </w:r>
      <w:r w:rsidRPr="00F7785C">
        <w:t xml:space="preserve">my </w:t>
      </w:r>
      <w:r w:rsidR="085772D5">
        <w:t xml:space="preserve">jako základní archetypy a exemplární ideje </w:t>
      </w:r>
      <w:r w:rsidR="08BF03EC">
        <w:t xml:space="preserve">emanačně </w:t>
      </w:r>
      <w:r w:rsidRPr="00F7785C">
        <w:t>sestupují od boží mysli</w:t>
      </w:r>
      <w:r w:rsidR="085772D5">
        <w:t xml:space="preserve">, </w:t>
      </w:r>
      <w:r>
        <w:t xml:space="preserve">kde byly </w:t>
      </w:r>
      <w:r w:rsidR="00E93B7F">
        <w:t xml:space="preserve">věčně </w:t>
      </w:r>
      <w:r w:rsidRPr="00F7785C">
        <w:t>(</w:t>
      </w:r>
      <w:r w:rsidRPr="00F7785C">
        <w:rPr>
          <w:i/>
        </w:rPr>
        <w:t>fuerunt in causa prima eternaliter</w:t>
      </w:r>
      <w:r>
        <w:t>)</w:t>
      </w:r>
      <w:r w:rsidR="085772D5">
        <w:t xml:space="preserve"> a pak druhotně působí ve stvoření</w:t>
      </w:r>
      <w:r>
        <w:t>. Přímý náhled kontempluje atomární substanci neoplatoniků jako jsoucno třetího druhu (</w:t>
      </w:r>
      <w:r w:rsidR="085E5BF0">
        <w:t xml:space="preserve">OBJ I, </w:t>
      </w:r>
      <w:r w:rsidR="084E7952">
        <w:t>kap. 1.3</w:t>
      </w:r>
      <w:r>
        <w:t xml:space="preserve">.1). </w:t>
      </w:r>
      <w:r w:rsidRPr="00273106">
        <w:t>Intelekt v procesu abstrakce dospěje k evidenci</w:t>
      </w:r>
      <w:r>
        <w:t xml:space="preserve"> specifických substancí </w:t>
      </w:r>
      <w:r w:rsidRPr="00273106">
        <w:t>pomocí čistého intelektuálního náhledu (</w:t>
      </w:r>
      <w:r w:rsidRPr="00273106">
        <w:rPr>
          <w:i/>
        </w:rPr>
        <w:t>in</w:t>
      </w:r>
      <w:r>
        <w:rPr>
          <w:i/>
        </w:rPr>
        <w:t>tellectus purus potest in his de</w:t>
      </w:r>
      <w:r w:rsidRPr="00273106">
        <w:rPr>
          <w:i/>
        </w:rPr>
        <w:t>figere intuitum</w:t>
      </w:r>
      <w:r>
        <w:t>). V tomto no</w:t>
      </w:r>
      <w:r w:rsidR="08E944F5">
        <w:t>vém diskrétním vidění světa daném v eidetickém náhledu se o</w:t>
      </w:r>
      <w:r>
        <w:t xml:space="preserve">xfordskému iluminátovi </w:t>
      </w:r>
      <w:r w:rsidRPr="00273106">
        <w:t>otevře</w:t>
      </w:r>
      <w:r>
        <w:t>l</w:t>
      </w:r>
      <w:r w:rsidRPr="00273106">
        <w:t xml:space="preserve"> </w:t>
      </w:r>
      <w:r>
        <w:t xml:space="preserve">pravý a evidentní </w:t>
      </w:r>
      <w:r w:rsidRPr="00273106">
        <w:t>smysl všeho jsoucího (</w:t>
      </w:r>
      <w:r w:rsidRPr="00273106">
        <w:rPr>
          <w:i/>
        </w:rPr>
        <w:t>verissime et manifestissime cognoscit res creatas</w:t>
      </w:r>
      <w:r w:rsidRPr="00273106">
        <w:t xml:space="preserve">). </w:t>
      </w:r>
      <w:r w:rsidR="089D0837">
        <w:t>V</w:t>
      </w:r>
      <w:r w:rsidR="088228CF">
        <w:t xml:space="preserve"> epoch</w:t>
      </w:r>
      <w:r w:rsidR="089D0837">
        <w:t>ální temnotě oxfordské platonské jeskyně vznikala po zhasnutí reálné</w:t>
      </w:r>
      <w:r w:rsidR="00A242F8">
        <w:t xml:space="preserve">ho světa prvních substancí nové zjevení </w:t>
      </w:r>
      <w:r w:rsidR="089D0837">
        <w:t xml:space="preserve">zakládající analytickou filosofii. </w:t>
      </w:r>
      <w:r w:rsidR="00A242F8">
        <w:t>Objektivní r</w:t>
      </w:r>
      <w:r w:rsidRPr="00273106">
        <w:t xml:space="preserve">ealita se </w:t>
      </w:r>
      <w:r>
        <w:t xml:space="preserve">poznává </w:t>
      </w:r>
      <w:r w:rsidR="086B7E65">
        <w:t xml:space="preserve">v modu Avicennovy </w:t>
      </w:r>
      <w:r w:rsidR="086B7E65" w:rsidRPr="08E944F5">
        <w:rPr>
          <w:i/>
        </w:rPr>
        <w:t>certitudo</w:t>
      </w:r>
      <w:r w:rsidR="086B7E65">
        <w:t xml:space="preserve"> a Anselmovy </w:t>
      </w:r>
      <w:r w:rsidR="086B7E65" w:rsidRPr="08E944F5">
        <w:rPr>
          <w:i/>
        </w:rPr>
        <w:t>rectitudo</w:t>
      </w:r>
      <w:r w:rsidR="086B7E65">
        <w:t xml:space="preserve">, protože je dána </w:t>
      </w:r>
      <w:r w:rsidR="086B7E65" w:rsidRPr="086B7E65">
        <w:rPr>
          <w:i/>
        </w:rPr>
        <w:t>more geometrico</w:t>
      </w:r>
      <w:r w:rsidR="086B7E65">
        <w:rPr>
          <w:i/>
        </w:rPr>
        <w:fldChar w:fldCharType="begin"/>
      </w:r>
      <w:r w:rsidR="086B7E65">
        <w:instrText xml:space="preserve"> XE "</w:instrText>
      </w:r>
      <w:r w:rsidR="086B7E65" w:rsidRPr="08036881">
        <w:rPr>
          <w:i/>
        </w:rPr>
        <w:instrText>more geometrico</w:instrText>
      </w:r>
      <w:r w:rsidR="086B7E65">
        <w:instrText xml:space="preserve">" </w:instrText>
      </w:r>
      <w:r w:rsidR="086B7E65">
        <w:rPr>
          <w:i/>
        </w:rPr>
        <w:fldChar w:fldCharType="end"/>
      </w:r>
      <w:r w:rsidR="086B7E65">
        <w:t xml:space="preserve"> podle deduktivního scénáře </w:t>
      </w:r>
      <w:r w:rsidR="086B7E65" w:rsidRPr="086B7E65">
        <w:rPr>
          <w:i/>
        </w:rPr>
        <w:t>Liber de causis</w:t>
      </w:r>
      <w:r w:rsidR="086B7E65">
        <w:t>. S</w:t>
      </w:r>
      <w:r>
        <w:t xml:space="preserve">vět věčných exemplarů daných u </w:t>
      </w:r>
      <w:r w:rsidR="0007217D">
        <w:t xml:space="preserve">moderního </w:t>
      </w:r>
      <w:r>
        <w:t xml:space="preserve">boha se vyvádí ve smyslu formální produkce </w:t>
      </w:r>
      <w:r w:rsidR="08565BC2">
        <w:t xml:space="preserve">významu a bytí jsoucna </w:t>
      </w:r>
      <w:r w:rsidRPr="00273106">
        <w:t xml:space="preserve">od vyšších forem směrem dolů. </w:t>
      </w:r>
      <w:r>
        <w:t>Uvolňování či d</w:t>
      </w:r>
      <w:r w:rsidRPr="00273106">
        <w:t xml:space="preserve">ělení forem </w:t>
      </w:r>
      <w:r>
        <w:t xml:space="preserve">směrem dolů </w:t>
      </w:r>
      <w:r w:rsidRPr="00273106">
        <w:t xml:space="preserve">k nižším jednotkám poznání (ἀναλύω, </w:t>
      </w:r>
      <w:r w:rsidRPr="00273106">
        <w:rPr>
          <w:i/>
        </w:rPr>
        <w:t>deducere</w:t>
      </w:r>
      <w:r w:rsidRPr="00273106">
        <w:t>)</w:t>
      </w:r>
      <w:r>
        <w:t xml:space="preserve"> je vázáno na dělení univerzálií podle Porfyrio</w:t>
      </w:r>
      <w:r w:rsidRPr="00273106">
        <w:t>v</w:t>
      </w:r>
      <w:r>
        <w:t>a</w:t>
      </w:r>
      <w:r w:rsidRPr="00273106">
        <w:t xml:space="preserve"> strom</w:t>
      </w:r>
      <w:r>
        <w:t>u</w:t>
      </w:r>
      <w:r w:rsidRPr="00273106">
        <w:t xml:space="preserve">, protože </w:t>
      </w:r>
      <w:r>
        <w:t xml:space="preserve">archetypické rody a druhy </w:t>
      </w:r>
      <w:r w:rsidRPr="00273106">
        <w:t>mají univoční a substanční charakter (</w:t>
      </w:r>
      <w:r w:rsidRPr="00273106">
        <w:rPr>
          <w:i/>
        </w:rPr>
        <w:t xml:space="preserve">genera et </w:t>
      </w:r>
      <w:r w:rsidR="004B4D52" w:rsidRPr="004B4D52">
        <w:t>species</w:t>
      </w:r>
      <w:r w:rsidRPr="00273106">
        <w:rPr>
          <w:i/>
        </w:rPr>
        <w:t xml:space="preserve"> et principia tam essendi quam cognoscendi</w:t>
      </w:r>
      <w:r w:rsidRPr="00273106">
        <w:t xml:space="preserve">). Citát </w:t>
      </w:r>
      <w:r>
        <w:t xml:space="preserve">obhajuje </w:t>
      </w:r>
      <w:r w:rsidRPr="00273106">
        <w:t>přím</w:t>
      </w:r>
      <w:r>
        <w:t>é</w:t>
      </w:r>
      <w:r w:rsidRPr="00273106">
        <w:t xml:space="preserve"> vidění těchto </w:t>
      </w:r>
      <w:r w:rsidR="002E30FF" w:rsidRPr="002E30FF">
        <w:t>species</w:t>
      </w:r>
      <w:r w:rsidR="002E30FF">
        <w:t>–</w:t>
      </w:r>
      <w:r>
        <w:t>substancí</w:t>
      </w:r>
      <w:r>
        <w:fldChar w:fldCharType="begin"/>
      </w:r>
      <w:r>
        <w:instrText xml:space="preserve"> XE "</w:instrText>
      </w:r>
      <w:r w:rsidRPr="00D46F59">
        <w:instrText>substance:</w:instrText>
      </w:r>
      <w:r w:rsidRPr="08CE63C5">
        <w:rPr>
          <w:i/>
        </w:rPr>
        <w:instrText>species</w:instrText>
      </w:r>
      <w:r>
        <w:instrText xml:space="preserve">" </w:instrText>
      </w:r>
      <w:r>
        <w:fldChar w:fldCharType="end"/>
      </w:r>
      <w:r w:rsidRPr="00273106">
        <w:t xml:space="preserve">, které patří do archetypické sféry poznání. </w:t>
      </w:r>
      <w:r>
        <w:t xml:space="preserve">Nový </w:t>
      </w:r>
      <w:r w:rsidRPr="00273106">
        <w:t>náhled je založený na ontoteologické struktuře metafyziky. Čistý náhled aktivních stvořitelských forem přivede f</w:t>
      </w:r>
      <w:r w:rsidR="08D05023">
        <w:t xml:space="preserve">ilosofa až </w:t>
      </w:r>
      <w:r w:rsidR="08EB6AAC">
        <w:t xml:space="preserve">k </w:t>
      </w:r>
      <w:r w:rsidR="08EB6AAC" w:rsidRPr="00273106">
        <w:t>nazírá</w:t>
      </w:r>
      <w:r w:rsidR="08EB6AAC">
        <w:t>ní</w:t>
      </w:r>
      <w:r w:rsidR="08EB6AAC" w:rsidRPr="00273106">
        <w:t xml:space="preserve"> </w:t>
      </w:r>
      <w:r w:rsidR="08D05023">
        <w:t>prvního zdroje intelektuální iluminace</w:t>
      </w:r>
      <w:r w:rsidR="08EB6AAC">
        <w:t>, skrze který</w:t>
      </w:r>
      <w:r w:rsidRPr="00273106">
        <w:t xml:space="preserve"> pak </w:t>
      </w:r>
      <w:r w:rsidR="08EB6AAC">
        <w:t xml:space="preserve">poznává </w:t>
      </w:r>
      <w:r w:rsidRPr="00273106">
        <w:t>zbytek stvoření (</w:t>
      </w:r>
      <w:r w:rsidRPr="00273106">
        <w:rPr>
          <w:i/>
        </w:rPr>
        <w:t>ipsam lucem primam in qua cognoscit cetera</w:t>
      </w:r>
      <w:r w:rsidRPr="00273106">
        <w:t>). Klíčová věta ukazuje postup poznání</w:t>
      </w:r>
      <w:r>
        <w:t>. M</w:t>
      </w:r>
      <w:r w:rsidRPr="00273106">
        <w:t xml:space="preserve">ateriální věci </w:t>
      </w:r>
      <w:r>
        <w:t xml:space="preserve">jsou </w:t>
      </w:r>
      <w:r w:rsidRPr="00273106">
        <w:t>nasvíceny zezadu skrze intuici aktivního čistého intelektu (</w:t>
      </w:r>
      <w:r w:rsidRPr="00273106">
        <w:rPr>
          <w:i/>
        </w:rPr>
        <w:t>cum intellectus purus potest in his defigere intuitum</w:t>
      </w:r>
      <w:r w:rsidRPr="00273106">
        <w:t xml:space="preserve">). Tato forma intelektuální intuice </w:t>
      </w:r>
      <w:r>
        <w:fldChar w:fldCharType="begin"/>
      </w:r>
      <w:r>
        <w:instrText xml:space="preserve"> XE "</w:instrText>
      </w:r>
      <w:r w:rsidRPr="00947FAF">
        <w:instrText>iluminace</w:instrText>
      </w:r>
      <w:r>
        <w:instrText xml:space="preserve">" </w:instrText>
      </w:r>
      <w:r>
        <w:fldChar w:fldCharType="end"/>
      </w:r>
      <w:r w:rsidRPr="00273106">
        <w:t>pozná skrze evidentní náhled prvních principů správně i materiální stvořené věci (</w:t>
      </w:r>
      <w:r w:rsidRPr="00273106">
        <w:rPr>
          <w:i/>
        </w:rPr>
        <w:t>in istis verissime et manifestissime cognoscit res creatas</w:t>
      </w:r>
      <w:r w:rsidRPr="00273106">
        <w:t xml:space="preserve">). </w:t>
      </w:r>
      <w:r w:rsidRPr="00273106">
        <w:lastRenderedPageBreak/>
        <w:t xml:space="preserve">Grosseteste k pohledu na </w:t>
      </w:r>
      <w:r>
        <w:t>platonské</w:t>
      </w:r>
      <w:r w:rsidRPr="00273106">
        <w:t xml:space="preserve"> ideje a archetypy přidá i přímý </w:t>
      </w:r>
      <w:r>
        <w:t xml:space="preserve">avicennovský </w:t>
      </w:r>
      <w:r w:rsidRPr="00273106">
        <w:t xml:space="preserve">náhled na </w:t>
      </w:r>
      <w:r>
        <w:t xml:space="preserve">porretánsky hypostázovaná </w:t>
      </w:r>
      <w:r w:rsidRPr="00347B17">
        <w:rPr>
          <w:i/>
        </w:rPr>
        <w:t>genera</w:t>
      </w:r>
      <w:r w:rsidRPr="00273106">
        <w:t xml:space="preserve"> a </w:t>
      </w:r>
      <w:r w:rsidR="004B4D52" w:rsidRPr="004B4D52">
        <w:t>species</w:t>
      </w:r>
      <w:r w:rsidRPr="00273106">
        <w:t xml:space="preserve">. Tyto univerzálie tvoří nedílnou součást procesu </w:t>
      </w:r>
      <w:r>
        <w:t>individuace v rámci dělení Porfy</w:t>
      </w:r>
      <w:r w:rsidRPr="00273106">
        <w:t>riova stromu,</w:t>
      </w:r>
      <w:r>
        <w:t xml:space="preserve"> až k dále nedefinovatelnému es</w:t>
      </w:r>
      <w:r w:rsidRPr="00273106">
        <w:t>enciáln</w:t>
      </w:r>
      <w:r>
        <w:t xml:space="preserve">ímu zbytku zvanému </w:t>
      </w:r>
      <w:r w:rsidRPr="00273106">
        <w:rPr>
          <w:i/>
        </w:rPr>
        <w:t>individuum</w:t>
      </w:r>
      <w:r w:rsidR="08E75D37">
        <w:t xml:space="preserve"> (kap. 1</w:t>
      </w:r>
      <w:r w:rsidRPr="00273106">
        <w:t xml:space="preserve">.4). Tento postup abstrakce v podobě avicennovského </w:t>
      </w:r>
      <w:r w:rsidRPr="00273106">
        <w:rPr>
          <w:i/>
        </w:rPr>
        <w:t>denudatio</w:t>
      </w:r>
      <w:r>
        <w:rPr>
          <w:i/>
        </w:rPr>
        <w:fldChar w:fldCharType="begin"/>
      </w:r>
      <w:r>
        <w:instrText xml:space="preserve"> XE "</w:instrText>
      </w:r>
      <w:r w:rsidRPr="00C23100">
        <w:rPr>
          <w:i/>
        </w:rPr>
        <w:instrText>denudatio</w:instrText>
      </w:r>
      <w:r>
        <w:instrText xml:space="preserve">:Grosseteste" </w:instrText>
      </w:r>
      <w:r>
        <w:rPr>
          <w:i/>
        </w:rPr>
        <w:fldChar w:fldCharType="end"/>
      </w:r>
      <w:r w:rsidRPr="00273106">
        <w:t xml:space="preserve"> (</w:t>
      </w:r>
      <w:r w:rsidR="08E75D37">
        <w:t xml:space="preserve">OBJ I, </w:t>
      </w:r>
      <w:r w:rsidRPr="00273106">
        <w:t>kap. 2.1.1) najd</w:t>
      </w:r>
      <w:r>
        <w:t xml:space="preserve">eme ve stejné dekádě i v pojmu </w:t>
      </w:r>
      <w:r w:rsidRPr="00273106">
        <w:rPr>
          <w:i/>
        </w:rPr>
        <w:t>resolutio</w:t>
      </w:r>
      <w:r>
        <w:rPr>
          <w:i/>
        </w:rPr>
        <w:fldChar w:fldCharType="begin"/>
      </w:r>
      <w:r>
        <w:instrText xml:space="preserve"> XE "</w:instrText>
      </w:r>
      <w:r w:rsidRPr="00111E9E">
        <w:rPr>
          <w:i/>
        </w:rPr>
        <w:instrText>resolutio</w:instrText>
      </w:r>
      <w:r>
        <w:rPr>
          <w:i/>
        </w:rPr>
        <w:instrText>:</w:instrText>
      </w:r>
      <w:r>
        <w:instrText xml:space="preserve">Grosseteste" </w:instrText>
      </w:r>
      <w:r>
        <w:rPr>
          <w:i/>
        </w:rPr>
        <w:fldChar w:fldCharType="end"/>
      </w:r>
      <w:r w:rsidRPr="00273106">
        <w:t xml:space="preserve"> pařížského magistra Filipa Kancléře, prvního teoretika konverze tra</w:t>
      </w:r>
      <w:r w:rsidR="08E75D37">
        <w:t>nscendentálií (kap. 2</w:t>
      </w:r>
      <w:r w:rsidRPr="00273106">
        <w:t>.3</w:t>
      </w:r>
      <w:r>
        <w:t>.2</w:t>
      </w:r>
      <w:r w:rsidRPr="00273106">
        <w:t xml:space="preserve">). </w:t>
      </w:r>
      <w:r w:rsidR="0876063F">
        <w:t>N</w:t>
      </w:r>
      <w:r w:rsidR="08D35323">
        <w:t xml:space="preserve">eoplatonské formy jsou v našem poznání účinné přímo podle dedukce </w:t>
      </w:r>
      <w:r w:rsidR="08D35323" w:rsidRPr="08D35323">
        <w:rPr>
          <w:i/>
        </w:rPr>
        <w:t>modo geometrico</w:t>
      </w:r>
      <w:r w:rsidR="08D35323">
        <w:t xml:space="preserve"> dané v </w:t>
      </w:r>
      <w:r w:rsidR="08D35323" w:rsidRPr="08D35323">
        <w:rPr>
          <w:i/>
        </w:rPr>
        <w:t>Liber de causis</w:t>
      </w:r>
      <w:r w:rsidR="08D35323">
        <w:t>. Nyní j</w:t>
      </w:r>
      <w:r w:rsidR="083D3AF1">
        <w:t xml:space="preserve">e </w:t>
      </w:r>
      <w:r w:rsidR="08D35323">
        <w:t>j</w:t>
      </w:r>
      <w:r w:rsidR="083D3AF1">
        <w:t>a</w:t>
      </w:r>
      <w:r w:rsidR="08D35323">
        <w:t xml:space="preserve">sné, </w:t>
      </w:r>
      <w:r w:rsidR="083D3AF1">
        <w:t xml:space="preserve">proč </w:t>
      </w:r>
      <w:r w:rsidR="08D35323">
        <w:t xml:space="preserve">Grosseteste </w:t>
      </w:r>
      <w:r w:rsidR="08BA001A">
        <w:t>musel</w:t>
      </w:r>
      <w:r w:rsidR="083D3AF1">
        <w:t xml:space="preserve"> odejít z Paříže do akademického </w:t>
      </w:r>
      <w:r w:rsidR="08BA001A">
        <w:t xml:space="preserve">exilu </w:t>
      </w:r>
      <w:r w:rsidR="083D3AF1">
        <w:t xml:space="preserve">v Oxfordu. </w:t>
      </w:r>
      <w:r w:rsidR="084B4217">
        <w:t>Papež</w:t>
      </w:r>
      <w:r w:rsidR="08BA001A">
        <w:t xml:space="preserve"> Ř</w:t>
      </w:r>
      <w:r w:rsidR="08B50326">
        <w:t>ehoř</w:t>
      </w:r>
      <w:r w:rsidR="08BA001A">
        <w:t xml:space="preserve"> IX.</w:t>
      </w:r>
      <w:r w:rsidR="084B4217">
        <w:t xml:space="preserve"> </w:t>
      </w:r>
      <w:r w:rsidR="08BA001A">
        <w:t xml:space="preserve">zrušil návrhy kapituly a </w:t>
      </w:r>
      <w:r w:rsidR="084B4217">
        <w:t xml:space="preserve">osobně </w:t>
      </w:r>
      <w:r w:rsidR="08BA001A">
        <w:t xml:space="preserve">posvětil </w:t>
      </w:r>
      <w:r w:rsidR="084B4217">
        <w:t xml:space="preserve">Alverna za </w:t>
      </w:r>
      <w:r w:rsidR="08BA001A">
        <w:t xml:space="preserve">nového </w:t>
      </w:r>
      <w:r w:rsidR="084B4217">
        <w:t xml:space="preserve">pařížského </w:t>
      </w:r>
      <w:r w:rsidR="08BA001A">
        <w:t>biskupa</w:t>
      </w:r>
      <w:r w:rsidR="082E60FA" w:rsidRPr="082E60FA">
        <w:t xml:space="preserve"> </w:t>
      </w:r>
      <w:r w:rsidR="082E60FA">
        <w:t>roku 1228</w:t>
      </w:r>
      <w:r w:rsidR="08BA001A">
        <w:t>. T</w:t>
      </w:r>
      <w:r w:rsidR="08D35323">
        <w:t>ento eminent</w:t>
      </w:r>
      <w:r w:rsidR="08CA619A">
        <w:t>n</w:t>
      </w:r>
      <w:r w:rsidR="08D35323">
        <w:t xml:space="preserve">í představitel Blundovy školy nemohl připustit hlásání podobných nauk na půdě Pařížké univerzity. </w:t>
      </w:r>
      <w:r w:rsidR="08CA619A">
        <w:t>Grossetesteho i</w:t>
      </w:r>
      <w:r w:rsidRPr="00273106">
        <w:t xml:space="preserve">ntelekt podaný na způsob neoplatoniků a Avicenny </w:t>
      </w:r>
      <w:r w:rsidR="08184051">
        <w:t>má přímý</w:t>
      </w:r>
      <w:r w:rsidR="00EB69B7">
        <w:t xml:space="preserve"> náhled na univerzální formy</w:t>
      </w:r>
      <w:r w:rsidRPr="00273106">
        <w:t xml:space="preserve"> </w:t>
      </w:r>
      <w:r w:rsidR="00EB69B7">
        <w:t xml:space="preserve">dané jak odděleném činném intelektu, tak v </w:t>
      </w:r>
      <w:r w:rsidRPr="00273106">
        <w:t>individuálních věcech</w:t>
      </w:r>
      <w:r w:rsidR="08566EBF">
        <w:t xml:space="preserve">. Z tohoto základního důvodu je </w:t>
      </w:r>
      <w:r w:rsidR="00EB69B7" w:rsidRPr="00EB69B7">
        <w:rPr>
          <w:i/>
        </w:rPr>
        <w:t>anima intellectiva</w:t>
      </w:r>
      <w:r w:rsidR="00EB69B7">
        <w:t xml:space="preserve"> </w:t>
      </w:r>
      <w:r w:rsidR="08566EBF">
        <w:t xml:space="preserve">avicennistickou aktuální substancí a není </w:t>
      </w:r>
      <w:r w:rsidR="08566EBF" w:rsidRPr="08566EBF">
        <w:rPr>
          <w:i/>
        </w:rPr>
        <w:t>tabula rasa</w:t>
      </w:r>
      <w:r w:rsidRPr="00273106">
        <w:t xml:space="preserve">. </w:t>
      </w:r>
      <w:r w:rsidR="085A283F">
        <w:t xml:space="preserve">Grosseteste se odloučil od Bludovy školy tím, že radikalizoval ve druhé etapě osvícení zezadu od </w:t>
      </w:r>
      <w:r w:rsidR="085A283F" w:rsidRPr="085A283F">
        <w:rPr>
          <w:i/>
        </w:rPr>
        <w:t>intellectus agens</w:t>
      </w:r>
      <w:r w:rsidR="00C02CAD">
        <w:t>. Toto pojetí je přítomné j</w:t>
      </w:r>
      <w:r w:rsidR="085A283F">
        <w:t>iž v</w:t>
      </w:r>
      <w:r w:rsidR="00C02CAD">
        <w:t> jeho v</w:t>
      </w:r>
      <w:r w:rsidR="085A283F">
        <w:t xml:space="preserve">ýkladu </w:t>
      </w:r>
      <w:r w:rsidR="085A283F" w:rsidRPr="085A283F">
        <w:rPr>
          <w:i/>
        </w:rPr>
        <w:t>De anima</w:t>
      </w:r>
      <w:r w:rsidR="085F6FB7">
        <w:t xml:space="preserve"> (kap. 2</w:t>
      </w:r>
      <w:r w:rsidR="085A283F">
        <w:t xml:space="preserve">.2.1). </w:t>
      </w:r>
      <w:r w:rsidR="080C2691">
        <w:t xml:space="preserve">Grosseteste brání Averroese proti Avicennovi podle Toledské školy, Alvernus podle Sicilské školy. </w:t>
      </w:r>
      <w:r w:rsidR="00C62685">
        <w:t xml:space="preserve">Oba výklady Komentátora </w:t>
      </w:r>
      <w:r w:rsidR="004E440A">
        <w:t>n</w:t>
      </w:r>
      <w:r w:rsidR="08772783">
        <w:t>ejsou sluči</w:t>
      </w:r>
      <w:r w:rsidR="00AD776C">
        <w:t>telné</w:t>
      </w:r>
      <w:r w:rsidR="00D12BE8">
        <w:t xml:space="preserve"> a nemohou založit jednu společnou verzi metafyziky</w:t>
      </w:r>
      <w:r w:rsidR="00AD776C">
        <w:t>.</w:t>
      </w:r>
    </w:p>
    <w:p w14:paraId="0A39A14A" w14:textId="740D9B44" w:rsidR="007F2DA1" w:rsidRDefault="08CA619A" w:rsidP="005A2828">
      <w:pPr>
        <w:ind w:firstLine="397"/>
      </w:pPr>
      <w:r>
        <w:t xml:space="preserve">Vraťme se k zásadnímu rozdílu obou anonymních komentářů k </w:t>
      </w:r>
      <w:r w:rsidRPr="08CA619A">
        <w:rPr>
          <w:i/>
        </w:rPr>
        <w:t>De anima</w:t>
      </w:r>
      <w:r w:rsidR="00EE01D4">
        <w:t xml:space="preserve">, které vyšly v letech 1225–30. </w:t>
      </w:r>
      <w:r w:rsidR="00F9243A">
        <w:t xml:space="preserve">Oba spisy jasně ukazují rozdílnou povahu </w:t>
      </w:r>
      <w:r w:rsidRPr="08CA619A">
        <w:rPr>
          <w:i/>
        </w:rPr>
        <w:t xml:space="preserve">intellectus agens </w:t>
      </w:r>
      <w:r w:rsidRPr="08CA619A">
        <w:t>a</w:t>
      </w:r>
      <w:r>
        <w:rPr>
          <w:i/>
        </w:rPr>
        <w:t xml:space="preserve"> intellectus formalis </w:t>
      </w:r>
      <w:r w:rsidR="08772783">
        <w:t>(kap. 2</w:t>
      </w:r>
      <w:r>
        <w:t xml:space="preserve">.2.2). </w:t>
      </w:r>
      <w:r w:rsidR="08711E15">
        <w:t xml:space="preserve">Alvernův první spis k </w:t>
      </w:r>
      <w:r w:rsidR="08711E15" w:rsidRPr="08711E15">
        <w:rPr>
          <w:i/>
        </w:rPr>
        <w:t>De anima</w:t>
      </w:r>
      <w:r w:rsidR="08711E15">
        <w:t xml:space="preserve"> </w:t>
      </w:r>
      <w:r w:rsidR="00EE01D4">
        <w:t>(</w:t>
      </w:r>
      <w:r w:rsidR="00EE01D4" w:rsidRPr="08873708">
        <w:rPr>
          <w:i/>
        </w:rPr>
        <w:t>De potentiis animae et obiectis</w:t>
      </w:r>
      <w:r w:rsidR="00EE01D4">
        <w:t xml:space="preserve">) pravděpodobně </w:t>
      </w:r>
      <w:r w:rsidR="08711E15">
        <w:t>vznik</w:t>
      </w:r>
      <w:r w:rsidR="00EE01D4">
        <w:t>l</w:t>
      </w:r>
      <w:r w:rsidR="08711E15">
        <w:t xml:space="preserve"> </w:t>
      </w:r>
      <w:r w:rsidR="00EE01D4">
        <w:t xml:space="preserve">před rokem </w:t>
      </w:r>
      <w:r w:rsidR="08711E15">
        <w:t>1230 jako r</w:t>
      </w:r>
      <w:r w:rsidR="00EE01D4">
        <w:t>eakce na Grossestesteho toletánské</w:t>
      </w:r>
      <w:r w:rsidR="08711E15">
        <w:t xml:space="preserve"> výklad</w:t>
      </w:r>
      <w:r w:rsidR="00EE01D4">
        <w:t>y</w:t>
      </w:r>
      <w:r w:rsidR="00E679DB">
        <w:t xml:space="preserve"> poznání a vědy</w:t>
      </w:r>
      <w:r w:rsidR="002457EF">
        <w:t xml:space="preserve"> přednášené v Paříži</w:t>
      </w:r>
      <w:r w:rsidR="00E679DB">
        <w:t xml:space="preserve">. Grosseteste napsal </w:t>
      </w:r>
      <w:r w:rsidR="00C27ADA">
        <w:t xml:space="preserve">první </w:t>
      </w:r>
      <w:r w:rsidR="00E679DB">
        <w:t>komentář k </w:t>
      </w:r>
      <w:r w:rsidR="00E679DB" w:rsidRPr="00EE01D4">
        <w:rPr>
          <w:i/>
        </w:rPr>
        <w:t>De anima</w:t>
      </w:r>
      <w:r w:rsidR="00E679DB">
        <w:t xml:space="preserve"> v linii Blundovy školy (</w:t>
      </w:r>
      <w:r w:rsidR="00E679DB">
        <w:rPr>
          <w:i/>
        </w:rPr>
        <w:t>De anima et de potenciis eius</w:t>
      </w:r>
      <w:r w:rsidR="00E679DB">
        <w:t>)</w:t>
      </w:r>
      <w:r w:rsidR="00C27ADA">
        <w:t>. A</w:t>
      </w:r>
      <w:r w:rsidR="00E679DB">
        <w:t xml:space="preserve">le pak </w:t>
      </w:r>
      <w:r w:rsidR="00C27ADA">
        <w:t xml:space="preserve">velmi pravděpodobně </w:t>
      </w:r>
      <w:r w:rsidR="00EE01D4">
        <w:t xml:space="preserve">přednášel na Pařížské univerzitě </w:t>
      </w:r>
      <w:r w:rsidR="00E679DB">
        <w:t xml:space="preserve">názory, které </w:t>
      </w:r>
      <w:r w:rsidR="002457EF">
        <w:t>známe z jeho druhého komentáře k</w:t>
      </w:r>
      <w:r w:rsidR="00E679DB">
        <w:t> </w:t>
      </w:r>
      <w:r w:rsidR="00E679DB" w:rsidRPr="002457EF">
        <w:rPr>
          <w:i/>
        </w:rPr>
        <w:t>De anima</w:t>
      </w:r>
      <w:r w:rsidR="00E679DB">
        <w:t xml:space="preserve"> psaného již v</w:t>
      </w:r>
      <w:r w:rsidR="002457EF">
        <w:t> </w:t>
      </w:r>
      <w:r w:rsidR="00E679DB">
        <w:t>Oxfo</w:t>
      </w:r>
      <w:r w:rsidR="00987400">
        <w:t>r</w:t>
      </w:r>
      <w:r w:rsidR="00E679DB">
        <w:t>du</w:t>
      </w:r>
      <w:r w:rsidR="002457EF">
        <w:t xml:space="preserve">. A </w:t>
      </w:r>
      <w:r w:rsidR="00987400">
        <w:t xml:space="preserve">také lze právem předpokládat, že již </w:t>
      </w:r>
      <w:r w:rsidR="002457EF">
        <w:t xml:space="preserve">v Paříži </w:t>
      </w:r>
      <w:r w:rsidR="00C41072">
        <w:t xml:space="preserve">v letech 1225–28 (jmenování Alverna biskupem a kancléřem) </w:t>
      </w:r>
      <w:r w:rsidR="00987400">
        <w:t xml:space="preserve">přednášel </w:t>
      </w:r>
      <w:r w:rsidR="002457EF">
        <w:t>n</w:t>
      </w:r>
      <w:r w:rsidR="00E679DB">
        <w:t xml:space="preserve">ový </w:t>
      </w:r>
      <w:r w:rsidR="00361667">
        <w:t xml:space="preserve">výklad </w:t>
      </w:r>
      <w:r w:rsidR="00361667" w:rsidRPr="00361667">
        <w:rPr>
          <w:i/>
        </w:rPr>
        <w:t>Dru</w:t>
      </w:r>
      <w:r w:rsidR="00E679DB" w:rsidRPr="00361667">
        <w:rPr>
          <w:i/>
        </w:rPr>
        <w:t>hý</w:t>
      </w:r>
      <w:r w:rsidR="00361667" w:rsidRPr="00361667">
        <w:rPr>
          <w:i/>
        </w:rPr>
        <w:t>c</w:t>
      </w:r>
      <w:r w:rsidR="00C41072">
        <w:rPr>
          <w:i/>
        </w:rPr>
        <w:t>h A</w:t>
      </w:r>
      <w:r w:rsidR="00E679DB" w:rsidRPr="00361667">
        <w:rPr>
          <w:i/>
        </w:rPr>
        <w:t>nalytik</w:t>
      </w:r>
      <w:r w:rsidR="00C41072">
        <w:t>, který vydal až v Oxfordu (</w:t>
      </w:r>
      <w:r w:rsidR="00C41072" w:rsidRPr="00273106">
        <w:rPr>
          <w:i/>
        </w:rPr>
        <w:t>Commentarius in posteriorum analyticorum libros</w:t>
      </w:r>
      <w:r w:rsidR="00C41072">
        <w:rPr>
          <w:i/>
        </w:rPr>
        <w:t xml:space="preserve">, </w:t>
      </w:r>
      <w:r w:rsidR="00BD240D">
        <w:t>1230). Tento výklad</w:t>
      </w:r>
      <w:r w:rsidR="004D475E">
        <w:t xml:space="preserve"> </w:t>
      </w:r>
      <w:r w:rsidR="00BD240D">
        <w:t xml:space="preserve">je </w:t>
      </w:r>
      <w:r w:rsidR="00C41072">
        <w:t xml:space="preserve">evidentě napsán v duchu </w:t>
      </w:r>
      <w:r w:rsidR="00BD240D">
        <w:t xml:space="preserve">Alvernem odsouzených učení </w:t>
      </w:r>
      <w:r w:rsidR="00C41072" w:rsidRPr="00C41072">
        <w:rPr>
          <w:i/>
        </w:rPr>
        <w:t>sequaces Aristotelis</w:t>
      </w:r>
      <w:r w:rsidR="00C41072">
        <w:t xml:space="preserve"> a byl</w:t>
      </w:r>
      <w:r w:rsidR="004D475E">
        <w:t xml:space="preserve"> neslučitelný s učením Sicilské školy prvního averroismu.</w:t>
      </w:r>
      <w:r w:rsidR="005A2828">
        <w:t xml:space="preserve"> </w:t>
      </w:r>
      <w:r w:rsidR="08B01330">
        <w:t xml:space="preserve">V Toledské škole ovlivněné neoplatonismem a </w:t>
      </w:r>
      <w:r w:rsidR="08B01330">
        <w:lastRenderedPageBreak/>
        <w:t>avicennismem nebyla možná plná jednota osob</w:t>
      </w:r>
      <w:r w:rsidR="08917FF1">
        <w:t xml:space="preserve">y. To </w:t>
      </w:r>
      <w:r w:rsidR="08B01330">
        <w:t>se jasně ukázalo v pozdějších spor</w:t>
      </w:r>
      <w:r w:rsidR="08A22FA6">
        <w:t>ech</w:t>
      </w:r>
      <w:r w:rsidR="08917FF1">
        <w:t xml:space="preserve"> zejména mezi toletánem Akvinským a siciliánem Sigerem</w:t>
      </w:r>
      <w:r w:rsidR="08B01330">
        <w:t xml:space="preserve">. </w:t>
      </w:r>
      <w:r w:rsidR="082B7009" w:rsidRPr="00273106">
        <w:t xml:space="preserve">Příkladem přímého </w:t>
      </w:r>
      <w:r w:rsidR="08BD7FCF">
        <w:t xml:space="preserve">eidetického </w:t>
      </w:r>
      <w:r w:rsidR="082B7009" w:rsidRPr="00273106">
        <w:t xml:space="preserve">náhledu </w:t>
      </w:r>
      <w:r w:rsidR="08BD7FCF">
        <w:t>na aktuální for</w:t>
      </w:r>
      <w:r w:rsidR="082B7009" w:rsidRPr="00273106">
        <w:t>m</w:t>
      </w:r>
      <w:r w:rsidR="08BD7FCF">
        <w:t>y</w:t>
      </w:r>
      <w:r w:rsidR="082B7009" w:rsidRPr="00273106">
        <w:t xml:space="preserve"> je Grossetesteho definice exemplaru</w:t>
      </w:r>
      <w:r w:rsidR="082B7009">
        <w:rPr>
          <w:i/>
        </w:rPr>
        <w:fldChar w:fldCharType="begin"/>
      </w:r>
      <w:r w:rsidR="082B7009">
        <w:instrText xml:space="preserve"> XE "</w:instrText>
      </w:r>
      <w:r w:rsidR="082B7009" w:rsidRPr="003F72AE">
        <w:rPr>
          <w:i/>
        </w:rPr>
        <w:instrText>exemplar</w:instrText>
      </w:r>
      <w:r w:rsidR="082B7009">
        <w:instrText xml:space="preserve">" </w:instrText>
      </w:r>
      <w:r w:rsidR="082B7009">
        <w:rPr>
          <w:i/>
        </w:rPr>
        <w:fldChar w:fldCharType="end"/>
      </w:r>
      <w:r w:rsidR="082B7009" w:rsidRPr="00273106">
        <w:t>, který se stal novou substancí třetího druhu</w:t>
      </w:r>
      <w:r w:rsidR="08BD7FCF">
        <w:t xml:space="preserve"> (</w:t>
      </w:r>
      <w:r w:rsidR="08BD7FCF" w:rsidRPr="08BD7FCF">
        <w:rPr>
          <w:i/>
        </w:rPr>
        <w:t>dicitur simul exemplar et quo res est</w:t>
      </w:r>
      <w:r w:rsidR="08BD7FCF">
        <w:t>)</w:t>
      </w:r>
      <w:r w:rsidR="082B7009" w:rsidRPr="00273106">
        <w:t>.</w:t>
      </w:r>
      <w:r w:rsidR="082B7009" w:rsidRPr="00273106">
        <w:rPr>
          <w:rStyle w:val="Znakapoznpodarou"/>
        </w:rPr>
        <w:footnoteReference w:id="298"/>
      </w:r>
      <w:r w:rsidR="082B7009" w:rsidRPr="00273106">
        <w:t xml:space="preserve"> Klíčovou část této definice (</w:t>
      </w:r>
      <w:r w:rsidR="082B7009" w:rsidRPr="00273106">
        <w:rPr>
          <w:i/>
        </w:rPr>
        <w:t>exemplar dicitur solum forma, quae est in mente artificis</w:t>
      </w:r>
      <w:r w:rsidR="082B7009" w:rsidRPr="00273106">
        <w:t>) převezme Bonaventura a vytvoří z ní první ontoteologicko</w:t>
      </w:r>
      <w:r w:rsidR="08B33D13">
        <w:t>u konstrukci objektivity (OBJ III, kap. 4</w:t>
      </w:r>
      <w:r w:rsidR="082B7009" w:rsidRPr="00273106">
        <w:t xml:space="preserve">.1.2). </w:t>
      </w:r>
      <w:r w:rsidR="08413A66">
        <w:t xml:space="preserve">Citát ukazuje spojení náhledu na smyslu jsoucna zezadu s demiurgickou predikací </w:t>
      </w:r>
      <w:r w:rsidR="08413A66" w:rsidRPr="08413A66">
        <w:rPr>
          <w:i/>
        </w:rPr>
        <w:t>in artificialibus</w:t>
      </w:r>
      <w:r w:rsidR="08413A66">
        <w:rPr>
          <w:i/>
        </w:rPr>
        <w:fldChar w:fldCharType="begin"/>
      </w:r>
      <w:r w:rsidR="08413A66">
        <w:instrText xml:space="preserve"> XE "</w:instrText>
      </w:r>
      <w:r w:rsidR="08413A66" w:rsidRPr="08853546">
        <w:instrText>predikace:</w:instrText>
      </w:r>
      <w:r w:rsidR="08413A66" w:rsidRPr="08853546">
        <w:rPr>
          <w:i/>
        </w:rPr>
        <w:instrText>in artificialibus</w:instrText>
      </w:r>
      <w:r w:rsidR="08413A66">
        <w:instrText xml:space="preserve">" </w:instrText>
      </w:r>
      <w:r w:rsidR="08413A66">
        <w:rPr>
          <w:i/>
        </w:rPr>
        <w:fldChar w:fldCharType="end"/>
      </w:r>
      <w:r w:rsidR="08413A66">
        <w:t xml:space="preserve">, což představuje ontotelogický základ objektivity. </w:t>
      </w:r>
      <w:r w:rsidR="082B7009" w:rsidRPr="00273106">
        <w:t>Grosseteste sleduje</w:t>
      </w:r>
      <w:r w:rsidR="082B7009">
        <w:t xml:space="preserve"> aristotelskou linii výkladu, </w:t>
      </w:r>
      <w:r w:rsidR="082B7009" w:rsidRPr="00273106">
        <w:t xml:space="preserve">proto odmítá </w:t>
      </w:r>
      <w:r w:rsidR="082B7009">
        <w:t>platonské</w:t>
      </w:r>
      <w:r w:rsidR="082B7009" w:rsidRPr="00273106">
        <w:t xml:space="preserve"> ideje jako samostatně existující substance. Ale náhled moderního ilumináta s těmito idejemi pracuje ve formě exemplaru (</w:t>
      </w:r>
      <w:r w:rsidR="082B7009" w:rsidRPr="00273106">
        <w:rPr>
          <w:i/>
        </w:rPr>
        <w:t>formales exemplares</w:t>
      </w:r>
      <w:r w:rsidR="082B7009" w:rsidRPr="00273106">
        <w:t>), který lze nazírat v aktu evidentního poznání (</w:t>
      </w:r>
      <w:r w:rsidR="082B7009" w:rsidRPr="00273106">
        <w:rPr>
          <w:i/>
        </w:rPr>
        <w:t>lucem primam in qua cognoscit cetera</w:t>
      </w:r>
      <w:r w:rsidR="082B7009" w:rsidRPr="00273106">
        <w:t xml:space="preserve">). Tento eidetický náhled </w:t>
      </w:r>
      <w:r w:rsidR="00876089">
        <w:t xml:space="preserve">moderního </w:t>
      </w:r>
      <w:r w:rsidR="0840240B">
        <w:t xml:space="preserve">demiurga </w:t>
      </w:r>
      <w:r w:rsidR="082B7009" w:rsidRPr="00273106">
        <w:t xml:space="preserve">na způsob </w:t>
      </w:r>
      <w:r w:rsidR="082B7009">
        <w:t xml:space="preserve">Avicenny, </w:t>
      </w:r>
      <w:r w:rsidR="082B7009" w:rsidRPr="00273106">
        <w:t>Descarta</w:t>
      </w:r>
      <w:r w:rsidR="082B7009">
        <w:fldChar w:fldCharType="begin"/>
      </w:r>
      <w:r w:rsidR="082B7009">
        <w:instrText xml:space="preserve"> XE "</w:instrText>
      </w:r>
      <w:r w:rsidR="082B7009" w:rsidRPr="004146C6">
        <w:rPr>
          <w:rStyle w:val="addmd"/>
        </w:rPr>
        <w:instrText>Descartes, R.</w:instrText>
      </w:r>
      <w:r w:rsidR="082B7009">
        <w:instrText xml:space="preserve">" </w:instrText>
      </w:r>
      <w:r w:rsidR="082B7009">
        <w:fldChar w:fldCharType="end"/>
      </w:r>
      <w:r w:rsidR="082B7009" w:rsidRPr="00273106">
        <w:t xml:space="preserve"> a Husserla</w:t>
      </w:r>
      <w:r w:rsidR="082B7009">
        <w:fldChar w:fldCharType="begin"/>
      </w:r>
      <w:r w:rsidR="082B7009">
        <w:instrText xml:space="preserve"> XE "</w:instrText>
      </w:r>
      <w:r w:rsidR="082B7009" w:rsidRPr="000710C4">
        <w:instrText>Husserl, E.</w:instrText>
      </w:r>
      <w:r w:rsidR="082B7009">
        <w:instrText xml:space="preserve">" </w:instrText>
      </w:r>
      <w:r w:rsidR="082B7009">
        <w:fldChar w:fldCharType="end"/>
      </w:r>
      <w:r w:rsidR="082B7009" w:rsidRPr="00273106">
        <w:t xml:space="preserve"> umožňuje evidentní poznání </w:t>
      </w:r>
      <w:r w:rsidR="00562CBC">
        <w:t xml:space="preserve">světa </w:t>
      </w:r>
      <w:r w:rsidR="082B7009" w:rsidRPr="00273106">
        <w:t>(</w:t>
      </w:r>
      <w:r w:rsidR="082B7009" w:rsidRPr="00273106">
        <w:rPr>
          <w:i/>
        </w:rPr>
        <w:t>verissime et manifestissime cognoscit</w:t>
      </w:r>
      <w:r w:rsidR="082B7009" w:rsidRPr="00273106">
        <w:t xml:space="preserve">). Jistota poznání odpovídá dosažené úrovni vyšších nemateriálních substancí nazíraných v aktu osvíceného intelektu. První náhled </w:t>
      </w:r>
      <w:r w:rsidR="086534FE">
        <w:t>neoplatónského a augustin</w:t>
      </w:r>
      <w:r w:rsidR="08671885">
        <w:t>i</w:t>
      </w:r>
      <w:r w:rsidR="086534FE">
        <w:t xml:space="preserve">ánského </w:t>
      </w:r>
      <w:r w:rsidR="082B7009" w:rsidRPr="00273106">
        <w:t>oka duše je dán konfúzně v materiálních substancích. Evidentní poznání se nachází v čistých formách intelektu, jenž přijímá záření spirituálních forem. Intelekt má probudit duši k vyšší formě iluminace a poznání, jež leží ve světě oddělených forem a inteligencí, a nakonec v bohu jako dárci</w:t>
      </w:r>
      <w:r w:rsidR="082B7009">
        <w:t xml:space="preserve"> exemplarů a prvních principů poznání</w:t>
      </w:r>
      <w:r w:rsidR="082B7009" w:rsidRPr="00273106">
        <w:t>.</w:t>
      </w:r>
      <w:r w:rsidR="085F09C8">
        <w:t xml:space="preserve"> </w:t>
      </w:r>
      <w:r w:rsidR="005A2828" w:rsidRPr="005A2828">
        <w:t xml:space="preserve">Demiurgičtí ilumináti, svedeni silou svého paranoidního intelektu, se </w:t>
      </w:r>
      <w:r w:rsidR="005A2828">
        <w:t xml:space="preserve">postavili </w:t>
      </w:r>
      <w:r w:rsidR="005A2828" w:rsidRPr="005A2828">
        <w:t>na božské místo, které Parmen</w:t>
      </w:r>
      <w:r w:rsidR="005A2828">
        <w:t>ides vyhradil bohyni P</w:t>
      </w:r>
      <w:r w:rsidR="005A2828" w:rsidRPr="005A2828">
        <w:t>ravdy.</w:t>
      </w:r>
      <w:r w:rsidR="005A2828">
        <w:t xml:space="preserve"> </w:t>
      </w:r>
      <w:r w:rsidR="00A81142">
        <w:t>Grosseteste zakládá filosofii objektivity z</w:t>
      </w:r>
      <w:r w:rsidR="088F3D02">
        <w:t xml:space="preserve"> </w:t>
      </w:r>
      <w:r w:rsidR="0813375A">
        <w:t>této pozic</w:t>
      </w:r>
      <w:r w:rsidR="080529E3">
        <w:t xml:space="preserve">e </w:t>
      </w:r>
      <w:r w:rsidR="088F3D02">
        <w:t>božíh</w:t>
      </w:r>
      <w:r w:rsidR="00A81142">
        <w:t>o oka vybudované toletány</w:t>
      </w:r>
      <w:r w:rsidR="088F3D02">
        <w:rPr>
          <w:i/>
        </w:rPr>
        <w:fldChar w:fldCharType="begin"/>
      </w:r>
      <w:r w:rsidR="088F3D02">
        <w:instrText xml:space="preserve"> XE "objektivita:</w:instrText>
      </w:r>
      <w:r w:rsidR="088F3D02" w:rsidRPr="00807E55">
        <w:rPr>
          <w:i/>
        </w:rPr>
        <w:instrText>Anfang/Beginn</w:instrText>
      </w:r>
      <w:r w:rsidR="088F3D02">
        <w:instrText xml:space="preserve">" </w:instrText>
      </w:r>
      <w:r w:rsidR="088F3D02">
        <w:rPr>
          <w:i/>
        </w:rPr>
        <w:fldChar w:fldCharType="end"/>
      </w:r>
      <w:r w:rsidR="080529E3">
        <w:t xml:space="preserve">. </w:t>
      </w:r>
      <w:r w:rsidR="08922A53">
        <w:t xml:space="preserve">Záměna </w:t>
      </w:r>
      <w:r w:rsidR="08225C0A">
        <w:t xml:space="preserve">parousijní esence </w:t>
      </w:r>
      <w:r w:rsidR="08922A53">
        <w:t xml:space="preserve">za metafyziku </w:t>
      </w:r>
      <w:r w:rsidR="08225C0A">
        <w:t xml:space="preserve">substance </w:t>
      </w:r>
      <w:r w:rsidR="08922A53">
        <w:t xml:space="preserve">je daná v modu múzické nepravdy. </w:t>
      </w:r>
      <w:r w:rsidR="08AB541D">
        <w:t>Moderna je založena na mystické formě dedukce dané mytopoetickým</w:t>
      </w:r>
      <w:r w:rsidR="08AB541D">
        <w:fldChar w:fldCharType="begin"/>
      </w:r>
      <w:r w:rsidR="08AB541D">
        <w:instrText xml:space="preserve"> XE "</w:instrText>
      </w:r>
      <w:r w:rsidR="08AB541D" w:rsidRPr="08FB3CFA">
        <w:instrText>mytopoiesis</w:instrText>
      </w:r>
      <w:r w:rsidR="08AB541D">
        <w:instrText xml:space="preserve">" </w:instrText>
      </w:r>
      <w:r w:rsidR="08AB541D">
        <w:fldChar w:fldCharType="end"/>
      </w:r>
      <w:r w:rsidR="08AB541D">
        <w:t xml:space="preserve"> působením šalebných Múz</w:t>
      </w:r>
      <w:r w:rsidR="009D4CD6">
        <w:t>. Ty byly vyhnány</w:t>
      </w:r>
      <w:r w:rsidR="009D4CD6" w:rsidRPr="009D4CD6">
        <w:t xml:space="preserve"> z území mod</w:t>
      </w:r>
      <w:r w:rsidR="009D4CD6">
        <w:t>erní vědy zbavené reality, tak místo sebe poslali analytické F</w:t>
      </w:r>
      <w:r w:rsidR="009D4CD6" w:rsidRPr="009D4CD6">
        <w:t>úrie.</w:t>
      </w:r>
      <w:r w:rsidR="009D4CD6">
        <w:t xml:space="preserve"> </w:t>
      </w:r>
      <w:r w:rsidR="002F4D79">
        <w:t xml:space="preserve">Múzy řídí manifestaci falešných </w:t>
      </w:r>
      <w:r w:rsidR="08AB541D">
        <w:t xml:space="preserve">mystérií vědy a </w:t>
      </w:r>
      <w:r w:rsidR="002F4D79">
        <w:t xml:space="preserve">rozumu iluminátů </w:t>
      </w:r>
      <w:r w:rsidR="08AB541D">
        <w:t>z</w:t>
      </w:r>
      <w:r w:rsidR="002F4D79">
        <w:t xml:space="preserve">e skryté </w:t>
      </w:r>
      <w:r w:rsidR="08AB541D">
        <w:t>múzické pravdy bytí</w:t>
      </w:r>
      <w:r w:rsidR="002F4D79">
        <w:t xml:space="preserve">, která se ale manifestuje </w:t>
      </w:r>
      <w:r w:rsidR="08AB541D">
        <w:t xml:space="preserve">v Oxfordu </w:t>
      </w:r>
      <w:r w:rsidR="002F4D79">
        <w:t xml:space="preserve">od roku </w:t>
      </w:r>
      <w:r w:rsidR="08AB541D">
        <w:t xml:space="preserve">1230 </w:t>
      </w:r>
      <w:r w:rsidR="08AB541D">
        <w:lastRenderedPageBreak/>
        <w:t xml:space="preserve">skrze </w:t>
      </w:r>
      <w:r w:rsidR="008A3737">
        <w:t xml:space="preserve">chaotické </w:t>
      </w:r>
      <w:r w:rsidR="08AB541D">
        <w:t xml:space="preserve">Fúrie. </w:t>
      </w:r>
      <w:r w:rsidR="002F19CF">
        <w:t>A</w:t>
      </w:r>
      <w:r w:rsidR="08922A53">
        <w:t>rchaick</w:t>
      </w:r>
      <w:r w:rsidR="002F19CF">
        <w:t xml:space="preserve">á hermeneutika sleduje </w:t>
      </w:r>
      <w:r w:rsidR="08922A53">
        <w:t>původní působení božských sil</w:t>
      </w:r>
      <w:r w:rsidR="002F19CF">
        <w:t xml:space="preserve">. </w:t>
      </w:r>
      <w:r w:rsidR="002F4D79">
        <w:t>Smysl světa postav</w:t>
      </w:r>
      <w:r w:rsidR="0054455B">
        <w:t>e</w:t>
      </w:r>
      <w:r w:rsidR="002F4D79">
        <w:t xml:space="preserve">ný na </w:t>
      </w:r>
      <w:r w:rsidR="08922A53" w:rsidRPr="087D7330">
        <w:rPr>
          <w:i/>
        </w:rPr>
        <w:t>Oxfordian Fallacy</w:t>
      </w:r>
      <w:r w:rsidR="00A92D9F">
        <w:t xml:space="preserve"> </w:t>
      </w:r>
      <w:r w:rsidR="00856E0B">
        <w:t xml:space="preserve">představuje </w:t>
      </w:r>
      <w:r w:rsidR="00CE7FCE">
        <w:t xml:space="preserve">tragicky šílené </w:t>
      </w:r>
      <w:r w:rsidR="08922A53">
        <w:t>poznání reality</w:t>
      </w:r>
      <w:r w:rsidR="00BD40A7">
        <w:t xml:space="preserve"> (μανία)</w:t>
      </w:r>
      <w:r w:rsidR="08922A53">
        <w:t>.</w:t>
      </w:r>
    </w:p>
    <w:p w14:paraId="04F26696" w14:textId="0DBA91CB" w:rsidR="00933DBA" w:rsidRDefault="0835423C" w:rsidP="009D4CD6">
      <w:pPr>
        <w:ind w:firstLine="397"/>
      </w:pPr>
      <w:r>
        <w:t xml:space="preserve">Grossteteste vykládá </w:t>
      </w:r>
      <w:r w:rsidRPr="0835423C">
        <w:rPr>
          <w:i/>
        </w:rPr>
        <w:t>Druhé analytiky</w:t>
      </w:r>
      <w:r>
        <w:t xml:space="preserve"> podle abstrakce v modu porretánské logiky a ne podle abstrakce v modu aristotelské metafyziky. </w:t>
      </w:r>
      <w:r w:rsidR="08E30BF5">
        <w:t xml:space="preserve">Jeho výklad poprvé spojil myšlení </w:t>
      </w:r>
      <w:r w:rsidR="085C7E13">
        <w:t xml:space="preserve">škol </w:t>
      </w:r>
      <w:r w:rsidR="08E30BF5">
        <w:t xml:space="preserve">v rámci </w:t>
      </w:r>
      <w:r w:rsidR="08E30BF5" w:rsidRPr="08E30BF5">
        <w:rPr>
          <w:i/>
        </w:rPr>
        <w:t>logica Modernorum</w:t>
      </w:r>
      <w:r w:rsidR="08E30BF5">
        <w:t xml:space="preserve"> s aristotelským pojetím vědy. </w:t>
      </w:r>
      <w:r w:rsidR="085F09C8">
        <w:t xml:space="preserve">Spis </w:t>
      </w:r>
      <w:r w:rsidR="085F09C8" w:rsidRPr="00A22E5D">
        <w:rPr>
          <w:i/>
        </w:rPr>
        <w:t>Druhé analytiky</w:t>
      </w:r>
      <w:r w:rsidR="085F09C8">
        <w:t xml:space="preserve"> </w:t>
      </w:r>
      <w:r w:rsidR="081F08A0">
        <w:t xml:space="preserve">opravdu </w:t>
      </w:r>
      <w:r w:rsidR="085F09C8">
        <w:t>obsahuje</w:t>
      </w:r>
      <w:r w:rsidR="085F09C8" w:rsidRPr="00273106">
        <w:t xml:space="preserve"> </w:t>
      </w:r>
      <w:r w:rsidR="085F09C8">
        <w:t>t</w:t>
      </w:r>
      <w:r w:rsidR="085F09C8" w:rsidRPr="00273106">
        <w:t xml:space="preserve">vrzení o přímém intelektuálním náhledu do premis soudu (ὑπόληψις τῆς ἀμέσου προτάσεως, </w:t>
      </w:r>
      <w:r w:rsidR="085F09C8" w:rsidRPr="00273106">
        <w:rPr>
          <w:i/>
        </w:rPr>
        <w:t>Anal. Post</w:t>
      </w:r>
      <w:r w:rsidR="085F09C8" w:rsidRPr="00273106">
        <w:t>. 88b37</w:t>
      </w:r>
      <w:r w:rsidR="085F09C8">
        <w:fldChar w:fldCharType="begin"/>
      </w:r>
      <w:r w:rsidR="085F09C8">
        <w:instrText xml:space="preserve"> XE "Aristoteles:</w:instrText>
      </w:r>
      <w:r w:rsidR="085F09C8" w:rsidRPr="00F07B90">
        <w:rPr>
          <w:i/>
        </w:rPr>
        <w:instrText>Anal. Post</w:instrText>
      </w:r>
      <w:r w:rsidR="085F09C8" w:rsidRPr="00F07B90">
        <w:instrText>. 88b37</w:instrText>
      </w:r>
      <w:r w:rsidR="085F09C8">
        <w:instrText xml:space="preserve">" </w:instrText>
      </w:r>
      <w:r w:rsidR="085F09C8">
        <w:fldChar w:fldCharType="end"/>
      </w:r>
      <w:r w:rsidR="085F09C8" w:rsidRPr="00273106">
        <w:t>)</w:t>
      </w:r>
      <w:r w:rsidR="081725AF">
        <w:t xml:space="preserve">. </w:t>
      </w:r>
      <w:r w:rsidR="002628B3">
        <w:t>P</w:t>
      </w:r>
      <w:r w:rsidR="085F09C8" w:rsidRPr="00273106">
        <w:t xml:space="preserve">římý náhled </w:t>
      </w:r>
      <w:r w:rsidR="085F09C8">
        <w:t xml:space="preserve">do spojení premis </w:t>
      </w:r>
      <w:r w:rsidR="081725AF">
        <w:t xml:space="preserve">vědeckého </w:t>
      </w:r>
      <w:r w:rsidR="085F09C8">
        <w:t xml:space="preserve">soudu </w:t>
      </w:r>
      <w:r w:rsidR="085F09C8" w:rsidRPr="00273106">
        <w:t xml:space="preserve">je </w:t>
      </w:r>
      <w:r w:rsidR="085C7E13">
        <w:t xml:space="preserve">ale </w:t>
      </w:r>
      <w:r w:rsidR="085F09C8" w:rsidRPr="00273106">
        <w:t xml:space="preserve">vždy napojen na aktualitu první substance dané bezprostředně. </w:t>
      </w:r>
      <w:r w:rsidR="085F09C8">
        <w:t xml:space="preserve">Aristoteles </w:t>
      </w:r>
      <w:r w:rsidR="085F09C8" w:rsidRPr="00273106">
        <w:t xml:space="preserve"> chválí schopnost bystré mysli postřehnout závěr bez </w:t>
      </w:r>
      <w:r w:rsidR="085F09C8">
        <w:t>sylo</w:t>
      </w:r>
      <w:r w:rsidR="085F09C8" w:rsidRPr="00273106">
        <w:t xml:space="preserve">gismu, tedy tak, jak bezprostředně dán v realitě (ἀγχίνοιά ἐστιν εὐστοχία τις ἐν ἀσκέπτῳ χρόνῳ τοῦ μέσου, </w:t>
      </w:r>
      <w:r w:rsidR="085F09C8" w:rsidRPr="00273106">
        <w:rPr>
          <w:i/>
        </w:rPr>
        <w:t>Anal. Post</w:t>
      </w:r>
      <w:r w:rsidR="085F09C8" w:rsidRPr="00273106">
        <w:t>. 89b10‒11</w:t>
      </w:r>
      <w:r w:rsidR="085F09C8">
        <w:fldChar w:fldCharType="begin"/>
      </w:r>
      <w:r w:rsidR="085F09C8">
        <w:instrText xml:space="preserve"> XE "Aristoteles:</w:instrText>
      </w:r>
      <w:r w:rsidR="085F09C8" w:rsidRPr="000C5917">
        <w:rPr>
          <w:i/>
        </w:rPr>
        <w:instrText>Anal. Post</w:instrText>
      </w:r>
      <w:r w:rsidR="085F09C8" w:rsidRPr="000C5917">
        <w:instrText>. 89b10‒11</w:instrText>
      </w:r>
      <w:r w:rsidR="085F09C8">
        <w:instrText xml:space="preserve">" </w:instrText>
      </w:r>
      <w:r w:rsidR="085F09C8">
        <w:fldChar w:fldCharType="end"/>
      </w:r>
      <w:r w:rsidR="085F09C8" w:rsidRPr="00273106">
        <w:t>).</w:t>
      </w:r>
      <w:r w:rsidR="085F09C8">
        <w:t xml:space="preserve"> Tuto </w:t>
      </w:r>
      <w:r w:rsidR="08CF59A6">
        <w:t>pasáž</w:t>
      </w:r>
      <w:r w:rsidR="085F09C8">
        <w:t xml:space="preserve"> </w:t>
      </w:r>
      <w:r w:rsidR="085F09C8" w:rsidRPr="00273106">
        <w:t xml:space="preserve">je </w:t>
      </w:r>
      <w:r w:rsidR="085C7E13">
        <w:t xml:space="preserve">však </w:t>
      </w:r>
      <w:r w:rsidR="085F09C8" w:rsidRPr="00273106">
        <w:t xml:space="preserve">třeba číst podle </w:t>
      </w:r>
      <w:r w:rsidR="085F09C8">
        <w:t xml:space="preserve">celkového záměru </w:t>
      </w:r>
      <w:r w:rsidR="085F09C8" w:rsidRPr="00273106">
        <w:t>Aristotela</w:t>
      </w:r>
      <w:r w:rsidR="085F09C8">
        <w:t xml:space="preserve">. Způsob vědeckého poznání musí být </w:t>
      </w:r>
      <w:r w:rsidR="085F09C8" w:rsidRPr="00273106">
        <w:t xml:space="preserve">v souladu s hyparchickým postavením první a druhé substance v </w:t>
      </w:r>
      <w:r w:rsidR="085F09C8" w:rsidRPr="00A90E20">
        <w:rPr>
          <w:i/>
        </w:rPr>
        <w:t>Kategoriích</w:t>
      </w:r>
      <w:r w:rsidR="085F09C8">
        <w:t xml:space="preserve">, musí odpovídat </w:t>
      </w:r>
      <w:r w:rsidR="085F09C8" w:rsidRPr="00273106">
        <w:t>teori</w:t>
      </w:r>
      <w:r w:rsidR="085F09C8">
        <w:t>i poznání a intelektu dané</w:t>
      </w:r>
      <w:r w:rsidR="085F09C8" w:rsidRPr="00273106">
        <w:t xml:space="preserve"> v </w:t>
      </w:r>
      <w:r w:rsidR="085F09C8">
        <w:rPr>
          <w:i/>
        </w:rPr>
        <w:t>De anima</w:t>
      </w:r>
      <w:r w:rsidR="085F09C8" w:rsidRPr="00273106">
        <w:t xml:space="preserve"> </w:t>
      </w:r>
      <w:r w:rsidR="085F09C8">
        <w:t>a musí hledat jednotu jsoucna podle „meta</w:t>
      </w:r>
      <w:r w:rsidR="085F09C8">
        <w:noBreakHyphen/>
        <w:t>fyziky“ první substance dané skrze metafyzickou abstrakci</w:t>
      </w:r>
      <w:r w:rsidR="085F09C8" w:rsidRPr="00273106">
        <w:t>.</w:t>
      </w:r>
      <w:r w:rsidR="085F09C8">
        <w:t xml:space="preserve"> </w:t>
      </w:r>
      <w:r w:rsidR="082B7009" w:rsidRPr="00273106">
        <w:t xml:space="preserve">Oxfordská škola navázala výklad </w:t>
      </w:r>
      <w:r w:rsidR="082B7009" w:rsidRPr="00A2772F">
        <w:rPr>
          <w:i/>
        </w:rPr>
        <w:t>Druhých analytik</w:t>
      </w:r>
      <w:r w:rsidR="082B7009" w:rsidRPr="00273106">
        <w:t xml:space="preserve"> na pojetí </w:t>
      </w:r>
      <w:r w:rsidR="082B7009">
        <w:t xml:space="preserve">subsistentní </w:t>
      </w:r>
      <w:r w:rsidR="00D24C1B">
        <w:t>esence od Gilberta</w:t>
      </w:r>
      <w:r w:rsidR="082B7009" w:rsidRPr="00273106">
        <w:t xml:space="preserve"> (</w:t>
      </w:r>
      <w:r w:rsidR="082B7009" w:rsidRPr="00273106">
        <w:rPr>
          <w:i/>
        </w:rPr>
        <w:t>esse namque subsistentia est, non substantia</w:t>
      </w:r>
      <w:r w:rsidR="082B7009" w:rsidRPr="00273106">
        <w:t>) a sp</w:t>
      </w:r>
      <w:r w:rsidR="08671885">
        <w:t>ojila jej s avicennismem (kap. 1</w:t>
      </w:r>
      <w:r w:rsidR="082B7009" w:rsidRPr="00273106">
        <w:t>.4). Zapojením substance třetího druhu do schématu poznání vznikla analytická filosofie Západu</w:t>
      </w:r>
      <w:r w:rsidR="00676282">
        <w:t>. D</w:t>
      </w:r>
      <w:r w:rsidR="082B7009">
        <w:t>alší generac</w:t>
      </w:r>
      <w:r w:rsidR="00676282">
        <w:t>e</w:t>
      </w:r>
      <w:r w:rsidR="082B7009">
        <w:t xml:space="preserve"> po Grossetestem ustavila </w:t>
      </w:r>
      <w:r w:rsidR="082B7009" w:rsidRPr="00273106">
        <w:t>dualismus duše a těla</w:t>
      </w:r>
      <w:r w:rsidR="082B7009">
        <w:t xml:space="preserve"> v modu univerzálního hylemorfismu. První forma tohoto dualismu vznikla </w:t>
      </w:r>
      <w:r w:rsidR="081725AF">
        <w:t>ve stejné době také v</w:t>
      </w:r>
      <w:r w:rsidR="00CD4615">
        <w:t> </w:t>
      </w:r>
      <w:r w:rsidR="081725AF">
        <w:t>Paříži</w:t>
      </w:r>
      <w:r w:rsidR="00CD4615">
        <w:t>,</w:t>
      </w:r>
      <w:r w:rsidR="081725AF">
        <w:t xml:space="preserve"> a to </w:t>
      </w:r>
      <w:r w:rsidR="082B7009" w:rsidRPr="00273106">
        <w:t xml:space="preserve">v rámci augustiniánského avicennismu v </w:t>
      </w:r>
      <w:r w:rsidR="082B7009">
        <w:t xml:space="preserve">dílech typu </w:t>
      </w:r>
      <w:r w:rsidR="088D5BB1">
        <w:rPr>
          <w:i/>
        </w:rPr>
        <w:t>Summa D</w:t>
      </w:r>
      <w:r w:rsidR="082B7009" w:rsidRPr="00273106">
        <w:rPr>
          <w:i/>
        </w:rPr>
        <w:t>uacensis</w:t>
      </w:r>
      <w:r w:rsidR="082B7009">
        <w:rPr>
          <w:i/>
        </w:rPr>
        <w:fldChar w:fldCharType="begin"/>
      </w:r>
      <w:r w:rsidR="082B7009">
        <w:instrText xml:space="preserve"> XE "</w:instrText>
      </w:r>
      <w:r w:rsidR="088D5BB1">
        <w:rPr>
          <w:i/>
        </w:rPr>
        <w:instrText>Summa D</w:instrText>
      </w:r>
      <w:r w:rsidR="082B7009" w:rsidRPr="007D0522">
        <w:rPr>
          <w:i/>
        </w:rPr>
        <w:instrText>uacensis</w:instrText>
      </w:r>
      <w:r w:rsidR="082B7009">
        <w:instrText xml:space="preserve">" </w:instrText>
      </w:r>
      <w:r w:rsidR="082B7009">
        <w:rPr>
          <w:i/>
        </w:rPr>
        <w:fldChar w:fldCharType="end"/>
      </w:r>
      <w:r w:rsidR="08671885">
        <w:t xml:space="preserve"> (kap. 2</w:t>
      </w:r>
      <w:r w:rsidR="082B7009">
        <w:t>.2.2).</w:t>
      </w:r>
      <w:r w:rsidR="085F09C8">
        <w:t xml:space="preserve"> Grosseteste </w:t>
      </w:r>
      <w:r w:rsidR="085F09C8" w:rsidRPr="00273106">
        <w:t xml:space="preserve">opakuje </w:t>
      </w:r>
      <w:r w:rsidR="085F09C8">
        <w:t>v epoše scholastického zatmění první substance</w:t>
      </w:r>
      <w:r w:rsidR="085F09C8">
        <w:fldChar w:fldCharType="begin"/>
      </w:r>
      <w:r w:rsidR="085F09C8">
        <w:instrText xml:space="preserve"> XE "</w:instrText>
      </w:r>
      <w:r w:rsidR="085F09C8" w:rsidRPr="00C27681">
        <w:instrText>zatmění</w:instrText>
      </w:r>
      <w:r w:rsidR="085F09C8">
        <w:instrText>:</w:instrText>
      </w:r>
      <w:r w:rsidR="085F09C8" w:rsidRPr="00C27681">
        <w:instrText>substance</w:instrText>
      </w:r>
      <w:r w:rsidR="085F09C8">
        <w:instrText xml:space="preserve">" </w:instrText>
      </w:r>
      <w:r w:rsidR="085F09C8">
        <w:fldChar w:fldCharType="end"/>
      </w:r>
      <w:r w:rsidR="085F09C8">
        <w:t xml:space="preserve"> antický neoplatonsk</w:t>
      </w:r>
      <w:r w:rsidR="085F09C8" w:rsidRPr="00273106">
        <w:t xml:space="preserve">ý scénář </w:t>
      </w:r>
      <w:r w:rsidR="085F09C8" w:rsidRPr="00273106">
        <w:rPr>
          <w:rStyle w:val="st"/>
        </w:rPr>
        <w:t xml:space="preserve">zdvojeného bytí podle </w:t>
      </w:r>
      <w:r w:rsidR="085F09C8">
        <w:rPr>
          <w:rStyle w:val="st"/>
        </w:rPr>
        <w:t>Porfyri</w:t>
      </w:r>
      <w:r w:rsidR="085F09C8" w:rsidRPr="00273106">
        <w:rPr>
          <w:rStyle w:val="st"/>
        </w:rPr>
        <w:t>a (</w:t>
      </w:r>
      <w:r w:rsidR="08671885">
        <w:rPr>
          <w:rStyle w:val="st"/>
        </w:rPr>
        <w:t xml:space="preserve">OBJ I, </w:t>
      </w:r>
      <w:r w:rsidR="085F09C8" w:rsidRPr="00273106">
        <w:rPr>
          <w:rStyle w:val="st"/>
        </w:rPr>
        <w:t xml:space="preserve">kap. 2.3.3). </w:t>
      </w:r>
      <w:r w:rsidR="00BB6444">
        <w:t xml:space="preserve">Výklad </w:t>
      </w:r>
      <w:r w:rsidR="00BB6444" w:rsidRPr="00BB6444">
        <w:rPr>
          <w:i/>
        </w:rPr>
        <w:t>Organonu</w:t>
      </w:r>
      <w:r w:rsidR="00BB6444">
        <w:t xml:space="preserve"> </w:t>
      </w:r>
      <w:r w:rsidR="08F459A4">
        <w:t xml:space="preserve">a speciálně </w:t>
      </w:r>
      <w:r w:rsidR="08F459A4" w:rsidRPr="08F459A4">
        <w:rPr>
          <w:i/>
        </w:rPr>
        <w:t>Druhých analytik</w:t>
      </w:r>
      <w:r w:rsidR="08F459A4">
        <w:t xml:space="preserve"> </w:t>
      </w:r>
      <w:r w:rsidR="00BB6444">
        <w:t>podle Toledské školy byl zásadně chybný v klíčovém bodu</w:t>
      </w:r>
      <w:r w:rsidR="08F459A4">
        <w:t xml:space="preserve"> </w:t>
      </w:r>
      <w:r w:rsidR="085E1194">
        <w:t>poda</w:t>
      </w:r>
      <w:r w:rsidR="08A85C2B">
        <w:t xml:space="preserve">ném výše </w:t>
      </w:r>
      <w:r w:rsidR="08F459A4">
        <w:t>(</w:t>
      </w:r>
      <w:r w:rsidR="08F459A4" w:rsidRPr="00273106">
        <w:rPr>
          <w:i/>
        </w:rPr>
        <w:t>Anal. Post</w:t>
      </w:r>
      <w:r w:rsidR="08F459A4">
        <w:t>. 84a11‒12</w:t>
      </w:r>
      <w:r w:rsidR="08F459A4">
        <w:fldChar w:fldCharType="begin"/>
      </w:r>
      <w:r w:rsidR="08F459A4">
        <w:instrText xml:space="preserve"> XE "Aristoteles:</w:instrText>
      </w:r>
      <w:r w:rsidR="08F459A4" w:rsidRPr="088C0C39">
        <w:rPr>
          <w:i/>
        </w:rPr>
        <w:instrText>Anal. Post</w:instrText>
      </w:r>
      <w:r w:rsidR="08F459A4" w:rsidRPr="088C0C39">
        <w:instrText>. 84a</w:instrText>
      </w:r>
      <w:r w:rsidR="08F459A4">
        <w:instrText>11‒</w:instrText>
      </w:r>
      <w:r w:rsidR="08F459A4" w:rsidRPr="088C0C39">
        <w:instrText>12</w:instrText>
      </w:r>
      <w:r w:rsidR="08F459A4">
        <w:instrText xml:space="preserve">" </w:instrText>
      </w:r>
      <w:r w:rsidR="08F459A4">
        <w:fldChar w:fldCharType="end"/>
      </w:r>
      <w:r w:rsidR="08F459A4">
        <w:t>)</w:t>
      </w:r>
      <w:r w:rsidR="08A85C2B">
        <w:t xml:space="preserve">. Na chybu porretánů </w:t>
      </w:r>
      <w:r w:rsidR="00BB6444">
        <w:t xml:space="preserve"> </w:t>
      </w:r>
      <w:r w:rsidR="08517696">
        <w:t>už předtím upozornily</w:t>
      </w:r>
      <w:r w:rsidR="00BB6444">
        <w:t xml:space="preserve"> </w:t>
      </w:r>
      <w:r w:rsidR="08517696">
        <w:t xml:space="preserve">klasické </w:t>
      </w:r>
      <w:r w:rsidR="00BB6444">
        <w:t>škol</w:t>
      </w:r>
      <w:r w:rsidR="08517696">
        <w:t xml:space="preserve">y </w:t>
      </w:r>
      <w:r w:rsidR="08000411">
        <w:rPr>
          <w:i/>
        </w:rPr>
        <w:t>logica V</w:t>
      </w:r>
      <w:r w:rsidR="00BB6444" w:rsidRPr="00BB6444">
        <w:rPr>
          <w:i/>
        </w:rPr>
        <w:t>etus</w:t>
      </w:r>
      <w:r w:rsidR="082214EB">
        <w:rPr>
          <w:i/>
        </w:rPr>
        <w:fldChar w:fldCharType="begin"/>
      </w:r>
      <w:r w:rsidR="082214EB">
        <w:instrText xml:space="preserve"> XE "</w:instrText>
      </w:r>
      <w:r w:rsidR="08000411">
        <w:rPr>
          <w:i/>
        </w:rPr>
        <w:instrText>logica V</w:instrText>
      </w:r>
      <w:r w:rsidR="082214EB" w:rsidRPr="088B6F4C">
        <w:rPr>
          <w:i/>
        </w:rPr>
        <w:instrText>etus</w:instrText>
      </w:r>
      <w:r w:rsidR="082214EB">
        <w:instrText xml:space="preserve">" </w:instrText>
      </w:r>
      <w:r w:rsidR="082214EB">
        <w:rPr>
          <w:i/>
        </w:rPr>
        <w:fldChar w:fldCharType="end"/>
      </w:r>
      <w:r w:rsidR="00BB6444">
        <w:t xml:space="preserve">. </w:t>
      </w:r>
      <w:r w:rsidR="00535F56">
        <w:t>Moderna není schopná rozlišovat mezi logickou</w:t>
      </w:r>
      <w:r w:rsidR="08A85C2B">
        <w:t xml:space="preserve"> a meta</w:t>
      </w:r>
      <w:r w:rsidR="00535F56">
        <w:t>fyzickou</w:t>
      </w:r>
      <w:r w:rsidR="08960E39">
        <w:t xml:space="preserve"> abstrakc</w:t>
      </w:r>
      <w:r w:rsidR="00535F56">
        <w:t>í. Jde o typický příklad sofismatu „</w:t>
      </w:r>
      <w:r w:rsidR="08960E39" w:rsidRPr="08960E39">
        <w:rPr>
          <w:i/>
        </w:rPr>
        <w:t>fallacia secundum quid et simpliciter</w:t>
      </w:r>
      <w:r w:rsidR="08960E39">
        <w:rPr>
          <w:i/>
        </w:rPr>
        <w:fldChar w:fldCharType="begin"/>
      </w:r>
      <w:r w:rsidR="08960E39">
        <w:instrText xml:space="preserve"> XE "</w:instrText>
      </w:r>
      <w:r w:rsidR="08960E39" w:rsidRPr="086375F3">
        <w:rPr>
          <w:i/>
        </w:rPr>
        <w:instrText>fallacia secundum quid et simpliciter</w:instrText>
      </w:r>
      <w:r w:rsidR="08960E39">
        <w:instrText xml:space="preserve">" </w:instrText>
      </w:r>
      <w:r w:rsidR="08960E39">
        <w:rPr>
          <w:i/>
        </w:rPr>
        <w:fldChar w:fldCharType="end"/>
      </w:r>
      <w:r w:rsidR="00535F56">
        <w:t>“.</w:t>
      </w:r>
    </w:p>
    <w:p w14:paraId="218E0DD0" w14:textId="17EAE167" w:rsidR="08E61428" w:rsidRPr="00273106" w:rsidRDefault="005A713A" w:rsidP="000758CC">
      <w:pPr>
        <w:ind w:firstLine="397"/>
      </w:pPr>
      <w:r w:rsidRPr="00273106">
        <w:t xml:space="preserve">Školy typu </w:t>
      </w:r>
      <w:r w:rsidRPr="00273106">
        <w:rPr>
          <w:i/>
        </w:rPr>
        <w:t>logica Modernorum</w:t>
      </w:r>
      <w:r w:rsidR="00667210">
        <w:rPr>
          <w:i/>
        </w:rPr>
        <w:fldChar w:fldCharType="begin"/>
      </w:r>
      <w:r w:rsidR="00667210">
        <w:instrText xml:space="preserve"> XE "</w:instrText>
      </w:r>
      <w:r w:rsidR="00667210" w:rsidRPr="001100BE">
        <w:rPr>
          <w:i/>
        </w:rPr>
        <w:instrText>logica Modernorum</w:instrText>
      </w:r>
      <w:r w:rsidR="00667210">
        <w:instrText xml:space="preserve">" </w:instrText>
      </w:r>
      <w:r w:rsidR="00667210">
        <w:rPr>
          <w:i/>
        </w:rPr>
        <w:fldChar w:fldCharType="end"/>
      </w:r>
      <w:r w:rsidR="086363F9">
        <w:t xml:space="preserve"> a po nich </w:t>
      </w:r>
      <w:r w:rsidR="088B0D3A">
        <w:t>Grosseteste, Kilwardby a R</w:t>
      </w:r>
      <w:r w:rsidR="00124ECB">
        <w:t xml:space="preserve">ufus </w:t>
      </w:r>
      <w:r w:rsidRPr="00273106">
        <w:t>z</w:t>
      </w:r>
      <w:r w:rsidR="00124ECB">
        <w:t>měnili pořadí základních axiomů zkoumání</w:t>
      </w:r>
      <w:r w:rsidR="008D0EB9">
        <w:fldChar w:fldCharType="begin"/>
      </w:r>
      <w:r w:rsidR="008D0EB9">
        <w:instrText xml:space="preserve"> XE "princip </w:instrText>
      </w:r>
      <w:r w:rsidR="08D91F67">
        <w:rPr>
          <w:i/>
        </w:rPr>
        <w:instrText>ex in</w:instrText>
      </w:r>
      <w:r w:rsidR="008D0EB9" w:rsidRPr="00FB2CE7">
        <w:rPr>
          <w:i/>
        </w:rPr>
        <w:instrText>mediatis</w:instrText>
      </w:r>
      <w:r w:rsidR="008D0EB9">
        <w:instrText xml:space="preserve">" </w:instrText>
      </w:r>
      <w:r w:rsidR="008D0EB9">
        <w:fldChar w:fldCharType="end"/>
      </w:r>
      <w:r w:rsidRPr="00273106">
        <w:t xml:space="preserve">, </w:t>
      </w:r>
      <w:r w:rsidRPr="00273106">
        <w:lastRenderedPageBreak/>
        <w:t xml:space="preserve">což odmítl Albert </w:t>
      </w:r>
      <w:r w:rsidR="009343A4">
        <w:t xml:space="preserve">ve spise </w:t>
      </w:r>
      <w:r w:rsidR="009343A4" w:rsidRPr="009343A4">
        <w:rPr>
          <w:i/>
        </w:rPr>
        <w:t>De homine</w:t>
      </w:r>
      <w:r w:rsidR="009343A4">
        <w:t xml:space="preserve"> </w:t>
      </w:r>
      <w:r w:rsidR="083A2200">
        <w:t>(kap. 2</w:t>
      </w:r>
      <w:r w:rsidRPr="00273106">
        <w:t xml:space="preserve">.4.1). </w:t>
      </w:r>
      <w:r w:rsidR="00FF7EAA">
        <w:t xml:space="preserve">Logik </w:t>
      </w:r>
      <w:r w:rsidR="00820F18">
        <w:t xml:space="preserve">a matematik </w:t>
      </w:r>
      <w:r w:rsidR="0881121F">
        <w:t xml:space="preserve">predikující v oboru logické abstrakce si </w:t>
      </w:r>
      <w:r w:rsidR="00820F18">
        <w:t>ne</w:t>
      </w:r>
      <w:r w:rsidR="088E7A98">
        <w:t>uvědomuje</w:t>
      </w:r>
      <w:r w:rsidR="00FF7EAA">
        <w:t xml:space="preserve">, že jeho pojetí abstrakce je dáno v modu supozice dané </w:t>
      </w:r>
      <w:r w:rsidR="00FF7EAA" w:rsidRPr="00FF7EAA">
        <w:rPr>
          <w:i/>
        </w:rPr>
        <w:t>simpliciter</w:t>
      </w:r>
      <w:r w:rsidR="0881121F">
        <w:t xml:space="preserve"> mimo metafyzickou abstrakci. </w:t>
      </w:r>
      <w:r w:rsidR="000758CC">
        <w:t xml:space="preserve">Logici pravdiví v rámci své genericky dané vědy provedli </w:t>
      </w:r>
      <w:r w:rsidR="00FF7EAA">
        <w:t>neoprávněný skok do kategoriální predikace</w:t>
      </w:r>
      <w:r w:rsidR="000A42F7">
        <w:t xml:space="preserve"> metafyziky. Ve sféře metafyzické abstrakce určuje </w:t>
      </w:r>
      <w:r w:rsidR="00FF7EAA">
        <w:t xml:space="preserve">signifikaci </w:t>
      </w:r>
      <w:r w:rsidR="000A42F7">
        <w:t xml:space="preserve">jedině a pouze </w:t>
      </w:r>
      <w:r w:rsidR="00FF7EAA">
        <w:t>impozice významu od reálně pozn</w:t>
      </w:r>
      <w:r w:rsidR="007B68A6">
        <w:t>a</w:t>
      </w:r>
      <w:r w:rsidR="00FF7EAA">
        <w:t>né první substance</w:t>
      </w:r>
      <w:r w:rsidR="007B68A6">
        <w:t xml:space="preserve"> v modu </w:t>
      </w:r>
      <w:r w:rsidR="007B68A6" w:rsidRPr="00D82095">
        <w:rPr>
          <w:i/>
        </w:rPr>
        <w:t>secundum quid</w:t>
      </w:r>
      <w:r w:rsidR="00FF7EAA">
        <w:t xml:space="preserve">. </w:t>
      </w:r>
      <w:r w:rsidR="000F7C3B">
        <w:t xml:space="preserve">Mrtvola není člověk, protože impozice významu „člověk“ </w:t>
      </w:r>
      <w:r w:rsidR="006B26C7">
        <w:t xml:space="preserve">dává kategoriální výpověď metafyziky vztaženou k </w:t>
      </w:r>
      <w:r w:rsidR="00F95CA2">
        <w:t xml:space="preserve">žijící </w:t>
      </w:r>
      <w:r w:rsidR="006B26C7">
        <w:t>osobě</w:t>
      </w:r>
      <w:r w:rsidR="000F7C3B">
        <w:rPr>
          <w:i/>
        </w:rPr>
        <w:fldChar w:fldCharType="begin"/>
      </w:r>
      <w:r w:rsidR="000F7C3B">
        <w:instrText xml:space="preserve"> XE "sofisma člověk-mrtvola" </w:instrText>
      </w:r>
      <w:r w:rsidR="000F7C3B">
        <w:rPr>
          <w:i/>
        </w:rPr>
        <w:fldChar w:fldCharType="end"/>
      </w:r>
      <w:r w:rsidR="000F7C3B">
        <w:t xml:space="preserve">. </w:t>
      </w:r>
      <w:r w:rsidR="00CC1469" w:rsidRPr="00273106">
        <w:t>Albert Veliký</w:t>
      </w:r>
      <w:r w:rsidR="00CC1469">
        <w:t xml:space="preserve"> a </w:t>
      </w:r>
      <w:r w:rsidR="00CC1469" w:rsidRPr="00273106">
        <w:t>Roger Bacon</w:t>
      </w:r>
      <w:r w:rsidR="00CC1469">
        <w:t xml:space="preserve"> odmítli </w:t>
      </w:r>
      <w:r w:rsidR="006E2D3F">
        <w:t>zrušení impozice</w:t>
      </w:r>
      <w:r w:rsidR="00CC1469">
        <w:t xml:space="preserve"> a její nahrazení logickou</w:t>
      </w:r>
      <w:r w:rsidR="00C35FCD">
        <w:t xml:space="preserve"> abstrakc</w:t>
      </w:r>
      <w:r w:rsidR="00CC1469">
        <w:t>í</w:t>
      </w:r>
      <w:r w:rsidR="00B241D1" w:rsidRPr="00273106">
        <w:t xml:space="preserve">. Z </w:t>
      </w:r>
      <w:r w:rsidR="00507DF0">
        <w:t xml:space="preserve">logiky a </w:t>
      </w:r>
      <w:r w:rsidR="008C6D90">
        <w:t>matematiky nelze přejít do metafyziky, pouze z metafyziky</w:t>
      </w:r>
      <w:r w:rsidR="00B241D1" w:rsidRPr="00273106">
        <w:t xml:space="preserve"> do </w:t>
      </w:r>
      <w:r w:rsidR="00507DF0">
        <w:t>logiky</w:t>
      </w:r>
      <w:r w:rsidR="00B241D1" w:rsidRPr="00273106">
        <w:t xml:space="preserve">. </w:t>
      </w:r>
      <w:r w:rsidR="085D6BAD">
        <w:t xml:space="preserve">Proto musí rozum sledovat neměnnou dráhu slunce po obloze, aby mohl určit reálné příčiny jejího zatmění. </w:t>
      </w:r>
      <w:r w:rsidR="082A0B7A">
        <w:t xml:space="preserve">Škola </w:t>
      </w:r>
      <w:r w:rsidR="00B241D1" w:rsidRPr="00273106">
        <w:rPr>
          <w:i/>
        </w:rPr>
        <w:t>Oxfordian Fallacy</w:t>
      </w:r>
      <w:r w:rsidR="00B241D1" w:rsidRPr="00273106">
        <w:t xml:space="preserve"> </w:t>
      </w:r>
      <w:r w:rsidR="082A0B7A">
        <w:t xml:space="preserve">provedla </w:t>
      </w:r>
      <w:r w:rsidR="00B241D1" w:rsidRPr="00273106">
        <w:t xml:space="preserve">chybnou predikaci </w:t>
      </w:r>
      <w:r w:rsidR="00B241D1" w:rsidRPr="00273106">
        <w:rPr>
          <w:i/>
        </w:rPr>
        <w:t>secundum quid</w:t>
      </w:r>
      <w:r w:rsidR="00B241D1" w:rsidRPr="00273106">
        <w:t>, protože zrušila hyparchické postavení první substance</w:t>
      </w:r>
      <w:r w:rsidR="00A70FA4">
        <w:fldChar w:fldCharType="begin"/>
      </w:r>
      <w:r w:rsidR="00A70FA4">
        <w:instrText xml:space="preserve"> XE "</w:instrText>
      </w:r>
      <w:r w:rsidR="00A70FA4" w:rsidRPr="00DE2A32">
        <w:instrText>substance</w:instrText>
      </w:r>
      <w:r w:rsidR="00BE3958">
        <w:instrText>:první</w:instrText>
      </w:r>
      <w:r w:rsidR="00A70FA4">
        <w:instrText xml:space="preserve">" </w:instrText>
      </w:r>
      <w:r w:rsidR="00A70FA4">
        <w:fldChar w:fldCharType="end"/>
      </w:r>
      <w:r w:rsidR="00B241D1" w:rsidRPr="00273106">
        <w:t xml:space="preserve">. Realitu determinovanou bytím první substance </w:t>
      </w:r>
      <w:r w:rsidR="00B241D1" w:rsidRPr="00273106">
        <w:rPr>
          <w:i/>
        </w:rPr>
        <w:t>per se</w:t>
      </w:r>
      <w:r w:rsidR="00B241D1" w:rsidRPr="00273106">
        <w:t xml:space="preserve"> vyměnila </w:t>
      </w:r>
      <w:r w:rsidR="002D3E94">
        <w:t xml:space="preserve">za </w:t>
      </w:r>
      <w:r w:rsidR="00EE1741">
        <w:t xml:space="preserve">čistě </w:t>
      </w:r>
      <w:r w:rsidR="002D3E94">
        <w:t>formální predikaci</w:t>
      </w:r>
      <w:r w:rsidR="0846103F">
        <w:t>. Analyt</w:t>
      </w:r>
      <w:r w:rsidR="003068B5">
        <w:t>i</w:t>
      </w:r>
      <w:r w:rsidR="0846103F">
        <w:t xml:space="preserve">cká predikace je </w:t>
      </w:r>
      <w:r w:rsidR="009C77B0">
        <w:t xml:space="preserve">taktéž dána v modu </w:t>
      </w:r>
      <w:r w:rsidR="009C77B0" w:rsidRPr="009C77B0">
        <w:rPr>
          <w:i/>
        </w:rPr>
        <w:t>per se</w:t>
      </w:r>
      <w:r w:rsidR="009C77B0">
        <w:t xml:space="preserve">, ale nikoliv ve stejném </w:t>
      </w:r>
      <w:r w:rsidR="003068B5">
        <w:t xml:space="preserve">hyparchiúckém </w:t>
      </w:r>
      <w:r w:rsidR="009C77B0">
        <w:t>významu</w:t>
      </w:r>
      <w:r w:rsidR="0846103F">
        <w:t xml:space="preserve"> jako metafyzická abstrakce</w:t>
      </w:r>
      <w:r w:rsidR="002D3E94">
        <w:t xml:space="preserve">. </w:t>
      </w:r>
      <w:r w:rsidR="08E61428">
        <w:t xml:space="preserve">Analytický výklad </w:t>
      </w:r>
      <w:r w:rsidR="08E61428" w:rsidRPr="00273106">
        <w:t>zrušil primát první triády principů poznání vztažených k reálné existenci první substance působící kauzálně</w:t>
      </w:r>
      <w:r w:rsidR="08E61428">
        <w:t xml:space="preserve"> a dal ji do predikace v modu </w:t>
      </w:r>
      <w:r w:rsidR="08E61428" w:rsidRPr="00F761F2">
        <w:rPr>
          <w:i/>
        </w:rPr>
        <w:t>per posterius</w:t>
      </w:r>
      <w:r w:rsidR="08E61428" w:rsidRPr="00273106">
        <w:t xml:space="preserve">. </w:t>
      </w:r>
      <w:r w:rsidR="08245A11">
        <w:t xml:space="preserve">Univočním spojením zmizelo základní generické rozlišení logické a metafyzické predikace dané v modu </w:t>
      </w:r>
      <w:r w:rsidR="08245A11" w:rsidRPr="08175890">
        <w:rPr>
          <w:i/>
        </w:rPr>
        <w:t>per se</w:t>
      </w:r>
      <w:r w:rsidR="08245A11">
        <w:t xml:space="preserve"> (</w:t>
      </w:r>
      <w:r w:rsidR="08245A11" w:rsidRPr="00273106">
        <w:t>καθ' αὑτὰ δὲ διττῶς</w:t>
      </w:r>
      <w:r w:rsidR="08245A11">
        <w:t xml:space="preserve">, </w:t>
      </w:r>
      <w:r w:rsidR="08245A11" w:rsidRPr="08760971">
        <w:rPr>
          <w:i/>
        </w:rPr>
        <w:t>Anal. Post</w:t>
      </w:r>
      <w:r w:rsidR="08245A11">
        <w:t>. 84a12</w:t>
      </w:r>
      <w:r w:rsidR="08245A11">
        <w:fldChar w:fldCharType="begin"/>
      </w:r>
      <w:r w:rsidR="08245A11">
        <w:instrText xml:space="preserve"> XE "Aristoteles:</w:instrText>
      </w:r>
      <w:r w:rsidR="08245A11" w:rsidRPr="08965067">
        <w:rPr>
          <w:i/>
        </w:rPr>
        <w:instrText>Anal. Post</w:instrText>
      </w:r>
      <w:r w:rsidR="08245A11" w:rsidRPr="08965067">
        <w:instrText>. 84a12</w:instrText>
      </w:r>
      <w:r w:rsidR="08245A11">
        <w:instrText xml:space="preserve">" </w:instrText>
      </w:r>
      <w:r w:rsidR="08245A11">
        <w:fldChar w:fldCharType="end"/>
      </w:r>
      <w:r w:rsidR="087E5168">
        <w:t xml:space="preserve">). Tento omyl </w:t>
      </w:r>
      <w:r w:rsidR="08245A11">
        <w:t>charakterizuje analytickou filosofii dodnes</w:t>
      </w:r>
      <w:r w:rsidR="087E5168">
        <w:t>, protože nemyslí aristotelsky klasicky, ale avicennisticky moderně</w:t>
      </w:r>
      <w:r w:rsidR="08245A11">
        <w:rPr>
          <w:rStyle w:val="st"/>
        </w:rPr>
        <w:t xml:space="preserve">. </w:t>
      </w:r>
      <w:r w:rsidR="08E61428" w:rsidRPr="00273106">
        <w:t xml:space="preserve">Grosseteste dedukuje poznání </w:t>
      </w:r>
      <w:r w:rsidR="08E61428">
        <w:t xml:space="preserve">v modu Toledské školy, kterou přizpůsobil škole </w:t>
      </w:r>
      <w:r w:rsidR="08E61428" w:rsidRPr="00273106">
        <w:rPr>
          <w:i/>
        </w:rPr>
        <w:t>Nominales</w:t>
      </w:r>
      <w:r w:rsidR="08E61428" w:rsidRPr="00273106">
        <w:t xml:space="preserve"> </w:t>
      </w:r>
      <w:r w:rsidR="08E61428">
        <w:t xml:space="preserve">tehdy vládnoucí na Oxfordu. Nutnost vědy je odvozena </w:t>
      </w:r>
      <w:r w:rsidR="08E61428" w:rsidRPr="00273106">
        <w:t>z matem</w:t>
      </w:r>
      <w:r w:rsidR="08E61428">
        <w:t xml:space="preserve">atické úměry a ze druhé triády </w:t>
      </w:r>
      <w:r w:rsidR="08E61428" w:rsidRPr="00273106">
        <w:t xml:space="preserve">principů </w:t>
      </w:r>
      <w:r w:rsidR="08E61428" w:rsidRPr="00273106">
        <w:rPr>
          <w:i/>
        </w:rPr>
        <w:t>demonstratio</w:t>
      </w:r>
      <w:r w:rsidR="08E61428">
        <w:rPr>
          <w:i/>
        </w:rPr>
        <w:fldChar w:fldCharType="begin"/>
      </w:r>
      <w:r w:rsidR="08E61428">
        <w:instrText xml:space="preserve"> XE "</w:instrText>
      </w:r>
      <w:r w:rsidR="08E61428" w:rsidRPr="004E6075">
        <w:rPr>
          <w:i/>
        </w:rPr>
        <w:instrText>demonstratio</w:instrText>
      </w:r>
      <w:r w:rsidR="08E61428" w:rsidRPr="007F67C2">
        <w:instrText>:Grosseteste</w:instrText>
      </w:r>
      <w:r w:rsidR="08E61428">
        <w:instrText xml:space="preserve">" </w:instrText>
      </w:r>
      <w:r w:rsidR="08E61428">
        <w:rPr>
          <w:i/>
        </w:rPr>
        <w:fldChar w:fldCharType="end"/>
      </w:r>
      <w:r w:rsidR="08E61428">
        <w:t xml:space="preserve">. </w:t>
      </w:r>
      <w:r w:rsidR="007D3E95">
        <w:t>Nutnosti dané ve formě s</w:t>
      </w:r>
      <w:r w:rsidR="08E61428">
        <w:t>upozi</w:t>
      </w:r>
      <w:r w:rsidR="007D3E95">
        <w:t xml:space="preserve">ce </w:t>
      </w:r>
      <w:r w:rsidR="08E61428">
        <w:t xml:space="preserve">zahrnuje </w:t>
      </w:r>
      <w:r w:rsidR="08E61428" w:rsidRPr="00273106">
        <w:t xml:space="preserve">pouze </w:t>
      </w:r>
      <w:r w:rsidR="08E61428">
        <w:t>formální vztahy členů sylo</w:t>
      </w:r>
      <w:r w:rsidR="08E61428" w:rsidRPr="00273106">
        <w:t>gismu</w:t>
      </w:r>
      <w:r w:rsidR="08E61428">
        <w:t>, které se obejdou</w:t>
      </w:r>
      <w:r w:rsidR="08E61428" w:rsidRPr="00273106">
        <w:t xml:space="preserve"> bez existence první substance dané v reálu. Kompletní figura </w:t>
      </w:r>
      <w:r w:rsidR="08E61428" w:rsidRPr="00273106">
        <w:rPr>
          <w:i/>
        </w:rPr>
        <w:t>Oxfordian Fallacy</w:t>
      </w:r>
      <w:r w:rsidR="08E61428">
        <w:rPr>
          <w:i/>
        </w:rPr>
        <w:fldChar w:fldCharType="begin"/>
      </w:r>
      <w:r w:rsidR="08E61428">
        <w:instrText xml:space="preserve"> XE "</w:instrText>
      </w:r>
      <w:r w:rsidR="08E61428" w:rsidRPr="0015798D">
        <w:rPr>
          <w:i/>
        </w:rPr>
        <w:instrText>Oxfordian Fallacy</w:instrText>
      </w:r>
      <w:r w:rsidR="08E61428" w:rsidRPr="00B85E85">
        <w:instrText>:supozice</w:instrText>
      </w:r>
      <w:r w:rsidR="08E61428">
        <w:instrText xml:space="preserve">" </w:instrText>
      </w:r>
      <w:r w:rsidR="08E61428">
        <w:rPr>
          <w:i/>
        </w:rPr>
        <w:fldChar w:fldCharType="end"/>
      </w:r>
      <w:r w:rsidR="08E61428" w:rsidRPr="00273106">
        <w:t xml:space="preserve"> etabluje postup poznání </w:t>
      </w:r>
      <w:r w:rsidR="08E61428">
        <w:t xml:space="preserve">moderny v </w:t>
      </w:r>
      <w:r w:rsidR="08E61428" w:rsidRPr="0048690B">
        <w:rPr>
          <w:i/>
        </w:rPr>
        <w:t>epoché</w:t>
      </w:r>
      <w:r w:rsidR="08E61428">
        <w:rPr>
          <w:i/>
        </w:rPr>
        <w:fldChar w:fldCharType="begin"/>
      </w:r>
      <w:r w:rsidR="08E61428">
        <w:instrText xml:space="preserve"> XE "</w:instrText>
      </w:r>
      <w:r w:rsidR="08E61428" w:rsidRPr="001B0D03">
        <w:rPr>
          <w:i/>
        </w:rPr>
        <w:instrText>epoché</w:instrText>
      </w:r>
      <w:r w:rsidR="08E61428">
        <w:instrText xml:space="preserve">" </w:instrText>
      </w:r>
      <w:r w:rsidR="08E61428">
        <w:rPr>
          <w:i/>
        </w:rPr>
        <w:fldChar w:fldCharType="end"/>
      </w:r>
      <w:r w:rsidR="08E61428">
        <w:t xml:space="preserve"> od reality první substance</w:t>
      </w:r>
      <w:r w:rsidR="08E61428" w:rsidRPr="00273106">
        <w:t>.</w:t>
      </w:r>
      <w:r w:rsidR="08E61428">
        <w:t xml:space="preserve"> Nová cesta analytické moderny v modu epochální </w:t>
      </w:r>
      <w:r w:rsidR="08E61428" w:rsidRPr="00610929">
        <w:rPr>
          <w:i/>
        </w:rPr>
        <w:t>Irre</w:t>
      </w:r>
      <w:r w:rsidR="088D3CDD">
        <w:t xml:space="preserve"> nastoluje</w:t>
      </w:r>
      <w:r w:rsidR="08E61428">
        <w:t xml:space="preserve"> třetí </w:t>
      </w:r>
      <w:r w:rsidR="088B6497">
        <w:t xml:space="preserve">způsob </w:t>
      </w:r>
      <w:r w:rsidR="08AE0D81">
        <w:t xml:space="preserve">poznání </w:t>
      </w:r>
      <w:r w:rsidR="088D3CDD">
        <w:t xml:space="preserve">mimo Platona a </w:t>
      </w:r>
      <w:r w:rsidR="08AE0D81">
        <w:t>Aristotela. Toletáni v nově ustavené analytické formě vědy nepotřebují</w:t>
      </w:r>
      <w:r w:rsidR="08E61428">
        <w:t xml:space="preserve"> determinaci vědeckého důkazu od kauzality reálné substance</w:t>
      </w:r>
      <w:r w:rsidR="00F82694">
        <w:t xml:space="preserve">. Kauzalitu zastupuje v deduktivním soudu formálně a logicky určená </w:t>
      </w:r>
      <w:r w:rsidR="00C75D77">
        <w:t>esence</w:t>
      </w:r>
      <w:r w:rsidR="08E61428">
        <w:t>.</w:t>
      </w:r>
    </w:p>
    <w:p w14:paraId="61B4BB1A" w14:textId="27C377E6" w:rsidR="08E61428" w:rsidRPr="00273106" w:rsidRDefault="08E61428" w:rsidP="08E61428">
      <w:pPr>
        <w:pStyle w:val="Citace"/>
        <w:rPr>
          <w:noProof/>
          <w:lang w:val="cs-CZ"/>
        </w:rPr>
      </w:pPr>
      <w:r w:rsidRPr="00273106">
        <w:rPr>
          <w:noProof/>
          <w:lang w:val="cs-CZ"/>
        </w:rPr>
        <w:lastRenderedPageBreak/>
        <w:t xml:space="preserve">„Proto platí, že nutně musíme znát existenci věci k tomu, abychom poznali její esenci, protože poznání existence </w:t>
      </w:r>
      <w:r>
        <w:rPr>
          <w:noProof/>
          <w:lang w:val="cs-CZ"/>
        </w:rPr>
        <w:t>(</w:t>
      </w:r>
      <w:r w:rsidRPr="007B11D2">
        <w:rPr>
          <w:i/>
        </w:rPr>
        <w:t>scire quia est</w:t>
      </w:r>
      <w:r>
        <w:rPr>
          <w:noProof/>
          <w:lang w:val="cs-CZ"/>
        </w:rPr>
        <w:t xml:space="preserve">) </w:t>
      </w:r>
      <w:r w:rsidRPr="00273106">
        <w:rPr>
          <w:noProof/>
          <w:lang w:val="cs-CZ"/>
        </w:rPr>
        <w:t>předchází poznání esence</w:t>
      </w:r>
      <w:r>
        <w:rPr>
          <w:noProof/>
          <w:lang w:val="cs-CZ"/>
        </w:rPr>
        <w:t xml:space="preserve"> (</w:t>
      </w:r>
      <w:r w:rsidRPr="007B11D2">
        <w:rPr>
          <w:i/>
        </w:rPr>
        <w:t>prius est quam scire quid est</w:t>
      </w:r>
      <w:r>
        <w:rPr>
          <w:noProof/>
          <w:lang w:val="cs-CZ"/>
        </w:rPr>
        <w:t>)</w:t>
      </w:r>
      <w:r w:rsidRPr="00273106">
        <w:rPr>
          <w:noProof/>
          <w:lang w:val="cs-CZ"/>
        </w:rPr>
        <w:t xml:space="preserve">. Ale proti tomu </w:t>
      </w:r>
      <w:r>
        <w:rPr>
          <w:noProof/>
          <w:lang w:val="cs-CZ"/>
        </w:rPr>
        <w:t>Aristoteles</w:t>
      </w:r>
      <w:r w:rsidRPr="00273106">
        <w:rPr>
          <w:noProof/>
          <w:lang w:val="cs-CZ"/>
        </w:rPr>
        <w:t xml:space="preserve"> argumentuje následovně: všechno, o čem víme skrze vědecký soud, musí bý</w:t>
      </w:r>
      <w:r>
        <w:rPr>
          <w:noProof/>
          <w:lang w:val="cs-CZ"/>
        </w:rPr>
        <w:t>t substancí. A jestliže zkoumáme</w:t>
      </w:r>
      <w:r w:rsidRPr="00273106">
        <w:rPr>
          <w:noProof/>
          <w:lang w:val="cs-CZ"/>
        </w:rPr>
        <w:t>, zda je tato substance poznaná skrze kauzální působení</w:t>
      </w:r>
      <w:r>
        <w:rPr>
          <w:noProof/>
          <w:lang w:val="cs-CZ"/>
        </w:rPr>
        <w:t xml:space="preserve"> (</w:t>
      </w:r>
      <w:r w:rsidRPr="00693724">
        <w:rPr>
          <w:i/>
        </w:rPr>
        <w:t>si demon</w:t>
      </w:r>
      <w:r>
        <w:rPr>
          <w:i/>
        </w:rPr>
        <w:t>stratur quia est scitur per cau</w:t>
      </w:r>
      <w:r w:rsidRPr="00693724">
        <w:rPr>
          <w:i/>
        </w:rPr>
        <w:t>sam</w:t>
      </w:r>
      <w:r>
        <w:rPr>
          <w:noProof/>
          <w:lang w:val="cs-CZ"/>
        </w:rPr>
        <w:t>)</w:t>
      </w:r>
      <w:r w:rsidRPr="00273106">
        <w:rPr>
          <w:noProof/>
          <w:lang w:val="cs-CZ"/>
        </w:rPr>
        <w:t>, pak to stejně víme skrze její definici</w:t>
      </w:r>
      <w:r>
        <w:rPr>
          <w:noProof/>
          <w:lang w:val="cs-CZ"/>
        </w:rPr>
        <w:t xml:space="preserve"> (</w:t>
      </w:r>
      <w:r w:rsidRPr="00693724">
        <w:rPr>
          <w:i/>
        </w:rPr>
        <w:t>ergo scitur per diffinitionem</w:t>
      </w:r>
      <w:r>
        <w:rPr>
          <w:noProof/>
          <w:lang w:val="cs-CZ"/>
        </w:rPr>
        <w:t>)</w:t>
      </w:r>
      <w:r w:rsidRPr="00273106">
        <w:rPr>
          <w:noProof/>
          <w:lang w:val="cs-CZ"/>
        </w:rPr>
        <w:t xml:space="preserve">. Proto je kauzalita i definice </w:t>
      </w:r>
      <w:r w:rsidR="0893348D">
        <w:rPr>
          <w:noProof/>
          <w:lang w:val="cs-CZ"/>
        </w:rPr>
        <w:t xml:space="preserve">identická </w:t>
      </w:r>
      <w:r w:rsidRPr="00273106">
        <w:rPr>
          <w:noProof/>
          <w:lang w:val="cs-CZ"/>
        </w:rPr>
        <w:t>(</w:t>
      </w:r>
      <w:r w:rsidRPr="00273106">
        <w:rPr>
          <w:i/>
          <w:noProof/>
          <w:lang w:val="cs-CZ"/>
        </w:rPr>
        <w:t>idem est causa et diffinitio</w:t>
      </w:r>
      <w:r w:rsidRPr="00273106">
        <w:rPr>
          <w:noProof/>
          <w:lang w:val="cs-CZ"/>
        </w:rPr>
        <w:t>). Tudíž je nejprve přijata definice toho (</w:t>
      </w:r>
      <w:r w:rsidRPr="00273106">
        <w:rPr>
          <w:i/>
          <w:noProof/>
          <w:lang w:val="cs-CZ"/>
        </w:rPr>
        <w:t>prius accepta est diffinitio</w:t>
      </w:r>
      <w:r>
        <w:rPr>
          <w:noProof/>
          <w:lang w:val="cs-CZ"/>
        </w:rPr>
        <w:t>), čím je věc ve své</w:t>
      </w:r>
      <w:r w:rsidRPr="00273106">
        <w:rPr>
          <w:noProof/>
          <w:lang w:val="cs-CZ"/>
        </w:rPr>
        <w:t xml:space="preserve"> podstatě (</w:t>
      </w:r>
      <w:r w:rsidRPr="00273106">
        <w:rPr>
          <w:i/>
          <w:noProof/>
          <w:lang w:val="cs-CZ"/>
        </w:rPr>
        <w:t>quid est res</w:t>
      </w:r>
      <w:r w:rsidRPr="00273106">
        <w:rPr>
          <w:noProof/>
          <w:lang w:val="cs-CZ"/>
        </w:rPr>
        <w:t xml:space="preserve">), </w:t>
      </w:r>
      <w:r w:rsidR="004276FF">
        <w:rPr>
          <w:noProof/>
          <w:lang w:val="cs-CZ"/>
        </w:rPr>
        <w:t xml:space="preserve">dříve </w:t>
      </w:r>
      <w:r w:rsidRPr="00273106">
        <w:rPr>
          <w:noProof/>
          <w:lang w:val="cs-CZ"/>
        </w:rPr>
        <w:t>než existence individuální věci (</w:t>
      </w:r>
      <w:r w:rsidRPr="00273106">
        <w:rPr>
          <w:i/>
          <w:noProof/>
          <w:lang w:val="cs-CZ"/>
        </w:rPr>
        <w:t>quia est res</w:t>
      </w:r>
      <w:r w:rsidRPr="00273106">
        <w:rPr>
          <w:noProof/>
          <w:lang w:val="cs-CZ"/>
        </w:rPr>
        <w:t xml:space="preserve">). Proto máme definici a víme, co věc je, </w:t>
      </w:r>
      <w:r>
        <w:rPr>
          <w:noProof/>
          <w:lang w:val="cs-CZ"/>
        </w:rPr>
        <w:t>což ale nejde bez toho, že věc existuje</w:t>
      </w:r>
      <w:r w:rsidRPr="00273106">
        <w:rPr>
          <w:noProof/>
          <w:lang w:val="cs-CZ"/>
        </w:rPr>
        <w:t xml:space="preserve">.“  </w:t>
      </w:r>
      <w:r w:rsidRPr="00273106">
        <w:rPr>
          <w:rStyle w:val="Znakapoznpodarou"/>
          <w:noProof/>
          <w:lang w:val="cs-CZ"/>
        </w:rPr>
        <w:footnoteReference w:id="299"/>
      </w:r>
    </w:p>
    <w:p w14:paraId="7AF38A3A" w14:textId="77777777" w:rsidR="007F381D" w:rsidRDefault="08E61428" w:rsidP="00DA6D4E">
      <w:r w:rsidRPr="00273106">
        <w:t>První věta citátu správně stanovuje axiomatické pořadí poznání od existence věci k esenci (</w:t>
      </w:r>
      <w:r w:rsidRPr="00273106">
        <w:rPr>
          <w:i/>
          <w:color w:val="000000"/>
        </w:rPr>
        <w:t>scire quia est prius est quam scire quid est</w:t>
      </w:r>
      <w:r w:rsidRPr="00273106">
        <w:t>). Grossetesteho výklad jen zdánlivě respektuje literu textu o primátu existující substance</w:t>
      </w:r>
      <w:r>
        <w:fldChar w:fldCharType="begin"/>
      </w:r>
      <w:r>
        <w:instrText xml:space="preserve"> XE "</w:instrText>
      </w:r>
      <w:r w:rsidRPr="00DE2A32">
        <w:instrText>substance</w:instrText>
      </w:r>
      <w:r>
        <w:instrText xml:space="preserve">:první" </w:instrText>
      </w:r>
      <w:r>
        <w:fldChar w:fldCharType="end"/>
      </w:r>
      <w:r w:rsidRPr="00273106">
        <w:t xml:space="preserve"> vzhledem k esenci (τὸ διὰ τί ζητῶμεν ἢ τὸ τί ἐστι, </w:t>
      </w:r>
      <w:r w:rsidRPr="009F1C8A">
        <w:rPr>
          <w:i/>
        </w:rPr>
        <w:t>Anal</w:t>
      </w:r>
      <w:r w:rsidRPr="00273106">
        <w:t xml:space="preserve">. </w:t>
      </w:r>
      <w:r w:rsidRPr="009F1C8A">
        <w:rPr>
          <w:i/>
        </w:rPr>
        <w:t>Post</w:t>
      </w:r>
      <w:r w:rsidRPr="00273106">
        <w:t xml:space="preserve">. 90a1). Hned další věta otočí toto pořadí tak, že s odvoláním na Aristotela </w:t>
      </w:r>
      <w:r w:rsidR="088E751D" w:rsidRPr="00273106">
        <w:t>(</w:t>
      </w:r>
      <w:r w:rsidR="088E751D" w:rsidRPr="00273106">
        <w:rPr>
          <w:i/>
        </w:rPr>
        <w:t>sed contra hoc opponit Aristoteles</w:t>
      </w:r>
      <w:r w:rsidR="088E751D" w:rsidRPr="00273106">
        <w:t>)</w:t>
      </w:r>
      <w:r w:rsidR="088E751D">
        <w:t xml:space="preserve"> </w:t>
      </w:r>
      <w:r w:rsidRPr="00273106">
        <w:t xml:space="preserve">zamění primát existence věci za </w:t>
      </w:r>
      <w:r w:rsidR="088C18B2">
        <w:t>nominálně pojatou definici věci</w:t>
      </w:r>
      <w:r w:rsidRPr="00273106">
        <w:t xml:space="preserve">. Jde o typický příklad analytického výkladu v rámci  </w:t>
      </w:r>
      <w:r w:rsidRPr="00273106">
        <w:rPr>
          <w:i/>
        </w:rPr>
        <w:t>Oxfordian Fallacy</w:t>
      </w:r>
      <w:r w:rsidR="088C18B2">
        <w:t xml:space="preserve">, kdy je střední člen daný nasvícením zezadu. </w:t>
      </w:r>
      <w:r w:rsidRPr="00273106">
        <w:t>Střední člen soud</w:t>
      </w:r>
      <w:r>
        <w:t>u</w:t>
      </w:r>
      <w:r w:rsidRPr="00273106">
        <w:t xml:space="preserve"> dostal </w:t>
      </w:r>
      <w:r>
        <w:t>na</w:t>
      </w:r>
      <w:r w:rsidRPr="00273106">
        <w:t xml:space="preserve">místo </w:t>
      </w:r>
      <w:r>
        <w:t xml:space="preserve">impozice </w:t>
      </w:r>
      <w:r w:rsidRPr="00273106">
        <w:t xml:space="preserve">kauzality </w:t>
      </w:r>
      <w:r>
        <w:t xml:space="preserve">z reality </w:t>
      </w:r>
      <w:r w:rsidRPr="00273106">
        <w:t xml:space="preserve">jen nominální </w:t>
      </w:r>
      <w:r>
        <w:t xml:space="preserve">supoziční </w:t>
      </w:r>
      <w:r w:rsidRPr="00273106">
        <w:t xml:space="preserve">charakter </w:t>
      </w:r>
      <w:r w:rsidR="00AD19F2">
        <w:t xml:space="preserve">logické </w:t>
      </w:r>
      <w:r w:rsidRPr="00273106">
        <w:t xml:space="preserve">definice. Tím se otočilo pořadí predikace </w:t>
      </w:r>
      <w:r w:rsidRPr="00273106">
        <w:rPr>
          <w:i/>
        </w:rPr>
        <w:t>per prius</w:t>
      </w:r>
      <w:r>
        <w:t xml:space="preserve"> v originále zásadně dané od existence věci. Analytická věda začíná poznání věci od univerzální esence dané v </w:t>
      </w:r>
      <w:r w:rsidRPr="00273106">
        <w:t xml:space="preserve">intelektu. </w:t>
      </w:r>
      <w:r>
        <w:t xml:space="preserve">Aristoteles </w:t>
      </w:r>
      <w:r w:rsidR="08B94A75">
        <w:t xml:space="preserve">kategoriálně </w:t>
      </w:r>
      <w:r>
        <w:t>odlišuje generickou univocitu přírodovědného poznání od jiné generické univocity dané v matematické analýze. Moderní v</w:t>
      </w:r>
      <w:r w:rsidRPr="00273106">
        <w:t xml:space="preserve">ýklad </w:t>
      </w:r>
      <w:r w:rsidR="08B94A75">
        <w:t xml:space="preserve">už není </w:t>
      </w:r>
      <w:r w:rsidR="088C18B2">
        <w:t>metafyzicky-</w:t>
      </w:r>
      <w:r w:rsidR="08B94A75">
        <w:t xml:space="preserve">kategoriální, ale </w:t>
      </w:r>
      <w:r w:rsidR="088C18B2">
        <w:t>logicky-</w:t>
      </w:r>
      <w:r w:rsidR="08B94A75">
        <w:t xml:space="preserve">analytický. Citát sofisticky </w:t>
      </w:r>
      <w:r w:rsidRPr="00273106">
        <w:t>postavil esenci před existenci</w:t>
      </w:r>
      <w:r w:rsidR="002122F4">
        <w:t>. K</w:t>
      </w:r>
      <w:r w:rsidRPr="00273106">
        <w:t>auzalita daná mezi prvními substancemi je v</w:t>
      </w:r>
      <w:r w:rsidR="08903886">
        <w:t xml:space="preserve"> nominalisticky </w:t>
      </w:r>
      <w:r w:rsidRPr="00273106">
        <w:t xml:space="preserve">uchopeném </w:t>
      </w:r>
      <w:r w:rsidRPr="00273106">
        <w:rPr>
          <w:i/>
        </w:rPr>
        <w:t>medium</w:t>
      </w:r>
      <w:r>
        <w:rPr>
          <w:i/>
        </w:rPr>
        <w:fldChar w:fldCharType="begin"/>
      </w:r>
      <w:r>
        <w:instrText xml:space="preserve"> XE "</w:instrText>
      </w:r>
      <w:r w:rsidRPr="001618A5">
        <w:rPr>
          <w:i/>
        </w:rPr>
        <w:instrText>medium:</w:instrText>
      </w:r>
      <w:r w:rsidRPr="001618A5">
        <w:instrText>Albert</w:instrText>
      </w:r>
      <w:r>
        <w:instrText xml:space="preserve">" </w:instrText>
      </w:r>
      <w:r>
        <w:rPr>
          <w:i/>
        </w:rPr>
        <w:fldChar w:fldCharType="end"/>
      </w:r>
      <w:r w:rsidRPr="00273106">
        <w:t xml:space="preserve"> chápána </w:t>
      </w:r>
      <w:r>
        <w:t>univočně</w:t>
      </w:r>
      <w:r w:rsidR="002122F4">
        <w:t>,</w:t>
      </w:r>
      <w:r>
        <w:t xml:space="preserve"> </w:t>
      </w:r>
      <w:r w:rsidR="08C153CB">
        <w:t xml:space="preserve">a dokonce zcela identicky </w:t>
      </w:r>
      <w:r w:rsidRPr="00273106">
        <w:t>(</w:t>
      </w:r>
      <w:r w:rsidRPr="00273106">
        <w:rPr>
          <w:i/>
          <w:color w:val="000000"/>
        </w:rPr>
        <w:t>idem est causa et diffinitio</w:t>
      </w:r>
      <w:r w:rsidRPr="00273106">
        <w:t>).</w:t>
      </w:r>
      <w:r>
        <w:t xml:space="preserve"> </w:t>
      </w:r>
      <w:r w:rsidR="08B94A75">
        <w:t xml:space="preserve">Primát </w:t>
      </w:r>
      <w:r w:rsidRPr="00273106">
        <w:t xml:space="preserve">má </w:t>
      </w:r>
      <w:r>
        <w:t xml:space="preserve">supozičně </w:t>
      </w:r>
      <w:r w:rsidRPr="00273106">
        <w:t xml:space="preserve">daná </w:t>
      </w:r>
      <w:r>
        <w:t xml:space="preserve">definice </w:t>
      </w:r>
      <w:r w:rsidRPr="00273106">
        <w:t>esence (</w:t>
      </w:r>
      <w:r w:rsidRPr="00273106">
        <w:rPr>
          <w:i/>
        </w:rPr>
        <w:t>prius accepta est diffinitio que dicit quid est res</w:t>
      </w:r>
      <w:r w:rsidRPr="00273106">
        <w:t xml:space="preserve">). </w:t>
      </w:r>
      <w:r>
        <w:t xml:space="preserve">Pak už </w:t>
      </w:r>
      <w:r w:rsidR="08B94A75">
        <w:t xml:space="preserve">jen </w:t>
      </w:r>
      <w:r>
        <w:t>sofisticky platí</w:t>
      </w:r>
      <w:r w:rsidR="08B94A75">
        <w:t xml:space="preserve"> citovaný závěr</w:t>
      </w:r>
      <w:r>
        <w:t xml:space="preserve">, že </w:t>
      </w:r>
      <w:r w:rsidR="08B94A75">
        <w:t xml:space="preserve">totiž </w:t>
      </w:r>
      <w:r w:rsidRPr="00273106">
        <w:t>všechny vědecké definice jsou založené na reálné existenci věcí, proto</w:t>
      </w:r>
      <w:r>
        <w:t>že jinak by jejich definice nemohly být dány</w:t>
      </w:r>
      <w:r w:rsidRPr="00273106">
        <w:t xml:space="preserve"> v esenciální formě (</w:t>
      </w:r>
      <w:r w:rsidRPr="00273106">
        <w:rPr>
          <w:i/>
        </w:rPr>
        <w:t>scitur quid est res et nondum scitur si est res</w:t>
      </w:r>
      <w:r w:rsidRPr="00273106">
        <w:t xml:space="preserve">). První modernista už jen věří, že existuje pravdivé poznání reality, </w:t>
      </w:r>
      <w:r w:rsidRPr="00273106">
        <w:lastRenderedPageBreak/>
        <w:t>protože ji postuluje skrze logicky bezrozpornou důkazovou řadu</w:t>
      </w:r>
      <w:r w:rsidR="00C92533">
        <w:t xml:space="preserve">. </w:t>
      </w:r>
      <w:r w:rsidR="00C92533" w:rsidRPr="00C92533">
        <w:t>Poslední důvod pravdivého poznání je dán vyloučením jiné možnosti</w:t>
      </w:r>
      <w:r w:rsidR="00C92533">
        <w:t xml:space="preserve"> </w:t>
      </w:r>
      <w:r w:rsidRPr="00273106">
        <w:t>(</w:t>
      </w:r>
      <w:r w:rsidRPr="00273106">
        <w:rPr>
          <w:i/>
        </w:rPr>
        <w:t>quod est inpossibile</w:t>
      </w:r>
      <w:r w:rsidR="007F381D">
        <w:t>).</w:t>
      </w:r>
    </w:p>
    <w:p w14:paraId="44EF3EAD" w14:textId="6C0AD55E" w:rsidR="00641918" w:rsidRDefault="08C153CB" w:rsidP="007F381D">
      <w:pPr>
        <w:ind w:firstLine="397"/>
      </w:pPr>
      <w:r>
        <w:t>Reálný svět má právo na existenci, protože není v ro</w:t>
      </w:r>
      <w:r w:rsidR="081E5806">
        <w:t>z</w:t>
      </w:r>
      <w:r>
        <w:t>poru s</w:t>
      </w:r>
      <w:r w:rsidR="002947DB">
        <w:t xml:space="preserve"> moderní </w:t>
      </w:r>
      <w:r>
        <w:t xml:space="preserve">logikou. </w:t>
      </w:r>
      <w:r w:rsidR="083853A2">
        <w:t xml:space="preserve">Postmoderní Leibniz završil tento moderní postulát </w:t>
      </w:r>
      <w:r w:rsidR="081E5806">
        <w:t xml:space="preserve">tezí </w:t>
      </w:r>
      <w:r w:rsidR="0860425F">
        <w:t>o d</w:t>
      </w:r>
      <w:r w:rsidR="083853A2">
        <w:t>ostatečném důvodu (</w:t>
      </w:r>
      <w:r w:rsidR="0860425F" w:rsidRPr="0860425F">
        <w:rPr>
          <w:rStyle w:val="st"/>
          <w:i/>
        </w:rPr>
        <w:t>principium</w:t>
      </w:r>
      <w:r w:rsidR="0860425F">
        <w:rPr>
          <w:rStyle w:val="st"/>
        </w:rPr>
        <w:t xml:space="preserve"> </w:t>
      </w:r>
      <w:r w:rsidR="0860425F" w:rsidRPr="0860425F">
        <w:rPr>
          <w:rStyle w:val="st"/>
          <w:i/>
        </w:rPr>
        <w:t>rationis</w:t>
      </w:r>
      <w:r w:rsidR="0860425F">
        <w:rPr>
          <w:rStyle w:val="st"/>
        </w:rPr>
        <w:t xml:space="preserve"> </w:t>
      </w:r>
      <w:r w:rsidR="0860425F">
        <w:rPr>
          <w:rStyle w:val="Zvraznn"/>
        </w:rPr>
        <w:t>sufficientis</w:t>
      </w:r>
      <w:r w:rsidR="0860425F">
        <w:rPr>
          <w:rStyle w:val="Zvraznn"/>
        </w:rPr>
        <w:fldChar w:fldCharType="begin"/>
      </w:r>
      <w:r w:rsidR="0860425F">
        <w:instrText xml:space="preserve"> XE "</w:instrText>
      </w:r>
      <w:r w:rsidR="0860425F" w:rsidRPr="084772DD">
        <w:rPr>
          <w:rStyle w:val="st"/>
          <w:i/>
        </w:rPr>
        <w:instrText>principium</w:instrText>
      </w:r>
      <w:r w:rsidR="0860425F" w:rsidRPr="084772DD">
        <w:rPr>
          <w:rStyle w:val="st"/>
        </w:rPr>
        <w:instrText xml:space="preserve"> </w:instrText>
      </w:r>
      <w:r w:rsidR="0860425F" w:rsidRPr="084772DD">
        <w:rPr>
          <w:rStyle w:val="st"/>
          <w:i/>
        </w:rPr>
        <w:instrText>rationis</w:instrText>
      </w:r>
      <w:r w:rsidR="0860425F" w:rsidRPr="084772DD">
        <w:rPr>
          <w:rStyle w:val="st"/>
        </w:rPr>
        <w:instrText xml:space="preserve"> </w:instrText>
      </w:r>
      <w:r w:rsidR="0860425F" w:rsidRPr="084772DD">
        <w:rPr>
          <w:rStyle w:val="Zvraznn"/>
        </w:rPr>
        <w:instrText>sufficientis</w:instrText>
      </w:r>
      <w:r w:rsidR="0860425F">
        <w:instrText xml:space="preserve">" </w:instrText>
      </w:r>
      <w:r w:rsidR="0860425F">
        <w:rPr>
          <w:rStyle w:val="Zvraznn"/>
        </w:rPr>
        <w:fldChar w:fldCharType="end"/>
      </w:r>
      <w:r w:rsidR="0860425F" w:rsidRPr="0860425F">
        <w:rPr>
          <w:rStyle w:val="Zvraznn"/>
          <w:i w:val="0"/>
        </w:rPr>
        <w:t xml:space="preserve">, </w:t>
      </w:r>
      <w:r w:rsidR="083853A2">
        <w:t xml:space="preserve">kap. 3.5). </w:t>
      </w:r>
      <w:r w:rsidR="0881121F">
        <w:rPr>
          <w:rStyle w:val="st"/>
        </w:rPr>
        <w:t xml:space="preserve">Analytický výklad učinil </w:t>
      </w:r>
      <w:r w:rsidR="085056D2">
        <w:rPr>
          <w:rStyle w:val="st"/>
        </w:rPr>
        <w:t xml:space="preserve">logické </w:t>
      </w:r>
      <w:r w:rsidR="0881121F">
        <w:rPr>
          <w:rStyle w:val="st"/>
        </w:rPr>
        <w:t xml:space="preserve">slovo </w:t>
      </w:r>
      <w:r w:rsidR="00AA5BE8">
        <w:rPr>
          <w:rStyle w:val="st"/>
        </w:rPr>
        <w:t xml:space="preserve">substančním </w:t>
      </w:r>
      <w:r w:rsidR="0881121F">
        <w:rPr>
          <w:rStyle w:val="st"/>
        </w:rPr>
        <w:t xml:space="preserve">tělem, nechal jej </w:t>
      </w:r>
      <w:r w:rsidR="085056D2">
        <w:rPr>
          <w:rStyle w:val="st"/>
        </w:rPr>
        <w:t xml:space="preserve">objektivně </w:t>
      </w:r>
      <w:r w:rsidR="08C25F5B">
        <w:rPr>
          <w:rStyle w:val="st"/>
        </w:rPr>
        <w:t>přebývat mezi námi. Mystérijní s</w:t>
      </w:r>
      <w:r w:rsidR="0881121F">
        <w:rPr>
          <w:rStyle w:val="st"/>
        </w:rPr>
        <w:t xml:space="preserve">lávu tohoto </w:t>
      </w:r>
      <w:r w:rsidR="0881121F" w:rsidRPr="00E81C23">
        <w:rPr>
          <w:rStyle w:val="st"/>
          <w:i/>
        </w:rPr>
        <w:t>tertium ens</w:t>
      </w:r>
      <w:r w:rsidR="0881121F">
        <w:rPr>
          <w:rStyle w:val="st"/>
        </w:rPr>
        <w:t xml:space="preserve"> zvěstuje </w:t>
      </w:r>
      <w:r w:rsidR="08C25F5B">
        <w:rPr>
          <w:rStyle w:val="st"/>
        </w:rPr>
        <w:t xml:space="preserve">a celebruje </w:t>
      </w:r>
      <w:r w:rsidR="0881121F">
        <w:rPr>
          <w:rStyle w:val="st"/>
        </w:rPr>
        <w:t>ve věku metafyzického nihilismu dnešní analytická filosofie.</w:t>
      </w:r>
      <w:r w:rsidR="08411FC8">
        <w:rPr>
          <w:rStyle w:val="st"/>
        </w:rPr>
        <w:t xml:space="preserve"> </w:t>
      </w:r>
      <w:r w:rsidR="08411FC8" w:rsidRPr="00273106">
        <w:t xml:space="preserve">Přímé poznání reality je dáno jen formou </w:t>
      </w:r>
      <w:r w:rsidR="08411FC8">
        <w:t xml:space="preserve">nižší empirické </w:t>
      </w:r>
      <w:r w:rsidR="08411FC8" w:rsidRPr="00273106">
        <w:rPr>
          <w:i/>
        </w:rPr>
        <w:t>scientia</w:t>
      </w:r>
      <w:r w:rsidR="08411FC8">
        <w:rPr>
          <w:i/>
        </w:rPr>
        <w:fldChar w:fldCharType="begin"/>
      </w:r>
      <w:r w:rsidR="08411FC8">
        <w:instrText xml:space="preserve"> XE "</w:instrText>
      </w:r>
      <w:r w:rsidR="08411FC8" w:rsidRPr="0015798D">
        <w:rPr>
          <w:i/>
        </w:rPr>
        <w:instrText>Oxfordian Fallacy:</w:instrText>
      </w:r>
      <w:r w:rsidR="08411FC8">
        <w:rPr>
          <w:i/>
        </w:rPr>
        <w:instrText>scientia</w:instrText>
      </w:r>
      <w:r w:rsidR="08411FC8">
        <w:instrText xml:space="preserve">" </w:instrText>
      </w:r>
      <w:r w:rsidR="08411FC8">
        <w:rPr>
          <w:i/>
        </w:rPr>
        <w:fldChar w:fldCharType="end"/>
      </w:r>
      <w:r w:rsidR="08411FC8" w:rsidRPr="00273106">
        <w:t>, proto je nejasné a omylné</w:t>
      </w:r>
      <w:r w:rsidR="08411FC8">
        <w:t>. Proto musí být vědecká pravda dedukována</w:t>
      </w:r>
      <w:r w:rsidR="08411FC8">
        <w:fldChar w:fldCharType="begin"/>
      </w:r>
      <w:r w:rsidR="08411FC8">
        <w:instrText xml:space="preserve"> XE "</w:instrText>
      </w:r>
      <w:r w:rsidR="08411FC8" w:rsidRPr="00F24BDB">
        <w:instrText>dedukce:objektivní</w:instrText>
      </w:r>
      <w:r w:rsidR="08411FC8">
        <w:instrText xml:space="preserve">" </w:instrText>
      </w:r>
      <w:r w:rsidR="08411FC8">
        <w:fldChar w:fldCharType="end"/>
      </w:r>
      <w:r w:rsidR="08411FC8">
        <w:t xml:space="preserve"> z vyšších a trvale nutných principů a forem nahlížených v rámci </w:t>
      </w:r>
      <w:r w:rsidR="08411FC8" w:rsidRPr="00033F18">
        <w:rPr>
          <w:i/>
        </w:rPr>
        <w:t>intellectio</w:t>
      </w:r>
      <w:r w:rsidR="00C47778">
        <w:t>.</w:t>
      </w:r>
      <w:r w:rsidR="00CA09CE">
        <w:t xml:space="preserve"> Analytická škola porretánů v Oxfordu u</w:t>
      </w:r>
      <w:r w:rsidR="00CA09CE" w:rsidRPr="00273106">
        <w:t xml:space="preserve">nivočně </w:t>
      </w:r>
      <w:r w:rsidR="00CA09CE">
        <w:t xml:space="preserve">a dokonce identicky </w:t>
      </w:r>
      <w:r w:rsidR="00CA09CE" w:rsidRPr="00273106">
        <w:t>spojila oba Aristotelem výslovně roz</w:t>
      </w:r>
      <w:r w:rsidR="00CA09CE">
        <w:t xml:space="preserve">lišené </w:t>
      </w:r>
      <w:r w:rsidR="00CA09CE" w:rsidRPr="00273106">
        <w:t>mody atribuce</w:t>
      </w:r>
      <w:r w:rsidR="00CA09CE">
        <w:t xml:space="preserve"> </w:t>
      </w:r>
      <w:r w:rsidR="00CA09CE" w:rsidRPr="08805EA5">
        <w:rPr>
          <w:i/>
        </w:rPr>
        <w:t>per se</w:t>
      </w:r>
      <w:r w:rsidR="00CA09CE">
        <w:t>, které jsme pojedn</w:t>
      </w:r>
      <w:r w:rsidR="00CA09CE" w:rsidRPr="00273106">
        <w:t xml:space="preserve">ali výše. </w:t>
      </w:r>
      <w:r w:rsidR="00CA09CE">
        <w:t xml:space="preserve">Spis </w:t>
      </w:r>
      <w:r w:rsidR="00CA09CE" w:rsidRPr="009E7A83">
        <w:rPr>
          <w:i/>
        </w:rPr>
        <w:t xml:space="preserve">Druhé analytiky </w:t>
      </w:r>
      <w:r w:rsidR="00CA09CE" w:rsidRPr="00273106">
        <w:t xml:space="preserve">tvrdí, že vědecké poznání je možné univočně postavit jen v rámci jednoho a téhož rodu jako posledního garanta univocity. </w:t>
      </w:r>
      <w:r w:rsidR="00CA09CE">
        <w:t xml:space="preserve">Toto pojetí univocity vázané na rod má ve </w:t>
      </w:r>
      <w:r w:rsidR="00CA09CE" w:rsidRPr="00692302">
        <w:rPr>
          <w:i/>
        </w:rPr>
        <w:t>Druhých analytikách</w:t>
      </w:r>
      <w:r w:rsidR="00CA09CE">
        <w:t xml:space="preserve"> klíčový význam v případě vědeckého poznání reálné kauzality prvních substancí, která se rodově liší od kauzality matematických univerzálií a logických esencí. </w:t>
      </w:r>
      <w:r w:rsidR="08411FC8">
        <w:t xml:space="preserve">Škola prvního averroismu </w:t>
      </w:r>
      <w:r w:rsidR="00CA09CE">
        <w:t xml:space="preserve">proto </w:t>
      </w:r>
      <w:r w:rsidR="08411FC8">
        <w:t>zásadně rozlišuje logickou a metafyzickou abstrakci, protože jde o dvě r</w:t>
      </w:r>
      <w:r w:rsidR="00C47778">
        <w:t>odově odlišné formy hyparchické nutnosti</w:t>
      </w:r>
      <w:r w:rsidR="08411FC8">
        <w:t xml:space="preserve">. Proto dává logické supozici a kategoriální impozici zcela odlišný význam. </w:t>
      </w:r>
      <w:r w:rsidR="00792219" w:rsidRPr="00792219">
        <w:t xml:space="preserve">Aristoteles postuluje jednoznačné spojení vědecké dedukce s první substancí. Ta působí prostřednictvím reálné kauzality, kterou představuje </w:t>
      </w:r>
      <w:r w:rsidR="00792219">
        <w:t xml:space="preserve">druhá návěst </w:t>
      </w:r>
      <w:r w:rsidR="00792219" w:rsidRPr="00792219">
        <w:t>sylogismu.</w:t>
      </w:r>
      <w:r w:rsidR="00792219">
        <w:t xml:space="preserve"> </w:t>
      </w:r>
      <w:r w:rsidR="002312D1">
        <w:t xml:space="preserve">Tato </w:t>
      </w:r>
      <w:r w:rsidR="00792219">
        <w:t xml:space="preserve">hyparchická </w:t>
      </w:r>
      <w:r w:rsidR="002312D1">
        <w:t>první substance</w:t>
      </w:r>
      <w:r w:rsidR="0044621B" w:rsidRPr="00273106">
        <w:t xml:space="preserve"> je </w:t>
      </w:r>
      <w:r w:rsidR="002312D1">
        <w:t xml:space="preserve">ve vědeckém důkazu predikována </w:t>
      </w:r>
      <w:r w:rsidR="0044621B" w:rsidRPr="00273106">
        <w:rPr>
          <w:i/>
        </w:rPr>
        <w:t>simpliciter</w:t>
      </w:r>
      <w:r w:rsidR="0044621B" w:rsidRPr="00273106">
        <w:t xml:space="preserve">, protože je dána </w:t>
      </w:r>
      <w:r w:rsidR="0044621B" w:rsidRPr="00273106">
        <w:rPr>
          <w:i/>
        </w:rPr>
        <w:t>per se</w:t>
      </w:r>
      <w:r w:rsidR="0044621B" w:rsidRPr="00273106">
        <w:t xml:space="preserve"> vlastním aktem </w:t>
      </w:r>
      <w:r w:rsidR="00C33E29">
        <w:t xml:space="preserve">o sobě nutné </w:t>
      </w:r>
      <w:r w:rsidR="0044621B" w:rsidRPr="00273106">
        <w:t xml:space="preserve">existence. </w:t>
      </w:r>
      <w:r w:rsidR="08D96F81">
        <w:t xml:space="preserve">Na rozdíl od oxfordské moderny a karteziánské postmoderny jde </w:t>
      </w:r>
      <w:r w:rsidR="008E02F5">
        <w:t>Aristoteles</w:t>
      </w:r>
      <w:r w:rsidR="002312D1">
        <w:t xml:space="preserve"> k věcem samým</w:t>
      </w:r>
      <w:r w:rsidR="007F35CD">
        <w:t>, protože následuje metafyzický</w:t>
      </w:r>
      <w:r w:rsidR="082A724F">
        <w:t xml:space="preserve"> </w:t>
      </w:r>
      <w:r w:rsidR="081307C0">
        <w:t>dativ. T</w:t>
      </w:r>
      <w:r w:rsidR="08315494">
        <w:t>ento p</w:t>
      </w:r>
      <w:r w:rsidR="081307C0">
        <w:t>o</w:t>
      </w:r>
      <w:r w:rsidR="08315494">
        <w:t>s</w:t>
      </w:r>
      <w:r w:rsidR="081307C0">
        <w:t xml:space="preserve">tup se zásadně liší od </w:t>
      </w:r>
      <w:r w:rsidR="08353C79">
        <w:t xml:space="preserve">modernistické </w:t>
      </w:r>
      <w:r w:rsidR="081307C0">
        <w:t>parousie esence</w:t>
      </w:r>
      <w:r w:rsidR="00105080">
        <w:t xml:space="preserve">. Ta je </w:t>
      </w:r>
      <w:r w:rsidR="081307C0">
        <w:t xml:space="preserve"> </w:t>
      </w:r>
      <w:r w:rsidR="00105080">
        <w:t>epopticky zjevená</w:t>
      </w:r>
      <w:r w:rsidR="081307C0">
        <w:t xml:space="preserve"> </w:t>
      </w:r>
      <w:r w:rsidR="002312D1">
        <w:t xml:space="preserve">v </w:t>
      </w:r>
      <w:r w:rsidR="0021206C">
        <w:t xml:space="preserve">osvícené </w:t>
      </w:r>
      <w:r w:rsidR="002312D1">
        <w:t>mysli</w:t>
      </w:r>
      <w:r w:rsidR="0094772C">
        <w:t xml:space="preserve"> iluminátů</w:t>
      </w:r>
      <w:r w:rsidR="00105080">
        <w:t xml:space="preserve"> a pak prediková</w:t>
      </w:r>
      <w:r w:rsidR="087B0165">
        <w:t xml:space="preserve"> </w:t>
      </w:r>
      <w:r w:rsidR="0021206C">
        <w:t>ve formě hypostázované esence</w:t>
      </w:r>
      <w:r w:rsidR="087B0165">
        <w:t xml:space="preserve"> jako </w:t>
      </w:r>
      <w:r w:rsidR="087B0165" w:rsidRPr="087B0165">
        <w:rPr>
          <w:i/>
        </w:rPr>
        <w:t>tertium ens</w:t>
      </w:r>
      <w:r w:rsidR="002312D1">
        <w:t>.</w:t>
      </w:r>
      <w:r w:rsidR="00DA6D4E">
        <w:t xml:space="preserve"> </w:t>
      </w:r>
      <w:r w:rsidR="00565EE7">
        <w:t xml:space="preserve">Aristoteles predikuje </w:t>
      </w:r>
      <w:r w:rsidR="00565EE7" w:rsidRPr="00273106">
        <w:t xml:space="preserve">zatmění podle reálné kauzality </w:t>
      </w:r>
      <w:r w:rsidR="00565EE7">
        <w:t xml:space="preserve">Slunce a Měsíce </w:t>
      </w:r>
      <w:r w:rsidR="00565EE7" w:rsidRPr="00273106">
        <w:t>jako první</w:t>
      </w:r>
      <w:r w:rsidR="00294607">
        <w:t>ch substancí, které</w:t>
      </w:r>
      <w:r w:rsidR="00565EE7" w:rsidRPr="00273106">
        <w:t xml:space="preserve"> přímo </w:t>
      </w:r>
      <w:r w:rsidR="00294607">
        <w:t>participují</w:t>
      </w:r>
      <w:r w:rsidR="00565EE7" w:rsidRPr="00273106">
        <w:t xml:space="preserve"> na jevu </w:t>
      </w:r>
      <w:r w:rsidR="08C76FE2">
        <w:t>zatmění. Pak běží predikace p</w:t>
      </w:r>
      <w:r w:rsidR="00565EE7" w:rsidRPr="00273106">
        <w:t xml:space="preserve">odle </w:t>
      </w:r>
      <w:r w:rsidR="00900FBE">
        <w:t>nutnosti dané v hy</w:t>
      </w:r>
      <w:r w:rsidR="08C76FE2">
        <w:t xml:space="preserve">parchicky existujících prvních substancí, tedy v modu </w:t>
      </w:r>
      <w:r w:rsidR="00E97D5C">
        <w:t>„</w:t>
      </w:r>
      <w:r w:rsidR="00565EE7" w:rsidRPr="00273106">
        <w:rPr>
          <w:i/>
        </w:rPr>
        <w:t>ex</w:t>
      </w:r>
      <w:r w:rsidR="00565EE7" w:rsidRPr="00273106">
        <w:t xml:space="preserve"> </w:t>
      </w:r>
      <w:r w:rsidR="08D91F67">
        <w:rPr>
          <w:i/>
        </w:rPr>
        <w:t>in</w:t>
      </w:r>
      <w:r w:rsidR="00565EE7" w:rsidRPr="00273106">
        <w:rPr>
          <w:i/>
        </w:rPr>
        <w:t>mediatis</w:t>
      </w:r>
      <w:r w:rsidR="00E97D5C">
        <w:t>“</w:t>
      </w:r>
      <w:r w:rsidR="00565EE7">
        <w:rPr>
          <w:i/>
        </w:rPr>
        <w:fldChar w:fldCharType="begin"/>
      </w:r>
      <w:r w:rsidR="00565EE7">
        <w:instrText xml:space="preserve"> XE "princip </w:instrText>
      </w:r>
      <w:r w:rsidR="08D91F67">
        <w:rPr>
          <w:i/>
        </w:rPr>
        <w:instrText>ex in</w:instrText>
      </w:r>
      <w:r w:rsidR="00565EE7" w:rsidRPr="00C70BD9">
        <w:rPr>
          <w:i/>
        </w:rPr>
        <w:instrText>mediatis</w:instrText>
      </w:r>
      <w:r w:rsidR="00565EE7">
        <w:instrText xml:space="preserve">" </w:instrText>
      </w:r>
      <w:r w:rsidR="00565EE7">
        <w:rPr>
          <w:i/>
        </w:rPr>
        <w:fldChar w:fldCharType="end"/>
      </w:r>
      <w:r w:rsidR="00565EE7" w:rsidRPr="00273106">
        <w:t xml:space="preserve"> (ἂν δι' ἀμέσων</w:t>
      </w:r>
      <w:r w:rsidR="08354E77">
        <w:t xml:space="preserve">, </w:t>
      </w:r>
      <w:r w:rsidR="08354E77" w:rsidRPr="00273106">
        <w:rPr>
          <w:i/>
        </w:rPr>
        <w:t>Anal. Post</w:t>
      </w:r>
      <w:r w:rsidR="08354E77" w:rsidRPr="00273106">
        <w:t>. 93a36</w:t>
      </w:r>
      <w:r w:rsidR="08354E77">
        <w:fldChar w:fldCharType="begin"/>
      </w:r>
      <w:r w:rsidR="08354E77">
        <w:instrText xml:space="preserve"> XE "Aristoteles:</w:instrText>
      </w:r>
      <w:r w:rsidR="08354E77" w:rsidRPr="00D07122">
        <w:rPr>
          <w:i/>
        </w:rPr>
        <w:instrText>Anal. Post</w:instrText>
      </w:r>
      <w:r w:rsidR="08354E77" w:rsidRPr="00D07122">
        <w:instrText>. 93a36</w:instrText>
      </w:r>
      <w:r w:rsidR="08354E77">
        <w:instrText xml:space="preserve">" </w:instrText>
      </w:r>
      <w:r w:rsidR="08354E77">
        <w:fldChar w:fldCharType="end"/>
      </w:r>
      <w:r w:rsidR="00565EE7" w:rsidRPr="00273106">
        <w:t xml:space="preserve">). </w:t>
      </w:r>
      <w:r w:rsidR="001239CC" w:rsidRPr="001239CC">
        <w:t xml:space="preserve">Na stejném místě se tvrdí, že tento princip svou existencí zakládá </w:t>
      </w:r>
      <w:r w:rsidR="001239CC">
        <w:t xml:space="preserve">médium </w:t>
      </w:r>
      <w:r w:rsidR="001239CC" w:rsidRPr="001239CC">
        <w:t>deduktivního sylogismu, který sleduje skutečnou nutnost</w:t>
      </w:r>
      <w:r w:rsidR="001239CC">
        <w:t xml:space="preserve"> </w:t>
      </w:r>
      <w:r w:rsidR="00565EE7" w:rsidRPr="00273106">
        <w:t xml:space="preserve">(εἰ δὲ μή, τὸ ὅτι, </w:t>
      </w:r>
      <w:r w:rsidR="00565EE7" w:rsidRPr="00273106">
        <w:lastRenderedPageBreak/>
        <w:t>τὸ διότι δ' οὔ</w:t>
      </w:r>
      <w:r w:rsidR="00565EE7" w:rsidRPr="00273106">
        <w:rPr>
          <w:rFonts w:ascii="Times New Roman" w:eastAsia="Times New Roman" w:hAnsi="Times New Roman"/>
          <w:szCs w:val="24"/>
        </w:rPr>
        <w:t xml:space="preserve">, </w:t>
      </w:r>
      <w:r w:rsidR="00565EE7" w:rsidRPr="00273106">
        <w:rPr>
          <w:i/>
        </w:rPr>
        <w:t>Anal. Post</w:t>
      </w:r>
      <w:r w:rsidR="00565EE7" w:rsidRPr="00273106">
        <w:t>. 93a36</w:t>
      </w:r>
      <w:r w:rsidR="00565EE7">
        <w:fldChar w:fldCharType="begin"/>
      </w:r>
      <w:r w:rsidR="00565EE7">
        <w:instrText xml:space="preserve"> XE "Aristoteles:</w:instrText>
      </w:r>
      <w:r w:rsidR="00565EE7" w:rsidRPr="00D07122">
        <w:rPr>
          <w:i/>
        </w:rPr>
        <w:instrText>Anal. Post</w:instrText>
      </w:r>
      <w:r w:rsidR="00565EE7" w:rsidRPr="00D07122">
        <w:instrText>. 93a36</w:instrText>
      </w:r>
      <w:r w:rsidR="00565EE7">
        <w:instrText xml:space="preserve">" </w:instrText>
      </w:r>
      <w:r w:rsidR="00565EE7">
        <w:fldChar w:fldCharType="end"/>
      </w:r>
      <w:r w:rsidR="00565EE7" w:rsidRPr="00273106">
        <w:t>).</w:t>
      </w:r>
      <w:r w:rsidR="00565EE7">
        <w:t xml:space="preserve"> Podle Alberta je tento princip obsažen </w:t>
      </w:r>
      <w:r w:rsidR="00565EE7" w:rsidRPr="00273106">
        <w:t xml:space="preserve">v axiomu </w:t>
      </w:r>
      <w:r w:rsidR="000B7F3F">
        <w:t>„</w:t>
      </w:r>
      <w:r w:rsidR="00010B8E">
        <w:rPr>
          <w:i/>
        </w:rPr>
        <w:t>inmediate</w:t>
      </w:r>
      <w:r w:rsidR="000B7F3F">
        <w:t>“</w:t>
      </w:r>
      <w:r w:rsidR="00565EE7">
        <w:t xml:space="preserve"> a je zásadně vztažený k bytí p</w:t>
      </w:r>
      <w:r w:rsidR="08E744DA">
        <w:t>rvní substance v realitě (kap. 2</w:t>
      </w:r>
      <w:r w:rsidR="00565EE7">
        <w:t>.4.1)</w:t>
      </w:r>
      <w:r w:rsidR="00565EE7" w:rsidRPr="00273106">
        <w:t xml:space="preserve">. </w:t>
      </w:r>
      <w:r w:rsidR="00565EE7">
        <w:t xml:space="preserve">Univerzální druhá substance </w:t>
      </w:r>
      <w:r w:rsidR="00BE4199">
        <w:t>vzniká impozicí symslu od hyparchické</w:t>
      </w:r>
      <w:r w:rsidR="083E7674">
        <w:t xml:space="preserve"> </w:t>
      </w:r>
      <w:r w:rsidR="00BE4199">
        <w:t xml:space="preserve">první substance. Tento postup </w:t>
      </w:r>
      <w:r w:rsidR="009062C9">
        <w:t xml:space="preserve">zakládá univocitu v rámci jednoho rodu. </w:t>
      </w:r>
      <w:r w:rsidR="0057310B">
        <w:t>N</w:t>
      </w:r>
      <w:r w:rsidR="0057310B" w:rsidRPr="00273106">
        <w:t xml:space="preserve">astolení </w:t>
      </w:r>
      <w:r w:rsidR="0057310B" w:rsidRPr="00273106">
        <w:rPr>
          <w:i/>
        </w:rPr>
        <w:t>Oxfordian Fallacy</w:t>
      </w:r>
      <w:r w:rsidR="0057310B" w:rsidRPr="00273106">
        <w:t xml:space="preserve"> porušilo klíčový princip </w:t>
      </w:r>
      <w:r w:rsidR="08B8030A">
        <w:t xml:space="preserve">pravdivého vědeckého </w:t>
      </w:r>
      <w:r w:rsidR="0057310B" w:rsidRPr="00273106">
        <w:t>poznání</w:t>
      </w:r>
      <w:r w:rsidR="0057310B">
        <w:t xml:space="preserve"> daný adekvací intelektu k působení reálné věci. </w:t>
      </w:r>
      <w:r w:rsidR="08DE6944">
        <w:t xml:space="preserve">Impozice jedinečné nutnosti dané reálnou kauzalitou byla zrušena a nahrazena univerzální supozicí nutnosti dané logicky. </w:t>
      </w:r>
      <w:r w:rsidR="0057310B">
        <w:t>Analytický výklad zrušil kauzálně založený postup poznání vzh</w:t>
      </w:r>
      <w:r w:rsidR="0057310B" w:rsidRPr="00273106">
        <w:t xml:space="preserve">ledem k realitě, </w:t>
      </w:r>
      <w:r w:rsidR="0057310B">
        <w:t xml:space="preserve">k níž </w:t>
      </w:r>
      <w:r w:rsidR="0057310B" w:rsidRPr="00273106">
        <w:t xml:space="preserve">je primárně </w:t>
      </w:r>
      <w:r w:rsidR="0057310B">
        <w:t xml:space="preserve">zaměřeno </w:t>
      </w:r>
      <w:r w:rsidR="0057310B" w:rsidRPr="00273106">
        <w:t xml:space="preserve">vědecké </w:t>
      </w:r>
      <w:r w:rsidR="0057310B" w:rsidRPr="00273106">
        <w:rPr>
          <w:i/>
        </w:rPr>
        <w:t>demonstratio</w:t>
      </w:r>
      <w:r w:rsidR="0057310B">
        <w:rPr>
          <w:i/>
        </w:rPr>
        <w:fldChar w:fldCharType="begin"/>
      </w:r>
      <w:r w:rsidR="0057310B">
        <w:instrText xml:space="preserve"> XE "</w:instrText>
      </w:r>
      <w:r w:rsidR="0057310B" w:rsidRPr="004E6075">
        <w:rPr>
          <w:i/>
        </w:rPr>
        <w:instrText>demonstratio:</w:instrText>
      </w:r>
      <w:r w:rsidR="0057310B">
        <w:instrText xml:space="preserve">Averroes" </w:instrText>
      </w:r>
      <w:r w:rsidR="0057310B">
        <w:rPr>
          <w:i/>
        </w:rPr>
        <w:fldChar w:fldCharType="end"/>
      </w:r>
      <w:r w:rsidR="08DA6A90">
        <w:t xml:space="preserve"> v řádu metafyzické abstrakce. </w:t>
      </w:r>
      <w:r w:rsidR="00746F85">
        <w:t xml:space="preserve">Přeměna reálného </w:t>
      </w:r>
      <w:r w:rsidR="00746F85" w:rsidRPr="00273106">
        <w:t>princip</w:t>
      </w:r>
      <w:r w:rsidR="00746F85">
        <w:t>u</w:t>
      </w:r>
      <w:r w:rsidR="00746F85" w:rsidRPr="00273106">
        <w:t xml:space="preserve"> poznání </w:t>
      </w:r>
      <w:r w:rsidR="00746F85">
        <w:t xml:space="preserve">za ideální </w:t>
      </w:r>
      <w:r w:rsidR="08E67F8A">
        <w:t>konstrukt t</w:t>
      </w:r>
      <w:r w:rsidR="00B241D1" w:rsidRPr="00273106">
        <w:t xml:space="preserve">voří základ myšlení školy </w:t>
      </w:r>
      <w:r w:rsidR="00B241D1" w:rsidRPr="00273106">
        <w:rPr>
          <w:i/>
        </w:rPr>
        <w:t>Modernorum</w:t>
      </w:r>
      <w:r w:rsidR="00B241D1" w:rsidRPr="00273106">
        <w:t xml:space="preserve">, která na Oxfordu </w:t>
      </w:r>
      <w:r w:rsidR="08B8030A">
        <w:t xml:space="preserve">v letech 1230–35 </w:t>
      </w:r>
      <w:r w:rsidR="00B241D1" w:rsidRPr="00273106">
        <w:t xml:space="preserve">zavedla analytický výklad </w:t>
      </w:r>
      <w:r w:rsidR="00B241D1" w:rsidRPr="005E337F">
        <w:rPr>
          <w:i/>
        </w:rPr>
        <w:t>Druhých analytik</w:t>
      </w:r>
      <w:r w:rsidR="00B241D1" w:rsidRPr="00273106">
        <w:t>.</w:t>
      </w:r>
      <w:r w:rsidR="00B00ED8">
        <w:t xml:space="preserve"> </w:t>
      </w:r>
      <w:r w:rsidR="003D6DD5" w:rsidRPr="00273106">
        <w:t xml:space="preserve">Citovaný omyl </w:t>
      </w:r>
      <w:r w:rsidR="003D6DD5">
        <w:t xml:space="preserve">Latiníků </w:t>
      </w:r>
      <w:r w:rsidR="003D6DD5" w:rsidRPr="00273106">
        <w:t xml:space="preserve">patří do rámce tehdy diskutovaných </w:t>
      </w:r>
      <w:r w:rsidR="003D6DD5">
        <w:t>logických omylů</w:t>
      </w:r>
      <w:r w:rsidR="00604ADE">
        <w:t xml:space="preserve"> odsouzených ve škole </w:t>
      </w:r>
      <w:r w:rsidR="00604ADE" w:rsidRPr="00604ADE">
        <w:rPr>
          <w:i/>
        </w:rPr>
        <w:t>logica Vetus</w:t>
      </w:r>
      <w:r w:rsidR="003D6DD5">
        <w:t xml:space="preserve">, což </w:t>
      </w:r>
      <w:r w:rsidR="00604ADE">
        <w:t xml:space="preserve">potvrdil </w:t>
      </w:r>
      <w:r w:rsidR="003D6DD5">
        <w:t xml:space="preserve">Bacon v </w:t>
      </w:r>
      <w:r w:rsidR="003D6DD5" w:rsidRPr="00273106">
        <w:t>polemice</w:t>
      </w:r>
      <w:r w:rsidR="083C3A40">
        <w:t xml:space="preserve"> proti Kilwardbyho škole (kap. 3</w:t>
      </w:r>
      <w:r w:rsidR="003D6DD5" w:rsidRPr="00273106">
        <w:t>.2).</w:t>
      </w:r>
      <w:r w:rsidR="003D6DD5">
        <w:t xml:space="preserve"> </w:t>
      </w:r>
      <w:r w:rsidR="08A85461">
        <w:t>Moderní věda začíná zatmění</w:t>
      </w:r>
      <w:r w:rsidR="00D479AD">
        <w:t>m</w:t>
      </w:r>
      <w:r w:rsidR="08A85461">
        <w:t xml:space="preserve"> první substance</w:t>
      </w:r>
      <w:r w:rsidR="00D479AD">
        <w:t xml:space="preserve">. </w:t>
      </w:r>
      <w:r w:rsidR="00D479AD" w:rsidRPr="00D479AD">
        <w:t>Zatmění skutečného Slunce jak</w:t>
      </w:r>
      <w:r w:rsidR="00D479AD">
        <w:t xml:space="preserve">o astronomického tělesa zmizelo, </w:t>
      </w:r>
      <w:r w:rsidR="00D479AD" w:rsidRPr="00D479AD">
        <w:t>a s ním i kauzál</w:t>
      </w:r>
      <w:r w:rsidR="00D479AD">
        <w:t xml:space="preserve">ní vliv reality na naše poznání. </w:t>
      </w:r>
      <w:r w:rsidR="08A85461">
        <w:t>Moderní ilumináti si začali hrát na Pýthii věštící v tem</w:t>
      </w:r>
      <w:r w:rsidR="08D002F3">
        <w:t xml:space="preserve">né jeskyni. </w:t>
      </w:r>
      <w:r w:rsidR="08A85461">
        <w:t xml:space="preserve">Aristoteles </w:t>
      </w:r>
      <w:r w:rsidR="08D002F3">
        <w:t xml:space="preserve">naopak </w:t>
      </w:r>
      <w:r w:rsidR="08A85461">
        <w:t>požadoval zdravý a kritický rozum smyslově poznávající s</w:t>
      </w:r>
      <w:r w:rsidR="00641918">
        <w:t>vět reálných prvních substancí.</w:t>
      </w:r>
    </w:p>
    <w:p w14:paraId="07161186" w14:textId="7A253F9B" w:rsidR="00563D2C" w:rsidRDefault="08DF7935" w:rsidP="000E34E1">
      <w:pPr>
        <w:ind w:firstLine="397"/>
      </w:pPr>
      <w:r>
        <w:t xml:space="preserve">Nový </w:t>
      </w:r>
      <w:r w:rsidR="083C6275">
        <w:t>výklad</w:t>
      </w:r>
      <w:r w:rsidR="00815475">
        <w:t xml:space="preserve"> </w:t>
      </w:r>
      <w:r w:rsidR="00815475" w:rsidRPr="00DB617C">
        <w:rPr>
          <w:i/>
        </w:rPr>
        <w:t>Druhých analytik</w:t>
      </w:r>
      <w:r w:rsidR="083C6275">
        <w:t xml:space="preserve"> založil</w:t>
      </w:r>
      <w:r w:rsidR="00815475">
        <w:t xml:space="preserve"> dějinnou událost </w:t>
      </w:r>
      <w:r w:rsidR="08D002F3">
        <w:t>moderní slepoty k</w:t>
      </w:r>
      <w:r w:rsidR="08E84176">
        <w:t xml:space="preserve"> realitě. Hermenutika tím </w:t>
      </w:r>
      <w:r w:rsidR="08D002F3">
        <w:t>určil</w:t>
      </w:r>
      <w:r w:rsidR="08E84176">
        <w:t>a</w:t>
      </w:r>
      <w:r w:rsidR="08D002F3">
        <w:t xml:space="preserve"> základní způsob, </w:t>
      </w:r>
      <w:r w:rsidR="00815475">
        <w:t>„jak“ (</w:t>
      </w:r>
      <w:r w:rsidR="00815475" w:rsidRPr="00087F75">
        <w:rPr>
          <w:i/>
        </w:rPr>
        <w:t>Wie</w:t>
      </w:r>
      <w:r w:rsidR="00815475">
        <w:t xml:space="preserve">) vznikl </w:t>
      </w:r>
      <w:r w:rsidR="08E84176">
        <w:t xml:space="preserve">epochální </w:t>
      </w:r>
      <w:r w:rsidR="00815475" w:rsidRPr="004D46DC">
        <w:rPr>
          <w:i/>
        </w:rPr>
        <w:t>Irrtum</w:t>
      </w:r>
      <w:r w:rsidR="00815475">
        <w:rPr>
          <w:i/>
        </w:rPr>
        <w:fldChar w:fldCharType="begin"/>
      </w:r>
      <w:r w:rsidR="00815475">
        <w:instrText xml:space="preserve"> XE "</w:instrText>
      </w:r>
      <w:r w:rsidR="00815475" w:rsidRPr="00453B3F">
        <w:rPr>
          <w:i/>
        </w:rPr>
        <w:instrText>Irrtum</w:instrText>
      </w:r>
      <w:r w:rsidR="00815475">
        <w:instrText xml:space="preserve">:moderna" </w:instrText>
      </w:r>
      <w:r w:rsidR="00815475">
        <w:rPr>
          <w:i/>
        </w:rPr>
        <w:fldChar w:fldCharType="end"/>
      </w:r>
      <w:r w:rsidR="00815475" w:rsidRPr="00087F75">
        <w:t xml:space="preserve"> </w:t>
      </w:r>
      <w:r w:rsidR="00DF1802">
        <w:t xml:space="preserve">moderní metafyziky </w:t>
      </w:r>
      <w:r w:rsidR="00DF1802" w:rsidRPr="00DF1802">
        <w:t xml:space="preserve">v modu </w:t>
      </w:r>
      <w:r w:rsidR="00DF1802" w:rsidRPr="00DF1802">
        <w:rPr>
          <w:i/>
        </w:rPr>
        <w:t>peccatum originale</w:t>
      </w:r>
      <w:r w:rsidR="00DF1802" w:rsidRPr="00DF1802">
        <w:t>.</w:t>
      </w:r>
      <w:r w:rsidR="00DF1802">
        <w:t xml:space="preserve"> </w:t>
      </w:r>
      <w:r w:rsidR="0805382C">
        <w:t xml:space="preserve">Dějinnost tohoto rozlišení v modu </w:t>
      </w:r>
      <w:r w:rsidR="0805382C" w:rsidRPr="0805382C">
        <w:rPr>
          <w:i/>
        </w:rPr>
        <w:t>Anfang</w:t>
      </w:r>
      <w:r w:rsidR="0805382C">
        <w:t xml:space="preserve"> určila odlišné dějiny obou škol </w:t>
      </w:r>
      <w:r w:rsidR="08EF2CE2">
        <w:t xml:space="preserve">a tím vysvětluje i </w:t>
      </w:r>
      <w:r w:rsidR="0805382C">
        <w:t>pozitivní historii</w:t>
      </w:r>
      <w:r w:rsidR="00815475">
        <w:t xml:space="preserve"> moderní a postmoderní vědy. </w:t>
      </w:r>
      <w:r w:rsidR="08F632B2">
        <w:t>Grossetesteho k</w:t>
      </w:r>
      <w:r w:rsidR="008F2F1A">
        <w:t xml:space="preserve">omentář </w:t>
      </w:r>
      <w:r w:rsidR="009E1420" w:rsidRPr="00273106">
        <w:t xml:space="preserve">posunuje kauzální působení prvních substancí při zatmění </w:t>
      </w:r>
      <w:r w:rsidR="00C6734F">
        <w:fldChar w:fldCharType="begin"/>
      </w:r>
      <w:r w:rsidR="00C6734F">
        <w:instrText xml:space="preserve"> XE "</w:instrText>
      </w:r>
      <w:r w:rsidR="00C6734F" w:rsidRPr="00C27681">
        <w:instrText>zatmění</w:instrText>
      </w:r>
      <w:r w:rsidR="00C6734F" w:rsidRPr="082526E0">
        <w:rPr>
          <w:i/>
        </w:rPr>
        <w:instrText>:Druhé analytiky</w:instrText>
      </w:r>
      <w:r w:rsidR="00C6734F">
        <w:instrText xml:space="preserve">" </w:instrText>
      </w:r>
      <w:r w:rsidR="00C6734F">
        <w:fldChar w:fldCharType="end"/>
      </w:r>
      <w:r w:rsidR="009E1420" w:rsidRPr="00273106">
        <w:t>směrem k intuitivnímu náhledu prvních principů (</w:t>
      </w:r>
      <w:r w:rsidR="009E1420" w:rsidRPr="00273106">
        <w:rPr>
          <w:i/>
        </w:rPr>
        <w:t>intellectus</w:t>
      </w:r>
      <w:r w:rsidR="009E1420" w:rsidRPr="00273106">
        <w:t xml:space="preserve">). </w:t>
      </w:r>
      <w:r w:rsidR="00E4343B">
        <w:t xml:space="preserve">Postup </w:t>
      </w:r>
      <w:r w:rsidR="08D4609D">
        <w:t xml:space="preserve">Grossetesteho </w:t>
      </w:r>
      <w:r w:rsidR="00E4343B">
        <w:t xml:space="preserve">dedukce je chybný z hlediska metafyziky vztažené k prvním substancím, nikoliv z hlediska logiky. </w:t>
      </w:r>
      <w:r w:rsidR="08D671B9">
        <w:t xml:space="preserve">Z hlediska </w:t>
      </w:r>
      <w:r w:rsidR="08F9566D">
        <w:t xml:space="preserve">myšlení </w:t>
      </w:r>
      <w:r w:rsidR="08D671B9" w:rsidRPr="08D4609D">
        <w:rPr>
          <w:i/>
        </w:rPr>
        <w:t>logica Vetus</w:t>
      </w:r>
      <w:r w:rsidR="08F9566D">
        <w:t xml:space="preserve"> hájící</w:t>
      </w:r>
      <w:r w:rsidR="08D671B9">
        <w:t xml:space="preserve"> aristotelský postup vědění </w:t>
      </w:r>
      <w:r w:rsidR="08BF45F0">
        <w:t xml:space="preserve">a pravdy jako adekvace </w:t>
      </w:r>
      <w:r w:rsidR="08D671B9">
        <w:t xml:space="preserve">představuje </w:t>
      </w:r>
      <w:r w:rsidR="08B6373B">
        <w:t xml:space="preserve">analytická věda podaná </w:t>
      </w:r>
      <w:r w:rsidR="000736D7">
        <w:t>v rámci</w:t>
      </w:r>
      <w:r w:rsidR="002E5E5E">
        <w:t xml:space="preserve"> </w:t>
      </w:r>
      <w:r w:rsidR="003048E4" w:rsidRPr="008B6E30">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586A86">
        <w:instrText>:</w:instrText>
      </w:r>
      <w:r w:rsidR="00586A86" w:rsidRPr="00586A86">
        <w:instrText>supozice</w:instrText>
      </w:r>
      <w:r w:rsidR="00924399">
        <w:instrText xml:space="preserve">" </w:instrText>
      </w:r>
      <w:r w:rsidR="00924399">
        <w:rPr>
          <w:i/>
        </w:rPr>
        <w:fldChar w:fldCharType="end"/>
      </w:r>
      <w:r w:rsidR="003048E4">
        <w:t xml:space="preserve"> </w:t>
      </w:r>
      <w:r w:rsidR="000736D7">
        <w:t xml:space="preserve">čistou sofistiku. </w:t>
      </w:r>
      <w:r w:rsidR="00DE6480">
        <w:t>Mrtvola v řádu metafyzické abstrakce dané impozicí není člověk</w:t>
      </w:r>
      <w:r w:rsidR="00915401">
        <w:rPr>
          <w:i/>
        </w:rPr>
        <w:fldChar w:fldCharType="begin"/>
      </w:r>
      <w:r w:rsidR="00915401">
        <w:instrText xml:space="preserve"> XE "sofisma člověk-mrtvola" </w:instrText>
      </w:r>
      <w:r w:rsidR="00915401">
        <w:rPr>
          <w:i/>
        </w:rPr>
        <w:fldChar w:fldCharType="end"/>
      </w:r>
      <w:r w:rsidR="00DE6480">
        <w:t>, i když specifická definice mrtvolu označí za „člověka“</w:t>
      </w:r>
      <w:r w:rsidR="00DC3F13">
        <w:t xml:space="preserve"> v rámci logické supozice</w:t>
      </w:r>
      <w:r w:rsidR="00DE6480">
        <w:t xml:space="preserve">. </w:t>
      </w:r>
      <w:r w:rsidR="08D40DDC">
        <w:t xml:space="preserve">Problém </w:t>
      </w:r>
      <w:r w:rsidR="08D40DDC">
        <w:rPr>
          <w:i/>
        </w:rPr>
        <w:t>Oxfordi</w:t>
      </w:r>
      <w:r w:rsidR="08D40DDC" w:rsidRPr="00A07AC6">
        <w:rPr>
          <w:i/>
        </w:rPr>
        <w:t>a</w:t>
      </w:r>
      <w:r w:rsidR="08D40DDC">
        <w:rPr>
          <w:i/>
        </w:rPr>
        <w:t>n</w:t>
      </w:r>
      <w:r w:rsidR="08D40DDC" w:rsidRPr="00A07AC6">
        <w:rPr>
          <w:i/>
        </w:rPr>
        <w:t xml:space="preserve"> Fallacy</w:t>
      </w:r>
      <w:r w:rsidR="08D40DDC">
        <w:t xml:space="preserve"> spočívá ve zrušení metafyzické impozice a její sofistické nahrazení za logickou </w:t>
      </w:r>
      <w:r w:rsidR="00A07AC6">
        <w:t>supozic</w:t>
      </w:r>
      <w:r w:rsidR="08D40DDC">
        <w:t>i</w:t>
      </w:r>
      <w:r w:rsidR="00A07AC6">
        <w:t xml:space="preserve">. </w:t>
      </w:r>
      <w:r w:rsidR="003048E4">
        <w:t>N</w:t>
      </w:r>
      <w:r w:rsidR="002E5E5E">
        <w:t xml:space="preserve">utnost </w:t>
      </w:r>
      <w:r w:rsidR="001961BF">
        <w:t xml:space="preserve">daná </w:t>
      </w:r>
      <w:r w:rsidR="002E5E5E">
        <w:t>impozic</w:t>
      </w:r>
      <w:r w:rsidR="001961BF">
        <w:t>í</w:t>
      </w:r>
      <w:r w:rsidR="002E5E5E">
        <w:t xml:space="preserve"> </w:t>
      </w:r>
      <w:r w:rsidR="001961BF">
        <w:t>je založena na reálných vztazích</w:t>
      </w:r>
      <w:r w:rsidR="002E5E5E">
        <w:t xml:space="preserve"> prvních substancí </w:t>
      </w:r>
      <w:r w:rsidR="001961BF">
        <w:t xml:space="preserve">a </w:t>
      </w:r>
      <w:r w:rsidR="002E5E5E">
        <w:t xml:space="preserve">není </w:t>
      </w:r>
      <w:r w:rsidR="002E5E5E">
        <w:lastRenderedPageBreak/>
        <w:t xml:space="preserve">správně rozlišena </w:t>
      </w:r>
      <w:r w:rsidR="001961BF">
        <w:t xml:space="preserve">od </w:t>
      </w:r>
      <w:r w:rsidR="00430A78">
        <w:t xml:space="preserve">logické </w:t>
      </w:r>
      <w:r w:rsidR="00120246">
        <w:t xml:space="preserve">nutnosti </w:t>
      </w:r>
      <w:r w:rsidR="003048E4">
        <w:t xml:space="preserve">dané </w:t>
      </w:r>
      <w:r w:rsidR="002E5E5E">
        <w:t xml:space="preserve">na úrovni </w:t>
      </w:r>
      <w:r w:rsidR="00430A78">
        <w:t xml:space="preserve">abstraktně utvořených </w:t>
      </w:r>
      <w:r w:rsidR="002E5E5E">
        <w:t>druhých substancí</w:t>
      </w:r>
      <w:r w:rsidR="083E4F14">
        <w:t xml:space="preserve">. Do této skupiny hyparchicky určených logických významů patří </w:t>
      </w:r>
      <w:r w:rsidR="00430A78">
        <w:t>matematická čísla, geometrické figury, nebo porretánské hypostáze</w:t>
      </w:r>
      <w:r w:rsidR="002E5E5E">
        <w:t xml:space="preserve">. </w:t>
      </w:r>
      <w:r w:rsidR="00615F78" w:rsidRPr="00615F78">
        <w:t>Skutečná věc je však nutná, protože existuje sama o sobě, a nikoliv kvůli existenci logiky.</w:t>
      </w:r>
      <w:r w:rsidR="00615F78">
        <w:t xml:space="preserve"> Podobně chybnou </w:t>
      </w:r>
      <w:r w:rsidR="00E1679C">
        <w:t xml:space="preserve">pozici </w:t>
      </w:r>
      <w:r w:rsidR="00E1679C" w:rsidRPr="00273106">
        <w:t xml:space="preserve">najdeme v Avicennově výkladu </w:t>
      </w:r>
      <w:r w:rsidR="00E1679C" w:rsidRPr="00567124">
        <w:rPr>
          <w:i/>
        </w:rPr>
        <w:t>Druhých Analytik</w:t>
      </w:r>
      <w:r w:rsidR="00E1679C" w:rsidRPr="00273106">
        <w:t>, které předznamenávají vývoj druhého averroismu</w:t>
      </w:r>
      <w:r w:rsidR="00E1679C">
        <w:t xml:space="preserve"> hyparchickým postavením rodu jako první substance</w:t>
      </w:r>
      <w:r w:rsidR="00E1679C">
        <w:fldChar w:fldCharType="begin"/>
      </w:r>
      <w:r w:rsidR="00E1679C">
        <w:instrText xml:space="preserve"> XE "</w:instrText>
      </w:r>
      <w:r w:rsidR="00E1679C" w:rsidRPr="009526B3">
        <w:instrText>predikace:hyparchická</w:instrText>
      </w:r>
      <w:r w:rsidR="00E1679C">
        <w:instrText xml:space="preserve">" </w:instrText>
      </w:r>
      <w:r w:rsidR="00E1679C">
        <w:fldChar w:fldCharType="end"/>
      </w:r>
      <w:r w:rsidR="00E1679C" w:rsidRPr="00273106">
        <w:t>.</w:t>
      </w:r>
      <w:r w:rsidR="00E1679C" w:rsidRPr="00273106">
        <w:rPr>
          <w:rStyle w:val="Znakapoznpodarou"/>
        </w:rPr>
        <w:footnoteReference w:id="300"/>
      </w:r>
      <w:r w:rsidR="00E1679C" w:rsidRPr="00273106">
        <w:t xml:space="preserve"> </w:t>
      </w:r>
      <w:r w:rsidR="08A152B1">
        <w:t xml:space="preserve">Podle avicennismu </w:t>
      </w:r>
      <w:r w:rsidR="08A152B1" w:rsidRPr="00273106">
        <w:t xml:space="preserve">obsahují </w:t>
      </w:r>
      <w:r w:rsidR="08A152B1">
        <w:t>i</w:t>
      </w:r>
      <w:r w:rsidR="08A152B1" w:rsidRPr="00273106">
        <w:t xml:space="preserve">ndividuální věci </w:t>
      </w:r>
      <w:r w:rsidR="08A152B1">
        <w:t xml:space="preserve">hypostázované </w:t>
      </w:r>
      <w:r w:rsidR="08A152B1" w:rsidRPr="00273106">
        <w:t xml:space="preserve">formy jen nedokonale a pouze díky </w:t>
      </w:r>
      <w:r w:rsidR="08A152B1">
        <w:t xml:space="preserve">jejich </w:t>
      </w:r>
      <w:r w:rsidR="08A152B1" w:rsidRPr="00273106">
        <w:t xml:space="preserve">participaci na vyšším řádu bytí. Člověk tyto formy poznává skrze </w:t>
      </w:r>
      <w:r w:rsidR="08A152B1" w:rsidRPr="00273106">
        <w:rPr>
          <w:i/>
        </w:rPr>
        <w:t>intellectus adeptus</w:t>
      </w:r>
      <w:r w:rsidR="08A152B1">
        <w:rPr>
          <w:i/>
        </w:rPr>
        <w:fldChar w:fldCharType="begin"/>
      </w:r>
      <w:r w:rsidR="08A152B1">
        <w:instrText xml:space="preserve"> XE "</w:instrText>
      </w:r>
      <w:r w:rsidR="08A152B1" w:rsidRPr="00F77FCE">
        <w:rPr>
          <w:i/>
        </w:rPr>
        <w:instrText>intellectus adeptus</w:instrText>
      </w:r>
      <w:r w:rsidR="08A152B1">
        <w:instrText>:</w:instrText>
      </w:r>
      <w:r w:rsidR="08A152B1" w:rsidRPr="006D3043">
        <w:instrText>Avicenna</w:instrText>
      </w:r>
      <w:r w:rsidR="08A152B1">
        <w:instrText xml:space="preserve">" </w:instrText>
      </w:r>
      <w:r w:rsidR="08A152B1">
        <w:rPr>
          <w:i/>
        </w:rPr>
        <w:fldChar w:fldCharType="end"/>
      </w:r>
      <w:r w:rsidR="08A152B1" w:rsidRPr="00273106">
        <w:t xml:space="preserve"> a skrze zvláštní formu abstrakce dané jako denudaci svébytných forem</w:t>
      </w:r>
      <w:r w:rsidR="08533732">
        <w:t xml:space="preserve">. A tyto čisté a autonomní formy </w:t>
      </w:r>
      <w:r w:rsidR="08A152B1" w:rsidRPr="00273106">
        <w:t xml:space="preserve">je třeba </w:t>
      </w:r>
      <w:r w:rsidR="081C23FB">
        <w:t xml:space="preserve">v procesu avicennistického </w:t>
      </w:r>
      <w:r w:rsidR="081C23FB" w:rsidRPr="081C23FB">
        <w:rPr>
          <w:i/>
        </w:rPr>
        <w:t>denudatio</w:t>
      </w:r>
      <w:r w:rsidR="081C23FB">
        <w:rPr>
          <w:i/>
          <w:szCs w:val="24"/>
          <w:lang w:val="de-DE"/>
        </w:rPr>
        <w:fldChar w:fldCharType="begin"/>
      </w:r>
      <w:r w:rsidR="081C23FB">
        <w:instrText xml:space="preserve"> XE "abstrakce:</w:instrText>
      </w:r>
      <w:r w:rsidR="081C23FB" w:rsidRPr="081C23FB">
        <w:rPr>
          <w:i/>
          <w:szCs w:val="24"/>
        </w:rPr>
        <w:instrText>denudatio</w:instrText>
      </w:r>
      <w:r w:rsidR="081C23FB">
        <w:instrText xml:space="preserve">" </w:instrText>
      </w:r>
      <w:r w:rsidR="081C23FB">
        <w:rPr>
          <w:i/>
          <w:szCs w:val="24"/>
          <w:lang w:val="de-DE"/>
        </w:rPr>
        <w:fldChar w:fldCharType="end"/>
      </w:r>
      <w:r w:rsidR="081C23FB">
        <w:t xml:space="preserve"> </w:t>
      </w:r>
      <w:r w:rsidR="08A152B1" w:rsidRPr="00273106">
        <w:t>zbavit kontingentní materie.</w:t>
      </w:r>
      <w:r w:rsidR="08A152B1">
        <w:t xml:space="preserve"> </w:t>
      </w:r>
      <w:r w:rsidR="00E1679C" w:rsidRPr="00273106">
        <w:t xml:space="preserve">Škola druhého averroismu </w:t>
      </w:r>
      <w:r w:rsidR="08A152B1">
        <w:t xml:space="preserve">podržuje </w:t>
      </w:r>
      <w:r w:rsidR="08A152B1" w:rsidRPr="00273106">
        <w:t xml:space="preserve">Avicennovo dvojí pojetí vědy jako </w:t>
      </w:r>
      <w:r w:rsidR="08A152B1" w:rsidRPr="00273106">
        <w:rPr>
          <w:i/>
        </w:rPr>
        <w:t>scientia simplex</w:t>
      </w:r>
      <w:r w:rsidR="08A152B1" w:rsidRPr="00273106">
        <w:t xml:space="preserve"> a </w:t>
      </w:r>
      <w:r w:rsidR="08A152B1" w:rsidRPr="00273106">
        <w:rPr>
          <w:i/>
        </w:rPr>
        <w:t>scientia cogitabilis</w:t>
      </w:r>
      <w:r w:rsidR="00E1679C">
        <w:rPr>
          <w:i/>
        </w:rPr>
        <w:fldChar w:fldCharType="begin"/>
      </w:r>
      <w:r w:rsidR="00E1679C">
        <w:instrText xml:space="preserve"> XE "</w:instrText>
      </w:r>
      <w:r w:rsidR="00E1679C" w:rsidRPr="001046E6">
        <w:rPr>
          <w:i/>
        </w:rPr>
        <w:instrText>scientia cogitabilis</w:instrText>
      </w:r>
      <w:r w:rsidR="00E1679C">
        <w:instrText xml:space="preserve">" </w:instrText>
      </w:r>
      <w:r w:rsidR="00E1679C">
        <w:rPr>
          <w:i/>
        </w:rPr>
        <w:fldChar w:fldCharType="end"/>
      </w:r>
      <w:r w:rsidR="00E1679C">
        <w:t xml:space="preserve">, které </w:t>
      </w:r>
      <w:r w:rsidR="08A152B1">
        <w:t xml:space="preserve">primárně určuje </w:t>
      </w:r>
      <w:r w:rsidR="00E1679C" w:rsidRPr="00273106">
        <w:t>náhled</w:t>
      </w:r>
      <w:r w:rsidR="08A152B1">
        <w:t xml:space="preserve"> hypostázovaných inteligibilních </w:t>
      </w:r>
      <w:r w:rsidR="00E1679C" w:rsidRPr="00273106">
        <w:t>forem (</w:t>
      </w:r>
      <w:r w:rsidR="00E1679C" w:rsidRPr="00273106">
        <w:rPr>
          <w:i/>
        </w:rPr>
        <w:t xml:space="preserve">virtus intellectus simplicis, </w:t>
      </w:r>
      <w:r w:rsidR="00E1679C" w:rsidRPr="00273106">
        <w:t xml:space="preserve">kap. 2.3.1). </w:t>
      </w:r>
      <w:r w:rsidR="084117E5">
        <w:t>V tomto mytopoetickém náhledu</w:t>
      </w:r>
      <w:r w:rsidR="08616081">
        <w:fldChar w:fldCharType="begin"/>
      </w:r>
      <w:r w:rsidR="08616081">
        <w:instrText xml:space="preserve"> XE "</w:instrText>
      </w:r>
      <w:r w:rsidR="08616081" w:rsidRPr="08FB3CFA">
        <w:instrText>mytopoiesis</w:instrText>
      </w:r>
      <w:r w:rsidR="08616081">
        <w:instrText xml:space="preserve">" </w:instrText>
      </w:r>
      <w:r w:rsidR="08616081">
        <w:fldChar w:fldCharType="end"/>
      </w:r>
      <w:r w:rsidR="084117E5">
        <w:t xml:space="preserve"> neoplatonského a později avicennistického diakosmu </w:t>
      </w:r>
      <w:r w:rsidR="08A152B1">
        <w:t xml:space="preserve">vznikla vyšší věda iluminátů o esenci a nižší věda málo osvícených aristoteliků o reálném světě. </w:t>
      </w:r>
      <w:r w:rsidR="00BB59BD">
        <w:t xml:space="preserve">Pod vedením absolutně logických Fúrií </w:t>
      </w:r>
      <w:r w:rsidR="08AF3EEC">
        <w:t>Grosseteste změnil pevně danou kosmickou cestu slunce</w:t>
      </w:r>
      <w:r w:rsidR="08583DD9">
        <w:t>, na níž Parmenides po</w:t>
      </w:r>
      <w:r w:rsidR="087A6531">
        <w:t xml:space="preserve">stavil </w:t>
      </w:r>
      <w:r w:rsidR="08583DD9">
        <w:t>identit</w:t>
      </w:r>
      <w:r w:rsidR="087A6531">
        <w:t>u</w:t>
      </w:r>
      <w:r w:rsidR="08583DD9">
        <w:t xml:space="preserve"> reality a myšlení</w:t>
      </w:r>
      <w:r w:rsidR="087A6531">
        <w:t xml:space="preserve"> (</w:t>
      </w:r>
      <w:r w:rsidR="087A6531" w:rsidRPr="00273106">
        <w:t xml:space="preserve">τὸ γὰρ αὐτὸ νοεῖν ἐστίν τε καὶ εἶναι, </w:t>
      </w:r>
      <w:r w:rsidR="087A6531" w:rsidRPr="00273106">
        <w:rPr>
          <w:i/>
        </w:rPr>
        <w:t>Parm</w:t>
      </w:r>
      <w:r w:rsidR="087A6531" w:rsidRPr="00273106">
        <w:t>. B 3</w:t>
      </w:r>
      <w:r w:rsidR="087A6531">
        <w:rPr>
          <w:i/>
        </w:rPr>
        <w:fldChar w:fldCharType="begin"/>
      </w:r>
      <w:r w:rsidR="087A6531">
        <w:instrText xml:space="preserve"> XE "Parmenides:Fr. B 3" </w:instrText>
      </w:r>
      <w:r w:rsidR="087A6531">
        <w:rPr>
          <w:i/>
        </w:rPr>
        <w:fldChar w:fldCharType="end"/>
      </w:r>
      <w:r w:rsidR="087A6531">
        <w:rPr>
          <w:lang w:eastAsia="en-US"/>
        </w:rPr>
        <w:t>).</w:t>
      </w:r>
      <w:r w:rsidR="08583DD9">
        <w:t xml:space="preserve"> </w:t>
      </w:r>
      <w:r w:rsidR="08E83A42" w:rsidRPr="08471EA7">
        <w:t xml:space="preserve">Platón </w:t>
      </w:r>
      <w:r w:rsidR="0811290A">
        <w:t>tuto dráhu respektoval</w:t>
      </w:r>
      <w:r w:rsidR="08E83A42">
        <w:t xml:space="preserve"> v dialektickém </w:t>
      </w:r>
      <w:r w:rsidR="08E83A42" w:rsidRPr="08471EA7">
        <w:t>postup</w:t>
      </w:r>
      <w:r w:rsidR="08E83A42">
        <w:t>u</w:t>
      </w:r>
      <w:r w:rsidR="08E83A42" w:rsidRPr="08471EA7">
        <w:t xml:space="preserve"> orthotomie</w:t>
      </w:r>
      <w:r w:rsidR="08E83A42">
        <w:fldChar w:fldCharType="begin"/>
      </w:r>
      <w:r w:rsidR="08E83A42">
        <w:instrText xml:space="preserve"> XE "</w:instrText>
      </w:r>
      <w:r w:rsidR="08E83A42" w:rsidRPr="08DB16B4">
        <w:instrText>orthotomie</w:instrText>
      </w:r>
      <w:r w:rsidR="08E83A42">
        <w:instrText xml:space="preserve">" </w:instrText>
      </w:r>
      <w:r w:rsidR="08E83A42">
        <w:fldChar w:fldCharType="end"/>
      </w:r>
      <w:r w:rsidR="08E83A42">
        <w:t xml:space="preserve"> a oddělil</w:t>
      </w:r>
      <w:r w:rsidR="08E83A42" w:rsidRPr="08471EA7">
        <w:t xml:space="preserve"> sofistická simulákra od reality (</w:t>
      </w:r>
      <w:r w:rsidR="08E83A42" w:rsidRPr="08BF1852">
        <w:rPr>
          <w:i/>
        </w:rPr>
        <w:t>Soph</w:t>
      </w:r>
      <w:r w:rsidR="08E83A42">
        <w:t xml:space="preserve">. </w:t>
      </w:r>
      <w:r w:rsidR="08E83A42" w:rsidRPr="08471EA7">
        <w:t>265a1</w:t>
      </w:r>
      <w:r w:rsidR="08E83A42" w:rsidRPr="08471EA7">
        <w:fldChar w:fldCharType="begin"/>
      </w:r>
      <w:r w:rsidR="08E83A42">
        <w:instrText xml:space="preserve"> XE "Platon:</w:instrText>
      </w:r>
      <w:r w:rsidR="08E83A42" w:rsidRPr="084A3999">
        <w:rPr>
          <w:i/>
        </w:rPr>
        <w:instrText>Soph</w:instrText>
      </w:r>
      <w:r w:rsidR="08E83A42">
        <w:instrText xml:space="preserve">. </w:instrText>
      </w:r>
      <w:r w:rsidR="08E83A42" w:rsidRPr="08471EA7">
        <w:instrText xml:space="preserve">265a1" </w:instrText>
      </w:r>
      <w:r w:rsidR="08E83A42" w:rsidRPr="08471EA7">
        <w:fldChar w:fldCharType="end"/>
      </w:r>
      <w:r w:rsidR="08E83A42" w:rsidRPr="08471EA7">
        <w:t>).</w:t>
      </w:r>
      <w:r w:rsidR="08E83A42">
        <w:t xml:space="preserve"> Aristoteles tuto orthotomii převedl zpět do reality </w:t>
      </w:r>
      <w:r w:rsidR="0811290A">
        <w:t xml:space="preserve">prvních substancí </w:t>
      </w:r>
      <w:r w:rsidR="08E83A42">
        <w:t xml:space="preserve">v principu </w:t>
      </w:r>
      <w:r w:rsidR="082A724F">
        <w:t xml:space="preserve">metafyzického </w:t>
      </w:r>
      <w:r w:rsidR="08E83A42">
        <w:t>dativu</w:t>
      </w:r>
      <w:r w:rsidR="087B6046">
        <w:t xml:space="preserve">, který </w:t>
      </w:r>
      <w:r w:rsidR="087B6046" w:rsidRPr="087B6046">
        <w:rPr>
          <w:i/>
        </w:rPr>
        <w:t>Druhé ana</w:t>
      </w:r>
      <w:r w:rsidR="08E9519F" w:rsidRPr="087B6046">
        <w:rPr>
          <w:i/>
        </w:rPr>
        <w:t>l</w:t>
      </w:r>
      <w:r w:rsidR="087B6046" w:rsidRPr="087B6046">
        <w:rPr>
          <w:i/>
        </w:rPr>
        <w:t>y</w:t>
      </w:r>
      <w:r w:rsidR="08E9519F" w:rsidRPr="087B6046">
        <w:rPr>
          <w:i/>
        </w:rPr>
        <w:t>tiky</w:t>
      </w:r>
      <w:r w:rsidR="08E9519F">
        <w:t xml:space="preserve"> res</w:t>
      </w:r>
      <w:r w:rsidR="087B6046">
        <w:t>pe</w:t>
      </w:r>
      <w:r w:rsidR="08E9519F">
        <w:t xml:space="preserve">ktují skrze princip </w:t>
      </w:r>
      <w:r w:rsidR="08D91F67">
        <w:rPr>
          <w:i/>
        </w:rPr>
        <w:t>ex in</w:t>
      </w:r>
      <w:r w:rsidR="08E9519F" w:rsidRPr="08E9519F">
        <w:rPr>
          <w:i/>
        </w:rPr>
        <w:t>mediatis</w:t>
      </w:r>
      <w:r w:rsidR="08E9519F">
        <w:rPr>
          <w:i/>
        </w:rPr>
        <w:fldChar w:fldCharType="begin"/>
      </w:r>
      <w:r w:rsidR="08E9519F">
        <w:instrText xml:space="preserve"> XE "</w:instrText>
      </w:r>
      <w:r w:rsidR="08E9519F" w:rsidRPr="08056B0F">
        <w:instrText>princip:</w:instrText>
      </w:r>
      <w:r w:rsidR="08D91F67">
        <w:rPr>
          <w:i/>
        </w:rPr>
        <w:instrText>ex in</w:instrText>
      </w:r>
      <w:r w:rsidR="08E9519F" w:rsidRPr="08056B0F">
        <w:rPr>
          <w:i/>
        </w:rPr>
        <w:instrText>mediatis</w:instrText>
      </w:r>
      <w:r w:rsidR="08E9519F">
        <w:instrText xml:space="preserve">" </w:instrText>
      </w:r>
      <w:r w:rsidR="08E9519F">
        <w:rPr>
          <w:i/>
        </w:rPr>
        <w:fldChar w:fldCharType="end"/>
      </w:r>
      <w:r w:rsidR="08E9519F">
        <w:t xml:space="preserve">. </w:t>
      </w:r>
      <w:r w:rsidR="08583DD9">
        <w:t xml:space="preserve">Analytický výklad </w:t>
      </w:r>
      <w:r w:rsidR="08583DD9" w:rsidRPr="08583DD9">
        <w:rPr>
          <w:i/>
        </w:rPr>
        <w:t>Druhých</w:t>
      </w:r>
      <w:r w:rsidR="08583DD9">
        <w:t xml:space="preserve"> </w:t>
      </w:r>
      <w:r w:rsidR="08583DD9">
        <w:rPr>
          <w:i/>
        </w:rPr>
        <w:t>a</w:t>
      </w:r>
      <w:r w:rsidR="08583DD9" w:rsidRPr="08583DD9">
        <w:rPr>
          <w:i/>
        </w:rPr>
        <w:t>nalytik</w:t>
      </w:r>
      <w:r w:rsidR="08583DD9">
        <w:t xml:space="preserve"> u</w:t>
      </w:r>
      <w:r w:rsidR="08AF3EEC">
        <w:t xml:space="preserve">stavil směr predikace na zcela konvertibilní </w:t>
      </w:r>
      <w:r w:rsidR="080E68C1">
        <w:t xml:space="preserve">bloudění v říši stínů a sofistických simuláker daných </w:t>
      </w:r>
      <w:r w:rsidR="08AF3EEC">
        <w:t xml:space="preserve">v modu </w:t>
      </w:r>
      <w:r w:rsidR="08AF3EEC" w:rsidRPr="08FE7B0E">
        <w:rPr>
          <w:i/>
        </w:rPr>
        <w:t>communiter</w:t>
      </w:r>
      <w:r w:rsidR="08AF3EEC">
        <w:t>. Iluminát má v mysli vlastní intelekt-slunce</w:t>
      </w:r>
      <w:r w:rsidR="08210DCF">
        <w:t xml:space="preserve"> a prochází se v </w:t>
      </w:r>
      <w:r w:rsidR="08AF3EEC">
        <w:t>jeskyni všemi směry podle moderní libovůle</w:t>
      </w:r>
      <w:r w:rsidR="082E2ED2">
        <w:t xml:space="preserve">. Tato moderní analytická </w:t>
      </w:r>
      <w:r w:rsidR="082E2ED2" w:rsidRPr="082E2ED2">
        <w:rPr>
          <w:i/>
        </w:rPr>
        <w:t>veritas</w:t>
      </w:r>
      <w:r w:rsidR="082E2ED2">
        <w:t xml:space="preserve"> ovšem </w:t>
      </w:r>
      <w:r w:rsidR="08817170">
        <w:t xml:space="preserve">symbolizuje </w:t>
      </w:r>
      <w:r w:rsidR="082E2ED2">
        <w:t xml:space="preserve">chtónický chaos podle původní múzické pravdy </w:t>
      </w:r>
      <w:r w:rsidR="08AF3EEC">
        <w:t>bytí jsoucna</w:t>
      </w:r>
      <w:r w:rsidR="082E2ED2">
        <w:t xml:space="preserve"> jako </w:t>
      </w:r>
      <w:r w:rsidR="082E2ED2" w:rsidRPr="082E2ED2">
        <w:rPr>
          <w:i/>
        </w:rPr>
        <w:t>a/létheia</w:t>
      </w:r>
      <w:r w:rsidR="08AF3EEC">
        <w:t xml:space="preserve">. Proto mysl Moderních řídí démonické Fúrie jako </w:t>
      </w:r>
      <w:r w:rsidR="08AF3EEC">
        <w:lastRenderedPageBreak/>
        <w:t xml:space="preserve">božstva chaosu a temnoty. </w:t>
      </w:r>
      <w:r w:rsidR="006C71C2">
        <w:t xml:space="preserve">Odyseu nihilistické moderny řídí vlastní sluneční mýtus. </w:t>
      </w:r>
      <w:r w:rsidR="08AF3EEC">
        <w:t>Moderna si vytvořila paranoickou formu slunečního mýtu a její chaotická a nihilistická odyssea se nikdy nemůže vrátit zpět k počátku vědění. To nebyla cesta prvního averroismu tehdy hájená v</w:t>
      </w:r>
      <w:r w:rsidR="08E270A5">
        <w:t> </w:t>
      </w:r>
      <w:r w:rsidR="08AF3EEC">
        <w:t>Paříži</w:t>
      </w:r>
      <w:r w:rsidR="08E270A5">
        <w:t xml:space="preserve">. </w:t>
      </w:r>
    </w:p>
    <w:p w14:paraId="087C079C" w14:textId="583CB74E" w:rsidR="008D726B" w:rsidRDefault="08237B4C" w:rsidP="00DF1802">
      <w:pPr>
        <w:ind w:firstLine="397"/>
      </w:pPr>
      <w:r>
        <w:t xml:space="preserve">Fundace poznání podle </w:t>
      </w:r>
      <w:r w:rsidRPr="008B6E30">
        <w:rPr>
          <w:i/>
        </w:rPr>
        <w:t>Oxfordian Fallacy</w:t>
      </w:r>
      <w:r>
        <w:t xml:space="preserve"> jde z univerzálně postulované esence predikované v modu logické a matematické supozice</w:t>
      </w:r>
      <w:r w:rsidR="006A1762">
        <w:t>,</w:t>
      </w:r>
      <w:r>
        <w:t xml:space="preserve"> a ne z kauzálně působící první substance predikované v modu kauzální impozice. Tato fatální záměna tvoří základní metafyzický </w:t>
      </w:r>
      <w:r w:rsidRPr="00124A5D">
        <w:rPr>
          <w:i/>
        </w:rPr>
        <w:t>Irrtum</w:t>
      </w:r>
      <w:r>
        <w:rPr>
          <w:i/>
        </w:rPr>
        <w:fldChar w:fldCharType="begin"/>
      </w:r>
      <w:r>
        <w:instrText xml:space="preserve"> XE "</w:instrText>
      </w:r>
      <w:r w:rsidRPr="00453B3F">
        <w:rPr>
          <w:i/>
        </w:rPr>
        <w:instrText>Irrtum</w:instrText>
      </w:r>
      <w:r>
        <w:instrText xml:space="preserve">:analytická filosofie" </w:instrText>
      </w:r>
      <w:r>
        <w:rPr>
          <w:i/>
        </w:rPr>
        <w:fldChar w:fldCharType="end"/>
      </w:r>
      <w:r>
        <w:t xml:space="preserve"> moderního a postmoderního pojetí vědy v pojetí analytické filosofie. </w:t>
      </w:r>
      <w:r w:rsidRPr="00273106">
        <w:t xml:space="preserve">Druhá triáda prvních principů byla </w:t>
      </w:r>
      <w:r>
        <w:t xml:space="preserve">univočně </w:t>
      </w:r>
      <w:r w:rsidRPr="00273106">
        <w:t xml:space="preserve">zaměněna za </w:t>
      </w:r>
      <w:r>
        <w:t>první, což vytvořilo novou dráhu náhledu na bytí jsoucna (</w:t>
      </w:r>
      <w:r w:rsidRPr="000D455B">
        <w:rPr>
          <w:i/>
        </w:rPr>
        <w:t>Vor</w:t>
      </w:r>
      <w:r w:rsidRPr="000D455B">
        <w:rPr>
          <w:i/>
        </w:rPr>
        <w:noBreakHyphen/>
        <w:t>blickbahn</w:t>
      </w:r>
      <w:r>
        <w:rPr>
          <w:i/>
        </w:rPr>
        <w:fldChar w:fldCharType="begin"/>
      </w:r>
      <w:r>
        <w:instrText xml:space="preserve"> XE "</w:instrText>
      </w:r>
      <w:r>
        <w:rPr>
          <w:i/>
        </w:rPr>
        <w:instrText>Vor-</w:instrText>
      </w:r>
      <w:r w:rsidRPr="000C66F2">
        <w:rPr>
          <w:i/>
        </w:rPr>
        <w:instrText>b</w:instrText>
      </w:r>
      <w:r w:rsidRPr="000C66F2">
        <w:rPr>
          <w:i/>
          <w:iCs/>
        </w:rPr>
        <w:instrText>lickbahn</w:instrText>
      </w:r>
      <w:r w:rsidRPr="00586A86">
        <w:rPr>
          <w:iCs/>
        </w:rPr>
        <w:instrText>:moderna</w:instrText>
      </w:r>
      <w:r>
        <w:instrText xml:space="preserve">" </w:instrText>
      </w:r>
      <w:r>
        <w:rPr>
          <w:i/>
        </w:rPr>
        <w:fldChar w:fldCharType="end"/>
      </w:r>
      <w:r>
        <w:t>).</w:t>
      </w:r>
      <w:r w:rsidRPr="08237B4C">
        <w:t xml:space="preserve"> </w:t>
      </w:r>
      <w:r>
        <w:t>Reálné astronomické jevy jsou vysvětleny</w:t>
      </w:r>
      <w:r w:rsidRPr="00273106">
        <w:t xml:space="preserve"> v rámci formální </w:t>
      </w:r>
      <w:r>
        <w:t xml:space="preserve">a logické </w:t>
      </w:r>
      <w:r w:rsidRPr="00273106">
        <w:t>dedukce, nikoliv v rámci dedukce dané kauzálně</w:t>
      </w:r>
      <w:r>
        <w:t xml:space="preserve"> a metafyzicky</w:t>
      </w:r>
      <w:r w:rsidRPr="00273106">
        <w:t>.</w:t>
      </w:r>
      <w:r>
        <w:t xml:space="preserve"> P</w:t>
      </w:r>
      <w:r w:rsidR="08AF3EEC">
        <w:t>ravdivá věda je o reálné kauzalitě prvních substancí. Tento nárok nemůže splnit logická abstrakce na úrovni druhé triády principů, protože nemá spojení s</w:t>
      </w:r>
      <w:r w:rsidR="00440EBF">
        <w:t> </w:t>
      </w:r>
      <w:r w:rsidR="08AF3EEC">
        <w:t>realitou</w:t>
      </w:r>
      <w:r w:rsidR="00440EBF">
        <w:t xml:space="preserve"> na úrovni první triády</w:t>
      </w:r>
      <w:r w:rsidR="08AF3EEC">
        <w:t xml:space="preserve">. </w:t>
      </w:r>
      <w:r w:rsidR="00C04F5C">
        <w:t xml:space="preserve">Logická </w:t>
      </w:r>
      <w:r w:rsidR="00566C11">
        <w:t xml:space="preserve">hyparchická </w:t>
      </w:r>
      <w:r w:rsidR="08AF3EEC">
        <w:t xml:space="preserve">nutnost se </w:t>
      </w:r>
      <w:r w:rsidR="08A81F64">
        <w:t xml:space="preserve">vypovídá </w:t>
      </w:r>
      <w:r w:rsidR="08AF3EEC">
        <w:t xml:space="preserve">podle výše uvedené citace </w:t>
      </w:r>
      <w:r w:rsidR="08AF3EEC" w:rsidRPr="08065C91">
        <w:rPr>
          <w:i/>
        </w:rPr>
        <w:t>Analytik</w:t>
      </w:r>
      <w:r w:rsidR="08AF3EEC">
        <w:t xml:space="preserve"> pouze </w:t>
      </w:r>
      <w:r w:rsidR="0818439A">
        <w:t xml:space="preserve">v modu </w:t>
      </w:r>
      <w:r w:rsidR="00C04F5C">
        <w:t xml:space="preserve">supozičně abstrahovaných </w:t>
      </w:r>
      <w:r w:rsidR="0818439A">
        <w:t xml:space="preserve">významů. </w:t>
      </w:r>
      <w:r w:rsidR="008250D5">
        <w:t xml:space="preserve">V protikladu ke kategoriální predikaci reálné kauzality a nutnosti </w:t>
      </w:r>
      <w:r w:rsidR="008250D5" w:rsidRPr="002B6BD7">
        <w:rPr>
          <w:szCs w:val="24"/>
        </w:rPr>
        <w:t xml:space="preserve">(ἐνυπάρχει ἐν τῷ τί ἐστι, </w:t>
      </w:r>
      <w:r w:rsidR="008250D5" w:rsidRPr="002B6BD7">
        <w:rPr>
          <w:i/>
          <w:szCs w:val="24"/>
        </w:rPr>
        <w:t>Anal. Post.</w:t>
      </w:r>
      <w:r w:rsidR="008250D5" w:rsidRPr="002B6BD7">
        <w:rPr>
          <w:szCs w:val="24"/>
        </w:rPr>
        <w:t xml:space="preserve"> 84a13</w:t>
      </w:r>
      <w:r w:rsidR="008250D5" w:rsidRPr="002B6BD7">
        <w:rPr>
          <w:szCs w:val="24"/>
        </w:rPr>
        <w:fldChar w:fldCharType="begin"/>
      </w:r>
      <w:r w:rsidR="008250D5" w:rsidRPr="002B6BD7">
        <w:rPr>
          <w:szCs w:val="24"/>
        </w:rPr>
        <w:instrText xml:space="preserve"> XE "Aristoteles:</w:instrText>
      </w:r>
      <w:r w:rsidR="008250D5" w:rsidRPr="002B6BD7">
        <w:rPr>
          <w:i/>
          <w:szCs w:val="24"/>
        </w:rPr>
        <w:instrText>Anal. Post.</w:instrText>
      </w:r>
      <w:r w:rsidR="008250D5" w:rsidRPr="002B6BD7">
        <w:rPr>
          <w:szCs w:val="24"/>
        </w:rPr>
        <w:instrText xml:space="preserve"> 84a13" </w:instrText>
      </w:r>
      <w:r w:rsidR="008250D5" w:rsidRPr="002B6BD7">
        <w:rPr>
          <w:szCs w:val="24"/>
        </w:rPr>
        <w:fldChar w:fldCharType="end"/>
      </w:r>
      <w:r w:rsidR="008250D5" w:rsidRPr="002B6BD7">
        <w:rPr>
          <w:szCs w:val="24"/>
        </w:rPr>
        <w:t>)</w:t>
      </w:r>
      <w:r w:rsidR="008250D5">
        <w:rPr>
          <w:szCs w:val="24"/>
        </w:rPr>
        <w:t>, c</w:t>
      </w:r>
      <w:r w:rsidR="0818439A">
        <w:t xml:space="preserve">itace jasně dokládá, že hyparchický statut </w:t>
      </w:r>
      <w:r w:rsidR="008250D5">
        <w:t xml:space="preserve">logických </w:t>
      </w:r>
      <w:r w:rsidR="00AF64C2">
        <w:t>významů existuje pouze v mysli</w:t>
      </w:r>
      <w:r w:rsidR="0818439A" w:rsidRPr="0818439A">
        <w:rPr>
          <w:lang w:val="en-US"/>
        </w:rPr>
        <w:t>.</w:t>
      </w:r>
      <w:r w:rsidR="0818439A">
        <w:rPr>
          <w:lang w:val="en-US"/>
        </w:rPr>
        <w:t xml:space="preserve"> </w:t>
      </w:r>
      <w:r w:rsidR="00D54FB1">
        <w:t xml:space="preserve">Aristotelskou fyziku a biologii danou </w:t>
      </w:r>
      <w:r w:rsidR="082F2D63">
        <w:rPr>
          <w:i/>
        </w:rPr>
        <w:t>ad</w:t>
      </w:r>
      <w:r w:rsidR="00D54FB1" w:rsidRPr="003A1355">
        <w:rPr>
          <w:i/>
        </w:rPr>
        <w:t xml:space="preserve"> mentem Averrois</w:t>
      </w:r>
      <w:r w:rsidR="00570007">
        <w:rPr>
          <w:i/>
        </w:rPr>
        <w:fldChar w:fldCharType="begin"/>
      </w:r>
      <w:r w:rsidR="00570007">
        <w:instrText xml:space="preserve"> XE "</w:instrText>
      </w:r>
      <w:r w:rsidR="082F2D63">
        <w:rPr>
          <w:i/>
        </w:rPr>
        <w:instrText>ad mentem Averrois</w:instrText>
      </w:r>
      <w:r w:rsidR="00570007">
        <w:instrText xml:space="preserve">" </w:instrText>
      </w:r>
      <w:r w:rsidR="00570007">
        <w:rPr>
          <w:i/>
        </w:rPr>
        <w:fldChar w:fldCharType="end"/>
      </w:r>
      <w:r w:rsidR="00D54FB1">
        <w:t xml:space="preserve"> podle Sicilské školy</w:t>
      </w:r>
      <w:r w:rsidR="00D54FB1">
        <w:fldChar w:fldCharType="begin"/>
      </w:r>
      <w:r w:rsidR="00D54FB1">
        <w:instrText xml:space="preserve"> XE "</w:instrText>
      </w:r>
      <w:r w:rsidR="004A155A">
        <w:instrText>Sicilská škola</w:instrText>
      </w:r>
      <w:r w:rsidR="00D54FB1">
        <w:instrText xml:space="preserve">" </w:instrText>
      </w:r>
      <w:r w:rsidR="00D54FB1">
        <w:fldChar w:fldCharType="end"/>
      </w:r>
      <w:r w:rsidR="00D54FB1">
        <w:t xml:space="preserve"> nahradila moderní logika a matematika Toledské školy. </w:t>
      </w:r>
      <w:r w:rsidR="08F22403">
        <w:t>M</w:t>
      </w:r>
      <w:r w:rsidR="08E94957">
        <w:t xml:space="preserve">etafyzika </w:t>
      </w:r>
      <w:r w:rsidR="08F22403">
        <w:t xml:space="preserve">nakonec zanikla jako zcela zbytečná přítěž logiky </w:t>
      </w:r>
      <w:r w:rsidR="08E94957">
        <w:t>v analytické větvi neopozitivistických iluminátů Vídeňského kruhu</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8E94957">
        <w:t xml:space="preserve">. </w:t>
      </w:r>
      <w:r w:rsidR="0893476F">
        <w:t xml:space="preserve">Analytický výklad </w:t>
      </w:r>
      <w:r w:rsidR="0893476F" w:rsidRPr="0893476F">
        <w:rPr>
          <w:i/>
        </w:rPr>
        <w:t>Analytik</w:t>
      </w:r>
      <w:r w:rsidR="0893476F">
        <w:t xml:space="preserve"> </w:t>
      </w:r>
      <w:r w:rsidR="000E4FB9">
        <w:t>začal</w:t>
      </w:r>
      <w:r w:rsidR="08F5094C">
        <w:t xml:space="preserve"> moderní matematizaci</w:t>
      </w:r>
      <w:r w:rsidR="000E4FB9">
        <w:t xml:space="preserve"> světa, kterou oslavil avicennista Husserl ve svém posledním díle </w:t>
      </w:r>
      <w:r w:rsidR="000E4FB9">
        <w:rPr>
          <w:i/>
          <w:iCs/>
        </w:rPr>
        <w:t xml:space="preserve">Krize evropských věd a transcendentální fenomenologie </w:t>
      </w:r>
      <w:r w:rsidR="000E4FB9" w:rsidRPr="000E4FB9">
        <w:rPr>
          <w:iCs/>
        </w:rPr>
        <w:t>(</w:t>
      </w:r>
      <w:r w:rsidR="000E4FB9">
        <w:rPr>
          <w:iCs/>
        </w:rPr>
        <w:t xml:space="preserve">1936). </w:t>
      </w:r>
      <w:r w:rsidR="086B3D72">
        <w:rPr>
          <w:iCs/>
        </w:rPr>
        <w:t>Akademické završení slunečního mýtu je dáno těsně před začátkem globální produkce člověka-mrtvoly ve Druhé světové válce</w:t>
      </w:r>
      <w:r w:rsidR="088F1A9E">
        <w:rPr>
          <w:iCs/>
        </w:rPr>
        <w:t xml:space="preserve"> ukončené dvěma atomovými výbuchy nad </w:t>
      </w:r>
      <w:r w:rsidR="0867034E">
        <w:rPr>
          <w:iCs/>
        </w:rPr>
        <w:t xml:space="preserve">nechráněnými </w:t>
      </w:r>
      <w:r w:rsidR="088F1A9E">
        <w:rPr>
          <w:iCs/>
        </w:rPr>
        <w:t>civilními městy</w:t>
      </w:r>
      <w:r w:rsidR="086B3D72">
        <w:rPr>
          <w:iCs/>
        </w:rPr>
        <w:t xml:space="preserve">. </w:t>
      </w:r>
      <w:r w:rsidR="00213791">
        <w:t xml:space="preserve">Z hlediska </w:t>
      </w:r>
      <w:r w:rsidR="0099637F">
        <w:t xml:space="preserve">prvního averroismu </w:t>
      </w:r>
      <w:r w:rsidR="00530FCD">
        <w:t>se mo</w:t>
      </w:r>
      <w:r w:rsidR="006F6887">
        <w:t xml:space="preserve">derní </w:t>
      </w:r>
      <w:r w:rsidR="00530FCD">
        <w:t xml:space="preserve">a postmoderní </w:t>
      </w:r>
      <w:r w:rsidR="006F6887">
        <w:t xml:space="preserve">porretáni dopustili </w:t>
      </w:r>
      <w:r w:rsidR="00A94A96">
        <w:t>kardinální</w:t>
      </w:r>
      <w:r w:rsidR="006F6887">
        <w:t>ho</w:t>
      </w:r>
      <w:r w:rsidR="00A94A96">
        <w:t xml:space="preserve"> omyl</w:t>
      </w:r>
      <w:r w:rsidR="006F6887">
        <w:t>u</w:t>
      </w:r>
      <w:r w:rsidR="00702645">
        <w:t xml:space="preserve">, který zavinil </w:t>
      </w:r>
      <w:r w:rsidR="00951E2F">
        <w:t xml:space="preserve">skutečnou </w:t>
      </w:r>
      <w:r w:rsidR="00702645">
        <w:t xml:space="preserve">krizi evropské vědy nedostatkem </w:t>
      </w:r>
      <w:r w:rsidR="00951E2F">
        <w:t xml:space="preserve">metafyzického </w:t>
      </w:r>
      <w:r w:rsidR="00702645">
        <w:t xml:space="preserve">rozlišování na úrovni </w:t>
      </w:r>
      <w:r w:rsidR="08687DC0">
        <w:t xml:space="preserve">reálného </w:t>
      </w:r>
      <w:r w:rsidR="00702645">
        <w:t>bytí jsoucna</w:t>
      </w:r>
      <w:r w:rsidR="00A94A96">
        <w:t xml:space="preserve">. </w:t>
      </w:r>
      <w:r w:rsidR="08F5094C">
        <w:t>Ilumináti ne</w:t>
      </w:r>
      <w:r w:rsidR="08532856">
        <w:t xml:space="preserve">vidí jimi způsobenou </w:t>
      </w:r>
      <w:r w:rsidR="08F5094C">
        <w:t>krizi vědy</w:t>
      </w:r>
      <w:r w:rsidR="08D110F6">
        <w:t xml:space="preserve">. Mytopoetický výklad </w:t>
      </w:r>
      <w:r w:rsidR="08D110F6" w:rsidRPr="08F5094C">
        <w:rPr>
          <w:i/>
        </w:rPr>
        <w:t>Druhých analytik</w:t>
      </w:r>
      <w:r w:rsidR="08D110F6">
        <w:fldChar w:fldCharType="begin"/>
      </w:r>
      <w:r w:rsidR="08D110F6">
        <w:instrText xml:space="preserve"> XE "</w:instrText>
      </w:r>
      <w:r w:rsidR="08D110F6" w:rsidRPr="08FB3CFA">
        <w:instrText>mytopoiesis</w:instrText>
      </w:r>
      <w:r w:rsidR="08D110F6">
        <w:instrText xml:space="preserve">" </w:instrText>
      </w:r>
      <w:r w:rsidR="08D110F6">
        <w:fldChar w:fldCharType="end"/>
      </w:r>
      <w:r w:rsidR="08D110F6">
        <w:t xml:space="preserve"> daný zdvojením jsoucna na reálné a na </w:t>
      </w:r>
      <w:r w:rsidR="08D110F6" w:rsidRPr="08D110F6">
        <w:rPr>
          <w:i/>
        </w:rPr>
        <w:t xml:space="preserve">tertium ens </w:t>
      </w:r>
      <w:r w:rsidR="08D110F6">
        <w:t>založil novou dráhu metafyzického náhledu, který určuje o</w:t>
      </w:r>
      <w:r w:rsidR="08515C3B">
        <w:t xml:space="preserve">bjektivní realitu </w:t>
      </w:r>
      <w:r w:rsidR="08D110F6">
        <w:t xml:space="preserve">světa </w:t>
      </w:r>
      <w:r w:rsidR="08515C3B">
        <w:t xml:space="preserve">místo </w:t>
      </w:r>
      <w:r w:rsidR="08515C3B">
        <w:lastRenderedPageBreak/>
        <w:t>reálné</w:t>
      </w:r>
      <w:r w:rsidR="08F5094C">
        <w:t xml:space="preserve">. </w:t>
      </w:r>
      <w:r w:rsidR="08931591">
        <w:t xml:space="preserve">Pod vedením Fúrií vidí </w:t>
      </w:r>
      <w:r w:rsidR="083D3015">
        <w:t xml:space="preserve">analytičtí </w:t>
      </w:r>
      <w:r w:rsidR="08EF0CEA">
        <w:t xml:space="preserve">sofitsté a </w:t>
      </w:r>
      <w:r w:rsidR="08806886">
        <w:t>vědci svět</w:t>
      </w:r>
      <w:r w:rsidR="08931591">
        <w:t xml:space="preserve"> p</w:t>
      </w:r>
      <w:r w:rsidR="00EC32C9" w:rsidRPr="00273106">
        <w:t>římý</w:t>
      </w:r>
      <w:r w:rsidR="08931591">
        <w:t>m</w:t>
      </w:r>
      <w:r w:rsidR="00EC32C9" w:rsidRPr="00273106">
        <w:t xml:space="preserve"> intuitivní</w:t>
      </w:r>
      <w:r w:rsidR="08931591">
        <w:t>m</w:t>
      </w:r>
      <w:r w:rsidR="00EC32C9" w:rsidRPr="00273106">
        <w:t xml:space="preserve"> náhled</w:t>
      </w:r>
      <w:r w:rsidR="08931591">
        <w:t>em</w:t>
      </w:r>
      <w:r w:rsidR="00EC32C9" w:rsidRPr="00273106">
        <w:t xml:space="preserve"> intelektu do </w:t>
      </w:r>
      <w:r w:rsidR="08931591">
        <w:t xml:space="preserve">prvních principů daných v mysli. </w:t>
      </w:r>
      <w:r w:rsidR="08204335">
        <w:t xml:space="preserve">Vinou moderní </w:t>
      </w:r>
      <w:r w:rsidR="08204335" w:rsidRPr="08931591">
        <w:rPr>
          <w:i/>
        </w:rPr>
        <w:t>hýbris</w:t>
      </w:r>
      <w:r w:rsidR="08204335">
        <w:t xml:space="preserve"> stojí takto osvícený </w:t>
      </w:r>
      <w:r w:rsidR="08931591">
        <w:t xml:space="preserve">intelekt mnohem </w:t>
      </w:r>
      <w:r w:rsidR="00EC32C9" w:rsidRPr="00273106">
        <w:t xml:space="preserve">výše než empirická </w:t>
      </w:r>
      <w:r w:rsidR="00EC32C9" w:rsidRPr="00273106">
        <w:rPr>
          <w:i/>
        </w:rPr>
        <w:t>scientia</w:t>
      </w:r>
      <w:r w:rsidR="082D4252">
        <w:t>.</w:t>
      </w:r>
      <w:r w:rsidR="08C247D6">
        <w:t xml:space="preserve"> </w:t>
      </w:r>
      <w:r w:rsidR="08D82B01">
        <w:t xml:space="preserve">Naproto klíčový deduktivní sylogismus </w:t>
      </w:r>
      <w:r w:rsidR="08D82B01" w:rsidRPr="08D82B01">
        <w:rPr>
          <w:i/>
        </w:rPr>
        <w:t>Druhých analytik</w:t>
      </w:r>
      <w:r w:rsidR="08D82B01">
        <w:t xml:space="preserve">, který vědecky poznává reálné jevy ve světě,  tvoří pouhý akcident teoretického náhledu do čistých forem. </w:t>
      </w:r>
      <w:r w:rsidR="082A6CD1">
        <w:t xml:space="preserve">Analytická filosofie pominula vztah k realitě jako nedůležitý. </w:t>
      </w:r>
      <w:r w:rsidR="00EC32C9" w:rsidRPr="00273106">
        <w:t xml:space="preserve">Formální esence či definice vytěsnila v demonstrativním soudu původní kauzalitu vztaženou ke kauzální interakci </w:t>
      </w:r>
      <w:r w:rsidR="082B30F9">
        <w:t>prvních substancí</w:t>
      </w:r>
      <w:r w:rsidR="00EC32C9" w:rsidRPr="00273106">
        <w:t xml:space="preserve">. </w:t>
      </w:r>
      <w:r w:rsidR="00322812">
        <w:t xml:space="preserve">Vědecká racionalita </w:t>
      </w:r>
      <w:r w:rsidR="0095535A">
        <w:t xml:space="preserve">v rámci </w:t>
      </w:r>
      <w:r w:rsidR="0095535A" w:rsidRPr="0095535A">
        <w:rPr>
          <w:i/>
        </w:rPr>
        <w:t>Oxfordian Fallacy</w:t>
      </w:r>
      <w:r w:rsidR="0095535A">
        <w:t xml:space="preserve"> má stejnou univoční formu </w:t>
      </w:r>
      <w:r w:rsidR="08E10B48">
        <w:t xml:space="preserve">predikace </w:t>
      </w:r>
      <w:r w:rsidR="0095535A">
        <w:t xml:space="preserve">jako </w:t>
      </w:r>
      <w:r w:rsidR="0884182D">
        <w:t>sofisma mrtvého muže, které</w:t>
      </w:r>
      <w:r w:rsidR="00F65981" w:rsidRPr="00273106">
        <w:t xml:space="preserve"> v </w:t>
      </w:r>
      <w:r w:rsidR="009F5982">
        <w:t xml:space="preserve">předešlé dekádě </w:t>
      </w:r>
      <w:r w:rsidR="00D54FB1">
        <w:t xml:space="preserve">1225‒30 </w:t>
      </w:r>
      <w:r w:rsidR="0884182D">
        <w:t>oddělilo</w:t>
      </w:r>
      <w:r w:rsidR="009F5982">
        <w:t xml:space="preserve"> </w:t>
      </w:r>
      <w:r w:rsidR="00F65981" w:rsidRPr="00273106">
        <w:t>první averroismus</w:t>
      </w:r>
      <w:r w:rsidR="009F5982">
        <w:t xml:space="preserve"> od výkladu Toledské školy</w:t>
      </w:r>
      <w:r w:rsidR="009F5982">
        <w:fldChar w:fldCharType="begin"/>
      </w:r>
      <w:r w:rsidR="009F5982">
        <w:instrText xml:space="preserve"> XE "</w:instrText>
      </w:r>
      <w:r w:rsidR="004A155A">
        <w:instrText>Toledská škola</w:instrText>
      </w:r>
      <w:r w:rsidR="009F5982">
        <w:instrText xml:space="preserve">" </w:instrText>
      </w:r>
      <w:r w:rsidR="009F5982">
        <w:fldChar w:fldCharType="end"/>
      </w:r>
      <w:r w:rsidR="008D726B">
        <w:t>.</w:t>
      </w:r>
    </w:p>
    <w:p w14:paraId="2C158E80" w14:textId="51F91F44" w:rsidR="00BE1344" w:rsidRDefault="08CA34C6" w:rsidP="00A05BAB">
      <w:r>
        <w:tab/>
      </w:r>
      <w:r w:rsidR="08B046E0">
        <w:t xml:space="preserve">V dekádě </w:t>
      </w:r>
      <w:r w:rsidR="082A385F">
        <w:t xml:space="preserve">dané </w:t>
      </w:r>
      <w:r w:rsidR="08B046E0">
        <w:t xml:space="preserve">po </w:t>
      </w:r>
      <w:r w:rsidR="08D6481B">
        <w:t xml:space="preserve">roce </w:t>
      </w:r>
      <w:r w:rsidR="08B046E0">
        <w:t xml:space="preserve">1230 vznikla </w:t>
      </w:r>
      <w:r w:rsidR="082A385F">
        <w:t xml:space="preserve">nová </w:t>
      </w:r>
      <w:r w:rsidR="08B046E0" w:rsidRPr="00273106">
        <w:t>gigantomachie o substanci</w:t>
      </w:r>
      <w:r w:rsidR="08A42A81">
        <w:rPr>
          <w:i/>
        </w:rPr>
        <w:fldChar w:fldCharType="begin"/>
      </w:r>
      <w:r w:rsidR="08A42A81">
        <w:instrText xml:space="preserve"> XE "metafyzika:gigantomachie" </w:instrText>
      </w:r>
      <w:r w:rsidR="08A42A81">
        <w:rPr>
          <w:i/>
        </w:rPr>
        <w:fldChar w:fldCharType="end"/>
      </w:r>
      <w:r w:rsidR="08B046E0" w:rsidRPr="00273106">
        <w:t xml:space="preserve"> mezi aristoteliky a modernisty, která poprvé začala </w:t>
      </w:r>
      <w:r w:rsidR="08B046E0">
        <w:t xml:space="preserve">ve falsafě </w:t>
      </w:r>
      <w:r w:rsidR="08B046E0" w:rsidRPr="00273106">
        <w:t xml:space="preserve">mezi </w:t>
      </w:r>
      <w:r w:rsidR="08B046E0">
        <w:t>Averroes</w:t>
      </w:r>
      <w:r w:rsidR="08B046E0" w:rsidRPr="00273106">
        <w:t xml:space="preserve">em a Avicennou. </w:t>
      </w:r>
      <w:r w:rsidR="08B046E0">
        <w:t>Averroes</w:t>
      </w:r>
      <w:r w:rsidR="08B046E0" w:rsidRPr="00273106">
        <w:t>ova kritika moderny (</w:t>
      </w:r>
      <w:r w:rsidR="08B046E0" w:rsidRPr="00273106">
        <w:rPr>
          <w:i/>
        </w:rPr>
        <w:t>quod contingit Modernis</w:t>
      </w:r>
      <w:r w:rsidR="08674E7E">
        <w:t xml:space="preserve">; OBJ I, </w:t>
      </w:r>
      <w:r w:rsidR="08B046E0">
        <w:t>kap. 2.4</w:t>
      </w:r>
      <w:r w:rsidR="08B046E0" w:rsidRPr="00273106">
        <w:t xml:space="preserve">) ukázala, že </w:t>
      </w:r>
      <w:r w:rsidR="084A3BDB">
        <w:t xml:space="preserve">moderna </w:t>
      </w:r>
      <w:r w:rsidR="084A3BDB" w:rsidRPr="00273106">
        <w:t xml:space="preserve">vznikla </w:t>
      </w:r>
      <w:r w:rsidR="08B046E0" w:rsidRPr="00273106">
        <w:t xml:space="preserve">zatměním první substance skrze </w:t>
      </w:r>
      <w:r w:rsidR="08B046E0">
        <w:t>Porfyria (</w:t>
      </w:r>
      <w:r w:rsidR="08674E7E">
        <w:t xml:space="preserve">OBJ I, </w:t>
      </w:r>
      <w:r w:rsidR="084E7952">
        <w:t>kap. 1.3</w:t>
      </w:r>
      <w:r w:rsidR="08B046E0">
        <w:t xml:space="preserve">) a pak skrze </w:t>
      </w:r>
      <w:r w:rsidR="08B046E0" w:rsidRPr="00273106">
        <w:t xml:space="preserve">Avicennu </w:t>
      </w:r>
      <w:r w:rsidR="08B046E0">
        <w:fldChar w:fldCharType="begin"/>
      </w:r>
      <w:r w:rsidR="08B046E0">
        <w:instrText xml:space="preserve"> XE "</w:instrText>
      </w:r>
      <w:r w:rsidR="08B046E0" w:rsidRPr="0087144E">
        <w:instrText>zatmění:substance</w:instrText>
      </w:r>
      <w:r w:rsidR="08B046E0">
        <w:instrText xml:space="preserve">" </w:instrText>
      </w:r>
      <w:r w:rsidR="08B046E0">
        <w:fldChar w:fldCharType="end"/>
      </w:r>
      <w:r w:rsidR="08B046E0" w:rsidRPr="00273106">
        <w:t xml:space="preserve">. Tato </w:t>
      </w:r>
      <w:r w:rsidR="08B046E0">
        <w:t xml:space="preserve">dvojí </w:t>
      </w:r>
      <w:r w:rsidR="08B046E0" w:rsidRPr="00273106">
        <w:t>událost myšlení (</w:t>
      </w:r>
      <w:r w:rsidR="08B046E0" w:rsidRPr="00273106">
        <w:rPr>
          <w:i/>
        </w:rPr>
        <w:t>Ereignis</w:t>
      </w:r>
      <w:r w:rsidR="08B046E0" w:rsidRPr="00273106">
        <w:t>) určující dějiny latinského Západu vyložila byt</w:t>
      </w:r>
      <w:r w:rsidR="08B046E0">
        <w:t xml:space="preserve">í jsoucna po vzoru obou velikánů falsafy v rámci Aristotelovy dvojí </w:t>
      </w:r>
      <w:r w:rsidR="081B2899">
        <w:t>predikace univerzality</w:t>
      </w:r>
      <w:r w:rsidR="08B046E0">
        <w:t>.</w:t>
      </w:r>
      <w:r w:rsidR="0809514B">
        <w:t xml:space="preserve"> </w:t>
      </w:r>
      <w:r w:rsidR="081B2899">
        <w:t xml:space="preserve">Moderna tuto diferenci zrušila a šla svou vlastní cestou nekritického rozumu. </w:t>
      </w:r>
      <w:r w:rsidR="0809514B">
        <w:t>Grosseteste řešil signifikaci v raném období podle Blu</w:t>
      </w:r>
      <w:r w:rsidR="08AC7F31">
        <w:t>ndovy školy v modu hyparchi</w:t>
      </w:r>
      <w:r w:rsidR="0809514B">
        <w:t xml:space="preserve">cké predikace, což ukazuje jeho traktát </w:t>
      </w:r>
      <w:r w:rsidR="0809514B">
        <w:rPr>
          <w:i/>
        </w:rPr>
        <w:t>De anima et de potenciis eius</w:t>
      </w:r>
      <w:r w:rsidR="0809514B" w:rsidRPr="00273106">
        <w:t xml:space="preserve"> </w:t>
      </w:r>
      <w:r w:rsidR="0809514B">
        <w:t xml:space="preserve">ohledně </w:t>
      </w:r>
      <w:r w:rsidR="08B046E0" w:rsidRPr="00273106">
        <w:t>sporů o definici mrtvého člověka (</w:t>
      </w:r>
      <w:r w:rsidR="08B046E0" w:rsidRPr="00273106">
        <w:rPr>
          <w:i/>
        </w:rPr>
        <w:t>dead man sophism</w:t>
      </w:r>
      <w:r w:rsidR="08DB664A">
        <w:t>, kap. 2</w:t>
      </w:r>
      <w:r w:rsidR="08B046E0">
        <w:t>.2.2).</w:t>
      </w:r>
      <w:r w:rsidR="08B046E0" w:rsidRPr="00FD14E4">
        <w:t xml:space="preserve"> </w:t>
      </w:r>
      <w:r w:rsidR="08B046E0">
        <w:t xml:space="preserve">Mrtvola v rámci </w:t>
      </w:r>
      <w:r w:rsidR="0809514B">
        <w:t xml:space="preserve">impozice významu </w:t>
      </w:r>
      <w:r w:rsidR="08B046E0">
        <w:t>z reality není člověk</w:t>
      </w:r>
      <w:r w:rsidR="08B046E0">
        <w:rPr>
          <w:i/>
        </w:rPr>
        <w:fldChar w:fldCharType="begin"/>
      </w:r>
      <w:r w:rsidR="08B046E0">
        <w:instrText xml:space="preserve"> XE "sofisma člověk-mrtvola" </w:instrText>
      </w:r>
      <w:r w:rsidR="08B046E0">
        <w:rPr>
          <w:i/>
        </w:rPr>
        <w:fldChar w:fldCharType="end"/>
      </w:r>
      <w:r w:rsidR="08B046E0">
        <w:t xml:space="preserve">, ale v rámci porretánské moderní supozice ano. </w:t>
      </w:r>
      <w:r w:rsidR="081D4793">
        <w:t xml:space="preserve">Ale </w:t>
      </w:r>
      <w:r w:rsidR="08D510F5">
        <w:t>hyparchická</w:t>
      </w:r>
      <w:r w:rsidR="081D4793">
        <w:t xml:space="preserve"> signifi</w:t>
      </w:r>
      <w:r w:rsidR="081728E1">
        <w:t xml:space="preserve">kace v jeho </w:t>
      </w:r>
      <w:r w:rsidR="081D4793">
        <w:t xml:space="preserve">výkladu </w:t>
      </w:r>
      <w:r w:rsidR="081D4793" w:rsidRPr="081D4793">
        <w:rPr>
          <w:i/>
        </w:rPr>
        <w:t>Druhý</w:t>
      </w:r>
      <w:r w:rsidR="0809514B" w:rsidRPr="081D4793">
        <w:rPr>
          <w:i/>
        </w:rPr>
        <w:t>ch analytik</w:t>
      </w:r>
      <w:r w:rsidR="0809514B">
        <w:t xml:space="preserve"> má u</w:t>
      </w:r>
      <w:r w:rsidR="081D4793">
        <w:t xml:space="preserve">ž </w:t>
      </w:r>
      <w:r w:rsidR="08B024EF">
        <w:t xml:space="preserve">moderní analytický </w:t>
      </w:r>
      <w:r w:rsidR="081D4793">
        <w:t>výklad</w:t>
      </w:r>
      <w:r w:rsidR="0861118D">
        <w:t xml:space="preserve">. Tím se změnil status </w:t>
      </w:r>
      <w:r w:rsidR="081D4793">
        <w:t xml:space="preserve">univerzality </w:t>
      </w:r>
      <w:r w:rsidR="0861118D">
        <w:t xml:space="preserve">a nutnosti </w:t>
      </w:r>
      <w:r w:rsidR="0809514B">
        <w:t xml:space="preserve">z duálního </w:t>
      </w:r>
      <w:r w:rsidR="081D4793">
        <w:t xml:space="preserve">metafyzicko-logického pojetí </w:t>
      </w:r>
      <w:r w:rsidR="081A0B7F">
        <w:t xml:space="preserve">podle prvního averroismu </w:t>
      </w:r>
      <w:r w:rsidR="081D4793">
        <w:t>n</w:t>
      </w:r>
      <w:r w:rsidR="0809514B">
        <w:t xml:space="preserve">a </w:t>
      </w:r>
      <w:r w:rsidR="081D4793">
        <w:t>univočně-objektivní</w:t>
      </w:r>
      <w:r w:rsidR="081A0B7F">
        <w:t xml:space="preserve"> verzi</w:t>
      </w:r>
      <w:r w:rsidR="08E01519">
        <w:t xml:space="preserve"> </w:t>
      </w:r>
      <w:r w:rsidR="081A0B7F">
        <w:t xml:space="preserve">podle moderní </w:t>
      </w:r>
      <w:r w:rsidR="08E01519" w:rsidRPr="08E01519">
        <w:rPr>
          <w:i/>
        </w:rPr>
        <w:t>Oxfordian Fallacy</w:t>
      </w:r>
      <w:r w:rsidR="0809514B">
        <w:t xml:space="preserve">. </w:t>
      </w:r>
      <w:r w:rsidR="0899680A">
        <w:t xml:space="preserve">Kvůli tomuto výkladu aristotelského Korpusu </w:t>
      </w:r>
      <w:r w:rsidR="08BD10FD">
        <w:t xml:space="preserve">musel </w:t>
      </w:r>
      <w:r w:rsidR="08B005FF">
        <w:t xml:space="preserve">Grosseteste </w:t>
      </w:r>
      <w:r w:rsidR="0809514B">
        <w:t>odejít z Paříže do Oxfordu</w:t>
      </w:r>
      <w:r w:rsidR="08ED5382">
        <w:t xml:space="preserve">, kde </w:t>
      </w:r>
      <w:r w:rsidR="08B005FF">
        <w:t xml:space="preserve">kolem roku 1230 </w:t>
      </w:r>
      <w:r w:rsidR="08ED5382">
        <w:t>vládla porretánsko-avicennistická škola magistrů</w:t>
      </w:r>
      <w:r w:rsidR="0809514B">
        <w:t xml:space="preserve">. </w:t>
      </w:r>
      <w:r w:rsidR="083C3000">
        <w:t xml:space="preserve">Sicilský </w:t>
      </w:r>
      <w:r w:rsidR="08B046E0">
        <w:t xml:space="preserve">výklad </w:t>
      </w:r>
      <w:r w:rsidR="08B046E0" w:rsidRPr="00F12AEF">
        <w:rPr>
          <w:i/>
        </w:rPr>
        <w:t>ad mentem Averrois</w:t>
      </w:r>
      <w:r w:rsidR="08B046E0">
        <w:t xml:space="preserve"> vládnoucí v Paříži díky Blundově škole a biskupu Alvernovi měl na chod Oxfordu nepatrný vliv. Tento výklad přinesl do své </w:t>
      </w:r>
      <w:r w:rsidR="08B046E0" w:rsidRPr="00AE7ECE">
        <w:rPr>
          <w:i/>
        </w:rPr>
        <w:t>alma mater</w:t>
      </w:r>
      <w:r w:rsidR="08D02603">
        <w:t xml:space="preserve"> až Bacon z </w:t>
      </w:r>
      <w:r w:rsidR="08B046E0">
        <w:t xml:space="preserve">pařížských studií někdy po roce 1245. </w:t>
      </w:r>
      <w:r w:rsidR="08D02603">
        <w:t>Jeho v</w:t>
      </w:r>
      <w:r w:rsidR="08B046E0">
        <w:t xml:space="preserve">ýklad Sicilské školy </w:t>
      </w:r>
      <w:r w:rsidR="089457DB">
        <w:t xml:space="preserve">ale </w:t>
      </w:r>
      <w:r w:rsidR="08B046E0">
        <w:t xml:space="preserve">neměl šanci proti Grossetesteho a Rufusově škole existující na Oxfordu už jednu dekádu (kap 5.2). </w:t>
      </w:r>
      <w:r w:rsidR="08B80C51">
        <w:t xml:space="preserve">Dvojí donace bytí jsoucna v modu </w:t>
      </w:r>
      <w:r w:rsidR="08B80C51" w:rsidRPr="088E1301">
        <w:rPr>
          <w:i/>
        </w:rPr>
        <w:t>per prius</w:t>
      </w:r>
      <w:r w:rsidR="08B80C51">
        <w:t xml:space="preserve"> z poznané reality a z poznávajícího </w:t>
      </w:r>
      <w:r w:rsidR="08B80C51">
        <w:lastRenderedPageBreak/>
        <w:t xml:space="preserve">subjektu od sebe odlišila školu </w:t>
      </w:r>
      <w:r w:rsidR="08B80C51" w:rsidRPr="00273106">
        <w:t>první</w:t>
      </w:r>
      <w:r w:rsidR="08B80C51">
        <w:t>ho</w:t>
      </w:r>
      <w:r w:rsidR="08B80C51" w:rsidRPr="00273106">
        <w:t xml:space="preserve"> a druhé</w:t>
      </w:r>
      <w:r w:rsidR="08B80C51">
        <w:t>ho</w:t>
      </w:r>
      <w:r w:rsidR="08B80C51" w:rsidRPr="00273106">
        <w:t xml:space="preserve"> averroismu. </w:t>
      </w:r>
      <w:r w:rsidR="08B80C51">
        <w:t xml:space="preserve">Každá škola začala poznávat jiné jsoucno a v jiném modelu pravdy. </w:t>
      </w:r>
      <w:r w:rsidR="08EC1F8A">
        <w:t xml:space="preserve">Princip </w:t>
      </w:r>
      <w:r w:rsidR="00010B8E">
        <w:rPr>
          <w:i/>
        </w:rPr>
        <w:t>inmediate</w:t>
      </w:r>
      <w:r w:rsidR="08EC1F8A" w:rsidRPr="00273106">
        <w:t xml:space="preserve"> v rámci první trojice principů </w:t>
      </w:r>
      <w:r w:rsidR="08EC1F8A">
        <w:t xml:space="preserve">obhájil </w:t>
      </w:r>
      <w:r w:rsidR="08EC1F8A" w:rsidRPr="00273106">
        <w:t>Albert v aristotelském významu vzt</w:t>
      </w:r>
      <w:r w:rsidR="08773952">
        <w:t>aženém k první substanci (kap. 2</w:t>
      </w:r>
      <w:r w:rsidR="08EC1F8A" w:rsidRPr="00273106">
        <w:t>.4.1).</w:t>
      </w:r>
      <w:r w:rsidR="08EC1F8A">
        <w:t xml:space="preserve"> </w:t>
      </w:r>
      <w:r w:rsidR="08B80C51">
        <w:t xml:space="preserve">Pro hermeneutiku panuje zásadní rozdíl mezi hyparchickým pojetím </w:t>
      </w:r>
      <w:r w:rsidR="08D91F67">
        <w:rPr>
          <w:i/>
        </w:rPr>
        <w:t>ex in</w:t>
      </w:r>
      <w:r w:rsidR="08B80C51" w:rsidRPr="00642EEA">
        <w:rPr>
          <w:i/>
        </w:rPr>
        <w:t>mediatis</w:t>
      </w:r>
      <w:r w:rsidR="08B80C51">
        <w:rPr>
          <w:i/>
        </w:rPr>
        <w:fldChar w:fldCharType="begin"/>
      </w:r>
      <w:r w:rsidR="08B80C51">
        <w:instrText xml:space="preserve"> XE "princip </w:instrText>
      </w:r>
      <w:r w:rsidR="08D91F67">
        <w:rPr>
          <w:i/>
        </w:rPr>
        <w:instrText>ex in</w:instrText>
      </w:r>
      <w:r w:rsidR="08B80C51" w:rsidRPr="00C70BD9">
        <w:rPr>
          <w:i/>
        </w:rPr>
        <w:instrText>mediatis</w:instrText>
      </w:r>
      <w:r w:rsidR="08B80C51">
        <w:instrText xml:space="preserve">" </w:instrText>
      </w:r>
      <w:r w:rsidR="08B80C51">
        <w:rPr>
          <w:i/>
        </w:rPr>
        <w:fldChar w:fldCharType="end"/>
      </w:r>
      <w:r w:rsidR="08B80C51">
        <w:t xml:space="preserve"> Albertova aristotelského výkladu </w:t>
      </w:r>
      <w:r w:rsidR="08B80C51" w:rsidRPr="00B67CBF">
        <w:rPr>
          <w:i/>
        </w:rPr>
        <w:t>Druhých analytik</w:t>
      </w:r>
      <w:r w:rsidR="08B80C51">
        <w:t xml:space="preserve"> a mezi logickým pojetím </w:t>
      </w:r>
      <w:r w:rsidR="08B80C51" w:rsidRPr="00642EEA">
        <w:rPr>
          <w:i/>
        </w:rPr>
        <w:t>ex inmediatis</w:t>
      </w:r>
      <w:r w:rsidR="08B80C51">
        <w:t xml:space="preserve"> Grossetesteho moderního výkladu. </w:t>
      </w:r>
      <w:r w:rsidR="08B046E0">
        <w:t>Tyto dějiny bytí jsoucna</w:t>
      </w:r>
      <w:r w:rsidR="08B938C2">
        <w:t xml:space="preserve"> unikly současné mediavelistice v</w:t>
      </w:r>
      <w:r w:rsidR="08B046E0">
        <w:t xml:space="preserve">inou objektivně dané slepoty moderní vědy provozované v identitárním modu </w:t>
      </w:r>
      <w:r w:rsidR="08B046E0" w:rsidRPr="007105F6">
        <w:rPr>
          <w:i/>
        </w:rPr>
        <w:t>Oxfordian Fallacy</w:t>
      </w:r>
      <w:r w:rsidR="08B938C2">
        <w:t>. M</w:t>
      </w:r>
      <w:r w:rsidR="08B046E0">
        <w:t xml:space="preserve">oderna </w:t>
      </w:r>
      <w:r w:rsidR="08B938C2">
        <w:t xml:space="preserve">nemá </w:t>
      </w:r>
      <w:r w:rsidR="08407FAF">
        <w:t>fenomenologickou metodu, jak</w:t>
      </w:r>
      <w:r w:rsidR="08B046E0">
        <w:t xml:space="preserve"> by mohla vidět metafyzický posun v modu bytí jsoucna a nutnosti od modu </w:t>
      </w:r>
      <w:r w:rsidR="08967BA6">
        <w:t xml:space="preserve">hyparchického </w:t>
      </w:r>
      <w:r w:rsidR="08B046E0" w:rsidRPr="00B91EF0">
        <w:rPr>
          <w:i/>
        </w:rPr>
        <w:t>ipse</w:t>
      </w:r>
      <w:r w:rsidR="08B046E0">
        <w:t xml:space="preserve"> do </w:t>
      </w:r>
      <w:r w:rsidR="08967BA6">
        <w:t xml:space="preserve">logického </w:t>
      </w:r>
      <w:r w:rsidR="08B046E0">
        <w:t xml:space="preserve">modu </w:t>
      </w:r>
      <w:r w:rsidR="08B046E0" w:rsidRPr="00B91EF0">
        <w:rPr>
          <w:i/>
        </w:rPr>
        <w:t>idem</w:t>
      </w:r>
      <w:r w:rsidR="08B046E0">
        <w:rPr>
          <w:i/>
        </w:rPr>
        <w:fldChar w:fldCharType="begin"/>
      </w:r>
      <w:r w:rsidR="08B046E0">
        <w:instrText xml:space="preserve"> XE "</w:instrText>
      </w:r>
      <w:r w:rsidR="08B046E0" w:rsidRPr="00C311DF">
        <w:instrText>in</w:instrText>
      </w:r>
      <w:r w:rsidR="08B046E0">
        <w:instrText>telekt:</w:instrText>
      </w:r>
      <w:r w:rsidR="08B046E0" w:rsidRPr="00DF78A9">
        <w:rPr>
          <w:i/>
        </w:rPr>
        <w:instrText>ipse</w:instrText>
      </w:r>
      <w:r w:rsidR="08B046E0" w:rsidRPr="00C311DF">
        <w:instrText>/</w:instrText>
      </w:r>
      <w:r w:rsidR="08B046E0" w:rsidRPr="00DF78A9">
        <w:rPr>
          <w:i/>
        </w:rPr>
        <w:instrText>idem</w:instrText>
      </w:r>
      <w:r w:rsidR="08B046E0">
        <w:instrText xml:space="preserve">" </w:instrText>
      </w:r>
      <w:r w:rsidR="08B046E0">
        <w:rPr>
          <w:i/>
        </w:rPr>
        <w:fldChar w:fldCharType="end"/>
      </w:r>
      <w:r w:rsidR="08B046E0">
        <w:t xml:space="preserve">. </w:t>
      </w:r>
      <w:r w:rsidR="08166420" w:rsidRPr="00273106">
        <w:t xml:space="preserve">Pro Aristotela je pořadí </w:t>
      </w:r>
      <w:r w:rsidR="08166420">
        <w:t xml:space="preserve">první a pak druhé triády </w:t>
      </w:r>
      <w:r w:rsidR="08166420" w:rsidRPr="00273106">
        <w:t xml:space="preserve">principů závazné a určuje průběh poznání, což jasně viděl Albertův výklad </w:t>
      </w:r>
      <w:r w:rsidR="08166420">
        <w:t xml:space="preserve">dvojího poznání duše v </w:t>
      </w:r>
      <w:r w:rsidR="08166420" w:rsidRPr="006B044C">
        <w:rPr>
          <w:i/>
        </w:rPr>
        <w:t>De homine</w:t>
      </w:r>
      <w:r w:rsidR="08FA3796">
        <w:t xml:space="preserve">. Předložený výklad jasně ukázal, že jde o </w:t>
      </w:r>
      <w:r w:rsidR="08166420">
        <w:t xml:space="preserve">výklad Averroese podle Sicilské školy. </w:t>
      </w:r>
      <w:r w:rsidR="08166420" w:rsidRPr="00273106">
        <w:t>Jen kauzální působení jedné věci nebo její části na druhou (</w:t>
      </w:r>
      <w:r w:rsidR="08166420" w:rsidRPr="00273106">
        <w:rPr>
          <w:i/>
        </w:rPr>
        <w:t>diffinitio passionis</w:t>
      </w:r>
      <w:r w:rsidR="08166420" w:rsidRPr="00273106">
        <w:t xml:space="preserve">) zakládá skutečné </w:t>
      </w:r>
      <w:r w:rsidR="08166420" w:rsidRPr="00273106">
        <w:rPr>
          <w:i/>
        </w:rPr>
        <w:t>demonstratio</w:t>
      </w:r>
      <w:r w:rsidR="08166420">
        <w:rPr>
          <w:i/>
        </w:rPr>
        <w:fldChar w:fldCharType="begin"/>
      </w:r>
      <w:r w:rsidR="08166420">
        <w:instrText xml:space="preserve"> XE "</w:instrText>
      </w:r>
      <w:r w:rsidR="08166420" w:rsidRPr="004E6075">
        <w:rPr>
          <w:i/>
        </w:rPr>
        <w:instrText>demonstratio</w:instrText>
      </w:r>
      <w:r w:rsidR="08166420" w:rsidRPr="0079327B">
        <w:instrText>:</w:instrText>
      </w:r>
      <w:r w:rsidR="08CF0A7A">
        <w:instrText>Albert</w:instrText>
      </w:r>
      <w:r w:rsidR="08166420">
        <w:instrText xml:space="preserve">" </w:instrText>
      </w:r>
      <w:r w:rsidR="08166420">
        <w:rPr>
          <w:i/>
        </w:rPr>
        <w:fldChar w:fldCharType="end"/>
      </w:r>
      <w:r w:rsidR="08166420" w:rsidRPr="00273106">
        <w:t>. Albert musí střední člen soudu vztáhnout k tomu, čím je věc v kauzálně dané podstatě (</w:t>
      </w:r>
      <w:r w:rsidR="08166420" w:rsidRPr="00273106">
        <w:rPr>
          <w:i/>
        </w:rPr>
        <w:t>id est, quare insit</w:t>
      </w:r>
      <w:r w:rsidR="08166420" w:rsidRPr="00273106">
        <w:t>).</w:t>
      </w:r>
      <w:r w:rsidR="08166420">
        <w:t xml:space="preserve"> </w:t>
      </w:r>
      <w:r w:rsidR="005B2DCE" w:rsidRPr="00273106">
        <w:t>Jestliže poznání začne určovat poznatek primárně od obecné formy, čili od druhé trojice principů, pak chybí v demonstrativním soudu vztah k realitě.</w:t>
      </w:r>
      <w:r w:rsidR="080D7A5E">
        <w:t xml:space="preserve"> </w:t>
      </w:r>
      <w:r w:rsidR="08D94AFA">
        <w:t xml:space="preserve">Logicky a objektivně viděno nechybí tomuto důkazu vůbec nic. </w:t>
      </w:r>
      <w:r w:rsidR="08266AD4">
        <w:t xml:space="preserve">Určení vědy dané jako metafyzické zdůvodnění vědeckého poznání </w:t>
      </w:r>
      <w:r w:rsidR="08255827">
        <w:t>v modu univerzalit</w:t>
      </w:r>
      <w:r w:rsidR="08ED2647">
        <w:t>y vztažené</w:t>
      </w:r>
      <w:r w:rsidR="08255827">
        <w:t xml:space="preserve"> k hyparchickému bytí jsoucna (</w:t>
      </w:r>
      <w:r w:rsidR="08255827" w:rsidRPr="00273106">
        <w:t>καθόλου</w:t>
      </w:r>
      <w:r w:rsidR="08255827">
        <w:t xml:space="preserve"> </w:t>
      </w:r>
      <w:r w:rsidR="08255827" w:rsidRPr="00273106">
        <w:t>ὑπάρχει τοῖς πράγμασιν</w:t>
      </w:r>
      <w:r w:rsidR="08255827">
        <w:t xml:space="preserve">) </w:t>
      </w:r>
      <w:r w:rsidR="08266AD4">
        <w:t xml:space="preserve">se </w:t>
      </w:r>
      <w:r w:rsidR="08E877B3">
        <w:t xml:space="preserve">zásadně odlišilo </w:t>
      </w:r>
      <w:r w:rsidR="08266AD4">
        <w:t>ve škole prvního a druhého averroismu. D</w:t>
      </w:r>
      <w:r w:rsidR="005B2DCE" w:rsidRPr="00273106">
        <w:t>ůvod znepokojení prvního averroismu ohledně statutu první substance je nyní zřejmý</w:t>
      </w:r>
      <w:r w:rsidR="08D328DE">
        <w:t>, což ukázala</w:t>
      </w:r>
      <w:r w:rsidR="005B2DCE">
        <w:t xml:space="preserve"> kritika</w:t>
      </w:r>
      <w:r w:rsidR="00040F3B">
        <w:t xml:space="preserve"> biskupa Alverna ohledně školy Gramatiků </w:t>
      </w:r>
      <w:r w:rsidR="08773952">
        <w:t>(kap. 2</w:t>
      </w:r>
      <w:r w:rsidR="005B2DCE">
        <w:t>.3.2)</w:t>
      </w:r>
      <w:r w:rsidR="005B2DCE" w:rsidRPr="00273106">
        <w:t>.</w:t>
      </w:r>
      <w:r w:rsidR="005B2DCE">
        <w:t xml:space="preserve"> </w:t>
      </w:r>
      <w:r w:rsidR="08CF0A7A">
        <w:t>H</w:t>
      </w:r>
      <w:r w:rsidR="08D66D76">
        <w:t xml:space="preserve">ermeneutika </w:t>
      </w:r>
      <w:r w:rsidR="08543190">
        <w:t xml:space="preserve">z těchto důvodů </w:t>
      </w:r>
      <w:r w:rsidR="08D66D76">
        <w:t xml:space="preserve">vidí vítězné tažení </w:t>
      </w:r>
      <w:r w:rsidR="08CF0A7A">
        <w:t xml:space="preserve">moderny </w:t>
      </w:r>
      <w:r w:rsidR="08D66D76">
        <w:t xml:space="preserve">v modu původní dějinné </w:t>
      </w:r>
      <w:r w:rsidR="08D66D76" w:rsidRPr="08C27878">
        <w:rPr>
          <w:i/>
        </w:rPr>
        <w:t>Lichtung</w:t>
      </w:r>
      <w:r w:rsidR="08D66D76">
        <w:t xml:space="preserve"> objektivity</w:t>
      </w:r>
      <w:r w:rsidR="08CF0A7A">
        <w:t xml:space="preserve">. Její nepravda je </w:t>
      </w:r>
      <w:r w:rsidR="08D66D76">
        <w:t>dán</w:t>
      </w:r>
      <w:r w:rsidR="08CF0A7A">
        <w:t>a skrze učenou sofistiku</w:t>
      </w:r>
      <w:r w:rsidR="08D66D76">
        <w:t xml:space="preserve"> </w:t>
      </w:r>
      <w:r w:rsidR="08CF0A7A" w:rsidRPr="08CF0A7A">
        <w:rPr>
          <w:i/>
        </w:rPr>
        <w:t>Latinorum</w:t>
      </w:r>
      <w:r w:rsidR="08CF0A7A">
        <w:t xml:space="preserve"> </w:t>
      </w:r>
      <w:r w:rsidR="08D66D76">
        <w:t xml:space="preserve">v Oxfordu a v Paříži. </w:t>
      </w:r>
      <w:r w:rsidR="005F43BA">
        <w:t xml:space="preserve">Dějinné působení </w:t>
      </w:r>
      <w:r w:rsidR="08D66D76">
        <w:t xml:space="preserve">modernistů </w:t>
      </w:r>
      <w:r w:rsidR="005F43BA">
        <w:t xml:space="preserve">začalo jejich </w:t>
      </w:r>
      <w:r w:rsidR="085A0F03">
        <w:t xml:space="preserve">akademickou </w:t>
      </w:r>
      <w:r w:rsidR="08D66D76">
        <w:t xml:space="preserve">prohrou v Paříži v letech 1230‒50, kde za pontifikátu biskupa Alverna vládla pravda prvního averroismu. </w:t>
      </w:r>
      <w:r w:rsidR="08321281">
        <w:t>Z hlediska múzické po</w:t>
      </w:r>
      <w:r w:rsidR="08321281">
        <w:noBreakHyphen/>
        <w:t xml:space="preserve">odkrytosti </w:t>
      </w:r>
      <w:r w:rsidR="088F6C3C">
        <w:t xml:space="preserve">dějinnosti bytí </w:t>
      </w:r>
      <w:r w:rsidR="08321281">
        <w:t xml:space="preserve">v modu </w:t>
      </w:r>
      <w:r w:rsidR="08321281" w:rsidRPr="08321281">
        <w:rPr>
          <w:i/>
        </w:rPr>
        <w:t>a/létheia</w:t>
      </w:r>
      <w:r w:rsidR="08321281">
        <w:t xml:space="preserve"> </w:t>
      </w:r>
      <w:r w:rsidR="00BE1344">
        <w:t xml:space="preserve">a </w:t>
      </w:r>
      <w:r w:rsidR="00BE1344" w:rsidRPr="00BE1344">
        <w:rPr>
          <w:i/>
        </w:rPr>
        <w:t>Lichtung</w:t>
      </w:r>
      <w:r w:rsidR="00BE1344">
        <w:t xml:space="preserve"> </w:t>
      </w:r>
      <w:r w:rsidR="08321281">
        <w:t xml:space="preserve">platí, že </w:t>
      </w:r>
      <w:r w:rsidR="00BE1344">
        <w:t xml:space="preserve">božské Múzy iniciovaly </w:t>
      </w:r>
      <w:r w:rsidR="08321281">
        <w:t>o</w:t>
      </w:r>
      <w:r w:rsidR="08321281" w:rsidRPr="00273106">
        <w:t xml:space="preserve">d </w:t>
      </w:r>
      <w:r w:rsidR="08FF78A1">
        <w:t xml:space="preserve">roku </w:t>
      </w:r>
      <w:r w:rsidR="08321281">
        <w:t xml:space="preserve">1230 </w:t>
      </w:r>
      <w:r w:rsidR="006E4904" w:rsidRPr="00273106">
        <w:t xml:space="preserve">na Oxfordu </w:t>
      </w:r>
      <w:r w:rsidR="08321281">
        <w:t xml:space="preserve">chaotický </w:t>
      </w:r>
      <w:r w:rsidR="006E4904" w:rsidRPr="00273106">
        <w:t>výklad</w:t>
      </w:r>
      <w:r w:rsidR="00CB6039">
        <w:t xml:space="preserve"> poznání</w:t>
      </w:r>
      <w:r w:rsidR="001321C9">
        <w:t xml:space="preserve">, múzicky </w:t>
      </w:r>
      <w:r w:rsidR="08321281">
        <w:t xml:space="preserve">zvaný </w:t>
      </w:r>
      <w:r w:rsidR="00BE1344">
        <w:t>„</w:t>
      </w:r>
      <w:r w:rsidR="08321281">
        <w:t xml:space="preserve">cesta </w:t>
      </w:r>
      <w:r w:rsidR="00032EF4">
        <w:t>z</w:t>
      </w:r>
      <w:r w:rsidR="007D4E7C">
        <w:t xml:space="preserve">matených </w:t>
      </w:r>
      <w:r w:rsidR="000D2F90">
        <w:t>současníků</w:t>
      </w:r>
      <w:r w:rsidR="00BE1344">
        <w:t>“</w:t>
      </w:r>
      <w:r w:rsidR="08321281">
        <w:t xml:space="preserve"> (</w:t>
      </w:r>
      <w:r w:rsidR="08321281" w:rsidRPr="08321281">
        <w:rPr>
          <w:i/>
        </w:rPr>
        <w:t>via Modernorum</w:t>
      </w:r>
      <w:r w:rsidR="00A218A8">
        <w:t>).</w:t>
      </w:r>
    </w:p>
    <w:p w14:paraId="0FCA27BE" w14:textId="5A990041" w:rsidR="004B4681" w:rsidRPr="007211A8" w:rsidRDefault="004B4681" w:rsidP="00A06AB2">
      <w:pPr>
        <w:pStyle w:val="Nadpis3"/>
        <w:rPr>
          <w:lang w:val="cs-CZ"/>
        </w:rPr>
      </w:pPr>
      <w:r>
        <w:br w:type="page"/>
      </w:r>
      <w:bookmarkStart w:id="102" w:name="_Toc160449333"/>
      <w:r>
        <w:lastRenderedPageBreak/>
        <w:t>3.1.2</w:t>
      </w:r>
      <w:r w:rsidR="007211A8">
        <w:rPr>
          <w:lang w:val="cs-CZ"/>
        </w:rPr>
        <w:t xml:space="preserve"> </w:t>
      </w:r>
      <w:r w:rsidR="00EB0268">
        <w:rPr>
          <w:lang w:val="cs-CZ"/>
        </w:rPr>
        <w:t>I</w:t>
      </w:r>
      <w:r w:rsidR="007211A8">
        <w:rPr>
          <w:lang w:val="cs-CZ"/>
        </w:rPr>
        <w:t xml:space="preserve">ndividuum a </w:t>
      </w:r>
      <w:r w:rsidR="00EB0268">
        <w:rPr>
          <w:lang w:val="cs-CZ"/>
        </w:rPr>
        <w:t>moderní bůh</w:t>
      </w:r>
      <w:bookmarkEnd w:id="102"/>
    </w:p>
    <w:p w14:paraId="0A924440" w14:textId="2D322D1E" w:rsidR="004B4681" w:rsidRDefault="00AF0447" w:rsidP="004B4681">
      <w:r w:rsidRPr="00AF0447">
        <w:t xml:space="preserve">Odklonem od myšlení raného pařížského období vytvořil Grosseteste </w:t>
      </w:r>
      <w:r>
        <w:t xml:space="preserve">sofistickou </w:t>
      </w:r>
      <w:r w:rsidRPr="08214BA5">
        <w:rPr>
          <w:i/>
        </w:rPr>
        <w:t>epoché</w:t>
      </w:r>
      <w:r>
        <w:t xml:space="preserve"> </w:t>
      </w:r>
      <w:r w:rsidRPr="00AF0447">
        <w:t>klasické metafyziky, která zahájila vítěznou éru</w:t>
      </w:r>
      <w:r>
        <w:t xml:space="preserve"> dominovanou </w:t>
      </w:r>
      <w:r w:rsidR="00CB3CFA">
        <w:t>Oxfordským b</w:t>
      </w:r>
      <w:r>
        <w:t>ludem (</w:t>
      </w:r>
      <w:r w:rsidRPr="00CB3CFA">
        <w:rPr>
          <w:i/>
        </w:rPr>
        <w:t>Oxfordian Fallacy</w:t>
      </w:r>
      <w:r>
        <w:t>).</w:t>
      </w:r>
      <w:r w:rsidR="00575AE9">
        <w:t xml:space="preserve"> </w:t>
      </w:r>
      <w:r w:rsidR="004B4681">
        <w:t xml:space="preserve">To je další důvod, proč musel z Paříže odejít </w:t>
      </w:r>
      <w:r w:rsidR="00E14329">
        <w:t xml:space="preserve">hned </w:t>
      </w:r>
      <w:r w:rsidR="004B4681">
        <w:t xml:space="preserve">po roce 1228. </w:t>
      </w:r>
      <w:r w:rsidR="004B4681" w:rsidRPr="00273106">
        <w:t xml:space="preserve">Pro aristoteliky </w:t>
      </w:r>
      <w:r w:rsidR="004B4681">
        <w:t>typu Alverna a Alberta představuje formální</w:t>
      </w:r>
      <w:r w:rsidR="004B4681" w:rsidRPr="00273106">
        <w:t xml:space="preserve"> vý</w:t>
      </w:r>
      <w:r w:rsidR="004B4681">
        <w:t xml:space="preserve">klad principu </w:t>
      </w:r>
      <w:r w:rsidR="004B4681" w:rsidRPr="08121F7A">
        <w:rPr>
          <w:i/>
        </w:rPr>
        <w:t>ex inmediatis</w:t>
      </w:r>
      <w:r w:rsidR="004B4681">
        <w:t xml:space="preserve"> popření základní výstavby vědy. Škola prvního averroismu podle Sicilského výkladu Komentátora hájí impozici významu od existující první substance. Reálná nutnost existuje aktuálně a v nutném existenciálním modu </w:t>
      </w:r>
      <w:r w:rsidR="004B4681" w:rsidRPr="00EC144D">
        <w:rPr>
          <w:i/>
        </w:rPr>
        <w:t>simpliciter</w:t>
      </w:r>
      <w:r w:rsidR="004B4681">
        <w:t xml:space="preserve"> a </w:t>
      </w:r>
      <w:r w:rsidR="004B4681" w:rsidRPr="00EC144D">
        <w:rPr>
          <w:i/>
        </w:rPr>
        <w:t>per se</w:t>
      </w:r>
      <w:r w:rsidR="004B4681">
        <w:t>. Proto je nutná kategoriální a vědecká signifikace této původní nutnosti, protože k existenci věci v realitě nelze nic přidat. Pak platí, že metafyzická ipseita reálné první substance není totéž jako její logická identita</w:t>
      </w:r>
      <w:r w:rsidR="004B4681">
        <w:fldChar w:fldCharType="begin"/>
      </w:r>
      <w:r w:rsidR="004B4681">
        <w:instrText xml:space="preserve"> XE "intelekt:</w:instrText>
      </w:r>
      <w:r w:rsidR="004B4681" w:rsidRPr="00A56AAE">
        <w:rPr>
          <w:i/>
        </w:rPr>
        <w:instrText>ipse/idem</w:instrText>
      </w:r>
      <w:r w:rsidR="004B4681">
        <w:instrText xml:space="preserve">" </w:instrText>
      </w:r>
      <w:r w:rsidR="004B4681">
        <w:fldChar w:fldCharType="end"/>
      </w:r>
      <w:r w:rsidR="004B4681">
        <w:t xml:space="preserve">. </w:t>
      </w:r>
      <w:r w:rsidR="004B4681" w:rsidRPr="00273106">
        <w:t>Primát matematické abstrakce</w:t>
      </w:r>
      <w:r w:rsidR="004B4681">
        <w:fldChar w:fldCharType="begin"/>
      </w:r>
      <w:r w:rsidR="004B4681">
        <w:instrText xml:space="preserve"> XE "</w:instrText>
      </w:r>
      <w:r w:rsidR="004B4681" w:rsidRPr="00A824F0">
        <w:instrText>abstrakce:matematická</w:instrText>
      </w:r>
      <w:r w:rsidR="004B4681">
        <w:instrText xml:space="preserve">" </w:instrText>
      </w:r>
      <w:r w:rsidR="004B4681">
        <w:fldChar w:fldCharType="end"/>
      </w:r>
      <w:r w:rsidR="004B4681" w:rsidRPr="00273106">
        <w:t xml:space="preserve"> dokládá další charakteristiku nového výkladu. Analytická škola po vzoru analyzovaného spisu </w:t>
      </w:r>
      <w:r w:rsidR="004B4681" w:rsidRPr="00273106">
        <w:rPr>
          <w:i/>
        </w:rPr>
        <w:t xml:space="preserve">Dialogus Ratii et Everardi </w:t>
      </w:r>
      <w:r w:rsidR="004B4681" w:rsidRPr="00273106">
        <w:t>absolutizovala matematickou abstrakci a postavila ji jako základ sm</w:t>
      </w:r>
      <w:r w:rsidR="004B4681">
        <w:t>yslu jsoucna (kap. 1</w:t>
      </w:r>
      <w:r w:rsidR="004B4681" w:rsidRPr="00273106">
        <w:t xml:space="preserve">.5). </w:t>
      </w:r>
      <w:r w:rsidR="004B4681">
        <w:t xml:space="preserve">Aristotelovy </w:t>
      </w:r>
      <w:r w:rsidR="004B4681" w:rsidRPr="00F74520">
        <w:rPr>
          <w:i/>
        </w:rPr>
        <w:t>Druhé analytiky</w:t>
      </w:r>
      <w:r w:rsidR="004B4681" w:rsidRPr="00273106">
        <w:t xml:space="preserve"> drží ekvivalenci esence a existence pouze pro matematiku a geometrii. Tyto vědy abstrahují od reality prvních substancí a na své úrovni abstrakce pracují pouze s univerzálně danými esencemi.</w:t>
      </w:r>
      <w:r w:rsidR="004B4681">
        <w:t xml:space="preserve"> Přechod z matematické abstrakce</w:t>
      </w:r>
      <w:r w:rsidR="004B4681">
        <w:fldChar w:fldCharType="begin"/>
      </w:r>
      <w:r w:rsidR="004B4681">
        <w:instrText xml:space="preserve"> XE "abstrakce:metafyzická" </w:instrText>
      </w:r>
      <w:r w:rsidR="004B4681">
        <w:fldChar w:fldCharType="end"/>
      </w:r>
      <w:r w:rsidR="004B4681">
        <w:t xml:space="preserve"> na metafyzickou není možný, protože  číslo a geometrická figura existuje jen v mysli, a ne v realitě. Proto není identická predikace vzhledem k porretánskému individuu a vzhledem k aristotelské druhé substanci, jejíž význam vznikl impozicí od reálné první substance. Mrtvola jako moderní individuum není existující člověk jako první substance, která je vybavena vlastní kauzalitou danou nikoliv mrtvole, ale Sokratovi. Proto bylo třeba ve škole prvního averroismu nově vyložit </w:t>
      </w:r>
      <w:r w:rsidR="004B4681" w:rsidRPr="00EC144D">
        <w:rPr>
          <w:i/>
        </w:rPr>
        <w:t>Druhé analytiky</w:t>
      </w:r>
      <w:r w:rsidR="004B4681">
        <w:t xml:space="preserve">, aby se zachránil původní smysl demonstrativního soudu. Poznání reálného světa musí být v souladu se základním charakterem poznání vyloženém ve spise </w:t>
      </w:r>
      <w:r w:rsidR="004B4681" w:rsidRPr="08410A9D">
        <w:rPr>
          <w:i/>
        </w:rPr>
        <w:t>De anima</w:t>
      </w:r>
      <w:r w:rsidR="004B4681">
        <w:t xml:space="preserve">. Kategoriální predikace ztratila ve škole </w:t>
      </w:r>
      <w:r w:rsidR="004B4681" w:rsidRPr="0054222F">
        <w:rPr>
          <w:i/>
        </w:rPr>
        <w:t>Oxfordian Fallacy</w:t>
      </w:r>
      <w:r w:rsidR="004B4681">
        <w:t xml:space="preserve"> hyparchickou vazbu na reálnou první substanci a toto poznání není dáno v modelu pravdy jako aristotelské adekvace nebo Averroesova </w:t>
      </w:r>
      <w:r w:rsidR="004B4681" w:rsidRPr="00023E9B">
        <w:rPr>
          <w:i/>
        </w:rPr>
        <w:t>proportio</w:t>
      </w:r>
      <w:r w:rsidR="004B4681">
        <w:t xml:space="preserve">. </w:t>
      </w:r>
      <w:r w:rsidR="004B4681" w:rsidRPr="00273106">
        <w:t>Rozbor Avicennova pojetí abstrakce ukázal, že posledním c</w:t>
      </w:r>
      <w:r w:rsidR="004B4681" w:rsidRPr="00273106">
        <w:rPr>
          <w:rStyle w:val="FontStyle129"/>
          <w:rFonts w:ascii="Calibri" w:hAnsi="Calibri"/>
          <w:sz w:val="24"/>
        </w:rPr>
        <w:t xml:space="preserve">ílem poznání jako přímého náhledu do </w:t>
      </w:r>
      <w:r w:rsidR="004B4681">
        <w:rPr>
          <w:rStyle w:val="FontStyle129"/>
          <w:rFonts w:ascii="Calibri" w:hAnsi="Calibri"/>
          <w:sz w:val="24"/>
        </w:rPr>
        <w:t xml:space="preserve">eidetických esencí </w:t>
      </w:r>
      <w:r w:rsidR="004B4681" w:rsidRPr="00273106">
        <w:rPr>
          <w:rStyle w:val="FontStyle129"/>
          <w:rFonts w:ascii="Calibri" w:hAnsi="Calibri"/>
          <w:sz w:val="24"/>
        </w:rPr>
        <w:t xml:space="preserve">je sféra </w:t>
      </w:r>
      <w:r w:rsidR="004B4681" w:rsidRPr="00273106">
        <w:t xml:space="preserve">nemateriálních separovaných inteligencí, jejichž objektem poznání jsou </w:t>
      </w:r>
      <w:r w:rsidR="004B4681">
        <w:t xml:space="preserve">pouze </w:t>
      </w:r>
      <w:r w:rsidR="004B4681" w:rsidRPr="00273106">
        <w:t xml:space="preserve">aktuální a plně subsistentní formy. Lidský </w:t>
      </w:r>
      <w:r w:rsidR="004B4681" w:rsidRPr="00273106">
        <w:rPr>
          <w:i/>
        </w:rPr>
        <w:t>intellectus sanctus</w:t>
      </w:r>
      <w:r w:rsidR="004B4681">
        <w:rPr>
          <w:i/>
        </w:rPr>
        <w:fldChar w:fldCharType="begin"/>
      </w:r>
      <w:r w:rsidR="004B4681">
        <w:instrText xml:space="preserve"> XE "</w:instrText>
      </w:r>
      <w:r w:rsidR="004B4681" w:rsidRPr="00473DEE">
        <w:rPr>
          <w:i/>
        </w:rPr>
        <w:instrText>intellectus sanctus</w:instrText>
      </w:r>
      <w:r w:rsidR="004B4681">
        <w:instrText xml:space="preserve">" </w:instrText>
      </w:r>
      <w:r w:rsidR="004B4681">
        <w:rPr>
          <w:i/>
        </w:rPr>
        <w:fldChar w:fldCharType="end"/>
      </w:r>
      <w:r w:rsidR="004B4681" w:rsidRPr="00273106">
        <w:t xml:space="preserve"> se má přibližovat tomuto poznání kosmických inteligencí podle svých sil. Podobným způsobem postupuje i Grosseteste ve výše uvedeném poznání prvních </w:t>
      </w:r>
      <w:r w:rsidR="004B4681" w:rsidRPr="00273106">
        <w:lastRenderedPageBreak/>
        <w:t xml:space="preserve">principů skrze dokonalý </w:t>
      </w:r>
      <w:r w:rsidR="004B4681" w:rsidRPr="00273106">
        <w:rPr>
          <w:i/>
        </w:rPr>
        <w:t>intellectus</w:t>
      </w:r>
      <w:r w:rsidR="004B4681" w:rsidRPr="00273106">
        <w:t xml:space="preserve"> a nedokonalou </w:t>
      </w:r>
      <w:r w:rsidR="004B4681" w:rsidRPr="00273106">
        <w:rPr>
          <w:i/>
        </w:rPr>
        <w:t>scientia</w:t>
      </w:r>
      <w:r w:rsidR="004B4681">
        <w:rPr>
          <w:i/>
        </w:rPr>
        <w:fldChar w:fldCharType="begin"/>
      </w:r>
      <w:r w:rsidR="004B4681">
        <w:instrText xml:space="preserve"> XE "</w:instrText>
      </w:r>
      <w:r w:rsidR="004B4681" w:rsidRPr="0015798D">
        <w:rPr>
          <w:i/>
        </w:rPr>
        <w:instrText>Oxfordian Fallacy:</w:instrText>
      </w:r>
      <w:r w:rsidR="004B4681">
        <w:rPr>
          <w:i/>
        </w:rPr>
        <w:instrText>scientia</w:instrText>
      </w:r>
      <w:r w:rsidR="004B4681">
        <w:instrText xml:space="preserve">" </w:instrText>
      </w:r>
      <w:r w:rsidR="004B4681">
        <w:rPr>
          <w:i/>
        </w:rPr>
        <w:fldChar w:fldCharType="end"/>
      </w:r>
      <w:r w:rsidR="004B4681" w:rsidRPr="00273106">
        <w:t>. Grosseteste má schéma intuitivního a vrozeného poznání prvních principů daných jako vrozený habitus (</w:t>
      </w:r>
      <w:r w:rsidR="004B4681" w:rsidRPr="00273106">
        <w:rPr>
          <w:i/>
        </w:rPr>
        <w:t>sunt</w:t>
      </w:r>
      <w:r w:rsidR="004B4681" w:rsidRPr="00273106">
        <w:t xml:space="preserve"> </w:t>
      </w:r>
      <w:r w:rsidR="004B4681" w:rsidRPr="00273106">
        <w:rPr>
          <w:rStyle w:val="TextpoznpodarouChar"/>
          <w:i/>
        </w:rPr>
        <w:t>in nobis ab initio potentia</w:t>
      </w:r>
      <w:r w:rsidR="004B4681" w:rsidRPr="00273106">
        <w:t>).</w:t>
      </w:r>
      <w:r w:rsidR="004B4681" w:rsidRPr="00273106">
        <w:rPr>
          <w:rStyle w:val="Znakapoznpodarou"/>
        </w:rPr>
        <w:footnoteReference w:id="301"/>
      </w:r>
      <w:r w:rsidR="004B4681" w:rsidRPr="00273106">
        <w:t xml:space="preserve"> </w:t>
      </w:r>
      <w:r w:rsidR="004B4681">
        <w:t xml:space="preserve">Citát </w:t>
      </w:r>
      <w:r w:rsidR="004B4681" w:rsidRPr="00273106">
        <w:t>předznamenává budoucí kartezianismus, protože staví na Avicennově pojetí vrozeného aktivního intelektu daného v modelu „létajícího muže</w:t>
      </w:r>
      <w:r w:rsidR="004B4681">
        <w:fldChar w:fldCharType="begin"/>
      </w:r>
      <w:r w:rsidR="004B4681">
        <w:instrText xml:space="preserve"> XE "</w:instrText>
      </w:r>
      <w:r w:rsidR="004B4681" w:rsidRPr="00FC391D">
        <w:rPr>
          <w:rStyle w:val="FontStyle129"/>
          <w:rFonts w:ascii="Calibri" w:hAnsi="Calibri"/>
          <w:sz w:val="24"/>
        </w:rPr>
        <w:instrText>létající muž</w:instrText>
      </w:r>
      <w:r w:rsidR="004B4681">
        <w:instrText xml:space="preserve">" </w:instrText>
      </w:r>
      <w:r w:rsidR="004B4681">
        <w:fldChar w:fldCharType="end"/>
      </w:r>
      <w:r w:rsidR="004B4681">
        <w:t xml:space="preserve">“. Objektivní nutnost se po vzoru objektivní atomární substance neoplatoniků stala dalším okřídleným slovem moderny. První příklad objektivně nutné predikace dal Avicenna v modu </w:t>
      </w:r>
      <w:r w:rsidR="004B4681" w:rsidRPr="08274CA7">
        <w:rPr>
          <w:i/>
        </w:rPr>
        <w:t>equinitas tantum</w:t>
      </w:r>
      <w:r w:rsidR="004B4681">
        <w:t xml:space="preserve"> a </w:t>
      </w:r>
      <w:r w:rsidR="004B4681" w:rsidRPr="08274CA7">
        <w:rPr>
          <w:i/>
        </w:rPr>
        <w:t>hoc esse tantum</w:t>
      </w:r>
      <w:r w:rsidR="004B4681">
        <w:rPr>
          <w:i/>
        </w:rPr>
        <w:fldChar w:fldCharType="begin"/>
      </w:r>
      <w:r w:rsidR="004B4681">
        <w:instrText xml:space="preserve"> XE "</w:instrText>
      </w:r>
      <w:r w:rsidR="004B4681" w:rsidRPr="089D4866">
        <w:rPr>
          <w:i/>
        </w:rPr>
        <w:instrText>hoc esse tantum</w:instrText>
      </w:r>
      <w:r w:rsidR="004B4681">
        <w:instrText xml:space="preserve">" </w:instrText>
      </w:r>
      <w:r w:rsidR="004B4681">
        <w:rPr>
          <w:i/>
        </w:rPr>
        <w:fldChar w:fldCharType="end"/>
      </w:r>
      <w:r w:rsidR="004B4681">
        <w:rPr>
          <w:i/>
        </w:rPr>
        <w:t xml:space="preserve"> </w:t>
      </w:r>
      <w:r w:rsidR="004B4681" w:rsidRPr="00273106">
        <w:t>(</w:t>
      </w:r>
      <w:r w:rsidR="004B4681">
        <w:t xml:space="preserve">OBJ I, </w:t>
      </w:r>
      <w:r w:rsidR="004B4681" w:rsidRPr="00273106">
        <w:t>kap. 2.3.2)</w:t>
      </w:r>
      <w:r w:rsidR="004B4681">
        <w:t>. Demiurg si skrze objektivně predikovanou univerzalitu mytopoeticky</w:t>
      </w:r>
      <w:r w:rsidR="004B4681">
        <w:fldChar w:fldCharType="begin"/>
      </w:r>
      <w:r w:rsidR="004B4681">
        <w:instrText xml:space="preserve"> XE "mytopoiesis" </w:instrText>
      </w:r>
      <w:r w:rsidR="004B4681">
        <w:fldChar w:fldCharType="end"/>
      </w:r>
      <w:r w:rsidR="004B4681">
        <w:t xml:space="preserve"> přivlastňuje reálné věci (</w:t>
      </w:r>
      <w:r w:rsidR="004B4681" w:rsidRPr="08A367F3">
        <w:rPr>
          <w:i/>
        </w:rPr>
        <w:t>dativus possessivus</w:t>
      </w:r>
      <w:r w:rsidR="004B4681">
        <w:rPr>
          <w:i/>
        </w:rPr>
        <w:fldChar w:fldCharType="begin"/>
      </w:r>
      <w:r w:rsidR="004B4681">
        <w:instrText xml:space="preserve"> XE "</w:instrText>
      </w:r>
      <w:r w:rsidR="004B4681" w:rsidRPr="08051741">
        <w:rPr>
          <w:i/>
        </w:rPr>
        <w:instrText>dativus possessivus</w:instrText>
      </w:r>
      <w:r w:rsidR="004B4681">
        <w:instrText xml:space="preserve">" </w:instrText>
      </w:r>
      <w:r w:rsidR="004B4681">
        <w:rPr>
          <w:i/>
        </w:rPr>
        <w:fldChar w:fldCharType="end"/>
      </w:r>
      <w:r w:rsidR="004B4681">
        <w:t xml:space="preserve">; OBJ III, kap. 4). Toto přivlastňování světa možné, ale dělat z něj vědecké poznání reality, to je paranoia. Aristoteles  v citované definici oddělil predikaci univerzality vzhledem k hyparchickému bytí prvních substancí od logicky predikované univerzality. Nic třetího ve vědě neexistuje, protože poznávané jsoucno je dáno v hyparchické nutnosti buď v realitě nebo v mysli. Bytí geometrické univerzálie v mysli („trojúhelník“ nebo „přímka“) se genericky liší od jedinečného bytí první substance dané aktuálně, reálně a proto nutně </w:t>
      </w:r>
      <w:r w:rsidR="004B4681" w:rsidRPr="08A367F3">
        <w:rPr>
          <w:i/>
        </w:rPr>
        <w:t>per se</w:t>
      </w:r>
      <w:r w:rsidR="004B4681">
        <w:rPr>
          <w:i/>
        </w:rPr>
        <w:t xml:space="preserve"> </w:t>
      </w:r>
      <w:r w:rsidR="004B4681">
        <w:t>(„toto existující auto“). O prvních substancích se univerzalita musí vypovídat, protože netvoří součast jejich bytí jako v případě logických obecnin daných pouze v mysli. Intelekt analytických iluminátů se postavil místo první substance a vytlačil kauzalitu reálné substance ve vědeckém důkazu. Tato metafyzická událost (</w:t>
      </w:r>
      <w:r w:rsidR="004B4681" w:rsidRPr="088A250C">
        <w:rPr>
          <w:i/>
        </w:rPr>
        <w:t>Ereignis</w:t>
      </w:r>
      <w:r w:rsidR="004B4681">
        <w:rPr>
          <w:i/>
        </w:rPr>
        <w:fldChar w:fldCharType="begin"/>
      </w:r>
      <w:r w:rsidR="004B4681">
        <w:instrText xml:space="preserve"> XE "</w:instrText>
      </w:r>
      <w:r w:rsidR="004B4681" w:rsidRPr="0803718B">
        <w:rPr>
          <w:i/>
        </w:rPr>
        <w:instrText>Ereignis</w:instrText>
      </w:r>
      <w:r w:rsidR="004B4681">
        <w:instrText xml:space="preserve">" </w:instrText>
      </w:r>
      <w:r w:rsidR="004B4681">
        <w:rPr>
          <w:i/>
        </w:rPr>
        <w:fldChar w:fldCharType="end"/>
      </w:r>
      <w:r w:rsidR="004B4681">
        <w:t xml:space="preserve">), skrze níž si demiurgický subjekt přivlastňuje veškerý smysl jsoucího založila epochální cestu moderny v modu Heideggerovy </w:t>
      </w:r>
      <w:r w:rsidR="004B4681" w:rsidRPr="08E40398">
        <w:rPr>
          <w:i/>
        </w:rPr>
        <w:t>Irre</w:t>
      </w:r>
      <w:r w:rsidR="004B4681">
        <w:rPr>
          <w:i/>
        </w:rPr>
        <w:fldChar w:fldCharType="begin"/>
      </w:r>
      <w:r w:rsidR="004B4681">
        <w:instrText xml:space="preserve"> XE "</w:instrText>
      </w:r>
      <w:r w:rsidR="004B4681" w:rsidRPr="08C52EB3">
        <w:rPr>
          <w:i/>
        </w:rPr>
        <w:instrText>Irre</w:instrText>
      </w:r>
      <w:r w:rsidR="004B4681">
        <w:instrText xml:space="preserve">" </w:instrText>
      </w:r>
      <w:r w:rsidR="004B4681">
        <w:rPr>
          <w:i/>
        </w:rPr>
        <w:fldChar w:fldCharType="end"/>
      </w:r>
      <w:r w:rsidR="004B4681">
        <w:t xml:space="preserve">. Objektivní dativ ubytoval univerzální bytí v Avicennově modu </w:t>
      </w:r>
      <w:r w:rsidR="004B4681" w:rsidRPr="08F0155D">
        <w:rPr>
          <w:i/>
        </w:rPr>
        <w:t>ens inquantum ens</w:t>
      </w:r>
      <w:r w:rsidR="004B4681">
        <w:rPr>
          <w:i/>
        </w:rPr>
        <w:fldChar w:fldCharType="begin"/>
      </w:r>
      <w:r w:rsidR="004B4681">
        <w:instrText xml:space="preserve"> XE "</w:instrText>
      </w:r>
      <w:r w:rsidR="004B4681" w:rsidRPr="087527ED">
        <w:rPr>
          <w:i/>
        </w:rPr>
        <w:instrText>ens inquantum ens</w:instrText>
      </w:r>
      <w:r w:rsidR="004B4681">
        <w:instrText xml:space="preserve">" </w:instrText>
      </w:r>
      <w:r w:rsidR="004B4681">
        <w:rPr>
          <w:i/>
        </w:rPr>
        <w:fldChar w:fldCharType="end"/>
      </w:r>
      <w:r w:rsidR="004B4681">
        <w:t xml:space="preserve"> přímo ve věcech. Moderní pojetí vědy v rámci </w:t>
      </w:r>
      <w:r w:rsidR="004B4681" w:rsidRPr="008817DC">
        <w:rPr>
          <w:i/>
        </w:rPr>
        <w:t>Oxfordian Fallacy</w:t>
      </w:r>
      <w:r w:rsidR="004B4681">
        <w:t xml:space="preserve"> sofisticky predikuje hyparchické bytí „věcí samých“ v modu </w:t>
      </w:r>
      <w:r w:rsidR="004B4681" w:rsidRPr="008817DC">
        <w:rPr>
          <w:i/>
        </w:rPr>
        <w:t>per prius</w:t>
      </w:r>
      <w:r w:rsidR="004B4681">
        <w:t xml:space="preserve"> od lidského intelektu a ne z reality. Analytická dedukce predikuje jsoucno třetího druhu univočně do reálných věcí v modu objektivity nastolené analytickým diskrétním viděním světa, které vítězně nahradilo předešlý </w:t>
      </w:r>
      <w:r w:rsidR="004B4681" w:rsidRPr="080D6A29">
        <w:rPr>
          <w:i/>
        </w:rPr>
        <w:t>Irrtum</w:t>
      </w:r>
      <w:r w:rsidR="004B4681">
        <w:t xml:space="preserve"> porretánů. V moderně se manifestuje objektivita jako dějinné a historické </w:t>
      </w:r>
      <w:r w:rsidR="004B4681" w:rsidRPr="00622332">
        <w:rPr>
          <w:i/>
        </w:rPr>
        <w:t>factum</w:t>
      </w:r>
      <w:r w:rsidR="004B4681">
        <w:rPr>
          <w:i/>
        </w:rPr>
        <w:fldChar w:fldCharType="begin"/>
      </w:r>
      <w:r w:rsidR="004B4681">
        <w:instrText xml:space="preserve"> XE "</w:instrText>
      </w:r>
      <w:r w:rsidR="004B4681" w:rsidRPr="0012277B">
        <w:rPr>
          <w:i/>
        </w:rPr>
        <w:instrText>factum</w:instrText>
      </w:r>
      <w:r w:rsidR="004B4681">
        <w:instrText xml:space="preserve">" </w:instrText>
      </w:r>
      <w:r w:rsidR="004B4681">
        <w:rPr>
          <w:i/>
        </w:rPr>
        <w:fldChar w:fldCharType="end"/>
      </w:r>
      <w:r w:rsidR="004B4681">
        <w:t xml:space="preserve"> utvořené pouze člověkem, čili jako </w:t>
      </w:r>
      <w:r w:rsidR="004B4681">
        <w:lastRenderedPageBreak/>
        <w:t xml:space="preserve">nutně daná univerzální pravda moderní vědy. Originální pasáž </w:t>
      </w:r>
      <w:r w:rsidR="004B4681" w:rsidRPr="003850D2">
        <w:rPr>
          <w:i/>
        </w:rPr>
        <w:t>Druhých analytik</w:t>
      </w:r>
      <w:r w:rsidR="004B4681">
        <w:t xml:space="preserve"> </w:t>
      </w:r>
      <w:r w:rsidR="004B4681" w:rsidRPr="00273106">
        <w:t xml:space="preserve">postuluje dvojí pojetí </w:t>
      </w:r>
      <w:r w:rsidR="004B4681">
        <w:t xml:space="preserve">nutné </w:t>
      </w:r>
      <w:r w:rsidR="004B4681" w:rsidRPr="00273106">
        <w:t>predikace, protože jak první substance</w:t>
      </w:r>
      <w:r w:rsidR="004B4681">
        <w:fldChar w:fldCharType="begin"/>
      </w:r>
      <w:r w:rsidR="004B4681">
        <w:instrText xml:space="preserve"> XE "</w:instrText>
      </w:r>
      <w:r w:rsidR="004B4681" w:rsidRPr="00DE2A32">
        <w:instrText>substance</w:instrText>
      </w:r>
      <w:r w:rsidR="004B4681">
        <w:instrText xml:space="preserve">:třetího druhu" </w:instrText>
      </w:r>
      <w:r w:rsidR="004B4681">
        <w:fldChar w:fldCharType="end"/>
      </w:r>
      <w:r w:rsidR="004B4681" w:rsidRPr="00273106">
        <w:t xml:space="preserve">, tak i univerzálie existuje </w:t>
      </w:r>
      <w:r w:rsidR="004B4681" w:rsidRPr="00273106">
        <w:rPr>
          <w:i/>
        </w:rPr>
        <w:t>per se</w:t>
      </w:r>
      <w:r w:rsidR="004B4681" w:rsidRPr="00273106">
        <w:t xml:space="preserve"> a </w:t>
      </w:r>
      <w:r w:rsidR="004B4681" w:rsidRPr="00273106">
        <w:rPr>
          <w:i/>
        </w:rPr>
        <w:t>simpliciter</w:t>
      </w:r>
      <w:r w:rsidR="004B4681" w:rsidRPr="00273106">
        <w:t xml:space="preserve">. </w:t>
      </w:r>
      <w:r w:rsidR="004B4681">
        <w:t>Ale jen b</w:t>
      </w:r>
      <w:r w:rsidR="004B4681" w:rsidRPr="00273106">
        <w:t xml:space="preserve">ytí první substance je dáno aktuálně, </w:t>
      </w:r>
      <w:r w:rsidR="004B4681">
        <w:t xml:space="preserve">protože </w:t>
      </w:r>
      <w:r w:rsidR="004B4681" w:rsidRPr="00273106">
        <w:t xml:space="preserve">bytí jakékoliv univerzálie je dáno pouze potenciálně, protože je vytvořena abstrakcí v mysli poznávajícího. </w:t>
      </w:r>
      <w:r w:rsidR="004B4681">
        <w:t xml:space="preserve">Absolutizací této subjektivně-demiurgické formy hyparchické predikace v modu </w:t>
      </w:r>
      <w:r w:rsidR="004B4681" w:rsidRPr="00AD3501">
        <w:rPr>
          <w:i/>
        </w:rPr>
        <w:t>Oxfordian Fallacy</w:t>
      </w:r>
      <w:r w:rsidR="004B4681">
        <w:t xml:space="preserve"> vzniklo nové </w:t>
      </w:r>
      <w:r w:rsidR="004B4681" w:rsidRPr="00AD3501">
        <w:rPr>
          <w:i/>
        </w:rPr>
        <w:t>factum</w:t>
      </w:r>
      <w:r w:rsidR="004B4681">
        <w:t xml:space="preserve"> moderní vědy. Nositelem původního významu bytí není reálné jsoucno, ale poznávající subjekt. Následná historie analytické filosofie</w:t>
      </w:r>
      <w:r w:rsidR="004B4681">
        <w:fldChar w:fldCharType="begin"/>
      </w:r>
      <w:r w:rsidR="004B4681">
        <w:instrText xml:space="preserve"> XE "</w:instrText>
      </w:r>
      <w:r w:rsidR="004B4681" w:rsidRPr="00654413">
        <w:rPr>
          <w:i/>
        </w:rPr>
        <w:instrText>Irrtum</w:instrText>
      </w:r>
      <w:r w:rsidR="004B4681">
        <w:instrText>:</w:instrText>
      </w:r>
      <w:r w:rsidR="004B4681" w:rsidRPr="009D5BB3">
        <w:instrText>analytická filosofie</w:instrText>
      </w:r>
      <w:r w:rsidR="004B4681">
        <w:instrText xml:space="preserve">" </w:instrText>
      </w:r>
      <w:r w:rsidR="004B4681">
        <w:fldChar w:fldCharType="end"/>
      </w:r>
      <w:r w:rsidR="004B4681">
        <w:t xml:space="preserve"> v epoše postmoderního metafyzického nihilismu představuje pozitivní </w:t>
      </w:r>
      <w:r w:rsidR="004B4681" w:rsidRPr="001F43AA">
        <w:rPr>
          <w:i/>
        </w:rPr>
        <w:t>veritas</w:t>
      </w:r>
      <w:r w:rsidR="004B4681">
        <w:rPr>
          <w:i/>
        </w:rPr>
        <w:fldChar w:fldCharType="begin"/>
      </w:r>
      <w:r w:rsidR="004B4681">
        <w:instrText xml:space="preserve"> XE "</w:instrText>
      </w:r>
      <w:r w:rsidR="004B4681" w:rsidRPr="008F3B99">
        <w:instrText>pravda:</w:instrText>
      </w:r>
      <w:r w:rsidR="004B4681" w:rsidRPr="006A0D4B">
        <w:rPr>
          <w:i/>
        </w:rPr>
        <w:instrText>veritas</w:instrText>
      </w:r>
      <w:r w:rsidR="004B4681">
        <w:instrText xml:space="preserve">" </w:instrText>
      </w:r>
      <w:r w:rsidR="004B4681">
        <w:rPr>
          <w:i/>
        </w:rPr>
        <w:fldChar w:fldCharType="end"/>
      </w:r>
      <w:r w:rsidR="004B4681">
        <w:t xml:space="preserve"> této odkrytosti bytí jsoucna v modu esenciální a logické abstrakce vztažené k objektivnímu bytí jsoucna. Člověk se stává moderním dárcem poznávacích forem, čímž učinil moderního boha jako avicennovského Dárce forem zcela zbytečným. Predikací univerzality zepředu od hyparchické reálné věci nebo zezadu od hyparchické logické univerzálie se ustavuje </w:t>
      </w:r>
      <w:r w:rsidR="004B4681" w:rsidRPr="08A94CEC">
        <w:rPr>
          <w:i/>
        </w:rPr>
        <w:t>Lichtung</w:t>
      </w:r>
      <w:r w:rsidR="004B4681">
        <w:t xml:space="preserve"> pravdy a nepravdy  západní vědy v archaickém modu </w:t>
      </w:r>
      <w:r w:rsidR="004B4681" w:rsidRPr="0078704D">
        <w:rPr>
          <w:i/>
        </w:rPr>
        <w:t>a/léthia</w:t>
      </w:r>
      <w:r w:rsidR="004B4681">
        <w:rPr>
          <w:i/>
        </w:rPr>
        <w:fldChar w:fldCharType="begin"/>
      </w:r>
      <w:r w:rsidR="004B4681">
        <w:instrText xml:space="preserve"> XE "</w:instrText>
      </w:r>
      <w:r w:rsidR="004B4681" w:rsidRPr="08F602BD">
        <w:rPr>
          <w:i/>
        </w:rPr>
        <w:instrText>a/léthia</w:instrText>
      </w:r>
      <w:r w:rsidR="004B4681" w:rsidRPr="08D25378">
        <w:instrText>:moderna</w:instrText>
      </w:r>
      <w:r w:rsidR="004B4681">
        <w:instrText xml:space="preserve">" </w:instrText>
      </w:r>
      <w:r w:rsidR="004B4681">
        <w:rPr>
          <w:i/>
        </w:rPr>
        <w:fldChar w:fldCharType="end"/>
      </w:r>
      <w:r w:rsidR="004B4681">
        <w:t xml:space="preserve">. Tato základní ambivalence daná skrze dvojí výklad </w:t>
      </w:r>
      <w:r w:rsidR="004B4681" w:rsidRPr="00273106">
        <w:t xml:space="preserve">atribuce dané </w:t>
      </w:r>
      <w:r w:rsidR="004B4681" w:rsidRPr="00273106">
        <w:rPr>
          <w:i/>
        </w:rPr>
        <w:t>per se</w:t>
      </w:r>
      <w:r w:rsidR="004B4681" w:rsidRPr="00273106">
        <w:t xml:space="preserve"> (καθ' αὑτὰ δὲ διττῶς</w:t>
      </w:r>
      <w:r w:rsidR="004B4681">
        <w:t xml:space="preserve">, </w:t>
      </w:r>
      <w:r w:rsidR="004B4681" w:rsidRPr="009B084A">
        <w:rPr>
          <w:i/>
        </w:rPr>
        <w:t>Anal</w:t>
      </w:r>
      <w:r w:rsidR="004B4681">
        <w:t xml:space="preserve">. </w:t>
      </w:r>
      <w:r w:rsidR="004B4681" w:rsidRPr="009B084A">
        <w:rPr>
          <w:i/>
        </w:rPr>
        <w:t>Post</w:t>
      </w:r>
      <w:r w:rsidR="004B4681">
        <w:t>. 84a12</w:t>
      </w:r>
      <w:r w:rsidR="004B4681">
        <w:fldChar w:fldCharType="begin"/>
      </w:r>
      <w:r w:rsidR="004B4681">
        <w:instrText xml:space="preserve"> XE "Aristoteles:</w:instrText>
      </w:r>
      <w:r w:rsidR="004B4681" w:rsidRPr="00BF0563">
        <w:rPr>
          <w:i/>
        </w:rPr>
        <w:instrText>Anal</w:instrText>
      </w:r>
      <w:r w:rsidR="004B4681" w:rsidRPr="00BF0563">
        <w:instrText xml:space="preserve">. </w:instrText>
      </w:r>
      <w:r w:rsidR="004B4681" w:rsidRPr="00BF0563">
        <w:rPr>
          <w:i/>
        </w:rPr>
        <w:instrText>Post</w:instrText>
      </w:r>
      <w:r w:rsidR="004B4681" w:rsidRPr="00BF0563">
        <w:instrText>. 84a12</w:instrText>
      </w:r>
      <w:r w:rsidR="004B4681">
        <w:instrText xml:space="preserve">" </w:instrText>
      </w:r>
      <w:r w:rsidR="004B4681">
        <w:fldChar w:fldCharType="end"/>
      </w:r>
      <w:r w:rsidR="004B4681" w:rsidRPr="00273106">
        <w:t>)</w:t>
      </w:r>
      <w:r w:rsidR="004B4681">
        <w:t xml:space="preserve"> určuje výklad </w:t>
      </w:r>
      <w:r w:rsidR="004B4681" w:rsidRPr="0078704D">
        <w:rPr>
          <w:i/>
        </w:rPr>
        <w:t>Druhých anal</w:t>
      </w:r>
      <w:r w:rsidR="004B4681">
        <w:rPr>
          <w:i/>
        </w:rPr>
        <w:t>ytik</w:t>
      </w:r>
      <w:r w:rsidR="004B4681">
        <w:t xml:space="preserve">. První averroismus zvolil s Averroesem první řešení metafyzické donace smyslu od reálných věcí. Druhý averroismus zvolil s Avicennou demiurgickou tvorbu významů danou hyparchicky v moderním subjektu. Tím vznikl v západním myšlení nový typ objektivně určeného diakosmu, jehož neoplatonskou verzi jsme analyzovali u Jamblicha a Simplikia. </w:t>
      </w:r>
      <w:r w:rsidR="004B4681" w:rsidRPr="0052370E">
        <w:t xml:space="preserve">Grosseteste interpetoval </w:t>
      </w:r>
      <w:r w:rsidR="004B4681" w:rsidRPr="0052370E">
        <w:rPr>
          <w:i/>
        </w:rPr>
        <w:t>Druhé Analytiky</w:t>
      </w:r>
      <w:r w:rsidR="004B4681">
        <w:t xml:space="preserve"> </w:t>
      </w:r>
      <w:r w:rsidR="004B4681" w:rsidRPr="0052370E">
        <w:t>v Oxfordu v rá</w:t>
      </w:r>
      <w:r w:rsidR="004B4681">
        <w:t>mci paradigmatu analytické filos</w:t>
      </w:r>
      <w:r w:rsidR="004B4681" w:rsidRPr="0052370E">
        <w:t>o</w:t>
      </w:r>
      <w:r w:rsidR="004B4681">
        <w:t xml:space="preserve">fie. Zavedení slunečního mýtu pod vedením </w:t>
      </w:r>
      <w:r w:rsidR="004B4681" w:rsidRPr="0052370E">
        <w:t>božsky chaotických Furií zavedl</w:t>
      </w:r>
      <w:r w:rsidR="004B4681">
        <w:t>o</w:t>
      </w:r>
      <w:r w:rsidR="004B4681" w:rsidRPr="0052370E">
        <w:t xml:space="preserve"> osvícené modernisty do podsvětí daného </w:t>
      </w:r>
      <w:r w:rsidR="004B4681">
        <w:t xml:space="preserve">jako říše objektivního člověka-mrtvoly. Tato akademická mystéria pak slaví příslušné filosofické kongresy a jejich vědecky vidoucí reprezentanti. Kritická filosofie daná už od dob Parmenida a Hérakleita skrze Múzy a skutečná mystéria nemá ráda tyto moderní černé mše objektivně-analytického typu a raději si čte </w:t>
      </w:r>
      <w:r w:rsidR="004B4681" w:rsidRPr="088D0111">
        <w:rPr>
          <w:i/>
        </w:rPr>
        <w:t>Božskou komedii</w:t>
      </w:r>
      <w:r w:rsidR="004B4681" w:rsidRPr="088D0111">
        <w:t xml:space="preserve"> </w:t>
      </w:r>
      <w:r w:rsidR="004B4681">
        <w:t xml:space="preserve">od Danteho. Smrt moderního boha v mytopoetickém myšlení moderny </w:t>
      </w:r>
      <w:r w:rsidR="004B4681">
        <w:fldChar w:fldCharType="begin"/>
      </w:r>
      <w:r w:rsidR="004B4681">
        <w:instrText xml:space="preserve"> XE "</w:instrText>
      </w:r>
      <w:r w:rsidR="004B4681" w:rsidRPr="00C86917">
        <w:instrText>smrt boha</w:instrText>
      </w:r>
      <w:r w:rsidR="004B4681">
        <w:instrText xml:space="preserve">" </w:instrText>
      </w:r>
      <w:r w:rsidR="004B4681">
        <w:fldChar w:fldCharType="end"/>
      </w:r>
      <w:r w:rsidR="004B4681">
        <w:t>je logicky nevyhnutelná a tvoří součást osudu nihilistické metafyziky Západu.</w:t>
      </w:r>
    </w:p>
    <w:p w14:paraId="1B0EE38F" w14:textId="441ECCD6" w:rsidR="00A05BAB" w:rsidRPr="00273106" w:rsidRDefault="00A218A8" w:rsidP="0069199A">
      <w:pPr>
        <w:ind w:firstLine="397"/>
      </w:pPr>
      <w:r>
        <w:t xml:space="preserve">Moderní </w:t>
      </w:r>
      <w:r w:rsidR="08321281">
        <w:t xml:space="preserve">výklad </w:t>
      </w:r>
      <w:r w:rsidR="088F6C3C">
        <w:t xml:space="preserve">bytí jsoucna </w:t>
      </w:r>
      <w:r w:rsidR="08321281">
        <w:t>nepotřebuje</w:t>
      </w:r>
      <w:r w:rsidR="00CB6039" w:rsidRPr="00273106">
        <w:t xml:space="preserve"> </w:t>
      </w:r>
      <w:r w:rsidR="08781BB7">
        <w:t xml:space="preserve">reálnou </w:t>
      </w:r>
      <w:r w:rsidR="006E4904" w:rsidRPr="00273106">
        <w:t xml:space="preserve">první substanci jako </w:t>
      </w:r>
      <w:r w:rsidR="009B5382">
        <w:t>bezprostřední příčinu poznání</w:t>
      </w:r>
      <w:r w:rsidR="08FF78A1">
        <w:t xml:space="preserve"> světa</w:t>
      </w:r>
      <w:r w:rsidR="009B5382">
        <w:t xml:space="preserve">. </w:t>
      </w:r>
      <w:r w:rsidR="088F632B">
        <w:t xml:space="preserve">Moderna věří, že archetypický </w:t>
      </w:r>
      <w:r w:rsidR="088F632B" w:rsidRPr="00273106">
        <w:t>exemplar</w:t>
      </w:r>
      <w:r w:rsidR="088F632B">
        <w:fldChar w:fldCharType="begin"/>
      </w:r>
      <w:r w:rsidR="088F632B">
        <w:instrText xml:space="preserve"> XE "</w:instrText>
      </w:r>
      <w:r w:rsidR="088F632B" w:rsidRPr="003F72AE">
        <w:rPr>
          <w:i/>
        </w:rPr>
        <w:instrText>exemplar</w:instrText>
      </w:r>
      <w:r w:rsidR="088F632B">
        <w:instrText xml:space="preserve">" </w:instrText>
      </w:r>
      <w:r w:rsidR="088F632B">
        <w:fldChar w:fldCharType="end"/>
      </w:r>
      <w:r w:rsidR="088F632B" w:rsidRPr="00273106">
        <w:t xml:space="preserve"> existuje buď v boží mysli nebo v </w:t>
      </w:r>
      <w:r w:rsidR="088F632B">
        <w:t>matematice</w:t>
      </w:r>
      <w:r w:rsidR="088F632B" w:rsidRPr="00273106">
        <w:t>.</w:t>
      </w:r>
      <w:r w:rsidR="088F632B">
        <w:t xml:space="preserve"> </w:t>
      </w:r>
      <w:r w:rsidR="00304016" w:rsidRPr="00273106">
        <w:t xml:space="preserve">Existence </w:t>
      </w:r>
      <w:r w:rsidR="00304016">
        <w:t xml:space="preserve">reálné </w:t>
      </w:r>
      <w:r w:rsidR="00304016" w:rsidRPr="00273106">
        <w:t xml:space="preserve">věci je nyní postulována </w:t>
      </w:r>
      <w:r w:rsidR="00304016">
        <w:t xml:space="preserve">pouze </w:t>
      </w:r>
      <w:r w:rsidR="08D275E5">
        <w:t xml:space="preserve">díky </w:t>
      </w:r>
      <w:r w:rsidR="08D275E5">
        <w:lastRenderedPageBreak/>
        <w:t xml:space="preserve">uhlířské víře </w:t>
      </w:r>
      <w:r w:rsidR="08FD50BB">
        <w:t>mytopoetických</w:t>
      </w:r>
      <w:r w:rsidR="084046DE">
        <w:fldChar w:fldCharType="begin"/>
      </w:r>
      <w:r w:rsidR="084046DE">
        <w:instrText xml:space="preserve"> XE "</w:instrText>
      </w:r>
      <w:r w:rsidR="085C1D0C">
        <w:instrText>mytopoiesis</w:instrText>
      </w:r>
      <w:r w:rsidR="084046DE">
        <w:instrText xml:space="preserve">" </w:instrText>
      </w:r>
      <w:r w:rsidR="084046DE">
        <w:fldChar w:fldCharType="end"/>
      </w:r>
      <w:r w:rsidR="08FD50BB">
        <w:t xml:space="preserve"> </w:t>
      </w:r>
      <w:r w:rsidR="08D275E5">
        <w:t xml:space="preserve">modernistů v </w:t>
      </w:r>
      <w:r w:rsidR="080D5EBD">
        <w:t xml:space="preserve">logicky myslícího </w:t>
      </w:r>
      <w:r w:rsidR="08D275E5">
        <w:t xml:space="preserve">demiurga, který snad ví, co dělá, když podle dialogu </w:t>
      </w:r>
      <w:r w:rsidR="08D275E5" w:rsidRPr="08D275E5">
        <w:rPr>
          <w:i/>
        </w:rPr>
        <w:t>Timaios</w:t>
      </w:r>
      <w:r w:rsidR="08D275E5">
        <w:t xml:space="preserve"> tvoří </w:t>
      </w:r>
      <w:r w:rsidR="08E92576">
        <w:t xml:space="preserve">objektivní </w:t>
      </w:r>
      <w:r w:rsidR="08D275E5">
        <w:t>svět</w:t>
      </w:r>
      <w:r w:rsidR="08020E7D">
        <w:t xml:space="preserve">. </w:t>
      </w:r>
      <w:r w:rsidR="00304016" w:rsidRPr="00273106">
        <w:t xml:space="preserve">První averroismus tuto </w:t>
      </w:r>
      <w:r w:rsidR="00304016">
        <w:t xml:space="preserve">moderní </w:t>
      </w:r>
      <w:r w:rsidR="00304016" w:rsidRPr="00273106">
        <w:t xml:space="preserve">víru </w:t>
      </w:r>
      <w:r w:rsidR="00304016">
        <w:t>v</w:t>
      </w:r>
      <w:r w:rsidR="00B9643B">
        <w:t xml:space="preserve"> logickou </w:t>
      </w:r>
      <w:r w:rsidR="00304016">
        <w:t xml:space="preserve">existenci poznávané věci </w:t>
      </w:r>
      <w:r w:rsidR="00304016" w:rsidRPr="00273106">
        <w:t>prohlásil za nesmysl, protože aktuální existence věci předchází její potenciá</w:t>
      </w:r>
      <w:r w:rsidR="00304016">
        <w:t>l</w:t>
      </w:r>
      <w:r w:rsidR="00304016" w:rsidRPr="00273106">
        <w:t xml:space="preserve">ní poznání. </w:t>
      </w:r>
      <w:r w:rsidR="00304016">
        <w:t>Moderní a postmoderní karteziáni uzávorku</w:t>
      </w:r>
      <w:r w:rsidR="00627549">
        <w:t>jí realitu prvních substancí</w:t>
      </w:r>
      <w:r w:rsidR="00304016">
        <w:t xml:space="preserve">, protože ji nepotřebují pro jistou a evidentní dedukci poznání. Jde o typický případ sofismatu </w:t>
      </w:r>
      <w:r w:rsidR="00304016">
        <w:rPr>
          <w:i/>
        </w:rPr>
        <w:t>fallac</w:t>
      </w:r>
      <w:r w:rsidR="00304016" w:rsidRPr="009F589E">
        <w:rPr>
          <w:i/>
        </w:rPr>
        <w:t>ia</w:t>
      </w:r>
      <w:r w:rsidR="00304016">
        <w:t xml:space="preserve"> </w:t>
      </w:r>
      <w:r w:rsidR="00304016" w:rsidRPr="00D82095">
        <w:rPr>
          <w:i/>
        </w:rPr>
        <w:t>a dicto simpliciter ad dictum secundum quid</w:t>
      </w:r>
      <w:r w:rsidR="00304016">
        <w:rPr>
          <w:i/>
        </w:rPr>
        <w:fldChar w:fldCharType="begin"/>
      </w:r>
      <w:r w:rsidR="00304016">
        <w:instrText xml:space="preserve"> XE "</w:instrText>
      </w:r>
      <w:r w:rsidR="00304016" w:rsidRPr="008C330A">
        <w:rPr>
          <w:i/>
        </w:rPr>
        <w:instrText>fallacia</w:instrText>
      </w:r>
      <w:r w:rsidR="00304016" w:rsidRPr="008C330A">
        <w:instrText xml:space="preserve"> </w:instrText>
      </w:r>
      <w:r w:rsidR="00304016" w:rsidRPr="008C330A">
        <w:rPr>
          <w:i/>
        </w:rPr>
        <w:instrText>a dicto simpliciter ad dictum secundum quid</w:instrText>
      </w:r>
      <w:r w:rsidR="00304016">
        <w:instrText xml:space="preserve">" </w:instrText>
      </w:r>
      <w:r w:rsidR="00304016">
        <w:rPr>
          <w:i/>
        </w:rPr>
        <w:fldChar w:fldCharType="end"/>
      </w:r>
      <w:r w:rsidR="00304016">
        <w:t xml:space="preserve">. Omyl </w:t>
      </w:r>
      <w:r w:rsidR="00304016" w:rsidRPr="00273106">
        <w:t xml:space="preserve">vznikl chybnou univoční predikací bytí jsoucna, které má hyparchickou konstituci </w:t>
      </w:r>
      <w:r w:rsidR="00304016" w:rsidRPr="00273106">
        <w:rPr>
          <w:i/>
        </w:rPr>
        <w:t>simpliciter</w:t>
      </w:r>
      <w:r w:rsidR="00304016" w:rsidRPr="00273106">
        <w:t xml:space="preserve"> </w:t>
      </w:r>
      <w:r w:rsidR="00304016">
        <w:rPr>
          <w:i/>
        </w:rPr>
        <w:fldChar w:fldCharType="begin"/>
      </w:r>
      <w:r w:rsidR="00304016">
        <w:instrText xml:space="preserve"> XE "predikace:</w:instrText>
      </w:r>
      <w:r w:rsidR="00304016" w:rsidRPr="00E561BF">
        <w:rPr>
          <w:i/>
        </w:rPr>
        <w:instrText>secundum simpliciter</w:instrText>
      </w:r>
      <w:r w:rsidR="00304016">
        <w:instrText xml:space="preserve">" </w:instrText>
      </w:r>
      <w:r w:rsidR="00304016">
        <w:rPr>
          <w:i/>
        </w:rPr>
        <w:fldChar w:fldCharType="end"/>
      </w:r>
      <w:r w:rsidR="00304016">
        <w:t xml:space="preserve">danou </w:t>
      </w:r>
      <w:r w:rsidR="00304016" w:rsidRPr="00273106">
        <w:t xml:space="preserve">jinak </w:t>
      </w:r>
      <w:r w:rsidR="00304016">
        <w:t xml:space="preserve">v </w:t>
      </w:r>
      <w:r w:rsidR="00304016" w:rsidRPr="00273106">
        <w:t>první</w:t>
      </w:r>
      <w:r w:rsidR="00304016">
        <w:t xml:space="preserve"> substanci a </w:t>
      </w:r>
      <w:r w:rsidR="00304016" w:rsidRPr="00273106">
        <w:t xml:space="preserve">jinak </w:t>
      </w:r>
      <w:r w:rsidR="08AD3976">
        <w:t>v univerzální predikaci</w:t>
      </w:r>
      <w:r w:rsidR="00304016" w:rsidRPr="00273106">
        <w:t>.</w:t>
      </w:r>
      <w:r w:rsidR="00304016">
        <w:t xml:space="preserve"> </w:t>
      </w:r>
      <w:r w:rsidR="00A05BAB" w:rsidRPr="00273106">
        <w:t xml:space="preserve"> </w:t>
      </w:r>
      <w:r w:rsidR="00E66358" w:rsidRPr="00E66358">
        <w:t xml:space="preserve">Moderna vytváří konstrukci první substance jako </w:t>
      </w:r>
      <w:r w:rsidR="00E66358" w:rsidRPr="00E66358">
        <w:rPr>
          <w:i/>
        </w:rPr>
        <w:t>tertium ens</w:t>
      </w:r>
      <w:r w:rsidR="00E66358">
        <w:t xml:space="preserve"> v ontoteologii</w:t>
      </w:r>
      <w:r w:rsidR="00E66358" w:rsidRPr="00E66358">
        <w:t xml:space="preserve">. Mytologická tvorba </w:t>
      </w:r>
      <w:r w:rsidR="00E66358">
        <w:t xml:space="preserve">reality </w:t>
      </w:r>
      <w:r w:rsidR="00E66358" w:rsidRPr="00E66358">
        <w:t>vychází</w:t>
      </w:r>
      <w:r w:rsidR="00E66358">
        <w:t xml:space="preserve"> z </w:t>
      </w:r>
      <w:r w:rsidR="00A05BAB" w:rsidRPr="00273106">
        <w:t xml:space="preserve">existence </w:t>
      </w:r>
      <w:r w:rsidR="002D1C79" w:rsidRPr="00273106">
        <w:t xml:space="preserve">oddělené </w:t>
      </w:r>
      <w:r w:rsidR="00EC2209">
        <w:rPr>
          <w:i/>
        </w:rPr>
        <w:t>c</w:t>
      </w:r>
      <w:r w:rsidR="002D1C79" w:rsidRPr="00273106">
        <w:rPr>
          <w:i/>
        </w:rPr>
        <w:t>ausa prima</w:t>
      </w:r>
      <w:r w:rsidR="00761354">
        <w:rPr>
          <w:i/>
        </w:rPr>
        <w:fldChar w:fldCharType="begin"/>
      </w:r>
      <w:r w:rsidR="00761354">
        <w:instrText xml:space="preserve"> XE "</w:instrText>
      </w:r>
      <w:r w:rsidR="00761354" w:rsidRPr="000E1F07">
        <w:rPr>
          <w:i/>
        </w:rPr>
        <w:instrText>causa prima</w:instrText>
      </w:r>
      <w:r w:rsidR="00761354">
        <w:instrText xml:space="preserve">" </w:instrText>
      </w:r>
      <w:r w:rsidR="00761354">
        <w:rPr>
          <w:i/>
        </w:rPr>
        <w:fldChar w:fldCharType="end"/>
      </w:r>
      <w:r w:rsidR="00A05BAB" w:rsidRPr="00273106">
        <w:t xml:space="preserve">, stejně jako </w:t>
      </w:r>
      <w:r w:rsidR="00CE6971">
        <w:t xml:space="preserve">u </w:t>
      </w:r>
      <w:r w:rsidR="00A05BAB" w:rsidRPr="00273106">
        <w:t>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A05BAB" w:rsidRPr="00273106">
        <w:t>.</w:t>
      </w:r>
      <w:r w:rsidR="00A57E3F">
        <w:t xml:space="preserve"> </w:t>
      </w:r>
      <w:r w:rsidR="08B024EF">
        <w:t xml:space="preserve">Analytický výklad provedl unifikaci vědy </w:t>
      </w:r>
      <w:r w:rsidR="08CF0961">
        <w:t xml:space="preserve">v modu univočně chápané esence </w:t>
      </w:r>
      <w:r w:rsidR="08B024EF">
        <w:t xml:space="preserve">a tím založil cestu Moderních k </w:t>
      </w:r>
      <w:r w:rsidR="00A57E3F">
        <w:t xml:space="preserve">budoucí </w:t>
      </w:r>
      <w:r w:rsidR="00A57E3F" w:rsidRPr="00A57E3F">
        <w:rPr>
          <w:i/>
        </w:rPr>
        <w:t>metaphysica generalis</w:t>
      </w:r>
      <w:r w:rsidR="00A57E3F">
        <w:rPr>
          <w:i/>
        </w:rPr>
        <w:fldChar w:fldCharType="begin"/>
      </w:r>
      <w:r w:rsidR="00A57E3F">
        <w:instrText xml:space="preserve"> XE "</w:instrText>
      </w:r>
      <w:r w:rsidR="00A57E3F" w:rsidRPr="00CA35D0">
        <w:rPr>
          <w:i/>
        </w:rPr>
        <w:instrText>metaphysica generalis</w:instrText>
      </w:r>
      <w:r w:rsidR="00A57E3F">
        <w:instrText xml:space="preserve">" </w:instrText>
      </w:r>
      <w:r w:rsidR="00A57E3F">
        <w:rPr>
          <w:i/>
        </w:rPr>
        <w:fldChar w:fldCharType="end"/>
      </w:r>
      <w:r w:rsidR="00A57E3F">
        <w:t>.</w:t>
      </w:r>
      <w:r w:rsidR="08FA3BD7">
        <w:t xml:space="preserve"> </w:t>
      </w:r>
      <w:r w:rsidR="08FD5331">
        <w:t>Ci</w:t>
      </w:r>
      <w:r w:rsidR="08FA3BD7" w:rsidRPr="00273106">
        <w:t xml:space="preserve">tát ukazuje první moderní dedukci </w:t>
      </w:r>
      <w:r w:rsidR="08FA3BD7">
        <w:t xml:space="preserve">objektivní </w:t>
      </w:r>
      <w:r w:rsidR="08FA3BD7" w:rsidRPr="00273106">
        <w:t>existence věci z její esence</w:t>
      </w:r>
      <w:r w:rsidR="08FA3BD7">
        <w:rPr>
          <w:i/>
          <w:iCs/>
        </w:rPr>
        <w:fldChar w:fldCharType="begin"/>
      </w:r>
      <w:r w:rsidR="08FA3BD7">
        <w:instrText xml:space="preserve"> XE "esence:druhý averroismus" </w:instrText>
      </w:r>
      <w:r w:rsidR="08FA3BD7">
        <w:rPr>
          <w:i/>
          <w:iCs/>
        </w:rPr>
        <w:fldChar w:fldCharType="end"/>
      </w:r>
      <w:r w:rsidR="08FA3BD7" w:rsidRPr="00273106">
        <w:t>.</w:t>
      </w:r>
    </w:p>
    <w:p w14:paraId="253CA2C4" w14:textId="3D9C04D2" w:rsidR="00A05BAB" w:rsidRPr="00273106" w:rsidRDefault="00A05BAB" w:rsidP="00A05BAB">
      <w:pPr>
        <w:pStyle w:val="Citace"/>
        <w:rPr>
          <w:noProof/>
          <w:lang w:val="cs-CZ"/>
        </w:rPr>
      </w:pPr>
      <w:r w:rsidRPr="00273106">
        <w:rPr>
          <w:noProof/>
          <w:lang w:val="cs-CZ"/>
        </w:rPr>
        <w:t>„</w:t>
      </w:r>
      <w:r w:rsidR="000D47AD" w:rsidRPr="000D47AD">
        <w:rPr>
          <w:noProof/>
          <w:lang w:val="cs-CZ"/>
        </w:rPr>
        <w:t>Metafyzický důkaz vychází z účinků existující první příčiny</w:t>
      </w:r>
      <w:r w:rsidRPr="00273106">
        <w:rPr>
          <w:noProof/>
          <w:lang w:val="cs-CZ"/>
        </w:rPr>
        <w:t>, která existuje sama o sobě (</w:t>
      </w:r>
      <w:r w:rsidRPr="00273106">
        <w:rPr>
          <w:i/>
          <w:noProof/>
          <w:lang w:val="cs-CZ"/>
        </w:rPr>
        <w:t>per effectum de causa prima quia ipsa est</w:t>
      </w:r>
      <w:r w:rsidRPr="00273106">
        <w:rPr>
          <w:noProof/>
          <w:lang w:val="cs-CZ"/>
        </w:rPr>
        <w:t xml:space="preserve">). </w:t>
      </w:r>
      <w:r w:rsidR="00CE6971">
        <w:rPr>
          <w:noProof/>
          <w:lang w:val="cs-CZ"/>
        </w:rPr>
        <w:t xml:space="preserve">O </w:t>
      </w:r>
      <w:r w:rsidRPr="00273106">
        <w:rPr>
          <w:noProof/>
          <w:lang w:val="cs-CZ"/>
        </w:rPr>
        <w:t xml:space="preserve">existenci </w:t>
      </w:r>
      <w:r w:rsidR="00CE6971">
        <w:rPr>
          <w:noProof/>
          <w:lang w:val="cs-CZ"/>
        </w:rPr>
        <w:t xml:space="preserve">této </w:t>
      </w:r>
      <w:r w:rsidRPr="00273106">
        <w:rPr>
          <w:noProof/>
          <w:lang w:val="cs-CZ"/>
        </w:rPr>
        <w:t xml:space="preserve">substance jako rodu nevíme z kauzality, </w:t>
      </w:r>
      <w:r w:rsidR="00CE6971">
        <w:rPr>
          <w:noProof/>
          <w:lang w:val="cs-CZ"/>
        </w:rPr>
        <w:t xml:space="preserve">protože </w:t>
      </w:r>
      <w:r w:rsidRPr="00273106">
        <w:rPr>
          <w:noProof/>
          <w:lang w:val="cs-CZ"/>
        </w:rPr>
        <w:t xml:space="preserve">její účinnou příčinou </w:t>
      </w:r>
      <w:r w:rsidR="00CE6971">
        <w:rPr>
          <w:noProof/>
          <w:lang w:val="cs-CZ"/>
        </w:rPr>
        <w:t xml:space="preserve">už není žádná jiná kauza. </w:t>
      </w:r>
      <w:r w:rsidRPr="00273106">
        <w:rPr>
          <w:noProof/>
          <w:lang w:val="cs-CZ"/>
        </w:rPr>
        <w:t xml:space="preserve">Ale existence každé </w:t>
      </w:r>
      <w:r w:rsidR="0085739F">
        <w:rPr>
          <w:noProof/>
          <w:lang w:val="cs-CZ"/>
        </w:rPr>
        <w:t xml:space="preserve">jiné </w:t>
      </w:r>
      <w:r w:rsidRPr="00273106">
        <w:rPr>
          <w:noProof/>
          <w:lang w:val="cs-CZ"/>
        </w:rPr>
        <w:t>substance a každého akciden</w:t>
      </w:r>
      <w:r w:rsidR="0085739F">
        <w:rPr>
          <w:noProof/>
          <w:lang w:val="cs-CZ"/>
        </w:rPr>
        <w:t>tu může být dokázána skrze kauzalitu</w:t>
      </w:r>
      <w:r w:rsidRPr="00273106">
        <w:rPr>
          <w:noProof/>
          <w:lang w:val="cs-CZ"/>
        </w:rPr>
        <w:t xml:space="preserve"> a skrze definici</w:t>
      </w:r>
      <w:r w:rsidR="00BE5140">
        <w:rPr>
          <w:noProof/>
          <w:lang w:val="cs-CZ"/>
        </w:rPr>
        <w:t xml:space="preserve"> (</w:t>
      </w:r>
      <w:r w:rsidR="00BE5140" w:rsidRPr="00BE5140">
        <w:rPr>
          <w:i/>
        </w:rPr>
        <w:t>potest demonstrari per causam et diffinitionem</w:t>
      </w:r>
      <w:r w:rsidR="00BE5140">
        <w:rPr>
          <w:noProof/>
          <w:lang w:val="cs-CZ"/>
        </w:rPr>
        <w:t>)</w:t>
      </w:r>
      <w:r w:rsidRPr="00273106">
        <w:rPr>
          <w:noProof/>
          <w:lang w:val="cs-CZ"/>
        </w:rPr>
        <w:t xml:space="preserve">.“ </w:t>
      </w:r>
      <w:r w:rsidRPr="00273106">
        <w:rPr>
          <w:rStyle w:val="Znakapoznpodarou"/>
          <w:noProof/>
          <w:lang w:val="cs-CZ"/>
        </w:rPr>
        <w:footnoteReference w:id="302"/>
      </w:r>
    </w:p>
    <w:p w14:paraId="0DA86713" w14:textId="60926E95" w:rsidR="00775895" w:rsidRDefault="00A05BAB" w:rsidP="00BF2FB3">
      <w:pPr>
        <w:rPr>
          <w:color w:val="000000"/>
        </w:rPr>
      </w:pPr>
      <w:r w:rsidRPr="00273106">
        <w:t>Citace ukazuje moderní ontoteolog</w:t>
      </w:r>
      <w:r w:rsidR="08751F94">
        <w:t>ickou argumentaci, která nahradila</w:t>
      </w:r>
      <w:r w:rsidRPr="00273106">
        <w:t xml:space="preserve"> první substanci abstraktním pojetím kauzality</w:t>
      </w:r>
      <w:r w:rsidR="00F3246F">
        <w:t xml:space="preserve"> daném univočně</w:t>
      </w:r>
      <w:r w:rsidR="082D1FBC">
        <w:t xml:space="preserve"> a esenciálně (</w:t>
      </w:r>
      <w:r w:rsidR="082D1FBC" w:rsidRPr="082D1FBC">
        <w:rPr>
          <w:i/>
        </w:rPr>
        <w:t>causa prima quia ipsa est</w:t>
      </w:r>
      <w:r w:rsidR="082D1FBC">
        <w:t>)</w:t>
      </w:r>
      <w:r w:rsidRPr="00273106">
        <w:t xml:space="preserve">. </w:t>
      </w:r>
      <w:r w:rsidR="08C63DB5">
        <w:t xml:space="preserve">Opět platí, že logická identita nahradila metafyzickou ipseitu. </w:t>
      </w:r>
      <w:r w:rsidR="086F7BCC">
        <w:t xml:space="preserve">Averroes a jeho následovníci přesně věděli, jaké </w:t>
      </w:r>
      <w:r w:rsidR="086F7BCC" w:rsidRPr="086F7BCC">
        <w:rPr>
          <w:i/>
        </w:rPr>
        <w:t>significatio</w:t>
      </w:r>
      <w:r w:rsidR="086F7BCC">
        <w:t xml:space="preserve"> mají před sebou, když predikují kauzalitu </w:t>
      </w:r>
      <w:r w:rsidR="086F7BCC" w:rsidRPr="086F7BCC">
        <w:rPr>
          <w:i/>
        </w:rPr>
        <w:t>causa prima</w:t>
      </w:r>
      <w:r w:rsidR="086F7BCC">
        <w:t xml:space="preserve">. </w:t>
      </w:r>
      <w:r w:rsidRPr="00273106">
        <w:t>Grosseteste nepotřebuje pr</w:t>
      </w:r>
      <w:r w:rsidR="00E1044D">
        <w:t>o vědecký důkaz reálnou kauzalitu</w:t>
      </w:r>
      <w:r w:rsidR="00A70FA4">
        <w:fldChar w:fldCharType="begin"/>
      </w:r>
      <w:r w:rsidR="00A70FA4">
        <w:instrText xml:space="preserve"> XE "</w:instrText>
      </w:r>
      <w:r w:rsidR="00A70FA4" w:rsidRPr="00DE2A32">
        <w:instrText>substance</w:instrText>
      </w:r>
      <w:r w:rsidR="00761354">
        <w:instrText>:kauzalita</w:instrText>
      </w:r>
      <w:r w:rsidR="00A70FA4">
        <w:instrText xml:space="preserve">" </w:instrText>
      </w:r>
      <w:r w:rsidR="00A70FA4">
        <w:fldChar w:fldCharType="end"/>
      </w:r>
      <w:r w:rsidRPr="00273106">
        <w:t xml:space="preserve">. </w:t>
      </w:r>
      <w:r w:rsidR="00AF44BD" w:rsidRPr="00AF44BD">
        <w:t>Střední článek deduktivního soudu (</w:t>
      </w:r>
      <w:r w:rsidR="00AF44BD" w:rsidRPr="00AF44BD">
        <w:rPr>
          <w:i/>
        </w:rPr>
        <w:t>medium</w:t>
      </w:r>
      <w:r w:rsidR="00AF44BD" w:rsidRPr="00AF44BD">
        <w:t xml:space="preserve">) v moderním deduktivním důkazu tvoří pouze simulakrum, které se vztahuje na </w:t>
      </w:r>
      <w:r w:rsidR="00AF44BD" w:rsidRPr="00AF44BD">
        <w:rPr>
          <w:i/>
        </w:rPr>
        <w:t>causa prima</w:t>
      </w:r>
      <w:r w:rsidR="00AF44BD" w:rsidRPr="00AF44BD">
        <w:t xml:space="preserve"> jako esenci. Existence skutečné kauzality není pro tento druh logického vědeckého důkazu nutná. Dokonce i reálnou kauzalitu Boha lze </w:t>
      </w:r>
      <w:r w:rsidR="00AF44BD" w:rsidRPr="00AF44BD">
        <w:lastRenderedPageBreak/>
        <w:t>nahradit esenciální definicí božství (</w:t>
      </w:r>
      <w:r w:rsidR="00465299">
        <w:t xml:space="preserve">viz </w:t>
      </w:r>
      <w:r w:rsidR="00AF44BD" w:rsidRPr="00AF44BD">
        <w:rPr>
          <w:i/>
        </w:rPr>
        <w:t>divinitas</w:t>
      </w:r>
      <w:r w:rsidR="00AF44BD" w:rsidRPr="00AF44BD">
        <w:t xml:space="preserve"> nominalistů), protože první triádu principů poznání vyměňují za druhou.</w:t>
      </w:r>
      <w:r w:rsidR="00AF44BD">
        <w:t xml:space="preserve"> </w:t>
      </w:r>
      <w:r w:rsidR="081B00CE">
        <w:rPr>
          <w:szCs w:val="24"/>
        </w:rPr>
        <w:t xml:space="preserve">Paranoická moderna </w:t>
      </w:r>
      <w:r w:rsidR="00034D0D">
        <w:rPr>
          <w:szCs w:val="24"/>
        </w:rPr>
        <w:t xml:space="preserve">pozoruje </w:t>
      </w:r>
      <w:r w:rsidR="081B00CE">
        <w:rPr>
          <w:szCs w:val="24"/>
        </w:rPr>
        <w:t xml:space="preserve">boží </w:t>
      </w:r>
      <w:r w:rsidR="00806CA8">
        <w:rPr>
          <w:szCs w:val="24"/>
        </w:rPr>
        <w:t>„</w:t>
      </w:r>
      <w:r w:rsidR="081B00CE">
        <w:rPr>
          <w:szCs w:val="24"/>
        </w:rPr>
        <w:t>ex</w:t>
      </w:r>
      <w:r w:rsidR="00806CA8">
        <w:rPr>
          <w:szCs w:val="24"/>
        </w:rPr>
        <w:t>sistenci“</w:t>
      </w:r>
      <w:r w:rsidR="081917FE">
        <w:rPr>
          <w:szCs w:val="24"/>
        </w:rPr>
        <w:t xml:space="preserve"> </w:t>
      </w:r>
      <w:r w:rsidR="008A0F86">
        <w:rPr>
          <w:szCs w:val="24"/>
        </w:rPr>
        <w:t xml:space="preserve">v esenciálním modu, který považuje přímo za boží </w:t>
      </w:r>
      <w:r w:rsidR="089A7576" w:rsidRPr="089A7576">
        <w:rPr>
          <w:i/>
          <w:szCs w:val="24"/>
        </w:rPr>
        <w:t>ipse</w:t>
      </w:r>
      <w:r w:rsidR="081B00CE">
        <w:rPr>
          <w:szCs w:val="24"/>
        </w:rPr>
        <w:t xml:space="preserve">. </w:t>
      </w:r>
      <w:r w:rsidR="08D67048">
        <w:rPr>
          <w:szCs w:val="24"/>
        </w:rPr>
        <w:t xml:space="preserve">To je pro první averroismus naprostý nesmysl, protože boha poznáváme přirozeným rozumem pouze v modu jeho kauzálního působení. </w:t>
      </w:r>
      <w:r w:rsidR="00EB798A">
        <w:t>P</w:t>
      </w:r>
      <w:r w:rsidR="00C53ACA">
        <w:t xml:space="preserve">rvní moderní analytik </w:t>
      </w:r>
      <w:r w:rsidRPr="00273106">
        <w:t xml:space="preserve">potřebuje </w:t>
      </w:r>
      <w:r w:rsidR="00704A71">
        <w:t xml:space="preserve">esenciální danost </w:t>
      </w:r>
      <w:r w:rsidR="004A77E4">
        <w:t xml:space="preserve">boha jako </w:t>
      </w:r>
      <w:r w:rsidR="00704A71">
        <w:t xml:space="preserve">prvního rodu daného </w:t>
      </w:r>
      <w:r w:rsidR="00704A71" w:rsidRPr="00704A71">
        <w:rPr>
          <w:i/>
        </w:rPr>
        <w:t>absolute</w:t>
      </w:r>
      <w:r w:rsidR="004E2BC4">
        <w:rPr>
          <w:rStyle w:val="addmd"/>
          <w:i/>
        </w:rPr>
        <w:fldChar w:fldCharType="begin"/>
      </w:r>
      <w:r w:rsidR="003F1231">
        <w:instrText xml:space="preserve"> XE "es</w:instrText>
      </w:r>
      <w:r w:rsidR="004E2BC4">
        <w:instrText xml:space="preserve">ence </w:instrText>
      </w:r>
      <w:r w:rsidR="004E2BC4" w:rsidRPr="008D23BF">
        <w:rPr>
          <w:i/>
        </w:rPr>
        <w:instrText>absolute</w:instrText>
      </w:r>
      <w:r w:rsidR="004E2BC4">
        <w:instrText xml:space="preserve">" </w:instrText>
      </w:r>
      <w:r w:rsidR="004E2BC4">
        <w:rPr>
          <w:rStyle w:val="addmd"/>
          <w:i/>
        </w:rPr>
        <w:fldChar w:fldCharType="end"/>
      </w:r>
      <w:r w:rsidR="00EB798A" w:rsidRPr="00EB798A">
        <w:t xml:space="preserve">, jinak </w:t>
      </w:r>
      <w:r w:rsidRPr="00273106">
        <w:t xml:space="preserve">se zhroutí celá stavba </w:t>
      </w:r>
      <w:r w:rsidR="00EE24CA">
        <w:t xml:space="preserve">analytického </w:t>
      </w:r>
      <w:r w:rsidRPr="00273106">
        <w:t xml:space="preserve">vědeckého důkazu. Bůh existuje jako substance absolutně </w:t>
      </w:r>
      <w:r w:rsidRPr="00273106">
        <w:rPr>
          <w:i/>
        </w:rPr>
        <w:t>per se</w:t>
      </w:r>
      <w:r w:rsidR="080F3C2D">
        <w:t xml:space="preserve">. Tato </w:t>
      </w:r>
      <w:r w:rsidR="08C825C5">
        <w:t xml:space="preserve">hypostázovaná a plně habituální </w:t>
      </w:r>
      <w:r w:rsidR="080F3C2D">
        <w:t xml:space="preserve">vlastnost </w:t>
      </w:r>
      <w:r w:rsidR="08C825C5">
        <w:t xml:space="preserve">moderního boha </w:t>
      </w:r>
      <w:r w:rsidR="080F3C2D">
        <w:t xml:space="preserve">požadovaná </w:t>
      </w:r>
      <w:r w:rsidR="0895383D">
        <w:t xml:space="preserve">analytickou </w:t>
      </w:r>
      <w:r w:rsidR="080F3C2D">
        <w:t xml:space="preserve">logikou </w:t>
      </w:r>
      <w:r w:rsidRPr="00273106">
        <w:t>z něj dělá zdroj primární kauzality (</w:t>
      </w:r>
      <w:r w:rsidRPr="00273106">
        <w:rPr>
          <w:i/>
          <w:color w:val="000000"/>
        </w:rPr>
        <w:t>causa prima</w:t>
      </w:r>
      <w:r w:rsidR="00761354">
        <w:rPr>
          <w:i/>
          <w:color w:val="000000"/>
        </w:rPr>
        <w:fldChar w:fldCharType="begin"/>
      </w:r>
      <w:r w:rsidR="00761354">
        <w:instrText xml:space="preserve"> XE "</w:instrText>
      </w:r>
      <w:r w:rsidR="00761354" w:rsidRPr="00EC783C">
        <w:rPr>
          <w:i/>
          <w:color w:val="000000"/>
        </w:rPr>
        <w:instrText>causa prima</w:instrText>
      </w:r>
      <w:r w:rsidR="00761354">
        <w:instrText xml:space="preserve">" </w:instrText>
      </w:r>
      <w:r w:rsidR="00761354">
        <w:rPr>
          <w:i/>
          <w:color w:val="000000"/>
        </w:rPr>
        <w:fldChar w:fldCharType="end"/>
      </w:r>
      <w:r w:rsidRPr="00273106">
        <w:rPr>
          <w:color w:val="000000"/>
        </w:rPr>
        <w:t xml:space="preserve">). </w:t>
      </w:r>
      <w:r w:rsidR="00EB798A">
        <w:rPr>
          <w:color w:val="000000"/>
        </w:rPr>
        <w:t xml:space="preserve">Stejně postupuje i Descartes, který potřebuje boha jako první kauzu ze stejného ontoteologického důvodu. </w:t>
      </w:r>
      <w:r w:rsidR="00EC2209">
        <w:rPr>
          <w:color w:val="000000"/>
        </w:rPr>
        <w:t>Ip</w:t>
      </w:r>
      <w:r w:rsidR="00CD5C1E">
        <w:rPr>
          <w:color w:val="000000"/>
        </w:rPr>
        <w:t xml:space="preserve">seita se nevztahuje k reálně dané stvořitelské </w:t>
      </w:r>
      <w:r w:rsidR="00EC2209">
        <w:rPr>
          <w:color w:val="000000"/>
        </w:rPr>
        <w:t>kauzalitě</w:t>
      </w:r>
      <w:r w:rsidR="00EB798A">
        <w:rPr>
          <w:color w:val="000000"/>
        </w:rPr>
        <w:t xml:space="preserve"> jako v prvním averroismu</w:t>
      </w:r>
      <w:r w:rsidR="00B879E6">
        <w:rPr>
          <w:color w:val="000000"/>
        </w:rPr>
        <w:t xml:space="preserve">. Analytický výklad </w:t>
      </w:r>
      <w:r w:rsidR="00782747">
        <w:rPr>
          <w:color w:val="000000"/>
        </w:rPr>
        <w:t xml:space="preserve">vztáhl ipseitu </w:t>
      </w:r>
      <w:r w:rsidR="00CD5C1E">
        <w:rPr>
          <w:color w:val="000000"/>
        </w:rPr>
        <w:t xml:space="preserve">k věčné </w:t>
      </w:r>
      <w:r w:rsidR="00EC2209">
        <w:rPr>
          <w:color w:val="000000"/>
        </w:rPr>
        <w:t>boží esenci</w:t>
      </w:r>
      <w:r w:rsidR="008439F9">
        <w:rPr>
          <w:color w:val="000000"/>
        </w:rPr>
        <w:t xml:space="preserve"> jako </w:t>
      </w:r>
      <w:r w:rsidR="008439F9" w:rsidRPr="003A4B58">
        <w:rPr>
          <w:i/>
          <w:szCs w:val="24"/>
        </w:rPr>
        <w:t>tertium ens</w:t>
      </w:r>
      <w:r w:rsidR="08101D7B">
        <w:rPr>
          <w:color w:val="000000"/>
        </w:rPr>
        <w:t xml:space="preserve">. Ta má </w:t>
      </w:r>
      <w:r w:rsidR="00EB798A">
        <w:rPr>
          <w:color w:val="000000"/>
        </w:rPr>
        <w:t xml:space="preserve">v řádu </w:t>
      </w:r>
      <w:r w:rsidR="00EB798A" w:rsidRPr="00EB798A">
        <w:rPr>
          <w:i/>
          <w:color w:val="000000"/>
        </w:rPr>
        <w:t>Oxfordian Fallacy</w:t>
      </w:r>
      <w:r w:rsidR="00924399">
        <w:rPr>
          <w:i/>
          <w:color w:val="000000"/>
        </w:rPr>
        <w:fldChar w:fldCharType="begin"/>
      </w:r>
      <w:r w:rsidR="00924399">
        <w:instrText xml:space="preserve"> XE "</w:instrText>
      </w:r>
      <w:r w:rsidR="00924399" w:rsidRPr="0015798D">
        <w:rPr>
          <w:i/>
        </w:rPr>
        <w:instrText>Oxfordian Fallacy:</w:instrText>
      </w:r>
      <w:r w:rsidR="00761354" w:rsidRPr="00761354">
        <w:instrText>ontoteologie</w:instrText>
      </w:r>
      <w:r w:rsidR="00924399">
        <w:instrText xml:space="preserve">" </w:instrText>
      </w:r>
      <w:r w:rsidR="00924399">
        <w:rPr>
          <w:i/>
          <w:color w:val="000000"/>
        </w:rPr>
        <w:fldChar w:fldCharType="end"/>
      </w:r>
      <w:r w:rsidR="00EB798A">
        <w:rPr>
          <w:color w:val="000000"/>
        </w:rPr>
        <w:t xml:space="preserve"> kauzální statut</w:t>
      </w:r>
      <w:r w:rsidR="08214BF4">
        <w:rPr>
          <w:color w:val="000000"/>
        </w:rPr>
        <w:t xml:space="preserve"> daný </w:t>
      </w:r>
      <w:r w:rsidR="08101D7B">
        <w:rPr>
          <w:color w:val="000000"/>
        </w:rPr>
        <w:t xml:space="preserve">logickou univerzalitou </w:t>
      </w:r>
      <w:r w:rsidR="00EB798A">
        <w:rPr>
          <w:color w:val="000000"/>
        </w:rPr>
        <w:t xml:space="preserve">místo metafyzické kauzality boha jako </w:t>
      </w:r>
      <w:r w:rsidR="00EB798A" w:rsidRPr="00EB798A">
        <w:rPr>
          <w:i/>
          <w:color w:val="000000"/>
        </w:rPr>
        <w:t>causa prima</w:t>
      </w:r>
      <w:r w:rsidR="00EC2209">
        <w:rPr>
          <w:color w:val="000000"/>
        </w:rPr>
        <w:t xml:space="preserve">. </w:t>
      </w:r>
      <w:r w:rsidR="009E1D3C">
        <w:rPr>
          <w:color w:val="000000"/>
        </w:rPr>
        <w:t xml:space="preserve">Ontoteologický bůh moderny a postmoderny pojatý esenciálně hraje fatální roli </w:t>
      </w:r>
      <w:r w:rsidR="009E1D3C" w:rsidRPr="00E92164">
        <w:rPr>
          <w:i/>
          <w:color w:val="000000"/>
        </w:rPr>
        <w:t>individuum primum</w:t>
      </w:r>
      <w:r w:rsidR="009E1D3C">
        <w:rPr>
          <w:color w:val="000000"/>
        </w:rPr>
        <w:t xml:space="preserve"> danou </w:t>
      </w:r>
      <w:r w:rsidR="009E1D3C" w:rsidRPr="00873B4D">
        <w:rPr>
          <w:i/>
          <w:color w:val="000000"/>
        </w:rPr>
        <w:t>absolute</w:t>
      </w:r>
      <w:r w:rsidR="009E1D3C">
        <w:rPr>
          <w:color w:val="000000"/>
        </w:rPr>
        <w:t>, čili odděleně od ostatních esencí</w:t>
      </w:r>
      <w:r w:rsidR="089004FC">
        <w:rPr>
          <w:color w:val="000000"/>
        </w:rPr>
        <w:t xml:space="preserve">. Jeho kauzální působení dané u Komentátora a v prvním avicennismu jako přirozená cesta k bohu podle rozumu je nyní zcela vedlejší </w:t>
      </w:r>
      <w:r w:rsidR="0009017F">
        <w:rPr>
          <w:color w:val="000000"/>
        </w:rPr>
        <w:t xml:space="preserve">Grossetesteho </w:t>
      </w:r>
      <w:r w:rsidR="089004FC" w:rsidRPr="089004FC">
        <w:rPr>
          <w:i/>
          <w:color w:val="000000"/>
        </w:rPr>
        <w:t>scientia</w:t>
      </w:r>
      <w:r w:rsidR="089004FC">
        <w:rPr>
          <w:color w:val="000000"/>
        </w:rPr>
        <w:t xml:space="preserve"> daná pro nedostečně osvícené empiriky. </w:t>
      </w:r>
      <w:r w:rsidR="089004FC">
        <w:t>Averroesův</w:t>
      </w:r>
      <w:r w:rsidR="089004FC" w:rsidRPr="00273106">
        <w:rPr>
          <w:rStyle w:val="ZkladntextKurzvadkovn0pt"/>
          <w:rFonts w:ascii="Calibri" w:eastAsia="Times" w:hAnsi="Calibri"/>
          <w:i w:val="0"/>
          <w:iCs w:val="0"/>
          <w:color w:val="auto"/>
          <w:spacing w:val="0"/>
          <w:sz w:val="24"/>
          <w:u w:val="none"/>
          <w:lang w:val="cs-CZ"/>
        </w:rPr>
        <w:t xml:space="preserve"> </w:t>
      </w:r>
      <w:r w:rsidR="089004FC">
        <w:rPr>
          <w:rStyle w:val="ZkladntextKurzvadkovn0pt"/>
          <w:rFonts w:ascii="Calibri" w:eastAsia="Times" w:hAnsi="Calibri"/>
          <w:i w:val="0"/>
          <w:iCs w:val="0"/>
          <w:color w:val="auto"/>
          <w:spacing w:val="0"/>
          <w:sz w:val="24"/>
          <w:u w:val="none"/>
          <w:lang w:val="cs-CZ"/>
        </w:rPr>
        <w:t>důkaz</w:t>
      </w:r>
      <w:r w:rsidR="089004FC" w:rsidRPr="00273106">
        <w:rPr>
          <w:rStyle w:val="ZkladntextKurzvadkovn0pt"/>
          <w:rFonts w:ascii="Calibri" w:eastAsia="Times" w:hAnsi="Calibri"/>
          <w:i w:val="0"/>
          <w:iCs w:val="0"/>
          <w:color w:val="auto"/>
          <w:spacing w:val="0"/>
          <w:sz w:val="24"/>
          <w:u w:val="none"/>
          <w:lang w:val="cs-CZ"/>
        </w:rPr>
        <w:t xml:space="preserve"> </w:t>
      </w:r>
      <w:r w:rsidR="089004FC" w:rsidRPr="00273106">
        <w:rPr>
          <w:rStyle w:val="Zkladntext1"/>
          <w:rFonts w:ascii="Calibri" w:eastAsia="Times" w:hAnsi="Calibri"/>
          <w:color w:val="auto"/>
          <w:spacing w:val="0"/>
          <w:sz w:val="24"/>
          <w:u w:val="none"/>
          <w:lang w:val="cs-CZ"/>
        </w:rPr>
        <w:t>(</w:t>
      </w:r>
      <w:r w:rsidR="089004FC" w:rsidRPr="00273106">
        <w:rPr>
          <w:rStyle w:val="ZkladntextKurzvadkovn0pt"/>
          <w:rFonts w:ascii="Calibri" w:eastAsia="Times" w:hAnsi="Calibri"/>
          <w:iCs w:val="0"/>
          <w:color w:val="auto"/>
          <w:spacing w:val="0"/>
          <w:sz w:val="24"/>
          <w:u w:val="none"/>
          <w:lang w:val="cs-CZ"/>
        </w:rPr>
        <w:t>dalā'il</w:t>
      </w:r>
      <w:r w:rsidR="089004FC">
        <w:rPr>
          <w:rStyle w:val="ZkladntextKurzvadkovn0pt"/>
          <w:rFonts w:ascii="Calibri" w:eastAsia="Times" w:hAnsi="Calibri"/>
          <w:iCs w:val="0"/>
          <w:color w:val="auto"/>
          <w:spacing w:val="0"/>
          <w:sz w:val="24"/>
          <w:u w:val="none"/>
          <w:lang w:val="cs-CZ"/>
        </w:rPr>
        <w:fldChar w:fldCharType="begin"/>
      </w:r>
      <w:r w:rsidR="089004FC">
        <w:instrText xml:space="preserve"> XE "</w:instrText>
      </w:r>
      <w:r w:rsidR="089004FC" w:rsidRPr="009965D3">
        <w:rPr>
          <w:rStyle w:val="ZkladntextKurzvadkovn0pt"/>
          <w:rFonts w:ascii="Calibri" w:eastAsia="Times" w:hAnsi="Calibri"/>
          <w:iCs w:val="0"/>
          <w:color w:val="auto"/>
          <w:spacing w:val="0"/>
          <w:sz w:val="24"/>
          <w:u w:val="none"/>
          <w:lang w:val="cs-CZ"/>
        </w:rPr>
        <w:instrText>dalā'il</w:instrText>
      </w:r>
      <w:r w:rsidR="089004FC">
        <w:instrText xml:space="preserve">" </w:instrText>
      </w:r>
      <w:r w:rsidR="089004FC">
        <w:rPr>
          <w:rStyle w:val="ZkladntextKurzvadkovn0pt"/>
          <w:rFonts w:ascii="Calibri" w:eastAsia="Times" w:hAnsi="Calibri"/>
          <w:iCs w:val="0"/>
          <w:color w:val="auto"/>
          <w:spacing w:val="0"/>
          <w:sz w:val="24"/>
          <w:u w:val="none"/>
          <w:lang w:val="cs-CZ"/>
        </w:rPr>
        <w:fldChar w:fldCharType="end"/>
      </w:r>
      <w:r w:rsidR="089004FC" w:rsidRPr="00273106">
        <w:rPr>
          <w:rStyle w:val="ZkladntextKurzvadkovn0pt"/>
          <w:rFonts w:ascii="Calibri" w:eastAsia="Times" w:hAnsi="Calibri"/>
          <w:i w:val="0"/>
          <w:iCs w:val="0"/>
          <w:color w:val="auto"/>
          <w:spacing w:val="0"/>
          <w:sz w:val="24"/>
          <w:u w:val="none"/>
          <w:lang w:val="cs-CZ"/>
        </w:rPr>
        <w:t>)</w:t>
      </w:r>
      <w:r w:rsidR="089004FC">
        <w:rPr>
          <w:rStyle w:val="ZkladntextKurzvadkovn0pt"/>
          <w:rFonts w:ascii="Calibri" w:eastAsia="Times" w:hAnsi="Calibri"/>
          <w:i w:val="0"/>
          <w:iCs w:val="0"/>
          <w:color w:val="auto"/>
          <w:spacing w:val="0"/>
          <w:sz w:val="24"/>
          <w:u w:val="none"/>
          <w:lang w:val="cs-CZ"/>
        </w:rPr>
        <w:t xml:space="preserve"> je daný v duchu </w:t>
      </w:r>
      <w:r w:rsidR="089004FC" w:rsidRPr="08957348">
        <w:rPr>
          <w:rStyle w:val="ZkladntextKurzvadkovn0pt"/>
          <w:rFonts w:ascii="Calibri" w:eastAsia="Times" w:hAnsi="Calibri"/>
          <w:iCs w:val="0"/>
          <w:color w:val="auto"/>
          <w:spacing w:val="0"/>
          <w:sz w:val="24"/>
          <w:u w:val="none"/>
          <w:lang w:val="cs-CZ"/>
        </w:rPr>
        <w:t>Druhých analytik</w:t>
      </w:r>
      <w:r w:rsidR="089004FC">
        <w:rPr>
          <w:rStyle w:val="ZkladntextKurzvadkovn0pt"/>
          <w:rFonts w:ascii="Calibri" w:eastAsia="Times" w:hAnsi="Calibri"/>
          <w:i w:val="0"/>
          <w:iCs w:val="0"/>
          <w:color w:val="auto"/>
          <w:spacing w:val="0"/>
          <w:sz w:val="24"/>
          <w:u w:val="none"/>
          <w:lang w:val="cs-CZ"/>
        </w:rPr>
        <w:t xml:space="preserve"> jedině skrze kauzalitu, protože to je jediná vědecky pravdivá možnost jak vypovídat v modu </w:t>
      </w:r>
      <w:r w:rsidR="082A724F">
        <w:t xml:space="preserve">metafyzického </w:t>
      </w:r>
      <w:r w:rsidR="089004FC">
        <w:rPr>
          <w:rStyle w:val="ZkladntextKurzvadkovn0pt"/>
          <w:rFonts w:ascii="Calibri" w:eastAsia="Times" w:hAnsi="Calibri"/>
          <w:i w:val="0"/>
          <w:iCs w:val="0"/>
          <w:color w:val="auto"/>
          <w:spacing w:val="0"/>
          <w:sz w:val="24"/>
          <w:u w:val="none"/>
          <w:lang w:val="cs-CZ"/>
        </w:rPr>
        <w:t>dativu o zcela oddělené boží esenci (</w:t>
      </w:r>
      <w:r w:rsidR="083D0E33">
        <w:rPr>
          <w:rStyle w:val="ZkladntextKurzvadkovn0pt"/>
          <w:rFonts w:ascii="Calibri" w:eastAsia="Times" w:hAnsi="Calibri"/>
          <w:i w:val="0"/>
          <w:iCs w:val="0"/>
          <w:color w:val="auto"/>
          <w:spacing w:val="0"/>
          <w:sz w:val="24"/>
          <w:u w:val="none"/>
          <w:lang w:val="cs-CZ"/>
        </w:rPr>
        <w:t xml:space="preserve">OBJ I, </w:t>
      </w:r>
      <w:r w:rsidR="089004FC">
        <w:rPr>
          <w:rStyle w:val="ZkladntextKurzvadkovn0pt"/>
          <w:rFonts w:ascii="Calibri" w:eastAsia="Times" w:hAnsi="Calibri"/>
          <w:i w:val="0"/>
          <w:iCs w:val="0"/>
          <w:color w:val="auto"/>
          <w:spacing w:val="0"/>
          <w:sz w:val="24"/>
          <w:u w:val="none"/>
          <w:lang w:val="cs-CZ"/>
        </w:rPr>
        <w:t xml:space="preserve">kap. 2.4.1). </w:t>
      </w:r>
      <w:r w:rsidR="009D2450">
        <w:rPr>
          <w:rStyle w:val="ZkladntextKurzvadkovn0pt"/>
          <w:rFonts w:ascii="Calibri" w:eastAsia="Times" w:hAnsi="Calibri"/>
          <w:i w:val="0"/>
          <w:iCs w:val="0"/>
          <w:color w:val="auto"/>
          <w:spacing w:val="0"/>
          <w:sz w:val="24"/>
          <w:u w:val="none"/>
          <w:lang w:val="cs-CZ"/>
        </w:rPr>
        <w:t xml:space="preserve">Moderní bůh se stal </w:t>
      </w:r>
      <w:r w:rsidR="009D2450">
        <w:rPr>
          <w:color w:val="000000"/>
        </w:rPr>
        <w:t>pouhou generickou esencí</w:t>
      </w:r>
      <w:r w:rsidR="089004FC">
        <w:rPr>
          <w:color w:val="000000"/>
        </w:rPr>
        <w:t xml:space="preserve"> on</w:t>
      </w:r>
      <w:r w:rsidR="009D2450">
        <w:rPr>
          <w:color w:val="000000"/>
        </w:rPr>
        <w:t>toteologicky nutnou</w:t>
      </w:r>
      <w:r w:rsidR="089004FC">
        <w:rPr>
          <w:color w:val="000000"/>
        </w:rPr>
        <w:t xml:space="preserve"> k chodu myšlení (</w:t>
      </w:r>
      <w:r w:rsidR="089004FC" w:rsidRPr="007D14F9">
        <w:rPr>
          <w:i/>
        </w:rPr>
        <w:t>de hoc genere substantia non scitur per causam</w:t>
      </w:r>
      <w:r w:rsidR="089004FC">
        <w:rPr>
          <w:color w:val="000000"/>
        </w:rPr>
        <w:t xml:space="preserve">). Hermeneutika tím našla původní </w:t>
      </w:r>
      <w:r w:rsidR="00AD0389">
        <w:rPr>
          <w:color w:val="000000"/>
        </w:rPr>
        <w:t>začátek (</w:t>
      </w:r>
      <w:r w:rsidR="00AD0389" w:rsidRPr="00AD0389">
        <w:rPr>
          <w:i/>
          <w:color w:val="000000"/>
        </w:rPr>
        <w:t>Beginn</w:t>
      </w:r>
      <w:r w:rsidR="00AD0389">
        <w:rPr>
          <w:color w:val="000000"/>
        </w:rPr>
        <w:t xml:space="preserve">) </w:t>
      </w:r>
      <w:r w:rsidR="089004FC">
        <w:rPr>
          <w:color w:val="000000"/>
        </w:rPr>
        <w:t>smrti boha</w:t>
      </w:r>
      <w:r w:rsidR="089004FC">
        <w:rPr>
          <w:color w:val="000000"/>
        </w:rPr>
        <w:fldChar w:fldCharType="begin"/>
      </w:r>
      <w:r w:rsidR="089004FC">
        <w:instrText xml:space="preserve"> XE "</w:instrText>
      </w:r>
      <w:r w:rsidR="089004FC" w:rsidRPr="003B263C">
        <w:rPr>
          <w:color w:val="000000"/>
        </w:rPr>
        <w:instrText>smrt boha</w:instrText>
      </w:r>
      <w:r w:rsidR="089004FC">
        <w:instrText xml:space="preserve">" </w:instrText>
      </w:r>
      <w:r w:rsidR="089004FC">
        <w:rPr>
          <w:color w:val="000000"/>
        </w:rPr>
        <w:fldChar w:fldCharType="end"/>
      </w:r>
      <w:r w:rsidR="089004FC">
        <w:rPr>
          <w:color w:val="000000"/>
        </w:rPr>
        <w:t xml:space="preserve"> v začínajícím nihilismu moderní metafyziky, protože z boha se stal nejvyšší </w:t>
      </w:r>
      <w:r w:rsidR="00B1298A">
        <w:rPr>
          <w:i/>
          <w:color w:val="000000"/>
        </w:rPr>
        <w:t>genus</w:t>
      </w:r>
      <w:r w:rsidR="089004FC">
        <w:rPr>
          <w:color w:val="000000"/>
        </w:rPr>
        <w:t xml:space="preserve"> na způsob </w:t>
      </w:r>
      <w:r w:rsidR="089004FC" w:rsidRPr="00273106">
        <w:t>neoplatonik</w:t>
      </w:r>
      <w:r w:rsidR="089004FC">
        <w:t>a</w:t>
      </w:r>
      <w:r w:rsidR="089004FC" w:rsidRPr="00273106">
        <w:t xml:space="preserve"> Jan</w:t>
      </w:r>
      <w:r w:rsidR="089004FC">
        <w:t>a Scota Eurigeny</w:t>
      </w:r>
      <w:r w:rsidR="089004FC">
        <w:fldChar w:fldCharType="begin"/>
      </w:r>
      <w:r w:rsidR="089004FC">
        <w:instrText xml:space="preserve"> XE "</w:instrText>
      </w:r>
      <w:r w:rsidR="089004FC" w:rsidRPr="003E0256">
        <w:instrText>Eurigena, Scotus</w:instrText>
      </w:r>
      <w:r w:rsidR="089004FC">
        <w:instrText xml:space="preserve">" </w:instrText>
      </w:r>
      <w:r w:rsidR="089004FC">
        <w:fldChar w:fldCharType="end"/>
      </w:r>
      <w:r w:rsidR="089004FC">
        <w:t xml:space="preserve"> (</w:t>
      </w:r>
      <w:r w:rsidR="083D0E33">
        <w:t xml:space="preserve">OBJ I, </w:t>
      </w:r>
      <w:r w:rsidR="089004FC">
        <w:t xml:space="preserve">kap. 1.3.2). Bůh koncipuje </w:t>
      </w:r>
      <w:r w:rsidR="089004FC">
        <w:rPr>
          <w:color w:val="000000"/>
        </w:rPr>
        <w:t>ve své mysli</w:t>
      </w:r>
      <w:r w:rsidR="089004FC">
        <w:rPr>
          <w:rStyle w:val="addmd"/>
          <w:i/>
        </w:rPr>
        <w:fldChar w:fldCharType="begin"/>
      </w:r>
      <w:r w:rsidR="089004FC">
        <w:instrText xml:space="preserve"> XE "predikace</w:instrText>
      </w:r>
      <w:r w:rsidR="089004FC" w:rsidRPr="002A5D70">
        <w:instrText>:</w:instrText>
      </w:r>
      <w:r w:rsidR="089004FC">
        <w:instrText xml:space="preserve">modus </w:instrText>
      </w:r>
      <w:r w:rsidR="089004FC" w:rsidRPr="008D23BF">
        <w:rPr>
          <w:i/>
        </w:rPr>
        <w:instrText>absolute</w:instrText>
      </w:r>
      <w:r w:rsidR="089004FC">
        <w:instrText xml:space="preserve">" </w:instrText>
      </w:r>
      <w:r w:rsidR="089004FC">
        <w:rPr>
          <w:rStyle w:val="addmd"/>
          <w:i/>
        </w:rPr>
        <w:fldChar w:fldCharType="end"/>
      </w:r>
      <w:r w:rsidR="089004FC">
        <w:rPr>
          <w:color w:val="000000"/>
        </w:rPr>
        <w:t xml:space="preserve"> </w:t>
      </w:r>
      <w:r w:rsidR="083D0E33">
        <w:rPr>
          <w:color w:val="000000"/>
        </w:rPr>
        <w:t xml:space="preserve">stvořené </w:t>
      </w:r>
      <w:r w:rsidR="08206A52">
        <w:rPr>
          <w:color w:val="000000"/>
        </w:rPr>
        <w:t xml:space="preserve">esence </w:t>
      </w:r>
      <w:r w:rsidR="002A0615">
        <w:rPr>
          <w:color w:val="000000"/>
        </w:rPr>
        <w:t>objektivně (tj. formálně a exemplárně)</w:t>
      </w:r>
      <w:r w:rsidR="089004FC">
        <w:rPr>
          <w:color w:val="000000"/>
        </w:rPr>
        <w:t xml:space="preserve">. Tím vznikl ontoteologický </w:t>
      </w:r>
      <w:r w:rsidR="001673E9">
        <w:rPr>
          <w:color w:val="000000"/>
        </w:rPr>
        <w:t>modu</w:t>
      </w:r>
      <w:r w:rsidR="089004FC">
        <w:rPr>
          <w:color w:val="000000"/>
        </w:rPr>
        <w:t>s</w:t>
      </w:r>
      <w:r w:rsidR="001673E9">
        <w:rPr>
          <w:color w:val="000000"/>
        </w:rPr>
        <w:t xml:space="preserve"> objektivní jsoucnosti vázané na substanci třetího druhu (</w:t>
      </w:r>
      <w:r w:rsidR="001673E9" w:rsidRPr="00273106">
        <w:rPr>
          <w:i/>
          <w:color w:val="000000"/>
        </w:rPr>
        <w:t>esse cuiuslibet substantie specialis</w:t>
      </w:r>
      <w:r w:rsidR="001673E9">
        <w:rPr>
          <w:color w:val="000000"/>
        </w:rPr>
        <w:t xml:space="preserve">). </w:t>
      </w:r>
      <w:r w:rsidR="00F76E41">
        <w:rPr>
          <w:color w:val="000000"/>
        </w:rPr>
        <w:t>Nietzsche má naprosto pravdu</w:t>
      </w:r>
      <w:r w:rsidR="001673E9">
        <w:rPr>
          <w:color w:val="000000"/>
        </w:rPr>
        <w:t xml:space="preserve"> v tom</w:t>
      </w:r>
      <w:r w:rsidR="00F76E41">
        <w:rPr>
          <w:color w:val="000000"/>
        </w:rPr>
        <w:t xml:space="preserve">, že moderna zabila </w:t>
      </w:r>
      <w:r w:rsidR="00597473">
        <w:rPr>
          <w:color w:val="000000"/>
        </w:rPr>
        <w:t xml:space="preserve">svého </w:t>
      </w:r>
      <w:r w:rsidR="00F76E41">
        <w:rPr>
          <w:color w:val="000000"/>
        </w:rPr>
        <w:t xml:space="preserve">boha </w:t>
      </w:r>
      <w:r w:rsidR="08F5660E">
        <w:rPr>
          <w:color w:val="000000"/>
        </w:rPr>
        <w:t xml:space="preserve">a navíc </w:t>
      </w:r>
      <w:r w:rsidR="08871EE5">
        <w:rPr>
          <w:color w:val="000000"/>
        </w:rPr>
        <w:t xml:space="preserve">svýma </w:t>
      </w:r>
      <w:r w:rsidR="00597473">
        <w:rPr>
          <w:color w:val="000000"/>
        </w:rPr>
        <w:t>vlastníma rukama</w:t>
      </w:r>
      <w:r w:rsidR="001673E9">
        <w:rPr>
          <w:color w:val="000000"/>
        </w:rPr>
        <w:t xml:space="preserve">. </w:t>
      </w:r>
      <w:r w:rsidR="081176D6">
        <w:rPr>
          <w:color w:val="000000"/>
        </w:rPr>
        <w:t>Ve vědecké mytopoetice moderny to ani nemůže být jinak</w:t>
      </w:r>
      <w:r w:rsidR="08F5660E">
        <w:rPr>
          <w:color w:val="000000"/>
        </w:rPr>
        <w:t xml:space="preserve">. </w:t>
      </w:r>
      <w:r w:rsidR="08871EE5">
        <w:rPr>
          <w:color w:val="000000"/>
        </w:rPr>
        <w:t xml:space="preserve">Hermeneutika našla příslušný </w:t>
      </w:r>
      <w:r w:rsidR="08871EE5" w:rsidRPr="08871EE5">
        <w:rPr>
          <w:i/>
          <w:color w:val="000000"/>
        </w:rPr>
        <w:t>corpus delicti</w:t>
      </w:r>
      <w:r w:rsidR="08871EE5">
        <w:rPr>
          <w:color w:val="000000"/>
        </w:rPr>
        <w:t xml:space="preserve"> a tím i pachatele. </w:t>
      </w:r>
      <w:r w:rsidR="009E1D3C">
        <w:rPr>
          <w:color w:val="000000"/>
        </w:rPr>
        <w:t>Grossete</w:t>
      </w:r>
      <w:r w:rsidR="001673E9">
        <w:rPr>
          <w:color w:val="000000"/>
        </w:rPr>
        <w:t>s</w:t>
      </w:r>
      <w:r w:rsidR="009E1D3C">
        <w:rPr>
          <w:color w:val="000000"/>
        </w:rPr>
        <w:t>t</w:t>
      </w:r>
      <w:r w:rsidR="001673E9">
        <w:rPr>
          <w:color w:val="000000"/>
        </w:rPr>
        <w:t>e</w:t>
      </w:r>
      <w:r w:rsidR="009E1D3C">
        <w:rPr>
          <w:color w:val="000000"/>
        </w:rPr>
        <w:t xml:space="preserve"> postavil první objektivní verzi zahálčivé První esence v </w:t>
      </w:r>
      <w:r w:rsidR="08294541">
        <w:rPr>
          <w:color w:val="000000"/>
        </w:rPr>
        <w:t xml:space="preserve">ontoteologickém </w:t>
      </w:r>
      <w:r w:rsidR="009E1D3C">
        <w:rPr>
          <w:color w:val="000000"/>
        </w:rPr>
        <w:t xml:space="preserve">modu </w:t>
      </w:r>
      <w:r w:rsidR="009E1D3C" w:rsidRPr="009E1D3C">
        <w:rPr>
          <w:i/>
          <w:color w:val="000000"/>
        </w:rPr>
        <w:t>deus otiosus</w:t>
      </w:r>
      <w:r w:rsidR="001673E9">
        <w:rPr>
          <w:i/>
          <w:color w:val="000000"/>
        </w:rPr>
        <w:fldChar w:fldCharType="begin"/>
      </w:r>
      <w:r w:rsidR="001673E9">
        <w:instrText xml:space="preserve"> XE "</w:instrText>
      </w:r>
      <w:r w:rsidR="001673E9" w:rsidRPr="00197F7C">
        <w:rPr>
          <w:i/>
          <w:color w:val="000000"/>
        </w:rPr>
        <w:instrText>deus otiosus</w:instrText>
      </w:r>
      <w:r w:rsidR="001673E9">
        <w:instrText xml:space="preserve">" </w:instrText>
      </w:r>
      <w:r w:rsidR="001673E9">
        <w:rPr>
          <w:i/>
          <w:color w:val="000000"/>
        </w:rPr>
        <w:fldChar w:fldCharType="end"/>
      </w:r>
      <w:r w:rsidR="00F76E41">
        <w:rPr>
          <w:color w:val="000000"/>
        </w:rPr>
        <w:t xml:space="preserve">. Nová </w:t>
      </w:r>
      <w:r w:rsidR="006055FA">
        <w:rPr>
          <w:color w:val="000000"/>
        </w:rPr>
        <w:t>„</w:t>
      </w:r>
      <w:r w:rsidR="00F76E41">
        <w:rPr>
          <w:color w:val="000000"/>
        </w:rPr>
        <w:t>radostná věda</w:t>
      </w:r>
      <w:r w:rsidR="006055FA">
        <w:rPr>
          <w:color w:val="000000"/>
        </w:rPr>
        <w:t>“ (Nietzsche)</w:t>
      </w:r>
      <w:r w:rsidR="00F76E41">
        <w:rPr>
          <w:color w:val="000000"/>
        </w:rPr>
        <w:t xml:space="preserve"> </w:t>
      </w:r>
      <w:r w:rsidR="005850B5">
        <w:rPr>
          <w:color w:val="000000"/>
        </w:rPr>
        <w:t xml:space="preserve">daná v myslích iluminátů </w:t>
      </w:r>
      <w:r w:rsidR="00473D67">
        <w:rPr>
          <w:color w:val="000000"/>
        </w:rPr>
        <w:t xml:space="preserve">už </w:t>
      </w:r>
      <w:r w:rsidR="00FF2E83">
        <w:rPr>
          <w:color w:val="000000"/>
        </w:rPr>
        <w:lastRenderedPageBreak/>
        <w:t>nepotřebuje reálné kauzální působení boha jako první příčiny</w:t>
      </w:r>
      <w:r w:rsidR="0883301B">
        <w:rPr>
          <w:color w:val="000000"/>
        </w:rPr>
        <w:t xml:space="preserve">. Tu postulovala reálná, a proto nižší neradostná věda podle </w:t>
      </w:r>
      <w:r w:rsidR="00FF2E83">
        <w:rPr>
          <w:color w:val="000000"/>
        </w:rPr>
        <w:t>první</w:t>
      </w:r>
      <w:r w:rsidR="0883301B">
        <w:rPr>
          <w:color w:val="000000"/>
        </w:rPr>
        <w:t>ho</w:t>
      </w:r>
      <w:r w:rsidR="00FF2E83">
        <w:rPr>
          <w:color w:val="000000"/>
        </w:rPr>
        <w:t xml:space="preserve"> ave</w:t>
      </w:r>
      <w:r w:rsidR="0883301B">
        <w:rPr>
          <w:color w:val="000000"/>
        </w:rPr>
        <w:t>rroismu</w:t>
      </w:r>
      <w:r w:rsidR="007C5F4A">
        <w:rPr>
          <w:color w:val="000000"/>
        </w:rPr>
        <w:t xml:space="preserve"> a předtím aristotelismus Abelarda</w:t>
      </w:r>
      <w:r w:rsidR="0883301B">
        <w:rPr>
          <w:color w:val="000000"/>
        </w:rPr>
        <w:t xml:space="preserve">. </w:t>
      </w:r>
      <w:r w:rsidR="084764EC">
        <w:rPr>
          <w:color w:val="000000"/>
        </w:rPr>
        <w:t>V</w:t>
      </w:r>
      <w:r w:rsidR="0883301B">
        <w:rPr>
          <w:color w:val="000000"/>
        </w:rPr>
        <w:t xml:space="preserve">ýklad </w:t>
      </w:r>
      <w:r w:rsidR="004D0274">
        <w:rPr>
          <w:color w:val="000000"/>
        </w:rPr>
        <w:t>knihy</w:t>
      </w:r>
      <w:r w:rsidR="00FF2E83">
        <w:rPr>
          <w:color w:val="000000"/>
        </w:rPr>
        <w:t xml:space="preserve"> </w:t>
      </w:r>
      <w:r w:rsidR="00FF2E83" w:rsidRPr="084764EC">
        <w:rPr>
          <w:color w:val="000000"/>
        </w:rPr>
        <w:t>Lambda</w:t>
      </w:r>
      <w:r w:rsidR="004D0274" w:rsidRPr="004D0274">
        <w:rPr>
          <w:color w:val="000000"/>
        </w:rPr>
        <w:t xml:space="preserve"> </w:t>
      </w:r>
      <w:r w:rsidR="004D0274">
        <w:rPr>
          <w:color w:val="000000"/>
        </w:rPr>
        <w:t xml:space="preserve">v </w:t>
      </w:r>
      <w:r w:rsidR="004D0274" w:rsidRPr="006B3C21">
        <w:rPr>
          <w:i/>
          <w:color w:val="000000"/>
        </w:rPr>
        <w:t>Metafyzice</w:t>
      </w:r>
      <w:r w:rsidR="00414986">
        <w:rPr>
          <w:color w:val="000000"/>
        </w:rPr>
        <w:t xml:space="preserve"> vyložené </w:t>
      </w:r>
      <w:r w:rsidR="082F2D63">
        <w:rPr>
          <w:i/>
          <w:color w:val="000000"/>
        </w:rPr>
        <w:t>ad mentem Averrois</w:t>
      </w:r>
      <w:r w:rsidR="00570007">
        <w:rPr>
          <w:i/>
          <w:color w:val="000000"/>
        </w:rPr>
        <w:fldChar w:fldCharType="begin"/>
      </w:r>
      <w:r w:rsidR="00570007">
        <w:instrText xml:space="preserve"> XE "</w:instrText>
      </w:r>
      <w:r w:rsidR="082F2D63">
        <w:rPr>
          <w:i/>
        </w:rPr>
        <w:instrText>ad mentem Averrois</w:instrText>
      </w:r>
      <w:r w:rsidR="00570007">
        <w:instrText xml:space="preserve">" </w:instrText>
      </w:r>
      <w:r w:rsidR="00570007">
        <w:rPr>
          <w:i/>
          <w:color w:val="000000"/>
        </w:rPr>
        <w:fldChar w:fldCharType="end"/>
      </w:r>
      <w:r w:rsidR="00414986">
        <w:rPr>
          <w:i/>
          <w:color w:val="000000"/>
        </w:rPr>
        <w:t xml:space="preserve"> </w:t>
      </w:r>
      <w:r w:rsidR="0883301B">
        <w:rPr>
          <w:color w:val="000000"/>
        </w:rPr>
        <w:t xml:space="preserve">definoval nikoliv ontoteologicky a mytopoeticky nutnou esenci boha, ale pouze působení </w:t>
      </w:r>
      <w:r w:rsidR="0883301B" w:rsidRPr="0883301B">
        <w:rPr>
          <w:i/>
          <w:color w:val="000000"/>
        </w:rPr>
        <w:t>c</w:t>
      </w:r>
      <w:r w:rsidR="0883301B">
        <w:rPr>
          <w:i/>
          <w:color w:val="000000"/>
        </w:rPr>
        <w:t>ausa pri</w:t>
      </w:r>
      <w:r w:rsidR="0883301B" w:rsidRPr="0883301B">
        <w:rPr>
          <w:i/>
          <w:color w:val="000000"/>
        </w:rPr>
        <w:t>ma</w:t>
      </w:r>
      <w:r w:rsidR="0883301B">
        <w:rPr>
          <w:color w:val="000000"/>
        </w:rPr>
        <w:t xml:space="preserve"> dané v rámci „meta</w:t>
      </w:r>
      <w:r w:rsidR="0883301B">
        <w:rPr>
          <w:color w:val="000000"/>
        </w:rPr>
        <w:noBreakHyphen/>
        <w:t>fyziky</w:t>
      </w:r>
      <w:r w:rsidR="00414986" w:rsidRPr="00414986">
        <w:rPr>
          <w:color w:val="000000"/>
        </w:rPr>
        <w:t xml:space="preserve">“ substance </w:t>
      </w:r>
      <w:r w:rsidR="00414986" w:rsidRPr="00414986">
        <w:rPr>
          <w:i/>
          <w:color w:val="000000"/>
        </w:rPr>
        <w:t>qua</w:t>
      </w:r>
      <w:r w:rsidR="00414986" w:rsidRPr="00414986">
        <w:rPr>
          <w:color w:val="000000"/>
        </w:rPr>
        <w:t xml:space="preserve"> substance</w:t>
      </w:r>
      <w:r w:rsidR="08A57BBA">
        <w:rPr>
          <w:color w:val="000000"/>
        </w:rPr>
        <w:fldChar w:fldCharType="begin"/>
      </w:r>
      <w:r w:rsidR="08A57BBA">
        <w:instrText xml:space="preserve"> XE "</w:instrText>
      </w:r>
      <w:r w:rsidR="08A57BBA" w:rsidRPr="080632B1">
        <w:instrText xml:space="preserve">substance </w:instrText>
      </w:r>
      <w:r w:rsidR="08A57BBA" w:rsidRPr="080632B1">
        <w:rPr>
          <w:i/>
        </w:rPr>
        <w:instrText>qua</w:instrText>
      </w:r>
      <w:r w:rsidR="08A57BBA" w:rsidRPr="080632B1">
        <w:instrText xml:space="preserve"> substance</w:instrText>
      </w:r>
      <w:r w:rsidR="08A57BBA">
        <w:instrText xml:space="preserve">" </w:instrText>
      </w:r>
      <w:r w:rsidR="08A57BBA">
        <w:rPr>
          <w:color w:val="000000"/>
        </w:rPr>
        <w:fldChar w:fldCharType="end"/>
      </w:r>
      <w:r w:rsidR="00FF2E83" w:rsidRPr="00414986">
        <w:rPr>
          <w:color w:val="000000"/>
        </w:rPr>
        <w:t xml:space="preserve">. </w:t>
      </w:r>
      <w:r w:rsidR="00F55ED4">
        <w:rPr>
          <w:color w:val="000000"/>
        </w:rPr>
        <w:t xml:space="preserve">Grosseteste schéma </w:t>
      </w:r>
      <w:r w:rsidR="002F3E6C">
        <w:rPr>
          <w:color w:val="000000"/>
        </w:rPr>
        <w:t xml:space="preserve">moderně </w:t>
      </w:r>
      <w:r w:rsidR="000D4D73">
        <w:rPr>
          <w:color w:val="000000"/>
        </w:rPr>
        <w:t xml:space="preserve">a sofisticky </w:t>
      </w:r>
      <w:r w:rsidR="00F55ED4">
        <w:rPr>
          <w:color w:val="000000"/>
        </w:rPr>
        <w:t>otočil</w:t>
      </w:r>
      <w:r w:rsidR="002F3E6C">
        <w:rPr>
          <w:color w:val="000000"/>
        </w:rPr>
        <w:t>,</w:t>
      </w:r>
      <w:r w:rsidR="00F55ED4">
        <w:rPr>
          <w:color w:val="000000"/>
        </w:rPr>
        <w:t xml:space="preserve"> </w:t>
      </w:r>
      <w:r w:rsidR="00473D67">
        <w:rPr>
          <w:color w:val="000000"/>
        </w:rPr>
        <w:t xml:space="preserve">protože </w:t>
      </w:r>
      <w:r w:rsidR="00F55ED4">
        <w:rPr>
          <w:color w:val="000000"/>
        </w:rPr>
        <w:t>s</w:t>
      </w:r>
      <w:r w:rsidR="004A77E4">
        <w:rPr>
          <w:color w:val="000000"/>
        </w:rPr>
        <w:t>krze a</w:t>
      </w:r>
      <w:r w:rsidR="00F55ED4">
        <w:rPr>
          <w:color w:val="000000"/>
        </w:rPr>
        <w:t xml:space="preserve">bsolutní substancialitu boha dedukuje </w:t>
      </w:r>
      <w:r w:rsidR="004A77E4">
        <w:rPr>
          <w:color w:val="000000"/>
        </w:rPr>
        <w:t xml:space="preserve">kauzální </w:t>
      </w:r>
      <w:r w:rsidRPr="00273106">
        <w:rPr>
          <w:color w:val="000000"/>
        </w:rPr>
        <w:t>působení</w:t>
      </w:r>
      <w:r w:rsidR="004A77E4">
        <w:rPr>
          <w:color w:val="000000"/>
        </w:rPr>
        <w:t xml:space="preserve"> boha jako první příčiny</w:t>
      </w:r>
      <w:r w:rsidR="0012644D">
        <w:rPr>
          <w:color w:val="000000"/>
        </w:rPr>
        <w:t xml:space="preserve"> v porretánském modu </w:t>
      </w:r>
      <w:r w:rsidR="0012644D" w:rsidRPr="0012644D">
        <w:rPr>
          <w:i/>
          <w:color w:val="000000"/>
        </w:rPr>
        <w:t>semel</w:t>
      </w:r>
      <w:r w:rsidR="0012644D">
        <w:rPr>
          <w:color w:val="000000"/>
        </w:rPr>
        <w:t>‒</w:t>
      </w:r>
      <w:r w:rsidR="0012644D" w:rsidRPr="0012644D">
        <w:rPr>
          <w:i/>
          <w:color w:val="000000"/>
        </w:rPr>
        <w:t>semper</w:t>
      </w:r>
      <w:r w:rsidR="00E91376">
        <w:rPr>
          <w:i/>
          <w:color w:val="000000"/>
        </w:rPr>
        <w:fldChar w:fldCharType="begin"/>
      </w:r>
      <w:r w:rsidR="00E91376">
        <w:instrText xml:space="preserve"> XE "</w:instrText>
      </w:r>
      <w:r w:rsidR="00E91376" w:rsidRPr="00E91376">
        <w:rPr>
          <w:color w:val="000000"/>
        </w:rPr>
        <w:instrText>predikace:</w:instrText>
      </w:r>
      <w:r w:rsidR="00E91376" w:rsidRPr="00775CB3">
        <w:rPr>
          <w:i/>
          <w:color w:val="000000"/>
        </w:rPr>
        <w:instrText>semel</w:instrText>
      </w:r>
      <w:r w:rsidR="00E91376" w:rsidRPr="00775CB3">
        <w:rPr>
          <w:color w:val="000000"/>
        </w:rPr>
        <w:instrText>‒</w:instrText>
      </w:r>
      <w:r w:rsidR="00E91376" w:rsidRPr="00775CB3">
        <w:rPr>
          <w:i/>
          <w:color w:val="000000"/>
        </w:rPr>
        <w:instrText>semper</w:instrText>
      </w:r>
      <w:r w:rsidR="00E91376">
        <w:instrText xml:space="preserve">" </w:instrText>
      </w:r>
      <w:r w:rsidR="00E91376">
        <w:rPr>
          <w:i/>
          <w:color w:val="000000"/>
        </w:rPr>
        <w:fldChar w:fldCharType="end"/>
      </w:r>
      <w:r w:rsidR="004A77E4">
        <w:rPr>
          <w:color w:val="000000"/>
        </w:rPr>
        <w:t xml:space="preserve">. </w:t>
      </w:r>
      <w:r w:rsidR="08B90062">
        <w:rPr>
          <w:color w:val="000000"/>
        </w:rPr>
        <w:t xml:space="preserve">Díky věčnosti takto zajištěné boží esence </w:t>
      </w:r>
      <w:r w:rsidRPr="00273106">
        <w:rPr>
          <w:color w:val="000000"/>
        </w:rPr>
        <w:t>můžeme ontoteologicky zajistit existenci reálné substance</w:t>
      </w:r>
      <w:r w:rsidR="009C40BD">
        <w:rPr>
          <w:color w:val="000000"/>
        </w:rPr>
        <w:t xml:space="preserve"> i v řádu efektivní kauzality božího stvoření a tvoření</w:t>
      </w:r>
      <w:r w:rsidRPr="00273106">
        <w:rPr>
          <w:color w:val="000000"/>
        </w:rPr>
        <w:t xml:space="preserve">. </w:t>
      </w:r>
      <w:r w:rsidR="08B90062">
        <w:rPr>
          <w:color w:val="000000"/>
        </w:rPr>
        <w:t xml:space="preserve">A navíc </w:t>
      </w:r>
      <w:r w:rsidR="08151EEE">
        <w:rPr>
          <w:color w:val="000000"/>
        </w:rPr>
        <w:t xml:space="preserve">pozitivně </w:t>
      </w:r>
      <w:r w:rsidR="08B90062">
        <w:rPr>
          <w:color w:val="000000"/>
        </w:rPr>
        <w:t>víme</w:t>
      </w:r>
      <w:r w:rsidR="08151EEE">
        <w:rPr>
          <w:color w:val="000000"/>
        </w:rPr>
        <w:t>, že b</w:t>
      </w:r>
      <w:r w:rsidR="08B90062">
        <w:rPr>
          <w:color w:val="000000"/>
        </w:rPr>
        <w:t xml:space="preserve">ůh svět v modu </w:t>
      </w:r>
      <w:r w:rsidR="08B90062" w:rsidRPr="08B90062">
        <w:rPr>
          <w:i/>
          <w:color w:val="000000"/>
        </w:rPr>
        <w:t>semel</w:t>
      </w:r>
      <w:r w:rsidR="08B90062">
        <w:rPr>
          <w:color w:val="000000"/>
        </w:rPr>
        <w:t xml:space="preserve"> doopravdy stvořil. </w:t>
      </w:r>
      <w:r w:rsidR="0035214C" w:rsidRPr="00273106">
        <w:rPr>
          <w:color w:val="000000"/>
        </w:rPr>
        <w:t>Pak můžeme stylem Avicennovy emanace</w:t>
      </w:r>
      <w:r w:rsidR="00761354">
        <w:rPr>
          <w:color w:val="000000"/>
        </w:rPr>
        <w:fldChar w:fldCharType="begin"/>
      </w:r>
      <w:r w:rsidR="00761354">
        <w:instrText xml:space="preserve"> XE "</w:instrText>
      </w:r>
      <w:r w:rsidR="00761354" w:rsidRPr="00C96990">
        <w:rPr>
          <w:color w:val="000000"/>
        </w:rPr>
        <w:instrText>emanace</w:instrText>
      </w:r>
      <w:r w:rsidR="00761354">
        <w:instrText xml:space="preserve">" </w:instrText>
      </w:r>
      <w:r w:rsidR="00761354">
        <w:rPr>
          <w:color w:val="000000"/>
        </w:rPr>
        <w:fldChar w:fldCharType="end"/>
      </w:r>
      <w:r w:rsidR="0035214C" w:rsidRPr="00273106">
        <w:rPr>
          <w:color w:val="000000"/>
        </w:rPr>
        <w:t xml:space="preserve"> nebo analytické dedukce predikovat boží kauzální působení </w:t>
      </w:r>
      <w:r w:rsidR="001374F7">
        <w:rPr>
          <w:color w:val="000000"/>
        </w:rPr>
        <w:t xml:space="preserve">od jeho absolutní substanciality </w:t>
      </w:r>
      <w:r w:rsidR="0035214C" w:rsidRPr="00273106">
        <w:rPr>
          <w:color w:val="000000"/>
        </w:rPr>
        <w:t xml:space="preserve">směrem dolů. </w:t>
      </w:r>
      <w:r w:rsidR="00AA4170">
        <w:rPr>
          <w:color w:val="000000"/>
        </w:rPr>
        <w:t xml:space="preserve">Aristotelik </w:t>
      </w:r>
      <w:r w:rsidR="00F54A85">
        <w:rPr>
          <w:color w:val="000000"/>
        </w:rPr>
        <w:t xml:space="preserve">Grosseteste </w:t>
      </w:r>
      <w:r w:rsidR="00810B0D">
        <w:rPr>
          <w:color w:val="000000"/>
        </w:rPr>
        <w:t xml:space="preserve">ale </w:t>
      </w:r>
      <w:r w:rsidR="00F54A85">
        <w:rPr>
          <w:color w:val="000000"/>
        </w:rPr>
        <w:t>odmítá e</w:t>
      </w:r>
      <w:r w:rsidR="00AD2D59">
        <w:rPr>
          <w:color w:val="000000"/>
        </w:rPr>
        <w:t>manační scénář</w:t>
      </w:r>
      <w:r w:rsidR="08F5764B">
        <w:rPr>
          <w:color w:val="000000"/>
        </w:rPr>
        <w:t xml:space="preserve"> neoplatoniků</w:t>
      </w:r>
      <w:r w:rsidR="08464183">
        <w:rPr>
          <w:color w:val="000000"/>
        </w:rPr>
        <w:t xml:space="preserve">. </w:t>
      </w:r>
      <w:r w:rsidR="00AA4170">
        <w:rPr>
          <w:color w:val="000000"/>
        </w:rPr>
        <w:t>S</w:t>
      </w:r>
      <w:r w:rsidR="00AD2D59">
        <w:rPr>
          <w:color w:val="000000"/>
        </w:rPr>
        <w:t>vět stvo</w:t>
      </w:r>
      <w:r w:rsidR="00810B0D">
        <w:rPr>
          <w:color w:val="000000"/>
        </w:rPr>
        <w:t>řených substancí je dán od boží</w:t>
      </w:r>
      <w:r w:rsidR="00F26DF6">
        <w:rPr>
          <w:color w:val="000000"/>
        </w:rPr>
        <w:t>ho působení</w:t>
      </w:r>
      <w:r w:rsidR="00810B0D">
        <w:rPr>
          <w:color w:val="000000"/>
        </w:rPr>
        <w:t xml:space="preserve"> jako Stvořitele odděleného od stvoření</w:t>
      </w:r>
      <w:r w:rsidR="00AD2D59">
        <w:rPr>
          <w:color w:val="000000"/>
        </w:rPr>
        <w:t xml:space="preserve">, a nikoliv </w:t>
      </w:r>
      <w:r w:rsidR="00DE43C5">
        <w:rPr>
          <w:color w:val="000000"/>
        </w:rPr>
        <w:t xml:space="preserve">přímou emanací </w:t>
      </w:r>
      <w:r w:rsidR="00AD2D59">
        <w:rPr>
          <w:color w:val="000000"/>
        </w:rPr>
        <w:t>od boží substance.</w:t>
      </w:r>
      <w:r w:rsidR="08464183">
        <w:rPr>
          <w:color w:val="000000"/>
        </w:rPr>
        <w:t xml:space="preserve"> To by byl panteismus jako u Davida z Dinantu. </w:t>
      </w:r>
      <w:r w:rsidR="00AD2D59">
        <w:rPr>
          <w:color w:val="000000"/>
        </w:rPr>
        <w:t xml:space="preserve">Ale ontoteologický scénář </w:t>
      </w:r>
      <w:r w:rsidR="00026B0C">
        <w:rPr>
          <w:color w:val="000000"/>
        </w:rPr>
        <w:t>„</w:t>
      </w:r>
      <w:r w:rsidR="00AD2D59">
        <w:rPr>
          <w:color w:val="000000"/>
        </w:rPr>
        <w:t>boha</w:t>
      </w:r>
      <w:r w:rsidR="00026B0C">
        <w:rPr>
          <w:color w:val="000000"/>
        </w:rPr>
        <w:t>–esence“</w:t>
      </w:r>
      <w:r w:rsidR="00AD2D59">
        <w:rPr>
          <w:color w:val="000000"/>
        </w:rPr>
        <w:t xml:space="preserve"> </w:t>
      </w:r>
      <w:r w:rsidR="00F54A85">
        <w:rPr>
          <w:color w:val="000000"/>
        </w:rPr>
        <w:t xml:space="preserve">daný v modu </w:t>
      </w:r>
      <w:r w:rsidR="00F54A85" w:rsidRPr="00F54A85">
        <w:rPr>
          <w:i/>
          <w:color w:val="000000"/>
        </w:rPr>
        <w:t>Oxfordian Fallacy</w:t>
      </w:r>
      <w:r w:rsidR="00924399">
        <w:rPr>
          <w:i/>
          <w:color w:val="000000"/>
        </w:rPr>
        <w:fldChar w:fldCharType="begin"/>
      </w:r>
      <w:r w:rsidR="00924399">
        <w:instrText xml:space="preserve"> XE "</w:instrText>
      </w:r>
      <w:r w:rsidR="00924399" w:rsidRPr="0015798D">
        <w:rPr>
          <w:i/>
        </w:rPr>
        <w:instrText>Oxfordian Fallacy</w:instrText>
      </w:r>
      <w:r w:rsidR="00924399" w:rsidRPr="00C05DF9">
        <w:instrText>:</w:instrText>
      </w:r>
      <w:r w:rsidR="00C05DF9" w:rsidRPr="00C05DF9">
        <w:instrText>ontoteologie</w:instrText>
      </w:r>
      <w:r w:rsidR="00924399">
        <w:instrText xml:space="preserve">" </w:instrText>
      </w:r>
      <w:r w:rsidR="00924399">
        <w:rPr>
          <w:i/>
          <w:color w:val="000000"/>
        </w:rPr>
        <w:fldChar w:fldCharType="end"/>
      </w:r>
      <w:r w:rsidR="00F54A85">
        <w:rPr>
          <w:color w:val="000000"/>
        </w:rPr>
        <w:t xml:space="preserve"> </w:t>
      </w:r>
      <w:r w:rsidR="00AD2D59">
        <w:rPr>
          <w:color w:val="000000"/>
        </w:rPr>
        <w:t xml:space="preserve">postavil první </w:t>
      </w:r>
      <w:r w:rsidR="006B3C21">
        <w:rPr>
          <w:color w:val="000000"/>
        </w:rPr>
        <w:t xml:space="preserve">teoretickou </w:t>
      </w:r>
      <w:r w:rsidR="00AC1CB6">
        <w:rPr>
          <w:color w:val="000000"/>
        </w:rPr>
        <w:t xml:space="preserve">možnost </w:t>
      </w:r>
      <w:r w:rsidR="08214BF4">
        <w:rPr>
          <w:color w:val="000000"/>
        </w:rPr>
        <w:t xml:space="preserve">dedukce </w:t>
      </w:r>
      <w:r w:rsidR="002C4A81">
        <w:rPr>
          <w:color w:val="000000"/>
        </w:rPr>
        <w:t xml:space="preserve">světa </w:t>
      </w:r>
      <w:r w:rsidR="08214BF4" w:rsidRPr="08214BF4">
        <w:rPr>
          <w:i/>
          <w:color w:val="000000"/>
        </w:rPr>
        <w:t>ex nihilo</w:t>
      </w:r>
      <w:r w:rsidR="00AD2D59">
        <w:rPr>
          <w:color w:val="000000"/>
        </w:rPr>
        <w:t>, čili vyvádění</w:t>
      </w:r>
      <w:r w:rsidRPr="00273106">
        <w:rPr>
          <w:color w:val="000000"/>
        </w:rPr>
        <w:t xml:space="preserve"> </w:t>
      </w:r>
      <w:r w:rsidR="00AD2D59">
        <w:rPr>
          <w:color w:val="000000"/>
        </w:rPr>
        <w:t xml:space="preserve">původního božího exemplaru do </w:t>
      </w:r>
      <w:r w:rsidR="009A6F4F">
        <w:rPr>
          <w:color w:val="000000"/>
        </w:rPr>
        <w:t xml:space="preserve">kontingentní </w:t>
      </w:r>
      <w:r w:rsidRPr="00273106">
        <w:rPr>
          <w:color w:val="000000"/>
        </w:rPr>
        <w:t>existence</w:t>
      </w:r>
      <w:r w:rsidR="00AD2D59">
        <w:rPr>
          <w:color w:val="000000"/>
        </w:rPr>
        <w:t xml:space="preserve">. </w:t>
      </w:r>
      <w:r w:rsidR="08856984">
        <w:rPr>
          <w:color w:val="000000"/>
        </w:rPr>
        <w:t xml:space="preserve">Místo </w:t>
      </w:r>
      <w:r w:rsidR="00AC1CB6">
        <w:rPr>
          <w:color w:val="000000"/>
        </w:rPr>
        <w:t xml:space="preserve">Avicennovy </w:t>
      </w:r>
      <w:r w:rsidR="08856984">
        <w:rPr>
          <w:color w:val="000000"/>
        </w:rPr>
        <w:t xml:space="preserve">komitace je zavedena </w:t>
      </w:r>
      <w:r w:rsidR="00AC1CB6">
        <w:rPr>
          <w:color w:val="000000"/>
        </w:rPr>
        <w:t xml:space="preserve">aristotelská </w:t>
      </w:r>
      <w:r w:rsidR="08214BF4">
        <w:rPr>
          <w:color w:val="000000"/>
        </w:rPr>
        <w:t xml:space="preserve">predikace </w:t>
      </w:r>
      <w:r w:rsidR="00AC1CB6">
        <w:rPr>
          <w:color w:val="000000"/>
        </w:rPr>
        <w:t>porretánských hypostází daná v modu kategor</w:t>
      </w:r>
      <w:r w:rsidR="089D244D">
        <w:rPr>
          <w:color w:val="000000"/>
        </w:rPr>
        <w:t>i</w:t>
      </w:r>
      <w:r w:rsidR="00AC1CB6">
        <w:rPr>
          <w:color w:val="000000"/>
        </w:rPr>
        <w:t xml:space="preserve">ální predikace podle </w:t>
      </w:r>
      <w:r w:rsidR="00AC1CB6" w:rsidRPr="00AC1CB6">
        <w:rPr>
          <w:i/>
          <w:color w:val="000000"/>
        </w:rPr>
        <w:t>Oxfordian Fallacy</w:t>
      </w:r>
      <w:r w:rsidR="00AC1CB6">
        <w:rPr>
          <w:color w:val="000000"/>
        </w:rPr>
        <w:t xml:space="preserve">. </w:t>
      </w:r>
      <w:r w:rsidR="009A6F4F">
        <w:rPr>
          <w:color w:val="000000"/>
        </w:rPr>
        <w:t xml:space="preserve">Bůh tvoří </w:t>
      </w:r>
      <w:r w:rsidR="08DF4CB2">
        <w:rPr>
          <w:color w:val="000000"/>
        </w:rPr>
        <w:t xml:space="preserve">svět </w:t>
      </w:r>
      <w:r w:rsidR="00F26DF6" w:rsidRPr="009A6F4F">
        <w:rPr>
          <w:i/>
          <w:color w:val="000000"/>
        </w:rPr>
        <w:t>ex nihilo</w:t>
      </w:r>
      <w:r w:rsidR="00F26DF6">
        <w:rPr>
          <w:i/>
          <w:color w:val="000000"/>
        </w:rPr>
        <w:fldChar w:fldCharType="begin"/>
      </w:r>
      <w:r w:rsidR="00F26DF6">
        <w:instrText xml:space="preserve"> XE "</w:instrText>
      </w:r>
      <w:r w:rsidR="00F26DF6" w:rsidRPr="00C113F1">
        <w:rPr>
          <w:i/>
          <w:color w:val="000000"/>
        </w:rPr>
        <w:instrText>creatio ex nihilo</w:instrText>
      </w:r>
      <w:r w:rsidR="00F26DF6">
        <w:instrText xml:space="preserve">" </w:instrText>
      </w:r>
      <w:r w:rsidR="00F26DF6">
        <w:rPr>
          <w:i/>
          <w:color w:val="000000"/>
        </w:rPr>
        <w:fldChar w:fldCharType="end"/>
      </w:r>
      <w:r w:rsidR="00F26DF6">
        <w:rPr>
          <w:color w:val="000000"/>
        </w:rPr>
        <w:t xml:space="preserve"> </w:t>
      </w:r>
      <w:r w:rsidR="009A6F4F">
        <w:rPr>
          <w:color w:val="000000"/>
        </w:rPr>
        <w:t xml:space="preserve">podle </w:t>
      </w:r>
      <w:r w:rsidR="00F26DF6">
        <w:rPr>
          <w:color w:val="000000"/>
        </w:rPr>
        <w:t xml:space="preserve">objektivního </w:t>
      </w:r>
      <w:r w:rsidR="009A6F4F">
        <w:rPr>
          <w:color w:val="000000"/>
        </w:rPr>
        <w:t>kauzálního scénáře</w:t>
      </w:r>
      <w:r w:rsidR="00C05DF9">
        <w:rPr>
          <w:i/>
          <w:color w:val="000000"/>
        </w:rPr>
        <w:fldChar w:fldCharType="begin"/>
      </w:r>
      <w:r w:rsidR="00C05DF9">
        <w:instrText xml:space="preserve"> XE "</w:instrText>
      </w:r>
      <w:r w:rsidR="00C05DF9" w:rsidRPr="00C05DF9">
        <w:rPr>
          <w:i/>
        </w:rPr>
        <w:instrText>creatio</w:instrText>
      </w:r>
      <w:r w:rsidR="00C05DF9">
        <w:instrText xml:space="preserve"> </w:instrText>
      </w:r>
      <w:r w:rsidR="00C05DF9" w:rsidRPr="008048DD">
        <w:rPr>
          <w:i/>
          <w:color w:val="000000"/>
        </w:rPr>
        <w:instrText>ex nihilo</w:instrText>
      </w:r>
      <w:r w:rsidR="00C05DF9">
        <w:instrText xml:space="preserve">" </w:instrText>
      </w:r>
      <w:r w:rsidR="00C05DF9">
        <w:rPr>
          <w:i/>
          <w:color w:val="000000"/>
        </w:rPr>
        <w:fldChar w:fldCharType="end"/>
      </w:r>
      <w:r w:rsidR="00A6699C">
        <w:rPr>
          <w:color w:val="000000"/>
        </w:rPr>
        <w:t xml:space="preserve">. Ale díky </w:t>
      </w:r>
      <w:r w:rsidR="087078FF">
        <w:rPr>
          <w:color w:val="000000"/>
        </w:rPr>
        <w:t xml:space="preserve">postulaci </w:t>
      </w:r>
      <w:r w:rsidR="00A6699C">
        <w:rPr>
          <w:color w:val="000000"/>
        </w:rPr>
        <w:t xml:space="preserve">boží esence místo kauzality </w:t>
      </w:r>
      <w:r w:rsidR="009A6F4F">
        <w:rPr>
          <w:color w:val="000000"/>
        </w:rPr>
        <w:t xml:space="preserve">je tento </w:t>
      </w:r>
      <w:r w:rsidR="006F38BC">
        <w:rPr>
          <w:color w:val="000000"/>
        </w:rPr>
        <w:t>onto</w:t>
      </w:r>
      <w:r w:rsidR="009A6F4F">
        <w:rPr>
          <w:color w:val="000000"/>
        </w:rPr>
        <w:t>teologický scénář dán v modu avicennovské komitace</w:t>
      </w:r>
      <w:r w:rsidR="00EB71B3">
        <w:rPr>
          <w:color w:val="000000"/>
        </w:rPr>
        <w:fldChar w:fldCharType="begin"/>
      </w:r>
      <w:r w:rsidR="00EB71B3">
        <w:instrText xml:space="preserve"> XE "</w:instrText>
      </w:r>
      <w:r w:rsidR="00EB71B3" w:rsidRPr="00467B7F">
        <w:instrText>komitace</w:instrText>
      </w:r>
      <w:r w:rsidR="00EB71B3">
        <w:instrText xml:space="preserve">" </w:instrText>
      </w:r>
      <w:r w:rsidR="00EB71B3">
        <w:rPr>
          <w:color w:val="000000"/>
        </w:rPr>
        <w:fldChar w:fldCharType="end"/>
      </w:r>
      <w:r w:rsidR="00526871">
        <w:rPr>
          <w:color w:val="000000"/>
        </w:rPr>
        <w:t xml:space="preserve"> </w:t>
      </w:r>
      <w:r w:rsidR="00431F0E">
        <w:rPr>
          <w:color w:val="000000"/>
        </w:rPr>
        <w:t>univočních hypostázovaných forem-esencí se</w:t>
      </w:r>
      <w:r w:rsidR="00526871">
        <w:rPr>
          <w:color w:val="000000"/>
        </w:rPr>
        <w:t>stupující</w:t>
      </w:r>
      <w:r w:rsidR="087078FF">
        <w:rPr>
          <w:color w:val="000000"/>
        </w:rPr>
        <w:t xml:space="preserve">ch na svět </w:t>
      </w:r>
      <w:r w:rsidR="00526871">
        <w:rPr>
          <w:color w:val="000000"/>
        </w:rPr>
        <w:t xml:space="preserve">podle </w:t>
      </w:r>
      <w:r w:rsidR="00526871" w:rsidRPr="00526871">
        <w:rPr>
          <w:i/>
          <w:color w:val="000000"/>
        </w:rPr>
        <w:t>Liber de causis</w:t>
      </w:r>
      <w:r w:rsidR="00274A40">
        <w:rPr>
          <w:i/>
          <w:color w:val="000000"/>
        </w:rPr>
        <w:fldChar w:fldCharType="begin"/>
      </w:r>
      <w:r w:rsidR="00274A40">
        <w:instrText xml:space="preserve"> XE "</w:instrText>
      </w:r>
      <w:r w:rsidR="00274A40" w:rsidRPr="00C46BD8">
        <w:rPr>
          <w:i/>
        </w:rPr>
        <w:instrText>Liber de causis</w:instrText>
      </w:r>
      <w:r w:rsidR="00274A40">
        <w:instrText xml:space="preserve">" </w:instrText>
      </w:r>
      <w:r w:rsidR="00274A40">
        <w:rPr>
          <w:i/>
          <w:color w:val="000000"/>
        </w:rPr>
        <w:fldChar w:fldCharType="end"/>
      </w:r>
      <w:r w:rsidR="00555564">
        <w:rPr>
          <w:color w:val="000000"/>
        </w:rPr>
        <w:t xml:space="preserve">. První averroismus koncipoval boha </w:t>
      </w:r>
      <w:r w:rsidR="00526871">
        <w:rPr>
          <w:color w:val="000000"/>
        </w:rPr>
        <w:t xml:space="preserve">podle </w:t>
      </w:r>
      <w:r w:rsidR="006F38BC">
        <w:rPr>
          <w:color w:val="000000"/>
        </w:rPr>
        <w:t>aristotelské kategoriální predikace</w:t>
      </w:r>
      <w:r w:rsidR="00526871">
        <w:rPr>
          <w:color w:val="000000"/>
        </w:rPr>
        <w:t xml:space="preserve"> </w:t>
      </w:r>
      <w:r w:rsidR="003661EF">
        <w:rPr>
          <w:color w:val="000000"/>
        </w:rPr>
        <w:t xml:space="preserve">dané </w:t>
      </w:r>
      <w:r w:rsidR="00526871">
        <w:rPr>
          <w:color w:val="000000"/>
        </w:rPr>
        <w:t xml:space="preserve">od účinků mezi reálnými substancemi </w:t>
      </w:r>
      <w:r w:rsidR="00555564">
        <w:rPr>
          <w:color w:val="000000"/>
        </w:rPr>
        <w:t xml:space="preserve">a vystupující až </w:t>
      </w:r>
      <w:r w:rsidR="00526871">
        <w:rPr>
          <w:color w:val="000000"/>
        </w:rPr>
        <w:t>k jejich nemateriální první příčině</w:t>
      </w:r>
      <w:r w:rsidR="00CA30C0">
        <w:rPr>
          <w:color w:val="000000"/>
        </w:rPr>
        <w:t xml:space="preserve">. To je cesta k </w:t>
      </w:r>
      <w:r w:rsidR="00AF3F76">
        <w:rPr>
          <w:color w:val="000000"/>
        </w:rPr>
        <w:t xml:space="preserve">nemodernímu </w:t>
      </w:r>
      <w:r w:rsidR="00CA30C0">
        <w:rPr>
          <w:color w:val="000000"/>
        </w:rPr>
        <w:t>bohu podle A</w:t>
      </w:r>
      <w:r w:rsidR="00CA30C0">
        <w:rPr>
          <w:rStyle w:val="ZkladntextKurzvadkovn0pt"/>
          <w:rFonts w:ascii="Calibri" w:eastAsia="Times" w:hAnsi="Calibri"/>
          <w:i w:val="0"/>
          <w:iCs w:val="0"/>
          <w:color w:val="auto"/>
          <w:spacing w:val="0"/>
          <w:sz w:val="24"/>
          <w:u w:val="none"/>
          <w:lang w:val="cs-CZ"/>
        </w:rPr>
        <w:t>verroeso</w:t>
      </w:r>
      <w:r w:rsidR="00555564">
        <w:rPr>
          <w:rStyle w:val="ZkladntextKurzvadkovn0pt"/>
          <w:rFonts w:ascii="Calibri" w:eastAsia="Times" w:hAnsi="Calibri"/>
          <w:i w:val="0"/>
          <w:iCs w:val="0"/>
          <w:color w:val="auto"/>
          <w:spacing w:val="0"/>
          <w:sz w:val="24"/>
          <w:u w:val="none"/>
          <w:lang w:val="cs-CZ"/>
        </w:rPr>
        <w:t>v</w:t>
      </w:r>
      <w:r w:rsidR="00CA30C0">
        <w:rPr>
          <w:rStyle w:val="ZkladntextKurzvadkovn0pt"/>
          <w:rFonts w:ascii="Calibri" w:eastAsia="Times" w:hAnsi="Calibri"/>
          <w:i w:val="0"/>
          <w:iCs w:val="0"/>
          <w:color w:val="auto"/>
          <w:spacing w:val="0"/>
          <w:sz w:val="24"/>
          <w:u w:val="none"/>
          <w:lang w:val="cs-CZ"/>
        </w:rPr>
        <w:t>a</w:t>
      </w:r>
      <w:r w:rsidR="00555564">
        <w:rPr>
          <w:rStyle w:val="ZkladntextKurzvadkovn0pt"/>
          <w:rFonts w:ascii="Calibri" w:eastAsia="Times" w:hAnsi="Calibri"/>
          <w:i w:val="0"/>
          <w:iCs w:val="0"/>
          <w:color w:val="auto"/>
          <w:spacing w:val="0"/>
          <w:sz w:val="24"/>
          <w:u w:val="none"/>
          <w:lang w:val="cs-CZ"/>
        </w:rPr>
        <w:t xml:space="preserve"> velkého komentáře v </w:t>
      </w:r>
      <w:r w:rsidR="00555564" w:rsidRPr="08214BF4">
        <w:rPr>
          <w:rStyle w:val="ZkladntextKurzvadkovn0pt"/>
          <w:rFonts w:ascii="Calibri" w:eastAsia="Times" w:hAnsi="Calibri"/>
          <w:iCs w:val="0"/>
          <w:color w:val="auto"/>
          <w:spacing w:val="0"/>
          <w:sz w:val="24"/>
          <w:u w:val="none"/>
          <w:lang w:val="cs-CZ"/>
        </w:rPr>
        <w:t>Metafyzice</w:t>
      </w:r>
      <w:r w:rsidR="00555564">
        <w:rPr>
          <w:rStyle w:val="ZkladntextKurzvadkovn0pt"/>
          <w:rFonts w:ascii="Calibri" w:eastAsia="Times" w:hAnsi="Calibri"/>
          <w:i w:val="0"/>
          <w:iCs w:val="0"/>
          <w:color w:val="auto"/>
          <w:spacing w:val="0"/>
          <w:sz w:val="24"/>
          <w:u w:val="none"/>
          <w:lang w:val="cs-CZ"/>
        </w:rPr>
        <w:t xml:space="preserve"> (</w:t>
      </w:r>
      <w:r w:rsidR="08464183">
        <w:rPr>
          <w:rStyle w:val="ZkladntextKurzvadkovn0pt"/>
          <w:rFonts w:ascii="Calibri" w:eastAsia="Times" w:hAnsi="Calibri"/>
          <w:i w:val="0"/>
          <w:iCs w:val="0"/>
          <w:color w:val="auto"/>
          <w:spacing w:val="0"/>
          <w:sz w:val="24"/>
          <w:u w:val="none"/>
          <w:lang w:val="cs-CZ"/>
        </w:rPr>
        <w:t xml:space="preserve">OBJ I, </w:t>
      </w:r>
      <w:r w:rsidR="00555564">
        <w:rPr>
          <w:rStyle w:val="ZkladntextKurzvadkovn0pt"/>
          <w:rFonts w:ascii="Calibri" w:eastAsia="Times" w:hAnsi="Calibri"/>
          <w:i w:val="0"/>
          <w:iCs w:val="0"/>
          <w:color w:val="auto"/>
          <w:spacing w:val="0"/>
          <w:sz w:val="24"/>
          <w:u w:val="none"/>
          <w:lang w:val="cs-CZ"/>
        </w:rPr>
        <w:t>kap. 2.4.1)</w:t>
      </w:r>
      <w:r w:rsidR="00555564" w:rsidRPr="00273106">
        <w:rPr>
          <w:rStyle w:val="ZkladntextKurzvadkovn0pt"/>
          <w:rFonts w:ascii="Calibri" w:eastAsia="Times" w:hAnsi="Calibri"/>
          <w:i w:val="0"/>
          <w:iCs w:val="0"/>
          <w:color w:val="auto"/>
          <w:spacing w:val="0"/>
          <w:sz w:val="24"/>
          <w:u w:val="none"/>
          <w:lang w:val="cs-CZ"/>
        </w:rPr>
        <w:t>.</w:t>
      </w:r>
      <w:r w:rsidR="00555564">
        <w:rPr>
          <w:rStyle w:val="ZkladntextKurzvadkovn0pt"/>
          <w:rFonts w:ascii="Calibri" w:eastAsia="Times" w:hAnsi="Calibri"/>
          <w:i w:val="0"/>
          <w:iCs w:val="0"/>
          <w:color w:val="auto"/>
          <w:spacing w:val="0"/>
          <w:sz w:val="24"/>
          <w:szCs w:val="20"/>
          <w:u w:val="none"/>
          <w:lang w:val="cs-CZ" w:eastAsia="en-US"/>
        </w:rPr>
        <w:t xml:space="preserve"> </w:t>
      </w:r>
      <w:r w:rsidR="00AF3F76">
        <w:rPr>
          <w:rStyle w:val="ZkladntextKurzvadkovn0pt"/>
          <w:rFonts w:ascii="Calibri" w:eastAsia="Times" w:hAnsi="Calibri"/>
          <w:i w:val="0"/>
          <w:iCs w:val="0"/>
          <w:color w:val="auto"/>
          <w:spacing w:val="0"/>
          <w:sz w:val="24"/>
          <w:u w:val="none"/>
          <w:lang w:val="cs-CZ"/>
        </w:rPr>
        <w:t xml:space="preserve">Myšlení </w:t>
      </w:r>
      <w:r w:rsidR="003F4494">
        <w:rPr>
          <w:rStyle w:val="ZkladntextKurzvadkovn0pt"/>
          <w:rFonts w:ascii="Calibri" w:eastAsia="Times" w:hAnsi="Calibri"/>
          <w:i w:val="0"/>
          <w:iCs w:val="0"/>
          <w:color w:val="auto"/>
          <w:spacing w:val="0"/>
          <w:sz w:val="24"/>
          <w:u w:val="none"/>
          <w:lang w:val="cs-CZ"/>
        </w:rPr>
        <w:t xml:space="preserve">metafyzika </w:t>
      </w:r>
      <w:r w:rsidR="00AF3F76">
        <w:rPr>
          <w:rStyle w:val="ZkladntextKurzvadkovn0pt"/>
          <w:rFonts w:ascii="Calibri" w:eastAsia="Times" w:hAnsi="Calibri"/>
          <w:i w:val="0"/>
          <w:iCs w:val="0"/>
          <w:color w:val="auto"/>
          <w:spacing w:val="0"/>
          <w:sz w:val="24"/>
          <w:u w:val="none"/>
          <w:lang w:val="cs-CZ"/>
        </w:rPr>
        <w:t xml:space="preserve">dané kauzalitou prvních substancí </w:t>
      </w:r>
      <w:r w:rsidR="08214BF4">
        <w:rPr>
          <w:rStyle w:val="ZkladntextKurzvadkovn0pt"/>
          <w:rFonts w:ascii="Calibri" w:eastAsia="Times" w:hAnsi="Calibri"/>
          <w:i w:val="0"/>
          <w:iCs w:val="0"/>
          <w:color w:val="auto"/>
          <w:spacing w:val="0"/>
          <w:sz w:val="24"/>
          <w:u w:val="none"/>
          <w:lang w:val="cs-CZ"/>
        </w:rPr>
        <w:t xml:space="preserve">pouze </w:t>
      </w:r>
      <w:r w:rsidR="00AF3F76">
        <w:rPr>
          <w:rStyle w:val="ZkladntextKurzvadkovn0pt"/>
          <w:rFonts w:ascii="Calibri" w:eastAsia="Times" w:hAnsi="Calibri"/>
          <w:i w:val="0"/>
          <w:iCs w:val="0"/>
          <w:color w:val="auto"/>
          <w:spacing w:val="0"/>
          <w:sz w:val="24"/>
          <w:u w:val="none"/>
          <w:lang w:val="cs-CZ"/>
        </w:rPr>
        <w:t xml:space="preserve">směřuje </w:t>
      </w:r>
      <w:r w:rsidR="00AF3F76" w:rsidRPr="00273106">
        <w:rPr>
          <w:rStyle w:val="ZkladntextKurzvadkovn0pt"/>
          <w:rFonts w:ascii="Calibri" w:eastAsia="Times" w:hAnsi="Calibri"/>
          <w:i w:val="0"/>
          <w:iCs w:val="0"/>
          <w:color w:val="auto"/>
          <w:spacing w:val="0"/>
          <w:sz w:val="24"/>
          <w:u w:val="none"/>
          <w:lang w:val="cs-CZ"/>
        </w:rPr>
        <w:t>k</w:t>
      </w:r>
      <w:r w:rsidR="08214BF4">
        <w:rPr>
          <w:rStyle w:val="ZkladntextKurzvadkovn0pt"/>
          <w:rFonts w:ascii="Calibri" w:eastAsia="Times" w:hAnsi="Calibri"/>
          <w:i w:val="0"/>
          <w:iCs w:val="0"/>
          <w:color w:val="auto"/>
          <w:spacing w:val="0"/>
          <w:sz w:val="24"/>
          <w:u w:val="none"/>
          <w:lang w:val="cs-CZ"/>
        </w:rPr>
        <w:t>e zcela</w:t>
      </w:r>
      <w:r w:rsidR="00AF3F76" w:rsidRPr="00273106">
        <w:rPr>
          <w:rStyle w:val="ZkladntextKurzvadkovn0pt"/>
          <w:rFonts w:ascii="Calibri" w:eastAsia="Times" w:hAnsi="Calibri"/>
          <w:i w:val="0"/>
          <w:iCs w:val="0"/>
          <w:color w:val="auto"/>
          <w:spacing w:val="0"/>
          <w:sz w:val="24"/>
          <w:u w:val="none"/>
          <w:lang w:val="cs-CZ"/>
        </w:rPr>
        <w:t xml:space="preserve"> </w:t>
      </w:r>
      <w:r w:rsidR="00AF3F76">
        <w:rPr>
          <w:rStyle w:val="ZkladntextKurzvadkovn0pt"/>
          <w:rFonts w:ascii="Calibri" w:eastAsia="Times" w:hAnsi="Calibri"/>
          <w:i w:val="0"/>
          <w:iCs w:val="0"/>
          <w:color w:val="auto"/>
          <w:spacing w:val="0"/>
          <w:sz w:val="24"/>
          <w:u w:val="none"/>
          <w:lang w:val="cs-CZ"/>
        </w:rPr>
        <w:t xml:space="preserve">oddělené </w:t>
      </w:r>
      <w:r w:rsidR="00AF3F76" w:rsidRPr="00273106">
        <w:rPr>
          <w:rStyle w:val="ZkladntextKurzvadkovn0pt"/>
          <w:rFonts w:ascii="Calibri" w:eastAsia="Times" w:hAnsi="Calibri"/>
          <w:i w:val="0"/>
          <w:iCs w:val="0"/>
          <w:color w:val="auto"/>
          <w:spacing w:val="0"/>
          <w:sz w:val="24"/>
          <w:u w:val="none"/>
          <w:lang w:val="cs-CZ"/>
        </w:rPr>
        <w:t xml:space="preserve">existenci </w:t>
      </w:r>
      <w:r w:rsidR="00AF3F76">
        <w:rPr>
          <w:rStyle w:val="ZkladntextKurzvadkovn0pt"/>
          <w:rFonts w:ascii="Calibri" w:eastAsia="Times" w:hAnsi="Calibri"/>
          <w:i w:val="0"/>
          <w:iCs w:val="0"/>
          <w:color w:val="auto"/>
          <w:spacing w:val="0"/>
          <w:sz w:val="24"/>
          <w:u w:val="none"/>
          <w:lang w:val="cs-CZ"/>
        </w:rPr>
        <w:t>boha, který se ukazuje apodiktickému myšlení v modu kauzality jako První hybatel</w:t>
      </w:r>
      <w:r w:rsidR="00AF3F76" w:rsidRPr="00273106">
        <w:rPr>
          <w:rStyle w:val="ZkladntextKurzvadkovn0pt"/>
          <w:rFonts w:ascii="Calibri" w:eastAsia="Times" w:hAnsi="Calibri"/>
          <w:i w:val="0"/>
          <w:iCs w:val="0"/>
          <w:color w:val="auto"/>
          <w:spacing w:val="0"/>
          <w:sz w:val="24"/>
          <w:u w:val="none"/>
          <w:lang w:val="cs-CZ"/>
        </w:rPr>
        <w:t>.</w:t>
      </w:r>
      <w:r w:rsidR="00AF3F76">
        <w:rPr>
          <w:rStyle w:val="ZkladntextKurzvadkovn0pt"/>
          <w:rFonts w:ascii="Calibri" w:eastAsia="Times" w:hAnsi="Calibri"/>
          <w:i w:val="0"/>
          <w:iCs w:val="0"/>
          <w:color w:val="auto"/>
          <w:spacing w:val="0"/>
          <w:sz w:val="24"/>
          <w:u w:val="none"/>
          <w:lang w:val="cs-CZ"/>
        </w:rPr>
        <w:t xml:space="preserve"> </w:t>
      </w:r>
      <w:r w:rsidR="003F4494">
        <w:rPr>
          <w:rStyle w:val="ZkladntextKurzvadkovn0pt"/>
          <w:rFonts w:ascii="Calibri" w:eastAsia="Times" w:hAnsi="Calibri"/>
          <w:i w:val="0"/>
          <w:iCs w:val="0"/>
          <w:color w:val="auto"/>
          <w:spacing w:val="0"/>
          <w:sz w:val="24"/>
          <w:u w:val="none"/>
          <w:lang w:val="cs-CZ"/>
        </w:rPr>
        <w:t xml:space="preserve">Averroesův </w:t>
      </w:r>
      <w:r w:rsidR="00555564">
        <w:rPr>
          <w:rStyle w:val="ZkladntextKurzvadkovn0pt"/>
          <w:rFonts w:ascii="Calibri" w:eastAsia="Times" w:hAnsi="Calibri"/>
          <w:i w:val="0"/>
          <w:iCs w:val="0"/>
          <w:color w:val="auto"/>
          <w:spacing w:val="0"/>
          <w:sz w:val="24"/>
          <w:u w:val="none"/>
          <w:lang w:val="cs-CZ"/>
        </w:rPr>
        <w:t>důkaz</w:t>
      </w:r>
      <w:r w:rsidR="00555564" w:rsidRPr="00273106">
        <w:rPr>
          <w:rStyle w:val="ZkladntextKurzvadkovn0pt"/>
          <w:rFonts w:ascii="Calibri" w:eastAsia="Times" w:hAnsi="Calibri"/>
          <w:i w:val="0"/>
          <w:iCs w:val="0"/>
          <w:color w:val="auto"/>
          <w:spacing w:val="0"/>
          <w:sz w:val="24"/>
          <w:u w:val="none"/>
          <w:lang w:val="cs-CZ"/>
        </w:rPr>
        <w:t xml:space="preserve"> </w:t>
      </w:r>
      <w:r w:rsidR="00555564" w:rsidRPr="00273106">
        <w:rPr>
          <w:rStyle w:val="Zkladntext1"/>
          <w:rFonts w:ascii="Calibri" w:eastAsia="Times" w:hAnsi="Calibri"/>
          <w:color w:val="auto"/>
          <w:spacing w:val="0"/>
          <w:sz w:val="24"/>
          <w:u w:val="none"/>
          <w:lang w:val="cs-CZ"/>
        </w:rPr>
        <w:t>(</w:t>
      </w:r>
      <w:r w:rsidR="00555564" w:rsidRPr="00273106">
        <w:rPr>
          <w:rStyle w:val="ZkladntextKurzvadkovn0pt"/>
          <w:rFonts w:ascii="Calibri" w:eastAsia="Times" w:hAnsi="Calibri"/>
          <w:iCs w:val="0"/>
          <w:color w:val="auto"/>
          <w:spacing w:val="0"/>
          <w:sz w:val="24"/>
          <w:u w:val="none"/>
          <w:lang w:val="cs-CZ"/>
        </w:rPr>
        <w:t>dalā'il</w:t>
      </w:r>
      <w:r w:rsidR="00555564">
        <w:rPr>
          <w:rStyle w:val="ZkladntextKurzvadkovn0pt"/>
          <w:rFonts w:ascii="Calibri" w:eastAsia="Times" w:hAnsi="Calibri"/>
          <w:iCs w:val="0"/>
          <w:color w:val="auto"/>
          <w:spacing w:val="0"/>
          <w:sz w:val="24"/>
          <w:u w:val="none"/>
          <w:lang w:val="cs-CZ"/>
        </w:rPr>
        <w:fldChar w:fldCharType="begin"/>
      </w:r>
      <w:r w:rsidR="00555564">
        <w:instrText xml:space="preserve"> XE "</w:instrText>
      </w:r>
      <w:r w:rsidR="00555564" w:rsidRPr="009965D3">
        <w:rPr>
          <w:rStyle w:val="ZkladntextKurzvadkovn0pt"/>
          <w:rFonts w:ascii="Calibri" w:eastAsia="Times" w:hAnsi="Calibri"/>
          <w:iCs w:val="0"/>
          <w:color w:val="auto"/>
          <w:spacing w:val="0"/>
          <w:sz w:val="24"/>
          <w:u w:val="none"/>
          <w:lang w:val="cs-CZ"/>
        </w:rPr>
        <w:instrText>dalā'il</w:instrText>
      </w:r>
      <w:r w:rsidR="00555564">
        <w:instrText xml:space="preserve">" </w:instrText>
      </w:r>
      <w:r w:rsidR="00555564">
        <w:rPr>
          <w:rStyle w:val="ZkladntextKurzvadkovn0pt"/>
          <w:rFonts w:ascii="Calibri" w:eastAsia="Times" w:hAnsi="Calibri"/>
          <w:iCs w:val="0"/>
          <w:color w:val="auto"/>
          <w:spacing w:val="0"/>
          <w:sz w:val="24"/>
          <w:u w:val="none"/>
          <w:lang w:val="cs-CZ"/>
        </w:rPr>
        <w:fldChar w:fldCharType="end"/>
      </w:r>
      <w:r w:rsidR="00555564" w:rsidRPr="00273106">
        <w:rPr>
          <w:rStyle w:val="ZkladntextKurzvadkovn0pt"/>
          <w:rFonts w:ascii="Calibri" w:eastAsia="Times" w:hAnsi="Calibri"/>
          <w:i w:val="0"/>
          <w:iCs w:val="0"/>
          <w:color w:val="auto"/>
          <w:spacing w:val="0"/>
          <w:sz w:val="24"/>
          <w:u w:val="none"/>
          <w:lang w:val="cs-CZ"/>
        </w:rPr>
        <w:t xml:space="preserve">) </w:t>
      </w:r>
      <w:r w:rsidR="00555564">
        <w:rPr>
          <w:rStyle w:val="ZkladntextKurzvadkovn0pt"/>
          <w:rFonts w:ascii="Calibri" w:eastAsia="Times" w:hAnsi="Calibri"/>
          <w:i w:val="0"/>
          <w:iCs w:val="0"/>
          <w:color w:val="auto"/>
          <w:spacing w:val="0"/>
          <w:sz w:val="24"/>
          <w:u w:val="none"/>
          <w:lang w:val="cs-CZ"/>
        </w:rPr>
        <w:t>později první averroismus definoval j</w:t>
      </w:r>
      <w:r w:rsidR="08214BF4">
        <w:rPr>
          <w:rStyle w:val="ZkladntextKurzvadkovn0pt"/>
          <w:rFonts w:ascii="Calibri" w:eastAsia="Times" w:hAnsi="Calibri"/>
          <w:i w:val="0"/>
          <w:iCs w:val="0"/>
          <w:color w:val="auto"/>
          <w:spacing w:val="0"/>
          <w:sz w:val="24"/>
          <w:u w:val="none"/>
          <w:lang w:val="cs-CZ"/>
        </w:rPr>
        <w:t>ako cestu</w:t>
      </w:r>
      <w:r w:rsidR="00555564" w:rsidRPr="00273106">
        <w:rPr>
          <w:rStyle w:val="ZkladntextKurzvadkovn0pt"/>
          <w:rFonts w:ascii="Calibri" w:eastAsia="Times" w:hAnsi="Calibri"/>
          <w:i w:val="0"/>
          <w:iCs w:val="0"/>
          <w:color w:val="auto"/>
          <w:spacing w:val="0"/>
          <w:sz w:val="24"/>
          <w:u w:val="none"/>
          <w:lang w:val="cs-CZ"/>
        </w:rPr>
        <w:t xml:space="preserve"> (</w:t>
      </w:r>
      <w:r w:rsidR="00555564" w:rsidRPr="00273106">
        <w:rPr>
          <w:rStyle w:val="ZkladntextKurzvadkovn0pt"/>
          <w:rFonts w:ascii="Calibri" w:eastAsia="Times" w:hAnsi="Calibri"/>
          <w:iCs w:val="0"/>
          <w:color w:val="auto"/>
          <w:spacing w:val="0"/>
          <w:sz w:val="24"/>
          <w:u w:val="none"/>
          <w:lang w:val="cs-CZ"/>
        </w:rPr>
        <w:t>via</w:t>
      </w:r>
      <w:r w:rsidR="00555564" w:rsidRPr="00273106">
        <w:rPr>
          <w:rStyle w:val="ZkladntextKurzvadkovn0pt"/>
          <w:rFonts w:ascii="Calibri" w:eastAsia="Times" w:hAnsi="Calibri"/>
          <w:i w:val="0"/>
          <w:iCs w:val="0"/>
          <w:color w:val="auto"/>
          <w:spacing w:val="0"/>
          <w:sz w:val="24"/>
          <w:u w:val="none"/>
          <w:lang w:val="cs-CZ"/>
        </w:rPr>
        <w:t>)</w:t>
      </w:r>
      <w:r w:rsidR="003F4494">
        <w:rPr>
          <w:rStyle w:val="ZkladntextKurzvadkovn0pt"/>
          <w:rFonts w:ascii="Calibri" w:eastAsia="Times" w:hAnsi="Calibri"/>
          <w:i w:val="0"/>
          <w:iCs w:val="0"/>
          <w:color w:val="auto"/>
          <w:spacing w:val="0"/>
          <w:sz w:val="24"/>
          <w:u w:val="none"/>
          <w:lang w:val="cs-CZ"/>
        </w:rPr>
        <w:t xml:space="preserve"> myšlení k bohu. </w:t>
      </w:r>
      <w:r w:rsidR="004F266F">
        <w:rPr>
          <w:color w:val="000000"/>
        </w:rPr>
        <w:t xml:space="preserve">Autentický aristotelismus se staral jen o vědecky poznatelné účinky </w:t>
      </w:r>
      <w:r w:rsidR="004F266F" w:rsidRPr="003C2F29">
        <w:rPr>
          <w:i/>
          <w:color w:val="000000"/>
        </w:rPr>
        <w:t>causa prima</w:t>
      </w:r>
      <w:r w:rsidR="004F266F">
        <w:rPr>
          <w:color w:val="000000"/>
        </w:rPr>
        <w:t xml:space="preserve"> ve stvoření. První averroismus nechal boha být bohem, protože otázka zjevení </w:t>
      </w:r>
      <w:r w:rsidR="08886D46">
        <w:rPr>
          <w:color w:val="000000"/>
        </w:rPr>
        <w:t xml:space="preserve">boha v </w:t>
      </w:r>
      <w:r w:rsidR="08886D46">
        <w:rPr>
          <w:color w:val="000000"/>
        </w:rPr>
        <w:lastRenderedPageBreak/>
        <w:t xml:space="preserve">jemu vlastním bytí </w:t>
      </w:r>
      <w:r w:rsidR="004F266F">
        <w:rPr>
          <w:color w:val="000000"/>
        </w:rPr>
        <w:t xml:space="preserve">nepatří do filosofie. </w:t>
      </w:r>
      <w:r w:rsidR="08886D46">
        <w:rPr>
          <w:color w:val="000000"/>
        </w:rPr>
        <w:t>Bůh má jedinečné esenciální a ipseitní bytí v maximální míře, proto je nutná maximální opa</w:t>
      </w:r>
      <w:r w:rsidR="088924FB">
        <w:rPr>
          <w:color w:val="000000"/>
        </w:rPr>
        <w:t>trnost při univerzální predikaci</w:t>
      </w:r>
      <w:r w:rsidR="08886D46">
        <w:rPr>
          <w:color w:val="000000"/>
        </w:rPr>
        <w:t xml:space="preserve"> jeho hyparchické kauzality. Mytopoetický iluminát je naprosto </w:t>
      </w:r>
      <w:r w:rsidR="082F22B9">
        <w:rPr>
          <w:color w:val="000000"/>
        </w:rPr>
        <w:t>okouzlem svým božským ido</w:t>
      </w:r>
      <w:r w:rsidR="08886D46">
        <w:rPr>
          <w:color w:val="000000"/>
        </w:rPr>
        <w:t>lem a rád o něm akademicky spekuluje, dokonce i po postmoderní smrti tohoto nejvyššího simulákra.</w:t>
      </w:r>
    </w:p>
    <w:p w14:paraId="54530BC6" w14:textId="5FF62E6F" w:rsidR="0012189F" w:rsidRDefault="00EC722B" w:rsidP="00775895">
      <w:pPr>
        <w:ind w:firstLine="397"/>
        <w:rPr>
          <w:rStyle w:val="ZkladntextKurzvadkovn0pt"/>
          <w:rFonts w:ascii="Calibri" w:eastAsia="Times" w:hAnsi="Calibri"/>
          <w:i w:val="0"/>
          <w:iCs w:val="0"/>
          <w:color w:val="auto"/>
          <w:spacing w:val="0"/>
          <w:sz w:val="24"/>
          <w:u w:val="none"/>
          <w:lang w:val="cs-CZ"/>
        </w:rPr>
      </w:pPr>
      <w:r w:rsidRPr="00273106">
        <w:t xml:space="preserve">Grossetesteho komentář </w:t>
      </w:r>
      <w:r w:rsidR="006218EF">
        <w:t xml:space="preserve">založil </w:t>
      </w:r>
      <w:r w:rsidRPr="00273106">
        <w:t>univoční pojetí kauzality a esence</w:t>
      </w:r>
      <w:r w:rsidR="006218EF">
        <w:t xml:space="preserve">. Tím </w:t>
      </w:r>
      <w:r w:rsidRPr="00273106">
        <w:t xml:space="preserve">rozšířil </w:t>
      </w:r>
      <w:r w:rsidR="006218EF">
        <w:t xml:space="preserve">abstraktně danou definici kauzality a takto dané poznání </w:t>
      </w:r>
      <w:r w:rsidRPr="00273106">
        <w:t xml:space="preserve">zdůvodnil </w:t>
      </w:r>
      <w:r w:rsidR="006218EF">
        <w:t>pomocí nové ontoteologie</w:t>
      </w:r>
      <w:r w:rsidRPr="00273106">
        <w:t xml:space="preserve">. </w:t>
      </w:r>
      <w:r>
        <w:rPr>
          <w:color w:val="000000"/>
        </w:rPr>
        <w:t>Hyparchické bytí boha jako první příčiny bylo vyměněno za proarchické bytí boha jako první esence</w:t>
      </w:r>
      <w:r w:rsidR="08CA4F38">
        <w:rPr>
          <w:color w:val="000000"/>
        </w:rPr>
        <w:t>, viz Porfyrius (</w:t>
      </w:r>
      <w:r w:rsidR="08CA4F38" w:rsidRPr="08CA4F38">
        <w:rPr>
          <w:szCs w:val="24"/>
        </w:rPr>
        <w:t xml:space="preserve">OBJ </w:t>
      </w:r>
      <w:r w:rsidR="08CA4F38">
        <w:rPr>
          <w:szCs w:val="24"/>
        </w:rPr>
        <w:t>I, k</w:t>
      </w:r>
      <w:r w:rsidR="08CA4F38" w:rsidRPr="08CA4F38">
        <w:rPr>
          <w:szCs w:val="24"/>
        </w:rPr>
        <w:t xml:space="preserve">ap. </w:t>
      </w:r>
      <w:r w:rsidR="08CA4F38">
        <w:t>1.3</w:t>
      </w:r>
      <w:r w:rsidR="08CA4F38" w:rsidRPr="00273106">
        <w:t>.1</w:t>
      </w:r>
      <w:r w:rsidR="08CA4F38">
        <w:rPr>
          <w:color w:val="000000"/>
        </w:rPr>
        <w:t>)</w:t>
      </w:r>
      <w:r>
        <w:rPr>
          <w:color w:val="000000"/>
        </w:rPr>
        <w:t xml:space="preserve">. Tato záměna v modu </w:t>
      </w:r>
      <w:r w:rsidRPr="00473D67">
        <w:rPr>
          <w:i/>
          <w:color w:val="000000"/>
        </w:rPr>
        <w:t>Es gibt</w:t>
      </w:r>
      <w:r>
        <w:rPr>
          <w:i/>
          <w:color w:val="000000"/>
        </w:rPr>
        <w:fldChar w:fldCharType="begin"/>
      </w:r>
      <w:r>
        <w:instrText xml:space="preserve"> XE "</w:instrText>
      </w:r>
      <w:r w:rsidRPr="001D1FF0">
        <w:rPr>
          <w:i/>
          <w:color w:val="000000"/>
        </w:rPr>
        <w:instrText>Es gibt</w:instrText>
      </w:r>
      <w:r>
        <w:instrText xml:space="preserve">" </w:instrText>
      </w:r>
      <w:r>
        <w:rPr>
          <w:i/>
          <w:color w:val="000000"/>
        </w:rPr>
        <w:fldChar w:fldCharType="end"/>
      </w:r>
      <w:r>
        <w:rPr>
          <w:color w:val="000000"/>
        </w:rPr>
        <w:t xml:space="preserve"> podle </w:t>
      </w:r>
      <w:r w:rsidRPr="00473D67">
        <w:rPr>
          <w:i/>
          <w:color w:val="000000"/>
        </w:rPr>
        <w:t>Oxfordian Fallacy</w:t>
      </w:r>
      <w:r>
        <w:rPr>
          <w:i/>
          <w:color w:val="000000"/>
        </w:rPr>
        <w:fldChar w:fldCharType="begin"/>
      </w:r>
      <w:r>
        <w:instrText xml:space="preserve"> XE "</w:instrText>
      </w:r>
      <w:r w:rsidRPr="0015798D">
        <w:rPr>
          <w:i/>
        </w:rPr>
        <w:instrText>Oxfordian Fallacy:</w:instrText>
      </w:r>
      <w:r w:rsidRPr="00CE5E63">
        <w:instrText>ontoteologie</w:instrText>
      </w:r>
      <w:r>
        <w:instrText xml:space="preserve">" </w:instrText>
      </w:r>
      <w:r>
        <w:rPr>
          <w:i/>
          <w:color w:val="000000"/>
        </w:rPr>
        <w:fldChar w:fldCharType="end"/>
      </w:r>
      <w:r w:rsidR="007C2F7B">
        <w:rPr>
          <w:color w:val="000000"/>
        </w:rPr>
        <w:t xml:space="preserve"> vytvořila základ událost moderní metafyziky </w:t>
      </w:r>
      <w:r w:rsidR="007C2F7B">
        <w:t>(</w:t>
      </w:r>
      <w:r w:rsidR="007C2F7B" w:rsidRPr="0014749C">
        <w:rPr>
          <w:i/>
        </w:rPr>
        <w:t>Ereignis</w:t>
      </w:r>
      <w:r w:rsidR="007C2F7B">
        <w:rPr>
          <w:i/>
        </w:rPr>
        <w:fldChar w:fldCharType="begin"/>
      </w:r>
      <w:r w:rsidR="007C2F7B">
        <w:instrText xml:space="preserve"> XE "</w:instrText>
      </w:r>
      <w:r w:rsidR="007C2F7B" w:rsidRPr="00083EE8">
        <w:rPr>
          <w:i/>
        </w:rPr>
        <w:instrText>Ereignis</w:instrText>
      </w:r>
      <w:r w:rsidR="007C2F7B">
        <w:instrText xml:space="preserve">" </w:instrText>
      </w:r>
      <w:r w:rsidR="007C2F7B">
        <w:rPr>
          <w:i/>
        </w:rPr>
        <w:fldChar w:fldCharType="end"/>
      </w:r>
      <w:r w:rsidR="007C2F7B">
        <w:t xml:space="preserve">), která vedla ke smrti </w:t>
      </w:r>
      <w:r>
        <w:rPr>
          <w:color w:val="000000"/>
        </w:rPr>
        <w:t xml:space="preserve">západního boha </w:t>
      </w:r>
      <w:r w:rsidRPr="0020453A">
        <w:rPr>
          <w:i/>
          <w:color w:val="000000"/>
        </w:rPr>
        <w:t>Modernorum</w:t>
      </w:r>
      <w:r>
        <w:rPr>
          <w:color w:val="000000"/>
        </w:rPr>
        <w:fldChar w:fldCharType="begin"/>
      </w:r>
      <w:r>
        <w:instrText xml:space="preserve"> XE "smrt boha" </w:instrText>
      </w:r>
      <w:r>
        <w:rPr>
          <w:color w:val="000000"/>
        </w:rPr>
        <w:fldChar w:fldCharType="end"/>
      </w:r>
      <w:r w:rsidR="089B3B8C">
        <w:rPr>
          <w:color w:val="000000"/>
        </w:rPr>
        <w:t>. T</w:t>
      </w:r>
      <w:r>
        <w:rPr>
          <w:color w:val="000000"/>
        </w:rPr>
        <w:t xml:space="preserve">emnotu světa danou skrze zatmění boha </w:t>
      </w:r>
      <w:r w:rsidRPr="00586A10">
        <w:rPr>
          <w:i/>
          <w:color w:val="000000"/>
        </w:rPr>
        <w:t>Modernorum</w:t>
      </w:r>
      <w:r>
        <w:rPr>
          <w:color w:val="000000"/>
        </w:rPr>
        <w:t xml:space="preserve"> popisuje Heideggerův termín </w:t>
      </w:r>
      <w:r w:rsidR="003A1A27">
        <w:rPr>
          <w:color w:val="000000"/>
        </w:rPr>
        <w:t>„</w:t>
      </w:r>
      <w:r w:rsidRPr="00586A10">
        <w:rPr>
          <w:i/>
          <w:color w:val="000000"/>
        </w:rPr>
        <w:t>Fehl Gottes</w:t>
      </w:r>
      <w:r w:rsidR="003A1A27">
        <w:rPr>
          <w:color w:val="000000"/>
        </w:rPr>
        <w:t>“</w:t>
      </w:r>
      <w:r>
        <w:rPr>
          <w:i/>
          <w:color w:val="000000"/>
        </w:rPr>
        <w:fldChar w:fldCharType="begin"/>
      </w:r>
      <w:r>
        <w:instrText xml:space="preserve"> XE "</w:instrText>
      </w:r>
      <w:r w:rsidRPr="00B17D4F">
        <w:rPr>
          <w:i/>
          <w:color w:val="000000"/>
        </w:rPr>
        <w:instrText>Fehl Gottes</w:instrText>
      </w:r>
      <w:r>
        <w:instrText xml:space="preserve">" </w:instrText>
      </w:r>
      <w:r>
        <w:rPr>
          <w:i/>
          <w:color w:val="000000"/>
        </w:rPr>
        <w:fldChar w:fldCharType="end"/>
      </w:r>
      <w:r>
        <w:rPr>
          <w:color w:val="000000"/>
        </w:rPr>
        <w:t xml:space="preserve"> v návaznosti na poetické vidění světa podle Hölderlina</w:t>
      </w:r>
      <w:r>
        <w:rPr>
          <w:color w:val="000000"/>
        </w:rPr>
        <w:fldChar w:fldCharType="begin"/>
      </w:r>
      <w:r>
        <w:instrText xml:space="preserve"> XE "</w:instrText>
      </w:r>
      <w:r w:rsidRPr="00BF1628">
        <w:rPr>
          <w:color w:val="000000"/>
        </w:rPr>
        <w:instrText>Hölderlin, F.</w:instrText>
      </w:r>
      <w:r>
        <w:instrText xml:space="preserve">" </w:instrText>
      </w:r>
      <w:r>
        <w:rPr>
          <w:color w:val="000000"/>
        </w:rPr>
        <w:fldChar w:fldCharType="end"/>
      </w:r>
      <w:r>
        <w:rPr>
          <w:color w:val="000000"/>
        </w:rPr>
        <w:t>.</w:t>
      </w:r>
      <w:r>
        <w:rPr>
          <w:rStyle w:val="Znakapoznpodarou"/>
          <w:color w:val="000000"/>
        </w:rPr>
        <w:footnoteReference w:id="303"/>
      </w:r>
      <w:r w:rsidR="08E64B32">
        <w:rPr>
          <w:color w:val="000000"/>
        </w:rPr>
        <w:t xml:space="preserve"> </w:t>
      </w:r>
      <w:r>
        <w:rPr>
          <w:color w:val="000000"/>
        </w:rPr>
        <w:t xml:space="preserve">Epochální zmizení moderního boha uzavře Nietzsche napsáním úmrtního listu a brilantní konstatací nastalého </w:t>
      </w:r>
      <w:r w:rsidRPr="0020453A">
        <w:rPr>
          <w:i/>
        </w:rPr>
        <w:t>rigor mortis</w:t>
      </w:r>
      <w:r>
        <w:rPr>
          <w:color w:val="000000"/>
        </w:rPr>
        <w:t xml:space="preserve"> </w:t>
      </w:r>
      <w:r w:rsidR="081E07EB">
        <w:rPr>
          <w:color w:val="000000"/>
        </w:rPr>
        <w:t xml:space="preserve">ontoteologie </w:t>
      </w:r>
      <w:r>
        <w:rPr>
          <w:color w:val="000000"/>
        </w:rPr>
        <w:t>v nih</w:t>
      </w:r>
      <w:r w:rsidR="08C81228">
        <w:rPr>
          <w:color w:val="000000"/>
        </w:rPr>
        <w:t>ilistickém myšlení postmoderny.</w:t>
      </w:r>
      <w:r w:rsidR="080E4B11">
        <w:rPr>
          <w:color w:val="000000"/>
        </w:rPr>
        <w:t xml:space="preserve"> </w:t>
      </w:r>
      <w:r w:rsidR="001A48FE" w:rsidRPr="001A48FE">
        <w:rPr>
          <w:color w:val="000000"/>
        </w:rPr>
        <w:t xml:space="preserve">Nietzsche uzavírá epochální zánik moderního Boha sepsáním jeho úmrtního listu a brilantním konstatováním </w:t>
      </w:r>
      <w:r w:rsidR="001A48FE" w:rsidRPr="001A48FE">
        <w:rPr>
          <w:i/>
          <w:color w:val="000000"/>
        </w:rPr>
        <w:t>rigor mortis</w:t>
      </w:r>
      <w:r w:rsidR="001A48FE" w:rsidRPr="001A48FE">
        <w:rPr>
          <w:color w:val="000000"/>
        </w:rPr>
        <w:t xml:space="preserve"> </w:t>
      </w:r>
      <w:r w:rsidR="001A48FE">
        <w:rPr>
          <w:color w:val="000000"/>
        </w:rPr>
        <w:t xml:space="preserve">tehdejší </w:t>
      </w:r>
      <w:r w:rsidR="001A48FE" w:rsidRPr="001A48FE">
        <w:rPr>
          <w:color w:val="000000"/>
        </w:rPr>
        <w:t xml:space="preserve">ontoteologie. Její zánik předznamenal nihilistické myšlení, které vzešlo z postmoderny Descarta. </w:t>
      </w:r>
      <w:r>
        <w:rPr>
          <w:color w:val="000000"/>
        </w:rPr>
        <w:t xml:space="preserve">Zatměním první substance a zavedením boha na popraviště moderního rozumu </w:t>
      </w:r>
      <w:r w:rsidRPr="00273106">
        <w:t xml:space="preserve">padl první a nejdůležitější princip poznání daný </w:t>
      </w:r>
      <w:r w:rsidR="00010B8E">
        <w:rPr>
          <w:i/>
        </w:rPr>
        <w:t>inmediate</w:t>
      </w:r>
      <w:r w:rsidRPr="00273106">
        <w:t xml:space="preserve"> od první </w:t>
      </w:r>
      <w:r w:rsidR="002E05A7">
        <w:t>substance.</w:t>
      </w:r>
      <w:r w:rsidR="087E4ACD">
        <w:t xml:space="preserve"> </w:t>
      </w:r>
      <w:r w:rsidR="087E4ACD">
        <w:rPr>
          <w:rStyle w:val="ZkladntextKurzvadkovn0pt"/>
          <w:rFonts w:ascii="Calibri" w:eastAsia="Times" w:hAnsi="Calibri"/>
          <w:i w:val="0"/>
          <w:iCs w:val="0"/>
          <w:color w:val="auto"/>
          <w:spacing w:val="0"/>
          <w:sz w:val="24"/>
          <w:u w:val="none"/>
          <w:lang w:val="cs-CZ"/>
        </w:rPr>
        <w:t>První averroismus dobře ví, že neexistuje žádná forma univoční univerzality nebo nutnosti, která by nás spojila s</w:t>
      </w:r>
      <w:r w:rsidR="00CA2D0A">
        <w:rPr>
          <w:rStyle w:val="ZkladntextKurzvadkovn0pt"/>
          <w:rFonts w:ascii="Calibri" w:eastAsia="Times" w:hAnsi="Calibri"/>
          <w:i w:val="0"/>
          <w:iCs w:val="0"/>
          <w:color w:val="auto"/>
          <w:spacing w:val="0"/>
          <w:sz w:val="24"/>
          <w:u w:val="none"/>
          <w:lang w:val="cs-CZ"/>
        </w:rPr>
        <w:t> </w:t>
      </w:r>
      <w:r w:rsidR="087E4ACD">
        <w:rPr>
          <w:rStyle w:val="ZkladntextKurzvadkovn0pt"/>
          <w:rFonts w:ascii="Calibri" w:eastAsia="Times" w:hAnsi="Calibri"/>
          <w:i w:val="0"/>
          <w:iCs w:val="0"/>
          <w:color w:val="auto"/>
          <w:spacing w:val="0"/>
          <w:sz w:val="24"/>
          <w:u w:val="none"/>
          <w:lang w:val="cs-CZ"/>
        </w:rPr>
        <w:t>bohem</w:t>
      </w:r>
      <w:r w:rsidR="00CA2D0A">
        <w:rPr>
          <w:rStyle w:val="ZkladntextKurzvadkovn0pt"/>
          <w:rFonts w:ascii="Calibri" w:eastAsia="Times" w:hAnsi="Calibri"/>
          <w:i w:val="0"/>
          <w:iCs w:val="0"/>
          <w:color w:val="auto"/>
          <w:spacing w:val="0"/>
          <w:sz w:val="24"/>
          <w:u w:val="none"/>
          <w:lang w:val="cs-CZ"/>
        </w:rPr>
        <w:t xml:space="preserve">. První averroismus </w:t>
      </w:r>
      <w:r w:rsidR="087E4ACD">
        <w:rPr>
          <w:rStyle w:val="ZkladntextKurzvadkovn0pt"/>
          <w:rFonts w:ascii="Calibri" w:eastAsia="Times" w:hAnsi="Calibri"/>
          <w:i w:val="0"/>
          <w:iCs w:val="0"/>
          <w:color w:val="auto"/>
          <w:spacing w:val="0"/>
          <w:sz w:val="24"/>
          <w:u w:val="none"/>
          <w:lang w:val="cs-CZ"/>
        </w:rPr>
        <w:t>p</w:t>
      </w:r>
      <w:r w:rsidR="087E4ACD">
        <w:rPr>
          <w:color w:val="000000"/>
        </w:rPr>
        <w:t xml:space="preserve">roto zavedl podle </w:t>
      </w:r>
      <w:r w:rsidR="087E4ACD" w:rsidRPr="082F22B9">
        <w:rPr>
          <w:i/>
          <w:color w:val="000000"/>
        </w:rPr>
        <w:t>Druhých analytik</w:t>
      </w:r>
      <w:r w:rsidR="087E4ACD">
        <w:rPr>
          <w:color w:val="000000"/>
        </w:rPr>
        <w:t xml:space="preserve"> rodově odlišnou pravdu filosofie a teologie. Obrana kritického myšlení o bohu byla posledním institucionálním činem moudrých magistrů prvního averroismu </w:t>
      </w:r>
      <w:r w:rsidR="08D829EA">
        <w:rPr>
          <w:color w:val="000000"/>
        </w:rPr>
        <w:t xml:space="preserve">roku 1272 </w:t>
      </w:r>
      <w:r w:rsidR="087E4ACD">
        <w:rPr>
          <w:color w:val="000000"/>
        </w:rPr>
        <w:t xml:space="preserve">před jejich akademickou anihilací v roce 1277 </w:t>
      </w:r>
      <w:r w:rsidR="087E4ACD" w:rsidRPr="00273106">
        <w:t>(</w:t>
      </w:r>
      <w:r w:rsidR="08002388">
        <w:t>OBJ III, kap. 4</w:t>
      </w:r>
      <w:r w:rsidR="087E4ACD" w:rsidRPr="00273106">
        <w:t>.6)</w:t>
      </w:r>
      <w:r w:rsidR="087E4ACD">
        <w:rPr>
          <w:color w:val="000000"/>
        </w:rPr>
        <w:t xml:space="preserve">. </w:t>
      </w:r>
      <w:r w:rsidR="087E4ACD">
        <w:rPr>
          <w:rStyle w:val="ZkladntextKurzvadkovn0pt"/>
          <w:rFonts w:ascii="Calibri" w:eastAsia="Times" w:hAnsi="Calibri"/>
          <w:i w:val="0"/>
          <w:iCs w:val="0"/>
          <w:color w:val="auto"/>
          <w:spacing w:val="0"/>
          <w:sz w:val="24"/>
          <w:u w:val="none"/>
          <w:lang w:val="cs-CZ"/>
        </w:rPr>
        <w:t>Tím se první averroismus oddělil od univočního deduktivního důkazu boží existence dokončeného Dunsem Scotem za základě zatmění slunce a první substance (</w:t>
      </w:r>
      <w:r w:rsidR="08002388">
        <w:rPr>
          <w:rStyle w:val="ZkladntextKurzvadkovn0pt"/>
          <w:rFonts w:ascii="Calibri" w:eastAsia="Times" w:hAnsi="Calibri"/>
          <w:i w:val="0"/>
          <w:iCs w:val="0"/>
          <w:color w:val="auto"/>
          <w:spacing w:val="0"/>
          <w:sz w:val="24"/>
          <w:u w:val="none"/>
          <w:lang w:val="cs-CZ"/>
        </w:rPr>
        <w:t>OBJ III, kap. 5</w:t>
      </w:r>
      <w:r w:rsidR="087E4ACD">
        <w:rPr>
          <w:rStyle w:val="ZkladntextKurzvadkovn0pt"/>
          <w:rFonts w:ascii="Calibri" w:eastAsia="Times" w:hAnsi="Calibri"/>
          <w:i w:val="0"/>
          <w:iCs w:val="0"/>
          <w:color w:val="auto"/>
          <w:spacing w:val="0"/>
          <w:sz w:val="24"/>
          <w:u w:val="none"/>
          <w:lang w:val="cs-CZ"/>
        </w:rPr>
        <w:t xml:space="preserve">.3.2). Radostná věda nihilistické moderny nemá omezení daná dvojím pojetím </w:t>
      </w:r>
      <w:r w:rsidR="087E4ACD">
        <w:rPr>
          <w:rStyle w:val="ZkladntextKurzvadkovn0pt"/>
          <w:rFonts w:ascii="Calibri" w:eastAsia="Times" w:hAnsi="Calibri"/>
          <w:i w:val="0"/>
          <w:iCs w:val="0"/>
          <w:color w:val="auto"/>
          <w:spacing w:val="0"/>
          <w:sz w:val="24"/>
          <w:u w:val="none"/>
          <w:lang w:val="cs-CZ"/>
        </w:rPr>
        <w:lastRenderedPageBreak/>
        <w:t>hyparchické nutnosti</w:t>
      </w:r>
      <w:r w:rsidR="0012189F">
        <w:rPr>
          <w:rStyle w:val="ZkladntextKurzvadkovn0pt"/>
          <w:rFonts w:ascii="Calibri" w:eastAsia="Times" w:hAnsi="Calibri"/>
          <w:i w:val="0"/>
          <w:iCs w:val="0"/>
          <w:color w:val="auto"/>
          <w:spacing w:val="0"/>
          <w:sz w:val="24"/>
          <w:u w:val="none"/>
          <w:lang w:val="cs-CZ"/>
        </w:rPr>
        <w:t>. To ukázala Scotova verze</w:t>
      </w:r>
      <w:r w:rsidR="0012189F" w:rsidRPr="0012189F">
        <w:rPr>
          <w:rStyle w:val="ZkladntextKurzvadkovn0pt"/>
          <w:rFonts w:ascii="Calibri" w:eastAsia="Times" w:hAnsi="Calibri"/>
          <w:i w:val="0"/>
          <w:iCs w:val="0"/>
          <w:color w:val="auto"/>
          <w:spacing w:val="0"/>
          <w:sz w:val="24"/>
          <w:u w:val="none"/>
          <w:lang w:val="cs-CZ"/>
        </w:rPr>
        <w:t xml:space="preserve"> moderní dedukce (</w:t>
      </w:r>
      <w:r w:rsidR="0012189F" w:rsidRPr="0012189F">
        <w:rPr>
          <w:rStyle w:val="ZkladntextKurzvadkovn0pt"/>
          <w:rFonts w:ascii="Calibri" w:eastAsia="Times" w:hAnsi="Calibri"/>
          <w:iCs w:val="0"/>
          <w:color w:val="auto"/>
          <w:spacing w:val="0"/>
          <w:sz w:val="24"/>
          <w:u w:val="none"/>
          <w:lang w:val="cs-CZ"/>
        </w:rPr>
        <w:t>resolutio</w:t>
      </w:r>
      <w:r w:rsidR="0012189F" w:rsidRPr="0012189F">
        <w:rPr>
          <w:rStyle w:val="ZkladntextKurzvadkovn0pt"/>
          <w:rFonts w:ascii="Calibri" w:eastAsia="Times" w:hAnsi="Calibri"/>
          <w:i w:val="0"/>
          <w:iCs w:val="0"/>
          <w:color w:val="auto"/>
          <w:spacing w:val="0"/>
          <w:sz w:val="24"/>
          <w:u w:val="none"/>
          <w:lang w:val="cs-CZ"/>
        </w:rPr>
        <w:t xml:space="preserve">), která </w:t>
      </w:r>
      <w:r w:rsidR="0012189F">
        <w:rPr>
          <w:rStyle w:val="ZkladntextKurzvadkovn0pt"/>
          <w:rFonts w:ascii="Calibri" w:eastAsia="Times" w:hAnsi="Calibri"/>
          <w:i w:val="0"/>
          <w:iCs w:val="0"/>
          <w:color w:val="auto"/>
          <w:spacing w:val="0"/>
          <w:sz w:val="24"/>
          <w:u w:val="none"/>
          <w:lang w:val="cs-CZ"/>
        </w:rPr>
        <w:t>vy</w:t>
      </w:r>
      <w:r w:rsidR="0012189F" w:rsidRPr="0012189F">
        <w:rPr>
          <w:rStyle w:val="ZkladntextKurzvadkovn0pt"/>
          <w:rFonts w:ascii="Calibri" w:eastAsia="Times" w:hAnsi="Calibri"/>
          <w:i w:val="0"/>
          <w:iCs w:val="0"/>
          <w:color w:val="auto"/>
          <w:spacing w:val="0"/>
          <w:sz w:val="24"/>
          <w:u w:val="none"/>
          <w:lang w:val="cs-CZ"/>
        </w:rPr>
        <w:t xml:space="preserve">vedla objektivní bytí přímo z primární sféry božské </w:t>
      </w:r>
      <w:r w:rsidR="0012189F">
        <w:rPr>
          <w:rStyle w:val="ZkladntextKurzvadkovn0pt"/>
          <w:rFonts w:ascii="Calibri" w:eastAsia="Times" w:hAnsi="Calibri"/>
          <w:i w:val="0"/>
          <w:iCs w:val="0"/>
          <w:color w:val="auto"/>
          <w:spacing w:val="0"/>
          <w:sz w:val="24"/>
          <w:u w:val="none"/>
          <w:lang w:val="cs-CZ"/>
        </w:rPr>
        <w:t>racionality</w:t>
      </w:r>
      <w:r w:rsidR="0012189F" w:rsidRPr="0012189F">
        <w:rPr>
          <w:rStyle w:val="ZkladntextKurzvadkovn0pt"/>
          <w:rFonts w:ascii="Calibri" w:eastAsia="Times" w:hAnsi="Calibri"/>
          <w:i w:val="0"/>
          <w:iCs w:val="0"/>
          <w:color w:val="auto"/>
          <w:spacing w:val="0"/>
          <w:sz w:val="24"/>
          <w:u w:val="none"/>
          <w:lang w:val="cs-CZ"/>
        </w:rPr>
        <w:t>.</w:t>
      </w:r>
    </w:p>
    <w:p w14:paraId="223D0D6D" w14:textId="363E77FE" w:rsidR="00BF2FB3" w:rsidRPr="00AF44BD" w:rsidRDefault="0012189F" w:rsidP="00324129">
      <w:pPr>
        <w:ind w:firstLine="397"/>
      </w:pPr>
      <w:r>
        <w:t>G</w:t>
      </w:r>
      <w:r w:rsidR="00BF2FB3" w:rsidRPr="00273106">
        <w:t xml:space="preserve">rosseteste je </w:t>
      </w:r>
      <w:r w:rsidR="00BF2FB3">
        <w:t xml:space="preserve">první </w:t>
      </w:r>
      <w:r w:rsidR="00BF2FB3" w:rsidRPr="00273106">
        <w:t>známý latinský autor</w:t>
      </w:r>
      <w:r w:rsidR="00BF2FB3">
        <w:t xml:space="preserve">, který </w:t>
      </w:r>
      <w:r w:rsidR="00BF2FB3" w:rsidRPr="00273106">
        <w:t xml:space="preserve">provedl ve výkladu </w:t>
      </w:r>
      <w:r w:rsidR="00BF2FB3" w:rsidRPr="00570007">
        <w:rPr>
          <w:i/>
        </w:rPr>
        <w:t>Druhých analytik</w:t>
      </w:r>
      <w:r w:rsidR="00BF2FB3" w:rsidRPr="00273106">
        <w:t xml:space="preserve"> univoční záměnu druhé triády principů za první</w:t>
      </w:r>
      <w:r w:rsidR="00BF2FB3">
        <w:rPr>
          <w:i/>
        </w:rPr>
        <w:fldChar w:fldCharType="begin"/>
      </w:r>
      <w:r w:rsidR="00BF2FB3">
        <w:instrText xml:space="preserve"> XE "objektivita:</w:instrText>
      </w:r>
      <w:r w:rsidR="00BF2FB3" w:rsidRPr="0059303C">
        <w:instrText>Grosseteste</w:instrText>
      </w:r>
      <w:r w:rsidR="00BF2FB3">
        <w:instrText xml:space="preserve">" </w:instrText>
      </w:r>
      <w:r w:rsidR="00BF2FB3">
        <w:rPr>
          <w:i/>
        </w:rPr>
        <w:fldChar w:fldCharType="end"/>
      </w:r>
      <w:r w:rsidR="00BF2FB3" w:rsidRPr="00273106">
        <w:t xml:space="preserve">. </w:t>
      </w:r>
      <w:r w:rsidR="00BF2FB3">
        <w:t xml:space="preserve">Záměna pořadí poznání z původního modu </w:t>
      </w:r>
      <w:r w:rsidR="00BF2FB3" w:rsidRPr="008B5296">
        <w:rPr>
          <w:i/>
        </w:rPr>
        <w:t>per prius</w:t>
      </w:r>
      <w:r w:rsidR="00BF2FB3">
        <w:t xml:space="preserve"> pro první triádu principů do modu </w:t>
      </w:r>
      <w:r w:rsidR="00BF2FB3" w:rsidRPr="008B5296">
        <w:rPr>
          <w:i/>
        </w:rPr>
        <w:t>per posterius</w:t>
      </w:r>
      <w:r w:rsidR="00BF2FB3">
        <w:t xml:space="preserve"> </w:t>
      </w:r>
      <w:r w:rsidR="00BF2FB3" w:rsidRPr="00273106">
        <w:t>založil</w:t>
      </w:r>
      <w:r w:rsidR="00BF2FB3">
        <w:t>a</w:t>
      </w:r>
      <w:r w:rsidR="00BF2FB3" w:rsidRPr="00273106">
        <w:t xml:space="preserve"> analytický výklad </w:t>
      </w:r>
      <w:r w:rsidR="00BF2FB3" w:rsidRPr="00570007">
        <w:rPr>
          <w:i/>
        </w:rPr>
        <w:t>Druhých analytik</w:t>
      </w:r>
      <w:r w:rsidR="00BF2FB3" w:rsidRPr="00273106">
        <w:t xml:space="preserve">, který vedl v rámci </w:t>
      </w:r>
      <w:r w:rsidR="00BF2FB3" w:rsidRPr="00273106">
        <w:rPr>
          <w:i/>
        </w:rPr>
        <w:t>Oxfordian Fallacy</w:t>
      </w:r>
      <w:r w:rsidR="00BF2FB3" w:rsidRPr="00273106">
        <w:t xml:space="preserve"> k vytěsnění první substance</w:t>
      </w:r>
      <w:r w:rsidR="00BF2FB3">
        <w:t xml:space="preserve"> z metafyziky </w:t>
      </w:r>
      <w:r w:rsidR="00BF2FB3" w:rsidRPr="004115F1">
        <w:rPr>
          <w:i/>
        </w:rPr>
        <w:t>Modernorum</w:t>
      </w:r>
      <w:r w:rsidR="00BF2FB3" w:rsidRPr="00273106">
        <w:t>.</w:t>
      </w:r>
      <w:r w:rsidR="088D1F7A">
        <w:rPr>
          <w:color w:val="000000"/>
        </w:rPr>
        <w:t xml:space="preserve"> </w:t>
      </w:r>
      <w:r w:rsidR="00BF2FB3" w:rsidRPr="00273106">
        <w:t xml:space="preserve">Grosseteste </w:t>
      </w:r>
      <w:r w:rsidR="00BF2FB3">
        <w:t>stojí stejně jako Al</w:t>
      </w:r>
      <w:r w:rsidR="00BF2FB3">
        <w:noBreakHyphen/>
        <w:t xml:space="preserve">Fárábí na rozcestí mezi dvěma odlišnými výklady Aristotela. Posun k moderně způsobil jeho výklad </w:t>
      </w:r>
      <w:r w:rsidR="00BF2FB3" w:rsidRPr="009C0552">
        <w:rPr>
          <w:i/>
        </w:rPr>
        <w:t>Druhých analytik</w:t>
      </w:r>
      <w:r w:rsidR="00BF2FB3">
        <w:t xml:space="preserve">, který znejasnil predikaci </w:t>
      </w:r>
      <w:r w:rsidR="08730DEC">
        <w:t xml:space="preserve">univerzálního významu </w:t>
      </w:r>
      <w:r w:rsidR="00BF2FB3">
        <w:fldChar w:fldCharType="begin"/>
      </w:r>
      <w:r w:rsidR="00BF2FB3">
        <w:instrText xml:space="preserve"> XE "</w:instrText>
      </w:r>
      <w:r w:rsidR="00BF2FB3" w:rsidRPr="00075D2B">
        <w:instrText>predikace:hyparchická</w:instrText>
      </w:r>
      <w:r w:rsidR="00BF2FB3">
        <w:instrText xml:space="preserve">" </w:instrText>
      </w:r>
      <w:r w:rsidR="00BF2FB3">
        <w:fldChar w:fldCharType="end"/>
      </w:r>
      <w:r w:rsidR="00BF2FB3">
        <w:t>druhé subst</w:t>
      </w:r>
      <w:r w:rsidR="08862856">
        <w:t xml:space="preserve">ance vzhledem k </w:t>
      </w:r>
      <w:r w:rsidR="00741ED7">
        <w:t xml:space="preserve">hyparchické </w:t>
      </w:r>
      <w:r w:rsidR="00324129">
        <w:t xml:space="preserve">první substanci. </w:t>
      </w:r>
      <w:r w:rsidR="00324129" w:rsidRPr="00324129">
        <w:t xml:space="preserve">První triáda principů tvoří základ poznání, protože je definována v modu </w:t>
      </w:r>
      <w:r w:rsidR="00324129" w:rsidRPr="00324129">
        <w:rPr>
          <w:i/>
        </w:rPr>
        <w:t>per prius</w:t>
      </w:r>
      <w:r w:rsidR="00324129" w:rsidRPr="00324129">
        <w:t>. Moderna ji v novém výkladu znehodnotila a postavila ji na úroveň druhé triády.</w:t>
      </w:r>
      <w:r w:rsidR="00324129">
        <w:t xml:space="preserve"> </w:t>
      </w:r>
      <w:r w:rsidR="00BF2FB3">
        <w:t xml:space="preserve">Konverze obou rovin vytvořila univoční predikaci </w:t>
      </w:r>
      <w:r w:rsidR="00AD00B7">
        <w:t xml:space="preserve">postavenou </w:t>
      </w:r>
      <w:r w:rsidR="00BF2FB3">
        <w:t>mimo impozici významu z reality</w:t>
      </w:r>
      <w:r w:rsidR="00BF2FB3" w:rsidRPr="00273106">
        <w:t xml:space="preserve">. </w:t>
      </w:r>
      <w:r w:rsidR="00BF2FB3" w:rsidRPr="00273106">
        <w:rPr>
          <w:rStyle w:val="st"/>
        </w:rPr>
        <w:t>Nástup objektivity obsahuje následující výrok, který mění postavení substance v západní scho</w:t>
      </w:r>
      <w:r w:rsidR="00BF2FB3">
        <w:rPr>
          <w:rStyle w:val="st"/>
        </w:rPr>
        <w:t xml:space="preserve">lastice </w:t>
      </w:r>
      <w:r w:rsidR="00BF2FB3" w:rsidRPr="00273106">
        <w:rPr>
          <w:rStyle w:val="st"/>
          <w:i/>
        </w:rPr>
        <w:t>per modum Aristotelis</w:t>
      </w:r>
      <w:r w:rsidR="00BF2FB3" w:rsidRPr="00273106">
        <w:rPr>
          <w:rStyle w:val="st"/>
        </w:rPr>
        <w:t xml:space="preserve">. </w:t>
      </w:r>
      <w:r w:rsidR="08862856" w:rsidRPr="00273106">
        <w:t>Grossetesteho</w:t>
      </w:r>
      <w:r w:rsidR="08862856" w:rsidRPr="00273106">
        <w:rPr>
          <w:rStyle w:val="st"/>
        </w:rPr>
        <w:t xml:space="preserve"> </w:t>
      </w:r>
      <w:r w:rsidR="00BF2FB3" w:rsidRPr="00273106">
        <w:rPr>
          <w:rStyle w:val="st"/>
        </w:rPr>
        <w:t xml:space="preserve">komentář </w:t>
      </w:r>
      <w:r w:rsidR="00BF2FB3" w:rsidRPr="00273106">
        <w:t xml:space="preserve">věty </w:t>
      </w:r>
      <w:r w:rsidR="00BF2FB3">
        <w:rPr>
          <w:rStyle w:val="st"/>
          <w:i/>
        </w:rPr>
        <w:t>u</w:t>
      </w:r>
      <w:r w:rsidR="00BF2FB3" w:rsidRPr="00273106">
        <w:rPr>
          <w:rStyle w:val="st"/>
          <w:i/>
        </w:rPr>
        <w:t>niversale semper et ubique est</w:t>
      </w:r>
      <w:r w:rsidR="00BF2FB3" w:rsidRPr="00273106">
        <w:rPr>
          <w:rStyle w:val="st"/>
        </w:rPr>
        <w:t xml:space="preserve"> (</w:t>
      </w:r>
      <w:r w:rsidR="00BF2FB3" w:rsidRPr="00273106">
        <w:rPr>
          <w:rStyle w:val="st"/>
          <w:i/>
        </w:rPr>
        <w:t>Anal. Post.</w:t>
      </w:r>
      <w:r w:rsidR="00BF2FB3" w:rsidRPr="00273106">
        <w:rPr>
          <w:rStyle w:val="st"/>
        </w:rPr>
        <w:t xml:space="preserve"> 87b32</w:t>
      </w:r>
      <w:r w:rsidR="00BF2FB3">
        <w:fldChar w:fldCharType="begin"/>
      </w:r>
      <w:r w:rsidR="00BF2FB3">
        <w:instrText xml:space="preserve"> XE "Aristoteles:</w:instrText>
      </w:r>
      <w:r w:rsidR="00BF2FB3" w:rsidRPr="00273106">
        <w:rPr>
          <w:rStyle w:val="st"/>
          <w:i/>
        </w:rPr>
        <w:instrText>Anal. Post.</w:instrText>
      </w:r>
      <w:r w:rsidR="00BF2FB3" w:rsidRPr="00273106">
        <w:rPr>
          <w:rStyle w:val="st"/>
        </w:rPr>
        <w:instrText xml:space="preserve"> 87b32</w:instrText>
      </w:r>
      <w:r w:rsidR="00BF2FB3">
        <w:instrText xml:space="preserve">" </w:instrText>
      </w:r>
      <w:r w:rsidR="00BF2FB3">
        <w:fldChar w:fldCharType="end"/>
      </w:r>
      <w:r w:rsidR="00BF2FB3" w:rsidRPr="00273106">
        <w:rPr>
          <w:rStyle w:val="st"/>
        </w:rPr>
        <w:t xml:space="preserve">) lze číst dvěma způsoby, aristotelským i </w:t>
      </w:r>
      <w:r w:rsidR="00BF2FB3">
        <w:rPr>
          <w:rStyle w:val="st"/>
        </w:rPr>
        <w:t>neoplatonsk</w:t>
      </w:r>
      <w:r w:rsidR="00BF2FB3" w:rsidRPr="00273106">
        <w:rPr>
          <w:rStyle w:val="st"/>
        </w:rPr>
        <w:t>ým</w:t>
      </w:r>
      <w:r w:rsidR="084A73F1">
        <w:rPr>
          <w:rStyle w:val="st"/>
        </w:rPr>
        <w:t>.</w:t>
      </w:r>
    </w:p>
    <w:p w14:paraId="1B38C85F" w14:textId="77777777" w:rsidR="00BF2FB3" w:rsidRPr="00273106" w:rsidRDefault="00BF2FB3" w:rsidP="00BF2FB3">
      <w:pPr>
        <w:pStyle w:val="Citace"/>
        <w:rPr>
          <w:rStyle w:val="st"/>
          <w:noProof/>
          <w:lang w:val="cs-CZ"/>
        </w:rPr>
      </w:pPr>
      <w:r w:rsidRPr="00273106">
        <w:rPr>
          <w:noProof/>
          <w:lang w:val="cs-CZ"/>
        </w:rPr>
        <w:t xml:space="preserve">„Univerzáliemi rozumíme podle Aristotela formy, které se nacházejí v esenci jednotlivin, a díky nimž </w:t>
      </w:r>
      <w:r>
        <w:rPr>
          <w:noProof/>
          <w:lang w:val="cs-CZ"/>
        </w:rPr>
        <w:t>(</w:t>
      </w:r>
      <w:r w:rsidRPr="002E4050">
        <w:rPr>
          <w:i/>
        </w:rPr>
        <w:t>a quibus</w:t>
      </w:r>
      <w:r>
        <w:rPr>
          <w:noProof/>
          <w:lang w:val="cs-CZ"/>
        </w:rPr>
        <w:t xml:space="preserve">) </w:t>
      </w:r>
      <w:r w:rsidRPr="00273106">
        <w:rPr>
          <w:noProof/>
          <w:lang w:val="cs-CZ"/>
        </w:rPr>
        <w:t>jsou jednotliviny tím, čím jsou ve svém bytí</w:t>
      </w:r>
      <w:r>
        <w:rPr>
          <w:noProof/>
          <w:lang w:val="cs-CZ"/>
        </w:rPr>
        <w:t xml:space="preserve"> (</w:t>
      </w:r>
      <w:r w:rsidRPr="002E4050">
        <w:rPr>
          <w:i/>
        </w:rPr>
        <w:t>sunt res particulares id quod sunt</w:t>
      </w:r>
      <w:r>
        <w:rPr>
          <w:noProof/>
          <w:lang w:val="cs-CZ"/>
        </w:rPr>
        <w:t>)</w:t>
      </w:r>
      <w:r w:rsidRPr="00273106">
        <w:rPr>
          <w:noProof/>
          <w:lang w:val="cs-CZ"/>
        </w:rPr>
        <w:t xml:space="preserve">. Pak platí, že bytí univerzálie chápané obecně není nic jiného než bytí této univerzálie dané v jakékoliv jednotlivině.“ </w:t>
      </w:r>
      <w:r w:rsidRPr="00273106">
        <w:rPr>
          <w:rStyle w:val="Znakapoznpodarou"/>
          <w:noProof/>
          <w:lang w:val="cs-CZ"/>
        </w:rPr>
        <w:footnoteReference w:id="304"/>
      </w:r>
    </w:p>
    <w:p w14:paraId="6C6B99B5" w14:textId="2629F8FD" w:rsidR="08B46BE4" w:rsidRPr="00266703" w:rsidRDefault="083E165B" w:rsidP="08826D2A">
      <w:pPr>
        <w:rPr>
          <w:color w:val="000000"/>
        </w:rPr>
      </w:pPr>
      <w:r>
        <w:t xml:space="preserve">Zásadní problém představuje univoční </w:t>
      </w:r>
      <w:r w:rsidRPr="00273106">
        <w:t>zdvojení významu „být“ pro jednotliviny (</w:t>
      </w:r>
      <w:r w:rsidRPr="00273106">
        <w:rPr>
          <w:i/>
        </w:rPr>
        <w:t xml:space="preserve">sunt </w:t>
      </w:r>
      <w:r w:rsidRPr="00273106">
        <w:t xml:space="preserve">... </w:t>
      </w:r>
      <w:r w:rsidRPr="00273106">
        <w:rPr>
          <w:i/>
        </w:rPr>
        <w:t>id quod sunt</w:t>
      </w:r>
      <w:r w:rsidRPr="00273106">
        <w:t xml:space="preserve">) </w:t>
      </w:r>
      <w:r>
        <w:t xml:space="preserve">zakládající novou </w:t>
      </w:r>
      <w:r w:rsidRPr="00273106">
        <w:t>persp</w:t>
      </w:r>
      <w:r>
        <w:t>ektivu</w:t>
      </w:r>
      <w:r w:rsidRPr="00273106">
        <w:t xml:space="preserve"> náhledu na bytí jsoucna</w:t>
      </w:r>
      <w:r>
        <w:t xml:space="preserve"> (</w:t>
      </w:r>
      <w:r w:rsidRPr="008C622D">
        <w:rPr>
          <w:i/>
        </w:rPr>
        <w:t>Vor</w:t>
      </w:r>
      <w:r w:rsidRPr="008C622D">
        <w:rPr>
          <w:i/>
        </w:rPr>
        <w:noBreakHyphen/>
        <w:t>blickbahn</w:t>
      </w:r>
      <w:r>
        <w:rPr>
          <w:i/>
        </w:rPr>
        <w:fldChar w:fldCharType="begin"/>
      </w:r>
      <w:r>
        <w:instrText xml:space="preserve"> XE "</w:instrText>
      </w:r>
      <w:r w:rsidR="08106DC9">
        <w:rPr>
          <w:i/>
        </w:rPr>
        <w:instrText>Vor-</w:instrText>
      </w:r>
      <w:r w:rsidRPr="000C66F2">
        <w:rPr>
          <w:i/>
        </w:rPr>
        <w:instrText>b</w:instrText>
      </w:r>
      <w:r w:rsidRPr="000C66F2">
        <w:rPr>
          <w:i/>
          <w:iCs/>
        </w:rPr>
        <w:instrText>lickbahn</w:instrText>
      </w:r>
      <w:r w:rsidRPr="000935F1">
        <w:rPr>
          <w:iCs/>
        </w:rPr>
        <w:instrText>:Grosseteste</w:instrText>
      </w:r>
      <w:r>
        <w:instrText xml:space="preserve">" </w:instrText>
      </w:r>
      <w:r>
        <w:rPr>
          <w:i/>
        </w:rPr>
        <w:fldChar w:fldCharType="end"/>
      </w:r>
      <w:r>
        <w:t>)</w:t>
      </w:r>
      <w:r w:rsidRPr="00273106">
        <w:t xml:space="preserve">. Vezmeme-li predikaci </w:t>
      </w:r>
      <w:r w:rsidRPr="00273106">
        <w:rPr>
          <w:i/>
        </w:rPr>
        <w:t>per prius</w:t>
      </w:r>
      <w:r>
        <w:rPr>
          <w:i/>
        </w:rPr>
        <w:fldChar w:fldCharType="begin"/>
      </w:r>
      <w:r>
        <w:instrText xml:space="preserve"> XE "predikace:</w:instrText>
      </w:r>
      <w:r w:rsidRPr="00B01B97">
        <w:rPr>
          <w:i/>
        </w:rPr>
        <w:instrText>per prius</w:instrText>
      </w:r>
      <w:r>
        <w:instrText xml:space="preserve">" </w:instrText>
      </w:r>
      <w:r>
        <w:rPr>
          <w:i/>
        </w:rPr>
        <w:fldChar w:fldCharType="end"/>
      </w:r>
      <w:r w:rsidRPr="00273106">
        <w:t xml:space="preserve"> </w:t>
      </w:r>
      <w:r w:rsidR="009E2574">
        <w:t xml:space="preserve">postavenou skrze impozici a </w:t>
      </w:r>
      <w:r w:rsidRPr="00273106">
        <w:rPr>
          <w:rStyle w:val="st"/>
        </w:rPr>
        <w:t xml:space="preserve">podle původní intence </w:t>
      </w:r>
      <w:r w:rsidRPr="00E47AAC">
        <w:rPr>
          <w:rStyle w:val="st"/>
          <w:i/>
        </w:rPr>
        <w:t>Kategorií</w:t>
      </w:r>
      <w:r w:rsidRPr="00273106">
        <w:rPr>
          <w:rStyle w:val="st"/>
        </w:rPr>
        <w:t xml:space="preserve">, pak determinace univerzália jde od první substance dané jedinečně, aktuálně a plně </w:t>
      </w:r>
      <w:r w:rsidRPr="00273106">
        <w:rPr>
          <w:rStyle w:val="st"/>
          <w:i/>
        </w:rPr>
        <w:t>simpliciter</w:t>
      </w:r>
      <w:r w:rsidRPr="00273106">
        <w:rPr>
          <w:rStyle w:val="st"/>
        </w:rPr>
        <w:t xml:space="preserve"> (</w:t>
      </w:r>
      <w:r w:rsidR="08D341DA">
        <w:rPr>
          <w:rStyle w:val="st"/>
        </w:rPr>
        <w:t xml:space="preserve">OBJ I, </w:t>
      </w:r>
      <w:r w:rsidR="084E7952">
        <w:rPr>
          <w:rStyle w:val="st"/>
        </w:rPr>
        <w:t>kap. 1.3</w:t>
      </w:r>
      <w:r w:rsidRPr="00273106">
        <w:rPr>
          <w:rStyle w:val="st"/>
        </w:rPr>
        <w:t xml:space="preserve">). Význam jsoucna </w:t>
      </w:r>
      <w:r>
        <w:rPr>
          <w:rStyle w:val="st"/>
        </w:rPr>
        <w:t xml:space="preserve">v </w:t>
      </w:r>
      <w:r w:rsidRPr="00E47AAC">
        <w:rPr>
          <w:rStyle w:val="st"/>
          <w:i/>
        </w:rPr>
        <w:t>Kategoriích</w:t>
      </w:r>
      <w:r>
        <w:rPr>
          <w:rStyle w:val="st"/>
        </w:rPr>
        <w:t xml:space="preserve"> a </w:t>
      </w:r>
      <w:r w:rsidRPr="00E47AAC">
        <w:rPr>
          <w:rStyle w:val="st"/>
          <w:i/>
        </w:rPr>
        <w:t>Analytikách</w:t>
      </w:r>
      <w:r>
        <w:rPr>
          <w:rStyle w:val="st"/>
        </w:rPr>
        <w:t xml:space="preserve"> </w:t>
      </w:r>
      <w:r w:rsidRPr="00273106">
        <w:rPr>
          <w:rStyle w:val="st"/>
        </w:rPr>
        <w:t xml:space="preserve">je determinovaný nasvícením </w:t>
      </w:r>
      <w:r w:rsidR="00554A30">
        <w:rPr>
          <w:rStyle w:val="st"/>
        </w:rPr>
        <w:t xml:space="preserve">smyslu jsoucna </w:t>
      </w:r>
      <w:r w:rsidRPr="00273106">
        <w:rPr>
          <w:rStyle w:val="st"/>
        </w:rPr>
        <w:t xml:space="preserve">zepředu, tedy od </w:t>
      </w:r>
      <w:r w:rsidR="00554A30">
        <w:rPr>
          <w:rStyle w:val="st"/>
        </w:rPr>
        <w:t xml:space="preserve">hyparchické </w:t>
      </w:r>
      <w:r w:rsidRPr="00273106">
        <w:rPr>
          <w:rStyle w:val="st"/>
        </w:rPr>
        <w:t xml:space="preserve">první substance. </w:t>
      </w:r>
      <w:r>
        <w:rPr>
          <w:rStyle w:val="st"/>
        </w:rPr>
        <w:t>Pak by byl v</w:t>
      </w:r>
      <w:r w:rsidRPr="00273106">
        <w:rPr>
          <w:rStyle w:val="st"/>
        </w:rPr>
        <w:t xml:space="preserve">ýrok </w:t>
      </w:r>
      <w:r>
        <w:rPr>
          <w:rStyle w:val="st"/>
        </w:rPr>
        <w:t xml:space="preserve">platný v původním aristotelském smyslu, tedy </w:t>
      </w:r>
      <w:r w:rsidRPr="00273106">
        <w:rPr>
          <w:rStyle w:val="st"/>
        </w:rPr>
        <w:t xml:space="preserve">skrze </w:t>
      </w:r>
      <w:r w:rsidRPr="00273106">
        <w:t xml:space="preserve">dvojí pojetí </w:t>
      </w:r>
      <w:r>
        <w:t xml:space="preserve">univerzální </w:t>
      </w:r>
      <w:r w:rsidRPr="00273106">
        <w:t xml:space="preserve">atribuce dané </w:t>
      </w:r>
      <w:r w:rsidRPr="00273106">
        <w:rPr>
          <w:i/>
        </w:rPr>
        <w:t>per se</w:t>
      </w:r>
      <w:r>
        <w:t xml:space="preserve">. Viz </w:t>
      </w:r>
      <w:r w:rsidRPr="00273106">
        <w:t xml:space="preserve">výklad </w:t>
      </w:r>
      <w:r w:rsidRPr="00273106">
        <w:rPr>
          <w:i/>
        </w:rPr>
        <w:t>Anal. Post</w:t>
      </w:r>
      <w:r w:rsidRPr="00273106">
        <w:t xml:space="preserve">. </w:t>
      </w:r>
      <w:r w:rsidRPr="00273106">
        <w:lastRenderedPageBreak/>
        <w:t>84a11‒14</w:t>
      </w:r>
      <w:r>
        <w:t xml:space="preserve"> </w:t>
      </w:r>
      <w:r>
        <w:fldChar w:fldCharType="begin"/>
      </w:r>
      <w:r>
        <w:instrText xml:space="preserve"> XE "Aristoteles:</w:instrText>
      </w:r>
      <w:r w:rsidRPr="00273106">
        <w:rPr>
          <w:i/>
        </w:rPr>
        <w:instrText>Anal. Post</w:instrText>
      </w:r>
      <w:r w:rsidRPr="00273106">
        <w:instrText>. 84a11‒14</w:instrText>
      </w:r>
      <w:r>
        <w:instrText xml:space="preserve">" </w:instrText>
      </w:r>
      <w:r>
        <w:fldChar w:fldCharType="end"/>
      </w:r>
      <w:r w:rsidRPr="00273106">
        <w:t>uveden</w:t>
      </w:r>
      <w:r>
        <w:t xml:space="preserve">ý </w:t>
      </w:r>
      <w:r w:rsidRPr="00273106">
        <w:t>v</w:t>
      </w:r>
      <w:r>
        <w:t xml:space="preserve">ýše. Buď tvoří univerzálie součást hyparchického bytí daného </w:t>
      </w:r>
      <w:r w:rsidRPr="085737E8">
        <w:rPr>
          <w:i/>
        </w:rPr>
        <w:t>per se</w:t>
      </w:r>
      <w:r w:rsidR="00782790">
        <w:t xml:space="preserve"> v logice</w:t>
      </w:r>
      <w:r>
        <w:t xml:space="preserve">. Nebo je bytí dáno </w:t>
      </w:r>
      <w:r w:rsidRPr="085737E8">
        <w:rPr>
          <w:i/>
        </w:rPr>
        <w:t>per se</w:t>
      </w:r>
      <w:r>
        <w:t xml:space="preserve"> hyparchickým způsobem vůči abstrahovanému univerzálnímu význa</w:t>
      </w:r>
      <w:r w:rsidR="00782790">
        <w:t>mu, protože věc existuje reálně</w:t>
      </w:r>
      <w:r>
        <w:t xml:space="preserve">. </w:t>
      </w:r>
      <w:r w:rsidR="08073B66">
        <w:t>Opět je zásadní probém v esenci, kterou Aristotelův originál chápe v metafyzické</w:t>
      </w:r>
      <w:r w:rsidR="083036B0">
        <w:t xml:space="preserve"> univerzalitě a nutnosti</w:t>
      </w:r>
      <w:r w:rsidR="08073B66">
        <w:t>, ale Gross</w:t>
      </w:r>
      <w:r w:rsidR="083036B0">
        <w:t>e</w:t>
      </w:r>
      <w:r w:rsidR="08073B66">
        <w:t xml:space="preserve">teste v logické. Ale pokud myslitel vidí citát v perspektivě hyparchické </w:t>
      </w:r>
      <w:r w:rsidR="08332F64">
        <w:t xml:space="preserve">metafyzické </w:t>
      </w:r>
      <w:r w:rsidR="08073B66">
        <w:t xml:space="preserve">predikace </w:t>
      </w:r>
      <w:r w:rsidR="08073B66" w:rsidRPr="00273106">
        <w:t>(καθ' αὑτὰ δὲ διττῶς</w:t>
      </w:r>
      <w:r w:rsidR="08073B66">
        <w:t xml:space="preserve">, </w:t>
      </w:r>
      <w:r w:rsidR="08073B66" w:rsidRPr="009B084A">
        <w:rPr>
          <w:i/>
        </w:rPr>
        <w:t>Anal</w:t>
      </w:r>
      <w:r w:rsidR="08073B66">
        <w:t xml:space="preserve">. </w:t>
      </w:r>
      <w:r w:rsidR="08073B66" w:rsidRPr="009B084A">
        <w:rPr>
          <w:i/>
        </w:rPr>
        <w:t>Post</w:t>
      </w:r>
      <w:r w:rsidR="08073B66">
        <w:t>. 84a12</w:t>
      </w:r>
      <w:r w:rsidR="08073B66">
        <w:fldChar w:fldCharType="begin"/>
      </w:r>
      <w:r w:rsidR="08073B66">
        <w:instrText xml:space="preserve"> XE "Aristoteles:</w:instrText>
      </w:r>
      <w:r w:rsidR="08073B66" w:rsidRPr="00BF0563">
        <w:rPr>
          <w:i/>
        </w:rPr>
        <w:instrText>Anal</w:instrText>
      </w:r>
      <w:r w:rsidR="08073B66" w:rsidRPr="00BF0563">
        <w:instrText xml:space="preserve">. </w:instrText>
      </w:r>
      <w:r w:rsidR="08073B66" w:rsidRPr="00BF0563">
        <w:rPr>
          <w:i/>
        </w:rPr>
        <w:instrText>Post</w:instrText>
      </w:r>
      <w:r w:rsidR="08073B66" w:rsidRPr="00BF0563">
        <w:instrText>. 84a12</w:instrText>
      </w:r>
      <w:r w:rsidR="08073B66">
        <w:instrText xml:space="preserve">" </w:instrText>
      </w:r>
      <w:r w:rsidR="08073B66">
        <w:fldChar w:fldCharType="end"/>
      </w:r>
      <w:r w:rsidR="08073B66" w:rsidRPr="00273106">
        <w:t>)</w:t>
      </w:r>
      <w:r w:rsidR="08073B66">
        <w:t xml:space="preserve">, pak je výrok dán v aristotelském smyslu. </w:t>
      </w:r>
      <w:r w:rsidR="082730D4" w:rsidRPr="00273106">
        <w:t>William Ockham</w:t>
      </w:r>
      <w:r w:rsidR="082730D4">
        <w:fldChar w:fldCharType="begin"/>
      </w:r>
      <w:r w:rsidR="082730D4">
        <w:instrText xml:space="preserve"> XE "</w:instrText>
      </w:r>
      <w:r w:rsidR="082730D4" w:rsidRPr="00FF77FD">
        <w:instrText xml:space="preserve">Ockham, W.:viz </w:instrText>
      </w:r>
      <w:r w:rsidR="082730D4" w:rsidRPr="005A2EF2">
        <w:rPr>
          <w:i/>
        </w:rPr>
        <w:instrText>Index locorum</w:instrText>
      </w:r>
      <w:r w:rsidR="082730D4">
        <w:instrText xml:space="preserve">" </w:instrText>
      </w:r>
      <w:r w:rsidR="082730D4">
        <w:fldChar w:fldCharType="end"/>
      </w:r>
      <w:r w:rsidR="082730D4" w:rsidRPr="00273106">
        <w:t xml:space="preserve"> </w:t>
      </w:r>
      <w:r w:rsidR="082730D4">
        <w:t xml:space="preserve">jako poslední představitel školy prvního averroismu </w:t>
      </w:r>
      <w:r w:rsidR="082730D4" w:rsidRPr="00273106">
        <w:t xml:space="preserve">cituje tuto pasáž proti oxfordské </w:t>
      </w:r>
      <w:r w:rsidR="082730D4">
        <w:t xml:space="preserve">scotistické </w:t>
      </w:r>
      <w:r w:rsidR="082730D4" w:rsidRPr="00273106">
        <w:t>škole jako důkaz klasického aristotelského smýšlení Grossetesteho</w:t>
      </w:r>
      <w:r w:rsidR="082730D4">
        <w:t>.</w:t>
      </w:r>
      <w:r w:rsidR="082730D4" w:rsidRPr="00273106">
        <w:rPr>
          <w:rStyle w:val="Znakapoznpodarou"/>
        </w:rPr>
        <w:footnoteReference w:id="305"/>
      </w:r>
      <w:r w:rsidR="082730D4">
        <w:t xml:space="preserve"> Lincolnský biskup podle Ockhama přesně rozlišuje mezi univerzalitou druhé substance ve vědeckém důkazu a jedinečností první substance v realitě</w:t>
      </w:r>
      <w:r w:rsidR="082730D4" w:rsidRPr="00273106">
        <w:t>.</w:t>
      </w:r>
      <w:r w:rsidR="082730D4">
        <w:t xml:space="preserve"> Proto má Grossesteste v gigantomachii o substanci z  hlediska dějinného zjevování </w:t>
      </w:r>
      <w:r w:rsidR="082730D4" w:rsidRPr="00467F2F">
        <w:rPr>
          <w:i/>
        </w:rPr>
        <w:t>a/léth</w:t>
      </w:r>
      <w:r w:rsidR="082730D4">
        <w:rPr>
          <w:i/>
        </w:rPr>
        <w:t>ei</w:t>
      </w:r>
      <w:r w:rsidR="082730D4" w:rsidRPr="00467F2F">
        <w:rPr>
          <w:i/>
        </w:rPr>
        <w:t>a</w:t>
      </w:r>
      <w:r w:rsidR="082730D4">
        <w:rPr>
          <w:i/>
        </w:rPr>
        <w:fldChar w:fldCharType="begin"/>
      </w:r>
      <w:r w:rsidR="082730D4">
        <w:instrText xml:space="preserve"> XE "</w:instrText>
      </w:r>
      <w:r w:rsidR="082730D4" w:rsidRPr="08937E60">
        <w:rPr>
          <w:i/>
          <w:lang w:eastAsia="en-US"/>
        </w:rPr>
        <w:instrText>a/létheia</w:instrText>
      </w:r>
      <w:r w:rsidR="082730D4">
        <w:instrText xml:space="preserve">" </w:instrText>
      </w:r>
      <w:r w:rsidR="082730D4">
        <w:rPr>
          <w:i/>
        </w:rPr>
        <w:fldChar w:fldCharType="end"/>
      </w:r>
      <w:r w:rsidR="082730D4">
        <w:t xml:space="preserve"> stejný status jako Al-Fárábí ve falsafě. I jeho odkaz založil dvojí pojetí výkladu, jednak podle </w:t>
      </w:r>
      <w:r w:rsidR="082730D4" w:rsidRPr="008F51BB">
        <w:rPr>
          <w:i/>
        </w:rPr>
        <w:t>Oxfordian Fallacy</w:t>
      </w:r>
      <w:r w:rsidR="082730D4">
        <w:t xml:space="preserve"> </w:t>
      </w:r>
      <w:r w:rsidR="0806788F">
        <w:t xml:space="preserve">(Rufus, Kilwardby) </w:t>
      </w:r>
      <w:r w:rsidR="082730D4">
        <w:t xml:space="preserve">a jednak podle prvního averrorismu (Bacon, Ockham). </w:t>
      </w:r>
      <w:r w:rsidR="08343F9C">
        <w:t>Hermene</w:t>
      </w:r>
      <w:r w:rsidR="08DA0821">
        <w:t>u</w:t>
      </w:r>
      <w:r w:rsidR="08343F9C">
        <w:t xml:space="preserve">tika daná na konci dějinného vývoje nihilistické metafyziky proti Ockamovi tvrdí, že citát je </w:t>
      </w:r>
      <w:r w:rsidR="08F30BF3">
        <w:t xml:space="preserve">bohužel </w:t>
      </w:r>
      <w:r w:rsidR="08343F9C">
        <w:t xml:space="preserve">dán v modu </w:t>
      </w:r>
      <w:r w:rsidR="08343F9C" w:rsidRPr="08343F9C">
        <w:rPr>
          <w:i/>
        </w:rPr>
        <w:t>Oxfordian Fallacy</w:t>
      </w:r>
      <w:r w:rsidR="08343F9C">
        <w:t xml:space="preserve">. </w:t>
      </w:r>
      <w:r w:rsidR="00BF2FB3" w:rsidRPr="00273106">
        <w:rPr>
          <w:rStyle w:val="st"/>
        </w:rPr>
        <w:t>Definice univerzálií je pojata jako druhá substance</w:t>
      </w:r>
      <w:r w:rsidR="00BF2FB3">
        <w:rPr>
          <w:rStyle w:val="st"/>
        </w:rPr>
        <w:fldChar w:fldCharType="begin"/>
      </w:r>
      <w:r w:rsidR="00BF2FB3">
        <w:instrText xml:space="preserve"> XE "</w:instrText>
      </w:r>
      <w:r w:rsidR="00BF2FB3" w:rsidRPr="00DE2A32">
        <w:instrText>substance</w:instrText>
      </w:r>
      <w:r w:rsidR="00BF2FB3">
        <w:instrText xml:space="preserve">:druhá" </w:instrText>
      </w:r>
      <w:r w:rsidR="00BF2FB3">
        <w:rPr>
          <w:rStyle w:val="st"/>
        </w:rPr>
        <w:fldChar w:fldCharType="end"/>
      </w:r>
      <w:r w:rsidR="00BF2FB3" w:rsidRPr="00273106">
        <w:rPr>
          <w:rStyle w:val="st"/>
        </w:rPr>
        <w:t xml:space="preserve"> ve formě </w:t>
      </w:r>
      <w:r w:rsidR="00BF2FB3" w:rsidRPr="00273106">
        <w:rPr>
          <w:rStyle w:val="st"/>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0BF2FB3" w:rsidRPr="00273106">
        <w:rPr>
          <w:rStyle w:val="st"/>
        </w:rPr>
        <w:t xml:space="preserve">, tedy </w:t>
      </w:r>
      <w:r w:rsidR="00BF2FB3">
        <w:rPr>
          <w:rStyle w:val="st"/>
        </w:rPr>
        <w:t xml:space="preserve">univerzální </w:t>
      </w:r>
      <w:r w:rsidR="00BF2FB3" w:rsidRPr="00273106">
        <w:rPr>
          <w:rStyle w:val="st"/>
        </w:rPr>
        <w:t>esence</w:t>
      </w:r>
      <w:r w:rsidR="008105E5">
        <w:rPr>
          <w:rStyle w:val="st"/>
        </w:rPr>
        <w:t xml:space="preserve">. </w:t>
      </w:r>
      <w:r w:rsidR="08F30BF3">
        <w:rPr>
          <w:rStyle w:val="st"/>
        </w:rPr>
        <w:t>C</w:t>
      </w:r>
      <w:r w:rsidR="00BF2FB3" w:rsidRPr="00273106">
        <w:t>itát</w:t>
      </w:r>
      <w:r w:rsidR="008105E5">
        <w:t xml:space="preserve"> dává v primárním modu predikaci</w:t>
      </w:r>
      <w:r w:rsidR="00BF2FB3" w:rsidRPr="00273106">
        <w:t xml:space="preserve"> esenciální formy jednotlivin (</w:t>
      </w:r>
      <w:r w:rsidR="00BF2FB3" w:rsidRPr="00273106">
        <w:rPr>
          <w:i/>
        </w:rPr>
        <w:t>in quidditate particularium</w:t>
      </w:r>
      <w:r w:rsidR="00BF2FB3" w:rsidRPr="00273106">
        <w:t xml:space="preserve">), od nichž odvozuje </w:t>
      </w:r>
      <w:r w:rsidR="008105E5">
        <w:t xml:space="preserve">smysl </w:t>
      </w:r>
      <w:r w:rsidR="08CA5A8E">
        <w:t xml:space="preserve">aktuální první substance </w:t>
      </w:r>
      <w:r w:rsidR="00BF2FB3" w:rsidRPr="00273106">
        <w:t>(</w:t>
      </w:r>
      <w:r w:rsidR="00BF2FB3" w:rsidRPr="00273106">
        <w:rPr>
          <w:i/>
        </w:rPr>
        <w:t>a quibus sunt res particulares</w:t>
      </w:r>
      <w:r w:rsidR="00BF2FB3" w:rsidRPr="00273106">
        <w:t>)</w:t>
      </w:r>
      <w:r w:rsidR="00BF2FB3">
        <w:rPr>
          <w:rStyle w:val="st"/>
          <w:i/>
        </w:rPr>
        <w:fldChar w:fldCharType="begin"/>
      </w:r>
      <w:r w:rsidR="00BF2FB3">
        <w:instrText xml:space="preserve"> XE "esence</w:instrText>
      </w:r>
      <w:r w:rsidR="00BF2FB3" w:rsidRPr="007C7423">
        <w:rPr>
          <w:i/>
        </w:rPr>
        <w:instrText>:</w:instrText>
      </w:r>
      <w:r w:rsidR="00BF2FB3" w:rsidRPr="009A4078">
        <w:instrText>Grosseteste</w:instrText>
      </w:r>
      <w:r w:rsidR="00BF2FB3">
        <w:instrText xml:space="preserve">" </w:instrText>
      </w:r>
      <w:r w:rsidR="00BF2FB3">
        <w:rPr>
          <w:rStyle w:val="st"/>
          <w:i/>
        </w:rPr>
        <w:fldChar w:fldCharType="end"/>
      </w:r>
      <w:r w:rsidR="00BF2FB3" w:rsidRPr="00273106">
        <w:t xml:space="preserve">. </w:t>
      </w:r>
      <w:r w:rsidR="00BF2FB3">
        <w:t>U</w:t>
      </w:r>
      <w:r w:rsidR="00BF2FB3">
        <w:rPr>
          <w:rStyle w:val="st"/>
        </w:rPr>
        <w:t>rčení vztah</w:t>
      </w:r>
      <w:r w:rsidR="08B22AC2">
        <w:rPr>
          <w:rStyle w:val="st"/>
        </w:rPr>
        <w:t>u</w:t>
      </w:r>
      <w:r w:rsidR="00BF2FB3">
        <w:rPr>
          <w:rStyle w:val="st"/>
        </w:rPr>
        <w:t xml:space="preserve"> jednotlivin a univerzálií je dáno nasvícením substancí zezadu od univerzálních forem </w:t>
      </w:r>
      <w:r w:rsidR="00BF2FB3" w:rsidRPr="00273106">
        <w:rPr>
          <w:rStyle w:val="st"/>
        </w:rPr>
        <w:t>(</w:t>
      </w:r>
      <w:r w:rsidR="00BF2FB3" w:rsidRPr="00273106">
        <w:rPr>
          <w:i/>
        </w:rPr>
        <w:t>a quibus sunt res particulares id quod sunt</w:t>
      </w:r>
      <w:r w:rsidR="00BF2FB3" w:rsidRPr="00273106">
        <w:t>)</w:t>
      </w:r>
      <w:r w:rsidR="00BF2FB3" w:rsidRPr="00273106">
        <w:rPr>
          <w:rStyle w:val="st"/>
        </w:rPr>
        <w:t xml:space="preserve">. Univerzália </w:t>
      </w:r>
      <w:r w:rsidR="00BF2FB3">
        <w:rPr>
          <w:rStyle w:val="st"/>
        </w:rPr>
        <w:t xml:space="preserve">v tomto scénáři přímo </w:t>
      </w:r>
      <w:r w:rsidR="00BF2FB3" w:rsidRPr="00273106">
        <w:rPr>
          <w:rStyle w:val="st"/>
        </w:rPr>
        <w:t>zakládají bytí individuálních věcí, protože jednotliviny dostávají od univerzálií své bytostné určení</w:t>
      </w:r>
      <w:r w:rsidR="00BF2FB3">
        <w:rPr>
          <w:rStyle w:val="st"/>
        </w:rPr>
        <w:t xml:space="preserve"> (</w:t>
      </w:r>
      <w:r w:rsidR="00BF2FB3" w:rsidRPr="002E4050">
        <w:rPr>
          <w:i/>
        </w:rPr>
        <w:t>a quibus</w:t>
      </w:r>
      <w:r w:rsidR="00BF2FB3">
        <w:t>)</w:t>
      </w:r>
      <w:r w:rsidR="00BF2FB3" w:rsidRPr="00273106">
        <w:t xml:space="preserve">. </w:t>
      </w:r>
      <w:r w:rsidR="081A4C85">
        <w:t>Pokud</w:t>
      </w:r>
      <w:r w:rsidR="006E7CE2">
        <w:t xml:space="preserve"> vezmeme poznání reálného světa, </w:t>
      </w:r>
      <w:r w:rsidR="081A4C85">
        <w:t xml:space="preserve">a ne </w:t>
      </w:r>
      <w:r w:rsidR="006E7CE2">
        <w:t xml:space="preserve">oblasti </w:t>
      </w:r>
      <w:r w:rsidR="081A4C85">
        <w:t xml:space="preserve">matematiky, pak je to </w:t>
      </w:r>
      <w:r w:rsidR="08B22AC2">
        <w:t xml:space="preserve">přesně opačný způsob nasvícení jsoucna než má originální text </w:t>
      </w:r>
      <w:r w:rsidR="08B22AC2" w:rsidRPr="08F015B2">
        <w:rPr>
          <w:i/>
        </w:rPr>
        <w:t>Druhých analytik</w:t>
      </w:r>
      <w:r w:rsidR="08B22AC2">
        <w:t xml:space="preserve">. </w:t>
      </w:r>
      <w:r w:rsidR="08CC11BD">
        <w:t xml:space="preserve">Vznik </w:t>
      </w:r>
      <w:r w:rsidR="0875102E">
        <w:t xml:space="preserve">významu </w:t>
      </w:r>
      <w:r w:rsidR="00BF2FB3" w:rsidRPr="00273106">
        <w:rPr>
          <w:rStyle w:val="st"/>
        </w:rPr>
        <w:t xml:space="preserve">je </w:t>
      </w:r>
      <w:r w:rsidR="00BF2FB3">
        <w:rPr>
          <w:rStyle w:val="st"/>
        </w:rPr>
        <w:t xml:space="preserve">podle klasického aristotelismu </w:t>
      </w:r>
      <w:r w:rsidR="08CC11BD">
        <w:rPr>
          <w:rStyle w:val="st"/>
        </w:rPr>
        <w:t>dán</w:t>
      </w:r>
      <w:r w:rsidR="00BF2FB3" w:rsidRPr="00273106">
        <w:rPr>
          <w:rStyle w:val="st"/>
        </w:rPr>
        <w:t xml:space="preserve"> </w:t>
      </w:r>
      <w:r w:rsidR="087E0FAC">
        <w:rPr>
          <w:rStyle w:val="st"/>
        </w:rPr>
        <w:t xml:space="preserve">v modu </w:t>
      </w:r>
      <w:r w:rsidR="082A724F">
        <w:t xml:space="preserve">metafyzického </w:t>
      </w:r>
      <w:r w:rsidR="087E0FAC">
        <w:rPr>
          <w:rStyle w:val="st"/>
        </w:rPr>
        <w:t>dativu</w:t>
      </w:r>
      <w:r w:rsidR="08C940FB">
        <w:rPr>
          <w:rStyle w:val="st"/>
        </w:rPr>
        <w:fldChar w:fldCharType="begin"/>
      </w:r>
      <w:r w:rsidR="08C940FB">
        <w:instrText xml:space="preserve"> XE "</w:instrText>
      </w:r>
      <w:r w:rsidR="082A724F">
        <w:rPr>
          <w:rStyle w:val="st"/>
          <w:i/>
        </w:rPr>
        <w:instrText>dativus metaphysi</w:instrText>
      </w:r>
      <w:r w:rsidR="08C940FB" w:rsidRPr="08C940FB">
        <w:rPr>
          <w:rStyle w:val="st"/>
          <w:i/>
        </w:rPr>
        <w:instrText>cus</w:instrText>
      </w:r>
      <w:r w:rsidR="08C940FB">
        <w:instrText xml:space="preserve">" </w:instrText>
      </w:r>
      <w:r w:rsidR="08C940FB">
        <w:rPr>
          <w:rStyle w:val="st"/>
        </w:rPr>
        <w:fldChar w:fldCharType="end"/>
      </w:r>
      <w:r w:rsidR="087E0FAC">
        <w:rPr>
          <w:rStyle w:val="st"/>
        </w:rPr>
        <w:t xml:space="preserve"> </w:t>
      </w:r>
      <w:r w:rsidR="00BF2FB3" w:rsidRPr="00273106">
        <w:rPr>
          <w:rStyle w:val="st"/>
        </w:rPr>
        <w:t xml:space="preserve">přechodem od singulárního bytí první substance k univerzální kategoriální predikaci na úrovni druhé substance. </w:t>
      </w:r>
      <w:r w:rsidR="00BF2FB3" w:rsidRPr="00273106">
        <w:t>Kategoriální predikace se vztahuje k hyparchické vazbě mezi první a druhou substancí</w:t>
      </w:r>
      <w:r w:rsidR="00BF2FB3">
        <w:t xml:space="preserve">, protože reálná </w:t>
      </w:r>
      <w:r w:rsidR="00BF2FB3">
        <w:lastRenderedPageBreak/>
        <w:t xml:space="preserve">existence první substance zakládá její kategoriální </w:t>
      </w:r>
      <w:r w:rsidR="00835F28">
        <w:t xml:space="preserve">impozici </w:t>
      </w:r>
      <w:r w:rsidR="00BF2FB3">
        <w:t>v mysli</w:t>
      </w:r>
      <w:r w:rsidR="00BF2FB3" w:rsidRPr="00273106">
        <w:t xml:space="preserve">. Co jedinečně existuje v realitě, to je univočně a univerzálně predikováno vzhledem ke </w:t>
      </w:r>
      <w:r w:rsidR="00815E49">
        <w:t xml:space="preserve">species </w:t>
      </w:r>
      <w:r w:rsidR="00BF2FB3" w:rsidRPr="00273106">
        <w:t>jako základní univoční a rodové</w:t>
      </w:r>
      <w:r w:rsidR="08F015B2">
        <w:t xml:space="preserve"> jednoty významu. Pak te</w:t>
      </w:r>
      <w:r w:rsidR="087E7FD9">
        <w:t>p</w:t>
      </w:r>
      <w:r w:rsidR="08F015B2">
        <w:t>r</w:t>
      </w:r>
      <w:r w:rsidR="087E7FD9">
        <w:t>ve vznikne pravdi</w:t>
      </w:r>
      <w:r w:rsidR="08F015B2">
        <w:t>vá predikace esence jako poslední</w:t>
      </w:r>
      <w:r w:rsidR="087E7FD9">
        <w:t>ho čtvrtého principu poznání</w:t>
      </w:r>
      <w:r w:rsidR="0045228C">
        <w:t xml:space="preserve">. Esence </w:t>
      </w:r>
      <w:r w:rsidR="086C5025">
        <w:t xml:space="preserve">podle základního zkoumání </w:t>
      </w:r>
      <w:r w:rsidR="086C5025" w:rsidRPr="086C5025">
        <w:rPr>
          <w:i/>
        </w:rPr>
        <w:t>Analytik</w:t>
      </w:r>
      <w:r w:rsidR="086C5025">
        <w:t xml:space="preserve"> </w:t>
      </w:r>
      <w:r w:rsidR="087E7FD9">
        <w:t xml:space="preserve">určuje </w:t>
      </w:r>
      <w:r w:rsidR="0045228C">
        <w:t xml:space="preserve">jako poslední </w:t>
      </w:r>
      <w:r w:rsidR="00EF5491">
        <w:t xml:space="preserve">člen </w:t>
      </w:r>
      <w:r w:rsidR="087E7FD9">
        <w:t xml:space="preserve">v řádu univerzality, </w:t>
      </w:r>
      <w:r w:rsidR="087E7FD9" w:rsidRPr="086C5025">
        <w:t xml:space="preserve">co je </w:t>
      </w:r>
      <w:r w:rsidR="00EF5491">
        <w:t xml:space="preserve">univerzální </w:t>
      </w:r>
      <w:r w:rsidR="087E7FD9" w:rsidRPr="086C5025">
        <w:t xml:space="preserve">bytí </w:t>
      </w:r>
      <w:r w:rsidR="0045228C">
        <w:t xml:space="preserve">poznané </w:t>
      </w:r>
      <w:r w:rsidR="087E7FD9" w:rsidRPr="086C5025">
        <w:t>věci (</w:t>
      </w:r>
      <w:r w:rsidR="086C5025" w:rsidRPr="086C5025">
        <w:t xml:space="preserve">ζητοῦμεν δὲ τέτταρα, τὸ ὅτι, τὸ διότι, εἰ ἔστι, τί ἐστιν, </w:t>
      </w:r>
      <w:r w:rsidR="087E7FD9" w:rsidRPr="08991C3D">
        <w:rPr>
          <w:i/>
        </w:rPr>
        <w:t>Anal. Post</w:t>
      </w:r>
      <w:r w:rsidR="087E7FD9" w:rsidRPr="086C5025">
        <w:t>. 89</w:t>
      </w:r>
      <w:r w:rsidR="08FF0485" w:rsidRPr="086C5025">
        <w:t>b</w:t>
      </w:r>
      <w:r w:rsidR="086C5025" w:rsidRPr="086C5025">
        <w:t>24‒</w:t>
      </w:r>
      <w:r w:rsidR="087E7FD9" w:rsidRPr="086C5025">
        <w:t>25</w:t>
      </w:r>
      <w:r w:rsidR="087E7FD9">
        <w:fldChar w:fldCharType="begin"/>
      </w:r>
      <w:r w:rsidR="087E7FD9">
        <w:instrText xml:space="preserve"> XE "Aristoteles:</w:instrText>
      </w:r>
      <w:r w:rsidR="087E7FD9" w:rsidRPr="00273106">
        <w:rPr>
          <w:i/>
        </w:rPr>
        <w:instrText>Anal. Post</w:instrText>
      </w:r>
      <w:r w:rsidR="087E7FD9">
        <w:instrText>. 89</w:instrText>
      </w:r>
      <w:r w:rsidR="08FF0485">
        <w:instrText>b</w:instrText>
      </w:r>
      <w:r w:rsidR="086C5025">
        <w:instrText>24‒</w:instrText>
      </w:r>
      <w:r w:rsidR="087E7FD9" w:rsidRPr="00273106">
        <w:instrText>25</w:instrText>
      </w:r>
      <w:r w:rsidR="087E7FD9">
        <w:instrText xml:space="preserve">" </w:instrText>
      </w:r>
      <w:r w:rsidR="087E7FD9">
        <w:fldChar w:fldCharType="end"/>
      </w:r>
      <w:r w:rsidR="087E7FD9" w:rsidRPr="00273106">
        <w:t>)</w:t>
      </w:r>
      <w:r w:rsidR="087E7FD9">
        <w:t xml:space="preserve">. </w:t>
      </w:r>
      <w:r w:rsidR="086C5025">
        <w:t xml:space="preserve">Grossetesteho výklad </w:t>
      </w:r>
      <w:r w:rsidR="087E7FD9">
        <w:t>ukazuje, že e</w:t>
      </w:r>
      <w:r w:rsidR="00BF2FB3" w:rsidRPr="00273106">
        <w:t>sence</w:t>
      </w:r>
      <w:r w:rsidR="00BF2FB3">
        <w:rPr>
          <w:i/>
          <w:iCs/>
        </w:rPr>
        <w:fldChar w:fldCharType="begin"/>
      </w:r>
      <w:r w:rsidR="00BF2FB3">
        <w:instrText xml:space="preserve"> XE "esence:druhý averroismus" </w:instrText>
      </w:r>
      <w:r w:rsidR="00BF2FB3">
        <w:rPr>
          <w:i/>
          <w:iCs/>
        </w:rPr>
        <w:fldChar w:fldCharType="end"/>
      </w:r>
      <w:r w:rsidR="00BF2FB3" w:rsidRPr="00273106">
        <w:t xml:space="preserve"> je </w:t>
      </w:r>
      <w:r w:rsidR="087E7FD9">
        <w:t xml:space="preserve">naopak </w:t>
      </w:r>
      <w:r w:rsidR="00BF2FB3" w:rsidRPr="00273106">
        <w:t xml:space="preserve">dána jako </w:t>
      </w:r>
      <w:r w:rsidR="00AD2FA7">
        <w:t xml:space="preserve">hyparchický </w:t>
      </w:r>
      <w:r w:rsidR="00BF2FB3" w:rsidRPr="00273106">
        <w:t>základ jednotlivin</w:t>
      </w:r>
      <w:r w:rsidR="008C37FD">
        <w:t>. K</w:t>
      </w:r>
      <w:r w:rsidR="008C37FD" w:rsidRPr="00273106">
        <w:t>ategoriální predikace</w:t>
      </w:r>
      <w:r w:rsidR="008C37FD">
        <w:t xml:space="preserve"> začíná od essencí jako autonomních forem, od nichž </w:t>
      </w:r>
      <w:r w:rsidR="00BF2FB3" w:rsidRPr="00273106">
        <w:t>(</w:t>
      </w:r>
      <w:r w:rsidR="00BF2FB3" w:rsidRPr="00273106">
        <w:rPr>
          <w:i/>
        </w:rPr>
        <w:t>a quibus</w:t>
      </w:r>
      <w:r w:rsidR="008C37FD">
        <w:t>) běží abstrakce jako avicennovská denudace směrem k reálním věcem</w:t>
      </w:r>
      <w:r w:rsidR="00BF2FB3" w:rsidRPr="00273106">
        <w:t xml:space="preserve">. </w:t>
      </w:r>
      <w:r w:rsidR="08615A9E">
        <w:t xml:space="preserve">Aristotelská věda </w:t>
      </w:r>
      <w:r w:rsidR="00BF2FB3" w:rsidRPr="00273106">
        <w:rPr>
          <w:rStyle w:val="st"/>
        </w:rPr>
        <w:t>postuluj</w:t>
      </w:r>
      <w:r w:rsidR="08615A9E">
        <w:rPr>
          <w:rStyle w:val="st"/>
        </w:rPr>
        <w:t>e</w:t>
      </w:r>
      <w:r w:rsidR="00BF2FB3" w:rsidRPr="00273106">
        <w:rPr>
          <w:rStyle w:val="st"/>
        </w:rPr>
        <w:t xml:space="preserve"> </w:t>
      </w:r>
      <w:r w:rsidR="00BF2FB3">
        <w:rPr>
          <w:rStyle w:val="st"/>
        </w:rPr>
        <w:t xml:space="preserve">impozici </w:t>
      </w:r>
      <w:r w:rsidR="00BF2FB3" w:rsidRPr="00273106">
        <w:rPr>
          <w:rStyle w:val="st"/>
        </w:rPr>
        <w:t xml:space="preserve">pouze na základě reálného kauzálního </w:t>
      </w:r>
      <w:r w:rsidR="00BF2FB3">
        <w:rPr>
          <w:rStyle w:val="st"/>
        </w:rPr>
        <w:t>působení prvních substancí</w:t>
      </w:r>
      <w:r w:rsidR="00BF2FB3">
        <w:rPr>
          <w:rStyle w:val="st"/>
        </w:rPr>
        <w:fldChar w:fldCharType="begin"/>
      </w:r>
      <w:r w:rsidR="00BF2FB3">
        <w:instrText xml:space="preserve"> XE "</w:instrText>
      </w:r>
      <w:r w:rsidR="00BF2FB3" w:rsidRPr="00416F07">
        <w:instrText>impozice:</w:instrText>
      </w:r>
      <w:r w:rsidR="00BF2FB3">
        <w:instrText xml:space="preserve">Aristoteles" </w:instrText>
      </w:r>
      <w:r w:rsidR="00BF2FB3">
        <w:rPr>
          <w:rStyle w:val="st"/>
        </w:rPr>
        <w:fldChar w:fldCharType="end"/>
      </w:r>
      <w:r w:rsidR="00BF2FB3">
        <w:rPr>
          <w:rStyle w:val="st"/>
        </w:rPr>
        <w:t xml:space="preserve">. To ukázal Albertův princip </w:t>
      </w:r>
      <w:r w:rsidR="00010B8E">
        <w:rPr>
          <w:rStyle w:val="st"/>
          <w:i/>
        </w:rPr>
        <w:t>inmediate</w:t>
      </w:r>
      <w:r w:rsidR="00BF2FB3" w:rsidRPr="00273106">
        <w:rPr>
          <w:rStyle w:val="st"/>
        </w:rPr>
        <w:t xml:space="preserve"> </w:t>
      </w:r>
      <w:r w:rsidR="00396C39">
        <w:rPr>
          <w:rStyle w:val="st"/>
        </w:rPr>
        <w:t xml:space="preserve">nebo </w:t>
      </w:r>
      <w:r w:rsidR="00396C39" w:rsidRPr="08D91F67">
        <w:rPr>
          <w:rStyle w:val="st"/>
          <w:i/>
        </w:rPr>
        <w:t>ex</w:t>
      </w:r>
      <w:r w:rsidR="00396C39">
        <w:rPr>
          <w:rStyle w:val="st"/>
        </w:rPr>
        <w:t xml:space="preserve"> </w:t>
      </w:r>
      <w:r w:rsidR="00396C39" w:rsidRPr="003529C5">
        <w:rPr>
          <w:rStyle w:val="st"/>
          <w:i/>
        </w:rPr>
        <w:t>inmediat</w:t>
      </w:r>
      <w:r w:rsidR="00396C39">
        <w:rPr>
          <w:rStyle w:val="st"/>
          <w:i/>
        </w:rPr>
        <w:t>is</w:t>
      </w:r>
      <w:r w:rsidR="00396C39">
        <w:rPr>
          <w:i/>
        </w:rPr>
        <w:fldChar w:fldCharType="begin"/>
      </w:r>
      <w:r w:rsidR="00396C39">
        <w:instrText xml:space="preserve"> XE "</w:instrText>
      </w:r>
      <w:r w:rsidR="00396C39" w:rsidRPr="005204DC">
        <w:instrText xml:space="preserve">princip </w:instrText>
      </w:r>
      <w:r w:rsidR="00396C39">
        <w:rPr>
          <w:i/>
        </w:rPr>
        <w:instrText>ex in</w:instrText>
      </w:r>
      <w:r w:rsidR="00396C39" w:rsidRPr="00962978">
        <w:rPr>
          <w:i/>
        </w:rPr>
        <w:instrText>mediatis</w:instrText>
      </w:r>
      <w:r w:rsidR="00396C39">
        <w:instrText xml:space="preserve">" </w:instrText>
      </w:r>
      <w:r w:rsidR="00396C39">
        <w:rPr>
          <w:i/>
        </w:rPr>
        <w:fldChar w:fldCharType="end"/>
      </w:r>
      <w:r w:rsidR="00396C39">
        <w:rPr>
          <w:rStyle w:val="st"/>
          <w:i/>
        </w:rPr>
        <w:t xml:space="preserve"> </w:t>
      </w:r>
      <w:r w:rsidR="00396C39">
        <w:rPr>
          <w:rStyle w:val="st"/>
        </w:rPr>
        <w:t xml:space="preserve">prvního averroismu. Primát reality v pojetí pravdy jako adekvace jsme komentovali </w:t>
      </w:r>
      <w:r w:rsidR="00BF2FB3">
        <w:rPr>
          <w:rStyle w:val="st"/>
        </w:rPr>
        <w:t>v p</w:t>
      </w:r>
      <w:r w:rsidR="00396C39">
        <w:rPr>
          <w:rStyle w:val="st"/>
        </w:rPr>
        <w:t xml:space="preserve">rotikladu ke druhému averroismu, který provedl ekvivalenci druhé triády poznávacích principů s první triádou. </w:t>
      </w:r>
      <w:r w:rsidR="00BF2FB3">
        <w:rPr>
          <w:rStyle w:val="st"/>
        </w:rPr>
        <w:t xml:space="preserve">Citát </w:t>
      </w:r>
      <w:r w:rsidR="00BF2FB3" w:rsidRPr="00273106">
        <w:rPr>
          <w:rStyle w:val="st"/>
        </w:rPr>
        <w:t>cháp</w:t>
      </w:r>
      <w:r w:rsidR="00BF2FB3">
        <w:rPr>
          <w:rStyle w:val="st"/>
        </w:rPr>
        <w:t>e</w:t>
      </w:r>
      <w:r w:rsidR="00BF2FB3" w:rsidRPr="00273106">
        <w:rPr>
          <w:rStyle w:val="st"/>
        </w:rPr>
        <w:t xml:space="preserve"> </w:t>
      </w:r>
      <w:r w:rsidR="00BF2FB3">
        <w:rPr>
          <w:rStyle w:val="st"/>
        </w:rPr>
        <w:t xml:space="preserve">termín </w:t>
      </w:r>
      <w:r w:rsidR="00BF2FB3" w:rsidRPr="00273106">
        <w:rPr>
          <w:i/>
        </w:rPr>
        <w:t>a quibus</w:t>
      </w:r>
      <w:r w:rsidR="00BF2FB3" w:rsidRPr="00273106">
        <w:t xml:space="preserve"> v </w:t>
      </w:r>
      <w:r w:rsidR="00BF2FB3">
        <w:t>neoplatonsk</w:t>
      </w:r>
      <w:r w:rsidR="00BF2FB3" w:rsidRPr="00273106">
        <w:t xml:space="preserve">ém významu univerzálie jako autonomní a nadřazené formy, která podle porretánů a </w:t>
      </w:r>
      <w:r w:rsidR="00BF2FB3" w:rsidRPr="00273106">
        <w:rPr>
          <w:i/>
        </w:rPr>
        <w:t>Nominales</w:t>
      </w:r>
      <w:r w:rsidR="00BF2FB3" w:rsidRPr="00273106">
        <w:t xml:space="preserve"> zakládá individuum skrze dělení univerzálií podle </w:t>
      </w:r>
      <w:r w:rsidR="00BF2FB3">
        <w:t>Porfyri</w:t>
      </w:r>
      <w:r w:rsidR="00BF2FB3" w:rsidRPr="00273106">
        <w:t>ova stromu.</w:t>
      </w:r>
      <w:r w:rsidR="087C5988">
        <w:t xml:space="preserve"> </w:t>
      </w:r>
      <w:r w:rsidR="08D82D30">
        <w:t xml:space="preserve">Pak ale nejsme v řádu reality, kde jde cesta Slunce pouze jedním směrem, </w:t>
      </w:r>
      <w:r w:rsidR="08112BCB">
        <w:t xml:space="preserve">aby mohlo ráno </w:t>
      </w:r>
      <w:r w:rsidR="08D82D30">
        <w:t xml:space="preserve">znovu vyjít. Cesta Moderních nejde k počátku věcí, protože moderna má vlastní intelekt-slunce a v jeho světle může iluminát pod vedením Fúrií chodit paranoicky a chaoticky po svém. </w:t>
      </w:r>
      <w:r w:rsidR="08B95533">
        <w:t xml:space="preserve">Proto </w:t>
      </w:r>
      <w:r w:rsidR="008F479E">
        <w:t xml:space="preserve">modernisté </w:t>
      </w:r>
      <w:r w:rsidR="08B95533">
        <w:t xml:space="preserve">zůstávají v podsvětí a řídí se metafyzikou </w:t>
      </w:r>
      <w:r w:rsidR="08586628">
        <w:t xml:space="preserve">a matematikou </w:t>
      </w:r>
      <w:r w:rsidR="08B95533">
        <w:t xml:space="preserve">Platonovy jeskyně. </w:t>
      </w:r>
      <w:r w:rsidR="00BF2FB3" w:rsidRPr="00273106">
        <w:rPr>
          <w:rStyle w:val="st"/>
        </w:rPr>
        <w:t xml:space="preserve">V případě </w:t>
      </w:r>
      <w:r w:rsidR="08B95533">
        <w:rPr>
          <w:rStyle w:val="st"/>
        </w:rPr>
        <w:t xml:space="preserve">eidetické slepoty </w:t>
      </w:r>
      <w:r w:rsidR="008F479E">
        <w:rPr>
          <w:rStyle w:val="st"/>
        </w:rPr>
        <w:t xml:space="preserve">moderny </w:t>
      </w:r>
      <w:r w:rsidR="00BF2FB3" w:rsidRPr="00273106">
        <w:rPr>
          <w:rStyle w:val="st"/>
        </w:rPr>
        <w:t xml:space="preserve">platí </w:t>
      </w:r>
      <w:r w:rsidR="00BF2FB3">
        <w:rPr>
          <w:rStyle w:val="st"/>
        </w:rPr>
        <w:t>nikoliv hyparchické, ale pro</w:t>
      </w:r>
      <w:r w:rsidR="008F479E">
        <w:rPr>
          <w:rStyle w:val="st"/>
        </w:rPr>
        <w:t>hyp</w:t>
      </w:r>
      <w:r w:rsidR="00BF2FB3">
        <w:rPr>
          <w:rStyle w:val="st"/>
        </w:rPr>
        <w:t xml:space="preserve">archické </w:t>
      </w:r>
      <w:r w:rsidR="00BF2FB3" w:rsidRPr="00273106">
        <w:rPr>
          <w:rStyle w:val="st"/>
        </w:rPr>
        <w:t xml:space="preserve">dvojení bytí podle </w:t>
      </w:r>
      <w:r w:rsidR="00BF2FB3">
        <w:rPr>
          <w:rStyle w:val="st"/>
        </w:rPr>
        <w:t>Porfyri</w:t>
      </w:r>
      <w:r w:rsidR="00BF2FB3" w:rsidRPr="00273106">
        <w:rPr>
          <w:rStyle w:val="st"/>
        </w:rPr>
        <w:t>a</w:t>
      </w:r>
      <w:r w:rsidR="087C5988">
        <w:rPr>
          <w:rStyle w:val="st"/>
        </w:rPr>
        <w:t xml:space="preserve"> </w:t>
      </w:r>
      <w:r w:rsidR="087C5988" w:rsidRPr="00273106">
        <w:rPr>
          <w:rStyle w:val="st"/>
        </w:rPr>
        <w:t>(</w:t>
      </w:r>
      <w:r w:rsidR="087C5988" w:rsidRPr="00273106">
        <w:t>διττὸν τὸ εἶναι</w:t>
      </w:r>
      <w:r w:rsidR="087C5988">
        <w:fldChar w:fldCharType="begin"/>
      </w:r>
      <w:r w:rsidR="087C5988">
        <w:instrText xml:space="preserve"> XE "zdvojení</w:instrText>
      </w:r>
      <w:r w:rsidR="087C5988" w:rsidRPr="00114862">
        <w:instrText xml:space="preserve"> bytí</w:instrText>
      </w:r>
      <w:r w:rsidR="087C5988">
        <w:instrText xml:space="preserve">" </w:instrText>
      </w:r>
      <w:r w:rsidR="087C5988">
        <w:fldChar w:fldCharType="end"/>
      </w:r>
      <w:r w:rsidR="080F7919">
        <w:t xml:space="preserve">; OBJ I, </w:t>
      </w:r>
      <w:r w:rsidR="084E7952">
        <w:rPr>
          <w:rStyle w:val="st"/>
        </w:rPr>
        <w:t>kap. 1.3</w:t>
      </w:r>
      <w:r w:rsidR="087C5988" w:rsidRPr="00273106">
        <w:rPr>
          <w:rStyle w:val="st"/>
        </w:rPr>
        <w:t>.</w:t>
      </w:r>
      <w:r w:rsidR="087C5988">
        <w:rPr>
          <w:rStyle w:val="st"/>
        </w:rPr>
        <w:t>1</w:t>
      </w:r>
      <w:r w:rsidR="087C5988" w:rsidRPr="00273106">
        <w:rPr>
          <w:rStyle w:val="st"/>
        </w:rPr>
        <w:t>)</w:t>
      </w:r>
      <w:r w:rsidR="081E552D">
        <w:rPr>
          <w:rStyle w:val="st"/>
        </w:rPr>
        <w:t xml:space="preserve">. Pak </w:t>
      </w:r>
      <w:r w:rsidR="00BF2FB3">
        <w:rPr>
          <w:rStyle w:val="st"/>
        </w:rPr>
        <w:fldChar w:fldCharType="begin"/>
      </w:r>
      <w:r w:rsidR="00BF2FB3">
        <w:instrText xml:space="preserve"> XE "</w:instrText>
      </w:r>
      <w:r w:rsidR="00BF2FB3" w:rsidRPr="00DB3A62">
        <w:instrText>predikace:proarchická</w:instrText>
      </w:r>
      <w:r w:rsidR="00BF2FB3">
        <w:instrText xml:space="preserve">" </w:instrText>
      </w:r>
      <w:r w:rsidR="00BF2FB3">
        <w:rPr>
          <w:rStyle w:val="st"/>
        </w:rPr>
        <w:fldChar w:fldCharType="end"/>
      </w:r>
      <w:r w:rsidR="00BF2FB3" w:rsidRPr="00273106">
        <w:rPr>
          <w:rStyle w:val="st"/>
        </w:rPr>
        <w:t xml:space="preserve">se bytí </w:t>
      </w:r>
      <w:r w:rsidR="081E552D">
        <w:rPr>
          <w:rStyle w:val="st"/>
        </w:rPr>
        <w:t xml:space="preserve">jsoucna </w:t>
      </w:r>
      <w:r w:rsidR="00BF2FB3" w:rsidRPr="00273106">
        <w:rPr>
          <w:rStyle w:val="st"/>
        </w:rPr>
        <w:t xml:space="preserve">dává jako transcendentálie skrze </w:t>
      </w:r>
      <w:r w:rsidR="08232620">
        <w:rPr>
          <w:rStyle w:val="st"/>
        </w:rPr>
        <w:t>bytí jako Platonův nejvyšší rod</w:t>
      </w:r>
      <w:r w:rsidR="00BF2FB3" w:rsidRPr="00273106">
        <w:rPr>
          <w:rStyle w:val="st"/>
        </w:rPr>
        <w:t xml:space="preserve"> </w:t>
      </w:r>
      <w:r w:rsidR="087C5988">
        <w:rPr>
          <w:rStyle w:val="st"/>
        </w:rPr>
        <w:t>daný neoplatonským zdvojením Jednoho</w:t>
      </w:r>
      <w:r w:rsidR="00BF2FB3" w:rsidRPr="00273106">
        <w:rPr>
          <w:rStyle w:val="st"/>
        </w:rPr>
        <w:t xml:space="preserve">. </w:t>
      </w:r>
      <w:r w:rsidR="00BF2FB3" w:rsidRPr="00273106">
        <w:t>Věci nejsou samy sebou skrze vlastní existenci, ale skrze esenci věčných forem.</w:t>
      </w:r>
      <w:r w:rsidR="00BF2FB3">
        <w:t xml:space="preserve"> </w:t>
      </w:r>
      <w:r w:rsidR="00BF2FB3">
        <w:rPr>
          <w:rStyle w:val="st"/>
        </w:rPr>
        <w:t>Tím je dán základní model predikace</w:t>
      </w:r>
      <w:r w:rsidR="00BF2FB3" w:rsidRPr="001C606C">
        <w:rPr>
          <w:i/>
        </w:rPr>
        <w:t xml:space="preserve"> </w:t>
      </w:r>
      <w:r w:rsidR="00BF2FB3" w:rsidRPr="00F922D9">
        <w:rPr>
          <w:i/>
        </w:rPr>
        <w:t>in artificialibus</w:t>
      </w:r>
      <w:r w:rsidR="081176AD">
        <w:rPr>
          <w:i/>
        </w:rPr>
        <w:fldChar w:fldCharType="begin"/>
      </w:r>
      <w:r w:rsidR="081176AD">
        <w:instrText xml:space="preserve"> XE "</w:instrText>
      </w:r>
      <w:r w:rsidR="081176AD" w:rsidRPr="08CB4C82">
        <w:rPr>
          <w:rStyle w:val="st"/>
        </w:rPr>
        <w:instrText>predikace:</w:instrText>
      </w:r>
      <w:r w:rsidR="081176AD" w:rsidRPr="08CB4C82">
        <w:rPr>
          <w:i/>
        </w:rPr>
        <w:instrText>in artificialibus</w:instrText>
      </w:r>
      <w:r w:rsidR="081176AD">
        <w:instrText xml:space="preserve">" </w:instrText>
      </w:r>
      <w:r w:rsidR="081176AD">
        <w:rPr>
          <w:i/>
        </w:rPr>
        <w:fldChar w:fldCharType="end"/>
      </w:r>
      <w:r w:rsidR="00BF2FB3">
        <w:rPr>
          <w:rStyle w:val="st"/>
        </w:rPr>
        <w:t xml:space="preserve">, který doplnil tehdy zavedený logický výklad </w:t>
      </w:r>
      <w:r w:rsidR="00BF2FB3" w:rsidRPr="001C606C">
        <w:rPr>
          <w:rStyle w:val="st"/>
          <w:i/>
        </w:rPr>
        <w:t>Kategorií</w:t>
      </w:r>
      <w:r w:rsidR="00D97119">
        <w:rPr>
          <w:rStyle w:val="st"/>
        </w:rPr>
        <w:t xml:space="preserve"> datovaný okolo roku 1230. </w:t>
      </w:r>
      <w:r w:rsidR="08DF0D00">
        <w:rPr>
          <w:rStyle w:val="st"/>
        </w:rPr>
        <w:t xml:space="preserve">Jeho vývoj ukáže </w:t>
      </w:r>
      <w:r w:rsidR="00BF2FB3">
        <w:rPr>
          <w:rStyle w:val="st"/>
        </w:rPr>
        <w:t>následující kapitola.</w:t>
      </w:r>
      <w:r w:rsidR="00BF2FB3" w:rsidRPr="082730D4">
        <w:t xml:space="preserve"> </w:t>
      </w:r>
      <w:r w:rsidR="00BF2FB3">
        <w:t>F</w:t>
      </w:r>
      <w:r w:rsidR="00EC722B">
        <w:t xml:space="preserve">atální omyly myšlení </w:t>
      </w:r>
      <w:r w:rsidR="00BF2FB3">
        <w:t xml:space="preserve">moderních vykladačů </w:t>
      </w:r>
      <w:r w:rsidR="00EC722B" w:rsidRPr="00273106">
        <w:t>zásadně napadl Bacon, Albert a Akvinský</w:t>
      </w:r>
      <w:r w:rsidR="00EC722B">
        <w:t xml:space="preserve">, protože znamenaly zásadní </w:t>
      </w:r>
      <w:r w:rsidR="00EC722B" w:rsidRPr="00273106">
        <w:t xml:space="preserve">popření </w:t>
      </w:r>
      <w:r w:rsidR="00EC722B">
        <w:t xml:space="preserve">základních </w:t>
      </w:r>
      <w:r w:rsidR="00EC722B" w:rsidRPr="00273106">
        <w:t>principů aristotelismu.</w:t>
      </w:r>
      <w:r w:rsidR="002E05A7">
        <w:rPr>
          <w:color w:val="000000"/>
        </w:rPr>
        <w:t xml:space="preserve"> </w:t>
      </w:r>
      <w:r w:rsidR="00027C96">
        <w:rPr>
          <w:color w:val="000000"/>
        </w:rPr>
        <w:t>Analytický výklad skrytě podržel n</w:t>
      </w:r>
      <w:r w:rsidR="00947A83">
        <w:rPr>
          <w:color w:val="000000"/>
        </w:rPr>
        <w:t xml:space="preserve">eoplatonský emanační model v </w:t>
      </w:r>
      <w:r w:rsidR="003863EF">
        <w:rPr>
          <w:color w:val="000000"/>
        </w:rPr>
        <w:t xml:space="preserve">porretánském </w:t>
      </w:r>
      <w:r w:rsidR="00947A83">
        <w:rPr>
          <w:color w:val="000000"/>
        </w:rPr>
        <w:t>modu komitace hypos</w:t>
      </w:r>
      <w:r w:rsidR="00670CE1">
        <w:rPr>
          <w:color w:val="000000"/>
        </w:rPr>
        <w:t>tázovaných substancí</w:t>
      </w:r>
      <w:r w:rsidR="003863EF">
        <w:rPr>
          <w:color w:val="000000"/>
        </w:rPr>
        <w:t xml:space="preserve"> v modu </w:t>
      </w:r>
      <w:r w:rsidR="003863EF" w:rsidRPr="0012644D">
        <w:rPr>
          <w:i/>
          <w:color w:val="000000"/>
        </w:rPr>
        <w:t>semel</w:t>
      </w:r>
      <w:r w:rsidR="003863EF">
        <w:rPr>
          <w:color w:val="000000"/>
        </w:rPr>
        <w:t>‒</w:t>
      </w:r>
      <w:r w:rsidR="003863EF" w:rsidRPr="0012644D">
        <w:rPr>
          <w:i/>
          <w:color w:val="000000"/>
        </w:rPr>
        <w:t>semper</w:t>
      </w:r>
      <w:r w:rsidR="003863EF">
        <w:rPr>
          <w:i/>
          <w:color w:val="000000"/>
        </w:rPr>
        <w:fldChar w:fldCharType="begin"/>
      </w:r>
      <w:r w:rsidR="003863EF">
        <w:instrText xml:space="preserve"> XE "</w:instrText>
      </w:r>
      <w:r w:rsidR="003863EF" w:rsidRPr="00E91376">
        <w:rPr>
          <w:color w:val="000000"/>
        </w:rPr>
        <w:instrText>predikace:</w:instrText>
      </w:r>
      <w:r w:rsidR="003863EF" w:rsidRPr="00775CB3">
        <w:rPr>
          <w:i/>
          <w:color w:val="000000"/>
        </w:rPr>
        <w:instrText>semel</w:instrText>
      </w:r>
      <w:r w:rsidR="003863EF" w:rsidRPr="00775CB3">
        <w:rPr>
          <w:color w:val="000000"/>
        </w:rPr>
        <w:instrText>‒</w:instrText>
      </w:r>
      <w:r w:rsidR="003863EF" w:rsidRPr="00775CB3">
        <w:rPr>
          <w:i/>
          <w:color w:val="000000"/>
        </w:rPr>
        <w:instrText>semper</w:instrText>
      </w:r>
      <w:r w:rsidR="003863EF">
        <w:instrText xml:space="preserve">" </w:instrText>
      </w:r>
      <w:r w:rsidR="003863EF">
        <w:rPr>
          <w:i/>
          <w:color w:val="000000"/>
        </w:rPr>
        <w:lastRenderedPageBreak/>
        <w:fldChar w:fldCharType="end"/>
      </w:r>
      <w:r w:rsidR="003863EF">
        <w:rPr>
          <w:color w:val="000000"/>
        </w:rPr>
        <w:t>.</w:t>
      </w:r>
      <w:r w:rsidR="00670CE1">
        <w:rPr>
          <w:color w:val="000000"/>
        </w:rPr>
        <w:t xml:space="preserve"> Tuto nauku </w:t>
      </w:r>
      <w:r w:rsidR="00947A83">
        <w:rPr>
          <w:color w:val="000000"/>
        </w:rPr>
        <w:t>kritizoval první averroi</w:t>
      </w:r>
      <w:r w:rsidR="004B3038">
        <w:rPr>
          <w:color w:val="000000"/>
        </w:rPr>
        <w:t>s</w:t>
      </w:r>
      <w:r w:rsidR="00947A83">
        <w:rPr>
          <w:color w:val="000000"/>
        </w:rPr>
        <w:t xml:space="preserve">mus v osobě biskupa Alverna odmítajího nauky </w:t>
      </w:r>
      <w:r w:rsidR="00460F3D">
        <w:rPr>
          <w:color w:val="000000"/>
        </w:rPr>
        <w:t xml:space="preserve">porretánských avicennistů </w:t>
      </w:r>
      <w:r w:rsidR="00670CE1">
        <w:rPr>
          <w:color w:val="000000"/>
        </w:rPr>
        <w:t xml:space="preserve">sdružených </w:t>
      </w:r>
      <w:r w:rsidR="00460F3D">
        <w:rPr>
          <w:color w:val="000000"/>
        </w:rPr>
        <w:t xml:space="preserve">ve škole </w:t>
      </w:r>
      <w:r w:rsidR="00947A83" w:rsidRPr="00947A83">
        <w:rPr>
          <w:i/>
          <w:color w:val="000000"/>
        </w:rPr>
        <w:t>sequaces Aristotelis</w:t>
      </w:r>
      <w:r w:rsidR="00460F3D">
        <w:rPr>
          <w:i/>
          <w:color w:val="000000"/>
        </w:rPr>
        <w:fldChar w:fldCharType="begin"/>
      </w:r>
      <w:r w:rsidR="00460F3D">
        <w:instrText xml:space="preserve"> XE "druhý averroismus:</w:instrText>
      </w:r>
      <w:r w:rsidR="00460F3D" w:rsidRPr="00A10420">
        <w:rPr>
          <w:i/>
          <w:color w:val="000000"/>
        </w:rPr>
        <w:instrText>sequaces Aristotelis</w:instrText>
      </w:r>
      <w:r w:rsidR="00460F3D">
        <w:instrText xml:space="preserve">" </w:instrText>
      </w:r>
      <w:r w:rsidR="00460F3D">
        <w:rPr>
          <w:i/>
          <w:color w:val="000000"/>
        </w:rPr>
        <w:fldChar w:fldCharType="end"/>
      </w:r>
      <w:r w:rsidR="00947A83">
        <w:rPr>
          <w:color w:val="000000"/>
        </w:rPr>
        <w:t xml:space="preserve">. </w:t>
      </w:r>
      <w:r w:rsidR="008646ED" w:rsidRPr="008646ED">
        <w:rPr>
          <w:color w:val="000000"/>
        </w:rPr>
        <w:t>Nov</w:t>
      </w:r>
      <w:r w:rsidR="008646ED">
        <w:rPr>
          <w:color w:val="000000"/>
        </w:rPr>
        <w:t xml:space="preserve">á </w:t>
      </w:r>
      <w:r w:rsidR="008646ED" w:rsidRPr="008646ED">
        <w:rPr>
          <w:color w:val="000000"/>
        </w:rPr>
        <w:t xml:space="preserve">metafyzika se držela primátu definice a formy, které jsou </w:t>
      </w:r>
      <w:r w:rsidR="008646ED">
        <w:rPr>
          <w:color w:val="000000"/>
        </w:rPr>
        <w:t xml:space="preserve">entitám </w:t>
      </w:r>
      <w:r w:rsidR="008646ED" w:rsidRPr="008646ED">
        <w:rPr>
          <w:color w:val="000000"/>
        </w:rPr>
        <w:t>při</w:t>
      </w:r>
      <w:r w:rsidR="008646ED">
        <w:rPr>
          <w:color w:val="000000"/>
        </w:rPr>
        <w:t xml:space="preserve">dávány </w:t>
      </w:r>
      <w:r w:rsidR="008646ED" w:rsidRPr="008646ED">
        <w:rPr>
          <w:color w:val="000000"/>
        </w:rPr>
        <w:t xml:space="preserve">směrem dolů, po sestupu vyšších forem do nižší sféry reality. Tím </w:t>
      </w:r>
      <w:r w:rsidR="00781DEC">
        <w:rPr>
          <w:color w:val="000000"/>
        </w:rPr>
        <w:t xml:space="preserve">modernisté </w:t>
      </w:r>
      <w:r w:rsidR="008646ED" w:rsidRPr="008646ED">
        <w:rPr>
          <w:color w:val="000000"/>
        </w:rPr>
        <w:t xml:space="preserve">ztratili teorii pravdy jako korespondence založené na existujících prvních substancích. Stejně tak ztratili pojetí deduktivní kritické vědy podle </w:t>
      </w:r>
      <w:r w:rsidR="008646ED" w:rsidRPr="008646ED">
        <w:rPr>
          <w:i/>
          <w:color w:val="000000"/>
        </w:rPr>
        <w:t>Druhých analytik</w:t>
      </w:r>
      <w:r w:rsidR="008646ED" w:rsidRPr="008646ED">
        <w:rPr>
          <w:color w:val="000000"/>
        </w:rPr>
        <w:t>, která postupuje od reálné kauzality k univerzální formě</w:t>
      </w:r>
      <w:r w:rsidR="008646ED">
        <w:rPr>
          <w:color w:val="000000"/>
        </w:rPr>
        <w:t xml:space="preserve"> v myšlení. </w:t>
      </w:r>
      <w:r w:rsidR="002F31FD">
        <w:rPr>
          <w:color w:val="000000"/>
        </w:rPr>
        <w:t xml:space="preserve">Kauzální působení a definiční výčet vztažený </w:t>
      </w:r>
      <w:r w:rsidR="002F31FD" w:rsidRPr="00F92C54">
        <w:rPr>
          <w:i/>
          <w:color w:val="000000"/>
        </w:rPr>
        <w:t>per prius</w:t>
      </w:r>
      <w:r w:rsidR="002F31FD">
        <w:rPr>
          <w:color w:val="000000"/>
        </w:rPr>
        <w:t xml:space="preserve"> k boží esenci a </w:t>
      </w:r>
      <w:r w:rsidR="002F31FD" w:rsidRPr="00F92C54">
        <w:rPr>
          <w:i/>
          <w:color w:val="000000"/>
        </w:rPr>
        <w:t>per posterius</w:t>
      </w:r>
      <w:r w:rsidR="002F31FD">
        <w:rPr>
          <w:color w:val="000000"/>
        </w:rPr>
        <w:t xml:space="preserve"> k exemplarům má univoční charakter daný v rámci </w:t>
      </w:r>
      <w:r w:rsidR="002F31FD" w:rsidRPr="005D2570">
        <w:rPr>
          <w:i/>
          <w:color w:val="000000"/>
        </w:rPr>
        <w:t>Oxfordian Fallacy</w:t>
      </w:r>
      <w:r w:rsidR="002F31FD">
        <w:rPr>
          <w:color w:val="000000"/>
        </w:rPr>
        <w:t xml:space="preserve">. </w:t>
      </w:r>
      <w:r w:rsidR="002F31FD" w:rsidRPr="00273106">
        <w:rPr>
          <w:color w:val="000000"/>
        </w:rPr>
        <w:t>Citát ukazuje, že kauzalita se oddělila od reálně existující první substance a navázala se na nominální definici substance jako nedělitelného individua.</w:t>
      </w:r>
      <w:r w:rsidR="002F31FD">
        <w:rPr>
          <w:color w:val="000000"/>
        </w:rPr>
        <w:t xml:space="preserve"> </w:t>
      </w:r>
      <w:r w:rsidR="0840788F">
        <w:rPr>
          <w:color w:val="000000"/>
        </w:rPr>
        <w:t xml:space="preserve">Tuto možnost </w:t>
      </w:r>
      <w:r w:rsidR="0840788F" w:rsidRPr="0840788F">
        <w:rPr>
          <w:i/>
          <w:color w:val="000000"/>
        </w:rPr>
        <w:t>Oxfordian Fallacy</w:t>
      </w:r>
      <w:r w:rsidR="0840788F">
        <w:rPr>
          <w:color w:val="000000"/>
        </w:rPr>
        <w:t xml:space="preserve"> tematizuje Rufus</w:t>
      </w:r>
      <w:r w:rsidR="084450CF">
        <w:rPr>
          <w:color w:val="000000"/>
        </w:rPr>
        <w:t xml:space="preserve">, jenž </w:t>
      </w:r>
      <w:r w:rsidR="0840788F">
        <w:rPr>
          <w:color w:val="000000"/>
        </w:rPr>
        <w:t xml:space="preserve">dokončí analytický výklad </w:t>
      </w:r>
      <w:r w:rsidR="0840788F" w:rsidRPr="0840788F">
        <w:rPr>
          <w:i/>
          <w:color w:val="000000"/>
        </w:rPr>
        <w:t>Druhých analytik</w:t>
      </w:r>
      <w:r w:rsidR="08776899">
        <w:rPr>
          <w:color w:val="000000"/>
        </w:rPr>
        <w:t xml:space="preserve"> okolo roku 1235. </w:t>
      </w:r>
      <w:r w:rsidR="002F31FD">
        <w:rPr>
          <w:color w:val="000000"/>
        </w:rPr>
        <w:t xml:space="preserve">Metafyzicky viděno se od sebe </w:t>
      </w:r>
      <w:r w:rsidR="00B145D8">
        <w:rPr>
          <w:color w:val="000000"/>
        </w:rPr>
        <w:t xml:space="preserve">všechny tři </w:t>
      </w:r>
      <w:r w:rsidR="002F31FD">
        <w:rPr>
          <w:color w:val="000000"/>
        </w:rPr>
        <w:t xml:space="preserve">substance </w:t>
      </w:r>
      <w:r w:rsidR="00B145D8">
        <w:rPr>
          <w:color w:val="000000"/>
        </w:rPr>
        <w:t xml:space="preserve">(první, druhá, </w:t>
      </w:r>
      <w:r w:rsidR="00B145D8" w:rsidRPr="00B145D8">
        <w:rPr>
          <w:i/>
          <w:color w:val="000000"/>
        </w:rPr>
        <w:t>individuum</w:t>
      </w:r>
      <w:r w:rsidR="00B145D8">
        <w:rPr>
          <w:color w:val="000000"/>
        </w:rPr>
        <w:t xml:space="preserve">) </w:t>
      </w:r>
      <w:r w:rsidR="002F31FD">
        <w:rPr>
          <w:color w:val="000000"/>
        </w:rPr>
        <w:t xml:space="preserve">zásadně liší, protože je odděluje různá podoba </w:t>
      </w:r>
      <w:r w:rsidR="00ED35DE">
        <w:rPr>
          <w:color w:val="000000"/>
        </w:rPr>
        <w:t xml:space="preserve">bytí </w:t>
      </w:r>
      <w:r w:rsidR="002F31FD">
        <w:rPr>
          <w:color w:val="000000"/>
        </w:rPr>
        <w:t>daná buď hyparchicky v realitě, nebo abstraktně v</w:t>
      </w:r>
      <w:r w:rsidR="00A2161B">
        <w:rPr>
          <w:color w:val="000000"/>
        </w:rPr>
        <w:t> </w:t>
      </w:r>
      <w:r w:rsidR="002F31FD">
        <w:rPr>
          <w:color w:val="000000"/>
        </w:rPr>
        <w:t>mysli</w:t>
      </w:r>
      <w:r w:rsidR="00A2161B">
        <w:rPr>
          <w:color w:val="000000"/>
        </w:rPr>
        <w:t xml:space="preserve"> skrze impozici a supozici</w:t>
      </w:r>
      <w:r w:rsidR="002F31FD">
        <w:rPr>
          <w:color w:val="000000"/>
        </w:rPr>
        <w:t xml:space="preserve">. </w:t>
      </w:r>
      <w:r w:rsidR="00AA4170">
        <w:rPr>
          <w:color w:val="000000"/>
        </w:rPr>
        <w:t xml:space="preserve">Pořadí dedukce </w:t>
      </w:r>
      <w:r w:rsidR="00A84918">
        <w:rPr>
          <w:color w:val="000000"/>
        </w:rPr>
        <w:t xml:space="preserve">pro dosažení pravdivého poznatku je dán </w:t>
      </w:r>
      <w:r w:rsidR="00AA4170">
        <w:rPr>
          <w:color w:val="000000"/>
        </w:rPr>
        <w:t xml:space="preserve">buď </w:t>
      </w:r>
      <w:r w:rsidR="00A84918">
        <w:rPr>
          <w:color w:val="000000"/>
        </w:rPr>
        <w:t>skrze kauzální impozici nebo esenciální supozici. Toto pořadí</w:t>
      </w:r>
      <w:r w:rsidR="00AA4170">
        <w:rPr>
          <w:color w:val="000000"/>
        </w:rPr>
        <w:t xml:space="preserve"> je naprosto zásadní, protože určuje dráhu metafyzického náhledu pro první a pro druhý averroismus (</w:t>
      </w:r>
      <w:r w:rsidR="00AA4170" w:rsidRPr="00AA4170">
        <w:rPr>
          <w:i/>
          <w:color w:val="000000"/>
        </w:rPr>
        <w:t>Vor</w:t>
      </w:r>
      <w:r w:rsidR="00AA4170" w:rsidRPr="00AA4170">
        <w:rPr>
          <w:i/>
          <w:color w:val="000000"/>
        </w:rPr>
        <w:noBreakHyphen/>
        <w:t>blickbahn</w:t>
      </w:r>
      <w:r w:rsidR="006B28CF">
        <w:rPr>
          <w:i/>
          <w:color w:val="000000"/>
        </w:rPr>
        <w:fldChar w:fldCharType="begin"/>
      </w:r>
      <w:r w:rsidR="006B28CF">
        <w:instrText xml:space="preserve"> XE "</w:instrText>
      </w:r>
      <w:r w:rsidR="08106DC9">
        <w:rPr>
          <w:i/>
        </w:rPr>
        <w:instrText>Vor-</w:instrText>
      </w:r>
      <w:r w:rsidR="006B28CF" w:rsidRPr="000C66F2">
        <w:rPr>
          <w:i/>
        </w:rPr>
        <w:instrText>b</w:instrText>
      </w:r>
      <w:r w:rsidR="006B28CF" w:rsidRPr="000C66F2">
        <w:rPr>
          <w:i/>
          <w:iCs/>
        </w:rPr>
        <w:instrText>lickbahn</w:instrText>
      </w:r>
      <w:r w:rsidR="00C05DF9">
        <w:rPr>
          <w:iCs/>
        </w:rPr>
        <w:instrText>:Grosseteste</w:instrText>
      </w:r>
      <w:r w:rsidR="006B28CF">
        <w:instrText xml:space="preserve">" </w:instrText>
      </w:r>
      <w:r w:rsidR="006B28CF">
        <w:rPr>
          <w:i/>
          <w:color w:val="000000"/>
        </w:rPr>
        <w:fldChar w:fldCharType="end"/>
      </w:r>
      <w:r w:rsidR="00AA4170">
        <w:rPr>
          <w:color w:val="000000"/>
        </w:rPr>
        <w:t xml:space="preserve">). </w:t>
      </w:r>
      <w:r w:rsidR="008F24DE">
        <w:rPr>
          <w:color w:val="000000"/>
        </w:rPr>
        <w:t xml:space="preserve">Ve druhém případě ontoteologické dedukce ve stylu </w:t>
      </w:r>
      <w:r w:rsidR="008F24DE" w:rsidRPr="008F24DE">
        <w:rPr>
          <w:i/>
          <w:color w:val="000000"/>
        </w:rPr>
        <w:t>Oxfordian Fallacy</w:t>
      </w:r>
      <w:r w:rsidR="08F10E04">
        <w:rPr>
          <w:color w:val="000000"/>
        </w:rPr>
        <w:t xml:space="preserve"> se hájí moderní teorie jedné pravdy</w:t>
      </w:r>
      <w:r w:rsidR="0094476B">
        <w:rPr>
          <w:color w:val="000000"/>
        </w:rPr>
        <w:fldChar w:fldCharType="begin"/>
      </w:r>
      <w:r w:rsidR="0094476B">
        <w:instrText xml:space="preserve"> XE "</w:instrText>
      </w:r>
      <w:r w:rsidR="0094476B" w:rsidRPr="00680C88">
        <w:rPr>
          <w:color w:val="000000"/>
        </w:rPr>
        <w:instrText>odsouzení 1277</w:instrText>
      </w:r>
      <w:r w:rsidR="0094476B">
        <w:instrText xml:space="preserve">" </w:instrText>
      </w:r>
      <w:r w:rsidR="0094476B">
        <w:rPr>
          <w:color w:val="000000"/>
        </w:rPr>
        <w:fldChar w:fldCharType="end"/>
      </w:r>
      <w:r w:rsidR="008F24DE">
        <w:rPr>
          <w:color w:val="000000"/>
        </w:rPr>
        <w:t xml:space="preserve">. </w:t>
      </w:r>
      <w:r w:rsidR="00AE02BD">
        <w:rPr>
          <w:color w:val="000000"/>
        </w:rPr>
        <w:t xml:space="preserve">Jednota </w:t>
      </w:r>
      <w:r w:rsidR="00266703">
        <w:rPr>
          <w:color w:val="000000"/>
        </w:rPr>
        <w:t xml:space="preserve">moderní </w:t>
      </w:r>
      <w:r w:rsidR="00AE02BD">
        <w:rPr>
          <w:color w:val="000000"/>
        </w:rPr>
        <w:t xml:space="preserve">pravdy stojí na ontoteologické nutnosti, která má mytologický charakter. Moderna stvořila </w:t>
      </w:r>
      <w:r w:rsidR="00AE02BD" w:rsidRPr="00AE02BD">
        <w:rPr>
          <w:i/>
          <w:color w:val="000000"/>
        </w:rPr>
        <w:t>ex nihilo</w:t>
      </w:r>
      <w:r w:rsidR="00266703">
        <w:rPr>
          <w:i/>
          <w:color w:val="000000"/>
        </w:rPr>
        <w:fldChar w:fldCharType="begin"/>
      </w:r>
      <w:r w:rsidR="00266703">
        <w:instrText xml:space="preserve"> XE "</w:instrText>
      </w:r>
      <w:r w:rsidR="00266703" w:rsidRPr="002647A8">
        <w:rPr>
          <w:i/>
          <w:color w:val="000000"/>
        </w:rPr>
        <w:instrText>creatio ex nihilo</w:instrText>
      </w:r>
      <w:r w:rsidR="00266703">
        <w:instrText xml:space="preserve">" </w:instrText>
      </w:r>
      <w:r w:rsidR="00266703">
        <w:rPr>
          <w:i/>
          <w:color w:val="000000"/>
        </w:rPr>
        <w:fldChar w:fldCharType="end"/>
      </w:r>
      <w:r w:rsidR="00AE02BD">
        <w:rPr>
          <w:color w:val="000000"/>
        </w:rPr>
        <w:t xml:space="preserve"> boží </w:t>
      </w:r>
      <w:r w:rsidR="00AE02BD" w:rsidRPr="008E5D7B">
        <w:rPr>
          <w:i/>
          <w:szCs w:val="24"/>
        </w:rPr>
        <w:t>individuum</w:t>
      </w:r>
      <w:r w:rsidR="00AE02BD">
        <w:rPr>
          <w:szCs w:val="24"/>
        </w:rPr>
        <w:t xml:space="preserve">, které svým osvíceným myšlením garantuje správnost a jistotu jím produkovaných </w:t>
      </w:r>
      <w:r w:rsidR="00AE02BD" w:rsidRPr="00AE02BD">
        <w:rPr>
          <w:i/>
          <w:szCs w:val="24"/>
        </w:rPr>
        <w:t>tertium ens</w:t>
      </w:r>
      <w:r w:rsidR="00AE02BD">
        <w:rPr>
          <w:szCs w:val="24"/>
        </w:rPr>
        <w:t>.</w:t>
      </w:r>
      <w:r w:rsidR="00266703">
        <w:rPr>
          <w:color w:val="000000"/>
        </w:rPr>
        <w:t xml:space="preserve"> </w:t>
      </w:r>
      <w:r w:rsidR="00316A2D" w:rsidRPr="00316A2D">
        <w:rPr>
          <w:color w:val="000000"/>
        </w:rPr>
        <w:t xml:space="preserve">Teorie jediné pravdy </w:t>
      </w:r>
      <w:r w:rsidR="00316A2D">
        <w:rPr>
          <w:color w:val="000000"/>
        </w:rPr>
        <w:t xml:space="preserve">importovala </w:t>
      </w:r>
      <w:r w:rsidR="00316A2D" w:rsidRPr="00316A2D">
        <w:rPr>
          <w:color w:val="000000"/>
        </w:rPr>
        <w:t xml:space="preserve">božskou individualitu do </w:t>
      </w:r>
      <w:r w:rsidR="00316A2D">
        <w:rPr>
          <w:color w:val="000000"/>
        </w:rPr>
        <w:t xml:space="preserve">moderní </w:t>
      </w:r>
      <w:r w:rsidR="00316A2D" w:rsidRPr="00316A2D">
        <w:rPr>
          <w:color w:val="000000"/>
        </w:rPr>
        <w:t>filosofie v režimu onto-teologické nutnosti.</w:t>
      </w:r>
      <w:r w:rsidR="00316A2D">
        <w:rPr>
          <w:color w:val="000000"/>
        </w:rPr>
        <w:t xml:space="preserve"> </w:t>
      </w:r>
      <w:r w:rsidR="005E66A4" w:rsidRPr="00273106">
        <w:rPr>
          <w:color w:val="000000"/>
        </w:rPr>
        <w:t>V</w:t>
      </w:r>
      <w:r w:rsidR="005D2570">
        <w:rPr>
          <w:color w:val="000000"/>
        </w:rPr>
        <w:t>idění světa chápe kontingentní existenci</w:t>
      </w:r>
      <w:r w:rsidR="00FC6212">
        <w:rPr>
          <w:color w:val="000000"/>
        </w:rPr>
        <w:t xml:space="preserve"> věcí</w:t>
      </w:r>
      <w:r w:rsidR="005E66A4" w:rsidRPr="00273106">
        <w:rPr>
          <w:color w:val="000000"/>
        </w:rPr>
        <w:t xml:space="preserve"> </w:t>
      </w:r>
      <w:r w:rsidR="00FC6212">
        <w:rPr>
          <w:color w:val="000000"/>
        </w:rPr>
        <w:t xml:space="preserve">skrze </w:t>
      </w:r>
      <w:r w:rsidR="005D2570">
        <w:rPr>
          <w:color w:val="000000"/>
        </w:rPr>
        <w:t xml:space="preserve">dedukci hypostázované </w:t>
      </w:r>
      <w:r w:rsidR="00E857B6">
        <w:rPr>
          <w:color w:val="000000"/>
        </w:rPr>
        <w:t>„substance–</w:t>
      </w:r>
      <w:r w:rsidR="005D2570">
        <w:rPr>
          <w:color w:val="000000"/>
        </w:rPr>
        <w:t>esence</w:t>
      </w:r>
      <w:r w:rsidR="00E857B6">
        <w:rPr>
          <w:color w:val="000000"/>
        </w:rPr>
        <w:t xml:space="preserve">“ </w:t>
      </w:r>
      <w:r w:rsidR="00FC6212">
        <w:rPr>
          <w:color w:val="000000"/>
        </w:rPr>
        <w:t xml:space="preserve">chápané </w:t>
      </w:r>
      <w:r w:rsidR="00E857B6">
        <w:rPr>
          <w:color w:val="000000"/>
        </w:rPr>
        <w:t xml:space="preserve">jako </w:t>
      </w:r>
      <w:r w:rsidR="002E30FF" w:rsidRPr="002E30FF">
        <w:rPr>
          <w:color w:val="000000"/>
        </w:rPr>
        <w:t>species</w:t>
      </w:r>
      <w:r w:rsidR="005D2570">
        <w:rPr>
          <w:color w:val="000000"/>
        </w:rPr>
        <w:t xml:space="preserve"> </w:t>
      </w:r>
      <w:r w:rsidR="00E857B6">
        <w:rPr>
          <w:color w:val="000000"/>
        </w:rPr>
        <w:t xml:space="preserve">nebo </w:t>
      </w:r>
      <w:r w:rsidR="00E857B6" w:rsidRPr="00ED7C6B">
        <w:rPr>
          <w:color w:val="000000"/>
        </w:rPr>
        <w:t>e</w:t>
      </w:r>
      <w:r w:rsidR="005D2570" w:rsidRPr="00ED7C6B">
        <w:rPr>
          <w:color w:val="000000"/>
        </w:rPr>
        <w:t>xemplar</w:t>
      </w:r>
      <w:r w:rsidR="00B7167E" w:rsidRPr="00ED7C6B">
        <w:rPr>
          <w:color w:val="000000"/>
        </w:rPr>
        <w:fldChar w:fldCharType="begin"/>
      </w:r>
      <w:r w:rsidR="00B7167E" w:rsidRPr="00ED7C6B">
        <w:instrText xml:space="preserve"> XE "exemplar" </w:instrText>
      </w:r>
      <w:r w:rsidR="00B7167E" w:rsidRPr="00ED7C6B">
        <w:rPr>
          <w:color w:val="000000"/>
        </w:rPr>
        <w:fldChar w:fldCharType="end"/>
      </w:r>
      <w:r w:rsidR="00FC6212">
        <w:rPr>
          <w:color w:val="000000"/>
        </w:rPr>
        <w:t>. Myšlení iluminátů vidí svět jako pomíjivou</w:t>
      </w:r>
      <w:r w:rsidR="005D2570">
        <w:rPr>
          <w:color w:val="000000"/>
        </w:rPr>
        <w:t xml:space="preserve"> </w:t>
      </w:r>
      <w:r w:rsidR="00743076" w:rsidRPr="00273106">
        <w:rPr>
          <w:color w:val="000000"/>
        </w:rPr>
        <w:t>realit</w:t>
      </w:r>
      <w:r w:rsidR="00FC6212">
        <w:rPr>
          <w:color w:val="000000"/>
        </w:rPr>
        <w:t>u</w:t>
      </w:r>
      <w:r w:rsidR="00E30666">
        <w:rPr>
          <w:color w:val="000000"/>
        </w:rPr>
        <w:t xml:space="preserve"> prvních substancí podrobených vzniku a zániku</w:t>
      </w:r>
      <w:r w:rsidR="00A05BAB" w:rsidRPr="00273106">
        <w:rPr>
          <w:color w:val="000000"/>
        </w:rPr>
        <w:t xml:space="preserve">. </w:t>
      </w:r>
      <w:r w:rsidR="0035214C" w:rsidRPr="00273106">
        <w:rPr>
          <w:color w:val="000000"/>
        </w:rPr>
        <w:t xml:space="preserve">Stejným stylem běží dělení rodu na </w:t>
      </w:r>
      <w:r w:rsidR="009944D8">
        <w:rPr>
          <w:color w:val="000000"/>
        </w:rPr>
        <w:t>druh a na individuum v rámci Porfy</w:t>
      </w:r>
      <w:r w:rsidR="0035214C" w:rsidRPr="00273106">
        <w:rPr>
          <w:color w:val="000000"/>
        </w:rPr>
        <w:t xml:space="preserve">riova stromu podle školy </w:t>
      </w:r>
      <w:r w:rsidR="0035214C" w:rsidRPr="00273106">
        <w:rPr>
          <w:i/>
          <w:color w:val="000000"/>
        </w:rPr>
        <w:t>Nominales</w:t>
      </w:r>
      <w:r w:rsidR="0035214C" w:rsidRPr="00273106">
        <w:rPr>
          <w:color w:val="000000"/>
        </w:rPr>
        <w:t xml:space="preserve">. </w:t>
      </w:r>
      <w:r w:rsidR="001F5DEE">
        <w:rPr>
          <w:color w:val="000000"/>
        </w:rPr>
        <w:t xml:space="preserve">Rufus z Cornwallu radikalizuje </w:t>
      </w:r>
      <w:r w:rsidR="000E4C37">
        <w:rPr>
          <w:color w:val="000000"/>
        </w:rPr>
        <w:t xml:space="preserve">analytické </w:t>
      </w:r>
      <w:r w:rsidR="00A05BAB" w:rsidRPr="00273106">
        <w:rPr>
          <w:color w:val="000000"/>
        </w:rPr>
        <w:t>pojetí „</w:t>
      </w:r>
      <w:r w:rsidR="00A05BAB" w:rsidRPr="00273106">
        <w:rPr>
          <w:i/>
          <w:color w:val="000000"/>
        </w:rPr>
        <w:t>exsistere</w:t>
      </w:r>
      <w:r w:rsidR="005A68A7">
        <w:rPr>
          <w:i/>
          <w:color w:val="000000"/>
        </w:rPr>
        <w:fldChar w:fldCharType="begin"/>
      </w:r>
      <w:r w:rsidR="005A68A7">
        <w:instrText xml:space="preserve"> XE "</w:instrText>
      </w:r>
      <w:r w:rsidR="005A68A7" w:rsidRPr="008E07A9">
        <w:rPr>
          <w:i/>
        </w:rPr>
        <w:instrText>exsistere</w:instrText>
      </w:r>
      <w:r w:rsidR="00C05DF9" w:rsidRPr="00C05DF9">
        <w:instrText>:Rufus</w:instrText>
      </w:r>
      <w:r w:rsidR="005A68A7">
        <w:instrText xml:space="preserve">" </w:instrText>
      </w:r>
      <w:r w:rsidR="005A68A7">
        <w:rPr>
          <w:i/>
          <w:color w:val="000000"/>
        </w:rPr>
        <w:fldChar w:fldCharType="end"/>
      </w:r>
      <w:r w:rsidR="00A05BAB" w:rsidRPr="00273106">
        <w:rPr>
          <w:color w:val="000000"/>
        </w:rPr>
        <w:t xml:space="preserve">“ </w:t>
      </w:r>
      <w:r w:rsidR="001F5DEE">
        <w:rPr>
          <w:color w:val="000000"/>
        </w:rPr>
        <w:t xml:space="preserve">tak, že </w:t>
      </w:r>
      <w:r w:rsidR="00A05BAB" w:rsidRPr="00273106">
        <w:rPr>
          <w:color w:val="000000"/>
        </w:rPr>
        <w:t xml:space="preserve">zcela </w:t>
      </w:r>
      <w:r w:rsidR="00A00B7F">
        <w:rPr>
          <w:color w:val="000000"/>
        </w:rPr>
        <w:t>z</w:t>
      </w:r>
      <w:r w:rsidR="00A05BAB" w:rsidRPr="00273106">
        <w:rPr>
          <w:color w:val="000000"/>
        </w:rPr>
        <w:t xml:space="preserve">ruší </w:t>
      </w:r>
      <w:r w:rsidR="00C05DF9">
        <w:rPr>
          <w:color w:val="000000"/>
        </w:rPr>
        <w:t>původní hyparchický</w:t>
      </w:r>
      <w:r w:rsidR="00C05DF9" w:rsidRPr="00273106">
        <w:rPr>
          <w:color w:val="000000"/>
        </w:rPr>
        <w:t xml:space="preserve"> </w:t>
      </w:r>
      <w:r w:rsidR="00A05BAB" w:rsidRPr="00273106">
        <w:rPr>
          <w:color w:val="000000"/>
        </w:rPr>
        <w:t xml:space="preserve">smysl </w:t>
      </w:r>
      <w:r w:rsidR="00A05BAB" w:rsidRPr="00273106">
        <w:rPr>
          <w:i/>
          <w:color w:val="000000"/>
        </w:rPr>
        <w:t>ex</w:t>
      </w:r>
      <w:r w:rsidR="009944D8">
        <w:rPr>
          <w:color w:val="000000"/>
        </w:rPr>
        <w:t xml:space="preserve"> </w:t>
      </w:r>
      <w:r w:rsidR="08D91F67">
        <w:rPr>
          <w:i/>
          <w:color w:val="000000"/>
        </w:rPr>
        <w:t>in</w:t>
      </w:r>
      <w:r w:rsidR="009944D8" w:rsidRPr="009944D8">
        <w:rPr>
          <w:i/>
          <w:color w:val="000000"/>
        </w:rPr>
        <w:t>mediatis</w:t>
      </w:r>
      <w:r w:rsidR="00A05BAB" w:rsidRPr="00273106">
        <w:rPr>
          <w:color w:val="000000"/>
        </w:rPr>
        <w:t xml:space="preserve"> </w:t>
      </w:r>
      <w:r w:rsidR="00C05DF9">
        <w:rPr>
          <w:color w:val="000000"/>
        </w:rPr>
        <w:t xml:space="preserve">daný ve </w:t>
      </w:r>
      <w:r w:rsidR="00A05BAB" w:rsidRPr="00593407">
        <w:rPr>
          <w:i/>
          <w:color w:val="000000"/>
        </w:rPr>
        <w:t>Druhých analytik</w:t>
      </w:r>
      <w:r w:rsidR="00C05DF9" w:rsidRPr="00593407">
        <w:rPr>
          <w:i/>
          <w:color w:val="000000"/>
        </w:rPr>
        <w:t>ách</w:t>
      </w:r>
      <w:r w:rsidR="007F410E">
        <w:rPr>
          <w:color w:val="000000"/>
        </w:rPr>
        <w:t xml:space="preserve"> (</w:t>
      </w:r>
      <w:r w:rsidR="08E466EE">
        <w:rPr>
          <w:szCs w:val="22"/>
        </w:rPr>
        <w:t>kap. 3</w:t>
      </w:r>
      <w:r w:rsidR="007F410E" w:rsidRPr="00273106">
        <w:rPr>
          <w:szCs w:val="22"/>
        </w:rPr>
        <w:t>.3.2</w:t>
      </w:r>
      <w:r w:rsidR="007F410E">
        <w:rPr>
          <w:color w:val="000000"/>
        </w:rPr>
        <w:t>)</w:t>
      </w:r>
      <w:r w:rsidR="00A05BAB" w:rsidRPr="00273106">
        <w:rPr>
          <w:color w:val="000000"/>
        </w:rPr>
        <w:t xml:space="preserve">. </w:t>
      </w:r>
      <w:r w:rsidR="080F57A8" w:rsidRPr="00273106">
        <w:rPr>
          <w:color w:val="000000"/>
        </w:rPr>
        <w:t>Vzpomeňme Gilbertovu definici první moderní „ex</w:t>
      </w:r>
      <w:r w:rsidR="080F57A8">
        <w:rPr>
          <w:color w:val="000000"/>
        </w:rPr>
        <w:t>s</w:t>
      </w:r>
      <w:r w:rsidR="080F57A8" w:rsidRPr="00273106">
        <w:rPr>
          <w:color w:val="000000"/>
        </w:rPr>
        <w:t>istence“ tohoto druhu jako participaci na esenci (</w:t>
      </w:r>
      <w:r w:rsidR="080F57A8" w:rsidRPr="00273106">
        <w:rPr>
          <w:i/>
          <w:color w:val="000000"/>
        </w:rPr>
        <w:t>participatio, qua subsistens</w:t>
      </w:r>
      <w:r w:rsidR="08E466EE">
        <w:rPr>
          <w:color w:val="000000"/>
        </w:rPr>
        <w:t>, kap. 1</w:t>
      </w:r>
      <w:r w:rsidR="080F57A8" w:rsidRPr="00273106">
        <w:rPr>
          <w:color w:val="000000"/>
        </w:rPr>
        <w:t>.4).</w:t>
      </w:r>
      <w:r w:rsidR="080F57A8">
        <w:rPr>
          <w:color w:val="000000"/>
        </w:rPr>
        <w:t xml:space="preserve"> </w:t>
      </w:r>
      <w:r w:rsidR="007F5AFF">
        <w:t xml:space="preserve">Porretánská entita s </w:t>
      </w:r>
      <w:r w:rsidR="00E86BC5" w:rsidRPr="00273106">
        <w:t>atomární</w:t>
      </w:r>
      <w:r w:rsidR="007F5AFF">
        <w:t>m</w:t>
      </w:r>
      <w:r w:rsidR="00E86BC5" w:rsidRPr="00273106">
        <w:t xml:space="preserve"> v</w:t>
      </w:r>
      <w:r w:rsidR="00593407">
        <w:t>ýznam</w:t>
      </w:r>
      <w:r w:rsidR="007F5AFF">
        <w:t>em</w:t>
      </w:r>
      <w:r w:rsidR="00593407">
        <w:t xml:space="preserve"> </w:t>
      </w:r>
      <w:r w:rsidR="007F5AFF">
        <w:t>je daná</w:t>
      </w:r>
      <w:r w:rsidR="00593407">
        <w:t xml:space="preserve"> na konci dělení Porfy</w:t>
      </w:r>
      <w:r w:rsidR="00E86BC5" w:rsidRPr="00273106">
        <w:t>riova stromu (</w:t>
      </w:r>
      <w:r w:rsidR="00E86BC5" w:rsidRPr="00273106">
        <w:rPr>
          <w:i/>
        </w:rPr>
        <w:t>individuum</w:t>
      </w:r>
      <w:r w:rsidR="007F5AFF">
        <w:t xml:space="preserve">). Tam </w:t>
      </w:r>
      <w:r w:rsidR="00EC2530">
        <w:lastRenderedPageBreak/>
        <w:t xml:space="preserve">se </w:t>
      </w:r>
      <w:r w:rsidR="00EC2530" w:rsidRPr="00EC2530">
        <w:t>objevuje v modu</w:t>
      </w:r>
      <w:r w:rsidR="00EC2530">
        <w:t xml:space="preserve"> „</w:t>
      </w:r>
      <w:r w:rsidR="00EC2530" w:rsidRPr="00EC2530">
        <w:rPr>
          <w:i/>
        </w:rPr>
        <w:t>qua</w:t>
      </w:r>
      <w:r w:rsidR="00EC2530">
        <w:t>“</w:t>
      </w:r>
      <w:r w:rsidR="00EC2530" w:rsidRPr="00EC2530">
        <w:t xml:space="preserve">, který moderna považuje za </w:t>
      </w:r>
      <w:r w:rsidR="00EC2530" w:rsidRPr="00EC2530">
        <w:rPr>
          <w:i/>
        </w:rPr>
        <w:t>actus essendi</w:t>
      </w:r>
      <w:r w:rsidR="00EC2530">
        <w:rPr>
          <w:i/>
        </w:rPr>
        <w:fldChar w:fldCharType="begin"/>
      </w:r>
      <w:r w:rsidR="00EC2530">
        <w:instrText xml:space="preserve"> XE "</w:instrText>
      </w:r>
      <w:r w:rsidR="00EC2530" w:rsidRPr="004402F2">
        <w:rPr>
          <w:i/>
        </w:rPr>
        <w:instrText>actus essendi</w:instrText>
      </w:r>
      <w:r w:rsidR="00EC2530">
        <w:instrText xml:space="preserve">" </w:instrText>
      </w:r>
      <w:r w:rsidR="00EC2530">
        <w:rPr>
          <w:i/>
        </w:rPr>
        <w:fldChar w:fldCharType="end"/>
      </w:r>
      <w:r w:rsidR="00EC2530" w:rsidRPr="00EC2530">
        <w:t>.</w:t>
      </w:r>
      <w:r w:rsidR="00EC2530">
        <w:t xml:space="preserve"> Tento nesmysl </w:t>
      </w:r>
      <w:r w:rsidR="00E86BC5" w:rsidRPr="00273106">
        <w:t xml:space="preserve">perfektně zapadl do </w:t>
      </w:r>
      <w:r w:rsidR="08E12457">
        <w:t xml:space="preserve">analytické </w:t>
      </w:r>
      <w:r w:rsidR="00E86BC5" w:rsidRPr="00273106">
        <w:t xml:space="preserve">definice středního členu </w:t>
      </w:r>
      <w:r w:rsidR="00994936">
        <w:t xml:space="preserve">mytologického </w:t>
      </w:r>
      <w:r w:rsidR="00E86BC5" w:rsidRPr="00273106">
        <w:t>soudu</w:t>
      </w:r>
      <w:r w:rsidR="002A253A">
        <w:t>. P</w:t>
      </w:r>
      <w:r w:rsidR="00EE087E">
        <w:t xml:space="preserve">orretánské </w:t>
      </w:r>
      <w:r w:rsidR="00E86BC5" w:rsidRPr="00273106">
        <w:t xml:space="preserve">individuum </w:t>
      </w:r>
      <w:r w:rsidR="086813F2">
        <w:t xml:space="preserve">je </w:t>
      </w:r>
      <w:r w:rsidR="007B6488">
        <w:t>substancí, která je současně hyparchická, individální a univerzální</w:t>
      </w:r>
      <w:r w:rsidR="00A20631">
        <w:fldChar w:fldCharType="begin"/>
      </w:r>
      <w:r w:rsidR="00A20631">
        <w:instrText xml:space="preserve"> XE "</w:instrText>
      </w:r>
      <w:r w:rsidR="00A20631" w:rsidRPr="00422B30">
        <w:instrText>substance:individuum</w:instrText>
      </w:r>
      <w:r w:rsidR="00A20631">
        <w:instrText xml:space="preserve">" </w:instrText>
      </w:r>
      <w:r w:rsidR="00A20631">
        <w:fldChar w:fldCharType="end"/>
      </w:r>
      <w:r w:rsidR="086813F2">
        <w:t>. Střední člen</w:t>
      </w:r>
      <w:r w:rsidR="005C4D53">
        <w:t xml:space="preserve"> apodiktického </w:t>
      </w:r>
      <w:r w:rsidR="086813F2">
        <w:t>soudu obsahuje</w:t>
      </w:r>
      <w:r w:rsidR="00E86BC5" w:rsidRPr="00273106">
        <w:t xml:space="preserve"> jednotlivinu formovanou konceptem látky třetího druhu. </w:t>
      </w:r>
      <w:r w:rsidR="081F10B0">
        <w:t>N</w:t>
      </w:r>
      <w:r w:rsidR="00874074">
        <w:t>eoplatonsk</w:t>
      </w:r>
      <w:r w:rsidR="00E86BC5" w:rsidRPr="00273106">
        <w:t>á materie byla zavedena skrze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81F10B0">
        <w:t xml:space="preserve"> v </w:t>
      </w:r>
      <w:r w:rsidR="00E86BC5" w:rsidRPr="00273106">
        <w:t>Oxfordu hned v následující dekádě po zavedení analytického výkla</w:t>
      </w:r>
      <w:r w:rsidR="00943DC1">
        <w:t xml:space="preserve">du </w:t>
      </w:r>
      <w:r w:rsidR="00943DC1" w:rsidRPr="00E20EE4">
        <w:rPr>
          <w:i/>
        </w:rPr>
        <w:t>Druhých Analytik</w:t>
      </w:r>
      <w:r w:rsidR="08F6114D">
        <w:t xml:space="preserve"> (kap. 3</w:t>
      </w:r>
      <w:r w:rsidR="00943DC1">
        <w:t xml:space="preserve">.2). </w:t>
      </w:r>
      <w:r w:rsidR="003B7D19" w:rsidRPr="00273106">
        <w:t xml:space="preserve">Takový výklad poznání a reality nemohl první averroismus v žádném případě připustit. </w:t>
      </w:r>
      <w:r w:rsidR="00A05BAB" w:rsidRPr="00273106">
        <w:rPr>
          <w:color w:val="000000"/>
        </w:rPr>
        <w:t xml:space="preserve">Poznání </w:t>
      </w:r>
      <w:r w:rsidR="00DC5870">
        <w:rPr>
          <w:color w:val="000000"/>
        </w:rPr>
        <w:t xml:space="preserve">světa </w:t>
      </w:r>
      <w:r w:rsidR="00A05BAB" w:rsidRPr="00273106">
        <w:rPr>
          <w:color w:val="000000"/>
        </w:rPr>
        <w:t xml:space="preserve">v řádu </w:t>
      </w:r>
      <w:r w:rsidR="00A05BAB" w:rsidRPr="00273106">
        <w:rPr>
          <w:i/>
          <w:color w:val="000000"/>
        </w:rPr>
        <w:t>demonstratio</w:t>
      </w:r>
      <w:r w:rsidR="007A6052">
        <w:rPr>
          <w:i/>
          <w:color w:val="000000"/>
        </w:rPr>
        <w:fldChar w:fldCharType="begin"/>
      </w:r>
      <w:r w:rsidR="007A6052">
        <w:instrText xml:space="preserve"> XE "</w:instrText>
      </w:r>
      <w:r w:rsidR="007A6052" w:rsidRPr="004E6075">
        <w:rPr>
          <w:i/>
        </w:rPr>
        <w:instrText>demonstratio:</w:instrText>
      </w:r>
      <w:r w:rsidR="00A20631">
        <w:instrText>první averroismus</w:instrText>
      </w:r>
      <w:r w:rsidR="007A6052">
        <w:instrText xml:space="preserve">" </w:instrText>
      </w:r>
      <w:r w:rsidR="007A6052">
        <w:rPr>
          <w:i/>
          <w:color w:val="000000"/>
        </w:rPr>
        <w:fldChar w:fldCharType="end"/>
      </w:r>
      <w:r w:rsidR="00A05BAB" w:rsidRPr="00273106">
        <w:rPr>
          <w:color w:val="000000"/>
        </w:rPr>
        <w:t xml:space="preserve"> je podle Alberta, </w:t>
      </w:r>
      <w:r w:rsidR="002E3B62">
        <w:rPr>
          <w:color w:val="000000"/>
        </w:rPr>
        <w:t>Averroes</w:t>
      </w:r>
      <w:r w:rsidR="00A05BAB" w:rsidRPr="00273106">
        <w:rPr>
          <w:color w:val="000000"/>
        </w:rPr>
        <w:t xml:space="preserve">e a Aristotela určeno </w:t>
      </w:r>
      <w:r w:rsidR="00931F1E">
        <w:rPr>
          <w:color w:val="000000"/>
        </w:rPr>
        <w:t>první substancí</w:t>
      </w:r>
      <w:r w:rsidR="00A05BAB" w:rsidRPr="00273106">
        <w:rPr>
          <w:color w:val="000000"/>
        </w:rPr>
        <w:t xml:space="preserve">. </w:t>
      </w:r>
      <w:r w:rsidR="00BD12A8">
        <w:rPr>
          <w:color w:val="000000"/>
        </w:rPr>
        <w:t xml:space="preserve">V moderně </w:t>
      </w:r>
      <w:r w:rsidR="00CE7FD4">
        <w:rPr>
          <w:color w:val="000000"/>
        </w:rPr>
        <w:t xml:space="preserve">až poo Descarta </w:t>
      </w:r>
      <w:r w:rsidR="00A05BAB" w:rsidRPr="00273106">
        <w:rPr>
          <w:color w:val="000000"/>
        </w:rPr>
        <w:t xml:space="preserve">je </w:t>
      </w:r>
      <w:r w:rsidR="00CE7FD4">
        <w:rPr>
          <w:color w:val="000000"/>
        </w:rPr>
        <w:t xml:space="preserve">zdrojem poznání </w:t>
      </w:r>
      <w:r w:rsidR="00395953">
        <w:rPr>
          <w:color w:val="000000"/>
        </w:rPr>
        <w:t xml:space="preserve">moderní </w:t>
      </w:r>
      <w:r w:rsidR="00A05BAB" w:rsidRPr="00273106">
        <w:rPr>
          <w:color w:val="000000"/>
        </w:rPr>
        <w:t xml:space="preserve">bůh </w:t>
      </w:r>
      <w:r w:rsidR="00AC713B">
        <w:rPr>
          <w:color w:val="000000"/>
        </w:rPr>
        <w:t>jako absolutní substance</w:t>
      </w:r>
      <w:r w:rsidR="00CE7FD4">
        <w:rPr>
          <w:color w:val="000000"/>
        </w:rPr>
        <w:t>. Ta je</w:t>
      </w:r>
      <w:r w:rsidR="00AC713B">
        <w:rPr>
          <w:color w:val="000000"/>
        </w:rPr>
        <w:t xml:space="preserve"> </w:t>
      </w:r>
      <w:r w:rsidR="00BD12A8">
        <w:rPr>
          <w:color w:val="000000"/>
        </w:rPr>
        <w:t>daná v modu prvního individua, které má absolutní charakter</w:t>
      </w:r>
      <w:r w:rsidR="085E5696">
        <w:rPr>
          <w:color w:val="000000"/>
        </w:rPr>
        <w:t xml:space="preserve"> </w:t>
      </w:r>
      <w:r w:rsidR="00E20EE4">
        <w:rPr>
          <w:color w:val="000000"/>
        </w:rPr>
        <w:t xml:space="preserve">v modu </w:t>
      </w:r>
      <w:r w:rsidR="00E20EE4" w:rsidRPr="0012644D">
        <w:rPr>
          <w:i/>
          <w:color w:val="000000"/>
        </w:rPr>
        <w:t>semel</w:t>
      </w:r>
      <w:r w:rsidR="00E20EE4">
        <w:rPr>
          <w:color w:val="000000"/>
        </w:rPr>
        <w:t>‒</w:t>
      </w:r>
      <w:r w:rsidR="00E20EE4" w:rsidRPr="0012644D">
        <w:rPr>
          <w:i/>
          <w:color w:val="000000"/>
        </w:rPr>
        <w:t>semper</w:t>
      </w:r>
      <w:r w:rsidR="00E20EE4">
        <w:rPr>
          <w:i/>
          <w:color w:val="000000"/>
        </w:rPr>
        <w:fldChar w:fldCharType="begin"/>
      </w:r>
      <w:r w:rsidR="00E20EE4">
        <w:instrText xml:space="preserve"> XE "</w:instrText>
      </w:r>
      <w:r w:rsidR="00E20EE4" w:rsidRPr="00E91376">
        <w:rPr>
          <w:color w:val="000000"/>
        </w:rPr>
        <w:instrText>predikace:</w:instrText>
      </w:r>
      <w:r w:rsidR="00E20EE4" w:rsidRPr="00775CB3">
        <w:rPr>
          <w:i/>
          <w:color w:val="000000"/>
        </w:rPr>
        <w:instrText>semel</w:instrText>
      </w:r>
      <w:r w:rsidR="00E20EE4" w:rsidRPr="00775CB3">
        <w:rPr>
          <w:color w:val="000000"/>
        </w:rPr>
        <w:instrText>‒</w:instrText>
      </w:r>
      <w:r w:rsidR="00E20EE4" w:rsidRPr="00775CB3">
        <w:rPr>
          <w:i/>
          <w:color w:val="000000"/>
        </w:rPr>
        <w:instrText>semper</w:instrText>
      </w:r>
      <w:r w:rsidR="00E20EE4">
        <w:instrText xml:space="preserve">" </w:instrText>
      </w:r>
      <w:r w:rsidR="00E20EE4">
        <w:rPr>
          <w:i/>
          <w:color w:val="000000"/>
        </w:rPr>
        <w:fldChar w:fldCharType="end"/>
      </w:r>
      <w:r w:rsidR="00BD12A8">
        <w:rPr>
          <w:color w:val="000000"/>
        </w:rPr>
        <w:t>. P</w:t>
      </w:r>
      <w:r w:rsidR="00A05BAB" w:rsidRPr="00273106">
        <w:rPr>
          <w:color w:val="000000"/>
        </w:rPr>
        <w:t>oznání začíná karteziánskou dedukcí</w:t>
      </w:r>
      <w:r w:rsidR="00067470">
        <w:rPr>
          <w:color w:val="000000"/>
        </w:rPr>
        <w:fldChar w:fldCharType="begin"/>
      </w:r>
      <w:r w:rsidR="00067470">
        <w:instrText xml:space="preserve"> XE "</w:instrText>
      </w:r>
      <w:r w:rsidR="00067470" w:rsidRPr="00A56129">
        <w:instrText>dedukce:objektivní</w:instrText>
      </w:r>
      <w:r w:rsidR="00067470">
        <w:instrText xml:space="preserve">" </w:instrText>
      </w:r>
      <w:r w:rsidR="00067470">
        <w:rPr>
          <w:color w:val="000000"/>
        </w:rPr>
        <w:fldChar w:fldCharType="end"/>
      </w:r>
      <w:r w:rsidR="00A05BAB" w:rsidRPr="00273106">
        <w:rPr>
          <w:color w:val="000000"/>
        </w:rPr>
        <w:t xml:space="preserve">, čili moderním vyvedením </w:t>
      </w:r>
      <w:r w:rsidR="08922F1B">
        <w:rPr>
          <w:color w:val="000000"/>
        </w:rPr>
        <w:t xml:space="preserve">hypostázované </w:t>
      </w:r>
      <w:r w:rsidR="08347903">
        <w:rPr>
          <w:color w:val="000000"/>
        </w:rPr>
        <w:t>„</w:t>
      </w:r>
      <w:r w:rsidR="00A05BAB" w:rsidRPr="00273106">
        <w:rPr>
          <w:color w:val="000000"/>
        </w:rPr>
        <w:t>ex</w:t>
      </w:r>
      <w:r w:rsidR="08347903">
        <w:rPr>
          <w:color w:val="000000"/>
        </w:rPr>
        <w:t>s</w:t>
      </w:r>
      <w:r w:rsidR="00A05BAB" w:rsidRPr="00273106">
        <w:rPr>
          <w:color w:val="000000"/>
        </w:rPr>
        <w:t>istence</w:t>
      </w:r>
      <w:r w:rsidR="08347903">
        <w:rPr>
          <w:color w:val="000000"/>
        </w:rPr>
        <w:t>“</w:t>
      </w:r>
      <w:r w:rsidR="00A05BAB" w:rsidRPr="00273106">
        <w:rPr>
          <w:color w:val="000000"/>
        </w:rPr>
        <w:t xml:space="preserve"> z tohoto původního zdroje</w:t>
      </w:r>
      <w:r w:rsidR="00657282">
        <w:rPr>
          <w:color w:val="000000"/>
        </w:rPr>
        <w:t xml:space="preserve"> pomocí avicennovské komitace</w:t>
      </w:r>
      <w:r w:rsidR="007D0E03">
        <w:rPr>
          <w:color w:val="000000"/>
        </w:rPr>
        <w:t xml:space="preserve"> </w:t>
      </w:r>
      <w:r w:rsidR="00AA3424">
        <w:rPr>
          <w:color w:val="000000"/>
        </w:rPr>
        <w:t xml:space="preserve">a logické </w:t>
      </w:r>
      <w:r w:rsidR="007D0E03">
        <w:rPr>
          <w:color w:val="000000"/>
        </w:rPr>
        <w:t>dedukce</w:t>
      </w:r>
      <w:r w:rsidR="00A05BAB" w:rsidRPr="00273106">
        <w:rPr>
          <w:color w:val="000000"/>
        </w:rPr>
        <w:t xml:space="preserve">. Grosseteste poprvé určuje </w:t>
      </w:r>
      <w:r w:rsidR="007C0757">
        <w:rPr>
          <w:color w:val="000000"/>
        </w:rPr>
        <w:t xml:space="preserve">vědecky (a nikoliv pouze mysticky) daný </w:t>
      </w:r>
      <w:r w:rsidR="00660806">
        <w:rPr>
          <w:color w:val="000000"/>
        </w:rPr>
        <w:t xml:space="preserve">způsob, jak </w:t>
      </w:r>
      <w:r w:rsidR="002C5105">
        <w:rPr>
          <w:color w:val="000000"/>
        </w:rPr>
        <w:t xml:space="preserve">moderní </w:t>
      </w:r>
      <w:r w:rsidR="00660806">
        <w:rPr>
          <w:color w:val="000000"/>
        </w:rPr>
        <w:t xml:space="preserve">individuum </w:t>
      </w:r>
      <w:r w:rsidR="00A05BAB" w:rsidRPr="00273106">
        <w:rPr>
          <w:color w:val="000000"/>
        </w:rPr>
        <w:t>„přesah</w:t>
      </w:r>
      <w:r w:rsidR="00660806">
        <w:rPr>
          <w:color w:val="000000"/>
        </w:rPr>
        <w:t>uje</w:t>
      </w:r>
      <w:r w:rsidR="00A05BAB" w:rsidRPr="00273106">
        <w:rPr>
          <w:color w:val="000000"/>
        </w:rPr>
        <w:t>“ (</w:t>
      </w:r>
      <w:r w:rsidR="00A05BAB" w:rsidRPr="00273106">
        <w:rPr>
          <w:i/>
          <w:color w:val="000000"/>
        </w:rPr>
        <w:t>exsist</w:t>
      </w:r>
      <w:r w:rsidR="00660806">
        <w:rPr>
          <w:i/>
          <w:color w:val="000000"/>
        </w:rPr>
        <w:t>it</w:t>
      </w:r>
      <w:r w:rsidR="00A05BAB" w:rsidRPr="00273106">
        <w:rPr>
          <w:color w:val="000000"/>
        </w:rPr>
        <w:t xml:space="preserve">) </w:t>
      </w:r>
      <w:r w:rsidR="00660806">
        <w:rPr>
          <w:color w:val="000000"/>
        </w:rPr>
        <w:t xml:space="preserve">z </w:t>
      </w:r>
      <w:r w:rsidR="00A05BAB" w:rsidRPr="00273106">
        <w:rPr>
          <w:color w:val="000000"/>
        </w:rPr>
        <w:t xml:space="preserve">vyšších forem </w:t>
      </w:r>
      <w:r w:rsidR="002C5105" w:rsidRPr="00273106">
        <w:rPr>
          <w:color w:val="000000"/>
        </w:rPr>
        <w:t xml:space="preserve">exemplárních esencí </w:t>
      </w:r>
      <w:r w:rsidR="00A05BAB" w:rsidRPr="00273106">
        <w:rPr>
          <w:color w:val="000000"/>
        </w:rPr>
        <w:t>do nižších aktualizací těchto</w:t>
      </w:r>
      <w:r w:rsidR="002C5105">
        <w:rPr>
          <w:color w:val="000000"/>
        </w:rPr>
        <w:t xml:space="preserve"> věčných forem</w:t>
      </w:r>
      <w:r w:rsidR="007D0E03" w:rsidRPr="007D0E03">
        <w:rPr>
          <w:color w:val="000000"/>
        </w:rPr>
        <w:t xml:space="preserve"> </w:t>
      </w:r>
      <w:r w:rsidR="007D0E03">
        <w:rPr>
          <w:color w:val="000000"/>
        </w:rPr>
        <w:t>daných v kontingentní realitě a materii</w:t>
      </w:r>
      <w:r w:rsidR="00A05BAB" w:rsidRPr="00273106">
        <w:rPr>
          <w:color w:val="000000"/>
        </w:rPr>
        <w:t>.</w:t>
      </w:r>
    </w:p>
    <w:p w14:paraId="6449AB30" w14:textId="6F147DDF" w:rsidR="00DE2287" w:rsidRDefault="08B46BE4" w:rsidP="00723E83">
      <w:r>
        <w:tab/>
      </w:r>
      <w:r w:rsidR="00DE2287">
        <w:t>Zatmění první substance</w:t>
      </w:r>
      <w:r w:rsidR="00DE2287" w:rsidRPr="00145381">
        <w:t xml:space="preserve"> </w:t>
      </w:r>
      <w:r w:rsidR="00DE2287">
        <w:t xml:space="preserve">na latinském Západě </w:t>
      </w:r>
      <w:r w:rsidR="00DE2287" w:rsidRPr="00145381">
        <w:t xml:space="preserve">vzniklo </w:t>
      </w:r>
      <w:r w:rsidR="00DE2287">
        <w:t xml:space="preserve">chybným </w:t>
      </w:r>
      <w:r w:rsidR="00DE2287" w:rsidRPr="00145381">
        <w:t xml:space="preserve">výkladem </w:t>
      </w:r>
      <w:r w:rsidR="00DE2287">
        <w:t xml:space="preserve">reálné události </w:t>
      </w:r>
      <w:r w:rsidR="00DE2287" w:rsidRPr="00145381">
        <w:t>zatmění</w:t>
      </w:r>
      <w:r w:rsidR="00DE2287">
        <w:t xml:space="preserve"> astronomických těles. </w:t>
      </w:r>
      <w:r w:rsidR="00DE2287" w:rsidRPr="00145381">
        <w:t>Tato sofistika založila moderní v</w:t>
      </w:r>
      <w:r w:rsidR="00DE2287">
        <w:t xml:space="preserve">ědu na analytickém výkladu </w:t>
      </w:r>
      <w:r w:rsidR="00DE2287" w:rsidRPr="00145381">
        <w:rPr>
          <w:i/>
        </w:rPr>
        <w:t>Druhých analytik</w:t>
      </w:r>
      <w:r w:rsidR="00DE2287" w:rsidRPr="00145381">
        <w:t xml:space="preserve"> </w:t>
      </w:r>
      <w:r w:rsidR="00DE2287">
        <w:t xml:space="preserve">podaných  v rámci </w:t>
      </w:r>
      <w:r w:rsidR="00DE2287" w:rsidRPr="00145381">
        <w:rPr>
          <w:i/>
        </w:rPr>
        <w:t>Oxfordian Fallacy</w:t>
      </w:r>
      <w:r w:rsidR="00DE2287" w:rsidRPr="00145381">
        <w:t>.</w:t>
      </w:r>
      <w:r w:rsidR="00DE2287">
        <w:t xml:space="preserve"> Akademikové na Oxfordu se od založení univerzity stali strážci takto definovaného vědeckého grálu, který sami vytvořili. Dali jej na známé poutní místo, kde produktivně opatrují tuto relikvii jako moderní </w:t>
      </w:r>
      <w:r w:rsidR="00DE2287" w:rsidRPr="08215FA7">
        <w:rPr>
          <w:i/>
        </w:rPr>
        <w:t>ortus scientiarum</w:t>
      </w:r>
      <w:r w:rsidR="00DE2287">
        <w:t xml:space="preserve">. Tím je v modu archeologické hermeneneutiky nalezeno původní místo moderních věd dané v mysli moderních iluminátů. Archaická hermeneutika odmítá objektivní vidění moderny, které redukovalo principy poznání na jeden mytologický univoční význam. Identita jsoucna v pojetí logické abstrakce není ipseita jsoucna v pojetí metafyzické abstrakce. Termín </w:t>
      </w:r>
      <w:r w:rsidR="00DE2287" w:rsidRPr="00A049F4">
        <w:rPr>
          <w:i/>
        </w:rPr>
        <w:t>idem</w:t>
      </w:r>
      <w:r w:rsidR="00DE2287">
        <w:t xml:space="preserve"> pro univoční logiku není schopen rozlišit ipseitu metafyzické abstrakce, což se znovu ukáže ve sporu Sigera a Akvinského o status poznání v lidské duši. Klíčová část Grossetesteho výkladu se týká citované pasáže </w:t>
      </w:r>
      <w:r w:rsidR="00DE2287" w:rsidRPr="00273106">
        <w:rPr>
          <w:i/>
        </w:rPr>
        <w:t>Anal. Post</w:t>
      </w:r>
      <w:r w:rsidR="00DE2287" w:rsidRPr="00273106">
        <w:t>. 84a11‒14</w:t>
      </w:r>
      <w:r w:rsidR="00DE2287">
        <w:fldChar w:fldCharType="begin"/>
      </w:r>
      <w:r w:rsidR="00DE2287">
        <w:instrText xml:space="preserve"> XE "Aristoteles:</w:instrText>
      </w:r>
      <w:r w:rsidR="00DE2287" w:rsidRPr="00273106">
        <w:rPr>
          <w:i/>
        </w:rPr>
        <w:instrText>Anal. Post</w:instrText>
      </w:r>
      <w:r w:rsidR="00DE2287" w:rsidRPr="00273106">
        <w:instrText>. 84a11‒14</w:instrText>
      </w:r>
      <w:r w:rsidR="00DE2287">
        <w:instrText xml:space="preserve">" </w:instrText>
      </w:r>
      <w:r w:rsidR="00DE2287">
        <w:fldChar w:fldCharType="end"/>
      </w:r>
      <w:r w:rsidR="00DE2287">
        <w:t xml:space="preserve">. Atributy mohou být dány v esenciálním modu </w:t>
      </w:r>
      <w:r w:rsidR="00DE2287" w:rsidRPr="00ED5E10">
        <w:rPr>
          <w:i/>
        </w:rPr>
        <w:t>per se</w:t>
      </w:r>
      <w:r w:rsidR="00DE2287">
        <w:t xml:space="preserve"> ze dvou důvodů (</w:t>
      </w:r>
      <w:r w:rsidR="00DE2287" w:rsidRPr="00273106">
        <w:t>καθ' αὑτὰ δὲ διττῶς</w:t>
      </w:r>
      <w:r w:rsidR="00DE2287">
        <w:t xml:space="preserve">, </w:t>
      </w:r>
      <w:r w:rsidR="00DE2287" w:rsidRPr="082A01E9">
        <w:rPr>
          <w:i/>
        </w:rPr>
        <w:t>Anal</w:t>
      </w:r>
      <w:r w:rsidR="00DE2287">
        <w:t xml:space="preserve">. </w:t>
      </w:r>
      <w:r w:rsidR="00DE2287" w:rsidRPr="082A01E9">
        <w:rPr>
          <w:i/>
        </w:rPr>
        <w:t>Post</w:t>
      </w:r>
      <w:r w:rsidR="00DE2287">
        <w:t>. 84a12</w:t>
      </w:r>
      <w:r w:rsidR="00DE2287">
        <w:fldChar w:fldCharType="begin"/>
      </w:r>
      <w:r w:rsidR="00DE2287">
        <w:instrText xml:space="preserve"> XE "Aristoteles:</w:instrText>
      </w:r>
      <w:r w:rsidR="00DE2287" w:rsidRPr="08221238">
        <w:rPr>
          <w:i/>
        </w:rPr>
        <w:instrText>Anal</w:instrText>
      </w:r>
      <w:r w:rsidR="00DE2287" w:rsidRPr="08221238">
        <w:instrText xml:space="preserve">. </w:instrText>
      </w:r>
      <w:r w:rsidR="00DE2287" w:rsidRPr="08221238">
        <w:rPr>
          <w:i/>
        </w:rPr>
        <w:instrText>Post</w:instrText>
      </w:r>
      <w:r w:rsidR="00DE2287" w:rsidRPr="08221238">
        <w:instrText>. 84a12</w:instrText>
      </w:r>
      <w:r w:rsidR="00DE2287">
        <w:instrText xml:space="preserve">" </w:instrText>
      </w:r>
      <w:r w:rsidR="00DE2287">
        <w:fldChar w:fldCharType="end"/>
      </w:r>
      <w:r w:rsidR="00DE2287">
        <w:t xml:space="preserve">). </w:t>
      </w:r>
      <w:r w:rsidR="00DE2287" w:rsidRPr="00273106">
        <w:lastRenderedPageBreak/>
        <w:t xml:space="preserve">Grosseteste vezme toto zdvojení </w:t>
      </w:r>
      <w:r w:rsidR="00DE2287">
        <w:t xml:space="preserve">esencí daných </w:t>
      </w:r>
      <w:r w:rsidR="00DE2287" w:rsidRPr="0001207B">
        <w:rPr>
          <w:i/>
        </w:rPr>
        <w:t>per se</w:t>
      </w:r>
      <w:r w:rsidR="00DE2287">
        <w:t xml:space="preserve"> </w:t>
      </w:r>
      <w:r w:rsidR="00DE2287" w:rsidRPr="00273106">
        <w:t>(καθ' αὑτὰ)</w:t>
      </w:r>
      <w:r w:rsidR="00DE2287">
        <w:t xml:space="preserve"> nikoliv jako původní dichotomii v modu logické a metafyzické predikace, ale jako dichotomicky danou výstavbu vědy podle </w:t>
      </w:r>
      <w:r w:rsidR="00DE2287" w:rsidRPr="08603DEA">
        <w:rPr>
          <w:i/>
        </w:rPr>
        <w:t>Liber de causis</w:t>
      </w:r>
      <w:r w:rsidR="00DE2287">
        <w:t>. Vznik objektivity obsahuje přímé p</w:t>
      </w:r>
      <w:r w:rsidR="00DE2287" w:rsidRPr="00273106">
        <w:t xml:space="preserve">oznání </w:t>
      </w:r>
      <w:r w:rsidR="00DE2287">
        <w:t>esence stvořených věcí, které</w:t>
      </w:r>
      <w:r w:rsidR="00DE2287" w:rsidRPr="00273106">
        <w:t xml:space="preserve"> preexistují věčně v první kauze</w:t>
      </w:r>
      <w:r w:rsidR="00DE2287">
        <w:t xml:space="preserve">. Díky této formě existence skrytě dané v bytí první příčiny jsou první principy poznání </w:t>
      </w:r>
      <w:r w:rsidR="00DE2287" w:rsidRPr="00273106">
        <w:t>výměrem stvořených věcí</w:t>
      </w:r>
      <w:r w:rsidR="00DE2287">
        <w:t xml:space="preserve"> a j</w:t>
      </w:r>
      <w:r w:rsidR="00DE2287" w:rsidRPr="00273106">
        <w:t>ejich formální i exemplární příčinou</w:t>
      </w:r>
      <w:r w:rsidR="00DE2287">
        <w:t xml:space="preserve">. To je typické neoplatonské pojetí podle Anselma z Canterbury. Proto </w:t>
      </w:r>
      <w:r w:rsidR="00DE2287" w:rsidRPr="00273106">
        <w:t xml:space="preserve">jsou </w:t>
      </w:r>
      <w:r w:rsidR="00DE2287">
        <w:t xml:space="preserve">primární racionální formy </w:t>
      </w:r>
      <w:r w:rsidR="00DE2287" w:rsidRPr="00273106">
        <w:t>tvořivé</w:t>
      </w:r>
      <w:r w:rsidR="00DE2287">
        <w:t xml:space="preserve"> také v řádu materie</w:t>
      </w:r>
      <w:r w:rsidR="00DE2287" w:rsidRPr="00273106">
        <w:t>.</w:t>
      </w:r>
      <w:r w:rsidR="00DE2287">
        <w:t xml:space="preserve"> Jenže takovou metafyziku zcela určitě nešlo hlásit na Pařížské universitě, která právě porazila aristotelský panteismus Davida z Dinantu. </w:t>
      </w:r>
      <w:r w:rsidR="00DE2287">
        <w:rPr>
          <w:lang w:eastAsia="en-US"/>
        </w:rPr>
        <w:t>Připomeňme klíčový moment odchodu Grossetesteho z Paříže, který se kryje se Scotovým výkladem prvního averroismu na zdejší univerzitě okolo roku 1230. Tento výklad musela odmítnout škola avicennistů kolem Filipa Kancléře (</w:t>
      </w:r>
      <w:r w:rsidR="00DE2287" w:rsidRPr="088B2611">
        <w:rPr>
          <w:i/>
          <w:lang w:eastAsia="en-US"/>
        </w:rPr>
        <w:t>Grammatici</w:t>
      </w:r>
      <w:r w:rsidR="00DE2287">
        <w:rPr>
          <w:lang w:eastAsia="en-US"/>
        </w:rPr>
        <w:t xml:space="preserve">) a také školy </w:t>
      </w:r>
      <w:r w:rsidR="00DE2287" w:rsidRPr="088B2611">
        <w:rPr>
          <w:i/>
          <w:lang w:eastAsia="en-US"/>
        </w:rPr>
        <w:t>logica Modernorum</w:t>
      </w:r>
      <w:r w:rsidR="00DE2287">
        <w:rPr>
          <w:lang w:eastAsia="en-US"/>
        </w:rPr>
        <w:t xml:space="preserve"> pokračující v linii porretánských nominalsitů (</w:t>
      </w:r>
      <w:r w:rsidR="00DE2287" w:rsidRPr="088B2611">
        <w:rPr>
          <w:i/>
          <w:lang w:eastAsia="en-US"/>
        </w:rPr>
        <w:t>Sophistae latini</w:t>
      </w:r>
      <w:r w:rsidR="00DE2287">
        <w:rPr>
          <w:lang w:eastAsia="en-US"/>
        </w:rPr>
        <w:t xml:space="preserve">). Ale tyto školy se podrobily autoritě biskupa Alverna a jeho zakladatelského kolegia na Pařížské univerzitě ze školy prvního averroismu. Asi to nebylo tak těžké. Tehdejší klášterní školy byly velmi samostatné a měly učitelskou autoritu a privilegia daná starobylou tradicí. Biskup Alvernus požadoval po kolegiích v Paříži jen minimální míru filosofické jednoty dané katolickou věroukou. Klíčovým sporem byla jednota osoby ohrožená bludy typu Dinantova panteismu (kap. 2.3.3). Ale Grossteteste na rozdíl od jiných akademických kolegů opouští okolo roku 1230 Pařížskou univerzitu a odchází učit na oxfordské kolegium františkánů. Na univerzitě v Oxfordu tehdy vládnou moderní logikové (Johannes Pagus) a avicennisté napojení na porretánské školy </w:t>
      </w:r>
      <w:r w:rsidR="00DE2287" w:rsidRPr="088B2611">
        <w:rPr>
          <w:i/>
          <w:lang w:eastAsia="en-US"/>
        </w:rPr>
        <w:t>Nominales</w:t>
      </w:r>
      <w:r w:rsidR="00DE2287">
        <w:rPr>
          <w:lang w:eastAsia="en-US"/>
        </w:rPr>
        <w:t>. Brilantní aristotelik Blund z této modernisty ovládané univerzity dané v neoplatonské linii Anselma z Cantenbury odešel nejspíš hned při jejím založení. Magistr Blund zůstal v Paříži v okruhu Abelardovy aristotelské katedrální školy (</w:t>
      </w:r>
      <w:r w:rsidR="00DE2287">
        <w:rPr>
          <w:i/>
        </w:rPr>
        <w:t>l'É</w:t>
      </w:r>
      <w:r w:rsidR="00DE2287" w:rsidRPr="087149A8">
        <w:rPr>
          <w:i/>
        </w:rPr>
        <w:t>cole cathédrale du Cloître de Paris</w:t>
      </w:r>
      <w:r w:rsidR="00DE2287">
        <w:rPr>
          <w:i/>
        </w:rPr>
        <w:fldChar w:fldCharType="begin"/>
      </w:r>
      <w:r w:rsidR="00DE2287">
        <w:instrText xml:space="preserve"> XE "</w:instrText>
      </w:r>
      <w:r w:rsidR="00DE2287">
        <w:rPr>
          <w:i/>
        </w:rPr>
        <w:instrText>É</w:instrText>
      </w:r>
      <w:r w:rsidR="00DE2287" w:rsidRPr="083C331F">
        <w:rPr>
          <w:i/>
        </w:rPr>
        <w:instrText>cole cathédrale de Paris</w:instrText>
      </w:r>
      <w:r w:rsidR="00DE2287">
        <w:instrText xml:space="preserve">" </w:instrText>
      </w:r>
      <w:r w:rsidR="00DE2287">
        <w:rPr>
          <w:i/>
        </w:rPr>
        <w:fldChar w:fldCharType="end"/>
      </w:r>
      <w:r w:rsidR="00DE2287">
        <w:t>)</w:t>
      </w:r>
      <w:r w:rsidR="00DE2287">
        <w:rPr>
          <w:lang w:eastAsia="en-US"/>
        </w:rPr>
        <w:t xml:space="preserve">. Blundovu přísklušnost k této linii autentického aristotelismu jasně dokazuje styl jeho metafyziky zakládající v modu </w:t>
      </w:r>
      <w:r w:rsidR="00DE2287" w:rsidRPr="000E1895">
        <w:rPr>
          <w:i/>
          <w:lang w:eastAsia="en-US"/>
        </w:rPr>
        <w:t>Logica Vetus</w:t>
      </w:r>
      <w:r w:rsidR="00DE2287">
        <w:rPr>
          <w:lang w:eastAsia="en-US"/>
        </w:rPr>
        <w:t xml:space="preserve"> školu prvního averroismu. </w:t>
      </w:r>
      <w:r w:rsidR="00DE2287">
        <w:t xml:space="preserve">Grosseteste začal přednášet jako magistr na františkánské koleji na Oxfordu v letech 1230/31, kdy se rozešel  s linií prvního averroismu určeného Scotovými přednáškami v Paříži. Hermeneutika považuje toto datum za </w:t>
      </w:r>
      <w:r w:rsidR="00DE2287" w:rsidRPr="08EF19D8">
        <w:rPr>
          <w:i/>
        </w:rPr>
        <w:t>terminus a quo</w:t>
      </w:r>
      <w:r w:rsidR="00DE2287">
        <w:t xml:space="preserve"> determinující počátek Grossetesteho působení na Oxfordu. O</w:t>
      </w:r>
      <w:r w:rsidR="00DE2287" w:rsidRPr="00273106">
        <w:t xml:space="preserve">bjektivita </w:t>
      </w:r>
      <w:r w:rsidR="00DE2287">
        <w:t>vzešla</w:t>
      </w:r>
      <w:r w:rsidR="00DE2287" w:rsidRPr="00273106">
        <w:t xml:space="preserve"> z intelektuálního prostředí</w:t>
      </w:r>
      <w:r w:rsidR="00DE2287">
        <w:t xml:space="preserve">, které tento vynikající učenec osobně formoval. </w:t>
      </w:r>
      <w:r w:rsidR="00DE2287" w:rsidRPr="00273106">
        <w:t xml:space="preserve">Výklad </w:t>
      </w:r>
      <w:r w:rsidR="00DE2287" w:rsidRPr="00A22167">
        <w:rPr>
          <w:i/>
        </w:rPr>
        <w:lastRenderedPageBreak/>
        <w:t>Druhých analytik</w:t>
      </w:r>
      <w:r w:rsidR="00DE2287">
        <w:t xml:space="preserve"> v paradigmatu </w:t>
      </w:r>
      <w:r w:rsidR="00DE2287" w:rsidRPr="00273106">
        <w:rPr>
          <w:i/>
        </w:rPr>
        <w:t>Oxfordian Fallacy</w:t>
      </w:r>
      <w:r w:rsidR="00DE2287" w:rsidRPr="00273106">
        <w:t xml:space="preserve"> </w:t>
      </w:r>
      <w:r w:rsidR="00DE2287">
        <w:t>provedl konverzi</w:t>
      </w:r>
      <w:r w:rsidR="00DE2287" w:rsidRPr="00273106">
        <w:t xml:space="preserve"> mezi první a druhou triádou principů poznání </w:t>
      </w:r>
      <w:r w:rsidR="00DE2287">
        <w:t xml:space="preserve">a tato změna </w:t>
      </w:r>
      <w:r w:rsidR="00DE2287" w:rsidRPr="00273106">
        <w:t xml:space="preserve">se udála na pozadí </w:t>
      </w:r>
      <w:r w:rsidR="00DE2287">
        <w:t xml:space="preserve">nového </w:t>
      </w:r>
      <w:r w:rsidR="00DE2287" w:rsidRPr="00273106">
        <w:t xml:space="preserve">výkladu </w:t>
      </w:r>
      <w:r w:rsidR="00DE2287" w:rsidRPr="009744BA">
        <w:rPr>
          <w:i/>
        </w:rPr>
        <w:t>Kategorií</w:t>
      </w:r>
      <w:r w:rsidR="00DE2287">
        <w:t>.</w:t>
      </w:r>
    </w:p>
    <w:p w14:paraId="5BA426C8" w14:textId="23C1D415" w:rsidR="00754EEE" w:rsidRDefault="00754EEE" w:rsidP="00754EEE">
      <w:pPr>
        <w:ind w:firstLine="397"/>
      </w:pPr>
      <w:r>
        <w:tab/>
      </w:r>
      <w:r w:rsidRPr="00273106">
        <w:t>Grosseteste řeší zásadní problém moderny</w:t>
      </w:r>
      <w:r>
        <w:t>, která hledá silný intelekt</w:t>
      </w:r>
      <w:r w:rsidRPr="00273106">
        <w:t xml:space="preserve">. Akt přímé intuice </w:t>
      </w:r>
      <w:r>
        <w:t>mysticky nazírá</w:t>
      </w:r>
      <w:r w:rsidRPr="00273106">
        <w:t xml:space="preserve"> neporušitelná univerzália přímo v singulárních jednotlivinách, což je i pro Grossetesteho tvrdý oříšek (</w:t>
      </w:r>
      <w:r w:rsidRPr="00273106">
        <w:rPr>
          <w:i/>
        </w:rPr>
        <w:t>dubitabile est</w:t>
      </w:r>
      <w:r w:rsidRPr="00273106">
        <w:t xml:space="preserve">). </w:t>
      </w:r>
      <w:r>
        <w:t xml:space="preserve">Tento kritický aristotelik dobře zná z metafyziky pojaté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že univerzálie nemají mimo mysl žádnou jinou formu existence. Jeho moderní následovníci, a po nich postmoderní </w:t>
      </w:r>
      <w:r w:rsidRPr="00273106">
        <w:t>Descartes a Husserl</w:t>
      </w:r>
      <w:r>
        <w:t>,</w:t>
      </w:r>
      <w:r w:rsidRPr="00273106">
        <w:t xml:space="preserve"> už </w:t>
      </w:r>
      <w:r>
        <w:t>nepochybovali o absolutní schopnosti rozumu schopného přímo nahlédnout v porušitelných věcech ony neporušitelné principy. Připomeňme múzickou pravdu epigramu o šíleném typu zásvětí, které tímto způsobem vzniklo v mysli porretánů (</w:t>
      </w:r>
      <w:r w:rsidRPr="08266208">
        <w:rPr>
          <w:i/>
        </w:rPr>
        <w:t>cum sit tot generibus rerum mundus plenus</w:t>
      </w:r>
      <w:r>
        <w:t xml:space="preserve">, / </w:t>
      </w:r>
      <w:r w:rsidRPr="08266208">
        <w:rPr>
          <w:i/>
        </w:rPr>
        <w:t xml:space="preserve">cuius </w:t>
      </w:r>
      <w:r>
        <w:rPr>
          <w:i/>
        </w:rPr>
        <w:t>genus</w:t>
      </w:r>
      <w:r w:rsidRPr="08266208">
        <w:rPr>
          <w:i/>
        </w:rPr>
        <w:t xml:space="preserve"> nomen est semper sit e</w:t>
      </w:r>
      <w:r>
        <w:rPr>
          <w:i/>
        </w:rPr>
        <w:t>genus</w:t>
      </w:r>
      <w:r>
        <w:t xml:space="preserve">, kap. 1.6). Importovali manický svět svých vlastních generických produktů </w:t>
      </w:r>
      <w:r w:rsidRPr="00F45FC7">
        <w:rPr>
          <w:szCs w:val="24"/>
        </w:rPr>
        <w:t>(</w:t>
      </w:r>
      <w:r>
        <w:rPr>
          <w:i/>
          <w:szCs w:val="24"/>
        </w:rPr>
        <w:t>mundus plenus generib</w:t>
      </w:r>
      <w:r w:rsidRPr="00F45FC7">
        <w:rPr>
          <w:i/>
          <w:szCs w:val="24"/>
        </w:rPr>
        <w:t>us rerum</w:t>
      </w:r>
      <w:r>
        <w:rPr>
          <w:szCs w:val="24"/>
        </w:rPr>
        <w:t xml:space="preserve">) </w:t>
      </w:r>
      <w:r>
        <w:t>do epochy metafyzického nihilismu</w:t>
      </w:r>
      <w:r w:rsidRPr="00273106">
        <w:t>.</w:t>
      </w:r>
      <w:r>
        <w:t xml:space="preserve"> Uhlířská víra iluminátů v to, co je reálně nemožné, leč má být objektivně možné, a dokonce evidentně věčné. </w:t>
      </w:r>
      <w:r w:rsidRPr="00273106">
        <w:t>Podrobnější výklad tohoto postupu obsahuje kapitola s Rufusovým komentářem, který ve stejné dekádě jako Grosseteste p</w:t>
      </w:r>
      <w:r>
        <w:t xml:space="preserve">odává </w:t>
      </w:r>
      <w:r w:rsidRPr="00273106">
        <w:t xml:space="preserve">kolem 1235 další analytický rozbor </w:t>
      </w:r>
      <w:r w:rsidRPr="0007447E">
        <w:rPr>
          <w:i/>
        </w:rPr>
        <w:t>Druhých analytik</w:t>
      </w:r>
      <w:r>
        <w:t xml:space="preserve"> (kap. 3</w:t>
      </w:r>
      <w:r w:rsidRPr="00273106">
        <w:t xml:space="preserve">.3.1). Na oba autory pak navazuje Kilwardby a celý výklad prvních oxfordských </w:t>
      </w:r>
      <w:r w:rsidRPr="00273106">
        <w:rPr>
          <w:i/>
        </w:rPr>
        <w:t>Modernorum</w:t>
      </w:r>
      <w:r w:rsidRPr="00273106">
        <w:t xml:space="preserve"> potvrzuje i mocensky, skrze funkci rektora koleje na Oxfordu a následně i arcibiskupa v Canterbury. Tento dominikánský modernista úspěšně završí filosofickou sedisvakanci po slavném učenci Anselmovi</w:t>
      </w:r>
      <w:r>
        <w:t xml:space="preserve"> </w:t>
      </w:r>
      <w:r>
        <w:rPr>
          <w:szCs w:val="24"/>
        </w:rPr>
        <w:t>z</w:t>
      </w:r>
      <w:r w:rsidRPr="00DC6664">
        <w:rPr>
          <w:szCs w:val="24"/>
        </w:rPr>
        <w:t xml:space="preserve"> Canterbury</w:t>
      </w:r>
      <w:r w:rsidRPr="00273106">
        <w:t xml:space="preserve">, který založil pojetí pravdy jako </w:t>
      </w:r>
      <w:r w:rsidRPr="00273106">
        <w:rPr>
          <w:i/>
        </w:rPr>
        <w:t>rectitudo</w:t>
      </w:r>
      <w:r>
        <w:t xml:space="preserve"> (kap. 1.2</w:t>
      </w:r>
      <w:r w:rsidRPr="00273106">
        <w:t xml:space="preserve">). Není divu, že </w:t>
      </w:r>
      <w:r>
        <w:t>moderním metafyzikům myslícím v modu mytopoetické produkce poznání postačuje</w:t>
      </w:r>
      <w:r w:rsidRPr="00273106">
        <w:t xml:space="preserve"> matematická abstrakce.</w:t>
      </w:r>
      <w:r>
        <w:t xml:space="preserve"> Moderna</w:t>
      </w:r>
      <w:r w:rsidRPr="00273106">
        <w:t xml:space="preserve"> propadl</w:t>
      </w:r>
      <w:r>
        <w:t>á</w:t>
      </w:r>
      <w:r w:rsidRPr="00273106">
        <w:t xml:space="preserve"> dualismu poznání a dualismu reality nutně potřebuje přímý kontakt s vyšším světem, aby se ujistila o své správnosti</w:t>
      </w:r>
      <w:r>
        <w:t xml:space="preserve"> jako </w:t>
      </w:r>
      <w:r w:rsidRPr="00091730">
        <w:rPr>
          <w:i/>
          <w:szCs w:val="24"/>
        </w:rPr>
        <w:t xml:space="preserve">certitudo </w:t>
      </w:r>
      <w:r>
        <w:rPr>
          <w:szCs w:val="24"/>
        </w:rPr>
        <w:t>a</w:t>
      </w:r>
      <w:r w:rsidRPr="00091730">
        <w:rPr>
          <w:i/>
          <w:szCs w:val="24"/>
        </w:rPr>
        <w:t xml:space="preserve"> rectitudo</w:t>
      </w:r>
      <w:r w:rsidRPr="00273106">
        <w:t>. Po zatmění první substance už modernisté nemají jinou jistotu</w:t>
      </w:r>
      <w:r>
        <w:fldChar w:fldCharType="begin"/>
      </w:r>
      <w:r>
        <w:instrText xml:space="preserve"> XE "pravda:</w:instrText>
      </w:r>
      <w:r w:rsidRPr="009911B3">
        <w:rPr>
          <w:i/>
        </w:rPr>
        <w:instrText>certitudo</w:instrText>
      </w:r>
      <w:r>
        <w:instrText xml:space="preserve">" </w:instrText>
      </w:r>
      <w:r>
        <w:fldChar w:fldCharType="end"/>
      </w:r>
      <w:r w:rsidRPr="00273106">
        <w:t xml:space="preserve">, než přímý náhled do věčných exemplarů daných v boží </w:t>
      </w:r>
      <w:r>
        <w:t xml:space="preserve">nebo pak už jen v lidské </w:t>
      </w:r>
      <w:r w:rsidRPr="00273106">
        <w:t xml:space="preserve">mysli (Grossetesteho </w:t>
      </w:r>
      <w:r w:rsidRPr="00273106">
        <w:rPr>
          <w:i/>
        </w:rPr>
        <w:t>intellectus</w:t>
      </w:r>
      <w:r w:rsidRPr="00273106">
        <w:t xml:space="preserve">, Descartovo </w:t>
      </w:r>
      <w:r w:rsidRPr="00273106">
        <w:rPr>
          <w:i/>
        </w:rPr>
        <w:t>cogito</w:t>
      </w:r>
      <w:r>
        <w:rPr>
          <w:i/>
        </w:rPr>
        <w:t xml:space="preserve">, </w:t>
      </w:r>
      <w:r w:rsidRPr="00826CFD">
        <w:t>Husserlův</w:t>
      </w:r>
      <w:r>
        <w:rPr>
          <w:i/>
        </w:rPr>
        <w:t xml:space="preserve"> eidos</w:t>
      </w:r>
      <w:r>
        <w:rPr>
          <w:i/>
        </w:rPr>
        <w:fldChar w:fldCharType="begin"/>
      </w:r>
      <w:r>
        <w:instrText xml:space="preserve"> XE "vidění:eidetické" </w:instrText>
      </w:r>
      <w:r>
        <w:rPr>
          <w:i/>
        </w:rPr>
        <w:fldChar w:fldCharType="end"/>
      </w:r>
      <w:r w:rsidRPr="00273106">
        <w:t xml:space="preserve">). Vyřazení metafyzické abstrakce podle Aristotela bylo kompenzováno ve druhém averroismu filosofickou mystikou podle neoplatonismu. Základem vědeckého poznání analytické školy na Oxfordu se stala </w:t>
      </w:r>
      <w:r>
        <w:t>neoplatonsk</w:t>
      </w:r>
      <w:r w:rsidRPr="00273106">
        <w:t xml:space="preserve">á mystika daná jako </w:t>
      </w:r>
      <w:r w:rsidRPr="00273106">
        <w:rPr>
          <w:i/>
        </w:rPr>
        <w:t>ascensio</w:t>
      </w:r>
      <w:r w:rsidRPr="00273106">
        <w:t xml:space="preserve">, neboli katabáze očištěné duše k bohu. Kauzalitu a existenci reálné první substance zajišťuje bůh svou anabází do osvícené duše, stejně jako v Descartově postmoderním důkazu boží </w:t>
      </w:r>
      <w:r w:rsidRPr="00273106">
        <w:lastRenderedPageBreak/>
        <w:t>existence</w:t>
      </w:r>
      <w:r>
        <w:t>. Druhý averroismus tvrdí, že s</w:t>
      </w:r>
      <w:r w:rsidRPr="00273106">
        <w:t xml:space="preserve">labý intelekt dlící v reálu u prvních substancí </w:t>
      </w:r>
      <w:r>
        <w:t xml:space="preserve">končí u poznání </w:t>
      </w:r>
      <w:r w:rsidRPr="00273106">
        <w:t>smyslových forem</w:t>
      </w:r>
      <w:r>
        <w:t xml:space="preserve">. Tím je tento slabý empirický intelekt odkázaný na smysly a proto </w:t>
      </w:r>
      <w:r w:rsidRPr="00273106">
        <w:t>oddělen</w:t>
      </w:r>
      <w:r>
        <w:t xml:space="preserve">ý od </w:t>
      </w:r>
      <w:r w:rsidRPr="00273106">
        <w:t xml:space="preserve">činného intelektu či od karteziánského </w:t>
      </w:r>
      <w:r w:rsidRPr="00273106">
        <w:rPr>
          <w:i/>
        </w:rPr>
        <w:t>cogito</w:t>
      </w:r>
      <w:r>
        <w:t xml:space="preserve">. Tento hypostázovaný a proto silný intelekt jako </w:t>
      </w:r>
      <w:r w:rsidRPr="000D55AB">
        <w:rPr>
          <w:i/>
        </w:rPr>
        <w:t>cogito</w:t>
      </w:r>
      <w:r>
        <w:t xml:space="preserve"> je pak přímo spojen</w:t>
      </w:r>
      <w:r w:rsidRPr="00273106">
        <w:t xml:space="preserve"> skrze vrozenou ideu s </w:t>
      </w:r>
      <w:r>
        <w:t xml:space="preserve">esenciální definicí postmoderního individuálního boha. Tato modla moderního rozumu pak funguje jako  </w:t>
      </w:r>
      <w:r>
        <w:rPr>
          <w:i/>
        </w:rPr>
        <w:t>c</w:t>
      </w:r>
      <w:r w:rsidRPr="00273106">
        <w:rPr>
          <w:i/>
        </w:rPr>
        <w:t>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t xml:space="preserve">, ale v modu </w:t>
      </w:r>
      <w:r w:rsidRPr="00847FE4">
        <w:rPr>
          <w:i/>
        </w:rPr>
        <w:t>Oxfordian Fallacy</w:t>
      </w:r>
      <w:r>
        <w:rPr>
          <w:i/>
        </w:rPr>
        <w:fldChar w:fldCharType="begin"/>
      </w:r>
      <w:r>
        <w:instrText xml:space="preserve"> XE "</w:instrText>
      </w:r>
      <w:r w:rsidRPr="0015798D">
        <w:rPr>
          <w:i/>
        </w:rPr>
        <w:instrText>Oxfordian Fallacy:</w:instrText>
      </w:r>
      <w:r>
        <w:rPr>
          <w:i/>
        </w:rPr>
        <w:instrText>scientia</w:instrText>
      </w:r>
      <w:r>
        <w:instrText xml:space="preserve">" </w:instrText>
      </w:r>
      <w:r>
        <w:rPr>
          <w:i/>
        </w:rPr>
        <w:fldChar w:fldCharType="end"/>
      </w:r>
      <w:r>
        <w:t xml:space="preserve">. Pak je dáno nasvícení smyslu jsoucna opačně, tedy od imaginární esence k reálné existenci. </w:t>
      </w:r>
      <w:r w:rsidRPr="00273106">
        <w:t xml:space="preserve">Minulá matrice ukázala, že pařížský biskup Alvernus považoval </w:t>
      </w:r>
      <w:r>
        <w:t xml:space="preserve">pojetí mystického intelektu jako autonomní složky duše za zcela stupidní </w:t>
      </w:r>
      <w:r w:rsidRPr="00273106">
        <w:t>(</w:t>
      </w:r>
      <w:r w:rsidRPr="00273106">
        <w:rPr>
          <w:i/>
        </w:rPr>
        <w:t>imbecilles quidam</w:t>
      </w:r>
      <w:r>
        <w:t>, kap. 2</w:t>
      </w:r>
      <w:r w:rsidRPr="00273106">
        <w:t>.3</w:t>
      </w:r>
      <w:r>
        <w:t>.3</w:t>
      </w:r>
      <w:r w:rsidRPr="00273106">
        <w:t xml:space="preserve">). </w:t>
      </w:r>
      <w:r>
        <w:t xml:space="preserve">Připomeňme Albertovu obranu </w:t>
      </w:r>
      <w:r w:rsidRPr="009F2C17">
        <w:rPr>
          <w:i/>
        </w:rPr>
        <w:t>esse debile</w:t>
      </w:r>
      <w:r>
        <w:rPr>
          <w:i/>
        </w:rPr>
        <w:fldChar w:fldCharType="begin"/>
      </w:r>
      <w:r>
        <w:instrText xml:space="preserve"> XE "</w:instrText>
      </w:r>
      <w:r w:rsidRPr="00EC392D">
        <w:rPr>
          <w:i/>
        </w:rPr>
        <w:instrText>esse debile</w:instrText>
      </w:r>
      <w:r>
        <w:instrText xml:space="preserve">" </w:instrText>
      </w:r>
      <w:r>
        <w:rPr>
          <w:i/>
        </w:rPr>
        <w:fldChar w:fldCharType="end"/>
      </w:r>
      <w:r>
        <w:t xml:space="preserve"> proti averroistům, kteří přišli do Paříže z Grossetesteho školy (kap. 2.4.3). Termín „</w:t>
      </w:r>
      <w:r w:rsidRPr="00273106">
        <w:t>slabé jsoucno“ (</w:t>
      </w:r>
      <w:r w:rsidRPr="00273106">
        <w:rPr>
          <w:i/>
        </w:rPr>
        <w:t>esse debile</w:t>
      </w:r>
      <w:r w:rsidRPr="00273106">
        <w:t xml:space="preserve">) </w:t>
      </w:r>
      <w:r>
        <w:t xml:space="preserve">označuje podle Alberta </w:t>
      </w:r>
      <w:r w:rsidRPr="00273106">
        <w:t xml:space="preserve">univerzálii </w:t>
      </w:r>
      <w:r>
        <w:t>danou skrze abstrakci</w:t>
      </w:r>
      <w:r w:rsidRPr="00273106">
        <w:t>, která zakládá obecné, a tím pouze potenciální poznání v duši (</w:t>
      </w:r>
      <w:r w:rsidRPr="00273106">
        <w:rPr>
          <w:i/>
        </w:rPr>
        <w:t>scientia quae est in anima</w:t>
      </w:r>
      <w:r w:rsidRPr="00273106">
        <w:t xml:space="preserve">). </w:t>
      </w:r>
      <w:r>
        <w:t>O</w:t>
      </w:r>
      <w:r w:rsidRPr="00273106">
        <w:t>becnin</w:t>
      </w:r>
      <w:r>
        <w:t xml:space="preserve">a v duši jen predikuje </w:t>
      </w:r>
      <w:r w:rsidRPr="00273106">
        <w:t xml:space="preserve">„pevnost“ </w:t>
      </w:r>
      <w:r>
        <w:t>a „solidnost“ reálně dané existence věci</w:t>
      </w:r>
      <w:r w:rsidRPr="00273106">
        <w:t xml:space="preserve"> mimo nás</w:t>
      </w:r>
      <w:r>
        <w:t xml:space="preserve"> (</w:t>
      </w:r>
      <w:r w:rsidRPr="0090512E">
        <w:rPr>
          <w:i/>
        </w:rPr>
        <w:t>ens ratum</w:t>
      </w:r>
      <w:r>
        <w:rPr>
          <w:i/>
        </w:rPr>
        <w:fldChar w:fldCharType="begin"/>
      </w:r>
      <w:r>
        <w:instrText xml:space="preserve"> XE "</w:instrText>
      </w:r>
      <w:r w:rsidRPr="00B2798F">
        <w:rPr>
          <w:rStyle w:val="addmd"/>
          <w:i/>
        </w:rPr>
        <w:instrText>ens ratum</w:instrText>
      </w:r>
      <w:r w:rsidRPr="00545727">
        <w:rPr>
          <w:rStyle w:val="addmd"/>
        </w:rPr>
        <w:instrText>:moderna</w:instrText>
      </w:r>
      <w:r>
        <w:instrText xml:space="preserve">" </w:instrText>
      </w:r>
      <w:r>
        <w:rPr>
          <w:i/>
        </w:rPr>
        <w:fldChar w:fldCharType="end"/>
      </w:r>
      <w:r>
        <w:t>)</w:t>
      </w:r>
      <w:r w:rsidRPr="00273106">
        <w:t xml:space="preserve">, protože v duši se nachází pouze </w:t>
      </w:r>
      <w:r>
        <w:t xml:space="preserve">slabá forma potenciálního jsoucna </w:t>
      </w:r>
      <w:r w:rsidRPr="00273106">
        <w:t>(</w:t>
      </w:r>
      <w:r w:rsidRPr="00273106">
        <w:rPr>
          <w:i/>
        </w:rPr>
        <w:t>in anima tantum</w:t>
      </w:r>
      <w:r w:rsidRPr="00273106">
        <w:t xml:space="preserve">). Druhé averroisty a jejich ideové potomstvo </w:t>
      </w:r>
      <w:r>
        <w:t xml:space="preserve">popřelo základní tezi </w:t>
      </w:r>
      <w:r w:rsidRPr="00B07B1D">
        <w:rPr>
          <w:i/>
        </w:rPr>
        <w:t>Druhých analytik</w:t>
      </w:r>
      <w:r w:rsidRPr="00273106">
        <w:t xml:space="preserve">, že v reálných jednotlivinách nejsou obsažena žádná univerzália (τὸ μὲν καθόλου μὴ ἔστι τι παρὰ τὰ καθ' ἕκαστα, </w:t>
      </w:r>
      <w:r w:rsidRPr="00DF3FD0">
        <w:rPr>
          <w:i/>
        </w:rPr>
        <w:t>Anal. Post</w:t>
      </w:r>
      <w:r w:rsidRPr="00273106">
        <w:t>. 85a31</w:t>
      </w:r>
      <w:r>
        <w:fldChar w:fldCharType="begin"/>
      </w:r>
      <w:r>
        <w:instrText xml:space="preserve"> XE "Aristoteles:</w:instrText>
      </w:r>
      <w:r w:rsidRPr="00084058">
        <w:rPr>
          <w:i/>
        </w:rPr>
        <w:instrText>Anal. Post</w:instrText>
      </w:r>
      <w:r w:rsidRPr="00084058">
        <w:instrText>. 85a31</w:instrText>
      </w:r>
      <w:r>
        <w:instrText xml:space="preserve">" </w:instrText>
      </w:r>
      <w:r>
        <w:fldChar w:fldCharType="end"/>
      </w:r>
      <w:r w:rsidRPr="00273106">
        <w:t xml:space="preserve">). </w:t>
      </w:r>
      <w:r>
        <w:t>Zatmění první substance zásadně změnilo postavení středního členu deduktivního vědeckého soudu. Ztratil impozici z reality a dostal univerzální supozici z mysli poznávajícího</w:t>
      </w:r>
      <w:r>
        <w:fldChar w:fldCharType="begin"/>
      </w:r>
      <w:r>
        <w:instrText xml:space="preserve"> XE "</w:instrText>
      </w:r>
      <w:r w:rsidRPr="004A45B0">
        <w:instrText>supozice:moderna</w:instrText>
      </w:r>
      <w:r>
        <w:instrText xml:space="preserve">" </w:instrText>
      </w:r>
      <w:r>
        <w:fldChar w:fldCharType="end"/>
      </w:r>
      <w:r>
        <w:t xml:space="preserve">. Modernisté jako Rufus a Bonaventura působili v Paříži dávno před Descartem a Husserlem. Analytický </w:t>
      </w:r>
      <w:r w:rsidRPr="00273106">
        <w:t xml:space="preserve">výklad </w:t>
      </w:r>
      <w:r w:rsidRPr="00436DC8">
        <w:rPr>
          <w:i/>
        </w:rPr>
        <w:t>Druhých analytik</w:t>
      </w:r>
      <w:r w:rsidRPr="00273106">
        <w:t xml:space="preserve"> </w:t>
      </w:r>
      <w:r>
        <w:t xml:space="preserve">umožnil nové generaci filosofů formovaných Grossetestem udělat </w:t>
      </w:r>
      <w:r w:rsidRPr="00273106">
        <w:t xml:space="preserve">základní </w:t>
      </w:r>
      <w:r>
        <w:t xml:space="preserve">volbu </w:t>
      </w:r>
      <w:r w:rsidRPr="00273106">
        <w:t>mezi prvním a druhým averroismem.</w:t>
      </w:r>
      <w:r>
        <w:t xml:space="preserve"> V</w:t>
      </w:r>
      <w:r w:rsidRPr="00273106">
        <w:t xml:space="preserve">yškrtli nespolehlivou </w:t>
      </w:r>
      <w:r>
        <w:t>e</w:t>
      </w:r>
      <w:r w:rsidRPr="00273106">
        <w:t>xistenci prvních substancí ze schématu poznání</w:t>
      </w:r>
      <w:r>
        <w:t xml:space="preserve">. To se stalo </w:t>
      </w:r>
      <w:r w:rsidRPr="00273106">
        <w:t xml:space="preserve">hned v prvním kole </w:t>
      </w:r>
      <w:r>
        <w:t>modern</w:t>
      </w:r>
      <w:r w:rsidR="00472A9F">
        <w:t>ích meditací o první filosofii.</w:t>
      </w:r>
    </w:p>
    <w:p w14:paraId="23827D8F" w14:textId="77777777" w:rsidR="00472A9F" w:rsidRPr="08826D2A" w:rsidRDefault="00472A9F" w:rsidP="00472A9F">
      <w:pPr>
        <w:ind w:firstLine="397"/>
      </w:pPr>
      <w:r>
        <w:t xml:space="preserve">Po zatmění slunce analyticky převedené na zatmění první substance vznikl </w:t>
      </w:r>
      <w:r w:rsidRPr="00273106">
        <w:t>základní problém</w:t>
      </w:r>
      <w:r>
        <w:t xml:space="preserve">. Ten </w:t>
      </w:r>
      <w:r w:rsidRPr="00273106">
        <w:t xml:space="preserve">bude trápit celou </w:t>
      </w:r>
      <w:r>
        <w:t>kartezi</w:t>
      </w:r>
      <w:r w:rsidRPr="00273106">
        <w:t xml:space="preserve">ánskou modernu postavenou na matematické exaktnosti čisté formy. Jak se má poznání dostat od evidentního a plně pravdivého formálního náhledu k reálné věci? </w:t>
      </w:r>
      <w:r>
        <w:t>Aristoteles</w:t>
      </w:r>
      <w:r w:rsidRPr="00273106">
        <w:t xml:space="preserve"> a po něm </w:t>
      </w:r>
      <w:r>
        <w:t>Averroes</w:t>
      </w:r>
      <w:r w:rsidRPr="00273106">
        <w:t xml:space="preserve"> neměli tento </w:t>
      </w:r>
      <w:r>
        <w:t xml:space="preserve">fatální </w:t>
      </w:r>
      <w:r w:rsidRPr="00273106">
        <w:t xml:space="preserve">problém </w:t>
      </w:r>
      <w:r>
        <w:t>moderny a postmoderny, protože nežili v epoše zatmění první substance</w:t>
      </w:r>
      <w:r w:rsidRPr="00273106">
        <w:t>. Dedukce poznávacího soudu začínala u první</w:t>
      </w:r>
      <w:r>
        <w:t>ch  substancí a jejich účinků, které se přenesly do dekutivního soudu. Impozice</w:t>
      </w:r>
      <w:r>
        <w:fldChar w:fldCharType="begin"/>
      </w:r>
      <w:r>
        <w:instrText xml:space="preserve"> XE "</w:instrText>
      </w:r>
      <w:r w:rsidRPr="003A6412">
        <w:instrText>impozice:první averroismus</w:instrText>
      </w:r>
      <w:r>
        <w:instrText xml:space="preserve">" </w:instrText>
      </w:r>
      <w:r>
        <w:fldChar w:fldCharType="end"/>
      </w:r>
      <w:r>
        <w:t xml:space="preserve"> významu je dána od </w:t>
      </w:r>
      <w:r>
        <w:lastRenderedPageBreak/>
        <w:t xml:space="preserve">kauzality reálné věci v modu </w:t>
      </w:r>
      <w:r w:rsidRPr="002932B5">
        <w:rPr>
          <w:i/>
        </w:rPr>
        <w:t>per prius</w:t>
      </w:r>
      <w:r>
        <w:t>. Dedukce nejde od supozice abstraktního významu, esence, či definice daná pouze v mysli</w:t>
      </w:r>
      <w:r w:rsidRPr="00273106">
        <w:t xml:space="preserve">. Protože existují první substance jako Slunce, Země a Měsíc, pak můžeme najít </w:t>
      </w:r>
      <w:r>
        <w:t xml:space="preserve">v modu metafyzického dativu a vědeckou </w:t>
      </w:r>
      <w:r w:rsidRPr="00273106">
        <w:t xml:space="preserve">dedukcí i </w:t>
      </w:r>
      <w:r>
        <w:t xml:space="preserve">obecnou </w:t>
      </w:r>
      <w:r w:rsidRPr="00273106">
        <w:t xml:space="preserve">příčinu </w:t>
      </w:r>
      <w:r>
        <w:t>zatmění měsíce nebo slunce</w:t>
      </w:r>
      <w:r w:rsidRPr="00273106">
        <w:t xml:space="preserve">. </w:t>
      </w:r>
      <w:r>
        <w:t>Analytický k</w:t>
      </w:r>
      <w:r w:rsidRPr="00273106">
        <w:t xml:space="preserve">omentář </w:t>
      </w:r>
      <w:r w:rsidRPr="00180CFB">
        <w:rPr>
          <w:i/>
        </w:rPr>
        <w:t>Druhých analytik</w:t>
      </w:r>
      <w:r w:rsidRPr="00273106">
        <w:t xml:space="preserve"> na</w:t>
      </w:r>
      <w:r>
        <w:t xml:space="preserve">opak dedukuje první substanci nasvícením zezadu, </w:t>
      </w:r>
      <w:r w:rsidRPr="00273106">
        <w:t xml:space="preserve">skrze </w:t>
      </w:r>
      <w:r>
        <w:t xml:space="preserve">dělení univerzálií v rámci </w:t>
      </w:r>
      <w:r w:rsidRPr="00273106">
        <w:rPr>
          <w:i/>
        </w:rPr>
        <w:t>Arbor Porphyriana</w:t>
      </w:r>
      <w:r>
        <w:rPr>
          <w:i/>
        </w:rPr>
        <w:fldChar w:fldCharType="begin"/>
      </w:r>
      <w:r>
        <w:instrText xml:space="preserve"> XE "</w:instrText>
      </w:r>
      <w:r w:rsidRPr="00227C7B">
        <w:rPr>
          <w:i/>
        </w:rPr>
        <w:instrText>Arbor Porphyriana</w:instrText>
      </w:r>
      <w:r>
        <w:instrText xml:space="preserve">" </w:instrText>
      </w:r>
      <w:r>
        <w:rPr>
          <w:i/>
        </w:rPr>
        <w:fldChar w:fldCharType="end"/>
      </w:r>
      <w:r w:rsidRPr="00273106">
        <w:t>.</w:t>
      </w:r>
      <w:r>
        <w:t xml:space="preserve"> Grosseteste </w:t>
      </w:r>
      <w:r>
        <w:rPr>
          <w:rStyle w:val="TextpoznpodarouChar"/>
          <w:i/>
        </w:rPr>
        <w:fldChar w:fldCharType="begin"/>
      </w:r>
      <w:r>
        <w:instrText xml:space="preserve"> XE "</w:instrText>
      </w:r>
      <w:r w:rsidRPr="004E6075">
        <w:rPr>
          <w:i/>
        </w:rPr>
        <w:instrText>demonstratio</w:instrText>
      </w:r>
      <w:r w:rsidRPr="00067470">
        <w:rPr>
          <w:i/>
        </w:rPr>
        <w:instrText>:Grosseteste</w:instrText>
      </w:r>
      <w:r>
        <w:instrText xml:space="preserve">" </w:instrText>
      </w:r>
      <w:r>
        <w:rPr>
          <w:rStyle w:val="TextpoznpodarouChar"/>
          <w:i/>
        </w:rPr>
        <w:fldChar w:fldCharType="end"/>
      </w:r>
      <w:r>
        <w:t>tímto způsobem zajišťuje trvalou platnost poznání sestupujícího od nejvyšších rodů směrem k nižším (</w:t>
      </w:r>
      <w:r w:rsidRPr="00993F9A">
        <w:rPr>
          <w:i/>
        </w:rPr>
        <w:t>i</w:t>
      </w:r>
      <w:r w:rsidRPr="00993F9A">
        <w:rPr>
          <w:rStyle w:val="TextpoznpodarouChar"/>
          <w:i/>
        </w:rPr>
        <w:t>d est illud de quo proprie debet fieri demonstratio, sicut totum in parte</w:t>
      </w:r>
      <w:r>
        <w:t>).</w:t>
      </w:r>
      <w:r w:rsidRPr="00273106">
        <w:rPr>
          <w:rStyle w:val="Znakapoznpodarou"/>
        </w:rPr>
        <w:footnoteReference w:id="306"/>
      </w:r>
      <w:r w:rsidRPr="00273106">
        <w:t xml:space="preserve"> Citovaná pasáž dělení rodu a </w:t>
      </w:r>
      <w:r w:rsidRPr="002E30FF">
        <w:t>species</w:t>
      </w:r>
      <w:r w:rsidRPr="00273106">
        <w:t xml:space="preserve"> až na individuum již ukazuje primát supozice abstraktního individua, která vytěsnila poznání reálné jednotliviny (</w:t>
      </w:r>
      <w:r w:rsidRPr="00273106">
        <w:rPr>
          <w:rStyle w:val="TextpoznpodarouChar"/>
          <w:i/>
        </w:rPr>
        <w:t>accipere a superiori extra singulare quam singularia</w:t>
      </w:r>
      <w:r w:rsidRPr="00273106">
        <w:t xml:space="preserve">). </w:t>
      </w:r>
      <w:r>
        <w:t>Koncept u</w:t>
      </w:r>
      <w:r>
        <w:rPr>
          <w:rStyle w:val="TextpoznpodarouChar"/>
        </w:rPr>
        <w:t xml:space="preserve">nivočně pojatého jsoucna třetího druhu </w:t>
      </w:r>
      <w:r w:rsidRPr="00E05B9E">
        <w:rPr>
          <w:rStyle w:val="TextpoznpodarouChar"/>
        </w:rPr>
        <w:t>se kauzálně spojuje s poznáním prostřednictvím bož</w:t>
      </w:r>
      <w:r>
        <w:rPr>
          <w:rStyle w:val="TextpoznpodarouChar"/>
        </w:rPr>
        <w:t>ích exemplarů</w:t>
      </w:r>
      <w:r w:rsidRPr="00E05B9E">
        <w:rPr>
          <w:rStyle w:val="TextpoznpodarouChar"/>
        </w:rPr>
        <w:t>.</w:t>
      </w:r>
      <w:r>
        <w:rPr>
          <w:rStyle w:val="TextpoznpodarouChar"/>
        </w:rPr>
        <w:t xml:space="preserve"> Ty jsou vtištěny do lidského </w:t>
      </w:r>
      <w:r w:rsidRPr="009D2ACE">
        <w:rPr>
          <w:rStyle w:val="TextpoznpodarouChar"/>
          <w:i/>
        </w:rPr>
        <w:t>intellectus adeptus</w:t>
      </w:r>
      <w:r>
        <w:rPr>
          <w:rStyle w:val="TextpoznpodarouChar"/>
        </w:rPr>
        <w:t xml:space="preserve">, což ukazuje temrín </w:t>
      </w:r>
      <w:r w:rsidRPr="00273106">
        <w:rPr>
          <w:rStyle w:val="TextpoznpodarouChar"/>
          <w:i/>
        </w:rPr>
        <w:t>impressio</w:t>
      </w:r>
      <w:r>
        <w:rPr>
          <w:rStyle w:val="TextpoznpodarouChar"/>
        </w:rPr>
        <w:t xml:space="preserve">. Stejný </w:t>
      </w:r>
      <w:r>
        <w:t xml:space="preserve">náhled na smysl jsoucna nasvícený zezadu, jako má </w:t>
      </w:r>
      <w:r w:rsidRPr="009D41E2">
        <w:rPr>
          <w:i/>
        </w:rPr>
        <w:t>Oxfordian Fallacy</w:t>
      </w:r>
      <w:r>
        <w:t xml:space="preserve">, </w:t>
      </w:r>
      <w:r w:rsidRPr="00273106">
        <w:t xml:space="preserve">najdeme </w:t>
      </w:r>
      <w:r>
        <w:t xml:space="preserve">u Alexandra Halského v Paříži </w:t>
      </w:r>
      <w:r>
        <w:rPr>
          <w:rStyle w:val="TextpoznpodarouChar"/>
        </w:rPr>
        <w:t xml:space="preserve">kolem roku 1235. </w:t>
      </w:r>
      <w:r w:rsidRPr="00273106">
        <w:rPr>
          <w:rStyle w:val="TextpoznpodarouChar"/>
        </w:rPr>
        <w:t>Alexander Hales</w:t>
      </w:r>
      <w:r w:rsidRPr="00273106">
        <w:t xml:space="preserve"> s odvoláním na Avicennu </w:t>
      </w:r>
      <w:r>
        <w:t xml:space="preserve">univočně predikuje </w:t>
      </w:r>
      <w:r w:rsidRPr="00273106">
        <w:t xml:space="preserve">transcendentální pojem </w:t>
      </w:r>
      <w:r>
        <w:t xml:space="preserve">jsoucna a </w:t>
      </w:r>
      <w:r w:rsidRPr="00273106">
        <w:t>s ním spojenou kauzalitu</w:t>
      </w:r>
      <w:r>
        <w:t xml:space="preserve"> (</w:t>
      </w:r>
      <w:r w:rsidRPr="0055618A">
        <w:rPr>
          <w:rStyle w:val="TextpoznpodarouChar"/>
          <w:i/>
        </w:rPr>
        <w:t>ens est prima impressio intelligentiae</w:t>
      </w:r>
      <w:r>
        <w:t>)</w:t>
      </w:r>
      <w:r w:rsidRPr="00273106">
        <w:t>.</w:t>
      </w:r>
      <w:r w:rsidRPr="00273106">
        <w:rPr>
          <w:rStyle w:val="Znakapoznpodarou"/>
        </w:rPr>
        <w:footnoteReference w:id="307"/>
      </w:r>
      <w:r w:rsidRPr="00273106">
        <w:t xml:space="preserve"> </w:t>
      </w:r>
      <w:r>
        <w:rPr>
          <w:rStyle w:val="TextpoznpodarouChar"/>
        </w:rPr>
        <w:t>Termínem „</w:t>
      </w:r>
      <w:r w:rsidRPr="0055618A">
        <w:rPr>
          <w:rStyle w:val="TextpoznpodarouChar"/>
          <w:i/>
        </w:rPr>
        <w:t>impressio</w:t>
      </w:r>
      <w:r>
        <w:rPr>
          <w:rStyle w:val="TextpoznpodarouChar"/>
        </w:rPr>
        <w:t>“</w:t>
      </w:r>
      <w:r w:rsidRPr="0055618A">
        <w:rPr>
          <w:rStyle w:val="TextpoznpodarouChar"/>
          <w:i/>
        </w:rPr>
        <w:t xml:space="preserve"> </w:t>
      </w:r>
      <w:r w:rsidRPr="00273106">
        <w:rPr>
          <w:rStyle w:val="TextpoznpodarouChar"/>
        </w:rPr>
        <w:t xml:space="preserve">označovala </w:t>
      </w:r>
      <w:r w:rsidRPr="00273106">
        <w:rPr>
          <w:rStyle w:val="TextpoznpodarouChar"/>
          <w:i/>
        </w:rPr>
        <w:t>Summa Halensis</w:t>
      </w:r>
      <w:r>
        <w:rPr>
          <w:rStyle w:val="TextpoznpodarouChar"/>
          <w:i/>
        </w:rPr>
        <w:fldChar w:fldCharType="begin"/>
      </w:r>
      <w:r>
        <w:instrText xml:space="preserve"> XE "</w:instrText>
      </w:r>
      <w:r w:rsidRPr="00F14A6F">
        <w:rPr>
          <w:i/>
        </w:rPr>
        <w:instrText>Summa Halensis</w:instrText>
      </w:r>
      <w:r>
        <w:instrText xml:space="preserve">" </w:instrText>
      </w:r>
      <w:r>
        <w:rPr>
          <w:rStyle w:val="TextpoznpodarouChar"/>
          <w:i/>
        </w:rPr>
        <w:fldChar w:fldCharType="end"/>
      </w:r>
      <w:r w:rsidRPr="00273106">
        <w:rPr>
          <w:rStyle w:val="TextpoznpodarouChar"/>
        </w:rPr>
        <w:t xml:space="preserve"> boží primární kauzalitu, </w:t>
      </w:r>
      <w:r>
        <w:rPr>
          <w:rStyle w:val="TextpoznpodarouChar"/>
        </w:rPr>
        <w:t xml:space="preserve">která půvobí ve stvoření </w:t>
      </w:r>
      <w:r w:rsidRPr="00273106">
        <w:rPr>
          <w:rStyle w:val="TextpoznpodarouChar"/>
        </w:rPr>
        <w:t>(</w:t>
      </w:r>
      <w:r w:rsidRPr="00F226E3">
        <w:rPr>
          <w:rStyle w:val="TextpoznpodarouChar"/>
          <w:i/>
        </w:rPr>
        <w:t>primum ens in ordine causalitatis est prima impressio</w:t>
      </w:r>
      <w:r w:rsidRPr="00273106">
        <w:rPr>
          <w:rStyle w:val="TextpoznpodarouChar"/>
        </w:rPr>
        <w:t xml:space="preserve">). </w:t>
      </w:r>
      <w:r w:rsidRPr="00273106">
        <w:t>Tyto první potřehy bytí (</w:t>
      </w:r>
      <w:r w:rsidRPr="00273106">
        <w:rPr>
          <w:i/>
        </w:rPr>
        <w:t>primae conceptiones</w:t>
      </w:r>
      <w:r w:rsidRPr="00273106">
        <w:t>) jsou dány v aktu přímého eidetického náhledu</w:t>
      </w:r>
      <w:r>
        <w:fldChar w:fldCharType="begin"/>
      </w:r>
      <w:r>
        <w:instrText xml:space="preserve"> XE "vidění:eidetické" </w:instrText>
      </w:r>
      <w:r>
        <w:fldChar w:fldCharType="end"/>
      </w:r>
      <w:r w:rsidRPr="00273106">
        <w:t xml:space="preserve"> stejně jako to má Grosseteste. Správnost poznání</w:t>
      </w:r>
      <w:r>
        <w:t xml:space="preserve"> se v letech 1230‒35 dostala na pole objektivní dedukce dané jako </w:t>
      </w:r>
      <w:r w:rsidRPr="00273106">
        <w:t>vyvedení kontingentní existence věci z její věčné podstaty</w:t>
      </w:r>
      <w:r>
        <w:t xml:space="preserve"> dané v moderním bohu</w:t>
      </w:r>
      <w:r>
        <w:fldChar w:fldCharType="begin"/>
      </w:r>
      <w:r>
        <w:instrText xml:space="preserve"> XE "</w:instrText>
      </w:r>
      <w:r w:rsidRPr="00CF7A78">
        <w:instrText>dedukce:objektivní</w:instrText>
      </w:r>
      <w:r>
        <w:instrText xml:space="preserve">" </w:instrText>
      </w:r>
      <w:r>
        <w:fldChar w:fldCharType="end"/>
      </w:r>
      <w:r w:rsidRPr="00273106">
        <w:t>.</w:t>
      </w:r>
      <w:r>
        <w:t xml:space="preserve"> Tuto cestu Moderních dokončí Scotus. Na poznání zespodu</w:t>
      </w:r>
      <w:r w:rsidRPr="00273106">
        <w:t>, tj. od hylemorfické první substance je po</w:t>
      </w:r>
      <w:r>
        <w:t>dle Grossetesteho odkázaný jen slabý</w:t>
      </w:r>
      <w:r w:rsidRPr="00273106">
        <w:t xml:space="preserve"> (</w:t>
      </w:r>
      <w:r w:rsidRPr="00273106">
        <w:rPr>
          <w:i/>
        </w:rPr>
        <w:t>debilis</w:t>
      </w:r>
      <w:r w:rsidRPr="00273106">
        <w:t>) intelekt. V Avicennově schématu čtyř druhů intelektu (</w:t>
      </w:r>
      <w:r>
        <w:t xml:space="preserve">OBJ I, </w:t>
      </w:r>
      <w:r w:rsidRPr="00273106">
        <w:t xml:space="preserve">kap. 2.3.1) mu </w:t>
      </w:r>
      <w:r w:rsidRPr="00273106">
        <w:lastRenderedPageBreak/>
        <w:t>odpovíd</w:t>
      </w:r>
      <w:r>
        <w:t>á schopnost intelektu činit syl</w:t>
      </w:r>
      <w:r w:rsidRPr="00273106">
        <w:t>ogistické závěry na základě smyslové zkušenosti (</w:t>
      </w:r>
      <w:r w:rsidRPr="00273106">
        <w:rPr>
          <w:i/>
        </w:rPr>
        <w:t>intellectus in effectu</w:t>
      </w:r>
      <w:r w:rsidRPr="00273106">
        <w:t>). Rozdělení intelektu přesně odpovídá duálnímu pojetí poznání daného empiricky (</w:t>
      </w:r>
      <w:r w:rsidRPr="00273106">
        <w:rPr>
          <w:i/>
        </w:rPr>
        <w:t>scientia</w:t>
      </w:r>
      <w:r>
        <w:rPr>
          <w:i/>
        </w:rPr>
        <w:fldChar w:fldCharType="begin"/>
      </w:r>
      <w:r>
        <w:instrText xml:space="preserve"> XE "</w:instrText>
      </w:r>
      <w:r w:rsidRPr="0015798D">
        <w:rPr>
          <w:i/>
        </w:rPr>
        <w:instrText>Oxfordian Fallacy:</w:instrText>
      </w:r>
      <w:r>
        <w:rPr>
          <w:i/>
        </w:rPr>
        <w:instrText>scientia</w:instrText>
      </w:r>
      <w:r>
        <w:instrText xml:space="preserve">" </w:instrText>
      </w:r>
      <w:r>
        <w:rPr>
          <w:i/>
        </w:rPr>
        <w:fldChar w:fldCharType="end"/>
      </w:r>
      <w:r w:rsidRPr="00273106">
        <w:t>) a přímému eidetickému náhledu do aktivních stvořitelských principů (</w:t>
      </w:r>
      <w:r w:rsidRPr="00273106">
        <w:rPr>
          <w:i/>
        </w:rPr>
        <w:t>intellectus</w:t>
      </w:r>
      <w:r w:rsidRPr="00273106">
        <w:t>).</w:t>
      </w:r>
      <w:r>
        <w:t xml:space="preserve"> Grosseteste musí pro moderní ilumináty osvícené intelektem-sluncem vytvořit nový Jakubův žebřík</w:t>
      </w:r>
      <w:r>
        <w:fldChar w:fldCharType="begin"/>
      </w:r>
      <w:r>
        <w:instrText xml:space="preserve"> XE "</w:instrText>
      </w:r>
      <w:r w:rsidRPr="0848532F">
        <w:instrText>Jakubův žebřík</w:instrText>
      </w:r>
      <w:r>
        <w:instrText xml:space="preserve">" </w:instrText>
      </w:r>
      <w:r>
        <w:fldChar w:fldCharType="end"/>
      </w:r>
      <w:r>
        <w:t>, aby mohli silou vlastního andělského poznání volně vystupovat a sestupovat mezi zemí a objektivním nebem.</w:t>
      </w:r>
    </w:p>
    <w:p w14:paraId="6017A087" w14:textId="77777777" w:rsidR="00472A9F" w:rsidRPr="00273106" w:rsidRDefault="00472A9F" w:rsidP="00472A9F">
      <w:pPr>
        <w:pStyle w:val="Citace"/>
        <w:rPr>
          <w:noProof/>
          <w:lang w:val="cs-CZ"/>
        </w:rPr>
      </w:pPr>
      <w:r w:rsidRPr="00273106">
        <w:rPr>
          <w:noProof/>
          <w:lang w:val="cs-CZ"/>
        </w:rPr>
        <w:t>„Slabý intelekt</w:t>
      </w:r>
      <w:r>
        <w:rPr>
          <w:noProof/>
          <w:lang w:val="cs-CZ"/>
        </w:rPr>
        <w:t xml:space="preserve"> (</w:t>
      </w:r>
      <w:r w:rsidRPr="00DF0EEB">
        <w:rPr>
          <w:i/>
          <w:lang w:val="cs-CZ"/>
        </w:rPr>
        <w:t>i</w:t>
      </w:r>
      <w:r w:rsidRPr="00DF0EEB">
        <w:rPr>
          <w:i/>
        </w:rPr>
        <w:t>ntellectus debilis</w:t>
      </w:r>
      <w:r>
        <w:rPr>
          <w:noProof/>
          <w:lang w:val="cs-CZ"/>
        </w:rPr>
        <w:t xml:space="preserve">) </w:t>
      </w:r>
      <w:r w:rsidRPr="00273106">
        <w:rPr>
          <w:noProof/>
          <w:lang w:val="cs-CZ"/>
        </w:rPr>
        <w:t>nemůže vystoupit k poznání</w:t>
      </w:r>
      <w:r>
        <w:rPr>
          <w:noProof/>
          <w:lang w:val="cs-CZ"/>
        </w:rPr>
        <w:t xml:space="preserve"> oněch pravdivých rodů a druhů. Proto </w:t>
      </w:r>
      <w:r w:rsidRPr="00273106">
        <w:rPr>
          <w:noProof/>
          <w:lang w:val="cs-CZ"/>
        </w:rPr>
        <w:t xml:space="preserve">poznává věc pouze v akcidentech, které </w:t>
      </w:r>
      <w:r>
        <w:rPr>
          <w:noProof/>
          <w:lang w:val="cs-CZ"/>
        </w:rPr>
        <w:t>jsou pravdivými a esenciálními důsledky věcí (</w:t>
      </w:r>
      <w:r w:rsidRPr="004178BC">
        <w:rPr>
          <w:i/>
        </w:rPr>
        <w:t>consequentibus essentias veras rerum</w:t>
      </w:r>
      <w:r>
        <w:rPr>
          <w:noProof/>
          <w:lang w:val="cs-CZ"/>
        </w:rPr>
        <w:t>)</w:t>
      </w:r>
      <w:r w:rsidRPr="00273106">
        <w:rPr>
          <w:noProof/>
          <w:lang w:val="cs-CZ"/>
        </w:rPr>
        <w:t>. Ve slabém intelektu jsou akcidenty důs</w:t>
      </w:r>
      <w:r>
        <w:rPr>
          <w:noProof/>
          <w:lang w:val="cs-CZ"/>
        </w:rPr>
        <w:t>l</w:t>
      </w:r>
      <w:r w:rsidRPr="00273106">
        <w:rPr>
          <w:noProof/>
          <w:lang w:val="cs-CZ"/>
        </w:rPr>
        <w:t>ed</w:t>
      </w:r>
      <w:r>
        <w:rPr>
          <w:noProof/>
          <w:lang w:val="cs-CZ"/>
        </w:rPr>
        <w:t>ek</w:t>
      </w:r>
      <w:r w:rsidRPr="00273106">
        <w:rPr>
          <w:noProof/>
          <w:lang w:val="cs-CZ"/>
        </w:rPr>
        <w:t xml:space="preserve"> rodů a druhů, proto jsou principy pouze </w:t>
      </w:r>
      <w:r>
        <w:rPr>
          <w:noProof/>
          <w:lang w:val="cs-CZ"/>
        </w:rPr>
        <w:t xml:space="preserve">pro </w:t>
      </w:r>
      <w:r w:rsidRPr="00273106">
        <w:rPr>
          <w:noProof/>
          <w:lang w:val="cs-CZ"/>
        </w:rPr>
        <w:t>poznání</w:t>
      </w:r>
      <w:r>
        <w:rPr>
          <w:noProof/>
          <w:lang w:val="cs-CZ"/>
        </w:rPr>
        <w:t xml:space="preserve"> věcí</w:t>
      </w:r>
      <w:r w:rsidRPr="00273106">
        <w:rPr>
          <w:noProof/>
          <w:lang w:val="cs-CZ"/>
        </w:rPr>
        <w:t xml:space="preserve">, ale ne </w:t>
      </w:r>
      <w:r>
        <w:rPr>
          <w:noProof/>
          <w:lang w:val="cs-CZ"/>
        </w:rPr>
        <w:t xml:space="preserve">pro jejich existenci </w:t>
      </w:r>
      <w:r w:rsidRPr="08CF017A">
        <w:rPr>
          <w:lang w:val="cs-CZ"/>
        </w:rPr>
        <w:t>(</w:t>
      </w:r>
      <w:r w:rsidRPr="00C34EC1">
        <w:rPr>
          <w:i/>
        </w:rPr>
        <w:t>principia solum cognoscendi et non essendi</w:t>
      </w:r>
      <w:r w:rsidRPr="08CF017A">
        <w:rPr>
          <w:lang w:val="cs-CZ"/>
        </w:rPr>
        <w:t>)</w:t>
      </w:r>
      <w:r w:rsidRPr="00273106">
        <w:rPr>
          <w:noProof/>
          <w:lang w:val="cs-CZ"/>
        </w:rPr>
        <w:t>. Jak jsou dány podle těchto dvou posledních modů rody a druhy porušitelných věcí</w:t>
      </w:r>
      <w:r>
        <w:rPr>
          <w:noProof/>
          <w:lang w:val="cs-CZ"/>
        </w:rPr>
        <w:t xml:space="preserve"> neporušitelným způsobem</w:t>
      </w:r>
      <w:r w:rsidRPr="00273106">
        <w:rPr>
          <w:noProof/>
          <w:lang w:val="cs-CZ"/>
        </w:rPr>
        <w:t xml:space="preserve">, to je velká otázka.“ </w:t>
      </w:r>
      <w:r w:rsidRPr="00273106">
        <w:rPr>
          <w:rStyle w:val="Znakapoznpodarou"/>
          <w:noProof/>
          <w:lang w:val="cs-CZ"/>
        </w:rPr>
        <w:footnoteReference w:id="308"/>
      </w:r>
    </w:p>
    <w:p w14:paraId="0576431F" w14:textId="77777777" w:rsidR="00472A9F" w:rsidRDefault="00472A9F" w:rsidP="00472A9F">
      <w:r>
        <w:t>Druhý aver</w:t>
      </w:r>
      <w:r w:rsidRPr="00273106">
        <w:t>r</w:t>
      </w:r>
      <w:r>
        <w:t>o</w:t>
      </w:r>
      <w:r w:rsidRPr="00273106">
        <w:t xml:space="preserve">ismus postupuje cestou </w:t>
      </w:r>
      <w:r>
        <w:t xml:space="preserve">přímého </w:t>
      </w:r>
      <w:r w:rsidRPr="00273106">
        <w:t xml:space="preserve">náhledu rodů a druhů, které existují </w:t>
      </w:r>
      <w:r>
        <w:t xml:space="preserve">věčně </w:t>
      </w:r>
      <w:r w:rsidRPr="00273106">
        <w:t>jako čisté hypostáze (</w:t>
      </w:r>
      <w:r w:rsidRPr="00273106">
        <w:rPr>
          <w:i/>
        </w:rPr>
        <w:t>ascendere ad cognitionem horum verorum generum et specierum</w:t>
      </w:r>
      <w:r w:rsidRPr="00273106">
        <w:t>). Dualitou dvojího poznání a d</w:t>
      </w:r>
      <w:r>
        <w:t>vojího náhledu vzatého z Avicen</w:t>
      </w:r>
      <w:r w:rsidRPr="00273106">
        <w:t xml:space="preserve">ny vznikl v moderně problém „debilního“ intelektu založeného pouze empiricky. </w:t>
      </w:r>
      <w:r>
        <w:t xml:space="preserve">Tento </w:t>
      </w:r>
      <w:r w:rsidRPr="00273106">
        <w:rPr>
          <w:i/>
        </w:rPr>
        <w:t>intellectus debilis</w:t>
      </w:r>
      <w:r w:rsidRPr="00273106">
        <w:t xml:space="preserve"> </w:t>
      </w:r>
      <w:r>
        <w:rPr>
          <w:i/>
        </w:rPr>
        <w:fldChar w:fldCharType="begin"/>
      </w:r>
      <w:r>
        <w:instrText xml:space="preserve"> XE "</w:instrText>
      </w:r>
      <w:r w:rsidRPr="08BB1AD9">
        <w:rPr>
          <w:i/>
        </w:rPr>
        <w:instrText>intellectus debilis</w:instrText>
      </w:r>
      <w:r>
        <w:instrText xml:space="preserve">" </w:instrText>
      </w:r>
      <w:r>
        <w:rPr>
          <w:i/>
        </w:rPr>
        <w:fldChar w:fldCharType="end"/>
      </w:r>
      <w:r w:rsidRPr="00273106">
        <w:t>postupuje tak, že poznává nejprve akcidenty na věcech (</w:t>
      </w:r>
      <w:r w:rsidRPr="00273106">
        <w:rPr>
          <w:i/>
        </w:rPr>
        <w:t>cognoscit res in accidentibus solum</w:t>
      </w:r>
      <w:r w:rsidRPr="00273106">
        <w:t>), a pak skrze závěry jde k</w:t>
      </w:r>
      <w:r>
        <w:t xml:space="preserve"> esenci reálných věcí </w:t>
      </w:r>
      <w:r w:rsidRPr="00273106">
        <w:t>(</w:t>
      </w:r>
      <w:r w:rsidRPr="00273106">
        <w:rPr>
          <w:i/>
        </w:rPr>
        <w:t>consequentibus essentias veras rerum</w:t>
      </w:r>
      <w:r w:rsidRPr="00273106">
        <w:t xml:space="preserve">). To je normální postup </w:t>
      </w:r>
      <w:r w:rsidRPr="00F84A99">
        <w:rPr>
          <w:i/>
        </w:rPr>
        <w:t>Druhých analytik</w:t>
      </w:r>
      <w:r w:rsidRPr="00273106">
        <w:t xml:space="preserve"> daný skrze </w:t>
      </w:r>
      <w:r w:rsidRPr="00273106">
        <w:rPr>
          <w:i/>
        </w:rPr>
        <w:t>demonst</w:t>
      </w:r>
      <w:r>
        <w:rPr>
          <w:i/>
        </w:rPr>
        <w:t>r</w:t>
      </w:r>
      <w:r w:rsidRPr="00273106">
        <w:rPr>
          <w:i/>
        </w:rPr>
        <w:t>atio</w:t>
      </w:r>
      <w:r w:rsidRPr="00273106">
        <w:t xml:space="preserve"> opřené o reálně existující </w:t>
      </w:r>
      <w:r>
        <w:t xml:space="preserve">vztahy a kauzalitu, které jsou univerzálně vyjádřené skrze střední člen soudu. Aristotelský </w:t>
      </w:r>
      <w:r w:rsidRPr="00273106">
        <w:t>intelekt dělá závěry z poznání první substance (</w:t>
      </w:r>
      <w:r w:rsidRPr="00273106">
        <w:rPr>
          <w:i/>
        </w:rPr>
        <w:t>scientia</w:t>
      </w:r>
      <w:r>
        <w:rPr>
          <w:i/>
        </w:rPr>
        <w:fldChar w:fldCharType="begin"/>
      </w:r>
      <w:r>
        <w:instrText xml:space="preserve"> XE "</w:instrText>
      </w:r>
      <w:r w:rsidRPr="0015798D">
        <w:rPr>
          <w:i/>
        </w:rPr>
        <w:instrText>Oxfordian Fallacy:</w:instrText>
      </w:r>
      <w:r>
        <w:rPr>
          <w:i/>
        </w:rPr>
        <w:instrText>scientia</w:instrText>
      </w:r>
      <w:r>
        <w:instrText xml:space="preserve">" </w:instrText>
      </w:r>
      <w:r>
        <w:rPr>
          <w:i/>
        </w:rPr>
        <w:fldChar w:fldCharType="end"/>
      </w:r>
      <w:r w:rsidRPr="00273106">
        <w:t>), a nikoliv z aktu přímé intuice prvních principů poznání (</w:t>
      </w:r>
      <w:r w:rsidRPr="00273106">
        <w:rPr>
          <w:i/>
        </w:rPr>
        <w:t>intellectus</w:t>
      </w:r>
      <w:r>
        <w:t>).</w:t>
      </w:r>
    </w:p>
    <w:p w14:paraId="6A2707BC" w14:textId="6A29991D" w:rsidR="005D2F7C" w:rsidRPr="00926538" w:rsidRDefault="005D2F7C" w:rsidP="005D2F7C">
      <w:pPr>
        <w:ind w:firstLine="397"/>
      </w:pPr>
      <w:r>
        <w:t xml:space="preserve">Výklad </w:t>
      </w:r>
      <w:r w:rsidRPr="08693200">
        <w:rPr>
          <w:i/>
        </w:rPr>
        <w:t>Kategorií</w:t>
      </w:r>
      <w:r>
        <w:t xml:space="preserve"> v rámci analogické predikace dané okolo roku 1230 ukazuje na původní </w:t>
      </w:r>
      <w:r w:rsidRPr="08693200">
        <w:rPr>
          <w:i/>
        </w:rPr>
        <w:t>Lichtung</w:t>
      </w:r>
      <w:r>
        <w:t xml:space="preserve"> pravdy a nepravdy univoční metafyziky založené na termínu „</w:t>
      </w:r>
      <w:r w:rsidRPr="08693200">
        <w:rPr>
          <w:i/>
        </w:rPr>
        <w:t>analogia entis</w:t>
      </w:r>
      <w:r>
        <w:t>“</w:t>
      </w:r>
      <w:r>
        <w:rPr>
          <w:i/>
        </w:rPr>
        <w:fldChar w:fldCharType="begin"/>
      </w:r>
      <w:r>
        <w:instrText xml:space="preserve"> XE "</w:instrText>
      </w:r>
      <w:r w:rsidRPr="08E6721D">
        <w:rPr>
          <w:i/>
        </w:rPr>
        <w:instrText>analogia entis</w:instrText>
      </w:r>
      <w:r>
        <w:instrText xml:space="preserve">" </w:instrText>
      </w:r>
      <w:r>
        <w:rPr>
          <w:i/>
        </w:rPr>
        <w:fldChar w:fldCharType="end"/>
      </w:r>
      <w:r>
        <w:t xml:space="preserve">. Tuto evoluci ukáže příští kapitola. Znovu se opakuje dilema Porfyriova trojího výkladu atomární substance (OBJ I, kap. 1.3). Metafyzický náhled na jednotu jsoucna ve škole prvního averroismu byl vzat podle Averroesova pojetí metafyziky jako vědy o první </w:t>
      </w:r>
      <w:r>
        <w:lastRenderedPageBreak/>
        <w:t xml:space="preserve">substanci (OBJ I, kap. 2.4.1). </w:t>
      </w:r>
      <w:r>
        <w:rPr>
          <w:rFonts w:cs="Calibri"/>
        </w:rPr>
        <w:t xml:space="preserve">Kategoriální určení druhé substance implikuje reálný stav prvních substancí ve světě. Tím se liší od podobnosti vztahů daných pouze v mysli. Analogická predikace odvozuje působení prvních substancí v modu společné přirozenosti nebo podobnosti. Nebo tuto kauzalitu do reality projektuje například jako formální nebo finální příčinu. </w:t>
      </w:r>
      <w:r w:rsidRPr="00273106">
        <w:rPr>
          <w:rFonts w:cs="Calibri"/>
        </w:rPr>
        <w:t xml:space="preserve">Aristotelikové nemohou připustit zavedení analogické predikace </w:t>
      </w:r>
      <w:r>
        <w:rPr>
          <w:rFonts w:cs="Calibri"/>
        </w:rPr>
        <w:t xml:space="preserve">na stejnou univoční úroveň jako </w:t>
      </w:r>
      <w:r w:rsidRPr="00273106">
        <w:rPr>
          <w:rFonts w:cs="Calibri"/>
        </w:rPr>
        <w:t xml:space="preserve">kategoriální predikace, </w:t>
      </w:r>
      <w:r>
        <w:rPr>
          <w:rFonts w:cs="Calibri"/>
        </w:rPr>
        <w:t xml:space="preserve">protože analogická podobnost má </w:t>
      </w:r>
      <w:r w:rsidRPr="00273106">
        <w:rPr>
          <w:rFonts w:cs="Calibri"/>
        </w:rPr>
        <w:t>pouze vnější</w:t>
      </w:r>
      <w:r>
        <w:rPr>
          <w:rFonts w:cs="Calibri"/>
        </w:rPr>
        <w:t xml:space="preserve"> charakter</w:t>
      </w:r>
      <w:r w:rsidRPr="00273106">
        <w:rPr>
          <w:rFonts w:cs="Calibri"/>
        </w:rPr>
        <w:t xml:space="preserve">. </w:t>
      </w:r>
      <w:r>
        <w:rPr>
          <w:rFonts w:cs="Calibri"/>
        </w:rPr>
        <w:t>Analogická p</w:t>
      </w:r>
      <w:r w:rsidRPr="00273106">
        <w:rPr>
          <w:rFonts w:cs="Calibri"/>
        </w:rPr>
        <w:t xml:space="preserve">redikace založená na slabé formě podobnosti mezi první a druhou substancí nemůže </w:t>
      </w:r>
      <w:r>
        <w:rPr>
          <w:rFonts w:cs="Calibri"/>
        </w:rPr>
        <w:t xml:space="preserve">nahradit </w:t>
      </w:r>
      <w:r w:rsidRPr="00273106">
        <w:rPr>
          <w:rFonts w:cs="Calibri"/>
        </w:rPr>
        <w:t xml:space="preserve"> univoční</w:t>
      </w:r>
      <w:r>
        <w:rPr>
          <w:rFonts w:cs="Calibri"/>
        </w:rPr>
        <w:t xml:space="preserve"> vztah kauzality v rámci kategorií</w:t>
      </w:r>
      <w:r w:rsidRPr="00B634F8">
        <w:rPr>
          <w:rFonts w:cs="Calibri"/>
        </w:rPr>
        <w:t xml:space="preserve"> </w:t>
      </w:r>
      <w:r>
        <w:rPr>
          <w:rFonts w:cs="Calibri"/>
        </w:rPr>
        <w:t>aplikovaných na vědecké poznání, které vyjadřuje střední člen deduktivního vědeckého soudu</w:t>
      </w:r>
      <w:r>
        <w:rPr>
          <w:rFonts w:cs="Calibri"/>
        </w:rPr>
        <w:fldChar w:fldCharType="begin"/>
      </w:r>
      <w:r>
        <w:instrText xml:space="preserve"> XE "</w:instrText>
      </w:r>
      <w:r w:rsidRPr="00160146">
        <w:instrText>abstrakce:první averroismus</w:instrText>
      </w:r>
      <w:r>
        <w:instrText xml:space="preserve">" </w:instrText>
      </w:r>
      <w:r>
        <w:rPr>
          <w:rFonts w:cs="Calibri"/>
        </w:rPr>
        <w:fldChar w:fldCharType="end"/>
      </w:r>
      <w:r>
        <w:rPr>
          <w:rFonts w:cs="Calibri"/>
        </w:rPr>
        <w:t>. Analogická predikace je dána na úrovni abstrakce odezírající od reálného působení těles, proto patří do matematiky a geometrie</w:t>
      </w:r>
      <w:r w:rsidRPr="00273106">
        <w:rPr>
          <w:rFonts w:cs="Calibri"/>
        </w:rPr>
        <w:t xml:space="preserve">. </w:t>
      </w:r>
      <w:r>
        <w:rPr>
          <w:rFonts w:cs="Calibri"/>
        </w:rPr>
        <w:t xml:space="preserve">Matematika založená na analogii je rodově odlišná od fyziky a metafyziky založené na reálném působení prvních substancí. </w:t>
      </w:r>
      <w:r w:rsidRPr="00273106">
        <w:rPr>
          <w:rFonts w:cs="Calibri"/>
        </w:rPr>
        <w:t xml:space="preserve">První substance daná </w:t>
      </w:r>
      <w:r w:rsidRPr="00273106">
        <w:rPr>
          <w:rFonts w:cs="Calibri"/>
          <w:i/>
        </w:rPr>
        <w:t>simpliciter</w:t>
      </w:r>
      <w:r w:rsidRPr="00273106">
        <w:rPr>
          <w:rFonts w:cs="Calibri"/>
        </w:rPr>
        <w:t xml:space="preserve"> zajišťuje skrze hyparchickou funkci jediný možný způsob, jak zajistit univoční predikaci v rámci druhé substance.</w:t>
      </w:r>
      <w:r>
        <w:rPr>
          <w:rFonts w:cs="Calibri"/>
        </w:rPr>
        <w:t xml:space="preserve"> Škola prvního averroismu odmítla univerzální použití predikace </w:t>
      </w:r>
      <w:r w:rsidRPr="006716DE">
        <w:rPr>
          <w:rFonts w:cs="Calibri"/>
          <w:i/>
        </w:rPr>
        <w:t>in ar</w:t>
      </w:r>
      <w:r>
        <w:rPr>
          <w:rFonts w:cs="Calibri"/>
          <w:i/>
        </w:rPr>
        <w:t>ti</w:t>
      </w:r>
      <w:r w:rsidRPr="006716DE">
        <w:rPr>
          <w:rFonts w:cs="Calibri"/>
          <w:i/>
        </w:rPr>
        <w:t>ficialibus</w:t>
      </w:r>
      <w:r>
        <w:rPr>
          <w:rFonts w:cs="Calibri"/>
        </w:rPr>
        <w:fldChar w:fldCharType="begin"/>
      </w:r>
      <w:r>
        <w:instrText xml:space="preserve"> XE "</w:instrText>
      </w:r>
      <w:r w:rsidRPr="00B2682E">
        <w:rPr>
          <w:rFonts w:cs="Calibri"/>
        </w:rPr>
        <w:instrText>predikace:</w:instrText>
      </w:r>
      <w:r w:rsidRPr="00B2682E">
        <w:rPr>
          <w:rFonts w:cs="Calibri"/>
          <w:i/>
        </w:rPr>
        <w:instrText>in artificialibus</w:instrText>
      </w:r>
      <w:r>
        <w:instrText xml:space="preserve">" </w:instrText>
      </w:r>
      <w:r>
        <w:rPr>
          <w:rFonts w:cs="Calibri"/>
        </w:rPr>
        <w:fldChar w:fldCharType="end"/>
      </w:r>
      <w:r>
        <w:rPr>
          <w:rFonts w:cs="Calibri"/>
        </w:rPr>
        <w:t xml:space="preserve"> v modu analogie, což tvoří základ moderního vidění světa skrze matematickou analogii. </w:t>
      </w:r>
      <w:r w:rsidRPr="00273106">
        <w:rPr>
          <w:rFonts w:cs="Calibri"/>
        </w:rPr>
        <w:t>Rozdílné přístupy k atribuci jednoty (kategoriální</w:t>
      </w:r>
      <w:r>
        <w:rPr>
          <w:rFonts w:cs="Calibri"/>
        </w:rPr>
        <w:t xml:space="preserve"> versus </w:t>
      </w:r>
      <w:r w:rsidRPr="00273106">
        <w:rPr>
          <w:rFonts w:cs="Calibri"/>
        </w:rPr>
        <w:t>analogick</w:t>
      </w:r>
      <w:r>
        <w:rPr>
          <w:rFonts w:cs="Calibri"/>
        </w:rPr>
        <w:t>á predikace</w:t>
      </w:r>
      <w:r w:rsidRPr="00273106">
        <w:rPr>
          <w:rFonts w:cs="Calibri"/>
        </w:rPr>
        <w:t xml:space="preserve">) mají rozhodující význam pro následný spor mezi školou prvního a druhého averroismu. </w:t>
      </w:r>
      <w:r>
        <w:rPr>
          <w:rFonts w:cs="Calibri"/>
        </w:rPr>
        <w:t xml:space="preserve">Odmítnutí analogické predikace pro založení metafyziky ukazuje na </w:t>
      </w:r>
      <w:r w:rsidRPr="00273106">
        <w:rPr>
          <w:rStyle w:val="addmd"/>
        </w:rPr>
        <w:t>další</w:t>
      </w:r>
      <w:r>
        <w:rPr>
          <w:rStyle w:val="addmd"/>
        </w:rPr>
        <w:t xml:space="preserve"> kolo rozdílného </w:t>
      </w:r>
      <w:r w:rsidRPr="00273106">
        <w:rPr>
          <w:rStyle w:val="addmd"/>
        </w:rPr>
        <w:t xml:space="preserve">výkladu </w:t>
      </w:r>
      <w:r>
        <w:rPr>
          <w:rStyle w:val="addmd"/>
        </w:rPr>
        <w:t>Averroesova korpusu</w:t>
      </w:r>
      <w:r w:rsidRPr="00273106">
        <w:rPr>
          <w:rStyle w:val="addmd"/>
        </w:rPr>
        <w:t>, který vykládal první a druhý averroismus</w:t>
      </w:r>
      <w:r w:rsidRPr="00FE4466">
        <w:rPr>
          <w:rStyle w:val="addmd"/>
        </w:rPr>
        <w:t xml:space="preserve"> </w:t>
      </w:r>
      <w:r>
        <w:rPr>
          <w:rStyle w:val="addmd"/>
        </w:rPr>
        <w:t>zcela odlišně</w:t>
      </w:r>
      <w:r w:rsidRPr="00273106">
        <w:rPr>
          <w:rStyle w:val="addmd"/>
        </w:rPr>
        <w:t xml:space="preserve">. </w:t>
      </w:r>
      <w:r w:rsidRPr="00273106">
        <w:t xml:space="preserve">U prvních modernistů zmizel rozdíl mezi metafyzickou kategoriální </w:t>
      </w:r>
      <w:r>
        <w:t>predikací</w:t>
      </w:r>
      <w:r>
        <w:fldChar w:fldCharType="begin"/>
      </w:r>
      <w:r>
        <w:instrText xml:space="preserve"> XE "</w:instrText>
      </w:r>
      <w:r w:rsidRPr="00FA3571">
        <w:instrText>predikace:kategoriální</w:instrText>
      </w:r>
      <w:r>
        <w:instrText xml:space="preserve">" </w:instrText>
      </w:r>
      <w:r>
        <w:fldChar w:fldCharType="end"/>
      </w:r>
      <w:r>
        <w:t xml:space="preserve"> </w:t>
      </w:r>
      <w:r w:rsidRPr="00273106">
        <w:t>a</w:t>
      </w:r>
      <w:r>
        <w:t xml:space="preserve"> mezi analogickou </w:t>
      </w:r>
      <w:r w:rsidRPr="00273106">
        <w:t xml:space="preserve">matematickou </w:t>
      </w:r>
      <w:r>
        <w:t>predikací</w:t>
      </w:r>
      <w:r w:rsidRPr="00273106">
        <w:t xml:space="preserve">, což představitelé prvního averroismu </w:t>
      </w:r>
      <w:r>
        <w:t>zásadně odmítli</w:t>
      </w:r>
      <w:r w:rsidRPr="00273106">
        <w:t>.</w:t>
      </w:r>
      <w:r>
        <w:rPr>
          <w:szCs w:val="24"/>
        </w:rPr>
        <w:t xml:space="preserve"> </w:t>
      </w:r>
      <w:r w:rsidRPr="00273106">
        <w:t>Bacon, Albert a Akvinský oddělili formální poznání esence dané v řádu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od metafyzické abstrakce reflektující původní jednotu jsoucího danou na základě reál</w:t>
      </w:r>
      <w:r>
        <w:t>né kauzality prvních substancí</w:t>
      </w:r>
      <w:r w:rsidRPr="00273106">
        <w:t xml:space="preserve">. Akvinský provedl explicitní a zásadní kritiku avicennistů </w:t>
      </w:r>
      <w:r>
        <w:t xml:space="preserve">a porretánů </w:t>
      </w:r>
      <w:r w:rsidRPr="00273106">
        <w:t>kolem 1258</w:t>
      </w:r>
      <w:r>
        <w:t xml:space="preserve"> skrze obhajobu metafyzického principu „</w:t>
      </w:r>
      <w:r w:rsidRPr="001160B0">
        <w:rPr>
          <w:i/>
        </w:rPr>
        <w:t>separatio</w:t>
      </w:r>
      <w:r>
        <w:t xml:space="preserve">“ </w:t>
      </w:r>
      <w:r w:rsidRPr="00273106">
        <w:t>(Geiger 1947). Gilson</w:t>
      </w:r>
      <w:r>
        <w:fldChar w:fldCharType="begin"/>
      </w:r>
      <w:r>
        <w:instrText xml:space="preserve"> XE "</w:instrText>
      </w:r>
      <w:r w:rsidRPr="0045423D">
        <w:instrText>Gilson, E.</w:instrText>
      </w:r>
      <w:r>
        <w:instrText xml:space="preserve">" </w:instrText>
      </w:r>
      <w:r>
        <w:fldChar w:fldCharType="end"/>
      </w:r>
      <w:r>
        <w:t xml:space="preserve">, Geiger a po nich </w:t>
      </w:r>
      <w:r w:rsidRPr="00273106">
        <w:t xml:space="preserve">McInnerny zdůraznili význam Akvinského </w:t>
      </w:r>
      <w:r>
        <w:t xml:space="preserve">termínu </w:t>
      </w:r>
      <w:r w:rsidRPr="00086994">
        <w:rPr>
          <w:i/>
        </w:rPr>
        <w:t>separatio</w:t>
      </w:r>
      <w:r>
        <w:t xml:space="preserve"> v jeho </w:t>
      </w:r>
      <w:r w:rsidRPr="00273106">
        <w:t>originálním výkladu Boethiova spisu (</w:t>
      </w:r>
      <w:r w:rsidRPr="00273106">
        <w:rPr>
          <w:i/>
        </w:rPr>
        <w:t>Expositio super librum Boethii De Trinitate</w:t>
      </w:r>
      <w:r w:rsidRPr="00273106">
        <w:t>, qq. 5-6).</w:t>
      </w:r>
      <w:r>
        <w:rPr>
          <w:rStyle w:val="Znakapoznpodarou"/>
        </w:rPr>
        <w:footnoteReference w:id="309"/>
      </w:r>
      <w:r>
        <w:t xml:space="preserve"> </w:t>
      </w:r>
      <w:r>
        <w:lastRenderedPageBreak/>
        <w:t>Hermeneutika musí doplnit výklad těchto autorů ohledně role Avicenny, protože chápe slovo „</w:t>
      </w:r>
      <w:r w:rsidRPr="00F56AB6">
        <w:rPr>
          <w:i/>
        </w:rPr>
        <w:t>separatio</w:t>
      </w:r>
      <w:r>
        <w:t xml:space="preserve">“ v původním významu latinského </w:t>
      </w:r>
      <w:r w:rsidRPr="0024154D">
        <w:rPr>
          <w:i/>
        </w:rPr>
        <w:t>terminus</w:t>
      </w:r>
      <w:r>
        <w:rPr>
          <w:i/>
        </w:rPr>
        <w:fldChar w:fldCharType="begin"/>
      </w:r>
      <w:r>
        <w:instrText xml:space="preserve"> XE "</w:instrText>
      </w:r>
      <w:r w:rsidRPr="00F1366A">
        <w:rPr>
          <w:i/>
          <w:color w:val="000000"/>
        </w:rPr>
        <w:instrText>terminus</w:instrText>
      </w:r>
      <w:r>
        <w:instrText xml:space="preserve">" </w:instrText>
      </w:r>
      <w:r>
        <w:rPr>
          <w:i/>
        </w:rPr>
        <w:fldChar w:fldCharType="end"/>
      </w:r>
      <w:r>
        <w:t xml:space="preserve">, čili jako základní dělící čáru mezi prvním a druhým averroismem. První averroismus vzal Avicennovu definici metafyziky, ale odmítl pojetí abstrakce jako </w:t>
      </w:r>
      <w:r w:rsidRPr="004C4037">
        <w:rPr>
          <w:i/>
        </w:rPr>
        <w:t>denudatio</w:t>
      </w:r>
      <w:r>
        <w:rPr>
          <w:i/>
        </w:rPr>
        <w:fldChar w:fldCharType="begin"/>
      </w:r>
      <w:r>
        <w:instrText xml:space="preserve"> XE "</w:instrText>
      </w:r>
      <w:r w:rsidRPr="00C23100">
        <w:rPr>
          <w:i/>
        </w:rPr>
        <w:instrText>denudatio</w:instrText>
      </w:r>
      <w:r w:rsidRPr="00BB0FE3">
        <w:instrText>:druhý averroismus</w:instrText>
      </w:r>
      <w:r>
        <w:instrText xml:space="preserve">" </w:instrText>
      </w:r>
      <w:r>
        <w:rPr>
          <w:i/>
        </w:rPr>
        <w:fldChar w:fldCharType="end"/>
      </w:r>
      <w:r>
        <w:t xml:space="preserve"> determinující analogickou predikaci </w:t>
      </w:r>
      <w:r w:rsidRPr="08316E1B">
        <w:rPr>
          <w:i/>
        </w:rPr>
        <w:t>Kategorií</w:t>
      </w:r>
      <w:r>
        <w:t xml:space="preserve">. Avicennova definice první vědy nemůže zakládat poslední metafyzickou jednotu jsoucna v modu „substance </w:t>
      </w:r>
      <w:r w:rsidRPr="0822417E">
        <w:rPr>
          <w:i/>
        </w:rPr>
        <w:t>qua</w:t>
      </w:r>
      <w:r>
        <w:t xml:space="preserve"> substance“, protože to dělá pouze na analogické úrovni </w:t>
      </w:r>
      <w:r w:rsidRPr="00F54A6E">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t xml:space="preserve">. První averroismus dobře věděl na rozdíl od modernistů a postmodernistů, že avicennovské určení jsoucna v modu </w:t>
      </w:r>
      <w:r w:rsidRPr="004C0EBF">
        <w:rPr>
          <w:i/>
        </w:rPr>
        <w:t>ens inquantum ens</w:t>
      </w:r>
      <w:r>
        <w:t xml:space="preserve"> je pouhá logická abstrakce</w:t>
      </w:r>
      <w:r>
        <w:fldChar w:fldCharType="begin"/>
      </w:r>
      <w:r>
        <w:instrText xml:space="preserve"> XE "</w:instrText>
      </w:r>
      <w:r w:rsidRPr="004216FE">
        <w:instrText>abstrakce:logická</w:instrText>
      </w:r>
      <w:r>
        <w:instrText xml:space="preserve">" </w:instrText>
      </w:r>
      <w:r>
        <w:fldChar w:fldCharType="end"/>
      </w:r>
      <w:r>
        <w:t xml:space="preserve">. Albert a po něm Siger ze Sicilské školy proto dali Avicennovo určení jsoucna až na druhé místo za metafyzické určení substance podle Averroese. </w:t>
      </w:r>
      <w:r w:rsidRPr="00926538">
        <w:t xml:space="preserve">Toto pojetí dvojí </w:t>
      </w:r>
      <w:r>
        <w:t xml:space="preserve">vědecké </w:t>
      </w:r>
      <w:r w:rsidRPr="00926538">
        <w:t xml:space="preserve">metody a jedné </w:t>
      </w:r>
      <w:r>
        <w:t xml:space="preserve">pravdy se adekvátně vztahuje k realitě </w:t>
      </w:r>
      <w:r w:rsidRPr="00926538">
        <w:t xml:space="preserve">první substance a k Bohu jako první příčině. Teologie jako zjevené poznání Boha byla oddělena od filosofie, a proto byly obě vědy zachovány ve svém </w:t>
      </w:r>
      <w:r>
        <w:t xml:space="preserve">genericky </w:t>
      </w:r>
      <w:r w:rsidRPr="00926538">
        <w:t>odlišném poznání.</w:t>
      </w:r>
      <w:r>
        <w:t xml:space="preserve"> Theologické poznání boha je rodově odlišné od racionálního poznání boha jako </w:t>
      </w:r>
      <w:r>
        <w:rPr>
          <w:i/>
        </w:rPr>
        <w:t>c</w:t>
      </w:r>
      <w:r w:rsidRPr="00A84157">
        <w:rPr>
          <w:i/>
        </w:rPr>
        <w:t>ausa prima</w:t>
      </w:r>
      <w:r>
        <w:rPr>
          <w:i/>
        </w:rPr>
        <w:fldChar w:fldCharType="begin"/>
      </w:r>
      <w:r>
        <w:instrText xml:space="preserve"> XE "</w:instrText>
      </w:r>
      <w:r w:rsidRPr="00EC783C">
        <w:rPr>
          <w:i/>
          <w:color w:val="000000"/>
        </w:rPr>
        <w:instrText>causa prima</w:instrText>
      </w:r>
      <w:r>
        <w:instrText xml:space="preserve">" </w:instrText>
      </w:r>
      <w:r>
        <w:rPr>
          <w:i/>
        </w:rPr>
        <w:fldChar w:fldCharType="end"/>
      </w:r>
      <w:r>
        <w:t xml:space="preserve">. Předešlý výklad </w:t>
      </w:r>
      <w:r>
        <w:rPr>
          <w:i/>
        </w:rPr>
        <w:t>Oxfordian Fall</w:t>
      </w:r>
      <w:r w:rsidRPr="0096046B">
        <w:rPr>
          <w:i/>
        </w:rPr>
        <w:t>acy</w:t>
      </w:r>
      <w:r>
        <w:rPr>
          <w:i/>
        </w:rPr>
        <w:fldChar w:fldCharType="begin"/>
      </w:r>
      <w:r>
        <w:instrText xml:space="preserve"> XE "</w:instrText>
      </w:r>
      <w:r w:rsidRPr="0015798D">
        <w:rPr>
          <w:i/>
        </w:rPr>
        <w:instrText>Oxfordian Fallacy:</w:instrText>
      </w:r>
      <w:r>
        <w:instrText xml:space="preserve">ontoteologie" </w:instrText>
      </w:r>
      <w:r>
        <w:rPr>
          <w:i/>
        </w:rPr>
        <w:fldChar w:fldCharType="end"/>
      </w:r>
      <w:r>
        <w:t xml:space="preserve"> ukázal, že moderna vytvořila ontoteologické simulákrum boha jako první a nejvyšší individuální esence. Moderní bůh přestal být osobou a stal se esencí. Toto </w:t>
      </w:r>
      <w:r w:rsidRPr="00850D52">
        <w:rPr>
          <w:i/>
        </w:rPr>
        <w:t>factum</w:t>
      </w:r>
      <w:r>
        <w:t xml:space="preserve"> rozhodně nebylo dobré pro jeho moderní „exsistenci“, která je dána pouze v lidské mysli. Aristotelský teolog Al-Ghazálí</w:t>
      </w:r>
      <w:r>
        <w:fldChar w:fldCharType="begin"/>
      </w:r>
      <w:r>
        <w:instrText xml:space="preserve"> XE "</w:instrText>
      </w:r>
      <w:r w:rsidRPr="000F01FE">
        <w:rPr>
          <w:rStyle w:val="FontStyle129"/>
          <w:rFonts w:ascii="Calibri" w:hAnsi="Calibri"/>
          <w:sz w:val="24"/>
        </w:rPr>
        <w:instrText>Al-Ghazálí</w:instrText>
      </w:r>
      <w:r>
        <w:instrText xml:space="preserve">" </w:instrText>
      </w:r>
      <w:r>
        <w:fldChar w:fldCharType="end"/>
      </w:r>
      <w:r>
        <w:t xml:space="preserve"> ve falsafě odmítl Avicennovu teorii jedné pravdy dané v rámci unifikované ontoteologie (OBJ I, kap. 2.5). Tato teorie vedla ke smrti boha v moderně</w:t>
      </w:r>
      <w:r>
        <w:rPr>
          <w:color w:val="000000"/>
        </w:rPr>
        <w:fldChar w:fldCharType="begin"/>
      </w:r>
      <w:r>
        <w:instrText xml:space="preserve"> XE "smrt boha" </w:instrText>
      </w:r>
      <w:r>
        <w:rPr>
          <w:color w:val="000000"/>
        </w:rPr>
        <w:fldChar w:fldCharType="end"/>
      </w:r>
      <w:r>
        <w:t xml:space="preserve">. Toto teologické stanovisko proti modernistům typu Avicenny potvrdil a dále upřesnil Averroes v díle </w:t>
      </w:r>
      <w:r w:rsidRPr="005E2B99">
        <w:rPr>
          <w:i/>
          <w:iCs/>
        </w:rPr>
        <w:t>Tahāfut al-Tahāfut</w:t>
      </w:r>
      <w:r>
        <w:t xml:space="preserve">. Teologickou roli Algazela proti latinským avicennistům převzal biskup Alvernus. Averroes řešil vztah přirozené a zjevené teologie podle </w:t>
      </w:r>
      <w:r w:rsidRPr="000539D0">
        <w:rPr>
          <w:i/>
        </w:rPr>
        <w:t>Metafyziky</w:t>
      </w:r>
      <w:r>
        <w:t xml:space="preserve"> </w:t>
      </w:r>
      <w:r w:rsidRPr="0898393A">
        <w:t>Lambda</w:t>
      </w:r>
      <w:r>
        <w:t xml:space="preserve">. Vytvořil teorii dvojí metody a dvojí vědy vztažené k jedné pravdě (OBJ I, kap. 2.4.1). Podobné řešení rodové odlišnosti teologie a filosofie má Bacon a Akvinský v rámci prvního averroismu. Dějinnost tohoto sporu daná v rámci gigantomachie o substanci potvrzuje, že musela vzniknout zásadní metafyzická separace mezi prvním a druhým averroismem. Proto hermeneutika </w:t>
      </w:r>
      <w:r w:rsidRPr="00273106">
        <w:t>trvá na rozdílném ontologickém stat</w:t>
      </w:r>
      <w:r>
        <w:t xml:space="preserve">utu metafyzické abstrakce jako </w:t>
      </w:r>
      <w:r w:rsidRPr="00273106">
        <w:rPr>
          <w:i/>
        </w:rPr>
        <w:t>separatio</w:t>
      </w:r>
      <w:r>
        <w:rPr>
          <w:i/>
        </w:rPr>
        <w:fldChar w:fldCharType="begin"/>
      </w:r>
      <w:r>
        <w:instrText xml:space="preserve"> XE "první averroismus:</w:instrText>
      </w:r>
      <w:r w:rsidRPr="00C132F4">
        <w:rPr>
          <w:i/>
        </w:rPr>
        <w:instrText>separatio</w:instrText>
      </w:r>
      <w:r>
        <w:instrText xml:space="preserve">" </w:instrText>
      </w:r>
      <w:r>
        <w:rPr>
          <w:i/>
        </w:rPr>
        <w:fldChar w:fldCharType="end"/>
      </w:r>
      <w:r w:rsidRPr="00273106">
        <w:t xml:space="preserve"> prvního averro</w:t>
      </w:r>
      <w:r>
        <w:t xml:space="preserve">ismu, která se zásadně liší od univočního </w:t>
      </w:r>
      <w:r w:rsidRPr="00273106">
        <w:rPr>
          <w:i/>
        </w:rPr>
        <w:t>resolutio</w:t>
      </w:r>
      <w:r>
        <w:rPr>
          <w:i/>
        </w:rPr>
        <w:fldChar w:fldCharType="begin"/>
      </w:r>
      <w:r>
        <w:instrText xml:space="preserve"> XE "</w:instrText>
      </w:r>
      <w:r w:rsidRPr="007D3515">
        <w:rPr>
          <w:i/>
        </w:rPr>
        <w:instrText>resolutio</w:instrText>
      </w:r>
      <w:r>
        <w:instrText xml:space="preserve">:druhý averroismus" </w:instrText>
      </w:r>
      <w:r>
        <w:rPr>
          <w:i/>
        </w:rPr>
        <w:fldChar w:fldCharType="end"/>
      </w:r>
      <w:r w:rsidRPr="00273106">
        <w:t xml:space="preserve"> druhého averroismu</w:t>
      </w:r>
      <w:r>
        <w:t xml:space="preserve"> daného skrze analogickou </w:t>
      </w:r>
      <w:r>
        <w:lastRenderedPageBreak/>
        <w:t>predikaci kategorií-hypostází</w:t>
      </w:r>
      <w:r w:rsidRPr="00273106">
        <w:t xml:space="preserve">. </w:t>
      </w:r>
      <w:r>
        <w:t xml:space="preserve">Moderní </w:t>
      </w:r>
      <w:r w:rsidRPr="009419E3">
        <w:rPr>
          <w:i/>
        </w:rPr>
        <w:t>resolutio</w:t>
      </w:r>
      <w:r>
        <w:t xml:space="preserve"> vytvořilo kolem roku 1230 ontoteologickou vizi jedné pravdy dané univočně-analogicky. Nová forma bytí jako nejvyššího rodu zavedla avicennovské pojetí </w:t>
      </w:r>
      <w:r w:rsidRPr="08146849">
        <w:rPr>
          <w:i/>
        </w:rPr>
        <w:t>analogia entis</w:t>
      </w:r>
      <w:r>
        <w:t xml:space="preserve">  a tím vyprodukovala postmoderní </w:t>
      </w:r>
      <w:r w:rsidRPr="0008699D">
        <w:rPr>
          <w:i/>
        </w:rPr>
        <w:t>metaphysica generalis</w:t>
      </w:r>
      <w:r>
        <w:rPr>
          <w:i/>
        </w:rPr>
        <w:fldChar w:fldCharType="begin"/>
      </w:r>
      <w:r>
        <w:instrText xml:space="preserve"> XE "</w:instrText>
      </w:r>
      <w:r w:rsidRPr="00715155">
        <w:rPr>
          <w:i/>
        </w:rPr>
        <w:instrText>metaphysica generalis</w:instrText>
      </w:r>
      <w:r>
        <w:instrText xml:space="preserve">" </w:instrText>
      </w:r>
      <w:r>
        <w:rPr>
          <w:i/>
        </w:rPr>
        <w:fldChar w:fldCharType="end"/>
      </w:r>
      <w:r>
        <w:t>. Tím vzniklo pojetí „jedné pravdy“ dané skrze globálně vládnoucí metodologii</w:t>
      </w:r>
      <w:r>
        <w:fldChar w:fldCharType="begin"/>
      </w:r>
      <w:r>
        <w:instrText xml:space="preserve"> XE "</w:instrText>
      </w:r>
      <w:r w:rsidRPr="087F2DC3">
        <w:instrText>mytopoesis</w:instrText>
      </w:r>
      <w:r>
        <w:instrText xml:space="preserve">" </w:instrText>
      </w:r>
      <w:r>
        <w:fldChar w:fldCharType="end"/>
      </w:r>
      <w:r>
        <w:t xml:space="preserve"> akademického idolu zvaného </w:t>
      </w:r>
      <w:r w:rsidRPr="08D01C7E">
        <w:rPr>
          <w:i/>
        </w:rPr>
        <w:t>Unified Science</w:t>
      </w:r>
      <w:r>
        <w:rPr>
          <w:i/>
        </w:rPr>
        <w:fldChar w:fldCharType="begin"/>
      </w:r>
      <w:r>
        <w:instrText xml:space="preserve"> XE "</w:instrText>
      </w:r>
      <w:r w:rsidRPr="08E903F3">
        <w:rPr>
          <w:i/>
        </w:rPr>
        <w:instrText>Unified Science</w:instrText>
      </w:r>
      <w:r>
        <w:instrText xml:space="preserve">" </w:instrText>
      </w:r>
      <w:r>
        <w:rPr>
          <w:i/>
        </w:rPr>
        <w:fldChar w:fldCharType="end"/>
      </w:r>
      <w:r>
        <w:t>. Pojetí dvojí metody a dvojího rodově odlišného poznání jedné a téže reality dané ve škole prvního averroismu se zásadně liší od sofistického obvinění tzv. „dvojí pravdy“</w:t>
      </w:r>
      <w:r w:rsidRPr="000836F0">
        <w:t xml:space="preserve"> </w:t>
      </w:r>
      <w:r>
        <w:fldChar w:fldCharType="begin"/>
      </w:r>
      <w:r>
        <w:instrText xml:space="preserve"> XE "</w:instrText>
      </w:r>
      <w:r w:rsidRPr="001D1A81">
        <w:instrText>teorie dvojí pravdy</w:instrText>
      </w:r>
      <w:r>
        <w:instrText xml:space="preserve">" </w:instrText>
      </w:r>
      <w:r>
        <w:fldChar w:fldCharType="end"/>
      </w:r>
      <w:r>
        <w:t xml:space="preserve"> ideologicky a mocensky prosazované proti kritickým aristotelikům. Ti pochopitelně drželi jedinou pravdu jako adekvaci k reálné první substanci, protože měli pojetí pasivního intelektu dáno tak, aby duše díky kauzálnímu poznání reality mohla být vším (</w:t>
      </w:r>
      <w:r w:rsidRPr="00273106">
        <w:rPr>
          <w:rStyle w:val="st"/>
          <w:bCs/>
          <w:i/>
        </w:rPr>
        <w:t>quodammodo omnia</w:t>
      </w:r>
      <w:r>
        <w:rPr>
          <w:rStyle w:val="st"/>
          <w:bCs/>
        </w:rPr>
        <w:t xml:space="preserve">; OBJ I, </w:t>
      </w:r>
      <w:r w:rsidRPr="00273106">
        <w:t>kap. 2.4.2</w:t>
      </w:r>
      <w:r>
        <w:t xml:space="preserve">). Ale rodově odlišné cesty poznání teologie, filosofie a logiky nešlo spojit do všeobecné metafyziky modernistů a do dnešní nihilistické ontologie postmoderny. Poznání boha nemohlo být v modu moderní ontoteologické jednoty jsoucna predikované v rámci analytické filosofie. Kritický aristotelismus odmítá sofisticku moderny a proto zavrhl všechny verze </w:t>
      </w:r>
      <w:r w:rsidRPr="08961215">
        <w:rPr>
          <w:i/>
        </w:rPr>
        <w:t>Oxfordian Fallacy</w:t>
      </w:r>
      <w:r>
        <w:t xml:space="preserve">. </w:t>
      </w:r>
      <w:r>
        <w:rPr>
          <w:rStyle w:val="addmd"/>
        </w:rPr>
        <w:t xml:space="preserve">Spory v Paříži dané okolo roku 1240 ukazují, že </w:t>
      </w:r>
      <w:r w:rsidRPr="00273106">
        <w:t xml:space="preserve">Avicennova a </w:t>
      </w:r>
      <w:r>
        <w:t>Averroes</w:t>
      </w:r>
      <w:r w:rsidRPr="00273106">
        <w:t xml:space="preserve">ova metafyzika </w:t>
      </w:r>
      <w:r>
        <w:t xml:space="preserve">představují </w:t>
      </w:r>
      <w:r w:rsidRPr="00273106">
        <w:t>dva odlišné koncepty první vědy</w:t>
      </w:r>
      <w:r>
        <w:t>. Proto nemají stejnou cestu k bohu jako poslední jednotě jsoucna, i když boží bytí shodně chápou jako poslední cíl a nejvyšší pravdu moudrého myšlení. K bohu přijdeme kritickým rozumem pouze skrze poznání reálných substancí, čili jako k první příčině</w:t>
      </w:r>
      <w:r>
        <w:fldChar w:fldCharType="begin"/>
      </w:r>
      <w:r>
        <w:instrText xml:space="preserve"> XE "</w:instrText>
      </w:r>
      <w:r w:rsidRPr="00A32B5E">
        <w:rPr>
          <w:i/>
        </w:rPr>
        <w:instrText>causa prima</w:instrText>
      </w:r>
      <w:r>
        <w:instrText xml:space="preserve">" </w:instrText>
      </w:r>
      <w:r>
        <w:fldChar w:fldCharType="end"/>
      </w:r>
      <w:r>
        <w:t>. První averroismus dobře znal důkazovou cestu k bohu podle Averroesovy metafyziky (</w:t>
      </w:r>
      <w:r w:rsidRPr="00273106">
        <w:rPr>
          <w:rStyle w:val="ZkladntextKurzvadkovn0pt"/>
          <w:rFonts w:ascii="Calibri" w:eastAsia="Times" w:hAnsi="Calibri"/>
          <w:iCs w:val="0"/>
          <w:color w:val="auto"/>
          <w:spacing w:val="0"/>
          <w:sz w:val="24"/>
          <w:u w:val="none"/>
          <w:lang w:val="cs-CZ"/>
        </w:rPr>
        <w:t>dalā'il</w:t>
      </w:r>
      <w:r>
        <w:rPr>
          <w:rStyle w:val="ZkladntextKurzvadkovn0pt"/>
          <w:rFonts w:ascii="Calibri" w:eastAsia="Times" w:hAnsi="Calibri"/>
          <w:iCs w:val="0"/>
          <w:color w:val="auto"/>
          <w:spacing w:val="0"/>
          <w:sz w:val="24"/>
          <w:u w:val="none"/>
          <w:lang w:val="cs-CZ"/>
        </w:rPr>
        <w:fldChar w:fldCharType="begin"/>
      </w:r>
      <w:r>
        <w:instrText xml:space="preserve"> XE "</w:instrText>
      </w:r>
      <w:r w:rsidRPr="009965D3">
        <w:rPr>
          <w:rStyle w:val="ZkladntextKurzvadkovn0pt"/>
          <w:rFonts w:ascii="Calibri" w:eastAsia="Times" w:hAnsi="Calibri"/>
          <w:iCs w:val="0"/>
          <w:color w:val="auto"/>
          <w:spacing w:val="0"/>
          <w:sz w:val="24"/>
          <w:u w:val="none"/>
          <w:lang w:val="cs-CZ"/>
        </w:rPr>
        <w:instrText>dalā'il</w:instrText>
      </w:r>
      <w:r>
        <w:instrText xml:space="preserve">" </w:instrText>
      </w:r>
      <w:r>
        <w:rPr>
          <w:rStyle w:val="ZkladntextKurzvadkovn0pt"/>
          <w:rFonts w:ascii="Calibri" w:eastAsia="Times" w:hAnsi="Calibri"/>
          <w:iCs w:val="0"/>
          <w:color w:val="auto"/>
          <w:spacing w:val="0"/>
          <w:sz w:val="24"/>
          <w:u w:val="none"/>
          <w:lang w:val="cs-CZ"/>
        </w:rPr>
        <w:fldChar w:fldCharType="end"/>
      </w:r>
      <w:r>
        <w:t>; OBJ I, kap. 2.4.3). Obvinění z dvojí pravdy modernisté sofisticky podsunuli v podobě simulákra</w:t>
      </w:r>
      <w:r>
        <w:fldChar w:fldCharType="begin"/>
      </w:r>
      <w:r>
        <w:instrText xml:space="preserve"> XE "</w:instrText>
      </w:r>
      <w:r w:rsidRPr="00C2134D">
        <w:instrText>simulákrum</w:instrText>
      </w:r>
      <w:r>
        <w:instrText xml:space="preserve">" </w:instrText>
      </w:r>
      <w:r>
        <w:fldChar w:fldCharType="end"/>
      </w:r>
      <w:r>
        <w:t xml:space="preserve"> zvaného averroismus těm vzdělaným a kritickým aristotelikům, kteří viděli rozdíl mezi dvojím druhem metafyzického poznání. Po středověkých modernistech tento metafyzický </w:t>
      </w:r>
      <w:r w:rsidRPr="008704A6">
        <w:rPr>
          <w:i/>
        </w:rPr>
        <w:t>Irrtum</w:t>
      </w:r>
      <w:r>
        <w:t xml:space="preserve"> zopakovala postmoderna ovlivněná Renanovým</w:t>
      </w:r>
      <w:r>
        <w:fldChar w:fldCharType="begin"/>
      </w:r>
      <w:r>
        <w:instrText xml:space="preserve"> XE "</w:instrText>
      </w:r>
      <w:r w:rsidRPr="002147D6">
        <w:instrText>Renan, E.</w:instrText>
      </w:r>
      <w:r>
        <w:instrText xml:space="preserve">" </w:instrText>
      </w:r>
      <w:r>
        <w:fldChar w:fldCharType="end"/>
      </w:r>
      <w:r>
        <w:t xml:space="preserve"> výkladem averroismu (kap. 2.3.3). První averroismus navíc odmítl definovat pravdu v modu </w:t>
      </w:r>
      <w:r w:rsidRPr="00BE7423">
        <w:rPr>
          <w:i/>
        </w:rPr>
        <w:t>certitudo</w:t>
      </w:r>
      <w:r>
        <w:t xml:space="preserve"> a </w:t>
      </w:r>
      <w:r>
        <w:rPr>
          <w:i/>
        </w:rPr>
        <w:t>rectitud</w:t>
      </w:r>
      <w:r w:rsidRPr="00BE7423">
        <w:rPr>
          <w:i/>
        </w:rPr>
        <w:t>o</w:t>
      </w:r>
      <w:r>
        <w:t xml:space="preserve">. Logická predikace esencí v modu </w:t>
      </w:r>
      <w:r w:rsidRPr="08E8043B">
        <w:rPr>
          <w:i/>
        </w:rPr>
        <w:t>simpliciter</w:t>
      </w:r>
      <w:r>
        <w:t xml:space="preserve"> je pouze plurivoční, analogická a stojí mimo impozici hyparchické kauzality reálných prvních substancí.  Spor o výklad </w:t>
      </w:r>
      <w:r w:rsidRPr="00BA5530">
        <w:rPr>
          <w:i/>
        </w:rPr>
        <w:t>demonstratio</w:t>
      </w:r>
      <w:r>
        <w:t xml:space="preserve"> podle </w:t>
      </w:r>
      <w:r w:rsidRPr="08E56BAF">
        <w:rPr>
          <w:i/>
        </w:rPr>
        <w:t>Druhých analytik</w:t>
      </w:r>
      <w:r>
        <w:t xml:space="preserve"> dostal ze všech výše vyjmenovaných důvodů charakter epochální události myšlení pro akademický Oxford a pro celou modernu. </w:t>
      </w:r>
      <w:r w:rsidRPr="00273106">
        <w:t xml:space="preserve">K zatmění první substance </w:t>
      </w:r>
      <w:r>
        <w:t xml:space="preserve">došlo kolem 1230 nejen ve </w:t>
      </w:r>
      <w:r w:rsidRPr="00273106">
        <w:t>výklad</w:t>
      </w:r>
      <w:r>
        <w:t>u</w:t>
      </w:r>
      <w:r w:rsidRPr="00273106">
        <w:t xml:space="preserve"> </w:t>
      </w:r>
      <w:r w:rsidRPr="00A5116A">
        <w:rPr>
          <w:i/>
        </w:rPr>
        <w:t>Druhých analytik</w:t>
      </w:r>
      <w:r w:rsidRPr="00273106">
        <w:t xml:space="preserve">, </w:t>
      </w:r>
      <w:r>
        <w:t xml:space="preserve">ale také </w:t>
      </w:r>
      <w:r w:rsidRPr="00273106">
        <w:t xml:space="preserve">ve výkladu </w:t>
      </w:r>
      <w:r w:rsidRPr="08155BDF">
        <w:rPr>
          <w:i/>
        </w:rPr>
        <w:lastRenderedPageBreak/>
        <w:t>Kategori</w:t>
      </w:r>
      <w:r>
        <w:rPr>
          <w:i/>
        </w:rPr>
        <w:t>í</w:t>
      </w:r>
      <w:r>
        <w:t>, k nimž se přidružila Toledská interpretace</w:t>
      </w:r>
      <w:r>
        <w:fldChar w:fldCharType="begin"/>
      </w:r>
      <w:r>
        <w:instrText xml:space="preserve"> XE "Toledská škola" </w:instrText>
      </w:r>
      <w:r>
        <w:fldChar w:fldCharType="end"/>
      </w:r>
      <w:r>
        <w:t xml:space="preserve"> poznání podle výkladu </w:t>
      </w:r>
      <w:r w:rsidRPr="003A75B0">
        <w:rPr>
          <w:i/>
        </w:rPr>
        <w:t>De anima</w:t>
      </w:r>
      <w:r>
        <w:t>. Její zdroj je dán podle avicennistického výkladu CMDA v paradigmatu hypostázovaného intelektu-slunce, které nasvěcuje smysl jsoucna zezadu. Tím se vracíme ke klíčovému významu donace bytí jsoucna (</w:t>
      </w:r>
      <w:r w:rsidRPr="00273106">
        <w:t>ὑ</w:t>
      </w:r>
      <w:r>
        <w:t xml:space="preserve">πάρχει, </w:t>
      </w:r>
      <w:r w:rsidRPr="00273106">
        <w:rPr>
          <w:i/>
        </w:rPr>
        <w:t>inesse</w:t>
      </w:r>
      <w:r>
        <w:rPr>
          <w:i/>
        </w:rPr>
        <w:fldChar w:fldCharType="begin"/>
      </w:r>
      <w:r>
        <w:instrText xml:space="preserve"> XE "esence:</w:instrText>
      </w:r>
      <w:r w:rsidRPr="00CF4ADF">
        <w:rPr>
          <w:i/>
        </w:rPr>
        <w:instrText>inesse</w:instrText>
      </w:r>
      <w:r>
        <w:instrText xml:space="preserve">" </w:instrText>
      </w:r>
      <w:r>
        <w:rPr>
          <w:i/>
        </w:rPr>
        <w:fldChar w:fldCharType="end"/>
      </w:r>
      <w:r w:rsidRPr="00273106">
        <w:t>)</w:t>
      </w:r>
      <w:r>
        <w:t xml:space="preserve"> z minulé kapitoly. Analytický výklad změnil </w:t>
      </w:r>
      <w:r w:rsidRPr="00273106">
        <w:t xml:space="preserve">statut hyparchické predikace dané vzhledem k </w:t>
      </w:r>
      <w:r>
        <w:t>univerzáliím pojatým jako jsoucna třetího druhu</w:t>
      </w:r>
      <w:r w:rsidRPr="00273106">
        <w:t xml:space="preserve">. </w:t>
      </w:r>
      <w:r>
        <w:t>V moderní formě hyparchie dané nasvícením smyslu jsoucna zezadu představuje esence t</w:t>
      </w:r>
      <w:r w:rsidRPr="00273106">
        <w:t>rva</w:t>
      </w:r>
      <w:r>
        <w:t xml:space="preserve">lou kosmickou či matematickou formu, která je </w:t>
      </w:r>
      <w:r w:rsidRPr="00381FDC">
        <w:rPr>
          <w:i/>
        </w:rPr>
        <w:t>ad hoc</w:t>
      </w:r>
      <w:r>
        <w:t xml:space="preserve"> </w:t>
      </w:r>
      <w:r w:rsidRPr="00273106">
        <w:t xml:space="preserve">aktualizovaná v kontingentní existenci té či oné věci. </w:t>
      </w:r>
      <w:r>
        <w:t xml:space="preserve">Z hlediska gigantomachie o substanci jde o neoplatonský výklad zahájený Ammoniem, který změnil kategorie na </w:t>
      </w:r>
      <w:r w:rsidRPr="00273106">
        <w:t>svébytn</w:t>
      </w:r>
      <w:r>
        <w:t xml:space="preserve">é </w:t>
      </w:r>
      <w:r w:rsidRPr="00273106">
        <w:t>rod</w:t>
      </w:r>
      <w:r>
        <w:t>y</w:t>
      </w:r>
      <w:r w:rsidRPr="00273106">
        <w:t xml:space="preserve"> </w:t>
      </w:r>
      <w:r>
        <w:t xml:space="preserve">charakterizující nejvyšší mody </w:t>
      </w:r>
      <w:r w:rsidRPr="00273106">
        <w:t xml:space="preserve">bytí jsoucna. </w:t>
      </w:r>
      <w:r w:rsidRPr="00273106">
        <w:rPr>
          <w:rStyle w:val="st"/>
        </w:rPr>
        <w:t xml:space="preserve">Tento </w:t>
      </w:r>
      <w:r>
        <w:rPr>
          <w:rStyle w:val="st"/>
        </w:rPr>
        <w:t xml:space="preserve">moderní </w:t>
      </w:r>
      <w:r w:rsidRPr="00273106">
        <w:rPr>
          <w:rStyle w:val="st"/>
        </w:rPr>
        <w:t xml:space="preserve">komentář </w:t>
      </w:r>
      <w:r w:rsidRPr="000E2779">
        <w:rPr>
          <w:rStyle w:val="st"/>
          <w:i/>
        </w:rPr>
        <w:t>Kategorií</w:t>
      </w:r>
      <w:r w:rsidRPr="00273106">
        <w:rPr>
          <w:rStyle w:val="st"/>
        </w:rPr>
        <w:t xml:space="preserve"> nabídli kolem 1230 avicennisté John Pagus</w:t>
      </w:r>
      <w:r>
        <w:rPr>
          <w:rStyle w:val="st"/>
        </w:rPr>
        <w:fldChar w:fldCharType="begin"/>
      </w:r>
      <w:r>
        <w:instrText xml:space="preserve"> XE "</w:instrText>
      </w:r>
      <w:r w:rsidRPr="00774D07">
        <w:instrText>Pagus, John</w:instrText>
      </w:r>
      <w:r>
        <w:instrText xml:space="preserve">" </w:instrText>
      </w:r>
      <w:r>
        <w:rPr>
          <w:rStyle w:val="st"/>
        </w:rPr>
        <w:fldChar w:fldCharType="end"/>
      </w:r>
      <w:r w:rsidRPr="00273106">
        <w:rPr>
          <w:rStyle w:val="st"/>
        </w:rPr>
        <w:t xml:space="preserve"> a Nicolas z Paříže</w:t>
      </w:r>
      <w:r>
        <w:rPr>
          <w:rStyle w:val="st"/>
        </w:rPr>
        <w:fldChar w:fldCharType="begin"/>
      </w:r>
      <w:r>
        <w:instrText xml:space="preserve"> XE "</w:instrText>
      </w:r>
      <w:r w:rsidRPr="00A0145F">
        <w:rPr>
          <w:rStyle w:val="st"/>
        </w:rPr>
        <w:instrText>Nicolas z Paříže</w:instrText>
      </w:r>
      <w:r>
        <w:instrText xml:space="preserve">" </w:instrText>
      </w:r>
      <w:r>
        <w:rPr>
          <w:rStyle w:val="st"/>
        </w:rPr>
        <w:fldChar w:fldCharType="end"/>
      </w:r>
      <w:r w:rsidRPr="00273106">
        <w:rPr>
          <w:rStyle w:val="st"/>
        </w:rPr>
        <w:t xml:space="preserve">. Pak vzniká nový druh kategoriální signifikace, protože první substance dostává univerzální smysl z jiného zdroje, než je </w:t>
      </w:r>
      <w:r>
        <w:rPr>
          <w:rStyle w:val="st"/>
        </w:rPr>
        <w:t xml:space="preserve">reálná </w:t>
      </w:r>
      <w:r w:rsidRPr="00273106">
        <w:rPr>
          <w:rStyle w:val="st"/>
        </w:rPr>
        <w:t>existence</w:t>
      </w:r>
      <w:r>
        <w:rPr>
          <w:rStyle w:val="st"/>
        </w:rPr>
        <w:t xml:space="preserve"> první substance</w:t>
      </w:r>
      <w:r w:rsidRPr="00273106">
        <w:rPr>
          <w:rStyle w:val="st"/>
        </w:rPr>
        <w:t xml:space="preserve">. </w:t>
      </w:r>
      <w:r>
        <w:rPr>
          <w:rStyle w:val="st"/>
        </w:rPr>
        <w:t>P</w:t>
      </w:r>
      <w:r w:rsidRPr="00273106">
        <w:rPr>
          <w:rStyle w:val="st"/>
        </w:rPr>
        <w:t xml:space="preserve">ro </w:t>
      </w:r>
      <w:r>
        <w:rPr>
          <w:rStyle w:val="st"/>
        </w:rPr>
        <w:t>Al</w:t>
      </w:r>
      <w:r>
        <w:rPr>
          <w:rStyle w:val="st"/>
        </w:rPr>
        <w:noBreakHyphen/>
        <w:t xml:space="preserve">Fárábího i Grossetesteho </w:t>
      </w:r>
      <w:r w:rsidRPr="00273106">
        <w:rPr>
          <w:rStyle w:val="st"/>
        </w:rPr>
        <w:t>je esence jedinečné věci současně nasvícena zepředu i zezadu</w:t>
      </w:r>
      <w:r>
        <w:rPr>
          <w:rStyle w:val="st"/>
        </w:rPr>
        <w:fldChar w:fldCharType="begin"/>
      </w:r>
      <w:r>
        <w:instrText xml:space="preserve"> XE "</w:instrText>
      </w:r>
      <w:r w:rsidRPr="00777D3D">
        <w:instrText>esence:Grosseteste</w:instrText>
      </w:r>
      <w:r>
        <w:instrText xml:space="preserve">" </w:instrText>
      </w:r>
      <w:r>
        <w:rPr>
          <w:rStyle w:val="st"/>
        </w:rPr>
        <w:fldChar w:fldCharType="end"/>
      </w:r>
      <w:r w:rsidRPr="00273106">
        <w:rPr>
          <w:rStyle w:val="st"/>
        </w:rPr>
        <w:t xml:space="preserve">, tedy </w:t>
      </w:r>
      <w:r>
        <w:rPr>
          <w:rStyle w:val="st"/>
        </w:rPr>
        <w:t xml:space="preserve">jak od první substance, tak </w:t>
      </w:r>
      <w:r w:rsidRPr="00273106">
        <w:rPr>
          <w:rStyle w:val="st"/>
        </w:rPr>
        <w:t xml:space="preserve">od světa autonomních forem. </w:t>
      </w:r>
      <w:r w:rsidRPr="00273106">
        <w:t xml:space="preserve">Hermeneutika výslovně přidává ke způsobu nasvícení </w:t>
      </w:r>
      <w:r>
        <w:t xml:space="preserve">v myšlení </w:t>
      </w:r>
      <w:r w:rsidRPr="00273106">
        <w:t xml:space="preserve">Grossetesteho </w:t>
      </w:r>
      <w:r>
        <w:t xml:space="preserve">slovo „současně“. </w:t>
      </w:r>
      <w:r w:rsidRPr="00273106">
        <w:rPr>
          <w:rStyle w:val="st"/>
        </w:rPr>
        <w:t xml:space="preserve">Vznikem ontoteologie </w:t>
      </w:r>
      <w:r>
        <w:rPr>
          <w:rStyle w:val="st"/>
        </w:rPr>
        <w:t xml:space="preserve">vázané na poznávající subjekt místo na první substanci </w:t>
      </w:r>
      <w:r w:rsidRPr="00273106">
        <w:rPr>
          <w:rStyle w:val="st"/>
        </w:rPr>
        <w:t>se ukazuje po-odkrytost (</w:t>
      </w:r>
      <w:r w:rsidRPr="00273106">
        <w:rPr>
          <w:rStyle w:val="st"/>
          <w:i/>
        </w:rPr>
        <w:t>a/létheia</w:t>
      </w:r>
      <w:r>
        <w:rPr>
          <w:rStyle w:val="st"/>
          <w:i/>
        </w:rPr>
        <w:fldChar w:fldCharType="begin"/>
      </w:r>
      <w:r>
        <w:instrText xml:space="preserve"> XE "</w:instrText>
      </w:r>
      <w:r w:rsidRPr="08937E60">
        <w:rPr>
          <w:i/>
          <w:lang w:eastAsia="en-US"/>
        </w:rPr>
        <w:instrText>a/létheia</w:instrText>
      </w:r>
      <w:r>
        <w:instrText xml:space="preserve">" </w:instrText>
      </w:r>
      <w:r>
        <w:rPr>
          <w:rStyle w:val="st"/>
          <w:i/>
        </w:rPr>
        <w:fldChar w:fldCharType="end"/>
      </w:r>
      <w:r w:rsidRPr="00273106">
        <w:rPr>
          <w:rStyle w:val="st"/>
        </w:rPr>
        <w:t>) dalších matric objektivity v jejich pravdě i nepravdě.</w:t>
      </w:r>
      <w:r>
        <w:rPr>
          <w:rStyle w:val="st"/>
        </w:rPr>
        <w:t xml:space="preserve"> </w:t>
      </w:r>
    </w:p>
    <w:p w14:paraId="0DF77A99" w14:textId="77777777" w:rsidR="005D2F7C" w:rsidRDefault="005D2F7C" w:rsidP="00472A9F"/>
    <w:p w14:paraId="5DF1E246" w14:textId="77777777" w:rsidR="00472A9F" w:rsidRDefault="00472A9F" w:rsidP="00472A9F"/>
    <w:p w14:paraId="7069F026" w14:textId="69AA782F" w:rsidR="08C31C31" w:rsidRPr="00EF1F15" w:rsidRDefault="00C51568" w:rsidP="00817C0B">
      <w:pPr>
        <w:pStyle w:val="Nadpis3"/>
        <w:rPr>
          <w:lang w:val="cs-CZ"/>
        </w:rPr>
      </w:pPr>
      <w:bookmarkStart w:id="103" w:name="_Toc487234314"/>
      <w:bookmarkStart w:id="104" w:name="_Toc12558321"/>
      <w:r>
        <w:br w:type="page"/>
      </w:r>
      <w:bookmarkStart w:id="105" w:name="_Toc160449334"/>
      <w:r w:rsidR="08D20D28">
        <w:lastRenderedPageBreak/>
        <w:t>3</w:t>
      </w:r>
      <w:r w:rsidR="007211A8">
        <w:t>.1.</w:t>
      </w:r>
      <w:r w:rsidR="007211A8">
        <w:rPr>
          <w:lang w:val="cs-CZ"/>
        </w:rPr>
        <w:t>3</w:t>
      </w:r>
      <w:r w:rsidR="08C31C31" w:rsidRPr="00273106">
        <w:t xml:space="preserve"> </w:t>
      </w:r>
      <w:r w:rsidR="00EF1F15">
        <w:rPr>
          <w:lang w:val="cs-CZ"/>
        </w:rPr>
        <w:t xml:space="preserve">Démonologie a </w:t>
      </w:r>
      <w:r w:rsidR="006D77E8" w:rsidRPr="00273106">
        <w:t xml:space="preserve">moderní </w:t>
      </w:r>
      <w:r w:rsidR="08C31C31" w:rsidRPr="00273106">
        <w:t>logik</w:t>
      </w:r>
      <w:bookmarkEnd w:id="103"/>
      <w:bookmarkEnd w:id="104"/>
      <w:r w:rsidR="00EF1F15">
        <w:rPr>
          <w:lang w:val="cs-CZ"/>
        </w:rPr>
        <w:t>a</w:t>
      </w:r>
      <w:bookmarkEnd w:id="105"/>
    </w:p>
    <w:p w14:paraId="6E6EE6CF" w14:textId="77777777" w:rsidR="00766E93" w:rsidRDefault="08BA6A59" w:rsidP="00472A9F">
      <w:pPr>
        <w:rPr>
          <w:rFonts w:cs="Calibri"/>
        </w:rPr>
      </w:pPr>
      <w:r w:rsidRPr="00273106">
        <w:rPr>
          <w:rStyle w:val="addmd"/>
        </w:rPr>
        <w:t xml:space="preserve">Grossetesteho komentář ke </w:t>
      </w:r>
      <w:r w:rsidRPr="00E656C8">
        <w:rPr>
          <w:rStyle w:val="addmd"/>
          <w:i/>
        </w:rPr>
        <w:t>Druhým analytikám</w:t>
      </w:r>
      <w:r w:rsidRPr="00273106">
        <w:rPr>
          <w:rStyle w:val="addmd"/>
        </w:rPr>
        <w:t xml:space="preserve"> vzniká </w:t>
      </w:r>
      <w:r>
        <w:rPr>
          <w:rStyle w:val="addmd"/>
        </w:rPr>
        <w:t xml:space="preserve">ve stejné době, kdy došlo k přeměně </w:t>
      </w:r>
      <w:r w:rsidRPr="00D96115">
        <w:rPr>
          <w:rStyle w:val="addmd"/>
          <w:i/>
        </w:rPr>
        <w:t>Kategorií</w:t>
      </w:r>
      <w:r>
        <w:rPr>
          <w:rStyle w:val="addmd"/>
        </w:rPr>
        <w:t xml:space="preserve"> na logický spis pojatý v modu porretánské analogie. </w:t>
      </w:r>
      <w:r w:rsidR="00A22167" w:rsidRPr="00273106">
        <w:t>Od Boethiovy aristotelské interpretace se přešlo k</w:t>
      </w:r>
      <w:r w:rsidR="00A22167">
        <w:t xml:space="preserve"> porretánskému pojetí kategoriální predikace skrze hypostáze pojaté jako atomární substance třetího druhu. Tato změna proběhla tím, že </w:t>
      </w:r>
      <w:r w:rsidR="00A22167" w:rsidRPr="00273106">
        <w:t>logick</w:t>
      </w:r>
      <w:r w:rsidR="00A22167">
        <w:t xml:space="preserve">é </w:t>
      </w:r>
      <w:r w:rsidR="00A22167" w:rsidRPr="00273106">
        <w:t>škol</w:t>
      </w:r>
      <w:r w:rsidR="00A22167">
        <w:t>y</w:t>
      </w:r>
      <w:r w:rsidR="00A22167" w:rsidRPr="00273106">
        <w:t xml:space="preserve"> </w:t>
      </w:r>
      <w:r w:rsidR="00A22167" w:rsidRPr="00273106">
        <w:rPr>
          <w:i/>
        </w:rPr>
        <w:t>Nominales</w:t>
      </w:r>
      <w:r w:rsidR="00A22167">
        <w:t xml:space="preserve"> za</w:t>
      </w:r>
      <w:r w:rsidR="00A91B8F">
        <w:t xml:space="preserve">nikly </w:t>
      </w:r>
      <w:r w:rsidR="00A22167">
        <w:t xml:space="preserve">a přešly do </w:t>
      </w:r>
      <w:r w:rsidR="00A91B8F">
        <w:t xml:space="preserve">nově </w:t>
      </w:r>
      <w:r w:rsidR="00A22167">
        <w:t>utvořených škol druhého averroismu</w:t>
      </w:r>
      <w:r w:rsidR="003F5B8D">
        <w:t xml:space="preserve"> formovaného Toledským výkladem Avicenny a Averroese</w:t>
      </w:r>
      <w:r w:rsidR="00A22167" w:rsidRPr="00273106">
        <w:t>.</w:t>
      </w:r>
      <w:r w:rsidR="00A22167">
        <w:t xml:space="preserve"> </w:t>
      </w:r>
      <w:r w:rsidR="008B50CF" w:rsidRPr="00273106">
        <w:rPr>
          <w:rStyle w:val="addmd"/>
        </w:rPr>
        <w:t>Neo</w:t>
      </w:r>
      <w:r w:rsidR="008B50CF">
        <w:rPr>
          <w:rStyle w:val="addmd"/>
        </w:rPr>
        <w:t>platon</w:t>
      </w:r>
      <w:r w:rsidR="008B50CF" w:rsidRPr="00273106">
        <w:rPr>
          <w:rStyle w:val="addmd"/>
        </w:rPr>
        <w:t xml:space="preserve">ské výklady </w:t>
      </w:r>
      <w:r w:rsidR="008B50CF" w:rsidRPr="00DD7EBF">
        <w:rPr>
          <w:rStyle w:val="addmd"/>
          <w:i/>
        </w:rPr>
        <w:t>Etiky Nikomachovy</w:t>
      </w:r>
      <w:r w:rsidR="008B50CF" w:rsidRPr="00273106">
        <w:rPr>
          <w:rStyle w:val="addmd"/>
        </w:rPr>
        <w:t xml:space="preserve"> (Gauthier</w:t>
      </w:r>
      <w:r w:rsidR="008B50CF">
        <w:rPr>
          <w:rStyle w:val="addmd"/>
        </w:rPr>
        <w:fldChar w:fldCharType="begin"/>
      </w:r>
      <w:r w:rsidR="008B50CF">
        <w:instrText xml:space="preserve"> XE "</w:instrText>
      </w:r>
      <w:r w:rsidR="008B50CF" w:rsidRPr="00B030E6">
        <w:rPr>
          <w:lang w:eastAsia="en-US"/>
        </w:rPr>
        <w:instrText>Gauthier, A. R.</w:instrText>
      </w:r>
      <w:r w:rsidR="008B50CF">
        <w:instrText xml:space="preserve">" </w:instrText>
      </w:r>
      <w:r w:rsidR="008B50CF">
        <w:rPr>
          <w:rStyle w:val="addmd"/>
        </w:rPr>
        <w:fldChar w:fldCharType="end"/>
      </w:r>
      <w:r w:rsidR="008B50CF" w:rsidRPr="00273106">
        <w:rPr>
          <w:rStyle w:val="addmd"/>
        </w:rPr>
        <w:t xml:space="preserve"> 1963) a čistě logický přístup ke spisu </w:t>
      </w:r>
      <w:r w:rsidR="008B50CF" w:rsidRPr="00DD7EBF">
        <w:rPr>
          <w:rStyle w:val="addmd"/>
          <w:i/>
        </w:rPr>
        <w:t>Metafyzika</w:t>
      </w:r>
      <w:r w:rsidR="008B50CF" w:rsidRPr="00273106">
        <w:rPr>
          <w:rStyle w:val="addmd"/>
        </w:rPr>
        <w:t xml:space="preserve"> </w:t>
      </w:r>
      <w:r w:rsidR="008B50CF">
        <w:rPr>
          <w:rStyle w:val="addmd"/>
        </w:rPr>
        <w:t>šly ruku v ruce s moderními výklady</w:t>
      </w:r>
      <w:r w:rsidR="008B50CF" w:rsidRPr="00273106">
        <w:rPr>
          <w:rStyle w:val="addmd"/>
        </w:rPr>
        <w:t xml:space="preserve"> spisu </w:t>
      </w:r>
      <w:r w:rsidR="008B50CF" w:rsidRPr="00DD7EBF">
        <w:rPr>
          <w:rStyle w:val="addmd"/>
          <w:i/>
        </w:rPr>
        <w:t>Kategorie</w:t>
      </w:r>
      <w:r w:rsidR="008B50CF">
        <w:rPr>
          <w:rStyle w:val="addmd"/>
        </w:rPr>
        <w:t xml:space="preserve">, které lze datovat </w:t>
      </w:r>
      <w:r w:rsidR="08A1509E">
        <w:rPr>
          <w:rStyle w:val="addmd"/>
        </w:rPr>
        <w:t xml:space="preserve">moderními </w:t>
      </w:r>
      <w:r w:rsidR="001C5C49">
        <w:rPr>
          <w:rStyle w:val="addmd"/>
        </w:rPr>
        <w:t xml:space="preserve">komentáři vzniklými </w:t>
      </w:r>
      <w:r w:rsidR="008B50CF">
        <w:rPr>
          <w:rStyle w:val="addmd"/>
        </w:rPr>
        <w:t xml:space="preserve">kolem </w:t>
      </w:r>
      <w:r w:rsidR="001C5C49">
        <w:rPr>
          <w:rStyle w:val="addmd"/>
        </w:rPr>
        <w:t xml:space="preserve">roku </w:t>
      </w:r>
      <w:r w:rsidR="008B50CF">
        <w:rPr>
          <w:rStyle w:val="addmd"/>
        </w:rPr>
        <w:t>1230</w:t>
      </w:r>
      <w:r w:rsidR="008B50CF" w:rsidRPr="00273106">
        <w:rPr>
          <w:rStyle w:val="addmd"/>
        </w:rPr>
        <w:t>.</w:t>
      </w:r>
      <w:r w:rsidR="008B50CF">
        <w:rPr>
          <w:rStyle w:val="addmd"/>
        </w:rPr>
        <w:t xml:space="preserve"> </w:t>
      </w:r>
      <w:r w:rsidR="00A22167">
        <w:t xml:space="preserve">Nový výklad </w:t>
      </w:r>
      <w:r w:rsidR="006E5B05">
        <w:t xml:space="preserve">kategoriální predikace </w:t>
      </w:r>
      <w:r w:rsidR="00A22167">
        <w:t>j</w:t>
      </w:r>
      <w:r w:rsidR="00CD3AAD" w:rsidRPr="00273106">
        <w:t>e veden</w:t>
      </w:r>
      <w:r w:rsidR="00CD3AAD">
        <w:t xml:space="preserve"> v linii </w:t>
      </w:r>
      <w:r w:rsidR="00CD3AAD" w:rsidRPr="00273106">
        <w:t xml:space="preserve">Ammoniova </w:t>
      </w:r>
      <w:r w:rsidR="00A22167">
        <w:t xml:space="preserve">komentáře </w:t>
      </w:r>
      <w:r w:rsidR="00CD3AAD" w:rsidRPr="0030297B">
        <w:rPr>
          <w:i/>
        </w:rPr>
        <w:t>Kategorií</w:t>
      </w:r>
      <w:r w:rsidR="00CD3AAD">
        <w:t xml:space="preserve"> ze 3. století</w:t>
      </w:r>
      <w:r w:rsidR="00CD3AAD" w:rsidRPr="00273106">
        <w:t xml:space="preserve">. </w:t>
      </w:r>
      <w:r w:rsidR="081D7E69">
        <w:t>Ammonius</w:t>
      </w:r>
      <w:r w:rsidR="007C04FB">
        <w:fldChar w:fldCharType="begin"/>
      </w:r>
      <w:r w:rsidR="007C04FB">
        <w:instrText xml:space="preserve"> XE "</w:instrText>
      </w:r>
      <w:r w:rsidR="007C04FB" w:rsidRPr="00840936">
        <w:instrText>Ammonius</w:instrText>
      </w:r>
      <w:r w:rsidR="007C04FB">
        <w:instrText xml:space="preserve">" </w:instrText>
      </w:r>
      <w:r w:rsidR="007C04FB">
        <w:fldChar w:fldCharType="end"/>
      </w:r>
      <w:r w:rsidR="081D7E69">
        <w:t xml:space="preserve"> hypostázoval případky jako jsouc</w:t>
      </w:r>
      <w:r w:rsidR="081D7E69" w:rsidRPr="00273106">
        <w:t>n</w:t>
      </w:r>
      <w:r w:rsidR="081D7E69">
        <w:t>a</w:t>
      </w:r>
      <w:r w:rsidR="081D7E69" w:rsidRPr="00273106">
        <w:t xml:space="preserve"> třetího druhu </w:t>
      </w:r>
      <w:r w:rsidR="081D7E69">
        <w:t>podle neoplatonsk</w:t>
      </w:r>
      <w:r w:rsidR="081D7E69" w:rsidRPr="00273106">
        <w:t xml:space="preserve">é </w:t>
      </w:r>
      <w:r w:rsidR="081D7E69">
        <w:t>predikace</w:t>
      </w:r>
      <w:r w:rsidR="081D7E69" w:rsidRPr="008E6C78">
        <w:t xml:space="preserve"> </w:t>
      </w:r>
      <w:r w:rsidR="081D7E69">
        <w:t>(</w:t>
      </w:r>
      <w:r w:rsidR="086C0794">
        <w:t xml:space="preserve">OBJ I, </w:t>
      </w:r>
      <w:r w:rsidR="084E7952">
        <w:t>kap. 1.3</w:t>
      </w:r>
      <w:r w:rsidR="081D7E69">
        <w:t>.2</w:t>
      </w:r>
      <w:r w:rsidR="081D7E69" w:rsidRPr="00273106">
        <w:t>)</w:t>
      </w:r>
      <w:r w:rsidR="081D7E69">
        <w:t>. K</w:t>
      </w:r>
      <w:r w:rsidR="00CD3AAD" w:rsidRPr="00273106">
        <w:t xml:space="preserve">omentář zrušil </w:t>
      </w:r>
      <w:r w:rsidR="00CD3AAD">
        <w:t xml:space="preserve">kategoriální </w:t>
      </w:r>
      <w:r w:rsidR="00CD3AAD" w:rsidRPr="00273106">
        <w:t xml:space="preserve">vazbu </w:t>
      </w:r>
      <w:r w:rsidR="00CD3AAD">
        <w:t xml:space="preserve">akcidentů na druhou substanci a predikoval akcidentální vlastnosti </w:t>
      </w:r>
      <w:r w:rsidR="00A22167">
        <w:t>podle Ploti</w:t>
      </w:r>
      <w:r w:rsidR="00CD3AAD" w:rsidRPr="00273106">
        <w:t xml:space="preserve">novy predikace </w:t>
      </w:r>
      <w:r w:rsidR="00CD3AAD">
        <w:t xml:space="preserve">nejvyšších </w:t>
      </w:r>
      <w:r w:rsidR="00CD3AAD" w:rsidRPr="00273106">
        <w:t>rodů</w:t>
      </w:r>
      <w:r w:rsidR="00CD3AAD">
        <w:t xml:space="preserve"> jsoucna</w:t>
      </w:r>
      <w:r w:rsidR="00CD3AAD" w:rsidRPr="00273106">
        <w:t xml:space="preserve">. </w:t>
      </w:r>
      <w:r w:rsidR="00CD3AAD">
        <w:t xml:space="preserve">Kategoriální predikace </w:t>
      </w:r>
      <w:r w:rsidR="00CD3AAD" w:rsidRPr="00273106">
        <w:t>není determinována skrze hyparchický vztah mezi první a druhou substancí a dostala nový status v rámci analogie</w:t>
      </w:r>
      <w:r w:rsidR="00CD3AAD">
        <w:t xml:space="preserve">. </w:t>
      </w:r>
      <w:r w:rsidR="083E75E0">
        <w:t>P</w:t>
      </w:r>
      <w:r w:rsidR="083E75E0" w:rsidRPr="00273106">
        <w:t xml:space="preserve">osun </w:t>
      </w:r>
      <w:r w:rsidR="083E75E0">
        <w:t xml:space="preserve">od impozice kategoriálního významu danému hyparchicky k čisté supozici imanentního významu daného v mysli </w:t>
      </w:r>
      <w:r w:rsidR="083E75E0" w:rsidRPr="00273106">
        <w:t>ukazuje magistr John Pagus</w:t>
      </w:r>
      <w:r w:rsidR="083E75E0">
        <w:fldChar w:fldCharType="begin"/>
      </w:r>
      <w:r w:rsidR="083E75E0">
        <w:instrText xml:space="preserve"> XE "</w:instrText>
      </w:r>
      <w:r w:rsidR="083E75E0" w:rsidRPr="00774D07">
        <w:instrText>Pagus, John</w:instrText>
      </w:r>
      <w:r w:rsidR="083E75E0">
        <w:instrText xml:space="preserve">" </w:instrText>
      </w:r>
      <w:r w:rsidR="083E75E0">
        <w:fldChar w:fldCharType="end"/>
      </w:r>
      <w:r w:rsidR="083E75E0">
        <w:t xml:space="preserve">, jenž komponoval první moderní </w:t>
      </w:r>
      <w:r w:rsidR="083E75E0" w:rsidRPr="00273106">
        <w:t xml:space="preserve">komentář k Aristotelovým </w:t>
      </w:r>
      <w:r w:rsidR="083E75E0" w:rsidRPr="006B5362">
        <w:rPr>
          <w:i/>
        </w:rPr>
        <w:t>Kategoriím</w:t>
      </w:r>
      <w:r w:rsidR="083E75E0" w:rsidRPr="00273106">
        <w:t xml:space="preserve"> </w:t>
      </w:r>
      <w:r w:rsidR="083E75E0">
        <w:t xml:space="preserve">asi roku </w:t>
      </w:r>
      <w:r w:rsidR="083E75E0" w:rsidRPr="00273106">
        <w:t>1230</w:t>
      </w:r>
      <w:r w:rsidR="083E75E0">
        <w:t xml:space="preserve"> </w:t>
      </w:r>
      <w:r w:rsidR="083E75E0" w:rsidRPr="00273106">
        <w:t>(</w:t>
      </w:r>
      <w:r w:rsidR="083E75E0" w:rsidRPr="00273106">
        <w:rPr>
          <w:i/>
        </w:rPr>
        <w:t>Rationes super Praedicamenta Aristotelis</w:t>
      </w:r>
      <w:r w:rsidR="083E75E0" w:rsidRPr="00273106">
        <w:t>). Katego</w:t>
      </w:r>
      <w:r w:rsidR="083E75E0">
        <w:t xml:space="preserve">rie je ekvivalentní s termínem </w:t>
      </w:r>
      <w:r w:rsidR="00B1298A">
        <w:rPr>
          <w:i/>
        </w:rPr>
        <w:t>genus</w:t>
      </w:r>
      <w:r w:rsidR="083E75E0" w:rsidRPr="00273106">
        <w:t xml:space="preserve"> </w:t>
      </w:r>
      <w:r w:rsidR="083E75E0">
        <w:fldChar w:fldCharType="begin"/>
      </w:r>
      <w:r w:rsidR="083E75E0">
        <w:instrText xml:space="preserve"> XE "</w:instrText>
      </w:r>
      <w:r w:rsidR="083E75E0" w:rsidRPr="00DE2A32">
        <w:instrText>substance</w:instrText>
      </w:r>
      <w:r w:rsidR="083E75E0">
        <w:instrText xml:space="preserve">:rod" </w:instrText>
      </w:r>
      <w:r w:rsidR="083E75E0">
        <w:fldChar w:fldCharType="end"/>
      </w:r>
      <w:r w:rsidR="083E75E0" w:rsidRPr="00273106">
        <w:t xml:space="preserve">pojatým </w:t>
      </w:r>
      <w:r w:rsidR="083E75E0">
        <w:t>neoplatonsk</w:t>
      </w:r>
      <w:r w:rsidR="083E75E0" w:rsidRPr="00273106">
        <w:t xml:space="preserve">y a vyjadřuje postupnou predikaci </w:t>
      </w:r>
      <w:r w:rsidR="083E75E0">
        <w:t xml:space="preserve">bytí jsoucna </w:t>
      </w:r>
      <w:r w:rsidR="083E75E0" w:rsidRPr="00273106">
        <w:t xml:space="preserve">směrem od nejvyššího rodu k nižším jednotkám univerzálního významu. Předmluva k modernímu vydání </w:t>
      </w:r>
      <w:r w:rsidR="083E75E0">
        <w:t xml:space="preserve">tohoto </w:t>
      </w:r>
      <w:r w:rsidR="083E75E0" w:rsidRPr="00273106">
        <w:t>komentáře ukazuje, že Pagus</w:t>
      </w:r>
      <w:r w:rsidR="083E75E0">
        <w:fldChar w:fldCharType="begin"/>
      </w:r>
      <w:r w:rsidR="083E75E0">
        <w:instrText xml:space="preserve"> XE "</w:instrText>
      </w:r>
      <w:r w:rsidR="083E75E0" w:rsidRPr="00774D07">
        <w:instrText>Pagus, John</w:instrText>
      </w:r>
      <w:r w:rsidR="083E75E0">
        <w:instrText xml:space="preserve">" </w:instrText>
      </w:r>
      <w:r w:rsidR="083E75E0">
        <w:fldChar w:fldCharType="end"/>
      </w:r>
      <w:r w:rsidR="083E75E0" w:rsidRPr="00273106">
        <w:t xml:space="preserve"> považuje </w:t>
      </w:r>
      <w:r w:rsidR="083E75E0" w:rsidRPr="00BB45B1">
        <w:rPr>
          <w:i/>
        </w:rPr>
        <w:t>Kategorie</w:t>
      </w:r>
      <w:r w:rsidR="083E75E0" w:rsidRPr="00273106">
        <w:t xml:space="preserve"> </w:t>
      </w:r>
      <w:r w:rsidR="00FC4D05">
        <w:t xml:space="preserve">za </w:t>
      </w:r>
      <w:r w:rsidR="083E75E0" w:rsidRPr="00273106">
        <w:t xml:space="preserve"> </w:t>
      </w:r>
      <w:r w:rsidR="00FC4D05">
        <w:t>s</w:t>
      </w:r>
      <w:r w:rsidR="00FC4D05" w:rsidRPr="00273106">
        <w:t>pis</w:t>
      </w:r>
      <w:r w:rsidR="00FC4D05">
        <w:t xml:space="preserve"> moderní logiky</w:t>
      </w:r>
      <w:r w:rsidR="083E75E0" w:rsidRPr="00273106">
        <w:t>.</w:t>
      </w:r>
      <w:r w:rsidR="083E75E0" w:rsidRPr="00273106">
        <w:rPr>
          <w:rStyle w:val="Znakapoznpodarou"/>
        </w:rPr>
        <w:footnoteReference w:id="310"/>
      </w:r>
      <w:r w:rsidR="083E75E0" w:rsidRPr="00273106">
        <w:t xml:space="preserve"> </w:t>
      </w:r>
      <w:r w:rsidR="083E75E0">
        <w:t xml:space="preserve">Komentář </w:t>
      </w:r>
      <w:r w:rsidR="083E75E0" w:rsidRPr="00273106">
        <w:t xml:space="preserve">harmonizoval výklad </w:t>
      </w:r>
      <w:r w:rsidR="083E75E0" w:rsidRPr="00BB45B1">
        <w:rPr>
          <w:i/>
        </w:rPr>
        <w:t>Kategorií</w:t>
      </w:r>
      <w:r w:rsidR="083E75E0" w:rsidRPr="00273106">
        <w:t xml:space="preserve"> s hierarchickou strukturou dělení univerzálií v rámci </w:t>
      </w:r>
      <w:r w:rsidR="083E75E0">
        <w:t>Porfyri</w:t>
      </w:r>
      <w:r w:rsidR="083E75E0" w:rsidRPr="00273106">
        <w:t xml:space="preserve">ova stromu </w:t>
      </w:r>
      <w:r w:rsidR="083E75E0">
        <w:t xml:space="preserve">a vytvořil nový systém predikace </w:t>
      </w:r>
      <w:r w:rsidR="083E75E0" w:rsidRPr="00273106">
        <w:t>(</w:t>
      </w:r>
      <w:r w:rsidR="083E75E0" w:rsidRPr="00273106">
        <w:rPr>
          <w:i/>
        </w:rPr>
        <w:t>ordinatio</w:t>
      </w:r>
      <w:r w:rsidR="083E75E0" w:rsidRPr="00273106">
        <w:t xml:space="preserve">). </w:t>
      </w:r>
      <w:r w:rsidR="083E75E0">
        <w:t xml:space="preserve">Porretánské </w:t>
      </w:r>
      <w:r w:rsidR="083E75E0" w:rsidRPr="008967BC">
        <w:rPr>
          <w:i/>
        </w:rPr>
        <w:t>ordinatio</w:t>
      </w:r>
      <w:r w:rsidR="083E75E0">
        <w:t xml:space="preserve"> představuje na úrovni kategoriální predikace novou verzi Filipova </w:t>
      </w:r>
      <w:r w:rsidR="083E75E0" w:rsidRPr="008967BC">
        <w:rPr>
          <w:i/>
        </w:rPr>
        <w:t>resolutio</w:t>
      </w:r>
      <w:r w:rsidR="083E75E0" w:rsidRPr="087036B2">
        <w:t xml:space="preserve"> </w:t>
      </w:r>
      <w:r w:rsidR="08446BBE">
        <w:t>(kap. 2</w:t>
      </w:r>
      <w:r w:rsidR="083E75E0">
        <w:t>.3.2). K</w:t>
      </w:r>
      <w:r w:rsidR="083E75E0" w:rsidRPr="007872B1">
        <w:t>ategori</w:t>
      </w:r>
      <w:r w:rsidR="083E75E0">
        <w:t>e dostaly univoční charakter neoplatonských nejvyšších rodů.</w:t>
      </w:r>
      <w:r w:rsidR="08DA5938">
        <w:t xml:space="preserve"> </w:t>
      </w:r>
      <w:r w:rsidR="08DA5938" w:rsidRPr="00273106">
        <w:rPr>
          <w:iCs/>
        </w:rPr>
        <w:t>P</w:t>
      </w:r>
      <w:r w:rsidR="08DA5938" w:rsidRPr="00273106">
        <w:t xml:space="preserve">ůvodním zdrojem </w:t>
      </w:r>
      <w:r w:rsidR="08DA5938">
        <w:t xml:space="preserve">nového výkladu </w:t>
      </w:r>
      <w:r w:rsidR="08DA5938" w:rsidRPr="00273106">
        <w:t xml:space="preserve">je </w:t>
      </w:r>
      <w:r w:rsidR="08DA5938">
        <w:t xml:space="preserve">citovaný </w:t>
      </w:r>
      <w:r w:rsidR="08DA5938" w:rsidRPr="00273106">
        <w:rPr>
          <w:lang w:eastAsia="en-US"/>
        </w:rPr>
        <w:t xml:space="preserve">Bernard ze Chartres, který </w:t>
      </w:r>
      <w:r w:rsidR="08DA5938">
        <w:rPr>
          <w:lang w:eastAsia="en-US"/>
        </w:rPr>
        <w:t xml:space="preserve">hypostázoval dvojí pojetí signifikace </w:t>
      </w:r>
      <w:r w:rsidR="08DA5938" w:rsidRPr="00273106">
        <w:rPr>
          <w:lang w:eastAsia="en-US"/>
        </w:rPr>
        <w:t>vztažené k substanci (</w:t>
      </w:r>
      <w:r w:rsidR="08DA5938" w:rsidRPr="00273106">
        <w:rPr>
          <w:i/>
        </w:rPr>
        <w:t>significatio substantialis</w:t>
      </w:r>
      <w:r w:rsidR="08DA5938" w:rsidRPr="00273106">
        <w:rPr>
          <w:lang w:eastAsia="en-US"/>
        </w:rPr>
        <w:t xml:space="preserve">) a k </w:t>
      </w:r>
      <w:r w:rsidR="08DA5938" w:rsidRPr="00273106">
        <w:rPr>
          <w:lang w:eastAsia="en-US"/>
        </w:rPr>
        <w:lastRenderedPageBreak/>
        <w:t>případku (</w:t>
      </w:r>
      <w:r w:rsidR="08DA5938" w:rsidRPr="00273106">
        <w:rPr>
          <w:i/>
        </w:rPr>
        <w:t>significatio accidentalis</w:t>
      </w:r>
      <w:r w:rsidR="08446BBE">
        <w:t>, kap. 1</w:t>
      </w:r>
      <w:r w:rsidR="08DA5938" w:rsidRPr="00273106">
        <w:t>.1</w:t>
      </w:r>
      <w:r w:rsidR="08DA5938" w:rsidRPr="00273106">
        <w:rPr>
          <w:lang w:eastAsia="en-US"/>
        </w:rPr>
        <w:t>).</w:t>
      </w:r>
      <w:r w:rsidR="08DA5938">
        <w:rPr>
          <w:lang w:eastAsia="en-US"/>
        </w:rPr>
        <w:t xml:space="preserve"> </w:t>
      </w:r>
      <w:r w:rsidR="009323D2" w:rsidRPr="00273106">
        <w:t xml:space="preserve">Zhruba ve stejné době, kdy Grosseteste píše komentář ke </w:t>
      </w:r>
      <w:r w:rsidR="00052C2A">
        <w:rPr>
          <w:i/>
        </w:rPr>
        <w:t>Druhým a</w:t>
      </w:r>
      <w:r w:rsidR="009323D2" w:rsidRPr="00052C2A">
        <w:rPr>
          <w:i/>
        </w:rPr>
        <w:t>nalytikám</w:t>
      </w:r>
      <w:r w:rsidR="009323D2" w:rsidRPr="00273106">
        <w:t>, komponuje magistr Nicolas z Paříže</w:t>
      </w:r>
      <w:r w:rsidR="008B0E6F">
        <w:fldChar w:fldCharType="begin"/>
      </w:r>
      <w:r w:rsidR="008B0E6F">
        <w:instrText xml:space="preserve"> XE "</w:instrText>
      </w:r>
      <w:r w:rsidR="008B0E6F" w:rsidRPr="00B75C7D">
        <w:instrText>Nicolas z Paříže</w:instrText>
      </w:r>
      <w:r w:rsidR="008B0E6F">
        <w:instrText xml:space="preserve">" </w:instrText>
      </w:r>
      <w:r w:rsidR="008B0E6F">
        <w:fldChar w:fldCharType="end"/>
      </w:r>
      <w:r w:rsidR="009323D2" w:rsidRPr="00273106">
        <w:t xml:space="preserve"> výklad Aristotelových </w:t>
      </w:r>
      <w:r w:rsidR="009323D2" w:rsidRPr="00052C2A">
        <w:rPr>
          <w:i/>
        </w:rPr>
        <w:t>Kategorií</w:t>
      </w:r>
      <w:r w:rsidR="009323D2" w:rsidRPr="00273106">
        <w:t xml:space="preserve">. </w:t>
      </w:r>
      <w:r w:rsidR="00E743B2" w:rsidRPr="00273106">
        <w:t>Jeho k</w:t>
      </w:r>
      <w:r w:rsidR="009323D2" w:rsidRPr="00273106">
        <w:t>ome</w:t>
      </w:r>
      <w:r w:rsidR="008B3F0B">
        <w:t xml:space="preserve">ntář pokračuje </w:t>
      </w:r>
      <w:r w:rsidR="000A04FF">
        <w:t xml:space="preserve">v </w:t>
      </w:r>
      <w:r w:rsidR="008B3F0B">
        <w:t xml:space="preserve">Pagusově </w:t>
      </w:r>
      <w:r w:rsidR="004377BC">
        <w:t xml:space="preserve">porretánské </w:t>
      </w:r>
      <w:r w:rsidR="008B3F0B">
        <w:t>linii</w:t>
      </w:r>
      <w:r w:rsidR="004377BC">
        <w:t xml:space="preserve"> dané školami </w:t>
      </w:r>
      <w:r w:rsidR="004377BC" w:rsidRPr="004377BC">
        <w:rPr>
          <w:i/>
        </w:rPr>
        <w:t>Nominales</w:t>
      </w:r>
      <w:r w:rsidR="004377BC">
        <w:t xml:space="preserve"> a univoční predikací podle </w:t>
      </w:r>
      <w:r w:rsidR="004377BC" w:rsidRPr="004377BC">
        <w:rPr>
          <w:i/>
        </w:rPr>
        <w:t>logica Modernorum</w:t>
      </w:r>
      <w:r w:rsidR="008B3F0B">
        <w:t xml:space="preserve">. </w:t>
      </w:r>
      <w:r w:rsidR="008B3F0B" w:rsidRPr="00273106">
        <w:t xml:space="preserve">Nicolas </w:t>
      </w:r>
      <w:r w:rsidR="009323D2" w:rsidRPr="00273106">
        <w:t>převedl kategoriální predikaci danou v modu „substance</w:t>
      </w:r>
      <w:r w:rsidR="000047F5">
        <w:t>‒</w:t>
      </w:r>
      <w:r w:rsidR="009323D2" w:rsidRPr="00273106">
        <w:t>akcident“ na analogickou predikaci</w:t>
      </w:r>
      <w:r w:rsidR="00ED1845" w:rsidRPr="00273106">
        <w:t xml:space="preserve"> </w:t>
      </w:r>
      <w:r w:rsidR="00486354">
        <w:t>danou v modu porretánského dělení univerzálií</w:t>
      </w:r>
      <w:r w:rsidR="009323D2" w:rsidRPr="00273106">
        <w:t>.</w:t>
      </w:r>
      <w:r w:rsidR="00486354" w:rsidRPr="00273106">
        <w:rPr>
          <w:rStyle w:val="Znakapoznpodarou"/>
        </w:rPr>
        <w:footnoteReference w:id="311"/>
      </w:r>
      <w:r w:rsidR="009323D2" w:rsidRPr="00273106">
        <w:t xml:space="preserve"> </w:t>
      </w:r>
      <w:r w:rsidR="00C450C7" w:rsidRPr="00273106">
        <w:t>Kategoriá</w:t>
      </w:r>
      <w:r w:rsidR="00E00E8B">
        <w:t>l</w:t>
      </w:r>
      <w:r w:rsidR="00C450C7" w:rsidRPr="00273106">
        <w:t>ní predikace p</w:t>
      </w:r>
      <w:r w:rsidR="00A1554B" w:rsidRPr="00273106">
        <w:t>ředstavuje univerzální jednotku významu (</w:t>
      </w:r>
      <w:r w:rsidR="00A1554B" w:rsidRPr="00273106">
        <w:rPr>
          <w:i/>
        </w:rPr>
        <w:t>dicibile incomplexum ordinabile</w:t>
      </w:r>
      <w:r w:rsidR="00A1554B" w:rsidRPr="00273106">
        <w:t>),</w:t>
      </w:r>
      <w:r w:rsidR="00451799">
        <w:t xml:space="preserve"> která je analogicky přiřazena </w:t>
      </w:r>
      <w:r w:rsidR="00A1554B" w:rsidRPr="00273106">
        <w:t>ke všem deseti kategoriím (</w:t>
      </w:r>
      <w:r w:rsidR="00A1554B" w:rsidRPr="00273106">
        <w:rPr>
          <w:i/>
        </w:rPr>
        <w:t>est commune analogum ad omnia decem</w:t>
      </w:r>
      <w:r w:rsidR="00A1554B" w:rsidRPr="00273106">
        <w:t>)</w:t>
      </w:r>
      <w:r w:rsidR="000A04FF">
        <w:t xml:space="preserve">. V </w:t>
      </w:r>
      <w:r w:rsidR="00A1554B" w:rsidRPr="00273106">
        <w:t xml:space="preserve">této analogické predikaci </w:t>
      </w:r>
      <w:r w:rsidR="00B551A2" w:rsidRPr="00273106">
        <w:t xml:space="preserve">dané </w:t>
      </w:r>
      <w:r w:rsidR="00AA7FE1" w:rsidRPr="00273106">
        <w:t xml:space="preserve">v modu </w:t>
      </w:r>
      <w:r w:rsidR="00AA7FE1" w:rsidRPr="00273106">
        <w:rPr>
          <w:i/>
        </w:rPr>
        <w:t>per prius</w:t>
      </w:r>
      <w:r w:rsidR="00AA7FE1" w:rsidRPr="00273106">
        <w:t xml:space="preserve"> </w:t>
      </w:r>
      <w:r w:rsidR="00DE7F1F">
        <w:fldChar w:fldCharType="begin"/>
      </w:r>
      <w:r w:rsidR="00DE7F1F">
        <w:instrText xml:space="preserve"> XE "</w:instrText>
      </w:r>
      <w:r w:rsidR="00DE7F1F" w:rsidRPr="000672F5">
        <w:instrText>predikace:analogická</w:instrText>
      </w:r>
      <w:r w:rsidR="00DE7F1F">
        <w:instrText xml:space="preserve">" </w:instrText>
      </w:r>
      <w:r w:rsidR="00DE7F1F">
        <w:fldChar w:fldCharType="end"/>
      </w:r>
      <w:r w:rsidR="00A1554B" w:rsidRPr="00273106">
        <w:t xml:space="preserve">má základní primát </w:t>
      </w:r>
      <w:r w:rsidR="00052C2A">
        <w:t xml:space="preserve">neoplatonská atomární </w:t>
      </w:r>
      <w:r w:rsidR="00A1554B" w:rsidRPr="00273106">
        <w:t>substance (</w:t>
      </w:r>
      <w:r w:rsidR="00A1554B" w:rsidRPr="00273106">
        <w:rPr>
          <w:i/>
        </w:rPr>
        <w:t>quod est per prius dicitur de substantia</w:t>
      </w:r>
      <w:r w:rsidR="00A1554B" w:rsidRPr="00273106">
        <w:t xml:space="preserve">). </w:t>
      </w:r>
      <w:r w:rsidR="00FF3324">
        <w:t>S</w:t>
      </w:r>
      <w:r w:rsidR="00FF3324" w:rsidRPr="00273106">
        <w:t xml:space="preserve">ubstance </w:t>
      </w:r>
      <w:r w:rsidR="00FF3324">
        <w:t xml:space="preserve">třetího druhu </w:t>
      </w:r>
      <w:r w:rsidR="00FF3324" w:rsidRPr="00273106">
        <w:t xml:space="preserve">funguje </w:t>
      </w:r>
      <w:r w:rsidR="00FF3324">
        <w:t>v</w:t>
      </w:r>
      <w:r w:rsidR="009323D2" w:rsidRPr="00273106">
        <w:t xml:space="preserve"> novém systému dedukce jako primární jednota logicky daného významu, k níž jsou sekundárně</w:t>
      </w:r>
      <w:r w:rsidR="00503D52" w:rsidRPr="00273106">
        <w:t xml:space="preserve"> </w:t>
      </w:r>
      <w:r w:rsidR="009323D2" w:rsidRPr="00273106">
        <w:t>přiřazena zbylá akcidentální určení</w:t>
      </w:r>
      <w:r w:rsidR="00503D52" w:rsidRPr="00273106">
        <w:t xml:space="preserve"> v modu analogie</w:t>
      </w:r>
      <w:r w:rsidR="00D45224">
        <w:rPr>
          <w:i/>
        </w:rPr>
        <w:fldChar w:fldCharType="begin"/>
      </w:r>
      <w:r w:rsidR="00D45224">
        <w:instrText xml:space="preserve"> XE "</w:instrText>
      </w:r>
      <w:r w:rsidR="00D45224" w:rsidRPr="00B6500B">
        <w:instrText>substance:</w:instrText>
      </w:r>
      <w:r w:rsidR="00D45224">
        <w:instrText xml:space="preserve">objektivní" </w:instrText>
      </w:r>
      <w:r w:rsidR="00D45224">
        <w:rPr>
          <w:i/>
        </w:rPr>
        <w:fldChar w:fldCharType="end"/>
      </w:r>
      <w:r w:rsidR="009323D2" w:rsidRPr="00273106">
        <w:t xml:space="preserve">. </w:t>
      </w:r>
      <w:r w:rsidR="00DC3661">
        <w:t>K</w:t>
      </w:r>
      <w:r w:rsidR="00451799">
        <w:t>ategoriální predika</w:t>
      </w:r>
      <w:r w:rsidR="003736A4">
        <w:t xml:space="preserve">ce ztratila ve škole moderních porretánů </w:t>
      </w:r>
      <w:r w:rsidR="00451799">
        <w:t xml:space="preserve">metafyzický význam a stala se </w:t>
      </w:r>
      <w:r w:rsidR="00DC3661">
        <w:t xml:space="preserve">pouhým </w:t>
      </w:r>
      <w:r w:rsidR="00451799">
        <w:t xml:space="preserve">logickým nástrojem v modu analogie. </w:t>
      </w:r>
      <w:r w:rsidR="00112F44" w:rsidRPr="00273106">
        <w:t>Druhá substance je dána v logickém modu univocity</w:t>
      </w:r>
      <w:r w:rsidR="00112F44">
        <w:t xml:space="preserve"> či analogie s první substancí a dostala se s akcidenty na stejnou metafyzickou úroveň. </w:t>
      </w:r>
      <w:r w:rsidR="00DD7137">
        <w:t xml:space="preserve">V modu analogie </w:t>
      </w:r>
      <w:r w:rsidR="00112F44">
        <w:t xml:space="preserve">zmizela </w:t>
      </w:r>
      <w:r w:rsidR="00BC2B06">
        <w:t>impozice významu z první substance na druhou</w:t>
      </w:r>
      <w:r w:rsidR="00DD7137">
        <w:t xml:space="preserve">. </w:t>
      </w:r>
      <w:r w:rsidR="00BC1190" w:rsidRPr="00273106">
        <w:rPr>
          <w:rFonts w:cs="Calibri"/>
        </w:rPr>
        <w:t>Analogie vzatá na způsob neoplatoniků jako byl Jamblichos a Simplikius potvrdila primát matematické abstra</w:t>
      </w:r>
      <w:r w:rsidR="0801622C">
        <w:rPr>
          <w:rFonts w:cs="Calibri"/>
        </w:rPr>
        <w:t>kce daný již u porretánů (kap. 1</w:t>
      </w:r>
      <w:r w:rsidR="00BC1190" w:rsidRPr="00273106">
        <w:rPr>
          <w:rFonts w:cs="Calibri"/>
        </w:rPr>
        <w:t xml:space="preserve">.5). </w:t>
      </w:r>
      <w:r w:rsidR="00DD7137">
        <w:t xml:space="preserve">Logická abstrakce pojednávající bytí jsoucna zcela univočně způsobila, že predikace hypostázovaných </w:t>
      </w:r>
      <w:r w:rsidR="00297B72">
        <w:t>ak</w:t>
      </w:r>
      <w:r w:rsidR="000740DD">
        <w:t>cident</w:t>
      </w:r>
      <w:r w:rsidR="00DD7137">
        <w:t xml:space="preserve">ů původně daných v modu </w:t>
      </w:r>
      <w:r w:rsidR="00DD7137" w:rsidRPr="00DD7137">
        <w:rPr>
          <w:i/>
        </w:rPr>
        <w:t>per posterius</w:t>
      </w:r>
      <w:r w:rsidR="00DD7137">
        <w:t xml:space="preserve"> </w:t>
      </w:r>
      <w:r w:rsidR="000740DD">
        <w:t xml:space="preserve">se </w:t>
      </w:r>
      <w:r w:rsidR="00DD7137">
        <w:t xml:space="preserve">dostala na stejnou úroveň jako predikace </w:t>
      </w:r>
      <w:r w:rsidR="00DD7137" w:rsidRPr="00DD7137">
        <w:rPr>
          <w:i/>
        </w:rPr>
        <w:t>per prius</w:t>
      </w:r>
      <w:r w:rsidR="00DD7137">
        <w:t xml:space="preserve"> určená bytím druhé substance</w:t>
      </w:r>
      <w:r w:rsidR="000740DD">
        <w:t xml:space="preserve">. </w:t>
      </w:r>
      <w:r w:rsidR="00117902">
        <w:t>Podle Alverna se a</w:t>
      </w:r>
      <w:r w:rsidR="005B0965">
        <w:t xml:space="preserve">kcidenty staly </w:t>
      </w:r>
      <w:r w:rsidR="007A7F91">
        <w:t xml:space="preserve">ve škole Gramatiků </w:t>
      </w:r>
      <w:r w:rsidR="005B0965">
        <w:t>hypostázovanými částmi atomární substance jako jsoucna třetího druhu (</w:t>
      </w:r>
      <w:r w:rsidR="005C0D41" w:rsidRPr="00D10D51">
        <w:rPr>
          <w:i/>
        </w:rPr>
        <w:t>dispositiones</w:t>
      </w:r>
      <w:r w:rsidR="005C0D41">
        <w:rPr>
          <w:i/>
        </w:rPr>
        <w:t xml:space="preserve"> </w:t>
      </w:r>
      <w:r w:rsidR="005C0D41" w:rsidRPr="00D10D51">
        <w:rPr>
          <w:i/>
        </w:rPr>
        <w:t>ponebant in substantiis de quibus dicebatur</w:t>
      </w:r>
      <w:r w:rsidR="005C0D41">
        <w:t xml:space="preserve">, </w:t>
      </w:r>
      <w:r w:rsidR="0801622C">
        <w:t>kap. 2</w:t>
      </w:r>
      <w:r w:rsidR="005B0965">
        <w:t xml:space="preserve">.3.2). </w:t>
      </w:r>
      <w:r w:rsidR="0079006E">
        <w:t xml:space="preserve">Nový výklad </w:t>
      </w:r>
      <w:r w:rsidR="0079006E" w:rsidRPr="0079006E">
        <w:rPr>
          <w:i/>
        </w:rPr>
        <w:t>Kategorií</w:t>
      </w:r>
      <w:r w:rsidR="0079006E">
        <w:t xml:space="preserve"> vedl k </w:t>
      </w:r>
      <w:r w:rsidR="009A2E59">
        <w:t xml:space="preserve">zatmění první substance </w:t>
      </w:r>
      <w:r w:rsidR="0079006E">
        <w:t xml:space="preserve">a urychlil </w:t>
      </w:r>
      <w:r w:rsidR="009A2E59">
        <w:t xml:space="preserve">zánik pravdy jako adekvace reálné věci a myšlení. </w:t>
      </w:r>
      <w:r w:rsidR="00751AB8">
        <w:t>Jsoucno a</w:t>
      </w:r>
      <w:r w:rsidR="005D5B01" w:rsidRPr="00273106">
        <w:t>bstrah</w:t>
      </w:r>
      <w:r w:rsidR="00751AB8">
        <w:t>ované v logice</w:t>
      </w:r>
      <w:r w:rsidR="005D5B01" w:rsidRPr="00273106">
        <w:t xml:space="preserve"> </w:t>
      </w:r>
      <w:r w:rsidR="00751AB8">
        <w:t xml:space="preserve">či v matematice </w:t>
      </w:r>
      <w:r w:rsidR="005D5B01" w:rsidRPr="00273106">
        <w:t xml:space="preserve">není Aristotelova druhá substance </w:t>
      </w:r>
      <w:r w:rsidR="00751AB8">
        <w:t xml:space="preserve">kategoriálně determinovaná </w:t>
      </w:r>
      <w:r w:rsidR="005D5B01" w:rsidRPr="00273106">
        <w:t>hyparchi</w:t>
      </w:r>
      <w:r w:rsidR="00C12033">
        <w:t xml:space="preserve">ckým vztahem k první substanci. </w:t>
      </w:r>
      <w:r w:rsidR="005F2D37" w:rsidRPr="00273106">
        <w:t xml:space="preserve">Logika </w:t>
      </w:r>
      <w:r w:rsidR="00BB6ECF" w:rsidRPr="00273106">
        <w:t>na úro</w:t>
      </w:r>
      <w:r w:rsidR="00EB2374" w:rsidRPr="00273106">
        <w:t>v</w:t>
      </w:r>
      <w:r w:rsidR="00BB6ECF" w:rsidRPr="00273106">
        <w:t>ni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BB6ECF" w:rsidRPr="00273106">
        <w:t xml:space="preserve"> zrušila metafyzickou abstrakci</w:t>
      </w:r>
      <w:r w:rsidR="005F2D37" w:rsidRPr="00273106">
        <w:t>, protože k</w:t>
      </w:r>
      <w:r w:rsidR="005F2D37" w:rsidRPr="00273106">
        <w:rPr>
          <w:rFonts w:cs="Calibri"/>
        </w:rPr>
        <w:t xml:space="preserve">ategoriální predikace a </w:t>
      </w:r>
      <w:r w:rsidR="005F2D37" w:rsidRPr="00273106">
        <w:rPr>
          <w:rFonts w:cs="Calibri"/>
        </w:rPr>
        <w:lastRenderedPageBreak/>
        <w:t xml:space="preserve">analogická predikace jsou vzaty univočně. Všechny vlastnosti jsou dané v řádu logické abstrakce, tedy v </w:t>
      </w:r>
      <w:r w:rsidR="006347C1">
        <w:rPr>
          <w:rFonts w:cs="Calibri"/>
        </w:rPr>
        <w:t xml:space="preserve">univočním </w:t>
      </w:r>
      <w:r w:rsidR="005F2D37" w:rsidRPr="00273106">
        <w:rPr>
          <w:rFonts w:cs="Calibri"/>
        </w:rPr>
        <w:t xml:space="preserve">modu </w:t>
      </w:r>
      <w:r w:rsidR="005F2D37" w:rsidRPr="00273106">
        <w:rPr>
          <w:rFonts w:cs="Calibri"/>
          <w:i/>
        </w:rPr>
        <w:t>simpliciter</w:t>
      </w:r>
      <w:r w:rsidR="005F2D37" w:rsidRPr="00273106">
        <w:rPr>
          <w:rFonts w:cs="Calibri"/>
        </w:rPr>
        <w:t xml:space="preserve"> a </w:t>
      </w:r>
      <w:r w:rsidR="005F2D37" w:rsidRPr="00273106">
        <w:rPr>
          <w:rFonts w:cs="Calibri"/>
          <w:i/>
        </w:rPr>
        <w:t>per se</w:t>
      </w:r>
      <w:r w:rsidR="00766E93">
        <w:rPr>
          <w:rFonts w:cs="Calibri"/>
        </w:rPr>
        <w:t>.</w:t>
      </w:r>
    </w:p>
    <w:p w14:paraId="454B89C3" w14:textId="754D6BA2" w:rsidR="006C27CD" w:rsidRDefault="00657FC1" w:rsidP="008E5476">
      <w:pPr>
        <w:ind w:firstLine="397"/>
        <w:rPr>
          <w:rFonts w:cs="Calibri"/>
        </w:rPr>
      </w:pPr>
      <w:r>
        <w:rPr>
          <w:rFonts w:cs="Calibri"/>
        </w:rPr>
        <w:t>Modernisté</w:t>
      </w:r>
      <w:r w:rsidR="00C12033">
        <w:rPr>
          <w:rFonts w:cs="Calibri"/>
        </w:rPr>
        <w:t xml:space="preserve"> </w:t>
      </w:r>
      <w:r w:rsidR="00D35E1F">
        <w:rPr>
          <w:rFonts w:cs="Calibri"/>
        </w:rPr>
        <w:t xml:space="preserve">v modu analogické správnosti </w:t>
      </w:r>
      <w:r w:rsidR="00D35E1F">
        <w:t xml:space="preserve">prohlásili </w:t>
      </w:r>
      <w:r w:rsidR="00FE2411">
        <w:t xml:space="preserve">mrtvolu za člověka, protože drží absolutizované pojetí supozice dané hypostázovaným pojetím predikace. </w:t>
      </w:r>
      <w:r w:rsidR="003C385C">
        <w:t xml:space="preserve">Mrtvola jednou byla člověkem, proto je v </w:t>
      </w:r>
      <w:r w:rsidR="00117902">
        <w:t xml:space="preserve">modu </w:t>
      </w:r>
      <w:r w:rsidR="002E30FF" w:rsidRPr="002E30FF">
        <w:t>species</w:t>
      </w:r>
      <w:r w:rsidR="00117902">
        <w:t xml:space="preserve"> stále člověkem</w:t>
      </w:r>
      <w:r w:rsidR="00915401">
        <w:rPr>
          <w:i/>
        </w:rPr>
        <w:fldChar w:fldCharType="begin"/>
      </w:r>
      <w:r w:rsidR="00915401">
        <w:instrText xml:space="preserve"> XE "sofisma člověk-mrtvola" </w:instrText>
      </w:r>
      <w:r w:rsidR="00915401">
        <w:rPr>
          <w:i/>
        </w:rPr>
        <w:fldChar w:fldCharType="end"/>
      </w:r>
      <w:r w:rsidR="00117902">
        <w:t>. Ta</w:t>
      </w:r>
      <w:r w:rsidR="08586E6D">
        <w:t>to specifická</w:t>
      </w:r>
      <w:r w:rsidR="003C385C">
        <w:t xml:space="preserve"> dete</w:t>
      </w:r>
      <w:r w:rsidR="00594165">
        <w:t>r</w:t>
      </w:r>
      <w:r w:rsidR="003C385C">
        <w:t>minace lidství nemůže zmizet</w:t>
      </w:r>
      <w:r w:rsidR="000851A6">
        <w:t>, protože mrtvola ukazuje poslední dále nedělitelný případ toho</w:t>
      </w:r>
      <w:r w:rsidR="08586E6D">
        <w:t>to dělení lidství</w:t>
      </w:r>
      <w:r w:rsidR="000851A6">
        <w:t xml:space="preserve"> na porretánské individuum</w:t>
      </w:r>
      <w:r w:rsidR="003C385C">
        <w:t xml:space="preserve">. </w:t>
      </w:r>
      <w:r w:rsidR="00594165">
        <w:t xml:space="preserve">Polemika Alverna </w:t>
      </w:r>
      <w:r w:rsidR="08BA1AFC">
        <w:t xml:space="preserve">a raného Grossetesteho v letech 1225‒30 </w:t>
      </w:r>
      <w:r w:rsidR="00594165">
        <w:t>proti škole Gramatiků</w:t>
      </w:r>
      <w:r w:rsidR="00594165">
        <w:fldChar w:fldCharType="begin"/>
      </w:r>
      <w:r w:rsidR="00594165">
        <w:instrText xml:space="preserve"> XE "</w:instrText>
      </w:r>
      <w:r w:rsidR="00594165" w:rsidRPr="001E508F">
        <w:instrText>druhý averroismus:</w:instrText>
      </w:r>
      <w:r w:rsidR="00594165" w:rsidRPr="008B0E6F">
        <w:rPr>
          <w:i/>
        </w:rPr>
        <w:instrText>Grammatici</w:instrText>
      </w:r>
      <w:r w:rsidR="00594165">
        <w:instrText xml:space="preserve">" </w:instrText>
      </w:r>
      <w:r w:rsidR="00594165">
        <w:fldChar w:fldCharType="end"/>
      </w:r>
      <w:r w:rsidR="00594165">
        <w:t xml:space="preserve"> postihuje tento zásadní moment moderního filosofického nihilismu. </w:t>
      </w:r>
      <w:r w:rsidR="088F452C">
        <w:t>A</w:t>
      </w:r>
      <w:r w:rsidR="00AD5CF5">
        <w:t xml:space="preserve">ristotelští porretáni nebyli schopni rozlišit mezi řádem bytí věci a řádem její predikace, což jim marně připomínal první eminentní představitel prvního averroismu </w:t>
      </w:r>
      <w:r w:rsidR="00AD5CF5" w:rsidRPr="00273106">
        <w:t>(</w:t>
      </w:r>
      <w:r w:rsidR="00AD5CF5" w:rsidRPr="00273106">
        <w:rPr>
          <w:i/>
        </w:rPr>
        <w:t>esse in subjecto non est inhaerere subjecto</w:t>
      </w:r>
      <w:r w:rsidR="087B7FF3">
        <w:t>, kap. 2</w:t>
      </w:r>
      <w:r w:rsidR="00AD5CF5" w:rsidRPr="00273106">
        <w:t>.3</w:t>
      </w:r>
      <w:r w:rsidR="00AD5CF5">
        <w:t>.2).</w:t>
      </w:r>
      <w:r w:rsidR="00AD5CF5" w:rsidRPr="00273106">
        <w:t xml:space="preserve"> </w:t>
      </w:r>
      <w:r w:rsidR="00594165" w:rsidRPr="00273106">
        <w:t>Jan Pagus</w:t>
      </w:r>
      <w:r w:rsidR="00594165">
        <w:fldChar w:fldCharType="begin"/>
      </w:r>
      <w:r w:rsidR="00594165">
        <w:instrText xml:space="preserve"> XE "</w:instrText>
      </w:r>
      <w:r w:rsidR="00594165" w:rsidRPr="00BB6E8D">
        <w:instrText>Pagus</w:instrText>
      </w:r>
      <w:r w:rsidR="00594165">
        <w:instrText xml:space="preserve">, John" </w:instrText>
      </w:r>
      <w:r w:rsidR="00594165">
        <w:fldChar w:fldCharType="end"/>
      </w:r>
      <w:r w:rsidR="00594165" w:rsidRPr="00273106">
        <w:t xml:space="preserve"> a Mikuláš z Paříže</w:t>
      </w:r>
      <w:r w:rsidR="00594165">
        <w:fldChar w:fldCharType="begin"/>
      </w:r>
      <w:r w:rsidR="00594165">
        <w:instrText xml:space="preserve"> XE "Nicolas</w:instrText>
      </w:r>
      <w:r w:rsidR="00594165" w:rsidRPr="00E044F0">
        <w:instrText xml:space="preserve"> z Paříže</w:instrText>
      </w:r>
      <w:r w:rsidR="00594165">
        <w:instrText xml:space="preserve">" </w:instrText>
      </w:r>
      <w:r w:rsidR="00594165">
        <w:fldChar w:fldCharType="end"/>
      </w:r>
      <w:r w:rsidR="00594165" w:rsidRPr="00273106">
        <w:t xml:space="preserve"> </w:t>
      </w:r>
      <w:r w:rsidR="00594165">
        <w:t xml:space="preserve">patří kvůli neoplatonskému </w:t>
      </w:r>
      <w:r w:rsidR="00594165" w:rsidRPr="00273106">
        <w:t xml:space="preserve">pojetí kategorií jako univočních porretánských hypostází </w:t>
      </w:r>
      <w:r w:rsidR="00594165">
        <w:t xml:space="preserve">do skupiny zvané </w:t>
      </w:r>
      <w:r w:rsidR="00594165" w:rsidRPr="00273106">
        <w:rPr>
          <w:i/>
        </w:rPr>
        <w:t>Grammatici</w:t>
      </w:r>
      <w:r w:rsidR="00594165">
        <w:fldChar w:fldCharType="begin"/>
      </w:r>
      <w:r w:rsidR="00594165">
        <w:instrText xml:space="preserve"> XE "</w:instrText>
      </w:r>
      <w:r w:rsidR="00594165" w:rsidRPr="001E508F">
        <w:instrText>druhý averroismus:</w:instrText>
      </w:r>
      <w:r w:rsidR="00594165" w:rsidRPr="008B0E6F">
        <w:rPr>
          <w:i/>
        </w:rPr>
        <w:instrText>Grammatici</w:instrText>
      </w:r>
      <w:r w:rsidR="00594165">
        <w:instrText xml:space="preserve">" </w:instrText>
      </w:r>
      <w:r w:rsidR="00594165">
        <w:fldChar w:fldCharType="end"/>
      </w:r>
      <w:r w:rsidR="00594165" w:rsidRPr="00273106">
        <w:t>, kt</w:t>
      </w:r>
      <w:r w:rsidR="00594165">
        <w:t xml:space="preserve">erou z pozice prvního averroismu nejprve kritizoval spis </w:t>
      </w:r>
      <w:r w:rsidR="089A1B6F">
        <w:rPr>
          <w:i/>
        </w:rPr>
        <w:t>De anima et de potenciis eius</w:t>
      </w:r>
      <w:r w:rsidR="00594165">
        <w:rPr>
          <w:i/>
        </w:rPr>
        <w:t xml:space="preserve"> </w:t>
      </w:r>
      <w:r w:rsidR="00594165" w:rsidRPr="009969FE">
        <w:t>(1225)</w:t>
      </w:r>
      <w:r w:rsidR="00594165">
        <w:t xml:space="preserve"> a následně biskup Alvernus. </w:t>
      </w:r>
      <w:r w:rsidR="00FE2411" w:rsidRPr="00273106">
        <w:rPr>
          <w:rFonts w:cs="Calibri"/>
        </w:rPr>
        <w:t>Komentáře obou zmíněných porretánů predikují hypostázované akcidenty vzhledem ke stejně hypostázované substanci třetího druhu.</w:t>
      </w:r>
      <w:r w:rsidR="008E5476">
        <w:rPr>
          <w:rFonts w:cs="Calibri"/>
        </w:rPr>
        <w:t xml:space="preserve"> </w:t>
      </w:r>
      <w:r w:rsidR="00B8560A">
        <w:t>Zavedením analogické predikace porretánských hypostází došlo k zásadnímu znejasnění impozice významu z reality</w:t>
      </w:r>
      <w:r w:rsidR="00B8560A" w:rsidRPr="00273106">
        <w:t>.</w:t>
      </w:r>
      <w:r w:rsidR="00B8560A">
        <w:t xml:space="preserve"> Pak už pro modernisty nebyl žádný problém, aby tyto esence a hypostáze vzali </w:t>
      </w:r>
      <w:r>
        <w:t xml:space="preserve">jako atomární substance třetího druhu </w:t>
      </w:r>
      <w:r w:rsidR="00B8560A">
        <w:t xml:space="preserve">a aplikovali je podle Toledské školy i na výklad </w:t>
      </w:r>
      <w:r w:rsidR="00B8560A" w:rsidRPr="000740DD">
        <w:rPr>
          <w:i/>
        </w:rPr>
        <w:t>Druhých anal</w:t>
      </w:r>
      <w:r w:rsidR="00B8560A">
        <w:rPr>
          <w:i/>
        </w:rPr>
        <w:t>y</w:t>
      </w:r>
      <w:r w:rsidR="00B8560A" w:rsidRPr="000740DD">
        <w:rPr>
          <w:i/>
        </w:rPr>
        <w:t>tik</w:t>
      </w:r>
      <w:r w:rsidR="00B8560A">
        <w:t xml:space="preserve">. A tento </w:t>
      </w:r>
      <w:r w:rsidR="080463B6">
        <w:t xml:space="preserve">neoplatonský </w:t>
      </w:r>
      <w:r w:rsidR="00B8560A">
        <w:t xml:space="preserve">výklad podaný </w:t>
      </w:r>
      <w:r w:rsidR="00B8560A">
        <w:rPr>
          <w:i/>
        </w:rPr>
        <w:t>ad mentem Averro</w:t>
      </w:r>
      <w:r w:rsidR="00B8560A" w:rsidRPr="000740DD">
        <w:rPr>
          <w:i/>
        </w:rPr>
        <w:t>is</w:t>
      </w:r>
      <w:r w:rsidR="00B8560A">
        <w:rPr>
          <w:i/>
        </w:rPr>
        <w:fldChar w:fldCharType="begin"/>
      </w:r>
      <w:r w:rsidR="00B8560A">
        <w:instrText xml:space="preserve"> XE "</w:instrText>
      </w:r>
      <w:r w:rsidR="00B8560A" w:rsidRPr="00422749">
        <w:rPr>
          <w:i/>
        </w:rPr>
        <w:instrText>ad mentem Averrois</w:instrText>
      </w:r>
      <w:r w:rsidR="00B8560A">
        <w:instrText xml:space="preserve">" </w:instrText>
      </w:r>
      <w:r w:rsidR="00B8560A">
        <w:rPr>
          <w:i/>
        </w:rPr>
        <w:fldChar w:fldCharType="end"/>
      </w:r>
      <w:r w:rsidR="00B8560A">
        <w:t xml:space="preserve"> považovali za </w:t>
      </w:r>
      <w:r w:rsidR="080463B6">
        <w:t xml:space="preserve">autentickou </w:t>
      </w:r>
      <w:r w:rsidR="00B8560A">
        <w:t>aristotelskou exegezi.</w:t>
      </w:r>
      <w:r w:rsidR="006716DE">
        <w:t xml:space="preserve"> </w:t>
      </w:r>
      <w:r w:rsidR="00361B84" w:rsidRPr="00273106">
        <w:t>Díky nové formě univocity v rámci analog</w:t>
      </w:r>
      <w:r w:rsidR="00322924">
        <w:t xml:space="preserve">ie pojaté kategoriálně zmizel </w:t>
      </w:r>
      <w:r w:rsidR="00361B84" w:rsidRPr="00273106">
        <w:t>základní rozdíl ve statutu hyparchické predikace</w:t>
      </w:r>
      <w:r w:rsidR="00987A9A" w:rsidRPr="00273106">
        <w:t xml:space="preserve"> jinak dané vzhledem k reálným věcem a jinak vzhledem k obecninám</w:t>
      </w:r>
      <w:r w:rsidR="00B92220">
        <w:fldChar w:fldCharType="begin"/>
      </w:r>
      <w:r w:rsidR="00B92220">
        <w:instrText xml:space="preserve"> XE "</w:instrText>
      </w:r>
      <w:r w:rsidR="00B92220" w:rsidRPr="00977FCF">
        <w:instrText>substance:zatmění</w:instrText>
      </w:r>
      <w:r w:rsidR="00B92220">
        <w:instrText xml:space="preserve">" </w:instrText>
      </w:r>
      <w:r w:rsidR="00B92220">
        <w:fldChar w:fldCharType="end"/>
      </w:r>
      <w:r w:rsidR="00B768F2">
        <w:t xml:space="preserve"> (</w:t>
      </w:r>
      <w:r w:rsidR="00B768F2" w:rsidRPr="003357E1">
        <w:rPr>
          <w:i/>
        </w:rPr>
        <w:t>Cat</w:t>
      </w:r>
      <w:r w:rsidR="00B768F2">
        <w:t xml:space="preserve">. </w:t>
      </w:r>
      <w:r w:rsidR="00B768F2" w:rsidRPr="00273106">
        <w:t>2a11–16</w:t>
      </w:r>
      <w:r w:rsidR="00E947C6">
        <w:fldChar w:fldCharType="begin"/>
      </w:r>
      <w:r w:rsidR="00E947C6">
        <w:instrText xml:space="preserve"> XE "</w:instrText>
      </w:r>
      <w:r w:rsidR="008E02F5">
        <w:instrText>Aristoteles</w:instrText>
      </w:r>
      <w:r w:rsidR="00E947C6">
        <w:instrText>:</w:instrText>
      </w:r>
      <w:r w:rsidR="00E947C6" w:rsidRPr="00B941B3">
        <w:rPr>
          <w:i/>
        </w:rPr>
        <w:instrText>Cat</w:instrText>
      </w:r>
      <w:r w:rsidR="00E947C6" w:rsidRPr="00B941B3">
        <w:instrText>. 2a11–16</w:instrText>
      </w:r>
      <w:r w:rsidR="00E947C6">
        <w:instrText xml:space="preserve">" </w:instrText>
      </w:r>
      <w:r w:rsidR="00E947C6">
        <w:fldChar w:fldCharType="end"/>
      </w:r>
      <w:r w:rsidR="00B768F2">
        <w:t>)</w:t>
      </w:r>
      <w:r w:rsidR="00361B84" w:rsidRPr="00273106">
        <w:t xml:space="preserve">. </w:t>
      </w:r>
      <w:r w:rsidR="08B243B3" w:rsidRPr="00273106">
        <w:t xml:space="preserve">Původní inspirací </w:t>
      </w:r>
      <w:r w:rsidR="08B243B3" w:rsidRPr="00273106">
        <w:rPr>
          <w:rStyle w:val="addmd"/>
        </w:rPr>
        <w:t xml:space="preserve">pro výklady Paguse a Nicolase není samotný spis </w:t>
      </w:r>
      <w:r w:rsidR="08B243B3" w:rsidRPr="006716DE">
        <w:rPr>
          <w:rStyle w:val="addmd"/>
          <w:i/>
        </w:rPr>
        <w:t>Kategorie</w:t>
      </w:r>
      <w:r w:rsidR="08B243B3" w:rsidRPr="00273106">
        <w:rPr>
          <w:rStyle w:val="addmd"/>
        </w:rPr>
        <w:t xml:space="preserve">, ale </w:t>
      </w:r>
      <w:r w:rsidR="08B243B3" w:rsidRPr="006716DE">
        <w:rPr>
          <w:rStyle w:val="addmd"/>
          <w:i/>
        </w:rPr>
        <w:t>Metafyzika</w:t>
      </w:r>
      <w:r w:rsidR="08B243B3">
        <w:rPr>
          <w:rStyle w:val="addmd"/>
        </w:rPr>
        <w:t xml:space="preserve">, kterou tito moderní logikové vykládají skrze neoplatonský primát matematické analogie. Tento bod ukazuje na další rozpor mezi Toledskou školou a klasickými aristoteliky kolem Blunda a Alverna před příchodem Scota do Paříže roku 1230. </w:t>
      </w:r>
      <w:r w:rsidR="08B243B3" w:rsidRPr="00273106">
        <w:t xml:space="preserve">První averroismus bere výklad analogie podle </w:t>
      </w:r>
      <w:r w:rsidR="08B243B3">
        <w:t>Averroes</w:t>
      </w:r>
      <w:r w:rsidR="08B243B3" w:rsidRPr="00273106">
        <w:t xml:space="preserve">ova komentáře </w:t>
      </w:r>
      <w:r w:rsidR="08B243B3" w:rsidRPr="006716DE">
        <w:rPr>
          <w:i/>
        </w:rPr>
        <w:t>Metafyziky</w:t>
      </w:r>
      <w:r w:rsidR="08B243B3">
        <w:t xml:space="preserve">, kde existuje důležitá pasáž </w:t>
      </w:r>
      <w:r w:rsidR="08B243B3" w:rsidRPr="00273106">
        <w:t>komentující analogickou predikaci (</w:t>
      </w:r>
      <w:r w:rsidR="08B243B3" w:rsidRPr="00273106">
        <w:rPr>
          <w:rStyle w:val="addmd"/>
          <w:i/>
        </w:rPr>
        <w:t>Met</w:t>
      </w:r>
      <w:r w:rsidR="08B243B3" w:rsidRPr="00273106">
        <w:rPr>
          <w:rStyle w:val="addmd"/>
        </w:rPr>
        <w:t xml:space="preserve">. </w:t>
      </w:r>
      <w:r w:rsidR="08B243B3" w:rsidRPr="087436E6">
        <w:t>1003b5‒</w:t>
      </w:r>
      <w:r w:rsidR="087436E6" w:rsidRPr="087436E6">
        <w:t>1</w:t>
      </w:r>
      <w:r w:rsidR="08B243B3" w:rsidRPr="087436E6">
        <w:t>6</w:t>
      </w:r>
      <w:r w:rsidR="08B243B3">
        <w:fldChar w:fldCharType="begin"/>
      </w:r>
      <w:r w:rsidR="08B243B3">
        <w:instrText xml:space="preserve"> XE "Aristoteles:</w:instrText>
      </w:r>
      <w:r w:rsidR="08B243B3" w:rsidRPr="00273106">
        <w:rPr>
          <w:rStyle w:val="addmd"/>
          <w:i/>
        </w:rPr>
        <w:instrText>Met</w:instrText>
      </w:r>
      <w:r w:rsidR="08B243B3">
        <w:rPr>
          <w:rStyle w:val="addmd"/>
        </w:rPr>
        <w:instrText xml:space="preserve">. </w:instrText>
      </w:r>
      <w:r w:rsidR="08B243B3" w:rsidRPr="087436E6">
        <w:instrText>1003b5‒</w:instrText>
      </w:r>
      <w:r w:rsidR="087436E6" w:rsidRPr="087436E6">
        <w:instrText>1</w:instrText>
      </w:r>
      <w:r w:rsidR="08B243B3" w:rsidRPr="087436E6">
        <w:instrText>6</w:instrText>
      </w:r>
      <w:r w:rsidR="08B243B3">
        <w:instrText xml:space="preserve">" </w:instrText>
      </w:r>
      <w:r w:rsidR="08B243B3">
        <w:fldChar w:fldCharType="end"/>
      </w:r>
      <w:r w:rsidR="08B243B3" w:rsidRPr="00273106">
        <w:t>)</w:t>
      </w:r>
      <w:r w:rsidR="08B243B3" w:rsidRPr="00273106">
        <w:rPr>
          <w:rFonts w:cs="Calibri"/>
        </w:rPr>
        <w:t xml:space="preserve">. </w:t>
      </w:r>
      <w:r w:rsidR="08B243B3">
        <w:rPr>
          <w:rStyle w:val="addmd"/>
        </w:rPr>
        <w:t>Aristoteles</w:t>
      </w:r>
      <w:r w:rsidR="08B243B3" w:rsidRPr="00273106">
        <w:rPr>
          <w:rStyle w:val="addmd"/>
        </w:rPr>
        <w:t xml:space="preserve"> podává příklad </w:t>
      </w:r>
      <w:r w:rsidR="08B243B3" w:rsidRPr="00273106">
        <w:rPr>
          <w:rStyle w:val="addmd"/>
        </w:rPr>
        <w:lastRenderedPageBreak/>
        <w:t xml:space="preserve">analogické predikace vzhledem termínu „zdraví“ a „léčba“ v modu </w:t>
      </w:r>
      <w:r w:rsidR="08B243B3" w:rsidRPr="00273106">
        <w:rPr>
          <w:rStyle w:val="addmd"/>
          <w:i/>
        </w:rPr>
        <w:t>per prius</w:t>
      </w:r>
      <w:r w:rsidR="08B243B3" w:rsidRPr="00273106">
        <w:rPr>
          <w:rStyle w:val="addmd"/>
        </w:rPr>
        <w:t xml:space="preserve"> a </w:t>
      </w:r>
      <w:r w:rsidR="08B243B3" w:rsidRPr="00273106">
        <w:rPr>
          <w:rStyle w:val="addmd"/>
          <w:i/>
        </w:rPr>
        <w:t>per posterius</w:t>
      </w:r>
      <w:r w:rsidR="08B243B3" w:rsidRPr="00273106">
        <w:rPr>
          <w:rStyle w:val="addmd"/>
        </w:rPr>
        <w:t>, který je vztažen k substanci a k akcidentům</w:t>
      </w:r>
      <w:r w:rsidR="08B243B3" w:rsidRPr="00273106">
        <w:t xml:space="preserve">. </w:t>
      </w:r>
      <w:r w:rsidR="08B243B3" w:rsidRPr="00273106">
        <w:rPr>
          <w:rFonts w:cs="Calibri"/>
        </w:rPr>
        <w:t xml:space="preserve">Existující věc determinuje podle </w:t>
      </w:r>
      <w:r w:rsidR="08B243B3">
        <w:rPr>
          <w:rFonts w:cs="Calibri"/>
        </w:rPr>
        <w:t>Averroes</w:t>
      </w:r>
      <w:r w:rsidR="08B243B3" w:rsidRPr="00273106">
        <w:rPr>
          <w:rFonts w:cs="Calibri"/>
        </w:rPr>
        <w:t>e kategoriální univoční význam (</w:t>
      </w:r>
      <w:r w:rsidR="08B243B3" w:rsidRPr="00273106">
        <w:rPr>
          <w:i/>
        </w:rPr>
        <w:t>quia constituunt per illam</w:t>
      </w:r>
      <w:r w:rsidR="08B243B3" w:rsidRPr="00273106">
        <w:rPr>
          <w:rFonts w:cs="Calibri"/>
        </w:rPr>
        <w:t xml:space="preserve">) </w:t>
      </w:r>
      <w:r w:rsidR="08B243B3">
        <w:rPr>
          <w:rFonts w:cs="Calibri"/>
        </w:rPr>
        <w:t xml:space="preserve">skrze kauzalitu, protože </w:t>
      </w:r>
      <w:r w:rsidR="08B243B3" w:rsidRPr="00273106">
        <w:rPr>
          <w:rFonts w:cs="Calibri"/>
        </w:rPr>
        <w:t>predikamenty se reálně nacházejí na aktuálním substrátu</w:t>
      </w:r>
      <w:r w:rsidR="08B243B3">
        <w:rPr>
          <w:i/>
        </w:rPr>
        <w:fldChar w:fldCharType="begin"/>
      </w:r>
      <w:r w:rsidR="08B243B3">
        <w:instrText xml:space="preserve"> XE "</w:instrText>
      </w:r>
      <w:r w:rsidR="08B243B3" w:rsidRPr="00360013">
        <w:rPr>
          <w:i/>
        </w:rPr>
        <w:instrText>subiectum</w:instrText>
      </w:r>
      <w:r w:rsidR="08B243B3" w:rsidRPr="009A3E18">
        <w:instrText>:</w:instrText>
      </w:r>
      <w:r w:rsidR="08B243B3">
        <w:instrText xml:space="preserve">Aristoteles" </w:instrText>
      </w:r>
      <w:r w:rsidR="08B243B3">
        <w:rPr>
          <w:i/>
        </w:rPr>
        <w:fldChar w:fldCharType="end"/>
      </w:r>
      <w:r w:rsidR="08B243B3" w:rsidRPr="00273106">
        <w:rPr>
          <w:rFonts w:cs="Calibri"/>
        </w:rPr>
        <w:t xml:space="preserve"> (</w:t>
      </w:r>
      <w:r w:rsidR="08B243B3" w:rsidRPr="00273106">
        <w:rPr>
          <w:i/>
        </w:rPr>
        <w:t>subiectum est eorum</w:t>
      </w:r>
      <w:r w:rsidR="08B243B3" w:rsidRPr="00273106">
        <w:rPr>
          <w:rFonts w:cs="Calibri"/>
        </w:rPr>
        <w:t>).</w:t>
      </w:r>
      <w:r w:rsidR="08B243B3" w:rsidRPr="00273106">
        <w:rPr>
          <w:rStyle w:val="Znakapoznpodarou"/>
          <w:rFonts w:cs="Calibri"/>
        </w:rPr>
        <w:footnoteReference w:id="312"/>
      </w:r>
      <w:r w:rsidR="08B243B3">
        <w:rPr>
          <w:rFonts w:cs="Calibri"/>
        </w:rPr>
        <w:t xml:space="preserve"> </w:t>
      </w:r>
      <w:r w:rsidR="08B243B3" w:rsidRPr="00273106">
        <w:rPr>
          <w:rFonts w:cs="Calibri"/>
        </w:rPr>
        <w:t xml:space="preserve">Analogická forma </w:t>
      </w:r>
      <w:r w:rsidR="08B243B3">
        <w:rPr>
          <w:rFonts w:cs="Calibri"/>
        </w:rPr>
        <w:t xml:space="preserve">jednoty </w:t>
      </w:r>
      <w:r w:rsidR="08B243B3" w:rsidRPr="00273106">
        <w:rPr>
          <w:rFonts w:cs="Calibri"/>
        </w:rPr>
        <w:t xml:space="preserve">je dána </w:t>
      </w:r>
      <w:r w:rsidR="08B243B3">
        <w:rPr>
          <w:rFonts w:cs="Calibri"/>
        </w:rPr>
        <w:t xml:space="preserve">pouze v mysli poznávajícího, protože společná signifikace je ustavena </w:t>
      </w:r>
      <w:r w:rsidR="08B243B3" w:rsidRPr="00273106">
        <w:rPr>
          <w:rFonts w:cs="Calibri"/>
        </w:rPr>
        <w:t xml:space="preserve">vzhledem k </w:t>
      </w:r>
      <w:r w:rsidR="08B243B3">
        <w:rPr>
          <w:rFonts w:cs="Calibri"/>
        </w:rPr>
        <w:t xml:space="preserve">vnějšímu </w:t>
      </w:r>
      <w:r w:rsidR="08B243B3" w:rsidRPr="00273106">
        <w:rPr>
          <w:rFonts w:cs="Calibri"/>
        </w:rPr>
        <w:t>působícímu činiteli (lékař)</w:t>
      </w:r>
      <w:r w:rsidR="08B243B3">
        <w:rPr>
          <w:rFonts w:cs="Calibri"/>
        </w:rPr>
        <w:t>,</w:t>
      </w:r>
      <w:r w:rsidR="08B243B3" w:rsidRPr="00273106">
        <w:rPr>
          <w:rFonts w:cs="Calibri"/>
        </w:rPr>
        <w:t xml:space="preserve"> nebo k </w:t>
      </w:r>
      <w:r w:rsidR="08B243B3">
        <w:rPr>
          <w:rFonts w:cs="Calibri"/>
        </w:rPr>
        <w:t xml:space="preserve">zamýšlenému </w:t>
      </w:r>
      <w:r w:rsidR="08B243B3" w:rsidRPr="00273106">
        <w:rPr>
          <w:rFonts w:cs="Calibri"/>
        </w:rPr>
        <w:t xml:space="preserve">cíli dané činnosti (zdraví). </w:t>
      </w:r>
      <w:r w:rsidR="08B243B3">
        <w:rPr>
          <w:rFonts w:cs="Calibri"/>
        </w:rPr>
        <w:t>Impozice významu v případě analogické podobnosti jde již z reality, protože léčení je forma reálného kauzálního působení</w:t>
      </w:r>
      <w:r w:rsidR="08A56F01">
        <w:rPr>
          <w:rFonts w:cs="Calibri"/>
        </w:rPr>
        <w:t xml:space="preserve"> daného v predikaci </w:t>
      </w:r>
      <w:r w:rsidR="08A56F01" w:rsidRPr="08A56F01">
        <w:rPr>
          <w:rFonts w:cs="Calibri"/>
          <w:i/>
        </w:rPr>
        <w:t>in artificialibus</w:t>
      </w:r>
      <w:r w:rsidR="08A56F01">
        <w:rPr>
          <w:rFonts w:cs="Calibri"/>
          <w:i/>
        </w:rPr>
        <w:fldChar w:fldCharType="begin"/>
      </w:r>
      <w:r w:rsidR="08A56F01">
        <w:instrText xml:space="preserve"> XE "</w:instrText>
      </w:r>
      <w:r w:rsidR="08A56F01" w:rsidRPr="088659AB">
        <w:rPr>
          <w:rFonts w:cs="Calibri"/>
        </w:rPr>
        <w:instrText>predikace:</w:instrText>
      </w:r>
      <w:r w:rsidR="08A56F01" w:rsidRPr="088659AB">
        <w:rPr>
          <w:rFonts w:cs="Calibri"/>
          <w:i/>
        </w:rPr>
        <w:instrText>in artificialibus</w:instrText>
      </w:r>
      <w:r w:rsidR="08A56F01">
        <w:instrText xml:space="preserve">" </w:instrText>
      </w:r>
      <w:r w:rsidR="08A56F01">
        <w:rPr>
          <w:rFonts w:cs="Calibri"/>
          <w:i/>
        </w:rPr>
        <w:fldChar w:fldCharType="end"/>
      </w:r>
      <w:r w:rsidR="08B243B3">
        <w:rPr>
          <w:rFonts w:cs="Calibri"/>
        </w:rPr>
        <w:t xml:space="preserve">. Proto je možné predikovat analogické vztahy v modu </w:t>
      </w:r>
      <w:r w:rsidR="08B243B3" w:rsidRPr="00D81759">
        <w:rPr>
          <w:rFonts w:cs="Calibri"/>
          <w:i/>
        </w:rPr>
        <w:t>per prius</w:t>
      </w:r>
      <w:r w:rsidR="08B243B3">
        <w:rPr>
          <w:rFonts w:cs="Calibri"/>
        </w:rPr>
        <w:t xml:space="preserve"> a </w:t>
      </w:r>
      <w:r w:rsidR="08B243B3" w:rsidRPr="00D81759">
        <w:rPr>
          <w:rFonts w:cs="Calibri"/>
          <w:i/>
        </w:rPr>
        <w:t>per posterius</w:t>
      </w:r>
      <w:r w:rsidR="08B243B3">
        <w:rPr>
          <w:rFonts w:cs="Calibri"/>
          <w:i/>
        </w:rPr>
        <w:fldChar w:fldCharType="begin"/>
      </w:r>
      <w:r w:rsidR="08B243B3">
        <w:instrText xml:space="preserve"> XE "predikace:</w:instrText>
      </w:r>
      <w:r w:rsidR="08B243B3" w:rsidRPr="00A476ED">
        <w:rPr>
          <w:rFonts w:cs="Calibri"/>
          <w:i/>
        </w:rPr>
        <w:instrText>per posterius</w:instrText>
      </w:r>
      <w:r w:rsidR="08B243B3">
        <w:instrText xml:space="preserve">" </w:instrText>
      </w:r>
      <w:r w:rsidR="08B243B3">
        <w:rPr>
          <w:rFonts w:cs="Calibri"/>
          <w:i/>
        </w:rPr>
        <w:fldChar w:fldCharType="end"/>
      </w:r>
      <w:r w:rsidR="08B243B3">
        <w:rPr>
          <w:rFonts w:cs="Calibri"/>
        </w:rPr>
        <w:t xml:space="preserve"> vzhledem k první substanci</w:t>
      </w:r>
      <w:r w:rsidR="087436E6">
        <w:rPr>
          <w:rFonts w:cs="Calibri"/>
        </w:rPr>
        <w:t xml:space="preserve"> </w:t>
      </w:r>
      <w:r w:rsidR="08293B30">
        <w:rPr>
          <w:rFonts w:cs="Calibri"/>
        </w:rPr>
        <w:t xml:space="preserve">lékaře </w:t>
      </w:r>
      <w:r w:rsidR="08E40471">
        <w:rPr>
          <w:rFonts w:cs="Calibri"/>
        </w:rPr>
        <w:t xml:space="preserve">jako účinné kauzy </w:t>
      </w:r>
      <w:r w:rsidR="087436E6">
        <w:rPr>
          <w:rFonts w:cs="Calibri"/>
        </w:rPr>
        <w:t>(</w:t>
      </w:r>
      <w:r w:rsidR="087436E6">
        <w:t xml:space="preserve">πρὸς τὴν οὐσίαν λεγομένων, </w:t>
      </w:r>
      <w:r w:rsidR="087436E6" w:rsidRPr="08F53782">
        <w:rPr>
          <w:i/>
        </w:rPr>
        <w:t>Met</w:t>
      </w:r>
      <w:r w:rsidR="087436E6">
        <w:t>. 1003b9</w:t>
      </w:r>
      <w:r w:rsidR="08F53782">
        <w:fldChar w:fldCharType="begin"/>
      </w:r>
      <w:r w:rsidR="08F53782">
        <w:instrText xml:space="preserve"> XE "Aristoteles:</w:instrText>
      </w:r>
      <w:r w:rsidR="08F53782" w:rsidRPr="00273106">
        <w:rPr>
          <w:rStyle w:val="addmd"/>
          <w:i/>
        </w:rPr>
        <w:instrText>Met</w:instrText>
      </w:r>
      <w:r w:rsidR="08F53782">
        <w:rPr>
          <w:rStyle w:val="addmd"/>
        </w:rPr>
        <w:instrText xml:space="preserve">. </w:instrText>
      </w:r>
      <w:r w:rsidR="08F53782" w:rsidRPr="087436E6">
        <w:instrText>1</w:instrText>
      </w:r>
      <w:r w:rsidR="08F53782">
        <w:instrText xml:space="preserve">003b9" </w:instrText>
      </w:r>
      <w:r w:rsidR="08F53782">
        <w:fldChar w:fldCharType="end"/>
      </w:r>
      <w:r w:rsidR="087436E6">
        <w:rPr>
          <w:rFonts w:cs="Calibri"/>
        </w:rPr>
        <w:t>)</w:t>
      </w:r>
      <w:r w:rsidR="08B243B3">
        <w:rPr>
          <w:rFonts w:cs="Calibri"/>
        </w:rPr>
        <w:t>. Averroes</w:t>
      </w:r>
      <w:r w:rsidR="08B243B3" w:rsidRPr="00273106">
        <w:rPr>
          <w:rFonts w:cs="Calibri"/>
        </w:rPr>
        <w:t xml:space="preserve"> bere příklad zdraví a medicíny v modu analogické atribuce dané vzhledem k externě danému cíli nebo činiteli (</w:t>
      </w:r>
      <w:r w:rsidR="08B243B3" w:rsidRPr="00273106">
        <w:rPr>
          <w:i/>
        </w:rPr>
        <w:t>quia est agens aut finis eorum</w:t>
      </w:r>
      <w:r w:rsidR="08B243B3" w:rsidRPr="00273106">
        <w:rPr>
          <w:rFonts w:cs="Calibri"/>
        </w:rPr>
        <w:t xml:space="preserve">). </w:t>
      </w:r>
      <w:r w:rsidR="08B243B3">
        <w:rPr>
          <w:rFonts w:cs="Calibri"/>
        </w:rPr>
        <w:t xml:space="preserve">Činitel a cíl činnosti ale nemají vzhledem k zakládání významu stejný status jako predikace na úrovni vztahu „substance‒akcident“. </w:t>
      </w:r>
      <w:r w:rsidR="080B4F80">
        <w:rPr>
          <w:rFonts w:cs="Calibri"/>
        </w:rPr>
        <w:t xml:space="preserve">Kauzální aktivita léčení nepatří k osobě lékaře hyparchicky, ale pouze jako jeho nahodilá schopnost. </w:t>
      </w:r>
      <w:r w:rsidR="08B243B3">
        <w:t xml:space="preserve">Podle Aristotela i Averroese nemůže analogie </w:t>
      </w:r>
      <w:r w:rsidR="08B243B3">
        <w:fldChar w:fldCharType="begin"/>
      </w:r>
      <w:r w:rsidR="08B243B3">
        <w:instrText xml:space="preserve"> XE "</w:instrText>
      </w:r>
      <w:r w:rsidR="08B243B3" w:rsidRPr="009C6E79">
        <w:instrText>predikace:analogická</w:instrText>
      </w:r>
      <w:r w:rsidR="08B243B3">
        <w:instrText xml:space="preserve">" </w:instrText>
      </w:r>
      <w:r w:rsidR="08B243B3">
        <w:fldChar w:fldCharType="end"/>
      </w:r>
      <w:r w:rsidR="08B243B3">
        <w:t xml:space="preserve">založit kategoriální univoční predikaci, protože nemá hyparchický význam, i když má impozici z reality. </w:t>
      </w:r>
      <w:r w:rsidR="08B243B3">
        <w:rPr>
          <w:rFonts w:cs="Calibri"/>
        </w:rPr>
        <w:t xml:space="preserve">Jednota daná analogií </w:t>
      </w:r>
      <w:r w:rsidR="08B243B3" w:rsidRPr="00273106">
        <w:rPr>
          <w:rFonts w:cs="Calibri"/>
        </w:rPr>
        <w:t xml:space="preserve">stojí v externí pozici k daným věcem a jednotu do nich pouze </w:t>
      </w:r>
      <w:r w:rsidR="08B243B3">
        <w:rPr>
          <w:rFonts w:cs="Calibri"/>
        </w:rPr>
        <w:t xml:space="preserve">promítá díky podobnosti vztahů </w:t>
      </w:r>
      <w:r w:rsidR="084C09A3">
        <w:rPr>
          <w:rFonts w:cs="Calibri"/>
        </w:rPr>
        <w:t xml:space="preserve">daných v rámci </w:t>
      </w:r>
      <w:r w:rsidR="08293B30">
        <w:rPr>
          <w:rFonts w:cs="Calibri"/>
        </w:rPr>
        <w:t>společné přirozenosti (</w:t>
      </w:r>
      <w:r w:rsidR="08293B30">
        <w:t xml:space="preserve">πρὸς μίαν λεγομένων φύσιν, </w:t>
      </w:r>
      <w:r w:rsidR="08293B30" w:rsidRPr="08F53782">
        <w:rPr>
          <w:i/>
        </w:rPr>
        <w:t>Met</w:t>
      </w:r>
      <w:r w:rsidR="08293B30">
        <w:t>. 1003b14</w:t>
      </w:r>
      <w:r w:rsidR="08293B30">
        <w:fldChar w:fldCharType="begin"/>
      </w:r>
      <w:r w:rsidR="08293B30">
        <w:instrText xml:space="preserve"> XE "Aristoteles:</w:instrText>
      </w:r>
      <w:r w:rsidR="08293B30" w:rsidRPr="00273106">
        <w:rPr>
          <w:rStyle w:val="addmd"/>
          <w:i/>
        </w:rPr>
        <w:instrText>Met</w:instrText>
      </w:r>
      <w:r w:rsidR="08293B30">
        <w:rPr>
          <w:rStyle w:val="addmd"/>
        </w:rPr>
        <w:instrText xml:space="preserve">. </w:instrText>
      </w:r>
      <w:r w:rsidR="08293B30" w:rsidRPr="087436E6">
        <w:instrText>1</w:instrText>
      </w:r>
      <w:r w:rsidR="08293B30">
        <w:instrText xml:space="preserve">003b14" </w:instrText>
      </w:r>
      <w:r w:rsidR="08293B30">
        <w:fldChar w:fldCharType="end"/>
      </w:r>
      <w:r w:rsidR="08293B30">
        <w:rPr>
          <w:rFonts w:cs="Calibri"/>
        </w:rPr>
        <w:t>)</w:t>
      </w:r>
      <w:r w:rsidR="08B243B3" w:rsidRPr="00273106">
        <w:rPr>
          <w:rFonts w:cs="Calibri"/>
        </w:rPr>
        <w:t>.</w:t>
      </w:r>
      <w:r w:rsidR="08B243B3">
        <w:rPr>
          <w:rFonts w:cs="Calibri"/>
        </w:rPr>
        <w:t xml:space="preserve"> </w:t>
      </w:r>
      <w:r w:rsidR="087176C1">
        <w:rPr>
          <w:rFonts w:cs="Calibri"/>
        </w:rPr>
        <w:t>H</w:t>
      </w:r>
      <w:r w:rsidR="08B243B3" w:rsidRPr="00273106">
        <w:rPr>
          <w:rFonts w:cs="Calibri"/>
        </w:rPr>
        <w:t>yparchické postavení první substance odděluje kategoriální konstituci jednoty od nižší, pouze analogické formy jednoty</w:t>
      </w:r>
      <w:r w:rsidR="087176C1">
        <w:rPr>
          <w:rFonts w:cs="Calibri"/>
        </w:rPr>
        <w:t xml:space="preserve"> založené v mysli poznávajícího činitele</w:t>
      </w:r>
      <w:r w:rsidR="08B243B3" w:rsidRPr="00273106">
        <w:rPr>
          <w:rFonts w:cs="Calibri"/>
        </w:rPr>
        <w:t xml:space="preserve">. </w:t>
      </w:r>
      <w:r w:rsidR="00E04DEE">
        <w:rPr>
          <w:rFonts w:cs="Calibri"/>
        </w:rPr>
        <w:t xml:space="preserve">Moderna zaměnila kauzální predikaci danou analogickými vztahy v mysli za kategoriální predikaci danou skrze reálné vztahy prvních substancí. </w:t>
      </w:r>
      <w:r w:rsidR="08B243B3">
        <w:rPr>
          <w:rFonts w:cs="Calibri"/>
        </w:rPr>
        <w:t xml:space="preserve">Proto klasičtí aristotelikové jako Bacon a Albert odmítli převést kategoriální predikaci danou skrze </w:t>
      </w:r>
      <w:r w:rsidR="08B243B3" w:rsidRPr="007418B2">
        <w:rPr>
          <w:rFonts w:cs="Calibri"/>
          <w:i/>
        </w:rPr>
        <w:t>demonstratio</w:t>
      </w:r>
      <w:r w:rsidR="08B243B3">
        <w:rPr>
          <w:rFonts w:cs="Calibri"/>
        </w:rPr>
        <w:t xml:space="preserve"> podle </w:t>
      </w:r>
      <w:r w:rsidR="08B243B3" w:rsidRPr="005477F1">
        <w:rPr>
          <w:rFonts w:cs="Calibri"/>
          <w:i/>
        </w:rPr>
        <w:t>Druhých analytik</w:t>
      </w:r>
      <w:r w:rsidR="08B243B3">
        <w:rPr>
          <w:rFonts w:cs="Calibri"/>
        </w:rPr>
        <w:t xml:space="preserve"> na </w:t>
      </w:r>
      <w:r w:rsidR="086E0A81">
        <w:rPr>
          <w:rFonts w:cs="Calibri"/>
        </w:rPr>
        <w:t>„</w:t>
      </w:r>
      <w:r w:rsidR="08B243B3">
        <w:rPr>
          <w:rFonts w:cs="Calibri"/>
        </w:rPr>
        <w:t>radostnou vědu</w:t>
      </w:r>
      <w:r w:rsidR="086E0A81">
        <w:rPr>
          <w:rFonts w:cs="Calibri"/>
        </w:rPr>
        <w:t>“</w:t>
      </w:r>
      <w:r w:rsidR="089A2AFB">
        <w:rPr>
          <w:rFonts w:cs="Calibri"/>
        </w:rPr>
        <w:t xml:space="preserve"> (Niet</w:t>
      </w:r>
      <w:r w:rsidR="086E0A81">
        <w:rPr>
          <w:rFonts w:cs="Calibri"/>
        </w:rPr>
        <w:t>z</w:t>
      </w:r>
      <w:r w:rsidR="089A2AFB">
        <w:rPr>
          <w:rFonts w:cs="Calibri"/>
        </w:rPr>
        <w:t>s</w:t>
      </w:r>
      <w:r w:rsidR="086E0A81">
        <w:rPr>
          <w:rFonts w:cs="Calibri"/>
        </w:rPr>
        <w:t>che)</w:t>
      </w:r>
      <w:r w:rsidR="08B243B3">
        <w:rPr>
          <w:rFonts w:cs="Calibri"/>
        </w:rPr>
        <w:t xml:space="preserve"> moderních iluminátů danou predikací </w:t>
      </w:r>
      <w:r w:rsidR="08B243B3" w:rsidRPr="007418B2">
        <w:rPr>
          <w:rFonts w:cs="Calibri"/>
          <w:i/>
        </w:rPr>
        <w:t>in artificialibus</w:t>
      </w:r>
      <w:r w:rsidR="08B243B3">
        <w:rPr>
          <w:rFonts w:cs="Calibri"/>
          <w:i/>
        </w:rPr>
        <w:fldChar w:fldCharType="begin"/>
      </w:r>
      <w:r w:rsidR="08B243B3">
        <w:instrText xml:space="preserve"> XE "</w:instrText>
      </w:r>
      <w:r w:rsidR="08B243B3" w:rsidRPr="00B74A5D">
        <w:rPr>
          <w:rFonts w:cs="Calibri"/>
        </w:rPr>
        <w:instrText>predikace:</w:instrText>
      </w:r>
      <w:r w:rsidR="08B243B3" w:rsidRPr="00B74A5D">
        <w:rPr>
          <w:rFonts w:cs="Calibri"/>
          <w:i/>
        </w:rPr>
        <w:instrText>in artificialibus</w:instrText>
      </w:r>
      <w:r w:rsidR="08B243B3">
        <w:instrText xml:space="preserve">" </w:instrText>
      </w:r>
      <w:r w:rsidR="08B243B3">
        <w:rPr>
          <w:rFonts w:cs="Calibri"/>
          <w:i/>
        </w:rPr>
        <w:fldChar w:fldCharType="end"/>
      </w:r>
      <w:r w:rsidR="08B243B3">
        <w:rPr>
          <w:rFonts w:cs="Calibri"/>
        </w:rPr>
        <w:t xml:space="preserve">. </w:t>
      </w:r>
      <w:r w:rsidR="00770785">
        <w:rPr>
          <w:szCs w:val="24"/>
        </w:rPr>
        <w:t xml:space="preserve">Moderní věda vznikla </w:t>
      </w:r>
      <w:r w:rsidR="00C21395">
        <w:rPr>
          <w:szCs w:val="24"/>
        </w:rPr>
        <w:t>velmi specifickou „</w:t>
      </w:r>
      <w:r w:rsidR="00770785">
        <w:rPr>
          <w:szCs w:val="24"/>
        </w:rPr>
        <w:t>lstí rozumu</w:t>
      </w:r>
      <w:r w:rsidR="00C21395">
        <w:rPr>
          <w:szCs w:val="24"/>
        </w:rPr>
        <w:t>“</w:t>
      </w:r>
      <w:r w:rsidR="00770785">
        <w:rPr>
          <w:szCs w:val="24"/>
        </w:rPr>
        <w:t>, kterou provedli Alvernem kritizovaní „</w:t>
      </w:r>
      <w:r w:rsidR="00770785" w:rsidRPr="00DC6664">
        <w:rPr>
          <w:i/>
          <w:szCs w:val="24"/>
        </w:rPr>
        <w:t>imbecilles quidam</w:t>
      </w:r>
      <w:r w:rsidR="00770785">
        <w:rPr>
          <w:szCs w:val="24"/>
        </w:rPr>
        <w:t xml:space="preserve">“. </w:t>
      </w:r>
      <w:r w:rsidR="001F2102">
        <w:rPr>
          <w:szCs w:val="24"/>
        </w:rPr>
        <w:t>Étos moderny dělají podle Nietzcheho</w:t>
      </w:r>
      <w:r w:rsidR="000D4DC1">
        <w:rPr>
          <w:szCs w:val="24"/>
        </w:rPr>
        <w:fldChar w:fldCharType="begin"/>
      </w:r>
      <w:r w:rsidR="000D4DC1">
        <w:instrText xml:space="preserve"> XE "</w:instrText>
      </w:r>
      <w:r w:rsidR="000D4DC1" w:rsidRPr="00095977">
        <w:rPr>
          <w:szCs w:val="24"/>
        </w:rPr>
        <w:instrText>Nietzsche, F.</w:instrText>
      </w:r>
      <w:r w:rsidR="000D4DC1">
        <w:instrText xml:space="preserve">" </w:instrText>
      </w:r>
      <w:r w:rsidR="000D4DC1">
        <w:rPr>
          <w:szCs w:val="24"/>
        </w:rPr>
        <w:fldChar w:fldCharType="end"/>
      </w:r>
      <w:r w:rsidR="001F2102">
        <w:rPr>
          <w:szCs w:val="24"/>
        </w:rPr>
        <w:t xml:space="preserve"> </w:t>
      </w:r>
      <w:r w:rsidR="001F2102" w:rsidRPr="001F2102">
        <w:rPr>
          <w:i/>
          <w:szCs w:val="24"/>
        </w:rPr>
        <w:t>Genealogie morálky</w:t>
      </w:r>
      <w:r w:rsidR="001F2102">
        <w:rPr>
          <w:szCs w:val="24"/>
        </w:rPr>
        <w:t xml:space="preserve"> </w:t>
      </w:r>
      <w:r w:rsidR="00A71AEC">
        <w:rPr>
          <w:szCs w:val="24"/>
        </w:rPr>
        <w:t xml:space="preserve">metafyzicky </w:t>
      </w:r>
      <w:r w:rsidR="001F2102">
        <w:rPr>
          <w:szCs w:val="24"/>
        </w:rPr>
        <w:t xml:space="preserve">slabí, ale </w:t>
      </w:r>
      <w:r w:rsidR="00A71AEC">
        <w:rPr>
          <w:szCs w:val="24"/>
        </w:rPr>
        <w:t xml:space="preserve">duchem </w:t>
      </w:r>
      <w:r w:rsidR="000A6C3C">
        <w:rPr>
          <w:szCs w:val="24"/>
        </w:rPr>
        <w:t xml:space="preserve">velmi </w:t>
      </w:r>
      <w:r w:rsidR="001F2102">
        <w:rPr>
          <w:szCs w:val="24"/>
        </w:rPr>
        <w:t xml:space="preserve">mazaní </w:t>
      </w:r>
      <w:r w:rsidR="000A6C3C">
        <w:rPr>
          <w:szCs w:val="24"/>
        </w:rPr>
        <w:t>ilumináti</w:t>
      </w:r>
      <w:r w:rsidR="001F2102">
        <w:rPr>
          <w:szCs w:val="24"/>
        </w:rPr>
        <w:t xml:space="preserve">. </w:t>
      </w:r>
    </w:p>
    <w:p w14:paraId="590DDB13" w14:textId="729C3B5F" w:rsidR="009323D2" w:rsidRPr="00273106" w:rsidRDefault="08D63434" w:rsidP="00017CE2">
      <w:pPr>
        <w:ind w:firstLine="397"/>
      </w:pPr>
      <w:r w:rsidRPr="00273106">
        <w:lastRenderedPageBreak/>
        <w:t>William Ockham</w:t>
      </w:r>
      <w:r>
        <w:fldChar w:fldCharType="begin"/>
      </w:r>
      <w:r>
        <w:instrText xml:space="preserve"> XE "</w:instrText>
      </w:r>
      <w:r w:rsidRPr="00FF77FD">
        <w:instrText xml:space="preserve">Ockham, W.:viz </w:instrText>
      </w:r>
      <w:r w:rsidRPr="005A2EF2">
        <w:rPr>
          <w:i/>
        </w:rPr>
        <w:instrText>Index locorum</w:instrText>
      </w:r>
      <w:r>
        <w:instrText xml:space="preserve">" </w:instrText>
      </w:r>
      <w:r>
        <w:fldChar w:fldCharType="end"/>
      </w:r>
      <w:r w:rsidRPr="00273106">
        <w:t xml:space="preserve"> </w:t>
      </w:r>
      <w:r>
        <w:rPr>
          <w:rStyle w:val="st"/>
        </w:rPr>
        <w:t>c</w:t>
      </w:r>
      <w:r w:rsidR="08DA75DC">
        <w:rPr>
          <w:rStyle w:val="st"/>
        </w:rPr>
        <w:t>itovaný</w:t>
      </w:r>
      <w:r>
        <w:rPr>
          <w:rStyle w:val="st"/>
        </w:rPr>
        <w:t xml:space="preserve"> v předešlé kapitole </w:t>
      </w:r>
      <w:r w:rsidR="00467F2F">
        <w:t xml:space="preserve">ukazuje, že do roku </w:t>
      </w:r>
      <w:r w:rsidR="009323D2" w:rsidRPr="00273106">
        <w:t xml:space="preserve">1300 </w:t>
      </w:r>
      <w:r w:rsidR="00D36A54" w:rsidRPr="00273106">
        <w:t xml:space="preserve">existovala </w:t>
      </w:r>
      <w:r w:rsidR="009323D2" w:rsidRPr="00273106">
        <w:t xml:space="preserve">na Oxfordu dvojí tradice výkladu </w:t>
      </w:r>
      <w:r w:rsidR="009323D2" w:rsidRPr="0009082C">
        <w:rPr>
          <w:i/>
        </w:rPr>
        <w:t>Druhých analyti</w:t>
      </w:r>
      <w:r w:rsidR="002B1B4A" w:rsidRPr="0009082C">
        <w:rPr>
          <w:i/>
        </w:rPr>
        <w:t>k</w:t>
      </w:r>
      <w:r w:rsidR="000273AA">
        <w:t xml:space="preserve"> navázaných na Grossetesteho.</w:t>
      </w:r>
      <w:r w:rsidR="00017CE2">
        <w:t xml:space="preserve"> </w:t>
      </w:r>
      <w:r w:rsidR="00D52F24" w:rsidRPr="00612D4A">
        <w:rPr>
          <w:szCs w:val="24"/>
        </w:rPr>
        <w:t>Ockham</w:t>
      </w:r>
      <w:r w:rsidR="00D52F24">
        <w:rPr>
          <w:szCs w:val="24"/>
        </w:rPr>
        <w:t xml:space="preserve"> </w:t>
      </w:r>
      <w:r w:rsidR="009323D2" w:rsidRPr="00273106">
        <w:t xml:space="preserve">se stal posledním svědkem a uchovatelem </w:t>
      </w:r>
      <w:r w:rsidR="08B2454C">
        <w:t xml:space="preserve">Komentátorovy interpretace a navázal ji na aristotelský výklad Grossetesteho </w:t>
      </w:r>
      <w:r w:rsidR="0068766F">
        <w:t xml:space="preserve">filosofie </w:t>
      </w:r>
      <w:r w:rsidR="08B2454C">
        <w:t xml:space="preserve">z jeho pařížského období, kdy byl </w:t>
      </w:r>
      <w:r w:rsidR="08982A0E">
        <w:t xml:space="preserve">Lincolnský biskup ještě věrným </w:t>
      </w:r>
      <w:r w:rsidR="08B2454C">
        <w:t>žákem Blundovy školy</w:t>
      </w:r>
      <w:r w:rsidR="009323D2" w:rsidRPr="00273106">
        <w:t xml:space="preserve">. </w:t>
      </w:r>
      <w:r w:rsidR="00F3084E">
        <w:t xml:space="preserve">Škola mladých oxfordských modernistů </w:t>
      </w:r>
      <w:r w:rsidR="00D61523">
        <w:t xml:space="preserve">vedených Rufusem </w:t>
      </w:r>
      <w:r w:rsidR="001C4DAC">
        <w:t xml:space="preserve">ale </w:t>
      </w:r>
      <w:r w:rsidR="00F3084E">
        <w:t xml:space="preserve">správně pochopila, že </w:t>
      </w:r>
      <w:r w:rsidR="009323D2" w:rsidRPr="00273106">
        <w:rPr>
          <w:rStyle w:val="st"/>
        </w:rPr>
        <w:t xml:space="preserve">Grosseteste </w:t>
      </w:r>
      <w:r w:rsidR="08B007DA">
        <w:rPr>
          <w:rStyle w:val="st"/>
        </w:rPr>
        <w:t>obhajuje n</w:t>
      </w:r>
      <w:r w:rsidR="00874074">
        <w:rPr>
          <w:rStyle w:val="st"/>
        </w:rPr>
        <w:t>eoplatonsk</w:t>
      </w:r>
      <w:r w:rsidR="003D7B62" w:rsidRPr="00273106">
        <w:rPr>
          <w:rStyle w:val="st"/>
        </w:rPr>
        <w:t xml:space="preserve">ou </w:t>
      </w:r>
      <w:r w:rsidR="009323D2" w:rsidRPr="00273106">
        <w:rPr>
          <w:rStyle w:val="st"/>
        </w:rPr>
        <w:t>formu determinace jsoucna</w:t>
      </w:r>
      <w:r w:rsidR="00F97CFE" w:rsidRPr="00273106">
        <w:rPr>
          <w:rStyle w:val="st"/>
        </w:rPr>
        <w:t xml:space="preserve"> v modu </w:t>
      </w:r>
      <w:r w:rsidR="00F97CFE" w:rsidRPr="00273106">
        <w:rPr>
          <w:rStyle w:val="st"/>
          <w:i/>
        </w:rPr>
        <w:t>Oxfordian Fallacy</w:t>
      </w:r>
      <w:r w:rsidR="00924399">
        <w:rPr>
          <w:rStyle w:val="st"/>
          <w:i/>
        </w:rPr>
        <w:fldChar w:fldCharType="begin"/>
      </w:r>
      <w:r w:rsidR="00924399">
        <w:instrText xml:space="preserve"> XE "</w:instrText>
      </w:r>
      <w:r w:rsidR="00924399" w:rsidRPr="0015798D">
        <w:rPr>
          <w:i/>
        </w:rPr>
        <w:instrText>Oxfordian Fallacy:</w:instrText>
      </w:r>
      <w:r w:rsidR="00FA3BB4" w:rsidRPr="00273106">
        <w:rPr>
          <w:rStyle w:val="st"/>
        </w:rPr>
        <w:instrText>Grosseteste</w:instrText>
      </w:r>
      <w:r w:rsidR="00924399">
        <w:instrText xml:space="preserve">" </w:instrText>
      </w:r>
      <w:r w:rsidR="00924399">
        <w:rPr>
          <w:rStyle w:val="st"/>
          <w:i/>
        </w:rPr>
        <w:fldChar w:fldCharType="end"/>
      </w:r>
      <w:r w:rsidR="009323D2" w:rsidRPr="00273106">
        <w:rPr>
          <w:rStyle w:val="st"/>
        </w:rPr>
        <w:t xml:space="preserve">. </w:t>
      </w:r>
      <w:r w:rsidR="08155BDF">
        <w:t>S</w:t>
      </w:r>
      <w:r w:rsidR="08155BDF" w:rsidRPr="00273106">
        <w:t xml:space="preserve">kupinu porretánských vykladačů spisu </w:t>
      </w:r>
      <w:r w:rsidR="08155BDF" w:rsidRPr="00E656C8">
        <w:rPr>
          <w:i/>
        </w:rPr>
        <w:t>Kategorie</w:t>
      </w:r>
      <w:r w:rsidR="08155BDF" w:rsidRPr="00273106">
        <w:t xml:space="preserve"> </w:t>
      </w:r>
      <w:r w:rsidR="08155BDF">
        <w:t xml:space="preserve">(Alvernovi </w:t>
      </w:r>
      <w:r w:rsidR="08155BDF" w:rsidRPr="00AE0D6A">
        <w:rPr>
          <w:i/>
        </w:rPr>
        <w:t>Grammatici</w:t>
      </w:r>
      <w:r w:rsidR="08155BDF">
        <w:t xml:space="preserve">) ze zanikajících škol </w:t>
      </w:r>
      <w:r w:rsidR="08155BDF" w:rsidRPr="00E97FFB">
        <w:rPr>
          <w:i/>
        </w:rPr>
        <w:t>logica Modernorum</w:t>
      </w:r>
      <w:r w:rsidR="08155BDF">
        <w:t xml:space="preserve"> </w:t>
      </w:r>
      <w:r w:rsidR="08155BDF" w:rsidRPr="00273106">
        <w:t xml:space="preserve">je </w:t>
      </w:r>
      <w:r w:rsidR="08155BDF">
        <w:t xml:space="preserve">třeba </w:t>
      </w:r>
      <w:r w:rsidR="08155BDF" w:rsidRPr="00273106">
        <w:t xml:space="preserve">odlišit od oxfordských bakalářů přišlých </w:t>
      </w:r>
      <w:r w:rsidR="08155BDF">
        <w:t xml:space="preserve">kolem roku 1235 </w:t>
      </w:r>
      <w:r w:rsidR="08155BDF" w:rsidRPr="00273106">
        <w:t>do Paříže</w:t>
      </w:r>
      <w:r w:rsidR="08155BDF">
        <w:t xml:space="preserve"> na magisterská studia. Jejich přístup k Aristotelovi </w:t>
      </w:r>
      <w:r w:rsidR="08155BDF" w:rsidRPr="00273106">
        <w:t xml:space="preserve">jsme definovali v rámci </w:t>
      </w:r>
      <w:r w:rsidR="08155BDF">
        <w:t xml:space="preserve">analytického </w:t>
      </w:r>
      <w:r w:rsidR="08155BDF" w:rsidRPr="00273106">
        <w:t xml:space="preserve">výkladu </w:t>
      </w:r>
      <w:r w:rsidR="08155BDF" w:rsidRPr="00E656C8">
        <w:rPr>
          <w:i/>
        </w:rPr>
        <w:t>Druhých analytik</w:t>
      </w:r>
      <w:r w:rsidR="08155BDF" w:rsidRPr="00273106">
        <w:t xml:space="preserve"> </w:t>
      </w:r>
      <w:r w:rsidR="08155BDF">
        <w:t xml:space="preserve">daného v modu </w:t>
      </w:r>
      <w:r w:rsidR="08155BDF" w:rsidRPr="00771A05">
        <w:rPr>
          <w:i/>
        </w:rPr>
        <w:t>Oxfordian Fallacy</w:t>
      </w:r>
      <w:r w:rsidR="08155BDF">
        <w:t xml:space="preserve"> (Rufus, Kilwardby</w:t>
      </w:r>
      <w:r w:rsidR="08155BDF" w:rsidRPr="00273106">
        <w:t xml:space="preserve">). </w:t>
      </w:r>
      <w:r w:rsidR="08155BDF">
        <w:t>Tyto mladé latinské učence b</w:t>
      </w:r>
      <w:r w:rsidR="08155BDF" w:rsidRPr="00273106">
        <w:t>iskup Alvernus poctil titu</w:t>
      </w:r>
      <w:r w:rsidR="08155BDF">
        <w:t xml:space="preserve">lem </w:t>
      </w:r>
      <w:r w:rsidR="08155BDF">
        <w:rPr>
          <w:i/>
        </w:rPr>
        <w:t>sophis</w:t>
      </w:r>
      <w:r w:rsidR="08155BDF" w:rsidRPr="00273106">
        <w:rPr>
          <w:i/>
        </w:rPr>
        <w:t>t</w:t>
      </w:r>
      <w:r w:rsidR="08155BDF">
        <w:rPr>
          <w:i/>
        </w:rPr>
        <w:t>a</w:t>
      </w:r>
      <w:r w:rsidR="08155BDF" w:rsidRPr="00273106">
        <w:rPr>
          <w:i/>
        </w:rPr>
        <w:t>e Latini</w:t>
      </w:r>
      <w:r w:rsidR="08155BDF">
        <w:fldChar w:fldCharType="begin"/>
      </w:r>
      <w:r w:rsidR="08155BDF">
        <w:instrText xml:space="preserve"> XE "</w:instrText>
      </w:r>
      <w:r w:rsidR="08155BDF" w:rsidRPr="001E508F">
        <w:instrText>druhý averroismus:</w:instrText>
      </w:r>
      <w:r w:rsidR="08155BDF">
        <w:rPr>
          <w:i/>
        </w:rPr>
        <w:instrText>sophis</w:instrText>
      </w:r>
      <w:r w:rsidR="08155BDF" w:rsidRPr="00273106">
        <w:rPr>
          <w:i/>
        </w:rPr>
        <w:instrText>t</w:instrText>
      </w:r>
      <w:r w:rsidR="08155BDF">
        <w:rPr>
          <w:i/>
        </w:rPr>
        <w:instrText>a</w:instrText>
      </w:r>
      <w:r w:rsidR="08155BDF" w:rsidRPr="00273106">
        <w:rPr>
          <w:i/>
        </w:rPr>
        <w:instrText>e Latini</w:instrText>
      </w:r>
      <w:r w:rsidR="08155BDF">
        <w:instrText xml:space="preserve">" </w:instrText>
      </w:r>
      <w:r w:rsidR="08155BDF">
        <w:fldChar w:fldCharType="end"/>
      </w:r>
      <w:r w:rsidR="08155BDF">
        <w:t xml:space="preserve">. Vůbec není náhoda, že představitelé prvního averroismu (Alvernus, Albert, Bacon) tyto učence pokládali za sofisty v plné shodě s dialogem </w:t>
      </w:r>
      <w:r w:rsidR="08155BDF" w:rsidRPr="000539D0">
        <w:rPr>
          <w:i/>
        </w:rPr>
        <w:t>Sofistes</w:t>
      </w:r>
      <w:r w:rsidR="08155BDF">
        <w:t>.</w:t>
      </w:r>
      <w:r w:rsidR="08155BDF">
        <w:rPr>
          <w:rStyle w:val="Znakapoznpodarou"/>
        </w:rPr>
        <w:footnoteReference w:id="313"/>
      </w:r>
      <w:r w:rsidR="08155BDF">
        <w:t xml:space="preserve"> Sofista aktivně vyrábí obrazy v představivosti, což odpovídá absolutizované supozici modernistů dané výkladem </w:t>
      </w:r>
      <w:r w:rsidR="08155BDF" w:rsidRPr="003B39F4">
        <w:rPr>
          <w:i/>
        </w:rPr>
        <w:t>Druhých analytik</w:t>
      </w:r>
      <w:r w:rsidR="08155BDF">
        <w:t xml:space="preserve"> v rámci </w:t>
      </w:r>
      <w:r w:rsidR="08155BDF">
        <w:rPr>
          <w:i/>
        </w:rPr>
        <w:t>Oxf</w:t>
      </w:r>
      <w:r w:rsidR="08155BDF" w:rsidRPr="00023492">
        <w:rPr>
          <w:i/>
        </w:rPr>
        <w:t>o</w:t>
      </w:r>
      <w:r w:rsidR="08155BDF">
        <w:rPr>
          <w:i/>
        </w:rPr>
        <w:t>r</w:t>
      </w:r>
      <w:r w:rsidR="08155BDF" w:rsidRPr="00023492">
        <w:rPr>
          <w:i/>
        </w:rPr>
        <w:t>dian Fallacy</w:t>
      </w:r>
      <w:r w:rsidR="08155BDF">
        <w:rPr>
          <w:i/>
        </w:rPr>
        <w:fldChar w:fldCharType="begin"/>
      </w:r>
      <w:r w:rsidR="08155BDF">
        <w:instrText xml:space="preserve"> XE "</w:instrText>
      </w:r>
      <w:r w:rsidR="08155BDF" w:rsidRPr="0015798D">
        <w:rPr>
          <w:i/>
        </w:rPr>
        <w:instrText>Oxfordian Fallacy:</w:instrText>
      </w:r>
      <w:r w:rsidR="08155BDF" w:rsidRPr="009650A4">
        <w:instrText>analytický výklad</w:instrText>
      </w:r>
      <w:r w:rsidR="08155BDF">
        <w:instrText xml:space="preserve">" </w:instrText>
      </w:r>
      <w:r w:rsidR="08155BDF">
        <w:rPr>
          <w:i/>
        </w:rPr>
        <w:fldChar w:fldCharType="end"/>
      </w:r>
      <w:r w:rsidR="08155BDF">
        <w:t xml:space="preserve">, porretánským hypostázováním kategorií a produkcí jsoucen třetího druhu. Sofistická skupina </w:t>
      </w:r>
      <w:r w:rsidR="08155BDF" w:rsidRPr="00273106">
        <w:t>modernist</w:t>
      </w:r>
      <w:r w:rsidR="08155BDF">
        <w:t>ů</w:t>
      </w:r>
      <w:r w:rsidR="08155BDF" w:rsidRPr="00273106">
        <w:t xml:space="preserve"> </w:t>
      </w:r>
      <w:r w:rsidR="08155BDF">
        <w:t xml:space="preserve">ovlivněná porretánským výkladem </w:t>
      </w:r>
      <w:r w:rsidR="08155BDF" w:rsidRPr="00A5116A">
        <w:rPr>
          <w:i/>
        </w:rPr>
        <w:t>Kategorií</w:t>
      </w:r>
      <w:r w:rsidR="08155BDF">
        <w:t xml:space="preserve"> podala</w:t>
      </w:r>
      <w:r w:rsidR="08155BDF" w:rsidRPr="00273106">
        <w:t xml:space="preserve"> zmaten</w:t>
      </w:r>
      <w:r w:rsidR="08155BDF">
        <w:t xml:space="preserve">ě nejen výklad </w:t>
      </w:r>
      <w:r w:rsidR="08155BDF" w:rsidRPr="00A5116A">
        <w:rPr>
          <w:i/>
        </w:rPr>
        <w:t>Druhých analytik</w:t>
      </w:r>
      <w:r w:rsidR="08155BDF">
        <w:t xml:space="preserve">, ale </w:t>
      </w:r>
      <w:r w:rsidR="0870597D">
        <w:t xml:space="preserve">měla </w:t>
      </w:r>
      <w:r w:rsidR="08155BDF">
        <w:t xml:space="preserve">také </w:t>
      </w:r>
      <w:r w:rsidR="0870597D">
        <w:t xml:space="preserve">zmatený </w:t>
      </w:r>
      <w:r w:rsidR="08155BDF">
        <w:t xml:space="preserve">výklad CMDA. Na jejich omyly reagoval Albert výkladem vědeckého poznání světa a duše v díle </w:t>
      </w:r>
      <w:r w:rsidR="08155BDF" w:rsidRPr="00436EAB">
        <w:rPr>
          <w:i/>
        </w:rPr>
        <w:t>De homine</w:t>
      </w:r>
      <w:r w:rsidR="08155BDF">
        <w:t xml:space="preserve"> (1242). </w:t>
      </w:r>
      <w:r w:rsidR="08155BDF">
        <w:rPr>
          <w:rStyle w:val="st"/>
        </w:rPr>
        <w:t xml:space="preserve">Dedukce významu je daná nikoliv </w:t>
      </w:r>
      <w:r w:rsidR="00AB16FE">
        <w:rPr>
          <w:rStyle w:val="st"/>
        </w:rPr>
        <w:t xml:space="preserve">metafyzickou </w:t>
      </w:r>
      <w:r w:rsidR="08155BDF">
        <w:rPr>
          <w:rStyle w:val="st"/>
        </w:rPr>
        <w:t>impozicí, ale logickou supozicí</w:t>
      </w:r>
      <w:r w:rsidR="08155BDF">
        <w:rPr>
          <w:rStyle w:val="st"/>
        </w:rPr>
        <w:fldChar w:fldCharType="begin"/>
      </w:r>
      <w:r w:rsidR="08155BDF">
        <w:instrText xml:space="preserve"> XE "</w:instrText>
      </w:r>
      <w:r w:rsidR="08155BDF" w:rsidRPr="00083D7A">
        <w:rPr>
          <w:rStyle w:val="st"/>
        </w:rPr>
        <w:instrText>supozice:</w:instrText>
      </w:r>
      <w:r w:rsidR="08155BDF" w:rsidRPr="00083D7A">
        <w:instrText>druhý averroismus</w:instrText>
      </w:r>
      <w:r w:rsidR="08155BDF">
        <w:instrText xml:space="preserve">" </w:instrText>
      </w:r>
      <w:r w:rsidR="08155BDF">
        <w:rPr>
          <w:rStyle w:val="st"/>
        </w:rPr>
        <w:fldChar w:fldCharType="end"/>
      </w:r>
      <w:r w:rsidR="08155BDF">
        <w:rPr>
          <w:rStyle w:val="st"/>
        </w:rPr>
        <w:t xml:space="preserve">, což zásadně odmítl Albert v polemice s modernisty o status </w:t>
      </w:r>
      <w:r w:rsidR="08155BDF" w:rsidRPr="000E2779">
        <w:rPr>
          <w:rStyle w:val="st"/>
          <w:i/>
        </w:rPr>
        <w:t>e</w:t>
      </w:r>
      <w:r w:rsidR="08155BDF">
        <w:rPr>
          <w:rStyle w:val="st"/>
          <w:i/>
        </w:rPr>
        <w:t>sse</w:t>
      </w:r>
      <w:r w:rsidR="08155BDF" w:rsidRPr="000E2779">
        <w:rPr>
          <w:rStyle w:val="st"/>
          <w:i/>
        </w:rPr>
        <w:t xml:space="preserve"> ratum</w:t>
      </w:r>
      <w:r w:rsidR="08155BDF">
        <w:rPr>
          <w:rStyle w:val="st"/>
          <w:i/>
        </w:rPr>
        <w:fldChar w:fldCharType="begin"/>
      </w:r>
      <w:r w:rsidR="08155BDF">
        <w:instrText xml:space="preserve"> XE "</w:instrText>
      </w:r>
      <w:r w:rsidR="08155BDF" w:rsidRPr="006D5846">
        <w:rPr>
          <w:rStyle w:val="st"/>
          <w:i/>
        </w:rPr>
        <w:instrText>esse ratum</w:instrText>
      </w:r>
      <w:r w:rsidR="08155BDF">
        <w:instrText xml:space="preserve">" </w:instrText>
      </w:r>
      <w:r w:rsidR="08155BDF">
        <w:rPr>
          <w:rStyle w:val="st"/>
          <w:i/>
        </w:rPr>
        <w:fldChar w:fldCharType="end"/>
      </w:r>
      <w:r w:rsidR="089F5125">
        <w:rPr>
          <w:rStyle w:val="st"/>
        </w:rPr>
        <w:t xml:space="preserve"> (kap. 2</w:t>
      </w:r>
      <w:r w:rsidR="08155BDF">
        <w:rPr>
          <w:rStyle w:val="st"/>
        </w:rPr>
        <w:t xml:space="preserve">.4.3). První averroismus odmítá nihilistický důsledek </w:t>
      </w:r>
      <w:r w:rsidR="08155BDF" w:rsidRPr="00B61692">
        <w:rPr>
          <w:rStyle w:val="st"/>
          <w:i/>
        </w:rPr>
        <w:t>Oxfordian Fallacy</w:t>
      </w:r>
      <w:r w:rsidR="08155BDF">
        <w:rPr>
          <w:rStyle w:val="st"/>
        </w:rPr>
        <w:t xml:space="preserve"> daný vytěsněním první substance z vědeckého poznání. Aristotelikové ze Sicilské školy zásadně odmítli učení metafyzických iluminátů, kteří otočili schéma poznání </w:t>
      </w:r>
      <w:r w:rsidR="08155BDF" w:rsidRPr="00F95B4E">
        <w:rPr>
          <w:rStyle w:val="st"/>
          <w:i/>
        </w:rPr>
        <w:t xml:space="preserve">Druhých analytik </w:t>
      </w:r>
      <w:r w:rsidR="08155BDF">
        <w:rPr>
          <w:rStyle w:val="st"/>
        </w:rPr>
        <w:t xml:space="preserve">a dodnes toto simulákrum vydávají za aristotelský výklad. </w:t>
      </w:r>
      <w:r w:rsidR="00CD7E4D">
        <w:rPr>
          <w:rStyle w:val="st"/>
        </w:rPr>
        <w:t>M</w:t>
      </w:r>
      <w:r w:rsidR="08155BDF">
        <w:rPr>
          <w:rStyle w:val="st"/>
        </w:rPr>
        <w:t xml:space="preserve">oderna zavedla sofistickou diferenci mezi „slabou“ existencí jsoucna </w:t>
      </w:r>
      <w:r w:rsidR="08155BDF" w:rsidRPr="00273106">
        <w:rPr>
          <w:rStyle w:val="st"/>
        </w:rPr>
        <w:t>dané</w:t>
      </w:r>
      <w:r w:rsidR="08155BDF">
        <w:rPr>
          <w:rStyle w:val="st"/>
        </w:rPr>
        <w:t>ho</w:t>
      </w:r>
      <w:r w:rsidR="08155BDF" w:rsidRPr="00273106">
        <w:rPr>
          <w:rStyle w:val="st"/>
        </w:rPr>
        <w:t xml:space="preserve"> v hylemorfické první substanci </w:t>
      </w:r>
      <w:r w:rsidR="08155BDF">
        <w:rPr>
          <w:rStyle w:val="st"/>
        </w:rPr>
        <w:t>(</w:t>
      </w:r>
      <w:r w:rsidR="08155BDF" w:rsidRPr="00B96BE8">
        <w:rPr>
          <w:rStyle w:val="st"/>
          <w:i/>
        </w:rPr>
        <w:t>ens</w:t>
      </w:r>
      <w:r w:rsidR="08155BDF">
        <w:rPr>
          <w:rStyle w:val="st"/>
        </w:rPr>
        <w:t xml:space="preserve"> </w:t>
      </w:r>
      <w:r w:rsidR="08155BDF">
        <w:rPr>
          <w:rStyle w:val="st"/>
          <w:i/>
        </w:rPr>
        <w:t>debile</w:t>
      </w:r>
      <w:r w:rsidR="08155BDF">
        <w:rPr>
          <w:rStyle w:val="st"/>
          <w:i/>
        </w:rPr>
        <w:fldChar w:fldCharType="begin"/>
      </w:r>
      <w:r w:rsidR="08155BDF">
        <w:instrText xml:space="preserve"> XE "</w:instrText>
      </w:r>
      <w:r w:rsidR="08155BDF" w:rsidRPr="00B043BF">
        <w:rPr>
          <w:rStyle w:val="st"/>
          <w:i/>
        </w:rPr>
        <w:instrText>ens</w:instrText>
      </w:r>
      <w:r w:rsidR="08155BDF" w:rsidRPr="00B043BF">
        <w:rPr>
          <w:rStyle w:val="st"/>
        </w:rPr>
        <w:instrText xml:space="preserve"> </w:instrText>
      </w:r>
      <w:r w:rsidR="08155BDF" w:rsidRPr="00B043BF">
        <w:rPr>
          <w:rStyle w:val="st"/>
          <w:i/>
        </w:rPr>
        <w:instrText>debile</w:instrText>
      </w:r>
      <w:r w:rsidR="08155BDF">
        <w:instrText xml:space="preserve">" </w:instrText>
      </w:r>
      <w:r w:rsidR="08155BDF">
        <w:rPr>
          <w:rStyle w:val="st"/>
          <w:i/>
        </w:rPr>
        <w:fldChar w:fldCharType="end"/>
      </w:r>
      <w:r w:rsidR="08155BDF">
        <w:rPr>
          <w:rStyle w:val="st"/>
        </w:rPr>
        <w:t xml:space="preserve">) a mezi „silným“ bytím </w:t>
      </w:r>
      <w:r w:rsidR="08155BDF" w:rsidRPr="00273106">
        <w:rPr>
          <w:rStyle w:val="st"/>
        </w:rPr>
        <w:t>autonomní univerzální formy existující mimo hyleformickou složeninu</w:t>
      </w:r>
      <w:r w:rsidR="08155BDF">
        <w:rPr>
          <w:rStyle w:val="st"/>
        </w:rPr>
        <w:t xml:space="preserve"> (</w:t>
      </w:r>
      <w:r w:rsidR="08155BDF" w:rsidRPr="00B96BE8">
        <w:rPr>
          <w:rStyle w:val="st"/>
          <w:i/>
        </w:rPr>
        <w:t>ens</w:t>
      </w:r>
      <w:r w:rsidR="08155BDF">
        <w:rPr>
          <w:rStyle w:val="st"/>
        </w:rPr>
        <w:t xml:space="preserve"> </w:t>
      </w:r>
      <w:r w:rsidR="08155BDF">
        <w:rPr>
          <w:rStyle w:val="st"/>
          <w:i/>
        </w:rPr>
        <w:t>ratum</w:t>
      </w:r>
      <w:r w:rsidR="08155BDF">
        <w:rPr>
          <w:rStyle w:val="st"/>
          <w:i/>
        </w:rPr>
        <w:fldChar w:fldCharType="begin"/>
      </w:r>
      <w:r w:rsidR="08155BDF">
        <w:instrText xml:space="preserve"> XE "</w:instrText>
      </w:r>
      <w:r w:rsidR="08155BDF" w:rsidRPr="00B2798F">
        <w:rPr>
          <w:rStyle w:val="addmd"/>
          <w:i/>
        </w:rPr>
        <w:instrText xml:space="preserve">ens </w:instrText>
      </w:r>
      <w:r w:rsidR="08155BDF" w:rsidRPr="00B2798F">
        <w:rPr>
          <w:rStyle w:val="addmd"/>
          <w:i/>
        </w:rPr>
        <w:lastRenderedPageBreak/>
        <w:instrText>ratum</w:instrText>
      </w:r>
      <w:r w:rsidR="08155BDF" w:rsidRPr="00E571E5">
        <w:rPr>
          <w:rStyle w:val="addmd"/>
        </w:rPr>
        <w:instrText>:druhý averroismus</w:instrText>
      </w:r>
      <w:r w:rsidR="08155BDF">
        <w:instrText xml:space="preserve">" </w:instrText>
      </w:r>
      <w:r w:rsidR="08155BDF">
        <w:rPr>
          <w:rStyle w:val="st"/>
          <w:i/>
        </w:rPr>
        <w:fldChar w:fldCharType="end"/>
      </w:r>
      <w:r w:rsidR="08155BDF">
        <w:rPr>
          <w:rStyle w:val="st"/>
        </w:rPr>
        <w:t>)</w:t>
      </w:r>
      <w:r w:rsidR="08155BDF" w:rsidRPr="00273106">
        <w:rPr>
          <w:rStyle w:val="st"/>
        </w:rPr>
        <w:t xml:space="preserve">. Hyparchická vazba mezi první a druhou substancí se mění na univoční predikaci a predikace akcidentů k substanci běží v modu </w:t>
      </w:r>
      <w:r w:rsidR="08155BDF">
        <w:rPr>
          <w:rStyle w:val="st"/>
        </w:rPr>
        <w:t xml:space="preserve">neoplatonské analogie či Avicennovy objektivní komitace. </w:t>
      </w:r>
      <w:r w:rsidR="08155BDF" w:rsidRPr="00273106">
        <w:rPr>
          <w:rStyle w:val="st"/>
        </w:rPr>
        <w:t xml:space="preserve">Tento výklad zavedl </w:t>
      </w:r>
      <w:r w:rsidR="08155BDF" w:rsidRPr="00273106">
        <w:t>Al</w:t>
      </w:r>
      <w:r w:rsidR="08155BDF" w:rsidRPr="00273106">
        <w:noBreakHyphen/>
      </w:r>
      <w:r w:rsidR="08155BDF">
        <w:t>Fárábí</w:t>
      </w:r>
      <w:r w:rsidR="08155BDF" w:rsidRPr="00273106">
        <w:t xml:space="preserve"> v díle </w:t>
      </w:r>
      <w:r w:rsidR="08155BDF" w:rsidRPr="00273106">
        <w:rPr>
          <w:i/>
        </w:rPr>
        <w:t>Kitāb al-Ḥurūf</w:t>
      </w:r>
      <w:r w:rsidR="08155BDF" w:rsidRPr="00273106">
        <w:t xml:space="preserve"> </w:t>
      </w:r>
      <w:r w:rsidR="08155BDF">
        <w:t xml:space="preserve">skrze </w:t>
      </w:r>
      <w:r w:rsidR="08155BDF" w:rsidRPr="005A2EF2">
        <w:t>amfibolia</w:t>
      </w:r>
      <w:r w:rsidR="08155BDF">
        <w:fldChar w:fldCharType="begin"/>
      </w:r>
      <w:r w:rsidR="08155BDF">
        <w:instrText xml:space="preserve"> XE "</w:instrText>
      </w:r>
      <w:r w:rsidR="08155BDF" w:rsidRPr="00C11680">
        <w:instrText>amfibolia</w:instrText>
      </w:r>
      <w:r w:rsidR="08155BDF">
        <w:instrText xml:space="preserve">" </w:instrText>
      </w:r>
      <w:r w:rsidR="08155BDF">
        <w:fldChar w:fldCharType="end"/>
      </w:r>
      <w:r w:rsidR="08155BDF">
        <w:t>, která definovala nový druh</w:t>
      </w:r>
      <w:r w:rsidR="08155BDF" w:rsidRPr="00273106">
        <w:t xml:space="preserve"> predikace</w:t>
      </w:r>
      <w:r w:rsidR="08155BDF">
        <w:t xml:space="preserve"> spojující aristotelismus a neoplatonismus (</w:t>
      </w:r>
      <w:r w:rsidR="084A7CE3">
        <w:t xml:space="preserve">OBJ I, </w:t>
      </w:r>
      <w:r w:rsidR="08155BDF">
        <w:t>kap. 2.1.2)</w:t>
      </w:r>
      <w:r w:rsidR="08155BDF" w:rsidRPr="00273106">
        <w:t>.</w:t>
      </w:r>
      <w:r w:rsidR="08155BDF" w:rsidRPr="00273106">
        <w:rPr>
          <w:rStyle w:val="st"/>
        </w:rPr>
        <w:t xml:space="preserve"> Sestup </w:t>
      </w:r>
      <w:r w:rsidR="08155BDF">
        <w:rPr>
          <w:rStyle w:val="st"/>
        </w:rPr>
        <w:t xml:space="preserve">forem </w:t>
      </w:r>
      <w:r w:rsidR="08155BDF">
        <w:t xml:space="preserve">ze světa nemateriálních sfér </w:t>
      </w:r>
      <w:r w:rsidR="08155BDF" w:rsidRPr="00273106">
        <w:t xml:space="preserve">podle </w:t>
      </w:r>
      <w:r w:rsidR="08155BDF">
        <w:t>Al</w:t>
      </w:r>
      <w:r w:rsidR="08155BDF">
        <w:noBreakHyphen/>
        <w:t xml:space="preserve">Fárábího pokračuje </w:t>
      </w:r>
      <w:r w:rsidR="08155BDF" w:rsidRPr="00273106">
        <w:t>v modu kategoriální predikace</w:t>
      </w:r>
      <w:r w:rsidR="08155BDF">
        <w:fldChar w:fldCharType="begin"/>
      </w:r>
      <w:r w:rsidR="08155BDF">
        <w:instrText xml:space="preserve"> XE "</w:instrText>
      </w:r>
      <w:r w:rsidR="08155BDF" w:rsidRPr="00D70E56">
        <w:instrText>predikace:amfibolia</w:instrText>
      </w:r>
      <w:r w:rsidR="08155BDF">
        <w:instrText xml:space="preserve">" </w:instrText>
      </w:r>
      <w:r w:rsidR="08155BDF">
        <w:fldChar w:fldCharType="end"/>
      </w:r>
      <w:r w:rsidR="08155BDF" w:rsidRPr="00273106">
        <w:t xml:space="preserve"> </w:t>
      </w:r>
      <w:r w:rsidR="08155BDF" w:rsidRPr="00273106">
        <w:rPr>
          <w:i/>
        </w:rPr>
        <w:t>per prius</w:t>
      </w:r>
      <w:r w:rsidR="08155BDF" w:rsidRPr="00273106">
        <w:t xml:space="preserve"> synonymicky vypovídané vzhledem k hylemorfické substanci (</w:t>
      </w:r>
      <w:r w:rsidR="08155BDF" w:rsidRPr="00273106">
        <w:rPr>
          <w:i/>
        </w:rPr>
        <w:t xml:space="preserve">descendere usque ad formam corporalem ylealem, </w:t>
      </w:r>
      <w:r w:rsidR="08155BDF" w:rsidRPr="00273106">
        <w:rPr>
          <w:rStyle w:val="st"/>
        </w:rPr>
        <w:t>kap. 2.1.1</w:t>
      </w:r>
      <w:r w:rsidR="08155BDF" w:rsidRPr="00273106">
        <w:t xml:space="preserve">). </w:t>
      </w:r>
      <w:r w:rsidR="08155BDF" w:rsidRPr="00273106">
        <w:rPr>
          <w:rStyle w:val="st"/>
        </w:rPr>
        <w:t>Tím je dána nová forma náhledu na celek zjev</w:t>
      </w:r>
      <w:r w:rsidR="08155BDF">
        <w:rPr>
          <w:rStyle w:val="st"/>
        </w:rPr>
        <w:t xml:space="preserve">ování jsoucna, kterou na latinském Západě přebírá </w:t>
      </w:r>
      <w:r w:rsidR="08155BDF" w:rsidRPr="00273106">
        <w:rPr>
          <w:rStyle w:val="st"/>
        </w:rPr>
        <w:t>Grossestete</w:t>
      </w:r>
      <w:r w:rsidR="08155BDF">
        <w:rPr>
          <w:rStyle w:val="st"/>
        </w:rPr>
        <w:t xml:space="preserve"> jako tehdejší znalec falsafy podle Toledské školy, kterou jistě znal ze svých studií v Paříži v Blundově škole před příchodem Scotovy interpretace. </w:t>
      </w:r>
      <w:r w:rsidR="08D83D1D">
        <w:rPr>
          <w:rStyle w:val="st"/>
        </w:rPr>
        <w:t>Biskup Alvernus zařadil filosofii Al</w:t>
      </w:r>
      <w:r w:rsidR="08D83D1D">
        <w:rPr>
          <w:rStyle w:val="st"/>
        </w:rPr>
        <w:noBreakHyphen/>
        <w:t xml:space="preserve">Fárábího do neoplatonské skupiny </w:t>
      </w:r>
      <w:r w:rsidR="08D83D1D" w:rsidRPr="00C75CA8">
        <w:rPr>
          <w:rStyle w:val="st"/>
          <w:i/>
        </w:rPr>
        <w:t>sequaces Aristotelis</w:t>
      </w:r>
      <w:r w:rsidR="08D83D1D">
        <w:rPr>
          <w:rStyle w:val="st"/>
        </w:rPr>
        <w:t xml:space="preserve"> (</w:t>
      </w:r>
      <w:r w:rsidR="086A4F0D">
        <w:t>kap. 2</w:t>
      </w:r>
      <w:r w:rsidR="08D83D1D" w:rsidRPr="00273106">
        <w:t>.3</w:t>
      </w:r>
      <w:r w:rsidR="08D83D1D">
        <w:t>.1</w:t>
      </w:r>
      <w:r w:rsidR="08242F7F">
        <w:rPr>
          <w:rStyle w:val="st"/>
        </w:rPr>
        <w:t xml:space="preserve">). </w:t>
      </w:r>
      <w:r w:rsidR="08D83D1D">
        <w:rPr>
          <w:rStyle w:val="st"/>
        </w:rPr>
        <w:t>Gross</w:t>
      </w:r>
      <w:r w:rsidR="08ED47ED">
        <w:rPr>
          <w:rStyle w:val="st"/>
        </w:rPr>
        <w:t>e</w:t>
      </w:r>
      <w:r w:rsidR="08D83D1D">
        <w:rPr>
          <w:rStyle w:val="st"/>
        </w:rPr>
        <w:t xml:space="preserve">teste </w:t>
      </w:r>
      <w:r w:rsidR="082E5554">
        <w:rPr>
          <w:rStyle w:val="st"/>
        </w:rPr>
        <w:t xml:space="preserve">vyznávající neoplatonský obraz světa v podobě </w:t>
      </w:r>
      <w:r w:rsidR="082E5554" w:rsidRPr="082E5554">
        <w:rPr>
          <w:rStyle w:val="st"/>
          <w:i/>
        </w:rPr>
        <w:t xml:space="preserve">anima mundi </w:t>
      </w:r>
      <w:r w:rsidR="082E5554">
        <w:rPr>
          <w:rStyle w:val="st"/>
        </w:rPr>
        <w:t xml:space="preserve">a podporující školu Gramatiků už </w:t>
      </w:r>
      <w:r w:rsidR="08D83D1D">
        <w:rPr>
          <w:rStyle w:val="st"/>
        </w:rPr>
        <w:t>nemohl zůstat na Pařížské univerzitě.</w:t>
      </w:r>
      <w:r w:rsidR="08AD7EB9">
        <w:rPr>
          <w:rStyle w:val="st"/>
        </w:rPr>
        <w:t xml:space="preserve"> </w:t>
      </w:r>
      <w:r w:rsidR="00597F21" w:rsidRPr="00273106">
        <w:rPr>
          <w:rStyle w:val="st"/>
        </w:rPr>
        <w:t xml:space="preserve">Následující pasáž </w:t>
      </w:r>
      <w:r w:rsidR="089A3847">
        <w:rPr>
          <w:rStyle w:val="st"/>
        </w:rPr>
        <w:t xml:space="preserve">Grosstetesteho výkladu </w:t>
      </w:r>
      <w:r w:rsidR="089A3847" w:rsidRPr="089A3847">
        <w:rPr>
          <w:rStyle w:val="st"/>
          <w:i/>
        </w:rPr>
        <w:t>Druhých analytik</w:t>
      </w:r>
      <w:r w:rsidR="089A3847">
        <w:rPr>
          <w:rStyle w:val="st"/>
        </w:rPr>
        <w:t xml:space="preserve"> </w:t>
      </w:r>
      <w:r w:rsidR="00597F21" w:rsidRPr="00273106">
        <w:rPr>
          <w:rStyle w:val="st"/>
        </w:rPr>
        <w:t>zakládá nov</w:t>
      </w:r>
      <w:r w:rsidR="006B4D50">
        <w:rPr>
          <w:rStyle w:val="st"/>
        </w:rPr>
        <w:t xml:space="preserve">ou formu </w:t>
      </w:r>
      <w:r w:rsidR="006B4D50" w:rsidRPr="006B4D50">
        <w:rPr>
          <w:rFonts w:cs="Calibri"/>
          <w:i/>
          <w:szCs w:val="24"/>
        </w:rPr>
        <w:t>Vor-blickbahn</w:t>
      </w:r>
      <w:r w:rsidR="006B4D50">
        <w:rPr>
          <w:rFonts w:cs="Calibri"/>
          <w:szCs w:val="24"/>
        </w:rPr>
        <w:t xml:space="preserve"> </w:t>
      </w:r>
      <w:r w:rsidR="00597F21" w:rsidRPr="00273106">
        <w:rPr>
          <w:rStyle w:val="st"/>
        </w:rPr>
        <w:t>západní metafyziky jako moderní ontoteologie</w:t>
      </w:r>
      <w:r w:rsidR="00480AB3">
        <w:rPr>
          <w:rStyle w:val="st"/>
        </w:rPr>
        <w:fldChar w:fldCharType="begin"/>
      </w:r>
      <w:r w:rsidR="00480AB3">
        <w:instrText xml:space="preserve"> XE "</w:instrText>
      </w:r>
      <w:r w:rsidR="00EB0118" w:rsidRPr="00C346C6">
        <w:instrText>ontoteologie</w:instrText>
      </w:r>
      <w:r w:rsidR="00EB0118">
        <w:instrText>:Grosseteste</w:instrText>
      </w:r>
      <w:r w:rsidR="00480AB3">
        <w:instrText xml:space="preserve">" </w:instrText>
      </w:r>
      <w:r w:rsidR="00480AB3">
        <w:rPr>
          <w:rStyle w:val="st"/>
        </w:rPr>
        <w:fldChar w:fldCharType="end"/>
      </w:r>
      <w:r w:rsidR="00597F21" w:rsidRPr="00273106">
        <w:rPr>
          <w:rStyle w:val="st"/>
        </w:rPr>
        <w:t>.</w:t>
      </w:r>
    </w:p>
    <w:p w14:paraId="039A5BAC" w14:textId="0023EE45" w:rsidR="009323D2" w:rsidRPr="00273106" w:rsidRDefault="009323D2" w:rsidP="009323D2">
      <w:pPr>
        <w:pStyle w:val="Citace"/>
        <w:rPr>
          <w:noProof/>
          <w:lang w:val="cs-CZ"/>
        </w:rPr>
      </w:pPr>
      <w:r w:rsidRPr="00273106">
        <w:rPr>
          <w:noProof/>
          <w:lang w:val="cs-CZ"/>
        </w:rPr>
        <w:t>„</w:t>
      </w:r>
      <w:r w:rsidR="00E318EA">
        <w:rPr>
          <w:noProof/>
          <w:lang w:val="cs-CZ"/>
        </w:rPr>
        <w:t>Kde se vyskytuje jsoucno v lokalizovaném bytí jednotlivin</w:t>
      </w:r>
      <w:r w:rsidRPr="00273106">
        <w:rPr>
          <w:noProof/>
          <w:lang w:val="cs-CZ"/>
        </w:rPr>
        <w:t xml:space="preserve">, tam se současně vyskytují univerzália v takto daných jednotlivinách. Pak </w:t>
      </w:r>
      <w:r w:rsidR="087258C9">
        <w:rPr>
          <w:noProof/>
          <w:lang w:val="cs-CZ"/>
        </w:rPr>
        <w:t xml:space="preserve">snad </w:t>
      </w:r>
      <w:r w:rsidRPr="00273106">
        <w:rPr>
          <w:noProof/>
          <w:lang w:val="cs-CZ"/>
        </w:rPr>
        <w:t>můžeme oprávněně tvrdit</w:t>
      </w:r>
      <w:r w:rsidR="087258C9">
        <w:rPr>
          <w:noProof/>
          <w:lang w:val="cs-CZ"/>
        </w:rPr>
        <w:t xml:space="preserve"> (</w:t>
      </w:r>
      <w:r w:rsidR="087258C9" w:rsidRPr="087258C9">
        <w:rPr>
          <w:i/>
        </w:rPr>
        <w:t>nisi forte dicamus</w:t>
      </w:r>
      <w:r w:rsidR="087258C9">
        <w:rPr>
          <w:noProof/>
          <w:lang w:val="cs-CZ"/>
        </w:rPr>
        <w:t>)</w:t>
      </w:r>
      <w:r w:rsidRPr="00273106">
        <w:rPr>
          <w:noProof/>
          <w:lang w:val="cs-CZ"/>
        </w:rPr>
        <w:t>, ž</w:t>
      </w:r>
      <w:r w:rsidR="006A1371">
        <w:rPr>
          <w:noProof/>
          <w:lang w:val="cs-CZ"/>
        </w:rPr>
        <w:t>e univerzália jsou všudypřítomná</w:t>
      </w:r>
      <w:r w:rsidRPr="00273106">
        <w:rPr>
          <w:noProof/>
          <w:lang w:val="cs-CZ"/>
        </w:rPr>
        <w:t>, protože intelekt je místem univerzálií (</w:t>
      </w:r>
      <w:r w:rsidRPr="00273106">
        <w:rPr>
          <w:i/>
          <w:noProof/>
          <w:lang w:val="cs-CZ"/>
        </w:rPr>
        <w:t>intellectus est locus universalium</w:t>
      </w:r>
      <w:r w:rsidRPr="00273106">
        <w:rPr>
          <w:noProof/>
          <w:lang w:val="cs-CZ"/>
        </w:rPr>
        <w:t>). A tato všudypřítomnost univerzálií je totéž jako jejich bytí v intelektu (</w:t>
      </w:r>
      <w:r w:rsidRPr="00273106">
        <w:rPr>
          <w:i/>
          <w:noProof/>
          <w:lang w:val="cs-CZ"/>
        </w:rPr>
        <w:t>universale ubique esse est ipsum in intellectu esse</w:t>
      </w:r>
      <w:r w:rsidRPr="00273106">
        <w:rPr>
          <w:noProof/>
          <w:lang w:val="cs-CZ"/>
        </w:rPr>
        <w:t xml:space="preserve">), protože intelekt </w:t>
      </w:r>
      <w:r w:rsidR="00710839" w:rsidRPr="00273106">
        <w:rPr>
          <w:noProof/>
          <w:lang w:val="cs-CZ"/>
        </w:rPr>
        <w:t xml:space="preserve">je svým způsobem všude. (...) Jsou-li </w:t>
      </w:r>
      <w:r w:rsidRPr="00273106">
        <w:rPr>
          <w:noProof/>
          <w:lang w:val="cs-CZ"/>
        </w:rPr>
        <w:t xml:space="preserve">univerzália dána jako ideje v boží mysli, pak jsou všudypřítomná </w:t>
      </w:r>
      <w:r w:rsidR="082B2F4D">
        <w:rPr>
          <w:noProof/>
          <w:lang w:val="cs-CZ"/>
        </w:rPr>
        <w:t xml:space="preserve">skrze </w:t>
      </w:r>
      <w:r w:rsidRPr="00273106">
        <w:rPr>
          <w:noProof/>
          <w:lang w:val="cs-CZ"/>
        </w:rPr>
        <w:t xml:space="preserve">způsob, skrze který se dává </w:t>
      </w:r>
      <w:r w:rsidR="082B2F4D">
        <w:rPr>
          <w:noProof/>
          <w:lang w:val="cs-CZ"/>
        </w:rPr>
        <w:t xml:space="preserve">všudypřítomné </w:t>
      </w:r>
      <w:r w:rsidRPr="00273106">
        <w:rPr>
          <w:noProof/>
          <w:lang w:val="cs-CZ"/>
        </w:rPr>
        <w:t>působení první kauzy.</w:t>
      </w:r>
      <w:r w:rsidRPr="00273106">
        <w:rPr>
          <w:rStyle w:val="st"/>
          <w:noProof/>
          <w:lang w:val="cs-CZ"/>
        </w:rPr>
        <w:t xml:space="preserve">“ </w:t>
      </w:r>
      <w:r w:rsidRPr="00273106">
        <w:rPr>
          <w:rStyle w:val="Znakapoznpodarou"/>
          <w:noProof/>
          <w:lang w:val="cs-CZ"/>
        </w:rPr>
        <w:footnoteReference w:id="314"/>
      </w:r>
    </w:p>
    <w:p w14:paraId="570C3B5D" w14:textId="77777777" w:rsidR="00075E9E" w:rsidRDefault="00755C4A" w:rsidP="009A6714">
      <w:r w:rsidRPr="00273106">
        <w:t>Obecniny jsou jednou ve věcech, podruhé v intelektu, ale všude mají stejný způsob univočního bytí</w:t>
      </w:r>
      <w:r w:rsidR="00FA3BB4">
        <w:fldChar w:fldCharType="begin"/>
      </w:r>
      <w:r w:rsidR="00FA3BB4">
        <w:instrText xml:space="preserve"> XE "</w:instrText>
      </w:r>
      <w:r w:rsidR="00FA3BB4" w:rsidRPr="00827E65">
        <w:instrText>spor o univerzália</w:instrText>
      </w:r>
      <w:r w:rsidR="00FA3BB4">
        <w:instrText xml:space="preserve">" </w:instrText>
      </w:r>
      <w:r w:rsidR="00FA3BB4">
        <w:fldChar w:fldCharType="end"/>
      </w:r>
      <w:r w:rsidRPr="00273106">
        <w:t xml:space="preserve">. </w:t>
      </w:r>
      <w:r>
        <w:t xml:space="preserve">Kde je boží nebo lidská mysl, tam jsou i obecné významy. </w:t>
      </w:r>
      <w:r w:rsidR="087B607E" w:rsidRPr="00273106">
        <w:t xml:space="preserve">Citát hypostázoval akcidenty </w:t>
      </w:r>
      <w:r w:rsidR="087B607E">
        <w:t xml:space="preserve">na úroveň substance </w:t>
      </w:r>
      <w:r w:rsidR="087B607E" w:rsidRPr="00273106">
        <w:t xml:space="preserve">a přidal k nim samostatná kategoriální určení, což představuje typický postup porretánů. </w:t>
      </w:r>
      <w:r w:rsidR="087B607E">
        <w:t>V aristotelismu platí, že j</w:t>
      </w:r>
      <w:r w:rsidR="087B607E" w:rsidRPr="00273106">
        <w:t xml:space="preserve">en akcidenty vázané na substanci mohou mít určení na </w:t>
      </w:r>
      <w:r w:rsidR="087B607E">
        <w:t>způsob kategoriální určení „kde</w:t>
      </w:r>
      <w:r w:rsidR="087B607E" w:rsidRPr="00273106">
        <w:t>“ (</w:t>
      </w:r>
      <w:r w:rsidR="087B607E">
        <w:rPr>
          <w:i/>
        </w:rPr>
        <w:t>ubi</w:t>
      </w:r>
      <w:r w:rsidR="087B607E" w:rsidRPr="00273106">
        <w:t>), nebo „polohy“ (</w:t>
      </w:r>
      <w:r w:rsidR="087B607E" w:rsidRPr="00273106">
        <w:rPr>
          <w:i/>
        </w:rPr>
        <w:t>positio</w:t>
      </w:r>
      <w:r w:rsidR="087B607E" w:rsidRPr="00273106">
        <w:t>).</w:t>
      </w:r>
      <w:r w:rsidR="087B607E">
        <w:t xml:space="preserve"> Nový v</w:t>
      </w:r>
      <w:r w:rsidR="087B607E" w:rsidRPr="00273106">
        <w:t xml:space="preserve">ýklad </w:t>
      </w:r>
      <w:r w:rsidR="087B607E">
        <w:t xml:space="preserve">akcidentů </w:t>
      </w:r>
      <w:r w:rsidR="087B607E" w:rsidRPr="00273106">
        <w:t xml:space="preserve">ekvivočně vybavuje univerzália kategoriálním </w:t>
      </w:r>
      <w:r w:rsidR="087B607E" w:rsidRPr="00273106">
        <w:lastRenderedPageBreak/>
        <w:t>určením pozice (</w:t>
      </w:r>
      <w:r w:rsidR="087B607E" w:rsidRPr="00273106">
        <w:rPr>
          <w:i/>
        </w:rPr>
        <w:t xml:space="preserve">loca autem universalium sunt </w:t>
      </w:r>
      <w:r w:rsidR="087B607E" w:rsidRPr="00273106">
        <w:rPr>
          <w:bCs/>
          <w:i/>
        </w:rPr>
        <w:t>ipsa</w:t>
      </w:r>
      <w:r w:rsidR="087B607E" w:rsidRPr="00273106">
        <w:rPr>
          <w:i/>
        </w:rPr>
        <w:t xml:space="preserve"> </w:t>
      </w:r>
      <w:r w:rsidR="087B607E" w:rsidRPr="00273106">
        <w:rPr>
          <w:bCs/>
          <w:i/>
        </w:rPr>
        <w:t>singularia</w:t>
      </w:r>
      <w:r w:rsidR="087B607E" w:rsidRPr="00273106">
        <w:rPr>
          <w:bCs/>
        </w:rPr>
        <w:t>), která je vztažena k bytí univerzálií jako takových (</w:t>
      </w:r>
      <w:r w:rsidR="087B607E" w:rsidRPr="00273106">
        <w:rPr>
          <w:i/>
        </w:rPr>
        <w:t>in quibus sunt universalia</w:t>
      </w:r>
      <w:r w:rsidR="087B607E" w:rsidRPr="00273106">
        <w:t xml:space="preserve">). </w:t>
      </w:r>
      <w:r w:rsidR="085258A7">
        <w:t xml:space="preserve">Jen za těchto podmínek </w:t>
      </w:r>
      <w:r w:rsidR="085258A7" w:rsidRPr="00273106">
        <w:t>můžeme tvrdit</w:t>
      </w:r>
      <w:r w:rsidR="085258A7">
        <w:t xml:space="preserve"> (</w:t>
      </w:r>
      <w:r w:rsidR="085258A7" w:rsidRPr="087258C9">
        <w:rPr>
          <w:i/>
        </w:rPr>
        <w:t>nisi forte dicamus</w:t>
      </w:r>
      <w:r w:rsidR="085258A7">
        <w:t>)</w:t>
      </w:r>
      <w:r w:rsidR="085258A7" w:rsidRPr="00273106">
        <w:t>, ž</w:t>
      </w:r>
      <w:r w:rsidR="085258A7">
        <w:t xml:space="preserve">e univerzália jsou všudypřítomná. Tato výhrada ukazuje </w:t>
      </w:r>
      <w:r w:rsidR="085258A7" w:rsidRPr="00273106">
        <w:t xml:space="preserve">váhání prvního modernisty latinského Západu, který tuší podle výše </w:t>
      </w:r>
      <w:r w:rsidR="085258A7">
        <w:t xml:space="preserve">uvedeného způsobu </w:t>
      </w:r>
      <w:r w:rsidR="085258A7" w:rsidRPr="00273106">
        <w:rPr>
          <w:i/>
        </w:rPr>
        <w:t>aliquantulum obscura</w:t>
      </w:r>
      <w:r w:rsidR="085258A7" w:rsidRPr="00273106">
        <w:t>, že v jeho interpetaci se skrývá nějaký háček</w:t>
      </w:r>
      <w:r w:rsidR="085258A7">
        <w:fldChar w:fldCharType="begin"/>
      </w:r>
      <w:r w:rsidR="085258A7">
        <w:instrText xml:space="preserve"> XE "</w:instrText>
      </w:r>
      <w:r w:rsidR="085258A7" w:rsidRPr="006B559B">
        <w:rPr>
          <w:i/>
        </w:rPr>
        <w:instrText>a/léth</w:instrText>
      </w:r>
      <w:r w:rsidR="085258A7">
        <w:rPr>
          <w:i/>
        </w:rPr>
        <w:instrText>e</w:instrText>
      </w:r>
      <w:r w:rsidR="085258A7" w:rsidRPr="006B559B">
        <w:rPr>
          <w:i/>
        </w:rPr>
        <w:instrText>ia</w:instrText>
      </w:r>
      <w:r w:rsidR="085258A7" w:rsidRPr="00BA042E">
        <w:instrText>:Grosseteste</w:instrText>
      </w:r>
      <w:r w:rsidR="085258A7">
        <w:instrText xml:space="preserve">" </w:instrText>
      </w:r>
      <w:r w:rsidR="085258A7">
        <w:fldChar w:fldCharType="end"/>
      </w:r>
      <w:r w:rsidR="085258A7" w:rsidRPr="00273106">
        <w:t xml:space="preserve">. </w:t>
      </w:r>
      <w:r w:rsidR="087B607E" w:rsidRPr="00273106">
        <w:t>John Pagus</w:t>
      </w:r>
      <w:r w:rsidR="087B607E">
        <w:fldChar w:fldCharType="begin"/>
      </w:r>
      <w:r w:rsidR="087B607E">
        <w:instrText xml:space="preserve"> XE "</w:instrText>
      </w:r>
      <w:r w:rsidR="087B607E" w:rsidRPr="00774D07">
        <w:instrText>Pagus, John</w:instrText>
      </w:r>
      <w:r w:rsidR="087B607E">
        <w:instrText xml:space="preserve">" </w:instrText>
      </w:r>
      <w:r w:rsidR="087B607E">
        <w:fldChar w:fldCharType="end"/>
      </w:r>
      <w:r w:rsidR="087B607E" w:rsidRPr="00273106">
        <w:t xml:space="preserve"> podobným způsobem harmonizoval výklad </w:t>
      </w:r>
      <w:r w:rsidR="087B607E" w:rsidRPr="087258C9">
        <w:rPr>
          <w:i/>
        </w:rPr>
        <w:t>Kategorií</w:t>
      </w:r>
      <w:r w:rsidR="087B607E" w:rsidRPr="00273106">
        <w:t xml:space="preserve"> s hierarchickou strukturou univerzálií danou v rámci neoplatonismu. Akcidenty </w:t>
      </w:r>
      <w:r w:rsidR="087B607E">
        <w:t xml:space="preserve">v klasickém aristotelismu ale </w:t>
      </w:r>
      <w:r w:rsidR="087B607E" w:rsidRPr="00273106">
        <w:t>nejsou druhou substancí, pouze o ní vypovídají v kategoriálních významech navázaných na reálné determinace první substance.</w:t>
      </w:r>
      <w:r w:rsidR="084B075F">
        <w:t xml:space="preserve"> </w:t>
      </w:r>
      <w:r w:rsidR="08432EF4" w:rsidRPr="00273106">
        <w:t>Závěr citátu obsahuje zásadní změnu v ontologickém rozvrhu jsoucna</w:t>
      </w:r>
      <w:r w:rsidR="08432EF4">
        <w:t>, který je už jednoznačně podán v avicennistickém scénáři Toledské školy</w:t>
      </w:r>
      <w:r w:rsidR="08432EF4" w:rsidRPr="00273106">
        <w:t xml:space="preserve">. </w:t>
      </w:r>
      <w:r w:rsidR="08432EF4">
        <w:t xml:space="preserve">Díky ontoteologickému spojení boží mysli </w:t>
      </w:r>
      <w:r w:rsidR="08432EF4" w:rsidRPr="00273106">
        <w:t xml:space="preserve">s jejím stvořitelským účinkem </w:t>
      </w:r>
      <w:r w:rsidR="084B075F">
        <w:t xml:space="preserve">(modus </w:t>
      </w:r>
      <w:r w:rsidR="084B075F" w:rsidRPr="084B075F">
        <w:rPr>
          <w:i/>
        </w:rPr>
        <w:t>quo</w:t>
      </w:r>
      <w:r w:rsidR="084B075F">
        <w:t xml:space="preserve">) </w:t>
      </w:r>
      <w:r w:rsidR="08432EF4" w:rsidRPr="00273106">
        <w:t>se obecniny chápané jako substance stávají všudypřítomným efektivním jsoucnem (</w:t>
      </w:r>
      <w:r w:rsidR="08432EF4" w:rsidRPr="00273106">
        <w:rPr>
          <w:i/>
        </w:rPr>
        <w:t>universalia ubique sunt per modum quo causa prima ubique est</w:t>
      </w:r>
      <w:r w:rsidR="08432EF4">
        <w:t xml:space="preserve">). </w:t>
      </w:r>
      <w:r w:rsidR="08432EF4" w:rsidRPr="00273106">
        <w:t xml:space="preserve">Grosseteste postuluje pro univerzália kauzální predikaci v modu </w:t>
      </w:r>
      <w:r w:rsidR="08432EF4" w:rsidRPr="00273106">
        <w:rPr>
          <w:i/>
        </w:rPr>
        <w:t>per prius</w:t>
      </w:r>
      <w:r w:rsidR="08432EF4" w:rsidRPr="00273106">
        <w:t xml:space="preserve">, která je dána v řádu stvořitelské kauzality. </w:t>
      </w:r>
      <w:r w:rsidR="08432EF4">
        <w:t xml:space="preserve">Termín </w:t>
      </w:r>
      <w:r w:rsidR="08432EF4" w:rsidRPr="00273106">
        <w:rPr>
          <w:i/>
        </w:rPr>
        <w:t>per modum quo</w:t>
      </w:r>
      <w:r w:rsidR="08432EF4" w:rsidRPr="00273106">
        <w:t xml:space="preserve"> dává obecninám existenční význam v modu </w:t>
      </w:r>
      <w:r w:rsidR="08432EF4" w:rsidRPr="00273106">
        <w:rPr>
          <w:i/>
        </w:rPr>
        <w:t>actus es</w:t>
      </w:r>
      <w:r w:rsidR="08432EF4">
        <w:rPr>
          <w:i/>
        </w:rPr>
        <w:t>s</w:t>
      </w:r>
      <w:r w:rsidR="08432EF4" w:rsidRPr="00273106">
        <w:rPr>
          <w:i/>
        </w:rPr>
        <w:t>endi</w:t>
      </w:r>
      <w:r w:rsidR="08432EF4">
        <w:rPr>
          <w:i/>
        </w:rPr>
        <w:fldChar w:fldCharType="begin"/>
      </w:r>
      <w:r w:rsidR="08432EF4">
        <w:instrText xml:space="preserve"> XE "</w:instrText>
      </w:r>
      <w:r w:rsidR="08432EF4" w:rsidRPr="00B26404">
        <w:rPr>
          <w:i/>
        </w:rPr>
        <w:instrText>actus es</w:instrText>
      </w:r>
      <w:r w:rsidR="08432EF4">
        <w:rPr>
          <w:i/>
        </w:rPr>
        <w:instrText>s</w:instrText>
      </w:r>
      <w:r w:rsidR="08432EF4" w:rsidRPr="00B26404">
        <w:rPr>
          <w:i/>
        </w:rPr>
        <w:instrText>endi</w:instrText>
      </w:r>
      <w:r w:rsidR="08432EF4">
        <w:instrText xml:space="preserve">" </w:instrText>
      </w:r>
      <w:r w:rsidR="08432EF4">
        <w:rPr>
          <w:i/>
        </w:rPr>
        <w:fldChar w:fldCharType="end"/>
      </w:r>
      <w:r w:rsidR="08432EF4" w:rsidRPr="00273106">
        <w:t>. Myšlení v řádu stvořitelského bytí zakládá aktuální existenci jsoucna (</w:t>
      </w:r>
      <w:r w:rsidR="08432EF4" w:rsidRPr="00273106">
        <w:rPr>
          <w:i/>
        </w:rPr>
        <w:t>quo est</w:t>
      </w:r>
      <w:r w:rsidR="08432EF4">
        <w:rPr>
          <w:i/>
        </w:rPr>
        <w:fldChar w:fldCharType="begin"/>
      </w:r>
      <w:r w:rsidR="08432EF4">
        <w:instrText xml:space="preserve"> XE "</w:instrText>
      </w:r>
      <w:r w:rsidR="08432EF4" w:rsidRPr="003C4F2E">
        <w:rPr>
          <w:i/>
        </w:rPr>
        <w:instrText>quo est</w:instrText>
      </w:r>
      <w:r w:rsidR="08432EF4">
        <w:instrText xml:space="preserve">" </w:instrText>
      </w:r>
      <w:r w:rsidR="08432EF4">
        <w:rPr>
          <w:i/>
        </w:rPr>
        <w:fldChar w:fldCharType="end"/>
      </w:r>
      <w:r w:rsidR="08432EF4" w:rsidRPr="00273106">
        <w:t>).</w:t>
      </w:r>
      <w:r w:rsidR="08432EF4">
        <w:t xml:space="preserve"> Tím vznikla pro univerzália třetího druhu </w:t>
      </w:r>
      <w:r w:rsidR="08432EF4" w:rsidRPr="00273106">
        <w:t>kvazi</w:t>
      </w:r>
      <w:r w:rsidR="08432EF4" w:rsidRPr="00273106">
        <w:noBreakHyphen/>
        <w:t>kategoriální predikace</w:t>
      </w:r>
      <w:r w:rsidR="08432EF4">
        <w:fldChar w:fldCharType="begin"/>
      </w:r>
      <w:r w:rsidR="08432EF4">
        <w:instrText xml:space="preserve"> XE "</w:instrText>
      </w:r>
      <w:r w:rsidR="08432EF4" w:rsidRPr="008554FC">
        <w:instrText>predikace:objektivní</w:instrText>
      </w:r>
      <w:r w:rsidR="08432EF4">
        <w:instrText xml:space="preserve">" </w:instrText>
      </w:r>
      <w:r w:rsidR="08432EF4">
        <w:fldChar w:fldCharType="end"/>
      </w:r>
      <w:r w:rsidR="08432EF4" w:rsidRPr="00273106">
        <w:t xml:space="preserve"> </w:t>
      </w:r>
      <w:r w:rsidR="08432EF4" w:rsidRPr="00273106">
        <w:rPr>
          <w:i/>
        </w:rPr>
        <w:t>per prius</w:t>
      </w:r>
      <w:r w:rsidR="08432EF4" w:rsidRPr="00273106">
        <w:t>, která je umístěna do boží mysli (</w:t>
      </w:r>
      <w:r w:rsidR="08432EF4" w:rsidRPr="00273106">
        <w:rPr>
          <w:i/>
        </w:rPr>
        <w:t>universalia sunt ydee in mente divina</w:t>
      </w:r>
      <w:r w:rsidR="08432EF4" w:rsidRPr="00273106">
        <w:t xml:space="preserve">). V této archetypické sféře </w:t>
      </w:r>
      <w:r w:rsidR="08432EF4">
        <w:fldChar w:fldCharType="begin"/>
      </w:r>
      <w:r w:rsidR="08432EF4">
        <w:instrText xml:space="preserve"> XE "</w:instrText>
      </w:r>
      <w:r w:rsidR="08432EF4" w:rsidRPr="003B6A58">
        <w:instrText>diakosmos</w:instrText>
      </w:r>
      <w:r w:rsidR="08432EF4">
        <w:instrText xml:space="preserve">" </w:instrText>
      </w:r>
      <w:r w:rsidR="08432EF4">
        <w:fldChar w:fldCharType="end"/>
      </w:r>
      <w:r w:rsidR="08432EF4" w:rsidRPr="00273106">
        <w:t>univerzália dostávají ontoteologickou hodnotu napojenou</w:t>
      </w:r>
      <w:r w:rsidR="08432EF4">
        <w:t xml:space="preserve"> na demiurgický svět dialogu </w:t>
      </w:r>
      <w:r w:rsidR="08432EF4" w:rsidRPr="004F3386">
        <w:rPr>
          <w:i/>
        </w:rPr>
        <w:t>Timaios</w:t>
      </w:r>
      <w:r w:rsidR="08432EF4">
        <w:rPr>
          <w:i/>
        </w:rPr>
        <w:fldChar w:fldCharType="begin"/>
      </w:r>
      <w:r w:rsidR="08432EF4">
        <w:instrText xml:space="preserve"> XE "dialog </w:instrText>
      </w:r>
      <w:r w:rsidR="08432EF4" w:rsidRPr="08A360D2">
        <w:rPr>
          <w:i/>
        </w:rPr>
        <w:instrText>Timaios</w:instrText>
      </w:r>
      <w:r w:rsidR="08432EF4">
        <w:instrText xml:space="preserve">" </w:instrText>
      </w:r>
      <w:r w:rsidR="08432EF4">
        <w:rPr>
          <w:i/>
        </w:rPr>
        <w:fldChar w:fldCharType="end"/>
      </w:r>
      <w:r w:rsidR="08432EF4" w:rsidRPr="00273106">
        <w:t xml:space="preserve">. Až na druhém patře </w:t>
      </w:r>
      <w:r w:rsidR="08432EF4">
        <w:t xml:space="preserve">stvořené </w:t>
      </w:r>
      <w:r w:rsidR="08432EF4" w:rsidRPr="00273106">
        <w:t xml:space="preserve">reality se obecniny stávají </w:t>
      </w:r>
      <w:r w:rsidR="08432EF4">
        <w:t xml:space="preserve">hylemorfickou součástí </w:t>
      </w:r>
      <w:r w:rsidR="08432EF4" w:rsidRPr="00273106">
        <w:t>první substan</w:t>
      </w:r>
      <w:r w:rsidR="08432EF4">
        <w:t xml:space="preserve">ce. </w:t>
      </w:r>
      <w:r w:rsidR="08432EF4" w:rsidRPr="00273106">
        <w:t>Tuto dvoupatrovou ontoteoteologickou stavbu objektivního jsoucna kompletně postaví Bonaventura (</w:t>
      </w:r>
      <w:r w:rsidR="08432EF4" w:rsidRPr="00273106">
        <w:rPr>
          <w:i/>
        </w:rPr>
        <w:t>regula agenti</w:t>
      </w:r>
      <w:r w:rsidR="08432EF4">
        <w:rPr>
          <w:i/>
        </w:rPr>
        <w:t>s in</w:t>
      </w:r>
      <w:r w:rsidR="08432EF4" w:rsidRPr="00273106">
        <w:rPr>
          <w:i/>
        </w:rPr>
        <w:t>creati</w:t>
      </w:r>
      <w:r w:rsidR="08432EF4">
        <w:rPr>
          <w:i/>
        </w:rPr>
        <w:t xml:space="preserve"> et </w:t>
      </w:r>
      <w:r w:rsidR="08432EF4">
        <w:rPr>
          <w:i/>
        </w:rPr>
        <w:fldChar w:fldCharType="begin"/>
      </w:r>
      <w:r w:rsidR="08432EF4">
        <w:instrText xml:space="preserve"> XE "</w:instrText>
      </w:r>
      <w:r w:rsidR="08432EF4">
        <w:rPr>
          <w:i/>
        </w:rPr>
        <w:instrText>regule:</w:instrText>
      </w:r>
      <w:r w:rsidR="08432EF4" w:rsidRPr="000E37A2">
        <w:rPr>
          <w:i/>
        </w:rPr>
        <w:instrText>agentis in/creati</w:instrText>
      </w:r>
      <w:r w:rsidR="08432EF4">
        <w:instrText xml:space="preserve">" </w:instrText>
      </w:r>
      <w:r w:rsidR="08432EF4">
        <w:rPr>
          <w:i/>
        </w:rPr>
        <w:fldChar w:fldCharType="end"/>
      </w:r>
      <w:r w:rsidR="08432EF4" w:rsidRPr="004F3386">
        <w:rPr>
          <w:i/>
        </w:rPr>
        <w:t>creati</w:t>
      </w:r>
      <w:r w:rsidR="08AE4A9E">
        <w:t>; OBJ III, kap. 4</w:t>
      </w:r>
      <w:r w:rsidR="08432EF4" w:rsidRPr="00273106">
        <w:t xml:space="preserve">.1.2). Napojením kategoriální predikace na </w:t>
      </w:r>
      <w:r w:rsidR="08432EF4">
        <w:t>neoplatonsk</w:t>
      </w:r>
      <w:r w:rsidR="08432EF4" w:rsidRPr="00273106">
        <w:t>ou ontoteologii</w:t>
      </w:r>
      <w:r w:rsidR="08432EF4">
        <w:fldChar w:fldCharType="begin"/>
      </w:r>
      <w:r w:rsidR="08432EF4">
        <w:instrText xml:space="preserve"> XE "</w:instrText>
      </w:r>
      <w:r w:rsidR="08432EF4" w:rsidRPr="00A45678">
        <w:rPr>
          <w:rStyle w:val="addmd"/>
        </w:rPr>
        <w:instrText>ontoteologie:</w:instrText>
      </w:r>
      <w:r w:rsidR="08432EF4">
        <w:rPr>
          <w:rStyle w:val="addmd"/>
        </w:rPr>
        <w:instrText>Grosseteste</w:instrText>
      </w:r>
      <w:r w:rsidR="08432EF4">
        <w:instrText xml:space="preserve">" </w:instrText>
      </w:r>
      <w:r w:rsidR="08432EF4">
        <w:fldChar w:fldCharType="end"/>
      </w:r>
      <w:r w:rsidR="08432EF4" w:rsidRPr="00273106">
        <w:t xml:space="preserve"> vznikla epochálně nová forma jsoucna třetího druhu, což pochopila a využila následující generace </w:t>
      </w:r>
      <w:r w:rsidR="08432EF4">
        <w:t xml:space="preserve">učených </w:t>
      </w:r>
      <w:r w:rsidR="00075E9E">
        <w:t>Latiníků na Oxfordu.</w:t>
      </w:r>
    </w:p>
    <w:p w14:paraId="53BB7AF3" w14:textId="5402F996" w:rsidR="006D1E0C" w:rsidRPr="00273106" w:rsidRDefault="08432EF4" w:rsidP="00075E9E">
      <w:pPr>
        <w:ind w:firstLine="397"/>
      </w:pPr>
      <w:r w:rsidRPr="00273106">
        <w:t xml:space="preserve">Inspirativním modelem pro tento výklad se stala dedukce univerzálií podle </w:t>
      </w:r>
      <w:r>
        <w:t>Porfyri</w:t>
      </w:r>
      <w:r w:rsidRPr="00273106">
        <w:t xml:space="preserve">ova stromu zavedená ve škole </w:t>
      </w:r>
      <w:r w:rsidRPr="00273106">
        <w:rPr>
          <w:i/>
        </w:rPr>
        <w:t>Nominales</w:t>
      </w:r>
      <w:r w:rsidRPr="00273106">
        <w:t xml:space="preserve">, kterou školy </w:t>
      </w:r>
      <w:r w:rsidRPr="00273106">
        <w:rPr>
          <w:i/>
        </w:rPr>
        <w:t>Modernorum</w:t>
      </w:r>
      <w:r w:rsidRPr="00273106">
        <w:t xml:space="preserve"> aplikovaly kolem 1230 na výklad </w:t>
      </w:r>
      <w:r w:rsidRPr="00EE75F8">
        <w:rPr>
          <w:i/>
        </w:rPr>
        <w:t>Kategorií</w:t>
      </w:r>
      <w:r w:rsidRPr="00273106">
        <w:t xml:space="preserve"> a </w:t>
      </w:r>
      <w:r w:rsidRPr="00EE75F8">
        <w:rPr>
          <w:i/>
        </w:rPr>
        <w:t>Druhých analytik</w:t>
      </w:r>
      <w:r w:rsidRPr="00273106">
        <w:t>.</w:t>
      </w:r>
      <w:r>
        <w:t xml:space="preserve"> </w:t>
      </w:r>
      <w:r w:rsidR="00755C4A" w:rsidRPr="00273106">
        <w:t xml:space="preserve">Univerzália se podle citace Grossetesteho vypovídají vzhledem k </w:t>
      </w:r>
      <w:r w:rsidR="00755C4A" w:rsidRPr="00273106">
        <w:rPr>
          <w:i/>
        </w:rPr>
        <w:t>ubiquitas</w:t>
      </w:r>
      <w:r w:rsidR="00755C4A" w:rsidRPr="00273106">
        <w:t xml:space="preserve"> intelektu, který je nadřazený hylemorfickým prvním substancím </w:t>
      </w:r>
      <w:r w:rsidR="00755C4A" w:rsidRPr="00273106">
        <w:lastRenderedPageBreak/>
        <w:t>(</w:t>
      </w:r>
      <w:r w:rsidR="00755C4A" w:rsidRPr="00273106">
        <w:rPr>
          <w:i/>
        </w:rPr>
        <w:t>universale ubique est quia intellectus est locus universalium</w:t>
      </w:r>
      <w:r w:rsidR="00755C4A" w:rsidRPr="00273106">
        <w:t>). Intelekt je nějak všude, protože duše skrze intelektuální poznání nějak vším (</w:t>
      </w:r>
      <w:r w:rsidR="00755C4A" w:rsidRPr="00273106">
        <w:rPr>
          <w:rStyle w:val="st"/>
          <w:bCs/>
          <w:i/>
        </w:rPr>
        <w:t>anima</w:t>
      </w:r>
      <w:r w:rsidR="00755C4A" w:rsidRPr="00273106">
        <w:rPr>
          <w:rStyle w:val="st"/>
          <w:i/>
        </w:rPr>
        <w:t xml:space="preserve"> est </w:t>
      </w:r>
      <w:r w:rsidR="00755C4A" w:rsidRPr="00273106">
        <w:rPr>
          <w:rStyle w:val="st"/>
          <w:bCs/>
          <w:i/>
        </w:rPr>
        <w:t>quodammodo omnia</w:t>
      </w:r>
      <w:r w:rsidR="00755C4A" w:rsidRPr="00273106">
        <w:rPr>
          <w:rStyle w:val="FontStyle129"/>
          <w:rFonts w:ascii="Calibri" w:hAnsi="Calibri"/>
          <w:sz w:val="24"/>
        </w:rPr>
        <w:t xml:space="preserve">, </w:t>
      </w:r>
      <w:r w:rsidR="00755C4A">
        <w:rPr>
          <w:rStyle w:val="FontStyle129"/>
          <w:rFonts w:ascii="Calibri" w:hAnsi="Calibri"/>
          <w:i/>
          <w:sz w:val="24"/>
        </w:rPr>
        <w:t>De anima</w:t>
      </w:r>
      <w:r w:rsidR="00755C4A" w:rsidRPr="00273106">
        <w:rPr>
          <w:rStyle w:val="FontStyle129"/>
          <w:rFonts w:ascii="Calibri" w:hAnsi="Calibri"/>
          <w:sz w:val="24"/>
        </w:rPr>
        <w:t xml:space="preserve"> 431b21</w:t>
      </w:r>
      <w:r w:rsidR="00FA3BB4">
        <w:rPr>
          <w:rStyle w:val="FontStyle129"/>
          <w:rFonts w:ascii="Calibri" w:hAnsi="Calibri"/>
          <w:sz w:val="24"/>
        </w:rPr>
        <w:fldChar w:fldCharType="begin"/>
      </w:r>
      <w:r w:rsidR="00FA3BB4">
        <w:instrText xml:space="preserve"> XE "</w:instrText>
      </w:r>
      <w:r w:rsidR="008E02F5">
        <w:instrText>Aristoteles</w:instrText>
      </w:r>
      <w:r w:rsidR="00FA3BB4">
        <w:instrText>:</w:instrText>
      </w:r>
      <w:r w:rsidR="00FA3BB4" w:rsidRPr="00104569">
        <w:rPr>
          <w:rStyle w:val="FontStyle129"/>
          <w:rFonts w:ascii="Calibri" w:hAnsi="Calibri"/>
          <w:i/>
          <w:sz w:val="24"/>
        </w:rPr>
        <w:instrText>De anima</w:instrText>
      </w:r>
      <w:r w:rsidR="00FA3BB4" w:rsidRPr="00104569">
        <w:rPr>
          <w:rStyle w:val="FontStyle129"/>
          <w:rFonts w:ascii="Calibri" w:hAnsi="Calibri"/>
          <w:sz w:val="24"/>
        </w:rPr>
        <w:instrText xml:space="preserve"> 431b21</w:instrText>
      </w:r>
      <w:r w:rsidR="00FA3BB4">
        <w:instrText xml:space="preserve">" </w:instrText>
      </w:r>
      <w:r w:rsidR="00FA3BB4">
        <w:rPr>
          <w:rStyle w:val="FontStyle129"/>
          <w:rFonts w:ascii="Calibri" w:hAnsi="Calibri"/>
          <w:sz w:val="24"/>
        </w:rPr>
        <w:fldChar w:fldCharType="end"/>
      </w:r>
      <w:r w:rsidR="00755C4A" w:rsidRPr="00273106">
        <w:rPr>
          <w:rStyle w:val="FontStyle129"/>
          <w:rFonts w:ascii="Calibri" w:hAnsi="Calibri"/>
          <w:sz w:val="24"/>
        </w:rPr>
        <w:t>)</w:t>
      </w:r>
      <w:r w:rsidR="0082049F">
        <w:t xml:space="preserve">. Duše tedy funguje jako </w:t>
      </w:r>
      <w:r w:rsidR="00755C4A" w:rsidRPr="00273106">
        <w:rPr>
          <w:i/>
        </w:rPr>
        <w:t>locus universalium</w:t>
      </w:r>
      <w:r w:rsidR="00755C4A" w:rsidRPr="00273106">
        <w:t xml:space="preserve"> a později se z ní sta</w:t>
      </w:r>
      <w:r w:rsidR="0082049F">
        <w:t xml:space="preserve">ne ve škole druhého averroismu </w:t>
      </w:r>
      <w:r w:rsidR="00755C4A" w:rsidRPr="00273106">
        <w:rPr>
          <w:i/>
        </w:rPr>
        <w:t>locus specierum</w:t>
      </w:r>
      <w:r w:rsidR="00CC2962">
        <w:rPr>
          <w:i/>
        </w:rPr>
        <w:fldChar w:fldCharType="begin"/>
      </w:r>
      <w:r w:rsidR="00CC2962">
        <w:instrText xml:space="preserve"> XE "</w:instrText>
      </w:r>
      <w:r w:rsidR="00CC2962" w:rsidRPr="009E5259">
        <w:rPr>
          <w:i/>
        </w:rPr>
        <w:instrText>locus specierum</w:instrText>
      </w:r>
      <w:r w:rsidR="00CC2962">
        <w:instrText xml:space="preserve">" </w:instrText>
      </w:r>
      <w:r w:rsidR="00CC2962">
        <w:rPr>
          <w:i/>
        </w:rPr>
        <w:fldChar w:fldCharType="end"/>
      </w:r>
      <w:r w:rsidR="00755C4A" w:rsidRPr="00273106">
        <w:t xml:space="preserve"> (</w:t>
      </w:r>
      <w:r w:rsidR="08746E99">
        <w:t>OBJ III, kap. 4</w:t>
      </w:r>
      <w:r w:rsidR="00755C4A" w:rsidRPr="00273106">
        <w:t xml:space="preserve">.3.1). Vzhledem k duši </w:t>
      </w:r>
      <w:r w:rsidR="00AE251D">
        <w:t xml:space="preserve">jako </w:t>
      </w:r>
      <w:r w:rsidR="00AE251D" w:rsidRPr="00AE251D">
        <w:rPr>
          <w:i/>
        </w:rPr>
        <w:t>anima mundi</w:t>
      </w:r>
      <w:r w:rsidR="00AE251D">
        <w:rPr>
          <w:i/>
        </w:rPr>
        <w:fldChar w:fldCharType="begin"/>
      </w:r>
      <w:r w:rsidR="00AE251D">
        <w:instrText xml:space="preserve"> XE "</w:instrText>
      </w:r>
      <w:r w:rsidR="00AE251D" w:rsidRPr="0001085F">
        <w:rPr>
          <w:i/>
        </w:rPr>
        <w:instrText>anima mundi</w:instrText>
      </w:r>
      <w:r w:rsidR="00AE251D">
        <w:instrText xml:space="preserve">" </w:instrText>
      </w:r>
      <w:r w:rsidR="00AE251D">
        <w:rPr>
          <w:i/>
        </w:rPr>
        <w:fldChar w:fldCharType="end"/>
      </w:r>
      <w:r w:rsidR="00AE251D">
        <w:t xml:space="preserve"> </w:t>
      </w:r>
      <w:r w:rsidR="00755C4A" w:rsidRPr="00273106">
        <w:t>lze predikovat uni</w:t>
      </w:r>
      <w:r w:rsidR="087258C9">
        <w:t>verzália jako k archetypickému místu</w:t>
      </w:r>
      <w:r w:rsidR="00755C4A" w:rsidRPr="00273106">
        <w:t xml:space="preserve"> fungujícímu na způsob první substance v </w:t>
      </w:r>
      <w:r w:rsidR="00755C4A" w:rsidRPr="087258C9">
        <w:rPr>
          <w:i/>
        </w:rPr>
        <w:t>Kategoriích</w:t>
      </w:r>
      <w:r w:rsidR="00755C4A" w:rsidRPr="00273106">
        <w:t xml:space="preserve">. Tím </w:t>
      </w:r>
      <w:r w:rsidR="00755C4A">
        <w:t>se z duše stala substance</w:t>
      </w:r>
      <w:r w:rsidR="00586586">
        <w:t xml:space="preserve"> třetího druhu</w:t>
      </w:r>
      <w:r w:rsidR="00FA3BB4">
        <w:fldChar w:fldCharType="begin"/>
      </w:r>
      <w:r w:rsidR="00FA3BB4">
        <w:instrText xml:space="preserve"> XE "</w:instrText>
      </w:r>
      <w:r w:rsidR="00FA3BB4" w:rsidRPr="00DE2A32">
        <w:instrText>substance</w:instrText>
      </w:r>
      <w:r w:rsidR="00FA3BB4">
        <w:instrText xml:space="preserve">:duše" </w:instrText>
      </w:r>
      <w:r w:rsidR="00FA3BB4">
        <w:fldChar w:fldCharType="end"/>
      </w:r>
      <w:r w:rsidR="00755C4A">
        <w:t xml:space="preserve">, což </w:t>
      </w:r>
      <w:r w:rsidR="00B96A77">
        <w:t xml:space="preserve">završili </w:t>
      </w:r>
      <w:r w:rsidR="00755C4A" w:rsidRPr="00273106">
        <w:t xml:space="preserve">následovníci z </w:t>
      </w:r>
      <w:r w:rsidR="00B96A77">
        <w:t xml:space="preserve">Grossetesteho </w:t>
      </w:r>
      <w:r w:rsidR="00755C4A" w:rsidRPr="00273106">
        <w:t xml:space="preserve">školy, kteří přišli </w:t>
      </w:r>
      <w:r w:rsidR="00B96A77">
        <w:t xml:space="preserve">z </w:t>
      </w:r>
      <w:r w:rsidR="00B96A77" w:rsidRPr="00273106">
        <w:t xml:space="preserve">Oxfordu </w:t>
      </w:r>
      <w:r w:rsidR="00755C4A" w:rsidRPr="00273106">
        <w:t>do Paříže</w:t>
      </w:r>
      <w:r w:rsidR="00B96A77" w:rsidRPr="00B96A77">
        <w:t xml:space="preserve"> </w:t>
      </w:r>
      <w:r w:rsidR="00B96A77" w:rsidRPr="00273106">
        <w:t>kolem 1235</w:t>
      </w:r>
      <w:r w:rsidR="08F53912">
        <w:t xml:space="preserve">. Pokud k této všudypřítomnosti intelektu jako porretánské hypostáze přičteme </w:t>
      </w:r>
      <w:r w:rsidR="08F53912">
        <w:rPr>
          <w:rStyle w:val="st"/>
        </w:rPr>
        <w:t xml:space="preserve">Grosstetesteho </w:t>
      </w:r>
      <w:r w:rsidR="082634C5">
        <w:rPr>
          <w:rStyle w:val="st"/>
        </w:rPr>
        <w:t xml:space="preserve">a Rufusovou </w:t>
      </w:r>
      <w:r w:rsidR="08F53912">
        <w:rPr>
          <w:rStyle w:val="st"/>
        </w:rPr>
        <w:t xml:space="preserve">obhajobu </w:t>
      </w:r>
      <w:r w:rsidR="08F53912" w:rsidRPr="08F53912">
        <w:rPr>
          <w:rStyle w:val="st"/>
          <w:i/>
        </w:rPr>
        <w:t>anima mundi</w:t>
      </w:r>
      <w:r w:rsidR="08F53912">
        <w:rPr>
          <w:rStyle w:val="st"/>
          <w:i/>
        </w:rPr>
        <w:fldChar w:fldCharType="begin"/>
      </w:r>
      <w:r w:rsidR="08F53912">
        <w:instrText xml:space="preserve"> XE "</w:instrText>
      </w:r>
      <w:r w:rsidR="08F53912" w:rsidRPr="08D21404">
        <w:rPr>
          <w:rStyle w:val="st"/>
          <w:i/>
        </w:rPr>
        <w:instrText>anima mundi</w:instrText>
      </w:r>
      <w:r w:rsidR="08F53912">
        <w:instrText xml:space="preserve">" </w:instrText>
      </w:r>
      <w:r w:rsidR="08F53912">
        <w:rPr>
          <w:rStyle w:val="st"/>
          <w:i/>
        </w:rPr>
        <w:fldChar w:fldCharType="end"/>
      </w:r>
      <w:r w:rsidR="08F53912">
        <w:rPr>
          <w:rStyle w:val="st"/>
        </w:rPr>
        <w:t xml:space="preserve">, pak máme téměř kompletní scénář </w:t>
      </w:r>
      <w:r w:rsidR="08F53912">
        <w:t>panteistického božího intelektu podle Davida z Dinantu</w:t>
      </w:r>
      <w:r w:rsidR="08F53912">
        <w:fldChar w:fldCharType="begin"/>
      </w:r>
      <w:r w:rsidR="08F53912">
        <w:instrText xml:space="preserve"> XE "</w:instrText>
      </w:r>
      <w:r w:rsidR="08F53912" w:rsidRPr="08DD51CE">
        <w:instrText>David z Dinantu</w:instrText>
      </w:r>
      <w:r w:rsidR="08F53912">
        <w:instrText xml:space="preserve">" </w:instrText>
      </w:r>
      <w:r w:rsidR="08F53912">
        <w:fldChar w:fldCharType="end"/>
      </w:r>
      <w:r w:rsidR="08734417">
        <w:t xml:space="preserve"> (kap. 2</w:t>
      </w:r>
      <w:r w:rsidR="08F53912">
        <w:t xml:space="preserve">.1.3). </w:t>
      </w:r>
      <w:r w:rsidR="08E13C24">
        <w:t>Mode</w:t>
      </w:r>
      <w:r w:rsidR="08F53912">
        <w:t>r</w:t>
      </w:r>
      <w:r w:rsidR="08E13C24">
        <w:t>n</w:t>
      </w:r>
      <w:r w:rsidR="08F53912">
        <w:t>istický vývoj Grosste</w:t>
      </w:r>
      <w:r w:rsidR="08E13C24">
        <w:t>s</w:t>
      </w:r>
      <w:r w:rsidR="08F53912">
        <w:t xml:space="preserve">teho v Oxfordu dokázali v radikální podobě jeho </w:t>
      </w:r>
      <w:r w:rsidR="083F3170">
        <w:t xml:space="preserve">žáci </w:t>
      </w:r>
      <w:r w:rsidR="08F53912">
        <w:t xml:space="preserve">Rufus a Kildwardby, kteří po roce 1235 zahájili magisterská studia v Paříži. </w:t>
      </w:r>
      <w:r w:rsidR="083F3170">
        <w:t xml:space="preserve">Nauku o odděleném </w:t>
      </w:r>
      <w:r w:rsidR="083F3170" w:rsidRPr="08F53912">
        <w:rPr>
          <w:i/>
        </w:rPr>
        <w:t>intellectus agens</w:t>
      </w:r>
      <w:r w:rsidR="083F3170">
        <w:t xml:space="preserve"> daném jako </w:t>
      </w:r>
      <w:r w:rsidR="003311A7">
        <w:t xml:space="preserve">externí </w:t>
      </w:r>
      <w:r w:rsidR="083F3170">
        <w:t xml:space="preserve">součást lidské duše Alvernus zakázal hlásat na Pařížské univerzitě. </w:t>
      </w:r>
      <w:r w:rsidR="003B7727">
        <w:t>I</w:t>
      </w:r>
      <w:r w:rsidR="00CC5FF5">
        <w:t xml:space="preserve">ntelekt </w:t>
      </w:r>
      <w:r w:rsidR="003B7727">
        <w:t xml:space="preserve">nemůže být substance </w:t>
      </w:r>
      <w:r w:rsidR="00CC5FF5">
        <w:t>v prvním averroismu, protože je pouze schopností duše</w:t>
      </w:r>
      <w:r w:rsidR="00D15622">
        <w:t xml:space="preserve">, která také není </w:t>
      </w:r>
      <w:r w:rsidR="00E45324">
        <w:t xml:space="preserve">první </w:t>
      </w:r>
      <w:r w:rsidR="00D15622">
        <w:t>substance, ale forma těla</w:t>
      </w:r>
      <w:r w:rsidR="00CC5FF5">
        <w:t xml:space="preserve">. </w:t>
      </w:r>
      <w:r w:rsidR="009323D2" w:rsidRPr="00273106">
        <w:t xml:space="preserve">Grosseteste posunul </w:t>
      </w:r>
      <w:r w:rsidR="00321321">
        <w:t xml:space="preserve">predikaci </w:t>
      </w:r>
      <w:r w:rsidR="009323D2" w:rsidRPr="0058333C">
        <w:rPr>
          <w:i/>
        </w:rPr>
        <w:t>Druhých analytik</w:t>
      </w:r>
      <w:r w:rsidR="009323D2" w:rsidRPr="00273106">
        <w:t xml:space="preserve"> </w:t>
      </w:r>
      <w:r w:rsidR="00321321">
        <w:t xml:space="preserve">danou </w:t>
      </w:r>
      <w:r w:rsidR="009323D2" w:rsidRPr="00273106">
        <w:t xml:space="preserve">od </w:t>
      </w:r>
      <w:r w:rsidR="003C2F39">
        <w:t>účinků prvních substancí</w:t>
      </w:r>
      <w:r w:rsidR="009323D2" w:rsidRPr="00273106">
        <w:t xml:space="preserve"> k predikaci univočně hypostázovaných univerzálií</w:t>
      </w:r>
      <w:r w:rsidR="001C2A96">
        <w:t>, což odpovídá paradigmatu Toledské školy</w:t>
      </w:r>
      <w:r w:rsidR="008F2F5D">
        <w:fldChar w:fldCharType="begin"/>
      </w:r>
      <w:r w:rsidR="008F2F5D">
        <w:instrText xml:space="preserve"> XE "</w:instrText>
      </w:r>
      <w:r w:rsidR="008F2F5D" w:rsidRPr="00DB791B">
        <w:instrText>predikace:objektivní</w:instrText>
      </w:r>
      <w:r w:rsidR="008F2F5D">
        <w:instrText xml:space="preserve">" </w:instrText>
      </w:r>
      <w:r w:rsidR="008F2F5D">
        <w:fldChar w:fldCharType="end"/>
      </w:r>
      <w:r w:rsidR="009323D2" w:rsidRPr="00273106">
        <w:t xml:space="preserve">. </w:t>
      </w:r>
      <w:r w:rsidR="000C05C3" w:rsidRPr="00273106">
        <w:t>Hypostázovaná a věčná esence</w:t>
      </w:r>
      <w:r w:rsidR="007F308F" w:rsidRPr="00273106">
        <w:noBreakHyphen/>
      </w:r>
      <w:r w:rsidR="000C05C3" w:rsidRPr="00273106">
        <w:t>exemplar</w:t>
      </w:r>
      <w:r w:rsidR="00B7167E">
        <w:fldChar w:fldCharType="begin"/>
      </w:r>
      <w:r w:rsidR="00B7167E">
        <w:instrText xml:space="preserve"> XE "</w:instrText>
      </w:r>
      <w:r w:rsidR="00B7167E" w:rsidRPr="00ED39BC">
        <w:instrText>exemplar</w:instrText>
      </w:r>
      <w:r w:rsidR="00B7167E">
        <w:instrText xml:space="preserve">" </w:instrText>
      </w:r>
      <w:r w:rsidR="00B7167E">
        <w:fldChar w:fldCharType="end"/>
      </w:r>
      <w:r w:rsidR="000C05C3" w:rsidRPr="00273106">
        <w:t xml:space="preserve"> zaujala v hierarchii kategorií první místo</w:t>
      </w:r>
      <w:r w:rsidR="007F308F" w:rsidRPr="00273106">
        <w:t>, které dříve</w:t>
      </w:r>
      <w:r w:rsidR="087258C9">
        <w:t xml:space="preserve"> patřilo druhé substanci. </w:t>
      </w:r>
      <w:r w:rsidR="00EE70F3">
        <w:t xml:space="preserve">Grosseteste znal i učení Sicilské školy po roce 1230 a dobře věděl, že Averroesova „meta-fyzika“ a kosmologie je založena na primátu první substance. </w:t>
      </w:r>
      <w:r w:rsidR="088F50AF">
        <w:t>Proto jako mladý absolvent Blundovy školy odmítl porretánské určení člověka jako mrtvoly navázané na Gundisssalinovu definici vzatou z Avicennovy metafyziky</w:t>
      </w:r>
      <w:r w:rsidR="08734417">
        <w:t xml:space="preserve"> (kap. 2</w:t>
      </w:r>
      <w:r w:rsidR="08E21B52">
        <w:t>.2.1)</w:t>
      </w:r>
      <w:r w:rsidR="088F50AF">
        <w:t xml:space="preserve">. </w:t>
      </w:r>
      <w:r w:rsidR="08F77663" w:rsidRPr="00273106">
        <w:t xml:space="preserve">Zavedením ontoteologie do kategoriální predikace se zásadně změnilo postavení univerzálií, která se skrze nový výklad </w:t>
      </w:r>
      <w:r w:rsidR="08F77663" w:rsidRPr="00EE75F8">
        <w:rPr>
          <w:i/>
        </w:rPr>
        <w:t>Kategorií</w:t>
      </w:r>
      <w:r w:rsidR="08F77663" w:rsidRPr="00273106">
        <w:t xml:space="preserve"> dostala přímo do věcí a stala se předmětem kategoriální predikace podle</w:t>
      </w:r>
      <w:r w:rsidR="004406EF">
        <w:t xml:space="preserve"> modernizovaného </w:t>
      </w:r>
      <w:r w:rsidR="08F77663" w:rsidRPr="00273106">
        <w:t>Aristotela (</w:t>
      </w:r>
      <w:r w:rsidR="08F77663" w:rsidRPr="00273106">
        <w:rPr>
          <w:i/>
        </w:rPr>
        <w:t>universalia in re</w:t>
      </w:r>
      <w:r w:rsidR="08F77663">
        <w:rPr>
          <w:i/>
        </w:rPr>
        <w:fldChar w:fldCharType="begin"/>
      </w:r>
      <w:r w:rsidR="08F77663">
        <w:instrText xml:space="preserve"> XE "spor o univerzália" </w:instrText>
      </w:r>
      <w:r w:rsidR="08F77663">
        <w:rPr>
          <w:i/>
        </w:rPr>
        <w:fldChar w:fldCharType="end"/>
      </w:r>
      <w:r w:rsidR="08F77663" w:rsidRPr="00273106">
        <w:t xml:space="preserve">). </w:t>
      </w:r>
      <w:r w:rsidR="0049673F" w:rsidRPr="00273106">
        <w:t>Grosset</w:t>
      </w:r>
      <w:r w:rsidR="00124EF2" w:rsidRPr="00273106">
        <w:t>este</w:t>
      </w:r>
      <w:r w:rsidR="0049673F" w:rsidRPr="00273106">
        <w:t xml:space="preserve"> je první modernista</w:t>
      </w:r>
      <w:r w:rsidR="00124EF2" w:rsidRPr="00273106">
        <w:t xml:space="preserve">, protože </w:t>
      </w:r>
      <w:r w:rsidR="08440926">
        <w:t>j</w:t>
      </w:r>
      <w:r w:rsidR="0049673F" w:rsidRPr="00273106">
        <w:t xml:space="preserve">ako poslední </w:t>
      </w:r>
      <w:r w:rsidR="08440926">
        <w:t xml:space="preserve">myslitel </w:t>
      </w:r>
      <w:r w:rsidR="00F72AAE" w:rsidRPr="00273106">
        <w:t>vítěz</w:t>
      </w:r>
      <w:r w:rsidR="0049673F" w:rsidRPr="00273106">
        <w:t xml:space="preserve">né skupiny </w:t>
      </w:r>
      <w:r w:rsidR="00D76A1E">
        <w:t xml:space="preserve">latinských </w:t>
      </w:r>
      <w:r w:rsidR="001C6AA0" w:rsidRPr="00273106">
        <w:t xml:space="preserve">sofistů </w:t>
      </w:r>
      <w:r w:rsidR="0049673F" w:rsidRPr="00273106">
        <w:t>viděl zásadní problémy nové kategoriální predikace</w:t>
      </w:r>
      <w:r w:rsidR="005906AF">
        <w:t xml:space="preserve"> Gramatiků</w:t>
      </w:r>
      <w:r w:rsidR="0031241A">
        <w:t xml:space="preserve">, kterou </w:t>
      </w:r>
      <w:r w:rsidR="08634AC0">
        <w:t xml:space="preserve">on sám </w:t>
      </w:r>
      <w:r w:rsidR="0031241A">
        <w:t xml:space="preserve">zavedl do výkladu </w:t>
      </w:r>
      <w:r w:rsidR="0031241A" w:rsidRPr="0031241A">
        <w:rPr>
          <w:i/>
        </w:rPr>
        <w:t>Druhých analytik</w:t>
      </w:r>
      <w:r w:rsidR="0049673F" w:rsidRPr="00273106">
        <w:t xml:space="preserve">. </w:t>
      </w:r>
      <w:r w:rsidR="000D13CA" w:rsidRPr="00273106">
        <w:t xml:space="preserve">Spor </w:t>
      </w:r>
      <w:r w:rsidR="08AA5F02">
        <w:t>Alvern</w:t>
      </w:r>
      <w:r w:rsidR="000D13CA" w:rsidRPr="00273106">
        <w:t>a s touto skupino</w:t>
      </w:r>
      <w:r w:rsidR="00EE75F8">
        <w:t xml:space="preserve">u ukázal, že </w:t>
      </w:r>
      <w:r w:rsidR="00EE75F8" w:rsidRPr="00273106">
        <w:rPr>
          <w:i/>
        </w:rPr>
        <w:t>Grammatici</w:t>
      </w:r>
      <w:r w:rsidR="00EE75F8">
        <w:rPr>
          <w:i/>
        </w:rPr>
        <w:fldChar w:fldCharType="begin"/>
      </w:r>
      <w:r w:rsidR="00EE75F8">
        <w:instrText xml:space="preserve"> XE "druhý averroismus:</w:instrText>
      </w:r>
      <w:r w:rsidR="00EE75F8" w:rsidRPr="00C172CF">
        <w:rPr>
          <w:i/>
        </w:rPr>
        <w:instrText>Grammatici</w:instrText>
      </w:r>
      <w:r w:rsidR="00EE75F8">
        <w:instrText xml:space="preserve">" </w:instrText>
      </w:r>
      <w:r w:rsidR="00EE75F8">
        <w:rPr>
          <w:i/>
        </w:rPr>
        <w:fldChar w:fldCharType="end"/>
      </w:r>
      <w:r w:rsidR="00EE75F8" w:rsidRPr="00273106">
        <w:t xml:space="preserve"> </w:t>
      </w:r>
      <w:r w:rsidR="000D13CA" w:rsidRPr="00273106">
        <w:t>spojili do jednoho celku význam nominálně určené první substance (</w:t>
      </w:r>
      <w:r w:rsidR="000D13CA" w:rsidRPr="00273106">
        <w:rPr>
          <w:i/>
        </w:rPr>
        <w:t>unitas nominis</w:t>
      </w:r>
      <w:r w:rsidR="000D13CA" w:rsidRPr="00273106">
        <w:t xml:space="preserve">) a kategoriální signifikaci na úrovni druhé </w:t>
      </w:r>
      <w:r w:rsidR="000D13CA" w:rsidRPr="00273106">
        <w:lastRenderedPageBreak/>
        <w:t>substance dané v soudu (</w:t>
      </w:r>
      <w:r w:rsidR="000D13CA" w:rsidRPr="00273106">
        <w:rPr>
          <w:i/>
        </w:rPr>
        <w:t>unitas enuntiabilis</w:t>
      </w:r>
      <w:r w:rsidR="000D13CA" w:rsidRPr="00273106">
        <w:t>).</w:t>
      </w:r>
      <w:r w:rsidR="000D13CA">
        <w:t xml:space="preserve"> Tuto s</w:t>
      </w:r>
      <w:r w:rsidR="000D13CA" w:rsidRPr="00273106">
        <w:t xml:space="preserve">ofistickou metaforizaci světa danou smíšením obou forem signifikace odmítl </w:t>
      </w:r>
      <w:r w:rsidR="00C068B2">
        <w:t xml:space="preserve">už </w:t>
      </w:r>
      <w:r w:rsidR="000D13CA" w:rsidRPr="00273106">
        <w:t xml:space="preserve">aristotelik </w:t>
      </w:r>
      <w:r w:rsidR="00CB3E4F">
        <w:t>Abélard</w:t>
      </w:r>
      <w:r w:rsidR="000D13CA" w:rsidRPr="00273106">
        <w:t xml:space="preserve"> </w:t>
      </w:r>
      <w:r w:rsidR="000D13CA">
        <w:t xml:space="preserve">bojující </w:t>
      </w:r>
      <w:r w:rsidR="000D13CA" w:rsidRPr="00273106">
        <w:t>proti avicenn</w:t>
      </w:r>
      <w:r w:rsidR="001B156E">
        <w:t>istickým následovníkům Anselma</w:t>
      </w:r>
      <w:r w:rsidR="000D13CA" w:rsidRPr="00273106">
        <w:t xml:space="preserve">. </w:t>
      </w:r>
      <w:r w:rsidR="08AA5F02">
        <w:t xml:space="preserve">Na Grossetesteho </w:t>
      </w:r>
      <w:r w:rsidR="00386AEC" w:rsidRPr="00273106">
        <w:t xml:space="preserve">kategoriální </w:t>
      </w:r>
      <w:r w:rsidR="00386AEC" w:rsidRPr="0058333C">
        <w:rPr>
          <w:i/>
        </w:rPr>
        <w:t>epoché</w:t>
      </w:r>
      <w:r w:rsidR="00B85E85">
        <w:fldChar w:fldCharType="begin"/>
      </w:r>
      <w:r w:rsidR="00B85E85">
        <w:instrText xml:space="preserve"> XE "</w:instrText>
      </w:r>
      <w:r w:rsidR="00B85E85" w:rsidRPr="001B0D03">
        <w:rPr>
          <w:i/>
        </w:rPr>
        <w:instrText>epoché</w:instrText>
      </w:r>
      <w:r w:rsidR="00B85E85">
        <w:instrText xml:space="preserve">" </w:instrText>
      </w:r>
      <w:r w:rsidR="00B85E85">
        <w:fldChar w:fldCharType="end"/>
      </w:r>
      <w:r w:rsidR="00386AEC" w:rsidRPr="00273106">
        <w:t xml:space="preserve"> od první substance a na nový statut univerzálií přímo navazuje Kilwardbyho výklad </w:t>
      </w:r>
      <w:r w:rsidR="00386AEC" w:rsidRPr="00CA2FD5">
        <w:rPr>
          <w:i/>
        </w:rPr>
        <w:t>Kategorií</w:t>
      </w:r>
      <w:r w:rsidR="00386AEC" w:rsidRPr="00273106">
        <w:t xml:space="preserve"> (</w:t>
      </w:r>
      <w:r w:rsidR="00386AEC" w:rsidRPr="00273106">
        <w:rPr>
          <w:rStyle w:val="addmd"/>
        </w:rPr>
        <w:t>Hansen 2012, 86*</w:t>
      </w:r>
      <w:r w:rsidR="00386AEC" w:rsidRPr="00273106">
        <w:t xml:space="preserve">). Kilwardbyho za metafyzickou nejasnost ohledně statutu první substance ve vědeckém soudu přímo </w:t>
      </w:r>
      <w:r w:rsidR="08BB6451">
        <w:t>kritizoval Albert Veliký (kap. 3</w:t>
      </w:r>
      <w:r w:rsidR="00386AEC" w:rsidRPr="00273106">
        <w:t>.4.1).</w:t>
      </w:r>
      <w:r w:rsidR="00A15F27" w:rsidRPr="00A15F27">
        <w:t xml:space="preserve"> </w:t>
      </w:r>
      <w:r w:rsidR="00A15F27" w:rsidRPr="00273106">
        <w:t xml:space="preserve">Hermeneutika shrnuje nové rysy kategoriální predikace </w:t>
      </w:r>
      <w:r w:rsidR="004E3405">
        <w:t xml:space="preserve">a vědeckého poznání </w:t>
      </w:r>
      <w:r w:rsidR="00A15F27" w:rsidRPr="00273106">
        <w:t xml:space="preserve">pod pojem </w:t>
      </w:r>
      <w:r w:rsidR="00A15F27" w:rsidRPr="00273106">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24661C">
        <w:instrText>:</w:instrText>
      </w:r>
      <w:r w:rsidR="0024661C" w:rsidRPr="0024661C">
        <w:instrText>Kilwardby</w:instrText>
      </w:r>
      <w:r w:rsidR="00924399">
        <w:instrText xml:space="preserve">" </w:instrText>
      </w:r>
      <w:r w:rsidR="00924399">
        <w:rPr>
          <w:i/>
        </w:rPr>
        <w:fldChar w:fldCharType="end"/>
      </w:r>
      <w:r w:rsidR="00A15F27" w:rsidRPr="00273106">
        <w:t xml:space="preserve">, protože hlavní protagonisté této změny působili </w:t>
      </w:r>
      <w:r w:rsidR="00271000">
        <w:t xml:space="preserve">v </w:t>
      </w:r>
      <w:r w:rsidR="08B25844">
        <w:t>Oxfordu kolem 1230‒4</w:t>
      </w:r>
      <w:r w:rsidR="00A15F27" w:rsidRPr="00273106">
        <w:t xml:space="preserve">0. Znejasnění statutu substance a univerzálie zásadně změnilo statut poznání a vědeckého důkazu vyloženého ve </w:t>
      </w:r>
      <w:r w:rsidR="00A15F27" w:rsidRPr="0058333C">
        <w:rPr>
          <w:i/>
        </w:rPr>
        <w:t>Druhých analytikách</w:t>
      </w:r>
      <w:r w:rsidR="00A15F27" w:rsidRPr="00273106">
        <w:t>.</w:t>
      </w:r>
    </w:p>
    <w:p w14:paraId="5A688F39" w14:textId="77777777" w:rsidR="0074652C" w:rsidRPr="00273106" w:rsidRDefault="006D1E0C" w:rsidP="009A6714">
      <w:r w:rsidRPr="00273106">
        <w:tab/>
      </w:r>
      <w:r w:rsidR="009A6714" w:rsidRPr="00273106">
        <w:t xml:space="preserve">Záměna esence za existenci v rámci </w:t>
      </w:r>
      <w:r w:rsidR="009A6714" w:rsidRPr="00273106">
        <w:rPr>
          <w:i/>
        </w:rPr>
        <w:t>Oxfordian Fallacy</w:t>
      </w:r>
      <w:r w:rsidR="00990F12" w:rsidRPr="00273106">
        <w:t xml:space="preserve"> nutně změnila</w:t>
      </w:r>
      <w:r w:rsidR="009A6714" w:rsidRPr="00273106">
        <w:t xml:space="preserve"> </w:t>
      </w:r>
      <w:r w:rsidR="00087F18" w:rsidRPr="00273106">
        <w:t xml:space="preserve">i </w:t>
      </w:r>
      <w:r w:rsidR="009A6714" w:rsidRPr="00273106">
        <w:t>pojetí pravdy</w:t>
      </w:r>
      <w:r w:rsidR="08F84952" w:rsidRPr="00273106">
        <w:t xml:space="preserve">. </w:t>
      </w:r>
      <w:r w:rsidR="08B1259A" w:rsidRPr="00273106">
        <w:t xml:space="preserve">Aristotelské </w:t>
      </w:r>
      <w:r w:rsidR="009A6714" w:rsidRPr="00273106">
        <w:t>pojetí a</w:t>
      </w:r>
      <w:r w:rsidR="00990F12" w:rsidRPr="00273106">
        <w:t xml:space="preserve">dekvace </w:t>
      </w:r>
      <w:r w:rsidR="08B1259A" w:rsidRPr="00273106">
        <w:t xml:space="preserve">kategoriálně poznávajícího intelektu </w:t>
      </w:r>
      <w:r w:rsidR="00990F12" w:rsidRPr="00273106">
        <w:t xml:space="preserve">vůči reálné věci </w:t>
      </w:r>
      <w:r w:rsidR="0026069C">
        <w:t xml:space="preserve">dostalo v prostředí </w:t>
      </w:r>
      <w:r w:rsidR="00055614">
        <w:t xml:space="preserve">moderních </w:t>
      </w:r>
      <w:r w:rsidR="0026069C">
        <w:t>iluminátů jen druhořadou pozici</w:t>
      </w:r>
      <w:r w:rsidR="00D87D50" w:rsidRPr="00273106">
        <w:t xml:space="preserve">. </w:t>
      </w:r>
      <w:r w:rsidR="00E67558" w:rsidRPr="00273106">
        <w:t xml:space="preserve">Latinští sofisté </w:t>
      </w:r>
      <w:r w:rsidR="00D87D50" w:rsidRPr="00273106">
        <w:t xml:space="preserve">změnili </w:t>
      </w:r>
      <w:r w:rsidR="08F84952" w:rsidRPr="00273106">
        <w:t>schéma kategorií</w:t>
      </w:r>
      <w:r w:rsidR="00D87D50" w:rsidRPr="00273106">
        <w:t xml:space="preserve"> na nejvyšší rody a rozum </w:t>
      </w:r>
      <w:r w:rsidR="009F4413" w:rsidRPr="00273106">
        <w:rPr>
          <w:i/>
        </w:rPr>
        <w:t>Modernorum</w:t>
      </w:r>
      <w:r w:rsidR="009F4413" w:rsidRPr="00273106">
        <w:t xml:space="preserve"> </w:t>
      </w:r>
      <w:r w:rsidR="00D87D50" w:rsidRPr="00273106">
        <w:t>po</w:t>
      </w:r>
      <w:r w:rsidR="009F4413" w:rsidRPr="00273106">
        <w:t xml:space="preserve">znává </w:t>
      </w:r>
      <w:r w:rsidR="00D87D50" w:rsidRPr="00273106">
        <w:t xml:space="preserve">místo hylemorfických substancí jejich věčné </w:t>
      </w:r>
      <w:r w:rsidR="002F6047">
        <w:t xml:space="preserve">exemplární </w:t>
      </w:r>
      <w:r w:rsidR="00D87D50" w:rsidRPr="00273106">
        <w:t>formy</w:t>
      </w:r>
      <w:r w:rsidR="009A6714" w:rsidRPr="00273106">
        <w:t xml:space="preserve">. </w:t>
      </w:r>
      <w:r w:rsidR="08353BD3" w:rsidRPr="00273106">
        <w:t xml:space="preserve">Pro </w:t>
      </w:r>
      <w:r w:rsidR="00630621" w:rsidRPr="00273106">
        <w:t xml:space="preserve">analytickou </w:t>
      </w:r>
      <w:r w:rsidR="08353BD3" w:rsidRPr="00273106">
        <w:t>filosofii</w:t>
      </w:r>
      <w:r w:rsidR="009A6714" w:rsidRPr="00273106">
        <w:t xml:space="preserve"> </w:t>
      </w:r>
      <w:r w:rsidR="08353BD3" w:rsidRPr="00273106">
        <w:t>na Oxf</w:t>
      </w:r>
      <w:r w:rsidR="08FE7A22" w:rsidRPr="00273106">
        <w:t>o</w:t>
      </w:r>
      <w:r w:rsidR="08353BD3" w:rsidRPr="00273106">
        <w:t>r</w:t>
      </w:r>
      <w:r w:rsidR="08FE7A22" w:rsidRPr="00273106">
        <w:t xml:space="preserve">du </w:t>
      </w:r>
      <w:r w:rsidR="08353BD3" w:rsidRPr="00273106">
        <w:t>nebyl p</w:t>
      </w:r>
      <w:r w:rsidR="009A6714" w:rsidRPr="00273106">
        <w:t>roblém</w:t>
      </w:r>
      <w:r w:rsidR="08353BD3" w:rsidRPr="00273106">
        <w:t xml:space="preserve"> najít konkureční model</w:t>
      </w:r>
      <w:r w:rsidR="00150A9C" w:rsidRPr="00273106">
        <w:t xml:space="preserve"> k </w:t>
      </w:r>
      <w:r w:rsidR="006F01CD">
        <w:t xml:space="preserve">pravdě jako </w:t>
      </w:r>
      <w:r w:rsidR="00150A9C" w:rsidRPr="00273106">
        <w:t>aristotelské adekvaci</w:t>
      </w:r>
      <w:r w:rsidR="002F6047">
        <w:t>. Z</w:t>
      </w:r>
      <w:r w:rsidR="006F01CD">
        <w:t xml:space="preserve">dejší myslitelé </w:t>
      </w:r>
      <w:r w:rsidR="0014765C">
        <w:t xml:space="preserve">dobře </w:t>
      </w:r>
      <w:r w:rsidR="006F01CD">
        <w:t xml:space="preserve">znali </w:t>
      </w:r>
      <w:r w:rsidR="00C04DC4">
        <w:t xml:space="preserve">augustinovské </w:t>
      </w:r>
      <w:r w:rsidR="009A6714" w:rsidRPr="00273106">
        <w:t xml:space="preserve">pojetí pravdy jako </w:t>
      </w:r>
      <w:r w:rsidR="009A6714" w:rsidRPr="00273106">
        <w:rPr>
          <w:i/>
        </w:rPr>
        <w:t>rectitudo</w:t>
      </w:r>
      <w:r w:rsidR="00E91CA1">
        <w:rPr>
          <w:i/>
        </w:rPr>
        <w:fldChar w:fldCharType="begin"/>
      </w:r>
      <w:r w:rsidR="00E91CA1">
        <w:instrText xml:space="preserve"> XE "pravda:</w:instrText>
      </w:r>
      <w:r w:rsidR="00E91CA1" w:rsidRPr="00FE34E1">
        <w:rPr>
          <w:i/>
        </w:rPr>
        <w:instrText>rectitudo</w:instrText>
      </w:r>
      <w:r w:rsidR="00E91CA1">
        <w:instrText xml:space="preserve">" </w:instrText>
      </w:r>
      <w:r w:rsidR="00E91CA1">
        <w:rPr>
          <w:i/>
        </w:rPr>
        <w:fldChar w:fldCharType="end"/>
      </w:r>
      <w:r w:rsidR="009A6714" w:rsidRPr="00273106">
        <w:t xml:space="preserve"> </w:t>
      </w:r>
      <w:r w:rsidR="00C04DC4">
        <w:t xml:space="preserve">a </w:t>
      </w:r>
      <w:r w:rsidR="00C04DC4" w:rsidRPr="00C04DC4">
        <w:rPr>
          <w:i/>
        </w:rPr>
        <w:t>certitudo</w:t>
      </w:r>
      <w:r w:rsidR="00C04DC4">
        <w:t xml:space="preserve"> </w:t>
      </w:r>
      <w:r w:rsidR="009A6714" w:rsidRPr="00273106">
        <w:t xml:space="preserve">podle Anselma z Canterbury (kap. </w:t>
      </w:r>
      <w:r w:rsidR="08582ADB">
        <w:t>1</w:t>
      </w:r>
      <w:r w:rsidR="001B156E">
        <w:t>.2</w:t>
      </w:r>
      <w:r w:rsidR="009A6714" w:rsidRPr="00273106">
        <w:t>)</w:t>
      </w:r>
      <w:r w:rsidR="00990F12" w:rsidRPr="00273106">
        <w:t>.</w:t>
      </w:r>
      <w:r w:rsidR="009A6714" w:rsidRPr="00273106">
        <w:t xml:space="preserve"> </w:t>
      </w:r>
      <w:r w:rsidR="007C0A10">
        <w:t xml:space="preserve">Nové myšlení </w:t>
      </w:r>
      <w:r w:rsidR="08BE0E1A" w:rsidRPr="00273106">
        <w:t>se i</w:t>
      </w:r>
      <w:r w:rsidR="00B77454" w:rsidRPr="00273106">
        <w:t>nspiruje pojetím pravdy v modu p</w:t>
      </w:r>
      <w:r w:rsidR="08AA5F02">
        <w:t>orretánů</w:t>
      </w:r>
      <w:r w:rsidR="08515B28">
        <w:t xml:space="preserve"> (</w:t>
      </w:r>
      <w:r w:rsidR="08515B28">
        <w:rPr>
          <w:i/>
        </w:rPr>
        <w:t>s</w:t>
      </w:r>
      <w:r w:rsidR="08BE0E1A" w:rsidRPr="00273106">
        <w:rPr>
          <w:i/>
        </w:rPr>
        <w:t>emel est verum, semper est verum</w:t>
      </w:r>
      <w:r w:rsidR="08515B28">
        <w:t>)</w:t>
      </w:r>
      <w:r w:rsidR="00E91CA1">
        <w:rPr>
          <w:i/>
        </w:rPr>
        <w:fldChar w:fldCharType="begin"/>
      </w:r>
      <w:r w:rsidR="00E91CA1">
        <w:instrText xml:space="preserve"> XE "</w:instrText>
      </w:r>
      <w:r w:rsidR="00FD2A69">
        <w:instrText>pravda:</w:instrText>
      </w:r>
      <w:r w:rsidR="006F1348" w:rsidRPr="00CD3C9E">
        <w:rPr>
          <w:i/>
        </w:rPr>
        <w:instrText>semel</w:instrText>
      </w:r>
      <w:r w:rsidR="006F1348">
        <w:instrText>‒</w:instrText>
      </w:r>
      <w:r w:rsidR="006F1348" w:rsidRPr="00CD3C9E">
        <w:rPr>
          <w:i/>
        </w:rPr>
        <w:instrText>semper</w:instrText>
      </w:r>
      <w:r w:rsidR="00E91CA1">
        <w:instrText xml:space="preserve">" </w:instrText>
      </w:r>
      <w:r w:rsidR="00E91CA1">
        <w:rPr>
          <w:i/>
        </w:rPr>
        <w:fldChar w:fldCharType="end"/>
      </w:r>
      <w:r w:rsidR="08BE0E1A" w:rsidRPr="00273106">
        <w:t xml:space="preserve">, které je zdůvodněné odvoláním na Anselmův teologický neoplatonismus. </w:t>
      </w:r>
      <w:r w:rsidR="007A4D61" w:rsidRPr="00273106">
        <w:t>Grossestestův s</w:t>
      </w:r>
      <w:r w:rsidR="00990F12" w:rsidRPr="00273106">
        <w:t xml:space="preserve">pis </w:t>
      </w:r>
      <w:r w:rsidR="009A6714" w:rsidRPr="00273106">
        <w:rPr>
          <w:i/>
        </w:rPr>
        <w:t>De veritate</w:t>
      </w:r>
      <w:r w:rsidR="00990F12" w:rsidRPr="00273106">
        <w:t xml:space="preserve"> definuje analytické pojetí pravdy jako </w:t>
      </w:r>
      <w:r w:rsidR="00990F12" w:rsidRPr="00273106">
        <w:rPr>
          <w:i/>
        </w:rPr>
        <w:t>rectitudo</w:t>
      </w:r>
      <w:r w:rsidR="00037433" w:rsidRPr="00273106">
        <w:t xml:space="preserve"> v souladu s deontologickou pozicí Anselma.</w:t>
      </w:r>
      <w:r w:rsidR="08B122A7">
        <w:t xml:space="preserve"> Grossetesteho traktát </w:t>
      </w:r>
      <w:r w:rsidR="08B122A7" w:rsidRPr="00B61071">
        <w:rPr>
          <w:i/>
        </w:rPr>
        <w:t>De veritate</w:t>
      </w:r>
      <w:r w:rsidR="08B122A7" w:rsidRPr="00273106">
        <w:t xml:space="preserve"> </w:t>
      </w:r>
      <w:r w:rsidR="08B274C9" w:rsidRPr="00273106">
        <w:t xml:space="preserve">ukazuje novou architekturu </w:t>
      </w:r>
      <w:r w:rsidR="08B274C9" w:rsidRPr="00273106">
        <w:rPr>
          <w:i/>
        </w:rPr>
        <w:t>rectitudo</w:t>
      </w:r>
      <w:r w:rsidR="08B274C9" w:rsidRPr="00273106">
        <w:t xml:space="preserve">, do níž je zapracováno na nižším patře i pojetí poznání podle </w:t>
      </w:r>
      <w:r w:rsidR="00B713C5">
        <w:rPr>
          <w:i/>
        </w:rPr>
        <w:t>De anima</w:t>
      </w:r>
      <w:r w:rsidR="08B274C9" w:rsidRPr="00273106">
        <w:t>.</w:t>
      </w:r>
    </w:p>
    <w:p w14:paraId="784B5A77" w14:textId="27B4A755" w:rsidR="0074652C" w:rsidRPr="00273106" w:rsidRDefault="009A6714" w:rsidP="0074652C">
      <w:pPr>
        <w:pStyle w:val="Citace"/>
        <w:rPr>
          <w:noProof/>
          <w:lang w:val="cs-CZ"/>
        </w:rPr>
      </w:pPr>
      <w:r w:rsidRPr="00273106">
        <w:rPr>
          <w:noProof/>
          <w:lang w:val="cs-CZ"/>
        </w:rPr>
        <w:t>„</w:t>
      </w:r>
      <w:r w:rsidR="0074652C" w:rsidRPr="00273106">
        <w:rPr>
          <w:noProof/>
          <w:lang w:val="cs-CZ"/>
        </w:rPr>
        <w:t xml:space="preserve">Pravda věcí je jejich bytí, jak by mělo být </w:t>
      </w:r>
      <w:r w:rsidR="00F059CD" w:rsidRPr="00273106">
        <w:rPr>
          <w:noProof/>
          <w:lang w:val="cs-CZ"/>
        </w:rPr>
        <w:t>(</w:t>
      </w:r>
      <w:r w:rsidR="00F059CD" w:rsidRPr="00273106">
        <w:rPr>
          <w:i/>
          <w:noProof/>
          <w:lang w:val="cs-CZ"/>
        </w:rPr>
        <w:t>veritas rerum est earum esse prout debent esse</w:t>
      </w:r>
      <w:r w:rsidR="00F059CD" w:rsidRPr="00273106">
        <w:rPr>
          <w:noProof/>
          <w:lang w:val="cs-CZ"/>
        </w:rPr>
        <w:t xml:space="preserve">) </w:t>
      </w:r>
      <w:r w:rsidR="0074652C" w:rsidRPr="00273106">
        <w:rPr>
          <w:noProof/>
          <w:lang w:val="cs-CZ"/>
        </w:rPr>
        <w:t xml:space="preserve">a </w:t>
      </w:r>
      <w:r w:rsidR="082B2F4D">
        <w:rPr>
          <w:noProof/>
          <w:lang w:val="cs-CZ"/>
        </w:rPr>
        <w:t xml:space="preserve">jejich </w:t>
      </w:r>
      <w:r w:rsidR="0074652C" w:rsidRPr="00273106">
        <w:rPr>
          <w:noProof/>
          <w:lang w:val="cs-CZ"/>
        </w:rPr>
        <w:t xml:space="preserve">správnost a konformita se Slovem, </w:t>
      </w:r>
      <w:r w:rsidR="08900160">
        <w:rPr>
          <w:noProof/>
          <w:lang w:val="cs-CZ"/>
        </w:rPr>
        <w:t xml:space="preserve">skrze </w:t>
      </w:r>
      <w:r w:rsidR="0074652C" w:rsidRPr="00273106">
        <w:rPr>
          <w:noProof/>
          <w:lang w:val="cs-CZ"/>
        </w:rPr>
        <w:t xml:space="preserve">které </w:t>
      </w:r>
      <w:r w:rsidR="08900160">
        <w:rPr>
          <w:noProof/>
          <w:lang w:val="cs-CZ"/>
        </w:rPr>
        <w:t xml:space="preserve">se </w:t>
      </w:r>
      <w:r w:rsidR="0074652C" w:rsidRPr="00273106">
        <w:rPr>
          <w:noProof/>
          <w:lang w:val="cs-CZ"/>
        </w:rPr>
        <w:t xml:space="preserve">věčně manifestují. A protože tato správnost </w:t>
      </w:r>
      <w:r w:rsidR="00A3505D">
        <w:rPr>
          <w:lang w:val="fr-FR"/>
        </w:rPr>
        <w:t>(</w:t>
      </w:r>
      <w:r w:rsidR="00A3505D" w:rsidRPr="00D53563">
        <w:rPr>
          <w:i/>
        </w:rPr>
        <w:t>rectitudo</w:t>
      </w:r>
      <w:r w:rsidR="00A3505D">
        <w:rPr>
          <w:lang w:val="fr-FR"/>
        </w:rPr>
        <w:t xml:space="preserve">) </w:t>
      </w:r>
      <w:r w:rsidR="0074652C" w:rsidRPr="00273106">
        <w:rPr>
          <w:noProof/>
          <w:lang w:val="cs-CZ"/>
        </w:rPr>
        <w:t xml:space="preserve">je postřehnutelná pouze v mysli, tím se liší od správnosti dané ve viditelném tělese. Pak platí Anselmova definice pravdy, když říká, že je správností danou pouze v mysli. Tuto definici je třeba doplnit o nejvyšší pravdu, která tvoří </w:t>
      </w:r>
      <w:r w:rsidR="08DE4EF7">
        <w:rPr>
          <w:rFonts w:cs="Calibri"/>
          <w:noProof/>
          <w:lang w:val="cs-CZ"/>
        </w:rPr>
        <w:t>[</w:t>
      </w:r>
      <w:r w:rsidR="081400E0">
        <w:rPr>
          <w:noProof/>
          <w:lang w:val="cs-CZ"/>
        </w:rPr>
        <w:t>nejvyšší</w:t>
      </w:r>
      <w:r w:rsidR="08DE4EF7">
        <w:rPr>
          <w:rFonts w:cs="Calibri"/>
          <w:noProof/>
          <w:lang w:val="cs-CZ"/>
        </w:rPr>
        <w:t>]</w:t>
      </w:r>
      <w:r w:rsidR="081400E0">
        <w:rPr>
          <w:noProof/>
          <w:lang w:val="cs-CZ"/>
        </w:rPr>
        <w:t xml:space="preserve"> </w:t>
      </w:r>
      <w:r w:rsidR="0074652C" w:rsidRPr="00273106">
        <w:rPr>
          <w:noProof/>
          <w:lang w:val="cs-CZ"/>
        </w:rPr>
        <w:t>formu rektifikující správnosti (</w:t>
      </w:r>
      <w:r w:rsidR="0074652C" w:rsidRPr="00273106">
        <w:rPr>
          <w:i/>
          <w:noProof/>
          <w:lang w:val="cs-CZ"/>
        </w:rPr>
        <w:t>est rectitudo rectificans</w:t>
      </w:r>
      <w:r w:rsidR="08900160">
        <w:rPr>
          <w:noProof/>
          <w:lang w:val="cs-CZ"/>
        </w:rPr>
        <w:t>) vzhledem k</w:t>
      </w:r>
      <w:r w:rsidR="081400E0">
        <w:rPr>
          <w:noProof/>
          <w:lang w:val="cs-CZ"/>
        </w:rPr>
        <w:t xml:space="preserve"> pravdě věcí. Ty </w:t>
      </w:r>
      <w:r w:rsidR="0074652C" w:rsidRPr="00273106">
        <w:rPr>
          <w:noProof/>
          <w:lang w:val="cs-CZ"/>
        </w:rPr>
        <w:t xml:space="preserve">jsou pravdivé v rámci </w:t>
      </w:r>
      <w:r w:rsidR="089D1AB8">
        <w:rPr>
          <w:noProof/>
          <w:lang w:val="cs-CZ"/>
        </w:rPr>
        <w:t xml:space="preserve">takto </w:t>
      </w:r>
      <w:r w:rsidR="0074652C" w:rsidRPr="00273106">
        <w:rPr>
          <w:noProof/>
          <w:lang w:val="cs-CZ"/>
        </w:rPr>
        <w:t>rektifikované správnosti (</w:t>
      </w:r>
      <w:r w:rsidR="0074652C" w:rsidRPr="00273106">
        <w:rPr>
          <w:i/>
          <w:noProof/>
          <w:lang w:val="cs-CZ"/>
        </w:rPr>
        <w:t>sunt rectitudines rectificatae</w:t>
      </w:r>
      <w:r w:rsidR="0074652C" w:rsidRPr="00273106">
        <w:rPr>
          <w:noProof/>
          <w:lang w:val="cs-CZ"/>
        </w:rPr>
        <w:t xml:space="preserve">).“ </w:t>
      </w:r>
      <w:r w:rsidR="0074652C" w:rsidRPr="00273106">
        <w:rPr>
          <w:rStyle w:val="Znakapoznpodarou"/>
          <w:noProof/>
          <w:lang w:val="cs-CZ"/>
        </w:rPr>
        <w:footnoteReference w:id="315"/>
      </w:r>
    </w:p>
    <w:p w14:paraId="74BA610E" w14:textId="77777777" w:rsidR="00F672EF" w:rsidRDefault="000B40AF" w:rsidP="0060655F">
      <w:r w:rsidRPr="00273106">
        <w:lastRenderedPageBreak/>
        <w:t xml:space="preserve">Citát </w:t>
      </w:r>
      <w:r w:rsidR="00DB6752">
        <w:t>definuje</w:t>
      </w:r>
      <w:r w:rsidRPr="00273106">
        <w:t xml:space="preserve"> Anselmovo pojetí pravdy, které nemá charakter konformity k realitě, ale k ontotelogicky danému bohu (</w:t>
      </w:r>
      <w:r w:rsidRPr="00273106">
        <w:rPr>
          <w:i/>
        </w:rPr>
        <w:t>rectitudo et conformitas Verbo</w:t>
      </w:r>
      <w:r w:rsidRPr="00273106">
        <w:t xml:space="preserve">). </w:t>
      </w:r>
      <w:r w:rsidR="00CC08D8" w:rsidRPr="00273106">
        <w:t xml:space="preserve">Pravda </w:t>
      </w:r>
      <w:r w:rsidR="004C4419">
        <w:t xml:space="preserve">je normativně dána mimo věci v tom, čím jsou </w:t>
      </w:r>
      <w:r w:rsidR="088D7DFC">
        <w:t xml:space="preserve">v bohu </w:t>
      </w:r>
      <w:r w:rsidR="004C4419">
        <w:t xml:space="preserve"> </w:t>
      </w:r>
      <w:r w:rsidR="00E05971">
        <w:t>jako věčném Slovu</w:t>
      </w:r>
      <w:r w:rsidR="004C4419">
        <w:t xml:space="preserve"> (</w:t>
      </w:r>
      <w:r w:rsidR="004C4419" w:rsidRPr="00273106">
        <w:rPr>
          <w:i/>
        </w:rPr>
        <w:t>veritas rerum est earum esse</w:t>
      </w:r>
      <w:r w:rsidR="004C4419">
        <w:t xml:space="preserve">). </w:t>
      </w:r>
      <w:r w:rsidR="005C7F0B">
        <w:t>Lidský i</w:t>
      </w:r>
      <w:r w:rsidR="004C4419">
        <w:t>nte</w:t>
      </w:r>
      <w:r w:rsidR="005C7F0B">
        <w:t>le</w:t>
      </w:r>
      <w:r w:rsidR="004C4419">
        <w:t xml:space="preserve">kt tuto pravdu nahlíží </w:t>
      </w:r>
      <w:r w:rsidR="00B82CF5">
        <w:t xml:space="preserve">směrem od </w:t>
      </w:r>
      <w:r w:rsidR="004C4419">
        <w:t>boha</w:t>
      </w:r>
      <w:r w:rsidR="00F337E5">
        <w:t xml:space="preserve"> </w:t>
      </w:r>
      <w:r w:rsidR="00B82CF5">
        <w:t xml:space="preserve">do věcí. Ontoteologická správnost </w:t>
      </w:r>
      <w:r w:rsidR="00F337E5">
        <w:t>t</w:t>
      </w:r>
      <w:r w:rsidR="00CC08D8" w:rsidRPr="00273106">
        <w:t xml:space="preserve">voří ultimativní míru </w:t>
      </w:r>
      <w:r w:rsidR="08354ED9" w:rsidRPr="00273106">
        <w:t>toho, čím věci jsou</w:t>
      </w:r>
      <w:r w:rsidR="083079DF" w:rsidRPr="00273106">
        <w:t xml:space="preserve"> a</w:t>
      </w:r>
      <w:r w:rsidR="08C239C9" w:rsidRPr="00273106">
        <w:t xml:space="preserve"> </w:t>
      </w:r>
      <w:r w:rsidR="08354ED9" w:rsidRPr="00273106">
        <w:t xml:space="preserve">čím mají </w:t>
      </w:r>
      <w:r w:rsidR="08C239C9" w:rsidRPr="00273106">
        <w:t>být</w:t>
      </w:r>
      <w:r w:rsidR="08354ED9" w:rsidRPr="00273106">
        <w:t xml:space="preserve"> </w:t>
      </w:r>
      <w:r w:rsidR="00CC08D8" w:rsidRPr="00273106">
        <w:t>(</w:t>
      </w:r>
      <w:r w:rsidR="00CC08D8" w:rsidRPr="00273106">
        <w:rPr>
          <w:i/>
        </w:rPr>
        <w:t>debent esse</w:t>
      </w:r>
      <w:r w:rsidR="00FD2A69">
        <w:rPr>
          <w:i/>
        </w:rPr>
        <w:fldChar w:fldCharType="begin"/>
      </w:r>
      <w:r w:rsidR="00FD2A69">
        <w:instrText xml:space="preserve"> XE "</w:instrText>
      </w:r>
      <w:r w:rsidR="00FD2A69" w:rsidRPr="00EB7907">
        <w:instrText>pravda:deontologie</w:instrText>
      </w:r>
      <w:r w:rsidR="00FD2A69">
        <w:instrText xml:space="preserve">" </w:instrText>
      </w:r>
      <w:r w:rsidR="00FD2A69">
        <w:rPr>
          <w:i/>
        </w:rPr>
        <w:fldChar w:fldCharType="end"/>
      </w:r>
      <w:r w:rsidR="00CC08D8" w:rsidRPr="00273106">
        <w:t xml:space="preserve">). </w:t>
      </w:r>
      <w:r w:rsidR="00FA33C7" w:rsidRPr="00273106">
        <w:t>Vzhledem k reálným věcem je prav</w:t>
      </w:r>
      <w:r w:rsidR="000448B9">
        <w:t>da daná deontologicky jako věčná</w:t>
      </w:r>
      <w:r w:rsidR="00FA33C7" w:rsidRPr="00273106">
        <w:t xml:space="preserve"> </w:t>
      </w:r>
      <w:r w:rsidR="000448B9">
        <w:t>s</w:t>
      </w:r>
      <w:r w:rsidR="00FA33C7" w:rsidRPr="00273106">
        <w:t>pr</w:t>
      </w:r>
      <w:r w:rsidR="000448B9">
        <w:t>á</w:t>
      </w:r>
      <w:r w:rsidR="00FA33C7" w:rsidRPr="00273106">
        <w:t>vnos</w:t>
      </w:r>
      <w:r w:rsidR="004C4419">
        <w:t>t bytí, které stvořené</w:t>
      </w:r>
      <w:r w:rsidR="00FA33C7" w:rsidRPr="00273106">
        <w:t xml:space="preserve"> věci vždy ma</w:t>
      </w:r>
      <w:r w:rsidR="00DD7495">
        <w:t xml:space="preserve">jí díky bohem předané existenci, o níž vypovídají v rámci řádu a harmonie stvoření </w:t>
      </w:r>
      <w:r w:rsidR="00FA33C7" w:rsidRPr="00273106">
        <w:t>(</w:t>
      </w:r>
      <w:r w:rsidR="00FA33C7" w:rsidRPr="00273106">
        <w:rPr>
          <w:i/>
        </w:rPr>
        <w:t>quo aeternaliter dicuntur</w:t>
      </w:r>
      <w:r w:rsidR="00FA33C7" w:rsidRPr="00273106">
        <w:t xml:space="preserve">). </w:t>
      </w:r>
      <w:r w:rsidR="00333104" w:rsidRPr="00273106">
        <w:t xml:space="preserve">Tato </w:t>
      </w:r>
      <w:r w:rsidR="00CC08D8" w:rsidRPr="00273106">
        <w:t xml:space="preserve">rovina </w:t>
      </w:r>
      <w:r w:rsidR="00B305A6">
        <w:t xml:space="preserve">pravdy </w:t>
      </w:r>
      <w:r w:rsidR="00CC08D8" w:rsidRPr="00273106">
        <w:t>se týká</w:t>
      </w:r>
      <w:r w:rsidR="009D6EA8">
        <w:t xml:space="preserve"> </w:t>
      </w:r>
      <w:r w:rsidR="00C623C2">
        <w:t>augustin</w:t>
      </w:r>
      <w:r w:rsidR="00990BAB">
        <w:t>i</w:t>
      </w:r>
      <w:r w:rsidR="00C623C2">
        <w:t xml:space="preserve">ánské ontoteologické </w:t>
      </w:r>
      <w:r w:rsidR="009D6EA8">
        <w:t>adekvace</w:t>
      </w:r>
      <w:r w:rsidR="00CC08D8" w:rsidRPr="00273106">
        <w:t xml:space="preserve">, která nemá zdroj v lidském intelektu, </w:t>
      </w:r>
      <w:r w:rsidR="08E041FF" w:rsidRPr="00273106">
        <w:t>jak to měl první averroismus. V</w:t>
      </w:r>
      <w:r w:rsidR="085534CE" w:rsidRPr="00273106">
        <w:t xml:space="preserve">ěci vypovídají </w:t>
      </w:r>
      <w:r w:rsidR="00E2142F">
        <w:t xml:space="preserve">samy od sebe </w:t>
      </w:r>
      <w:r w:rsidR="085534CE" w:rsidRPr="00273106">
        <w:t>o boží pravdě</w:t>
      </w:r>
      <w:r w:rsidR="00E16FE1">
        <w:t xml:space="preserve"> a slávě</w:t>
      </w:r>
      <w:r w:rsidR="085534CE" w:rsidRPr="00273106">
        <w:t xml:space="preserve">, jejíž věčná míra tvoří základ jejich ontologického významu </w:t>
      </w:r>
      <w:r w:rsidR="08FC59A6" w:rsidRPr="00273106">
        <w:t>v</w:t>
      </w:r>
      <w:r w:rsidR="00E16FE1">
        <w:t xml:space="preserve"> modu </w:t>
      </w:r>
      <w:r w:rsidR="000C2896">
        <w:t>„</w:t>
      </w:r>
      <w:r w:rsidR="08FC59A6" w:rsidRPr="00273106">
        <w:rPr>
          <w:i/>
        </w:rPr>
        <w:t>quo</w:t>
      </w:r>
      <w:r w:rsidR="000C2896">
        <w:t>“</w:t>
      </w:r>
      <w:r w:rsidR="00FD2A69">
        <w:rPr>
          <w:i/>
        </w:rPr>
        <w:fldChar w:fldCharType="begin"/>
      </w:r>
      <w:r w:rsidR="00FD2A69">
        <w:instrText xml:space="preserve"> XE "</w:instrText>
      </w:r>
      <w:r w:rsidR="00FD2A69" w:rsidRPr="007224A9">
        <w:rPr>
          <w:i/>
        </w:rPr>
        <w:instrText>quo est</w:instrText>
      </w:r>
      <w:r w:rsidR="00FD2A69">
        <w:instrText xml:space="preserve">" </w:instrText>
      </w:r>
      <w:r w:rsidR="00FD2A69">
        <w:rPr>
          <w:i/>
        </w:rPr>
        <w:fldChar w:fldCharType="end"/>
      </w:r>
      <w:r w:rsidR="08FC59A6" w:rsidRPr="00273106">
        <w:t xml:space="preserve"> zakládajícím jejich akt existence</w:t>
      </w:r>
      <w:r w:rsidR="00E16FE1">
        <w:t xml:space="preserve"> </w:t>
      </w:r>
      <w:r w:rsidR="00E16FE1" w:rsidRPr="00273106">
        <w:t>(</w:t>
      </w:r>
      <w:r w:rsidR="00E16FE1" w:rsidRPr="00273106">
        <w:rPr>
          <w:i/>
        </w:rPr>
        <w:t>quo dicuntur</w:t>
      </w:r>
      <w:r w:rsidR="00E16FE1" w:rsidRPr="00273106">
        <w:t>)</w:t>
      </w:r>
      <w:r w:rsidR="00CC08D8" w:rsidRPr="00273106">
        <w:t xml:space="preserve">. </w:t>
      </w:r>
      <w:r w:rsidR="0075347C">
        <w:t xml:space="preserve">Pravda není primárně v intelektu, ale přímo ve věcech, protože ty mysticky vypovídají o boží slávě. </w:t>
      </w:r>
      <w:r w:rsidR="08326A4B">
        <w:t xml:space="preserve">Ontoteologická analogie boha, intelektu a věci </w:t>
      </w:r>
      <w:r w:rsidR="08326A4B" w:rsidRPr="00273106">
        <w:t xml:space="preserve">už </w:t>
      </w:r>
      <w:r w:rsidR="08326A4B">
        <w:t xml:space="preserve">nepotřebuje v modu </w:t>
      </w:r>
      <w:r w:rsidR="08326A4B" w:rsidRPr="000535F9">
        <w:rPr>
          <w:i/>
        </w:rPr>
        <w:t>per prius</w:t>
      </w:r>
      <w:r w:rsidR="08326A4B">
        <w:t xml:space="preserve"> </w:t>
      </w:r>
      <w:r w:rsidR="08326A4B" w:rsidRPr="00273106">
        <w:t>de</w:t>
      </w:r>
      <w:r w:rsidR="08326A4B">
        <w:t>terminaci</w:t>
      </w:r>
      <w:r w:rsidR="08326A4B" w:rsidRPr="00273106">
        <w:t xml:space="preserve"> rozumu od </w:t>
      </w:r>
      <w:r w:rsidR="08326A4B">
        <w:t xml:space="preserve">reálně existující </w:t>
      </w:r>
      <w:r w:rsidR="08326A4B" w:rsidRPr="00273106">
        <w:t xml:space="preserve">věci. </w:t>
      </w:r>
      <w:r w:rsidR="08326A4B">
        <w:t xml:space="preserve">Realita je nasvícena zezadu a tomu musí odpovídat i moderní pravda jako </w:t>
      </w:r>
      <w:r w:rsidR="084B76B0">
        <w:t xml:space="preserve">asimilace mysli ilumináta </w:t>
      </w:r>
      <w:r w:rsidR="08326A4B">
        <w:t>s idálním světem významu</w:t>
      </w:r>
      <w:r w:rsidR="08326A4B">
        <w:fldChar w:fldCharType="begin"/>
      </w:r>
      <w:r w:rsidR="08326A4B">
        <w:instrText xml:space="preserve"> XE "</w:instrText>
      </w:r>
      <w:r w:rsidR="08326A4B" w:rsidRPr="0051422D">
        <w:instrText>zjevování:nasvícení zezadu</w:instrText>
      </w:r>
      <w:r w:rsidR="08326A4B">
        <w:instrText xml:space="preserve">" </w:instrText>
      </w:r>
      <w:r w:rsidR="08326A4B">
        <w:fldChar w:fldCharType="end"/>
      </w:r>
      <w:r w:rsidR="08326A4B">
        <w:t xml:space="preserve">. </w:t>
      </w:r>
      <w:r w:rsidR="08326A4B" w:rsidRPr="00273106">
        <w:t>Určování správnosti běží v modu</w:t>
      </w:r>
      <w:r w:rsidR="08326A4B">
        <w:t xml:space="preserve"> správnosti dané primárně jako stvořitelská demiurgická aktivita</w:t>
      </w:r>
      <w:r w:rsidR="08326A4B" w:rsidRPr="00273106">
        <w:t xml:space="preserve"> (</w:t>
      </w:r>
      <w:r w:rsidR="08326A4B" w:rsidRPr="00273106">
        <w:rPr>
          <w:i/>
        </w:rPr>
        <w:t>rectitudo rectificans</w:t>
      </w:r>
      <w:r w:rsidR="08326A4B" w:rsidRPr="00273106">
        <w:t xml:space="preserve">) versus stvořená deontologická pasivita věcí, které jsou pravdivé v rámci </w:t>
      </w:r>
      <w:r w:rsidR="08326A4B">
        <w:t xml:space="preserve">ontoteologicky </w:t>
      </w:r>
      <w:r w:rsidR="08326A4B" w:rsidRPr="00273106">
        <w:t>rektifikované správnosti (</w:t>
      </w:r>
      <w:r w:rsidR="08326A4B" w:rsidRPr="00273106">
        <w:rPr>
          <w:i/>
        </w:rPr>
        <w:t>rectitudines rectificatae</w:t>
      </w:r>
      <w:r w:rsidR="08326A4B" w:rsidRPr="00273106">
        <w:t xml:space="preserve">). Člověk se stal sekundárním demiurgem a podílí se na deontologickém určení </w:t>
      </w:r>
      <w:r w:rsidR="08326A4B">
        <w:t>věcí pomocí analogicky dané rektifikace jsoucna</w:t>
      </w:r>
      <w:r w:rsidR="081B121C">
        <w:t xml:space="preserve"> v modu pravdy-</w:t>
      </w:r>
      <w:r w:rsidR="081B121C" w:rsidRPr="081B121C">
        <w:rPr>
          <w:i/>
        </w:rPr>
        <w:t>rectitudo</w:t>
      </w:r>
      <w:r w:rsidR="00F672EF">
        <w:t>.</w:t>
      </w:r>
    </w:p>
    <w:p w14:paraId="7DDA827C" w14:textId="27C273E6" w:rsidR="00B57428" w:rsidRPr="00273106" w:rsidRDefault="08326A4B" w:rsidP="00F672EF">
      <w:pPr>
        <w:ind w:firstLine="397"/>
      </w:pPr>
      <w:r>
        <w:t xml:space="preserve">Tím je dáno v kolébce oxfordských františkánů i první </w:t>
      </w:r>
      <w:r w:rsidRPr="00E61E76">
        <w:rPr>
          <w:i/>
        </w:rPr>
        <w:t>Lichtung</w:t>
      </w:r>
      <w:r w:rsidR="00FB2C52">
        <w:fldChar w:fldCharType="begin"/>
      </w:r>
      <w:r w:rsidR="00FB2C52">
        <w:instrText xml:space="preserve"> XE "</w:instrText>
      </w:r>
      <w:r w:rsidR="00FB2C52" w:rsidRPr="007826B4">
        <w:rPr>
          <w:i/>
        </w:rPr>
        <w:instrText>Lichtung:</w:instrText>
      </w:r>
      <w:r w:rsidR="00FB2C52" w:rsidRPr="007826B4">
        <w:instrText>kapitalismus</w:instrText>
      </w:r>
      <w:r w:rsidR="00FB2C52">
        <w:instrText xml:space="preserve">" </w:instrText>
      </w:r>
      <w:r w:rsidR="00FB2C52">
        <w:fldChar w:fldCharType="end"/>
      </w:r>
      <w:r>
        <w:t xml:space="preserve"> </w:t>
      </w:r>
      <w:r w:rsidR="00FB2C52" w:rsidRPr="00FB2C52">
        <w:t>pravdy a nepravdy kapitalistického demiurga v</w:t>
      </w:r>
      <w:r w:rsidR="00FB2C52">
        <w:t xml:space="preserve"> nastupující </w:t>
      </w:r>
      <w:r w:rsidR="00FB2C52" w:rsidRPr="00FB2C52">
        <w:t>moderně. Bonaventura a Olivi rozvinuli plnou verzi této globálně účinné moderní mytologie.</w:t>
      </w:r>
      <w:r w:rsidR="00FB2C52">
        <w:t xml:space="preserve"> </w:t>
      </w:r>
      <w:r>
        <w:t>Zavedením analogie dané původně v matematice vznikl modus deontologicky pojaté pravdy  ukazující, j</w:t>
      </w:r>
      <w:r w:rsidRPr="00273106">
        <w:t>ak</w:t>
      </w:r>
      <w:r>
        <w:t xml:space="preserve"> (</w:t>
      </w:r>
      <w:r w:rsidRPr="00C261AA">
        <w:rPr>
          <w:i/>
        </w:rPr>
        <w:t>Wie</w:t>
      </w:r>
      <w:r>
        <w:rPr>
          <w:i/>
        </w:rPr>
        <w:fldChar w:fldCharType="begin"/>
      </w:r>
      <w:r>
        <w:instrText xml:space="preserve"> XE "hermeneu</w:instrText>
      </w:r>
      <w:r w:rsidRPr="00FE7BD7">
        <w:instrText>tické</w:instrText>
      </w:r>
      <w:r w:rsidRPr="00A46DC8">
        <w:rPr>
          <w:i/>
        </w:rPr>
        <w:instrText xml:space="preserve"> Wie:</w:instrText>
      </w:r>
      <w:r w:rsidRPr="00A46DC8">
        <w:instrText>Grosseteste</w:instrText>
      </w:r>
      <w:r>
        <w:instrText xml:space="preserve">" </w:instrText>
      </w:r>
      <w:r>
        <w:rPr>
          <w:i/>
        </w:rPr>
        <w:fldChar w:fldCharType="end"/>
      </w:r>
      <w:r>
        <w:t xml:space="preserve">) věci </w:t>
      </w:r>
      <w:r w:rsidRPr="00273106">
        <w:t>mají být v rámci bohem dané správnosti</w:t>
      </w:r>
      <w:r>
        <w:t xml:space="preserve"> </w:t>
      </w:r>
      <w:r w:rsidRPr="00273106">
        <w:t>(</w:t>
      </w:r>
      <w:r w:rsidRPr="00273106">
        <w:rPr>
          <w:i/>
        </w:rPr>
        <w:t>debent esse</w:t>
      </w:r>
      <w:r>
        <w:rPr>
          <w:i/>
        </w:rPr>
        <w:fldChar w:fldCharType="begin"/>
      </w:r>
      <w:r>
        <w:instrText xml:space="preserve"> XE "</w:instrText>
      </w:r>
      <w:r w:rsidRPr="00EB7907">
        <w:instrText>pravda:deontologie</w:instrText>
      </w:r>
      <w:r>
        <w:instrText xml:space="preserve">" </w:instrText>
      </w:r>
      <w:r>
        <w:rPr>
          <w:i/>
        </w:rPr>
        <w:fldChar w:fldCharType="end"/>
      </w:r>
      <w:r w:rsidRPr="00273106">
        <w:t xml:space="preserve">).  </w:t>
      </w:r>
      <w:r>
        <w:t xml:space="preserve">Pravda moderny </w:t>
      </w:r>
      <w:r w:rsidRPr="00273106">
        <w:t xml:space="preserve">je možná pouze v ontoteologickém scénáři, který </w:t>
      </w:r>
      <w:r>
        <w:t xml:space="preserve">skrze univerzální trojčlenku mezi bohem, člověkem a věcmi </w:t>
      </w:r>
      <w:r w:rsidRPr="00273106">
        <w:t xml:space="preserve">zajišťuje základní formu </w:t>
      </w:r>
      <w:r w:rsidRPr="00273106">
        <w:rPr>
          <w:i/>
        </w:rPr>
        <w:t>rectitudo</w:t>
      </w:r>
      <w:r>
        <w:rPr>
          <w:i/>
        </w:rPr>
        <w:fldChar w:fldCharType="begin"/>
      </w:r>
      <w:r>
        <w:instrText xml:space="preserve"> XE "</w:instrText>
      </w:r>
      <w:r w:rsidRPr="001E49A5">
        <w:instrText>objektivita:ontoteologie</w:instrText>
      </w:r>
      <w:r>
        <w:instrText xml:space="preserve">" </w:instrText>
      </w:r>
      <w:r>
        <w:rPr>
          <w:i/>
        </w:rPr>
        <w:fldChar w:fldCharType="end"/>
      </w:r>
      <w:r w:rsidRPr="00273106">
        <w:t xml:space="preserve">. Mysl osvícená vyšší </w:t>
      </w:r>
      <w:r w:rsidRPr="00273106">
        <w:lastRenderedPageBreak/>
        <w:t xml:space="preserve">pravdou je svou nemateriální podstatou oddělená od smyslů </w:t>
      </w:r>
      <w:r w:rsidR="0897363E">
        <w:t>místo k reálné první substanci se</w:t>
      </w:r>
      <w:r w:rsidRPr="00273106">
        <w:t xml:space="preserve"> </w:t>
      </w:r>
      <w:r w:rsidR="0897363E">
        <w:t xml:space="preserve">primárně </w:t>
      </w:r>
      <w:r w:rsidRPr="00273106">
        <w:t>vz</w:t>
      </w:r>
      <w:r>
        <w:t>tahuje k pravdě věčného božího S</w:t>
      </w:r>
      <w:r w:rsidRPr="00273106">
        <w:t>lova (</w:t>
      </w:r>
      <w:r w:rsidRPr="00273106">
        <w:rPr>
          <w:i/>
        </w:rPr>
        <w:t>conformitas Verbo</w:t>
      </w:r>
      <w:r w:rsidRPr="00273106">
        <w:t>). Nižší úrov</w:t>
      </w:r>
      <w:r>
        <w:t xml:space="preserve">eň </w:t>
      </w:r>
      <w:r w:rsidRPr="00273106">
        <w:t xml:space="preserve">pravdy </w:t>
      </w:r>
      <w:r>
        <w:t xml:space="preserve">pak </w:t>
      </w:r>
      <w:r w:rsidRPr="00273106">
        <w:t xml:space="preserve">zahrnuje Aristotelovo pojetí pravdy jako </w:t>
      </w:r>
      <w:r w:rsidRPr="00273106">
        <w:rPr>
          <w:i/>
        </w:rPr>
        <w:t>veritas</w:t>
      </w:r>
      <w:r w:rsidRPr="00273106">
        <w:t>, které je vztaženo k adekvaci poznání vůči materiálně daným tělesům (</w:t>
      </w:r>
      <w:r w:rsidRPr="00273106">
        <w:rPr>
          <w:i/>
        </w:rPr>
        <w:t>rectitudine corporali visibili</w:t>
      </w:r>
      <w:r w:rsidRPr="00273106">
        <w:t xml:space="preserve">). Adekvace primárně nejde k reálné hylemorfické první substanci, ale k bohu. Správnost </w:t>
      </w:r>
      <w:r w:rsidR="00B3264C">
        <w:t xml:space="preserve">božského </w:t>
      </w:r>
      <w:r w:rsidRPr="00273106">
        <w:t>stvořitelského subjektu je dána jako nejvyšší norma a forma správnosti.</w:t>
      </w:r>
      <w:r>
        <w:t xml:space="preserve"> </w:t>
      </w:r>
      <w:r w:rsidR="0075347C">
        <w:t xml:space="preserve">Citát ukazuje první formu </w:t>
      </w:r>
      <w:r w:rsidR="0075347C" w:rsidRPr="009D517B">
        <w:rPr>
          <w:i/>
        </w:rPr>
        <w:t>analog</w:t>
      </w:r>
      <w:r w:rsidR="0075347C">
        <w:rPr>
          <w:i/>
        </w:rPr>
        <w:t>ia</w:t>
      </w:r>
      <w:r w:rsidR="0075347C" w:rsidRPr="009D517B">
        <w:rPr>
          <w:i/>
        </w:rPr>
        <w:t xml:space="preserve"> entis</w:t>
      </w:r>
      <w:r w:rsidR="0075347C">
        <w:rPr>
          <w:i/>
        </w:rPr>
        <w:fldChar w:fldCharType="begin"/>
      </w:r>
      <w:r w:rsidR="0075347C">
        <w:instrText xml:space="preserve"> XE "</w:instrText>
      </w:r>
      <w:r w:rsidR="0075347C" w:rsidRPr="00834F99">
        <w:rPr>
          <w:rStyle w:val="addmd"/>
          <w:i/>
        </w:rPr>
        <w:instrText>analogia entis</w:instrText>
      </w:r>
      <w:r w:rsidR="0075347C">
        <w:instrText xml:space="preserve">" </w:instrText>
      </w:r>
      <w:r w:rsidR="0075347C">
        <w:rPr>
          <w:i/>
        </w:rPr>
        <w:fldChar w:fldCharType="end"/>
      </w:r>
      <w:r w:rsidR="0075347C">
        <w:t xml:space="preserve">, která bude tvořit základ pozdější univoční metafyziky. </w:t>
      </w:r>
      <w:r w:rsidR="0828132C" w:rsidRPr="00273106">
        <w:t>Dvoup</w:t>
      </w:r>
      <w:r w:rsidR="009D517B">
        <w:t xml:space="preserve">atrová </w:t>
      </w:r>
      <w:r w:rsidR="005E77C4" w:rsidRPr="00273106">
        <w:t>stavb</w:t>
      </w:r>
      <w:r w:rsidR="009D517B">
        <w:t>a zakládá analogii</w:t>
      </w:r>
      <w:r w:rsidR="00396E3C">
        <w:t xml:space="preserve"> </w:t>
      </w:r>
      <w:r w:rsidR="009D517B">
        <w:t xml:space="preserve">celku jsoucna </w:t>
      </w:r>
      <w:r w:rsidR="00396E3C">
        <w:t xml:space="preserve">v modu </w:t>
      </w:r>
      <w:r w:rsidR="005E77C4" w:rsidRPr="00273106">
        <w:t>„</w:t>
      </w:r>
      <w:r w:rsidR="00396E3C">
        <w:t>tvořící Slovo</w:t>
      </w:r>
      <w:r w:rsidR="00B25C94" w:rsidRPr="00273106">
        <w:t>‒</w:t>
      </w:r>
      <w:r w:rsidR="00396E3C">
        <w:t>stvořené věci</w:t>
      </w:r>
      <w:r w:rsidR="08D279E2">
        <w:t>“, které analogicky odpovídá dvojice „</w:t>
      </w:r>
      <w:r w:rsidR="08A432D0" w:rsidRPr="00273106">
        <w:t xml:space="preserve">poznávající </w:t>
      </w:r>
      <w:r w:rsidR="08D279E2">
        <w:t>mysl‒</w:t>
      </w:r>
      <w:r w:rsidR="08A432D0" w:rsidRPr="00273106">
        <w:t xml:space="preserve">poznané </w:t>
      </w:r>
      <w:r w:rsidR="005E77C4" w:rsidRPr="00273106">
        <w:t>věci“</w:t>
      </w:r>
      <w:r w:rsidR="00FD2A69">
        <w:fldChar w:fldCharType="begin"/>
      </w:r>
      <w:r w:rsidR="00FD2A69">
        <w:instrText xml:space="preserve"> XE "</w:instrText>
      </w:r>
      <w:r w:rsidR="00FD2A69" w:rsidRPr="00C906D1">
        <w:instrText>predikace:analogická</w:instrText>
      </w:r>
      <w:r w:rsidR="00FD2A69">
        <w:instrText xml:space="preserve">" </w:instrText>
      </w:r>
      <w:r w:rsidR="00FD2A69">
        <w:fldChar w:fldCharType="end"/>
      </w:r>
      <w:r w:rsidR="007C5359">
        <w:t xml:space="preserve">. Bůh se stal </w:t>
      </w:r>
      <w:r w:rsidR="00EB5C0D">
        <w:t xml:space="preserve">univočním </w:t>
      </w:r>
      <w:r w:rsidR="007C5359">
        <w:t>prvkem moder</w:t>
      </w:r>
      <w:r w:rsidR="000D040F">
        <w:t>ní architektury smyslu jsoucna</w:t>
      </w:r>
      <w:r w:rsidR="08285DBA">
        <w:t>, protože je zakládajícím prvkem ontoteologické trojčlenky</w:t>
      </w:r>
      <w:r w:rsidR="08091B62">
        <w:t xml:space="preserve">. </w:t>
      </w:r>
      <w:r w:rsidR="08285DBA">
        <w:t xml:space="preserve">Přeměnou boha na prvního matematika </w:t>
      </w:r>
      <w:r w:rsidR="087E4FC1">
        <w:t xml:space="preserve">začala smrt antropomorfického boha </w:t>
      </w:r>
      <w:r w:rsidR="087E4FC1" w:rsidRPr="00315401">
        <w:rPr>
          <w:i/>
        </w:rPr>
        <w:t>Modernorum</w:t>
      </w:r>
      <w:r w:rsidR="087E4FC1">
        <w:t xml:space="preserve"> v západním myšlení, kterou dokonal </w:t>
      </w:r>
      <w:r w:rsidR="08285DBA">
        <w:t xml:space="preserve">Leibniz a </w:t>
      </w:r>
      <w:r w:rsidR="087E4FC1">
        <w:t xml:space="preserve">Nietzsche. </w:t>
      </w:r>
      <w:r w:rsidR="003F0279">
        <w:t>Primární</w:t>
      </w:r>
      <w:r w:rsidR="00C63947">
        <w:t xml:space="preserve"> místo pravdy je u </w:t>
      </w:r>
      <w:r w:rsidR="005275D4">
        <w:t xml:space="preserve">moderního </w:t>
      </w:r>
      <w:r w:rsidR="00C63947">
        <w:t xml:space="preserve">boha, kde </w:t>
      </w:r>
      <w:r w:rsidR="003F0279">
        <w:t xml:space="preserve">lze </w:t>
      </w:r>
      <w:r w:rsidR="00C63947">
        <w:t xml:space="preserve">věčné pravdy </w:t>
      </w:r>
      <w:r w:rsidR="003F0279">
        <w:t>nahlédnout přímo</w:t>
      </w:r>
      <w:r w:rsidR="00C63947">
        <w:t xml:space="preserve"> v aktu </w:t>
      </w:r>
      <w:r w:rsidR="005275D4">
        <w:t xml:space="preserve">jeho osvícené mysli, do které vidí mysl </w:t>
      </w:r>
      <w:r w:rsidR="00C63947">
        <w:t>toho či onoho ilumináta</w:t>
      </w:r>
      <w:r w:rsidR="003F0279">
        <w:t xml:space="preserve">. </w:t>
      </w:r>
      <w:r w:rsidR="00C838C3">
        <w:t xml:space="preserve">Sekundární místo pravdy je dáno </w:t>
      </w:r>
      <w:r w:rsidR="08CC40B9" w:rsidRPr="00273106">
        <w:t>v poznávající mysli (</w:t>
      </w:r>
      <w:r w:rsidR="08CC40B9" w:rsidRPr="00273106">
        <w:rPr>
          <w:i/>
        </w:rPr>
        <w:t>rectitudo sit sola mente</w:t>
      </w:r>
      <w:r w:rsidR="08CC40B9" w:rsidRPr="00273106">
        <w:t xml:space="preserve">), která jako jediná může poznat původní konformitu </w:t>
      </w:r>
      <w:r w:rsidR="00483535">
        <w:t xml:space="preserve">reálné </w:t>
      </w:r>
      <w:r w:rsidR="083F283C" w:rsidRPr="00273106">
        <w:t xml:space="preserve">věci </w:t>
      </w:r>
      <w:r w:rsidR="00483535">
        <w:t>se symbolem</w:t>
      </w:r>
      <w:r w:rsidR="083F283C" w:rsidRPr="00273106">
        <w:t xml:space="preserve"> </w:t>
      </w:r>
      <w:r w:rsidR="08CC40B9" w:rsidRPr="00273106">
        <w:t>boží</w:t>
      </w:r>
      <w:r w:rsidR="083F283C" w:rsidRPr="00273106">
        <w:t xml:space="preserve">ho </w:t>
      </w:r>
      <w:r w:rsidR="08CC40B9" w:rsidRPr="00273106">
        <w:t>s</w:t>
      </w:r>
      <w:r w:rsidR="083F283C" w:rsidRPr="00273106">
        <w:t>lova</w:t>
      </w:r>
      <w:r w:rsidR="08CC40B9" w:rsidRPr="00273106">
        <w:t>.</w:t>
      </w:r>
      <w:r>
        <w:t xml:space="preserve"> </w:t>
      </w:r>
      <w:r w:rsidR="00D94EF2" w:rsidRPr="00273106">
        <w:t xml:space="preserve">Myšlení </w:t>
      </w:r>
      <w:r w:rsidR="00D94EF2" w:rsidRPr="00273106">
        <w:rPr>
          <w:i/>
        </w:rPr>
        <w:t>Oxfordian Fallacy</w:t>
      </w:r>
      <w:r w:rsidR="00D94EF2" w:rsidRPr="00273106">
        <w:t xml:space="preserve"> determinuje </w:t>
      </w:r>
      <w:r w:rsidR="009A6714" w:rsidRPr="00273106">
        <w:t xml:space="preserve">pojetí pravdy </w:t>
      </w:r>
      <w:r w:rsidR="00071E36" w:rsidRPr="00273106">
        <w:t>v její čisté ipseitě (</w:t>
      </w:r>
      <w:r w:rsidR="009A6714" w:rsidRPr="00273106">
        <w:rPr>
          <w:i/>
        </w:rPr>
        <w:t>ipsa veritas</w:t>
      </w:r>
      <w:r w:rsidR="001F0BD0" w:rsidRPr="00273106">
        <w:t>) postavené</w:t>
      </w:r>
      <w:r w:rsidR="00071E36" w:rsidRPr="00273106">
        <w:t xml:space="preserve"> mimo aktuální realitu hylemorfických prvních substancí</w:t>
      </w:r>
      <w:r w:rsidR="009A6714" w:rsidRPr="00273106">
        <w:t xml:space="preserve">. </w:t>
      </w:r>
      <w:r w:rsidR="08312AE2">
        <w:t>M</w:t>
      </w:r>
      <w:r w:rsidR="00D94EF2" w:rsidRPr="00273106">
        <w:t xml:space="preserve">oderní pojetí pravdy je možné jen na základě analogické a univoční predikace dané změněným statutem kategorií. </w:t>
      </w:r>
      <w:r w:rsidR="000D13CA" w:rsidRPr="00273106">
        <w:t xml:space="preserve">Grosseteste chápe pravdu v modu Augustinovy adekvace vnitřního a vnějšího slova. </w:t>
      </w:r>
      <w:r w:rsidR="00CF3310" w:rsidRPr="00273106">
        <w:t xml:space="preserve">Následující </w:t>
      </w:r>
      <w:r w:rsidR="00CF3310">
        <w:t xml:space="preserve">definice pravdy </w:t>
      </w:r>
      <w:r w:rsidR="00CF3310" w:rsidRPr="00273106">
        <w:t xml:space="preserve">směšuje predikaci významu na úrovni pouhého pojmenování </w:t>
      </w:r>
      <w:r w:rsidR="006C3DB7" w:rsidRPr="00DC6664">
        <w:rPr>
          <w:szCs w:val="24"/>
        </w:rPr>
        <w:t>(</w:t>
      </w:r>
      <w:r w:rsidR="006C3DB7" w:rsidRPr="00B656A1">
        <w:rPr>
          <w:i/>
          <w:szCs w:val="24"/>
        </w:rPr>
        <w:t>oratio</w:t>
      </w:r>
      <w:r w:rsidR="00543E0B">
        <w:rPr>
          <w:szCs w:val="24"/>
        </w:rPr>
        <w:t xml:space="preserve">  Ab</w:t>
      </w:r>
      <w:r w:rsidR="006C3DB7">
        <w:rPr>
          <w:szCs w:val="24"/>
        </w:rPr>
        <w:t>elard</w:t>
      </w:r>
      <w:r w:rsidR="00543E0B">
        <w:rPr>
          <w:szCs w:val="24"/>
        </w:rPr>
        <w:t>a</w:t>
      </w:r>
      <w:r w:rsidR="006C3DB7" w:rsidRPr="00DC6664">
        <w:rPr>
          <w:szCs w:val="24"/>
        </w:rPr>
        <w:t xml:space="preserve">) </w:t>
      </w:r>
      <w:r w:rsidR="00CF3310" w:rsidRPr="00273106">
        <w:t>s kategoriální predikací (</w:t>
      </w:r>
      <w:r w:rsidR="00CF3310" w:rsidRPr="00273106">
        <w:rPr>
          <w:i/>
        </w:rPr>
        <w:t>enuntiatio</w:t>
      </w:r>
      <w:r w:rsidR="00CF3310">
        <w:rPr>
          <w:i/>
        </w:rPr>
        <w:fldChar w:fldCharType="begin"/>
      </w:r>
      <w:r w:rsidR="00CF3310">
        <w:instrText xml:space="preserve"> XE "</w:instrText>
      </w:r>
      <w:r w:rsidR="00CF3310" w:rsidRPr="0038128E">
        <w:rPr>
          <w:i/>
        </w:rPr>
        <w:instrText>enuntiatio</w:instrText>
      </w:r>
      <w:r w:rsidR="00CF3310" w:rsidRPr="009D6F1E">
        <w:instrText>:Grosseteste</w:instrText>
      </w:r>
      <w:r w:rsidR="00CF3310">
        <w:instrText xml:space="preserve">" </w:instrText>
      </w:r>
      <w:r w:rsidR="00CF3310">
        <w:rPr>
          <w:i/>
        </w:rPr>
        <w:fldChar w:fldCharType="end"/>
      </w:r>
      <w:r w:rsidR="00CF3310" w:rsidRPr="00273106">
        <w:t xml:space="preserve">). </w:t>
      </w:r>
    </w:p>
    <w:p w14:paraId="42CCC79B" w14:textId="38CAE653" w:rsidR="006858A3" w:rsidRPr="00273106" w:rsidRDefault="00B57428" w:rsidP="006858A3">
      <w:pPr>
        <w:pStyle w:val="Citace"/>
        <w:rPr>
          <w:rStyle w:val="Zkladntextdkovn0pt"/>
          <w:rFonts w:ascii="Calibri" w:eastAsia="Times" w:hAnsi="Calibri" w:cs="Times New Roman"/>
          <w:noProof/>
          <w:spacing w:val="0"/>
          <w:sz w:val="22"/>
          <w:u w:val="none"/>
          <w:lang w:val="cs-CZ"/>
        </w:rPr>
      </w:pPr>
      <w:r w:rsidRPr="00273106">
        <w:rPr>
          <w:rStyle w:val="Zkladntextdkovn0pt"/>
          <w:rFonts w:ascii="Calibri" w:eastAsia="Times" w:hAnsi="Calibri" w:cs="Times New Roman"/>
          <w:noProof/>
          <w:spacing w:val="0"/>
          <w:sz w:val="22"/>
          <w:u w:val="none"/>
          <w:lang w:val="cs-CZ"/>
        </w:rPr>
        <w:t>„</w:t>
      </w:r>
      <w:r w:rsidR="00543E16" w:rsidRPr="00273106">
        <w:rPr>
          <w:rStyle w:val="Zkladntextdkovn0pt"/>
          <w:rFonts w:ascii="Calibri" w:eastAsia="Times" w:hAnsi="Calibri" w:cs="Times New Roman"/>
          <w:noProof/>
          <w:spacing w:val="0"/>
          <w:sz w:val="22"/>
          <w:u w:val="none"/>
          <w:lang w:val="cs-CZ"/>
        </w:rPr>
        <w:t>Definuj</w:t>
      </w:r>
      <w:r w:rsidRPr="00273106">
        <w:rPr>
          <w:rStyle w:val="Zkladntextdkovn0pt"/>
          <w:rFonts w:ascii="Calibri" w:eastAsia="Times" w:hAnsi="Calibri" w:cs="Times New Roman"/>
          <w:noProof/>
          <w:spacing w:val="0"/>
          <w:sz w:val="22"/>
          <w:u w:val="none"/>
          <w:lang w:val="cs-CZ"/>
        </w:rPr>
        <w:t>m</w:t>
      </w:r>
      <w:r w:rsidR="00543E16" w:rsidRPr="00273106">
        <w:rPr>
          <w:rStyle w:val="Zkladntextdkovn0pt"/>
          <w:rFonts w:ascii="Calibri" w:eastAsia="Times" w:hAnsi="Calibri" w:cs="Times New Roman"/>
          <w:noProof/>
          <w:spacing w:val="0"/>
          <w:sz w:val="22"/>
          <w:u w:val="none"/>
          <w:lang w:val="cs-CZ"/>
        </w:rPr>
        <w:t xml:space="preserve">e </w:t>
      </w:r>
      <w:r w:rsidRPr="00273106">
        <w:rPr>
          <w:rStyle w:val="Zkladntextdkovn0pt"/>
          <w:rFonts w:ascii="Calibri" w:eastAsia="Times" w:hAnsi="Calibri" w:cs="Times New Roman"/>
          <w:noProof/>
          <w:spacing w:val="0"/>
          <w:sz w:val="22"/>
          <w:u w:val="none"/>
          <w:lang w:val="cs-CZ"/>
        </w:rPr>
        <w:t>pravdu v běžném významu jako pravdivý v</w:t>
      </w:r>
      <w:r w:rsidR="003A56D4">
        <w:rPr>
          <w:rStyle w:val="Zkladntextdkovn0pt"/>
          <w:rFonts w:ascii="Calibri" w:eastAsia="Times" w:hAnsi="Calibri" w:cs="Times New Roman"/>
          <w:noProof/>
          <w:spacing w:val="0"/>
          <w:sz w:val="22"/>
          <w:u w:val="none"/>
          <w:lang w:val="cs-CZ"/>
        </w:rPr>
        <w:t>ýrok. Pravda, jak říká filosof</w:t>
      </w:r>
      <w:r w:rsidRPr="00273106">
        <w:rPr>
          <w:rStyle w:val="Zkladntextdkovn0pt"/>
          <w:rFonts w:ascii="Calibri" w:eastAsia="Times" w:hAnsi="Calibri" w:cs="Times New Roman"/>
          <w:noProof/>
          <w:spacing w:val="0"/>
          <w:sz w:val="22"/>
          <w:u w:val="none"/>
          <w:lang w:val="cs-CZ"/>
        </w:rPr>
        <w:t xml:space="preserve">, není dána jinde, než skrze </w:t>
      </w:r>
      <w:r w:rsidR="00520C4E">
        <w:rPr>
          <w:rStyle w:val="Zkladntextdkovn0pt"/>
          <w:rFonts w:ascii="Calibri" w:eastAsia="Times" w:hAnsi="Calibri" w:cs="Times New Roman"/>
          <w:noProof/>
          <w:spacing w:val="0"/>
          <w:sz w:val="22"/>
          <w:u w:val="none"/>
          <w:lang w:val="cs-CZ"/>
        </w:rPr>
        <w:t xml:space="preserve">slovem daný </w:t>
      </w:r>
      <w:r w:rsidRPr="00273106">
        <w:rPr>
          <w:rStyle w:val="Zkladntextdkovn0pt"/>
          <w:rFonts w:ascii="Calibri" w:eastAsia="Times" w:hAnsi="Calibri" w:cs="Times New Roman"/>
          <w:noProof/>
          <w:spacing w:val="0"/>
          <w:sz w:val="22"/>
          <w:u w:val="none"/>
          <w:lang w:val="cs-CZ"/>
        </w:rPr>
        <w:t xml:space="preserve">význam </w:t>
      </w:r>
      <w:r w:rsidR="00520C4E">
        <w:rPr>
          <w:rStyle w:val="Zkladntextdkovn0pt"/>
          <w:rFonts w:ascii="Calibri" w:eastAsia="Times" w:hAnsi="Calibri" w:cs="Times New Roman"/>
          <w:noProof/>
          <w:spacing w:val="0"/>
          <w:sz w:val="22"/>
          <w:u w:val="none"/>
          <w:lang w:val="cs-CZ"/>
        </w:rPr>
        <w:t xml:space="preserve">určený </w:t>
      </w:r>
      <w:r w:rsidR="00AC1C32" w:rsidRPr="00273106">
        <w:rPr>
          <w:rStyle w:val="Zkladntextdkovn0pt"/>
          <w:rFonts w:ascii="Calibri" w:eastAsia="Times" w:hAnsi="Calibri" w:cs="Times New Roman"/>
          <w:noProof/>
          <w:spacing w:val="0"/>
          <w:sz w:val="22"/>
          <w:u w:val="none"/>
          <w:lang w:val="cs-CZ"/>
        </w:rPr>
        <w:t xml:space="preserve">reálnou věcí </w:t>
      </w:r>
      <w:r w:rsidRPr="00273106">
        <w:rPr>
          <w:rStyle w:val="Zkladntextdkovn0pt"/>
          <w:rFonts w:ascii="Calibri" w:eastAsia="Times" w:hAnsi="Calibri" w:cs="Times New Roman"/>
          <w:noProof/>
          <w:spacing w:val="0"/>
          <w:sz w:val="22"/>
          <w:u w:val="none"/>
          <w:lang w:val="cs-CZ"/>
        </w:rPr>
        <w:t>(</w:t>
      </w:r>
      <w:r w:rsidRPr="00273106">
        <w:rPr>
          <w:rStyle w:val="Zkladntextdkovn0pt"/>
          <w:rFonts w:ascii="Calibri" w:eastAsia="Times" w:hAnsi="Calibri" w:cs="Times New Roman"/>
          <w:i/>
          <w:noProof/>
          <w:spacing w:val="0"/>
          <w:sz w:val="22"/>
          <w:u w:val="none"/>
          <w:lang w:val="cs-CZ"/>
        </w:rPr>
        <w:t>in re signata</w:t>
      </w:r>
      <w:r w:rsidR="003A56D4">
        <w:rPr>
          <w:rStyle w:val="Zkladntextdkovn0pt"/>
          <w:rFonts w:ascii="Calibri" w:eastAsia="Times" w:hAnsi="Calibri" w:cs="Times New Roman"/>
          <w:noProof/>
          <w:spacing w:val="0"/>
          <w:sz w:val="22"/>
          <w:u w:val="none"/>
          <w:lang w:val="cs-CZ"/>
        </w:rPr>
        <w:t>)</w:t>
      </w:r>
      <w:r w:rsidRPr="00273106">
        <w:rPr>
          <w:rStyle w:val="Zkladntextdkovn0pt"/>
          <w:rFonts w:ascii="Calibri" w:eastAsia="Times" w:hAnsi="Calibri" w:cs="Times New Roman"/>
          <w:noProof/>
          <w:spacing w:val="0"/>
          <w:sz w:val="22"/>
          <w:u w:val="none"/>
          <w:lang w:val="cs-CZ"/>
        </w:rPr>
        <w:t xml:space="preserve">. A to je pravda, kterou někteří nazývají „adekvací slova a věci“ a „adekvací věci vzhledem k intelektu“. Ale slovo je pravdivější, </w:t>
      </w:r>
      <w:r w:rsidR="082B2F4D">
        <w:rPr>
          <w:rStyle w:val="Zkladntextdkovn0pt"/>
          <w:rFonts w:ascii="Calibri" w:eastAsia="Times" w:hAnsi="Calibri" w:cs="Times New Roman"/>
          <w:noProof/>
          <w:spacing w:val="0"/>
          <w:sz w:val="22"/>
          <w:u w:val="none"/>
          <w:lang w:val="cs-CZ"/>
        </w:rPr>
        <w:t xml:space="preserve">když </w:t>
      </w:r>
      <w:r w:rsidRPr="00273106">
        <w:rPr>
          <w:rStyle w:val="Zkladntextdkovn0pt"/>
          <w:rFonts w:ascii="Calibri" w:eastAsia="Times" w:hAnsi="Calibri" w:cs="Times New Roman"/>
          <w:noProof/>
          <w:spacing w:val="0"/>
          <w:sz w:val="22"/>
          <w:u w:val="none"/>
          <w:lang w:val="cs-CZ"/>
        </w:rPr>
        <w:t>zní v našem duchu</w:t>
      </w:r>
      <w:r w:rsidR="082B2F4D">
        <w:rPr>
          <w:rStyle w:val="Zkladntextdkovn0pt"/>
          <w:rFonts w:ascii="Calibri" w:eastAsia="Times" w:hAnsi="Calibri" w:cs="Times New Roman"/>
          <w:noProof/>
          <w:spacing w:val="0"/>
          <w:sz w:val="22"/>
          <w:u w:val="none"/>
          <w:lang w:val="cs-CZ"/>
        </w:rPr>
        <w:t xml:space="preserve">, než když zní </w:t>
      </w:r>
      <w:r w:rsidRPr="00273106">
        <w:rPr>
          <w:rStyle w:val="Zkladntextdkovn0pt"/>
          <w:rFonts w:ascii="Calibri" w:eastAsia="Times" w:hAnsi="Calibri" w:cs="Times New Roman"/>
          <w:noProof/>
          <w:spacing w:val="0"/>
          <w:sz w:val="22"/>
          <w:u w:val="none"/>
          <w:lang w:val="cs-CZ"/>
        </w:rPr>
        <w:t>navenek. Intelekt vytváří pojem skrze vnější slovo. Ale o to více bu</w:t>
      </w:r>
      <w:r w:rsidR="00543E16" w:rsidRPr="00273106">
        <w:rPr>
          <w:rStyle w:val="Zkladntextdkovn0pt"/>
          <w:rFonts w:ascii="Calibri" w:eastAsia="Times" w:hAnsi="Calibri" w:cs="Times New Roman"/>
          <w:noProof/>
          <w:spacing w:val="0"/>
          <w:sz w:val="22"/>
          <w:u w:val="none"/>
          <w:lang w:val="cs-CZ"/>
        </w:rPr>
        <w:t>de pravdou</w:t>
      </w:r>
      <w:r w:rsidRPr="00273106">
        <w:rPr>
          <w:rStyle w:val="Zkladntextdkovn0pt"/>
          <w:rFonts w:ascii="Calibri" w:eastAsia="Times" w:hAnsi="Calibri" w:cs="Times New Roman"/>
          <w:noProof/>
          <w:spacing w:val="0"/>
          <w:sz w:val="22"/>
          <w:u w:val="none"/>
          <w:lang w:val="cs-CZ"/>
        </w:rPr>
        <w:t xml:space="preserve"> adekvace vnitřního slova a věci, než vnějšího slova a věci. </w:t>
      </w:r>
      <w:r w:rsidR="082B2F4D">
        <w:rPr>
          <w:rStyle w:val="Zkladntextdkovn0pt"/>
          <w:rFonts w:ascii="Calibri" w:eastAsia="Times" w:hAnsi="Calibri" w:cs="Times New Roman"/>
          <w:noProof/>
          <w:spacing w:val="0"/>
          <w:sz w:val="22"/>
          <w:u w:val="none"/>
          <w:lang w:val="cs-CZ"/>
        </w:rPr>
        <w:t xml:space="preserve">Kdyby totiž </w:t>
      </w:r>
      <w:r w:rsidR="00543E16" w:rsidRPr="00273106">
        <w:rPr>
          <w:rStyle w:val="Zkladntextdkovn0pt"/>
          <w:rFonts w:ascii="Calibri" w:eastAsia="Times" w:hAnsi="Calibri" w:cs="Times New Roman"/>
          <w:noProof/>
          <w:spacing w:val="0"/>
          <w:sz w:val="22"/>
          <w:u w:val="none"/>
          <w:lang w:val="cs-CZ"/>
        </w:rPr>
        <w:t>vnitřní slovo bylo čistou adekvací sama sebe k věci (</w:t>
      </w:r>
      <w:r w:rsidR="00543E16" w:rsidRPr="00273106">
        <w:rPr>
          <w:rStyle w:val="Zkladntextdkovn0pt"/>
          <w:rFonts w:ascii="Calibri" w:eastAsia="Times" w:hAnsi="Calibri" w:cs="Times New Roman"/>
          <w:i/>
          <w:noProof/>
          <w:spacing w:val="0"/>
          <w:sz w:val="22"/>
          <w:u w:val="none"/>
          <w:lang w:val="cs-CZ"/>
        </w:rPr>
        <w:t>si ipse sermo interior esset adaequatio sui ad rem</w:t>
      </w:r>
      <w:r w:rsidR="00543E16" w:rsidRPr="00273106">
        <w:rPr>
          <w:rStyle w:val="Zkladntextdkovn0pt"/>
          <w:rFonts w:ascii="Calibri" w:eastAsia="Times" w:hAnsi="Calibri" w:cs="Times New Roman"/>
          <w:noProof/>
          <w:spacing w:val="0"/>
          <w:sz w:val="22"/>
          <w:u w:val="none"/>
          <w:lang w:val="cs-CZ"/>
        </w:rPr>
        <w:t xml:space="preserve">), pak už by nebylo jen pravdivým slovem, ale </w:t>
      </w:r>
      <w:r w:rsidR="001252B0">
        <w:rPr>
          <w:rStyle w:val="Zkladntextdkovn0pt"/>
          <w:rFonts w:ascii="Calibri" w:eastAsia="Times" w:hAnsi="Calibri" w:cs="Times New Roman"/>
          <w:noProof/>
          <w:spacing w:val="0"/>
          <w:sz w:val="22"/>
          <w:u w:val="none"/>
          <w:lang w:val="cs-CZ"/>
        </w:rPr>
        <w:t xml:space="preserve">plností </w:t>
      </w:r>
      <w:r w:rsidR="00543E16" w:rsidRPr="00273106">
        <w:rPr>
          <w:rStyle w:val="Zkladntextdkovn0pt"/>
          <w:rFonts w:ascii="Calibri" w:eastAsia="Times" w:hAnsi="Calibri" w:cs="Times New Roman"/>
          <w:noProof/>
          <w:spacing w:val="0"/>
          <w:sz w:val="22"/>
          <w:u w:val="none"/>
          <w:lang w:val="cs-CZ"/>
        </w:rPr>
        <w:t>pravd</w:t>
      </w:r>
      <w:r w:rsidR="001252B0">
        <w:rPr>
          <w:rStyle w:val="Zkladntextdkovn0pt"/>
          <w:rFonts w:ascii="Calibri" w:eastAsia="Times" w:hAnsi="Calibri" w:cs="Times New Roman"/>
          <w:noProof/>
          <w:spacing w:val="0"/>
          <w:sz w:val="22"/>
          <w:u w:val="none"/>
          <w:lang w:val="cs-CZ"/>
        </w:rPr>
        <w:t>y</w:t>
      </w:r>
      <w:r w:rsidR="00543E16" w:rsidRPr="00273106">
        <w:rPr>
          <w:rStyle w:val="Zkladntextdkovn0pt"/>
          <w:rFonts w:ascii="Calibri" w:eastAsia="Times" w:hAnsi="Calibri" w:cs="Times New Roman"/>
          <w:noProof/>
          <w:spacing w:val="0"/>
          <w:sz w:val="22"/>
          <w:u w:val="none"/>
          <w:lang w:val="cs-CZ"/>
        </w:rPr>
        <w:t xml:space="preserve"> (</w:t>
      </w:r>
      <w:r w:rsidR="00543E16" w:rsidRPr="00273106">
        <w:rPr>
          <w:rStyle w:val="Zkladntextdkovn0pt"/>
          <w:rFonts w:ascii="Calibri" w:eastAsia="Times" w:hAnsi="Calibri" w:cs="Times New Roman"/>
          <w:i/>
          <w:noProof/>
          <w:spacing w:val="0"/>
          <w:sz w:val="22"/>
          <w:u w:val="none"/>
          <w:lang w:val="cs-CZ"/>
        </w:rPr>
        <w:t>ipsa veritas</w:t>
      </w:r>
      <w:r w:rsidR="00543E16" w:rsidRPr="00273106">
        <w:rPr>
          <w:rStyle w:val="Zkladntextdkovn0pt"/>
          <w:rFonts w:ascii="Calibri" w:eastAsia="Times" w:hAnsi="Calibri" w:cs="Times New Roman"/>
          <w:noProof/>
          <w:spacing w:val="0"/>
          <w:sz w:val="22"/>
          <w:u w:val="none"/>
          <w:lang w:val="cs-CZ"/>
        </w:rPr>
        <w:t>)</w:t>
      </w:r>
      <w:r w:rsidRPr="00273106">
        <w:rPr>
          <w:rStyle w:val="Zkladntextdkovn0pt"/>
          <w:rFonts w:ascii="Calibri" w:eastAsia="Times" w:hAnsi="Calibri" w:cs="Times New Roman"/>
          <w:noProof/>
          <w:spacing w:val="0"/>
          <w:sz w:val="22"/>
          <w:u w:val="none"/>
          <w:lang w:val="cs-CZ"/>
        </w:rPr>
        <w:t xml:space="preserve">.“ </w:t>
      </w:r>
      <w:r w:rsidR="003A167B" w:rsidRPr="00273106">
        <w:rPr>
          <w:rStyle w:val="Znakapoznpodarou"/>
          <w:noProof/>
          <w:lang w:val="cs-CZ"/>
        </w:rPr>
        <w:footnoteReference w:id="316"/>
      </w:r>
    </w:p>
    <w:p w14:paraId="45126930" w14:textId="55C9A07F" w:rsidR="0060655F" w:rsidRPr="00273106" w:rsidRDefault="08E4240F" w:rsidP="00757D60">
      <w:r w:rsidRPr="00273106">
        <w:lastRenderedPageBreak/>
        <w:t xml:space="preserve">Grosseteste synkretisticky spojuje obě </w:t>
      </w:r>
      <w:r w:rsidR="08E46901" w:rsidRPr="00273106">
        <w:t>tradiční pojetí pravdy</w:t>
      </w:r>
      <w:r w:rsidR="08C2027E" w:rsidRPr="00273106">
        <w:t xml:space="preserve"> </w:t>
      </w:r>
      <w:r w:rsidRPr="00273106">
        <w:t>Abelarda i Anselma</w:t>
      </w:r>
      <w:r w:rsidR="08C2027E" w:rsidRPr="00273106">
        <w:t xml:space="preserve"> a d</w:t>
      </w:r>
      <w:r w:rsidRPr="00273106">
        <w:t xml:space="preserve">ává je </w:t>
      </w:r>
      <w:r w:rsidR="00DC2750" w:rsidRPr="00273106">
        <w:t>do jedné definice</w:t>
      </w:r>
      <w:r w:rsidR="08C2027E" w:rsidRPr="00273106">
        <w:t xml:space="preserve"> (</w:t>
      </w:r>
      <w:r w:rsidR="08C2027E" w:rsidRPr="00273106">
        <w:rPr>
          <w:i/>
        </w:rPr>
        <w:t>dicere veritatem orationis enuntiativae</w:t>
      </w:r>
      <w:r w:rsidR="08C2027E" w:rsidRPr="00273106">
        <w:t xml:space="preserve">). Definice pravdy se vztahuje k </w:t>
      </w:r>
      <w:r w:rsidR="08AF5693" w:rsidRPr="00273106">
        <w:t xml:space="preserve">náhledu </w:t>
      </w:r>
      <w:r w:rsidR="08C2027E" w:rsidRPr="00273106">
        <w:t>věci v realitě (</w:t>
      </w:r>
      <w:r w:rsidR="08C2027E" w:rsidRPr="00273106">
        <w:rPr>
          <w:i/>
        </w:rPr>
        <w:t>in re signata</w:t>
      </w:r>
      <w:r w:rsidR="00C1766F">
        <w:t xml:space="preserve">). </w:t>
      </w:r>
      <w:r w:rsidR="00C1702D">
        <w:t xml:space="preserve">Citát </w:t>
      </w:r>
      <w:r w:rsidR="00C1766F">
        <w:t>sleduje definici</w:t>
      </w:r>
      <w:r w:rsidR="08C2027E" w:rsidRPr="00273106">
        <w:t xml:space="preserve"> pravdy v </w:t>
      </w:r>
      <w:r w:rsidR="08C2027E" w:rsidRPr="00D546EA">
        <w:rPr>
          <w:i/>
        </w:rPr>
        <w:t>Metafyzice</w:t>
      </w:r>
      <w:r w:rsidR="08C2027E" w:rsidRPr="00273106">
        <w:t xml:space="preserve"> vztažené k univo</w:t>
      </w:r>
      <w:r w:rsidR="08324BB1" w:rsidRPr="00273106">
        <w:t>ční predikaci</w:t>
      </w:r>
      <w:r w:rsidR="08C2027E" w:rsidRPr="00273106">
        <w:t xml:space="preserve"> toho, co je, že to je, a toho, co není, že to není (</w:t>
      </w:r>
      <w:r w:rsidR="08C2027E" w:rsidRPr="00273106">
        <w:rPr>
          <w:rStyle w:val="Zvraznn"/>
        </w:rPr>
        <w:t>Met</w:t>
      </w:r>
      <w:r w:rsidR="08C2027E" w:rsidRPr="00273106">
        <w:rPr>
          <w:rStyle w:val="Zvraznn"/>
          <w:i w:val="0"/>
        </w:rPr>
        <w:t>.</w:t>
      </w:r>
      <w:r w:rsidR="08C2027E" w:rsidRPr="00273106">
        <w:t xml:space="preserve"> 1011b26‒29</w:t>
      </w:r>
      <w:r w:rsidR="00254DA4">
        <w:fldChar w:fldCharType="begin"/>
      </w:r>
      <w:r w:rsidR="00254DA4">
        <w:instrText xml:space="preserve"> XE "</w:instrText>
      </w:r>
      <w:r w:rsidR="008E02F5">
        <w:instrText>Aristoteles</w:instrText>
      </w:r>
      <w:r w:rsidR="00254DA4">
        <w:instrText>:</w:instrText>
      </w:r>
      <w:r w:rsidR="00254DA4" w:rsidRPr="004A0A0A">
        <w:rPr>
          <w:rStyle w:val="Zvraznn"/>
        </w:rPr>
        <w:instrText>Met</w:instrText>
      </w:r>
      <w:r w:rsidR="00254DA4" w:rsidRPr="004A0A0A">
        <w:rPr>
          <w:rStyle w:val="Zvraznn"/>
          <w:i w:val="0"/>
        </w:rPr>
        <w:instrText>.</w:instrText>
      </w:r>
      <w:r w:rsidR="00254DA4" w:rsidRPr="004A0A0A">
        <w:instrText xml:space="preserve"> 1011b26‒29</w:instrText>
      </w:r>
      <w:r w:rsidR="00254DA4">
        <w:instrText xml:space="preserve">" </w:instrText>
      </w:r>
      <w:r w:rsidR="00254DA4">
        <w:fldChar w:fldCharType="end"/>
      </w:r>
      <w:r w:rsidR="08C2027E" w:rsidRPr="00273106">
        <w:t xml:space="preserve">). </w:t>
      </w:r>
      <w:r w:rsidR="08AF5693" w:rsidRPr="00273106">
        <w:t xml:space="preserve">Stejně jako v případě vědeckého poznání je vynechána Aristotelova </w:t>
      </w:r>
      <w:r w:rsidR="088F6A29" w:rsidRPr="00273106">
        <w:t xml:space="preserve">kategoriální predikace, protože v modelu druhého averroismu je </w:t>
      </w:r>
      <w:r w:rsidR="08AF5693" w:rsidRPr="00273106">
        <w:t xml:space="preserve">univoční vztah mezi první a druhou substancí </w:t>
      </w:r>
      <w:r w:rsidR="00D14025" w:rsidRPr="00273106">
        <w:t xml:space="preserve">daný novým postavením kategorií jako </w:t>
      </w:r>
      <w:r w:rsidR="003C2FFC">
        <w:t xml:space="preserve">amfibolních </w:t>
      </w:r>
      <w:r w:rsidR="00D14025" w:rsidRPr="00273106">
        <w:t>určení jsoucna</w:t>
      </w:r>
      <w:r w:rsidR="009C65F4">
        <w:t xml:space="preserve"> podle Al-</w:t>
      </w:r>
      <w:r w:rsidR="008E02F5">
        <w:t>Fárábí</w:t>
      </w:r>
      <w:r w:rsidR="009C65F4">
        <w:t>ho</w:t>
      </w:r>
      <w:r w:rsidR="00254DA4">
        <w:fldChar w:fldCharType="begin"/>
      </w:r>
      <w:r w:rsidR="00254DA4">
        <w:instrText xml:space="preserve"> XE "</w:instrText>
      </w:r>
      <w:r w:rsidR="00254DA4" w:rsidRPr="00192A6F">
        <w:instrText>amfibolia</w:instrText>
      </w:r>
      <w:r w:rsidR="00254DA4">
        <w:instrText xml:space="preserve">" </w:instrText>
      </w:r>
      <w:r w:rsidR="00254DA4">
        <w:fldChar w:fldCharType="end"/>
      </w:r>
      <w:r w:rsidR="088F6A29" w:rsidRPr="00273106">
        <w:t xml:space="preserve">. </w:t>
      </w:r>
      <w:r w:rsidR="08AF5693" w:rsidRPr="00273106">
        <w:t>Nová jistota</w:t>
      </w:r>
      <w:r w:rsidR="08357245" w:rsidRPr="00273106">
        <w:t xml:space="preserve"> jde z osvíceného </w:t>
      </w:r>
      <w:r w:rsidR="08AF5693" w:rsidRPr="00273106">
        <w:t>subjektu</w:t>
      </w:r>
      <w:r w:rsidR="08357245" w:rsidRPr="00273106">
        <w:t xml:space="preserve"> </w:t>
      </w:r>
      <w:r w:rsidR="08357245" w:rsidRPr="00273106">
        <w:rPr>
          <w:i/>
        </w:rPr>
        <w:t>Modernorum</w:t>
      </w:r>
      <w:r w:rsidR="08AF5693" w:rsidRPr="00273106">
        <w:t xml:space="preserve"> a ne z kauzálního </w:t>
      </w:r>
      <w:r w:rsidR="08C710C7" w:rsidRPr="00273106">
        <w:t xml:space="preserve">vztahu věcí a </w:t>
      </w:r>
      <w:r w:rsidR="08841235" w:rsidRPr="00273106">
        <w:t xml:space="preserve">intelektu </w:t>
      </w:r>
      <w:r w:rsidR="08C710C7" w:rsidRPr="00273106">
        <w:t>univočně predikujícího</w:t>
      </w:r>
      <w:r w:rsidR="08841235" w:rsidRPr="00273106">
        <w:t xml:space="preserve"> tento vztah</w:t>
      </w:r>
      <w:r w:rsidR="08AF5693" w:rsidRPr="00273106">
        <w:t xml:space="preserve">. </w:t>
      </w:r>
      <w:r w:rsidR="009A6714" w:rsidRPr="00273106">
        <w:t>Pravda o sobě (</w:t>
      </w:r>
      <w:r w:rsidR="009A6714" w:rsidRPr="00273106">
        <w:rPr>
          <w:i/>
        </w:rPr>
        <w:t>ipsa veritas</w:t>
      </w:r>
      <w:r w:rsidR="00254DA4">
        <w:rPr>
          <w:i/>
        </w:rPr>
        <w:fldChar w:fldCharType="begin"/>
      </w:r>
      <w:r w:rsidR="00254DA4">
        <w:instrText xml:space="preserve"> XE "</w:instrText>
      </w:r>
      <w:r w:rsidR="00254DA4" w:rsidRPr="000C1643">
        <w:instrText>pravda:Grosseteste</w:instrText>
      </w:r>
      <w:r w:rsidR="00254DA4">
        <w:instrText xml:space="preserve">" </w:instrText>
      </w:r>
      <w:r w:rsidR="00254DA4">
        <w:rPr>
          <w:i/>
        </w:rPr>
        <w:fldChar w:fldCharType="end"/>
      </w:r>
      <w:r w:rsidR="009A6714" w:rsidRPr="00273106">
        <w:t>) je dána nazíráním prvních principů poznání pomocí náhledu do nitra duše a intelektu (</w:t>
      </w:r>
      <w:r w:rsidR="009A6714" w:rsidRPr="00273106">
        <w:rPr>
          <w:i/>
        </w:rPr>
        <w:t>veritas adaequatio sermonis interioris et rei</w:t>
      </w:r>
      <w:r w:rsidR="009A6714" w:rsidRPr="00273106">
        <w:t xml:space="preserve">). </w:t>
      </w:r>
      <w:r w:rsidR="087175C5" w:rsidRPr="00273106">
        <w:t>Č</w:t>
      </w:r>
      <w:r w:rsidR="08735BD6" w:rsidRPr="00273106">
        <w:t xml:space="preserve">ím </w:t>
      </w:r>
      <w:r w:rsidR="087175C5" w:rsidRPr="00273106">
        <w:t xml:space="preserve">je náhled </w:t>
      </w:r>
      <w:r w:rsidR="08CF7D97">
        <w:t xml:space="preserve">moderního a postmoderního ilumináta </w:t>
      </w:r>
      <w:r w:rsidR="08735BD6" w:rsidRPr="00273106">
        <w:t xml:space="preserve">niternější a duchovnější tím </w:t>
      </w:r>
      <w:r w:rsidR="087175C5" w:rsidRPr="00273106">
        <w:t xml:space="preserve">je i </w:t>
      </w:r>
      <w:r w:rsidR="08735BD6" w:rsidRPr="00273106">
        <w:t>pravdivější</w:t>
      </w:r>
      <w:r w:rsidR="08D64CEB" w:rsidRPr="00273106">
        <w:t>, protože se tak př</w:t>
      </w:r>
      <w:r w:rsidR="087175C5" w:rsidRPr="00273106">
        <w:t>ib</w:t>
      </w:r>
      <w:r w:rsidR="08D64CEB" w:rsidRPr="00273106">
        <w:t>ližuje božímu archetypickém</w:t>
      </w:r>
      <w:r w:rsidR="087175C5" w:rsidRPr="00273106">
        <w:t>u</w:t>
      </w:r>
      <w:r w:rsidR="08D64CEB" w:rsidRPr="00273106">
        <w:t xml:space="preserve"> slovu</w:t>
      </w:r>
      <w:r w:rsidR="008F32C5">
        <w:t xml:space="preserve"> danému i v nás </w:t>
      </w:r>
      <w:r w:rsidR="008F32C5" w:rsidRPr="00273106">
        <w:t>(</w:t>
      </w:r>
      <w:r w:rsidR="008F32C5" w:rsidRPr="00273106">
        <w:rPr>
          <w:i/>
        </w:rPr>
        <w:t>sermo, qui intus silet</w:t>
      </w:r>
      <w:r w:rsidR="008F32C5" w:rsidRPr="00273106">
        <w:t>)</w:t>
      </w:r>
      <w:r w:rsidR="08735BD6" w:rsidRPr="00273106">
        <w:t xml:space="preserve">. </w:t>
      </w:r>
      <w:r w:rsidR="00DD1162">
        <w:t xml:space="preserve">Tato </w:t>
      </w:r>
      <w:r w:rsidR="00DD1162" w:rsidRPr="00273106">
        <w:t>část citátu bere stoický niterný logos (</w:t>
      </w:r>
      <w:r w:rsidR="00DD1162" w:rsidRPr="00273106">
        <w:rPr>
          <w:rStyle w:val="greek"/>
        </w:rPr>
        <w:t xml:space="preserve">λόγος </w:t>
      </w:r>
      <w:r w:rsidR="00DD1162" w:rsidRPr="00273106">
        <w:t xml:space="preserve">ἐνδιάθετος) </w:t>
      </w:r>
      <w:r w:rsidR="00DD1162">
        <w:t xml:space="preserve">v podobě Augustinova </w:t>
      </w:r>
      <w:r w:rsidR="00DD1162" w:rsidRPr="00273106">
        <w:rPr>
          <w:i/>
        </w:rPr>
        <w:t>verbum mentis</w:t>
      </w:r>
      <w:r w:rsidR="00DD1162">
        <w:rPr>
          <w:i/>
        </w:rPr>
        <w:fldChar w:fldCharType="begin"/>
      </w:r>
      <w:r w:rsidR="00DD1162">
        <w:instrText xml:space="preserve"> XE "</w:instrText>
      </w:r>
      <w:r w:rsidR="00DD1162" w:rsidRPr="00B80E84">
        <w:rPr>
          <w:i/>
        </w:rPr>
        <w:instrText>verbum mentis</w:instrText>
      </w:r>
      <w:r w:rsidR="00DD1162">
        <w:instrText xml:space="preserve">" </w:instrText>
      </w:r>
      <w:r w:rsidR="00DD1162">
        <w:rPr>
          <w:i/>
        </w:rPr>
        <w:fldChar w:fldCharType="end"/>
      </w:r>
      <w:r w:rsidR="00DD1162" w:rsidRPr="00273106">
        <w:t xml:space="preserve"> jako základní měřítko pravdy </w:t>
      </w:r>
      <w:r w:rsidR="00DD1162">
        <w:t>a komunikace významu</w:t>
      </w:r>
      <w:r w:rsidR="00DD1162" w:rsidRPr="00273106">
        <w:t>.</w:t>
      </w:r>
      <w:r w:rsidR="00DD1162">
        <w:rPr>
          <w:rStyle w:val="Znakapoznpodarou"/>
        </w:rPr>
        <w:footnoteReference w:id="317"/>
      </w:r>
      <w:r w:rsidR="00DD1162" w:rsidRPr="00273106">
        <w:t xml:space="preserve"> </w:t>
      </w:r>
      <w:r w:rsidR="00DE0B5C" w:rsidRPr="00273106">
        <w:t xml:space="preserve">Poslední </w:t>
      </w:r>
      <w:r w:rsidR="00942E96">
        <w:t>věta jasně ukazuje</w:t>
      </w:r>
      <w:r w:rsidR="00DE0B5C" w:rsidRPr="00273106">
        <w:t xml:space="preserve">, že pravda jako </w:t>
      </w:r>
      <w:r w:rsidR="00DE0B5C" w:rsidRPr="00273106">
        <w:rPr>
          <w:i/>
        </w:rPr>
        <w:t>rectitudo</w:t>
      </w:r>
      <w:r w:rsidR="00DE0B5C" w:rsidRPr="00273106">
        <w:t xml:space="preserve"> spočívá nakonec v samotném slově, protože vnitřní slovo je pravdou mimo pomíjinou realitu (</w:t>
      </w:r>
      <w:r w:rsidR="00DE0B5C" w:rsidRPr="00273106">
        <w:rPr>
          <w:i/>
        </w:rPr>
        <w:t>ipse sermo interior esset adaequatio sui ad rem</w:t>
      </w:r>
      <w:r w:rsidR="00DE0B5C" w:rsidRPr="00273106">
        <w:t xml:space="preserve">). </w:t>
      </w:r>
      <w:r w:rsidR="08C1244C" w:rsidRPr="00273106">
        <w:t>V intuici</w:t>
      </w:r>
      <w:r w:rsidR="08C1244C">
        <w:t xml:space="preserve"> správnosti a jistoty typu Augustinova výroku o niterné pradivosti (</w:t>
      </w:r>
      <w:r w:rsidR="08C1244C" w:rsidRPr="00273106">
        <w:rPr>
          <w:i/>
        </w:rPr>
        <w:t>verior sit sermo, qui intus silet</w:t>
      </w:r>
      <w:r w:rsidR="08C1244C">
        <w:t xml:space="preserve">) </w:t>
      </w:r>
      <w:r w:rsidR="08C1244C" w:rsidRPr="00273106">
        <w:t xml:space="preserve">je obsažen jak logos stoiků a Augustina, tak Descartova </w:t>
      </w:r>
      <w:r w:rsidR="08C1244C" w:rsidRPr="00273106">
        <w:rPr>
          <w:i/>
        </w:rPr>
        <w:t>epoché</w:t>
      </w:r>
      <w:r w:rsidR="08C1244C">
        <w:rPr>
          <w:i/>
        </w:rPr>
        <w:fldChar w:fldCharType="begin"/>
      </w:r>
      <w:r w:rsidR="08C1244C">
        <w:instrText xml:space="preserve"> XE "</w:instrText>
      </w:r>
      <w:r w:rsidR="08C1244C" w:rsidRPr="001B0D03">
        <w:rPr>
          <w:i/>
        </w:rPr>
        <w:instrText>epoché</w:instrText>
      </w:r>
      <w:r w:rsidR="08C1244C">
        <w:instrText xml:space="preserve">" </w:instrText>
      </w:r>
      <w:r w:rsidR="08C1244C">
        <w:rPr>
          <w:i/>
        </w:rPr>
        <w:fldChar w:fldCharType="end"/>
      </w:r>
      <w:r w:rsidR="08C1244C" w:rsidRPr="00273106">
        <w:t xml:space="preserve"> a na ní navázaná evidence</w:t>
      </w:r>
      <w:r w:rsidR="08C1244C">
        <w:fldChar w:fldCharType="begin"/>
      </w:r>
      <w:r w:rsidR="08C1244C">
        <w:instrText xml:space="preserve"> XE "</w:instrText>
      </w:r>
      <w:r w:rsidR="08C1244C" w:rsidRPr="004D79A7">
        <w:instrText>evidence:</w:instrText>
      </w:r>
      <w:r w:rsidR="08C1244C">
        <w:instrText xml:space="preserve">moderna" </w:instrText>
      </w:r>
      <w:r w:rsidR="08C1244C">
        <w:fldChar w:fldCharType="end"/>
      </w:r>
      <w:r w:rsidR="08C1244C" w:rsidRPr="00273106">
        <w:t xml:space="preserve"> niterného výkonu </w:t>
      </w:r>
      <w:r w:rsidR="08C1244C" w:rsidRPr="00273106">
        <w:rPr>
          <w:i/>
        </w:rPr>
        <w:t>cogito</w:t>
      </w:r>
      <w:r w:rsidR="08C1244C">
        <w:rPr>
          <w:i/>
        </w:rPr>
        <w:fldChar w:fldCharType="begin"/>
      </w:r>
      <w:r w:rsidR="08C1244C">
        <w:instrText xml:space="preserve"> XE "</w:instrText>
      </w:r>
      <w:r w:rsidR="08C1244C" w:rsidRPr="003D2937">
        <w:rPr>
          <w:i/>
        </w:rPr>
        <w:instrText>cogito</w:instrText>
      </w:r>
      <w:r w:rsidR="08C1244C">
        <w:instrText xml:space="preserve">" </w:instrText>
      </w:r>
      <w:r w:rsidR="08C1244C">
        <w:rPr>
          <w:i/>
        </w:rPr>
        <w:fldChar w:fldCharType="end"/>
      </w:r>
      <w:r w:rsidR="08C1244C" w:rsidRPr="00273106">
        <w:t xml:space="preserve">, a </w:t>
      </w:r>
      <w:r w:rsidR="08C1244C">
        <w:t xml:space="preserve">po ní i </w:t>
      </w:r>
      <w:r w:rsidR="08C1244C" w:rsidRPr="00273106">
        <w:t xml:space="preserve">Husserlova eidetická intuice. </w:t>
      </w:r>
      <w:r w:rsidR="002571C7" w:rsidRPr="00273106">
        <w:t>Jak víme</w:t>
      </w:r>
      <w:r w:rsidR="00062F35">
        <w:t xml:space="preserve"> z dialogu </w:t>
      </w:r>
      <w:r w:rsidR="00062F35" w:rsidRPr="00062F35">
        <w:rPr>
          <w:i/>
        </w:rPr>
        <w:t>Sofiste</w:t>
      </w:r>
      <w:r w:rsidR="00CB3472" w:rsidRPr="00062F35">
        <w:rPr>
          <w:i/>
        </w:rPr>
        <w:t>s</w:t>
      </w:r>
      <w:r w:rsidR="002571C7" w:rsidRPr="00273106">
        <w:t xml:space="preserve">, absolutizované slovo </w:t>
      </w:r>
      <w:r w:rsidR="00D00E8E">
        <w:t>produkuje</w:t>
      </w:r>
      <w:r w:rsidR="003A4827">
        <w:t xml:space="preserve"> simulákrum </w:t>
      </w:r>
      <w:r w:rsidR="002571C7" w:rsidRPr="00273106">
        <w:t xml:space="preserve">pravdy. Ontoteologický scénář </w:t>
      </w:r>
      <w:r w:rsidR="00954777">
        <w:t xml:space="preserve">latinských </w:t>
      </w:r>
      <w:r w:rsidR="002571C7" w:rsidRPr="00273106">
        <w:t xml:space="preserve">modernistů je implicitně sofistický, což </w:t>
      </w:r>
      <w:r w:rsidR="004A71CC">
        <w:t xml:space="preserve">odsoudil </w:t>
      </w:r>
      <w:r w:rsidR="004A71CC">
        <w:rPr>
          <w:szCs w:val="24"/>
        </w:rPr>
        <w:t xml:space="preserve">Alvernus jako </w:t>
      </w:r>
      <w:r w:rsidR="002C068F">
        <w:t xml:space="preserve">hlavní </w:t>
      </w:r>
      <w:r w:rsidR="002571C7" w:rsidRPr="00273106">
        <w:t>před</w:t>
      </w:r>
      <w:r w:rsidR="007210BE" w:rsidRPr="00273106">
        <w:t>s</w:t>
      </w:r>
      <w:r w:rsidR="004A71CC">
        <w:t>tavitel</w:t>
      </w:r>
      <w:r w:rsidR="002571C7" w:rsidRPr="00273106">
        <w:t xml:space="preserve"> prvního averroi</w:t>
      </w:r>
      <w:r w:rsidR="08EF1CE8">
        <w:t xml:space="preserve">smu. </w:t>
      </w:r>
      <w:r w:rsidR="005D736A">
        <w:t xml:space="preserve">Aristotelské </w:t>
      </w:r>
      <w:r w:rsidR="08EF1CE8">
        <w:t xml:space="preserve">pojetí </w:t>
      </w:r>
      <w:r w:rsidR="002A6C71">
        <w:t>dvojího poznání</w:t>
      </w:r>
      <w:r w:rsidR="002571C7" w:rsidRPr="00273106">
        <w:t xml:space="preserve"> </w:t>
      </w:r>
      <w:r w:rsidR="08EF1CE8">
        <w:t xml:space="preserve">a </w:t>
      </w:r>
      <w:r w:rsidR="002A6C71">
        <w:t>dvojí met</w:t>
      </w:r>
      <w:r w:rsidR="08EF1CE8">
        <w:t>ody</w:t>
      </w:r>
      <w:r w:rsidR="002A6C71">
        <w:t xml:space="preserve"> dané podle </w:t>
      </w:r>
      <w:r w:rsidR="002A6C71" w:rsidRPr="00062F35">
        <w:rPr>
          <w:i/>
        </w:rPr>
        <w:t>Druhých analytik</w:t>
      </w:r>
      <w:r w:rsidR="002A6C71">
        <w:t xml:space="preserve"> </w:t>
      </w:r>
      <w:r w:rsidR="005D736A">
        <w:t>bránilo</w:t>
      </w:r>
      <w:r w:rsidR="002571C7" w:rsidRPr="00273106">
        <w:t xml:space="preserve"> </w:t>
      </w:r>
      <w:r w:rsidR="002A6C71">
        <w:t>adekvaci rozumu k reálné věci</w:t>
      </w:r>
      <w:r w:rsidR="005D736A">
        <w:t>.</w:t>
      </w:r>
      <w:r w:rsidR="001C40D8">
        <w:t xml:space="preserve"> </w:t>
      </w:r>
      <w:r w:rsidR="003067A2" w:rsidRPr="003067A2">
        <w:t xml:space="preserve">Analytičtí </w:t>
      </w:r>
      <w:r w:rsidR="003067A2" w:rsidRPr="003067A2">
        <w:lastRenderedPageBreak/>
        <w:t>ilumináti z Oxfordu kladou na první místo pravdivost absolutizovaného slova. Za součást božského zjevení prohlásili i vlastní sofistickou p</w:t>
      </w:r>
      <w:r w:rsidR="001C40D8">
        <w:t xml:space="preserve">rodukci řeči, </w:t>
      </w:r>
      <w:r w:rsidR="003067A2">
        <w:t>později nazvanou „</w:t>
      </w:r>
      <w:r w:rsidR="003067A2" w:rsidRPr="001C40D8">
        <w:rPr>
          <w:i/>
          <w:szCs w:val="24"/>
        </w:rPr>
        <w:t>speech acts</w:t>
      </w:r>
      <w:r w:rsidR="003067A2">
        <w:rPr>
          <w:szCs w:val="24"/>
        </w:rPr>
        <w:t>“</w:t>
      </w:r>
      <w:r w:rsidR="003067A2" w:rsidRPr="003067A2">
        <w:t xml:space="preserve">. Taková </w:t>
      </w:r>
      <w:r w:rsidR="00ED0F23">
        <w:t xml:space="preserve">filosofická abominace nemohla zůstat nepotrestána, </w:t>
      </w:r>
      <w:r w:rsidR="003067A2" w:rsidRPr="003067A2">
        <w:t>proto mod</w:t>
      </w:r>
      <w:r w:rsidR="003067A2">
        <w:t>erně vzdělané</w:t>
      </w:r>
      <w:r w:rsidR="003067A2" w:rsidRPr="003067A2">
        <w:t xml:space="preserve"> </w:t>
      </w:r>
      <w:r w:rsidR="003067A2">
        <w:t xml:space="preserve">Fúrie </w:t>
      </w:r>
      <w:r w:rsidR="003067A2" w:rsidRPr="003067A2">
        <w:t xml:space="preserve">stále </w:t>
      </w:r>
      <w:r w:rsidR="003067A2">
        <w:t xml:space="preserve">drží </w:t>
      </w:r>
      <w:r w:rsidR="003067A2" w:rsidRPr="003067A2">
        <w:t xml:space="preserve"> Oxford </w:t>
      </w:r>
      <w:r w:rsidR="003067A2">
        <w:t>a jeho anglosaské pobočky jako své hlavní sídlo</w:t>
      </w:r>
      <w:r w:rsidR="001C40D8">
        <w:t xml:space="preserve"> Chaosu a Pomsty. Pravdivé a sp</w:t>
      </w:r>
      <w:r w:rsidR="003067A2">
        <w:t>ravedlivé M</w:t>
      </w:r>
      <w:r w:rsidR="003067A2" w:rsidRPr="003067A2">
        <w:t>úzy respek</w:t>
      </w:r>
      <w:r w:rsidR="003067A2">
        <w:t>tovaly boj za ztracenou věc na P</w:t>
      </w:r>
      <w:r w:rsidR="003067A2" w:rsidRPr="003067A2">
        <w:t>ařížské univerzitě a nechaly ji v kl</w:t>
      </w:r>
      <w:r w:rsidR="003067A2">
        <w:t>idu zemřít, stejně jako moderního bo</w:t>
      </w:r>
      <w:r w:rsidR="003067A2" w:rsidRPr="003067A2">
        <w:t>h</w:t>
      </w:r>
      <w:r w:rsidR="003067A2">
        <w:t>a</w:t>
      </w:r>
      <w:r w:rsidR="003067A2" w:rsidRPr="003067A2">
        <w:t>.</w:t>
      </w:r>
      <w:r w:rsidR="00FC4EDC">
        <w:t xml:space="preserve"> </w:t>
      </w:r>
      <w:r w:rsidR="009A6714" w:rsidRPr="00273106">
        <w:t xml:space="preserve">Intelektuální náhled do principů poznání tvoří základ </w:t>
      </w:r>
      <w:r w:rsidR="081F621A" w:rsidRPr="00273106">
        <w:t xml:space="preserve">citovaného </w:t>
      </w:r>
      <w:r w:rsidR="009A6714" w:rsidRPr="00273106">
        <w:rPr>
          <w:i/>
        </w:rPr>
        <w:t>enuntiatio</w:t>
      </w:r>
      <w:r w:rsidR="00EE4D40">
        <w:rPr>
          <w:i/>
        </w:rPr>
        <w:fldChar w:fldCharType="begin"/>
      </w:r>
      <w:r w:rsidR="00EE4D40">
        <w:instrText xml:space="preserve"> XE "</w:instrText>
      </w:r>
      <w:r w:rsidR="00EE4D40" w:rsidRPr="0038128E">
        <w:rPr>
          <w:i/>
        </w:rPr>
        <w:instrText>enuntiatio</w:instrText>
      </w:r>
      <w:r w:rsidR="00EE4D40" w:rsidRPr="009E7B83">
        <w:instrText>:</w:instrText>
      </w:r>
      <w:r w:rsidR="009E7B83" w:rsidRPr="009E7B83">
        <w:instrText>Grosseteste</w:instrText>
      </w:r>
      <w:r w:rsidR="00EE4D40">
        <w:instrText xml:space="preserve">" </w:instrText>
      </w:r>
      <w:r w:rsidR="00EE4D40">
        <w:rPr>
          <w:i/>
        </w:rPr>
        <w:fldChar w:fldCharType="end"/>
      </w:r>
      <w:r w:rsidR="00F55A32">
        <w:t xml:space="preserve">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9A6714" w:rsidRPr="00273106">
        <w:rPr>
          <w:i/>
        </w:rPr>
        <w:t>,</w:t>
      </w:r>
      <w:r w:rsidR="009A6714" w:rsidRPr="00273106">
        <w:t xml:space="preserve"> v němž se zjevuje </w:t>
      </w:r>
      <w:r w:rsidR="00161906" w:rsidRPr="00273106">
        <w:t xml:space="preserve">niterná </w:t>
      </w:r>
      <w:r w:rsidR="009A6714" w:rsidRPr="00273106">
        <w:t xml:space="preserve">pravda </w:t>
      </w:r>
      <w:r w:rsidR="00161906" w:rsidRPr="00273106">
        <w:t xml:space="preserve">vědomí </w:t>
      </w:r>
      <w:r w:rsidR="009A6714" w:rsidRPr="00273106">
        <w:t xml:space="preserve">jako </w:t>
      </w:r>
      <w:r w:rsidR="009A6714" w:rsidRPr="00273106">
        <w:rPr>
          <w:i/>
        </w:rPr>
        <w:t>rectitudo</w:t>
      </w:r>
      <w:r w:rsidR="009A6714" w:rsidRPr="00273106">
        <w:t xml:space="preserve"> moderního subjektu</w:t>
      </w:r>
      <w:r w:rsidR="0052331E" w:rsidRPr="00273106">
        <w:t>.</w:t>
      </w:r>
      <w:r w:rsidR="00FD56A8">
        <w:t xml:space="preserve"> </w:t>
      </w:r>
      <w:r w:rsidR="00FD56A8" w:rsidRPr="00273106">
        <w:t>Kategoriální soud o pravdě dané vzhledem k realitě je zbytečný</w:t>
      </w:r>
      <w:r w:rsidR="00FD56A8">
        <w:t xml:space="preserve">. </w:t>
      </w:r>
      <w:r w:rsidR="00FD56A8" w:rsidRPr="00FD56A8">
        <w:t xml:space="preserve">Nahrazuje ho osvícení intelektu, který vytváří </w:t>
      </w:r>
      <w:r w:rsidR="00BE317C">
        <w:t>t</w:t>
      </w:r>
      <w:r w:rsidR="00FD56A8">
        <w:t xml:space="preserve">vojstranný </w:t>
      </w:r>
      <w:r w:rsidR="00FD56A8" w:rsidRPr="00FD56A8">
        <w:t xml:space="preserve">vztah </w:t>
      </w:r>
      <w:r w:rsidR="00BE317C">
        <w:t>sebe sama, Stvořitele</w:t>
      </w:r>
      <w:r w:rsidR="00FD56A8" w:rsidRPr="00FD56A8">
        <w:t xml:space="preserve"> a stvoření.</w:t>
      </w:r>
      <w:r w:rsidR="00FD56A8">
        <w:t xml:space="preserve"> </w:t>
      </w:r>
      <w:r w:rsidR="007346F2">
        <w:t xml:space="preserve">Pravda jako </w:t>
      </w:r>
      <w:r w:rsidR="00215052">
        <w:t>jis</w:t>
      </w:r>
      <w:r w:rsidR="007346F2">
        <w:t>tota a správnost</w:t>
      </w:r>
      <w:r w:rsidR="00215052">
        <w:t xml:space="preserve"> má zcela moderní charakter </w:t>
      </w:r>
      <w:r w:rsidR="00215052" w:rsidRPr="00273106">
        <w:t xml:space="preserve">a </w:t>
      </w:r>
      <w:r w:rsidR="00215052">
        <w:t xml:space="preserve">indikuje </w:t>
      </w:r>
      <w:r w:rsidR="00215052" w:rsidRPr="00273106">
        <w:t xml:space="preserve">vývoj k Descartovu a Husserlovu postmodernímu avicennismu. </w:t>
      </w:r>
      <w:r w:rsidR="08A80EC2">
        <w:t>Modernisté m</w:t>
      </w:r>
      <w:r w:rsidR="009A28B7" w:rsidRPr="00273106">
        <w:t xml:space="preserve">ají </w:t>
      </w:r>
      <w:r w:rsidR="0052331E" w:rsidRPr="00273106">
        <w:t xml:space="preserve">zdroj pravdy </w:t>
      </w:r>
      <w:r w:rsidR="009A28B7" w:rsidRPr="00273106">
        <w:t>v</w:t>
      </w:r>
      <w:r w:rsidR="088D7CE4" w:rsidRPr="00273106">
        <w:t xml:space="preserve"> sobě, a ne </w:t>
      </w:r>
      <w:r w:rsidR="0052331E" w:rsidRPr="00273106">
        <w:t>v kontingentní realitě (</w:t>
      </w:r>
      <w:r w:rsidR="0052331E" w:rsidRPr="00273106">
        <w:rPr>
          <w:i/>
        </w:rPr>
        <w:t>magis erit veritas adaequatio sermonis interioris et rei, quam exterioris</w:t>
      </w:r>
      <w:r w:rsidR="0052331E" w:rsidRPr="00273106">
        <w:t>)</w:t>
      </w:r>
      <w:r w:rsidR="009A6714" w:rsidRPr="00273106">
        <w:t xml:space="preserve">. </w:t>
      </w:r>
      <w:r w:rsidR="083A1890" w:rsidRPr="00273106">
        <w:t xml:space="preserve">K určení pravdy </w:t>
      </w:r>
      <w:r w:rsidR="003A0FB5">
        <w:t xml:space="preserve">světa </w:t>
      </w:r>
      <w:r w:rsidR="009155DB">
        <w:t xml:space="preserve">stačí tiché přebývání v </w:t>
      </w:r>
      <w:r w:rsidR="083A1890" w:rsidRPr="00273106">
        <w:t xml:space="preserve">nitru </w:t>
      </w:r>
      <w:r w:rsidR="009155DB">
        <w:t xml:space="preserve">moderní </w:t>
      </w:r>
      <w:r w:rsidR="00145ADF">
        <w:t xml:space="preserve">duše nebo postmoderního vědomí </w:t>
      </w:r>
      <w:r w:rsidR="083A1890" w:rsidRPr="00273106">
        <w:t xml:space="preserve">na způsob osvíceného </w:t>
      </w:r>
      <w:r w:rsidR="00703936" w:rsidRPr="00273106">
        <w:t xml:space="preserve">Avicenny, </w:t>
      </w:r>
      <w:r w:rsidR="083A1890" w:rsidRPr="00273106">
        <w:t>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703936" w:rsidRPr="00273106">
        <w:t xml:space="preserve"> a Husserla</w:t>
      </w:r>
      <w:r w:rsidR="00E75B24">
        <w:fldChar w:fldCharType="begin"/>
      </w:r>
      <w:r w:rsidR="00E75B24">
        <w:instrText xml:space="preserve"> XE "</w:instrText>
      </w:r>
      <w:r w:rsidR="00E75B24" w:rsidRPr="000710C4">
        <w:instrText>Husserl, E.</w:instrText>
      </w:r>
      <w:r w:rsidR="00E75B24">
        <w:instrText xml:space="preserve">" </w:instrText>
      </w:r>
      <w:r w:rsidR="00E75B24">
        <w:fldChar w:fldCharType="end"/>
      </w:r>
      <w:r w:rsidR="083A1890" w:rsidRPr="00273106">
        <w:t xml:space="preserve">. </w:t>
      </w:r>
      <w:r w:rsidR="089469FE" w:rsidRPr="00273106">
        <w:t xml:space="preserve">Pravda </w:t>
      </w:r>
      <w:r w:rsidR="009E7B83">
        <w:t xml:space="preserve">těchto novodobých porretánců je dána v evidentním modu </w:t>
      </w:r>
      <w:r w:rsidR="006F1348">
        <w:rPr>
          <w:i/>
        </w:rPr>
        <w:t>semel‒semper</w:t>
      </w:r>
      <w:r w:rsidR="009E7B83">
        <w:rPr>
          <w:i/>
        </w:rPr>
        <w:fldChar w:fldCharType="begin"/>
      </w:r>
      <w:r w:rsidR="009E7B83">
        <w:instrText xml:space="preserve"> XE "pravda:</w:instrText>
      </w:r>
      <w:r w:rsidR="006F1348">
        <w:rPr>
          <w:i/>
        </w:rPr>
        <w:instrText>semel‒semper</w:instrText>
      </w:r>
      <w:r w:rsidR="009E7B83">
        <w:instrText xml:space="preserve">" </w:instrText>
      </w:r>
      <w:r w:rsidR="009E7B83">
        <w:rPr>
          <w:i/>
        </w:rPr>
        <w:fldChar w:fldCharType="end"/>
      </w:r>
      <w:r w:rsidR="009E7B83">
        <w:t xml:space="preserve"> </w:t>
      </w:r>
      <w:r w:rsidR="089469FE" w:rsidRPr="00273106">
        <w:t>jako poslední horizont adekvace je jedna, jedinečná, všemu a všem společná (</w:t>
      </w:r>
      <w:r w:rsidR="089469FE" w:rsidRPr="00273106">
        <w:rPr>
          <w:i/>
        </w:rPr>
        <w:t>illa est summa veritas</w:t>
      </w:r>
      <w:r w:rsidR="089469FE" w:rsidRPr="00273106">
        <w:t>), a navíc nepodléhá žádným kontingentním změnám (</w:t>
      </w:r>
      <w:r w:rsidR="089469FE" w:rsidRPr="00273106">
        <w:rPr>
          <w:i/>
        </w:rPr>
        <w:t>sunt simul in uno tempore</w:t>
      </w:r>
      <w:r w:rsidR="089469FE" w:rsidRPr="00273106">
        <w:t>).</w:t>
      </w:r>
      <w:r w:rsidR="089469FE" w:rsidRPr="00273106">
        <w:rPr>
          <w:rStyle w:val="Znakapoznpodarou"/>
        </w:rPr>
        <w:footnoteReference w:id="318"/>
      </w:r>
      <w:r w:rsidR="009E7B83">
        <w:t xml:space="preserve"> </w:t>
      </w:r>
      <w:r w:rsidR="00C0215C" w:rsidRPr="00273106">
        <w:t xml:space="preserve">Hermeneutika připomíná, že </w:t>
      </w:r>
      <w:r w:rsidR="003239EB">
        <w:t xml:space="preserve">toto </w:t>
      </w:r>
      <w:r w:rsidR="00C0215C" w:rsidRPr="00273106">
        <w:t>pojetí pravdy je možné jen v ontoteologické konstrukci metafyziky</w:t>
      </w:r>
      <w:r w:rsidR="00193588">
        <w:t>, kde vládne model analogické jednoty jsoucna dané skrze logickou</w:t>
      </w:r>
      <w:r w:rsidR="00460D2B">
        <w:t xml:space="preserve"> </w:t>
      </w:r>
      <w:r w:rsidR="00193588">
        <w:t>abstrakci</w:t>
      </w:r>
      <w:r w:rsidR="00C0215C" w:rsidRPr="00273106">
        <w:t xml:space="preserve">. </w:t>
      </w:r>
      <w:r w:rsidR="08D77F52" w:rsidRPr="00273106">
        <w:t>Souzení nepotvrzuje v demonstrativním výroku buď to, že věci jsou, nebo to, že nejsou (</w:t>
      </w:r>
      <w:r w:rsidR="08D77F52" w:rsidRPr="00273106">
        <w:rPr>
          <w:rStyle w:val="Zvraznn"/>
        </w:rPr>
        <w:t>Met</w:t>
      </w:r>
      <w:r w:rsidR="08D77F52" w:rsidRPr="00273106">
        <w:rPr>
          <w:rStyle w:val="Zvraznn"/>
          <w:i w:val="0"/>
        </w:rPr>
        <w:t>.</w:t>
      </w:r>
      <w:r w:rsidR="08D77F52" w:rsidRPr="00273106">
        <w:t xml:space="preserve"> 1011b26‒29</w:t>
      </w:r>
      <w:r w:rsidR="08D77F52">
        <w:fldChar w:fldCharType="begin"/>
      </w:r>
      <w:r w:rsidR="08D77F52">
        <w:instrText xml:space="preserve"> XE "Aristoteles:</w:instrText>
      </w:r>
      <w:r w:rsidR="08D77F52" w:rsidRPr="0009253C">
        <w:rPr>
          <w:rStyle w:val="Zvraznn"/>
        </w:rPr>
        <w:instrText>Met</w:instrText>
      </w:r>
      <w:r w:rsidR="08D77F52" w:rsidRPr="0009253C">
        <w:rPr>
          <w:rStyle w:val="Zvraznn"/>
          <w:i w:val="0"/>
        </w:rPr>
        <w:instrText>.</w:instrText>
      </w:r>
      <w:r w:rsidR="08D77F52" w:rsidRPr="0009253C">
        <w:instrText xml:space="preserve"> 1011b26‒29</w:instrText>
      </w:r>
      <w:r w:rsidR="08D77F52">
        <w:instrText xml:space="preserve">" </w:instrText>
      </w:r>
      <w:r w:rsidR="08D77F52">
        <w:fldChar w:fldCharType="end"/>
      </w:r>
      <w:r w:rsidR="08D77F52" w:rsidRPr="00273106">
        <w:t xml:space="preserve">). </w:t>
      </w:r>
      <w:r w:rsidR="08305DC0">
        <w:t>P</w:t>
      </w:r>
      <w:r w:rsidR="006C2880" w:rsidRPr="00273106">
        <w:t xml:space="preserve">ravda oddělila </w:t>
      </w:r>
      <w:r w:rsidR="084B017A">
        <w:t xml:space="preserve">akt shody </w:t>
      </w:r>
      <w:r w:rsidR="006C2880" w:rsidRPr="00273106">
        <w:t>od existen</w:t>
      </w:r>
      <w:r w:rsidR="08711D55" w:rsidRPr="00273106">
        <w:t>ce reálních prvních substancí</w:t>
      </w:r>
      <w:r w:rsidR="08305DC0">
        <w:t xml:space="preserve"> a opět </w:t>
      </w:r>
      <w:r w:rsidR="08D77F52">
        <w:t xml:space="preserve">začal </w:t>
      </w:r>
      <w:r w:rsidR="08E308A8">
        <w:t xml:space="preserve">platit neoplatonský modus pravdy daný podle </w:t>
      </w:r>
      <w:r w:rsidR="08E308A8" w:rsidRPr="08E308A8">
        <w:rPr>
          <w:i/>
        </w:rPr>
        <w:t>Metafyziky</w:t>
      </w:r>
      <w:r w:rsidR="08E9618F">
        <w:t xml:space="preserve"> </w:t>
      </w:r>
      <w:r w:rsidR="08E308A8">
        <w:t>na úrovni prvních určení j</w:t>
      </w:r>
      <w:r w:rsidR="08E9618F">
        <w:t>s</w:t>
      </w:r>
      <w:r w:rsidR="08E308A8">
        <w:t>oucna, v</w:t>
      </w:r>
      <w:r w:rsidR="08E308A8" w:rsidRPr="00273106">
        <w:t>iz výše citované dvojí určení jsoucna jako aktuálního a pravdivého (</w:t>
      </w:r>
      <w:r w:rsidR="08E308A8" w:rsidRPr="00273106">
        <w:rPr>
          <w:i/>
          <w:lang w:eastAsia="en-US"/>
        </w:rPr>
        <w:t>Met</w:t>
      </w:r>
      <w:r w:rsidR="08E308A8" w:rsidRPr="00273106">
        <w:rPr>
          <w:lang w:eastAsia="en-US"/>
        </w:rPr>
        <w:t>. 1026a33–b2</w:t>
      </w:r>
      <w:r w:rsidR="08E308A8">
        <w:rPr>
          <w:i/>
        </w:rPr>
        <w:fldChar w:fldCharType="begin"/>
      </w:r>
      <w:r w:rsidR="08E308A8">
        <w:instrText xml:space="preserve"> XE "Aristoteles:</w:instrText>
      </w:r>
      <w:r w:rsidR="08E308A8" w:rsidRPr="00273106">
        <w:rPr>
          <w:i/>
          <w:lang w:eastAsia="en-US"/>
        </w:rPr>
        <w:instrText>Met</w:instrText>
      </w:r>
      <w:r w:rsidR="08E308A8" w:rsidRPr="00273106">
        <w:rPr>
          <w:lang w:eastAsia="en-US"/>
        </w:rPr>
        <w:instrText>. 1026a33–b2</w:instrText>
      </w:r>
      <w:r w:rsidR="08E308A8">
        <w:instrText xml:space="preserve">" </w:instrText>
      </w:r>
      <w:r w:rsidR="08E308A8">
        <w:rPr>
          <w:i/>
        </w:rPr>
        <w:fldChar w:fldCharType="end"/>
      </w:r>
      <w:r w:rsidR="08F14067">
        <w:rPr>
          <w:lang w:eastAsia="en-US"/>
        </w:rPr>
        <w:t xml:space="preserve">; OBJ I, </w:t>
      </w:r>
      <w:r w:rsidR="08E308A8">
        <w:rPr>
          <w:lang w:eastAsia="en-US"/>
        </w:rPr>
        <w:t>kap. 2.1.1</w:t>
      </w:r>
      <w:r w:rsidR="08E308A8" w:rsidRPr="00273106">
        <w:t>).</w:t>
      </w:r>
      <w:r w:rsidR="08E308A8">
        <w:t xml:space="preserve"> </w:t>
      </w:r>
      <w:r w:rsidR="08F851FA" w:rsidRPr="00273106">
        <w:t xml:space="preserve">Podle moderních </w:t>
      </w:r>
      <w:r w:rsidR="08F851FA" w:rsidRPr="00273106">
        <w:rPr>
          <w:i/>
        </w:rPr>
        <w:t>Nominales</w:t>
      </w:r>
      <w:r w:rsidR="08F851FA" w:rsidRPr="00273106">
        <w:t xml:space="preserve"> má k</w:t>
      </w:r>
      <w:r w:rsidR="006C2880" w:rsidRPr="00273106">
        <w:t xml:space="preserve">aždá věc svou inherentní pravdivost danou vztahem k </w:t>
      </w:r>
      <w:r w:rsidR="08444517">
        <w:t>boží pravdě</w:t>
      </w:r>
      <w:r w:rsidR="08A82FF9" w:rsidRPr="00273106">
        <w:t>, která</w:t>
      </w:r>
      <w:r w:rsidR="006C2880" w:rsidRPr="00273106">
        <w:t xml:space="preserve"> stojí mimo prostor a mimo čas (</w:t>
      </w:r>
      <w:r w:rsidR="006C2880" w:rsidRPr="00273106">
        <w:rPr>
          <w:i/>
        </w:rPr>
        <w:t>non fuit verum, nisi veritate sua</w:t>
      </w:r>
      <w:r w:rsidR="006C2880" w:rsidRPr="00273106">
        <w:t xml:space="preserve">). </w:t>
      </w:r>
      <w:r w:rsidR="0060655F" w:rsidRPr="00273106">
        <w:t xml:space="preserve">Vznikla nová instance platnosti, která je dána </w:t>
      </w:r>
      <w:r w:rsidR="081541DA" w:rsidRPr="00273106">
        <w:t>odděleně (</w:t>
      </w:r>
      <w:r w:rsidR="0060655F" w:rsidRPr="00273106">
        <w:rPr>
          <w:i/>
        </w:rPr>
        <w:t>absolute</w:t>
      </w:r>
      <w:r w:rsidR="004E2BC4">
        <w:rPr>
          <w:rStyle w:val="addmd"/>
          <w:i/>
        </w:rPr>
        <w:fldChar w:fldCharType="begin"/>
      </w:r>
      <w:r w:rsidR="004E2BC4">
        <w:instrText xml:space="preserve"> </w:instrText>
      </w:r>
      <w:r w:rsidR="004E2BC4">
        <w:lastRenderedPageBreak/>
        <w:instrText>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81541DA" w:rsidRPr="00273106">
        <w:t>), díky své imanentně věčné a nutné pravdivosti (</w:t>
      </w:r>
      <w:r w:rsidR="0060655F" w:rsidRPr="00273106">
        <w:rPr>
          <w:i/>
        </w:rPr>
        <w:t>per se</w:t>
      </w:r>
      <w:r w:rsidR="081541DA" w:rsidRPr="00273106">
        <w:t>), navíc</w:t>
      </w:r>
      <w:r w:rsidR="0060655F" w:rsidRPr="00273106">
        <w:t xml:space="preserve"> </w:t>
      </w:r>
      <w:r w:rsidR="081541DA" w:rsidRPr="00273106">
        <w:t xml:space="preserve">dané </w:t>
      </w:r>
      <w:r w:rsidR="0060655F" w:rsidRPr="00273106">
        <w:t>v rámci ontoteologického horizontu (</w:t>
      </w:r>
      <w:r w:rsidR="0060655F" w:rsidRPr="00273106">
        <w:rPr>
          <w:i/>
        </w:rPr>
        <w:t>veritas aeterna est et summa</w:t>
      </w:r>
      <w:r w:rsidR="00745549">
        <w:t xml:space="preserve">). Nový termín </w:t>
      </w:r>
      <w:r w:rsidR="007F5C27">
        <w:t>„</w:t>
      </w:r>
      <w:r w:rsidR="0060655F" w:rsidRPr="00273106">
        <w:rPr>
          <w:i/>
        </w:rPr>
        <w:t>summa veritas</w:t>
      </w:r>
      <w:r w:rsidR="007F5C27">
        <w:rPr>
          <w:i/>
        </w:rPr>
        <w:t>“</w:t>
      </w:r>
      <w:r w:rsidR="0060655F" w:rsidRPr="00273106">
        <w:t xml:space="preserve"> chápaný ontoteologicky a nominálně nahradil Aristotelovu aktua</w:t>
      </w:r>
      <w:r w:rsidR="007F5C27">
        <w:t xml:space="preserve">litu první substance. Termín </w:t>
      </w:r>
      <w:r w:rsidR="007F5C27" w:rsidRPr="007F5C27">
        <w:t xml:space="preserve">zahrnuje redukci pravdy jako aristotelské korespondence, která se týká skutečnosti a intelektu, na pravdu jako </w:t>
      </w:r>
      <w:r w:rsidR="007F5C27" w:rsidRPr="007F5C27">
        <w:rPr>
          <w:i/>
        </w:rPr>
        <w:t>rectitudo</w:t>
      </w:r>
      <w:r w:rsidR="007F5C27" w:rsidRPr="007F5C27">
        <w:t xml:space="preserve"> a c</w:t>
      </w:r>
      <w:r w:rsidR="007F5C27">
        <w:t xml:space="preserve">ertitudo, která se týká esence vytvářené moderním subjektem. </w:t>
      </w:r>
      <w:r w:rsidR="0060655F" w:rsidRPr="00273106">
        <w:t>Jde o podobnou formu dedukce</w:t>
      </w:r>
      <w:r w:rsidR="00281158">
        <w:fldChar w:fldCharType="begin"/>
      </w:r>
      <w:r w:rsidR="00281158">
        <w:instrText xml:space="preserve"> XE "</w:instrText>
      </w:r>
      <w:r w:rsidR="00281158" w:rsidRPr="00264166">
        <w:instrText>dedukce:objektivní</w:instrText>
      </w:r>
      <w:r w:rsidR="00281158">
        <w:instrText xml:space="preserve">" </w:instrText>
      </w:r>
      <w:r w:rsidR="00281158">
        <w:fldChar w:fldCharType="end"/>
      </w:r>
      <w:r w:rsidR="0060655F" w:rsidRPr="00273106">
        <w:t xml:space="preserve">, jakou předvedl výklad </w:t>
      </w:r>
      <w:r w:rsidR="0060655F" w:rsidRPr="08EF1CE8">
        <w:rPr>
          <w:i/>
        </w:rPr>
        <w:t>Druhých analytik</w:t>
      </w:r>
      <w:r w:rsidR="0060655F" w:rsidRPr="00273106">
        <w:t xml:space="preserve"> v případě přenesení univočního konceptu kauzality od </w:t>
      </w:r>
      <w:r w:rsidR="003A0FB5">
        <w:rPr>
          <w:i/>
        </w:rPr>
        <w:t>c</w:t>
      </w:r>
      <w:r w:rsidR="0060655F" w:rsidRPr="00273106">
        <w:rPr>
          <w:i/>
        </w:rPr>
        <w:t>ausa prima</w:t>
      </w:r>
      <w:r w:rsidR="00761354">
        <w:rPr>
          <w:i/>
        </w:rPr>
        <w:fldChar w:fldCharType="begin"/>
      </w:r>
      <w:r w:rsidR="00761354">
        <w:instrText xml:space="preserve"> XE "</w:instrText>
      </w:r>
      <w:r w:rsidR="00761354" w:rsidRPr="00EC783C">
        <w:rPr>
          <w:i/>
          <w:color w:val="000000"/>
        </w:rPr>
        <w:instrText>causa prima</w:instrText>
      </w:r>
      <w:r w:rsidR="00761354">
        <w:instrText xml:space="preserve">" </w:instrText>
      </w:r>
      <w:r w:rsidR="00761354">
        <w:rPr>
          <w:i/>
        </w:rPr>
        <w:fldChar w:fldCharType="end"/>
      </w:r>
      <w:r w:rsidR="0060655F" w:rsidRPr="00273106">
        <w:t xml:space="preserve"> do </w:t>
      </w:r>
      <w:r w:rsidR="08713853" w:rsidRPr="00273106">
        <w:t xml:space="preserve">aktu </w:t>
      </w:r>
      <w:r w:rsidR="0060655F" w:rsidRPr="00273106">
        <w:rPr>
          <w:i/>
        </w:rPr>
        <w:t>ex</w:t>
      </w:r>
      <w:r w:rsidR="0862747C" w:rsidRPr="00273106">
        <w:rPr>
          <w:i/>
        </w:rPr>
        <w:t>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60655F" w:rsidRPr="00273106">
        <w:t xml:space="preserve"> </w:t>
      </w:r>
      <w:r w:rsidR="08713853" w:rsidRPr="00273106">
        <w:t>nové substance</w:t>
      </w:r>
      <w:r w:rsidR="08713853" w:rsidRPr="00273106">
        <w:noBreakHyphen/>
        <w:t xml:space="preserve">esence, která se </w:t>
      </w:r>
      <w:r w:rsidR="0060655F" w:rsidRPr="00273106">
        <w:t>odděl</w:t>
      </w:r>
      <w:r w:rsidR="08713853" w:rsidRPr="00273106">
        <w:t xml:space="preserve">ila </w:t>
      </w:r>
      <w:r w:rsidR="009279AF">
        <w:t>od reality první substance.</w:t>
      </w:r>
      <w:r w:rsidR="00757D60">
        <w:t xml:space="preserve"> </w:t>
      </w:r>
      <w:r w:rsidR="08576A4E" w:rsidRPr="00273106">
        <w:t>Augustinovo teologické pojetí signifikace vztažené k věčnému Slovu (</w:t>
      </w:r>
      <w:r w:rsidR="08576A4E" w:rsidRPr="00273106">
        <w:rPr>
          <w:i/>
        </w:rPr>
        <w:t>rectitudo</w:t>
      </w:r>
      <w:r w:rsidR="00281158">
        <w:rPr>
          <w:i/>
        </w:rPr>
        <w:fldChar w:fldCharType="begin"/>
      </w:r>
      <w:r w:rsidR="00281158">
        <w:instrText xml:space="preserve"> XE "pravda:</w:instrText>
      </w:r>
      <w:r w:rsidR="00281158" w:rsidRPr="00E903F2">
        <w:rPr>
          <w:i/>
        </w:rPr>
        <w:instrText>rectitudo</w:instrText>
      </w:r>
      <w:r w:rsidR="00281158">
        <w:instrText xml:space="preserve">" </w:instrText>
      </w:r>
      <w:r w:rsidR="00281158">
        <w:rPr>
          <w:i/>
        </w:rPr>
        <w:fldChar w:fldCharType="end"/>
      </w:r>
      <w:r w:rsidR="08576A4E" w:rsidRPr="00273106">
        <w:t xml:space="preserve">) se postupně spojilo s Avicennovým pojetím metafyziky jako </w:t>
      </w:r>
      <w:r w:rsidR="08576A4E" w:rsidRPr="00273106">
        <w:rPr>
          <w:i/>
        </w:rPr>
        <w:t>certitudo</w:t>
      </w:r>
      <w:r w:rsidR="08576A4E" w:rsidRPr="00273106">
        <w:t xml:space="preserve">. Vznik nového pojetí pravdy umožnil založení nové logiky, a tím dal potřebný základ k metafyzice </w:t>
      </w:r>
      <w:r w:rsidR="08576A4E" w:rsidRPr="00273106">
        <w:rPr>
          <w:i/>
        </w:rPr>
        <w:t>Modernorum</w:t>
      </w:r>
      <w:r w:rsidR="08576A4E" w:rsidRPr="00273106">
        <w:t>.</w:t>
      </w:r>
      <w:r w:rsidR="00D36EFC">
        <w:t xml:space="preserve"> Moderní </w:t>
      </w:r>
      <w:r w:rsidR="00D36EFC" w:rsidRPr="00273106">
        <w:t xml:space="preserve">pojetí </w:t>
      </w:r>
      <w:r w:rsidR="00D36EFC" w:rsidRPr="00273106">
        <w:rPr>
          <w:i/>
        </w:rPr>
        <w:t>rectitudo</w:t>
      </w:r>
      <w:r w:rsidR="00D36EFC" w:rsidRPr="00273106">
        <w:t xml:space="preserve"> se nemusí starat o reálný stav věcí</w:t>
      </w:r>
      <w:r w:rsidR="00D36EFC">
        <w:t xml:space="preserve">. </w:t>
      </w:r>
      <w:r w:rsidR="00D45688" w:rsidRPr="00D45688">
        <w:t xml:space="preserve">K určení toho, co je člověk v nihilistickém modu </w:t>
      </w:r>
      <w:r w:rsidR="00D45688" w:rsidRPr="00807AC3">
        <w:rPr>
          <w:i/>
        </w:rPr>
        <w:t>Oxfordian Fallacy</w:t>
      </w:r>
      <w:r w:rsidR="00D45688" w:rsidRPr="00D45688">
        <w:t>, stačí, aby první moderní humanisté definovali mrtvolu a zbytek ontoteologické triády jako moderní subjekt, moderního Boha a moderní pravdu.</w:t>
      </w:r>
      <w:r w:rsidR="00D45688">
        <w:t xml:space="preserve"> </w:t>
      </w:r>
      <w:r w:rsidR="08EF1CE8" w:rsidRPr="00273106">
        <w:t xml:space="preserve">Grossetesteho nové určení pravdy umožnilo expanzi západního subjektu poznávajícího svět v modu plné </w:t>
      </w:r>
      <w:r w:rsidR="08EF1CE8" w:rsidRPr="00273106">
        <w:rPr>
          <w:i/>
        </w:rPr>
        <w:t>Seinsvergessenheit</w:t>
      </w:r>
      <w:r w:rsidR="08EF1CE8">
        <w:rPr>
          <w:i/>
        </w:rPr>
        <w:fldChar w:fldCharType="begin"/>
      </w:r>
      <w:r w:rsidR="08EF1CE8">
        <w:instrText xml:space="preserve"> XE "</w:instrText>
      </w:r>
      <w:r w:rsidR="08EF1CE8" w:rsidRPr="003B3CCF">
        <w:rPr>
          <w:i/>
        </w:rPr>
        <w:instrText>Seinsvergessenheit</w:instrText>
      </w:r>
      <w:r w:rsidR="08EF1CE8">
        <w:instrText xml:space="preserve">" </w:instrText>
      </w:r>
      <w:r w:rsidR="08EF1CE8">
        <w:rPr>
          <w:i/>
        </w:rPr>
        <w:fldChar w:fldCharType="end"/>
      </w:r>
      <w:r w:rsidR="08EF1CE8" w:rsidRPr="00273106">
        <w:t>, která již nemůže vidět aristotelskou pravdu</w:t>
      </w:r>
      <w:r w:rsidR="08AC7CB1">
        <w:t xml:space="preserve"> jako adekvaci mysli a reálného bytí </w:t>
      </w:r>
      <w:r w:rsidR="08EF1CE8" w:rsidRPr="00273106">
        <w:t>první substance</w:t>
      </w:r>
      <w:r w:rsidR="08EF1CE8">
        <w:fldChar w:fldCharType="begin"/>
      </w:r>
      <w:r w:rsidR="08EF1CE8">
        <w:instrText xml:space="preserve"> XE "</w:instrText>
      </w:r>
      <w:r w:rsidR="08EF1CE8" w:rsidRPr="00DE2A32">
        <w:instrText>substance</w:instrText>
      </w:r>
      <w:r w:rsidR="08EF1CE8">
        <w:instrText xml:space="preserve">:první" </w:instrText>
      </w:r>
      <w:r w:rsidR="08EF1CE8">
        <w:fldChar w:fldCharType="end"/>
      </w:r>
      <w:r w:rsidR="08EF1CE8" w:rsidRPr="00273106">
        <w:t xml:space="preserve">. </w:t>
      </w:r>
      <w:r w:rsidR="08FE1365">
        <w:t>B</w:t>
      </w:r>
      <w:r w:rsidR="08FE1365" w:rsidRPr="00273106">
        <w:t xml:space="preserve">oha </w:t>
      </w:r>
      <w:r w:rsidR="08FE1365">
        <w:t xml:space="preserve">jako garanta moderní pravdy </w:t>
      </w:r>
      <w:r w:rsidR="08FE1365" w:rsidRPr="00273106">
        <w:t xml:space="preserve">nahradí </w:t>
      </w:r>
      <w:r w:rsidR="08FE1365">
        <w:t>v postmoderně</w:t>
      </w:r>
      <w:r w:rsidR="08FE1365" w:rsidRPr="00273106">
        <w:t xml:space="preserve"> </w:t>
      </w:r>
      <w:r w:rsidR="08FE1365">
        <w:t>Leibnizova matematika</w:t>
      </w:r>
      <w:r w:rsidR="08EF1CE8">
        <w:fldChar w:fldCharType="begin"/>
      </w:r>
      <w:r w:rsidR="08EF1CE8">
        <w:instrText xml:space="preserve"> XE "</w:instrText>
      </w:r>
      <w:r w:rsidR="08EF1CE8" w:rsidRPr="00DC040D">
        <w:instrText>matematika</w:instrText>
      </w:r>
      <w:r w:rsidR="08EF1CE8">
        <w:instrText xml:space="preserve">" </w:instrText>
      </w:r>
      <w:r w:rsidR="08EF1CE8">
        <w:fldChar w:fldCharType="end"/>
      </w:r>
      <w:r w:rsidR="08EF1CE8" w:rsidRPr="00273106">
        <w:t xml:space="preserve">. </w:t>
      </w:r>
      <w:r w:rsidR="08EF1CE8">
        <w:t>Po smrti moderního boha v 19. století</w:t>
      </w:r>
      <w:r w:rsidR="08EF1CE8">
        <w:fldChar w:fldCharType="begin"/>
      </w:r>
      <w:r w:rsidR="08EF1CE8">
        <w:instrText xml:space="preserve"> XE "smrt boha" </w:instrText>
      </w:r>
      <w:r w:rsidR="08EF1CE8">
        <w:fldChar w:fldCharType="end"/>
      </w:r>
      <w:r w:rsidR="08EF1CE8">
        <w:t xml:space="preserve"> tuto čestnou funkci garanta pravdy pro celek jsoucna </w:t>
      </w:r>
      <w:r w:rsidR="08EF1CE8" w:rsidRPr="00273106">
        <w:t>(</w:t>
      </w:r>
      <w:r w:rsidR="08EF1CE8" w:rsidRPr="00273106">
        <w:rPr>
          <w:i/>
        </w:rPr>
        <w:t>rectitudo rectificans</w:t>
      </w:r>
      <w:r w:rsidR="08EF1CE8" w:rsidRPr="00273106">
        <w:t xml:space="preserve">) </w:t>
      </w:r>
      <w:r w:rsidR="08EF1CE8">
        <w:t>převezme západní subjekt</w:t>
      </w:r>
      <w:r w:rsidR="086B6718">
        <w:t xml:space="preserve"> skrze </w:t>
      </w:r>
      <w:r w:rsidR="086B6718" w:rsidRPr="00273106">
        <w:t>nihilismus</w:t>
      </w:r>
      <w:r w:rsidR="086B6718">
        <w:t xml:space="preserve"> </w:t>
      </w:r>
      <w:r w:rsidR="087E3BA0">
        <w:t xml:space="preserve">pravdy </w:t>
      </w:r>
      <w:r w:rsidR="086B6718">
        <w:t>daný strukturální diferencí, metaforou a jazykovými hrami</w:t>
      </w:r>
      <w:r w:rsidR="08EF1CE8">
        <w:fldChar w:fldCharType="begin"/>
      </w:r>
      <w:r w:rsidR="08EF1CE8">
        <w:instrText xml:space="preserve"> XE "pravda:post</w:instrText>
      </w:r>
      <w:r w:rsidR="08EF1CE8" w:rsidRPr="0049725F">
        <w:instrText>moderna</w:instrText>
      </w:r>
      <w:r w:rsidR="08EF1CE8">
        <w:instrText xml:space="preserve">" </w:instrText>
      </w:r>
      <w:r w:rsidR="08EF1CE8">
        <w:fldChar w:fldCharType="end"/>
      </w:r>
      <w:r w:rsidR="08EF1CE8">
        <w:t xml:space="preserve">. Dvacáté století podle Patočkových samizdatově vydaných </w:t>
      </w:r>
      <w:r w:rsidR="08EF1CE8" w:rsidRPr="082A63D2">
        <w:rPr>
          <w:i/>
        </w:rPr>
        <w:t>Kacířských esejů</w:t>
      </w:r>
      <w:r w:rsidR="08996BDF" w:rsidRPr="082A63D2">
        <w:rPr>
          <w:i/>
        </w:rPr>
        <w:t xml:space="preserve"> </w:t>
      </w:r>
      <w:r w:rsidR="082A63D2" w:rsidRPr="082A63D2">
        <w:rPr>
          <w:i/>
        </w:rPr>
        <w:t>o filosofii dějin</w:t>
      </w:r>
      <w:r w:rsidR="082A63D2">
        <w:t xml:space="preserve"> </w:t>
      </w:r>
      <w:r w:rsidR="08996BDF">
        <w:t>(1975) plně ukázalo</w:t>
      </w:r>
      <w:r w:rsidR="08EF1CE8">
        <w:t xml:space="preserve"> skryté </w:t>
      </w:r>
      <w:r w:rsidR="08166600">
        <w:t xml:space="preserve">totalitární </w:t>
      </w:r>
      <w:r w:rsidR="08EF1CE8">
        <w:t>možnosti dané moderním obratem ke smrtelném</w:t>
      </w:r>
      <w:r w:rsidR="08C20F77">
        <w:t xml:space="preserve">u subjektu jako </w:t>
      </w:r>
      <w:r w:rsidR="005A482F">
        <w:t xml:space="preserve">jedinému </w:t>
      </w:r>
      <w:r w:rsidR="08C20F77">
        <w:t>eschatologickému nositeli</w:t>
      </w:r>
      <w:r w:rsidR="08EF1CE8">
        <w:t xml:space="preserve"> smyslu bytí jsoucna.</w:t>
      </w:r>
    </w:p>
    <w:p w14:paraId="6E5A3525" w14:textId="7BE65EC5" w:rsidR="08EB5532" w:rsidRPr="08EB5532" w:rsidRDefault="08C31C31" w:rsidP="08EB5532">
      <w:r w:rsidRPr="00273106">
        <w:tab/>
      </w:r>
      <w:r w:rsidR="08A97441">
        <w:t>S</w:t>
      </w:r>
      <w:r w:rsidR="08A97441" w:rsidRPr="00273106">
        <w:t xml:space="preserve">tatut </w:t>
      </w:r>
      <w:r w:rsidR="00D048FE">
        <w:t xml:space="preserve">analogické </w:t>
      </w:r>
      <w:r w:rsidR="08A97441" w:rsidRPr="00273106">
        <w:t xml:space="preserve">pravdy jako </w:t>
      </w:r>
      <w:r w:rsidR="08A97441" w:rsidRPr="00273106">
        <w:rPr>
          <w:i/>
        </w:rPr>
        <w:t xml:space="preserve">rectitudo </w:t>
      </w:r>
      <w:r w:rsidR="08A97441" w:rsidRPr="00273106">
        <w:t>umožnil</w:t>
      </w:r>
      <w:r w:rsidR="00D048FE">
        <w:t xml:space="preserve"> další důležitou změnu. </w:t>
      </w:r>
      <w:r w:rsidR="08A52EBC">
        <w:t xml:space="preserve">Změna v pojetí pravdy </w:t>
      </w:r>
      <w:r w:rsidR="08750B0D">
        <w:t xml:space="preserve">z adekvace na asimilaci </w:t>
      </w:r>
      <w:r w:rsidR="08F600F1">
        <w:t xml:space="preserve">simuláker </w:t>
      </w:r>
      <w:r w:rsidR="08A52EBC">
        <w:t xml:space="preserve">založila </w:t>
      </w:r>
      <w:r w:rsidR="08DB5C5D">
        <w:t xml:space="preserve">moderní formu </w:t>
      </w:r>
      <w:r w:rsidR="00085C84">
        <w:t>logiky</w:t>
      </w:r>
      <w:r w:rsidR="08A52EBC">
        <w:t xml:space="preserve">. </w:t>
      </w:r>
      <w:r w:rsidR="00085C84">
        <w:t xml:space="preserve">V </w:t>
      </w:r>
      <w:r w:rsidR="00085C84" w:rsidRPr="00273106">
        <w:t xml:space="preserve">rámci </w:t>
      </w:r>
      <w:r w:rsidR="00085C84" w:rsidRPr="00273106">
        <w:rPr>
          <w:i/>
        </w:rPr>
        <w:t>Oxfordian Fallacy</w:t>
      </w:r>
      <w:r w:rsidR="00085C84" w:rsidRPr="00273106">
        <w:t xml:space="preserve"> dané novým výkladem </w:t>
      </w:r>
      <w:r w:rsidR="00085C84" w:rsidRPr="00745549">
        <w:rPr>
          <w:i/>
        </w:rPr>
        <w:t>Druhých analytik</w:t>
      </w:r>
      <w:r w:rsidR="00085C84" w:rsidRPr="00273106">
        <w:t xml:space="preserve"> </w:t>
      </w:r>
      <w:r w:rsidR="00085C84">
        <w:t xml:space="preserve">a </w:t>
      </w:r>
      <w:r w:rsidR="00085C84" w:rsidRPr="005E2B29">
        <w:rPr>
          <w:i/>
        </w:rPr>
        <w:t>Kategorií</w:t>
      </w:r>
      <w:r w:rsidR="00085C84">
        <w:t xml:space="preserve"> </w:t>
      </w:r>
      <w:r w:rsidR="00085C84" w:rsidRPr="00273106">
        <w:t>vznikla logik</w:t>
      </w:r>
      <w:r w:rsidR="00085C84">
        <w:t>a postavená mimo pravdu jako aristotelskou adekvaci</w:t>
      </w:r>
      <w:r w:rsidR="00085C84">
        <w:fldChar w:fldCharType="begin"/>
      </w:r>
      <w:r w:rsidR="00085C84">
        <w:instrText xml:space="preserve"> XE "</w:instrText>
      </w:r>
      <w:r w:rsidR="00085C84" w:rsidRPr="001A1106">
        <w:instrText>logika:Grosseteste</w:instrText>
      </w:r>
      <w:r w:rsidR="00085C84">
        <w:instrText xml:space="preserve">" </w:instrText>
      </w:r>
      <w:r w:rsidR="00085C84">
        <w:fldChar w:fldCharType="end"/>
      </w:r>
      <w:r w:rsidR="00085C84" w:rsidRPr="00273106">
        <w:t xml:space="preserve">. </w:t>
      </w:r>
      <w:r w:rsidR="00493E72" w:rsidRPr="00493E72">
        <w:t xml:space="preserve">Počátek moderní logiky lze </w:t>
      </w:r>
      <w:r w:rsidR="00493E72" w:rsidRPr="00493E72">
        <w:lastRenderedPageBreak/>
        <w:t xml:space="preserve">nalézt v Augustinově díle </w:t>
      </w:r>
      <w:r w:rsidR="00493E72" w:rsidRPr="00493E72">
        <w:rPr>
          <w:i/>
        </w:rPr>
        <w:t>De libero arbitrio</w:t>
      </w:r>
      <w:r w:rsidR="00493E72" w:rsidRPr="00493E72">
        <w:t>.</w:t>
      </w:r>
      <w:r w:rsidR="00493E72">
        <w:rPr>
          <w:rStyle w:val="Znakapoznpodarou"/>
          <w:szCs w:val="24"/>
        </w:rPr>
        <w:footnoteReference w:id="319"/>
      </w:r>
      <w:r w:rsidR="00493E72" w:rsidRPr="00493E72">
        <w:t xml:space="preserve"> Věčná pravda matematických a logických postupů (</w:t>
      </w:r>
      <w:r w:rsidR="00493E72" w:rsidRPr="00493E72">
        <w:rPr>
          <w:i/>
        </w:rPr>
        <w:t>regulae numerorum</w:t>
      </w:r>
      <w:r w:rsidR="00493E72" w:rsidRPr="00493E72">
        <w:t>) odpovídá věčné moudrosti, která pochází od Boha (</w:t>
      </w:r>
      <w:r w:rsidR="00493E72" w:rsidRPr="00493E72">
        <w:rPr>
          <w:i/>
        </w:rPr>
        <w:t>regulae sapientiae</w:t>
      </w:r>
      <w:r w:rsidR="00493E72" w:rsidRPr="00493E72">
        <w:t>).</w:t>
      </w:r>
      <w:r w:rsidR="00493E72">
        <w:t xml:space="preserve"> </w:t>
      </w:r>
      <w:r w:rsidR="00C352D5">
        <w:t xml:space="preserve">Spojení logické a metafyzické nutnosti v systému </w:t>
      </w:r>
      <w:r w:rsidR="00C352D5" w:rsidRPr="08034E33">
        <w:rPr>
          <w:i/>
        </w:rPr>
        <w:t>Oxfordian Fallacy</w:t>
      </w:r>
      <w:r w:rsidR="00C352D5">
        <w:t xml:space="preserve"> se týkalo pouze nového výkladu aristotelismu. </w:t>
      </w:r>
      <w:r w:rsidR="000D65EB">
        <w:t>Matematicky založená božská moudrost daná v moderním augustinianismu doplnila chybnou metafyziku založenou na Oxfordském bludu. Spojení těchto dvou moderních mytologií založilo novou formu o</w:t>
      </w:r>
      <w:r w:rsidR="00C352D5">
        <w:t>ntote</w:t>
      </w:r>
      <w:r w:rsidR="00663D4E">
        <w:t>o</w:t>
      </w:r>
      <w:r w:rsidR="000D65EB">
        <w:t>logie</w:t>
      </w:r>
      <w:r w:rsidR="00C352D5">
        <w:t xml:space="preserve">. </w:t>
      </w:r>
      <w:r w:rsidR="08EB5532">
        <w:t xml:space="preserve">Grosseteteste překládá Augustinův závěr </w:t>
      </w:r>
      <w:r w:rsidR="08D54F24">
        <w:t>o neporušitelné matematické pravdě (</w:t>
      </w:r>
      <w:r w:rsidR="008E1378" w:rsidRPr="008E1378">
        <w:rPr>
          <w:i/>
        </w:rPr>
        <w:t>incommutabiles sunt regulae</w:t>
      </w:r>
      <w:r w:rsidR="08D54F24" w:rsidRPr="008E1378">
        <w:t>)</w:t>
      </w:r>
      <w:r w:rsidR="08D54F24">
        <w:t xml:space="preserve"> </w:t>
      </w:r>
      <w:r w:rsidR="08EB5532">
        <w:t xml:space="preserve">do moderní ontoteologie. </w:t>
      </w:r>
      <w:r w:rsidR="00663D4E">
        <w:t>Jako filosof cituje z výše uvedeného díla jinou větu</w:t>
      </w:r>
      <w:r w:rsidR="00A03063">
        <w:t xml:space="preserve"> (</w:t>
      </w:r>
      <w:r w:rsidR="002C19CE" w:rsidRPr="08EB5532">
        <w:rPr>
          <w:rStyle w:val="TextpoznpodarouChar"/>
          <w:i/>
        </w:rPr>
        <w:t>incorruptibilem numeri veritatem dixi mihi et cuilibet ratiocinanti esse communem</w:t>
      </w:r>
      <w:r w:rsidR="002C19CE">
        <w:rPr>
          <w:rStyle w:val="TextpoznpodarouChar"/>
          <w:i/>
        </w:rPr>
        <w:t xml:space="preserve">, </w:t>
      </w:r>
      <w:r w:rsidR="00A03063" w:rsidRPr="000C4D03">
        <w:rPr>
          <w:i/>
        </w:rPr>
        <w:t>De libero arbitrio</w:t>
      </w:r>
      <w:r w:rsidR="00A03063">
        <w:t xml:space="preserve"> </w:t>
      </w:r>
      <w:r w:rsidR="00A03063" w:rsidRPr="00DD5DD9">
        <w:rPr>
          <w:i/>
        </w:rPr>
        <w:t>voluntatis</w:t>
      </w:r>
      <w:r w:rsidR="00A03063">
        <w:t xml:space="preserve"> </w:t>
      </w:r>
      <w:r w:rsidR="00A03063">
        <w:rPr>
          <w:szCs w:val="24"/>
        </w:rPr>
        <w:t>8.21</w:t>
      </w:r>
      <w:r w:rsidR="00A03063">
        <w:rPr>
          <w:szCs w:val="24"/>
        </w:rPr>
        <w:fldChar w:fldCharType="begin"/>
      </w:r>
      <w:r w:rsidR="00A03063">
        <w:instrText xml:space="preserve"> XE "</w:instrText>
      </w:r>
      <w:r w:rsidR="00A03063" w:rsidRPr="002D2E57">
        <w:instrText>Augustin:</w:instrText>
      </w:r>
      <w:r w:rsidR="00A03063" w:rsidRPr="000E4500">
        <w:rPr>
          <w:i/>
        </w:rPr>
        <w:instrText>De libero arbitrio</w:instrText>
      </w:r>
      <w:r w:rsidR="00A03063" w:rsidRPr="000E4500">
        <w:instrText xml:space="preserve"> </w:instrText>
      </w:r>
      <w:r w:rsidR="00A03063" w:rsidRPr="000E4500">
        <w:rPr>
          <w:i/>
        </w:rPr>
        <w:instrText>voluntatis</w:instrText>
      </w:r>
      <w:r w:rsidR="00A03063" w:rsidRPr="000E4500">
        <w:instrText xml:space="preserve"> </w:instrText>
      </w:r>
      <w:r w:rsidR="00A03063">
        <w:rPr>
          <w:szCs w:val="24"/>
        </w:rPr>
        <w:instrText>8</w:instrText>
      </w:r>
      <w:r w:rsidR="00A03063" w:rsidRPr="000E4500">
        <w:rPr>
          <w:szCs w:val="24"/>
        </w:rPr>
        <w:instrText>.2</w:instrText>
      </w:r>
      <w:r w:rsidR="00A03063">
        <w:rPr>
          <w:szCs w:val="24"/>
        </w:rPr>
        <w:instrText>1</w:instrText>
      </w:r>
      <w:r w:rsidR="00A03063">
        <w:instrText xml:space="preserve">" </w:instrText>
      </w:r>
      <w:r w:rsidR="00A03063">
        <w:rPr>
          <w:szCs w:val="24"/>
        </w:rPr>
        <w:fldChar w:fldCharType="end"/>
      </w:r>
      <w:r w:rsidR="00A03063">
        <w:t>)</w:t>
      </w:r>
      <w:r w:rsidR="002F10B3">
        <w:t xml:space="preserve">. Výrok </w:t>
      </w:r>
      <w:r w:rsidR="00663D4E">
        <w:t xml:space="preserve">spojuje </w:t>
      </w:r>
      <w:r w:rsidR="002F10B3">
        <w:t>neměnn</w:t>
      </w:r>
      <w:r w:rsidR="00430F83">
        <w:t>é pravdy matematiky s</w:t>
      </w:r>
      <w:r w:rsidR="00A03063">
        <w:t> univerzálním jsoucnem (</w:t>
      </w:r>
      <w:r w:rsidR="00430F83" w:rsidRPr="00430F83">
        <w:rPr>
          <w:i/>
        </w:rPr>
        <w:t>esse commune</w:t>
      </w:r>
      <w:r w:rsidR="004268BE">
        <w:t>)</w:t>
      </w:r>
      <w:r w:rsidR="00073AC1">
        <w:t xml:space="preserve">. </w:t>
      </w:r>
      <w:r w:rsidR="00F009D6">
        <w:t>Grosseteteste nemá pochybnosti o nejvyšší pravdě dané podle Augustina a Anse</w:t>
      </w:r>
      <w:r w:rsidR="00E261E0">
        <w:t>lma</w:t>
      </w:r>
      <w:r w:rsidR="00F009D6">
        <w:t xml:space="preserve">. </w:t>
      </w:r>
      <w:r w:rsidR="003F51B6">
        <w:t>Z</w:t>
      </w:r>
      <w:r w:rsidR="00E261E0">
        <w:t>akládají</w:t>
      </w:r>
      <w:r w:rsidR="00073AC1">
        <w:t xml:space="preserve"> </w:t>
      </w:r>
      <w:r w:rsidR="00F854ED">
        <w:t xml:space="preserve">novou definici </w:t>
      </w:r>
      <w:r w:rsidR="00503935">
        <w:t xml:space="preserve">„nejvyšší </w:t>
      </w:r>
      <w:r w:rsidR="00F854ED">
        <w:t>pravdy</w:t>
      </w:r>
      <w:r w:rsidR="00503935">
        <w:t>“ (</w:t>
      </w:r>
      <w:r w:rsidR="00503935" w:rsidRPr="00503935">
        <w:rPr>
          <w:i/>
        </w:rPr>
        <w:t>summa veritas</w:t>
      </w:r>
      <w:r w:rsidR="00503935">
        <w:t xml:space="preserve">) </w:t>
      </w:r>
      <w:r w:rsidR="00F854ED">
        <w:t>jako korespon</w:t>
      </w:r>
      <w:r w:rsidR="00D507F9">
        <w:t>dence</w:t>
      </w:r>
      <w:r w:rsidR="00982C9C">
        <w:t xml:space="preserve"> dvou subjektů</w:t>
      </w:r>
      <w:r w:rsidR="006A4A53">
        <w:t xml:space="preserve">, která je dána pouze </w:t>
      </w:r>
      <w:r w:rsidR="00D507F9">
        <w:t>v rámci hyparchického pojetí logické nutnosti (</w:t>
      </w:r>
      <w:r w:rsidR="00D507F9" w:rsidRPr="00273106">
        <w:t>ἐν τῷ τί ἐστιν ὑπάρχουσιν αὐτοῖς</w:t>
      </w:r>
      <w:r w:rsidR="00D507F9">
        <w:t xml:space="preserve">, </w:t>
      </w:r>
      <w:r w:rsidR="00073AC1" w:rsidRPr="00073AC1">
        <w:rPr>
          <w:i/>
        </w:rPr>
        <w:t>Anal. Post</w:t>
      </w:r>
      <w:r w:rsidR="00073AC1">
        <w:t xml:space="preserve">. </w:t>
      </w:r>
      <w:r w:rsidR="00D507F9">
        <w:t>84a14</w:t>
      </w:r>
      <w:r w:rsidR="00D507F9">
        <w:fldChar w:fldCharType="begin"/>
      </w:r>
      <w:r w:rsidR="00D507F9">
        <w:instrText xml:space="preserve"> XE "Aristoteles:</w:instrText>
      </w:r>
      <w:r w:rsidR="00D507F9" w:rsidRPr="088C0C39">
        <w:rPr>
          <w:i/>
        </w:rPr>
        <w:instrText>Anal. Post</w:instrText>
      </w:r>
      <w:r w:rsidR="00D507F9">
        <w:instrText xml:space="preserve">. 84a14" </w:instrText>
      </w:r>
      <w:r w:rsidR="00D507F9">
        <w:fldChar w:fldCharType="end"/>
      </w:r>
      <w:r w:rsidR="00D507F9" w:rsidRPr="00273106">
        <w:t>)</w:t>
      </w:r>
      <w:r w:rsidR="00D507F9">
        <w:t xml:space="preserve">. Garantem této koresponcence je </w:t>
      </w:r>
      <w:r w:rsidR="002C19CE">
        <w:t xml:space="preserve">logicky a nutně pouze </w:t>
      </w:r>
      <w:r w:rsidR="00982C9C">
        <w:t>moderní bůh a moderní metafyzik</w:t>
      </w:r>
      <w:r w:rsidR="00157508">
        <w:t xml:space="preserve"> (</w:t>
      </w:r>
      <w:r w:rsidR="00157508" w:rsidRPr="000145FF">
        <w:rPr>
          <w:szCs w:val="24"/>
        </w:rPr>
        <w:t>ὑπάρχουσιν αὐτοῖς</w:t>
      </w:r>
      <w:r w:rsidR="00157508">
        <w:t>)</w:t>
      </w:r>
      <w:r w:rsidR="00F854ED">
        <w:t xml:space="preserve">. </w:t>
      </w:r>
      <w:r w:rsidR="00982C9C">
        <w:t xml:space="preserve">Po smrti prvního garanta je to už jen postmoderní filosofický nihilista a </w:t>
      </w:r>
      <w:r w:rsidR="006A4A53">
        <w:t xml:space="preserve">profasionální </w:t>
      </w:r>
      <w:r w:rsidR="00982C9C">
        <w:t>matematik spr</w:t>
      </w:r>
      <w:r w:rsidR="006A4A53">
        <w:t>a</w:t>
      </w:r>
      <w:r w:rsidR="00982C9C">
        <w:t xml:space="preserve">vující </w:t>
      </w:r>
      <w:r w:rsidR="006A4A53">
        <w:t>systémy umělé inteligence, které patří nadnárodním korporacím</w:t>
      </w:r>
      <w:r w:rsidR="00982C9C">
        <w:t xml:space="preserve">. </w:t>
      </w:r>
      <w:r w:rsidR="002C19CE">
        <w:t xml:space="preserve">Citovanou </w:t>
      </w:r>
      <w:r w:rsidR="00F854ED">
        <w:t xml:space="preserve">shodu metafyzické logiky a matematiky </w:t>
      </w:r>
      <w:r w:rsidR="004268BE">
        <w:t xml:space="preserve">může </w:t>
      </w:r>
      <w:r w:rsidR="005F074B">
        <w:t xml:space="preserve">podle neoplatonika Augustina a modernisty Grossestesteho </w:t>
      </w:r>
      <w:r w:rsidR="004268BE">
        <w:t xml:space="preserve">nahlédnout každý rozumný člověk. Toto univerzálně pojaté jsoucno je určeno </w:t>
      </w:r>
      <w:r w:rsidR="00A03063">
        <w:t>podle A</w:t>
      </w:r>
      <w:r w:rsidR="004268BE">
        <w:t>vicenn</w:t>
      </w:r>
      <w:r w:rsidR="00A03063">
        <w:t xml:space="preserve">ova pojetí </w:t>
      </w:r>
      <w:r w:rsidR="00A03063" w:rsidRPr="00A03063">
        <w:rPr>
          <w:i/>
        </w:rPr>
        <w:t>ens inquantum ens</w:t>
      </w:r>
      <w:r w:rsidR="000943E9">
        <w:rPr>
          <w:i/>
        </w:rPr>
        <w:fldChar w:fldCharType="begin"/>
      </w:r>
      <w:r w:rsidR="000943E9">
        <w:instrText xml:space="preserve"> XE "</w:instrText>
      </w:r>
      <w:r w:rsidR="000943E9" w:rsidRPr="00334ECA">
        <w:rPr>
          <w:i/>
        </w:rPr>
        <w:instrText>ens inquantum ens</w:instrText>
      </w:r>
      <w:r w:rsidR="000943E9">
        <w:instrText xml:space="preserve">" </w:instrText>
      </w:r>
      <w:r w:rsidR="000943E9">
        <w:rPr>
          <w:i/>
        </w:rPr>
        <w:fldChar w:fldCharType="end"/>
      </w:r>
      <w:r w:rsidR="004268BE">
        <w:t xml:space="preserve"> a v modu </w:t>
      </w:r>
      <w:r w:rsidR="004268BE" w:rsidRPr="004268BE">
        <w:rPr>
          <w:i/>
        </w:rPr>
        <w:t>Oxfordian Fallacy</w:t>
      </w:r>
      <w:r w:rsidR="004268BE">
        <w:t xml:space="preserve">. </w:t>
      </w:r>
      <w:r w:rsidR="08C53509">
        <w:t>M</w:t>
      </w:r>
      <w:r w:rsidR="084F3D7F">
        <w:t xml:space="preserve">oderní bůh </w:t>
      </w:r>
      <w:r w:rsidR="009E5125">
        <w:t xml:space="preserve">sídlící </w:t>
      </w:r>
      <w:r w:rsidR="084F3D7F">
        <w:t xml:space="preserve">v Oxfordu </w:t>
      </w:r>
      <w:r w:rsidR="08096AA2">
        <w:t xml:space="preserve">se </w:t>
      </w:r>
      <w:r w:rsidR="084F3D7F">
        <w:t xml:space="preserve">stal pod vedením </w:t>
      </w:r>
      <w:r w:rsidR="08096AA2">
        <w:t xml:space="preserve">analytických </w:t>
      </w:r>
      <w:r w:rsidR="087969BF">
        <w:t xml:space="preserve">vykladačů </w:t>
      </w:r>
      <w:r w:rsidR="008E1378">
        <w:t>Aristotela</w:t>
      </w:r>
      <w:r w:rsidR="001A25B0">
        <w:t xml:space="preserve">, </w:t>
      </w:r>
      <w:r w:rsidR="087969BF">
        <w:t>Augustina</w:t>
      </w:r>
      <w:r w:rsidR="001A25B0">
        <w:t xml:space="preserve"> a Grossetesteho</w:t>
      </w:r>
      <w:r w:rsidR="087969BF">
        <w:t xml:space="preserve"> </w:t>
      </w:r>
      <w:r w:rsidR="084F3D7F">
        <w:t>nejvýš pravdivým matematikem.</w:t>
      </w:r>
    </w:p>
    <w:p w14:paraId="15B5BD10" w14:textId="7D2427B0" w:rsidR="08EB5532" w:rsidRPr="08EB5532" w:rsidRDefault="08EB5532" w:rsidP="08EB5532">
      <w:pPr>
        <w:pStyle w:val="Citace"/>
        <w:rPr>
          <w:lang w:val="cs-CZ"/>
        </w:rPr>
      </w:pPr>
      <w:r>
        <w:t xml:space="preserve"> </w:t>
      </w:r>
      <w:r w:rsidR="081348C2">
        <w:rPr>
          <w:rStyle w:val="TextpoznpodarouChar"/>
        </w:rPr>
        <w:t>„</w:t>
      </w:r>
      <w:r w:rsidR="081348C2">
        <w:rPr>
          <w:rStyle w:val="TextpoznpodarouChar"/>
          <w:lang w:val="cs-CZ"/>
        </w:rPr>
        <w:t>'</w:t>
      </w:r>
      <w:r w:rsidRPr="08F47B6D">
        <w:rPr>
          <w:rStyle w:val="TextpoznpodarouChar"/>
          <w:i/>
          <w:lang w:val="cs-CZ"/>
        </w:rPr>
        <w:t xml:space="preserve">Touto neporušitelnou pravdou danou číselným součtem zdůvodňuji sobě a každému rozumnému člověku společné </w:t>
      </w:r>
      <w:r w:rsidR="00391A29">
        <w:rPr>
          <w:rStyle w:val="TextpoznpodarouChar"/>
          <w:i/>
          <w:lang w:val="cs-CZ"/>
        </w:rPr>
        <w:t>bytí tohoto základu</w:t>
      </w:r>
      <w:r w:rsidRPr="08EB5532">
        <w:rPr>
          <w:rStyle w:val="TextpoznpodarouChar"/>
          <w:lang w:val="cs-CZ"/>
        </w:rPr>
        <w:t>.</w:t>
      </w:r>
      <w:r>
        <w:rPr>
          <w:rStyle w:val="TextpoznpodarouChar"/>
          <w:lang w:val="cs-CZ"/>
        </w:rPr>
        <w:t xml:space="preserve">' </w:t>
      </w:r>
      <w:r w:rsidR="003F0DB0">
        <w:rPr>
          <w:rStyle w:val="TextpoznpodarouChar"/>
          <w:rFonts w:cs="Calibri"/>
        </w:rPr>
        <w:t>[</w:t>
      </w:r>
      <w:r w:rsidR="003F0DB0" w:rsidRPr="000C4D03">
        <w:rPr>
          <w:i/>
          <w:lang w:val="cs-CZ"/>
        </w:rPr>
        <w:t>De libero arbitrio</w:t>
      </w:r>
      <w:r w:rsidR="003F0DB0">
        <w:rPr>
          <w:lang w:val="cs-CZ"/>
        </w:rPr>
        <w:t xml:space="preserve"> </w:t>
      </w:r>
      <w:r w:rsidR="003F0DB0" w:rsidRPr="00DD5DD9">
        <w:rPr>
          <w:i/>
          <w:lang w:val="cs-CZ"/>
        </w:rPr>
        <w:t>voluntatis</w:t>
      </w:r>
      <w:r w:rsidR="003F0DB0">
        <w:rPr>
          <w:lang w:val="cs-CZ"/>
        </w:rPr>
        <w:t xml:space="preserve"> </w:t>
      </w:r>
      <w:r w:rsidR="003F0DB0">
        <w:rPr>
          <w:szCs w:val="24"/>
        </w:rPr>
        <w:t>8.21</w:t>
      </w:r>
      <w:r w:rsidR="003F0DB0">
        <w:rPr>
          <w:rFonts w:cs="Calibri"/>
          <w:szCs w:val="24"/>
        </w:rPr>
        <w:t>]</w:t>
      </w:r>
      <w:r w:rsidR="003F0DB0">
        <w:rPr>
          <w:rFonts w:cs="Calibri"/>
          <w:szCs w:val="24"/>
          <w:lang w:val="cs-CZ"/>
        </w:rPr>
        <w:t xml:space="preserve"> </w:t>
      </w:r>
      <w:r>
        <w:rPr>
          <w:rStyle w:val="TextpoznpodarouChar"/>
          <w:lang w:val="cs-CZ"/>
        </w:rPr>
        <w:t>Proto je</w:t>
      </w:r>
      <w:r w:rsidR="007442F8">
        <w:rPr>
          <w:rStyle w:val="TextpoznpodarouChar"/>
          <w:lang w:val="cs-CZ"/>
        </w:rPr>
        <w:t xml:space="preserve"> tato pravda věčná a skrze tento základ </w:t>
      </w:r>
      <w:r>
        <w:rPr>
          <w:rStyle w:val="TextpoznpodarouChar"/>
          <w:lang w:val="cs-CZ"/>
        </w:rPr>
        <w:t>se stává nejvyšší pravdou (</w:t>
      </w:r>
      <w:r w:rsidRPr="08EB5532">
        <w:rPr>
          <w:rStyle w:val="TextpoznpodarouChar"/>
          <w:i/>
        </w:rPr>
        <w:t>per hoc summa veritas</w:t>
      </w:r>
      <w:r>
        <w:rPr>
          <w:rStyle w:val="TextpoznpodarouChar"/>
          <w:lang w:val="cs-CZ"/>
        </w:rPr>
        <w:t xml:space="preserve">). Stejným způsobem daným </w:t>
      </w:r>
      <w:r w:rsidR="007339B4">
        <w:rPr>
          <w:rStyle w:val="TextpoznpodarouChar"/>
          <w:lang w:val="cs-CZ"/>
        </w:rPr>
        <w:t xml:space="preserve">od </w:t>
      </w:r>
      <w:r>
        <w:rPr>
          <w:rStyle w:val="TextpoznpodarouChar"/>
          <w:lang w:val="cs-CZ"/>
        </w:rPr>
        <w:t>počátk</w:t>
      </w:r>
      <w:r w:rsidR="007339B4">
        <w:rPr>
          <w:rStyle w:val="TextpoznpodarouChar"/>
          <w:lang w:val="cs-CZ"/>
        </w:rPr>
        <w:t>u</w:t>
      </w:r>
      <w:r>
        <w:rPr>
          <w:rStyle w:val="TextpoznpodarouChar"/>
          <w:lang w:val="cs-CZ"/>
        </w:rPr>
        <w:t xml:space="preserve"> </w:t>
      </w:r>
      <w:r w:rsidR="007339B4">
        <w:rPr>
          <w:rStyle w:val="TextpoznpodarouChar"/>
          <w:lang w:val="cs-CZ"/>
        </w:rPr>
        <w:t xml:space="preserve">zůstává </w:t>
      </w:r>
      <w:r>
        <w:rPr>
          <w:rStyle w:val="TextpoznpodarouChar"/>
          <w:lang w:val="cs-CZ"/>
        </w:rPr>
        <w:t xml:space="preserve">pravdivé, že 'něco bude pravdivé'; </w:t>
      </w:r>
      <w:r w:rsidR="082B2F4D">
        <w:rPr>
          <w:rStyle w:val="TextpoznpodarouChar"/>
          <w:lang w:val="cs-CZ"/>
        </w:rPr>
        <w:t xml:space="preserve">a nebylo by pravdivé, kdyby </w:t>
      </w:r>
      <w:r w:rsidR="087E09E5">
        <w:rPr>
          <w:rStyle w:val="TextpoznpodarouChar"/>
          <w:lang w:val="cs-CZ"/>
        </w:rPr>
        <w:t xml:space="preserve">to nemělo tuto </w:t>
      </w:r>
      <w:r w:rsidR="082B2F4D">
        <w:rPr>
          <w:rStyle w:val="TextpoznpodarouChar"/>
          <w:lang w:val="cs-CZ"/>
        </w:rPr>
        <w:t>pravd</w:t>
      </w:r>
      <w:r w:rsidR="087E09E5">
        <w:rPr>
          <w:rStyle w:val="TextpoznpodarouChar"/>
          <w:lang w:val="cs-CZ"/>
        </w:rPr>
        <w:t>u</w:t>
      </w:r>
      <w:r w:rsidR="08661C7C">
        <w:rPr>
          <w:rStyle w:val="TextpoznpodarouChar"/>
          <w:lang w:val="cs-CZ"/>
        </w:rPr>
        <w:t xml:space="preserve">. Tato pravda </w:t>
      </w:r>
      <w:r>
        <w:rPr>
          <w:rStyle w:val="TextpoznpodarouChar"/>
          <w:lang w:val="cs-CZ"/>
        </w:rPr>
        <w:t xml:space="preserve">je </w:t>
      </w:r>
      <w:r w:rsidR="08661C7C">
        <w:rPr>
          <w:rStyle w:val="TextpoznpodarouChar"/>
          <w:lang w:val="cs-CZ"/>
        </w:rPr>
        <w:t xml:space="preserve">věčná a </w:t>
      </w:r>
      <w:r>
        <w:rPr>
          <w:rStyle w:val="TextpoznpodarouChar"/>
          <w:lang w:val="cs-CZ"/>
        </w:rPr>
        <w:t>nejvyšší</w:t>
      </w:r>
      <w:r w:rsidR="08661C7C">
        <w:rPr>
          <w:rStyle w:val="TextpoznpodarouChar"/>
          <w:lang w:val="cs-CZ"/>
        </w:rPr>
        <w:t>. P</w:t>
      </w:r>
      <w:r>
        <w:rPr>
          <w:rStyle w:val="TextpoznpodarouChar"/>
          <w:lang w:val="cs-CZ"/>
        </w:rPr>
        <w:t xml:space="preserve">odobně platí i vyvozené pravdy typu 'jestliže je člověk, pak </w:t>
      </w:r>
      <w:r>
        <w:rPr>
          <w:rStyle w:val="TextpoznpodarouChar"/>
          <w:lang w:val="cs-CZ"/>
        </w:rPr>
        <w:lastRenderedPageBreak/>
        <w:t>je i živočich'. Skrze tuto danost platí, že každá takto predikovaná pravda má charakter nejvyšší pravdy.“ </w:t>
      </w:r>
      <w:r w:rsidRPr="00273106">
        <w:rPr>
          <w:rStyle w:val="Znakapoznpodarou"/>
        </w:rPr>
        <w:footnoteReference w:id="320"/>
      </w:r>
    </w:p>
    <w:p w14:paraId="322144C8" w14:textId="77777777" w:rsidR="00050506" w:rsidRDefault="08EB5532" w:rsidP="000A6DEC">
      <w:r>
        <w:t xml:space="preserve">Citát převedl matematické vztahy do ontoteologické struktury metafyziky určené Anselmovým pojetím pravdy jako </w:t>
      </w:r>
      <w:r w:rsidR="008E5326">
        <w:t>„</w:t>
      </w:r>
      <w:r w:rsidRPr="08EB5532">
        <w:rPr>
          <w:i/>
        </w:rPr>
        <w:t>summa veritas</w:t>
      </w:r>
      <w:r w:rsidR="008E5326">
        <w:t>“</w:t>
      </w:r>
      <w:r>
        <w:t xml:space="preserve">. V tomto moderním diakosmu platí v archetypické logice </w:t>
      </w:r>
      <w:r w:rsidRPr="08EB5532">
        <w:rPr>
          <w:i/>
        </w:rPr>
        <w:t>semel</w:t>
      </w:r>
      <w:r>
        <w:t>‒</w:t>
      </w:r>
      <w:r w:rsidRPr="08EB5532">
        <w:rPr>
          <w:i/>
        </w:rPr>
        <w:t>semper</w:t>
      </w:r>
      <w:r w:rsidR="08E81F6B">
        <w:rPr>
          <w:i/>
        </w:rPr>
        <w:fldChar w:fldCharType="begin"/>
      </w:r>
      <w:r w:rsidR="08E81F6B">
        <w:instrText xml:space="preserve"> XE "predikace:</w:instrText>
      </w:r>
      <w:r w:rsidR="08E81F6B" w:rsidRPr="08103689">
        <w:rPr>
          <w:i/>
        </w:rPr>
        <w:instrText>semel</w:instrText>
      </w:r>
      <w:r w:rsidR="08E81F6B" w:rsidRPr="08103689">
        <w:instrText>‒</w:instrText>
      </w:r>
      <w:r w:rsidR="08E81F6B" w:rsidRPr="08103689">
        <w:rPr>
          <w:i/>
        </w:rPr>
        <w:instrText>semper</w:instrText>
      </w:r>
      <w:r w:rsidR="08E81F6B">
        <w:instrText xml:space="preserve">" </w:instrText>
      </w:r>
      <w:r w:rsidR="08E81F6B">
        <w:rPr>
          <w:i/>
        </w:rPr>
        <w:fldChar w:fldCharType="end"/>
      </w:r>
      <w:r>
        <w:t xml:space="preserve"> </w:t>
      </w:r>
      <w:r w:rsidR="08610AD1">
        <w:t>jako nejvyšší pravda</w:t>
      </w:r>
      <w:r>
        <w:t xml:space="preserve"> všechno, co je logicky správně odvozeno</w:t>
      </w:r>
      <w:r w:rsidR="08347F13">
        <w:t xml:space="preserve"> od této nejvyšší pravdy</w:t>
      </w:r>
      <w:r w:rsidR="00455AD6">
        <w:t xml:space="preserve"> garantované moderním </w:t>
      </w:r>
      <w:r w:rsidR="08610AD1">
        <w:t>bohem</w:t>
      </w:r>
      <w:r>
        <w:t xml:space="preserve">. </w:t>
      </w:r>
      <w:r w:rsidR="08C66C12">
        <w:t xml:space="preserve">Pro školu prvního averroismu, kterou nevedou </w:t>
      </w:r>
      <w:r w:rsidR="0826654E">
        <w:t xml:space="preserve">moderní </w:t>
      </w:r>
      <w:r w:rsidR="08C66C12">
        <w:t>Fúrie, je toto pojetí vědecké dedukce čistá paranoia</w:t>
      </w:r>
      <w:r w:rsidR="0895642E">
        <w:t>, pokud se aplikuje na realitu</w:t>
      </w:r>
      <w:r w:rsidR="08C66C12">
        <w:t xml:space="preserve">. </w:t>
      </w:r>
      <w:r w:rsidR="00CC5C2C" w:rsidRPr="00CC5C2C">
        <w:t xml:space="preserve">Aristotelova kniha </w:t>
      </w:r>
      <w:r w:rsidR="00CC5C2C" w:rsidRPr="00CC5C2C">
        <w:rPr>
          <w:i/>
        </w:rPr>
        <w:t>De interpretatione</w:t>
      </w:r>
      <w:r w:rsidR="00CC5C2C" w:rsidRPr="00CC5C2C">
        <w:t>, která zkoumá predikaci, upozorňuje logiky, že metafyzický pojem bytí nevyplývá z logické nutnosti. Tento druh nutnosti j</w:t>
      </w:r>
      <w:r w:rsidR="00665B0D">
        <w:t xml:space="preserve">e dán v sylogistických výrocích, kterou jsou založeny na </w:t>
      </w:r>
      <w:r w:rsidR="00CC5C2C" w:rsidRPr="00CC5C2C">
        <w:t>hyparchick</w:t>
      </w:r>
      <w:r w:rsidR="00665B0D">
        <w:t xml:space="preserve">é povaze určené procesem </w:t>
      </w:r>
      <w:r w:rsidR="00CC5C2C" w:rsidRPr="00CC5C2C">
        <w:t>vnitřní inference.</w:t>
      </w:r>
      <w:r w:rsidR="00CC5C2C">
        <w:t xml:space="preserve"> </w:t>
      </w:r>
      <w:r w:rsidR="0800424F">
        <w:t xml:space="preserve">Proto je </w:t>
      </w:r>
      <w:r w:rsidR="001C3ACA" w:rsidRPr="00273106">
        <w:t xml:space="preserve">třeba přesně rozlišit, v jakém smyslu </w:t>
      </w:r>
      <w:r w:rsidR="08DA6B40">
        <w:t>(</w:t>
      </w:r>
      <w:r w:rsidR="089962BD">
        <w:t xml:space="preserve">logickém nebo metafyzickém) </w:t>
      </w:r>
      <w:r w:rsidR="001C3ACA" w:rsidRPr="00273106">
        <w:t xml:space="preserve">je existence nebo neexistence daná nutně, čili </w:t>
      </w:r>
      <w:r w:rsidR="08DA6B40">
        <w:t>z</w:t>
      </w:r>
      <w:r w:rsidR="089962BD">
        <w:t xml:space="preserve"> jakého rodového určení </w:t>
      </w:r>
      <w:r w:rsidR="001C3ACA" w:rsidRPr="00273106">
        <w:t>nutnost pochází (τὸ ὂν ἅπαν εἶναι ἐξ ἀνάγκης ὅτε ἔ</w:t>
      </w:r>
      <w:r w:rsidR="00E55440">
        <w:t xml:space="preserve">στιν, </w:t>
      </w:r>
      <w:r w:rsidR="00E55440">
        <w:rPr>
          <w:i/>
        </w:rPr>
        <w:t>De I</w:t>
      </w:r>
      <w:r w:rsidR="001C3ACA" w:rsidRPr="00E55440">
        <w:rPr>
          <w:i/>
        </w:rPr>
        <w:t>nt</w:t>
      </w:r>
      <w:r w:rsidR="001C3ACA" w:rsidRPr="00273106">
        <w:t>. 19a25–26</w:t>
      </w:r>
      <w:r w:rsidR="00E55440">
        <w:fldChar w:fldCharType="begin"/>
      </w:r>
      <w:r w:rsidR="00E55440">
        <w:instrText xml:space="preserve"> XE "</w:instrText>
      </w:r>
      <w:r w:rsidR="008E02F5">
        <w:instrText>Aristoteles</w:instrText>
      </w:r>
      <w:r w:rsidR="00E55440">
        <w:instrText>:</w:instrText>
      </w:r>
      <w:r w:rsidR="00E55440">
        <w:rPr>
          <w:i/>
        </w:rPr>
        <w:instrText>De I</w:instrText>
      </w:r>
      <w:r w:rsidR="00E55440" w:rsidRPr="00B46B66">
        <w:rPr>
          <w:i/>
        </w:rPr>
        <w:instrText>nt</w:instrText>
      </w:r>
      <w:r w:rsidR="08CC1429">
        <w:rPr>
          <w:i/>
        </w:rPr>
        <w:instrText>erpretatione</w:instrText>
      </w:r>
      <w:r w:rsidR="00E55440" w:rsidRPr="00B46B66">
        <w:instrText xml:space="preserve"> 19a25–26</w:instrText>
      </w:r>
      <w:r w:rsidR="00E55440">
        <w:instrText xml:space="preserve">" </w:instrText>
      </w:r>
      <w:r w:rsidR="00E55440">
        <w:fldChar w:fldCharType="end"/>
      </w:r>
      <w:r w:rsidR="001C3ACA" w:rsidRPr="00273106">
        <w:t xml:space="preserve">). </w:t>
      </w:r>
      <w:r w:rsidR="00CC5C2C">
        <w:t xml:space="preserve">Totéž ukázal předešlý výklad </w:t>
      </w:r>
      <w:r w:rsidR="00CC5C2C" w:rsidRPr="08347F13">
        <w:rPr>
          <w:i/>
        </w:rPr>
        <w:t>Druhých analytik</w:t>
      </w:r>
      <w:r w:rsidR="00CC5C2C">
        <w:t xml:space="preserve"> rozlišením dvojí formy hyparchické univerzality a nutnosti dané jinak od abstrakce v mysli a jinak od věcí v realitě </w:t>
      </w:r>
      <w:r w:rsidR="00CC5C2C" w:rsidRPr="00273106">
        <w:t>(καθ' αὑτὰ δὲ διττῶς</w:t>
      </w:r>
      <w:r w:rsidR="00CC5C2C">
        <w:t xml:space="preserve">, </w:t>
      </w:r>
      <w:r w:rsidR="00CC5C2C" w:rsidRPr="009B084A">
        <w:rPr>
          <w:i/>
        </w:rPr>
        <w:t>Anal</w:t>
      </w:r>
      <w:r w:rsidR="00CC5C2C">
        <w:t xml:space="preserve">. </w:t>
      </w:r>
      <w:r w:rsidR="00CC5C2C" w:rsidRPr="009B084A">
        <w:rPr>
          <w:i/>
        </w:rPr>
        <w:t>Post</w:t>
      </w:r>
      <w:r w:rsidR="00CC5C2C">
        <w:t>. 84a12</w:t>
      </w:r>
      <w:r w:rsidR="00CC5C2C">
        <w:fldChar w:fldCharType="begin"/>
      </w:r>
      <w:r w:rsidR="00CC5C2C">
        <w:instrText xml:space="preserve"> XE "Aristoteles:</w:instrText>
      </w:r>
      <w:r w:rsidR="00CC5C2C" w:rsidRPr="00BF0563">
        <w:rPr>
          <w:i/>
        </w:rPr>
        <w:instrText>Anal</w:instrText>
      </w:r>
      <w:r w:rsidR="00CC5C2C" w:rsidRPr="00BF0563">
        <w:instrText xml:space="preserve">. </w:instrText>
      </w:r>
      <w:r w:rsidR="00CC5C2C" w:rsidRPr="00BF0563">
        <w:rPr>
          <w:i/>
        </w:rPr>
        <w:instrText>Post</w:instrText>
      </w:r>
      <w:r w:rsidR="00CC5C2C" w:rsidRPr="00BF0563">
        <w:instrText>. 84a12</w:instrText>
      </w:r>
      <w:r w:rsidR="00CC5C2C">
        <w:instrText xml:space="preserve">" </w:instrText>
      </w:r>
      <w:r w:rsidR="00CC5C2C">
        <w:fldChar w:fldCharType="end"/>
      </w:r>
      <w:r w:rsidR="00CC5C2C" w:rsidRPr="00273106">
        <w:t>)</w:t>
      </w:r>
      <w:r w:rsidR="00CC5C2C">
        <w:t xml:space="preserve">. </w:t>
      </w:r>
      <w:r w:rsidR="002536A1">
        <w:t xml:space="preserve">Předešlé analýzy ukázaly, že spojením porretánské moderní logiky a neoplatonského výkladu </w:t>
      </w:r>
      <w:r w:rsidR="002536A1" w:rsidRPr="002536A1">
        <w:rPr>
          <w:i/>
        </w:rPr>
        <w:t>Kategorií</w:t>
      </w:r>
      <w:r w:rsidR="002536A1">
        <w:t xml:space="preserve"> vzniklo kolem roku 1230 univoční pojetí nutnosti, které potvrdil Grossetesteho analytický výklad </w:t>
      </w:r>
      <w:r w:rsidR="002536A1" w:rsidRPr="002536A1">
        <w:rPr>
          <w:i/>
        </w:rPr>
        <w:t>Druhých analytik</w:t>
      </w:r>
      <w:r w:rsidR="002536A1">
        <w:t xml:space="preserve">. Výklad Toledské moderny změnil </w:t>
      </w:r>
      <w:r w:rsidR="00F94E59" w:rsidRPr="00273106">
        <w:t>pojetí hyparchické predikace</w:t>
      </w:r>
      <w:r w:rsidR="00F26A77">
        <w:t xml:space="preserve"> a význam reálné impozice</w:t>
      </w:r>
      <w:r w:rsidR="00E55440">
        <w:fldChar w:fldCharType="begin"/>
      </w:r>
      <w:r w:rsidR="00E55440">
        <w:instrText xml:space="preserve"> XE "</w:instrText>
      </w:r>
      <w:r w:rsidR="00E55440" w:rsidRPr="00060218">
        <w:instrText>predikace:hyparchická</w:instrText>
      </w:r>
      <w:r w:rsidR="00E55440">
        <w:instrText xml:space="preserve">" </w:instrText>
      </w:r>
      <w:r w:rsidR="00E55440">
        <w:fldChar w:fldCharType="end"/>
      </w:r>
      <w:r w:rsidR="00F94E59" w:rsidRPr="00273106">
        <w:t xml:space="preserve">, kterou nastolily </w:t>
      </w:r>
      <w:r w:rsidR="00F94E59" w:rsidRPr="002536A1">
        <w:rPr>
          <w:i/>
        </w:rPr>
        <w:t>Druhé analytiky</w:t>
      </w:r>
      <w:r w:rsidR="00F94E59" w:rsidRPr="00273106">
        <w:t xml:space="preserve"> primát</w:t>
      </w:r>
      <w:r w:rsidR="002536A1">
        <w:t xml:space="preserve">em principu </w:t>
      </w:r>
      <w:r w:rsidR="00B62A0A">
        <w:t xml:space="preserve">„ex </w:t>
      </w:r>
      <w:r w:rsidR="08FE03BB">
        <w:rPr>
          <w:i/>
        </w:rPr>
        <w:t>in</w:t>
      </w:r>
      <w:r w:rsidR="00F94E59" w:rsidRPr="00273106">
        <w:rPr>
          <w:i/>
        </w:rPr>
        <w:t>mediat</w:t>
      </w:r>
      <w:r w:rsidR="00B62A0A">
        <w:rPr>
          <w:i/>
        </w:rPr>
        <w:t>is</w:t>
      </w:r>
      <w:r w:rsidR="00B62A0A" w:rsidRPr="00B62A0A">
        <w:t>“</w:t>
      </w:r>
      <w:r w:rsidR="00B72D09">
        <w:t xml:space="preserve"> a dvojím rozlišením významu </w:t>
      </w:r>
      <w:r w:rsidR="00B72D09" w:rsidRPr="00273106">
        <w:rPr>
          <w:i/>
        </w:rPr>
        <w:t>inesse</w:t>
      </w:r>
      <w:r w:rsidR="00B72D09" w:rsidRPr="00273106">
        <w:t xml:space="preserve"> </w:t>
      </w:r>
      <w:r w:rsidR="08F52F63" w:rsidRPr="00273106">
        <w:t>(ὑπάρχει τοῖς πράγμασιν</w:t>
      </w:r>
      <w:r w:rsidR="08F52F63">
        <w:t xml:space="preserve">, </w:t>
      </w:r>
      <w:r w:rsidR="08F52F63" w:rsidRPr="00273106">
        <w:rPr>
          <w:i/>
        </w:rPr>
        <w:t>Anal. Post</w:t>
      </w:r>
      <w:r w:rsidR="08F52F63" w:rsidRPr="00273106">
        <w:t>. 73b28</w:t>
      </w:r>
      <w:r w:rsidR="08F52F63">
        <w:fldChar w:fldCharType="begin"/>
      </w:r>
      <w:r w:rsidR="08F52F63">
        <w:instrText xml:space="preserve"> XE "Aristoteles:</w:instrText>
      </w:r>
      <w:r w:rsidR="08F52F63" w:rsidRPr="00A43448">
        <w:rPr>
          <w:i/>
        </w:rPr>
        <w:instrText>Anal. Post</w:instrText>
      </w:r>
      <w:r w:rsidR="08F52F63" w:rsidRPr="00A43448">
        <w:instrText>. 73b28</w:instrText>
      </w:r>
      <w:r w:rsidR="08F52F63">
        <w:instrText xml:space="preserve">" </w:instrText>
      </w:r>
      <w:r w:rsidR="08F52F63">
        <w:fldChar w:fldCharType="end"/>
      </w:r>
      <w:r w:rsidR="08F52F63">
        <w:t xml:space="preserve">). </w:t>
      </w:r>
      <w:r w:rsidR="00372728">
        <w:t>Ignorance těchto principů přinesla z</w:t>
      </w:r>
      <w:r w:rsidR="00347F69">
        <w:t>ávažný důsledek pro moderní logiku, která definitivně přešla do školy druhého averroismu</w:t>
      </w:r>
      <w:r w:rsidR="086736C5">
        <w:t xml:space="preserve"> a tím se stala metafyzikou</w:t>
      </w:r>
      <w:r w:rsidR="00050506">
        <w:t>.</w:t>
      </w:r>
    </w:p>
    <w:p w14:paraId="5AA35FEB" w14:textId="4D3F02C1" w:rsidR="00FA1648" w:rsidRDefault="00F15517" w:rsidP="00050506">
      <w:pPr>
        <w:ind w:firstLine="397"/>
      </w:pPr>
      <w:r w:rsidRPr="00273106">
        <w:t xml:space="preserve">Primát </w:t>
      </w:r>
      <w:r w:rsidR="08FE03BB">
        <w:t xml:space="preserve">reálné </w:t>
      </w:r>
      <w:r w:rsidRPr="00273106">
        <w:t xml:space="preserve">existence stojí u Aristotela před </w:t>
      </w:r>
      <w:r w:rsidR="08FE03BB">
        <w:t xml:space="preserve">poznanou </w:t>
      </w:r>
      <w:r w:rsidRPr="00273106">
        <w:t>e</w:t>
      </w:r>
      <w:r w:rsidR="0844046A">
        <w:t>sencí</w:t>
      </w:r>
      <w:r w:rsidR="08BB6F5C">
        <w:t xml:space="preserve"> a tím určuje hyparchicky danou formu nutnosti predikovanou v rámci </w:t>
      </w:r>
      <w:r w:rsidR="082A724F">
        <w:t xml:space="preserve">metafyzického </w:t>
      </w:r>
      <w:r w:rsidR="08BB6F5C">
        <w:t>dativu</w:t>
      </w:r>
      <w:r w:rsidR="08BB6F5C">
        <w:fldChar w:fldCharType="begin"/>
      </w:r>
      <w:r w:rsidR="08BB6F5C">
        <w:instrText xml:space="preserve"> XE "</w:instrText>
      </w:r>
      <w:r w:rsidR="082A724F">
        <w:rPr>
          <w:i/>
        </w:rPr>
        <w:instrText xml:space="preserve">dativus </w:instrText>
      </w:r>
      <w:r w:rsidR="082A724F">
        <w:rPr>
          <w:i/>
        </w:rPr>
        <w:lastRenderedPageBreak/>
        <w:instrText>metaphysi</w:instrText>
      </w:r>
      <w:r w:rsidR="08BB6F5C" w:rsidRPr="08BB6F5C">
        <w:rPr>
          <w:i/>
        </w:rPr>
        <w:instrText>cus</w:instrText>
      </w:r>
      <w:r w:rsidR="08BB6F5C">
        <w:instrText xml:space="preserve">" </w:instrText>
      </w:r>
      <w:r w:rsidR="08BB6F5C">
        <w:fldChar w:fldCharType="end"/>
      </w:r>
      <w:r w:rsidR="0844046A">
        <w:t>. E</w:t>
      </w:r>
      <w:r w:rsidRPr="00273106">
        <w:t>xistence reálné substance</w:t>
      </w:r>
      <w:r w:rsidR="00A70FA4">
        <w:fldChar w:fldCharType="begin"/>
      </w:r>
      <w:r w:rsidR="00A70FA4">
        <w:instrText xml:space="preserve"> XE "</w:instrText>
      </w:r>
      <w:r w:rsidR="00A70FA4" w:rsidRPr="00DE2A32">
        <w:instrText>substance</w:instrText>
      </w:r>
      <w:r w:rsidR="00E55440">
        <w:instrText>:první</w:instrText>
      </w:r>
      <w:r w:rsidR="00A70FA4">
        <w:instrText xml:space="preserve">" </w:instrText>
      </w:r>
      <w:r w:rsidR="00A70FA4">
        <w:fldChar w:fldCharType="end"/>
      </w:r>
      <w:r w:rsidRPr="00273106">
        <w:t xml:space="preserve"> určuje střední člen soudu skrze princip kauzality. </w:t>
      </w:r>
      <w:r w:rsidR="002D3CA2">
        <w:t xml:space="preserve">Logika </w:t>
      </w:r>
      <w:r w:rsidR="08D86219">
        <w:t>vypovídající o událostech ve světě a ne o matematických entitách v mysli, musí sledovat metafyzickou abstrakci danou hyparchicky od prvních substancí</w:t>
      </w:r>
      <w:r w:rsidR="084B227F">
        <w:t>. S</w:t>
      </w:r>
      <w:r w:rsidR="08D86219">
        <w:t xml:space="preserve">vět </w:t>
      </w:r>
      <w:r w:rsidR="008D3046">
        <w:t>poznáváme nasvícením smyslu jsoucna od reálné první substance</w:t>
      </w:r>
      <w:r w:rsidR="084B227F">
        <w:t>, která</w:t>
      </w:r>
      <w:r w:rsidR="08516A10">
        <w:t xml:space="preserve"> </w:t>
      </w:r>
      <w:r w:rsidR="084B227F">
        <w:t>představuje základní událost donace smysl</w:t>
      </w:r>
      <w:r w:rsidR="08516A10">
        <w:t>u</w:t>
      </w:r>
      <w:r w:rsidR="084B227F">
        <w:t xml:space="preserve"> jsoucna</w:t>
      </w:r>
      <w:r w:rsidR="002D3CA2">
        <w:t xml:space="preserve">. </w:t>
      </w:r>
      <w:r w:rsidR="005D42A1">
        <w:t xml:space="preserve">Pokud chybí metafyzická </w:t>
      </w:r>
      <w:r w:rsidR="000A6DEC" w:rsidRPr="00273106">
        <w:t xml:space="preserve">nutnost daná skrze </w:t>
      </w:r>
      <w:r w:rsidR="008046C8" w:rsidRPr="00273106">
        <w:t xml:space="preserve">aktuální </w:t>
      </w:r>
      <w:r w:rsidR="000A6DEC" w:rsidRPr="00273106">
        <w:t xml:space="preserve">první substanci, </w:t>
      </w:r>
      <w:r w:rsidR="008046C8" w:rsidRPr="00273106">
        <w:t xml:space="preserve">pak </w:t>
      </w:r>
      <w:r w:rsidR="000A6DEC" w:rsidRPr="00273106">
        <w:t xml:space="preserve">nelze determinovat ani </w:t>
      </w:r>
      <w:r w:rsidR="008E5E88" w:rsidRPr="00273106">
        <w:t xml:space="preserve">formu </w:t>
      </w:r>
      <w:r w:rsidR="005D42A1">
        <w:t xml:space="preserve">logické </w:t>
      </w:r>
      <w:r w:rsidR="000A6DEC" w:rsidRPr="00273106">
        <w:t>nutnost</w:t>
      </w:r>
      <w:r w:rsidR="008E5E88" w:rsidRPr="00273106">
        <w:t>i</w:t>
      </w:r>
      <w:r w:rsidR="000A6DEC" w:rsidRPr="00273106">
        <w:t xml:space="preserve"> danou </w:t>
      </w:r>
      <w:r w:rsidR="0809583A" w:rsidRPr="00273106">
        <w:t>ve výpovědi</w:t>
      </w:r>
      <w:r w:rsidR="005D42A1">
        <w:t xml:space="preserve"> o reálných prvních substancích a jejich kauzalitě</w:t>
      </w:r>
      <w:r w:rsidR="000A6DEC" w:rsidRPr="00273106">
        <w:t xml:space="preserve">. </w:t>
      </w:r>
      <w:r w:rsidR="00265C5C">
        <w:t xml:space="preserve">Proto spis </w:t>
      </w:r>
      <w:r w:rsidR="00265C5C" w:rsidRPr="00265C5C">
        <w:rPr>
          <w:i/>
        </w:rPr>
        <w:t>De interpretatione</w:t>
      </w:r>
      <w:r w:rsidR="00265C5C">
        <w:t xml:space="preserve"> tvrdí, že </w:t>
      </w:r>
      <w:r w:rsidR="0052485C" w:rsidRPr="00273106">
        <w:t xml:space="preserve">zítřejší </w:t>
      </w:r>
      <w:r w:rsidR="00543CF5">
        <w:t>námořní bitva</w:t>
      </w:r>
      <w:r w:rsidR="00E55440">
        <w:fldChar w:fldCharType="begin"/>
      </w:r>
      <w:r w:rsidR="00E55440">
        <w:instrText xml:space="preserve"> XE "</w:instrText>
      </w:r>
      <w:r w:rsidR="00E55440" w:rsidRPr="00AB0E2A">
        <w:instrText>námořní bitva</w:instrText>
      </w:r>
      <w:r w:rsidR="00E55440">
        <w:instrText xml:space="preserve">" </w:instrText>
      </w:r>
      <w:r w:rsidR="00E55440">
        <w:fldChar w:fldCharType="end"/>
      </w:r>
      <w:r w:rsidR="00543CF5">
        <w:t xml:space="preserve"> </w:t>
      </w:r>
      <w:r w:rsidR="00265C5C">
        <w:t xml:space="preserve">je </w:t>
      </w:r>
      <w:r w:rsidR="00543CF5">
        <w:t>metafyzicky neurčitelná</w:t>
      </w:r>
      <w:r w:rsidR="082C0B7A" w:rsidRPr="00273106">
        <w:t xml:space="preserve">. Protože není nic dáno v realitě, pak jsou budoucí kontingentní události i logicky nedeterminovatelné z hlediska pravdivostní hodnoty. </w:t>
      </w:r>
      <w:r w:rsidR="0052485C" w:rsidRPr="00273106">
        <w:t xml:space="preserve">Zda </w:t>
      </w:r>
      <w:r w:rsidR="0064303A" w:rsidRPr="00273106">
        <w:t>budoucí bitva nastane nebo nenastane</w:t>
      </w:r>
      <w:r w:rsidR="0052485C" w:rsidRPr="00273106">
        <w:t xml:space="preserve">, to není věcí </w:t>
      </w:r>
      <w:r w:rsidR="083A23A8">
        <w:t xml:space="preserve">žádné </w:t>
      </w:r>
      <w:r w:rsidR="0052485C" w:rsidRPr="00273106">
        <w:t>nutnosti</w:t>
      </w:r>
      <w:r w:rsidR="083A23A8">
        <w:t xml:space="preserve">. </w:t>
      </w:r>
      <w:r w:rsidR="00754197" w:rsidRPr="00754197">
        <w:t>Neexistuje žádná hodnota vyplývající z metafyzické nutnosti, kterou by bylo možné připsat budoucím podmíněným událostem.</w:t>
      </w:r>
      <w:r w:rsidR="00754197">
        <w:t xml:space="preserve"> </w:t>
      </w:r>
      <w:r w:rsidR="00A8247C" w:rsidRPr="00401BA1">
        <w:rPr>
          <w:i/>
          <w:szCs w:val="24"/>
        </w:rPr>
        <w:t>Ex nihilo nihil fit.</w:t>
      </w:r>
      <w:r w:rsidR="00A8247C">
        <w:rPr>
          <w:szCs w:val="24"/>
        </w:rPr>
        <w:t xml:space="preserve"> </w:t>
      </w:r>
      <w:r w:rsidR="083A23A8">
        <w:t xml:space="preserve">Pro neexistující událost ve světě </w:t>
      </w:r>
      <w:r w:rsidR="08C535B1">
        <w:t xml:space="preserve">(a nikoliv matematickou entitu danou v mysli) </w:t>
      </w:r>
      <w:r w:rsidR="0052485C" w:rsidRPr="00273106">
        <w:t xml:space="preserve">není dána žádná hyparchická </w:t>
      </w:r>
      <w:r w:rsidR="083A23A8">
        <w:t>existence</w:t>
      </w:r>
      <w:r w:rsidR="0052485C" w:rsidRPr="00273106">
        <w:t xml:space="preserve">, </w:t>
      </w:r>
      <w:r w:rsidR="08782EAD">
        <w:t xml:space="preserve">podle níž </w:t>
      </w:r>
      <w:r w:rsidR="0052485C" w:rsidRPr="00273106">
        <w:t xml:space="preserve">by šlo </w:t>
      </w:r>
      <w:r w:rsidR="08782EAD">
        <w:t xml:space="preserve">pravdivě predikovat </w:t>
      </w:r>
      <w:r w:rsidR="00531890">
        <w:t xml:space="preserve">univerzální </w:t>
      </w:r>
      <w:r w:rsidR="00543CF5">
        <w:t xml:space="preserve">metafyzickou </w:t>
      </w:r>
      <w:r w:rsidR="00CA562D" w:rsidRPr="00273106">
        <w:t xml:space="preserve">a </w:t>
      </w:r>
      <w:r w:rsidR="00D27B4C">
        <w:t xml:space="preserve">následně </w:t>
      </w:r>
      <w:r w:rsidR="00CA562D" w:rsidRPr="00273106">
        <w:t>i logic</w:t>
      </w:r>
      <w:r w:rsidR="00543CF5">
        <w:t xml:space="preserve">kou </w:t>
      </w:r>
      <w:r w:rsidR="0052485C" w:rsidRPr="00273106">
        <w:t xml:space="preserve">nutnost. </w:t>
      </w:r>
      <w:r w:rsidR="002A0C08" w:rsidRPr="00273106">
        <w:t xml:space="preserve">Protože není subsistentní forma v realitě, pak nemůže být ani determinovaná výpověď v mysli poznávajícího. </w:t>
      </w:r>
      <w:r w:rsidR="002A0C08">
        <w:t>Neexistuje žádná</w:t>
      </w:r>
      <w:r w:rsidR="002A0C08" w:rsidRPr="002A0C08">
        <w:t xml:space="preserve"> </w:t>
      </w:r>
      <w:r w:rsidR="002A0C08">
        <w:t>impozice</w:t>
      </w:r>
      <w:r w:rsidR="002A0C08" w:rsidRPr="002A0C08">
        <w:t>, tedy žádný metafyzický druh nutnosti, který by mohl přecházet ze skutečnosti do myšlení.</w:t>
      </w:r>
      <w:r w:rsidR="002A0C08">
        <w:t xml:space="preserve"> </w:t>
      </w:r>
      <w:r w:rsidR="082C0B7A" w:rsidRPr="00273106">
        <w:t xml:space="preserve">Tento postoj respektuje výše uvedený Aristotelův rozdíl mezi aktuálním </w:t>
      </w:r>
      <w:r w:rsidR="082C0B7A" w:rsidRPr="00273106">
        <w:rPr>
          <w:i/>
        </w:rPr>
        <w:t>ens</w:t>
      </w:r>
      <w:r w:rsidR="082C0B7A" w:rsidRPr="00273106">
        <w:t xml:space="preserve"> a formalizovaným </w:t>
      </w:r>
      <w:r w:rsidR="082C0B7A" w:rsidRPr="00273106">
        <w:rPr>
          <w:i/>
        </w:rPr>
        <w:t>esse</w:t>
      </w:r>
      <w:r w:rsidR="082C0B7A" w:rsidRPr="00273106">
        <w:t xml:space="preserve"> v rámci axiomatického primátu </w:t>
      </w:r>
      <w:r w:rsidR="082C0B7A" w:rsidRPr="00352D16">
        <w:rPr>
          <w:i/>
        </w:rPr>
        <w:t>Druhých analytik</w:t>
      </w:r>
      <w:r w:rsidR="009F0222">
        <w:t xml:space="preserve">. </w:t>
      </w:r>
      <w:r w:rsidR="009F0222" w:rsidRPr="009F0222">
        <w:t xml:space="preserve">Existence reálné věci nutně určuje univerzální význam druhé substance </w:t>
      </w:r>
      <w:r w:rsidR="009F0222">
        <w:t>jako první univerzální species, která</w:t>
      </w:r>
      <w:r w:rsidR="009F0222" w:rsidRPr="009F0222">
        <w:t xml:space="preserve"> vznikl</w:t>
      </w:r>
      <w:r w:rsidR="009F0222">
        <w:t>a</w:t>
      </w:r>
      <w:r w:rsidR="009F0222" w:rsidRPr="009F0222">
        <w:t xml:space="preserve"> </w:t>
      </w:r>
      <w:r w:rsidR="009F0222">
        <w:t xml:space="preserve">impozicí významu </w:t>
      </w:r>
      <w:r w:rsidR="009F0222" w:rsidRPr="009F0222">
        <w:t xml:space="preserve">v první triádě poznávacích principů. Vzhledem k této metafyzické nutnosti </w:t>
      </w:r>
      <w:r w:rsidR="00AB53A9">
        <w:t xml:space="preserve">vztažené k </w:t>
      </w:r>
      <w:r w:rsidR="009F0222" w:rsidRPr="009F0222">
        <w:t xml:space="preserve">realitě lze </w:t>
      </w:r>
      <w:r w:rsidR="00AB53A9" w:rsidRPr="009F0222">
        <w:t xml:space="preserve">odvodit </w:t>
      </w:r>
      <w:r w:rsidR="00AB53A9">
        <w:t xml:space="preserve">také </w:t>
      </w:r>
      <w:r w:rsidR="009F0222" w:rsidRPr="009F0222">
        <w:t>logi</w:t>
      </w:r>
      <w:r w:rsidR="00AB53A9">
        <w:t xml:space="preserve">ckou nutnost univerzální esence </w:t>
      </w:r>
      <w:r w:rsidR="00AB53A9" w:rsidRPr="009F0222">
        <w:t>jako pravdivou univerzální korespondenci</w:t>
      </w:r>
      <w:r w:rsidR="00AB53A9">
        <w:t xml:space="preserve">, a to v rámci druhé triády principů určijících druhou část </w:t>
      </w:r>
      <w:r w:rsidR="009F0222" w:rsidRPr="009F0222">
        <w:t>demonstrativní</w:t>
      </w:r>
      <w:r w:rsidR="00AB53A9">
        <w:t>ho</w:t>
      </w:r>
      <w:r w:rsidR="009F0222" w:rsidRPr="009F0222">
        <w:t xml:space="preserve"> sylogismu.</w:t>
      </w:r>
      <w:r w:rsidR="00B4564A">
        <w:t xml:space="preserve"> </w:t>
      </w:r>
      <w:r w:rsidR="00CD5262" w:rsidRPr="00273106">
        <w:t>Proto aristotelik Al</w:t>
      </w:r>
      <w:r w:rsidR="00CD5262" w:rsidRPr="00273106">
        <w:noBreakHyphen/>
      </w:r>
      <w:r w:rsidR="008E02F5">
        <w:t>Fárábí</w:t>
      </w:r>
      <w:r w:rsidR="00CD5262" w:rsidRPr="00273106">
        <w:t xml:space="preserve"> odmítl určit logický statut budoucích kontingentních událostí.</w:t>
      </w:r>
      <w:r w:rsidR="00CD5262">
        <w:t xml:space="preserve"> L</w:t>
      </w:r>
      <w:r w:rsidR="000A6DEC" w:rsidRPr="00273106">
        <w:t xml:space="preserve">ogikové ašaritské </w:t>
      </w:r>
      <w:r w:rsidR="00874074">
        <w:t>neoplatonsk</w:t>
      </w:r>
      <w:r w:rsidR="000A6DEC" w:rsidRPr="00273106">
        <w:t xml:space="preserve">é školy se </w:t>
      </w:r>
      <w:r w:rsidR="00CD5262">
        <w:t xml:space="preserve">podle něj </w:t>
      </w:r>
      <w:r w:rsidR="000A6DEC" w:rsidRPr="00273106">
        <w:t>zásadně mýlí, když budoucím kontingentním událostem predikují determinované logické významy, protože směšují metafyziku a logiku (Wisnovsky 2003, 220). Podle Al-</w:t>
      </w:r>
      <w:r w:rsidR="008E02F5">
        <w:t>Fárábí</w:t>
      </w:r>
      <w:r w:rsidR="000A6DEC" w:rsidRPr="00273106">
        <w:t>ho existuje zásadní rozdíl mezi bytím pojatým nutně v logickém smyslu a mezi bytím, které je absolutně nutné díky vlastní existenci. Al-</w:t>
      </w:r>
      <w:r w:rsidR="008E02F5">
        <w:t>Fárábí</w:t>
      </w:r>
      <w:r w:rsidR="00B34F5D" w:rsidRPr="00273106">
        <w:t xml:space="preserve"> komentoval i </w:t>
      </w:r>
      <w:r w:rsidR="00B34F5D" w:rsidRPr="002D1EB4">
        <w:rPr>
          <w:i/>
        </w:rPr>
        <w:t>Druhé analyt</w:t>
      </w:r>
      <w:r w:rsidR="00137544" w:rsidRPr="002D1EB4">
        <w:rPr>
          <w:i/>
        </w:rPr>
        <w:t>iky</w:t>
      </w:r>
      <w:r w:rsidR="00137544" w:rsidRPr="00273106">
        <w:t xml:space="preserve"> a věděl</w:t>
      </w:r>
      <w:r w:rsidR="000A6DEC" w:rsidRPr="00273106">
        <w:t xml:space="preserve">, že existence </w:t>
      </w:r>
      <w:r w:rsidR="00137544" w:rsidRPr="00273106">
        <w:t xml:space="preserve">první substance </w:t>
      </w:r>
      <w:r w:rsidR="000A6DEC" w:rsidRPr="00273106">
        <w:t>determinuje určení každého soudu</w:t>
      </w:r>
      <w:r w:rsidR="002D1EB4">
        <w:t xml:space="preserve"> podle principu </w:t>
      </w:r>
      <w:r w:rsidR="08D91F67">
        <w:rPr>
          <w:i/>
        </w:rPr>
        <w:t>ex in</w:t>
      </w:r>
      <w:r w:rsidR="002D1EB4" w:rsidRPr="002D1EB4">
        <w:rPr>
          <w:i/>
        </w:rPr>
        <w:t>mediatis</w:t>
      </w:r>
      <w:r w:rsidR="000A6DEC" w:rsidRPr="00273106">
        <w:t xml:space="preserve">. Ašarité se pokusili o první invazi </w:t>
      </w:r>
      <w:r w:rsidR="00DA16FB">
        <w:t xml:space="preserve">moderní </w:t>
      </w:r>
      <w:r w:rsidR="000A6DEC" w:rsidRPr="00273106">
        <w:t xml:space="preserve">logiky do metafyziky díky </w:t>
      </w:r>
      <w:r w:rsidR="00874074">
        <w:t>neoplatonsk</w:t>
      </w:r>
      <w:r w:rsidR="000A6DEC" w:rsidRPr="00273106">
        <w:t xml:space="preserve">y determinované platnosti budoucích </w:t>
      </w:r>
      <w:r w:rsidR="000A6DEC" w:rsidRPr="00273106">
        <w:lastRenderedPageBreak/>
        <w:t>kontigentních událostí</w:t>
      </w:r>
      <w:r w:rsidR="00BE6100">
        <w:t>. Hodnotili je v ontoteologické modalitě „</w:t>
      </w:r>
      <w:r w:rsidR="00BE6100" w:rsidRPr="00BE6100">
        <w:rPr>
          <w:i/>
        </w:rPr>
        <w:t>semel–semper</w:t>
      </w:r>
      <w:r w:rsidR="00BE6100">
        <w:t>“</w:t>
      </w:r>
      <w:r w:rsidR="00BE6100" w:rsidRPr="00BE6100">
        <w:t xml:space="preserve"> stanovené na základě věčného smyslu odvozeného z</w:t>
      </w:r>
      <w:r w:rsidR="003113E6">
        <w:t xml:space="preserve"> principiálně pojatého </w:t>
      </w:r>
      <w:r w:rsidR="00BE6100" w:rsidRPr="00BE6100">
        <w:t>Dobra a Zla.</w:t>
      </w:r>
      <w:r w:rsidR="000A6DEC" w:rsidRPr="00273106">
        <w:t xml:space="preserve"> V jejich úsilí pokračuje Avicenna</w:t>
      </w:r>
      <w:r w:rsidR="00E55440">
        <w:fldChar w:fldCharType="begin"/>
      </w:r>
      <w:r w:rsidR="00E55440">
        <w:instrText xml:space="preserve"> XE "logika:</w:instrText>
      </w:r>
      <w:r w:rsidR="00E55440" w:rsidRPr="00E871F9">
        <w:instrText>Avicenna</w:instrText>
      </w:r>
      <w:r w:rsidR="00E55440">
        <w:instrText xml:space="preserve">" </w:instrText>
      </w:r>
      <w:r w:rsidR="00E55440">
        <w:fldChar w:fldCharType="end"/>
      </w:r>
      <w:r w:rsidR="000A6DEC" w:rsidRPr="00273106">
        <w:t xml:space="preserve"> tím, že definuje nutnost jako čistě formální koncept oddělený pouze od čisté nemožnosti.</w:t>
      </w:r>
      <w:r w:rsidR="000A6DEC" w:rsidRPr="00273106">
        <w:rPr>
          <w:rStyle w:val="Znakapoznpodarou"/>
        </w:rPr>
        <w:footnoteReference w:id="321"/>
      </w:r>
      <w:r w:rsidR="000A6DEC" w:rsidRPr="00273106">
        <w:t xml:space="preserve"> </w:t>
      </w:r>
      <w:r w:rsidR="005723AC" w:rsidRPr="00273106">
        <w:t>Avicenna poprvé vytvořil systém čisté formální predikace oddělený od reálné první substance (</w:t>
      </w:r>
      <w:r w:rsidR="080D03C5">
        <w:t xml:space="preserve">OBJ I, </w:t>
      </w:r>
      <w:r w:rsidR="005723AC" w:rsidRPr="00273106">
        <w:t>kap. 2.3.2).</w:t>
      </w:r>
      <w:r w:rsidR="005723AC">
        <w:t xml:space="preserve"> </w:t>
      </w:r>
      <w:r w:rsidR="08383577">
        <w:t xml:space="preserve">Založení </w:t>
      </w:r>
      <w:r w:rsidR="000A6DEC" w:rsidRPr="00273106">
        <w:t>no</w:t>
      </w:r>
      <w:r w:rsidR="08383577">
        <w:t>vé metafyziky u Avicenny ukázalo</w:t>
      </w:r>
      <w:r w:rsidR="000A6DEC" w:rsidRPr="00273106">
        <w:t>, jak vznikl pomocí formálního záporu epochálně nový systém formální esenciality oddělený o</w:t>
      </w:r>
      <w:r w:rsidR="001028A9" w:rsidRPr="00273106">
        <w:t xml:space="preserve">d všech daností první substance. </w:t>
      </w:r>
      <w:r w:rsidR="000A6DEC" w:rsidRPr="00273106">
        <w:t>Další důležitým krokem Avicenny na cestě k nové logice byl ontoteologický status materie jako čisté možnosti dané archetypálně v</w:t>
      </w:r>
      <w:r w:rsidR="005E393A">
        <w:t xml:space="preserve"> kosmickém </w:t>
      </w:r>
      <w:r w:rsidR="005E393A" w:rsidRPr="00BA3D14">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E55440">
        <w:instrText>:</w:instrText>
      </w:r>
      <w:r w:rsidR="00E55440" w:rsidRPr="00E55440">
        <w:instrText>Avicenna</w:instrText>
      </w:r>
      <w:r w:rsidR="00DF1F0F">
        <w:instrText xml:space="preserve">" </w:instrText>
      </w:r>
      <w:r w:rsidR="00DF1F0F">
        <w:rPr>
          <w:i/>
        </w:rPr>
        <w:fldChar w:fldCharType="end"/>
      </w:r>
      <w:r w:rsidR="08383577">
        <w:t xml:space="preserve">. Tento neoplatonský intelekt </w:t>
      </w:r>
      <w:r w:rsidR="005E393A" w:rsidRPr="005E393A">
        <w:t xml:space="preserve">používá materii třetího druhu k formování objektivních jsoucen </w:t>
      </w:r>
      <w:r w:rsidR="08383577" w:rsidRPr="005E393A">
        <w:t xml:space="preserve">v diakosmu </w:t>
      </w:r>
      <w:r w:rsidR="005E393A" w:rsidRPr="005E393A">
        <w:t>(</w:t>
      </w:r>
      <w:r w:rsidR="08383577">
        <w:t xml:space="preserve">OBJ I, </w:t>
      </w:r>
      <w:r w:rsidR="084E7952">
        <w:t>kap. 1.3</w:t>
      </w:r>
      <w:r w:rsidR="005E393A" w:rsidRPr="005E393A">
        <w:t>.2).</w:t>
      </w:r>
      <w:r w:rsidR="000A6DEC" w:rsidRPr="00273106">
        <w:t xml:space="preserve"> Materie se stala potenciálním příjemcem forem daných nutně, čímž vznikl sc</w:t>
      </w:r>
      <w:r w:rsidR="08BD2A34">
        <w:t>éná</w:t>
      </w:r>
      <w:r w:rsidR="080933FB">
        <w:t xml:space="preserve">ř logické </w:t>
      </w:r>
      <w:r w:rsidR="08CF386F">
        <w:t>ekvi</w:t>
      </w:r>
      <w:r w:rsidR="080933FB">
        <w:t xml:space="preserve">valence mezi nutností, potencialitou a </w:t>
      </w:r>
      <w:r w:rsidR="08BD2A34">
        <w:t>kontigencí</w:t>
      </w:r>
      <w:r w:rsidR="000A6DEC" w:rsidRPr="00273106">
        <w:t xml:space="preserve"> (</w:t>
      </w:r>
      <w:r w:rsidR="08CF386F">
        <w:t xml:space="preserve">OBJ I, </w:t>
      </w:r>
      <w:r w:rsidR="000A6DEC" w:rsidRPr="00273106">
        <w:t xml:space="preserve">kap. 2.3.3). </w:t>
      </w:r>
      <w:r w:rsidR="00D31944">
        <w:t xml:space="preserve">Objektivní </w:t>
      </w:r>
      <w:r w:rsidR="002E30FF" w:rsidRPr="002E30FF">
        <w:t>species</w:t>
      </w:r>
      <w:r w:rsidR="000A6DEC" w:rsidRPr="00273106">
        <w:t xml:space="preserve"> dostávají u Avicenny nutné určení v rámci božského proudu </w:t>
      </w:r>
      <w:r w:rsidR="000B58A0">
        <w:t xml:space="preserve">forem, které pocházejí od </w:t>
      </w:r>
      <w:r w:rsidR="00111BF9">
        <w:t xml:space="preserve">činného intelektu jako </w:t>
      </w:r>
      <w:r w:rsidR="000A6DEC" w:rsidRPr="00273106">
        <w:t xml:space="preserve">dárce </w:t>
      </w:r>
      <w:r w:rsidR="000B58A0">
        <w:t xml:space="preserve">těchto </w:t>
      </w:r>
      <w:r w:rsidR="000A6DEC" w:rsidRPr="00273106">
        <w:t>forem</w:t>
      </w:r>
      <w:r w:rsidR="000B58A0">
        <w:t xml:space="preserve"> (</w:t>
      </w:r>
      <w:r w:rsidR="000B58A0" w:rsidRPr="000B58A0">
        <w:rPr>
          <w:i/>
        </w:rPr>
        <w:t>dator formarum</w:t>
      </w:r>
      <w:r w:rsidR="000B58A0">
        <w:rPr>
          <w:i/>
        </w:rPr>
        <w:fldChar w:fldCharType="begin"/>
      </w:r>
      <w:r w:rsidR="000B58A0">
        <w:instrText xml:space="preserve"> XE "</w:instrText>
      </w:r>
      <w:r w:rsidR="000B58A0" w:rsidRPr="007E5963">
        <w:rPr>
          <w:i/>
        </w:rPr>
        <w:instrText>dator formarum</w:instrText>
      </w:r>
      <w:r w:rsidR="000B58A0">
        <w:instrText xml:space="preserve">" </w:instrText>
      </w:r>
      <w:r w:rsidR="000B58A0">
        <w:rPr>
          <w:i/>
        </w:rPr>
        <w:fldChar w:fldCharType="end"/>
      </w:r>
      <w:r w:rsidR="000B58A0">
        <w:t xml:space="preserve">). Toto mytologické postavení </w:t>
      </w:r>
      <w:r w:rsidR="000B58A0" w:rsidRPr="000B58A0">
        <w:rPr>
          <w:i/>
        </w:rPr>
        <w:t>tertium ens</w:t>
      </w:r>
      <w:r w:rsidR="000B58A0">
        <w:t xml:space="preserve"> </w:t>
      </w:r>
      <w:r w:rsidR="000B58A0" w:rsidRPr="00273106">
        <w:t>mimo hyleformickou realitu</w:t>
      </w:r>
      <w:r w:rsidR="000B58A0">
        <w:t xml:space="preserve"> trvale </w:t>
      </w:r>
      <w:r w:rsidR="00524DCB">
        <w:fldChar w:fldCharType="begin"/>
      </w:r>
      <w:r w:rsidR="00524DCB">
        <w:instrText xml:space="preserve"> XE "</w:instrText>
      </w:r>
      <w:r w:rsidR="00524DCB" w:rsidRPr="00BA7E25">
        <w:instrText>intelekt:dárce forem</w:instrText>
      </w:r>
      <w:r w:rsidR="00524DCB">
        <w:instrText xml:space="preserve">" </w:instrText>
      </w:r>
      <w:r w:rsidR="00524DCB">
        <w:fldChar w:fldCharType="end"/>
      </w:r>
      <w:r w:rsidR="000A6DEC" w:rsidRPr="00273106">
        <w:t>za</w:t>
      </w:r>
      <w:r w:rsidR="000B58A0">
        <w:t xml:space="preserve">jišťuje ontoteologickou hodnotu nové logiky. </w:t>
      </w:r>
      <w:r w:rsidR="000B58A0">
        <w:rPr>
          <w:i/>
          <w:szCs w:val="24"/>
        </w:rPr>
        <w:t xml:space="preserve">Ex nihilo </w:t>
      </w:r>
      <w:r w:rsidR="008710AD">
        <w:rPr>
          <w:i/>
          <w:szCs w:val="24"/>
        </w:rPr>
        <w:t xml:space="preserve">esse </w:t>
      </w:r>
      <w:r w:rsidR="000B58A0">
        <w:rPr>
          <w:i/>
          <w:szCs w:val="24"/>
        </w:rPr>
        <w:t>logicum</w:t>
      </w:r>
      <w:r w:rsidR="000B58A0" w:rsidRPr="00401BA1">
        <w:rPr>
          <w:i/>
          <w:szCs w:val="24"/>
        </w:rPr>
        <w:t xml:space="preserve"> fit.</w:t>
      </w:r>
      <w:r w:rsidR="000B58A0">
        <w:rPr>
          <w:szCs w:val="24"/>
        </w:rPr>
        <w:t xml:space="preserve"> </w:t>
      </w:r>
      <w:r w:rsidR="089E16FB">
        <w:t xml:space="preserve">Spojnici mezi diakosmem forem a světem věcí poskytl </w:t>
      </w:r>
      <w:r w:rsidR="007001A9" w:rsidRPr="00273106">
        <w:t xml:space="preserve">Avicennův koncept </w:t>
      </w:r>
      <w:r w:rsidR="00666652">
        <w:t>společné přirozenosti třetího druhu</w:t>
      </w:r>
      <w:r w:rsidR="007001A9" w:rsidRPr="00273106">
        <w:t xml:space="preserve">, v němž determinace individua v jeho </w:t>
      </w:r>
      <w:r w:rsidR="007001A9" w:rsidRPr="00273106">
        <w:rPr>
          <w:i/>
        </w:rPr>
        <w:t>quidditas</w:t>
      </w:r>
      <w:r w:rsidR="00782210">
        <w:rPr>
          <w:i/>
        </w:rPr>
        <w:fldChar w:fldCharType="begin"/>
      </w:r>
      <w:r w:rsidR="00782210">
        <w:instrText xml:space="preserve"> XE "</w:instrText>
      </w:r>
      <w:r w:rsidR="08E6733C">
        <w:rPr>
          <w:i/>
        </w:rPr>
        <w:instrText>quidditas</w:instrText>
      </w:r>
      <w:r w:rsidR="00782210">
        <w:instrText xml:space="preserve">" </w:instrText>
      </w:r>
      <w:r w:rsidR="00782210">
        <w:rPr>
          <w:i/>
        </w:rPr>
        <w:fldChar w:fldCharType="end"/>
      </w:r>
      <w:r w:rsidR="007001A9" w:rsidRPr="00273106">
        <w:t xml:space="preserve"> je dána od nadřazené generické substance-formy (</w:t>
      </w:r>
      <w:r w:rsidR="080C7E54">
        <w:t xml:space="preserve">OBJ I, </w:t>
      </w:r>
      <w:r w:rsidR="007001A9" w:rsidRPr="00273106">
        <w:t xml:space="preserve">kap. 2.3.3). </w:t>
      </w:r>
      <w:r w:rsidR="00F2324C">
        <w:t xml:space="preserve">Z </w:t>
      </w:r>
      <w:r w:rsidR="08C901BE">
        <w:t xml:space="preserve">neoplatonského </w:t>
      </w:r>
      <w:r w:rsidR="00F2324C">
        <w:t xml:space="preserve">proudu </w:t>
      </w:r>
      <w:r w:rsidR="08C901BE">
        <w:t xml:space="preserve">falsafy </w:t>
      </w:r>
      <w:r w:rsidR="08E4055F">
        <w:t xml:space="preserve">přebrané porretány </w:t>
      </w:r>
      <w:r w:rsidR="00F2324C">
        <w:t xml:space="preserve">vznikla </w:t>
      </w:r>
      <w:r w:rsidR="00F2324C" w:rsidRPr="00F2324C">
        <w:rPr>
          <w:i/>
        </w:rPr>
        <w:t>Oxfordian Fallacy</w:t>
      </w:r>
      <w:r w:rsidR="00F2324C">
        <w:t>, kter</w:t>
      </w:r>
      <w:r w:rsidR="005D15A1">
        <w:t>á univočně spojila oba druhy nu</w:t>
      </w:r>
      <w:r w:rsidR="00F2324C">
        <w:t>t</w:t>
      </w:r>
      <w:r w:rsidR="005D15A1">
        <w:t>n</w:t>
      </w:r>
      <w:r w:rsidR="00F2324C">
        <w:t xml:space="preserve">osti záměnou první triády principů poznání za druhou. </w:t>
      </w:r>
      <w:r w:rsidR="08010BE4">
        <w:t xml:space="preserve">Moderní logika vznikla tím, že </w:t>
      </w:r>
      <w:r w:rsidR="08010BE4" w:rsidRPr="00273106">
        <w:t>změnil</w:t>
      </w:r>
      <w:r w:rsidR="08010BE4">
        <w:t>a</w:t>
      </w:r>
      <w:r w:rsidR="08010BE4" w:rsidRPr="00273106">
        <w:t xml:space="preserve"> klasický výklad </w:t>
      </w:r>
      <w:r w:rsidR="08010BE4" w:rsidRPr="00273106">
        <w:rPr>
          <w:i/>
        </w:rPr>
        <w:t>De Interpretatione</w:t>
      </w:r>
      <w:r w:rsidR="08010BE4" w:rsidRPr="00273106">
        <w:t xml:space="preserve"> smě</w:t>
      </w:r>
      <w:r w:rsidR="08010BE4">
        <w:t xml:space="preserve">rem k </w:t>
      </w:r>
      <w:r w:rsidR="08010BE4" w:rsidRPr="00273106">
        <w:t>avicennismu.</w:t>
      </w:r>
      <w:r w:rsidR="08010BE4">
        <w:t xml:space="preserve"> </w:t>
      </w:r>
      <w:r w:rsidR="008B6484" w:rsidRPr="00273106">
        <w:t xml:space="preserve">Bývalá </w:t>
      </w:r>
      <w:r w:rsidR="007D40A0">
        <w:t xml:space="preserve">metafyzická </w:t>
      </w:r>
      <w:r w:rsidR="008B6484" w:rsidRPr="00273106">
        <w:t>nutnost</w:t>
      </w:r>
      <w:r w:rsidR="007D40A0">
        <w:t xml:space="preserve"> daná</w:t>
      </w:r>
      <w:r w:rsidR="008B6484" w:rsidRPr="00273106">
        <w:t xml:space="preserve"> aktem bytí první substance (ἁπλῶς εἶναι ἐξ ἀνάγκης, </w:t>
      </w:r>
      <w:r w:rsidR="008B6484" w:rsidRPr="00B75835">
        <w:rPr>
          <w:i/>
        </w:rPr>
        <w:t>De Int</w:t>
      </w:r>
      <w:r w:rsidR="008B6484" w:rsidRPr="00273106">
        <w:t>. 19a26</w:t>
      </w:r>
      <w:r w:rsidR="00E55440">
        <w:fldChar w:fldCharType="begin"/>
      </w:r>
      <w:r w:rsidR="00E55440">
        <w:instrText xml:space="preserve"> XE "</w:instrText>
      </w:r>
      <w:r w:rsidR="008E02F5">
        <w:instrText>Aristoteles</w:instrText>
      </w:r>
      <w:r w:rsidR="00E55440">
        <w:instrText>:</w:instrText>
      </w:r>
      <w:r w:rsidR="00E55440" w:rsidRPr="00942DD5">
        <w:rPr>
          <w:i/>
        </w:rPr>
        <w:instrText>De Int</w:instrText>
      </w:r>
      <w:r w:rsidR="08CC1429">
        <w:rPr>
          <w:i/>
        </w:rPr>
        <w:instrText>erpretatione</w:instrText>
      </w:r>
      <w:r w:rsidR="00E55440" w:rsidRPr="00942DD5">
        <w:instrText xml:space="preserve"> 19a26</w:instrText>
      </w:r>
      <w:r w:rsidR="00E55440">
        <w:instrText xml:space="preserve">" </w:instrText>
      </w:r>
      <w:r w:rsidR="00E55440">
        <w:fldChar w:fldCharType="end"/>
      </w:r>
      <w:r w:rsidR="008B6484" w:rsidRPr="00273106">
        <w:t>) je pod vlivem Avicenny naroubována na ontoteologickou metafyziku</w:t>
      </w:r>
      <w:r w:rsidR="007D40A0">
        <w:t xml:space="preserve"> v modu logické nutnosti</w:t>
      </w:r>
      <w:r w:rsidR="08010BE4">
        <w:t xml:space="preserve">. </w:t>
      </w:r>
      <w:r w:rsidR="080B297C">
        <w:t xml:space="preserve">Další zdroj pravdivostně určené logiky budoucích kontingentních stavů dodali teologové jako byl Algazel, kteří určili </w:t>
      </w:r>
      <w:r w:rsidR="089C6FC4">
        <w:t xml:space="preserve">budoucí události </w:t>
      </w:r>
      <w:r w:rsidR="080B297C">
        <w:t>vzhledem binárně dané boží prozřetelnosti.</w:t>
      </w:r>
      <w:r w:rsidR="080B297C">
        <w:rPr>
          <w:rStyle w:val="Znakapoznpodarou"/>
        </w:rPr>
        <w:footnoteReference w:id="322"/>
      </w:r>
      <w:r w:rsidR="00FA1648">
        <w:t xml:space="preserve"> </w:t>
      </w:r>
      <w:r w:rsidR="00FA1648" w:rsidRPr="00FA1648">
        <w:t>Modern</w:t>
      </w:r>
      <w:r w:rsidR="00FA1648">
        <w:t xml:space="preserve">a </w:t>
      </w:r>
      <w:r w:rsidR="00FA1648" w:rsidRPr="00FA1648">
        <w:t xml:space="preserve">přijala tento druh </w:t>
      </w:r>
      <w:r w:rsidR="00FA1648" w:rsidRPr="00FA1648">
        <w:lastRenderedPageBreak/>
        <w:t xml:space="preserve">ontoteologického scénáře tím, že místo islámské doktríny </w:t>
      </w:r>
      <w:r w:rsidR="00FA1648" w:rsidRPr="00FA1648">
        <w:rPr>
          <w:i/>
        </w:rPr>
        <w:t>iqtisád</w:t>
      </w:r>
      <w:r w:rsidR="00FA1648" w:rsidRPr="00FA1648">
        <w:t xml:space="preserve"> zavedla augustinismus. Podívejme se na výše uvedený citát z Grosssetestova spisu </w:t>
      </w:r>
      <w:r w:rsidR="00FA1648" w:rsidRPr="00FA1648">
        <w:rPr>
          <w:i/>
        </w:rPr>
        <w:t>De veritate</w:t>
      </w:r>
      <w:r w:rsidR="00FA1648" w:rsidRPr="00FA1648">
        <w:t xml:space="preserve">. Vytvořil definitivní </w:t>
      </w:r>
      <w:r w:rsidR="00FA1648">
        <w:t>směs O</w:t>
      </w:r>
      <w:r w:rsidR="00FA1648" w:rsidRPr="00FA1648">
        <w:t xml:space="preserve">xfordského omylu a křesťanské mytologie </w:t>
      </w:r>
      <w:r w:rsidR="00FA1648">
        <w:t xml:space="preserve">dané na základě Avicennova moderního boha a tím založil </w:t>
      </w:r>
      <w:r w:rsidR="00FA1648" w:rsidRPr="00FA1648">
        <w:t>novověkou logiku latinského Západu.</w:t>
      </w:r>
      <w:r w:rsidR="00FA1648">
        <w:t xml:space="preserve"> </w:t>
      </w:r>
      <w:r w:rsidR="00D2727C">
        <w:t xml:space="preserve">Aristotelova </w:t>
      </w:r>
      <w:r w:rsidR="008B6484" w:rsidRPr="00273106">
        <w:rPr>
          <w:i/>
        </w:rPr>
        <w:t>causa</w:t>
      </w:r>
      <w:r w:rsidR="008B6484" w:rsidRPr="00273106">
        <w:t xml:space="preserve"> </w:t>
      </w:r>
      <w:r w:rsidR="008B6484" w:rsidRPr="00273106">
        <w:rPr>
          <w:i/>
        </w:rPr>
        <w:t>prima</w:t>
      </w:r>
      <w:r w:rsidR="00761354">
        <w:rPr>
          <w:i/>
        </w:rPr>
        <w:fldChar w:fldCharType="begin"/>
      </w:r>
      <w:r w:rsidR="00761354">
        <w:instrText xml:space="preserve"> XE "</w:instrText>
      </w:r>
      <w:r w:rsidR="00761354" w:rsidRPr="00EC783C">
        <w:rPr>
          <w:i/>
          <w:color w:val="000000"/>
        </w:rPr>
        <w:instrText>causa prima</w:instrText>
      </w:r>
      <w:r w:rsidR="00761354">
        <w:instrText xml:space="preserve">" </w:instrText>
      </w:r>
      <w:r w:rsidR="00761354">
        <w:rPr>
          <w:i/>
        </w:rPr>
        <w:fldChar w:fldCharType="end"/>
      </w:r>
      <w:r w:rsidR="008B6484" w:rsidRPr="00273106">
        <w:rPr>
          <w:i/>
        </w:rPr>
        <w:t xml:space="preserve"> </w:t>
      </w:r>
      <w:r w:rsidR="00D2727C" w:rsidRPr="00D2727C">
        <w:t>a Augustinova</w:t>
      </w:r>
      <w:r w:rsidR="00D2727C">
        <w:rPr>
          <w:i/>
        </w:rPr>
        <w:t xml:space="preserve"> </w:t>
      </w:r>
      <w:r w:rsidR="008B6484" w:rsidRPr="00273106">
        <w:rPr>
          <w:i/>
        </w:rPr>
        <w:t xml:space="preserve">veritas aeterna </w:t>
      </w:r>
      <w:r w:rsidR="008B6484" w:rsidRPr="00273106">
        <w:t>zastupují Avicennův horizont ontoteologických určení daných v rámci archetypické platnosti</w:t>
      </w:r>
      <w:r w:rsidR="005E393A">
        <w:t xml:space="preserve"> zajištěné kosmickým činným intelektem</w:t>
      </w:r>
      <w:r w:rsidR="00CF6B40">
        <w:t>.</w:t>
      </w:r>
    </w:p>
    <w:p w14:paraId="28818CC6" w14:textId="59A66985" w:rsidR="00035B00" w:rsidRDefault="00C07B25" w:rsidP="00035B00">
      <w:pPr>
        <w:ind w:firstLine="397"/>
      </w:pPr>
      <w:r>
        <w:t xml:space="preserve">Je jasné, že klasický aristotelismus nemohl přijat takový nesmysl. </w:t>
      </w:r>
      <w:r w:rsidR="00CF6B40">
        <w:t xml:space="preserve">Školy </w:t>
      </w:r>
      <w:r w:rsidR="00496B06">
        <w:rPr>
          <w:i/>
        </w:rPr>
        <w:t>l</w:t>
      </w:r>
      <w:r w:rsidR="00CF6B40" w:rsidRPr="00CF6B40">
        <w:rPr>
          <w:i/>
        </w:rPr>
        <w:t>ogica Vetus</w:t>
      </w:r>
      <w:r w:rsidR="00CF6B40">
        <w:t xml:space="preserve"> </w:t>
      </w:r>
      <w:r w:rsidR="00CF6B40" w:rsidRPr="00273106">
        <w:t xml:space="preserve">chápaly nutnost ve dvou modech, protože znali od Boethia rozdíl mezi logickou a existenciální signifikací. </w:t>
      </w:r>
      <w:r w:rsidR="003234EF">
        <w:t>Příklad tohoto jasného rozlišení obou druhů nutnosti podává s</w:t>
      </w:r>
      <w:r w:rsidR="003234EF" w:rsidRPr="00273106">
        <w:t xml:space="preserve">pis </w:t>
      </w:r>
      <w:r w:rsidR="003234EF" w:rsidRPr="00273106">
        <w:rPr>
          <w:i/>
        </w:rPr>
        <w:t>Logica „Cum sit nostra</w:t>
      </w:r>
      <w:r w:rsidR="003234EF" w:rsidRPr="00297A5D">
        <w:t>“</w:t>
      </w:r>
      <w:r w:rsidR="003234EF" w:rsidRPr="00273106">
        <w:t>.</w:t>
      </w:r>
      <w:r w:rsidR="003234EF" w:rsidRPr="00273106">
        <w:rPr>
          <w:rStyle w:val="Znakapoznpodarou"/>
        </w:rPr>
        <w:footnoteReference w:id="323"/>
      </w:r>
      <w:r w:rsidR="003234EF" w:rsidRPr="00273106">
        <w:t xml:space="preserve"> Příklad </w:t>
      </w:r>
      <w:r w:rsidR="00AD08D6">
        <w:t xml:space="preserve">zde a nyní </w:t>
      </w:r>
      <w:r w:rsidR="003234EF" w:rsidRPr="00273106">
        <w:t xml:space="preserve">sedící osoby je typická ukázka aktuální nutnosti dané </w:t>
      </w:r>
      <w:r w:rsidR="003234EF" w:rsidRPr="00273106">
        <w:rPr>
          <w:i/>
        </w:rPr>
        <w:t>per accidens</w:t>
      </w:r>
      <w:r w:rsidR="003234EF">
        <w:rPr>
          <w:i/>
        </w:rPr>
        <w:fldChar w:fldCharType="begin"/>
      </w:r>
      <w:r w:rsidR="003234EF">
        <w:instrText xml:space="preserve"> XE "nutnost:</w:instrText>
      </w:r>
      <w:r w:rsidR="003234EF" w:rsidRPr="004A4865">
        <w:rPr>
          <w:i/>
        </w:rPr>
        <w:instrText>per accidens</w:instrText>
      </w:r>
      <w:r w:rsidR="003234EF">
        <w:instrText xml:space="preserve">" </w:instrText>
      </w:r>
      <w:r w:rsidR="003234EF">
        <w:rPr>
          <w:i/>
        </w:rPr>
        <w:fldChar w:fldCharType="end"/>
      </w:r>
      <w:r w:rsidR="003234EF" w:rsidRPr="00273106">
        <w:t>. Nutnost takto uzavřené minulosti nemůže změnit ani bůh, protože by tím popřel větu o identitě a předělával by minulost na způsob dnešních sci</w:t>
      </w:r>
      <w:r w:rsidR="003234EF">
        <w:noBreakHyphen/>
      </w:r>
      <w:r w:rsidR="003234EF" w:rsidRPr="00273106">
        <w:t xml:space="preserve">fi. Tuto nutnost je možné vztáhnout k reálně sedícímu Sokratovi a pak platí </w:t>
      </w:r>
      <w:r w:rsidR="00E65DD6">
        <w:t>v modu zvaném „</w:t>
      </w:r>
      <w:r w:rsidR="003234EF" w:rsidRPr="00273106">
        <w:rPr>
          <w:i/>
        </w:rPr>
        <w:t>relative</w:t>
      </w:r>
      <w:r w:rsidR="00E65DD6">
        <w:t>“</w:t>
      </w:r>
      <w:r w:rsidR="003234EF">
        <w:rPr>
          <w:rStyle w:val="addmd"/>
          <w:i/>
        </w:rPr>
        <w:fldChar w:fldCharType="begin"/>
      </w:r>
      <w:r w:rsidR="003234EF">
        <w:instrText xml:space="preserve"> XE "nutnost:</w:instrText>
      </w:r>
      <w:r w:rsidR="003234EF">
        <w:rPr>
          <w:i/>
        </w:rPr>
        <w:instrText>relative</w:instrText>
      </w:r>
      <w:r w:rsidR="003234EF">
        <w:instrText xml:space="preserve">" </w:instrText>
      </w:r>
      <w:r w:rsidR="003234EF">
        <w:rPr>
          <w:rStyle w:val="addmd"/>
          <w:i/>
        </w:rPr>
        <w:fldChar w:fldCharType="end"/>
      </w:r>
      <w:r w:rsidR="003234EF" w:rsidRPr="00273106">
        <w:t xml:space="preserve">. Nebo ji bereme v modu logické abstrakce a pak platí </w:t>
      </w:r>
      <w:r w:rsidR="00E65DD6">
        <w:t>v modu zvaném „</w:t>
      </w:r>
      <w:r w:rsidR="003234EF" w:rsidRPr="00273106">
        <w:rPr>
          <w:i/>
        </w:rPr>
        <w:t>absolute</w:t>
      </w:r>
      <w:r w:rsidR="00E65DD6">
        <w:t>“</w:t>
      </w:r>
      <w:r w:rsidR="003234EF">
        <w:rPr>
          <w:rStyle w:val="addmd"/>
          <w:i/>
        </w:rPr>
        <w:fldChar w:fldCharType="begin"/>
      </w:r>
      <w:r w:rsidR="003234EF">
        <w:instrText xml:space="preserve"> XE "nutnost:</w:instrText>
      </w:r>
      <w:r w:rsidR="003234EF" w:rsidRPr="00960DFD">
        <w:rPr>
          <w:i/>
        </w:rPr>
        <w:instrText>absolute</w:instrText>
      </w:r>
      <w:r w:rsidR="003234EF">
        <w:instrText xml:space="preserve">" </w:instrText>
      </w:r>
      <w:r w:rsidR="003234EF">
        <w:rPr>
          <w:rStyle w:val="addmd"/>
          <w:i/>
        </w:rPr>
        <w:fldChar w:fldCharType="end"/>
      </w:r>
      <w:r w:rsidR="003234EF" w:rsidRPr="00273106">
        <w:t>.</w:t>
      </w:r>
      <w:r w:rsidR="003234EF">
        <w:t xml:space="preserve"> </w:t>
      </w:r>
      <w:r w:rsidR="00CF6B40">
        <w:t xml:space="preserve">Metafyzický </w:t>
      </w:r>
      <w:r w:rsidR="00CF6B40" w:rsidRPr="00273106">
        <w:t>modus nutnosti vázaný na e</w:t>
      </w:r>
      <w:r w:rsidR="082A0A08">
        <w:t xml:space="preserve">xistující věc byl označen jako relativní a </w:t>
      </w:r>
      <w:r w:rsidR="00CF6B40" w:rsidRPr="00273106">
        <w:t xml:space="preserve">tedy vztažený k </w:t>
      </w:r>
      <w:r w:rsidR="00CF6B40">
        <w:t xml:space="preserve">reálné </w:t>
      </w:r>
      <w:r w:rsidR="00CF6B40" w:rsidRPr="00273106">
        <w:t xml:space="preserve">věci </w:t>
      </w:r>
      <w:r w:rsidR="00CF6B40">
        <w:t xml:space="preserve">mimo nás </w:t>
      </w:r>
      <w:r w:rsidR="00CF6B40" w:rsidRPr="00273106">
        <w:t>(</w:t>
      </w:r>
      <w:r w:rsidR="00CF6B40" w:rsidRPr="00273106">
        <w:rPr>
          <w:i/>
          <w:szCs w:val="19"/>
        </w:rPr>
        <w:t>respective</w:t>
      </w:r>
      <w:r w:rsidR="00CF6B40" w:rsidRPr="00273106">
        <w:t xml:space="preserve">). </w:t>
      </w:r>
      <w:r w:rsidR="00CF6B40">
        <w:t>Tím byl potvrzen Abelardův primát hyparchické kategoriální predikace (</w:t>
      </w:r>
      <w:r w:rsidR="00CF6B40" w:rsidRPr="00CF6B40">
        <w:rPr>
          <w:i/>
        </w:rPr>
        <w:t>enuntiatio</w:t>
      </w:r>
      <w:r w:rsidR="0834011D">
        <w:t xml:space="preserve">) nutné k zajištění pravdy ve vědeckém </w:t>
      </w:r>
      <w:r w:rsidR="00CF6B40">
        <w:t>soudu (</w:t>
      </w:r>
      <w:r w:rsidR="00CF6B40" w:rsidRPr="00CF6B40">
        <w:rPr>
          <w:i/>
        </w:rPr>
        <w:t>demonstratio</w:t>
      </w:r>
      <w:r w:rsidR="00CF6B40">
        <w:t xml:space="preserve">). </w:t>
      </w:r>
      <w:r w:rsidR="08AE639D">
        <w:t>Protože substanciálně existuje Sokrates, tak akcidentálně sedí</w:t>
      </w:r>
      <w:r w:rsidR="08D940AE">
        <w:t>,</w:t>
      </w:r>
      <w:r w:rsidR="08AE639D">
        <w:t xml:space="preserve"> a my o tom</w:t>
      </w:r>
      <w:r w:rsidR="08D940AE">
        <w:t>to reálném stavu věcí</w:t>
      </w:r>
      <w:r w:rsidR="08AE639D">
        <w:t xml:space="preserve"> můžeme metafyzicky univočně vypovídat</w:t>
      </w:r>
      <w:r w:rsidR="08D940AE">
        <w:t xml:space="preserve"> v modu nutnosti dané </w:t>
      </w:r>
      <w:r w:rsidR="08D940AE" w:rsidRPr="08C13A95">
        <w:rPr>
          <w:i/>
        </w:rPr>
        <w:t>relative</w:t>
      </w:r>
      <w:r w:rsidR="08AE639D">
        <w:t xml:space="preserve">. </w:t>
      </w:r>
      <w:r w:rsidR="00CF6B40" w:rsidRPr="00273106">
        <w:t>Modus nutnosti v rámci logické abstrakce dané jako význam oddělený od existuj</w:t>
      </w:r>
      <w:r w:rsidR="082A0A08">
        <w:t>ícího jsoucna byl označen jako oddělený</w:t>
      </w:r>
      <w:r w:rsidR="00CF6B40" w:rsidRPr="00273106">
        <w:t xml:space="preserve"> (</w:t>
      </w:r>
      <w:r w:rsidR="00CF6B40" w:rsidRPr="00273106">
        <w:rPr>
          <w:i/>
        </w:rPr>
        <w:t>absolute</w:t>
      </w:r>
      <w:r w:rsidR="00CF6B40">
        <w:rPr>
          <w:rStyle w:val="addmd"/>
          <w:i/>
        </w:rPr>
        <w:fldChar w:fldCharType="begin"/>
      </w:r>
      <w:r w:rsidR="00CF6B40">
        <w:instrText xml:space="preserve"> XE "predikace</w:instrText>
      </w:r>
      <w:r w:rsidR="00CF6B40" w:rsidRPr="002A5D70">
        <w:instrText>:</w:instrText>
      </w:r>
      <w:r w:rsidR="00CF6B40">
        <w:instrText xml:space="preserve">modus </w:instrText>
      </w:r>
      <w:r w:rsidR="00CF6B40" w:rsidRPr="008D23BF">
        <w:rPr>
          <w:i/>
        </w:rPr>
        <w:instrText>absolute</w:instrText>
      </w:r>
      <w:r w:rsidR="00CF6B40">
        <w:instrText xml:space="preserve">" </w:instrText>
      </w:r>
      <w:r w:rsidR="00CF6B40">
        <w:rPr>
          <w:rStyle w:val="addmd"/>
          <w:i/>
        </w:rPr>
        <w:fldChar w:fldCharType="end"/>
      </w:r>
      <w:r w:rsidR="00CF6B40" w:rsidRPr="00273106">
        <w:t xml:space="preserve">). Absolutní forma nutnosti stála sama o sobě v rámci oddělené logické abstrakce, zatímco relativní forma se vztahovala k existujícímu stavu věcí ve světě. </w:t>
      </w:r>
      <w:r>
        <w:t>Logika nemusí sledovat tuto cestu, protože pracuje v jiném modu abstrakce, ale musí o tom kriticky vědět. Logika bez metafyziky je slepá</w:t>
      </w:r>
      <w:r w:rsidR="00CF4C1E">
        <w:t xml:space="preserve">, ale je logicky </w:t>
      </w:r>
      <w:r w:rsidR="00CF4C1E">
        <w:lastRenderedPageBreak/>
        <w:t>pravdivá. Tím je shrnuta tragédie paranoické moderny v jedné větě.</w:t>
      </w:r>
      <w:r>
        <w:t xml:space="preserve"> </w:t>
      </w:r>
      <w:r w:rsidR="00CF6B40" w:rsidRPr="00273106">
        <w:t xml:space="preserve">Znovu je dodrženo dvojí pojetí hyparchické predikace dané dvojím </w:t>
      </w:r>
      <w:r w:rsidR="00892F10">
        <w:t xml:space="preserve">modem </w:t>
      </w:r>
      <w:r w:rsidR="00CF6B40" w:rsidRPr="00273106">
        <w:rPr>
          <w:i/>
        </w:rPr>
        <w:t>simpliciter</w:t>
      </w:r>
      <w:r w:rsidR="00CF6B40" w:rsidRPr="00273106">
        <w:t xml:space="preserve"> </w:t>
      </w:r>
      <w:r w:rsidR="00892F10">
        <w:t xml:space="preserve">ohledně </w:t>
      </w:r>
      <w:r w:rsidR="00892F10" w:rsidRPr="00273106">
        <w:t xml:space="preserve">reálné </w:t>
      </w:r>
      <w:r w:rsidR="00CF6B40">
        <w:rPr>
          <w:rStyle w:val="addmd"/>
          <w:i/>
        </w:rPr>
        <w:fldChar w:fldCharType="begin"/>
      </w:r>
      <w:r w:rsidR="00CF6B40">
        <w:instrText xml:space="preserve"> XE "predikace</w:instrText>
      </w:r>
      <w:r w:rsidR="00CF6B40" w:rsidRPr="002A5D70">
        <w:instrText>:</w:instrText>
      </w:r>
      <w:r w:rsidR="00CF6B40">
        <w:instrText xml:space="preserve">modus </w:instrText>
      </w:r>
      <w:r w:rsidR="00CF6B40">
        <w:rPr>
          <w:i/>
        </w:rPr>
        <w:instrText>simpliciter</w:instrText>
      </w:r>
      <w:r w:rsidR="00CF6B40">
        <w:instrText xml:space="preserve">" </w:instrText>
      </w:r>
      <w:r w:rsidR="00CF6B40">
        <w:rPr>
          <w:rStyle w:val="addmd"/>
          <w:i/>
        </w:rPr>
        <w:fldChar w:fldCharType="end"/>
      </w:r>
      <w:r w:rsidR="00CF6B40" w:rsidRPr="00273106">
        <w:t>substance a abstrahované</w:t>
      </w:r>
      <w:r w:rsidR="00892F10">
        <w:t xml:space="preserve"> esence</w:t>
      </w:r>
      <w:r w:rsidR="00CF6B40" w:rsidRPr="00273106">
        <w:t xml:space="preserve">. </w:t>
      </w:r>
      <w:r w:rsidR="005C4940" w:rsidRPr="00273106">
        <w:t xml:space="preserve">Uvnitř logických škol odchovaných klasickým aristotelismem formalizace nebyla problémem, </w:t>
      </w:r>
      <w:r w:rsidR="005C4940">
        <w:t>protože chápaly</w:t>
      </w:r>
      <w:r w:rsidR="005C4940" w:rsidRPr="00273106">
        <w:t xml:space="preserve"> rozdíl mezi oběma mody </w:t>
      </w:r>
      <w:r w:rsidR="005C4940">
        <w:t xml:space="preserve">metafyzické a logické </w:t>
      </w:r>
      <w:r w:rsidR="005C4940" w:rsidRPr="00273106">
        <w:t>nutnosti (</w:t>
      </w:r>
      <w:r w:rsidR="005C4940" w:rsidRPr="00273106">
        <w:rPr>
          <w:i/>
        </w:rPr>
        <w:t>relative</w:t>
      </w:r>
      <w:r w:rsidR="003F6CAB">
        <w:t>–</w:t>
      </w:r>
      <w:r w:rsidR="005C4940" w:rsidRPr="00273106">
        <w:rPr>
          <w:i/>
        </w:rPr>
        <w:t>absolute</w:t>
      </w:r>
      <w:r w:rsidR="005C4940" w:rsidRPr="00273106">
        <w:t>) a mezi jejich modalitou danou vzhledem k</w:t>
      </w:r>
      <w:r w:rsidR="00E43405">
        <w:t xml:space="preserve"> akcidenciální </w:t>
      </w:r>
      <w:r w:rsidR="005C4940" w:rsidRPr="00273106">
        <w:t xml:space="preserve">nebo </w:t>
      </w:r>
      <w:r w:rsidR="00E43405">
        <w:t xml:space="preserve">substanční </w:t>
      </w:r>
      <w:r w:rsidR="005C4940" w:rsidRPr="00273106">
        <w:t>formě této nutnosti (</w:t>
      </w:r>
      <w:r w:rsidR="005C4940" w:rsidRPr="00273106">
        <w:rPr>
          <w:i/>
        </w:rPr>
        <w:t>per accidens</w:t>
      </w:r>
      <w:r w:rsidR="003F6CAB">
        <w:t>–</w:t>
      </w:r>
      <w:r w:rsidR="005C4940" w:rsidRPr="00273106">
        <w:rPr>
          <w:i/>
        </w:rPr>
        <w:t>per se</w:t>
      </w:r>
      <w:r w:rsidR="00E43405">
        <w:t xml:space="preserve">). Poslední rovina musela rozlišit o jsou substanci jde (materiální a proměnlivá, nemateriální a trvalá). V případě akcidentu se musela přidat časová určení daná jako přítomnost nebo minulost (Sokrates sedí nyní nebo v minulosti). </w:t>
      </w:r>
      <w:r w:rsidR="005C4940" w:rsidRPr="00273106">
        <w:t xml:space="preserve">V rámci logické abstrakce jsoucna dané </w:t>
      </w:r>
      <w:r w:rsidR="005C4940" w:rsidRPr="00273106">
        <w:rPr>
          <w:i/>
        </w:rPr>
        <w:t>absolute</w:t>
      </w:r>
      <w:r w:rsidR="005C4940" w:rsidRPr="00273106">
        <w:t xml:space="preserve"> </w:t>
      </w:r>
      <w:r w:rsidR="005C4940">
        <w:rPr>
          <w:rStyle w:val="addmd"/>
          <w:i/>
        </w:rPr>
        <w:fldChar w:fldCharType="begin"/>
      </w:r>
      <w:r w:rsidR="005C4940">
        <w:instrText xml:space="preserve"> XE "nutnost:</w:instrText>
      </w:r>
      <w:r w:rsidR="005C4940" w:rsidRPr="008D23BF">
        <w:rPr>
          <w:i/>
        </w:rPr>
        <w:instrText>absolute</w:instrText>
      </w:r>
      <w:r w:rsidR="005C4940">
        <w:instrText xml:space="preserve">" </w:instrText>
      </w:r>
      <w:r w:rsidR="005C4940">
        <w:rPr>
          <w:rStyle w:val="addmd"/>
          <w:i/>
        </w:rPr>
        <w:fldChar w:fldCharType="end"/>
      </w:r>
      <w:r w:rsidR="005C4940" w:rsidRPr="00273106">
        <w:t xml:space="preserve">se převedla </w:t>
      </w:r>
      <w:r w:rsidR="005C4940">
        <w:t xml:space="preserve">metafyzická </w:t>
      </w:r>
      <w:r w:rsidR="005C4940" w:rsidRPr="00273106">
        <w:t xml:space="preserve">nutnost existence věci na její formální ekvivalent, který abstrahoval od vztahu k reálně existující věci. </w:t>
      </w:r>
      <w:r w:rsidR="005C4940">
        <w:t>Pak zmizela impozice od reálné první substanci a zůstala čistá supozice. Logická abstrakce mohla zrušit hyparchickou impozici a pracovat pouze v modu univoční logické supozice. Pak je mrtvola člověkem</w:t>
      </w:r>
      <w:r w:rsidR="005C4940">
        <w:rPr>
          <w:i/>
        </w:rPr>
        <w:fldChar w:fldCharType="begin"/>
      </w:r>
      <w:r w:rsidR="005C4940">
        <w:instrText xml:space="preserve"> XE "sofisma člověk-mrtvola" </w:instrText>
      </w:r>
      <w:r w:rsidR="005C4940">
        <w:rPr>
          <w:i/>
        </w:rPr>
        <w:fldChar w:fldCharType="end"/>
      </w:r>
      <w:r w:rsidR="005C4940">
        <w:t xml:space="preserve">, </w:t>
      </w:r>
      <w:r w:rsidR="080B0C5D">
        <w:t xml:space="preserve">což ale </w:t>
      </w:r>
      <w:r w:rsidR="005C4940">
        <w:t xml:space="preserve">platí pouze v rámci logické abstrakce, a  ne metafyzické. </w:t>
      </w:r>
      <w:r w:rsidR="005C4940" w:rsidRPr="00273106">
        <w:t xml:space="preserve">Druhý averroismus zahájený školou Grossetesteho </w:t>
      </w:r>
      <w:r w:rsidR="08EF0A3A">
        <w:t>změnil</w:t>
      </w:r>
      <w:r w:rsidR="005C4940" w:rsidRPr="00273106">
        <w:t xml:space="preserve"> logiku porretánů na novou metafyziku.</w:t>
      </w:r>
      <w:r w:rsidR="005C4940">
        <w:t xml:space="preserve"> </w:t>
      </w:r>
      <w:r w:rsidR="081B501E" w:rsidRPr="00273106">
        <w:t xml:space="preserve">Modernisté nastolili </w:t>
      </w:r>
      <w:r w:rsidR="081B501E">
        <w:t xml:space="preserve">logickou verzi </w:t>
      </w:r>
      <w:r w:rsidR="081B501E" w:rsidRPr="00273106">
        <w:rPr>
          <w:i/>
        </w:rPr>
        <w:t>Oxfordian Fallacy</w:t>
      </w:r>
      <w:r w:rsidR="081B501E">
        <w:rPr>
          <w:i/>
        </w:rPr>
        <w:fldChar w:fldCharType="begin"/>
      </w:r>
      <w:r w:rsidR="081B501E">
        <w:instrText xml:space="preserve"> XE "</w:instrText>
      </w:r>
      <w:r w:rsidR="081B501E" w:rsidRPr="0015798D">
        <w:rPr>
          <w:i/>
        </w:rPr>
        <w:instrText>Oxfordian Fallacy:</w:instrText>
      </w:r>
      <w:r w:rsidR="081B501E">
        <w:instrText xml:space="preserve">moderní logika" </w:instrText>
      </w:r>
      <w:r w:rsidR="081B501E">
        <w:rPr>
          <w:i/>
        </w:rPr>
        <w:fldChar w:fldCharType="end"/>
      </w:r>
      <w:r w:rsidR="081B501E" w:rsidRPr="00273106">
        <w:t xml:space="preserve"> tím, že zaměnili třetí krok poznání existence na postulaci trvalé esence</w:t>
      </w:r>
      <w:r w:rsidR="08EF449F">
        <w:t xml:space="preserve">. To byl </w:t>
      </w:r>
      <w:r w:rsidR="081B501E" w:rsidRPr="00273106">
        <w:t xml:space="preserve">pro </w:t>
      </w:r>
      <w:r w:rsidR="081B501E" w:rsidRPr="00926008">
        <w:rPr>
          <w:i/>
        </w:rPr>
        <w:t>Druhé analytiky</w:t>
      </w:r>
      <w:r w:rsidR="081B501E" w:rsidRPr="00273106">
        <w:t xml:space="preserve"> až </w:t>
      </w:r>
      <w:r w:rsidR="081B501E">
        <w:t xml:space="preserve">sekundární </w:t>
      </w:r>
      <w:r w:rsidR="081B501E" w:rsidRPr="00273106">
        <w:t>krok poznání. Viz rozbor v mi</w:t>
      </w:r>
      <w:r w:rsidR="081B501E">
        <w:t xml:space="preserve">nulé kapitole a spor o princip </w:t>
      </w:r>
      <w:r w:rsidR="08D91F67">
        <w:t xml:space="preserve">ex </w:t>
      </w:r>
      <w:r w:rsidR="08D91F67">
        <w:rPr>
          <w:i/>
        </w:rPr>
        <w:t>inmediatis</w:t>
      </w:r>
      <w:r w:rsidR="081B501E" w:rsidRPr="005D783F">
        <w:t xml:space="preserve"> </w:t>
      </w:r>
      <w:r w:rsidR="081B501E">
        <w:fldChar w:fldCharType="begin"/>
      </w:r>
      <w:r w:rsidR="081B501E">
        <w:instrText xml:space="preserve"> XE "princip </w:instrText>
      </w:r>
      <w:r w:rsidR="08D91F67">
        <w:rPr>
          <w:i/>
        </w:rPr>
        <w:instrText>ex in</w:instrText>
      </w:r>
      <w:r w:rsidR="081B501E" w:rsidRPr="005D783F">
        <w:rPr>
          <w:i/>
        </w:rPr>
        <w:instrText>mediatis</w:instrText>
      </w:r>
      <w:r w:rsidR="081B501E">
        <w:instrText xml:space="preserve">" </w:instrText>
      </w:r>
      <w:r w:rsidR="081B501E">
        <w:fldChar w:fldCharType="end"/>
      </w:r>
      <w:r w:rsidR="08EF449F">
        <w:t xml:space="preserve"> u Alberta (kap. 2</w:t>
      </w:r>
      <w:r w:rsidR="081B501E" w:rsidRPr="00273106">
        <w:t xml:space="preserve">.4.1) </w:t>
      </w:r>
      <w:r w:rsidR="08EF449F">
        <w:t>a následně u Kilwardbyho (kap. 3</w:t>
      </w:r>
      <w:r w:rsidR="081B501E" w:rsidRPr="00273106">
        <w:t>.4.1).</w:t>
      </w:r>
      <w:r w:rsidR="081B501E">
        <w:t xml:space="preserve"> </w:t>
      </w:r>
      <w:r w:rsidR="008C0C34">
        <w:t xml:space="preserve">Školy </w:t>
      </w:r>
      <w:r w:rsidR="008C0C34" w:rsidRPr="008C0C34">
        <w:rPr>
          <w:i/>
        </w:rPr>
        <w:t>logica Modernorum</w:t>
      </w:r>
      <w:r w:rsidR="008C0C34">
        <w:t xml:space="preserve"> </w:t>
      </w:r>
      <w:r w:rsidR="00B76102">
        <w:t xml:space="preserve">prošly transformací </w:t>
      </w:r>
      <w:r w:rsidR="087A5E58" w:rsidRPr="087A5E58">
        <w:t>v letech 1230–50</w:t>
      </w:r>
      <w:r w:rsidR="00956428">
        <w:rPr>
          <w:i/>
        </w:rPr>
        <w:fldChar w:fldCharType="begin"/>
      </w:r>
      <w:r w:rsidR="00956428">
        <w:instrText xml:space="preserve"> XE "</w:instrText>
      </w:r>
      <w:r w:rsidR="00956428" w:rsidRPr="00793D2A">
        <w:rPr>
          <w:i/>
        </w:rPr>
        <w:instrText>Aufhebung</w:instrText>
      </w:r>
      <w:r w:rsidR="00956428">
        <w:instrText xml:space="preserve">" </w:instrText>
      </w:r>
      <w:r w:rsidR="00956428">
        <w:rPr>
          <w:i/>
        </w:rPr>
        <w:fldChar w:fldCharType="end"/>
      </w:r>
      <w:r w:rsidR="08EF0A3A">
        <w:t xml:space="preserve">. </w:t>
      </w:r>
      <w:r w:rsidR="087A5E58">
        <w:t xml:space="preserve">Avicennisté </w:t>
      </w:r>
      <w:r w:rsidR="08EF0A3A">
        <w:t>Toledské školy</w:t>
      </w:r>
      <w:r w:rsidR="084923EB">
        <w:fldChar w:fldCharType="begin"/>
      </w:r>
      <w:r w:rsidR="084923EB">
        <w:instrText xml:space="preserve"> XE "Toledská škola" </w:instrText>
      </w:r>
      <w:r w:rsidR="084923EB">
        <w:fldChar w:fldCharType="end"/>
      </w:r>
      <w:r w:rsidR="08EF0A3A">
        <w:t xml:space="preserve"> naroubovali </w:t>
      </w:r>
      <w:r w:rsidR="087A5E58">
        <w:t xml:space="preserve">nauku </w:t>
      </w:r>
      <w:r w:rsidR="08EF0A3A">
        <w:t xml:space="preserve">škol </w:t>
      </w:r>
      <w:r w:rsidR="08EF0A3A" w:rsidRPr="08EF0A3A">
        <w:rPr>
          <w:i/>
        </w:rPr>
        <w:t>Nominales</w:t>
      </w:r>
      <w:r w:rsidR="08EF0A3A">
        <w:t xml:space="preserve"> </w:t>
      </w:r>
      <w:r w:rsidR="008C0C34">
        <w:t xml:space="preserve">na nový status pravdy, vědeckého poznání a kategoriální predikace. </w:t>
      </w:r>
      <w:r w:rsidR="084F4596" w:rsidRPr="00273106">
        <w:t xml:space="preserve">Viz </w:t>
      </w:r>
      <w:r w:rsidR="084F4596">
        <w:t xml:space="preserve">citovaný a hojně debatovaný </w:t>
      </w:r>
      <w:r w:rsidR="084F4596" w:rsidRPr="00273106">
        <w:t xml:space="preserve">příklad pravdy v </w:t>
      </w:r>
      <w:r w:rsidR="084F4596">
        <w:t xml:space="preserve">porretánském </w:t>
      </w:r>
      <w:r w:rsidR="084F4596" w:rsidRPr="00273106">
        <w:t xml:space="preserve">modu </w:t>
      </w:r>
      <w:r w:rsidR="084F4596">
        <w:t xml:space="preserve">pravdy v modu </w:t>
      </w:r>
      <w:r w:rsidR="084F4596" w:rsidRPr="00273106">
        <w:rPr>
          <w:i/>
        </w:rPr>
        <w:t>semel</w:t>
      </w:r>
      <w:r w:rsidR="084F4596">
        <w:rPr>
          <w:i/>
        </w:rPr>
        <w:fldChar w:fldCharType="begin"/>
      </w:r>
      <w:r w:rsidR="084F4596">
        <w:instrText xml:space="preserve"> XE "</w:instrText>
      </w:r>
      <w:r w:rsidR="084F4596" w:rsidRPr="00821C09">
        <w:rPr>
          <w:rStyle w:val="FontStyle129"/>
          <w:rFonts w:ascii="Calibri" w:hAnsi="Calibri"/>
          <w:sz w:val="24"/>
        </w:rPr>
        <w:instrText>pravda</w:instrText>
      </w:r>
      <w:r w:rsidR="084F4596" w:rsidRPr="00814674">
        <w:rPr>
          <w:rStyle w:val="FontStyle129"/>
          <w:rFonts w:ascii="Calibri" w:hAnsi="Calibri"/>
          <w:i/>
          <w:sz w:val="24"/>
        </w:rPr>
        <w:instrText>:</w:instrText>
      </w:r>
      <w:r w:rsidR="084F4596">
        <w:rPr>
          <w:i/>
        </w:rPr>
        <w:instrText>semel‒semper</w:instrText>
      </w:r>
      <w:r w:rsidR="084F4596">
        <w:instrText xml:space="preserve">" </w:instrText>
      </w:r>
      <w:r w:rsidR="084F4596">
        <w:rPr>
          <w:i/>
        </w:rPr>
        <w:fldChar w:fldCharType="end"/>
      </w:r>
      <w:r w:rsidR="084F4596">
        <w:t>‒</w:t>
      </w:r>
      <w:r w:rsidR="084F4596" w:rsidRPr="00273106">
        <w:rPr>
          <w:i/>
        </w:rPr>
        <w:t>semper</w:t>
      </w:r>
      <w:r w:rsidR="084F4596" w:rsidRPr="00273106">
        <w:t xml:space="preserve"> v</w:t>
      </w:r>
      <w:r w:rsidR="084F4596">
        <w:t xml:space="preserve">ztaženému k bohu jako </w:t>
      </w:r>
      <w:r w:rsidR="084F4596" w:rsidRPr="08064897">
        <w:rPr>
          <w:i/>
        </w:rPr>
        <w:t>summa veritas</w:t>
      </w:r>
      <w:r w:rsidR="084F4596" w:rsidRPr="00273106">
        <w:t xml:space="preserve">. </w:t>
      </w:r>
      <w:r w:rsidR="08113A9D">
        <w:t>Moderní logika přestala</w:t>
      </w:r>
      <w:r w:rsidR="008C0C34">
        <w:t xml:space="preserve"> rozlišovat mezi logickou fikcí danou esenciálně a </w:t>
      </w:r>
      <w:r w:rsidR="005C70FB">
        <w:t xml:space="preserve">mezi </w:t>
      </w:r>
      <w:r w:rsidR="00473418">
        <w:t xml:space="preserve">hyparchickou </w:t>
      </w:r>
      <w:r w:rsidR="008C0C34">
        <w:t xml:space="preserve">realitou </w:t>
      </w:r>
      <w:r w:rsidR="00473418">
        <w:t>predikovanou skrze metafyziku</w:t>
      </w:r>
      <w:r w:rsidR="087C4C30">
        <w:t>.</w:t>
      </w:r>
      <w:r w:rsidR="00035B00">
        <w:t xml:space="preserve"> </w:t>
      </w:r>
      <w:r w:rsidR="00F15343">
        <w:t xml:space="preserve">Pokud </w:t>
      </w:r>
      <w:r w:rsidR="00F15343">
        <w:rPr>
          <w:szCs w:val="24"/>
        </w:rPr>
        <w:t xml:space="preserve">parafrázujeme </w:t>
      </w:r>
      <w:r w:rsidR="00342A7A">
        <w:rPr>
          <w:szCs w:val="24"/>
        </w:rPr>
        <w:t>Goetheho kla</w:t>
      </w:r>
      <w:r w:rsidR="00035B00">
        <w:rPr>
          <w:szCs w:val="24"/>
        </w:rPr>
        <w:t xml:space="preserve">sický výrok </w:t>
      </w:r>
      <w:r w:rsidR="00035B00" w:rsidRPr="00035B00">
        <w:t xml:space="preserve">„Dichtung </w:t>
      </w:r>
      <w:r w:rsidR="00035B00" w:rsidRPr="00035B00">
        <w:rPr>
          <w:i/>
        </w:rPr>
        <w:t>und</w:t>
      </w:r>
      <w:r w:rsidR="00035B00" w:rsidRPr="00035B00">
        <w:t xml:space="preserve"> Wahr</w:t>
      </w:r>
      <w:r w:rsidR="00C8583D">
        <w:t>h</w:t>
      </w:r>
      <w:r w:rsidR="00035B00" w:rsidRPr="00035B00">
        <w:t>eit“</w:t>
      </w:r>
      <w:r w:rsidR="00F15343">
        <w:t xml:space="preserve">, pak </w:t>
      </w:r>
      <w:r w:rsidR="00035B00">
        <w:rPr>
          <w:szCs w:val="24"/>
        </w:rPr>
        <w:t>moderní myto</w:t>
      </w:r>
      <w:r w:rsidR="00B97164">
        <w:rPr>
          <w:szCs w:val="24"/>
        </w:rPr>
        <w:t xml:space="preserve">logická </w:t>
      </w:r>
      <w:r w:rsidR="00035B00">
        <w:rPr>
          <w:szCs w:val="24"/>
        </w:rPr>
        <w:t xml:space="preserve">metafyzika </w:t>
      </w:r>
      <w:r w:rsidR="00F15343">
        <w:rPr>
          <w:szCs w:val="24"/>
        </w:rPr>
        <w:t xml:space="preserve">je </w:t>
      </w:r>
      <w:r w:rsidR="00035B00">
        <w:rPr>
          <w:szCs w:val="24"/>
        </w:rPr>
        <w:t>založená na jsoucnu třetího druhu</w:t>
      </w:r>
      <w:r w:rsidR="00B97164">
        <w:rPr>
          <w:szCs w:val="24"/>
        </w:rPr>
        <w:t xml:space="preserve"> danému</w:t>
      </w:r>
      <w:r w:rsidR="00F15343">
        <w:rPr>
          <w:szCs w:val="24"/>
        </w:rPr>
        <w:t xml:space="preserve"> jako „</w:t>
      </w:r>
      <w:r w:rsidR="00035B00" w:rsidRPr="008B6FAA">
        <w:rPr>
          <w:i/>
          <w:szCs w:val="24"/>
        </w:rPr>
        <w:t>Dichtung</w:t>
      </w:r>
      <w:r w:rsidR="00035B00">
        <w:rPr>
          <w:i/>
          <w:szCs w:val="24"/>
        </w:rPr>
        <w:t>–</w:t>
      </w:r>
      <w:r w:rsidR="00C8583D">
        <w:rPr>
          <w:i/>
          <w:szCs w:val="24"/>
        </w:rPr>
        <w:t>Wahrh</w:t>
      </w:r>
      <w:r w:rsidR="00035B00" w:rsidRPr="008B6FAA">
        <w:rPr>
          <w:i/>
          <w:szCs w:val="24"/>
        </w:rPr>
        <w:t>eit</w:t>
      </w:r>
      <w:r w:rsidR="00F15343">
        <w:rPr>
          <w:szCs w:val="24"/>
        </w:rPr>
        <w:t>“</w:t>
      </w:r>
      <w:r w:rsidR="00035B00">
        <w:rPr>
          <w:szCs w:val="24"/>
        </w:rPr>
        <w:t xml:space="preserve">. </w:t>
      </w:r>
    </w:p>
    <w:p w14:paraId="67AB191C" w14:textId="77777777" w:rsidR="005D4C04" w:rsidRDefault="08F33EE8" w:rsidP="005D4C04">
      <w:pPr>
        <w:ind w:firstLine="397"/>
      </w:pPr>
      <w:r w:rsidRPr="00273106">
        <w:t>Grosseteste je první známý autor scholastiky, kte</w:t>
      </w:r>
      <w:r w:rsidR="00A5175B">
        <w:t>rý změnil Aristotelův neurčitý status budoucích nahodilých událostí (</w:t>
      </w:r>
      <w:r w:rsidRPr="00273106">
        <w:rPr>
          <w:i/>
        </w:rPr>
        <w:t>future contingents</w:t>
      </w:r>
      <w:r w:rsidR="00A5175B">
        <w:t>)</w:t>
      </w:r>
      <w:r w:rsidR="00E55440">
        <w:rPr>
          <w:i/>
        </w:rPr>
        <w:fldChar w:fldCharType="begin"/>
      </w:r>
      <w:r w:rsidR="00E55440">
        <w:instrText xml:space="preserve"> XE "</w:instrText>
      </w:r>
      <w:r w:rsidR="00F17A5E">
        <w:instrText>logika:</w:instrText>
      </w:r>
      <w:r w:rsidR="00E55440" w:rsidRPr="00DD0C81">
        <w:rPr>
          <w:i/>
        </w:rPr>
        <w:instrText>future contingents</w:instrText>
      </w:r>
      <w:r w:rsidR="00E55440">
        <w:instrText xml:space="preserve">" </w:instrText>
      </w:r>
      <w:r w:rsidR="00E55440">
        <w:rPr>
          <w:i/>
        </w:rPr>
        <w:fldChar w:fldCharType="end"/>
      </w:r>
      <w:r w:rsidRPr="00273106">
        <w:t xml:space="preserve"> na </w:t>
      </w:r>
      <w:r w:rsidR="00A5175B">
        <w:t xml:space="preserve">logicky </w:t>
      </w:r>
      <w:r w:rsidRPr="00273106">
        <w:t>určitý</w:t>
      </w:r>
      <w:r w:rsidR="08A63C9B">
        <w:t xml:space="preserve"> (Noone 1997, 26</w:t>
      </w:r>
      <w:r w:rsidR="08A63C9B" w:rsidRPr="00273106">
        <w:t>3)</w:t>
      </w:r>
      <w:r w:rsidR="00A5175B">
        <w:t xml:space="preserve">. První </w:t>
      </w:r>
      <w:r w:rsidR="08A63C9B">
        <w:t xml:space="preserve">oxfordský </w:t>
      </w:r>
      <w:r w:rsidR="00A5175B">
        <w:t xml:space="preserve">analytik </w:t>
      </w:r>
      <w:r w:rsidRPr="00273106">
        <w:t xml:space="preserve">přesadil </w:t>
      </w:r>
      <w:r w:rsidR="00A5175B" w:rsidRPr="00273106">
        <w:rPr>
          <w:i/>
        </w:rPr>
        <w:t>future contingents</w:t>
      </w:r>
      <w:r w:rsidR="00A5175B" w:rsidRPr="00273106">
        <w:t xml:space="preserve"> </w:t>
      </w:r>
      <w:r w:rsidRPr="00273106">
        <w:t xml:space="preserve">do </w:t>
      </w:r>
      <w:r w:rsidRPr="00273106">
        <w:lastRenderedPageBreak/>
        <w:t>horizontu eschatologie a metafyziky dané teologickou spekulací o nutném přích</w:t>
      </w:r>
      <w:r w:rsidR="005C750F">
        <w:t>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5A751D">
        <w:t xml:space="preserve">. </w:t>
      </w:r>
      <w:r w:rsidR="00946FC8" w:rsidRPr="00946FC8">
        <w:t xml:space="preserve">Eschatologie nabídla oxfordským analytickým logikům možnost definitivně stanovit logický význam </w:t>
      </w:r>
      <w:r w:rsidR="005A751D">
        <w:t xml:space="preserve">v </w:t>
      </w:r>
      <w:r w:rsidR="00946FC8" w:rsidRPr="00946FC8">
        <w:t>eschatologické</w:t>
      </w:r>
      <w:r w:rsidR="005A751D">
        <w:t>m</w:t>
      </w:r>
      <w:r w:rsidR="00946FC8" w:rsidRPr="00946FC8">
        <w:t xml:space="preserve"> modu </w:t>
      </w:r>
      <w:r w:rsidR="00946FC8" w:rsidRPr="005A751D">
        <w:rPr>
          <w:i/>
        </w:rPr>
        <w:t>de fine</w:t>
      </w:r>
      <w:r w:rsidR="00946FC8" w:rsidRPr="00946FC8">
        <w:t xml:space="preserve">, který zajišťuje predikaci budoucích kontingentních událostí. Primát božské esence a pravdy nad kontingentní existencí vede k rozlišení nutnosti a možnosti, které klasická </w:t>
      </w:r>
      <w:r w:rsidR="005A751D">
        <w:t xml:space="preserve">logika chápe v modu </w:t>
      </w:r>
      <w:r w:rsidR="005A751D" w:rsidRPr="005A751D">
        <w:rPr>
          <w:i/>
        </w:rPr>
        <w:t>absolute</w:t>
      </w:r>
      <w:r w:rsidR="005A751D">
        <w:t xml:space="preserve">. Modus </w:t>
      </w:r>
      <w:r w:rsidR="005A751D" w:rsidRPr="005A751D">
        <w:rPr>
          <w:i/>
        </w:rPr>
        <w:t>relative</w:t>
      </w:r>
      <w:r w:rsidR="00946FC8" w:rsidRPr="00946FC8">
        <w:t xml:space="preserve"> se </w:t>
      </w:r>
      <w:r w:rsidR="005A751D">
        <w:t xml:space="preserve">nyní </w:t>
      </w:r>
      <w:r w:rsidR="00946FC8" w:rsidRPr="00946FC8">
        <w:t>nevztahuje k první substanci, ale k věčné esenci, která je cháp</w:t>
      </w:r>
      <w:r w:rsidR="005A751D">
        <w:t>ána jako věčná pravda ve formě „</w:t>
      </w:r>
      <w:r w:rsidR="005A751D" w:rsidRPr="005A751D">
        <w:rPr>
          <w:i/>
        </w:rPr>
        <w:t>semel–semper</w:t>
      </w:r>
      <w:r w:rsidR="005A751D">
        <w:rPr>
          <w:i/>
        </w:rPr>
        <w:fldChar w:fldCharType="begin"/>
      </w:r>
      <w:r w:rsidR="005A751D">
        <w:instrText xml:space="preserve"> XE "</w:instrText>
      </w:r>
      <w:r w:rsidR="005A751D" w:rsidRPr="00BA1645">
        <w:rPr>
          <w:i/>
        </w:rPr>
        <w:instrText>semel–semper</w:instrText>
      </w:r>
      <w:r w:rsidR="005A751D">
        <w:instrText xml:space="preserve">" </w:instrText>
      </w:r>
      <w:r w:rsidR="005A751D">
        <w:rPr>
          <w:i/>
        </w:rPr>
        <w:fldChar w:fldCharType="end"/>
      </w:r>
      <w:r w:rsidR="005A751D">
        <w:t>“</w:t>
      </w:r>
      <w:r w:rsidR="00946FC8" w:rsidRPr="00946FC8">
        <w:t>. Esence tvořená logickou n</w:t>
      </w:r>
      <w:r w:rsidR="005A751D">
        <w:t>utností se nyní vztahuje univočně</w:t>
      </w:r>
      <w:r w:rsidR="00946FC8" w:rsidRPr="00946FC8">
        <w:t xml:space="preserve"> na metaf</w:t>
      </w:r>
      <w:r w:rsidR="00152BAF">
        <w:t xml:space="preserve">yzickou nutnost a tato mytologická logika může </w:t>
      </w:r>
      <w:r w:rsidR="00366106">
        <w:t xml:space="preserve">určovat </w:t>
      </w:r>
      <w:r w:rsidR="00152BAF">
        <w:t>i budoucí kontingentní události</w:t>
      </w:r>
      <w:r w:rsidR="00946FC8" w:rsidRPr="00946FC8">
        <w:t xml:space="preserve">. Moderní ilumináti považují každou kontingenci v minulosti i v budoucnosti za aspekty </w:t>
      </w:r>
      <w:r w:rsidR="00366106">
        <w:t>formálně předurčené pravdy a omylu</w:t>
      </w:r>
      <w:r w:rsidR="00946FC8" w:rsidRPr="00946FC8">
        <w:t xml:space="preserve">, což je dovršeno v postmoderní Leibnizově logice. Devalvace principu </w:t>
      </w:r>
      <w:r w:rsidR="00946FC8" w:rsidRPr="00C455E0">
        <w:rPr>
          <w:i/>
        </w:rPr>
        <w:t>ex inmediatis</w:t>
      </w:r>
      <w:r w:rsidR="00946FC8" w:rsidRPr="00946FC8">
        <w:t xml:space="preserve"> na formální princip logiky je evidentní. Metafyzická nutnost je </w:t>
      </w:r>
      <w:r w:rsidR="00C8048C">
        <w:t xml:space="preserve">vyvedena </w:t>
      </w:r>
      <w:r w:rsidR="00946FC8" w:rsidRPr="00946FC8">
        <w:t>z hyparchické existence první substance (</w:t>
      </w:r>
      <w:r w:rsidR="00946FC8" w:rsidRPr="00C8048C">
        <w:rPr>
          <w:i/>
        </w:rPr>
        <w:t>deducere</w:t>
      </w:r>
      <w:r w:rsidR="00946FC8">
        <w:fldChar w:fldCharType="begin"/>
      </w:r>
      <w:r w:rsidR="00946FC8">
        <w:instrText xml:space="preserve"> XE "</w:instrText>
      </w:r>
      <w:r w:rsidR="00946FC8" w:rsidRPr="00701017">
        <w:instrText>dedukce:objektivní</w:instrText>
      </w:r>
      <w:r w:rsidR="00946FC8">
        <w:instrText xml:space="preserve">" </w:instrText>
      </w:r>
      <w:r w:rsidR="00946FC8">
        <w:fldChar w:fldCharType="end"/>
      </w:r>
      <w:r w:rsidR="00946FC8" w:rsidRPr="00946FC8">
        <w:t>), protože to, co je dáno ve skutečnosti,</w:t>
      </w:r>
      <w:r w:rsidR="005C0EB2">
        <w:t xml:space="preserve"> to</w:t>
      </w:r>
      <w:r w:rsidR="00946FC8" w:rsidRPr="00946FC8">
        <w:t xml:space="preserve"> je </w:t>
      </w:r>
      <w:r w:rsidR="005C0EB2">
        <w:t xml:space="preserve">poznáno </w:t>
      </w:r>
      <w:r w:rsidR="00946FC8" w:rsidRPr="00946FC8">
        <w:t>v myšlení. A</w:t>
      </w:r>
      <w:r w:rsidR="005C0EB2">
        <w:t>nalytická verze logiky staví na O</w:t>
      </w:r>
      <w:r w:rsidR="00946FC8" w:rsidRPr="00946FC8">
        <w:t>xfordské</w:t>
      </w:r>
      <w:r w:rsidR="005C0EB2">
        <w:t>m</w:t>
      </w:r>
      <w:r w:rsidR="00946FC8" w:rsidRPr="00946FC8">
        <w:t xml:space="preserve"> omylu. Existuje nadřazenost logických univerzálních principů poznání nad nutností vyplývající z reality, která byla zajištěna první triádou principů poznání. Moderní výklad potvrzuje kontingentní existenci v modu </w:t>
      </w:r>
      <w:r w:rsidR="00946FC8" w:rsidRPr="00681440">
        <w:rPr>
          <w:i/>
        </w:rPr>
        <w:t>per posterius</w:t>
      </w:r>
      <w:r w:rsidR="00681440">
        <w:t xml:space="preserve"> a staví ji proti věčné „formě–esenci“</w:t>
      </w:r>
      <w:r w:rsidR="00946FC8" w:rsidRPr="00946FC8">
        <w:t xml:space="preserve"> dané </w:t>
      </w:r>
      <w:r w:rsidR="00946FC8" w:rsidRPr="00681440">
        <w:rPr>
          <w:i/>
        </w:rPr>
        <w:t>per prius</w:t>
      </w:r>
      <w:r w:rsidR="00946FC8" w:rsidRPr="00946FC8">
        <w:t xml:space="preserve">. </w:t>
      </w:r>
      <w:r w:rsidR="000A5AB9">
        <w:t>V </w:t>
      </w:r>
      <w:r w:rsidR="000A5AB9" w:rsidRPr="00946FC8">
        <w:t>logice</w:t>
      </w:r>
      <w:r w:rsidR="000A5AB9">
        <w:t xml:space="preserve"> tím v</w:t>
      </w:r>
      <w:r w:rsidR="00946FC8" w:rsidRPr="00946FC8">
        <w:t xml:space="preserve">znikla nová podoba </w:t>
      </w:r>
      <w:r w:rsidR="00946FC8" w:rsidRPr="000A5AB9">
        <w:rPr>
          <w:i/>
        </w:rPr>
        <w:t>tertium ens</w:t>
      </w:r>
      <w:r w:rsidR="00946FC8" w:rsidRPr="00946FC8">
        <w:t>, která se váže na por</w:t>
      </w:r>
      <w:r w:rsidR="000A5AB9">
        <w:t>re</w:t>
      </w:r>
      <w:r w:rsidR="00946FC8" w:rsidRPr="00946FC8">
        <w:t>t</w:t>
      </w:r>
      <w:r w:rsidR="000A5AB9">
        <w:t>ánské pojetí atomické „substance–species“</w:t>
      </w:r>
      <w:r w:rsidR="00946FC8" w:rsidRPr="00946FC8">
        <w:t>.</w:t>
      </w:r>
      <w:r w:rsidR="000A5AB9">
        <w:t xml:space="preserve"> </w:t>
      </w:r>
      <w:r w:rsidR="08C90C5B">
        <w:fldChar w:fldCharType="begin"/>
      </w:r>
      <w:r w:rsidR="08C90C5B">
        <w:instrText xml:space="preserve"> XE "</w:instrText>
      </w:r>
      <w:r w:rsidR="08C90C5B" w:rsidRPr="001A0F65">
        <w:rPr>
          <w:i/>
        </w:rPr>
        <w:instrText>tertium ens</w:instrText>
      </w:r>
      <w:r w:rsidR="08C90C5B" w:rsidRPr="00B53554">
        <w:instrText>:logická nutnost</w:instrText>
      </w:r>
      <w:r w:rsidR="08C90C5B">
        <w:instrText xml:space="preserve">" </w:instrText>
      </w:r>
      <w:r w:rsidR="08C90C5B">
        <w:fldChar w:fldCharType="end"/>
      </w:r>
      <w:r w:rsidR="00C7137F" w:rsidRPr="00C7137F">
        <w:t>Nová logika se ocitla mimo klasickou metafyziku a logiku</w:t>
      </w:r>
      <w:r w:rsidR="00952F30">
        <w:t xml:space="preserve">, které byly vázány na realitu. </w:t>
      </w:r>
      <w:r w:rsidR="00952F30" w:rsidRPr="00952F30">
        <w:t>Proto je toto radikálně oddělené myšlení nutně nahlíženo v</w:t>
      </w:r>
      <w:r w:rsidR="00952F30">
        <w:t> </w:t>
      </w:r>
      <w:r w:rsidR="00952F30" w:rsidRPr="00952F30">
        <w:t>modu</w:t>
      </w:r>
      <w:r w:rsidR="00952F30">
        <w:t xml:space="preserve"> „</w:t>
      </w:r>
      <w:r w:rsidR="00952F30" w:rsidRPr="00952F30">
        <w:rPr>
          <w:i/>
        </w:rPr>
        <w:t>absolute</w:t>
      </w:r>
      <w:r w:rsidR="00952F30">
        <w:t xml:space="preserve">“ podle </w:t>
      </w:r>
      <w:r w:rsidR="00952F30" w:rsidRPr="00952F30">
        <w:t>systému klasické logiky.</w:t>
      </w:r>
      <w:r w:rsidR="00952F30">
        <w:t xml:space="preserve"> Kvůli O</w:t>
      </w:r>
      <w:r w:rsidR="00952F30" w:rsidRPr="00952F30">
        <w:t xml:space="preserve">xfordskému omylu moderní logika předstírá myšlení v metafyzickém modu nutnosti, který vzniká </w:t>
      </w:r>
      <w:r w:rsidR="00952F30">
        <w:t xml:space="preserve">impozicí </w:t>
      </w:r>
      <w:r w:rsidR="00952F30" w:rsidRPr="00952F30">
        <w:t>význam</w:t>
      </w:r>
      <w:r w:rsidR="000E1652">
        <w:t>u reálným substancím („</w:t>
      </w:r>
      <w:r w:rsidR="000E1652" w:rsidRPr="000E1652">
        <w:rPr>
          <w:i/>
        </w:rPr>
        <w:t>relative</w:t>
      </w:r>
      <w:r w:rsidR="000E1652">
        <w:t>“</w:t>
      </w:r>
      <w:r w:rsidR="00952F30" w:rsidRPr="00952F30">
        <w:t>).</w:t>
      </w:r>
      <w:r w:rsidR="00952F30">
        <w:t xml:space="preserve"> Zavedením pravdy a omylu do kategoriálních hypostází porretánů vznikla</w:t>
      </w:r>
      <w:r w:rsidR="00952F30" w:rsidRPr="00273106">
        <w:t xml:space="preserve"> analytická forma </w:t>
      </w:r>
      <w:r w:rsidR="00952F30">
        <w:t>logiky daná nutností třetího druhu</w:t>
      </w:r>
      <w:r w:rsidR="00003CB6">
        <w:t xml:space="preserve">. </w:t>
      </w:r>
      <w:r w:rsidR="08C90C5B">
        <w:t>Tato nutnost třetího druhu umožnila transformaci klasické aristotelské logiky na moderní verzi Grossetesteho a později i na postmoderní Le</w:t>
      </w:r>
      <w:r w:rsidR="001D3425">
        <w:t xml:space="preserve">ibnizovu verzi </w:t>
      </w:r>
      <w:r w:rsidR="007143A9">
        <w:t>kalkulujícího bo</w:t>
      </w:r>
      <w:r w:rsidR="08C90C5B">
        <w:t>ha</w:t>
      </w:r>
      <w:r w:rsidR="001D3425">
        <w:t xml:space="preserve"> </w:t>
      </w:r>
      <w:r w:rsidR="001D3425">
        <w:rPr>
          <w:szCs w:val="24"/>
        </w:rPr>
        <w:t>(</w:t>
      </w:r>
      <w:r w:rsidR="001D3425">
        <w:rPr>
          <w:i/>
        </w:rPr>
        <w:t>c</w:t>
      </w:r>
      <w:r w:rsidR="001D3425" w:rsidRPr="005967B2">
        <w:rPr>
          <w:i/>
        </w:rPr>
        <w:t>um Deus calculat ... fit mundus</w:t>
      </w:r>
      <w:r w:rsidR="001D3425">
        <w:rPr>
          <w:szCs w:val="24"/>
        </w:rPr>
        <w:t>)</w:t>
      </w:r>
      <w:r w:rsidR="08C90C5B">
        <w:t xml:space="preserve">. </w:t>
      </w:r>
      <w:r w:rsidR="08F2354A" w:rsidRPr="00273106">
        <w:t xml:space="preserve">Nová forma nutnosti </w:t>
      </w:r>
      <w:r w:rsidR="08F2354A">
        <w:t xml:space="preserve">třetího druhu </w:t>
      </w:r>
      <w:r w:rsidR="08F2354A" w:rsidRPr="00273106">
        <w:t xml:space="preserve">má </w:t>
      </w:r>
      <w:r w:rsidR="08F2354A">
        <w:t xml:space="preserve">jako fundament </w:t>
      </w:r>
      <w:r w:rsidR="086C155C">
        <w:t xml:space="preserve">Augustinovu a </w:t>
      </w:r>
      <w:r w:rsidR="08F2354A" w:rsidRPr="00273106">
        <w:t xml:space="preserve">Anselmovu determinaci pravdy jako věčné boží </w:t>
      </w:r>
      <w:r w:rsidR="08F2354A" w:rsidRPr="00273106">
        <w:rPr>
          <w:i/>
        </w:rPr>
        <w:t>rectitudo</w:t>
      </w:r>
      <w:r w:rsidR="08F2354A" w:rsidRPr="00273106">
        <w:t xml:space="preserve">. </w:t>
      </w:r>
      <w:r w:rsidR="08F2354A">
        <w:t xml:space="preserve">Avicennovská logika k tomu dodá potřebné </w:t>
      </w:r>
      <w:r w:rsidR="08F2354A" w:rsidRPr="00853A6D">
        <w:rPr>
          <w:i/>
        </w:rPr>
        <w:t>certitudo</w:t>
      </w:r>
      <w:r w:rsidR="08F2354A">
        <w:rPr>
          <w:i/>
        </w:rPr>
        <w:fldChar w:fldCharType="begin"/>
      </w:r>
      <w:r w:rsidR="08F2354A">
        <w:instrText xml:space="preserve"> XE "pravda:</w:instrText>
      </w:r>
      <w:r w:rsidR="08F2354A" w:rsidRPr="003D68D8">
        <w:rPr>
          <w:i/>
        </w:rPr>
        <w:instrText>certitudo</w:instrText>
      </w:r>
      <w:r w:rsidR="08F2354A">
        <w:instrText xml:space="preserve">" </w:instrText>
      </w:r>
      <w:r w:rsidR="08F2354A">
        <w:rPr>
          <w:i/>
        </w:rPr>
        <w:fldChar w:fldCharType="end"/>
      </w:r>
      <w:r w:rsidR="08F2354A">
        <w:t xml:space="preserve"> na straně moderního ilumináta. </w:t>
      </w:r>
      <w:r w:rsidR="08F2354A" w:rsidRPr="00273106">
        <w:t xml:space="preserve">Následná </w:t>
      </w:r>
      <w:r w:rsidR="08F2354A" w:rsidRPr="00273106">
        <w:rPr>
          <w:i/>
        </w:rPr>
        <w:t>veritas</w:t>
      </w:r>
      <w:r w:rsidR="08F2354A" w:rsidRPr="00273106">
        <w:t xml:space="preserve"> jako </w:t>
      </w:r>
      <w:r w:rsidR="0859262B">
        <w:t xml:space="preserve">logická predikace </w:t>
      </w:r>
      <w:r w:rsidR="08F2354A" w:rsidRPr="00273106">
        <w:t xml:space="preserve">věčné boží správnosti a pravdy jeho úradků je dána v tom, že </w:t>
      </w:r>
      <w:r w:rsidR="08F2354A">
        <w:t xml:space="preserve">boží </w:t>
      </w:r>
      <w:r w:rsidR="08F2354A" w:rsidRPr="00273106">
        <w:t xml:space="preserve">nutnost </w:t>
      </w:r>
      <w:r w:rsidR="0862412C">
        <w:t xml:space="preserve">je </w:t>
      </w:r>
      <w:r w:rsidR="08F2354A">
        <w:t xml:space="preserve">daná </w:t>
      </w:r>
      <w:r w:rsidR="0862412C">
        <w:t xml:space="preserve">absolutně a </w:t>
      </w:r>
      <w:r w:rsidR="08F2354A" w:rsidRPr="00273106">
        <w:t>reálně-kontigentně nastane nebo nenastane.</w:t>
      </w:r>
      <w:r w:rsidR="08F2354A">
        <w:t xml:space="preserve"> </w:t>
      </w:r>
    </w:p>
    <w:p w14:paraId="629E3A80" w14:textId="512327D9" w:rsidR="006C3C9A" w:rsidRDefault="005D4C04" w:rsidP="005D4C04">
      <w:pPr>
        <w:ind w:firstLine="397"/>
      </w:pPr>
      <w:r w:rsidRPr="005D4C04">
        <w:lastRenderedPageBreak/>
        <w:t xml:space="preserve">Moderní metafyzika, </w:t>
      </w:r>
      <w:r>
        <w:t xml:space="preserve">které sekunduje logický výklad </w:t>
      </w:r>
      <w:r w:rsidRPr="005D4C04">
        <w:rPr>
          <w:i/>
        </w:rPr>
        <w:t>Kategorií</w:t>
      </w:r>
      <w:r w:rsidRPr="005D4C04">
        <w:t>, sleduje deduktivní scénář jako sestup věčných univerzálních forem ke kontingentním reálným věcem.</w:t>
      </w:r>
      <w:r>
        <w:t xml:space="preserve"> </w:t>
      </w:r>
      <w:r w:rsidR="0800166C">
        <w:t xml:space="preserve">Vyvedení významu se děje </w:t>
      </w:r>
      <w:r w:rsidR="0800166C" w:rsidRPr="00273106">
        <w:t>sestupem determinované nutnosti v řádu věčné pravdy (</w:t>
      </w:r>
      <w:r w:rsidR="0800166C" w:rsidRPr="00273106">
        <w:rPr>
          <w:i/>
        </w:rPr>
        <w:t>summa veritas</w:t>
      </w:r>
      <w:r w:rsidR="0800166C" w:rsidRPr="00273106">
        <w:t>) do kontingentního řádu budoucích událostí (</w:t>
      </w:r>
      <w:r w:rsidR="0800166C" w:rsidRPr="00273106">
        <w:rPr>
          <w:i/>
        </w:rPr>
        <w:t>veritas enuntiationis</w:t>
      </w:r>
      <w:r w:rsidR="0800166C" w:rsidRPr="00273106">
        <w:t xml:space="preserve">). </w:t>
      </w:r>
      <w:r w:rsidR="0800166C">
        <w:t>Dedukce nejde od impozice dané reálně, ale má vlastní hypostázovanou supozici danou ontoteologicky</w:t>
      </w:r>
      <w:r w:rsidR="0800166C">
        <w:fldChar w:fldCharType="begin"/>
      </w:r>
      <w:r w:rsidR="0800166C">
        <w:instrText xml:space="preserve"> XE "</w:instrText>
      </w:r>
      <w:r w:rsidR="0800166C" w:rsidRPr="00B669A4">
        <w:instrText>supozice:logická</w:instrText>
      </w:r>
      <w:r w:rsidR="0800166C">
        <w:instrText xml:space="preserve">" </w:instrText>
      </w:r>
      <w:r w:rsidR="0800166C">
        <w:fldChar w:fldCharType="end"/>
      </w:r>
      <w:r w:rsidR="0800166C">
        <w:t xml:space="preserve">. </w:t>
      </w:r>
      <w:r w:rsidR="08A15801">
        <w:t>Vyšší pravda-</w:t>
      </w:r>
      <w:r w:rsidR="00F17044" w:rsidRPr="00273106">
        <w:rPr>
          <w:i/>
        </w:rPr>
        <w:t>rectitudo</w:t>
      </w:r>
      <w:r w:rsidR="00F17044" w:rsidRPr="00273106">
        <w:t xml:space="preserve"> u boha je vyváděna do nižší pravdy </w:t>
      </w:r>
      <w:r w:rsidR="00F17044" w:rsidRPr="00273106">
        <w:rPr>
          <w:i/>
        </w:rPr>
        <w:t>veritas</w:t>
      </w:r>
      <w:r w:rsidR="00F17044">
        <w:rPr>
          <w:i/>
        </w:rPr>
        <w:fldChar w:fldCharType="begin"/>
      </w:r>
      <w:r w:rsidR="00F17044">
        <w:instrText xml:space="preserve"> XE "pravda:</w:instrText>
      </w:r>
      <w:r w:rsidR="00F17044" w:rsidRPr="0040013A">
        <w:rPr>
          <w:i/>
        </w:rPr>
        <w:instrText>veritas</w:instrText>
      </w:r>
      <w:r w:rsidR="00F17044">
        <w:instrText xml:space="preserve">" </w:instrText>
      </w:r>
      <w:r w:rsidR="00F17044">
        <w:rPr>
          <w:i/>
        </w:rPr>
        <w:fldChar w:fldCharType="end"/>
      </w:r>
      <w:r w:rsidR="00F17044" w:rsidRPr="00273106">
        <w:t xml:space="preserve"> dané ve stvoření</w:t>
      </w:r>
      <w:r w:rsidR="084C4712">
        <w:t xml:space="preserve">. V tomto novém typu dedukce platí, že </w:t>
      </w:r>
      <w:r w:rsidR="00BF45A6">
        <w:t xml:space="preserve">nutnost třetího druhu </w:t>
      </w:r>
      <w:r w:rsidR="00F17044" w:rsidRPr="00273106">
        <w:t xml:space="preserve">determinuje </w:t>
      </w:r>
      <w:r w:rsidR="084C4712">
        <w:t xml:space="preserve">kontingentní děje </w:t>
      </w:r>
      <w:r w:rsidR="00BF45A6">
        <w:t xml:space="preserve">na nižší úrovni díky </w:t>
      </w:r>
      <w:r w:rsidR="08CE7AC7">
        <w:t xml:space="preserve">věčné </w:t>
      </w:r>
      <w:r w:rsidR="00BF45A6">
        <w:t xml:space="preserve">existenci </w:t>
      </w:r>
      <w:r w:rsidR="00F17044" w:rsidRPr="00273106">
        <w:t xml:space="preserve">vyšší a trvalejší formy. </w:t>
      </w:r>
      <w:r w:rsidR="085B3754">
        <w:t xml:space="preserve">Modelem modernistů je dedukce </w:t>
      </w:r>
      <w:r w:rsidR="085B3754" w:rsidRPr="00040499">
        <w:rPr>
          <w:i/>
        </w:rPr>
        <w:t>more geometrico</w:t>
      </w:r>
      <w:r w:rsidR="085B3754">
        <w:rPr>
          <w:i/>
        </w:rPr>
        <w:fldChar w:fldCharType="begin"/>
      </w:r>
      <w:r w:rsidR="085B3754">
        <w:instrText xml:space="preserve"> XE "</w:instrText>
      </w:r>
      <w:r w:rsidR="085B3754" w:rsidRPr="0067526E">
        <w:rPr>
          <w:i/>
        </w:rPr>
        <w:instrText>more geometrico</w:instrText>
      </w:r>
      <w:r w:rsidR="085B3754">
        <w:instrText xml:space="preserve">" </w:instrText>
      </w:r>
      <w:r w:rsidR="085B3754">
        <w:rPr>
          <w:i/>
        </w:rPr>
        <w:fldChar w:fldCharType="end"/>
      </w:r>
      <w:r w:rsidR="085B3754">
        <w:t xml:space="preserve"> podle neoplatonské </w:t>
      </w:r>
      <w:r w:rsidR="085B3754" w:rsidRPr="00040499">
        <w:rPr>
          <w:i/>
        </w:rPr>
        <w:t>Liber de causis</w:t>
      </w:r>
      <w:r w:rsidR="085B3754">
        <w:t>.</w:t>
      </w:r>
      <w:r w:rsidR="085B3754" w:rsidRPr="00273106">
        <w:rPr>
          <w:rStyle w:val="Znakapoznpodarou"/>
        </w:rPr>
        <w:footnoteReference w:id="324"/>
      </w:r>
      <w:r w:rsidR="085B3754" w:rsidRPr="002A7229">
        <w:rPr>
          <w:rStyle w:val="st"/>
        </w:rPr>
        <w:t xml:space="preserve"> </w:t>
      </w:r>
      <w:r w:rsidR="00CE55DA" w:rsidRPr="00273106">
        <w:t xml:space="preserve">Znovu se tím vrací určení </w:t>
      </w:r>
      <w:r w:rsidR="00A00D54" w:rsidRPr="00273106">
        <w:t xml:space="preserve">jsoucna podle </w:t>
      </w:r>
      <w:r w:rsidR="00CE55DA" w:rsidRPr="00273106">
        <w:t xml:space="preserve">výše uvedeného </w:t>
      </w:r>
      <w:r w:rsidR="00DC013B">
        <w:t xml:space="preserve">Grossetesteho </w:t>
      </w:r>
      <w:r w:rsidR="00CE55DA" w:rsidRPr="00273106">
        <w:t>citátu oddělujícího modus stvořitelské aktivity (</w:t>
      </w:r>
      <w:r w:rsidR="00CE55DA" w:rsidRPr="00273106">
        <w:rPr>
          <w:i/>
        </w:rPr>
        <w:t>rectitudo rectificans</w:t>
      </w:r>
      <w:r w:rsidR="00CE55DA" w:rsidRPr="00273106">
        <w:t xml:space="preserve">) od </w:t>
      </w:r>
      <w:r w:rsidR="005A08AC">
        <w:t xml:space="preserve">sekundární pravdivosti </w:t>
      </w:r>
      <w:r w:rsidR="00CE55DA" w:rsidRPr="00273106">
        <w:t>věcí, které jsou pravdivé v rámci rektifikované správnosti (</w:t>
      </w:r>
      <w:r w:rsidR="00CE55DA" w:rsidRPr="00273106">
        <w:rPr>
          <w:i/>
        </w:rPr>
        <w:t>rectitudines rectificatae</w:t>
      </w:r>
      <w:r w:rsidR="00CE55DA" w:rsidRPr="00273106">
        <w:t xml:space="preserve">). </w:t>
      </w:r>
      <w:r w:rsidR="00A05677">
        <w:t>Tato ontoteologická deontologie</w:t>
      </w:r>
      <w:r w:rsidR="006E5AA6">
        <w:fldChar w:fldCharType="begin"/>
      </w:r>
      <w:r w:rsidR="006E5AA6">
        <w:instrText xml:space="preserve"> XE "</w:instrText>
      </w:r>
      <w:r w:rsidR="006E5AA6" w:rsidRPr="00FB1792">
        <w:instrText>pravda:deontologie</w:instrText>
      </w:r>
      <w:r w:rsidR="006E5AA6">
        <w:instrText xml:space="preserve">" </w:instrText>
      </w:r>
      <w:r w:rsidR="006E5AA6">
        <w:fldChar w:fldCharType="end"/>
      </w:r>
      <w:r w:rsidR="00A05677">
        <w:t xml:space="preserve"> dává fundament nové logice </w:t>
      </w:r>
      <w:r w:rsidR="00A05677" w:rsidRPr="00A05677">
        <w:rPr>
          <w:i/>
        </w:rPr>
        <w:t>Modernorum</w:t>
      </w:r>
      <w:r w:rsidR="00132F37">
        <w:t>, kterou převzala postmoderna</w:t>
      </w:r>
      <w:r w:rsidR="008A2E86">
        <w:t xml:space="preserve"> od Leibnize</w:t>
      </w:r>
      <w:r w:rsidR="00A05677">
        <w:t xml:space="preserve">. </w:t>
      </w:r>
      <w:r w:rsidR="0048596D">
        <w:t xml:space="preserve">Co má být, to je viděno jako logicky správné a toto zbožné přání iluminátů tvoří základ moderní nutnosti. </w:t>
      </w:r>
      <w:r w:rsidR="08954CFD" w:rsidRPr="00273106">
        <w:t>Buď je věc pojatá z hlediska nutné archetypické formy fixované v boží mysli, nebo z hlediska jej</w:t>
      </w:r>
      <w:r w:rsidR="00C63C73">
        <w:t xml:space="preserve">ího kontingentního přesahu </w:t>
      </w:r>
      <w:r w:rsidR="08954CFD" w:rsidRPr="00273106">
        <w:t xml:space="preserve">z věčné formy do reálu. </w:t>
      </w:r>
      <w:r w:rsidR="084A3977" w:rsidRPr="00273106">
        <w:t xml:space="preserve">Výše uvedené citáty ukazují </w:t>
      </w:r>
      <w:r w:rsidR="009F7DAE">
        <w:t>meta-</w:t>
      </w:r>
      <w:r w:rsidR="084A3977" w:rsidRPr="00273106">
        <w:t>logickou inherenci kontigentní pravdy-</w:t>
      </w:r>
      <w:r w:rsidR="084A3977" w:rsidRPr="00273106">
        <w:rPr>
          <w:i/>
        </w:rPr>
        <w:t>veritas</w:t>
      </w:r>
      <w:r w:rsidR="00316E11">
        <w:t xml:space="preserve"> ve vyšší</w:t>
      </w:r>
      <w:r w:rsidR="084A3977" w:rsidRPr="00273106">
        <w:t xml:space="preserve"> pravdě-</w:t>
      </w:r>
      <w:r w:rsidR="084A3977" w:rsidRPr="00273106">
        <w:rPr>
          <w:i/>
        </w:rPr>
        <w:t>rectitudo</w:t>
      </w:r>
      <w:r w:rsidR="008677D1">
        <w:t xml:space="preserve">. Vyšší </w:t>
      </w:r>
      <w:r w:rsidR="084A3977" w:rsidRPr="00273106">
        <w:t xml:space="preserve">forma </w:t>
      </w:r>
      <w:r w:rsidR="008677D1">
        <w:t xml:space="preserve">je </w:t>
      </w:r>
      <w:r w:rsidR="084A3977" w:rsidRPr="00273106">
        <w:t>vyváděna</w:t>
      </w:r>
      <w:r w:rsidR="00316E11" w:rsidRPr="00316E11">
        <w:t xml:space="preserve"> </w:t>
      </w:r>
      <w:r w:rsidR="00316E11">
        <w:t xml:space="preserve">do </w:t>
      </w:r>
      <w:r w:rsidR="00316E11" w:rsidRPr="00273106">
        <w:t>nižší</w:t>
      </w:r>
      <w:r w:rsidR="008677D1">
        <w:t xml:space="preserve"> formy kontingenc</w:t>
      </w:r>
      <w:r w:rsidR="00316E11">
        <w:t xml:space="preserve">e, v níž je </w:t>
      </w:r>
      <w:r w:rsidR="00403128">
        <w:t xml:space="preserve">reálně a </w:t>
      </w:r>
      <w:r w:rsidR="00316E11">
        <w:t xml:space="preserve">smyslově </w:t>
      </w:r>
      <w:r w:rsidR="007C4495">
        <w:t xml:space="preserve">viditelná </w:t>
      </w:r>
      <w:r w:rsidR="00316E11">
        <w:t>(</w:t>
      </w:r>
      <w:r w:rsidR="00316E11" w:rsidRPr="00316E11">
        <w:rPr>
          <w:i/>
        </w:rPr>
        <w:t>exsistit</w:t>
      </w:r>
      <w:r w:rsidR="00316E11">
        <w:t>)</w:t>
      </w:r>
      <w:r w:rsidR="084A3977" w:rsidRPr="00273106">
        <w:t xml:space="preserve">. </w:t>
      </w:r>
      <w:r w:rsidR="08442E2C">
        <w:t xml:space="preserve">Viz první moderní pojetí </w:t>
      </w:r>
      <w:r w:rsidR="00316E11" w:rsidRPr="00273106">
        <w:rPr>
          <w:i/>
        </w:rPr>
        <w:t>exsistere</w:t>
      </w:r>
      <w:r w:rsidR="00316E11">
        <w:rPr>
          <w:i/>
        </w:rPr>
        <w:fldChar w:fldCharType="begin"/>
      </w:r>
      <w:r w:rsidR="00316E11">
        <w:instrText xml:space="preserve"> XE "</w:instrText>
      </w:r>
      <w:r w:rsidR="00316E11" w:rsidRPr="008E07A9">
        <w:rPr>
          <w:i/>
        </w:rPr>
        <w:instrText>exsistere</w:instrText>
      </w:r>
      <w:r w:rsidR="00316E11">
        <w:instrText xml:space="preserve">" </w:instrText>
      </w:r>
      <w:r w:rsidR="00316E11">
        <w:rPr>
          <w:i/>
        </w:rPr>
        <w:fldChar w:fldCharType="end"/>
      </w:r>
      <w:r w:rsidR="08B9791D">
        <w:t xml:space="preserve"> u Rufuse (kap. 3</w:t>
      </w:r>
      <w:r w:rsidR="00316E11" w:rsidRPr="00273106">
        <w:t xml:space="preserve">.3.2). </w:t>
      </w:r>
      <w:r w:rsidR="087F03CB">
        <w:t>Tento vývoj završila po smrti moderního boha nihilistická formalizace logiky u Gottloba Fregeho</w:t>
      </w:r>
      <w:r w:rsidR="087F03CB">
        <w:fldChar w:fldCharType="begin"/>
      </w:r>
      <w:r w:rsidR="087F03CB">
        <w:instrText xml:space="preserve"> XE "</w:instrText>
      </w:r>
      <w:r w:rsidR="087F03CB" w:rsidRPr="00DD4F26">
        <w:instrText>Frege, G.</w:instrText>
      </w:r>
      <w:r w:rsidR="087F03CB">
        <w:instrText xml:space="preserve">" </w:instrText>
      </w:r>
      <w:r w:rsidR="087F03CB">
        <w:fldChar w:fldCharType="end"/>
      </w:r>
      <w:r w:rsidR="087F03CB">
        <w:t xml:space="preserve"> a Bertranda Russella</w:t>
      </w:r>
      <w:r w:rsidR="00536DA3">
        <w:t xml:space="preserve">. </w:t>
      </w:r>
      <w:r w:rsidR="00536DA3" w:rsidRPr="00536DA3">
        <w:t>Absolutizovali formální log</w:t>
      </w:r>
      <w:r w:rsidR="00536DA3">
        <w:t>iku matematiky (dokonce i Frege</w:t>
      </w:r>
      <w:r w:rsidR="00536DA3" w:rsidRPr="00536DA3">
        <w:t xml:space="preserve">), aby logicky a nutně pohřbili mrtvou metafyziku </w:t>
      </w:r>
      <w:r w:rsidR="00536DA3" w:rsidRPr="00536DA3">
        <w:rPr>
          <w:i/>
        </w:rPr>
        <w:t>Modernorum</w:t>
      </w:r>
      <w:r w:rsidR="00536DA3" w:rsidRPr="00536DA3">
        <w:t>.</w:t>
      </w:r>
      <w:r w:rsidR="00536DA3">
        <w:t xml:space="preserve"> </w:t>
      </w:r>
      <w:r w:rsidR="087F03CB">
        <w:t xml:space="preserve">Z moderních logiků se stali </w:t>
      </w:r>
      <w:r w:rsidR="08B9791D">
        <w:t xml:space="preserve">ve 20. století </w:t>
      </w:r>
      <w:r w:rsidR="087F03CB">
        <w:t xml:space="preserve">objektivní </w:t>
      </w:r>
      <w:r w:rsidR="08652836">
        <w:t>filosofové</w:t>
      </w:r>
      <w:r w:rsidR="087F03CB">
        <w:t xml:space="preserve">, kteří metafyziku logicky a nutně zrušili. </w:t>
      </w:r>
      <w:r w:rsidR="08BB7BCE" w:rsidRPr="00273106">
        <w:t>Tato změna</w:t>
      </w:r>
      <w:r w:rsidR="00F05438" w:rsidRPr="00273106">
        <w:t xml:space="preserve"> </w:t>
      </w:r>
      <w:r w:rsidR="08BB7BCE" w:rsidRPr="00273106">
        <w:t xml:space="preserve">vznikla </w:t>
      </w:r>
      <w:r w:rsidR="00F05438" w:rsidRPr="00273106">
        <w:t>v prostředí druhého</w:t>
      </w:r>
      <w:r w:rsidR="00340925" w:rsidRPr="00273106">
        <w:t xml:space="preserve"> averroi</w:t>
      </w:r>
      <w:r w:rsidR="00F05438" w:rsidRPr="00273106">
        <w:t>smu</w:t>
      </w:r>
      <w:r w:rsidR="00AA3BA9" w:rsidRPr="00273106">
        <w:t xml:space="preserve"> </w:t>
      </w:r>
      <w:r w:rsidR="08BB7BCE" w:rsidRPr="00273106">
        <w:t xml:space="preserve">zavedením </w:t>
      </w:r>
      <w:r w:rsidR="00AA3BA9" w:rsidRPr="00273106">
        <w:t>Avicen</w:t>
      </w:r>
      <w:r w:rsidR="08BB7BCE" w:rsidRPr="00273106">
        <w:t xml:space="preserve">novy </w:t>
      </w:r>
      <w:r w:rsidR="00AA3BA9" w:rsidRPr="00273106">
        <w:t xml:space="preserve">logické nutnosti dané </w:t>
      </w:r>
      <w:r w:rsidR="00AA3BA9" w:rsidRPr="00273106">
        <w:rPr>
          <w:i/>
        </w:rPr>
        <w:t>absolute</w:t>
      </w:r>
      <w:r w:rsidR="004E2BC4">
        <w:rPr>
          <w:rStyle w:val="addmd"/>
          <w:i/>
        </w:rPr>
        <w:fldChar w:fldCharType="begin"/>
      </w:r>
      <w:r w:rsidR="004E2BC4">
        <w:instrText xml:space="preserve"> XE "</w:instrText>
      </w:r>
      <w:r w:rsidR="00821C09">
        <w:instrText>nutnost</w:instrText>
      </w:r>
      <w:r w:rsidR="00DF1E3F">
        <w:instrText>:</w:instrText>
      </w:r>
      <w:r w:rsidR="004E2BC4" w:rsidRPr="008D23BF">
        <w:rPr>
          <w:i/>
        </w:rPr>
        <w:instrText>absolute</w:instrText>
      </w:r>
      <w:r w:rsidR="004E2BC4">
        <w:instrText xml:space="preserve">" </w:instrText>
      </w:r>
      <w:r w:rsidR="004E2BC4">
        <w:rPr>
          <w:rStyle w:val="addmd"/>
          <w:i/>
        </w:rPr>
        <w:fldChar w:fldCharType="end"/>
      </w:r>
      <w:r w:rsidR="00AA3BA9" w:rsidRPr="00273106">
        <w:t>, čili odděleně od první substance</w:t>
      </w:r>
      <w:r w:rsidR="00F05438" w:rsidRPr="00273106">
        <w:t xml:space="preserve">. </w:t>
      </w:r>
      <w:r w:rsidR="00960067">
        <w:t xml:space="preserve">Avicenna </w:t>
      </w:r>
      <w:r w:rsidR="00942089">
        <w:t xml:space="preserve">udělil Západu </w:t>
      </w:r>
      <w:r w:rsidR="00960067">
        <w:t>první me</w:t>
      </w:r>
      <w:r w:rsidR="000A1AD3">
        <w:t>tafyzickou absoluci od reality.</w:t>
      </w:r>
      <w:r>
        <w:t xml:space="preserve"> </w:t>
      </w:r>
      <w:r w:rsidR="00187FED" w:rsidRPr="00273106">
        <w:t>Tím se zásadně změnil statut nutnosti a posunul se směrem k ana</w:t>
      </w:r>
      <w:r w:rsidR="005C4940">
        <w:t xml:space="preserve">logickému a univočnímu výkladu </w:t>
      </w:r>
      <w:r w:rsidR="005C4940" w:rsidRPr="005C4940">
        <w:rPr>
          <w:i/>
        </w:rPr>
        <w:t>K</w:t>
      </w:r>
      <w:r w:rsidR="00187FED" w:rsidRPr="005C4940">
        <w:rPr>
          <w:i/>
        </w:rPr>
        <w:t>ategorií</w:t>
      </w:r>
      <w:r w:rsidR="00187FED" w:rsidRPr="00273106">
        <w:t xml:space="preserve"> pojednaném výše. </w:t>
      </w:r>
      <w:r w:rsidR="08442E2C" w:rsidRPr="00273106">
        <w:t>Gro</w:t>
      </w:r>
      <w:r w:rsidR="083C7285">
        <w:t>sset</w:t>
      </w:r>
      <w:r w:rsidR="08442E2C" w:rsidRPr="00273106">
        <w:t>este oddělil nutnost od reálné substance a zasadil ji do ontoteologického scénáře jako měl Avicenna</w:t>
      </w:r>
      <w:r w:rsidR="085D7577">
        <w:t xml:space="preserve">. Ale </w:t>
      </w:r>
      <w:r w:rsidR="085D7577">
        <w:lastRenderedPageBreak/>
        <w:t xml:space="preserve">nyní je moderní nutnost </w:t>
      </w:r>
      <w:r w:rsidR="08442E2C" w:rsidRPr="00273106">
        <w:t>dan</w:t>
      </w:r>
      <w:r w:rsidR="085D7577">
        <w:t xml:space="preserve">á </w:t>
      </w:r>
      <w:r w:rsidR="08442E2C" w:rsidRPr="00273106">
        <w:t>v rámci křesťanské eschatologie a mystiky.</w:t>
      </w:r>
      <w:r w:rsidR="08AF33DD">
        <w:t xml:space="preserve"> </w:t>
      </w:r>
      <w:r w:rsidR="08056CC4" w:rsidRPr="00273106">
        <w:t xml:space="preserve">Boží </w:t>
      </w:r>
      <w:r w:rsidR="082D1FBC">
        <w:t>esence definovaná Grossetestem v modu esenciální ipseity (</w:t>
      </w:r>
      <w:r w:rsidR="082D1FBC" w:rsidRPr="082D1FBC">
        <w:rPr>
          <w:i/>
        </w:rPr>
        <w:t>causa prima quia ipsa est</w:t>
      </w:r>
      <w:r w:rsidR="085D7577">
        <w:t>, kap. 3</w:t>
      </w:r>
      <w:r w:rsidR="082D1FBC">
        <w:t xml:space="preserve">.1.1) </w:t>
      </w:r>
      <w:r w:rsidR="08056CC4" w:rsidRPr="00273106">
        <w:t xml:space="preserve">představuje typ </w:t>
      </w:r>
      <w:r w:rsidR="082D1FBC">
        <w:t xml:space="preserve">logické </w:t>
      </w:r>
      <w:r w:rsidR="08D2162C" w:rsidRPr="00273106">
        <w:t>nutnost</w:t>
      </w:r>
      <w:r w:rsidR="08056CC4" w:rsidRPr="00273106">
        <w:t>i</w:t>
      </w:r>
      <w:r w:rsidR="002715D5">
        <w:t xml:space="preserve"> </w:t>
      </w:r>
      <w:r w:rsidR="08D2162C" w:rsidRPr="00273106">
        <w:rPr>
          <w:i/>
        </w:rPr>
        <w:t>absolute</w:t>
      </w:r>
      <w:r w:rsidR="08D2162C" w:rsidRPr="00273106">
        <w:t xml:space="preserve"> a </w:t>
      </w:r>
      <w:r w:rsidR="08D2162C" w:rsidRPr="00273106">
        <w:rPr>
          <w:i/>
        </w:rPr>
        <w:t>per se</w:t>
      </w:r>
      <w:r w:rsidR="08D2162C" w:rsidRPr="00273106">
        <w:t xml:space="preserve">, </w:t>
      </w:r>
      <w:r w:rsidR="08056CC4" w:rsidRPr="00273106">
        <w:t xml:space="preserve">protože je </w:t>
      </w:r>
      <w:r w:rsidR="08642D2F">
        <w:t xml:space="preserve">oddělená od stvoření </w:t>
      </w:r>
      <w:r w:rsidR="08D2162C" w:rsidRPr="00273106">
        <w:t>a nemá žádné případkové změny</w:t>
      </w:r>
      <w:r w:rsidR="005C4940">
        <w:t xml:space="preserve">. </w:t>
      </w:r>
      <w:r w:rsidR="000A6DEC" w:rsidRPr="00273106">
        <w:t xml:space="preserve">Moderní logika ovlivněná školou </w:t>
      </w:r>
      <w:r w:rsidR="000A6DEC" w:rsidRPr="00273106">
        <w:rPr>
          <w:i/>
        </w:rPr>
        <w:t>Nominales</w:t>
      </w:r>
      <w:r w:rsidR="000A6DEC" w:rsidRPr="00273106">
        <w:t xml:space="preserve"> zapomněla na citované varování Aristotela v </w:t>
      </w:r>
      <w:r w:rsidR="08FC6083" w:rsidRPr="00273106">
        <w:rPr>
          <w:i/>
        </w:rPr>
        <w:t>De Interpretatione</w:t>
      </w:r>
      <w:r w:rsidR="089656ED" w:rsidRPr="00273106">
        <w:t xml:space="preserve"> o primátu </w:t>
      </w:r>
      <w:r w:rsidR="00822C4B" w:rsidRPr="00273106">
        <w:t xml:space="preserve">reálné první </w:t>
      </w:r>
      <w:r w:rsidR="089656ED" w:rsidRPr="00273106">
        <w:t xml:space="preserve">substance determinující poznání. </w:t>
      </w:r>
      <w:r w:rsidR="083059A8" w:rsidRPr="00273106">
        <w:t>Modernisté postavili esenci nad existenci</w:t>
      </w:r>
      <w:r w:rsidR="00522AA7">
        <w:t xml:space="preserve"> a </w:t>
      </w:r>
      <w:r w:rsidR="0016438B">
        <w:t>meta-</w:t>
      </w:r>
      <w:r w:rsidR="00522AA7">
        <w:t>l</w:t>
      </w:r>
      <w:r w:rsidR="000A6DEC" w:rsidRPr="00273106">
        <w:t xml:space="preserve">ogický význam daný </w:t>
      </w:r>
      <w:r w:rsidR="000A6DEC" w:rsidRPr="00273106">
        <w:rPr>
          <w:i/>
        </w:rPr>
        <w:t>absolute</w:t>
      </w:r>
      <w:r w:rsidR="004E2BC4">
        <w:rPr>
          <w:rStyle w:val="addmd"/>
          <w:i/>
        </w:rPr>
        <w:fldChar w:fldCharType="begin"/>
      </w:r>
      <w:r w:rsidR="004E2BC4">
        <w:instrText xml:space="preserve"> 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0123F13">
        <w:t xml:space="preserve"> </w:t>
      </w:r>
      <w:r w:rsidR="000A6DEC" w:rsidRPr="00273106">
        <w:t>získal univ</w:t>
      </w:r>
      <w:r w:rsidR="088D307D" w:rsidRPr="00273106">
        <w:t xml:space="preserve">oční charakter </w:t>
      </w:r>
      <w:r w:rsidR="08523299" w:rsidRPr="00273106">
        <w:t>první substance</w:t>
      </w:r>
      <w:r w:rsidR="003B5CA5" w:rsidRPr="00273106">
        <w:t>.</w:t>
      </w:r>
      <w:r w:rsidR="006C3C9A">
        <w:t xml:space="preserve"> Grossesteste jistě znal spis Huga od sv. Viktora (</w:t>
      </w:r>
      <w:r w:rsidR="006C3C9A">
        <w:rPr>
          <w:rFonts w:cs="Calibri"/>
        </w:rPr>
        <w:t>†</w:t>
      </w:r>
      <w:r w:rsidR="006C3C9A">
        <w:t xml:space="preserve">1141) pod titulem </w:t>
      </w:r>
      <w:r w:rsidR="006C3C9A" w:rsidRPr="08AF33DD">
        <w:rPr>
          <w:i/>
        </w:rPr>
        <w:t>De sacramentis</w:t>
      </w:r>
      <w:r w:rsidR="006C3C9A">
        <w:t>, kde je ve scholastice asi poprvé definováno zaměření svobodné vůle (</w:t>
      </w:r>
      <w:r w:rsidR="006C3C9A" w:rsidRPr="08AF33DD">
        <w:rPr>
          <w:i/>
        </w:rPr>
        <w:t>liberum arbitrium</w:t>
      </w:r>
      <w:r w:rsidR="006C3C9A">
        <w:t>) vzhledem k budoucím kontingentním událostem.</w:t>
      </w:r>
      <w:r w:rsidR="006C3C9A">
        <w:rPr>
          <w:rStyle w:val="Znakapoznpodarou"/>
        </w:rPr>
        <w:footnoteReference w:id="325"/>
      </w:r>
      <w:r w:rsidR="006C3C9A">
        <w:t xml:space="preserve"> Budoucí kontingentní události byly v klasické logice neurčitelné. Nyní jsou určitelné, protože moderna vytvořila kalkulkulujícího boha a naučila ho správně myslet. Ve druhém kroku pak moderna navázala tyto kontingentní události na svobodnou vůli moderního subjektu. Toto přisunutí nutnosti (</w:t>
      </w:r>
      <w:r w:rsidR="006C3C9A" w:rsidRPr="006C3C9A">
        <w:rPr>
          <w:i/>
        </w:rPr>
        <w:t>Ge-Stell</w:t>
      </w:r>
      <w:r w:rsidR="006C3C9A">
        <w:rPr>
          <w:i/>
        </w:rPr>
        <w:fldChar w:fldCharType="begin"/>
      </w:r>
      <w:r w:rsidR="006C3C9A">
        <w:instrText xml:space="preserve"> XE "</w:instrText>
      </w:r>
      <w:r w:rsidR="006C3C9A" w:rsidRPr="008B1C4E">
        <w:rPr>
          <w:i/>
        </w:rPr>
        <w:instrText>Ge-Stell</w:instrText>
      </w:r>
      <w:r w:rsidR="006C3C9A">
        <w:instrText xml:space="preserve">" </w:instrText>
      </w:r>
      <w:r w:rsidR="006C3C9A">
        <w:rPr>
          <w:i/>
        </w:rPr>
        <w:fldChar w:fldCharType="end"/>
      </w:r>
      <w:r w:rsidR="006C3C9A">
        <w:t>) do absolutně dané moci subjektu založilo plně virtuální svět, ve kterém nyní žijeme.</w:t>
      </w:r>
    </w:p>
    <w:p w14:paraId="0C674F17" w14:textId="3309F792" w:rsidR="0095411A" w:rsidRDefault="003B5CA5" w:rsidP="00EB0A4F">
      <w:pPr>
        <w:ind w:firstLine="397"/>
      </w:pPr>
      <w:r w:rsidRPr="00273106">
        <w:t>Spekulace o nutném příchodu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Pr="00273106">
        <w:t xml:space="preserve"> ukazuje </w:t>
      </w:r>
      <w:r w:rsidR="00CB4E63">
        <w:t xml:space="preserve">původ mytologie, která </w:t>
      </w:r>
      <w:r w:rsidR="002B61AA">
        <w:t xml:space="preserve">v modu Heideggerova </w:t>
      </w:r>
      <w:r w:rsidR="002B61AA" w:rsidRPr="089F66E2">
        <w:rPr>
          <w:i/>
        </w:rPr>
        <w:t>Lichtung</w:t>
      </w:r>
      <w:r w:rsidR="002B61AA">
        <w:rPr>
          <w:i/>
        </w:rPr>
        <w:t xml:space="preserve"> </w:t>
      </w:r>
      <w:r w:rsidR="00CB4E63">
        <w:t xml:space="preserve">založila formalizovanou </w:t>
      </w:r>
      <w:r w:rsidR="00677D47">
        <w:t>logiku</w:t>
      </w:r>
      <w:r w:rsidRPr="00273106">
        <w:t xml:space="preserve"> </w:t>
      </w:r>
      <w:r w:rsidRPr="00273106">
        <w:rPr>
          <w:i/>
        </w:rPr>
        <w:t>Modernorum</w:t>
      </w:r>
      <w:r w:rsidR="089F66E2">
        <w:rPr>
          <w:i/>
        </w:rPr>
        <w:t xml:space="preserve"> </w:t>
      </w:r>
      <w:r w:rsidR="002B61AA">
        <w:t>na Oxfor</w:t>
      </w:r>
      <w:r w:rsidR="003C2FC5">
        <w:t>du</w:t>
      </w:r>
      <w:r w:rsidR="009B2F48">
        <w:t xml:space="preserve">. </w:t>
      </w:r>
      <w:r w:rsidR="00554D6A">
        <w:t>Logika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554D6A">
        <w:t xml:space="preserve"> pojatá absolutně má </w:t>
      </w:r>
      <w:r w:rsidR="00536805" w:rsidRPr="00273106">
        <w:t>ontoteologický charakter</w:t>
      </w:r>
      <w:r w:rsidR="00554D6A">
        <w:t>,</w:t>
      </w:r>
      <w:r w:rsidR="00536805" w:rsidRPr="00273106">
        <w:t xml:space="preserve"> stejně jako celá moderní metafyzika</w:t>
      </w:r>
      <w:r w:rsidR="00554D6A">
        <w:t>, která z ní vyšla</w:t>
      </w:r>
      <w:r w:rsidR="00536805" w:rsidRPr="00273106">
        <w:t xml:space="preserve">. </w:t>
      </w:r>
      <w:r w:rsidR="088D307D" w:rsidRPr="00273106">
        <w:t>Nutnost určená vztahem k existující věci (</w:t>
      </w:r>
      <w:r w:rsidR="088D307D" w:rsidRPr="00273106">
        <w:rPr>
          <w:i/>
        </w:rPr>
        <w:t>relative</w:t>
      </w:r>
      <w:r w:rsidR="00486FA5">
        <w:rPr>
          <w:rStyle w:val="addmd"/>
          <w:i/>
        </w:rPr>
        <w:fldChar w:fldCharType="begin"/>
      </w:r>
      <w:r w:rsidR="00DF1E3F">
        <w:instrText xml:space="preserve"> XE "nutnost:</w:instrText>
      </w:r>
      <w:r w:rsidR="00486FA5">
        <w:rPr>
          <w:i/>
        </w:rPr>
        <w:instrText>relative</w:instrText>
      </w:r>
      <w:r w:rsidR="00486FA5">
        <w:instrText xml:space="preserve">" </w:instrText>
      </w:r>
      <w:r w:rsidR="00486FA5">
        <w:rPr>
          <w:rStyle w:val="addmd"/>
          <w:i/>
        </w:rPr>
        <w:fldChar w:fldCharType="end"/>
      </w:r>
      <w:r w:rsidR="088D307D" w:rsidRPr="00273106">
        <w:t xml:space="preserve">) </w:t>
      </w:r>
      <w:r w:rsidR="087B5A2B" w:rsidRPr="00273106">
        <w:t xml:space="preserve">začala být </w:t>
      </w:r>
      <w:r w:rsidR="000A6DEC" w:rsidRPr="00273106">
        <w:t>predikov</w:t>
      </w:r>
      <w:r w:rsidR="088D307D" w:rsidRPr="00273106">
        <w:t xml:space="preserve">ána k </w:t>
      </w:r>
      <w:r w:rsidR="000A6DEC" w:rsidRPr="00273106">
        <w:t>příchodu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87B5A2B" w:rsidRPr="00273106">
        <w:t>, jako absolutně danému faktu</w:t>
      </w:r>
      <w:r w:rsidR="08B54E94" w:rsidRPr="00273106">
        <w:t xml:space="preserve"> (</w:t>
      </w:r>
      <w:r w:rsidR="08D31DBF" w:rsidRPr="00273106">
        <w:rPr>
          <w:i/>
        </w:rPr>
        <w:t>necessarium</w:t>
      </w:r>
      <w:r w:rsidR="08D31DBF" w:rsidRPr="00273106">
        <w:t xml:space="preserve"> </w:t>
      </w:r>
      <w:r w:rsidR="08B54E94" w:rsidRPr="00273106">
        <w:rPr>
          <w:i/>
        </w:rPr>
        <w:t>per se</w:t>
      </w:r>
      <w:r w:rsidR="08B54E94" w:rsidRPr="00273106">
        <w:t>)</w:t>
      </w:r>
      <w:r w:rsidR="087B5A2B" w:rsidRPr="00273106">
        <w:t xml:space="preserve">. </w:t>
      </w:r>
      <w:r w:rsidR="08B54E94" w:rsidRPr="00273106">
        <w:t>Kontingentní význam této události pro nás (</w:t>
      </w:r>
      <w:r w:rsidR="08B54E94" w:rsidRPr="00273106">
        <w:rPr>
          <w:i/>
        </w:rPr>
        <w:t>per accidens</w:t>
      </w:r>
      <w:r w:rsidR="0024666C" w:rsidRPr="00273106">
        <w:t xml:space="preserve">) je dán v momentální </w:t>
      </w:r>
      <w:r w:rsidR="08B54E94" w:rsidRPr="00273106">
        <w:t>nerozhodnutelnost</w:t>
      </w:r>
      <w:r w:rsidR="0024666C" w:rsidRPr="00273106">
        <w:t>i,</w:t>
      </w:r>
      <w:r w:rsidR="08B54E94" w:rsidRPr="00273106">
        <w:t xml:space="preserve"> zda </w:t>
      </w:r>
      <w:r w:rsidR="0024666C" w:rsidRPr="00273106">
        <w:t>Antikrist</w:t>
      </w:r>
      <w:r w:rsidR="000C4184">
        <w:fldChar w:fldCharType="begin"/>
      </w:r>
      <w:r w:rsidR="000C4184">
        <w:instrText xml:space="preserve"> XE "</w:instrText>
      </w:r>
      <w:r w:rsidR="000C4184" w:rsidRPr="00C25D22">
        <w:instrText>Antikrist</w:instrText>
      </w:r>
      <w:r w:rsidR="000C4184">
        <w:instrText xml:space="preserve">" </w:instrText>
      </w:r>
      <w:r w:rsidR="000C4184">
        <w:fldChar w:fldCharType="end"/>
      </w:r>
      <w:r w:rsidR="0024666C" w:rsidRPr="00273106">
        <w:t xml:space="preserve"> </w:t>
      </w:r>
      <w:r w:rsidR="08BF3B50" w:rsidRPr="00273106">
        <w:t xml:space="preserve">v budoucnosti </w:t>
      </w:r>
      <w:r w:rsidR="001F7C29" w:rsidRPr="00273106">
        <w:t xml:space="preserve">přijde či </w:t>
      </w:r>
      <w:r w:rsidR="000A6DEC" w:rsidRPr="00273106">
        <w:t>nepřijde</w:t>
      </w:r>
      <w:r w:rsidR="0024666C" w:rsidRPr="00273106">
        <w:t xml:space="preserve">. </w:t>
      </w:r>
      <w:r w:rsidR="009F6309" w:rsidRPr="00273106">
        <w:t xml:space="preserve">Ale my přece víme, že přijde, protože boží slovo je </w:t>
      </w:r>
      <w:r w:rsidR="084B3021" w:rsidRPr="084B3021">
        <w:rPr>
          <w:i/>
        </w:rPr>
        <w:t>summa</w:t>
      </w:r>
      <w:r w:rsidR="084B3021">
        <w:t xml:space="preserve"> </w:t>
      </w:r>
      <w:r w:rsidR="009F6309" w:rsidRPr="00273106">
        <w:rPr>
          <w:i/>
        </w:rPr>
        <w:t>veritas</w:t>
      </w:r>
      <w:r w:rsidR="009F6309" w:rsidRPr="00273106">
        <w:t xml:space="preserve"> a zakládá ultimativní horizont pravdy jako </w:t>
      </w:r>
      <w:r w:rsidR="009F6309" w:rsidRPr="00273106">
        <w:rPr>
          <w:i/>
        </w:rPr>
        <w:t>rectitudo</w:t>
      </w:r>
      <w:r w:rsidR="009F6309" w:rsidRPr="00273106">
        <w:t xml:space="preserve">. </w:t>
      </w:r>
      <w:r w:rsidR="000A6DEC" w:rsidRPr="00273106">
        <w:t xml:space="preserve">Grosseteste </w:t>
      </w:r>
      <w:r w:rsidR="08613464" w:rsidRPr="00273106">
        <w:t xml:space="preserve">univočně a nerozlišeně </w:t>
      </w:r>
      <w:r w:rsidR="000A6DEC" w:rsidRPr="00273106">
        <w:t xml:space="preserve">spojil </w:t>
      </w:r>
      <w:r w:rsidR="0024666C" w:rsidRPr="00273106">
        <w:t xml:space="preserve">příchod Antikrista </w:t>
      </w:r>
      <w:r w:rsidR="000A6DEC" w:rsidRPr="00273106">
        <w:t>s oběma druhy nutnosti (</w:t>
      </w:r>
      <w:r w:rsidR="08613464" w:rsidRPr="00273106">
        <w:rPr>
          <w:i/>
        </w:rPr>
        <w:t>necessarium</w:t>
      </w:r>
      <w:r w:rsidR="08613464" w:rsidRPr="00273106">
        <w:t xml:space="preserve"> </w:t>
      </w:r>
      <w:r w:rsidR="000A6DEC" w:rsidRPr="00273106">
        <w:rPr>
          <w:i/>
        </w:rPr>
        <w:t>respective et absolute</w:t>
      </w:r>
      <w:r w:rsidR="08613464" w:rsidRPr="00273106">
        <w:t>). Tyto dva druhy nut</w:t>
      </w:r>
      <w:r w:rsidR="009F6309" w:rsidRPr="00273106">
        <w:t>n</w:t>
      </w:r>
      <w:r w:rsidR="089F66E2">
        <w:t>osti ale výslovně roz</w:t>
      </w:r>
      <w:r w:rsidR="08613464" w:rsidRPr="00273106">
        <w:t>li</w:t>
      </w:r>
      <w:r w:rsidR="089F66E2">
        <w:t>ši</w:t>
      </w:r>
      <w:r w:rsidR="08613464" w:rsidRPr="00273106">
        <w:t xml:space="preserve">l </w:t>
      </w:r>
      <w:r w:rsidR="00CE5874">
        <w:t xml:space="preserve">citovaný </w:t>
      </w:r>
      <w:r w:rsidR="000A6DEC" w:rsidRPr="00273106">
        <w:t xml:space="preserve">spis </w:t>
      </w:r>
      <w:r w:rsidR="000A6DEC" w:rsidRPr="00273106">
        <w:rPr>
          <w:i/>
        </w:rPr>
        <w:t>Logica „Cum sit nostra“</w:t>
      </w:r>
      <w:r w:rsidR="089F66E2">
        <w:t xml:space="preserve">. Stará škola </w:t>
      </w:r>
      <w:r w:rsidR="08613464" w:rsidRPr="00273106">
        <w:t>chápal</w:t>
      </w:r>
      <w:r w:rsidR="089F66E2">
        <w:t>a</w:t>
      </w:r>
      <w:r w:rsidR="08613464" w:rsidRPr="00273106">
        <w:t xml:space="preserve"> logiku v původním aristotelském významu </w:t>
      </w:r>
      <w:r w:rsidR="08613464" w:rsidRPr="085C2660">
        <w:rPr>
          <w:i/>
        </w:rPr>
        <w:t>Kategori</w:t>
      </w:r>
      <w:r w:rsidR="08C02511">
        <w:rPr>
          <w:i/>
        </w:rPr>
        <w:t>í</w:t>
      </w:r>
      <w:r w:rsidR="08613464" w:rsidRPr="00273106">
        <w:t xml:space="preserve"> a </w:t>
      </w:r>
      <w:r w:rsidR="08FC6083" w:rsidRPr="00273106">
        <w:rPr>
          <w:i/>
        </w:rPr>
        <w:t>De Interpretatione</w:t>
      </w:r>
      <w:r w:rsidR="08613464" w:rsidRPr="00273106">
        <w:t xml:space="preserve">. </w:t>
      </w:r>
      <w:r w:rsidR="009F6309" w:rsidRPr="00273106">
        <w:t>Z hlediska aristoteliků není příchod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9F6309" w:rsidRPr="00273106">
        <w:t xml:space="preserve"> </w:t>
      </w:r>
      <w:r w:rsidR="00FC2E56">
        <w:t xml:space="preserve">racionálně </w:t>
      </w:r>
      <w:r w:rsidR="009F6309" w:rsidRPr="00273106">
        <w:t>rozhodnutelný</w:t>
      </w:r>
      <w:r w:rsidR="00DF3136">
        <w:t xml:space="preserve">. </w:t>
      </w:r>
      <w:r w:rsidR="00FC2E56">
        <w:t>Antikrist není aktuální první substance</w:t>
      </w:r>
      <w:r w:rsidR="009F6309" w:rsidRPr="00273106">
        <w:t xml:space="preserve"> a jeho existence je postulována jako věc víry, nikoliv rozumového poznání determinovaného existencí</w:t>
      </w:r>
      <w:r w:rsidR="00903782">
        <w:t xml:space="preserve"> první substance dané reálně</w:t>
      </w:r>
      <w:r w:rsidR="009F6309" w:rsidRPr="00273106">
        <w:t xml:space="preserve">. </w:t>
      </w:r>
      <w:r w:rsidR="08450A69">
        <w:t xml:space="preserve">Tím spíše je </w:t>
      </w:r>
      <w:r w:rsidR="08450A69">
        <w:lastRenderedPageBreak/>
        <w:t>neurčitý budoucí příchod Antikrista, protože tato substa</w:t>
      </w:r>
      <w:r w:rsidR="08161B00">
        <w:t xml:space="preserve">nce </w:t>
      </w:r>
      <w:r w:rsidR="08450A69">
        <w:t>reálně vůbec neexistuje</w:t>
      </w:r>
      <w:r w:rsidR="008372A9">
        <w:t>,</w:t>
      </w:r>
      <w:r w:rsidR="00DF3136">
        <w:t xml:space="preserve"> a navíc má přijít v budoucnosti</w:t>
      </w:r>
      <w:r w:rsidR="08450A69">
        <w:t xml:space="preserve">. </w:t>
      </w:r>
      <w:r w:rsidR="00AF3030" w:rsidRPr="00AF3030">
        <w:t xml:space="preserve">Logická </w:t>
      </w:r>
      <w:r w:rsidR="00AF3030">
        <w:t xml:space="preserve">esence Antikrista v modu </w:t>
      </w:r>
      <w:r w:rsidR="00AF3030" w:rsidRPr="00AF3030">
        <w:rPr>
          <w:i/>
        </w:rPr>
        <w:t>absolute</w:t>
      </w:r>
      <w:r w:rsidR="00AF3030" w:rsidRPr="00AF3030">
        <w:t xml:space="preserve"> (stejně jako </w:t>
      </w:r>
      <w:r w:rsidR="00AF3030">
        <w:t xml:space="preserve">esence </w:t>
      </w:r>
      <w:r w:rsidR="00AF3030" w:rsidRPr="00AF3030">
        <w:t xml:space="preserve">chiméry) </w:t>
      </w:r>
      <w:r w:rsidR="008372A9">
        <w:t xml:space="preserve">je považována za metafyzické </w:t>
      </w:r>
      <w:r w:rsidR="00AF3030">
        <w:t>species na úrovni d</w:t>
      </w:r>
      <w:r w:rsidR="00AF3030" w:rsidRPr="00AF3030">
        <w:t>ruhé substance</w:t>
      </w:r>
      <w:r w:rsidR="008372A9">
        <w:t xml:space="preserve"> vzniklé impozicí</w:t>
      </w:r>
      <w:r w:rsidR="00AF3030" w:rsidRPr="00AF3030">
        <w:t xml:space="preserve">. </w:t>
      </w:r>
      <w:r w:rsidR="00AF3030">
        <w:t>Ta v</w:t>
      </w:r>
      <w:r w:rsidR="00AF3030" w:rsidRPr="00AF3030">
        <w:t>ytváří metafy</w:t>
      </w:r>
      <w:r w:rsidR="00AF3030">
        <w:t xml:space="preserve">zickou nutnost v modu </w:t>
      </w:r>
      <w:r w:rsidR="00AF3030" w:rsidRPr="00AF3030">
        <w:rPr>
          <w:i/>
        </w:rPr>
        <w:t>relative</w:t>
      </w:r>
      <w:r w:rsidR="00AF3030" w:rsidRPr="00AF3030">
        <w:t xml:space="preserve"> (jako minulá existence Sokrata nebo Krista) </w:t>
      </w:r>
      <w:r w:rsidR="00AF3030">
        <w:t xml:space="preserve">díky impozici významu </w:t>
      </w:r>
      <w:r w:rsidR="00AF3030" w:rsidRPr="00AF3030">
        <w:t>z reality.</w:t>
      </w:r>
      <w:r w:rsidR="007C5032">
        <w:t xml:space="preserve"> </w:t>
      </w:r>
      <w:r w:rsidR="00B57602">
        <w:t xml:space="preserve">Pro první averroismus není příchod Antikrista věcí rozumu vázaného na poznání reálné věci, ale </w:t>
      </w:r>
      <w:r w:rsidR="00F026B4">
        <w:t xml:space="preserve">křesťanské </w:t>
      </w:r>
      <w:r w:rsidR="00B57602">
        <w:t xml:space="preserve">víry. </w:t>
      </w:r>
      <w:r w:rsidR="003D1533">
        <w:t>Chtónické síly C</w:t>
      </w:r>
      <w:r w:rsidR="08DD3AAB">
        <w:t>haos</w:t>
      </w:r>
      <w:r w:rsidR="003D1533">
        <w:t>u</w:t>
      </w:r>
      <w:r w:rsidR="08DD3AAB">
        <w:t xml:space="preserve"> vládno</w:t>
      </w:r>
      <w:r w:rsidR="0880130E">
        <w:t>ucí na mystickém Oxfordu nemohl</w:t>
      </w:r>
      <w:r w:rsidR="003D1533">
        <w:t>y</w:t>
      </w:r>
      <w:r w:rsidR="0880130E">
        <w:t xml:space="preserve"> </w:t>
      </w:r>
      <w:r w:rsidR="08DD3AAB">
        <w:t xml:space="preserve">dopustit, aby nižší pravdy dané z </w:t>
      </w:r>
      <w:r w:rsidR="08DD3AAB" w:rsidRPr="08DD3AAB">
        <w:rPr>
          <w:i/>
        </w:rPr>
        <w:t>intellectus debilis</w:t>
      </w:r>
      <w:r w:rsidR="08DD3AAB">
        <w:t xml:space="preserve"> určovaly tak vážnou věc, jako je příchod této důležité démonické bytosti. </w:t>
      </w:r>
      <w:r w:rsidR="08161B00">
        <w:t>Grosseteste představuje nového aristotelského</w:t>
      </w:r>
      <w:r w:rsidR="08161B00" w:rsidRPr="00273106">
        <w:t xml:space="preserve"> protagonistu</w:t>
      </w:r>
      <w:r w:rsidR="08161B00">
        <w:t xml:space="preserve"> Toledské školy</w:t>
      </w:r>
      <w:r w:rsidR="08161B00" w:rsidRPr="00273106">
        <w:t xml:space="preserve">, který věří na jednu pravdu jako </w:t>
      </w:r>
      <w:r w:rsidR="08161B00" w:rsidRPr="00273106">
        <w:rPr>
          <w:i/>
        </w:rPr>
        <w:t>summa veritas</w:t>
      </w:r>
      <w:r w:rsidR="08161B00" w:rsidRPr="00273106">
        <w:t xml:space="preserve"> danou esenciálně ve věčném božím slově. </w:t>
      </w:r>
      <w:r w:rsidR="08DD3AAB">
        <w:t>Pod vedením biblicky vzdělaných Fúrií není osvícenému rozumu nic nemožného. E</w:t>
      </w:r>
      <w:r w:rsidR="00C070EB">
        <w:t xml:space="preserve">senciální </w:t>
      </w:r>
      <w:r w:rsidR="00B57602">
        <w:t>v</w:t>
      </w:r>
      <w:r w:rsidR="00497657">
        <w:t>ír</w:t>
      </w:r>
      <w:r w:rsidR="00C070EB">
        <w:t xml:space="preserve">a moderny a postmoderny i </w:t>
      </w:r>
      <w:r w:rsidR="003334C9">
        <w:t xml:space="preserve">objektivní </w:t>
      </w:r>
      <w:r w:rsidR="00497657">
        <w:t>hory přenáší</w:t>
      </w:r>
      <w:r w:rsidR="003334C9">
        <w:t xml:space="preserve">. Aktuálně </w:t>
      </w:r>
      <w:r w:rsidR="08B21E96">
        <w:t xml:space="preserve">neexistující </w:t>
      </w:r>
      <w:r w:rsidR="00662E43">
        <w:t xml:space="preserve">Antikrist dostal </w:t>
      </w:r>
      <w:r w:rsidR="00C070EB">
        <w:t xml:space="preserve">čestnou </w:t>
      </w:r>
      <w:r w:rsidR="00B9035A">
        <w:t>funkci zaklada</w:t>
      </w:r>
      <w:r w:rsidR="00662E43">
        <w:t xml:space="preserve">tele </w:t>
      </w:r>
      <w:r w:rsidR="00B9035A">
        <w:t>a o</w:t>
      </w:r>
      <w:r w:rsidR="006B0249">
        <w:t xml:space="preserve">tce </w:t>
      </w:r>
      <w:r w:rsidR="00662E43">
        <w:t xml:space="preserve">moderní logiky. </w:t>
      </w:r>
      <w:r w:rsidR="00C9359E" w:rsidRPr="00273106">
        <w:t>Spekulace o příchodu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C9359E" w:rsidRPr="00273106">
        <w:t xml:space="preserve"> je v ř</w:t>
      </w:r>
      <w:r w:rsidR="001A08F3" w:rsidRPr="00273106">
        <w:t>ádu víry stejně determinovanou pravdou</w:t>
      </w:r>
      <w:r w:rsidR="00C9359E" w:rsidRPr="00273106">
        <w:t xml:space="preserve"> jako Aristotelova adekvace intelektu a aktuálně dané první substance. </w:t>
      </w:r>
      <w:r w:rsidR="007074C5" w:rsidRPr="00273106">
        <w:t>Gross</w:t>
      </w:r>
      <w:r w:rsidR="00410009">
        <w:t>e</w:t>
      </w:r>
      <w:r w:rsidR="007074C5" w:rsidRPr="00273106">
        <w:t xml:space="preserve">teste </w:t>
      </w:r>
      <w:r w:rsidR="007074C5">
        <w:t>jako k</w:t>
      </w:r>
      <w:r w:rsidR="084A6BC3">
        <w:t>atolický kněz,</w:t>
      </w:r>
      <w:r w:rsidR="00C9359E" w:rsidRPr="00273106">
        <w:t xml:space="preserve"> magistr</w:t>
      </w:r>
      <w:r w:rsidR="08B61ECD">
        <w:t xml:space="preserve"> teologie</w:t>
      </w:r>
      <w:r w:rsidR="084A6BC3">
        <w:t>,</w:t>
      </w:r>
      <w:r w:rsidR="08BD16F4">
        <w:t xml:space="preserve"> zaklada</w:t>
      </w:r>
      <w:r w:rsidR="08BB34D7">
        <w:t xml:space="preserve">tel </w:t>
      </w:r>
      <w:r w:rsidR="08BD16F4">
        <w:t xml:space="preserve">františkánského </w:t>
      </w:r>
      <w:r w:rsidR="08BB34D7">
        <w:t xml:space="preserve">univerzitního </w:t>
      </w:r>
      <w:r w:rsidR="007074C5">
        <w:t>kolegia v Oxfordu</w:t>
      </w:r>
      <w:r w:rsidR="084A6BC3">
        <w:t xml:space="preserve"> a </w:t>
      </w:r>
      <w:r w:rsidR="084A6BC3" w:rsidRPr="00273106">
        <w:t>biskup v Lincolnu</w:t>
      </w:r>
      <w:r w:rsidR="007074C5">
        <w:t xml:space="preserve"> přece </w:t>
      </w:r>
      <w:r w:rsidR="00C9359E" w:rsidRPr="00273106">
        <w:t>ví</w:t>
      </w:r>
      <w:r w:rsidR="00B3314B">
        <w:t xml:space="preserve"> s ontoteologickou jistotou</w:t>
      </w:r>
      <w:r w:rsidR="00C9359E" w:rsidRPr="00273106">
        <w:t>, že Antikrist přij</w:t>
      </w:r>
      <w:r w:rsidR="00A04684">
        <w:t>de</w:t>
      </w:r>
      <w:r w:rsidR="00C9359E" w:rsidRPr="00273106">
        <w:t xml:space="preserve">. Tuto pravdu víry musí potvrdit i logika a metafyzika, navíc opřená o teologický význam kontigentní svobodné vůle. </w:t>
      </w:r>
      <w:r w:rsidR="005E4FE9" w:rsidRPr="00273106">
        <w:t xml:space="preserve">Proto je </w:t>
      </w:r>
      <w:r w:rsidR="009A6714" w:rsidRPr="00273106">
        <w:t xml:space="preserve">třeba vybudovat </w:t>
      </w:r>
      <w:r w:rsidR="005B6C71">
        <w:t>v prostředí pravdy-</w:t>
      </w:r>
      <w:r w:rsidR="005B6C71" w:rsidRPr="005B6C71">
        <w:rPr>
          <w:i/>
        </w:rPr>
        <w:t>rectitudo</w:t>
      </w:r>
      <w:r w:rsidR="005B6C71">
        <w:t xml:space="preserve"> a </w:t>
      </w:r>
      <w:r w:rsidR="005B6C71" w:rsidRPr="005B6C71">
        <w:rPr>
          <w:i/>
        </w:rPr>
        <w:t>certitudo</w:t>
      </w:r>
      <w:r w:rsidR="08267F46">
        <w:t xml:space="preserve"> </w:t>
      </w:r>
      <w:r w:rsidR="009A6714" w:rsidRPr="00273106">
        <w:t xml:space="preserve">nové pojetí </w:t>
      </w:r>
      <w:r w:rsidR="005B6C71">
        <w:t>logické predikace</w:t>
      </w:r>
      <w:r w:rsidR="00410009">
        <w:t xml:space="preserve"> budoucích událostí</w:t>
      </w:r>
      <w:r w:rsidR="00F91BE7">
        <w:t>. Nová logika</w:t>
      </w:r>
      <w:r w:rsidR="005944A1">
        <w:fldChar w:fldCharType="begin"/>
      </w:r>
      <w:r w:rsidR="005944A1">
        <w:instrText xml:space="preserve"> XE "</w:instrText>
      </w:r>
      <w:r w:rsidR="005944A1" w:rsidRPr="006402AA">
        <w:instrText>predikace:Grosseteste</w:instrText>
      </w:r>
      <w:r w:rsidR="005944A1">
        <w:instrText xml:space="preserve">" </w:instrText>
      </w:r>
      <w:r w:rsidR="005944A1">
        <w:fldChar w:fldCharType="end"/>
      </w:r>
      <w:r w:rsidR="005E4FE9" w:rsidRPr="00273106">
        <w:t xml:space="preserve"> </w:t>
      </w:r>
      <w:r w:rsidR="00F91BE7">
        <w:t>není determinována</w:t>
      </w:r>
      <w:r w:rsidR="00410009">
        <w:t xml:space="preserve"> nahodilou</w:t>
      </w:r>
      <w:r w:rsidR="009A6714" w:rsidRPr="00273106">
        <w:t xml:space="preserve"> ex</w:t>
      </w:r>
      <w:r w:rsidR="00410009">
        <w:t>istencí</w:t>
      </w:r>
      <w:r w:rsidR="08830B0D" w:rsidRPr="00273106">
        <w:t xml:space="preserve"> první substance v reálu. </w:t>
      </w:r>
      <w:r w:rsidR="00410009">
        <w:t xml:space="preserve">Pak by totiž byl příchod Antikrista stejně neurčitelný, jako Aristotelova budoucí námořní bitva a boží slovo by přestalo platit jako </w:t>
      </w:r>
      <w:r w:rsidR="084B3021" w:rsidRPr="084B3021">
        <w:rPr>
          <w:i/>
        </w:rPr>
        <w:t>summa</w:t>
      </w:r>
      <w:r w:rsidR="084B3021">
        <w:t xml:space="preserve"> </w:t>
      </w:r>
      <w:r w:rsidR="00410009" w:rsidRPr="00410009">
        <w:rPr>
          <w:i/>
        </w:rPr>
        <w:t>veritas</w:t>
      </w:r>
      <w:r w:rsidR="084B3021">
        <w:t>.</w:t>
      </w:r>
    </w:p>
    <w:p w14:paraId="688FE209" w14:textId="5D2D9BE8" w:rsidR="000A6DEC" w:rsidRPr="084C4712" w:rsidRDefault="082D186A" w:rsidP="00EB0A4F">
      <w:pPr>
        <w:ind w:firstLine="397"/>
      </w:pPr>
      <w:r w:rsidRPr="00273106">
        <w:t xml:space="preserve">Dílo </w:t>
      </w:r>
      <w:r w:rsidRPr="00273106">
        <w:rPr>
          <w:i/>
        </w:rPr>
        <w:t>De veritate propositionis</w:t>
      </w:r>
      <w:r w:rsidRPr="00273106">
        <w:t xml:space="preserve"> </w:t>
      </w:r>
      <w:r w:rsidR="08830B0D" w:rsidRPr="00273106">
        <w:t xml:space="preserve">navazuje na spis </w:t>
      </w:r>
      <w:r w:rsidR="08830B0D" w:rsidRPr="00273106">
        <w:rPr>
          <w:i/>
        </w:rPr>
        <w:t>De veritate</w:t>
      </w:r>
      <w:r w:rsidR="08830B0D" w:rsidRPr="00273106">
        <w:t xml:space="preserve"> a </w:t>
      </w:r>
      <w:r w:rsidRPr="00273106">
        <w:t>ukazuje nový logický statut budoucích dějů vzhledem k příchodu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Pr="00273106">
        <w:t>. Tato budoucí nutná událost nahradila Aristot</w:t>
      </w:r>
      <w:r w:rsidR="00EB0A4F">
        <w:t xml:space="preserve">elovu aktuální první substanci. </w:t>
      </w:r>
      <w:r w:rsidR="00EB0A4F" w:rsidRPr="00EB0A4F">
        <w:t>Nepřítomné a budoucí události spojené s démonickým Antikristem dostaly metafyzickou hodnotu hyparchické nutnosti založené na existenci první substance.</w:t>
      </w:r>
      <w:r w:rsidR="00EB0A4F">
        <w:t xml:space="preserve"> </w:t>
      </w:r>
      <w:r w:rsidR="084B3021">
        <w:t>T</w:t>
      </w:r>
      <w:r w:rsidR="00B76A64">
        <w:t>ím</w:t>
      </w:r>
      <w:r w:rsidR="00B6529D">
        <w:t xml:space="preserve">to metafyzickým </w:t>
      </w:r>
      <w:r w:rsidR="00EB0A4F">
        <w:t xml:space="preserve">a mystickým </w:t>
      </w:r>
      <w:r w:rsidR="00B6529D">
        <w:t xml:space="preserve">omylem </w:t>
      </w:r>
      <w:r w:rsidR="00BB6DA6">
        <w:t>(</w:t>
      </w:r>
      <w:r w:rsidR="00BB6DA6" w:rsidRPr="00BB6DA6">
        <w:rPr>
          <w:i/>
        </w:rPr>
        <w:t>Irrtum</w:t>
      </w:r>
      <w:r w:rsidR="00BB6DA6">
        <w:t xml:space="preserve">) </w:t>
      </w:r>
      <w:r w:rsidR="00B76A64">
        <w:t xml:space="preserve">vznikla moderní logika. </w:t>
      </w:r>
      <w:r w:rsidR="08056898">
        <w:t xml:space="preserve">Založení logiky a metafyziky z </w:t>
      </w:r>
      <w:r w:rsidR="00102887">
        <w:t xml:space="preserve">démonologie (byť </w:t>
      </w:r>
      <w:r w:rsidR="08056898">
        <w:t>biblické</w:t>
      </w:r>
      <w:r w:rsidR="00102887">
        <w:t>)</w:t>
      </w:r>
      <w:r w:rsidR="08056898">
        <w:t xml:space="preserve"> </w:t>
      </w:r>
      <w:r w:rsidR="0831138F">
        <w:t xml:space="preserve">by </w:t>
      </w:r>
      <w:r w:rsidR="00102887">
        <w:t xml:space="preserve">nikdy </w:t>
      </w:r>
      <w:r w:rsidR="0831138F" w:rsidRPr="00273106">
        <w:t>nepřipustil</w:t>
      </w:r>
      <w:r w:rsidR="0831138F">
        <w:t xml:space="preserve"> Aristoteles</w:t>
      </w:r>
      <w:r w:rsidR="00221230">
        <w:t>,</w:t>
      </w:r>
      <w:r w:rsidR="0831138F" w:rsidRPr="00273106">
        <w:t xml:space="preserve"> </w:t>
      </w:r>
      <w:r w:rsidR="0831138F">
        <w:t>a tím ani klasické logické školy v linii Boethia a Abelarda</w:t>
      </w:r>
      <w:r w:rsidR="0831138F" w:rsidRPr="00273106">
        <w:t>.</w:t>
      </w:r>
      <w:r w:rsidR="0831138F">
        <w:t xml:space="preserve"> </w:t>
      </w:r>
      <w:r w:rsidR="00E202A3" w:rsidRPr="00273106">
        <w:t>První modernista</w:t>
      </w:r>
      <w:r w:rsidR="00D80D16">
        <w:t xml:space="preserve"> a </w:t>
      </w:r>
      <w:r w:rsidR="00A57EA2">
        <w:t xml:space="preserve">zbožný </w:t>
      </w:r>
      <w:r w:rsidR="00D80D16">
        <w:t xml:space="preserve">iluminát </w:t>
      </w:r>
      <w:r w:rsidR="08172B13">
        <w:t xml:space="preserve">Grosseteste </w:t>
      </w:r>
      <w:r w:rsidR="08236506" w:rsidRPr="00273106">
        <w:t xml:space="preserve">upravil </w:t>
      </w:r>
      <w:r w:rsidR="00D80D16">
        <w:t xml:space="preserve">pomocí hypostázované eschatologie </w:t>
      </w:r>
      <w:r w:rsidR="08236506" w:rsidRPr="00273106">
        <w:t xml:space="preserve">vztah </w:t>
      </w:r>
      <w:r w:rsidR="08236506" w:rsidRPr="00273106">
        <w:rPr>
          <w:i/>
        </w:rPr>
        <w:t>necessari</w:t>
      </w:r>
      <w:r w:rsidR="0826146B" w:rsidRPr="00273106">
        <w:rPr>
          <w:i/>
        </w:rPr>
        <w:t>u</w:t>
      </w:r>
      <w:r w:rsidR="08236506" w:rsidRPr="00273106">
        <w:rPr>
          <w:i/>
        </w:rPr>
        <w:t>m relative</w:t>
      </w:r>
      <w:r w:rsidR="08236506" w:rsidRPr="00273106">
        <w:t xml:space="preserve"> </w:t>
      </w:r>
      <w:r w:rsidR="08525970">
        <w:t>původně dané k predikaci reálné hy</w:t>
      </w:r>
      <w:r w:rsidR="0831138F">
        <w:t>par</w:t>
      </w:r>
      <w:r w:rsidR="08525970">
        <w:t xml:space="preserve">chické substance. Nový význam sofistické </w:t>
      </w:r>
      <w:r w:rsidR="08525970">
        <w:lastRenderedPageBreak/>
        <w:t xml:space="preserve">formy metafyzicko-logické nutnosti je určen </w:t>
      </w:r>
      <w:r w:rsidR="005944A1">
        <w:rPr>
          <w:rStyle w:val="addmd"/>
          <w:i/>
        </w:rPr>
        <w:fldChar w:fldCharType="begin"/>
      </w:r>
      <w:r w:rsidR="00DF1E3F">
        <w:instrText xml:space="preserve"> XE "nutnost:</w:instrText>
      </w:r>
      <w:r w:rsidR="005944A1">
        <w:rPr>
          <w:i/>
        </w:rPr>
        <w:instrText>relative</w:instrText>
      </w:r>
      <w:r w:rsidR="005944A1">
        <w:instrText xml:space="preserve">" </w:instrText>
      </w:r>
      <w:r w:rsidR="005944A1">
        <w:rPr>
          <w:rStyle w:val="addmd"/>
          <w:i/>
        </w:rPr>
        <w:fldChar w:fldCharType="end"/>
      </w:r>
      <w:r w:rsidR="08236506" w:rsidRPr="00273106">
        <w:t>vzhledem ke kontigentní budoucí události</w:t>
      </w:r>
      <w:r w:rsidR="00A57EA2">
        <w:t xml:space="preserve"> příchodu Antikrista</w:t>
      </w:r>
      <w:r w:rsidR="08172B13">
        <w:t xml:space="preserve">. </w:t>
      </w:r>
      <w:r w:rsidR="0831138F" w:rsidRPr="00273106">
        <w:t xml:space="preserve">Moderní dedukce běží od logické valence dané </w:t>
      </w:r>
      <w:r w:rsidR="0831138F" w:rsidRPr="00273106">
        <w:rPr>
          <w:i/>
        </w:rPr>
        <w:t>absolute</w:t>
      </w:r>
      <w:r w:rsidR="0831138F" w:rsidRPr="00273106">
        <w:t xml:space="preserve"> a </w:t>
      </w:r>
      <w:r w:rsidR="0831138F" w:rsidRPr="00273106">
        <w:rPr>
          <w:i/>
        </w:rPr>
        <w:t>per se</w:t>
      </w:r>
      <w:r w:rsidR="0831138F" w:rsidRPr="00273106">
        <w:t xml:space="preserve"> k potenciální možnosti dané pouze </w:t>
      </w:r>
      <w:r w:rsidR="0831138F" w:rsidRPr="00273106">
        <w:rPr>
          <w:i/>
        </w:rPr>
        <w:t>per accidens</w:t>
      </w:r>
      <w:r w:rsidR="0831138F" w:rsidRPr="00273106">
        <w:t xml:space="preserve">, a tudíž prozatím nedeterminované co do pravdy a nepravdy. </w:t>
      </w:r>
      <w:r w:rsidR="00044DB2" w:rsidRPr="00273106">
        <w:t>Onto</w:t>
      </w:r>
      <w:r w:rsidR="00827300">
        <w:t>teo</w:t>
      </w:r>
      <w:r w:rsidR="00044DB2" w:rsidRPr="00273106">
        <w:t>logická danost budoucího nutného příchodu Antikrista je pro nás zatím neurčená</w:t>
      </w:r>
      <w:r w:rsidR="0005093F">
        <w:t xml:space="preserve"> vzhledem k akcidentální povaze této události. A</w:t>
      </w:r>
      <w:r w:rsidR="00044DB2" w:rsidRPr="00273106">
        <w:t>le její indeterminace je zasazena do</w:t>
      </w:r>
      <w:r w:rsidR="00872799" w:rsidRPr="00273106">
        <w:t xml:space="preserve"> esenciálního </w:t>
      </w:r>
      <w:r w:rsidR="00872799" w:rsidRPr="00273106">
        <w:rPr>
          <w:i/>
        </w:rPr>
        <w:t>rectitudo</w:t>
      </w:r>
      <w:r w:rsidR="00872799" w:rsidRPr="00273106">
        <w:t xml:space="preserve"> </w:t>
      </w:r>
      <w:r w:rsidR="00044DB2" w:rsidRPr="00273106">
        <w:t xml:space="preserve">jeho existence </w:t>
      </w:r>
      <w:r w:rsidR="00872799" w:rsidRPr="00273106">
        <w:t>garantované v Bibli</w:t>
      </w:r>
      <w:r w:rsidR="00044DB2" w:rsidRPr="00273106">
        <w:t xml:space="preserve">. </w:t>
      </w:r>
      <w:r w:rsidR="001D2FC2" w:rsidRPr="00273106">
        <w:t xml:space="preserve">Esenciální danost </w:t>
      </w:r>
      <w:r w:rsidR="00E377B4">
        <w:t xml:space="preserve">příchodu </w:t>
      </w:r>
      <w:r w:rsidR="001D2FC2" w:rsidRPr="00273106">
        <w:t>Antikrista je nutná</w:t>
      </w:r>
      <w:r w:rsidR="00827300">
        <w:t xml:space="preserve"> v modu </w:t>
      </w:r>
      <w:r w:rsidR="005A13CA" w:rsidRPr="00273106">
        <w:rPr>
          <w:i/>
        </w:rPr>
        <w:t>necessarium</w:t>
      </w:r>
      <w:r w:rsidR="005A13CA" w:rsidRPr="00273106">
        <w:t xml:space="preserve"> </w:t>
      </w:r>
      <w:r w:rsidR="005A13CA" w:rsidRPr="00273106">
        <w:rPr>
          <w:i/>
        </w:rPr>
        <w:t>per se</w:t>
      </w:r>
      <w:r w:rsidR="001D2FC2" w:rsidRPr="00273106">
        <w:t xml:space="preserve">, </w:t>
      </w:r>
      <w:r w:rsidR="00827300">
        <w:t>čili odděleně</w:t>
      </w:r>
      <w:r w:rsidR="00C0174F">
        <w:t xml:space="preserve"> (</w:t>
      </w:r>
      <w:r w:rsidR="00C0174F" w:rsidRPr="00C0174F">
        <w:rPr>
          <w:i/>
        </w:rPr>
        <w:t>absolute</w:t>
      </w:r>
      <w:r w:rsidR="004E2BC4">
        <w:rPr>
          <w:rStyle w:val="addmd"/>
          <w:i/>
        </w:rPr>
        <w:fldChar w:fldCharType="begin"/>
      </w:r>
      <w:r w:rsidR="004E2BC4">
        <w:instrText xml:space="preserve"> 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0C0174F">
        <w:t xml:space="preserve">) od </w:t>
      </w:r>
      <w:r w:rsidR="00827300">
        <w:t xml:space="preserve">současného </w:t>
      </w:r>
      <w:r w:rsidR="00C0174F">
        <w:t>stavu věcí v reálu. N</w:t>
      </w:r>
      <w:r w:rsidR="001D2FC2" w:rsidRPr="00273106">
        <w:t xml:space="preserve">ejasný je pouze </w:t>
      </w:r>
      <w:r w:rsidR="00681E88">
        <w:t>pro</w:t>
      </w:r>
      <w:r w:rsidR="001D2FC2" w:rsidRPr="00273106">
        <w:t>zatím neu</w:t>
      </w:r>
      <w:r w:rsidR="00681E88">
        <w:t>r</w:t>
      </w:r>
      <w:r w:rsidR="001D2FC2" w:rsidRPr="00273106">
        <w:t xml:space="preserve">čitý příchod </w:t>
      </w:r>
      <w:r w:rsidR="084F0565">
        <w:t xml:space="preserve">této démonické bytosti </w:t>
      </w:r>
      <w:r w:rsidR="001D2FC2" w:rsidRPr="00273106">
        <w:t xml:space="preserve">daný kontingentně. </w:t>
      </w:r>
      <w:r w:rsidR="007F1DB2" w:rsidRPr="00273106">
        <w:t>Jiná možnost, tj. neexistence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7F1DB2" w:rsidRPr="00273106">
        <w:t>, je vyloučena pod trestem exkomunikace</w:t>
      </w:r>
      <w:r w:rsidR="0892089A">
        <w:t xml:space="preserve">. </w:t>
      </w:r>
      <w:r w:rsidR="00880CCC" w:rsidRPr="00273106">
        <w:t xml:space="preserve">Grosseteste zavedl do </w:t>
      </w:r>
      <w:r w:rsidR="00050CDC" w:rsidRPr="00273106">
        <w:t xml:space="preserve">aristotelské </w:t>
      </w:r>
      <w:r w:rsidR="00880CCC" w:rsidRPr="00273106">
        <w:t xml:space="preserve">logiky </w:t>
      </w:r>
      <w:r w:rsidR="00050CDC" w:rsidRPr="00273106">
        <w:t xml:space="preserve">teologickou </w:t>
      </w:r>
      <w:r w:rsidR="00880CCC" w:rsidRPr="00273106">
        <w:t>dogmatiku</w:t>
      </w:r>
      <w:r w:rsidR="08A22E3E">
        <w:t xml:space="preserve"> a démonologii</w:t>
      </w:r>
      <w:r w:rsidR="00880CCC" w:rsidRPr="00273106">
        <w:t xml:space="preserve"> a tím ji změnil na moderní formální logiku. </w:t>
      </w:r>
      <w:r w:rsidR="08A22E3E">
        <w:t xml:space="preserve">Démonické </w:t>
      </w:r>
      <w:r w:rsidR="08FD16F2">
        <w:t xml:space="preserve">síly chaosu a pomsty </w:t>
      </w:r>
      <w:r w:rsidR="08A22E3E">
        <w:t xml:space="preserve">v podsvětí se jistě </w:t>
      </w:r>
      <w:r w:rsidR="08EE1824">
        <w:t>zaradovaly</w:t>
      </w:r>
      <w:r w:rsidR="08FD16F2">
        <w:t xml:space="preserve"> z tohoto </w:t>
      </w:r>
      <w:r w:rsidR="080C72BA">
        <w:t xml:space="preserve">pro ně velmi pozitivního a objektivního </w:t>
      </w:r>
      <w:r w:rsidR="08FD16F2">
        <w:t xml:space="preserve">vývoje </w:t>
      </w:r>
      <w:r w:rsidR="080531B2">
        <w:t xml:space="preserve">moderní </w:t>
      </w:r>
      <w:r w:rsidR="08FD16F2">
        <w:t>logiky</w:t>
      </w:r>
      <w:r w:rsidR="08EE1824">
        <w:t xml:space="preserve">. </w:t>
      </w:r>
      <w:r w:rsidR="080C72BA">
        <w:t>M</w:t>
      </w:r>
      <w:r w:rsidR="08A22E3E">
        <w:t>yšlení oxford</w:t>
      </w:r>
      <w:r w:rsidR="08EE1824">
        <w:t xml:space="preserve">ských iluminátů </w:t>
      </w:r>
      <w:r w:rsidR="08A22E3E">
        <w:t xml:space="preserve">odpoutané od reality první substance </w:t>
      </w:r>
      <w:r w:rsidR="080C72BA">
        <w:t xml:space="preserve">plně přešlo </w:t>
      </w:r>
      <w:r w:rsidR="08A22E3E">
        <w:t xml:space="preserve">na </w:t>
      </w:r>
      <w:r w:rsidR="080C72BA" w:rsidRPr="080C72BA">
        <w:rPr>
          <w:i/>
        </w:rPr>
        <w:t>via Modernorum</w:t>
      </w:r>
      <w:r w:rsidR="080C72BA">
        <w:t xml:space="preserve"> vedoucí do podsvětí</w:t>
      </w:r>
      <w:r w:rsidR="08A22E3E">
        <w:t>. N</w:t>
      </w:r>
      <w:r w:rsidR="08614C60">
        <w:t xml:space="preserve">ová verze </w:t>
      </w:r>
      <w:r w:rsidR="08614C60" w:rsidRPr="08614C60">
        <w:rPr>
          <w:i/>
        </w:rPr>
        <w:t>Oxfordian Fallacy</w:t>
      </w:r>
      <w:r w:rsidR="08614C60">
        <w:t xml:space="preserve"> se skrývá v sofismatu ohledně kladené nutnosti </w:t>
      </w:r>
      <w:r w:rsidR="08B853C2">
        <w:t>(</w:t>
      </w:r>
      <w:r w:rsidR="08B853C2" w:rsidRPr="00273106">
        <w:rPr>
          <w:i/>
        </w:rPr>
        <w:t>ponere necessitatem</w:t>
      </w:r>
      <w:r w:rsidR="08B853C2">
        <w:t xml:space="preserve">) </w:t>
      </w:r>
      <w:r w:rsidR="08614C60">
        <w:t xml:space="preserve">dané </w:t>
      </w:r>
      <w:r w:rsidR="08533296">
        <w:t xml:space="preserve">podle </w:t>
      </w:r>
      <w:r w:rsidR="08E60389">
        <w:t xml:space="preserve">nutnosti a univerzality </w:t>
      </w:r>
      <w:r w:rsidR="08614C60">
        <w:t>třetího druhu</w:t>
      </w:r>
      <w:r w:rsidR="08252249">
        <w:t xml:space="preserve"> vyloženého </w:t>
      </w:r>
      <w:r w:rsidR="08533296">
        <w:t>v předešlé kapitole</w:t>
      </w:r>
      <w:r w:rsidR="08614C60">
        <w:t>.</w:t>
      </w:r>
      <w:r w:rsidR="08EA4BEF">
        <w:t xml:space="preserve"> Následující citát zavádí nové </w:t>
      </w:r>
      <w:r w:rsidR="08EA4BEF" w:rsidRPr="08EA4BEF">
        <w:rPr>
          <w:i/>
        </w:rPr>
        <w:t>mysterium tremendum et fascinans</w:t>
      </w:r>
      <w:r w:rsidR="08EA4BEF">
        <w:t xml:space="preserve"> moderní logiky.</w:t>
      </w:r>
    </w:p>
    <w:p w14:paraId="72DF62AF" w14:textId="357E1449" w:rsidR="0012098F" w:rsidRPr="00273106" w:rsidRDefault="000A6DEC" w:rsidP="008840E9">
      <w:pPr>
        <w:pStyle w:val="Citace"/>
        <w:rPr>
          <w:noProof/>
          <w:lang w:val="cs-CZ"/>
        </w:rPr>
      </w:pPr>
      <w:r w:rsidRPr="00273106">
        <w:rPr>
          <w:noProof/>
          <w:lang w:val="cs-CZ"/>
        </w:rPr>
        <w:t>„</w:t>
      </w:r>
      <w:r w:rsidR="0012098F" w:rsidRPr="00273106">
        <w:rPr>
          <w:noProof/>
          <w:lang w:val="cs-CZ"/>
        </w:rPr>
        <w:t xml:space="preserve">Správně je řečeno, že pravda propozice </w:t>
      </w:r>
      <w:r w:rsidR="008840E9" w:rsidRPr="00273106">
        <w:rPr>
          <w:noProof/>
          <w:lang w:val="cs-CZ"/>
        </w:rPr>
        <w:t>'</w:t>
      </w:r>
      <w:r w:rsidR="0012098F" w:rsidRPr="00273106">
        <w:rPr>
          <w:noProof/>
          <w:lang w:val="cs-CZ"/>
        </w:rPr>
        <w:t>Antikrist jest</w:t>
      </w:r>
      <w:r w:rsidR="008840E9" w:rsidRPr="00273106">
        <w:rPr>
          <w:noProof/>
          <w:lang w:val="cs-CZ"/>
        </w:rPr>
        <w:t>'</w:t>
      </w:r>
      <w:r w:rsidR="0012098F" w:rsidRPr="00273106">
        <w:rPr>
          <w:noProof/>
          <w:lang w:val="cs-CZ"/>
        </w:rPr>
        <w:t xml:space="preserve"> zatím neplatí, protože to by n</w:t>
      </w:r>
      <w:r w:rsidR="080D78FF">
        <w:rPr>
          <w:noProof/>
          <w:lang w:val="cs-CZ"/>
        </w:rPr>
        <w:t xml:space="preserve">utně znamenalo, </w:t>
      </w:r>
      <w:r w:rsidR="0012098F" w:rsidRPr="00273106">
        <w:rPr>
          <w:noProof/>
          <w:lang w:val="cs-CZ"/>
        </w:rPr>
        <w:t>že je tady.  Tato pravda je dána v modu nezavršeného a neu</w:t>
      </w:r>
      <w:r w:rsidR="002431F9">
        <w:rPr>
          <w:noProof/>
          <w:lang w:val="cs-CZ"/>
        </w:rPr>
        <w:t>r</w:t>
      </w:r>
      <w:r w:rsidR="0012098F" w:rsidRPr="00273106">
        <w:rPr>
          <w:noProof/>
          <w:lang w:val="cs-CZ"/>
        </w:rPr>
        <w:t>č</w:t>
      </w:r>
      <w:r w:rsidR="002431F9">
        <w:rPr>
          <w:noProof/>
          <w:lang w:val="cs-CZ"/>
        </w:rPr>
        <w:t>e</w:t>
      </w:r>
      <w:r w:rsidR="0012098F" w:rsidRPr="00273106">
        <w:rPr>
          <w:noProof/>
          <w:lang w:val="cs-CZ"/>
        </w:rPr>
        <w:t>ného bytí (</w:t>
      </w:r>
      <w:r w:rsidR="0012098F" w:rsidRPr="00273106">
        <w:rPr>
          <w:i/>
          <w:noProof/>
          <w:lang w:val="cs-CZ"/>
        </w:rPr>
        <w:t>huius veritas est esse incompletum et indeterminatum</w:t>
      </w:r>
      <w:r w:rsidR="0012098F" w:rsidRPr="00273106">
        <w:rPr>
          <w:noProof/>
          <w:lang w:val="cs-CZ"/>
        </w:rPr>
        <w:t xml:space="preserve">). Pak musíme nutnost postavit nad tuto </w:t>
      </w:r>
      <w:r w:rsidR="00EB17A9">
        <w:rPr>
          <w:noProof/>
          <w:lang w:val="cs-CZ"/>
        </w:rPr>
        <w:t xml:space="preserve">pravdu a musíme ji dát vzhledem </w:t>
      </w:r>
      <w:r w:rsidR="008840E9" w:rsidRPr="00273106">
        <w:rPr>
          <w:noProof/>
          <w:lang w:val="cs-CZ"/>
        </w:rPr>
        <w:t>k</w:t>
      </w:r>
      <w:r w:rsidR="00EB17A9">
        <w:rPr>
          <w:noProof/>
          <w:lang w:val="cs-CZ"/>
        </w:rPr>
        <w:t xml:space="preserve"> prospektivnímu výroku této </w:t>
      </w:r>
      <w:r w:rsidR="008840E9" w:rsidRPr="00273106">
        <w:rPr>
          <w:noProof/>
          <w:lang w:val="cs-CZ"/>
        </w:rPr>
        <w:t>pravdy v budoucnosti (</w:t>
      </w:r>
      <w:r w:rsidR="008840E9" w:rsidRPr="00273106">
        <w:rPr>
          <w:i/>
          <w:noProof/>
          <w:lang w:val="cs-CZ"/>
        </w:rPr>
        <w:t>ponere necessitatem super assertionem de futuro</w:t>
      </w:r>
      <w:r w:rsidR="008840E9" w:rsidRPr="00273106">
        <w:rPr>
          <w:noProof/>
          <w:lang w:val="cs-CZ"/>
        </w:rPr>
        <w:t xml:space="preserve">), která </w:t>
      </w:r>
      <w:r w:rsidR="00BB08CD">
        <w:rPr>
          <w:noProof/>
          <w:lang w:val="cs-CZ"/>
        </w:rPr>
        <w:t>nastane (</w:t>
      </w:r>
      <w:r w:rsidR="00BB08CD" w:rsidRPr="00BB08CD">
        <w:rPr>
          <w:i/>
          <w:noProof/>
          <w:lang w:val="cs-CZ"/>
        </w:rPr>
        <w:t>quod erit</w:t>
      </w:r>
      <w:r w:rsidR="00BB08CD">
        <w:rPr>
          <w:noProof/>
          <w:lang w:val="cs-CZ"/>
        </w:rPr>
        <w:t xml:space="preserve">) </w:t>
      </w:r>
      <w:r w:rsidR="008840E9" w:rsidRPr="00273106">
        <w:rPr>
          <w:noProof/>
          <w:lang w:val="cs-CZ"/>
        </w:rPr>
        <w:t xml:space="preserve">a </w:t>
      </w:r>
      <w:r w:rsidR="080D78FF">
        <w:rPr>
          <w:noProof/>
          <w:lang w:val="cs-CZ"/>
        </w:rPr>
        <w:t xml:space="preserve">vzhledem </w:t>
      </w:r>
      <w:r w:rsidR="008840E9" w:rsidRPr="00273106">
        <w:rPr>
          <w:noProof/>
          <w:lang w:val="cs-CZ"/>
        </w:rPr>
        <w:t xml:space="preserve">k </w:t>
      </w:r>
      <w:r w:rsidR="00A6362B" w:rsidRPr="00273106">
        <w:rPr>
          <w:noProof/>
          <w:lang w:val="cs-CZ"/>
        </w:rPr>
        <w:t xml:space="preserve">budoucí </w:t>
      </w:r>
      <w:r w:rsidR="080D78FF">
        <w:rPr>
          <w:noProof/>
          <w:lang w:val="cs-CZ"/>
        </w:rPr>
        <w:t xml:space="preserve">existenci </w:t>
      </w:r>
      <w:r w:rsidR="00A6362B">
        <w:rPr>
          <w:noProof/>
          <w:lang w:val="cs-CZ"/>
        </w:rPr>
        <w:t xml:space="preserve">této </w:t>
      </w:r>
      <w:r w:rsidR="008840E9" w:rsidRPr="00273106">
        <w:rPr>
          <w:noProof/>
          <w:lang w:val="cs-CZ"/>
        </w:rPr>
        <w:t>věci (</w:t>
      </w:r>
      <w:r w:rsidR="008840E9" w:rsidRPr="00273106">
        <w:rPr>
          <w:i/>
          <w:noProof/>
          <w:lang w:val="cs-CZ"/>
        </w:rPr>
        <w:t>existentiam rei futurae</w:t>
      </w:r>
      <w:r w:rsidR="008840E9" w:rsidRPr="00273106">
        <w:rPr>
          <w:noProof/>
          <w:lang w:val="cs-CZ"/>
        </w:rPr>
        <w:t xml:space="preserve">). </w:t>
      </w:r>
      <w:r w:rsidR="00CD0116">
        <w:rPr>
          <w:noProof/>
          <w:lang w:val="cs-CZ"/>
        </w:rPr>
        <w:t>P</w:t>
      </w:r>
      <w:r w:rsidR="008840E9" w:rsidRPr="00273106">
        <w:rPr>
          <w:noProof/>
          <w:lang w:val="cs-CZ"/>
        </w:rPr>
        <w:t>ropozic</w:t>
      </w:r>
      <w:r w:rsidR="00CD0116">
        <w:rPr>
          <w:noProof/>
          <w:lang w:val="cs-CZ"/>
        </w:rPr>
        <w:t>e</w:t>
      </w:r>
      <w:r w:rsidR="008840E9" w:rsidRPr="00273106">
        <w:rPr>
          <w:noProof/>
          <w:lang w:val="cs-CZ"/>
        </w:rPr>
        <w:t xml:space="preserve"> typu 'Antikrist bude', či 'Antikrist je v budoucnosti' je pravdivá nikoliv nutně (</w:t>
      </w:r>
      <w:r w:rsidR="008840E9" w:rsidRPr="00273106">
        <w:rPr>
          <w:i/>
          <w:noProof/>
          <w:lang w:val="cs-CZ"/>
        </w:rPr>
        <w:t>est vera non necessaria</w:t>
      </w:r>
      <w:r w:rsidR="008840E9" w:rsidRPr="00273106">
        <w:rPr>
          <w:noProof/>
          <w:lang w:val="cs-CZ"/>
        </w:rPr>
        <w:t xml:space="preserve">), ale jen </w:t>
      </w:r>
      <w:r w:rsidR="00B86D90">
        <w:rPr>
          <w:noProof/>
          <w:lang w:val="cs-CZ"/>
        </w:rPr>
        <w:t xml:space="preserve">nahodile, a </w:t>
      </w:r>
      <w:r w:rsidR="080D78FF">
        <w:rPr>
          <w:noProof/>
          <w:lang w:val="cs-CZ"/>
        </w:rPr>
        <w:t>v této podobě může být i mylná</w:t>
      </w:r>
      <w:r w:rsidR="00C2125E">
        <w:rPr>
          <w:noProof/>
          <w:lang w:val="cs-CZ"/>
        </w:rPr>
        <w:t>.</w:t>
      </w:r>
      <w:r w:rsidR="008840E9" w:rsidRPr="00273106">
        <w:rPr>
          <w:noProof/>
          <w:lang w:val="cs-CZ"/>
        </w:rPr>
        <w:t>“</w:t>
      </w:r>
      <w:r w:rsidR="00C2125E">
        <w:rPr>
          <w:noProof/>
          <w:lang w:val="cs-CZ"/>
        </w:rPr>
        <w:t> </w:t>
      </w:r>
      <w:r w:rsidR="0012098F" w:rsidRPr="00273106">
        <w:rPr>
          <w:rStyle w:val="Znakapoznpodarou"/>
          <w:noProof/>
          <w:lang w:val="cs-CZ"/>
        </w:rPr>
        <w:footnoteReference w:id="326"/>
      </w:r>
      <w:r w:rsidRPr="00273106">
        <w:rPr>
          <w:noProof/>
          <w:lang w:val="cs-CZ"/>
        </w:rPr>
        <w:t xml:space="preserve"> </w:t>
      </w:r>
    </w:p>
    <w:p w14:paraId="59D8C46F" w14:textId="18C422B3" w:rsidR="001D746C" w:rsidRDefault="00E56ECE" w:rsidP="08D70F0E">
      <w:r w:rsidRPr="00E56ECE">
        <w:t xml:space="preserve">Příchod moderní nutnosti se skrývá v tvrzení, že příchod Antikrista je dán </w:t>
      </w:r>
      <w:r>
        <w:t xml:space="preserve">jako jsoucno </w:t>
      </w:r>
      <w:r w:rsidRPr="00E56ECE">
        <w:t>třetího druhu (</w:t>
      </w:r>
      <w:r w:rsidRPr="00E56ECE">
        <w:rPr>
          <w:i/>
        </w:rPr>
        <w:t>esse incompletum et indeterminatum</w:t>
      </w:r>
      <w:r w:rsidRPr="00E56ECE">
        <w:t xml:space="preserve">). </w:t>
      </w:r>
      <w:r w:rsidR="00052FBD">
        <w:t>Impozice významu z existující reality není třeba, stačí dogmaticky daná supozice</w:t>
      </w:r>
      <w:r w:rsidR="00052FBD">
        <w:fldChar w:fldCharType="begin"/>
      </w:r>
      <w:r w:rsidR="00052FBD">
        <w:instrText xml:space="preserve"> XE "</w:instrText>
      </w:r>
      <w:r w:rsidR="00052FBD" w:rsidRPr="00697639">
        <w:instrText>supozice:logická</w:instrText>
      </w:r>
      <w:r w:rsidR="00052FBD">
        <w:instrText xml:space="preserve">" </w:instrText>
      </w:r>
      <w:r w:rsidR="00052FBD">
        <w:fldChar w:fldCharType="end"/>
      </w:r>
      <w:r w:rsidR="00052FBD">
        <w:t xml:space="preserve">. </w:t>
      </w:r>
      <w:r w:rsidRPr="00E56ECE">
        <w:t xml:space="preserve">Pro takovou neúplnou a </w:t>
      </w:r>
      <w:r w:rsidRPr="00E56ECE">
        <w:lastRenderedPageBreak/>
        <w:t xml:space="preserve">nejasnou </w:t>
      </w:r>
      <w:r w:rsidR="00955AD4">
        <w:t xml:space="preserve">událost </w:t>
      </w:r>
      <w:r w:rsidRPr="00E56ECE">
        <w:t>je logicky předpokládána odpovídající moderní nutnost třetího druhu (</w:t>
      </w:r>
      <w:r w:rsidRPr="00955AD4">
        <w:rPr>
          <w:i/>
        </w:rPr>
        <w:t>ponere necessitatem super assertionem de futuro</w:t>
      </w:r>
      <w:r w:rsidRPr="00E56ECE">
        <w:t>).</w:t>
      </w:r>
      <w:r w:rsidR="00955AD4">
        <w:t xml:space="preserve"> </w:t>
      </w:r>
      <w:r w:rsidR="00BF19FD">
        <w:t>Poetická p</w:t>
      </w:r>
      <w:r w:rsidR="00F477C7">
        <w:t xml:space="preserve">ravda moderní logiky je dána v tvrzení </w:t>
      </w:r>
      <w:r w:rsidR="00F477C7" w:rsidRPr="00F477C7">
        <w:rPr>
          <w:i/>
        </w:rPr>
        <w:t>idem enim est</w:t>
      </w:r>
      <w:r w:rsidR="00F477C7">
        <w:t xml:space="preserve">, které jasně ukazuje identitární charakter nové metafyziky založené na </w:t>
      </w:r>
      <w:r w:rsidR="00105019">
        <w:t xml:space="preserve">schématu </w:t>
      </w:r>
      <w:r w:rsidR="00F477C7" w:rsidRPr="00AB3B99">
        <w:rPr>
          <w:i/>
        </w:rPr>
        <w:t>Oxfordian Fallacy</w:t>
      </w:r>
      <w:r w:rsidR="00F477C7">
        <w:t xml:space="preserve">. Radostná věda </w:t>
      </w:r>
      <w:r w:rsidR="086C680E">
        <w:t xml:space="preserve">mytopoetické </w:t>
      </w:r>
      <w:r w:rsidR="00F477C7">
        <w:t xml:space="preserve">moderny </w:t>
      </w:r>
      <w:r w:rsidR="08471470">
        <w:t xml:space="preserve">objektivně nutně </w:t>
      </w:r>
      <w:r w:rsidR="00F477C7">
        <w:t xml:space="preserve">potřebuje </w:t>
      </w:r>
      <w:r w:rsidR="00105019">
        <w:t xml:space="preserve">budoucí příchod </w:t>
      </w:r>
      <w:r w:rsidR="00F477C7">
        <w:t xml:space="preserve">Antikrista, aby dostala </w:t>
      </w:r>
      <w:r w:rsidR="084D4F9B">
        <w:t>metafyzicky-</w:t>
      </w:r>
      <w:r w:rsidR="00F477C7">
        <w:t>logickou platnost. Kla</w:t>
      </w:r>
      <w:r w:rsidR="00AB3B99">
        <w:t>sic</w:t>
      </w:r>
      <w:r w:rsidR="00F477C7">
        <w:t xml:space="preserve">ká logika </w:t>
      </w:r>
      <w:r w:rsidR="08AC2700">
        <w:t xml:space="preserve">a </w:t>
      </w:r>
      <w:r w:rsidR="003B7C69">
        <w:t xml:space="preserve">aristotelská </w:t>
      </w:r>
      <w:r w:rsidR="08AC2700">
        <w:t xml:space="preserve">věda </w:t>
      </w:r>
      <w:r w:rsidR="003B7C69">
        <w:t>bohužel nemají</w:t>
      </w:r>
      <w:r w:rsidR="001D704C">
        <w:t xml:space="preserve"> charakter Nietzscheho</w:t>
      </w:r>
      <w:r w:rsidR="001D704C">
        <w:fldChar w:fldCharType="begin"/>
      </w:r>
      <w:r w:rsidR="001D704C">
        <w:instrText xml:space="preserve"> XE "</w:instrText>
      </w:r>
      <w:r w:rsidR="001D704C" w:rsidRPr="00647624">
        <w:instrText>Nietzsche, F.</w:instrText>
      </w:r>
      <w:r w:rsidR="001D704C">
        <w:instrText xml:space="preserve">" </w:instrText>
      </w:r>
      <w:r w:rsidR="001D704C">
        <w:fldChar w:fldCharType="end"/>
      </w:r>
      <w:r w:rsidR="001D704C">
        <w:t xml:space="preserve"> „radostné vědy“</w:t>
      </w:r>
      <w:r w:rsidR="00F477C7">
        <w:t xml:space="preserve">, protože </w:t>
      </w:r>
      <w:r w:rsidR="082A4A9C">
        <w:t xml:space="preserve">existence </w:t>
      </w:r>
      <w:r w:rsidR="0080399B">
        <w:t>Antikrista jako první subst</w:t>
      </w:r>
      <w:r w:rsidR="00F477C7">
        <w:t xml:space="preserve">ance není </w:t>
      </w:r>
      <w:r w:rsidR="003E1DDB">
        <w:t xml:space="preserve">fyzicky </w:t>
      </w:r>
      <w:r w:rsidR="00F477C7">
        <w:t>dána</w:t>
      </w:r>
      <w:r w:rsidR="089B6D74">
        <w:t xml:space="preserve"> zde a nyní. </w:t>
      </w:r>
      <w:r w:rsidR="08FB0F10">
        <w:t>Pro Antikrista c</w:t>
      </w:r>
      <w:r w:rsidR="089B6D74">
        <w:t xml:space="preserve">hybí </w:t>
      </w:r>
      <w:r w:rsidR="08331EEC">
        <w:t xml:space="preserve">hyparchická </w:t>
      </w:r>
      <w:r w:rsidR="089B6D74">
        <w:t xml:space="preserve">impozice a proto o jeho budoucím příchodu </w:t>
      </w:r>
      <w:r w:rsidR="00F477C7">
        <w:t>nemůže být nic predikováno</w:t>
      </w:r>
      <w:r w:rsidR="089B6D74">
        <w:t xml:space="preserve"> v oboru logiky</w:t>
      </w:r>
      <w:r w:rsidR="00F477C7">
        <w:t xml:space="preserve">. Identitární pojetí logiky ruší </w:t>
      </w:r>
      <w:r w:rsidR="00B97F10">
        <w:t>rozdíl mezi metafyzicko</w:t>
      </w:r>
      <w:r w:rsidR="08331EEC">
        <w:t>u a logickou nutností. N</w:t>
      </w:r>
      <w:r w:rsidR="00B97F10">
        <w:t xml:space="preserve">ová forma nutnosti platí v modu Avicennovy absolutní jednoduchosti vázané na přímý náhled objektivních esencí typu </w:t>
      </w:r>
      <w:r w:rsidR="00B97F10" w:rsidRPr="00B97F10">
        <w:rPr>
          <w:i/>
        </w:rPr>
        <w:t>equinitas tantum</w:t>
      </w:r>
      <w:r w:rsidR="00EC49C1">
        <w:t xml:space="preserve"> nebo </w:t>
      </w:r>
      <w:r w:rsidR="00EC49C1" w:rsidRPr="00273106">
        <w:rPr>
          <w:i/>
        </w:rPr>
        <w:t>hoc esse tantum</w:t>
      </w:r>
      <w:r w:rsidR="00EC49C1">
        <w:rPr>
          <w:i/>
        </w:rPr>
        <w:fldChar w:fldCharType="begin"/>
      </w:r>
      <w:r w:rsidR="00EC49C1">
        <w:instrText xml:space="preserve"> XE "</w:instrText>
      </w:r>
      <w:r w:rsidR="00EC49C1" w:rsidRPr="005A071C">
        <w:rPr>
          <w:i/>
          <w:lang w:eastAsia="en-US"/>
        </w:rPr>
        <w:instrText>hoc esse tantum</w:instrText>
      </w:r>
      <w:r w:rsidR="00EC49C1">
        <w:instrText xml:space="preserve">" </w:instrText>
      </w:r>
      <w:r w:rsidR="00EC49C1">
        <w:rPr>
          <w:i/>
        </w:rPr>
        <w:fldChar w:fldCharType="end"/>
      </w:r>
      <w:r w:rsidR="00EC49C1" w:rsidRPr="00FF4F70">
        <w:t xml:space="preserve"> </w:t>
      </w:r>
      <w:r w:rsidR="00EC49C1" w:rsidRPr="00273106">
        <w:t>(</w:t>
      </w:r>
      <w:r w:rsidR="08331EEC">
        <w:t xml:space="preserve">OBJ I, </w:t>
      </w:r>
      <w:r w:rsidR="00EC49C1" w:rsidRPr="00273106">
        <w:t>kap. 2.3.2)</w:t>
      </w:r>
      <w:r w:rsidR="00EC49C1">
        <w:t>.</w:t>
      </w:r>
      <w:r w:rsidR="00B97F10">
        <w:t xml:space="preserve"> </w:t>
      </w:r>
      <w:r w:rsidR="00216A7C">
        <w:t xml:space="preserve">Predikovaná </w:t>
      </w:r>
      <w:r w:rsidR="001D5737">
        <w:t xml:space="preserve">logická </w:t>
      </w:r>
      <w:r w:rsidR="00216A7C">
        <w:t>věc</w:t>
      </w:r>
      <w:r w:rsidR="00374E9F">
        <w:t xml:space="preserve"> v modu ontoteologické metafyziky</w:t>
      </w:r>
      <w:r w:rsidR="00216A7C">
        <w:t>, čili „</w:t>
      </w:r>
      <w:r w:rsidR="00B97F10">
        <w:t xml:space="preserve">Antikrist </w:t>
      </w:r>
      <w:r w:rsidR="00004B69">
        <w:t>přišlý v budoucnosti</w:t>
      </w:r>
      <w:r w:rsidR="00216A7C">
        <w:t>“</w:t>
      </w:r>
      <w:r w:rsidR="00004B69">
        <w:t xml:space="preserve"> </w:t>
      </w:r>
      <w:r w:rsidR="00B97F10">
        <w:t xml:space="preserve">je </w:t>
      </w:r>
      <w:r w:rsidR="00004B69">
        <w:t xml:space="preserve">čistá porretánská </w:t>
      </w:r>
      <w:r w:rsidR="00B97F10">
        <w:t xml:space="preserve">esence pojatá v modu </w:t>
      </w:r>
      <w:r w:rsidR="00B97F10" w:rsidRPr="00B97F10">
        <w:rPr>
          <w:i/>
        </w:rPr>
        <w:t>simpliciter</w:t>
      </w:r>
      <w:r w:rsidR="00B97F10">
        <w:t xml:space="preserve">. </w:t>
      </w:r>
      <w:r w:rsidR="00ED0B41" w:rsidRPr="00ED0B41">
        <w:t>Jeho současná</w:t>
      </w:r>
      <w:r w:rsidR="004A326A">
        <w:t xml:space="preserve"> </w:t>
      </w:r>
      <w:r w:rsidR="00ED0B41" w:rsidRPr="00ED0B41">
        <w:t>neexistence je dán</w:t>
      </w:r>
      <w:r w:rsidR="00ED0B41">
        <w:t xml:space="preserve">a </w:t>
      </w:r>
      <w:r w:rsidR="000547E6">
        <w:t xml:space="preserve">skrze </w:t>
      </w:r>
      <w:r w:rsidR="00ED0B41">
        <w:t>falešnou metafyzicko</w:t>
      </w:r>
      <w:r w:rsidR="000547E6">
        <w:t>u impozici. Taková ontoteologická (a zcela démonická</w:t>
      </w:r>
      <w:r w:rsidR="00ED0B41" w:rsidRPr="00ED0B41">
        <w:t xml:space="preserve">) </w:t>
      </w:r>
      <w:r w:rsidR="000547E6">
        <w:t xml:space="preserve">povaha </w:t>
      </w:r>
      <w:r w:rsidR="00ED0B41" w:rsidRPr="00ED0B41">
        <w:rPr>
          <w:i/>
        </w:rPr>
        <w:t>tertium ens</w:t>
      </w:r>
      <w:r w:rsidR="000547E6">
        <w:t xml:space="preserve"> je dána paranoickým</w:t>
      </w:r>
      <w:r w:rsidR="00ED0B41" w:rsidRPr="00ED0B41">
        <w:t xml:space="preserve"> </w:t>
      </w:r>
      <w:r w:rsidR="000547E6">
        <w:t xml:space="preserve">určením </w:t>
      </w:r>
      <w:r w:rsidR="00ED0B41" w:rsidRPr="00ED0B41">
        <w:t xml:space="preserve">filosofické </w:t>
      </w:r>
      <w:r w:rsidR="00ED0B41">
        <w:t>„</w:t>
      </w:r>
      <w:r w:rsidR="00ED0B41" w:rsidRPr="00ED0B41">
        <w:t>víry</w:t>
      </w:r>
      <w:r w:rsidR="00ED0B41">
        <w:t>“</w:t>
      </w:r>
      <w:r w:rsidR="00ED0B41" w:rsidRPr="00ED0B41">
        <w:t>.</w:t>
      </w:r>
      <w:r w:rsidR="00ED0B41">
        <w:t xml:space="preserve"> </w:t>
      </w:r>
      <w:r w:rsidR="008852B0" w:rsidRPr="00414884">
        <w:rPr>
          <w:i/>
          <w:szCs w:val="24"/>
        </w:rPr>
        <w:t xml:space="preserve">Ex nihilo </w:t>
      </w:r>
      <w:r w:rsidR="008852B0">
        <w:rPr>
          <w:i/>
          <w:szCs w:val="24"/>
        </w:rPr>
        <w:t xml:space="preserve">esse necessarium et </w:t>
      </w:r>
      <w:r w:rsidR="008852B0" w:rsidRPr="00414884">
        <w:rPr>
          <w:i/>
          <w:szCs w:val="24"/>
        </w:rPr>
        <w:t>logicum fit</w:t>
      </w:r>
      <w:r w:rsidR="008852B0" w:rsidRPr="00414884">
        <w:rPr>
          <w:szCs w:val="24"/>
        </w:rPr>
        <w:t xml:space="preserve">. </w:t>
      </w:r>
      <w:r w:rsidR="08C07021">
        <w:t xml:space="preserve">A moderní víra svým demiurgickým slovem vytváří </w:t>
      </w:r>
      <w:r w:rsidR="08EA292E">
        <w:t xml:space="preserve">objektivní a proto neexistující </w:t>
      </w:r>
      <w:r w:rsidR="08C07021">
        <w:t>esence</w:t>
      </w:r>
      <w:r w:rsidR="08EA292E">
        <w:t xml:space="preserve"> typu Antikrista</w:t>
      </w:r>
      <w:r w:rsidR="08C07021">
        <w:t xml:space="preserve">. </w:t>
      </w:r>
      <w:r w:rsidR="003A75EB">
        <w:t xml:space="preserve">Citát </w:t>
      </w:r>
      <w:r w:rsidR="00A076EE" w:rsidRPr="00273106">
        <w:t xml:space="preserve">postuluje </w:t>
      </w:r>
      <w:r w:rsidR="000A6DEC" w:rsidRPr="00273106">
        <w:t xml:space="preserve">vzhledem k </w:t>
      </w:r>
      <w:r w:rsidR="007D7928">
        <w:t xml:space="preserve">pozitivnímu </w:t>
      </w:r>
      <w:r w:rsidR="000A6DEC" w:rsidRPr="00273106">
        <w:t xml:space="preserve">příchodu Antikrista dva </w:t>
      </w:r>
      <w:r w:rsidR="00A076EE">
        <w:t xml:space="preserve">základní </w:t>
      </w:r>
      <w:r w:rsidR="000A6DEC" w:rsidRPr="00273106">
        <w:t>stavy. Tato eschatologická událost v budoucnosti nutně nastane (</w:t>
      </w:r>
      <w:r w:rsidR="000A6DEC" w:rsidRPr="00273106">
        <w:rPr>
          <w:i/>
        </w:rPr>
        <w:t>ponere necessitatem super assertionem de futuro</w:t>
      </w:r>
      <w:r w:rsidR="000A6DEC" w:rsidRPr="00273106">
        <w:t>), protože nemůže nenastat vzhledem k již danému božímu úradku (</w:t>
      </w:r>
      <w:r w:rsidR="000A6DEC" w:rsidRPr="00273106">
        <w:rPr>
          <w:i/>
        </w:rPr>
        <w:t>secundum quid sui iam est et habet necessitatem</w:t>
      </w:r>
      <w:r w:rsidR="086774CA" w:rsidRPr="00273106">
        <w:t xml:space="preserve">). </w:t>
      </w:r>
      <w:r w:rsidR="08F15530" w:rsidRPr="08F15530">
        <w:t xml:space="preserve">Modus </w:t>
      </w:r>
      <w:r w:rsidR="08F15530" w:rsidRPr="08F15530">
        <w:rPr>
          <w:i/>
        </w:rPr>
        <w:t>secundum quid</w:t>
      </w:r>
      <w:r w:rsidR="08F15530">
        <w:t xml:space="preserve"> je z hlediska klasick</w:t>
      </w:r>
      <w:r w:rsidR="08F15530" w:rsidRPr="08F15530">
        <w:t>é logiky čistý m</w:t>
      </w:r>
      <w:r w:rsidR="08F15530">
        <w:t>ýtus</w:t>
      </w:r>
      <w:r w:rsidR="005A5266">
        <w:t>. A</w:t>
      </w:r>
      <w:r w:rsidR="08F15530">
        <w:t xml:space="preserve">ntikrist reálně neexistuje a do </w:t>
      </w:r>
      <w:r w:rsidR="086D482E">
        <w:t>úradků</w:t>
      </w:r>
      <w:r w:rsidR="08610D92">
        <w:t xml:space="preserve"> v </w:t>
      </w:r>
      <w:r w:rsidR="08F15530">
        <w:t>bo</w:t>
      </w:r>
      <w:r w:rsidR="08610D92">
        <w:t>ží hlavě</w:t>
      </w:r>
      <w:r w:rsidR="08F15530">
        <w:t xml:space="preserve"> nevidíme</w:t>
      </w:r>
      <w:r w:rsidR="005A5266">
        <w:t>, natož do těch budoucích</w:t>
      </w:r>
      <w:r w:rsidR="082C4726">
        <w:t xml:space="preserve">. </w:t>
      </w:r>
      <w:r w:rsidR="00FA5773" w:rsidRPr="00FA5773">
        <w:t xml:space="preserve">Vědecké důkazy a jejich metafyzická nutnost nemohou v žádném případě </w:t>
      </w:r>
      <w:r w:rsidR="00FA5773">
        <w:t xml:space="preserve">vypovídat o </w:t>
      </w:r>
      <w:r w:rsidR="00FA5773" w:rsidRPr="00FA5773">
        <w:t xml:space="preserve">existenci démonů, jako je Antikrist. Klasická metafyzika </w:t>
      </w:r>
      <w:r w:rsidR="00FA5773">
        <w:t>vychází z reálné kauzality</w:t>
      </w:r>
      <w:r w:rsidR="00FA5773" w:rsidRPr="00FA5773">
        <w:t xml:space="preserve"> hyparchických prvních substancí.</w:t>
      </w:r>
      <w:r w:rsidR="00FA5773">
        <w:t xml:space="preserve"> </w:t>
      </w:r>
      <w:r w:rsidR="08FB3BFD">
        <w:t>Porretánská n</w:t>
      </w:r>
      <w:r w:rsidR="08C12300">
        <w:t xml:space="preserve">utnost </w:t>
      </w:r>
      <w:r w:rsidR="08FB3BFD">
        <w:t xml:space="preserve">třetího druhu </w:t>
      </w:r>
      <w:r w:rsidR="08C12300">
        <w:t xml:space="preserve">je dána v dogmatickém náhledu </w:t>
      </w:r>
      <w:r w:rsidR="08EC7962">
        <w:t xml:space="preserve">tehdejšího </w:t>
      </w:r>
      <w:r w:rsidR="08C12300">
        <w:t>ilumináta</w:t>
      </w:r>
      <w:r w:rsidR="08EB7ACF">
        <w:t xml:space="preserve">, který </w:t>
      </w:r>
      <w:r w:rsidR="08C12300">
        <w:t xml:space="preserve">vidí </w:t>
      </w:r>
      <w:r w:rsidR="0862406A">
        <w:t>pod vedením Fúri</w:t>
      </w:r>
      <w:r w:rsidR="083C54FE">
        <w:t xml:space="preserve">í neexistujícího </w:t>
      </w:r>
      <w:r w:rsidR="08C12300">
        <w:t>Antikrista</w:t>
      </w:r>
      <w:r w:rsidR="08EB7ACF" w:rsidRPr="08EB7ACF">
        <w:t xml:space="preserve"> </w:t>
      </w:r>
      <w:r w:rsidR="083C54FE">
        <w:t>stej</w:t>
      </w:r>
      <w:r w:rsidR="0862406A">
        <w:t>ně</w:t>
      </w:r>
      <w:r w:rsidR="083C54FE">
        <w:t xml:space="preserve"> nepochybně, </w:t>
      </w:r>
      <w:r w:rsidR="08EB7ACF">
        <w:t>jako normální člověk vidí reálnou první substanci.</w:t>
      </w:r>
      <w:r w:rsidR="008B63D4">
        <w:t xml:space="preserve"> Moderna</w:t>
      </w:r>
      <w:r w:rsidR="008B63D4" w:rsidRPr="008B63D4">
        <w:t xml:space="preserve"> </w:t>
      </w:r>
      <w:r w:rsidR="008B63D4">
        <w:t>se úplně zbláznila. Taková „vize“</w:t>
      </w:r>
      <w:r w:rsidR="008B63D4" w:rsidRPr="008B63D4">
        <w:t xml:space="preserve"> démonických bytostí je možná, protože </w:t>
      </w:r>
      <w:r w:rsidR="008B63D4">
        <w:t xml:space="preserve">modernisté </w:t>
      </w:r>
      <w:r w:rsidR="00B0504B">
        <w:t xml:space="preserve">jsou </w:t>
      </w:r>
      <w:r w:rsidR="009B6FEF">
        <w:t>schopni zázračné intuice</w:t>
      </w:r>
      <w:r w:rsidR="002660B9">
        <w:t xml:space="preserve"> do boží esence</w:t>
      </w:r>
      <w:r w:rsidR="00DC5B58">
        <w:t xml:space="preserve">. </w:t>
      </w:r>
      <w:r w:rsidR="00315F4C">
        <w:t xml:space="preserve">To je zcela logické, </w:t>
      </w:r>
      <w:r w:rsidR="009B6FEF">
        <w:t xml:space="preserve">protože tohoto moderního boha sami stvořili ke svému obrazu a intelektuální podobě. </w:t>
      </w:r>
      <w:r w:rsidR="003D00F1">
        <w:t xml:space="preserve">Ilumináti </w:t>
      </w:r>
      <w:r w:rsidR="00DC5B58">
        <w:t xml:space="preserve">mají </w:t>
      </w:r>
      <w:r w:rsidR="008B63D4">
        <w:t xml:space="preserve">myto–logické </w:t>
      </w:r>
      <w:r w:rsidR="008B63D4" w:rsidRPr="008B63D4">
        <w:rPr>
          <w:i/>
        </w:rPr>
        <w:t>rectitudo</w:t>
      </w:r>
      <w:r w:rsidR="008B63D4">
        <w:t xml:space="preserve"> </w:t>
      </w:r>
      <w:r w:rsidR="008B63D4" w:rsidRPr="008B63D4">
        <w:t>budoucí</w:t>
      </w:r>
      <w:r w:rsidR="008B63D4">
        <w:t>ch</w:t>
      </w:r>
      <w:r w:rsidR="00DC5B58">
        <w:t xml:space="preserve"> událostí</w:t>
      </w:r>
      <w:r w:rsidR="008B63D4" w:rsidRPr="008B63D4">
        <w:t xml:space="preserve"> </w:t>
      </w:r>
      <w:r w:rsidR="00DC5B58">
        <w:t>zajištěné v modu „</w:t>
      </w:r>
      <w:r w:rsidR="00DC5B58" w:rsidRPr="00DC5B58">
        <w:rPr>
          <w:i/>
        </w:rPr>
        <w:t>semel–semper</w:t>
      </w:r>
      <w:r w:rsidR="00DC5B58">
        <w:t xml:space="preserve">“ </w:t>
      </w:r>
      <w:r w:rsidR="008B63D4" w:rsidRPr="008B63D4">
        <w:t>ještě před stvořením skutečného světa.</w:t>
      </w:r>
      <w:r w:rsidR="00363CAD">
        <w:t xml:space="preserve"> N</w:t>
      </w:r>
      <w:r w:rsidR="080A16CD">
        <w:t xml:space="preserve">a </w:t>
      </w:r>
      <w:r w:rsidR="080A16CD">
        <w:lastRenderedPageBreak/>
        <w:t xml:space="preserve">základě víry v boží potenci </w:t>
      </w:r>
      <w:r w:rsidR="00363CAD">
        <w:t xml:space="preserve">se začaly predikovat </w:t>
      </w:r>
      <w:r w:rsidR="080A16CD">
        <w:t xml:space="preserve">budoucí události </w:t>
      </w:r>
      <w:r w:rsidR="00363CAD">
        <w:t xml:space="preserve">dokonce </w:t>
      </w:r>
      <w:r w:rsidR="080A16CD">
        <w:t xml:space="preserve">před vznikem fyzikálního času </w:t>
      </w:r>
      <w:r w:rsidR="00144B2A">
        <w:t>ve stvoření. Fyzikální čas vzniká na základě pohybu první</w:t>
      </w:r>
      <w:r w:rsidR="002D3365">
        <w:t>ch</w:t>
      </w:r>
      <w:r w:rsidR="00144B2A">
        <w:t xml:space="preserve"> substancí. S</w:t>
      </w:r>
      <w:r w:rsidR="080A16CD">
        <w:t>tvořené bytosti žijí v čase, kde následek je</w:t>
      </w:r>
      <w:r w:rsidR="08D65315">
        <w:t xml:space="preserve"> dán</w:t>
      </w:r>
      <w:r w:rsidR="080A16CD">
        <w:t xml:space="preserve"> časově později než</w:t>
      </w:r>
      <w:r w:rsidR="08D65315">
        <w:t xml:space="preserve"> předcházející př</w:t>
      </w:r>
      <w:r w:rsidR="080A16CD">
        <w:t>íčina. U boha na věčnos</w:t>
      </w:r>
      <w:r w:rsidR="08D65315">
        <w:t>ti to neplatí, protože je absol</w:t>
      </w:r>
      <w:r w:rsidR="080A16CD">
        <w:t>u</w:t>
      </w:r>
      <w:r w:rsidR="08D65315">
        <w:t>t</w:t>
      </w:r>
      <w:r w:rsidR="080A16CD">
        <w:t xml:space="preserve">ně jednoduchý. Z našeho hlediska určeného časem nejsou tyto </w:t>
      </w:r>
      <w:r w:rsidR="08393045">
        <w:t xml:space="preserve">věčné kauzální </w:t>
      </w:r>
      <w:r w:rsidR="080A16CD">
        <w:t xml:space="preserve">stavy </w:t>
      </w:r>
      <w:r w:rsidR="08D96F75">
        <w:t xml:space="preserve">určené vzhledem ke kontigentní budoucnosti (např. příchod Antikrista) </w:t>
      </w:r>
      <w:r w:rsidR="080A16CD">
        <w:t>určitelné z hled</w:t>
      </w:r>
      <w:r w:rsidR="08824AEA">
        <w:t>iska pravdy nebo nepravdy. Ale viděním</w:t>
      </w:r>
      <w:r w:rsidR="080A16CD">
        <w:t xml:space="preserve"> budoucnosti založené na víře v pravdivost božích proroctví víme, že předu</w:t>
      </w:r>
      <w:r w:rsidR="0895246F">
        <w:t>r</w:t>
      </w:r>
      <w:r w:rsidR="080A16CD">
        <w:t>čená pravdivost budoucího Antikrista pre-existuje jako hypostázovaná možnost v</w:t>
      </w:r>
      <w:r w:rsidR="00C40F8A">
        <w:t xml:space="preserve"> moderním </w:t>
      </w:r>
      <w:r w:rsidR="080A16CD">
        <w:t>bohu</w:t>
      </w:r>
      <w:r w:rsidR="08824AEA">
        <w:t xml:space="preserve">. </w:t>
      </w:r>
      <w:r w:rsidR="00C40F8A">
        <w:t xml:space="preserve">On </w:t>
      </w:r>
      <w:r w:rsidR="08C65044">
        <w:t xml:space="preserve">zamýšlel </w:t>
      </w:r>
      <w:r w:rsidR="00C40F8A">
        <w:t xml:space="preserve">všechny možnosti </w:t>
      </w:r>
      <w:r w:rsidR="08C65044">
        <w:t xml:space="preserve">skrze akt </w:t>
      </w:r>
      <w:r w:rsidR="085B1903">
        <w:t xml:space="preserve">božího </w:t>
      </w:r>
      <w:r w:rsidR="00C40F8A">
        <w:t xml:space="preserve">intelektu na věčnosti a pak je eventuálně </w:t>
      </w:r>
      <w:r w:rsidR="08C65044">
        <w:t xml:space="preserve">stvořil </w:t>
      </w:r>
      <w:r w:rsidR="08D65315">
        <w:t>svobodným aktem vůle</w:t>
      </w:r>
      <w:r w:rsidR="08717B22">
        <w:t xml:space="preserve"> </w:t>
      </w:r>
      <w:r w:rsidR="08C65044">
        <w:t>při stvoření světa</w:t>
      </w:r>
      <w:r w:rsidR="08717B22">
        <w:t xml:space="preserve">. </w:t>
      </w:r>
      <w:r w:rsidR="00E755A4">
        <w:t>Pak se stalo, že b</w:t>
      </w:r>
      <w:r w:rsidR="001569C2" w:rsidRPr="001569C2">
        <w:t>ůh na počátku světa stvořil problematického anděla, který se stal Antikristem na základě své svobodné vůle.</w:t>
      </w:r>
      <w:r w:rsidR="001569C2">
        <w:t xml:space="preserve"> B</w:t>
      </w:r>
      <w:r w:rsidR="08717B22">
        <w:t xml:space="preserve">ůh </w:t>
      </w:r>
      <w:r w:rsidR="08D65315">
        <w:t xml:space="preserve">jako </w:t>
      </w:r>
      <w:r w:rsidR="087F25A0">
        <w:t xml:space="preserve">stvořitelská </w:t>
      </w:r>
      <w:r w:rsidR="08D65315">
        <w:t xml:space="preserve">příčina </w:t>
      </w:r>
      <w:r w:rsidR="08717B22">
        <w:t>Antikrista zná i jeho</w:t>
      </w:r>
      <w:r w:rsidR="08D65315">
        <w:t xml:space="preserve"> </w:t>
      </w:r>
      <w:r w:rsidR="082B4DB3">
        <w:t xml:space="preserve">potenciální </w:t>
      </w:r>
      <w:r w:rsidR="08D65315">
        <w:t>účinek v budoucnosti</w:t>
      </w:r>
      <w:r w:rsidR="080A16CD">
        <w:t>.</w:t>
      </w:r>
      <w:r w:rsidR="08816F44">
        <w:rPr>
          <w:rStyle w:val="Znakapoznpodarou"/>
        </w:rPr>
        <w:footnoteReference w:id="327"/>
      </w:r>
      <w:r w:rsidR="080A16CD">
        <w:t xml:space="preserve"> V této </w:t>
      </w:r>
      <w:r w:rsidR="08DA3212">
        <w:t xml:space="preserve">primární </w:t>
      </w:r>
      <w:r w:rsidR="080A16CD">
        <w:t>p</w:t>
      </w:r>
      <w:r w:rsidR="087F25A0">
        <w:t xml:space="preserve">odobě má hypostázovaná potence </w:t>
      </w:r>
      <w:r w:rsidR="080A16CD">
        <w:t>bu</w:t>
      </w:r>
      <w:r w:rsidR="087F25A0">
        <w:t>doucího Antikrista</w:t>
      </w:r>
      <w:r w:rsidR="080A16CD">
        <w:t xml:space="preserve"> nutný a věčný status kontingentní pravdy</w:t>
      </w:r>
      <w:r w:rsidR="088436A0">
        <w:t xml:space="preserve"> dané v bohu</w:t>
      </w:r>
      <w:r w:rsidR="080A16CD">
        <w:t>. T</w:t>
      </w:r>
      <w:r w:rsidR="087F25A0">
        <w:t xml:space="preserve">ento postup </w:t>
      </w:r>
      <w:r w:rsidR="080A16CD">
        <w:t>je z</w:t>
      </w:r>
      <w:r w:rsidR="087F25A0">
        <w:t xml:space="preserve"> aristotelského hlediska nemožný</w:t>
      </w:r>
      <w:r w:rsidR="080A16CD">
        <w:t xml:space="preserve"> a zcela kontradiktorní.</w:t>
      </w:r>
      <w:r w:rsidR="08B45014">
        <w:t xml:space="preserve"> </w:t>
      </w:r>
      <w:r w:rsidR="00AF3C44">
        <w:t xml:space="preserve">Logika daná metafyzickou nutností nemá reálně existující a kauzálně působící první substanci. Její existence zajišťuje impozici smyslu nutnou pro pravdivou, tj. adekvátní predikaci v rámci pravdy jako </w:t>
      </w:r>
      <w:r w:rsidR="00AF3C44" w:rsidRPr="00AF3C44">
        <w:rPr>
          <w:i/>
        </w:rPr>
        <w:t>adaequatio</w:t>
      </w:r>
      <w:r w:rsidR="00AF3C44">
        <w:t>. Grossetesteho k</w:t>
      </w:r>
      <w:r w:rsidR="000A6DEC" w:rsidRPr="00273106">
        <w:t xml:space="preserve">ontingence </w:t>
      </w:r>
      <w:r w:rsidR="00AF3C44">
        <w:t>vypovídá o akcidentu, který je dán jako indeterminace</w:t>
      </w:r>
      <w:r w:rsidR="000A6DEC" w:rsidRPr="00273106">
        <w:t xml:space="preserve"> </w:t>
      </w:r>
      <w:r w:rsidR="08555D51" w:rsidRPr="00273106">
        <w:t>budoucí</w:t>
      </w:r>
      <w:r w:rsidR="00AF3C44">
        <w:t xml:space="preserve">, a dokonce </w:t>
      </w:r>
      <w:r w:rsidR="08555D51" w:rsidRPr="00273106">
        <w:t xml:space="preserve"> nutné události. </w:t>
      </w:r>
      <w:r w:rsidR="00AF3C44">
        <w:t xml:space="preserve">To je totální nesmysl. Antikrist neexistuje ani jako kauzálně působící první substance. Pak vůbec nelze vypovídat o jeho akcidentech, či dokonce o jeho kontingentních budoucích dějích. Grosseteste hypostázoval logickou možnost, která je </w:t>
      </w:r>
      <w:r w:rsidR="08555D51" w:rsidRPr="00273106">
        <w:t>dána</w:t>
      </w:r>
      <w:r w:rsidR="000A6DEC" w:rsidRPr="00273106">
        <w:t xml:space="preserve"> zde a nyní pouze v potenci</w:t>
      </w:r>
      <w:r w:rsidR="087238A7">
        <w:t xml:space="preserve"> (</w:t>
      </w:r>
      <w:r w:rsidR="0026470F" w:rsidRPr="00273106">
        <w:rPr>
          <w:i/>
        </w:rPr>
        <w:t>veritas</w:t>
      </w:r>
      <w:r w:rsidR="0026470F" w:rsidRPr="00273106">
        <w:t xml:space="preserve"> </w:t>
      </w:r>
      <w:r w:rsidR="0026470F" w:rsidRPr="00273106">
        <w:rPr>
          <w:i/>
        </w:rPr>
        <w:t>incompleta</w:t>
      </w:r>
      <w:r w:rsidR="002A3BDE">
        <w:rPr>
          <w:i/>
        </w:rPr>
        <w:fldChar w:fldCharType="begin"/>
      </w:r>
      <w:r w:rsidR="002A3BDE">
        <w:instrText xml:space="preserve"> XE "pravda:</w:instrText>
      </w:r>
      <w:r w:rsidR="002A3BDE" w:rsidRPr="00B143D4">
        <w:rPr>
          <w:i/>
        </w:rPr>
        <w:instrText>veritas</w:instrText>
      </w:r>
      <w:r w:rsidR="002A3BDE" w:rsidRPr="00B143D4">
        <w:instrText xml:space="preserve"> </w:instrText>
      </w:r>
      <w:r w:rsidR="002A3BDE" w:rsidRPr="00B143D4">
        <w:rPr>
          <w:i/>
        </w:rPr>
        <w:instrText>incompleta</w:instrText>
      </w:r>
      <w:r w:rsidR="002A3BDE">
        <w:instrText xml:space="preserve">" </w:instrText>
      </w:r>
      <w:r w:rsidR="002A3BDE">
        <w:rPr>
          <w:i/>
        </w:rPr>
        <w:fldChar w:fldCharType="end"/>
      </w:r>
      <w:r w:rsidR="0026470F" w:rsidRPr="00273106">
        <w:t xml:space="preserve">, </w:t>
      </w:r>
      <w:r w:rsidR="0026470F" w:rsidRPr="00273106">
        <w:rPr>
          <w:i/>
        </w:rPr>
        <w:t>indeterminata</w:t>
      </w:r>
      <w:r w:rsidR="0026470F" w:rsidRPr="00273106">
        <w:t>)</w:t>
      </w:r>
      <w:r w:rsidR="00A8562F">
        <w:t xml:space="preserve">. </w:t>
      </w:r>
      <w:r w:rsidR="0083412B">
        <w:t>T</w:t>
      </w:r>
      <w:r w:rsidR="000A6DEC" w:rsidRPr="00273106">
        <w:t xml:space="preserve">ato potence je </w:t>
      </w:r>
      <w:r w:rsidR="00D862C5">
        <w:t>dána</w:t>
      </w:r>
      <w:r w:rsidR="00A8562F">
        <w:t xml:space="preserve"> </w:t>
      </w:r>
      <w:r w:rsidR="0083412B">
        <w:t xml:space="preserve">jako </w:t>
      </w:r>
      <w:r w:rsidR="0083412B" w:rsidRPr="0083412B">
        <w:rPr>
          <w:i/>
        </w:rPr>
        <w:t>positum</w:t>
      </w:r>
      <w:r w:rsidR="0083412B">
        <w:t xml:space="preserve"> určené </w:t>
      </w:r>
      <w:r w:rsidR="00D862C5">
        <w:t>esenciálně</w:t>
      </w:r>
      <w:r w:rsidR="0083412B">
        <w:t xml:space="preserve">. Příchod Antikrista je dán jako fundamentální </w:t>
      </w:r>
      <w:r w:rsidR="0083412B" w:rsidRPr="0083412B">
        <w:rPr>
          <w:i/>
        </w:rPr>
        <w:t>Ge-Stell</w:t>
      </w:r>
      <w:r w:rsidR="0083412B">
        <w:rPr>
          <w:i/>
        </w:rPr>
        <w:fldChar w:fldCharType="begin"/>
      </w:r>
      <w:r w:rsidR="0083412B">
        <w:instrText xml:space="preserve"> XE "</w:instrText>
      </w:r>
      <w:r w:rsidR="0083412B" w:rsidRPr="00657ACF">
        <w:rPr>
          <w:i/>
        </w:rPr>
        <w:instrText>Ge-Stell</w:instrText>
      </w:r>
      <w:r w:rsidR="0083412B">
        <w:instrText xml:space="preserve">" </w:instrText>
      </w:r>
      <w:r w:rsidR="0083412B">
        <w:rPr>
          <w:i/>
        </w:rPr>
        <w:fldChar w:fldCharType="end"/>
      </w:r>
      <w:r w:rsidR="0083412B">
        <w:t>, který tvoří zakládající událost moderní logiky (</w:t>
      </w:r>
      <w:r w:rsidR="0083412B" w:rsidRPr="0083412B">
        <w:rPr>
          <w:i/>
        </w:rPr>
        <w:t>Ereignis</w:t>
      </w:r>
      <w:r w:rsidR="0083412B">
        <w:rPr>
          <w:i/>
        </w:rPr>
        <w:fldChar w:fldCharType="begin"/>
      </w:r>
      <w:r w:rsidR="0083412B">
        <w:instrText xml:space="preserve"> XE "</w:instrText>
      </w:r>
      <w:r w:rsidR="0083412B" w:rsidRPr="00CB101B">
        <w:rPr>
          <w:i/>
        </w:rPr>
        <w:instrText>Ereignis</w:instrText>
      </w:r>
      <w:r w:rsidR="0083412B">
        <w:instrText xml:space="preserve">" </w:instrText>
      </w:r>
      <w:r w:rsidR="0083412B">
        <w:rPr>
          <w:i/>
        </w:rPr>
        <w:fldChar w:fldCharType="end"/>
      </w:r>
      <w:r w:rsidR="00D17119">
        <w:t>). D</w:t>
      </w:r>
      <w:r w:rsidR="000A6DEC" w:rsidRPr="00273106">
        <w:t xml:space="preserve">íky </w:t>
      </w:r>
      <w:r w:rsidR="08DF1281" w:rsidRPr="00273106">
        <w:t xml:space="preserve">věčně dané </w:t>
      </w:r>
      <w:r w:rsidR="000A6DEC" w:rsidRPr="00273106">
        <w:t xml:space="preserve">nutnosti </w:t>
      </w:r>
      <w:r w:rsidR="08DF1281" w:rsidRPr="00273106">
        <w:t xml:space="preserve">Antikristovy </w:t>
      </w:r>
      <w:r w:rsidR="0053692D">
        <w:t>„</w:t>
      </w:r>
      <w:r w:rsidR="08DF1281" w:rsidRPr="00273106">
        <w:t>ex</w:t>
      </w:r>
      <w:r w:rsidR="0053692D">
        <w:t>s</w:t>
      </w:r>
      <w:r w:rsidR="08DF1281" w:rsidRPr="00273106">
        <w:t>istence</w:t>
      </w:r>
      <w:r w:rsidR="0053692D">
        <w:t>“</w:t>
      </w:r>
      <w:r w:rsidR="00D862C5">
        <w:t xml:space="preserve">, </w:t>
      </w:r>
      <w:r w:rsidR="087F296E">
        <w:t xml:space="preserve">čili </w:t>
      </w:r>
      <w:r w:rsidR="081E6A5F">
        <w:t xml:space="preserve">deduktivního </w:t>
      </w:r>
      <w:r w:rsidR="087F296E">
        <w:t>vyjití</w:t>
      </w:r>
      <w:r w:rsidR="0053692D">
        <w:t xml:space="preserve"> Antikrista od </w:t>
      </w:r>
      <w:r w:rsidR="087F296E">
        <w:t xml:space="preserve">neochvějného </w:t>
      </w:r>
      <w:r w:rsidR="0053692D">
        <w:t>božího úradku</w:t>
      </w:r>
      <w:r w:rsidR="00D862C5">
        <w:t xml:space="preserve"> v modu </w:t>
      </w:r>
      <w:r w:rsidR="00D862C5" w:rsidRPr="00D862C5">
        <w:rPr>
          <w:i/>
        </w:rPr>
        <w:t>semel</w:t>
      </w:r>
      <w:r w:rsidR="00E4688A">
        <w:t>–</w:t>
      </w:r>
      <w:r w:rsidR="00D862C5" w:rsidRPr="00D862C5">
        <w:rPr>
          <w:i/>
        </w:rPr>
        <w:t>semper</w:t>
      </w:r>
      <w:r w:rsidR="00D862C5">
        <w:t xml:space="preserve">. </w:t>
      </w:r>
      <w:r w:rsidR="00A865FB" w:rsidRPr="00273106">
        <w:t>Nepravda je tedy pouhá</w:t>
      </w:r>
      <w:r w:rsidR="00EB0129">
        <w:t xml:space="preserve"> nejistota ve smyslu nenaplněné, ale nutně dané </w:t>
      </w:r>
      <w:r w:rsidR="00094CD9">
        <w:t xml:space="preserve">pozitivní </w:t>
      </w:r>
      <w:r w:rsidR="00A865FB" w:rsidRPr="00273106">
        <w:t xml:space="preserve">potence, která zatím není aktuální. </w:t>
      </w:r>
      <w:r w:rsidR="08557359" w:rsidRPr="00273106">
        <w:t xml:space="preserve">Po vyloučení třetího zůstávají obě logické možnosti, pravdivá i </w:t>
      </w:r>
      <w:r w:rsidR="08557359" w:rsidRPr="00273106">
        <w:lastRenderedPageBreak/>
        <w:t>falešná, jako možné (</w:t>
      </w:r>
      <w:r w:rsidR="08557359" w:rsidRPr="00273106">
        <w:rPr>
          <w:i/>
        </w:rPr>
        <w:t>quia possibile est, quamlibet talem esse falsam</w:t>
      </w:r>
      <w:r w:rsidR="08557359" w:rsidRPr="00273106">
        <w:t xml:space="preserve">). </w:t>
      </w:r>
      <w:r w:rsidR="0023458F">
        <w:t>Obecně nutný p</w:t>
      </w:r>
      <w:r w:rsidR="08D70F0E" w:rsidRPr="00273106">
        <w:t xml:space="preserve">říchod </w:t>
      </w:r>
      <w:r w:rsidR="000524B4" w:rsidRPr="00273106">
        <w:t>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0524B4" w:rsidRPr="00273106">
        <w:t xml:space="preserve"> </w:t>
      </w:r>
      <w:r w:rsidR="08D70F0E" w:rsidRPr="00273106">
        <w:t>j</w:t>
      </w:r>
      <w:r w:rsidR="000A6DEC" w:rsidRPr="00273106">
        <w:t xml:space="preserve">e </w:t>
      </w:r>
      <w:r w:rsidR="08D70F0E" w:rsidRPr="00273106">
        <w:t xml:space="preserve">zatím </w:t>
      </w:r>
      <w:r w:rsidR="0023458F">
        <w:t xml:space="preserve">daný </w:t>
      </w:r>
      <w:r w:rsidR="000A6DEC" w:rsidRPr="00273106">
        <w:t xml:space="preserve">pouze </w:t>
      </w:r>
      <w:r w:rsidR="0023458F">
        <w:t>v možné nutnosti</w:t>
      </w:r>
      <w:r w:rsidR="08D70F0E" w:rsidRPr="00273106">
        <w:t>, proto je určen v řádu kontigentní</w:t>
      </w:r>
      <w:r w:rsidR="0023458F">
        <w:t xml:space="preserve"> neurčitosti</w:t>
      </w:r>
      <w:r w:rsidR="00AE05A4">
        <w:t xml:space="preserve"> (</w:t>
      </w:r>
      <w:r w:rsidR="08D70F0E" w:rsidRPr="00273106">
        <w:rPr>
          <w:i/>
        </w:rPr>
        <w:t>n</w:t>
      </w:r>
      <w:r w:rsidR="08D70F0E" w:rsidRPr="00273106">
        <w:rPr>
          <w:i/>
          <w:szCs w:val="18"/>
        </w:rPr>
        <w:t>ecessarium per accidens</w:t>
      </w:r>
      <w:r w:rsidR="008661C5">
        <w:rPr>
          <w:i/>
          <w:szCs w:val="18"/>
        </w:rPr>
        <w:fldChar w:fldCharType="begin"/>
      </w:r>
      <w:r w:rsidR="008661C5">
        <w:instrText xml:space="preserve"> XE "nutnost:</w:instrText>
      </w:r>
      <w:r w:rsidR="008661C5" w:rsidRPr="00C13B82">
        <w:rPr>
          <w:i/>
        </w:rPr>
        <w:instrText>n</w:instrText>
      </w:r>
      <w:r w:rsidR="008661C5" w:rsidRPr="00C13B82">
        <w:rPr>
          <w:i/>
          <w:szCs w:val="18"/>
        </w:rPr>
        <w:instrText>ecessarium per accidens</w:instrText>
      </w:r>
      <w:r w:rsidR="008661C5">
        <w:instrText xml:space="preserve">" </w:instrText>
      </w:r>
      <w:r w:rsidR="008661C5">
        <w:rPr>
          <w:i/>
          <w:szCs w:val="18"/>
        </w:rPr>
        <w:fldChar w:fldCharType="end"/>
      </w:r>
      <w:r w:rsidR="00AE05A4">
        <w:rPr>
          <w:szCs w:val="18"/>
        </w:rPr>
        <w:t>)</w:t>
      </w:r>
      <w:r w:rsidR="08D70F0E" w:rsidRPr="00273106">
        <w:rPr>
          <w:i/>
          <w:szCs w:val="18"/>
        </w:rPr>
        <w:t>.</w:t>
      </w:r>
      <w:r w:rsidR="08D70F0E" w:rsidRPr="00273106">
        <w:rPr>
          <w:szCs w:val="18"/>
        </w:rPr>
        <w:t xml:space="preserve"> </w:t>
      </w:r>
      <w:r w:rsidR="081C745D" w:rsidRPr="00273106">
        <w:rPr>
          <w:szCs w:val="18"/>
        </w:rPr>
        <w:t xml:space="preserve">Ale </w:t>
      </w:r>
      <w:r w:rsidR="081C745D" w:rsidRPr="00273106">
        <w:t>Antikrist</w:t>
      </w:r>
      <w:r w:rsidR="000C4184">
        <w:fldChar w:fldCharType="begin"/>
      </w:r>
      <w:r w:rsidR="000C4184">
        <w:instrText xml:space="preserve"> XE "</w:instrText>
      </w:r>
      <w:r w:rsidR="000C4184" w:rsidRPr="00C25D22">
        <w:instrText>Antikrist</w:instrText>
      </w:r>
      <w:r w:rsidR="000C4184">
        <w:instrText xml:space="preserve">" </w:instrText>
      </w:r>
      <w:r w:rsidR="000C4184">
        <w:fldChar w:fldCharType="end"/>
      </w:r>
      <w:r w:rsidR="081C745D" w:rsidRPr="00273106">
        <w:t xml:space="preserve"> buď přijde nebo nepřide</w:t>
      </w:r>
      <w:r w:rsidR="00C97928" w:rsidRPr="00273106">
        <w:t>,</w:t>
      </w:r>
      <w:r w:rsidR="081C745D" w:rsidRPr="00273106">
        <w:t xml:space="preserve"> a jiná možnost je vyloučena. </w:t>
      </w:r>
      <w:r w:rsidR="000524B4" w:rsidRPr="00273106">
        <w:t xml:space="preserve">Determinace budoucích kontingentních událostí vznikla zavedením </w:t>
      </w:r>
      <w:r w:rsidR="000547A5">
        <w:t xml:space="preserve">pravdivostní hodnoty vzhledem ke jsoucnu </w:t>
      </w:r>
      <w:r w:rsidR="000524B4" w:rsidRPr="00273106">
        <w:t>daného na úrovni pouhé potence</w:t>
      </w:r>
      <w:r w:rsidR="000547A5">
        <w:t xml:space="preserve"> (</w:t>
      </w:r>
      <w:r w:rsidR="000547A5" w:rsidRPr="00273106">
        <w:rPr>
          <w:i/>
        </w:rPr>
        <w:t>esse incompletum</w:t>
      </w:r>
      <w:r w:rsidR="00250EF2">
        <w:rPr>
          <w:i/>
        </w:rPr>
        <w:fldChar w:fldCharType="begin"/>
      </w:r>
      <w:r w:rsidR="00250EF2">
        <w:instrText xml:space="preserve"> XE "substance:</w:instrText>
      </w:r>
      <w:r w:rsidR="00250EF2" w:rsidRPr="00090401">
        <w:rPr>
          <w:i/>
        </w:rPr>
        <w:instrText>esse incompletum</w:instrText>
      </w:r>
      <w:r w:rsidR="00250EF2">
        <w:instrText xml:space="preserve">" </w:instrText>
      </w:r>
      <w:r w:rsidR="00250EF2">
        <w:rPr>
          <w:i/>
        </w:rPr>
        <w:fldChar w:fldCharType="end"/>
      </w:r>
      <w:r w:rsidR="000547A5">
        <w:t>)</w:t>
      </w:r>
      <w:r w:rsidR="00C97928" w:rsidRPr="00273106">
        <w:t>, ale již determinované</w:t>
      </w:r>
      <w:r w:rsidR="000547A5">
        <w:t>ho</w:t>
      </w:r>
      <w:r w:rsidR="00C97928" w:rsidRPr="00273106">
        <w:t xml:space="preserve"> </w:t>
      </w:r>
      <w:r w:rsidR="00E423C2" w:rsidRPr="00273106">
        <w:t xml:space="preserve">v minimálním bytí </w:t>
      </w:r>
      <w:r w:rsidR="00EE49AB" w:rsidRPr="00273106">
        <w:t xml:space="preserve">hypostázovaného porretánského </w:t>
      </w:r>
      <w:r w:rsidR="00E423C2" w:rsidRPr="00273106">
        <w:t>jsoucna</w:t>
      </w:r>
      <w:r w:rsidR="00C97928" w:rsidRPr="00273106">
        <w:t xml:space="preserve"> </w:t>
      </w:r>
      <w:r w:rsidR="08935530">
        <w:t>(</w:t>
      </w:r>
      <w:r w:rsidR="00E423C2" w:rsidRPr="00273106">
        <w:rPr>
          <w:i/>
        </w:rPr>
        <w:t>antichristus est</w:t>
      </w:r>
      <w:r w:rsidR="00E423C2" w:rsidRPr="00273106">
        <w:t>)</w:t>
      </w:r>
      <w:r w:rsidR="00A72AB4">
        <w:t>. K tom</w:t>
      </w:r>
      <w:r w:rsidR="00EE49AB" w:rsidRPr="00273106">
        <w:t xml:space="preserve">uto jsoucnu </w:t>
      </w:r>
      <w:r w:rsidR="00A72AB4">
        <w:t xml:space="preserve">třetího druhu v podobě Antikrista </w:t>
      </w:r>
      <w:r w:rsidR="00EE49AB" w:rsidRPr="00273106">
        <w:t xml:space="preserve">se pak přidává logická valence daná </w:t>
      </w:r>
      <w:r w:rsidR="00E423C2" w:rsidRPr="00273106">
        <w:t>větou</w:t>
      </w:r>
      <w:r w:rsidR="00C97928" w:rsidRPr="00273106">
        <w:t xml:space="preserve"> o vyloučeném třetím</w:t>
      </w:r>
      <w:r w:rsidR="00E423C2" w:rsidRPr="00273106">
        <w:t xml:space="preserve"> („přijde‒nepřijde“). </w:t>
      </w:r>
      <w:r w:rsidR="001D746C" w:rsidRPr="001D746C">
        <w:t xml:space="preserve">Ontoteologická dedukce platí, protože </w:t>
      </w:r>
      <w:r w:rsidR="001D746C">
        <w:t>b</w:t>
      </w:r>
      <w:r w:rsidR="001D746C" w:rsidRPr="001D746C">
        <w:t>ůh a Bible jsou pravdi</w:t>
      </w:r>
      <w:r w:rsidR="001D746C">
        <w:t>vé. Takto Antikrist objektivně „přišel do bytí“</w:t>
      </w:r>
      <w:r w:rsidR="001D746C" w:rsidRPr="001D746C">
        <w:t xml:space="preserve"> (</w:t>
      </w:r>
      <w:r w:rsidR="001D746C" w:rsidRPr="001D746C">
        <w:rPr>
          <w:i/>
        </w:rPr>
        <w:t>exsistit</w:t>
      </w:r>
      <w:r w:rsidR="001D746C" w:rsidRPr="001D746C">
        <w:t xml:space="preserve">) na </w:t>
      </w:r>
      <w:r w:rsidR="001D746C">
        <w:t xml:space="preserve">naší </w:t>
      </w:r>
      <w:r w:rsidR="001D746C" w:rsidRPr="001D746C">
        <w:t xml:space="preserve">zemi, </w:t>
      </w:r>
      <w:r w:rsidR="001D746C">
        <w:t xml:space="preserve">tedy </w:t>
      </w:r>
      <w:r w:rsidR="001D746C" w:rsidRPr="001D746C">
        <w:t>nejprve v Oxfordu.</w:t>
      </w:r>
      <w:r w:rsidR="00760C39">
        <w:t xml:space="preserve"> Podle N</w:t>
      </w:r>
      <w:r w:rsidR="00760C39" w:rsidRPr="00760C39">
        <w:t xml:space="preserve">ietzscheho je třeba poznamenat, že </w:t>
      </w:r>
      <w:r w:rsidR="005B2904" w:rsidRPr="004141FA">
        <w:rPr>
          <w:i/>
          <w:szCs w:val="24"/>
        </w:rPr>
        <w:t>sophistae Latini</w:t>
      </w:r>
      <w:r w:rsidR="005B2904">
        <w:rPr>
          <w:i/>
          <w:szCs w:val="24"/>
        </w:rPr>
        <w:t xml:space="preserve"> </w:t>
      </w:r>
      <w:r w:rsidR="00415A44">
        <w:rPr>
          <w:szCs w:val="24"/>
        </w:rPr>
        <w:t xml:space="preserve">konečně </w:t>
      </w:r>
      <w:r w:rsidR="00760C39" w:rsidRPr="00760C39">
        <w:t>vytvořil</w:t>
      </w:r>
      <w:r w:rsidR="005B2904">
        <w:t>i</w:t>
      </w:r>
      <w:r w:rsidR="00760C39" w:rsidRPr="00760C39">
        <w:t xml:space="preserve"> kompletní zá</w:t>
      </w:r>
      <w:r w:rsidR="00760C39">
        <w:t>světí</w:t>
      </w:r>
      <w:r w:rsidR="008B6DF5">
        <w:t xml:space="preserve"> moderny.</w:t>
      </w:r>
      <w:r w:rsidR="00760C39" w:rsidRPr="00760C39">
        <w:t xml:space="preserve"> </w:t>
      </w:r>
      <w:r w:rsidR="008B6DF5">
        <w:t xml:space="preserve">Školy </w:t>
      </w:r>
      <w:r w:rsidR="00760C39" w:rsidRPr="00760C39">
        <w:rPr>
          <w:i/>
        </w:rPr>
        <w:t>Nominales</w:t>
      </w:r>
      <w:r w:rsidR="00760C39">
        <w:t xml:space="preserve"> </w:t>
      </w:r>
      <w:r w:rsidR="00760C39" w:rsidRPr="00760C39">
        <w:t>v Abela</w:t>
      </w:r>
      <w:r w:rsidR="008B6DF5">
        <w:t>rdově době vytvořily</w:t>
      </w:r>
      <w:r w:rsidR="00760C39">
        <w:t xml:space="preserve"> moderního b</w:t>
      </w:r>
      <w:r w:rsidR="00760C39" w:rsidRPr="00760C39">
        <w:t xml:space="preserve">oha, modernisté v Oxfordu přidali moderního Antikrista. </w:t>
      </w:r>
      <w:r w:rsidR="00760C39">
        <w:t>Pak n</w:t>
      </w:r>
      <w:r w:rsidR="00760C39" w:rsidRPr="00760C39">
        <w:t xml:space="preserve">utně a objektivně </w:t>
      </w:r>
      <w:r w:rsidR="00760C39">
        <w:t xml:space="preserve">platí, že </w:t>
      </w:r>
      <w:r w:rsidR="00760C39" w:rsidRPr="00760C39">
        <w:t xml:space="preserve">apokalyptické dějiny </w:t>
      </w:r>
      <w:r w:rsidR="00F02C7C">
        <w:t xml:space="preserve">dané skrze </w:t>
      </w:r>
      <w:r w:rsidR="00760C39" w:rsidRPr="00760C39">
        <w:rPr>
          <w:i/>
        </w:rPr>
        <w:t>via Modernorum</w:t>
      </w:r>
      <w:r w:rsidR="00760C39" w:rsidRPr="00760C39">
        <w:t xml:space="preserve"> </w:t>
      </w:r>
      <w:r w:rsidR="00760C39">
        <w:t xml:space="preserve">mohly </w:t>
      </w:r>
      <w:r w:rsidR="00760C39" w:rsidRPr="00760C39">
        <w:t>začít v reálném čase.</w:t>
      </w:r>
    </w:p>
    <w:p w14:paraId="4F952CB5" w14:textId="77777777" w:rsidR="00CE031C" w:rsidRDefault="00CD2905" w:rsidP="00BB6636">
      <w:pPr>
        <w:ind w:firstLine="397"/>
      </w:pPr>
      <w:r>
        <w:t xml:space="preserve">Grostesteste stojí na začátku nihilistické éry predikující nutný příchod moderního Antikrista. Tato zajímavá figura vytvořila v prostředí oxfordských iluminátů moderní logiku a od té doby přebývá v různých převlecích mezi námi. </w:t>
      </w:r>
      <w:r w:rsidRPr="00273106">
        <w:t xml:space="preserve">Teologie a mystická víra </w:t>
      </w:r>
      <w:r>
        <w:t xml:space="preserve">předpokládá </w:t>
      </w:r>
      <w:r w:rsidRPr="00273106">
        <w:t>nutné jednání boží prozřetelnosti</w:t>
      </w:r>
      <w:r>
        <w:t xml:space="preserve">. </w:t>
      </w:r>
      <w:r w:rsidRPr="00273106">
        <w:t xml:space="preserve"> </w:t>
      </w:r>
      <w:r>
        <w:t xml:space="preserve">Neoplatonskou nutnost v rámci emanačního </w:t>
      </w:r>
      <w:r w:rsidRPr="000F5B32">
        <w:rPr>
          <w:i/>
        </w:rPr>
        <w:t>processio</w:t>
      </w:r>
      <w:r>
        <w:t xml:space="preserve"> nahradil </w:t>
      </w:r>
      <w:r w:rsidRPr="00273106">
        <w:t xml:space="preserve">nutně daný </w:t>
      </w:r>
      <w:r>
        <w:t xml:space="preserve">proces daný v rámci </w:t>
      </w:r>
      <w:r w:rsidRPr="00273106">
        <w:t xml:space="preserve">božího plánu spásy. </w:t>
      </w:r>
      <w:r>
        <w:t>Avicenna dostal v prostředí Toledské školy oxfordských iluminátů aristotelský kabát. Moderní bůh usazený v Oxfordu už není Avicennův dárce hypostázovaných forem (</w:t>
      </w:r>
      <w:r w:rsidRPr="006A6447">
        <w:rPr>
          <w:i/>
        </w:rPr>
        <w:t>Dator formarum</w:t>
      </w:r>
      <w:r>
        <w:t xml:space="preserve">). </w:t>
      </w:r>
      <w:r w:rsidRPr="009327D0">
        <w:t xml:space="preserve">Jeho intelekt a intencionalita se staly základem metafyziky, aby poskytly pravdu jako </w:t>
      </w:r>
      <w:r w:rsidRPr="009327D0">
        <w:rPr>
          <w:i/>
        </w:rPr>
        <w:t>rectitudo</w:t>
      </w:r>
      <w:r w:rsidRPr="009327D0">
        <w:t xml:space="preserve"> </w:t>
      </w:r>
      <w:r>
        <w:t xml:space="preserve">v rámci </w:t>
      </w:r>
      <w:r w:rsidRPr="009327D0">
        <w:t>věčné produkce a nabídky</w:t>
      </w:r>
      <w:r>
        <w:t xml:space="preserve"> (</w:t>
      </w:r>
      <w:r w:rsidRPr="003E52D2">
        <w:rPr>
          <w:i/>
        </w:rPr>
        <w:t>Ge-</w:t>
      </w:r>
      <w:r>
        <w:rPr>
          <w:i/>
        </w:rPr>
        <w:t>Stell</w:t>
      </w:r>
      <w:r>
        <w:t xml:space="preserve">) božsky určené pravdy. Tyto antropomorfní vlastnosti moderního boha jsou definovány jako </w:t>
      </w:r>
      <w:r w:rsidRPr="006A6447">
        <w:rPr>
          <w:i/>
        </w:rPr>
        <w:t>summa veritas</w:t>
      </w:r>
      <w:r w:rsidRPr="00192B87">
        <w:t xml:space="preserve">. Její </w:t>
      </w:r>
      <w:r>
        <w:t xml:space="preserve">absolutní a věčné </w:t>
      </w:r>
      <w:r w:rsidRPr="00192B87">
        <w:rPr>
          <w:i/>
        </w:rPr>
        <w:t>rectitudo</w:t>
      </w:r>
      <w:r w:rsidRPr="00192B87">
        <w:t xml:space="preserve"> </w:t>
      </w:r>
      <w:r>
        <w:t>tvoří základ moderní logiky, která garantuje v modu „</w:t>
      </w:r>
      <w:r w:rsidRPr="00192B87">
        <w:rPr>
          <w:i/>
        </w:rPr>
        <w:t>semel</w:t>
      </w:r>
      <w:r w:rsidRPr="00192B87">
        <w:rPr>
          <w:rFonts w:cs="Calibri"/>
          <w:i/>
        </w:rPr>
        <w:t>—</w:t>
      </w:r>
      <w:r w:rsidRPr="00192B87">
        <w:rPr>
          <w:i/>
        </w:rPr>
        <w:t>semper</w:t>
      </w:r>
      <w:r>
        <w:t xml:space="preserve">“ neměnnou pravdivost teologicky pojatých výpovědí, jako je příchod Antikrista. Jejich pravdivostní hodnota je zajištěna ještě před stvořením světa v takto dané boží Prozřetelnosti. Lidský subjekt je spojený pupeční šňůrou stejné intencionality a logiky s tímto moderním bohem. Stačí se podívat na postup Descartových meditací o postmoderní filosofii. Tím je zajištěna pravda v rámci evidentní jistoty. </w:t>
      </w:r>
      <w:r w:rsidRPr="00ED14C9">
        <w:t xml:space="preserve">Tento </w:t>
      </w:r>
      <w:r>
        <w:t xml:space="preserve">nová mytologická postava daná jako „člověk–bůh“ </w:t>
      </w:r>
      <w:r w:rsidRPr="00ED14C9">
        <w:t>se stal</w:t>
      </w:r>
      <w:r>
        <w:t>a</w:t>
      </w:r>
      <w:r w:rsidRPr="00ED14C9">
        <w:t xml:space="preserve"> </w:t>
      </w:r>
      <w:r w:rsidRPr="00ED14C9">
        <w:lastRenderedPageBreak/>
        <w:t xml:space="preserve">ontoteologickým </w:t>
      </w:r>
      <w:r w:rsidRPr="00ED14C9">
        <w:rPr>
          <w:i/>
        </w:rPr>
        <w:t>tertium ens</w:t>
      </w:r>
      <w:r w:rsidRPr="00ED14C9">
        <w:t xml:space="preserve">, </w:t>
      </w:r>
      <w:r>
        <w:t>které zaručuje</w:t>
      </w:r>
      <w:r w:rsidRPr="00ED14C9">
        <w:t xml:space="preserve"> moderní pravdu jako evidentní jistotu (</w:t>
      </w:r>
      <w:r w:rsidRPr="00ED14C9">
        <w:rPr>
          <w:i/>
        </w:rPr>
        <w:t>certitudo</w:t>
      </w:r>
      <w:r w:rsidRPr="00ED14C9">
        <w:t>).</w:t>
      </w:r>
      <w:r w:rsidR="00E118C4">
        <w:t xml:space="preserve"> </w:t>
      </w:r>
      <w:r>
        <w:t xml:space="preserve">Démonická determinace moderní logiky dostala přímo eschatologickou budoucnost, protože mrtvého boha moderny nahradili současní </w:t>
      </w:r>
      <w:r w:rsidRPr="08975D6D">
        <w:rPr>
          <w:i/>
        </w:rPr>
        <w:t>banksters</w:t>
      </w:r>
      <w:r w:rsidR="00E118C4">
        <w:t xml:space="preserve">. </w:t>
      </w:r>
      <w:r>
        <w:t>Stejným avicennistickým způsobem dnešní banksteři</w:t>
      </w:r>
      <w:r>
        <w:rPr>
          <w:i/>
        </w:rPr>
        <w:fldChar w:fldCharType="begin"/>
      </w:r>
      <w:r>
        <w:instrText xml:space="preserve"> XE "</w:instrText>
      </w:r>
      <w:r>
        <w:rPr>
          <w:i/>
        </w:rPr>
        <w:instrText>banksters</w:instrText>
      </w:r>
      <w:r>
        <w:instrText xml:space="preserve">" </w:instrText>
      </w:r>
      <w:r>
        <w:rPr>
          <w:i/>
        </w:rPr>
        <w:fldChar w:fldCharType="end"/>
      </w:r>
      <w:r>
        <w:t xml:space="preserve"> emanují finanční krize, protože se po smrti boha </w:t>
      </w:r>
      <w:r w:rsidRPr="08AF1A52">
        <w:rPr>
          <w:i/>
        </w:rPr>
        <w:t>Modernorum</w:t>
      </w:r>
      <w:r>
        <w:t xml:space="preserve"> postavili na jeho místo. V současné epoše bankovního nihilismu je proto zcela logické, že banksteři dělají </w:t>
      </w:r>
      <w:r w:rsidRPr="081E10C5">
        <w:t>boží dílo</w:t>
      </w:r>
      <w:r>
        <w:t>.</w:t>
      </w:r>
      <w:r>
        <w:rPr>
          <w:rStyle w:val="Znakapoznpodarou"/>
        </w:rPr>
        <w:footnoteReference w:id="328"/>
      </w:r>
      <w:r>
        <w:t xml:space="preserve"> Zvláště po již zmíněné hypotéční krizi, která je prozatím jednou z největších a nepotrestaných bankovních loupeží lidstva. </w:t>
      </w:r>
      <w:r w:rsidR="00E77FD6">
        <w:t xml:space="preserve">Postmoderní vizionář </w:t>
      </w:r>
      <w:r w:rsidR="005B2904">
        <w:t>„pozoruje</w:t>
      </w:r>
      <w:r w:rsidR="00E77FD6">
        <w:t xml:space="preserve">“ finanční derivát postavený na stejné formě hypostázované nutnosti. </w:t>
      </w:r>
      <w:r w:rsidR="00351F07">
        <w:rPr>
          <w:szCs w:val="24"/>
        </w:rPr>
        <w:t>Smlouva typu „</w:t>
      </w:r>
      <w:r w:rsidR="00351F07" w:rsidRPr="004925E9">
        <w:rPr>
          <w:i/>
          <w:szCs w:val="24"/>
        </w:rPr>
        <w:t>futures</w:t>
      </w:r>
      <w:r w:rsidR="00351F07">
        <w:rPr>
          <w:szCs w:val="24"/>
        </w:rPr>
        <w:t>“</w:t>
      </w:r>
      <w:r w:rsidR="00351F07" w:rsidRPr="004925E9">
        <w:rPr>
          <w:szCs w:val="24"/>
        </w:rPr>
        <w:t xml:space="preserve"> se podobá Antikristu v tom, že se jedná o finanční derivát, který je určen logicky nutným, avšak neurčitým příchodem </w:t>
      </w:r>
      <w:r w:rsidR="00351F07">
        <w:rPr>
          <w:szCs w:val="24"/>
        </w:rPr>
        <w:t xml:space="preserve">daného aktiva. Deriváty jsou odvozeny </w:t>
      </w:r>
      <w:r w:rsidR="00351F07" w:rsidRPr="004925E9">
        <w:rPr>
          <w:szCs w:val="24"/>
        </w:rPr>
        <w:t>přímo z mod</w:t>
      </w:r>
      <w:r w:rsidR="00351F07">
        <w:rPr>
          <w:szCs w:val="24"/>
        </w:rPr>
        <w:t>erní logiky (</w:t>
      </w:r>
      <w:r w:rsidR="00351F07" w:rsidRPr="004925E9">
        <w:rPr>
          <w:i/>
          <w:szCs w:val="24"/>
        </w:rPr>
        <w:t>deducere</w:t>
      </w:r>
      <w:r w:rsidR="00351F07" w:rsidRPr="004925E9">
        <w:rPr>
          <w:szCs w:val="24"/>
        </w:rPr>
        <w:t>).</w:t>
      </w:r>
      <w:r w:rsidR="00351F07">
        <w:t xml:space="preserve"> </w:t>
      </w:r>
      <w:r w:rsidR="00C46CA2">
        <w:t>B</w:t>
      </w:r>
      <w:r w:rsidR="08586BD3">
        <w:t xml:space="preserve">udoucí Antikrist nebo finanční derivát </w:t>
      </w:r>
      <w:r w:rsidR="08586BD3">
        <w:fldChar w:fldCharType="begin"/>
      </w:r>
      <w:r w:rsidR="08586BD3">
        <w:instrText xml:space="preserve"> XE "</w:instrText>
      </w:r>
      <w:r w:rsidR="08586BD3" w:rsidRPr="089E7504">
        <w:instrText>finanční deriváty</w:instrText>
      </w:r>
      <w:r w:rsidR="08586BD3">
        <w:instrText xml:space="preserve">" </w:instrText>
      </w:r>
      <w:r w:rsidR="08586BD3">
        <w:fldChar w:fldCharType="end"/>
      </w:r>
      <w:r w:rsidR="08586BD3">
        <w:t xml:space="preserve">je </w:t>
      </w:r>
      <w:r w:rsidR="08586BD3" w:rsidRPr="00273106">
        <w:t>determinovaná</w:t>
      </w:r>
      <w:r w:rsidR="002E30FF">
        <w:t xml:space="preserve"> </w:t>
      </w:r>
      <w:r w:rsidR="004C577D">
        <w:t>„</w:t>
      </w:r>
      <w:r w:rsidR="005F07CC">
        <w:t>substance–</w:t>
      </w:r>
      <w:r w:rsidR="002E30FF" w:rsidRPr="002E30FF">
        <w:t>species</w:t>
      </w:r>
      <w:r w:rsidR="004C577D">
        <w:t>“</w:t>
      </w:r>
      <w:r w:rsidR="005F7703">
        <w:t xml:space="preserve">. </w:t>
      </w:r>
      <w:r w:rsidR="00C46CA2">
        <w:t xml:space="preserve">Pod vedením Furií </w:t>
      </w:r>
      <w:r w:rsidR="00C46CA2" w:rsidRPr="00C46CA2">
        <w:t xml:space="preserve">jako finančních kouzelníků se sídlem v </w:t>
      </w:r>
      <w:r w:rsidR="00C46CA2" w:rsidRPr="00C46CA2">
        <w:rPr>
          <w:i/>
        </w:rPr>
        <w:t>City of London</w:t>
      </w:r>
      <w:r w:rsidR="00C46CA2" w:rsidRPr="00C46CA2">
        <w:t xml:space="preserve"> a Wall Street došlo k opakovaným krizím </w:t>
      </w:r>
      <w:r w:rsidR="00C46CA2">
        <w:t xml:space="preserve">daným jako </w:t>
      </w:r>
      <w:r w:rsidR="00C46CA2" w:rsidRPr="00C46CA2">
        <w:t>chao</w:t>
      </w:r>
      <w:r w:rsidR="00C46CA2">
        <w:t>s</w:t>
      </w:r>
      <w:r w:rsidR="00C46CA2" w:rsidRPr="00C46CA2">
        <w:t xml:space="preserve"> b</w:t>
      </w:r>
      <w:r w:rsidR="00C46CA2">
        <w:t xml:space="preserve">ankovního nihilismu. Vezměme </w:t>
      </w:r>
      <w:r w:rsidR="00C46CA2" w:rsidRPr="00C46CA2">
        <w:t xml:space="preserve">jako příklad hypoteční krizi z let </w:t>
      </w:r>
      <w:r w:rsidR="00C46CA2">
        <w:t>2006–</w:t>
      </w:r>
      <w:r w:rsidR="00C46CA2" w:rsidRPr="00C46CA2">
        <w:t>2009. Místo biblické nutnosti budoucího příchodu Antikrista je třeba nahradit nihilistickou nutnost al</w:t>
      </w:r>
      <w:r w:rsidR="00C46CA2">
        <w:t>goritmického systému. V režimu „</w:t>
      </w:r>
      <w:r w:rsidR="00C46CA2" w:rsidRPr="00C46CA2">
        <w:rPr>
          <w:i/>
        </w:rPr>
        <w:t>esse incompletum</w:t>
      </w:r>
      <w:r w:rsidR="00C46CA2">
        <w:t>“</w:t>
      </w:r>
      <w:r w:rsidR="00C46CA2" w:rsidRPr="00C46CA2">
        <w:t xml:space="preserve"> přišla apokalyptic</w:t>
      </w:r>
      <w:r w:rsidR="00B4034A">
        <w:t>ká událost s názvem „</w:t>
      </w:r>
      <w:r w:rsidR="00C46CA2" w:rsidRPr="00C46CA2">
        <w:t>Zajištěný dluhový závazek"</w:t>
      </w:r>
      <w:r w:rsidR="00B4034A">
        <w:t xml:space="preserve"> (</w:t>
      </w:r>
      <w:r w:rsidR="00B4034A">
        <w:rPr>
          <w:rStyle w:val="Zvraznn"/>
        </w:rPr>
        <w:t>Collateralized Debt Obligation</w:t>
      </w:r>
      <w:r w:rsidR="00B4034A">
        <w:rPr>
          <w:rStyle w:val="Zvraznn"/>
        </w:rPr>
        <w:fldChar w:fldCharType="begin"/>
      </w:r>
      <w:r w:rsidR="00B4034A">
        <w:instrText xml:space="preserve"> XE "</w:instrText>
      </w:r>
      <w:r w:rsidR="00B4034A" w:rsidRPr="08C213F4">
        <w:rPr>
          <w:rStyle w:val="Zvraznn"/>
        </w:rPr>
        <w:instrText>Collateralized Debt Obligation</w:instrText>
      </w:r>
      <w:r w:rsidR="00B4034A">
        <w:instrText xml:space="preserve">" </w:instrText>
      </w:r>
      <w:r w:rsidR="00B4034A">
        <w:rPr>
          <w:rStyle w:val="Zvraznn"/>
        </w:rPr>
        <w:fldChar w:fldCharType="end"/>
      </w:r>
      <w:r w:rsidR="000A42DD">
        <w:t>, CDO)</w:t>
      </w:r>
      <w:r w:rsidR="00B4034A">
        <w:t xml:space="preserve">. </w:t>
      </w:r>
      <w:r w:rsidR="00E50878" w:rsidRPr="00E50878">
        <w:t>Jeho příchod spočívá v matematicky podložených spekulacích o budoucí hodnotě hypoték.</w:t>
      </w:r>
      <w:r w:rsidR="00E50878">
        <w:t xml:space="preserve"> </w:t>
      </w:r>
      <w:r w:rsidR="00577DF1">
        <w:t>V řádu stejné nutnosti vznikla bankovní cenina jako esence vytvořená pomocí matematického algoritmu. Tato esence pak dostane charakter objektivně pravdivé první substance skrze certifikační autoritu banksterů</w:t>
      </w:r>
      <w:r w:rsidR="00577DF1">
        <w:rPr>
          <w:i/>
        </w:rPr>
        <w:fldChar w:fldCharType="begin"/>
      </w:r>
      <w:r w:rsidR="00577DF1">
        <w:instrText xml:space="preserve"> XE "</w:instrText>
      </w:r>
      <w:r w:rsidR="00577DF1">
        <w:rPr>
          <w:i/>
        </w:rPr>
        <w:instrText>banksters</w:instrText>
      </w:r>
      <w:r w:rsidR="00577DF1">
        <w:instrText xml:space="preserve">" </w:instrText>
      </w:r>
      <w:r w:rsidR="00577DF1">
        <w:rPr>
          <w:i/>
        </w:rPr>
        <w:fldChar w:fldCharType="end"/>
      </w:r>
      <w:r w:rsidR="00577DF1">
        <w:t xml:space="preserve">. Zavedení </w:t>
      </w:r>
      <w:r w:rsidR="00A322BF">
        <w:t>„</w:t>
      </w:r>
      <w:r w:rsidR="00C46CA2" w:rsidRPr="00C46CA2">
        <w:t xml:space="preserve">nominální </w:t>
      </w:r>
      <w:r w:rsidR="00577DF1">
        <w:t>ceniny</w:t>
      </w:r>
      <w:r w:rsidR="00A322BF">
        <w:t>“</w:t>
      </w:r>
      <w:r w:rsidR="00577DF1">
        <w:t xml:space="preserve"> jako mytologické esence </w:t>
      </w:r>
      <w:r w:rsidR="00C46CA2" w:rsidRPr="00C46CA2">
        <w:t>(</w:t>
      </w:r>
      <w:r w:rsidR="00C46CA2" w:rsidRPr="00B4034A">
        <w:rPr>
          <w:i/>
        </w:rPr>
        <w:t>Ge-Stell</w:t>
      </w:r>
      <w:r w:rsidR="00B4034A">
        <w:rPr>
          <w:i/>
          <w:szCs w:val="24"/>
        </w:rPr>
        <w:fldChar w:fldCharType="begin"/>
      </w:r>
      <w:r w:rsidR="00B4034A">
        <w:instrText xml:space="preserve"> XE "</w:instrText>
      </w:r>
      <w:r w:rsidR="00B4034A" w:rsidRPr="00A9324B">
        <w:rPr>
          <w:i/>
          <w:szCs w:val="24"/>
        </w:rPr>
        <w:instrText>Ge-Stell</w:instrText>
      </w:r>
      <w:r w:rsidR="00B4034A">
        <w:instrText xml:space="preserve">" </w:instrText>
      </w:r>
      <w:r w:rsidR="00B4034A">
        <w:rPr>
          <w:i/>
          <w:szCs w:val="24"/>
        </w:rPr>
        <w:fldChar w:fldCharType="end"/>
      </w:r>
      <w:r w:rsidR="00577DF1">
        <w:t>) místo reálné první substance mělo fatální následky. D</w:t>
      </w:r>
      <w:r w:rsidR="00C46CA2" w:rsidRPr="00C46CA2">
        <w:t xml:space="preserve">émonická nutnost ve věku nihilismu způsobila, že střadatelé ztratili své skutečné peníze a </w:t>
      </w:r>
      <w:r w:rsidR="00577DF1">
        <w:t xml:space="preserve">celoživotní úspory. </w:t>
      </w:r>
      <w:r w:rsidR="007A7911">
        <w:t xml:space="preserve">Aristotelikům typu Abelarda </w:t>
      </w:r>
      <w:r w:rsidR="00EC58C8">
        <w:t xml:space="preserve">a prvního averroismu bylo </w:t>
      </w:r>
      <w:r w:rsidR="08537779">
        <w:t xml:space="preserve">a je </w:t>
      </w:r>
      <w:r w:rsidR="00CD053D" w:rsidRPr="00273106">
        <w:t xml:space="preserve">jasné, že k budoucímu příchodu Antikrista </w:t>
      </w:r>
      <w:r w:rsidR="08A70B45">
        <w:t>nebo nihilistického finanční</w:t>
      </w:r>
      <w:r w:rsidR="08FB5213">
        <w:t>ho derivátu</w:t>
      </w:r>
      <w:r w:rsidR="084956F1">
        <w:t xml:space="preserve"> </w:t>
      </w:r>
      <w:r w:rsidR="084956F1">
        <w:fldChar w:fldCharType="begin"/>
      </w:r>
      <w:r w:rsidR="084956F1">
        <w:instrText xml:space="preserve"> XE "</w:instrText>
      </w:r>
      <w:r w:rsidR="084956F1" w:rsidRPr="089E7504">
        <w:instrText>finanční deriváty</w:instrText>
      </w:r>
      <w:r w:rsidR="084956F1">
        <w:instrText xml:space="preserve">" </w:instrText>
      </w:r>
      <w:r w:rsidR="084956F1">
        <w:fldChar w:fldCharType="end"/>
      </w:r>
      <w:r w:rsidR="08FB5213">
        <w:t xml:space="preserve"> </w:t>
      </w:r>
      <w:r w:rsidR="00CD053D" w:rsidRPr="00273106">
        <w:t xml:space="preserve">nelze </w:t>
      </w:r>
      <w:r w:rsidR="00EC58C8">
        <w:t xml:space="preserve">v řádu logiky </w:t>
      </w:r>
      <w:r w:rsidR="00CD053D" w:rsidRPr="00273106">
        <w:t>žádnou pravdivostní hodnotu přičíst, protože chybí hyparchická determinace od první substance</w:t>
      </w:r>
      <w:r w:rsidR="00A70FA4">
        <w:fldChar w:fldCharType="begin"/>
      </w:r>
      <w:r w:rsidR="00A70FA4">
        <w:instrText xml:space="preserve"> XE "</w:instrText>
      </w:r>
      <w:r w:rsidR="00DF2B01">
        <w:instrText>predikace:hyparchická</w:instrText>
      </w:r>
      <w:r w:rsidR="00A70FA4">
        <w:instrText xml:space="preserve">" </w:instrText>
      </w:r>
      <w:r w:rsidR="00A70FA4">
        <w:fldChar w:fldCharType="end"/>
      </w:r>
      <w:r w:rsidR="00C92AF4">
        <w:t>. Moderna postupuje jinak</w:t>
      </w:r>
      <w:r w:rsidR="082D4B01">
        <w:t xml:space="preserve"> než kritický rozum </w:t>
      </w:r>
      <w:r w:rsidR="082D4B01">
        <w:lastRenderedPageBreak/>
        <w:t>aristoteliků. J</w:t>
      </w:r>
      <w:r w:rsidR="00C92AF4">
        <w:t>e</w:t>
      </w:r>
      <w:r w:rsidR="00E33A80">
        <w:t xml:space="preserve">jí </w:t>
      </w:r>
      <w:r w:rsidR="0087683C">
        <w:t xml:space="preserve">pozitivní eschatologická </w:t>
      </w:r>
      <w:r w:rsidR="00E33A80">
        <w:t xml:space="preserve">logika </w:t>
      </w:r>
      <w:r w:rsidR="082C68B5">
        <w:t xml:space="preserve">je </w:t>
      </w:r>
      <w:r w:rsidR="00C92AF4">
        <w:t xml:space="preserve">osvícena </w:t>
      </w:r>
      <w:r w:rsidR="0841249F">
        <w:t>Fúriemi z chaotického podsvětí</w:t>
      </w:r>
      <w:r w:rsidR="00C92AF4">
        <w:t xml:space="preserve">, nikoliv od </w:t>
      </w:r>
      <w:r w:rsidR="082C68B5">
        <w:t xml:space="preserve">reálné </w:t>
      </w:r>
      <w:r w:rsidR="00C92AF4">
        <w:t>první substance. L</w:t>
      </w:r>
      <w:r w:rsidR="00982C8E" w:rsidRPr="00273106">
        <w:t xml:space="preserve">ogickou valenci </w:t>
      </w:r>
      <w:r w:rsidR="08E87DDD">
        <w:t xml:space="preserve">obou </w:t>
      </w:r>
      <w:r w:rsidR="00982C8E" w:rsidRPr="00273106">
        <w:t>budoucích dějů zajiš</w:t>
      </w:r>
      <w:r w:rsidR="00CD053D" w:rsidRPr="00273106">
        <w:t>ťuje ontote</w:t>
      </w:r>
      <w:r w:rsidR="082C68B5">
        <w:t>o</w:t>
      </w:r>
      <w:r w:rsidR="00CD053D" w:rsidRPr="00273106">
        <w:t xml:space="preserve">logický scénář pravdy jako </w:t>
      </w:r>
      <w:r w:rsidR="08E87DDD">
        <w:t xml:space="preserve">biblického nebo bankovního </w:t>
      </w:r>
      <w:r w:rsidR="00CD053D" w:rsidRPr="00273106">
        <w:rPr>
          <w:i/>
        </w:rPr>
        <w:t>rectitudo</w:t>
      </w:r>
      <w:r w:rsidR="00CD053D" w:rsidRPr="00273106">
        <w:t>. K</w:t>
      </w:r>
      <w:r w:rsidR="008501A6">
        <w:t xml:space="preserve">aždé </w:t>
      </w:r>
      <w:r w:rsidR="000524B4" w:rsidRPr="00273106">
        <w:rPr>
          <w:i/>
        </w:rPr>
        <w:t>esse incompletum</w:t>
      </w:r>
      <w:r w:rsidR="000524B4" w:rsidRPr="00273106">
        <w:t xml:space="preserve"> </w:t>
      </w:r>
      <w:r w:rsidR="004C37D6" w:rsidRPr="00273106">
        <w:t xml:space="preserve">je u boha </w:t>
      </w:r>
      <w:r w:rsidR="08FE343D">
        <w:t xml:space="preserve">nebo u ratingových agentur </w:t>
      </w:r>
      <w:r w:rsidR="004C37D6" w:rsidRPr="00273106">
        <w:t xml:space="preserve">již </w:t>
      </w:r>
      <w:r w:rsidR="000524B4" w:rsidRPr="00273106">
        <w:t>určeno</w:t>
      </w:r>
      <w:r w:rsidR="00BB6636">
        <w:t xml:space="preserve"> předem. Tato instance jako „</w:t>
      </w:r>
      <w:r w:rsidR="00BB6636" w:rsidRPr="00BB6636">
        <w:rPr>
          <w:i/>
        </w:rPr>
        <w:t>summa veritas</w:t>
      </w:r>
      <w:r w:rsidR="00BB6636">
        <w:t>“</w:t>
      </w:r>
      <w:r w:rsidR="00BB6636" w:rsidRPr="00BB6636">
        <w:t xml:space="preserve"> již obsahuje obě možnosti logické nutnosti. Pravda a </w:t>
      </w:r>
      <w:r w:rsidR="00BB6636">
        <w:t xml:space="preserve">nepravda </w:t>
      </w:r>
      <w:r w:rsidR="00BB6636" w:rsidRPr="00BB6636">
        <w:t>jsou dány v meta-logicky jednoznačné podobě moderních</w:t>
      </w:r>
      <w:r w:rsidR="00BB6636">
        <w:t xml:space="preserve"> iluminátů či současných </w:t>
      </w:r>
      <w:r w:rsidR="00BB6636" w:rsidRPr="00BB6636">
        <w:rPr>
          <w:i/>
        </w:rPr>
        <w:t>banksters</w:t>
      </w:r>
      <w:r w:rsidR="00BB6636" w:rsidRPr="00BB6636">
        <w:t>.</w:t>
      </w:r>
    </w:p>
    <w:p w14:paraId="74834F7F" w14:textId="2E8E2F3A" w:rsidR="001663DF" w:rsidRDefault="000524B4" w:rsidP="00BB6636">
      <w:pPr>
        <w:ind w:firstLine="397"/>
      </w:pPr>
      <w:r w:rsidRPr="00273106">
        <w:t xml:space="preserve">Grosseteste vychází z Avicennovy duality mezi nutností a kontigencí. Nutnost je pravdivá vždy, kontingence má obě možnosti dány </w:t>
      </w:r>
      <w:r w:rsidRPr="00273106">
        <w:rPr>
          <w:i/>
        </w:rPr>
        <w:t>possibiliter</w:t>
      </w:r>
      <w:r w:rsidRPr="00273106">
        <w:t xml:space="preserve">. Logická valence není </w:t>
      </w:r>
      <w:r w:rsidR="00B57E9E">
        <w:t xml:space="preserve">ještě </w:t>
      </w:r>
      <w:r w:rsidRPr="00273106">
        <w:t xml:space="preserve">určena </w:t>
      </w:r>
      <w:r w:rsidR="00B57E9E">
        <w:t xml:space="preserve">z hlediska konkrétní </w:t>
      </w:r>
      <w:r w:rsidRPr="00273106">
        <w:t>pravdivostní hodnoty, ale již má pevně daný logický význam v oboru pravdy a nepravdy</w:t>
      </w:r>
      <w:r w:rsidR="08943FD8">
        <w:t xml:space="preserve"> třetího druhu (</w:t>
      </w:r>
      <w:r w:rsidR="00A32E9F" w:rsidRPr="00A32E9F">
        <w:rPr>
          <w:i/>
        </w:rPr>
        <w:t>possibiliter</w:t>
      </w:r>
      <w:r w:rsidR="00A32E9F">
        <w:t>)</w:t>
      </w:r>
      <w:r w:rsidR="009D76C7">
        <w:t>, který je ex</w:t>
      </w:r>
      <w:r w:rsidR="004359D7">
        <w:t>e</w:t>
      </w:r>
      <w:r w:rsidR="009D76C7">
        <w:t>mplárně daný</w:t>
      </w:r>
      <w:r w:rsidR="009D2CE1" w:rsidRPr="00273106">
        <w:t xml:space="preserve"> </w:t>
      </w:r>
      <w:r w:rsidR="00A00386" w:rsidRPr="00273106">
        <w:t>mimo kontigentní realitu</w:t>
      </w:r>
      <w:r w:rsidRPr="00273106">
        <w:t xml:space="preserve">. </w:t>
      </w:r>
      <w:r w:rsidR="08943FD8">
        <w:t>Čistá potence se stala hypostázovanou první substancí</w:t>
      </w:r>
      <w:r w:rsidR="085508D2">
        <w:t xml:space="preserve"> (Antikrist, CDO-deriváty)</w:t>
      </w:r>
      <w:r w:rsidR="08943FD8">
        <w:t xml:space="preserve">. </w:t>
      </w:r>
      <w:r w:rsidR="000A6DEC" w:rsidRPr="00273106">
        <w:t xml:space="preserve">Eschatologie oxfordských františkánů a dominikánů vnesla do logiky </w:t>
      </w:r>
      <w:r w:rsidR="004359D7">
        <w:t xml:space="preserve">moderní </w:t>
      </w:r>
      <w:r w:rsidR="000A6DEC" w:rsidRPr="00273106">
        <w:t xml:space="preserve">metafyziku </w:t>
      </w:r>
      <w:r w:rsidR="00170952">
        <w:t xml:space="preserve">danou skrze </w:t>
      </w:r>
      <w:r w:rsidR="00170952" w:rsidRPr="00170952">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DF2B01">
        <w:instrText>:</w:instrText>
      </w:r>
      <w:r w:rsidR="00DF2B01" w:rsidRPr="00DF2B01">
        <w:instrText>moderní logika</w:instrText>
      </w:r>
      <w:r w:rsidR="00924399">
        <w:instrText xml:space="preserve">" </w:instrText>
      </w:r>
      <w:r w:rsidR="00924399">
        <w:rPr>
          <w:i/>
        </w:rPr>
        <w:fldChar w:fldCharType="end"/>
      </w:r>
      <w:r w:rsidR="00A42950">
        <w:t>, která se zaklád</w:t>
      </w:r>
      <w:r w:rsidR="00170952">
        <w:t>á na č</w:t>
      </w:r>
      <w:r w:rsidR="000A6DEC" w:rsidRPr="00273106">
        <w:t>isté možnosti</w:t>
      </w:r>
      <w:r w:rsidR="00A32E9F">
        <w:t xml:space="preserve"> </w:t>
      </w:r>
      <w:r w:rsidR="08912500">
        <w:t xml:space="preserve">prozatím </w:t>
      </w:r>
      <w:r w:rsidR="089A2B08">
        <w:t xml:space="preserve">reálně </w:t>
      </w:r>
      <w:r w:rsidR="08912500">
        <w:t xml:space="preserve">nenastalé </w:t>
      </w:r>
      <w:r w:rsidR="00A32E9F">
        <w:t>pravdy</w:t>
      </w:r>
      <w:r w:rsidR="08C72F62">
        <w:t>-esence</w:t>
      </w:r>
      <w:r w:rsidR="000A6DEC" w:rsidRPr="00273106">
        <w:t>.</w:t>
      </w:r>
      <w:r w:rsidR="08D05354">
        <w:t xml:space="preserve"> Co bylo pro klasickou logiku </w:t>
      </w:r>
      <w:r w:rsidR="08946006">
        <w:t xml:space="preserve">založenou na metafyzice </w:t>
      </w:r>
      <w:r w:rsidR="08D05354">
        <w:t xml:space="preserve">zásadně neurčitelné, to se stalo pro moderní ilumináty </w:t>
      </w:r>
      <w:r w:rsidR="08946006">
        <w:t xml:space="preserve">myslící dogmaticky a eschatologicky </w:t>
      </w:r>
      <w:r w:rsidR="08D05354">
        <w:t>jen kontigentně neu</w:t>
      </w:r>
      <w:r w:rsidR="084F4E73">
        <w:t>r</w:t>
      </w:r>
      <w:r w:rsidR="08D05354">
        <w:t xml:space="preserve">čitelným. </w:t>
      </w:r>
      <w:r w:rsidR="088F0C40">
        <w:t xml:space="preserve">Hypostázovanou </w:t>
      </w:r>
      <w:r w:rsidR="00C654A5">
        <w:t xml:space="preserve">možnost </w:t>
      </w:r>
      <w:r w:rsidR="00770D29">
        <w:t xml:space="preserve">pozemského příchodu Antikrista </w:t>
      </w:r>
      <w:r w:rsidR="088F0C40">
        <w:t xml:space="preserve">zaručuje </w:t>
      </w:r>
      <w:r w:rsidR="00C654A5">
        <w:t>neměná plnost pravdy v moderním bohu</w:t>
      </w:r>
      <w:r w:rsidR="085F5DF6">
        <w:t xml:space="preserve">. </w:t>
      </w:r>
      <w:r w:rsidR="086700E8">
        <w:t xml:space="preserve">Postmoderna rozvedla </w:t>
      </w:r>
      <w:r w:rsidR="00E118C4">
        <w:t xml:space="preserve">termín </w:t>
      </w:r>
      <w:r w:rsidR="007976AA">
        <w:t>„</w:t>
      </w:r>
      <w:r w:rsidR="087477F3" w:rsidRPr="087477F3">
        <w:rPr>
          <w:i/>
        </w:rPr>
        <w:t>summa veritas</w:t>
      </w:r>
      <w:r w:rsidR="007976AA">
        <w:t>“</w:t>
      </w:r>
      <w:r w:rsidR="087477F3">
        <w:t xml:space="preserve"> </w:t>
      </w:r>
      <w:r w:rsidR="086700E8">
        <w:t>do současné formy svě</w:t>
      </w:r>
      <w:r w:rsidR="003F5EE7">
        <w:t xml:space="preserve">ta řízeného kontigentní </w:t>
      </w:r>
      <w:r w:rsidR="0092190B">
        <w:t xml:space="preserve">mytologickou </w:t>
      </w:r>
      <w:r w:rsidR="003F5EE7">
        <w:t xml:space="preserve">nutností. </w:t>
      </w:r>
      <w:r w:rsidR="08862FB8" w:rsidRPr="08862FB8">
        <w:rPr>
          <w:i/>
          <w:szCs w:val="24"/>
        </w:rPr>
        <w:t>Money talks and people listen</w:t>
      </w:r>
      <w:r w:rsidR="08862FB8" w:rsidRPr="08862FB8">
        <w:rPr>
          <w:szCs w:val="24"/>
        </w:rPr>
        <w:t xml:space="preserve">. </w:t>
      </w:r>
      <w:r w:rsidR="003F5EE7">
        <w:t xml:space="preserve">Tento virtuální Šivův tanec je založen na legii mocenských, ekonomických a ideologických simuláker pravdy jako </w:t>
      </w:r>
      <w:r w:rsidR="003F5EE7" w:rsidRPr="0013317C">
        <w:rPr>
          <w:i/>
        </w:rPr>
        <w:t>post-truth</w:t>
      </w:r>
      <w:r w:rsidR="003F5EE7">
        <w:rPr>
          <w:i/>
        </w:rPr>
        <w:fldChar w:fldCharType="begin"/>
      </w:r>
      <w:r w:rsidR="003F5EE7">
        <w:instrText xml:space="preserve"> XE "</w:instrText>
      </w:r>
      <w:r w:rsidR="003F5EE7" w:rsidRPr="08741307">
        <w:rPr>
          <w:i/>
        </w:rPr>
        <w:instrText>post-truth</w:instrText>
      </w:r>
      <w:r w:rsidR="003F5EE7">
        <w:instrText xml:space="preserve">" </w:instrText>
      </w:r>
      <w:r w:rsidR="003F5EE7">
        <w:rPr>
          <w:i/>
        </w:rPr>
        <w:fldChar w:fldCharType="end"/>
      </w:r>
      <w:r w:rsidR="003F5EE7">
        <w:t xml:space="preserve">. </w:t>
      </w:r>
      <w:r w:rsidR="008E02F5">
        <w:t>Aristoteles</w:t>
      </w:r>
      <w:r w:rsidR="086774CA" w:rsidRPr="00273106">
        <w:t xml:space="preserve"> </w:t>
      </w:r>
      <w:r w:rsidR="00325BD8">
        <w:t xml:space="preserve">a po něm první averroismus </w:t>
      </w:r>
      <w:r w:rsidR="086774CA" w:rsidRPr="00273106">
        <w:t xml:space="preserve">odmítl provést podobné operace s ohledem na neexistující první substanci kauzálně determinující poznání svou aktualitou. Protože jsoucno typu „budoucí </w:t>
      </w:r>
      <w:r w:rsidR="08525617">
        <w:t xml:space="preserve">námořní </w:t>
      </w:r>
      <w:r w:rsidR="086774CA" w:rsidRPr="00273106">
        <w:t>bitva</w:t>
      </w:r>
      <w:r w:rsidR="00250EF2">
        <w:fldChar w:fldCharType="begin"/>
      </w:r>
      <w:r w:rsidR="00250EF2">
        <w:instrText xml:space="preserve"> XE "</w:instrText>
      </w:r>
      <w:r w:rsidR="00250EF2" w:rsidRPr="00A1214C">
        <w:instrText>námořní bitva</w:instrText>
      </w:r>
      <w:r w:rsidR="00250EF2">
        <w:instrText xml:space="preserve">" </w:instrText>
      </w:r>
      <w:r w:rsidR="00250EF2">
        <w:fldChar w:fldCharType="end"/>
      </w:r>
      <w:r w:rsidR="086774CA" w:rsidRPr="00273106">
        <w:t xml:space="preserve">“ </w:t>
      </w:r>
      <w:r w:rsidR="08214DE3">
        <w:t>neexistuje</w:t>
      </w:r>
      <w:r w:rsidR="086774CA" w:rsidRPr="00273106">
        <w:t xml:space="preserve"> zde a nyní v reálu, tak není co determinovat ani v logicky uvažující mysli. Grosseteste </w:t>
      </w:r>
      <w:r w:rsidR="00325BD8">
        <w:t xml:space="preserve">a po něm druhý averroismus </w:t>
      </w:r>
      <w:r w:rsidR="086774CA" w:rsidRPr="00273106">
        <w:t>postupuje jinak</w:t>
      </w:r>
      <w:r w:rsidR="08214DE3">
        <w:t xml:space="preserve">, protože nutnost </w:t>
      </w:r>
      <w:r w:rsidR="082A724F">
        <w:t xml:space="preserve">metafyzického </w:t>
      </w:r>
      <w:r w:rsidR="08214DE3">
        <w:t>dativu nahradil parousií významu zjeveného v osvícené mysli ilumi</w:t>
      </w:r>
      <w:r w:rsidR="00492F1C">
        <w:t>nátů</w:t>
      </w:r>
      <w:r w:rsidR="086774CA" w:rsidRPr="00273106">
        <w:t>. Protože Antikrist určitě</w:t>
      </w:r>
      <w:r w:rsidR="00EF2161">
        <w:t xml:space="preserve"> přijde, tak je co determinovat</w:t>
      </w:r>
      <w:r w:rsidR="00BF4625">
        <w:t xml:space="preserve"> v modu </w:t>
      </w:r>
      <w:r w:rsidR="0049772B">
        <w:t>věčného určení pravdy (</w:t>
      </w:r>
      <w:r w:rsidR="082D4F85">
        <w:t xml:space="preserve">modus </w:t>
      </w:r>
      <w:r w:rsidR="00BF4625" w:rsidRPr="00BF4625">
        <w:rPr>
          <w:i/>
        </w:rPr>
        <w:t>semper</w:t>
      </w:r>
      <w:r w:rsidR="00AB58B2">
        <w:rPr>
          <w:i/>
        </w:rPr>
        <w:fldChar w:fldCharType="begin"/>
      </w:r>
      <w:r w:rsidR="00AB58B2">
        <w:instrText xml:space="preserve"> XE "pravda:</w:instrText>
      </w:r>
      <w:r w:rsidR="006F1348">
        <w:rPr>
          <w:i/>
        </w:rPr>
        <w:instrText>semel‒semper</w:instrText>
      </w:r>
      <w:r w:rsidR="00AB58B2">
        <w:instrText xml:space="preserve">" </w:instrText>
      </w:r>
      <w:r w:rsidR="00AB58B2">
        <w:rPr>
          <w:i/>
        </w:rPr>
        <w:fldChar w:fldCharType="end"/>
      </w:r>
      <w:r w:rsidR="0049772B">
        <w:t>)</w:t>
      </w:r>
      <w:r w:rsidR="082D4F85">
        <w:t xml:space="preserve">. Tato eschatologická nutnost </w:t>
      </w:r>
      <w:r w:rsidR="0049772B">
        <w:t>je dána u boha (</w:t>
      </w:r>
      <w:r w:rsidR="082D4F85">
        <w:t xml:space="preserve">modus </w:t>
      </w:r>
      <w:r w:rsidR="00BF4625" w:rsidRPr="00BF4625">
        <w:rPr>
          <w:i/>
        </w:rPr>
        <w:t>per se</w:t>
      </w:r>
      <w:r w:rsidR="082D4F85">
        <w:rPr>
          <w:i/>
        </w:rPr>
        <w:t>, absolute</w:t>
      </w:r>
      <w:r w:rsidR="0049772B" w:rsidRPr="0049772B">
        <w:t>)</w:t>
      </w:r>
      <w:r w:rsidR="000618C4">
        <w:t xml:space="preserve">. </w:t>
      </w:r>
      <w:r w:rsidR="08A610BC" w:rsidRPr="08A610BC">
        <w:t>M</w:t>
      </w:r>
      <w:r w:rsidR="08A610BC">
        <w:t xml:space="preserve">oderna </w:t>
      </w:r>
      <w:r w:rsidR="08A610BC" w:rsidRPr="0049772B">
        <w:t>zakládá pravdivostní hodnoty kontigentních dějů</w:t>
      </w:r>
      <w:r w:rsidR="08A610BC">
        <w:t xml:space="preserve"> skrze „exsistenci“ esence danou </w:t>
      </w:r>
      <w:r w:rsidR="00DF3B5C">
        <w:rPr>
          <w:i/>
        </w:rPr>
        <w:t>modo</w:t>
      </w:r>
      <w:r w:rsidR="08A610BC">
        <w:rPr>
          <w:i/>
        </w:rPr>
        <w:t xml:space="preserve"> geome</w:t>
      </w:r>
      <w:r w:rsidR="08A610BC" w:rsidRPr="000618C4">
        <w:rPr>
          <w:i/>
        </w:rPr>
        <w:t>trico</w:t>
      </w:r>
      <w:r w:rsidR="08A610BC">
        <w:rPr>
          <w:i/>
        </w:rPr>
        <w:fldChar w:fldCharType="begin"/>
      </w:r>
      <w:r w:rsidR="08A610BC">
        <w:instrText xml:space="preserve"> XE "</w:instrText>
      </w:r>
      <w:r w:rsidR="08A610BC" w:rsidRPr="0067526E">
        <w:rPr>
          <w:i/>
        </w:rPr>
        <w:instrText>more geometrico</w:instrText>
      </w:r>
      <w:r w:rsidR="08A610BC">
        <w:instrText xml:space="preserve">" </w:instrText>
      </w:r>
      <w:r w:rsidR="08A610BC">
        <w:rPr>
          <w:i/>
        </w:rPr>
        <w:fldChar w:fldCharType="end"/>
      </w:r>
      <w:r w:rsidR="08A610BC">
        <w:t xml:space="preserve">. Moderní nutnost platí v modu neoplatonské dedukce jsoucen třetího druhu z původního zdroje. Posledním zdrojem </w:t>
      </w:r>
      <w:r w:rsidR="08A610BC">
        <w:lastRenderedPageBreak/>
        <w:t xml:space="preserve">dedukce je Avicennův </w:t>
      </w:r>
      <w:r w:rsidR="08A610BC" w:rsidRPr="08A610BC">
        <w:rPr>
          <w:i/>
        </w:rPr>
        <w:t>Dator formarum</w:t>
      </w:r>
      <w:r w:rsidR="08A610BC">
        <w:t xml:space="preserve"> a po jeho smrti už jen </w:t>
      </w:r>
      <w:r w:rsidR="00BF7F72">
        <w:t xml:space="preserve">nihilistický </w:t>
      </w:r>
      <w:r w:rsidR="08A610BC">
        <w:t xml:space="preserve">bankster. </w:t>
      </w:r>
      <w:r w:rsidR="086774CA" w:rsidRPr="00273106">
        <w:t xml:space="preserve">S realitou </w:t>
      </w:r>
      <w:r w:rsidR="008D7091">
        <w:t xml:space="preserve">budoucího příchodu </w:t>
      </w:r>
      <w:r w:rsidR="00370A61">
        <w:t>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370A61">
        <w:t xml:space="preserve"> </w:t>
      </w:r>
      <w:r w:rsidR="086774CA" w:rsidRPr="00273106">
        <w:t xml:space="preserve">si </w:t>
      </w:r>
      <w:r w:rsidR="08045472" w:rsidRPr="00273106">
        <w:t xml:space="preserve">zakladatel </w:t>
      </w:r>
      <w:r w:rsidR="08045472" w:rsidRPr="00273106">
        <w:rPr>
          <w:i/>
        </w:rPr>
        <w:t>Oxfordian Fallacy</w:t>
      </w:r>
      <w:r w:rsidR="08045472" w:rsidRPr="00273106">
        <w:t xml:space="preserve"> </w:t>
      </w:r>
      <w:r w:rsidR="00652C03">
        <w:t>nedělal</w:t>
      </w:r>
      <w:r w:rsidR="086774CA" w:rsidRPr="00273106">
        <w:t xml:space="preserve"> žádné starosti</w:t>
      </w:r>
      <w:r w:rsidR="00397FF8">
        <w:t xml:space="preserve">. Aby filosoficky zdůvodnil jeho příchod, nahradil </w:t>
      </w:r>
      <w:r w:rsidR="00BB24F0">
        <w:t xml:space="preserve">chybějící </w:t>
      </w:r>
      <w:r w:rsidR="084829B9" w:rsidRPr="00273106">
        <w:t>a</w:t>
      </w:r>
      <w:r w:rsidR="086774CA" w:rsidRPr="00273106">
        <w:t>ktuální první substan</w:t>
      </w:r>
      <w:r w:rsidR="003D549C">
        <w:t xml:space="preserve">ci nominálním výrazem </w:t>
      </w:r>
      <w:r w:rsidR="086774CA" w:rsidRPr="00273106">
        <w:rPr>
          <w:i/>
        </w:rPr>
        <w:t>esse incompletum</w:t>
      </w:r>
      <w:r w:rsidR="00250EF2">
        <w:rPr>
          <w:i/>
        </w:rPr>
        <w:fldChar w:fldCharType="begin"/>
      </w:r>
      <w:r w:rsidR="00250EF2">
        <w:instrText xml:space="preserve"> XE "substance:</w:instrText>
      </w:r>
      <w:r w:rsidR="00250EF2" w:rsidRPr="00090401">
        <w:rPr>
          <w:i/>
        </w:rPr>
        <w:instrText>esse incompletum</w:instrText>
      </w:r>
      <w:r w:rsidR="00250EF2">
        <w:instrText xml:space="preserve">" </w:instrText>
      </w:r>
      <w:r w:rsidR="00250EF2">
        <w:rPr>
          <w:i/>
        </w:rPr>
        <w:fldChar w:fldCharType="end"/>
      </w:r>
      <w:r w:rsidR="086774CA" w:rsidRPr="00273106">
        <w:t xml:space="preserve">. </w:t>
      </w:r>
      <w:r w:rsidR="089B02DF">
        <w:t xml:space="preserve">Tato nová </w:t>
      </w:r>
      <w:r w:rsidR="08936220">
        <w:t xml:space="preserve">démonická </w:t>
      </w:r>
      <w:r w:rsidR="089B02DF">
        <w:t xml:space="preserve">esence má stejnou logicky-objektivní hodnotu </w:t>
      </w:r>
      <w:r w:rsidR="001663DF">
        <w:t>jako zmíněné finanční deriváty.</w:t>
      </w:r>
    </w:p>
    <w:p w14:paraId="7ED9D798" w14:textId="0A266818" w:rsidR="009630DF" w:rsidRPr="00273106" w:rsidRDefault="087F3141" w:rsidP="00351F07">
      <w:pPr>
        <w:ind w:firstLine="397"/>
      </w:pPr>
      <w:r w:rsidRPr="00273106">
        <w:t xml:space="preserve">Vraťme </w:t>
      </w:r>
      <w:r w:rsidR="008D6750" w:rsidRPr="00273106">
        <w:t xml:space="preserve">se </w:t>
      </w:r>
      <w:r w:rsidR="000A6DEC" w:rsidRPr="00273106">
        <w:t xml:space="preserve">k výše uvedenému pojetí </w:t>
      </w:r>
      <w:r w:rsidR="00093B24">
        <w:t>„</w:t>
      </w:r>
      <w:r w:rsidR="008D6750" w:rsidRPr="00273106">
        <w:rPr>
          <w:i/>
        </w:rPr>
        <w:t>veritas incomplet</w:t>
      </w:r>
      <w:r w:rsidR="000A6DEC" w:rsidRPr="00273106">
        <w:rPr>
          <w:i/>
        </w:rPr>
        <w:t>a</w:t>
      </w:r>
      <w:r w:rsidR="00093B24">
        <w:t>“</w:t>
      </w:r>
      <w:r w:rsidR="00965C3F">
        <w:rPr>
          <w:i/>
        </w:rPr>
        <w:fldChar w:fldCharType="begin"/>
      </w:r>
      <w:r w:rsidR="00965C3F">
        <w:instrText xml:space="preserve"> XE "pravda:</w:instrText>
      </w:r>
      <w:r w:rsidR="00965C3F" w:rsidRPr="009C4A94">
        <w:rPr>
          <w:i/>
        </w:rPr>
        <w:instrText>veritas incompleta</w:instrText>
      </w:r>
      <w:r w:rsidR="00965C3F">
        <w:instrText xml:space="preserve">" </w:instrText>
      </w:r>
      <w:r w:rsidR="00965C3F">
        <w:rPr>
          <w:i/>
        </w:rPr>
        <w:fldChar w:fldCharType="end"/>
      </w:r>
      <w:r w:rsidR="00093B24">
        <w:t xml:space="preserve">. </w:t>
      </w:r>
      <w:r w:rsidR="00B45F42">
        <w:t xml:space="preserve">Tato pravda </w:t>
      </w:r>
      <w:r w:rsidR="0003447E" w:rsidRPr="00273106">
        <w:t xml:space="preserve">charakterizuje </w:t>
      </w:r>
      <w:r w:rsidR="00D132EE" w:rsidRPr="00273106">
        <w:t xml:space="preserve">poznání věčného a nutného </w:t>
      </w:r>
      <w:r w:rsidR="004B54F2" w:rsidRPr="00273106">
        <w:t xml:space="preserve">dění, pokud sestoupíme </w:t>
      </w:r>
      <w:r w:rsidR="0003447E" w:rsidRPr="00273106">
        <w:t>na úrov</w:t>
      </w:r>
      <w:r w:rsidR="004B54F2" w:rsidRPr="00273106">
        <w:t>eň</w:t>
      </w:r>
      <w:r w:rsidR="0003447E" w:rsidRPr="00273106">
        <w:t xml:space="preserve"> kontingence</w:t>
      </w:r>
      <w:r w:rsidR="000A6DEC" w:rsidRPr="00273106">
        <w:t>.</w:t>
      </w:r>
      <w:r w:rsidR="0003447E" w:rsidRPr="00273106">
        <w:t xml:space="preserve"> Citát porovnává </w:t>
      </w:r>
      <w:r w:rsidR="004B54F2" w:rsidRPr="00273106">
        <w:t xml:space="preserve">současný </w:t>
      </w:r>
      <w:r w:rsidR="0003447E" w:rsidRPr="00273106">
        <w:t>nejistý stav s budoucí jistotou všech věcí v bohu jako věčné a završené pravdě.</w:t>
      </w:r>
    </w:p>
    <w:p w14:paraId="0630E486" w14:textId="455BA175" w:rsidR="009630DF" w:rsidRPr="080724FF" w:rsidRDefault="080724FF" w:rsidP="00E84B18">
      <w:pPr>
        <w:pStyle w:val="Citace"/>
      </w:pPr>
      <w:r w:rsidRPr="00273106">
        <w:rPr>
          <w:noProof/>
          <w:lang w:val="cs-CZ"/>
        </w:rPr>
        <w:t>„Vše, co způsobuje v těchto výrocích temnotu</w:t>
      </w:r>
      <w:r>
        <w:rPr>
          <w:noProof/>
          <w:lang w:val="cs-CZ"/>
        </w:rPr>
        <w:t xml:space="preserve"> (</w:t>
      </w:r>
      <w:r w:rsidRPr="007B4A26">
        <w:rPr>
          <w:i/>
        </w:rPr>
        <w:t>generat caliginem</w:t>
      </w:r>
      <w:r>
        <w:rPr>
          <w:noProof/>
          <w:lang w:val="cs-CZ"/>
        </w:rPr>
        <w:t>)</w:t>
      </w:r>
      <w:r w:rsidRPr="00273106">
        <w:rPr>
          <w:noProof/>
          <w:lang w:val="cs-CZ"/>
        </w:rPr>
        <w:t xml:space="preserve">, je dáno faktem, že nahodilost věcí se zdá odporovat jejich nutnosti, která je dána jako </w:t>
      </w:r>
      <w:r>
        <w:rPr>
          <w:noProof/>
          <w:lang w:val="cs-CZ"/>
        </w:rPr>
        <w:t xml:space="preserve">věčně přítomná </w:t>
      </w:r>
      <w:r w:rsidRPr="00273106">
        <w:rPr>
          <w:noProof/>
          <w:lang w:val="cs-CZ"/>
        </w:rPr>
        <w:t>neměnnost v boží mysli a poznání</w:t>
      </w:r>
      <w:r>
        <w:rPr>
          <w:noProof/>
          <w:lang w:val="cs-CZ"/>
        </w:rPr>
        <w:t xml:space="preserve"> (</w:t>
      </w:r>
      <w:r w:rsidRPr="00A1703A">
        <w:rPr>
          <w:i/>
        </w:rPr>
        <w:t>immutabilitas praesentialis in mente et scientia divina</w:t>
      </w:r>
      <w:r>
        <w:rPr>
          <w:noProof/>
          <w:lang w:val="cs-CZ"/>
        </w:rPr>
        <w:t>)</w:t>
      </w:r>
      <w:r w:rsidRPr="00273106">
        <w:rPr>
          <w:noProof/>
          <w:lang w:val="cs-CZ"/>
        </w:rPr>
        <w:t xml:space="preserve">. Podobně je tomu s </w:t>
      </w:r>
      <w:r>
        <w:rPr>
          <w:noProof/>
          <w:lang w:val="cs-CZ"/>
        </w:rPr>
        <w:t xml:space="preserve">boží </w:t>
      </w:r>
      <w:r w:rsidRPr="00273106">
        <w:rPr>
          <w:noProof/>
          <w:lang w:val="cs-CZ"/>
        </w:rPr>
        <w:t>nutností, která je dána jako neměnnost takto přítomné boží pravdy v tom, co bylo a co bude, protože to nyní není určitelné. Nemůžeme tyto nahodilé propozice určit z hlediska boží nutnosti</w:t>
      </w:r>
      <w:r>
        <w:rPr>
          <w:noProof/>
          <w:lang w:val="cs-CZ"/>
        </w:rPr>
        <w:t xml:space="preserve"> dané zde a nyní</w:t>
      </w:r>
      <w:r w:rsidRPr="00273106">
        <w:rPr>
          <w:noProof/>
          <w:lang w:val="cs-CZ"/>
        </w:rPr>
        <w:t>, protože boží pravda není konečná</w:t>
      </w:r>
      <w:r>
        <w:rPr>
          <w:noProof/>
          <w:lang w:val="cs-CZ"/>
        </w:rPr>
        <w:t xml:space="preserve"> </w:t>
      </w:r>
      <w:r w:rsidR="00441059">
        <w:rPr>
          <w:noProof/>
          <w:lang w:val="cs-CZ"/>
        </w:rPr>
        <w:t xml:space="preserve">tímto způsobem </w:t>
      </w:r>
      <w:r>
        <w:rPr>
          <w:noProof/>
          <w:lang w:val="cs-CZ"/>
        </w:rPr>
        <w:t>(</w:t>
      </w:r>
      <w:r w:rsidRPr="00AB5DFC">
        <w:rPr>
          <w:i/>
        </w:rPr>
        <w:t>non finibilis est eius veritas</w:t>
      </w:r>
      <w:r>
        <w:rPr>
          <w:noProof/>
          <w:lang w:val="cs-CZ"/>
        </w:rPr>
        <w:t xml:space="preserve">). A nejde to </w:t>
      </w:r>
      <w:r w:rsidR="08D1679A">
        <w:rPr>
          <w:noProof/>
          <w:lang w:val="cs-CZ"/>
        </w:rPr>
        <w:t xml:space="preserve">určit </w:t>
      </w:r>
      <w:r>
        <w:rPr>
          <w:noProof/>
          <w:lang w:val="cs-CZ"/>
        </w:rPr>
        <w:t xml:space="preserve">ani z nějaké jiné </w:t>
      </w:r>
      <w:r w:rsidR="08D1679A">
        <w:rPr>
          <w:noProof/>
          <w:lang w:val="cs-CZ"/>
        </w:rPr>
        <w:t xml:space="preserve">pravdivé </w:t>
      </w:r>
      <w:r>
        <w:rPr>
          <w:noProof/>
          <w:lang w:val="cs-CZ"/>
        </w:rPr>
        <w:t xml:space="preserve">kontigence, protože ta by nebyla pravdivá bez </w:t>
      </w:r>
      <w:r w:rsidR="08D1679A">
        <w:rPr>
          <w:noProof/>
          <w:lang w:val="cs-CZ"/>
        </w:rPr>
        <w:t xml:space="preserve">původního </w:t>
      </w:r>
      <w:r>
        <w:rPr>
          <w:noProof/>
          <w:lang w:val="cs-CZ"/>
        </w:rPr>
        <w:t>počátku</w:t>
      </w:r>
      <w:r w:rsidR="08D1679A">
        <w:rPr>
          <w:noProof/>
          <w:lang w:val="cs-CZ"/>
        </w:rPr>
        <w:t xml:space="preserve">. A </w:t>
      </w:r>
      <w:r>
        <w:rPr>
          <w:noProof/>
          <w:lang w:val="cs-CZ"/>
        </w:rPr>
        <w:t xml:space="preserve">z této </w:t>
      </w:r>
      <w:r w:rsidR="08D1679A">
        <w:rPr>
          <w:noProof/>
          <w:lang w:val="cs-CZ"/>
        </w:rPr>
        <w:t xml:space="preserve">původní </w:t>
      </w:r>
      <w:r>
        <w:rPr>
          <w:noProof/>
          <w:lang w:val="cs-CZ"/>
        </w:rPr>
        <w:t xml:space="preserve">možnosti plyne nahodilost věcí.“ </w:t>
      </w:r>
      <w:r w:rsidR="009630DF" w:rsidRPr="00273106">
        <w:rPr>
          <w:rStyle w:val="Znakapoznpodarou"/>
          <w:noProof/>
          <w:lang w:val="cs-CZ"/>
        </w:rPr>
        <w:footnoteReference w:id="329"/>
      </w:r>
    </w:p>
    <w:p w14:paraId="2B81B131" w14:textId="77777777" w:rsidR="00EE56CD" w:rsidRDefault="00D31DFC" w:rsidP="008F0BFC">
      <w:r>
        <w:t xml:space="preserve">Metafyzicky a logicky určená pravdivostní hodnota platí v boží mysli v porretánském modu </w:t>
      </w:r>
      <w:r w:rsidRPr="00940F47">
        <w:rPr>
          <w:i/>
        </w:rPr>
        <w:t>semel</w:t>
      </w:r>
      <w:r>
        <w:t>‒</w:t>
      </w:r>
      <w:r w:rsidRPr="00940F47">
        <w:rPr>
          <w:i/>
        </w:rPr>
        <w:t>semper</w:t>
      </w:r>
      <w:r>
        <w:t xml:space="preserve">, ale tato původní platnost pro nás na zemi není zřejmá. </w:t>
      </w:r>
      <w:r w:rsidR="08F368E9" w:rsidRPr="00273106">
        <w:t>Kontingence věcí v reálu je jen dočasně vyloučena ze vztahu k</w:t>
      </w:r>
      <w:r w:rsidR="00942860">
        <w:t xml:space="preserve"> božské </w:t>
      </w:r>
      <w:r w:rsidR="08F368E9" w:rsidRPr="00273106">
        <w:t>nutnosti (</w:t>
      </w:r>
      <w:r w:rsidR="08F368E9" w:rsidRPr="00273106">
        <w:rPr>
          <w:i/>
        </w:rPr>
        <w:t>contingentia rerum in ipsis videtur repugnare necessitati</w:t>
      </w:r>
      <w:r w:rsidR="08F368E9" w:rsidRPr="00273106">
        <w:t xml:space="preserve">). </w:t>
      </w:r>
      <w:r w:rsidR="08E87E49" w:rsidRPr="00273106">
        <w:t xml:space="preserve">Původní forma </w:t>
      </w:r>
      <w:r w:rsidR="0003447E" w:rsidRPr="00273106">
        <w:t>nutnost</w:t>
      </w:r>
      <w:r w:rsidR="08E87E49" w:rsidRPr="00273106">
        <w:t>i</w:t>
      </w:r>
      <w:r w:rsidR="0003447E" w:rsidRPr="00273106">
        <w:t xml:space="preserve"> </w:t>
      </w:r>
      <w:r w:rsidR="003F3C62">
        <w:t xml:space="preserve">existuje jako věčná přítomnost </w:t>
      </w:r>
      <w:r w:rsidR="08CE00F1" w:rsidRPr="00273106">
        <w:t xml:space="preserve">v </w:t>
      </w:r>
      <w:r w:rsidR="0003447E" w:rsidRPr="00273106">
        <w:t xml:space="preserve">mysli </w:t>
      </w:r>
      <w:r w:rsidR="0030205F">
        <w:t xml:space="preserve">a </w:t>
      </w:r>
      <w:r w:rsidR="0030205F" w:rsidRPr="00273106">
        <w:t xml:space="preserve">poznání </w:t>
      </w:r>
      <w:r w:rsidR="0003447E" w:rsidRPr="00273106">
        <w:t>bo</w:t>
      </w:r>
      <w:r w:rsidR="0030205F">
        <w:t xml:space="preserve">ha </w:t>
      </w:r>
      <w:r w:rsidR="0003447E" w:rsidRPr="00273106">
        <w:t>(</w:t>
      </w:r>
      <w:r w:rsidR="0003447E" w:rsidRPr="00273106">
        <w:rPr>
          <w:i/>
        </w:rPr>
        <w:t>immutabilitas praesentialis in mente et scientia divina</w:t>
      </w:r>
      <w:r w:rsidR="0003447E" w:rsidRPr="00273106">
        <w:t xml:space="preserve">). </w:t>
      </w:r>
      <w:r w:rsidR="0030205F">
        <w:t>Tento o</w:t>
      </w:r>
      <w:r w:rsidR="000A6DEC" w:rsidRPr="00273106">
        <w:t>ntoteologický horizont zajišťují</w:t>
      </w:r>
      <w:r w:rsidR="008B220B" w:rsidRPr="00273106">
        <w:t xml:space="preserve">cí trvalost pravdy </w:t>
      </w:r>
      <w:r w:rsidR="0030205F">
        <w:t>dává pevně určenou přítomnou pravdu</w:t>
      </w:r>
      <w:r w:rsidR="00436A11" w:rsidRPr="00273106">
        <w:t xml:space="preserve"> (</w:t>
      </w:r>
      <w:r w:rsidR="00436A11" w:rsidRPr="00273106">
        <w:rPr>
          <w:i/>
        </w:rPr>
        <w:t>immutabilitas praesentialis veritatis</w:t>
      </w:r>
      <w:r w:rsidR="00436A11" w:rsidRPr="00273106">
        <w:t>)</w:t>
      </w:r>
      <w:r w:rsidR="005D42B7">
        <w:t xml:space="preserve">. Ta </w:t>
      </w:r>
      <w:r w:rsidR="00436A11" w:rsidRPr="00273106">
        <w:t xml:space="preserve">se vztahuje k ostatním dvěma </w:t>
      </w:r>
      <w:r w:rsidR="08997652">
        <w:t xml:space="preserve">časovým </w:t>
      </w:r>
      <w:r w:rsidR="008B220B" w:rsidRPr="00273106">
        <w:t xml:space="preserve">dimenzím </w:t>
      </w:r>
      <w:r w:rsidR="00350950" w:rsidRPr="00273106">
        <w:t xml:space="preserve">determinovaných kontigentně </w:t>
      </w:r>
      <w:r w:rsidR="000A6DEC" w:rsidRPr="00273106">
        <w:t>(</w:t>
      </w:r>
      <w:r w:rsidR="000A6DEC" w:rsidRPr="00273106">
        <w:rPr>
          <w:i/>
        </w:rPr>
        <w:t>in his de praeterito et de futuro</w:t>
      </w:r>
      <w:r w:rsidR="000A6DEC" w:rsidRPr="00273106">
        <w:t xml:space="preserve">). </w:t>
      </w:r>
      <w:r w:rsidR="0030205F">
        <w:t xml:space="preserve">Nyní nastoupí náhled moderního ilumináta, který vidí </w:t>
      </w:r>
      <w:r w:rsidR="08016EEE">
        <w:t xml:space="preserve">pod vedením Fúrií </w:t>
      </w:r>
      <w:r w:rsidR="0030205F">
        <w:t>až do mysli</w:t>
      </w:r>
      <w:r w:rsidR="08F156AB">
        <w:t xml:space="preserve"> moderního boha jako neomylného matematika a logika</w:t>
      </w:r>
      <w:r w:rsidR="080C4D9F">
        <w:t>. V</w:t>
      </w:r>
      <w:r w:rsidR="080C4D9F" w:rsidRPr="00273106">
        <w:t xml:space="preserve">iz výše uvedenou logickou </w:t>
      </w:r>
      <w:r w:rsidR="080C4D9F">
        <w:t xml:space="preserve">determinaci </w:t>
      </w:r>
      <w:r w:rsidR="080C4D9F" w:rsidRPr="00273106">
        <w:rPr>
          <w:i/>
        </w:rPr>
        <w:t>absolute</w:t>
      </w:r>
      <w:r w:rsidR="080C4D9F" w:rsidRPr="00273106">
        <w:t xml:space="preserve"> a </w:t>
      </w:r>
      <w:r w:rsidR="080C4D9F" w:rsidRPr="00273106">
        <w:rPr>
          <w:i/>
        </w:rPr>
        <w:t>per se</w:t>
      </w:r>
      <w:r w:rsidR="0030205F">
        <w:t xml:space="preserve">. </w:t>
      </w:r>
      <w:r w:rsidR="08DA00E1" w:rsidRPr="00273106">
        <w:t xml:space="preserve">Z </w:t>
      </w:r>
      <w:r w:rsidR="08C3710C" w:rsidRPr="00273106">
        <w:t>takto solidně daného</w:t>
      </w:r>
      <w:r w:rsidR="080C4D9F">
        <w:t xml:space="preserve"> základu pravdy v boží mysli</w:t>
      </w:r>
      <w:r w:rsidR="08DA00E1" w:rsidRPr="00273106">
        <w:t xml:space="preserve"> </w:t>
      </w:r>
      <w:r w:rsidR="0808661E">
        <w:t xml:space="preserve">už není problém odvodit </w:t>
      </w:r>
      <w:r w:rsidR="08283762">
        <w:t xml:space="preserve">moderní </w:t>
      </w:r>
      <w:r w:rsidR="0808661E">
        <w:lastRenderedPageBreak/>
        <w:t xml:space="preserve">ontoteologickou </w:t>
      </w:r>
      <w:r w:rsidR="000A6DEC" w:rsidRPr="00273106">
        <w:t xml:space="preserve">nutnost, která se </w:t>
      </w:r>
      <w:r w:rsidR="08310AAF" w:rsidRPr="00273106">
        <w:t xml:space="preserve">primárně </w:t>
      </w:r>
      <w:r w:rsidR="000A6DEC" w:rsidRPr="00273106">
        <w:t>vztahuje k boží prozřetelnosti a k jejím budoucím úradkům (</w:t>
      </w:r>
      <w:r w:rsidR="000A6DEC" w:rsidRPr="00273106">
        <w:rPr>
          <w:i/>
        </w:rPr>
        <w:t>ex parte aliqua est necessitas propter hoc</w:t>
      </w:r>
      <w:r w:rsidR="000A6DEC" w:rsidRPr="00273106">
        <w:t xml:space="preserve">). Neměnné boží úradky </w:t>
      </w:r>
      <w:r w:rsidR="080351CB" w:rsidRPr="00273106">
        <w:t xml:space="preserve">jsou determinovány v modu </w:t>
      </w:r>
      <w:r w:rsidR="000A6DEC" w:rsidRPr="00273106">
        <w:t>transcendentní nutnost</w:t>
      </w:r>
      <w:r w:rsidR="080351CB" w:rsidRPr="00273106">
        <w:t>i dané</w:t>
      </w:r>
      <w:r w:rsidR="000A6DEC" w:rsidRPr="00273106">
        <w:t xml:space="preserve"> </w:t>
      </w:r>
      <w:r w:rsidR="081819F5" w:rsidRPr="00273106">
        <w:t xml:space="preserve">mimo čas. </w:t>
      </w:r>
      <w:r w:rsidR="000A6DEC" w:rsidRPr="00273106">
        <w:t xml:space="preserve">Náš intelekt se ovšem pohybuje vzhledem k budoucnosti </w:t>
      </w:r>
      <w:r w:rsidR="008F6194">
        <w:t xml:space="preserve">dané kontingentě a neurčitě </w:t>
      </w:r>
      <w:r w:rsidR="000A6DEC" w:rsidRPr="00273106">
        <w:t>zde a nyní, která je určená čistě potenciálně (</w:t>
      </w:r>
      <w:r w:rsidR="000A6DEC" w:rsidRPr="00273106">
        <w:rPr>
          <w:i/>
        </w:rPr>
        <w:t>ex parte alia contingentia</w:t>
      </w:r>
      <w:r w:rsidR="000A6DEC" w:rsidRPr="00273106">
        <w:t>). Příchod Antikrista pro nás sice není určený vzhle</w:t>
      </w:r>
      <w:r w:rsidR="00FA6FC1">
        <w:t>dem k jeho aktuální pravdivosti</w:t>
      </w:r>
      <w:r w:rsidR="007D78E0">
        <w:t xml:space="preserve">. Ale v boží mysli je už tento </w:t>
      </w:r>
      <w:r w:rsidR="08AC4C49">
        <w:t xml:space="preserve">příchod </w:t>
      </w:r>
      <w:r w:rsidR="007D78E0">
        <w:t xml:space="preserve">pravdivostně určen, i když zatím jen v potenci, protože tato </w:t>
      </w:r>
      <w:r w:rsidR="08AC4C49">
        <w:t xml:space="preserve">významná </w:t>
      </w:r>
      <w:r w:rsidR="007D78E0">
        <w:t xml:space="preserve">událost zatím nenastala. </w:t>
      </w:r>
      <w:r w:rsidR="08B41110">
        <w:t xml:space="preserve">Totéž platí pro </w:t>
      </w:r>
      <w:r w:rsidR="08DF22F2">
        <w:t xml:space="preserve">další </w:t>
      </w:r>
      <w:r w:rsidR="08B41110">
        <w:t xml:space="preserve">finanční krize dané spekulací na přicházející budoucnost ve věku metafyzického nihilismu. </w:t>
      </w:r>
      <w:r w:rsidR="00422C39" w:rsidRPr="00422C39">
        <w:t>Potenciální určení budoucí události v božském myšlení zajišťuje její minimální pravdivou hodnotu</w:t>
      </w:r>
      <w:r w:rsidR="00A6360D">
        <w:t xml:space="preserve"> </w:t>
      </w:r>
      <w:r w:rsidR="00A6360D">
        <w:rPr>
          <w:szCs w:val="24"/>
        </w:rPr>
        <w:t>(</w:t>
      </w:r>
      <w:r w:rsidR="00A6360D" w:rsidRPr="00187892">
        <w:rPr>
          <w:i/>
          <w:szCs w:val="24"/>
        </w:rPr>
        <w:t>veritas incompleta</w:t>
      </w:r>
      <w:r w:rsidR="00A6360D">
        <w:rPr>
          <w:szCs w:val="24"/>
        </w:rPr>
        <w:t>)</w:t>
      </w:r>
      <w:r w:rsidR="00422C39" w:rsidRPr="00422C39">
        <w:t xml:space="preserve">, která je dána vyloučením opačné možnosti. Příchod Antikrista </w:t>
      </w:r>
      <w:r w:rsidR="00422C39">
        <w:t>je známý</w:t>
      </w:r>
      <w:r w:rsidR="00422C39" w:rsidRPr="00422C39">
        <w:t xml:space="preserve"> </w:t>
      </w:r>
      <w:r w:rsidR="00422C39">
        <w:t xml:space="preserve">bohu, což </w:t>
      </w:r>
      <w:r w:rsidR="00422C39" w:rsidRPr="00422C39">
        <w:t>vylučuje možnost, že nepřijde (</w:t>
      </w:r>
      <w:r w:rsidR="00422C39" w:rsidRPr="00422C39">
        <w:rPr>
          <w:i/>
        </w:rPr>
        <w:t>sine initio non fuisse vera</w:t>
      </w:r>
      <w:r w:rsidR="00422C39" w:rsidRPr="00422C39">
        <w:t>).</w:t>
      </w:r>
      <w:r w:rsidR="00422C39">
        <w:t xml:space="preserve"> </w:t>
      </w:r>
      <w:r w:rsidR="004C7EF1">
        <w:t>D</w:t>
      </w:r>
      <w:r w:rsidR="000A6DEC" w:rsidRPr="00273106">
        <w:t xml:space="preserve">íky vyloučení jiné možnosti je logická validita dána v rámci </w:t>
      </w:r>
      <w:r w:rsidR="00D977B0" w:rsidRPr="00273106">
        <w:t xml:space="preserve">věčné </w:t>
      </w:r>
      <w:r w:rsidR="000A6DEC" w:rsidRPr="00273106">
        <w:t>boží</w:t>
      </w:r>
      <w:r w:rsidR="002E2BEC" w:rsidRPr="00273106">
        <w:t xml:space="preserve"> přítomnosti</w:t>
      </w:r>
      <w:r w:rsidR="00E964AE">
        <w:t>, protože j</w:t>
      </w:r>
      <w:r w:rsidR="00B412C5">
        <w:t xml:space="preserve">ejí </w:t>
      </w:r>
      <w:r w:rsidR="00E964AE">
        <w:t xml:space="preserve">věčně určená </w:t>
      </w:r>
      <w:r w:rsidR="00B412C5">
        <w:t xml:space="preserve">potencialita </w:t>
      </w:r>
      <w:r w:rsidR="00E964AE">
        <w:t xml:space="preserve">logicky </w:t>
      </w:r>
      <w:r w:rsidR="000A6DEC" w:rsidRPr="00273106">
        <w:t>určuje kontigenci věcí (</w:t>
      </w:r>
      <w:r w:rsidR="000A6DEC" w:rsidRPr="00273106">
        <w:rPr>
          <w:i/>
        </w:rPr>
        <w:t>ex qua potentia sequitur rerum contingentia</w:t>
      </w:r>
      <w:r w:rsidR="000A6DEC" w:rsidRPr="00273106">
        <w:t xml:space="preserve">). </w:t>
      </w:r>
      <w:r w:rsidR="00231166" w:rsidRPr="00273106">
        <w:t xml:space="preserve">Věčná pravda </w:t>
      </w:r>
      <w:r w:rsidR="000A6DEC" w:rsidRPr="00273106">
        <w:t xml:space="preserve">je dána nutně v </w:t>
      </w:r>
      <w:r w:rsidR="003E7DFE" w:rsidRPr="00273106">
        <w:t xml:space="preserve">nekonečné </w:t>
      </w:r>
      <w:r w:rsidR="000A6DEC" w:rsidRPr="00273106">
        <w:t>boží mysli</w:t>
      </w:r>
      <w:r w:rsidR="003E7DFE" w:rsidRPr="00273106">
        <w:t xml:space="preserve"> (</w:t>
      </w:r>
      <w:r w:rsidR="003E7DFE" w:rsidRPr="00273106">
        <w:rPr>
          <w:i/>
        </w:rPr>
        <w:t>non finibilis est eius veritas</w:t>
      </w:r>
      <w:r w:rsidR="003E7DFE" w:rsidRPr="00273106">
        <w:t>)</w:t>
      </w:r>
      <w:r w:rsidR="00E05E4D" w:rsidRPr="00273106">
        <w:t xml:space="preserve">, ale </w:t>
      </w:r>
      <w:r w:rsidR="00F364C9" w:rsidRPr="00273106">
        <w:t xml:space="preserve">pro nás </w:t>
      </w:r>
      <w:r w:rsidR="00E05E4D" w:rsidRPr="00273106">
        <w:t>je dána jen v modu konečnosti</w:t>
      </w:r>
      <w:r w:rsidR="00EB6F7F">
        <w:t>, která připouští možnost opaku</w:t>
      </w:r>
      <w:r w:rsidR="00215D6B">
        <w:t>, protože je dána kontingentně</w:t>
      </w:r>
      <w:r w:rsidR="00EB6F7F">
        <w:t xml:space="preserve">. </w:t>
      </w:r>
      <w:r w:rsidR="0826487B">
        <w:t>Pro nás zde a n</w:t>
      </w:r>
      <w:r w:rsidR="08283762">
        <w:t xml:space="preserve">yní není rozhodnuto, že </w:t>
      </w:r>
      <w:r w:rsidR="00EB6F7F">
        <w:t>Antikrist přijde</w:t>
      </w:r>
      <w:r w:rsidR="0826487B">
        <w:t>. Ale v boží mysl</w:t>
      </w:r>
      <w:r w:rsidR="082F212C">
        <w:t xml:space="preserve">i to už platí nutně a jeho prozřetelnost </w:t>
      </w:r>
      <w:r w:rsidR="0826487B">
        <w:t>to dává jednoznačně</w:t>
      </w:r>
      <w:r w:rsidR="08DF14B2">
        <w:t xml:space="preserve"> i v plánu spásy</w:t>
      </w:r>
      <w:r w:rsidR="082F212C">
        <w:t xml:space="preserve">. Po smrti moderního boha tuto prozřetelnost </w:t>
      </w:r>
      <w:r w:rsidR="00EE56CD">
        <w:t>nahradí matematické algoritmy.</w:t>
      </w:r>
    </w:p>
    <w:p w14:paraId="797E4A2E" w14:textId="66FF3DAB" w:rsidR="00A06213" w:rsidRDefault="00A7455A" w:rsidP="00EE56CD">
      <w:pPr>
        <w:ind w:firstLine="397"/>
      </w:pPr>
      <w:r w:rsidRPr="00273106">
        <w:t>Znovu platí porretánský scénář univoční transcendentální dedukce, čili „vyvedení“ nižších (tj. kontigentních) významů z vyšší (tj. věčně nutné) formy pravdivosti dané s absolutní jistotou</w:t>
      </w:r>
      <w:r w:rsidR="08866449">
        <w:t xml:space="preserve">. </w:t>
      </w:r>
      <w:r w:rsidR="08440401">
        <w:t xml:space="preserve">Na nižší úrovni platí aristotelská kontigence a neurčitelnost budoucích událostí, protože ty </w:t>
      </w:r>
      <w:r w:rsidR="006650E8">
        <w:t>zatím ne</w:t>
      </w:r>
      <w:r w:rsidR="08440401">
        <w:t xml:space="preserve">mají svůj determinovaný počátek. Bez tohoto určeného počátku prostě budoucí věci nejsou, a tím ani jejich pravdivostní hodnota. Ale na úrovni moderního boha, </w:t>
      </w:r>
      <w:r w:rsidR="003F4B26">
        <w:t>jako nejvyššího matematika</w:t>
      </w:r>
      <w:r w:rsidR="08440401">
        <w:t xml:space="preserve"> a moderní</w:t>
      </w:r>
      <w:r w:rsidR="003F4B26">
        <w:t xml:space="preserve">ho logika, </w:t>
      </w:r>
      <w:r w:rsidR="08440401">
        <w:t xml:space="preserve">je tento počátek budoucích dějů dán v porretánském modu </w:t>
      </w:r>
      <w:r w:rsidR="08440401" w:rsidRPr="08440401">
        <w:rPr>
          <w:i/>
        </w:rPr>
        <w:t>semel</w:t>
      </w:r>
      <w:r w:rsidR="08440401">
        <w:t>‒</w:t>
      </w:r>
      <w:r w:rsidR="08440401" w:rsidRPr="08440401">
        <w:rPr>
          <w:i/>
        </w:rPr>
        <w:t>semper</w:t>
      </w:r>
      <w:r w:rsidR="00EC3E80">
        <w:t>.</w:t>
      </w:r>
      <w:r w:rsidR="008F0BFC">
        <w:t xml:space="preserve"> </w:t>
      </w:r>
      <w:r w:rsidR="082B69E9">
        <w:t xml:space="preserve">Moderní logika reagovala na působení </w:t>
      </w:r>
      <w:r w:rsidR="082B69E9" w:rsidRPr="00D761B7">
        <w:rPr>
          <w:i/>
        </w:rPr>
        <w:t>Oxfordian Fallacy</w:t>
      </w:r>
      <w:r w:rsidR="082B69E9">
        <w:rPr>
          <w:i/>
        </w:rPr>
        <w:fldChar w:fldCharType="begin"/>
      </w:r>
      <w:r w:rsidR="082B69E9">
        <w:instrText xml:space="preserve"> XE "</w:instrText>
      </w:r>
      <w:r w:rsidR="082B69E9" w:rsidRPr="0015798D">
        <w:rPr>
          <w:i/>
        </w:rPr>
        <w:instrText>Oxfordian Fallacy</w:instrText>
      </w:r>
      <w:r w:rsidR="082B69E9" w:rsidRPr="002A3948">
        <w:instrText>:moderní logika</w:instrText>
      </w:r>
      <w:r w:rsidR="082B69E9">
        <w:instrText xml:space="preserve">" </w:instrText>
      </w:r>
      <w:r w:rsidR="082B69E9">
        <w:rPr>
          <w:i/>
        </w:rPr>
        <w:fldChar w:fldCharType="end"/>
      </w:r>
      <w:r w:rsidR="082B69E9">
        <w:t xml:space="preserve"> </w:t>
      </w:r>
      <w:r w:rsidR="082B69E9" w:rsidRPr="00273106">
        <w:t>dan</w:t>
      </w:r>
      <w:r w:rsidR="082B69E9">
        <w:t>é</w:t>
      </w:r>
      <w:r w:rsidR="082B69E9" w:rsidRPr="00273106">
        <w:t xml:space="preserve"> v metafyzice</w:t>
      </w:r>
      <w:r w:rsidR="082B69E9">
        <w:t xml:space="preserve"> a v kategoriální predikaci a vytvořila novou kategorii </w:t>
      </w:r>
      <w:r w:rsidR="08961F8B">
        <w:t xml:space="preserve">logické pravdivosti třetího druhu. Tím vzniklo logické a objektivně dané určení </w:t>
      </w:r>
      <w:r w:rsidR="082B69E9">
        <w:t>budoucí</w:t>
      </w:r>
      <w:r w:rsidR="08961F8B">
        <w:t>ch</w:t>
      </w:r>
      <w:r w:rsidR="082B69E9">
        <w:t xml:space="preserve"> kontingentní</w:t>
      </w:r>
      <w:r w:rsidR="08961F8B">
        <w:t>ch událostí</w:t>
      </w:r>
      <w:r w:rsidR="082B69E9">
        <w:t xml:space="preserve"> typu námořní bitvy</w:t>
      </w:r>
      <w:r w:rsidR="082B69E9">
        <w:fldChar w:fldCharType="begin"/>
      </w:r>
      <w:r w:rsidR="082B69E9">
        <w:instrText xml:space="preserve"> XE "</w:instrText>
      </w:r>
      <w:r w:rsidR="082B69E9" w:rsidRPr="00FB2C89">
        <w:instrText>námořní bitva</w:instrText>
      </w:r>
      <w:r w:rsidR="082B69E9">
        <w:instrText xml:space="preserve">" </w:instrText>
      </w:r>
      <w:r w:rsidR="082B69E9">
        <w:fldChar w:fldCharType="end"/>
      </w:r>
      <w:r w:rsidR="08573D17">
        <w:t xml:space="preserve">, </w:t>
      </w:r>
      <w:r w:rsidR="082B69E9">
        <w:t xml:space="preserve">příchodu Antikrista </w:t>
      </w:r>
      <w:r w:rsidR="08586983">
        <w:t xml:space="preserve">a spekulativních bublin. </w:t>
      </w:r>
      <w:r w:rsidR="08866449">
        <w:t>T</w:t>
      </w:r>
      <w:r w:rsidR="089E7299">
        <w:t>ato j</w:t>
      </w:r>
      <w:r w:rsidR="088F72C5">
        <w:t xml:space="preserve">istota </w:t>
      </w:r>
      <w:r w:rsidR="08866449">
        <w:t xml:space="preserve">je </w:t>
      </w:r>
      <w:r w:rsidR="08AE5F6A">
        <w:t>d</w:t>
      </w:r>
      <w:r w:rsidR="08961F8B">
        <w:t xml:space="preserve">ána </w:t>
      </w:r>
      <w:r w:rsidR="088437C1">
        <w:t xml:space="preserve">modu pravdy </w:t>
      </w:r>
      <w:r w:rsidR="08AE5F6A">
        <w:t>platné v oddělené boží mysli (</w:t>
      </w:r>
      <w:r w:rsidR="088437C1" w:rsidRPr="088F72C5">
        <w:rPr>
          <w:i/>
        </w:rPr>
        <w:t>absolute</w:t>
      </w:r>
      <w:r w:rsidR="08AE5F6A">
        <w:t xml:space="preserve">). </w:t>
      </w:r>
      <w:r w:rsidR="08961F8B">
        <w:t>Pro</w:t>
      </w:r>
      <w:r w:rsidR="08AE5F6A">
        <w:t xml:space="preserve"> tento druh nutnosti </w:t>
      </w:r>
      <w:r w:rsidR="08961F8B">
        <w:t xml:space="preserve">neexistuje žádná </w:t>
      </w:r>
      <w:r w:rsidR="088F72C5">
        <w:t xml:space="preserve">impozice </w:t>
      </w:r>
      <w:r w:rsidR="088437C1">
        <w:t xml:space="preserve">aristotelské </w:t>
      </w:r>
      <w:r w:rsidR="08866449">
        <w:t xml:space="preserve">nutnosti </w:t>
      </w:r>
      <w:r w:rsidR="088437C1">
        <w:t>determinované přítomností r</w:t>
      </w:r>
      <w:r w:rsidR="088F72C5">
        <w:t>eálných věcí</w:t>
      </w:r>
      <w:r w:rsidR="08866449">
        <w:t xml:space="preserve">. Proto je absolutní pravda </w:t>
      </w:r>
      <w:r w:rsidR="08B815D1">
        <w:lastRenderedPageBreak/>
        <w:t xml:space="preserve">objektivního </w:t>
      </w:r>
      <w:r w:rsidR="08866449">
        <w:t xml:space="preserve">příchodu Antikrista a spekulativních </w:t>
      </w:r>
      <w:r w:rsidR="085B60C7">
        <w:t xml:space="preserve">finančních </w:t>
      </w:r>
      <w:r w:rsidR="08866449">
        <w:t>bublin d</w:t>
      </w:r>
      <w:r w:rsidR="080F6CF5">
        <w:t>ána</w:t>
      </w:r>
      <w:r w:rsidR="08866449">
        <w:t xml:space="preserve"> v modu </w:t>
      </w:r>
      <w:r w:rsidR="00462162">
        <w:t>budouc</w:t>
      </w:r>
      <w:r w:rsidR="08866449">
        <w:t xml:space="preserve">ích kontigentních událostí, </w:t>
      </w:r>
      <w:r w:rsidR="080F6CF5">
        <w:t xml:space="preserve">tedy </w:t>
      </w:r>
      <w:r w:rsidR="08866449">
        <w:t>jako hypostázovaná potence</w:t>
      </w:r>
      <w:r w:rsidR="089E7299">
        <w:t xml:space="preserve"> (</w:t>
      </w:r>
      <w:r w:rsidR="089E7299" w:rsidRPr="089E7299">
        <w:rPr>
          <w:i/>
        </w:rPr>
        <w:t>huius veritas est esse incompletum et indeterminatum</w:t>
      </w:r>
      <w:r w:rsidR="089E7299">
        <w:t>)</w:t>
      </w:r>
      <w:r w:rsidRPr="00273106">
        <w:t>. Tuto formu „ex</w:t>
      </w:r>
      <w:r w:rsidR="0031629B">
        <w:t>s</w:t>
      </w:r>
      <w:r w:rsidRPr="00273106">
        <w:t xml:space="preserve">istence“ dané deduktivně </w:t>
      </w:r>
      <w:r w:rsidR="0031629B">
        <w:t xml:space="preserve">z vyššího forem do nižších </w:t>
      </w:r>
      <w:r w:rsidRPr="00273106">
        <w:t>jsme analyzovali na změněném pojetí kategoriální predikace kolem</w:t>
      </w:r>
      <w:r>
        <w:t xml:space="preserve"> 1230. </w:t>
      </w:r>
      <w:r w:rsidR="087077CE">
        <w:t xml:space="preserve">Iluminát </w:t>
      </w:r>
      <w:r w:rsidR="00DA60D3">
        <w:t xml:space="preserve">v Oxfordu </w:t>
      </w:r>
      <w:r w:rsidR="087077CE">
        <w:t xml:space="preserve">kontemplující boží záměr a </w:t>
      </w:r>
      <w:r w:rsidR="08E9497A">
        <w:t xml:space="preserve">dnešní bankster </w:t>
      </w:r>
      <w:r w:rsidR="00DA60D3">
        <w:t xml:space="preserve">v Londýně </w:t>
      </w:r>
      <w:r w:rsidR="087077CE">
        <w:t>konající boží dílo v</w:t>
      </w:r>
      <w:r w:rsidR="00E964AE">
        <w:t xml:space="preserve">idí svět z </w:t>
      </w:r>
      <w:r w:rsidR="000F327D">
        <w:t xml:space="preserve">absolutní </w:t>
      </w:r>
      <w:r w:rsidR="00E964AE">
        <w:t xml:space="preserve">pozice boží prozřetelnosti. </w:t>
      </w:r>
      <w:r w:rsidR="08CE642B">
        <w:t xml:space="preserve">Bacon </w:t>
      </w:r>
      <w:r w:rsidR="08D6635D">
        <w:t>tuto pozici označil</w:t>
      </w:r>
      <w:r w:rsidR="08CE642B">
        <w:t xml:space="preserve"> za šílenou</w:t>
      </w:r>
      <w:r w:rsidR="08D6635D">
        <w:t xml:space="preserve">, což před ním udělal už </w:t>
      </w:r>
      <w:r w:rsidR="08D6635D" w:rsidRPr="00273106">
        <w:t>Godfrey od Sv. Victora</w:t>
      </w:r>
      <w:r w:rsidR="08D6635D">
        <w:fldChar w:fldCharType="begin"/>
      </w:r>
      <w:r w:rsidR="08D6635D">
        <w:instrText xml:space="preserve"> XE "</w:instrText>
      </w:r>
      <w:r w:rsidR="08D6635D" w:rsidRPr="00E76DF6">
        <w:instrText>Godfrey od Sv. Victora</w:instrText>
      </w:r>
      <w:r w:rsidR="08D6635D">
        <w:instrText xml:space="preserve">" </w:instrText>
      </w:r>
      <w:r w:rsidR="08D6635D">
        <w:fldChar w:fldCharType="end"/>
      </w:r>
      <w:r w:rsidR="0863027D">
        <w:t>.</w:t>
      </w:r>
      <w:r w:rsidR="08586983">
        <w:t xml:space="preserve"> </w:t>
      </w:r>
      <w:r w:rsidR="087F66CF" w:rsidRPr="00273106">
        <w:t xml:space="preserve">Vraťme se k výše uvedenému modu dvou pojetí </w:t>
      </w:r>
      <w:r w:rsidR="081B2BDC">
        <w:t xml:space="preserve">poznání </w:t>
      </w:r>
      <w:r w:rsidR="087F66CF" w:rsidRPr="00273106">
        <w:t>v předešlé kapitole</w:t>
      </w:r>
      <w:r w:rsidR="00D81599">
        <w:t xml:space="preserve"> (</w:t>
      </w:r>
      <w:r w:rsidR="00D81599" w:rsidRPr="00D81599">
        <w:rPr>
          <w:i/>
        </w:rPr>
        <w:t>scientia</w:t>
      </w:r>
      <w:r w:rsidR="002A3948">
        <w:rPr>
          <w:i/>
        </w:rPr>
        <w:fldChar w:fldCharType="begin"/>
      </w:r>
      <w:r w:rsidR="002A3948">
        <w:instrText xml:space="preserve"> XE "</w:instrText>
      </w:r>
      <w:r w:rsidR="002A3948" w:rsidRPr="0015798D">
        <w:rPr>
          <w:i/>
        </w:rPr>
        <w:instrText>Oxfordian Fallacy</w:instrText>
      </w:r>
      <w:r w:rsidR="002A3948" w:rsidRPr="002A3948">
        <w:instrText>:</w:instrText>
      </w:r>
      <w:r w:rsidR="002A3948" w:rsidRPr="002A3948">
        <w:rPr>
          <w:i/>
        </w:rPr>
        <w:instrText>scientia</w:instrText>
      </w:r>
      <w:r w:rsidR="002A3948">
        <w:instrText xml:space="preserve">" </w:instrText>
      </w:r>
      <w:r w:rsidR="002A3948">
        <w:rPr>
          <w:i/>
        </w:rPr>
        <w:fldChar w:fldCharType="end"/>
      </w:r>
      <w:r w:rsidR="00D81599">
        <w:t xml:space="preserve">, </w:t>
      </w:r>
      <w:r w:rsidR="00D81599" w:rsidRPr="00D81599">
        <w:rPr>
          <w:i/>
        </w:rPr>
        <w:t>intellectus</w:t>
      </w:r>
      <w:r w:rsidR="00D81599">
        <w:t>)</w:t>
      </w:r>
      <w:r w:rsidR="087F66CF" w:rsidRPr="00273106">
        <w:t xml:space="preserve">. </w:t>
      </w:r>
      <w:r w:rsidR="000A6DEC" w:rsidRPr="00273106">
        <w:t>Nyní, v daném řádu ontologické možnosti jako prozatím neurčené kontingence jsou již dané obě logické možnosti</w:t>
      </w:r>
      <w:r w:rsidR="00E76CFF" w:rsidRPr="00273106">
        <w:t xml:space="preserve"> (</w:t>
      </w:r>
      <w:r w:rsidR="000B1CBF" w:rsidRPr="00273106">
        <w:rPr>
          <w:i/>
        </w:rPr>
        <w:t>veritas incomplet</w:t>
      </w:r>
      <w:r w:rsidR="00E76CFF" w:rsidRPr="00273106">
        <w:rPr>
          <w:i/>
        </w:rPr>
        <w:t>a</w:t>
      </w:r>
      <w:r w:rsidR="002A3948">
        <w:rPr>
          <w:i/>
        </w:rPr>
        <w:fldChar w:fldCharType="begin"/>
      </w:r>
      <w:r w:rsidR="002A3948">
        <w:instrText xml:space="preserve"> XE "pravda:</w:instrText>
      </w:r>
      <w:r w:rsidR="002A3948" w:rsidRPr="009029DD">
        <w:rPr>
          <w:i/>
        </w:rPr>
        <w:instrText>veritas incompleta</w:instrText>
      </w:r>
      <w:r w:rsidR="002A3948">
        <w:instrText xml:space="preserve">" </w:instrText>
      </w:r>
      <w:r w:rsidR="002A3948">
        <w:rPr>
          <w:i/>
        </w:rPr>
        <w:fldChar w:fldCharType="end"/>
      </w:r>
      <w:r w:rsidR="00E76CFF" w:rsidRPr="00273106">
        <w:t>)</w:t>
      </w:r>
      <w:r w:rsidR="000A6DEC" w:rsidRPr="00273106">
        <w:t xml:space="preserve">, ale </w:t>
      </w:r>
      <w:r w:rsidR="00E76CFF" w:rsidRPr="00273106">
        <w:t xml:space="preserve">zatím </w:t>
      </w:r>
      <w:r w:rsidR="000A6DEC" w:rsidRPr="00273106">
        <w:t>nejsou určené reálně</w:t>
      </w:r>
      <w:r w:rsidR="009C65A2" w:rsidRPr="00273106">
        <w:t xml:space="preserve"> jako faktická </w:t>
      </w:r>
      <w:r w:rsidR="00E76CFF" w:rsidRPr="00273106">
        <w:t>danost jedné nebo druhé varianty</w:t>
      </w:r>
      <w:r w:rsidR="00BF41F4" w:rsidRPr="00273106">
        <w:t xml:space="preserve"> (</w:t>
      </w:r>
      <w:r w:rsidR="00BF41F4" w:rsidRPr="00273106">
        <w:rPr>
          <w:i/>
        </w:rPr>
        <w:t xml:space="preserve">veritas </w:t>
      </w:r>
      <w:r w:rsidR="000B1CBF" w:rsidRPr="00273106">
        <w:rPr>
          <w:i/>
        </w:rPr>
        <w:t>complet</w:t>
      </w:r>
      <w:r w:rsidR="00BF41F4" w:rsidRPr="00273106">
        <w:rPr>
          <w:i/>
        </w:rPr>
        <w:t>a</w:t>
      </w:r>
      <w:r w:rsidR="00BF41F4" w:rsidRPr="00273106">
        <w:t>).</w:t>
      </w:r>
      <w:r w:rsidR="08710316" w:rsidRPr="00273106">
        <w:t xml:space="preserve"> Grosseteste navrhl univerzální </w:t>
      </w:r>
      <w:r w:rsidR="081B2BDC">
        <w:t xml:space="preserve">a univoční </w:t>
      </w:r>
      <w:r w:rsidR="08710316" w:rsidRPr="00273106">
        <w:t xml:space="preserve">logický determinismus odkazem na boží prozřetelnost. Veškeré </w:t>
      </w:r>
      <w:r w:rsidR="08852402" w:rsidRPr="00273106">
        <w:t xml:space="preserve">dění </w:t>
      </w:r>
      <w:r w:rsidR="08710316" w:rsidRPr="00273106">
        <w:t xml:space="preserve">ve světě je nyní determinovatelné </w:t>
      </w:r>
      <w:r w:rsidR="003D7FBD">
        <w:t>v modu f</w:t>
      </w:r>
      <w:r w:rsidR="08710316" w:rsidRPr="00273106">
        <w:t>ormální logické platnosti</w:t>
      </w:r>
      <w:r w:rsidR="08C43FA6" w:rsidRPr="00273106">
        <w:t xml:space="preserve">. V </w:t>
      </w:r>
      <w:r w:rsidR="08852402" w:rsidRPr="00273106">
        <w:t xml:space="preserve">budoucím </w:t>
      </w:r>
      <w:r w:rsidR="08412884">
        <w:t xml:space="preserve">kontigentním dění </w:t>
      </w:r>
      <w:r w:rsidR="08C43FA6" w:rsidRPr="00273106">
        <w:t xml:space="preserve">je tato validita indeterminována, ale má </w:t>
      </w:r>
      <w:r w:rsidR="08822F1E" w:rsidRPr="00273106">
        <w:t xml:space="preserve">nutnou </w:t>
      </w:r>
      <w:r w:rsidR="08C43FA6" w:rsidRPr="00273106">
        <w:t>hodnotu danou potenciálním kladem nebo záporem</w:t>
      </w:r>
      <w:r w:rsidR="00643961">
        <w:t xml:space="preserve">, který je dán </w:t>
      </w:r>
      <w:r w:rsidR="00ED56BB">
        <w:t xml:space="preserve">věčně </w:t>
      </w:r>
      <w:r w:rsidR="00643961">
        <w:t>u boha</w:t>
      </w:r>
      <w:r w:rsidR="00391F56">
        <w:t xml:space="preserve"> </w:t>
      </w:r>
      <w:r w:rsidR="00391F56" w:rsidRPr="00273106">
        <w:t>(</w:t>
      </w:r>
      <w:r w:rsidR="00391F56" w:rsidRPr="00273106">
        <w:rPr>
          <w:i/>
        </w:rPr>
        <w:t>in mente et scientia divina</w:t>
      </w:r>
      <w:r w:rsidR="00391F56" w:rsidRPr="00273106">
        <w:t>)</w:t>
      </w:r>
      <w:r w:rsidR="08C43FA6" w:rsidRPr="00273106">
        <w:t>.</w:t>
      </w:r>
      <w:r w:rsidR="08822F1E" w:rsidRPr="00273106">
        <w:t xml:space="preserve"> </w:t>
      </w:r>
      <w:r w:rsidR="007A3928" w:rsidRPr="00273106">
        <w:t xml:space="preserve">Do dialektiky nekonečné a konečné pravdy určující formální logiku se znovu zavedl Jamblichův scénář </w:t>
      </w:r>
      <w:r w:rsidR="007A3928" w:rsidRPr="00273106">
        <w:rPr>
          <w:rStyle w:val="addmd"/>
        </w:rPr>
        <w:t>„Omezené‒Neomezené</w:t>
      </w:r>
      <w:r w:rsidR="00640BE5">
        <w:rPr>
          <w:rStyle w:val="addmd"/>
        </w:rPr>
        <w:fldChar w:fldCharType="begin"/>
      </w:r>
      <w:r w:rsidR="00640BE5">
        <w:instrText xml:space="preserve"> XE "</w:instrText>
      </w:r>
      <w:r w:rsidR="00640BE5" w:rsidRPr="00F84D3A">
        <w:rPr>
          <w:rStyle w:val="addmd"/>
        </w:rPr>
        <w:instrText>Omezené‒Neomezené</w:instrText>
      </w:r>
      <w:r w:rsidR="00640BE5">
        <w:instrText xml:space="preserve">" </w:instrText>
      </w:r>
      <w:r w:rsidR="00640BE5">
        <w:rPr>
          <w:rStyle w:val="addmd"/>
        </w:rPr>
        <w:fldChar w:fldCharType="end"/>
      </w:r>
      <w:r w:rsidR="007A3928" w:rsidRPr="00273106">
        <w:rPr>
          <w:rStyle w:val="addmd"/>
        </w:rPr>
        <w:t xml:space="preserve">“, který </w:t>
      </w:r>
      <w:r w:rsidR="007A3928" w:rsidRPr="00273106">
        <w:t xml:space="preserve">Simplikius aplikoval </w:t>
      </w:r>
      <w:r w:rsidR="007A3928" w:rsidRPr="00273106">
        <w:rPr>
          <w:rStyle w:val="addmd"/>
        </w:rPr>
        <w:t xml:space="preserve">vzhledem k eidetickému času na </w:t>
      </w:r>
      <w:r w:rsidR="007A3928" w:rsidRPr="00273106">
        <w:t xml:space="preserve">vznik </w:t>
      </w:r>
      <w:r w:rsidR="008E5CD8">
        <w:t>formální rozsažnosti (</w:t>
      </w:r>
      <w:r w:rsidR="08AE5F6A">
        <w:t xml:space="preserve">OBJ I, </w:t>
      </w:r>
      <w:r w:rsidR="084E7952">
        <w:t>kap. 1.3</w:t>
      </w:r>
      <w:r w:rsidR="008E5CD8">
        <w:t>.3</w:t>
      </w:r>
      <w:r w:rsidR="007A3928" w:rsidRPr="00273106">
        <w:t xml:space="preserve">). </w:t>
      </w:r>
      <w:r w:rsidR="08822F1E" w:rsidRPr="00273106">
        <w:t>Antikrist přijít m</w:t>
      </w:r>
      <w:r w:rsidR="001F5C8D">
        <w:t xml:space="preserve">usí, protože jde o meta-logickou </w:t>
      </w:r>
      <w:r w:rsidR="08822F1E" w:rsidRPr="00273106">
        <w:t>nutnost</w:t>
      </w:r>
      <w:r w:rsidR="005C4C37" w:rsidRPr="00273106">
        <w:t xml:space="preserve"> přesahuj</w:t>
      </w:r>
      <w:r w:rsidR="00643961">
        <w:t>í</w:t>
      </w:r>
      <w:r w:rsidR="005C4C37" w:rsidRPr="00273106">
        <w:t>cí naše omezené poznání</w:t>
      </w:r>
      <w:r w:rsidR="001F5C8D">
        <w:t xml:space="preserve">. </w:t>
      </w:r>
      <w:r w:rsidR="0863027D">
        <w:t>Moderní logiku řídí démonické síly</w:t>
      </w:r>
      <w:r w:rsidR="083567E5">
        <w:t>, což je naprosto správné</w:t>
      </w:r>
      <w:r w:rsidR="00A70B64">
        <w:t xml:space="preserve"> a objektivně </w:t>
      </w:r>
      <w:r w:rsidR="005411F3">
        <w:t>nutné</w:t>
      </w:r>
      <w:r w:rsidR="0863027D">
        <w:t xml:space="preserve">. </w:t>
      </w:r>
      <w:r w:rsidR="001F5C8D">
        <w:t>A</w:t>
      </w:r>
      <w:r w:rsidR="08822F1E" w:rsidRPr="00273106">
        <w:t>le nutno</w:t>
      </w:r>
      <w:r w:rsidR="08CA6F37">
        <w:t xml:space="preserve">st </w:t>
      </w:r>
      <w:r w:rsidR="08A92E14">
        <w:t xml:space="preserve">Antikristova příchodu </w:t>
      </w:r>
      <w:r w:rsidR="08CA6F37">
        <w:t xml:space="preserve">je vzhledem k budoucnosti </w:t>
      </w:r>
      <w:r w:rsidR="08822F1E" w:rsidRPr="00273106">
        <w:t xml:space="preserve">daná jako </w:t>
      </w:r>
      <w:r w:rsidR="086E30E6">
        <w:t xml:space="preserve">prozatím </w:t>
      </w:r>
      <w:r w:rsidR="00C14D2B">
        <w:t xml:space="preserve">neurčená </w:t>
      </w:r>
      <w:r w:rsidR="08822F1E" w:rsidRPr="00273106">
        <w:t>možnost</w:t>
      </w:r>
      <w:r w:rsidR="001F5C8D">
        <w:t xml:space="preserve">, protože je přijímána v modu </w:t>
      </w:r>
      <w:r w:rsidR="005C4C37" w:rsidRPr="00273106">
        <w:t>naše</w:t>
      </w:r>
      <w:r w:rsidR="001F5C8D">
        <w:t>ho</w:t>
      </w:r>
      <w:r w:rsidR="005C4C37" w:rsidRPr="00273106">
        <w:t xml:space="preserve"> </w:t>
      </w:r>
      <w:r w:rsidR="00643961">
        <w:t>omezené</w:t>
      </w:r>
      <w:r w:rsidR="001F5C8D">
        <w:t>ho poznání</w:t>
      </w:r>
      <w:r w:rsidR="086E30E6">
        <w:t xml:space="preserve">. Ale </w:t>
      </w:r>
      <w:r w:rsidR="00643961">
        <w:t xml:space="preserve"> tato </w:t>
      </w:r>
      <w:r w:rsidR="086E30E6">
        <w:t xml:space="preserve">neurčená pravda </w:t>
      </w:r>
      <w:r w:rsidR="005C4C37" w:rsidRPr="00273106">
        <w:t xml:space="preserve">existuje </w:t>
      </w:r>
      <w:r w:rsidR="0846275E" w:rsidRPr="00273106">
        <w:t xml:space="preserve">v </w:t>
      </w:r>
      <w:r w:rsidR="005C4C37" w:rsidRPr="00273106">
        <w:t>d</w:t>
      </w:r>
      <w:r w:rsidR="0846275E" w:rsidRPr="00273106">
        <w:t>eterminovaném modu</w:t>
      </w:r>
      <w:r w:rsidR="00944910">
        <w:t xml:space="preserve"> </w:t>
      </w:r>
      <w:r w:rsidR="000F0B1C">
        <w:t>garantovaném boží pravdou</w:t>
      </w:r>
      <w:r w:rsidR="00CD610F">
        <w:t xml:space="preserve">, která ví, že daná věc jistě nastane </w:t>
      </w:r>
      <w:r w:rsidR="00CD3AB7">
        <w:t>v budoucnosti</w:t>
      </w:r>
      <w:r w:rsidR="00727C73">
        <w:t xml:space="preserve">. V daném </w:t>
      </w:r>
      <w:r w:rsidR="00CD610F">
        <w:t xml:space="preserve">případě </w:t>
      </w:r>
      <w:r w:rsidR="00727C73">
        <w:t>už víme</w:t>
      </w:r>
      <w:r w:rsidR="00CD3AB7">
        <w:t xml:space="preserve"> ze Zjevení</w:t>
      </w:r>
      <w:r w:rsidR="00727C73">
        <w:t xml:space="preserve">, že </w:t>
      </w:r>
      <w:r w:rsidR="00CD610F">
        <w:t>Antikrist nutně přijde</w:t>
      </w:r>
      <w:r w:rsidR="08822F1E" w:rsidRPr="00273106">
        <w:t>.</w:t>
      </w:r>
      <w:r w:rsidR="08195399" w:rsidRPr="00273106">
        <w:t xml:space="preserve"> </w:t>
      </w:r>
      <w:r w:rsidR="086E30E6">
        <w:t xml:space="preserve">Tím se do principiálně indeterminovaných událostí typu budoucím námořní bitvy zavedly logicky determinované </w:t>
      </w:r>
      <w:r w:rsidR="08204DB1">
        <w:t xml:space="preserve">pravdivostní hodnoty </w:t>
      </w:r>
      <w:r w:rsidR="086E30E6">
        <w:t xml:space="preserve">dané vyloučením třetí možnosti. Moderna </w:t>
      </w:r>
      <w:r w:rsidR="08A16398">
        <w:t xml:space="preserve">sofisticky </w:t>
      </w:r>
      <w:r w:rsidR="086E30E6">
        <w:t>říká, že nám</w:t>
      </w:r>
      <w:r w:rsidR="08A16398">
        <w:t>ořní bitva</w:t>
      </w:r>
      <w:r w:rsidR="086E30E6">
        <w:t xml:space="preserve"> buď bude neb</w:t>
      </w:r>
      <w:r w:rsidR="08AF7017">
        <w:t>o nebude, což vypadá na první pohled</w:t>
      </w:r>
      <w:r w:rsidR="086E30E6">
        <w:t xml:space="preserve"> </w:t>
      </w:r>
      <w:r w:rsidR="00A06213">
        <w:t>celkem logicky.</w:t>
      </w:r>
    </w:p>
    <w:p w14:paraId="1CBB975D" w14:textId="51AD1C1C" w:rsidR="08A53645" w:rsidRDefault="08195399" w:rsidP="007F723F">
      <w:pPr>
        <w:ind w:firstLine="397"/>
      </w:pPr>
      <w:r w:rsidRPr="00273106">
        <w:t xml:space="preserve">Zásadní kritiku tohoto </w:t>
      </w:r>
      <w:r w:rsidR="00702CC1">
        <w:t xml:space="preserve">sofistického </w:t>
      </w:r>
      <w:r w:rsidRPr="00273106">
        <w:t xml:space="preserve">postoje </w:t>
      </w:r>
      <w:r w:rsidR="00335C60" w:rsidRPr="00273106">
        <w:t xml:space="preserve">oxfordských </w:t>
      </w:r>
      <w:r w:rsidR="00FB44FD" w:rsidRPr="00273106">
        <w:rPr>
          <w:i/>
        </w:rPr>
        <w:t>Modernorum</w:t>
      </w:r>
      <w:r w:rsidR="00FB44FD" w:rsidRPr="00273106">
        <w:t xml:space="preserve"> provedl poslední představitel prvního averroismu </w:t>
      </w:r>
      <w:r w:rsidRPr="00273106">
        <w:t xml:space="preserve">William Ockham </w:t>
      </w:r>
      <w:r w:rsidR="00EE4EAF">
        <w:fldChar w:fldCharType="begin"/>
      </w:r>
      <w:r w:rsidR="00EE4EAF">
        <w:instrText xml:space="preserve"> XE "</w:instrText>
      </w:r>
      <w:r w:rsidR="00EE4EAF">
        <w:rPr>
          <w:i/>
        </w:rPr>
        <w:instrText>Oxf</w:instrText>
      </w:r>
      <w:r w:rsidR="00EE4EAF" w:rsidRPr="00EE4EAF">
        <w:rPr>
          <w:i/>
        </w:rPr>
        <w:instrText>o</w:instrText>
      </w:r>
      <w:r w:rsidR="00EE4EAF">
        <w:rPr>
          <w:i/>
        </w:rPr>
        <w:instrText>r</w:instrText>
      </w:r>
      <w:r w:rsidR="00EE4EAF" w:rsidRPr="00EE4EAF">
        <w:rPr>
          <w:i/>
        </w:rPr>
        <w:instrText>dian Fallacy</w:instrText>
      </w:r>
      <w:r w:rsidR="00EE4EAF" w:rsidRPr="00020009">
        <w:instrText>:kritika Ockhama</w:instrText>
      </w:r>
      <w:r w:rsidR="00EE4EAF">
        <w:instrText xml:space="preserve">" </w:instrText>
      </w:r>
      <w:r w:rsidR="00EE4EAF">
        <w:fldChar w:fldCharType="end"/>
      </w:r>
      <w:r w:rsidRPr="00273106">
        <w:t xml:space="preserve">odkazem na původní aristotelskou pozici </w:t>
      </w:r>
      <w:r w:rsidR="00702CC1">
        <w:t xml:space="preserve">a na logické chyby skryté v tomto zmateném </w:t>
      </w:r>
      <w:r w:rsidR="00702CC1">
        <w:lastRenderedPageBreak/>
        <w:t xml:space="preserve">úsudku </w:t>
      </w:r>
      <w:r w:rsidRPr="00273106">
        <w:t>(</w:t>
      </w:r>
      <w:r w:rsidR="08096B01">
        <w:t>OBJ III, kap. 5</w:t>
      </w:r>
      <w:r w:rsidRPr="00273106">
        <w:t>.4.2).</w:t>
      </w:r>
      <w:r w:rsidR="001669B6">
        <w:t xml:space="preserve"> </w:t>
      </w:r>
      <w:r w:rsidR="000A6DEC" w:rsidRPr="00273106">
        <w:t>Nová logická determinace funguje stejně univerzálně jako boží plán spásy</w:t>
      </w:r>
      <w:r w:rsidR="086857A3" w:rsidRPr="00273106">
        <w:t>. P</w:t>
      </w:r>
      <w:r w:rsidR="000A6DEC" w:rsidRPr="00273106">
        <w:t xml:space="preserve">roto do </w:t>
      </w:r>
      <w:r w:rsidR="00BB5F5E">
        <w:t xml:space="preserve">božího plánu </w:t>
      </w:r>
      <w:r w:rsidR="000A6DEC" w:rsidRPr="00273106">
        <w:t>nahlížíme</w:t>
      </w:r>
      <w:r w:rsidR="004B7A1B" w:rsidRPr="00273106">
        <w:t xml:space="preserve"> z vlastní mysli a poznání</w:t>
      </w:r>
      <w:r w:rsidR="086857A3" w:rsidRPr="00273106">
        <w:t xml:space="preserve">, i když </w:t>
      </w:r>
      <w:r w:rsidR="08F87AB9" w:rsidRPr="00273106">
        <w:t xml:space="preserve">z hlediska </w:t>
      </w:r>
      <w:r w:rsidR="08D8544D" w:rsidRPr="00273106">
        <w:t xml:space="preserve">zde a nyní dané </w:t>
      </w:r>
      <w:r w:rsidR="00CD42DF" w:rsidRPr="00273106">
        <w:t xml:space="preserve">kontingentní a omezené </w:t>
      </w:r>
      <w:r w:rsidR="08F87AB9" w:rsidRPr="00273106">
        <w:t xml:space="preserve">pravdy </w:t>
      </w:r>
      <w:r w:rsidR="08D8544D" w:rsidRPr="00273106">
        <w:t>(</w:t>
      </w:r>
      <w:r w:rsidR="08D8544D" w:rsidRPr="00273106">
        <w:rPr>
          <w:i/>
        </w:rPr>
        <w:t>veritas incompleta</w:t>
      </w:r>
      <w:r w:rsidR="005E2F6B">
        <w:rPr>
          <w:i/>
        </w:rPr>
        <w:fldChar w:fldCharType="begin"/>
      </w:r>
      <w:r w:rsidR="005E2F6B">
        <w:instrText xml:space="preserve"> XE "pravda:</w:instrText>
      </w:r>
      <w:r w:rsidR="005E2F6B" w:rsidRPr="009029DD">
        <w:rPr>
          <w:i/>
        </w:rPr>
        <w:instrText>veritas incompleta</w:instrText>
      </w:r>
      <w:r w:rsidR="005E2F6B">
        <w:instrText xml:space="preserve">" </w:instrText>
      </w:r>
      <w:r w:rsidR="005E2F6B">
        <w:rPr>
          <w:i/>
        </w:rPr>
        <w:fldChar w:fldCharType="end"/>
      </w:r>
      <w:r w:rsidR="00493E53" w:rsidRPr="00273106">
        <w:t xml:space="preserve">). </w:t>
      </w:r>
      <w:r w:rsidR="080C2A8C" w:rsidRPr="00273106">
        <w:t xml:space="preserve">Výše uvedený citát ukazuje, že </w:t>
      </w:r>
      <w:r w:rsidR="001D0DB8">
        <w:t xml:space="preserve">mystický iluminát vybavený </w:t>
      </w:r>
      <w:r w:rsidR="00B60E2B">
        <w:t xml:space="preserve">kukátkem </w:t>
      </w:r>
      <w:r w:rsidR="001D0DB8">
        <w:t xml:space="preserve">moderní logiky </w:t>
      </w:r>
      <w:r w:rsidR="00B60E2B">
        <w:t xml:space="preserve">spolehlivě a nutně </w:t>
      </w:r>
      <w:r w:rsidR="080C2A8C" w:rsidRPr="00273106">
        <w:t xml:space="preserve">nahlíží </w:t>
      </w:r>
      <w:r w:rsidR="000A6DEC" w:rsidRPr="00273106">
        <w:t xml:space="preserve">do </w:t>
      </w:r>
      <w:r w:rsidR="00A07403">
        <w:t xml:space="preserve">světa věčných a neměnných pravd v </w:t>
      </w:r>
      <w:r w:rsidR="000A6DEC" w:rsidRPr="00273106">
        <w:t>boží mysli (</w:t>
      </w:r>
      <w:r w:rsidR="000A6DEC" w:rsidRPr="00273106">
        <w:rPr>
          <w:i/>
        </w:rPr>
        <w:t>immutabilitas praesentialis in mente et scientia divina</w:t>
      </w:r>
      <w:r w:rsidR="000A6DEC" w:rsidRPr="00273106">
        <w:t xml:space="preserve">), </w:t>
      </w:r>
      <w:r w:rsidR="080C2A8C" w:rsidRPr="00273106">
        <w:t>a také d</w:t>
      </w:r>
      <w:r w:rsidR="000A6DEC" w:rsidRPr="00273106">
        <w:t>o přítomnosti a do budoucnosti (</w:t>
      </w:r>
      <w:r w:rsidR="000A6DEC" w:rsidRPr="00273106">
        <w:rPr>
          <w:i/>
        </w:rPr>
        <w:t>immutabilitas praesentialis veritatis in his de praeterito et de futuro</w:t>
      </w:r>
      <w:r w:rsidR="000A6DEC" w:rsidRPr="00273106">
        <w:t xml:space="preserve">). </w:t>
      </w:r>
      <w:r w:rsidR="002D6113">
        <w:t>Tím se stala kontrafaktuální logika opravdu všemohoucím nástrojem moderny</w:t>
      </w:r>
      <w:r w:rsidR="00BD1B48">
        <w:t xml:space="preserve"> a postmoderny</w:t>
      </w:r>
      <w:r w:rsidR="002D6113">
        <w:t xml:space="preserve">. </w:t>
      </w:r>
      <w:r w:rsidR="00E10DEE">
        <w:t xml:space="preserve">Všechny </w:t>
      </w:r>
      <w:r w:rsidR="00E10DEE" w:rsidRPr="00273106">
        <w:t>budoucí událost</w:t>
      </w:r>
      <w:r w:rsidR="00E10DEE">
        <w:t>i</w:t>
      </w:r>
      <w:r w:rsidR="00E10DEE" w:rsidRPr="00273106">
        <w:t xml:space="preserve"> se nás zásadně tý</w:t>
      </w:r>
      <w:r w:rsidR="00E10DEE">
        <w:t>kají</w:t>
      </w:r>
      <w:r w:rsidR="00E10DEE" w:rsidRPr="00273106">
        <w:t xml:space="preserve"> v řádu </w:t>
      </w:r>
      <w:r w:rsidR="00E10DEE">
        <w:t xml:space="preserve">potenciální, </w:t>
      </w:r>
      <w:r w:rsidR="0015422B">
        <w:t>leč</w:t>
      </w:r>
      <w:r w:rsidR="00E10DEE">
        <w:t xml:space="preserve"> pozitivní </w:t>
      </w:r>
      <w:r w:rsidR="00E10DEE" w:rsidRPr="00273106">
        <w:t xml:space="preserve">nutnosti dané </w:t>
      </w:r>
      <w:r w:rsidR="00E10DEE" w:rsidRPr="00273106">
        <w:rPr>
          <w:i/>
        </w:rPr>
        <w:t>relative</w:t>
      </w:r>
      <w:r w:rsidR="0015422B">
        <w:t>, dnes doplněné o nihilistic</w:t>
      </w:r>
      <w:r w:rsidR="087D02BA">
        <w:t>ké následky dané teorií chaosu.</w:t>
      </w:r>
      <w:r w:rsidR="08A53645">
        <w:t xml:space="preserve"> </w:t>
      </w:r>
      <w:r w:rsidR="08EA1C64" w:rsidRPr="00273106">
        <w:t>Grossetesteho komentář</w:t>
      </w:r>
      <w:r w:rsidR="08A969E6" w:rsidRPr="00273106">
        <w:t xml:space="preserve"> ke </w:t>
      </w:r>
      <w:r w:rsidR="08A969E6" w:rsidRPr="08453B7D">
        <w:rPr>
          <w:i/>
        </w:rPr>
        <w:t>Druhým analytikám</w:t>
      </w:r>
      <w:r w:rsidR="08A969E6" w:rsidRPr="00273106">
        <w:t xml:space="preserve"> absolutizuje eidetický náhled do prvních principů (</w:t>
      </w:r>
      <w:r w:rsidR="08A969E6" w:rsidRPr="00273106">
        <w:rPr>
          <w:i/>
        </w:rPr>
        <w:t>principia cognoscendi rationes rerum</w:t>
      </w:r>
      <w:r w:rsidR="08A969E6" w:rsidRPr="00273106">
        <w:t>), protože tak jsme schopni nahlédnout až do archetypální sféry nahlížené osvíceným intelektem (</w:t>
      </w:r>
      <w:r w:rsidR="08A969E6" w:rsidRPr="00273106">
        <w:rPr>
          <w:i/>
        </w:rPr>
        <w:t>increate ab eterno existentes in causa prima</w:t>
      </w:r>
      <w:r w:rsidR="00761354">
        <w:rPr>
          <w:i/>
        </w:rPr>
        <w:fldChar w:fldCharType="begin"/>
      </w:r>
      <w:r w:rsidR="00761354">
        <w:instrText xml:space="preserve"> XE "</w:instrText>
      </w:r>
      <w:r w:rsidR="00761354" w:rsidRPr="00EC783C">
        <w:rPr>
          <w:i/>
          <w:color w:val="000000"/>
        </w:rPr>
        <w:instrText>causa prima</w:instrText>
      </w:r>
      <w:r w:rsidR="00761354">
        <w:instrText xml:space="preserve">" </w:instrText>
      </w:r>
      <w:r w:rsidR="00761354">
        <w:rPr>
          <w:i/>
        </w:rPr>
        <w:fldChar w:fldCharType="end"/>
      </w:r>
      <w:r w:rsidR="08553D51">
        <w:t>, kap. 3</w:t>
      </w:r>
      <w:r w:rsidR="08A969E6" w:rsidRPr="00273106">
        <w:t>.1.1).</w:t>
      </w:r>
      <w:r w:rsidR="007933B0">
        <w:t xml:space="preserve"> </w:t>
      </w:r>
      <w:r w:rsidR="00B724A8" w:rsidRPr="00273106">
        <w:t>Grossetesteho d</w:t>
      </w:r>
      <w:r w:rsidR="000A6DEC" w:rsidRPr="00273106">
        <w:t xml:space="preserve">íla o pravdě a o svobodné vůli ukázala, že </w:t>
      </w:r>
      <w:r w:rsidR="08F57F0F" w:rsidRPr="00273106">
        <w:t xml:space="preserve">poznání </w:t>
      </w:r>
      <w:r w:rsidR="08F57F0F" w:rsidRPr="00273106">
        <w:rPr>
          <w:i/>
        </w:rPr>
        <w:t>Modernorum</w:t>
      </w:r>
      <w:r w:rsidR="08F57F0F" w:rsidRPr="00273106">
        <w:t xml:space="preserve"> </w:t>
      </w:r>
      <w:r w:rsidR="08514CD1">
        <w:t xml:space="preserve">mytopoeticky </w:t>
      </w:r>
      <w:r w:rsidR="000A6DEC" w:rsidRPr="00273106">
        <w:t>proměňuje metafyzickou potenci, dříve zcela neurčitelnou, na ontologicky determinovanou kontigenci věcí a událostí (</w:t>
      </w:r>
      <w:r w:rsidR="000A6DEC" w:rsidRPr="00273106">
        <w:rPr>
          <w:i/>
        </w:rPr>
        <w:t>ex qua potentia sequitur rerum contingentia</w:t>
      </w:r>
      <w:r w:rsidR="081F28B9">
        <w:t xml:space="preserve">). Tato hypostázovaná jsoucna třetího druhu v budoucnosti </w:t>
      </w:r>
      <w:r w:rsidR="000A6DEC" w:rsidRPr="00273106">
        <w:t>buď nastanou, nebo nenastanou.</w:t>
      </w:r>
      <w:r w:rsidR="007F723F">
        <w:t xml:space="preserve"> </w:t>
      </w:r>
      <w:r w:rsidR="007F723F" w:rsidRPr="007F723F">
        <w:t xml:space="preserve">Zavedení démonologie, dogmatické a eschatologické ontoteologie zásadně změnilo školy </w:t>
      </w:r>
      <w:r w:rsidR="007F723F" w:rsidRPr="00273106">
        <w:rPr>
          <w:i/>
        </w:rPr>
        <w:t>logica Modernorum</w:t>
      </w:r>
      <w:r w:rsidR="007F723F">
        <w:rPr>
          <w:i/>
        </w:rPr>
        <w:fldChar w:fldCharType="begin"/>
      </w:r>
      <w:r w:rsidR="007F723F">
        <w:instrText xml:space="preserve"> XE "</w:instrText>
      </w:r>
      <w:r w:rsidR="007F723F" w:rsidRPr="001100BE">
        <w:rPr>
          <w:i/>
        </w:rPr>
        <w:instrText>logica Modernorum</w:instrText>
      </w:r>
      <w:r w:rsidR="007F723F">
        <w:instrText xml:space="preserve">" </w:instrText>
      </w:r>
      <w:r w:rsidR="007F723F">
        <w:rPr>
          <w:i/>
        </w:rPr>
        <w:fldChar w:fldCharType="end"/>
      </w:r>
      <w:r w:rsidR="007F723F">
        <w:rPr>
          <w:i/>
        </w:rPr>
        <w:t xml:space="preserve"> </w:t>
      </w:r>
      <w:r w:rsidR="007F723F">
        <w:t>ve stylu Hegelova „</w:t>
      </w:r>
      <w:r w:rsidR="007F723F" w:rsidRPr="007F723F">
        <w:rPr>
          <w:i/>
        </w:rPr>
        <w:t>Aufhebung</w:t>
      </w:r>
      <w:r w:rsidR="007F723F">
        <w:t>“</w:t>
      </w:r>
      <w:r w:rsidR="007F723F" w:rsidRPr="007F723F">
        <w:t xml:space="preserve">. Přestaly existovat jako logické školy a staly se fakultami moderní metafyziky. Tato veselá věda </w:t>
      </w:r>
      <w:r w:rsidR="00351E41">
        <w:t xml:space="preserve">démonické moderny </w:t>
      </w:r>
      <w:r w:rsidR="007F723F" w:rsidRPr="007F723F">
        <w:t xml:space="preserve">přivodila noční můry kritickým </w:t>
      </w:r>
      <w:r w:rsidR="007F723F">
        <w:t xml:space="preserve">aristotelským </w:t>
      </w:r>
      <w:r w:rsidR="007F723F" w:rsidRPr="007F723F">
        <w:t xml:space="preserve">myslitelům, ale moderní pokrok </w:t>
      </w:r>
      <w:r w:rsidR="007F723F">
        <w:t>nelze zastavit</w:t>
      </w:r>
      <w:r w:rsidR="007F723F" w:rsidRPr="007F723F">
        <w:t>.</w:t>
      </w:r>
      <w:r w:rsidR="007F723F">
        <w:t xml:space="preserve"> </w:t>
      </w:r>
      <w:r w:rsidR="08E006AF">
        <w:t>Plán sekulární spásy a příchod odpovídající démonické síly dané na konci času dnes určuje burza</w:t>
      </w:r>
      <w:r w:rsidR="006A684C">
        <w:t xml:space="preserve">. Obě události spásy metafyzického nihilismu jsou určeny klasickou logikou v modu </w:t>
      </w:r>
      <w:r w:rsidR="08E006AF" w:rsidRPr="08E006AF">
        <w:rPr>
          <w:i/>
        </w:rPr>
        <w:t>absolute</w:t>
      </w:r>
      <w:r w:rsidR="08E006AF">
        <w:t xml:space="preserve">. </w:t>
      </w:r>
      <w:r w:rsidR="00FF7795" w:rsidRPr="00273106">
        <w:t>B</w:t>
      </w:r>
      <w:r w:rsidR="000A6DEC" w:rsidRPr="00273106">
        <w:t xml:space="preserve">udoucí kontigentní události dostaly navzdory Aristotelovi nový ontologický status. Ten umožnil dříve zcela vyloučenou predikaci budoucích událostí, nyní možnou díky nově zavedenému ontoteologickému horizontu boží věčnosti a absolutně daným dějinám spásy garantujícími logickou valenci budoucnosti. Tím vznikla </w:t>
      </w:r>
      <w:r w:rsidR="00FF7795" w:rsidRPr="00273106">
        <w:t xml:space="preserve">základní </w:t>
      </w:r>
      <w:r w:rsidR="000A6DEC" w:rsidRPr="00273106">
        <w:t xml:space="preserve">podoba </w:t>
      </w:r>
      <w:r w:rsidR="00FF7795" w:rsidRPr="00273106">
        <w:t xml:space="preserve">moderní </w:t>
      </w:r>
      <w:r w:rsidR="000A6DEC" w:rsidRPr="00273106">
        <w:t>ontoteologie</w:t>
      </w:r>
      <w:r w:rsidR="00FF7795" w:rsidRPr="00273106">
        <w:t xml:space="preserve"> a </w:t>
      </w:r>
      <w:r w:rsidR="08453B7D">
        <w:t xml:space="preserve">matematizované </w:t>
      </w:r>
      <w:r w:rsidR="00FF7795" w:rsidRPr="00273106">
        <w:t>formální logiky</w:t>
      </w:r>
      <w:r w:rsidR="001669B6">
        <w:t>.</w:t>
      </w:r>
      <w:r w:rsidR="00036D87">
        <w:t xml:space="preserve"> </w:t>
      </w:r>
      <w:r w:rsidR="000C6BC9" w:rsidRPr="00273106">
        <w:t xml:space="preserve">Zavedením </w:t>
      </w:r>
      <w:r w:rsidR="000C6BC9">
        <w:t xml:space="preserve">unitární </w:t>
      </w:r>
      <w:r w:rsidR="000C6BC9" w:rsidRPr="00273106">
        <w:t>ontote</w:t>
      </w:r>
      <w:r w:rsidR="000C6BC9">
        <w:t>ologie</w:t>
      </w:r>
      <w:r w:rsidR="000C6BC9">
        <w:fldChar w:fldCharType="begin"/>
      </w:r>
      <w:r w:rsidR="000C6BC9">
        <w:instrText xml:space="preserve"> XE "druhý averroismus:</w:instrText>
      </w:r>
      <w:r w:rsidR="000C6BC9" w:rsidRPr="00CC4107">
        <w:instrText>ontoteologie</w:instrText>
      </w:r>
      <w:r w:rsidR="000C6BC9">
        <w:instrText xml:space="preserve">" </w:instrText>
      </w:r>
      <w:r w:rsidR="000C6BC9">
        <w:fldChar w:fldCharType="end"/>
      </w:r>
      <w:r w:rsidR="000C6BC9">
        <w:t xml:space="preserve"> </w:t>
      </w:r>
      <w:r w:rsidR="000C6BC9" w:rsidRPr="00273106">
        <w:t xml:space="preserve">první moderna </w:t>
      </w:r>
      <w:r w:rsidR="000C6BC9">
        <w:t xml:space="preserve">vytvořila </w:t>
      </w:r>
      <w:r w:rsidR="000C6BC9" w:rsidRPr="00273106">
        <w:t xml:space="preserve">i nový koncept boha, který tvoří nutného garanta </w:t>
      </w:r>
      <w:r w:rsidR="000C6BC9">
        <w:t xml:space="preserve">jejího </w:t>
      </w:r>
      <w:r w:rsidR="000C6BC9" w:rsidRPr="00273106">
        <w:rPr>
          <w:i/>
        </w:rPr>
        <w:t>Weltanschauung</w:t>
      </w:r>
      <w:r w:rsidR="000C6BC9">
        <w:rPr>
          <w:i/>
        </w:rPr>
        <w:fldChar w:fldCharType="begin"/>
      </w:r>
      <w:r w:rsidR="000C6BC9">
        <w:instrText xml:space="preserve"> XE "</w:instrText>
      </w:r>
      <w:r w:rsidR="000C6BC9" w:rsidRPr="001E5389">
        <w:rPr>
          <w:i/>
        </w:rPr>
        <w:instrText>Weltanschauung</w:instrText>
      </w:r>
      <w:r w:rsidR="000C6BC9">
        <w:instrText xml:space="preserve">" </w:instrText>
      </w:r>
      <w:r w:rsidR="000C6BC9">
        <w:rPr>
          <w:i/>
        </w:rPr>
        <w:fldChar w:fldCharType="end"/>
      </w:r>
      <w:r w:rsidR="000C6BC9" w:rsidRPr="00273106">
        <w:t xml:space="preserve">. </w:t>
      </w:r>
      <w:r w:rsidR="000C6BC9">
        <w:t>Toto a</w:t>
      </w:r>
      <w:r w:rsidR="000C6BC9" w:rsidRPr="00273106">
        <w:t xml:space="preserve">ntropomorfní simulákrum stvořené člověkem bude mít velkou </w:t>
      </w:r>
      <w:r w:rsidR="000C6BC9" w:rsidRPr="00273106">
        <w:lastRenderedPageBreak/>
        <w:t xml:space="preserve">budoucnost. Od Leibnize </w:t>
      </w:r>
      <w:r w:rsidR="08E52F5E">
        <w:fldChar w:fldCharType="begin"/>
      </w:r>
      <w:r w:rsidR="08E52F5E">
        <w:instrText xml:space="preserve"> XE "</w:instrText>
      </w:r>
      <w:r w:rsidR="08E52F5E" w:rsidRPr="00AB1FF2">
        <w:instrText>Leibniz, G. W.</w:instrText>
      </w:r>
      <w:r w:rsidR="08E52F5E">
        <w:instrText xml:space="preserve">" </w:instrText>
      </w:r>
      <w:r w:rsidR="08E52F5E">
        <w:fldChar w:fldCharType="end"/>
      </w:r>
      <w:r w:rsidR="08E52F5E" w:rsidRPr="00273106">
        <w:t xml:space="preserve"> </w:t>
      </w:r>
      <w:r w:rsidR="000C6BC9" w:rsidRPr="00273106">
        <w:t xml:space="preserve">už bude odpovídat za všechno možné zlo ve světě a lidský rozum </w:t>
      </w:r>
      <w:r w:rsidR="08E52F5E">
        <w:t>musel tohoto moderního boha</w:t>
      </w:r>
      <w:r w:rsidR="000C6BC9" w:rsidRPr="00273106">
        <w:t xml:space="preserve"> náležitě ospravedlnit.</w:t>
      </w:r>
      <w:r w:rsidR="08E52F5E">
        <w:t xml:space="preserve"> </w:t>
      </w:r>
      <w:r w:rsidR="000C6BC9" w:rsidRPr="00273106">
        <w:t xml:space="preserve">Leibnizův náhled odpovídá Grossetesteho náhledu do světa </w:t>
      </w:r>
      <w:r w:rsidR="000C6BC9">
        <w:t>platon</w:t>
      </w:r>
      <w:r w:rsidR="000C6BC9" w:rsidRPr="00273106">
        <w:t>ských exemplarů</w:t>
      </w:r>
      <w:r w:rsidR="08E52F5E" w:rsidRPr="08E52F5E">
        <w:t xml:space="preserve"> </w:t>
      </w:r>
      <w:r w:rsidR="08E52F5E" w:rsidRPr="00273106">
        <w:t>v ma</w:t>
      </w:r>
      <w:r w:rsidR="08E52F5E">
        <w:t xml:space="preserve">tematicko-filosofickém termínu </w:t>
      </w:r>
      <w:r w:rsidR="00813C1A">
        <w:t>„</w:t>
      </w:r>
      <w:r w:rsidR="08E52F5E" w:rsidRPr="00273106">
        <w:rPr>
          <w:i/>
        </w:rPr>
        <w:t>la région des vérités éternelles</w:t>
      </w:r>
      <w:r w:rsidR="00813C1A">
        <w:t>“</w:t>
      </w:r>
      <w:r w:rsidR="08E52F5E">
        <w:t xml:space="preserve"> (</w:t>
      </w:r>
      <w:r w:rsidR="08D3084D">
        <w:t>OBJ III, kap. 5</w:t>
      </w:r>
      <w:r w:rsidR="08E52F5E" w:rsidRPr="00273106">
        <w:t>.2.3)</w:t>
      </w:r>
      <w:r w:rsidR="000C6BC9" w:rsidRPr="00273106">
        <w:t>. Neo</w:t>
      </w:r>
      <w:r w:rsidR="000C6BC9">
        <w:t>platon</w:t>
      </w:r>
      <w:r w:rsidR="000C6BC9" w:rsidRPr="00273106">
        <w:t xml:space="preserve">ská onto-teo-logika posunula metafyziku </w:t>
      </w:r>
      <w:r w:rsidR="000C6BC9" w:rsidRPr="00273106">
        <w:rPr>
          <w:i/>
        </w:rPr>
        <w:t>Modernorum</w:t>
      </w:r>
      <w:r w:rsidR="000C6BC9" w:rsidRPr="00273106">
        <w:t xml:space="preserve"> směrem k novému pojetí </w:t>
      </w:r>
      <w:r w:rsidR="000C6BC9" w:rsidRPr="00273106">
        <w:rPr>
          <w:i/>
        </w:rPr>
        <w:t>possibile</w:t>
      </w:r>
      <w:r w:rsidR="000C6BC9">
        <w:t>, které</w:t>
      </w:r>
      <w:r w:rsidR="000C6BC9" w:rsidRPr="00273106">
        <w:t xml:space="preserve"> dostalo ontologický status jsoucna třetího druhu. </w:t>
      </w:r>
      <w:r w:rsidR="000C6BC9">
        <w:t xml:space="preserve">V boží mysli je toto </w:t>
      </w:r>
      <w:r w:rsidR="000C6BC9" w:rsidRPr="004F56AD">
        <w:rPr>
          <w:i/>
        </w:rPr>
        <w:t>possibile</w:t>
      </w:r>
      <w:r w:rsidR="000C6BC9">
        <w:t xml:space="preserve"> objektivně určenou možností s věčnou a nutnou pravdivostní hodnotou. Na zemi má prozatím neurčitý a kontingentní charakter, který už je logicky určitelný, díky vyšší rovině významu. </w:t>
      </w:r>
      <w:r w:rsidR="000C6BC9" w:rsidRPr="00273106">
        <w:t xml:space="preserve">Nový status </w:t>
      </w:r>
      <w:r w:rsidR="00D63A9D" w:rsidRPr="009E5658">
        <w:rPr>
          <w:i/>
          <w:szCs w:val="24"/>
        </w:rPr>
        <w:t>ens</w:t>
      </w:r>
      <w:r w:rsidR="00D63A9D">
        <w:rPr>
          <w:szCs w:val="24"/>
        </w:rPr>
        <w:t xml:space="preserve"> </w:t>
      </w:r>
      <w:r w:rsidR="00D63A9D" w:rsidRPr="00447C7F">
        <w:rPr>
          <w:i/>
          <w:szCs w:val="24"/>
        </w:rPr>
        <w:t>possib</w:t>
      </w:r>
      <w:r w:rsidR="00D63A9D">
        <w:rPr>
          <w:i/>
          <w:szCs w:val="24"/>
        </w:rPr>
        <w:t>ile</w:t>
      </w:r>
      <w:r w:rsidR="00D63A9D">
        <w:rPr>
          <w:szCs w:val="24"/>
        </w:rPr>
        <w:t xml:space="preserve"> </w:t>
      </w:r>
      <w:r w:rsidR="000C6BC9" w:rsidRPr="00273106">
        <w:t>plně využije v další generaci Duns Scotus, který metafyziku možnosti založí v její celkové architektuře.</w:t>
      </w:r>
    </w:p>
    <w:p w14:paraId="63AA847A" w14:textId="3116B93C" w:rsidR="005A5F26" w:rsidRPr="00273106" w:rsidRDefault="08A53645" w:rsidP="005A5F26">
      <w:r>
        <w:tab/>
      </w:r>
      <w:r w:rsidR="00CB6BA2" w:rsidRPr="00273106">
        <w:t>V prostředí oxfordských akademických ilum</w:t>
      </w:r>
      <w:r w:rsidR="081151EB">
        <w:t>inátů vznikl</w:t>
      </w:r>
      <w:r w:rsidR="00CB6BA2" w:rsidRPr="00273106">
        <w:t xml:space="preserve"> </w:t>
      </w:r>
      <w:r w:rsidR="00CB6BA2">
        <w:t>kolem roku 1230</w:t>
      </w:r>
      <w:r w:rsidR="08D070AD">
        <w:t>‒35</w:t>
      </w:r>
      <w:r w:rsidR="00CB6BA2">
        <w:t xml:space="preserve"> </w:t>
      </w:r>
      <w:r w:rsidR="00CB6BA2" w:rsidRPr="00273106">
        <w:t>nový subjekt Západu.</w:t>
      </w:r>
      <w:r w:rsidR="00CB6BA2">
        <w:t xml:space="preserve"> </w:t>
      </w:r>
      <w:r w:rsidR="00461BD3">
        <w:t xml:space="preserve">Moderní učenci </w:t>
      </w:r>
      <w:r w:rsidR="08D070AD">
        <w:t>se díky Grossetestemu stali potenciálně vševědoucími, ale úplně jinak než jak to chtěl Aristoteles tezí o univerzální receptivitě duše (</w:t>
      </w:r>
      <w:r w:rsidR="08D070AD">
        <w:rPr>
          <w:rStyle w:val="FontStyle129"/>
          <w:rFonts w:ascii="Calibri" w:hAnsi="Calibri"/>
          <w:i/>
          <w:sz w:val="24"/>
        </w:rPr>
        <w:t>De anima</w:t>
      </w:r>
      <w:r w:rsidR="08D070AD" w:rsidRPr="00273106">
        <w:rPr>
          <w:rStyle w:val="FontStyle129"/>
          <w:rFonts w:ascii="Calibri" w:hAnsi="Calibri"/>
          <w:sz w:val="24"/>
        </w:rPr>
        <w:t xml:space="preserve"> 431b21</w:t>
      </w:r>
      <w:r w:rsidR="08D070AD">
        <w:rPr>
          <w:rStyle w:val="FontStyle129"/>
          <w:rFonts w:ascii="Calibri" w:hAnsi="Calibri"/>
          <w:sz w:val="24"/>
        </w:rPr>
        <w:fldChar w:fldCharType="begin"/>
      </w:r>
      <w:r w:rsidR="08D070AD">
        <w:instrText xml:space="preserve"> XE "Aristoteles:</w:instrText>
      </w:r>
      <w:r w:rsidR="08D070AD" w:rsidRPr="00E65A13">
        <w:rPr>
          <w:rStyle w:val="FontStyle129"/>
          <w:rFonts w:ascii="Calibri" w:hAnsi="Calibri"/>
          <w:i/>
          <w:sz w:val="24"/>
        </w:rPr>
        <w:instrText>De anima</w:instrText>
      </w:r>
      <w:r w:rsidR="08D070AD" w:rsidRPr="00E65A13">
        <w:rPr>
          <w:rStyle w:val="FontStyle129"/>
          <w:rFonts w:ascii="Calibri" w:hAnsi="Calibri"/>
          <w:sz w:val="24"/>
        </w:rPr>
        <w:instrText xml:space="preserve"> 431b21</w:instrText>
      </w:r>
      <w:r w:rsidR="08D070AD">
        <w:instrText xml:space="preserve">" </w:instrText>
      </w:r>
      <w:r w:rsidR="08D070AD">
        <w:rPr>
          <w:rStyle w:val="FontStyle129"/>
          <w:rFonts w:ascii="Calibri" w:hAnsi="Calibri"/>
          <w:sz w:val="24"/>
        </w:rPr>
        <w:fldChar w:fldCharType="end"/>
      </w:r>
      <w:r w:rsidR="08D070AD">
        <w:t xml:space="preserve">). Nová jistota vidění světa má </w:t>
      </w:r>
      <w:r w:rsidR="08D070AD" w:rsidRPr="00273106">
        <w:t>objektivní</w:t>
      </w:r>
      <w:r w:rsidR="08D070AD">
        <w:t xml:space="preserve"> charakter</w:t>
      </w:r>
      <w:r w:rsidR="08D070AD" w:rsidRPr="00273106">
        <w:t xml:space="preserve">, protože její nutnost je dána univočně v modu logické možnosti dané </w:t>
      </w:r>
      <w:r w:rsidR="08D070AD" w:rsidRPr="00273106">
        <w:rPr>
          <w:i/>
        </w:rPr>
        <w:t>absolute</w:t>
      </w:r>
      <w:r w:rsidR="08D070AD" w:rsidRPr="00273106">
        <w:t xml:space="preserve"> a </w:t>
      </w:r>
      <w:r w:rsidR="08D070AD" w:rsidRPr="00273106">
        <w:rPr>
          <w:i/>
        </w:rPr>
        <w:t>per se</w:t>
      </w:r>
      <w:r w:rsidR="08D070AD" w:rsidRPr="00273106">
        <w:t>. Naše poznání je univočně navázané na definitivní stav světa daný v boží mysli, který poznáváme pouze potenciálně (</w:t>
      </w:r>
      <w:r w:rsidR="08D070AD" w:rsidRPr="00273106">
        <w:rPr>
          <w:i/>
        </w:rPr>
        <w:t>per accidens</w:t>
      </w:r>
      <w:r w:rsidR="00A572F4">
        <w:t xml:space="preserve">). Ale kolem roku </w:t>
      </w:r>
      <w:r w:rsidR="00A572F4" w:rsidRPr="00273106">
        <w:t>1230</w:t>
      </w:r>
      <w:r w:rsidR="00A572F4">
        <w:t xml:space="preserve"> </w:t>
      </w:r>
      <w:r w:rsidR="00A572F4" w:rsidRPr="00273106">
        <w:t>nikdo rozum</w:t>
      </w:r>
      <w:r w:rsidR="00A572F4">
        <w:t xml:space="preserve">ný nemohl </w:t>
      </w:r>
      <w:r w:rsidR="00A572F4" w:rsidRPr="00273106">
        <w:t>pochybovat</w:t>
      </w:r>
      <w:r w:rsidR="00A572F4">
        <w:t xml:space="preserve"> o budoucím příchodu </w:t>
      </w:r>
      <w:r w:rsidR="08D070AD" w:rsidRPr="00273106">
        <w:t>Antikrista</w:t>
      </w:r>
      <w:r w:rsidR="08D070AD">
        <w:fldChar w:fldCharType="begin"/>
      </w:r>
      <w:r w:rsidR="08D070AD">
        <w:instrText xml:space="preserve"> XE "</w:instrText>
      </w:r>
      <w:r w:rsidR="08D070AD" w:rsidRPr="0096335E">
        <w:instrText>Antikrist</w:instrText>
      </w:r>
      <w:r w:rsidR="08D070AD">
        <w:instrText xml:space="preserve">" </w:instrText>
      </w:r>
      <w:r w:rsidR="08D070AD">
        <w:fldChar w:fldCharType="end"/>
      </w:r>
      <w:r w:rsidR="08D070AD">
        <w:t xml:space="preserve">, stejně jako dnes nikdo nepochybuje o platnosti moderní logiky a na ní vybudované matematizaci světa, či nihilistické verze </w:t>
      </w:r>
      <w:r w:rsidR="08D070AD" w:rsidRPr="08837D1C">
        <w:rPr>
          <w:i/>
        </w:rPr>
        <w:t>summa veritas</w:t>
      </w:r>
      <w:r w:rsidR="08D070AD">
        <w:t xml:space="preserve"> hlásané ratingovými agenturami</w:t>
      </w:r>
      <w:r w:rsidR="08D070AD" w:rsidRPr="00273106">
        <w:t xml:space="preserve">. Grosseteste chápe nutnost v univočním modu </w:t>
      </w:r>
      <w:r w:rsidR="08D070AD" w:rsidRPr="00273106">
        <w:rPr>
          <w:i/>
        </w:rPr>
        <w:t>simpliciter</w:t>
      </w:r>
      <w:r w:rsidR="08D070AD" w:rsidRPr="00273106">
        <w:t xml:space="preserve"> vztaženém k boží věčnosti a neměnnosti. </w:t>
      </w:r>
      <w:r w:rsidR="08D070AD">
        <w:t xml:space="preserve">V tomto ideálním světě božího poznání, později nahrazeného matematikou, </w:t>
      </w:r>
      <w:r w:rsidR="08D070AD" w:rsidRPr="00273106">
        <w:t xml:space="preserve">je </w:t>
      </w:r>
      <w:r w:rsidR="08D070AD">
        <w:t xml:space="preserve">nutnost </w:t>
      </w:r>
      <w:r w:rsidR="08D070AD" w:rsidRPr="00273106">
        <w:t>pravdiv</w:t>
      </w:r>
      <w:r w:rsidR="08D070AD">
        <w:t>á vždy. A</w:t>
      </w:r>
      <w:r w:rsidR="08D070AD" w:rsidRPr="00273106">
        <w:t>le my zde na zemi ještě neznáme celý modus této pravdy, proto je dána pouze vyloučením každé jiné možnosti. Intelekt vyvádí od věčného archetypu logickou determinaci futurábil</w:t>
      </w:r>
      <w:r w:rsidR="08D070AD">
        <w:t xml:space="preserve">ií směrem do kontigence v modu </w:t>
      </w:r>
      <w:r w:rsidR="00B91DB9">
        <w:t>„Buď‒A</w:t>
      </w:r>
      <w:r w:rsidR="08D070AD">
        <w:t>nebo</w:t>
      </w:r>
      <w:r w:rsidR="00B91DB9">
        <w:t>“</w:t>
      </w:r>
      <w:r w:rsidR="08D070AD" w:rsidRPr="00273106">
        <w:t>, kde může být jak pravdivá, tak mylná.</w:t>
      </w:r>
      <w:r w:rsidR="08D070AD">
        <w:t xml:space="preserve"> </w:t>
      </w:r>
      <w:r w:rsidR="00B91DB9" w:rsidRPr="00B91DB9">
        <w:t>Søren Kierkegaard ve svém stejn</w:t>
      </w:r>
      <w:r w:rsidR="00B91DB9">
        <w:t xml:space="preserve">ojmenném spise (1843) vyhlásil </w:t>
      </w:r>
      <w:r w:rsidR="00B91DB9" w:rsidRPr="00B91DB9">
        <w:t>válku této tehdejší hege</w:t>
      </w:r>
      <w:r w:rsidR="00B91DB9">
        <w:t>lovské logice</w:t>
      </w:r>
      <w:r w:rsidR="00B91DB9" w:rsidRPr="00B91DB9">
        <w:t>.</w:t>
      </w:r>
      <w:r w:rsidR="00B91DB9">
        <w:t xml:space="preserve"> </w:t>
      </w:r>
      <w:r w:rsidR="00874B8B" w:rsidRPr="00273106">
        <w:t>Ke vzniku nové logiky koncipované vzhledem k příchodu 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874B8B" w:rsidRPr="00273106">
        <w:t xml:space="preserve"> jistě přispělo i prostředí vypjaté františkánské spirituality naroubované na mystiky typu Joachima von Fioreho</w:t>
      </w:r>
      <w:r w:rsidR="00276ED1">
        <w:fldChar w:fldCharType="begin"/>
      </w:r>
      <w:r w:rsidR="00276ED1">
        <w:instrText xml:space="preserve"> XE "</w:instrText>
      </w:r>
      <w:r w:rsidR="002A5201">
        <w:instrText>Joachim z</w:instrText>
      </w:r>
      <w:r w:rsidR="00276ED1" w:rsidRPr="005043C4">
        <w:instrText xml:space="preserve"> Fiore</w:instrText>
      </w:r>
      <w:r w:rsidR="00276ED1">
        <w:instrText xml:space="preserve">" </w:instrText>
      </w:r>
      <w:r w:rsidR="00276ED1">
        <w:fldChar w:fldCharType="end"/>
      </w:r>
      <w:r w:rsidR="00874B8B" w:rsidRPr="00273106">
        <w:t xml:space="preserve"> (†1202). Přeměna logiky na metafyziku </w:t>
      </w:r>
      <w:r w:rsidR="00874B8B">
        <w:t xml:space="preserve">proběhla </w:t>
      </w:r>
      <w:r w:rsidR="00874B8B" w:rsidRPr="00273106">
        <w:t xml:space="preserve">v prostředí akademické </w:t>
      </w:r>
      <w:r w:rsidR="00874B8B">
        <w:t xml:space="preserve">spirituální inteligence </w:t>
      </w:r>
      <w:r w:rsidR="00874B8B" w:rsidRPr="00273106">
        <w:t xml:space="preserve">očekávající v Oxfordu </w:t>
      </w:r>
      <w:r w:rsidR="08470CD6">
        <w:t xml:space="preserve">logicky nutný </w:t>
      </w:r>
      <w:r w:rsidR="00874B8B" w:rsidRPr="00273106">
        <w:t xml:space="preserve">příchod </w:t>
      </w:r>
      <w:r w:rsidR="080013D4">
        <w:t>„</w:t>
      </w:r>
      <w:r w:rsidR="00874B8B">
        <w:t>ex</w:t>
      </w:r>
      <w:r w:rsidR="080013D4">
        <w:t>s</w:t>
      </w:r>
      <w:r w:rsidR="00874B8B">
        <w:t>istujícího</w:t>
      </w:r>
      <w:r w:rsidR="080013D4">
        <w:t>“</w:t>
      </w:r>
      <w:r w:rsidR="00874B8B">
        <w:t xml:space="preserve"> </w:t>
      </w:r>
      <w:r w:rsidR="00874B8B" w:rsidRPr="00273106">
        <w:t>Antikrista</w:t>
      </w:r>
      <w:r w:rsidR="000C4184">
        <w:fldChar w:fldCharType="begin"/>
      </w:r>
      <w:r w:rsidR="000C4184">
        <w:instrText xml:space="preserve"> XE "</w:instrText>
      </w:r>
      <w:r w:rsidR="000C4184" w:rsidRPr="0096335E">
        <w:instrText>Antikrist</w:instrText>
      </w:r>
      <w:r w:rsidR="000C4184">
        <w:instrText xml:space="preserve">" </w:instrText>
      </w:r>
      <w:r w:rsidR="000C4184">
        <w:fldChar w:fldCharType="end"/>
      </w:r>
      <w:r w:rsidR="00874B8B">
        <w:t xml:space="preserve">. </w:t>
      </w:r>
      <w:r w:rsidR="08672ACA">
        <w:t>Ontoteologické spekulace těchto mystických iluminátů sehrály</w:t>
      </w:r>
      <w:r w:rsidR="08672ACA" w:rsidRPr="00273106">
        <w:t xml:space="preserve"> klíčovou roli </w:t>
      </w:r>
      <w:r w:rsidR="08672ACA" w:rsidRPr="00273106">
        <w:lastRenderedPageBreak/>
        <w:t>při vzniku zápa</w:t>
      </w:r>
      <w:r w:rsidR="08672ACA">
        <w:t xml:space="preserve">dní objektivity. </w:t>
      </w:r>
      <w:r w:rsidR="08345AA0">
        <w:t>B</w:t>
      </w:r>
      <w:r w:rsidR="087E62DD">
        <w:t xml:space="preserve">udoucí děje </w:t>
      </w:r>
      <w:r w:rsidR="08345AA0">
        <w:t xml:space="preserve">dostaly </w:t>
      </w:r>
      <w:r w:rsidR="007E29A7">
        <w:t xml:space="preserve">metafyzickou a logickou </w:t>
      </w:r>
      <w:r w:rsidR="00CC43BC" w:rsidRPr="00273106">
        <w:t xml:space="preserve">validitu odkazem na eschatologický horizont knihy Zjevení. </w:t>
      </w:r>
      <w:r w:rsidR="00E053B8">
        <w:t>Kompilace</w:t>
      </w:r>
      <w:r w:rsidR="00E053B8" w:rsidRPr="00273106">
        <w:t xml:space="preserve"> děl Joachima Fioreho </w:t>
      </w:r>
      <w:r w:rsidR="00E053B8">
        <w:t xml:space="preserve">vytvořená </w:t>
      </w:r>
      <w:r w:rsidR="00E053B8" w:rsidRPr="00273106">
        <w:t xml:space="preserve">františkánem Gerhardem kolem 1254 </w:t>
      </w:r>
      <w:r w:rsidR="00E053B8">
        <w:t xml:space="preserve">kolovala </w:t>
      </w:r>
      <w:r w:rsidR="00E053B8" w:rsidRPr="00273106">
        <w:t xml:space="preserve">pod názvem </w:t>
      </w:r>
      <w:r w:rsidR="00E053B8" w:rsidRPr="00273106">
        <w:rPr>
          <w:i/>
        </w:rPr>
        <w:t>Evangelium aeternum</w:t>
      </w:r>
      <w:r w:rsidR="00E053B8" w:rsidRPr="00273106">
        <w:t>. Tento spis zakázal papež Alexander IV. jako heretický</w:t>
      </w:r>
      <w:r w:rsidR="00050CD5" w:rsidRPr="00050CD5">
        <w:t xml:space="preserve"> </w:t>
      </w:r>
      <w:r w:rsidR="00050CD5" w:rsidRPr="00273106">
        <w:t>v roce 1256</w:t>
      </w:r>
      <w:r w:rsidR="00E053B8" w:rsidRPr="00273106">
        <w:t xml:space="preserve">. </w:t>
      </w:r>
      <w:r w:rsidR="00B12CEB">
        <w:t>Osvícení</w:t>
      </w:r>
      <w:r w:rsidR="000E510D" w:rsidRPr="00273106">
        <w:t xml:space="preserve"> </w:t>
      </w:r>
      <w:r w:rsidR="000E510D" w:rsidRPr="00273106">
        <w:rPr>
          <w:i/>
        </w:rPr>
        <w:t>spirituales</w:t>
      </w:r>
      <w:r w:rsidR="000E510D" w:rsidRPr="00273106">
        <w:t xml:space="preserve"> působící na akademické půdě</w:t>
      </w:r>
      <w:r w:rsidR="006746D7" w:rsidRPr="00273106">
        <w:t xml:space="preserve"> koncip</w:t>
      </w:r>
      <w:r w:rsidR="00E504B8">
        <w:t xml:space="preserve">ovali </w:t>
      </w:r>
      <w:r w:rsidR="006746D7" w:rsidRPr="00273106">
        <w:t xml:space="preserve">moderní verzi </w:t>
      </w:r>
      <w:r w:rsidR="006746D7" w:rsidRPr="00273106">
        <w:rPr>
          <w:i/>
          <w:iCs/>
        </w:rPr>
        <w:t>intelligentia spiritualis</w:t>
      </w:r>
      <w:r w:rsidR="00BF6D96">
        <w:rPr>
          <w:i/>
          <w:iCs/>
        </w:rPr>
        <w:fldChar w:fldCharType="begin"/>
      </w:r>
      <w:r w:rsidR="00BF6D96">
        <w:instrText xml:space="preserve"> XE "</w:instrText>
      </w:r>
      <w:r w:rsidR="00BF6D96" w:rsidRPr="005E5011">
        <w:rPr>
          <w:i/>
          <w:iCs/>
        </w:rPr>
        <w:instrText>intelligentia spiritualis</w:instrText>
      </w:r>
      <w:r w:rsidR="00BF6D96">
        <w:instrText xml:space="preserve">" </w:instrText>
      </w:r>
      <w:r w:rsidR="00BF6D96">
        <w:rPr>
          <w:i/>
          <w:iCs/>
        </w:rPr>
        <w:fldChar w:fldCharType="end"/>
      </w:r>
      <w:r w:rsidR="006746D7" w:rsidRPr="00273106">
        <w:rPr>
          <w:iCs/>
        </w:rPr>
        <w:t xml:space="preserve">, která měla vést třetí etapu dějin </w:t>
      </w:r>
      <w:r w:rsidR="083D07C3">
        <w:rPr>
          <w:iCs/>
        </w:rPr>
        <w:t>lidstva podle Ducha svatého</w:t>
      </w:r>
      <w:r w:rsidR="000E510D" w:rsidRPr="00273106">
        <w:t xml:space="preserve">. </w:t>
      </w:r>
      <w:r w:rsidR="00B32D3A" w:rsidRPr="00273106">
        <w:t xml:space="preserve">Fioreho </w:t>
      </w:r>
      <w:r w:rsidR="00B32D3A">
        <w:t xml:space="preserve">a Gerhardovu </w:t>
      </w:r>
      <w:r w:rsidR="00B32D3A" w:rsidRPr="00273106">
        <w:t xml:space="preserve">říši Ducha svatého realizovali </w:t>
      </w:r>
      <w:r w:rsidR="08593B93">
        <w:t>akademičtí ilumináti Oxf</w:t>
      </w:r>
      <w:r w:rsidR="00B32D3A">
        <w:t>o</w:t>
      </w:r>
      <w:r w:rsidR="08593B93">
        <w:t>r</w:t>
      </w:r>
      <w:r w:rsidR="00B32D3A">
        <w:t>du a Paříže p</w:t>
      </w:r>
      <w:r w:rsidR="00AB1AA1" w:rsidRPr="00273106">
        <w:t xml:space="preserve">ro </w:t>
      </w:r>
      <w:r w:rsidR="00B32D3A">
        <w:t>celý latinský Západ tím, že zavedli</w:t>
      </w:r>
      <w:r w:rsidR="00756DB8">
        <w:t xml:space="preserve"> do metafyziky novou logiku a do vědy objektivní pojetí kauzality</w:t>
      </w:r>
      <w:r w:rsidR="00B32D3A">
        <w:t xml:space="preserve">. Objektivita </w:t>
      </w:r>
      <w:r w:rsidR="00AB1AA1">
        <w:t>se stal</w:t>
      </w:r>
      <w:r w:rsidR="00B32D3A">
        <w:t>a</w:t>
      </w:r>
      <w:r w:rsidR="00AB1AA1">
        <w:t xml:space="preserve"> </w:t>
      </w:r>
      <w:r w:rsidR="00B32D3A">
        <w:t xml:space="preserve">novým </w:t>
      </w:r>
      <w:r w:rsidR="00AB1AA1">
        <w:t>evangeliem moderny věčně mladé tímto vizionářským duchem</w:t>
      </w:r>
      <w:r w:rsidR="002C7F63">
        <w:fldChar w:fldCharType="begin"/>
      </w:r>
      <w:r w:rsidR="002C7F63">
        <w:instrText xml:space="preserve"> XE "</w:instrText>
      </w:r>
      <w:r w:rsidR="002C7F63" w:rsidRPr="00796EEA">
        <w:instrText>objektivita:moderní ilumináti</w:instrText>
      </w:r>
      <w:r w:rsidR="002C7F63">
        <w:instrText xml:space="preserve">" </w:instrText>
      </w:r>
      <w:r w:rsidR="002C7F63">
        <w:fldChar w:fldCharType="end"/>
      </w:r>
      <w:r w:rsidR="002C3052">
        <w:t xml:space="preserve">. </w:t>
      </w:r>
      <w:r w:rsidR="00513440">
        <w:t xml:space="preserve">Spekulativní, scientistickou a </w:t>
      </w:r>
      <w:r w:rsidR="007B3987">
        <w:t xml:space="preserve">ideologickou podobu této </w:t>
      </w:r>
      <w:r w:rsidR="002C3052" w:rsidRPr="00273106">
        <w:rPr>
          <w:i/>
          <w:iCs/>
        </w:rPr>
        <w:t>intelligentia spiritualis</w:t>
      </w:r>
      <w:r w:rsidR="005243E9">
        <w:rPr>
          <w:iCs/>
        </w:rPr>
        <w:t xml:space="preserve"> v postmoderně</w:t>
      </w:r>
      <w:r w:rsidR="002C3052">
        <w:rPr>
          <w:iCs/>
        </w:rPr>
        <w:t xml:space="preserve"> </w:t>
      </w:r>
      <w:r w:rsidR="00AB1AA1">
        <w:t xml:space="preserve">19. století </w:t>
      </w:r>
      <w:r w:rsidR="001F10CB">
        <w:rPr>
          <w:iCs/>
        </w:rPr>
        <w:t xml:space="preserve">vytvořil </w:t>
      </w:r>
      <w:r w:rsidR="00A9619C">
        <w:t xml:space="preserve">absolutně objektivní </w:t>
      </w:r>
      <w:r w:rsidR="005F178F">
        <w:t xml:space="preserve">filosof </w:t>
      </w:r>
      <w:r w:rsidR="00AB1AA1">
        <w:t xml:space="preserve">Hegel, pozitivistický </w:t>
      </w:r>
      <w:r w:rsidR="005F178F">
        <w:t xml:space="preserve">scientista </w:t>
      </w:r>
      <w:r w:rsidR="005243E9">
        <w:t xml:space="preserve">Comte a </w:t>
      </w:r>
      <w:r w:rsidR="00866D3F">
        <w:t xml:space="preserve">kritický </w:t>
      </w:r>
      <w:r w:rsidR="005F178F">
        <w:t xml:space="preserve">politický ekonom </w:t>
      </w:r>
      <w:r w:rsidR="00AB1AA1">
        <w:t>Marx</w:t>
      </w:r>
      <w:r w:rsidR="00681E24">
        <w:rPr>
          <w:szCs w:val="24"/>
        </w:rPr>
        <w:fldChar w:fldCharType="begin"/>
      </w:r>
      <w:r w:rsidR="00681E24">
        <w:instrText xml:space="preserve"> XE "</w:instrText>
      </w:r>
      <w:r w:rsidR="00681E24" w:rsidRPr="00785138">
        <w:instrText>Marx, K.</w:instrText>
      </w:r>
      <w:r w:rsidR="00681E24">
        <w:instrText xml:space="preserve">" </w:instrText>
      </w:r>
      <w:r w:rsidR="00681E24">
        <w:rPr>
          <w:szCs w:val="24"/>
        </w:rPr>
        <w:fldChar w:fldCharType="end"/>
      </w:r>
      <w:r w:rsidR="00AB1AA1" w:rsidRPr="00273106">
        <w:t xml:space="preserve">. </w:t>
      </w:r>
      <w:r w:rsidR="00455E31">
        <w:t xml:space="preserve">Současná </w:t>
      </w:r>
      <w:r w:rsidR="00455E31" w:rsidRPr="00273106">
        <w:rPr>
          <w:i/>
          <w:iCs/>
        </w:rPr>
        <w:t>intelligentia spiritualis</w:t>
      </w:r>
      <w:r w:rsidR="006953EC">
        <w:rPr>
          <w:i/>
          <w:iCs/>
        </w:rPr>
        <w:fldChar w:fldCharType="begin"/>
      </w:r>
      <w:r w:rsidR="006953EC">
        <w:instrText xml:space="preserve"> XE "</w:instrText>
      </w:r>
      <w:r w:rsidR="006953EC" w:rsidRPr="003A2C26">
        <w:rPr>
          <w:i/>
          <w:iCs/>
        </w:rPr>
        <w:instrText>intelligentia spiritualis</w:instrText>
      </w:r>
      <w:r w:rsidR="006953EC">
        <w:instrText xml:space="preserve">" </w:instrText>
      </w:r>
      <w:r w:rsidR="006953EC">
        <w:rPr>
          <w:i/>
          <w:iCs/>
        </w:rPr>
        <w:fldChar w:fldCharType="end"/>
      </w:r>
      <w:r w:rsidR="00455E31" w:rsidRPr="00273106">
        <w:t xml:space="preserve"> na sebe vzala formu analytické filosofie ve stylu formálních onto</w:t>
      </w:r>
      <w:r w:rsidR="00455E31" w:rsidRPr="00273106">
        <w:noBreakHyphen/>
        <w:t xml:space="preserve">teo-logiků a jejich </w:t>
      </w:r>
      <w:r w:rsidR="00455E31">
        <w:t xml:space="preserve">anglo-saských </w:t>
      </w:r>
      <w:r w:rsidR="00455E31" w:rsidRPr="00273106">
        <w:t xml:space="preserve">konceptů typu </w:t>
      </w:r>
      <w:r w:rsidR="00455E31" w:rsidRPr="00273106">
        <w:rPr>
          <w:i/>
        </w:rPr>
        <w:t>Reformed Epistemology</w:t>
      </w:r>
      <w:r w:rsidR="08504EA7">
        <w:rPr>
          <w:i/>
        </w:rPr>
        <w:fldChar w:fldCharType="begin"/>
      </w:r>
      <w:r w:rsidR="08504EA7">
        <w:instrText xml:space="preserve"> XE "</w:instrText>
      </w:r>
      <w:r w:rsidR="08504EA7" w:rsidRPr="08822337">
        <w:rPr>
          <w:i/>
        </w:rPr>
        <w:instrText>Reformed Epistemology</w:instrText>
      </w:r>
      <w:r w:rsidR="08504EA7">
        <w:instrText xml:space="preserve">" </w:instrText>
      </w:r>
      <w:r w:rsidR="08504EA7">
        <w:rPr>
          <w:i/>
        </w:rPr>
        <w:fldChar w:fldCharType="end"/>
      </w:r>
      <w:r w:rsidR="00455E31">
        <w:t xml:space="preserve">, které </w:t>
      </w:r>
      <w:r w:rsidR="08802B22">
        <w:t xml:space="preserve">inovovaly </w:t>
      </w:r>
      <w:r w:rsidR="00455E31">
        <w:t xml:space="preserve">myšlení </w:t>
      </w:r>
      <w:r w:rsidR="00455E31" w:rsidRPr="00397F3F">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2C7F63">
        <w:instrText>:</w:instrText>
      </w:r>
      <w:r w:rsidR="002C7F63" w:rsidRPr="002C7F63">
        <w:instrText>postmoderna</w:instrText>
      </w:r>
      <w:r w:rsidR="00924399">
        <w:instrText xml:space="preserve">" </w:instrText>
      </w:r>
      <w:r w:rsidR="00924399">
        <w:rPr>
          <w:i/>
        </w:rPr>
        <w:fldChar w:fldCharType="end"/>
      </w:r>
      <w:r w:rsidR="00455E31">
        <w:t xml:space="preserve"> ve věku metafyzického nihilismu</w:t>
      </w:r>
      <w:r w:rsidR="00455E31" w:rsidRPr="00273106">
        <w:t>.</w:t>
      </w:r>
      <w:r w:rsidR="08F3688A">
        <w:t xml:space="preserve"> Postmoderní ilumináti všeho druhu </w:t>
      </w:r>
      <w:r w:rsidR="08F3688A" w:rsidRPr="00273106">
        <w:t>jsou duchovními d</w:t>
      </w:r>
      <w:r w:rsidR="08F3688A">
        <w:t>ětmi prvních škol modernistů vzniklých v letech 1230‒40. Tito akademičtí ilumináti na Oxfordu pohrdali „heretikem“ Aristotelem a jeho metafyzikou a tím vytvořili</w:t>
      </w:r>
      <w:r w:rsidR="08F3688A" w:rsidRPr="00273106">
        <w:t xml:space="preserve"> </w:t>
      </w:r>
      <w:r w:rsidR="08F3688A">
        <w:t>intelektuální prostředí produkující další for</w:t>
      </w:r>
      <w:r w:rsidR="08F3688A" w:rsidRPr="00273106">
        <w:t>m</w:t>
      </w:r>
      <w:r w:rsidR="08F3688A">
        <w:t>y</w:t>
      </w:r>
      <w:r w:rsidR="08F3688A" w:rsidRPr="00273106">
        <w:t xml:space="preserve"> jsoucna třetího druhu. </w:t>
      </w:r>
      <w:r w:rsidR="0029320F">
        <w:t>Jejich intel</w:t>
      </w:r>
      <w:r w:rsidR="00961BA7">
        <w:t xml:space="preserve">ektuálním nástupcem na kontinentě se stal v další generaci </w:t>
      </w:r>
      <w:r w:rsidR="08793EE6">
        <w:t>Petrus Olivi</w:t>
      </w:r>
      <w:r w:rsidR="08793EE6">
        <w:fldChar w:fldCharType="begin"/>
      </w:r>
      <w:r w:rsidR="08793EE6">
        <w:instrText xml:space="preserve"> XE "</w:instrText>
      </w:r>
      <w:r w:rsidR="08793EE6" w:rsidRPr="00D23AFF">
        <w:instrText xml:space="preserve">Olivi, Petrus:viz </w:instrText>
      </w:r>
      <w:r w:rsidR="08793EE6" w:rsidRPr="00BC2471">
        <w:rPr>
          <w:i/>
        </w:rPr>
        <w:instrText>Index locorum</w:instrText>
      </w:r>
      <w:r w:rsidR="08793EE6">
        <w:instrText xml:space="preserve">" </w:instrText>
      </w:r>
      <w:r w:rsidR="08793EE6">
        <w:fldChar w:fldCharType="end"/>
      </w:r>
      <w:r w:rsidR="08793EE6">
        <w:t>,</w:t>
      </w:r>
      <w:r w:rsidR="080D6FF9">
        <w:t xml:space="preserve"> </w:t>
      </w:r>
      <w:r w:rsidR="083A1BE6">
        <w:t xml:space="preserve">františkán, </w:t>
      </w:r>
      <w:r w:rsidR="08793EE6">
        <w:t xml:space="preserve">mystik </w:t>
      </w:r>
      <w:r w:rsidR="083A1BE6">
        <w:t xml:space="preserve">a zakladatel kapitalismu </w:t>
      </w:r>
      <w:r w:rsidR="00961BA7">
        <w:t>(</w:t>
      </w:r>
      <w:r w:rsidR="0886431E">
        <w:t>OBJ III, kap. 5</w:t>
      </w:r>
      <w:r w:rsidR="00961BA7">
        <w:t xml:space="preserve">.1.1). </w:t>
      </w:r>
      <w:r w:rsidR="006C08C4">
        <w:t>Oxfordský Rufus a pařížský Bonaventura v další generaci vytvořili mytopetický aristotelismus jedné moderní pravdy napojený na Bibli, který odmítli magistři na Rue du Fouarre v prohlášení z roku 1272</w:t>
      </w:r>
      <w:r w:rsidR="006C08C4">
        <w:fldChar w:fldCharType="begin"/>
      </w:r>
      <w:r w:rsidR="006C08C4">
        <w:instrText xml:space="preserve"> XE "</w:instrText>
      </w:r>
      <w:r w:rsidR="006C08C4" w:rsidRPr="08C05D68">
        <w:instrText>prohlášení 1272</w:instrText>
      </w:r>
      <w:r w:rsidR="006C08C4">
        <w:instrText xml:space="preserve">" </w:instrText>
      </w:r>
      <w:r w:rsidR="006C08C4">
        <w:fldChar w:fldCharType="end"/>
      </w:r>
      <w:r w:rsidR="006C08C4">
        <w:t>. První m</w:t>
      </w:r>
      <w:r w:rsidR="006C08C4" w:rsidRPr="00273106">
        <w:t xml:space="preserve">odernisté </w:t>
      </w:r>
      <w:r w:rsidR="006C08C4">
        <w:t xml:space="preserve">v Oxfordu </w:t>
      </w:r>
      <w:r w:rsidR="006C08C4" w:rsidRPr="00273106">
        <w:t>udělali z Aristotela křesťana, aby je</w:t>
      </w:r>
      <w:r w:rsidR="006C08C4">
        <w:t xml:space="preserve">j mohli odsoudit jako heretika, což od 1250 provedou jejich pařížští nástupci s Averroesem. </w:t>
      </w:r>
      <w:r w:rsidR="005A5F26" w:rsidRPr="00273106">
        <w:t>Grosseteste</w:t>
      </w:r>
      <w:r w:rsidR="005A5F26" w:rsidRPr="00273106">
        <w:rPr>
          <w:i/>
          <w:szCs w:val="12"/>
        </w:rPr>
        <w:t xml:space="preserve"> </w:t>
      </w:r>
      <w:r w:rsidR="002E091D">
        <w:rPr>
          <w:szCs w:val="12"/>
        </w:rPr>
        <w:t xml:space="preserve">polemikou </w:t>
      </w:r>
      <w:r w:rsidR="005A5F26" w:rsidRPr="00273106">
        <w:rPr>
          <w:i/>
        </w:rPr>
        <w:t>contra quosdam modernos</w:t>
      </w:r>
      <w:r w:rsidR="005A5F26" w:rsidRPr="00273106">
        <w:t xml:space="preserve"> </w:t>
      </w:r>
      <w:r w:rsidR="005A5F26" w:rsidRPr="00273106">
        <w:rPr>
          <w:szCs w:val="12"/>
        </w:rPr>
        <w:t xml:space="preserve">v díle </w:t>
      </w:r>
      <w:r w:rsidR="005A5F26" w:rsidRPr="00273106">
        <w:rPr>
          <w:i/>
          <w:szCs w:val="12"/>
        </w:rPr>
        <w:t>Hexaëmeron</w:t>
      </w:r>
      <w:r w:rsidR="005A5F26" w:rsidRPr="00273106">
        <w:t xml:space="preserve"> (</w:t>
      </w:r>
      <w:r w:rsidR="08E962F4">
        <w:t xml:space="preserve">asi </w:t>
      </w:r>
      <w:r w:rsidR="005A5F26" w:rsidRPr="00273106">
        <w:t xml:space="preserve">1235) odsoudil útok </w:t>
      </w:r>
      <w:r w:rsidR="00C70431">
        <w:t xml:space="preserve">těchto </w:t>
      </w:r>
      <w:r w:rsidR="005A5F26" w:rsidRPr="00273106">
        <w:t>modernistů proti Aristotelovi</w:t>
      </w:r>
      <w:r w:rsidR="00B616FF">
        <w:fldChar w:fldCharType="begin"/>
      </w:r>
      <w:r w:rsidR="00B616FF">
        <w:instrText xml:space="preserve"> XE "</w:instrText>
      </w:r>
      <w:r w:rsidR="00B616FF" w:rsidRPr="00124ACC">
        <w:instrText>druhý averroismus:kritika Aristotela</w:instrText>
      </w:r>
      <w:r w:rsidR="00B616FF">
        <w:instrText xml:space="preserve">" </w:instrText>
      </w:r>
      <w:r w:rsidR="00B616FF">
        <w:fldChar w:fldCharType="end"/>
      </w:r>
      <w:r w:rsidR="005A5F26" w:rsidRPr="00273106">
        <w:t xml:space="preserve">. </w:t>
      </w:r>
      <w:r w:rsidR="08AD371E">
        <w:t xml:space="preserve">Citát ukazuje původní </w:t>
      </w:r>
      <w:r w:rsidR="08AD371E" w:rsidRPr="08AD371E">
        <w:rPr>
          <w:i/>
        </w:rPr>
        <w:t>Lichtung</w:t>
      </w:r>
      <w:r w:rsidR="08AD371E">
        <w:t xml:space="preserve"> nauky o jedné pravdě, kterou zná postmoderna v modu </w:t>
      </w:r>
      <w:r w:rsidR="08AD371E" w:rsidRPr="08AD371E">
        <w:rPr>
          <w:i/>
        </w:rPr>
        <w:t>Unified Science</w:t>
      </w:r>
      <w:r w:rsidR="08AD371E">
        <w:rPr>
          <w:i/>
        </w:rPr>
        <w:fldChar w:fldCharType="begin"/>
      </w:r>
      <w:r w:rsidR="08AD371E">
        <w:instrText xml:space="preserve"> XE "</w:instrText>
      </w:r>
      <w:r w:rsidR="08AD371E" w:rsidRPr="08736674">
        <w:rPr>
          <w:i/>
        </w:rPr>
        <w:instrText>Unified Science</w:instrText>
      </w:r>
      <w:r w:rsidR="08AD371E">
        <w:instrText xml:space="preserve">" </w:instrText>
      </w:r>
      <w:r w:rsidR="08AD371E">
        <w:rPr>
          <w:i/>
        </w:rPr>
        <w:fldChar w:fldCharType="end"/>
      </w:r>
      <w:r w:rsidR="08AD371E">
        <w:t>.</w:t>
      </w:r>
    </w:p>
    <w:p w14:paraId="1FA93748" w14:textId="77777777" w:rsidR="005A5F26" w:rsidRPr="00273106" w:rsidRDefault="005A5F26" w:rsidP="005A5F26">
      <w:pPr>
        <w:pStyle w:val="Citace"/>
        <w:rPr>
          <w:noProof/>
          <w:lang w:val="cs-CZ"/>
        </w:rPr>
      </w:pPr>
      <w:r w:rsidRPr="00273106">
        <w:rPr>
          <w:noProof/>
          <w:lang w:val="cs-CZ"/>
        </w:rPr>
        <w:t>„Toto přidáváme proti těm současníkům</w:t>
      </w:r>
      <w:r w:rsidR="08910A77">
        <w:rPr>
          <w:noProof/>
          <w:lang w:val="cs-CZ"/>
        </w:rPr>
        <w:t xml:space="preserve"> (</w:t>
      </w:r>
      <w:r w:rsidR="08910A77" w:rsidRPr="08910A77">
        <w:rPr>
          <w:i/>
        </w:rPr>
        <w:t>contra quosdam modernos</w:t>
      </w:r>
      <w:r w:rsidR="08910A77">
        <w:rPr>
          <w:noProof/>
          <w:lang w:val="cs-CZ"/>
        </w:rPr>
        <w:t>)</w:t>
      </w:r>
      <w:r w:rsidRPr="00273106">
        <w:rPr>
          <w:noProof/>
          <w:lang w:val="cs-CZ"/>
        </w:rPr>
        <w:t>, kteří brojí proti Aristotelovi a proti jeho vykladačům a dokonce i proti vykladačům z řad křesťanských světců. Udělali z Aristotela křesťanského odpadlíka</w:t>
      </w:r>
      <w:r w:rsidR="081B2BDC">
        <w:rPr>
          <w:noProof/>
          <w:lang w:val="cs-CZ"/>
        </w:rPr>
        <w:t xml:space="preserve"> a v</w:t>
      </w:r>
      <w:r w:rsidRPr="00273106">
        <w:rPr>
          <w:noProof/>
          <w:lang w:val="cs-CZ"/>
        </w:rPr>
        <w:t xml:space="preserve">e své </w:t>
      </w:r>
      <w:r w:rsidR="00AA6D5B">
        <w:rPr>
          <w:noProof/>
          <w:lang w:val="cs-CZ"/>
        </w:rPr>
        <w:t>po</w:t>
      </w:r>
      <w:r w:rsidRPr="00273106">
        <w:rPr>
          <w:noProof/>
          <w:lang w:val="cs-CZ"/>
        </w:rPr>
        <w:t xml:space="preserve">divuhodné slepotě a nadutosti </w:t>
      </w:r>
      <w:r w:rsidR="007A25A7">
        <w:rPr>
          <w:noProof/>
          <w:lang w:val="cs-CZ"/>
        </w:rPr>
        <w:t>(</w:t>
      </w:r>
      <w:r w:rsidR="007A25A7" w:rsidRPr="007A25A7">
        <w:rPr>
          <w:i/>
        </w:rPr>
        <w:t>mira cecitate et presumcione</w:t>
      </w:r>
      <w:r w:rsidR="007A25A7">
        <w:rPr>
          <w:noProof/>
          <w:lang w:val="cs-CZ"/>
        </w:rPr>
        <w:t xml:space="preserve">) </w:t>
      </w:r>
      <w:r w:rsidRPr="00273106">
        <w:rPr>
          <w:noProof/>
          <w:lang w:val="cs-CZ"/>
        </w:rPr>
        <w:t xml:space="preserve">se </w:t>
      </w:r>
      <w:r w:rsidRPr="00273106">
        <w:rPr>
          <w:noProof/>
          <w:lang w:val="cs-CZ"/>
        </w:rPr>
        <w:lastRenderedPageBreak/>
        <w:t>domnívali, že Aristotela vyloží lépe a pravdivěji z nejasných latinských překladů, než klasičtí filosofové jak pohanští, tak i křesťanští, kteří znali jeho nepoškozená díla v řeckém originále. Dělají ze sebe blázny</w:t>
      </w:r>
      <w:r w:rsidR="00F838FC">
        <w:rPr>
          <w:noProof/>
          <w:lang w:val="cs-CZ"/>
        </w:rPr>
        <w:t xml:space="preserve"> a marně se snaží, aby udělali z </w:t>
      </w:r>
      <w:r w:rsidRPr="00273106">
        <w:rPr>
          <w:noProof/>
          <w:lang w:val="cs-CZ"/>
        </w:rPr>
        <w:t xml:space="preserve">Aristotela </w:t>
      </w:r>
      <w:r w:rsidR="005459BC">
        <w:rPr>
          <w:noProof/>
          <w:lang w:val="cs-CZ"/>
        </w:rPr>
        <w:t>křesťana. T</w:t>
      </w:r>
      <w:r w:rsidRPr="00273106">
        <w:rPr>
          <w:noProof/>
          <w:lang w:val="cs-CZ"/>
        </w:rPr>
        <w:t>ak nesmyslně m</w:t>
      </w:r>
      <w:r w:rsidR="00F838FC">
        <w:rPr>
          <w:noProof/>
          <w:lang w:val="cs-CZ"/>
        </w:rPr>
        <w:t>aří</w:t>
      </w:r>
      <w:r w:rsidRPr="00273106">
        <w:rPr>
          <w:noProof/>
          <w:lang w:val="cs-CZ"/>
        </w:rPr>
        <w:t xml:space="preserve"> čas svůj, i druhých vzdělanců. Tím, že z Aristotela dělají křesťana, sami se stávají heretiky.“ </w:t>
      </w:r>
      <w:bookmarkStart w:id="106" w:name="_Ref407962046"/>
      <w:r w:rsidRPr="00273106">
        <w:rPr>
          <w:rStyle w:val="Znakapoznpodarou"/>
          <w:noProof/>
          <w:szCs w:val="15"/>
          <w:lang w:val="cs-CZ"/>
        </w:rPr>
        <w:footnoteReference w:id="330"/>
      </w:r>
      <w:bookmarkEnd w:id="106"/>
      <w:r w:rsidRPr="00273106">
        <w:rPr>
          <w:noProof/>
          <w:lang w:val="cs-CZ"/>
        </w:rPr>
        <w:t xml:space="preserve"> </w:t>
      </w:r>
    </w:p>
    <w:p w14:paraId="39BA7B68" w14:textId="05BC5023" w:rsidR="00CC43BC" w:rsidRPr="00273106" w:rsidRDefault="08AD371E" w:rsidP="00CC43BC">
      <w:r>
        <w:t xml:space="preserve">Kritika </w:t>
      </w:r>
      <w:r w:rsidR="005A5F26" w:rsidRPr="00273106">
        <w:t>odsoudil</w:t>
      </w:r>
      <w:r>
        <w:t>a</w:t>
      </w:r>
      <w:r w:rsidR="005A5F26" w:rsidRPr="00273106">
        <w:t xml:space="preserve"> útok současníků na Aristotela jako sofististiku a naprostou demagogii</w:t>
      </w:r>
      <w:r w:rsidR="081B2BDC">
        <w:t xml:space="preserve"> a zároveň odmítl</w:t>
      </w:r>
      <w:r>
        <w:t>a</w:t>
      </w:r>
      <w:r w:rsidR="081B2BDC">
        <w:t xml:space="preserve"> i pokusy o napojení </w:t>
      </w:r>
      <w:r>
        <w:t xml:space="preserve">Filosofa </w:t>
      </w:r>
      <w:r w:rsidR="081B2BDC">
        <w:t>na křesťanskou teologii</w:t>
      </w:r>
      <w:r w:rsidR="005A5F26" w:rsidRPr="00273106">
        <w:t xml:space="preserve">. </w:t>
      </w:r>
      <w:r w:rsidR="081B2BDC">
        <w:t>Grossteteste zno</w:t>
      </w:r>
      <w:r w:rsidR="088B66EA">
        <w:t>v</w:t>
      </w:r>
      <w:r w:rsidR="081B2BDC">
        <w:t>u potvrdil svou příslušnost k Blundově škole, která respektoval</w:t>
      </w:r>
      <w:r w:rsidR="088B66EA">
        <w:t>a r</w:t>
      </w:r>
      <w:r w:rsidR="081B2BDC">
        <w:t>o</w:t>
      </w:r>
      <w:r w:rsidR="088B66EA">
        <w:t>d</w:t>
      </w:r>
      <w:r w:rsidR="081B2BDC">
        <w:t>o</w:t>
      </w:r>
      <w:r w:rsidR="088B66EA">
        <w:t>v</w:t>
      </w:r>
      <w:r w:rsidR="081B2BDC">
        <w:t>é rozlišení teologi</w:t>
      </w:r>
      <w:r w:rsidR="088B66EA">
        <w:t>e</w:t>
      </w:r>
      <w:r w:rsidR="081B2BDC">
        <w:t xml:space="preserve"> a filosofie. </w:t>
      </w:r>
      <w:r w:rsidR="005A5F26" w:rsidRPr="00273106">
        <w:t xml:space="preserve">Grosseteste byl kritický filosof stejně jako </w:t>
      </w:r>
      <w:r w:rsidR="00EE1B2D">
        <w:t xml:space="preserve">jeho oxfordský nástupce </w:t>
      </w:r>
      <w:r w:rsidR="005A5F26" w:rsidRPr="00273106">
        <w:t>Bacon</w:t>
      </w:r>
      <w:r w:rsidR="006D1459">
        <w:t xml:space="preserve">, proto </w:t>
      </w:r>
      <w:r w:rsidR="005A5F26" w:rsidRPr="00273106">
        <w:t xml:space="preserve">nemohl připustit </w:t>
      </w:r>
      <w:r w:rsidR="00104EEC">
        <w:t xml:space="preserve">v otázce poznání </w:t>
      </w:r>
      <w:r w:rsidR="006D1459">
        <w:t xml:space="preserve">sofistický </w:t>
      </w:r>
      <w:r w:rsidR="00673AFD">
        <w:t>synkretismus, který nap</w:t>
      </w:r>
      <w:r w:rsidR="00104EEC">
        <w:t>a</w:t>
      </w:r>
      <w:r w:rsidR="00673AFD">
        <w:t xml:space="preserve">dl samotné principy </w:t>
      </w:r>
      <w:r w:rsidR="00104EEC">
        <w:t>aristotelismu</w:t>
      </w:r>
      <w:r w:rsidR="005A5F26" w:rsidRPr="00273106">
        <w:t xml:space="preserve">. </w:t>
      </w:r>
      <w:r w:rsidR="003C6774">
        <w:t xml:space="preserve">V době psaní této polemiky </w:t>
      </w:r>
      <w:r w:rsidR="003C6774" w:rsidRPr="00273106">
        <w:t xml:space="preserve">kolem </w:t>
      </w:r>
      <w:r w:rsidR="003C6774">
        <w:t xml:space="preserve">roku </w:t>
      </w:r>
      <w:r w:rsidR="003C6774" w:rsidRPr="00273106">
        <w:t xml:space="preserve">1235 </w:t>
      </w:r>
      <w:r w:rsidR="003C6774">
        <w:t xml:space="preserve">už měl před sebou </w:t>
      </w:r>
      <w:r w:rsidR="002E3B62">
        <w:t>Averroes</w:t>
      </w:r>
      <w:r w:rsidR="005A5F26" w:rsidRPr="00273106">
        <w:t xml:space="preserve">ovy komentáře </w:t>
      </w:r>
      <w:r w:rsidR="003C6774">
        <w:t xml:space="preserve">v podání Toledské a Sicilské školy </w:t>
      </w:r>
      <w:r w:rsidR="005A5F26" w:rsidRPr="00273106">
        <w:t xml:space="preserve">a uměl řecky, takže znal i antické komentáře Aristotela. </w:t>
      </w:r>
      <w:r w:rsidR="000866BC">
        <w:t>Jak dále uvidíme, c</w:t>
      </w:r>
      <w:r w:rsidR="005A5F26" w:rsidRPr="00273106">
        <w:t xml:space="preserve">itovaná věta Grossetesteho </w:t>
      </w:r>
      <w:r w:rsidR="084F12D0" w:rsidRPr="00273106">
        <w:t xml:space="preserve">proti současníkům, kteří brojí proti Aristotelovi </w:t>
      </w:r>
      <w:r w:rsidR="084F12D0">
        <w:t>(</w:t>
      </w:r>
      <w:r w:rsidR="005A5F26" w:rsidRPr="00273106">
        <w:rPr>
          <w:i/>
        </w:rPr>
        <w:t>contra ipsum Aristotilem et suos expositores</w:t>
      </w:r>
      <w:r w:rsidR="084F12D0">
        <w:t>)</w:t>
      </w:r>
      <w:r w:rsidR="005A5F26" w:rsidRPr="00273106">
        <w:t xml:space="preserve"> se může týkat Rufusova díla </w:t>
      </w:r>
      <w:r w:rsidR="005A5F26" w:rsidRPr="00273106">
        <w:rPr>
          <w:i/>
        </w:rPr>
        <w:t>Contra Averroem</w:t>
      </w:r>
      <w:r w:rsidR="005A5F26" w:rsidRPr="00273106">
        <w:t xml:space="preserve"> (asi 1236).</w:t>
      </w:r>
      <w:r w:rsidR="000866BC">
        <w:t xml:space="preserve"> V těcht</w:t>
      </w:r>
      <w:r w:rsidR="08DA00FC">
        <w:t>o kruzích inspirovaných augustini</w:t>
      </w:r>
      <w:r w:rsidR="000866BC">
        <w:t xml:space="preserve">ánským </w:t>
      </w:r>
      <w:r w:rsidR="00FE46E7">
        <w:t>avicennismem vzniklo nové pojetí</w:t>
      </w:r>
      <w:r w:rsidR="000866BC">
        <w:t xml:space="preserve"> jsoucna třetího druhu</w:t>
      </w:r>
      <w:r w:rsidR="08DA00FC">
        <w:t>. G</w:t>
      </w:r>
      <w:r w:rsidR="000866BC">
        <w:t xml:space="preserve">rosseteste </w:t>
      </w:r>
      <w:r w:rsidR="08DA00FC">
        <w:t xml:space="preserve">sice </w:t>
      </w:r>
      <w:r w:rsidR="000866BC">
        <w:t>zavedl</w:t>
      </w:r>
      <w:r w:rsidR="08DA00FC">
        <w:t xml:space="preserve"> první náhled do tohoto porretánského jsoucna</w:t>
      </w:r>
      <w:r w:rsidR="000866BC">
        <w:t xml:space="preserve">, ale stále jej </w:t>
      </w:r>
      <w:r w:rsidR="00E90AAA">
        <w:t xml:space="preserve">držel </w:t>
      </w:r>
      <w:r w:rsidR="00DF048A">
        <w:t xml:space="preserve">v modu </w:t>
      </w:r>
      <w:r w:rsidR="00E90AAA">
        <w:rPr>
          <w:i/>
        </w:rPr>
        <w:t>aliquantulum o</w:t>
      </w:r>
      <w:r w:rsidR="000866BC" w:rsidRPr="00E90AAA">
        <w:rPr>
          <w:i/>
        </w:rPr>
        <w:t>bscura</w:t>
      </w:r>
      <w:r w:rsidR="00DA0D5F">
        <w:fldChar w:fldCharType="begin"/>
      </w:r>
      <w:r w:rsidR="00DA0D5F">
        <w:instrText xml:space="preserve"> XE "</w:instrText>
      </w:r>
      <w:r w:rsidR="00DA0D5F" w:rsidRPr="00451690">
        <w:instrText>zatmění:substance</w:instrText>
      </w:r>
      <w:r w:rsidR="00DA0D5F">
        <w:instrText xml:space="preserve">" </w:instrText>
      </w:r>
      <w:r w:rsidR="00DA0D5F">
        <w:fldChar w:fldCharType="end"/>
      </w:r>
      <w:r w:rsidR="000866BC">
        <w:t>, tedy v rámci aristotelské metafyziky</w:t>
      </w:r>
      <w:r w:rsidR="00DF048A">
        <w:t xml:space="preserve"> dané Komentátorem</w:t>
      </w:r>
      <w:r w:rsidR="000866BC">
        <w:t xml:space="preserve">. Jeho následovníci </w:t>
      </w:r>
      <w:r w:rsidR="00E90AAA">
        <w:t xml:space="preserve">na Oxfordu a v Paříži </w:t>
      </w:r>
      <w:r w:rsidR="000866BC">
        <w:t xml:space="preserve">už měli ve věci jasno. </w:t>
      </w:r>
      <w:r w:rsidR="08560A01">
        <w:t xml:space="preserve">Kritika je psána v době, kdy jeho žáci jako Rufus přišli na magisterská studia do Paříže. První vystoupení </w:t>
      </w:r>
      <w:r w:rsidR="082B6648">
        <w:t xml:space="preserve">františkánských </w:t>
      </w:r>
      <w:r w:rsidR="08560A01">
        <w:t>modernistů v Paříži vyvolalo zděšení ve zdejších kruzích prvního averroismu,</w:t>
      </w:r>
      <w:r w:rsidR="08A15D3D">
        <w:t xml:space="preserve"> o němž mluví Bacon (kap. 3</w:t>
      </w:r>
      <w:r w:rsidR="084C4AC6">
        <w:t>.2)</w:t>
      </w:r>
      <w:r w:rsidR="004F3496">
        <w:t>. Aristotelismus těchto neoplatoniků, porretánů a stoupenců univerzálního hylemorfismu se podobal v mnohých rysech panteistické herezi Davida z Dinantu</w:t>
      </w:r>
      <w:r w:rsidR="004F3496">
        <w:fldChar w:fldCharType="begin"/>
      </w:r>
      <w:r w:rsidR="004F3496">
        <w:instrText xml:space="preserve"> XE "</w:instrText>
      </w:r>
      <w:r w:rsidR="004F3496" w:rsidRPr="08782405">
        <w:instrText>David z Dinantu</w:instrText>
      </w:r>
      <w:r w:rsidR="004F3496">
        <w:instrText xml:space="preserve">" </w:instrText>
      </w:r>
      <w:r w:rsidR="004F3496">
        <w:fldChar w:fldCharType="end"/>
      </w:r>
      <w:r w:rsidR="004F3496">
        <w:t xml:space="preserve">. Grosseteste </w:t>
      </w:r>
      <w:r w:rsidR="08464A47">
        <w:t xml:space="preserve">se veřejně distancoval </w:t>
      </w:r>
      <w:r w:rsidR="008C0C61">
        <w:t>od těchto aristoteliků</w:t>
      </w:r>
      <w:r w:rsidR="004F3496">
        <w:t xml:space="preserve"> ve stejné době</w:t>
      </w:r>
      <w:r w:rsidR="008066EC">
        <w:t>, viz jeho i kritika</w:t>
      </w:r>
      <w:r w:rsidR="08560A01">
        <w:t xml:space="preserve">. </w:t>
      </w:r>
      <w:r w:rsidR="006B3A5B" w:rsidRPr="006B3A5B">
        <w:t xml:space="preserve">Kolem roku 1235 přežívá </w:t>
      </w:r>
      <w:r w:rsidR="006B3A5B">
        <w:t>Avicennova</w:t>
      </w:r>
      <w:r w:rsidR="006B3A5B" w:rsidRPr="00273106">
        <w:t xml:space="preserve"> minimální porce intendované jsoucnosti (</w:t>
      </w:r>
      <w:r w:rsidR="00DA101A">
        <w:rPr>
          <w:i/>
        </w:rPr>
        <w:t>hoc esse</w:t>
      </w:r>
      <w:r w:rsidR="006B3A5B" w:rsidRPr="00273106">
        <w:rPr>
          <w:i/>
        </w:rPr>
        <w:t xml:space="preserve"> tantum</w:t>
      </w:r>
      <w:r w:rsidR="006B3A5B">
        <w:rPr>
          <w:i/>
        </w:rPr>
        <w:fldChar w:fldCharType="begin"/>
      </w:r>
      <w:r w:rsidR="006B3A5B">
        <w:instrText xml:space="preserve"> XE "</w:instrText>
      </w:r>
      <w:r w:rsidR="006B3A5B">
        <w:rPr>
          <w:rStyle w:val="FontStyle129"/>
          <w:rFonts w:ascii="Calibri" w:hAnsi="Calibri"/>
          <w:i/>
          <w:sz w:val="24"/>
        </w:rPr>
        <w:instrText>esse</w:instrText>
      </w:r>
      <w:r w:rsidR="006B3A5B" w:rsidRPr="0093788F">
        <w:rPr>
          <w:rStyle w:val="FontStyle129"/>
          <w:rFonts w:ascii="Calibri" w:hAnsi="Calibri"/>
          <w:i/>
          <w:sz w:val="24"/>
        </w:rPr>
        <w:instrText xml:space="preserve"> tantum</w:instrText>
      </w:r>
      <w:r w:rsidR="006B3A5B">
        <w:instrText xml:space="preserve">" </w:instrText>
      </w:r>
      <w:r w:rsidR="006B3A5B">
        <w:rPr>
          <w:i/>
        </w:rPr>
        <w:fldChar w:fldCharType="end"/>
      </w:r>
      <w:r w:rsidR="006B3A5B" w:rsidRPr="00273106">
        <w:t xml:space="preserve">) v metafyzicko-teologickém limbu </w:t>
      </w:r>
      <w:r w:rsidR="006B3A5B" w:rsidRPr="006B3A5B">
        <w:t>podle příkladu Grosseteste</w:t>
      </w:r>
      <w:r w:rsidR="006B3A5B">
        <w:t>stova</w:t>
      </w:r>
      <w:r w:rsidR="006B3A5B" w:rsidRPr="006B3A5B">
        <w:t xml:space="preserve"> </w:t>
      </w:r>
      <w:r w:rsidR="006B3A5B" w:rsidRPr="006B3A5B">
        <w:rPr>
          <w:i/>
        </w:rPr>
        <w:t>esse incompletum</w:t>
      </w:r>
      <w:r w:rsidR="001F2B6E">
        <w:t xml:space="preserve">. Tato </w:t>
      </w:r>
      <w:r w:rsidR="007976FD">
        <w:t xml:space="preserve">skrytá forma </w:t>
      </w:r>
      <w:r w:rsidR="007976FD" w:rsidRPr="007976FD">
        <w:rPr>
          <w:i/>
          <w:color w:val="000000"/>
        </w:rPr>
        <w:t>ens obiective</w:t>
      </w:r>
      <w:r w:rsidR="00105826">
        <w:rPr>
          <w:i/>
          <w:color w:val="000000"/>
        </w:rPr>
        <w:fldChar w:fldCharType="begin"/>
      </w:r>
      <w:r w:rsidR="00105826">
        <w:instrText xml:space="preserve"> XE "</w:instrText>
      </w:r>
      <w:r w:rsidR="00105826" w:rsidRPr="000C3E13">
        <w:rPr>
          <w:i/>
          <w:color w:val="000000"/>
        </w:rPr>
        <w:instrText>ens obiective</w:instrText>
      </w:r>
      <w:r w:rsidR="00105826">
        <w:instrText xml:space="preserve">" </w:instrText>
      </w:r>
      <w:r w:rsidR="00105826">
        <w:rPr>
          <w:i/>
          <w:color w:val="000000"/>
        </w:rPr>
        <w:fldChar w:fldCharType="end"/>
      </w:r>
      <w:r w:rsidR="007976FD">
        <w:t xml:space="preserve"> bytující ve své </w:t>
      </w:r>
      <w:r w:rsidR="001F2B6E">
        <w:t xml:space="preserve">prvotní </w:t>
      </w:r>
      <w:r w:rsidR="001F2B6E" w:rsidRPr="001F2B6E">
        <w:rPr>
          <w:i/>
        </w:rPr>
        <w:t>a/létheia</w:t>
      </w:r>
      <w:r w:rsidR="006B3A5B" w:rsidRPr="006B3A5B">
        <w:t xml:space="preserve">, čeká na příchod filozofického Antikrista nebo Mesiáše, který </w:t>
      </w:r>
      <w:r w:rsidR="001F2B6E">
        <w:lastRenderedPageBreak/>
        <w:t xml:space="preserve">založí </w:t>
      </w:r>
      <w:r w:rsidR="00975130">
        <w:t>milen</w:t>
      </w:r>
      <w:r w:rsidR="008321E2">
        <w:t>ar</w:t>
      </w:r>
      <w:r w:rsidR="00975130">
        <w:t>istickou vládu o</w:t>
      </w:r>
      <w:r w:rsidR="00BE6986">
        <w:t>bjektivity</w:t>
      </w:r>
      <w:r w:rsidR="00D709DA">
        <w:t>. Hermeneutika</w:t>
      </w:r>
      <w:r w:rsidR="006777BE">
        <w:t xml:space="preserve"> objektivity </w:t>
      </w:r>
      <w:r w:rsidR="00D709DA">
        <w:t xml:space="preserve">vidí tuto </w:t>
      </w:r>
      <w:r w:rsidR="001D7E9A">
        <w:t xml:space="preserve">eschatologickou </w:t>
      </w:r>
      <w:r w:rsidR="00D709DA">
        <w:t>figur</w:t>
      </w:r>
      <w:r w:rsidR="001D7E9A">
        <w:t>u ohlašující posle</w:t>
      </w:r>
      <w:r w:rsidR="00D709DA">
        <w:t>d</w:t>
      </w:r>
      <w:r w:rsidR="001D7E9A">
        <w:t xml:space="preserve">ní </w:t>
      </w:r>
      <w:r w:rsidR="00D709DA">
        <w:t xml:space="preserve">epochu </w:t>
      </w:r>
      <w:r w:rsidR="001D7E9A">
        <w:t>(</w:t>
      </w:r>
      <w:r w:rsidR="001D7E9A" w:rsidRPr="001D7E9A">
        <w:rPr>
          <w:i/>
        </w:rPr>
        <w:t>novissimum</w:t>
      </w:r>
      <w:r w:rsidR="001D7E9A">
        <w:t xml:space="preserve">) metafyzického nihilismu </w:t>
      </w:r>
      <w:r w:rsidR="00D709DA">
        <w:t>v působení františkánského</w:t>
      </w:r>
      <w:r w:rsidR="006F4DDD">
        <w:t xml:space="preserve"> </w:t>
      </w:r>
      <w:r w:rsidR="00C45FDE">
        <w:t xml:space="preserve">myslitele </w:t>
      </w:r>
      <w:r w:rsidR="003472BE">
        <w:t>Rufus</w:t>
      </w:r>
      <w:r w:rsidR="00752A4F">
        <w:t>e</w:t>
      </w:r>
      <w:r w:rsidR="003472BE">
        <w:t xml:space="preserve"> z Cornwallu</w:t>
      </w:r>
      <w:r w:rsidR="00752A4F">
        <w:t xml:space="preserve">. Tento </w:t>
      </w:r>
      <w:r w:rsidR="08F0150E">
        <w:t xml:space="preserve">oxfordský </w:t>
      </w:r>
      <w:r w:rsidR="00752A4F">
        <w:t xml:space="preserve">magistr odmítnutý </w:t>
      </w:r>
      <w:r w:rsidR="08F0150E">
        <w:t xml:space="preserve">Alvernem a Albertem </w:t>
      </w:r>
      <w:r w:rsidR="00D709DA">
        <w:t>radika</w:t>
      </w:r>
      <w:r w:rsidR="003472BE">
        <w:t>l</w:t>
      </w:r>
      <w:r w:rsidR="00D709DA">
        <w:t xml:space="preserve">izoval </w:t>
      </w:r>
      <w:r w:rsidR="003472BE">
        <w:t>Grossetesteho</w:t>
      </w:r>
      <w:r w:rsidR="006A21E5">
        <w:t xml:space="preserve"> </w:t>
      </w:r>
      <w:r w:rsidR="00D709DA">
        <w:t xml:space="preserve">učení směrem k </w:t>
      </w:r>
      <w:r w:rsidR="00752A4F">
        <w:t xml:space="preserve">avicennovskému </w:t>
      </w:r>
      <w:r w:rsidR="00D709DA">
        <w:t>neoplatonismu</w:t>
      </w:r>
      <w:r w:rsidR="082019A6" w:rsidRPr="00273106">
        <w:t xml:space="preserve">. </w:t>
      </w:r>
    </w:p>
    <w:p w14:paraId="421D0BBD" w14:textId="5E44F045" w:rsidR="00B14EDC" w:rsidRPr="00273106" w:rsidRDefault="00C51568" w:rsidP="086C1F19">
      <w:pPr>
        <w:pStyle w:val="Nadpis3"/>
      </w:pPr>
      <w:bookmarkStart w:id="107" w:name="_Toc487234315"/>
      <w:bookmarkStart w:id="108" w:name="_Toc12558322"/>
      <w:r>
        <w:rPr>
          <w:lang w:val="cs-CZ"/>
        </w:rPr>
        <w:br w:type="page"/>
      </w:r>
      <w:bookmarkStart w:id="109" w:name="_Toc160449335"/>
      <w:r w:rsidR="08D20D28">
        <w:rPr>
          <w:lang w:val="cs-CZ"/>
        </w:rPr>
        <w:lastRenderedPageBreak/>
        <w:t>3</w:t>
      </w:r>
      <w:r w:rsidR="007211A8">
        <w:t>.1.</w:t>
      </w:r>
      <w:r w:rsidR="007211A8">
        <w:rPr>
          <w:lang w:val="cs-CZ"/>
        </w:rPr>
        <w:t>4</w:t>
      </w:r>
      <w:r w:rsidR="000A6DEC" w:rsidRPr="00273106">
        <w:t xml:space="preserve"> </w:t>
      </w:r>
      <w:r w:rsidR="007465F7">
        <w:rPr>
          <w:lang w:val="cs-CZ"/>
        </w:rPr>
        <w:t xml:space="preserve">Metafyzika </w:t>
      </w:r>
      <w:r w:rsidR="000A6DEC" w:rsidRPr="00273106">
        <w:t xml:space="preserve">objektivního </w:t>
      </w:r>
      <w:r w:rsidR="08B747E8">
        <w:t>jsoucna</w:t>
      </w:r>
      <w:bookmarkEnd w:id="107"/>
      <w:bookmarkEnd w:id="108"/>
      <w:bookmarkEnd w:id="109"/>
    </w:p>
    <w:p w14:paraId="630CA59F" w14:textId="52874F0E" w:rsidR="007F1EE5" w:rsidRDefault="00B10FA0" w:rsidP="008B5D98">
      <w:r w:rsidRPr="00B10FA0">
        <w:t xml:space="preserve">Grosseteste je prvním známým autorem, který interpretoval </w:t>
      </w:r>
      <w:r w:rsidRPr="00B10FA0">
        <w:rPr>
          <w:i/>
        </w:rPr>
        <w:t>Druhé analytiky</w:t>
      </w:r>
      <w:r w:rsidRPr="00B10FA0">
        <w:t xml:space="preserve"> a </w:t>
      </w:r>
      <w:r>
        <w:t xml:space="preserve">spis </w:t>
      </w:r>
      <w:r w:rsidRPr="00B10FA0">
        <w:rPr>
          <w:i/>
        </w:rPr>
        <w:t>Kategorie</w:t>
      </w:r>
      <w:r w:rsidRPr="00B10FA0">
        <w:t xml:space="preserve"> </w:t>
      </w:r>
      <w:r w:rsidR="00FA6C93">
        <w:t xml:space="preserve">v duchu moderního </w:t>
      </w:r>
      <w:r w:rsidRPr="00B10FA0">
        <w:t>avicenismu</w:t>
      </w:r>
      <w:r w:rsidR="00FA6C93">
        <w:t>, který se zbavil neoplatonismu</w:t>
      </w:r>
      <w:r w:rsidRPr="00B10FA0">
        <w:t>. Aristot</w:t>
      </w:r>
      <w:r>
        <w:t>elský výklad Komentátora podle T</w:t>
      </w:r>
      <w:r w:rsidRPr="00B10FA0">
        <w:t xml:space="preserve">oledské školy se stal moderní metafyzikou. Zrušení škol </w:t>
      </w:r>
      <w:r w:rsidRPr="00B10FA0">
        <w:rPr>
          <w:i/>
        </w:rPr>
        <w:t>Logica Modernorum</w:t>
      </w:r>
      <w:r w:rsidRPr="00B10FA0">
        <w:t xml:space="preserve"> přináší nepřímý důkaz velké proměny. </w:t>
      </w:r>
      <w:r w:rsidR="003C2B38" w:rsidRPr="003C2B38">
        <w:t>Když obskurn</w:t>
      </w:r>
      <w:r w:rsidR="003C2B38">
        <w:t>í problémy moderní logiky jako „</w:t>
      </w:r>
      <w:r w:rsidR="003C2B38" w:rsidRPr="003C2B38">
        <w:rPr>
          <w:i/>
        </w:rPr>
        <w:t>Dead man walking</w:t>
      </w:r>
      <w:r w:rsidR="003C2B38">
        <w:t>“</w:t>
      </w:r>
      <w:r w:rsidR="003C2B38" w:rsidRPr="003C2B38">
        <w:t xml:space="preserve"> získaly metafyzický status, vytvořila moderna první virtuální svět.</w:t>
      </w:r>
      <w:r w:rsidR="003C2B38">
        <w:t xml:space="preserve"> </w:t>
      </w:r>
      <w:r w:rsidR="08775610">
        <w:t>Metafyzicky definovaná n</w:t>
      </w:r>
      <w:r w:rsidR="000C4A20" w:rsidRPr="00273106">
        <w:t xml:space="preserve">utnost </w:t>
      </w:r>
      <w:r w:rsidR="08775610">
        <w:t xml:space="preserve">vázaná </w:t>
      </w:r>
      <w:r w:rsidR="0082017B">
        <w:t xml:space="preserve">na vztahy věcí ve světě </w:t>
      </w:r>
      <w:r w:rsidR="08775610">
        <w:t xml:space="preserve">byla </w:t>
      </w:r>
      <w:r w:rsidR="085F3B1A">
        <w:t>převed</w:t>
      </w:r>
      <w:r w:rsidR="08775610">
        <w:t xml:space="preserve">ena </w:t>
      </w:r>
      <w:r w:rsidR="000C4A20" w:rsidRPr="00273106">
        <w:t xml:space="preserve">na </w:t>
      </w:r>
      <w:r w:rsidR="00CF23E2">
        <w:t xml:space="preserve">kategoriální </w:t>
      </w:r>
      <w:r w:rsidR="085F3B1A">
        <w:t xml:space="preserve">predikaci </w:t>
      </w:r>
      <w:r w:rsidR="00CF23E2">
        <w:t xml:space="preserve">danou </w:t>
      </w:r>
      <w:r w:rsidR="0082017B">
        <w:t>v rámci logické abstrakce</w:t>
      </w:r>
      <w:r w:rsidR="000420E2" w:rsidRPr="00273106">
        <w:t xml:space="preserve">. </w:t>
      </w:r>
      <w:r w:rsidR="00FC3B71" w:rsidRPr="00273106">
        <w:t xml:space="preserve">První modernisté v Oxfordu a v Paříži vytvořili ve druhé třetině 13. století ambivalentní syntézu jsoucna </w:t>
      </w:r>
      <w:r w:rsidR="00FC3B71">
        <w:t xml:space="preserve">danou skrze univoční predikaci </w:t>
      </w:r>
      <w:r w:rsidR="00FC3B71" w:rsidRPr="00273106">
        <w:t xml:space="preserve">logického a metafyzického významu. </w:t>
      </w:r>
      <w:r w:rsidR="08C754D4">
        <w:t>P</w:t>
      </w:r>
      <w:r w:rsidR="00311119" w:rsidRPr="00273106">
        <w:t>redikace vázaná na hyparchickou predikaci první substance</w:t>
      </w:r>
      <w:r w:rsidR="00A70FA4">
        <w:fldChar w:fldCharType="begin"/>
      </w:r>
      <w:r w:rsidR="00A70FA4">
        <w:instrText xml:space="preserve"> XE "</w:instrText>
      </w:r>
      <w:r w:rsidR="00A70FA4" w:rsidRPr="00DE2A32">
        <w:instrText>substance</w:instrText>
      </w:r>
      <w:r w:rsidR="00BF6D96">
        <w:instrText>:první</w:instrText>
      </w:r>
      <w:r w:rsidR="00A70FA4">
        <w:instrText xml:space="preserve">" </w:instrText>
      </w:r>
      <w:r w:rsidR="00A70FA4">
        <w:fldChar w:fldCharType="end"/>
      </w:r>
      <w:r w:rsidR="00311119" w:rsidRPr="00273106">
        <w:t xml:space="preserve"> se přesadila do</w:t>
      </w:r>
      <w:r w:rsidR="00517F07">
        <w:t xml:space="preserve"> výrokové logiky dané absolutně pojatou supozicí</w:t>
      </w:r>
      <w:r w:rsidR="004A3B31">
        <w:t xml:space="preserve">. </w:t>
      </w:r>
      <w:r w:rsidR="00BF6D96">
        <w:fldChar w:fldCharType="begin"/>
      </w:r>
      <w:r w:rsidR="00BF6D96">
        <w:instrText xml:space="preserve"> XE "</w:instrText>
      </w:r>
      <w:r w:rsidR="00BF6D96" w:rsidRPr="009B7DDC">
        <w:instrText>supozice:logická</w:instrText>
      </w:r>
      <w:r w:rsidR="00BF6D96">
        <w:instrText xml:space="preserve">" </w:instrText>
      </w:r>
      <w:r w:rsidR="00BF6D96">
        <w:fldChar w:fldCharType="end"/>
      </w:r>
      <w:r w:rsidR="004A3B31">
        <w:t>M</w:t>
      </w:r>
      <w:r w:rsidR="008007F5">
        <w:t xml:space="preserve">oderní </w:t>
      </w:r>
      <w:r w:rsidR="00517F07">
        <w:t>impozici</w:t>
      </w:r>
      <w:r w:rsidR="004A3B31">
        <w:t xml:space="preserve"> daná</w:t>
      </w:r>
      <w:r w:rsidR="008007F5">
        <w:t xml:space="preserve"> </w:t>
      </w:r>
      <w:r w:rsidR="008007F5" w:rsidRPr="008007F5">
        <w:rPr>
          <w:i/>
        </w:rPr>
        <w:t>ex nihilo</w:t>
      </w:r>
      <w:r w:rsidR="004A3B31">
        <w:t xml:space="preserve"> zahrnuje predikaci </w:t>
      </w:r>
      <w:r w:rsidR="00517F07">
        <w:t>budoucích neurčených dějů</w:t>
      </w:r>
      <w:r w:rsidR="08C51F80">
        <w:t>. Klasická</w:t>
      </w:r>
      <w:r w:rsidR="00311119">
        <w:t xml:space="preserve"> l</w:t>
      </w:r>
      <w:r w:rsidR="08C51F80">
        <w:t>ogika</w:t>
      </w:r>
      <w:r w:rsidR="00311119" w:rsidRPr="00273106">
        <w:t xml:space="preserve"> </w:t>
      </w:r>
      <w:r w:rsidR="08C51F80">
        <w:t xml:space="preserve">byla dána </w:t>
      </w:r>
      <w:r w:rsidR="00311119" w:rsidRPr="00273106">
        <w:rPr>
          <w:i/>
        </w:rPr>
        <w:t>relative</w:t>
      </w:r>
      <w:r w:rsidR="00BF6D96">
        <w:rPr>
          <w:i/>
        </w:rPr>
        <w:fldChar w:fldCharType="begin"/>
      </w:r>
      <w:r w:rsidR="00DF1E3F">
        <w:instrText xml:space="preserve"> XE "nutnost:</w:instrText>
      </w:r>
      <w:r w:rsidR="00BF6D96" w:rsidRPr="00567C9F">
        <w:rPr>
          <w:i/>
        </w:rPr>
        <w:instrText>relative</w:instrText>
      </w:r>
      <w:r w:rsidR="00BF6D96">
        <w:instrText xml:space="preserve">" </w:instrText>
      </w:r>
      <w:r w:rsidR="00BF6D96">
        <w:rPr>
          <w:i/>
        </w:rPr>
        <w:fldChar w:fldCharType="end"/>
      </w:r>
      <w:r w:rsidR="08C51F80">
        <w:t xml:space="preserve">, tedy </w:t>
      </w:r>
      <w:r w:rsidR="00311119" w:rsidRPr="00273106">
        <w:t>vzhledem k</w:t>
      </w:r>
      <w:r w:rsidR="00936C99">
        <w:t xml:space="preserve"> hyparchické </w:t>
      </w:r>
      <w:r w:rsidR="00311119" w:rsidRPr="00273106">
        <w:t>první substanci</w:t>
      </w:r>
      <w:r w:rsidR="00936C99">
        <w:t xml:space="preserve">, která </w:t>
      </w:r>
      <w:r w:rsidR="00311119" w:rsidRPr="00273106">
        <w:t>existuj</w:t>
      </w:r>
      <w:r w:rsidR="00936C99">
        <w:t>e</w:t>
      </w:r>
      <w:r w:rsidR="00311119" w:rsidRPr="00273106">
        <w:t xml:space="preserve"> </w:t>
      </w:r>
      <w:r w:rsidR="00311119" w:rsidRPr="00273106">
        <w:rPr>
          <w:i/>
        </w:rPr>
        <w:t>simpliciter</w:t>
      </w:r>
      <w:r w:rsidR="00311119" w:rsidRPr="00273106">
        <w:t xml:space="preserve"> a </w:t>
      </w:r>
      <w:r w:rsidR="00311119" w:rsidRPr="00273106">
        <w:rPr>
          <w:i/>
        </w:rPr>
        <w:t>per se</w:t>
      </w:r>
      <w:r w:rsidR="00936C99">
        <w:t xml:space="preserve"> mimo lidskou mysl. </w:t>
      </w:r>
      <w:r w:rsidR="08C51F80">
        <w:t xml:space="preserve">Tuto logiku </w:t>
      </w:r>
      <w:r w:rsidR="00311119" w:rsidRPr="00273106">
        <w:t xml:space="preserve">nahradil horizont absolutní pravdy dané jako </w:t>
      </w:r>
      <w:r w:rsidR="00311119" w:rsidRPr="00273106">
        <w:rPr>
          <w:i/>
        </w:rPr>
        <w:t>rectitudo</w:t>
      </w:r>
      <w:r w:rsidR="00311119" w:rsidRPr="00273106">
        <w:t xml:space="preserve"> </w:t>
      </w:r>
      <w:r w:rsidR="00CE1095">
        <w:t>boží prozřeteln</w:t>
      </w:r>
      <w:r w:rsidR="00F43EEF">
        <w:t>o</w:t>
      </w:r>
      <w:r w:rsidR="00CE1095">
        <w:t>s</w:t>
      </w:r>
      <w:r w:rsidR="00F43EEF">
        <w:t xml:space="preserve">ti a </w:t>
      </w:r>
      <w:r w:rsidR="00F43EEF" w:rsidRPr="00F43EEF">
        <w:rPr>
          <w:i/>
        </w:rPr>
        <w:t>certitudo</w:t>
      </w:r>
      <w:r w:rsidR="00F43EEF">
        <w:t xml:space="preserve"> </w:t>
      </w:r>
      <w:r w:rsidR="00311119" w:rsidRPr="00273106">
        <w:t xml:space="preserve">knihy Zjevení. </w:t>
      </w:r>
      <w:r w:rsidR="00DC2E9C">
        <w:t xml:space="preserve">Františkánští </w:t>
      </w:r>
      <w:r w:rsidR="00DC2E9C" w:rsidRPr="00DC2E9C">
        <w:rPr>
          <w:i/>
        </w:rPr>
        <w:t>spirituales</w:t>
      </w:r>
      <w:r w:rsidR="0846350D" w:rsidRPr="00273106">
        <w:t xml:space="preserve"> na Oxfordu navázali</w:t>
      </w:r>
      <w:r w:rsidR="0846350D">
        <w:t xml:space="preserve"> kontingentní budoucí události jako </w:t>
      </w:r>
      <w:r w:rsidR="0846350D" w:rsidRPr="00273106">
        <w:t>příchod Antikrista</w:t>
      </w:r>
      <w:r w:rsidR="0846350D">
        <w:fldChar w:fldCharType="begin"/>
      </w:r>
      <w:r w:rsidR="0846350D">
        <w:instrText xml:space="preserve"> XE "</w:instrText>
      </w:r>
      <w:r w:rsidR="0846350D" w:rsidRPr="0096335E">
        <w:instrText>Antikrist</w:instrText>
      </w:r>
      <w:r w:rsidR="0846350D">
        <w:instrText xml:space="preserve">" </w:instrText>
      </w:r>
      <w:r w:rsidR="0846350D">
        <w:fldChar w:fldCharType="end"/>
      </w:r>
      <w:r w:rsidR="0846350D" w:rsidRPr="00273106">
        <w:t xml:space="preserve"> na horizont věčné pravdy dané eschatologickou četbou </w:t>
      </w:r>
      <w:r w:rsidR="0846350D" w:rsidRPr="00DD570C">
        <w:rPr>
          <w:i/>
        </w:rPr>
        <w:t>Apokalypsy</w:t>
      </w:r>
      <w:r w:rsidR="0846350D" w:rsidRPr="00273106">
        <w:t xml:space="preserve"> skrze Joachima von Fioreho. </w:t>
      </w:r>
      <w:r w:rsidR="004F2399" w:rsidRPr="00273106">
        <w:t>Zavedení dogmatiky do logiky zrušilo indeterminaci nahodilých budoucích událostí.</w:t>
      </w:r>
      <w:r w:rsidR="004F2399">
        <w:t xml:space="preserve"> </w:t>
      </w:r>
      <w:r w:rsidR="00CE3BCB" w:rsidRPr="00273106">
        <w:t>A</w:t>
      </w:r>
      <w:r w:rsidR="000456AF" w:rsidRPr="00273106">
        <w:t xml:space="preserve">nalytický výklad </w:t>
      </w:r>
      <w:r w:rsidR="00385576" w:rsidRPr="00273106">
        <w:t xml:space="preserve">aristotelského </w:t>
      </w:r>
      <w:r w:rsidR="00314C74" w:rsidRPr="00273106">
        <w:t>Korpusu v</w:t>
      </w:r>
      <w:r w:rsidR="000456AF" w:rsidRPr="00273106">
        <w:t xml:space="preserve"> rámci </w:t>
      </w:r>
      <w:r w:rsidR="000456AF" w:rsidRPr="00273106">
        <w:rPr>
          <w:i/>
        </w:rPr>
        <w:t>Oxfordian</w:t>
      </w:r>
      <w:r w:rsidR="000456AF" w:rsidRPr="00273106">
        <w:t xml:space="preserve"> </w:t>
      </w:r>
      <w:r w:rsidR="000456AF" w:rsidRPr="00273106">
        <w:rPr>
          <w:i/>
        </w:rPr>
        <w:t>Fallacy</w:t>
      </w:r>
      <w:r w:rsidR="000456AF" w:rsidRPr="00273106">
        <w:t xml:space="preserve"> ukázal cestu nové škole myšlení</w:t>
      </w:r>
      <w:r w:rsidR="004B7D7C" w:rsidRPr="00273106">
        <w:t xml:space="preserve"> vyba</w:t>
      </w:r>
      <w:r w:rsidR="006C19F0">
        <w:t xml:space="preserve">vené spekulativním duchem </w:t>
      </w:r>
      <w:r w:rsidR="004B7D7C" w:rsidRPr="00273106">
        <w:rPr>
          <w:i/>
          <w:iCs/>
        </w:rPr>
        <w:t>intelligentia spiritualis</w:t>
      </w:r>
      <w:r w:rsidR="00BF6D96">
        <w:rPr>
          <w:i/>
          <w:iCs/>
        </w:rPr>
        <w:fldChar w:fldCharType="begin"/>
      </w:r>
      <w:r w:rsidR="00BF6D96">
        <w:instrText xml:space="preserve"> XE "</w:instrText>
      </w:r>
      <w:r w:rsidR="00BF6D96" w:rsidRPr="005E5011">
        <w:rPr>
          <w:i/>
          <w:iCs/>
        </w:rPr>
        <w:instrText>intelligentia spiritualis</w:instrText>
      </w:r>
      <w:r w:rsidR="00BF6D96">
        <w:instrText xml:space="preserve">" </w:instrText>
      </w:r>
      <w:r w:rsidR="00BF6D96">
        <w:rPr>
          <w:i/>
          <w:iCs/>
        </w:rPr>
        <w:fldChar w:fldCharType="end"/>
      </w:r>
      <w:r w:rsidR="000456AF" w:rsidRPr="00273106">
        <w:t xml:space="preserve">. </w:t>
      </w:r>
      <w:r w:rsidR="08EE593A" w:rsidRPr="00273106">
        <w:t>Devalv</w:t>
      </w:r>
      <w:r w:rsidR="08013AAC" w:rsidRPr="00273106">
        <w:t xml:space="preserve">ace aktuálně existující substance a smyslového poznání </w:t>
      </w:r>
      <w:r w:rsidR="00E96B02" w:rsidRPr="00E96B02">
        <w:t>posíl</w:t>
      </w:r>
      <w:r w:rsidR="00E96B02">
        <w:t>ila</w:t>
      </w:r>
      <w:r w:rsidR="00E96B02" w:rsidRPr="00E96B02">
        <w:t xml:space="preserve"> eschatologický mysticismus a m</w:t>
      </w:r>
      <w:r w:rsidR="00E96B02">
        <w:t xml:space="preserve">etafyzickou paranoiu modernistů. Dostali </w:t>
      </w:r>
      <w:r w:rsidR="08013AAC" w:rsidRPr="00273106">
        <w:t>přím</w:t>
      </w:r>
      <w:r w:rsidR="00EA76BD" w:rsidRPr="00273106">
        <w:t xml:space="preserve">ý </w:t>
      </w:r>
      <w:r w:rsidR="08013AAC" w:rsidRPr="00273106">
        <w:t xml:space="preserve">náhled </w:t>
      </w:r>
      <w:r w:rsidR="00067180">
        <w:t xml:space="preserve">do říše </w:t>
      </w:r>
      <w:r w:rsidR="00DB0220">
        <w:t xml:space="preserve">věčných </w:t>
      </w:r>
      <w:r w:rsidR="00067180">
        <w:t>univerzálií, které jsou exemplárně dá</w:t>
      </w:r>
      <w:r w:rsidR="00EA76BD" w:rsidRPr="00273106">
        <w:t>n</w:t>
      </w:r>
      <w:r w:rsidR="00067180">
        <w:t xml:space="preserve">y </w:t>
      </w:r>
      <w:r w:rsidR="00DB0220">
        <w:t xml:space="preserve">v boží mysli </w:t>
      </w:r>
      <w:r w:rsidR="00F74DB5" w:rsidRPr="00273106">
        <w:t xml:space="preserve">na způsob </w:t>
      </w:r>
      <w:r w:rsidR="00067180">
        <w:t>jsoucen třetího druhu</w:t>
      </w:r>
      <w:r w:rsidR="007F1EE5">
        <w:t>.</w:t>
      </w:r>
    </w:p>
    <w:p w14:paraId="6F582C05" w14:textId="1B81DBCC" w:rsidR="008B5D98" w:rsidRPr="00273106" w:rsidRDefault="003B0C9C" w:rsidP="006918AF">
      <w:pPr>
        <w:ind w:firstLine="397"/>
      </w:pPr>
      <w:r>
        <w:t>Nové pojetí pravdy, kategorií, logiky</w:t>
      </w:r>
      <w:r w:rsidR="00F5234C">
        <w:t xml:space="preserve"> </w:t>
      </w:r>
      <w:r>
        <w:t>a metafyziky dokládá, že d</w:t>
      </w:r>
      <w:r w:rsidR="08013AAC" w:rsidRPr="00273106">
        <w:t>ruhý averroismus nem</w:t>
      </w:r>
      <w:r>
        <w:t xml:space="preserve">ohl </w:t>
      </w:r>
      <w:r w:rsidR="08013AAC" w:rsidRPr="00273106">
        <w:t xml:space="preserve">uchopit poznávací funkci </w:t>
      </w:r>
      <w:r w:rsidR="08013AAC"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565F97">
        <w:instrText>:druhý averroismus</w:instrText>
      </w:r>
      <w:r w:rsidR="009D323B">
        <w:instrText xml:space="preserve">" </w:instrText>
      </w:r>
      <w:r w:rsidR="009D323B">
        <w:rPr>
          <w:i/>
        </w:rPr>
        <w:fldChar w:fldCharType="end"/>
      </w:r>
      <w:r w:rsidR="08013AAC" w:rsidRPr="00273106">
        <w:t xml:space="preserve"> po</w:t>
      </w:r>
      <w:r w:rsidR="00013F3A">
        <w:t xml:space="preserve">dle </w:t>
      </w:r>
      <w:r w:rsidR="002E3B62">
        <w:t>Averroes</w:t>
      </w:r>
      <w:r w:rsidR="00013F3A">
        <w:t xml:space="preserve">e. </w:t>
      </w:r>
      <w:r w:rsidR="00DD0772">
        <w:t>Naopak p</w:t>
      </w:r>
      <w:r w:rsidR="00F95C92" w:rsidRPr="00273106">
        <w:t xml:space="preserve">rvní averorismus </w:t>
      </w:r>
      <w:r w:rsidR="005635EA" w:rsidRPr="00273106">
        <w:t xml:space="preserve">neměl žádný problém </w:t>
      </w:r>
      <w:r w:rsidR="00F95C92" w:rsidRPr="00273106">
        <w:t xml:space="preserve">s vysvětlením </w:t>
      </w:r>
      <w:r w:rsidR="005635EA" w:rsidRPr="00273106">
        <w:t xml:space="preserve">Aristotelova </w:t>
      </w:r>
      <w:r w:rsidR="00F95C92" w:rsidRPr="00273106">
        <w:t>receptivního intelektu. Blundova škola provedla správnou</w:t>
      </w:r>
      <w:r w:rsidR="006C19F0">
        <w:t xml:space="preserve"> recepci CMDA v rámci konceptu </w:t>
      </w:r>
      <w:r w:rsidR="00F95C92" w:rsidRPr="00273106">
        <w:rPr>
          <w:i/>
        </w:rPr>
        <w:t xml:space="preserve">intellectus </w:t>
      </w:r>
      <w:r w:rsidR="00435300">
        <w:rPr>
          <w:i/>
        </w:rPr>
        <w:t>in potentia</w:t>
      </w:r>
      <w:r w:rsidR="00F95C92" w:rsidRPr="00273106">
        <w:t xml:space="preserve"> napojeného na no</w:t>
      </w:r>
      <w:r w:rsidR="08C51F80">
        <w:t>vé pojetí intencionality (kap. 2</w:t>
      </w:r>
      <w:r w:rsidR="00F95C92" w:rsidRPr="00273106">
        <w:t>.</w:t>
      </w:r>
      <w:r w:rsidR="006C19F0">
        <w:t>1.</w:t>
      </w:r>
      <w:r w:rsidR="00F95C92" w:rsidRPr="00273106">
        <w:t xml:space="preserve">2). </w:t>
      </w:r>
      <w:r w:rsidR="00853653" w:rsidRPr="00273106">
        <w:t>Pro modernist</w:t>
      </w:r>
      <w:r w:rsidR="00AC0240">
        <w:t xml:space="preserve">y </w:t>
      </w:r>
      <w:r w:rsidR="00DD0772">
        <w:t xml:space="preserve">v Oxfordu a v Paříži </w:t>
      </w:r>
      <w:r w:rsidR="00AC0240">
        <w:t xml:space="preserve">se stal Komentátor </w:t>
      </w:r>
      <w:r w:rsidR="00853653" w:rsidRPr="00273106">
        <w:t>kamenem úrazu</w:t>
      </w:r>
      <w:r w:rsidR="006C19F0">
        <w:t xml:space="preserve"> a především jeho spis CMDA</w:t>
      </w:r>
      <w:r w:rsidR="00853653" w:rsidRPr="00273106">
        <w:t xml:space="preserve">. </w:t>
      </w:r>
      <w:r w:rsidR="00756CAB">
        <w:t xml:space="preserve">To dosvědčuje Bacon, který po vzoru biskupa Alverna jasně oddělil chybnou nauku svých </w:t>
      </w:r>
      <w:r w:rsidR="00756CAB">
        <w:lastRenderedPageBreak/>
        <w:t xml:space="preserve">současníků od autentického výkladu Averroese. </w:t>
      </w:r>
      <w:r w:rsidR="006918AF">
        <w:t xml:space="preserve">Bacon dobře věděl </w:t>
      </w:r>
      <w:r w:rsidR="008B5D98">
        <w:t>ze studentských let v Paříži kolem 1240</w:t>
      </w:r>
      <w:r w:rsidR="008B5D98" w:rsidRPr="00273106">
        <w:t xml:space="preserve">, že spis </w:t>
      </w:r>
      <w:r w:rsidR="008B5D98" w:rsidRPr="00273106">
        <w:rPr>
          <w:i/>
        </w:rPr>
        <w:t>De anima</w:t>
      </w:r>
      <w:r w:rsidR="008B5D98" w:rsidRPr="00273106">
        <w:t xml:space="preserve"> je možné </w:t>
      </w:r>
      <w:r w:rsidR="008B5D98">
        <w:t xml:space="preserve">vyložit </w:t>
      </w:r>
      <w:r w:rsidR="006918AF">
        <w:t>na různé způsoby. Výklad Aristotela podle T</w:t>
      </w:r>
      <w:r w:rsidR="006918AF" w:rsidRPr="006918AF">
        <w:t>oledské školy směřuje k neoplatonismu a tato linie je neslučitelná s Averroësovou metafyzikou a s výkladem CMDA.</w:t>
      </w:r>
      <w:r w:rsidR="006918AF">
        <w:t xml:space="preserve"> </w:t>
      </w:r>
      <w:r w:rsidR="008B5D98">
        <w:t xml:space="preserve">Uveďme klíčovou citaci z Baconova komentáře k </w:t>
      </w:r>
      <w:r w:rsidR="008B5D98" w:rsidRPr="008B5D98">
        <w:rPr>
          <w:i/>
        </w:rPr>
        <w:t>Metafyzice</w:t>
      </w:r>
      <w:r w:rsidR="084535ED">
        <w:t xml:space="preserve">, který </w:t>
      </w:r>
      <w:r w:rsidR="08644918">
        <w:t xml:space="preserve">po vzoru Alverna </w:t>
      </w:r>
      <w:r w:rsidR="084535ED">
        <w:t>zakládá jednotu osoby v paradigmatu Sicilské školy</w:t>
      </w:r>
      <w:r w:rsidR="08644918">
        <w:t>.</w:t>
      </w:r>
    </w:p>
    <w:p w14:paraId="249DBE45" w14:textId="77777777" w:rsidR="008B5D98" w:rsidRPr="00273106" w:rsidRDefault="008B5D98" w:rsidP="008B5D98">
      <w:pPr>
        <w:pStyle w:val="Citace"/>
        <w:rPr>
          <w:noProof/>
          <w:lang w:val="cs-CZ"/>
        </w:rPr>
      </w:pPr>
      <w:r w:rsidRPr="00273106">
        <w:rPr>
          <w:noProof/>
          <w:lang w:val="cs-CZ"/>
        </w:rPr>
        <w:t xml:space="preserve">„Činný intelekt </w:t>
      </w:r>
      <w:r w:rsidR="081917B0">
        <w:rPr>
          <w:noProof/>
          <w:lang w:val="cs-CZ"/>
        </w:rPr>
        <w:t xml:space="preserve"> je aktivní </w:t>
      </w:r>
      <w:r w:rsidR="00442965">
        <w:rPr>
          <w:noProof/>
          <w:lang w:val="cs-CZ"/>
        </w:rPr>
        <w:t xml:space="preserve">v jednotlivci </w:t>
      </w:r>
      <w:r w:rsidR="081917B0">
        <w:rPr>
          <w:noProof/>
          <w:lang w:val="cs-CZ"/>
        </w:rPr>
        <w:t>tak</w:t>
      </w:r>
      <w:r w:rsidRPr="00273106">
        <w:rPr>
          <w:noProof/>
          <w:lang w:val="cs-CZ"/>
        </w:rPr>
        <w:t xml:space="preserve">, že vyžaduje ke své činnosti spekulativní intelekt, </w:t>
      </w:r>
      <w:r w:rsidR="00442965">
        <w:rPr>
          <w:noProof/>
          <w:lang w:val="cs-CZ"/>
        </w:rPr>
        <w:t>a tím je č</w:t>
      </w:r>
      <w:r w:rsidR="00442965" w:rsidRPr="00273106">
        <w:rPr>
          <w:noProof/>
          <w:lang w:val="cs-CZ"/>
        </w:rPr>
        <w:t xml:space="preserve">inný intelekt </w:t>
      </w:r>
      <w:r w:rsidRPr="00273106">
        <w:rPr>
          <w:noProof/>
          <w:lang w:val="cs-CZ"/>
        </w:rPr>
        <w:t>podle Komentátora část duše</w:t>
      </w:r>
      <w:r>
        <w:rPr>
          <w:noProof/>
          <w:lang w:val="cs-CZ"/>
        </w:rPr>
        <w:t xml:space="preserve"> (</w:t>
      </w:r>
      <w:r w:rsidRPr="00A83CEF">
        <w:rPr>
          <w:i/>
        </w:rPr>
        <w:t>intellectus agens secundum Commentatorem est pars anime</w:t>
      </w:r>
      <w:r>
        <w:rPr>
          <w:noProof/>
          <w:lang w:val="cs-CZ"/>
        </w:rPr>
        <w:t>)</w:t>
      </w:r>
      <w:r w:rsidRPr="00273106">
        <w:rPr>
          <w:noProof/>
          <w:lang w:val="cs-CZ"/>
        </w:rPr>
        <w:t>. Ale podle Al</w:t>
      </w:r>
      <w:r w:rsidR="006C19F0">
        <w:rPr>
          <w:noProof/>
          <w:lang w:val="cs-CZ"/>
        </w:rPr>
        <w:t>-</w:t>
      </w:r>
      <w:r w:rsidR="008E02F5">
        <w:rPr>
          <w:noProof/>
          <w:lang w:val="cs-CZ"/>
        </w:rPr>
        <w:t>Fárábí</w:t>
      </w:r>
      <w:r w:rsidRPr="00273106">
        <w:rPr>
          <w:noProof/>
          <w:lang w:val="cs-CZ"/>
        </w:rPr>
        <w:t xml:space="preserve">ho, Aristotela a Avicenny je dán jako </w:t>
      </w:r>
      <w:r>
        <w:rPr>
          <w:noProof/>
          <w:lang w:val="cs-CZ"/>
        </w:rPr>
        <w:t xml:space="preserve">oddělená </w:t>
      </w:r>
      <w:r w:rsidR="003228D2">
        <w:rPr>
          <w:noProof/>
          <w:lang w:val="cs-CZ"/>
        </w:rPr>
        <w:t>s</w:t>
      </w:r>
      <w:r w:rsidRPr="00273106">
        <w:rPr>
          <w:noProof/>
          <w:lang w:val="cs-CZ"/>
        </w:rPr>
        <w:t>ubstance</w:t>
      </w:r>
      <w:r>
        <w:rPr>
          <w:noProof/>
          <w:lang w:val="cs-CZ"/>
        </w:rPr>
        <w:t xml:space="preserve"> (</w:t>
      </w:r>
      <w:r w:rsidRPr="008E6878">
        <w:rPr>
          <w:i/>
        </w:rPr>
        <w:t>est aliquid aliud</w:t>
      </w:r>
      <w:r>
        <w:rPr>
          <w:noProof/>
          <w:lang w:val="cs-CZ"/>
        </w:rPr>
        <w:t>)</w:t>
      </w:r>
      <w:r w:rsidRPr="00273106">
        <w:rPr>
          <w:noProof/>
          <w:lang w:val="cs-CZ"/>
        </w:rPr>
        <w:t xml:space="preserve">.“ </w:t>
      </w:r>
      <w:r w:rsidRPr="00273106">
        <w:rPr>
          <w:rStyle w:val="Znakapoznpodarou"/>
          <w:noProof/>
          <w:lang w:val="cs-CZ"/>
        </w:rPr>
        <w:footnoteReference w:id="331"/>
      </w:r>
    </w:p>
    <w:p w14:paraId="3A87F210" w14:textId="08049843" w:rsidR="004379C4" w:rsidRDefault="00215773" w:rsidP="00995AE9">
      <w:r w:rsidRPr="00215773">
        <w:t xml:space="preserve">Jednota osoby podle </w:t>
      </w:r>
      <w:r>
        <w:t>S</w:t>
      </w:r>
      <w:r w:rsidRPr="00215773">
        <w:t>icilské školy a výklad CMDA sledují linii biskupa Alverna.</w:t>
      </w:r>
      <w:r>
        <w:t xml:space="preserve"> </w:t>
      </w:r>
      <w:r w:rsidR="003228D2">
        <w:t xml:space="preserve">Bacon oddělil </w:t>
      </w:r>
      <w:r w:rsidR="00442965">
        <w:t xml:space="preserve">interpretaci </w:t>
      </w:r>
      <w:r w:rsidR="003228D2">
        <w:t>Averro</w:t>
      </w:r>
      <w:r w:rsidR="00442965">
        <w:t>e</w:t>
      </w:r>
      <w:r w:rsidR="003228D2">
        <w:t xml:space="preserve">se od výkladu Toledské školy, která četla CMDA podle Al-Fárábího neoplatonského překladu spisu </w:t>
      </w:r>
      <w:r w:rsidR="003228D2" w:rsidRPr="003228D2">
        <w:rPr>
          <w:i/>
        </w:rPr>
        <w:t>De intellectu et intellecto</w:t>
      </w:r>
      <w:r w:rsidR="00F34593">
        <w:t xml:space="preserve"> (OBJ I, kap. 2.1.1). </w:t>
      </w:r>
      <w:r w:rsidR="00717F4C" w:rsidRPr="00273106">
        <w:t xml:space="preserve">Po smrti biskupa Alverna si jeho žáci Albert a Bacon </w:t>
      </w:r>
      <w:r w:rsidR="00717F4C">
        <w:t xml:space="preserve">dali za celoživotní úkol, že vyloží </w:t>
      </w:r>
      <w:r w:rsidR="00717F4C" w:rsidRPr="00273106">
        <w:t>autentick</w:t>
      </w:r>
      <w:r w:rsidR="00717F4C">
        <w:t>ý</w:t>
      </w:r>
      <w:r w:rsidR="00717F4C" w:rsidRPr="00273106">
        <w:t xml:space="preserve"> aristotelismu</w:t>
      </w:r>
      <w:r w:rsidR="00717F4C">
        <w:t>s</w:t>
      </w:r>
      <w:r w:rsidR="00717F4C" w:rsidRPr="00273106">
        <w:t xml:space="preserve"> proti škole druhého averroismu</w:t>
      </w:r>
      <w:r w:rsidR="00717F4C">
        <w:t xml:space="preserve"> usazenou v </w:t>
      </w:r>
      <w:r w:rsidR="08D713FE">
        <w:t xml:space="preserve">nejprve v </w:t>
      </w:r>
      <w:r w:rsidR="00717F4C">
        <w:t xml:space="preserve">Oxfordu a </w:t>
      </w:r>
      <w:r w:rsidR="08D713FE">
        <w:t xml:space="preserve">pak i </w:t>
      </w:r>
      <w:r w:rsidR="00717F4C">
        <w:t>v Paříži</w:t>
      </w:r>
      <w:r w:rsidR="00717F4C" w:rsidRPr="00273106">
        <w:t xml:space="preserve">. </w:t>
      </w:r>
      <w:r w:rsidR="00C459FD">
        <w:t>Škola</w:t>
      </w:r>
      <w:r w:rsidR="00EC4F76">
        <w:t xml:space="preserve"> </w:t>
      </w:r>
      <w:r w:rsidR="00EC4F76" w:rsidRPr="00EC4F76">
        <w:rPr>
          <w:i/>
        </w:rPr>
        <w:t>Modernorum</w:t>
      </w:r>
      <w:r w:rsidR="007A3B6F">
        <w:t xml:space="preserve"> nav</w:t>
      </w:r>
      <w:r w:rsidR="00EC4F76">
        <w:t xml:space="preserve">ázala výklad Averroese na Toledskou školu a četla </w:t>
      </w:r>
      <w:r w:rsidR="003C5ADB">
        <w:t xml:space="preserve">Komentátora </w:t>
      </w:r>
      <w:r w:rsidR="005F5B13">
        <w:t xml:space="preserve">podle </w:t>
      </w:r>
      <w:r w:rsidR="003C5ADB">
        <w:t xml:space="preserve">metafyziky </w:t>
      </w:r>
      <w:r w:rsidR="005F5B13">
        <w:t>Avicenny</w:t>
      </w:r>
      <w:r w:rsidR="001441E5">
        <w:t xml:space="preserve">. Oddělený </w:t>
      </w:r>
      <w:r w:rsidR="00EA6DB3">
        <w:t>intelekt</w:t>
      </w:r>
      <w:r w:rsidR="001441E5">
        <w:t xml:space="preserve"> se lidskou duší </w:t>
      </w:r>
      <w:r w:rsidR="00EA6DB3">
        <w:t xml:space="preserve">spojuje v modu </w:t>
      </w:r>
      <w:r w:rsidR="082453D7">
        <w:rPr>
          <w:i/>
        </w:rPr>
        <w:t>coniunctio</w:t>
      </w:r>
      <w:r w:rsidR="00EA6DB3">
        <w:t xml:space="preserve">. </w:t>
      </w:r>
      <w:r w:rsidR="00853653" w:rsidRPr="00273106">
        <w:t>I</w:t>
      </w:r>
      <w:r w:rsidR="007F26C3" w:rsidRPr="00273106">
        <w:t xml:space="preserve">ntegrace </w:t>
      </w:r>
      <w:r w:rsidR="00DD0772">
        <w:t>Averr</w:t>
      </w:r>
      <w:r w:rsidR="008B5D98">
        <w:t>oe</w:t>
      </w:r>
      <w:r w:rsidR="00DD0772">
        <w:t xml:space="preserve">se </w:t>
      </w:r>
      <w:r w:rsidR="00976D91">
        <w:t xml:space="preserve">v paradigmatu Sicilské školy </w:t>
      </w:r>
      <w:r w:rsidR="00853653" w:rsidRPr="00273106">
        <w:t xml:space="preserve">do systému avicennistických </w:t>
      </w:r>
      <w:r w:rsidR="00853653" w:rsidRPr="00273106">
        <w:rPr>
          <w:i/>
        </w:rPr>
        <w:t>Latinorum</w:t>
      </w:r>
      <w:r w:rsidR="00853653" w:rsidRPr="00273106">
        <w:t xml:space="preserve"> se stala </w:t>
      </w:r>
      <w:r w:rsidR="008A463A">
        <w:t xml:space="preserve">od </w:t>
      </w:r>
      <w:r w:rsidR="08AC4B6B">
        <w:t xml:space="preserve">roku </w:t>
      </w:r>
      <w:r w:rsidR="008A463A">
        <w:t>1230</w:t>
      </w:r>
      <w:r w:rsidR="00F16148">
        <w:t xml:space="preserve"> </w:t>
      </w:r>
      <w:r w:rsidR="00853653" w:rsidRPr="00273106">
        <w:t>problematickou</w:t>
      </w:r>
      <w:r w:rsidR="00656292">
        <w:t>. V letech 1245–50 už byla tato interpretace úplně nemožná</w:t>
      </w:r>
      <w:r w:rsidR="00853653" w:rsidRPr="00273106">
        <w:t xml:space="preserve">. </w:t>
      </w:r>
      <w:r w:rsidR="08A0164A">
        <w:t xml:space="preserve">Ale modernisté </w:t>
      </w:r>
      <w:r w:rsidR="00F274C6">
        <w:t>musel</w:t>
      </w:r>
      <w:r w:rsidR="08A0164A">
        <w:t>i</w:t>
      </w:r>
      <w:r w:rsidR="00F274C6">
        <w:t xml:space="preserve"> </w:t>
      </w:r>
      <w:r w:rsidR="08A0164A">
        <w:t>p</w:t>
      </w:r>
      <w:r w:rsidR="00F274C6">
        <w:t xml:space="preserve">o </w:t>
      </w:r>
      <w:r w:rsidR="084015F5">
        <w:t xml:space="preserve">sofistickém </w:t>
      </w:r>
      <w:r w:rsidR="00273D3A" w:rsidRPr="00273106">
        <w:t xml:space="preserve">výkladu </w:t>
      </w:r>
      <w:r w:rsidR="00273D3A" w:rsidRPr="008A463A">
        <w:rPr>
          <w:i/>
        </w:rPr>
        <w:t>Druhých analyti</w:t>
      </w:r>
      <w:r w:rsidR="007A019E" w:rsidRPr="008A463A">
        <w:rPr>
          <w:i/>
        </w:rPr>
        <w:t>k</w:t>
      </w:r>
      <w:r w:rsidR="007A019E" w:rsidRPr="00273106">
        <w:t xml:space="preserve">, </w:t>
      </w:r>
      <w:r w:rsidR="007A019E" w:rsidRPr="008A463A">
        <w:rPr>
          <w:i/>
        </w:rPr>
        <w:t>Kategorií</w:t>
      </w:r>
      <w:r w:rsidR="007A019E" w:rsidRPr="00273106">
        <w:t xml:space="preserve"> a </w:t>
      </w:r>
      <w:r w:rsidR="007A019E" w:rsidRPr="008A463A">
        <w:rPr>
          <w:i/>
        </w:rPr>
        <w:t>Metafyziky</w:t>
      </w:r>
      <w:r w:rsidR="007A019E" w:rsidRPr="00273106">
        <w:t xml:space="preserve"> </w:t>
      </w:r>
      <w:r w:rsidR="00F274C6">
        <w:t xml:space="preserve">nově </w:t>
      </w:r>
      <w:r w:rsidR="007A019E" w:rsidRPr="00273106">
        <w:t xml:space="preserve">vyložit i </w:t>
      </w:r>
      <w:r w:rsidR="00273D3A" w:rsidRPr="00273106">
        <w:t xml:space="preserve">spis </w:t>
      </w:r>
      <w:r w:rsidR="00273D3A" w:rsidRPr="00273106">
        <w:rPr>
          <w:i/>
        </w:rPr>
        <w:t>De anima</w:t>
      </w:r>
      <w:r w:rsidR="00273D3A" w:rsidRPr="00273106">
        <w:t xml:space="preserve">, který </w:t>
      </w:r>
      <w:r w:rsidR="082A4E14">
        <w:t xml:space="preserve">geniálně </w:t>
      </w:r>
      <w:r w:rsidR="00566295" w:rsidRPr="00273106">
        <w:t xml:space="preserve">komentoval </w:t>
      </w:r>
      <w:r w:rsidR="00CE3003">
        <w:t xml:space="preserve">spis </w:t>
      </w:r>
      <w:r w:rsidR="00273D3A" w:rsidRPr="00273106">
        <w:t xml:space="preserve">CMDA.  </w:t>
      </w:r>
      <w:r w:rsidR="08A0164A">
        <w:t>D</w:t>
      </w:r>
      <w:r w:rsidR="00552643">
        <w:t xml:space="preserve">íky intervenci </w:t>
      </w:r>
      <w:r w:rsidR="000B575B">
        <w:t xml:space="preserve">myslitelů </w:t>
      </w:r>
      <w:r w:rsidR="00552643">
        <w:t xml:space="preserve">prvního averroismu se začal spis </w:t>
      </w:r>
      <w:r w:rsidR="00B713C5">
        <w:rPr>
          <w:i/>
        </w:rPr>
        <w:t>De anima</w:t>
      </w:r>
      <w:r w:rsidR="00552643">
        <w:t xml:space="preserve"> </w:t>
      </w:r>
      <w:r w:rsidR="00EC0BE1" w:rsidRPr="00273106">
        <w:t>povinně vyučovat na arti</w:t>
      </w:r>
      <w:r w:rsidR="08A0164A">
        <w:t>stické fakultě v Rue du Fouarre</w:t>
      </w:r>
      <w:r w:rsidR="00976D91">
        <w:t>, což dovršilo konflikt sekulárních a mendikant</w:t>
      </w:r>
      <w:r w:rsidR="08550C85">
        <w:t>s</w:t>
      </w:r>
      <w:r w:rsidR="00976D91">
        <w:t xml:space="preserve">kých magistrů. </w:t>
      </w:r>
      <w:r w:rsidR="00C735B0">
        <w:t xml:space="preserve">Ve stejném roce, kdy vznikla mendikantská větev modernistů na Pařížské univerzitě (1255), nařídili artističtí sekulární magistři z Rue du Fouarre povinnou výuku spisu </w:t>
      </w:r>
      <w:r w:rsidR="00C735B0" w:rsidRPr="00D96FC6">
        <w:rPr>
          <w:i/>
        </w:rPr>
        <w:t>De anima</w:t>
      </w:r>
      <w:r w:rsidR="006C4B5E">
        <w:rPr>
          <w:szCs w:val="24"/>
        </w:rPr>
        <w:t>.</w:t>
      </w:r>
      <w:r w:rsidR="006D4540" w:rsidRPr="00273106">
        <w:rPr>
          <w:rStyle w:val="Znakapoznpodarou"/>
          <w:szCs w:val="18"/>
        </w:rPr>
        <w:footnoteReference w:id="332"/>
      </w:r>
      <w:r w:rsidR="00C735B0">
        <w:t xml:space="preserve"> </w:t>
      </w:r>
      <w:r w:rsidR="006D4540">
        <w:t xml:space="preserve">Pak už byl </w:t>
      </w:r>
      <w:r w:rsidR="003552A5">
        <w:t xml:space="preserve">nevyhnutelný </w:t>
      </w:r>
      <w:r w:rsidR="006D4540">
        <w:t xml:space="preserve">konflikt mezi sekulárními magistry a </w:t>
      </w:r>
      <w:r w:rsidR="003552A5">
        <w:t>mendikatskými modernisty</w:t>
      </w:r>
      <w:r w:rsidR="006D4540">
        <w:t xml:space="preserve">. </w:t>
      </w:r>
      <w:r w:rsidR="08550C85">
        <w:t>M</w:t>
      </w:r>
      <w:r w:rsidR="00EC0BE1" w:rsidRPr="00273106">
        <w:t xml:space="preserve">odernisté museli předložit </w:t>
      </w:r>
      <w:r w:rsidR="00FC3B71">
        <w:t xml:space="preserve">vlastní </w:t>
      </w:r>
      <w:r w:rsidR="00EC0BE1" w:rsidRPr="00273106">
        <w:t>výklad</w:t>
      </w:r>
      <w:r w:rsidR="00A236DB">
        <w:t xml:space="preserve"> </w:t>
      </w:r>
      <w:r w:rsidR="00A236DB" w:rsidRPr="00A236DB">
        <w:rPr>
          <w:i/>
        </w:rPr>
        <w:t>De anima</w:t>
      </w:r>
      <w:r w:rsidR="00EC0BE1" w:rsidRPr="00273106">
        <w:t xml:space="preserve">, aby nebyly ohroženy jejich akademické pozice. </w:t>
      </w:r>
      <w:r w:rsidR="007F26C3" w:rsidRPr="00273106">
        <w:lastRenderedPageBreak/>
        <w:t xml:space="preserve">Oddělením od klasické filosofické minulosti a vzdělanosti se tito exaltovaní </w:t>
      </w:r>
      <w:r w:rsidR="081B6F69">
        <w:t xml:space="preserve">sofisté </w:t>
      </w:r>
      <w:r w:rsidR="007F26C3" w:rsidRPr="00273106">
        <w:t xml:space="preserve">stali našimi současníky a otevřeli cestu zvanou </w:t>
      </w:r>
      <w:r w:rsidR="007F26C3"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7F26C3" w:rsidRPr="00273106">
        <w:t>.</w:t>
      </w:r>
      <w:r w:rsidR="08AF3458">
        <w:t xml:space="preserve"> </w:t>
      </w:r>
      <w:r w:rsidR="00FC3B71">
        <w:t xml:space="preserve">Základy objektivního pojetí </w:t>
      </w:r>
      <w:r w:rsidR="08D83738">
        <w:t xml:space="preserve">jsoucna </w:t>
      </w:r>
      <w:r w:rsidR="00461D75" w:rsidRPr="00273106">
        <w:t>je možné v myšlení Grossetesteho dohledat pouze nepřímo</w:t>
      </w:r>
      <w:r w:rsidR="081B6F69">
        <w:t>, což provedly předešlé kapitoly</w:t>
      </w:r>
      <w:r w:rsidR="00461D75" w:rsidRPr="00273106">
        <w:t xml:space="preserve">. </w:t>
      </w:r>
      <w:r w:rsidR="08AF3458" w:rsidRPr="00273106">
        <w:t xml:space="preserve">Skutečným zakladatelem objektivity je </w:t>
      </w:r>
      <w:r w:rsidR="08AF3458">
        <w:t xml:space="preserve">jeho žák </w:t>
      </w:r>
      <w:r w:rsidR="08AF3458" w:rsidRPr="00273106">
        <w:t>Rufus z Cornwallu kolem 1245, což ukáže následující kapitola.</w:t>
      </w:r>
    </w:p>
    <w:p w14:paraId="529919AF" w14:textId="1480CF12" w:rsidR="00995AE9" w:rsidRPr="00273106" w:rsidRDefault="0034277B" w:rsidP="004379C4">
      <w:pPr>
        <w:ind w:firstLine="397"/>
      </w:pPr>
      <w:r>
        <w:t xml:space="preserve">Klíčovou indicii </w:t>
      </w:r>
      <w:r w:rsidR="0033394D">
        <w:t>datující vznik</w:t>
      </w:r>
      <w:r w:rsidR="00273D3A" w:rsidRPr="00273106">
        <w:t xml:space="preserve"> objektivity </w:t>
      </w:r>
      <w:r w:rsidR="0033394D">
        <w:t xml:space="preserve">do okruhu Grossetesteho školy </w:t>
      </w:r>
      <w:r w:rsidR="08013AAC" w:rsidRPr="00273106">
        <w:t xml:space="preserve">najdeme v anonymním traktátu </w:t>
      </w:r>
      <w:r w:rsidR="08013AAC" w:rsidRPr="00273106">
        <w:rPr>
          <w:i/>
        </w:rPr>
        <w:t>Summa philosophiae</w:t>
      </w:r>
      <w:r w:rsidR="08013AAC" w:rsidRPr="00273106">
        <w:t xml:space="preserve">, který </w:t>
      </w:r>
      <w:r w:rsidR="00EF4BDF">
        <w:t xml:space="preserve">redigovala modernistická škola Grossetesteho žáků </w:t>
      </w:r>
      <w:r w:rsidR="00640854">
        <w:t xml:space="preserve">a vydala jej až </w:t>
      </w:r>
      <w:r w:rsidR="00AD0F10">
        <w:t xml:space="preserve">po </w:t>
      </w:r>
      <w:r w:rsidR="00EF4BDF">
        <w:t xml:space="preserve">roce </w:t>
      </w:r>
      <w:r w:rsidR="08013AAC" w:rsidRPr="00273106">
        <w:t xml:space="preserve">1264. </w:t>
      </w:r>
      <w:r w:rsidR="00F72E99" w:rsidRPr="00273106">
        <w:t>T</w:t>
      </w:r>
      <w:r w:rsidR="00E449A5" w:rsidRPr="00273106">
        <w:t xml:space="preserve">raktát </w:t>
      </w:r>
      <w:r w:rsidR="00827DC4" w:rsidRPr="00273106">
        <w:rPr>
          <w:i/>
        </w:rPr>
        <w:t>Summa philosophiae</w:t>
      </w:r>
      <w:r w:rsidR="00827DC4" w:rsidRPr="00273106">
        <w:t xml:space="preserve"> </w:t>
      </w:r>
      <w:r w:rsidR="00C321B3" w:rsidRPr="00273106">
        <w:t xml:space="preserve">přímo </w:t>
      </w:r>
      <w:r w:rsidR="00E449A5" w:rsidRPr="00273106">
        <w:t>vychází z Grossetes</w:t>
      </w:r>
      <w:r w:rsidR="000F40D3" w:rsidRPr="00273106">
        <w:t>t</w:t>
      </w:r>
      <w:r w:rsidR="00E449A5" w:rsidRPr="00273106">
        <w:t>e</w:t>
      </w:r>
      <w:r w:rsidR="000F40D3" w:rsidRPr="00273106">
        <w:t>ho nauky</w:t>
      </w:r>
      <w:r w:rsidR="082F5175">
        <w:t xml:space="preserve"> </w:t>
      </w:r>
      <w:r w:rsidR="00F72E99" w:rsidRPr="00273106">
        <w:t xml:space="preserve">a </w:t>
      </w:r>
      <w:r w:rsidR="000F40D3" w:rsidRPr="00273106">
        <w:t>uka</w:t>
      </w:r>
      <w:r w:rsidR="086245DB" w:rsidRPr="00273106">
        <w:t xml:space="preserve">zuje </w:t>
      </w:r>
      <w:r w:rsidR="00CF752C" w:rsidRPr="00273106">
        <w:t xml:space="preserve">jeden ze </w:t>
      </w:r>
      <w:r w:rsidR="086245DB" w:rsidRPr="00273106">
        <w:t>zdroj</w:t>
      </w:r>
      <w:r w:rsidR="00CF752C" w:rsidRPr="00273106">
        <w:t>ů</w:t>
      </w:r>
      <w:r w:rsidR="086245DB" w:rsidRPr="00273106">
        <w:t xml:space="preserve"> objektivity</w:t>
      </w:r>
      <w:r w:rsidR="009A4408" w:rsidRPr="00273106">
        <w:t xml:space="preserve"> vzniklé v </w:t>
      </w:r>
      <w:r w:rsidR="08363F08">
        <w:t xml:space="preserve">další </w:t>
      </w:r>
      <w:r w:rsidR="009A4408" w:rsidRPr="00273106">
        <w:t xml:space="preserve">generaci oxfordských </w:t>
      </w:r>
      <w:r w:rsidR="009A4408" w:rsidRPr="00273106">
        <w:rPr>
          <w:i/>
        </w:rPr>
        <w:t>Latinorum</w:t>
      </w:r>
      <w:r w:rsidR="00CF752C" w:rsidRPr="00273106">
        <w:t xml:space="preserve">. </w:t>
      </w:r>
      <w:r w:rsidR="00995AE9" w:rsidRPr="00273106">
        <w:t xml:space="preserve">Vznik nového náhledu je dán ve dvou krocích, které generují novou formu jsoucna třetího druhu. </w:t>
      </w:r>
      <w:r w:rsidR="00270202">
        <w:t xml:space="preserve">Nejprve </w:t>
      </w:r>
      <w:r w:rsidR="003C6D53" w:rsidRPr="00273106">
        <w:t xml:space="preserve">je dána v modu </w:t>
      </w:r>
      <w:r w:rsidR="003C6D53" w:rsidRPr="00273106">
        <w:rPr>
          <w:i/>
        </w:rPr>
        <w:t>per prius</w:t>
      </w:r>
      <w:r w:rsidR="003C6D53" w:rsidRPr="00273106">
        <w:t xml:space="preserve"> věčná esence </w:t>
      </w:r>
      <w:r w:rsidR="003E3584">
        <w:t xml:space="preserve"> </w:t>
      </w:r>
      <w:r w:rsidR="003C6D53" w:rsidRPr="00273106">
        <w:t xml:space="preserve">a následně její </w:t>
      </w:r>
      <w:r w:rsidR="004F6B2F" w:rsidRPr="00273106">
        <w:t xml:space="preserve">kontingentní </w:t>
      </w:r>
      <w:r w:rsidR="08D83738">
        <w:t xml:space="preserve">podoba </w:t>
      </w:r>
      <w:r w:rsidR="004F6B2F">
        <w:t>predikovaná vzhledem k reálné hylemorfické substanci</w:t>
      </w:r>
      <w:r w:rsidR="003C6D53" w:rsidRPr="00273106">
        <w:t xml:space="preserve">. </w:t>
      </w:r>
      <w:r w:rsidR="00995AE9" w:rsidRPr="00273106">
        <w:t xml:space="preserve">První krok musí </w:t>
      </w:r>
      <w:r w:rsidR="003E1967">
        <w:t xml:space="preserve">definovat receptivní </w:t>
      </w:r>
      <w:r w:rsidR="00995AE9" w:rsidRPr="00273106">
        <w:t>schopnost duše</w:t>
      </w:r>
      <w:r w:rsidR="003E1967">
        <w:t xml:space="preserve"> </w:t>
      </w:r>
      <w:r w:rsidR="003E1967" w:rsidRPr="00273106">
        <w:t xml:space="preserve">podle </w:t>
      </w:r>
      <w:r w:rsidR="003E1967" w:rsidRPr="00273106">
        <w:rPr>
          <w:i/>
        </w:rPr>
        <w:t>Oxfordian Fallacy</w:t>
      </w:r>
      <w:r w:rsidR="003E1967">
        <w:t xml:space="preserve"> a konfrontovat ji s termínem </w:t>
      </w:r>
      <w:r w:rsidR="003E1967" w:rsidRPr="00273106">
        <w:rPr>
          <w:i/>
        </w:rPr>
        <w:t xml:space="preserve">intellectus </w:t>
      </w:r>
      <w:r w:rsidR="003E1967">
        <w:rPr>
          <w:i/>
        </w:rPr>
        <w:t xml:space="preserve">in </w:t>
      </w:r>
      <w:r w:rsidR="003E1967" w:rsidRPr="00273106">
        <w:rPr>
          <w:i/>
        </w:rPr>
        <w:t>po</w:t>
      </w:r>
      <w:r w:rsidR="003E1967">
        <w:rPr>
          <w:i/>
        </w:rPr>
        <w:t>tentia</w:t>
      </w:r>
      <w:r w:rsidR="003E1967">
        <w:rPr>
          <w:i/>
        </w:rPr>
        <w:fldChar w:fldCharType="begin"/>
      </w:r>
      <w:r w:rsidR="003E1967">
        <w:instrText xml:space="preserve"> XE "</w:instrText>
      </w:r>
      <w:r w:rsidR="003E1967" w:rsidRPr="00770D02">
        <w:rPr>
          <w:i/>
        </w:rPr>
        <w:instrText>intellectus possibilis</w:instrText>
      </w:r>
      <w:r w:rsidR="003E1967">
        <w:instrText xml:space="preserve">:druhý averroimus" </w:instrText>
      </w:r>
      <w:r w:rsidR="003E1967">
        <w:rPr>
          <w:i/>
        </w:rPr>
        <w:fldChar w:fldCharType="end"/>
      </w:r>
      <w:r w:rsidR="003E1967">
        <w:t>, který měl první averroismus</w:t>
      </w:r>
      <w:r w:rsidR="00995AE9" w:rsidRPr="00273106">
        <w:t xml:space="preserve">. Neznámý autor ze školy druhého averrorismu </w:t>
      </w:r>
      <w:r w:rsidR="003E1967">
        <w:t xml:space="preserve">vzal </w:t>
      </w:r>
      <w:r w:rsidR="003E1967" w:rsidRPr="00273106">
        <w:t xml:space="preserve">definici </w:t>
      </w:r>
      <w:r w:rsidR="003E1967" w:rsidRPr="00273106">
        <w:rPr>
          <w:i/>
        </w:rPr>
        <w:t>intellectus possibilis</w:t>
      </w:r>
      <w:r w:rsidR="003E1967">
        <w:t xml:space="preserve"> podle Akvinského (OBJ III, kap. 4.5.1)</w:t>
      </w:r>
      <w:r w:rsidR="00A6167D">
        <w:t xml:space="preserve">. Kosmická verze </w:t>
      </w:r>
      <w:r w:rsidR="08A24BE3">
        <w:t>to</w:t>
      </w:r>
      <w:r w:rsidR="003E1967">
        <w:t>hoto intelektu</w:t>
      </w:r>
      <w:r w:rsidR="00A6167D">
        <w:t xml:space="preserve"> představuje kompletní negaci nauky podané v CMDA</w:t>
      </w:r>
      <w:r w:rsidR="08A24BE3">
        <w:t>.</w:t>
      </w:r>
    </w:p>
    <w:p w14:paraId="567B2664" w14:textId="0CC493AE" w:rsidR="00995AE9" w:rsidRPr="00273106" w:rsidRDefault="00995AE9" w:rsidP="00995AE9">
      <w:pPr>
        <w:pStyle w:val="Citace"/>
        <w:rPr>
          <w:noProof/>
          <w:lang w:val="cs-CZ"/>
        </w:rPr>
      </w:pPr>
      <w:r w:rsidRPr="00273106">
        <w:rPr>
          <w:noProof/>
          <w:lang w:val="cs-CZ"/>
        </w:rPr>
        <w:t>„Je</w:t>
      </w:r>
      <w:r w:rsidR="00757455" w:rsidRPr="00273106">
        <w:rPr>
          <w:noProof/>
          <w:lang w:val="cs-CZ"/>
        </w:rPr>
        <w:t>s</w:t>
      </w:r>
      <w:r w:rsidRPr="00273106">
        <w:rPr>
          <w:noProof/>
          <w:lang w:val="cs-CZ"/>
        </w:rPr>
        <w:t xml:space="preserve">tliže mluvíme o možném intelektu, míníme tím dvojí. </w:t>
      </w:r>
      <w:r w:rsidR="08766978">
        <w:rPr>
          <w:noProof/>
          <w:lang w:val="cs-CZ"/>
        </w:rPr>
        <w:t>T</w:t>
      </w:r>
      <w:r w:rsidRPr="00273106">
        <w:rPr>
          <w:noProof/>
          <w:lang w:val="cs-CZ"/>
        </w:rPr>
        <w:t>ento intelekt není nic jiného než subs</w:t>
      </w:r>
      <w:r w:rsidR="005F113F">
        <w:rPr>
          <w:noProof/>
          <w:lang w:val="cs-CZ"/>
        </w:rPr>
        <w:t>tance nebo duchovní inteligence</w:t>
      </w:r>
      <w:r w:rsidR="00094357">
        <w:rPr>
          <w:noProof/>
          <w:lang w:val="cs-CZ"/>
        </w:rPr>
        <w:t xml:space="preserve"> (</w:t>
      </w:r>
      <w:r w:rsidR="00094357" w:rsidRPr="00094357">
        <w:rPr>
          <w:i/>
        </w:rPr>
        <w:t>substantia vel spiritus intelligibilis</w:t>
      </w:r>
      <w:r w:rsidR="00094357">
        <w:rPr>
          <w:noProof/>
          <w:lang w:val="cs-CZ"/>
        </w:rPr>
        <w:t>)</w:t>
      </w:r>
      <w:r w:rsidR="005F113F">
        <w:rPr>
          <w:noProof/>
          <w:lang w:val="cs-CZ"/>
        </w:rPr>
        <w:t xml:space="preserve">, k níž patří určitá </w:t>
      </w:r>
      <w:r w:rsidRPr="00273106">
        <w:rPr>
          <w:noProof/>
          <w:lang w:val="cs-CZ"/>
        </w:rPr>
        <w:t>forma potence</w:t>
      </w:r>
      <w:r w:rsidR="005F113F">
        <w:rPr>
          <w:noProof/>
          <w:lang w:val="cs-CZ"/>
        </w:rPr>
        <w:t xml:space="preserve">. </w:t>
      </w:r>
      <w:r w:rsidR="08766978">
        <w:rPr>
          <w:noProof/>
          <w:lang w:val="cs-CZ"/>
        </w:rPr>
        <w:t xml:space="preserve">A tato </w:t>
      </w:r>
      <w:r w:rsidR="004D54B5">
        <w:rPr>
          <w:noProof/>
          <w:lang w:val="cs-CZ"/>
        </w:rPr>
        <w:t xml:space="preserve">potence tvoří případek </w:t>
      </w:r>
      <w:r w:rsidRPr="00273106">
        <w:rPr>
          <w:noProof/>
          <w:lang w:val="cs-CZ"/>
        </w:rPr>
        <w:t>věcí</w:t>
      </w:r>
      <w:r w:rsidR="004D54B5">
        <w:rPr>
          <w:noProof/>
          <w:lang w:val="cs-CZ"/>
        </w:rPr>
        <w:t xml:space="preserve"> a </w:t>
      </w:r>
      <w:r w:rsidR="005F113F">
        <w:rPr>
          <w:noProof/>
          <w:lang w:val="cs-CZ"/>
        </w:rPr>
        <w:t xml:space="preserve">nějak souvisí s </w:t>
      </w:r>
      <w:r w:rsidR="08766978">
        <w:rPr>
          <w:noProof/>
          <w:lang w:val="cs-CZ"/>
        </w:rPr>
        <w:t xml:space="preserve">takto </w:t>
      </w:r>
      <w:r w:rsidR="00AE5FFB">
        <w:rPr>
          <w:noProof/>
          <w:lang w:val="cs-CZ"/>
        </w:rPr>
        <w:t xml:space="preserve">daným </w:t>
      </w:r>
      <w:r w:rsidRPr="00273106">
        <w:rPr>
          <w:noProof/>
          <w:lang w:val="cs-CZ"/>
        </w:rPr>
        <w:t>bytí</w:t>
      </w:r>
      <w:r w:rsidR="005F113F">
        <w:rPr>
          <w:noProof/>
          <w:lang w:val="cs-CZ"/>
        </w:rPr>
        <w:t>m</w:t>
      </w:r>
      <w:r w:rsidRPr="00273106">
        <w:rPr>
          <w:noProof/>
          <w:lang w:val="cs-CZ"/>
        </w:rPr>
        <w:t xml:space="preserve"> duše nebo </w:t>
      </w:r>
      <w:r w:rsidR="005F113F">
        <w:rPr>
          <w:noProof/>
          <w:lang w:val="cs-CZ"/>
        </w:rPr>
        <w:t>ducha</w:t>
      </w:r>
      <w:r w:rsidR="006A41DD">
        <w:rPr>
          <w:noProof/>
          <w:lang w:val="cs-CZ"/>
        </w:rPr>
        <w:t xml:space="preserve"> (</w:t>
      </w:r>
      <w:r w:rsidR="006A41DD" w:rsidRPr="006A41DD">
        <w:rPr>
          <w:rFonts w:cs="Calibri"/>
          <w:i/>
        </w:rPr>
        <w:t>quoddam consequens quoddam esse animae vel spiritus</w:t>
      </w:r>
      <w:r w:rsidR="006A41DD">
        <w:rPr>
          <w:noProof/>
          <w:lang w:val="cs-CZ"/>
        </w:rPr>
        <w:t>)</w:t>
      </w:r>
      <w:r w:rsidR="005F113F">
        <w:rPr>
          <w:noProof/>
          <w:lang w:val="cs-CZ"/>
        </w:rPr>
        <w:t xml:space="preserve">. </w:t>
      </w:r>
      <w:r w:rsidRPr="00273106">
        <w:rPr>
          <w:noProof/>
          <w:lang w:val="cs-CZ"/>
        </w:rPr>
        <w:t>Ale pravdivější forma možného intelektu v tom, čím je intelekt, není dána v</w:t>
      </w:r>
      <w:r w:rsidR="00812243">
        <w:rPr>
          <w:noProof/>
          <w:lang w:val="cs-CZ"/>
        </w:rPr>
        <w:t xml:space="preserve"> jeho </w:t>
      </w:r>
      <w:r w:rsidR="08766978">
        <w:rPr>
          <w:noProof/>
          <w:lang w:val="cs-CZ"/>
        </w:rPr>
        <w:t>esenci</w:t>
      </w:r>
      <w:r w:rsidRPr="00273106">
        <w:rPr>
          <w:noProof/>
          <w:lang w:val="cs-CZ"/>
        </w:rPr>
        <w:t xml:space="preserve">, ale v  </w:t>
      </w:r>
      <w:r w:rsidR="08766978">
        <w:rPr>
          <w:noProof/>
          <w:lang w:val="cs-CZ"/>
        </w:rPr>
        <w:t>jeho aktuální existenci</w:t>
      </w:r>
      <w:r w:rsidRPr="00273106">
        <w:rPr>
          <w:noProof/>
          <w:lang w:val="cs-CZ"/>
        </w:rPr>
        <w:t xml:space="preserve"> (</w:t>
      </w:r>
      <w:r w:rsidRPr="00273106">
        <w:rPr>
          <w:i/>
          <w:noProof/>
          <w:lang w:val="cs-CZ"/>
        </w:rPr>
        <w:t>substantia non est, sed subsistentiae</w:t>
      </w:r>
      <w:r w:rsidRPr="00273106">
        <w:rPr>
          <w:noProof/>
          <w:lang w:val="cs-CZ"/>
        </w:rPr>
        <w:t xml:space="preserve">). Tento intelekt je </w:t>
      </w:r>
      <w:r w:rsidR="084276E3">
        <w:rPr>
          <w:noProof/>
          <w:lang w:val="cs-CZ"/>
        </w:rPr>
        <w:t xml:space="preserve">totiž </w:t>
      </w:r>
      <w:r w:rsidRPr="00273106">
        <w:rPr>
          <w:noProof/>
          <w:lang w:val="cs-CZ"/>
        </w:rPr>
        <w:t>v možnosti (</w:t>
      </w:r>
      <w:r w:rsidRPr="00273106">
        <w:rPr>
          <w:i/>
          <w:noProof/>
          <w:lang w:val="cs-CZ"/>
        </w:rPr>
        <w:t>quatenus possibilis</w:t>
      </w:r>
      <w:r w:rsidRPr="00273106">
        <w:rPr>
          <w:noProof/>
          <w:lang w:val="cs-CZ"/>
        </w:rPr>
        <w:t>) pouze akcidentálně (</w:t>
      </w:r>
      <w:r w:rsidRPr="00273106">
        <w:rPr>
          <w:i/>
          <w:noProof/>
          <w:lang w:val="cs-CZ"/>
        </w:rPr>
        <w:t>per accidens</w:t>
      </w:r>
      <w:r w:rsidRPr="00273106">
        <w:rPr>
          <w:noProof/>
          <w:lang w:val="cs-CZ"/>
        </w:rPr>
        <w:t xml:space="preserve">).“ </w:t>
      </w:r>
      <w:r w:rsidRPr="00273106">
        <w:rPr>
          <w:rStyle w:val="Znakapoznpodarou"/>
          <w:noProof/>
          <w:lang w:val="cs-CZ"/>
        </w:rPr>
        <w:footnoteReference w:id="333"/>
      </w:r>
    </w:p>
    <w:p w14:paraId="3436C99F" w14:textId="77777777" w:rsidR="005E25C9" w:rsidRDefault="00995AE9" w:rsidP="00DE4C83">
      <w:r w:rsidRPr="00273106">
        <w:t xml:space="preserve">Autor sleduje esencialistickou definici </w:t>
      </w:r>
      <w:r w:rsidR="005F6157">
        <w:t xml:space="preserve">intelektu </w:t>
      </w:r>
      <w:r w:rsidRPr="00273106">
        <w:t>danou dvěma kroky (</w:t>
      </w:r>
      <w:r w:rsidRPr="00273106">
        <w:rPr>
          <w:i/>
        </w:rPr>
        <w:t>duo dicimus</w:t>
      </w:r>
      <w:r w:rsidR="00D620BE" w:rsidRPr="00273106">
        <w:t>), která</w:t>
      </w:r>
      <w:r w:rsidRPr="00273106">
        <w:t xml:space="preserve"> se snaží integrovat </w:t>
      </w:r>
      <w:r w:rsidR="00D620BE" w:rsidRPr="00273106">
        <w:t xml:space="preserve">do </w:t>
      </w:r>
      <w:r w:rsidR="00B04D09">
        <w:t xml:space="preserve">receptivní složky </w:t>
      </w:r>
      <w:r w:rsidR="08111A9F">
        <w:t xml:space="preserve">lidského </w:t>
      </w:r>
      <w:r w:rsidR="00B04D09">
        <w:t>intelektu také s</w:t>
      </w:r>
      <w:r w:rsidRPr="00273106">
        <w:t xml:space="preserve">ubstanční pojetí intelektu </w:t>
      </w:r>
      <w:r w:rsidR="00D620BE" w:rsidRPr="00273106">
        <w:t>jako porretánské hypostáze</w:t>
      </w:r>
      <w:r w:rsidRPr="00273106">
        <w:t xml:space="preserve">. </w:t>
      </w:r>
      <w:r w:rsidR="080D3230">
        <w:t xml:space="preserve">Možný intelekt je určitá forma nedokonalosti poznání daná ve dvou patrech, tedy na kosmické a na lidské úrovni. Porretánská a avicennistická figura </w:t>
      </w:r>
      <w:r w:rsidR="080D3230" w:rsidRPr="080D3230">
        <w:rPr>
          <w:i/>
        </w:rPr>
        <w:t xml:space="preserve">intellectus </w:t>
      </w:r>
      <w:r w:rsidR="080D3230" w:rsidRPr="080D3230">
        <w:rPr>
          <w:i/>
        </w:rPr>
        <w:lastRenderedPageBreak/>
        <w:t>possib</w:t>
      </w:r>
      <w:r w:rsidR="080D3230">
        <w:rPr>
          <w:i/>
        </w:rPr>
        <w:t>i</w:t>
      </w:r>
      <w:r w:rsidR="080D3230" w:rsidRPr="080D3230">
        <w:rPr>
          <w:i/>
        </w:rPr>
        <w:t>lis</w:t>
      </w:r>
      <w:r w:rsidR="080D3230">
        <w:t xml:space="preserve"> je dána devalvací </w:t>
      </w:r>
      <w:r w:rsidR="080D3230" w:rsidRPr="080D3230">
        <w:rPr>
          <w:i/>
        </w:rPr>
        <w:t>intellectus agens</w:t>
      </w:r>
      <w:r w:rsidR="080D3230">
        <w:t xml:space="preserve">, protože i tato kosmická </w:t>
      </w:r>
      <w:r w:rsidR="089C757F">
        <w:t>nemateriál</w:t>
      </w:r>
      <w:r w:rsidR="080D3230">
        <w:t xml:space="preserve">ní inteligence byla stvořena jako aktuální substance a má v době určitou formu potence. </w:t>
      </w:r>
      <w:r w:rsidR="00AE5FFB">
        <w:t xml:space="preserve">Tím </w:t>
      </w:r>
      <w:r w:rsidR="080D3230">
        <w:t xml:space="preserve">vznikl </w:t>
      </w:r>
      <w:r w:rsidR="00AE5FFB">
        <w:t xml:space="preserve">typický averroistický scénář možného intelektu jako oddělené </w:t>
      </w:r>
      <w:r w:rsidR="080669DE">
        <w:t xml:space="preserve">kosmické </w:t>
      </w:r>
      <w:r w:rsidR="00AE5FFB">
        <w:t>substance</w:t>
      </w:r>
      <w:r w:rsidR="080669DE">
        <w:t>, která se s člověkem spojuje zv</w:t>
      </w:r>
      <w:r w:rsidR="08AB68C9">
        <w:t>n</w:t>
      </w:r>
      <w:r w:rsidR="080669DE">
        <w:t xml:space="preserve">ějšku v avicennovském modu </w:t>
      </w:r>
      <w:r w:rsidR="082453D7">
        <w:rPr>
          <w:i/>
        </w:rPr>
        <w:t>coniunctio</w:t>
      </w:r>
      <w:r w:rsidR="080669DE">
        <w:t xml:space="preserve">. </w:t>
      </w:r>
      <w:r w:rsidRPr="00273106">
        <w:t>Intelekt je inteligibilní substance nebo duch (</w:t>
      </w:r>
      <w:r w:rsidRPr="00273106">
        <w:rPr>
          <w:i/>
        </w:rPr>
        <w:t>substantia vel spiritus intelligibilis</w:t>
      </w:r>
      <w:r w:rsidRPr="00273106">
        <w:t xml:space="preserve">). </w:t>
      </w:r>
      <w:r w:rsidR="08AB68C9" w:rsidRPr="00273106">
        <w:t xml:space="preserve">Tento </w:t>
      </w:r>
      <w:r w:rsidR="08AB68C9" w:rsidRPr="00273106">
        <w:rPr>
          <w:i/>
        </w:rPr>
        <w:t>intellectus possibilis</w:t>
      </w:r>
      <w:r w:rsidR="08AB68C9" w:rsidRPr="00273106">
        <w:t xml:space="preserve"> druhého averroismu je substancí</w:t>
      </w:r>
      <w:r w:rsidR="08AB68C9" w:rsidRPr="00273106">
        <w:rPr>
          <w:i/>
        </w:rPr>
        <w:t xml:space="preserve"> in potentia</w:t>
      </w:r>
      <w:r w:rsidR="08AB68C9" w:rsidRPr="00273106">
        <w:t xml:space="preserve">, která není </w:t>
      </w:r>
      <w:r w:rsidR="08AB68C9">
        <w:t>úplně substancí</w:t>
      </w:r>
      <w:r w:rsidR="085B7DA2">
        <w:t xml:space="preserve"> </w:t>
      </w:r>
      <w:r w:rsidR="085B7DA2" w:rsidRPr="00273106">
        <w:t>(</w:t>
      </w:r>
      <w:r w:rsidR="085B7DA2" w:rsidRPr="00273106">
        <w:rPr>
          <w:i/>
        </w:rPr>
        <w:t>substantia non est, sed subsistentiae</w:t>
      </w:r>
      <w:r w:rsidR="085B7DA2" w:rsidRPr="00273106">
        <w:t>)</w:t>
      </w:r>
      <w:r w:rsidR="085B7DA2">
        <w:t xml:space="preserve">. </w:t>
      </w:r>
      <w:r w:rsidR="08256A3C">
        <w:t xml:space="preserve">Subsistence je důležitá, protože spojuje kosmický intelekt </w:t>
      </w:r>
      <w:r w:rsidR="08EC3EE7">
        <w:t xml:space="preserve">jako oddělenou substanci </w:t>
      </w:r>
      <w:r w:rsidR="08256A3C">
        <w:t xml:space="preserve">s lidským kontigentním výkonem myšlení. </w:t>
      </w:r>
      <w:r w:rsidRPr="00273106">
        <w:t xml:space="preserve">Druhý krok připomíná, že </w:t>
      </w:r>
      <w:r w:rsidRPr="00273106">
        <w:rPr>
          <w:i/>
        </w:rPr>
        <w:t>intellectus possibilis</w:t>
      </w:r>
      <w:r w:rsidRPr="00273106">
        <w:t xml:space="preserve"> existuje v pouhé možnosti, tedy jako akcident vzhledem k reálné </w:t>
      </w:r>
      <w:r w:rsidR="08FE7EE0">
        <w:t xml:space="preserve">první </w:t>
      </w:r>
      <w:r w:rsidRPr="00273106">
        <w:t>substanci (</w:t>
      </w:r>
      <w:r w:rsidRPr="00273106">
        <w:rPr>
          <w:i/>
        </w:rPr>
        <w:t>possibilitatem, quae est rerum accidens</w:t>
      </w:r>
      <w:r w:rsidRPr="00273106">
        <w:t xml:space="preserve">). </w:t>
      </w:r>
      <w:r w:rsidR="004523D9">
        <w:t>Věčné formy mohou akcidentálně</w:t>
      </w:r>
      <w:r w:rsidR="00384CB8">
        <w:t xml:space="preserve"> exist</w:t>
      </w:r>
      <w:r w:rsidR="004523D9">
        <w:t>ovat</w:t>
      </w:r>
      <w:r w:rsidR="00384CB8">
        <w:t xml:space="preserve"> v hylemo</w:t>
      </w:r>
      <w:r w:rsidR="08FE7EE0">
        <w:t>r</w:t>
      </w:r>
      <w:r w:rsidR="004523D9">
        <w:t>fické realitě. T</w:t>
      </w:r>
      <w:r w:rsidR="00384CB8">
        <w:t xml:space="preserve">ím </w:t>
      </w:r>
      <w:r w:rsidR="004523D9">
        <w:t xml:space="preserve">je </w:t>
      </w:r>
      <w:r w:rsidR="00B23335">
        <w:t xml:space="preserve">dána </w:t>
      </w:r>
      <w:r w:rsidR="00384CB8">
        <w:t xml:space="preserve">možnost </w:t>
      </w:r>
      <w:r w:rsidR="083E4A82">
        <w:t xml:space="preserve">kontingentního </w:t>
      </w:r>
      <w:r w:rsidR="00384CB8">
        <w:t>poznání</w:t>
      </w:r>
      <w:r w:rsidR="083E4A82">
        <w:t xml:space="preserve"> věčné formy</w:t>
      </w:r>
      <w:r w:rsidR="00B23335">
        <w:t xml:space="preserve"> v aristotelském scénáři poznání</w:t>
      </w:r>
      <w:r w:rsidR="00384CB8">
        <w:t xml:space="preserve">. </w:t>
      </w:r>
      <w:r w:rsidR="004E7AA5">
        <w:t>F</w:t>
      </w:r>
      <w:r w:rsidRPr="00273106">
        <w:t>unkce možného inte</w:t>
      </w:r>
      <w:r w:rsidR="00104556">
        <w:t>lektu je shrnuta v tvrzení, že nějak následuje</w:t>
      </w:r>
      <w:r w:rsidRPr="00273106">
        <w:t xml:space="preserve"> (</w:t>
      </w:r>
      <w:r w:rsidRPr="00273106">
        <w:rPr>
          <w:i/>
        </w:rPr>
        <w:t>quoddam consequens</w:t>
      </w:r>
      <w:r w:rsidRPr="00273106">
        <w:t xml:space="preserve">) činnost duše v jejím nemateriálním poznání. </w:t>
      </w:r>
      <w:r w:rsidR="00552C1B">
        <w:t xml:space="preserve">Schéma </w:t>
      </w:r>
      <w:r w:rsidR="004E7AA5">
        <w:t xml:space="preserve">anonymního avicennisty </w:t>
      </w:r>
      <w:r w:rsidR="00552C1B">
        <w:t xml:space="preserve">trpí stejnou nejasností ohledně možného intelektu jako citované pojetí </w:t>
      </w:r>
      <w:r w:rsidR="08A86E59">
        <w:rPr>
          <w:i/>
        </w:rPr>
        <w:t>Summa D</w:t>
      </w:r>
      <w:r w:rsidR="00552C1B" w:rsidRPr="00552C1B">
        <w:rPr>
          <w:i/>
        </w:rPr>
        <w:t>uacensis</w:t>
      </w:r>
      <w:r w:rsidR="08A86E59">
        <w:rPr>
          <w:i/>
        </w:rPr>
        <w:fldChar w:fldCharType="begin"/>
      </w:r>
      <w:r w:rsidR="08A86E59">
        <w:instrText xml:space="preserve"> XE "</w:instrText>
      </w:r>
      <w:r w:rsidR="08A86E59" w:rsidRPr="08E1075C">
        <w:rPr>
          <w:i/>
        </w:rPr>
        <w:instrText>Summa Duacensis</w:instrText>
      </w:r>
      <w:r w:rsidR="08A86E59">
        <w:instrText xml:space="preserve">" </w:instrText>
      </w:r>
      <w:r w:rsidR="08A86E59">
        <w:rPr>
          <w:i/>
        </w:rPr>
        <w:fldChar w:fldCharType="end"/>
      </w:r>
      <w:r w:rsidR="00552C1B">
        <w:t xml:space="preserve"> </w:t>
      </w:r>
      <w:r w:rsidR="082C349F">
        <w:t xml:space="preserve">psané o třicet let předtím </w:t>
      </w:r>
      <w:r w:rsidR="00552C1B">
        <w:t>(kap</w:t>
      </w:r>
      <w:r w:rsidR="08EF6D4C">
        <w:t>. 2</w:t>
      </w:r>
      <w:r w:rsidR="004E7AA5">
        <w:t>.2</w:t>
      </w:r>
      <w:r w:rsidR="085022FC">
        <w:t>.2</w:t>
      </w:r>
      <w:r w:rsidR="004E7AA5">
        <w:t>)</w:t>
      </w:r>
      <w:r w:rsidR="00360E92">
        <w:t>. A</w:t>
      </w:r>
      <w:r w:rsidR="00360E92" w:rsidRPr="00360E92">
        <w:t xml:space="preserve">verroistická forma </w:t>
      </w:r>
      <w:r w:rsidR="00360E92" w:rsidRPr="00360E92">
        <w:rPr>
          <w:i/>
        </w:rPr>
        <w:t>intellectus possibilis</w:t>
      </w:r>
      <w:r w:rsidR="00360E92" w:rsidRPr="00360E92">
        <w:t xml:space="preserve"> jako </w:t>
      </w:r>
      <w:r w:rsidR="00360E92">
        <w:t xml:space="preserve">oddělené </w:t>
      </w:r>
      <w:r w:rsidR="00360E92" w:rsidRPr="00360E92">
        <w:t xml:space="preserve">substance </w:t>
      </w:r>
      <w:r w:rsidR="00360E92">
        <w:t xml:space="preserve">je </w:t>
      </w:r>
      <w:r w:rsidR="00360E92" w:rsidRPr="00360E92">
        <w:t>dvojnásobně</w:t>
      </w:r>
      <w:r w:rsidR="00360E92">
        <w:t xml:space="preserve"> nedokonalá, což </w:t>
      </w:r>
      <w:r w:rsidR="00360E92" w:rsidRPr="00360E92">
        <w:t xml:space="preserve">ukazují oba výrazy </w:t>
      </w:r>
      <w:r w:rsidR="00360E92" w:rsidRPr="00360E92">
        <w:rPr>
          <w:i/>
        </w:rPr>
        <w:t>quoddam</w:t>
      </w:r>
      <w:r w:rsidR="00360E92" w:rsidRPr="00360E92">
        <w:t xml:space="preserve">. Druhá nedokonalost se týká </w:t>
      </w:r>
      <w:r w:rsidR="00360E92" w:rsidRPr="00360E92">
        <w:rPr>
          <w:i/>
        </w:rPr>
        <w:t>intellectus possibilis</w:t>
      </w:r>
      <w:r w:rsidR="00360E92" w:rsidRPr="00360E92">
        <w:t xml:space="preserve"> jako neurčité a kontingentní poznávací potence v člověku.</w:t>
      </w:r>
      <w:r w:rsidR="00360E92">
        <w:t xml:space="preserve"> </w:t>
      </w:r>
      <w:r w:rsidR="00BA2789">
        <w:t>O</w:t>
      </w:r>
      <w:r w:rsidR="006F04B2">
        <w:t>bě formy intelektu mají substanční a subsistentní charakter</w:t>
      </w:r>
      <w:r w:rsidR="08316C72">
        <w:t>. Ale moderní sofista se snaží, aby možný intelekt nějak (</w:t>
      </w:r>
      <w:r w:rsidR="08316C72" w:rsidRPr="00273106">
        <w:rPr>
          <w:i/>
        </w:rPr>
        <w:t>quoddam</w:t>
      </w:r>
      <w:r w:rsidR="08316C72">
        <w:t xml:space="preserve">) </w:t>
      </w:r>
      <w:r w:rsidR="08543D84">
        <w:t xml:space="preserve">byl </w:t>
      </w:r>
      <w:r w:rsidR="08B82AC4">
        <w:t xml:space="preserve">přímo v člověku, </w:t>
      </w:r>
      <w:r w:rsidR="08543D84">
        <w:t xml:space="preserve">a přitom </w:t>
      </w:r>
      <w:r w:rsidR="08316C72">
        <w:t xml:space="preserve">nevypadal jako </w:t>
      </w:r>
      <w:r w:rsidR="08864561">
        <w:t xml:space="preserve">kosmická </w:t>
      </w:r>
      <w:r w:rsidR="08316C72">
        <w:t>hypostáze.</w:t>
      </w:r>
      <w:r w:rsidR="08FD1A2B">
        <w:t xml:space="preserve"> První forma intelektu existuje </w:t>
      </w:r>
      <w:r w:rsidR="006F04B2">
        <w:t>aktuálně</w:t>
      </w:r>
      <w:r w:rsidR="00104556">
        <w:t xml:space="preserve"> ve smyslu stvořené kosmické formy</w:t>
      </w:r>
      <w:r w:rsidR="006F04B2">
        <w:t xml:space="preserve">, druhá </w:t>
      </w:r>
      <w:r w:rsidR="08FD1A2B">
        <w:t xml:space="preserve">forma „exsistuje“ </w:t>
      </w:r>
      <w:r w:rsidR="006F04B2">
        <w:t>potenciálně</w:t>
      </w:r>
      <w:r w:rsidR="00104556">
        <w:t xml:space="preserve"> kvůli lidskému procesu poznání daného sestupem této </w:t>
      </w:r>
      <w:r w:rsidR="089C4F13">
        <w:t xml:space="preserve">kosmického </w:t>
      </w:r>
      <w:r w:rsidR="089C4F13" w:rsidRPr="089C4F13">
        <w:rPr>
          <w:i/>
        </w:rPr>
        <w:t>intellectus agens</w:t>
      </w:r>
      <w:r w:rsidR="089C4F13">
        <w:t xml:space="preserve"> </w:t>
      </w:r>
      <w:r w:rsidR="00104556">
        <w:t xml:space="preserve">do </w:t>
      </w:r>
      <w:r w:rsidR="089C4F13">
        <w:t>kontingentně dané lidské schopnosti poznání</w:t>
      </w:r>
      <w:r w:rsidR="08864561">
        <w:t xml:space="preserve"> (</w:t>
      </w:r>
      <w:r w:rsidR="08864561">
        <w:rPr>
          <w:i/>
        </w:rPr>
        <w:t>subsistentiae</w:t>
      </w:r>
      <w:r w:rsidR="08864561">
        <w:t>)</w:t>
      </w:r>
      <w:r w:rsidR="08FD1A2B">
        <w:t xml:space="preserve">. Ale možnost přijat kosmickou formu intelektu v nás </w:t>
      </w:r>
      <w:r w:rsidR="089C4F13">
        <w:t xml:space="preserve">existuje </w:t>
      </w:r>
      <w:r w:rsidR="08FD1A2B">
        <w:t xml:space="preserve">vždy, proto musí být také hypostázovaná. Kdyby </w:t>
      </w:r>
      <w:r w:rsidR="08FD1A2B" w:rsidRPr="08FD1A2B">
        <w:rPr>
          <w:i/>
        </w:rPr>
        <w:t>intellectus in potentia</w:t>
      </w:r>
      <w:r w:rsidR="08FD1A2B">
        <w:t xml:space="preserve"> nebyl hypostáze, tak </w:t>
      </w:r>
      <w:r w:rsidR="089C4F13">
        <w:t>by nemohl přijímat substanční činný intele</w:t>
      </w:r>
      <w:r w:rsidR="08FD1A2B">
        <w:t>k</w:t>
      </w:r>
      <w:r w:rsidR="089C4F13">
        <w:t xml:space="preserve">t přicházející zvnějšku. </w:t>
      </w:r>
      <w:r w:rsidR="00E174CE">
        <w:t xml:space="preserve">Rozdílem dvou hypostází </w:t>
      </w:r>
      <w:r w:rsidR="00E174CE" w:rsidRPr="00273106">
        <w:t xml:space="preserve">se vyřešila definice </w:t>
      </w:r>
      <w:r w:rsidR="00E174CE">
        <w:t xml:space="preserve">možného intelektu. Kosmická substance dostala </w:t>
      </w:r>
      <w:r w:rsidR="00824032">
        <w:t>lidskou</w:t>
      </w:r>
      <w:r w:rsidR="00E174CE">
        <w:t xml:space="preserve"> subsistenci jako kontigentně danou</w:t>
      </w:r>
      <w:r w:rsidR="00B86B47">
        <w:t xml:space="preserve"> </w:t>
      </w:r>
      <w:r w:rsidR="00E174CE">
        <w:t xml:space="preserve">potenci </w:t>
      </w:r>
      <w:r w:rsidRPr="00273106">
        <w:t>činného intelektu</w:t>
      </w:r>
      <w:r w:rsidR="00B86B47">
        <w:t>, který zde a nyní působí v konkrétním aktu poznání</w:t>
      </w:r>
      <w:r w:rsidRPr="00273106">
        <w:t>.</w:t>
      </w:r>
      <w:r w:rsidR="00824032">
        <w:t xml:space="preserve"> Tím </w:t>
      </w:r>
      <w:r w:rsidR="00824032" w:rsidRPr="00360E92">
        <w:rPr>
          <w:i/>
        </w:rPr>
        <w:t>intellectus possibilis</w:t>
      </w:r>
      <w:r w:rsidR="00824032" w:rsidRPr="00360E92">
        <w:t xml:space="preserve"> </w:t>
      </w:r>
      <w:r w:rsidR="00824032">
        <w:t xml:space="preserve">zanikl jako samostatná složka poznání, protože se stal pouhou nedokonalostí a omezeností kosmického a odděleného </w:t>
      </w:r>
      <w:r w:rsidR="00824032" w:rsidRPr="00360E92">
        <w:rPr>
          <w:i/>
        </w:rPr>
        <w:t xml:space="preserve">intellectus </w:t>
      </w:r>
      <w:r w:rsidR="00824032">
        <w:rPr>
          <w:i/>
        </w:rPr>
        <w:t>agens</w:t>
      </w:r>
      <w:r w:rsidR="00824032" w:rsidRPr="00824032">
        <w:t>.</w:t>
      </w:r>
      <w:r w:rsidR="00824032">
        <w:t xml:space="preserve"> </w:t>
      </w:r>
      <w:r w:rsidR="08E6076F">
        <w:t xml:space="preserve">Hypostázovaný intelekt v </w:t>
      </w:r>
      <w:r w:rsidR="08E6076F" w:rsidRPr="00273106">
        <w:t>kontigentní možnosti je pouhým akcidentem</w:t>
      </w:r>
      <w:r w:rsidR="087335BA">
        <w:t xml:space="preserve"> věčného aktivního intektu jako dárce </w:t>
      </w:r>
      <w:r w:rsidR="084162B4">
        <w:t xml:space="preserve">inteligibilních </w:t>
      </w:r>
      <w:r w:rsidR="087335BA">
        <w:t>forem</w:t>
      </w:r>
      <w:r w:rsidR="08856E10">
        <w:t xml:space="preserve">. Ty </w:t>
      </w:r>
      <w:r w:rsidR="084162B4">
        <w:t xml:space="preserve">se dají </w:t>
      </w:r>
      <w:r w:rsidR="084162B4">
        <w:lastRenderedPageBreak/>
        <w:t>najít i v kontinge</w:t>
      </w:r>
      <w:r w:rsidR="08624DE6">
        <w:t>n</w:t>
      </w:r>
      <w:r w:rsidR="084162B4">
        <w:t>tních prvních substancích daných hyleformicky</w:t>
      </w:r>
      <w:r w:rsidR="08E6076F" w:rsidRPr="00273106">
        <w:t xml:space="preserve">. </w:t>
      </w:r>
      <w:r w:rsidR="00824032" w:rsidRPr="00824032">
        <w:t>Pak platí schéma aktivního intelektu jako nezávislé substance a receptivního intelektu jako kontingentní schopnosti duše. Receptivní intelekt je v nás nedokonalý, protože zprostředkovává poznávání proměnlivých věcí prostřednictvím smyslů.</w:t>
      </w:r>
      <w:r w:rsidR="00824032">
        <w:t xml:space="preserve"> </w:t>
      </w:r>
      <w:r w:rsidRPr="00273106">
        <w:t xml:space="preserve">O receptivitě jako vlastním aktu </w:t>
      </w:r>
      <w:r w:rsidR="006D0257" w:rsidRPr="00273106">
        <w:rPr>
          <w:i/>
        </w:rPr>
        <w:t>intell</w:t>
      </w:r>
      <w:r w:rsidR="00A54E8D" w:rsidRPr="00273106">
        <w:rPr>
          <w:i/>
        </w:rPr>
        <w:t>e</w:t>
      </w:r>
      <w:r w:rsidR="006D0257" w:rsidRPr="00273106">
        <w:rPr>
          <w:i/>
        </w:rPr>
        <w:t>ctus possibilis</w:t>
      </w:r>
      <w:r w:rsidR="006D0257" w:rsidRPr="00273106">
        <w:t xml:space="preserve"> </w:t>
      </w:r>
      <w:r w:rsidRPr="00273106">
        <w:t>není řeč</w:t>
      </w:r>
      <w:r w:rsidR="001F16BF">
        <w:t xml:space="preserve">, protože možný intelekt nemá vlastní definici jako autonomní schopnost duše. Poznávací </w:t>
      </w:r>
      <w:r w:rsidR="006D0257" w:rsidRPr="00273106">
        <w:t xml:space="preserve">potence je dána jako </w:t>
      </w:r>
      <w:r w:rsidR="00311672">
        <w:t xml:space="preserve">akcidentální </w:t>
      </w:r>
      <w:r w:rsidR="006D0257" w:rsidRPr="00273106">
        <w:t xml:space="preserve">nedokonalost vzhledem k </w:t>
      </w:r>
      <w:r w:rsidR="00311672">
        <w:t xml:space="preserve">věčnému a nutnému </w:t>
      </w:r>
      <w:r w:rsidR="006D0257" w:rsidRPr="00273106">
        <w:rPr>
          <w:i/>
        </w:rPr>
        <w:t>intellectus agens</w:t>
      </w:r>
      <w:r w:rsidRPr="00273106">
        <w:t xml:space="preserve">. </w:t>
      </w:r>
      <w:r w:rsidR="08856E10">
        <w:t>Aktivní kosmický i</w:t>
      </w:r>
      <w:r w:rsidR="08856E10" w:rsidRPr="00273106">
        <w:t>ntelekt je primárně daný jako samosta</w:t>
      </w:r>
      <w:r w:rsidR="08856E10">
        <w:t xml:space="preserve">tně existující substance, která </w:t>
      </w:r>
      <w:r w:rsidR="08856E10" w:rsidRPr="00273106">
        <w:t xml:space="preserve">vykazuje </w:t>
      </w:r>
      <w:r w:rsidR="08856E10">
        <w:t xml:space="preserve">v realizaci své schopnosti určitou </w:t>
      </w:r>
      <w:r w:rsidR="08856E10" w:rsidRPr="00273106">
        <w:t>míru potence</w:t>
      </w:r>
      <w:r w:rsidR="08856E10">
        <w:t xml:space="preserve">. Ta je definovaná </w:t>
      </w:r>
      <w:r w:rsidR="08856E10" w:rsidRPr="00273106">
        <w:t xml:space="preserve">jako nutná nahodilost </w:t>
      </w:r>
      <w:r w:rsidR="08856E10">
        <w:t xml:space="preserve">nižšího stupně </w:t>
      </w:r>
      <w:r w:rsidR="08856E10" w:rsidRPr="00273106">
        <w:t>poznání</w:t>
      </w:r>
      <w:r w:rsidR="08856E10">
        <w:t xml:space="preserve"> determinovaného konting</w:t>
      </w:r>
      <w:r w:rsidR="00B23335">
        <w:t>encí reálných věcí. Hypostázovaná potence</w:t>
      </w:r>
      <w:r w:rsidR="08856E10">
        <w:t xml:space="preserve"> </w:t>
      </w:r>
      <w:r w:rsidR="08856E10" w:rsidRPr="08856E10">
        <w:rPr>
          <w:i/>
        </w:rPr>
        <w:t>intellectus agens</w:t>
      </w:r>
      <w:r w:rsidR="08856E10">
        <w:t xml:space="preserve"> </w:t>
      </w:r>
      <w:r w:rsidR="00B23335">
        <w:t xml:space="preserve">platí </w:t>
      </w:r>
      <w:r w:rsidR="08856E10">
        <w:t>ve smy</w:t>
      </w:r>
      <w:r w:rsidR="00824032">
        <w:t>slu jeho omezení a kontingence</w:t>
      </w:r>
      <w:r w:rsidR="00B23335">
        <w:t xml:space="preserve">. Aktivní intelekt sestupuje </w:t>
      </w:r>
      <w:r w:rsidR="00824032">
        <w:t xml:space="preserve">směrem dolů </w:t>
      </w:r>
      <w:r w:rsidR="00B23335">
        <w:t xml:space="preserve">a tím se stává </w:t>
      </w:r>
      <w:r w:rsidR="08856E10" w:rsidRPr="08856E10">
        <w:rPr>
          <w:i/>
        </w:rPr>
        <w:t>intelle</w:t>
      </w:r>
      <w:r w:rsidR="08DB42C7">
        <w:rPr>
          <w:i/>
        </w:rPr>
        <w:t>c</w:t>
      </w:r>
      <w:r w:rsidR="08856E10" w:rsidRPr="08856E10">
        <w:rPr>
          <w:i/>
        </w:rPr>
        <w:t>tus possibilis</w:t>
      </w:r>
      <w:r w:rsidR="08856E10">
        <w:t xml:space="preserve">. </w:t>
      </w:r>
      <w:r w:rsidR="00773CFF" w:rsidRPr="00773CFF">
        <w:t>Kosmická substance dostává lidskou subsistenci jako kontingentně daná potence aktivního intelektu, který působí tady a teď v konkrétním aktu poznání.</w:t>
      </w:r>
      <w:r w:rsidR="00773CFF">
        <w:t xml:space="preserve"> </w:t>
      </w:r>
      <w:r w:rsidR="08D64F6F">
        <w:t xml:space="preserve">Autorem tohoto pojetí kosmického </w:t>
      </w:r>
      <w:r w:rsidR="08D64F6F" w:rsidRPr="08D64F6F">
        <w:rPr>
          <w:i/>
        </w:rPr>
        <w:t>intellectus possibilis</w:t>
      </w:r>
      <w:r w:rsidR="08D64F6F">
        <w:t xml:space="preserve"> je </w:t>
      </w:r>
      <w:r w:rsidR="008539A0">
        <w:t xml:space="preserve">Tomáš </w:t>
      </w:r>
      <w:r w:rsidR="08D64F6F">
        <w:t>Akvinský</w:t>
      </w:r>
      <w:r w:rsidR="00825EB0">
        <w:t xml:space="preserve">. Ten ale </w:t>
      </w:r>
      <w:r w:rsidR="08D64F6F">
        <w:t xml:space="preserve">připsal </w:t>
      </w:r>
      <w:r w:rsidR="00825EB0">
        <w:t xml:space="preserve">tento kosmický nesmysl </w:t>
      </w:r>
      <w:r w:rsidR="08D64F6F">
        <w:t>ave</w:t>
      </w:r>
      <w:r w:rsidR="08DA0612">
        <w:t>rroistickému Averroesovi (</w:t>
      </w:r>
      <w:r w:rsidR="08D17C45">
        <w:t xml:space="preserve">OBJ III, </w:t>
      </w:r>
      <w:r w:rsidR="08DA0612">
        <w:t>kap. 4</w:t>
      </w:r>
      <w:r w:rsidR="08D64F6F">
        <w:t xml:space="preserve">.5.1). </w:t>
      </w:r>
      <w:r w:rsidRPr="00273106">
        <w:t xml:space="preserve">Traktát </w:t>
      </w:r>
      <w:r w:rsidR="00E57666" w:rsidRPr="007551D7">
        <w:rPr>
          <w:i/>
        </w:rPr>
        <w:t>Summa philosophiae</w:t>
      </w:r>
      <w:r w:rsidR="00E57666">
        <w:t xml:space="preserve"> </w:t>
      </w:r>
      <w:r w:rsidRPr="00273106">
        <w:t xml:space="preserve">vznikl v prostředí druhého averroismu a interpretuje Grossetesteho nauku </w:t>
      </w:r>
      <w:r w:rsidR="00433D54">
        <w:t xml:space="preserve">avicennovským </w:t>
      </w:r>
      <w:r w:rsidRPr="00273106">
        <w:t xml:space="preserve">směrem, který </w:t>
      </w:r>
      <w:r w:rsidR="00433D54" w:rsidRPr="00273106">
        <w:t xml:space="preserve">neobsahují </w:t>
      </w:r>
      <w:r w:rsidR="085A37D5">
        <w:t xml:space="preserve">jeho </w:t>
      </w:r>
      <w:r w:rsidRPr="00273106">
        <w:t>původní texty.</w:t>
      </w:r>
      <w:r w:rsidR="001335FD">
        <w:t xml:space="preserve"> </w:t>
      </w:r>
      <w:r w:rsidRPr="00273106">
        <w:t>Spis dosvědčuje zásadní změnu ve druhém averroismu</w:t>
      </w:r>
      <w:r w:rsidR="00D07BD8">
        <w:t>, který</w:t>
      </w:r>
      <w:r w:rsidR="08372415">
        <w:t xml:space="preserve"> </w:t>
      </w:r>
      <w:r w:rsidR="00D07BD8">
        <w:t xml:space="preserve">zhruba </w:t>
      </w:r>
      <w:r w:rsidR="08372415">
        <w:t>od roku 1265 přijal učení prvního tomismu</w:t>
      </w:r>
      <w:r w:rsidR="00D07BD8">
        <w:t xml:space="preserve">. Tento vývoj ukazuje </w:t>
      </w:r>
      <w:r w:rsidR="08372415">
        <w:t>roz</w:t>
      </w:r>
      <w:r w:rsidR="08DA0612">
        <w:t xml:space="preserve">bor Oxfordského rukopisu </w:t>
      </w:r>
      <w:r w:rsidR="006D5FAC" w:rsidRPr="00924AC7">
        <w:rPr>
          <w:i/>
          <w:szCs w:val="24"/>
        </w:rPr>
        <w:t>De anima</w:t>
      </w:r>
      <w:r w:rsidR="006D5FAC">
        <w:rPr>
          <w:i/>
          <w:szCs w:val="24"/>
        </w:rPr>
        <w:t xml:space="preserve"> </w:t>
      </w:r>
      <w:r w:rsidR="08DA0612">
        <w:t>(</w:t>
      </w:r>
      <w:r w:rsidR="08D17C45">
        <w:t xml:space="preserve">OBJ III, </w:t>
      </w:r>
      <w:r w:rsidR="08DA0612">
        <w:t>kap. 4</w:t>
      </w:r>
      <w:r w:rsidR="08372415">
        <w:t>.3.2)</w:t>
      </w:r>
      <w:r w:rsidRPr="00273106">
        <w:t xml:space="preserve">. V dekádě </w:t>
      </w:r>
      <w:r w:rsidR="00B636B4" w:rsidRPr="00273106">
        <w:t>po 123</w:t>
      </w:r>
      <w:r w:rsidRPr="00273106">
        <w:t xml:space="preserve">0 se stoupenci </w:t>
      </w:r>
      <w:r w:rsidRPr="00273106">
        <w:rPr>
          <w:i/>
        </w:rPr>
        <w:t>Oxfordian Fallacy</w:t>
      </w:r>
      <w:r w:rsidRPr="00273106">
        <w:t xml:space="preserve"> napojili na </w:t>
      </w:r>
      <w:r w:rsidR="088507BE">
        <w:t xml:space="preserve">aristotelsky pojatou </w:t>
      </w:r>
      <w:r w:rsidRPr="00273106">
        <w:t xml:space="preserve">metafyziku Avicenny a </w:t>
      </w:r>
      <w:r w:rsidR="088507BE">
        <w:t xml:space="preserve">přitom </w:t>
      </w:r>
      <w:r w:rsidRPr="00273106">
        <w:t xml:space="preserve">odmítli </w:t>
      </w:r>
      <w:r w:rsidR="002E3B62">
        <w:t>Averroes</w:t>
      </w:r>
      <w:r w:rsidRPr="00273106">
        <w:t>ovo pojetí metafyziky</w:t>
      </w:r>
      <w:r w:rsidR="00462CA6">
        <w:fldChar w:fldCharType="begin"/>
      </w:r>
      <w:r w:rsidR="00462CA6">
        <w:instrText xml:space="preserve"> XE "</w:instrText>
      </w:r>
      <w:r w:rsidR="00462CA6" w:rsidRPr="009D6478">
        <w:instrText>averroismus:vznik</w:instrText>
      </w:r>
      <w:r w:rsidR="00462CA6">
        <w:instrText xml:space="preserve">" </w:instrText>
      </w:r>
      <w:r w:rsidR="00462CA6">
        <w:fldChar w:fldCharType="end"/>
      </w:r>
      <w:r w:rsidRPr="00273106">
        <w:t xml:space="preserve">. Výsledkem analytické interpretace </w:t>
      </w:r>
      <w:r w:rsidRPr="00273106">
        <w:rPr>
          <w:i/>
        </w:rPr>
        <w:t>Modernorum</w:t>
      </w:r>
      <w:r w:rsidRPr="00273106">
        <w:t xml:space="preserve"> opřené o Avicennovu metafyziku byla teze o mnohosti substancí v</w:t>
      </w:r>
      <w:r w:rsidR="00D07BD8">
        <w:t> </w:t>
      </w:r>
      <w:r w:rsidRPr="00273106">
        <w:t>člověku</w:t>
      </w:r>
      <w:r w:rsidR="00D07BD8">
        <w:t xml:space="preserve">, které známe skrze </w:t>
      </w:r>
      <w:r w:rsidRPr="00273106">
        <w:t xml:space="preserve">postmoderní </w:t>
      </w:r>
      <w:r w:rsidR="00BE42A6">
        <w:t xml:space="preserve">sofisma zvané </w:t>
      </w:r>
      <w:r w:rsidRPr="00273106">
        <w:rPr>
          <w:i/>
        </w:rPr>
        <w:t>Mind‒Body Problem</w:t>
      </w:r>
      <w:r w:rsidR="007A6052">
        <w:rPr>
          <w:i/>
        </w:rPr>
        <w:fldChar w:fldCharType="begin"/>
      </w:r>
      <w:r w:rsidR="007A6052">
        <w:instrText xml:space="preserve"> XE "</w:instrText>
      </w:r>
      <w:r w:rsidR="007A6052" w:rsidRPr="00496049">
        <w:rPr>
          <w:rStyle w:val="Zkladntext184"/>
          <w:rFonts w:ascii="Calibri" w:eastAsia="Times" w:hAnsi="Calibri" w:cs="Times New Roman"/>
          <w:i/>
          <w:color w:val="auto"/>
          <w:spacing w:val="0"/>
          <w:sz w:val="24"/>
          <w:lang w:val="cs-CZ"/>
        </w:rPr>
        <w:instrText>Mind‒Body Problem</w:instrText>
      </w:r>
      <w:r w:rsidR="007A6052">
        <w:instrText xml:space="preserve">" </w:instrText>
      </w:r>
      <w:r w:rsidR="007A6052">
        <w:rPr>
          <w:i/>
        </w:rPr>
        <w:fldChar w:fldCharType="end"/>
      </w:r>
      <w:r w:rsidR="00DC12F9">
        <w:t xml:space="preserve">. Totéž tvrdí anonym, který mimo tělo etabluje </w:t>
      </w:r>
      <w:r w:rsidR="00897C96">
        <w:t xml:space="preserve">jednu </w:t>
      </w:r>
      <w:r w:rsidR="005A7441">
        <w:t>m</w:t>
      </w:r>
      <w:r w:rsidR="00897C96">
        <w:t>yslitelskou substanci</w:t>
      </w:r>
      <w:r w:rsidR="00BD578D">
        <w:t xml:space="preserve"> danou ve dvojím modu Rufusova </w:t>
      </w:r>
      <w:r w:rsidR="001E72C8">
        <w:t>„</w:t>
      </w:r>
      <w:r w:rsidR="00BD578D" w:rsidRPr="00BD578D">
        <w:rPr>
          <w:i/>
        </w:rPr>
        <w:t>potentia substa</w:t>
      </w:r>
      <w:r w:rsidR="00BD578D">
        <w:rPr>
          <w:i/>
        </w:rPr>
        <w:t>n</w:t>
      </w:r>
      <w:r w:rsidR="00BD578D" w:rsidRPr="00BD578D">
        <w:rPr>
          <w:i/>
        </w:rPr>
        <w:t>tialis</w:t>
      </w:r>
      <w:r w:rsidR="001E72C8">
        <w:t>“</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rsidR="00BD578D">
        <w:t xml:space="preserve"> a </w:t>
      </w:r>
      <w:r w:rsidR="001E72C8">
        <w:t>„</w:t>
      </w:r>
      <w:r w:rsidR="001E72C8" w:rsidRPr="001E72C8">
        <w:rPr>
          <w:i/>
        </w:rPr>
        <w:t>potentia</w:t>
      </w:r>
      <w:r w:rsidR="001E72C8">
        <w:t xml:space="preserve"> </w:t>
      </w:r>
      <w:r w:rsidR="00E962D0">
        <w:rPr>
          <w:i/>
        </w:rPr>
        <w:t>accident</w:t>
      </w:r>
      <w:r w:rsidR="00BD578D" w:rsidRPr="00BD578D">
        <w:rPr>
          <w:i/>
        </w:rPr>
        <w:t>alis</w:t>
      </w:r>
      <w:r w:rsidR="001E72C8">
        <w:t>“</w:t>
      </w:r>
      <w:r w:rsidR="08DA0612">
        <w:t xml:space="preserve"> (kap. 3</w:t>
      </w:r>
      <w:r w:rsidR="00BD578D">
        <w:t xml:space="preserve">.3.1). Činný intelekt je dán jako </w:t>
      </w:r>
      <w:r w:rsidR="08A536C1">
        <w:t xml:space="preserve">kosmická </w:t>
      </w:r>
      <w:r w:rsidR="005A7441">
        <w:t xml:space="preserve">subsistentní hypostáze </w:t>
      </w:r>
      <w:r w:rsidR="00CD3C9E">
        <w:t xml:space="preserve">v porretánském modu </w:t>
      </w:r>
      <w:r w:rsidR="00F25C73" w:rsidRPr="00F25C73">
        <w:rPr>
          <w:i/>
        </w:rPr>
        <w:t>semel</w:t>
      </w:r>
      <w:r w:rsidR="00F25C73">
        <w:t>‒</w:t>
      </w:r>
      <w:r w:rsidR="00F25C73" w:rsidRPr="00F25C73">
        <w:rPr>
          <w:i/>
        </w:rPr>
        <w:t>semper</w:t>
      </w:r>
      <w:r w:rsidR="00764F15">
        <w:rPr>
          <w:i/>
        </w:rPr>
        <w:fldChar w:fldCharType="begin"/>
      </w:r>
      <w:r w:rsidR="00764F15">
        <w:instrText xml:space="preserve"> XE "</w:instrText>
      </w:r>
      <w:r w:rsidR="00CD3C9E">
        <w:instrText>pravda:</w:instrText>
      </w:r>
      <w:r w:rsidR="00764F15" w:rsidRPr="004A2E91">
        <w:rPr>
          <w:i/>
        </w:rPr>
        <w:instrText>semel</w:instrText>
      </w:r>
      <w:r w:rsidR="00764F15" w:rsidRPr="004A2E91">
        <w:instrText>‒</w:instrText>
      </w:r>
      <w:r w:rsidR="00764F15" w:rsidRPr="004A2E91">
        <w:rPr>
          <w:i/>
        </w:rPr>
        <w:instrText>semper</w:instrText>
      </w:r>
      <w:r w:rsidR="00764F15">
        <w:instrText xml:space="preserve">" </w:instrText>
      </w:r>
      <w:r w:rsidR="00764F15">
        <w:rPr>
          <w:i/>
        </w:rPr>
        <w:fldChar w:fldCharType="end"/>
      </w:r>
      <w:r w:rsidR="00CD3C9E">
        <w:t xml:space="preserve">. </w:t>
      </w:r>
      <w:r w:rsidR="00F25C73">
        <w:t xml:space="preserve">Receptivní intelekt tvoří pouze </w:t>
      </w:r>
      <w:r w:rsidR="005A7441">
        <w:t>nahodil</w:t>
      </w:r>
      <w:r w:rsidR="00F25C73">
        <w:t>ou</w:t>
      </w:r>
      <w:r w:rsidR="005A7441">
        <w:t xml:space="preserve"> reali</w:t>
      </w:r>
      <w:r w:rsidR="00F25C73">
        <w:t>zaci</w:t>
      </w:r>
      <w:r w:rsidR="005A7441">
        <w:t xml:space="preserve"> </w:t>
      </w:r>
      <w:r w:rsidR="00F25C73">
        <w:t>činného intelektu angažovaného v tom či onom poznávacím aktu</w:t>
      </w:r>
      <w:r w:rsidR="00212335">
        <w:t xml:space="preserve"> člověka</w:t>
      </w:r>
      <w:r w:rsidR="00DF615F">
        <w:t xml:space="preserve">. Hypostázovaná intelektuální nedokonalost je všudypřítomná, protože každý poznávací akt obsahuje určitou míru </w:t>
      </w:r>
      <w:r w:rsidR="00F25C73">
        <w:t>potenciality a nejasnosti</w:t>
      </w:r>
      <w:r w:rsidR="00FA1578">
        <w:t xml:space="preserve">. Hypostázované tělo i intelekt </w:t>
      </w:r>
      <w:r w:rsidR="00DC12F9">
        <w:t>mají charakter poslední nedělitelnosti (</w:t>
      </w:r>
      <w:r w:rsidR="00DC12F9" w:rsidRPr="00DC12F9">
        <w:rPr>
          <w:i/>
        </w:rPr>
        <w:t>individuum</w:t>
      </w:r>
      <w:r w:rsidR="00DC12F9">
        <w:t xml:space="preserve">) vázané na atomární pojetí </w:t>
      </w:r>
      <w:r w:rsidR="00DC12F9">
        <w:lastRenderedPageBreak/>
        <w:t>porretánské</w:t>
      </w:r>
      <w:r w:rsidR="005B66E4">
        <w:t xml:space="preserve"> substance</w:t>
      </w:r>
      <w:r w:rsidR="00847183">
        <w:fldChar w:fldCharType="begin"/>
      </w:r>
      <w:r w:rsidR="00847183">
        <w:instrText xml:space="preserve"> XE "</w:instrText>
      </w:r>
      <w:r w:rsidR="00847183" w:rsidRPr="006A4D7F">
        <w:instrText>substance:individuum</w:instrText>
      </w:r>
      <w:r w:rsidR="00847183">
        <w:instrText xml:space="preserve">" </w:instrText>
      </w:r>
      <w:r w:rsidR="00847183">
        <w:fldChar w:fldCharType="end"/>
      </w:r>
      <w:r w:rsidR="00DC12F9">
        <w:t>. Proto je i receptivní intelekt v člověku individual</w:t>
      </w:r>
      <w:r w:rsidR="002E705C">
        <w:t>izovaný, čili dále nedělitelný.</w:t>
      </w:r>
    </w:p>
    <w:p w14:paraId="4D7C9FAC" w14:textId="2EB12215" w:rsidR="00995AE9" w:rsidRPr="00273106" w:rsidRDefault="002E705C" w:rsidP="005E25C9">
      <w:pPr>
        <w:ind w:firstLine="397"/>
      </w:pPr>
      <w:r>
        <w:t>Moderna</w:t>
      </w:r>
      <w:r w:rsidR="00BE0C2B">
        <w:t xml:space="preserve"> </w:t>
      </w:r>
      <w:r>
        <w:t xml:space="preserve">mohla provést </w:t>
      </w:r>
      <w:r w:rsidR="00BE0C2B">
        <w:t xml:space="preserve">individualizaci </w:t>
      </w:r>
      <w:r w:rsidR="08C55514">
        <w:t xml:space="preserve">hypostázovaného </w:t>
      </w:r>
      <w:r w:rsidR="00BE0C2B">
        <w:t>intelektu podle Avicenny</w:t>
      </w:r>
      <w:r>
        <w:t xml:space="preserve">. Ale to nešlo provést </w:t>
      </w:r>
      <w:r w:rsidR="00836195">
        <w:t xml:space="preserve">v případě reálně myslící osoby </w:t>
      </w:r>
      <w:r w:rsidR="00E01CBE">
        <w:t>(</w:t>
      </w:r>
      <w:r w:rsidR="00E01CBE" w:rsidRPr="00E01CBE">
        <w:rPr>
          <w:i/>
        </w:rPr>
        <w:t>tertium genus</w:t>
      </w:r>
      <w:r w:rsidR="00E01CBE">
        <w:t xml:space="preserve"> v CMDA)</w:t>
      </w:r>
      <w:r w:rsidR="00F6030E">
        <w:t xml:space="preserve">. To ukázal spor Alberta se </w:t>
      </w:r>
      <w:r w:rsidR="00BE0C2B">
        <w:t>skupinou druhého averroismu</w:t>
      </w:r>
      <w:r w:rsidR="00B8496F">
        <w:t xml:space="preserve"> ve spise </w:t>
      </w:r>
      <w:r w:rsidR="00B8496F" w:rsidRPr="00B8496F">
        <w:rPr>
          <w:i/>
        </w:rPr>
        <w:t>De homine</w:t>
      </w:r>
      <w:r w:rsidR="00DE4C83">
        <w:t>.</w:t>
      </w:r>
      <w:r w:rsidR="005E7881">
        <w:t xml:space="preserve"> </w:t>
      </w:r>
      <w:r w:rsidR="009F541D">
        <w:t>A</w:t>
      </w:r>
      <w:r w:rsidR="00DE4C83">
        <w:t>nonym</w:t>
      </w:r>
      <w:r w:rsidR="005E25C9">
        <w:t>n</w:t>
      </w:r>
      <w:r w:rsidR="00DE4C83">
        <w:t xml:space="preserve">í autor </w:t>
      </w:r>
      <w:r w:rsidR="00DE4C83" w:rsidRPr="00DC6664">
        <w:rPr>
          <w:i/>
          <w:szCs w:val="24"/>
        </w:rPr>
        <w:t xml:space="preserve">Summa philosophiae </w:t>
      </w:r>
      <w:r w:rsidR="009F541D">
        <w:t>odmítl</w:t>
      </w:r>
      <w:r w:rsidR="006327F9">
        <w:t xml:space="preserve"> Aristotelovu nauku o dvou potencích duše</w:t>
      </w:r>
      <w:r w:rsidR="00E01CBE">
        <w:t>. Ja</w:t>
      </w:r>
      <w:r w:rsidR="00B8496F">
        <w:t>ko porretán a avicennis</w:t>
      </w:r>
      <w:r w:rsidR="006327F9">
        <w:t>ta viděl dvě substance</w:t>
      </w:r>
      <w:r w:rsidR="00E01CBE">
        <w:t xml:space="preserve"> v člověku</w:t>
      </w:r>
      <w:r w:rsidR="08111C95">
        <w:t>,</w:t>
      </w:r>
      <w:r w:rsidR="00B8496F">
        <w:t xml:space="preserve"> a ne dvě potence</w:t>
      </w:r>
      <w:r w:rsidR="00D93148">
        <w:t xml:space="preserve"> duše</w:t>
      </w:r>
      <w:r w:rsidR="006327F9">
        <w:t>. Dále musí odmítnou</w:t>
      </w:r>
      <w:r w:rsidR="008355C7">
        <w:t>t</w:t>
      </w:r>
      <w:r w:rsidR="006327F9">
        <w:t xml:space="preserve"> </w:t>
      </w:r>
      <w:r w:rsidR="002E3B62">
        <w:t>Averroes</w:t>
      </w:r>
      <w:r w:rsidR="08AC7FA2">
        <w:t>ův výklad v C</w:t>
      </w:r>
      <w:r w:rsidR="084B6E24">
        <w:t>MDA</w:t>
      </w:r>
      <w:r w:rsidR="006327F9">
        <w:t xml:space="preserve">, protože </w:t>
      </w:r>
      <w:r w:rsidR="08111C95">
        <w:t>možný intelekt</w:t>
      </w:r>
      <w:r w:rsidR="006327F9">
        <w:t xml:space="preserve"> </w:t>
      </w:r>
      <w:r w:rsidR="08E847FE">
        <w:t xml:space="preserve">individualizuje skrze </w:t>
      </w:r>
      <w:r w:rsidR="006327F9">
        <w:t>spirituá</w:t>
      </w:r>
      <w:r w:rsidR="008355C7">
        <w:t>l</w:t>
      </w:r>
      <w:r w:rsidR="084B6E24">
        <w:t xml:space="preserve">ní materii. Tím dostal </w:t>
      </w:r>
      <w:r w:rsidR="006327F9">
        <w:t>numer</w:t>
      </w:r>
      <w:r w:rsidR="008355C7">
        <w:t>icky odli</w:t>
      </w:r>
      <w:r w:rsidR="006327F9">
        <w:t>šné instance m</w:t>
      </w:r>
      <w:r w:rsidR="008355C7">
        <w:t>ožného inte</w:t>
      </w:r>
      <w:r w:rsidR="006327F9">
        <w:t>l</w:t>
      </w:r>
      <w:r w:rsidR="008355C7">
        <w:t>e</w:t>
      </w:r>
      <w:r w:rsidR="006327F9">
        <w:t xml:space="preserve">ktu v každém člověku. </w:t>
      </w:r>
      <w:r w:rsidR="084B6E24">
        <w:t xml:space="preserve">Autonomní </w:t>
      </w:r>
      <w:r w:rsidR="084B6E24" w:rsidRPr="006327F9">
        <w:rPr>
          <w:i/>
        </w:rPr>
        <w:t>intellectus possibilis</w:t>
      </w:r>
      <w:r w:rsidR="084B6E24">
        <w:t xml:space="preserve"> jako schopnost duše </w:t>
      </w:r>
      <w:r w:rsidR="08E847FE">
        <w:t xml:space="preserve">ve smyslu Averroesova </w:t>
      </w:r>
      <w:r w:rsidR="08E847FE" w:rsidRPr="08E847FE">
        <w:rPr>
          <w:i/>
        </w:rPr>
        <w:t xml:space="preserve">tertium </w:t>
      </w:r>
      <w:r w:rsidR="00B1298A">
        <w:rPr>
          <w:i/>
        </w:rPr>
        <w:t>genus</w:t>
      </w:r>
      <w:r w:rsidR="08E847FE">
        <w:t xml:space="preserve"> </w:t>
      </w:r>
      <w:r w:rsidR="08167B92">
        <w:t xml:space="preserve">tento </w:t>
      </w:r>
      <w:r w:rsidR="082E0592">
        <w:t xml:space="preserve">první </w:t>
      </w:r>
      <w:r w:rsidR="084B6E24">
        <w:t>kartezián nepotřebuje</w:t>
      </w:r>
      <w:r w:rsidR="084B6E24" w:rsidRPr="00312914">
        <w:t xml:space="preserve"> </w:t>
      </w:r>
      <w:r w:rsidR="084B6E24">
        <w:t xml:space="preserve">vůbec. </w:t>
      </w:r>
      <w:r w:rsidR="006327F9">
        <w:t xml:space="preserve">V jeho scénáři </w:t>
      </w:r>
      <w:r w:rsidR="084B6E24">
        <w:t xml:space="preserve">hypostatické unie dvou </w:t>
      </w:r>
      <w:r w:rsidR="08832F19">
        <w:t xml:space="preserve">intelektuálních </w:t>
      </w:r>
      <w:r w:rsidR="084B6E24">
        <w:t xml:space="preserve">substancí </w:t>
      </w:r>
      <w:r w:rsidR="08573A81">
        <w:t xml:space="preserve">to není potřeba. Moderní </w:t>
      </w:r>
      <w:r w:rsidR="006327F9" w:rsidRPr="006327F9">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847183">
        <w:instrText>:</w:instrText>
      </w:r>
      <w:r w:rsidR="00847183" w:rsidRPr="00847183">
        <w:instrText>druhý averroismus</w:instrText>
      </w:r>
      <w:r w:rsidR="00DF1F0F">
        <w:instrText xml:space="preserve">" </w:instrText>
      </w:r>
      <w:r w:rsidR="00DF1F0F">
        <w:rPr>
          <w:i/>
        </w:rPr>
        <w:fldChar w:fldCharType="end"/>
      </w:r>
      <w:r w:rsidR="08573A81">
        <w:t xml:space="preserve"> </w:t>
      </w:r>
      <w:r w:rsidR="006327F9">
        <w:t>funguje jako samost</w:t>
      </w:r>
      <w:r w:rsidR="008355C7">
        <w:t>at</w:t>
      </w:r>
      <w:r w:rsidR="006327F9">
        <w:t>ná substance</w:t>
      </w:r>
      <w:r w:rsidR="008355C7">
        <w:t xml:space="preserve"> vedle těla</w:t>
      </w:r>
      <w:r w:rsidR="00B8496F">
        <w:t xml:space="preserve"> a </w:t>
      </w:r>
      <w:r w:rsidR="084B6E24">
        <w:t xml:space="preserve">s hypostází možného intelektu </w:t>
      </w:r>
      <w:r w:rsidR="00B8496F">
        <w:t xml:space="preserve">je spojen v modu </w:t>
      </w:r>
      <w:r w:rsidR="00B8496F" w:rsidRPr="00B8496F">
        <w:rPr>
          <w:i/>
        </w:rPr>
        <w:t>colligatio</w:t>
      </w:r>
      <w:r w:rsidR="00B8496F">
        <w:t xml:space="preserve"> skrze akcidentální poznávací akt</w:t>
      </w:r>
      <w:r w:rsidR="006327F9">
        <w:t xml:space="preserve">. </w:t>
      </w:r>
      <w:r w:rsidR="008355C7">
        <w:t xml:space="preserve">Tento sofista nechce, </w:t>
      </w:r>
      <w:r w:rsidR="00D53972">
        <w:t>nebo už ani nemůže rozumět</w:t>
      </w:r>
      <w:r w:rsidR="008355C7">
        <w:t xml:space="preserve"> argumentaci spisu CMDA</w:t>
      </w:r>
      <w:r w:rsidR="004D06B1">
        <w:t xml:space="preserve"> ohledně </w:t>
      </w:r>
      <w:r w:rsidR="004D06B1" w:rsidRPr="004D06B1">
        <w:rPr>
          <w:i/>
        </w:rPr>
        <w:t>tertium</w:t>
      </w:r>
      <w:r w:rsidR="004D06B1">
        <w:t xml:space="preserve"> a </w:t>
      </w:r>
      <w:r w:rsidR="004D06B1" w:rsidRPr="004D06B1">
        <w:rPr>
          <w:i/>
        </w:rPr>
        <w:t xml:space="preserve">quartum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B8496F">
        <w:t xml:space="preserve">. </w:t>
      </w:r>
      <w:r w:rsidR="00312914">
        <w:t xml:space="preserve">Následující citát ukazuje </w:t>
      </w:r>
      <w:r w:rsidR="08573A81">
        <w:t xml:space="preserve">kompletní schéma </w:t>
      </w:r>
      <w:r w:rsidR="004E7883">
        <w:t>averroism</w:t>
      </w:r>
      <w:r w:rsidR="08573A81">
        <w:t>u</w:t>
      </w:r>
      <w:r w:rsidR="004E7883">
        <w:t xml:space="preserve"> </w:t>
      </w:r>
      <w:r w:rsidR="08D13D75">
        <w:t xml:space="preserve">v oxfordské škole </w:t>
      </w:r>
      <w:r w:rsidR="00312914">
        <w:t xml:space="preserve">moderních </w:t>
      </w:r>
      <w:r w:rsidR="004E7883">
        <w:t>avice</w:t>
      </w:r>
      <w:r w:rsidR="00B8496F">
        <w:t>n</w:t>
      </w:r>
      <w:r w:rsidR="0860556A">
        <w:t xml:space="preserve">nistů. </w:t>
      </w:r>
      <w:r w:rsidR="00995AE9" w:rsidRPr="00273106">
        <w:t xml:space="preserve">Uvedený citát </w:t>
      </w:r>
      <w:r w:rsidR="00A529AE">
        <w:t xml:space="preserve">kritizuje </w:t>
      </w:r>
      <w:r w:rsidR="005C690D">
        <w:t xml:space="preserve">z pozice Avicenny </w:t>
      </w:r>
      <w:r w:rsidR="00995AE9" w:rsidRPr="00273106">
        <w:t xml:space="preserve">nauku o numerické jednotě </w:t>
      </w:r>
      <w:r w:rsidR="007B6F15" w:rsidRPr="007B6F15">
        <w:rPr>
          <w:i/>
        </w:rPr>
        <w:t>intellectus possibilis</w:t>
      </w:r>
      <w:r w:rsidR="00847183">
        <w:rPr>
          <w:i/>
        </w:rPr>
        <w:fldChar w:fldCharType="begin"/>
      </w:r>
      <w:r w:rsidR="00847183">
        <w:instrText xml:space="preserve"> XE "</w:instrText>
      </w:r>
      <w:r w:rsidR="00847183" w:rsidRPr="003A448C">
        <w:rPr>
          <w:i/>
        </w:rPr>
        <w:instrText>intellectus possibilis:</w:instrText>
      </w:r>
      <w:r w:rsidR="00847183" w:rsidRPr="003A448C">
        <w:instrText>numericky jednotný</w:instrText>
      </w:r>
      <w:r w:rsidR="00847183">
        <w:instrText xml:space="preserve">" </w:instrText>
      </w:r>
      <w:r w:rsidR="00847183">
        <w:rPr>
          <w:i/>
        </w:rPr>
        <w:fldChar w:fldCharType="end"/>
      </w:r>
      <w:r w:rsidR="007B6F15">
        <w:t xml:space="preserve"> </w:t>
      </w:r>
      <w:r w:rsidR="00DB714C">
        <w:t xml:space="preserve">sofisticky </w:t>
      </w:r>
      <w:r w:rsidR="00995AE9" w:rsidRPr="00273106">
        <w:t xml:space="preserve">připsanou </w:t>
      </w:r>
      <w:r w:rsidR="002E3B62">
        <w:t>Averroes</w:t>
      </w:r>
      <w:r w:rsidR="00995AE9" w:rsidRPr="00273106">
        <w:t xml:space="preserve">ovi. </w:t>
      </w:r>
      <w:r w:rsidR="006957FF">
        <w:t>Tuto nauku poprvé hlásal s</w:t>
      </w:r>
      <w:r w:rsidR="003D5C36">
        <w:t xml:space="preserve">emiaverroista </w:t>
      </w:r>
      <w:r w:rsidR="003B28C5" w:rsidRPr="003B28C5">
        <w:t>Akvinský</w:t>
      </w:r>
      <w:r w:rsidR="00320679">
        <w:t xml:space="preserve"> a po něm Aegidius Romanus</w:t>
      </w:r>
      <w:r w:rsidR="082D12ED">
        <w:t xml:space="preserve"> ze školy prvního averroismu</w:t>
      </w:r>
      <w:r w:rsidR="007E35D6">
        <w:rPr>
          <w:i/>
        </w:rPr>
        <w:t>.</w:t>
      </w:r>
      <w:r w:rsidR="0030166C">
        <w:t xml:space="preserve"> </w:t>
      </w:r>
      <w:r w:rsidR="006957FF">
        <w:t xml:space="preserve">Citát ukazuje novou verzi averroismu ve škole </w:t>
      </w:r>
      <w:r w:rsidR="006957FF" w:rsidRPr="0030166C">
        <w:rPr>
          <w:i/>
        </w:rPr>
        <w:t>Modernorum</w:t>
      </w:r>
      <w:r w:rsidR="006957FF">
        <w:t>.</w:t>
      </w:r>
    </w:p>
    <w:p w14:paraId="41065F0E" w14:textId="77777777" w:rsidR="00995AE9" w:rsidRPr="00273106" w:rsidRDefault="00995AE9" w:rsidP="00995AE9">
      <w:pPr>
        <w:pStyle w:val="Citace"/>
        <w:rPr>
          <w:noProof/>
          <w:lang w:val="cs-CZ"/>
        </w:rPr>
      </w:pPr>
      <w:r w:rsidRPr="00273106">
        <w:rPr>
          <w:noProof/>
          <w:lang w:val="cs-CZ"/>
        </w:rPr>
        <w:t xml:space="preserve">„Proto se zásadně mýlil Theofrastus a Themistius a po nich </w:t>
      </w:r>
      <w:r w:rsidR="002E3B62">
        <w:rPr>
          <w:noProof/>
          <w:lang w:val="cs-CZ"/>
        </w:rPr>
        <w:t>Averroes</w:t>
      </w:r>
      <w:r w:rsidRPr="00273106">
        <w:rPr>
          <w:noProof/>
          <w:lang w:val="cs-CZ"/>
        </w:rPr>
        <w:t xml:space="preserve">, kteří tomuto jedinečnému možnému intelektu ve všech lidech </w:t>
      </w:r>
      <w:r w:rsidR="003C4FC9">
        <w:rPr>
          <w:noProof/>
          <w:lang w:val="cs-CZ"/>
        </w:rPr>
        <w:t>(</w:t>
      </w:r>
      <w:r w:rsidR="003C4FC9" w:rsidRPr="003C4FC9">
        <w:rPr>
          <w:i/>
        </w:rPr>
        <w:t>unicum intellectum possibilem in omnibus individuis hominu</w:t>
      </w:r>
      <w:r w:rsidR="003C4FC9" w:rsidRPr="003C4FC9">
        <w:rPr>
          <w:i/>
          <w:lang w:val="cs-CZ"/>
        </w:rPr>
        <w:t>m</w:t>
      </w:r>
      <w:r w:rsidR="003C4FC9">
        <w:rPr>
          <w:noProof/>
          <w:lang w:val="cs-CZ"/>
        </w:rPr>
        <w:t xml:space="preserve">) </w:t>
      </w:r>
      <w:r w:rsidRPr="00273106">
        <w:rPr>
          <w:noProof/>
          <w:lang w:val="cs-CZ"/>
        </w:rPr>
        <w:t>dali numer</w:t>
      </w:r>
      <w:r w:rsidR="001159E2" w:rsidRPr="00273106">
        <w:rPr>
          <w:noProof/>
          <w:lang w:val="cs-CZ"/>
        </w:rPr>
        <w:t xml:space="preserve">ickou </w:t>
      </w:r>
      <w:r w:rsidR="00CC71D9">
        <w:rPr>
          <w:noProof/>
          <w:lang w:val="cs-CZ"/>
        </w:rPr>
        <w:t xml:space="preserve">mnohost </w:t>
      </w:r>
      <w:r w:rsidR="00FA61EE">
        <w:rPr>
          <w:noProof/>
          <w:lang w:val="cs-CZ"/>
        </w:rPr>
        <w:t>(</w:t>
      </w:r>
      <w:r w:rsidR="00FA61EE" w:rsidRPr="00FA61EE">
        <w:rPr>
          <w:i/>
        </w:rPr>
        <w:t>secundum numerum esse</w:t>
      </w:r>
      <w:r w:rsidR="00FA61EE">
        <w:rPr>
          <w:noProof/>
          <w:lang w:val="cs-CZ"/>
        </w:rPr>
        <w:t>)</w:t>
      </w:r>
      <w:r w:rsidR="001159E2" w:rsidRPr="00273106">
        <w:rPr>
          <w:noProof/>
          <w:lang w:val="cs-CZ"/>
        </w:rPr>
        <w:t>. A nejvíce se mýlil</w:t>
      </w:r>
      <w:r w:rsidRPr="00273106">
        <w:rPr>
          <w:noProof/>
          <w:lang w:val="cs-CZ"/>
        </w:rPr>
        <w:t xml:space="preserve"> </w:t>
      </w:r>
      <w:r w:rsidR="008E02F5">
        <w:rPr>
          <w:noProof/>
          <w:lang w:val="cs-CZ"/>
        </w:rPr>
        <w:t>Aristoteles</w:t>
      </w:r>
      <w:r w:rsidRPr="00273106">
        <w:rPr>
          <w:noProof/>
          <w:lang w:val="cs-CZ"/>
        </w:rPr>
        <w:t>, který považoval činný a možný intelekt za dvě odlišné substance</w:t>
      </w:r>
      <w:r w:rsidR="00847183">
        <w:rPr>
          <w:noProof/>
          <w:lang w:val="cs-CZ"/>
        </w:rPr>
        <w:t xml:space="preserve">. </w:t>
      </w:r>
      <w:r w:rsidRPr="00273106">
        <w:rPr>
          <w:noProof/>
          <w:lang w:val="cs-CZ"/>
        </w:rPr>
        <w:t>Těmto názorům předešlých věků (</w:t>
      </w:r>
      <w:r w:rsidRPr="00273106">
        <w:rPr>
          <w:i/>
          <w:noProof/>
          <w:lang w:val="cs-CZ"/>
        </w:rPr>
        <w:t>inter veteres</w:t>
      </w:r>
      <w:r w:rsidRPr="00273106">
        <w:rPr>
          <w:noProof/>
          <w:lang w:val="cs-CZ"/>
        </w:rPr>
        <w:t xml:space="preserve">) </w:t>
      </w:r>
      <w:r w:rsidR="00507424">
        <w:rPr>
          <w:noProof/>
          <w:lang w:val="cs-CZ"/>
        </w:rPr>
        <w:t xml:space="preserve">zjevněji </w:t>
      </w:r>
      <w:r w:rsidRPr="00273106">
        <w:rPr>
          <w:noProof/>
          <w:lang w:val="cs-CZ"/>
        </w:rPr>
        <w:t xml:space="preserve">odporoval pouze Avicenna.“ </w:t>
      </w:r>
      <w:r w:rsidRPr="00273106">
        <w:rPr>
          <w:rStyle w:val="Znakapoznpodarou"/>
          <w:noProof/>
          <w:lang w:val="cs-CZ"/>
        </w:rPr>
        <w:footnoteReference w:id="334"/>
      </w:r>
    </w:p>
    <w:p w14:paraId="2C796033" w14:textId="3B74744F" w:rsidR="08E52B06" w:rsidRPr="00282337" w:rsidRDefault="00995AE9" w:rsidP="00995AE9">
      <w:r w:rsidRPr="00273106">
        <w:t xml:space="preserve">Jednota intelektu je dána tak, že aktivní intelekt </w:t>
      </w:r>
      <w:r w:rsidR="00E23C47">
        <w:t>„eksistuje“ jako jedna individualizovaná</w:t>
      </w:r>
      <w:r w:rsidRPr="00273106">
        <w:t xml:space="preserve"> substanc</w:t>
      </w:r>
      <w:r w:rsidR="00E23C47">
        <w:t>e</w:t>
      </w:r>
      <w:r w:rsidRPr="00273106">
        <w:t xml:space="preserve"> v každém člověku</w:t>
      </w:r>
      <w:r w:rsidR="08962BBF">
        <w:t xml:space="preserve">. Tato substance </w:t>
      </w:r>
      <w:r w:rsidRPr="00273106">
        <w:t xml:space="preserve">má vlastní, taktéž individuální nedokonalost jako potenci a kontingenci myšlení. </w:t>
      </w:r>
      <w:r w:rsidR="00DF112C">
        <w:t xml:space="preserve">Hypostázovaný činný intelekt je v každém člověku </w:t>
      </w:r>
      <w:r w:rsidR="00DF112C">
        <w:lastRenderedPageBreak/>
        <w:t xml:space="preserve">samostatně jako pozdější </w:t>
      </w:r>
      <w:r w:rsidR="00DF112C" w:rsidRPr="00DF112C">
        <w:rPr>
          <w:i/>
        </w:rPr>
        <w:t>res cogitans</w:t>
      </w:r>
      <w:r w:rsidR="009A1BD1">
        <w:rPr>
          <w:i/>
        </w:rPr>
        <w:fldChar w:fldCharType="begin"/>
      </w:r>
      <w:r w:rsidR="009A1BD1">
        <w:instrText xml:space="preserve"> XE "</w:instrText>
      </w:r>
      <w:r w:rsidR="009A1BD1" w:rsidRPr="003F49D8">
        <w:rPr>
          <w:i/>
        </w:rPr>
        <w:instrText>res cogitans</w:instrText>
      </w:r>
      <w:r w:rsidR="009A1BD1">
        <w:instrText xml:space="preserve">" </w:instrText>
      </w:r>
      <w:r w:rsidR="009A1BD1">
        <w:rPr>
          <w:i/>
        </w:rPr>
        <w:fldChar w:fldCharType="end"/>
      </w:r>
      <w:r w:rsidR="00DF112C">
        <w:t xml:space="preserve">. </w:t>
      </w:r>
      <w:r w:rsidR="080F320B">
        <w:t xml:space="preserve">Averroes </w:t>
      </w:r>
      <w:r w:rsidR="00DF112C">
        <w:t xml:space="preserve">prý numericky individualizoval </w:t>
      </w:r>
      <w:r w:rsidR="080F320B" w:rsidRPr="00DF112C">
        <w:rPr>
          <w:i/>
        </w:rPr>
        <w:t>intell</w:t>
      </w:r>
      <w:r w:rsidR="080F320B">
        <w:rPr>
          <w:i/>
        </w:rPr>
        <w:t>e</w:t>
      </w:r>
      <w:r w:rsidR="080F320B" w:rsidRPr="00DF112C">
        <w:rPr>
          <w:i/>
        </w:rPr>
        <w:t>ctus possibilis</w:t>
      </w:r>
      <w:r w:rsidR="00DF112C">
        <w:t xml:space="preserve">, což autor odmítá. </w:t>
      </w:r>
      <w:r w:rsidR="082B10BD">
        <w:t xml:space="preserve">Komentátorova </w:t>
      </w:r>
      <w:r w:rsidR="00DF112C">
        <w:t xml:space="preserve">nauka je </w:t>
      </w:r>
      <w:r w:rsidR="00F92D8C">
        <w:t xml:space="preserve">sofisticky </w:t>
      </w:r>
      <w:r w:rsidR="00DF112C">
        <w:t xml:space="preserve">interpretována skrze porretánské hypostáze a </w:t>
      </w:r>
      <w:r w:rsidR="00F92D8C">
        <w:t xml:space="preserve">skrze </w:t>
      </w:r>
      <w:r w:rsidR="00DF112C">
        <w:t>Avicennovo pojetí metafyziky a intelektu</w:t>
      </w:r>
      <w:r w:rsidR="00DB714C">
        <w:t xml:space="preserve">. </w:t>
      </w:r>
      <w:r w:rsidRPr="00273106">
        <w:t>Autor zcela pominul vývody CMDA, a dokonce i výklad samotného Grossetesteho</w:t>
      </w:r>
      <w:r w:rsidR="001137E3">
        <w:t xml:space="preserve">. Ten </w:t>
      </w:r>
      <w:r w:rsidRPr="00273106">
        <w:t>popíra</w:t>
      </w:r>
      <w:r w:rsidR="001137E3">
        <w:t>l</w:t>
      </w:r>
      <w:r w:rsidRPr="00273106">
        <w:t xml:space="preserve"> pluralitu substančních forem v člověku s odvoláním na </w:t>
      </w:r>
      <w:r w:rsidR="002E3B62">
        <w:t>Averroes</w:t>
      </w:r>
      <w:r w:rsidRPr="00273106">
        <w:t>e a Aristotela</w:t>
      </w:r>
      <w:r w:rsidR="00F348B7">
        <w:t xml:space="preserve">. </w:t>
      </w:r>
      <w:r w:rsidR="001137E3">
        <w:rPr>
          <w:szCs w:val="24"/>
        </w:rPr>
        <w:t xml:space="preserve">Ale jeho moderní žáci v Oxfordu jako správní </w:t>
      </w:r>
      <w:r w:rsidR="001137E3" w:rsidRPr="001933C6">
        <w:rPr>
          <w:i/>
          <w:szCs w:val="24"/>
        </w:rPr>
        <w:t>sophistae Latini</w:t>
      </w:r>
      <w:r w:rsidR="001137E3">
        <w:rPr>
          <w:szCs w:val="24"/>
        </w:rPr>
        <w:t xml:space="preserve"> zfalšovali jeho filosofický testament. </w:t>
      </w:r>
      <w:r w:rsidR="00F348B7">
        <w:t xml:space="preserve">Anonym </w:t>
      </w:r>
      <w:r w:rsidR="00F431D8" w:rsidRPr="00273106">
        <w:t xml:space="preserve">považuje </w:t>
      </w:r>
      <w:r w:rsidR="00F348B7">
        <w:t>o</w:t>
      </w:r>
      <w:r w:rsidR="00F348B7" w:rsidRPr="00273106">
        <w:t xml:space="preserve">ba </w:t>
      </w:r>
      <w:r w:rsidR="00F348B7">
        <w:t xml:space="preserve">tyto </w:t>
      </w:r>
      <w:r w:rsidR="00F348B7" w:rsidRPr="00273106">
        <w:t xml:space="preserve">filosofy </w:t>
      </w:r>
      <w:r w:rsidR="00F431D8" w:rsidRPr="00273106">
        <w:t>za přední zastán</w:t>
      </w:r>
      <w:r w:rsidRPr="00273106">
        <w:t xml:space="preserve">ce substančně pojatého intelektu daného ve dvou </w:t>
      </w:r>
      <w:r w:rsidR="00575009">
        <w:t xml:space="preserve">hypostázovaných </w:t>
      </w:r>
      <w:r w:rsidRPr="00273106">
        <w:t>formách</w:t>
      </w:r>
      <w:r w:rsidR="00B65E1A">
        <w:t xml:space="preserve">, </w:t>
      </w:r>
      <w:r w:rsidRPr="00273106">
        <w:t xml:space="preserve">aktivní a pasivní. </w:t>
      </w:r>
      <w:r w:rsidR="00505572">
        <w:t>Tímto z</w:t>
      </w:r>
      <w:r w:rsidR="003E49ED">
        <w:t xml:space="preserve">ásadním omylem v intepretaci Filosofa a Komentátora vznikl averroismus jako oficiální </w:t>
      </w:r>
      <w:r w:rsidR="089424E0">
        <w:t xml:space="preserve">nauka </w:t>
      </w:r>
      <w:r w:rsidR="003E49ED">
        <w:t>oxfordských modernistů</w:t>
      </w:r>
      <w:r w:rsidR="089424E0">
        <w:t>, kterou</w:t>
      </w:r>
      <w:r w:rsidR="009C18C1">
        <w:t xml:space="preserve"> převzala Bonaventurova škola v Paříži</w:t>
      </w:r>
      <w:r w:rsidR="00505572">
        <w:fldChar w:fldCharType="begin"/>
      </w:r>
      <w:r w:rsidR="00505572">
        <w:instrText xml:space="preserve"> XE "</w:instrText>
      </w:r>
      <w:r w:rsidR="00505572" w:rsidRPr="00DD3B49">
        <w:instrText>druhý averroismus:vznik</w:instrText>
      </w:r>
      <w:r w:rsidR="00505572">
        <w:instrText xml:space="preserve">" </w:instrText>
      </w:r>
      <w:r w:rsidR="00505572">
        <w:fldChar w:fldCharType="end"/>
      </w:r>
      <w:r w:rsidR="003E49ED">
        <w:t xml:space="preserve">. </w:t>
      </w:r>
      <w:r w:rsidR="08EB1E59">
        <w:t>Jej</w:t>
      </w:r>
      <w:r w:rsidR="08066525">
        <w:t>í pojetí upravil Akvinský ve st</w:t>
      </w:r>
      <w:r w:rsidR="08EB1E59">
        <w:t>y</w:t>
      </w:r>
      <w:r w:rsidR="08066525">
        <w:t>lu</w:t>
      </w:r>
      <w:r w:rsidR="08EB1E59">
        <w:t xml:space="preserve"> modernizovaného avicennismu, který vznikl úpravou Komentátorovy „meta-fyziky“. </w:t>
      </w:r>
      <w:r w:rsidR="08C9717F">
        <w:t xml:space="preserve">Grosseteste s touto argumentací nesouhlasil a proto napadl oxfordské modernisty </w:t>
      </w:r>
      <w:r w:rsidR="08EB1E59">
        <w:t xml:space="preserve">v předešlé generaci </w:t>
      </w:r>
      <w:r w:rsidR="08C9717F">
        <w:t>za jejich chybný výklad Aristotela (</w:t>
      </w:r>
      <w:r w:rsidR="08252249" w:rsidRPr="00DB4716">
        <w:rPr>
          <w:i/>
        </w:rPr>
        <w:t>contra quosdam modernos</w:t>
      </w:r>
      <w:r w:rsidR="087C6720">
        <w:t>, kap. 3</w:t>
      </w:r>
      <w:r w:rsidR="08252249">
        <w:t>.1.2</w:t>
      </w:r>
      <w:r w:rsidR="08C9717F">
        <w:t xml:space="preserve">). </w:t>
      </w:r>
      <w:r w:rsidR="00C45438" w:rsidRPr="00DE4C83">
        <w:t>Podobným způsobem kritizoval Tomáše Akvinského i brilantní aristotelik Siger z Brabantu (OBJ III, kap. 4.4.4). Podobně si počínali aristotelští magistři v Rue du Fouarre, které Siger mistrně reprezentoval.</w:t>
      </w:r>
      <w:r w:rsidR="00C45438">
        <w:t xml:space="preserve"> </w:t>
      </w:r>
      <w:r w:rsidR="006925D8">
        <w:t xml:space="preserve">Citát ukazuje, jak se stal z Averroese averroista, který měl tomistický převlek zhruba od roku 1257. </w:t>
      </w:r>
      <w:r w:rsidR="00BE2563">
        <w:t xml:space="preserve">Velmi důležité </w:t>
      </w:r>
      <w:r w:rsidR="00BE2563" w:rsidRPr="00273106">
        <w:t xml:space="preserve">je odlišení názorů </w:t>
      </w:r>
      <w:r w:rsidR="08E07EC6">
        <w:t xml:space="preserve">nové </w:t>
      </w:r>
      <w:r w:rsidR="00BE2563">
        <w:t xml:space="preserve">školy </w:t>
      </w:r>
      <w:r w:rsidR="00BE2563" w:rsidRPr="00273106">
        <w:t>napojené na Avicennu</w:t>
      </w:r>
      <w:r w:rsidR="00A6027B">
        <w:t>. Ta se oddělila</w:t>
      </w:r>
      <w:r w:rsidR="00BE2563" w:rsidRPr="00273106">
        <w:t xml:space="preserve"> od </w:t>
      </w:r>
      <w:r w:rsidR="0021510B">
        <w:t>názorů tradovaných předešlými generacemi</w:t>
      </w:r>
      <w:r w:rsidR="00BE2563" w:rsidRPr="00273106">
        <w:t xml:space="preserve"> (</w:t>
      </w:r>
      <w:r w:rsidR="00BE2563" w:rsidRPr="00273106">
        <w:rPr>
          <w:i/>
        </w:rPr>
        <w:t>inter veteres</w:t>
      </w:r>
      <w:r w:rsidR="00A6027B">
        <w:t xml:space="preserve">). Tím je dán začátek </w:t>
      </w:r>
      <w:r w:rsidR="00A6027B" w:rsidRPr="00A6027B">
        <w:rPr>
          <w:i/>
        </w:rPr>
        <w:t>via Modernorum</w:t>
      </w:r>
      <w:r w:rsidR="00C05BAB">
        <w:t xml:space="preserve">. </w:t>
      </w:r>
      <w:r w:rsidR="00881366">
        <w:t>Školy</w:t>
      </w:r>
      <w:r w:rsidR="00C05BAB">
        <w:t xml:space="preserve"> </w:t>
      </w:r>
      <w:r w:rsidR="00C05BAB" w:rsidRPr="000F4972">
        <w:rPr>
          <w:i/>
          <w:lang w:eastAsia="en-US"/>
        </w:rPr>
        <w:t>sophistae Latini</w:t>
      </w:r>
      <w:r w:rsidR="00A6027B">
        <w:t xml:space="preserve"> v Oxfordu a Paří</w:t>
      </w:r>
      <w:r w:rsidR="00C05BAB">
        <w:t>ži vytvoři</w:t>
      </w:r>
      <w:r w:rsidR="00881366">
        <w:t>ly</w:t>
      </w:r>
      <w:r w:rsidR="00C05BAB">
        <w:t xml:space="preserve"> samostatnou metafyziku, která se oddělila od prvního averroismu na základě zcela zmateného výkladu </w:t>
      </w:r>
      <w:r w:rsidR="00C05BAB" w:rsidRPr="00C05BAB">
        <w:rPr>
          <w:i/>
        </w:rPr>
        <w:t>De anima</w:t>
      </w:r>
      <w:r w:rsidR="00C05BAB">
        <w:t xml:space="preserve">. Tito sofisté pod vedením akademických Fúrií zaujali obrannou pozici v modu </w:t>
      </w:r>
      <w:r w:rsidR="00C05BAB" w:rsidRPr="00C05BAB">
        <w:rPr>
          <w:i/>
        </w:rPr>
        <w:t>Verkehrung ins Gegenteil</w:t>
      </w:r>
      <w:r w:rsidR="00C05BAB">
        <w:t xml:space="preserve"> a ze svého omylu pak obvinili samotného Averroése.</w:t>
      </w:r>
      <w:r w:rsidR="00282337">
        <w:t xml:space="preserve"> Historie </w:t>
      </w:r>
      <w:r w:rsidR="00282337" w:rsidRPr="00282337">
        <w:rPr>
          <w:i/>
        </w:rPr>
        <w:t>via</w:t>
      </w:r>
      <w:r w:rsidR="00DE4C83" w:rsidRPr="00282337">
        <w:rPr>
          <w:i/>
        </w:rPr>
        <w:t xml:space="preserve"> Modernorum</w:t>
      </w:r>
      <w:r w:rsidR="00DE4C83">
        <w:t xml:space="preserve"> začín</w:t>
      </w:r>
      <w:r w:rsidR="00C05BAB">
        <w:t>á v momentu, kdy se z Averroése stal averroista, tedy v letech 1257 (Akvinský) až 1264 (</w:t>
      </w:r>
      <w:r w:rsidR="00C05BAB" w:rsidRPr="00C05BAB">
        <w:rPr>
          <w:i/>
        </w:rPr>
        <w:t>Summa philosophiae</w:t>
      </w:r>
      <w:r w:rsidR="00C05BAB">
        <w:t xml:space="preserve">). </w:t>
      </w:r>
      <w:r w:rsidR="00C3255B" w:rsidRPr="00273106">
        <w:t xml:space="preserve">Autor </w:t>
      </w:r>
      <w:r w:rsidR="00C3255B" w:rsidRPr="00273106">
        <w:rPr>
          <w:i/>
        </w:rPr>
        <w:t>Summa philosophiae</w:t>
      </w:r>
      <w:r w:rsidR="00C3255B" w:rsidRPr="00273106">
        <w:rPr>
          <w:rStyle w:val="Zkladntextdkovn0pt"/>
          <w:rFonts w:ascii="Calibri" w:eastAsia="Times" w:hAnsi="Calibri" w:cs="Times New Roman"/>
          <w:spacing w:val="0"/>
          <w:sz w:val="21"/>
          <w:u w:val="none"/>
          <w:lang w:val="cs-CZ"/>
        </w:rPr>
        <w:t xml:space="preserve"> </w:t>
      </w:r>
      <w:r w:rsidR="003C036C">
        <w:t>vytvořil sofistickou linii averroismu</w:t>
      </w:r>
      <w:r w:rsidR="00C3255B" w:rsidRPr="00273106">
        <w:t xml:space="preserve"> daného naukou o numericky </w:t>
      </w:r>
      <w:r w:rsidR="008361B6">
        <w:t xml:space="preserve">individidualizovaném možném intelektu ve všech lidech, která jde </w:t>
      </w:r>
      <w:r w:rsidR="00C3255B" w:rsidRPr="00273106">
        <w:t>od Theofra</w:t>
      </w:r>
      <w:r w:rsidR="00C3255B">
        <w:t>sta</w:t>
      </w:r>
      <w:r w:rsidR="00C3255B">
        <w:fldChar w:fldCharType="begin"/>
      </w:r>
      <w:r w:rsidR="00C3255B">
        <w:instrText xml:space="preserve"> XE "</w:instrText>
      </w:r>
      <w:r w:rsidR="00C3255B" w:rsidRPr="00761917">
        <w:instrText>Theofrastus</w:instrText>
      </w:r>
      <w:r w:rsidR="00C3255B">
        <w:instrText xml:space="preserve">" </w:instrText>
      </w:r>
      <w:r w:rsidR="00C3255B">
        <w:fldChar w:fldCharType="end"/>
      </w:r>
      <w:r w:rsidR="00C3255B">
        <w:t>, Themistia</w:t>
      </w:r>
      <w:r w:rsidR="00C3255B">
        <w:fldChar w:fldCharType="begin"/>
      </w:r>
      <w:r w:rsidR="00C3255B">
        <w:instrText xml:space="preserve"> XE "</w:instrText>
      </w:r>
      <w:r w:rsidR="00C3255B" w:rsidRPr="002255E5">
        <w:instrText>Themistius</w:instrText>
      </w:r>
      <w:r w:rsidR="00C3255B">
        <w:instrText xml:space="preserve">" </w:instrText>
      </w:r>
      <w:r w:rsidR="00C3255B">
        <w:fldChar w:fldCharType="end"/>
      </w:r>
      <w:r w:rsidR="00C3255B">
        <w:t xml:space="preserve"> až k Averroesovi, </w:t>
      </w:r>
      <w:r w:rsidR="00C3255B" w:rsidRPr="00273106">
        <w:t xml:space="preserve">a </w:t>
      </w:r>
      <w:r w:rsidR="00C3255B">
        <w:t xml:space="preserve">nakonec i </w:t>
      </w:r>
      <w:r w:rsidR="00C3255B" w:rsidRPr="00273106">
        <w:t xml:space="preserve">k Aristotelovi. Pouze Avicenna je oddělen jako </w:t>
      </w:r>
      <w:r w:rsidR="00C3255B">
        <w:t xml:space="preserve">explicitní </w:t>
      </w:r>
      <w:r w:rsidR="00C3255B" w:rsidRPr="00273106">
        <w:t>odpůrce této nauky (</w:t>
      </w:r>
      <w:r w:rsidR="00C3255B" w:rsidRPr="00273106">
        <w:rPr>
          <w:rStyle w:val="TextpoznpodarouChar"/>
          <w:i/>
        </w:rPr>
        <w:t>solus manifestius Avicenna contradicit</w:t>
      </w:r>
      <w:r w:rsidR="00C3255B" w:rsidRPr="00273106">
        <w:t xml:space="preserve">). </w:t>
      </w:r>
      <w:r w:rsidR="0858039D">
        <w:t xml:space="preserve">Tomáš </w:t>
      </w:r>
      <w:r w:rsidR="088630C2">
        <w:t xml:space="preserve">Akvinský </w:t>
      </w:r>
      <w:r w:rsidR="084F7960">
        <w:t xml:space="preserve">o dekádu dříve </w:t>
      </w:r>
      <w:r w:rsidR="088630C2">
        <w:t xml:space="preserve">považuje Avicennovu definici </w:t>
      </w:r>
      <w:r w:rsidR="088630C2" w:rsidRPr="088630C2">
        <w:rPr>
          <w:i/>
        </w:rPr>
        <w:t>intellectus po</w:t>
      </w:r>
      <w:r w:rsidR="0858039D">
        <w:rPr>
          <w:i/>
        </w:rPr>
        <w:t>s</w:t>
      </w:r>
      <w:r w:rsidR="088630C2" w:rsidRPr="088630C2">
        <w:rPr>
          <w:i/>
        </w:rPr>
        <w:t>sibilis</w:t>
      </w:r>
      <w:r w:rsidR="088630C2">
        <w:t xml:space="preserve"> za shodnou s katolickým pojetím osoby (</w:t>
      </w:r>
      <w:r w:rsidR="08213283" w:rsidRPr="087847A3">
        <w:rPr>
          <w:i/>
        </w:rPr>
        <w:t>ad intellectum possibilem, ejus opinio est quam tenemus secundum fidem catholicam</w:t>
      </w:r>
      <w:r w:rsidR="08D17C45">
        <w:t>; OBJ III,</w:t>
      </w:r>
      <w:r w:rsidR="08620B85">
        <w:t xml:space="preserve"> kap. 4</w:t>
      </w:r>
      <w:r w:rsidR="08213283">
        <w:t xml:space="preserve">.5.1). </w:t>
      </w:r>
      <w:r w:rsidR="00C3255B" w:rsidRPr="00273106">
        <w:t xml:space="preserve">To je přesně opačný postoj, </w:t>
      </w:r>
      <w:r w:rsidR="00C3255B" w:rsidRPr="00273106">
        <w:lastRenderedPageBreak/>
        <w:t>než měl rektor univerzity a biskup Alvernus v</w:t>
      </w:r>
      <w:r w:rsidR="00070618">
        <w:t> </w:t>
      </w:r>
      <w:r w:rsidR="00C3255B" w:rsidRPr="00273106">
        <w:t>Paří</w:t>
      </w:r>
      <w:r w:rsidR="00C3255B">
        <w:t>ži</w:t>
      </w:r>
      <w:r w:rsidR="00070618">
        <w:t xml:space="preserve">. Ten </w:t>
      </w:r>
      <w:r w:rsidR="00C3255B">
        <w:t>chválil z autentických pokračovatelů Aristotela pouze Averroes</w:t>
      </w:r>
      <w:r w:rsidR="00C3255B" w:rsidRPr="00273106">
        <w:t xml:space="preserve">e a </w:t>
      </w:r>
      <w:r w:rsidR="00C3255B">
        <w:t xml:space="preserve">výslovně </w:t>
      </w:r>
      <w:r w:rsidR="00C3255B" w:rsidRPr="00273106">
        <w:t xml:space="preserve">odmítl </w:t>
      </w:r>
      <w:r w:rsidR="00C3255B">
        <w:t xml:space="preserve">neoplatonského </w:t>
      </w:r>
      <w:r w:rsidR="08430F87">
        <w:t>Avicennu.</w:t>
      </w:r>
      <w:r w:rsidR="08430F87" w:rsidRPr="08430F87">
        <w:t xml:space="preserve"> </w:t>
      </w:r>
      <w:r w:rsidR="08DE5E9C">
        <w:t>Citát ukazuje, že m</w:t>
      </w:r>
      <w:r w:rsidR="08430F87">
        <w:t>oderní a</w:t>
      </w:r>
      <w:r w:rsidR="08430F87" w:rsidRPr="00273106">
        <w:t xml:space="preserve">vicennisté se </w:t>
      </w:r>
      <w:r w:rsidR="08E52B06" w:rsidRPr="00273106">
        <w:t xml:space="preserve">chápou </w:t>
      </w:r>
      <w:r w:rsidR="08DE5E9C">
        <w:t xml:space="preserve">okolo roku 1265 </w:t>
      </w:r>
      <w:r w:rsidR="08430F87" w:rsidRPr="00273106">
        <w:t>jako nová skupina myšlení</w:t>
      </w:r>
      <w:r w:rsidR="08430F87">
        <w:t>,</w:t>
      </w:r>
      <w:r w:rsidR="08430F87" w:rsidRPr="00273106">
        <w:t xml:space="preserve"> ustavená díky </w:t>
      </w:r>
      <w:r w:rsidR="08430F87" w:rsidRPr="00273106">
        <w:rPr>
          <w:i/>
        </w:rPr>
        <w:t>Oxfordian Fallacy</w:t>
      </w:r>
      <w:r w:rsidR="08430F87" w:rsidRPr="00273106">
        <w:t xml:space="preserve"> v protikladu k zavedeným vykladačům Korpusu.</w:t>
      </w:r>
    </w:p>
    <w:p w14:paraId="476C3C46" w14:textId="144C4C08" w:rsidR="00995AE9" w:rsidRPr="00273106" w:rsidRDefault="08E52B06" w:rsidP="00995AE9">
      <w:r>
        <w:tab/>
      </w:r>
      <w:r w:rsidR="00450697">
        <w:t xml:space="preserve">Oxfordští ilumináti se spojili  </w:t>
      </w:r>
      <w:r w:rsidR="003E49ED">
        <w:t xml:space="preserve">pařížskou školou modernistů </w:t>
      </w:r>
      <w:r w:rsidR="007061BD">
        <w:t xml:space="preserve">redigující </w:t>
      </w:r>
      <w:r w:rsidR="003E49ED" w:rsidRPr="003E49ED">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3E49ED">
        <w:t xml:space="preserve"> a vytvořili </w:t>
      </w:r>
      <w:r w:rsidR="007061BD">
        <w:t xml:space="preserve">kolem </w:t>
      </w:r>
      <w:r w:rsidR="00450697">
        <w:t>ro</w:t>
      </w:r>
      <w:r w:rsidR="007061BD">
        <w:t>ku</w:t>
      </w:r>
      <w:r w:rsidR="00450697">
        <w:t xml:space="preserve"> 1240 </w:t>
      </w:r>
      <w:r w:rsidR="003E49ED">
        <w:t xml:space="preserve">novou metafyziku v modu epochálně účinného </w:t>
      </w:r>
      <w:r w:rsidR="003E49ED" w:rsidRPr="003E49ED">
        <w:rPr>
          <w:i/>
        </w:rPr>
        <w:t>Irrtum</w:t>
      </w:r>
      <w:r w:rsidR="003E49ED">
        <w:t xml:space="preserve"> působícího </w:t>
      </w:r>
      <w:r w:rsidR="0031784A">
        <w:t xml:space="preserve">dodnes </w:t>
      </w:r>
      <w:r w:rsidR="08620B85">
        <w:t>(kap. 3</w:t>
      </w:r>
      <w:r w:rsidR="08430F87">
        <w:t>.2)</w:t>
      </w:r>
      <w:r w:rsidR="003E49ED">
        <w:t xml:space="preserve">. </w:t>
      </w:r>
      <w:r w:rsidR="08CD0CD0">
        <w:t>Ve druhém kole se tato skupina začala integrovat v Paříži i na Oxfordu se začínajícím tomismem, protože modernizaci Avicenny předložil Tomáš okolo roku 1257 při redakci druhé knihy Sentencí</w:t>
      </w:r>
      <w:r w:rsidR="081610B4">
        <w:t xml:space="preserve"> v Paříži</w:t>
      </w:r>
      <w:r w:rsidR="08CD0CD0">
        <w:t xml:space="preserve">. Klíčovou roli přitom hraje Aegidius Romanus, který se stal prvním tomistou v modu </w:t>
      </w:r>
      <w:r w:rsidR="08CD0CD0" w:rsidRPr="08CD0CD0">
        <w:rPr>
          <w:i/>
        </w:rPr>
        <w:t>sophist</w:t>
      </w:r>
      <w:r w:rsidR="08913B77">
        <w:rPr>
          <w:i/>
        </w:rPr>
        <w:t>a</w:t>
      </w:r>
      <w:r w:rsidR="08CD0CD0" w:rsidRPr="08CD0CD0">
        <w:rPr>
          <w:i/>
        </w:rPr>
        <w:t>e Latini</w:t>
      </w:r>
      <w:r w:rsidR="08CD0CD0">
        <w:t xml:space="preserve">. </w:t>
      </w:r>
      <w:r w:rsidR="003C036C">
        <w:t>Grosseteste</w:t>
      </w:r>
      <w:r w:rsidR="08AB023F">
        <w:t xml:space="preserve"> jako absolvent Blundovy školy nemohl připustit vpád avicennistického dualismu do jednoty osoby, protože by tím popřel </w:t>
      </w:r>
      <w:r w:rsidR="08AB023F" w:rsidRPr="08AB023F">
        <w:rPr>
          <w:i/>
        </w:rPr>
        <w:t>res gestae</w:t>
      </w:r>
      <w:r w:rsidR="08AB023F">
        <w:t xml:space="preserve"> zakládající Pařížskou univerzitu jako křesťanskou intituci pravdivého filosofického myšlení. Proto </w:t>
      </w:r>
      <w:r w:rsidR="08671186">
        <w:t xml:space="preserve">kritizoval </w:t>
      </w:r>
      <w:r w:rsidR="003C036C">
        <w:t>škol</w:t>
      </w:r>
      <w:r w:rsidR="08671186">
        <w:t>u</w:t>
      </w:r>
      <w:r w:rsidR="003C036C">
        <w:t xml:space="preserve"> </w:t>
      </w:r>
      <w:r w:rsidR="08225A49">
        <w:t xml:space="preserve">mladých </w:t>
      </w:r>
      <w:r w:rsidR="003C036C">
        <w:t xml:space="preserve">modernistů </w:t>
      </w:r>
      <w:r w:rsidR="08671186">
        <w:t xml:space="preserve">vzniklou </w:t>
      </w:r>
      <w:r w:rsidR="08AB023F">
        <w:t xml:space="preserve">v letech </w:t>
      </w:r>
      <w:r w:rsidR="003C036C">
        <w:t>123</w:t>
      </w:r>
      <w:r w:rsidR="00EE5D37">
        <w:t>0</w:t>
      </w:r>
      <w:r w:rsidR="08AB023F">
        <w:t>‒3</w:t>
      </w:r>
      <w:r w:rsidR="003C036C">
        <w:t xml:space="preserve">5 </w:t>
      </w:r>
      <w:r w:rsidR="08671186">
        <w:t>ve františkánské koleji</w:t>
      </w:r>
      <w:r w:rsidR="08671186" w:rsidRPr="08671186">
        <w:t xml:space="preserve"> </w:t>
      </w:r>
      <w:r w:rsidR="08671186">
        <w:t>na Oxfordu</w:t>
      </w:r>
      <w:r w:rsidR="003C036C">
        <w:t xml:space="preserve">, </w:t>
      </w:r>
      <w:r w:rsidR="08AB023F">
        <w:t xml:space="preserve">což dosvědčuje </w:t>
      </w:r>
      <w:r w:rsidR="00EE5D37">
        <w:t xml:space="preserve">jeho </w:t>
      </w:r>
      <w:r w:rsidR="08AB023F">
        <w:t xml:space="preserve">výše citovaný spis </w:t>
      </w:r>
      <w:r w:rsidR="08AB023F" w:rsidRPr="00273106">
        <w:rPr>
          <w:i/>
          <w:szCs w:val="12"/>
        </w:rPr>
        <w:t>Hexaëmeron</w:t>
      </w:r>
      <w:r w:rsidR="003C036C">
        <w:t xml:space="preserve">. </w:t>
      </w:r>
      <w:r w:rsidR="0048034D">
        <w:t>Následující g</w:t>
      </w:r>
      <w:r w:rsidR="00995AE9" w:rsidRPr="00273106">
        <w:t xml:space="preserve">enerace </w:t>
      </w:r>
      <w:r w:rsidR="00995AE9" w:rsidRPr="00273106">
        <w:rPr>
          <w:i/>
        </w:rPr>
        <w:t>Latinorum</w:t>
      </w:r>
      <w:r w:rsidR="00995AE9" w:rsidRPr="00273106">
        <w:t xml:space="preserve"> </w:t>
      </w:r>
      <w:r w:rsidR="0048034D">
        <w:t xml:space="preserve">radikalizovala </w:t>
      </w:r>
      <w:r w:rsidR="00995AE9" w:rsidRPr="00273106">
        <w:t>myš</w:t>
      </w:r>
      <w:r w:rsidR="001335FD">
        <w:t>lení zakladatele</w:t>
      </w:r>
      <w:r w:rsidR="0048034D">
        <w:t xml:space="preserve"> </w:t>
      </w:r>
      <w:r w:rsidR="0048034D" w:rsidRPr="0048034D">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505572">
        <w:instrText>:</w:instrText>
      </w:r>
      <w:r w:rsidR="00505572" w:rsidRPr="00505572">
        <w:instrText>Grosseteste</w:instrText>
      </w:r>
      <w:r w:rsidR="00924399">
        <w:instrText xml:space="preserve">" </w:instrText>
      </w:r>
      <w:r w:rsidR="00924399">
        <w:rPr>
          <w:i/>
        </w:rPr>
        <w:fldChar w:fldCharType="end"/>
      </w:r>
      <w:r w:rsidR="001335FD">
        <w:t xml:space="preserve">, </w:t>
      </w:r>
      <w:r w:rsidR="00995AE9" w:rsidRPr="00273106">
        <w:t xml:space="preserve">podobně jako Avicenna ve </w:t>
      </w:r>
      <w:r w:rsidR="001335FD">
        <w:t>falsafě posunul výklad nauky Al</w:t>
      </w:r>
      <w:r w:rsidR="001335FD">
        <w:noBreakHyphen/>
      </w:r>
      <w:r w:rsidR="008E02F5">
        <w:t>Fárábí</w:t>
      </w:r>
      <w:r w:rsidR="00995AE9" w:rsidRPr="00273106">
        <w:t xml:space="preserve">ho směrem k neoplatonismu. </w:t>
      </w:r>
      <w:r w:rsidR="085F62EC">
        <w:t xml:space="preserve">Grosseteste založil </w:t>
      </w:r>
      <w:r w:rsidR="085F62EC">
        <w:rPr>
          <w:i/>
        </w:rPr>
        <w:t>Oxfordian F</w:t>
      </w:r>
      <w:r w:rsidR="085F62EC" w:rsidRPr="085F62EC">
        <w:rPr>
          <w:i/>
        </w:rPr>
        <w:t>allacy</w:t>
      </w:r>
      <w:r w:rsidR="085F62EC">
        <w:t xml:space="preserve"> a tím vznikl u Rufuse a dalších modernistů od roku 1235 zásadní metafyzický spor mezi </w:t>
      </w:r>
      <w:r w:rsidR="00C74CB9" w:rsidRPr="00C74CB9">
        <w:rPr>
          <w:i/>
        </w:rPr>
        <w:t>via Antiquorum</w:t>
      </w:r>
      <w:r w:rsidR="00C74CB9">
        <w:t xml:space="preserve"> a </w:t>
      </w:r>
      <w:r w:rsidR="00BA51F1" w:rsidRPr="00BA51F1">
        <w:rPr>
          <w:i/>
        </w:rPr>
        <w:t>via</w:t>
      </w:r>
      <w:r w:rsidR="00BA51F1">
        <w:t xml:space="preserve"> </w:t>
      </w:r>
      <w:r w:rsidR="00C74CB9" w:rsidRPr="00C74CB9">
        <w:rPr>
          <w:i/>
        </w:rPr>
        <w:t>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C74CB9">
        <w:t xml:space="preserve">. </w:t>
      </w:r>
      <w:r w:rsidR="00B50110" w:rsidRPr="00273106">
        <w:t xml:space="preserve">Spojení činného a pasivního intelektu v </w:t>
      </w:r>
      <w:r w:rsidR="00E962D0">
        <w:t xml:space="preserve">traktátu staví na rozdílu mezi </w:t>
      </w:r>
      <w:r w:rsidR="00B50110" w:rsidRPr="00273106">
        <w:rPr>
          <w:i/>
        </w:rPr>
        <w:t>potentia substantialis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rsidR="00E962D0">
        <w:t xml:space="preserve"> a </w:t>
      </w:r>
      <w:r w:rsidR="00B50110" w:rsidRPr="00273106">
        <w:rPr>
          <w:i/>
        </w:rPr>
        <w:t>potentia</w:t>
      </w:r>
      <w:r w:rsidR="00B50110" w:rsidRPr="00273106">
        <w:t xml:space="preserve"> </w:t>
      </w:r>
      <w:r w:rsidR="00E962D0">
        <w:rPr>
          <w:i/>
        </w:rPr>
        <w:t>accident</w:t>
      </w:r>
      <w:r w:rsidR="00B50110" w:rsidRPr="00273106">
        <w:rPr>
          <w:i/>
        </w:rPr>
        <w:t>alis</w:t>
      </w:r>
      <w:r w:rsidR="00505572">
        <w:rPr>
          <w:i/>
        </w:rPr>
        <w:fldChar w:fldCharType="begin"/>
      </w:r>
      <w:r w:rsidR="00505572">
        <w:instrText xml:space="preserve"> XE "</w:instrText>
      </w:r>
      <w:r w:rsidR="00505572" w:rsidRPr="007169BB">
        <w:rPr>
          <w:i/>
        </w:rPr>
        <w:instrText>potentia</w:instrText>
      </w:r>
      <w:r w:rsidR="00505572" w:rsidRPr="007169BB">
        <w:instrText xml:space="preserve"> </w:instrText>
      </w:r>
      <w:r w:rsidR="00843164">
        <w:rPr>
          <w:i/>
        </w:rPr>
        <w:instrText>accidentalis</w:instrText>
      </w:r>
      <w:r w:rsidR="00505572">
        <w:instrText xml:space="preserve">" </w:instrText>
      </w:r>
      <w:r w:rsidR="00505572">
        <w:rPr>
          <w:i/>
        </w:rPr>
        <w:fldChar w:fldCharType="end"/>
      </w:r>
      <w:r w:rsidR="00B50110" w:rsidRPr="00273106">
        <w:t xml:space="preserve">, kterou do františkánské školy zavedl </w:t>
      </w:r>
      <w:r w:rsidR="00E419FB">
        <w:t>již citovaný Rufus</w:t>
      </w:r>
      <w:r w:rsidR="00B50110" w:rsidRPr="00273106">
        <w:t xml:space="preserve">. </w:t>
      </w:r>
      <w:r w:rsidR="00995AE9" w:rsidRPr="00273106">
        <w:t>Grossetesteho škola provádí podobnou syntézu</w:t>
      </w:r>
      <w:r w:rsidR="00EB3C6F">
        <w:t xml:space="preserve">. Modernisté kombinují </w:t>
      </w:r>
      <w:r w:rsidR="0077024C" w:rsidRPr="00273106">
        <w:t xml:space="preserve">některé prvky z autentické nauky v </w:t>
      </w:r>
      <w:r w:rsidR="0077024C" w:rsidRPr="00273106">
        <w:rPr>
          <w:i/>
        </w:rPr>
        <w:t>De anima</w:t>
      </w:r>
      <w:r w:rsidR="0077024C" w:rsidRPr="00273106">
        <w:t xml:space="preserve"> s výkladem avicennistických porretánů</w:t>
      </w:r>
      <w:r w:rsidR="00995AE9" w:rsidRPr="00273106">
        <w:t xml:space="preserve">. </w:t>
      </w:r>
    </w:p>
    <w:p w14:paraId="1E5128AA" w14:textId="294CBB6B" w:rsidR="00995AE9" w:rsidRPr="00273106" w:rsidRDefault="00995AE9" w:rsidP="00233C44">
      <w:pPr>
        <w:pStyle w:val="Citace"/>
        <w:rPr>
          <w:noProof/>
          <w:lang w:val="cs-CZ"/>
        </w:rPr>
      </w:pPr>
      <w:r w:rsidRPr="00273106">
        <w:rPr>
          <w:rStyle w:val="Zkladntextdkovn0pt"/>
          <w:rFonts w:ascii="Calibri" w:eastAsia="Times" w:hAnsi="Calibri" w:cs="Times New Roman"/>
          <w:noProof/>
          <w:spacing w:val="0"/>
          <w:sz w:val="22"/>
          <w:u w:val="none"/>
          <w:lang w:val="cs-CZ"/>
        </w:rPr>
        <w:t>„</w:t>
      </w:r>
      <w:r w:rsidR="00E962D0">
        <w:rPr>
          <w:rStyle w:val="Zkladntextdkovn0pt"/>
          <w:rFonts w:ascii="Calibri" w:eastAsia="Times" w:hAnsi="Calibri" w:cs="Times New Roman"/>
          <w:noProof/>
          <w:spacing w:val="0"/>
          <w:sz w:val="22"/>
          <w:u w:val="none"/>
          <w:lang w:val="cs-CZ"/>
        </w:rPr>
        <w:t>Podle Averroes</w:t>
      </w:r>
      <w:r w:rsidR="0077024C" w:rsidRPr="00273106">
        <w:rPr>
          <w:rStyle w:val="Zkladntextdkovn0pt"/>
          <w:rFonts w:ascii="Calibri" w:eastAsia="Times" w:hAnsi="Calibri" w:cs="Times New Roman"/>
          <w:noProof/>
          <w:spacing w:val="0"/>
          <w:sz w:val="22"/>
          <w:u w:val="none"/>
          <w:lang w:val="cs-CZ"/>
        </w:rPr>
        <w:t xml:space="preserve">e platí, že </w:t>
      </w:r>
      <w:r w:rsidR="00D4174E">
        <w:rPr>
          <w:rStyle w:val="Zkladntextdkovn0pt"/>
          <w:rFonts w:ascii="Calibri" w:eastAsia="Times" w:hAnsi="Calibri" w:cs="Times New Roman"/>
          <w:noProof/>
          <w:spacing w:val="0"/>
          <w:sz w:val="22"/>
          <w:u w:val="none"/>
          <w:lang w:val="cs-CZ"/>
        </w:rPr>
        <w:t>vše</w:t>
      </w:r>
      <w:r w:rsidR="0077024C" w:rsidRPr="00273106">
        <w:rPr>
          <w:rStyle w:val="Zkladntextdkovn0pt"/>
          <w:rFonts w:ascii="Calibri" w:eastAsia="Times" w:hAnsi="Calibri" w:cs="Times New Roman"/>
          <w:noProof/>
          <w:spacing w:val="0"/>
          <w:sz w:val="22"/>
          <w:u w:val="none"/>
          <w:lang w:val="cs-CZ"/>
        </w:rPr>
        <w:t xml:space="preserve">, co </w:t>
      </w:r>
      <w:r w:rsidR="00D3148A">
        <w:rPr>
          <w:rStyle w:val="Zkladntextdkovn0pt"/>
          <w:rFonts w:ascii="Calibri" w:eastAsia="Times" w:hAnsi="Calibri" w:cs="Times New Roman"/>
          <w:noProof/>
          <w:spacing w:val="0"/>
          <w:sz w:val="22"/>
          <w:u w:val="none"/>
          <w:lang w:val="cs-CZ"/>
        </w:rPr>
        <w:t>je v modu přijímajícího</w:t>
      </w:r>
      <w:r w:rsidR="0077024C" w:rsidRPr="00273106">
        <w:rPr>
          <w:rStyle w:val="Zkladntextdkovn0pt"/>
          <w:rFonts w:ascii="Calibri" w:eastAsia="Times" w:hAnsi="Calibri" w:cs="Times New Roman"/>
          <w:noProof/>
          <w:spacing w:val="0"/>
          <w:sz w:val="22"/>
          <w:u w:val="none"/>
          <w:lang w:val="cs-CZ"/>
        </w:rPr>
        <w:t xml:space="preserve">, je </w:t>
      </w:r>
      <w:r w:rsidR="00166430">
        <w:rPr>
          <w:rStyle w:val="Zkladntextdkovn0pt"/>
          <w:rFonts w:ascii="Calibri" w:eastAsia="Times" w:hAnsi="Calibri" w:cs="Times New Roman"/>
          <w:noProof/>
          <w:spacing w:val="0"/>
          <w:sz w:val="22"/>
          <w:u w:val="none"/>
          <w:lang w:val="cs-CZ"/>
        </w:rPr>
        <w:t xml:space="preserve">prozatím </w:t>
      </w:r>
      <w:r w:rsidR="0077024C" w:rsidRPr="00273106">
        <w:rPr>
          <w:rStyle w:val="Zkladntextdkovn0pt"/>
          <w:rFonts w:ascii="Calibri" w:eastAsia="Times" w:hAnsi="Calibri" w:cs="Times New Roman"/>
          <w:noProof/>
          <w:spacing w:val="0"/>
          <w:sz w:val="22"/>
          <w:u w:val="none"/>
          <w:lang w:val="cs-CZ"/>
        </w:rPr>
        <w:t>zbaveno podstaty toho, co je přij</w:t>
      </w:r>
      <w:r w:rsidR="00233C44" w:rsidRPr="00273106">
        <w:rPr>
          <w:rStyle w:val="Zkladntextdkovn0pt"/>
          <w:rFonts w:ascii="Calibri" w:eastAsia="Times" w:hAnsi="Calibri" w:cs="Times New Roman"/>
          <w:noProof/>
          <w:spacing w:val="0"/>
          <w:sz w:val="22"/>
          <w:u w:val="none"/>
          <w:lang w:val="cs-CZ"/>
        </w:rPr>
        <w:t>ímáno. Subsistence přijímaného</w:t>
      </w:r>
      <w:r w:rsidR="00372F16">
        <w:rPr>
          <w:rStyle w:val="Zkladntextdkovn0pt"/>
          <w:rFonts w:ascii="Calibri" w:eastAsia="Times" w:hAnsi="Calibri" w:cs="Times New Roman"/>
          <w:noProof/>
          <w:spacing w:val="0"/>
          <w:sz w:val="22"/>
          <w:u w:val="none"/>
          <w:lang w:val="cs-CZ"/>
        </w:rPr>
        <w:t xml:space="preserve"> </w:t>
      </w:r>
      <w:r w:rsidR="00D3148A">
        <w:rPr>
          <w:rStyle w:val="Zkladntextdkovn0pt"/>
          <w:rFonts w:ascii="Calibri" w:eastAsia="Times" w:hAnsi="Calibri" w:cs="Times New Roman"/>
          <w:noProof/>
          <w:spacing w:val="0"/>
          <w:sz w:val="22"/>
          <w:u w:val="none"/>
          <w:lang w:val="cs-CZ"/>
        </w:rPr>
        <w:t xml:space="preserve">je dána jako </w:t>
      </w:r>
      <w:r w:rsidR="00372F16">
        <w:rPr>
          <w:rStyle w:val="Zkladntextdkovn0pt"/>
          <w:rFonts w:ascii="Calibri" w:eastAsia="Times" w:hAnsi="Calibri" w:cs="Times New Roman"/>
          <w:noProof/>
          <w:spacing w:val="0"/>
          <w:sz w:val="22"/>
          <w:u w:val="none"/>
          <w:lang w:val="cs-CZ"/>
        </w:rPr>
        <w:t>hy</w:t>
      </w:r>
      <w:r w:rsidR="00D3148A">
        <w:rPr>
          <w:rStyle w:val="Zkladntextdkovn0pt"/>
          <w:rFonts w:ascii="Calibri" w:eastAsia="Times" w:hAnsi="Calibri" w:cs="Times New Roman"/>
          <w:noProof/>
          <w:spacing w:val="0"/>
          <w:sz w:val="22"/>
          <w:u w:val="none"/>
          <w:lang w:val="cs-CZ"/>
        </w:rPr>
        <w:t>postázovaný</w:t>
      </w:r>
      <w:r w:rsidR="00372F16">
        <w:rPr>
          <w:rStyle w:val="Zkladntextdkovn0pt"/>
          <w:rFonts w:ascii="Calibri" w:eastAsia="Times" w:hAnsi="Calibri" w:cs="Times New Roman"/>
          <w:noProof/>
          <w:spacing w:val="0"/>
          <w:sz w:val="22"/>
          <w:u w:val="none"/>
          <w:lang w:val="cs-CZ"/>
        </w:rPr>
        <w:t xml:space="preserve"> </w:t>
      </w:r>
      <w:r w:rsidR="0077024C" w:rsidRPr="00273106">
        <w:rPr>
          <w:rStyle w:val="Zkladntextdkovn0pt"/>
          <w:rFonts w:ascii="Calibri" w:eastAsia="Times" w:hAnsi="Calibri" w:cs="Times New Roman"/>
          <w:noProof/>
          <w:spacing w:val="0"/>
          <w:sz w:val="22"/>
          <w:u w:val="none"/>
          <w:lang w:val="cs-CZ"/>
        </w:rPr>
        <w:t>vztah k</w:t>
      </w:r>
      <w:r w:rsidR="00D3148A">
        <w:rPr>
          <w:rStyle w:val="Zkladntextdkovn0pt"/>
          <w:rFonts w:ascii="Calibri" w:eastAsia="Times" w:hAnsi="Calibri" w:cs="Times New Roman"/>
          <w:noProof/>
          <w:spacing w:val="0"/>
          <w:sz w:val="22"/>
          <w:u w:val="none"/>
          <w:lang w:val="cs-CZ"/>
        </w:rPr>
        <w:t xml:space="preserve"> aktivní </w:t>
      </w:r>
      <w:r w:rsidR="0077024C" w:rsidRPr="00273106">
        <w:rPr>
          <w:rStyle w:val="Zkladntextdkovn0pt"/>
          <w:rFonts w:ascii="Calibri" w:eastAsia="Times" w:hAnsi="Calibri" w:cs="Times New Roman"/>
          <w:noProof/>
          <w:spacing w:val="0"/>
          <w:sz w:val="22"/>
          <w:u w:val="none"/>
          <w:lang w:val="cs-CZ"/>
        </w:rPr>
        <w:t>formě</w:t>
      </w:r>
      <w:r w:rsidR="00507042">
        <w:rPr>
          <w:rStyle w:val="Zkladntextdkovn0pt"/>
          <w:rFonts w:ascii="Calibri" w:eastAsia="Times" w:hAnsi="Calibri" w:cs="Times New Roman"/>
          <w:noProof/>
          <w:spacing w:val="0"/>
          <w:sz w:val="22"/>
          <w:u w:val="none"/>
          <w:lang w:val="cs-CZ"/>
        </w:rPr>
        <w:t xml:space="preserve"> (</w:t>
      </w:r>
      <w:r w:rsidR="00507042" w:rsidRPr="00507042">
        <w:rPr>
          <w:i/>
        </w:rPr>
        <w:t>anitas sola sui relatione ad formam</w:t>
      </w:r>
      <w:r w:rsidR="00507042">
        <w:rPr>
          <w:rStyle w:val="Zkladntextdkovn0pt"/>
          <w:rFonts w:ascii="Calibri" w:eastAsia="Times" w:hAnsi="Calibri" w:cs="Times New Roman"/>
          <w:noProof/>
          <w:spacing w:val="0"/>
          <w:sz w:val="22"/>
          <w:u w:val="none"/>
          <w:lang w:val="cs-CZ"/>
        </w:rPr>
        <w:t>)</w:t>
      </w:r>
      <w:r w:rsidR="00372F16">
        <w:rPr>
          <w:rStyle w:val="Zkladntextdkovn0pt"/>
          <w:rFonts w:ascii="Calibri" w:eastAsia="Times" w:hAnsi="Calibri" w:cs="Times New Roman"/>
          <w:noProof/>
          <w:spacing w:val="0"/>
          <w:sz w:val="22"/>
          <w:u w:val="none"/>
          <w:lang w:val="cs-CZ"/>
        </w:rPr>
        <w:t xml:space="preserve">, </w:t>
      </w:r>
      <w:r w:rsidR="0094138D">
        <w:rPr>
          <w:rStyle w:val="Zkladntextdkovn0pt"/>
          <w:rFonts w:ascii="Calibri" w:eastAsia="Times" w:hAnsi="Calibri" w:cs="Times New Roman"/>
          <w:noProof/>
          <w:spacing w:val="0"/>
          <w:sz w:val="22"/>
          <w:u w:val="none"/>
          <w:lang w:val="cs-CZ"/>
        </w:rPr>
        <w:t xml:space="preserve">protože tento hypostázovaný vztah </w:t>
      </w:r>
      <w:r w:rsidR="00802D3A">
        <w:rPr>
          <w:rStyle w:val="Zkladntextdkovn0pt"/>
          <w:rFonts w:ascii="Calibri" w:eastAsia="Times" w:hAnsi="Calibri" w:cs="Times New Roman"/>
          <w:noProof/>
          <w:spacing w:val="0"/>
          <w:sz w:val="22"/>
          <w:u w:val="none"/>
          <w:lang w:val="cs-CZ"/>
        </w:rPr>
        <w:t xml:space="preserve">má </w:t>
      </w:r>
      <w:r w:rsidR="0077024C" w:rsidRPr="00273106">
        <w:rPr>
          <w:rStyle w:val="Zkladntextdkovn0pt"/>
          <w:rFonts w:ascii="Calibri" w:eastAsia="Times" w:hAnsi="Calibri" w:cs="Times New Roman"/>
          <w:noProof/>
          <w:spacing w:val="0"/>
          <w:sz w:val="22"/>
          <w:u w:val="none"/>
          <w:lang w:val="cs-CZ"/>
        </w:rPr>
        <w:t>přirozeně danou schopnost realizace</w:t>
      </w:r>
      <w:r w:rsidR="00507042">
        <w:rPr>
          <w:rStyle w:val="Zkladntextdkovn0pt"/>
          <w:rFonts w:ascii="Calibri" w:eastAsia="Times" w:hAnsi="Calibri" w:cs="Times New Roman"/>
          <w:noProof/>
          <w:spacing w:val="0"/>
          <w:sz w:val="22"/>
          <w:u w:val="none"/>
          <w:lang w:val="cs-CZ"/>
        </w:rPr>
        <w:t xml:space="preserve"> (</w:t>
      </w:r>
      <w:r w:rsidR="00507042" w:rsidRPr="00507042">
        <w:rPr>
          <w:i/>
        </w:rPr>
        <w:t>naturaliter ipsius perfectivam</w:t>
      </w:r>
      <w:r w:rsidR="00507042">
        <w:rPr>
          <w:rStyle w:val="Zkladntextdkovn0pt"/>
          <w:rFonts w:ascii="Calibri" w:eastAsia="Times" w:hAnsi="Calibri" w:cs="Times New Roman"/>
          <w:noProof/>
          <w:spacing w:val="0"/>
          <w:sz w:val="22"/>
          <w:u w:val="none"/>
          <w:lang w:val="cs-CZ"/>
        </w:rPr>
        <w:t>)</w:t>
      </w:r>
      <w:r w:rsidR="00802D3A">
        <w:rPr>
          <w:rStyle w:val="Zkladntextdkovn0pt"/>
          <w:rFonts w:ascii="Calibri" w:eastAsia="Times" w:hAnsi="Calibri" w:cs="Times New Roman"/>
          <w:noProof/>
          <w:spacing w:val="0"/>
          <w:sz w:val="22"/>
          <w:u w:val="none"/>
          <w:lang w:val="cs-CZ"/>
        </w:rPr>
        <w:t>. Skrze akt této subsistence (</w:t>
      </w:r>
      <w:r w:rsidR="00802D3A" w:rsidRPr="00802D3A">
        <w:rPr>
          <w:rStyle w:val="Zkladntextdkovn0pt"/>
          <w:rFonts w:ascii="Calibri" w:eastAsia="Times" w:hAnsi="Calibri" w:cs="Times New Roman"/>
          <w:i/>
          <w:noProof/>
          <w:spacing w:val="0"/>
          <w:sz w:val="22"/>
          <w:u w:val="none"/>
          <w:lang w:val="cs-CZ"/>
        </w:rPr>
        <w:t>sub qua</w:t>
      </w:r>
      <w:r w:rsidR="00802D3A">
        <w:rPr>
          <w:rStyle w:val="Zkladntextdkovn0pt"/>
          <w:rFonts w:ascii="Calibri" w:eastAsia="Times" w:hAnsi="Calibri" w:cs="Times New Roman"/>
          <w:noProof/>
          <w:spacing w:val="0"/>
          <w:sz w:val="22"/>
          <w:u w:val="none"/>
          <w:lang w:val="cs-CZ"/>
        </w:rPr>
        <w:t xml:space="preserve">) </w:t>
      </w:r>
      <w:r w:rsidR="0077024C" w:rsidRPr="00273106">
        <w:rPr>
          <w:rStyle w:val="Zkladntextdkovn0pt"/>
          <w:rFonts w:ascii="Calibri" w:eastAsia="Times" w:hAnsi="Calibri" w:cs="Times New Roman"/>
          <w:noProof/>
          <w:spacing w:val="0"/>
          <w:sz w:val="22"/>
          <w:u w:val="none"/>
          <w:lang w:val="cs-CZ"/>
        </w:rPr>
        <w:t xml:space="preserve">dostane </w:t>
      </w:r>
      <w:r w:rsidR="00802D3A">
        <w:rPr>
          <w:rStyle w:val="Zkladntextdkovn0pt"/>
          <w:rFonts w:ascii="Calibri" w:eastAsia="Times" w:hAnsi="Calibri" w:cs="Times New Roman"/>
          <w:noProof/>
          <w:spacing w:val="0"/>
          <w:sz w:val="22"/>
          <w:u w:val="none"/>
          <w:lang w:val="cs-CZ"/>
        </w:rPr>
        <w:t xml:space="preserve">forma </w:t>
      </w:r>
      <w:r w:rsidR="0077024C" w:rsidRPr="00273106">
        <w:rPr>
          <w:rStyle w:val="Zkladntextdkovn0pt"/>
          <w:rFonts w:ascii="Calibri" w:eastAsia="Times" w:hAnsi="Calibri" w:cs="Times New Roman"/>
          <w:noProof/>
          <w:spacing w:val="0"/>
          <w:sz w:val="22"/>
          <w:u w:val="none"/>
          <w:lang w:val="cs-CZ"/>
        </w:rPr>
        <w:t>aktuální existenci. To je možné jen tehdy, pokud poznání existuje pouze v potenci, která je dána vzhledem k aktualitě</w:t>
      </w:r>
      <w:r w:rsidRPr="00273106">
        <w:rPr>
          <w:rStyle w:val="Zkladntextdkovn0pt"/>
          <w:rFonts w:ascii="Calibri" w:eastAsia="Times" w:hAnsi="Calibri" w:cs="Times New Roman"/>
          <w:noProof/>
          <w:spacing w:val="0"/>
          <w:sz w:val="22"/>
          <w:u w:val="none"/>
          <w:lang w:val="cs-CZ"/>
        </w:rPr>
        <w:t xml:space="preserve">.“ </w:t>
      </w:r>
      <w:r w:rsidRPr="00273106">
        <w:rPr>
          <w:rStyle w:val="Znakapoznpodarou"/>
          <w:noProof/>
          <w:lang w:val="cs-CZ"/>
        </w:rPr>
        <w:footnoteReference w:id="335"/>
      </w:r>
    </w:p>
    <w:p w14:paraId="7E291D7D" w14:textId="77A79FCC" w:rsidR="0098551C" w:rsidRDefault="00995AE9" w:rsidP="00995AE9">
      <w:r w:rsidRPr="00273106">
        <w:lastRenderedPageBreak/>
        <w:t xml:space="preserve">První část citace správně určuje podstatu receptivního intelektu podle </w:t>
      </w:r>
      <w:r w:rsidR="002E3B62">
        <w:t>Averroes</w:t>
      </w:r>
      <w:r w:rsidRPr="00273106">
        <w:t>e (</w:t>
      </w:r>
      <w:r w:rsidRPr="00273106">
        <w:rPr>
          <w:i/>
        </w:rPr>
        <w:t>denudatum est a natura recepti</w:t>
      </w:r>
      <w:r w:rsidRPr="00273106">
        <w:t xml:space="preserve">). Duše je </w:t>
      </w:r>
      <w:r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Pr="00273106">
        <w:t xml:space="preserve"> a takto daný receptivní intelekt zbavený všech aktuálních obsahů zajišťuje poznání podle Aristotela (</w:t>
      </w:r>
      <w:r w:rsidRPr="00273106">
        <w:rPr>
          <w:i/>
        </w:rPr>
        <w:t xml:space="preserve">anima quodammodo est omnia, </w:t>
      </w:r>
      <w:r w:rsidR="00B713C5">
        <w:rPr>
          <w:i/>
        </w:rPr>
        <w:t>De anima</w:t>
      </w:r>
      <w:r w:rsidRPr="00273106">
        <w:t xml:space="preserve"> 431b20‒21</w:t>
      </w:r>
      <w:r w:rsidR="00505572">
        <w:fldChar w:fldCharType="begin"/>
      </w:r>
      <w:r w:rsidR="00505572">
        <w:instrText xml:space="preserve"> XE "</w:instrText>
      </w:r>
      <w:r w:rsidR="008E02F5">
        <w:instrText>Aristoteles</w:instrText>
      </w:r>
      <w:r w:rsidR="00505572">
        <w:instrText>:</w:instrText>
      </w:r>
      <w:r w:rsidR="00505572" w:rsidRPr="00A441E5">
        <w:rPr>
          <w:i/>
        </w:rPr>
        <w:instrText>De anima</w:instrText>
      </w:r>
      <w:r w:rsidR="00505572" w:rsidRPr="00A441E5">
        <w:instrText xml:space="preserve"> 431b20‒21</w:instrText>
      </w:r>
      <w:r w:rsidR="00505572">
        <w:instrText xml:space="preserve">" </w:instrText>
      </w:r>
      <w:r w:rsidR="00505572">
        <w:fldChar w:fldCharType="end"/>
      </w:r>
      <w:r w:rsidRPr="00273106">
        <w:t>). Jenže citát neváže tento výkon poznání na existenci člověka jako první substance</w:t>
      </w:r>
      <w:r w:rsidR="00A70FA4">
        <w:fldChar w:fldCharType="begin"/>
      </w:r>
      <w:r w:rsidR="00A70FA4">
        <w:instrText xml:space="preserve"> XE "</w:instrText>
      </w:r>
      <w:r w:rsidR="00A70FA4" w:rsidRPr="00DE2A32">
        <w:instrText>substance</w:instrText>
      </w:r>
      <w:r w:rsidR="00505572">
        <w:instrText>:osoba</w:instrText>
      </w:r>
      <w:r w:rsidR="00A70FA4">
        <w:instrText xml:space="preserve">" </w:instrText>
      </w:r>
      <w:r w:rsidR="00A70FA4">
        <w:fldChar w:fldCharType="end"/>
      </w:r>
      <w:r w:rsidRPr="00273106">
        <w:t xml:space="preserve">, ani na výkon individuální duše jako entelechické formy </w:t>
      </w:r>
      <w:r w:rsidR="08E42887">
        <w:t xml:space="preserve">živého </w:t>
      </w:r>
      <w:r w:rsidRPr="00273106">
        <w:t>těla</w:t>
      </w:r>
      <w:r w:rsidR="08E42887">
        <w:t xml:space="preserve"> v aktuální osobě</w:t>
      </w:r>
      <w:r w:rsidRPr="00273106">
        <w:t xml:space="preserve">. </w:t>
      </w:r>
      <w:r w:rsidR="00554A77">
        <w:t xml:space="preserve">To jasně ukazuje porretánský </w:t>
      </w:r>
      <w:r w:rsidR="08E42887">
        <w:t xml:space="preserve">termín </w:t>
      </w:r>
      <w:r w:rsidRPr="00273106">
        <w:rPr>
          <w:i/>
        </w:rPr>
        <w:t>anitas</w:t>
      </w:r>
      <w:r w:rsidR="00554A77">
        <w:t xml:space="preserve"> </w:t>
      </w:r>
      <w:r w:rsidR="00613974">
        <w:rPr>
          <w:rFonts w:cs="Calibri"/>
        </w:rPr>
        <w:fldChar w:fldCharType="begin"/>
      </w:r>
      <w:r w:rsidR="00613974">
        <w:instrText xml:space="preserve"> XE "esence:</w:instrText>
      </w:r>
      <w:r w:rsidR="00613974" w:rsidRPr="00613974">
        <w:rPr>
          <w:i/>
        </w:rPr>
        <w:instrText>anitas</w:instrText>
      </w:r>
      <w:r w:rsidR="00613974">
        <w:rPr>
          <w:rFonts w:cs="Calibri"/>
        </w:rPr>
        <w:fldChar w:fldCharType="end"/>
      </w:r>
      <w:r w:rsidR="00554A77">
        <w:t xml:space="preserve">užitý jako hypostáze pro </w:t>
      </w:r>
      <w:r w:rsidR="083D1910">
        <w:t xml:space="preserve">existenciálně daný výkon </w:t>
      </w:r>
      <w:r w:rsidR="00554A77">
        <w:t>intelekt</w:t>
      </w:r>
      <w:r w:rsidR="083D1910">
        <w:t>u</w:t>
      </w:r>
      <w:r w:rsidR="004D1732">
        <w:t>, což CMDA zásadně</w:t>
      </w:r>
      <w:r w:rsidR="00077D74">
        <w:t xml:space="preserve"> odmítá</w:t>
      </w:r>
      <w:r w:rsidR="00554A77">
        <w:t xml:space="preserve">. </w:t>
      </w:r>
      <w:r w:rsidR="00077D74">
        <w:t>P</w:t>
      </w:r>
      <w:r w:rsidR="00554A77">
        <w:t>ůvodní aristotelský význam</w:t>
      </w:r>
      <w:r w:rsidR="083D1910">
        <w:t xml:space="preserve"> termínu </w:t>
      </w:r>
      <w:r w:rsidR="00077D74" w:rsidRPr="00077D74">
        <w:rPr>
          <w:i/>
        </w:rPr>
        <w:t>anitas</w:t>
      </w:r>
      <w:r w:rsidR="00077D74">
        <w:t xml:space="preserve"> </w:t>
      </w:r>
      <w:r w:rsidRPr="00273106">
        <w:t xml:space="preserve">definuje subsistenci </w:t>
      </w:r>
      <w:r w:rsidR="001F1E6C" w:rsidRPr="00273106">
        <w:t xml:space="preserve">poznávané věci </w:t>
      </w:r>
      <w:r w:rsidRPr="00273106">
        <w:t xml:space="preserve">v rámci otázky </w:t>
      </w:r>
      <w:r w:rsidRPr="00146DDB">
        <w:rPr>
          <w:i/>
        </w:rPr>
        <w:t>Druhých analytik</w:t>
      </w:r>
      <w:r w:rsidRPr="00273106">
        <w:t xml:space="preserve"> po aktuální existenci věci (</w:t>
      </w:r>
      <w:r w:rsidRPr="00273106">
        <w:rPr>
          <w:i/>
        </w:rPr>
        <w:t xml:space="preserve">an sit, </w:t>
      </w:r>
      <w:r w:rsidR="087A5438" w:rsidRPr="087A5438">
        <w:rPr>
          <w:i/>
        </w:rPr>
        <w:t>Anal. Post.</w:t>
      </w:r>
      <w:r w:rsidR="087A5438">
        <w:t xml:space="preserve"> </w:t>
      </w:r>
      <w:r w:rsidRPr="00273106">
        <w:t>93b29</w:t>
      </w:r>
      <w:r w:rsidR="00077D74">
        <w:fldChar w:fldCharType="begin"/>
      </w:r>
      <w:r w:rsidR="00077D74">
        <w:instrText xml:space="preserve"> XE "</w:instrText>
      </w:r>
      <w:r w:rsidR="008E02F5">
        <w:instrText>Aristoteles</w:instrText>
      </w:r>
      <w:r w:rsidR="00077D74">
        <w:instrText>:</w:instrText>
      </w:r>
      <w:r w:rsidR="00077D74" w:rsidRPr="00077D74">
        <w:rPr>
          <w:i/>
        </w:rPr>
        <w:instrText>Anal. Post</w:instrText>
      </w:r>
      <w:r w:rsidR="00077D74">
        <w:instrText xml:space="preserve">. </w:instrText>
      </w:r>
      <w:r w:rsidR="00077D74" w:rsidRPr="00F65E36">
        <w:instrText>93b29</w:instrText>
      </w:r>
      <w:r w:rsidR="00077D74">
        <w:instrText xml:space="preserve">" </w:instrText>
      </w:r>
      <w:r w:rsidR="00077D74">
        <w:fldChar w:fldCharType="end"/>
      </w:r>
      <w:r w:rsidRPr="00273106">
        <w:t xml:space="preserve">). </w:t>
      </w:r>
      <w:r w:rsidR="00B9319F">
        <w:t xml:space="preserve">Představitel </w:t>
      </w:r>
      <w:r w:rsidR="00B9319F" w:rsidRPr="00B9319F">
        <w:rPr>
          <w:i/>
        </w:rPr>
        <w:t>Oxfordian Fallacy</w:t>
      </w:r>
      <w:r w:rsidR="00B9319F">
        <w:t xml:space="preserve"> zaměnil existenci za esenci</w:t>
      </w:r>
      <w:r w:rsidR="00AA4555">
        <w:t xml:space="preserve">, což poprvé provedl Grosseteste analytickým výkladem </w:t>
      </w:r>
      <w:r w:rsidR="00AA4555" w:rsidRPr="00146DDB">
        <w:rPr>
          <w:i/>
        </w:rPr>
        <w:t>Druhých analytik</w:t>
      </w:r>
      <w:r w:rsidR="08620B85">
        <w:t xml:space="preserve"> (kap. 3</w:t>
      </w:r>
      <w:r w:rsidR="00AA4555">
        <w:t xml:space="preserve">.1.1). </w:t>
      </w:r>
      <w:r w:rsidRPr="00273106">
        <w:t xml:space="preserve">Subsistence </w:t>
      </w:r>
      <w:r w:rsidR="00EF2092" w:rsidRPr="00273106">
        <w:t xml:space="preserve">poznávané věci </w:t>
      </w:r>
      <w:r w:rsidRPr="00273106">
        <w:t>je definována vzhledem k</w:t>
      </w:r>
      <w:r w:rsidR="006D0139">
        <w:t xml:space="preserve"> bizarně činnému </w:t>
      </w:r>
      <w:r w:rsidR="00C40E56">
        <w:t>intelektu</w:t>
      </w:r>
      <w:r w:rsidR="006D0139">
        <w:t xml:space="preserve"> </w:t>
      </w:r>
      <w:r w:rsidR="006D0139" w:rsidRPr="00273106">
        <w:t>(</w:t>
      </w:r>
      <w:r w:rsidR="006D0139" w:rsidRPr="00273106">
        <w:rPr>
          <w:i/>
        </w:rPr>
        <w:t>naturaliter ipsius perfectivam</w:t>
      </w:r>
      <w:r w:rsidR="006D0139" w:rsidRPr="00273106">
        <w:t>)</w:t>
      </w:r>
      <w:r w:rsidR="000E494F">
        <w:t xml:space="preserve">, který dostal </w:t>
      </w:r>
      <w:r w:rsidR="00C40E56">
        <w:t xml:space="preserve"> </w:t>
      </w:r>
      <w:r w:rsidR="006D0139">
        <w:t>nemateriální</w:t>
      </w:r>
      <w:r w:rsidRPr="00273106">
        <w:t xml:space="preserve"> bytí </w:t>
      </w:r>
      <w:r w:rsidR="006D0139">
        <w:t>jako hyparchická „substance</w:t>
      </w:r>
      <w:r w:rsidR="006D0139">
        <w:rPr>
          <w:rFonts w:cs="Calibri"/>
        </w:rPr>
        <w:t>—</w:t>
      </w:r>
      <w:r w:rsidR="006D0139">
        <w:t>forma“</w:t>
      </w:r>
      <w:r w:rsidR="08702B59">
        <w:t xml:space="preserve">. Tato hypostázovaná forma s vlastní aktualitou </w:t>
      </w:r>
      <w:r w:rsidRPr="00273106">
        <w:t xml:space="preserve">je sama ze sebe  schopna završit akt poznání </w:t>
      </w:r>
      <w:r w:rsidR="00385E12">
        <w:t>díky hypostázované</w:t>
      </w:r>
      <w:r w:rsidR="084C016D">
        <w:t xml:space="preserve">mu vztahu k poznávané formě </w:t>
      </w:r>
      <w:r w:rsidRPr="00273106">
        <w:t>(</w:t>
      </w:r>
      <w:r w:rsidRPr="00273106">
        <w:rPr>
          <w:i/>
        </w:rPr>
        <w:t>anitas sola sui relatione ad formam</w:t>
      </w:r>
      <w:r w:rsidRPr="00273106">
        <w:t xml:space="preserve">). </w:t>
      </w:r>
      <w:r w:rsidR="0031652D" w:rsidRPr="00273106">
        <w:t xml:space="preserve">Pojetí </w:t>
      </w:r>
      <w:r w:rsidR="0031652D" w:rsidRPr="00273106">
        <w:rPr>
          <w:i/>
        </w:rPr>
        <w:t>Oxf</w:t>
      </w:r>
      <w:r w:rsidR="001B3243" w:rsidRPr="00273106">
        <w:rPr>
          <w:i/>
        </w:rPr>
        <w:t>o</w:t>
      </w:r>
      <w:r w:rsidR="0031652D" w:rsidRPr="00273106">
        <w:rPr>
          <w:i/>
        </w:rPr>
        <w:t>r</w:t>
      </w:r>
      <w:r w:rsidR="001B3243" w:rsidRPr="00273106">
        <w:rPr>
          <w:i/>
        </w:rPr>
        <w:t>dian Fallacy</w:t>
      </w:r>
      <w:r w:rsidR="001B3243" w:rsidRPr="00273106">
        <w:t xml:space="preserve"> sofisticky spojilo existenci věci s její esencí </w:t>
      </w:r>
      <w:r w:rsidR="002C63A8">
        <w:t>(</w:t>
      </w:r>
      <w:r w:rsidR="002C63A8" w:rsidRPr="00757EFD">
        <w:rPr>
          <w:i/>
        </w:rPr>
        <w:t>anitas</w:t>
      </w:r>
      <w:r w:rsidR="002C63A8">
        <w:rPr>
          <w:i/>
          <w:vertAlign w:val="superscript"/>
        </w:rPr>
        <w:t>1</w:t>
      </w:r>
      <w:r w:rsidR="00146DDB">
        <w:t>), a tu</w:t>
      </w:r>
      <w:r w:rsidR="00370CA6">
        <w:t xml:space="preserve"> pak přímo nazírá</w:t>
      </w:r>
      <w:r w:rsidR="002C63A8">
        <w:t xml:space="preserve"> v intelektu </w:t>
      </w:r>
      <w:r w:rsidR="00370CA6">
        <w:t>definovaném jako hypostáze</w:t>
      </w:r>
      <w:r w:rsidR="002C63A8">
        <w:t xml:space="preserve"> </w:t>
      </w:r>
      <w:r w:rsidR="00757EFD">
        <w:t>(</w:t>
      </w:r>
      <w:r w:rsidR="00757EFD" w:rsidRPr="00757EFD">
        <w:rPr>
          <w:i/>
        </w:rPr>
        <w:t>anitas</w:t>
      </w:r>
      <w:r w:rsidR="002C63A8">
        <w:rPr>
          <w:i/>
          <w:vertAlign w:val="superscript"/>
        </w:rPr>
        <w:t>2</w:t>
      </w:r>
      <w:r w:rsidR="00757EFD">
        <w:t>)</w:t>
      </w:r>
      <w:r w:rsidR="002C63A8">
        <w:t xml:space="preserve">. </w:t>
      </w:r>
      <w:r w:rsidR="009F09D0">
        <w:t>To</w:t>
      </w:r>
      <w:r w:rsidR="002C63A8">
        <w:t xml:space="preserve">to schéma poznání jako univoční identity </w:t>
      </w:r>
      <w:r w:rsidR="009F09D0">
        <w:t xml:space="preserve">atomárních </w:t>
      </w:r>
      <w:r w:rsidR="002E30FF" w:rsidRPr="002E30FF">
        <w:t>species</w:t>
      </w:r>
      <w:r w:rsidR="009F09D0">
        <w:t xml:space="preserve"> </w:t>
      </w:r>
      <w:r w:rsidR="002C63A8">
        <w:t>třet</w:t>
      </w:r>
      <w:r w:rsidR="003816BE">
        <w:t xml:space="preserve">ího druhu, které </w:t>
      </w:r>
      <w:r w:rsidR="00146DDB">
        <w:t xml:space="preserve">zavedl Rufus v pojmu </w:t>
      </w:r>
      <w:r w:rsidR="002C63A8" w:rsidRPr="002C63A8">
        <w:rPr>
          <w:i/>
        </w:rPr>
        <w:t>coaequatio</w:t>
      </w:r>
      <w:r w:rsidR="00433872">
        <w:rPr>
          <w:i/>
        </w:rPr>
        <w:fldChar w:fldCharType="begin"/>
      </w:r>
      <w:r w:rsidR="00433872">
        <w:instrText xml:space="preserve"> XE "</w:instrText>
      </w:r>
      <w:r w:rsidR="00C71CFC">
        <w:instrText>pravda:</w:instrText>
      </w:r>
      <w:r w:rsidR="00433872" w:rsidRPr="00E11E1F">
        <w:rPr>
          <w:i/>
        </w:rPr>
        <w:instrText>coaequatio</w:instrText>
      </w:r>
      <w:r w:rsidR="00433872">
        <w:instrText xml:space="preserve">" </w:instrText>
      </w:r>
      <w:r w:rsidR="00433872">
        <w:rPr>
          <w:i/>
        </w:rPr>
        <w:fldChar w:fldCharType="end"/>
      </w:r>
      <w:r w:rsidR="08DD18C5">
        <w:t xml:space="preserve"> (kap. 3</w:t>
      </w:r>
      <w:r w:rsidR="002C63A8">
        <w:t xml:space="preserve">.3.2). </w:t>
      </w:r>
      <w:r w:rsidR="006D39B8">
        <w:t>Obě formy spojuje hypostázovaná kategorie vztahu (</w:t>
      </w:r>
      <w:r w:rsidR="006D39B8" w:rsidRPr="006D39B8">
        <w:rPr>
          <w:i/>
        </w:rPr>
        <w:t>relatio</w:t>
      </w:r>
      <w:r w:rsidR="009A1BD1">
        <w:rPr>
          <w:i/>
        </w:rPr>
        <w:fldChar w:fldCharType="begin"/>
      </w:r>
      <w:r w:rsidR="009A1BD1">
        <w:instrText xml:space="preserve"> XE "</w:instrText>
      </w:r>
      <w:r w:rsidR="009A1BD1" w:rsidRPr="00C71CFC">
        <w:rPr>
          <w:i/>
        </w:rPr>
        <w:instrText>relatio</w:instrText>
      </w:r>
      <w:r w:rsidR="009A1BD1">
        <w:instrText xml:space="preserve">" </w:instrText>
      </w:r>
      <w:r w:rsidR="009A1BD1">
        <w:rPr>
          <w:i/>
        </w:rPr>
        <w:fldChar w:fldCharType="end"/>
      </w:r>
      <w:r w:rsidR="006D39B8">
        <w:t>), kterou zavedl neoplat</w:t>
      </w:r>
      <w:r w:rsidR="00252ED7">
        <w:t>onista Simplicius (</w:t>
      </w:r>
      <w:r w:rsidR="00092102" w:rsidRPr="003D1E07">
        <w:t>πρός τι τὸ ἁπλῶς</w:t>
      </w:r>
      <w:r w:rsidR="00092102">
        <w:t>; OBJ I, kap. 1.3.2</w:t>
      </w:r>
      <w:r w:rsidR="00252ED7">
        <w:t>)</w:t>
      </w:r>
      <w:r w:rsidR="00185137">
        <w:t xml:space="preserve">. </w:t>
      </w:r>
      <w:r w:rsidR="00166430">
        <w:t xml:space="preserve">Avicenna </w:t>
      </w:r>
      <w:r w:rsidR="00185137">
        <w:t xml:space="preserve">tuto </w:t>
      </w:r>
      <w:r w:rsidR="00166430">
        <w:t xml:space="preserve">neoplatonskou </w:t>
      </w:r>
      <w:r w:rsidR="00185137">
        <w:t xml:space="preserve">hypostázi převzal a </w:t>
      </w:r>
      <w:r w:rsidR="00166430">
        <w:t xml:space="preserve">pak </w:t>
      </w:r>
      <w:r w:rsidR="00B87E57">
        <w:t xml:space="preserve">jím ovlivnění </w:t>
      </w:r>
      <w:r w:rsidR="00185137">
        <w:t>porretáni</w:t>
      </w:r>
      <w:r w:rsidR="00166430">
        <w:t xml:space="preserve">. Celý postup </w:t>
      </w:r>
      <w:r w:rsidR="00185137">
        <w:t xml:space="preserve">zásadně odmítl </w:t>
      </w:r>
      <w:r w:rsidR="00CB3E4F">
        <w:t>Abélard</w:t>
      </w:r>
      <w:r w:rsidR="00185137">
        <w:t xml:space="preserve"> (</w:t>
      </w:r>
      <w:r w:rsidR="08006477">
        <w:t>kap. 1</w:t>
      </w:r>
      <w:r w:rsidR="001B156E">
        <w:t>.3</w:t>
      </w:r>
      <w:r w:rsidR="006D39B8">
        <w:t xml:space="preserve">). </w:t>
      </w:r>
      <w:r w:rsidR="00494E61">
        <w:t>M</w:t>
      </w:r>
      <w:r w:rsidR="009F09D0">
        <w:t>oderní a postmoder</w:t>
      </w:r>
      <w:r w:rsidR="00FE458B">
        <w:t xml:space="preserve">ní </w:t>
      </w:r>
      <w:r w:rsidR="009F09D0">
        <w:t xml:space="preserve">poznání </w:t>
      </w:r>
      <w:r w:rsidR="00494E61">
        <w:t>dané v modu a</w:t>
      </w:r>
      <w:r w:rsidR="009F09D0">
        <w:t>vicennovské denu</w:t>
      </w:r>
      <w:r w:rsidR="00FE458B">
        <w:t>da</w:t>
      </w:r>
      <w:r w:rsidR="009F09D0">
        <w:t xml:space="preserve">ce </w:t>
      </w:r>
      <w:r w:rsidR="00494E61">
        <w:t xml:space="preserve">nepotřebuje </w:t>
      </w:r>
      <w:r w:rsidR="009F09D0">
        <w:t xml:space="preserve">duševní schopnost </w:t>
      </w:r>
      <w:r w:rsidR="00274AE5">
        <w:t>inte</w:t>
      </w:r>
      <w:r w:rsidR="00DA1E5E">
        <w:t>n</w:t>
      </w:r>
      <w:r w:rsidR="00274AE5">
        <w:t xml:space="preserve">cionálně </w:t>
      </w:r>
      <w:r w:rsidR="00494E61">
        <w:t>zaměřenou</w:t>
      </w:r>
      <w:r w:rsidR="00274AE5">
        <w:t xml:space="preserve"> k reálné věci</w:t>
      </w:r>
      <w:r w:rsidR="00090862" w:rsidRPr="00273106">
        <w:t xml:space="preserve">. </w:t>
      </w:r>
      <w:r w:rsidR="08FD0E73">
        <w:t xml:space="preserve">Pojetí </w:t>
      </w:r>
      <w:r w:rsidR="08FD0E73" w:rsidRPr="00273106">
        <w:t>receptivního intelektu</w:t>
      </w:r>
      <w:r w:rsidR="08FD0E73">
        <w:t xml:space="preserve"> </w:t>
      </w:r>
      <w:r w:rsidR="08DA2A1E">
        <w:t xml:space="preserve">v </w:t>
      </w:r>
      <w:r w:rsidR="08DA2A1E" w:rsidRPr="08DA2A1E">
        <w:rPr>
          <w:i/>
        </w:rPr>
        <w:t>Summa philosophiae</w:t>
      </w:r>
      <w:r w:rsidR="08DA2A1E" w:rsidRPr="00111053">
        <w:rPr>
          <w:rStyle w:val="Zkladntextdkovn0pt"/>
          <w:rFonts w:ascii="Calibri" w:eastAsia="Times" w:hAnsi="Calibri" w:cs="Times New Roman"/>
          <w:color w:val="auto"/>
          <w:spacing w:val="0"/>
          <w:sz w:val="20"/>
          <w:u w:val="none"/>
          <w:lang w:val="cs-CZ"/>
        </w:rPr>
        <w:t xml:space="preserve"> </w:t>
      </w:r>
      <w:r w:rsidR="08FD0E73">
        <w:t xml:space="preserve">je zcela zmatené. </w:t>
      </w:r>
      <w:r w:rsidR="00272419">
        <w:t>I</w:t>
      </w:r>
      <w:r w:rsidR="00FE458B">
        <w:t xml:space="preserve">ntelekt </w:t>
      </w:r>
      <w:r w:rsidR="080D0BB8">
        <w:t>recipuje</w:t>
      </w:r>
      <w:r w:rsidR="0031652D" w:rsidRPr="00273106">
        <w:t xml:space="preserve"> </w:t>
      </w:r>
      <w:r w:rsidR="00757EFD">
        <w:t>v</w:t>
      </w:r>
      <w:r w:rsidR="080D0BB8">
        <w:t xml:space="preserve">e své </w:t>
      </w:r>
      <w:r w:rsidR="005A4989">
        <w:t>hypostázované subs</w:t>
      </w:r>
      <w:r w:rsidR="00757EFD">
        <w:t>i</w:t>
      </w:r>
      <w:r w:rsidR="005A4989">
        <w:t>s</w:t>
      </w:r>
      <w:r w:rsidR="00757EFD">
        <w:t>tenci (</w:t>
      </w:r>
      <w:r w:rsidR="00757EFD" w:rsidRPr="00757EFD">
        <w:rPr>
          <w:i/>
        </w:rPr>
        <w:t>anitas</w:t>
      </w:r>
      <w:r w:rsidR="00272419">
        <w:rPr>
          <w:i/>
          <w:vertAlign w:val="superscript"/>
        </w:rPr>
        <w:t>2</w:t>
      </w:r>
      <w:r w:rsidR="008E18B5">
        <w:rPr>
          <w:rFonts w:cs="Calibri"/>
        </w:rPr>
        <w:fldChar w:fldCharType="begin"/>
      </w:r>
      <w:r w:rsidR="008E18B5">
        <w:instrText xml:space="preserve"> XE "esence:</w:instrText>
      </w:r>
      <w:r w:rsidR="008E18B5" w:rsidRPr="008E18B5">
        <w:rPr>
          <w:i/>
        </w:rPr>
        <w:instrText>anitas</w:instrText>
      </w:r>
      <w:r w:rsidR="008E18B5">
        <w:instrText xml:space="preserve">" </w:instrText>
      </w:r>
      <w:r w:rsidR="008E18B5">
        <w:rPr>
          <w:rFonts w:cs="Calibri"/>
        </w:rPr>
        <w:fldChar w:fldCharType="end"/>
      </w:r>
      <w:r w:rsidR="00757EFD">
        <w:t xml:space="preserve">) </w:t>
      </w:r>
      <w:r w:rsidR="004E4C58">
        <w:t xml:space="preserve">každou </w:t>
      </w:r>
      <w:r w:rsidR="0031652D" w:rsidRPr="00273106">
        <w:t>subsistentní formu danou jako jsoucno třetího druhu</w:t>
      </w:r>
      <w:r w:rsidR="00C03F15">
        <w:t xml:space="preserve"> (</w:t>
      </w:r>
      <w:r w:rsidR="00C03F15" w:rsidRPr="00757EFD">
        <w:rPr>
          <w:i/>
        </w:rPr>
        <w:t>anitas</w:t>
      </w:r>
      <w:r w:rsidR="00C03F15">
        <w:rPr>
          <w:i/>
          <w:vertAlign w:val="superscript"/>
        </w:rPr>
        <w:t>1</w:t>
      </w:r>
      <w:r w:rsidR="00C03F15">
        <w:rPr>
          <w:rFonts w:cs="Calibri"/>
        </w:rPr>
        <w:fldChar w:fldCharType="begin"/>
      </w:r>
      <w:r w:rsidR="00C03F15">
        <w:instrText xml:space="preserve"> XE "esence:</w:instrText>
      </w:r>
      <w:r w:rsidR="00C03F15" w:rsidRPr="008E18B5">
        <w:rPr>
          <w:i/>
        </w:rPr>
        <w:instrText>anitas</w:instrText>
      </w:r>
      <w:r w:rsidR="00C03F15">
        <w:instrText xml:space="preserve">" </w:instrText>
      </w:r>
      <w:r w:rsidR="00C03F15">
        <w:rPr>
          <w:rFonts w:cs="Calibri"/>
        </w:rPr>
        <w:fldChar w:fldCharType="end"/>
      </w:r>
      <w:r w:rsidR="00C03F15">
        <w:t>)</w:t>
      </w:r>
      <w:r w:rsidR="001B3243" w:rsidRPr="00273106">
        <w:t xml:space="preserve">. </w:t>
      </w:r>
      <w:r w:rsidR="00111EE0">
        <w:t>Obě hypostáze (</w:t>
      </w:r>
      <w:r w:rsidR="00111EE0" w:rsidRPr="00EF5108">
        <w:rPr>
          <w:i/>
        </w:rPr>
        <w:t>anitas</w:t>
      </w:r>
      <w:r w:rsidR="00111EE0">
        <w:t xml:space="preserve"> intelektu a věci) si odpovídají v modu adekvace podle porretánského individua. </w:t>
      </w:r>
      <w:r w:rsidR="001516B9">
        <w:t xml:space="preserve">Předešlý citát ohledně bytí </w:t>
      </w:r>
      <w:r w:rsidR="001516B9" w:rsidRPr="001516B9">
        <w:rPr>
          <w:i/>
        </w:rPr>
        <w:t>intellectus possib</w:t>
      </w:r>
      <w:r w:rsidR="001516B9">
        <w:rPr>
          <w:i/>
        </w:rPr>
        <w:t>i</w:t>
      </w:r>
      <w:r w:rsidR="001516B9" w:rsidRPr="001516B9">
        <w:rPr>
          <w:i/>
        </w:rPr>
        <w:t>lis</w:t>
      </w:r>
      <w:r w:rsidR="001516B9">
        <w:t xml:space="preserve"> a tento citát ohled</w:t>
      </w:r>
      <w:r w:rsidR="00DE57AC">
        <w:t xml:space="preserve">ně nové „exsistence“ </w:t>
      </w:r>
      <w:r w:rsidR="00713846">
        <w:t xml:space="preserve">intelektu jako </w:t>
      </w:r>
      <w:r w:rsidR="00713846">
        <w:lastRenderedPageBreak/>
        <w:t>„</w:t>
      </w:r>
      <w:r w:rsidR="00DE57AC">
        <w:t>substance–</w:t>
      </w:r>
      <w:r w:rsidR="001516B9">
        <w:t>formy</w:t>
      </w:r>
      <w:r w:rsidR="00713846">
        <w:t>“</w:t>
      </w:r>
      <w:r w:rsidR="001516B9">
        <w:t xml:space="preserve"> uka</w:t>
      </w:r>
      <w:r w:rsidR="00713846">
        <w:t xml:space="preserve">zuje, že v letech </w:t>
      </w:r>
      <w:r w:rsidR="00207DFD">
        <w:t>12</w:t>
      </w:r>
      <w:r w:rsidR="00713846">
        <w:t>50–</w:t>
      </w:r>
      <w:r w:rsidR="00207DFD">
        <w:t>60 exi</w:t>
      </w:r>
      <w:r w:rsidR="00111EE0">
        <w:t>s</w:t>
      </w:r>
      <w:r w:rsidR="00207DFD">
        <w:t>toval</w:t>
      </w:r>
      <w:r w:rsidR="001516B9">
        <w:t xml:space="preserve"> u oxfordských modernistů paralelní </w:t>
      </w:r>
      <w:r w:rsidR="00207DFD">
        <w:t xml:space="preserve">svět věcí a jejich poznání, který stál </w:t>
      </w:r>
      <w:r w:rsidR="001516B9">
        <w:t>mimo realitu</w:t>
      </w:r>
      <w:r w:rsidR="00EF5108">
        <w:t xml:space="preserve"> první substance</w:t>
      </w:r>
      <w:r w:rsidR="001516B9">
        <w:t xml:space="preserve">. </w:t>
      </w:r>
      <w:r w:rsidR="002E34FD">
        <w:t xml:space="preserve">Skupinu těchto </w:t>
      </w:r>
      <w:r w:rsidR="00D22340">
        <w:t xml:space="preserve">pochybných </w:t>
      </w:r>
      <w:r w:rsidR="002E34FD" w:rsidRPr="002E34FD">
        <w:rPr>
          <w:i/>
        </w:rPr>
        <w:t>Averroistae</w:t>
      </w:r>
      <w:r w:rsidR="00226D12">
        <w:rPr>
          <w:i/>
        </w:rPr>
        <w:fldChar w:fldCharType="begin"/>
      </w:r>
      <w:r w:rsidR="00226D12">
        <w:instrText xml:space="preserve"> XE "</w:instrText>
      </w:r>
      <w:r w:rsidR="0067516B">
        <w:instrText>druhý averroismus:</w:instrText>
      </w:r>
      <w:r w:rsidR="00226D12" w:rsidRPr="00851DB4">
        <w:rPr>
          <w:i/>
          <w:lang w:eastAsia="en-US"/>
        </w:rPr>
        <w:instrText>Averroistae</w:instrText>
      </w:r>
      <w:r w:rsidR="00226D12">
        <w:instrText xml:space="preserve">" </w:instrText>
      </w:r>
      <w:r w:rsidR="00226D12">
        <w:rPr>
          <w:i/>
        </w:rPr>
        <w:fldChar w:fldCharType="end"/>
      </w:r>
      <w:r w:rsidR="002E34FD">
        <w:t xml:space="preserve"> </w:t>
      </w:r>
      <w:r w:rsidR="001516B9">
        <w:t>výslovně kritizoval Albert</w:t>
      </w:r>
      <w:r w:rsidR="08E30CBA">
        <w:t xml:space="preserve"> skrze Kilwardbyho</w:t>
      </w:r>
      <w:r w:rsidR="0858430E">
        <w:t xml:space="preserve"> (kap. 2</w:t>
      </w:r>
      <w:r w:rsidR="08544BF2">
        <w:t>.4.3)</w:t>
      </w:r>
      <w:r w:rsidR="001516B9">
        <w:t>.</w:t>
      </w:r>
      <w:r w:rsidR="0019055B">
        <w:t xml:space="preserve"> </w:t>
      </w:r>
      <w:r w:rsidR="00487F72">
        <w:t xml:space="preserve">Tito učení </w:t>
      </w:r>
      <w:r w:rsidR="00487F72" w:rsidRPr="00273106">
        <w:t xml:space="preserve">Latiníci </w:t>
      </w:r>
      <w:r w:rsidR="00487F72" w:rsidRPr="00487F72">
        <w:t>chápali kauzalit</w:t>
      </w:r>
      <w:r w:rsidR="00487F72">
        <w:t>u jako důsledek univoční esence</w:t>
      </w:r>
      <w:r w:rsidR="00487F72" w:rsidRPr="00487F72">
        <w:t xml:space="preserve">. </w:t>
      </w:r>
      <w:r w:rsidR="00487F72">
        <w:t xml:space="preserve">Ta je dána </w:t>
      </w:r>
      <w:r w:rsidR="00487F72" w:rsidRPr="00487F72">
        <w:t>jako příčina ve zprostředkujícím členu demonstrativního sylogismu.</w:t>
      </w:r>
      <w:r w:rsidR="00487F72">
        <w:t xml:space="preserve"> Toto pojetí poznání </w:t>
      </w:r>
      <w:r w:rsidR="0019055B">
        <w:t>skrze porretánsk</w:t>
      </w:r>
      <w:r w:rsidR="00487F72">
        <w:t xml:space="preserve">é jsoucno </w:t>
      </w:r>
      <w:r w:rsidR="0019055B" w:rsidRPr="00273106">
        <w:t>třetího druhu</w:t>
      </w:r>
      <w:r w:rsidR="0019055B">
        <w:t xml:space="preserve"> </w:t>
      </w:r>
      <w:r w:rsidR="00010CFB">
        <w:t xml:space="preserve">dublovalo </w:t>
      </w:r>
      <w:r w:rsidR="08D00E54">
        <w:t xml:space="preserve">externí první substanci. Toto zdvojení reality zásadně odmítl Albert </w:t>
      </w:r>
      <w:r w:rsidR="084379A9">
        <w:t xml:space="preserve">a </w:t>
      </w:r>
      <w:r w:rsidR="08E30CBA">
        <w:t xml:space="preserve">Bacon provedl </w:t>
      </w:r>
      <w:r w:rsidR="084379A9">
        <w:t xml:space="preserve">podobnou </w:t>
      </w:r>
      <w:r w:rsidR="08E30CBA">
        <w:t>kritiku Rufuse a Bonaventury</w:t>
      </w:r>
      <w:r w:rsidR="0858430E">
        <w:t xml:space="preserve"> (kap. 3</w:t>
      </w:r>
      <w:r w:rsidR="08501172">
        <w:t>.2)</w:t>
      </w:r>
      <w:r w:rsidR="08E30CBA">
        <w:t>.</w:t>
      </w:r>
      <w:r w:rsidR="08E30CBA" w:rsidRPr="00273106">
        <w:t xml:space="preserve"> </w:t>
      </w:r>
      <w:r w:rsidRPr="00273106">
        <w:t xml:space="preserve">Poznání je </w:t>
      </w:r>
      <w:r w:rsidR="00834007">
        <w:t xml:space="preserve">ve </w:t>
      </w:r>
      <w:r w:rsidR="00834007" w:rsidRPr="00510974">
        <w:rPr>
          <w:i/>
        </w:rPr>
        <w:t>Druhých analytikách</w:t>
      </w:r>
      <w:r w:rsidR="00834007">
        <w:t xml:space="preserve"> </w:t>
      </w:r>
      <w:r w:rsidRPr="00273106">
        <w:t xml:space="preserve">pouhý akcident vzhledem k primární </w:t>
      </w:r>
      <w:r w:rsidR="00CA500B">
        <w:t xml:space="preserve">nutnosti </w:t>
      </w:r>
      <w:r w:rsidR="00436AF8">
        <w:t>reálných substancí</w:t>
      </w:r>
      <w:r w:rsidRPr="00273106">
        <w:t xml:space="preserve">. </w:t>
      </w:r>
      <w:r w:rsidR="00834007">
        <w:t xml:space="preserve">Protože </w:t>
      </w:r>
      <w:r w:rsidR="00721188">
        <w:t xml:space="preserve">jedinečné zatmění astronomických těles </w:t>
      </w:r>
      <w:r w:rsidR="00834007">
        <w:t xml:space="preserve">probíhá </w:t>
      </w:r>
      <w:r w:rsidR="00721188">
        <w:t>v realitě</w:t>
      </w:r>
      <w:r w:rsidR="00834007">
        <w:t xml:space="preserve">, tak je také </w:t>
      </w:r>
      <w:r w:rsidR="00967AE7">
        <w:t xml:space="preserve">univerzálně </w:t>
      </w:r>
      <w:r w:rsidR="00834007">
        <w:t>poznáváme</w:t>
      </w:r>
      <w:r w:rsidR="00967AE7">
        <w:t xml:space="preserve"> v mysli</w:t>
      </w:r>
      <w:r w:rsidR="0098551C">
        <w:t>.</w:t>
      </w:r>
    </w:p>
    <w:p w14:paraId="2A91D66E" w14:textId="7E898894" w:rsidR="00995AE9" w:rsidRPr="08330ADE" w:rsidRDefault="08A15161" w:rsidP="005F035C">
      <w:pPr>
        <w:ind w:firstLine="397"/>
      </w:pPr>
      <w:r w:rsidRPr="00273106">
        <w:t xml:space="preserve">Anonym ze školy druhého averroismu postavil bytí intelektu jako subsistentní formy v modu </w:t>
      </w:r>
      <w:r w:rsidRPr="00273106">
        <w:rPr>
          <w:i/>
        </w:rPr>
        <w:t>per prius</w:t>
      </w:r>
      <w:r w:rsidRPr="00273106">
        <w:t xml:space="preserve">, zatímco </w:t>
      </w:r>
      <w:r>
        <w:t>Aristoteles</w:t>
      </w:r>
      <w:r w:rsidRPr="00273106">
        <w:t xml:space="preserve"> ji má v modu </w:t>
      </w:r>
      <w:r w:rsidRPr="00273106">
        <w:rPr>
          <w:i/>
        </w:rPr>
        <w:t>per posterius</w:t>
      </w:r>
      <w:r>
        <w:rPr>
          <w:i/>
        </w:rPr>
        <w:fldChar w:fldCharType="begin"/>
      </w:r>
      <w:r>
        <w:instrText xml:space="preserve"> XE "predikace:</w:instrText>
      </w:r>
      <w:r w:rsidRPr="00004995">
        <w:rPr>
          <w:i/>
        </w:rPr>
        <w:instrText>per posterius</w:instrText>
      </w:r>
      <w:r>
        <w:instrText xml:space="preserve">" </w:instrText>
      </w:r>
      <w:r>
        <w:rPr>
          <w:i/>
        </w:rPr>
        <w:fldChar w:fldCharType="end"/>
      </w:r>
      <w:r w:rsidRPr="00273106">
        <w:t xml:space="preserve">. </w:t>
      </w:r>
      <w:r w:rsidR="00510974" w:rsidRPr="00273106">
        <w:t>Forma</w:t>
      </w:r>
      <w:r w:rsidR="009607F1">
        <w:t xml:space="preserve"> je dána</w:t>
      </w:r>
      <w:r w:rsidR="00510974" w:rsidRPr="00273106">
        <w:t xml:space="preserve"> jako jsoucno třetího druhu</w:t>
      </w:r>
      <w:r w:rsidR="009607F1">
        <w:t>, a dokonce je definována jako hypostázovaná</w:t>
      </w:r>
      <w:r w:rsidR="08C2236E">
        <w:t xml:space="preserve"> </w:t>
      </w:r>
      <w:r w:rsidR="009607F1">
        <w:t>potence</w:t>
      </w:r>
      <w:r w:rsidR="08C2236E">
        <w:t xml:space="preserve"> </w:t>
      </w:r>
      <w:r w:rsidR="08C2236E" w:rsidRPr="00273106">
        <w:t>(</w:t>
      </w:r>
      <w:r w:rsidR="08C2236E" w:rsidRPr="00273106">
        <w:rPr>
          <w:i/>
        </w:rPr>
        <w:t>sub qua</w:t>
      </w:r>
      <w:r w:rsidR="08C2236E" w:rsidRPr="00273106">
        <w:t>)</w:t>
      </w:r>
      <w:r w:rsidR="08C2236E">
        <w:t>. T</w:t>
      </w:r>
      <w:r>
        <w:t xml:space="preserve">ato potence </w:t>
      </w:r>
      <w:r w:rsidR="00510974" w:rsidRPr="00273106">
        <w:t xml:space="preserve">má vlastní </w:t>
      </w:r>
      <w:r>
        <w:t xml:space="preserve">hypostázovanou </w:t>
      </w:r>
      <w:r w:rsidR="086B0946">
        <w:t xml:space="preserve">aktualitu. Intelektuální forma </w:t>
      </w:r>
      <w:r>
        <w:t xml:space="preserve">sama od sebe </w:t>
      </w:r>
      <w:r w:rsidR="00510974" w:rsidRPr="00273106">
        <w:t xml:space="preserve">zakládá nový </w:t>
      </w:r>
      <w:r w:rsidR="00510974" w:rsidRPr="00273106">
        <w:rPr>
          <w:i/>
        </w:rPr>
        <w:t>actus essendi</w:t>
      </w:r>
      <w:r w:rsidR="00510974">
        <w:rPr>
          <w:i/>
        </w:rPr>
        <w:fldChar w:fldCharType="begin"/>
      </w:r>
      <w:r w:rsidR="00510974">
        <w:instrText xml:space="preserve"> XE "</w:instrText>
      </w:r>
      <w:r w:rsidR="00510974" w:rsidRPr="006D3950">
        <w:rPr>
          <w:i/>
        </w:rPr>
        <w:instrText>actus essendi</w:instrText>
      </w:r>
      <w:r w:rsidR="00510974">
        <w:instrText xml:space="preserve">" </w:instrText>
      </w:r>
      <w:r w:rsidR="00510974">
        <w:rPr>
          <w:i/>
        </w:rPr>
        <w:fldChar w:fldCharType="end"/>
      </w:r>
      <w:r w:rsidR="00510974" w:rsidRPr="00273106">
        <w:t xml:space="preserve"> daný jako kontingentní výskyt této formy</w:t>
      </w:r>
      <w:r w:rsidR="08AD3845">
        <w:t xml:space="preserve"> </w:t>
      </w:r>
      <w:r w:rsidR="08AD3845" w:rsidRPr="00273106">
        <w:t>(</w:t>
      </w:r>
      <w:r w:rsidR="08AD3845" w:rsidRPr="00273106">
        <w:rPr>
          <w:i/>
        </w:rPr>
        <w:t>formam naturaliter ipsius perfectivam</w:t>
      </w:r>
      <w:r w:rsidR="08AD3845" w:rsidRPr="00273106">
        <w:t>)</w:t>
      </w:r>
      <w:r w:rsidR="00510974" w:rsidRPr="00273106">
        <w:t xml:space="preserve">. </w:t>
      </w:r>
      <w:r w:rsidR="009E02AA" w:rsidRPr="00273106">
        <w:t xml:space="preserve">V </w:t>
      </w:r>
      <w:r w:rsidR="008100D6">
        <w:t xml:space="preserve">moderním </w:t>
      </w:r>
      <w:r w:rsidR="009E02AA" w:rsidRPr="00273106">
        <w:t xml:space="preserve">scénáři </w:t>
      </w:r>
      <w:r w:rsidR="00A2363E">
        <w:t xml:space="preserve">oxfordských averroistů </w:t>
      </w:r>
      <w:r w:rsidR="009E02AA" w:rsidRPr="00273106">
        <w:t xml:space="preserve">je forma </w:t>
      </w:r>
      <w:r w:rsidR="00EB15F5" w:rsidRPr="00273106">
        <w:t>poznané vě</w:t>
      </w:r>
      <w:r w:rsidR="00D13C15">
        <w:t xml:space="preserve">ci </w:t>
      </w:r>
      <w:r w:rsidR="00695660">
        <w:t>v p</w:t>
      </w:r>
      <w:r w:rsidR="005F035C" w:rsidRPr="005F035C">
        <w:t>otenciální</w:t>
      </w:r>
      <w:r w:rsidR="00695660">
        <w:t xml:space="preserve">m intelektu, který </w:t>
      </w:r>
      <w:r w:rsidR="005F035C" w:rsidRPr="005F035C">
        <w:t xml:space="preserve">tvoří hypostatickou substanci. </w:t>
      </w:r>
      <w:r w:rsidR="00E35F07">
        <w:t>Ta p</w:t>
      </w:r>
      <w:r w:rsidR="005F035C" w:rsidRPr="005F035C">
        <w:t>ředstavuje kontingentní existenci věčné formy v hmotném světě, a tím zakládá naše poznání.</w:t>
      </w:r>
      <w:r w:rsidR="005F035C">
        <w:t xml:space="preserve"> </w:t>
      </w:r>
      <w:r w:rsidR="00510974">
        <w:t xml:space="preserve">Termín </w:t>
      </w:r>
      <w:r w:rsidR="007E41F4">
        <w:t>„</w:t>
      </w:r>
      <w:r w:rsidR="00A235D2" w:rsidRPr="00A235D2">
        <w:rPr>
          <w:i/>
        </w:rPr>
        <w:t>anitas</w:t>
      </w:r>
      <w:r w:rsidR="007E41F4">
        <w:t>“</w:t>
      </w:r>
      <w:r w:rsidR="0056536E" w:rsidRPr="0056536E">
        <w:rPr>
          <w:rFonts w:cs="Calibri"/>
        </w:rPr>
        <w:t xml:space="preserve"> </w:t>
      </w:r>
      <w:r w:rsidR="0056536E">
        <w:rPr>
          <w:rFonts w:cs="Calibri"/>
        </w:rPr>
        <w:fldChar w:fldCharType="begin"/>
      </w:r>
      <w:r w:rsidR="0056536E">
        <w:instrText xml:space="preserve"> XE "esence:</w:instrText>
      </w:r>
      <w:r w:rsidR="0056536E" w:rsidRPr="0056536E">
        <w:rPr>
          <w:i/>
        </w:rPr>
        <w:instrText>anitas</w:instrText>
      </w:r>
      <w:r w:rsidR="0056536E">
        <w:instrText xml:space="preserve">" </w:instrText>
      </w:r>
      <w:r w:rsidR="0056536E">
        <w:rPr>
          <w:rFonts w:cs="Calibri"/>
        </w:rPr>
        <w:fldChar w:fldCharType="end"/>
      </w:r>
      <w:r w:rsidR="00A235D2">
        <w:t xml:space="preserve"> představuje </w:t>
      </w:r>
      <w:r w:rsidR="00EB15F5" w:rsidRPr="00273106">
        <w:t>jedn</w:t>
      </w:r>
      <w:r w:rsidR="00A235D2">
        <w:t>u</w:t>
      </w:r>
      <w:r w:rsidR="00EB15F5" w:rsidRPr="00273106">
        <w:t xml:space="preserve"> z prvních definic objektivního jsoucna</w:t>
      </w:r>
      <w:r w:rsidR="009452CB" w:rsidRPr="00273106">
        <w:t xml:space="preserve">, která navazuje na Grossetesteho výklad </w:t>
      </w:r>
      <w:r w:rsidR="005F2C0D" w:rsidRPr="00510974">
        <w:rPr>
          <w:i/>
        </w:rPr>
        <w:t>Druhých a</w:t>
      </w:r>
      <w:r w:rsidR="009452CB" w:rsidRPr="00510974">
        <w:rPr>
          <w:i/>
        </w:rPr>
        <w:t>nalytik</w:t>
      </w:r>
      <w:r w:rsidR="00EB15F5" w:rsidRPr="00273106">
        <w:t xml:space="preserve">. </w:t>
      </w:r>
      <w:r w:rsidR="009E02AA" w:rsidRPr="00273106">
        <w:t xml:space="preserve">Modernisté vidí svět nutných forem </w:t>
      </w:r>
      <w:r w:rsidR="00025CC3">
        <w:t xml:space="preserve">třetího druhu </w:t>
      </w:r>
      <w:r w:rsidR="00887966">
        <w:t>daných objektivně</w:t>
      </w:r>
      <w:r w:rsidR="086461D9">
        <w:t xml:space="preserve">. A tyto formy </w:t>
      </w:r>
      <w:r w:rsidR="007E41F4">
        <w:t xml:space="preserve">mají </w:t>
      </w:r>
      <w:r w:rsidR="00025CC3">
        <w:t>vlastní kauzální účinnost jako první substance</w:t>
      </w:r>
      <w:r w:rsidR="00887966">
        <w:t xml:space="preserve">. </w:t>
      </w:r>
      <w:r w:rsidR="00510974" w:rsidRPr="00273106">
        <w:t xml:space="preserve">Připomeňme působení </w:t>
      </w:r>
      <w:r w:rsidR="00510974" w:rsidRPr="00273106">
        <w:rPr>
          <w:i/>
        </w:rPr>
        <w:t>Oxfordian Fallacy</w:t>
      </w:r>
      <w:r w:rsidR="00510974">
        <w:rPr>
          <w:i/>
        </w:rPr>
        <w:fldChar w:fldCharType="begin"/>
      </w:r>
      <w:r w:rsidR="00510974">
        <w:instrText xml:space="preserve"> XE "</w:instrText>
      </w:r>
      <w:r w:rsidR="00510974" w:rsidRPr="0015798D">
        <w:rPr>
          <w:i/>
        </w:rPr>
        <w:instrText>Oxfordian Fallacy</w:instrText>
      </w:r>
      <w:r w:rsidR="00510974" w:rsidRPr="0091768A">
        <w:instrText>:esence</w:instrText>
      </w:r>
      <w:r w:rsidR="00510974">
        <w:instrText xml:space="preserve">" </w:instrText>
      </w:r>
      <w:r w:rsidR="00510974">
        <w:rPr>
          <w:i/>
        </w:rPr>
        <w:fldChar w:fldCharType="end"/>
      </w:r>
      <w:r w:rsidR="00510974" w:rsidRPr="00273106">
        <w:t xml:space="preserve">, která v analytické filosofii poznání zaměnila existenci singulární věci za univerzální esenci. </w:t>
      </w:r>
      <w:r w:rsidR="087D0691">
        <w:t>A tento třetí svět</w:t>
      </w:r>
      <w:r w:rsidR="00887966">
        <w:t xml:space="preserve"> Jamblichova diakosmu a islámské falsafy </w:t>
      </w:r>
      <w:r w:rsidR="00327EF5">
        <w:t>daný věčnými formami kon</w:t>
      </w:r>
      <w:r w:rsidR="00083206">
        <w:t>trastuje s kontingentní existencí</w:t>
      </w:r>
      <w:r w:rsidR="009E02AA" w:rsidRPr="00273106">
        <w:t xml:space="preserve"> </w:t>
      </w:r>
      <w:r w:rsidR="00BD45B5">
        <w:t xml:space="preserve">těchto forem </w:t>
      </w:r>
      <w:r w:rsidR="009E02AA" w:rsidRPr="00273106">
        <w:t xml:space="preserve">v reálu. </w:t>
      </w:r>
      <w:r w:rsidR="001A0294" w:rsidRPr="00273106">
        <w:t>O</w:t>
      </w:r>
      <w:r w:rsidR="008E0FE8" w:rsidRPr="00273106">
        <w:t>svícený i</w:t>
      </w:r>
      <w:r w:rsidR="00A745B5" w:rsidRPr="00273106">
        <w:t xml:space="preserve">ntelekt </w:t>
      </w:r>
      <w:r w:rsidR="008E0FE8" w:rsidRPr="00273106">
        <w:t>moderních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8E0FE8" w:rsidRPr="00273106">
        <w:t xml:space="preserve"> </w:t>
      </w:r>
      <w:r w:rsidR="00CE442B" w:rsidRPr="00273106">
        <w:t xml:space="preserve">přímo nazírá </w:t>
      </w:r>
      <w:r w:rsidR="002917C7" w:rsidRPr="00273106">
        <w:t xml:space="preserve">v </w:t>
      </w:r>
      <w:r w:rsidR="00523080">
        <w:t xml:space="preserve">novém </w:t>
      </w:r>
      <w:r w:rsidR="00EC07B5">
        <w:t xml:space="preserve">diakosmu </w:t>
      </w:r>
      <w:r w:rsidR="00A745B5" w:rsidRPr="00273106">
        <w:t>modernistů</w:t>
      </w:r>
      <w:r w:rsidR="0069652B">
        <w:t xml:space="preserve"> </w:t>
      </w:r>
      <w:r w:rsidR="005E4811" w:rsidRPr="00273106">
        <w:t xml:space="preserve">hypostázované formy </w:t>
      </w:r>
      <w:r w:rsidR="00523080">
        <w:t xml:space="preserve">dané </w:t>
      </w:r>
      <w:r w:rsidR="005E4811" w:rsidRPr="00273106">
        <w:t>v</w:t>
      </w:r>
      <w:r w:rsidR="00A745B5" w:rsidRPr="00273106">
        <w:t>e</w:t>
      </w:r>
      <w:r w:rsidR="005E4811" w:rsidRPr="00273106">
        <w:t xml:space="preserve"> formě porretánského</w:t>
      </w:r>
      <w:r w:rsidR="00CE77D8" w:rsidRPr="00273106">
        <w:t xml:space="preserve"> </w:t>
      </w:r>
      <w:r w:rsidR="004B4D52" w:rsidRPr="004B4D52">
        <w:t>species</w:t>
      </w:r>
      <w:r w:rsidR="00CE77D8"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36343A" w:rsidRPr="00273106">
        <w:t xml:space="preserve"> či Grossetesteho exemplaru. </w:t>
      </w:r>
      <w:r w:rsidR="000B0982" w:rsidRPr="00273106">
        <w:t xml:space="preserve">Intelekt v prvním kroku abstrahuje formy od hyleformických složenin daných reálně. Pak v procesu denudace stoupá k ontologicky vyšším, čistě intelektuálním formám, v nichž tkví finální završení materiálních forem. </w:t>
      </w:r>
      <w:r w:rsidR="006335FE">
        <w:t>N</w:t>
      </w:r>
      <w:r w:rsidR="0069652B">
        <w:t xml:space="preserve">ový </w:t>
      </w:r>
      <w:r w:rsidR="00876252" w:rsidRPr="00273106">
        <w:t xml:space="preserve">náhled </w:t>
      </w:r>
      <w:r w:rsidR="00507424">
        <w:t xml:space="preserve">na svět v modu </w:t>
      </w:r>
      <w:r w:rsidR="0069652B" w:rsidRPr="00523080">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69652B">
        <w:t xml:space="preserve"> (</w:t>
      </w:r>
      <w:r w:rsidR="08FA19DD">
        <w:t>kap. 1</w:t>
      </w:r>
      <w:r w:rsidR="0069652B" w:rsidRPr="00273106">
        <w:t>.4</w:t>
      </w:r>
      <w:r w:rsidR="0069652B">
        <w:t xml:space="preserve">) </w:t>
      </w:r>
      <w:r w:rsidR="006335FE">
        <w:t xml:space="preserve">konečně našel </w:t>
      </w:r>
      <w:r w:rsidR="002E0114" w:rsidRPr="00273106">
        <w:lastRenderedPageBreak/>
        <w:t xml:space="preserve">jemu </w:t>
      </w:r>
      <w:r w:rsidR="006335FE">
        <w:t>odpovídající formu</w:t>
      </w:r>
      <w:r w:rsidR="00876252" w:rsidRPr="00273106">
        <w:t xml:space="preserve"> intelektu</w:t>
      </w:r>
      <w:r w:rsidR="006335FE">
        <w:t xml:space="preserve">. Toto diskrétní spojení dvou forem </w:t>
      </w:r>
      <w:r w:rsidR="006335FE" w:rsidRPr="006335FE">
        <w:rPr>
          <w:i/>
        </w:rPr>
        <w:t>tertium ens</w:t>
      </w:r>
      <w:r w:rsidR="006335FE">
        <w:t xml:space="preserve"> produkuje</w:t>
      </w:r>
      <w:r w:rsidR="00995AE9" w:rsidRPr="00273106">
        <w:t xml:space="preserve"> </w:t>
      </w:r>
      <w:r w:rsidR="00EA6CE5">
        <w:t xml:space="preserve">po </w:t>
      </w:r>
      <w:r w:rsidR="081F4E1F">
        <w:t xml:space="preserve">roce </w:t>
      </w:r>
      <w:r w:rsidR="00EA6CE5">
        <w:t xml:space="preserve">1250 </w:t>
      </w:r>
      <w:r w:rsidR="005A22FC">
        <w:t>novou substanci</w:t>
      </w:r>
      <w:r w:rsidR="00995AE9" w:rsidRPr="00273106">
        <w:t xml:space="preserve"> třetího druhu, která má </w:t>
      </w:r>
      <w:r w:rsidR="000A3ED4" w:rsidRPr="00273106">
        <w:t xml:space="preserve">základní </w:t>
      </w:r>
      <w:r w:rsidR="00995AE9" w:rsidRPr="00273106">
        <w:t>vlastnosti objektivního</w:t>
      </w:r>
      <w:r w:rsidR="000A3ED4" w:rsidRPr="00273106">
        <w:t xml:space="preserve"> jsoucna</w:t>
      </w:r>
      <w:r w:rsidR="005E70D6">
        <w:t xml:space="preserve"> (</w:t>
      </w:r>
      <w:r w:rsidR="005E70D6" w:rsidRPr="005E70D6">
        <w:rPr>
          <w:i/>
        </w:rPr>
        <w:t>anitas</w:t>
      </w:r>
      <w:r w:rsidR="0091768A">
        <w:rPr>
          <w:i/>
        </w:rPr>
        <w:fldChar w:fldCharType="begin"/>
      </w:r>
      <w:r w:rsidR="0091768A">
        <w:instrText xml:space="preserve"> XE "esence:</w:instrText>
      </w:r>
      <w:r w:rsidR="0091768A" w:rsidRPr="002A3C18">
        <w:rPr>
          <w:i/>
        </w:rPr>
        <w:instrText>anitas</w:instrText>
      </w:r>
      <w:r w:rsidR="0091768A">
        <w:instrText xml:space="preserve">" </w:instrText>
      </w:r>
      <w:r w:rsidR="0091768A">
        <w:rPr>
          <w:i/>
        </w:rPr>
        <w:fldChar w:fldCharType="end"/>
      </w:r>
      <w:r w:rsidR="005E70D6">
        <w:t>)</w:t>
      </w:r>
      <w:r w:rsidR="00995AE9" w:rsidRPr="00273106">
        <w:t xml:space="preserve">. </w:t>
      </w:r>
      <w:r w:rsidR="008D0772">
        <w:t xml:space="preserve">Tato </w:t>
      </w:r>
      <w:r w:rsidR="00507424">
        <w:t xml:space="preserve">latinská verze Avicennovy </w:t>
      </w:r>
      <w:r w:rsidR="00FD6784">
        <w:t>„</w:t>
      </w:r>
      <w:r w:rsidR="008D0772" w:rsidRPr="008D0772">
        <w:rPr>
          <w:i/>
        </w:rPr>
        <w:t>equinitas tantum</w:t>
      </w:r>
      <w:r w:rsidR="00FD6784">
        <w:t>“</w:t>
      </w:r>
      <w:r w:rsidR="00D868A9">
        <w:rPr>
          <w:i/>
        </w:rPr>
        <w:fldChar w:fldCharType="begin"/>
      </w:r>
      <w:r w:rsidR="00D868A9">
        <w:instrText xml:space="preserve"> XE "</w:instrText>
      </w:r>
      <w:r w:rsidR="00D868A9" w:rsidRPr="00553626">
        <w:instrText>objektivita:Avicenna</w:instrText>
      </w:r>
      <w:r w:rsidR="00D868A9">
        <w:instrText xml:space="preserve">" </w:instrText>
      </w:r>
      <w:r w:rsidR="00D868A9">
        <w:rPr>
          <w:i/>
        </w:rPr>
        <w:fldChar w:fldCharType="end"/>
      </w:r>
      <w:r w:rsidR="008D0772">
        <w:t xml:space="preserve"> (</w:t>
      </w:r>
      <w:r w:rsidR="08FA19DD">
        <w:t xml:space="preserve">OBJ I, </w:t>
      </w:r>
      <w:r w:rsidR="008D0772" w:rsidRPr="00273106">
        <w:t>kap. 2.3.2</w:t>
      </w:r>
      <w:r w:rsidR="008D0772">
        <w:t xml:space="preserve">) </w:t>
      </w:r>
      <w:r w:rsidR="000A3ED4" w:rsidRPr="00273106">
        <w:t>je dán</w:t>
      </w:r>
      <w:r w:rsidR="008D0772">
        <w:t>a</w:t>
      </w:r>
      <w:r w:rsidR="000A3ED4" w:rsidRPr="00273106">
        <w:t xml:space="preserve"> ve formě sofistického simulákra</w:t>
      </w:r>
      <w:r w:rsidR="00582786">
        <w:t xml:space="preserve">. Nové simulákrum reality </w:t>
      </w:r>
      <w:r w:rsidR="009650A4">
        <w:fldChar w:fldCharType="begin"/>
      </w:r>
      <w:r w:rsidR="009650A4">
        <w:instrText xml:space="preserve"> XE "</w:instrText>
      </w:r>
      <w:r w:rsidR="009650A4" w:rsidRPr="00C2134D">
        <w:instrText>simulákrum</w:instrText>
      </w:r>
      <w:r w:rsidR="009650A4">
        <w:instrText xml:space="preserve">" </w:instrText>
      </w:r>
      <w:r w:rsidR="009650A4">
        <w:fldChar w:fldCharType="end"/>
      </w:r>
      <w:r w:rsidR="000A3ED4" w:rsidRPr="00273106">
        <w:t xml:space="preserve">spojuje esenci a existenci </w:t>
      </w:r>
      <w:r w:rsidR="00582786">
        <w:t xml:space="preserve">skrze akt objektivního bytí </w:t>
      </w:r>
      <w:r w:rsidR="000A3ED4" w:rsidRPr="00273106">
        <w:t>form</w:t>
      </w:r>
      <w:r w:rsidR="00736E39">
        <w:t>y</w:t>
      </w:r>
      <w:r w:rsidR="00582786">
        <w:t xml:space="preserve"> </w:t>
      </w:r>
      <w:r w:rsidR="00582786">
        <w:rPr>
          <w:szCs w:val="24"/>
        </w:rPr>
        <w:t>(</w:t>
      </w:r>
      <w:r w:rsidR="00582786" w:rsidRPr="00037F96">
        <w:rPr>
          <w:i/>
          <w:szCs w:val="24"/>
        </w:rPr>
        <w:t>anitas</w:t>
      </w:r>
      <w:r w:rsidR="00582786">
        <w:rPr>
          <w:szCs w:val="24"/>
        </w:rPr>
        <w:t xml:space="preserve">) </w:t>
      </w:r>
      <w:r w:rsidR="00582786">
        <w:t xml:space="preserve">jako </w:t>
      </w:r>
      <w:r w:rsidR="00582786" w:rsidRPr="00582786">
        <w:rPr>
          <w:i/>
        </w:rPr>
        <w:t>tertium ens</w:t>
      </w:r>
      <w:r w:rsidR="000A3ED4" w:rsidRPr="00273106">
        <w:t xml:space="preserve">. </w:t>
      </w:r>
      <w:r w:rsidR="00736E39">
        <w:t>Tato f</w:t>
      </w:r>
      <w:r w:rsidR="000A3ED4" w:rsidRPr="00273106">
        <w:t xml:space="preserve">orma třetího druhu má hypostázovanou </w:t>
      </w:r>
      <w:r w:rsidR="00707DE2">
        <w:t xml:space="preserve">subsistenci </w:t>
      </w:r>
      <w:r w:rsidR="00686726" w:rsidRPr="00273106">
        <w:t xml:space="preserve">poprvé danou u </w:t>
      </w:r>
      <w:r w:rsidR="00161B82">
        <w:t xml:space="preserve">porretánců </w:t>
      </w:r>
      <w:r w:rsidR="00632F09" w:rsidRPr="00273106">
        <w:t>(</w:t>
      </w:r>
      <w:r w:rsidR="00632F09" w:rsidRPr="00273106">
        <w:rPr>
          <w:i/>
        </w:rPr>
        <w:t>subsistens jam est aliqua subsistentia</w:t>
      </w:r>
      <w:r w:rsidR="08FA19DD">
        <w:t>, kap. 1</w:t>
      </w:r>
      <w:r w:rsidR="00632F09" w:rsidRPr="00273106">
        <w:t>.4)</w:t>
      </w:r>
      <w:r w:rsidR="00FE2E6C">
        <w:t xml:space="preserve">. </w:t>
      </w:r>
      <w:r w:rsidR="00992017">
        <w:t xml:space="preserve">Ti </w:t>
      </w:r>
      <w:r w:rsidR="00FE2E6C">
        <w:t xml:space="preserve">potřebovali </w:t>
      </w:r>
      <w:r w:rsidR="000A3ED4" w:rsidRPr="00273106">
        <w:t>náhražku první substance</w:t>
      </w:r>
      <w:r w:rsidR="00CC7B66">
        <w:t xml:space="preserve"> proto</w:t>
      </w:r>
      <w:r w:rsidR="00FE2E6C">
        <w:t>, aby změnili vztahy v boží Trojici na samostatné hypostáze</w:t>
      </w:r>
      <w:r w:rsidR="00CB3E91">
        <w:t xml:space="preserve"> dané jako božské Osoby</w:t>
      </w:r>
      <w:r w:rsidR="000A3ED4" w:rsidRPr="00273106">
        <w:t xml:space="preserve">. </w:t>
      </w:r>
      <w:r w:rsidR="00E57FC0">
        <w:t>Novou definici</w:t>
      </w:r>
      <w:r w:rsidR="00FB54EB" w:rsidRPr="00273106">
        <w:t xml:space="preserve"> tohoto </w:t>
      </w:r>
      <w:r w:rsidR="00E57FC0">
        <w:t>p</w:t>
      </w:r>
      <w:r w:rsidR="00B43D6D">
        <w:t xml:space="preserve">orretánského </w:t>
      </w:r>
      <w:r w:rsidR="00FB54EB" w:rsidRPr="00273106">
        <w:t xml:space="preserve">jsoucna </w:t>
      </w:r>
      <w:r w:rsidR="00E57FC0">
        <w:t xml:space="preserve">najdeme v </w:t>
      </w:r>
      <w:r w:rsidR="00FB54EB" w:rsidRPr="00273106">
        <w:t>Rufusově</w:t>
      </w:r>
      <w:r w:rsidR="00B43D6D">
        <w:t xml:space="preserve"> pařížské apologii</w:t>
      </w:r>
      <w:r w:rsidR="00E57FC0">
        <w:t xml:space="preserve"> psané kolem 1245</w:t>
      </w:r>
      <w:r w:rsidR="00B43D6D">
        <w:t>, v níž</w:t>
      </w:r>
      <w:r w:rsidR="00FB54EB" w:rsidRPr="00273106">
        <w:t xml:space="preserve"> </w:t>
      </w:r>
      <w:r w:rsidR="088C216D">
        <w:t xml:space="preserve">poprvé </w:t>
      </w:r>
      <w:r w:rsidR="00FB54EB" w:rsidRPr="00273106">
        <w:t xml:space="preserve">vzniká </w:t>
      </w:r>
      <w:r w:rsidR="088C216D">
        <w:t xml:space="preserve">moderní </w:t>
      </w:r>
      <w:r w:rsidR="00FB54EB" w:rsidRPr="00273106">
        <w:t>koncept objektivního jsoucna (</w:t>
      </w:r>
      <w:r w:rsidR="004B4D52" w:rsidRPr="004B4D52">
        <w:t>species</w:t>
      </w:r>
      <w:r w:rsidR="00FB54EB" w:rsidRPr="00273106">
        <w:t xml:space="preserve"> </w:t>
      </w:r>
      <w:r w:rsidR="00FB54EB" w:rsidRPr="00273106">
        <w:rPr>
          <w:i/>
        </w:rPr>
        <w:t>obiecti exsistentis</w:t>
      </w:r>
      <w:r w:rsidR="0091768A">
        <w:rPr>
          <w:i/>
        </w:rPr>
        <w:fldChar w:fldCharType="begin"/>
      </w:r>
      <w:r w:rsidR="0091768A">
        <w:instrText xml:space="preserve"> XE "</w:instrText>
      </w:r>
      <w:r w:rsidR="0091768A" w:rsidRPr="00C05196">
        <w:rPr>
          <w:i/>
        </w:rPr>
        <w:instrText>species</w:instrText>
      </w:r>
      <w:r w:rsidR="0091768A" w:rsidRPr="00C05196">
        <w:instrText xml:space="preserve"> </w:instrText>
      </w:r>
      <w:r w:rsidR="0091768A" w:rsidRPr="00C05196">
        <w:rPr>
          <w:i/>
        </w:rPr>
        <w:instrText>obiecti exsistentis</w:instrText>
      </w:r>
      <w:r w:rsidR="0091768A">
        <w:instrText xml:space="preserve">" </w:instrText>
      </w:r>
      <w:r w:rsidR="0091768A">
        <w:rPr>
          <w:i/>
        </w:rPr>
        <w:fldChar w:fldCharType="end"/>
      </w:r>
      <w:r w:rsidR="080B61C9">
        <w:t>, kap. 3</w:t>
      </w:r>
      <w:r w:rsidR="00FB54EB" w:rsidRPr="00273106">
        <w:t>.3</w:t>
      </w:r>
      <w:r w:rsidR="00F631F7" w:rsidRPr="00273106">
        <w:t>.4</w:t>
      </w:r>
      <w:r w:rsidR="00FB54EB" w:rsidRPr="00273106">
        <w:t xml:space="preserve">). </w:t>
      </w:r>
      <w:r w:rsidR="007A1176" w:rsidRPr="00273106">
        <w:t xml:space="preserve">Anonym ukazuje, že nový </w:t>
      </w:r>
      <w:r w:rsidR="00CB0FE3" w:rsidRPr="00273106">
        <w:t xml:space="preserve">západní subjekt si </w:t>
      </w:r>
      <w:r w:rsidR="00A11B92" w:rsidRPr="00273106">
        <w:t xml:space="preserve">stvořil </w:t>
      </w:r>
      <w:r w:rsidR="00CB0FE3" w:rsidRPr="00273106">
        <w:t>ke svému obrazu</w:t>
      </w:r>
      <w:r w:rsidR="00C86D76" w:rsidRPr="00C86D76">
        <w:t xml:space="preserve"> </w:t>
      </w:r>
      <w:r w:rsidR="00C86D76" w:rsidRPr="00273106">
        <w:t>i nový objekt</w:t>
      </w:r>
      <w:r w:rsidR="00CB0FE3" w:rsidRPr="00273106">
        <w:t>.</w:t>
      </w:r>
      <w:r w:rsidR="0082414A">
        <w:t xml:space="preserve"> </w:t>
      </w:r>
      <w:r w:rsidR="00BE60B0">
        <w:t xml:space="preserve">Věc existuje </w:t>
      </w:r>
      <w:r w:rsidR="08330ADE">
        <w:t>v</w:t>
      </w:r>
      <w:r w:rsidR="00BE60B0">
        <w:t> </w:t>
      </w:r>
      <w:r w:rsidR="08330ADE">
        <w:t>potenci</w:t>
      </w:r>
      <w:r w:rsidR="00BE60B0">
        <w:t xml:space="preserve"> a současně v aktuálně dané formě </w:t>
      </w:r>
      <w:r w:rsidR="00BE60B0" w:rsidRPr="08330ADE">
        <w:t>(</w:t>
      </w:r>
      <w:r w:rsidR="00BE60B0" w:rsidRPr="08330ADE">
        <w:rPr>
          <w:i/>
        </w:rPr>
        <w:t>forma essentiali</w:t>
      </w:r>
      <w:r w:rsidR="00BE60B0" w:rsidRPr="08330ADE">
        <w:t>)</w:t>
      </w:r>
      <w:r w:rsidR="00BE60B0">
        <w:t>, tudíž zcela objektivně</w:t>
      </w:r>
      <w:r w:rsidR="08330ADE" w:rsidRPr="08330ADE">
        <w:t>.</w:t>
      </w:r>
    </w:p>
    <w:p w14:paraId="37DBF72E" w14:textId="6DA8246A" w:rsidR="00995AE9" w:rsidRPr="00A23194" w:rsidRDefault="00995AE9" w:rsidP="00995AE9">
      <w:pPr>
        <w:pStyle w:val="Citace"/>
        <w:rPr>
          <w:rStyle w:val="Zkladntextdkovn0pt"/>
          <w:rFonts w:ascii="Calibri" w:eastAsia="Times" w:hAnsi="Calibri" w:cs="Times New Roman"/>
          <w:noProof/>
          <w:spacing w:val="0"/>
          <w:sz w:val="22"/>
          <w:u w:val="none"/>
          <w:lang w:val="cs-CZ"/>
        </w:rPr>
      </w:pPr>
      <w:r w:rsidRPr="00273106">
        <w:rPr>
          <w:rStyle w:val="Zkladntextdkovn0pt"/>
          <w:rFonts w:ascii="Calibri" w:eastAsia="Times" w:hAnsi="Calibri" w:cs="Times New Roman"/>
          <w:noProof/>
          <w:spacing w:val="0"/>
          <w:sz w:val="22"/>
          <w:u w:val="none"/>
          <w:lang w:val="cs-CZ"/>
        </w:rPr>
        <w:t>„Materiální věc daná jako substance má dvě složky, totiž věc v čisté potenci a v aktualitě (</w:t>
      </w:r>
      <w:r w:rsidRPr="00273106">
        <w:rPr>
          <w:i/>
          <w:noProof/>
          <w:lang w:val="cs-CZ"/>
        </w:rPr>
        <w:t>re in pura potentia et actu</w:t>
      </w:r>
      <w:r w:rsidRPr="00273106">
        <w:rPr>
          <w:rStyle w:val="Zkladntextdkovn0pt"/>
          <w:rFonts w:ascii="Calibri" w:eastAsia="Times" w:hAnsi="Calibri" w:cs="Times New Roman"/>
          <w:noProof/>
          <w:spacing w:val="0"/>
          <w:sz w:val="22"/>
          <w:u w:val="none"/>
          <w:lang w:val="cs-CZ"/>
        </w:rPr>
        <w:t xml:space="preserve">) a </w:t>
      </w:r>
      <w:r w:rsidR="08330ADE">
        <w:rPr>
          <w:rStyle w:val="Zkladntextdkovn0pt"/>
          <w:rFonts w:ascii="Calibri" w:eastAsia="Times" w:hAnsi="Calibri" w:cs="Times New Roman"/>
          <w:noProof/>
          <w:spacing w:val="0"/>
          <w:sz w:val="22"/>
          <w:u w:val="none"/>
          <w:lang w:val="cs-CZ"/>
        </w:rPr>
        <w:t xml:space="preserve">objektivně </w:t>
      </w:r>
      <w:r w:rsidRPr="00273106">
        <w:rPr>
          <w:rStyle w:val="Zkladntextdkovn0pt"/>
          <w:rFonts w:ascii="Calibri" w:eastAsia="Times" w:hAnsi="Calibri" w:cs="Times New Roman"/>
          <w:noProof/>
          <w:spacing w:val="0"/>
          <w:sz w:val="22"/>
          <w:u w:val="none"/>
          <w:lang w:val="cs-CZ"/>
        </w:rPr>
        <w:t>existující formu</w:t>
      </w:r>
      <w:r w:rsidR="001254F3">
        <w:rPr>
          <w:rStyle w:val="Zkladntextdkovn0pt"/>
          <w:rFonts w:ascii="Calibri" w:eastAsia="Times" w:hAnsi="Calibri" w:cs="Times New Roman"/>
          <w:noProof/>
          <w:spacing w:val="0"/>
          <w:sz w:val="22"/>
          <w:u w:val="none"/>
          <w:lang w:val="cs-CZ"/>
        </w:rPr>
        <w:t xml:space="preserve"> ve světě</w:t>
      </w:r>
      <w:r w:rsidRPr="00273106">
        <w:rPr>
          <w:rStyle w:val="Zkladntextdkovn0pt"/>
          <w:rFonts w:ascii="Calibri" w:eastAsia="Times" w:hAnsi="Calibri" w:cs="Times New Roman"/>
          <w:noProof/>
          <w:spacing w:val="0"/>
          <w:sz w:val="22"/>
          <w:u w:val="none"/>
          <w:lang w:val="cs-CZ"/>
        </w:rPr>
        <w:t>, která završuje tuto potenci věci (</w:t>
      </w:r>
      <w:r w:rsidRPr="00273106">
        <w:rPr>
          <w:rStyle w:val="Zkladntextdkovn0pt"/>
          <w:rFonts w:ascii="Calibri" w:eastAsia="Times" w:hAnsi="Calibri" w:cs="Times New Roman"/>
          <w:i/>
          <w:noProof/>
          <w:spacing w:val="0"/>
          <w:sz w:val="22"/>
          <w:u w:val="none"/>
          <w:lang w:val="cs-CZ"/>
        </w:rPr>
        <w:t>forma essentiali eiusdem potentiae perfectiva</w:t>
      </w:r>
      <w:r w:rsidRPr="00273106">
        <w:rPr>
          <w:rStyle w:val="Zkladntextdkovn0pt"/>
          <w:rFonts w:ascii="Calibri" w:eastAsia="Times" w:hAnsi="Calibri" w:cs="Times New Roman"/>
          <w:noProof/>
          <w:spacing w:val="0"/>
          <w:sz w:val="22"/>
          <w:u w:val="none"/>
          <w:lang w:val="cs-CZ"/>
        </w:rPr>
        <w:t xml:space="preserve">). Tato </w:t>
      </w:r>
      <w:r w:rsidR="08330ADE">
        <w:rPr>
          <w:rStyle w:val="Zkladntextdkovn0pt"/>
          <w:rFonts w:ascii="Calibri" w:eastAsia="Times" w:hAnsi="Calibri" w:cs="Times New Roman"/>
          <w:noProof/>
          <w:spacing w:val="0"/>
          <w:sz w:val="22"/>
          <w:u w:val="none"/>
          <w:lang w:val="cs-CZ"/>
        </w:rPr>
        <w:t xml:space="preserve">objektivní </w:t>
      </w:r>
      <w:r w:rsidRPr="00273106">
        <w:rPr>
          <w:rStyle w:val="Zkladntextdkovn0pt"/>
          <w:rFonts w:ascii="Calibri" w:eastAsia="Times" w:hAnsi="Calibri" w:cs="Times New Roman"/>
          <w:noProof/>
          <w:spacing w:val="0"/>
          <w:sz w:val="22"/>
          <w:u w:val="none"/>
          <w:lang w:val="cs-CZ"/>
        </w:rPr>
        <w:t>forma se v teoretickém náhledu manifestuje skrze modus metafyzické dedukce (</w:t>
      </w:r>
      <w:r w:rsidRPr="00273106">
        <w:rPr>
          <w:rStyle w:val="Zkladntextdkovn0pt"/>
          <w:rFonts w:ascii="Calibri" w:eastAsia="Times" w:hAnsi="Calibri" w:cs="Times New Roman"/>
          <w:i/>
          <w:noProof/>
          <w:spacing w:val="0"/>
          <w:sz w:val="22"/>
          <w:u w:val="none"/>
          <w:lang w:val="cs-CZ"/>
        </w:rPr>
        <w:t>resolutio manifestat</w:t>
      </w:r>
      <w:r w:rsidR="00C55F7D">
        <w:rPr>
          <w:rStyle w:val="Zkladntextdkovn0pt"/>
          <w:rFonts w:ascii="Calibri" w:eastAsia="Times" w:hAnsi="Calibri" w:cs="Times New Roman"/>
          <w:noProof/>
          <w:spacing w:val="0"/>
          <w:sz w:val="22"/>
          <w:u w:val="none"/>
          <w:lang w:val="cs-CZ"/>
        </w:rPr>
        <w:t xml:space="preserve">). </w:t>
      </w:r>
      <w:r w:rsidR="00A23194" w:rsidRPr="00DC6664">
        <w:rPr>
          <w:lang w:val="de-LU"/>
        </w:rPr>
        <w:t>Alle passiven Potenzen sind in die</w:t>
      </w:r>
      <w:r w:rsidR="00A23194">
        <w:rPr>
          <w:lang w:val="de-LU"/>
        </w:rPr>
        <w:t>se</w:t>
      </w:r>
      <w:r w:rsidR="00A23194" w:rsidRPr="00DC6664">
        <w:rPr>
          <w:lang w:val="de-LU"/>
        </w:rPr>
        <w:t xml:space="preserve"> </w:t>
      </w:r>
      <w:r w:rsidR="00A23194" w:rsidRPr="00DC6664">
        <w:rPr>
          <w:i/>
          <w:lang w:val="de-LU"/>
        </w:rPr>
        <w:t xml:space="preserve">simpliciter </w:t>
      </w:r>
      <w:r w:rsidR="00A23194">
        <w:rPr>
          <w:lang w:val="de-LU"/>
        </w:rPr>
        <w:t>gegebene</w:t>
      </w:r>
      <w:r w:rsidR="00A23194">
        <w:rPr>
          <w:i/>
          <w:lang w:val="de-LU"/>
        </w:rPr>
        <w:t xml:space="preserve"> </w:t>
      </w:r>
      <w:r w:rsidR="00A23194" w:rsidRPr="00DC6664">
        <w:rPr>
          <w:lang w:val="de-LU"/>
        </w:rPr>
        <w:t>Potenz überführbar</w:t>
      </w:r>
      <w:r w:rsidR="00A23194">
        <w:rPr>
          <w:lang w:val="de-LU"/>
        </w:rPr>
        <w:t xml:space="preserve"> </w:t>
      </w:r>
      <w:r w:rsidR="00A23194" w:rsidRPr="00DC6664">
        <w:rPr>
          <w:lang w:val="de-LU"/>
        </w:rPr>
        <w:t>(</w:t>
      </w:r>
      <w:r w:rsidR="00A23194" w:rsidRPr="00DC6664">
        <w:rPr>
          <w:i/>
          <w:lang w:val="de-LU"/>
        </w:rPr>
        <w:t>potentia passiva ad potentiam simpliciter reducatur</w:t>
      </w:r>
      <w:r w:rsidR="00A23194" w:rsidRPr="00DC6664">
        <w:rPr>
          <w:lang w:val="de-LU"/>
        </w:rPr>
        <w:t>)</w:t>
      </w:r>
      <w:r w:rsidR="00A23194">
        <w:rPr>
          <w:lang w:val="de-LU"/>
        </w:rPr>
        <w:t xml:space="preserve">; </w:t>
      </w:r>
      <w:r w:rsidR="00A23194" w:rsidRPr="00DC6664">
        <w:rPr>
          <w:lang w:val="de-LU"/>
        </w:rPr>
        <w:t xml:space="preserve">und ebenso sind Aktualität und reale Form </w:t>
      </w:r>
      <w:r w:rsidR="00A23194">
        <w:rPr>
          <w:lang w:val="de-LU"/>
        </w:rPr>
        <w:t xml:space="preserve">der Sache </w:t>
      </w:r>
      <w:r w:rsidR="00A23194" w:rsidRPr="00DC6664">
        <w:rPr>
          <w:lang w:val="de-LU"/>
        </w:rPr>
        <w:t>in die</w:t>
      </w:r>
      <w:r w:rsidR="00A23194">
        <w:rPr>
          <w:lang w:val="de-LU"/>
        </w:rPr>
        <w:t>se</w:t>
      </w:r>
      <w:r w:rsidR="00A23194" w:rsidRPr="00DC6664">
        <w:rPr>
          <w:lang w:val="de-LU"/>
        </w:rPr>
        <w:t xml:space="preserve"> </w:t>
      </w:r>
      <w:r w:rsidR="00A23194" w:rsidRPr="00DC6664">
        <w:rPr>
          <w:i/>
          <w:lang w:val="de-LU"/>
        </w:rPr>
        <w:t xml:space="preserve">simpliciter </w:t>
      </w:r>
      <w:r w:rsidR="00A23194">
        <w:rPr>
          <w:lang w:val="de-LU"/>
        </w:rPr>
        <w:t>gegebene</w:t>
      </w:r>
      <w:r w:rsidR="00A23194">
        <w:rPr>
          <w:i/>
          <w:lang w:val="de-LU"/>
        </w:rPr>
        <w:t xml:space="preserve"> </w:t>
      </w:r>
      <w:r w:rsidR="00A23194" w:rsidRPr="00DC6664">
        <w:rPr>
          <w:lang w:val="de-LU"/>
        </w:rPr>
        <w:t>Form überführbar (</w:t>
      </w:r>
      <w:r w:rsidR="00A23194" w:rsidRPr="00DC6664">
        <w:rPr>
          <w:i/>
          <w:lang w:val="de-LU"/>
        </w:rPr>
        <w:t>omnis actus et forma ad formari simpliciter</w:t>
      </w:r>
      <w:r w:rsidR="00A23194" w:rsidRPr="00DC6664">
        <w:rPr>
          <w:lang w:val="de-LU"/>
        </w:rPr>
        <w:t xml:space="preserve">). </w:t>
      </w:r>
      <w:r w:rsidR="00C86D76">
        <w:rPr>
          <w:rStyle w:val="Zkladntextdkovn0pt"/>
          <w:rFonts w:ascii="Calibri" w:eastAsia="Times" w:hAnsi="Calibri" w:cs="Times New Roman"/>
          <w:noProof/>
          <w:spacing w:val="0"/>
          <w:sz w:val="22"/>
          <w:u w:val="none"/>
          <w:lang w:val="cs-CZ"/>
        </w:rPr>
        <w:t>Všechny pasivní potence jsou převoditelné</w:t>
      </w:r>
      <w:r w:rsidRPr="00273106">
        <w:rPr>
          <w:rStyle w:val="Zkladntextdkovn0pt"/>
          <w:rFonts w:ascii="Calibri" w:eastAsia="Times" w:hAnsi="Calibri" w:cs="Times New Roman"/>
          <w:noProof/>
          <w:spacing w:val="0"/>
          <w:sz w:val="22"/>
          <w:u w:val="none"/>
          <w:lang w:val="cs-CZ"/>
        </w:rPr>
        <w:t xml:space="preserve"> na </w:t>
      </w:r>
      <w:r w:rsidR="00A23194">
        <w:rPr>
          <w:rStyle w:val="Zkladntextdkovn0pt"/>
          <w:rFonts w:ascii="Calibri" w:eastAsia="Times" w:hAnsi="Calibri" w:cs="Times New Roman"/>
          <w:noProof/>
          <w:spacing w:val="0"/>
          <w:sz w:val="22"/>
          <w:u w:val="none"/>
          <w:lang w:val="cs-CZ"/>
        </w:rPr>
        <w:t xml:space="preserve">tuto potenci </w:t>
      </w:r>
      <w:r w:rsidR="0818712C">
        <w:rPr>
          <w:rStyle w:val="Zkladntextdkovn0pt"/>
          <w:rFonts w:ascii="Calibri" w:eastAsia="Times" w:hAnsi="Calibri" w:cs="Times New Roman"/>
          <w:noProof/>
          <w:spacing w:val="0"/>
          <w:sz w:val="22"/>
          <w:u w:val="none"/>
          <w:lang w:val="cs-CZ"/>
        </w:rPr>
        <w:t>v</w:t>
      </w:r>
      <w:r w:rsidR="00A23194">
        <w:rPr>
          <w:rStyle w:val="Zkladntextdkovn0pt"/>
          <w:rFonts w:ascii="Calibri" w:eastAsia="Times" w:hAnsi="Calibri" w:cs="Times New Roman"/>
          <w:noProof/>
          <w:spacing w:val="0"/>
          <w:sz w:val="22"/>
          <w:u w:val="none"/>
          <w:lang w:val="cs-CZ"/>
        </w:rPr>
        <w:t> </w:t>
      </w:r>
      <w:r w:rsidR="00A23194" w:rsidRPr="00A23194">
        <w:rPr>
          <w:rStyle w:val="Zkladntextdkovn0pt"/>
          <w:rFonts w:ascii="Calibri" w:eastAsia="Times" w:hAnsi="Calibri" w:cs="Times New Roman"/>
          <w:i/>
          <w:noProof/>
          <w:spacing w:val="0"/>
          <w:sz w:val="22"/>
          <w:u w:val="none"/>
          <w:lang w:val="cs-CZ"/>
        </w:rPr>
        <w:t>simpliciter</w:t>
      </w:r>
      <w:r w:rsidR="00A23194">
        <w:rPr>
          <w:rStyle w:val="Zkladntextdkovn0pt"/>
          <w:rFonts w:ascii="Calibri" w:eastAsia="Times" w:hAnsi="Calibri" w:cs="Times New Roman"/>
          <w:noProof/>
          <w:spacing w:val="0"/>
          <w:sz w:val="22"/>
          <w:u w:val="none"/>
          <w:lang w:val="cs-CZ"/>
        </w:rPr>
        <w:t xml:space="preserve"> daném </w:t>
      </w:r>
      <w:r w:rsidR="0818712C">
        <w:rPr>
          <w:rStyle w:val="Zkladntextdkovn0pt"/>
          <w:rFonts w:ascii="Calibri" w:eastAsia="Times" w:hAnsi="Calibri" w:cs="Times New Roman"/>
          <w:noProof/>
          <w:spacing w:val="0"/>
          <w:sz w:val="22"/>
          <w:u w:val="none"/>
          <w:lang w:val="cs-CZ"/>
        </w:rPr>
        <w:t xml:space="preserve">modu </w:t>
      </w:r>
      <w:r w:rsidRPr="00273106">
        <w:rPr>
          <w:rStyle w:val="Zkladntextdkovn0pt"/>
          <w:rFonts w:ascii="Calibri" w:eastAsia="Times" w:hAnsi="Calibri" w:cs="Times New Roman"/>
          <w:noProof/>
          <w:spacing w:val="0"/>
          <w:sz w:val="22"/>
          <w:u w:val="none"/>
          <w:lang w:val="cs-CZ"/>
        </w:rPr>
        <w:t>(</w:t>
      </w:r>
      <w:r w:rsidRPr="00273106">
        <w:rPr>
          <w:rStyle w:val="Zkladntextdkovn0pt"/>
          <w:rFonts w:ascii="Calibri" w:eastAsia="Times" w:hAnsi="Calibri" w:cs="Times New Roman"/>
          <w:i/>
          <w:noProof/>
          <w:spacing w:val="0"/>
          <w:sz w:val="22"/>
          <w:u w:val="none"/>
          <w:lang w:val="cs-CZ"/>
        </w:rPr>
        <w:t>potentia passiva ad potentiam simpliciter reducatur</w:t>
      </w:r>
      <w:r w:rsidR="00A23194">
        <w:rPr>
          <w:rStyle w:val="Zkladntextdkovn0pt"/>
          <w:rFonts w:ascii="Calibri" w:eastAsia="Times" w:hAnsi="Calibri" w:cs="Times New Roman"/>
          <w:noProof/>
          <w:spacing w:val="0"/>
          <w:sz w:val="22"/>
          <w:u w:val="none"/>
          <w:lang w:val="cs-CZ"/>
        </w:rPr>
        <w:t xml:space="preserve">); stejně tak aktuálně daná </w:t>
      </w:r>
      <w:r w:rsidRPr="00273106">
        <w:rPr>
          <w:rStyle w:val="Zkladntextdkovn0pt"/>
          <w:rFonts w:ascii="Calibri" w:eastAsia="Times" w:hAnsi="Calibri" w:cs="Times New Roman"/>
          <w:noProof/>
          <w:spacing w:val="0"/>
          <w:sz w:val="22"/>
          <w:u w:val="none"/>
          <w:lang w:val="cs-CZ"/>
        </w:rPr>
        <w:t xml:space="preserve">forma </w:t>
      </w:r>
      <w:r w:rsidR="00A23194">
        <w:rPr>
          <w:rStyle w:val="Zkladntextdkovn0pt"/>
          <w:rFonts w:ascii="Calibri" w:eastAsia="Times" w:hAnsi="Calibri" w:cs="Times New Roman"/>
          <w:noProof/>
          <w:spacing w:val="0"/>
          <w:sz w:val="22"/>
          <w:u w:val="none"/>
          <w:lang w:val="cs-CZ"/>
        </w:rPr>
        <w:t xml:space="preserve">existující věci </w:t>
      </w:r>
      <w:r w:rsidRPr="00273106">
        <w:rPr>
          <w:rStyle w:val="Zkladntextdkovn0pt"/>
          <w:rFonts w:ascii="Calibri" w:eastAsia="Times" w:hAnsi="Calibri" w:cs="Times New Roman"/>
          <w:noProof/>
          <w:spacing w:val="0"/>
          <w:sz w:val="22"/>
          <w:u w:val="none"/>
          <w:lang w:val="cs-CZ"/>
        </w:rPr>
        <w:t xml:space="preserve">je převoditelná na </w:t>
      </w:r>
      <w:r w:rsidR="00A23194" w:rsidRPr="00A23194">
        <w:rPr>
          <w:rStyle w:val="Zkladntextdkovn0pt"/>
          <w:rFonts w:ascii="Calibri" w:eastAsia="Times" w:hAnsi="Calibri" w:cs="Times New Roman"/>
          <w:i/>
          <w:noProof/>
          <w:spacing w:val="0"/>
          <w:sz w:val="22"/>
          <w:u w:val="none"/>
          <w:lang w:val="cs-CZ"/>
        </w:rPr>
        <w:t>simpliciter</w:t>
      </w:r>
      <w:r w:rsidR="00A23194">
        <w:rPr>
          <w:rStyle w:val="Zkladntextdkovn0pt"/>
          <w:rFonts w:ascii="Calibri" w:eastAsia="Times" w:hAnsi="Calibri" w:cs="Times New Roman"/>
          <w:noProof/>
          <w:spacing w:val="0"/>
          <w:sz w:val="22"/>
          <w:u w:val="none"/>
          <w:lang w:val="cs-CZ"/>
        </w:rPr>
        <w:t xml:space="preserve"> danou </w:t>
      </w:r>
      <w:r w:rsidRPr="00273106">
        <w:rPr>
          <w:rStyle w:val="Zkladntextdkovn0pt"/>
          <w:rFonts w:ascii="Calibri" w:eastAsia="Times" w:hAnsi="Calibri" w:cs="Times New Roman"/>
          <w:noProof/>
          <w:spacing w:val="0"/>
          <w:sz w:val="22"/>
          <w:u w:val="none"/>
          <w:lang w:val="cs-CZ"/>
        </w:rPr>
        <w:t>formu (</w:t>
      </w:r>
      <w:r w:rsidRPr="00273106">
        <w:rPr>
          <w:rStyle w:val="Zkladntextdkovn0pt"/>
          <w:rFonts w:ascii="Calibri" w:eastAsia="Times" w:hAnsi="Calibri" w:cs="Times New Roman"/>
          <w:i/>
          <w:noProof/>
          <w:spacing w:val="0"/>
          <w:sz w:val="22"/>
          <w:u w:val="none"/>
          <w:lang w:val="cs-CZ"/>
        </w:rPr>
        <w:t>omnis actus et forma ad formari simpliciter</w:t>
      </w:r>
      <w:r w:rsidRPr="00273106">
        <w:rPr>
          <w:rStyle w:val="Zkladntextdkovn0pt"/>
          <w:rFonts w:ascii="Calibri" w:eastAsia="Times" w:hAnsi="Calibri" w:cs="Times New Roman"/>
          <w:noProof/>
          <w:spacing w:val="0"/>
          <w:sz w:val="22"/>
          <w:u w:val="none"/>
          <w:lang w:val="cs-CZ"/>
        </w:rPr>
        <w:t xml:space="preserve">). Jsoucno jako </w:t>
      </w:r>
      <w:r w:rsidR="0818712C">
        <w:rPr>
          <w:rStyle w:val="Zkladntextdkovn0pt"/>
          <w:rFonts w:ascii="Calibri" w:eastAsia="Times" w:hAnsi="Calibri" w:cs="Times New Roman"/>
          <w:noProof/>
          <w:spacing w:val="0"/>
          <w:sz w:val="22"/>
          <w:u w:val="none"/>
          <w:lang w:val="cs-CZ"/>
        </w:rPr>
        <w:t>objektivně-</w:t>
      </w:r>
      <w:r w:rsidRPr="00273106">
        <w:rPr>
          <w:rStyle w:val="Zkladntextdkovn0pt"/>
          <w:rFonts w:ascii="Calibri" w:eastAsia="Times" w:hAnsi="Calibri" w:cs="Times New Roman"/>
          <w:noProof/>
          <w:spacing w:val="0"/>
          <w:sz w:val="22"/>
          <w:u w:val="none"/>
          <w:lang w:val="cs-CZ"/>
        </w:rPr>
        <w:t>aktuální je složeno z obojího, tedy z </w:t>
      </w:r>
      <w:r w:rsidR="0818712C">
        <w:rPr>
          <w:rStyle w:val="Zkladntextdkovn0pt"/>
          <w:rFonts w:ascii="Calibri" w:eastAsia="Times" w:hAnsi="Calibri" w:cs="Times New Roman"/>
          <w:noProof/>
          <w:spacing w:val="0"/>
          <w:sz w:val="22"/>
          <w:u w:val="none"/>
          <w:lang w:val="cs-CZ"/>
        </w:rPr>
        <w:t xml:space="preserve">objektivní </w:t>
      </w:r>
      <w:r w:rsidRPr="00273106">
        <w:rPr>
          <w:rStyle w:val="Zkladntextdkovn0pt"/>
          <w:rFonts w:ascii="Calibri" w:eastAsia="Times" w:hAnsi="Calibri" w:cs="Times New Roman"/>
          <w:noProof/>
          <w:spacing w:val="0"/>
          <w:sz w:val="22"/>
          <w:u w:val="none"/>
          <w:lang w:val="cs-CZ"/>
        </w:rPr>
        <w:t xml:space="preserve">potence dané vzhledem k takto dané </w:t>
      </w:r>
      <w:r w:rsidR="0818712C">
        <w:rPr>
          <w:rStyle w:val="Zkladntextdkovn0pt"/>
          <w:rFonts w:ascii="Calibri" w:eastAsia="Times" w:hAnsi="Calibri" w:cs="Times New Roman"/>
          <w:noProof/>
          <w:spacing w:val="0"/>
          <w:sz w:val="22"/>
          <w:u w:val="none"/>
          <w:lang w:val="cs-CZ"/>
        </w:rPr>
        <w:t xml:space="preserve">objektivní </w:t>
      </w:r>
      <w:r w:rsidRPr="00273106">
        <w:rPr>
          <w:rStyle w:val="Zkladntextdkovn0pt"/>
          <w:rFonts w:ascii="Calibri" w:eastAsia="Times" w:hAnsi="Calibri" w:cs="Times New Roman"/>
          <w:noProof/>
          <w:spacing w:val="0"/>
          <w:sz w:val="22"/>
          <w:u w:val="none"/>
          <w:lang w:val="cs-CZ"/>
        </w:rPr>
        <w:t xml:space="preserve">formě, </w:t>
      </w:r>
      <w:r w:rsidR="0818712C">
        <w:rPr>
          <w:rStyle w:val="Zkladntextdkovn0pt"/>
          <w:rFonts w:ascii="Calibri" w:eastAsia="Times" w:hAnsi="Calibri" w:cs="Times New Roman"/>
          <w:noProof/>
          <w:spacing w:val="0"/>
          <w:sz w:val="22"/>
          <w:u w:val="none"/>
          <w:lang w:val="cs-CZ"/>
        </w:rPr>
        <w:t xml:space="preserve">nebo v té formě </w:t>
      </w:r>
      <w:r w:rsidRPr="00273106">
        <w:rPr>
          <w:rStyle w:val="Zkladntextdkovn0pt"/>
          <w:rFonts w:ascii="Calibri" w:eastAsia="Times" w:hAnsi="Calibri" w:cs="Times New Roman"/>
          <w:noProof/>
          <w:spacing w:val="0"/>
          <w:sz w:val="22"/>
          <w:u w:val="none"/>
          <w:lang w:val="cs-CZ"/>
        </w:rPr>
        <w:t xml:space="preserve">která je </w:t>
      </w:r>
      <w:r w:rsidR="0818712C">
        <w:rPr>
          <w:rStyle w:val="Zkladntextdkovn0pt"/>
          <w:rFonts w:ascii="Calibri" w:eastAsia="Times" w:hAnsi="Calibri" w:cs="Times New Roman"/>
          <w:noProof/>
          <w:spacing w:val="0"/>
          <w:sz w:val="22"/>
          <w:u w:val="none"/>
          <w:lang w:val="cs-CZ"/>
        </w:rPr>
        <w:t>predikovaná a je dána v reálné jednotlivině</w:t>
      </w:r>
      <w:r w:rsidRPr="00273106">
        <w:rPr>
          <w:rStyle w:val="Zkladntextdkovn0pt"/>
          <w:rFonts w:ascii="Calibri" w:eastAsia="Times" w:hAnsi="Calibri" w:cs="Times New Roman"/>
          <w:noProof/>
          <w:spacing w:val="0"/>
          <w:sz w:val="22"/>
          <w:u w:val="none"/>
          <w:lang w:val="cs-CZ"/>
        </w:rPr>
        <w:t xml:space="preserve">.“ </w:t>
      </w:r>
      <w:r w:rsidRPr="00273106">
        <w:rPr>
          <w:rStyle w:val="Znakapoznpodarou"/>
          <w:noProof/>
          <w:sz w:val="21"/>
          <w:szCs w:val="15"/>
          <w:lang w:val="cs-CZ"/>
        </w:rPr>
        <w:footnoteReference w:id="336"/>
      </w:r>
    </w:p>
    <w:p w14:paraId="48FC7258" w14:textId="35143EC5" w:rsidR="00C22738" w:rsidRDefault="00995AE9" w:rsidP="00050538">
      <w:r w:rsidRPr="00273106">
        <w:t>Autor vidí v reálné individuální složenině (</w:t>
      </w:r>
      <w:r w:rsidRPr="00273106">
        <w:rPr>
          <w:i/>
        </w:rPr>
        <w:t>res materiata</w:t>
      </w:r>
      <w:r w:rsidRPr="00273106">
        <w:t xml:space="preserve">) dvě entity dané </w:t>
      </w:r>
      <w:r w:rsidRPr="00273106">
        <w:rPr>
          <w:i/>
        </w:rPr>
        <w:t>substantialiter</w:t>
      </w:r>
      <w:r w:rsidRPr="00273106">
        <w:t>, které dohromady tvoří jeden zvláštní celek (</w:t>
      </w:r>
      <w:r w:rsidRPr="00273106">
        <w:rPr>
          <w:i/>
        </w:rPr>
        <w:t>substantialiter ex duobus consistit</w:t>
      </w:r>
      <w:r w:rsidRPr="00273106">
        <w:t xml:space="preserve">). </w:t>
      </w:r>
      <w:r w:rsidR="00A23194">
        <w:t xml:space="preserve">Iluminát </w:t>
      </w:r>
      <w:r w:rsidRPr="00273106">
        <w:t>rozkládá hylemorfickou věc na objektivní význam (</w:t>
      </w:r>
      <w:r w:rsidRPr="00273106">
        <w:rPr>
          <w:i/>
        </w:rPr>
        <w:t>re in pura potentia et actu</w:t>
      </w:r>
      <w:r w:rsidRPr="00273106">
        <w:t>) a na reálnou hylemorfickou složeninu, která prochází změnami (</w:t>
      </w:r>
      <w:r w:rsidRPr="00273106">
        <w:rPr>
          <w:i/>
        </w:rPr>
        <w:t xml:space="preserve">forma essentiali eiusdem potentiae </w:t>
      </w:r>
      <w:r w:rsidRPr="00273106">
        <w:rPr>
          <w:i/>
        </w:rPr>
        <w:lastRenderedPageBreak/>
        <w:t>perfectiva</w:t>
      </w:r>
      <w:r w:rsidR="00DB47A8" w:rsidRPr="00273106">
        <w:t xml:space="preserve">). </w:t>
      </w:r>
      <w:r w:rsidR="0040620D">
        <w:t>A</w:t>
      </w:r>
      <w:r w:rsidRPr="00273106">
        <w:t>nalytik Oxfor</w:t>
      </w:r>
      <w:r w:rsidR="00242B63" w:rsidRPr="00273106">
        <w:t>d</w:t>
      </w:r>
      <w:r w:rsidRPr="00273106">
        <w:t>ské školy nahlíží reálnou substanci tak, že j</w:t>
      </w:r>
      <w:r w:rsidR="00242B63" w:rsidRPr="00273106">
        <w:t xml:space="preserve">i v procesu denudace </w:t>
      </w:r>
      <w:r w:rsidR="008962DF" w:rsidRPr="00273106">
        <w:t>(</w:t>
      </w:r>
      <w:r w:rsidR="008962DF" w:rsidRPr="00273106">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07D3515" w:rsidRPr="007D3515">
        <w:instrText>Rufus</w:instrText>
      </w:r>
      <w:r w:rsidR="005A68A7">
        <w:instrText xml:space="preserve">" </w:instrText>
      </w:r>
      <w:r w:rsidR="005A68A7">
        <w:rPr>
          <w:i/>
        </w:rPr>
        <w:fldChar w:fldCharType="end"/>
      </w:r>
      <w:r w:rsidR="008962DF" w:rsidRPr="00273106">
        <w:t xml:space="preserve">) </w:t>
      </w:r>
      <w:r w:rsidR="00794C7B" w:rsidRPr="00273106">
        <w:t>rozdělí</w:t>
      </w:r>
      <w:r w:rsidR="00242B63" w:rsidRPr="00273106">
        <w:t xml:space="preserve"> </w:t>
      </w:r>
      <w:r w:rsidR="00794C7B" w:rsidRPr="00273106">
        <w:t xml:space="preserve">na dvě složky. Jednak </w:t>
      </w:r>
      <w:r w:rsidRPr="00273106">
        <w:t>na původní podobu ideální potence materie (</w:t>
      </w:r>
      <w:r w:rsidRPr="00273106">
        <w:rPr>
          <w:i/>
        </w:rPr>
        <w:t>ad potentiam simpliciter reducatur</w:t>
      </w:r>
      <w:r w:rsidRPr="00273106">
        <w:t xml:space="preserve">) a </w:t>
      </w:r>
      <w:r w:rsidR="00794C7B" w:rsidRPr="00273106">
        <w:t xml:space="preserve">jednak na </w:t>
      </w:r>
      <w:r w:rsidRPr="00273106">
        <w:t>původní podobu ideální formy (</w:t>
      </w:r>
      <w:r w:rsidRPr="00273106">
        <w:rPr>
          <w:i/>
        </w:rPr>
        <w:t>omnis actus et forma ad formari simpliciter</w:t>
      </w:r>
      <w:r w:rsidRPr="00273106">
        <w:t xml:space="preserve">). </w:t>
      </w:r>
      <w:r w:rsidR="081949BB">
        <w:t xml:space="preserve">Tím je dána objektivní podoba jak materie tak formy a jejich složením vznikne nová forma objektivního jsoucna. Připomeňme kritiku školy </w:t>
      </w:r>
      <w:r w:rsidR="081949BB" w:rsidRPr="081949BB">
        <w:rPr>
          <w:i/>
        </w:rPr>
        <w:t>Nominales</w:t>
      </w:r>
      <w:r w:rsidR="081949BB">
        <w:t xml:space="preserve"> od Jana ze Salisbury, kteří rozloží  první substance a pak si je zase složí (</w:t>
      </w:r>
      <w:r w:rsidR="081949BB" w:rsidRPr="00273106">
        <w:rPr>
          <w:i/>
        </w:rPr>
        <w:t>substantialia denuo colligunt</w:t>
      </w:r>
      <w:r w:rsidR="080B61C9">
        <w:t>, kap. 1</w:t>
      </w:r>
      <w:r w:rsidR="081949BB">
        <w:t xml:space="preserve">.4). </w:t>
      </w:r>
      <w:r w:rsidR="08C840AB">
        <w:t xml:space="preserve">V postmoderní formě </w:t>
      </w:r>
      <w:r w:rsidR="0852716C">
        <w:t xml:space="preserve">objektivní </w:t>
      </w:r>
      <w:r w:rsidR="08C840AB">
        <w:t>vědy tomu odpovídají hypostázované „fyzikální“ vlastnosti oddělené od kauzality prvních substancí, které jsou deter</w:t>
      </w:r>
      <w:r w:rsidR="08D37007">
        <w:t>minov</w:t>
      </w:r>
      <w:r w:rsidR="08C840AB">
        <w:t>ány matematick</w:t>
      </w:r>
      <w:r w:rsidR="08D37007">
        <w:t>y</w:t>
      </w:r>
      <w:r w:rsidR="08C840AB">
        <w:t xml:space="preserve">. </w:t>
      </w:r>
      <w:r w:rsidR="00771FD9" w:rsidRPr="00273106">
        <w:t>Reálná v</w:t>
      </w:r>
      <w:r w:rsidRPr="00273106">
        <w:t xml:space="preserve">ěc </w:t>
      </w:r>
      <w:r w:rsidR="00771FD9" w:rsidRPr="00273106">
        <w:t xml:space="preserve">je </w:t>
      </w:r>
      <w:r w:rsidR="0090067A" w:rsidRPr="00273106">
        <w:t xml:space="preserve">exemplárně </w:t>
      </w:r>
      <w:r w:rsidR="00771FD9" w:rsidRPr="00273106">
        <w:t xml:space="preserve">dána </w:t>
      </w:r>
      <w:r w:rsidR="0090067A" w:rsidRPr="00273106">
        <w:t xml:space="preserve">v subsistentní </w:t>
      </w:r>
      <w:r w:rsidR="00D5675E">
        <w:t xml:space="preserve">objektivní </w:t>
      </w:r>
      <w:r w:rsidR="0090067A" w:rsidRPr="00273106">
        <w:t>formě</w:t>
      </w:r>
      <w:r w:rsidR="00D5675E">
        <w:t>, která s</w:t>
      </w:r>
      <w:r w:rsidR="0090067A" w:rsidRPr="00273106">
        <w:t xml:space="preserve">krze akt </w:t>
      </w:r>
      <w:r w:rsidR="0003359C">
        <w:t xml:space="preserve">moderního </w:t>
      </w:r>
      <w:r w:rsidR="0090067A" w:rsidRPr="00273106">
        <w:rPr>
          <w:i/>
        </w:rPr>
        <w:t>exsistere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90067A" w:rsidRPr="00273106">
        <w:t xml:space="preserve"> přejde do kontigentního výskytu v realitě</w:t>
      </w:r>
      <w:r w:rsidR="00771FD9" w:rsidRPr="00273106">
        <w:t xml:space="preserve">. </w:t>
      </w:r>
      <w:r w:rsidR="00F31F3B">
        <w:t>V</w:t>
      </w:r>
      <w:r w:rsidRPr="00273106">
        <w:t xml:space="preserve">ěc </w:t>
      </w:r>
      <w:r w:rsidR="0032753D" w:rsidRPr="00273106">
        <w:t>„ex</w:t>
      </w:r>
      <w:r w:rsidR="00BD7CB2">
        <w:t>s</w:t>
      </w:r>
      <w:r w:rsidR="0032753D" w:rsidRPr="00273106">
        <w:t xml:space="preserve">istuje“ skrze přechod </w:t>
      </w:r>
      <w:r w:rsidR="00D66977" w:rsidRPr="00273106">
        <w:t>ideální formy do nahodilého výskytu zde a nyní</w:t>
      </w:r>
      <w:r w:rsidR="000D4333">
        <w:t>, kde dostane různé akcidenty zakládající její individuaci (</w:t>
      </w:r>
      <w:r w:rsidR="000D4333" w:rsidRPr="000D4333">
        <w:rPr>
          <w:i/>
        </w:rPr>
        <w:t>compositio</w:t>
      </w:r>
      <w:r w:rsidR="007A3BB7">
        <w:rPr>
          <w:i/>
        </w:rPr>
        <w:fldChar w:fldCharType="begin"/>
      </w:r>
      <w:r w:rsidR="007A3BB7">
        <w:instrText xml:space="preserve"> XE "</w:instrText>
      </w:r>
      <w:r w:rsidR="007A3BB7" w:rsidRPr="006B120B">
        <w:rPr>
          <w:i/>
        </w:rPr>
        <w:instrText>compositio</w:instrText>
      </w:r>
      <w:r w:rsidR="007A3BB7">
        <w:instrText xml:space="preserve">" </w:instrText>
      </w:r>
      <w:r w:rsidR="007A3BB7">
        <w:rPr>
          <w:i/>
        </w:rPr>
        <w:fldChar w:fldCharType="end"/>
      </w:r>
      <w:r w:rsidR="000D4333">
        <w:t>)</w:t>
      </w:r>
      <w:r w:rsidRPr="00273106">
        <w:t xml:space="preserve">. </w:t>
      </w:r>
      <w:r w:rsidR="003A119D" w:rsidRPr="00273106">
        <w:t xml:space="preserve">Druhý averroismus </w:t>
      </w:r>
      <w:r w:rsidR="00BB581A" w:rsidRPr="00273106">
        <w:t xml:space="preserve">„komponuje“ </w:t>
      </w:r>
      <w:r w:rsidR="003A119D" w:rsidRPr="00273106">
        <w:t>první substanci jako porretánské individuum</w:t>
      </w:r>
      <w:r w:rsidR="003A119D">
        <w:t xml:space="preserve"> </w:t>
      </w:r>
      <w:r w:rsidR="003A119D" w:rsidRPr="00273106">
        <w:t>(</w:t>
      </w:r>
      <w:r w:rsidR="003A119D" w:rsidRPr="00273106">
        <w:rPr>
          <w:i/>
        </w:rPr>
        <w:t>actualiter ex duobus componitur</w:t>
      </w:r>
      <w:r w:rsidR="003A119D" w:rsidRPr="00273106">
        <w:t>)</w:t>
      </w:r>
      <w:r w:rsidR="003A119D">
        <w:t xml:space="preserve">. </w:t>
      </w:r>
      <w:r w:rsidR="00FE13F7" w:rsidRPr="00273106">
        <w:t>Objektivní nutnost a neměnnost má v plné míře pouze původní exemplar</w:t>
      </w:r>
      <w:r w:rsidR="00B7167E">
        <w:fldChar w:fldCharType="begin"/>
      </w:r>
      <w:r w:rsidR="00B7167E">
        <w:instrText xml:space="preserve"> XE "</w:instrText>
      </w:r>
      <w:r w:rsidR="00B7167E" w:rsidRPr="003F72AE">
        <w:rPr>
          <w:i/>
        </w:rPr>
        <w:instrText>exemplar</w:instrText>
      </w:r>
      <w:r w:rsidR="00B7167E">
        <w:instrText xml:space="preserve">" </w:instrText>
      </w:r>
      <w:r w:rsidR="00B7167E">
        <w:fldChar w:fldCharType="end"/>
      </w:r>
      <w:r w:rsidR="00FE13F7" w:rsidRPr="00273106">
        <w:t xml:space="preserve"> daný </w:t>
      </w:r>
      <w:r w:rsidR="00FE13F7">
        <w:t xml:space="preserve">v bohu, tedy </w:t>
      </w:r>
      <w:r w:rsidR="00FE13F7" w:rsidRPr="00273106">
        <w:t>mimo realitu první substance</w:t>
      </w:r>
      <w:r w:rsidR="00A70FA4">
        <w:fldChar w:fldCharType="begin"/>
      </w:r>
      <w:r w:rsidR="00A70FA4">
        <w:instrText xml:space="preserve"> XE "</w:instrText>
      </w:r>
      <w:r w:rsidR="00A70FA4" w:rsidRPr="00DE2A32">
        <w:instrText>substance</w:instrText>
      </w:r>
      <w:r w:rsidR="007A174C">
        <w:instrText>:třetího druhu</w:instrText>
      </w:r>
      <w:r w:rsidR="00A70FA4">
        <w:instrText xml:space="preserve">" </w:instrText>
      </w:r>
      <w:r w:rsidR="00A70FA4">
        <w:fldChar w:fldCharType="end"/>
      </w:r>
      <w:r w:rsidR="00FE13F7" w:rsidRPr="00273106">
        <w:t xml:space="preserve">. </w:t>
      </w:r>
      <w:r w:rsidR="00FE13F7">
        <w:t>Toto objektivní simulákrum první substance může být kontingentně aktualizováno</w:t>
      </w:r>
      <w:r w:rsidR="00FE13F7" w:rsidRPr="00273106">
        <w:t xml:space="preserve"> v materii jako hylemorfická první substance</w:t>
      </w:r>
      <w:r w:rsidR="00FE13F7">
        <w:t xml:space="preserve"> </w:t>
      </w:r>
      <w:r w:rsidR="00FE13F7" w:rsidRPr="00273106">
        <w:t>(</w:t>
      </w:r>
      <w:r w:rsidR="00FE13F7" w:rsidRPr="00273106">
        <w:rPr>
          <w:i/>
        </w:rPr>
        <w:t>hac forma vel ista penitus signata et individuali</w:t>
      </w:r>
      <w:r w:rsidR="00FE13F7" w:rsidRPr="00273106">
        <w:t xml:space="preserve">). </w:t>
      </w:r>
      <w:r w:rsidR="00FE13F7">
        <w:t xml:space="preserve">Věčná </w:t>
      </w:r>
      <w:r w:rsidR="00D36B8F">
        <w:t xml:space="preserve">forma na sebe </w:t>
      </w:r>
      <w:r w:rsidR="00FE13F7" w:rsidRPr="00273106">
        <w:t>bere v procesu kompozice individuální formu danou v látce</w:t>
      </w:r>
      <w:r w:rsidR="00FE13F7">
        <w:t xml:space="preserve"> třetího druhu, kterou poprvé tematizoval Avicebron</w:t>
      </w:r>
      <w:r w:rsidR="004C27BA">
        <w:fldChar w:fldCharType="begin"/>
      </w:r>
      <w:r w:rsidR="004C27BA">
        <w:instrText xml:space="preserve"> XE "</w:instrText>
      </w:r>
      <w:r w:rsidR="004C27BA" w:rsidRPr="006968B2">
        <w:instrText>Avicebron</w:instrText>
      </w:r>
      <w:r w:rsidR="004C27BA">
        <w:instrText xml:space="preserve">" </w:instrText>
      </w:r>
      <w:r w:rsidR="004C27BA">
        <w:fldChar w:fldCharType="end"/>
      </w:r>
      <w:r w:rsidR="080B61C9">
        <w:t xml:space="preserve"> (kap. 3</w:t>
      </w:r>
      <w:r w:rsidR="00FE13F7">
        <w:t>.2)</w:t>
      </w:r>
      <w:r w:rsidR="00FE13F7" w:rsidRPr="00273106">
        <w:t xml:space="preserve">. </w:t>
      </w:r>
      <w:r w:rsidR="00B976E1">
        <w:t>M</w:t>
      </w:r>
      <w:r w:rsidR="08F2619F">
        <w:t>oderní jednotlivina</w:t>
      </w:r>
      <w:r w:rsidR="00215F77">
        <w:t xml:space="preserve"> vznikl</w:t>
      </w:r>
      <w:r w:rsidR="00B976E1">
        <w:t xml:space="preserve">a jako entita </w:t>
      </w:r>
      <w:r w:rsidR="08F2619F">
        <w:t>(</w:t>
      </w:r>
      <w:r w:rsidR="08F2619F" w:rsidRPr="00527F0A">
        <w:rPr>
          <w:i/>
        </w:rPr>
        <w:t>res</w:t>
      </w:r>
      <w:r w:rsidR="08F2619F">
        <w:t>) třetího druhu</w:t>
      </w:r>
      <w:r w:rsidR="00FE13F7">
        <w:t xml:space="preserve"> </w:t>
      </w:r>
      <w:r w:rsidR="00FE13F7" w:rsidRPr="00273106">
        <w:t>daná objektivně</w:t>
      </w:r>
      <w:r w:rsidR="00664AD2">
        <w:fldChar w:fldCharType="begin"/>
      </w:r>
      <w:r w:rsidR="00664AD2">
        <w:instrText xml:space="preserve"> XE "</w:instrText>
      </w:r>
      <w:r w:rsidR="00664AD2" w:rsidRPr="00FB4212">
        <w:instrText xml:space="preserve">věc:objektivní </w:instrText>
      </w:r>
      <w:r w:rsidR="00664AD2" w:rsidRPr="00664AD2">
        <w:rPr>
          <w:i/>
        </w:rPr>
        <w:instrText>res</w:instrText>
      </w:r>
      <w:r w:rsidR="00664AD2">
        <w:instrText xml:space="preserve">" </w:instrText>
      </w:r>
      <w:r w:rsidR="00664AD2">
        <w:fldChar w:fldCharType="end"/>
      </w:r>
      <w:r w:rsidR="00C22738">
        <w:t>.</w:t>
      </w:r>
    </w:p>
    <w:p w14:paraId="0E81F5E9" w14:textId="307C0265" w:rsidR="00645D48" w:rsidRDefault="00FE13F7" w:rsidP="009D1732">
      <w:pPr>
        <w:ind w:firstLine="397"/>
      </w:pPr>
      <w:r w:rsidRPr="00273106">
        <w:t>Procesu redukce reálných prvních substancí na jejich objektivně dané principy (</w:t>
      </w:r>
      <w:r w:rsidRPr="00273106">
        <w:rPr>
          <w:i/>
        </w:rPr>
        <w:t>resolutio</w:t>
      </w:r>
      <w:r w:rsidRPr="00273106">
        <w:t xml:space="preserve">) odpovídá opačný proces aktualizace těchto exemplarů </w:t>
      </w:r>
      <w:r w:rsidR="085D39B6">
        <w:t xml:space="preserve">vyvedených od </w:t>
      </w:r>
      <w:r w:rsidR="00A91688">
        <w:t xml:space="preserve">moderního </w:t>
      </w:r>
      <w:r w:rsidR="085D39B6">
        <w:t xml:space="preserve">boha </w:t>
      </w:r>
      <w:r w:rsidRPr="00273106">
        <w:t>do zde a nyní dané reálné existence (</w:t>
      </w:r>
      <w:r w:rsidR="08E139DA" w:rsidRPr="08E139DA">
        <w:rPr>
          <w:i/>
        </w:rPr>
        <w:t>reductio</w:t>
      </w:r>
      <w:r w:rsidRPr="00273106">
        <w:t>)</w:t>
      </w:r>
      <w:r w:rsidR="00E454A9">
        <w:t xml:space="preserve"> aktualizované v materii</w:t>
      </w:r>
      <w:r w:rsidRPr="00273106">
        <w:t xml:space="preserve">. Oba procesy jsou univoční, protože jde o jednu a tutéž hypostázovanou formu porretánů. </w:t>
      </w:r>
      <w:r w:rsidR="007D78FB">
        <w:t xml:space="preserve">Katabázi forem do nižší reality </w:t>
      </w:r>
      <w:r w:rsidR="08170FE4" w:rsidRPr="00273106">
        <w:t>(</w:t>
      </w:r>
      <w:r w:rsidR="08FB69D4" w:rsidRPr="08E139DA">
        <w:rPr>
          <w:i/>
        </w:rPr>
        <w:t>reductio</w:t>
      </w:r>
      <w:r w:rsidR="08170FE4" w:rsidRPr="00273106">
        <w:t xml:space="preserve">) </w:t>
      </w:r>
      <w:r w:rsidR="007D78FB">
        <w:t>musí doplnit anabáze intelektu do světa objektivních forem (</w:t>
      </w:r>
      <w:r w:rsidR="007D78FB" w:rsidRPr="004D74AA">
        <w:rPr>
          <w:i/>
        </w:rPr>
        <w:t>illuminatio</w:t>
      </w:r>
      <w:r w:rsidR="00664AD2">
        <w:rPr>
          <w:i/>
        </w:rPr>
        <w:fldChar w:fldCharType="begin"/>
      </w:r>
      <w:r w:rsidR="00664AD2">
        <w:instrText xml:space="preserve"> XE "</w:instrText>
      </w:r>
      <w:r w:rsidR="00664AD2" w:rsidRPr="00B17748">
        <w:instrText>iluminace</w:instrText>
      </w:r>
      <w:r w:rsidR="00664AD2">
        <w:instrText xml:space="preserve">" </w:instrText>
      </w:r>
      <w:r w:rsidR="00664AD2">
        <w:rPr>
          <w:i/>
        </w:rPr>
        <w:fldChar w:fldCharType="end"/>
      </w:r>
      <w:r w:rsidR="007D78FB">
        <w:t>). P</w:t>
      </w:r>
      <w:r w:rsidR="007D78FB" w:rsidRPr="00273106">
        <w:t xml:space="preserve">oznání </w:t>
      </w:r>
      <w:r w:rsidR="007D78FB">
        <w:t>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7D78FB">
        <w:t xml:space="preserve"> </w:t>
      </w:r>
      <w:r w:rsidR="007D78FB" w:rsidRPr="00273106">
        <w:t xml:space="preserve">musí v aktu čistého náhledu přivést kontingentní existenci </w:t>
      </w:r>
      <w:r w:rsidR="007D78FB">
        <w:t xml:space="preserve">upadlé formy </w:t>
      </w:r>
      <w:r w:rsidR="007D78FB" w:rsidRPr="00273106">
        <w:t xml:space="preserve">zpět </w:t>
      </w:r>
      <w:r w:rsidR="007D78FB">
        <w:t>k její ideální formě</w:t>
      </w:r>
      <w:r w:rsidR="007D78FB" w:rsidRPr="00273106">
        <w:t xml:space="preserve"> (</w:t>
      </w:r>
      <w:r w:rsidR="007D78FB" w:rsidRPr="00273106">
        <w:rPr>
          <w:i/>
        </w:rPr>
        <w:t>resolutio</w:t>
      </w:r>
      <w:r w:rsidR="007D78FB" w:rsidRPr="00273106">
        <w:t xml:space="preserve">). </w:t>
      </w:r>
      <w:r w:rsidR="00A24E6A">
        <w:t xml:space="preserve">Kompozice individua vzniká </w:t>
      </w:r>
      <w:r w:rsidR="00995AE9" w:rsidRPr="00273106">
        <w:t xml:space="preserve">v procesu akcidentální aktualizace </w:t>
      </w:r>
      <w:r w:rsidR="00336001">
        <w:t xml:space="preserve">(čili „exsistence“) </w:t>
      </w:r>
      <w:r w:rsidR="0000609B">
        <w:t xml:space="preserve">již dané </w:t>
      </w:r>
      <w:r w:rsidR="00995AE9" w:rsidRPr="00273106">
        <w:t>objektivní formy</w:t>
      </w:r>
      <w:r w:rsidR="0097135A">
        <w:t xml:space="preserve">. Tato forma </w:t>
      </w:r>
      <w:r w:rsidR="00A97775">
        <w:t xml:space="preserve">původně </w:t>
      </w:r>
      <w:r w:rsidR="0097135A">
        <w:t>existuje v mysli moderního boha</w:t>
      </w:r>
      <w:r w:rsidR="00A97775">
        <w:t xml:space="preserve"> jako exemplar</w:t>
      </w:r>
      <w:r w:rsidR="00CF6987">
        <w:fldChar w:fldCharType="begin"/>
      </w:r>
      <w:r w:rsidR="00CF6987">
        <w:instrText xml:space="preserve"> XE "</w:instrText>
      </w:r>
      <w:r w:rsidR="00CF6987" w:rsidRPr="009C3A28">
        <w:instrText>exemplar</w:instrText>
      </w:r>
      <w:r w:rsidR="00CF6987">
        <w:instrText xml:space="preserve">" </w:instrText>
      </w:r>
      <w:r w:rsidR="00CF6987">
        <w:fldChar w:fldCharType="end"/>
      </w:r>
      <w:r w:rsidR="00995AE9" w:rsidRPr="00273106">
        <w:t xml:space="preserve">. </w:t>
      </w:r>
      <w:r w:rsidR="00AB0BDD">
        <w:t>V </w:t>
      </w:r>
      <w:r w:rsidR="006B2111">
        <w:t>říši</w:t>
      </w:r>
      <w:r w:rsidR="00AB0BDD">
        <w:t xml:space="preserve"> ontoteologie jsou </w:t>
      </w:r>
      <w:r w:rsidR="00694633">
        <w:t xml:space="preserve">exemplary dány v hypostázované boží mysli věčně a </w:t>
      </w:r>
      <w:r w:rsidR="00694633">
        <w:lastRenderedPageBreak/>
        <w:t>evidentně, zatímco smyslová realita existuje pouze smy</w:t>
      </w:r>
      <w:r w:rsidR="08C70901">
        <w:t>s</w:t>
      </w:r>
      <w:r w:rsidR="00694633">
        <w:t xml:space="preserve">lově a kontigentně. </w:t>
      </w:r>
      <w:r w:rsidR="00694633" w:rsidRPr="00403135">
        <w:t xml:space="preserve">Tato dvojí operace sestupu forem </w:t>
      </w:r>
      <w:r w:rsidR="08421B1E" w:rsidRPr="00403135">
        <w:t xml:space="preserve">z diakosmu </w:t>
      </w:r>
      <w:r w:rsidR="00694633" w:rsidRPr="00403135">
        <w:t xml:space="preserve">a výstupu intelektu </w:t>
      </w:r>
      <w:r w:rsidR="08421B1E" w:rsidRPr="00403135">
        <w:t xml:space="preserve">do diakosmu </w:t>
      </w:r>
      <w:r w:rsidR="00694633" w:rsidRPr="00403135">
        <w:t xml:space="preserve">produkuje </w:t>
      </w:r>
      <w:r w:rsidR="00403135" w:rsidRPr="00403135">
        <w:t xml:space="preserve">mytologické </w:t>
      </w:r>
      <w:r w:rsidR="00694633" w:rsidRPr="00403135">
        <w:t xml:space="preserve">vidění </w:t>
      </w:r>
      <w:r w:rsidR="00107BD2">
        <w:t xml:space="preserve">zásvětí </w:t>
      </w:r>
      <w:r w:rsidR="006E5ECE">
        <w:t>(</w:t>
      </w:r>
      <w:r w:rsidR="006E5ECE">
        <w:rPr>
          <w:i/>
          <w:lang w:eastAsia="en-US"/>
        </w:rPr>
        <w:t>mundu</w:t>
      </w:r>
      <w:r w:rsidR="006E5ECE" w:rsidRPr="00D45A15">
        <w:rPr>
          <w:i/>
          <w:lang w:eastAsia="en-US"/>
        </w:rPr>
        <w:t>s imaginalis</w:t>
      </w:r>
      <w:r w:rsidR="006109F5">
        <w:rPr>
          <w:lang w:eastAsia="en-US"/>
        </w:rPr>
        <w:t>;</w:t>
      </w:r>
      <w:r w:rsidR="006E5ECE">
        <w:rPr>
          <w:i/>
          <w:lang w:eastAsia="en-US"/>
        </w:rPr>
        <w:fldChar w:fldCharType="begin"/>
      </w:r>
      <w:r w:rsidR="006E5ECE">
        <w:instrText xml:space="preserve"> XE "</w:instrText>
      </w:r>
      <w:r w:rsidR="006E5ECE" w:rsidRPr="00C97835">
        <w:rPr>
          <w:i/>
          <w:lang w:eastAsia="en-US"/>
        </w:rPr>
        <w:instrText>mundus imaginalis</w:instrText>
      </w:r>
      <w:r w:rsidR="006E5ECE">
        <w:instrText xml:space="preserve">" </w:instrText>
      </w:r>
      <w:r w:rsidR="006E5ECE">
        <w:rPr>
          <w:i/>
          <w:lang w:eastAsia="en-US"/>
        </w:rPr>
        <w:fldChar w:fldCharType="end"/>
      </w:r>
      <w:r w:rsidR="006E5ECE">
        <w:rPr>
          <w:i/>
          <w:lang w:eastAsia="en-US"/>
        </w:rPr>
        <w:t xml:space="preserve"> </w:t>
      </w:r>
      <w:r w:rsidR="006E5ECE">
        <w:rPr>
          <w:lang w:eastAsia="en-US"/>
        </w:rPr>
        <w:t>OBJ I, kap. 2.3.3</w:t>
      </w:r>
      <w:r w:rsidR="006E5ECE">
        <w:t>)</w:t>
      </w:r>
      <w:r w:rsidR="00AB53AA">
        <w:t>. Jedná se o dvojí</w:t>
      </w:r>
      <w:r w:rsidR="00694633" w:rsidRPr="00403135">
        <w:t xml:space="preserve"> </w:t>
      </w:r>
      <w:r w:rsidR="08B45453" w:rsidRPr="00403135">
        <w:t xml:space="preserve">nazírání </w:t>
      </w:r>
      <w:r w:rsidR="00AB53AA">
        <w:t xml:space="preserve">objektivní reality jako </w:t>
      </w:r>
      <w:r w:rsidR="00AB53AA" w:rsidRPr="0074120E">
        <w:rPr>
          <w:i/>
          <w:szCs w:val="24"/>
        </w:rPr>
        <w:t>tertium ens</w:t>
      </w:r>
      <w:r w:rsidR="00694633" w:rsidRPr="00403135">
        <w:t xml:space="preserve">. Buď je </w:t>
      </w:r>
      <w:r w:rsidR="0035273C" w:rsidRPr="00403135">
        <w:t xml:space="preserve">smysl jsoucna </w:t>
      </w:r>
      <w:r w:rsidR="0074267E" w:rsidRPr="00403135">
        <w:t xml:space="preserve">trvale </w:t>
      </w:r>
      <w:r w:rsidR="00403135" w:rsidRPr="00403135">
        <w:t xml:space="preserve">určen </w:t>
      </w:r>
      <w:r w:rsidR="00694633" w:rsidRPr="00403135">
        <w:t xml:space="preserve">v modelu teoretických </w:t>
      </w:r>
      <w:r w:rsidR="00403135" w:rsidRPr="00403135">
        <w:t xml:space="preserve">věd, které </w:t>
      </w:r>
      <w:r w:rsidR="00694633" w:rsidRPr="00403135">
        <w:t xml:space="preserve">přímo </w:t>
      </w:r>
      <w:r w:rsidR="00403135" w:rsidRPr="00403135">
        <w:t xml:space="preserve">nazírají </w:t>
      </w:r>
      <w:r w:rsidR="00F40E35">
        <w:t xml:space="preserve">věčné </w:t>
      </w:r>
      <w:r w:rsidR="00403135" w:rsidRPr="00403135">
        <w:t xml:space="preserve">exemplary. Nebo máme empirickou formu </w:t>
      </w:r>
      <w:r w:rsidR="0074267E" w:rsidRPr="00403135">
        <w:t xml:space="preserve">Grossetesteho </w:t>
      </w:r>
      <w:r w:rsidR="00694633" w:rsidRPr="00FF6BEF">
        <w:rPr>
          <w:i/>
        </w:rPr>
        <w:t>scientia</w:t>
      </w:r>
      <w:r w:rsidR="00CF6987" w:rsidRPr="00403135">
        <w:fldChar w:fldCharType="begin"/>
      </w:r>
      <w:r w:rsidR="00CF6987" w:rsidRPr="00403135">
        <w:instrText xml:space="preserve"> XE "druhý averroismus:scientia" </w:instrText>
      </w:r>
      <w:r w:rsidR="00CF6987" w:rsidRPr="00403135">
        <w:fldChar w:fldCharType="end"/>
      </w:r>
      <w:r w:rsidR="00403135" w:rsidRPr="00403135">
        <w:t xml:space="preserve">, kdy hypostázované formy dedukujeme z </w:t>
      </w:r>
      <w:r w:rsidR="0074267E" w:rsidRPr="00403135">
        <w:t xml:space="preserve">kontingentně </w:t>
      </w:r>
      <w:r w:rsidR="00403135" w:rsidRPr="00403135">
        <w:t xml:space="preserve">existujících </w:t>
      </w:r>
      <w:r w:rsidR="00694633" w:rsidRPr="00403135">
        <w:t>první</w:t>
      </w:r>
      <w:r w:rsidR="00403135" w:rsidRPr="00403135">
        <w:t>ch</w:t>
      </w:r>
      <w:r w:rsidR="00694633" w:rsidRPr="00403135">
        <w:t xml:space="preserve"> </w:t>
      </w:r>
      <w:r w:rsidR="00403135" w:rsidRPr="00403135">
        <w:t>substancí</w:t>
      </w:r>
      <w:r w:rsidR="00694633" w:rsidRPr="00403135">
        <w:t>.</w:t>
      </w:r>
      <w:r w:rsidR="00694633">
        <w:t xml:space="preserve"> </w:t>
      </w:r>
      <w:r w:rsidR="08F425D4">
        <w:t>Objektivní k</w:t>
      </w:r>
      <w:r w:rsidR="00143E74">
        <w:t xml:space="preserve">ompozice smyslově poznané věci a její objektivní dedukce </w:t>
      </w:r>
      <w:r w:rsidR="08F425D4">
        <w:t xml:space="preserve">pak </w:t>
      </w:r>
      <w:r w:rsidR="00143E74">
        <w:t xml:space="preserve">založí </w:t>
      </w:r>
      <w:r w:rsidR="00190486">
        <w:t xml:space="preserve">objektivně </w:t>
      </w:r>
      <w:r w:rsidR="00143E74">
        <w:t xml:space="preserve">pravdivou </w:t>
      </w:r>
      <w:r w:rsidR="00995AE9" w:rsidRPr="00273106">
        <w:t>první substanci</w:t>
      </w:r>
      <w:r w:rsidR="00143E74">
        <w:t xml:space="preserve"> ve smyslu Avicennova </w:t>
      </w:r>
      <w:r w:rsidR="00143E74" w:rsidRPr="00143E74">
        <w:rPr>
          <w:i/>
        </w:rPr>
        <w:t>certitudo</w:t>
      </w:r>
      <w:r w:rsidR="00143E74">
        <w:t xml:space="preserve"> a Anselmova </w:t>
      </w:r>
      <w:r w:rsidR="00143E74" w:rsidRPr="00143E74">
        <w:rPr>
          <w:i/>
        </w:rPr>
        <w:t>rectitudo</w:t>
      </w:r>
      <w:r w:rsidR="00143E74">
        <w:t xml:space="preserve">. </w:t>
      </w:r>
      <w:r w:rsidR="007A5B8E">
        <w:t xml:space="preserve">Analogické sloučení původně dvojího významu </w:t>
      </w:r>
      <w:r w:rsidR="007A5B8E" w:rsidRPr="00273106">
        <w:rPr>
          <w:i/>
        </w:rPr>
        <w:t>inesse</w:t>
      </w:r>
      <w:r w:rsidR="00215646">
        <w:rPr>
          <w:i/>
        </w:rPr>
        <w:fldChar w:fldCharType="begin"/>
      </w:r>
      <w:r w:rsidR="00215646">
        <w:instrText xml:space="preserve"> XE "esence:</w:instrText>
      </w:r>
      <w:r w:rsidR="00215646" w:rsidRPr="00CF4ADF">
        <w:rPr>
          <w:i/>
        </w:rPr>
        <w:instrText>in</w:instrText>
      </w:r>
      <w:r w:rsidR="00CF4ADF" w:rsidRPr="00CF4ADF">
        <w:rPr>
          <w:i/>
        </w:rPr>
        <w:instrText>esse</w:instrText>
      </w:r>
      <w:r w:rsidR="00215646">
        <w:instrText xml:space="preserve">" </w:instrText>
      </w:r>
      <w:r w:rsidR="00215646">
        <w:rPr>
          <w:i/>
        </w:rPr>
        <w:fldChar w:fldCharType="end"/>
      </w:r>
      <w:r w:rsidR="007A5B8E" w:rsidRPr="00273106">
        <w:t xml:space="preserve"> </w:t>
      </w:r>
      <w:r w:rsidR="007A5B8E">
        <w:t>způsobilo, že p</w:t>
      </w:r>
      <w:r w:rsidR="007A5B8E" w:rsidRPr="00273106">
        <w:t>rimát existence (εἰ ἔστι) před esencí (τί ἐ</w:t>
      </w:r>
      <w:r w:rsidR="08245B1F">
        <w:t>στι</w:t>
      </w:r>
      <w:r w:rsidR="007A5B8E" w:rsidRPr="00273106">
        <w:t xml:space="preserve">) </w:t>
      </w:r>
      <w:r w:rsidR="007A5B8E">
        <w:t xml:space="preserve">ztratil původní význam bráněný ve </w:t>
      </w:r>
      <w:r w:rsidR="007A5B8E" w:rsidRPr="003123D5">
        <w:rPr>
          <w:i/>
        </w:rPr>
        <w:t>Druhých analytikách</w:t>
      </w:r>
      <w:r w:rsidR="08245B1F">
        <w:t xml:space="preserve"> (kap. 3</w:t>
      </w:r>
      <w:r w:rsidR="007A5B8E">
        <w:t xml:space="preserve">.1.1). </w:t>
      </w:r>
      <w:r w:rsidR="00774CBB" w:rsidRPr="00273106">
        <w:t>Tím vznikl nový model diskrétního vidění světa, v němž lze realita skládat a rozkládat</w:t>
      </w:r>
      <w:r w:rsidR="00F86117" w:rsidRPr="00273106">
        <w:t>,</w:t>
      </w:r>
      <w:r w:rsidR="00774CBB" w:rsidRPr="00273106">
        <w:t xml:space="preserve"> podle </w:t>
      </w:r>
      <w:r w:rsidR="00F86117" w:rsidRPr="00273106">
        <w:t xml:space="preserve">proměnlivých potřeb </w:t>
      </w:r>
      <w:r w:rsidR="00302C87">
        <w:t>moderního subjektu.</w:t>
      </w:r>
      <w:r w:rsidR="00990218">
        <w:t xml:space="preserve"> </w:t>
      </w:r>
      <w:r w:rsidR="08870362">
        <w:t>Anonym</w:t>
      </w:r>
      <w:r w:rsidR="00657D26">
        <w:t>ní autor</w:t>
      </w:r>
      <w:r w:rsidR="08870362">
        <w:t xml:space="preserve"> </w:t>
      </w:r>
      <w:r w:rsidR="00BD2D42" w:rsidRPr="004C3D85">
        <w:rPr>
          <w:i/>
        </w:rPr>
        <w:t xml:space="preserve">Summa philosophiae </w:t>
      </w:r>
      <w:r w:rsidR="08870362">
        <w:t>vytvořil paralelní hylemorfickou substanci</w:t>
      </w:r>
      <w:r w:rsidR="08870362">
        <w:fldChar w:fldCharType="begin"/>
      </w:r>
      <w:r w:rsidR="08870362">
        <w:instrText xml:space="preserve"> XE "</w:instrText>
      </w:r>
      <w:r w:rsidR="08870362" w:rsidRPr="00BC024A">
        <w:instrText>univerzální hylemorfismus</w:instrText>
      </w:r>
      <w:r w:rsidR="08870362">
        <w:instrText xml:space="preserve">" </w:instrText>
      </w:r>
      <w:r w:rsidR="08870362">
        <w:fldChar w:fldCharType="end"/>
      </w:r>
      <w:r w:rsidR="08870362">
        <w:t>, kterou odsoudil Albert jako naprostý nesmysl (</w:t>
      </w:r>
      <w:r w:rsidR="08870362" w:rsidRPr="00273106">
        <w:rPr>
          <w:i/>
        </w:rPr>
        <w:t>non reputo opinionem, sed ridiculum</w:t>
      </w:r>
      <w:r w:rsidR="08245B1F">
        <w:t>, kap. 2</w:t>
      </w:r>
      <w:r w:rsidR="08870362">
        <w:t xml:space="preserve">.4.3). Mysl </w:t>
      </w:r>
      <w:r w:rsidR="00BD0F86">
        <w:t>iluminátů</w:t>
      </w:r>
      <w:r w:rsidR="08870362">
        <w:t xml:space="preserve"> </w:t>
      </w:r>
      <w:r w:rsidR="00BD0F86">
        <w:t>je substančně oddělená od těla. Proto mohou</w:t>
      </w:r>
      <w:r w:rsidR="08870362">
        <w:t xml:space="preserve"> stejně jako Bonaventura a celá karteziánská postmoderna chodit nahoru (</w:t>
      </w:r>
      <w:r w:rsidR="08870362" w:rsidRPr="00237A0D">
        <w:rPr>
          <w:i/>
        </w:rPr>
        <w:t>resolutio</w:t>
      </w:r>
      <w:r w:rsidR="08870362">
        <w:rPr>
          <w:i/>
        </w:rPr>
        <w:fldChar w:fldCharType="begin"/>
      </w:r>
      <w:r w:rsidR="08870362">
        <w:instrText xml:space="preserve"> XE "</w:instrText>
      </w:r>
      <w:r w:rsidR="08870362" w:rsidRPr="00111E9E">
        <w:rPr>
          <w:i/>
        </w:rPr>
        <w:instrText>resolutio</w:instrText>
      </w:r>
      <w:r w:rsidR="08870362">
        <w:rPr>
          <w:i/>
        </w:rPr>
        <w:instrText>:</w:instrText>
      </w:r>
      <w:r w:rsidR="08870362">
        <w:instrText xml:space="preserve">Bonaventura" </w:instrText>
      </w:r>
      <w:r w:rsidR="08870362">
        <w:rPr>
          <w:i/>
        </w:rPr>
        <w:fldChar w:fldCharType="end"/>
      </w:r>
      <w:r w:rsidR="08870362">
        <w:t>) a dolů (</w:t>
      </w:r>
      <w:r w:rsidR="085B5C6F" w:rsidRPr="08E139DA">
        <w:rPr>
          <w:i/>
        </w:rPr>
        <w:t>reductio</w:t>
      </w:r>
      <w:r w:rsidR="08870362">
        <w:t>) po Jakubově mystickém žebříku objektivně pojatých jsoucen</w:t>
      </w:r>
      <w:r w:rsidR="08870362">
        <w:fldChar w:fldCharType="begin"/>
      </w:r>
      <w:r w:rsidR="08870362">
        <w:instrText xml:space="preserve"> XE "</w:instrText>
      </w:r>
      <w:r w:rsidR="08870362" w:rsidRPr="000679D8">
        <w:instrText>objektivita:celku jsoucna</w:instrText>
      </w:r>
      <w:r w:rsidR="08870362">
        <w:instrText xml:space="preserve">" </w:instrText>
      </w:r>
      <w:r w:rsidR="08870362">
        <w:fldChar w:fldCharType="end"/>
      </w:r>
      <w:r w:rsidR="08870362">
        <w:t xml:space="preserve">. </w:t>
      </w:r>
      <w:r w:rsidR="08031212">
        <w:t>Tímto chaotickou odyseou moderního intelektu-slunce pod vedením Fúrií vznikla moderna</w:t>
      </w:r>
      <w:r w:rsidR="004E76E9">
        <w:t>. O</w:t>
      </w:r>
      <w:r w:rsidR="08031212">
        <w:t xml:space="preserve">dysseus </w:t>
      </w:r>
      <w:r w:rsidR="004E76E9">
        <w:t xml:space="preserve">sledoval cestu slunce, aby přišel </w:t>
      </w:r>
      <w:r w:rsidR="08031212">
        <w:t>zpět do rodné Ithaky</w:t>
      </w:r>
      <w:r w:rsidR="004E76E9">
        <w:t>; stejným způsobem D</w:t>
      </w:r>
      <w:r w:rsidR="08031212">
        <w:t xml:space="preserve">ante </w:t>
      </w:r>
      <w:r w:rsidR="004E76E9">
        <w:t xml:space="preserve">přišel </w:t>
      </w:r>
      <w:r w:rsidR="08031212">
        <w:t>k Sigerovi jako vrcholn</w:t>
      </w:r>
      <w:r w:rsidR="082B0A86">
        <w:t>ému filosofovi jeho doby (OBJ III, kap. 4</w:t>
      </w:r>
      <w:r w:rsidR="08031212">
        <w:t xml:space="preserve">.4). </w:t>
      </w:r>
      <w:r w:rsidR="08870362">
        <w:t xml:space="preserve">Citát ukazuje objektivní vizi paranoického světa složeného z ideální materie </w:t>
      </w:r>
      <w:r w:rsidR="08870362" w:rsidRPr="00273106">
        <w:rPr>
          <w:rStyle w:val="Zkladntextdkovn0pt"/>
          <w:rFonts w:ascii="Calibri" w:eastAsia="Times" w:hAnsi="Calibri" w:cs="Times New Roman"/>
          <w:spacing w:val="0"/>
          <w:sz w:val="22"/>
          <w:u w:val="none"/>
          <w:lang w:val="cs-CZ"/>
        </w:rPr>
        <w:t>(</w:t>
      </w:r>
      <w:r w:rsidR="08870362" w:rsidRPr="00273106">
        <w:rPr>
          <w:i/>
        </w:rPr>
        <w:t>re in pura potentia</w:t>
      </w:r>
      <w:r w:rsidR="08870362" w:rsidRPr="00251CA1">
        <w:t>) a ideální esence (</w:t>
      </w:r>
      <w:r w:rsidR="08870362" w:rsidRPr="00251CA1">
        <w:rPr>
          <w:i/>
        </w:rPr>
        <w:t>forma essentiali</w:t>
      </w:r>
      <w:r w:rsidR="08870362" w:rsidRPr="00251CA1">
        <w:t xml:space="preserve">). Tyto dvě hypostáze </w:t>
      </w:r>
      <w:r w:rsidR="08870362">
        <w:t>se spojí do atomární substance (</w:t>
      </w:r>
      <w:r w:rsidR="08870362" w:rsidRPr="006345F8">
        <w:rPr>
          <w:i/>
        </w:rPr>
        <w:t>individuum</w:t>
      </w:r>
      <w:r w:rsidR="08870362">
        <w:t xml:space="preserve">) a </w:t>
      </w:r>
      <w:r w:rsidR="08870362" w:rsidRPr="00251CA1">
        <w:t>pak dostano</w:t>
      </w:r>
      <w:r w:rsidR="08870362">
        <w:t xml:space="preserve">u kontingentní výskyt ve světě </w:t>
      </w:r>
      <w:r w:rsidR="08870362" w:rsidRPr="0060604B">
        <w:t>(</w:t>
      </w:r>
      <w:r w:rsidR="08870362" w:rsidRPr="008E2202">
        <w:rPr>
          <w:i/>
        </w:rPr>
        <w:t>res materiata</w:t>
      </w:r>
      <w:r w:rsidR="08870362" w:rsidRPr="0060604B">
        <w:t>).</w:t>
      </w:r>
      <w:r w:rsidR="08870362">
        <w:t xml:space="preserve"> </w:t>
      </w:r>
      <w:r w:rsidR="00990218">
        <w:t xml:space="preserve">Moderna a postmoderna realitu </w:t>
      </w:r>
      <w:r w:rsidR="003123D5">
        <w:t xml:space="preserve">světa </w:t>
      </w:r>
      <w:r w:rsidR="00990218">
        <w:t>nepoznává, ale dedukuje</w:t>
      </w:r>
      <w:r w:rsidR="08A325C5">
        <w:t xml:space="preserve"> a redukuje</w:t>
      </w:r>
      <w:r w:rsidR="00990218">
        <w:t xml:space="preserve">, čili </w:t>
      </w:r>
      <w:r w:rsidR="08A325C5">
        <w:t xml:space="preserve">demiurgicky </w:t>
      </w:r>
      <w:r w:rsidR="00990218">
        <w:t xml:space="preserve">vyvádí z objektivně daných forem poznání. </w:t>
      </w:r>
      <w:r w:rsidR="00E10ADE" w:rsidRPr="00E10ADE">
        <w:t>Nakonec jsme dospěli ke smrti moderního Boha</w:t>
      </w:r>
      <w:r w:rsidR="00E10ADE">
        <w:rPr>
          <w:color w:val="000000"/>
        </w:rPr>
        <w:fldChar w:fldCharType="begin"/>
      </w:r>
      <w:r w:rsidR="00E10ADE">
        <w:instrText xml:space="preserve"> XE "smrt boha" </w:instrText>
      </w:r>
      <w:r w:rsidR="00E10ADE">
        <w:rPr>
          <w:color w:val="000000"/>
        </w:rPr>
        <w:fldChar w:fldCharType="end"/>
      </w:r>
      <w:r w:rsidR="00E10ADE" w:rsidRPr="00E10ADE">
        <w:t>, který se zabil v procesu neudržitelné dedukce. Podle Nietzscheho</w:t>
      </w:r>
      <w:r w:rsidR="00E10ADE">
        <w:fldChar w:fldCharType="begin"/>
      </w:r>
      <w:r w:rsidR="00E10ADE">
        <w:instrText xml:space="preserve"> XE "</w:instrText>
      </w:r>
      <w:r w:rsidR="00E10ADE" w:rsidRPr="003F6C12">
        <w:instrText>Nietzsche, F.</w:instrText>
      </w:r>
      <w:r w:rsidR="00E10ADE">
        <w:instrText xml:space="preserve">" </w:instrText>
      </w:r>
      <w:r w:rsidR="00E10ADE">
        <w:fldChar w:fldCharType="end"/>
      </w:r>
      <w:r w:rsidR="00E10ADE" w:rsidRPr="00E10ADE">
        <w:t xml:space="preserve"> se moderní Bůh udusil moderní teologií</w:t>
      </w:r>
      <w:r w:rsidR="00E10ADE">
        <w:t>, což je tragikomický, ale objektivně nutný proces</w:t>
      </w:r>
      <w:r w:rsidR="00E10ADE" w:rsidRPr="00E10ADE">
        <w:t>. Po jeho smrti tyto věčné formy dodává matematika</w:t>
      </w:r>
      <w:r w:rsidR="009D1732">
        <w:fldChar w:fldCharType="begin"/>
      </w:r>
      <w:r w:rsidR="009D1732">
        <w:instrText xml:space="preserve"> XE "</w:instrText>
      </w:r>
      <w:r w:rsidR="009D1732" w:rsidRPr="00DC040D">
        <w:instrText>matematika</w:instrText>
      </w:r>
      <w:r w:rsidR="009D1732">
        <w:instrText xml:space="preserve">" </w:instrText>
      </w:r>
      <w:r w:rsidR="009D1732">
        <w:fldChar w:fldCharType="end"/>
      </w:r>
      <w:r w:rsidR="009D1732">
        <w:t xml:space="preserve">. </w:t>
      </w:r>
      <w:r w:rsidR="00990218">
        <w:t xml:space="preserve">Dnešní neostrukturalistické postmoderně v nihilistické epoše myšlení </w:t>
      </w:r>
      <w:r w:rsidR="087B0A90">
        <w:t xml:space="preserve">a finančních derivátů </w:t>
      </w:r>
      <w:r w:rsidR="00990218">
        <w:t xml:space="preserve">stačí </w:t>
      </w:r>
      <w:r w:rsidR="087B0A90">
        <w:t xml:space="preserve">k objektivní dedukci </w:t>
      </w:r>
      <w:r w:rsidR="00990218">
        <w:t>jen metaforický pohyb významu daný binárním rozdílem jedničky a nuly.</w:t>
      </w:r>
    </w:p>
    <w:p w14:paraId="5279F2D3" w14:textId="39A00C09" w:rsidR="00D848A4" w:rsidRDefault="00ED46D7" w:rsidP="00C22738">
      <w:pPr>
        <w:ind w:firstLine="397"/>
      </w:pPr>
      <w:r>
        <w:lastRenderedPageBreak/>
        <w:t>S</w:t>
      </w:r>
      <w:r w:rsidR="00433A2E" w:rsidRPr="00273106">
        <w:t xml:space="preserve">ofistika </w:t>
      </w:r>
      <w:r w:rsidR="08673B32">
        <w:t xml:space="preserve">spekulativní </w:t>
      </w:r>
      <w:r w:rsidR="00433A2E" w:rsidRPr="00273106">
        <w:t xml:space="preserve">moderny </w:t>
      </w:r>
      <w:r w:rsidR="08673B32">
        <w:t xml:space="preserve">vytvářející objektivně věrohodné simulákrum reality </w:t>
      </w:r>
      <w:r w:rsidR="00433A2E" w:rsidRPr="00273106">
        <w:t xml:space="preserve">má jeden drobný háček, na který </w:t>
      </w:r>
      <w:r w:rsidR="00DF37FA">
        <w:t>trvale upozorňoval</w:t>
      </w:r>
      <w:r w:rsidR="00433A2E" w:rsidRPr="00273106">
        <w:t xml:space="preserve"> první averroismus. F</w:t>
      </w:r>
      <w:r w:rsidR="00995AE9" w:rsidRPr="00273106">
        <w:t xml:space="preserve">ormální </w:t>
      </w:r>
      <w:r w:rsidR="00433A2E" w:rsidRPr="00273106">
        <w:t xml:space="preserve">a subsistentní </w:t>
      </w:r>
      <w:r w:rsidR="00995AE9" w:rsidRPr="00273106">
        <w:t xml:space="preserve">exemplar </w:t>
      </w:r>
      <w:r w:rsidR="00433A2E" w:rsidRPr="00273106">
        <w:t xml:space="preserve">neexistuje </w:t>
      </w:r>
      <w:r w:rsidR="00C653F3">
        <w:t xml:space="preserve">jako první substance, ale je dán pouze </w:t>
      </w:r>
      <w:r w:rsidR="00C653F3" w:rsidRPr="00C653F3">
        <w:rPr>
          <w:i/>
        </w:rPr>
        <w:t>obiective</w:t>
      </w:r>
      <w:r w:rsidR="00C653F3">
        <w:t>, čili jako intencionální předmět poznávající mysli</w:t>
      </w:r>
      <w:r w:rsidR="00995AE9" w:rsidRPr="00273106">
        <w:t xml:space="preserve">. </w:t>
      </w:r>
      <w:r w:rsidR="00CB5D30" w:rsidRPr="00273106">
        <w:t xml:space="preserve">Druhý averroismus </w:t>
      </w:r>
      <w:r w:rsidR="085D7A04">
        <w:t xml:space="preserve">naopak </w:t>
      </w:r>
      <w:r w:rsidR="00C766F3">
        <w:t>obhajoval</w:t>
      </w:r>
      <w:r w:rsidR="00CB5D30" w:rsidRPr="00273106">
        <w:t xml:space="preserve"> přímý náhled intelektu (</w:t>
      </w:r>
      <w:r w:rsidR="00CB5D30" w:rsidRPr="00273106">
        <w:rPr>
          <w:i/>
        </w:rPr>
        <w:t>per viam considerationis</w:t>
      </w:r>
      <w:r w:rsidR="00CB5D30" w:rsidRPr="00273106">
        <w:t xml:space="preserve">) na tak či onak dané </w:t>
      </w:r>
      <w:r w:rsidR="085D7A04">
        <w:t xml:space="preserve">substanční </w:t>
      </w:r>
      <w:r w:rsidR="00CB5D30" w:rsidRPr="00273106">
        <w:t xml:space="preserve">formy </w:t>
      </w:r>
      <w:r w:rsidR="00CB5D30">
        <w:t xml:space="preserve">manifestované </w:t>
      </w:r>
      <w:r w:rsidR="00CB5D30" w:rsidRPr="00273106">
        <w:t xml:space="preserve">v procesu </w:t>
      </w:r>
      <w:r w:rsidR="00CB5D30">
        <w:t xml:space="preserve">kompozice </w:t>
      </w:r>
      <w:r w:rsidR="00CB5D30" w:rsidRPr="00273106">
        <w:t xml:space="preserve">nebo resoluce. </w:t>
      </w:r>
      <w:r w:rsidR="085D7A04">
        <w:t>Aristotelismu</w:t>
      </w:r>
      <w:r w:rsidR="083873EE">
        <w:t>s</w:t>
      </w:r>
      <w:r w:rsidR="08286C51">
        <w:t xml:space="preserve"> odmítl</w:t>
      </w:r>
      <w:r w:rsidR="085D7A04">
        <w:t xml:space="preserve"> </w:t>
      </w:r>
      <w:r w:rsidR="00703BED">
        <w:t>„</w:t>
      </w:r>
      <w:r w:rsidR="085D7A04">
        <w:t>radostnou vědu</w:t>
      </w:r>
      <w:r w:rsidR="00703BED">
        <w:t>“</w:t>
      </w:r>
      <w:r w:rsidR="085D7A04">
        <w:t xml:space="preserve"> </w:t>
      </w:r>
      <w:r w:rsidR="083873EE">
        <w:t xml:space="preserve">paranoické </w:t>
      </w:r>
      <w:r w:rsidR="085D7A04">
        <w:t>moderny</w:t>
      </w:r>
      <w:r w:rsidR="08286C51">
        <w:t>. S</w:t>
      </w:r>
      <w:r w:rsidR="00995AE9" w:rsidRPr="00273106">
        <w:t xml:space="preserve">ubstanci třetího druhu </w:t>
      </w:r>
      <w:r w:rsidR="00CB5D30">
        <w:t xml:space="preserve">danou například skrze denudaci typu Descartovy či Husserlovy </w:t>
      </w:r>
      <w:r w:rsidR="00CB5D30" w:rsidRPr="00896C4E">
        <w:rPr>
          <w:i/>
        </w:rPr>
        <w:t>epoché</w:t>
      </w:r>
      <w:r w:rsidR="00CB5D30" w:rsidRPr="00273106">
        <w:t xml:space="preserve"> </w:t>
      </w:r>
      <w:r w:rsidR="00995AE9" w:rsidRPr="00273106">
        <w:t>nemůže nikdo smyslově vnímat</w:t>
      </w:r>
      <w:r w:rsidR="00E76AB5">
        <w:t xml:space="preserve">. Protože není impozice významu reality, nelze toto monstrum ani </w:t>
      </w:r>
      <w:r w:rsidR="00CB5D30">
        <w:t xml:space="preserve">vědecky </w:t>
      </w:r>
      <w:r w:rsidR="00995AE9" w:rsidRPr="00273106">
        <w:t>poznat</w:t>
      </w:r>
      <w:r w:rsidR="00B85E85">
        <w:rPr>
          <w:i/>
        </w:rPr>
        <w:fldChar w:fldCharType="begin"/>
      </w:r>
      <w:r w:rsidR="00B85E85">
        <w:instrText xml:space="preserve"> XE "</w:instrText>
      </w:r>
      <w:r w:rsidR="00B85E85" w:rsidRPr="001B0D03">
        <w:rPr>
          <w:i/>
        </w:rPr>
        <w:instrText>epoché</w:instrText>
      </w:r>
      <w:r w:rsidR="00B85E85">
        <w:instrText xml:space="preserve">" </w:instrText>
      </w:r>
      <w:r w:rsidR="00B85E85">
        <w:rPr>
          <w:i/>
        </w:rPr>
        <w:fldChar w:fldCharType="end"/>
      </w:r>
      <w:r w:rsidR="00E57929" w:rsidRPr="00273106">
        <w:t xml:space="preserve">. </w:t>
      </w:r>
      <w:r w:rsidR="00995AE9" w:rsidRPr="00273106">
        <w:t>Albert</w:t>
      </w:r>
      <w:r w:rsidR="00D22AD3">
        <w:t xml:space="preserve"> považoval tyto sofisty</w:t>
      </w:r>
      <w:r w:rsidR="00D02EF9">
        <w:t xml:space="preserve"> za naprosto směšné myslitele a odmítl s nimi akademicky diskutovat</w:t>
      </w:r>
      <w:r w:rsidR="00D02EF9" w:rsidRPr="00273106">
        <w:t>.</w:t>
      </w:r>
      <w:r w:rsidR="00D02EF9">
        <w:t xml:space="preserve"> Z</w:t>
      </w:r>
      <w:r w:rsidR="00995AE9" w:rsidRPr="00273106">
        <w:t xml:space="preserve">dvojili realitu první substance a udělali z ní simulákrum podle dialogu </w:t>
      </w:r>
      <w:r w:rsidR="00A102F5">
        <w:rPr>
          <w:i/>
        </w:rPr>
        <w:t>Sofiste</w:t>
      </w:r>
      <w:r w:rsidR="00995AE9" w:rsidRPr="00273106">
        <w:rPr>
          <w:i/>
        </w:rPr>
        <w:t>s</w:t>
      </w:r>
      <w:r w:rsidR="00D02EF9">
        <w:t xml:space="preserve">. </w:t>
      </w:r>
      <w:r w:rsidR="00EE2817" w:rsidRPr="00273106">
        <w:t>Druhý averroismus po vzoru Grossetesteho mohl namítnout</w:t>
      </w:r>
      <w:r w:rsidR="00995AE9" w:rsidRPr="00273106">
        <w:t>, že normální di</w:t>
      </w:r>
      <w:r w:rsidR="00A102F5">
        <w:t xml:space="preserve">skurzivní poznání běží v rámci </w:t>
      </w:r>
      <w:r w:rsidR="00995AE9" w:rsidRPr="00273106">
        <w:rPr>
          <w:i/>
        </w:rPr>
        <w:t>intellectus debilis</w:t>
      </w:r>
      <w:r w:rsidR="081B5393">
        <w:rPr>
          <w:i/>
        </w:rPr>
        <w:fldChar w:fldCharType="begin"/>
      </w:r>
      <w:r w:rsidR="081B5393">
        <w:instrText xml:space="preserve"> XE "</w:instrText>
      </w:r>
      <w:r w:rsidR="081B5393" w:rsidRPr="08BB1AD9">
        <w:rPr>
          <w:i/>
        </w:rPr>
        <w:instrText>intellectus debilis</w:instrText>
      </w:r>
      <w:r w:rsidR="081B5393">
        <w:instrText xml:space="preserve">" </w:instrText>
      </w:r>
      <w:r w:rsidR="081B5393">
        <w:rPr>
          <w:i/>
        </w:rPr>
        <w:fldChar w:fldCharType="end"/>
      </w:r>
      <w:r w:rsidR="00995AE9" w:rsidRPr="00273106">
        <w:t xml:space="preserve"> a jím produkované </w:t>
      </w:r>
      <w:r w:rsidR="00995AE9" w:rsidRPr="00273106">
        <w:rPr>
          <w:i/>
        </w:rPr>
        <w:t>scientia</w:t>
      </w:r>
      <w:r w:rsidR="00995AE9" w:rsidRPr="00273106">
        <w:t xml:space="preserve">. </w:t>
      </w:r>
      <w:r w:rsidR="08FF2097">
        <w:t>Ale p</w:t>
      </w:r>
      <w:r w:rsidR="00F17C5D" w:rsidRPr="00273106">
        <w:t xml:space="preserve">oznání </w:t>
      </w:r>
      <w:r w:rsidR="08FF2097">
        <w:t xml:space="preserve">moderních </w:t>
      </w:r>
      <w:r w:rsidR="00F17C5D" w:rsidRPr="00273106">
        <w:t>il</w:t>
      </w:r>
      <w:r w:rsidR="00EF74BF">
        <w:t>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EF74BF">
        <w:t xml:space="preserve"> není vázá</w:t>
      </w:r>
      <w:r w:rsidR="00F17C5D" w:rsidRPr="00273106">
        <w:t>no na „debilní“ intelekt</w:t>
      </w:r>
      <w:r w:rsidR="001C2B13" w:rsidRPr="00273106">
        <w:t xml:space="preserve"> aristoteliků</w:t>
      </w:r>
      <w:r w:rsidR="00F17C5D" w:rsidRPr="00273106">
        <w:t xml:space="preserve">. </w:t>
      </w:r>
      <w:r w:rsidR="00721653">
        <w:t>Grossetesteho komentář</w:t>
      </w:r>
      <w:r w:rsidR="00995AE9" w:rsidRPr="00273106">
        <w:t xml:space="preserve"> ke </w:t>
      </w:r>
      <w:r w:rsidR="00995AE9" w:rsidRPr="00F26F66">
        <w:rPr>
          <w:i/>
        </w:rPr>
        <w:t>Druhým analytikám</w:t>
      </w:r>
      <w:r w:rsidR="00721653">
        <w:t xml:space="preserve"> </w:t>
      </w:r>
      <w:r w:rsidR="00F26F66">
        <w:t xml:space="preserve">zavedl </w:t>
      </w:r>
      <w:r w:rsidR="00D27E5B">
        <w:t>slabý intekt</w:t>
      </w:r>
      <w:r w:rsidR="00F26F66">
        <w:t xml:space="preserve"> </w:t>
      </w:r>
      <w:r w:rsidR="00D27E5B">
        <w:t xml:space="preserve">pouze k </w:t>
      </w:r>
      <w:r w:rsidR="00F26F66">
        <w:t>produk</w:t>
      </w:r>
      <w:r w:rsidR="00D27E5B">
        <w:t>ci</w:t>
      </w:r>
      <w:r w:rsidR="00F26F66">
        <w:t xml:space="preserve"> empirické vědy. A</w:t>
      </w:r>
      <w:r w:rsidR="00721653">
        <w:t xml:space="preserve">le tento </w:t>
      </w:r>
      <w:r w:rsidR="00C05986">
        <w:t xml:space="preserve">aristotelik </w:t>
      </w:r>
      <w:r w:rsidR="08FF2097">
        <w:t xml:space="preserve">ještě byl natolik metafyzicky soudný, že </w:t>
      </w:r>
      <w:r w:rsidR="00721653">
        <w:t>zásadně odmítl kritiku „heretického“ Aristotela</w:t>
      </w:r>
      <w:r w:rsidR="006D059A">
        <w:t xml:space="preserve">, protože znal </w:t>
      </w:r>
      <w:r w:rsidR="08A85375">
        <w:t xml:space="preserve">originální </w:t>
      </w:r>
      <w:r w:rsidR="006D059A">
        <w:t xml:space="preserve">učení </w:t>
      </w:r>
      <w:r w:rsidR="002E3B62">
        <w:t>Averroes</w:t>
      </w:r>
      <w:r w:rsidR="006D059A">
        <w:t>e</w:t>
      </w:r>
      <w:r w:rsidR="08A85375">
        <w:t xml:space="preserve"> podle </w:t>
      </w:r>
      <w:r w:rsidR="087B0454">
        <w:t xml:space="preserve">Blundovy a </w:t>
      </w:r>
      <w:r w:rsidR="08A85375">
        <w:t>Sicilské školy</w:t>
      </w:r>
      <w:r w:rsidR="00721653">
        <w:t xml:space="preserve">. Po </w:t>
      </w:r>
      <w:r w:rsidR="000512FD">
        <w:t xml:space="preserve">Grossetesteho </w:t>
      </w:r>
      <w:r w:rsidR="087B0454">
        <w:t xml:space="preserve">odchodu do Lincolnu </w:t>
      </w:r>
      <w:r w:rsidR="00721653">
        <w:t xml:space="preserve">už moderní aristotelismus reprezentoval </w:t>
      </w:r>
      <w:r w:rsidR="081B5CC6">
        <w:t>na Oxf</w:t>
      </w:r>
      <w:r w:rsidR="08F87592">
        <w:t>o</w:t>
      </w:r>
      <w:r w:rsidR="081B5CC6">
        <w:t>r</w:t>
      </w:r>
      <w:r w:rsidR="08F87592">
        <w:t xml:space="preserve">du </w:t>
      </w:r>
      <w:r w:rsidR="00721653">
        <w:t xml:space="preserve">pouze </w:t>
      </w:r>
      <w:r w:rsidR="081B5CC6">
        <w:t xml:space="preserve">analyticky podaný </w:t>
      </w:r>
      <w:r w:rsidR="00721653">
        <w:t xml:space="preserve">Avicenna, což platí </w:t>
      </w:r>
      <w:r w:rsidR="00FC0DF3">
        <w:t xml:space="preserve">v postmoderním averroismu </w:t>
      </w:r>
      <w:r w:rsidR="00721653">
        <w:t xml:space="preserve">až dodnes. </w:t>
      </w:r>
      <w:r w:rsidR="00995AE9" w:rsidRPr="00273106">
        <w:t xml:space="preserve">Moderní ilumináti </w:t>
      </w:r>
      <w:r w:rsidR="005634C4">
        <w:t xml:space="preserve">dělají </w:t>
      </w:r>
      <w:r w:rsidR="08A957A3">
        <w:t xml:space="preserve">pod vedením </w:t>
      </w:r>
      <w:r w:rsidR="08265F54">
        <w:t xml:space="preserve">chaotických </w:t>
      </w:r>
      <w:r w:rsidR="08A957A3">
        <w:t xml:space="preserve">Fúrií </w:t>
      </w:r>
      <w:r w:rsidR="005634C4">
        <w:t xml:space="preserve">vědu </w:t>
      </w:r>
      <w:r w:rsidR="00F8767A">
        <w:t xml:space="preserve">lépe a radostněji, </w:t>
      </w:r>
      <w:r w:rsidR="00624B49">
        <w:t xml:space="preserve">protože se nezdržují </w:t>
      </w:r>
      <w:r w:rsidR="082866F1">
        <w:t>kontingentní realitou. M</w:t>
      </w:r>
      <w:r w:rsidR="00933BB3">
        <w:t xml:space="preserve">atematikové </w:t>
      </w:r>
      <w:r w:rsidR="00F8767A">
        <w:t xml:space="preserve">Descartes nebo Husserl </w:t>
      </w:r>
      <w:r w:rsidR="082866F1">
        <w:t>jdou zpět k „</w:t>
      </w:r>
      <w:r w:rsidR="00F8767A">
        <w:t>věcem samým“</w:t>
      </w:r>
      <w:r w:rsidR="00B16F74">
        <w:rPr>
          <w:i/>
        </w:rPr>
        <w:fldChar w:fldCharType="begin"/>
      </w:r>
      <w:r w:rsidR="00B16F74">
        <w:instrText xml:space="preserve"> XE "esence</w:instrText>
      </w:r>
      <w:r w:rsidR="00B16F74" w:rsidRPr="00B16F74">
        <w:instrText>:</w:instrText>
      </w:r>
      <w:r w:rsidR="00B16F74">
        <w:instrText>post</w:instrText>
      </w:r>
      <w:r w:rsidR="00B16F74" w:rsidRPr="00B16F74">
        <w:instrText>moderna</w:instrText>
      </w:r>
      <w:r w:rsidR="00B16F74">
        <w:instrText xml:space="preserve">" </w:instrText>
      </w:r>
      <w:r w:rsidR="00B16F74">
        <w:rPr>
          <w:i/>
        </w:rPr>
        <w:fldChar w:fldCharType="end"/>
      </w:r>
      <w:r w:rsidR="00F8767A">
        <w:t xml:space="preserve">. </w:t>
      </w:r>
      <w:r w:rsidR="005A4A7D">
        <w:t xml:space="preserve">Hypostázovaný intelekt averroistů má </w:t>
      </w:r>
      <w:r w:rsidR="00995AE9" w:rsidRPr="00273106">
        <w:t>přímý náhled do prvních principů</w:t>
      </w:r>
      <w:r w:rsidR="0045743E">
        <w:t xml:space="preserve"> a objektivních forem</w:t>
      </w:r>
      <w:r w:rsidR="00AD57F8">
        <w:t xml:space="preserve">. Tato noemata, která se mohou vyskytovat i </w:t>
      </w:r>
      <w:r w:rsidR="005A4A7D">
        <w:t>kontingentně</w:t>
      </w:r>
      <w:r w:rsidR="00AD57F8">
        <w:t xml:space="preserve">, pak </w:t>
      </w:r>
      <w:r w:rsidR="0818489C">
        <w:t xml:space="preserve">spekulativně </w:t>
      </w:r>
      <w:r w:rsidR="005A4A7D">
        <w:t xml:space="preserve">zrcadlí </w:t>
      </w:r>
      <w:r w:rsidR="00AD57F8">
        <w:t xml:space="preserve">osvícená </w:t>
      </w:r>
      <w:r w:rsidR="005A4A7D">
        <w:t xml:space="preserve">mysl </w:t>
      </w:r>
      <w:r w:rsidR="009E5075" w:rsidRPr="00273106">
        <w:t>(</w:t>
      </w:r>
      <w:r w:rsidR="009E5075" w:rsidRPr="00273106">
        <w:rPr>
          <w:i/>
        </w:rPr>
        <w:t>speculum</w:t>
      </w:r>
      <w:r w:rsidR="00631197">
        <w:rPr>
          <w:i/>
        </w:rPr>
        <w:fldChar w:fldCharType="begin"/>
      </w:r>
      <w:r w:rsidR="00631197">
        <w:instrText xml:space="preserve"> XE "</w:instrText>
      </w:r>
      <w:r w:rsidR="00631197" w:rsidRPr="00191FF1">
        <w:rPr>
          <w:i/>
        </w:rPr>
        <w:instrText>speculum</w:instrText>
      </w:r>
      <w:r w:rsidR="00631197">
        <w:instrText xml:space="preserve">" </w:instrText>
      </w:r>
      <w:r w:rsidR="00631197">
        <w:rPr>
          <w:i/>
        </w:rPr>
        <w:fldChar w:fldCharType="end"/>
      </w:r>
      <w:r w:rsidR="009E5075" w:rsidRPr="00273106">
        <w:t>)</w:t>
      </w:r>
      <w:r w:rsidR="00541C89">
        <w:t>. Proto musel novou radostnou vědu</w:t>
      </w:r>
      <w:r w:rsidR="00995AE9" w:rsidRPr="00273106">
        <w:t xml:space="preserve"> vytvořit až metafyzický nihilista Nietzsche</w:t>
      </w:r>
      <w:r w:rsidR="002A2E13" w:rsidRPr="00273106">
        <w:t xml:space="preserve">, který </w:t>
      </w:r>
      <w:r w:rsidR="0045743E">
        <w:t xml:space="preserve">tuto pochybnou </w:t>
      </w:r>
      <w:r w:rsidR="002A2E13" w:rsidRPr="00273106">
        <w:t>spekulaci správ</w:t>
      </w:r>
      <w:r w:rsidR="009E5075" w:rsidRPr="00273106">
        <w:t>n</w:t>
      </w:r>
      <w:r w:rsidR="002A2E13" w:rsidRPr="00273106">
        <w:t>ě</w:t>
      </w:r>
      <w:r w:rsidR="009E5075" w:rsidRPr="00273106">
        <w:t xml:space="preserve"> označil za destruktivní pozůstatek platonismu</w:t>
      </w:r>
      <w:r w:rsidR="003B09EF" w:rsidRPr="00273106">
        <w:t xml:space="preserve">. </w:t>
      </w:r>
      <w:r w:rsidR="008C5EE6">
        <w:t>Jeho kreativní n</w:t>
      </w:r>
      <w:r w:rsidR="0081482F">
        <w:t xml:space="preserve">adčlověk je </w:t>
      </w:r>
      <w:r w:rsidR="003B09EF" w:rsidRPr="00273106">
        <w:t>vybaven už jen čistou vůlí</w:t>
      </w:r>
      <w:r w:rsidR="00FA1989">
        <w:t xml:space="preserve"> k moci</w:t>
      </w:r>
      <w:r w:rsidR="003B09EF" w:rsidRPr="00273106">
        <w:t>, a niko</w:t>
      </w:r>
      <w:r w:rsidR="00A334B7" w:rsidRPr="00273106">
        <w:t>liv paran</w:t>
      </w:r>
      <w:r w:rsidR="003B09EF" w:rsidRPr="00273106">
        <w:t>o</w:t>
      </w:r>
      <w:r w:rsidR="00A334B7" w:rsidRPr="00273106">
        <w:t>i</w:t>
      </w:r>
      <w:r w:rsidR="003B09EF" w:rsidRPr="00273106">
        <w:t>ckým intelektem</w:t>
      </w:r>
      <w:r w:rsidR="0081482F">
        <w:t xml:space="preserve"> </w:t>
      </w:r>
      <w:r w:rsidR="00210CD1">
        <w:t>platonské</w:t>
      </w:r>
      <w:r w:rsidR="0081482F">
        <w:t xml:space="preserve"> moderny</w:t>
      </w:r>
      <w:r w:rsidR="08492181">
        <w:t xml:space="preserve">. Zásvětí metafyzických slabochů a snílků </w:t>
      </w:r>
      <w:r w:rsidR="008A2E0B">
        <w:t xml:space="preserve">dělá </w:t>
      </w:r>
      <w:r w:rsidR="08492181">
        <w:t xml:space="preserve">z moderního člověka </w:t>
      </w:r>
      <w:r w:rsidR="008A2E0B">
        <w:t xml:space="preserve">nemohoucího tvora spoutaného světem </w:t>
      </w:r>
      <w:r w:rsidR="00541C89">
        <w:t>p</w:t>
      </w:r>
      <w:r w:rsidR="008E02F5">
        <w:t>laton</w:t>
      </w:r>
      <w:r w:rsidR="008A2E0B">
        <w:t>ských simuláker</w:t>
      </w:r>
      <w:r w:rsidR="00B40981">
        <w:fldChar w:fldCharType="begin"/>
      </w:r>
      <w:r w:rsidR="00B40981">
        <w:instrText xml:space="preserve"> XE "</w:instrText>
      </w:r>
      <w:r w:rsidR="002E709C">
        <w:instrText>simulákrum</w:instrText>
      </w:r>
      <w:r w:rsidR="00B40981">
        <w:instrText xml:space="preserve">" </w:instrText>
      </w:r>
      <w:r w:rsidR="00B40981">
        <w:fldChar w:fldCharType="end"/>
      </w:r>
      <w:r w:rsidR="00995AE9" w:rsidRPr="00273106">
        <w:t>.</w:t>
      </w:r>
      <w:r w:rsidR="084A7500" w:rsidRPr="084A7500">
        <w:t xml:space="preserve"> </w:t>
      </w:r>
      <w:r w:rsidR="084A7500" w:rsidRPr="00273106">
        <w:t xml:space="preserve">Nietzsche </w:t>
      </w:r>
      <w:r w:rsidR="084A7500">
        <w:t xml:space="preserve">nihilisticky </w:t>
      </w:r>
      <w:r w:rsidR="084A7500" w:rsidRPr="00273106">
        <w:t xml:space="preserve">uzavřel proces moderny návratem k </w:t>
      </w:r>
      <w:r w:rsidR="084A7500">
        <w:t xml:space="preserve">jednotnému </w:t>
      </w:r>
      <w:r w:rsidR="084A7500" w:rsidRPr="00273106">
        <w:t>subjektu</w:t>
      </w:r>
      <w:r w:rsidR="082222FD">
        <w:t xml:space="preserve">, který se </w:t>
      </w:r>
      <w:r w:rsidR="083474E1">
        <w:t xml:space="preserve">díky popření platonismu </w:t>
      </w:r>
      <w:r w:rsidR="082222FD">
        <w:t xml:space="preserve">stal </w:t>
      </w:r>
      <w:r w:rsidR="00F359E2">
        <w:t xml:space="preserve">novým paranoickým </w:t>
      </w:r>
      <w:r w:rsidR="082222FD">
        <w:t>nadčlověkem</w:t>
      </w:r>
      <w:r w:rsidR="084A7500">
        <w:t>.</w:t>
      </w:r>
    </w:p>
    <w:p w14:paraId="0CA6628D" w14:textId="50780C37" w:rsidR="00095558" w:rsidRPr="00273106" w:rsidRDefault="001357B8" w:rsidP="002439F0">
      <w:pPr>
        <w:ind w:firstLine="397"/>
      </w:pPr>
      <w:r>
        <w:lastRenderedPageBreak/>
        <w:t>Avicennov</w:t>
      </w:r>
      <w:r w:rsidR="00D40B2D" w:rsidRPr="00D40B2D">
        <w:t>ští následovníci Grosseteste</w:t>
      </w:r>
      <w:r>
        <w:t>ho</w:t>
      </w:r>
      <w:r w:rsidR="00D40B2D" w:rsidRPr="00D40B2D">
        <w:t xml:space="preserve"> pozorovali </w:t>
      </w:r>
      <w:r w:rsidR="00D40B2D">
        <w:t>nový typ jsoucna</w:t>
      </w:r>
      <w:r w:rsidR="003737B8">
        <w:t xml:space="preserve">. S ohledem na tuto mytologickou realitu </w:t>
      </w:r>
      <w:r w:rsidR="00D40B2D" w:rsidRPr="00D40B2D">
        <w:t xml:space="preserve">vytvořili nový koncept </w:t>
      </w:r>
      <w:r w:rsidR="00BF1B21">
        <w:t>evidentní vědy, která</w:t>
      </w:r>
      <w:r w:rsidR="00801F65">
        <w:t xml:space="preserve"> vzniká </w:t>
      </w:r>
      <w:r w:rsidR="00D40B2D" w:rsidRPr="00D40B2D">
        <w:t xml:space="preserve">v novém druhu intelektu. Proto museli první modernisté přepracovat </w:t>
      </w:r>
      <w:r w:rsidR="001F6A98">
        <w:t xml:space="preserve">i </w:t>
      </w:r>
      <w:r w:rsidR="00D40B2D" w:rsidRPr="00D40B2D">
        <w:t>pojetí pravdy</w:t>
      </w:r>
      <w:r w:rsidR="001F6A98">
        <w:t xml:space="preserve">, protože aristotelská teorie adekvace </w:t>
      </w:r>
      <w:r>
        <w:t>nepočítala s moderní mytologií</w:t>
      </w:r>
      <w:r w:rsidR="00D40B2D" w:rsidRPr="00D40B2D">
        <w:t>. Existuje shoda m</w:t>
      </w:r>
      <w:r w:rsidR="00D40B2D">
        <w:t>ezi intelektem třetího druhu a j</w:t>
      </w:r>
      <w:r w:rsidR="00D40B2D" w:rsidRPr="00D40B2D">
        <w:t>soucnem třetího druhu.</w:t>
      </w:r>
      <w:r w:rsidR="00D40B2D">
        <w:t xml:space="preserve"> </w:t>
      </w:r>
      <w:r w:rsidR="08DF266F">
        <w:t xml:space="preserve">Předešlá kapitola ukázala, že </w:t>
      </w:r>
      <w:r w:rsidR="00980C24">
        <w:t>Grosseteste podal</w:t>
      </w:r>
      <w:r w:rsidR="00825AEA" w:rsidRPr="00273106">
        <w:t xml:space="preserve"> </w:t>
      </w:r>
      <w:r w:rsidR="004E668E">
        <w:t>definici pravdy</w:t>
      </w:r>
      <w:r w:rsidR="00980C24">
        <w:t xml:space="preserve"> navázanou </w:t>
      </w:r>
      <w:r w:rsidR="083C39B8" w:rsidRPr="00273106">
        <w:t xml:space="preserve">Anselmovovo </w:t>
      </w:r>
      <w:r w:rsidR="083C39B8" w:rsidRPr="00273106">
        <w:rPr>
          <w:i/>
        </w:rPr>
        <w:t>rectitudo</w:t>
      </w:r>
      <w:r w:rsidR="001435E0">
        <w:rPr>
          <w:i/>
        </w:rPr>
        <w:fldChar w:fldCharType="begin"/>
      </w:r>
      <w:r w:rsidR="001435E0">
        <w:instrText xml:space="preserve"> XE "pravda:</w:instrText>
      </w:r>
      <w:r w:rsidR="001435E0" w:rsidRPr="006377AC">
        <w:rPr>
          <w:i/>
        </w:rPr>
        <w:instrText>rectitudo</w:instrText>
      </w:r>
      <w:r w:rsidR="001435E0">
        <w:instrText xml:space="preserve">" </w:instrText>
      </w:r>
      <w:r w:rsidR="001435E0">
        <w:rPr>
          <w:i/>
        </w:rPr>
        <w:fldChar w:fldCharType="end"/>
      </w:r>
      <w:r w:rsidR="083C39B8" w:rsidRPr="00273106">
        <w:t>.</w:t>
      </w:r>
      <w:r w:rsidR="00095558" w:rsidRPr="00273106">
        <w:t xml:space="preserve"> </w:t>
      </w:r>
      <w:r w:rsidR="009329CD" w:rsidRPr="009329CD">
        <w:t xml:space="preserve">Nová definice pravdy </w:t>
      </w:r>
      <w:r w:rsidR="005D18FF">
        <w:t xml:space="preserve">není </w:t>
      </w:r>
      <w:r w:rsidR="003F4F32">
        <w:t xml:space="preserve">založena na korespondenci </w:t>
      </w:r>
      <w:r w:rsidR="009329CD" w:rsidRPr="009329CD">
        <w:t xml:space="preserve">mezi intelektem a </w:t>
      </w:r>
      <w:r w:rsidR="00A17724">
        <w:t>reálným světem</w:t>
      </w:r>
      <w:r w:rsidR="005D18FF">
        <w:t xml:space="preserve">. Moderna </w:t>
      </w:r>
      <w:r w:rsidR="009329CD" w:rsidRPr="009329CD">
        <w:t xml:space="preserve">vytvořila subjektivně </w:t>
      </w:r>
      <w:r w:rsidR="009329CD">
        <w:t>danou evidenci založenou</w:t>
      </w:r>
      <w:r w:rsidR="009329CD" w:rsidRPr="009329CD">
        <w:t xml:space="preserve"> na vnitřní intelektuální intuici</w:t>
      </w:r>
      <w:r w:rsidR="009329CD">
        <w:t xml:space="preserve"> (</w:t>
      </w:r>
      <w:r w:rsidR="009329CD" w:rsidRPr="009329CD">
        <w:rPr>
          <w:i/>
        </w:rPr>
        <w:t>certitudo</w:t>
      </w:r>
      <w:r w:rsidR="009329CD">
        <w:t>)</w:t>
      </w:r>
      <w:r w:rsidR="009329CD" w:rsidRPr="009329CD">
        <w:t>.</w:t>
      </w:r>
      <w:r w:rsidR="009329CD">
        <w:t xml:space="preserve"> </w:t>
      </w:r>
      <w:r w:rsidR="002439F0">
        <w:t>O</w:t>
      </w:r>
      <w:r w:rsidR="002439F0" w:rsidRPr="002439F0">
        <w:t xml:space="preserve">bjektivita </w:t>
      </w:r>
      <w:r w:rsidR="002439F0">
        <w:t xml:space="preserve">je ubytována </w:t>
      </w:r>
      <w:r w:rsidR="002439F0" w:rsidRPr="002439F0">
        <w:t>v mytologické říši (</w:t>
      </w:r>
      <w:r w:rsidR="002439F0">
        <w:t>„</w:t>
      </w:r>
      <w:r w:rsidR="002439F0" w:rsidRPr="002439F0">
        <w:rPr>
          <w:i/>
        </w:rPr>
        <w:t>mundus imaginalis</w:t>
      </w:r>
      <w:r w:rsidR="002439F0">
        <w:t>“</w:t>
      </w:r>
      <w:r w:rsidR="00DA4ABE">
        <w:t xml:space="preserve"> súfismu</w:t>
      </w:r>
      <w:r w:rsidR="001D629F">
        <w:t>)</w:t>
      </w:r>
      <w:r w:rsidR="00A4003F">
        <w:t>,</w:t>
      </w:r>
      <w:r w:rsidR="001D629F">
        <w:t xml:space="preserve"> a je dána v modu „</w:t>
      </w:r>
      <w:r w:rsidR="001D629F" w:rsidRPr="001D629F">
        <w:rPr>
          <w:i/>
        </w:rPr>
        <w:t>semel–semper</w:t>
      </w:r>
      <w:r w:rsidR="001D629F">
        <w:t xml:space="preserve">“ </w:t>
      </w:r>
      <w:r w:rsidR="002439F0" w:rsidRPr="002439F0">
        <w:t xml:space="preserve">mimo demiurgický subjekt. </w:t>
      </w:r>
      <w:r w:rsidR="00CD0036">
        <w:t xml:space="preserve">Moderní intelekt poznává hypostázované inteligibilní </w:t>
      </w:r>
      <w:r w:rsidR="00CD0036" w:rsidRPr="00273106">
        <w:t>obsahy</w:t>
      </w:r>
      <w:r w:rsidR="00CD0036">
        <w:t xml:space="preserve"> v aktu asimilace, a ne adekvace. I</w:t>
      </w:r>
      <w:r w:rsidR="00CD0036" w:rsidRPr="00273106">
        <w:t>ntelekt</w:t>
      </w:r>
      <w:r w:rsidR="00CD0036">
        <w:t xml:space="preserve"> přijímá objektivní form</w:t>
      </w:r>
      <w:r w:rsidR="00CD0036" w:rsidRPr="00273106">
        <w:t>u</w:t>
      </w:r>
      <w:r w:rsidR="00CD0036">
        <w:t xml:space="preserve"> předem danou v diakosmu jako </w:t>
      </w:r>
      <w:r w:rsidR="00CD0036" w:rsidRPr="009369CC">
        <w:rPr>
          <w:i/>
        </w:rPr>
        <w:t>scibile</w:t>
      </w:r>
      <w:r w:rsidR="00CD0036">
        <w:rPr>
          <w:i/>
        </w:rPr>
        <w:fldChar w:fldCharType="begin"/>
      </w:r>
      <w:r w:rsidR="00CD0036">
        <w:instrText xml:space="preserve"> XE "</w:instrText>
      </w:r>
      <w:r w:rsidR="00CD0036" w:rsidRPr="00AA4F67">
        <w:rPr>
          <w:i/>
        </w:rPr>
        <w:instrText>scibile</w:instrText>
      </w:r>
      <w:r w:rsidR="00CD0036">
        <w:instrText xml:space="preserve">:nihilismus" </w:instrText>
      </w:r>
      <w:r w:rsidR="00CD0036">
        <w:rPr>
          <w:i/>
        </w:rPr>
        <w:fldChar w:fldCharType="end"/>
      </w:r>
      <w:r w:rsidR="00CD0036">
        <w:t xml:space="preserve"> (metafyzické, vědecké, ekonomické, koloniální, ideologické atd.). </w:t>
      </w:r>
      <w:r w:rsidR="002439F0" w:rsidRPr="002439F0">
        <w:t xml:space="preserve">Asimilace </w:t>
      </w:r>
      <w:r w:rsidR="001D629F">
        <w:t xml:space="preserve">těch hypostázovaných </w:t>
      </w:r>
      <w:r w:rsidR="002439F0" w:rsidRPr="002439F0">
        <w:t>forem probíhá v</w:t>
      </w:r>
      <w:r w:rsidR="001D629F">
        <w:t xml:space="preserve"> osvíceném </w:t>
      </w:r>
      <w:r w:rsidR="002439F0" w:rsidRPr="002439F0">
        <w:t xml:space="preserve">intelektu </w:t>
      </w:r>
      <w:r w:rsidR="001D629F">
        <w:t xml:space="preserve">objektivně poznávajícího ilumináta </w:t>
      </w:r>
      <w:r w:rsidR="002439F0" w:rsidRPr="002439F0">
        <w:t>(</w:t>
      </w:r>
      <w:r w:rsidR="002439F0" w:rsidRPr="002439F0">
        <w:rPr>
          <w:i/>
        </w:rPr>
        <w:t>ad scibile intellectui obiectum</w:t>
      </w:r>
      <w:r w:rsidR="002439F0" w:rsidRPr="002439F0">
        <w:t>).</w:t>
      </w:r>
      <w:r w:rsidR="002439F0">
        <w:t xml:space="preserve"> </w:t>
      </w:r>
      <w:r w:rsidR="086862B9">
        <w:t xml:space="preserve">Moderní pravda </w:t>
      </w:r>
      <w:r w:rsidR="003418ED">
        <w:t xml:space="preserve">je definována </w:t>
      </w:r>
      <w:r w:rsidR="002304EF">
        <w:t>v modu adekvace s</w:t>
      </w:r>
      <w:r w:rsidR="086862B9">
        <w:t xml:space="preserve"> takto </w:t>
      </w:r>
      <w:r w:rsidR="002304EF">
        <w:t>„exsistujícím“ světem (</w:t>
      </w:r>
      <w:r w:rsidR="002304EF" w:rsidRPr="002304EF">
        <w:rPr>
          <w:i/>
        </w:rPr>
        <w:t>adaequatio actualis vel etiam habitualis</w:t>
      </w:r>
      <w:r w:rsidR="002304EF">
        <w:t>)</w:t>
      </w:r>
      <w:r w:rsidR="003418ED">
        <w:t xml:space="preserve">. </w:t>
      </w:r>
      <w:r w:rsidR="00930A5C">
        <w:t xml:space="preserve">Jak dále uvidíme, toto </w:t>
      </w:r>
      <w:r w:rsidR="00455D65">
        <w:t xml:space="preserve">demiurgické </w:t>
      </w:r>
      <w:r w:rsidR="00930A5C">
        <w:t xml:space="preserve">pojetí </w:t>
      </w:r>
      <w:r w:rsidR="00455D65">
        <w:t xml:space="preserve">objektivity </w:t>
      </w:r>
      <w:r w:rsidR="00930A5C">
        <w:t>zavedl Bonaventura</w:t>
      </w:r>
      <w:r w:rsidR="00455D65">
        <w:t xml:space="preserve"> o dekádu předtím</w:t>
      </w:r>
      <w:r w:rsidR="0016489E">
        <w:t xml:space="preserve"> kolem roku 1250</w:t>
      </w:r>
      <w:r w:rsidR="00930A5C">
        <w:t xml:space="preserve">. </w:t>
      </w:r>
      <w:r w:rsidR="00B37147">
        <w:t>S</w:t>
      </w:r>
      <w:r w:rsidR="003418ED">
        <w:t xml:space="preserve">pojení </w:t>
      </w:r>
      <w:r w:rsidR="00930A5C">
        <w:t xml:space="preserve">subjektivního a objektivního </w:t>
      </w:r>
      <w:r w:rsidR="00930A5C" w:rsidRPr="00930A5C">
        <w:rPr>
          <w:i/>
        </w:rPr>
        <w:t>scibile</w:t>
      </w:r>
      <w:r w:rsidR="00414EA7">
        <w:rPr>
          <w:i/>
        </w:rPr>
        <w:fldChar w:fldCharType="begin"/>
      </w:r>
      <w:r w:rsidR="00414EA7">
        <w:instrText xml:space="preserve"> XE "</w:instrText>
      </w:r>
      <w:r w:rsidR="00414EA7" w:rsidRPr="00B1586D">
        <w:rPr>
          <w:i/>
        </w:rPr>
        <w:instrText>scibile:</w:instrText>
      </w:r>
      <w:r w:rsidR="00414EA7" w:rsidRPr="00B1586D">
        <w:instrText>druhý averroismus</w:instrText>
      </w:r>
      <w:r w:rsidR="00414EA7">
        <w:instrText xml:space="preserve">" </w:instrText>
      </w:r>
      <w:r w:rsidR="00414EA7">
        <w:rPr>
          <w:i/>
        </w:rPr>
        <w:fldChar w:fldCharType="end"/>
      </w:r>
      <w:r w:rsidR="00930A5C">
        <w:t xml:space="preserve"> založilo </w:t>
      </w:r>
      <w:r w:rsidR="001A336F">
        <w:t>nový dějinný habitus</w:t>
      </w:r>
      <w:r w:rsidR="002304EF">
        <w:t xml:space="preserve"> západního subjektu</w:t>
      </w:r>
      <w:r w:rsidR="003418ED">
        <w:t xml:space="preserve"> a novou historii Západu</w:t>
      </w:r>
      <w:r w:rsidR="001A336F">
        <w:t>.</w:t>
      </w:r>
      <w:r w:rsidR="00DD00FB">
        <w:t xml:space="preserve"> </w:t>
      </w:r>
      <w:r w:rsidR="0042082B">
        <w:t xml:space="preserve">Dnešní </w:t>
      </w:r>
      <w:r w:rsidR="007B1F1E">
        <w:t xml:space="preserve">nihilistické </w:t>
      </w:r>
      <w:r w:rsidR="0042082B" w:rsidRPr="0042082B">
        <w:rPr>
          <w:i/>
        </w:rPr>
        <w:t>scibile</w:t>
      </w:r>
      <w:r w:rsidR="0042082B">
        <w:t xml:space="preserve"> pochopitelně neprodukuje mystika isl</w:t>
      </w:r>
      <w:r w:rsidR="00DD00FB">
        <w:t xml:space="preserve">ámského súfismu nebo středověká </w:t>
      </w:r>
      <w:r w:rsidR="00DD00FB" w:rsidRPr="00DD00FB">
        <w:rPr>
          <w:i/>
        </w:rPr>
        <w:t>intelligentia spi</w:t>
      </w:r>
      <w:r w:rsidR="00C0564F">
        <w:rPr>
          <w:i/>
        </w:rPr>
        <w:t>ri</w:t>
      </w:r>
      <w:r w:rsidR="00DD00FB" w:rsidRPr="00DD00FB">
        <w:rPr>
          <w:i/>
        </w:rPr>
        <w:t>tualis</w:t>
      </w:r>
      <w:r w:rsidR="0042082B">
        <w:t xml:space="preserve">, ale placená </w:t>
      </w:r>
      <w:r w:rsidR="00DD00FB">
        <w:t xml:space="preserve">armáda </w:t>
      </w:r>
      <w:r w:rsidR="00DD00FB" w:rsidRPr="00DF3382">
        <w:rPr>
          <w:i/>
          <w:szCs w:val="24"/>
        </w:rPr>
        <w:t>white collars</w:t>
      </w:r>
      <w:r w:rsidR="00DD00FB">
        <w:rPr>
          <w:szCs w:val="24"/>
        </w:rPr>
        <w:t xml:space="preserve"> v žoldu </w:t>
      </w:r>
      <w:r w:rsidR="00C31DEC">
        <w:t>nadnárodních korporací</w:t>
      </w:r>
      <w:r w:rsidR="009A2B2C">
        <w:t>, které jsou</w:t>
      </w:r>
      <w:r w:rsidR="00C31DEC">
        <w:t xml:space="preserve"> </w:t>
      </w:r>
      <w:r w:rsidR="009A2B2C">
        <w:t>napojené</w:t>
      </w:r>
      <w:r w:rsidR="0042082B">
        <w:t xml:space="preserve"> na současný </w:t>
      </w:r>
      <w:r w:rsidR="0042082B" w:rsidRPr="0042082B">
        <w:rPr>
          <w:i/>
        </w:rPr>
        <w:t>Deep state</w:t>
      </w:r>
      <w:r w:rsidR="004E480E">
        <w:rPr>
          <w:i/>
        </w:rPr>
        <w:fldChar w:fldCharType="begin"/>
      </w:r>
      <w:r w:rsidR="004E480E">
        <w:instrText xml:space="preserve"> XE "</w:instrText>
      </w:r>
      <w:r w:rsidR="004E480E" w:rsidRPr="00F60564">
        <w:rPr>
          <w:i/>
        </w:rPr>
        <w:instrText>Deep state</w:instrText>
      </w:r>
      <w:r w:rsidR="004E480E">
        <w:instrText xml:space="preserve">" </w:instrText>
      </w:r>
      <w:r w:rsidR="004E480E">
        <w:rPr>
          <w:i/>
        </w:rPr>
        <w:fldChar w:fldCharType="end"/>
      </w:r>
      <w:r w:rsidR="0042082B">
        <w:t xml:space="preserve">. </w:t>
      </w:r>
      <w:r w:rsidR="08942E2E">
        <w:t xml:space="preserve">Podívejme se </w:t>
      </w:r>
      <w:r w:rsidR="086C1FB2">
        <w:t xml:space="preserve">novou verzi </w:t>
      </w:r>
      <w:r w:rsidR="08942E2E">
        <w:t>objektivního relativismu</w:t>
      </w:r>
      <w:r w:rsidR="00B85C60">
        <w:t xml:space="preserve">. Intelekt </w:t>
      </w:r>
      <w:r w:rsidR="00BE4C10">
        <w:t xml:space="preserve">přímo pozoruje </w:t>
      </w:r>
      <w:r w:rsidR="00B85C60">
        <w:t xml:space="preserve">univerzálně a </w:t>
      </w:r>
      <w:r w:rsidR="08361258">
        <w:t xml:space="preserve">genericky </w:t>
      </w:r>
      <w:r w:rsidR="00BE4C10">
        <w:t>určená</w:t>
      </w:r>
      <w:r w:rsidR="00B85C60">
        <w:t xml:space="preserve"> </w:t>
      </w:r>
      <w:r w:rsidR="00BE4C10">
        <w:t>jsoucna</w:t>
      </w:r>
      <w:r w:rsidR="081C1236">
        <w:t xml:space="preserve"> třetího druhu </w:t>
      </w:r>
      <w:r w:rsidR="08C96017">
        <w:t>(</w:t>
      </w:r>
      <w:r w:rsidR="08C96017" w:rsidRPr="08C96017">
        <w:rPr>
          <w:i/>
        </w:rPr>
        <w:t>scibile</w:t>
      </w:r>
      <w:r w:rsidR="08C96017">
        <w:t>)</w:t>
      </w:r>
      <w:r w:rsidR="08942E2E">
        <w:t>.</w:t>
      </w:r>
    </w:p>
    <w:p w14:paraId="661F6F98" w14:textId="77777777" w:rsidR="00FD0E59" w:rsidRPr="00273106" w:rsidRDefault="00B256D6" w:rsidP="00C63F1F">
      <w:pPr>
        <w:pStyle w:val="Citace"/>
        <w:rPr>
          <w:noProof/>
          <w:lang w:val="cs-CZ"/>
        </w:rPr>
      </w:pPr>
      <w:r w:rsidRPr="00273106">
        <w:rPr>
          <w:noProof/>
          <w:lang w:val="cs-CZ"/>
        </w:rPr>
        <w:t>„</w:t>
      </w:r>
      <w:r w:rsidR="001F7C45" w:rsidRPr="00273106">
        <w:rPr>
          <w:noProof/>
          <w:lang w:val="cs-CZ"/>
        </w:rPr>
        <w:t xml:space="preserve">Je zřejmé, že aktuální nebo i habituální </w:t>
      </w:r>
      <w:r w:rsidR="00170CE9" w:rsidRPr="00273106">
        <w:rPr>
          <w:noProof/>
          <w:lang w:val="cs-CZ"/>
        </w:rPr>
        <w:t xml:space="preserve">adekvace </w:t>
      </w:r>
      <w:r w:rsidR="001F7C45" w:rsidRPr="00273106">
        <w:rPr>
          <w:noProof/>
          <w:lang w:val="cs-CZ"/>
        </w:rPr>
        <w:t>je zaměření intelektu k poznanému předmětu intelektu (</w:t>
      </w:r>
      <w:r w:rsidR="001F7C45" w:rsidRPr="00273106">
        <w:rPr>
          <w:i/>
          <w:noProof/>
          <w:lang w:val="cs-CZ"/>
        </w:rPr>
        <w:t>ad scibile intellectui obiectum</w:t>
      </w:r>
      <w:r w:rsidR="001F7C45" w:rsidRPr="00273106">
        <w:rPr>
          <w:noProof/>
          <w:lang w:val="cs-CZ"/>
        </w:rPr>
        <w:t>), nebo k pochopení všeho, k čemu se může intele</w:t>
      </w:r>
      <w:r w:rsidR="004F5789">
        <w:rPr>
          <w:noProof/>
          <w:lang w:val="cs-CZ"/>
        </w:rPr>
        <w:t xml:space="preserve">kt vztáhnout. Poznání je </w:t>
      </w:r>
      <w:r w:rsidR="08A41B9B">
        <w:rPr>
          <w:noProof/>
          <w:lang w:val="cs-CZ"/>
        </w:rPr>
        <w:t xml:space="preserve">z hlediska rodu </w:t>
      </w:r>
      <w:r w:rsidR="004F5789">
        <w:rPr>
          <w:noProof/>
          <w:lang w:val="cs-CZ"/>
        </w:rPr>
        <w:t xml:space="preserve">dáno </w:t>
      </w:r>
      <w:r w:rsidR="001F7C45" w:rsidRPr="00273106">
        <w:rPr>
          <w:noProof/>
          <w:lang w:val="cs-CZ"/>
        </w:rPr>
        <w:t xml:space="preserve">o tom, </w:t>
      </w:r>
      <w:r w:rsidR="082A05CE">
        <w:rPr>
          <w:noProof/>
          <w:lang w:val="cs-CZ"/>
        </w:rPr>
        <w:t xml:space="preserve">k čemu se </w:t>
      </w:r>
      <w:r w:rsidR="08AD2C33">
        <w:rPr>
          <w:noProof/>
          <w:lang w:val="cs-CZ"/>
        </w:rPr>
        <w:t xml:space="preserve">vědění </w:t>
      </w:r>
      <w:r w:rsidR="082A05CE">
        <w:rPr>
          <w:noProof/>
          <w:lang w:val="cs-CZ"/>
        </w:rPr>
        <w:t xml:space="preserve">vztahuje </w:t>
      </w:r>
      <w:r w:rsidR="00C04D52">
        <w:rPr>
          <w:noProof/>
          <w:lang w:val="cs-CZ"/>
        </w:rPr>
        <w:t>(</w:t>
      </w:r>
      <w:r w:rsidR="00C04D52" w:rsidRPr="00C04D52">
        <w:rPr>
          <w:i/>
        </w:rPr>
        <w:t>scientia enim de genere est relativorum</w:t>
      </w:r>
      <w:r w:rsidR="00C04D52">
        <w:rPr>
          <w:noProof/>
          <w:lang w:val="cs-CZ"/>
        </w:rPr>
        <w:t>)</w:t>
      </w:r>
      <w:r w:rsidR="001F7C45" w:rsidRPr="00273106">
        <w:rPr>
          <w:noProof/>
          <w:lang w:val="cs-CZ"/>
        </w:rPr>
        <w:t xml:space="preserve">. </w:t>
      </w:r>
      <w:r w:rsidR="00C63F1F" w:rsidRPr="00273106">
        <w:rPr>
          <w:noProof/>
          <w:lang w:val="cs-CZ"/>
        </w:rPr>
        <w:t>Adekvace intelektu a věci je v pouhé potenci a tu je možné chápat vzhledem k intelektu, vzhledem k věci, nebo vzhledem k oběma.</w:t>
      </w:r>
      <w:r w:rsidRPr="00273106">
        <w:rPr>
          <w:noProof/>
          <w:lang w:val="cs-CZ"/>
        </w:rPr>
        <w:t xml:space="preserve">“ </w:t>
      </w:r>
      <w:r w:rsidR="00FD0E59" w:rsidRPr="00273106">
        <w:rPr>
          <w:rStyle w:val="Znakapoznpodarou"/>
          <w:noProof/>
          <w:lang w:val="cs-CZ"/>
        </w:rPr>
        <w:footnoteReference w:id="337"/>
      </w:r>
    </w:p>
    <w:p w14:paraId="5F091925" w14:textId="34D71295" w:rsidR="006D3425" w:rsidRPr="00273106" w:rsidRDefault="088D3410" w:rsidP="00116E00">
      <w:r w:rsidRPr="00273106">
        <w:lastRenderedPageBreak/>
        <w:t xml:space="preserve">V procesu </w:t>
      </w:r>
      <w:r w:rsidRPr="00273106">
        <w:rPr>
          <w:i/>
        </w:rPr>
        <w:t>denudatio</w:t>
      </w:r>
      <w:r w:rsidR="00D44795">
        <w:rPr>
          <w:i/>
        </w:rPr>
        <w:fldChar w:fldCharType="begin"/>
      </w:r>
      <w:r w:rsidR="00D44795">
        <w:instrText xml:space="preserve"> XE "</w:instrText>
      </w:r>
      <w:r w:rsidR="00D44795" w:rsidRPr="00C23100">
        <w:rPr>
          <w:i/>
        </w:rPr>
        <w:instrText>denudatio</w:instrText>
      </w:r>
      <w:r w:rsidR="00414EA7" w:rsidRPr="00414EA7">
        <w:instrText>:druhý averroismus</w:instrText>
      </w:r>
      <w:r w:rsidR="00D44795">
        <w:instrText xml:space="preserve">" </w:instrText>
      </w:r>
      <w:r w:rsidR="00D44795">
        <w:rPr>
          <w:i/>
        </w:rPr>
        <w:fldChar w:fldCharType="end"/>
      </w:r>
      <w:r w:rsidRPr="00273106">
        <w:t xml:space="preserve"> vznikla univočně po</w:t>
      </w:r>
      <w:r w:rsidR="0016489E">
        <w:t xml:space="preserve">jatá forma třetího druhu zvaná </w:t>
      </w:r>
      <w:r w:rsidRPr="00273106">
        <w:rPr>
          <w:i/>
        </w:rPr>
        <w:t>scibile</w:t>
      </w:r>
      <w:r w:rsidR="008B3E60">
        <w:t>, kterou tvoří přímý eidetický náhled</w:t>
      </w:r>
      <w:r w:rsidR="00414EA7">
        <w:fldChar w:fldCharType="begin"/>
      </w:r>
      <w:r w:rsidR="00414EA7">
        <w:instrText xml:space="preserve"> XE "</w:instrText>
      </w:r>
      <w:r w:rsidR="00414EA7" w:rsidRPr="00975992">
        <w:instrText>vidění:eidetické</w:instrText>
      </w:r>
      <w:r w:rsidR="00414EA7">
        <w:instrText xml:space="preserve">" </w:instrText>
      </w:r>
      <w:r w:rsidR="00414EA7">
        <w:fldChar w:fldCharType="end"/>
      </w:r>
      <w:r w:rsidR="008B3E60">
        <w:t xml:space="preserve"> intelektuálního předmětu poznání (</w:t>
      </w:r>
      <w:r w:rsidR="008B3E60" w:rsidRPr="008B3E60">
        <w:rPr>
          <w:i/>
        </w:rPr>
        <w:t>intellectus ad scibile intellectui obiectum</w:t>
      </w:r>
      <w:r w:rsidR="008B3E60">
        <w:t>)</w:t>
      </w:r>
      <w:r w:rsidRPr="00273106">
        <w:t xml:space="preserve">. </w:t>
      </w:r>
      <w:r w:rsidR="080D73F4" w:rsidRPr="00273106">
        <w:t xml:space="preserve">Vztah k tomuto objektu </w:t>
      </w:r>
      <w:r w:rsidR="00FA3FDE">
        <w:t>chápa</w:t>
      </w:r>
      <w:r w:rsidR="08D37973" w:rsidRPr="00273106">
        <w:t>nému jako kvazi-substance</w:t>
      </w:r>
      <w:r w:rsidR="00A70FA4">
        <w:fldChar w:fldCharType="begin"/>
      </w:r>
      <w:r w:rsidR="00A70FA4">
        <w:instrText xml:space="preserve"> XE "</w:instrText>
      </w:r>
      <w:r w:rsidR="00A70FA4" w:rsidRPr="00DE2A32">
        <w:instrText>substance</w:instrText>
      </w:r>
      <w:r w:rsidR="00414EA7">
        <w:instrText>:třetího druhu</w:instrText>
      </w:r>
      <w:r w:rsidR="00A70FA4">
        <w:instrText xml:space="preserve">" </w:instrText>
      </w:r>
      <w:r w:rsidR="00A70FA4">
        <w:fldChar w:fldCharType="end"/>
      </w:r>
      <w:r w:rsidR="08D37973" w:rsidRPr="00273106">
        <w:t xml:space="preserve"> </w:t>
      </w:r>
      <w:r w:rsidR="08F31C82" w:rsidRPr="00273106">
        <w:t xml:space="preserve">vzniká </w:t>
      </w:r>
      <w:r w:rsidR="080D73F4" w:rsidRPr="00273106">
        <w:t>b</w:t>
      </w:r>
      <w:r w:rsidR="0852211F" w:rsidRPr="00273106">
        <w:t>uď v průběhu aktuálního poznání</w:t>
      </w:r>
      <w:r w:rsidR="00CF0E8B" w:rsidRPr="00273106">
        <w:t xml:space="preserve"> (</w:t>
      </w:r>
      <w:r w:rsidR="00CF0E8B" w:rsidRPr="00273106">
        <w:rPr>
          <w:i/>
        </w:rPr>
        <w:t>adaequatio</w:t>
      </w:r>
      <w:r w:rsidR="00CF0E8B" w:rsidRPr="00273106">
        <w:t xml:space="preserve"> </w:t>
      </w:r>
      <w:r w:rsidR="00CF0E8B" w:rsidRPr="00273106">
        <w:rPr>
          <w:i/>
        </w:rPr>
        <w:t>actualis</w:t>
      </w:r>
      <w:r w:rsidR="00CF0E8B" w:rsidRPr="00273106">
        <w:t>)</w:t>
      </w:r>
      <w:r w:rsidR="0852211F" w:rsidRPr="00273106">
        <w:t xml:space="preserve">, </w:t>
      </w:r>
      <w:r w:rsidR="080D73F4" w:rsidRPr="00273106">
        <w:t xml:space="preserve">nebo </w:t>
      </w:r>
      <w:r w:rsidR="087F5D21" w:rsidRPr="00273106">
        <w:t>jej mysl drží habit</w:t>
      </w:r>
      <w:r w:rsidR="00FA3FDE">
        <w:t>u</w:t>
      </w:r>
      <w:r w:rsidR="087F5D21" w:rsidRPr="00273106">
        <w:t xml:space="preserve">álně </w:t>
      </w:r>
      <w:r w:rsidR="080D73F4" w:rsidRPr="00273106">
        <w:t xml:space="preserve">jako </w:t>
      </w:r>
      <w:r w:rsidR="08C53F9C">
        <w:t xml:space="preserve">porretánský způsob diskrétního </w:t>
      </w:r>
      <w:r w:rsidR="00602466">
        <w:t xml:space="preserve">vidění a </w:t>
      </w:r>
      <w:r w:rsidR="080D73F4" w:rsidRPr="00273106">
        <w:t xml:space="preserve">poznání </w:t>
      </w:r>
      <w:r w:rsidR="00134BAB">
        <w:t xml:space="preserve">takto určeného </w:t>
      </w:r>
      <w:r w:rsidR="00602466">
        <w:t xml:space="preserve">světa </w:t>
      </w:r>
      <w:r w:rsidR="080D73F4" w:rsidRPr="00273106">
        <w:t>(</w:t>
      </w:r>
      <w:r w:rsidR="080D73F4" w:rsidRPr="00273106">
        <w:rPr>
          <w:i/>
        </w:rPr>
        <w:t>habitualis respectus</w:t>
      </w:r>
      <w:r w:rsidR="080D73F4" w:rsidRPr="00273106">
        <w:t>).</w:t>
      </w:r>
      <w:r w:rsidR="08F31C82" w:rsidRPr="00273106">
        <w:t xml:space="preserve"> Vědecké poznání </w:t>
      </w:r>
      <w:r w:rsidR="082007FC" w:rsidRPr="00273106">
        <w:t xml:space="preserve">není </w:t>
      </w:r>
      <w:r w:rsidR="08294296" w:rsidRPr="00273106">
        <w:t xml:space="preserve">realizováno </w:t>
      </w:r>
      <w:r w:rsidR="082007FC" w:rsidRPr="00273106">
        <w:t>vztahem k real</w:t>
      </w:r>
      <w:r w:rsidR="08F31C82" w:rsidRPr="00273106">
        <w:t xml:space="preserve">itě, ale </w:t>
      </w:r>
      <w:r w:rsidR="00820958">
        <w:t xml:space="preserve">vzhledem k hypostázovanému </w:t>
      </w:r>
      <w:r w:rsidR="08F31C82" w:rsidRPr="00273106">
        <w:t>vztah</w:t>
      </w:r>
      <w:r w:rsidR="00820958">
        <w:t xml:space="preserve">u, který v modu vlastní správnosti a jistoty </w:t>
      </w:r>
      <w:r w:rsidR="00BA7212">
        <w:t xml:space="preserve">zakládá </w:t>
      </w:r>
      <w:r w:rsidR="00820958">
        <w:t>objektivní předmět</w:t>
      </w:r>
      <w:r w:rsidR="08F31C82" w:rsidRPr="00273106">
        <w:t xml:space="preserve"> poznání (</w:t>
      </w:r>
      <w:r w:rsidR="08F31C82" w:rsidRPr="00273106">
        <w:rPr>
          <w:i/>
        </w:rPr>
        <w:t>scientia enim de genere est relativorum</w:t>
      </w:r>
      <w:r w:rsidR="08F31C82" w:rsidRPr="00273106">
        <w:t xml:space="preserve">). </w:t>
      </w:r>
      <w:r w:rsidR="008D6B7F" w:rsidRPr="00273106">
        <w:t>Rozum vytváří adekvaci na předmět poznání konstituovaný intelektem</w:t>
      </w:r>
      <w:r w:rsidR="0035007A">
        <w:t xml:space="preserve"> v modu generické univocity</w:t>
      </w:r>
      <w:r w:rsidR="08835CA8">
        <w:t xml:space="preserve"> s absolutně oddělenou realitou</w:t>
      </w:r>
      <w:r w:rsidR="081733AB">
        <w:t xml:space="preserve">. </w:t>
      </w:r>
      <w:r w:rsidR="08C96017">
        <w:t xml:space="preserve">Objektivní </w:t>
      </w:r>
      <w:r w:rsidR="089B2E18" w:rsidRPr="00273106">
        <w:rPr>
          <w:i/>
        </w:rPr>
        <w:t>scibile</w:t>
      </w:r>
      <w:r w:rsidR="08C96017">
        <w:t xml:space="preserve"> zastupuje </w:t>
      </w:r>
      <w:r w:rsidR="089B2E18" w:rsidRPr="00273106">
        <w:t>v procesu adekvace první substanci</w:t>
      </w:r>
      <w:r w:rsidR="08C96017">
        <w:t xml:space="preserve">. </w:t>
      </w:r>
      <w:r w:rsidR="00C31400" w:rsidRPr="00C31400">
        <w:t xml:space="preserve">Pravda pak odpovídá </w:t>
      </w:r>
      <w:r w:rsidR="00C31400">
        <w:t>korespondenci objektivní „věci“ existující v „</w:t>
      </w:r>
      <w:r w:rsidR="00C31400" w:rsidRPr="00C31400">
        <w:rPr>
          <w:i/>
        </w:rPr>
        <w:t>mundus imaginalis</w:t>
      </w:r>
      <w:r w:rsidR="00C31400">
        <w:t xml:space="preserve">“ a téže věci v mysli; obě „věci“ jsou dány jako čistá potence </w:t>
      </w:r>
      <w:r w:rsidR="089B2E18" w:rsidRPr="00273106">
        <w:t>(</w:t>
      </w:r>
      <w:r w:rsidR="089B2E18" w:rsidRPr="00273106">
        <w:rPr>
          <w:i/>
        </w:rPr>
        <w:t>adaequatio vero intellectus et rei in sola potentia tantum</w:t>
      </w:r>
      <w:r w:rsidR="089B2E18" w:rsidRPr="00273106">
        <w:t xml:space="preserve">). </w:t>
      </w:r>
      <w:r w:rsidR="003947B3">
        <w:t>K</w:t>
      </w:r>
      <w:r w:rsidR="00DB65B2" w:rsidRPr="00DB65B2">
        <w:t>lasick</w:t>
      </w:r>
      <w:r w:rsidR="003947B3">
        <w:t xml:space="preserve">á  metafyzika namítla, </w:t>
      </w:r>
      <w:r w:rsidR="00DB65B2" w:rsidRPr="00DB65B2">
        <w:t xml:space="preserve">že takový potenciální pojem je založen pouze na </w:t>
      </w:r>
      <w:r w:rsidR="00DB65B2">
        <w:t>logické supozici</w:t>
      </w:r>
      <w:r w:rsidR="00DB65B2" w:rsidRPr="00DB65B2">
        <w:t xml:space="preserve">, a </w:t>
      </w:r>
      <w:r w:rsidR="00DB65B2">
        <w:t xml:space="preserve">nikoli na metafyzické impozici </w:t>
      </w:r>
      <w:r w:rsidR="00D42008">
        <w:t>významu z reálného světa</w:t>
      </w:r>
      <w:r w:rsidR="00DB65B2" w:rsidRPr="00DB65B2">
        <w:t>.</w:t>
      </w:r>
      <w:r w:rsidR="00DB65B2">
        <w:t xml:space="preserve"> </w:t>
      </w:r>
      <w:r w:rsidR="008E02F5">
        <w:t>Aristoteles</w:t>
      </w:r>
      <w:r w:rsidR="08D70617" w:rsidRPr="00273106">
        <w:t xml:space="preserve"> by řekl, že poznání je </w:t>
      </w:r>
      <w:r w:rsidR="006660D7">
        <w:t xml:space="preserve">potenciálním </w:t>
      </w:r>
      <w:r w:rsidR="08D70617" w:rsidRPr="00273106">
        <w:t>akcidentem inte</w:t>
      </w:r>
      <w:r w:rsidR="08A75954" w:rsidRPr="00273106">
        <w:t>le</w:t>
      </w:r>
      <w:r w:rsidR="08D70617" w:rsidRPr="00273106">
        <w:t xml:space="preserve">ktu, ale vzhledem k aktuálně dané věci existující </w:t>
      </w:r>
      <w:r w:rsidR="08D70617" w:rsidRPr="00273106">
        <w:rPr>
          <w:i/>
        </w:rPr>
        <w:t xml:space="preserve">simpliciter </w:t>
      </w:r>
      <w:r w:rsidR="00E31775">
        <w:t xml:space="preserve">v realitě. </w:t>
      </w:r>
      <w:r w:rsidR="08831CF6">
        <w:t xml:space="preserve">Tato reálná věc působí kauzálně skrze smysly na naše poznání, takže adekvace platí univočně a kategoriálně. </w:t>
      </w:r>
      <w:r w:rsidR="08421C1B">
        <w:t>D</w:t>
      </w:r>
      <w:r w:rsidR="00E31775">
        <w:t xml:space="preserve">efinice pravdy jako </w:t>
      </w:r>
      <w:r w:rsidR="08D70617" w:rsidRPr="00273106">
        <w:t>adekvace</w:t>
      </w:r>
      <w:r w:rsidR="00F752CE" w:rsidRPr="00273106">
        <w:t xml:space="preserve"> </w:t>
      </w:r>
      <w:r w:rsidR="08421C1B">
        <w:t xml:space="preserve">intelektu </w:t>
      </w:r>
      <w:r w:rsidR="00F752CE" w:rsidRPr="00273106">
        <w:t>k reálné věci</w:t>
      </w:r>
      <w:r w:rsidR="08D70617" w:rsidRPr="00273106">
        <w:t xml:space="preserve"> </w:t>
      </w:r>
      <w:r w:rsidR="08421C1B">
        <w:t xml:space="preserve">v traktátu </w:t>
      </w:r>
      <w:r w:rsidR="005D0F87" w:rsidRPr="00273106">
        <w:t>chybí</w:t>
      </w:r>
      <w:r w:rsidR="004F52BF">
        <w:t>, protože není potřeba. Citované</w:t>
      </w:r>
      <w:r w:rsidR="002E5B4B">
        <w:t xml:space="preserve"> </w:t>
      </w:r>
      <w:r w:rsidR="00E31775">
        <w:t xml:space="preserve">pojetí </w:t>
      </w:r>
      <w:r w:rsidR="00F5553E" w:rsidRPr="00273106">
        <w:t xml:space="preserve">pravdy </w:t>
      </w:r>
      <w:r w:rsidR="004F52BF">
        <w:t xml:space="preserve">je </w:t>
      </w:r>
      <w:r w:rsidR="00F752CE" w:rsidRPr="00273106">
        <w:t xml:space="preserve">dané </w:t>
      </w:r>
      <w:r w:rsidR="08B34855">
        <w:t xml:space="preserve">skrze eidetický náhled hypostázovaných </w:t>
      </w:r>
      <w:r w:rsidR="002E30FF" w:rsidRPr="002E30FF">
        <w:t>species</w:t>
      </w:r>
      <w:r w:rsidR="08D70617" w:rsidRPr="00273106">
        <w:t xml:space="preserve">. </w:t>
      </w:r>
      <w:r w:rsidR="00F97502">
        <w:t>A</w:t>
      </w:r>
      <w:r w:rsidR="00F97502" w:rsidRPr="00273106">
        <w:t xml:space="preserve">nonymní traktát k definici pravdy vůbec nepotřebuje </w:t>
      </w:r>
      <w:r w:rsidR="00F97502">
        <w:t>r</w:t>
      </w:r>
      <w:r w:rsidR="00A274EB" w:rsidRPr="00273106">
        <w:t xml:space="preserve">ozbor </w:t>
      </w:r>
      <w:r w:rsidR="002E3B62">
        <w:t>Averroes</w:t>
      </w:r>
      <w:r w:rsidR="00A274EB" w:rsidRPr="00273106">
        <w:t xml:space="preserve">ovy intencionality, popřípadě </w:t>
      </w:r>
      <w:r w:rsidR="00A274EB" w:rsidRPr="00273106">
        <w:rPr>
          <w:i/>
        </w:rPr>
        <w:t>intentio</w:t>
      </w:r>
      <w:r w:rsidR="00A274EB" w:rsidRPr="00273106">
        <w:t xml:space="preserve"> v rámci prvního averroismu. </w:t>
      </w:r>
      <w:r w:rsidR="008A62F8">
        <w:t>Potenciální k</w:t>
      </w:r>
      <w:r w:rsidR="00346982" w:rsidRPr="00273106">
        <w:t>orespondence mezi subsistentní a konti</w:t>
      </w:r>
      <w:r w:rsidR="001B5079">
        <w:t>n</w:t>
      </w:r>
      <w:r w:rsidR="00346982" w:rsidRPr="00273106">
        <w:t xml:space="preserve">gentní formou </w:t>
      </w:r>
      <w:r w:rsidR="08854C20">
        <w:t>(</w:t>
      </w:r>
      <w:r w:rsidR="08854C20" w:rsidRPr="08854C20">
        <w:rPr>
          <w:i/>
        </w:rPr>
        <w:t>scibile</w:t>
      </w:r>
      <w:r w:rsidR="08854C20">
        <w:t xml:space="preserve">) </w:t>
      </w:r>
      <w:r w:rsidR="00346982" w:rsidRPr="00273106">
        <w:t xml:space="preserve">je dána </w:t>
      </w:r>
      <w:r w:rsidR="008A62F8">
        <w:t>vždy</w:t>
      </w:r>
      <w:r w:rsidR="00E41B82">
        <w:t xml:space="preserve"> a </w:t>
      </w:r>
      <w:r w:rsidR="00346982" w:rsidRPr="00273106">
        <w:t>univočně</w:t>
      </w:r>
      <w:r w:rsidR="00E41B82">
        <w:t>, proto</w:t>
      </w:r>
      <w:r w:rsidR="00523C80">
        <w:t>že</w:t>
      </w:r>
      <w:r w:rsidR="00E41B82">
        <w:t xml:space="preserve"> se evidentně manifestuje </w:t>
      </w:r>
      <w:r w:rsidR="0025515F" w:rsidRPr="00273106">
        <w:t>v přímém náhledu intelektu</w:t>
      </w:r>
      <w:r w:rsidR="00346982" w:rsidRPr="00273106">
        <w:t xml:space="preserve">. </w:t>
      </w:r>
      <w:r w:rsidR="00523C80">
        <w:t xml:space="preserve">To je také důvod, proč objektivně určená pravda může jít úplně nerozlišeně </w:t>
      </w:r>
      <w:r w:rsidR="00CD161A">
        <w:t>k jakémukoliv členu demonstrativního soudu</w:t>
      </w:r>
      <w:r w:rsidR="0870043F" w:rsidRPr="00273106">
        <w:t>: k reálné věci, k inteligibilnímu obsahu v mysli, nebo k oběma současně (</w:t>
      </w:r>
      <w:r w:rsidR="0870043F" w:rsidRPr="00273106">
        <w:rPr>
          <w:i/>
        </w:rPr>
        <w:t>a parte intellectus tantum, aut a parte rei tantum, aut a parte utriusque</w:t>
      </w:r>
      <w:r w:rsidR="0870043F" w:rsidRPr="00273106">
        <w:t xml:space="preserve">). </w:t>
      </w:r>
      <w:r w:rsidR="00893A7C">
        <w:t>A</w:t>
      </w:r>
      <w:r w:rsidR="001A266D" w:rsidRPr="00273106">
        <w:t xml:space="preserve">ktualita </w:t>
      </w:r>
      <w:r w:rsidR="005223B5" w:rsidRPr="00273106">
        <w:t xml:space="preserve">a </w:t>
      </w:r>
      <w:r w:rsidR="009337E6" w:rsidRPr="00273106">
        <w:t xml:space="preserve">trvalá schopnost </w:t>
      </w:r>
      <w:r w:rsidR="001A266D" w:rsidRPr="00273106">
        <w:t>takto daného poznání</w:t>
      </w:r>
      <w:r w:rsidR="005223B5" w:rsidRPr="00273106">
        <w:t xml:space="preserve"> (</w:t>
      </w:r>
      <w:r w:rsidR="005223B5" w:rsidRPr="00273106">
        <w:rPr>
          <w:i/>
        </w:rPr>
        <w:t>actualis vel etiam habitualis</w:t>
      </w:r>
      <w:r w:rsidR="005223B5" w:rsidRPr="00273106">
        <w:t>)</w:t>
      </w:r>
      <w:r w:rsidR="00893A7C">
        <w:t xml:space="preserve"> jde z </w:t>
      </w:r>
      <w:r w:rsidR="08067EC2" w:rsidRPr="00273106">
        <w:t>poznání</w:t>
      </w:r>
      <w:r w:rsidR="00893A7C">
        <w:t xml:space="preserve">, které </w:t>
      </w:r>
      <w:r w:rsidR="0076270C">
        <w:t xml:space="preserve">není založeno na </w:t>
      </w:r>
      <w:r w:rsidR="00893A7C">
        <w:t>vztah</w:t>
      </w:r>
      <w:r w:rsidR="0076270C">
        <w:t>u</w:t>
      </w:r>
      <w:r w:rsidR="00893A7C">
        <w:t xml:space="preserve"> k reálné první substanci. </w:t>
      </w:r>
      <w:r w:rsidR="087B0210">
        <w:t xml:space="preserve">Po zániku první substance musí sofistické myšlení vyjít z nějaké avicennistické hypostáze dané pseudo-aktuálně. </w:t>
      </w:r>
      <w:r w:rsidR="082F6846" w:rsidRPr="00273106">
        <w:t xml:space="preserve">Účinnou příčinou poznání je aktuální </w:t>
      </w:r>
      <w:r w:rsidR="082F6846"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2A1A5B">
        <w:instrText>:</w:instrText>
      </w:r>
      <w:r w:rsidR="002A1A5B" w:rsidRPr="002A1A5B">
        <w:instrText>druhý averroismus</w:instrText>
      </w:r>
      <w:r w:rsidR="00DF1F0F">
        <w:instrText xml:space="preserve">" </w:instrText>
      </w:r>
      <w:r w:rsidR="00DF1F0F">
        <w:rPr>
          <w:i/>
        </w:rPr>
        <w:fldChar w:fldCharType="end"/>
      </w:r>
      <w:r w:rsidR="082F6846" w:rsidRPr="00273106">
        <w:t xml:space="preserve"> působící v člověku skrze n</w:t>
      </w:r>
      <w:r w:rsidR="08D35CB0">
        <w:t>áhled na jsoucno třetího druhu</w:t>
      </w:r>
      <w:r w:rsidR="082F6846" w:rsidRPr="00273106">
        <w:t xml:space="preserve">. </w:t>
      </w:r>
      <w:r w:rsidR="082169E3" w:rsidRPr="00273106">
        <w:t>A</w:t>
      </w:r>
      <w:r w:rsidR="08067EC2" w:rsidRPr="00273106">
        <w:t xml:space="preserve">ktualitu dodává </w:t>
      </w:r>
      <w:r w:rsidR="007F5FDC" w:rsidRPr="00273106">
        <w:t xml:space="preserve">do procesu poznání již </w:t>
      </w:r>
      <w:r w:rsidR="007F5FDC" w:rsidRPr="00273106">
        <w:lastRenderedPageBreak/>
        <w:t>zmíněné nasvícení zezadu</w:t>
      </w:r>
      <w:r w:rsidR="089C7CA2" w:rsidRPr="00273106">
        <w:t xml:space="preserve"> </w:t>
      </w:r>
      <w:r w:rsidR="08B6470B" w:rsidRPr="00273106">
        <w:t xml:space="preserve">dané </w:t>
      </w:r>
      <w:r w:rsidR="089C7CA2" w:rsidRPr="00273106">
        <w:t xml:space="preserve">skrze </w:t>
      </w:r>
      <w:r w:rsidR="001A266D" w:rsidRPr="00273106">
        <w:rPr>
          <w:i/>
        </w:rPr>
        <w:t>intellectus agens</w:t>
      </w:r>
      <w:r w:rsidR="00DF1F0F">
        <w:rPr>
          <w:i/>
        </w:rPr>
        <w:fldChar w:fldCharType="begin"/>
      </w:r>
      <w:r w:rsidR="00DF1F0F">
        <w:instrText xml:space="preserve"> XE "</w:instrText>
      </w:r>
      <w:r w:rsidR="002A1A5B">
        <w:instrText>zjevování:nasvícení zezadu</w:instrText>
      </w:r>
      <w:r w:rsidR="00DF1F0F">
        <w:instrText xml:space="preserve">" </w:instrText>
      </w:r>
      <w:r w:rsidR="00DF1F0F">
        <w:rPr>
          <w:i/>
        </w:rPr>
        <w:fldChar w:fldCharType="end"/>
      </w:r>
      <w:r w:rsidR="08EF4A98" w:rsidRPr="00273106">
        <w:t xml:space="preserve">. </w:t>
      </w:r>
      <w:r w:rsidR="00722DAF" w:rsidRPr="00273106">
        <w:t xml:space="preserve">Činnost </w:t>
      </w:r>
      <w:r w:rsidR="089B3ACD" w:rsidRPr="00273106">
        <w:t xml:space="preserve">intelektu pochází z něj samotného, protože </w:t>
      </w:r>
      <w:r w:rsidR="08C648F2">
        <w:t>představuje autonomní form</w:t>
      </w:r>
      <w:r w:rsidR="089B3ACD" w:rsidRPr="00273106">
        <w:t xml:space="preserve">u. </w:t>
      </w:r>
      <w:r w:rsidR="08EF4A98" w:rsidRPr="00273106">
        <w:t xml:space="preserve">Avicennův „létající muž“ </w:t>
      </w:r>
      <w:r w:rsidR="00825D15" w:rsidRPr="00273106">
        <w:t xml:space="preserve">si </w:t>
      </w:r>
      <w:r w:rsidR="00722DAF" w:rsidRPr="00273106">
        <w:t xml:space="preserve">také </w:t>
      </w:r>
      <w:r w:rsidR="00825D15" w:rsidRPr="00273106">
        <w:t>vystačí sám a vnější realitu k pravdivému poznání vůbec nepotřebuje</w:t>
      </w:r>
      <w:r w:rsidR="08C228E5" w:rsidRPr="00273106">
        <w:t>, nebo jen jako akcident</w:t>
      </w:r>
      <w:r w:rsidR="089B3ACD" w:rsidRPr="00273106">
        <w:t>.</w:t>
      </w:r>
      <w:r w:rsidR="08FF3716" w:rsidRPr="00273106">
        <w:t xml:space="preserve"> </w:t>
      </w:r>
      <w:r w:rsidR="00AD584A">
        <w:t>S</w:t>
      </w:r>
      <w:r w:rsidR="08FF3716" w:rsidRPr="00273106">
        <w:t xml:space="preserve">cénář </w:t>
      </w:r>
      <w:r w:rsidR="00AD584A">
        <w:t xml:space="preserve">kompilátorů díla </w:t>
      </w:r>
      <w:r w:rsidR="00AD584A" w:rsidRPr="00AD584A">
        <w:rPr>
          <w:i/>
        </w:rPr>
        <w:t xml:space="preserve">Summa philosophiae </w:t>
      </w:r>
      <w:r w:rsidR="001954F9" w:rsidRPr="00273106">
        <w:t>najdeme v původní podobě u Rufuse z Cor</w:t>
      </w:r>
      <w:r w:rsidR="00AD584A">
        <w:t>nwallu</w:t>
      </w:r>
      <w:r w:rsidR="001954F9" w:rsidRPr="00273106">
        <w:t>.</w:t>
      </w:r>
      <w:r w:rsidR="006D3425" w:rsidRPr="00273106">
        <w:t xml:space="preserve"> </w:t>
      </w:r>
      <w:r w:rsidR="08FF3716" w:rsidRPr="00273106">
        <w:t xml:space="preserve">Shrňme </w:t>
      </w:r>
      <w:r w:rsidR="00721F39" w:rsidRPr="00273106">
        <w:t xml:space="preserve">základní rekvizity </w:t>
      </w:r>
      <w:r w:rsidR="00217C3C" w:rsidRPr="00273106">
        <w:t xml:space="preserve">potřebné </w:t>
      </w:r>
      <w:r w:rsidR="00721F39" w:rsidRPr="00273106">
        <w:t>k novému vidění světa</w:t>
      </w:r>
      <w:r w:rsidR="009E28B6" w:rsidRPr="00273106">
        <w:t xml:space="preserve"> z pozice </w:t>
      </w:r>
      <w:r w:rsidR="00E96841">
        <w:t xml:space="preserve">nově založené </w:t>
      </w:r>
      <w:r w:rsidR="009E28B6" w:rsidRPr="00273106">
        <w:t>objektivity</w:t>
      </w:r>
      <w:r w:rsidR="002A1A5B">
        <w:fldChar w:fldCharType="begin"/>
      </w:r>
      <w:r w:rsidR="002A1A5B">
        <w:instrText xml:space="preserve"> XE "</w:instrText>
      </w:r>
      <w:r w:rsidR="002A1A5B" w:rsidRPr="00C85188">
        <w:instrText>objektivita:druhý averroismus</w:instrText>
      </w:r>
      <w:r w:rsidR="002A1A5B">
        <w:instrText xml:space="preserve">" </w:instrText>
      </w:r>
      <w:r w:rsidR="002A1A5B">
        <w:fldChar w:fldCharType="end"/>
      </w:r>
      <w:r w:rsidR="001B5079">
        <w:t>.</w:t>
      </w:r>
    </w:p>
    <w:p w14:paraId="7B16951A" w14:textId="77777777" w:rsidR="006D3425" w:rsidRPr="00273106" w:rsidRDefault="001B5079" w:rsidP="00565C35">
      <w:pPr>
        <w:pStyle w:val="Odstavecseseznamem"/>
        <w:numPr>
          <w:ilvl w:val="0"/>
          <w:numId w:val="8"/>
        </w:numPr>
      </w:pPr>
      <w:r>
        <w:t xml:space="preserve">Došlo k zatmění </w:t>
      </w:r>
      <w:r w:rsidR="0836592A" w:rsidRPr="00273106">
        <w:t xml:space="preserve">první substance a </w:t>
      </w:r>
      <w:r>
        <w:t xml:space="preserve">k potlačení kauzálního působení </w:t>
      </w:r>
      <w:r w:rsidR="0836592A" w:rsidRPr="00273106">
        <w:t xml:space="preserve">reality </w:t>
      </w:r>
      <w:r>
        <w:t xml:space="preserve">skrze </w:t>
      </w:r>
      <w:r w:rsidR="0836592A" w:rsidRPr="00273106">
        <w:t>stře</w:t>
      </w:r>
      <w:r w:rsidR="006D3425" w:rsidRPr="00273106">
        <w:t>dní člen ve vědeckém důkazu</w:t>
      </w:r>
      <w:r w:rsidR="00AF5379">
        <w:t xml:space="preserve">. Tím vzniklo nové pojetí vědy v modu </w:t>
      </w:r>
      <w:r w:rsidR="00AF5379">
        <w:rPr>
          <w:i/>
        </w:rPr>
        <w:t>Oxf</w:t>
      </w:r>
      <w:r w:rsidR="00AF5379" w:rsidRPr="00AF5379">
        <w:rPr>
          <w:i/>
        </w:rPr>
        <w:t>ordian Fallacy</w:t>
      </w:r>
      <w:r>
        <w:t>.</w:t>
      </w:r>
    </w:p>
    <w:p w14:paraId="2C62FF88" w14:textId="2BC3598D" w:rsidR="00DB21C1" w:rsidRDefault="00DB21C1" w:rsidP="00565C35">
      <w:pPr>
        <w:pStyle w:val="Odstavecseseznamem"/>
        <w:numPr>
          <w:ilvl w:val="0"/>
          <w:numId w:val="8"/>
        </w:numPr>
      </w:pPr>
      <w:r>
        <w:t xml:space="preserve">Různorodé hypostáze a jsoucna třetího druhu </w:t>
      </w:r>
      <w:r w:rsidRPr="00273106">
        <w:t xml:space="preserve">dostaly </w:t>
      </w:r>
      <w:r>
        <w:t>kauzální určení v rámci středního členu demonstrativního soudu</w:t>
      </w:r>
      <w:r w:rsidR="00CA00C4">
        <w:t xml:space="preserve">; tyto formy </w:t>
      </w:r>
      <w:r w:rsidR="00CA00C4" w:rsidRPr="00CA00C4">
        <w:rPr>
          <w:i/>
        </w:rPr>
        <w:t>tertium ens</w:t>
      </w:r>
      <w:r w:rsidR="00CA00C4">
        <w:t xml:space="preserve"> </w:t>
      </w:r>
      <w:r w:rsidRPr="00273106">
        <w:t xml:space="preserve">přešly do </w:t>
      </w:r>
      <w:r>
        <w:t xml:space="preserve">vědeckého poznání ve formě moderního </w:t>
      </w:r>
      <w:r w:rsidRPr="001B5079">
        <w:rPr>
          <w:i/>
        </w:rPr>
        <w:t>scibile</w:t>
      </w:r>
      <w:r>
        <w:t xml:space="preserve">. Nová forma poznání vytvořila i nový habitus subjektu, který vytvořil dějinně </w:t>
      </w:r>
      <w:r w:rsidR="00BA09B8">
        <w:t xml:space="preserve">nový </w:t>
      </w:r>
      <w:r>
        <w:t>habitat moderní vědy</w:t>
      </w:r>
      <w:r w:rsidR="00925C42">
        <w:t xml:space="preserve"> </w:t>
      </w:r>
      <w:r w:rsidR="00925C42">
        <w:rPr>
          <w:szCs w:val="24"/>
        </w:rPr>
        <w:t>(</w:t>
      </w:r>
      <w:r w:rsidR="00925C42" w:rsidRPr="00492B19">
        <w:rPr>
          <w:i/>
          <w:szCs w:val="24"/>
        </w:rPr>
        <w:t>ortus scientiarum</w:t>
      </w:r>
      <w:r w:rsidR="00925C42">
        <w:rPr>
          <w:i/>
          <w:szCs w:val="24"/>
        </w:rPr>
        <w:fldChar w:fldCharType="begin"/>
      </w:r>
      <w:r w:rsidR="00925C42">
        <w:instrText xml:space="preserve"> XE "</w:instrText>
      </w:r>
      <w:r w:rsidR="00925C42" w:rsidRPr="008D6980">
        <w:rPr>
          <w:i/>
          <w:szCs w:val="24"/>
        </w:rPr>
        <w:instrText>ortus scientiarum</w:instrText>
      </w:r>
      <w:r w:rsidR="00925C42">
        <w:instrText xml:space="preserve">" </w:instrText>
      </w:r>
      <w:r w:rsidR="00925C42">
        <w:rPr>
          <w:i/>
          <w:szCs w:val="24"/>
        </w:rPr>
        <w:fldChar w:fldCharType="end"/>
      </w:r>
      <w:r w:rsidR="00925C42">
        <w:rPr>
          <w:szCs w:val="24"/>
        </w:rPr>
        <w:t>)</w:t>
      </w:r>
      <w:r>
        <w:t>.</w:t>
      </w:r>
    </w:p>
    <w:p w14:paraId="6CF1CC43" w14:textId="69FCC7E9" w:rsidR="00211F2F" w:rsidRPr="00273106" w:rsidRDefault="00211F2F" w:rsidP="00565C35">
      <w:pPr>
        <w:pStyle w:val="Odstavecseseznamem"/>
        <w:numPr>
          <w:ilvl w:val="0"/>
          <w:numId w:val="8"/>
        </w:numPr>
      </w:pPr>
      <w:r>
        <w:t xml:space="preserve">Reflexivní </w:t>
      </w:r>
      <w:r w:rsidR="083F4C3C">
        <w:t xml:space="preserve">evidence </w:t>
      </w:r>
      <w:r w:rsidRPr="00273106">
        <w:t xml:space="preserve">poznávacího </w:t>
      </w:r>
      <w:r>
        <w:t xml:space="preserve">subjektu nahradila impozici významu od první substance </w:t>
      </w:r>
      <w:r w:rsidR="08544564">
        <w:t xml:space="preserve">svou vlastní </w:t>
      </w:r>
      <w:r>
        <w:t xml:space="preserve">supozicí v modu </w:t>
      </w:r>
      <w:r w:rsidRPr="001B5079">
        <w:rPr>
          <w:i/>
        </w:rPr>
        <w:t>rectitudo</w:t>
      </w:r>
      <w:r>
        <w:t xml:space="preserve"> a </w:t>
      </w:r>
      <w:r w:rsidRPr="001B5079">
        <w:rPr>
          <w:i/>
        </w:rPr>
        <w:t>certitudo</w:t>
      </w:r>
      <w:r>
        <w:t>.</w:t>
      </w:r>
      <w:r w:rsidR="001572EC">
        <w:t xml:space="preserve"> </w:t>
      </w:r>
      <w:r>
        <w:t>M</w:t>
      </w:r>
      <w:r w:rsidRPr="00273106">
        <w:t xml:space="preserve">ystické osvícení </w:t>
      </w:r>
      <w:r w:rsidR="00F831B0">
        <w:t xml:space="preserve">je dáno </w:t>
      </w:r>
      <w:r w:rsidRPr="00273106">
        <w:t xml:space="preserve">činným intelektem daným v duši jako </w:t>
      </w:r>
      <w:r>
        <w:t xml:space="preserve">nezávislá </w:t>
      </w:r>
      <w:r w:rsidRPr="00273106">
        <w:t>substance</w:t>
      </w:r>
      <w:r w:rsidR="00F831B0">
        <w:t xml:space="preserve">. Tento náhled </w:t>
      </w:r>
      <w:r>
        <w:t xml:space="preserve">založil vyšší poznání iluminátů </w:t>
      </w:r>
      <w:r w:rsidR="0032038D">
        <w:t xml:space="preserve">zásvětí daného </w:t>
      </w:r>
      <w:r>
        <w:t>mimo reálný svět kontigentních prvních substancí.</w:t>
      </w:r>
    </w:p>
    <w:p w14:paraId="1336079A" w14:textId="0944C61C" w:rsidR="006D3425" w:rsidRPr="00876295" w:rsidRDefault="001B5079" w:rsidP="00565C35">
      <w:pPr>
        <w:numPr>
          <w:ilvl w:val="0"/>
          <w:numId w:val="10"/>
        </w:numPr>
        <w:rPr>
          <w:szCs w:val="24"/>
        </w:rPr>
      </w:pPr>
      <w:r>
        <w:t xml:space="preserve">Pravdu zakládá </w:t>
      </w:r>
      <w:r w:rsidR="009E0A65">
        <w:t xml:space="preserve">přímý </w:t>
      </w:r>
      <w:r w:rsidR="006D3425" w:rsidRPr="00273106">
        <w:t>e</w:t>
      </w:r>
      <w:r w:rsidR="00721F39" w:rsidRPr="00273106">
        <w:t xml:space="preserve">idetický náhled </w:t>
      </w:r>
      <w:r w:rsidR="00747CEB">
        <w:t xml:space="preserve">do vždy aktuálních a hypostázovaných </w:t>
      </w:r>
      <w:r w:rsidR="00721F39" w:rsidRPr="00273106">
        <w:t>prvních principů poznání</w:t>
      </w:r>
      <w:r w:rsidR="00747CEB">
        <w:t xml:space="preserve"> daných v intelektu </w:t>
      </w:r>
      <w:r>
        <w:t xml:space="preserve">evidentně a </w:t>
      </w:r>
      <w:r w:rsidR="00747CEB">
        <w:t>před jakýmkoliv jiným poznáním</w:t>
      </w:r>
      <w:r>
        <w:t>.</w:t>
      </w:r>
      <w:r w:rsidR="00211F2F">
        <w:t xml:space="preserve"> Tím vzniklo nové pojetí pravdy v modu univoční asimilace předem daných </w:t>
      </w:r>
      <w:r w:rsidR="00F121DF">
        <w:t>objektivních</w:t>
      </w:r>
      <w:r w:rsidR="08844AAC">
        <w:t xml:space="preserve"> </w:t>
      </w:r>
      <w:r w:rsidR="002E30FF" w:rsidRPr="002E30FF">
        <w:t>species</w:t>
      </w:r>
      <w:r w:rsidR="00876295">
        <w:t xml:space="preserve"> v mo</w:t>
      </w:r>
      <w:r w:rsidR="00876295">
        <w:rPr>
          <w:szCs w:val="24"/>
        </w:rPr>
        <w:t>du „</w:t>
      </w:r>
      <w:r w:rsidR="00876295" w:rsidRPr="00810895">
        <w:rPr>
          <w:i/>
          <w:szCs w:val="24"/>
        </w:rPr>
        <w:t>semel</w:t>
      </w:r>
      <w:r w:rsidR="00876295">
        <w:rPr>
          <w:rFonts w:cs="Calibri"/>
          <w:i/>
          <w:szCs w:val="24"/>
        </w:rPr>
        <w:t>–</w:t>
      </w:r>
      <w:r w:rsidR="00876295" w:rsidRPr="00810895">
        <w:rPr>
          <w:rFonts w:cs="Calibri"/>
          <w:i/>
          <w:szCs w:val="24"/>
        </w:rPr>
        <w:t>s</w:t>
      </w:r>
      <w:r w:rsidR="00876295" w:rsidRPr="00810895">
        <w:rPr>
          <w:i/>
          <w:szCs w:val="24"/>
        </w:rPr>
        <w:t>emper</w:t>
      </w:r>
      <w:r w:rsidR="00876295">
        <w:rPr>
          <w:i/>
          <w:szCs w:val="24"/>
        </w:rPr>
        <w:fldChar w:fldCharType="begin"/>
      </w:r>
      <w:r w:rsidR="00876295">
        <w:instrText xml:space="preserve"> XE "</w:instrText>
      </w:r>
      <w:r w:rsidR="00876295" w:rsidRPr="00467418">
        <w:rPr>
          <w:i/>
          <w:szCs w:val="24"/>
        </w:rPr>
        <w:instrText>semel</w:instrText>
      </w:r>
      <w:r w:rsidR="00876295" w:rsidRPr="00467418">
        <w:rPr>
          <w:rFonts w:cs="Calibri"/>
          <w:i/>
          <w:szCs w:val="24"/>
        </w:rPr>
        <w:instrText>–s</w:instrText>
      </w:r>
      <w:r w:rsidR="00876295" w:rsidRPr="00467418">
        <w:rPr>
          <w:i/>
          <w:szCs w:val="24"/>
        </w:rPr>
        <w:instrText>emper</w:instrText>
      </w:r>
      <w:r w:rsidR="00876295">
        <w:instrText xml:space="preserve">" </w:instrText>
      </w:r>
      <w:r w:rsidR="00876295">
        <w:rPr>
          <w:i/>
          <w:szCs w:val="24"/>
        </w:rPr>
        <w:fldChar w:fldCharType="end"/>
      </w:r>
      <w:r w:rsidR="00876295">
        <w:rPr>
          <w:szCs w:val="24"/>
        </w:rPr>
        <w:t>“.</w:t>
      </w:r>
      <w:r>
        <w:t xml:space="preserve"> </w:t>
      </w:r>
    </w:p>
    <w:p w14:paraId="1ACE49BB" w14:textId="45879FD8" w:rsidR="006D3425" w:rsidRPr="00273106" w:rsidRDefault="009F4C4C" w:rsidP="00565C35">
      <w:pPr>
        <w:pStyle w:val="Odstavecseseznamem"/>
        <w:numPr>
          <w:ilvl w:val="0"/>
          <w:numId w:val="8"/>
        </w:numPr>
      </w:pPr>
      <w:r>
        <w:t>Pravda</w:t>
      </w:r>
      <w:r w:rsidR="00402219">
        <w:t xml:space="preserve"> jako absolutní </w:t>
      </w:r>
      <w:r>
        <w:t xml:space="preserve">jistota </w:t>
      </w:r>
      <w:r w:rsidR="009A643D">
        <w:t>(</w:t>
      </w:r>
      <w:r w:rsidR="009A643D" w:rsidRPr="009A643D">
        <w:rPr>
          <w:i/>
        </w:rPr>
        <w:t>certitudo</w:t>
      </w:r>
      <w:r w:rsidR="009A643D">
        <w:t xml:space="preserve">) </w:t>
      </w:r>
      <w:r>
        <w:t>moderního subjektu je dána v</w:t>
      </w:r>
      <w:r w:rsidR="00402219">
        <w:t xml:space="preserve"> absolutní </w:t>
      </w:r>
      <w:r w:rsidR="00D77E4F">
        <w:t xml:space="preserve">správnosti </w:t>
      </w:r>
      <w:r w:rsidR="009A643D">
        <w:t>(</w:t>
      </w:r>
      <w:r w:rsidR="009A643D" w:rsidRPr="00402219">
        <w:rPr>
          <w:i/>
        </w:rPr>
        <w:t>rectitudo</w:t>
      </w:r>
      <w:r w:rsidR="009A643D">
        <w:t xml:space="preserve">) </w:t>
      </w:r>
      <w:r>
        <w:t>moderního boha</w:t>
      </w:r>
      <w:r w:rsidR="00127BD4">
        <w:t xml:space="preserve">. </w:t>
      </w:r>
      <w:r w:rsidR="00F04F75" w:rsidRPr="00F04F75">
        <w:t>Shoda obou mytologických subje</w:t>
      </w:r>
      <w:r w:rsidR="00F04F75">
        <w:t xml:space="preserve">ktů nastává na základě </w:t>
      </w:r>
      <w:r w:rsidR="00F04F75" w:rsidRPr="00F04F75">
        <w:rPr>
          <w:i/>
        </w:rPr>
        <w:t>Oxfordian Fallacy</w:t>
      </w:r>
      <w:r w:rsidR="00F04F75" w:rsidRPr="00F04F75">
        <w:t>, kt</w:t>
      </w:r>
      <w:r w:rsidR="00F04F75">
        <w:t>erá vyžaduje analogickou formu o</w:t>
      </w:r>
      <w:r w:rsidR="00F04F75" w:rsidRPr="00F04F75">
        <w:t>ntoteologie (</w:t>
      </w:r>
      <w:r w:rsidR="00F04F75" w:rsidRPr="00F04F75">
        <w:rPr>
          <w:i/>
        </w:rPr>
        <w:t>analogia entis</w:t>
      </w:r>
      <w:r w:rsidR="00F04F75">
        <w:rPr>
          <w:i/>
        </w:rPr>
        <w:fldChar w:fldCharType="begin"/>
      </w:r>
      <w:r w:rsidR="00F04F75">
        <w:instrText xml:space="preserve"> XE "</w:instrText>
      </w:r>
      <w:r w:rsidR="00F04F75" w:rsidRPr="005230B7">
        <w:rPr>
          <w:i/>
        </w:rPr>
        <w:instrText>analogia entis</w:instrText>
      </w:r>
      <w:r w:rsidR="00F04F75">
        <w:instrText xml:space="preserve">" </w:instrText>
      </w:r>
      <w:r w:rsidR="00F04F75">
        <w:rPr>
          <w:i/>
        </w:rPr>
        <w:fldChar w:fldCharType="end"/>
      </w:r>
      <w:r w:rsidR="00F04F75" w:rsidRPr="00F04F75">
        <w:t>).</w:t>
      </w:r>
      <w:r w:rsidR="009950E8">
        <w:t xml:space="preserve"> </w:t>
      </w:r>
      <w:r w:rsidR="002B3488">
        <w:t xml:space="preserve">Smrt </w:t>
      </w:r>
      <w:r w:rsidR="009A21BE">
        <w:t xml:space="preserve">moderního </w:t>
      </w:r>
      <w:r w:rsidR="002B3488">
        <w:t xml:space="preserve">boha </w:t>
      </w:r>
      <w:r w:rsidR="00052AF1">
        <w:t xml:space="preserve">je proto pevně spojena se smrtí </w:t>
      </w:r>
      <w:r w:rsidR="00D32742">
        <w:t xml:space="preserve">moderního </w:t>
      </w:r>
      <w:r w:rsidR="00843AAC">
        <w:t xml:space="preserve">subjektu, obojí završeno </w:t>
      </w:r>
      <w:r w:rsidR="002B3488">
        <w:t xml:space="preserve">v epoše </w:t>
      </w:r>
      <w:r w:rsidR="00843AAC">
        <w:t>metafyzického nihilismu a antropocénu</w:t>
      </w:r>
      <w:r w:rsidR="002B3488">
        <w:t xml:space="preserve">. </w:t>
      </w:r>
    </w:p>
    <w:p w14:paraId="76EF59E8" w14:textId="14C741ED" w:rsidR="00FA3E65" w:rsidRDefault="00031F8A" w:rsidP="00565C35">
      <w:pPr>
        <w:pStyle w:val="Odstavecseseznamem"/>
        <w:numPr>
          <w:ilvl w:val="0"/>
          <w:numId w:val="8"/>
        </w:numPr>
      </w:pPr>
      <w:r w:rsidRPr="00031F8A">
        <w:t xml:space="preserve">Logický determinismus </w:t>
      </w:r>
      <w:r w:rsidRPr="00273106">
        <w:t>budoucích kontingentních událostí</w:t>
      </w:r>
      <w:r>
        <w:t xml:space="preserve"> </w:t>
      </w:r>
      <w:r w:rsidRPr="00031F8A">
        <w:t xml:space="preserve">zahrnuje </w:t>
      </w:r>
      <w:r>
        <w:t xml:space="preserve">modus </w:t>
      </w:r>
      <w:r w:rsidRPr="00031F8A">
        <w:rPr>
          <w:i/>
        </w:rPr>
        <w:t>absolute</w:t>
      </w:r>
      <w:r w:rsidRPr="00031F8A">
        <w:t xml:space="preserve"> a </w:t>
      </w:r>
      <w:r w:rsidRPr="00031F8A">
        <w:rPr>
          <w:i/>
        </w:rPr>
        <w:t>per se</w:t>
      </w:r>
      <w:r w:rsidRPr="00031F8A">
        <w:t xml:space="preserve"> daných událostí, které jsou predikovány </w:t>
      </w:r>
      <w:r>
        <w:t xml:space="preserve">univočním </w:t>
      </w:r>
      <w:r w:rsidRPr="00031F8A">
        <w:t xml:space="preserve">způsobem. </w:t>
      </w:r>
      <w:r>
        <w:t xml:space="preserve">Nutný </w:t>
      </w:r>
      <w:r w:rsidRPr="00031F8A">
        <w:t xml:space="preserve">příchod </w:t>
      </w:r>
      <w:r w:rsidRPr="00031F8A">
        <w:lastRenderedPageBreak/>
        <w:t xml:space="preserve">Antikrista </w:t>
      </w:r>
      <w:r>
        <w:t>do moderní filosofie potvrdil zatmění první substance</w:t>
      </w:r>
      <w:r w:rsidR="00320800">
        <w:t>. H</w:t>
      </w:r>
      <w:r w:rsidR="086A3C85">
        <w:t xml:space="preserve">yparchický </w:t>
      </w:r>
      <w:r w:rsidR="001B5079">
        <w:t>status</w:t>
      </w:r>
      <w:r w:rsidR="00320800">
        <w:t xml:space="preserve"> první substance </w:t>
      </w:r>
      <w:r w:rsidR="001B5079">
        <w:t>přestal určovat</w:t>
      </w:r>
      <w:r w:rsidR="008D142A">
        <w:t xml:space="preserve"> </w:t>
      </w:r>
      <w:r w:rsidR="086A3C85">
        <w:t>metafyzickou formu univerzality a nutnosti</w:t>
      </w:r>
      <w:r w:rsidR="08A42A91">
        <w:t>.</w:t>
      </w:r>
    </w:p>
    <w:p w14:paraId="5759045A" w14:textId="4A9A4AFA" w:rsidR="083D4EEE" w:rsidRPr="083D4EEE" w:rsidRDefault="0003644D" w:rsidP="00565C35">
      <w:pPr>
        <w:pStyle w:val="Odstavecseseznamem"/>
        <w:numPr>
          <w:ilvl w:val="0"/>
          <w:numId w:val="8"/>
        </w:numPr>
      </w:pPr>
      <w:r>
        <w:t xml:space="preserve">Logicky nutný, leč kontigentně neurčitelný </w:t>
      </w:r>
      <w:r w:rsidR="00B70FB4">
        <w:t>příchod Antikrista nutí akademické ilumináty</w:t>
      </w:r>
      <w:r w:rsidR="005D439E">
        <w:t xml:space="preserve"> inspirované Avicennou</w:t>
      </w:r>
      <w:r w:rsidR="00B70FB4">
        <w:t xml:space="preserve">, aby budovali nový věk vlády </w:t>
      </w:r>
      <w:r w:rsidR="00D84AA0">
        <w:t>D</w:t>
      </w:r>
      <w:r w:rsidR="00B70FB4">
        <w:t xml:space="preserve">ucha </w:t>
      </w:r>
      <w:r w:rsidR="00D84AA0">
        <w:t xml:space="preserve">svatého </w:t>
      </w:r>
      <w:r w:rsidR="00B70FB4">
        <w:t xml:space="preserve">pod egidou </w:t>
      </w:r>
      <w:r w:rsidR="00B7576F">
        <w:t xml:space="preserve">nově vyloženého </w:t>
      </w:r>
      <w:r w:rsidR="006E30B6">
        <w:t xml:space="preserve">averroismu. </w:t>
      </w:r>
      <w:r w:rsidR="00FB6811" w:rsidRPr="00FB6811">
        <w:t xml:space="preserve">Této skupině osvícených akademiků dominuje vítězný duch </w:t>
      </w:r>
      <w:r w:rsidR="00FB6811" w:rsidRPr="00273106">
        <w:rPr>
          <w:i/>
          <w:iCs/>
        </w:rPr>
        <w:t>intelligentia spiritualis</w:t>
      </w:r>
      <w:r w:rsidR="00FB6811">
        <w:rPr>
          <w:i/>
          <w:iCs/>
        </w:rPr>
        <w:fldChar w:fldCharType="begin"/>
      </w:r>
      <w:r w:rsidR="00FB6811">
        <w:instrText xml:space="preserve"> XE "</w:instrText>
      </w:r>
      <w:r w:rsidR="00FB6811" w:rsidRPr="008132DE">
        <w:rPr>
          <w:i/>
          <w:iCs/>
        </w:rPr>
        <w:instrText>intelligentia spiritualis</w:instrText>
      </w:r>
      <w:r w:rsidR="00FB6811">
        <w:instrText xml:space="preserve">" </w:instrText>
      </w:r>
      <w:r w:rsidR="00FB6811">
        <w:rPr>
          <w:i/>
          <w:iCs/>
        </w:rPr>
        <w:fldChar w:fldCharType="end"/>
      </w:r>
      <w:r w:rsidR="00FB6811" w:rsidRPr="00FB6811">
        <w:t xml:space="preserve"> (Joachim von Fiore). Považují se za vrchol světového moderního pokroku (poz</w:t>
      </w:r>
      <w:r w:rsidR="00FB6811">
        <w:t>ději za vůdce revolucí a evolucí) a t</w:t>
      </w:r>
      <w:r w:rsidR="006E30B6">
        <w:t xml:space="preserve">ato skupina moderních osvícenců </w:t>
      </w:r>
      <w:r w:rsidR="00FB6811">
        <w:t xml:space="preserve">se </w:t>
      </w:r>
      <w:r w:rsidR="00E645B6" w:rsidRPr="00FB6811">
        <w:rPr>
          <w:iCs/>
        </w:rPr>
        <w:t>chápe jako nová škola</w:t>
      </w:r>
      <w:r w:rsidR="0093039D" w:rsidRPr="00FB6811">
        <w:rPr>
          <w:iCs/>
        </w:rPr>
        <w:t xml:space="preserve"> myšlení</w:t>
      </w:r>
      <w:r w:rsidR="086C7A36" w:rsidRPr="00FB6811">
        <w:rPr>
          <w:iCs/>
        </w:rPr>
        <w:t xml:space="preserve"> (</w:t>
      </w:r>
      <w:r w:rsidR="086C7A36" w:rsidRPr="00FB6811">
        <w:rPr>
          <w:i/>
          <w:iCs/>
        </w:rPr>
        <w:t>via Modernorum</w:t>
      </w:r>
      <w:r w:rsidR="086C7A36" w:rsidRPr="00FB6811">
        <w:rPr>
          <w:iCs/>
        </w:rPr>
        <w:t>)</w:t>
      </w:r>
      <w:r w:rsidR="083D4EEE" w:rsidRPr="00FB6811">
        <w:rPr>
          <w:iCs/>
        </w:rPr>
        <w:t>.</w:t>
      </w:r>
    </w:p>
    <w:p w14:paraId="58F6850B" w14:textId="26922E63" w:rsidR="00934218" w:rsidRDefault="00116E00" w:rsidP="00934218">
      <w:r w:rsidRPr="00273106">
        <w:t xml:space="preserve">Role Grossetesteho </w:t>
      </w:r>
      <w:r w:rsidR="00E341CB">
        <w:t>se podobá roli Al-</w:t>
      </w:r>
      <w:r w:rsidR="008E02F5">
        <w:t>Fárábí</w:t>
      </w:r>
      <w:r w:rsidRPr="00273106">
        <w:t xml:space="preserve">ho ve falsafě. Klíčový postulátor analytického výkladu </w:t>
      </w:r>
      <w:r w:rsidRPr="000C039E">
        <w:rPr>
          <w:i/>
        </w:rPr>
        <w:t>Druhých analytik</w:t>
      </w:r>
      <w:r w:rsidRPr="00273106">
        <w:t xml:space="preserve"> zahájil </w:t>
      </w:r>
      <w:r w:rsidR="086065E2" w:rsidRPr="00273106">
        <w:t xml:space="preserve">vládnoucí </w:t>
      </w:r>
      <w:r w:rsidRPr="00273106">
        <w:t xml:space="preserve">éru </w:t>
      </w:r>
      <w:r w:rsidRPr="00273106">
        <w:rPr>
          <w:i/>
        </w:rPr>
        <w:t>Oxfordian Fallacy</w:t>
      </w:r>
      <w:r w:rsidR="00B52078" w:rsidRPr="00273106">
        <w:t xml:space="preserve">, ale pořád </w:t>
      </w:r>
      <w:r w:rsidR="004D0BEA" w:rsidRPr="00273106">
        <w:t>se snaží respektovat</w:t>
      </w:r>
      <w:r w:rsidR="00B52078" w:rsidRPr="00273106">
        <w:t xml:space="preserve"> </w:t>
      </w:r>
      <w:r w:rsidR="00445E30">
        <w:t xml:space="preserve">původní </w:t>
      </w:r>
      <w:r w:rsidR="004D0BEA" w:rsidRPr="00273106">
        <w:t xml:space="preserve">smysl </w:t>
      </w:r>
      <w:r w:rsidR="00B52078" w:rsidRPr="00273106">
        <w:t>aristotelské</w:t>
      </w:r>
      <w:r w:rsidR="00445E30">
        <w:t xml:space="preserve"> metafyziky</w:t>
      </w:r>
      <w:r w:rsidR="00B52078" w:rsidRPr="00273106">
        <w:t xml:space="preserve">. </w:t>
      </w:r>
      <w:r w:rsidR="00D373AF" w:rsidRPr="00273106">
        <w:t xml:space="preserve">Grosseteste potvrdil Aristotelovu nauku v </w:t>
      </w:r>
      <w:r w:rsidR="00D373AF">
        <w:rPr>
          <w:i/>
        </w:rPr>
        <w:t>De anima</w:t>
      </w:r>
      <w:r w:rsidR="00D373AF" w:rsidRPr="00273106">
        <w:t xml:space="preserve"> vázanou na reálné působení hylemorfického individua v duši jako formě těla a odmítl mnohost substanciálních forem v člověku. Proto jej Roger Bacon z hlediska nauky o duši a poznání řadil do p</w:t>
      </w:r>
      <w:r w:rsidR="08A42A91">
        <w:t>roudu prvního averroismu (kap. 3</w:t>
      </w:r>
      <w:r w:rsidR="00D373AF" w:rsidRPr="00273106">
        <w:t>.2). Ale Grossetesteho následovn</w:t>
      </w:r>
      <w:r w:rsidR="08A42A91">
        <w:t>íci</w:t>
      </w:r>
      <w:r w:rsidR="00D373AF" w:rsidRPr="00273106">
        <w:t xml:space="preserve"> vytvořili duši jako kvazi</w:t>
      </w:r>
      <w:r w:rsidR="00D373AF" w:rsidRPr="00273106">
        <w:noBreakHyphen/>
        <w:t xml:space="preserve">substanci a zavedli do ní rodové a specifické diference na způsob </w:t>
      </w:r>
      <w:r w:rsidR="00D373AF" w:rsidRPr="00273106">
        <w:rPr>
          <w:i/>
        </w:rPr>
        <w:t>Nominales</w:t>
      </w:r>
      <w:r w:rsidR="00D373AF" w:rsidRPr="00273106">
        <w:t>.</w:t>
      </w:r>
      <w:r w:rsidR="00D373AF">
        <w:t xml:space="preserve"> </w:t>
      </w:r>
      <w:r w:rsidRPr="00273106">
        <w:t>Pohled na celkov</w:t>
      </w:r>
      <w:r w:rsidR="00130001" w:rsidRPr="00273106">
        <w:t>o</w:t>
      </w:r>
      <w:r w:rsidRPr="00273106">
        <w:t xml:space="preserve">u strukturu </w:t>
      </w:r>
      <w:r w:rsidR="000C039E">
        <w:t xml:space="preserve">jsoucna </w:t>
      </w:r>
      <w:r w:rsidRPr="00273106">
        <w:t xml:space="preserve">ukazuje </w:t>
      </w:r>
      <w:r w:rsidR="00874074">
        <w:t>neoplatonsk</w:t>
      </w:r>
      <w:r w:rsidRPr="00273106">
        <w:t>é a avicennistické zaměření</w:t>
      </w:r>
      <w:r w:rsidR="08C061B6" w:rsidRPr="08C061B6">
        <w:t xml:space="preserve"> </w:t>
      </w:r>
      <w:r w:rsidR="08C061B6" w:rsidRPr="00273106">
        <w:t>Grosseteste</w:t>
      </w:r>
      <w:r w:rsidR="08C061B6">
        <w:t>ho</w:t>
      </w:r>
      <w:r w:rsidR="00AF7C7D">
        <w:t>, pro</w:t>
      </w:r>
      <w:r w:rsidR="00D373AF">
        <w:t>t</w:t>
      </w:r>
      <w:r w:rsidR="00AF7C7D">
        <w:t>o</w:t>
      </w:r>
      <w:r w:rsidR="00D373AF">
        <w:t xml:space="preserve">že </w:t>
      </w:r>
      <w:r w:rsidR="00130001" w:rsidRPr="00273106">
        <w:t xml:space="preserve">strukturuje proces poznání podle scénáře </w:t>
      </w:r>
      <w:r w:rsidR="00AA1089">
        <w:rPr>
          <w:i/>
        </w:rPr>
        <w:t>Liber de c</w:t>
      </w:r>
      <w:r w:rsidR="00130001" w:rsidRPr="00273106">
        <w:rPr>
          <w:i/>
        </w:rPr>
        <w:t>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130001" w:rsidRPr="00273106">
        <w:t>. Směřování vyšších forem směrem do nižších (</w:t>
      </w:r>
      <w:r w:rsidR="00130001" w:rsidRPr="00273106">
        <w:rPr>
          <w:i/>
        </w:rPr>
        <w:t>processio</w:t>
      </w:r>
      <w:r w:rsidR="00130001" w:rsidRPr="00273106">
        <w:t xml:space="preserve">) završuje osvícená lidská mysl na úrovni sublunární </w:t>
      </w:r>
      <w:r w:rsidR="08A42A91">
        <w:t>sféry</w:t>
      </w:r>
      <w:r w:rsidR="00130001" w:rsidRPr="00273106">
        <w:t xml:space="preserve">. </w:t>
      </w:r>
      <w:r w:rsidR="002F4686">
        <w:t>Na základě metafory n</w:t>
      </w:r>
      <w:r w:rsidR="002F4686" w:rsidRPr="002F4686">
        <w:t xml:space="preserve">eoplatonického slunečního intelektu </w:t>
      </w:r>
      <w:r w:rsidR="002F4686">
        <w:t xml:space="preserve">zakládá vize </w:t>
      </w:r>
      <w:r w:rsidR="002F4686" w:rsidRPr="00273106">
        <w:t>exemplarem osvícené mysli (</w:t>
      </w:r>
      <w:r w:rsidR="002F4686" w:rsidRPr="00273106">
        <w:rPr>
          <w:i/>
        </w:rPr>
        <w:t>spiritus visivus</w:t>
      </w:r>
      <w:r w:rsidR="002F4686" w:rsidRPr="00273106">
        <w:t>)</w:t>
      </w:r>
      <w:r w:rsidR="002F4686">
        <w:t xml:space="preserve"> </w:t>
      </w:r>
      <w:r w:rsidR="002F4686" w:rsidRPr="002F4686">
        <w:t xml:space="preserve">vzestupný pohyb duše. </w:t>
      </w:r>
      <w:r w:rsidR="002F4686">
        <w:t>Moderní d</w:t>
      </w:r>
      <w:r w:rsidR="002F4686" w:rsidRPr="002F4686">
        <w:t xml:space="preserve">uch </w:t>
      </w:r>
      <w:r w:rsidR="002F4686">
        <w:t xml:space="preserve">tak </w:t>
      </w:r>
      <w:r w:rsidR="002F4686" w:rsidRPr="002F4686">
        <w:t>může dosáhnout říše nehmotných a věčných forem (McEvoy 1977).</w:t>
      </w:r>
      <w:r w:rsidR="002F4686">
        <w:t xml:space="preserve"> </w:t>
      </w:r>
      <w:r w:rsidR="087035BE">
        <w:t>Augustinově triádě (</w:t>
      </w:r>
      <w:r w:rsidRPr="00273106">
        <w:rPr>
          <w:i/>
        </w:rPr>
        <w:t>intelligentia</w:t>
      </w:r>
      <w:r w:rsidRPr="00273106">
        <w:t>–</w:t>
      </w:r>
      <w:r w:rsidRPr="00273106">
        <w:rPr>
          <w:i/>
        </w:rPr>
        <w:t>memoria</w:t>
      </w:r>
      <w:r w:rsidR="00E6051F">
        <w:rPr>
          <w:i/>
        </w:rPr>
        <w:fldChar w:fldCharType="begin"/>
      </w:r>
      <w:r w:rsidR="00E6051F">
        <w:instrText xml:space="preserve"> XE "</w:instrText>
      </w:r>
      <w:r w:rsidR="00E6051F" w:rsidRPr="00840D0F">
        <w:rPr>
          <w:i/>
        </w:rPr>
        <w:instrText>memoria:</w:instrText>
      </w:r>
      <w:r w:rsidR="00E6051F" w:rsidRPr="00840D0F">
        <w:instrText>druhý averroismus</w:instrText>
      </w:r>
      <w:r w:rsidR="00E6051F">
        <w:instrText xml:space="preserve">" </w:instrText>
      </w:r>
      <w:r w:rsidR="00E6051F">
        <w:rPr>
          <w:i/>
        </w:rPr>
        <w:fldChar w:fldCharType="end"/>
      </w:r>
      <w:r w:rsidRPr="00273106">
        <w:rPr>
          <w:i/>
        </w:rPr>
        <w:t>–amor</w:t>
      </w:r>
      <w:r w:rsidR="087035BE">
        <w:t>)</w:t>
      </w:r>
      <w:r w:rsidRPr="00273106">
        <w:t xml:space="preserve"> odpovídají na straně intelektu tři složky stále vyšší míry poznání (</w:t>
      </w:r>
      <w:r w:rsidRPr="00273106">
        <w:rPr>
          <w:i/>
        </w:rPr>
        <w:t>opinio</w:t>
      </w:r>
      <w:r w:rsidRPr="00273106">
        <w:t>–</w:t>
      </w:r>
      <w:r w:rsidRPr="00273106">
        <w:rPr>
          <w:i/>
        </w:rPr>
        <w:t>ratio</w:t>
      </w:r>
      <w:r w:rsidRPr="00273106">
        <w:t>–</w:t>
      </w:r>
      <w:r w:rsidRPr="00273106">
        <w:rPr>
          <w:i/>
        </w:rPr>
        <w:t>intellectus</w:t>
      </w:r>
      <w:r w:rsidR="08EE518B">
        <w:t xml:space="preserve">). Těmto intelektuálním formám </w:t>
      </w:r>
      <w:r w:rsidRPr="00273106">
        <w:t>odpovídají tři základní procesy abstrakce a poznání (</w:t>
      </w:r>
      <w:r w:rsidR="08D96069" w:rsidRPr="08D96069">
        <w:rPr>
          <w:i/>
        </w:rPr>
        <w:t>abstractio</w:t>
      </w:r>
      <w:r w:rsidRPr="00273106">
        <w:t>–</w:t>
      </w:r>
      <w:r w:rsidR="08D96069" w:rsidRPr="08D96069">
        <w:rPr>
          <w:i/>
        </w:rPr>
        <w:t>denudatio</w:t>
      </w:r>
      <w:r w:rsidRPr="00273106">
        <w:t>–</w:t>
      </w:r>
      <w:r w:rsidRPr="00273106">
        <w:rPr>
          <w:i/>
        </w:rPr>
        <w:t>illuminatio</w:t>
      </w:r>
      <w:r w:rsidR="008A424C">
        <w:rPr>
          <w:i/>
        </w:rPr>
        <w:fldChar w:fldCharType="begin"/>
      </w:r>
      <w:r w:rsidR="008A424C">
        <w:instrText xml:space="preserve"> XE "</w:instrText>
      </w:r>
      <w:r w:rsidR="008A424C" w:rsidRPr="0003504E">
        <w:instrText>iluminace</w:instrText>
      </w:r>
      <w:r w:rsidR="008A424C">
        <w:instrText xml:space="preserve">" </w:instrText>
      </w:r>
      <w:r w:rsidR="008A424C">
        <w:rPr>
          <w:i/>
        </w:rPr>
        <w:fldChar w:fldCharType="end"/>
      </w:r>
      <w:r w:rsidRPr="00273106">
        <w:t xml:space="preserve">). Model poznání </w:t>
      </w:r>
      <w:r w:rsidRPr="00273106">
        <w:rPr>
          <w:i/>
        </w:rPr>
        <w:t>per prius</w:t>
      </w:r>
      <w:r w:rsidRPr="00273106">
        <w:t xml:space="preserve"> a </w:t>
      </w:r>
      <w:r w:rsidRPr="00273106">
        <w:rPr>
          <w:i/>
        </w:rPr>
        <w:t>per posterius</w:t>
      </w:r>
      <w:r w:rsidRPr="00273106">
        <w:t xml:space="preserve"> daný v originálním podání Organonu (</w:t>
      </w:r>
      <w:r w:rsidR="088F235E">
        <w:t xml:space="preserve">OBJ I, </w:t>
      </w:r>
      <w:r w:rsidR="084E7952">
        <w:t>kap. 1.3</w:t>
      </w:r>
      <w:r w:rsidRPr="00273106">
        <w:t xml:space="preserve">) je ve </w:t>
      </w:r>
      <w:r w:rsidR="004C0971">
        <w:t>scénáři druhého</w:t>
      </w:r>
      <w:r w:rsidR="08D65756" w:rsidRPr="00273106">
        <w:t xml:space="preserve"> averroismu postavený na hlavu. </w:t>
      </w:r>
      <w:r w:rsidR="00DC235F" w:rsidRPr="00DC235F">
        <w:t xml:space="preserve">Spor kolem roku 1240 se proto týkal vzniku </w:t>
      </w:r>
      <w:r w:rsidR="00DC235F" w:rsidRPr="00DC235F">
        <w:rPr>
          <w:i/>
        </w:rPr>
        <w:t>via Modernorum</w:t>
      </w:r>
      <w:r w:rsidR="00DC235F" w:rsidRPr="00DC235F">
        <w:t xml:space="preserve"> a obrany Aristotelovy metafyziky a vědy</w:t>
      </w:r>
      <w:r w:rsidR="00DC235F">
        <w:t xml:space="preserve"> podle S</w:t>
      </w:r>
      <w:r w:rsidR="00DC235F" w:rsidRPr="00DC235F">
        <w:t xml:space="preserve">icilské </w:t>
      </w:r>
      <w:r w:rsidR="00DC235F">
        <w:t xml:space="preserve">školy. </w:t>
      </w:r>
      <w:r w:rsidR="08363D36">
        <w:t xml:space="preserve">Tuto anti-moderní </w:t>
      </w:r>
      <w:r w:rsidR="00EE3F09">
        <w:t xml:space="preserve">filosofii </w:t>
      </w:r>
      <w:r w:rsidR="08363D36">
        <w:t xml:space="preserve">jasně </w:t>
      </w:r>
      <w:r w:rsidR="080510F9">
        <w:t xml:space="preserve">předložil </w:t>
      </w:r>
      <w:r w:rsidRPr="00273106">
        <w:t xml:space="preserve">Albert </w:t>
      </w:r>
      <w:r w:rsidR="08C73BE7">
        <w:t xml:space="preserve">v první části spisu </w:t>
      </w:r>
      <w:r w:rsidR="08C73BE7" w:rsidRPr="08C73BE7">
        <w:rPr>
          <w:i/>
        </w:rPr>
        <w:t>De homine</w:t>
      </w:r>
      <w:r w:rsidRPr="00273106">
        <w:t xml:space="preserve">. </w:t>
      </w:r>
      <w:r w:rsidRPr="00273106">
        <w:rPr>
          <w:rStyle w:val="Zkladntext158dkovn0pt"/>
          <w:color w:val="auto"/>
          <w:spacing w:val="0"/>
          <w:sz w:val="24"/>
          <w:lang w:val="cs-CZ"/>
        </w:rPr>
        <w:t>Po recepci Kordóbského génia již není problémem jen ontologický statut substan</w:t>
      </w:r>
      <w:r w:rsidR="00B829DA">
        <w:rPr>
          <w:rStyle w:val="Zkladntext158dkovn0pt"/>
          <w:color w:val="auto"/>
          <w:spacing w:val="0"/>
          <w:sz w:val="24"/>
          <w:lang w:val="cs-CZ"/>
        </w:rPr>
        <w:t xml:space="preserve">ce v rámci </w:t>
      </w:r>
      <w:r w:rsidR="00B829DA" w:rsidRPr="003829A1">
        <w:rPr>
          <w:rStyle w:val="Zkladntext158dkovn0pt"/>
          <w:i/>
          <w:color w:val="auto"/>
          <w:spacing w:val="0"/>
          <w:sz w:val="24"/>
          <w:lang w:val="cs-CZ"/>
        </w:rPr>
        <w:t>Kategorií</w:t>
      </w:r>
      <w:r w:rsidR="00B829DA">
        <w:rPr>
          <w:rStyle w:val="Zkladntext158dkovn0pt"/>
          <w:color w:val="auto"/>
          <w:spacing w:val="0"/>
          <w:sz w:val="24"/>
          <w:lang w:val="cs-CZ"/>
        </w:rPr>
        <w:t xml:space="preserve"> či </w:t>
      </w:r>
      <w:r w:rsidR="003829A1">
        <w:rPr>
          <w:rStyle w:val="Zkladntext158dkovn0pt"/>
          <w:i/>
          <w:color w:val="auto"/>
          <w:spacing w:val="0"/>
          <w:sz w:val="24"/>
          <w:lang w:val="cs-CZ"/>
        </w:rPr>
        <w:t>Isagoge</w:t>
      </w:r>
      <w:r w:rsidR="00B829DA">
        <w:rPr>
          <w:rStyle w:val="Zkladntext158dkovn0pt"/>
          <w:color w:val="auto"/>
          <w:spacing w:val="0"/>
          <w:sz w:val="24"/>
          <w:lang w:val="cs-CZ"/>
        </w:rPr>
        <w:t xml:space="preserve">. Tento spor měla už raná </w:t>
      </w:r>
      <w:r w:rsidR="00B829DA">
        <w:rPr>
          <w:rStyle w:val="Zkladntext158dkovn0pt"/>
          <w:color w:val="auto"/>
          <w:spacing w:val="0"/>
          <w:sz w:val="24"/>
          <w:lang w:val="cs-CZ"/>
        </w:rPr>
        <w:lastRenderedPageBreak/>
        <w:t xml:space="preserve">scholastika ve sporu o určení substance </w:t>
      </w:r>
      <w:r w:rsidR="008A424C">
        <w:rPr>
          <w:rStyle w:val="Zkladntext158dkovn0pt"/>
          <w:color w:val="auto"/>
          <w:spacing w:val="0"/>
          <w:sz w:val="24"/>
          <w:lang w:val="cs-CZ"/>
        </w:rPr>
        <w:fldChar w:fldCharType="begin"/>
      </w:r>
      <w:r w:rsidR="008A424C">
        <w:instrText xml:space="preserve"> XE "</w:instrText>
      </w:r>
      <w:r w:rsidR="008A424C" w:rsidRPr="00723E6E">
        <w:instrText>substance:gigantomachie</w:instrText>
      </w:r>
      <w:r w:rsidR="008A424C">
        <w:instrText xml:space="preserve">" </w:instrText>
      </w:r>
      <w:r w:rsidR="008A424C">
        <w:rPr>
          <w:rStyle w:val="Zkladntext158dkovn0pt"/>
          <w:color w:val="auto"/>
          <w:spacing w:val="0"/>
          <w:sz w:val="24"/>
          <w:lang w:val="cs-CZ"/>
        </w:rPr>
        <w:fldChar w:fldCharType="end"/>
      </w:r>
      <w:r w:rsidRPr="00273106">
        <w:rPr>
          <w:rStyle w:val="Zkladntext158dkovn0pt"/>
          <w:color w:val="auto"/>
          <w:spacing w:val="0"/>
          <w:sz w:val="24"/>
          <w:lang w:val="cs-CZ"/>
        </w:rPr>
        <w:t xml:space="preserve">z hlediska </w:t>
      </w:r>
      <w:r w:rsidR="00874074">
        <w:rPr>
          <w:rStyle w:val="Zkladntext158dkovn0pt"/>
          <w:color w:val="auto"/>
          <w:spacing w:val="0"/>
          <w:sz w:val="24"/>
          <w:lang w:val="cs-CZ"/>
        </w:rPr>
        <w:t>neoplatonsk</w:t>
      </w:r>
      <w:r w:rsidRPr="00273106">
        <w:rPr>
          <w:rStyle w:val="Zkladntext158dkovn0pt"/>
          <w:color w:val="auto"/>
          <w:spacing w:val="0"/>
          <w:sz w:val="24"/>
          <w:lang w:val="cs-CZ"/>
        </w:rPr>
        <w:t xml:space="preserve">é (Gilbert, </w:t>
      </w:r>
      <w:r w:rsidRPr="00273106">
        <w:rPr>
          <w:rStyle w:val="Zkladntext158dkovn0pt"/>
          <w:i/>
          <w:color w:val="auto"/>
          <w:spacing w:val="0"/>
          <w:sz w:val="24"/>
          <w:lang w:val="cs-CZ"/>
        </w:rPr>
        <w:t>Nominales</w:t>
      </w:r>
      <w:r w:rsidRPr="00273106">
        <w:rPr>
          <w:rStyle w:val="Zkladntext158dkovn0pt"/>
          <w:color w:val="auto"/>
          <w:spacing w:val="0"/>
          <w:sz w:val="24"/>
          <w:lang w:val="cs-CZ"/>
        </w:rPr>
        <w:t>)</w:t>
      </w:r>
      <w:r w:rsidR="00B829DA">
        <w:rPr>
          <w:rStyle w:val="Zkladntext158dkovn0pt"/>
          <w:color w:val="auto"/>
          <w:spacing w:val="0"/>
          <w:sz w:val="24"/>
          <w:lang w:val="cs-CZ"/>
        </w:rPr>
        <w:t>,</w:t>
      </w:r>
      <w:r w:rsidRPr="00273106">
        <w:rPr>
          <w:rStyle w:val="Zkladntext158dkovn0pt"/>
          <w:color w:val="auto"/>
          <w:spacing w:val="0"/>
          <w:sz w:val="24"/>
          <w:lang w:val="cs-CZ"/>
        </w:rPr>
        <w:t xml:space="preserve"> či boethiovsko-aristotelské signifikace (</w:t>
      </w:r>
      <w:r w:rsidR="00CB3E4F">
        <w:rPr>
          <w:rStyle w:val="Zkladntext158dkovn0pt"/>
          <w:color w:val="auto"/>
          <w:spacing w:val="0"/>
          <w:sz w:val="24"/>
          <w:lang w:val="cs-CZ"/>
        </w:rPr>
        <w:t>Abélard</w:t>
      </w:r>
      <w:r w:rsidRPr="00273106">
        <w:rPr>
          <w:rStyle w:val="Zkladntext158dkovn0pt"/>
          <w:color w:val="auto"/>
          <w:spacing w:val="0"/>
          <w:sz w:val="24"/>
          <w:lang w:val="cs-CZ"/>
        </w:rPr>
        <w:t xml:space="preserve">, </w:t>
      </w:r>
      <w:r w:rsidRPr="00273106">
        <w:rPr>
          <w:rStyle w:val="Zkladntext158dkovn0pt"/>
          <w:i/>
          <w:color w:val="auto"/>
          <w:spacing w:val="0"/>
          <w:sz w:val="24"/>
          <w:lang w:val="cs-CZ"/>
        </w:rPr>
        <w:t>Tractatus Anagnini</w:t>
      </w:r>
      <w:r w:rsidR="088B7A69" w:rsidRPr="00273106">
        <w:rPr>
          <w:rStyle w:val="Zkladntext158dkovn0pt"/>
          <w:color w:val="auto"/>
          <w:spacing w:val="0"/>
          <w:sz w:val="24"/>
          <w:lang w:val="cs-CZ"/>
        </w:rPr>
        <w:t xml:space="preserve">, </w:t>
      </w:r>
      <w:r w:rsidR="088B7A69" w:rsidRPr="00273106">
        <w:rPr>
          <w:i/>
        </w:rPr>
        <w:t>Logica „Cum sit nostra“</w:t>
      </w:r>
      <w:r w:rsidRPr="00273106">
        <w:rPr>
          <w:rStyle w:val="Zkladntext158dkovn0pt"/>
          <w:color w:val="auto"/>
          <w:spacing w:val="0"/>
          <w:sz w:val="24"/>
          <w:lang w:val="cs-CZ"/>
        </w:rPr>
        <w:t xml:space="preserve">). </w:t>
      </w:r>
      <w:r w:rsidR="006A51BA" w:rsidRPr="006A51BA">
        <w:rPr>
          <w:rStyle w:val="Zkladntext158dkovn0pt"/>
          <w:color w:val="auto"/>
          <w:spacing w:val="0"/>
          <w:sz w:val="24"/>
          <w:lang w:val="cs-CZ"/>
        </w:rPr>
        <w:t>Další kolo gigantoma</w:t>
      </w:r>
      <w:r w:rsidR="006A51BA">
        <w:rPr>
          <w:rStyle w:val="Zkladntext158dkovn0pt"/>
          <w:color w:val="auto"/>
          <w:spacing w:val="0"/>
          <w:sz w:val="24"/>
          <w:lang w:val="cs-CZ"/>
        </w:rPr>
        <w:t>chy po přijetí CMDA od let 1225–</w:t>
      </w:r>
      <w:r w:rsidR="006A51BA" w:rsidRPr="006A51BA">
        <w:rPr>
          <w:rStyle w:val="Zkladntext158dkovn0pt"/>
          <w:color w:val="auto"/>
          <w:spacing w:val="0"/>
          <w:sz w:val="24"/>
          <w:lang w:val="cs-CZ"/>
        </w:rPr>
        <w:t>30 bylo založeno</w:t>
      </w:r>
      <w:r w:rsidR="006A51BA">
        <w:rPr>
          <w:rStyle w:val="Zkladntext158dkovn0pt"/>
          <w:color w:val="auto"/>
          <w:spacing w:val="0"/>
          <w:sz w:val="24"/>
          <w:lang w:val="cs-CZ"/>
        </w:rPr>
        <w:t xml:space="preserve"> na sporu Toletánů a Siciliánů </w:t>
      </w:r>
      <w:r w:rsidR="006A51BA" w:rsidRPr="006A51BA">
        <w:rPr>
          <w:rStyle w:val="Zkladntext158dkovn0pt"/>
          <w:color w:val="auto"/>
          <w:spacing w:val="0"/>
          <w:sz w:val="24"/>
          <w:lang w:val="cs-CZ"/>
        </w:rPr>
        <w:t xml:space="preserve">o povahu </w:t>
      </w:r>
      <w:r w:rsidR="006A51BA">
        <w:rPr>
          <w:rStyle w:val="Zkladntext158dkovn0pt"/>
          <w:color w:val="auto"/>
          <w:spacing w:val="0"/>
          <w:sz w:val="24"/>
          <w:lang w:val="cs-CZ"/>
        </w:rPr>
        <w:t xml:space="preserve">metafyziky a poznání založených </w:t>
      </w:r>
      <w:r w:rsidR="006A51BA" w:rsidRPr="006A51BA">
        <w:rPr>
          <w:rStyle w:val="Zkladntext158dkovn0pt"/>
          <w:color w:val="auto"/>
          <w:spacing w:val="0"/>
          <w:sz w:val="24"/>
          <w:lang w:val="cs-CZ"/>
        </w:rPr>
        <w:t xml:space="preserve">na konceptu </w:t>
      </w:r>
      <w:r w:rsidR="006A51BA" w:rsidRPr="006A51BA">
        <w:rPr>
          <w:rStyle w:val="Zkladntext158dkovn0pt"/>
          <w:i/>
          <w:color w:val="auto"/>
          <w:spacing w:val="0"/>
          <w:sz w:val="24"/>
          <w:lang w:val="cs-CZ"/>
        </w:rPr>
        <w:t>intellectus possibilis</w:t>
      </w:r>
      <w:r w:rsidR="006A51BA" w:rsidRPr="006A51BA">
        <w:rPr>
          <w:rStyle w:val="Zkladntext158dkovn0pt"/>
          <w:color w:val="auto"/>
          <w:spacing w:val="0"/>
          <w:sz w:val="24"/>
          <w:lang w:val="cs-CZ"/>
        </w:rPr>
        <w:t>.</w:t>
      </w:r>
      <w:r w:rsidR="006A51BA">
        <w:rPr>
          <w:rStyle w:val="Zkladntext158dkovn0pt"/>
          <w:color w:val="auto"/>
          <w:spacing w:val="0"/>
          <w:sz w:val="24"/>
          <w:lang w:val="cs-CZ"/>
        </w:rPr>
        <w:t xml:space="preserve"> </w:t>
      </w:r>
      <w:r w:rsidR="00300668" w:rsidRPr="00273106">
        <w:t xml:space="preserve">Konjunkce Avicennova latinského překladu </w:t>
      </w:r>
      <w:r w:rsidR="00300668">
        <w:rPr>
          <w:i/>
        </w:rPr>
        <w:t>De anima</w:t>
      </w:r>
      <w:r w:rsidR="00300668" w:rsidRPr="00273106">
        <w:t xml:space="preserve"> a Avicebronova</w:t>
      </w:r>
      <w:r w:rsidR="004C27BA">
        <w:fldChar w:fldCharType="begin"/>
      </w:r>
      <w:r w:rsidR="004C27BA">
        <w:instrText xml:space="preserve"> XE "</w:instrText>
      </w:r>
      <w:r w:rsidR="004C27BA" w:rsidRPr="00E1327E">
        <w:instrText>Avicebron</w:instrText>
      </w:r>
      <w:r w:rsidR="004C27BA">
        <w:instrText xml:space="preserve">" </w:instrText>
      </w:r>
      <w:r w:rsidR="004C27BA">
        <w:fldChar w:fldCharType="end"/>
      </w:r>
      <w:r w:rsidR="00300668" w:rsidRPr="00273106">
        <w:t xml:space="preserve"> díla </w:t>
      </w:r>
      <w:r w:rsidR="00300668" w:rsidRPr="00273106">
        <w:rPr>
          <w:i/>
        </w:rPr>
        <w:t>Fons vitae</w:t>
      </w:r>
      <w:r w:rsidR="00300668" w:rsidRPr="00273106">
        <w:t xml:space="preserve"> vytvořila základ pro nové vidění reality, které plně dosvědčila </w:t>
      </w:r>
      <w:r w:rsidR="00300668" w:rsidRPr="00273106">
        <w:rPr>
          <w:i/>
        </w:rPr>
        <w:t>Summa philosophiae</w:t>
      </w:r>
      <w:r w:rsidR="00423320">
        <w:rPr>
          <w:i/>
        </w:rPr>
        <w:t xml:space="preserve"> </w:t>
      </w:r>
      <w:r w:rsidR="00423320" w:rsidRPr="00423320">
        <w:t>psaná v další generaci po smrti Grossetesteho</w:t>
      </w:r>
      <w:r w:rsidR="00300668" w:rsidRPr="00423320">
        <w:t>.</w:t>
      </w:r>
      <w:r w:rsidR="00423320">
        <w:t xml:space="preserve"> </w:t>
      </w:r>
      <w:bookmarkStart w:id="110" w:name="_Toc487234316"/>
      <w:bookmarkStart w:id="111" w:name="_Toc12558323"/>
      <w:r w:rsidR="00934218" w:rsidRPr="00934218">
        <w:t>Proto hermeneutická archeologie musí najít a interpretovat místo vzniku moderny v první generaci oxfordských studentů</w:t>
      </w:r>
      <w:r w:rsidR="00E21D7B">
        <w:t xml:space="preserve"> v letech 1230–35</w:t>
      </w:r>
      <w:r w:rsidR="00934218" w:rsidRPr="00934218">
        <w:t>.</w:t>
      </w:r>
    </w:p>
    <w:p w14:paraId="443DABBC" w14:textId="045AE48C" w:rsidR="00221596" w:rsidRPr="00273106" w:rsidRDefault="08626077" w:rsidP="005F6FB8">
      <w:pPr>
        <w:pStyle w:val="Nadpis2"/>
      </w:pPr>
      <w:r>
        <w:rPr>
          <w:lang w:val="cs-CZ"/>
        </w:rPr>
        <w:br w:type="page"/>
      </w:r>
      <w:bookmarkStart w:id="112" w:name="_Toc160449336"/>
      <w:r w:rsidR="08D20D28">
        <w:rPr>
          <w:lang w:val="cs-CZ"/>
        </w:rPr>
        <w:lastRenderedPageBreak/>
        <w:t>3</w:t>
      </w:r>
      <w:r w:rsidR="00221596" w:rsidRPr="00273106">
        <w:t>.</w:t>
      </w:r>
      <w:r w:rsidR="00050538" w:rsidRPr="00273106">
        <w:t>2</w:t>
      </w:r>
      <w:r w:rsidR="004F3DC4" w:rsidRPr="00273106">
        <w:t xml:space="preserve"> </w:t>
      </w:r>
      <w:r w:rsidR="083D7598">
        <w:t xml:space="preserve">Moderní </w:t>
      </w:r>
      <w:r w:rsidR="08A725C6">
        <w:t>simulákrum</w:t>
      </w:r>
      <w:r w:rsidR="088D232D">
        <w:t xml:space="preserve"> </w:t>
      </w:r>
      <w:r w:rsidR="083D7598">
        <w:t xml:space="preserve">člověka a </w:t>
      </w:r>
      <w:r w:rsidR="088D232D">
        <w:t>světa</w:t>
      </w:r>
      <w:bookmarkEnd w:id="110"/>
      <w:bookmarkEnd w:id="111"/>
      <w:bookmarkEnd w:id="112"/>
    </w:p>
    <w:p w14:paraId="0CF21315" w14:textId="09B6D6CA" w:rsidR="082454F3" w:rsidRPr="00273106" w:rsidRDefault="000406FB" w:rsidP="00E018CC">
      <w:r w:rsidRPr="00273106">
        <w:t>Kapitola věnová Alvernovi zmínila jeho kritickou reakci na příchod</w:t>
      </w:r>
      <w:r w:rsidR="08147F05">
        <w:rPr>
          <w:iCs/>
        </w:rPr>
        <w:t xml:space="preserve"> materie třetího druhu (kap. 2</w:t>
      </w:r>
      <w:r w:rsidRPr="00273106">
        <w:rPr>
          <w:iCs/>
        </w:rPr>
        <w:t>.3</w:t>
      </w:r>
      <w:r w:rsidR="00D548D9">
        <w:rPr>
          <w:iCs/>
        </w:rPr>
        <w:t>.3</w:t>
      </w:r>
      <w:r w:rsidRPr="00273106">
        <w:rPr>
          <w:iCs/>
        </w:rPr>
        <w:t>). Toto pojetí Západ přijal především od židovských (</w:t>
      </w:r>
      <w:r w:rsidRPr="00273106">
        <w:t>Avicebron</w:t>
      </w:r>
      <w:r w:rsidR="004C27BA">
        <w:fldChar w:fldCharType="begin"/>
      </w:r>
      <w:r w:rsidR="004C27BA">
        <w:instrText xml:space="preserve"> XE "</w:instrText>
      </w:r>
      <w:r w:rsidR="004C27BA" w:rsidRPr="006968B2">
        <w:instrText>Avicebron</w:instrText>
      </w:r>
      <w:r w:rsidR="004C27BA">
        <w:instrText xml:space="preserve">" </w:instrText>
      </w:r>
      <w:r w:rsidR="004C27BA">
        <w:fldChar w:fldCharType="end"/>
      </w:r>
      <w:r w:rsidRPr="00273106">
        <w:t>)</w:t>
      </w:r>
      <w:r w:rsidRPr="00273106">
        <w:rPr>
          <w:iCs/>
        </w:rPr>
        <w:t xml:space="preserve"> a arabských myslitelů (Avempace</w:t>
      </w:r>
      <w:r w:rsidR="00842CF7">
        <w:rPr>
          <w:iCs/>
        </w:rPr>
        <w:fldChar w:fldCharType="begin"/>
      </w:r>
      <w:r w:rsidR="00842CF7">
        <w:instrText xml:space="preserve"> XE "</w:instrText>
      </w:r>
      <w:r w:rsidR="00842CF7" w:rsidRPr="00762D06">
        <w:rPr>
          <w:iCs/>
        </w:rPr>
        <w:instrText>Avempace</w:instrText>
      </w:r>
      <w:r w:rsidR="00842CF7">
        <w:instrText xml:space="preserve">" </w:instrText>
      </w:r>
      <w:r w:rsidR="00842CF7">
        <w:rPr>
          <w:iCs/>
        </w:rPr>
        <w:fldChar w:fldCharType="end"/>
      </w:r>
      <w:r w:rsidRPr="00273106">
        <w:rPr>
          <w:iCs/>
        </w:rPr>
        <w:t xml:space="preserve">). </w:t>
      </w:r>
      <w:r w:rsidR="003A21BC">
        <w:rPr>
          <w:iCs/>
        </w:rPr>
        <w:t>Avicebronovo d</w:t>
      </w:r>
      <w:r w:rsidR="00293783" w:rsidRPr="00273106">
        <w:t xml:space="preserve">ílo </w:t>
      </w:r>
      <w:r w:rsidR="00293783" w:rsidRPr="00273106">
        <w:rPr>
          <w:i/>
        </w:rPr>
        <w:t>Fons vitae</w:t>
      </w:r>
      <w:r w:rsidR="00293783" w:rsidRPr="00273106">
        <w:t xml:space="preserve"> </w:t>
      </w:r>
      <w:r w:rsidR="003A21BC">
        <w:t xml:space="preserve">(okolo 1150) </w:t>
      </w:r>
      <w:r w:rsidR="00566B46" w:rsidRPr="00273106">
        <w:t>zakládá vidění reality v modu moderního dualismu, který Grosseteste tematizoval ve dvojím pojetí vědy (</w:t>
      </w:r>
      <w:r w:rsidR="00566B46" w:rsidRPr="00273106">
        <w:rPr>
          <w:i/>
        </w:rPr>
        <w:t>scientia</w:t>
      </w:r>
      <w:r w:rsidR="00566B46" w:rsidRPr="00273106">
        <w:t xml:space="preserve">, </w:t>
      </w:r>
      <w:r w:rsidR="00622B98">
        <w:rPr>
          <w:i/>
        </w:rPr>
        <w:t>intellectus</w:t>
      </w:r>
      <w:r w:rsidR="005D6BEF">
        <w:rPr>
          <w:i/>
        </w:rPr>
        <w:fldChar w:fldCharType="begin"/>
      </w:r>
      <w:r w:rsidR="005D6BEF">
        <w:instrText xml:space="preserve"> XE "</w:instrText>
      </w:r>
      <w:r w:rsidR="005D6BEF" w:rsidRPr="005F77F6">
        <w:rPr>
          <w:i/>
          <w:szCs w:val="24"/>
        </w:rPr>
        <w:instrText>scientia/intellectus</w:instrText>
      </w:r>
      <w:r w:rsidR="005D6BEF">
        <w:instrText xml:space="preserve">" </w:instrText>
      </w:r>
      <w:r w:rsidR="005D6BEF">
        <w:rPr>
          <w:i/>
        </w:rPr>
        <w:fldChar w:fldCharType="end"/>
      </w:r>
      <w:r w:rsidR="00566B46" w:rsidRPr="00273106">
        <w:t>)</w:t>
      </w:r>
      <w:r w:rsidR="007A7AA1" w:rsidRPr="00273106">
        <w:t xml:space="preserve">. Jeho žáci </w:t>
      </w:r>
      <w:r w:rsidR="005E09D4">
        <w:t>inspirovaní tímto schématem poznání</w:t>
      </w:r>
      <w:r w:rsidR="007A7AA1" w:rsidRPr="00273106">
        <w:t xml:space="preserve"> vytvořili </w:t>
      </w:r>
      <w:r w:rsidR="005E09D4">
        <w:t xml:space="preserve">novou verzi </w:t>
      </w:r>
      <w:r w:rsidR="005E09D4" w:rsidRPr="00273106">
        <w:t>individuálního jsoucna</w:t>
      </w:r>
      <w:r w:rsidR="005E09D4">
        <w:t>, které d</w:t>
      </w:r>
      <w:r w:rsidR="00603675">
        <w:t>ostalo i materii třetího druhu. Dílo</w:t>
      </w:r>
      <w:r w:rsidR="00E71C57" w:rsidRPr="00273106">
        <w:t xml:space="preserve"> </w:t>
      </w:r>
      <w:r w:rsidR="00E71C57" w:rsidRPr="00273106">
        <w:rPr>
          <w:i/>
        </w:rPr>
        <w:t>Fons vitae</w:t>
      </w:r>
      <w:r w:rsidR="00E71C57" w:rsidRPr="00273106">
        <w:t xml:space="preserve"> </w:t>
      </w:r>
      <w:r w:rsidR="004A0412">
        <w:t>zavedlo zdvojenou realitu</w:t>
      </w:r>
      <w:r w:rsidR="00BE3623" w:rsidRPr="00273106">
        <w:t xml:space="preserve"> </w:t>
      </w:r>
      <w:r w:rsidR="004A0412">
        <w:t xml:space="preserve">do </w:t>
      </w:r>
      <w:r w:rsidR="008369CA">
        <w:t>myšlení moderny</w:t>
      </w:r>
      <w:r w:rsidR="00C46A17">
        <w:t>.</w:t>
      </w:r>
    </w:p>
    <w:p w14:paraId="3DD2C08E" w14:textId="3A8D3286" w:rsidR="002E3899" w:rsidRPr="00273106" w:rsidRDefault="082454F3" w:rsidP="00BE3623">
      <w:pPr>
        <w:pStyle w:val="Citace"/>
        <w:rPr>
          <w:noProof/>
          <w:lang w:val="cs-CZ"/>
        </w:rPr>
      </w:pPr>
      <w:r w:rsidRPr="00273106">
        <w:rPr>
          <w:noProof/>
          <w:lang w:val="cs-CZ"/>
        </w:rPr>
        <w:t>„</w:t>
      </w:r>
      <w:r w:rsidR="002E5557">
        <w:rPr>
          <w:noProof/>
          <w:lang w:val="cs-CZ"/>
        </w:rPr>
        <w:t>Věz, že p</w:t>
      </w:r>
      <w:r w:rsidR="00BE3623" w:rsidRPr="00273106">
        <w:rPr>
          <w:noProof/>
          <w:lang w:val="cs-CZ"/>
        </w:rPr>
        <w:t>rimární forma</w:t>
      </w:r>
      <w:r w:rsidR="08147E1A">
        <w:rPr>
          <w:noProof/>
          <w:lang w:val="cs-CZ"/>
        </w:rPr>
        <w:t xml:space="preserve"> (</w:t>
      </w:r>
      <w:r w:rsidR="08147E1A" w:rsidRPr="08147E1A">
        <w:rPr>
          <w:i/>
          <w:noProof/>
          <w:lang w:val="cs-CZ"/>
        </w:rPr>
        <w:t>prima forma</w:t>
      </w:r>
      <w:r w:rsidR="08147E1A">
        <w:rPr>
          <w:noProof/>
          <w:lang w:val="cs-CZ"/>
        </w:rPr>
        <w:t>)</w:t>
      </w:r>
      <w:r w:rsidR="00BE3623" w:rsidRPr="00273106">
        <w:rPr>
          <w:noProof/>
          <w:lang w:val="cs-CZ"/>
        </w:rPr>
        <w:t>, pokud se spojuje s vyšší formou látky</w:t>
      </w:r>
      <w:r w:rsidR="08147E1A">
        <w:rPr>
          <w:noProof/>
          <w:lang w:val="cs-CZ"/>
        </w:rPr>
        <w:t xml:space="preserve"> (</w:t>
      </w:r>
      <w:r w:rsidR="08147E1A" w:rsidRPr="08147E1A">
        <w:rPr>
          <w:i/>
        </w:rPr>
        <w:t>altiori materiae</w:t>
      </w:r>
      <w:r w:rsidR="08147E1A">
        <w:rPr>
          <w:noProof/>
          <w:lang w:val="cs-CZ"/>
        </w:rPr>
        <w:t>)</w:t>
      </w:r>
      <w:r w:rsidR="00BE3623" w:rsidRPr="00273106">
        <w:rPr>
          <w:noProof/>
          <w:lang w:val="cs-CZ"/>
        </w:rPr>
        <w:t xml:space="preserve">, zakládá inteligibilní </w:t>
      </w:r>
      <w:r w:rsidR="002E30FF" w:rsidRPr="002E30FF">
        <w:rPr>
          <w:noProof/>
          <w:lang w:val="cs-CZ"/>
        </w:rPr>
        <w:t>species</w:t>
      </w:r>
      <w:r w:rsidR="00BE3623" w:rsidRPr="00273106">
        <w:rPr>
          <w:noProof/>
          <w:lang w:val="cs-CZ"/>
        </w:rPr>
        <w:t xml:space="preserve"> (</w:t>
      </w:r>
      <w:r w:rsidR="00BE3623" w:rsidRPr="00273106">
        <w:rPr>
          <w:i/>
          <w:noProof/>
          <w:lang w:val="cs-CZ"/>
        </w:rPr>
        <w:t>constituit speciem intelligentiae</w:t>
      </w:r>
      <w:r w:rsidR="002E5557">
        <w:rPr>
          <w:noProof/>
          <w:lang w:val="cs-CZ"/>
        </w:rPr>
        <w:t>) a tu</w:t>
      </w:r>
      <w:r w:rsidR="00BE3623" w:rsidRPr="00273106">
        <w:rPr>
          <w:noProof/>
          <w:lang w:val="cs-CZ"/>
        </w:rPr>
        <w:t xml:space="preserve">to </w:t>
      </w:r>
      <w:r w:rsidR="002E30FF" w:rsidRPr="002E30FF">
        <w:rPr>
          <w:noProof/>
          <w:lang w:val="cs-CZ"/>
        </w:rPr>
        <w:t>species</w:t>
      </w:r>
      <w:r w:rsidR="00BE3623" w:rsidRPr="00273106">
        <w:rPr>
          <w:noProof/>
          <w:lang w:val="cs-CZ"/>
        </w:rPr>
        <w:t xml:space="preserve"> </w:t>
      </w:r>
      <w:r w:rsidR="00340CAA" w:rsidRPr="00273106">
        <w:rPr>
          <w:noProof/>
          <w:lang w:val="cs-CZ"/>
        </w:rPr>
        <w:t xml:space="preserve">přivádí </w:t>
      </w:r>
      <w:r w:rsidR="00BE3623" w:rsidRPr="00273106">
        <w:rPr>
          <w:noProof/>
          <w:lang w:val="cs-CZ"/>
        </w:rPr>
        <w:t>k existenci</w:t>
      </w:r>
      <w:r w:rsidR="08147E1A">
        <w:rPr>
          <w:noProof/>
          <w:lang w:val="cs-CZ"/>
        </w:rPr>
        <w:t xml:space="preserve"> (</w:t>
      </w:r>
      <w:r w:rsidR="08147E1A" w:rsidRPr="08147E1A">
        <w:rPr>
          <w:i/>
        </w:rPr>
        <w:t>eam ducit ad esse</w:t>
      </w:r>
      <w:r w:rsidR="08147E1A">
        <w:rPr>
          <w:noProof/>
          <w:lang w:val="cs-CZ"/>
        </w:rPr>
        <w:t>)</w:t>
      </w:r>
      <w:r w:rsidR="00BE3623" w:rsidRPr="00273106">
        <w:rPr>
          <w:noProof/>
          <w:lang w:val="cs-CZ"/>
        </w:rPr>
        <w:t>. Podobně i kvantitativně určená forma</w:t>
      </w:r>
      <w:r w:rsidR="08147E1A">
        <w:rPr>
          <w:noProof/>
          <w:lang w:val="cs-CZ"/>
        </w:rPr>
        <w:t xml:space="preserve"> (</w:t>
      </w:r>
      <w:r w:rsidR="08147E1A" w:rsidRPr="08147E1A">
        <w:rPr>
          <w:i/>
        </w:rPr>
        <w:t>forma quantitatis</w:t>
      </w:r>
      <w:r w:rsidR="08147E1A">
        <w:rPr>
          <w:noProof/>
          <w:lang w:val="cs-CZ"/>
        </w:rPr>
        <w:t>)</w:t>
      </w:r>
      <w:r w:rsidR="00BE3623" w:rsidRPr="00273106">
        <w:rPr>
          <w:noProof/>
          <w:lang w:val="cs-CZ"/>
        </w:rPr>
        <w:t xml:space="preserve">, pokud se spojuje </w:t>
      </w:r>
      <w:r w:rsidR="00504276">
        <w:rPr>
          <w:noProof/>
          <w:lang w:val="cs-CZ"/>
        </w:rPr>
        <w:t>s nižší materií</w:t>
      </w:r>
      <w:r w:rsidR="08147E1A">
        <w:rPr>
          <w:noProof/>
          <w:lang w:val="cs-CZ"/>
        </w:rPr>
        <w:t xml:space="preserve"> (</w:t>
      </w:r>
      <w:r w:rsidR="08147E1A" w:rsidRPr="08147E1A">
        <w:rPr>
          <w:i/>
        </w:rPr>
        <w:t>materiae inferiori</w:t>
      </w:r>
      <w:r w:rsidR="08147E1A">
        <w:rPr>
          <w:noProof/>
          <w:lang w:val="cs-CZ"/>
        </w:rPr>
        <w:t>)</w:t>
      </w:r>
      <w:r w:rsidR="00504276">
        <w:rPr>
          <w:noProof/>
          <w:lang w:val="cs-CZ"/>
        </w:rPr>
        <w:t>, vytváří tělesnou</w:t>
      </w:r>
      <w:r w:rsidR="00BE3623" w:rsidRPr="00273106">
        <w:rPr>
          <w:noProof/>
          <w:lang w:val="cs-CZ"/>
        </w:rPr>
        <w:t xml:space="preserve"> </w:t>
      </w:r>
      <w:r w:rsidR="002E30FF" w:rsidRPr="002E30FF">
        <w:rPr>
          <w:noProof/>
          <w:lang w:val="cs-CZ"/>
        </w:rPr>
        <w:t>species</w:t>
      </w:r>
      <w:r w:rsidR="00BE3623" w:rsidRPr="00273106">
        <w:rPr>
          <w:noProof/>
          <w:lang w:val="cs-CZ"/>
        </w:rPr>
        <w:t xml:space="preserve"> (</w:t>
      </w:r>
      <w:r w:rsidR="00BE3623" w:rsidRPr="00273106">
        <w:rPr>
          <w:i/>
          <w:noProof/>
          <w:lang w:val="cs-CZ"/>
        </w:rPr>
        <w:t>speciem corporis</w:t>
      </w:r>
      <w:r w:rsidR="00504276">
        <w:rPr>
          <w:noProof/>
          <w:lang w:val="cs-CZ"/>
        </w:rPr>
        <w:t>) a tu</w:t>
      </w:r>
      <w:r w:rsidR="08AD2C33">
        <w:rPr>
          <w:noProof/>
          <w:lang w:val="cs-CZ"/>
        </w:rPr>
        <w:t>to</w:t>
      </w:r>
      <w:r w:rsidR="00BE3623" w:rsidRPr="00273106">
        <w:rPr>
          <w:noProof/>
          <w:lang w:val="cs-CZ"/>
        </w:rPr>
        <w:t xml:space="preserve"> </w:t>
      </w:r>
      <w:r w:rsidR="00340CAA" w:rsidRPr="00273106">
        <w:rPr>
          <w:noProof/>
          <w:lang w:val="cs-CZ"/>
        </w:rPr>
        <w:t xml:space="preserve">přivádí </w:t>
      </w:r>
      <w:r w:rsidR="00BE3623" w:rsidRPr="00273106">
        <w:rPr>
          <w:noProof/>
          <w:lang w:val="cs-CZ"/>
        </w:rPr>
        <w:t>k existenci</w:t>
      </w:r>
      <w:r w:rsidR="08147E1A">
        <w:rPr>
          <w:noProof/>
          <w:lang w:val="cs-CZ"/>
        </w:rPr>
        <w:t xml:space="preserve"> (</w:t>
      </w:r>
      <w:r w:rsidR="08147E1A" w:rsidRPr="08147E1A">
        <w:rPr>
          <w:i/>
        </w:rPr>
        <w:t>eam ducit ad esse</w:t>
      </w:r>
      <w:r w:rsidR="08147E1A">
        <w:rPr>
          <w:noProof/>
          <w:lang w:val="cs-CZ"/>
        </w:rPr>
        <w:t>)</w:t>
      </w:r>
      <w:r w:rsidR="00BE3623" w:rsidRPr="00273106">
        <w:rPr>
          <w:noProof/>
          <w:lang w:val="cs-CZ"/>
        </w:rPr>
        <w:t>. Kvantitat</w:t>
      </w:r>
      <w:r w:rsidR="08AD2C33">
        <w:rPr>
          <w:noProof/>
          <w:lang w:val="cs-CZ"/>
        </w:rPr>
        <w:t>ivní forma je proto přidružena k inteligibilní formě</w:t>
      </w:r>
      <w:r w:rsidR="00BE3623" w:rsidRPr="00273106">
        <w:rPr>
          <w:noProof/>
          <w:lang w:val="cs-CZ"/>
        </w:rPr>
        <w:t xml:space="preserve">.“ </w:t>
      </w:r>
      <w:r w:rsidR="002E3899" w:rsidRPr="00273106">
        <w:rPr>
          <w:rStyle w:val="Znakapoznpodarou"/>
          <w:noProof/>
          <w:lang w:val="cs-CZ"/>
        </w:rPr>
        <w:footnoteReference w:id="338"/>
      </w:r>
    </w:p>
    <w:p w14:paraId="5931DCB4" w14:textId="0824FF30" w:rsidR="00E018CC" w:rsidRPr="00273106" w:rsidRDefault="00BD7F26" w:rsidP="00E018CC">
      <w:r w:rsidRPr="00273106">
        <w:t xml:space="preserve">Citát ukazuje demiurgické odvození nižšího světa </w:t>
      </w:r>
      <w:r>
        <w:t xml:space="preserve">z vyšších forem podle dialogu </w:t>
      </w:r>
      <w:r w:rsidRPr="00BD7F26">
        <w:rPr>
          <w:i/>
        </w:rPr>
        <w:t>Timaios</w:t>
      </w:r>
      <w:r>
        <w:fldChar w:fldCharType="begin"/>
      </w:r>
      <w:r>
        <w:instrText xml:space="preserve"> XE "</w:instrText>
      </w:r>
      <w:r w:rsidR="081325FA">
        <w:instrText xml:space="preserve">dialog </w:instrText>
      </w:r>
      <w:r w:rsidR="081325FA" w:rsidRPr="081325FA">
        <w:rPr>
          <w:i/>
        </w:rPr>
        <w:instrText>Ti</w:instrText>
      </w:r>
      <w:r w:rsidRPr="081325FA">
        <w:rPr>
          <w:i/>
        </w:rPr>
        <w:instrText>maios</w:instrText>
      </w:r>
      <w:r>
        <w:instrText xml:space="preserve">" </w:instrText>
      </w:r>
      <w:r>
        <w:fldChar w:fldCharType="end"/>
      </w:r>
      <w:r w:rsidR="080E7BC9">
        <w:t xml:space="preserve"> a díla </w:t>
      </w:r>
      <w:r w:rsidR="080E7BC9" w:rsidRPr="080E7BC9">
        <w:rPr>
          <w:i/>
          <w:szCs w:val="24"/>
        </w:rPr>
        <w:t>Liber de causis</w:t>
      </w:r>
      <w:r w:rsidR="080E7BC9" w:rsidRPr="080E7BC9">
        <w:rPr>
          <w:szCs w:val="24"/>
        </w:rPr>
        <w:t xml:space="preserve">. </w:t>
      </w:r>
      <w:r w:rsidR="08147E1A">
        <w:t xml:space="preserve">První </w:t>
      </w:r>
      <w:r w:rsidR="08852953">
        <w:t xml:space="preserve">božská </w:t>
      </w:r>
      <w:r w:rsidR="08147E1A">
        <w:t xml:space="preserve">forma produkuje diakosmickou formu a materii v řádu inteligibilních kosmických substancí </w:t>
      </w:r>
      <w:r w:rsidR="08B96525">
        <w:t>daných formální kva</w:t>
      </w:r>
      <w:r w:rsidR="08C51BCD">
        <w:t>n</w:t>
      </w:r>
      <w:r w:rsidR="08B96525">
        <w:t>titou a rozsažností (</w:t>
      </w:r>
      <w:r w:rsidR="0857609B">
        <w:t xml:space="preserve">OBJ I, </w:t>
      </w:r>
      <w:r w:rsidR="084E7952">
        <w:t>kap. 1.3</w:t>
      </w:r>
      <w:r w:rsidR="08B96525">
        <w:t xml:space="preserve">.3). Tyto diakosmické substance </w:t>
      </w:r>
      <w:r w:rsidR="08147E1A">
        <w:t xml:space="preserve">o jedno patro níže produkují reálnou hyleformickou věc. </w:t>
      </w:r>
      <w:r w:rsidR="08B749C6">
        <w:t>I</w:t>
      </w:r>
      <w:r w:rsidR="08E81439">
        <w:t xml:space="preserve">nteligibilní a materiální svět </w:t>
      </w:r>
      <w:r w:rsidR="0849133B">
        <w:t>mají stejnou ontologickou strukturu danou z materie a formy</w:t>
      </w:r>
      <w:r w:rsidR="08E81439">
        <w:t>.</w:t>
      </w:r>
      <w:r w:rsidR="08E81439">
        <w:rPr>
          <w:rStyle w:val="Znakapoznpodarou"/>
        </w:rPr>
        <w:footnoteReference w:id="339"/>
      </w:r>
      <w:r w:rsidR="089C6A26">
        <w:t xml:space="preserve"> </w:t>
      </w:r>
      <w:r w:rsidR="08920665">
        <w:t xml:space="preserve">Rozdíl mezi </w:t>
      </w:r>
      <w:r w:rsidR="004B4D52" w:rsidRPr="004B4D52">
        <w:t>species</w:t>
      </w:r>
      <w:r w:rsidR="08920665" w:rsidRPr="00273106">
        <w:rPr>
          <w:i/>
        </w:rPr>
        <w:t xml:space="preserve"> intelligentiae</w:t>
      </w:r>
      <w:r w:rsidR="08920665">
        <w:t xml:space="preserve"> a </w:t>
      </w:r>
      <w:r w:rsidR="004B4D52" w:rsidRPr="004B4D52">
        <w:t>species</w:t>
      </w:r>
      <w:r w:rsidR="08920665" w:rsidRPr="00273106">
        <w:rPr>
          <w:i/>
        </w:rPr>
        <w:t xml:space="preserve"> corporis</w:t>
      </w:r>
      <w:r w:rsidR="08920665" w:rsidRPr="00273106">
        <w:t xml:space="preserve"> dokládá </w:t>
      </w:r>
      <w:r w:rsidR="08920665">
        <w:t>neoplatonsk</w:t>
      </w:r>
      <w:r w:rsidR="08920665" w:rsidRPr="00273106">
        <w:t xml:space="preserve">ý typ dualistického vidění jsoucna, který je navázaný na rozdíl mezi dvěma formami látky. </w:t>
      </w:r>
      <w:r w:rsidRPr="00273106">
        <w:t xml:space="preserve">Obě </w:t>
      </w:r>
      <w:r w:rsidR="002E30FF" w:rsidRPr="002E30FF">
        <w:t>species</w:t>
      </w:r>
      <w:r w:rsidRPr="00273106">
        <w:t xml:space="preserve"> jsou hypostázemi na úrovni první substance, </w:t>
      </w:r>
      <w:r>
        <w:t xml:space="preserve">protože existují </w:t>
      </w:r>
      <w:r w:rsidRPr="00273106">
        <w:t xml:space="preserve">díky dvojí materii </w:t>
      </w:r>
      <w:r>
        <w:t xml:space="preserve">jako </w:t>
      </w:r>
      <w:r w:rsidRPr="00273106">
        <w:t>hylemorfick</w:t>
      </w:r>
      <w:r>
        <w:t xml:space="preserve">é </w:t>
      </w:r>
      <w:r w:rsidRPr="00273106">
        <w:t>jednotlivin</w:t>
      </w:r>
      <w:r>
        <w:t xml:space="preserve">y. </w:t>
      </w:r>
      <w:r w:rsidR="00194F91">
        <w:t>Původní kosmická</w:t>
      </w:r>
      <w:r w:rsidR="00C5573B" w:rsidRPr="00273106">
        <w:t xml:space="preserve"> </w:t>
      </w:r>
      <w:r w:rsidR="080071F4" w:rsidRPr="00273106">
        <w:t>form</w:t>
      </w:r>
      <w:r w:rsidR="00194F91">
        <w:t>a</w:t>
      </w:r>
      <w:r w:rsidR="080071F4" w:rsidRPr="00273106">
        <w:t xml:space="preserve"> </w:t>
      </w:r>
      <w:r w:rsidR="00194F91" w:rsidRPr="00273106">
        <w:t xml:space="preserve">je spojena s </w:t>
      </w:r>
      <w:r w:rsidR="00194F91">
        <w:t>m</w:t>
      </w:r>
      <w:r w:rsidR="00194F91" w:rsidRPr="00273106">
        <w:t>ateri</w:t>
      </w:r>
      <w:r w:rsidR="00194F91">
        <w:t>í</w:t>
      </w:r>
      <w:r w:rsidR="00194F91" w:rsidRPr="00273106">
        <w:t xml:space="preserve"> vyššího druhu </w:t>
      </w:r>
      <w:r w:rsidR="080071F4" w:rsidRPr="00273106">
        <w:t>(</w:t>
      </w:r>
      <w:r w:rsidR="08475E2A" w:rsidRPr="00273106">
        <w:rPr>
          <w:i/>
        </w:rPr>
        <w:t>prima forma quando coniungitur altiori materiae</w:t>
      </w:r>
      <w:r w:rsidR="080071F4" w:rsidRPr="00273106">
        <w:t>).</w:t>
      </w:r>
      <w:r w:rsidR="08D779EE" w:rsidRPr="00273106">
        <w:t xml:space="preserve"> K</w:t>
      </w:r>
      <w:r w:rsidR="080071F4" w:rsidRPr="00273106">
        <w:t>onju</w:t>
      </w:r>
      <w:r w:rsidR="00C24CCB" w:rsidRPr="00273106">
        <w:t>n</w:t>
      </w:r>
      <w:r w:rsidR="00EA2603">
        <w:t>kcí</w:t>
      </w:r>
      <w:r w:rsidR="080071F4" w:rsidRPr="00273106">
        <w:t xml:space="preserve"> </w:t>
      </w:r>
      <w:r w:rsidR="0079500E">
        <w:t>formy a látky třetího druhu vznikne nová atomární substance</w:t>
      </w:r>
      <w:r w:rsidR="00A70FA4">
        <w:fldChar w:fldCharType="begin"/>
      </w:r>
      <w:r w:rsidR="00A70FA4">
        <w:instrText xml:space="preserve"> XE "</w:instrText>
      </w:r>
      <w:r w:rsidR="00A70FA4" w:rsidRPr="00DE2A32">
        <w:instrText>substance</w:instrText>
      </w:r>
      <w:r w:rsidR="00C511DD">
        <w:instrText>:Avicebron</w:instrText>
      </w:r>
      <w:r w:rsidR="00A70FA4">
        <w:instrText xml:space="preserve">" </w:instrText>
      </w:r>
      <w:r w:rsidR="00A70FA4">
        <w:fldChar w:fldCharType="end"/>
      </w:r>
      <w:r w:rsidR="0079500E">
        <w:t xml:space="preserve"> daná v </w:t>
      </w:r>
      <w:r w:rsidR="00874074">
        <w:t>neoplatonsk</w:t>
      </w:r>
      <w:r w:rsidR="0079500E">
        <w:t xml:space="preserve">ém diakosmu jako inteligibilní </w:t>
      </w:r>
      <w:r w:rsidR="002E30FF" w:rsidRPr="002E30FF">
        <w:t>species</w:t>
      </w:r>
      <w:r w:rsidR="00EA2603">
        <w:t xml:space="preserve"> </w:t>
      </w:r>
      <w:r w:rsidR="00EA2603" w:rsidRPr="00273106">
        <w:t>(</w:t>
      </w:r>
      <w:r w:rsidR="00EA2603" w:rsidRPr="00273106">
        <w:rPr>
          <w:i/>
        </w:rPr>
        <w:t>constituit speciem intelligentiae</w:t>
      </w:r>
      <w:r w:rsidR="00EA2603" w:rsidRPr="00273106">
        <w:t>)</w:t>
      </w:r>
      <w:r w:rsidR="0079500E">
        <w:t xml:space="preserve">. </w:t>
      </w:r>
      <w:r w:rsidR="00F161A8" w:rsidRPr="00273106">
        <w:t>Avicebron</w:t>
      </w:r>
      <w:r w:rsidR="004C27BA">
        <w:fldChar w:fldCharType="begin"/>
      </w:r>
      <w:r w:rsidR="004C27BA">
        <w:instrText xml:space="preserve"> XE "</w:instrText>
      </w:r>
      <w:r w:rsidR="004C27BA" w:rsidRPr="006968B2">
        <w:instrText>Avicebron</w:instrText>
      </w:r>
      <w:r w:rsidR="004C27BA">
        <w:instrText xml:space="preserve">" </w:instrText>
      </w:r>
      <w:r w:rsidR="004C27BA">
        <w:fldChar w:fldCharType="end"/>
      </w:r>
      <w:r w:rsidR="00F161A8" w:rsidRPr="00273106">
        <w:t xml:space="preserve"> postuluje nový typ hylemorfického jsoucna třetího druhu</w:t>
      </w:r>
      <w:r w:rsidR="000F2011">
        <w:t xml:space="preserve">, který ve škole druhého averrroismu nahradil intencionální </w:t>
      </w:r>
      <w:r w:rsidR="002E30FF" w:rsidRPr="002E30FF">
        <w:t>species</w:t>
      </w:r>
      <w:r w:rsidR="000F2011" w:rsidRPr="000F2011">
        <w:rPr>
          <w:i/>
        </w:rPr>
        <w:t xml:space="preserve"> sensibilis</w:t>
      </w:r>
      <w:r w:rsidR="000F2011">
        <w:t xml:space="preserve"> a </w:t>
      </w:r>
      <w:r w:rsidR="000F2011" w:rsidRPr="000F2011">
        <w:rPr>
          <w:i/>
        </w:rPr>
        <w:t>intelligibilis</w:t>
      </w:r>
      <w:r w:rsidR="009C6191">
        <w:t xml:space="preserve"> ze školy </w:t>
      </w:r>
      <w:r w:rsidR="009C6191">
        <w:lastRenderedPageBreak/>
        <w:t>prvního averroismu</w:t>
      </w:r>
      <w:r w:rsidR="000F2011">
        <w:t xml:space="preserve">. </w:t>
      </w:r>
      <w:r w:rsidR="08B749C6">
        <w:t xml:space="preserve">Nová </w:t>
      </w:r>
      <w:r w:rsidR="08AE7DA4">
        <w:t xml:space="preserve">hylemorfická </w:t>
      </w:r>
      <w:r w:rsidR="08B749C6">
        <w:t xml:space="preserve">substance třetího druhu je daná jak </w:t>
      </w:r>
      <w:r w:rsidR="08AE7DA4">
        <w:t xml:space="preserve">v </w:t>
      </w:r>
      <w:r w:rsidR="08B749C6">
        <w:t>materiá</w:t>
      </w:r>
      <w:r w:rsidR="08AE7DA4">
        <w:t>lním tak v inteligibilním světě. P</w:t>
      </w:r>
      <w:r w:rsidR="08B749C6">
        <w:t>redikace</w:t>
      </w:r>
      <w:r w:rsidR="08AE7DA4">
        <w:t xml:space="preserve"> této spirituální substance </w:t>
      </w:r>
      <w:r w:rsidR="08B749C6">
        <w:t xml:space="preserve"> zrušila </w:t>
      </w:r>
      <w:r w:rsidR="08AE7DA4">
        <w:t xml:space="preserve">základní metafyzický </w:t>
      </w:r>
      <w:r w:rsidR="08B749C6">
        <w:t>rozdíl mezi první a druhou subs</w:t>
      </w:r>
      <w:r w:rsidR="08AE7DA4">
        <w:t>t</w:t>
      </w:r>
      <w:r w:rsidR="08B749C6">
        <w:t>ancí.</w:t>
      </w:r>
      <w:r w:rsidR="08B749C6">
        <w:rPr>
          <w:rStyle w:val="Znakapoznpodarou"/>
        </w:rPr>
        <w:footnoteReference w:id="340"/>
      </w:r>
      <w:r w:rsidR="08AE7DA4">
        <w:t xml:space="preserve"> </w:t>
      </w:r>
      <w:r w:rsidR="08345665" w:rsidRPr="00273106">
        <w:t xml:space="preserve">První patro </w:t>
      </w:r>
      <w:r w:rsidR="007558AC" w:rsidRPr="00273106">
        <w:t xml:space="preserve">reality </w:t>
      </w:r>
      <w:r w:rsidR="08345665" w:rsidRPr="00273106">
        <w:t xml:space="preserve">vytváří </w:t>
      </w:r>
      <w:r w:rsidR="00F161A8" w:rsidRPr="00273106">
        <w:t xml:space="preserve">složeninu </w:t>
      </w:r>
      <w:r w:rsidR="00874074">
        <w:t>neoplatonsk</w:t>
      </w:r>
      <w:r w:rsidR="08345665" w:rsidRPr="00273106">
        <w:t>é formy a látky</w:t>
      </w:r>
      <w:r w:rsidR="00BE7DB3">
        <w:t xml:space="preserve"> jako </w:t>
      </w:r>
      <w:r w:rsidR="00F161A8" w:rsidRPr="00273106">
        <w:t>subsistentní první substance</w:t>
      </w:r>
      <w:r w:rsidR="08345665" w:rsidRPr="00273106">
        <w:t xml:space="preserve">. </w:t>
      </w:r>
      <w:r w:rsidR="00ED16FA">
        <w:t>Z</w:t>
      </w:r>
      <w:r w:rsidR="00833ABB">
        <w:t xml:space="preserve"> této</w:t>
      </w:r>
      <w:r w:rsidR="00ED16FA" w:rsidRPr="00273106">
        <w:t xml:space="preserve"> </w:t>
      </w:r>
      <w:r w:rsidR="08BB48A4">
        <w:t xml:space="preserve">entity </w:t>
      </w:r>
      <w:r w:rsidR="00833ABB">
        <w:t>třetího druhu vybavené</w:t>
      </w:r>
      <w:r w:rsidR="00ED16FA" w:rsidRPr="00273106">
        <w:t xml:space="preserve"> kvazi</w:t>
      </w:r>
      <w:r w:rsidR="00ED16FA" w:rsidRPr="00273106">
        <w:noBreakHyphen/>
        <w:t>látkou a kvazi</w:t>
      </w:r>
      <w:r w:rsidR="00ED16FA" w:rsidRPr="00273106">
        <w:noBreakHyphen/>
        <w:t xml:space="preserve">rozsažností </w:t>
      </w:r>
      <w:r w:rsidR="00ED16FA">
        <w:t xml:space="preserve">později </w:t>
      </w:r>
      <w:r w:rsidR="00ED16FA" w:rsidRPr="00273106">
        <w:t>vznikne objektivní jsoucno</w:t>
      </w:r>
      <w:r w:rsidR="00C511DD">
        <w:fldChar w:fldCharType="begin"/>
      </w:r>
      <w:r w:rsidR="00C511DD">
        <w:instrText xml:space="preserve"> XE "</w:instrText>
      </w:r>
      <w:r w:rsidR="00C511DD" w:rsidRPr="00344693">
        <w:instrText>substance:</w:instrText>
      </w:r>
      <w:r w:rsidR="00C511DD" w:rsidRPr="08CE63C5">
        <w:rPr>
          <w:i/>
        </w:rPr>
        <w:instrText>species</w:instrText>
      </w:r>
      <w:r w:rsidR="00C511DD">
        <w:instrText xml:space="preserve">" </w:instrText>
      </w:r>
      <w:r w:rsidR="00C511DD">
        <w:fldChar w:fldCharType="end"/>
      </w:r>
      <w:r w:rsidR="00ED16FA" w:rsidRPr="00273106">
        <w:t>.</w:t>
      </w:r>
      <w:r w:rsidR="00ED16FA">
        <w:t xml:space="preserve"> </w:t>
      </w:r>
      <w:r w:rsidR="001156FA" w:rsidRPr="00273106">
        <w:t>Pa</w:t>
      </w:r>
      <w:r w:rsidR="00833ABB">
        <w:t xml:space="preserve">k následuje rozhodující slůvko </w:t>
      </w:r>
      <w:r w:rsidR="001156FA" w:rsidRPr="00273106">
        <w:rPr>
          <w:i/>
        </w:rPr>
        <w:t>similiter</w:t>
      </w:r>
      <w:r w:rsidR="001156FA" w:rsidRPr="00273106">
        <w:t xml:space="preserve">, které </w:t>
      </w:r>
      <w:r w:rsidR="08CF6472">
        <w:t xml:space="preserve">základá novu formu kosmologické dedukce dané mytologickým způsobem. </w:t>
      </w:r>
      <w:r w:rsidR="086E4C48">
        <w:t>Druhé patro podobným způsobem</w:t>
      </w:r>
      <w:r w:rsidR="08345665" w:rsidRPr="00273106">
        <w:t xml:space="preserve"> zakládá subsistenci hyleforfické složeniny</w:t>
      </w:r>
      <w:r w:rsidR="00CB50CA" w:rsidRPr="00273106">
        <w:t>, protože spojuje nižší druh</w:t>
      </w:r>
      <w:r w:rsidR="08345665" w:rsidRPr="00273106">
        <w:t xml:space="preserve"> formy a látky v hylické</w:t>
      </w:r>
      <w:r w:rsidR="00F04B07" w:rsidRPr="00273106">
        <w:t>m</w:t>
      </w:r>
      <w:r w:rsidR="08345665" w:rsidRPr="00273106">
        <w:t xml:space="preserve"> světě</w:t>
      </w:r>
      <w:r w:rsidR="00624F92">
        <w:fldChar w:fldCharType="begin"/>
      </w:r>
      <w:r w:rsidR="00624F92">
        <w:instrText xml:space="preserve"> XE "</w:instrText>
      </w:r>
      <w:r w:rsidR="00624F92" w:rsidRPr="002A6E25">
        <w:instrText>materie:Avicebron</w:instrText>
      </w:r>
      <w:r w:rsidR="00624F92">
        <w:instrText xml:space="preserve">" </w:instrText>
      </w:r>
      <w:r w:rsidR="00624F92">
        <w:fldChar w:fldCharType="end"/>
      </w:r>
      <w:r w:rsidR="08345665" w:rsidRPr="00273106">
        <w:t>, a nikoliv ve světě čistých forem (</w:t>
      </w:r>
      <w:r w:rsidR="08345665" w:rsidRPr="00273106">
        <w:rPr>
          <w:i/>
        </w:rPr>
        <w:t>forma quantitatis cum coniungitur materiae inferiori</w:t>
      </w:r>
      <w:r w:rsidR="08345665" w:rsidRPr="00273106">
        <w:t xml:space="preserve">). </w:t>
      </w:r>
      <w:r w:rsidR="0083539C" w:rsidRPr="00273106">
        <w:t xml:space="preserve">Citát ukazuje paralelismus dvou druhů </w:t>
      </w:r>
      <w:r w:rsidR="002E30FF" w:rsidRPr="002E30FF">
        <w:t>species</w:t>
      </w:r>
      <w:r w:rsidR="0083539C" w:rsidRPr="00273106">
        <w:t xml:space="preserve">. </w:t>
      </w:r>
      <w:r w:rsidR="00ED16FA">
        <w:t xml:space="preserve">Přechod </w:t>
      </w:r>
      <w:r w:rsidR="08DC62BC">
        <w:t xml:space="preserve">z vyšší materie </w:t>
      </w:r>
      <w:r w:rsidR="00ED16FA">
        <w:t xml:space="preserve">do normální </w:t>
      </w:r>
      <w:r w:rsidR="00ED16FA" w:rsidRPr="00273106">
        <w:t xml:space="preserve">zakládá </w:t>
      </w:r>
      <w:r w:rsidR="08DC62BC">
        <w:t>mytopoetický</w:t>
      </w:r>
      <w:r w:rsidR="08DC62BC">
        <w:fldChar w:fldCharType="begin"/>
      </w:r>
      <w:r w:rsidR="08DC62BC">
        <w:instrText xml:space="preserve"> XE "</w:instrText>
      </w:r>
      <w:r w:rsidR="08DC62BC" w:rsidRPr="082F4892">
        <w:instrText>mytopoesis</w:instrText>
      </w:r>
      <w:r w:rsidR="08DC62BC">
        <w:instrText xml:space="preserve">" </w:instrText>
      </w:r>
      <w:r w:rsidR="08DC62BC">
        <w:fldChar w:fldCharType="end"/>
      </w:r>
      <w:r w:rsidR="08DC62BC">
        <w:t xml:space="preserve"> </w:t>
      </w:r>
      <w:r w:rsidR="00ED16FA" w:rsidRPr="00273106">
        <w:t>proces určení materiální</w:t>
      </w:r>
      <w:r w:rsidR="08DC62BC">
        <w:t>ch těles</w:t>
      </w:r>
      <w:r w:rsidR="00C511DD">
        <w:fldChar w:fldCharType="begin"/>
      </w:r>
      <w:r w:rsidR="00C511DD">
        <w:instrText xml:space="preserve"> XE "</w:instrText>
      </w:r>
      <w:r w:rsidR="00C511DD" w:rsidRPr="006A0195">
        <w:instrText>těleso:třetího druhu</w:instrText>
      </w:r>
      <w:r w:rsidR="00C511DD">
        <w:instrText xml:space="preserve">" </w:instrText>
      </w:r>
      <w:r w:rsidR="00C511DD">
        <w:fldChar w:fldCharType="end"/>
      </w:r>
      <w:r w:rsidR="001156FA">
        <w:t xml:space="preserve">. </w:t>
      </w:r>
      <w:r w:rsidR="00833ABB">
        <w:t>Objektivní</w:t>
      </w:r>
      <w:r w:rsidR="001156FA">
        <w:t xml:space="preserve"> způ</w:t>
      </w:r>
      <w:r w:rsidR="00833ABB">
        <w:t>sob existence je založen na nové formě dedukce (</w:t>
      </w:r>
      <w:r w:rsidR="00833ABB" w:rsidRPr="00273106">
        <w:rPr>
          <w:i/>
        </w:rPr>
        <w:t>ducit ad esse</w:t>
      </w:r>
      <w:r w:rsidR="00833ABB">
        <w:t xml:space="preserve">) už nikoliv kosmických forem jako v </w:t>
      </w:r>
      <w:r w:rsidR="00833ABB" w:rsidRPr="00833ABB">
        <w:rPr>
          <w:i/>
        </w:rPr>
        <w:t>Liber de causis</w:t>
      </w:r>
      <w:r w:rsidR="00833ABB">
        <w:t>, ale atomárních substancí jako těles třetího druhu</w:t>
      </w:r>
      <w:r w:rsidR="00ED16FA" w:rsidRPr="00273106">
        <w:t xml:space="preserve">. </w:t>
      </w:r>
      <w:r w:rsidR="00ED16FA">
        <w:t xml:space="preserve">Moderna zakládá existenci </w:t>
      </w:r>
      <w:r w:rsidR="00091A3E">
        <w:t xml:space="preserve">nového </w:t>
      </w:r>
      <w:r w:rsidR="00ED16FA">
        <w:t xml:space="preserve">světa </w:t>
      </w:r>
      <w:r w:rsidR="00DE17BD">
        <w:t xml:space="preserve">vyvedením těles z </w:t>
      </w:r>
      <w:r w:rsidR="00ED16FA">
        <w:t>diakosmu do nižší reality</w:t>
      </w:r>
      <w:r w:rsidR="00C511DD">
        <w:fldChar w:fldCharType="begin"/>
      </w:r>
      <w:r w:rsidR="00C511DD">
        <w:instrText xml:space="preserve"> XE "</w:instrText>
      </w:r>
      <w:r w:rsidR="00C511DD" w:rsidRPr="00396960">
        <w:instrText>diakosmos</w:instrText>
      </w:r>
      <w:r w:rsidR="00C511DD">
        <w:instrText xml:space="preserve">" </w:instrText>
      </w:r>
      <w:r w:rsidR="00C511DD">
        <w:fldChar w:fldCharType="end"/>
      </w:r>
      <w:r w:rsidR="00ED16FA">
        <w:t xml:space="preserve">. </w:t>
      </w:r>
      <w:r w:rsidR="004574A5">
        <w:t xml:space="preserve">Sloveso </w:t>
      </w:r>
      <w:r w:rsidR="001156FA" w:rsidRPr="00BE7DB3">
        <w:rPr>
          <w:i/>
        </w:rPr>
        <w:t>ducit</w:t>
      </w:r>
      <w:r w:rsidR="001156FA">
        <w:t xml:space="preserve"> představuje </w:t>
      </w:r>
      <w:r w:rsidR="001156FA" w:rsidRPr="001156FA">
        <w:rPr>
          <w:i/>
        </w:rPr>
        <w:t>Lichtung</w:t>
      </w:r>
      <w:r w:rsidR="001156FA">
        <w:t xml:space="preserve"> moderního </w:t>
      </w:r>
      <w:r w:rsidR="00904E25">
        <w:t xml:space="preserve">pojetí existence jako </w:t>
      </w:r>
      <w:r w:rsidR="08FD6E39">
        <w:t xml:space="preserve">deduktivně definovanou „exsistenci“ </w:t>
      </w:r>
      <w:r w:rsidR="0821030C">
        <w:t xml:space="preserve">jsoucna třetího druhu </w:t>
      </w:r>
      <w:r w:rsidR="001156FA">
        <w:t>zave</w:t>
      </w:r>
      <w:r w:rsidR="08FD6E39">
        <w:t>denou</w:t>
      </w:r>
      <w:r w:rsidR="001156FA">
        <w:t xml:space="preserve"> Rufusem</w:t>
      </w:r>
      <w:r w:rsidR="0821030C">
        <w:t xml:space="preserve"> (</w:t>
      </w:r>
      <w:r w:rsidR="0821030C">
        <w:rPr>
          <w:i/>
        </w:rPr>
        <w:t>ex</w:t>
      </w:r>
      <w:r w:rsidR="0821030C" w:rsidRPr="00BE7DB3">
        <w:rPr>
          <w:i/>
        </w:rPr>
        <w:t>sist</w:t>
      </w:r>
      <w:r w:rsidR="0821030C">
        <w:rPr>
          <w:i/>
        </w:rPr>
        <w:t>it</w:t>
      </w:r>
      <w:r w:rsidR="0821030C">
        <w:rPr>
          <w:i/>
        </w:rPr>
        <w:fldChar w:fldCharType="begin"/>
      </w:r>
      <w:r w:rsidR="0821030C">
        <w:instrText xml:space="preserve"> XE "</w:instrText>
      </w:r>
      <w:r w:rsidR="0821030C" w:rsidRPr="008E07A9">
        <w:rPr>
          <w:i/>
        </w:rPr>
        <w:instrText>exsistere</w:instrText>
      </w:r>
      <w:r w:rsidR="0821030C" w:rsidRPr="00C511DD">
        <w:instrText>:Avicebron</w:instrText>
      </w:r>
      <w:r w:rsidR="0821030C">
        <w:instrText xml:space="preserve">" </w:instrText>
      </w:r>
      <w:r w:rsidR="0821030C">
        <w:rPr>
          <w:i/>
        </w:rPr>
        <w:fldChar w:fldCharType="end"/>
      </w:r>
      <w:r w:rsidR="0821030C">
        <w:t>)</w:t>
      </w:r>
      <w:r w:rsidR="001156FA">
        <w:t xml:space="preserve">. </w:t>
      </w:r>
      <w:r w:rsidR="08DC16A6">
        <w:t>To</w:t>
      </w:r>
      <w:r w:rsidR="00CB50CA" w:rsidRPr="00273106">
        <w:t xml:space="preserve">to </w:t>
      </w:r>
      <w:r w:rsidR="004B4D52" w:rsidRPr="004B4D52">
        <w:t>species</w:t>
      </w:r>
      <w:r w:rsidR="00CB50CA" w:rsidRPr="00273106">
        <w:t xml:space="preserve"> nevzniká v procesu abstrakce od hyparchicky dané první substance v realitě</w:t>
      </w:r>
      <w:r w:rsidR="00445D4E" w:rsidRPr="00273106">
        <w:t xml:space="preserve">, </w:t>
      </w:r>
      <w:r w:rsidR="08DC16A6">
        <w:t xml:space="preserve">protože je mytopoetickým produktem v mysli ilumináta. Díky parousisi významu </w:t>
      </w:r>
      <w:r w:rsidR="00445D4E" w:rsidRPr="00273106">
        <w:t xml:space="preserve">naopak </w:t>
      </w:r>
      <w:r w:rsidR="08DC16A6">
        <w:t xml:space="preserve">platí podle </w:t>
      </w:r>
      <w:r w:rsidR="08DC16A6" w:rsidRPr="08DC16A6">
        <w:rPr>
          <w:i/>
        </w:rPr>
        <w:t>Liber de causis</w:t>
      </w:r>
      <w:r w:rsidR="08DC16A6">
        <w:t xml:space="preserve">, že toto objektivní jsoucno </w:t>
      </w:r>
      <w:r w:rsidR="08DC16A6" w:rsidRPr="00273106">
        <w:t>zakládá</w:t>
      </w:r>
      <w:r w:rsidR="08DC16A6">
        <w:t xml:space="preserve"> hylemorfickou realitu</w:t>
      </w:r>
      <w:r w:rsidR="004E3226">
        <w:fldChar w:fldCharType="begin"/>
      </w:r>
      <w:r w:rsidR="004E3226">
        <w:instrText xml:space="preserve"> XE "</w:instrText>
      </w:r>
      <w:r w:rsidR="004E3226" w:rsidRPr="00A6746F">
        <w:instrText>dedukce:objektivní</w:instrText>
      </w:r>
      <w:r w:rsidR="004E3226">
        <w:instrText xml:space="preserve">" </w:instrText>
      </w:r>
      <w:r w:rsidR="004E3226">
        <w:fldChar w:fldCharType="end"/>
      </w:r>
      <w:r w:rsidR="00CB50CA" w:rsidRPr="00273106">
        <w:t xml:space="preserve">. </w:t>
      </w:r>
      <w:r w:rsidR="005E43F5" w:rsidRPr="00273106">
        <w:t xml:space="preserve">Avicebronovo </w:t>
      </w:r>
      <w:r w:rsidR="00874074">
        <w:t>neoplatonsk</w:t>
      </w:r>
      <w:r w:rsidR="005E43F5" w:rsidRPr="00273106">
        <w:t xml:space="preserve">é pojetí </w:t>
      </w:r>
      <w:r w:rsidR="004B4D52" w:rsidRPr="004B4D52">
        <w:t>species</w:t>
      </w:r>
      <w:r w:rsidR="005E43F5" w:rsidRPr="00273106">
        <w:t xml:space="preserve"> </w:t>
      </w:r>
      <w:r w:rsidR="005E43F5">
        <w:t>nemá nic společného s intencionálním</w:t>
      </w:r>
      <w:r w:rsidR="004574A5">
        <w:t>i</w:t>
      </w:r>
      <w:r w:rsidR="005E43F5">
        <w:t xml:space="preserve"> </w:t>
      </w:r>
      <w:r w:rsidR="004B4D52" w:rsidRPr="004B4D52">
        <w:t>species</w:t>
      </w:r>
      <w:r w:rsidR="005E43F5"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DD403C">
        <w:instrText>Avice</w:instrText>
      </w:r>
      <w:r w:rsidR="004E3226">
        <w:instrText>bron</w:instrText>
      </w:r>
      <w:r w:rsidR="008061D5">
        <w:instrText xml:space="preserve">" </w:instrText>
      </w:r>
      <w:r w:rsidR="008061D5">
        <w:rPr>
          <w:i/>
        </w:rPr>
        <w:fldChar w:fldCharType="end"/>
      </w:r>
      <w:r w:rsidR="004574A5">
        <w:t xml:space="preserve"> prvního averroismu získané</w:t>
      </w:r>
      <w:r w:rsidR="005E43F5" w:rsidRPr="00273106">
        <w:t xml:space="preserve"> poznáním reálné první substance</w:t>
      </w:r>
      <w:r w:rsidR="08046DF4">
        <w:t xml:space="preserve">. V </w:t>
      </w:r>
      <w:r w:rsidR="005E43F5" w:rsidRPr="00273106">
        <w:t xml:space="preserve">tomto způsobu poznání je </w:t>
      </w:r>
      <w:r w:rsidR="004B4D52" w:rsidRPr="004B4D52">
        <w:t>species</w:t>
      </w:r>
      <w:r w:rsidR="005E43F5" w:rsidRPr="00273106">
        <w:t xml:space="preserve"> pouhou intencí</w:t>
      </w:r>
      <w:r>
        <w:t xml:space="preserve"> </w:t>
      </w:r>
      <w:r w:rsidR="005E43F5">
        <w:t>mysli</w:t>
      </w:r>
      <w:r w:rsidR="005E43F5" w:rsidRPr="00273106">
        <w:t xml:space="preserve">. </w:t>
      </w:r>
      <w:r w:rsidR="00AA5C8F" w:rsidRPr="00273106">
        <w:t>D</w:t>
      </w:r>
      <w:r w:rsidR="00AA5C8F">
        <w:t>ruhý averroismus po vzoru Avice</w:t>
      </w:r>
      <w:r w:rsidR="00AA5C8F" w:rsidRPr="00273106">
        <w:t xml:space="preserve">brona vytvořil </w:t>
      </w:r>
      <w:r w:rsidR="004574A5">
        <w:t>objektivní tělesa-</w:t>
      </w:r>
      <w:r w:rsidR="004B4D52" w:rsidRPr="004B4D52">
        <w:t>species</w:t>
      </w:r>
      <w:r w:rsidR="004574A5">
        <w:t xml:space="preserve"> </w:t>
      </w:r>
      <w:r w:rsidR="00AA5C8F" w:rsidRPr="00273106">
        <w:t xml:space="preserve">jako </w:t>
      </w:r>
      <w:r w:rsidR="0806586D" w:rsidRPr="00273106">
        <w:t xml:space="preserve">mix první </w:t>
      </w:r>
      <w:r w:rsidR="0806586D">
        <w:t xml:space="preserve">a druhé </w:t>
      </w:r>
      <w:r w:rsidR="00AA5C8F" w:rsidRPr="00273106">
        <w:t>substance</w:t>
      </w:r>
      <w:r w:rsidR="00AA5C8F">
        <w:t xml:space="preserve"> a tím založil novou verzi atomární substance</w:t>
      </w:r>
      <w:r w:rsidR="08014B8C">
        <w:t xml:space="preserve"> (</w:t>
      </w:r>
      <w:r w:rsidR="08014B8C" w:rsidRPr="08014B8C">
        <w:rPr>
          <w:i/>
        </w:rPr>
        <w:t>individuum</w:t>
      </w:r>
      <w:r w:rsidR="08014B8C">
        <w:t>)</w:t>
      </w:r>
      <w:r w:rsidR="00AA5C8F">
        <w:fldChar w:fldCharType="begin"/>
      </w:r>
      <w:r w:rsidR="00AA5C8F">
        <w:instrText xml:space="preserve"> XE "</w:instrText>
      </w:r>
      <w:r w:rsidR="00AA5C8F" w:rsidRPr="000B0D3A">
        <w:instrText>substance:atomární</w:instrText>
      </w:r>
      <w:r w:rsidR="00AA5C8F">
        <w:instrText xml:space="preserve">" </w:instrText>
      </w:r>
      <w:r w:rsidR="00AA5C8F">
        <w:fldChar w:fldCharType="end"/>
      </w:r>
      <w:r w:rsidR="00AA5C8F" w:rsidRPr="00273106">
        <w:t xml:space="preserve">. </w:t>
      </w:r>
      <w:r w:rsidR="00B93C3B">
        <w:t>Tato i</w:t>
      </w:r>
      <w:r w:rsidR="00E07604">
        <w:t xml:space="preserve">ndividua </w:t>
      </w:r>
      <w:r w:rsidR="00EC0564" w:rsidRPr="00273106">
        <w:t>m</w:t>
      </w:r>
      <w:r w:rsidR="00376127" w:rsidRPr="00273106">
        <w:t xml:space="preserve">ají vlastní </w:t>
      </w:r>
      <w:r w:rsidR="004574A5">
        <w:t>hylemorfickou</w:t>
      </w:r>
      <w:r w:rsidR="00E07604">
        <w:t xml:space="preserve"> existenci</w:t>
      </w:r>
      <w:r w:rsidR="006B5C74" w:rsidRPr="00273106">
        <w:t xml:space="preserve"> na úrovni exemplarů a </w:t>
      </w:r>
      <w:r w:rsidR="00EC0564" w:rsidRPr="00273106">
        <w:t xml:space="preserve">sestupují do nižší reality tím, že na sebe vezmou podobu </w:t>
      </w:r>
      <w:r w:rsidR="00E07604">
        <w:t xml:space="preserve">materiální a formální </w:t>
      </w:r>
      <w:r w:rsidR="004574A5">
        <w:t xml:space="preserve">kontingence. </w:t>
      </w:r>
      <w:r w:rsidR="082979E4">
        <w:t xml:space="preserve">Tento metafyzický doketismus založil objektivní vidění světa v moderně. </w:t>
      </w:r>
      <w:r w:rsidR="004574A5">
        <w:t xml:space="preserve">Nové </w:t>
      </w:r>
      <w:r w:rsidR="004B4D52" w:rsidRPr="004B4D52">
        <w:t>species</w:t>
      </w:r>
      <w:r w:rsidR="00EC0564" w:rsidRPr="00273106">
        <w:rPr>
          <w:i/>
        </w:rPr>
        <w:t xml:space="preserve"> corporis</w:t>
      </w:r>
      <w:r w:rsidR="00AA5C8F">
        <w:rPr>
          <w:i/>
        </w:rPr>
        <w:fldChar w:fldCharType="begin"/>
      </w:r>
      <w:r w:rsidR="00AA5C8F">
        <w:instrText xml:space="preserve"> XE "substance:</w:instrText>
      </w:r>
      <w:r w:rsidR="00AA5C8F" w:rsidRPr="00AF012B">
        <w:rPr>
          <w:i/>
        </w:rPr>
        <w:instrText>species corporis</w:instrText>
      </w:r>
      <w:r w:rsidR="00AA5C8F">
        <w:instrText xml:space="preserve">" </w:instrText>
      </w:r>
      <w:r w:rsidR="00AA5C8F">
        <w:rPr>
          <w:i/>
        </w:rPr>
        <w:fldChar w:fldCharType="end"/>
      </w:r>
      <w:r w:rsidR="00EC0564" w:rsidRPr="00273106">
        <w:t xml:space="preserve"> představuje </w:t>
      </w:r>
      <w:r w:rsidR="00C30E47" w:rsidRPr="00273106">
        <w:t>klasický</w:t>
      </w:r>
      <w:r w:rsidR="00EC0564" w:rsidRPr="00273106">
        <w:t xml:space="preserve"> </w:t>
      </w:r>
      <w:r w:rsidR="00874074">
        <w:t>neoplatonsk</w:t>
      </w:r>
      <w:r w:rsidR="00EC0564" w:rsidRPr="00273106">
        <w:t>ý hybrid</w:t>
      </w:r>
      <w:r w:rsidR="00C30E47" w:rsidRPr="00273106">
        <w:t xml:space="preserve"> </w:t>
      </w:r>
      <w:r w:rsidR="009A7C51" w:rsidRPr="00273106">
        <w:t xml:space="preserve">třetího druhu, </w:t>
      </w:r>
      <w:r w:rsidR="009A7C51" w:rsidRPr="00273106">
        <w:lastRenderedPageBreak/>
        <w:t xml:space="preserve">protože je </w:t>
      </w:r>
      <w:r w:rsidR="00EC0564" w:rsidRPr="00273106">
        <w:t xml:space="preserve">v něm </w:t>
      </w:r>
      <w:r w:rsidR="009A7C51" w:rsidRPr="00273106">
        <w:t xml:space="preserve">dána </w:t>
      </w:r>
      <w:r w:rsidR="00407A7D" w:rsidRPr="00273106">
        <w:t xml:space="preserve">současně potenciální </w:t>
      </w:r>
      <w:r w:rsidR="009A7C51" w:rsidRPr="00273106">
        <w:t xml:space="preserve">esence a </w:t>
      </w:r>
      <w:r w:rsidR="00407A7D" w:rsidRPr="00273106">
        <w:t xml:space="preserve">akt aktuální </w:t>
      </w:r>
      <w:r w:rsidR="009A7C51" w:rsidRPr="00273106">
        <w:t xml:space="preserve">existence. </w:t>
      </w:r>
      <w:r w:rsidR="08DF597C" w:rsidRPr="00273106">
        <w:t>Paralelismu</w:t>
      </w:r>
      <w:r w:rsidR="08B9232B" w:rsidRPr="00273106">
        <w:t>s</w:t>
      </w:r>
      <w:r w:rsidR="08DF597C" w:rsidRPr="00273106">
        <w:t xml:space="preserve"> dvou druhů </w:t>
      </w:r>
      <w:r w:rsidR="004B4D52" w:rsidRPr="004B4D52">
        <w:t>species</w:t>
      </w:r>
      <w:r w:rsidR="08DF597C" w:rsidRPr="00273106">
        <w:t xml:space="preserve"> </w:t>
      </w:r>
      <w:r w:rsidR="08B9232B" w:rsidRPr="00273106">
        <w:t>zakládá novou</w:t>
      </w:r>
      <w:r w:rsidR="08DF597C" w:rsidRPr="00273106">
        <w:t xml:space="preserve"> f</w:t>
      </w:r>
      <w:r w:rsidR="08B9232B" w:rsidRPr="00273106">
        <w:t>ormu</w:t>
      </w:r>
      <w:r w:rsidR="08DF597C" w:rsidRPr="00273106">
        <w:t xml:space="preserve"> adekvace rozumu k realitě</w:t>
      </w:r>
      <w:r w:rsidR="08B9232B" w:rsidRPr="00273106">
        <w:t xml:space="preserve">, která se zásadně rozchází s pojetím </w:t>
      </w:r>
      <w:r w:rsidR="002E3B62">
        <w:t>Averroes</w:t>
      </w:r>
      <w:r w:rsidR="004574A5">
        <w:t xml:space="preserve">ova </w:t>
      </w:r>
      <w:r w:rsidR="08B9232B" w:rsidRPr="00273106">
        <w:rPr>
          <w:i/>
        </w:rPr>
        <w:t>proportio</w:t>
      </w:r>
      <w:r w:rsidR="08B9232B" w:rsidRPr="00273106">
        <w:t xml:space="preserve">. </w:t>
      </w:r>
      <w:r w:rsidR="087F7D4E">
        <w:t>Avicebron</w:t>
      </w:r>
      <w:r w:rsidR="004574A5">
        <w:t xml:space="preserve"> </w:t>
      </w:r>
      <w:r w:rsidR="087F7D4E">
        <w:t xml:space="preserve">definuje </w:t>
      </w:r>
      <w:r w:rsidR="083C064A">
        <w:t xml:space="preserve">dedukuje existenci reálných těles na základě zrcadlení </w:t>
      </w:r>
      <w:r w:rsidR="08D802A3">
        <w:t xml:space="preserve">vyšších </w:t>
      </w:r>
      <w:r w:rsidR="083C064A">
        <w:t xml:space="preserve">forem </w:t>
      </w:r>
      <w:r w:rsidR="08D802A3">
        <w:t xml:space="preserve">do nižších </w:t>
      </w:r>
      <w:r w:rsidR="083C064A">
        <w:t>(</w:t>
      </w:r>
      <w:r w:rsidR="083C064A" w:rsidRPr="083C064A">
        <w:rPr>
          <w:i/>
        </w:rPr>
        <w:t>speculatio</w:t>
      </w:r>
      <w:r w:rsidR="083C064A">
        <w:t xml:space="preserve">). Hylemorfická </w:t>
      </w:r>
      <w:r w:rsidR="00520139">
        <w:t>forma těles odráží</w:t>
      </w:r>
      <w:r w:rsidR="004574A5">
        <w:t xml:space="preserve"> původní vyšší d</w:t>
      </w:r>
      <w:r w:rsidR="00520139">
        <w:t>o</w:t>
      </w:r>
      <w:r w:rsidR="004574A5">
        <w:t xml:space="preserve">konalost specifických těles v diakosmu. </w:t>
      </w:r>
      <w:r w:rsidR="08970C2F" w:rsidRPr="00273106">
        <w:t>Další část citátu určuje kvantitu</w:t>
      </w:r>
      <w:r w:rsidR="00253D3D" w:rsidRPr="00273106">
        <w:t xml:space="preserve"> jako </w:t>
      </w:r>
      <w:r w:rsidR="00663C54" w:rsidRPr="00273106">
        <w:t>subsistentní</w:t>
      </w:r>
      <w:r w:rsidR="08970C2F" w:rsidRPr="00273106">
        <w:t xml:space="preserve"> </w:t>
      </w:r>
      <w:r w:rsidR="00253D3D" w:rsidRPr="00273106">
        <w:t>form</w:t>
      </w:r>
      <w:r w:rsidR="00486951">
        <w:t xml:space="preserve">u, která na sebe bere </w:t>
      </w:r>
      <w:r w:rsidR="007F6827">
        <w:t>vyšší inteligibilní formy</w:t>
      </w:r>
      <w:r w:rsidR="00624F92">
        <w:fldChar w:fldCharType="begin"/>
      </w:r>
      <w:r w:rsidR="00624F92">
        <w:instrText xml:space="preserve"> XE "</w:instrText>
      </w:r>
      <w:r w:rsidR="00624F92" w:rsidRPr="00243FCC">
        <w:instrText>materie:Avicebron</w:instrText>
      </w:r>
      <w:r w:rsidR="00624F92">
        <w:instrText xml:space="preserve">" </w:instrText>
      </w:r>
      <w:r w:rsidR="00624F92">
        <w:fldChar w:fldCharType="end"/>
      </w:r>
      <w:r w:rsidR="007F6827">
        <w:t xml:space="preserve"> </w:t>
      </w:r>
      <w:r w:rsidR="00253D3D" w:rsidRPr="00273106">
        <w:t>(</w:t>
      </w:r>
      <w:r w:rsidR="00253D3D" w:rsidRPr="00273106">
        <w:rPr>
          <w:i/>
        </w:rPr>
        <w:t>forma quantitatis erit conferibilis formae intelligentiae</w:t>
      </w:r>
      <w:r w:rsidR="087F7D4E">
        <w:t>)</w:t>
      </w:r>
      <w:r w:rsidR="00123B51" w:rsidRPr="00273106">
        <w:t xml:space="preserve">. </w:t>
      </w:r>
      <w:r w:rsidR="000E20DE" w:rsidRPr="00273106">
        <w:t>Znovu se opakuje scénář Simpliki</w:t>
      </w:r>
      <w:r w:rsidR="000E20DE">
        <w:t>a a F</w:t>
      </w:r>
      <w:r w:rsidR="000E20DE" w:rsidRPr="00273106">
        <w:t>ilopona, v němž je rozsažnost def</w:t>
      </w:r>
      <w:r w:rsidR="000E20DE">
        <w:t xml:space="preserve">inována </w:t>
      </w:r>
      <w:r w:rsidR="000A4DD2">
        <w:t>v demiurgickém diakosmu</w:t>
      </w:r>
      <w:r w:rsidR="00624F92">
        <w:fldChar w:fldCharType="begin"/>
      </w:r>
      <w:r w:rsidR="00624F92">
        <w:instrText xml:space="preserve"> XE "</w:instrText>
      </w:r>
      <w:r w:rsidR="00624F92" w:rsidRPr="00653641">
        <w:instrText>diakosmos</w:instrText>
      </w:r>
      <w:r w:rsidR="00624F92">
        <w:instrText xml:space="preserve">" </w:instrText>
      </w:r>
      <w:r w:rsidR="00624F92">
        <w:fldChar w:fldCharType="end"/>
      </w:r>
      <w:r w:rsidR="000A4DD2">
        <w:t xml:space="preserve"> </w:t>
      </w:r>
      <w:r w:rsidR="000E20DE">
        <w:t>mimo reálně dané hylemorfické těleso</w:t>
      </w:r>
      <w:r w:rsidR="000E20DE" w:rsidRPr="00273106">
        <w:t xml:space="preserve">. </w:t>
      </w:r>
      <w:r w:rsidR="0876597E" w:rsidRPr="00273106">
        <w:t>Avicebron</w:t>
      </w:r>
      <w:r w:rsidR="0876597E">
        <w:t xml:space="preserve"> kráčel po </w:t>
      </w:r>
      <w:r w:rsidR="00613EEA">
        <w:t xml:space="preserve">cestě neoplatoniků, kteří vytvořili první formu </w:t>
      </w:r>
      <w:r w:rsidR="001C2926">
        <w:t>paralelní</w:t>
      </w:r>
      <w:r w:rsidR="00613EEA">
        <w:t>ho kosmu</w:t>
      </w:r>
      <w:r w:rsidR="003977D4">
        <w:t xml:space="preserve">. </w:t>
      </w:r>
      <w:r w:rsidR="00253D3D" w:rsidRPr="00273106">
        <w:t xml:space="preserve">Ohledně dvou forem látky </w:t>
      </w:r>
      <w:r w:rsidR="00123B51" w:rsidRPr="00273106">
        <w:t xml:space="preserve">praví </w:t>
      </w:r>
      <w:r w:rsidR="00E018CC" w:rsidRPr="00273106">
        <w:t>mistr žákovi toto.</w:t>
      </w:r>
    </w:p>
    <w:p w14:paraId="68ECCC6A" w14:textId="77777777" w:rsidR="00624E72" w:rsidRPr="00273106" w:rsidRDefault="00E018CC" w:rsidP="00123B51">
      <w:pPr>
        <w:pStyle w:val="Citace"/>
        <w:rPr>
          <w:noProof/>
          <w:lang w:val="cs-CZ"/>
        </w:rPr>
      </w:pPr>
      <w:r w:rsidRPr="00273106">
        <w:rPr>
          <w:noProof/>
          <w:lang w:val="cs-CZ"/>
        </w:rPr>
        <w:t>„</w:t>
      </w:r>
      <w:r w:rsidR="00123B51" w:rsidRPr="00273106">
        <w:rPr>
          <w:noProof/>
          <w:lang w:val="cs-CZ"/>
        </w:rPr>
        <w:t>Inteligibilní forma j</w:t>
      </w:r>
      <w:r w:rsidR="00513A8F">
        <w:rPr>
          <w:noProof/>
          <w:lang w:val="cs-CZ"/>
        </w:rPr>
        <w:t>e jedna a je jednoduchá. F</w:t>
      </w:r>
      <w:r w:rsidR="00123B51" w:rsidRPr="00273106">
        <w:rPr>
          <w:noProof/>
          <w:lang w:val="cs-CZ"/>
        </w:rPr>
        <w:t>orma daná kvantitativně je mnohá a je dána jako kompozitum oné jedné formy</w:t>
      </w:r>
      <w:r w:rsidR="00513A8F">
        <w:rPr>
          <w:noProof/>
          <w:lang w:val="cs-CZ"/>
        </w:rPr>
        <w:t xml:space="preserve"> (</w:t>
      </w:r>
      <w:r w:rsidR="00513A8F" w:rsidRPr="00513A8F">
        <w:rPr>
          <w:i/>
        </w:rPr>
        <w:t>forma uero quantitatis est multae unae compositae</w:t>
      </w:r>
      <w:r w:rsidR="00513A8F">
        <w:rPr>
          <w:noProof/>
          <w:lang w:val="cs-CZ"/>
        </w:rPr>
        <w:t>)</w:t>
      </w:r>
      <w:r w:rsidR="00123B51" w:rsidRPr="00273106">
        <w:rPr>
          <w:noProof/>
          <w:lang w:val="cs-CZ"/>
        </w:rPr>
        <w:t xml:space="preserve">. </w:t>
      </w:r>
      <w:r w:rsidR="08B11CB7">
        <w:rPr>
          <w:noProof/>
          <w:lang w:val="cs-CZ"/>
        </w:rPr>
        <w:t>A jako i</w:t>
      </w:r>
      <w:r w:rsidR="00123B51" w:rsidRPr="00273106">
        <w:rPr>
          <w:noProof/>
          <w:lang w:val="cs-CZ"/>
        </w:rPr>
        <w:t>nteligibilní forma má ze všech f</w:t>
      </w:r>
      <w:r w:rsidR="000C0301">
        <w:rPr>
          <w:noProof/>
          <w:lang w:val="cs-CZ"/>
        </w:rPr>
        <w:t>orem nejblíže k vyšší materii (</w:t>
      </w:r>
      <w:r w:rsidR="000C0301" w:rsidRPr="000C0301">
        <w:rPr>
          <w:i/>
        </w:rPr>
        <w:t>propinquior materiae altiori</w:t>
      </w:r>
      <w:r w:rsidR="000C0301">
        <w:rPr>
          <w:noProof/>
          <w:lang w:val="cs-CZ"/>
        </w:rPr>
        <w:t>)</w:t>
      </w:r>
      <w:r w:rsidR="08B11CB7">
        <w:rPr>
          <w:noProof/>
          <w:lang w:val="cs-CZ"/>
        </w:rPr>
        <w:t>, s</w:t>
      </w:r>
      <w:r w:rsidR="00123B51" w:rsidRPr="00273106">
        <w:rPr>
          <w:noProof/>
          <w:lang w:val="cs-CZ"/>
        </w:rPr>
        <w:t>tejně tak i forma daná kvantitativně má ze všech forem nejblíže k nižší materii</w:t>
      </w:r>
      <w:r w:rsidR="000C0301">
        <w:rPr>
          <w:noProof/>
          <w:lang w:val="cs-CZ"/>
        </w:rPr>
        <w:t xml:space="preserve"> (</w:t>
      </w:r>
      <w:r w:rsidR="000C0301" w:rsidRPr="000C0301">
        <w:rPr>
          <w:i/>
        </w:rPr>
        <w:t xml:space="preserve">propinquior materiae </w:t>
      </w:r>
      <w:r w:rsidR="000C0301" w:rsidRPr="000C0301">
        <w:rPr>
          <w:i/>
          <w:lang w:val="cs-CZ"/>
        </w:rPr>
        <w:t>inferiori</w:t>
      </w:r>
      <w:r w:rsidR="000C0301">
        <w:rPr>
          <w:noProof/>
          <w:lang w:val="cs-CZ"/>
        </w:rPr>
        <w:t>)</w:t>
      </w:r>
      <w:r w:rsidR="00123B51" w:rsidRPr="00273106">
        <w:rPr>
          <w:noProof/>
          <w:lang w:val="cs-CZ"/>
        </w:rPr>
        <w:t xml:space="preserve">.“ </w:t>
      </w:r>
      <w:r w:rsidR="00624E72" w:rsidRPr="00273106">
        <w:rPr>
          <w:rStyle w:val="Znakapoznpodarou"/>
          <w:noProof/>
          <w:lang w:val="cs-CZ"/>
        </w:rPr>
        <w:footnoteReference w:id="341"/>
      </w:r>
    </w:p>
    <w:p w14:paraId="3D6ACC0B" w14:textId="2F0478A9" w:rsidR="0081645B" w:rsidRDefault="004D2996" w:rsidP="003E4CC5">
      <w:r w:rsidRPr="00273106">
        <w:t>Rozdíl mezi čistou inteligibilní formou (</w:t>
      </w:r>
      <w:r w:rsidRPr="00273106">
        <w:rPr>
          <w:i/>
        </w:rPr>
        <w:t>forma intelligentiae est una simplex</w:t>
      </w:r>
      <w:r w:rsidRPr="00273106">
        <w:t xml:space="preserve">) a nižšími druhy forem </w:t>
      </w:r>
      <w:r w:rsidR="00583E76">
        <w:t xml:space="preserve">spočívá </w:t>
      </w:r>
      <w:r w:rsidRPr="00273106">
        <w:t>v možnosti dělení skrze formálně danou rozsažnost</w:t>
      </w:r>
      <w:r w:rsidR="00511A07">
        <w:t xml:space="preserve"> třetího druhu</w:t>
      </w:r>
      <w:r w:rsidR="00DE780A">
        <w:t>. Přeměna diakosmické rozsažnosti</w:t>
      </w:r>
      <w:r w:rsidR="00624F92">
        <w:fldChar w:fldCharType="begin"/>
      </w:r>
      <w:r w:rsidR="00624F92">
        <w:instrText xml:space="preserve"> XE "</w:instrText>
      </w:r>
      <w:r w:rsidR="00624F92" w:rsidRPr="000811B8">
        <w:instrText>těleso:třetího druhu</w:instrText>
      </w:r>
      <w:r w:rsidR="00624F92">
        <w:instrText xml:space="preserve">" </w:instrText>
      </w:r>
      <w:r w:rsidR="00624F92">
        <w:fldChar w:fldCharType="end"/>
      </w:r>
      <w:r w:rsidR="00DE780A">
        <w:t xml:space="preserve"> na její materiální určení</w:t>
      </w:r>
      <w:r w:rsidR="00583E76">
        <w:t xml:space="preserve"> </w:t>
      </w:r>
      <w:r w:rsidRPr="00273106">
        <w:t>zakládá nižší patro jednoty pro svět hylemorfických substancí (</w:t>
      </w:r>
      <w:r w:rsidRPr="00273106">
        <w:rPr>
          <w:i/>
        </w:rPr>
        <w:t>forma uero quantitatis est multae unae compositae</w:t>
      </w:r>
      <w:r w:rsidRPr="00273106">
        <w:t xml:space="preserve">). </w:t>
      </w:r>
      <w:r w:rsidR="000B2241" w:rsidRPr="00273106">
        <w:t xml:space="preserve">Inteligibilní formy Avicebrona mají svou vlastní materii danou </w:t>
      </w:r>
      <w:r w:rsidR="000B2241" w:rsidRPr="00273106">
        <w:rPr>
          <w:i/>
        </w:rPr>
        <w:t>simpliciter</w:t>
      </w:r>
      <w:r w:rsidR="000B2241" w:rsidRPr="00273106">
        <w:t xml:space="preserve"> </w:t>
      </w:r>
      <w:r w:rsidR="08A15FE0">
        <w:t xml:space="preserve">v diakosmu </w:t>
      </w:r>
      <w:r w:rsidR="000B2241" w:rsidRPr="00273106">
        <w:t>(</w:t>
      </w:r>
      <w:r w:rsidR="000B2241" w:rsidRPr="00273106">
        <w:rPr>
          <w:i/>
        </w:rPr>
        <w:t>materia altior</w:t>
      </w:r>
      <w:r w:rsidR="000B2241" w:rsidRPr="00273106">
        <w:t>), která se pod</w:t>
      </w:r>
      <w:r w:rsidR="08A15FE0">
        <w:t xml:space="preserve">statně liší od nižší formy v reálném světě </w:t>
      </w:r>
      <w:r w:rsidR="000B2241" w:rsidRPr="00273106">
        <w:t>(</w:t>
      </w:r>
      <w:r w:rsidR="000B2241" w:rsidRPr="00273106">
        <w:rPr>
          <w:i/>
        </w:rPr>
        <w:t>materia inferior</w:t>
      </w:r>
      <w:r w:rsidR="000B2241" w:rsidRPr="00273106">
        <w:t xml:space="preserve">). Citát sleduje </w:t>
      </w:r>
      <w:r w:rsidR="00874074">
        <w:t>neoplatonsk</w:t>
      </w:r>
      <w:r w:rsidR="000B2241" w:rsidRPr="00273106">
        <w:t>ou linii dvoupatrové stavby jsoucna</w:t>
      </w:r>
      <w:r w:rsidR="00624F92">
        <w:fldChar w:fldCharType="begin"/>
      </w:r>
      <w:r w:rsidR="00624F92">
        <w:instrText xml:space="preserve"> XE "</w:instrText>
      </w:r>
      <w:r w:rsidR="00624F92" w:rsidRPr="000651FC">
        <w:instrText>zdvojení bytí</w:instrText>
      </w:r>
      <w:r w:rsidR="00624F92">
        <w:instrText xml:space="preserve">" </w:instrText>
      </w:r>
      <w:r w:rsidR="00624F92">
        <w:fldChar w:fldCharType="end"/>
      </w:r>
      <w:r w:rsidR="000B2241" w:rsidRPr="00273106">
        <w:t>.</w:t>
      </w:r>
      <w:r w:rsidR="000B2241">
        <w:t xml:space="preserve"> </w:t>
      </w:r>
      <w:r w:rsidR="0058484F">
        <w:t>Toto d</w:t>
      </w:r>
      <w:r w:rsidR="0058484F" w:rsidRPr="00273106">
        <w:t>voj</w:t>
      </w:r>
      <w:r w:rsidR="0058484F">
        <w:t xml:space="preserve">stupňové </w:t>
      </w:r>
      <w:r w:rsidR="0058484F" w:rsidRPr="00273106">
        <w:t xml:space="preserve">zakládání subsistentního bytí </w:t>
      </w:r>
      <w:r w:rsidR="0058484F">
        <w:t xml:space="preserve">přejde do </w:t>
      </w:r>
      <w:r w:rsidR="0058484F" w:rsidRPr="00273106">
        <w:t xml:space="preserve">ontoteologie křesťanských </w:t>
      </w:r>
      <w:r w:rsidR="0058484F" w:rsidRPr="00273106">
        <w:rPr>
          <w:i/>
        </w:rPr>
        <w:t>Modernorum</w:t>
      </w:r>
      <w:r w:rsidR="081534FE">
        <w:rPr>
          <w:i/>
        </w:rPr>
        <w:t xml:space="preserve"> </w:t>
      </w:r>
      <w:r w:rsidR="081534FE" w:rsidRPr="081534FE">
        <w:t>skrze</w:t>
      </w:r>
      <w:r w:rsidR="081534FE">
        <w:rPr>
          <w:i/>
        </w:rPr>
        <w:t xml:space="preserve"> </w:t>
      </w:r>
      <w:r w:rsidR="0058484F" w:rsidRPr="00273106">
        <w:t>duální model reality u Bonaventury (</w:t>
      </w:r>
      <w:r w:rsidR="0873370B">
        <w:t>OBJ III, kap. 4</w:t>
      </w:r>
      <w:r w:rsidR="0058484F" w:rsidRPr="00273106">
        <w:t xml:space="preserve">.1.2). </w:t>
      </w:r>
      <w:r w:rsidR="00BD0776" w:rsidRPr="00273106">
        <w:t xml:space="preserve">Specifická materie formuje abstraktní korporeitu nižších </w:t>
      </w:r>
      <w:r w:rsidR="004B4D52" w:rsidRPr="004B4D52">
        <w:t>species</w:t>
      </w:r>
      <w:r w:rsidR="00BD0776" w:rsidRPr="00273106">
        <w:t xml:space="preserve"> a tím je vyvádí do </w:t>
      </w:r>
      <w:r w:rsidR="00BE251C">
        <w:t>„</w:t>
      </w:r>
      <w:r w:rsidR="00BD0776" w:rsidRPr="00273106">
        <w:t>ex</w:t>
      </w:r>
      <w:r w:rsidR="00BE251C">
        <w:t>s</w:t>
      </w:r>
      <w:r w:rsidR="00BD0776" w:rsidRPr="00273106">
        <w:t>istence</w:t>
      </w:r>
      <w:r w:rsidR="00BE251C">
        <w:t xml:space="preserve">“ dané přesahem vyšší formy do nižšího hylického světa </w:t>
      </w:r>
      <w:r w:rsidR="00BD0776" w:rsidRPr="00273106">
        <w:t>(</w:t>
      </w:r>
      <w:r w:rsidR="00BD0776" w:rsidRPr="00273106">
        <w:rPr>
          <w:i/>
        </w:rPr>
        <w:t>forma intelligentiae est propinquior materiae altiori</w:t>
      </w:r>
      <w:r w:rsidR="00BD0776" w:rsidRPr="00273106">
        <w:t>). Rozsažnost určená matematicky ve vyšší materii</w:t>
      </w:r>
      <w:r w:rsidR="00B6194A">
        <w:t xml:space="preserve"> </w:t>
      </w:r>
      <w:r w:rsidR="00BD0776" w:rsidRPr="00273106">
        <w:t>dostane</w:t>
      </w:r>
      <w:r w:rsidR="00B6194A">
        <w:t xml:space="preserve"> díky sestupu </w:t>
      </w:r>
      <w:r w:rsidR="00225797">
        <w:t xml:space="preserve">ze světa </w:t>
      </w:r>
      <w:r w:rsidR="08BB3977">
        <w:t>spirituální</w:t>
      </w:r>
      <w:r w:rsidR="00225797">
        <w:t>ch</w:t>
      </w:r>
      <w:r w:rsidR="08BB3977">
        <w:t xml:space="preserve"> </w:t>
      </w:r>
      <w:r w:rsidR="00225797">
        <w:t>forem</w:t>
      </w:r>
      <w:r w:rsidR="00B6194A">
        <w:t xml:space="preserve"> a </w:t>
      </w:r>
      <w:r w:rsidR="00225797">
        <w:t xml:space="preserve">spirituální materie </w:t>
      </w:r>
      <w:r w:rsidR="00B6194A">
        <w:t>i</w:t>
      </w:r>
      <w:r w:rsidR="00BD0776" w:rsidRPr="00273106">
        <w:t xml:space="preserve"> nižší určení v </w:t>
      </w:r>
      <w:r w:rsidR="00C91667">
        <w:t xml:space="preserve">hmotné </w:t>
      </w:r>
      <w:r w:rsidR="00BD0776" w:rsidRPr="00273106">
        <w:t xml:space="preserve">látce a formě. </w:t>
      </w:r>
      <w:r w:rsidR="00BE7DAE" w:rsidRPr="00273106">
        <w:t xml:space="preserve">Klíčovou </w:t>
      </w:r>
      <w:r w:rsidR="00BE7DAE" w:rsidRPr="00273106">
        <w:lastRenderedPageBreak/>
        <w:t xml:space="preserve">roli hraje vyvádění vyšších substancí do nižších </w:t>
      </w:r>
      <w:r w:rsidR="08385BF0">
        <w:t xml:space="preserve">v modu podobnosti, která je určeně i rozsažností pojatou ve dvou registrech </w:t>
      </w:r>
      <w:r w:rsidR="00BE7DAE" w:rsidRPr="00273106">
        <w:t>(</w:t>
      </w:r>
      <w:r w:rsidR="00BE7DAE" w:rsidRPr="00273106">
        <w:rPr>
          <w:i/>
        </w:rPr>
        <w:t>forma quantitatis est propinquior materiae inferiori</w:t>
      </w:r>
      <w:r w:rsidR="00BE7DAE" w:rsidRPr="00273106">
        <w:t>). Tím vzniká podobnost</w:t>
      </w:r>
      <w:r w:rsidR="00D1302A">
        <w:t xml:space="preserve"> dvou forem rozsažnosti v modu spekulativ</w:t>
      </w:r>
      <w:r w:rsidR="08385BF0">
        <w:t>ního zrcadlení vyšší formy v niž</w:t>
      </w:r>
      <w:r w:rsidR="00D1302A">
        <w:t>ší (</w:t>
      </w:r>
      <w:r w:rsidR="00BE7DAE" w:rsidRPr="00273106">
        <w:rPr>
          <w:i/>
        </w:rPr>
        <w:t>sicut forma intelligentiae</w:t>
      </w:r>
      <w:r w:rsidR="00BE7DAE" w:rsidRPr="00273106">
        <w:t>...</w:t>
      </w:r>
      <w:r w:rsidR="00BE7DAE" w:rsidRPr="00273106">
        <w:rPr>
          <w:i/>
        </w:rPr>
        <w:t>similiter forma quantitatis</w:t>
      </w:r>
      <w:r w:rsidR="00D1302A">
        <w:t>)</w:t>
      </w:r>
      <w:r w:rsidR="00BE7DAE" w:rsidRPr="00273106">
        <w:t xml:space="preserve">. </w:t>
      </w:r>
      <w:r w:rsidR="00C4248F">
        <w:t>Tento d</w:t>
      </w:r>
      <w:r w:rsidR="00BD0776" w:rsidRPr="00273106">
        <w:t xml:space="preserve">ruhý krok </w:t>
      </w:r>
      <w:r w:rsidR="00CA2154">
        <w:t>dedukce založí materiálně určenou</w:t>
      </w:r>
      <w:r w:rsidR="00BD0776" w:rsidRPr="00273106">
        <w:t xml:space="preserve"> </w:t>
      </w:r>
      <w:r w:rsidR="004B4D52" w:rsidRPr="004B4D52">
        <w:t>species</w:t>
      </w:r>
      <w:r w:rsidR="00CA2154">
        <w:t xml:space="preserve"> determinovanou</w:t>
      </w:r>
      <w:r w:rsidR="00BD0776" w:rsidRPr="00273106">
        <w:t xml:space="preserve"> jako hyleformicky určené </w:t>
      </w:r>
      <w:r w:rsidR="00943F61">
        <w:t>„</w:t>
      </w:r>
      <w:r w:rsidR="00BD0776" w:rsidRPr="00273106">
        <w:t>těleso</w:t>
      </w:r>
      <w:r w:rsidR="00943F61">
        <w:t>–species“</w:t>
      </w:r>
      <w:r w:rsidR="00BD0776" w:rsidRPr="00273106">
        <w:t xml:space="preserve"> (</w:t>
      </w:r>
      <w:r w:rsidR="00BD0776" w:rsidRPr="00273106">
        <w:rPr>
          <w:i/>
        </w:rPr>
        <w:t>constituit speciem corporis</w:t>
      </w:r>
      <w:r w:rsidR="00BD0776" w:rsidRPr="00273106">
        <w:t xml:space="preserve">). </w:t>
      </w:r>
      <w:r w:rsidR="00C4248F">
        <w:t xml:space="preserve">Proto lze takto </w:t>
      </w:r>
      <w:r w:rsidR="00CA2154">
        <w:t>danou</w:t>
      </w:r>
      <w:r w:rsidR="00083204" w:rsidRPr="00273106">
        <w:t xml:space="preserve"> </w:t>
      </w:r>
      <w:r w:rsidR="004B4D52" w:rsidRPr="004B4D52">
        <w:t>species</w:t>
      </w:r>
      <w:r w:rsidR="00083204" w:rsidRPr="00273106">
        <w:t xml:space="preserve"> dělit až na poslední nedělitelnou část univerzálního významu (</w:t>
      </w:r>
      <w:r w:rsidR="00083204" w:rsidRPr="00273106">
        <w:rPr>
          <w:i/>
        </w:rPr>
        <w:t>individuum</w:t>
      </w:r>
      <w:r w:rsidR="0081645B">
        <w:t>).</w:t>
      </w:r>
    </w:p>
    <w:p w14:paraId="284AFF91" w14:textId="1B0256CC" w:rsidR="0065105E" w:rsidRDefault="00155CE7" w:rsidP="0081645B">
      <w:pPr>
        <w:ind w:firstLine="397"/>
      </w:pPr>
      <w:r>
        <w:t>To</w:t>
      </w:r>
      <w:r w:rsidR="0014637C">
        <w:t xml:space="preserve">to jsoucno třetího druhu </w:t>
      </w:r>
      <w:r w:rsidR="00963F71">
        <w:t xml:space="preserve">vybavené materií a formou třetího druhu </w:t>
      </w:r>
      <w:r w:rsidR="008308A8">
        <w:t xml:space="preserve">zavedli zastánci </w:t>
      </w:r>
      <w:r w:rsidR="00964C5A">
        <w:t>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964C5A">
        <w:t xml:space="preserve"> </w:t>
      </w:r>
      <w:r w:rsidR="008308A8">
        <w:t>jako novou náhražk</w:t>
      </w:r>
      <w:r w:rsidR="008308A8" w:rsidRPr="00273106">
        <w:t>u první substance</w:t>
      </w:r>
      <w:r w:rsidR="00A70FA4">
        <w:fldChar w:fldCharType="begin"/>
      </w:r>
      <w:r w:rsidR="00A70FA4">
        <w:instrText xml:space="preserve"> XE "</w:instrText>
      </w:r>
      <w:r w:rsidR="00A70FA4" w:rsidRPr="00DE2A32">
        <w:instrText>substance</w:instrText>
      </w:r>
      <w:r w:rsidR="00624F92">
        <w:instrText>:třetího druhu</w:instrText>
      </w:r>
      <w:r w:rsidR="00A70FA4">
        <w:instrText xml:space="preserve">" </w:instrText>
      </w:r>
      <w:r w:rsidR="00A70FA4">
        <w:fldChar w:fldCharType="end"/>
      </w:r>
      <w:r w:rsidR="008308A8" w:rsidRPr="00485B55">
        <w:t xml:space="preserve"> </w:t>
      </w:r>
      <w:r w:rsidR="008308A8">
        <w:t xml:space="preserve">v </w:t>
      </w:r>
      <w:r w:rsidR="00964C5A">
        <w:t xml:space="preserve">Oxfordu </w:t>
      </w:r>
      <w:r w:rsidR="08BB502B">
        <w:t xml:space="preserve">v letech </w:t>
      </w:r>
      <w:r w:rsidR="007E575A">
        <w:t>1235</w:t>
      </w:r>
      <w:r w:rsidR="08BB502B">
        <w:t>‒40</w:t>
      </w:r>
      <w:r w:rsidR="00083204" w:rsidRPr="00273106">
        <w:t xml:space="preserve">. Původní dělení univerzálních entit podle </w:t>
      </w:r>
      <w:r w:rsidR="00BB45B1">
        <w:t>Porfyri</w:t>
      </w:r>
      <w:r w:rsidR="087E3410">
        <w:t>ova stromu (kap. 1</w:t>
      </w:r>
      <w:r w:rsidR="00083204" w:rsidRPr="00273106">
        <w:t xml:space="preserve">.4) dostalo </w:t>
      </w:r>
      <w:r w:rsidR="00492524">
        <w:t>zavedením materie třetího druhu</w:t>
      </w:r>
      <w:r w:rsidR="002D6F60">
        <w:fldChar w:fldCharType="begin"/>
      </w:r>
      <w:r w:rsidR="002D6F60">
        <w:instrText xml:space="preserve"> XE "</w:instrText>
      </w:r>
      <w:r w:rsidR="002D6F60" w:rsidRPr="00CB3776">
        <w:instrText>materie:třetího druhu</w:instrText>
      </w:r>
      <w:r w:rsidR="002D6F60">
        <w:instrText xml:space="preserve">" </w:instrText>
      </w:r>
      <w:r w:rsidR="002D6F60">
        <w:fldChar w:fldCharType="end"/>
      </w:r>
      <w:r w:rsidR="00492524">
        <w:t xml:space="preserve"> </w:t>
      </w:r>
      <w:r w:rsidR="08A64EB0">
        <w:t xml:space="preserve">mohutný impulz k tomu, aby </w:t>
      </w:r>
      <w:r w:rsidR="0040107C">
        <w:t>s</w:t>
      </w:r>
      <w:r w:rsidR="002D7CAA">
        <w:t xml:space="preserve">tvořilo novou substanci </w:t>
      </w:r>
      <w:r w:rsidR="00083204" w:rsidRPr="00273106">
        <w:t xml:space="preserve">třetího druhu. </w:t>
      </w:r>
      <w:r w:rsidR="00492524">
        <w:t>Navíc vznikl</w:t>
      </w:r>
      <w:r w:rsidR="081E699E">
        <w:t>o</w:t>
      </w:r>
      <w:r w:rsidR="00492524">
        <w:t xml:space="preserve"> </w:t>
      </w:r>
      <w:r w:rsidR="081E699E" w:rsidRPr="00273106">
        <w:t xml:space="preserve">nové pojetí pravdy </w:t>
      </w:r>
      <w:r w:rsidR="081E699E">
        <w:t xml:space="preserve">jako </w:t>
      </w:r>
      <w:r w:rsidR="087743C2">
        <w:t>spekulativního zrcadlení diakosmu a reality</w:t>
      </w:r>
      <w:r w:rsidR="00BD0776" w:rsidRPr="00273106">
        <w:t xml:space="preserve">. </w:t>
      </w:r>
      <w:r w:rsidR="009D1573" w:rsidRPr="00273106">
        <w:t xml:space="preserve">Citát z </w:t>
      </w:r>
      <w:r w:rsidR="009D1573" w:rsidRPr="00273106">
        <w:rPr>
          <w:i/>
        </w:rPr>
        <w:t>Fons vitae</w:t>
      </w:r>
      <w:r w:rsidR="009D1573" w:rsidRPr="00273106">
        <w:t xml:space="preserve"> ukazuje, že </w:t>
      </w:r>
      <w:r w:rsidR="00874074">
        <w:t>neoplatonsk</w:t>
      </w:r>
      <w:r w:rsidR="00994099">
        <w:t xml:space="preserve">á </w:t>
      </w:r>
      <w:r w:rsidR="009D1573" w:rsidRPr="00273106">
        <w:t>rozsažnost hraje klíčovou roli při přechodu z intelektuální formy na nižší (</w:t>
      </w:r>
      <w:r w:rsidR="009D1573" w:rsidRPr="00273106">
        <w:rPr>
          <w:i/>
        </w:rPr>
        <w:t>forma quantitatis erit conferibilis formae intelligentiae</w:t>
      </w:r>
      <w:r w:rsidR="00994099">
        <w:t xml:space="preserve">). </w:t>
      </w:r>
      <w:r w:rsidR="002D6F60">
        <w:t>O</w:t>
      </w:r>
      <w:r w:rsidR="006A086D">
        <w:t xml:space="preserve">xfordští </w:t>
      </w:r>
      <w:r w:rsidR="00BD0776" w:rsidRPr="00273106">
        <w:t xml:space="preserve">porretáni </w:t>
      </w:r>
      <w:r w:rsidR="006A086D" w:rsidRPr="00273106">
        <w:t xml:space="preserve">pochopili </w:t>
      </w:r>
      <w:r w:rsidR="0863780A">
        <w:t xml:space="preserve">přechod </w:t>
      </w:r>
      <w:r w:rsidR="08A64EB0">
        <w:t xml:space="preserve">forem </w:t>
      </w:r>
      <w:r w:rsidR="0863780A">
        <w:t>z diako</w:t>
      </w:r>
      <w:r w:rsidR="08A64EB0">
        <w:t>s</w:t>
      </w:r>
      <w:r w:rsidR="0863780A">
        <w:t xml:space="preserve">mu do reality </w:t>
      </w:r>
      <w:r w:rsidR="00BD0776" w:rsidRPr="00273106">
        <w:t>jako důkaz primátu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994099">
        <w:t xml:space="preserve">. </w:t>
      </w:r>
      <w:r w:rsidR="001B6033">
        <w:t xml:space="preserve">Rozsažnost daná </w:t>
      </w:r>
      <w:r w:rsidR="08CB4214">
        <w:t xml:space="preserve">původně </w:t>
      </w:r>
      <w:r w:rsidR="001B6033">
        <w:t xml:space="preserve">matematicky se na nižším patře těles mění na rozsažnost danou fyzikálně. Oxfordští </w:t>
      </w:r>
      <w:r w:rsidR="0035324C">
        <w:t xml:space="preserve">modernisté </w:t>
      </w:r>
      <w:r w:rsidR="001B6033">
        <w:t>s</w:t>
      </w:r>
      <w:r w:rsidR="00994099">
        <w:t xml:space="preserve">pojili inteligibilní a korporální </w:t>
      </w:r>
      <w:r w:rsidR="004B4D52" w:rsidRPr="004B4D52">
        <w:t>species</w:t>
      </w:r>
      <w:r w:rsidR="00994099">
        <w:t xml:space="preserve"> s</w:t>
      </w:r>
      <w:r w:rsidR="00994099" w:rsidRPr="00273106">
        <w:t>krze matematicky určenou proporci</w:t>
      </w:r>
      <w:r w:rsidR="00994099">
        <w:t xml:space="preserve"> a </w:t>
      </w:r>
      <w:r w:rsidR="00BD0776" w:rsidRPr="00273106">
        <w:t xml:space="preserve">zavedli </w:t>
      </w:r>
      <w:r w:rsidR="088E5E76" w:rsidRPr="00273106">
        <w:t xml:space="preserve">analogicky danou univocitu </w:t>
      </w:r>
      <w:r w:rsidR="088E5E76">
        <w:t xml:space="preserve"> jsoucna </w:t>
      </w:r>
      <w:r w:rsidR="08E67C15">
        <w:t>do metafyziky (kap. 3</w:t>
      </w:r>
      <w:r w:rsidR="00BD0776" w:rsidRPr="00273106">
        <w:t xml:space="preserve">.3.2). </w:t>
      </w:r>
      <w:r w:rsidR="08CB4214">
        <w:t>V</w:t>
      </w:r>
      <w:r w:rsidR="00E018CC" w:rsidRPr="00273106">
        <w:t xml:space="preserve">yvedením </w:t>
      </w:r>
      <w:r w:rsidR="004B4D52" w:rsidRPr="004B4D52">
        <w:t>species</w:t>
      </w:r>
      <w:r w:rsidR="0035324C">
        <w:t xml:space="preserve"> a forem z vyšší sféry („</w:t>
      </w:r>
      <w:r w:rsidR="084649C6" w:rsidRPr="084649C6">
        <w:rPr>
          <w:i/>
        </w:rPr>
        <w:t>exsistere</w:t>
      </w:r>
      <w:r w:rsidR="0035324C">
        <w:t>“)</w:t>
      </w:r>
      <w:r w:rsidR="084649C6">
        <w:t xml:space="preserve"> </w:t>
      </w:r>
      <w:r w:rsidR="0035324C">
        <w:t>přešla</w:t>
      </w:r>
      <w:r w:rsidR="08D026F3" w:rsidRPr="00273106">
        <w:t xml:space="preserve"> </w:t>
      </w:r>
      <w:r w:rsidR="003B01FC">
        <w:t>diakosmická u</w:t>
      </w:r>
      <w:r w:rsidR="00120FC8" w:rsidRPr="00273106">
        <w:t xml:space="preserve">rčení </w:t>
      </w:r>
      <w:r w:rsidR="003B01FC">
        <w:t xml:space="preserve">tělesa třetího druhu </w:t>
      </w:r>
      <w:r w:rsidR="0035324C">
        <w:t xml:space="preserve">do nižší sféry </w:t>
      </w:r>
      <w:r w:rsidR="00120FC8" w:rsidRPr="00273106">
        <w:t xml:space="preserve">hylemorfických </w:t>
      </w:r>
      <w:r w:rsidR="00E018CC" w:rsidRPr="00273106">
        <w:t>substancí</w:t>
      </w:r>
      <w:r w:rsidR="002D6F60">
        <w:fldChar w:fldCharType="begin"/>
      </w:r>
      <w:r w:rsidR="002D6F60">
        <w:instrText xml:space="preserve"> XE "</w:instrText>
      </w:r>
      <w:r w:rsidR="002D6F60" w:rsidRPr="00BE7788">
        <w:instrText>predikace:analogická</w:instrText>
      </w:r>
      <w:r w:rsidR="002D6F60">
        <w:instrText xml:space="preserve">" </w:instrText>
      </w:r>
      <w:r w:rsidR="002D6F60">
        <w:fldChar w:fldCharType="end"/>
      </w:r>
      <w:r w:rsidR="00E018CC" w:rsidRPr="00273106">
        <w:t xml:space="preserve">. </w:t>
      </w:r>
      <w:r w:rsidR="001C2773" w:rsidRPr="00273106">
        <w:t xml:space="preserve">Citát ukazuje nasvícení smyslu jsoucna zezadu od </w:t>
      </w:r>
      <w:r w:rsidR="08E67C15">
        <w:t xml:space="preserve">kosmické </w:t>
      </w:r>
      <w:r w:rsidR="001C2773" w:rsidRPr="00273106">
        <w:t xml:space="preserve">formy. </w:t>
      </w:r>
      <w:r w:rsidR="00D84E6A" w:rsidRPr="00273106">
        <w:t xml:space="preserve">Tomuto procesu </w:t>
      </w:r>
      <w:r w:rsidR="00851A86">
        <w:t xml:space="preserve">konkretizace vyšších forem v nižších </w:t>
      </w:r>
      <w:r w:rsidR="00D84E6A" w:rsidRPr="00273106">
        <w:t>(</w:t>
      </w:r>
      <w:r w:rsidR="00851A86" w:rsidRPr="00851A86">
        <w:rPr>
          <w:i/>
        </w:rPr>
        <w:t>concretum</w:t>
      </w:r>
      <w:r w:rsidR="003330AF">
        <w:rPr>
          <w:i/>
        </w:rPr>
        <w:fldChar w:fldCharType="begin"/>
      </w:r>
      <w:r w:rsidR="003330AF">
        <w:instrText xml:space="preserve"> XE "</w:instrText>
      </w:r>
      <w:r w:rsidR="003330AF" w:rsidRPr="00B759F5">
        <w:rPr>
          <w:i/>
        </w:rPr>
        <w:instrText>concretum</w:instrText>
      </w:r>
      <w:r w:rsidR="003330AF">
        <w:instrText xml:space="preserve">" </w:instrText>
      </w:r>
      <w:r w:rsidR="003330AF">
        <w:rPr>
          <w:i/>
        </w:rPr>
        <w:fldChar w:fldCharType="end"/>
      </w:r>
      <w:r w:rsidR="086D6A9D">
        <w:t>, kap. 3</w:t>
      </w:r>
      <w:r w:rsidR="00BE6086">
        <w:t>.3.2</w:t>
      </w:r>
      <w:r w:rsidR="00D84E6A" w:rsidRPr="00273106">
        <w:t xml:space="preserve">) odpovídá i </w:t>
      </w:r>
      <w:r w:rsidR="00160CC0" w:rsidRPr="00273106">
        <w:t xml:space="preserve">osvícený </w:t>
      </w:r>
      <w:r w:rsidR="00D84E6A" w:rsidRPr="00273106">
        <w:t xml:space="preserve">náhled </w:t>
      </w:r>
      <w:r w:rsidR="0058754F">
        <w:t xml:space="preserve">akademického ilumináta </w:t>
      </w:r>
      <w:r w:rsidR="00D84E6A" w:rsidRPr="00273106">
        <w:t>na nižší formy</w:t>
      </w:r>
      <w:r w:rsidR="00324196" w:rsidRPr="00273106">
        <w:t xml:space="preserve">, </w:t>
      </w:r>
      <w:r w:rsidR="00160CC0" w:rsidRPr="00273106">
        <w:t xml:space="preserve">skrze něž </w:t>
      </w:r>
      <w:r w:rsidR="00324196" w:rsidRPr="00273106">
        <w:t xml:space="preserve">je možné vystoupit až </w:t>
      </w:r>
      <w:r w:rsidR="00160CC0" w:rsidRPr="00273106">
        <w:t xml:space="preserve">k </w:t>
      </w:r>
      <w:r w:rsidR="00324196" w:rsidRPr="00273106">
        <w:t>jejich</w:t>
      </w:r>
      <w:r w:rsidR="00D84E6A" w:rsidRPr="00273106">
        <w:t xml:space="preserve"> </w:t>
      </w:r>
      <w:r w:rsidR="00324196" w:rsidRPr="00273106">
        <w:t xml:space="preserve">původním </w:t>
      </w:r>
      <w:r w:rsidR="00011D1B">
        <w:t xml:space="preserve">exemplarům. Tento proces jsme vyložili skrze </w:t>
      </w:r>
      <w:r w:rsidR="00E911C2" w:rsidRPr="00273106">
        <w:t xml:space="preserve">termín </w:t>
      </w:r>
      <w:r w:rsidR="00D84E6A" w:rsidRPr="00273106">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88B58DA" w:rsidRPr="088B58DA">
        <w:instrText>Avicebron</w:instrText>
      </w:r>
      <w:r w:rsidR="005A68A7">
        <w:instrText xml:space="preserve">" </w:instrText>
      </w:r>
      <w:r w:rsidR="005A68A7">
        <w:rPr>
          <w:i/>
        </w:rPr>
        <w:fldChar w:fldCharType="end"/>
      </w:r>
      <w:r w:rsidR="00D84E6A" w:rsidRPr="00273106">
        <w:t xml:space="preserve"> u Filipa Kancléře</w:t>
      </w:r>
      <w:r w:rsidR="00011D1B">
        <w:t xml:space="preserve"> (</w:t>
      </w:r>
      <w:r w:rsidR="086D6A9D">
        <w:t>kap. 2</w:t>
      </w:r>
      <w:r w:rsidR="0067461C" w:rsidRPr="00273106">
        <w:t>.3</w:t>
      </w:r>
      <w:r w:rsidR="00D548D9">
        <w:t>.2</w:t>
      </w:r>
      <w:r w:rsidR="00D84E6A" w:rsidRPr="00273106">
        <w:t xml:space="preserve">). </w:t>
      </w:r>
      <w:r w:rsidR="00A36E4C">
        <w:t>Zavedením hylemo</w:t>
      </w:r>
      <w:r w:rsidR="081015D5">
        <w:t>r</w:t>
      </w:r>
      <w:r w:rsidR="00A36E4C">
        <w:t xml:space="preserve">fického individua v modelu matematické analogie a pravdy jako </w:t>
      </w:r>
      <w:r w:rsidR="00874074">
        <w:t>neoplatonsk</w:t>
      </w:r>
      <w:r w:rsidR="00A36E4C">
        <w:t xml:space="preserve">é podobnosti vyššího a nižšího světa dostala moderna </w:t>
      </w:r>
      <w:r w:rsidR="0857465C" w:rsidRPr="00273106">
        <w:t xml:space="preserve">rozhodující impulz pro utváření </w:t>
      </w:r>
      <w:r w:rsidR="00A36E4C">
        <w:t xml:space="preserve">nové </w:t>
      </w:r>
      <w:r w:rsidR="0857465C" w:rsidRPr="00273106">
        <w:t>kategor</w:t>
      </w:r>
      <w:r w:rsidR="00660B4E" w:rsidRPr="00273106">
        <w:t>i</w:t>
      </w:r>
      <w:r w:rsidR="0857465C" w:rsidRPr="00273106">
        <w:t>ální predikace</w:t>
      </w:r>
      <w:r w:rsidR="002D6F60">
        <w:fldChar w:fldCharType="begin"/>
      </w:r>
      <w:r w:rsidR="002D6F60">
        <w:instrText xml:space="preserve"> XE "</w:instrText>
      </w:r>
      <w:r w:rsidR="002D6F60" w:rsidRPr="005B63FC">
        <w:instrText>predikace:kategoriální</w:instrText>
      </w:r>
      <w:r w:rsidR="002D6F60">
        <w:instrText xml:space="preserve">" </w:instrText>
      </w:r>
      <w:r w:rsidR="002D6F60">
        <w:fldChar w:fldCharType="end"/>
      </w:r>
      <w:r w:rsidR="0857465C" w:rsidRPr="00273106">
        <w:t xml:space="preserve"> </w:t>
      </w:r>
      <w:r w:rsidR="0857465C" w:rsidRPr="00273106">
        <w:rPr>
          <w:i/>
        </w:rPr>
        <w:t>per prius</w:t>
      </w:r>
      <w:r w:rsidR="0857465C" w:rsidRPr="00273106">
        <w:t xml:space="preserve"> a </w:t>
      </w:r>
      <w:r w:rsidR="0857465C" w:rsidRPr="00273106">
        <w:rPr>
          <w:i/>
        </w:rPr>
        <w:t>per posterius</w:t>
      </w:r>
      <w:r w:rsidR="00A36E4C">
        <w:t xml:space="preserve">. Tuto predikaci </w:t>
      </w:r>
      <w:r w:rsidR="003036DA" w:rsidRPr="00273106">
        <w:t xml:space="preserve">jsme analyzovali ve </w:t>
      </w:r>
      <w:r w:rsidR="0857465C" w:rsidRPr="00273106">
        <w:t xml:space="preserve">výkladech spisu </w:t>
      </w:r>
      <w:r w:rsidR="0857465C" w:rsidRPr="0089425E">
        <w:rPr>
          <w:i/>
        </w:rPr>
        <w:t>Kategorie</w:t>
      </w:r>
      <w:r w:rsidR="0857465C" w:rsidRPr="00273106">
        <w:t xml:space="preserve"> </w:t>
      </w:r>
      <w:r w:rsidR="003036DA" w:rsidRPr="00273106">
        <w:t xml:space="preserve">kolem 1230 </w:t>
      </w:r>
      <w:r w:rsidR="086D6A9D">
        <w:t>(kap. 3</w:t>
      </w:r>
      <w:r w:rsidR="0089425E">
        <w:t>.1.2</w:t>
      </w:r>
      <w:r w:rsidR="0857465C" w:rsidRPr="00273106">
        <w:t xml:space="preserve">). </w:t>
      </w:r>
      <w:r w:rsidR="00E018CC" w:rsidRPr="00273106">
        <w:t xml:space="preserve">Univerzalita </w:t>
      </w:r>
      <w:r w:rsidR="009D1573" w:rsidRPr="00273106">
        <w:t xml:space="preserve">analogicky </w:t>
      </w:r>
      <w:r w:rsidR="004E5E59" w:rsidRPr="00273106">
        <w:t xml:space="preserve">pojaté </w:t>
      </w:r>
      <w:r w:rsidR="00E018CC" w:rsidRPr="00273106">
        <w:t xml:space="preserve">látky zajišťuje, že substance třetího druhu vzniknou </w:t>
      </w:r>
      <w:r w:rsidR="006972CC" w:rsidRPr="00273106">
        <w:t xml:space="preserve">ve </w:t>
      </w:r>
      <w:r w:rsidR="006972CC" w:rsidRPr="00273106">
        <w:lastRenderedPageBreak/>
        <w:t xml:space="preserve">světě oddělených forem </w:t>
      </w:r>
      <w:r w:rsidR="00E018CC" w:rsidRPr="00273106">
        <w:t>jak na úrovni kosmických inteligencí tak i na nižší úrovni</w:t>
      </w:r>
      <w:r w:rsidR="007D6B60" w:rsidRPr="00273106">
        <w:t xml:space="preserve"> vezdejší reality</w:t>
      </w:r>
      <w:r w:rsidR="00C77573">
        <w:t xml:space="preserve">. V tomto pozemském světě </w:t>
      </w:r>
      <w:r w:rsidR="00C77573" w:rsidRPr="00273106">
        <w:t xml:space="preserve">charakterizuje </w:t>
      </w:r>
      <w:r w:rsidR="00E018CC" w:rsidRPr="00273106">
        <w:t xml:space="preserve">látku </w:t>
      </w:r>
      <w:r w:rsidR="080C3411">
        <w:t xml:space="preserve">také </w:t>
      </w:r>
      <w:r w:rsidR="007D6B60" w:rsidRPr="00273106">
        <w:t xml:space="preserve">rozsažnost definovaná </w:t>
      </w:r>
      <w:r w:rsidR="00E018CC" w:rsidRPr="00273106">
        <w:t>numericky</w:t>
      </w:r>
      <w:r w:rsidR="080C3411">
        <w:t>, ale již daná v</w:t>
      </w:r>
      <w:r w:rsidR="00362B4E">
        <w:t xml:space="preserve"> hylemorfickém tělese</w:t>
      </w:r>
      <w:r w:rsidR="00D822BD" w:rsidRPr="00273106">
        <w:t>.</w:t>
      </w:r>
      <w:r w:rsidR="00FC0264" w:rsidRPr="00273106">
        <w:t xml:space="preserve"> </w:t>
      </w:r>
      <w:r w:rsidR="00362B4E">
        <w:t xml:space="preserve">Ale původně </w:t>
      </w:r>
      <w:r w:rsidR="080C3411">
        <w:t xml:space="preserve">rozsažnost </w:t>
      </w:r>
      <w:r w:rsidR="00362B4E">
        <w:t xml:space="preserve">„exsistuje“ </w:t>
      </w:r>
      <w:r w:rsidR="00616913">
        <w:t xml:space="preserve">o jedno patro výše </w:t>
      </w:r>
      <w:r w:rsidR="00362B4E">
        <w:t>na tělese třetího druhu vybaveném spirituální materií</w:t>
      </w:r>
      <w:r w:rsidR="002D6F60">
        <w:fldChar w:fldCharType="begin"/>
      </w:r>
      <w:r w:rsidR="002D6F60">
        <w:instrText xml:space="preserve"> XE "</w:instrText>
      </w:r>
      <w:r w:rsidR="002D6F60" w:rsidRPr="00DE58D9">
        <w:instrText>materie:objektivní</w:instrText>
      </w:r>
      <w:r w:rsidR="002D6F60">
        <w:instrText xml:space="preserve">" </w:instrText>
      </w:r>
      <w:r w:rsidR="002D6F60">
        <w:fldChar w:fldCharType="end"/>
      </w:r>
      <w:r w:rsidR="00362B4E">
        <w:t xml:space="preserve">. </w:t>
      </w:r>
      <w:r w:rsidR="002461D6" w:rsidRPr="00273106">
        <w:t xml:space="preserve">Vraťme se ke klíčové větě </w:t>
      </w:r>
      <w:r w:rsidR="002461D6" w:rsidRPr="00273106">
        <w:rPr>
          <w:i/>
        </w:rPr>
        <w:t>Fons vitae</w:t>
      </w:r>
      <w:r w:rsidR="002461D6" w:rsidRPr="00273106">
        <w:t>, která definuje  rozsažnost v závislosti na čistě inteligibilním určení formy (</w:t>
      </w:r>
      <w:r w:rsidR="002461D6" w:rsidRPr="00273106">
        <w:rPr>
          <w:i/>
        </w:rPr>
        <w:t>forma quantitatis erit conferibilis formae intelligentiae</w:t>
      </w:r>
      <w:r w:rsidR="002461D6" w:rsidRPr="00273106">
        <w:t xml:space="preserve">). Toto </w:t>
      </w:r>
      <w:r w:rsidR="087206A0" w:rsidRPr="00273106">
        <w:t xml:space="preserve">dvojpatrové </w:t>
      </w:r>
      <w:r w:rsidR="00A77D26" w:rsidRPr="00273106">
        <w:t xml:space="preserve">pojetí reality definované </w:t>
      </w:r>
      <w:r w:rsidR="087206A0" w:rsidRPr="00273106">
        <w:t>subsiste</w:t>
      </w:r>
      <w:r w:rsidR="00A77D26" w:rsidRPr="00273106">
        <w:t>ntním</w:t>
      </w:r>
      <w:r w:rsidR="087206A0" w:rsidRPr="00273106">
        <w:t xml:space="preserve"> bytí</w:t>
      </w:r>
      <w:r w:rsidR="00A77D26" w:rsidRPr="00273106">
        <w:t>m</w:t>
      </w:r>
      <w:r w:rsidR="087206A0" w:rsidRPr="00273106">
        <w:t xml:space="preserve"> </w:t>
      </w:r>
      <w:r w:rsidR="002461D6" w:rsidRPr="00273106">
        <w:t xml:space="preserve">nižší formy </w:t>
      </w:r>
      <w:r w:rsidR="00A77D26" w:rsidRPr="00273106">
        <w:t xml:space="preserve">odvozené </w:t>
      </w:r>
      <w:r w:rsidR="002461D6" w:rsidRPr="00273106">
        <w:t xml:space="preserve">z vyšší dostane </w:t>
      </w:r>
      <w:r w:rsidR="00213106">
        <w:t xml:space="preserve">zásadní </w:t>
      </w:r>
      <w:r w:rsidR="002461D6" w:rsidRPr="00273106">
        <w:t xml:space="preserve">význam </w:t>
      </w:r>
      <w:r w:rsidR="087206A0" w:rsidRPr="00273106">
        <w:t xml:space="preserve">v rozvrhu ontoteologie </w:t>
      </w:r>
      <w:r w:rsidR="087206A0" w:rsidRPr="00273106">
        <w:rPr>
          <w:i/>
        </w:rPr>
        <w:t>Modernorum</w:t>
      </w:r>
      <w:r w:rsidR="087206A0" w:rsidRPr="00273106">
        <w:t>.</w:t>
      </w:r>
      <w:r w:rsidR="008B3388" w:rsidRPr="00273106">
        <w:t xml:space="preserve"> </w:t>
      </w:r>
      <w:r w:rsidR="00D45E4D">
        <w:t xml:space="preserve">Bonaventurův termín </w:t>
      </w:r>
      <w:r w:rsidR="00F26947" w:rsidRPr="00273106">
        <w:rPr>
          <w:i/>
        </w:rPr>
        <w:t>materia confusa</w:t>
      </w:r>
      <w:r w:rsidR="00D45E4D">
        <w:t xml:space="preserve"> a </w:t>
      </w:r>
      <w:r w:rsidR="00F26947" w:rsidRPr="0027310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F26947" w:rsidRPr="00273106">
        <w:t xml:space="preserve"> (</w:t>
      </w:r>
      <w:r w:rsidR="087F6BBE">
        <w:t>OBJ III, kap. 4</w:t>
      </w:r>
      <w:r w:rsidR="00F26947" w:rsidRPr="00273106">
        <w:t>.1.1) ukazuje, jak Avicebronovo spojení specifické formy a univerzální látky zpracoval augustiniánský avicennismus</w:t>
      </w:r>
      <w:r w:rsidR="007512F6">
        <w:t xml:space="preserve">. </w:t>
      </w:r>
      <w:r w:rsidR="08932D10" w:rsidRPr="00273106">
        <w:t xml:space="preserve">Oxfordští </w:t>
      </w:r>
      <w:r w:rsidR="00F73AB4">
        <w:t xml:space="preserve">filosofičtí </w:t>
      </w:r>
      <w:r w:rsidR="08932D10" w:rsidRPr="00273106">
        <w:t xml:space="preserve">analytikové </w:t>
      </w:r>
      <w:r w:rsidR="00331B61" w:rsidRPr="00273106">
        <w:t xml:space="preserve">typu Rufuse </w:t>
      </w:r>
      <w:r w:rsidR="0805173D" w:rsidRPr="00273106">
        <w:t xml:space="preserve">upravili </w:t>
      </w:r>
      <w:r w:rsidR="00832F9A">
        <w:t xml:space="preserve">Avicebronovo </w:t>
      </w:r>
      <w:r w:rsidR="08932D10" w:rsidRPr="00273106">
        <w:t xml:space="preserve">určení materie </w:t>
      </w:r>
      <w:r w:rsidR="08D80E51" w:rsidRPr="00273106">
        <w:t>tak</w:t>
      </w:r>
      <w:r w:rsidR="00D52AAF" w:rsidRPr="00273106">
        <w:t>,</w:t>
      </w:r>
      <w:r w:rsidR="08D80E51" w:rsidRPr="00273106">
        <w:t xml:space="preserve"> aby vyhovov</w:t>
      </w:r>
      <w:r w:rsidR="08AC1264" w:rsidRPr="00273106">
        <w:t>a</w:t>
      </w:r>
      <w:r w:rsidR="00E17E47">
        <w:t>lo aristotelské predikaci</w:t>
      </w:r>
      <w:r w:rsidR="08D80E51" w:rsidRPr="00273106">
        <w:t xml:space="preserve">. </w:t>
      </w:r>
      <w:r w:rsidR="00E17E47">
        <w:t xml:space="preserve">Klíčovým nástrojem byl výklad </w:t>
      </w:r>
      <w:r w:rsidR="00E17E47" w:rsidRPr="009E58B5">
        <w:rPr>
          <w:i/>
        </w:rPr>
        <w:t>Metafyziky</w:t>
      </w:r>
      <w:r w:rsidR="00E17E47" w:rsidRPr="00273106">
        <w:t xml:space="preserve"> Z</w:t>
      </w:r>
      <w:r w:rsidR="00E17E47">
        <w:t xml:space="preserve">, která </w:t>
      </w:r>
      <w:r w:rsidR="00E018CC" w:rsidRPr="00273106">
        <w:t>zkoumá pov</w:t>
      </w:r>
      <w:r w:rsidR="00B366AE" w:rsidRPr="00273106">
        <w:t xml:space="preserve">ahu principů první substance. </w:t>
      </w:r>
      <w:r w:rsidR="081015D5">
        <w:t>V</w:t>
      </w:r>
      <w:r w:rsidR="081015D5" w:rsidRPr="00273106">
        <w:t>ůči jednotě bytí dané v kategoriá</w:t>
      </w:r>
      <w:r w:rsidR="081015D5">
        <w:t>l</w:t>
      </w:r>
      <w:r w:rsidR="081015D5" w:rsidRPr="00273106">
        <w:t xml:space="preserve">ních určeních bytí </w:t>
      </w:r>
      <w:r w:rsidR="081015D5">
        <w:t>je m</w:t>
      </w:r>
      <w:r w:rsidR="00E018CC" w:rsidRPr="00273106">
        <w:t xml:space="preserve">aterie </w:t>
      </w:r>
      <w:r w:rsidR="08FA1AD2" w:rsidRPr="00273106">
        <w:t xml:space="preserve">je </w:t>
      </w:r>
      <w:r w:rsidR="00E018CC" w:rsidRPr="00273106">
        <w:t xml:space="preserve">vzatá </w:t>
      </w:r>
      <w:r w:rsidR="00B81A2E">
        <w:t xml:space="preserve">odděleně, </w:t>
      </w:r>
      <w:r w:rsidR="08893FAE">
        <w:t xml:space="preserve">v </w:t>
      </w:r>
      <w:r w:rsidR="081015D5">
        <w:t xml:space="preserve">modu logického </w:t>
      </w:r>
      <w:r w:rsidR="00E018CC" w:rsidRPr="00273106">
        <w:rPr>
          <w:i/>
        </w:rPr>
        <w:t>absolute</w:t>
      </w:r>
      <w:r w:rsidR="004E2BC4">
        <w:rPr>
          <w:rStyle w:val="addmd"/>
          <w:i/>
        </w:rPr>
        <w:fldChar w:fldCharType="begin"/>
      </w:r>
      <w:r w:rsidR="004E2BC4">
        <w:instrText xml:space="preserve"> XE "materie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81015D5">
        <w:t xml:space="preserve"> </w:t>
      </w:r>
      <w:r w:rsidR="00B81A2E">
        <w:t xml:space="preserve">vzatého hyparchického významu </w:t>
      </w:r>
      <w:r w:rsidR="00E018CC" w:rsidRPr="00273106">
        <w:t>(</w:t>
      </w:r>
      <w:r w:rsidR="00B27643" w:rsidRPr="00273106">
        <w:t>λέγω δ' ὕλην ἣ καθ' αὑτὴν</w:t>
      </w:r>
      <w:r w:rsidR="081015D5">
        <w:t xml:space="preserve">, </w:t>
      </w:r>
      <w:r w:rsidR="081015D5" w:rsidRPr="0006481F">
        <w:rPr>
          <w:i/>
        </w:rPr>
        <w:t>Met</w:t>
      </w:r>
      <w:r w:rsidR="081015D5" w:rsidRPr="00273106">
        <w:t>. 1029a20</w:t>
      </w:r>
      <w:r w:rsidR="081015D5">
        <w:fldChar w:fldCharType="begin"/>
      </w:r>
      <w:r w:rsidR="081015D5">
        <w:instrText xml:space="preserve"> XE "Aristoteles:</w:instrText>
      </w:r>
      <w:r w:rsidR="081015D5" w:rsidRPr="008124AE">
        <w:rPr>
          <w:i/>
        </w:rPr>
        <w:instrText>Met</w:instrText>
      </w:r>
      <w:r w:rsidR="081015D5" w:rsidRPr="008124AE">
        <w:instrText>. 1029a20</w:instrText>
      </w:r>
      <w:r w:rsidR="081015D5">
        <w:instrText xml:space="preserve">" </w:instrText>
      </w:r>
      <w:r w:rsidR="081015D5">
        <w:fldChar w:fldCharType="end"/>
      </w:r>
      <w:r w:rsidR="081015D5">
        <w:t xml:space="preserve">). Toto abstrahované určení materie </w:t>
      </w:r>
      <w:r w:rsidR="005D5290">
        <w:t xml:space="preserve">jako logického pojmu </w:t>
      </w:r>
      <w:r w:rsidR="00515540" w:rsidRPr="00273106">
        <w:t>nese pouze neurčitá určení</w:t>
      </w:r>
      <w:r w:rsidR="005D5290">
        <w:t xml:space="preserve">. Ta </w:t>
      </w:r>
      <w:r w:rsidR="00B27643" w:rsidRPr="00273106">
        <w:t xml:space="preserve">nelze vztáhnout ani k akcidentům substance, ani k žádné definici </w:t>
      </w:r>
      <w:r w:rsidR="00E018CC" w:rsidRPr="00273106">
        <w:t xml:space="preserve">(μήτε τὶ μήτε ποσὸν μήτε ἄλλο μηδὲν λέγεται οἷς ὥρισται τὸ ὄν, </w:t>
      </w:r>
      <w:r w:rsidR="00E018CC" w:rsidRPr="0006481F">
        <w:rPr>
          <w:i/>
        </w:rPr>
        <w:t>Met</w:t>
      </w:r>
      <w:r w:rsidR="081015D5">
        <w:t>. 1029a</w:t>
      </w:r>
      <w:r w:rsidR="08B4685F">
        <w:t>20‒</w:t>
      </w:r>
      <w:r w:rsidR="00E018CC" w:rsidRPr="00273106">
        <w:t>21</w:t>
      </w:r>
      <w:r w:rsidR="0006481F">
        <w:fldChar w:fldCharType="begin"/>
      </w:r>
      <w:r w:rsidR="0006481F">
        <w:instrText xml:space="preserve"> XE "</w:instrText>
      </w:r>
      <w:r w:rsidR="008E02F5">
        <w:instrText>Aristoteles</w:instrText>
      </w:r>
      <w:r w:rsidR="0006481F">
        <w:instrText>:</w:instrText>
      </w:r>
      <w:r w:rsidR="0006481F" w:rsidRPr="00027DEC">
        <w:rPr>
          <w:i/>
        </w:rPr>
        <w:instrText>Met</w:instrText>
      </w:r>
      <w:r w:rsidR="0006481F" w:rsidRPr="00027DEC">
        <w:instrText>. 1029a20‒21</w:instrText>
      </w:r>
      <w:r w:rsidR="0006481F">
        <w:instrText xml:space="preserve">" </w:instrText>
      </w:r>
      <w:r w:rsidR="0006481F">
        <w:fldChar w:fldCharType="end"/>
      </w:r>
      <w:r w:rsidR="00E018CC" w:rsidRPr="00273106">
        <w:t xml:space="preserve">). Citát ukazuje, že </w:t>
      </w:r>
      <w:r w:rsidR="008E02F5">
        <w:t>Aristoteles</w:t>
      </w:r>
      <w:r w:rsidR="00E018CC" w:rsidRPr="00273106">
        <w:t xml:space="preserve"> staví neurčitost materie vůči kategoriál</w:t>
      </w:r>
      <w:r w:rsidR="085F5592" w:rsidRPr="00273106">
        <w:t xml:space="preserve">ním určením bytí </w:t>
      </w:r>
      <w:r w:rsidR="000E35EE">
        <w:t xml:space="preserve">druhé </w:t>
      </w:r>
      <w:r w:rsidR="085F5592" w:rsidRPr="00273106">
        <w:t xml:space="preserve">substance. </w:t>
      </w:r>
      <w:r w:rsidR="08893FAE">
        <w:t xml:space="preserve">To je podle </w:t>
      </w:r>
      <w:r w:rsidR="08893FAE" w:rsidRPr="08893FAE">
        <w:rPr>
          <w:i/>
        </w:rPr>
        <w:t>Druhých analytik</w:t>
      </w:r>
      <w:r w:rsidR="08893FAE">
        <w:t xml:space="preserve"> možné pouze v modu logické predikace, protože hypostázované bytí těchto obecni</w:t>
      </w:r>
      <w:r w:rsidR="08FC6DEB">
        <w:t>n existuje pouze v mysli (kap. 3</w:t>
      </w:r>
      <w:r w:rsidR="08893FAE">
        <w:t xml:space="preserve">.1.1). </w:t>
      </w:r>
      <w:r w:rsidR="08D32998" w:rsidRPr="00273106">
        <w:t xml:space="preserve">Moderní avicennisté </w:t>
      </w:r>
      <w:r w:rsidR="08D32998">
        <w:t xml:space="preserve">propadlí diskrétnímu vidění světa </w:t>
      </w:r>
      <w:r w:rsidR="08185A67" w:rsidRPr="08185A67">
        <w:rPr>
          <w:i/>
        </w:rPr>
        <w:t>Oxfordian Fallacy</w:t>
      </w:r>
      <w:r w:rsidR="08185A67">
        <w:t xml:space="preserve"> spojili logikou a metafyzickou abstrakci. Pak začali univočně predikovat Aristotelovu definici </w:t>
      </w:r>
      <w:r w:rsidR="08185A67" w:rsidRPr="00273106">
        <w:t xml:space="preserve">materie </w:t>
      </w:r>
      <w:r w:rsidR="08185A67">
        <w:t xml:space="preserve">v </w:t>
      </w:r>
      <w:r w:rsidR="08185A67" w:rsidRPr="08185A67">
        <w:rPr>
          <w:i/>
        </w:rPr>
        <w:t>Metafyzice</w:t>
      </w:r>
      <w:r w:rsidR="08185A67">
        <w:t xml:space="preserve"> </w:t>
      </w:r>
      <w:r w:rsidR="08D32998" w:rsidRPr="00273106">
        <w:t xml:space="preserve">vzaté </w:t>
      </w:r>
      <w:r w:rsidR="08D32998" w:rsidRPr="00273106">
        <w:rPr>
          <w:i/>
        </w:rPr>
        <w:t>simpliciter</w:t>
      </w:r>
      <w:r w:rsidR="08D32998">
        <w:rPr>
          <w:i/>
        </w:rPr>
        <w:fldChar w:fldCharType="begin"/>
      </w:r>
      <w:r w:rsidR="08D32998">
        <w:instrText xml:space="preserve"> XE "</w:instrText>
      </w:r>
      <w:r w:rsidR="08D32998" w:rsidRPr="00E33298">
        <w:instrText>materie:</w:instrText>
      </w:r>
      <w:r w:rsidR="08D32998" w:rsidRPr="00E33298">
        <w:rPr>
          <w:i/>
        </w:rPr>
        <w:instrText>simpliciter</w:instrText>
      </w:r>
      <w:r w:rsidR="08D32998">
        <w:instrText xml:space="preserve">" </w:instrText>
      </w:r>
      <w:r w:rsidR="08D32998">
        <w:rPr>
          <w:i/>
        </w:rPr>
        <w:fldChar w:fldCharType="end"/>
      </w:r>
      <w:r w:rsidR="08D32998" w:rsidRPr="00273106">
        <w:t xml:space="preserve"> (καθ' αὑτὴν). </w:t>
      </w:r>
      <w:r w:rsidR="08D32998">
        <w:t>L</w:t>
      </w:r>
      <w:r w:rsidR="08D32998" w:rsidRPr="00273106">
        <w:t xml:space="preserve">atinští sofisté ovlivnění </w:t>
      </w:r>
      <w:r w:rsidR="08D32998">
        <w:t xml:space="preserve">neoplatonským avicennismem </w:t>
      </w:r>
      <w:r w:rsidR="08D32998" w:rsidRPr="00273106">
        <w:t xml:space="preserve">napojeným od 1230 na </w:t>
      </w:r>
      <w:r w:rsidR="08D32998">
        <w:t xml:space="preserve">vědecké poznání v rámci </w:t>
      </w:r>
      <w:r w:rsidR="08D32998" w:rsidRPr="00273106">
        <w:rPr>
          <w:i/>
        </w:rPr>
        <w:t>Oxfordian Fallacy</w:t>
      </w:r>
      <w:r w:rsidR="08D32998" w:rsidRPr="00273106">
        <w:t xml:space="preserve"> </w:t>
      </w:r>
      <w:r w:rsidR="08D32998">
        <w:t xml:space="preserve">odmítli vzít v modu </w:t>
      </w:r>
      <w:r w:rsidR="08D32998" w:rsidRPr="004A64C8">
        <w:rPr>
          <w:i/>
        </w:rPr>
        <w:t>per prius</w:t>
      </w:r>
      <w:r w:rsidR="08D32998" w:rsidRPr="00273106">
        <w:t xml:space="preserve"> </w:t>
      </w:r>
      <w:r w:rsidR="000E35EE">
        <w:t xml:space="preserve">kategoriální </w:t>
      </w:r>
      <w:r w:rsidR="085F5592" w:rsidRPr="00273106">
        <w:t xml:space="preserve">určení </w:t>
      </w:r>
      <w:r w:rsidR="08D32998">
        <w:t xml:space="preserve">materie </w:t>
      </w:r>
      <w:r w:rsidR="00A026FC">
        <w:t>dané impozicí od reálné</w:t>
      </w:r>
      <w:r w:rsidR="000E35EE">
        <w:t xml:space="preserve"> první substance</w:t>
      </w:r>
      <w:r w:rsidR="00E06F00">
        <w:fldChar w:fldCharType="begin"/>
      </w:r>
      <w:r w:rsidR="00E06F00">
        <w:instrText xml:space="preserve"> XE "</w:instrText>
      </w:r>
      <w:r w:rsidR="00E06F00" w:rsidRPr="00B17F2D">
        <w:instrText>impozice:</w:instrText>
      </w:r>
      <w:r w:rsidR="008E02F5">
        <w:instrText>Aristoteles</w:instrText>
      </w:r>
      <w:r w:rsidR="00E06F00">
        <w:instrText xml:space="preserve">" </w:instrText>
      </w:r>
      <w:r w:rsidR="00E06F00">
        <w:fldChar w:fldCharType="end"/>
      </w:r>
      <w:r w:rsidR="00E018CC" w:rsidRPr="00273106">
        <w:t xml:space="preserve">. </w:t>
      </w:r>
      <w:r w:rsidR="08540014">
        <w:t>Avicebrono</w:t>
      </w:r>
      <w:r w:rsidR="08540014" w:rsidRPr="00273106">
        <w:t>v</w:t>
      </w:r>
      <w:r w:rsidR="08540014">
        <w:t>y</w:t>
      </w:r>
      <w:r w:rsidR="08540014" w:rsidRPr="00273106">
        <w:t xml:space="preserve"> termín</w:t>
      </w:r>
      <w:r w:rsidR="08540014">
        <w:t xml:space="preserve">y </w:t>
      </w:r>
      <w:r w:rsidR="008A25E9">
        <w:t>„</w:t>
      </w:r>
      <w:r w:rsidR="004B4D52" w:rsidRPr="008A25E9">
        <w:rPr>
          <w:i/>
        </w:rPr>
        <w:t>species</w:t>
      </w:r>
      <w:r w:rsidR="08540014" w:rsidRPr="00273106">
        <w:rPr>
          <w:i/>
        </w:rPr>
        <w:t xml:space="preserve"> intelligentiae</w:t>
      </w:r>
      <w:r w:rsidR="008A25E9">
        <w:t>“</w:t>
      </w:r>
      <w:r w:rsidR="08540014">
        <w:t xml:space="preserve"> a </w:t>
      </w:r>
      <w:r w:rsidR="008A25E9">
        <w:t>„</w:t>
      </w:r>
      <w:r w:rsidR="004B4D52" w:rsidRPr="008A25E9">
        <w:rPr>
          <w:i/>
        </w:rPr>
        <w:t>species</w:t>
      </w:r>
      <w:r w:rsidR="08540014">
        <w:rPr>
          <w:i/>
        </w:rPr>
        <w:t xml:space="preserve"> corporis</w:t>
      </w:r>
      <w:r w:rsidR="008A25E9">
        <w:t>“</w:t>
      </w:r>
      <w:r w:rsidR="08437E94">
        <w:t xml:space="preserve"> začaly</w:t>
      </w:r>
      <w:r w:rsidR="08540014" w:rsidRPr="00273106">
        <w:t xml:space="preserve"> fungovat v rámci </w:t>
      </w:r>
      <w:r w:rsidR="08540014" w:rsidRPr="00273106">
        <w:rPr>
          <w:i/>
        </w:rPr>
        <w:t>Oxfordian Fallacy</w:t>
      </w:r>
      <w:r w:rsidR="08540014">
        <w:rPr>
          <w:i/>
        </w:rPr>
        <w:fldChar w:fldCharType="begin"/>
      </w:r>
      <w:r w:rsidR="08540014">
        <w:instrText xml:space="preserve"> XE "</w:instrText>
      </w:r>
      <w:r w:rsidR="08540014" w:rsidRPr="0015798D">
        <w:rPr>
          <w:i/>
        </w:rPr>
        <w:instrText>Oxfordian Fallacy</w:instrText>
      </w:r>
      <w:r w:rsidR="08540014" w:rsidRPr="00786A12">
        <w:instrText>:druhý averroismus</w:instrText>
      </w:r>
      <w:r w:rsidR="08540014">
        <w:instrText xml:space="preserve">" </w:instrText>
      </w:r>
      <w:r w:rsidR="08540014">
        <w:rPr>
          <w:i/>
        </w:rPr>
        <w:fldChar w:fldCharType="end"/>
      </w:r>
      <w:r w:rsidR="08540014" w:rsidRPr="00273106">
        <w:t xml:space="preserve"> jako porre</w:t>
      </w:r>
      <w:r w:rsidR="08540014">
        <w:t xml:space="preserve">tánské </w:t>
      </w:r>
      <w:r w:rsidR="08540014" w:rsidRPr="00807B8E">
        <w:t>individuum</w:t>
      </w:r>
      <w:r w:rsidR="08437E94">
        <w:t>, které se dosadilo do středního</w:t>
      </w:r>
      <w:r w:rsidR="08540014" w:rsidRPr="00273106">
        <w:t xml:space="preserve"> členu vědeckého soudu</w:t>
      </w:r>
      <w:r w:rsidR="087A2270">
        <w:t xml:space="preserve"> v podobě </w:t>
      </w:r>
      <w:r w:rsidR="08437E94">
        <w:t>k</w:t>
      </w:r>
      <w:r w:rsidR="087A2270">
        <w:t>a</w:t>
      </w:r>
      <w:r w:rsidR="08437E94">
        <w:t>uzálně účinné esence</w:t>
      </w:r>
      <w:r w:rsidR="08540014">
        <w:fldChar w:fldCharType="begin"/>
      </w:r>
      <w:r w:rsidR="08540014">
        <w:instrText xml:space="preserve"> XE "</w:instrText>
      </w:r>
      <w:r w:rsidR="08540014" w:rsidRPr="00A76225">
        <w:rPr>
          <w:i/>
        </w:rPr>
        <w:instrText>medium</w:instrText>
      </w:r>
      <w:r w:rsidR="08540014" w:rsidRPr="00216339">
        <w:instrText>:druhý averroismus</w:instrText>
      </w:r>
      <w:r w:rsidR="08540014">
        <w:instrText xml:space="preserve">" </w:instrText>
      </w:r>
      <w:r w:rsidR="08540014">
        <w:fldChar w:fldCharType="end"/>
      </w:r>
      <w:r w:rsidR="08540014" w:rsidRPr="00273106">
        <w:t xml:space="preserve">. </w:t>
      </w:r>
      <w:r w:rsidR="08540014">
        <w:t xml:space="preserve">Klíčovou roli hraje Avicebronův </w:t>
      </w:r>
      <w:r w:rsidR="008A25E9">
        <w:t>termín „</w:t>
      </w:r>
      <w:r w:rsidR="004B4D52" w:rsidRPr="008A25E9">
        <w:rPr>
          <w:i/>
        </w:rPr>
        <w:t>species</w:t>
      </w:r>
      <w:r w:rsidR="08540014" w:rsidRPr="00544594">
        <w:rPr>
          <w:i/>
        </w:rPr>
        <w:t xml:space="preserve"> corporis</w:t>
      </w:r>
      <w:r w:rsidR="008A25E9">
        <w:t>“</w:t>
      </w:r>
      <w:r w:rsidR="08540014">
        <w:t xml:space="preserve">, který založil </w:t>
      </w:r>
      <w:r w:rsidR="08540014" w:rsidRPr="00273106">
        <w:t xml:space="preserve">moderní určení </w:t>
      </w:r>
      <w:r w:rsidR="08540014" w:rsidRPr="00273106">
        <w:lastRenderedPageBreak/>
        <w:t xml:space="preserve">materie </w:t>
      </w:r>
      <w:r w:rsidR="08540014">
        <w:t>třetího druhu</w:t>
      </w:r>
      <w:r w:rsidR="008A25E9">
        <w:t>. Ta je dána jako kauzálně učinný</w:t>
      </w:r>
      <w:r w:rsidR="08540014">
        <w:t xml:space="preserve"> element</w:t>
      </w:r>
      <w:r w:rsidR="008A25E9">
        <w:t xml:space="preserve">, který ale existuje </w:t>
      </w:r>
      <w:r w:rsidR="08540014" w:rsidRPr="00273106">
        <w:t xml:space="preserve">pouze </w:t>
      </w:r>
      <w:r w:rsidR="08540014">
        <w:t>univerzálně a potenciálně</w:t>
      </w:r>
      <w:r w:rsidR="08540014" w:rsidRPr="00273106">
        <w:t xml:space="preserve">. </w:t>
      </w:r>
      <w:r w:rsidR="086506DB" w:rsidRPr="00273106">
        <w:t xml:space="preserve">Tato abstrakce odpovídá Grossetestemu analytickému výkladu </w:t>
      </w:r>
      <w:r w:rsidR="086506DB" w:rsidRPr="009E58B5">
        <w:rPr>
          <w:i/>
        </w:rPr>
        <w:t>Druhých analytik</w:t>
      </w:r>
      <w:r w:rsidR="086506DB" w:rsidRPr="00273106">
        <w:t xml:space="preserve">, kde stejnou roli hraje esence jako </w:t>
      </w:r>
      <w:r w:rsidR="086506DB" w:rsidRPr="00273106">
        <w:rPr>
          <w:i/>
        </w:rPr>
        <w:t>simpliciter</w:t>
      </w:r>
      <w:r w:rsidR="080974BF">
        <w:t xml:space="preserve"> daný střední člen soudu (kap. 3</w:t>
      </w:r>
      <w:r w:rsidR="086506DB" w:rsidRPr="00273106">
        <w:t xml:space="preserve">.1.1). </w:t>
      </w:r>
      <w:r w:rsidR="0089423D" w:rsidRPr="00273106">
        <w:t xml:space="preserve">Pojetí materie </w:t>
      </w:r>
      <w:r w:rsidR="009F1980" w:rsidRPr="00273106">
        <w:t xml:space="preserve">definované </w:t>
      </w:r>
      <w:r w:rsidR="0089423D" w:rsidRPr="00273106">
        <w:t xml:space="preserve">čistě formálně </w:t>
      </w:r>
      <w:r w:rsidR="00E018CC" w:rsidRPr="00273106">
        <w:t xml:space="preserve">se spojilo s </w:t>
      </w:r>
      <w:r w:rsidR="0089423D" w:rsidRPr="00273106">
        <w:t xml:space="preserve">formálním </w:t>
      </w:r>
      <w:r w:rsidR="00E018CC" w:rsidRPr="00273106">
        <w:t>pojetím tělesa chápaného jako substance třetího druhu.</w:t>
      </w:r>
      <w:r w:rsidR="00D162DA" w:rsidRPr="00273106">
        <w:t xml:space="preserve"> </w:t>
      </w:r>
      <w:r w:rsidR="004A0F27">
        <w:t xml:space="preserve">Naroubováním na </w:t>
      </w:r>
      <w:r w:rsidR="00874074">
        <w:t>neoplatonsk</w:t>
      </w:r>
      <w:r w:rsidR="00DE6C1C">
        <w:t xml:space="preserve">ý výklad </w:t>
      </w:r>
      <w:r w:rsidR="00DE6C1C" w:rsidRPr="00DE6C1C">
        <w:rPr>
          <w:i/>
        </w:rPr>
        <w:t>K</w:t>
      </w:r>
      <w:r w:rsidR="004A0F27" w:rsidRPr="00DE6C1C">
        <w:rPr>
          <w:i/>
        </w:rPr>
        <w:t>ategorií</w:t>
      </w:r>
      <w:r w:rsidR="004A0F27">
        <w:t xml:space="preserve"> v Oxfordu i v Paříži </w:t>
      </w:r>
      <w:r w:rsidR="08BD2CCB">
        <w:t xml:space="preserve">původně daný u Ammonia </w:t>
      </w:r>
      <w:r w:rsidR="004A0F27">
        <w:t>(</w:t>
      </w:r>
      <w:r w:rsidR="080974BF">
        <w:t>kap. 3</w:t>
      </w:r>
      <w:r w:rsidR="004A0F27" w:rsidRPr="00273106">
        <w:t>.1.2</w:t>
      </w:r>
      <w:r w:rsidR="004A0F27">
        <w:t xml:space="preserve">) vznikla v modu </w:t>
      </w:r>
      <w:r w:rsidR="004A0F27" w:rsidRPr="008D06FF">
        <w:rPr>
          <w:i/>
        </w:rPr>
        <w:t>per prius</w:t>
      </w:r>
      <w:r w:rsidR="00786A12">
        <w:rPr>
          <w:i/>
        </w:rPr>
        <w:fldChar w:fldCharType="begin"/>
      </w:r>
      <w:r w:rsidR="00786A12">
        <w:instrText xml:space="preserve"> XE "predikace:</w:instrText>
      </w:r>
      <w:r w:rsidR="00786A12" w:rsidRPr="00C94CA0">
        <w:rPr>
          <w:i/>
        </w:rPr>
        <w:instrText>per prius</w:instrText>
      </w:r>
      <w:r w:rsidR="00786A12">
        <w:instrText xml:space="preserve">" </w:instrText>
      </w:r>
      <w:r w:rsidR="00786A12">
        <w:rPr>
          <w:i/>
        </w:rPr>
        <w:fldChar w:fldCharType="end"/>
      </w:r>
      <w:r w:rsidR="004A0F27">
        <w:t xml:space="preserve"> nová atomární substance třetího druhu</w:t>
      </w:r>
      <w:r w:rsidR="08BD2CCB">
        <w:t xml:space="preserve">. Toto individuum je </w:t>
      </w:r>
      <w:r w:rsidR="004A0F27">
        <w:t xml:space="preserve">současně </w:t>
      </w:r>
      <w:r w:rsidR="004B4D52" w:rsidRPr="004B4D52">
        <w:t>species</w:t>
      </w:r>
      <w:r w:rsidR="004A0F27">
        <w:t xml:space="preserve">, </w:t>
      </w:r>
      <w:r w:rsidR="08BD2CCB">
        <w:t>těleso, substance a porretánská hypostáze</w:t>
      </w:r>
      <w:r w:rsidR="00786A12">
        <w:fldChar w:fldCharType="begin"/>
      </w:r>
      <w:r w:rsidR="00786A12">
        <w:instrText xml:space="preserve"> XE "</w:instrText>
      </w:r>
      <w:r w:rsidR="00786A12" w:rsidRPr="00F00477">
        <w:instrText>substance:druhý averroismus</w:instrText>
      </w:r>
      <w:r w:rsidR="00786A12">
        <w:instrText xml:space="preserve">" </w:instrText>
      </w:r>
      <w:r w:rsidR="00786A12">
        <w:fldChar w:fldCharType="end"/>
      </w:r>
      <w:r w:rsidR="004A0F27">
        <w:t xml:space="preserve">. </w:t>
      </w:r>
      <w:r w:rsidR="008D06FF">
        <w:t xml:space="preserve">Aristotelský scénář přišel na řadu až </w:t>
      </w:r>
      <w:r w:rsidR="00A31E84">
        <w:t xml:space="preserve">v </w:t>
      </w:r>
      <w:r w:rsidR="00DE6C1C">
        <w:t xml:space="preserve">následné </w:t>
      </w:r>
      <w:r w:rsidR="002E79B6">
        <w:t xml:space="preserve">kategoriální </w:t>
      </w:r>
      <w:r w:rsidR="00A31E84">
        <w:t>predikaci toh</w:t>
      </w:r>
      <w:r w:rsidR="008D06FF">
        <w:t>o</w:t>
      </w:r>
      <w:r w:rsidR="00A31E84">
        <w:t>t</w:t>
      </w:r>
      <w:r w:rsidR="008D06FF">
        <w:t xml:space="preserve">o podivuhodného </w:t>
      </w:r>
      <w:r w:rsidR="08032ED7">
        <w:t xml:space="preserve">mytopoetického </w:t>
      </w:r>
      <w:r w:rsidR="008D06FF">
        <w:t>jsoucna</w:t>
      </w:r>
      <w:r w:rsidR="08032ED7">
        <w:t xml:space="preserve">. </w:t>
      </w:r>
      <w:r w:rsidR="08D87175" w:rsidRPr="00273106">
        <w:t xml:space="preserve">Druhý averorismus dostal </w:t>
      </w:r>
      <w:r w:rsidR="08D87175">
        <w:t xml:space="preserve">po roce 1230 </w:t>
      </w:r>
      <w:r w:rsidR="08D87175" w:rsidRPr="00273106">
        <w:t>nový nástroj, jak „materiálně“ vytvořit jednotu a mnohost substančních forem a jak ji napojit na aristotelismus</w:t>
      </w:r>
      <w:r w:rsidR="08D87175">
        <w:t xml:space="preserve"> daný </w:t>
      </w:r>
      <w:r w:rsidR="08D87175" w:rsidRPr="08D87175">
        <w:rPr>
          <w:i/>
        </w:rPr>
        <w:t>ad mentem Averrois</w:t>
      </w:r>
      <w:r w:rsidR="08D87175" w:rsidRPr="00273106">
        <w:t xml:space="preserve">. </w:t>
      </w:r>
      <w:r w:rsidR="08D87175">
        <w:t>Tato operace byla v metafyzice Averroese absolutně nemožná</w:t>
      </w:r>
      <w:r w:rsidR="081F53F7">
        <w:t xml:space="preserve"> a z tohoto důvodu ji zásadně odmítla i škola prvního averroismu</w:t>
      </w:r>
      <w:r w:rsidR="08D87175">
        <w:t>. Modernisté vyznávající teorii univerzálního hylemorfismu proto udělali z Komentátora averroistu, pohana a heretika. Ilumináti v Oxfordu totéž předtím provedli s Aristotelem, viz</w:t>
      </w:r>
      <w:r w:rsidR="08DE6CFE">
        <w:t xml:space="preserve"> svědectví Grossetesteho (kap. 3</w:t>
      </w:r>
      <w:r w:rsidR="08D87175">
        <w:t>.1.2).</w:t>
      </w:r>
      <w:r w:rsidR="08D87175" w:rsidRPr="08D87175">
        <w:t xml:space="preserve"> </w:t>
      </w:r>
      <w:r w:rsidR="08D87175">
        <w:t xml:space="preserve">Moderní substance pak dostává kontingentní charakter fyzikálního tělesa. </w:t>
      </w:r>
      <w:r w:rsidR="08D87175" w:rsidRPr="00273106">
        <w:t xml:space="preserve">Nevyhnutelným důsledkem </w:t>
      </w:r>
      <w:r w:rsidR="08D87175">
        <w:t xml:space="preserve">nového pojetí vědy a poznání </w:t>
      </w:r>
      <w:r w:rsidR="08D87175" w:rsidRPr="00273106">
        <w:t>byla mnohost substanciálních forem daných na dvou patrech reality a spojených skrze matematickou analogii</w:t>
      </w:r>
      <w:r w:rsidR="08D87175">
        <w:t>.</w:t>
      </w:r>
      <w:r w:rsidR="00FF400D">
        <w:t xml:space="preserve"> </w:t>
      </w:r>
      <w:r w:rsidR="0065105E" w:rsidRPr="0065105E">
        <w:t xml:space="preserve">Fúrie </w:t>
      </w:r>
      <w:r w:rsidR="00661636">
        <w:t>se vzdělaly</w:t>
      </w:r>
      <w:r w:rsidR="0065105E" w:rsidRPr="0065105E">
        <w:t xml:space="preserve"> v nové podobě neoplatonismu</w:t>
      </w:r>
      <w:r w:rsidR="00661636">
        <w:t xml:space="preserve"> a začaly</w:t>
      </w:r>
      <w:r w:rsidR="0065105E" w:rsidRPr="0065105E">
        <w:t xml:space="preserve"> z podsvětí </w:t>
      </w:r>
      <w:r w:rsidR="00661636">
        <w:t xml:space="preserve">řídit </w:t>
      </w:r>
      <w:r w:rsidR="0065105E" w:rsidRPr="0065105E">
        <w:t xml:space="preserve">chaotické myšlení prvních modernistů v Oxfordu. </w:t>
      </w:r>
      <w:r w:rsidR="0065105E">
        <w:t>Ti si pro sebe v</w:t>
      </w:r>
      <w:r w:rsidR="0065105E" w:rsidRPr="0065105E">
        <w:t xml:space="preserve">ytvořili </w:t>
      </w:r>
      <w:r w:rsidR="005517C0">
        <w:t xml:space="preserve">nové </w:t>
      </w:r>
      <w:r w:rsidR="0065105E">
        <w:t>n</w:t>
      </w:r>
      <w:r w:rsidR="0065105E" w:rsidRPr="0065105E">
        <w:t>ebe a</w:t>
      </w:r>
      <w:r w:rsidR="0065105E">
        <w:t xml:space="preserve"> </w:t>
      </w:r>
      <w:r w:rsidR="005517C0">
        <w:t xml:space="preserve">novou </w:t>
      </w:r>
      <w:r w:rsidR="0065105E">
        <w:t>z</w:t>
      </w:r>
      <w:r w:rsidR="0065105E" w:rsidRPr="0065105E">
        <w:t>emi na základě mani</w:t>
      </w:r>
      <w:r w:rsidR="0065105E">
        <w:t xml:space="preserve">cké </w:t>
      </w:r>
      <w:r w:rsidR="0065105E" w:rsidRPr="0065105E">
        <w:t>parousie metaf</w:t>
      </w:r>
      <w:r w:rsidR="0065105E">
        <w:t>yzické esence</w:t>
      </w:r>
      <w:r w:rsidR="0065105E" w:rsidRPr="0065105E">
        <w:t>.</w:t>
      </w:r>
      <w:r w:rsidR="00FF400D">
        <w:t xml:space="preserve"> </w:t>
      </w:r>
      <w:r w:rsidR="00FF400D" w:rsidRPr="00FF400D">
        <w:t xml:space="preserve">Nová metafyzika se týká neexistujícího bytí daného pouze v mysli. </w:t>
      </w:r>
      <w:r w:rsidR="00FF400D">
        <w:t xml:space="preserve">Moderní </w:t>
      </w:r>
      <w:r w:rsidR="00FF400D" w:rsidRPr="00FF400D">
        <w:t xml:space="preserve">paranoia </w:t>
      </w:r>
      <w:r w:rsidR="00FF400D">
        <w:t xml:space="preserve">je </w:t>
      </w:r>
      <w:r w:rsidR="00FF400D" w:rsidRPr="00FF400D">
        <w:t>přísně logickou záležitostí, která je postavena mimo metafyzickou abstrakci</w:t>
      </w:r>
      <w:r w:rsidR="00FF400D">
        <w:t xml:space="preserve">, která </w:t>
      </w:r>
      <w:r w:rsidR="00FF400D" w:rsidRPr="00FF400D">
        <w:t>v univerzálním hylemorfismu</w:t>
      </w:r>
      <w:r w:rsidR="00FF400D">
        <w:t xml:space="preserve"> přestala existovat</w:t>
      </w:r>
      <w:r w:rsidR="00FF400D" w:rsidRPr="00FF400D">
        <w:t xml:space="preserve">. Realita již není </w:t>
      </w:r>
      <w:r w:rsidR="00680A04">
        <w:t xml:space="preserve">v moderní metafyzice </w:t>
      </w:r>
      <w:r w:rsidR="00FF400D" w:rsidRPr="00FF400D">
        <w:t>nutná, protože myšlení moderny je plně soběstačné.</w:t>
      </w:r>
    </w:p>
    <w:p w14:paraId="3A041781" w14:textId="77777777" w:rsidR="00CA706B" w:rsidRDefault="089A75FC" w:rsidP="003E4CC5">
      <w:r>
        <w:tab/>
      </w:r>
      <w:r w:rsidR="008B3388" w:rsidRPr="00273106">
        <w:t xml:space="preserve">Vznik materie třetího druhu podle Avicebrona dal </w:t>
      </w:r>
      <w:r>
        <w:t xml:space="preserve">lidské </w:t>
      </w:r>
      <w:r w:rsidR="008B3388" w:rsidRPr="00273106">
        <w:t>duši novou substanční jednotu v rámci dualismu dvou substancí, k</w:t>
      </w:r>
      <w:r w:rsidR="08502969">
        <w:t xml:space="preserve">terá dnes patří do pojetí </w:t>
      </w:r>
      <w:r w:rsidR="008B3388" w:rsidRPr="00273106">
        <w:t>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8B3388" w:rsidRPr="00273106">
        <w:t xml:space="preserve"> (Bazán 1969, 42). Připomeňme, že </w:t>
      </w:r>
      <w:r w:rsidR="008B3388" w:rsidRPr="00273106">
        <w:rPr>
          <w:i/>
        </w:rPr>
        <w:t>Summa Duacensis</w:t>
      </w:r>
      <w:r w:rsidR="008509E4">
        <w:rPr>
          <w:i/>
        </w:rPr>
        <w:fldChar w:fldCharType="begin"/>
      </w:r>
      <w:r w:rsidR="008509E4">
        <w:instrText xml:space="preserve"> XE "</w:instrText>
      </w:r>
      <w:r w:rsidR="008509E4" w:rsidRPr="000E2AD6">
        <w:rPr>
          <w:i/>
        </w:rPr>
        <w:instrText>Summa Duacensis</w:instrText>
      </w:r>
      <w:r w:rsidR="008509E4">
        <w:instrText xml:space="preserve">" </w:instrText>
      </w:r>
      <w:r w:rsidR="008509E4">
        <w:rPr>
          <w:i/>
        </w:rPr>
        <w:fldChar w:fldCharType="end"/>
      </w:r>
      <w:r w:rsidR="081F53F7">
        <w:t xml:space="preserve"> </w:t>
      </w:r>
      <w:r w:rsidR="008B3388" w:rsidRPr="00273106">
        <w:t xml:space="preserve">a </w:t>
      </w:r>
      <w:r w:rsidR="00FA3CB1" w:rsidRPr="00273106">
        <w:t xml:space="preserve">Filip </w:t>
      </w:r>
      <w:r w:rsidR="081F53F7">
        <w:t>Kancléř</w:t>
      </w:r>
      <w:r w:rsidR="00F800F5">
        <w:fldChar w:fldCharType="begin"/>
      </w:r>
      <w:r w:rsidR="00F800F5">
        <w:instrText xml:space="preserve"> XE "</w:instrText>
      </w:r>
      <w:r w:rsidR="00FA3CB1" w:rsidRPr="00406E29">
        <w:instrText xml:space="preserve">Filip </w:instrText>
      </w:r>
      <w:r w:rsidR="00FA3CB1">
        <w:instrText>Kancléř</w:instrText>
      </w:r>
      <w:r w:rsidR="00F800F5">
        <w:instrText xml:space="preserve">" </w:instrText>
      </w:r>
      <w:r w:rsidR="00F800F5">
        <w:fldChar w:fldCharType="end"/>
      </w:r>
      <w:r w:rsidR="081F53F7">
        <w:t xml:space="preserve"> </w:t>
      </w:r>
      <w:r w:rsidR="008B3388" w:rsidRPr="00273106">
        <w:t>tuto mnohost substančních f</w:t>
      </w:r>
      <w:r w:rsidR="002D13F7">
        <w:t xml:space="preserve">orem v člověku prosazovali skrze pojetí </w:t>
      </w:r>
      <w:r w:rsidR="008B3388" w:rsidRPr="00273106">
        <w:rPr>
          <w:i/>
        </w:rPr>
        <w:t>triplex unitas</w:t>
      </w:r>
      <w:r w:rsidR="0017352D">
        <w:rPr>
          <w:i/>
        </w:rPr>
        <w:fldChar w:fldCharType="begin"/>
      </w:r>
      <w:r w:rsidR="0017352D">
        <w:instrText xml:space="preserve"> XE "osoba:</w:instrText>
      </w:r>
      <w:r w:rsidR="0017352D" w:rsidRPr="00273C28">
        <w:rPr>
          <w:i/>
        </w:rPr>
        <w:instrText>triplex unitas</w:instrText>
      </w:r>
      <w:r w:rsidR="0017352D">
        <w:instrText xml:space="preserve">" </w:instrText>
      </w:r>
      <w:r w:rsidR="0017352D">
        <w:rPr>
          <w:i/>
        </w:rPr>
        <w:fldChar w:fldCharType="end"/>
      </w:r>
      <w:r w:rsidR="081F53F7">
        <w:t xml:space="preserve"> již kolem 1230 (kap. 2</w:t>
      </w:r>
      <w:r w:rsidR="008B3388" w:rsidRPr="00273106">
        <w:t>.2</w:t>
      </w:r>
      <w:r w:rsidR="085022FC">
        <w:t>.2</w:t>
      </w:r>
      <w:r w:rsidR="008B3388" w:rsidRPr="00273106">
        <w:t xml:space="preserve">). </w:t>
      </w:r>
      <w:r w:rsidR="081742CF">
        <w:t xml:space="preserve">To je období, kdy </w:t>
      </w:r>
      <w:r w:rsidR="08776A53">
        <w:t>avicennisté vytvářejí p</w:t>
      </w:r>
      <w:r w:rsidR="081742CF">
        <w:t xml:space="preserve">rvní výklad averroistického Averroese. </w:t>
      </w:r>
      <w:r w:rsidR="08A72D7B">
        <w:t>Stoupenci u</w:t>
      </w:r>
      <w:r w:rsidR="081A606B">
        <w:t>niverzální</w:t>
      </w:r>
      <w:r w:rsidR="08A72D7B">
        <w:t>ho hylemorfismu</w:t>
      </w:r>
      <w:r w:rsidR="081A606B">
        <w:t xml:space="preserve"> </w:t>
      </w:r>
      <w:r w:rsidR="08B3669E">
        <w:t xml:space="preserve">ve škole Grossetesteho </w:t>
      </w:r>
      <w:r w:rsidR="08EC1F3E">
        <w:t>začal</w:t>
      </w:r>
      <w:r w:rsidR="08A72D7B">
        <w:t>i</w:t>
      </w:r>
      <w:r w:rsidR="08EC1F3E">
        <w:t xml:space="preserve"> </w:t>
      </w:r>
      <w:r w:rsidR="08B3669E">
        <w:t>vykláda</w:t>
      </w:r>
      <w:r w:rsidR="08EC1F3E">
        <w:t>t</w:t>
      </w:r>
      <w:r w:rsidR="08B3669E">
        <w:t xml:space="preserve"> </w:t>
      </w:r>
      <w:r w:rsidR="00044E5E">
        <w:t>Aristotela</w:t>
      </w:r>
      <w:r w:rsidR="002D13F7">
        <w:t xml:space="preserve"> </w:t>
      </w:r>
      <w:r w:rsidR="006253A7">
        <w:t xml:space="preserve">a </w:t>
      </w:r>
      <w:r w:rsidR="006253A7">
        <w:lastRenderedPageBreak/>
        <w:t>Komentátora podle této nauky</w:t>
      </w:r>
      <w:r w:rsidR="00B70AE3">
        <w:t xml:space="preserve">. Tímto způsobem </w:t>
      </w:r>
      <w:r w:rsidR="00B70AE3" w:rsidRPr="00B70AE3">
        <w:t>bylo v Oxfordu vytvořeno druhé Averroesovo simulakrum v</w:t>
      </w:r>
      <w:r w:rsidR="00B70AE3">
        <w:t xml:space="preserve"> Toletánském </w:t>
      </w:r>
      <w:r w:rsidR="00974AEF">
        <w:t xml:space="preserve">modu, </w:t>
      </w:r>
      <w:r w:rsidR="00B70AE3" w:rsidRPr="00B70AE3">
        <w:t xml:space="preserve">podle učení </w:t>
      </w:r>
      <w:r w:rsidR="00B70AE3">
        <w:rPr>
          <w:i/>
        </w:rPr>
        <w:t>s</w:t>
      </w:r>
      <w:r w:rsidR="00B70AE3" w:rsidRPr="00B70AE3">
        <w:rPr>
          <w:i/>
        </w:rPr>
        <w:t>ophistae Latini</w:t>
      </w:r>
      <w:r w:rsidR="00B70AE3" w:rsidRPr="00B70AE3">
        <w:t>.</w:t>
      </w:r>
      <w:r w:rsidR="00B70AE3">
        <w:t xml:space="preserve"> </w:t>
      </w:r>
      <w:r w:rsidR="08A72D7B">
        <w:t xml:space="preserve">Zdejší avicennistě vyznávající univerzální hylemorfismus si vzali z Komentátorovy metafyziky jen to, co se jim hodilo do modernistického obrazu světa. </w:t>
      </w:r>
      <w:r w:rsidR="009816E6">
        <w:t>Fúze oxford</w:t>
      </w:r>
      <w:r w:rsidR="002D13F7">
        <w:t xml:space="preserve">ského aristotelismu pod egidou </w:t>
      </w:r>
      <w:r w:rsidR="009816E6" w:rsidRPr="00022267">
        <w:rPr>
          <w:i/>
        </w:rPr>
        <w:t>Oxfordian Fallacy</w:t>
      </w:r>
      <w:r w:rsidR="009816E6">
        <w:t xml:space="preserve"> s avicennisme</w:t>
      </w:r>
      <w:r w:rsidR="002D13F7">
        <w:t xml:space="preserve">m pařížských </w:t>
      </w:r>
      <w:r w:rsidR="00D45DF7" w:rsidRPr="00DB6C10">
        <w:rPr>
          <w:i/>
          <w:szCs w:val="24"/>
        </w:rPr>
        <w:t>Grammatici</w:t>
      </w:r>
      <w:r w:rsidR="00D45DF7" w:rsidRPr="00FE0FF0">
        <w:rPr>
          <w:szCs w:val="24"/>
        </w:rPr>
        <w:t xml:space="preserve"> </w:t>
      </w:r>
      <w:r w:rsidR="007C6BDF">
        <w:t xml:space="preserve">nastala </w:t>
      </w:r>
      <w:r w:rsidR="009816E6">
        <w:t>po příchodu oxfordských bakalářů na magisterská studia</w:t>
      </w:r>
      <w:r w:rsidR="000876CD">
        <w:t xml:space="preserve"> do Paříže</w:t>
      </w:r>
      <w:r w:rsidR="083E4D8D">
        <w:t xml:space="preserve"> okolo roku 1235</w:t>
      </w:r>
      <w:r w:rsidR="009816E6">
        <w:t xml:space="preserve">. </w:t>
      </w:r>
      <w:r w:rsidR="08665089">
        <w:t xml:space="preserve">Spojením obou sofistických škol </w:t>
      </w:r>
      <w:r w:rsidR="007C6BDF">
        <w:t>vznikla škola druhého averroismu</w:t>
      </w:r>
      <w:r w:rsidR="00424C0B">
        <w:t xml:space="preserve">, kterou Alvernus </w:t>
      </w:r>
      <w:r w:rsidR="08636C42">
        <w:t xml:space="preserve">nazval </w:t>
      </w:r>
      <w:r w:rsidR="08636C42" w:rsidRPr="00424C0B">
        <w:rPr>
          <w:i/>
        </w:rPr>
        <w:t>sophistae</w:t>
      </w:r>
      <w:r w:rsidR="08636C42">
        <w:rPr>
          <w:i/>
        </w:rPr>
        <w:t xml:space="preserve"> L</w:t>
      </w:r>
      <w:r w:rsidR="08636C42" w:rsidRPr="00424C0B">
        <w:rPr>
          <w:i/>
        </w:rPr>
        <w:t>atini</w:t>
      </w:r>
      <w:r w:rsidR="08636C42">
        <w:t xml:space="preserve">, což Albert zkrátil na pouhé </w:t>
      </w:r>
      <w:r w:rsidR="08636C42" w:rsidRPr="00424C0B">
        <w:rPr>
          <w:i/>
        </w:rPr>
        <w:t>Latini</w:t>
      </w:r>
      <w:r w:rsidR="08636C42">
        <w:fldChar w:fldCharType="begin"/>
      </w:r>
      <w:r w:rsidR="08636C42">
        <w:instrText xml:space="preserve"> XE "</w:instrText>
      </w:r>
      <w:r w:rsidR="08636C42" w:rsidRPr="00CE16F0">
        <w:instrText>druhý averroismus:vznik</w:instrText>
      </w:r>
      <w:r w:rsidR="08636C42">
        <w:instrText xml:space="preserve">" </w:instrText>
      </w:r>
      <w:r w:rsidR="08636C42">
        <w:fldChar w:fldCharType="end"/>
      </w:r>
      <w:r w:rsidR="08636C42">
        <w:t>. Vyzna</w:t>
      </w:r>
      <w:r w:rsidR="08F704A4">
        <w:t xml:space="preserve">vače této školy, kteří do logických </w:t>
      </w:r>
      <w:r w:rsidR="08636C42">
        <w:t xml:space="preserve">sofismat </w:t>
      </w:r>
      <w:r w:rsidR="00BD3818">
        <w:t xml:space="preserve">navíc </w:t>
      </w:r>
      <w:r w:rsidR="08636C42">
        <w:t xml:space="preserve">vnesli univerzální hylemorfismus, Albert </w:t>
      </w:r>
      <w:r w:rsidR="00424C0B">
        <w:t xml:space="preserve">poctil </w:t>
      </w:r>
      <w:r w:rsidR="08636C42">
        <w:t xml:space="preserve">ironickým </w:t>
      </w:r>
      <w:r w:rsidR="00424C0B">
        <w:t xml:space="preserve">názvem </w:t>
      </w:r>
      <w:r w:rsidR="08636C42" w:rsidRPr="08636C42">
        <w:rPr>
          <w:i/>
        </w:rPr>
        <w:t>Doctores Latini</w:t>
      </w:r>
      <w:r w:rsidR="087061B5">
        <w:t xml:space="preserve">. S těmi </w:t>
      </w:r>
      <w:r w:rsidR="08C11731">
        <w:t xml:space="preserve">už </w:t>
      </w:r>
      <w:r w:rsidR="08636C42">
        <w:t xml:space="preserve">odmítl akademicky diskutovat. </w:t>
      </w:r>
      <w:r w:rsidR="00CA25BF">
        <w:t>S</w:t>
      </w:r>
      <w:r w:rsidR="009816E6">
        <w:t xml:space="preserve">vědky </w:t>
      </w:r>
      <w:r w:rsidR="00CA25BF">
        <w:t xml:space="preserve">vzniku této školy </w:t>
      </w:r>
      <w:r w:rsidR="00314344">
        <w:t xml:space="preserve">a zásadními odpůrci </w:t>
      </w:r>
      <w:r w:rsidR="000F576D">
        <w:t xml:space="preserve">modernismu </w:t>
      </w:r>
      <w:r w:rsidR="009816E6">
        <w:t xml:space="preserve">byli kolem 1240 </w:t>
      </w:r>
      <w:r w:rsidR="00A76225">
        <w:t xml:space="preserve">všichni </w:t>
      </w:r>
      <w:r w:rsidR="009816E6">
        <w:t>citovaní zástupci prvního averroismu: Alvernus, Albert a Bacon.</w:t>
      </w:r>
      <w:r w:rsidR="08695453">
        <w:t xml:space="preserve"> </w:t>
      </w:r>
      <w:r w:rsidR="00E15BD3">
        <w:t xml:space="preserve">Skupina </w:t>
      </w:r>
      <w:r w:rsidR="00855B5C" w:rsidRPr="005C7D5B">
        <w:rPr>
          <w:i/>
          <w:lang w:eastAsia="en-US"/>
        </w:rPr>
        <w:t>doctores Latini</w:t>
      </w:r>
      <w:r w:rsidR="00855B5C">
        <w:t xml:space="preserve"> </w:t>
      </w:r>
      <w:r w:rsidR="00E15BD3">
        <w:t xml:space="preserve">vedená </w:t>
      </w:r>
      <w:r w:rsidR="08695453">
        <w:t>Rufus</w:t>
      </w:r>
      <w:r w:rsidR="00E15BD3">
        <w:t>em z Cornwallu musela</w:t>
      </w:r>
      <w:r w:rsidR="08695453">
        <w:t xml:space="preserve"> veřejně obhájit na půdě Pařížské univerzity kolem roku 1245 zcela nekřesťanskou nauku o </w:t>
      </w:r>
      <w:r w:rsidR="00E15BD3">
        <w:t>mnohosti substanc</w:t>
      </w:r>
      <w:r w:rsidR="08695453">
        <w:t xml:space="preserve">í </w:t>
      </w:r>
      <w:r w:rsidR="00E15BD3">
        <w:t xml:space="preserve">v člověku. A poznání tohoto bláznivého subjektu bylo navíc </w:t>
      </w:r>
      <w:r w:rsidR="08695453">
        <w:t>determinováno zezadu</w:t>
      </w:r>
      <w:r w:rsidR="00E15BD3">
        <w:t>,</w:t>
      </w:r>
      <w:r w:rsidR="08695453">
        <w:t xml:space="preserve"> skrze oddělený kosmický </w:t>
      </w:r>
      <w:r w:rsidR="08695453" w:rsidRPr="08D263DE">
        <w:rPr>
          <w:i/>
        </w:rPr>
        <w:t>intellectus agens</w:t>
      </w:r>
      <w:r w:rsidR="08695453">
        <w:t xml:space="preserve">. Tuto nauku odsoudil kancléř univerzity a zdejší biskup Alvernus </w:t>
      </w:r>
      <w:r w:rsidR="002F185A">
        <w:t xml:space="preserve">okolo roku </w:t>
      </w:r>
      <w:r w:rsidR="001B291B">
        <w:t>1240. O</w:t>
      </w:r>
      <w:r w:rsidR="08695453">
        <w:t xml:space="preserve">ddělený </w:t>
      </w:r>
      <w:r w:rsidR="08695453" w:rsidRPr="00273106">
        <w:t xml:space="preserve">kosmický intelekt </w:t>
      </w:r>
      <w:r w:rsidR="08695453">
        <w:t xml:space="preserve">jako samostatná substance </w:t>
      </w:r>
      <w:r w:rsidR="08695453" w:rsidRPr="00273106">
        <w:t>nemůže tvořit součást lidského intelektu (</w:t>
      </w:r>
      <w:r w:rsidR="08695453" w:rsidRPr="00273106">
        <w:rPr>
          <w:i/>
        </w:rPr>
        <w:t xml:space="preserve">intellectus agens non potest esse pars </w:t>
      </w:r>
      <w:r w:rsidR="08695453" w:rsidRPr="08C81B83">
        <w:rPr>
          <w:i/>
        </w:rPr>
        <w:t>animae</w:t>
      </w:r>
      <w:r w:rsidR="08695453">
        <w:t xml:space="preserve">, </w:t>
      </w:r>
      <w:r w:rsidR="08695453" w:rsidRPr="08C81B83">
        <w:t>kap</w:t>
      </w:r>
      <w:r w:rsidR="08A44379">
        <w:t>. 2</w:t>
      </w:r>
      <w:r w:rsidR="085B3403">
        <w:t>.3</w:t>
      </w:r>
      <w:r w:rsidR="08695453">
        <w:t xml:space="preserve">). Rufus a další modernisté byli chráněni autoritou Jana z La Rochelle, který byl magistr regens františkánské koleje v Paříži </w:t>
      </w:r>
      <w:r w:rsidR="08A93658">
        <w:t>do roku 1245. P</w:t>
      </w:r>
      <w:r w:rsidR="08695453">
        <w:t>o jeho smrti nastoupil magistr Odo Rigaldus</w:t>
      </w:r>
      <w:r w:rsidR="08A93658">
        <w:t xml:space="preserve">, který </w:t>
      </w:r>
      <w:r w:rsidR="00612C53">
        <w:t xml:space="preserve">s velkou pravděpodobností </w:t>
      </w:r>
      <w:r w:rsidR="00F5216B">
        <w:t>nechal</w:t>
      </w:r>
      <w:r w:rsidR="08A93658">
        <w:t xml:space="preserve"> Alverna a Alberta, aby přezkoumali n</w:t>
      </w:r>
      <w:r w:rsidR="00612C53">
        <w:t xml:space="preserve">auky modernistů. </w:t>
      </w:r>
      <w:r w:rsidR="00F5216B" w:rsidRPr="00F5216B">
        <w:t>Výsledek byl jednoznačně ne</w:t>
      </w:r>
      <w:r w:rsidR="00F5216B">
        <w:t>gativní, protože Rufus opustil P</w:t>
      </w:r>
      <w:r w:rsidR="00F5216B" w:rsidRPr="00F5216B">
        <w:t xml:space="preserve">ařížskou univerzitu a vrátil se do Oxfordu. Po vydání spisu </w:t>
      </w:r>
      <w:r w:rsidR="00F5216B" w:rsidRPr="00F5216B">
        <w:rPr>
          <w:i/>
          <w:iCs/>
        </w:rPr>
        <w:t>De homine</w:t>
      </w:r>
      <w:r w:rsidR="00F5216B" w:rsidRPr="00F5216B">
        <w:t xml:space="preserve"> (1242) se Albert stal </w:t>
      </w:r>
      <w:r w:rsidR="00F5216B" w:rsidRPr="00F5216B">
        <w:rPr>
          <w:i/>
          <w:iCs/>
        </w:rPr>
        <w:t>magister regens</w:t>
      </w:r>
      <w:r w:rsidR="00F5216B" w:rsidRPr="00F5216B">
        <w:t xml:space="preserve"> v dominikánské koleji pařížské univerzity. Kilwardby, který </w:t>
      </w:r>
      <w:r w:rsidR="00F5216B">
        <w:t>již byl magistrem, pak opustil P</w:t>
      </w:r>
      <w:r w:rsidR="00F5216B" w:rsidRPr="00F5216B">
        <w:t>ařížskou univerzitu a vrátil se do Oxfordu ze stejného důvodu jako Rufus.</w:t>
      </w:r>
      <w:r w:rsidR="00F5216B">
        <w:t xml:space="preserve"> </w:t>
      </w:r>
      <w:r w:rsidR="08871AE6">
        <w:t xml:space="preserve">Je velkou otázkou, zda Rufus v této době dostal hodnost magistra na Pařížské univerzitě. Podle Bacona začal Rufus v Oxfordu přednášet Sentence roku 1250, kdy musel odejít z Paříže. </w:t>
      </w:r>
      <w:r w:rsidR="08207043">
        <w:t xml:space="preserve">Období mezi lety </w:t>
      </w:r>
      <w:r w:rsidR="08695453">
        <w:t>1245</w:t>
      </w:r>
      <w:r w:rsidR="08207043">
        <w:t>‒50</w:t>
      </w:r>
      <w:r w:rsidR="08871AE6">
        <w:t xml:space="preserve"> je důležité</w:t>
      </w:r>
      <w:r w:rsidR="08695453">
        <w:t xml:space="preserve"> proto, že Rufus </w:t>
      </w:r>
      <w:r w:rsidR="08207043">
        <w:t>musel během magisterských studií v Paříži o</w:t>
      </w:r>
      <w:r w:rsidR="08695453">
        <w:t xml:space="preserve">bhájit své názory v díle </w:t>
      </w:r>
      <w:r w:rsidR="08695453" w:rsidRPr="00273106">
        <w:rPr>
          <w:i/>
        </w:rPr>
        <w:t>Speculum animae</w:t>
      </w:r>
      <w:r w:rsidR="084744F7">
        <w:t xml:space="preserve"> (kap. 3</w:t>
      </w:r>
      <w:r w:rsidR="08695453">
        <w:t xml:space="preserve">.3.4). </w:t>
      </w:r>
      <w:r w:rsidR="0879521D">
        <w:t>P</w:t>
      </w:r>
      <w:r w:rsidR="0857212D">
        <w:t>ředešlá</w:t>
      </w:r>
      <w:r w:rsidR="0879521D">
        <w:t xml:space="preserve"> matrice ukázala na příkladu Alverna a Alberta Velikého, že v</w:t>
      </w:r>
      <w:r w:rsidR="00570970">
        <w:t>zdělaní a</w:t>
      </w:r>
      <w:r w:rsidR="001F38BE" w:rsidRPr="00273106">
        <w:t xml:space="preserve">ristotelikové </w:t>
      </w:r>
      <w:r w:rsidR="0879521D">
        <w:t xml:space="preserve">Blundovy školy prvního averroismu </w:t>
      </w:r>
      <w:r w:rsidR="001F38BE" w:rsidRPr="00273106">
        <w:t xml:space="preserve">považovali moderní výklad substance, materie a tělesa </w:t>
      </w:r>
      <w:r w:rsidR="0879521D">
        <w:t xml:space="preserve">v modu univerzálního hylemorfismu </w:t>
      </w:r>
      <w:r w:rsidR="001F38BE" w:rsidRPr="00273106">
        <w:t xml:space="preserve">za </w:t>
      </w:r>
      <w:r w:rsidR="0857212D">
        <w:t xml:space="preserve">filosofický </w:t>
      </w:r>
      <w:r w:rsidR="00CA706B">
        <w:t>nesmysl.</w:t>
      </w:r>
    </w:p>
    <w:p w14:paraId="25530DF5" w14:textId="3D5CA93C" w:rsidR="003E4CC5" w:rsidRPr="00273106" w:rsidRDefault="001F38BE" w:rsidP="00CA706B">
      <w:pPr>
        <w:ind w:firstLine="397"/>
      </w:pPr>
      <w:r>
        <w:lastRenderedPageBreak/>
        <w:t xml:space="preserve">Spor mezi oběma školami dostal po </w:t>
      </w:r>
      <w:r w:rsidR="08CB60B7">
        <w:t xml:space="preserve">roce </w:t>
      </w:r>
      <w:r>
        <w:t>1250 dramatický charakter</w:t>
      </w:r>
      <w:r w:rsidR="002B5C0D">
        <w:t xml:space="preserve">. Šlo </w:t>
      </w:r>
      <w:r w:rsidRPr="00273106">
        <w:t>o jednot</w:t>
      </w:r>
      <w:r w:rsidR="002B5C0D">
        <w:t xml:space="preserve">u </w:t>
      </w:r>
      <w:r w:rsidRPr="00273106">
        <w:t xml:space="preserve">člověka, </w:t>
      </w:r>
      <w:r w:rsidR="002B5C0D">
        <w:t xml:space="preserve">o jednotu </w:t>
      </w:r>
      <w:r w:rsidRPr="00273106">
        <w:t>duše a intelektu</w:t>
      </w:r>
      <w:r>
        <w:t xml:space="preserve">, </w:t>
      </w:r>
      <w:r w:rsidR="002B5C0D">
        <w:t>o d</w:t>
      </w:r>
      <w:r>
        <w:t>efinici pravdy a vědeckého poznání</w:t>
      </w:r>
      <w:r w:rsidRPr="00273106">
        <w:t>.</w:t>
      </w:r>
      <w:r>
        <w:t xml:space="preserve"> </w:t>
      </w:r>
      <w:r w:rsidR="008B3388" w:rsidRPr="00273106">
        <w:t xml:space="preserve">Adam z Buckfieldu, Richard Rufus z Cornwallu, </w:t>
      </w:r>
      <w:r w:rsidR="00E714AD">
        <w:t xml:space="preserve">Robert Kilwardby, </w:t>
      </w:r>
      <w:r w:rsidR="008B3388" w:rsidRPr="00273106">
        <w:t xml:space="preserve">Bonaventura a další </w:t>
      </w:r>
      <w:r w:rsidR="00631FE3">
        <w:t xml:space="preserve">modernisté </w:t>
      </w:r>
      <w:r w:rsidR="008B3388" w:rsidRPr="00273106">
        <w:t>napojili Avicebronův dualismu</w:t>
      </w:r>
      <w:r w:rsidR="00E94724">
        <w:t>s na Aristotelovu nauku o duši.</w:t>
      </w:r>
      <w:r w:rsidR="008339D7">
        <w:t xml:space="preserve"> </w:t>
      </w:r>
      <w:r w:rsidR="00C73085" w:rsidRPr="00273106">
        <w:t>P</w:t>
      </w:r>
      <w:r w:rsidR="00AD0FA9" w:rsidRPr="00273106">
        <w:t xml:space="preserve">ůvodní </w:t>
      </w:r>
      <w:r w:rsidR="00221596" w:rsidRPr="00273106">
        <w:t xml:space="preserve">zdroj </w:t>
      </w:r>
      <w:r w:rsidR="00A63F18">
        <w:t xml:space="preserve">této duality </w:t>
      </w:r>
      <w:r w:rsidR="0028139F">
        <w:t xml:space="preserve">objevila </w:t>
      </w:r>
      <w:r w:rsidR="00221596" w:rsidRPr="00273106">
        <w:t>prů</w:t>
      </w:r>
      <w:r w:rsidR="00A92FF3" w:rsidRPr="00273106">
        <w:t>ko</w:t>
      </w:r>
      <w:r w:rsidR="00A63F18">
        <w:t>pnická studie</w:t>
      </w:r>
      <w:r w:rsidR="00966852">
        <w:t xml:space="preserve"> (</w:t>
      </w:r>
      <w:r w:rsidR="00966852" w:rsidRPr="00273106">
        <w:t>Callus 1939</w:t>
      </w:r>
      <w:r w:rsidR="00B75CAC">
        <w:t>)</w:t>
      </w:r>
      <w:r w:rsidR="00373FD9" w:rsidRPr="00273106">
        <w:t>, která zkoumala problém plur</w:t>
      </w:r>
      <w:r w:rsidR="00BE321D" w:rsidRPr="00273106">
        <w:t>al</w:t>
      </w:r>
      <w:r w:rsidR="00221596" w:rsidRPr="00273106">
        <w:t xml:space="preserve">ity forem v duši </w:t>
      </w:r>
      <w:r w:rsidR="008D6309">
        <w:fldChar w:fldCharType="begin"/>
      </w:r>
      <w:r w:rsidR="008D6309">
        <w:instrText xml:space="preserve"> XE "</w:instrText>
      </w:r>
      <w:r w:rsidR="008D6309" w:rsidRPr="009D0CF5">
        <w:instrText>osoba:pluralita substancí</w:instrText>
      </w:r>
      <w:r w:rsidR="008D6309">
        <w:instrText xml:space="preserve">" </w:instrText>
      </w:r>
      <w:r w:rsidR="008D6309">
        <w:fldChar w:fldCharType="end"/>
      </w:r>
      <w:r w:rsidR="00221596" w:rsidRPr="00273106">
        <w:t xml:space="preserve">u dvou oxfordských magistrů (Adam z Buckfieldu, Richard Rufus z Cornwallu). Buckfieldův komentář </w:t>
      </w:r>
      <w:r w:rsidR="001A46BC">
        <w:rPr>
          <w:i/>
        </w:rPr>
        <w:t>Sentencia super librum de A</w:t>
      </w:r>
      <w:r w:rsidR="00221596" w:rsidRPr="00273106">
        <w:rPr>
          <w:i/>
        </w:rPr>
        <w:t>nima</w:t>
      </w:r>
      <w:r w:rsidR="00221596" w:rsidRPr="00273106">
        <w:t xml:space="preserve"> (</w:t>
      </w:r>
      <w:r w:rsidR="08D56A5D">
        <w:t xml:space="preserve">okolo </w:t>
      </w:r>
      <w:r w:rsidR="00221596" w:rsidRPr="00273106">
        <w:t xml:space="preserve">1243) ukazuje na základě </w:t>
      </w:r>
      <w:r w:rsidR="002E3B62">
        <w:t>Averroes</w:t>
      </w:r>
      <w:r w:rsidR="00221596" w:rsidRPr="00273106">
        <w:t>ova komentáře CMDA I.92</w:t>
      </w:r>
      <w:r w:rsidR="002A3C75">
        <w:fldChar w:fldCharType="begin"/>
      </w:r>
      <w:r w:rsidR="002A3C75">
        <w:instrText xml:space="preserve"> XE "</w:instrText>
      </w:r>
      <w:r w:rsidR="002E3B62">
        <w:instrText>Averroes</w:instrText>
      </w:r>
      <w:r w:rsidR="002A3C75">
        <w:instrText>:</w:instrText>
      </w:r>
      <w:r w:rsidR="002A3C75" w:rsidRPr="002878B4">
        <w:instrText>CMDA</w:instrText>
      </w:r>
      <w:r w:rsidR="002A3C75">
        <w:instrText> 1</w:instrText>
      </w:r>
      <w:r w:rsidR="002A3C75" w:rsidRPr="002878B4">
        <w:instrText>.92</w:instrText>
      </w:r>
      <w:r w:rsidR="002A3C75">
        <w:instrText xml:space="preserve">" </w:instrText>
      </w:r>
      <w:r w:rsidR="002A3C75">
        <w:fldChar w:fldCharType="end"/>
      </w:r>
      <w:r w:rsidR="00221596" w:rsidRPr="00273106">
        <w:t xml:space="preserve">, že první oxfordští magistři odmítli </w:t>
      </w:r>
      <w:r w:rsidR="002E3B62">
        <w:t>Averroes</w:t>
      </w:r>
      <w:r w:rsidR="00221596" w:rsidRPr="00273106">
        <w:t xml:space="preserve">ovo řešení jedné substance a různých schopností </w:t>
      </w:r>
      <w:r w:rsidR="00FE7324">
        <w:t xml:space="preserve">v </w:t>
      </w:r>
      <w:r w:rsidR="00FE7324">
        <w:rPr>
          <w:i/>
          <w:lang w:eastAsia="en-US"/>
        </w:rPr>
        <w:t>anima intell</w:t>
      </w:r>
      <w:r w:rsidR="00FE7324" w:rsidRPr="009703F0">
        <w:rPr>
          <w:i/>
          <w:lang w:eastAsia="en-US"/>
        </w:rPr>
        <w:t>e</w:t>
      </w:r>
      <w:r w:rsidR="00FE7324">
        <w:rPr>
          <w:i/>
          <w:lang w:eastAsia="en-US"/>
        </w:rPr>
        <w:t>c</w:t>
      </w:r>
      <w:r w:rsidR="00FE7324" w:rsidRPr="009703F0">
        <w:rPr>
          <w:i/>
          <w:lang w:eastAsia="en-US"/>
        </w:rPr>
        <w:t>tiva</w:t>
      </w:r>
      <w:r w:rsidR="00FE7324">
        <w:rPr>
          <w:i/>
          <w:lang w:eastAsia="en-US"/>
        </w:rPr>
        <w:t xml:space="preserve"> </w:t>
      </w:r>
      <w:r w:rsidR="00221596" w:rsidRPr="00273106">
        <w:t>(</w:t>
      </w:r>
      <w:r w:rsidR="084744F7">
        <w:t xml:space="preserve">OBJ I, </w:t>
      </w:r>
      <w:r w:rsidR="00221596" w:rsidRPr="00273106">
        <w:t xml:space="preserve">kap. 2.4.3). </w:t>
      </w:r>
      <w:r w:rsidR="0028139F">
        <w:t xml:space="preserve">Moderní </w:t>
      </w:r>
      <w:r w:rsidR="00F149D0">
        <w:t xml:space="preserve">porretánci </w:t>
      </w:r>
      <w:r w:rsidR="089D4B90" w:rsidRPr="00273106">
        <w:t xml:space="preserve">vzali intelekt jako </w:t>
      </w:r>
      <w:r w:rsidR="00F149D0">
        <w:t xml:space="preserve">hypostázovanou entitu </w:t>
      </w:r>
      <w:r w:rsidR="089D4B90" w:rsidRPr="00273106">
        <w:t>završující obě nižší schopnosti duše.</w:t>
      </w:r>
      <w:r w:rsidR="08836080" w:rsidRPr="00273106">
        <w:t xml:space="preserve"> Klíčovým se stalo určení inte</w:t>
      </w:r>
      <w:r w:rsidR="08996501" w:rsidRPr="00273106">
        <w:t>le</w:t>
      </w:r>
      <w:r w:rsidR="08836080" w:rsidRPr="00273106">
        <w:t>ktuální schopnosti duše</w:t>
      </w:r>
      <w:r w:rsidR="00A81BF8" w:rsidRPr="00273106">
        <w:t xml:space="preserve"> jako hypostázované formy</w:t>
      </w:r>
      <w:r w:rsidR="00A05628">
        <w:t xml:space="preserve"> po vzoru Avicenny a </w:t>
      </w:r>
      <w:r w:rsidR="00A05628" w:rsidRPr="00A05628">
        <w:rPr>
          <w:i/>
        </w:rPr>
        <w:t>Nominales</w:t>
      </w:r>
      <w:r w:rsidR="08836080" w:rsidRPr="00273106">
        <w:t xml:space="preserve">. </w:t>
      </w:r>
      <w:r w:rsidR="005D74A3">
        <w:t>Jádro sporu mezi prvním a druhým av</w:t>
      </w:r>
      <w:r w:rsidR="006C59A7">
        <w:t xml:space="preserve">erroismem obsahuje </w:t>
      </w:r>
      <w:r w:rsidR="005D74A3">
        <w:t>část</w:t>
      </w:r>
      <w:r w:rsidR="006C59A7">
        <w:t xml:space="preserve"> Buckfieldova traktátu </w:t>
      </w:r>
      <w:r w:rsidR="006C59A7" w:rsidRPr="006C59A7">
        <w:rPr>
          <w:i/>
        </w:rPr>
        <w:t>De anima</w:t>
      </w:r>
      <w:r w:rsidR="006C59A7">
        <w:t xml:space="preserve"> citovaná v poznámce</w:t>
      </w:r>
      <w:r w:rsidR="005D74A3">
        <w:t xml:space="preserve">, která možný intelekt </w:t>
      </w:r>
      <w:r w:rsidR="0055238B">
        <w:t xml:space="preserve">jako potenci </w:t>
      </w:r>
      <w:r w:rsidR="005D74A3">
        <w:t xml:space="preserve">podřizuje aktivnímu </w:t>
      </w:r>
      <w:r w:rsidR="0055238B">
        <w:t xml:space="preserve">intelektu jako substanci </w:t>
      </w:r>
      <w:r w:rsidR="005D74A3">
        <w:t>skrze nasvícení zezadu</w:t>
      </w:r>
      <w:r w:rsidR="005571BB">
        <w:t xml:space="preserve"> (</w:t>
      </w:r>
      <w:r w:rsidR="005571BB" w:rsidRPr="005571BB">
        <w:rPr>
          <w:i/>
        </w:rPr>
        <w:t>esset in potencia respectu forme nobilioris</w:t>
      </w:r>
      <w:r w:rsidR="005571BB">
        <w:t>)</w:t>
      </w:r>
      <w:r w:rsidR="005D74A3">
        <w:t>.</w:t>
      </w:r>
      <w:r w:rsidR="00A81BF8" w:rsidRPr="00273106">
        <w:rPr>
          <w:rStyle w:val="Znakapoznpodarou"/>
        </w:rPr>
        <w:footnoteReference w:id="342"/>
      </w:r>
      <w:r w:rsidR="00384CD7" w:rsidRPr="00273106">
        <w:t xml:space="preserve"> </w:t>
      </w:r>
      <w:r w:rsidR="0856361E">
        <w:t xml:space="preserve">Tento scénář aplikovaný na </w:t>
      </w:r>
      <w:r w:rsidR="0856361E" w:rsidRPr="00E94724">
        <w:rPr>
          <w:i/>
        </w:rPr>
        <w:t>intellectus possibilis</w:t>
      </w:r>
      <w:r w:rsidR="0856361E">
        <w:rPr>
          <w:i/>
        </w:rPr>
        <w:fldChar w:fldCharType="begin"/>
      </w:r>
      <w:r w:rsidR="0856361E">
        <w:instrText xml:space="preserve"> XE "</w:instrText>
      </w:r>
      <w:r w:rsidR="0856361E" w:rsidRPr="00770D02">
        <w:rPr>
          <w:i/>
        </w:rPr>
        <w:instrText>intellectus possibilis</w:instrText>
      </w:r>
      <w:r w:rsidR="0856361E" w:rsidRPr="003C38EF">
        <w:instrText>:druhý averroismus</w:instrText>
      </w:r>
      <w:r w:rsidR="0856361E">
        <w:instrText xml:space="preserve">" </w:instrText>
      </w:r>
      <w:r w:rsidR="0856361E">
        <w:rPr>
          <w:i/>
        </w:rPr>
        <w:fldChar w:fldCharType="end"/>
      </w:r>
      <w:r w:rsidR="0856361E">
        <w:t xml:space="preserve"> jsme analyzovali v předešlé kapitole na příkladu díla </w:t>
      </w:r>
      <w:r w:rsidR="0856361E" w:rsidRPr="00E94724">
        <w:rPr>
          <w:i/>
        </w:rPr>
        <w:t>Summa philosophi</w:t>
      </w:r>
      <w:r w:rsidR="00575462">
        <w:rPr>
          <w:i/>
        </w:rPr>
        <w:t>a</w:t>
      </w:r>
      <w:r w:rsidR="0856361E" w:rsidRPr="00E94724">
        <w:rPr>
          <w:i/>
        </w:rPr>
        <w:t>e</w:t>
      </w:r>
      <w:r w:rsidR="0856361E">
        <w:t xml:space="preserve">. </w:t>
      </w:r>
      <w:r w:rsidR="00384CD7" w:rsidRPr="00273106">
        <w:t xml:space="preserve">V </w:t>
      </w:r>
      <w:r w:rsidR="08836080" w:rsidRPr="00273106">
        <w:t xml:space="preserve">neoplatonismu </w:t>
      </w:r>
      <w:r w:rsidR="00996F7C">
        <w:t xml:space="preserve">daném podle </w:t>
      </w:r>
      <w:r w:rsidR="00996F7C" w:rsidRPr="00996F7C">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996F7C">
        <w:t xml:space="preserve"> </w:t>
      </w:r>
      <w:r w:rsidR="00384CD7" w:rsidRPr="00273106">
        <w:t xml:space="preserve">musí </w:t>
      </w:r>
      <w:r w:rsidR="08836080" w:rsidRPr="00273106">
        <w:t xml:space="preserve">mít </w:t>
      </w:r>
      <w:r w:rsidR="008B2318" w:rsidRPr="00273106">
        <w:t xml:space="preserve">každá vyšší forma </w:t>
      </w:r>
      <w:r w:rsidR="08836080" w:rsidRPr="00273106">
        <w:t>vlas</w:t>
      </w:r>
      <w:r w:rsidR="00384CD7" w:rsidRPr="00273106">
        <w:t>t</w:t>
      </w:r>
      <w:r w:rsidR="08836080" w:rsidRPr="00273106">
        <w:t>ní subsistenci</w:t>
      </w:r>
      <w:r w:rsidR="00A46A77" w:rsidRPr="00273106">
        <w:t>. Forma</w:t>
      </w:r>
      <w:r w:rsidR="00A46A77" w:rsidRPr="00273106">
        <w:noBreakHyphen/>
      </w:r>
      <w:r w:rsidR="004B4D52" w:rsidRPr="004B4D52">
        <w:t>species</w:t>
      </w:r>
      <w:r w:rsidR="00A46A77" w:rsidRPr="00273106">
        <w:t xml:space="preserve"> </w:t>
      </w:r>
      <w:r w:rsidR="00F72409">
        <w:t xml:space="preserve">v modu </w:t>
      </w:r>
      <w:r w:rsidR="08E3605F" w:rsidRPr="00273106">
        <w:rPr>
          <w:i/>
        </w:rPr>
        <w:t>perfectibile</w:t>
      </w:r>
      <w:r w:rsidR="00384CD7" w:rsidRPr="00273106">
        <w:t xml:space="preserve"> završuje</w:t>
      </w:r>
      <w:r w:rsidR="08E3605F" w:rsidRPr="00273106">
        <w:t xml:space="preserve"> činnost </w:t>
      </w:r>
      <w:r w:rsidR="00392971" w:rsidRPr="00273106">
        <w:t>nižš</w:t>
      </w:r>
      <w:r w:rsidR="00384CD7" w:rsidRPr="00273106">
        <w:t xml:space="preserve">ích forem, </w:t>
      </w:r>
      <w:r w:rsidR="08B44754">
        <w:t xml:space="preserve">což jsou v případě lidské duše </w:t>
      </w:r>
      <w:r w:rsidR="08E3605F" w:rsidRPr="00273106">
        <w:t xml:space="preserve">vegetativní a animální </w:t>
      </w:r>
      <w:r w:rsidR="08B44754">
        <w:t>funkce</w:t>
      </w:r>
      <w:r w:rsidR="08836080" w:rsidRPr="00273106">
        <w:t xml:space="preserve">. </w:t>
      </w:r>
      <w:r w:rsidR="003E4CC5" w:rsidRPr="00273106">
        <w:t xml:space="preserve">Jednota duše složené z různých hypostází definovaných hierarchicky v modech predikace </w:t>
      </w:r>
      <w:r w:rsidR="003E4CC5" w:rsidRPr="00273106">
        <w:rPr>
          <w:i/>
        </w:rPr>
        <w:t>per prius</w:t>
      </w:r>
      <w:r w:rsidR="003E4CC5" w:rsidRPr="00273106">
        <w:t xml:space="preserve"> a </w:t>
      </w:r>
      <w:r w:rsidR="003E4CC5" w:rsidRPr="00273106">
        <w:rPr>
          <w:i/>
        </w:rPr>
        <w:t>per posterius</w:t>
      </w:r>
      <w:r w:rsidR="003E4CC5" w:rsidRPr="00273106">
        <w:t xml:space="preserve"> vypadá </w:t>
      </w:r>
      <w:r w:rsidR="00485D7D">
        <w:t xml:space="preserve">podle </w:t>
      </w:r>
      <w:r w:rsidR="00485D7D" w:rsidRPr="00273106">
        <w:t>Buckfield</w:t>
      </w:r>
      <w:r w:rsidR="00485D7D">
        <w:t>a</w:t>
      </w:r>
      <w:r w:rsidR="00485D7D" w:rsidRPr="00273106">
        <w:t xml:space="preserve"> </w:t>
      </w:r>
      <w:r w:rsidR="003E4CC5" w:rsidRPr="00273106">
        <w:t>následovně</w:t>
      </w:r>
      <w:r w:rsidR="00D52090">
        <w:fldChar w:fldCharType="begin"/>
      </w:r>
      <w:r w:rsidR="00D52090">
        <w:instrText xml:space="preserve"> XE "</w:instrText>
      </w:r>
      <w:r w:rsidR="00D52090" w:rsidRPr="009D0CF5">
        <w:instrText>osoba:pluralita substancí</w:instrText>
      </w:r>
      <w:r w:rsidR="00D52090">
        <w:instrText xml:space="preserve">" </w:instrText>
      </w:r>
      <w:r w:rsidR="00D52090">
        <w:fldChar w:fldCharType="end"/>
      </w:r>
      <w:r w:rsidR="003E4CC5" w:rsidRPr="00273106">
        <w:t>.</w:t>
      </w:r>
    </w:p>
    <w:p w14:paraId="7E4B3370" w14:textId="77777777" w:rsidR="003E4CC5" w:rsidRPr="00273106" w:rsidRDefault="00A24F82" w:rsidP="003E4CC5">
      <w:pPr>
        <w:pStyle w:val="Citace"/>
        <w:rPr>
          <w:noProof/>
          <w:lang w:val="cs-CZ"/>
        </w:rPr>
      </w:pPr>
      <w:r>
        <w:rPr>
          <w:noProof/>
          <w:lang w:val="cs-CZ"/>
        </w:rPr>
        <w:t>„K poslednímu je možné</w:t>
      </w:r>
      <w:r w:rsidR="003E4CC5" w:rsidRPr="00273106">
        <w:rPr>
          <w:noProof/>
          <w:lang w:val="cs-CZ"/>
        </w:rPr>
        <w:t xml:space="preserve"> říci, že intelektuální schopnost duše se nemá k ostatním složkám duše stejně jako specifická diference završuje rod. Diference nic nepredikuje vzhledem k určením, která přicházejí zvnějšku, ale vypovídá pouze o aktualitě a završení toho, co předtím bylo nedokonalé.“</w:t>
      </w:r>
      <w:r w:rsidR="003E4CC5" w:rsidRPr="00273106">
        <w:rPr>
          <w:rStyle w:val="Znakapoznpodarou"/>
          <w:noProof/>
          <w:lang w:val="cs-CZ"/>
        </w:rPr>
        <w:footnoteReference w:id="343"/>
      </w:r>
    </w:p>
    <w:p w14:paraId="26013BD0" w14:textId="06ED5324" w:rsidR="08B11CB7" w:rsidRDefault="003E4CC5" w:rsidP="08B11CB7">
      <w:r w:rsidRPr="00273106">
        <w:lastRenderedPageBreak/>
        <w:t>Predikace nemůže jít na rovině hylemorfické substance</w:t>
      </w:r>
      <w:r w:rsidR="00A70FA4">
        <w:fldChar w:fldCharType="begin"/>
      </w:r>
      <w:r w:rsidR="00A70FA4">
        <w:instrText xml:space="preserve"> XE "</w:instrText>
      </w:r>
      <w:r w:rsidR="004D07D7" w:rsidRPr="004D07D7">
        <w:rPr>
          <w:i/>
        </w:rPr>
        <w:instrText>Oxfordian Fallacy</w:instrText>
      </w:r>
      <w:r w:rsidR="004D07D7">
        <w:instrText>:</w:instrText>
      </w:r>
      <w:r w:rsidR="00021F58">
        <w:instrText>dualismus osoby</w:instrText>
      </w:r>
      <w:r w:rsidR="00A70FA4">
        <w:instrText xml:space="preserve">" </w:instrText>
      </w:r>
      <w:r w:rsidR="00A70FA4">
        <w:fldChar w:fldCharType="end"/>
      </w:r>
      <w:r w:rsidRPr="00273106">
        <w:t xml:space="preserve"> dané v reálném fyzickém těle, protože duše je oddělená nemateriální forma (</w:t>
      </w:r>
      <w:r w:rsidRPr="00273106">
        <w:rPr>
          <w:i/>
        </w:rPr>
        <w:t>non similiter se habet virtus intellectiva ad alias</w:t>
      </w:r>
      <w:r w:rsidRPr="00273106">
        <w:t>). Predikace od</w:t>
      </w:r>
      <w:r w:rsidR="00B73EF7">
        <w:t>dělila</w:t>
      </w:r>
      <w:r w:rsidRPr="00273106">
        <w:t xml:space="preserve"> intelektuální č</w:t>
      </w:r>
      <w:r w:rsidR="00B73EF7">
        <w:t xml:space="preserve">ást duše od ostatních substancí pomocí </w:t>
      </w:r>
      <w:r>
        <w:t xml:space="preserve">hypostázované </w:t>
      </w:r>
      <w:r w:rsidRPr="00273106">
        <w:t>kategoriální predikace</w:t>
      </w:r>
      <w:r w:rsidR="00DE47EA">
        <w:t xml:space="preserve"> </w:t>
      </w:r>
      <w:r w:rsidR="083B0B25">
        <w:t xml:space="preserve">zavedené </w:t>
      </w:r>
      <w:r w:rsidR="00DE47EA">
        <w:t>v Oxfordu</w:t>
      </w:r>
      <w:r w:rsidR="083B0B25">
        <w:t xml:space="preserve"> kolem roku 1230</w:t>
      </w:r>
      <w:r w:rsidRPr="00273106">
        <w:t xml:space="preserve">. </w:t>
      </w:r>
      <w:r>
        <w:t>V</w:t>
      </w:r>
      <w:r w:rsidRPr="00273106">
        <w:t xml:space="preserve">yšší forma </w:t>
      </w:r>
      <w:r>
        <w:t xml:space="preserve">má </w:t>
      </w:r>
      <w:r w:rsidRPr="00273106">
        <w:t>vlastní subsistenci</w:t>
      </w:r>
      <w:r>
        <w:t xml:space="preserve"> a </w:t>
      </w:r>
      <w:r w:rsidR="00C3657D">
        <w:t xml:space="preserve">v modu </w:t>
      </w:r>
      <w:r w:rsidRPr="00273106">
        <w:rPr>
          <w:i/>
        </w:rPr>
        <w:t>perfectibile</w:t>
      </w:r>
      <w:r w:rsidRPr="00273106">
        <w:t xml:space="preserve"> završuje činnost nižších forem, v tomto případě vegetativní a animální složky duše.</w:t>
      </w:r>
      <w:r>
        <w:t xml:space="preserve"> </w:t>
      </w:r>
      <w:r w:rsidRPr="00273106">
        <w:t>Specifickou diferenci mezi rodem a druhem Buckfield nahradil avicennovským schématem entelechie</w:t>
      </w:r>
      <w:r w:rsidR="08F5497B">
        <w:t>, kdy vyšší formy určují nižší</w:t>
      </w:r>
      <w:r w:rsidRPr="00273106">
        <w:t xml:space="preserve"> (</w:t>
      </w:r>
      <w:r w:rsidRPr="00273106">
        <w:rPr>
          <w:i/>
        </w:rPr>
        <w:t>actualitatem et perfeccionem eiusdem quod prius fuit imperfectum</w:t>
      </w:r>
      <w:r w:rsidRPr="00273106">
        <w:t xml:space="preserve">). </w:t>
      </w:r>
      <w:r w:rsidR="08821FE0">
        <w:t xml:space="preserve">Systém </w:t>
      </w:r>
      <w:r w:rsidR="086D6E8D">
        <w:t xml:space="preserve">neoplatonské </w:t>
      </w:r>
      <w:r w:rsidR="08821FE0">
        <w:t xml:space="preserve">dedukce definuje duši podle nasvícení zezadu. Hypostázovaná vyšší forma intelektu v modu </w:t>
      </w:r>
      <w:r w:rsidRPr="00196084">
        <w:rPr>
          <w:i/>
        </w:rPr>
        <w:t>perfectio</w:t>
      </w:r>
      <w:r w:rsidR="005D29BB">
        <w:t xml:space="preserve"> </w:t>
      </w:r>
      <w:r w:rsidR="08821FE0">
        <w:t xml:space="preserve">zakládá </w:t>
      </w:r>
      <w:r w:rsidR="000C7F28">
        <w:t>jednotu</w:t>
      </w:r>
      <w:r w:rsidRPr="00273106">
        <w:t xml:space="preserve"> duše v rámci </w:t>
      </w:r>
      <w:r w:rsidR="00874074">
        <w:t>neoplatonsk</w:t>
      </w:r>
      <w:r w:rsidR="000C7F28">
        <w:t xml:space="preserve">é </w:t>
      </w:r>
      <w:r w:rsidRPr="00273106">
        <w:t>hierar</w:t>
      </w:r>
      <w:r>
        <w:t xml:space="preserve">chie substancí. Predikace intelektuálních hypostází v člověku pak běží </w:t>
      </w:r>
      <w:r w:rsidRPr="00273106">
        <w:t>ve scénáři vyšší formy</w:t>
      </w:r>
      <w:r w:rsidR="08C64D66">
        <w:t xml:space="preserve">, která </w:t>
      </w:r>
      <w:r w:rsidR="08C64D66" w:rsidRPr="00273106">
        <w:t>završuje nižší formy duše</w:t>
      </w:r>
      <w:r w:rsidR="08C64D66">
        <w:t xml:space="preserve"> </w:t>
      </w:r>
      <w:r w:rsidRPr="00273106">
        <w:t>skrze n</w:t>
      </w:r>
      <w:r w:rsidR="08721155">
        <w:t>emateriální a oddělený intelekt</w:t>
      </w:r>
      <w:r w:rsidRPr="00273106">
        <w:t>. Buckfield</w:t>
      </w:r>
      <w:r w:rsidR="08721155">
        <w:t xml:space="preserve">, Rufus </w:t>
      </w:r>
      <w:r w:rsidRPr="00273106">
        <w:t>a je</w:t>
      </w:r>
      <w:r w:rsidR="08721155">
        <w:t>jich škola začali</w:t>
      </w:r>
      <w:r w:rsidRPr="00273106">
        <w:t xml:space="preserve"> dělit </w:t>
      </w:r>
      <w:r w:rsidR="080545DE">
        <w:t xml:space="preserve">porretánsky dělit </w:t>
      </w:r>
      <w:r w:rsidR="00C3657D">
        <w:t>osobu</w:t>
      </w:r>
      <w:r w:rsidR="08A974BD">
        <w:t>, kterou první averroismus defin</w:t>
      </w:r>
      <w:r w:rsidR="080545DE">
        <w:t xml:space="preserve">oval jako </w:t>
      </w:r>
      <w:r w:rsidR="00C3657D">
        <w:t xml:space="preserve">Boethiovu </w:t>
      </w:r>
      <w:r w:rsidRPr="00273106">
        <w:t>nedělitelnou první substanci</w:t>
      </w:r>
      <w:r w:rsidR="00E248A0">
        <w:t>. P</w:t>
      </w:r>
      <w:r w:rsidR="080545DE">
        <w:t xml:space="preserve">orretáni </w:t>
      </w:r>
      <w:r w:rsidRPr="00273106">
        <w:t>zavedl</w:t>
      </w:r>
      <w:r w:rsidR="080545DE">
        <w:t>i d</w:t>
      </w:r>
      <w:r w:rsidRPr="00273106">
        <w:t xml:space="preserve">o aktuality první substance dané </w:t>
      </w:r>
      <w:r w:rsidRPr="00273106">
        <w:rPr>
          <w:i/>
        </w:rPr>
        <w:t>simpliciter</w:t>
      </w:r>
      <w:r w:rsidRPr="00273106">
        <w:t xml:space="preserve"> dělení podle </w:t>
      </w:r>
      <w:r w:rsidR="00874074">
        <w:t>neoplatonsk</w:t>
      </w:r>
      <w:r w:rsidRPr="00273106">
        <w:t>é dokonalosti formy</w:t>
      </w:r>
      <w:r w:rsidR="080545DE">
        <w:t xml:space="preserve"> dané jako jsoucno třetího druhu</w:t>
      </w:r>
      <w:r w:rsidRPr="00273106">
        <w:t>. Aby mohl</w:t>
      </w:r>
      <w:r>
        <w:t>i</w:t>
      </w:r>
      <w:r w:rsidRPr="00273106">
        <w:t xml:space="preserve"> Buckfield </w:t>
      </w:r>
      <w:r>
        <w:t xml:space="preserve">a Rufus </w:t>
      </w:r>
      <w:r w:rsidRPr="00273106">
        <w:t xml:space="preserve">takovou </w:t>
      </w:r>
      <w:r w:rsidR="080A67C4">
        <w:t xml:space="preserve">nesmyslnou </w:t>
      </w:r>
      <w:r w:rsidRPr="00273106">
        <w:t>operaci provést, musel</w:t>
      </w:r>
      <w:r>
        <w:t>i</w:t>
      </w:r>
      <w:r w:rsidRPr="00273106">
        <w:t xml:space="preserve"> zrušit Aristotele</w:t>
      </w:r>
      <w:r w:rsidR="00756CAB">
        <w:t>m, Boethiem, Abelardem a Averroe</w:t>
      </w:r>
      <w:r w:rsidRPr="00273106">
        <w:t xml:space="preserve">sem zdůrazněný zásadní rozdíl </w:t>
      </w:r>
      <w:r>
        <w:t>mezi první a druhou substancí. D</w:t>
      </w:r>
      <w:r w:rsidRPr="00273106">
        <w:t>ále musel</w:t>
      </w:r>
      <w:r>
        <w:t>i</w:t>
      </w:r>
      <w:r w:rsidRPr="00273106">
        <w:t xml:space="preserve"> zavést nové pojetí látky, fo</w:t>
      </w:r>
      <w:r w:rsidR="00225334">
        <w:t>rmy</w:t>
      </w:r>
      <w:r w:rsidR="08DF46C2">
        <w:t xml:space="preserve"> a potence dané podle univerzálního hylemorfismu. </w:t>
      </w:r>
      <w:r w:rsidR="008F273C">
        <w:t xml:space="preserve">Spojením těchto moderních forem jsoucna třetího druhu vzniká </w:t>
      </w:r>
      <w:r w:rsidR="08CE0DBE">
        <w:t>v</w:t>
      </w:r>
      <w:r w:rsidR="008F273C">
        <w:t xml:space="preserve"> Oxfordu </w:t>
      </w:r>
      <w:r w:rsidR="08DF46C2">
        <w:t xml:space="preserve">někdy </w:t>
      </w:r>
      <w:r w:rsidR="00DB5E65">
        <w:t xml:space="preserve">v letech </w:t>
      </w:r>
      <w:r w:rsidR="008F273C">
        <w:t>12</w:t>
      </w:r>
      <w:r w:rsidR="00C117A0">
        <w:t>35–</w:t>
      </w:r>
      <w:r w:rsidR="008F273C">
        <w:t>40 schizofrenické pojetí moderní osoby rozděl</w:t>
      </w:r>
      <w:r w:rsidR="006E21A9">
        <w:t xml:space="preserve">ené na několik objektivních </w:t>
      </w:r>
      <w:r w:rsidR="008F273C">
        <w:t xml:space="preserve">substancí. </w:t>
      </w:r>
      <w:r w:rsidR="0894775A">
        <w:t>Vědecké poznání tohoto mytopoetického</w:t>
      </w:r>
      <w:r w:rsidR="0894775A">
        <w:fldChar w:fldCharType="begin"/>
      </w:r>
      <w:r w:rsidR="0894775A">
        <w:instrText xml:space="preserve"> XE "</w:instrText>
      </w:r>
      <w:r w:rsidR="0894775A" w:rsidRPr="08F71428">
        <w:instrText>mytopoesis</w:instrText>
      </w:r>
      <w:r w:rsidR="0894775A">
        <w:instrText xml:space="preserve">" </w:instrText>
      </w:r>
      <w:r w:rsidR="0894775A">
        <w:fldChar w:fldCharType="end"/>
      </w:r>
      <w:r w:rsidR="0894775A">
        <w:t xml:space="preserve"> simulákra zaručuje Grosstesteho výklad </w:t>
      </w:r>
      <w:r w:rsidR="0894775A" w:rsidRPr="08637797">
        <w:rPr>
          <w:i/>
        </w:rPr>
        <w:t>Druhých analytik</w:t>
      </w:r>
      <w:r w:rsidR="08637797">
        <w:t xml:space="preserve"> v modu </w:t>
      </w:r>
      <w:r w:rsidR="08637797" w:rsidRPr="08637797">
        <w:rPr>
          <w:i/>
        </w:rPr>
        <w:t>Oxf</w:t>
      </w:r>
      <w:r w:rsidR="0894775A" w:rsidRPr="08637797">
        <w:rPr>
          <w:i/>
        </w:rPr>
        <w:t>o</w:t>
      </w:r>
      <w:r w:rsidR="08637797" w:rsidRPr="08637797">
        <w:rPr>
          <w:i/>
        </w:rPr>
        <w:t>r</w:t>
      </w:r>
      <w:r w:rsidR="0894775A" w:rsidRPr="08637797">
        <w:rPr>
          <w:i/>
        </w:rPr>
        <w:t>dian Fallacy</w:t>
      </w:r>
      <w:r w:rsidR="0894775A">
        <w:t xml:space="preserve">. </w:t>
      </w:r>
      <w:r w:rsidR="089D4B90" w:rsidRPr="00273106">
        <w:t>Jednota</w:t>
      </w:r>
      <w:r w:rsidR="088B6142" w:rsidRPr="00273106">
        <w:t xml:space="preserve"> </w:t>
      </w:r>
      <w:r w:rsidR="00245333" w:rsidRPr="00273106">
        <w:t xml:space="preserve">člověka </w:t>
      </w:r>
      <w:r w:rsidR="088B6142" w:rsidRPr="00273106">
        <w:t xml:space="preserve">je </w:t>
      </w:r>
      <w:r w:rsidR="08996501" w:rsidRPr="00273106">
        <w:t>b</w:t>
      </w:r>
      <w:r w:rsidR="088B6142" w:rsidRPr="00273106">
        <w:t xml:space="preserve">udovaná </w:t>
      </w:r>
      <w:r w:rsidR="08CE0DBE">
        <w:t xml:space="preserve">podle </w:t>
      </w:r>
      <w:r w:rsidR="088B6142" w:rsidRPr="00273106">
        <w:t>Avice</w:t>
      </w:r>
      <w:r w:rsidR="002F77A6" w:rsidRPr="00273106">
        <w:t>bronova</w:t>
      </w:r>
      <w:r w:rsidR="004C27BA">
        <w:fldChar w:fldCharType="begin"/>
      </w:r>
      <w:r w:rsidR="004C27BA">
        <w:instrText xml:space="preserve"> XE "</w:instrText>
      </w:r>
      <w:r w:rsidR="004C27BA" w:rsidRPr="00E1327E">
        <w:instrText>Avicebron</w:instrText>
      </w:r>
      <w:r w:rsidR="004C27BA">
        <w:instrText xml:space="preserve">" </w:instrText>
      </w:r>
      <w:r w:rsidR="004C27BA">
        <w:fldChar w:fldCharType="end"/>
      </w:r>
      <w:r w:rsidR="002F77A6" w:rsidRPr="00273106">
        <w:t xml:space="preserve"> dualismu, který vytváří </w:t>
      </w:r>
      <w:r w:rsidR="08CE0DBE">
        <w:t>substance</w:t>
      </w:r>
      <w:r w:rsidR="08CE0DBE" w:rsidRPr="00273106">
        <w:t xml:space="preserve"> třetího druhu </w:t>
      </w:r>
      <w:r w:rsidR="002F77A6" w:rsidRPr="00273106">
        <w:t xml:space="preserve">skrze analogické spojení obou pater </w:t>
      </w:r>
      <w:r w:rsidR="08CE0DBE">
        <w:t>těles daných nejprve v diakosmu a pak v realitě</w:t>
      </w:r>
      <w:r w:rsidR="00A758F3">
        <w:fldChar w:fldCharType="begin"/>
      </w:r>
      <w:r w:rsidR="00A758F3">
        <w:instrText xml:space="preserve"> XE "osoba:dualismus" </w:instrText>
      </w:r>
      <w:r w:rsidR="00A758F3">
        <w:fldChar w:fldCharType="end"/>
      </w:r>
      <w:r w:rsidR="002F77A6" w:rsidRPr="00273106">
        <w:t xml:space="preserve">. </w:t>
      </w:r>
      <w:r w:rsidR="00221596" w:rsidRPr="00273106">
        <w:t xml:space="preserve">Buckfield v citovaném díle komentuje pasáž </w:t>
      </w:r>
      <w:r w:rsidR="00B713C5">
        <w:rPr>
          <w:i/>
        </w:rPr>
        <w:t>De anima</w:t>
      </w:r>
      <w:r w:rsidR="00026969" w:rsidRPr="00273106">
        <w:t xml:space="preserve"> 413a4‒10</w:t>
      </w:r>
      <w:r w:rsidR="00097DEC">
        <w:fldChar w:fldCharType="begin"/>
      </w:r>
      <w:r w:rsidR="00097DEC">
        <w:instrText xml:space="preserve"> XE "</w:instrText>
      </w:r>
      <w:r w:rsidR="008E02F5">
        <w:instrText>Aristoteles</w:instrText>
      </w:r>
      <w:r w:rsidR="00097DEC">
        <w:instrText>:</w:instrText>
      </w:r>
      <w:r w:rsidR="00097DEC" w:rsidRPr="00A8152E">
        <w:rPr>
          <w:i/>
        </w:rPr>
        <w:instrText>De anima</w:instrText>
      </w:r>
      <w:r w:rsidR="00097DEC" w:rsidRPr="00A8152E">
        <w:instrText xml:space="preserve"> 413a4‒10</w:instrText>
      </w:r>
      <w:r w:rsidR="00097DEC">
        <w:instrText xml:space="preserve">" </w:instrText>
      </w:r>
      <w:r w:rsidR="00097DEC">
        <w:fldChar w:fldCharType="end"/>
      </w:r>
      <w:r w:rsidR="00026969" w:rsidRPr="00273106">
        <w:t>. O</w:t>
      </w:r>
      <w:r w:rsidR="00221596" w:rsidRPr="00273106">
        <w:t>hledně nemateriální</w:t>
      </w:r>
      <w:r w:rsidR="00193008" w:rsidRPr="00273106">
        <w:t>ho</w:t>
      </w:r>
      <w:r w:rsidR="00221596" w:rsidRPr="00273106">
        <w:t xml:space="preserve"> intelektu </w:t>
      </w:r>
      <w:r w:rsidR="00DF30CB">
        <w:t xml:space="preserve">daného </w:t>
      </w:r>
      <w:r w:rsidR="00221596" w:rsidRPr="00273106">
        <w:t xml:space="preserve">v duši </w:t>
      </w:r>
      <w:r w:rsidR="009B1417">
        <w:t xml:space="preserve">jako </w:t>
      </w:r>
      <w:r w:rsidR="00DF30CB" w:rsidRPr="00DF30CB">
        <w:rPr>
          <w:i/>
        </w:rPr>
        <w:t>inmixtus</w:t>
      </w:r>
      <w:r w:rsidR="00DF30CB">
        <w:t xml:space="preserve"> </w:t>
      </w:r>
      <w:r w:rsidR="00221596" w:rsidRPr="00273106">
        <w:t>dělá závěr, že intele</w:t>
      </w:r>
      <w:r w:rsidR="00193008" w:rsidRPr="00273106">
        <w:t xml:space="preserve">ktuální část duše je </w:t>
      </w:r>
      <w:r w:rsidR="00221596" w:rsidRPr="00273106">
        <w:t>samostatná substance.</w:t>
      </w:r>
    </w:p>
    <w:p w14:paraId="1860523D" w14:textId="66CD12EF" w:rsidR="007828E8" w:rsidRPr="00273106" w:rsidRDefault="00F4233B" w:rsidP="08B11CB7">
      <w:pPr>
        <w:pStyle w:val="Citace"/>
        <w:rPr>
          <w:noProof/>
        </w:rPr>
      </w:pPr>
      <w:r w:rsidRPr="00273106">
        <w:rPr>
          <w:noProof/>
        </w:rPr>
        <w:lastRenderedPageBreak/>
        <w:t>„</w:t>
      </w:r>
      <w:r w:rsidR="00C87C2A" w:rsidRPr="00273106">
        <w:rPr>
          <w:noProof/>
        </w:rPr>
        <w:t xml:space="preserve">Nezbývá </w:t>
      </w:r>
      <w:r w:rsidR="00910A53">
        <w:rPr>
          <w:noProof/>
          <w:lang w:val="cs-CZ"/>
        </w:rPr>
        <w:t xml:space="preserve">nic jiného </w:t>
      </w:r>
      <w:r w:rsidR="08B11CB7">
        <w:rPr>
          <w:noProof/>
        </w:rPr>
        <w:t xml:space="preserve">tomu, kdo chce </w:t>
      </w:r>
      <w:r w:rsidR="00C87C2A" w:rsidRPr="00273106">
        <w:rPr>
          <w:noProof/>
        </w:rPr>
        <w:t xml:space="preserve">oddělit </w:t>
      </w:r>
      <w:r w:rsidR="08535F34" w:rsidRPr="00273106">
        <w:rPr>
          <w:noProof/>
        </w:rPr>
        <w:t xml:space="preserve">od těla </w:t>
      </w:r>
      <w:r w:rsidR="00C87C2A" w:rsidRPr="00273106">
        <w:rPr>
          <w:noProof/>
        </w:rPr>
        <w:t>intelekt</w:t>
      </w:r>
      <w:r w:rsidR="009641BC" w:rsidRPr="00273106">
        <w:rPr>
          <w:noProof/>
        </w:rPr>
        <w:t>u</w:t>
      </w:r>
      <w:r w:rsidR="00C87C2A" w:rsidRPr="00273106">
        <w:rPr>
          <w:noProof/>
        </w:rPr>
        <w:t>ální duši podle její substance, ale n</w:t>
      </w:r>
      <w:r w:rsidR="08B11CB7">
        <w:rPr>
          <w:noProof/>
        </w:rPr>
        <w:t xml:space="preserve">e </w:t>
      </w:r>
      <w:r w:rsidR="00C87C2A" w:rsidRPr="00273106">
        <w:rPr>
          <w:noProof/>
        </w:rPr>
        <w:t>duši jako smyslovou a vegetativní substanci. Z toho také vyplývá, že nejde o jednu substanci, ale o dvě odlišné substance.“</w:t>
      </w:r>
      <w:r w:rsidR="007828E8" w:rsidRPr="00273106">
        <w:rPr>
          <w:rStyle w:val="Znakapoznpodarou"/>
          <w:noProof/>
          <w:lang w:val="cs-CZ"/>
        </w:rPr>
        <w:footnoteReference w:id="344"/>
      </w:r>
    </w:p>
    <w:p w14:paraId="09AA5BBF" w14:textId="1A51F25E" w:rsidR="00F619AD" w:rsidRDefault="00F4233B" w:rsidP="00221596">
      <w:r w:rsidRPr="00273106">
        <w:t xml:space="preserve">Buckfield </w:t>
      </w:r>
      <w:r w:rsidR="00C3581D" w:rsidRPr="00273106">
        <w:t xml:space="preserve">v klíčové části </w:t>
      </w:r>
      <w:r w:rsidR="00A05468">
        <w:t xml:space="preserve">jeho </w:t>
      </w:r>
      <w:r w:rsidR="00C3581D" w:rsidRPr="00273106">
        <w:t xml:space="preserve">výkladu </w:t>
      </w:r>
      <w:r w:rsidR="00C3581D" w:rsidRPr="00273106">
        <w:rPr>
          <w:i/>
        </w:rPr>
        <w:t>De anima</w:t>
      </w:r>
      <w:r w:rsidR="00C3581D" w:rsidRPr="00273106">
        <w:t xml:space="preserve"> </w:t>
      </w:r>
      <w:r w:rsidR="001637EF" w:rsidRPr="00273106">
        <w:t xml:space="preserve">tvrdí, že intelektuální </w:t>
      </w:r>
      <w:r w:rsidR="00221596" w:rsidRPr="00273106">
        <w:t xml:space="preserve">duše je vzhledem k vegetativní a </w:t>
      </w:r>
      <w:r w:rsidR="00881EAD" w:rsidRPr="00273106">
        <w:t xml:space="preserve">k </w:t>
      </w:r>
      <w:r w:rsidR="00221596" w:rsidRPr="00273106">
        <w:t xml:space="preserve">živočišné složce odlišná </w:t>
      </w:r>
      <w:r w:rsidR="00221596" w:rsidRPr="00273106">
        <w:rPr>
          <w:i/>
        </w:rPr>
        <w:t>secundum substantiam</w:t>
      </w:r>
      <w:r w:rsidR="009C5253">
        <w:t>. P</w:t>
      </w:r>
      <w:r w:rsidR="00881EAD" w:rsidRPr="00273106">
        <w:t xml:space="preserve">roto </w:t>
      </w:r>
      <w:r w:rsidR="00C3581D" w:rsidRPr="00273106">
        <w:t xml:space="preserve">v duši existují </w:t>
      </w:r>
      <w:r w:rsidR="00221596" w:rsidRPr="00273106">
        <w:t>dvě zcela odlišné substance (</w:t>
      </w:r>
      <w:r w:rsidR="00221596" w:rsidRPr="00273106">
        <w:rPr>
          <w:i/>
        </w:rPr>
        <w:t>alia et alia</w:t>
      </w:r>
      <w:r w:rsidR="00221596" w:rsidRPr="00273106">
        <w:t xml:space="preserve">). </w:t>
      </w:r>
      <w:r w:rsidR="08C250D8" w:rsidRPr="00273106">
        <w:t xml:space="preserve">Hermeneutika ukázala, že pluralismus substancí v člověku má původní zdroj ve dvojpatrové stavbě </w:t>
      </w:r>
      <w:r w:rsidR="001637EF" w:rsidRPr="00273106">
        <w:t xml:space="preserve">subsistentních forem </w:t>
      </w:r>
      <w:r w:rsidR="00674D20">
        <w:t xml:space="preserve">daných </w:t>
      </w:r>
      <w:r w:rsidR="00674D20" w:rsidRPr="00674D20">
        <w:rPr>
          <w:i/>
        </w:rPr>
        <w:t>modo geometrico</w:t>
      </w:r>
      <w:r w:rsidR="00B664D8">
        <w:rPr>
          <w:i/>
        </w:rPr>
        <w:fldChar w:fldCharType="begin"/>
      </w:r>
      <w:r w:rsidR="00B664D8">
        <w:instrText xml:space="preserve"> XE "</w:instrText>
      </w:r>
      <w:r w:rsidR="00B664D8" w:rsidRPr="00E71D05">
        <w:instrText>predikace</w:instrText>
      </w:r>
      <w:r w:rsidR="00B664D8" w:rsidRPr="00E71D05">
        <w:rPr>
          <w:i/>
        </w:rPr>
        <w:instrText>:modo geometrico</w:instrText>
      </w:r>
      <w:r w:rsidR="00B664D8">
        <w:instrText xml:space="preserve">" </w:instrText>
      </w:r>
      <w:r w:rsidR="00B664D8">
        <w:rPr>
          <w:i/>
        </w:rPr>
        <w:fldChar w:fldCharType="end"/>
      </w:r>
      <w:r w:rsidR="00674D20">
        <w:t xml:space="preserve"> </w:t>
      </w:r>
      <w:r w:rsidR="08C250D8" w:rsidRPr="00273106">
        <w:t xml:space="preserve">podle díla </w:t>
      </w:r>
      <w:r w:rsidR="08C250D8" w:rsidRPr="00273106">
        <w:rPr>
          <w:i/>
        </w:rPr>
        <w:t>Fons Vitae</w:t>
      </w:r>
      <w:r w:rsidR="00097DEC">
        <w:fldChar w:fldCharType="begin"/>
      </w:r>
      <w:r w:rsidR="00097DEC">
        <w:instrText xml:space="preserve"> XE "</w:instrText>
      </w:r>
      <w:r w:rsidR="00097DEC" w:rsidRPr="009D0CF5">
        <w:instrText>osoba:pluralita substancí</w:instrText>
      </w:r>
      <w:r w:rsidR="00097DEC">
        <w:instrText xml:space="preserve">" </w:instrText>
      </w:r>
      <w:r w:rsidR="00097DEC">
        <w:fldChar w:fldCharType="end"/>
      </w:r>
      <w:r w:rsidR="08C250D8" w:rsidRPr="00273106">
        <w:t xml:space="preserve">. </w:t>
      </w:r>
      <w:r w:rsidR="005E2610" w:rsidRPr="00273106">
        <w:t>Druhý averroismus reprezentovaný Adamem z Buckfieldu definoval intelekt jako vyšší formu, která má subsistentní charakter</w:t>
      </w:r>
      <w:r w:rsidR="08CB111C">
        <w:t xml:space="preserve"> a podle sofistického výkladu CMDA pak přichází k člověku zvnějšku</w:t>
      </w:r>
      <w:r w:rsidR="005E2610" w:rsidRPr="00273106">
        <w:t>.</w:t>
      </w:r>
      <w:r w:rsidR="005E2610">
        <w:t xml:space="preserve"> </w:t>
      </w:r>
      <w:r w:rsidR="08E94716">
        <w:t xml:space="preserve">Komplexní kritiku tohoto absurdního pojetí provedl Albert jménem prvního averroismu </w:t>
      </w:r>
      <w:r w:rsidR="08216C36">
        <w:t xml:space="preserve">už </w:t>
      </w:r>
      <w:r w:rsidR="08E94716">
        <w:t xml:space="preserve">v díle </w:t>
      </w:r>
      <w:r w:rsidR="08E94716" w:rsidRPr="006E21A9">
        <w:rPr>
          <w:i/>
        </w:rPr>
        <w:t>De homine</w:t>
      </w:r>
      <w:r w:rsidR="08E94716">
        <w:t>, které obhájilo autentickou nauku CMDA o jednotě osoby jako jedn</w:t>
      </w:r>
      <w:r w:rsidR="08A37098">
        <w:t>é hylemorfické substance (kap. 2</w:t>
      </w:r>
      <w:r w:rsidR="08E94716">
        <w:t xml:space="preserve">.4.1). Buckfieldův komentář </w:t>
      </w:r>
      <w:r w:rsidR="08E94716" w:rsidRPr="00225334">
        <w:rPr>
          <w:i/>
        </w:rPr>
        <w:t>De anima</w:t>
      </w:r>
      <w:r w:rsidR="08E94716">
        <w:t xml:space="preserve"> </w:t>
      </w:r>
      <w:r w:rsidR="08EF659A">
        <w:t xml:space="preserve">ukazuje </w:t>
      </w:r>
      <w:r w:rsidR="08E94716">
        <w:t xml:space="preserve">myšlenkový </w:t>
      </w:r>
      <w:r w:rsidR="08E94716" w:rsidRPr="00273106">
        <w:t xml:space="preserve">zmatek </w:t>
      </w:r>
      <w:r w:rsidR="08E94716">
        <w:t xml:space="preserve">avicennovských modernistů, který dosvědčila </w:t>
      </w:r>
      <w:r w:rsidR="08E94716" w:rsidRPr="008512B9">
        <w:rPr>
          <w:i/>
        </w:rPr>
        <w:t>Summa Duacensis</w:t>
      </w:r>
      <w:r w:rsidR="08E94716">
        <w:rPr>
          <w:i/>
        </w:rPr>
        <w:fldChar w:fldCharType="begin"/>
      </w:r>
      <w:r w:rsidR="08E94716">
        <w:instrText xml:space="preserve"> XE "</w:instrText>
      </w:r>
      <w:r w:rsidR="08E94716" w:rsidRPr="000E2AD6">
        <w:rPr>
          <w:i/>
        </w:rPr>
        <w:instrText>Summa Duacensis</w:instrText>
      </w:r>
      <w:r w:rsidR="08E94716">
        <w:instrText xml:space="preserve">" </w:instrText>
      </w:r>
      <w:r w:rsidR="08E94716">
        <w:rPr>
          <w:i/>
        </w:rPr>
        <w:fldChar w:fldCharType="end"/>
      </w:r>
      <w:r w:rsidR="08FB2D58">
        <w:t xml:space="preserve"> </w:t>
      </w:r>
      <w:r w:rsidR="005B12B9">
        <w:t xml:space="preserve">v Paříži </w:t>
      </w:r>
      <w:r w:rsidR="08E94716">
        <w:t xml:space="preserve">kolem </w:t>
      </w:r>
      <w:r w:rsidR="08EF659A">
        <w:t xml:space="preserve">roku </w:t>
      </w:r>
      <w:r w:rsidR="08190571">
        <w:t xml:space="preserve">1230 </w:t>
      </w:r>
      <w:r w:rsidR="08A37098">
        <w:t>(kap. 2</w:t>
      </w:r>
      <w:r w:rsidR="08AB1063" w:rsidRPr="00273106">
        <w:t>.2</w:t>
      </w:r>
      <w:r w:rsidR="08AB1063">
        <w:t>.2</w:t>
      </w:r>
      <w:r w:rsidR="08AB1063" w:rsidRPr="00273106">
        <w:t>)</w:t>
      </w:r>
      <w:r w:rsidR="08AB1063">
        <w:t xml:space="preserve"> </w:t>
      </w:r>
      <w:r w:rsidR="08190571">
        <w:t xml:space="preserve">a také </w:t>
      </w:r>
      <w:r w:rsidR="08190571" w:rsidRPr="007551D7">
        <w:rPr>
          <w:i/>
        </w:rPr>
        <w:t>Summa philosophiae</w:t>
      </w:r>
      <w:r w:rsidR="08190571">
        <w:t xml:space="preserve"> v Oxfordu </w:t>
      </w:r>
      <w:r w:rsidR="08FB2D58">
        <w:t xml:space="preserve">po roce 1260 </w:t>
      </w:r>
      <w:r w:rsidR="08A37098">
        <w:t>(kap. 3</w:t>
      </w:r>
      <w:r w:rsidR="08190571">
        <w:t xml:space="preserve">.1.3). </w:t>
      </w:r>
      <w:r w:rsidR="08E94716" w:rsidRPr="00273106">
        <w:t xml:space="preserve">První modernisté vytvořili sofistické simulákrum reálného člověka, což mělo a má epochální úspěch </w:t>
      </w:r>
      <w:r w:rsidR="08E94716">
        <w:t xml:space="preserve">i </w:t>
      </w:r>
      <w:r w:rsidR="08E94716" w:rsidRPr="00273106">
        <w:t>v postmoderně.</w:t>
      </w:r>
      <w:r w:rsidR="08E94716">
        <w:t xml:space="preserve"> Tito modernisté interpelovaní v Paříži školou prvního averroismu </w:t>
      </w:r>
      <w:r w:rsidR="08A64744">
        <w:t xml:space="preserve">asi </w:t>
      </w:r>
      <w:r w:rsidR="08E94716">
        <w:t>roku 1245 nebyli schopni</w:t>
      </w:r>
      <w:r w:rsidR="08E94716" w:rsidRPr="00273106">
        <w:t xml:space="preserve"> uvést v soulad aristotelské intelektuální sc</w:t>
      </w:r>
      <w:r w:rsidR="08E94716">
        <w:t xml:space="preserve">hopnosti duše jako formy těla s neoplatonskou </w:t>
      </w:r>
      <w:r w:rsidR="08E94716" w:rsidRPr="00273106">
        <w:t xml:space="preserve">sbírkou </w:t>
      </w:r>
      <w:r w:rsidR="08E94716">
        <w:t xml:space="preserve">substancí třetího druhu, kterou si přinesli z </w:t>
      </w:r>
      <w:r w:rsidR="08096280">
        <w:t xml:space="preserve">porretánského a avicennnistického </w:t>
      </w:r>
      <w:r w:rsidR="08E94716">
        <w:t xml:space="preserve">Oxfordu. </w:t>
      </w:r>
      <w:r w:rsidR="08096280">
        <w:t>Jenže v Paříži kancléře a biskup Alvernus oficálně kritizoval jménem Blundovy školy obě porretánské školy (</w:t>
      </w:r>
      <w:r w:rsidR="08096280" w:rsidRPr="08096280">
        <w:rPr>
          <w:i/>
        </w:rPr>
        <w:t>sophistae Italici</w:t>
      </w:r>
      <w:r w:rsidR="08096280">
        <w:t xml:space="preserve">, </w:t>
      </w:r>
      <w:r w:rsidR="08096280" w:rsidRPr="08096280">
        <w:rPr>
          <w:i/>
        </w:rPr>
        <w:t>Grammatici</w:t>
      </w:r>
      <w:r w:rsidR="08AE5942">
        <w:t xml:space="preserve">). </w:t>
      </w:r>
      <w:r w:rsidR="08096280">
        <w:t>Avicenna patřil do skupiny odmítnutých neoplatoniků</w:t>
      </w:r>
      <w:r w:rsidR="00F774A2">
        <w:t xml:space="preserve"> (</w:t>
      </w:r>
      <w:r w:rsidR="00F774A2" w:rsidRPr="08096280">
        <w:rPr>
          <w:i/>
        </w:rPr>
        <w:t>sequaces Aristotelis</w:t>
      </w:r>
      <w:r w:rsidR="00F774A2">
        <w:t xml:space="preserve">) Ti </w:t>
      </w:r>
      <w:r w:rsidR="08096280">
        <w:t xml:space="preserve">vyznávali heretickou nauku odděleného kosmického </w:t>
      </w:r>
      <w:r w:rsidR="08096280" w:rsidRPr="08AE5942">
        <w:rPr>
          <w:i/>
        </w:rPr>
        <w:t>inte</w:t>
      </w:r>
      <w:r w:rsidR="08AE5942" w:rsidRPr="08AE5942">
        <w:rPr>
          <w:i/>
        </w:rPr>
        <w:t>llectus agens</w:t>
      </w:r>
      <w:r w:rsidR="08096280">
        <w:t xml:space="preserve">, který v </w:t>
      </w:r>
      <w:r w:rsidR="08AE5942">
        <w:t xml:space="preserve">modu </w:t>
      </w:r>
      <w:r w:rsidR="08096280">
        <w:t xml:space="preserve">eficientní kauzality zakládá poznání v lidské duši. </w:t>
      </w:r>
      <w:r w:rsidR="08AE5942">
        <w:t xml:space="preserve">Původní </w:t>
      </w:r>
      <w:r w:rsidR="005E2610" w:rsidRPr="00273106">
        <w:t xml:space="preserve">zdroj plurality substancí v člověku najdeme v </w:t>
      </w:r>
      <w:r w:rsidR="000C6876">
        <w:t xml:space="preserve">Toledské škole, konkrétně v </w:t>
      </w:r>
      <w:r w:rsidR="005E2610" w:rsidRPr="00273106">
        <w:t>Gundissalinově</w:t>
      </w:r>
      <w:r w:rsidR="00B73C4C">
        <w:fldChar w:fldCharType="begin"/>
      </w:r>
      <w:r w:rsidR="00B73C4C">
        <w:instrText xml:space="preserve"> XE "</w:instrText>
      </w:r>
      <w:r w:rsidR="00B73C4C" w:rsidRPr="00AB6F57">
        <w:instrText>Gundissalinus, D.</w:instrText>
      </w:r>
      <w:r w:rsidR="00B73C4C">
        <w:instrText xml:space="preserve">" </w:instrText>
      </w:r>
      <w:r w:rsidR="00B73C4C">
        <w:fldChar w:fldCharType="end"/>
      </w:r>
      <w:r w:rsidR="005E2610" w:rsidRPr="00273106">
        <w:t xml:space="preserve"> díle </w:t>
      </w:r>
      <w:r w:rsidR="005E2610" w:rsidRPr="00273106">
        <w:rPr>
          <w:i/>
        </w:rPr>
        <w:t>De immortalitate animae</w:t>
      </w:r>
      <w:r w:rsidR="005E2610" w:rsidRPr="00273106">
        <w:t xml:space="preserve">, které definuje intelekt jako </w:t>
      </w:r>
      <w:r w:rsidR="00874074">
        <w:t>neoplatonsk</w:t>
      </w:r>
      <w:r w:rsidR="005E2610">
        <w:t xml:space="preserve">ou </w:t>
      </w:r>
      <w:r w:rsidR="005E2610" w:rsidRPr="00273106">
        <w:t>formu-</w:t>
      </w:r>
      <w:r w:rsidR="004B4D52" w:rsidRPr="004B4D52">
        <w:t>species</w:t>
      </w:r>
      <w:r w:rsidR="002047E4" w:rsidRPr="000C6876">
        <w:rPr>
          <w:i/>
        </w:rPr>
        <w:fldChar w:fldCharType="begin"/>
      </w:r>
      <w:r w:rsidR="002047E4" w:rsidRPr="000C6876">
        <w:rPr>
          <w:i/>
        </w:rPr>
        <w:instrText xml:space="preserve"> XE </w:instrText>
      </w:r>
      <w:r w:rsidR="002047E4" w:rsidRPr="08CC1429">
        <w:instrText>"intelekt:druhý averroismus"</w:instrText>
      </w:r>
      <w:r w:rsidR="002047E4" w:rsidRPr="000C6876">
        <w:rPr>
          <w:i/>
        </w:rPr>
        <w:instrText xml:space="preserve"> </w:instrText>
      </w:r>
      <w:r w:rsidR="002047E4" w:rsidRPr="000C6876">
        <w:rPr>
          <w:i/>
        </w:rPr>
        <w:fldChar w:fldCharType="end"/>
      </w:r>
      <w:r w:rsidR="00AC03B4">
        <w:t xml:space="preserve"> </w:t>
      </w:r>
      <w:r w:rsidR="00AC03B4" w:rsidRPr="00273106">
        <w:t>(</w:t>
      </w:r>
      <w:r w:rsidR="00AC03B4" w:rsidRPr="00273106">
        <w:rPr>
          <w:i/>
          <w:szCs w:val="13"/>
        </w:rPr>
        <w:t xml:space="preserve">intellectus in </w:t>
      </w:r>
      <w:r w:rsidR="00AC03B4" w:rsidRPr="00273106">
        <w:rPr>
          <w:i/>
          <w:szCs w:val="14"/>
        </w:rPr>
        <w:t xml:space="preserve">se </w:t>
      </w:r>
      <w:r w:rsidR="00AC03B4" w:rsidRPr="00273106">
        <w:rPr>
          <w:i/>
          <w:szCs w:val="13"/>
        </w:rPr>
        <w:t xml:space="preserve">ipso, in </w:t>
      </w:r>
      <w:r w:rsidR="00AC03B4" w:rsidRPr="00273106">
        <w:rPr>
          <w:i/>
          <w:szCs w:val="14"/>
        </w:rPr>
        <w:lastRenderedPageBreak/>
        <w:t xml:space="preserve">esse </w:t>
      </w:r>
      <w:r w:rsidR="00AC03B4" w:rsidRPr="00273106">
        <w:rPr>
          <w:i/>
          <w:szCs w:val="16"/>
        </w:rPr>
        <w:t xml:space="preserve">suo </w:t>
      </w:r>
      <w:r w:rsidR="00AC03B4" w:rsidRPr="00273106">
        <w:rPr>
          <w:i/>
          <w:szCs w:val="12"/>
        </w:rPr>
        <w:t xml:space="preserve">et </w:t>
      </w:r>
      <w:r w:rsidR="00AC03B4" w:rsidRPr="00273106">
        <w:rPr>
          <w:i/>
          <w:szCs w:val="13"/>
        </w:rPr>
        <w:t xml:space="preserve">in </w:t>
      </w:r>
      <w:r w:rsidR="00AC03B4" w:rsidRPr="00273106">
        <w:rPr>
          <w:i/>
          <w:szCs w:val="14"/>
        </w:rPr>
        <w:t xml:space="preserve">specie sua, </w:t>
      </w:r>
      <w:r w:rsidR="00AC03B4" w:rsidRPr="00273106">
        <w:rPr>
          <w:i/>
          <w:szCs w:val="17"/>
        </w:rPr>
        <w:t xml:space="preserve">forma </w:t>
      </w:r>
      <w:r w:rsidR="00AC03B4" w:rsidRPr="00273106">
        <w:rPr>
          <w:i/>
          <w:szCs w:val="11"/>
        </w:rPr>
        <w:t>est</w:t>
      </w:r>
      <w:r w:rsidR="00AC03B4" w:rsidRPr="00273106">
        <w:t>)</w:t>
      </w:r>
      <w:r w:rsidR="005E2610" w:rsidRPr="00273106">
        <w:t>.</w:t>
      </w:r>
      <w:r w:rsidR="005E2610" w:rsidRPr="00273106">
        <w:rPr>
          <w:rStyle w:val="Znakapoznpodarou"/>
        </w:rPr>
        <w:footnoteReference w:id="345"/>
      </w:r>
      <w:r w:rsidR="005E2610">
        <w:t xml:space="preserve"> </w:t>
      </w:r>
      <w:r w:rsidR="00847464">
        <w:t xml:space="preserve">Oxfordská škola přebírá </w:t>
      </w:r>
      <w:r w:rsidR="005E2610">
        <w:t>Gundissalinovu</w:t>
      </w:r>
      <w:r w:rsidR="00B73C4C">
        <w:fldChar w:fldCharType="begin"/>
      </w:r>
      <w:r w:rsidR="00B73C4C">
        <w:instrText xml:space="preserve"> XE "</w:instrText>
      </w:r>
      <w:r w:rsidR="00B73C4C" w:rsidRPr="004D2626">
        <w:instrText>Gundissalinus</w:instrText>
      </w:r>
      <w:r w:rsidR="00B73C4C">
        <w:instrText xml:space="preserve">, D." </w:instrText>
      </w:r>
      <w:r w:rsidR="00B73C4C">
        <w:fldChar w:fldCharType="end"/>
      </w:r>
      <w:r w:rsidR="005E2610">
        <w:t xml:space="preserve"> </w:t>
      </w:r>
      <w:r w:rsidR="006D1692" w:rsidRPr="00273106">
        <w:t xml:space="preserve">definici </w:t>
      </w:r>
      <w:r w:rsidR="00847464">
        <w:t xml:space="preserve">duše </w:t>
      </w:r>
      <w:r w:rsidR="005353B0">
        <w:t>pod</w:t>
      </w:r>
      <w:r w:rsidR="001655CF">
        <w:t>l</w:t>
      </w:r>
      <w:r w:rsidR="005353B0">
        <w:t>e</w:t>
      </w:r>
      <w:r w:rsidR="001655CF">
        <w:t xml:space="preserve"> Avicenny </w:t>
      </w:r>
      <w:r w:rsidR="0067140A">
        <w:t>jako inteligibilní</w:t>
      </w:r>
      <w:r w:rsidR="006D1692" w:rsidRPr="00273106">
        <w:t xml:space="preserve"> </w:t>
      </w:r>
      <w:r w:rsidR="004B4D52" w:rsidRPr="004B4D52">
        <w:t>species</w:t>
      </w:r>
      <w:r w:rsidR="0067140A">
        <w:t>, která</w:t>
      </w:r>
      <w:r w:rsidR="006D1692" w:rsidRPr="00273106">
        <w:t xml:space="preserve"> má vlastní subsistenci v</w:t>
      </w:r>
      <w:r w:rsidR="001655CF">
        <w:t xml:space="preserve"> diakosmu </w:t>
      </w:r>
      <w:r w:rsidR="006D1692" w:rsidRPr="00273106">
        <w:t xml:space="preserve">nemateriálních forem. Tato definice se </w:t>
      </w:r>
      <w:r w:rsidR="005353B0">
        <w:t xml:space="preserve">zdánlivě </w:t>
      </w:r>
      <w:r w:rsidR="006D1692" w:rsidRPr="00273106">
        <w:t xml:space="preserve">shodovala s klasickou definicí duše jako oživující a nemateriální formy těla. </w:t>
      </w:r>
      <w:r w:rsidR="08C250D8" w:rsidRPr="00273106">
        <w:t xml:space="preserve">Druhý zdroj </w:t>
      </w:r>
      <w:r w:rsidR="00BA7491">
        <w:t>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BA7491">
        <w:t xml:space="preserve"> je</w:t>
      </w:r>
      <w:r w:rsidR="00097D48">
        <w:t xml:space="preserve"> dán </w:t>
      </w:r>
      <w:r w:rsidR="08C250D8" w:rsidRPr="00273106">
        <w:t>vznik</w:t>
      </w:r>
      <w:r w:rsidR="00097D48">
        <w:t>em</w:t>
      </w:r>
      <w:r w:rsidR="08C250D8" w:rsidRPr="00273106">
        <w:t xml:space="preserve"> un</w:t>
      </w:r>
      <w:r w:rsidR="0067140A">
        <w:t xml:space="preserve">iverzální materie skrze termín </w:t>
      </w:r>
      <w:r w:rsidR="08C250D8" w:rsidRPr="00273106">
        <w:rPr>
          <w:i/>
        </w:rPr>
        <w:t>helyatin</w:t>
      </w:r>
      <w:r w:rsidR="08C250D8" w:rsidRPr="00273106">
        <w:t xml:space="preserve"> od Gerharda z Cremony</w:t>
      </w:r>
      <w:r w:rsidR="00B73C4C">
        <w:fldChar w:fldCharType="begin"/>
      </w:r>
      <w:r w:rsidR="00B73C4C">
        <w:instrText xml:space="preserve"> XE "</w:instrText>
      </w:r>
      <w:r w:rsidR="00B73C4C" w:rsidRPr="00352864">
        <w:instrText>Gerhard z Cremony</w:instrText>
      </w:r>
      <w:r w:rsidR="00B73C4C">
        <w:instrText xml:space="preserve">" </w:instrText>
      </w:r>
      <w:r w:rsidR="00B73C4C">
        <w:fldChar w:fldCharType="end"/>
      </w:r>
      <w:r w:rsidR="08C250D8" w:rsidRPr="00273106">
        <w:t xml:space="preserve">. </w:t>
      </w:r>
      <w:r w:rsidR="00942065" w:rsidRPr="00273106">
        <w:t xml:space="preserve">Látka jako řecká </w:t>
      </w:r>
      <w:r w:rsidR="0067140A">
        <w:rPr>
          <w:i/>
        </w:rPr>
        <w:t>hy</w:t>
      </w:r>
      <w:r w:rsidR="0067140A" w:rsidRPr="0067140A">
        <w:rPr>
          <w:i/>
        </w:rPr>
        <w:t>lé</w:t>
      </w:r>
      <w:r w:rsidR="00942065" w:rsidRPr="00273106">
        <w:t xml:space="preserve"> a arabské slovo pro „celek“ vinou této konjunce dvou tradic založily nové pojetí materie</w:t>
      </w:r>
      <w:r w:rsidR="00B73C4C">
        <w:fldChar w:fldCharType="begin"/>
      </w:r>
      <w:r w:rsidR="00B73C4C">
        <w:instrText xml:space="preserve"> XE "</w:instrText>
      </w:r>
      <w:r w:rsidR="00B73C4C" w:rsidRPr="00940832">
        <w:instrText>materie:třetího druhu</w:instrText>
      </w:r>
      <w:r w:rsidR="00B73C4C">
        <w:instrText xml:space="preserve">" </w:instrText>
      </w:r>
      <w:r w:rsidR="00B73C4C">
        <w:fldChar w:fldCharType="end"/>
      </w:r>
      <w:r w:rsidR="00942065" w:rsidRPr="00273106">
        <w:t>.</w:t>
      </w:r>
      <w:r w:rsidR="007B7229" w:rsidRPr="00273106">
        <w:rPr>
          <w:rStyle w:val="Znakapoznpodarou"/>
        </w:rPr>
        <w:footnoteReference w:id="346"/>
      </w:r>
      <w:r w:rsidR="00942065" w:rsidRPr="00273106">
        <w:t xml:space="preserve"> Látka dostala univerzální určení</w:t>
      </w:r>
      <w:r w:rsidR="0067140A">
        <w:t xml:space="preserve"> na způsob substance a </w:t>
      </w:r>
      <w:r w:rsidR="009263EC">
        <w:t xml:space="preserve">umožnila </w:t>
      </w:r>
      <w:r w:rsidR="00664BA9">
        <w:t xml:space="preserve">predikaci </w:t>
      </w:r>
      <w:r w:rsidR="009263EC">
        <w:t xml:space="preserve">čisté materie </w:t>
      </w:r>
      <w:r w:rsidR="00664BA9">
        <w:t xml:space="preserve">v modu </w:t>
      </w:r>
      <w:r w:rsidR="0067140A">
        <w:t xml:space="preserve">Abelardova </w:t>
      </w:r>
      <w:r w:rsidR="008C2EB8" w:rsidRPr="00273106">
        <w:rPr>
          <w:i/>
        </w:rPr>
        <w:t>totum integrum</w:t>
      </w:r>
      <w:r w:rsidR="00345D28">
        <w:rPr>
          <w:i/>
        </w:rPr>
        <w:fldChar w:fldCharType="begin"/>
      </w:r>
      <w:r w:rsidR="00345D28">
        <w:instrText xml:space="preserve"> XE "</w:instrText>
      </w:r>
      <w:r w:rsidR="00345D28" w:rsidRPr="00A61533">
        <w:rPr>
          <w:i/>
        </w:rPr>
        <w:instrText>totum integrum</w:instrText>
      </w:r>
      <w:r w:rsidR="00345D28">
        <w:instrText xml:space="preserve">" </w:instrText>
      </w:r>
      <w:r w:rsidR="00345D28">
        <w:rPr>
          <w:i/>
        </w:rPr>
        <w:fldChar w:fldCharType="end"/>
      </w:r>
      <w:r w:rsidR="008C2EB8">
        <w:t xml:space="preserve"> </w:t>
      </w:r>
      <w:r w:rsidR="0067140A">
        <w:t>(</w:t>
      </w:r>
      <w:r w:rsidR="08651DE3">
        <w:t>kap. 1</w:t>
      </w:r>
      <w:r w:rsidR="001B156E">
        <w:t>.3</w:t>
      </w:r>
      <w:r w:rsidR="008C2EB8">
        <w:t>)</w:t>
      </w:r>
      <w:r w:rsidR="00942065" w:rsidRPr="00273106">
        <w:t xml:space="preserve">. </w:t>
      </w:r>
      <w:r w:rsidR="00014E5F">
        <w:t>P</w:t>
      </w:r>
      <w:r w:rsidR="00014E5F" w:rsidRPr="00273106">
        <w:t xml:space="preserve">ůvodní zdroj </w:t>
      </w:r>
      <w:r w:rsidR="00014E5F"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014E5F">
        <w:t xml:space="preserve"> jako čisté potence našel d</w:t>
      </w:r>
      <w:r w:rsidR="0033119A">
        <w:t xml:space="preserve">ruhý averroismus </w:t>
      </w:r>
      <w:r w:rsidR="00014E5F">
        <w:t xml:space="preserve">v </w:t>
      </w:r>
      <w:r w:rsidR="002E3B62">
        <w:t>Averroes</w:t>
      </w:r>
      <w:r w:rsidR="0033119A">
        <w:t>ově díle</w:t>
      </w:r>
      <w:r w:rsidR="0033119A" w:rsidRPr="00273106">
        <w:t xml:space="preserve"> </w:t>
      </w:r>
      <w:r w:rsidR="0033119A" w:rsidRPr="00273106">
        <w:rPr>
          <w:i/>
        </w:rPr>
        <w:t>De substantia orbis</w:t>
      </w:r>
      <w:r w:rsidR="0033119A" w:rsidRPr="00273106">
        <w:t>.</w:t>
      </w:r>
      <w:r w:rsidR="0033119A" w:rsidRPr="00273106">
        <w:rPr>
          <w:rStyle w:val="Znakapoznpodarou"/>
        </w:rPr>
        <w:footnoteReference w:id="347"/>
      </w:r>
      <w:r w:rsidR="0033119A">
        <w:t xml:space="preserve"> </w:t>
      </w:r>
      <w:r w:rsidR="08C250D8" w:rsidRPr="00273106">
        <w:t xml:space="preserve">Syntézou </w:t>
      </w:r>
      <w:r w:rsidR="08491715">
        <w:t xml:space="preserve">oxfordského </w:t>
      </w:r>
      <w:r w:rsidR="08C250D8" w:rsidRPr="00273106">
        <w:t xml:space="preserve">univerzálního hyleformismu </w:t>
      </w:r>
      <w:r w:rsidR="08491715">
        <w:t xml:space="preserve">a toletánského avicennismu </w:t>
      </w:r>
      <w:r w:rsidR="08C250D8" w:rsidRPr="00273106">
        <w:t xml:space="preserve">vznikla </w:t>
      </w:r>
      <w:r w:rsidR="083C6991">
        <w:t xml:space="preserve">lidská </w:t>
      </w:r>
      <w:r w:rsidR="08C250D8" w:rsidRPr="00273106">
        <w:t xml:space="preserve">duše jako </w:t>
      </w:r>
      <w:r w:rsidR="00D828D8">
        <w:t xml:space="preserve">mix dvou </w:t>
      </w:r>
      <w:r w:rsidR="083C6991">
        <w:t xml:space="preserve">až tří </w:t>
      </w:r>
      <w:r w:rsidR="00D828D8">
        <w:t>substancí. N</w:t>
      </w:r>
      <w:r w:rsidR="08D82A6C" w:rsidRPr="00273106">
        <w:t xml:space="preserve">emateriální intelekt hraje </w:t>
      </w:r>
      <w:r w:rsidR="00782015">
        <w:t xml:space="preserve">vzhledem k nižším materiálním složkám </w:t>
      </w:r>
      <w:r w:rsidR="08C250D8" w:rsidRPr="00273106">
        <w:t xml:space="preserve">roli </w:t>
      </w:r>
      <w:r w:rsidR="08D82A6C" w:rsidRPr="00273106">
        <w:t xml:space="preserve">subsistentní nadřazené formy, která je nemateriální, a proto přetrvává i po zániku těla. </w:t>
      </w:r>
      <w:r w:rsidR="00664280">
        <w:t>P</w:t>
      </w:r>
      <w:r w:rsidR="00451896">
        <w:t>ak je celkem pochopi</w:t>
      </w:r>
      <w:r w:rsidR="00C471BD">
        <w:t>t</w:t>
      </w:r>
      <w:r w:rsidR="00451896">
        <w:t>e</w:t>
      </w:r>
      <w:r w:rsidR="00C471BD">
        <w:t>l</w:t>
      </w:r>
      <w:r w:rsidR="00451896">
        <w:t xml:space="preserve">né, že </w:t>
      </w:r>
      <w:r w:rsidR="00451896" w:rsidRPr="00451896">
        <w:rPr>
          <w:i/>
        </w:rPr>
        <w:t>intellectus possibilis</w:t>
      </w:r>
      <w:r w:rsidR="00451896">
        <w:t xml:space="preserve"> začal hrát roli Avicebronovy </w:t>
      </w:r>
      <w:r w:rsidR="0868084C">
        <w:t xml:space="preserve">hypostázované </w:t>
      </w:r>
      <w:r w:rsidR="00451896" w:rsidRPr="0045189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3B028C">
        <w:t xml:space="preserve"> pro </w:t>
      </w:r>
      <w:r w:rsidR="0868084C">
        <w:t xml:space="preserve">stejně hypostázovaný </w:t>
      </w:r>
      <w:r w:rsidR="00664280" w:rsidRPr="00664280">
        <w:rPr>
          <w:i/>
        </w:rPr>
        <w:t>intellectus agens</w:t>
      </w:r>
      <w:r w:rsidR="00664280">
        <w:t>, který funguje v člověku jako nemateriální substance-forma</w:t>
      </w:r>
      <w:r w:rsidR="00451896">
        <w:t>.</w:t>
      </w:r>
      <w:r w:rsidR="005F5468">
        <w:t xml:space="preserve"> Klíčovou pasáž obsahující jádro averroistického </w:t>
      </w:r>
      <w:r w:rsidR="00C471BD">
        <w:t xml:space="preserve">pojetí </w:t>
      </w:r>
      <w:r w:rsidR="005F5468" w:rsidRPr="00EE49B6">
        <w:rPr>
          <w:i/>
        </w:rPr>
        <w:t>intellectus possibilis</w:t>
      </w:r>
      <w:r w:rsidR="00C471BD">
        <w:t xml:space="preserve"> jako numericky</w:t>
      </w:r>
      <w:r w:rsidR="005F5468">
        <w:t xml:space="preserve"> jednotné spirituální materie najdeme v citovaném komentáři </w:t>
      </w:r>
      <w:r w:rsidR="005F5468" w:rsidRPr="00EE49B6">
        <w:rPr>
          <w:i/>
        </w:rPr>
        <w:t>De anima</w:t>
      </w:r>
      <w:r w:rsidR="005F5468">
        <w:t xml:space="preserve"> od Buckfielda.</w:t>
      </w:r>
      <w:r w:rsidR="00EE49B6">
        <w:rPr>
          <w:rStyle w:val="Znakapoznpodarou"/>
        </w:rPr>
        <w:footnoteReference w:id="348"/>
      </w:r>
      <w:r w:rsidR="00451896">
        <w:t xml:space="preserve"> </w:t>
      </w:r>
      <w:r w:rsidR="005F5468">
        <w:t>Jím zmi</w:t>
      </w:r>
      <w:r w:rsidR="008D0AC9">
        <w:t>ňovanou</w:t>
      </w:r>
      <w:r w:rsidR="005F5468">
        <w:t xml:space="preserve"> </w:t>
      </w:r>
      <w:r w:rsidR="00450F8E">
        <w:t xml:space="preserve">třetí variantu výkladu skrze </w:t>
      </w:r>
      <w:r w:rsidR="008D0AC9">
        <w:t xml:space="preserve">konkordanci </w:t>
      </w:r>
      <w:r w:rsidR="08AC55AE">
        <w:t>teologů a filosofů</w:t>
      </w:r>
      <w:r w:rsidR="005F5468">
        <w:t xml:space="preserve"> </w:t>
      </w:r>
      <w:r w:rsidR="008D0AC9">
        <w:t>(</w:t>
      </w:r>
      <w:r w:rsidR="008D0AC9" w:rsidRPr="008D0AC9">
        <w:rPr>
          <w:rFonts w:eastAsia="Code2000"/>
          <w:i/>
          <w:szCs w:val="24"/>
        </w:rPr>
        <w:t>concordare philosophos cum theologis</w:t>
      </w:r>
      <w:r w:rsidR="008D0AC9">
        <w:t xml:space="preserve">) </w:t>
      </w:r>
      <w:r w:rsidR="001B0503">
        <w:t xml:space="preserve">v modu </w:t>
      </w:r>
      <w:r w:rsidR="001B0503">
        <w:lastRenderedPageBreak/>
        <w:t xml:space="preserve">jedné moderní pravdy </w:t>
      </w:r>
      <w:r w:rsidR="008D0AC9">
        <w:t xml:space="preserve">podal </w:t>
      </w:r>
      <w:r w:rsidR="005F5468">
        <w:t xml:space="preserve">Rufus z Cornwallu v díle </w:t>
      </w:r>
      <w:r w:rsidR="005F5468">
        <w:rPr>
          <w:i/>
        </w:rPr>
        <w:t>Contra Averroe</w:t>
      </w:r>
      <w:r w:rsidR="005F5468" w:rsidRPr="005F5468">
        <w:rPr>
          <w:i/>
        </w:rPr>
        <w:t>m</w:t>
      </w:r>
      <w:r w:rsidR="005F5468">
        <w:t xml:space="preserve"> </w:t>
      </w:r>
      <w:r w:rsidR="008D0AC9">
        <w:t xml:space="preserve">psaném kolem 1236 </w:t>
      </w:r>
      <w:r w:rsidR="088001C5">
        <w:t>(kap. 3</w:t>
      </w:r>
      <w:r w:rsidR="005F5468">
        <w:t xml:space="preserve">.3.3). </w:t>
      </w:r>
      <w:r w:rsidR="08C346DC">
        <w:t>Přínos</w:t>
      </w:r>
      <w:r w:rsidR="00221596" w:rsidRPr="00273106">
        <w:t xml:space="preserve"> </w:t>
      </w:r>
      <w:r w:rsidR="001B393B">
        <w:t>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8C346DC">
        <w:t xml:space="preserve"> byl</w:t>
      </w:r>
      <w:r w:rsidR="001B393B">
        <w:t xml:space="preserve"> </w:t>
      </w:r>
      <w:r w:rsidR="08B736B8">
        <w:t xml:space="preserve">pro modernisty </w:t>
      </w:r>
      <w:r w:rsidR="001B393B">
        <w:t xml:space="preserve">v tom, že </w:t>
      </w:r>
      <w:r w:rsidR="08C346DC">
        <w:t xml:space="preserve">spirituální materie </w:t>
      </w:r>
      <w:r w:rsidR="001B393B">
        <w:t>definoval</w:t>
      </w:r>
      <w:r w:rsidR="08C346DC">
        <w:t>a</w:t>
      </w:r>
      <w:r w:rsidR="001B393B">
        <w:t xml:space="preserve"> </w:t>
      </w:r>
      <w:r w:rsidR="00221596" w:rsidRPr="00273106">
        <w:t xml:space="preserve">jednotu </w:t>
      </w:r>
      <w:r w:rsidR="001E15C7">
        <w:t xml:space="preserve">intelektuální </w:t>
      </w:r>
      <w:r w:rsidR="00221596" w:rsidRPr="00273106">
        <w:t xml:space="preserve">duše danou </w:t>
      </w:r>
      <w:r w:rsidR="00221596" w:rsidRPr="00273106">
        <w:rPr>
          <w:i/>
        </w:rPr>
        <w:t>per prius</w:t>
      </w:r>
      <w:r w:rsidR="00221596" w:rsidRPr="00273106">
        <w:t xml:space="preserve"> v rámci jedné </w:t>
      </w:r>
      <w:r w:rsidR="08AC55AE">
        <w:t>objektivně-hylemorfické</w:t>
      </w:r>
      <w:r w:rsidR="001E15C7">
        <w:t xml:space="preserve"> </w:t>
      </w:r>
      <w:r w:rsidR="00221596" w:rsidRPr="00273106">
        <w:t xml:space="preserve">substance, k níž </w:t>
      </w:r>
      <w:r w:rsidR="00DA3A7C" w:rsidRPr="00273106">
        <w:t xml:space="preserve">lze </w:t>
      </w:r>
      <w:r w:rsidR="00221596" w:rsidRPr="00273106">
        <w:t xml:space="preserve">v akcidentálním modu </w:t>
      </w:r>
      <w:r w:rsidR="00221596" w:rsidRPr="00273106">
        <w:rPr>
          <w:i/>
        </w:rPr>
        <w:t>per posterius</w:t>
      </w:r>
      <w:r w:rsidR="00221596" w:rsidRPr="00273106">
        <w:t xml:space="preserve"> </w:t>
      </w:r>
      <w:r w:rsidR="00BC2D1B">
        <w:t xml:space="preserve">analogicky </w:t>
      </w:r>
      <w:r w:rsidR="00221596" w:rsidRPr="00273106">
        <w:t xml:space="preserve">přiřadit </w:t>
      </w:r>
      <w:r w:rsidR="00DE1335" w:rsidRPr="00273106">
        <w:t xml:space="preserve">nižší hypostázované </w:t>
      </w:r>
      <w:r w:rsidR="081C730B" w:rsidRPr="00273106">
        <w:t>složky duše, t</w:t>
      </w:r>
      <w:r w:rsidR="08993AE5">
        <w:t xml:space="preserve">edy </w:t>
      </w:r>
      <w:r w:rsidR="081C730B" w:rsidRPr="00273106">
        <w:t>živočiš</w:t>
      </w:r>
      <w:r w:rsidR="00221596" w:rsidRPr="00273106">
        <w:t xml:space="preserve">nou a rostlinnou duši. </w:t>
      </w:r>
      <w:r w:rsidR="08B81EF1">
        <w:t>Tento m</w:t>
      </w:r>
      <w:r w:rsidR="08B81EF1" w:rsidRPr="00273106">
        <w:t xml:space="preserve">odel hypostázované predikace odpovídá </w:t>
      </w:r>
      <w:r w:rsidR="08B81EF1">
        <w:t>neoplatonskému</w:t>
      </w:r>
      <w:r w:rsidR="08B81EF1" w:rsidRPr="00273106">
        <w:t xml:space="preserve"> výkladu </w:t>
      </w:r>
      <w:r w:rsidR="08B81EF1" w:rsidRPr="00EC5537">
        <w:rPr>
          <w:i/>
        </w:rPr>
        <w:t>Kategorií</w:t>
      </w:r>
      <w:r w:rsidR="08B81EF1" w:rsidRPr="00273106">
        <w:t>, který kolem 1230 vládl na Oxfordu skrz</w:t>
      </w:r>
      <w:r w:rsidR="088001C5">
        <w:t>e porretána Johna Paguse (kap. 3</w:t>
      </w:r>
      <w:r w:rsidR="08B81EF1" w:rsidRPr="00273106">
        <w:t xml:space="preserve">.1.2). </w:t>
      </w:r>
      <w:r w:rsidR="08993AE5">
        <w:t xml:space="preserve">Albert odmítl komentovat definici člověka jako sbírky tří </w:t>
      </w:r>
      <w:r w:rsidR="005C12C6">
        <w:t>moderní</w:t>
      </w:r>
      <w:r w:rsidR="00F61DC6">
        <w:t xml:space="preserve">ch </w:t>
      </w:r>
      <w:r w:rsidR="005C12C6">
        <w:t xml:space="preserve">substancí </w:t>
      </w:r>
      <w:r w:rsidR="08993AE5">
        <w:t xml:space="preserve">a predikované </w:t>
      </w:r>
      <w:r w:rsidR="00047F83">
        <w:t xml:space="preserve">v </w:t>
      </w:r>
      <w:r w:rsidR="005D765C">
        <w:t>porretánském modu kole</w:t>
      </w:r>
      <w:r w:rsidR="00F61DC6">
        <w:t>k</w:t>
      </w:r>
      <w:r w:rsidR="005D765C">
        <w:t>ty hypostází</w:t>
      </w:r>
      <w:r w:rsidR="08431D14">
        <w:t xml:space="preserve"> k</w:t>
      </w:r>
      <w:r w:rsidR="08993AE5">
        <w:t xml:space="preserve">vůli její naprosté absurditě </w:t>
      </w:r>
      <w:r w:rsidR="00ED570E">
        <w:t>(</w:t>
      </w:r>
      <w:r w:rsidR="005C12C6" w:rsidRPr="00273106">
        <w:rPr>
          <w:i/>
        </w:rPr>
        <w:t>non reputo opinionem, sed ridiculum</w:t>
      </w:r>
      <w:r w:rsidR="005C12C6">
        <w:t xml:space="preserve">; </w:t>
      </w:r>
      <w:r w:rsidR="00ED570E">
        <w:t>kap.</w:t>
      </w:r>
      <w:r w:rsidR="088001C5">
        <w:t xml:space="preserve"> 2</w:t>
      </w:r>
      <w:r w:rsidR="00ED570E">
        <w:t xml:space="preserve">.4.3). </w:t>
      </w:r>
      <w:r w:rsidR="08643750">
        <w:t xml:space="preserve">Moderní pojetí člověka v modu </w:t>
      </w:r>
      <w:r w:rsidR="00595A00" w:rsidRPr="00137A31">
        <w:rPr>
          <w:i/>
        </w:rPr>
        <w:t>triplex unitas</w:t>
      </w:r>
      <w:r w:rsidR="0017352D">
        <w:rPr>
          <w:i/>
        </w:rPr>
        <w:fldChar w:fldCharType="begin"/>
      </w:r>
      <w:r w:rsidR="0017352D">
        <w:instrText xml:space="preserve"> XE "osoba:</w:instrText>
      </w:r>
      <w:r w:rsidR="0017352D" w:rsidRPr="00273C28">
        <w:rPr>
          <w:i/>
        </w:rPr>
        <w:instrText>triplex unitas</w:instrText>
      </w:r>
      <w:r w:rsidR="0017352D">
        <w:instrText xml:space="preserve">" </w:instrText>
      </w:r>
      <w:r w:rsidR="0017352D">
        <w:rPr>
          <w:i/>
        </w:rPr>
        <w:fldChar w:fldCharType="end"/>
      </w:r>
      <w:r w:rsidR="08643750">
        <w:t xml:space="preserve"> považovala</w:t>
      </w:r>
      <w:r w:rsidR="00595A00">
        <w:t xml:space="preserve"> </w:t>
      </w:r>
      <w:r w:rsidR="08643750">
        <w:t>škola</w:t>
      </w:r>
      <w:r w:rsidR="00595A00">
        <w:t xml:space="preserve"> prvního averroismu za absurdní teorii odporující celé filosofické tradici peripatetiků. </w:t>
      </w:r>
      <w:r w:rsidR="00137A31">
        <w:t xml:space="preserve">Asi by se tito </w:t>
      </w:r>
      <w:r w:rsidR="08C80997">
        <w:t xml:space="preserve">klasičtí </w:t>
      </w:r>
      <w:r w:rsidR="00137A31">
        <w:t xml:space="preserve">vzdělanci dost divili, kdyby přišli na </w:t>
      </w:r>
      <w:r w:rsidR="08C80997">
        <w:t xml:space="preserve">postmoderní </w:t>
      </w:r>
      <w:r w:rsidR="00137A31">
        <w:t>artistické fakulty Západu</w:t>
      </w:r>
      <w:r w:rsidR="08805042">
        <w:t xml:space="preserve">. </w:t>
      </w:r>
      <w:r w:rsidR="08743417">
        <w:t xml:space="preserve">Chaotický postmoderní subjekt je sestavený z mytopoetické kopulace </w:t>
      </w:r>
      <w:r w:rsidR="0015623D">
        <w:t xml:space="preserve">objektivních substancí </w:t>
      </w:r>
      <w:r w:rsidR="08A256DB">
        <w:t xml:space="preserve">a nesourodé sbírky jsoucen třetího druhu </w:t>
      </w:r>
      <w:r w:rsidR="0015623D">
        <w:t xml:space="preserve">sestavených do </w:t>
      </w:r>
      <w:r w:rsidR="085D42B4">
        <w:t>sofistikované</w:t>
      </w:r>
      <w:r w:rsidR="08B81EF1">
        <w:t xml:space="preserve"> </w:t>
      </w:r>
      <w:r w:rsidR="0015623D">
        <w:t>kolekty</w:t>
      </w:r>
      <w:r w:rsidR="085D42B4">
        <w:t xml:space="preserve"> nihilistického matrixu</w:t>
      </w:r>
      <w:r w:rsidR="00137A31">
        <w:t xml:space="preserve">. </w:t>
      </w:r>
      <w:r w:rsidR="00525C47">
        <w:t>D</w:t>
      </w:r>
      <w:r w:rsidR="005505EE" w:rsidRPr="00273106">
        <w:t xml:space="preserve">ualistické řešení </w:t>
      </w:r>
      <w:r w:rsidR="00284C95">
        <w:t xml:space="preserve">prvních </w:t>
      </w:r>
      <w:r w:rsidR="005505EE" w:rsidRPr="00273106">
        <w:rPr>
          <w:i/>
        </w:rPr>
        <w:t>Modernorum</w:t>
      </w:r>
      <w:r w:rsidR="005505EE" w:rsidRPr="00273106">
        <w:t xml:space="preserve"> </w:t>
      </w:r>
      <w:r w:rsidR="00D07FDB" w:rsidRPr="00273106">
        <w:t xml:space="preserve">šlo </w:t>
      </w:r>
      <w:r w:rsidR="005505EE" w:rsidRPr="00273106">
        <w:t xml:space="preserve">výslovně </w:t>
      </w:r>
      <w:r w:rsidR="009A2233">
        <w:t>proti Grossetesteho</w:t>
      </w:r>
      <w:r w:rsidR="00D07FDB">
        <w:t xml:space="preserve"> výkladu </w:t>
      </w:r>
      <w:r w:rsidR="00D07FDB" w:rsidRPr="00D07FDB">
        <w:rPr>
          <w:i/>
        </w:rPr>
        <w:t>De anima</w:t>
      </w:r>
      <w:r w:rsidR="00BD7F54">
        <w:t xml:space="preserve">, o čemž svědčí jeho výpad </w:t>
      </w:r>
      <w:r w:rsidR="00FE67DA">
        <w:t xml:space="preserve">vedený kolem </w:t>
      </w:r>
      <w:r w:rsidR="087517C6">
        <w:t xml:space="preserve">roku </w:t>
      </w:r>
      <w:r w:rsidR="00FE67DA">
        <w:t xml:space="preserve">1235 </w:t>
      </w:r>
      <w:r w:rsidR="00BD7F54">
        <w:t>proti těmto pochybným arist</w:t>
      </w:r>
      <w:r w:rsidR="00EC5537">
        <w:t>ot</w:t>
      </w:r>
      <w:r w:rsidR="00BD7F54">
        <w:t>eliků</w:t>
      </w:r>
      <w:r w:rsidR="00FE67DA">
        <w:t>m</w:t>
      </w:r>
      <w:r w:rsidR="081E0873">
        <w:t xml:space="preserve"> (kap. 3</w:t>
      </w:r>
      <w:r w:rsidR="00EF7D7B">
        <w:t>.1.3</w:t>
      </w:r>
      <w:r w:rsidR="00BD7F54">
        <w:t>)</w:t>
      </w:r>
      <w:r w:rsidR="005505EE" w:rsidRPr="00273106">
        <w:t xml:space="preserve">. </w:t>
      </w:r>
      <w:r w:rsidR="08AE102D">
        <w:t>Grosseteste po vzoru Blundovy školy odmítá pojetí duše j</w:t>
      </w:r>
      <w:r w:rsidR="005D0621">
        <w:t>ako automní neoplatonské formy</w:t>
      </w:r>
      <w:r w:rsidR="08AE102D">
        <w:t>.</w:t>
      </w:r>
      <w:r w:rsidR="08AE102D">
        <w:rPr>
          <w:rStyle w:val="Znakapoznpodarou"/>
        </w:rPr>
        <w:footnoteReference w:id="349"/>
      </w:r>
      <w:r w:rsidR="08AE102D">
        <w:t xml:space="preserve"> </w:t>
      </w:r>
      <w:r w:rsidR="005505EE" w:rsidRPr="00273106">
        <w:t xml:space="preserve">Jeho </w:t>
      </w:r>
      <w:r w:rsidR="000E50B1">
        <w:t>komentář</w:t>
      </w:r>
      <w:r w:rsidR="005505EE" w:rsidRPr="00273106">
        <w:t xml:space="preserve"> </w:t>
      </w:r>
      <w:r w:rsidR="005505EE" w:rsidRPr="00273106">
        <w:rPr>
          <w:i/>
        </w:rPr>
        <w:t>De anima</w:t>
      </w:r>
      <w:r w:rsidR="007E575A">
        <w:t xml:space="preserve"> </w:t>
      </w:r>
      <w:r w:rsidR="00270B4B">
        <w:t xml:space="preserve">považuje univerzální hylemorfismus aplikovaný na definici duše </w:t>
      </w:r>
      <w:r w:rsidR="005505EE" w:rsidRPr="00273106">
        <w:t>za nesmysl</w:t>
      </w:r>
      <w:r w:rsidR="00766644">
        <w:t>. Spirituální materie nemá status hylemorfické substance dokonce ani podle Augustina.</w:t>
      </w:r>
      <w:r w:rsidR="00F50B79" w:rsidRPr="00273106">
        <w:t xml:space="preserve"> </w:t>
      </w:r>
      <w:r w:rsidR="080E18B3">
        <w:t xml:space="preserve">Zakladatel moderny na </w:t>
      </w:r>
      <w:r w:rsidR="001E5886">
        <w:t>Oxfordu n</w:t>
      </w:r>
      <w:r w:rsidR="00BB2ADB">
        <w:t>esouhlasí v tomto základním bodě s argumentací Avicenny a drží diafanum jako klíčovou složku přenosu světla</w:t>
      </w:r>
      <w:r w:rsidR="081E0873">
        <w:t xml:space="preserve"> (kap. 2</w:t>
      </w:r>
      <w:r w:rsidR="089B2A45">
        <w:t>.2</w:t>
      </w:r>
      <w:r w:rsidR="085022FC">
        <w:t>.1</w:t>
      </w:r>
      <w:r w:rsidR="089B2A45">
        <w:t>)</w:t>
      </w:r>
      <w:r w:rsidR="007A5C4F">
        <w:t>.</w:t>
      </w:r>
      <w:r w:rsidR="00800423">
        <w:t xml:space="preserve"> </w:t>
      </w:r>
      <w:r w:rsidR="00AD1C0B">
        <w:t>A</w:t>
      </w:r>
      <w:r w:rsidR="00F50B79" w:rsidRPr="00273106">
        <w:t xml:space="preserve">le </w:t>
      </w:r>
      <w:r w:rsidR="0075658B">
        <w:t xml:space="preserve">jeho </w:t>
      </w:r>
      <w:r w:rsidR="00221596" w:rsidRPr="00273106">
        <w:t xml:space="preserve">nástupci na Oxfordu </w:t>
      </w:r>
      <w:r w:rsidR="00C272BF" w:rsidRPr="00273106">
        <w:t xml:space="preserve">už šli cestou </w:t>
      </w:r>
      <w:r w:rsidR="00525C47">
        <w:t xml:space="preserve">augustiniánských </w:t>
      </w:r>
      <w:r w:rsidR="00221596" w:rsidRPr="00273106">
        <w:rPr>
          <w:i/>
        </w:rPr>
        <w:t>Modernorum</w:t>
      </w:r>
      <w:r w:rsidR="00961D75">
        <w:t xml:space="preserve"> inspirovaných avicennismem a univerzálním hylemorfismem</w:t>
      </w:r>
      <w:r w:rsidR="00221596" w:rsidRPr="00273106">
        <w:t xml:space="preserve">. </w:t>
      </w:r>
      <w:r w:rsidR="00ED7263" w:rsidRPr="00273106">
        <w:t>Callus ukázal, že hlavní autority Buckfie</w:t>
      </w:r>
      <w:r w:rsidR="00116714">
        <w:t xml:space="preserve">lda a Rufuse byly </w:t>
      </w:r>
      <w:r w:rsidR="00874074">
        <w:t>neoplatonsk</w:t>
      </w:r>
      <w:r w:rsidR="00116714">
        <w:t xml:space="preserve">é spisy připsané </w:t>
      </w:r>
      <w:r w:rsidR="00ED7263" w:rsidRPr="00273106">
        <w:t>Augustin</w:t>
      </w:r>
      <w:r w:rsidR="00116714">
        <w:t xml:space="preserve">ovi, například dílo </w:t>
      </w:r>
      <w:r w:rsidR="00ED7263" w:rsidRPr="00273106">
        <w:rPr>
          <w:i/>
        </w:rPr>
        <w:t>De ecclesiasticis dogmatibus</w:t>
      </w:r>
      <w:r w:rsidR="00ED7263" w:rsidRPr="00273106">
        <w:t xml:space="preserve"> (Gennadius z Marseille</w:t>
      </w:r>
      <w:r w:rsidR="00116714">
        <w:fldChar w:fldCharType="begin"/>
      </w:r>
      <w:r w:rsidR="00116714">
        <w:instrText xml:space="preserve"> XE "</w:instrText>
      </w:r>
      <w:r w:rsidR="00116714" w:rsidRPr="000C1038">
        <w:instrText>Gennadius z Marseille</w:instrText>
      </w:r>
      <w:r w:rsidR="00116714">
        <w:instrText xml:space="preserve">" </w:instrText>
      </w:r>
      <w:r w:rsidR="00116714">
        <w:fldChar w:fldCharType="end"/>
      </w:r>
      <w:r w:rsidR="00ED7263" w:rsidRPr="00273106">
        <w:t xml:space="preserve">, †496) a </w:t>
      </w:r>
      <w:r w:rsidR="00116714">
        <w:t xml:space="preserve">dále </w:t>
      </w:r>
      <w:r w:rsidR="002A3C75">
        <w:t xml:space="preserve">anonymní </w:t>
      </w:r>
      <w:r w:rsidR="00ED7263" w:rsidRPr="00273106">
        <w:t xml:space="preserve">pseudo-augustiniánské spisy vzniklé v prostředí </w:t>
      </w:r>
      <w:r w:rsidR="00ED7263" w:rsidRPr="00273106">
        <w:rPr>
          <w:i/>
        </w:rPr>
        <w:t>Nominales</w:t>
      </w:r>
      <w:r w:rsidR="00ED7263" w:rsidRPr="00273106">
        <w:t xml:space="preserve"> ve druhé polovině 12. století (</w:t>
      </w:r>
      <w:r w:rsidR="00ED7263" w:rsidRPr="00273106">
        <w:rPr>
          <w:i/>
        </w:rPr>
        <w:t>De spiritu et anima</w:t>
      </w:r>
      <w:r w:rsidR="00ED7263" w:rsidRPr="00273106">
        <w:t xml:space="preserve">). </w:t>
      </w:r>
      <w:r w:rsidR="00872426" w:rsidRPr="00273106">
        <w:t>Vinou plurality</w:t>
      </w:r>
      <w:r w:rsidR="00052F24" w:rsidRPr="00273106">
        <w:t xml:space="preserve"> substančních forem </w:t>
      </w:r>
      <w:r w:rsidR="0068710D" w:rsidRPr="00273106">
        <w:t xml:space="preserve">padla jednota osoby, což jasně ukazuje dílo </w:t>
      </w:r>
      <w:r w:rsidR="0068710D" w:rsidRPr="00273106">
        <w:rPr>
          <w:i/>
        </w:rPr>
        <w:t>De homine</w:t>
      </w:r>
      <w:r w:rsidR="0068710D" w:rsidRPr="00273106">
        <w:t xml:space="preserve"> psané ve stejné </w:t>
      </w:r>
      <w:r w:rsidR="0068710D" w:rsidRPr="00273106">
        <w:lastRenderedPageBreak/>
        <w:t xml:space="preserve">době. </w:t>
      </w:r>
      <w:r w:rsidR="086C0D0D" w:rsidRPr="00273106">
        <w:t>Albert</w:t>
      </w:r>
      <w:r w:rsidR="00B25461" w:rsidRPr="00273106">
        <w:t xml:space="preserve"> vyloží </w:t>
      </w:r>
      <w:r w:rsidR="08B32BCA">
        <w:t xml:space="preserve">v </w:t>
      </w:r>
      <w:r w:rsidR="08B32BCA" w:rsidRPr="08B32BCA">
        <w:rPr>
          <w:i/>
        </w:rPr>
        <w:t xml:space="preserve">De homine </w:t>
      </w:r>
      <w:r w:rsidR="08B32BCA" w:rsidRPr="00273106">
        <w:t>pasáž CMDA I.92</w:t>
      </w:r>
      <w:r w:rsidR="08B32BCA">
        <w:fldChar w:fldCharType="begin"/>
      </w:r>
      <w:r w:rsidR="08B32BCA">
        <w:instrText xml:space="preserve"> XE "Averroes:</w:instrText>
      </w:r>
      <w:r w:rsidR="08B32BCA" w:rsidRPr="002878B4">
        <w:instrText>CMDA</w:instrText>
      </w:r>
      <w:r w:rsidR="08B32BCA">
        <w:instrText> 1</w:instrText>
      </w:r>
      <w:r w:rsidR="08B32BCA" w:rsidRPr="002878B4">
        <w:instrText>.92</w:instrText>
      </w:r>
      <w:r w:rsidR="08B32BCA">
        <w:instrText xml:space="preserve">" </w:instrText>
      </w:r>
      <w:r w:rsidR="08B32BCA">
        <w:fldChar w:fldCharType="end"/>
      </w:r>
      <w:r w:rsidR="08B32BCA" w:rsidRPr="00273106">
        <w:t xml:space="preserve"> citovanou </w:t>
      </w:r>
      <w:r w:rsidR="00B25461" w:rsidRPr="00273106">
        <w:t xml:space="preserve">Buckfieldem </w:t>
      </w:r>
      <w:r w:rsidR="084A0D26">
        <w:t xml:space="preserve">podle školy prvního averroismu </w:t>
      </w:r>
      <w:r w:rsidR="081E0873">
        <w:t>(kap. 2</w:t>
      </w:r>
      <w:r w:rsidR="0872143F" w:rsidRPr="00273106">
        <w:t>.4.2)</w:t>
      </w:r>
      <w:r w:rsidR="0872143F">
        <w:t>. Albert pochopitelně neuděl</w:t>
      </w:r>
      <w:r w:rsidR="08FE0BDA">
        <w:t>al z Komentátora</w:t>
      </w:r>
      <w:r w:rsidR="0872143F">
        <w:t xml:space="preserve"> moderního averroistu, ale vyložil jeho učení </w:t>
      </w:r>
      <w:r w:rsidR="00B25461" w:rsidRPr="00273106">
        <w:t xml:space="preserve">v rámci </w:t>
      </w:r>
      <w:r w:rsidR="0060026A">
        <w:t xml:space="preserve">osoby jako </w:t>
      </w:r>
      <w:r w:rsidR="00B25461" w:rsidRPr="00273106">
        <w:t>hylemorfické substance</w:t>
      </w:r>
      <w:r w:rsidR="0060026A">
        <w:t xml:space="preserve">. Duše je </w:t>
      </w:r>
      <w:r w:rsidR="00B25461" w:rsidRPr="00273106">
        <w:t xml:space="preserve"> nemateriální formy </w:t>
      </w:r>
      <w:r w:rsidR="0060026A">
        <w:t>těla a nemateriální intelekt je jedna</w:t>
      </w:r>
      <w:r w:rsidR="00B25461" w:rsidRPr="00273106">
        <w:t xml:space="preserve"> ze specifických sch</w:t>
      </w:r>
      <w:r w:rsidR="00787031" w:rsidRPr="00273106">
        <w:t>opností této duše.</w:t>
      </w:r>
      <w:r w:rsidR="008D3823">
        <w:t xml:space="preserve"> </w:t>
      </w:r>
      <w:r w:rsidR="08FE0BDA">
        <w:t xml:space="preserve">Odmítnutím Averroese jako averroisty </w:t>
      </w:r>
      <w:r w:rsidR="08B32BCA">
        <w:t xml:space="preserve">vznikl </w:t>
      </w:r>
      <w:r w:rsidR="08432B7E">
        <w:t xml:space="preserve">první </w:t>
      </w:r>
      <w:r w:rsidR="08B32BCA">
        <w:t>ofic</w:t>
      </w:r>
      <w:r w:rsidR="08FE0BDA">
        <w:t>i</w:t>
      </w:r>
      <w:r w:rsidR="08B32BCA">
        <w:t>ální spor o modernismus na Pařížské univerzitě</w:t>
      </w:r>
      <w:r w:rsidR="08432B7E">
        <w:t xml:space="preserve"> v letech 1240‒45</w:t>
      </w:r>
      <w:r w:rsidR="08B32BCA">
        <w:t xml:space="preserve">. </w:t>
      </w:r>
      <w:r w:rsidR="007E575A">
        <w:t>Grosseteste hájil ji</w:t>
      </w:r>
      <w:r w:rsidR="000E50B1">
        <w:t>ž za doby svých pařížských stud</w:t>
      </w:r>
      <w:r w:rsidR="007E575A">
        <w:t>ií učení prvního averroismu ohledně fundamentální jednoty osoby jako aktuální první subs</w:t>
      </w:r>
      <w:r w:rsidR="081F21FC">
        <w:t>tance. Oxfordský učenec odmítal stejně jako biskup Alvernus učení modernistů, kterým se rozpadla osoba</w:t>
      </w:r>
      <w:r w:rsidR="00F619AD">
        <w:t xml:space="preserve"> na několik substancí.</w:t>
      </w:r>
    </w:p>
    <w:p w14:paraId="423FA010" w14:textId="5F664791" w:rsidR="082A770C" w:rsidRDefault="007E575A" w:rsidP="00C735B0">
      <w:pPr>
        <w:ind w:firstLine="397"/>
      </w:pPr>
      <w:r>
        <w:t xml:space="preserve">Rufus nemohl </w:t>
      </w:r>
      <w:r w:rsidR="08C03918">
        <w:t xml:space="preserve">akademicky obstát </w:t>
      </w:r>
      <w:r>
        <w:t xml:space="preserve">za </w:t>
      </w:r>
      <w:r w:rsidR="00F619AD">
        <w:t xml:space="preserve">Grossetesteho </w:t>
      </w:r>
      <w:r w:rsidR="08E874B0">
        <w:t xml:space="preserve">regentování františkánské koleje </w:t>
      </w:r>
      <w:r w:rsidR="00F619AD">
        <w:t>v Oxfordu. J</w:t>
      </w:r>
      <w:r>
        <w:t>eho výklad osoby byl z hlediska křesťanství heretický</w:t>
      </w:r>
      <w:r w:rsidR="002F70A1">
        <w:t xml:space="preserve">, protože sledoval nauku </w:t>
      </w:r>
      <w:r w:rsidRPr="007E575A">
        <w:rPr>
          <w:i/>
        </w:rPr>
        <w:t>sequaces Aristotelis</w:t>
      </w:r>
      <w:r>
        <w:t xml:space="preserve">. </w:t>
      </w:r>
      <w:r w:rsidR="00BA36AF">
        <w:t xml:space="preserve">Datování </w:t>
      </w:r>
      <w:r w:rsidR="00BA36AF" w:rsidRPr="00BA36AF">
        <w:rPr>
          <w:i/>
        </w:rPr>
        <w:t>terminus</w:t>
      </w:r>
      <w:r w:rsidR="08807D42">
        <w:t xml:space="preserve"> </w:t>
      </w:r>
      <w:r w:rsidR="08807D42" w:rsidRPr="08807D42">
        <w:rPr>
          <w:i/>
        </w:rPr>
        <w:t>post quem</w:t>
      </w:r>
      <w:r w:rsidR="08807D42">
        <w:t xml:space="preserve"> Rufusova odchodu </w:t>
      </w:r>
      <w:r w:rsidR="0851093E">
        <w:t xml:space="preserve">z františkánské koleje v Oxfordu </w:t>
      </w:r>
      <w:r w:rsidR="08807D42">
        <w:t xml:space="preserve">do Paříže </w:t>
      </w:r>
      <w:r w:rsidR="08290585">
        <w:t>se zakládá na stejném</w:t>
      </w:r>
      <w:r w:rsidR="08807D42">
        <w:t xml:space="preserve"> scénář</w:t>
      </w:r>
      <w:r w:rsidR="08290585">
        <w:t>i</w:t>
      </w:r>
      <w:r w:rsidR="08807D42">
        <w:t xml:space="preserve"> jako v případě Grosseteteho odchodu </w:t>
      </w:r>
      <w:r w:rsidR="08161BF5">
        <w:t xml:space="preserve">z Paříže </w:t>
      </w:r>
      <w:r w:rsidR="08807D42">
        <w:t xml:space="preserve">do Oxfordu </w:t>
      </w:r>
      <w:r w:rsidR="08161BF5">
        <w:t>po jmenování magistra Alv</w:t>
      </w:r>
      <w:r w:rsidR="08807D42">
        <w:t>erna pařížským biskupem (1228). Grosetteste je jmenován roku 1235 biskupem v</w:t>
      </w:r>
      <w:r w:rsidR="00BA36AF">
        <w:t> </w:t>
      </w:r>
      <w:r w:rsidR="08807D42">
        <w:t>Lincolnu</w:t>
      </w:r>
      <w:r w:rsidR="00BA36AF">
        <w:t xml:space="preserve">. Určitě </w:t>
      </w:r>
      <w:r w:rsidR="08807D42">
        <w:t xml:space="preserve">nemohl tolerovat </w:t>
      </w:r>
      <w:r w:rsidR="080242A3">
        <w:t xml:space="preserve">nekřesťanské </w:t>
      </w:r>
      <w:r w:rsidR="08807D42">
        <w:t>názory Rufuse</w:t>
      </w:r>
      <w:r w:rsidR="08187771">
        <w:t xml:space="preserve"> ohledně plurality substa</w:t>
      </w:r>
      <w:r w:rsidR="08807D42">
        <w:t xml:space="preserve">ncí v člověku, protože Oxfordská univerzita spadala pod jeho </w:t>
      </w:r>
      <w:r w:rsidR="080242A3">
        <w:t>učitelskou autoritu</w:t>
      </w:r>
      <w:r w:rsidR="08807D42">
        <w:t xml:space="preserve">. </w:t>
      </w:r>
      <w:r>
        <w:t xml:space="preserve">Po modernistické destrukci osoby </w:t>
      </w:r>
      <w:r w:rsidR="087F2F40">
        <w:t xml:space="preserve">Rufusovi </w:t>
      </w:r>
      <w:r>
        <w:t xml:space="preserve">nezbylo nic jiného, než akademický exil do Paříže na magisterská studia. </w:t>
      </w:r>
      <w:r w:rsidR="08115A7A">
        <w:t xml:space="preserve">Tento </w:t>
      </w:r>
      <w:r w:rsidR="087B4884">
        <w:t xml:space="preserve">kontroverzní </w:t>
      </w:r>
      <w:r w:rsidR="08115A7A">
        <w:t xml:space="preserve">františkán </w:t>
      </w:r>
      <w:r w:rsidR="087B4884">
        <w:t>posílil školu</w:t>
      </w:r>
      <w:r>
        <w:t xml:space="preserve"> zdejších modernistů sdružených kolem editace </w:t>
      </w:r>
      <w:r>
        <w:rPr>
          <w:i/>
        </w:rPr>
        <w:t>Summa H</w:t>
      </w:r>
      <w:r w:rsidRPr="00874608">
        <w:rPr>
          <w:i/>
        </w:rPr>
        <w:t>alensis</w:t>
      </w:r>
      <w:r>
        <w:t xml:space="preserve">. </w:t>
      </w:r>
      <w:r w:rsidR="08C140AD">
        <w:t xml:space="preserve">Proto existuje </w:t>
      </w:r>
      <w:r w:rsidR="087D78DC">
        <w:t xml:space="preserve">v letech </w:t>
      </w:r>
      <w:r w:rsidR="08C140AD">
        <w:t>1235</w:t>
      </w:r>
      <w:r w:rsidR="087D78DC">
        <w:t xml:space="preserve">‒40 v Paříži </w:t>
      </w:r>
      <w:r w:rsidR="08C140AD">
        <w:t>ofic</w:t>
      </w:r>
      <w:r w:rsidR="080F383F">
        <w:t>i</w:t>
      </w:r>
      <w:r w:rsidR="08C140AD">
        <w:t xml:space="preserve">ální </w:t>
      </w:r>
      <w:r w:rsidR="080F383F">
        <w:t>r</w:t>
      </w:r>
      <w:r w:rsidR="08401443">
        <w:t>ozdíl mezi Toledskou a Sicilsk</w:t>
      </w:r>
      <w:r w:rsidR="087D78DC">
        <w:t xml:space="preserve">ou interpretací Averroese ohledně jednoty osoby a jejího poznání podle CMDA. </w:t>
      </w:r>
      <w:r w:rsidR="08821AF7">
        <w:t xml:space="preserve">Tím vznikl spor mezi </w:t>
      </w:r>
      <w:r w:rsidR="08821AF7" w:rsidRPr="00273106">
        <w:t>první</w:t>
      </w:r>
      <w:r w:rsidR="08821AF7">
        <w:t xml:space="preserve">m a </w:t>
      </w:r>
      <w:r w:rsidR="08821AF7" w:rsidRPr="00273106">
        <w:t>druh</w:t>
      </w:r>
      <w:r w:rsidR="08821AF7">
        <w:t>ým  averroismem</w:t>
      </w:r>
      <w:r w:rsidR="08B42484">
        <w:t>, což dokazuje Alvernovo odmítnutí un</w:t>
      </w:r>
      <w:r w:rsidR="08E46CE1">
        <w:t>iverzálního hylemorfismu (kap. 2</w:t>
      </w:r>
      <w:r w:rsidR="08B42484">
        <w:t>.3.3)</w:t>
      </w:r>
      <w:r w:rsidR="08821AF7">
        <w:t xml:space="preserve">. </w:t>
      </w:r>
      <w:r w:rsidR="0032168E" w:rsidRPr="00273106">
        <w:t xml:space="preserve">Odpověď </w:t>
      </w:r>
      <w:r w:rsidR="001B49DF">
        <w:t xml:space="preserve">modernistů </w:t>
      </w:r>
      <w:r w:rsidR="0032168E" w:rsidRPr="00273106">
        <w:t xml:space="preserve">byla dána podle metafyziky </w:t>
      </w:r>
      <w:r w:rsidR="08B75436" w:rsidRPr="00273106">
        <w:t>Avicenn</w:t>
      </w:r>
      <w:r w:rsidR="00511DE5">
        <w:t xml:space="preserve">y, k níž patřil výklad </w:t>
      </w:r>
      <w:r w:rsidR="08773D99">
        <w:t xml:space="preserve">Averroese podle </w:t>
      </w:r>
      <w:r w:rsidR="00511DE5">
        <w:t>Toled</w:t>
      </w:r>
      <w:r w:rsidR="08773D99">
        <w:t xml:space="preserve">ské školy. </w:t>
      </w:r>
      <w:r w:rsidR="08F31900">
        <w:t>Nemateriální intelekt</w:t>
      </w:r>
      <w:r w:rsidR="08F31900" w:rsidRPr="00273106">
        <w:t xml:space="preserve"> </w:t>
      </w:r>
      <w:r w:rsidR="08F31900">
        <w:t xml:space="preserve">je dán </w:t>
      </w:r>
      <w:r w:rsidR="08F31900" w:rsidRPr="00273106">
        <w:t>v duši</w:t>
      </w:r>
      <w:r w:rsidR="08F31900">
        <w:t xml:space="preserve"> jako hypostáze nebo substance a </w:t>
      </w:r>
      <w:r w:rsidR="08F31900" w:rsidRPr="00273106">
        <w:t xml:space="preserve">spojuje </w:t>
      </w:r>
      <w:r w:rsidR="08F31900">
        <w:t xml:space="preserve">člověka-individuum </w:t>
      </w:r>
      <w:r w:rsidR="08F31900" w:rsidRPr="00273106">
        <w:t xml:space="preserve">s kosmickým </w:t>
      </w:r>
      <w:r w:rsidR="08F31900" w:rsidRPr="00273106">
        <w:rPr>
          <w:i/>
        </w:rPr>
        <w:t>intellectus agens</w:t>
      </w:r>
      <w:r w:rsidR="08F31900">
        <w:rPr>
          <w:i/>
        </w:rPr>
        <w:fldChar w:fldCharType="begin"/>
      </w:r>
      <w:r w:rsidR="08F31900">
        <w:instrText xml:space="preserve"> XE "</w:instrText>
      </w:r>
      <w:r w:rsidR="08F31900" w:rsidRPr="00490D32">
        <w:rPr>
          <w:i/>
        </w:rPr>
        <w:instrText>intellectus agens</w:instrText>
      </w:r>
      <w:r w:rsidR="08F31900" w:rsidRPr="0011414C">
        <w:instrText>:druhý averroismus</w:instrText>
      </w:r>
      <w:r w:rsidR="08F31900">
        <w:instrText xml:space="preserve">" </w:instrText>
      </w:r>
      <w:r w:rsidR="08F31900">
        <w:rPr>
          <w:i/>
        </w:rPr>
        <w:fldChar w:fldCharType="end"/>
      </w:r>
      <w:r w:rsidR="08F31900">
        <w:rPr>
          <w:i/>
        </w:rPr>
        <w:t xml:space="preserve"> </w:t>
      </w:r>
      <w:r w:rsidR="08F31900">
        <w:t>jako nadř</w:t>
      </w:r>
      <w:r w:rsidR="08F31900" w:rsidRPr="0011414C">
        <w:t>azenou subsistent</w:t>
      </w:r>
      <w:r w:rsidR="08F31900">
        <w:t>n</w:t>
      </w:r>
      <w:r w:rsidR="08F31900" w:rsidRPr="0011414C">
        <w:t>í form</w:t>
      </w:r>
      <w:r w:rsidR="08F31900">
        <w:t>o</w:t>
      </w:r>
      <w:r w:rsidR="08F31900" w:rsidRPr="0011414C">
        <w:t>u</w:t>
      </w:r>
      <w:r w:rsidR="08F31900" w:rsidRPr="00273106">
        <w:t xml:space="preserve">. </w:t>
      </w:r>
      <w:r w:rsidR="08773D99">
        <w:t xml:space="preserve">Osoba podle modernistů pak </w:t>
      </w:r>
      <w:r w:rsidR="00511DE5">
        <w:t xml:space="preserve">představuje sofistikovanou kolektu </w:t>
      </w:r>
      <w:r w:rsidR="00511DE5" w:rsidRPr="00273106">
        <w:t>subsiste</w:t>
      </w:r>
      <w:r w:rsidR="00511DE5">
        <w:t>n</w:t>
      </w:r>
      <w:r w:rsidR="00511DE5" w:rsidRPr="00273106">
        <w:t>tní</w:t>
      </w:r>
      <w:r w:rsidR="00511DE5">
        <w:t>ch</w:t>
      </w:r>
      <w:r w:rsidR="00511DE5" w:rsidRPr="00273106">
        <w:t xml:space="preserve"> for</w:t>
      </w:r>
      <w:r w:rsidR="00511DE5">
        <w:t>em. N</w:t>
      </w:r>
      <w:r w:rsidR="0032168E" w:rsidRPr="00273106">
        <w:t xml:space="preserve">ebo </w:t>
      </w:r>
      <w:r w:rsidR="00511DE5">
        <w:t>se osoba definovala podle CMDA interpretovaného v modu Sicilské školy</w:t>
      </w:r>
      <w:r w:rsidR="0032168E" w:rsidRPr="00273106">
        <w:t>, tedy podle primátu reálné první substance</w:t>
      </w:r>
      <w:r w:rsidR="00E23C24">
        <w:fldChar w:fldCharType="begin"/>
      </w:r>
      <w:r w:rsidR="00E23C24">
        <w:instrText xml:space="preserve"> XE "</w:instrText>
      </w:r>
      <w:r w:rsidR="00E23C24" w:rsidRPr="002B4FFB">
        <w:instrText>osoba:druhý averroismus</w:instrText>
      </w:r>
      <w:r w:rsidR="00E23C24">
        <w:instrText xml:space="preserve">" </w:instrText>
      </w:r>
      <w:r w:rsidR="00E23C24">
        <w:fldChar w:fldCharType="end"/>
      </w:r>
      <w:r w:rsidR="00511DE5">
        <w:t xml:space="preserve">. </w:t>
      </w:r>
      <w:r w:rsidR="0032168E" w:rsidRPr="00273106">
        <w:t xml:space="preserve">Pak je </w:t>
      </w:r>
      <w:r w:rsidR="00C20EC6">
        <w:t xml:space="preserve">osoba </w:t>
      </w:r>
      <w:r w:rsidR="0032168E" w:rsidRPr="00273106">
        <w:t>určen</w:t>
      </w:r>
      <w:r w:rsidR="00C20EC6">
        <w:t>a</w:t>
      </w:r>
      <w:r w:rsidR="0032168E" w:rsidRPr="00273106">
        <w:t xml:space="preserve"> podle reálné existence</w:t>
      </w:r>
      <w:r w:rsidR="004C1355">
        <w:t xml:space="preserve"> inteligibilní duše jako formy v těle</w:t>
      </w:r>
      <w:r w:rsidR="085A14A0">
        <w:t xml:space="preserve">, která má různé schopnosti, mimo jiné i nemateriální způsob poznání světa. </w:t>
      </w:r>
      <w:r w:rsidR="08C15BE5">
        <w:t xml:space="preserve">Spor mezi aristoteliky a modernisty vypukl v plné síle </w:t>
      </w:r>
      <w:r w:rsidR="00B25461" w:rsidRPr="00273106">
        <w:t xml:space="preserve">po </w:t>
      </w:r>
      <w:r w:rsidR="08C15BE5">
        <w:t xml:space="preserve">Alvernově smrti. Magistři v Rue du </w:t>
      </w:r>
      <w:r w:rsidR="08C15BE5">
        <w:lastRenderedPageBreak/>
        <w:t xml:space="preserve">Fouarre nařídili jako odpověď na zmatky modernistů, že spis </w:t>
      </w:r>
      <w:r w:rsidR="08C15BE5" w:rsidRPr="08C15BE5">
        <w:rPr>
          <w:i/>
        </w:rPr>
        <w:t>De anima</w:t>
      </w:r>
      <w:r w:rsidR="08C15BE5">
        <w:t xml:space="preserve"> </w:t>
      </w:r>
      <w:r w:rsidR="08D1091B" w:rsidRPr="00273106">
        <w:t xml:space="preserve">se </w:t>
      </w:r>
      <w:r w:rsidR="08E2460D">
        <w:t xml:space="preserve">bude </w:t>
      </w:r>
      <w:r w:rsidR="08D1091B" w:rsidRPr="00273106">
        <w:t xml:space="preserve"> povi</w:t>
      </w:r>
      <w:r w:rsidR="08E2460D">
        <w:t>n</w:t>
      </w:r>
      <w:r w:rsidR="08D1091B" w:rsidRPr="00273106">
        <w:t>ně vyučovat na artis</w:t>
      </w:r>
      <w:r w:rsidR="00151FED" w:rsidRPr="00273106">
        <w:t>ti</w:t>
      </w:r>
      <w:r w:rsidR="005617A1" w:rsidRPr="00273106">
        <w:t>c</w:t>
      </w:r>
      <w:r w:rsidR="08C15BE5">
        <w:t>ké</w:t>
      </w:r>
      <w:r w:rsidR="00151FED" w:rsidRPr="00273106">
        <w:t xml:space="preserve"> fakult</w:t>
      </w:r>
      <w:r w:rsidR="08C15BE5">
        <w:t>ě</w:t>
      </w:r>
      <w:r w:rsidR="08E12A0B">
        <w:t xml:space="preserve"> jako součást aristotelského Korpusu</w:t>
      </w:r>
      <w:r w:rsidR="08D1091B" w:rsidRPr="00273106">
        <w:t>.</w:t>
      </w:r>
      <w:r w:rsidR="00C735B0">
        <w:t xml:space="preserve"> </w:t>
      </w:r>
      <w:r w:rsidR="085C05B7" w:rsidRPr="08335E07">
        <w:t xml:space="preserve">Statuty pařížské </w:t>
      </w:r>
      <w:r w:rsidR="085C05B7">
        <w:t xml:space="preserve">filosofické </w:t>
      </w:r>
      <w:r w:rsidR="085C05B7" w:rsidRPr="08335E07">
        <w:t>fakulty z roku 1255</w:t>
      </w:r>
      <w:r w:rsidR="085C05B7">
        <w:t xml:space="preserve"> </w:t>
      </w:r>
      <w:r w:rsidR="085C05B7" w:rsidRPr="00934336">
        <w:t>vyžado</w:t>
      </w:r>
      <w:r w:rsidR="085C05B7">
        <w:t xml:space="preserve">valy povinné studium tehdy známého </w:t>
      </w:r>
      <w:r w:rsidR="085C05B7" w:rsidRPr="080B5B72">
        <w:rPr>
          <w:i/>
        </w:rPr>
        <w:t>Corpus Aristotelicum</w:t>
      </w:r>
      <w:r w:rsidR="085C05B7">
        <w:t xml:space="preserve">. Spis </w:t>
      </w:r>
      <w:r w:rsidR="085C05B7" w:rsidRPr="00837E3C">
        <w:rPr>
          <w:i/>
        </w:rPr>
        <w:t>De anima</w:t>
      </w:r>
      <w:r w:rsidR="085C05B7">
        <w:t xml:space="preserve"> </w:t>
      </w:r>
      <w:r w:rsidR="081E1347">
        <w:t xml:space="preserve">se </w:t>
      </w:r>
      <w:r w:rsidR="085C05B7">
        <w:t>kom</w:t>
      </w:r>
      <w:r w:rsidR="08E96CD9">
        <w:t xml:space="preserve">entoval společně s </w:t>
      </w:r>
      <w:r w:rsidR="08C02044">
        <w:t>Ar</w:t>
      </w:r>
      <w:r w:rsidR="081A53B5">
        <w:t xml:space="preserve">istotelovými </w:t>
      </w:r>
      <w:r w:rsidR="085C05B7">
        <w:t>logi</w:t>
      </w:r>
      <w:r w:rsidR="081A53B5">
        <w:t>ckými a přírodovědnými spisy</w:t>
      </w:r>
      <w:r w:rsidR="085C05B7">
        <w:t xml:space="preserve">, což svědčí o </w:t>
      </w:r>
      <w:r w:rsidR="08E96CD9">
        <w:t xml:space="preserve">výuce </w:t>
      </w:r>
      <w:r w:rsidR="08E96CD9" w:rsidRPr="08E96CD9">
        <w:rPr>
          <w:i/>
        </w:rPr>
        <w:t>logica Vetus</w:t>
      </w:r>
      <w:r w:rsidR="08381093">
        <w:rPr>
          <w:i/>
        </w:rPr>
        <w:fldChar w:fldCharType="begin"/>
      </w:r>
      <w:r w:rsidR="08381093">
        <w:instrText xml:space="preserve"> XE "</w:instrText>
      </w:r>
      <w:r w:rsidR="08381093" w:rsidRPr="088D0D11">
        <w:rPr>
          <w:i/>
        </w:rPr>
        <w:instrText>logica Vetus</w:instrText>
      </w:r>
      <w:r w:rsidR="08381093">
        <w:instrText xml:space="preserve">" </w:instrText>
      </w:r>
      <w:r w:rsidR="08381093">
        <w:rPr>
          <w:i/>
        </w:rPr>
        <w:fldChar w:fldCharType="end"/>
      </w:r>
      <w:r w:rsidR="08E96CD9">
        <w:t xml:space="preserve"> podle Abelarda a </w:t>
      </w:r>
      <w:r w:rsidR="08E44B55">
        <w:t xml:space="preserve">výkladu </w:t>
      </w:r>
      <w:r w:rsidR="08E44B55" w:rsidRPr="08E44B55">
        <w:rPr>
          <w:i/>
        </w:rPr>
        <w:t>De anima</w:t>
      </w:r>
      <w:r w:rsidR="08E44B55">
        <w:t xml:space="preserve"> </w:t>
      </w:r>
      <w:r w:rsidR="08E96CD9">
        <w:t xml:space="preserve">podle </w:t>
      </w:r>
      <w:r w:rsidR="08007310">
        <w:t xml:space="preserve">Sicilské </w:t>
      </w:r>
      <w:r w:rsidR="085C05B7">
        <w:t xml:space="preserve">školy prvního averroismu. </w:t>
      </w:r>
      <w:r w:rsidR="0828562A">
        <w:t>S</w:t>
      </w:r>
      <w:r w:rsidR="00110DF3" w:rsidRPr="00273106">
        <w:t xml:space="preserve">ofisté druhého averroismu </w:t>
      </w:r>
      <w:r w:rsidR="0828562A" w:rsidRPr="00273106">
        <w:t>postup</w:t>
      </w:r>
      <w:r w:rsidR="0828562A">
        <w:t xml:space="preserve">ovali </w:t>
      </w:r>
      <w:r w:rsidR="00110DF3" w:rsidRPr="00273106">
        <w:t xml:space="preserve">ve výkladu </w:t>
      </w:r>
      <w:r w:rsidR="0828562A">
        <w:t xml:space="preserve">třetí části </w:t>
      </w:r>
      <w:r w:rsidR="0828562A" w:rsidRPr="08071477">
        <w:rPr>
          <w:i/>
        </w:rPr>
        <w:t>De anima</w:t>
      </w:r>
      <w:r w:rsidR="0828562A">
        <w:t xml:space="preserve"> a </w:t>
      </w:r>
      <w:r w:rsidR="00110DF3" w:rsidRPr="00273106">
        <w:t>CMDA III.5‒6</w:t>
      </w:r>
      <w:r w:rsidR="004A2E89">
        <w:fldChar w:fldCharType="begin"/>
      </w:r>
      <w:r w:rsidR="004A2E89">
        <w:instrText xml:space="preserve"> XE "</w:instrText>
      </w:r>
      <w:r w:rsidR="002E3B62">
        <w:instrText>Averroes</w:instrText>
      </w:r>
      <w:r w:rsidR="004A2E89">
        <w:instrText>:</w:instrText>
      </w:r>
      <w:r w:rsidR="004A2E89" w:rsidRPr="002878B4">
        <w:instrText>CMDA</w:instrText>
      </w:r>
      <w:r w:rsidR="004A2E89">
        <w:instrText> 3</w:instrText>
      </w:r>
      <w:r w:rsidR="004A2E89" w:rsidRPr="002878B4">
        <w:instrText>.</w:instrText>
      </w:r>
      <w:r w:rsidR="004A2E89">
        <w:instrText xml:space="preserve">5‒6" </w:instrText>
      </w:r>
      <w:r w:rsidR="004A2E89">
        <w:fldChar w:fldCharType="end"/>
      </w:r>
      <w:r w:rsidR="00C113B2">
        <w:t xml:space="preserve"> </w:t>
      </w:r>
      <w:r w:rsidR="0828562A">
        <w:t xml:space="preserve">zcela </w:t>
      </w:r>
      <w:r w:rsidR="0828562A" w:rsidRPr="00273106">
        <w:t>eklekticky</w:t>
      </w:r>
      <w:r w:rsidR="0828562A">
        <w:t xml:space="preserve"> a </w:t>
      </w:r>
      <w:r w:rsidR="00C113B2">
        <w:t>vytvořili averroistický</w:t>
      </w:r>
      <w:r w:rsidR="00110DF3" w:rsidRPr="00273106">
        <w:t xml:space="preserve"> monopsychismus v podobě numerické jednoty </w:t>
      </w:r>
      <w:r w:rsidR="00110DF3" w:rsidRPr="00273106">
        <w:rPr>
          <w:i/>
        </w:rPr>
        <w:t>intellectus possibilis</w:t>
      </w:r>
      <w:r w:rsidR="00E74911">
        <w:rPr>
          <w:i/>
        </w:rPr>
        <w:fldChar w:fldCharType="begin"/>
      </w:r>
      <w:r w:rsidR="00E74911">
        <w:instrText xml:space="preserve"> XE "</w:instrText>
      </w:r>
      <w:r w:rsidR="00E74911" w:rsidRPr="00324A50">
        <w:rPr>
          <w:i/>
        </w:rPr>
        <w:instrText>intellectus possibilis:</w:instrText>
      </w:r>
      <w:r w:rsidR="00E74911" w:rsidRPr="00324A50">
        <w:instrText>numericky jednotný</w:instrText>
      </w:r>
      <w:r w:rsidR="00E74911">
        <w:instrText xml:space="preserve">" </w:instrText>
      </w:r>
      <w:r w:rsidR="00E74911">
        <w:rPr>
          <w:i/>
        </w:rPr>
        <w:fldChar w:fldCharType="end"/>
      </w:r>
      <w:r w:rsidR="005617A1" w:rsidRPr="00273106">
        <w:t xml:space="preserve"> (kap. </w:t>
      </w:r>
      <w:r w:rsidR="08A10080">
        <w:t>3</w:t>
      </w:r>
      <w:r w:rsidR="00110DF3" w:rsidRPr="00273106">
        <w:t>.3</w:t>
      </w:r>
      <w:r w:rsidR="005617A1" w:rsidRPr="00273106">
        <w:t>.3</w:t>
      </w:r>
      <w:r w:rsidR="0829265C">
        <w:t xml:space="preserve">). </w:t>
      </w:r>
      <w:r w:rsidR="0877578D" w:rsidRPr="00273106">
        <w:t xml:space="preserve">Komentáře </w:t>
      </w:r>
      <w:r w:rsidR="0877578D" w:rsidRPr="085C05B7">
        <w:rPr>
          <w:i/>
        </w:rPr>
        <w:t>De anima</w:t>
      </w:r>
      <w:r w:rsidR="0877578D">
        <w:t xml:space="preserve"> </w:t>
      </w:r>
      <w:r w:rsidR="0877578D" w:rsidRPr="00273106">
        <w:t>nutně musely zrcadlit stanoviska ško</w:t>
      </w:r>
      <w:r w:rsidR="082A770C">
        <w:t>l prvního a druhého averroismu.</w:t>
      </w:r>
    </w:p>
    <w:p w14:paraId="1DEC5E9B" w14:textId="5026633D" w:rsidR="00A53189" w:rsidRPr="00273106" w:rsidRDefault="082A770C" w:rsidP="00A53189">
      <w:r>
        <w:tab/>
      </w:r>
      <w:r w:rsidR="00AB426D" w:rsidRPr="00AB426D">
        <w:t xml:space="preserve">V Grossetesteho učení opět panuje jistá nejasnost. </w:t>
      </w:r>
      <w:r w:rsidR="00516FA9">
        <w:t xml:space="preserve">Vytvořil </w:t>
      </w:r>
      <w:r w:rsidR="00AB426D" w:rsidRPr="00AB426D">
        <w:t>specifickou jednotu osoby, která se staví proti mnohosti substanciálních forem v</w:t>
      </w:r>
      <w:r w:rsidR="00AB426D">
        <w:t> </w:t>
      </w:r>
      <w:r w:rsidR="00AB426D" w:rsidRPr="00AB426D">
        <w:t>duši</w:t>
      </w:r>
      <w:r w:rsidR="00AB426D">
        <w:t xml:space="preserve">, kterou </w:t>
      </w:r>
      <w:r w:rsidR="0829265C">
        <w:t>zavedli jeho žáci v Oxfordu</w:t>
      </w:r>
      <w:r w:rsidR="0877578D">
        <w:t>.</w:t>
      </w:r>
      <w:r>
        <w:t xml:space="preserve"> </w:t>
      </w:r>
      <w:r w:rsidR="08322734" w:rsidRPr="00273106">
        <w:t>Grosseteste ve výkladu duše nebyl avicennista, což je zásadní rozdíl proti jeho teorii poznání</w:t>
      </w:r>
      <w:r w:rsidR="08322734">
        <w:t xml:space="preserve"> předložené výše</w:t>
      </w:r>
      <w:r w:rsidR="08322734" w:rsidRPr="00273106">
        <w:t xml:space="preserve">. </w:t>
      </w:r>
      <w:r w:rsidR="08260679">
        <w:t xml:space="preserve">První </w:t>
      </w:r>
      <w:r w:rsidR="089230E7">
        <w:t xml:space="preserve">modernista v </w:t>
      </w:r>
      <w:r w:rsidR="08260679">
        <w:t xml:space="preserve">Oxfordu </w:t>
      </w:r>
      <w:r w:rsidR="00B71425">
        <w:t xml:space="preserve">drží </w:t>
      </w:r>
      <w:r w:rsidR="00BD2070">
        <w:t xml:space="preserve">substanční </w:t>
      </w:r>
      <w:r w:rsidR="00A53189" w:rsidRPr="00273106">
        <w:t>jednotu duše, která stojí v protikladu k předešlému výkladu</w:t>
      </w:r>
      <w:r w:rsidR="08D95CCE">
        <w:t xml:space="preserve"> jeho žáků</w:t>
      </w:r>
      <w:r w:rsidR="00A53189" w:rsidRPr="00273106">
        <w:t xml:space="preserve">. Duše nemůže být samostatná substance vedle těla, ale pouze forma daná v těle. Důvodem je zásadní rozdíl mezi existencí lidského intelektu a intelektu oddělených kosmických sfér. Výklad intelektuální části duše a jednoty člověka je inspirován </w:t>
      </w:r>
      <w:r w:rsidR="002E3B62">
        <w:t>Averroes</w:t>
      </w:r>
      <w:r w:rsidR="00A53189" w:rsidRPr="00273106">
        <w:t>ovými komentáři k</w:t>
      </w:r>
      <w:r w:rsidR="08B5261B">
        <w:t>e kosmologii Aristotela</w:t>
      </w:r>
      <w:r w:rsidR="00A53189" w:rsidRPr="00273106">
        <w:t xml:space="preserve">. Grosseteste vychází z </w:t>
      </w:r>
      <w:r w:rsidR="0051542D" w:rsidRPr="004E2A86">
        <w:rPr>
          <w:i/>
        </w:rPr>
        <w:t>Fyziky</w:t>
      </w:r>
      <w:r w:rsidR="0051542D">
        <w:t xml:space="preserve"> </w:t>
      </w:r>
      <w:r w:rsidR="00A53189" w:rsidRPr="00273106">
        <w:t>VIII.4</w:t>
      </w:r>
      <w:r w:rsidR="08054607">
        <w:t xml:space="preserve"> (pohyb daný nástrojem)</w:t>
      </w:r>
      <w:r w:rsidR="00A53189" w:rsidRPr="00273106">
        <w:t xml:space="preserve">, z </w:t>
      </w:r>
      <w:r w:rsidR="00A53189" w:rsidRPr="004E2A86">
        <w:rPr>
          <w:i/>
        </w:rPr>
        <w:t>Meta</w:t>
      </w:r>
      <w:r w:rsidR="0051542D" w:rsidRPr="004E2A86">
        <w:rPr>
          <w:i/>
        </w:rPr>
        <w:t>fyziky</w:t>
      </w:r>
      <w:r w:rsidR="0051542D">
        <w:t xml:space="preserve"> XII.7</w:t>
      </w:r>
      <w:r w:rsidR="00A53189" w:rsidRPr="00273106">
        <w:t xml:space="preserve"> </w:t>
      </w:r>
      <w:r w:rsidR="08054607">
        <w:t xml:space="preserve">(vztah k Nehybnému hybateli) </w:t>
      </w:r>
      <w:r w:rsidR="00A53189" w:rsidRPr="00273106">
        <w:t xml:space="preserve">a z </w:t>
      </w:r>
      <w:r w:rsidR="00A53189">
        <w:rPr>
          <w:i/>
        </w:rPr>
        <w:t>De anima</w:t>
      </w:r>
      <w:r w:rsidR="0051542D">
        <w:t xml:space="preserve"> </w:t>
      </w:r>
      <w:r w:rsidR="00A53189" w:rsidRPr="00273106">
        <w:t>III.12</w:t>
      </w:r>
      <w:r w:rsidR="08054607">
        <w:t xml:space="preserve"> (</w:t>
      </w:r>
      <w:r w:rsidR="08020026">
        <w:t xml:space="preserve">animální </w:t>
      </w:r>
      <w:r w:rsidR="08054607">
        <w:t>smyslové vnímání)</w:t>
      </w:r>
      <w:r w:rsidR="089C68C2">
        <w:t xml:space="preserve">. Tyto části Aristotelova korpusu potřebuje k tomu, </w:t>
      </w:r>
      <w:r w:rsidR="00C301AF">
        <w:t>aby sestavil schéma poznání jako přechodu od potenciality k završené formě</w:t>
      </w:r>
      <w:r w:rsidR="00A53189" w:rsidRPr="00273106">
        <w:t xml:space="preserve">. Intelektuální pohyb první hvězdné sféry kontrastuje s pohybem lidské duše, která je individualizovaná jako hylemorfická složenina. V obojím případě je intelekt hnaný touhou po imitaci nehybného hybatele (κινεῖ δὲ ὧδε τὸ ὀρεκτὸν καὶ τὸ νοητόν, </w:t>
      </w:r>
      <w:r w:rsidR="00A53189" w:rsidRPr="00273106">
        <w:rPr>
          <w:i/>
        </w:rPr>
        <w:t>Met</w:t>
      </w:r>
      <w:r w:rsidR="00A53189" w:rsidRPr="00273106">
        <w:t>. 1072a26</w:t>
      </w:r>
      <w:r w:rsidR="00E74911">
        <w:fldChar w:fldCharType="begin"/>
      </w:r>
      <w:r w:rsidR="00E74911">
        <w:instrText xml:space="preserve"> XE "</w:instrText>
      </w:r>
      <w:r w:rsidR="008E02F5">
        <w:instrText>Aristoteles</w:instrText>
      </w:r>
      <w:r w:rsidR="00E74911">
        <w:instrText>:</w:instrText>
      </w:r>
      <w:r w:rsidR="00E74911" w:rsidRPr="00444652">
        <w:rPr>
          <w:i/>
        </w:rPr>
        <w:instrText>Met</w:instrText>
      </w:r>
      <w:r w:rsidR="00E74911" w:rsidRPr="00444652">
        <w:instrText>. 1072a26</w:instrText>
      </w:r>
      <w:r w:rsidR="00E74911">
        <w:instrText xml:space="preserve">" </w:instrText>
      </w:r>
      <w:r w:rsidR="00E74911">
        <w:fldChar w:fldCharType="end"/>
      </w:r>
      <w:r w:rsidR="00A53189" w:rsidRPr="00273106">
        <w:t>). Ale mody této touhy nejsou stejné pro lidský intelekt a pro intelekt hvězdných sfér</w:t>
      </w:r>
      <w:r w:rsidR="00405E17">
        <w:t>, který je dán jako čistá aktuální forma</w:t>
      </w:r>
      <w:r w:rsidR="00A53189" w:rsidRPr="00273106">
        <w:t xml:space="preserve">. Člověk je složenina formy a látky a jeho intelektuální </w:t>
      </w:r>
      <w:r w:rsidR="00B54E93">
        <w:t xml:space="preserve">poznání </w:t>
      </w:r>
      <w:r w:rsidR="00A53189" w:rsidRPr="00273106">
        <w:t xml:space="preserve">závisí na výkonu </w:t>
      </w:r>
      <w:r w:rsidR="00B54E93">
        <w:t>abstrakce</w:t>
      </w:r>
      <w:r w:rsidR="08071972">
        <w:t xml:space="preserve"> dané od smyslů</w:t>
      </w:r>
      <w:r w:rsidR="088D7A4C">
        <w:t>. Proto Gross</w:t>
      </w:r>
      <w:r w:rsidR="087D0918">
        <w:t>e</w:t>
      </w:r>
      <w:r w:rsidR="088D7A4C">
        <w:t xml:space="preserve">teste odmítl </w:t>
      </w:r>
      <w:r w:rsidR="0899223B">
        <w:t>univerzální hylemorfismus</w:t>
      </w:r>
      <w:r w:rsidR="08B365ED">
        <w:t xml:space="preserve"> </w:t>
      </w:r>
      <w:r w:rsidR="0802651C">
        <w:t xml:space="preserve">skrze </w:t>
      </w:r>
      <w:r w:rsidR="088D7A4C">
        <w:t>Augustin</w:t>
      </w:r>
      <w:r w:rsidR="0802651C">
        <w:t>ovu definici duše</w:t>
      </w:r>
      <w:r w:rsidR="0899223B">
        <w:t>.</w:t>
      </w:r>
      <w:r w:rsidR="0899223B" w:rsidRPr="00273106">
        <w:rPr>
          <w:rStyle w:val="Znakapoznpodarou"/>
        </w:rPr>
        <w:footnoteReference w:id="350"/>
      </w:r>
      <w:r w:rsidR="00A53189" w:rsidRPr="00273106">
        <w:t xml:space="preserve"> </w:t>
      </w:r>
      <w:r w:rsidR="00B54E93">
        <w:t xml:space="preserve">Následující </w:t>
      </w:r>
      <w:r w:rsidR="00B54E93">
        <w:lastRenderedPageBreak/>
        <w:t xml:space="preserve">citát ukazuje nasvícení poznání ze smyslově poznávané reality, protože aktualita prvních substancí je zdrojem našeho poznání. </w:t>
      </w:r>
      <w:r w:rsidR="00EE57B0" w:rsidRPr="00273106">
        <w:t xml:space="preserve">V člověku jako hylemorfické první substanci nemůže existovat žádná subsistentní inteligibilní forma na způsob kosmické inteligence. </w:t>
      </w:r>
      <w:r w:rsidR="006C65E1" w:rsidRPr="00273106">
        <w:t xml:space="preserve">Grosseteste </w:t>
      </w:r>
      <w:r w:rsidR="006C65E1">
        <w:t xml:space="preserve">odmítá </w:t>
      </w:r>
      <w:r w:rsidR="084B4DE0">
        <w:t xml:space="preserve">v druhém komentáři k </w:t>
      </w:r>
      <w:r w:rsidR="084B4DE0" w:rsidRPr="084B4DE0">
        <w:rPr>
          <w:i/>
        </w:rPr>
        <w:t>De anima</w:t>
      </w:r>
      <w:r w:rsidR="084B4DE0">
        <w:t xml:space="preserve"> </w:t>
      </w:r>
      <w:r w:rsidR="006C65E1">
        <w:t>kosmický intelekt</w:t>
      </w:r>
      <w:r w:rsidR="00F534CB">
        <w:t xml:space="preserve"> v člověku </w:t>
      </w:r>
      <w:r w:rsidR="006C65E1">
        <w:t>ze stejných důvodů jako biskup Alvernus</w:t>
      </w:r>
      <w:r w:rsidR="00F534CB">
        <w:t xml:space="preserve">, s nímž v Paříži studoval v Blundově škole. </w:t>
      </w:r>
      <w:r w:rsidR="08EE490C">
        <w:t xml:space="preserve">Po roce 1230 opakuje </w:t>
      </w:r>
      <w:r w:rsidR="084B4DE0">
        <w:t xml:space="preserve">původní </w:t>
      </w:r>
      <w:r w:rsidR="08EE490C">
        <w:t xml:space="preserve">stanovisko k jednotě člověka dané v prvním spise </w:t>
      </w:r>
      <w:r w:rsidR="089A1B6F">
        <w:rPr>
          <w:i/>
        </w:rPr>
        <w:t>De anima et de potenciis eius</w:t>
      </w:r>
      <w:r w:rsidR="08EE490C">
        <w:rPr>
          <w:i/>
        </w:rPr>
        <w:t>.</w:t>
      </w:r>
      <w:r w:rsidR="08EE490C">
        <w:t xml:space="preserve"> </w:t>
      </w:r>
      <w:r w:rsidR="00657E4E">
        <w:t>Grosseteste dává duši přímou kauzalitu nad vlastním jednáním, protože duše je zdrojem pohybu (</w:t>
      </w:r>
      <w:r w:rsidR="00657E4E" w:rsidRPr="00657E4E">
        <w:rPr>
          <w:i/>
        </w:rPr>
        <w:t>anima est agens motum</w:t>
      </w:r>
      <w:r w:rsidR="00657E4E">
        <w:t xml:space="preserve">; </w:t>
      </w:r>
      <w:r w:rsidR="00657E4E" w:rsidRPr="001D06F3">
        <w:rPr>
          <w:i/>
        </w:rPr>
        <w:t>De motu supercaelestium</w:t>
      </w:r>
      <w:r w:rsidR="00657E4E">
        <w:t xml:space="preserve">; ed. Baur, p. 95.4). To má v plné míře i oddělený kosmický </w:t>
      </w:r>
      <w:r w:rsidR="00657E4E" w:rsidRPr="00657E4E">
        <w:rPr>
          <w:i/>
        </w:rPr>
        <w:t>intellectus agens</w:t>
      </w:r>
      <w:r w:rsidR="00657E4E">
        <w:t>, proto duše má zdroj pohybu v nemateriální sféře. Ale člověk musí tento pohyb realizovat skrze tělo, a to dokonce i při intellektuální činnosti dané tvořením „</w:t>
      </w:r>
      <w:r w:rsidR="00657E4E" w:rsidRPr="00657E4E">
        <w:rPr>
          <w:i/>
        </w:rPr>
        <w:t>in arti</w:t>
      </w:r>
      <w:r w:rsidR="00657E4E">
        <w:rPr>
          <w:i/>
        </w:rPr>
        <w:t>fi</w:t>
      </w:r>
      <w:r w:rsidR="00657E4E" w:rsidRPr="00657E4E">
        <w:rPr>
          <w:i/>
        </w:rPr>
        <w:t>cialibus</w:t>
      </w:r>
      <w:r w:rsidR="00657E4E">
        <w:rPr>
          <w:i/>
        </w:rPr>
        <w:fldChar w:fldCharType="begin"/>
      </w:r>
      <w:r w:rsidR="00657E4E">
        <w:instrText xml:space="preserve"> XE "</w:instrText>
      </w:r>
      <w:r w:rsidR="00657E4E" w:rsidRPr="008D5C41">
        <w:rPr>
          <w:i/>
        </w:rPr>
        <w:instrText>in artificialibus</w:instrText>
      </w:r>
      <w:r w:rsidR="00657E4E">
        <w:instrText xml:space="preserve">" </w:instrText>
      </w:r>
      <w:r w:rsidR="00657E4E">
        <w:rPr>
          <w:i/>
        </w:rPr>
        <w:fldChar w:fldCharType="end"/>
      </w:r>
      <w:r w:rsidR="00657E4E">
        <w:t xml:space="preserve">“. Geometricky definovaný trojúhelník, a tím spíše jakýkoliv jiný výrobek, nevznikne tím, že je dán pouze v mysli, ale musí být přesesen do materie. </w:t>
      </w:r>
      <w:r w:rsidR="00EE57B0" w:rsidRPr="00273106">
        <w:t>Jediné přímo poznatelné subsistentní formy jsou v materii a všechny ostatní inteligibilní formy jsou pro nás přítomné pouze v potenci.</w:t>
      </w:r>
      <w:r w:rsidR="08B365ED">
        <w:t xml:space="preserve"> </w:t>
      </w:r>
    </w:p>
    <w:p w14:paraId="0FF61D27" w14:textId="69260A73" w:rsidR="00A53189" w:rsidRPr="00273106" w:rsidRDefault="00A53189" w:rsidP="00A53189">
      <w:pPr>
        <w:pStyle w:val="Citace"/>
        <w:rPr>
          <w:noProof/>
          <w:lang w:val="cs-CZ"/>
        </w:rPr>
      </w:pPr>
      <w:r w:rsidRPr="00273106">
        <w:rPr>
          <w:noProof/>
          <w:lang w:val="cs-CZ"/>
        </w:rPr>
        <w:t>„Tím chtěl [</w:t>
      </w:r>
      <w:r w:rsidR="008E02F5">
        <w:rPr>
          <w:noProof/>
          <w:lang w:val="cs-CZ"/>
        </w:rPr>
        <w:t>Aristoteles</w:t>
      </w:r>
      <w:r w:rsidRPr="00273106">
        <w:rPr>
          <w:noProof/>
          <w:lang w:val="cs-CZ"/>
        </w:rPr>
        <w:t xml:space="preserve">] říci, že pohyb těchto </w:t>
      </w:r>
      <w:r w:rsidR="00EB021A" w:rsidRPr="00273106">
        <w:rPr>
          <w:noProof/>
          <w:lang w:val="cs-CZ"/>
        </w:rPr>
        <w:t>[</w:t>
      </w:r>
      <w:r w:rsidR="00EB021A">
        <w:rPr>
          <w:noProof/>
          <w:lang w:val="cs-CZ"/>
        </w:rPr>
        <w:t>materiálních</w:t>
      </w:r>
      <w:r w:rsidR="00EB021A" w:rsidRPr="00273106">
        <w:rPr>
          <w:noProof/>
          <w:lang w:val="cs-CZ"/>
        </w:rPr>
        <w:t xml:space="preserve">] </w:t>
      </w:r>
      <w:r w:rsidRPr="00273106">
        <w:rPr>
          <w:noProof/>
          <w:lang w:val="cs-CZ"/>
        </w:rPr>
        <w:t>forem je příčin</w:t>
      </w:r>
      <w:r w:rsidR="00EB021A">
        <w:rPr>
          <w:noProof/>
          <w:lang w:val="cs-CZ"/>
        </w:rPr>
        <w:t xml:space="preserve">ou vzniku kognitivních forem </w:t>
      </w:r>
      <w:r w:rsidRPr="00273106">
        <w:rPr>
          <w:noProof/>
          <w:lang w:val="cs-CZ"/>
        </w:rPr>
        <w:t>(</w:t>
      </w:r>
      <w:r w:rsidRPr="00273106">
        <w:rPr>
          <w:i/>
          <w:noProof/>
          <w:lang w:val="cs-CZ"/>
        </w:rPr>
        <w:t>causa exitus eius</w:t>
      </w:r>
      <w:r w:rsidRPr="00273106">
        <w:rPr>
          <w:noProof/>
          <w:lang w:val="cs-CZ"/>
        </w:rPr>
        <w:t>)</w:t>
      </w:r>
      <w:r w:rsidR="00EB021A">
        <w:rPr>
          <w:noProof/>
          <w:lang w:val="cs-CZ"/>
        </w:rPr>
        <w:t>. Tyto formy jsou dány</w:t>
      </w:r>
      <w:r w:rsidRPr="00273106">
        <w:rPr>
          <w:noProof/>
          <w:lang w:val="cs-CZ"/>
        </w:rPr>
        <w:t xml:space="preserve"> v potenci </w:t>
      </w:r>
      <w:r w:rsidR="00D75C9E">
        <w:rPr>
          <w:noProof/>
          <w:lang w:val="cs-CZ"/>
        </w:rPr>
        <w:t xml:space="preserve">díky abstrakci dané </w:t>
      </w:r>
      <w:r w:rsidRPr="00273106">
        <w:rPr>
          <w:noProof/>
          <w:lang w:val="cs-CZ"/>
        </w:rPr>
        <w:t xml:space="preserve">buď vzhledem k aktu, nebo vzhledem k formám v materii. </w:t>
      </w:r>
      <w:r w:rsidR="00D75C9E">
        <w:rPr>
          <w:noProof/>
          <w:lang w:val="cs-CZ"/>
        </w:rPr>
        <w:t>F</w:t>
      </w:r>
      <w:r w:rsidRPr="00273106">
        <w:rPr>
          <w:noProof/>
          <w:lang w:val="cs-CZ"/>
        </w:rPr>
        <w:t>ormy totiž mají dvojí bytí (</w:t>
      </w:r>
      <w:r w:rsidRPr="00273106">
        <w:rPr>
          <w:i/>
          <w:noProof/>
          <w:lang w:val="cs-CZ"/>
        </w:rPr>
        <w:t>duplex esse</w:t>
      </w:r>
      <w:r w:rsidRPr="00273106">
        <w:rPr>
          <w:noProof/>
          <w:lang w:val="cs-CZ"/>
        </w:rPr>
        <w:t>). Bytím v aktu (</w:t>
      </w:r>
      <w:r w:rsidRPr="00273106">
        <w:rPr>
          <w:i/>
          <w:noProof/>
          <w:lang w:val="cs-CZ"/>
        </w:rPr>
        <w:t>esse in actu</w:t>
      </w:r>
      <w:r w:rsidRPr="00273106">
        <w:rPr>
          <w:noProof/>
          <w:lang w:val="cs-CZ"/>
        </w:rPr>
        <w:t>) se rozumí jejich materiální existence a bytí v potenci (</w:t>
      </w:r>
      <w:r w:rsidRPr="00273106">
        <w:rPr>
          <w:i/>
          <w:noProof/>
          <w:lang w:val="cs-CZ"/>
        </w:rPr>
        <w:t>esse in potentia</w:t>
      </w:r>
      <w:r w:rsidRPr="00273106">
        <w:rPr>
          <w:noProof/>
          <w:lang w:val="cs-CZ"/>
        </w:rPr>
        <w:t xml:space="preserve">) mají v abstrakci.“ </w:t>
      </w:r>
      <w:r w:rsidRPr="00273106">
        <w:rPr>
          <w:rStyle w:val="Znakapoznpodarou"/>
          <w:noProof/>
          <w:lang w:val="cs-CZ"/>
        </w:rPr>
        <w:footnoteReference w:id="351"/>
      </w:r>
    </w:p>
    <w:p w14:paraId="6FC92786" w14:textId="3D9C1C36" w:rsidR="00A53189" w:rsidRPr="00273106" w:rsidRDefault="00A53189" w:rsidP="00A53189">
      <w:r w:rsidRPr="00273106">
        <w:t>Na rozdíl od čistě jednoduchých a plně aktuálních forem ve sféře kosmických inteligencí je jednota lidského intel</w:t>
      </w:r>
      <w:r w:rsidR="00FB30A1">
        <w:t xml:space="preserve">ektu s vyšší sférou dána pouze </w:t>
      </w:r>
      <w:r w:rsidRPr="00273106">
        <w:rPr>
          <w:i/>
        </w:rPr>
        <w:t>secundum esse</w:t>
      </w:r>
      <w:r w:rsidRPr="00273106">
        <w:t>, tedy podle nem</w:t>
      </w:r>
      <w:r w:rsidR="00FB30A1">
        <w:t xml:space="preserve">ateriální povahy myšlení, a ne </w:t>
      </w:r>
      <w:r w:rsidRPr="00273106">
        <w:rPr>
          <w:i/>
        </w:rPr>
        <w:t>secundum substantiae</w:t>
      </w:r>
      <w:r w:rsidRPr="00273106">
        <w:t>. Směřování intelektuální touhy k nehybnému hybateli (</w:t>
      </w:r>
      <w:r w:rsidRPr="00273106">
        <w:rPr>
          <w:i/>
        </w:rPr>
        <w:t>exitus</w:t>
      </w:r>
      <w:r w:rsidRPr="00273106">
        <w:t xml:space="preserve">) je u </w:t>
      </w:r>
      <w:r w:rsidR="00905020">
        <w:t>člověka dáno</w:t>
      </w:r>
      <w:r w:rsidR="08D9253A">
        <w:t xml:space="preserve"> přechodem od potence k a</w:t>
      </w:r>
      <w:r w:rsidR="08480022">
        <w:t xml:space="preserve">ktu </w:t>
      </w:r>
      <w:r w:rsidR="08D9253A">
        <w:t>v těle</w:t>
      </w:r>
      <w:r w:rsidR="08480022">
        <w:t xml:space="preserve"> jako hylemorfické substanci</w:t>
      </w:r>
      <w:r w:rsidR="08D9253A">
        <w:t xml:space="preserve">. </w:t>
      </w:r>
      <w:r w:rsidR="08480022">
        <w:t>M</w:t>
      </w:r>
      <w:r w:rsidR="08480022" w:rsidRPr="00273106">
        <w:t xml:space="preserve">ožné formy v procesu abstrakce </w:t>
      </w:r>
      <w:r w:rsidR="08480022">
        <w:t xml:space="preserve">se </w:t>
      </w:r>
      <w:r w:rsidR="08480022" w:rsidRPr="00273106">
        <w:t>stávají aktuálními (</w:t>
      </w:r>
      <w:r w:rsidR="08480022" w:rsidRPr="00273106">
        <w:rPr>
          <w:i/>
        </w:rPr>
        <w:t>est in potentia in illis formis abstractis ad actum</w:t>
      </w:r>
      <w:r w:rsidR="08480022" w:rsidRPr="00273106">
        <w:t xml:space="preserve">). </w:t>
      </w:r>
      <w:r w:rsidR="08D9253A">
        <w:t xml:space="preserve">Tento postup poznání se zásadně liší od věčně aktuálních </w:t>
      </w:r>
      <w:r w:rsidR="00FB30A1">
        <w:t xml:space="preserve">kosmických </w:t>
      </w:r>
      <w:r w:rsidR="08D9253A">
        <w:t>forem, které jsou nemateriální substance</w:t>
      </w:r>
      <w:r w:rsidR="00905020">
        <w:t xml:space="preserve">. </w:t>
      </w:r>
      <w:r w:rsidRPr="00273106">
        <w:t xml:space="preserve">Nejsme </w:t>
      </w:r>
      <w:r w:rsidR="000E5FD7">
        <w:t>čisté intelektuální formy</w:t>
      </w:r>
      <w:r w:rsidRPr="00273106">
        <w:t xml:space="preserve"> jako jsou kosmické inteligence</w:t>
      </w:r>
      <w:r w:rsidR="000E5FD7">
        <w:t xml:space="preserve">. Poznáváme </w:t>
      </w:r>
      <w:r w:rsidRPr="00273106">
        <w:t>inteligibilní formy na lidský způsob smyslově založeného poznání</w:t>
      </w:r>
      <w:r w:rsidR="00E74911">
        <w:fldChar w:fldCharType="begin"/>
      </w:r>
      <w:r w:rsidR="00E74911">
        <w:instrText xml:space="preserve"> XE "</w:instrText>
      </w:r>
      <w:r w:rsidR="00E74911" w:rsidRPr="004568E7">
        <w:instrText>osoba:Grosseteste</w:instrText>
      </w:r>
      <w:r w:rsidR="00E74911">
        <w:instrText xml:space="preserve">" </w:instrText>
      </w:r>
      <w:r w:rsidR="00E74911">
        <w:fldChar w:fldCharType="end"/>
      </w:r>
      <w:r w:rsidRPr="00273106">
        <w:t xml:space="preserve">. Toto rozlišení </w:t>
      </w:r>
      <w:r w:rsidR="00172FF1">
        <w:t xml:space="preserve">je striktně aristotelské a je vyloženo </w:t>
      </w:r>
      <w:r w:rsidR="082F2D63">
        <w:rPr>
          <w:i/>
        </w:rPr>
        <w:t>ad mentem Averrois</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0BA3EF0">
        <w:t xml:space="preserve"> </w:t>
      </w:r>
      <w:r w:rsidR="00172FF1">
        <w:t xml:space="preserve">podle Sicilské školy. </w:t>
      </w:r>
      <w:r w:rsidR="00A31466">
        <w:t xml:space="preserve">Rozdělení </w:t>
      </w:r>
      <w:r w:rsidR="00A31466">
        <w:lastRenderedPageBreak/>
        <w:t>forem m</w:t>
      </w:r>
      <w:r w:rsidR="00172FF1">
        <w:t xml:space="preserve">á </w:t>
      </w:r>
      <w:r w:rsidRPr="00273106">
        <w:t>zásadní charakter, protože vylučuje pluralitu substa</w:t>
      </w:r>
      <w:r w:rsidR="00AD62E2">
        <w:t xml:space="preserve">ncí v člověku. </w:t>
      </w:r>
      <w:r w:rsidRPr="00273106">
        <w:t xml:space="preserve">Důvod substanční odlišnosti </w:t>
      </w:r>
      <w:r w:rsidR="00E64256">
        <w:t xml:space="preserve">kosmického a </w:t>
      </w:r>
      <w:r w:rsidR="08E46CE1">
        <w:t xml:space="preserve">lidského </w:t>
      </w:r>
      <w:r w:rsidR="00272929">
        <w:t xml:space="preserve">intelektu je dán tím, že nám dostupné aktuální formy jsou vždy dány pouze v materii. Myšlení je pouze potenciální činnost. Proto intelekt </w:t>
      </w:r>
      <w:r w:rsidRPr="00273106">
        <w:t>potřebuje k uskutečnění svého díla materii, kterou formuje podle ideje dané v mysli. Tak pracuje každý řemeslník, který ideu danou formálně uskutečnuje v materiálu. Takto daná kauzalit</w:t>
      </w:r>
      <w:r w:rsidR="00272929">
        <w:t xml:space="preserve">a lidského </w:t>
      </w:r>
      <w:r w:rsidRPr="00273106">
        <w:t xml:space="preserve">intelektu </w:t>
      </w:r>
      <w:r w:rsidR="00BE27C1">
        <w:t xml:space="preserve">demiurgicky tvořícího v modu </w:t>
      </w:r>
      <w:r w:rsidR="00BE27C1" w:rsidRPr="00BE27C1">
        <w:rPr>
          <w:i/>
        </w:rPr>
        <w:t>in ar</w:t>
      </w:r>
      <w:r w:rsidR="08A31B44">
        <w:rPr>
          <w:i/>
        </w:rPr>
        <w:t>ti</w:t>
      </w:r>
      <w:r w:rsidR="00BE27C1" w:rsidRPr="00BE27C1">
        <w:rPr>
          <w:i/>
        </w:rPr>
        <w:t>ficialibus</w:t>
      </w:r>
      <w:r w:rsidR="08A31B44">
        <w:rPr>
          <w:i/>
        </w:rPr>
        <w:fldChar w:fldCharType="begin"/>
      </w:r>
      <w:r w:rsidR="08A31B44">
        <w:instrText xml:space="preserve"> XE "predikace:</w:instrText>
      </w:r>
      <w:r w:rsidR="08A31B44" w:rsidRPr="085E73BB">
        <w:rPr>
          <w:i/>
        </w:rPr>
        <w:instrText>in artificialibus</w:instrText>
      </w:r>
      <w:r w:rsidR="08A31B44">
        <w:instrText xml:space="preserve">" </w:instrText>
      </w:r>
      <w:r w:rsidR="08A31B44">
        <w:rPr>
          <w:i/>
        </w:rPr>
        <w:fldChar w:fldCharType="end"/>
      </w:r>
      <w:r w:rsidR="00BE27C1">
        <w:t xml:space="preserve"> skrze materii </w:t>
      </w:r>
      <w:r w:rsidRPr="00273106">
        <w:t>se fundamentálně liší od vyšších kosmických forem</w:t>
      </w:r>
      <w:r w:rsidR="08947538">
        <w:t xml:space="preserve">. Ty </w:t>
      </w:r>
      <w:r w:rsidR="08EF48FD">
        <w:t xml:space="preserve">přímo </w:t>
      </w:r>
      <w:r w:rsidR="00771C49">
        <w:t xml:space="preserve">vytvářejí </w:t>
      </w:r>
      <w:r w:rsidR="00BA0647">
        <w:t xml:space="preserve">hyparchické inteligibilní substance </w:t>
      </w:r>
      <w:r w:rsidR="00771C49">
        <w:t xml:space="preserve">aktem </w:t>
      </w:r>
      <w:r w:rsidR="08EF48FD">
        <w:t xml:space="preserve">substanciálního a plně aktuálního </w:t>
      </w:r>
      <w:r w:rsidR="00771C49">
        <w:t>myšlení</w:t>
      </w:r>
      <w:r w:rsidRPr="00273106">
        <w:t xml:space="preserve">. </w:t>
      </w:r>
      <w:r w:rsidR="088F0241">
        <w:t xml:space="preserve">Lidské myšlení je tvořivé pouze v řádu potence, nikdy ne aktuality. Kosmické inteligence tvoří aktem myšlení aktuální inteligibilní formy, což </w:t>
      </w:r>
      <w:r w:rsidR="08947538">
        <w:t>lidská mysl ne</w:t>
      </w:r>
      <w:r w:rsidR="088F0241">
        <w:t>může</w:t>
      </w:r>
      <w:r w:rsidR="08947538">
        <w:t>, protože existuje</w:t>
      </w:r>
      <w:r w:rsidR="088F0241">
        <w:t xml:space="preserve"> v těle. </w:t>
      </w:r>
      <w:r w:rsidR="08947538">
        <w:t xml:space="preserve">Pokud lidská mysl tvoří </w:t>
      </w:r>
      <w:r w:rsidR="00B1461F">
        <w:t xml:space="preserve">věci </w:t>
      </w:r>
      <w:r w:rsidR="08947538">
        <w:t xml:space="preserve">v realitě, pak pouze skrze tělo jako nástroj. </w:t>
      </w:r>
      <w:r w:rsidR="003D1BB1">
        <w:t xml:space="preserve">Grosseteste hájí stejné stanovisko rodově odlišného </w:t>
      </w:r>
      <w:r w:rsidR="003D1BB1" w:rsidRPr="003D1BB1">
        <w:rPr>
          <w:i/>
        </w:rPr>
        <w:t>intellectus agens</w:t>
      </w:r>
      <w:r w:rsidR="00DF1F0F">
        <w:rPr>
          <w:i/>
        </w:rPr>
        <w:fldChar w:fldCharType="begin"/>
      </w:r>
      <w:r w:rsidR="00DF1F0F">
        <w:instrText xml:space="preserve"> XE "</w:instrText>
      </w:r>
      <w:r w:rsidR="00DF1F0F" w:rsidRPr="00490D32">
        <w:rPr>
          <w:i/>
        </w:rPr>
        <w:instrText>intellectus agens:</w:instrText>
      </w:r>
      <w:r w:rsidR="00E74911" w:rsidRPr="004568E7">
        <w:instrText>Grosseteste</w:instrText>
      </w:r>
      <w:r w:rsidR="00DF1F0F">
        <w:instrText xml:space="preserve">" </w:instrText>
      </w:r>
      <w:r w:rsidR="00DF1F0F">
        <w:rPr>
          <w:i/>
        </w:rPr>
        <w:fldChar w:fldCharType="end"/>
      </w:r>
      <w:r w:rsidR="003D1BB1">
        <w:t xml:space="preserve"> pro kosmické inteligence a pro člověka ja</w:t>
      </w:r>
      <w:r w:rsidR="00736C7C">
        <w:t>ko měl biskup Alvernus</w:t>
      </w:r>
      <w:r w:rsidR="003D1BB1">
        <w:t xml:space="preserve">. </w:t>
      </w:r>
      <w:r w:rsidRPr="00273106">
        <w:t>Lidská duše není čistou nemateriální formou, protože přichází k oběma daným formám vegetativní a animální duše entelechicky či</w:t>
      </w:r>
      <w:r w:rsidR="08BF1DBF">
        <w:t xml:space="preserve">nných v těle. Intelekt </w:t>
      </w:r>
      <w:r w:rsidR="08F86A63">
        <w:t>u Gro</w:t>
      </w:r>
      <w:r w:rsidR="08ED59D3">
        <w:t>ssete</w:t>
      </w:r>
      <w:r w:rsidR="08F86A63">
        <w:t>s</w:t>
      </w:r>
      <w:r w:rsidR="08ED59D3">
        <w:t>t</w:t>
      </w:r>
      <w:r w:rsidR="08F86A63">
        <w:t xml:space="preserve">eho je daný v modu </w:t>
      </w:r>
      <w:r w:rsidR="086002EF">
        <w:t xml:space="preserve">Komentátorova </w:t>
      </w:r>
      <w:r w:rsidR="00A7302B">
        <w:t>„</w:t>
      </w:r>
      <w:r w:rsidR="08F86A63" w:rsidRPr="08F86A63">
        <w:rPr>
          <w:i/>
        </w:rPr>
        <w:t>separabilis</w:t>
      </w:r>
      <w:r w:rsidR="00A7302B">
        <w:t>“</w:t>
      </w:r>
      <w:r w:rsidR="08F86A63">
        <w:t xml:space="preserve"> a ne </w:t>
      </w:r>
      <w:r w:rsidR="086002EF">
        <w:t xml:space="preserve">porretánského </w:t>
      </w:r>
      <w:r w:rsidR="00A7302B">
        <w:t>„</w:t>
      </w:r>
      <w:r w:rsidR="08F86A63" w:rsidRPr="08F86A63">
        <w:rPr>
          <w:i/>
        </w:rPr>
        <w:t>separatus</w:t>
      </w:r>
      <w:r w:rsidR="00A7302B">
        <w:t>“</w:t>
      </w:r>
      <w:r w:rsidR="08F86A63">
        <w:fldChar w:fldCharType="begin"/>
      </w:r>
      <w:r w:rsidR="08F86A63">
        <w:instrText xml:space="preserve"> XE "intelekt:</w:instrText>
      </w:r>
      <w:r w:rsidR="08F86A63" w:rsidRPr="008E31F8">
        <w:rPr>
          <w:i/>
        </w:rPr>
        <w:instrText>separabilis</w:instrText>
      </w:r>
      <w:r w:rsidR="08F86A63">
        <w:instrText>/</w:instrText>
      </w:r>
      <w:r w:rsidR="08F86A63" w:rsidRPr="008E31F8">
        <w:rPr>
          <w:i/>
        </w:rPr>
        <w:instrText>separatus</w:instrText>
      </w:r>
      <w:r w:rsidR="08F86A63">
        <w:instrText xml:space="preserve">" </w:instrText>
      </w:r>
      <w:r w:rsidR="08F86A63">
        <w:fldChar w:fldCharType="end"/>
      </w:r>
      <w:r w:rsidR="08F86A63">
        <w:t xml:space="preserve">. Tato </w:t>
      </w:r>
      <w:r w:rsidR="00910023">
        <w:t xml:space="preserve">intelektuální </w:t>
      </w:r>
      <w:r w:rsidR="08F86A63">
        <w:t xml:space="preserve">schopnost duše </w:t>
      </w:r>
      <w:r w:rsidR="08BF1DBF">
        <w:t>završuje entelechickou jednotu organismu, což neměla Toledská škola.</w:t>
      </w:r>
    </w:p>
    <w:p w14:paraId="12FE2F07" w14:textId="010B3025" w:rsidR="00A53189" w:rsidRPr="00273106" w:rsidRDefault="00A53189" w:rsidP="00A53189">
      <w:pPr>
        <w:pStyle w:val="Citace"/>
        <w:rPr>
          <w:noProof/>
          <w:szCs w:val="22"/>
          <w:lang w:val="cs-CZ"/>
        </w:rPr>
      </w:pPr>
      <w:r w:rsidRPr="00273106">
        <w:rPr>
          <w:noProof/>
          <w:szCs w:val="22"/>
          <w:lang w:val="cs-CZ"/>
        </w:rPr>
        <w:t xml:space="preserve">„Žádná část rostliny není celek rostliny, ani část zvířete není zvíře, ale každá z částí rostliny vegetativně žije a každá část zvířete cítí. Jinak je dána forma intelektuální duše, která přichází k těmto formám duše </w:t>
      </w:r>
      <w:r w:rsidRPr="00273106">
        <w:rPr>
          <w:noProof/>
          <w:lang w:val="cs-CZ"/>
        </w:rPr>
        <w:t>(</w:t>
      </w:r>
      <w:r w:rsidRPr="00273106">
        <w:rPr>
          <w:i/>
          <w:noProof/>
          <w:szCs w:val="22"/>
          <w:lang w:val="cs-CZ"/>
        </w:rPr>
        <w:t>superveniens his</w:t>
      </w:r>
      <w:r w:rsidRPr="00273106">
        <w:rPr>
          <w:noProof/>
          <w:lang w:val="cs-CZ"/>
        </w:rPr>
        <w:t>)</w:t>
      </w:r>
      <w:r w:rsidRPr="00273106">
        <w:rPr>
          <w:noProof/>
          <w:szCs w:val="22"/>
          <w:lang w:val="cs-CZ"/>
        </w:rPr>
        <w:t>. Protože intelektuální duše patří k formě, která není situovaná materiálně</w:t>
      </w:r>
      <w:r w:rsidR="004808DE">
        <w:rPr>
          <w:noProof/>
          <w:szCs w:val="22"/>
          <w:lang w:val="cs-CZ"/>
        </w:rPr>
        <w:t xml:space="preserve"> </w:t>
      </w:r>
      <w:r w:rsidR="004808DE">
        <w:rPr>
          <w:lang w:val="en-US"/>
        </w:rPr>
        <w:t>(</w:t>
      </w:r>
      <w:r w:rsidR="004808DE" w:rsidRPr="002F0CCC">
        <w:rPr>
          <w:i/>
        </w:rPr>
        <w:t>advenit formae non situali</w:t>
      </w:r>
      <w:r w:rsidR="004808DE">
        <w:rPr>
          <w:lang w:val="en-US"/>
        </w:rPr>
        <w:t>)</w:t>
      </w:r>
      <w:r w:rsidRPr="00273106">
        <w:rPr>
          <w:noProof/>
          <w:szCs w:val="22"/>
          <w:lang w:val="cs-CZ"/>
        </w:rPr>
        <w:t>, pak nemůže být vyvedena z bezprostředně dané substanč</w:t>
      </w:r>
      <w:r w:rsidR="009716CC">
        <w:rPr>
          <w:noProof/>
          <w:szCs w:val="22"/>
          <w:lang w:val="cs-CZ"/>
        </w:rPr>
        <w:t xml:space="preserve">ní tělesné formy; člověk ji dostává </w:t>
      </w:r>
      <w:r w:rsidRPr="00273106">
        <w:rPr>
          <w:noProof/>
          <w:szCs w:val="22"/>
          <w:lang w:val="cs-CZ"/>
        </w:rPr>
        <w:t xml:space="preserve">z jiné formy </w:t>
      </w:r>
      <w:r w:rsidR="009716CC">
        <w:rPr>
          <w:noProof/>
          <w:szCs w:val="22"/>
          <w:lang w:val="cs-CZ"/>
        </w:rPr>
        <w:t xml:space="preserve">situované </w:t>
      </w:r>
      <w:r>
        <w:rPr>
          <w:noProof/>
          <w:szCs w:val="22"/>
          <w:lang w:val="cs-CZ"/>
        </w:rPr>
        <w:t>mimo tělo, tedy z první formy.</w:t>
      </w:r>
      <w:r w:rsidRPr="00273106">
        <w:rPr>
          <w:noProof/>
          <w:szCs w:val="22"/>
          <w:lang w:val="cs-CZ"/>
        </w:rPr>
        <w:t xml:space="preserve">“ </w:t>
      </w:r>
      <w:r w:rsidRPr="00273106">
        <w:rPr>
          <w:rStyle w:val="Znakapoznpodarou"/>
          <w:noProof/>
          <w:lang w:val="cs-CZ"/>
        </w:rPr>
        <w:footnoteReference w:id="352"/>
      </w:r>
    </w:p>
    <w:p w14:paraId="3C5ED006" w14:textId="14D09A72" w:rsidR="00A53189" w:rsidRPr="00273106" w:rsidRDefault="00A53189" w:rsidP="00A53189">
      <w:r w:rsidRPr="00273106">
        <w:t xml:space="preserve">Grosseteste drží </w:t>
      </w:r>
      <w:r w:rsidR="089C242C">
        <w:t>proti Avicennově duši jako subsiste</w:t>
      </w:r>
      <w:r w:rsidR="08D968D9">
        <w:t>n</w:t>
      </w:r>
      <w:r w:rsidR="089C242C">
        <w:t xml:space="preserve">tní hypostázi Averroesovu </w:t>
      </w:r>
      <w:r w:rsidRPr="00273106">
        <w:t>definici duše jako entelechické formy oživující tělo</w:t>
      </w:r>
      <w:r w:rsidR="00F25E67">
        <w:t xml:space="preserve">. </w:t>
      </w:r>
      <w:r w:rsidR="083F33D5">
        <w:t xml:space="preserve">Stejný postoj hájil jeho první traktát o duši </w:t>
      </w:r>
      <w:r w:rsidR="080104BE">
        <w:rPr>
          <w:i/>
        </w:rPr>
        <w:t>De anima et de potenciis eius</w:t>
      </w:r>
      <w:r w:rsidR="080104BE">
        <w:t xml:space="preserve"> </w:t>
      </w:r>
      <w:r w:rsidR="08CA2449">
        <w:t>proti Gundissalinovu výkladu duše podle Avicenny</w:t>
      </w:r>
      <w:r w:rsidR="08700431">
        <w:t xml:space="preserve"> (kap. 2</w:t>
      </w:r>
      <w:r w:rsidR="08B11CB7">
        <w:t>.2.1)</w:t>
      </w:r>
      <w:r w:rsidR="08CA2449">
        <w:t xml:space="preserve">. </w:t>
      </w:r>
      <w:r w:rsidR="00F25E67">
        <w:t>D</w:t>
      </w:r>
      <w:r w:rsidRPr="00273106">
        <w:t>uše není pouhou částí těla (</w:t>
      </w:r>
      <w:r w:rsidRPr="00273106">
        <w:rPr>
          <w:i/>
          <w:szCs w:val="22"/>
        </w:rPr>
        <w:t>nulla enim pars plantae est planta, nec animalis animal</w:t>
      </w:r>
      <w:r w:rsidRPr="00273106">
        <w:t xml:space="preserve">). Intelekt nemůže být nějaká forma </w:t>
      </w:r>
      <w:r w:rsidR="080D5EF4">
        <w:t xml:space="preserve">hypostázovaného </w:t>
      </w:r>
      <w:r w:rsidR="004B4D52" w:rsidRPr="004B4D52">
        <w:t>species</w:t>
      </w:r>
      <w:r w:rsidRPr="00273106">
        <w:t xml:space="preserve"> daná </w:t>
      </w:r>
      <w:r w:rsidR="080D5EF4">
        <w:t>v</w:t>
      </w:r>
      <w:r w:rsidR="084237D6">
        <w:t xml:space="preserve"> duši jako rodu </w:t>
      </w:r>
      <w:r w:rsidRPr="00273106">
        <w:t xml:space="preserve">ze dvou důvodů. Orgány </w:t>
      </w:r>
      <w:r w:rsidRPr="00273106">
        <w:lastRenderedPageBreak/>
        <w:t xml:space="preserve">obou nižších forem duše jsou dané v kvantitativně určeném </w:t>
      </w:r>
      <w:r w:rsidR="08DF4746">
        <w:t xml:space="preserve">a pomíjivém </w:t>
      </w:r>
      <w:r w:rsidRPr="00273106">
        <w:t>těle (</w:t>
      </w:r>
      <w:r w:rsidRPr="00273106">
        <w:rPr>
          <w:i/>
        </w:rPr>
        <w:t>situalis</w:t>
      </w:r>
      <w:r w:rsidRPr="00273106">
        <w:t>)</w:t>
      </w:r>
      <w:r w:rsidR="08DF4746">
        <w:t>.</w:t>
      </w:r>
      <w:r w:rsidR="08DF4746" w:rsidRPr="00273106">
        <w:rPr>
          <w:rStyle w:val="Znakapoznpodarou"/>
        </w:rPr>
        <w:footnoteReference w:id="353"/>
      </w:r>
      <w:r w:rsidR="08DF4746">
        <w:t xml:space="preserve"> A</w:t>
      </w:r>
      <w:r w:rsidRPr="00273106">
        <w:t>le duše jako oživující forma celku živého organismu je neurčuje jako části,</w:t>
      </w:r>
      <w:r w:rsidR="08DF4746">
        <w:t xml:space="preserve"> ale z hlediska jejich činnosti</w:t>
      </w:r>
      <w:r w:rsidRPr="00273106">
        <w:t>.</w:t>
      </w:r>
      <w:r w:rsidR="082846DF">
        <w:t xml:space="preserve"> </w:t>
      </w:r>
      <w:r w:rsidRPr="00273106">
        <w:t xml:space="preserve">Totéž ve větší míře platí pro nemateriální intelekt, který k duši přichází jako determinace vyšší formy </w:t>
      </w:r>
      <w:r w:rsidR="08270675">
        <w:t xml:space="preserve">inteligence </w:t>
      </w:r>
      <w:r w:rsidRPr="00273106">
        <w:t>dané mimo tělesnou rozsažnost (</w:t>
      </w:r>
      <w:r w:rsidRPr="00273106">
        <w:rPr>
          <w:i/>
        </w:rPr>
        <w:t>forma non situale</w:t>
      </w:r>
      <w:r w:rsidRPr="00273106">
        <w:t xml:space="preserve">).  </w:t>
      </w:r>
      <w:r w:rsidR="08C762EC" w:rsidRPr="00273106">
        <w:t>Inte</w:t>
      </w:r>
      <w:r w:rsidR="08C762EC">
        <w:t>le</w:t>
      </w:r>
      <w:r w:rsidR="08C762EC" w:rsidRPr="00273106">
        <w:t xml:space="preserve">ktuální složka duše nepřichází skrze činnosti dané </w:t>
      </w:r>
      <w:r w:rsidR="08C762EC" w:rsidRPr="00273106">
        <w:rPr>
          <w:i/>
        </w:rPr>
        <w:t>situalis</w:t>
      </w:r>
      <w:r w:rsidR="08C762EC">
        <w:rPr>
          <w:i/>
        </w:rPr>
        <w:t xml:space="preserve"> </w:t>
      </w:r>
      <w:r w:rsidR="08C762EC" w:rsidRPr="08EC5C0B">
        <w:t>ve smyslový</w:t>
      </w:r>
      <w:r w:rsidR="08C762EC">
        <w:t>c</w:t>
      </w:r>
      <w:r w:rsidR="08C762EC" w:rsidRPr="08EC5C0B">
        <w:t xml:space="preserve">h orgánech, </w:t>
      </w:r>
      <w:r w:rsidR="08C762EC" w:rsidRPr="00273106">
        <w:t xml:space="preserve">ale </w:t>
      </w:r>
      <w:r w:rsidR="08C762EC">
        <w:t xml:space="preserve">je dána </w:t>
      </w:r>
      <w:r w:rsidR="08C762EC" w:rsidRPr="00273106">
        <w:t>bezprostředně, protože není v těle situovaná materiálně (</w:t>
      </w:r>
      <w:r w:rsidR="08C762EC" w:rsidRPr="00273106">
        <w:rPr>
          <w:i/>
          <w:szCs w:val="22"/>
        </w:rPr>
        <w:t>immediate advenit formae non situali</w:t>
      </w:r>
      <w:r w:rsidR="08C762EC" w:rsidRPr="00273106">
        <w:t>). Klíčové je zdůraznění faktu, ž</w:t>
      </w:r>
      <w:r w:rsidR="08C762EC">
        <w:t>e duše je forma těla jako reálné</w:t>
      </w:r>
      <w:r w:rsidR="08C762EC" w:rsidRPr="00273106">
        <w:t xml:space="preserve"> první substance</w:t>
      </w:r>
      <w:r w:rsidR="08C762EC">
        <w:t>, ale není v něm situovaná materiálně</w:t>
      </w:r>
      <w:r w:rsidR="08C762EC">
        <w:fldChar w:fldCharType="begin"/>
      </w:r>
      <w:r w:rsidR="08C762EC">
        <w:instrText xml:space="preserve"> XE "osoba:hylemorfická </w:instrText>
      </w:r>
      <w:r w:rsidR="08C762EC" w:rsidRPr="00DE2A32">
        <w:instrText>substance</w:instrText>
      </w:r>
      <w:r w:rsidR="08C762EC">
        <w:instrText xml:space="preserve">" </w:instrText>
      </w:r>
      <w:r w:rsidR="08C762EC">
        <w:fldChar w:fldCharType="end"/>
      </w:r>
      <w:r w:rsidR="08C762EC" w:rsidRPr="00273106">
        <w:t>. Proto je duše dána od boha jako první formy (</w:t>
      </w:r>
      <w:r w:rsidR="08C762EC" w:rsidRPr="00273106">
        <w:rPr>
          <w:i/>
          <w:szCs w:val="22"/>
        </w:rPr>
        <w:t>immediate a forma non situale, scilicet prima</w:t>
      </w:r>
      <w:r w:rsidR="08C762EC" w:rsidRPr="00273106">
        <w:t xml:space="preserve">). </w:t>
      </w:r>
      <w:r w:rsidR="08270675">
        <w:t xml:space="preserve">Lidský intelekt nemá sídlo v žádném tělesném orgánu jako smysly, protože je přímým výkonem </w:t>
      </w:r>
      <w:r w:rsidR="08270675" w:rsidRPr="08270675">
        <w:rPr>
          <w:i/>
        </w:rPr>
        <w:t>anima intellectiva</w:t>
      </w:r>
      <w:r w:rsidR="08270675">
        <w:t xml:space="preserve">. </w:t>
      </w:r>
      <w:r w:rsidRPr="00273106">
        <w:t xml:space="preserve">Výkon nemateriální části duše doplňuje již dané duševní činnosti dané výkonem duše jako oživující formy. Substance může být jen </w:t>
      </w:r>
      <w:r w:rsidR="08F445F2">
        <w:t>jedna</w:t>
      </w:r>
      <w:r w:rsidR="00DD00B4">
        <w:t xml:space="preserve"> v jejím </w:t>
      </w:r>
      <w:r w:rsidR="00DD00B4" w:rsidRPr="002C5691">
        <w:rPr>
          <w:i/>
        </w:rPr>
        <w:t>actus essendi</w:t>
      </w:r>
      <w:r w:rsidR="08F445F2">
        <w:t>, což je člověk jako hylem</w:t>
      </w:r>
      <w:r w:rsidRPr="00273106">
        <w:t xml:space="preserve">orfická složenina. </w:t>
      </w:r>
      <w:r w:rsidR="08BE34CC">
        <w:t xml:space="preserve">Grossesteste je z tohoto zásadního důvodu autorem spisu </w:t>
      </w:r>
      <w:r w:rsidR="089A1B6F">
        <w:rPr>
          <w:i/>
        </w:rPr>
        <w:t>De anima et de potenciis eius</w:t>
      </w:r>
      <w:r w:rsidR="08BE34CC" w:rsidRPr="009850FF">
        <w:t xml:space="preserve">, protože tato argumentace odlišila Averroesovu definici osoby od </w:t>
      </w:r>
      <w:r w:rsidR="08BE34CC">
        <w:t xml:space="preserve">specifické </w:t>
      </w:r>
      <w:r w:rsidR="08764E1C">
        <w:t xml:space="preserve">a individuální </w:t>
      </w:r>
      <w:r w:rsidR="08BE34CC" w:rsidRPr="009850FF">
        <w:t xml:space="preserve">mrtvoly </w:t>
      </w:r>
      <w:r w:rsidR="08BE34CC">
        <w:t xml:space="preserve">porretánských </w:t>
      </w:r>
      <w:r w:rsidR="08BE34CC" w:rsidRPr="009850FF">
        <w:t>a</w:t>
      </w:r>
      <w:r w:rsidR="08BE34CC">
        <w:t>v</w:t>
      </w:r>
      <w:r w:rsidR="08BE34CC" w:rsidRPr="009850FF">
        <w:t>icennistů.</w:t>
      </w:r>
      <w:r w:rsidR="08BE34CC">
        <w:t xml:space="preserve"> </w:t>
      </w:r>
      <w:r w:rsidRPr="00273106">
        <w:t>Další důvod odmítnutí plurality substančních forem v člověku ukazuje poznání duše vázané na proces smyslové abstrakce</w:t>
      </w:r>
      <w:r w:rsidR="08112BA9">
        <w:t>, což opět tvoří zásadní stanovisko Blundovy školy proti neoplatonským modernistům</w:t>
      </w:r>
      <w:r w:rsidR="00433A46">
        <w:fldChar w:fldCharType="begin"/>
      </w:r>
      <w:r w:rsidR="00433A46">
        <w:instrText xml:space="preserve"> XE "</w:instrText>
      </w:r>
      <w:r w:rsidR="00433A46" w:rsidRPr="00513E5A">
        <w:instrText>abstrakce:</w:instrText>
      </w:r>
      <w:r w:rsidR="00433A46">
        <w:instrText>Grossete</w:instrText>
      </w:r>
      <w:r w:rsidR="00433A46" w:rsidRPr="00513E5A">
        <w:instrText>s</w:instrText>
      </w:r>
      <w:r w:rsidR="00433A46">
        <w:instrText>t</w:instrText>
      </w:r>
      <w:r w:rsidR="00433A46" w:rsidRPr="00513E5A">
        <w:instrText>e</w:instrText>
      </w:r>
      <w:r w:rsidR="00433A46">
        <w:instrText xml:space="preserve">" </w:instrText>
      </w:r>
      <w:r w:rsidR="00433A46">
        <w:fldChar w:fldCharType="end"/>
      </w:r>
      <w:r w:rsidRPr="00273106">
        <w:t>.</w:t>
      </w:r>
    </w:p>
    <w:p w14:paraId="1C5F3DAA" w14:textId="77777777" w:rsidR="00A53189" w:rsidRPr="00273106" w:rsidRDefault="00A53189" w:rsidP="00A53189">
      <w:pPr>
        <w:pStyle w:val="Citace"/>
        <w:rPr>
          <w:noProof/>
          <w:szCs w:val="22"/>
          <w:lang w:val="cs-CZ"/>
        </w:rPr>
      </w:pPr>
      <w:r w:rsidRPr="00273106">
        <w:rPr>
          <w:noProof/>
          <w:szCs w:val="22"/>
          <w:lang w:val="cs-CZ"/>
        </w:rPr>
        <w:t>„Racionální duše není spojena s tělem jen na způsob hybatele, ale také porozuměním skrze tělesné schopnosti</w:t>
      </w:r>
      <w:r w:rsidR="08397602">
        <w:rPr>
          <w:noProof/>
          <w:szCs w:val="22"/>
          <w:lang w:val="cs-CZ"/>
        </w:rPr>
        <w:t xml:space="preserve"> (</w:t>
      </w:r>
      <w:r w:rsidR="08397602" w:rsidRPr="08397602">
        <w:rPr>
          <w:i/>
        </w:rPr>
        <w:t>intelligens mediante virtute corporea</w:t>
      </w:r>
      <w:r w:rsidR="08397602">
        <w:rPr>
          <w:noProof/>
          <w:szCs w:val="22"/>
          <w:lang w:val="cs-CZ"/>
        </w:rPr>
        <w:t>)</w:t>
      </w:r>
      <w:r w:rsidR="08764E1C">
        <w:rPr>
          <w:noProof/>
          <w:szCs w:val="22"/>
          <w:lang w:val="cs-CZ"/>
        </w:rPr>
        <w:t xml:space="preserve">. </w:t>
      </w:r>
      <w:r w:rsidRPr="00273106">
        <w:rPr>
          <w:noProof/>
          <w:szCs w:val="22"/>
          <w:lang w:val="cs-CZ"/>
        </w:rPr>
        <w:t>Racionální duše nemůže rozumět bez fantasmatu</w:t>
      </w:r>
      <w:r w:rsidR="00CC4B35">
        <w:rPr>
          <w:noProof/>
          <w:szCs w:val="22"/>
          <w:lang w:val="cs-CZ"/>
        </w:rPr>
        <w:t xml:space="preserve"> (</w:t>
      </w:r>
      <w:r w:rsidR="00CC4B35" w:rsidRPr="00CC4B35">
        <w:rPr>
          <w:i/>
          <w:lang w:val="cs-CZ"/>
        </w:rPr>
        <w:t>i</w:t>
      </w:r>
      <w:r w:rsidR="00CC4B35" w:rsidRPr="00CC4B35">
        <w:rPr>
          <w:i/>
        </w:rPr>
        <w:t>ntelligit enim non sine phantasmate</w:t>
      </w:r>
      <w:r w:rsidR="00CC4B35">
        <w:rPr>
          <w:noProof/>
          <w:szCs w:val="22"/>
          <w:lang w:val="cs-CZ"/>
        </w:rPr>
        <w:t>)</w:t>
      </w:r>
      <w:r w:rsidRPr="00273106">
        <w:rPr>
          <w:noProof/>
          <w:szCs w:val="22"/>
          <w:lang w:val="cs-CZ"/>
        </w:rPr>
        <w:t>, což je akt smyslových schopností</w:t>
      </w:r>
      <w:r w:rsidR="002F6ADD">
        <w:rPr>
          <w:noProof/>
          <w:szCs w:val="22"/>
          <w:lang w:val="cs-CZ"/>
        </w:rPr>
        <w:t xml:space="preserve"> (</w:t>
      </w:r>
      <w:r w:rsidR="002F6ADD" w:rsidRPr="002F6ADD">
        <w:rPr>
          <w:i/>
        </w:rPr>
        <w:t>actus virtutis sensitivae</w:t>
      </w:r>
      <w:r w:rsidR="002F6ADD">
        <w:rPr>
          <w:noProof/>
          <w:szCs w:val="22"/>
          <w:lang w:val="cs-CZ"/>
        </w:rPr>
        <w:t>)</w:t>
      </w:r>
      <w:r w:rsidRPr="00273106">
        <w:rPr>
          <w:noProof/>
          <w:szCs w:val="22"/>
          <w:lang w:val="cs-CZ"/>
        </w:rPr>
        <w:t>.“</w:t>
      </w:r>
      <w:r w:rsidR="08A258C0">
        <w:rPr>
          <w:noProof/>
          <w:szCs w:val="22"/>
          <w:lang w:val="cs-CZ"/>
        </w:rPr>
        <w:t> </w:t>
      </w:r>
      <w:r w:rsidRPr="00273106">
        <w:rPr>
          <w:rStyle w:val="Znakapoznpodarou"/>
          <w:noProof/>
          <w:lang w:val="cs-CZ"/>
        </w:rPr>
        <w:footnoteReference w:id="354"/>
      </w:r>
    </w:p>
    <w:p w14:paraId="0CCD612D" w14:textId="77777777" w:rsidR="08A258C0" w:rsidRDefault="00A53189" w:rsidP="00221596">
      <w:r w:rsidRPr="00273106">
        <w:t>Dualistická teze avicennistů a karteziánů o externím působení duše na tělo (</w:t>
      </w:r>
      <w:r w:rsidRPr="00273106">
        <w:rPr>
          <w:i/>
        </w:rPr>
        <w:t>anima ut motor</w:t>
      </w:r>
      <w:r w:rsidR="00433A46">
        <w:rPr>
          <w:i/>
        </w:rPr>
        <w:fldChar w:fldCharType="begin"/>
      </w:r>
      <w:r w:rsidR="00433A46">
        <w:instrText xml:space="preserve"> XE "</w:instrText>
      </w:r>
      <w:r w:rsidR="00433A46" w:rsidRPr="00A00037">
        <w:rPr>
          <w:i/>
        </w:rPr>
        <w:instrText>anima ut motor</w:instrText>
      </w:r>
      <w:r w:rsidR="00433A46">
        <w:instrText xml:space="preserve">" </w:instrText>
      </w:r>
      <w:r w:rsidR="00433A46">
        <w:rPr>
          <w:i/>
        </w:rPr>
        <w:fldChar w:fldCharType="end"/>
      </w:r>
      <w:r w:rsidRPr="00273106">
        <w:t xml:space="preserve">) </w:t>
      </w:r>
      <w:r w:rsidR="00626EB9">
        <w:t xml:space="preserve">se váže na postavení intelektu </w:t>
      </w:r>
      <w:r w:rsidRPr="00273106">
        <w:rPr>
          <w:i/>
        </w:rPr>
        <w:t>secundum esse</w:t>
      </w:r>
      <w:r w:rsidRPr="00273106">
        <w:t>, tedy na nematerialitu myšlení formálně shodnou s výkonem intelektu hvězdných sfér.</w:t>
      </w:r>
      <w:r w:rsidR="00BC78EA">
        <w:t xml:space="preserve"> Klíčové je stupňované spojení </w:t>
      </w:r>
      <w:r w:rsidRPr="00273106">
        <w:rPr>
          <w:i/>
        </w:rPr>
        <w:t>non solum... sed</w:t>
      </w:r>
      <w:r w:rsidR="00BC78EA">
        <w:rPr>
          <w:i/>
        </w:rPr>
        <w:t xml:space="preserve"> etiam</w:t>
      </w:r>
      <w:r w:rsidRPr="00273106">
        <w:t xml:space="preserve">. Předešlé citace ukázaly, že intelektuální část duše je nemateriální, proto není vázaná na tělo stejně jako smysly. Ale člověk není čistý intelekt a </w:t>
      </w:r>
      <w:r w:rsidRPr="00273106">
        <w:lastRenderedPageBreak/>
        <w:t xml:space="preserve">nikdy na tomto světě nebude, i když má </w:t>
      </w:r>
      <w:r w:rsidR="00285C91">
        <w:t xml:space="preserve">podle Grossetesteho </w:t>
      </w:r>
      <w:r w:rsidRPr="00273106">
        <w:t xml:space="preserve">schopnost přímého poznání </w:t>
      </w:r>
      <w:r w:rsidR="00626EB9">
        <w:t xml:space="preserve">oddělených </w:t>
      </w:r>
      <w:r w:rsidRPr="00273106">
        <w:t>intelektuálních forem</w:t>
      </w:r>
      <w:r w:rsidR="00626EB9">
        <w:t xml:space="preserve">. Způsob bytí našeho intelektu </w:t>
      </w:r>
      <w:r w:rsidRPr="00273106">
        <w:rPr>
          <w:i/>
        </w:rPr>
        <w:t>secundum substantiam</w:t>
      </w:r>
      <w:r w:rsidRPr="00273106">
        <w:t xml:space="preserve"> je na rozdíl od hvězdné sféry vázaný na abstrakci a na existenci v těle (</w:t>
      </w:r>
      <w:r w:rsidRPr="00273106">
        <w:rPr>
          <w:i/>
          <w:szCs w:val="22"/>
        </w:rPr>
        <w:t>intelligens mediante virtute corporea</w:t>
      </w:r>
      <w:r w:rsidRPr="00273106">
        <w:t xml:space="preserve">). </w:t>
      </w:r>
      <w:r w:rsidR="08A258C0">
        <w:t xml:space="preserve">Pokračování tohoto citátu ukazuje </w:t>
      </w:r>
      <w:r w:rsidR="08A258C0" w:rsidRPr="00273106">
        <w:t xml:space="preserve">dilema </w:t>
      </w:r>
      <w:r w:rsidR="08A258C0">
        <w:t>začínající moderny.</w:t>
      </w:r>
    </w:p>
    <w:p w14:paraId="3E15BA96" w14:textId="0A24A9BD" w:rsidR="08A258C0" w:rsidRDefault="08A258C0" w:rsidP="08A258C0">
      <w:pPr>
        <w:pStyle w:val="Citace"/>
      </w:pPr>
      <w:r>
        <w:rPr>
          <w:noProof/>
        </w:rPr>
        <w:t>„</w:t>
      </w:r>
      <w:r w:rsidRPr="00273106">
        <w:rPr>
          <w:noProof/>
        </w:rPr>
        <w:t>Skutečná forma, která je současně exemplarem a skrze kterou věc existuje, není spojena s věcí, ale je abstrahována, je jednoduchá a oddělená. To je první forma</w:t>
      </w:r>
      <w:r>
        <w:rPr>
          <w:noProof/>
        </w:rPr>
        <w:t>, a</w:t>
      </w:r>
      <w:r w:rsidRPr="00273106">
        <w:rPr>
          <w:noProof/>
        </w:rPr>
        <w:t xml:space="preserve">le jak </w:t>
      </w:r>
      <w:r w:rsidR="08FE7A90">
        <w:rPr>
          <w:noProof/>
          <w:lang w:val="cs-CZ"/>
        </w:rPr>
        <w:t xml:space="preserve">existuje </w:t>
      </w:r>
      <w:r w:rsidR="009D3AD7">
        <w:rPr>
          <w:noProof/>
          <w:lang w:val="cs-CZ"/>
        </w:rPr>
        <w:t>ta</w:t>
      </w:r>
      <w:r w:rsidR="081405FE">
        <w:rPr>
          <w:noProof/>
          <w:lang w:val="cs-CZ"/>
        </w:rPr>
        <w:t xml:space="preserve">to </w:t>
      </w:r>
      <w:r w:rsidR="08FE7A90">
        <w:rPr>
          <w:noProof/>
        </w:rPr>
        <w:t>první form</w:t>
      </w:r>
      <w:r w:rsidR="08FE7A90">
        <w:rPr>
          <w:noProof/>
          <w:lang w:val="cs-CZ"/>
        </w:rPr>
        <w:t>a</w:t>
      </w:r>
      <w:r w:rsidRPr="00273106">
        <w:rPr>
          <w:noProof/>
        </w:rPr>
        <w:t>, to je obtížné vysvětlit</w:t>
      </w:r>
      <w:r>
        <w:rPr>
          <w:noProof/>
        </w:rPr>
        <w:t xml:space="preserve">.“ </w:t>
      </w:r>
      <w:r>
        <w:rPr>
          <w:rStyle w:val="Znakapoznpodarou"/>
          <w:noProof/>
        </w:rPr>
        <w:footnoteReference w:id="355"/>
      </w:r>
    </w:p>
    <w:p w14:paraId="0A05D222" w14:textId="0FAB9FB8" w:rsidR="00DD7927" w:rsidRDefault="08A258C0" w:rsidP="00221596">
      <w:r>
        <w:t>Kvůli obhajobě exemplaru musí oxfordský Grosseteste částečně zrušit původní nauku Blundovy školy, kterou hájil v Paříži. E</w:t>
      </w:r>
      <w:r w:rsidR="00A53189" w:rsidRPr="00273106">
        <w:t>xemplar</w:t>
      </w:r>
      <w:r w:rsidR="00EF0CA1">
        <w:rPr>
          <w:i/>
          <w:szCs w:val="22"/>
        </w:rPr>
        <w:fldChar w:fldCharType="begin"/>
      </w:r>
      <w:r w:rsidR="00EF0CA1">
        <w:instrText xml:space="preserve"> XE "</w:instrText>
      </w:r>
      <w:r w:rsidR="00EF0CA1" w:rsidRPr="00B03A14">
        <w:instrText>exemplar</w:instrText>
      </w:r>
      <w:r w:rsidR="00EF0CA1">
        <w:instrText xml:space="preserve">" </w:instrText>
      </w:r>
      <w:r w:rsidR="00EF0CA1">
        <w:rPr>
          <w:i/>
          <w:szCs w:val="22"/>
        </w:rPr>
        <w:fldChar w:fldCharType="end"/>
      </w:r>
      <w:r>
        <w:t xml:space="preserve"> </w:t>
      </w:r>
      <w:r w:rsidR="00A53189" w:rsidRPr="00273106">
        <w:t>není přímo nazírán</w:t>
      </w:r>
      <w:r w:rsidR="00CB5F3F">
        <w:t xml:space="preserve"> ve svém bytí</w:t>
      </w:r>
      <w:r>
        <w:t xml:space="preserve"> jako u porretánů</w:t>
      </w:r>
      <w:r w:rsidR="00A53189" w:rsidRPr="00273106">
        <w:t>, ale je abstrahován skrze materiální věci (</w:t>
      </w:r>
      <w:r w:rsidR="00A53189" w:rsidRPr="00273106">
        <w:rPr>
          <w:i/>
          <w:szCs w:val="22"/>
        </w:rPr>
        <w:t>exemplar...non est coniuncta rei, sed abstracta</w:t>
      </w:r>
      <w:r w:rsidR="00A53189" w:rsidRPr="00273106">
        <w:t xml:space="preserve">). </w:t>
      </w:r>
      <w:r w:rsidR="00626EB9">
        <w:t xml:space="preserve">Toto pojetí vykazuje zásadní shodu s již zmíněným traktátem </w:t>
      </w:r>
      <w:r w:rsidR="089A1B6F">
        <w:rPr>
          <w:i/>
        </w:rPr>
        <w:t>De anima et de potenciis eius</w:t>
      </w:r>
      <w:r w:rsidR="00626EB9">
        <w:rPr>
          <w:i/>
        </w:rPr>
        <w:t>.</w:t>
      </w:r>
      <w:r w:rsidR="00626EB9">
        <w:t xml:space="preserve"> </w:t>
      </w:r>
      <w:r w:rsidR="00925569">
        <w:t xml:space="preserve">Kvůli problematickému statusu exemplaru, </w:t>
      </w:r>
      <w:r w:rsidR="00C20FEF" w:rsidRPr="00DC6664">
        <w:rPr>
          <w:szCs w:val="24"/>
        </w:rPr>
        <w:t xml:space="preserve">Grosseteste </w:t>
      </w:r>
      <w:r w:rsidR="007A2F22">
        <w:rPr>
          <w:szCs w:val="24"/>
        </w:rPr>
        <w:t xml:space="preserve">činný </w:t>
      </w:r>
      <w:r w:rsidR="00C20FEF">
        <w:rPr>
          <w:szCs w:val="24"/>
        </w:rPr>
        <w:t xml:space="preserve">v Oxfordu </w:t>
      </w:r>
      <w:r w:rsidR="00673170">
        <w:t xml:space="preserve">už </w:t>
      </w:r>
      <w:r w:rsidR="00A53189" w:rsidRPr="00273106">
        <w:t>není schopen jednoznačně obhájit jednotu intelektu, duše a těla v rámci jednoho subsistentního aktu existence (</w:t>
      </w:r>
      <w:r w:rsidR="00A53189" w:rsidRPr="00273106">
        <w:rPr>
          <w:i/>
          <w:szCs w:val="22"/>
        </w:rPr>
        <w:t>difficile est explanare</w:t>
      </w:r>
      <w:r w:rsidR="00A53189" w:rsidRPr="00273106">
        <w:t>).</w:t>
      </w:r>
      <w:r w:rsidR="003643BD">
        <w:t xml:space="preserve"> </w:t>
      </w:r>
      <w:r w:rsidR="081C5C03">
        <w:t>To je typický výklad CMDA podle Toledské školy, který z Averro</w:t>
      </w:r>
      <w:r w:rsidR="081A4D6A">
        <w:t>e</w:t>
      </w:r>
      <w:r w:rsidR="081C5C03">
        <w:t xml:space="preserve">se udělal averroistu. </w:t>
      </w:r>
      <w:r w:rsidR="00DD7927">
        <w:t>Akvinský bránil podle Grossetesteho i</w:t>
      </w:r>
      <w:r w:rsidR="00070681">
        <w:t xml:space="preserve">ntelekt jako </w:t>
      </w:r>
      <w:r w:rsidR="08807E57">
        <w:t xml:space="preserve">hypostázovanou </w:t>
      </w:r>
      <w:r w:rsidR="00070681">
        <w:t>formu duše</w:t>
      </w:r>
      <w:r w:rsidR="08BF0469">
        <w:t>, což ukazuje jeho polemika se Sigerem</w:t>
      </w:r>
      <w:r w:rsidR="00DD7927">
        <w:t>.</w:t>
      </w:r>
    </w:p>
    <w:p w14:paraId="62A3F205" w14:textId="3E541F3A" w:rsidR="00221596" w:rsidRPr="00273106" w:rsidRDefault="00A53189" w:rsidP="00DD7927">
      <w:pPr>
        <w:ind w:firstLine="397"/>
      </w:pPr>
      <w:r w:rsidRPr="00273106">
        <w:t>Grosstetest</w:t>
      </w:r>
      <w:r w:rsidR="001913B9">
        <w:t>e vyznává pluralitu forem v člověku</w:t>
      </w:r>
      <w:r w:rsidRPr="00273106">
        <w:t>, ale nikoliv pluralitu substa</w:t>
      </w:r>
      <w:r w:rsidR="001913B9">
        <w:t xml:space="preserve">ncí </w:t>
      </w:r>
      <w:r w:rsidR="002603FA">
        <w:t>v člověku</w:t>
      </w:r>
      <w:r w:rsidRPr="00273106">
        <w:t xml:space="preserve">. </w:t>
      </w:r>
      <w:r w:rsidR="00FC5496">
        <w:rPr>
          <w:iCs/>
        </w:rPr>
        <w:t>Esence člověka jako jedné substance je u Grossetesteho spojena s výkonem poznání jako potencí hylemorfické osoby (</w:t>
      </w:r>
      <w:r w:rsidR="00FC5496" w:rsidRPr="00FC5496">
        <w:rPr>
          <w:i/>
          <w:iCs/>
        </w:rPr>
        <w:t>totum</w:t>
      </w:r>
      <w:r w:rsidR="089D784B">
        <w:rPr>
          <w:i/>
          <w:iCs/>
        </w:rPr>
        <w:t xml:space="preserve"> integrum</w:t>
      </w:r>
      <w:r w:rsidR="00FC5496">
        <w:rPr>
          <w:iCs/>
        </w:rPr>
        <w:t>)</w:t>
      </w:r>
      <w:r w:rsidR="009F3C7B">
        <w:rPr>
          <w:iCs/>
        </w:rPr>
        <w:t>. D</w:t>
      </w:r>
      <w:r w:rsidR="00FC5496">
        <w:rPr>
          <w:iCs/>
        </w:rPr>
        <w:t>uše je nemateriální formou těla</w:t>
      </w:r>
      <w:r w:rsidR="008D0D0B">
        <w:rPr>
          <w:iCs/>
        </w:rPr>
        <w:t xml:space="preserve"> jak</w:t>
      </w:r>
      <w:r w:rsidR="009F3C7B">
        <w:rPr>
          <w:iCs/>
        </w:rPr>
        <w:t xml:space="preserve">o jediné substance </w:t>
      </w:r>
      <w:r w:rsidR="008D0D0B">
        <w:rPr>
          <w:iCs/>
        </w:rPr>
        <w:t>určující osobu</w:t>
      </w:r>
      <w:r w:rsidR="00FC5496">
        <w:rPr>
          <w:iCs/>
        </w:rPr>
        <w:t xml:space="preserve">. Grosseteste </w:t>
      </w:r>
      <w:r w:rsidR="085E4F55">
        <w:rPr>
          <w:iCs/>
        </w:rPr>
        <w:t xml:space="preserve">hned na začátku své myslitelské dráhy </w:t>
      </w:r>
      <w:r w:rsidR="00FC5496">
        <w:rPr>
          <w:iCs/>
        </w:rPr>
        <w:t xml:space="preserve">odmítl Gundissalinovu definici duše danou podle avicennismu Toledské školy, která vytvořila v člověku dvě oddělené hypostáze. </w:t>
      </w:r>
      <w:r w:rsidR="009002E4">
        <w:rPr>
          <w:iCs/>
        </w:rPr>
        <w:t>M</w:t>
      </w:r>
      <w:r w:rsidR="00FC5496">
        <w:t xml:space="preserve">ladý učenec </w:t>
      </w:r>
      <w:r w:rsidR="009002E4">
        <w:t xml:space="preserve">formovaný v prostředí Blundovy školy se </w:t>
      </w:r>
      <w:r w:rsidR="085A15CC">
        <w:t xml:space="preserve">definitivně </w:t>
      </w:r>
      <w:r w:rsidR="009002E4">
        <w:t xml:space="preserve">rozešel </w:t>
      </w:r>
      <w:r w:rsidR="00F71E11">
        <w:t xml:space="preserve">s moderními avicennisty </w:t>
      </w:r>
      <w:r w:rsidR="085A15CC">
        <w:t xml:space="preserve">a porretány v otázce jednoty osoby a poznání </w:t>
      </w:r>
      <w:r w:rsidR="085E4F55">
        <w:t>po roce 1220</w:t>
      </w:r>
      <w:r w:rsidR="009002E4">
        <w:t>. Klíčovým bodem rozchodu byla jednota</w:t>
      </w:r>
      <w:r w:rsidR="00F71E11">
        <w:t xml:space="preserve"> osoby</w:t>
      </w:r>
      <w:r w:rsidR="009002E4">
        <w:t xml:space="preserve">, která je úhelným kamenem křesťanského učení. V tomto bodě se Grosseteste shodoval se svým univerzitním kolegou Alvernem a stejnou cestu zvolili o generaci později </w:t>
      </w:r>
      <w:r w:rsidR="00421200">
        <w:t xml:space="preserve">také </w:t>
      </w:r>
      <w:r w:rsidR="00F71E11">
        <w:t>mladí představitelé prvního averroi</w:t>
      </w:r>
      <w:r w:rsidR="009002E4">
        <w:t>s</w:t>
      </w:r>
      <w:r w:rsidR="00F71E11">
        <w:t xml:space="preserve">mu formovaní v Paříži (Albert, Bacon). </w:t>
      </w:r>
      <w:r w:rsidR="004427E7">
        <w:t xml:space="preserve">Grossetesteho komentář k </w:t>
      </w:r>
      <w:r w:rsidR="004427E7" w:rsidRPr="004427E7">
        <w:rPr>
          <w:i/>
        </w:rPr>
        <w:t>De anima</w:t>
      </w:r>
      <w:r w:rsidR="004427E7">
        <w:t xml:space="preserve"> </w:t>
      </w:r>
      <w:r w:rsidR="00221596" w:rsidRPr="00273106">
        <w:t>zná Boet</w:t>
      </w:r>
      <w:r w:rsidR="003A2970" w:rsidRPr="00273106">
        <w:t xml:space="preserve">hiovo a Abelardovo </w:t>
      </w:r>
      <w:r w:rsidR="00E65365" w:rsidRPr="00273106">
        <w:t xml:space="preserve">rozlišení </w:t>
      </w:r>
      <w:r w:rsidR="003A2970" w:rsidRPr="00273106">
        <w:t xml:space="preserve">jednotliviny </w:t>
      </w:r>
      <w:r w:rsidR="00E65365" w:rsidRPr="00273106">
        <w:t xml:space="preserve">v rámci </w:t>
      </w:r>
      <w:r w:rsidR="003A2970" w:rsidRPr="00273106">
        <w:t>první a druhé substance</w:t>
      </w:r>
      <w:r w:rsidR="00A70FA4">
        <w:fldChar w:fldCharType="begin"/>
      </w:r>
      <w:r w:rsidR="00A70FA4">
        <w:instrText xml:space="preserve"> XE "</w:instrText>
      </w:r>
      <w:r w:rsidR="00A70FA4" w:rsidRPr="00DE2A32">
        <w:instrText>substance</w:instrText>
      </w:r>
      <w:r w:rsidR="00EF0CA1">
        <w:instrText>:druhý averroismus</w:instrText>
      </w:r>
      <w:r w:rsidR="00A70FA4">
        <w:instrText xml:space="preserve">" </w:instrText>
      </w:r>
      <w:r w:rsidR="00A70FA4">
        <w:fldChar w:fldCharType="end"/>
      </w:r>
      <w:r w:rsidR="003A2970" w:rsidRPr="00273106">
        <w:t xml:space="preserve"> </w:t>
      </w:r>
      <w:r w:rsidR="00221596" w:rsidRPr="00273106">
        <w:t>(</w:t>
      </w:r>
      <w:r w:rsidR="089C5B68">
        <w:t>kap. 1</w:t>
      </w:r>
      <w:r w:rsidR="001B156E">
        <w:t>.3</w:t>
      </w:r>
      <w:r w:rsidR="00221596" w:rsidRPr="00273106">
        <w:t xml:space="preserve">). </w:t>
      </w:r>
      <w:r w:rsidR="001B7195">
        <w:t xml:space="preserve">Citovaná kapitola </w:t>
      </w:r>
      <w:r w:rsidR="00E65365" w:rsidRPr="00273106">
        <w:t xml:space="preserve">analyzovala </w:t>
      </w:r>
      <w:r w:rsidR="00377F9F">
        <w:t xml:space="preserve">Boethiův </w:t>
      </w:r>
      <w:r w:rsidR="00E65365" w:rsidRPr="00273106">
        <w:t xml:space="preserve">výrok </w:t>
      </w:r>
      <w:r w:rsidR="00221596" w:rsidRPr="00273106">
        <w:rPr>
          <w:i/>
        </w:rPr>
        <w:lastRenderedPageBreak/>
        <w:t xml:space="preserve">totum autem hoc animal </w:t>
      </w:r>
      <w:r w:rsidR="00221596" w:rsidRPr="00273106">
        <w:rPr>
          <w:lang w:eastAsia="en-US"/>
        </w:rPr>
        <w:t>(</w:t>
      </w:r>
      <w:r w:rsidR="08161C73" w:rsidRPr="08161C73">
        <w:rPr>
          <w:i/>
          <w:lang w:eastAsia="en-US"/>
        </w:rPr>
        <w:t>Boeth. In Porph. Isag</w:t>
      </w:r>
      <w:r w:rsidR="08161C73">
        <w:rPr>
          <w:lang w:eastAsia="en-US"/>
        </w:rPr>
        <w:t xml:space="preserve">. </w:t>
      </w:r>
      <w:r w:rsidR="00221596" w:rsidRPr="00273106">
        <w:rPr>
          <w:rStyle w:val="TextpoznpodarouChar"/>
        </w:rPr>
        <w:t>III.10</w:t>
      </w:r>
      <w:r w:rsidR="00EF0CA1">
        <w:rPr>
          <w:rStyle w:val="TextpoznpodarouChar"/>
        </w:rPr>
        <w:fldChar w:fldCharType="begin"/>
      </w:r>
      <w:r w:rsidR="00EF0CA1">
        <w:instrText xml:space="preserve"> XE "</w:instrText>
      </w:r>
      <w:r w:rsidR="08161C73" w:rsidRPr="08161C73">
        <w:rPr>
          <w:lang w:eastAsia="en-US"/>
        </w:rPr>
        <w:instrText>Boethius</w:instrText>
      </w:r>
      <w:r w:rsidR="08161C73">
        <w:rPr>
          <w:i/>
          <w:lang w:eastAsia="en-US"/>
        </w:rPr>
        <w:instrText>:</w:instrText>
      </w:r>
      <w:r w:rsidR="08161C73" w:rsidRPr="08161C73">
        <w:rPr>
          <w:i/>
          <w:lang w:eastAsia="en-US"/>
        </w:rPr>
        <w:instrText>Boeth. In Porph. Isag</w:instrText>
      </w:r>
      <w:r w:rsidR="00EF0CA1" w:rsidRPr="00E82317">
        <w:rPr>
          <w:lang w:eastAsia="en-US"/>
        </w:rPr>
        <w:instrText xml:space="preserve"> </w:instrText>
      </w:r>
      <w:r w:rsidR="00976C0C">
        <w:rPr>
          <w:rStyle w:val="TextpoznpodarouChar"/>
        </w:rPr>
        <w:instrText>3</w:instrText>
      </w:r>
      <w:r w:rsidR="00EF0CA1" w:rsidRPr="00E82317">
        <w:rPr>
          <w:rStyle w:val="TextpoznpodarouChar"/>
        </w:rPr>
        <w:instrText>.10</w:instrText>
      </w:r>
      <w:r w:rsidR="00EF0CA1">
        <w:instrText xml:space="preserve">" </w:instrText>
      </w:r>
      <w:r w:rsidR="00EF0CA1">
        <w:rPr>
          <w:rStyle w:val="TextpoznpodarouChar"/>
        </w:rPr>
        <w:fldChar w:fldCharType="end"/>
      </w:r>
      <w:r w:rsidR="00221596" w:rsidRPr="00273106">
        <w:rPr>
          <w:rStyle w:val="TextpoznpodarouChar"/>
        </w:rPr>
        <w:t>), kdy vzniká celek první substance v realitě (</w:t>
      </w:r>
      <w:r w:rsidR="00221596" w:rsidRPr="00273106">
        <w:rPr>
          <w:rStyle w:val="TextpoznpodarouChar"/>
          <w:i/>
        </w:rPr>
        <w:t>totum integrum</w:t>
      </w:r>
      <w:r w:rsidR="00345D28">
        <w:rPr>
          <w:rStyle w:val="TextpoznpodarouChar"/>
          <w:i/>
        </w:rPr>
        <w:fldChar w:fldCharType="begin"/>
      </w:r>
      <w:r w:rsidR="00345D28">
        <w:instrText xml:space="preserve"> XE "</w:instrText>
      </w:r>
      <w:r w:rsidR="00345D28" w:rsidRPr="00A61533">
        <w:rPr>
          <w:i/>
        </w:rPr>
        <w:instrText>totum integrum</w:instrText>
      </w:r>
      <w:r w:rsidR="00345D28">
        <w:instrText xml:space="preserve">" </w:instrText>
      </w:r>
      <w:r w:rsidR="00345D28">
        <w:rPr>
          <w:rStyle w:val="TextpoznpodarouChar"/>
          <w:i/>
        </w:rPr>
        <w:fldChar w:fldCharType="end"/>
      </w:r>
      <w:r w:rsidR="00221596" w:rsidRPr="00273106">
        <w:rPr>
          <w:rStyle w:val="TextpoznpodarouChar"/>
        </w:rPr>
        <w:t xml:space="preserve">) </w:t>
      </w:r>
      <w:r w:rsidR="00E65365" w:rsidRPr="00273106">
        <w:rPr>
          <w:rStyle w:val="TextpoznpodarouChar"/>
        </w:rPr>
        <w:t>odlišný od signifikace této substance dané</w:t>
      </w:r>
      <w:r w:rsidR="00221596" w:rsidRPr="00273106">
        <w:rPr>
          <w:rStyle w:val="TextpoznpodarouChar"/>
        </w:rPr>
        <w:t xml:space="preserve"> v mysli (</w:t>
      </w:r>
      <w:r w:rsidR="00221596" w:rsidRPr="00273106">
        <w:rPr>
          <w:rStyle w:val="TextpoznpodarouChar"/>
          <w:i/>
        </w:rPr>
        <w:t>totum universale</w:t>
      </w:r>
      <w:r w:rsidR="00345D28">
        <w:rPr>
          <w:rStyle w:val="TextpoznpodarouChar"/>
          <w:i/>
        </w:rPr>
        <w:fldChar w:fldCharType="begin"/>
      </w:r>
      <w:r w:rsidR="00345D28">
        <w:instrText xml:space="preserve"> XE "</w:instrText>
      </w:r>
      <w:r w:rsidR="00345D28" w:rsidRPr="00F92D1B">
        <w:rPr>
          <w:i/>
        </w:rPr>
        <w:instrText>totum universale</w:instrText>
      </w:r>
      <w:r w:rsidR="00345D28">
        <w:instrText xml:space="preserve">" </w:instrText>
      </w:r>
      <w:r w:rsidR="00345D28">
        <w:rPr>
          <w:rStyle w:val="TextpoznpodarouChar"/>
          <w:i/>
        </w:rPr>
        <w:fldChar w:fldCharType="end"/>
      </w:r>
      <w:r w:rsidR="00221596" w:rsidRPr="00273106">
        <w:rPr>
          <w:rStyle w:val="TextpoznpodarouChar"/>
        </w:rPr>
        <w:t xml:space="preserve">). </w:t>
      </w:r>
      <w:r w:rsidR="00A02DB2">
        <w:rPr>
          <w:rStyle w:val="TextpoznpodarouChar"/>
        </w:rPr>
        <w:t>Tato diference postavila Abelarda a později i Blundovu školu proti porretánům</w:t>
      </w:r>
      <w:r w:rsidR="008F148C">
        <w:rPr>
          <w:rStyle w:val="TextpoznpodarouChar"/>
        </w:rPr>
        <w:t>. M</w:t>
      </w:r>
      <w:r w:rsidR="00A02DB2">
        <w:rPr>
          <w:rStyle w:val="TextpoznpodarouChar"/>
        </w:rPr>
        <w:t>rtvola není člověkem</w:t>
      </w:r>
      <w:r w:rsidR="008F148C">
        <w:rPr>
          <w:rStyle w:val="TextpoznpodarouChar"/>
        </w:rPr>
        <w:t xml:space="preserve">, protože chybí impozice významu od </w:t>
      </w:r>
      <w:r w:rsidR="08627D70">
        <w:rPr>
          <w:rStyle w:val="TextpoznpodarouChar"/>
        </w:rPr>
        <w:t>reálné první substance dané hyparchicky (</w:t>
      </w:r>
      <w:r w:rsidR="008F148C" w:rsidRPr="00273106">
        <w:rPr>
          <w:rStyle w:val="TextpoznpodarouChar"/>
          <w:i/>
        </w:rPr>
        <w:t>totum integrum</w:t>
      </w:r>
      <w:r w:rsidR="08627D70">
        <w:rPr>
          <w:rStyle w:val="TextpoznpodarouChar"/>
        </w:rPr>
        <w:t>)</w:t>
      </w:r>
      <w:r w:rsidR="00A02DB2">
        <w:rPr>
          <w:rStyle w:val="TextpoznpodarouChar"/>
        </w:rPr>
        <w:t xml:space="preserve">. </w:t>
      </w:r>
      <w:r w:rsidR="002B64E4">
        <w:rPr>
          <w:rStyle w:val="TextpoznpodarouChar"/>
        </w:rPr>
        <w:t xml:space="preserve">Grosseteste použil </w:t>
      </w:r>
      <w:r w:rsidR="08166085">
        <w:rPr>
          <w:rStyle w:val="TextpoznpodarouChar"/>
        </w:rPr>
        <w:t xml:space="preserve">Abelardovu </w:t>
      </w:r>
      <w:r w:rsidR="002B64E4">
        <w:rPr>
          <w:rStyle w:val="TextpoznpodarouChar"/>
        </w:rPr>
        <w:t>argumentaci k tomu, aby odmítl avicennistický dualismus duše a těla jako dvou autonom</w:t>
      </w:r>
      <w:r w:rsidR="00E815AF">
        <w:rPr>
          <w:rStyle w:val="TextpoznpodarouChar"/>
        </w:rPr>
        <w:t>n</w:t>
      </w:r>
      <w:r w:rsidR="002B64E4">
        <w:rPr>
          <w:rStyle w:val="TextpoznpodarouChar"/>
        </w:rPr>
        <w:t xml:space="preserve">ích substancí. </w:t>
      </w:r>
      <w:r w:rsidR="00D5213B">
        <w:t xml:space="preserve">Duše je </w:t>
      </w:r>
      <w:r w:rsidR="00D5213B" w:rsidRPr="00273106">
        <w:t xml:space="preserve">chápána v rámci </w:t>
      </w:r>
      <w:r w:rsidR="0028242A">
        <w:t xml:space="preserve">Averroesova </w:t>
      </w:r>
      <w:r w:rsidR="00D5213B" w:rsidRPr="00273106">
        <w:t xml:space="preserve">scénáře jako </w:t>
      </w:r>
      <w:r w:rsidR="00D5213B">
        <w:t>završení nižších složek duše (</w:t>
      </w:r>
      <w:r w:rsidR="00D5213B" w:rsidRPr="00273106">
        <w:rPr>
          <w:i/>
        </w:rPr>
        <w:t>perfectio animae</w:t>
      </w:r>
      <w:r w:rsidR="00D5213B">
        <w:t>) a j</w:t>
      </w:r>
      <w:r w:rsidR="00D5213B" w:rsidRPr="00273106">
        <w:t xml:space="preserve">ejí dělení sleduje aristotelskou linii </w:t>
      </w:r>
      <w:r w:rsidR="00783500">
        <w:t>„</w:t>
      </w:r>
      <w:r w:rsidR="00D5213B" w:rsidRPr="00273106">
        <w:t>akt/potence</w:t>
      </w:r>
      <w:r w:rsidR="00783500">
        <w:t>“, nikoliv avicennistickou linii „esence/akcident“</w:t>
      </w:r>
      <w:r w:rsidR="00D5213B" w:rsidRPr="00273106">
        <w:t>.</w:t>
      </w:r>
      <w:r w:rsidR="0048475B">
        <w:t xml:space="preserve"> Jakákoliv forma hylemorfismu pro duši je nesmysl</w:t>
      </w:r>
      <w:r w:rsidR="00A43D89">
        <w:t>, protože by z duše udělala aktuální substanci</w:t>
      </w:r>
      <w:r w:rsidR="0048475B">
        <w:t>.</w:t>
      </w:r>
    </w:p>
    <w:p w14:paraId="46888860" w14:textId="5FDCB3C4" w:rsidR="005C35A7" w:rsidRPr="00273106" w:rsidRDefault="00221596" w:rsidP="007405CB">
      <w:pPr>
        <w:pStyle w:val="Citace"/>
        <w:rPr>
          <w:noProof/>
          <w:lang w:val="cs-CZ"/>
        </w:rPr>
      </w:pPr>
      <w:r w:rsidRPr="00273106">
        <w:rPr>
          <w:noProof/>
          <w:lang w:val="cs-CZ"/>
        </w:rPr>
        <w:t>„</w:t>
      </w:r>
      <w:r w:rsidR="007405CB" w:rsidRPr="00273106">
        <w:rPr>
          <w:noProof/>
          <w:lang w:val="cs-CZ"/>
        </w:rPr>
        <w:t xml:space="preserve">Duše má dvojí schopnost zdokonalování a potenciality. Proto </w:t>
      </w:r>
      <w:r w:rsidR="089D136F">
        <w:rPr>
          <w:noProof/>
          <w:lang w:val="cs-CZ"/>
        </w:rPr>
        <w:t xml:space="preserve">predikujeme duši jako </w:t>
      </w:r>
      <w:r w:rsidR="007405CB" w:rsidRPr="00273106">
        <w:rPr>
          <w:noProof/>
          <w:lang w:val="cs-CZ"/>
        </w:rPr>
        <w:t>dvojí cel</w:t>
      </w:r>
      <w:r w:rsidR="089D136F">
        <w:rPr>
          <w:noProof/>
          <w:lang w:val="cs-CZ"/>
        </w:rPr>
        <w:t>ek (</w:t>
      </w:r>
      <w:r w:rsidR="089D136F" w:rsidRPr="089D136F">
        <w:rPr>
          <w:i/>
        </w:rPr>
        <w:t>dicitur totum dupliciter</w:t>
      </w:r>
      <w:r w:rsidR="089D136F">
        <w:rPr>
          <w:noProof/>
          <w:lang w:val="cs-CZ"/>
        </w:rPr>
        <w:t>), totiž aktuální celek (</w:t>
      </w:r>
      <w:r w:rsidR="089D136F" w:rsidRPr="089D136F">
        <w:rPr>
          <w:i/>
        </w:rPr>
        <w:t>totum perfectum</w:t>
      </w:r>
      <w:r w:rsidR="089D136F">
        <w:rPr>
          <w:noProof/>
          <w:lang w:val="cs-CZ"/>
        </w:rPr>
        <w:t>) a celek daný</w:t>
      </w:r>
      <w:r w:rsidR="007405CB" w:rsidRPr="00273106">
        <w:rPr>
          <w:noProof/>
          <w:lang w:val="cs-CZ"/>
        </w:rPr>
        <w:t xml:space="preserve"> v možnosti, čili virtuálně</w:t>
      </w:r>
      <w:r w:rsidR="089D136F">
        <w:rPr>
          <w:noProof/>
          <w:lang w:val="cs-CZ"/>
        </w:rPr>
        <w:t xml:space="preserve"> (</w:t>
      </w:r>
      <w:r w:rsidR="089D136F" w:rsidRPr="089D136F">
        <w:rPr>
          <w:i/>
        </w:rPr>
        <w:t>totum potentiale sive virtuale</w:t>
      </w:r>
      <w:r w:rsidR="089D136F">
        <w:rPr>
          <w:noProof/>
          <w:lang w:val="cs-CZ"/>
        </w:rPr>
        <w:t>)</w:t>
      </w:r>
      <w:r w:rsidR="007405CB" w:rsidRPr="00273106">
        <w:rPr>
          <w:noProof/>
          <w:lang w:val="cs-CZ"/>
        </w:rPr>
        <w:t xml:space="preserve">. Celistvost daná dokonale je </w:t>
      </w:r>
      <w:r w:rsidR="00320473" w:rsidRPr="00273106">
        <w:rPr>
          <w:noProof/>
          <w:lang w:val="cs-CZ"/>
        </w:rPr>
        <w:t xml:space="preserve">obsažena </w:t>
      </w:r>
      <w:r w:rsidR="007405CB" w:rsidRPr="00273106">
        <w:rPr>
          <w:noProof/>
          <w:lang w:val="cs-CZ"/>
        </w:rPr>
        <w:t xml:space="preserve">v duši </w:t>
      </w:r>
      <w:r w:rsidR="08535A87">
        <w:rPr>
          <w:noProof/>
          <w:lang w:val="cs-CZ"/>
        </w:rPr>
        <w:t>(</w:t>
      </w:r>
      <w:r w:rsidR="08535A87" w:rsidRPr="08535A87">
        <w:rPr>
          <w:i/>
        </w:rPr>
        <w:t>inest animae</w:t>
      </w:r>
      <w:r w:rsidR="08535A87">
        <w:rPr>
          <w:noProof/>
          <w:lang w:val="cs-CZ"/>
        </w:rPr>
        <w:t xml:space="preserve">) </w:t>
      </w:r>
      <w:r w:rsidR="007405CB" w:rsidRPr="00273106">
        <w:rPr>
          <w:noProof/>
          <w:lang w:val="cs-CZ"/>
        </w:rPr>
        <w:t xml:space="preserve">z hlediska </w:t>
      </w:r>
      <w:r w:rsidR="08A16FC6">
        <w:rPr>
          <w:noProof/>
          <w:lang w:val="cs-CZ"/>
        </w:rPr>
        <w:t xml:space="preserve">reálného </w:t>
      </w:r>
      <w:r w:rsidR="08F44C3A">
        <w:rPr>
          <w:noProof/>
          <w:lang w:val="cs-CZ"/>
        </w:rPr>
        <w:t xml:space="preserve">aktu bytí </w:t>
      </w:r>
      <w:r w:rsidR="08535A87">
        <w:rPr>
          <w:noProof/>
          <w:lang w:val="cs-CZ"/>
        </w:rPr>
        <w:t>(</w:t>
      </w:r>
      <w:r w:rsidR="08535A87" w:rsidRPr="08535A87">
        <w:rPr>
          <w:i/>
        </w:rPr>
        <w:t>ex parte essentiae eius</w:t>
      </w:r>
      <w:r w:rsidR="08535A87">
        <w:rPr>
          <w:noProof/>
          <w:lang w:val="cs-CZ"/>
        </w:rPr>
        <w:t>)</w:t>
      </w:r>
      <w:r w:rsidR="007405CB" w:rsidRPr="00273106">
        <w:rPr>
          <w:noProof/>
          <w:lang w:val="cs-CZ"/>
        </w:rPr>
        <w:t>. Celek daný virtuálně je dán vzhledem k</w:t>
      </w:r>
      <w:r w:rsidR="00596425">
        <w:rPr>
          <w:noProof/>
          <w:lang w:val="cs-CZ"/>
        </w:rPr>
        <w:t> </w:t>
      </w:r>
      <w:r w:rsidR="007405CB" w:rsidRPr="00273106">
        <w:rPr>
          <w:noProof/>
          <w:lang w:val="cs-CZ"/>
        </w:rPr>
        <w:t>možnosti</w:t>
      </w:r>
      <w:r w:rsidR="00596425">
        <w:rPr>
          <w:noProof/>
          <w:lang w:val="cs-CZ"/>
        </w:rPr>
        <w:t xml:space="preserve"> </w:t>
      </w:r>
      <w:r w:rsidR="00596425">
        <w:rPr>
          <w:lang w:val="en-US"/>
        </w:rPr>
        <w:t>(</w:t>
      </w:r>
      <w:r w:rsidR="00596425" w:rsidRPr="00CE24DF">
        <w:rPr>
          <w:i/>
        </w:rPr>
        <w:t>ex parte potentiae</w:t>
      </w:r>
      <w:r w:rsidR="00596425">
        <w:rPr>
          <w:lang w:val="en-US"/>
        </w:rPr>
        <w:t>)</w:t>
      </w:r>
      <w:r w:rsidR="007405CB" w:rsidRPr="00273106">
        <w:rPr>
          <w:noProof/>
          <w:lang w:val="cs-CZ"/>
        </w:rPr>
        <w:t>. Proto není pravdivý závěr, že duše má celistvost</w:t>
      </w:r>
      <w:r w:rsidR="00596425">
        <w:rPr>
          <w:noProof/>
          <w:lang w:val="cs-CZ"/>
        </w:rPr>
        <w:t xml:space="preserve"> danou aktuálně</w:t>
      </w:r>
      <w:r w:rsidR="007405CB" w:rsidRPr="00273106">
        <w:rPr>
          <w:noProof/>
          <w:lang w:val="cs-CZ"/>
        </w:rPr>
        <w:t xml:space="preserve">, tedy kvantitu.“ </w:t>
      </w:r>
      <w:r w:rsidR="005C35A7" w:rsidRPr="00273106">
        <w:rPr>
          <w:rStyle w:val="Znakapoznpodarou"/>
          <w:noProof/>
          <w:lang w:val="cs-CZ"/>
        </w:rPr>
        <w:footnoteReference w:id="356"/>
      </w:r>
    </w:p>
    <w:p w14:paraId="7EE4AD8D" w14:textId="77777777" w:rsidR="08B11CB7" w:rsidRDefault="08C52007" w:rsidP="00EC15CA">
      <w:r>
        <w:rPr>
          <w:iCs/>
        </w:rPr>
        <w:t xml:space="preserve">Citát přesně rozlišuje v hyparchickém modu </w:t>
      </w:r>
      <w:r w:rsidRPr="00B25139">
        <w:rPr>
          <w:i/>
          <w:iCs/>
        </w:rPr>
        <w:t>inesse</w:t>
      </w:r>
      <w:r>
        <w:rPr>
          <w:iCs/>
        </w:rPr>
        <w:t xml:space="preserve"> celek duše v podobě Aristotelovy </w:t>
      </w:r>
      <w:r w:rsidRPr="00FC5496">
        <w:rPr>
          <w:i/>
          <w:iCs/>
        </w:rPr>
        <w:t>tabula rasa</w:t>
      </w:r>
      <w:r>
        <w:rPr>
          <w:iCs/>
        </w:rPr>
        <w:t xml:space="preserve"> </w:t>
      </w:r>
      <w:r w:rsidRPr="00273106">
        <w:rPr>
          <w:iCs/>
        </w:rPr>
        <w:t>(</w:t>
      </w:r>
      <w:r w:rsidRPr="00273106">
        <w:rPr>
          <w:i/>
        </w:rPr>
        <w:t>totum potentiale</w:t>
      </w:r>
      <w:r w:rsidRPr="00273106">
        <w:rPr>
          <w:iCs/>
        </w:rPr>
        <w:t xml:space="preserve">) </w:t>
      </w:r>
      <w:r>
        <w:rPr>
          <w:iCs/>
        </w:rPr>
        <w:t xml:space="preserve">od aktuální, čili již završené schopnosti poznávat </w:t>
      </w:r>
      <w:r w:rsidRPr="00273106">
        <w:rPr>
          <w:iCs/>
        </w:rPr>
        <w:t>(</w:t>
      </w:r>
      <w:r w:rsidRPr="00273106">
        <w:rPr>
          <w:i/>
        </w:rPr>
        <w:t>totum perfectum</w:t>
      </w:r>
      <w:r>
        <w:rPr>
          <w:iCs/>
        </w:rPr>
        <w:t xml:space="preserve">) vázané na výkon hylemorfické existence osoby. </w:t>
      </w:r>
      <w:r w:rsidR="0064378F" w:rsidRPr="00273106">
        <w:t>Duše je perfekcí těla a i</w:t>
      </w:r>
      <w:r w:rsidR="08404AA4">
        <w:t xml:space="preserve">ntelekt je perfekcí duše. Výsledná </w:t>
      </w:r>
      <w:r w:rsidR="0064378F" w:rsidRPr="00273106">
        <w:t xml:space="preserve">jednota </w:t>
      </w:r>
      <w:r w:rsidR="08404AA4">
        <w:t xml:space="preserve">těchto výkonů </w:t>
      </w:r>
      <w:r w:rsidR="0064378F" w:rsidRPr="00273106">
        <w:t>(</w:t>
      </w:r>
      <w:r w:rsidR="0064378F" w:rsidRPr="00273106">
        <w:rPr>
          <w:i/>
        </w:rPr>
        <w:t>totalitas perfectionis</w:t>
      </w:r>
      <w:r w:rsidR="0064378F" w:rsidRPr="00273106">
        <w:t>) je dána substančně</w:t>
      </w:r>
      <w:r w:rsidR="00BB0AC6">
        <w:t xml:space="preserve"> v těle</w:t>
      </w:r>
      <w:r w:rsidR="0064378F" w:rsidRPr="00273106">
        <w:t xml:space="preserve">. Duše </w:t>
      </w:r>
      <w:r w:rsidR="0028242A">
        <w:t>ne</w:t>
      </w:r>
      <w:r w:rsidR="0064378F" w:rsidRPr="00273106">
        <w:t xml:space="preserve">má vlastní akt subsistentního bytí, který </w:t>
      </w:r>
      <w:r w:rsidR="0028242A">
        <w:t xml:space="preserve">by </w:t>
      </w:r>
      <w:r w:rsidR="0064378F" w:rsidRPr="00273106">
        <w:t>ji odděl</w:t>
      </w:r>
      <w:r w:rsidR="0028242A">
        <w:t>il</w:t>
      </w:r>
      <w:r w:rsidR="0064378F" w:rsidRPr="00273106">
        <w:t xml:space="preserve"> od hylemorfické složeniny těla a duše</w:t>
      </w:r>
      <w:r w:rsidR="08042CA9">
        <w:t xml:space="preserve">. </w:t>
      </w:r>
    </w:p>
    <w:p w14:paraId="7FC92A4A" w14:textId="77777777" w:rsidR="000A35E5" w:rsidRDefault="08B11CB7" w:rsidP="00EC15CA">
      <w:r>
        <w:t xml:space="preserve">Proto nemá ani kvantitu danou jen tělesně. A pokud je duše chápána v potenci, pak je daná jako abstraktní koncept poznání a také nemůže mít žádnou kvantitu. </w:t>
      </w:r>
      <w:r w:rsidR="08042CA9">
        <w:t xml:space="preserve">Jedině hyleformický celek vlastní akt bytí daný substančně </w:t>
      </w:r>
      <w:r w:rsidR="002E0DBB" w:rsidRPr="00273106">
        <w:t>(</w:t>
      </w:r>
      <w:r w:rsidR="002E0DBB" w:rsidRPr="00273106">
        <w:rPr>
          <w:i/>
        </w:rPr>
        <w:t>totalitas perfectionis inest animae ex parte essentiae eius</w:t>
      </w:r>
      <w:r w:rsidR="002E0DBB" w:rsidRPr="00273106">
        <w:t>)</w:t>
      </w:r>
      <w:r w:rsidR="0064378F" w:rsidRPr="00273106">
        <w:t xml:space="preserve">. </w:t>
      </w:r>
      <w:r w:rsidR="005A44A3" w:rsidRPr="005A44A3">
        <w:t xml:space="preserve">V případě jednoty osoby </w:t>
      </w:r>
      <w:r w:rsidR="005A44A3">
        <w:t xml:space="preserve">Grosseteste nejde cestou </w:t>
      </w:r>
      <w:r w:rsidR="005A44A3" w:rsidRPr="005A44A3">
        <w:rPr>
          <w:i/>
        </w:rPr>
        <w:t>Oxfordian Fallacy</w:t>
      </w:r>
      <w:r w:rsidR="005A44A3" w:rsidRPr="005A44A3">
        <w:t>. Hypost</w:t>
      </w:r>
      <w:r w:rsidR="005A44A3">
        <w:t>á</w:t>
      </w:r>
      <w:r w:rsidR="005A44A3" w:rsidRPr="005A44A3">
        <w:t xml:space="preserve">zované pojetí duše jako esence, nebo dokonce jako první substance v univerzálním hylemofismu, je nesmysl a </w:t>
      </w:r>
      <w:r w:rsidR="005A44A3">
        <w:t xml:space="preserve">nepatří </w:t>
      </w:r>
      <w:r w:rsidR="005A44A3" w:rsidRPr="005A44A3">
        <w:t>do aristotelské filosofie.</w:t>
      </w:r>
      <w:r w:rsidR="005A44A3">
        <w:t xml:space="preserve"> </w:t>
      </w:r>
      <w:r w:rsidR="083B4602">
        <w:t>Grossete</w:t>
      </w:r>
      <w:r w:rsidR="08C16634">
        <w:t>s</w:t>
      </w:r>
      <w:r w:rsidR="083B4602">
        <w:t xml:space="preserve">te </w:t>
      </w:r>
      <w:r w:rsidR="08C16634">
        <w:t xml:space="preserve">na rozdíl od mladých sofistů </w:t>
      </w:r>
      <w:r w:rsidR="08012BF6">
        <w:t>na Oxf</w:t>
      </w:r>
      <w:r w:rsidR="08C16634">
        <w:t>o</w:t>
      </w:r>
      <w:r w:rsidR="08012BF6">
        <w:t>r</w:t>
      </w:r>
      <w:r w:rsidR="08C16634">
        <w:t xml:space="preserve">du </w:t>
      </w:r>
      <w:r w:rsidR="083B4602">
        <w:t>zná</w:t>
      </w:r>
      <w:r w:rsidR="08C16634">
        <w:t xml:space="preserve"> skutečný smysl </w:t>
      </w:r>
      <w:r w:rsidR="083B4602">
        <w:t>CMDA</w:t>
      </w:r>
      <w:r w:rsidR="08012BF6">
        <w:t xml:space="preserve"> podle Blundovy školy. Proto </w:t>
      </w:r>
      <w:r w:rsidR="083B4602">
        <w:t xml:space="preserve">přesně ví, co je </w:t>
      </w:r>
      <w:r w:rsidR="087E7510">
        <w:t xml:space="preserve">intelekt jako </w:t>
      </w:r>
      <w:r w:rsidR="087E7510" w:rsidRPr="083B4602">
        <w:rPr>
          <w:i/>
        </w:rPr>
        <w:lastRenderedPageBreak/>
        <w:t xml:space="preserve">tertium </w:t>
      </w:r>
      <w:r w:rsidR="00B1298A">
        <w:rPr>
          <w:i/>
        </w:rPr>
        <w:t>genus</w:t>
      </w:r>
      <w:r w:rsidR="087E7510">
        <w:t xml:space="preserve"> daný existenciáním výkonem duše </w:t>
      </w:r>
      <w:r w:rsidR="083B4602">
        <w:t>(</w:t>
      </w:r>
      <w:r w:rsidR="083B4602" w:rsidRPr="089D136F">
        <w:rPr>
          <w:i/>
        </w:rPr>
        <w:t>totum perfectum</w:t>
      </w:r>
      <w:r w:rsidR="083B4602">
        <w:t xml:space="preserve">) a co je pohled na duši </w:t>
      </w:r>
      <w:r w:rsidR="087E7510">
        <w:t xml:space="preserve">v modu </w:t>
      </w:r>
      <w:r w:rsidR="087E7510" w:rsidRPr="083B4602">
        <w:rPr>
          <w:i/>
        </w:rPr>
        <w:t xml:space="preserve">quartum </w:t>
      </w:r>
      <w:r w:rsidR="00B1298A">
        <w:rPr>
          <w:i/>
        </w:rPr>
        <w:t>genus</w:t>
      </w:r>
      <w:r w:rsidR="087E7510">
        <w:t xml:space="preserve"> </w:t>
      </w:r>
      <w:r w:rsidR="085111AD">
        <w:t xml:space="preserve">daný </w:t>
      </w:r>
      <w:r w:rsidR="083B4602">
        <w:t>z hlediska abstrakce (</w:t>
      </w:r>
      <w:r w:rsidR="083B4602" w:rsidRPr="089D136F">
        <w:rPr>
          <w:i/>
        </w:rPr>
        <w:t>totum potentiale</w:t>
      </w:r>
      <w:r w:rsidR="083B4602">
        <w:t xml:space="preserve">). </w:t>
      </w:r>
      <w:r w:rsidR="00CF5EFD">
        <w:rPr>
          <w:iCs/>
        </w:rPr>
        <w:t>Esence člověka jako jedné substance je spojena s výkonem poznání jako potencí hylemorfické osoby (</w:t>
      </w:r>
      <w:r w:rsidR="00CF5EFD" w:rsidRPr="00FC5496">
        <w:rPr>
          <w:i/>
          <w:iCs/>
        </w:rPr>
        <w:t>totum</w:t>
      </w:r>
      <w:r w:rsidR="00CF5EFD">
        <w:rPr>
          <w:iCs/>
        </w:rPr>
        <w:t xml:space="preserve">), protože duše je nemateriální formou těla. </w:t>
      </w:r>
      <w:r w:rsidR="00BB0AC6">
        <w:rPr>
          <w:iCs/>
        </w:rPr>
        <w:t xml:space="preserve">Grosseteste oddělil </w:t>
      </w:r>
      <w:r w:rsidR="00BB0AC6" w:rsidRPr="00273106">
        <w:rPr>
          <w:iCs/>
        </w:rPr>
        <w:t xml:space="preserve">potenciální </w:t>
      </w:r>
      <w:r w:rsidR="00BB0AC6">
        <w:rPr>
          <w:iCs/>
        </w:rPr>
        <w:t xml:space="preserve">celek duše v podobě Aristotelovy </w:t>
      </w:r>
      <w:r w:rsidR="00BB0AC6" w:rsidRPr="00FC5496">
        <w:rPr>
          <w:i/>
          <w:iCs/>
        </w:rPr>
        <w:t>tabula rasa</w:t>
      </w:r>
      <w:r w:rsidR="00BB0AC6">
        <w:rPr>
          <w:iCs/>
        </w:rPr>
        <w:t xml:space="preserve"> </w:t>
      </w:r>
      <w:r w:rsidR="00BB0AC6" w:rsidRPr="00273106">
        <w:rPr>
          <w:iCs/>
        </w:rPr>
        <w:t>(</w:t>
      </w:r>
      <w:r w:rsidR="00BB0AC6" w:rsidRPr="00273106">
        <w:rPr>
          <w:i/>
        </w:rPr>
        <w:t>totum potentiale</w:t>
      </w:r>
      <w:r w:rsidR="00BB0AC6" w:rsidRPr="00273106">
        <w:rPr>
          <w:iCs/>
        </w:rPr>
        <w:t xml:space="preserve">) </w:t>
      </w:r>
      <w:r w:rsidR="00BB0AC6">
        <w:rPr>
          <w:iCs/>
        </w:rPr>
        <w:t xml:space="preserve">od aktuální, čili již završené schopnosti poznávat </w:t>
      </w:r>
      <w:r w:rsidR="00BB0AC6" w:rsidRPr="00273106">
        <w:rPr>
          <w:iCs/>
        </w:rPr>
        <w:t>(</w:t>
      </w:r>
      <w:r w:rsidR="00BB0AC6" w:rsidRPr="00273106">
        <w:rPr>
          <w:i/>
        </w:rPr>
        <w:t>totum perfectum</w:t>
      </w:r>
      <w:r w:rsidR="00BB0AC6" w:rsidRPr="00273106">
        <w:rPr>
          <w:iCs/>
        </w:rPr>
        <w:t xml:space="preserve">). </w:t>
      </w:r>
      <w:r w:rsidR="00BB0AC6">
        <w:rPr>
          <w:iCs/>
        </w:rPr>
        <w:t xml:space="preserve">Výkon individuálního intelektu jako části duše závisí na reálné existenci </w:t>
      </w:r>
      <w:r w:rsidR="087D78B5">
        <w:rPr>
          <w:iCs/>
        </w:rPr>
        <w:t>osoby</w:t>
      </w:r>
      <w:r w:rsidR="081955A7">
        <w:rPr>
          <w:iCs/>
        </w:rPr>
        <w:t>. Intelekt v původním stavu čisté potence nemá žádnou vlastní existenci, protože tu nemá ani duše</w:t>
      </w:r>
      <w:r w:rsidR="00BB0AC6">
        <w:rPr>
          <w:iCs/>
        </w:rPr>
        <w:t xml:space="preserve">. </w:t>
      </w:r>
      <w:r w:rsidR="0028242A">
        <w:t xml:space="preserve">Klíčové je postavení duše v rámci </w:t>
      </w:r>
      <w:r w:rsidR="0028242A" w:rsidRPr="0028242A">
        <w:rPr>
          <w:i/>
        </w:rPr>
        <w:t>inesse</w:t>
      </w:r>
      <w:r w:rsidR="0028242A">
        <w:t xml:space="preserve">, které </w:t>
      </w:r>
      <w:r w:rsidR="002E1062">
        <w:t xml:space="preserve">obsahuje </w:t>
      </w:r>
      <w:r w:rsidR="086F50B2">
        <w:t xml:space="preserve">už </w:t>
      </w:r>
      <w:r w:rsidR="0028242A">
        <w:t xml:space="preserve">první </w:t>
      </w:r>
      <w:r w:rsidR="00DD6788">
        <w:t>Grossetest</w:t>
      </w:r>
      <w:r w:rsidR="002E1062">
        <w:t xml:space="preserve">eho </w:t>
      </w:r>
      <w:r w:rsidR="00DD6788">
        <w:t>díl</w:t>
      </w:r>
      <w:r w:rsidR="002E1062">
        <w:t>o</w:t>
      </w:r>
      <w:r w:rsidR="00DD6788">
        <w:t xml:space="preserve"> </w:t>
      </w:r>
      <w:r w:rsidR="089A1B6F">
        <w:rPr>
          <w:i/>
        </w:rPr>
        <w:t>De anima et de potenciis eius</w:t>
      </w:r>
      <w:r w:rsidR="00DD6788">
        <w:t xml:space="preserve"> </w:t>
      </w:r>
      <w:r w:rsidR="002E1062">
        <w:t>psané</w:t>
      </w:r>
      <w:r w:rsidR="0028242A">
        <w:t xml:space="preserve"> v Paříži.</w:t>
      </w:r>
      <w:r w:rsidR="00DD6788">
        <w:t xml:space="preserve"> V rámci hyparchicky pojatém </w:t>
      </w:r>
      <w:r w:rsidR="00DD6788" w:rsidRPr="00DD6788">
        <w:rPr>
          <w:i/>
        </w:rPr>
        <w:t>inesse</w:t>
      </w:r>
      <w:r w:rsidR="08B06AC0">
        <w:rPr>
          <w:i/>
        </w:rPr>
        <w:fldChar w:fldCharType="begin"/>
      </w:r>
      <w:r w:rsidR="08B06AC0">
        <w:instrText xml:space="preserve"> XE "</w:instrText>
      </w:r>
      <w:r w:rsidR="08B06AC0" w:rsidRPr="08D45036">
        <w:rPr>
          <w:i/>
        </w:rPr>
        <w:instrText>inesse</w:instrText>
      </w:r>
      <w:r w:rsidR="08B06AC0" w:rsidRPr="08B06AC0">
        <w:instrText>:Grosseteste</w:instrText>
      </w:r>
      <w:r w:rsidR="08B06AC0">
        <w:instrText xml:space="preserve">" </w:instrText>
      </w:r>
      <w:r w:rsidR="08B06AC0">
        <w:rPr>
          <w:i/>
        </w:rPr>
        <w:fldChar w:fldCharType="end"/>
      </w:r>
      <w:r w:rsidR="00DD6788">
        <w:t xml:space="preserve"> totiž platí, že jen organismus je živou bytostí</w:t>
      </w:r>
      <w:r w:rsidR="00422ADF">
        <w:t xml:space="preserve"> a nikoliv mrt</w:t>
      </w:r>
      <w:r w:rsidR="00DD6788">
        <w:t>v</w:t>
      </w:r>
      <w:r w:rsidR="00422ADF">
        <w:t>o</w:t>
      </w:r>
      <w:r w:rsidR="00DD6788">
        <w:t xml:space="preserve">la nebo vnější exkrementy, jako </w:t>
      </w:r>
      <w:r w:rsidR="00422ADF">
        <w:t xml:space="preserve">je </w:t>
      </w:r>
      <w:r w:rsidR="00DD6788">
        <w:t>vylitá krev nebo sperma</w:t>
      </w:r>
      <w:r w:rsidR="08C008EC">
        <w:t xml:space="preserve"> (kap. 2</w:t>
      </w:r>
      <w:r w:rsidR="088E513B">
        <w:t>.2.1)</w:t>
      </w:r>
      <w:r w:rsidR="00DD6788">
        <w:t>. Tento rozdíl mezi predikací organismu danou hyparchicky nebo hypostaticky má zásadní důležitost, protože</w:t>
      </w:r>
      <w:r w:rsidR="00B8149A">
        <w:t xml:space="preserve"> odlišil Toledský výklad hypostázovaného (čili averroistického) Averro</w:t>
      </w:r>
      <w:r w:rsidR="00DD6788">
        <w:t>e</w:t>
      </w:r>
      <w:r w:rsidR="00B8149A">
        <w:t>se</w:t>
      </w:r>
      <w:r w:rsidR="00DD6788">
        <w:t xml:space="preserve"> od </w:t>
      </w:r>
      <w:r w:rsidR="00B8149A">
        <w:t xml:space="preserve">hyparchicky pojatého Averroese podle </w:t>
      </w:r>
      <w:r w:rsidR="000A35E5">
        <w:t>Sicilské školy.</w:t>
      </w:r>
    </w:p>
    <w:p w14:paraId="25E302E5" w14:textId="5AF7E287" w:rsidR="08924A01" w:rsidRDefault="083550E4" w:rsidP="00A44D44">
      <w:pPr>
        <w:ind w:firstLine="397"/>
      </w:pPr>
      <w:r>
        <w:t xml:space="preserve">Připomeňme klíčovou argumentaci první západní recepce Averroese postavené proti identitárnímu pojetí člověka-mrtvoly hájené porretány a toletány. </w:t>
      </w:r>
      <w:r w:rsidR="009162EB">
        <w:t xml:space="preserve">Grossetesteho celoživotní linie výkladu </w:t>
      </w:r>
      <w:r>
        <w:rPr>
          <w:i/>
        </w:rPr>
        <w:t xml:space="preserve">De anima </w:t>
      </w:r>
      <w:r w:rsidR="009162EB">
        <w:t xml:space="preserve">drží </w:t>
      </w:r>
      <w:r>
        <w:t xml:space="preserve">jasné rozlišení duše podle </w:t>
      </w:r>
      <w:r w:rsidR="00074D94">
        <w:t xml:space="preserve">dvojího hyparchického </w:t>
      </w:r>
      <w:r w:rsidRPr="000C3E29">
        <w:rPr>
          <w:i/>
        </w:rPr>
        <w:t>inesse</w:t>
      </w:r>
      <w:r w:rsidR="009162EB">
        <w:t xml:space="preserve"> (kap. 3.1.1). Tímto rozdělením zásadně brání modus </w:t>
      </w:r>
      <w:r w:rsidR="009162EB" w:rsidRPr="009162EB">
        <w:rPr>
          <w:i/>
        </w:rPr>
        <w:t xml:space="preserve">tertium </w:t>
      </w:r>
      <w:r w:rsidR="009162EB" w:rsidRPr="009162EB">
        <w:t>a</w:t>
      </w:r>
      <w:r w:rsidR="009162EB" w:rsidRPr="009162EB">
        <w:rPr>
          <w:i/>
        </w:rPr>
        <w:t xml:space="preserve"> quartum genus</w:t>
      </w:r>
      <w:r w:rsidR="009162EB">
        <w:t xml:space="preserve"> v CMDA podle Sicilské školy</w:t>
      </w:r>
      <w:r>
        <w:t xml:space="preserve">. </w:t>
      </w:r>
      <w:r w:rsidR="08B06AC0">
        <w:t xml:space="preserve">Moderní identita individua není totéž jako ipseita osoby. Nové kolo tohoto sporu se odehraje v letech 1207–72 mezi Sigerem a Akvinským. </w:t>
      </w:r>
      <w:r w:rsidR="08317FF6">
        <w:t xml:space="preserve">Grosseteste </w:t>
      </w:r>
      <w:r>
        <w:t xml:space="preserve">odmítl Toledskou interpretaci, která toto </w:t>
      </w:r>
      <w:r w:rsidR="00F916A1">
        <w:t xml:space="preserve">dvojí </w:t>
      </w:r>
      <w:r w:rsidRPr="000C3E29">
        <w:rPr>
          <w:i/>
        </w:rPr>
        <w:t>inesse</w:t>
      </w:r>
      <w:r>
        <w:t xml:space="preserve"> </w:t>
      </w:r>
      <w:r w:rsidR="00F916A1">
        <w:t xml:space="preserve">falešně </w:t>
      </w:r>
      <w:r>
        <w:t xml:space="preserve">hypostázuje </w:t>
      </w:r>
      <w:r w:rsidR="00F916A1">
        <w:t xml:space="preserve">na jediné </w:t>
      </w:r>
      <w:r w:rsidR="00F916A1" w:rsidRPr="00F916A1">
        <w:rPr>
          <w:i/>
        </w:rPr>
        <w:t>tertium ens</w:t>
      </w:r>
      <w:r w:rsidR="00F916A1">
        <w:t xml:space="preserve"> podle </w:t>
      </w:r>
      <w:r>
        <w:t xml:space="preserve">Avicenny. </w:t>
      </w:r>
      <w:r w:rsidR="00490D40">
        <w:t xml:space="preserve">Mytologicky pojatá duše modernistů </w:t>
      </w:r>
      <w:r>
        <w:t>jako substance pak  habituálně vlastní možnost existence (</w:t>
      </w:r>
      <w:r>
        <w:rPr>
          <w:i/>
        </w:rPr>
        <w:t>potencia v</w:t>
      </w:r>
      <w:r w:rsidRPr="00636BAC">
        <w:rPr>
          <w:i/>
        </w:rPr>
        <w:t>itam habentis</w:t>
      </w:r>
      <w:r w:rsidR="08157CF6">
        <w:t>, kap. 2</w:t>
      </w:r>
      <w:r w:rsidRPr="005B604C">
        <w:t>.2</w:t>
      </w:r>
      <w:r>
        <w:t>.1</w:t>
      </w:r>
      <w:r w:rsidRPr="005B604C">
        <w:t xml:space="preserve">). </w:t>
      </w:r>
      <w:r>
        <w:t>To je neoplatonská definice existence j</w:t>
      </w:r>
      <w:r w:rsidR="004B096C">
        <w:t>ako habitu zvněšku přidané substance nebo imanentně držené hypostáze</w:t>
      </w:r>
      <w:r>
        <w:t>. Tuto definici habitu zavedl Simplikius, jenž změnil  habitus na samostatnou hypostázi (</w:t>
      </w:r>
      <w:r w:rsidR="08157CF6">
        <w:t xml:space="preserve">OBJ I, </w:t>
      </w:r>
      <w:r>
        <w:t xml:space="preserve">kap. 1.3.2). Pak by byl člověk mrtvolou s hypostázovanou možností být člověkem akcidenciálně či kontingentně, což Grosseteste jako zástupce Blundovy školy zásadně vylučuje. Proto je Grosseteste autorem spisu </w:t>
      </w:r>
      <w:r>
        <w:rPr>
          <w:i/>
        </w:rPr>
        <w:t>De anima et de potenciis eius</w:t>
      </w:r>
      <w:r>
        <w:t xml:space="preserve"> (1225). Tento spis shrnuje jeho přednášky v Blundově škole a je psaný po kritické recepci </w:t>
      </w:r>
      <w:r w:rsidR="00ED7EA0">
        <w:t xml:space="preserve">Averroese </w:t>
      </w:r>
      <w:r w:rsidR="00A44D44">
        <w:t xml:space="preserve">ještě </w:t>
      </w:r>
      <w:r w:rsidR="00ED7EA0">
        <w:t xml:space="preserve">podle </w:t>
      </w:r>
      <w:r>
        <w:t>Toledské</w:t>
      </w:r>
      <w:r w:rsidR="00ED7EA0">
        <w:t xml:space="preserve"> školy</w:t>
      </w:r>
      <w:r w:rsidR="00A44D44">
        <w:t xml:space="preserve">. Klíčový fakt pro recepci CMDA na Západě je dán tím, že byl pravděpodobně znám už kolem roku 1225 a byl správně interpretován podle Blundovy školy, tj. mimo paradigma </w:t>
      </w:r>
      <w:r w:rsidR="00A44D44">
        <w:lastRenderedPageBreak/>
        <w:t xml:space="preserve">Avicennismu Toledské školy. </w:t>
      </w:r>
      <w:r>
        <w:t>Tomu odpovídá i Gauthiero</w:t>
      </w:r>
      <w:r w:rsidR="002C598C">
        <w:t>va datace spisu kolem roku 1225</w:t>
      </w:r>
      <w:r w:rsidR="00AE2560">
        <w:t>, přičemž hermene</w:t>
      </w:r>
      <w:r w:rsidR="002C598C">
        <w:t xml:space="preserve">utika </w:t>
      </w:r>
      <w:r w:rsidR="00CB017F">
        <w:t>datuje</w:t>
      </w:r>
      <w:r w:rsidR="002C598C">
        <w:t xml:space="preserve"> spis do let 1225–30. </w:t>
      </w:r>
      <w:r w:rsidR="009F56CD" w:rsidRPr="009F56CD">
        <w:t xml:space="preserve">Objektivní identita obou </w:t>
      </w:r>
      <w:r w:rsidR="009F56CD">
        <w:t xml:space="preserve">figur </w:t>
      </w:r>
      <w:r w:rsidR="009F56CD" w:rsidRPr="009F56CD">
        <w:t>Averro</w:t>
      </w:r>
      <w:r w:rsidR="00576527">
        <w:t>e</w:t>
      </w:r>
      <w:r w:rsidR="009F56CD">
        <w:t xml:space="preserve">se </w:t>
      </w:r>
      <w:r w:rsidR="009F56CD" w:rsidRPr="009F56CD">
        <w:t>v současné komparativní medi</w:t>
      </w:r>
      <w:r w:rsidR="009F56CD">
        <w:t>a</w:t>
      </w:r>
      <w:r w:rsidR="009F56CD" w:rsidRPr="009F56CD">
        <w:t>v</w:t>
      </w:r>
      <w:r w:rsidR="009F56CD">
        <w:t>el</w:t>
      </w:r>
      <w:r w:rsidR="009F56CD" w:rsidRPr="009F56CD">
        <w:t xml:space="preserve">istice se řídí modem </w:t>
      </w:r>
      <w:r w:rsidR="009F56CD" w:rsidRPr="009F56CD">
        <w:rPr>
          <w:i/>
        </w:rPr>
        <w:t>tertium ens</w:t>
      </w:r>
      <w:r w:rsidR="009F56CD">
        <w:t>. Si</w:t>
      </w:r>
      <w:r w:rsidR="00A030A0">
        <w:t>mulakrum averroistického Averroe</w:t>
      </w:r>
      <w:r w:rsidR="009F56CD" w:rsidRPr="009F56CD">
        <w:t>se není totožné s rozlišením jeho filosofie v m</w:t>
      </w:r>
      <w:r w:rsidR="009F56CD">
        <w:t>odu</w:t>
      </w:r>
      <w:r w:rsidR="009F56CD" w:rsidRPr="009F56CD">
        <w:t xml:space="preserve"> </w:t>
      </w:r>
      <w:r w:rsidR="009F56CD" w:rsidRPr="009F56CD">
        <w:rPr>
          <w:i/>
        </w:rPr>
        <w:t xml:space="preserve">tertium </w:t>
      </w:r>
      <w:r w:rsidR="009F56CD" w:rsidRPr="009F56CD">
        <w:t>a</w:t>
      </w:r>
      <w:r w:rsidR="009F56CD" w:rsidRPr="009F56CD">
        <w:rPr>
          <w:i/>
        </w:rPr>
        <w:t xml:space="preserve"> quartum genus</w:t>
      </w:r>
      <w:r w:rsidR="009F56CD" w:rsidRPr="009F56CD">
        <w:t>.</w:t>
      </w:r>
      <w:r w:rsidR="009F56CD">
        <w:t xml:space="preserve"> Ipseita</w:t>
      </w:r>
      <w:r w:rsidR="008E21BD">
        <w:t xml:space="preserve"> </w:t>
      </w:r>
      <w:r w:rsidR="088E513B" w:rsidRPr="088E513B">
        <w:rPr>
          <w:i/>
        </w:rPr>
        <w:t>anima intellectiva</w:t>
      </w:r>
      <w:r w:rsidR="088E513B">
        <w:t xml:space="preserve"> podle CMDA</w:t>
      </w:r>
      <w:r w:rsidR="009F56CD">
        <w:t xml:space="preserve"> znamená, že akt </w:t>
      </w:r>
      <w:r w:rsidR="00661092">
        <w:t xml:space="preserve">myšlení se váže na výkon existence </w:t>
      </w:r>
      <w:r w:rsidR="00AA6718">
        <w:t xml:space="preserve">jedinečné osoby </w:t>
      </w:r>
      <w:r w:rsidR="00661092">
        <w:t xml:space="preserve">v modu </w:t>
      </w:r>
      <w:r w:rsidR="00661092" w:rsidRPr="00661092">
        <w:rPr>
          <w:i/>
        </w:rPr>
        <w:t xml:space="preserve">tertium </w:t>
      </w:r>
      <w:r w:rsidR="00B1298A">
        <w:rPr>
          <w:i/>
        </w:rPr>
        <w:t>genus</w:t>
      </w:r>
      <w:r w:rsidR="00661092">
        <w:t>. Proto se skutečný Averroes manifestuje</w:t>
      </w:r>
      <w:r w:rsidR="00C87C17">
        <w:t xml:space="preserve"> pouze v</w:t>
      </w:r>
      <w:r w:rsidR="00AA6718">
        <w:t xml:space="preserve"> impozičním </w:t>
      </w:r>
      <w:r w:rsidR="00C87C17">
        <w:t xml:space="preserve">modu </w:t>
      </w:r>
      <w:r w:rsidR="0892580B">
        <w:rPr>
          <w:i/>
        </w:rPr>
        <w:t>alé</w:t>
      </w:r>
      <w:r w:rsidR="00C87C17" w:rsidRPr="00C87C17">
        <w:rPr>
          <w:i/>
        </w:rPr>
        <w:t>theia</w:t>
      </w:r>
      <w:r w:rsidR="008C2A26">
        <w:t xml:space="preserve">, tedy </w:t>
      </w:r>
      <w:r w:rsidR="00661092">
        <w:t xml:space="preserve">v </w:t>
      </w:r>
      <w:r w:rsidR="008E21BD">
        <w:t>pojetí „meta-fyziky“</w:t>
      </w:r>
      <w:r w:rsidR="00661092">
        <w:t xml:space="preserve"> první substance </w:t>
      </w:r>
      <w:r w:rsidR="00661092" w:rsidRPr="00661092">
        <w:rPr>
          <w:i/>
        </w:rPr>
        <w:t>qua</w:t>
      </w:r>
      <w:r w:rsidR="00661092">
        <w:t xml:space="preserve"> substance</w:t>
      </w:r>
      <w:r w:rsidR="08A57BBA">
        <w:fldChar w:fldCharType="begin"/>
      </w:r>
      <w:r w:rsidR="08A57BBA">
        <w:instrText xml:space="preserve"> XE "</w:instrText>
      </w:r>
      <w:r w:rsidR="08A57BBA" w:rsidRPr="080632B1">
        <w:instrText xml:space="preserve">substance </w:instrText>
      </w:r>
      <w:r w:rsidR="08A57BBA" w:rsidRPr="080632B1">
        <w:rPr>
          <w:i/>
        </w:rPr>
        <w:instrText>qua</w:instrText>
      </w:r>
      <w:r w:rsidR="08A57BBA" w:rsidRPr="080632B1">
        <w:instrText xml:space="preserve"> substance</w:instrText>
      </w:r>
      <w:r w:rsidR="08A57BBA">
        <w:instrText xml:space="preserve">" </w:instrText>
      </w:r>
      <w:r w:rsidR="08A57BBA">
        <w:fldChar w:fldCharType="end"/>
      </w:r>
      <w:r w:rsidR="008E21BD">
        <w:t xml:space="preserve">. </w:t>
      </w:r>
      <w:r w:rsidR="00563B09">
        <w:t xml:space="preserve">Grosseteteho </w:t>
      </w:r>
      <w:r w:rsidR="0028242A" w:rsidRPr="0028242A">
        <w:rPr>
          <w:i/>
        </w:rPr>
        <w:t>inesse</w:t>
      </w:r>
      <w:r w:rsidR="0028242A">
        <w:t xml:space="preserve"> je třeba chápat v rámci hyparchického postavení osoby jak</w:t>
      </w:r>
      <w:r w:rsidR="00D97320">
        <w:t>o hyleformické substance, což byla</w:t>
      </w:r>
      <w:r w:rsidR="0028242A">
        <w:t xml:space="preserve"> linie </w:t>
      </w:r>
      <w:r w:rsidR="00F0023E">
        <w:t xml:space="preserve">Blundovy školy </w:t>
      </w:r>
      <w:r w:rsidR="0028242A">
        <w:t xml:space="preserve">daná </w:t>
      </w:r>
      <w:r w:rsidR="00F0023E">
        <w:t xml:space="preserve">již během </w:t>
      </w:r>
      <w:r w:rsidR="0028242A">
        <w:t>Toledské interp</w:t>
      </w:r>
      <w:r w:rsidR="08BB1708">
        <w:t>etace CMDA před rokem 1230</w:t>
      </w:r>
      <w:r w:rsidR="0028242A">
        <w:t>.</w:t>
      </w:r>
      <w:r w:rsidR="000C3E29">
        <w:t xml:space="preserve"> </w:t>
      </w:r>
      <w:r w:rsidR="002F3994">
        <w:t xml:space="preserve">Pak následoval </w:t>
      </w:r>
      <w:r w:rsidR="08F45044">
        <w:t xml:space="preserve">druhý </w:t>
      </w:r>
      <w:r w:rsidR="002F3994">
        <w:t xml:space="preserve">spis </w:t>
      </w:r>
      <w:r w:rsidR="002F3994" w:rsidRPr="00D13B37">
        <w:rPr>
          <w:i/>
        </w:rPr>
        <w:t>Tractatus beati Roberti Grostesto Lincolnienis episcopi de anima</w:t>
      </w:r>
      <w:r w:rsidR="002F3994">
        <w:t xml:space="preserve"> psaný už na Oxfordu. I</w:t>
      </w:r>
      <w:r w:rsidR="00D27A5D">
        <w:t>dentic</w:t>
      </w:r>
      <w:r w:rsidR="002F3994">
        <w:t xml:space="preserve">ký postup dvojstupňového komentáře </w:t>
      </w:r>
      <w:r w:rsidR="002F3994" w:rsidRPr="00D27A5D">
        <w:rPr>
          <w:i/>
        </w:rPr>
        <w:t>De anima</w:t>
      </w:r>
      <w:r w:rsidR="002F3994">
        <w:t xml:space="preserve"> lze najít u biskupa Alverna, který je autorem polemického spisu </w:t>
      </w:r>
      <w:r w:rsidR="002F3994" w:rsidRPr="00675E1E">
        <w:rPr>
          <w:i/>
        </w:rPr>
        <w:t>De potenciis animae et obiectis</w:t>
      </w:r>
      <w:r w:rsidR="002F3994">
        <w:rPr>
          <w:i/>
        </w:rPr>
        <w:t xml:space="preserve"> </w:t>
      </w:r>
      <w:r w:rsidR="002F3994" w:rsidRPr="002F3994">
        <w:t>(1230)</w:t>
      </w:r>
      <w:r w:rsidR="002F3994">
        <w:rPr>
          <w:i/>
        </w:rPr>
        <w:t xml:space="preserve"> </w:t>
      </w:r>
      <w:r w:rsidR="002F3994" w:rsidRPr="002F3994">
        <w:t xml:space="preserve">proti </w:t>
      </w:r>
      <w:r w:rsidR="002F3994">
        <w:t xml:space="preserve">neoplatonským </w:t>
      </w:r>
      <w:r w:rsidR="00D27A5D">
        <w:t xml:space="preserve">výkladům Toledské školy. </w:t>
      </w:r>
      <w:r w:rsidR="0053037B">
        <w:t xml:space="preserve">I tento spis </w:t>
      </w:r>
      <w:r w:rsidR="006D0688">
        <w:t xml:space="preserve">bránící autentický styl poznání </w:t>
      </w:r>
      <w:r w:rsidR="082F2D63">
        <w:rPr>
          <w:i/>
        </w:rPr>
        <w:t>ad mentem Averrois</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06D0688">
        <w:t xml:space="preserve"> </w:t>
      </w:r>
      <w:r w:rsidR="0053037B">
        <w:t xml:space="preserve">vznikl na základě </w:t>
      </w:r>
      <w:r w:rsidR="006D0688">
        <w:t xml:space="preserve">Alvernových </w:t>
      </w:r>
      <w:r w:rsidR="0053037B">
        <w:t xml:space="preserve">přednášek a polemik s různými školami porretánů a avicennistů. </w:t>
      </w:r>
      <w:r w:rsidR="00D27A5D">
        <w:t xml:space="preserve">Alvernus </w:t>
      </w:r>
      <w:r w:rsidR="002F3994">
        <w:t xml:space="preserve">pak </w:t>
      </w:r>
      <w:r w:rsidR="082658BF">
        <w:t xml:space="preserve">píše někdy po roce 1240 druhý </w:t>
      </w:r>
      <w:r w:rsidR="002F3994">
        <w:t xml:space="preserve">výklad </w:t>
      </w:r>
      <w:r w:rsidR="002F3994" w:rsidRPr="002F3994">
        <w:rPr>
          <w:i/>
        </w:rPr>
        <w:t>De anima</w:t>
      </w:r>
      <w:r w:rsidR="002F3994">
        <w:t xml:space="preserve"> </w:t>
      </w:r>
      <w:r w:rsidR="002F3994" w:rsidRPr="002F3994">
        <w:t xml:space="preserve">podaný </w:t>
      </w:r>
      <w:r w:rsidR="002F3994">
        <w:t>p</w:t>
      </w:r>
      <w:r w:rsidR="002F3994" w:rsidRPr="002F3994">
        <w:t>o</w:t>
      </w:r>
      <w:r w:rsidR="002F3994">
        <w:t>d</w:t>
      </w:r>
      <w:r w:rsidR="002F3994" w:rsidRPr="002F3994">
        <w:t>le Sicils</w:t>
      </w:r>
      <w:r w:rsidR="002F3994">
        <w:t>k</w:t>
      </w:r>
      <w:r w:rsidR="002F3994" w:rsidRPr="002F3994">
        <w:t>é školy (</w:t>
      </w:r>
      <w:r w:rsidR="002F3994" w:rsidRPr="00161726">
        <w:rPr>
          <w:i/>
        </w:rPr>
        <w:t xml:space="preserve">Guilielmi </w:t>
      </w:r>
      <w:r w:rsidR="002F3994">
        <w:rPr>
          <w:i/>
        </w:rPr>
        <w:t>De anima</w:t>
      </w:r>
      <w:r w:rsidR="002F3994" w:rsidRPr="002F3994">
        <w:t>)</w:t>
      </w:r>
      <w:r w:rsidR="00A30503">
        <w:t>, v němž je Komentátor kompletně oddělen od ostatních neoplatonských vykladačů Aristotela</w:t>
      </w:r>
      <w:r w:rsidR="002F3994" w:rsidRPr="002F3994">
        <w:t>.</w:t>
      </w:r>
      <w:r w:rsidR="002F3994">
        <w:t xml:space="preserve"> </w:t>
      </w:r>
      <w:r w:rsidR="08C2430E">
        <w:t xml:space="preserve">Tento výklad oddělující Komentátora od Avicenny už Grosseteste neměl, protože jeho výklad </w:t>
      </w:r>
      <w:r w:rsidR="08C2430E" w:rsidRPr="08C2430E">
        <w:rPr>
          <w:i/>
        </w:rPr>
        <w:t>ad mentem Averrois</w:t>
      </w:r>
      <w:r w:rsidR="08C2430E">
        <w:t xml:space="preserve"> byl v otázce metafyziky urč</w:t>
      </w:r>
      <w:r w:rsidR="08924A01">
        <w:t>en paradigmatem Toledské školy.</w:t>
      </w:r>
      <w:r w:rsidR="08F030E2">
        <w:t xml:space="preserve"> Grosseteste patří v otázce jednoty osoby a poznání na stranu prvního averroismu, protože hájí s Alvernem výklad Aristotela podle sicilského Komentátora (</w:t>
      </w:r>
      <w:r w:rsidR="08F030E2" w:rsidRPr="00FC1B96">
        <w:rPr>
          <w:i/>
        </w:rPr>
        <w:t>philosophus nobilissimus</w:t>
      </w:r>
      <w:r w:rsidR="08F030E2">
        <w:t>) odděleného od neoplatonského Aristotela podle Toledské školy (</w:t>
      </w:r>
      <w:r w:rsidR="08F030E2">
        <w:rPr>
          <w:i/>
        </w:rPr>
        <w:t>sequaces Ar</w:t>
      </w:r>
      <w:r w:rsidR="08F030E2" w:rsidRPr="00FC1B96">
        <w:rPr>
          <w:i/>
        </w:rPr>
        <w:t>i</w:t>
      </w:r>
      <w:r w:rsidR="08F030E2">
        <w:rPr>
          <w:i/>
        </w:rPr>
        <w:t>stot</w:t>
      </w:r>
      <w:r w:rsidR="08F030E2" w:rsidRPr="00FC1B96">
        <w:rPr>
          <w:i/>
        </w:rPr>
        <w:t>elis</w:t>
      </w:r>
      <w:r w:rsidR="08F030E2">
        <w:t xml:space="preserve">). </w:t>
      </w:r>
      <w:r w:rsidR="08F030E2">
        <w:rPr>
          <w:iCs/>
        </w:rPr>
        <w:t>Grosseteste odmítl kolem roku 1220 Gundissalinovu definici duše danou podle avicennismu Toledské školy, která vytvořila v člověku dvě oddělené substance. Toledskou definici duše jako substance třetího druhu naopak přijal moderní Rufus a tím založil na Oxfordu školu druhého averroismu.</w:t>
      </w:r>
    </w:p>
    <w:p w14:paraId="0E92CFA5" w14:textId="0F508F0B" w:rsidR="005219B5" w:rsidRDefault="08924A01" w:rsidP="00EC15CA">
      <w:r>
        <w:tab/>
      </w:r>
      <w:r w:rsidR="08FA7A84">
        <w:t xml:space="preserve">Transformaci definice osoby z plurality forem na pluralitu substancí provedla </w:t>
      </w:r>
      <w:r w:rsidR="08301237" w:rsidRPr="00273106">
        <w:t xml:space="preserve">škola </w:t>
      </w:r>
      <w:r w:rsidR="08301237" w:rsidRPr="00673170">
        <w:rPr>
          <w:i/>
        </w:rPr>
        <w:t>Modernorum</w:t>
      </w:r>
      <w:r w:rsidR="000F4DAA">
        <w:t xml:space="preserve"> v Oxfordu. Rufus hájil tuto definici na Oxfordu </w:t>
      </w:r>
      <w:r w:rsidR="082E68A3">
        <w:t>do roku 1235</w:t>
      </w:r>
      <w:r w:rsidR="082E68A3" w:rsidRPr="082E68A3">
        <w:t xml:space="preserve"> </w:t>
      </w:r>
      <w:r w:rsidR="082E68A3">
        <w:t xml:space="preserve">a po jeho odchodu na studia do Paříže udržoval tuto </w:t>
      </w:r>
      <w:r w:rsidR="00E228BF">
        <w:t xml:space="preserve">nauku </w:t>
      </w:r>
      <w:r w:rsidR="082E68A3">
        <w:t>Adam z</w:t>
      </w:r>
      <w:r w:rsidR="000F4DAA">
        <w:t> </w:t>
      </w:r>
      <w:r w:rsidR="082E68A3" w:rsidRPr="00273106">
        <w:t>Buckfield</w:t>
      </w:r>
      <w:r w:rsidR="082E68A3">
        <w:t>u</w:t>
      </w:r>
      <w:r w:rsidR="000F4DAA">
        <w:t xml:space="preserve">. To dokazuje Callusova studie, která provedla </w:t>
      </w:r>
      <w:r w:rsidR="082E68A3">
        <w:t>rozbor textů tohoto mag</w:t>
      </w:r>
      <w:r w:rsidR="0885218D">
        <w:t xml:space="preserve">istra psaných okolo roku 1240. </w:t>
      </w:r>
      <w:r w:rsidR="000F4DAA">
        <w:t>D</w:t>
      </w:r>
      <w:r w:rsidR="08301237" w:rsidRPr="00273106">
        <w:t xml:space="preserve">ělení </w:t>
      </w:r>
      <w:r w:rsidR="00613B57">
        <w:t xml:space="preserve">osoby </w:t>
      </w:r>
      <w:r w:rsidR="000F4DAA">
        <w:t xml:space="preserve">na </w:t>
      </w:r>
      <w:r w:rsidR="000F4DAA">
        <w:lastRenderedPageBreak/>
        <w:t xml:space="preserve">pluralitu substancí </w:t>
      </w:r>
      <w:r w:rsidR="08301237" w:rsidRPr="00273106">
        <w:t xml:space="preserve">nevyšlo z definice duše podle Aristotela, ale z dělení hypostázované reality podle porretánů a z </w:t>
      </w:r>
      <w:r w:rsidR="08301237">
        <w:t>neoplatonsk</w:t>
      </w:r>
      <w:r w:rsidR="08301237" w:rsidRPr="00273106">
        <w:t xml:space="preserve">ého dualismu daného v díle </w:t>
      </w:r>
      <w:r w:rsidR="08301237" w:rsidRPr="00273106">
        <w:rPr>
          <w:i/>
        </w:rPr>
        <w:t>Fons Vitae</w:t>
      </w:r>
      <w:r w:rsidR="08301237" w:rsidRPr="00273106">
        <w:t>. Všechny tyto znaky odlišují školu druhého averroismu od školy prvního averroismu.</w:t>
      </w:r>
      <w:r w:rsidR="08301237">
        <w:t xml:space="preserve"> </w:t>
      </w:r>
      <w:r w:rsidR="08301237" w:rsidRPr="00273106">
        <w:t xml:space="preserve">Porretánští a avicennističní představitelé Buckfield a Rufus posunuli výklad </w:t>
      </w:r>
      <w:r w:rsidR="08301237" w:rsidRPr="007342B9">
        <w:rPr>
          <w:i/>
        </w:rPr>
        <w:t>De anima</w:t>
      </w:r>
      <w:r w:rsidR="08301237">
        <w:t xml:space="preserve"> </w:t>
      </w:r>
      <w:r w:rsidR="08BC7FE8">
        <w:t>k avicennismu a od 1235</w:t>
      </w:r>
      <w:r w:rsidR="08301237" w:rsidRPr="00273106">
        <w:t xml:space="preserve"> již </w:t>
      </w:r>
      <w:r w:rsidR="08BC7FE8">
        <w:t xml:space="preserve">veřejně </w:t>
      </w:r>
      <w:r w:rsidR="08301237" w:rsidRPr="00273106">
        <w:t>hlásají na Oxfordu p</w:t>
      </w:r>
      <w:r w:rsidR="08301237">
        <w:t xml:space="preserve">luralismus substancí v člověku. </w:t>
      </w:r>
      <w:r w:rsidR="003E46E9">
        <w:t>Grosseteste jako t</w:t>
      </w:r>
      <w:r w:rsidR="08BC7FE8">
        <w:t xml:space="preserve">ehdy jmenovaný Lincolnský biskup musel proti této herezi zasáhnout a </w:t>
      </w:r>
      <w:r w:rsidR="00AB2339">
        <w:t xml:space="preserve">Rufus jako hlavní kritik Aristotela byl poslán </w:t>
      </w:r>
      <w:r w:rsidR="009D1213">
        <w:t>do Paříže. V</w:t>
      </w:r>
      <w:r w:rsidR="00160948">
        <w:t xml:space="preserve">ývoj Rufusovy filosofie </w:t>
      </w:r>
      <w:r w:rsidR="0028242A">
        <w:t xml:space="preserve">ukáže, že Grossetesteho </w:t>
      </w:r>
      <w:r w:rsidR="0028242A" w:rsidRPr="0028242A">
        <w:rPr>
          <w:i/>
        </w:rPr>
        <w:t>inesse</w:t>
      </w:r>
      <w:r w:rsidR="0028242A">
        <w:t xml:space="preserve">  duše chápané jako Averroesův </w:t>
      </w:r>
      <w:r w:rsidR="0028242A" w:rsidRPr="0028242A">
        <w:rPr>
          <w:i/>
        </w:rPr>
        <w:t xml:space="preserve">tertium </w:t>
      </w:r>
      <w:r w:rsidR="00B1298A">
        <w:rPr>
          <w:i/>
        </w:rPr>
        <w:t>genus</w:t>
      </w:r>
      <w:r w:rsidR="0028242A">
        <w:t xml:space="preserve"> se změnilo na porretánskou hypostázi a stalo s</w:t>
      </w:r>
      <w:r w:rsidR="000909E4">
        <w:t>e sofistickým simulákrem Averroe</w:t>
      </w:r>
      <w:r w:rsidR="0028242A">
        <w:t xml:space="preserve">sova pojetí intelektu jako </w:t>
      </w:r>
      <w:r w:rsidR="0028242A" w:rsidRPr="0028242A">
        <w:rPr>
          <w:i/>
        </w:rPr>
        <w:t xml:space="preserve">quartum </w:t>
      </w:r>
      <w:r w:rsidR="00B1298A">
        <w:rPr>
          <w:i/>
        </w:rPr>
        <w:t>genus</w:t>
      </w:r>
      <w:r w:rsidR="0028242A">
        <w:t>. Rufus</w:t>
      </w:r>
      <w:r w:rsidR="000909E4">
        <w:t xml:space="preserve"> udělal tímto způsobem z Averroe</w:t>
      </w:r>
      <w:r w:rsidR="0028242A">
        <w:t xml:space="preserve">se averroristu </w:t>
      </w:r>
      <w:r w:rsidR="082A04B9">
        <w:t xml:space="preserve">někdy </w:t>
      </w:r>
      <w:r w:rsidR="0028242A">
        <w:t xml:space="preserve">roku 1236 ve spisu </w:t>
      </w:r>
      <w:r w:rsidR="0028242A" w:rsidRPr="000909E4">
        <w:rPr>
          <w:i/>
        </w:rPr>
        <w:t>Contra Averroem</w:t>
      </w:r>
      <w:r w:rsidR="0885218D">
        <w:t xml:space="preserve"> (kap. 3</w:t>
      </w:r>
      <w:r w:rsidR="000909E4">
        <w:t xml:space="preserve">.3.3). Tento postup </w:t>
      </w:r>
      <w:r w:rsidR="0028242A">
        <w:t xml:space="preserve">Grosseteste zásadně odmítl kolem roku 1235 kritikou modernistů </w:t>
      </w:r>
      <w:r w:rsidR="00FC1B96">
        <w:t>interpretující</w:t>
      </w:r>
      <w:r w:rsidR="08CB6FFF">
        <w:t xml:space="preserve">ch Aristotela podle porretánského </w:t>
      </w:r>
      <w:r w:rsidR="00FC1B96">
        <w:t xml:space="preserve">avicennismu </w:t>
      </w:r>
      <w:r w:rsidR="08060427">
        <w:t xml:space="preserve">daného ve škole </w:t>
      </w:r>
      <w:r w:rsidR="08060427" w:rsidRPr="08060427">
        <w:rPr>
          <w:i/>
        </w:rPr>
        <w:t>Nominales</w:t>
      </w:r>
      <w:r w:rsidR="08060427">
        <w:t xml:space="preserve"> </w:t>
      </w:r>
      <w:r w:rsidR="0028242A">
        <w:t>(</w:t>
      </w:r>
      <w:r w:rsidR="00FC1B96" w:rsidRPr="00273106">
        <w:rPr>
          <w:i/>
        </w:rPr>
        <w:t>contra ipsum Aristotilem et suos expositores</w:t>
      </w:r>
      <w:r w:rsidR="00FC1B96">
        <w:t>,</w:t>
      </w:r>
      <w:r w:rsidR="0885218D">
        <w:t xml:space="preserve"> kap. 3</w:t>
      </w:r>
      <w:r w:rsidR="008A1552">
        <w:t>.1.3</w:t>
      </w:r>
      <w:r w:rsidR="0028242A">
        <w:t xml:space="preserve">). </w:t>
      </w:r>
      <w:r w:rsidR="08065A8A">
        <w:t xml:space="preserve">Vraťme se k citované definici dvojí predikace duše, kdy hyparchická existence v modu </w:t>
      </w:r>
      <w:r w:rsidR="08065A8A" w:rsidRPr="08065A8A">
        <w:rPr>
          <w:i/>
        </w:rPr>
        <w:t>inesse</w:t>
      </w:r>
      <w:r w:rsidR="08065A8A">
        <w:t xml:space="preserve"> určuje predikaci esence podle správného výkladu </w:t>
      </w:r>
      <w:r w:rsidR="08065A8A" w:rsidRPr="08065A8A">
        <w:rPr>
          <w:i/>
        </w:rPr>
        <w:t>Druhých analytik</w:t>
      </w:r>
      <w:r w:rsidR="08065A8A">
        <w:t xml:space="preserve"> </w:t>
      </w:r>
      <w:r w:rsidR="085065E9">
        <w:t xml:space="preserve">daného hyparchickým bytím reálné věci, tedy existencí reálné osoby v těle </w:t>
      </w:r>
      <w:r w:rsidR="08065A8A">
        <w:t>(</w:t>
      </w:r>
      <w:r w:rsidR="08065A8A" w:rsidRPr="08065A8A">
        <w:rPr>
          <w:i/>
        </w:rPr>
        <w:t>totalitas perfectionis inest animae ex parte essentiae eius</w:t>
      </w:r>
      <w:r w:rsidR="08065A8A">
        <w:t xml:space="preserve">). Mladí modernisté na rozdíl od svého zakladatele už kompletně propadli kouzlu </w:t>
      </w:r>
      <w:r w:rsidR="08065A8A" w:rsidRPr="08065A8A">
        <w:rPr>
          <w:i/>
        </w:rPr>
        <w:t>Oxfordian Fallacy</w:t>
      </w:r>
      <w:r w:rsidR="08065A8A">
        <w:t xml:space="preserve">. Proto vyložili </w:t>
      </w:r>
      <w:r w:rsidR="00F12A45">
        <w:t xml:space="preserve">Grossetesteho </w:t>
      </w:r>
      <w:r w:rsidR="006F7869">
        <w:t xml:space="preserve">citát </w:t>
      </w:r>
      <w:r w:rsidR="08065A8A">
        <w:t xml:space="preserve">v klíčové části </w:t>
      </w:r>
      <w:r w:rsidR="00E80C07">
        <w:t>„</w:t>
      </w:r>
      <w:r w:rsidR="08065A8A" w:rsidRPr="08065A8A">
        <w:rPr>
          <w:i/>
        </w:rPr>
        <w:t>inest animae ex parte essentiae eius</w:t>
      </w:r>
      <w:r w:rsidR="00E80C07">
        <w:t>“</w:t>
      </w:r>
      <w:r w:rsidR="08065A8A">
        <w:t xml:space="preserve"> </w:t>
      </w:r>
      <w:r w:rsidR="006F7869">
        <w:t>zcela sofisti</w:t>
      </w:r>
      <w:r w:rsidR="00713CCB">
        <w:t>c</w:t>
      </w:r>
      <w:r w:rsidR="006F7869">
        <w:t>ky</w:t>
      </w:r>
      <w:r w:rsidR="00F12A45">
        <w:t xml:space="preserve">, tedy </w:t>
      </w:r>
      <w:r w:rsidR="006F7869">
        <w:t xml:space="preserve">v objektivním </w:t>
      </w:r>
      <w:r w:rsidR="08E643F6">
        <w:t xml:space="preserve">analytickém </w:t>
      </w:r>
      <w:r w:rsidR="006F7869">
        <w:t xml:space="preserve">modu porretánského </w:t>
      </w:r>
      <w:r w:rsidR="004F4C28" w:rsidRPr="00C07706">
        <w:rPr>
          <w:i/>
        </w:rPr>
        <w:t>inesse</w:t>
      </w:r>
      <w:r w:rsidR="004F4C28" w:rsidRPr="00F1477B">
        <w:rPr>
          <w:i/>
          <w:vertAlign w:val="superscript"/>
        </w:rPr>
        <w:t>3</w:t>
      </w:r>
      <w:r w:rsidR="004F4C28">
        <w:t xml:space="preserve"> (kap. 3.1.1). </w:t>
      </w:r>
      <w:r w:rsidR="08936111">
        <w:t xml:space="preserve">Zavedením duše jako esence vytvořili modernisté typu Rufuse </w:t>
      </w:r>
      <w:r w:rsidR="08867464">
        <w:t>v neexistujícím porretánském subjektu</w:t>
      </w:r>
      <w:r w:rsidR="00F20167">
        <w:t xml:space="preserve"> jako </w:t>
      </w:r>
      <w:r w:rsidR="00F20167" w:rsidRPr="00281A63">
        <w:rPr>
          <w:i/>
        </w:rPr>
        <w:t>individuum</w:t>
      </w:r>
      <w:r w:rsidR="08867464">
        <w:t xml:space="preserve"> další aktuální autonomní substanci třetího druhu</w:t>
      </w:r>
      <w:r w:rsidR="08867464" w:rsidRPr="00273106">
        <w:t xml:space="preserve">. </w:t>
      </w:r>
      <w:r w:rsidR="001705D9" w:rsidRPr="001705D9">
        <w:t xml:space="preserve">Porretánská definice člověka jako mrtvoly dostala další substanci třetího druhu, aby vytvořila zcela moderního filozofického Frankensteina. Pod vlivem chtonických sil Chaosu došlo v Oxfordu k rozpadu </w:t>
      </w:r>
      <w:r w:rsidR="001705D9">
        <w:t xml:space="preserve">osoby </w:t>
      </w:r>
      <w:r w:rsidR="001705D9" w:rsidRPr="001705D9">
        <w:t>na soubor nesourodých substancí třetího druhu.</w:t>
      </w:r>
      <w:r w:rsidR="001705D9">
        <w:t xml:space="preserve"> </w:t>
      </w:r>
      <w:r w:rsidR="08F06EA4">
        <w:t xml:space="preserve">Připomeňme předešlou analýzu ohledně </w:t>
      </w:r>
      <w:r w:rsidR="080735ED">
        <w:t xml:space="preserve">vzniku </w:t>
      </w:r>
      <w:r w:rsidR="08F06EA4" w:rsidRPr="08F06EA4">
        <w:rPr>
          <w:i/>
        </w:rPr>
        <w:t>dativus obiectivus</w:t>
      </w:r>
      <w:r w:rsidR="08F06EA4">
        <w:t xml:space="preserve"> daného výkladem </w:t>
      </w:r>
      <w:r w:rsidR="08F06EA4" w:rsidRPr="00273106">
        <w:rPr>
          <w:i/>
        </w:rPr>
        <w:t>Anal. Post</w:t>
      </w:r>
      <w:r w:rsidR="08F06EA4" w:rsidRPr="00273106">
        <w:t>. 84a11‒14</w:t>
      </w:r>
      <w:r w:rsidR="08F06EA4">
        <w:fldChar w:fldCharType="begin"/>
      </w:r>
      <w:r w:rsidR="08F06EA4">
        <w:instrText xml:space="preserve"> XE "Aristoteles:</w:instrText>
      </w:r>
      <w:r w:rsidR="08F06EA4" w:rsidRPr="00273106">
        <w:rPr>
          <w:i/>
        </w:rPr>
        <w:instrText>Anal. Post</w:instrText>
      </w:r>
      <w:r w:rsidR="08F06EA4" w:rsidRPr="00273106">
        <w:instrText>. 84a11‒14</w:instrText>
      </w:r>
      <w:r w:rsidR="08F06EA4">
        <w:instrText xml:space="preserve">" </w:instrText>
      </w:r>
      <w:r w:rsidR="08F06EA4">
        <w:fldChar w:fldCharType="end"/>
      </w:r>
      <w:r w:rsidR="08F06EA4">
        <w:t xml:space="preserve"> ohledně dvojí formy univerzální predikace </w:t>
      </w:r>
      <w:r w:rsidR="08F06EA4">
        <w:rPr>
          <w:szCs w:val="15"/>
        </w:rPr>
        <w:t>(</w:t>
      </w:r>
      <w:r w:rsidR="08F06EA4" w:rsidRPr="00273106">
        <w:t>καθ' αὑτὰ δὲ διττῶς</w:t>
      </w:r>
      <w:r w:rsidR="08F06EA4">
        <w:t>, kap</w:t>
      </w:r>
      <w:r w:rsidR="0885218D">
        <w:t>. 3</w:t>
      </w:r>
      <w:r w:rsidR="08F06EA4">
        <w:t>.1.1</w:t>
      </w:r>
      <w:r w:rsidR="08F06EA4">
        <w:rPr>
          <w:szCs w:val="15"/>
        </w:rPr>
        <w:t xml:space="preserve">). </w:t>
      </w:r>
      <w:r w:rsidR="08E643F6">
        <w:t xml:space="preserve">Když </w:t>
      </w:r>
      <w:r w:rsidR="083B785E">
        <w:rPr>
          <w:iCs/>
        </w:rPr>
        <w:t xml:space="preserve">Grosseteste </w:t>
      </w:r>
      <w:r w:rsidR="080735ED">
        <w:rPr>
          <w:iCs/>
        </w:rPr>
        <w:t xml:space="preserve">a Rufus </w:t>
      </w:r>
      <w:r w:rsidR="08E643F6">
        <w:t xml:space="preserve">v Oxfordu někdy roku 1235 </w:t>
      </w:r>
      <w:r w:rsidR="08052547">
        <w:t xml:space="preserve">predikovali </w:t>
      </w:r>
      <w:r w:rsidR="08E643F6">
        <w:t>totéž</w:t>
      </w:r>
      <w:r w:rsidR="08052547">
        <w:t xml:space="preserve"> </w:t>
      </w:r>
      <w:r w:rsidR="08052547" w:rsidRPr="08052547">
        <w:rPr>
          <w:i/>
        </w:rPr>
        <w:t>inesse</w:t>
      </w:r>
      <w:r w:rsidR="08052547">
        <w:t xml:space="preserve"> v případě intelektuálního porozumění lidské duše</w:t>
      </w:r>
      <w:r w:rsidR="08E643F6">
        <w:t xml:space="preserve">, nemínili tím totéž. </w:t>
      </w:r>
      <w:r w:rsidR="08DE7A78">
        <w:t>Rufus</w:t>
      </w:r>
      <w:r w:rsidR="082F65E6">
        <w:t xml:space="preserve"> a jeho škola měla porretánský výklad duše jako </w:t>
      </w:r>
      <w:r w:rsidR="082F65E6" w:rsidRPr="08052547">
        <w:rPr>
          <w:i/>
        </w:rPr>
        <w:t>inesse</w:t>
      </w:r>
      <w:r w:rsidR="003229C4" w:rsidRPr="003229C4">
        <w:rPr>
          <w:i/>
          <w:szCs w:val="24"/>
          <w:vertAlign w:val="superscript"/>
        </w:rPr>
        <w:t>3</w:t>
      </w:r>
      <w:r w:rsidR="006F7869">
        <w:t xml:space="preserve">, </w:t>
      </w:r>
      <w:r w:rsidR="082F65E6">
        <w:t xml:space="preserve">kdy </w:t>
      </w:r>
      <w:r w:rsidR="006F7869">
        <w:t xml:space="preserve">v člověku </w:t>
      </w:r>
      <w:r w:rsidR="00771A8F">
        <w:t xml:space="preserve">existují dvě substance, tělesná a duševní. </w:t>
      </w:r>
      <w:r w:rsidR="00B23BD3" w:rsidRPr="00273106">
        <w:t>Duše jako s</w:t>
      </w:r>
      <w:r w:rsidR="0064378F" w:rsidRPr="00273106">
        <w:t xml:space="preserve">ubstanční celek představuje </w:t>
      </w:r>
      <w:r w:rsidR="003229C4">
        <w:t xml:space="preserve">další </w:t>
      </w:r>
      <w:r w:rsidR="00B824D7">
        <w:t xml:space="preserve">samostatnou </w:t>
      </w:r>
      <w:r w:rsidR="0064378F" w:rsidRPr="00273106">
        <w:t xml:space="preserve">subsistentní formu </w:t>
      </w:r>
      <w:r w:rsidR="089D0C86">
        <w:t>(</w:t>
      </w:r>
      <w:r w:rsidR="089D0C86" w:rsidRPr="089D0C86">
        <w:rPr>
          <w:i/>
        </w:rPr>
        <w:t>potentia substantialis</w:t>
      </w:r>
      <w:r w:rsidR="089D0C86">
        <w:t xml:space="preserve">) </w:t>
      </w:r>
      <w:r w:rsidR="0064378F" w:rsidRPr="00273106">
        <w:t xml:space="preserve">a její </w:t>
      </w:r>
      <w:r w:rsidR="089D0C86">
        <w:t>reálné poznání je dano</w:t>
      </w:r>
      <w:r w:rsidR="0064378F" w:rsidRPr="00273106">
        <w:t xml:space="preserve"> kontingentními výkony duše</w:t>
      </w:r>
      <w:r w:rsidR="089D0C86">
        <w:t xml:space="preserve"> </w:t>
      </w:r>
      <w:r w:rsidR="089D0C86">
        <w:lastRenderedPageBreak/>
        <w:t>(</w:t>
      </w:r>
      <w:r w:rsidR="087E3527">
        <w:rPr>
          <w:i/>
        </w:rPr>
        <w:t>potentia accident</w:t>
      </w:r>
      <w:r w:rsidR="089D0C86" w:rsidRPr="089D0C86">
        <w:rPr>
          <w:i/>
        </w:rPr>
        <w:t>alis</w:t>
      </w:r>
      <w:r w:rsidR="089D0C86">
        <w:t>)</w:t>
      </w:r>
      <w:r w:rsidR="0064378F" w:rsidRPr="00273106">
        <w:t xml:space="preserve">. </w:t>
      </w:r>
      <w:r w:rsidR="089D0C86">
        <w:t xml:space="preserve">Rozdíl mezi </w:t>
      </w:r>
      <w:r w:rsidR="0078011E">
        <w:t>substanciální potencí</w:t>
      </w:r>
      <w:r w:rsidR="00B824D7">
        <w:t xml:space="preserve"> </w:t>
      </w:r>
      <w:r w:rsidR="00F363C8">
        <w:t xml:space="preserve">definovanou </w:t>
      </w:r>
      <w:r w:rsidR="00B824D7">
        <w:t>kontingentními výkony je typickým znakem oxfordské modernistické školy</w:t>
      </w:r>
      <w:r w:rsidR="0885218D">
        <w:t xml:space="preserve"> založené Rufusem (kap. 3</w:t>
      </w:r>
      <w:r w:rsidR="00EE49E2">
        <w:t>.3.1)</w:t>
      </w:r>
      <w:r w:rsidR="00277209">
        <w:t xml:space="preserve">. </w:t>
      </w:r>
      <w:r w:rsidR="005219B5" w:rsidRPr="005219B5">
        <w:t xml:space="preserve">Alvernus, Grosseteste, Albert a Bacon prohlásili </w:t>
      </w:r>
      <w:r w:rsidR="005219B5">
        <w:t xml:space="preserve">toto moderní nihilistické pojetí existence jako zvnějšku přidaného akcidentu </w:t>
      </w:r>
      <w:r w:rsidR="005219B5" w:rsidRPr="005219B5">
        <w:t xml:space="preserve">k nějaké hypostatické substanci třetího druhu za kacířské učení a filosoficky </w:t>
      </w:r>
      <w:r w:rsidR="005219B5">
        <w:t xml:space="preserve">zcela </w:t>
      </w:r>
      <w:r w:rsidR="005219B5" w:rsidRPr="005219B5">
        <w:t>hloupou doktrínu.</w:t>
      </w:r>
      <w:r w:rsidR="00366EB7">
        <w:t xml:space="preserve"> </w:t>
      </w:r>
      <w:r w:rsidR="00221F16">
        <w:t xml:space="preserve">Přednášky analytické filosofie na </w:t>
      </w:r>
      <w:r w:rsidR="00366EB7" w:rsidRPr="00366EB7">
        <w:t>un</w:t>
      </w:r>
      <w:r w:rsidR="00366EB7">
        <w:t>iverzit</w:t>
      </w:r>
      <w:r w:rsidR="00221F16">
        <w:t>ách</w:t>
      </w:r>
      <w:r w:rsidR="00366EB7">
        <w:t xml:space="preserve"> řízených postmoderními F</w:t>
      </w:r>
      <w:r w:rsidR="00221F16">
        <w:t xml:space="preserve">úriemi jasně ukazují, že </w:t>
      </w:r>
      <w:r w:rsidR="00366EB7" w:rsidRPr="00366EB7">
        <w:t xml:space="preserve">výše zmínění milovníci moudrosti </w:t>
      </w:r>
      <w:r w:rsidR="00366EB7">
        <w:t>prohráli svou kauzu</w:t>
      </w:r>
      <w:r w:rsidR="00366EB7" w:rsidRPr="00366EB7">
        <w:t>.</w:t>
      </w:r>
    </w:p>
    <w:p w14:paraId="2A6ED0B6" w14:textId="32397531" w:rsidR="008E1BDE" w:rsidRDefault="081F339C" w:rsidP="000774D2">
      <w:pPr>
        <w:ind w:firstLine="397"/>
      </w:pPr>
      <w:r w:rsidRPr="00273106">
        <w:t xml:space="preserve">Roger Bacon </w:t>
      </w:r>
      <w:r w:rsidR="08F97FB7">
        <w:t>podává zásadní informace</w:t>
      </w:r>
      <w:r w:rsidRPr="00273106">
        <w:t xml:space="preserve"> o tom, kdy </w:t>
      </w:r>
      <w:r w:rsidR="00A2074B">
        <w:t xml:space="preserve">a jak </w:t>
      </w:r>
      <w:r w:rsidRPr="00273106">
        <w:t>došlo na Oxfordu k</w:t>
      </w:r>
      <w:r w:rsidR="009A314C">
        <w:t xml:space="preserve"> přechodu ze </w:t>
      </w:r>
      <w:r w:rsidR="004D41A7">
        <w:t xml:space="preserve">školy </w:t>
      </w:r>
      <w:r w:rsidR="00A2074B">
        <w:t xml:space="preserve">prvního averroismu </w:t>
      </w:r>
      <w:r w:rsidR="006E6EF4">
        <w:t xml:space="preserve">na druhý averroismus. </w:t>
      </w:r>
      <w:r w:rsidR="088947FC">
        <w:t>Jeho komentář k</w:t>
      </w:r>
      <w:r w:rsidR="08704BE9">
        <w:t xml:space="preserve">e třetí knize </w:t>
      </w:r>
      <w:r w:rsidR="088947FC" w:rsidRPr="088947FC">
        <w:rPr>
          <w:i/>
        </w:rPr>
        <w:t>De anima</w:t>
      </w:r>
      <w:r w:rsidR="088947FC">
        <w:t xml:space="preserve"> (</w:t>
      </w:r>
      <w:r w:rsidR="088947FC">
        <w:rPr>
          <w:i/>
        </w:rPr>
        <w:t>Distinccio tercia de anima</w:t>
      </w:r>
      <w:r w:rsidR="00EC15CA" w:rsidRPr="00273106">
        <w:t>) datuje tuto změnu a přesně určuje, do kdy platilo předešlé pojetí.</w:t>
      </w:r>
      <w:r w:rsidR="08D060CF">
        <w:t xml:space="preserve"> </w:t>
      </w:r>
      <w:r w:rsidR="008E1BDE">
        <w:t xml:space="preserve">V textu jsou </w:t>
      </w:r>
      <w:r w:rsidR="008E1BDE" w:rsidRPr="008E1BDE">
        <w:t xml:space="preserve">dva důležité údaje. První naznačuje, že změna proběhla v Rufově díle </w:t>
      </w:r>
      <w:r w:rsidR="008E1BDE" w:rsidRPr="008E1BDE">
        <w:rPr>
          <w:i/>
        </w:rPr>
        <w:t>Speculum animae</w:t>
      </w:r>
      <w:r w:rsidR="008E1BDE" w:rsidRPr="008E1BDE">
        <w:t>, které vyšl</w:t>
      </w:r>
      <w:r w:rsidR="008E1BDE">
        <w:t>o v roce 1245 a bylo vyhlášeno „před deseti lety“</w:t>
      </w:r>
      <w:r w:rsidR="008E1BDE" w:rsidRPr="008E1BDE">
        <w:t xml:space="preserve"> (</w:t>
      </w:r>
      <w:r w:rsidR="008E1BDE" w:rsidRPr="08A55321">
        <w:rPr>
          <w:i/>
        </w:rPr>
        <w:t>ab annis decem igitur inolevit opinio</w:t>
      </w:r>
      <w:r w:rsidR="008E1BDE" w:rsidRPr="008E1BDE">
        <w:t xml:space="preserve">). Druhá datace se vztahuje ke Grossetestově kritice modernistů doložené ve spise </w:t>
      </w:r>
      <w:r w:rsidR="008E1BDE" w:rsidRPr="008E1BDE">
        <w:rPr>
          <w:i/>
        </w:rPr>
        <w:t>Hexaëmeron</w:t>
      </w:r>
      <w:r w:rsidR="008E1BDE">
        <w:t xml:space="preserve"> (1235) a je datována „před dvaceti lety“</w:t>
      </w:r>
      <w:r w:rsidR="008E1BDE" w:rsidRPr="008E1BDE">
        <w:t xml:space="preserve"> (</w:t>
      </w:r>
      <w:r w:rsidR="008E1BDE" w:rsidRPr="008E1BDE">
        <w:rPr>
          <w:i/>
        </w:rPr>
        <w:t>ante viginti annos</w:t>
      </w:r>
      <w:r w:rsidR="008E1BDE" w:rsidRPr="008E1BDE">
        <w:t>). To znamená, že Baconův citovaný spis by měl být datován kolem roku 1255.</w:t>
      </w:r>
      <w:r w:rsidR="008E1BDE" w:rsidRPr="00273106">
        <w:rPr>
          <w:rStyle w:val="Znakapoznpodarou"/>
        </w:rPr>
        <w:footnoteReference w:id="357"/>
      </w:r>
      <w:r w:rsidR="008E1BDE" w:rsidRPr="008E1BDE">
        <w:t xml:space="preserve"> Baconova ostrá kritika modernistů reaguje na první úspěšný útok mendika</w:t>
      </w:r>
      <w:r w:rsidR="00654778">
        <w:t>ntů na P</w:t>
      </w:r>
      <w:r w:rsidR="008E1BDE" w:rsidRPr="008E1BDE">
        <w:t xml:space="preserve">ařížské univerzitě proti magistrům v </w:t>
      </w:r>
      <w:r w:rsidR="00654778">
        <w:t>R</w:t>
      </w:r>
      <w:r w:rsidR="008E1BDE" w:rsidRPr="008E1BDE">
        <w:t xml:space="preserve">ue de Fouarre. Mendikanti dosáhli propuštění magistrů ze školy prvního averroismu a papež jim povolil zřídit na pařížské univerzitě první </w:t>
      </w:r>
      <w:r w:rsidR="00654778">
        <w:t xml:space="preserve">katedru </w:t>
      </w:r>
      <w:r w:rsidR="008E1BDE" w:rsidRPr="008E1BDE">
        <w:t xml:space="preserve">moderní filosofie (1255). </w:t>
      </w:r>
      <w:r w:rsidR="00654778">
        <w:t xml:space="preserve">To upřímně vyděsilo všechny aristoteliky ze školy prvního averroismu. Očekávaný příchod Antikrista pro ně začal </w:t>
      </w:r>
      <w:r w:rsidR="000774D2">
        <w:t>univerzitní exekucí f</w:t>
      </w:r>
      <w:r w:rsidR="00654778">
        <w:t xml:space="preserve">ilosofie zdravého rozumu. </w:t>
      </w:r>
      <w:r w:rsidR="000774D2" w:rsidRPr="000774D2">
        <w:t xml:space="preserve">A papež Alexandr IV. osobně požehnal tuto modernistickou ohavnost vydáním dekretu </w:t>
      </w:r>
      <w:r w:rsidR="000774D2" w:rsidRPr="000774D2">
        <w:rPr>
          <w:i/>
        </w:rPr>
        <w:t>Quasi lignum vitae</w:t>
      </w:r>
      <w:r w:rsidR="000774D2" w:rsidRPr="000774D2">
        <w:t xml:space="preserve"> (1255).</w:t>
      </w:r>
      <w:r w:rsidR="000774D2">
        <w:t xml:space="preserve"> </w:t>
      </w:r>
      <w:r w:rsidR="008E1BDE" w:rsidRPr="008E1BDE">
        <w:t xml:space="preserve">V tomto období píše Albert hlavní komentáře k </w:t>
      </w:r>
      <w:r w:rsidR="008E1BDE" w:rsidRPr="00654778">
        <w:rPr>
          <w:i/>
        </w:rPr>
        <w:t>De anima</w:t>
      </w:r>
      <w:r w:rsidR="008E1BDE" w:rsidRPr="008E1BDE">
        <w:t xml:space="preserve"> a má stejné odpůrce jako Bacon. Podívejme se nyní, do jaké doby lze datovat zlom v myšlení spojený s nástupem druhého averroismu.</w:t>
      </w:r>
    </w:p>
    <w:p w14:paraId="4D55631A" w14:textId="4FC70E14" w:rsidR="00EC15CA" w:rsidRPr="00273106" w:rsidRDefault="00EB72BF" w:rsidP="007E6A8E">
      <w:pPr>
        <w:ind w:firstLine="397"/>
      </w:pPr>
      <w:r>
        <w:t>V textu e</w:t>
      </w:r>
      <w:r w:rsidRPr="00EB72BF">
        <w:t xml:space="preserve">xistují dva důležité údaje. První naznačuje, že změna proběhla v Rufově díle </w:t>
      </w:r>
      <w:r w:rsidRPr="00EB72BF">
        <w:rPr>
          <w:i/>
        </w:rPr>
        <w:t>Speculum animae</w:t>
      </w:r>
      <w:r w:rsidRPr="00EB72BF">
        <w:t xml:space="preserve">, které vyšlo v roce 1245 a </w:t>
      </w:r>
      <w:r>
        <w:t>vznikla „před deseti lety“</w:t>
      </w:r>
      <w:r w:rsidRPr="00EB72BF">
        <w:t xml:space="preserve"> (). Druhá datace se vztahuje ke Grossetesteově kritice modernistů doložené ve spise </w:t>
      </w:r>
      <w:r w:rsidRPr="00EB72BF">
        <w:rPr>
          <w:i/>
        </w:rPr>
        <w:t>Hexaëmeron</w:t>
      </w:r>
      <w:r w:rsidRPr="00EB72BF">
        <w:t xml:space="preserve"> (1235) a je datována </w:t>
      </w:r>
      <w:r>
        <w:t>určením „před dvaceti lety“</w:t>
      </w:r>
      <w:r w:rsidRPr="00EB72BF">
        <w:t xml:space="preserve"> (</w:t>
      </w:r>
      <w:r w:rsidRPr="00EB72BF">
        <w:rPr>
          <w:i/>
        </w:rPr>
        <w:t>ante viginti annos</w:t>
      </w:r>
      <w:r w:rsidRPr="00EB72BF">
        <w:t xml:space="preserve">). </w:t>
      </w:r>
      <w:r w:rsidR="004A0279">
        <w:t xml:space="preserve">To znamená, že tento Baconův spis je </w:t>
      </w:r>
      <w:r w:rsidRPr="00EB72BF">
        <w:t xml:space="preserve">třeba datovat </w:t>
      </w:r>
      <w:r w:rsidR="004A0279">
        <w:t xml:space="preserve">zhruba </w:t>
      </w:r>
      <w:r w:rsidRPr="00EB72BF">
        <w:t>do roku 1255.</w:t>
      </w:r>
      <w:r w:rsidR="007E6A8E">
        <w:t xml:space="preserve"> </w:t>
      </w:r>
      <w:r w:rsidR="08D060CF">
        <w:t xml:space="preserve">Baconova tvrdá kritika modernistů reaguje na </w:t>
      </w:r>
      <w:r w:rsidR="08D060CF">
        <w:lastRenderedPageBreak/>
        <w:t>první útok mendikantů na Pařížské univerzitě proti magistrům na Rue du Fouarre</w:t>
      </w:r>
      <w:r w:rsidR="00A37955">
        <w:t>. M</w:t>
      </w:r>
      <w:r w:rsidR="08D060CF">
        <w:t xml:space="preserve">endikanti dosáhli vyhození magistrů ze školy prvního averroismu a papež jim umožnil zřídit vlastní modernistickou katedru (1255). V této době Albert píše hlavní komentáře k </w:t>
      </w:r>
      <w:r w:rsidR="08D060CF" w:rsidRPr="0875500F">
        <w:rPr>
          <w:i/>
        </w:rPr>
        <w:t>De anima</w:t>
      </w:r>
      <w:r w:rsidR="08D060CF">
        <w:t xml:space="preserve"> a má stejné protivníky</w:t>
      </w:r>
      <w:r w:rsidR="00555B2D">
        <w:t xml:space="preserve"> jako Bacon</w:t>
      </w:r>
      <w:r w:rsidR="08D060CF">
        <w:t xml:space="preserve">. </w:t>
      </w:r>
      <w:r w:rsidR="00F74E62">
        <w:t>Podíve</w:t>
      </w:r>
      <w:r w:rsidR="00C00EE5">
        <w:t>jme</w:t>
      </w:r>
      <w:r w:rsidR="08324FD2">
        <w:t xml:space="preserve"> se,</w:t>
      </w:r>
      <w:r w:rsidR="00C00EE5">
        <w:t xml:space="preserve"> </w:t>
      </w:r>
      <w:r w:rsidR="08324FD2">
        <w:t xml:space="preserve">do jaké doby </w:t>
      </w:r>
      <w:r w:rsidR="008342AD">
        <w:t xml:space="preserve">Bacon </w:t>
      </w:r>
      <w:r w:rsidR="08324FD2">
        <w:t xml:space="preserve">datuje zlom v myšlení spojeného s </w:t>
      </w:r>
      <w:r w:rsidR="00C00EE5" w:rsidRPr="00273106">
        <w:t>nástupem druhého averroismu</w:t>
      </w:r>
      <w:r w:rsidR="00C00EE5">
        <w:t>.</w:t>
      </w:r>
    </w:p>
    <w:p w14:paraId="5FC7AEA4" w14:textId="77777777" w:rsidR="003F425F" w:rsidRPr="00273106" w:rsidRDefault="00EC15CA" w:rsidP="00527CB5">
      <w:pPr>
        <w:pStyle w:val="Citace"/>
        <w:rPr>
          <w:noProof/>
          <w:lang w:val="cs-CZ"/>
        </w:rPr>
      </w:pPr>
      <w:r w:rsidRPr="00273106">
        <w:rPr>
          <w:noProof/>
          <w:lang w:val="cs-CZ"/>
        </w:rPr>
        <w:t>„</w:t>
      </w:r>
      <w:r w:rsidR="003F425F" w:rsidRPr="00273106">
        <w:rPr>
          <w:noProof/>
          <w:lang w:val="cs-CZ"/>
        </w:rPr>
        <w:t>Všichni ještě před dvaceti lety tvrdili, že je samostatně dána pouze inteligibilní část duše, a že vegetativní a animální část je produkována z potence látky skrze přírodní proces. A toto</w:t>
      </w:r>
      <w:r w:rsidR="00950C94" w:rsidRPr="00273106">
        <w:rPr>
          <w:noProof/>
          <w:lang w:val="cs-CZ"/>
        </w:rPr>
        <w:t xml:space="preserve"> tvrdili teologové z Anglie a </w:t>
      </w:r>
      <w:r w:rsidR="003F425F" w:rsidRPr="00273106">
        <w:rPr>
          <w:noProof/>
          <w:lang w:val="cs-CZ"/>
        </w:rPr>
        <w:t xml:space="preserve">učili všichni filosofové.“ </w:t>
      </w:r>
      <w:r w:rsidR="003F425F" w:rsidRPr="00273106">
        <w:rPr>
          <w:rStyle w:val="Znakapoznpodarou"/>
          <w:noProof/>
          <w:lang w:val="cs-CZ"/>
        </w:rPr>
        <w:footnoteReference w:id="358"/>
      </w:r>
    </w:p>
    <w:p w14:paraId="0A83AD63" w14:textId="13634507" w:rsidR="00EC15CA" w:rsidRPr="00273106" w:rsidRDefault="00116E00" w:rsidP="00EC15CA">
      <w:r w:rsidRPr="00273106">
        <w:t>B</w:t>
      </w:r>
      <w:r w:rsidR="00EC15CA" w:rsidRPr="00273106">
        <w:t>acon tvrdí, že první generace aristot</w:t>
      </w:r>
      <w:r w:rsidR="004B3107" w:rsidRPr="00273106">
        <w:t>e</w:t>
      </w:r>
      <w:r w:rsidR="00EC15CA" w:rsidRPr="00273106">
        <w:t>l</w:t>
      </w:r>
      <w:r w:rsidR="004B3107" w:rsidRPr="00273106">
        <w:t>ik</w:t>
      </w:r>
      <w:r w:rsidR="00EC15CA" w:rsidRPr="00273106">
        <w:t>ů na Oxfordu držela pojetí duše jako oddělené nemateriální formy (</w:t>
      </w:r>
      <w:r w:rsidR="00EC15CA" w:rsidRPr="00273106">
        <w:rPr>
          <w:i/>
          <w:szCs w:val="11"/>
        </w:rPr>
        <w:t xml:space="preserve">sola </w:t>
      </w:r>
      <w:r w:rsidR="00EC15CA" w:rsidRPr="00273106">
        <w:rPr>
          <w:i/>
        </w:rPr>
        <w:t xml:space="preserve">anima </w:t>
      </w:r>
      <w:r w:rsidR="00EC15CA" w:rsidRPr="00273106">
        <w:rPr>
          <w:i/>
          <w:szCs w:val="10"/>
        </w:rPr>
        <w:t>intellectiva</w:t>
      </w:r>
      <w:r w:rsidR="00961BE5" w:rsidRPr="00273106">
        <w:t>)</w:t>
      </w:r>
      <w:r w:rsidR="0884419E">
        <w:t>, což odpovídá</w:t>
      </w:r>
      <w:r w:rsidR="00CF72E3">
        <w:t xml:space="preserve"> </w:t>
      </w:r>
      <w:r w:rsidR="00A30665">
        <w:t xml:space="preserve">korektní </w:t>
      </w:r>
      <w:r w:rsidR="00CF72E3">
        <w:t>interpretaci Averroese</w:t>
      </w:r>
      <w:r w:rsidR="0884419E">
        <w:t xml:space="preserve"> podle Grossesteho</w:t>
      </w:r>
      <w:r w:rsidR="00CF72E3">
        <w:t xml:space="preserve">. Intelektuální část či schopnost duše </w:t>
      </w:r>
      <w:r w:rsidR="00EC15CA" w:rsidRPr="00273106">
        <w:t xml:space="preserve">přichází k již daným duševním činnostem lidského organismu </w:t>
      </w:r>
      <w:r w:rsidR="00961BE5" w:rsidRPr="00273106">
        <w:t xml:space="preserve">vázaných smyslově </w:t>
      </w:r>
      <w:r w:rsidR="00EC15CA" w:rsidRPr="00273106">
        <w:t>(</w:t>
      </w:r>
      <w:r w:rsidR="00EC15CA" w:rsidRPr="00273106">
        <w:rPr>
          <w:i/>
        </w:rPr>
        <w:t xml:space="preserve">quod </w:t>
      </w:r>
      <w:r w:rsidR="00EC15CA" w:rsidRPr="00273106">
        <w:rPr>
          <w:i/>
          <w:szCs w:val="12"/>
        </w:rPr>
        <w:t xml:space="preserve">vegetativa </w:t>
      </w:r>
      <w:r w:rsidR="00EC15CA" w:rsidRPr="00273106">
        <w:rPr>
          <w:i/>
          <w:szCs w:val="10"/>
        </w:rPr>
        <w:t xml:space="preserve">et </w:t>
      </w:r>
      <w:r w:rsidR="00EC15CA" w:rsidRPr="00273106">
        <w:rPr>
          <w:i/>
          <w:szCs w:val="11"/>
        </w:rPr>
        <w:t xml:space="preserve">sensitiva </w:t>
      </w:r>
      <w:r w:rsidR="00EC15CA" w:rsidRPr="00273106">
        <w:rPr>
          <w:i/>
          <w:szCs w:val="10"/>
        </w:rPr>
        <w:t xml:space="preserve">in </w:t>
      </w:r>
      <w:r w:rsidR="00EC15CA" w:rsidRPr="00273106">
        <w:rPr>
          <w:i/>
        </w:rPr>
        <w:t xml:space="preserve">homine </w:t>
      </w:r>
      <w:r w:rsidR="00EC15CA" w:rsidRPr="00273106">
        <w:rPr>
          <w:i/>
          <w:szCs w:val="13"/>
        </w:rPr>
        <w:t xml:space="preserve">producantur de </w:t>
      </w:r>
      <w:r w:rsidR="00EC15CA" w:rsidRPr="00273106">
        <w:rPr>
          <w:i/>
          <w:szCs w:val="12"/>
        </w:rPr>
        <w:t xml:space="preserve">potencia materie per </w:t>
      </w:r>
      <w:r w:rsidR="00EC15CA" w:rsidRPr="00273106">
        <w:rPr>
          <w:i/>
        </w:rPr>
        <w:t xml:space="preserve">viam </w:t>
      </w:r>
      <w:r w:rsidR="00EC15CA" w:rsidRPr="00273106">
        <w:rPr>
          <w:i/>
          <w:szCs w:val="11"/>
        </w:rPr>
        <w:t>nature</w:t>
      </w:r>
      <w:r w:rsidR="00EC15CA" w:rsidRPr="00273106">
        <w:t>). Toto pojetí sdílel</w:t>
      </w:r>
      <w:r w:rsidR="0813478B" w:rsidRPr="00273106">
        <w:t>i</w:t>
      </w:r>
      <w:r w:rsidR="00EC15CA" w:rsidRPr="00273106">
        <w:t xml:space="preserve"> jak teologové, tak i filosofové protože podle Bac</w:t>
      </w:r>
      <w:r w:rsidR="008B6D7C">
        <w:t xml:space="preserve">ona odpovídalo zdravému rozumu. </w:t>
      </w:r>
      <w:r w:rsidR="00EC15CA" w:rsidRPr="00273106">
        <w:t xml:space="preserve">Této definici odpovídá </w:t>
      </w:r>
      <w:r w:rsidR="0822775D" w:rsidRPr="00273106">
        <w:t xml:space="preserve">Grossetesteho </w:t>
      </w:r>
      <w:r w:rsidR="0813478B" w:rsidRPr="00273106">
        <w:t xml:space="preserve">výše uvedené </w:t>
      </w:r>
      <w:r w:rsidR="00EC15CA" w:rsidRPr="00273106">
        <w:t>pojetí intelektu</w:t>
      </w:r>
      <w:r w:rsidR="00EB3686">
        <w:t xml:space="preserve"> jako </w:t>
      </w:r>
      <w:r w:rsidR="008B6D7C">
        <w:t xml:space="preserve">nemateriální </w:t>
      </w:r>
      <w:r w:rsidR="00EB3686">
        <w:t>formy</w:t>
      </w:r>
      <w:r w:rsidR="008B6D7C">
        <w:t xml:space="preserve"> </w:t>
      </w:r>
      <w:r w:rsidR="008B6D7C" w:rsidRPr="00273106">
        <w:t>(</w:t>
      </w:r>
      <w:r w:rsidR="008B6D7C" w:rsidRPr="00273106">
        <w:rPr>
          <w:i/>
          <w:szCs w:val="22"/>
        </w:rPr>
        <w:t>immediate advenit formae non situali</w:t>
      </w:r>
      <w:r w:rsidR="008B6D7C">
        <w:t xml:space="preserve">). Ta </w:t>
      </w:r>
      <w:r w:rsidR="00EC15CA" w:rsidRPr="00273106">
        <w:t xml:space="preserve">přichází </w:t>
      </w:r>
      <w:r w:rsidR="008B6D7C">
        <w:t xml:space="preserve">završit </w:t>
      </w:r>
      <w:r w:rsidR="00CD4733">
        <w:t>(</w:t>
      </w:r>
      <w:r w:rsidR="00CD4733" w:rsidRPr="00CD4733">
        <w:rPr>
          <w:i/>
        </w:rPr>
        <w:t>superveniens</w:t>
      </w:r>
      <w:r w:rsidR="00CD4733">
        <w:t xml:space="preserve">) </w:t>
      </w:r>
      <w:r w:rsidR="008B6D7C">
        <w:t xml:space="preserve">obě již dané </w:t>
      </w:r>
      <w:r w:rsidR="00EC15CA" w:rsidRPr="00273106">
        <w:t>form</w:t>
      </w:r>
      <w:r w:rsidR="008B6D7C">
        <w:t>y</w:t>
      </w:r>
      <w:r w:rsidR="00EC15CA" w:rsidRPr="00273106">
        <w:t xml:space="preserve"> </w:t>
      </w:r>
      <w:r w:rsidR="089C11CD">
        <w:t xml:space="preserve">tělesně dané </w:t>
      </w:r>
      <w:r w:rsidR="008B6D7C">
        <w:t>duše (vegetativní, animální)</w:t>
      </w:r>
      <w:r w:rsidR="089C11CD">
        <w:t>. Bacon tohoto anglického učence</w:t>
      </w:r>
      <w:r w:rsidR="00EC15CA" w:rsidRPr="00273106">
        <w:t xml:space="preserve"> nepřímo zmiňuje tím, že jasně upozorňuje na autentické aristotelské zdroje této teorie.</w:t>
      </w:r>
    </w:p>
    <w:p w14:paraId="789F6057" w14:textId="77777777" w:rsidR="00A54ECE" w:rsidRPr="00273106" w:rsidRDefault="00221596" w:rsidP="00A54ECE">
      <w:pPr>
        <w:pStyle w:val="Citace"/>
        <w:rPr>
          <w:noProof/>
          <w:lang w:val="cs-CZ"/>
        </w:rPr>
      </w:pPr>
      <w:r w:rsidRPr="00273106">
        <w:rPr>
          <w:noProof/>
          <w:szCs w:val="14"/>
          <w:lang w:val="cs-CZ"/>
        </w:rPr>
        <w:t>„</w:t>
      </w:r>
      <w:r w:rsidR="00A54ECE" w:rsidRPr="00273106">
        <w:rPr>
          <w:noProof/>
          <w:szCs w:val="14"/>
          <w:lang w:val="cs-CZ"/>
        </w:rPr>
        <w:t xml:space="preserve">Celá filosofie tvrdí, že jedině intelekt byl stvořen [přímo od boha], a také všichni teologové, kteří za něco stojí a všichni filosofové před dvaceti lety a k tomu </w:t>
      </w:r>
      <w:r w:rsidR="00C01FBF">
        <w:rPr>
          <w:noProof/>
          <w:szCs w:val="14"/>
          <w:lang w:val="cs-CZ"/>
        </w:rPr>
        <w:t xml:space="preserve">dosud </w:t>
      </w:r>
      <w:r w:rsidR="00A54ECE" w:rsidRPr="00273106">
        <w:rPr>
          <w:noProof/>
          <w:szCs w:val="14"/>
          <w:lang w:val="cs-CZ"/>
        </w:rPr>
        <w:t>všichni An</w:t>
      </w:r>
      <w:r w:rsidR="00C01FBF">
        <w:rPr>
          <w:noProof/>
          <w:szCs w:val="14"/>
          <w:lang w:val="cs-CZ"/>
        </w:rPr>
        <w:t>g</w:t>
      </w:r>
      <w:r w:rsidR="00A54ECE" w:rsidRPr="00273106">
        <w:rPr>
          <w:noProof/>
          <w:szCs w:val="14"/>
          <w:lang w:val="cs-CZ"/>
        </w:rPr>
        <w:t>ličané, kteří jsou a byli uznaní od jiných jako vzdělanci. A toto dokazují nejen skrze autoritu Aristotela a jiných filosofů, ale i skrze racionální argumenty</w:t>
      </w:r>
      <w:r w:rsidRPr="00273106">
        <w:rPr>
          <w:noProof/>
          <w:szCs w:val="11"/>
          <w:lang w:val="cs-CZ"/>
        </w:rPr>
        <w:t xml:space="preserve">.“ </w:t>
      </w:r>
      <w:r w:rsidR="00A54ECE" w:rsidRPr="00273106">
        <w:rPr>
          <w:rStyle w:val="Znakapoznpodarou"/>
          <w:noProof/>
          <w:lang w:val="cs-CZ"/>
        </w:rPr>
        <w:footnoteReference w:id="359"/>
      </w:r>
    </w:p>
    <w:p w14:paraId="56A447FD" w14:textId="08493F06" w:rsidR="0043201D" w:rsidRDefault="00B67D0D" w:rsidP="00221596">
      <w:r w:rsidRPr="00273106">
        <w:t>Protože nemater</w:t>
      </w:r>
      <w:r w:rsidR="083E5F35" w:rsidRPr="00273106">
        <w:t>i</w:t>
      </w:r>
      <w:r w:rsidRPr="00273106">
        <w:t xml:space="preserve">ální intelekt nemůže být dán situovaně </w:t>
      </w:r>
      <w:r w:rsidR="001B73ED">
        <w:t xml:space="preserve">v těle </w:t>
      </w:r>
      <w:r w:rsidRPr="00273106">
        <w:t xml:space="preserve">jako </w:t>
      </w:r>
      <w:r w:rsidR="00854392">
        <w:t xml:space="preserve">smyslové </w:t>
      </w:r>
      <w:r w:rsidRPr="00273106">
        <w:t>formy života, pak tato část duše musí být přímo stvořena bohem (</w:t>
      </w:r>
      <w:r w:rsidRPr="00273106">
        <w:rPr>
          <w:i/>
          <w:szCs w:val="11"/>
        </w:rPr>
        <w:t>solus intellectus creatur</w:t>
      </w:r>
      <w:r w:rsidRPr="00273106">
        <w:t xml:space="preserve">). </w:t>
      </w:r>
      <w:r w:rsidR="00916A06" w:rsidRPr="00273106">
        <w:t>To je závěr</w:t>
      </w:r>
      <w:r w:rsidRPr="00273106">
        <w:t xml:space="preserve"> Gr</w:t>
      </w:r>
      <w:r w:rsidR="00B878B1" w:rsidRPr="00273106">
        <w:t>o</w:t>
      </w:r>
      <w:r w:rsidRPr="00273106">
        <w:t>ss</w:t>
      </w:r>
      <w:r w:rsidR="00B878B1" w:rsidRPr="00273106">
        <w:t>ete</w:t>
      </w:r>
      <w:r w:rsidRPr="00273106">
        <w:t>steho citovaný výše</w:t>
      </w:r>
      <w:r w:rsidR="003C64AC">
        <w:t xml:space="preserve"> vzhledem k</w:t>
      </w:r>
      <w:r w:rsidR="00727CFD">
        <w:t xml:space="preserve"> intelektuální části duše jako </w:t>
      </w:r>
      <w:r w:rsidR="003C64AC" w:rsidRPr="003C64AC">
        <w:rPr>
          <w:i/>
        </w:rPr>
        <w:t>forma prima</w:t>
      </w:r>
      <w:r w:rsidRPr="00273106">
        <w:t xml:space="preserve">. </w:t>
      </w:r>
      <w:r w:rsidR="087C41CA">
        <w:t>Bacon nepřímo c</w:t>
      </w:r>
      <w:r w:rsidR="08794C89">
        <w:t>ituje klíčovou argumentaci</w:t>
      </w:r>
      <w:r w:rsidR="087C41CA">
        <w:t xml:space="preserve"> obou </w:t>
      </w:r>
      <w:r w:rsidR="087C41CA" w:rsidRPr="08794C89">
        <w:t>Grossete</w:t>
      </w:r>
      <w:r w:rsidR="08794C89" w:rsidRPr="08794C89">
        <w:t>s</w:t>
      </w:r>
      <w:r w:rsidR="087C41CA" w:rsidRPr="08794C89">
        <w:t>t</w:t>
      </w:r>
      <w:r w:rsidR="08794C89" w:rsidRPr="08794C89">
        <w:t>e</w:t>
      </w:r>
      <w:r w:rsidR="087C41CA" w:rsidRPr="08794C89">
        <w:t xml:space="preserve">ho spisů o duši danou v teorii </w:t>
      </w:r>
      <w:r w:rsidR="08794C89" w:rsidRPr="08794C89">
        <w:lastRenderedPageBreak/>
        <w:t>smyslového poznání v těle (</w:t>
      </w:r>
      <w:r w:rsidR="087C41CA" w:rsidRPr="08794C89">
        <w:rPr>
          <w:i/>
        </w:rPr>
        <w:t>situal</w:t>
      </w:r>
      <w:r w:rsidR="08794C89" w:rsidRPr="08794C89">
        <w:rPr>
          <w:i/>
        </w:rPr>
        <w:t>is</w:t>
      </w:r>
      <w:r w:rsidR="08794C89" w:rsidRPr="08794C89">
        <w:t>) a inteligibilního poznání jehož nositele</w:t>
      </w:r>
      <w:r w:rsidR="08794C89">
        <w:t>m</w:t>
      </w:r>
      <w:r w:rsidR="08794C89" w:rsidRPr="08794C89">
        <w:t xml:space="preserve"> je nemater</w:t>
      </w:r>
      <w:r w:rsidR="08794C89">
        <w:t>i</w:t>
      </w:r>
      <w:r w:rsidR="08794C89" w:rsidRPr="08794C89">
        <w:t>ální duše (</w:t>
      </w:r>
      <w:r w:rsidR="08794C89" w:rsidRPr="08794C89">
        <w:rPr>
          <w:i/>
        </w:rPr>
        <w:t>forma non situale</w:t>
      </w:r>
      <w:r w:rsidR="08794C89">
        <w:t>)</w:t>
      </w:r>
      <w:r w:rsidR="087C41CA" w:rsidRPr="08794C89">
        <w:t>.</w:t>
      </w:r>
      <w:r w:rsidR="087C41CA">
        <w:t xml:space="preserve"> Sigerova škola v podání Boethia z Dácie na tuto teorii navázala vztahem intelektuální schopnosti duše vzhledem k tělu v modu </w:t>
      </w:r>
      <w:r w:rsidR="087C41CA" w:rsidRPr="087C41CA">
        <w:rPr>
          <w:i/>
        </w:rPr>
        <w:t>obiective</w:t>
      </w:r>
      <w:r w:rsidR="087C41CA">
        <w:rPr>
          <w:i/>
        </w:rPr>
        <w:fldChar w:fldCharType="begin"/>
      </w:r>
      <w:r w:rsidR="087C41CA">
        <w:instrText xml:space="preserve"> XE "</w:instrText>
      </w:r>
      <w:r w:rsidR="087C41CA" w:rsidRPr="006841AD">
        <w:instrText>intelekt:</w:instrText>
      </w:r>
      <w:r w:rsidR="087C41CA" w:rsidRPr="00863D73">
        <w:rPr>
          <w:i/>
        </w:rPr>
        <w:instrText>subiective</w:instrText>
      </w:r>
      <w:r w:rsidR="087C41CA" w:rsidRPr="006841AD">
        <w:instrText>/</w:instrText>
      </w:r>
      <w:r w:rsidR="087C41CA" w:rsidRPr="00863D73">
        <w:rPr>
          <w:i/>
        </w:rPr>
        <w:instrText>obiective</w:instrText>
      </w:r>
      <w:r w:rsidR="087C41CA">
        <w:instrText xml:space="preserve">" </w:instrText>
      </w:r>
      <w:r w:rsidR="087C41CA">
        <w:rPr>
          <w:i/>
        </w:rPr>
        <w:fldChar w:fldCharType="end"/>
      </w:r>
      <w:r w:rsidR="087C41CA">
        <w:t xml:space="preserve"> (</w:t>
      </w:r>
      <w:r w:rsidR="080F2EFC">
        <w:t xml:space="preserve">OBJ III, </w:t>
      </w:r>
      <w:r w:rsidR="087C41CA">
        <w:t xml:space="preserve">kap. </w:t>
      </w:r>
      <w:r w:rsidR="080F2EFC">
        <w:t>4</w:t>
      </w:r>
      <w:r w:rsidR="08794C89">
        <w:t xml:space="preserve">.3.1). </w:t>
      </w:r>
      <w:r w:rsidR="00221596" w:rsidRPr="00273106">
        <w:t xml:space="preserve">Následující odkazy </w:t>
      </w:r>
      <w:r w:rsidR="0083319B" w:rsidRPr="00273106">
        <w:t xml:space="preserve">Bacona </w:t>
      </w:r>
      <w:r w:rsidR="00221596" w:rsidRPr="00273106">
        <w:t xml:space="preserve">na </w:t>
      </w:r>
      <w:r w:rsidR="0083319B" w:rsidRPr="00273106">
        <w:t xml:space="preserve">spisy </w:t>
      </w:r>
      <w:r w:rsidR="00B713C5">
        <w:rPr>
          <w:i/>
        </w:rPr>
        <w:t>De anima</w:t>
      </w:r>
      <w:r w:rsidR="00221596" w:rsidRPr="00273106">
        <w:t xml:space="preserve">, </w:t>
      </w:r>
      <w:r w:rsidR="00221596" w:rsidRPr="00727CFD">
        <w:rPr>
          <w:i/>
        </w:rPr>
        <w:t>Metafyziku</w:t>
      </w:r>
      <w:r w:rsidR="00221596" w:rsidRPr="00273106">
        <w:t xml:space="preserve">, Avicennu a </w:t>
      </w:r>
      <w:r w:rsidR="002E3B62">
        <w:t>Averroes</w:t>
      </w:r>
      <w:r w:rsidR="00221596" w:rsidRPr="00273106">
        <w:t>e se shodují s pojetím Grossetesteho</w:t>
      </w:r>
      <w:r w:rsidR="08841EA0">
        <w:t xml:space="preserve"> vyloženým výše</w:t>
      </w:r>
      <w:r w:rsidR="00221596" w:rsidRPr="00273106">
        <w:t>. Bacon jej cituje nepřímo, ale dostatečně jasně</w:t>
      </w:r>
      <w:r w:rsidR="0083319B" w:rsidRPr="00273106">
        <w:t>. T</w:t>
      </w:r>
      <w:r w:rsidRPr="00273106">
        <w:t xml:space="preserve">aké </w:t>
      </w:r>
      <w:r w:rsidR="00916A06" w:rsidRPr="00273106">
        <w:t>zmiňuje</w:t>
      </w:r>
      <w:r w:rsidRPr="00273106">
        <w:t>, že šlo o celou skupinu myslitelů (</w:t>
      </w:r>
      <w:r w:rsidRPr="00273106">
        <w:rPr>
          <w:i/>
          <w:szCs w:val="14"/>
        </w:rPr>
        <w:t xml:space="preserve">omnes Anglicani </w:t>
      </w:r>
      <w:r w:rsidRPr="00273106">
        <w:rPr>
          <w:i/>
          <w:szCs w:val="12"/>
        </w:rPr>
        <w:t xml:space="preserve">qui </w:t>
      </w:r>
      <w:r w:rsidRPr="00273106">
        <w:rPr>
          <w:i/>
          <w:szCs w:val="10"/>
        </w:rPr>
        <w:t xml:space="preserve">satis </w:t>
      </w:r>
      <w:r w:rsidRPr="00273106">
        <w:rPr>
          <w:i/>
          <w:szCs w:val="11"/>
        </w:rPr>
        <w:t xml:space="preserve">inter </w:t>
      </w:r>
      <w:r w:rsidRPr="00273106">
        <w:rPr>
          <w:i/>
          <w:szCs w:val="10"/>
        </w:rPr>
        <w:t xml:space="preserve">alios </w:t>
      </w:r>
      <w:r w:rsidRPr="00273106">
        <w:rPr>
          <w:i/>
          <w:szCs w:val="13"/>
        </w:rPr>
        <w:t xml:space="preserve">homines </w:t>
      </w:r>
      <w:r w:rsidRPr="00273106">
        <w:rPr>
          <w:i/>
          <w:szCs w:val="12"/>
        </w:rPr>
        <w:t xml:space="preserve">sunt </w:t>
      </w:r>
      <w:r w:rsidRPr="00273106">
        <w:rPr>
          <w:i/>
          <w:szCs w:val="10"/>
        </w:rPr>
        <w:t xml:space="preserve">et </w:t>
      </w:r>
      <w:r w:rsidRPr="00273106">
        <w:rPr>
          <w:i/>
          <w:szCs w:val="12"/>
        </w:rPr>
        <w:t xml:space="preserve">fuerunt </w:t>
      </w:r>
      <w:r w:rsidRPr="00273106">
        <w:rPr>
          <w:i/>
          <w:szCs w:val="10"/>
        </w:rPr>
        <w:t>studiosi</w:t>
      </w:r>
      <w:r w:rsidRPr="00273106">
        <w:t xml:space="preserve">). </w:t>
      </w:r>
      <w:r w:rsidR="083E5F35" w:rsidRPr="00273106">
        <w:t>U</w:t>
      </w:r>
      <w:r w:rsidRPr="00273106">
        <w:t>pozor</w:t>
      </w:r>
      <w:r w:rsidR="00CE626B" w:rsidRPr="00273106">
        <w:t xml:space="preserve">ňuje, že jejich </w:t>
      </w:r>
      <w:r w:rsidRPr="00273106">
        <w:t xml:space="preserve">pojetí </w:t>
      </w:r>
      <w:r w:rsidR="00CE626B" w:rsidRPr="00273106">
        <w:t xml:space="preserve">je </w:t>
      </w:r>
      <w:r w:rsidRPr="00273106">
        <w:t xml:space="preserve">shodné s křesťanskou naukou </w:t>
      </w:r>
      <w:r w:rsidR="00CE626B" w:rsidRPr="00273106">
        <w:t xml:space="preserve">a platí </w:t>
      </w:r>
      <w:r w:rsidRPr="00273106">
        <w:t>na základě racionálních argumentů (</w:t>
      </w:r>
      <w:r w:rsidRPr="00273106">
        <w:rPr>
          <w:i/>
          <w:szCs w:val="13"/>
        </w:rPr>
        <w:t xml:space="preserve">non solum </w:t>
      </w:r>
      <w:r w:rsidRPr="00273106">
        <w:rPr>
          <w:i/>
          <w:szCs w:val="12"/>
        </w:rPr>
        <w:t xml:space="preserve">per </w:t>
      </w:r>
      <w:r w:rsidRPr="00273106">
        <w:rPr>
          <w:i/>
          <w:szCs w:val="11"/>
        </w:rPr>
        <w:t xml:space="preserve">auctoritates Aristotelis </w:t>
      </w:r>
      <w:r w:rsidRPr="00273106">
        <w:rPr>
          <w:i/>
          <w:szCs w:val="10"/>
        </w:rPr>
        <w:t xml:space="preserve">et </w:t>
      </w:r>
      <w:r w:rsidRPr="00273106">
        <w:rPr>
          <w:i/>
          <w:szCs w:val="12"/>
        </w:rPr>
        <w:t xml:space="preserve">aliorum </w:t>
      </w:r>
      <w:r w:rsidRPr="00273106">
        <w:rPr>
          <w:i/>
          <w:szCs w:val="13"/>
        </w:rPr>
        <w:t xml:space="preserve">philosophorum, </w:t>
      </w:r>
      <w:r w:rsidRPr="00273106">
        <w:rPr>
          <w:i/>
          <w:szCs w:val="10"/>
        </w:rPr>
        <w:t xml:space="preserve">set </w:t>
      </w:r>
      <w:r w:rsidRPr="00273106">
        <w:rPr>
          <w:i/>
          <w:szCs w:val="12"/>
        </w:rPr>
        <w:t xml:space="preserve">per </w:t>
      </w:r>
      <w:r w:rsidRPr="00273106">
        <w:rPr>
          <w:i/>
          <w:szCs w:val="11"/>
        </w:rPr>
        <w:t>raciones</w:t>
      </w:r>
      <w:r w:rsidRPr="00273106">
        <w:t>)</w:t>
      </w:r>
      <w:r w:rsidR="00221596" w:rsidRPr="00273106">
        <w:t xml:space="preserve">. </w:t>
      </w:r>
      <w:r w:rsidR="08922897" w:rsidRPr="00273106">
        <w:t>Hermene</w:t>
      </w:r>
      <w:r w:rsidR="000A333A" w:rsidRPr="00273106">
        <w:t>u</w:t>
      </w:r>
      <w:r w:rsidR="08922897" w:rsidRPr="00273106">
        <w:t xml:space="preserve">tika do této skupiny </w:t>
      </w:r>
      <w:r w:rsidR="089C11CD">
        <w:t xml:space="preserve">autorů prvního averroismu </w:t>
      </w:r>
      <w:r w:rsidR="08922897" w:rsidRPr="00273106">
        <w:t xml:space="preserve">řadí františkánského magistra </w:t>
      </w:r>
      <w:r w:rsidR="08922897" w:rsidRPr="00273106">
        <w:rPr>
          <w:bCs/>
        </w:rPr>
        <w:t>Adama Marshe</w:t>
      </w:r>
      <w:r w:rsidR="08922897" w:rsidRPr="00273106">
        <w:t xml:space="preserve"> (</w:t>
      </w:r>
      <w:r w:rsidR="08922897" w:rsidRPr="00273106">
        <w:rPr>
          <w:bCs/>
        </w:rPr>
        <w:t>Adam de Marisco</w:t>
      </w:r>
      <w:r w:rsidR="00FC2D57">
        <w:rPr>
          <w:bCs/>
        </w:rPr>
        <w:fldChar w:fldCharType="begin"/>
      </w:r>
      <w:r w:rsidR="00FC2D57">
        <w:instrText xml:space="preserve"> XE "</w:instrText>
      </w:r>
      <w:r w:rsidR="00FC2D57" w:rsidRPr="00A30AA5">
        <w:rPr>
          <w:bCs/>
        </w:rPr>
        <w:instrText>Adam de Marisco</w:instrText>
      </w:r>
      <w:r w:rsidR="00FC2D57">
        <w:instrText xml:space="preserve">" </w:instrText>
      </w:r>
      <w:r w:rsidR="00FC2D57">
        <w:rPr>
          <w:bCs/>
        </w:rPr>
        <w:fldChar w:fldCharType="end"/>
      </w:r>
      <w:r w:rsidR="08922897" w:rsidRPr="00273106">
        <w:t>), který s</w:t>
      </w:r>
      <w:r w:rsidR="00BA0913" w:rsidRPr="00273106">
        <w:t xml:space="preserve">e stal </w:t>
      </w:r>
      <w:r w:rsidR="08AB26FA">
        <w:t xml:space="preserve">roku </w:t>
      </w:r>
      <w:r w:rsidR="00BA0913" w:rsidRPr="00273106">
        <w:t>1238 lektorem na Oxfordu</w:t>
      </w:r>
      <w:r w:rsidR="08841EA0">
        <w:t xml:space="preserve"> a byl přítelem </w:t>
      </w:r>
      <w:r w:rsidR="08841EA0" w:rsidRPr="00273106">
        <w:t>Grossetesteho</w:t>
      </w:r>
      <w:r w:rsidR="00BA0913" w:rsidRPr="00273106">
        <w:t xml:space="preserve">. </w:t>
      </w:r>
      <w:r w:rsidR="00BA0913" w:rsidRPr="00273106">
        <w:rPr>
          <w:bCs/>
        </w:rPr>
        <w:t xml:space="preserve">Marsh hájil </w:t>
      </w:r>
      <w:r w:rsidR="002E3B62">
        <w:rPr>
          <w:bCs/>
        </w:rPr>
        <w:t>Averroes</w:t>
      </w:r>
      <w:r w:rsidR="00221596" w:rsidRPr="00273106">
        <w:t>e jako autora shodného s křesťanským pojetím jednoty osoby</w:t>
      </w:r>
      <w:r w:rsidR="002A1CEF" w:rsidRPr="00273106">
        <w:t>.</w:t>
      </w:r>
      <w:r w:rsidR="004E0FD7" w:rsidRPr="00273106">
        <w:t xml:space="preserve"> </w:t>
      </w:r>
      <w:r w:rsidR="002A1CEF" w:rsidRPr="00273106">
        <w:t>Tuto pozici zaujímá v</w:t>
      </w:r>
      <w:r w:rsidR="00BA0913" w:rsidRPr="00273106">
        <w:t xml:space="preserve"> téže době </w:t>
      </w:r>
      <w:r w:rsidR="00221596" w:rsidRPr="00273106">
        <w:t>biskup Alvernus proti podobné skup</w:t>
      </w:r>
      <w:r w:rsidR="00E0267B">
        <w:t xml:space="preserve">ině teologů v Paříži nazvaných </w:t>
      </w:r>
      <w:r w:rsidR="00217DE9" w:rsidRPr="00273106">
        <w:rPr>
          <w:i/>
        </w:rPr>
        <w:t>sophista</w:t>
      </w:r>
      <w:r w:rsidR="00221596" w:rsidRPr="00273106">
        <w:rPr>
          <w:i/>
        </w:rPr>
        <w:t>e Latini</w:t>
      </w:r>
      <w:r w:rsidR="005109BC">
        <w:rPr>
          <w:i/>
        </w:rPr>
        <w:fldChar w:fldCharType="begin"/>
      </w:r>
      <w:r w:rsidR="005109BC">
        <w:instrText xml:space="preserve"> XE "</w:instrText>
      </w:r>
      <w:r w:rsidR="00FC2D57">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CC62ED" w:rsidRPr="00273106">
        <w:t>, kde je Mars</w:t>
      </w:r>
      <w:r w:rsidR="004E0FD7" w:rsidRPr="00273106">
        <w:t>h dosvědčen jako stoupenec Alverna</w:t>
      </w:r>
      <w:r w:rsidR="08792CA3">
        <w:t xml:space="preserve"> (kap. 2</w:t>
      </w:r>
      <w:r w:rsidR="002318B9" w:rsidRPr="00273106">
        <w:t>.3</w:t>
      </w:r>
      <w:r w:rsidR="00D548D9">
        <w:t>.1</w:t>
      </w:r>
      <w:r w:rsidR="003464D7" w:rsidRPr="00273106">
        <w:t xml:space="preserve">). </w:t>
      </w:r>
      <w:r w:rsidR="00221596" w:rsidRPr="00273106">
        <w:t xml:space="preserve">Bacon </w:t>
      </w:r>
      <w:r w:rsidR="08283B07" w:rsidRPr="00273106">
        <w:t>dále ř</w:t>
      </w:r>
      <w:r w:rsidR="005502DC" w:rsidRPr="00273106">
        <w:t xml:space="preserve">íká, že </w:t>
      </w:r>
      <w:r w:rsidR="00221596" w:rsidRPr="00273106">
        <w:t xml:space="preserve">teze o substanční </w:t>
      </w:r>
      <w:r w:rsidR="08C4098E" w:rsidRPr="00273106">
        <w:t xml:space="preserve">pluralitě </w:t>
      </w:r>
      <w:r w:rsidR="00221596" w:rsidRPr="00273106">
        <w:t xml:space="preserve">v člověku </w:t>
      </w:r>
      <w:r w:rsidR="005502DC" w:rsidRPr="00273106">
        <w:t xml:space="preserve">je </w:t>
      </w:r>
      <w:r w:rsidR="00221596" w:rsidRPr="00273106">
        <w:t xml:space="preserve">naprostý nesmysl. </w:t>
      </w:r>
      <w:r w:rsidR="0043201D" w:rsidRPr="00273106">
        <w:t xml:space="preserve">Citujme tuto část vcelku, protože obsahuje Baconovo nejsilnější odsouzení tehdejších </w:t>
      </w:r>
      <w:r w:rsidR="0043201D" w:rsidRPr="00273106">
        <w:rPr>
          <w:i/>
        </w:rPr>
        <w:t>Modernorum</w:t>
      </w:r>
      <w:r w:rsidR="0043201D">
        <w:t xml:space="preserve">, </w:t>
      </w:r>
      <w:r w:rsidR="0043201D" w:rsidRPr="0043201D">
        <w:t xml:space="preserve">neboť byl představitelem prvního averroismu. Jeho prohlášení bylo učiněno v době, kdy byla </w:t>
      </w:r>
      <w:r w:rsidR="0043201D">
        <w:t>tato škola oficiálně uznána na P</w:t>
      </w:r>
      <w:r w:rsidR="0043201D" w:rsidRPr="0043201D">
        <w:t>ařížské univerzitě.</w:t>
      </w:r>
    </w:p>
    <w:p w14:paraId="4E41AFCF" w14:textId="77777777" w:rsidR="00D23425" w:rsidRPr="00273106" w:rsidRDefault="00B5299B" w:rsidP="00085AF8">
      <w:pPr>
        <w:pStyle w:val="Citace"/>
        <w:rPr>
          <w:noProof/>
          <w:szCs w:val="15"/>
          <w:lang w:val="cs-CZ"/>
        </w:rPr>
      </w:pPr>
      <w:r w:rsidRPr="00273106">
        <w:rPr>
          <w:noProof/>
          <w:szCs w:val="15"/>
          <w:lang w:val="cs-CZ"/>
        </w:rPr>
        <w:t>„</w:t>
      </w:r>
      <w:r w:rsidR="00D23425" w:rsidRPr="00273106">
        <w:rPr>
          <w:noProof/>
          <w:szCs w:val="15"/>
          <w:lang w:val="cs-CZ"/>
        </w:rPr>
        <w:t xml:space="preserve">Oni nemají žádné zdůvodnění pro tento nesmysl, které by stálo za debatu, proto věci spíše tvrdí, než dokazují. A není mi jasné, co by mohli uvést jako argument pro tyto výmysly, a raději přejdu k tomu, co je mnohem horší a mnohem větší omyl a </w:t>
      </w:r>
      <w:r w:rsidR="00BA74BC">
        <w:rPr>
          <w:noProof/>
          <w:szCs w:val="15"/>
          <w:lang w:val="cs-CZ"/>
        </w:rPr>
        <w:t xml:space="preserve">velmi </w:t>
      </w:r>
      <w:r w:rsidR="00D23425" w:rsidRPr="00273106">
        <w:rPr>
          <w:noProof/>
          <w:szCs w:val="15"/>
          <w:lang w:val="cs-CZ"/>
        </w:rPr>
        <w:t xml:space="preserve">zlá hereze, dokonce </w:t>
      </w:r>
      <w:r w:rsidR="00085AF8" w:rsidRPr="00273106">
        <w:rPr>
          <w:noProof/>
          <w:szCs w:val="15"/>
          <w:lang w:val="cs-CZ"/>
        </w:rPr>
        <w:t>nejhorší ze všech. Za mých let s</w:t>
      </w:r>
      <w:r w:rsidR="00D23425" w:rsidRPr="00273106">
        <w:rPr>
          <w:noProof/>
          <w:szCs w:val="15"/>
          <w:lang w:val="cs-CZ"/>
        </w:rPr>
        <w:t>e tyto omyly nevyskytovaly, protože všem bylo jasné, že jsou heretické a že jsou jak proti víře, tak proti filosofii</w:t>
      </w:r>
      <w:r w:rsidR="08772F52">
        <w:rPr>
          <w:noProof/>
          <w:szCs w:val="15"/>
          <w:lang w:val="cs-CZ"/>
        </w:rPr>
        <w:t xml:space="preserve"> a p</w:t>
      </w:r>
      <w:r w:rsidR="00D23425" w:rsidRPr="00273106">
        <w:rPr>
          <w:noProof/>
          <w:szCs w:val="15"/>
          <w:lang w:val="cs-CZ"/>
        </w:rPr>
        <w:t xml:space="preserve">ro ohromnou </w:t>
      </w:r>
      <w:r w:rsidR="00BA74BC">
        <w:rPr>
          <w:noProof/>
          <w:szCs w:val="15"/>
          <w:lang w:val="cs-CZ"/>
        </w:rPr>
        <w:t xml:space="preserve">hloupost </w:t>
      </w:r>
      <w:r w:rsidR="08772F52">
        <w:rPr>
          <w:noProof/>
          <w:szCs w:val="15"/>
          <w:lang w:val="cs-CZ"/>
        </w:rPr>
        <w:t xml:space="preserve">těchto otázek jsme je tehdy ani </w:t>
      </w:r>
      <w:r w:rsidR="00D23425" w:rsidRPr="00273106">
        <w:rPr>
          <w:noProof/>
          <w:szCs w:val="15"/>
          <w:lang w:val="cs-CZ"/>
        </w:rPr>
        <w:t>ne</w:t>
      </w:r>
      <w:r w:rsidR="08772F52">
        <w:rPr>
          <w:noProof/>
          <w:szCs w:val="15"/>
          <w:lang w:val="cs-CZ"/>
        </w:rPr>
        <w:t>komentovali</w:t>
      </w:r>
      <w:r w:rsidR="005D6E6B">
        <w:rPr>
          <w:noProof/>
          <w:szCs w:val="15"/>
          <w:lang w:val="cs-CZ"/>
        </w:rPr>
        <w:t xml:space="preserve"> (</w:t>
      </w:r>
      <w:r w:rsidR="005D6E6B" w:rsidRPr="005D6E6B">
        <w:rPr>
          <w:i/>
        </w:rPr>
        <w:t xml:space="preserve">nec </w:t>
      </w:r>
      <w:r w:rsidR="005D6E6B" w:rsidRPr="005D6E6B">
        <w:rPr>
          <w:i/>
          <w:szCs w:val="11"/>
        </w:rPr>
        <w:t xml:space="preserve">dignati </w:t>
      </w:r>
      <w:r w:rsidR="005D6E6B" w:rsidRPr="005D6E6B">
        <w:rPr>
          <w:i/>
          <w:szCs w:val="14"/>
        </w:rPr>
        <w:t xml:space="preserve">sumus movere </w:t>
      </w:r>
      <w:r w:rsidR="005D6E6B" w:rsidRPr="005D6E6B">
        <w:rPr>
          <w:i/>
          <w:szCs w:val="13"/>
        </w:rPr>
        <w:t xml:space="preserve">questionem de </w:t>
      </w:r>
      <w:r w:rsidR="005D6E6B" w:rsidRPr="005D6E6B">
        <w:rPr>
          <w:i/>
          <w:szCs w:val="10"/>
        </w:rPr>
        <w:t xml:space="preserve">hiis </w:t>
      </w:r>
      <w:r w:rsidR="005D6E6B" w:rsidRPr="005D6E6B">
        <w:rPr>
          <w:i/>
        </w:rPr>
        <w:t xml:space="preserve">propter </w:t>
      </w:r>
      <w:r w:rsidR="005D6E6B" w:rsidRPr="005D6E6B">
        <w:rPr>
          <w:i/>
          <w:szCs w:val="10"/>
        </w:rPr>
        <w:t xml:space="preserve">stulticie </w:t>
      </w:r>
      <w:r w:rsidR="005D6E6B" w:rsidRPr="005D6E6B">
        <w:rPr>
          <w:i/>
          <w:szCs w:val="13"/>
        </w:rPr>
        <w:t>magnitudinem</w:t>
      </w:r>
      <w:r w:rsidR="005D6E6B">
        <w:rPr>
          <w:noProof/>
          <w:szCs w:val="15"/>
          <w:lang w:val="cs-CZ"/>
        </w:rPr>
        <w:t>)</w:t>
      </w:r>
      <w:r w:rsidR="00D23425" w:rsidRPr="00273106">
        <w:rPr>
          <w:noProof/>
          <w:szCs w:val="15"/>
          <w:lang w:val="cs-CZ"/>
        </w:rPr>
        <w:t>.“</w:t>
      </w:r>
      <w:r w:rsidR="00085AF8" w:rsidRPr="00273106">
        <w:rPr>
          <w:noProof/>
          <w:szCs w:val="15"/>
          <w:lang w:val="cs-CZ"/>
        </w:rPr>
        <w:t xml:space="preserve"> </w:t>
      </w:r>
      <w:r w:rsidR="00D23425" w:rsidRPr="00273106">
        <w:rPr>
          <w:rStyle w:val="Znakapoznpodarou"/>
          <w:noProof/>
          <w:lang w:val="cs-CZ"/>
        </w:rPr>
        <w:footnoteReference w:id="360"/>
      </w:r>
    </w:p>
    <w:p w14:paraId="490269DF" w14:textId="2B58C74F" w:rsidR="00221596" w:rsidRPr="08466565" w:rsidRDefault="08E71639" w:rsidP="00221596">
      <w:r w:rsidRPr="00273106">
        <w:t>Teze modernistů považuje za šílenost</w:t>
      </w:r>
      <w:r w:rsidR="005502DC" w:rsidRPr="00273106">
        <w:t xml:space="preserve"> (</w:t>
      </w:r>
      <w:r w:rsidR="005502DC" w:rsidRPr="00273106">
        <w:rPr>
          <w:i/>
        </w:rPr>
        <w:t>hanc insaniam</w:t>
      </w:r>
      <w:r w:rsidR="005502DC" w:rsidRPr="00273106">
        <w:t xml:space="preserve">), </w:t>
      </w:r>
      <w:r w:rsidR="005927F9" w:rsidRPr="00273106">
        <w:t>kt</w:t>
      </w:r>
      <w:r w:rsidRPr="00273106">
        <w:t xml:space="preserve">erá </w:t>
      </w:r>
      <w:r w:rsidR="00FE74CB">
        <w:t>nestojí za argumentaci</w:t>
      </w:r>
      <w:r w:rsidR="005502DC" w:rsidRPr="00273106">
        <w:t>, protože spočívá na řadě nedokázaných tvrzení (</w:t>
      </w:r>
      <w:r w:rsidR="005502DC" w:rsidRPr="00273106">
        <w:rPr>
          <w:i/>
          <w:szCs w:val="13"/>
        </w:rPr>
        <w:t xml:space="preserve">magis </w:t>
      </w:r>
      <w:r w:rsidR="005502DC" w:rsidRPr="00273106">
        <w:rPr>
          <w:i/>
        </w:rPr>
        <w:t xml:space="preserve">asserunt </w:t>
      </w:r>
      <w:r w:rsidR="005502DC" w:rsidRPr="00273106">
        <w:rPr>
          <w:i/>
          <w:szCs w:val="16"/>
        </w:rPr>
        <w:t xml:space="preserve">quam </w:t>
      </w:r>
      <w:r w:rsidR="005502DC" w:rsidRPr="00273106">
        <w:rPr>
          <w:i/>
          <w:szCs w:val="11"/>
        </w:rPr>
        <w:t>racionentur</w:t>
      </w:r>
      <w:r w:rsidR="005502DC" w:rsidRPr="00273106">
        <w:t xml:space="preserve">). </w:t>
      </w:r>
      <w:r w:rsidR="08FD3EB3" w:rsidRPr="00273106">
        <w:t xml:space="preserve">Albert se </w:t>
      </w:r>
      <w:r w:rsidR="08FD3EB3" w:rsidRPr="00273106">
        <w:lastRenderedPageBreak/>
        <w:t xml:space="preserve">distancuje </w:t>
      </w:r>
      <w:r w:rsidR="08E60ACA" w:rsidRPr="00273106">
        <w:t xml:space="preserve">od těch </w:t>
      </w:r>
      <w:r w:rsidR="08E60ACA">
        <w:t xml:space="preserve">nesmylných </w:t>
      </w:r>
      <w:r w:rsidR="08E60ACA" w:rsidRPr="00273106">
        <w:t xml:space="preserve">nauk </w:t>
      </w:r>
      <w:r w:rsidR="08FD3EB3" w:rsidRPr="00273106">
        <w:t xml:space="preserve">ve výkladu </w:t>
      </w:r>
      <w:r w:rsidR="00B713C5">
        <w:rPr>
          <w:i/>
        </w:rPr>
        <w:t>De anima</w:t>
      </w:r>
      <w:r w:rsidR="08FD3EB3" w:rsidRPr="00273106">
        <w:t xml:space="preserve"> </w:t>
      </w:r>
      <w:r w:rsidR="08D918CA">
        <w:t xml:space="preserve">podobným </w:t>
      </w:r>
      <w:r w:rsidR="08FD3EB3" w:rsidRPr="00273106">
        <w:t>způsobem (</w:t>
      </w:r>
      <w:r w:rsidR="08AB739D" w:rsidRPr="00273106">
        <w:rPr>
          <w:i/>
        </w:rPr>
        <w:t>non reputo opinionem, sed ridiculum</w:t>
      </w:r>
      <w:r w:rsidR="08F24CE3">
        <w:t>, kap. 2</w:t>
      </w:r>
      <w:r w:rsidR="08FD3EB3" w:rsidRPr="00273106">
        <w:t xml:space="preserve">.4.3). </w:t>
      </w:r>
      <w:r w:rsidR="00A40B38" w:rsidRPr="00273106">
        <w:t>Tvrzení o fantas</w:t>
      </w:r>
      <w:r w:rsidR="005502DC" w:rsidRPr="00273106">
        <w:t>tičnosti celé teorie (</w:t>
      </w:r>
      <w:r w:rsidR="005502DC" w:rsidRPr="00273106">
        <w:rPr>
          <w:i/>
          <w:szCs w:val="13"/>
        </w:rPr>
        <w:t xml:space="preserve">hac </w:t>
      </w:r>
      <w:r w:rsidR="005502DC" w:rsidRPr="00273106">
        <w:rPr>
          <w:i/>
          <w:szCs w:val="10"/>
        </w:rPr>
        <w:t>fantasia</w:t>
      </w:r>
      <w:r w:rsidR="005502DC" w:rsidRPr="00273106">
        <w:t>) přesně odp</w:t>
      </w:r>
      <w:r w:rsidR="00A40B38" w:rsidRPr="00273106">
        <w:t>o</w:t>
      </w:r>
      <w:r w:rsidR="00C1384B">
        <w:t xml:space="preserve">vídá Albertově charakteristice </w:t>
      </w:r>
      <w:r w:rsidR="00A40B38" w:rsidRPr="00273106">
        <w:rPr>
          <w:i/>
        </w:rPr>
        <w:t>opinio Latinorum</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08FD3EB3" w:rsidRPr="00273106">
        <w:t>, jež vůbec nedbají na skutečný význam Aristotelových textů</w:t>
      </w:r>
      <w:r w:rsidR="00A40B38" w:rsidRPr="00273106">
        <w:t xml:space="preserve"> (</w:t>
      </w:r>
      <w:r w:rsidR="00A40B38" w:rsidRPr="00273106">
        <w:rPr>
          <w:i/>
        </w:rPr>
        <w:t>nec verbis propriis attingunt</w:t>
      </w:r>
      <w:r w:rsidR="00A40B38" w:rsidRPr="00273106">
        <w:t>,</w:t>
      </w:r>
      <w:r w:rsidR="00606E44" w:rsidRPr="00606E44">
        <w:t xml:space="preserve"> </w:t>
      </w:r>
      <w:r w:rsidR="08F24CE3">
        <w:t>kap. 2</w:t>
      </w:r>
      <w:r w:rsidR="00606E44" w:rsidRPr="00273106">
        <w:t>.4.3</w:t>
      </w:r>
      <w:r w:rsidR="00E21A16" w:rsidRPr="00273106">
        <w:t xml:space="preserve">). </w:t>
      </w:r>
      <w:r w:rsidR="087D09C6" w:rsidRPr="00273106">
        <w:t>Bacon tyto nauky</w:t>
      </w:r>
      <w:r w:rsidR="00691498">
        <w:t xml:space="preserve"> přímo o</w:t>
      </w:r>
      <w:r w:rsidR="080E5306">
        <w:t xml:space="preserve">značil za herezi </w:t>
      </w:r>
      <w:r w:rsidR="005E508C" w:rsidRPr="00273106">
        <w:t>odvolání</w:t>
      </w:r>
      <w:r w:rsidR="080E5306">
        <w:t>m</w:t>
      </w:r>
      <w:r w:rsidR="005E508C" w:rsidRPr="00273106">
        <w:t xml:space="preserve"> na předešlou filosofickou a teologickou tra</w:t>
      </w:r>
      <w:r w:rsidR="087D09C6" w:rsidRPr="00273106">
        <w:t>dici jednoty duše reprezentovan</w:t>
      </w:r>
      <w:r w:rsidR="005E508C" w:rsidRPr="00273106">
        <w:t xml:space="preserve">ou Grosstetestem. </w:t>
      </w:r>
      <w:r w:rsidR="00BF46E1" w:rsidRPr="00273106">
        <w:t xml:space="preserve">Existenci </w:t>
      </w:r>
      <w:r w:rsidR="00EC24D0">
        <w:t xml:space="preserve">nové </w:t>
      </w:r>
      <w:r w:rsidR="00BF46E1" w:rsidRPr="00273106">
        <w:t xml:space="preserve">školy nepřímo dokazuje Baconova tvrdá kritika v raném </w:t>
      </w:r>
      <w:r w:rsidR="008B5074">
        <w:t xml:space="preserve">komentáři k </w:t>
      </w:r>
      <w:r w:rsidR="008B5074" w:rsidRPr="008B5074">
        <w:rPr>
          <w:i/>
        </w:rPr>
        <w:t>Metafyzice</w:t>
      </w:r>
      <w:r w:rsidR="008B5074">
        <w:t xml:space="preserve"> (</w:t>
      </w:r>
      <w:r w:rsidR="00A046FB">
        <w:rPr>
          <w:i/>
        </w:rPr>
        <w:t>Quaestiones</w:t>
      </w:r>
      <w:r w:rsidR="00BF46E1" w:rsidRPr="00273106">
        <w:rPr>
          <w:i/>
        </w:rPr>
        <w:t xml:space="preserve"> primae</w:t>
      </w:r>
      <w:r w:rsidR="008B5074">
        <w:t>)</w:t>
      </w:r>
      <w:r w:rsidR="00BF46E1" w:rsidRPr="00273106">
        <w:rPr>
          <w:i/>
        </w:rPr>
        <w:t xml:space="preserve"> </w:t>
      </w:r>
      <w:r w:rsidR="00BF46E1" w:rsidRPr="00273106">
        <w:t xml:space="preserve">směřující proti Rufusovi z Cornwallu (Noone 1997, 253). </w:t>
      </w:r>
      <w:r w:rsidR="08772F52">
        <w:t xml:space="preserve">Bacon v závěru citátu odkazuje na Rufusovo dílo </w:t>
      </w:r>
      <w:r w:rsidR="08772F52" w:rsidRPr="08772F52">
        <w:rPr>
          <w:i/>
        </w:rPr>
        <w:t>Speculum animae</w:t>
      </w:r>
      <w:r w:rsidR="08772F52">
        <w:t xml:space="preserve"> (1245)</w:t>
      </w:r>
      <w:r w:rsidR="086F0637">
        <w:t xml:space="preserve">. Toto dílo Bacon </w:t>
      </w:r>
      <w:r w:rsidR="00714655">
        <w:t>přímo</w:t>
      </w:r>
      <w:r w:rsidR="086F0637">
        <w:t xml:space="preserve"> nekomentoval, protože je považoval za totální nesmysl. Ale toto problematické dílo Rufuse museli </w:t>
      </w:r>
      <w:r w:rsidR="086F0637" w:rsidRPr="08772F52">
        <w:rPr>
          <w:i/>
        </w:rPr>
        <w:t>ex officio</w:t>
      </w:r>
      <w:r w:rsidR="086F0637">
        <w:t xml:space="preserve"> komentovat Alvernus nebo Albert z titulu regentujích pařížských magistrů.</w:t>
      </w:r>
      <w:r w:rsidR="086F0637">
        <w:rPr>
          <w:szCs w:val="24"/>
        </w:rPr>
        <w:t xml:space="preserve"> </w:t>
      </w:r>
      <w:r w:rsidR="086F0637">
        <w:t>P</w:t>
      </w:r>
      <w:r w:rsidR="08772F52">
        <w:t xml:space="preserve">o </w:t>
      </w:r>
      <w:r w:rsidR="081630D8">
        <w:t>jejich verdiktu asi n</w:t>
      </w:r>
      <w:r w:rsidR="08772F52">
        <w:t>ásledoval Rufusův odchod z Paříže</w:t>
      </w:r>
      <w:r w:rsidR="081630D8">
        <w:t xml:space="preserve"> zpět do Oxfordu</w:t>
      </w:r>
      <w:r w:rsidR="0880036D">
        <w:t xml:space="preserve"> (kap. 3</w:t>
      </w:r>
      <w:r w:rsidR="083A2598">
        <w:t>.3.4)</w:t>
      </w:r>
      <w:r w:rsidR="08772F52">
        <w:t xml:space="preserve">. </w:t>
      </w:r>
      <w:r w:rsidR="08B55EF0" w:rsidRPr="00273106">
        <w:t xml:space="preserve">Není divu, že mezi učenými františkány </w:t>
      </w:r>
      <w:r w:rsidR="08167B3E">
        <w:t>jako stoupenci modernisty Rufuse a jeho žáka Bonaventrury vypukl ostrý spor. M</w:t>
      </w:r>
      <w:r w:rsidR="00217DE9" w:rsidRPr="00273106">
        <w:t xml:space="preserve">odernistická větev </w:t>
      </w:r>
      <w:r w:rsidR="08920A6E">
        <w:t xml:space="preserve">sofistů </w:t>
      </w:r>
      <w:r w:rsidR="08167B3E">
        <w:t xml:space="preserve">vyřešila hledání pravdy </w:t>
      </w:r>
      <w:r w:rsidR="005E508C" w:rsidRPr="00273106">
        <w:t xml:space="preserve">internací </w:t>
      </w:r>
      <w:r w:rsidR="00DA6D85" w:rsidRPr="00273106">
        <w:t>Bacon</w:t>
      </w:r>
      <w:r w:rsidR="00DA6D85">
        <w:t>a</w:t>
      </w:r>
      <w:r w:rsidR="00DA6D85" w:rsidRPr="00273106">
        <w:t xml:space="preserve"> </w:t>
      </w:r>
      <w:r w:rsidR="002062A4" w:rsidRPr="00273106">
        <w:t>a z</w:t>
      </w:r>
      <w:r w:rsidR="08043752">
        <w:t>a</w:t>
      </w:r>
      <w:r w:rsidR="002062A4" w:rsidRPr="00273106">
        <w:t>k</w:t>
      </w:r>
      <w:r w:rsidR="08043752">
        <w:t>ázala mu vyučovat</w:t>
      </w:r>
      <w:r w:rsidR="002062A4" w:rsidRPr="00273106">
        <w:t xml:space="preserve"> </w:t>
      </w:r>
      <w:r w:rsidR="005E508C" w:rsidRPr="00273106">
        <w:t>(</w:t>
      </w:r>
      <w:r w:rsidR="0880036D">
        <w:t>OBJ III, kap. 4</w:t>
      </w:r>
      <w:r w:rsidR="005E508C" w:rsidRPr="00273106">
        <w:t xml:space="preserve">.2). </w:t>
      </w:r>
      <w:r w:rsidR="00195622" w:rsidRPr="00273106">
        <w:t xml:space="preserve">V další části citátu Bacon jasně říká, že </w:t>
      </w:r>
      <w:r w:rsidR="005502DC" w:rsidRPr="00273106">
        <w:t>za doby jeho magisterských studií v Paříži (asi 1237‒47)</w:t>
      </w:r>
      <w:r w:rsidR="00195622" w:rsidRPr="00273106">
        <w:t xml:space="preserve"> taková tvrzení neexistovala</w:t>
      </w:r>
      <w:r w:rsidR="00C93C73" w:rsidRPr="00273106">
        <w:t>. N</w:t>
      </w:r>
      <w:r w:rsidR="00195622" w:rsidRPr="00273106">
        <w:t xml:space="preserve">avíc by bylo každému </w:t>
      </w:r>
      <w:r w:rsidR="00C93C73" w:rsidRPr="00273106">
        <w:t xml:space="preserve">vzdělanci </w:t>
      </w:r>
      <w:r w:rsidR="00195622" w:rsidRPr="00273106">
        <w:t xml:space="preserve">okamžitě jasné, že jde o herezi. </w:t>
      </w:r>
      <w:r w:rsidR="000013EE" w:rsidRPr="00273106">
        <w:t>Tomu odpovídají</w:t>
      </w:r>
      <w:r w:rsidR="004F34D2">
        <w:t xml:space="preserve"> i historická fakta</w:t>
      </w:r>
      <w:r w:rsidR="00B8135D">
        <w:t xml:space="preserve"> a dějiny střetu mezi prvním a druhým averroismem</w:t>
      </w:r>
      <w:r w:rsidR="004F34D2">
        <w:t xml:space="preserve">. V </w:t>
      </w:r>
      <w:r w:rsidR="00F93C3B">
        <w:t xml:space="preserve">letech </w:t>
      </w:r>
      <w:r w:rsidR="00D904D6" w:rsidRPr="00273106">
        <w:t>1240</w:t>
      </w:r>
      <w:r w:rsidR="004F34D2">
        <w:t>‒</w:t>
      </w:r>
      <w:r w:rsidR="00F93C3B">
        <w:t>45</w:t>
      </w:r>
      <w:r w:rsidR="00D904D6" w:rsidRPr="00273106">
        <w:t xml:space="preserve"> </w:t>
      </w:r>
      <w:r w:rsidR="007849F6" w:rsidRPr="00273106">
        <w:t xml:space="preserve">v Paříži působí filosof a biskup Alvernus a Albert Veliký </w:t>
      </w:r>
      <w:r w:rsidR="00D904D6" w:rsidRPr="00273106">
        <w:t xml:space="preserve">zde </w:t>
      </w:r>
      <w:r w:rsidR="007849F6" w:rsidRPr="00273106">
        <w:t xml:space="preserve">píše dílo </w:t>
      </w:r>
      <w:r w:rsidR="007849F6" w:rsidRPr="00273106">
        <w:rPr>
          <w:i/>
        </w:rPr>
        <w:t>De homine</w:t>
      </w:r>
      <w:r w:rsidR="003F4C1F" w:rsidRPr="00273106">
        <w:t xml:space="preserve">. </w:t>
      </w:r>
      <w:r w:rsidR="008B5074">
        <w:t>A před nimi nauku o jednotě osoby již hlásala Blundova škola a Grosseteste. T</w:t>
      </w:r>
      <w:r w:rsidR="003F4C1F" w:rsidRPr="00273106">
        <w:t xml:space="preserve">ito vrcholní představitelé prvního averroismu </w:t>
      </w:r>
      <w:r w:rsidR="00FC7908" w:rsidRPr="00273106">
        <w:t xml:space="preserve">brání </w:t>
      </w:r>
      <w:r w:rsidR="002E3B62">
        <w:t>Averroes</w:t>
      </w:r>
      <w:r w:rsidR="00FC7908" w:rsidRPr="00273106">
        <w:t>e</w:t>
      </w:r>
      <w:r w:rsidR="003F4C1F" w:rsidRPr="00273106">
        <w:t xml:space="preserve"> a jeho pojetí jednoty osoby podle CMDA</w:t>
      </w:r>
      <w:r w:rsidR="00691498">
        <w:t xml:space="preserve"> v návaznosti na Blundovu školu a na první recepci </w:t>
      </w:r>
      <w:r w:rsidR="002E3B62">
        <w:t>Averroes</w:t>
      </w:r>
      <w:r w:rsidR="00691498">
        <w:t xml:space="preserve">e kolem 1220‒25. </w:t>
      </w:r>
      <w:r w:rsidR="00E540B8">
        <w:t>Podle Grossetestova</w:t>
      </w:r>
      <w:r w:rsidR="00621BAB">
        <w:t xml:space="preserve"> </w:t>
      </w:r>
      <w:r w:rsidR="00E94870">
        <w:t xml:space="preserve">dvojího </w:t>
      </w:r>
      <w:r w:rsidR="00621BAB">
        <w:t xml:space="preserve">výkladu </w:t>
      </w:r>
      <w:r w:rsidR="00621BAB" w:rsidRPr="00621BAB">
        <w:rPr>
          <w:i/>
        </w:rPr>
        <w:t>De anima</w:t>
      </w:r>
      <w:r w:rsidR="00657768">
        <w:t xml:space="preserve"> psaného kolem 1225</w:t>
      </w:r>
      <w:r w:rsidR="00621BAB">
        <w:t xml:space="preserve"> v P</w:t>
      </w:r>
      <w:r w:rsidR="001A0677">
        <w:t>a</w:t>
      </w:r>
      <w:r w:rsidR="00621BAB">
        <w:t xml:space="preserve">říži </w:t>
      </w:r>
      <w:r w:rsidR="00657768">
        <w:t xml:space="preserve">a </w:t>
      </w:r>
      <w:r w:rsidR="085C2AF0">
        <w:t xml:space="preserve">jeho druhé verze psané již v </w:t>
      </w:r>
      <w:r w:rsidR="00657768">
        <w:t xml:space="preserve">Oxfordu </w:t>
      </w:r>
      <w:r w:rsidR="00621BAB">
        <w:t xml:space="preserve">je jasné, že tento učenec patřil ohledně výkladu duše </w:t>
      </w:r>
      <w:r w:rsidR="001A0677">
        <w:t xml:space="preserve">a definice osoby </w:t>
      </w:r>
      <w:r w:rsidR="00621BAB">
        <w:t>do proudu prvního averroismu</w:t>
      </w:r>
      <w:r w:rsidR="00534B20">
        <w:t xml:space="preserve"> daného v Blundově škole</w:t>
      </w:r>
      <w:r w:rsidR="00621BAB">
        <w:t xml:space="preserve">. </w:t>
      </w:r>
      <w:r w:rsidR="001A0677">
        <w:t>Grossete</w:t>
      </w:r>
      <w:r w:rsidR="00E540B8">
        <w:t>st</w:t>
      </w:r>
      <w:r w:rsidR="001A0677">
        <w:t>e b</w:t>
      </w:r>
      <w:r w:rsidR="00E94870">
        <w:t>yl zastá</w:t>
      </w:r>
      <w:r w:rsidR="08C10F1A">
        <w:t>nce plurality forem v duši. P</w:t>
      </w:r>
      <w:r w:rsidR="00621BAB">
        <w:t xml:space="preserve">roto </w:t>
      </w:r>
      <w:r w:rsidR="08C10F1A">
        <w:t xml:space="preserve">zásadně </w:t>
      </w:r>
      <w:r w:rsidR="00621BAB">
        <w:t>kritizoval teorii o pluralitě substancí v člověku, kterou razili moderní aristotelští sofisté na Oxfordu po 1235.</w:t>
      </w:r>
      <w:r w:rsidR="00453F8E">
        <w:t xml:space="preserve"> </w:t>
      </w:r>
      <w:r w:rsidR="084D7A2A" w:rsidRPr="00273106">
        <w:t>Bacon se řadí k tradici myšlení prvního averroism</w:t>
      </w:r>
      <w:r w:rsidR="00154C93" w:rsidRPr="00273106">
        <w:t xml:space="preserve">u a odmítá filosofické novátory, </w:t>
      </w:r>
      <w:r w:rsidR="084D7A2A" w:rsidRPr="00273106">
        <w:t xml:space="preserve">jako byl Rufus z Cornwallu. </w:t>
      </w:r>
      <w:r w:rsidR="00544700">
        <w:t>A v pozdním díle věnovaném obraně aristotelského pojetí vědy už Bacon</w:t>
      </w:r>
      <w:r w:rsidR="000E5737">
        <w:t xml:space="preserve"> otevřeně konstatuje</w:t>
      </w:r>
      <w:r w:rsidR="00544700">
        <w:t xml:space="preserve">, že to byl právě Grossestete, </w:t>
      </w:r>
      <w:r w:rsidR="000246A1">
        <w:t xml:space="preserve">jehož </w:t>
      </w:r>
      <w:r w:rsidR="007F1715">
        <w:t xml:space="preserve">svévolný a </w:t>
      </w:r>
      <w:r w:rsidR="000246A1">
        <w:t xml:space="preserve">nesprávný výklad Aristotela </w:t>
      </w:r>
      <w:r w:rsidR="000246A1" w:rsidRPr="000246A1">
        <w:t>(</w:t>
      </w:r>
      <w:r w:rsidR="000246A1" w:rsidRPr="000246A1">
        <w:rPr>
          <w:i/>
        </w:rPr>
        <w:t>neglexit omnes libros Aristotelis</w:t>
      </w:r>
      <w:r w:rsidR="007F1715">
        <w:rPr>
          <w:i/>
        </w:rPr>
        <w:t>...</w:t>
      </w:r>
      <w:r w:rsidR="007F1715" w:rsidRPr="007F1715">
        <w:rPr>
          <w:i/>
        </w:rPr>
        <w:t>per experientiam propriam</w:t>
      </w:r>
      <w:r w:rsidR="000246A1" w:rsidRPr="000246A1">
        <w:t>)</w:t>
      </w:r>
      <w:r w:rsidR="000246A1">
        <w:t xml:space="preserve"> </w:t>
      </w:r>
      <w:r w:rsidR="00544700">
        <w:t xml:space="preserve">posunul myšlení na </w:t>
      </w:r>
      <w:r w:rsidR="00544700">
        <w:lastRenderedPageBreak/>
        <w:t xml:space="preserve">nebezpečnou cestu </w:t>
      </w:r>
      <w:r w:rsidR="00544700" w:rsidRPr="00544700">
        <w:rPr>
          <w:i/>
        </w:rPr>
        <w:t>Oxfordian Fallacy</w:t>
      </w:r>
      <w:r w:rsidR="00544700">
        <w:t>.</w:t>
      </w:r>
      <w:r w:rsidR="00544700">
        <w:rPr>
          <w:rStyle w:val="Znakapoznpodarou"/>
        </w:rPr>
        <w:footnoteReference w:id="361"/>
      </w:r>
      <w:r w:rsidR="0079273D">
        <w:t xml:space="preserve"> </w:t>
      </w:r>
      <w:r w:rsidR="00544700">
        <w:t>Připomeňme podobnou Averroesovu kritiku Avicenny,</w:t>
      </w:r>
      <w:r w:rsidR="001D3794">
        <w:t xml:space="preserve"> který začal výklad Aristotela </w:t>
      </w:r>
      <w:r w:rsidR="08246596">
        <w:t xml:space="preserve">od poznávajícího subjektu a ne od první substance </w:t>
      </w:r>
      <w:r w:rsidR="00544700">
        <w:t>(</w:t>
      </w:r>
      <w:r w:rsidR="00544700" w:rsidRPr="00544700">
        <w:rPr>
          <w:i/>
        </w:rPr>
        <w:t>quasi a se</w:t>
      </w:r>
      <w:r w:rsidR="00544700">
        <w:t xml:space="preserve">, kap. 2.5). </w:t>
      </w:r>
      <w:r w:rsidR="0079273D">
        <w:t xml:space="preserve">Rufus </w:t>
      </w:r>
      <w:r w:rsidR="083C35FC" w:rsidRPr="00273106">
        <w:t xml:space="preserve">v téže době působil v Paříži, </w:t>
      </w:r>
      <w:r w:rsidR="00913CF6">
        <w:t xml:space="preserve">kam přinesl z Oxfordu </w:t>
      </w:r>
      <w:r w:rsidR="001E0F5A" w:rsidRPr="00273106">
        <w:t xml:space="preserve">zdvojení </w:t>
      </w:r>
      <w:r w:rsidR="00913CF6">
        <w:t xml:space="preserve">intelektuální části duše jako </w:t>
      </w:r>
      <w:r w:rsidR="001E0F5A" w:rsidRPr="00273106">
        <w:t>kvazi-formy a kvazi-látky</w:t>
      </w:r>
      <w:r w:rsidR="083C35FC" w:rsidRPr="00273106">
        <w:t xml:space="preserve"> podle Avicebrona</w:t>
      </w:r>
      <w:r w:rsidR="001E0F5A" w:rsidRPr="00273106">
        <w:t xml:space="preserve">. </w:t>
      </w:r>
      <w:r w:rsidR="00F21A2A">
        <w:t xml:space="preserve">To dosvěčuje </w:t>
      </w:r>
      <w:r w:rsidR="00817370">
        <w:t xml:space="preserve">Rufusovo </w:t>
      </w:r>
      <w:r w:rsidR="00F21A2A">
        <w:t xml:space="preserve">dílo </w:t>
      </w:r>
      <w:r w:rsidR="00F21A2A" w:rsidRPr="00273106">
        <w:rPr>
          <w:i/>
        </w:rPr>
        <w:t>Speculum animae</w:t>
      </w:r>
      <w:r w:rsidR="00F21A2A">
        <w:t xml:space="preserve"> (asi 1245), kvůli kterému musel odejít z Paříže. </w:t>
      </w:r>
      <w:r w:rsidR="08466565">
        <w:t xml:space="preserve">Výše uvedená citace ukázala, že </w:t>
      </w:r>
      <w:r w:rsidR="004233C9" w:rsidRPr="00273106">
        <w:t xml:space="preserve">Bacon </w:t>
      </w:r>
      <w:r w:rsidR="004C0804" w:rsidRPr="00273106">
        <w:t xml:space="preserve">s těmito lidmi odmítá diskutovat kvůli jejich nebetyčné hlouposti </w:t>
      </w:r>
      <w:r w:rsidR="004233C9" w:rsidRPr="00273106">
        <w:t>(</w:t>
      </w:r>
      <w:r w:rsidR="004C0804" w:rsidRPr="00273106">
        <w:rPr>
          <w:i/>
        </w:rPr>
        <w:t xml:space="preserve">propter </w:t>
      </w:r>
      <w:r w:rsidR="004C0804" w:rsidRPr="00273106">
        <w:rPr>
          <w:i/>
          <w:szCs w:val="10"/>
        </w:rPr>
        <w:t xml:space="preserve">stulticie </w:t>
      </w:r>
      <w:r w:rsidR="004C0804" w:rsidRPr="00273106">
        <w:rPr>
          <w:i/>
          <w:szCs w:val="13"/>
        </w:rPr>
        <w:t>magnitudinem</w:t>
      </w:r>
      <w:r w:rsidR="004233C9" w:rsidRPr="00273106">
        <w:t>)</w:t>
      </w:r>
      <w:r w:rsidR="00E25A02" w:rsidRPr="00273106">
        <w:t xml:space="preserve">. </w:t>
      </w:r>
      <w:r w:rsidR="08D71740">
        <w:t>Citát jasně dokládá</w:t>
      </w:r>
      <w:r w:rsidR="08466565">
        <w:t xml:space="preserve">, že k </w:t>
      </w:r>
      <w:r w:rsidR="08647A23">
        <w:t xml:space="preserve">zásadní změně dané </w:t>
      </w:r>
      <w:r w:rsidR="082518DB">
        <w:t xml:space="preserve">zavedením </w:t>
      </w:r>
      <w:r w:rsidR="08647A23">
        <w:t>pluralit</w:t>
      </w:r>
      <w:r w:rsidR="082518DB">
        <w:t xml:space="preserve">y substancí (a ne forem) </w:t>
      </w:r>
      <w:r w:rsidR="08647A23">
        <w:t xml:space="preserve">v člověku </w:t>
      </w:r>
      <w:r w:rsidR="08647A23" w:rsidRPr="00273106">
        <w:t>došlo na Oxfordu</w:t>
      </w:r>
      <w:r w:rsidR="08D71740">
        <w:t xml:space="preserve"> v deká</w:t>
      </w:r>
      <w:r w:rsidR="08033A29">
        <w:t>dě</w:t>
      </w:r>
      <w:r w:rsidR="08D71740">
        <w:t xml:space="preserve"> 1235‒45</w:t>
      </w:r>
      <w:r w:rsidR="08647A23">
        <w:fldChar w:fldCharType="begin"/>
      </w:r>
      <w:r w:rsidR="08647A23">
        <w:instrText xml:space="preserve"> XE "druhý averroismus:</w:instrText>
      </w:r>
      <w:r w:rsidR="08647A23" w:rsidRPr="009C5FAB">
        <w:instrText>vznik</w:instrText>
      </w:r>
      <w:r w:rsidR="08647A23">
        <w:instrText xml:space="preserve">" </w:instrText>
      </w:r>
      <w:r w:rsidR="08647A23">
        <w:fldChar w:fldCharType="end"/>
      </w:r>
      <w:r w:rsidR="08647A23" w:rsidRPr="00273106">
        <w:t xml:space="preserve">. </w:t>
      </w:r>
      <w:r w:rsidR="00E21A16" w:rsidRPr="00273106">
        <w:t xml:space="preserve">Albert měl tyto představitele </w:t>
      </w:r>
      <w:r w:rsidR="00E21A16" w:rsidRPr="00273106">
        <w:rPr>
          <w:i/>
        </w:rPr>
        <w:t>Latinorum</w:t>
      </w:r>
      <w:r w:rsidR="00E21A16" w:rsidRPr="00273106">
        <w:t xml:space="preserve"> za směšné figurky, s nimiž skutečný filosof nemůže vážně diskutovat. </w:t>
      </w:r>
      <w:r w:rsidR="087E173D">
        <w:t xml:space="preserve">Jenže tehdy se síly moderního chaosu teprve dávaly do pohybu a proti nim stála skupina kritických a vzdělaných akademiků ovládajících myšlení hlavní křesťanské univerzity. </w:t>
      </w:r>
      <w:r w:rsidR="08336CFF" w:rsidRPr="00273106">
        <w:t xml:space="preserve">Po </w:t>
      </w:r>
      <w:r w:rsidR="087E173D">
        <w:t xml:space="preserve">jejím zániku, po </w:t>
      </w:r>
      <w:r w:rsidR="08336CFF" w:rsidRPr="00273106">
        <w:t xml:space="preserve">dvou světových válkách </w:t>
      </w:r>
      <w:r w:rsidR="002129CF">
        <w:t xml:space="preserve">a </w:t>
      </w:r>
      <w:r w:rsidR="08336CFF" w:rsidRPr="00273106">
        <w:t xml:space="preserve">planetární destrukce </w:t>
      </w:r>
      <w:r w:rsidR="00E21A16" w:rsidRPr="00273106">
        <w:t>už nás smích přešel</w:t>
      </w:r>
      <w:r w:rsidR="08B001D6">
        <w:t xml:space="preserve">. </w:t>
      </w:r>
      <w:r w:rsidR="084F1753">
        <w:t xml:space="preserve">Člověk </w:t>
      </w:r>
      <w:r w:rsidR="006E5C48">
        <w:t xml:space="preserve">jako objektivní individuum </w:t>
      </w:r>
      <w:r w:rsidR="084F1753">
        <w:t xml:space="preserve">se stal </w:t>
      </w:r>
      <w:r w:rsidR="08704BE9">
        <w:t xml:space="preserve">moderní </w:t>
      </w:r>
      <w:r w:rsidR="006E5C48">
        <w:t xml:space="preserve">specifickou </w:t>
      </w:r>
      <w:r w:rsidR="084F1753">
        <w:t xml:space="preserve">mrtvolou. </w:t>
      </w:r>
      <w:r w:rsidR="08B001D6">
        <w:t>C</w:t>
      </w:r>
      <w:r w:rsidR="080325E7">
        <w:t xml:space="preserve">haos </w:t>
      </w:r>
      <w:r w:rsidR="08B001D6">
        <w:t xml:space="preserve">šířený akademicky vzdělanými Fúriemi </w:t>
      </w:r>
      <w:r w:rsidR="080325E7">
        <w:t xml:space="preserve">přešel z mysli </w:t>
      </w:r>
      <w:r w:rsidR="08B001D6">
        <w:t xml:space="preserve">scholastických moderních </w:t>
      </w:r>
      <w:r w:rsidR="080325E7">
        <w:t xml:space="preserve">iluminátů do </w:t>
      </w:r>
      <w:r w:rsidR="002D3AD9">
        <w:t>nové geo</w:t>
      </w:r>
      <w:r w:rsidR="005176DC">
        <w:t>logické epochy zvané antropocén</w:t>
      </w:r>
      <w:r w:rsidR="00E21A16" w:rsidRPr="00273106">
        <w:t>.</w:t>
      </w:r>
      <w:r w:rsidR="00C201DE" w:rsidRPr="00273106">
        <w:t xml:space="preserve"> </w:t>
      </w:r>
      <w:r w:rsidR="00221596" w:rsidRPr="00273106">
        <w:t xml:space="preserve">Bacon jasně uvádí, které pochybné teologické autority tato skupina cituje na podporu svého tvrzení. </w:t>
      </w:r>
    </w:p>
    <w:p w14:paraId="7CA46966" w14:textId="77777777" w:rsidR="000E3D43" w:rsidRPr="00273106" w:rsidRDefault="00221596" w:rsidP="000E3D43">
      <w:pPr>
        <w:pStyle w:val="Citace"/>
        <w:rPr>
          <w:noProof/>
          <w:lang w:val="cs-CZ"/>
        </w:rPr>
      </w:pPr>
      <w:r w:rsidRPr="00273106">
        <w:rPr>
          <w:noProof/>
          <w:szCs w:val="14"/>
          <w:lang w:val="cs-CZ"/>
        </w:rPr>
        <w:t>„</w:t>
      </w:r>
      <w:r w:rsidR="000E3D43" w:rsidRPr="00273106">
        <w:rPr>
          <w:noProof/>
          <w:szCs w:val="14"/>
          <w:lang w:val="cs-CZ"/>
        </w:rPr>
        <w:t xml:space="preserve">Avicenna a </w:t>
      </w:r>
      <w:r w:rsidR="002E3B62">
        <w:rPr>
          <w:noProof/>
          <w:szCs w:val="14"/>
          <w:lang w:val="cs-CZ"/>
        </w:rPr>
        <w:t>Averroes</w:t>
      </w:r>
      <w:r w:rsidR="000E3D43" w:rsidRPr="00273106">
        <w:rPr>
          <w:noProof/>
          <w:szCs w:val="14"/>
          <w:lang w:val="cs-CZ"/>
        </w:rPr>
        <w:t xml:space="preserve"> a všichni filosofové říkají totéž a v tom se shodují s křesťanskou vírou, že jedině inteligibilní část duše byla stvořena k božímu obrazu. A nic nestojí proti, jen jakési autority dvou knih, které ani nejsou autentické, totiž</w:t>
      </w:r>
      <w:r w:rsidR="00913908" w:rsidRPr="00273106">
        <w:rPr>
          <w:noProof/>
          <w:szCs w:val="14"/>
          <w:lang w:val="cs-CZ"/>
        </w:rPr>
        <w:t xml:space="preserve"> </w:t>
      </w:r>
      <w:r w:rsidR="000E3D43" w:rsidRPr="00273106">
        <w:rPr>
          <w:i/>
          <w:noProof/>
          <w:szCs w:val="16"/>
          <w:lang w:val="cs-CZ"/>
        </w:rPr>
        <w:t xml:space="preserve">De </w:t>
      </w:r>
      <w:r w:rsidR="08421DE0">
        <w:rPr>
          <w:i/>
          <w:noProof/>
          <w:szCs w:val="14"/>
          <w:lang w:val="cs-CZ"/>
        </w:rPr>
        <w:t>s</w:t>
      </w:r>
      <w:r w:rsidR="000E3D43" w:rsidRPr="00273106">
        <w:rPr>
          <w:i/>
          <w:noProof/>
          <w:szCs w:val="14"/>
          <w:lang w:val="cs-CZ"/>
        </w:rPr>
        <w:t xml:space="preserve">piritu </w:t>
      </w:r>
      <w:r w:rsidR="000E3D43" w:rsidRPr="00273106">
        <w:rPr>
          <w:i/>
          <w:noProof/>
          <w:lang w:val="cs-CZ"/>
        </w:rPr>
        <w:t xml:space="preserve">et </w:t>
      </w:r>
      <w:r w:rsidR="08421DE0">
        <w:rPr>
          <w:i/>
          <w:noProof/>
          <w:szCs w:val="14"/>
          <w:lang w:val="cs-CZ"/>
        </w:rPr>
        <w:t>a</w:t>
      </w:r>
      <w:r w:rsidR="000E3D43" w:rsidRPr="00273106">
        <w:rPr>
          <w:i/>
          <w:noProof/>
          <w:szCs w:val="14"/>
          <w:lang w:val="cs-CZ"/>
        </w:rPr>
        <w:t>nima</w:t>
      </w:r>
      <w:r w:rsidR="000E3D43" w:rsidRPr="00273106">
        <w:rPr>
          <w:noProof/>
          <w:szCs w:val="14"/>
          <w:lang w:val="cs-CZ"/>
        </w:rPr>
        <w:t xml:space="preserve">, </w:t>
      </w:r>
      <w:r w:rsidR="000E3D43" w:rsidRPr="00273106">
        <w:rPr>
          <w:noProof/>
          <w:szCs w:val="11"/>
          <w:lang w:val="cs-CZ"/>
        </w:rPr>
        <w:t xml:space="preserve">et </w:t>
      </w:r>
      <w:r w:rsidR="000E3D43" w:rsidRPr="00273106">
        <w:rPr>
          <w:i/>
          <w:noProof/>
          <w:szCs w:val="17"/>
          <w:lang w:val="cs-CZ"/>
        </w:rPr>
        <w:t xml:space="preserve">De </w:t>
      </w:r>
      <w:r w:rsidR="08421DE0">
        <w:rPr>
          <w:i/>
          <w:noProof/>
          <w:szCs w:val="11"/>
          <w:lang w:val="cs-CZ"/>
        </w:rPr>
        <w:t>e</w:t>
      </w:r>
      <w:r w:rsidR="000E3D43" w:rsidRPr="00273106">
        <w:rPr>
          <w:i/>
          <w:noProof/>
          <w:szCs w:val="11"/>
          <w:lang w:val="cs-CZ"/>
        </w:rPr>
        <w:t xml:space="preserve">cclesiasticis </w:t>
      </w:r>
      <w:r w:rsidR="08421DE0">
        <w:rPr>
          <w:i/>
          <w:noProof/>
          <w:szCs w:val="13"/>
          <w:lang w:val="cs-CZ"/>
        </w:rPr>
        <w:t>d</w:t>
      </w:r>
      <w:r w:rsidR="000E3D43" w:rsidRPr="00273106">
        <w:rPr>
          <w:i/>
          <w:noProof/>
          <w:szCs w:val="13"/>
          <w:lang w:val="cs-CZ"/>
        </w:rPr>
        <w:t>ogmatibus</w:t>
      </w:r>
      <w:r w:rsidR="000E3D43" w:rsidRPr="00273106">
        <w:rPr>
          <w:noProof/>
          <w:szCs w:val="13"/>
          <w:lang w:val="cs-CZ"/>
        </w:rPr>
        <w:t>. Jejich autorem není Augustin, jak dobře vědí vzdělaní teologové, i když jiní si myslí, že je napsal Augustin.</w:t>
      </w:r>
      <w:r w:rsidRPr="00273106">
        <w:rPr>
          <w:noProof/>
          <w:szCs w:val="12"/>
          <w:lang w:val="cs-CZ"/>
        </w:rPr>
        <w:t>“</w:t>
      </w:r>
      <w:r w:rsidR="000E3D43" w:rsidRPr="00273106">
        <w:rPr>
          <w:noProof/>
          <w:szCs w:val="12"/>
          <w:lang w:val="cs-CZ"/>
        </w:rPr>
        <w:t> </w:t>
      </w:r>
      <w:r w:rsidR="000E3D43" w:rsidRPr="00273106">
        <w:rPr>
          <w:rStyle w:val="Znakapoznpodarou"/>
          <w:noProof/>
          <w:lang w:val="cs-CZ"/>
        </w:rPr>
        <w:footnoteReference w:id="362"/>
      </w:r>
    </w:p>
    <w:p w14:paraId="4A6C62A5" w14:textId="77777777" w:rsidR="00221596" w:rsidRPr="00273106" w:rsidRDefault="002440CA" w:rsidP="00221596">
      <w:r w:rsidRPr="00273106">
        <w:t>Opět vidíme, že tato</w:t>
      </w:r>
      <w:r w:rsidR="00221596" w:rsidRPr="00273106">
        <w:t xml:space="preserve"> skupina odpovídá výše uvedeným oxfordským magistrům a zdrojům, které citují na obranu svých tezí</w:t>
      </w:r>
      <w:r w:rsidR="00FE7790">
        <w:t>, tedy</w:t>
      </w:r>
      <w:r w:rsidR="00101D36" w:rsidRPr="00273106">
        <w:t xml:space="preserve"> Buckfielda a Rufuse</w:t>
      </w:r>
      <w:r w:rsidR="00221596" w:rsidRPr="00273106">
        <w:t xml:space="preserve">. </w:t>
      </w:r>
      <w:r w:rsidR="00021C16" w:rsidRPr="00273106">
        <w:t>Kritizované pojet</w:t>
      </w:r>
      <w:r w:rsidR="08EF0891">
        <w:t xml:space="preserve">í duše, abstrakce, poznání také </w:t>
      </w:r>
      <w:r w:rsidR="00021C16" w:rsidRPr="00273106">
        <w:t xml:space="preserve">odpovídá </w:t>
      </w:r>
      <w:r w:rsidR="08EF0891">
        <w:t xml:space="preserve">modernistickému </w:t>
      </w:r>
      <w:r w:rsidR="08EF0891" w:rsidRPr="00273106">
        <w:t>směru</w:t>
      </w:r>
      <w:r w:rsidR="08EF0891">
        <w:t xml:space="preserve"> vládnoucímu v té době v Paříži</w:t>
      </w:r>
      <w:r w:rsidR="00021C16" w:rsidRPr="00273106">
        <w:t>, který Gilson</w:t>
      </w:r>
      <w:r w:rsidR="00DD4EDB">
        <w:fldChar w:fldCharType="begin"/>
      </w:r>
      <w:r w:rsidR="00DD4EDB">
        <w:instrText xml:space="preserve"> </w:instrText>
      </w:r>
      <w:r w:rsidR="00DD4EDB">
        <w:lastRenderedPageBreak/>
        <w:instrText>XE "</w:instrText>
      </w:r>
      <w:r w:rsidR="00DD4EDB" w:rsidRPr="003C0A29">
        <w:instrText>Gilson, E.</w:instrText>
      </w:r>
      <w:r w:rsidR="00DD4EDB">
        <w:instrText xml:space="preserve">" </w:instrText>
      </w:r>
      <w:r w:rsidR="00DD4EDB">
        <w:fldChar w:fldCharType="end"/>
      </w:r>
      <w:r w:rsidR="005176DC">
        <w:t xml:space="preserve"> nazval </w:t>
      </w:r>
      <w:r w:rsidR="00021C16" w:rsidRPr="00273106">
        <w:rPr>
          <w:i/>
        </w:rPr>
        <w:t>augustinisme avicennisant</w:t>
      </w:r>
      <w:r w:rsidR="00F83129">
        <w:fldChar w:fldCharType="begin"/>
      </w:r>
      <w:r w:rsidR="00F83129">
        <w:instrText xml:space="preserve"> XE "druhý averroismus:</w:instrText>
      </w:r>
      <w:r w:rsidR="00F83129" w:rsidRPr="00F707A4">
        <w:rPr>
          <w:i/>
        </w:rPr>
        <w:instrText>augustini</w:instrText>
      </w:r>
      <w:r w:rsidR="084B0AD8">
        <w:rPr>
          <w:i/>
        </w:rPr>
        <w:instrText>s</w:instrText>
      </w:r>
      <w:r w:rsidR="00F83129" w:rsidRPr="00F707A4">
        <w:rPr>
          <w:i/>
        </w:rPr>
        <w:instrText>me avicennisant</w:instrText>
      </w:r>
      <w:r w:rsidR="00F83129">
        <w:instrText xml:space="preserve">" </w:instrText>
      </w:r>
      <w:r w:rsidR="00F83129">
        <w:fldChar w:fldCharType="end"/>
      </w:r>
      <w:r w:rsidR="00021C16" w:rsidRPr="00273106">
        <w:t xml:space="preserve">. </w:t>
      </w:r>
      <w:r w:rsidR="00593401" w:rsidRPr="00273106">
        <w:t xml:space="preserve">Bacon nemůže uznat substanční mnohost v člověku, protože jde </w:t>
      </w:r>
      <w:r w:rsidR="00F23F96" w:rsidRPr="00273106">
        <w:t xml:space="preserve">z teologického hlediska </w:t>
      </w:r>
      <w:r w:rsidR="00593401" w:rsidRPr="00273106">
        <w:t>o jasnou hererezi</w:t>
      </w:r>
      <w:r w:rsidR="00015C45" w:rsidRPr="00273106">
        <w:t xml:space="preserve">, která </w:t>
      </w:r>
      <w:r w:rsidR="00F23F96" w:rsidRPr="00273106">
        <w:t xml:space="preserve">navíc </w:t>
      </w:r>
      <w:r w:rsidR="00015C45" w:rsidRPr="00273106">
        <w:t>odporuje peripatetické filosofii</w:t>
      </w:r>
      <w:r w:rsidR="00593401" w:rsidRPr="00273106">
        <w:t xml:space="preserve">. </w:t>
      </w:r>
      <w:r w:rsidR="00221596" w:rsidRPr="00273106">
        <w:t xml:space="preserve">A nyní přejděme ke klíčové části Baconovy argumentace, ve druhé části </w:t>
      </w:r>
      <w:r w:rsidR="00221596" w:rsidRPr="00273106">
        <w:rPr>
          <w:i/>
        </w:rPr>
        <w:t xml:space="preserve">Distinccio tercia de anima, </w:t>
      </w:r>
      <w:r w:rsidR="00221596" w:rsidRPr="00273106">
        <w:t>která charakterizuje nauku těchto magistrů a dobu jejich vzniku.</w:t>
      </w:r>
    </w:p>
    <w:p w14:paraId="3B111FB2" w14:textId="402C4C31" w:rsidR="00FB27B3" w:rsidRPr="00273106" w:rsidRDefault="00221596" w:rsidP="00155F07">
      <w:pPr>
        <w:pStyle w:val="Citace"/>
        <w:rPr>
          <w:noProof/>
          <w:lang w:val="cs-CZ"/>
        </w:rPr>
      </w:pPr>
      <w:r w:rsidRPr="00273106">
        <w:rPr>
          <w:noProof/>
          <w:lang w:val="cs-CZ"/>
        </w:rPr>
        <w:t>„</w:t>
      </w:r>
      <w:r w:rsidR="00FB27B3" w:rsidRPr="00273106">
        <w:rPr>
          <w:noProof/>
          <w:lang w:val="cs-CZ"/>
        </w:rPr>
        <w:t>Před deseti</w:t>
      </w:r>
      <w:r w:rsidR="085C07CF">
        <w:rPr>
          <w:noProof/>
          <w:lang w:val="cs-CZ"/>
        </w:rPr>
        <w:t xml:space="preserve"> lety vznikl názor skrze po</w:t>
      </w:r>
      <w:r w:rsidR="08045EA8">
        <w:rPr>
          <w:noProof/>
          <w:lang w:val="cs-CZ"/>
        </w:rPr>
        <w:t xml:space="preserve">mýlenou a </w:t>
      </w:r>
      <w:r w:rsidR="085C07CF">
        <w:rPr>
          <w:noProof/>
          <w:lang w:val="cs-CZ"/>
        </w:rPr>
        <w:t xml:space="preserve">známou </w:t>
      </w:r>
      <w:r w:rsidR="08045EA8">
        <w:rPr>
          <w:noProof/>
          <w:lang w:val="cs-CZ"/>
        </w:rPr>
        <w:t>osobu</w:t>
      </w:r>
      <w:r w:rsidR="00FB27B3" w:rsidRPr="00273106">
        <w:rPr>
          <w:noProof/>
          <w:lang w:val="cs-CZ"/>
        </w:rPr>
        <w:t>, že mimo racionální duši je dána i specifická substanční diference (</w:t>
      </w:r>
      <w:r w:rsidR="00FB27B3" w:rsidRPr="00273106">
        <w:rPr>
          <w:i/>
          <w:noProof/>
          <w:lang w:val="cs-CZ"/>
        </w:rPr>
        <w:t>differencia substancialis specifica</w:t>
      </w:r>
      <w:r w:rsidR="00FB27B3" w:rsidRPr="00273106">
        <w:rPr>
          <w:noProof/>
          <w:lang w:val="cs-CZ"/>
        </w:rPr>
        <w:t>), které je vyvedena z látky jako potence (</w:t>
      </w:r>
      <w:r w:rsidR="00FB27B3" w:rsidRPr="00273106">
        <w:rPr>
          <w:i/>
          <w:noProof/>
          <w:lang w:val="cs-CZ"/>
        </w:rPr>
        <w:t>educta de potencia materie</w:t>
      </w:r>
      <w:r w:rsidR="00FB27B3" w:rsidRPr="00273106">
        <w:rPr>
          <w:noProof/>
          <w:lang w:val="cs-CZ"/>
        </w:rPr>
        <w:t>) a která definuje člo</w:t>
      </w:r>
      <w:r w:rsidR="003320A7" w:rsidRPr="00273106">
        <w:rPr>
          <w:noProof/>
          <w:lang w:val="cs-CZ"/>
        </w:rPr>
        <w:t xml:space="preserve">věka jako živočišné </w:t>
      </w:r>
      <w:r w:rsidR="004B4D52" w:rsidRPr="004B4D52">
        <w:rPr>
          <w:noProof/>
          <w:lang w:val="cs-CZ"/>
        </w:rPr>
        <w:t>species</w:t>
      </w:r>
      <w:r w:rsidR="003320A7" w:rsidRPr="00273106">
        <w:rPr>
          <w:noProof/>
          <w:lang w:val="cs-CZ"/>
        </w:rPr>
        <w:t xml:space="preserve">. </w:t>
      </w:r>
      <w:r w:rsidR="08965FA2">
        <w:rPr>
          <w:noProof/>
          <w:lang w:val="cs-CZ"/>
        </w:rPr>
        <w:t xml:space="preserve">A </w:t>
      </w:r>
      <w:r w:rsidR="00FB27B3" w:rsidRPr="00273106">
        <w:rPr>
          <w:noProof/>
          <w:lang w:val="cs-CZ"/>
        </w:rPr>
        <w:t xml:space="preserve">intelektuální </w:t>
      </w:r>
      <w:r w:rsidR="08965FA2">
        <w:rPr>
          <w:noProof/>
          <w:lang w:val="cs-CZ"/>
        </w:rPr>
        <w:t xml:space="preserve">část </w:t>
      </w:r>
      <w:r w:rsidR="00FB27B3" w:rsidRPr="00273106">
        <w:rPr>
          <w:noProof/>
          <w:lang w:val="cs-CZ"/>
        </w:rPr>
        <w:t>duše</w:t>
      </w:r>
      <w:r w:rsidR="08965FA2">
        <w:rPr>
          <w:noProof/>
          <w:lang w:val="cs-CZ"/>
        </w:rPr>
        <w:t xml:space="preserve"> není součást tohoto celku, ale </w:t>
      </w:r>
      <w:r w:rsidR="00FB27B3" w:rsidRPr="00273106">
        <w:rPr>
          <w:noProof/>
          <w:lang w:val="cs-CZ"/>
        </w:rPr>
        <w:t>zvláštní animální duše, která je přiřazena ke společné zvířecí přirozenosti dané obecně. Jako by smyslová duše příslušející oslovi byla přiřazena k animalitě dané obecně</w:t>
      </w:r>
      <w:r w:rsidR="08D06947">
        <w:rPr>
          <w:noProof/>
          <w:lang w:val="cs-CZ"/>
        </w:rPr>
        <w:t>,</w:t>
      </w:r>
      <w:r w:rsidR="00FB27B3" w:rsidRPr="00273106">
        <w:rPr>
          <w:noProof/>
          <w:lang w:val="cs-CZ"/>
        </w:rPr>
        <w:t xml:space="preserve"> a tak by vznikl nový živočišný druh. Ale toto je v naprostém rozporu s Aristotelovou filosofi</w:t>
      </w:r>
      <w:r w:rsidR="00155F07" w:rsidRPr="00273106">
        <w:rPr>
          <w:noProof/>
          <w:lang w:val="cs-CZ"/>
        </w:rPr>
        <w:t>í a se všemi autory</w:t>
      </w:r>
      <w:r w:rsidR="00FB27B3" w:rsidRPr="00273106">
        <w:rPr>
          <w:noProof/>
          <w:lang w:val="cs-CZ"/>
        </w:rPr>
        <w:t>.“</w:t>
      </w:r>
      <w:r w:rsidR="00155F07" w:rsidRPr="00273106">
        <w:rPr>
          <w:noProof/>
          <w:lang w:val="cs-CZ"/>
        </w:rPr>
        <w:t xml:space="preserve"> </w:t>
      </w:r>
      <w:r w:rsidR="00FB27B3" w:rsidRPr="00273106">
        <w:rPr>
          <w:rStyle w:val="Znakapoznpodarou"/>
          <w:noProof/>
          <w:lang w:val="cs-CZ"/>
        </w:rPr>
        <w:footnoteReference w:id="363"/>
      </w:r>
    </w:p>
    <w:p w14:paraId="1B4C75E8" w14:textId="77777777" w:rsidR="0057104C" w:rsidRDefault="00620F07" w:rsidP="00221596">
      <w:r>
        <w:t xml:space="preserve">Nové </w:t>
      </w:r>
      <w:r w:rsidR="004B4D52" w:rsidRPr="004B4D52">
        <w:t>species</w:t>
      </w:r>
      <w:r w:rsidRPr="00273106">
        <w:rPr>
          <w:i/>
        </w:rPr>
        <w:t xml:space="preserve"> specialissima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rsidRPr="00273106">
        <w:t xml:space="preserve"> ve formě lidské animální duše (</w:t>
      </w:r>
      <w:r w:rsidRPr="00273106">
        <w:rPr>
          <w:i/>
          <w:szCs w:val="14"/>
        </w:rPr>
        <w:t xml:space="preserve">anima </w:t>
      </w:r>
      <w:r w:rsidRPr="00273106">
        <w:rPr>
          <w:i/>
          <w:szCs w:val="11"/>
        </w:rPr>
        <w:t>sensitiva specialis</w:t>
      </w:r>
      <w:r w:rsidRPr="00273106">
        <w:rPr>
          <w:szCs w:val="11"/>
        </w:rPr>
        <w:t>)</w:t>
      </w:r>
      <w:r w:rsidRPr="00273106">
        <w:rPr>
          <w:i/>
          <w:szCs w:val="11"/>
        </w:rPr>
        <w:t xml:space="preserve"> </w:t>
      </w:r>
      <w:r w:rsidRPr="00273106">
        <w:rPr>
          <w:szCs w:val="11"/>
        </w:rPr>
        <w:t xml:space="preserve">dělí </w:t>
      </w:r>
      <w:r>
        <w:rPr>
          <w:szCs w:val="11"/>
        </w:rPr>
        <w:t xml:space="preserve">vyšší </w:t>
      </w:r>
      <w:r w:rsidRPr="00273106">
        <w:rPr>
          <w:szCs w:val="11"/>
        </w:rPr>
        <w:t>obecný rod skrze takto danou specifickou diferenci</w:t>
      </w:r>
      <w:r w:rsidR="08EA4729">
        <w:rPr>
          <w:szCs w:val="11"/>
        </w:rPr>
        <w:t>. T</w:t>
      </w:r>
      <w:r>
        <w:rPr>
          <w:szCs w:val="11"/>
        </w:rPr>
        <w:t xml:space="preserve">oto </w:t>
      </w:r>
      <w:r w:rsidR="08EA4729">
        <w:rPr>
          <w:szCs w:val="11"/>
        </w:rPr>
        <w:t xml:space="preserve">porretánské </w:t>
      </w:r>
      <w:r>
        <w:rPr>
          <w:szCs w:val="11"/>
        </w:rPr>
        <w:t xml:space="preserve">dělení je </w:t>
      </w:r>
      <w:r w:rsidR="08EA4729">
        <w:rPr>
          <w:szCs w:val="11"/>
        </w:rPr>
        <w:t xml:space="preserve">navíc </w:t>
      </w:r>
      <w:r>
        <w:rPr>
          <w:szCs w:val="11"/>
        </w:rPr>
        <w:t xml:space="preserve">vázáno </w:t>
      </w:r>
      <w:r w:rsidRPr="00273106">
        <w:rPr>
          <w:szCs w:val="11"/>
        </w:rPr>
        <w:t xml:space="preserve">na Avicebronovu </w:t>
      </w:r>
      <w:r>
        <w:rPr>
          <w:szCs w:val="11"/>
        </w:rPr>
        <w:t xml:space="preserve">dvojí </w:t>
      </w:r>
      <w:r w:rsidRPr="00273106">
        <w:rPr>
          <w:szCs w:val="11"/>
        </w:rPr>
        <w:t>materii (</w:t>
      </w:r>
      <w:r w:rsidRPr="00273106">
        <w:rPr>
          <w:i/>
          <w:szCs w:val="12"/>
        </w:rPr>
        <w:t xml:space="preserve">addita </w:t>
      </w:r>
      <w:r w:rsidRPr="00273106">
        <w:rPr>
          <w:i/>
          <w:szCs w:val="13"/>
        </w:rPr>
        <w:t xml:space="preserve">ad </w:t>
      </w:r>
      <w:r w:rsidRPr="00273106">
        <w:rPr>
          <w:i/>
          <w:szCs w:val="14"/>
        </w:rPr>
        <w:t xml:space="preserve">naturam </w:t>
      </w:r>
      <w:r w:rsidRPr="00273106">
        <w:rPr>
          <w:i/>
          <w:szCs w:val="12"/>
        </w:rPr>
        <w:t xml:space="preserve">sensitivam animalis </w:t>
      </w:r>
      <w:r w:rsidRPr="00273106">
        <w:rPr>
          <w:i/>
          <w:szCs w:val="15"/>
        </w:rPr>
        <w:t>communem</w:t>
      </w:r>
      <w:r w:rsidRPr="00273106">
        <w:t xml:space="preserve">). </w:t>
      </w:r>
      <w:r w:rsidR="08657269">
        <w:t>Tím došlo ke z</w:t>
      </w:r>
      <w:r w:rsidR="08636F07" w:rsidRPr="00273106">
        <w:t>dvoje</w:t>
      </w:r>
      <w:r w:rsidR="00ED264F" w:rsidRPr="00273106">
        <w:t>ní</w:t>
      </w:r>
      <w:r w:rsidR="08657269">
        <w:t xml:space="preserve"> atomární substance. Porretáni ovlivnění naukou univerzálního hylemorfismu přidali </w:t>
      </w:r>
      <w:r w:rsidR="08657269" w:rsidRPr="00273106">
        <w:t>nové určení</w:t>
      </w:r>
      <w:r w:rsidR="08657269">
        <w:t xml:space="preserve"> ke klasické </w:t>
      </w:r>
      <w:r w:rsidR="00ED264F" w:rsidRPr="00273106">
        <w:t>definici</w:t>
      </w:r>
      <w:r w:rsidR="08636F07" w:rsidRPr="00273106">
        <w:t xml:space="preserve"> člověk</w:t>
      </w:r>
      <w:r w:rsidR="00ED264F" w:rsidRPr="00273106">
        <w:t>a</w:t>
      </w:r>
      <w:r w:rsidR="08636F07" w:rsidRPr="00273106">
        <w:t xml:space="preserve"> dané na základě abstrakce</w:t>
      </w:r>
      <w:r w:rsidR="08657269">
        <w:t xml:space="preserve">. </w:t>
      </w:r>
      <w:r w:rsidR="084846E6">
        <w:t>Baconův citát říká</w:t>
      </w:r>
      <w:r w:rsidR="00AF529E" w:rsidRPr="00273106">
        <w:t xml:space="preserve">, že porretáni mají </w:t>
      </w:r>
      <w:r w:rsidR="08826666">
        <w:t xml:space="preserve">substanci </w:t>
      </w:r>
      <w:r w:rsidR="00AF529E" w:rsidRPr="00273106">
        <w:t>danou v modu materie třetího druhu a z ní dedukují individuum (</w:t>
      </w:r>
      <w:r w:rsidR="00AF529E" w:rsidRPr="00273106">
        <w:rPr>
          <w:i/>
        </w:rPr>
        <w:t>differencia substancialis specifica educta de potencia materie</w:t>
      </w:r>
      <w:r w:rsidR="00AF529E" w:rsidRPr="00273106">
        <w:t>)</w:t>
      </w:r>
      <w:r w:rsidR="00AF529E">
        <w:fldChar w:fldCharType="begin"/>
      </w:r>
      <w:r w:rsidR="00AF529E">
        <w:instrText xml:space="preserve"> XE "</w:instrText>
      </w:r>
      <w:r w:rsidR="00AF529E" w:rsidRPr="00D74D5E">
        <w:instrText>materie:objektivní</w:instrText>
      </w:r>
      <w:r w:rsidR="00AF529E">
        <w:instrText xml:space="preserve">" </w:instrText>
      </w:r>
      <w:r w:rsidR="00AF529E">
        <w:fldChar w:fldCharType="end"/>
      </w:r>
      <w:r w:rsidR="00AF529E" w:rsidRPr="00273106">
        <w:t xml:space="preserve">. Jednota člověka se pak stane absurdním divadlem, </w:t>
      </w:r>
      <w:r w:rsidR="00AF529E">
        <w:t>kdy se z materie třetího druhu dedukuje</w:t>
      </w:r>
      <w:r w:rsidR="00AF529E" w:rsidRPr="00273106">
        <w:t xml:space="preserve"> čili vyvádí (</w:t>
      </w:r>
      <w:r w:rsidR="00AF529E" w:rsidRPr="00273106">
        <w:rPr>
          <w:i/>
        </w:rPr>
        <w:t>educta</w:t>
      </w:r>
      <w:r w:rsidR="00AF529E" w:rsidRPr="00273106">
        <w:t>) nová substanciální diference na způsob individua porretánů.</w:t>
      </w:r>
      <w:r w:rsidR="00AF529E">
        <w:t xml:space="preserve"> </w:t>
      </w:r>
      <w:r w:rsidR="00AF529E" w:rsidRPr="00273106">
        <w:t xml:space="preserve">Tím vznikne „člověk“ </w:t>
      </w:r>
      <w:r w:rsidR="00AF529E">
        <w:t xml:space="preserve">jako </w:t>
      </w:r>
      <w:r w:rsidR="00457686">
        <w:t>„</w:t>
      </w:r>
      <w:r w:rsidR="004B4D52" w:rsidRPr="004B4D52">
        <w:t>species</w:t>
      </w:r>
      <w:r w:rsidR="004B4D52">
        <w:t>–těleso–</w:t>
      </w:r>
      <w:r w:rsidR="08826666" w:rsidRPr="08826666">
        <w:t>substance</w:t>
      </w:r>
      <w:r w:rsidR="00457686">
        <w:t>“</w:t>
      </w:r>
      <w:r w:rsidR="00AF529E" w:rsidRPr="00273106">
        <w:t xml:space="preserve"> na způsob </w:t>
      </w:r>
      <w:r w:rsidR="004B4D52">
        <w:t xml:space="preserve">již vyložené Avicebronovy </w:t>
      </w:r>
      <w:r w:rsidR="00457686">
        <w:t>„</w:t>
      </w:r>
      <w:r w:rsidR="004B4D52">
        <w:t>formy–</w:t>
      </w:r>
      <w:r w:rsidR="004B4D52" w:rsidRPr="004B4D52">
        <w:t>species</w:t>
      </w:r>
      <w:r w:rsidR="00457686">
        <w:t>“</w:t>
      </w:r>
      <w:r w:rsidR="00AF529E" w:rsidRPr="00273106">
        <w:t xml:space="preserve"> dané kvazi-materiálně</w:t>
      </w:r>
      <w:r w:rsidR="00AF529E">
        <w:fldChar w:fldCharType="begin"/>
      </w:r>
      <w:r w:rsidR="00AF529E">
        <w:instrText xml:space="preserve"> XE "osoba:individuum" </w:instrText>
      </w:r>
      <w:r w:rsidR="00AF529E">
        <w:fldChar w:fldCharType="end"/>
      </w:r>
      <w:r w:rsidR="00457686">
        <w:t xml:space="preserve">. </w:t>
      </w:r>
      <w:r w:rsidR="082409BE" w:rsidRPr="00273106">
        <w:t xml:space="preserve">Moderní </w:t>
      </w:r>
      <w:r w:rsidR="082409BE" w:rsidRPr="00273106">
        <w:rPr>
          <w:i/>
        </w:rPr>
        <w:t>Nominales</w:t>
      </w:r>
      <w:r w:rsidR="082409BE" w:rsidRPr="00273106">
        <w:t xml:space="preserve"> </w:t>
      </w:r>
      <w:r w:rsidR="089F17D8" w:rsidRPr="00273106">
        <w:t>typu Ru</w:t>
      </w:r>
      <w:r w:rsidR="082409BE" w:rsidRPr="00273106">
        <w:t xml:space="preserve">fuse a Buckfielda zavedli do kategoriální predikace </w:t>
      </w:r>
      <w:r w:rsidR="00874074">
        <w:t>neoplatonsk</w:t>
      </w:r>
      <w:r w:rsidR="082409BE" w:rsidRPr="00273106">
        <w:t>ou verzi</w:t>
      </w:r>
      <w:r w:rsidR="00CD266D" w:rsidRPr="00273106">
        <w:t xml:space="preserve"> </w:t>
      </w:r>
      <w:r w:rsidR="00BB45B1">
        <w:t>Porfyri</w:t>
      </w:r>
      <w:r w:rsidR="00CD266D" w:rsidRPr="00273106">
        <w:t>ova stromu</w:t>
      </w:r>
      <w:r w:rsidR="00457686">
        <w:t xml:space="preserve">. Začali dělit </w:t>
      </w:r>
      <w:r w:rsidR="00CD266D" w:rsidRPr="00273106">
        <w:t>nikoliv abstraktní univerzálie v mysli, ale</w:t>
      </w:r>
      <w:r w:rsidR="00F2138F" w:rsidRPr="00273106">
        <w:t xml:space="preserve"> substance</w:t>
      </w:r>
      <w:r w:rsidR="00A70FA4">
        <w:fldChar w:fldCharType="begin"/>
      </w:r>
      <w:r w:rsidR="00A70FA4">
        <w:instrText xml:space="preserve"> XE "</w:instrText>
      </w:r>
      <w:r w:rsidR="00A70FA4" w:rsidRPr="00DE2A32">
        <w:instrText>substance</w:instrText>
      </w:r>
      <w:r w:rsidR="00D9392F">
        <w:instrText>:individuum</w:instrText>
      </w:r>
      <w:r w:rsidR="00A70FA4">
        <w:instrText xml:space="preserve">" </w:instrText>
      </w:r>
      <w:r w:rsidR="00A70FA4">
        <w:fldChar w:fldCharType="end"/>
      </w:r>
      <w:r w:rsidR="00F2138F" w:rsidRPr="00273106">
        <w:t xml:space="preserve"> </w:t>
      </w:r>
      <w:r w:rsidR="08826666">
        <w:t xml:space="preserve">a tělesa </w:t>
      </w:r>
      <w:r w:rsidR="00F2138F" w:rsidRPr="00273106">
        <w:t>třetího druhu</w:t>
      </w:r>
      <w:r w:rsidR="00DD2F71">
        <w:t xml:space="preserve"> daná jako </w:t>
      </w:r>
      <w:r w:rsidR="00DD2F71" w:rsidRPr="00DD2F71">
        <w:rPr>
          <w:i/>
        </w:rPr>
        <w:t>individuum</w:t>
      </w:r>
      <w:r w:rsidR="007E41B1" w:rsidRPr="00273106">
        <w:t xml:space="preserve">. </w:t>
      </w:r>
      <w:r w:rsidR="000E1873" w:rsidRPr="00273106">
        <w:t xml:space="preserve">Bacon odmítá definovat člověka skrze </w:t>
      </w:r>
      <w:r w:rsidR="004B4D52" w:rsidRPr="004B4D52">
        <w:t>species</w:t>
      </w:r>
      <w:r w:rsidR="000E1873" w:rsidRPr="00273106">
        <w:t xml:space="preserve">, které by mělo v řádu porretánských hypostází zakládat jeho individualitu </w:t>
      </w:r>
      <w:r w:rsidR="007E41B1" w:rsidRPr="00273106">
        <w:t>(</w:t>
      </w:r>
      <w:r w:rsidR="00CD266D" w:rsidRPr="00273106">
        <w:rPr>
          <w:i/>
        </w:rPr>
        <w:t>ponit hominem sub specie animalis</w:t>
      </w:r>
      <w:r w:rsidR="007E41B1" w:rsidRPr="00273106">
        <w:t>)</w:t>
      </w:r>
      <w:r w:rsidR="00CD266D" w:rsidRPr="00273106">
        <w:t>.</w:t>
      </w:r>
      <w:r w:rsidR="08636F07" w:rsidRPr="00273106">
        <w:t xml:space="preserve"> </w:t>
      </w:r>
      <w:r w:rsidR="00CA248A">
        <w:lastRenderedPageBreak/>
        <w:t>Mrtvola může být podle specifického určení modernistů člověk</w:t>
      </w:r>
      <w:r w:rsidR="00915401">
        <w:rPr>
          <w:i/>
        </w:rPr>
        <w:fldChar w:fldCharType="begin"/>
      </w:r>
      <w:r w:rsidR="00915401">
        <w:instrText xml:space="preserve"> XE "sofisma člověk-mrtvola" </w:instrText>
      </w:r>
      <w:r w:rsidR="00915401">
        <w:rPr>
          <w:i/>
        </w:rPr>
        <w:fldChar w:fldCharType="end"/>
      </w:r>
      <w:r w:rsidR="00CA248A">
        <w:t>, ale nikoliv v klasické metafyzice, kde imp</w:t>
      </w:r>
      <w:r w:rsidR="00FE7790">
        <w:t>o</w:t>
      </w:r>
      <w:r w:rsidR="00CA248A">
        <w:t>zice významu</w:t>
      </w:r>
      <w:r w:rsidR="0057104C">
        <w:t xml:space="preserve"> jde od reálné první substance.</w:t>
      </w:r>
    </w:p>
    <w:p w14:paraId="52072181" w14:textId="5818F1B8" w:rsidR="00D645E7" w:rsidRDefault="084846E6" w:rsidP="0057104C">
      <w:pPr>
        <w:ind w:firstLine="397"/>
      </w:pPr>
      <w:r w:rsidRPr="00273106">
        <w:t>Ba</w:t>
      </w:r>
      <w:r>
        <w:t xml:space="preserve">con </w:t>
      </w:r>
      <w:r w:rsidR="0057104C">
        <w:t xml:space="preserve">v citaci </w:t>
      </w:r>
      <w:r>
        <w:t xml:space="preserve">tvrdí, že před </w:t>
      </w:r>
      <w:r w:rsidR="00D72E63">
        <w:t>„</w:t>
      </w:r>
      <w:r>
        <w:t>deseti lety</w:t>
      </w:r>
      <w:r w:rsidR="00D72E63">
        <w:t>“</w:t>
      </w:r>
      <w:r>
        <w:t xml:space="preserve"> </w:t>
      </w:r>
      <w:r w:rsidRPr="00273106">
        <w:t>vznikla nová forma určení jsoucna</w:t>
      </w:r>
      <w:r w:rsidR="08932942">
        <w:t xml:space="preserve"> skrze </w:t>
      </w:r>
      <w:r w:rsidR="00D72E63">
        <w:t>„</w:t>
      </w:r>
      <w:r w:rsidR="08932942">
        <w:t>pomýlenou a známou osobu</w:t>
      </w:r>
      <w:r w:rsidR="00D72E63">
        <w:t>“</w:t>
      </w:r>
      <w:r w:rsidRPr="00273106">
        <w:t xml:space="preserve">. </w:t>
      </w:r>
      <w:r>
        <w:t xml:space="preserve">Toto zrození </w:t>
      </w:r>
      <w:r w:rsidR="08054565">
        <w:t xml:space="preserve">objektivity a moderního subjektu </w:t>
      </w:r>
      <w:r>
        <w:t xml:space="preserve">je třeba najít </w:t>
      </w:r>
      <w:r w:rsidR="00876B6D">
        <w:t xml:space="preserve">v originálním Rufusově textu (kap. 3.3.4) </w:t>
      </w:r>
      <w:r>
        <w:t xml:space="preserve">a </w:t>
      </w:r>
      <w:r w:rsidR="00876B6D">
        <w:t>vyložit</w:t>
      </w:r>
      <w:r>
        <w:t xml:space="preserve">. </w:t>
      </w:r>
      <w:r w:rsidR="08636F07" w:rsidRPr="00273106">
        <w:t xml:space="preserve">Baconova kritika </w:t>
      </w:r>
      <w:r w:rsidR="000E1873" w:rsidRPr="00273106">
        <w:t xml:space="preserve">jednoznačně </w:t>
      </w:r>
      <w:r w:rsidR="08636F07" w:rsidRPr="00273106">
        <w:t xml:space="preserve">míří na definice člověka </w:t>
      </w:r>
      <w:r w:rsidR="00045CB4" w:rsidRPr="00273106">
        <w:t>podle tehdejší oxfordské školy</w:t>
      </w:r>
      <w:r w:rsidR="08636F07" w:rsidRPr="00273106">
        <w:t xml:space="preserve"> </w:t>
      </w:r>
      <w:r w:rsidR="08636F07" w:rsidRPr="00273106">
        <w:rPr>
          <w:i/>
        </w:rPr>
        <w:t>Nominales</w:t>
      </w:r>
      <w:r w:rsidR="00B951AC" w:rsidRPr="00273106">
        <w:t xml:space="preserve"> kolem </w:t>
      </w:r>
      <w:r w:rsidR="00FE7790">
        <w:t xml:space="preserve">roku </w:t>
      </w:r>
      <w:r w:rsidR="00B951AC" w:rsidRPr="00273106">
        <w:t xml:space="preserve">1240. </w:t>
      </w:r>
      <w:r w:rsidR="08636F07" w:rsidRPr="00273106">
        <w:t xml:space="preserve">Adam Buckfield </w:t>
      </w:r>
      <w:r w:rsidR="00583189">
        <w:t>a Rufus z Cornwallu jsou první známí autoři na Oxfordu, kteří</w:t>
      </w:r>
      <w:r w:rsidR="08636F07" w:rsidRPr="00273106">
        <w:t xml:space="preserve"> změnil</w:t>
      </w:r>
      <w:r w:rsidR="00583189">
        <w:t>i</w:t>
      </w:r>
      <w:r w:rsidR="08636F07" w:rsidRPr="00273106">
        <w:t xml:space="preserve"> pojetí d</w:t>
      </w:r>
      <w:r w:rsidR="00583189">
        <w:t xml:space="preserve">uše z formy na substanci. Oba filosofé zavedli </w:t>
      </w:r>
      <w:r w:rsidR="08636F07" w:rsidRPr="00273106">
        <w:t xml:space="preserve">novou definici duše </w:t>
      </w:r>
      <w:r w:rsidR="00583189" w:rsidRPr="00273106">
        <w:t xml:space="preserve">podle </w:t>
      </w:r>
      <w:r w:rsidR="00583189" w:rsidRPr="00273106">
        <w:rPr>
          <w:i/>
        </w:rPr>
        <w:t>Nominales</w:t>
      </w:r>
      <w:r w:rsidR="00583189" w:rsidRPr="00273106">
        <w:t xml:space="preserve"> </w:t>
      </w:r>
      <w:r w:rsidR="08636F07" w:rsidRPr="00273106">
        <w:t>na základě plurality substanciálních forem</w:t>
      </w:r>
      <w:r w:rsidR="00C607CC">
        <w:fldChar w:fldCharType="begin"/>
      </w:r>
      <w:r w:rsidR="00C607CC">
        <w:instrText xml:space="preserve"> XE "</w:instrText>
      </w:r>
      <w:r w:rsidR="00D9392F">
        <w:instrText>osoba:</w:instrText>
      </w:r>
      <w:r w:rsidR="00C607CC" w:rsidRPr="006153E6">
        <w:instrText>pluralita</w:instrText>
      </w:r>
      <w:r w:rsidR="00D9392F">
        <w:instrText xml:space="preserve"> </w:instrText>
      </w:r>
      <w:r w:rsidR="00C607CC" w:rsidRPr="006153E6">
        <w:instrText>substancí</w:instrText>
      </w:r>
      <w:r w:rsidR="00C607CC">
        <w:instrText xml:space="preserve">" </w:instrText>
      </w:r>
      <w:r w:rsidR="00C607CC">
        <w:fldChar w:fldCharType="end"/>
      </w:r>
      <w:r w:rsidR="08636F07" w:rsidRPr="00273106">
        <w:t xml:space="preserve"> definovaných predikací </w:t>
      </w:r>
      <w:r w:rsidR="08636F07" w:rsidRPr="00273106">
        <w:rPr>
          <w:i/>
        </w:rPr>
        <w:t>per prius</w:t>
      </w:r>
      <w:r w:rsidR="08636F07" w:rsidRPr="00273106">
        <w:t xml:space="preserve"> z rodu na</w:t>
      </w:r>
      <w:r w:rsidR="00A63832">
        <w:t xml:space="preserve"> druh</w:t>
      </w:r>
      <w:r w:rsidR="08636F07" w:rsidRPr="00273106">
        <w:t xml:space="preserve">. Buckfield </w:t>
      </w:r>
      <w:r w:rsidR="002E0BAF">
        <w:t xml:space="preserve">aplikoval na </w:t>
      </w:r>
      <w:r w:rsidR="08636F07" w:rsidRPr="00273106">
        <w:t>určení duše Gross</w:t>
      </w:r>
      <w:r w:rsidR="086372D9" w:rsidRPr="00273106">
        <w:t>e</w:t>
      </w:r>
      <w:r w:rsidR="08636F07" w:rsidRPr="00273106">
        <w:t>testův rozdíl mezi substanciální formou danou mimo individuální věc v říši forem a exemplarů a kontingentně aktualizovanou věc v realitě (</w:t>
      </w:r>
      <w:r w:rsidR="08636F07" w:rsidRPr="00273106">
        <w:rPr>
          <w:i/>
        </w:rPr>
        <w:t>secundum complecionem et incomplecionem</w:t>
      </w:r>
      <w:r w:rsidR="08636F07" w:rsidRPr="00273106">
        <w:t>).</w:t>
      </w:r>
      <w:r w:rsidR="08636F07" w:rsidRPr="00273106">
        <w:rPr>
          <w:rStyle w:val="Znakapoznpodarou"/>
        </w:rPr>
        <w:footnoteReference w:id="364"/>
      </w:r>
      <w:r w:rsidR="08636F07" w:rsidRPr="00273106">
        <w:t xml:space="preserve"> </w:t>
      </w:r>
      <w:r w:rsidR="00230061" w:rsidRPr="00273106">
        <w:t>Vyšší forma určuje nižší</w:t>
      </w:r>
      <w:r w:rsidR="00E46B6A">
        <w:t xml:space="preserve"> formu</w:t>
      </w:r>
      <w:r w:rsidR="00230061" w:rsidRPr="00273106">
        <w:t xml:space="preserve">, </w:t>
      </w:r>
      <w:r w:rsidR="00A213C6" w:rsidRPr="00273106">
        <w:t xml:space="preserve">která </w:t>
      </w:r>
      <w:r w:rsidR="00E46B6A" w:rsidRPr="00273106">
        <w:t xml:space="preserve">kontingentně </w:t>
      </w:r>
      <w:r w:rsidR="00A213C6" w:rsidRPr="00273106">
        <w:t xml:space="preserve">zrcadlí na nižším </w:t>
      </w:r>
      <w:r w:rsidR="00E46B6A">
        <w:t>stupni reality vyšší formu</w:t>
      </w:r>
      <w:r w:rsidR="00230061" w:rsidRPr="00273106">
        <w:t xml:space="preserve">. </w:t>
      </w:r>
      <w:r w:rsidR="00155DAF" w:rsidRPr="00273106">
        <w:t xml:space="preserve">Rufus </w:t>
      </w:r>
      <w:r w:rsidR="088E065E">
        <w:t xml:space="preserve">k těmto porretánským definicím přidal nauku o univerzálním hylemorfismu a vytvořil první objektivní simulákrum reality. Rufus </w:t>
      </w:r>
      <w:r w:rsidR="0000677F">
        <w:t>v</w:t>
      </w:r>
      <w:r w:rsidR="08361C1C">
        <w:t xml:space="preserve"> </w:t>
      </w:r>
      <w:r w:rsidR="0000677F">
        <w:t xml:space="preserve">komentáři k Sentencím </w:t>
      </w:r>
      <w:r w:rsidR="00155DAF" w:rsidRPr="00273106">
        <w:t xml:space="preserve">výslovně odmítá, že by formální určení člověka byla dána </w:t>
      </w:r>
      <w:r w:rsidR="00470582">
        <w:t xml:space="preserve">jen </w:t>
      </w:r>
      <w:r w:rsidR="00155DAF" w:rsidRPr="00273106">
        <w:rPr>
          <w:i/>
        </w:rPr>
        <w:t>intrinsece</w:t>
      </w:r>
      <w:r w:rsidR="00470582">
        <w:t xml:space="preserve"> </w:t>
      </w:r>
      <w:r w:rsidR="08717073">
        <w:t>v duši jako potenciální a univerzální významy</w:t>
      </w:r>
      <w:r w:rsidR="00155DAF" w:rsidRPr="00273106">
        <w:t xml:space="preserve">. Protože </w:t>
      </w:r>
      <w:r w:rsidR="004B4D52" w:rsidRPr="004B4D52">
        <w:t>species</w:t>
      </w:r>
      <w:r w:rsidR="008C63C7">
        <w:t xml:space="preserve"> a univerzália </w:t>
      </w:r>
      <w:r w:rsidR="00155DAF" w:rsidRPr="00273106">
        <w:t>jsou hypostázemi, a tím i substancemi třetího druhu, pak musí člověka definovat zvnějšku</w:t>
      </w:r>
      <w:r w:rsidR="00E20041">
        <w:t xml:space="preserve"> i zevnitř univočním způsobem (</w:t>
      </w:r>
      <w:r w:rsidR="00E20041" w:rsidRPr="00E20041">
        <w:rPr>
          <w:i/>
        </w:rPr>
        <w:t>semper per unam viam procedunt ad esse</w:t>
      </w:r>
      <w:r w:rsidR="00E20041">
        <w:t>)</w:t>
      </w:r>
      <w:r w:rsidR="00155DAF" w:rsidRPr="00273106">
        <w:t>.</w:t>
      </w:r>
      <w:r w:rsidR="00E20041" w:rsidRPr="00273106">
        <w:rPr>
          <w:rStyle w:val="Znakapoznpodarou"/>
        </w:rPr>
        <w:footnoteReference w:id="365"/>
      </w:r>
      <w:r w:rsidR="00155DAF" w:rsidRPr="00273106">
        <w:t xml:space="preserve"> Citát Rufuse ukazuje, že první modernisté univočně spojili statut první a druhé substance, tedy výkon existence a její obecné určení</w:t>
      </w:r>
      <w:r w:rsidR="08CE5971">
        <w:t xml:space="preserve"> dané v mysli</w:t>
      </w:r>
      <w:r w:rsidR="00155DAF" w:rsidRPr="00273106">
        <w:t xml:space="preserve">. K </w:t>
      </w:r>
      <w:r w:rsidR="00BB45B1">
        <w:t>Porfyri</w:t>
      </w:r>
      <w:r w:rsidR="00155DAF" w:rsidRPr="00273106">
        <w:t>ovu dělení individua přibyl výkon existence daný skrze hypostázovaný akt rozumné či animální části duše (</w:t>
      </w:r>
      <w:r w:rsidR="00155DAF" w:rsidRPr="00273106">
        <w:rPr>
          <w:i/>
        </w:rPr>
        <w:t>sensus facit animal, racionale vero hominem</w:t>
      </w:r>
      <w:r w:rsidR="00155DAF" w:rsidRPr="00273106">
        <w:t xml:space="preserve">). </w:t>
      </w:r>
      <w:r w:rsidR="00652BB2" w:rsidRPr="00273106">
        <w:t xml:space="preserve">Tím se změnila definice člověka na </w:t>
      </w:r>
      <w:r w:rsidR="00780F20" w:rsidRPr="00273106">
        <w:t>pluralismus</w:t>
      </w:r>
      <w:r w:rsidR="00780F20">
        <w:t xml:space="preserve"> substancí</w:t>
      </w:r>
      <w:r w:rsidR="000C48DC" w:rsidRPr="00273106">
        <w:t xml:space="preserve">, </w:t>
      </w:r>
      <w:r w:rsidR="00DB358A" w:rsidRPr="00273106">
        <w:t xml:space="preserve">či spíše </w:t>
      </w:r>
      <w:r w:rsidR="000C48DC" w:rsidRPr="00273106">
        <w:t xml:space="preserve">na </w:t>
      </w:r>
      <w:r w:rsidR="00DB358A" w:rsidRPr="00273106">
        <w:t>pluralismus porretánských hypostází</w:t>
      </w:r>
      <w:r w:rsidR="087924F1">
        <w:t xml:space="preserve">. Složení člověka v modu univerzálního hylemorfismu moderních porretánů typu Rufuse </w:t>
      </w:r>
      <w:r w:rsidR="00F76FDA">
        <w:t xml:space="preserve">zásadně </w:t>
      </w:r>
      <w:r w:rsidR="00C34BEF" w:rsidRPr="00273106">
        <w:t>odmítl</w:t>
      </w:r>
      <w:r w:rsidR="00FC3F21">
        <w:t xml:space="preserve"> </w:t>
      </w:r>
      <w:r w:rsidR="087924F1">
        <w:lastRenderedPageBreak/>
        <w:t xml:space="preserve">Alvernus </w:t>
      </w:r>
      <w:r w:rsidR="08495A27">
        <w:t xml:space="preserve">v kritice školy </w:t>
      </w:r>
      <w:r w:rsidR="08A1563B">
        <w:t xml:space="preserve">Gramatiků </w:t>
      </w:r>
      <w:r w:rsidR="08CE5971">
        <w:t>(</w:t>
      </w:r>
      <w:r w:rsidR="08CE5971" w:rsidRPr="08957C57">
        <w:rPr>
          <w:i/>
        </w:rPr>
        <w:t>compositum ex animali et quodam residuo</w:t>
      </w:r>
      <w:r w:rsidR="08E26958">
        <w:t>, kap. 2</w:t>
      </w:r>
      <w:r w:rsidR="08CE5971" w:rsidRPr="08CE5971">
        <w:t>.3.2</w:t>
      </w:r>
      <w:r w:rsidR="08CE5971">
        <w:t>)</w:t>
      </w:r>
      <w:r w:rsidR="08AF3ABB">
        <w:t xml:space="preserve"> a také Gross</w:t>
      </w:r>
      <w:r w:rsidR="08A1563B">
        <w:t>e</w:t>
      </w:r>
      <w:r w:rsidR="08AF3ABB">
        <w:t>teste</w:t>
      </w:r>
      <w:r w:rsidR="08A1563B">
        <w:t xml:space="preserve"> </w:t>
      </w:r>
      <w:r w:rsidR="08495A27">
        <w:t>v kritice  toletánů</w:t>
      </w:r>
      <w:r w:rsidR="086F6FB4">
        <w:t xml:space="preserve"> typu Gundissalina</w:t>
      </w:r>
      <w:r w:rsidR="08AF3ABB">
        <w:t xml:space="preserve">. Proto </w:t>
      </w:r>
      <w:r w:rsidR="00ED36A7">
        <w:t xml:space="preserve">je </w:t>
      </w:r>
      <w:r w:rsidR="08A1563B">
        <w:t xml:space="preserve">Grosseteste </w:t>
      </w:r>
      <w:r w:rsidR="00ED36A7">
        <w:t xml:space="preserve">autorem spisu </w:t>
      </w:r>
      <w:r w:rsidR="089A1B6F">
        <w:rPr>
          <w:i/>
        </w:rPr>
        <w:t>De anima et de potenciis eius</w:t>
      </w:r>
      <w:r w:rsidR="00ED36A7">
        <w:t xml:space="preserve"> a p</w:t>
      </w:r>
      <w:r w:rsidR="000C48DC" w:rsidRPr="00273106">
        <w:t xml:space="preserve">roto se na něj Bacon odvolává proti mladým oxfordským bakalářům, kteří </w:t>
      </w:r>
      <w:r w:rsidR="008C1653">
        <w:t>při</w:t>
      </w:r>
      <w:r w:rsidR="000C48DC" w:rsidRPr="00273106">
        <w:t xml:space="preserve">šli </w:t>
      </w:r>
      <w:r w:rsidR="008C1653">
        <w:t>kolem 1240 d</w:t>
      </w:r>
      <w:r w:rsidR="000C48DC" w:rsidRPr="00273106">
        <w:t xml:space="preserve">o Paříže na magisterská studia. </w:t>
      </w:r>
      <w:r w:rsidR="00C61E7D" w:rsidRPr="00C61E7D">
        <w:t xml:space="preserve">Stejnou kritiku vyslovil Grossetetste vůči těmto oxfordským modernistům již o deset let dříve. Tato shoda opět potvrzuje, že poslední obhájci </w:t>
      </w:r>
      <w:r w:rsidR="00F45146">
        <w:t xml:space="preserve">prvního </w:t>
      </w:r>
      <w:r w:rsidR="00C61E7D" w:rsidRPr="00C61E7D">
        <w:t>a</w:t>
      </w:r>
      <w:r w:rsidR="00F45146">
        <w:t>verroismu považovali Grossetesteho</w:t>
      </w:r>
      <w:r w:rsidR="00C61E7D" w:rsidRPr="00C61E7D">
        <w:t xml:space="preserve"> za svého souputníka.</w:t>
      </w:r>
      <w:r w:rsidR="00C61E7D">
        <w:t xml:space="preserve"> </w:t>
      </w:r>
      <w:r w:rsidR="004A7B0C" w:rsidRPr="00273106">
        <w:t xml:space="preserve">Ale v další dekádě, kdy Bacon </w:t>
      </w:r>
      <w:r w:rsidR="003256E2" w:rsidRPr="00273106">
        <w:t xml:space="preserve">píše </w:t>
      </w:r>
      <w:r w:rsidR="004A7B0C" w:rsidRPr="00273106">
        <w:t>svou filipiku</w:t>
      </w:r>
      <w:r w:rsidR="004C3543">
        <w:t xml:space="preserve"> </w:t>
      </w:r>
      <w:r w:rsidR="004C3543" w:rsidRPr="00414884">
        <w:rPr>
          <w:i/>
          <w:szCs w:val="24"/>
        </w:rPr>
        <w:t>Distinccio tercia de anima</w:t>
      </w:r>
      <w:r w:rsidR="004C3543">
        <w:rPr>
          <w:i/>
          <w:szCs w:val="24"/>
        </w:rPr>
        <w:t xml:space="preserve"> </w:t>
      </w:r>
      <w:r w:rsidR="004C3543">
        <w:rPr>
          <w:szCs w:val="24"/>
        </w:rPr>
        <w:t>kolem 1255</w:t>
      </w:r>
      <w:r w:rsidR="004A7B0C" w:rsidRPr="00273106">
        <w:t xml:space="preserve">, </w:t>
      </w:r>
      <w:r w:rsidR="00623E7F" w:rsidRPr="00273106">
        <w:t xml:space="preserve">už měli ve františkánské koleji </w:t>
      </w:r>
      <w:r w:rsidR="004A7B0C" w:rsidRPr="00273106">
        <w:t xml:space="preserve">na Oxfordu </w:t>
      </w:r>
      <w:r w:rsidR="00623E7F" w:rsidRPr="00273106">
        <w:t xml:space="preserve">hlavní slovo představitelé </w:t>
      </w:r>
      <w:r w:rsidR="00623E7F" w:rsidRPr="00273106">
        <w:rPr>
          <w:i/>
        </w:rPr>
        <w:t>Oxfordian Fallacy</w:t>
      </w:r>
      <w:r w:rsidR="00623E7F" w:rsidRPr="00273106">
        <w:t xml:space="preserve">, a ne biskup </w:t>
      </w:r>
      <w:r w:rsidR="0045792D" w:rsidRPr="00273106">
        <w:t>Grosseteste</w:t>
      </w:r>
      <w:r w:rsidR="004C3543">
        <w:t xml:space="preserve"> </w:t>
      </w:r>
      <w:r w:rsidR="004C3543" w:rsidRPr="00273106">
        <w:t>(†1253)</w:t>
      </w:r>
      <w:r w:rsidR="004C3543">
        <w:t xml:space="preserve">. Ten sídlil </w:t>
      </w:r>
      <w:r w:rsidR="08CE4C78">
        <w:t xml:space="preserve">od roku 1235 </w:t>
      </w:r>
      <w:r w:rsidR="00623E7F" w:rsidRPr="00273106">
        <w:t>v Lincolnu.</w:t>
      </w:r>
      <w:r w:rsidR="003D3BD2">
        <w:t xml:space="preserve"> </w:t>
      </w:r>
      <w:r w:rsidR="0809271D">
        <w:t xml:space="preserve">Dominikán </w:t>
      </w:r>
      <w:r w:rsidR="08CE4C78">
        <w:t>Kilwardb</w:t>
      </w:r>
      <w:r w:rsidR="08CE4C78" w:rsidRPr="00273106">
        <w:t xml:space="preserve">y </w:t>
      </w:r>
      <w:r w:rsidR="003D3BD2">
        <w:t xml:space="preserve">se </w:t>
      </w:r>
      <w:r w:rsidR="00621EE5" w:rsidRPr="00273106">
        <w:t xml:space="preserve">stal </w:t>
      </w:r>
      <w:r w:rsidR="08365959">
        <w:t xml:space="preserve">rektorem </w:t>
      </w:r>
      <w:r w:rsidR="08CE4C78">
        <w:t xml:space="preserve">v Oxfordu </w:t>
      </w:r>
      <w:r w:rsidR="00621EE5" w:rsidRPr="00273106">
        <w:t>možná u</w:t>
      </w:r>
      <w:r w:rsidR="00F127B8">
        <w:t xml:space="preserve">ž </w:t>
      </w:r>
      <w:r w:rsidR="005536E8" w:rsidRPr="00273106">
        <w:t>ro</w:t>
      </w:r>
      <w:r w:rsidR="00F127B8">
        <w:t>ku</w:t>
      </w:r>
      <w:r w:rsidR="005536E8" w:rsidRPr="00273106">
        <w:t xml:space="preserve"> 1245</w:t>
      </w:r>
      <w:r w:rsidR="08036EF9">
        <w:t xml:space="preserve">, protože musel </w:t>
      </w:r>
      <w:r w:rsidR="08E26958">
        <w:t xml:space="preserve">z Paříže </w:t>
      </w:r>
      <w:r w:rsidR="08036EF9">
        <w:t xml:space="preserve">odejít </w:t>
      </w:r>
      <w:r w:rsidR="00ED3E30">
        <w:t xml:space="preserve">ve stejné době </w:t>
      </w:r>
      <w:r w:rsidR="08036EF9">
        <w:t>jako Rufus</w:t>
      </w:r>
      <w:r w:rsidR="005536E8" w:rsidRPr="00273106">
        <w:t xml:space="preserve">. To </w:t>
      </w:r>
      <w:r w:rsidR="00621EE5" w:rsidRPr="00273106">
        <w:t xml:space="preserve">by </w:t>
      </w:r>
      <w:r w:rsidR="00F064F4" w:rsidRPr="00273106">
        <w:t xml:space="preserve">spolehlivě </w:t>
      </w:r>
      <w:r w:rsidR="00621EE5" w:rsidRPr="00273106">
        <w:t xml:space="preserve">vysvětlilo </w:t>
      </w:r>
      <w:r w:rsidR="005536E8" w:rsidRPr="00273106">
        <w:t xml:space="preserve">upevněné </w:t>
      </w:r>
      <w:r w:rsidR="00621EE5" w:rsidRPr="00273106">
        <w:t xml:space="preserve">mocenské </w:t>
      </w:r>
      <w:r w:rsidR="00F11303" w:rsidRPr="00273106">
        <w:t xml:space="preserve">postavení </w:t>
      </w:r>
      <w:r w:rsidR="00A021E4">
        <w:t xml:space="preserve">oxfordských </w:t>
      </w:r>
      <w:r w:rsidR="005536E8" w:rsidRPr="00273106">
        <w:t>modernistů kolem 1250, které kritizuje Bacon.</w:t>
      </w:r>
      <w:r w:rsidR="004E3A29">
        <w:t xml:space="preserve"> </w:t>
      </w:r>
      <w:r w:rsidR="00687823">
        <w:t xml:space="preserve">Vraťme se k užití </w:t>
      </w:r>
      <w:r w:rsidR="00F060D4">
        <w:t>Augustina v </w:t>
      </w:r>
      <w:r w:rsidR="00687823">
        <w:t>porretánsk</w:t>
      </w:r>
      <w:r w:rsidR="00F060D4">
        <w:t xml:space="preserve">ých školách. Kritický Bacon správně označil citované spisy za </w:t>
      </w:r>
      <w:r w:rsidR="00826D2A">
        <w:t>neautentické</w:t>
      </w:r>
      <w:r w:rsidR="00687823">
        <w:t xml:space="preserve">. </w:t>
      </w:r>
      <w:r w:rsidR="00FA3CB1" w:rsidRPr="00273106">
        <w:t xml:space="preserve">Filip </w:t>
      </w:r>
      <w:r w:rsidR="00C445D3" w:rsidRPr="00273106">
        <w:t xml:space="preserve">Kancléř a celá škola pozdějších </w:t>
      </w:r>
      <w:r w:rsidR="00C445D3" w:rsidRPr="00273106">
        <w:rPr>
          <w:i/>
        </w:rPr>
        <w:t>Nominales</w:t>
      </w:r>
      <w:r w:rsidR="00C445D3" w:rsidRPr="00273106">
        <w:t xml:space="preserve"> od Rufuse počínaje stála na autoritách, které považovaly duši za nezávislou substanci vzhledem k tělu (Augustin, Nemésius, Alcher z Clairvaux, Alfred ze Sareshelu). </w:t>
      </w:r>
      <w:r w:rsidR="000910A6">
        <w:t>Tato indikace je důležitá, protože h</w:t>
      </w:r>
      <w:r w:rsidR="00965F36" w:rsidRPr="00273106">
        <w:t xml:space="preserve">ermeneutika doložila </w:t>
      </w:r>
      <w:r w:rsidR="00735DEE">
        <w:t xml:space="preserve">definitivní </w:t>
      </w:r>
      <w:r w:rsidR="00C445D3" w:rsidRPr="00273106">
        <w:t xml:space="preserve">spojení obou proudů </w:t>
      </w:r>
      <w:r w:rsidR="00AC4EAD">
        <w:t>školy druhého averroismu</w:t>
      </w:r>
      <w:r w:rsidR="005D7E05">
        <w:t xml:space="preserve"> v letech </w:t>
      </w:r>
      <w:r w:rsidR="00AC4EAD">
        <w:t>124</w:t>
      </w:r>
      <w:r w:rsidR="005D7E05">
        <w:t>0‒4</w:t>
      </w:r>
      <w:r w:rsidR="00636D7F">
        <w:t xml:space="preserve">5. Skupina </w:t>
      </w:r>
      <w:r w:rsidR="00636D7F" w:rsidRPr="00636D7F">
        <w:rPr>
          <w:i/>
        </w:rPr>
        <w:t>Nominales</w:t>
      </w:r>
      <w:r w:rsidR="00636D7F" w:rsidRPr="00636D7F">
        <w:t xml:space="preserve"> jako avicenovských stoupenců přijala </w:t>
      </w:r>
      <w:r w:rsidR="00636D7F">
        <w:rPr>
          <w:szCs w:val="24"/>
        </w:rPr>
        <w:t xml:space="preserve">Avicebronův </w:t>
      </w:r>
      <w:r w:rsidR="00636D7F" w:rsidRPr="00636D7F">
        <w:t xml:space="preserve">univerzální hylemofismus a přišla z Oxfordu do Paříže kolem roku 1235. Připojili se ke škole </w:t>
      </w:r>
      <w:r w:rsidR="00636D7F" w:rsidRPr="00636D7F">
        <w:rPr>
          <w:i/>
        </w:rPr>
        <w:t>Grammatici</w:t>
      </w:r>
      <w:r w:rsidR="00636D7F" w:rsidRPr="00636D7F">
        <w:t xml:space="preserve">, která v Paříži </w:t>
      </w:r>
      <w:r w:rsidR="00636D7F">
        <w:t>systematicky</w:t>
      </w:r>
      <w:r w:rsidR="00913CF8">
        <w:fldChar w:fldCharType="begin"/>
      </w:r>
      <w:r w:rsidR="00913CF8">
        <w:instrText xml:space="preserve"> XE "</w:instrText>
      </w:r>
      <w:r w:rsidR="00913CF8" w:rsidRPr="004623FC">
        <w:instrText>druhý averroismus:vznik</w:instrText>
      </w:r>
      <w:r w:rsidR="00913CF8">
        <w:instrText xml:space="preserve">" </w:instrText>
      </w:r>
      <w:r w:rsidR="00913CF8">
        <w:fldChar w:fldCharType="end"/>
      </w:r>
      <w:r w:rsidR="00636D7F">
        <w:t xml:space="preserve"> </w:t>
      </w:r>
      <w:r w:rsidR="00636D7F" w:rsidRPr="00636D7F">
        <w:t xml:space="preserve">působila již od roku 1230. Tato škola modernistů převzala Avicennovu metafyziku vytvořenou </w:t>
      </w:r>
      <w:r w:rsidR="00636D7F" w:rsidRPr="00636D7F">
        <w:rPr>
          <w:i/>
        </w:rPr>
        <w:t>ad mentem Averrois</w:t>
      </w:r>
      <w:r w:rsidR="00636D7F">
        <w:t xml:space="preserve"> podle toledské školy </w:t>
      </w:r>
      <w:r w:rsidR="00636D7F" w:rsidRPr="00636D7F">
        <w:t xml:space="preserve">a tento modernismus smísila s již odumírajícími školami </w:t>
      </w:r>
      <w:r w:rsidR="00636D7F" w:rsidRPr="00636D7F">
        <w:rPr>
          <w:i/>
        </w:rPr>
        <w:t>Logica Modernorum</w:t>
      </w:r>
      <w:r w:rsidR="00636D7F" w:rsidRPr="00636D7F">
        <w:t xml:space="preserve">. Tím vznikl výsledný proud druhého averroismu, který Alvernus uvádí </w:t>
      </w:r>
      <w:r w:rsidR="00913CF8">
        <w:t xml:space="preserve">pod jménem </w:t>
      </w:r>
      <w:r w:rsidR="00636D7F" w:rsidRPr="00913CF8">
        <w:rPr>
          <w:i/>
        </w:rPr>
        <w:t>sophistae Latini</w:t>
      </w:r>
      <w:r w:rsidR="00913CF8">
        <w:rPr>
          <w:i/>
        </w:rPr>
        <w:fldChar w:fldCharType="begin"/>
      </w:r>
      <w:r w:rsidR="00913CF8">
        <w:instrText xml:space="preserve"> XE "</w:instrText>
      </w:r>
      <w:r w:rsidR="00913CF8" w:rsidRPr="00713930">
        <w:instrText>druhý averroismus</w:instrText>
      </w:r>
      <w:r w:rsidR="00913CF8" w:rsidRPr="00125AEB">
        <w:rPr>
          <w:i/>
        </w:rPr>
        <w:instrText>:sophistae Latini</w:instrText>
      </w:r>
      <w:r w:rsidR="00913CF8">
        <w:instrText xml:space="preserve">" </w:instrText>
      </w:r>
      <w:r w:rsidR="00913CF8">
        <w:rPr>
          <w:i/>
        </w:rPr>
        <w:fldChar w:fldCharType="end"/>
      </w:r>
      <w:r w:rsidR="00913CF8">
        <w:t xml:space="preserve">. </w:t>
      </w:r>
      <w:r w:rsidR="00EA1E8D">
        <w:t xml:space="preserve">Albert je zná pod jménem </w:t>
      </w:r>
      <w:r w:rsidR="00F15CA7" w:rsidRPr="00F15CA7">
        <w:rPr>
          <w:i/>
        </w:rPr>
        <w:t>Latini</w:t>
      </w:r>
      <w:r w:rsidR="00F15CA7">
        <w:t xml:space="preserve"> nebo </w:t>
      </w:r>
      <w:r w:rsidR="00EA1E8D" w:rsidRPr="00EA1E8D">
        <w:rPr>
          <w:i/>
        </w:rPr>
        <w:t>doctores Latin</w:t>
      </w:r>
      <w:r w:rsidR="08E80388">
        <w:rPr>
          <w:i/>
        </w:rPr>
        <w:t>i</w:t>
      </w:r>
      <w:r w:rsidR="00713930">
        <w:fldChar w:fldCharType="begin"/>
      </w:r>
      <w:r w:rsidR="00713930">
        <w:instrText xml:space="preserve"> XE "</w:instrText>
      </w:r>
      <w:r w:rsidR="00713930" w:rsidRPr="004623FC">
        <w:instrText>druhý</w:instrText>
      </w:r>
      <w:r w:rsidR="00713930">
        <w:instrText xml:space="preserve"> averroismus:</w:instrText>
      </w:r>
      <w:r w:rsidR="08E80388">
        <w:rPr>
          <w:i/>
        </w:rPr>
        <w:instrText>doctores Latini</w:instrText>
      </w:r>
      <w:r w:rsidR="00713930">
        <w:instrText xml:space="preserve">" </w:instrText>
      </w:r>
      <w:r w:rsidR="00713930">
        <w:fldChar w:fldCharType="end"/>
      </w:r>
      <w:r w:rsidR="00C445D3" w:rsidRPr="00273106">
        <w:t xml:space="preserve">. </w:t>
      </w:r>
      <w:r w:rsidR="000C1006">
        <w:t>Školy kolem Alexandra Halského</w:t>
      </w:r>
      <w:r w:rsidR="000C1006" w:rsidRPr="000C1006">
        <w:t xml:space="preserve"> a Filipa Kancléře</w:t>
      </w:r>
      <w:r w:rsidR="000C1006">
        <w:t xml:space="preserve"> </w:t>
      </w:r>
      <w:r w:rsidR="000C1006" w:rsidRPr="000C1006">
        <w:t xml:space="preserve">v Paříži umožnily syntézu </w:t>
      </w:r>
      <w:r w:rsidR="000C1006">
        <w:t xml:space="preserve">obou </w:t>
      </w:r>
      <w:r w:rsidR="000C1006" w:rsidRPr="000C1006">
        <w:t>škol aristotelského avice</w:t>
      </w:r>
      <w:r w:rsidR="000C1006">
        <w:t>nnismu vzniklého v Oxfordu a v Paříži. T</w:t>
      </w:r>
      <w:r w:rsidR="0009232D">
        <w:t xml:space="preserve">a první skupina </w:t>
      </w:r>
      <w:r w:rsidR="000C1006" w:rsidRPr="000C1006">
        <w:rPr>
          <w:i/>
        </w:rPr>
        <w:t>via Modernorum</w:t>
      </w:r>
      <w:r w:rsidR="000C1006">
        <w:t xml:space="preserve"> se objevil</w:t>
      </w:r>
      <w:r w:rsidR="0009232D">
        <w:t>a</w:t>
      </w:r>
      <w:r w:rsidR="000C1006">
        <w:t xml:space="preserve"> na P</w:t>
      </w:r>
      <w:r w:rsidR="000C1006" w:rsidRPr="000C1006">
        <w:t>ař</w:t>
      </w:r>
      <w:r w:rsidR="008D0B18">
        <w:t>ížské</w:t>
      </w:r>
      <w:r w:rsidR="000C1006">
        <w:t xml:space="preserve"> univerzitě v letech 1235–</w:t>
      </w:r>
      <w:r w:rsidR="000C1006" w:rsidRPr="000C1006">
        <w:t>40</w:t>
      </w:r>
      <w:r w:rsidR="00DE3D04">
        <w:t xml:space="preserve">; </w:t>
      </w:r>
      <w:r w:rsidR="0009232D">
        <w:t xml:space="preserve">tito ilumináti </w:t>
      </w:r>
      <w:r w:rsidR="000C1006">
        <w:t>vyvolal</w:t>
      </w:r>
      <w:r w:rsidR="008D0B18">
        <w:t>i</w:t>
      </w:r>
      <w:r w:rsidR="000C1006">
        <w:t xml:space="preserve"> nefalšované zděšení tehdejších vzdělanců</w:t>
      </w:r>
      <w:r w:rsidR="000C1006" w:rsidRPr="000C1006">
        <w:t>.</w:t>
      </w:r>
      <w:r w:rsidR="008D0B18">
        <w:t xml:space="preserve"> </w:t>
      </w:r>
      <w:r w:rsidR="08DB297A">
        <w:t>Hlavními zakladateli moderny byli Rufus, Kilwardby a Bonaventura</w:t>
      </w:r>
      <w:r w:rsidR="00AA5C71">
        <w:t xml:space="preserve">. Tito </w:t>
      </w:r>
      <w:r w:rsidR="003F34C8">
        <w:t xml:space="preserve">učení sofisté </w:t>
      </w:r>
      <w:r w:rsidR="088F7994">
        <w:t>veřejně prohráli první kolo akademického klání s představiteli prvního averroismu</w:t>
      </w:r>
      <w:r w:rsidR="08DB297A">
        <w:t xml:space="preserve">. </w:t>
      </w:r>
      <w:r w:rsidR="088F7994">
        <w:t>Druhé kolo už modernisté neprohráli (1255) a ve třetím kole pod ved</w:t>
      </w:r>
      <w:r w:rsidR="083F627C">
        <w:t>ením dogmaticky vzdělaných Fúri</w:t>
      </w:r>
      <w:r w:rsidR="088F7994">
        <w:t xml:space="preserve">í už </w:t>
      </w:r>
      <w:r w:rsidR="082A3114">
        <w:t xml:space="preserve">modernisté kompletně </w:t>
      </w:r>
      <w:r w:rsidR="082A3114">
        <w:lastRenderedPageBreak/>
        <w:t xml:space="preserve">zničili </w:t>
      </w:r>
      <w:r w:rsidR="088F7994">
        <w:t xml:space="preserve">představitele zdravého rozumu (1277). </w:t>
      </w:r>
      <w:r w:rsidR="08F8648C">
        <w:t xml:space="preserve">V období </w:t>
      </w:r>
      <w:r w:rsidR="08BA13D1">
        <w:t xml:space="preserve">let 1240‒45 </w:t>
      </w:r>
      <w:r w:rsidR="00C9456F">
        <w:t xml:space="preserve">se </w:t>
      </w:r>
      <w:r w:rsidR="08F8648C">
        <w:t xml:space="preserve">zdejší univerzita </w:t>
      </w:r>
      <w:r w:rsidR="00A8154A">
        <w:t>stala jeviš</w:t>
      </w:r>
      <w:r w:rsidR="00C9456F">
        <w:t xml:space="preserve">těm dějinného </w:t>
      </w:r>
      <w:r w:rsidR="00C9456F" w:rsidRPr="00C9456F">
        <w:rPr>
          <w:i/>
        </w:rPr>
        <w:t>Ere</w:t>
      </w:r>
      <w:r w:rsidR="00C9456F">
        <w:rPr>
          <w:i/>
        </w:rPr>
        <w:t>i</w:t>
      </w:r>
      <w:r w:rsidR="00C9456F" w:rsidRPr="00C9456F">
        <w:rPr>
          <w:i/>
        </w:rPr>
        <w:t>gnis</w:t>
      </w:r>
      <w:r w:rsidR="00C9456F">
        <w:t xml:space="preserve">, v němž objektivita přišla ke své </w:t>
      </w:r>
      <w:r w:rsidR="00CE6820">
        <w:t xml:space="preserve">zjevnosti jako filosofická </w:t>
      </w:r>
      <w:r w:rsidR="00CE6820" w:rsidRPr="00CE6820">
        <w:rPr>
          <w:i/>
        </w:rPr>
        <w:t>veritas</w:t>
      </w:r>
      <w:r w:rsidR="00CE6820">
        <w:t xml:space="preserve"> ve </w:t>
      </w:r>
      <w:r w:rsidR="08F53432">
        <w:t>škol</w:t>
      </w:r>
      <w:r w:rsidR="00CE6820">
        <w:t>e</w:t>
      </w:r>
      <w:r w:rsidR="08F53432">
        <w:t xml:space="preserve"> </w:t>
      </w:r>
      <w:r w:rsidR="002A7983" w:rsidRPr="002A7983">
        <w:t>druhého averroismu</w:t>
      </w:r>
      <w:r w:rsidR="00C445D3" w:rsidRPr="00273106">
        <w:t xml:space="preserve">. </w:t>
      </w:r>
      <w:r w:rsidR="00F0100A" w:rsidRPr="00273106">
        <w:t>A</w:t>
      </w:r>
      <w:r w:rsidR="00443ED9" w:rsidRPr="00273106">
        <w:t>lexand</w:t>
      </w:r>
      <w:r w:rsidR="00A55414">
        <w:t>e</w:t>
      </w:r>
      <w:r w:rsidR="00F0100A" w:rsidRPr="00273106">
        <w:t>r Hal</w:t>
      </w:r>
      <w:r w:rsidR="00024822">
        <w:t>e</w:t>
      </w:r>
      <w:r w:rsidR="00F0100A" w:rsidRPr="00273106">
        <w:t>s</w:t>
      </w:r>
      <w:r w:rsidR="00A55414">
        <w:fldChar w:fldCharType="begin"/>
      </w:r>
      <w:r w:rsidR="00A55414">
        <w:instrText xml:space="preserve"> XE "Alexander, Halský" </w:instrText>
      </w:r>
      <w:r w:rsidR="00A55414">
        <w:fldChar w:fldCharType="end"/>
      </w:r>
      <w:r w:rsidR="00F0100A" w:rsidRPr="00273106">
        <w:t xml:space="preserve"> </w:t>
      </w:r>
      <w:r w:rsidR="00D03537" w:rsidRPr="00273106">
        <w:t xml:space="preserve">z titulu </w:t>
      </w:r>
      <w:r w:rsidR="00D03537" w:rsidRPr="00273106">
        <w:rPr>
          <w:i/>
        </w:rPr>
        <w:t>ma</w:t>
      </w:r>
      <w:r w:rsidR="00F0100A" w:rsidRPr="00273106">
        <w:rPr>
          <w:i/>
        </w:rPr>
        <w:t>gister regens</w:t>
      </w:r>
      <w:r w:rsidR="00F0100A" w:rsidRPr="00273106">
        <w:t xml:space="preserve"> teologi</w:t>
      </w:r>
      <w:r w:rsidR="00D03537" w:rsidRPr="00273106">
        <w:t>e na Pařížské univer</w:t>
      </w:r>
      <w:r w:rsidR="00F0100A" w:rsidRPr="00273106">
        <w:t xml:space="preserve">zitě shromáždil po svém vstupu do řádu františkánů (1236) kolem sebe okruh nových myslitelů a postupně jim předal </w:t>
      </w:r>
      <w:r w:rsidR="009B686A" w:rsidRPr="00273106">
        <w:t xml:space="preserve">fakultu </w:t>
      </w:r>
      <w:r w:rsidR="00F0100A" w:rsidRPr="00273106">
        <w:t>teologie</w:t>
      </w:r>
      <w:r w:rsidR="00443ED9" w:rsidRPr="00273106">
        <w:t xml:space="preserve">, kde editovali jeho dílo </w:t>
      </w:r>
      <w:r w:rsidR="00443ED9" w:rsidRPr="00273106">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443ED9" w:rsidRPr="00273106">
        <w:t>.</w:t>
      </w:r>
      <w:r w:rsidR="00573F0F" w:rsidRPr="00273106">
        <w:t xml:space="preserve"> V tomto okruhu lze hledat kolébku druhého averroismu spojenou s novou formou plurality substančn</w:t>
      </w:r>
      <w:r w:rsidR="00D62417" w:rsidRPr="00273106">
        <w:t>ích</w:t>
      </w:r>
      <w:r w:rsidR="00573F0F" w:rsidRPr="00273106">
        <w:t xml:space="preserve"> forem</w:t>
      </w:r>
      <w:r w:rsidR="009B686A" w:rsidRPr="00273106">
        <w:t xml:space="preserve"> v člověku</w:t>
      </w:r>
      <w:r w:rsidR="00573F0F" w:rsidRPr="00273106">
        <w:t>.</w:t>
      </w:r>
      <w:r w:rsidR="00F36903">
        <w:t xml:space="preserve"> Tuto syntézu předkládá </w:t>
      </w:r>
      <w:r w:rsidR="007F5E9F">
        <w:t xml:space="preserve">kolem 1236 </w:t>
      </w:r>
      <w:r w:rsidR="00F36903">
        <w:t>Johannes de Rupella</w:t>
      </w:r>
      <w:r w:rsidR="006C4E22">
        <w:fldChar w:fldCharType="begin"/>
      </w:r>
      <w:r w:rsidR="006C4E22">
        <w:instrText xml:space="preserve"> XE "</w:instrText>
      </w:r>
      <w:r w:rsidR="006C4E22" w:rsidRPr="0092194E">
        <w:instrText>Johannes de Rupella</w:instrText>
      </w:r>
      <w:r w:rsidR="006C4E22">
        <w:instrText xml:space="preserve">" </w:instrText>
      </w:r>
      <w:r w:rsidR="006C4E22">
        <w:fldChar w:fldCharType="end"/>
      </w:r>
      <w:r w:rsidR="00F36903">
        <w:t xml:space="preserve"> ve výše citovaném díle </w:t>
      </w:r>
      <w:r w:rsidR="00F36903" w:rsidRPr="0054680D">
        <w:rPr>
          <w:i/>
        </w:rPr>
        <w:t>Summa de anima</w:t>
      </w:r>
      <w:r w:rsidR="08E92DFF">
        <w:t xml:space="preserve"> (kap. 2</w:t>
      </w:r>
      <w:r w:rsidR="00F36903">
        <w:t>.3</w:t>
      </w:r>
      <w:r w:rsidR="00D548D9">
        <w:t>.1</w:t>
      </w:r>
      <w:r w:rsidR="00F36903">
        <w:t>).</w:t>
      </w:r>
      <w:r w:rsidR="00573F0F" w:rsidRPr="00273106">
        <w:t xml:space="preserve"> </w:t>
      </w:r>
      <w:r w:rsidR="00FC3F21">
        <w:t>Akademická š</w:t>
      </w:r>
      <w:r w:rsidR="007A645F">
        <w:t xml:space="preserve">kola </w:t>
      </w:r>
      <w:r w:rsidR="00C764E6" w:rsidRPr="00273106">
        <w:rPr>
          <w:i/>
        </w:rPr>
        <w:t>Modernorum</w:t>
      </w:r>
      <w:r w:rsidR="00C764E6" w:rsidRPr="00273106">
        <w:t xml:space="preserve"> </w:t>
      </w:r>
      <w:r w:rsidR="007A645F">
        <w:t xml:space="preserve">ale vznikla v </w:t>
      </w:r>
      <w:r w:rsidR="00EB5474">
        <w:t>Oxfordu a nikoliv v Paříži. B</w:t>
      </w:r>
      <w:r w:rsidR="00ED25CB" w:rsidRPr="00273106">
        <w:t xml:space="preserve">iskup Alvernus </w:t>
      </w:r>
      <w:r w:rsidR="00EB5474">
        <w:t xml:space="preserve">zásadně </w:t>
      </w:r>
      <w:r w:rsidR="007A645F">
        <w:t xml:space="preserve">nepřipustil, aby </w:t>
      </w:r>
      <w:r w:rsidR="00086085">
        <w:t xml:space="preserve">skupina </w:t>
      </w:r>
      <w:r w:rsidR="00874074">
        <w:t>neoplatonsk</w:t>
      </w:r>
      <w:r w:rsidR="005F543E">
        <w:t xml:space="preserve">ých </w:t>
      </w:r>
      <w:r w:rsidR="00086085" w:rsidRPr="00086085">
        <w:rPr>
          <w:i/>
        </w:rPr>
        <w:t xml:space="preserve">sequaces Aristotelis </w:t>
      </w:r>
      <w:r w:rsidR="00086085">
        <w:rPr>
          <w:i/>
        </w:rPr>
        <w:fldChar w:fldCharType="begin"/>
      </w:r>
      <w:r w:rsidR="00086085">
        <w:instrText xml:space="preserve"> XE "druhý averroismus:</w:instrText>
      </w:r>
      <w:r w:rsidR="00086085" w:rsidRPr="00B81DDF">
        <w:rPr>
          <w:i/>
        </w:rPr>
        <w:instrText>sequaces Aristotelis</w:instrText>
      </w:r>
      <w:r w:rsidR="00086085">
        <w:instrText xml:space="preserve">" </w:instrText>
      </w:r>
      <w:r w:rsidR="00086085">
        <w:rPr>
          <w:i/>
        </w:rPr>
        <w:fldChar w:fldCharType="end"/>
      </w:r>
      <w:r w:rsidR="00DC42A8">
        <w:t xml:space="preserve">hlásala </w:t>
      </w:r>
      <w:r w:rsidR="007A645F">
        <w:t>na křesťanské un</w:t>
      </w:r>
      <w:r w:rsidR="00A75E55">
        <w:t>i</w:t>
      </w:r>
      <w:r w:rsidR="00C51CDD">
        <w:t>verzitě pluralitu</w:t>
      </w:r>
      <w:r w:rsidR="007A645F">
        <w:t xml:space="preserve"> substancí </w:t>
      </w:r>
      <w:r w:rsidR="00FE173F">
        <w:t>v člověku</w:t>
      </w:r>
      <w:r w:rsidR="00C51CDD">
        <w:t>, navíc napojenou</w:t>
      </w:r>
      <w:r w:rsidR="00A75E55">
        <w:t xml:space="preserve"> na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06C4E22">
        <w:t xml:space="preserve"> a na univočně pojatý </w:t>
      </w:r>
      <w:r w:rsidR="006C4E22" w:rsidRPr="006C4E22">
        <w:rPr>
          <w:i/>
        </w:rPr>
        <w:t>intellectus agens</w:t>
      </w:r>
      <w:r w:rsidR="00230D24">
        <w:t xml:space="preserve"> kosmických sfér. </w:t>
      </w:r>
      <w:r w:rsidR="082041B6">
        <w:t xml:space="preserve">Vítězství </w:t>
      </w:r>
      <w:r w:rsidR="08DB36B8">
        <w:t xml:space="preserve">chaotického </w:t>
      </w:r>
      <w:r w:rsidR="082041B6">
        <w:t xml:space="preserve">aristotelismu v modernizovaném podání Davida z Dinantu </w:t>
      </w:r>
      <w:r w:rsidR="00DC42A8">
        <w:t xml:space="preserve">je možné v akademickém světě až dnes, po vítězství </w:t>
      </w:r>
      <w:r w:rsidR="081006B9">
        <w:t xml:space="preserve">karteziánské skupiny </w:t>
      </w:r>
      <w:r w:rsidR="00DC42A8" w:rsidRPr="00DC42A8">
        <w:rPr>
          <w:i/>
        </w:rPr>
        <w:t>Modernorum</w:t>
      </w:r>
      <w:r w:rsidR="00017FB1">
        <w:t xml:space="preserve">. </w:t>
      </w:r>
      <w:r w:rsidR="00101D32">
        <w:t>Karteziánští p</w:t>
      </w:r>
      <w:r w:rsidR="00134AD5">
        <w:t>ostmodernisté</w:t>
      </w:r>
      <w:r w:rsidR="00017FB1">
        <w:t xml:space="preserve"> </w:t>
      </w:r>
      <w:r w:rsidR="00DC42A8">
        <w:t>spojují svou substanční duši a tělo skrze vrozenou ideu boha jako kosmické inteligibilní kauzy</w:t>
      </w:r>
      <w:r w:rsidR="00134AD5">
        <w:t xml:space="preserve"> třetího druhu</w:t>
      </w:r>
      <w:r w:rsidR="00DC42A8">
        <w:t xml:space="preserve">, navíc přímo nazírané </w:t>
      </w:r>
      <w:r w:rsidR="00402B19">
        <w:t xml:space="preserve">ve vlastní mysli </w:t>
      </w:r>
      <w:r w:rsidR="00DC42A8">
        <w:t xml:space="preserve">jako </w:t>
      </w:r>
      <w:r w:rsidR="00017FB1">
        <w:t xml:space="preserve">platonská </w:t>
      </w:r>
      <w:r w:rsidR="00931D67">
        <w:t>vrozená idea.</w:t>
      </w:r>
      <w:r w:rsidR="08AA1E8F">
        <w:t xml:space="preserve"> </w:t>
      </w:r>
      <w:r w:rsidR="08E23341">
        <w:t>Moderní a postmoderní č</w:t>
      </w:r>
      <w:r w:rsidR="08AA1E8F">
        <w:t xml:space="preserve">lověk se stal podivuhodnou bytostí typu chiméry. A současná nihilistická verze </w:t>
      </w:r>
      <w:r w:rsidR="08AA1E8F" w:rsidRPr="08AA1E8F">
        <w:rPr>
          <w:i/>
        </w:rPr>
        <w:t>Modernorum</w:t>
      </w:r>
      <w:r w:rsidR="08AA1E8F">
        <w:t xml:space="preserve"> převedla tento humanistický nesmysl na čistou animalitu podanou jako kolekce vědeckých poznatků v oboru kognitivních neurověd</w:t>
      </w:r>
      <w:r w:rsidR="08701563">
        <w:t xml:space="preserve">. Tento postup </w:t>
      </w:r>
      <w:r w:rsidR="08AA1E8F">
        <w:t xml:space="preserve">odpovídá Baconem kritizované Rufusově definici člověka v modu univerzálního hylemorfismu </w:t>
      </w:r>
      <w:r w:rsidR="08AA1E8F" w:rsidRPr="00273106">
        <w:t>(</w:t>
      </w:r>
      <w:r w:rsidR="08AA1E8F" w:rsidRPr="00273106">
        <w:rPr>
          <w:i/>
        </w:rPr>
        <w:t>educta de potencia materie</w:t>
      </w:r>
      <w:r w:rsidR="08AA1E8F">
        <w:t>).</w:t>
      </w:r>
      <w:r w:rsidR="082B1D67">
        <w:t xml:space="preserve"> </w:t>
      </w:r>
      <w:r w:rsidR="0062632F" w:rsidRPr="00273106">
        <w:t>Hermeneutika rozlišu</w:t>
      </w:r>
      <w:r w:rsidR="009D035B" w:rsidRPr="00273106">
        <w:t>j</w:t>
      </w:r>
      <w:r w:rsidR="0062632F" w:rsidRPr="00273106">
        <w:t xml:space="preserve">e vzhledem k jednotě osoby </w:t>
      </w:r>
      <w:r w:rsidR="009D6CC8" w:rsidRPr="00273106">
        <w:t xml:space="preserve">ve druhém averroismu </w:t>
      </w:r>
      <w:r w:rsidR="0062632F" w:rsidRPr="00273106">
        <w:t>fázi plurality forem</w:t>
      </w:r>
      <w:r w:rsidR="00F462F4">
        <w:t xml:space="preserve"> v člověku</w:t>
      </w:r>
      <w:r w:rsidR="0062632F" w:rsidRPr="00273106">
        <w:t xml:space="preserve"> (Grossete</w:t>
      </w:r>
      <w:r w:rsidR="009D035B" w:rsidRPr="00273106">
        <w:t>ste</w:t>
      </w:r>
      <w:r w:rsidR="00994CD0" w:rsidRPr="00273106">
        <w:t xml:space="preserve"> kolem 1230</w:t>
      </w:r>
      <w:r w:rsidR="009D035B" w:rsidRPr="00273106">
        <w:t xml:space="preserve">) a </w:t>
      </w:r>
      <w:r w:rsidR="0011594A">
        <w:t xml:space="preserve">pak fázi plurality substancí </w:t>
      </w:r>
      <w:r w:rsidR="00F462F4">
        <w:t xml:space="preserve">v člověku </w:t>
      </w:r>
      <w:r w:rsidR="0011594A">
        <w:t>daných v rámci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11594A">
        <w:t xml:space="preserve"> </w:t>
      </w:r>
      <w:r w:rsidR="00FD60F9" w:rsidRPr="00273106">
        <w:t>po 1240</w:t>
      </w:r>
      <w:r w:rsidR="009D035B" w:rsidRPr="00273106">
        <w:t xml:space="preserve">. </w:t>
      </w:r>
      <w:r w:rsidR="00CF158D" w:rsidRPr="00273106">
        <w:t xml:space="preserve">Ke jsoucnu třetího druhu </w:t>
      </w:r>
      <w:r w:rsidR="082B1D67">
        <w:t xml:space="preserve">již </w:t>
      </w:r>
      <w:r w:rsidR="00CF158D" w:rsidRPr="00273106">
        <w:t xml:space="preserve">danému </w:t>
      </w:r>
      <w:r w:rsidR="082B1D67">
        <w:t xml:space="preserve">v Oxfordu </w:t>
      </w:r>
      <w:r w:rsidR="00CF158D" w:rsidRPr="00273106">
        <w:t>jako Grossetesteho exemplar</w:t>
      </w:r>
      <w:r w:rsidR="00B7167E">
        <w:fldChar w:fldCharType="begin"/>
      </w:r>
      <w:r w:rsidR="00B7167E">
        <w:instrText xml:space="preserve"> XE "</w:instrText>
      </w:r>
      <w:r w:rsidR="00B7167E" w:rsidRPr="003F72AE">
        <w:rPr>
          <w:i/>
        </w:rPr>
        <w:instrText>exemplar</w:instrText>
      </w:r>
      <w:r w:rsidR="00B7167E">
        <w:instrText xml:space="preserve">" </w:instrText>
      </w:r>
      <w:r w:rsidR="00B7167E">
        <w:fldChar w:fldCharType="end"/>
      </w:r>
      <w:r w:rsidR="00CF158D" w:rsidRPr="00273106">
        <w:t xml:space="preserve"> dále přichází </w:t>
      </w:r>
      <w:r w:rsidR="08866701" w:rsidRPr="00273106">
        <w:t>Avicebron</w:t>
      </w:r>
      <w:r w:rsidR="08866701">
        <w:t xml:space="preserve">ova dvojí </w:t>
      </w:r>
      <w:r w:rsidR="00CF158D" w:rsidRPr="00273106">
        <w:t xml:space="preserve">materie jako </w:t>
      </w:r>
      <w:r w:rsidR="00CF158D"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A654FB" w:rsidRPr="00A654FB">
        <w:rPr>
          <w:rStyle w:val="Zvraznn"/>
          <w:i w:val="0"/>
        </w:rPr>
        <w:instrText>:materie</w:instrText>
      </w:r>
      <w:r w:rsidR="003F16A5">
        <w:instrText xml:space="preserve">" </w:instrText>
      </w:r>
      <w:r w:rsidR="003F16A5">
        <w:rPr>
          <w:i/>
        </w:rPr>
        <w:fldChar w:fldCharType="end"/>
      </w:r>
      <w:r w:rsidR="00A654FB">
        <w:t xml:space="preserve">. </w:t>
      </w:r>
      <w:r w:rsidR="08230E55">
        <w:t xml:space="preserve">Moderní </w:t>
      </w:r>
      <w:r w:rsidR="00A654FB">
        <w:t xml:space="preserve">pojetí univerzálního hylemorfismu </w:t>
      </w:r>
      <w:r w:rsidR="00CF158D" w:rsidRPr="00273106">
        <w:t>zakládá nov</w:t>
      </w:r>
      <w:r w:rsidR="00A654FB">
        <w:t>o</w:t>
      </w:r>
      <w:r w:rsidR="00CF158D" w:rsidRPr="00273106">
        <w:t xml:space="preserve">u formu dělení porretánských hypostází v rámci </w:t>
      </w:r>
      <w:r w:rsidR="00BB45B1">
        <w:t>Porfyri</w:t>
      </w:r>
      <w:r w:rsidR="00CF158D" w:rsidRPr="00273106">
        <w:t>ova stromu</w:t>
      </w:r>
      <w:r w:rsidR="00AE1471">
        <w:t>. Tuto sofistiku jasně doložil Bacon</w:t>
      </w:r>
      <w:r w:rsidR="082E0080">
        <w:t>ův</w:t>
      </w:r>
      <w:r w:rsidR="00AE1471">
        <w:t xml:space="preserve"> citát </w:t>
      </w:r>
      <w:r w:rsidR="00CF158D" w:rsidRPr="00273106">
        <w:t>(</w:t>
      </w:r>
      <w:r w:rsidR="00CF158D" w:rsidRPr="00273106">
        <w:rPr>
          <w:i/>
        </w:rPr>
        <w:t>ponit hominem sub specie animalis</w:t>
      </w:r>
      <w:r w:rsidR="00CF158D" w:rsidRPr="00273106">
        <w:t xml:space="preserve">). </w:t>
      </w:r>
      <w:r w:rsidR="00AE1471">
        <w:t>V</w:t>
      </w:r>
      <w:r w:rsidR="000C041C">
        <w:t xml:space="preserve">ývoj k pluralitě substancí </w:t>
      </w:r>
      <w:r w:rsidR="00E06F14">
        <w:t xml:space="preserve">v člověku </w:t>
      </w:r>
      <w:r w:rsidR="000C041C">
        <w:t xml:space="preserve">byl završen </w:t>
      </w:r>
      <w:r w:rsidR="00BC19CA" w:rsidRPr="00273106">
        <w:t>kolem 1250</w:t>
      </w:r>
      <w:r w:rsidR="00221596" w:rsidRPr="00273106">
        <w:t xml:space="preserve">, kdy </w:t>
      </w:r>
      <w:r w:rsidR="0879444F" w:rsidRPr="00273106">
        <w:t xml:space="preserve">podle Bacona </w:t>
      </w:r>
      <w:r w:rsidR="009D035B" w:rsidRPr="00273106">
        <w:t>vzniká k</w:t>
      </w:r>
      <w:r w:rsidR="00A9508D" w:rsidRPr="00273106">
        <w:t>vazi-substanční</w:t>
      </w:r>
      <w:r w:rsidR="00221596" w:rsidRPr="00273106">
        <w:t xml:space="preserve"> dělení </w:t>
      </w:r>
      <w:r w:rsidR="009D035B" w:rsidRPr="00273106">
        <w:t xml:space="preserve">na základě </w:t>
      </w:r>
      <w:r w:rsidR="009D035B" w:rsidRPr="00273106">
        <w:lastRenderedPageBreak/>
        <w:t xml:space="preserve">Avicebronovy </w:t>
      </w:r>
      <w:r w:rsidR="00221596" w:rsidRPr="00273106">
        <w:t>materie</w:t>
      </w:r>
      <w:r w:rsidR="009D035B" w:rsidRPr="00273106">
        <w:t xml:space="preserve"> třetího druhu</w:t>
      </w:r>
      <w:r w:rsidR="0879444F" w:rsidRPr="00273106">
        <w:t xml:space="preserve"> (</w:t>
      </w:r>
      <w:r w:rsidR="002C21E8" w:rsidRPr="00273106">
        <w:rPr>
          <w:i/>
        </w:rPr>
        <w:t>differencia substancialis specifica educta de potencia materie</w:t>
      </w:r>
      <w:r w:rsidR="0879444F" w:rsidRPr="00273106">
        <w:t>)</w:t>
      </w:r>
      <w:r w:rsidR="00D645E7">
        <w:t>.</w:t>
      </w:r>
    </w:p>
    <w:p w14:paraId="1AF9BBA5" w14:textId="43191348" w:rsidR="00435DC3" w:rsidRPr="00273106" w:rsidRDefault="0038506B" w:rsidP="00524C53">
      <w:pPr>
        <w:ind w:firstLine="397"/>
      </w:pPr>
      <w:r>
        <w:t>Citované</w:t>
      </w:r>
      <w:r w:rsidR="082E0080">
        <w:t xml:space="preserve"> </w:t>
      </w:r>
      <w:r w:rsidR="00B61183">
        <w:t>spis</w:t>
      </w:r>
      <w:r>
        <w:t>y</w:t>
      </w:r>
      <w:r w:rsidR="00B61183">
        <w:t xml:space="preserve"> </w:t>
      </w:r>
      <w:r w:rsidR="00BC19CA" w:rsidRPr="00273106">
        <w:t>Bacon</w:t>
      </w:r>
      <w:r w:rsidR="00B61183">
        <w:t>a</w:t>
      </w:r>
      <w:r>
        <w:t xml:space="preserve"> dosvědčují</w:t>
      </w:r>
      <w:r w:rsidR="00BC19CA" w:rsidRPr="00273106">
        <w:t xml:space="preserve"> v</w:t>
      </w:r>
      <w:r w:rsidR="00A9508D" w:rsidRPr="00273106">
        <w:t xml:space="preserve">znik moderního individua </w:t>
      </w:r>
      <w:r w:rsidR="00BC19CA" w:rsidRPr="00273106">
        <w:t xml:space="preserve">ve třech fázích, které na sebe navazují jak myšlenkově, tak historicky. </w:t>
      </w:r>
      <w:r w:rsidR="00AE1471">
        <w:t xml:space="preserve">V první fázi je napojeno porretánské dělení hypostází na </w:t>
      </w:r>
      <w:r w:rsidR="003B2257">
        <w:t xml:space="preserve">vědecké poznání v rámci </w:t>
      </w:r>
      <w:r w:rsidR="00AE1471" w:rsidRPr="00AE1471">
        <w:rPr>
          <w:i/>
        </w:rPr>
        <w:t>Oxfordian Fallacy</w:t>
      </w:r>
      <w:r w:rsidR="00AE1471">
        <w:t>. Ve druhé fázi vzniká univerzální hylemo</w:t>
      </w:r>
      <w:r w:rsidR="08F33767">
        <w:t>r</w:t>
      </w:r>
      <w:r w:rsidR="00AE1471">
        <w:t xml:space="preserve">fismus duše a intelektu napojený na nový výklad </w:t>
      </w:r>
      <w:r w:rsidR="00AE1471" w:rsidRPr="00AE1471">
        <w:rPr>
          <w:i/>
        </w:rPr>
        <w:t>De anima</w:t>
      </w:r>
      <w:r w:rsidR="00EB0093">
        <w:t xml:space="preserve">. Tento moderní  „humanismus“ je známý </w:t>
      </w:r>
      <w:r w:rsidR="00903A2D">
        <w:t>v Oxfordu</w:t>
      </w:r>
      <w:r w:rsidR="08B41FA4">
        <w:t xml:space="preserve"> od roku 1235, kdy tento augustiniánský aristotelismus poprvé kritizuje Grosseteste</w:t>
      </w:r>
      <w:r w:rsidR="00903A2D">
        <w:t xml:space="preserve">. </w:t>
      </w:r>
      <w:r w:rsidR="00477206" w:rsidRPr="00477206">
        <w:t>Ve tře</w:t>
      </w:r>
      <w:r w:rsidR="00477206">
        <w:t>tí fázi mladí modernisté opusti</w:t>
      </w:r>
      <w:r w:rsidR="00477206" w:rsidRPr="00477206">
        <w:t>li Oxford a odj</w:t>
      </w:r>
      <w:r w:rsidR="00477206">
        <w:t xml:space="preserve">eli na magisterská studia </w:t>
      </w:r>
      <w:r w:rsidR="00477206" w:rsidRPr="00477206">
        <w:t>do Paříže. Připojili se k místní škole l</w:t>
      </w:r>
      <w:r w:rsidR="00477206">
        <w:t>atinských avicenistů, kteří vydáva</w:t>
      </w:r>
      <w:r w:rsidR="00477206" w:rsidRPr="00477206">
        <w:t xml:space="preserve">li spis </w:t>
      </w:r>
      <w:r w:rsidR="00477206" w:rsidRPr="00477206">
        <w:rPr>
          <w:i/>
        </w:rPr>
        <w:t>Summa Halensis</w:t>
      </w:r>
      <w:r w:rsidR="00477206" w:rsidRPr="00477206">
        <w:t xml:space="preserve">. Tato skupina se postupně rozšiřovala, protože jejich </w:t>
      </w:r>
      <w:r w:rsidR="00477206" w:rsidRPr="00477206">
        <w:rPr>
          <w:i/>
        </w:rPr>
        <w:t>apaideusía</w:t>
      </w:r>
      <w:r w:rsidR="00E45085">
        <w:rPr>
          <w:i/>
        </w:rPr>
        <w:fldChar w:fldCharType="begin"/>
      </w:r>
      <w:r w:rsidR="00E45085">
        <w:instrText xml:space="preserve"> XE "</w:instrText>
      </w:r>
      <w:r w:rsidR="00E45085" w:rsidRPr="00653FE0">
        <w:rPr>
          <w:i/>
        </w:rPr>
        <w:instrText>apaideusía</w:instrText>
      </w:r>
      <w:r w:rsidR="00E45085">
        <w:instrText xml:space="preserve">" </w:instrText>
      </w:r>
      <w:r w:rsidR="00E45085">
        <w:rPr>
          <w:i/>
        </w:rPr>
        <w:fldChar w:fldCharType="end"/>
      </w:r>
      <w:r w:rsidR="00477206" w:rsidRPr="00477206">
        <w:t xml:space="preserve"> se týkala hlubokého nepochopení spisu </w:t>
      </w:r>
      <w:r w:rsidR="00477206" w:rsidRPr="00E45085">
        <w:rPr>
          <w:i/>
        </w:rPr>
        <w:t>De anima</w:t>
      </w:r>
      <w:r w:rsidR="00477206" w:rsidRPr="00477206">
        <w:t xml:space="preserve"> et CMDA. Od roku 1240 můžeme shrnout první představitele </w:t>
      </w:r>
      <w:r w:rsidR="00477206" w:rsidRPr="00E45085">
        <w:rPr>
          <w:i/>
        </w:rPr>
        <w:t>via Modernorum</w:t>
      </w:r>
      <w:r w:rsidR="00477206" w:rsidRPr="00477206">
        <w:t xml:space="preserve">, které tvořily tyto skupiny: škola </w:t>
      </w:r>
      <w:r w:rsidR="00477206" w:rsidRPr="00E45085">
        <w:rPr>
          <w:i/>
        </w:rPr>
        <w:t>Grammatici</w:t>
      </w:r>
      <w:r w:rsidR="00477206" w:rsidRPr="00477206">
        <w:t xml:space="preserve"> kritizovaná Alvernem; zaniklé školy </w:t>
      </w:r>
      <w:r w:rsidR="00477206" w:rsidRPr="00E45085">
        <w:rPr>
          <w:i/>
        </w:rPr>
        <w:t>Logica Modernorum</w:t>
      </w:r>
      <w:r w:rsidR="00477206" w:rsidRPr="00477206">
        <w:t>; avicen</w:t>
      </w:r>
      <w:r w:rsidR="00E45085">
        <w:t>n</w:t>
      </w:r>
      <w:r w:rsidR="00477206" w:rsidRPr="00477206">
        <w:t xml:space="preserve">isté z okruhu Filipa Kancléře; pařížští františkáni, kteří se </w:t>
      </w:r>
      <w:r w:rsidR="00E45085">
        <w:t>připojili k Bonaventurovi a vydáva</w:t>
      </w:r>
      <w:r w:rsidR="00477206" w:rsidRPr="00477206">
        <w:t xml:space="preserve">li </w:t>
      </w:r>
      <w:r w:rsidR="00477206" w:rsidRPr="00E45085">
        <w:rPr>
          <w:i/>
        </w:rPr>
        <w:t>Summu Halensis</w:t>
      </w:r>
      <w:r w:rsidR="00477206" w:rsidRPr="00477206">
        <w:t xml:space="preserve">; oxfordští františkáni, kteří se hlásili k Rufovi; modernističtí dominikáni, kteří se shromáždili kolem Kilwardbyho. </w:t>
      </w:r>
      <w:r w:rsidR="00BC19CA" w:rsidRPr="00273106">
        <w:t xml:space="preserve">Na konci cesty prvních </w:t>
      </w:r>
      <w:r w:rsidR="001F6F4F">
        <w:t xml:space="preserve">latinských </w:t>
      </w:r>
      <w:r w:rsidR="00BC19CA" w:rsidRPr="00273106">
        <w:rPr>
          <w:i/>
        </w:rPr>
        <w:t>Modernorum</w:t>
      </w:r>
      <w:r w:rsidR="00BC19CA" w:rsidRPr="00273106">
        <w:t xml:space="preserve"> </w:t>
      </w:r>
      <w:r w:rsidR="00106EA9" w:rsidRPr="00273106">
        <w:t>v</w:t>
      </w:r>
      <w:r w:rsidR="080E3473">
        <w:t>z</w:t>
      </w:r>
      <w:r w:rsidR="001F6F4F">
        <w:t>nikla</w:t>
      </w:r>
      <w:r w:rsidR="00106EA9" w:rsidRPr="00273106">
        <w:t xml:space="preserve"> </w:t>
      </w:r>
      <w:r w:rsidR="080E3473">
        <w:t xml:space="preserve">objektivní </w:t>
      </w:r>
      <w:r w:rsidR="00106EA9" w:rsidRPr="00273106">
        <w:t xml:space="preserve">jednotlivina </w:t>
      </w:r>
      <w:r w:rsidR="0057257A">
        <w:t>a defin</w:t>
      </w:r>
      <w:r w:rsidR="00FF5007">
        <w:t>ice osoby daná</w:t>
      </w:r>
      <w:r w:rsidR="0057257A">
        <w:t xml:space="preserve"> </w:t>
      </w:r>
      <w:r w:rsidR="00106EA9" w:rsidRPr="00273106">
        <w:t xml:space="preserve">jako </w:t>
      </w:r>
      <w:r w:rsidR="083064C8">
        <w:t xml:space="preserve">objektivní </w:t>
      </w:r>
      <w:r w:rsidR="00106EA9" w:rsidRPr="00273106">
        <w:rPr>
          <w:i/>
        </w:rPr>
        <w:t>individuum</w:t>
      </w:r>
      <w:r w:rsidR="00AB15CF">
        <w:fldChar w:fldCharType="begin"/>
      </w:r>
      <w:r w:rsidR="00AB15CF">
        <w:instrText xml:space="preserve"> XE "</w:instrText>
      </w:r>
      <w:r w:rsidR="00AB15CF" w:rsidRPr="00B04338">
        <w:instrText>osoba:druhý averroismus</w:instrText>
      </w:r>
      <w:r w:rsidR="00AB15CF">
        <w:instrText xml:space="preserve">" </w:instrText>
      </w:r>
      <w:r w:rsidR="00AB15CF">
        <w:fldChar w:fldCharType="end"/>
      </w:r>
      <w:r w:rsidR="083064C8">
        <w:t xml:space="preserve">, což dosvědčuje Rufusův spis </w:t>
      </w:r>
      <w:r w:rsidR="083064C8" w:rsidRPr="083064C8">
        <w:rPr>
          <w:i/>
        </w:rPr>
        <w:t>Speculum animae</w:t>
      </w:r>
      <w:r w:rsidR="083064C8">
        <w:t xml:space="preserve"> (1245). </w:t>
      </w:r>
      <w:r w:rsidR="089B7745">
        <w:t xml:space="preserve">Pojetí materie podle Rufusovy objektivní verze univerzálního hylemorfismu </w:t>
      </w:r>
      <w:r w:rsidR="00221596" w:rsidRPr="00273106">
        <w:t xml:space="preserve">má </w:t>
      </w:r>
      <w:r w:rsidR="089B7745">
        <w:t xml:space="preserve">také </w:t>
      </w:r>
      <w:r w:rsidR="00221596" w:rsidRPr="00273106">
        <w:t>Bonaventurův komentář k Sentencím pu</w:t>
      </w:r>
      <w:r w:rsidR="004D376E" w:rsidRPr="00273106">
        <w:t>bl</w:t>
      </w:r>
      <w:r w:rsidR="089B7745">
        <w:t xml:space="preserve">ikovaný okolo roku </w:t>
      </w:r>
      <w:r w:rsidR="0010046C" w:rsidRPr="00273106">
        <w:t>1252 (</w:t>
      </w:r>
      <w:r w:rsidR="080337EA">
        <w:t>OBJ III, kap. 4</w:t>
      </w:r>
      <w:r w:rsidR="00AA5D0F" w:rsidRPr="00273106">
        <w:t>.1</w:t>
      </w:r>
      <w:r w:rsidR="00221596" w:rsidRPr="00273106">
        <w:t>). Bonaventura zavedl dvě patra dělení individua podle hy</w:t>
      </w:r>
      <w:r w:rsidR="00B737B9" w:rsidRPr="00273106">
        <w:t>lemorfické materie a nové kvazi</w:t>
      </w:r>
      <w:r w:rsidR="00B737B9" w:rsidRPr="00273106">
        <w:noBreakHyphen/>
        <w:t xml:space="preserve">materie, </w:t>
      </w:r>
      <w:r w:rsidR="00221596" w:rsidRPr="00273106">
        <w:t xml:space="preserve">viz Bonaventurova </w:t>
      </w:r>
      <w:r w:rsidR="00221596" w:rsidRPr="00273106">
        <w:rPr>
          <w:i/>
        </w:rPr>
        <w:t>materia spiritualis</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221596" w:rsidRPr="00273106">
        <w:rPr>
          <w:szCs w:val="15"/>
        </w:rPr>
        <w:t xml:space="preserve">. </w:t>
      </w:r>
      <w:r w:rsidR="00B737B9" w:rsidRPr="00273106">
        <w:rPr>
          <w:szCs w:val="15"/>
        </w:rPr>
        <w:t>Podle Bacona j</w:t>
      </w:r>
      <w:r w:rsidR="00C367B9">
        <w:rPr>
          <w:szCs w:val="15"/>
        </w:rPr>
        <w:t>de o nesmysl, protože individuum definované v rámci univerzálního hylemorfismu</w:t>
      </w:r>
      <w:r w:rsidR="001507D0">
        <w:rPr>
          <w:szCs w:val="15"/>
        </w:rPr>
        <w:fldChar w:fldCharType="begin"/>
      </w:r>
      <w:r w:rsidR="001507D0">
        <w:instrText xml:space="preserve"> XE "</w:instrText>
      </w:r>
      <w:r w:rsidR="001507D0" w:rsidRPr="00423560">
        <w:instrText>univerzální hylemorfismus</w:instrText>
      </w:r>
      <w:r w:rsidR="001507D0">
        <w:instrText xml:space="preserve">" </w:instrText>
      </w:r>
      <w:r w:rsidR="001507D0">
        <w:rPr>
          <w:szCs w:val="15"/>
        </w:rPr>
        <w:fldChar w:fldCharType="end"/>
      </w:r>
      <w:r w:rsidR="00C367B9">
        <w:rPr>
          <w:szCs w:val="15"/>
        </w:rPr>
        <w:t xml:space="preserve"> by produkovalo simulákrum první substance. </w:t>
      </w:r>
      <w:r w:rsidR="00221596" w:rsidRPr="00273106">
        <w:rPr>
          <w:szCs w:val="15"/>
        </w:rPr>
        <w:t xml:space="preserve">Podobnou kritiku proti </w:t>
      </w:r>
      <w:r w:rsidR="00B959BB">
        <w:rPr>
          <w:szCs w:val="15"/>
        </w:rPr>
        <w:t xml:space="preserve">Latiníkům </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00221596" w:rsidRPr="00273106">
        <w:rPr>
          <w:szCs w:val="15"/>
        </w:rPr>
        <w:t xml:space="preserve">má i Albert Veliký (kap. </w:t>
      </w:r>
      <w:r w:rsidR="084101BA">
        <w:rPr>
          <w:szCs w:val="15"/>
        </w:rPr>
        <w:t>2</w:t>
      </w:r>
      <w:r w:rsidR="00CF7E6D" w:rsidRPr="00273106">
        <w:rPr>
          <w:szCs w:val="15"/>
        </w:rPr>
        <w:t>.4</w:t>
      </w:r>
      <w:r w:rsidR="00221596" w:rsidRPr="00273106">
        <w:rPr>
          <w:szCs w:val="15"/>
        </w:rPr>
        <w:t xml:space="preserve">.3). </w:t>
      </w:r>
      <w:r w:rsidR="00C54E15" w:rsidRPr="00273106">
        <w:rPr>
          <w:szCs w:val="15"/>
        </w:rPr>
        <w:t>Po</w:t>
      </w:r>
      <w:r w:rsidR="00B959BB">
        <w:rPr>
          <w:szCs w:val="15"/>
        </w:rPr>
        <w:t xml:space="preserve">kud tedy vztáhneme specifikaci </w:t>
      </w:r>
      <w:r w:rsidR="00E24872">
        <w:rPr>
          <w:szCs w:val="15"/>
        </w:rPr>
        <w:t>„</w:t>
      </w:r>
      <w:r w:rsidR="00C54E15" w:rsidRPr="00273106">
        <w:rPr>
          <w:i/>
        </w:rPr>
        <w:t>opinio per hominem erroneum et famosum</w:t>
      </w:r>
      <w:r w:rsidR="00E24872">
        <w:t>“</w:t>
      </w:r>
      <w:r w:rsidR="00C54E15" w:rsidRPr="00273106">
        <w:t xml:space="preserve"> na situaci </w:t>
      </w:r>
      <w:r w:rsidR="001C30F6">
        <w:t xml:space="preserve">modernistů </w:t>
      </w:r>
      <w:r w:rsidR="00C54E15" w:rsidRPr="00273106">
        <w:t>v</w:t>
      </w:r>
      <w:r w:rsidR="00E24872">
        <w:t> </w:t>
      </w:r>
      <w:r w:rsidR="00C54E15" w:rsidRPr="00273106">
        <w:t>Paříži</w:t>
      </w:r>
      <w:r w:rsidR="00E24872">
        <w:t xml:space="preserve"> okolo roku 1245</w:t>
      </w:r>
      <w:r w:rsidR="00D13C27">
        <w:t>, pak byli</w:t>
      </w:r>
      <w:r w:rsidR="00C54E15" w:rsidRPr="00273106">
        <w:t xml:space="preserve"> cílem </w:t>
      </w:r>
      <w:r w:rsidR="08A31919">
        <w:t xml:space="preserve">Baconovy kritiky </w:t>
      </w:r>
      <w:r w:rsidR="00FC746A">
        <w:t xml:space="preserve">Rufus </w:t>
      </w:r>
      <w:r w:rsidR="085371EC">
        <w:t xml:space="preserve">a </w:t>
      </w:r>
      <w:r w:rsidR="0044783D" w:rsidRPr="00273106">
        <w:t xml:space="preserve">zdejší františkánská </w:t>
      </w:r>
      <w:r w:rsidR="007005AC" w:rsidRPr="00273106">
        <w:t xml:space="preserve">škola </w:t>
      </w:r>
      <w:r w:rsidR="08AC5061">
        <w:t xml:space="preserve">v Paříži </w:t>
      </w:r>
      <w:r w:rsidR="00E24872">
        <w:t>vedená Bonaventurou</w:t>
      </w:r>
      <w:r w:rsidR="00C54E15" w:rsidRPr="00273106">
        <w:t xml:space="preserve">. </w:t>
      </w:r>
    </w:p>
    <w:p w14:paraId="79A06375" w14:textId="2067CD5A" w:rsidR="00435DC3" w:rsidRPr="00273106" w:rsidRDefault="00435DC3" w:rsidP="00435DC3">
      <w:pPr>
        <w:pStyle w:val="Citace"/>
        <w:rPr>
          <w:noProof/>
          <w:szCs w:val="22"/>
          <w:lang w:val="cs-CZ"/>
        </w:rPr>
      </w:pPr>
      <w:r w:rsidRPr="00273106">
        <w:rPr>
          <w:noProof/>
          <w:szCs w:val="22"/>
          <w:lang w:val="cs-CZ"/>
        </w:rPr>
        <w:t xml:space="preserve">„Z neznalosti obou předešlých témat mnoho z nich drželo tezi, že mrtvý César je člověk a že mrtvý člověk je zvíře, že Kristus </w:t>
      </w:r>
      <w:r w:rsidR="00825395" w:rsidRPr="00273106">
        <w:rPr>
          <w:noProof/>
          <w:szCs w:val="22"/>
          <w:lang w:val="cs-CZ"/>
        </w:rPr>
        <w:t>v triduu [</w:t>
      </w:r>
      <w:r w:rsidR="00825395" w:rsidRPr="08A4095B">
        <w:rPr>
          <w:noProof/>
          <w:szCs w:val="22"/>
          <w:lang w:val="cs-CZ"/>
        </w:rPr>
        <w:t xml:space="preserve">tj. </w:t>
      </w:r>
      <w:r w:rsidRPr="08A4095B">
        <w:rPr>
          <w:noProof/>
          <w:szCs w:val="22"/>
          <w:lang w:val="cs-CZ"/>
        </w:rPr>
        <w:t xml:space="preserve">po smrti </w:t>
      </w:r>
      <w:r w:rsidR="00F244A9" w:rsidRPr="08A4095B">
        <w:rPr>
          <w:noProof/>
          <w:szCs w:val="22"/>
          <w:lang w:val="cs-CZ"/>
        </w:rPr>
        <w:t xml:space="preserve">a </w:t>
      </w:r>
      <w:r w:rsidRPr="08A4095B">
        <w:rPr>
          <w:noProof/>
          <w:szCs w:val="22"/>
          <w:lang w:val="cs-CZ"/>
        </w:rPr>
        <w:t>před vzkříšením</w:t>
      </w:r>
      <w:r w:rsidR="00825395" w:rsidRPr="00273106">
        <w:rPr>
          <w:noProof/>
          <w:szCs w:val="22"/>
          <w:lang w:val="cs-CZ"/>
        </w:rPr>
        <w:t>]</w:t>
      </w:r>
      <w:r w:rsidRPr="00273106">
        <w:rPr>
          <w:noProof/>
          <w:szCs w:val="22"/>
          <w:lang w:val="cs-CZ"/>
        </w:rPr>
        <w:t xml:space="preserve"> byl člověk, a pod</w:t>
      </w:r>
      <w:r w:rsidR="08A76C0B">
        <w:rPr>
          <w:noProof/>
          <w:szCs w:val="22"/>
          <w:lang w:val="cs-CZ"/>
        </w:rPr>
        <w:t xml:space="preserve">obné nejapné </w:t>
      </w:r>
      <w:r w:rsidR="08A76C0B">
        <w:rPr>
          <w:noProof/>
          <w:szCs w:val="22"/>
          <w:lang w:val="cs-CZ"/>
        </w:rPr>
        <w:lastRenderedPageBreak/>
        <w:t xml:space="preserve">omyly a hlouposti chápané vzhledem k omezením a </w:t>
      </w:r>
      <w:r w:rsidR="0094155E">
        <w:rPr>
          <w:noProof/>
          <w:szCs w:val="22"/>
          <w:lang w:val="cs-CZ"/>
        </w:rPr>
        <w:t xml:space="preserve">použitím </w:t>
      </w:r>
      <w:r w:rsidR="08A76C0B">
        <w:rPr>
          <w:noProof/>
          <w:szCs w:val="22"/>
          <w:lang w:val="cs-CZ"/>
        </w:rPr>
        <w:t>pojmů v</w:t>
      </w:r>
      <w:r w:rsidR="00385247">
        <w:rPr>
          <w:noProof/>
          <w:szCs w:val="22"/>
          <w:lang w:val="cs-CZ"/>
        </w:rPr>
        <w:t> </w:t>
      </w:r>
      <w:r w:rsidRPr="00273106">
        <w:rPr>
          <w:noProof/>
          <w:szCs w:val="22"/>
          <w:lang w:val="cs-CZ"/>
        </w:rPr>
        <w:t>propozic</w:t>
      </w:r>
      <w:r w:rsidR="08A76C0B">
        <w:rPr>
          <w:noProof/>
          <w:szCs w:val="22"/>
          <w:lang w:val="cs-CZ"/>
        </w:rPr>
        <w:t>ích</w:t>
      </w:r>
      <w:r w:rsidR="00385247">
        <w:rPr>
          <w:noProof/>
          <w:szCs w:val="22"/>
          <w:lang w:val="cs-CZ"/>
        </w:rPr>
        <w:t>,</w:t>
      </w:r>
      <w:r w:rsidR="08A76C0B">
        <w:rPr>
          <w:noProof/>
          <w:szCs w:val="22"/>
          <w:lang w:val="cs-CZ"/>
        </w:rPr>
        <w:t xml:space="preserve"> a </w:t>
      </w:r>
      <w:r w:rsidRPr="00273106">
        <w:rPr>
          <w:noProof/>
          <w:szCs w:val="22"/>
          <w:lang w:val="cs-CZ"/>
        </w:rPr>
        <w:t xml:space="preserve">dále </w:t>
      </w:r>
      <w:r w:rsidR="00385247">
        <w:rPr>
          <w:noProof/>
          <w:szCs w:val="22"/>
          <w:lang w:val="cs-CZ"/>
        </w:rPr>
        <w:t xml:space="preserve">vzhledem </w:t>
      </w:r>
      <w:r w:rsidRPr="00273106">
        <w:rPr>
          <w:noProof/>
          <w:szCs w:val="22"/>
          <w:lang w:val="cs-CZ"/>
        </w:rPr>
        <w:t>ke kontingenci</w:t>
      </w:r>
      <w:r w:rsidR="00B201CD">
        <w:rPr>
          <w:noProof/>
          <w:szCs w:val="22"/>
          <w:lang w:val="cs-CZ"/>
        </w:rPr>
        <w:t xml:space="preserve">, </w:t>
      </w:r>
      <w:r w:rsidRPr="00273106">
        <w:rPr>
          <w:noProof/>
          <w:szCs w:val="22"/>
          <w:lang w:val="cs-CZ"/>
        </w:rPr>
        <w:t>k nutnosti a podobně.</w:t>
      </w:r>
      <w:r w:rsidR="08A76C0B">
        <w:rPr>
          <w:noProof/>
          <w:szCs w:val="22"/>
          <w:lang w:val="cs-CZ"/>
        </w:rPr>
        <w:t>..</w:t>
      </w:r>
      <w:r w:rsidRPr="00273106">
        <w:rPr>
          <w:noProof/>
          <w:szCs w:val="22"/>
          <w:lang w:val="cs-CZ"/>
        </w:rPr>
        <w:t xml:space="preserve">“ </w:t>
      </w:r>
      <w:r w:rsidRPr="00273106">
        <w:rPr>
          <w:rStyle w:val="Znakapoznpodarou"/>
          <w:noProof/>
          <w:lang w:val="cs-CZ"/>
        </w:rPr>
        <w:footnoteReference w:id="366"/>
      </w:r>
    </w:p>
    <w:p w14:paraId="19147A64" w14:textId="1A741FE9" w:rsidR="00221596" w:rsidRPr="00273106" w:rsidRDefault="00744EB9" w:rsidP="00221596">
      <w:r w:rsidRPr="00273106">
        <w:t xml:space="preserve">Citát ukazuje kritiku </w:t>
      </w:r>
      <w:r w:rsidR="08B84EAF">
        <w:t xml:space="preserve">modernistů </w:t>
      </w:r>
      <w:r w:rsidRPr="00273106">
        <w:t>v návaznosti na první averroismus</w:t>
      </w:r>
      <w:r w:rsidR="00E302F9">
        <w:t xml:space="preserve">. První případ byl </w:t>
      </w:r>
      <w:r w:rsidRPr="00273106">
        <w:t xml:space="preserve">spor o </w:t>
      </w:r>
      <w:r w:rsidR="089C5BBA">
        <w:t>sofisma mrtvého muže</w:t>
      </w:r>
      <w:r w:rsidR="00501C1E">
        <w:rPr>
          <w:i/>
        </w:rPr>
        <w:fldChar w:fldCharType="begin"/>
      </w:r>
      <w:r w:rsidR="00501C1E">
        <w:instrText xml:space="preserve"> XE "sofisma člověk-mrtvola" </w:instrText>
      </w:r>
      <w:r w:rsidR="00501C1E">
        <w:rPr>
          <w:i/>
        </w:rPr>
        <w:fldChar w:fldCharType="end"/>
      </w:r>
      <w:r w:rsidRPr="00273106">
        <w:t xml:space="preserve"> zmíněný v traktátu </w:t>
      </w:r>
      <w:r w:rsidR="089A1B6F">
        <w:rPr>
          <w:i/>
        </w:rPr>
        <w:t>De anima et de potenciis eius</w:t>
      </w:r>
      <w:r w:rsidR="08B125FB">
        <w:t xml:space="preserve"> (kap. 2</w:t>
      </w:r>
      <w:r w:rsidRPr="00273106">
        <w:t>.2</w:t>
      </w:r>
      <w:r w:rsidR="085022FC">
        <w:t>.1</w:t>
      </w:r>
      <w:r w:rsidRPr="00273106">
        <w:t xml:space="preserve">). </w:t>
      </w:r>
      <w:r w:rsidR="00221596" w:rsidRPr="00273106">
        <w:t xml:space="preserve">Bacon odmítá pro metafyziku uznat nominální definice, které jsou postaveny mimo </w:t>
      </w:r>
      <w:r w:rsidR="001557FA">
        <w:t xml:space="preserve">kategoriální </w:t>
      </w:r>
      <w:r w:rsidR="00042301">
        <w:t xml:space="preserve">predikaci </w:t>
      </w:r>
      <w:r w:rsidR="00CA2936">
        <w:t>založené</w:t>
      </w:r>
      <w:r w:rsidR="00221596" w:rsidRPr="00273106">
        <w:t xml:space="preserve"> na aktuální existenci a </w:t>
      </w:r>
      <w:r w:rsidR="001557FA">
        <w:t xml:space="preserve">na </w:t>
      </w:r>
      <w:r w:rsidR="00221596" w:rsidRPr="00273106">
        <w:t>kauzalitě první substance</w:t>
      </w:r>
      <w:r w:rsidR="00A70FA4">
        <w:fldChar w:fldCharType="begin"/>
      </w:r>
      <w:r w:rsidR="00A70FA4">
        <w:instrText xml:space="preserve"> XE "</w:instrText>
      </w:r>
      <w:r w:rsidR="00A70FA4" w:rsidRPr="00DE2A32">
        <w:instrText>substance</w:instrText>
      </w:r>
      <w:r w:rsidR="00CF7A9C">
        <w:instrText>:nominální</w:instrText>
      </w:r>
      <w:r w:rsidR="00A70FA4">
        <w:instrText xml:space="preserve">" </w:instrText>
      </w:r>
      <w:r w:rsidR="00A70FA4">
        <w:fldChar w:fldCharType="end"/>
      </w:r>
      <w:r w:rsidR="00221596" w:rsidRPr="00273106">
        <w:t xml:space="preserve"> v reálu</w:t>
      </w:r>
      <w:r w:rsidR="003D29CB" w:rsidRPr="00273106">
        <w:t xml:space="preserve">. </w:t>
      </w:r>
      <w:r w:rsidR="001557FA">
        <w:t xml:space="preserve">César jako mrtvola nemůže být člověkem daným impozicí </w:t>
      </w:r>
      <w:r w:rsidR="00FA265E">
        <w:t xml:space="preserve">smyslu pocházejícího </w:t>
      </w:r>
      <w:r w:rsidR="001557FA">
        <w:t>z reálné substance</w:t>
      </w:r>
      <w:r w:rsidR="00915401">
        <w:rPr>
          <w:i/>
        </w:rPr>
        <w:fldChar w:fldCharType="begin"/>
      </w:r>
      <w:r w:rsidR="00915401">
        <w:instrText xml:space="preserve"> XE "</w:instrText>
      </w:r>
      <w:r w:rsidR="00CF7A9C">
        <w:instrText>impozice:druhý averroismus</w:instrText>
      </w:r>
      <w:r w:rsidR="00915401">
        <w:instrText xml:space="preserve">" </w:instrText>
      </w:r>
      <w:r w:rsidR="00915401">
        <w:rPr>
          <w:i/>
        </w:rPr>
        <w:fldChar w:fldCharType="end"/>
      </w:r>
      <w:r w:rsidR="001557FA">
        <w:t xml:space="preserve">. </w:t>
      </w:r>
      <w:r w:rsidR="00053BDA">
        <w:t xml:space="preserve">Něco jiného je syngategorematická predikace sloves v minulosti a přítomnosti, která </w:t>
      </w:r>
      <w:r w:rsidR="002B31DE">
        <w:t xml:space="preserve">gramaticky </w:t>
      </w:r>
      <w:r w:rsidR="00053BDA">
        <w:t xml:space="preserve">vychází ze správně určené impozice, což měl už </w:t>
      </w:r>
      <w:r w:rsidR="00CB3E4F">
        <w:t>Abélard</w:t>
      </w:r>
      <w:r w:rsidR="00053BDA">
        <w:t xml:space="preserve"> (</w:t>
      </w:r>
      <w:r w:rsidR="08B125FB">
        <w:t>kap. 1</w:t>
      </w:r>
      <w:r w:rsidR="001B156E">
        <w:t>.3</w:t>
      </w:r>
      <w:r w:rsidR="00053BDA">
        <w:t xml:space="preserve">). </w:t>
      </w:r>
      <w:r w:rsidR="003D29CB" w:rsidRPr="00273106">
        <w:t>H</w:t>
      </w:r>
      <w:r w:rsidR="00221596" w:rsidRPr="00273106">
        <w:t xml:space="preserve">ermeneutika </w:t>
      </w:r>
      <w:r w:rsidR="003D29CB" w:rsidRPr="00273106">
        <w:t xml:space="preserve">lokalizovala </w:t>
      </w:r>
      <w:r w:rsidR="00221596" w:rsidRPr="00273106">
        <w:t>i Baconem zmíněnou a odmítnutou otázku kontingence a nutnosti budoucích událostí (</w:t>
      </w:r>
      <w:r w:rsidR="00221596" w:rsidRPr="00273106">
        <w:rPr>
          <w:i/>
          <w:szCs w:val="13"/>
        </w:rPr>
        <w:t xml:space="preserve">circa </w:t>
      </w:r>
      <w:r w:rsidR="00221596" w:rsidRPr="00273106">
        <w:rPr>
          <w:i/>
          <w:szCs w:val="14"/>
        </w:rPr>
        <w:t xml:space="preserve">necessitates </w:t>
      </w:r>
      <w:r w:rsidR="00221596" w:rsidRPr="00273106">
        <w:rPr>
          <w:i/>
          <w:szCs w:val="13"/>
        </w:rPr>
        <w:t xml:space="preserve">et </w:t>
      </w:r>
      <w:r w:rsidR="00221596" w:rsidRPr="00273106">
        <w:rPr>
          <w:i/>
        </w:rPr>
        <w:t>contingencias</w:t>
      </w:r>
      <w:r w:rsidRPr="00273106">
        <w:t>)</w:t>
      </w:r>
      <w:r w:rsidR="00755B8D">
        <w:t xml:space="preserve"> do </w:t>
      </w:r>
      <w:r w:rsidR="003D29CB" w:rsidRPr="00273106">
        <w:t xml:space="preserve">Grossetesteho pojetí logiky a determinace budoucích kontingentních událostí (kap. </w:t>
      </w:r>
      <w:r w:rsidR="08B125FB">
        <w:t>3</w:t>
      </w:r>
      <w:r w:rsidR="003D29CB" w:rsidRPr="00273106">
        <w:t xml:space="preserve">.1.2). </w:t>
      </w:r>
      <w:r w:rsidR="00221596" w:rsidRPr="00273106">
        <w:t>Citát rozkrývá celé zá</w:t>
      </w:r>
      <w:r w:rsidR="0034053D">
        <w:t xml:space="preserve">světí </w:t>
      </w:r>
      <w:r w:rsidR="006842E0">
        <w:t>o</w:t>
      </w:r>
      <w:r w:rsidR="007A2E35">
        <w:t>xfordské moderny</w:t>
      </w:r>
      <w:r w:rsidR="00B77454" w:rsidRPr="00273106">
        <w:t>, včetně škol p</w:t>
      </w:r>
      <w:r w:rsidR="00221596" w:rsidRPr="00273106">
        <w:t>orretánů kritizovaných</w:t>
      </w:r>
      <w:r w:rsidR="00D42239" w:rsidRPr="00273106">
        <w:t xml:space="preserve"> </w:t>
      </w:r>
      <w:r w:rsidR="00505EC6" w:rsidRPr="00273106">
        <w:t xml:space="preserve">biskupem </w:t>
      </w:r>
      <w:r w:rsidR="00D42239" w:rsidRPr="00273106">
        <w:t xml:space="preserve">Alvernem </w:t>
      </w:r>
      <w:r w:rsidR="00114A55">
        <w:t xml:space="preserve">skrze termín </w:t>
      </w:r>
      <w:r w:rsidR="001105DE" w:rsidRPr="001105DE">
        <w:rPr>
          <w:i/>
        </w:rPr>
        <w:t>Grammatici</w:t>
      </w:r>
      <w:r w:rsidR="001105DE">
        <w:t xml:space="preserve"> </w:t>
      </w:r>
      <w:r w:rsidR="08B125FB">
        <w:t>(kap. 2</w:t>
      </w:r>
      <w:r w:rsidR="00D42239" w:rsidRPr="00273106">
        <w:t>.3</w:t>
      </w:r>
      <w:r w:rsidR="00D548D9">
        <w:t>.2</w:t>
      </w:r>
      <w:r w:rsidR="00D42239" w:rsidRPr="00273106">
        <w:t>)</w:t>
      </w:r>
      <w:r w:rsidR="00221596" w:rsidRPr="00273106">
        <w:t xml:space="preserve">. </w:t>
      </w:r>
      <w:r w:rsidR="007129EB" w:rsidRPr="00273106">
        <w:t>Roger Bacon považuje řádového spolubratra Rufuse i v</w:t>
      </w:r>
      <w:r w:rsidR="0856651E">
        <w:t xml:space="preserve">e svém posledním </w:t>
      </w:r>
      <w:r w:rsidR="00C32BEA" w:rsidRPr="00273106">
        <w:t xml:space="preserve">díle </w:t>
      </w:r>
      <w:r w:rsidR="007129EB" w:rsidRPr="00273106">
        <w:rPr>
          <w:i/>
        </w:rPr>
        <w:t>Compendium studii theologiae</w:t>
      </w:r>
      <w:r w:rsidR="007129EB" w:rsidRPr="00273106">
        <w:t xml:space="preserve"> </w:t>
      </w:r>
      <w:r w:rsidR="00C32BEA" w:rsidRPr="00273106">
        <w:t xml:space="preserve">(1292) </w:t>
      </w:r>
      <w:r w:rsidR="007129EB" w:rsidRPr="00273106">
        <w:t xml:space="preserve">za autora hlavních teologických a filosofických omylů, které vedly k úpadku teologie ve 13. století. </w:t>
      </w:r>
      <w:r w:rsidR="00D40039">
        <w:t xml:space="preserve">Rufus z Cornwallu byl </w:t>
      </w:r>
      <w:r w:rsidR="00D40039" w:rsidRPr="00273106">
        <w:rPr>
          <w:i/>
        </w:rPr>
        <w:t xml:space="preserve">spiritus </w:t>
      </w:r>
      <w:r w:rsidR="008B08FB">
        <w:rPr>
          <w:i/>
        </w:rPr>
        <w:t>movens</w:t>
      </w:r>
      <w:r w:rsidR="00D40039" w:rsidRPr="00273106">
        <w:t xml:space="preserve"> druhé</w:t>
      </w:r>
      <w:r w:rsidR="00D40039">
        <w:t>ho averroismu asi do roku 12</w:t>
      </w:r>
      <w:r w:rsidR="00D40039" w:rsidRPr="00273106">
        <w:t>5</w:t>
      </w:r>
      <w:r w:rsidR="00D40039">
        <w:t>0</w:t>
      </w:r>
      <w:r w:rsidR="00D40039" w:rsidRPr="00273106">
        <w:t xml:space="preserve">, kdy musel z Paříže odejít. </w:t>
      </w:r>
      <w:r w:rsidR="006F012F">
        <w:t>I</w:t>
      </w:r>
      <w:r w:rsidR="00221596" w:rsidRPr="00273106">
        <w:t>ndikace jedné historické události, zcela zásadní pro vznik západní objektivity, následuje v Baconově kompendiu hned po citované části.</w:t>
      </w:r>
      <w:r w:rsidR="007129EB" w:rsidRPr="00273106">
        <w:t xml:space="preserve"> </w:t>
      </w:r>
    </w:p>
    <w:p w14:paraId="41A7FD9C" w14:textId="2B2BA2A6" w:rsidR="008F05C4" w:rsidRPr="00273106" w:rsidRDefault="00221596" w:rsidP="008F05C4">
      <w:pPr>
        <w:pStyle w:val="Citace"/>
        <w:rPr>
          <w:noProof/>
          <w:lang w:val="cs-CZ"/>
        </w:rPr>
      </w:pPr>
      <w:r w:rsidRPr="00273106">
        <w:rPr>
          <w:noProof/>
          <w:lang w:val="cs-CZ"/>
        </w:rPr>
        <w:t>„</w:t>
      </w:r>
      <w:r w:rsidR="08BF2AE5">
        <w:rPr>
          <w:noProof/>
          <w:lang w:val="cs-CZ"/>
        </w:rPr>
        <w:t>Velmi d</w:t>
      </w:r>
      <w:r w:rsidR="00BB7691" w:rsidRPr="00273106">
        <w:rPr>
          <w:noProof/>
          <w:lang w:val="cs-CZ"/>
        </w:rPr>
        <w:t xml:space="preserve">obře jsem znal autora těchto nejhorších a nejhloupějších omylů, který </w:t>
      </w:r>
      <w:r w:rsidR="004E10A2" w:rsidRPr="00273106">
        <w:rPr>
          <w:noProof/>
          <w:lang w:val="cs-CZ"/>
        </w:rPr>
        <w:t xml:space="preserve">se jmenuje Richard z Cornwallu a </w:t>
      </w:r>
      <w:r w:rsidR="00431198">
        <w:rPr>
          <w:noProof/>
          <w:lang w:val="cs-CZ"/>
        </w:rPr>
        <w:t xml:space="preserve">který byl velmi známý ve skupině </w:t>
      </w:r>
      <w:r w:rsidR="00431198" w:rsidRPr="00431198">
        <w:rPr>
          <w:noProof/>
          <w:lang w:val="cs-CZ"/>
        </w:rPr>
        <w:t>[modernisti</w:t>
      </w:r>
      <w:r w:rsidR="00B512F4">
        <w:rPr>
          <w:noProof/>
          <w:lang w:val="cs-CZ"/>
        </w:rPr>
        <w:t>c</w:t>
      </w:r>
      <w:r w:rsidR="00431198">
        <w:rPr>
          <w:noProof/>
          <w:lang w:val="cs-CZ"/>
        </w:rPr>
        <w:t>kých</w:t>
      </w:r>
      <w:r w:rsidR="00431198" w:rsidRPr="00431198">
        <w:rPr>
          <w:noProof/>
          <w:lang w:val="cs-CZ"/>
        </w:rPr>
        <w:t xml:space="preserve">] </w:t>
      </w:r>
      <w:r w:rsidR="00BB7691" w:rsidRPr="00273106">
        <w:rPr>
          <w:noProof/>
          <w:lang w:val="cs-CZ"/>
        </w:rPr>
        <w:t xml:space="preserve">hlupáků. Ale mezi moudrými byl pokládán za blázna a byl odsouzen </w:t>
      </w:r>
      <w:r w:rsidR="00114A55">
        <w:rPr>
          <w:noProof/>
          <w:lang w:val="cs-CZ"/>
        </w:rPr>
        <w:t xml:space="preserve">v Paříži </w:t>
      </w:r>
      <w:r w:rsidR="00BB7691" w:rsidRPr="00273106">
        <w:rPr>
          <w:noProof/>
          <w:lang w:val="cs-CZ"/>
        </w:rPr>
        <w:t xml:space="preserve">za omyly, které sám vymyslel a hlásal, když </w:t>
      </w:r>
      <w:r w:rsidR="08C809E6">
        <w:rPr>
          <w:noProof/>
          <w:lang w:val="cs-CZ"/>
        </w:rPr>
        <w:t xml:space="preserve">zde </w:t>
      </w:r>
      <w:r w:rsidR="00BB7691" w:rsidRPr="00273106">
        <w:rPr>
          <w:noProof/>
          <w:lang w:val="cs-CZ"/>
        </w:rPr>
        <w:t xml:space="preserve">slavnostně předčítal sentence a stejně </w:t>
      </w:r>
      <w:r w:rsidR="088146F9">
        <w:rPr>
          <w:noProof/>
          <w:lang w:val="cs-CZ"/>
        </w:rPr>
        <w:t xml:space="preserve">tak </w:t>
      </w:r>
      <w:r w:rsidR="004E10A2" w:rsidRPr="00273106">
        <w:rPr>
          <w:noProof/>
          <w:lang w:val="cs-CZ"/>
        </w:rPr>
        <w:t xml:space="preserve">i poté </w:t>
      </w:r>
      <w:r w:rsidR="00BB7691" w:rsidRPr="00273106">
        <w:rPr>
          <w:noProof/>
          <w:lang w:val="cs-CZ"/>
        </w:rPr>
        <w:t>když</w:t>
      </w:r>
      <w:r w:rsidR="004E10A2" w:rsidRPr="00273106">
        <w:rPr>
          <w:noProof/>
          <w:lang w:val="cs-CZ"/>
        </w:rPr>
        <w:t xml:space="preserve"> přednášel sentence na Oxfordu od roku 1250.“</w:t>
      </w:r>
      <w:r w:rsidR="00BB7691" w:rsidRPr="00273106">
        <w:rPr>
          <w:noProof/>
          <w:lang w:val="cs-CZ"/>
        </w:rPr>
        <w:t xml:space="preserve"> </w:t>
      </w:r>
      <w:r w:rsidR="004E10A2" w:rsidRPr="00273106">
        <w:rPr>
          <w:rStyle w:val="Znakapoznpodarou"/>
          <w:noProof/>
          <w:lang w:val="cs-CZ"/>
        </w:rPr>
        <w:footnoteReference w:id="367"/>
      </w:r>
    </w:p>
    <w:p w14:paraId="015B4F0C" w14:textId="77777777" w:rsidR="00263EFA" w:rsidRDefault="004632ED" w:rsidP="00E82417">
      <w:r>
        <w:lastRenderedPageBreak/>
        <w:t xml:space="preserve">Připomeňme, že tuto závěť Baconova myšlení </w:t>
      </w:r>
      <w:r w:rsidR="08F550E7">
        <w:t xml:space="preserve">psanou ke konci jeho života </w:t>
      </w:r>
      <w:r>
        <w:t>vyda</w:t>
      </w:r>
      <w:r w:rsidRPr="00273106">
        <w:t>I</w:t>
      </w:r>
      <w:r>
        <w:t>i poslední reprezentanti zanikající školy prvního averroismu</w:t>
      </w:r>
      <w:r w:rsidR="000D2768">
        <w:t>, kteří měli před sebou celou histori</w:t>
      </w:r>
      <w:r w:rsidR="00CE0025">
        <w:t>i</w:t>
      </w:r>
      <w:r w:rsidR="000D2768">
        <w:t xml:space="preserve"> sporu</w:t>
      </w:r>
      <w:r>
        <w:t xml:space="preserve">. </w:t>
      </w:r>
      <w:r w:rsidR="083176BB">
        <w:t>Citovaný rok 1</w:t>
      </w:r>
      <w:r w:rsidR="00221596" w:rsidRPr="00273106">
        <w:t xml:space="preserve">250, kdy Rufus </w:t>
      </w:r>
      <w:r w:rsidR="00CE0025">
        <w:t xml:space="preserve">začal </w:t>
      </w:r>
      <w:r w:rsidR="00221596" w:rsidRPr="00273106">
        <w:t>přednáše</w:t>
      </w:r>
      <w:r w:rsidR="00CE0025">
        <w:t>t</w:t>
      </w:r>
      <w:r w:rsidR="00221596" w:rsidRPr="00273106">
        <w:t xml:space="preserve"> Sentence v Oxfordu, lze považovat za oficiální </w:t>
      </w:r>
      <w:r w:rsidR="00A15CAA" w:rsidRPr="00273106">
        <w:t xml:space="preserve">datum vzniku </w:t>
      </w:r>
      <w:r w:rsidR="003C614D" w:rsidRPr="00857826">
        <w:rPr>
          <w:i/>
          <w:szCs w:val="24"/>
        </w:rPr>
        <w:t>via Modernorum</w:t>
      </w:r>
      <w:r w:rsidR="003C614D">
        <w:rPr>
          <w:i/>
          <w:szCs w:val="24"/>
        </w:rPr>
        <w:fldChar w:fldCharType="begin"/>
      </w:r>
      <w:r w:rsidR="003C614D">
        <w:instrText xml:space="preserve"> XE "</w:instrText>
      </w:r>
      <w:r w:rsidR="003C614D" w:rsidRPr="00781D5E">
        <w:rPr>
          <w:i/>
          <w:szCs w:val="24"/>
        </w:rPr>
        <w:instrText>via Modernorum</w:instrText>
      </w:r>
      <w:r w:rsidR="003C614D">
        <w:instrText xml:space="preserve">" </w:instrText>
      </w:r>
      <w:r w:rsidR="003C614D">
        <w:rPr>
          <w:i/>
          <w:szCs w:val="24"/>
        </w:rPr>
        <w:fldChar w:fldCharType="end"/>
      </w:r>
      <w:r w:rsidR="00221596" w:rsidRPr="00273106">
        <w:t xml:space="preserve">. Podle Bacona je Rufus přímým autorem </w:t>
      </w:r>
      <w:r w:rsidR="00F5366E">
        <w:t xml:space="preserve">fatálních </w:t>
      </w:r>
      <w:r w:rsidR="00221596" w:rsidRPr="00273106">
        <w:t>omylů, které osobně přivedl na svět během svého pobytu v Paříži (</w:t>
      </w:r>
      <w:r w:rsidR="00221596" w:rsidRPr="00273106">
        <w:rPr>
          <w:i/>
          <w:szCs w:val="15"/>
        </w:rPr>
        <w:t xml:space="preserve">reprobatus </w:t>
      </w:r>
      <w:r w:rsidR="00221596" w:rsidRPr="00273106">
        <w:rPr>
          <w:i/>
          <w:szCs w:val="14"/>
        </w:rPr>
        <w:t xml:space="preserve">Parisius </w:t>
      </w:r>
      <w:r w:rsidR="00221596" w:rsidRPr="00273106">
        <w:rPr>
          <w:i/>
          <w:szCs w:val="15"/>
        </w:rPr>
        <w:t xml:space="preserve">propter </w:t>
      </w:r>
      <w:r w:rsidR="00221596" w:rsidRPr="00273106">
        <w:rPr>
          <w:i/>
          <w:szCs w:val="14"/>
        </w:rPr>
        <w:t xml:space="preserve">errores </w:t>
      </w:r>
      <w:r w:rsidR="00221596" w:rsidRPr="00273106">
        <w:rPr>
          <w:i/>
          <w:szCs w:val="16"/>
        </w:rPr>
        <w:t xml:space="preserve">quos </w:t>
      </w:r>
      <w:r w:rsidR="00221596" w:rsidRPr="00273106">
        <w:rPr>
          <w:i/>
          <w:szCs w:val="14"/>
        </w:rPr>
        <w:t>invenerat</w:t>
      </w:r>
      <w:r w:rsidR="00221596" w:rsidRPr="00273106">
        <w:t xml:space="preserve">). </w:t>
      </w:r>
      <w:r w:rsidR="006D582D" w:rsidRPr="00273106">
        <w:t>Bacon připomíná, že Rufusovy teze byly odsouzeny řadou moudrých mužů, kteří jej považovali za zcela pomýleného (</w:t>
      </w:r>
      <w:r w:rsidR="006D582D" w:rsidRPr="00273106">
        <w:rPr>
          <w:i/>
        </w:rPr>
        <w:t xml:space="preserve">apud </w:t>
      </w:r>
      <w:r w:rsidR="006D582D" w:rsidRPr="00273106">
        <w:rPr>
          <w:i/>
          <w:szCs w:val="14"/>
        </w:rPr>
        <w:t xml:space="preserve">sapientes </w:t>
      </w:r>
      <w:r w:rsidR="006D582D" w:rsidRPr="00273106">
        <w:rPr>
          <w:i/>
          <w:szCs w:val="12"/>
        </w:rPr>
        <w:t xml:space="preserve">fuit </w:t>
      </w:r>
      <w:r w:rsidR="006D582D" w:rsidRPr="00273106">
        <w:rPr>
          <w:i/>
          <w:szCs w:val="14"/>
        </w:rPr>
        <w:t>insanus</w:t>
      </w:r>
      <w:r w:rsidR="006D582D" w:rsidRPr="00273106">
        <w:t xml:space="preserve">). </w:t>
      </w:r>
      <w:r w:rsidR="006D582D">
        <w:t xml:space="preserve">K těmto moudrým mužům zcela jistě patřil </w:t>
      </w:r>
      <w:r w:rsidR="006D582D" w:rsidRPr="00273106">
        <w:t>William z Auvergne, filosof, teolog, biskup a kritik latinských sofistů</w:t>
      </w:r>
      <w:r w:rsidR="085D1175">
        <w:t xml:space="preserve"> společně s Albertem Velikým</w:t>
      </w:r>
      <w:r w:rsidR="006D582D" w:rsidRPr="00273106">
        <w:t xml:space="preserve">. </w:t>
      </w:r>
      <w:r w:rsidR="006D582D">
        <w:t>Ru</w:t>
      </w:r>
      <w:r w:rsidR="005357BF">
        <w:t xml:space="preserve">fus a Kilwardby jistě patřili ke </w:t>
      </w:r>
      <w:r w:rsidR="006D582D">
        <w:t xml:space="preserve">skupině </w:t>
      </w:r>
      <w:r w:rsidR="006D582D" w:rsidRPr="00273106">
        <w:rPr>
          <w:i/>
        </w:rPr>
        <w:t>Latinorum</w:t>
      </w:r>
      <w:r w:rsidR="00F82DDC">
        <w:t>,</w:t>
      </w:r>
      <w:r w:rsidR="006D582D">
        <w:t xml:space="preserve"> kterou </w:t>
      </w:r>
      <w:r w:rsidR="005357BF">
        <w:t xml:space="preserve">Albert </w:t>
      </w:r>
      <w:r w:rsidR="006D582D">
        <w:t xml:space="preserve">znal ze studií v Paříži od </w:t>
      </w:r>
      <w:r w:rsidR="08197D79">
        <w:t xml:space="preserve">roku </w:t>
      </w:r>
      <w:r w:rsidR="006D582D">
        <w:t>1240</w:t>
      </w:r>
      <w:r w:rsidR="006D582D" w:rsidRPr="00273106">
        <w:t xml:space="preserve">. </w:t>
      </w:r>
      <w:r w:rsidR="00503283">
        <w:t xml:space="preserve">Hermeneutika </w:t>
      </w:r>
      <w:r w:rsidR="00520B72">
        <w:t xml:space="preserve">vyloží v následující kapitole </w:t>
      </w:r>
      <w:r w:rsidR="08197D79">
        <w:t>tyto „nejhorší a nejhloupější</w:t>
      </w:r>
      <w:r w:rsidR="08197D79" w:rsidRPr="00273106">
        <w:t xml:space="preserve"> o</w:t>
      </w:r>
      <w:r w:rsidR="08197D79">
        <w:t xml:space="preserve">myly“, </w:t>
      </w:r>
      <w:r w:rsidR="00503283">
        <w:t xml:space="preserve">které </w:t>
      </w:r>
      <w:r w:rsidR="000B7E26" w:rsidRPr="00273106">
        <w:t>Rufus přivedl na svět v Paříži během svého studijního pobytu</w:t>
      </w:r>
      <w:r w:rsidR="08D05C21">
        <w:t xml:space="preserve">. Jejich </w:t>
      </w:r>
      <w:r w:rsidR="08D553C0">
        <w:t>zkoum</w:t>
      </w:r>
      <w:r w:rsidR="08D05C21">
        <w:t xml:space="preserve">ání má zásadní význam, protože </w:t>
      </w:r>
      <w:r w:rsidR="08D553C0">
        <w:t xml:space="preserve">první pobyt Rufuse v Paříži </w:t>
      </w:r>
      <w:r w:rsidR="084270F4">
        <w:t xml:space="preserve">do roku 1250 </w:t>
      </w:r>
      <w:r w:rsidR="08D05C21">
        <w:t>založil</w:t>
      </w:r>
      <w:r w:rsidR="00503283">
        <w:t xml:space="preserve"> moderní objektivitu</w:t>
      </w:r>
      <w:r w:rsidR="00544731">
        <w:fldChar w:fldCharType="begin"/>
      </w:r>
      <w:r w:rsidR="00544731">
        <w:instrText xml:space="preserve"> XE "</w:instrText>
      </w:r>
      <w:r w:rsidR="00544731" w:rsidRPr="009C6C29">
        <w:instrText>druhý averroismus:vznik</w:instrText>
      </w:r>
      <w:r w:rsidR="00544731">
        <w:instrText xml:space="preserve">" </w:instrText>
      </w:r>
      <w:r w:rsidR="00544731">
        <w:fldChar w:fldCharType="end"/>
      </w:r>
      <w:r w:rsidR="00503283">
        <w:t xml:space="preserve">. Nové učení pak Rufus </w:t>
      </w:r>
      <w:r w:rsidR="000B7E26" w:rsidRPr="00273106">
        <w:t xml:space="preserve">dále přednášel ve funkci </w:t>
      </w:r>
      <w:r w:rsidR="00865F93" w:rsidRPr="00273106">
        <w:t xml:space="preserve">oxfordského </w:t>
      </w:r>
      <w:r w:rsidR="000B7E26" w:rsidRPr="00273106">
        <w:t>sentenciáře</w:t>
      </w:r>
      <w:r w:rsidR="00865F93" w:rsidRPr="00273106">
        <w:t xml:space="preserve"> </w:t>
      </w:r>
      <w:r w:rsidR="008B7B5A">
        <w:t xml:space="preserve">(po 1250) </w:t>
      </w:r>
      <w:r w:rsidR="00865F93" w:rsidRPr="00273106">
        <w:t xml:space="preserve">a </w:t>
      </w:r>
      <w:r w:rsidR="009A11E3" w:rsidRPr="00273106">
        <w:t xml:space="preserve">později i </w:t>
      </w:r>
      <w:r w:rsidR="00865F93" w:rsidRPr="00273106">
        <w:t>pařížského magistra</w:t>
      </w:r>
      <w:r w:rsidR="00B10F18">
        <w:t xml:space="preserve"> a regenta </w:t>
      </w:r>
      <w:r w:rsidR="005940EB">
        <w:t xml:space="preserve">zdejší </w:t>
      </w:r>
      <w:r w:rsidR="00B10F18">
        <w:t>františkánské koleje</w:t>
      </w:r>
      <w:r w:rsidR="008B7B5A">
        <w:t xml:space="preserve"> (</w:t>
      </w:r>
      <w:r w:rsidR="008B7B5A" w:rsidRPr="00273106">
        <w:t>1253‒55</w:t>
      </w:r>
      <w:r w:rsidR="008B7B5A">
        <w:t>)</w:t>
      </w:r>
      <w:r w:rsidR="00B10F18">
        <w:t xml:space="preserve">. </w:t>
      </w:r>
      <w:r w:rsidR="00D5689C">
        <w:t xml:space="preserve">A to je přesně doba, kdy vypuká zásadní spor mezi světskými magistry na </w:t>
      </w:r>
      <w:r w:rsidR="087E44B6">
        <w:t>Rue du Fouarre</w:t>
      </w:r>
      <w:r w:rsidR="00D5689C">
        <w:t xml:space="preserve"> a jejich mendika</w:t>
      </w:r>
      <w:r w:rsidR="00C01EA2">
        <w:t>n</w:t>
      </w:r>
      <w:r w:rsidR="00D5689C">
        <w:t>tskými protějšky</w:t>
      </w:r>
      <w:r w:rsidR="084A69F8">
        <w:t xml:space="preserve"> (kap. 3</w:t>
      </w:r>
      <w:r w:rsidR="08D553C0">
        <w:t>.3.2)</w:t>
      </w:r>
      <w:r w:rsidR="00D5689C">
        <w:t xml:space="preserve">. </w:t>
      </w:r>
      <w:r w:rsidR="00221596" w:rsidRPr="00273106">
        <w:t xml:space="preserve">Bacon </w:t>
      </w:r>
      <w:r w:rsidR="00203D84">
        <w:t xml:space="preserve">velice </w:t>
      </w:r>
      <w:r w:rsidR="007D7C2D">
        <w:t xml:space="preserve">dobře </w:t>
      </w:r>
      <w:r w:rsidR="00114E9C">
        <w:t>věděl, o čem mluví. J</w:t>
      </w:r>
      <w:r w:rsidR="00221596" w:rsidRPr="00273106">
        <w:t>eho první pobyt na univerzitě v Paříži je dol</w:t>
      </w:r>
      <w:r w:rsidR="08A56EDE">
        <w:t>ožen kolem 1237‒</w:t>
      </w:r>
      <w:r w:rsidR="00221596" w:rsidRPr="00273106">
        <w:t>47, kdy zde působil i Rufus, Kilwardby a Albert Veliký.</w:t>
      </w:r>
      <w:r w:rsidR="00AE5AA5" w:rsidRPr="00273106">
        <w:rPr>
          <w:rStyle w:val="Znakapoznpodarou"/>
          <w:szCs w:val="13"/>
        </w:rPr>
        <w:footnoteReference w:id="368"/>
      </w:r>
      <w:r w:rsidR="00221596" w:rsidRPr="00273106">
        <w:t xml:space="preserve"> Navíc je dnes potvrzena věrohodnost </w:t>
      </w:r>
      <w:r w:rsidR="00BA77FE">
        <w:t xml:space="preserve">Baconových </w:t>
      </w:r>
      <w:r w:rsidR="00221596" w:rsidRPr="00273106">
        <w:t xml:space="preserve">poznámek ke sporům </w:t>
      </w:r>
      <w:r w:rsidR="0820512A">
        <w:t xml:space="preserve">roku </w:t>
      </w:r>
      <w:r w:rsidR="00221596" w:rsidRPr="00273106">
        <w:t>1270</w:t>
      </w:r>
      <w:r w:rsidR="0820512A">
        <w:t>‒77</w:t>
      </w:r>
      <w:r w:rsidR="00221596" w:rsidRPr="00273106">
        <w:t xml:space="preserve">, viz rozbor </w:t>
      </w:r>
      <w:r w:rsidR="007D7C2D">
        <w:t>jeho spisu</w:t>
      </w:r>
      <w:r w:rsidR="00221596" w:rsidRPr="00273106">
        <w:t xml:space="preserve"> </w:t>
      </w:r>
      <w:r w:rsidR="00221596" w:rsidRPr="00273106">
        <w:rPr>
          <w:i/>
        </w:rPr>
        <w:t>Communia naturalium</w:t>
      </w:r>
      <w:r w:rsidR="00221596" w:rsidRPr="00273106">
        <w:rPr>
          <w:sz w:val="20"/>
        </w:rPr>
        <w:t xml:space="preserve"> </w:t>
      </w:r>
      <w:r w:rsidR="00221596" w:rsidRPr="00273106">
        <w:t xml:space="preserve">(Hackett 1997a). Místo komentářů </w:t>
      </w:r>
      <w:r w:rsidR="00221596" w:rsidRPr="00273106">
        <w:rPr>
          <w:i/>
        </w:rPr>
        <w:t>ad hominem</w:t>
      </w:r>
      <w:r w:rsidR="00E337D4" w:rsidRPr="00273106">
        <w:t xml:space="preserve"> </w:t>
      </w:r>
      <w:r w:rsidR="00221596" w:rsidRPr="00273106">
        <w:t xml:space="preserve">věnovaných Baconově temperamentu je třeba analyzovat </w:t>
      </w:r>
      <w:r w:rsidR="00B61D02" w:rsidRPr="00273106">
        <w:t>filosofické zázemí jeho kritiky</w:t>
      </w:r>
      <w:r w:rsidR="00AB1EFF" w:rsidRPr="00273106">
        <w:t>.</w:t>
      </w:r>
      <w:r w:rsidR="00465F98" w:rsidRPr="00273106">
        <w:t xml:space="preserve"> </w:t>
      </w:r>
      <w:r w:rsidR="00221596" w:rsidRPr="00273106">
        <w:t xml:space="preserve">Aristotelik Bacon ve shodě s tehdejšími pařížskými magistry </w:t>
      </w:r>
      <w:r w:rsidR="00084F57" w:rsidRPr="00273106">
        <w:t>prv</w:t>
      </w:r>
      <w:r w:rsidR="08CF2D51" w:rsidRPr="00273106">
        <w:t xml:space="preserve">ního averroismu </w:t>
      </w:r>
      <w:r w:rsidR="00221596" w:rsidRPr="00273106">
        <w:t xml:space="preserve">považoval </w:t>
      </w:r>
      <w:r w:rsidR="00541F41">
        <w:t>Rufusovu nauku za šílenou</w:t>
      </w:r>
      <w:r w:rsidR="00221596" w:rsidRPr="00273106">
        <w:t xml:space="preserve"> (</w:t>
      </w:r>
      <w:r w:rsidR="00221596" w:rsidRPr="00273106">
        <w:rPr>
          <w:i/>
        </w:rPr>
        <w:t>insanus</w:t>
      </w:r>
      <w:r w:rsidR="00221596" w:rsidRPr="00273106">
        <w:t xml:space="preserve">), i když měla značný úspěch mezi </w:t>
      </w:r>
      <w:r w:rsidR="00D03E3F">
        <w:t>ne</w:t>
      </w:r>
      <w:r w:rsidR="00221596" w:rsidRPr="00273106">
        <w:t xml:space="preserve">vzdělanými pařížskými </w:t>
      </w:r>
      <w:r w:rsidR="00D03E3F">
        <w:t>studenty</w:t>
      </w:r>
      <w:r w:rsidR="00263EFA">
        <w:t>.</w:t>
      </w:r>
    </w:p>
    <w:p w14:paraId="64B914C0" w14:textId="2C23A852" w:rsidR="08DD7391" w:rsidRDefault="00221596" w:rsidP="007E65A5">
      <w:pPr>
        <w:ind w:firstLine="397"/>
      </w:pPr>
      <w:r w:rsidRPr="00273106">
        <w:t xml:space="preserve">Bacon naráží na Rufusovy spory na Pařížské univerzitě, které lze považovat za </w:t>
      </w:r>
      <w:r w:rsidRPr="00273106">
        <w:rPr>
          <w:i/>
        </w:rPr>
        <w:t>terminus</w:t>
      </w:r>
      <w:r w:rsidR="009E67A2">
        <w:rPr>
          <w:i/>
        </w:rPr>
        <w:fldChar w:fldCharType="begin"/>
      </w:r>
      <w:r w:rsidR="009E67A2">
        <w:instrText xml:space="preserve"> XE "</w:instrText>
      </w:r>
      <w:r w:rsidR="009E67A2" w:rsidRPr="00F1366A">
        <w:rPr>
          <w:i/>
          <w:color w:val="000000"/>
        </w:rPr>
        <w:instrText>terminus</w:instrText>
      </w:r>
      <w:r w:rsidR="009E67A2">
        <w:instrText xml:space="preserve">" </w:instrText>
      </w:r>
      <w:r w:rsidR="009E67A2">
        <w:rPr>
          <w:i/>
        </w:rPr>
        <w:fldChar w:fldCharType="end"/>
      </w:r>
      <w:r w:rsidRPr="00273106">
        <w:rPr>
          <w:i/>
        </w:rPr>
        <w:t xml:space="preserve"> post quem </w:t>
      </w:r>
      <w:r w:rsidRPr="00273106">
        <w:t>sporu o výklad Aristotelova korpusu</w:t>
      </w:r>
      <w:r w:rsidR="00F3706E">
        <w:t xml:space="preserve"> mezi prvním a druhým averroismem</w:t>
      </w:r>
      <w:r w:rsidRPr="00273106">
        <w:t xml:space="preserve">. Albert Veliký opakuje vehementní kritiku na adresu pochybně vyučených latiníků kolem 1255, když píše komentář k </w:t>
      </w:r>
      <w:r w:rsidR="00B713C5">
        <w:rPr>
          <w:i/>
        </w:rPr>
        <w:t>De anima</w:t>
      </w:r>
      <w:r w:rsidRPr="00273106">
        <w:t xml:space="preserve"> a kdy zahajuje monumentální výklad </w:t>
      </w:r>
      <w:r w:rsidRPr="00273106">
        <w:rPr>
          <w:i/>
        </w:rPr>
        <w:lastRenderedPageBreak/>
        <w:t>Corpus Aristotelicum</w:t>
      </w:r>
      <w:r w:rsidR="08CB7352">
        <w:t xml:space="preserve"> (kap. 2</w:t>
      </w:r>
      <w:r w:rsidR="008B345B" w:rsidRPr="00273106">
        <w:t>.4</w:t>
      </w:r>
      <w:r w:rsidRPr="00273106">
        <w:t xml:space="preserve">.3). Stejná situace se opakuje o dvě desetiletí později, což dokazují závěrečná slova Tomáše Akvinského v jeho polemickém traktátu </w:t>
      </w:r>
      <w:r w:rsidR="00D24335" w:rsidRPr="00273106">
        <w:rPr>
          <w:i/>
        </w:rPr>
        <w:t>De unitate intellectus</w:t>
      </w:r>
      <w:r w:rsidR="00B74D45" w:rsidRPr="00273106">
        <w:t xml:space="preserve"> </w:t>
      </w:r>
      <w:r w:rsidR="001E6345">
        <w:t xml:space="preserve">(1270) </w:t>
      </w:r>
      <w:r w:rsidRPr="00273106">
        <w:t xml:space="preserve">proti </w:t>
      </w:r>
      <w:r w:rsidR="08231EB4">
        <w:t xml:space="preserve">další </w:t>
      </w:r>
      <w:r w:rsidRPr="00273106">
        <w:t xml:space="preserve">vlně </w:t>
      </w:r>
      <w:r w:rsidR="08231EB4">
        <w:t xml:space="preserve">moderních </w:t>
      </w:r>
      <w:r w:rsidR="001E6345">
        <w:t xml:space="preserve">nominalistů </w:t>
      </w:r>
      <w:r w:rsidRPr="00273106">
        <w:t>(</w:t>
      </w:r>
      <w:r w:rsidRPr="00273106">
        <w:rPr>
          <w:i/>
        </w:rPr>
        <w:t>de falsi nominis scientia</w:t>
      </w:r>
      <w:r w:rsidR="001E6345">
        <w:t>)</w:t>
      </w:r>
      <w:r w:rsidRPr="00273106">
        <w:t>. Akvinský zaměřil traktát proti nejmenovanému</w:t>
      </w:r>
      <w:r w:rsidR="00D16971">
        <w:t xml:space="preserve"> pařížskému magistrovi, který </w:t>
      </w:r>
      <w:r w:rsidRPr="00273106">
        <w:t>sebevědomě vystupuje před filosofickými nedouky neschopnými posoudit tak složité otázky (</w:t>
      </w:r>
      <w:r w:rsidRPr="00273106">
        <w:rPr>
          <w:i/>
        </w:rPr>
        <w:t>coram pueris qui nesciunt de tam arduis iudicare</w:t>
      </w:r>
      <w:r w:rsidR="00563801">
        <w:t xml:space="preserve">; </w:t>
      </w:r>
      <w:r w:rsidR="00660AEA" w:rsidRPr="00660AEA">
        <w:t xml:space="preserve">ed. Leonina 43, </w:t>
      </w:r>
      <w:r w:rsidR="00374544">
        <w:t xml:space="preserve">p. </w:t>
      </w:r>
      <w:r w:rsidR="088A3C6C">
        <w:t>314.436</w:t>
      </w:r>
      <w:r w:rsidR="00544731">
        <w:fldChar w:fldCharType="begin"/>
      </w:r>
      <w:r w:rsidR="00544731">
        <w:instrText xml:space="preserve"> XE "Akvinský:</w:instrText>
      </w:r>
      <w:r w:rsidR="00544731" w:rsidRPr="00544731">
        <w:rPr>
          <w:i/>
        </w:rPr>
        <w:instrText>De unitate intellectus</w:instrText>
      </w:r>
      <w:r w:rsidR="08EE7F2F">
        <w:rPr>
          <w:i/>
        </w:rPr>
        <w:instrText xml:space="preserve"> </w:instrText>
      </w:r>
      <w:r w:rsidR="08EE7F2F">
        <w:instrText>314.436</w:instrText>
      </w:r>
      <w:r w:rsidR="00544731">
        <w:instrText xml:space="preserve">" </w:instrText>
      </w:r>
      <w:r w:rsidR="00544731">
        <w:fldChar w:fldCharType="end"/>
      </w:r>
      <w:r w:rsidRPr="00273106">
        <w:t>). Akvinsk</w:t>
      </w:r>
      <w:r w:rsidR="00085816">
        <w:t>ého k</w:t>
      </w:r>
      <w:r w:rsidR="00895D8E">
        <w:t xml:space="preserve">ritika už </w:t>
      </w:r>
      <w:r w:rsidR="00085816">
        <w:t>ne</w:t>
      </w:r>
      <w:r w:rsidR="00895D8E">
        <w:t>míři</w:t>
      </w:r>
      <w:r w:rsidR="00085816">
        <w:t>la</w:t>
      </w:r>
      <w:r w:rsidR="00895D8E">
        <w:t xml:space="preserve"> </w:t>
      </w:r>
      <w:r w:rsidR="08AC2B0A">
        <w:t xml:space="preserve">jen </w:t>
      </w:r>
      <w:r w:rsidR="00895D8E">
        <w:t xml:space="preserve">na </w:t>
      </w:r>
      <w:r w:rsidR="00D16971">
        <w:t>Rufus</w:t>
      </w:r>
      <w:r w:rsidR="00895D8E">
        <w:t>e</w:t>
      </w:r>
      <w:r w:rsidR="00FB118D">
        <w:t xml:space="preserve"> nebo Bonaventuru</w:t>
      </w:r>
      <w:r w:rsidR="00D16971">
        <w:t xml:space="preserve">, ale </w:t>
      </w:r>
      <w:r w:rsidR="00FB118D">
        <w:t>na jejich</w:t>
      </w:r>
      <w:r w:rsidR="00895D8E">
        <w:t xml:space="preserve"> </w:t>
      </w:r>
      <w:r w:rsidR="00E030A9">
        <w:t xml:space="preserve">pařížské </w:t>
      </w:r>
      <w:r w:rsidR="00895D8E">
        <w:t>následovníky ze školy</w:t>
      </w:r>
      <w:r w:rsidR="00D16971">
        <w:t xml:space="preserve"> druhé</w:t>
      </w:r>
      <w:r w:rsidR="00895D8E">
        <w:t>ho averroi</w:t>
      </w:r>
      <w:r w:rsidR="00D16971">
        <w:t>s</w:t>
      </w:r>
      <w:r w:rsidR="00895D8E">
        <w:t>m</w:t>
      </w:r>
      <w:r w:rsidR="00D16971">
        <w:t>u</w:t>
      </w:r>
      <w:r w:rsidR="08074CFA">
        <w:t xml:space="preserve">, což byl </w:t>
      </w:r>
      <w:r w:rsidR="004315AB">
        <w:t>Pecham</w:t>
      </w:r>
      <w:r w:rsidR="08AC2B0A">
        <w:t xml:space="preserve"> jako magistr regens</w:t>
      </w:r>
      <w:r w:rsidR="00895D8E">
        <w:t xml:space="preserve">. </w:t>
      </w:r>
      <w:r w:rsidR="001E5B05">
        <w:t xml:space="preserve">Akademičtí reprezentanti </w:t>
      </w:r>
      <w:r w:rsidR="001E5B05" w:rsidRPr="001E5B05">
        <w:rPr>
          <w:i/>
        </w:rPr>
        <w:t>Modernorum</w:t>
      </w:r>
      <w:r w:rsidR="001E5B05">
        <w:t xml:space="preserve"> </w:t>
      </w:r>
      <w:r w:rsidR="00895D8E">
        <w:rPr>
          <w:szCs w:val="16"/>
        </w:rPr>
        <w:t>působili v Paříži</w:t>
      </w:r>
      <w:r w:rsidR="00895D8E" w:rsidRPr="00273106">
        <w:t xml:space="preserve"> </w:t>
      </w:r>
      <w:r w:rsidR="083A038E">
        <w:t xml:space="preserve">okolo roku 1270 </w:t>
      </w:r>
      <w:r w:rsidR="00D16971" w:rsidRPr="00273106">
        <w:t xml:space="preserve">podobně </w:t>
      </w:r>
      <w:r w:rsidR="00791108">
        <w:t xml:space="preserve">problematicky </w:t>
      </w:r>
      <w:r w:rsidR="00D16971" w:rsidRPr="00273106">
        <w:t xml:space="preserve">jako za časů </w:t>
      </w:r>
      <w:r w:rsidR="001E5B05">
        <w:t xml:space="preserve">Alvernových současníků zvaných </w:t>
      </w:r>
      <w:r w:rsidR="00D16971" w:rsidRPr="00273106">
        <w:rPr>
          <w:i/>
        </w:rPr>
        <w:t>sophistae Latini</w:t>
      </w:r>
      <w:r w:rsidR="005109BC">
        <w:rPr>
          <w:i/>
        </w:rPr>
        <w:fldChar w:fldCharType="begin"/>
      </w:r>
      <w:r w:rsidR="005109BC">
        <w:instrText xml:space="preserve"> XE "</w:instrText>
      </w:r>
      <w:r w:rsidR="00E030A9">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6F451E">
        <w:t xml:space="preserve">, či Rufusovy famóznosti </w:t>
      </w:r>
      <w:r w:rsidR="00D16971" w:rsidRPr="00273106">
        <w:rPr>
          <w:i/>
        </w:rPr>
        <w:t xml:space="preserve">apud </w:t>
      </w:r>
      <w:r w:rsidR="00D16971" w:rsidRPr="00273106">
        <w:rPr>
          <w:i/>
          <w:szCs w:val="15"/>
        </w:rPr>
        <w:t xml:space="preserve">stultam </w:t>
      </w:r>
      <w:r w:rsidR="00D16971" w:rsidRPr="00273106">
        <w:rPr>
          <w:i/>
          <w:szCs w:val="16"/>
        </w:rPr>
        <w:t>multitudinem</w:t>
      </w:r>
      <w:r w:rsidR="00D16971">
        <w:rPr>
          <w:szCs w:val="16"/>
        </w:rPr>
        <w:t xml:space="preserve">. </w:t>
      </w:r>
      <w:r w:rsidR="00791108">
        <w:rPr>
          <w:szCs w:val="16"/>
        </w:rPr>
        <w:t>A poražený modernista Pecham také musel odejít z Paříže do Oxfordu v roce 1271 stejně jako před ním Rufus</w:t>
      </w:r>
      <w:r w:rsidR="00C27763">
        <w:rPr>
          <w:szCs w:val="16"/>
        </w:rPr>
        <w:t xml:space="preserve"> </w:t>
      </w:r>
      <w:r w:rsidR="00931D67">
        <w:rPr>
          <w:szCs w:val="16"/>
        </w:rPr>
        <w:t xml:space="preserve">odešel </w:t>
      </w:r>
      <w:r w:rsidR="00C27763">
        <w:rPr>
          <w:szCs w:val="16"/>
        </w:rPr>
        <w:t>nejpozději roku 1250</w:t>
      </w:r>
      <w:r w:rsidR="00791108">
        <w:rPr>
          <w:szCs w:val="16"/>
        </w:rPr>
        <w:t xml:space="preserve">. </w:t>
      </w:r>
      <w:r w:rsidRPr="00273106">
        <w:t>A podobných výpadů proti novému druhu sofistů by se v této době našlo více, viz např. Gerard z Abbeville, Nicolas z</w:t>
      </w:r>
      <w:r w:rsidR="007B433D" w:rsidRPr="00273106">
        <w:t xml:space="preserve"> Lisieux (Libera</w:t>
      </w:r>
      <w:r w:rsidR="080D19BC">
        <w:t xml:space="preserve"> 2004, 522). T</w:t>
      </w:r>
      <w:r w:rsidR="00EB1547">
        <w:t xml:space="preserve">ito sekulární magistři </w:t>
      </w:r>
      <w:r w:rsidR="00B66984">
        <w:t xml:space="preserve">z </w:t>
      </w:r>
      <w:r w:rsidR="087E44B6">
        <w:t>Rue du Fouarre</w:t>
      </w:r>
      <w:r w:rsidR="00B66984">
        <w:t xml:space="preserve"> </w:t>
      </w:r>
      <w:r w:rsidR="00EB1547">
        <w:t xml:space="preserve">stáli v čele tažení proti mendikantským modernistům. </w:t>
      </w:r>
      <w:r w:rsidR="007B433D" w:rsidRPr="00273106">
        <w:t>P</w:t>
      </w:r>
      <w:r w:rsidRPr="00273106">
        <w:t>odobné omyly destruující jednotu filosofie a teologie (</w:t>
      </w:r>
      <w:r w:rsidRPr="00273106">
        <w:rPr>
          <w:i/>
        </w:rPr>
        <w:t>quasi sint due contrarie veritates</w:t>
      </w:r>
      <w:r w:rsidRPr="00273106">
        <w:t>)</w:t>
      </w:r>
      <w:r w:rsidR="00344488">
        <w:fldChar w:fldCharType="begin"/>
      </w:r>
      <w:r w:rsidR="00344488">
        <w:instrText xml:space="preserve"> XE "</w:instrText>
      </w:r>
      <w:r w:rsidR="00344488" w:rsidRPr="00EB6990">
        <w:instrText>teorie dvojí pravdy</w:instrText>
      </w:r>
      <w:r w:rsidR="00344488">
        <w:instrText xml:space="preserve">" </w:instrText>
      </w:r>
      <w:r w:rsidR="00344488">
        <w:fldChar w:fldCharType="end"/>
      </w:r>
      <w:r w:rsidRPr="00273106">
        <w:t xml:space="preserve"> převzali </w:t>
      </w:r>
      <w:r w:rsidR="00DC57B3">
        <w:t>„</w:t>
      </w:r>
      <w:r w:rsidRPr="00273106">
        <w:t>mnozí studenti na artistické fakultě Pařížské univerzity</w:t>
      </w:r>
      <w:r w:rsidR="00DC57B3">
        <w:t>“</w:t>
      </w:r>
      <w:r w:rsidRPr="00273106">
        <w:t xml:space="preserve"> (</w:t>
      </w:r>
      <w:r w:rsidRPr="00273106">
        <w:rPr>
          <w:i/>
          <w:iCs/>
        </w:rPr>
        <w:t>nonnulli parisius studentes in artibus</w:t>
      </w:r>
      <w:r w:rsidR="002C3F59">
        <w:t xml:space="preserve">). Tak začíná </w:t>
      </w:r>
      <w:r w:rsidR="00F57599">
        <w:t>úvod známého o</w:t>
      </w:r>
      <w:r w:rsidRPr="00273106">
        <w:t>dsouzení 219 omylů od pařížského biskupa Etienna ze 7. března 1277</w:t>
      </w:r>
      <w:r w:rsidR="00344488">
        <w:fldChar w:fldCharType="begin"/>
      </w:r>
      <w:r w:rsidR="00344488">
        <w:instrText xml:space="preserve"> XE "</w:instrText>
      </w:r>
      <w:r w:rsidR="00344488" w:rsidRPr="005B56A1">
        <w:instrText>odsouzení 1277</w:instrText>
      </w:r>
      <w:r w:rsidR="00344488">
        <w:instrText xml:space="preserve">" </w:instrText>
      </w:r>
      <w:r w:rsidR="00344488">
        <w:fldChar w:fldCharType="end"/>
      </w:r>
      <w:r w:rsidRPr="00273106">
        <w:t xml:space="preserve">. </w:t>
      </w:r>
      <w:r w:rsidR="00F363B2">
        <w:t xml:space="preserve">Rozhodnutí biskupa Étienna bylo provedeno přímo v ukázkovém modu moderní sofistiky vedené </w:t>
      </w:r>
      <w:r w:rsidR="007E65A5">
        <w:t xml:space="preserve">akademickými </w:t>
      </w:r>
      <w:r w:rsidR="00F363B2">
        <w:t>Fúriemi v modu „</w:t>
      </w:r>
      <w:r w:rsidR="00F363B2" w:rsidRPr="00F363B2">
        <w:rPr>
          <w:i/>
        </w:rPr>
        <w:t>Verkehrung ins Gegenteil</w:t>
      </w:r>
      <w:r w:rsidR="00F363B2">
        <w:t xml:space="preserve">“. Pokud u artistů na rue de Fouarre byli modernisté, tak by neudělali ani první zkoušku z interpretace spisu </w:t>
      </w:r>
      <w:r w:rsidR="00F363B2" w:rsidRPr="00F363B2">
        <w:rPr>
          <w:i/>
        </w:rPr>
        <w:t>De anima</w:t>
      </w:r>
      <w:r w:rsidR="00F363B2">
        <w:t xml:space="preserve">, který museli povinně znát podle sicilského výkladu CMDA. </w:t>
      </w:r>
      <w:r w:rsidR="007E65A5">
        <w:t xml:space="preserve">Zato na mendikatské fakultě u modernistů se učily podle Bacona doslova „šílené“ nauky, z nichž byla ovšem obviněna škola prvního averroismu. Jak je vidět, zmanipulovaný proces prvních nominalistických modernistů s aristotelským Abélardem našel další </w:t>
      </w:r>
      <w:r w:rsidR="00F57599">
        <w:t>pokračování, zcela d</w:t>
      </w:r>
      <w:r w:rsidR="007E65A5">
        <w:t>ůstojné</w:t>
      </w:r>
      <w:r w:rsidR="00F57599">
        <w:t xml:space="preserve"> v rámci školy </w:t>
      </w:r>
      <w:r w:rsidR="00F57599" w:rsidRPr="000A36F7">
        <w:rPr>
          <w:i/>
          <w:szCs w:val="24"/>
        </w:rPr>
        <w:t>sophistae Latini</w:t>
      </w:r>
      <w:r w:rsidR="007E65A5">
        <w:t xml:space="preserve">. </w:t>
      </w:r>
      <w:r w:rsidRPr="00273106">
        <w:t xml:space="preserve">A připomeňme původní zdroj tohoto „šílenství“, které poprvé zaznamenalo dílo </w:t>
      </w:r>
      <w:r w:rsidRPr="00273106">
        <w:rPr>
          <w:i/>
        </w:rPr>
        <w:t>Fons philosophiae</w:t>
      </w:r>
      <w:r w:rsidR="0028404F">
        <w:t xml:space="preserve"> paro</w:t>
      </w:r>
      <w:r w:rsidRPr="00273106">
        <w:t xml:space="preserve">dující pojetí světa předkládaného školou </w:t>
      </w:r>
      <w:r w:rsidRPr="00550FDB">
        <w:rPr>
          <w:i/>
        </w:rPr>
        <w:t>Nominales</w:t>
      </w:r>
      <w:r w:rsidRPr="00273106">
        <w:t xml:space="preserve"> (</w:t>
      </w:r>
      <w:r w:rsidRPr="00273106">
        <w:rPr>
          <w:i/>
        </w:rPr>
        <w:t xml:space="preserve">solus hoc crediderit mentis alienus, </w:t>
      </w:r>
      <w:r w:rsidR="08CB7352">
        <w:t>kap. 1</w:t>
      </w:r>
      <w:r w:rsidR="000F00B6" w:rsidRPr="00273106">
        <w:t>.6</w:t>
      </w:r>
      <w:r w:rsidR="004F53C6" w:rsidRPr="00273106">
        <w:t>).</w:t>
      </w:r>
      <w:r w:rsidR="08C25C91" w:rsidRPr="00273106">
        <w:t xml:space="preserve"> </w:t>
      </w:r>
      <w:r w:rsidR="00A34809">
        <w:t xml:space="preserve">Je třeba projít </w:t>
      </w:r>
      <w:r w:rsidR="08117AF4">
        <w:t xml:space="preserve">hlavní zdroj </w:t>
      </w:r>
      <w:r w:rsidR="08992F9D">
        <w:t xml:space="preserve">akademického </w:t>
      </w:r>
      <w:r w:rsidR="08117AF4">
        <w:t xml:space="preserve">zděšení </w:t>
      </w:r>
      <w:r w:rsidR="08992F9D">
        <w:t xml:space="preserve">z </w:t>
      </w:r>
      <w:r w:rsidR="08710E9A">
        <w:t xml:space="preserve">chaotických </w:t>
      </w:r>
      <w:r w:rsidR="08992F9D">
        <w:t>modernistů</w:t>
      </w:r>
      <w:r w:rsidR="00A34809">
        <w:t>. Škola</w:t>
      </w:r>
      <w:r w:rsidR="08992F9D">
        <w:t xml:space="preserve"> </w:t>
      </w:r>
      <w:r w:rsidR="08117AF4">
        <w:t>znalců</w:t>
      </w:r>
      <w:r w:rsidRPr="00273106">
        <w:t xml:space="preserve"> </w:t>
      </w:r>
      <w:r w:rsidR="002E3B62">
        <w:t>Averroes</w:t>
      </w:r>
      <w:r w:rsidRPr="00273106">
        <w:t>e z pr</w:t>
      </w:r>
      <w:r w:rsidR="08117AF4">
        <w:t>vní vlny latinského averroismu</w:t>
      </w:r>
      <w:r w:rsidR="00A34809">
        <w:t xml:space="preserve"> je odmítala po celou jednu dekádu</w:t>
      </w:r>
      <w:r w:rsidR="08117AF4">
        <w:t xml:space="preserve">. </w:t>
      </w:r>
      <w:r w:rsidRPr="00273106">
        <w:t>Rufus a někteří j</w:t>
      </w:r>
      <w:r w:rsidR="00776E2D" w:rsidRPr="00273106">
        <w:t xml:space="preserve">eho současníci jako Adam z Buckfieldu </w:t>
      </w:r>
      <w:r w:rsidR="00434756" w:rsidRPr="00273106">
        <w:t xml:space="preserve">a Kilwardby </w:t>
      </w:r>
      <w:r w:rsidRPr="00273106">
        <w:t xml:space="preserve">se </w:t>
      </w:r>
      <w:r w:rsidRPr="00273106">
        <w:lastRenderedPageBreak/>
        <w:t>verbálně přihlásili k Aristotelovu schématu poznání determinovaného reálně existující první substancí. Ale do aristotelismu daného</w:t>
      </w:r>
      <w:r w:rsidR="00232AC4" w:rsidRPr="00273106">
        <w:t xml:space="preserve"> </w:t>
      </w:r>
      <w:r w:rsidRPr="00273106">
        <w:t xml:space="preserve">skrze </w:t>
      </w:r>
      <w:r w:rsidR="002E3B62">
        <w:t>Averroes</w:t>
      </w:r>
      <w:r w:rsidRPr="00273106">
        <w:t xml:space="preserve">ovy komentáře </w:t>
      </w:r>
      <w:r w:rsidR="081430BF">
        <w:t xml:space="preserve">přidali </w:t>
      </w:r>
      <w:r w:rsidR="08815318">
        <w:t xml:space="preserve">během svého studijního pobytu v Paříži </w:t>
      </w:r>
      <w:r w:rsidR="00874074">
        <w:t>neoplatonsk</w:t>
      </w:r>
      <w:r w:rsidRPr="00273106">
        <w:t xml:space="preserve">ou metafyziku </w:t>
      </w:r>
      <w:r w:rsidRPr="00273106">
        <w:rPr>
          <w:i/>
        </w:rPr>
        <w:t>Nominales</w:t>
      </w:r>
      <w:r w:rsidRPr="00273106">
        <w:t xml:space="preserve"> a univoční logiku</w:t>
      </w:r>
      <w:r w:rsidRPr="00273106">
        <w:rPr>
          <w:i/>
        </w:rPr>
        <w:t xml:space="preserve"> Modernorum</w:t>
      </w:r>
      <w:r w:rsidRPr="00273106">
        <w:t xml:space="preserve"> </w:t>
      </w:r>
      <w:r w:rsidR="00DD37F6">
        <w:t xml:space="preserve">a celý zmatek korunovali zavedením </w:t>
      </w:r>
      <w:r w:rsidR="0844229D">
        <w:t>univerzálního hylemorfismu. T</w:t>
      </w:r>
      <w:r w:rsidR="089C0A0D">
        <w:t xml:space="preserve">akový sofistický mix se </w:t>
      </w:r>
      <w:r w:rsidRPr="00273106">
        <w:t xml:space="preserve">neodvážil </w:t>
      </w:r>
      <w:r w:rsidR="089C0A0D">
        <w:t xml:space="preserve">vytvořit </w:t>
      </w:r>
      <w:r w:rsidRPr="00273106">
        <w:t xml:space="preserve">žádný umírněný avicennista typu </w:t>
      </w:r>
      <w:r w:rsidR="005772F8" w:rsidRPr="00273106">
        <w:t xml:space="preserve">Filipa </w:t>
      </w:r>
      <w:r w:rsidRPr="00273106">
        <w:t>Kan</w:t>
      </w:r>
      <w:r w:rsidR="088F3E30" w:rsidRPr="00273106">
        <w:t xml:space="preserve">cléře </w:t>
      </w:r>
      <w:r w:rsidR="008B6A28">
        <w:fldChar w:fldCharType="begin"/>
      </w:r>
      <w:r w:rsidR="008B6A28">
        <w:instrText xml:space="preserve"> XE "</w:instrText>
      </w:r>
      <w:r w:rsidR="00FA3CB1" w:rsidRPr="00164CDE">
        <w:instrText xml:space="preserve">Filip </w:instrText>
      </w:r>
      <w:r w:rsidR="00FA3CB1">
        <w:instrText>Kancléř</w:instrText>
      </w:r>
      <w:r w:rsidR="008B6A28">
        <w:instrText xml:space="preserve">" </w:instrText>
      </w:r>
      <w:r w:rsidR="008B6A28">
        <w:fldChar w:fldCharType="end"/>
      </w:r>
      <w:r w:rsidR="088F3E30" w:rsidRPr="00273106">
        <w:t>nebo Alexandra</w:t>
      </w:r>
      <w:r w:rsidR="003A1E8C">
        <w:fldChar w:fldCharType="begin"/>
      </w:r>
      <w:r w:rsidR="003A1E8C">
        <w:instrText xml:space="preserve"> XE "</w:instrText>
      </w:r>
      <w:r w:rsidR="008B6A28">
        <w:instrText>Alexander, Halský</w:instrText>
      </w:r>
      <w:r w:rsidR="003A1E8C" w:rsidRPr="005C0795">
        <w:instrText>.</w:instrText>
      </w:r>
      <w:r w:rsidR="003A1E8C">
        <w:instrText xml:space="preserve">" </w:instrText>
      </w:r>
      <w:r w:rsidR="003A1E8C">
        <w:fldChar w:fldCharType="end"/>
      </w:r>
      <w:r w:rsidR="088F3E30" w:rsidRPr="00273106">
        <w:t xml:space="preserve"> Hal</w:t>
      </w:r>
      <w:r w:rsidRPr="00273106">
        <w:t>s</w:t>
      </w:r>
      <w:r w:rsidR="088F3E30" w:rsidRPr="00273106">
        <w:t>kého</w:t>
      </w:r>
      <w:r w:rsidRPr="00273106">
        <w:t xml:space="preserve">. </w:t>
      </w:r>
      <w:r w:rsidR="08FB4ED3" w:rsidRPr="00273106">
        <w:t xml:space="preserve">Rufusovy přednášky ze 40. let ukazují, že aristotelští </w:t>
      </w:r>
      <w:r w:rsidR="08FB4ED3" w:rsidRPr="00273106">
        <w:rPr>
          <w:i/>
        </w:rPr>
        <w:t>Nominales</w:t>
      </w:r>
      <w:r w:rsidR="08FB4ED3">
        <w:t xml:space="preserve"> integrovali </w:t>
      </w:r>
      <w:r w:rsidR="08831E4C">
        <w:t xml:space="preserve">Komentátora </w:t>
      </w:r>
      <w:r w:rsidR="08FB4ED3" w:rsidRPr="00273106">
        <w:t xml:space="preserve">do avicennovského schématu metafyziky </w:t>
      </w:r>
      <w:r w:rsidR="08831E4C">
        <w:t xml:space="preserve">skrze porretánský univerzální hylemorfismus. </w:t>
      </w:r>
      <w:r w:rsidR="00943669">
        <w:t xml:space="preserve">Modernisté </w:t>
      </w:r>
      <w:r w:rsidR="00333966" w:rsidRPr="00273106">
        <w:t xml:space="preserve">soustředění kolem redakce </w:t>
      </w:r>
      <w:r w:rsidR="00333966" w:rsidRPr="00273106">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333966" w:rsidRPr="00273106">
        <w:t xml:space="preserve"> </w:t>
      </w:r>
      <w:r w:rsidR="00333966">
        <w:t>potřebovali harmonizovat</w:t>
      </w:r>
      <w:r w:rsidRPr="00273106">
        <w:t xml:space="preserve"> aristotelské komentáře </w:t>
      </w:r>
      <w:r w:rsidR="002E3B62">
        <w:t>Averroes</w:t>
      </w:r>
      <w:r w:rsidRPr="00273106">
        <w:t xml:space="preserve">e </w:t>
      </w:r>
      <w:r w:rsidR="00550FDB">
        <w:t xml:space="preserve">v modu Toledské školy </w:t>
      </w:r>
      <w:r w:rsidRPr="00273106">
        <w:t>se zavedeným avicennismem</w:t>
      </w:r>
      <w:r w:rsidR="001D6A9B">
        <w:t xml:space="preserve"> </w:t>
      </w:r>
      <w:r w:rsidR="0874467C">
        <w:t xml:space="preserve">transcendentálií </w:t>
      </w:r>
      <w:r w:rsidR="001D6A9B">
        <w:t>(pařížská větev moderny) a s učením porretánů spojených s univerzálním hylemofismem (oxfordská větev moderny)</w:t>
      </w:r>
      <w:r w:rsidR="003B71AD" w:rsidRPr="00273106">
        <w:t xml:space="preserve">. </w:t>
      </w:r>
      <w:r w:rsidR="08831E4C">
        <w:t xml:space="preserve">Tuto sofistickou kreativitu </w:t>
      </w:r>
      <w:r w:rsidR="08831E4C" w:rsidRPr="08831E4C">
        <w:rPr>
          <w:i/>
        </w:rPr>
        <w:t>Modernorum</w:t>
      </w:r>
      <w:r w:rsidR="08831E4C">
        <w:t xml:space="preserve"> </w:t>
      </w:r>
      <w:r w:rsidR="08052132">
        <w:t xml:space="preserve">spojující všechny omyly do jedno tragického mixu nesmyslů </w:t>
      </w:r>
      <w:r w:rsidR="08831E4C">
        <w:t xml:space="preserve">považovali </w:t>
      </w:r>
      <w:r w:rsidR="08831E4C" w:rsidRPr="00273106">
        <w:t xml:space="preserve">jejich vzdělanější kolegové za </w:t>
      </w:r>
      <w:r w:rsidR="08FD7D6E">
        <w:t xml:space="preserve">filosoficky </w:t>
      </w:r>
      <w:r w:rsidR="08052132">
        <w:t>šílenou</w:t>
      </w:r>
      <w:r w:rsidR="08FD7D6E">
        <w:t xml:space="preserve"> nauku</w:t>
      </w:r>
      <w:r w:rsidR="08831E4C" w:rsidRPr="00273106">
        <w:t xml:space="preserve">. </w:t>
      </w:r>
      <w:r w:rsidR="084E291D">
        <w:t>Bonaventu</w:t>
      </w:r>
      <w:r w:rsidR="00812F7D">
        <w:t xml:space="preserve">ra po </w:t>
      </w:r>
      <w:r w:rsidR="084E291D">
        <w:t xml:space="preserve">odchodu Rufuse na Oxford </w:t>
      </w:r>
      <w:r w:rsidR="00812F7D">
        <w:t>pokračuje v</w:t>
      </w:r>
      <w:r w:rsidR="084E291D">
        <w:t xml:space="preserve"> jeho</w:t>
      </w:r>
      <w:r w:rsidR="00812F7D">
        <w:t xml:space="preserve"> </w:t>
      </w:r>
      <w:r w:rsidR="00B93298">
        <w:t>útok</w:t>
      </w:r>
      <w:r w:rsidR="084E291D">
        <w:t>u</w:t>
      </w:r>
      <w:r w:rsidR="00B93298">
        <w:t xml:space="preserve"> na </w:t>
      </w:r>
      <w:r w:rsidR="002E3B62">
        <w:t>Averroes</w:t>
      </w:r>
      <w:r w:rsidR="00B93298">
        <w:t xml:space="preserve">e </w:t>
      </w:r>
      <w:r w:rsidR="084E291D">
        <w:t xml:space="preserve">daného </w:t>
      </w:r>
      <w:r w:rsidR="085264E3">
        <w:t xml:space="preserve">u Rufuse </w:t>
      </w:r>
      <w:r w:rsidR="084E291D">
        <w:t xml:space="preserve">okolo roku 1236. </w:t>
      </w:r>
      <w:r w:rsidR="08143A0A">
        <w:t xml:space="preserve">Rufusův výklad Aristotela sofisticky vyloženého </w:t>
      </w:r>
      <w:r w:rsidR="08143A0A" w:rsidRPr="08143A0A">
        <w:rPr>
          <w:i/>
        </w:rPr>
        <w:t>ad mentem Averrois</w:t>
      </w:r>
      <w:r w:rsidR="08143A0A">
        <w:t xml:space="preserve"> </w:t>
      </w:r>
      <w:r w:rsidR="089D42D4">
        <w:t xml:space="preserve">v averroistickém paradigmatu </w:t>
      </w:r>
      <w:r w:rsidR="087B7461">
        <w:t>považoval</w:t>
      </w:r>
      <w:r w:rsidR="08143A0A">
        <w:t xml:space="preserve"> Gross</w:t>
      </w:r>
      <w:r w:rsidR="08BD1612">
        <w:t>e</w:t>
      </w:r>
      <w:r w:rsidR="08143A0A">
        <w:t xml:space="preserve">teste za </w:t>
      </w:r>
      <w:r w:rsidR="08BD1612">
        <w:t>směšný</w:t>
      </w:r>
      <w:r w:rsidR="089D42D4">
        <w:t xml:space="preserve">. Proto </w:t>
      </w:r>
      <w:r w:rsidR="08BD1612">
        <w:t>odsoudil tyto moderní bakaláře kvůli jejich po</w:t>
      </w:r>
      <w:r w:rsidR="08BD1612" w:rsidRPr="00273106">
        <w:t xml:space="preserve">divuhodné slepotě a nadutosti </w:t>
      </w:r>
      <w:r w:rsidR="08BD1612">
        <w:t>(</w:t>
      </w:r>
      <w:r w:rsidR="08BD1612" w:rsidRPr="007A25A7">
        <w:rPr>
          <w:i/>
        </w:rPr>
        <w:t>mira cecitate et presumcione</w:t>
      </w:r>
      <w:r w:rsidR="086C529F">
        <w:t>, kap. 3</w:t>
      </w:r>
      <w:r w:rsidR="006F7958">
        <w:t>.1.3</w:t>
      </w:r>
      <w:r w:rsidR="08BD1612">
        <w:t>)</w:t>
      </w:r>
      <w:r w:rsidR="006F7958">
        <w:t xml:space="preserve">, což potvrdila </w:t>
      </w:r>
      <w:r w:rsidR="00131BFC">
        <w:t xml:space="preserve">kritika </w:t>
      </w:r>
      <w:r w:rsidR="08143A0A">
        <w:t xml:space="preserve">Bacona. </w:t>
      </w:r>
      <w:r w:rsidR="08157BC1">
        <w:t xml:space="preserve">Po kritice Grossetesteho </w:t>
      </w:r>
      <w:r w:rsidR="0838388C">
        <w:t xml:space="preserve">někdy roku 1235 </w:t>
      </w:r>
      <w:r w:rsidR="08676311">
        <w:t xml:space="preserve">musel </w:t>
      </w:r>
      <w:r w:rsidR="001709EA">
        <w:t xml:space="preserve">modernistický </w:t>
      </w:r>
      <w:r w:rsidR="08676311">
        <w:t xml:space="preserve">Rufus z Oxfordu </w:t>
      </w:r>
      <w:r w:rsidR="08157BC1">
        <w:t xml:space="preserve">odejít </w:t>
      </w:r>
      <w:r w:rsidR="08676311">
        <w:t xml:space="preserve">a byl poslán na </w:t>
      </w:r>
      <w:r w:rsidR="082E38BD">
        <w:t xml:space="preserve">magisterská </w:t>
      </w:r>
      <w:r w:rsidR="08676311">
        <w:t xml:space="preserve">studia do Paříže. </w:t>
      </w:r>
      <w:r w:rsidR="08A27EF3">
        <w:t xml:space="preserve">První syntézu moderní objektivity lze datovat do Rufusova akademického působení sentenciáře na františkánské koleji v Paříži do roku 1250 a do vzniku Bonaventurova komentáře ke druhé knize Sentencí (asi 1252). </w:t>
      </w:r>
      <w:r w:rsidR="084E291D">
        <w:t xml:space="preserve">Bonaventura </w:t>
      </w:r>
      <w:r w:rsidR="009E0490">
        <w:t>ide</w:t>
      </w:r>
      <w:r w:rsidR="00812F7D">
        <w:t>o</w:t>
      </w:r>
      <w:r w:rsidR="009E0490">
        <w:t>lo</w:t>
      </w:r>
      <w:r w:rsidR="00812F7D">
        <w:t xml:space="preserve">gicky </w:t>
      </w:r>
      <w:r w:rsidR="009E0490">
        <w:t xml:space="preserve">a organizačně </w:t>
      </w:r>
      <w:r w:rsidR="00812F7D">
        <w:t xml:space="preserve">založil pařížskou školu </w:t>
      </w:r>
      <w:r w:rsidR="00B93298">
        <w:t>druhého averroismu (</w:t>
      </w:r>
      <w:r w:rsidR="086C529F">
        <w:t>OBJ III, kap. 4</w:t>
      </w:r>
      <w:r w:rsidR="00B93298">
        <w:t>.1.2). Albert dá</w:t>
      </w:r>
      <w:r w:rsidR="004D0BCF">
        <w:t xml:space="preserve">vá této skupině ironický titul </w:t>
      </w:r>
      <w:r w:rsidR="00B93298" w:rsidRPr="007413B8">
        <w:rPr>
          <w:i/>
        </w:rPr>
        <w:t>Averr</w:t>
      </w:r>
      <w:r w:rsidR="007413B8">
        <w:rPr>
          <w:i/>
        </w:rPr>
        <w:t>oistae</w:t>
      </w:r>
      <w:r w:rsidR="00B93298">
        <w:t xml:space="preserve"> někd</w:t>
      </w:r>
      <w:r w:rsidR="007413B8">
        <w:t>y kolem 1255 při psaní komentáře</w:t>
      </w:r>
      <w:r w:rsidR="00B93298">
        <w:t xml:space="preserve"> </w:t>
      </w:r>
      <w:r w:rsidR="00B93298" w:rsidRPr="00B93298">
        <w:rPr>
          <w:i/>
        </w:rPr>
        <w:t>De anima</w:t>
      </w:r>
      <w:r w:rsidR="007413B8">
        <w:t xml:space="preserve">, kdy dokončuje hlavní spisy o jednotě osoby a jejího poznání. </w:t>
      </w:r>
      <w:r w:rsidR="00F41A32">
        <w:t>Ve stejné době psal</w:t>
      </w:r>
      <w:r w:rsidR="08C45EB9">
        <w:t xml:space="preserve"> Bacon  výše citovaný komentář k</w:t>
      </w:r>
      <w:r w:rsidR="0878040A">
        <w:t xml:space="preserve">e třetí knize </w:t>
      </w:r>
      <w:r w:rsidR="08C45EB9" w:rsidRPr="088947FC">
        <w:rPr>
          <w:i/>
        </w:rPr>
        <w:t>De anima</w:t>
      </w:r>
      <w:r w:rsidR="08C45EB9">
        <w:t xml:space="preserve"> (</w:t>
      </w:r>
      <w:r w:rsidR="08C45EB9">
        <w:rPr>
          <w:i/>
        </w:rPr>
        <w:t>Distinccio tercia de anima</w:t>
      </w:r>
      <w:r w:rsidR="08C45EB9" w:rsidRPr="00273106">
        <w:t>)</w:t>
      </w:r>
      <w:r w:rsidR="08AD4337">
        <w:t xml:space="preserve"> za</w:t>
      </w:r>
      <w:r w:rsidR="08C45EB9">
        <w:t>m</w:t>
      </w:r>
      <w:r w:rsidR="08AD4337">
        <w:t>ěřený proti oxf</w:t>
      </w:r>
      <w:r w:rsidR="08C45EB9">
        <w:t>o</w:t>
      </w:r>
      <w:r w:rsidR="08AD4337">
        <w:t>r</w:t>
      </w:r>
      <w:r w:rsidR="08C45EB9">
        <w:t xml:space="preserve">dské větvi modernistů. </w:t>
      </w:r>
      <w:r w:rsidR="00DE691C" w:rsidRPr="00273106">
        <w:t>První averroismus nemůže připustit status jsoucna třetího druhu, protože by zrušil pravdivé poznání reality</w:t>
      </w:r>
      <w:r w:rsidR="00DE691C">
        <w:t xml:space="preserve"> a z člověka by udělal </w:t>
      </w:r>
      <w:r w:rsidR="08D45702">
        <w:t xml:space="preserve">moderní </w:t>
      </w:r>
      <w:r w:rsidR="00DE691C">
        <w:t>mrtvolu</w:t>
      </w:r>
      <w:r w:rsidR="00DE691C" w:rsidRPr="00273106">
        <w:t xml:space="preserve">. </w:t>
      </w:r>
      <w:r w:rsidR="00DE691C">
        <w:t xml:space="preserve">Stejně jako Albert i Bacon viděl, že zdrojem chybného poznání ve škole druhého averroismu je </w:t>
      </w:r>
      <w:r w:rsidR="00B00FB5">
        <w:t xml:space="preserve">mylný </w:t>
      </w:r>
      <w:r w:rsidR="00DE691C">
        <w:t xml:space="preserve">výklad centrální části </w:t>
      </w:r>
      <w:r w:rsidR="00DE691C" w:rsidRPr="007F339E">
        <w:rPr>
          <w:i/>
        </w:rPr>
        <w:t>Druhých ana</w:t>
      </w:r>
      <w:r w:rsidR="00B00FB5" w:rsidRPr="007F339E">
        <w:rPr>
          <w:i/>
        </w:rPr>
        <w:t>lytik</w:t>
      </w:r>
      <w:r w:rsidR="00B00FB5">
        <w:t>, který modernisté podali</w:t>
      </w:r>
      <w:r w:rsidR="00DE691C">
        <w:t xml:space="preserve"> v modu </w:t>
      </w:r>
      <w:r w:rsidR="00DE691C" w:rsidRPr="00AD36D8">
        <w:rPr>
          <w:i/>
        </w:rPr>
        <w:t>Oxfordian Fallacy</w:t>
      </w:r>
      <w:r w:rsidR="0817394F">
        <w:t xml:space="preserve">. </w:t>
      </w:r>
      <w:r w:rsidR="00B00DAC" w:rsidRPr="00273106">
        <w:t xml:space="preserve">Nepřímý zakladatel druhého averroismu Robert Grosseteste byl jmenován biskupem </w:t>
      </w:r>
      <w:r w:rsidR="00B00DAC" w:rsidRPr="00273106">
        <w:lastRenderedPageBreak/>
        <w:t>v Lincolnu 1235 a o</w:t>
      </w:r>
      <w:r w:rsidR="00C768A7">
        <w:t xml:space="preserve">d roku 1240 reformuje Oxfordskou univerzitu </w:t>
      </w:r>
      <w:r w:rsidR="00B00DAC" w:rsidRPr="00273106">
        <w:t xml:space="preserve">po ekonomické stránce a nově organizuje systém studia. Na jeho činnost navazuje další významná postava druhého averroismu, Robert Kilwardby, rektor Oxfordu a arcibiskup Canterbury. </w:t>
      </w:r>
      <w:r w:rsidR="0811014E" w:rsidRPr="00273106">
        <w:t xml:space="preserve">Tyto souvislosti potvrzují, že celý spor mezi prvním a druhým averroismem </w:t>
      </w:r>
      <w:r w:rsidR="0817394F">
        <w:t xml:space="preserve">v otázce </w:t>
      </w:r>
      <w:r w:rsidR="00294512">
        <w:t>jednoty osoby vrcholil</w:t>
      </w:r>
      <w:r w:rsidR="0817394F">
        <w:t xml:space="preserve"> </w:t>
      </w:r>
      <w:r w:rsidR="0811014E" w:rsidRPr="00273106">
        <w:t xml:space="preserve">v </w:t>
      </w:r>
      <w:r w:rsidR="0817394F">
        <w:t>Oxf</w:t>
      </w:r>
      <w:r w:rsidR="08767D5B">
        <w:t>o</w:t>
      </w:r>
      <w:r w:rsidR="0817394F">
        <w:t>r</w:t>
      </w:r>
      <w:r w:rsidR="08767D5B">
        <w:t>du někdy roku</w:t>
      </w:r>
      <w:r w:rsidR="0811014E" w:rsidRPr="00273106">
        <w:t xml:space="preserve"> </w:t>
      </w:r>
      <w:r w:rsidR="0811014E">
        <w:t>1235</w:t>
      </w:r>
      <w:r w:rsidR="00294512">
        <w:t xml:space="preserve"> a pokračoval</w:t>
      </w:r>
      <w:r w:rsidR="0817394F">
        <w:t xml:space="preserve"> v Paříž</w:t>
      </w:r>
      <w:r w:rsidR="08767D5B">
        <w:t xml:space="preserve">i po příchodu Rufuse. </w:t>
      </w:r>
      <w:r w:rsidR="08055618">
        <w:t>Svědek vzniku averr</w:t>
      </w:r>
      <w:r w:rsidR="08997F00">
        <w:t>o</w:t>
      </w:r>
      <w:r w:rsidR="08055618">
        <w:t xml:space="preserve">istického Averroese je spis </w:t>
      </w:r>
      <w:r w:rsidR="08055618" w:rsidRPr="08997F00">
        <w:rPr>
          <w:i/>
          <w:szCs w:val="24"/>
          <w:lang w:val="en-US"/>
        </w:rPr>
        <w:t>Contra Averroem</w:t>
      </w:r>
      <w:r w:rsidR="08055618" w:rsidRPr="08997F00">
        <w:rPr>
          <w:szCs w:val="24"/>
          <w:lang w:val="en-US"/>
        </w:rPr>
        <w:t xml:space="preserve"> okolo roku 1236. </w:t>
      </w:r>
      <w:r w:rsidR="08055618" w:rsidRPr="08113D8E">
        <w:rPr>
          <w:szCs w:val="24"/>
          <w:lang w:val="en-US"/>
        </w:rPr>
        <w:t>Takový sofistický a mylný výklad Komentátora nemohl Grosseteste na Oxfordu připustit</w:t>
      </w:r>
      <w:r w:rsidR="08113D8E" w:rsidRPr="08113D8E">
        <w:rPr>
          <w:szCs w:val="24"/>
          <w:lang w:val="en-US"/>
        </w:rPr>
        <w:t xml:space="preserve">, protože </w:t>
      </w:r>
      <w:r w:rsidR="08005C2B">
        <w:rPr>
          <w:szCs w:val="24"/>
          <w:lang w:val="en-US"/>
        </w:rPr>
        <w:t xml:space="preserve">útok na CMDA </w:t>
      </w:r>
      <w:r w:rsidR="08113D8E" w:rsidRPr="08113D8E">
        <w:rPr>
          <w:szCs w:val="24"/>
          <w:lang w:val="en-US"/>
        </w:rPr>
        <w:t>legitimoval nauku o pluralitě substancí v člověku</w:t>
      </w:r>
      <w:r w:rsidR="08055618" w:rsidRPr="08113D8E">
        <w:rPr>
          <w:szCs w:val="24"/>
          <w:lang w:val="en-US"/>
        </w:rPr>
        <w:t xml:space="preserve">. </w:t>
      </w:r>
      <w:r w:rsidR="00C85878">
        <w:rPr>
          <w:szCs w:val="24"/>
          <w:lang w:val="en-US"/>
        </w:rPr>
        <w:t>Žádná k</w:t>
      </w:r>
      <w:r w:rsidR="00C85878" w:rsidRPr="00C85878">
        <w:rPr>
          <w:szCs w:val="24"/>
          <w:lang w:val="en-US"/>
        </w:rPr>
        <w:t xml:space="preserve">řesťanská univerzita v té době nemohla tolerovat takovou </w:t>
      </w:r>
      <w:r w:rsidR="00C85878">
        <w:rPr>
          <w:szCs w:val="24"/>
          <w:lang w:val="en-US"/>
        </w:rPr>
        <w:t xml:space="preserve">antihumánní </w:t>
      </w:r>
      <w:r w:rsidR="00C85878" w:rsidRPr="00C85878">
        <w:rPr>
          <w:szCs w:val="24"/>
          <w:lang w:val="en-US"/>
        </w:rPr>
        <w:t>modernistickou doktrínu.</w:t>
      </w:r>
      <w:r w:rsidR="00C85878">
        <w:rPr>
          <w:szCs w:val="24"/>
          <w:lang w:val="en-US"/>
        </w:rPr>
        <w:t xml:space="preserve"> </w:t>
      </w:r>
      <w:r w:rsidR="08055618" w:rsidRPr="08113D8E">
        <w:rPr>
          <w:szCs w:val="24"/>
          <w:lang w:val="en-US"/>
        </w:rPr>
        <w:t>Rufus proto odchází na základě rozho</w:t>
      </w:r>
      <w:r w:rsidR="08113D8E" w:rsidRPr="08113D8E">
        <w:rPr>
          <w:szCs w:val="24"/>
          <w:lang w:val="en-US"/>
        </w:rPr>
        <w:t>dnutí franti</w:t>
      </w:r>
      <w:r w:rsidR="08055618" w:rsidRPr="08113D8E">
        <w:rPr>
          <w:szCs w:val="24"/>
          <w:lang w:val="en-US"/>
        </w:rPr>
        <w:t xml:space="preserve">škánského řádu do Paříže, jednak aby zde dokončil magisterská studia a jednak aby dostal určitou formu ochrany. </w:t>
      </w:r>
      <w:r w:rsidR="086200AF">
        <w:t xml:space="preserve">Ve stejné době dochází v Paříži </w:t>
      </w:r>
      <w:r w:rsidR="0811014E">
        <w:t>k frontálnímu střetu Sicilské a Toledské školy vykládající Komentátorův spis CMDA</w:t>
      </w:r>
      <w:r w:rsidR="08105B02">
        <w:t xml:space="preserve">. Konflikt </w:t>
      </w:r>
      <w:r w:rsidR="08767D5B">
        <w:t xml:space="preserve">vrcholí Rufusovou neúspěšnou obhajobou </w:t>
      </w:r>
      <w:r w:rsidR="086B40D5">
        <w:t xml:space="preserve">jeho originálního </w:t>
      </w:r>
      <w:r w:rsidR="08767D5B">
        <w:t xml:space="preserve">výkladu </w:t>
      </w:r>
      <w:r w:rsidR="08767D5B" w:rsidRPr="08767D5B">
        <w:rPr>
          <w:i/>
        </w:rPr>
        <w:t>De anima</w:t>
      </w:r>
      <w:r w:rsidR="08105B02" w:rsidRPr="08105B02">
        <w:t xml:space="preserve"> </w:t>
      </w:r>
      <w:r w:rsidR="086B40D5">
        <w:t xml:space="preserve">okolo roku </w:t>
      </w:r>
      <w:r w:rsidR="08105B02">
        <w:t>1245</w:t>
      </w:r>
      <w:r w:rsidR="086B40D5">
        <w:t xml:space="preserve">. První modernistická škola mendikantů je </w:t>
      </w:r>
      <w:r w:rsidR="0059448D">
        <w:t xml:space="preserve">pak </w:t>
      </w:r>
      <w:r w:rsidR="08105B02">
        <w:t xml:space="preserve">rozprášena </w:t>
      </w:r>
      <w:r w:rsidR="088D3455">
        <w:t>na obou řádových učilištích dominikánů a františkánů</w:t>
      </w:r>
      <w:r w:rsidR="0867279E">
        <w:t xml:space="preserve"> k tomuto datu</w:t>
      </w:r>
      <w:r w:rsidR="08105B02">
        <w:t xml:space="preserve">. </w:t>
      </w:r>
      <w:r w:rsidR="08CB1127">
        <w:t>Nejp</w:t>
      </w:r>
      <w:r w:rsidR="089D2090">
        <w:t>r</w:t>
      </w:r>
      <w:r w:rsidR="08CB1127">
        <w:t xml:space="preserve">ve </w:t>
      </w:r>
      <w:r w:rsidR="0811014E">
        <w:t xml:space="preserve">z Paříže odchází </w:t>
      </w:r>
      <w:r w:rsidR="08CB1127">
        <w:t xml:space="preserve">zpět do Oxfordu hotový magistr Kildwardby (1245) a po něm i </w:t>
      </w:r>
      <w:r w:rsidR="08E02A0F">
        <w:t xml:space="preserve">bakalář </w:t>
      </w:r>
      <w:r w:rsidR="08CB1127">
        <w:t>Rufus</w:t>
      </w:r>
      <w:r w:rsidR="08E02A0F">
        <w:t xml:space="preserve">, ovšem bez magisterské hodnosti </w:t>
      </w:r>
      <w:r w:rsidR="08CB1127">
        <w:t>(1250)</w:t>
      </w:r>
      <w:r w:rsidR="0811014E">
        <w:t xml:space="preserve">. </w:t>
      </w:r>
      <w:r w:rsidR="08E13AD7">
        <w:t>V této době drží prapor pařížských modernistů pouze Bonaventura</w:t>
      </w:r>
      <w:r w:rsidR="08AE4EA2">
        <w:t>, který ukončuje magisterská studia</w:t>
      </w:r>
      <w:r w:rsidR="082034C9">
        <w:t xml:space="preserve">. </w:t>
      </w:r>
      <w:r w:rsidR="0811014E" w:rsidRPr="00273106">
        <w:t xml:space="preserve">V </w:t>
      </w:r>
      <w:r w:rsidR="0811014E">
        <w:t xml:space="preserve">dekádě </w:t>
      </w:r>
      <w:r w:rsidR="08720B4C">
        <w:t>po roce 12</w:t>
      </w:r>
      <w:r w:rsidR="0811014E">
        <w:t xml:space="preserve">50 </w:t>
      </w:r>
      <w:r w:rsidR="0811014E" w:rsidRPr="00273106">
        <w:t xml:space="preserve">začíná druhá recepce </w:t>
      </w:r>
      <w:r w:rsidR="0811014E">
        <w:t>Averroes</w:t>
      </w:r>
      <w:r w:rsidR="0811014E" w:rsidRPr="00273106">
        <w:t>e, která nese jiné rysy než první vlna analyzovaná Salmanem, Gauthierem a dalšími znalci středověku (</w:t>
      </w:r>
      <w:r w:rsidR="088A0B91">
        <w:t xml:space="preserve">OBJ III, </w:t>
      </w:r>
      <w:r w:rsidR="0811014E" w:rsidRPr="00273106">
        <w:t>kap. 4).</w:t>
      </w:r>
      <w:r w:rsidR="0811014E">
        <w:t xml:space="preserve"> </w:t>
      </w:r>
      <w:r w:rsidR="00B00DAC" w:rsidRPr="00273106">
        <w:t>Celý počáteční spor mezi prvním a druhým averroisme</w:t>
      </w:r>
      <w:r w:rsidR="007F339E">
        <w:t>m mezi 1230‒</w:t>
      </w:r>
      <w:r w:rsidR="00B00DAC" w:rsidRPr="00273106">
        <w:t xml:space="preserve">40 patří do pohnutého období Pařížské univerzity po nepokojích a stávce </w:t>
      </w:r>
      <w:r w:rsidR="08C54079">
        <w:t xml:space="preserve">roku </w:t>
      </w:r>
      <w:r w:rsidR="00B00DAC" w:rsidRPr="00273106">
        <w:t>1229. Žebravé řády odmítly stávku sekulárních magist</w:t>
      </w:r>
      <w:r w:rsidR="00FA1CB8">
        <w:t>r</w:t>
      </w:r>
      <w:r w:rsidR="00B00DAC" w:rsidRPr="00273106">
        <w:t xml:space="preserve">ů a založili si vlastní studia po </w:t>
      </w:r>
      <w:r w:rsidR="08C54079">
        <w:t xml:space="preserve">roce </w:t>
      </w:r>
      <w:r w:rsidR="00B00DAC" w:rsidRPr="00273106">
        <w:t>1231. Dominikán Roland z Cremony byl prvním mendikantským magistrem teologie na Pařížské univerzitě. Řádová studia se brzy otevřela i sekulárním studentům, což vyvolalo další napětí mezi diecézními a řádovými magistry</w:t>
      </w:r>
      <w:r w:rsidR="00B00DAC" w:rsidRPr="00273106">
        <w:rPr>
          <w:rFonts w:ascii="Sabon-Roman" w:hAnsi="Sabon-Roman" w:cs="Sabon-Roman"/>
          <w:color w:val="231F20"/>
        </w:rPr>
        <w:t>.</w:t>
      </w:r>
      <w:r w:rsidR="08DD7391">
        <w:t xml:space="preserve"> </w:t>
      </w:r>
      <w:r w:rsidR="0042783C" w:rsidRPr="00273106">
        <w:t>Spor mezi prvními a druhými averroisty rozpoutal nové kolo gigantomachie o substanci</w:t>
      </w:r>
      <w:r w:rsidR="08772FA4">
        <w:t xml:space="preserve"> datované léty 1255 a 1277</w:t>
      </w:r>
      <w:r w:rsidR="00FA1CB8">
        <w:fldChar w:fldCharType="begin"/>
      </w:r>
      <w:r w:rsidR="00FA1CB8">
        <w:instrText xml:space="preserve"> XE "</w:instrText>
      </w:r>
      <w:r w:rsidR="00FA1CB8" w:rsidRPr="002D696E">
        <w:instrText>substance:gigantomachie</w:instrText>
      </w:r>
      <w:r w:rsidR="00FA1CB8">
        <w:instrText xml:space="preserve">" </w:instrText>
      </w:r>
      <w:r w:rsidR="00FA1CB8">
        <w:fldChar w:fldCharType="end"/>
      </w:r>
      <w:r w:rsidR="08DD7391">
        <w:t>.</w:t>
      </w:r>
    </w:p>
    <w:p w14:paraId="2B5DE3BE" w14:textId="10225238" w:rsidR="00E82417" w:rsidRPr="00273106" w:rsidRDefault="08DD7391" w:rsidP="00E82417">
      <w:r>
        <w:tab/>
      </w:r>
      <w:r w:rsidR="00221596" w:rsidRPr="00273106">
        <w:t xml:space="preserve">Hermeneutiku zajímá onen „šílený“ postup </w:t>
      </w:r>
      <w:r w:rsidR="08973AB1" w:rsidRPr="00273106">
        <w:t xml:space="preserve">myšlení </w:t>
      </w:r>
      <w:r w:rsidR="00221596" w:rsidRPr="00273106">
        <w:t xml:space="preserve">(Bacon </w:t>
      </w:r>
      <w:r w:rsidR="00221596" w:rsidRPr="00273106">
        <w:rPr>
          <w:i/>
        </w:rPr>
        <w:t>dixit</w:t>
      </w:r>
      <w:r w:rsidR="00221596" w:rsidRPr="00273106">
        <w:t xml:space="preserve">), kterým </w:t>
      </w:r>
      <w:r w:rsidR="00966926" w:rsidRPr="00273106">
        <w:t>tito sofisté v</w:t>
      </w:r>
      <w:r w:rsidR="00221596" w:rsidRPr="00273106">
        <w:t>yzdvihli</w:t>
      </w:r>
      <w:r w:rsidR="00966926" w:rsidRPr="00273106">
        <w:t xml:space="preserve"> potenci na úroveň aktuality a </w:t>
      </w:r>
      <w:r w:rsidR="00221596" w:rsidRPr="00273106">
        <w:t>současně povýšili akcident na úroveň substance</w:t>
      </w:r>
      <w:r w:rsidR="00A70FA4">
        <w:fldChar w:fldCharType="begin"/>
      </w:r>
      <w:r w:rsidR="00A70FA4">
        <w:instrText xml:space="preserve"> XE "</w:instrText>
      </w:r>
      <w:r w:rsidR="00A70FA4" w:rsidRPr="00DE2A32">
        <w:instrText>substance</w:instrText>
      </w:r>
      <w:r w:rsidR="00FA1CB8">
        <w:instrText>:objektivní</w:instrText>
      </w:r>
      <w:r w:rsidR="00A70FA4">
        <w:instrText xml:space="preserve">" </w:instrText>
      </w:r>
      <w:r w:rsidR="00A70FA4">
        <w:fldChar w:fldCharType="end"/>
      </w:r>
      <w:r w:rsidR="00221596" w:rsidRPr="00273106">
        <w:t xml:space="preserve">. </w:t>
      </w:r>
      <w:r w:rsidR="0885734F">
        <w:t>N</w:t>
      </w:r>
      <w:r w:rsidR="00221596" w:rsidRPr="00273106">
        <w:t xml:space="preserve">ástup moderny </w:t>
      </w:r>
      <w:r w:rsidR="08531481">
        <w:t xml:space="preserve">ukazuje </w:t>
      </w:r>
      <w:r w:rsidR="00221596" w:rsidRPr="00273106">
        <w:t>Rufus</w:t>
      </w:r>
      <w:r w:rsidR="086266F3" w:rsidRPr="00273106">
        <w:t>ův komentář</w:t>
      </w:r>
      <w:r w:rsidR="00221596" w:rsidRPr="00273106">
        <w:t xml:space="preserve"> ke </w:t>
      </w:r>
      <w:r w:rsidR="00221596" w:rsidRPr="00002C45">
        <w:rPr>
          <w:i/>
        </w:rPr>
        <w:t>Druhým analytikám</w:t>
      </w:r>
      <w:r w:rsidR="00221596" w:rsidRPr="00273106">
        <w:t>, který doplníme o odpovídající místa v Rufusově komentáři k </w:t>
      </w:r>
      <w:r w:rsidR="00221596" w:rsidRPr="00002C45">
        <w:rPr>
          <w:i/>
        </w:rPr>
        <w:t>Metafyzice</w:t>
      </w:r>
      <w:r w:rsidR="00221596" w:rsidRPr="00273106">
        <w:t xml:space="preserve"> a k </w:t>
      </w:r>
      <w:r w:rsidR="00B713C5">
        <w:rPr>
          <w:i/>
        </w:rPr>
        <w:t>De anima</w:t>
      </w:r>
      <w:r w:rsidR="00DC19D9">
        <w:t>. Tyto spisy byly pra</w:t>
      </w:r>
      <w:r w:rsidR="000E788B">
        <w:t xml:space="preserve">děpodobně </w:t>
      </w:r>
      <w:r w:rsidR="00DC19D9">
        <w:t>napsány na začátku j</w:t>
      </w:r>
      <w:r w:rsidR="00465F98" w:rsidRPr="00273106">
        <w:t>eho studií v Paříži</w:t>
      </w:r>
      <w:r w:rsidR="00221596" w:rsidRPr="00273106">
        <w:t xml:space="preserve">. </w:t>
      </w:r>
      <w:r w:rsidR="00DE691C">
        <w:t xml:space="preserve">Klíčovým problémem pro </w:t>
      </w:r>
      <w:r w:rsidR="00DE691C">
        <w:lastRenderedPageBreak/>
        <w:t xml:space="preserve">školu prvního averroismu byla radikální forma </w:t>
      </w:r>
      <w:r w:rsidR="00DE691C" w:rsidRPr="00DE691C">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FA1CB8">
        <w:instrText>:</w:instrText>
      </w:r>
      <w:r w:rsidR="007572BF">
        <w:instrText>kritika Bacona</w:instrText>
      </w:r>
      <w:r w:rsidR="00924399">
        <w:instrText xml:space="preserve">" </w:instrText>
      </w:r>
      <w:r w:rsidR="00924399">
        <w:rPr>
          <w:i/>
        </w:rPr>
        <w:fldChar w:fldCharType="end"/>
      </w:r>
      <w:r w:rsidR="00DE691C">
        <w:t xml:space="preserve">, kterou Rufus importoval z Oxfordu do Paříže. </w:t>
      </w:r>
      <w:r w:rsidR="007572BF">
        <w:t>Zatmění první substance je dáno vinou chybně pojaté kauzality ve středním členu soudu</w:t>
      </w:r>
      <w:r w:rsidR="007572BF">
        <w:fldChar w:fldCharType="begin"/>
      </w:r>
      <w:r w:rsidR="007572BF">
        <w:instrText xml:space="preserve"> XE "</w:instrText>
      </w:r>
      <w:r w:rsidR="007572BF" w:rsidRPr="00A53C65">
        <w:instrText>kauzalita:objektivní</w:instrText>
      </w:r>
      <w:r w:rsidR="007572BF">
        <w:instrText xml:space="preserve">" </w:instrText>
      </w:r>
      <w:r w:rsidR="007572BF">
        <w:fldChar w:fldCharType="end"/>
      </w:r>
      <w:r w:rsidR="007572BF">
        <w:t xml:space="preserve">. </w:t>
      </w:r>
      <w:r w:rsidR="00E82417" w:rsidRPr="00273106">
        <w:t xml:space="preserve">Zopakujme Baconovo </w:t>
      </w:r>
      <w:r w:rsidR="007923AD">
        <w:t xml:space="preserve">přesné </w:t>
      </w:r>
      <w:r w:rsidR="00E82417" w:rsidRPr="00273106">
        <w:t xml:space="preserve">stanovisko k ontologickému statutu kauzality z jeho komentáře k </w:t>
      </w:r>
      <w:r w:rsidR="00E82417" w:rsidRPr="009B330A">
        <w:rPr>
          <w:i/>
        </w:rPr>
        <w:t>Metafyzice</w:t>
      </w:r>
      <w:r w:rsidR="00E82417" w:rsidRPr="00273106">
        <w:t xml:space="preserve"> </w:t>
      </w:r>
      <w:r w:rsidR="009B330A">
        <w:t xml:space="preserve">psaného </w:t>
      </w:r>
      <w:r w:rsidR="08A702E1" w:rsidRPr="00273106">
        <w:t xml:space="preserve">kolem </w:t>
      </w:r>
      <w:r w:rsidR="009B330A">
        <w:t xml:space="preserve">roku </w:t>
      </w:r>
      <w:r w:rsidR="08A702E1" w:rsidRPr="00273106">
        <w:t xml:space="preserve">1245 </w:t>
      </w:r>
      <w:r w:rsidR="00E82417" w:rsidRPr="00273106">
        <w:t>(</w:t>
      </w:r>
      <w:r w:rsidR="00A046FB">
        <w:rPr>
          <w:i/>
        </w:rPr>
        <w:t>Quaestiones</w:t>
      </w:r>
      <w:r w:rsidR="00E82417" w:rsidRPr="00273106">
        <w:rPr>
          <w:i/>
        </w:rPr>
        <w:t xml:space="preserve"> </w:t>
      </w:r>
      <w:r w:rsidR="00E82417" w:rsidRPr="00273106">
        <w:rPr>
          <w:bCs/>
          <w:i/>
        </w:rPr>
        <w:t>altere supra libros prime philosophie Aristotelis</w:t>
      </w:r>
      <w:r w:rsidR="00E82417" w:rsidRPr="00273106">
        <w:t>).</w:t>
      </w:r>
      <w:r w:rsidR="00C93050" w:rsidRPr="00C93050">
        <w:t xml:space="preserve"> </w:t>
      </w:r>
      <w:r w:rsidR="004B30EF" w:rsidRPr="004B30EF">
        <w:t>Kategorická predikace ve vědeckém soudu navazuje na zavedení hyparchické kauzality a tvoří metafyzický typ univerzální predikace. Zavedení kauzality</w:t>
      </w:r>
      <w:r w:rsidR="004B30EF">
        <w:t xml:space="preserve"> do středního členu</w:t>
      </w:r>
      <w:r w:rsidR="004B30EF" w:rsidRPr="004B30EF">
        <w:t xml:space="preserve"> vědeckého deduktivního sylogismu odlišilo tento typ metafyzické nutnosti v kauzálně determinované predikaci od formálního kategoriálního významu</w:t>
      </w:r>
      <w:r w:rsidR="000C68ED">
        <w:t xml:space="preserve"> založeného na logické nutnosti</w:t>
      </w:r>
      <w:r w:rsidR="004B30EF" w:rsidRPr="004B30EF">
        <w:t>.</w:t>
      </w:r>
      <w:r w:rsidR="004B30EF">
        <w:t xml:space="preserve"> </w:t>
      </w:r>
      <w:r w:rsidR="08201994">
        <w:t>Ta</w:t>
      </w:r>
      <w:r w:rsidR="004B30EF">
        <w:t xml:space="preserve">to druhá substance </w:t>
      </w:r>
      <w:r w:rsidR="08201994">
        <w:t>totiž může být predikována i jako esence</w:t>
      </w:r>
      <w:r w:rsidR="08C3265B">
        <w:t xml:space="preserve">, viz příklad definice trojúhelníka podle </w:t>
      </w:r>
      <w:r w:rsidR="08C3265B" w:rsidRPr="08C3265B">
        <w:rPr>
          <w:i/>
        </w:rPr>
        <w:t>Druhých analytik</w:t>
      </w:r>
      <w:r w:rsidR="08201994">
        <w:t>. Ale esence není schopna kauzálního působení v realitě</w:t>
      </w:r>
      <w:r w:rsidR="08B67484">
        <w:t xml:space="preserve"> podle </w:t>
      </w:r>
      <w:r w:rsidR="082A724F">
        <w:t xml:space="preserve">metafyzického </w:t>
      </w:r>
      <w:r w:rsidR="08B67484">
        <w:t>dativu</w:t>
      </w:r>
      <w:r w:rsidR="08B67484">
        <w:fldChar w:fldCharType="begin"/>
      </w:r>
      <w:r w:rsidR="08B67484">
        <w:instrText xml:space="preserve"> XE "</w:instrText>
      </w:r>
      <w:r w:rsidR="082A724F">
        <w:rPr>
          <w:i/>
        </w:rPr>
        <w:instrText>dativus metaphysi</w:instrText>
      </w:r>
      <w:r w:rsidR="08B67484" w:rsidRPr="08B67484">
        <w:rPr>
          <w:i/>
        </w:rPr>
        <w:instrText>cus</w:instrText>
      </w:r>
      <w:r w:rsidR="08B67484">
        <w:instrText xml:space="preserve">" </w:instrText>
      </w:r>
      <w:r w:rsidR="08B67484">
        <w:fldChar w:fldCharType="end"/>
      </w:r>
      <w:r w:rsidR="08201994">
        <w:t xml:space="preserve">, protože její bytí je </w:t>
      </w:r>
      <w:r w:rsidR="08B67484">
        <w:t xml:space="preserve">dané pouze </w:t>
      </w:r>
      <w:r w:rsidR="08201994">
        <w:t>v mysli</w:t>
      </w:r>
      <w:r w:rsidR="08B67484">
        <w:t xml:space="preserve"> poznávajícího</w:t>
      </w:r>
      <w:r w:rsidR="009A4C4A">
        <w:t xml:space="preserve"> subjektu</w:t>
      </w:r>
      <w:r w:rsidR="08201994">
        <w:t xml:space="preserve">. </w:t>
      </w:r>
    </w:p>
    <w:p w14:paraId="4BF6A945" w14:textId="1D557609" w:rsidR="00263A37" w:rsidRPr="00273106" w:rsidRDefault="00E82417" w:rsidP="00EE1843">
      <w:pPr>
        <w:pStyle w:val="Citace"/>
        <w:rPr>
          <w:noProof/>
          <w:lang w:val="cs-CZ"/>
        </w:rPr>
      </w:pPr>
      <w:r w:rsidRPr="00273106">
        <w:rPr>
          <w:noProof/>
          <w:lang w:val="cs-CZ"/>
        </w:rPr>
        <w:t>„</w:t>
      </w:r>
      <w:r w:rsidR="00263A37" w:rsidRPr="00273106">
        <w:rPr>
          <w:noProof/>
          <w:lang w:val="cs-CZ"/>
        </w:rPr>
        <w:t xml:space="preserve">Třetím způsobem říkáme, že </w:t>
      </w:r>
      <w:r w:rsidR="08BB4A0B" w:rsidRPr="00273106">
        <w:rPr>
          <w:noProof/>
          <w:lang w:val="cs-CZ"/>
        </w:rPr>
        <w:t xml:space="preserve">formálně </w:t>
      </w:r>
      <w:r w:rsidR="08BB4A0B">
        <w:rPr>
          <w:noProof/>
          <w:lang w:val="cs-CZ"/>
        </w:rPr>
        <w:t xml:space="preserve">určené </w:t>
      </w:r>
      <w:r w:rsidR="00263A37" w:rsidRPr="00273106">
        <w:rPr>
          <w:noProof/>
          <w:lang w:val="cs-CZ"/>
        </w:rPr>
        <w:t xml:space="preserve">bytí není v jednotlivinách ani aktuálně ani potenciálně, ale jedině skrze kauzalitu. A tato obecnina je dána skrze </w:t>
      </w:r>
      <w:r w:rsidR="08890BDF">
        <w:rPr>
          <w:noProof/>
          <w:lang w:val="cs-CZ"/>
        </w:rPr>
        <w:t xml:space="preserve">reálnou </w:t>
      </w:r>
      <w:r w:rsidR="00263A37" w:rsidRPr="00273106">
        <w:rPr>
          <w:noProof/>
          <w:lang w:val="cs-CZ"/>
        </w:rPr>
        <w:t>kauzalitu a ne skrze formální predikac</w:t>
      </w:r>
      <w:r w:rsidR="00EE1843" w:rsidRPr="00273106">
        <w:rPr>
          <w:noProof/>
          <w:lang w:val="cs-CZ"/>
        </w:rPr>
        <w:t>i</w:t>
      </w:r>
      <w:r w:rsidR="08057AD9">
        <w:rPr>
          <w:noProof/>
          <w:lang w:val="cs-CZ"/>
        </w:rPr>
        <w:t xml:space="preserve"> (</w:t>
      </w:r>
      <w:r w:rsidR="08057AD9" w:rsidRPr="08057AD9">
        <w:rPr>
          <w:i/>
        </w:rPr>
        <w:t>hoc est universale per causalitatem et non per predicationem formalem</w:t>
      </w:r>
      <w:r w:rsidR="08057AD9">
        <w:rPr>
          <w:noProof/>
          <w:lang w:val="cs-CZ"/>
        </w:rPr>
        <w:t>)</w:t>
      </w:r>
      <w:r w:rsidR="085636E1">
        <w:rPr>
          <w:noProof/>
          <w:lang w:val="cs-CZ"/>
        </w:rPr>
        <w:t xml:space="preserve"> a t</w:t>
      </w:r>
      <w:r w:rsidR="0888119F">
        <w:rPr>
          <w:noProof/>
          <w:lang w:val="cs-CZ"/>
        </w:rPr>
        <w:t xml:space="preserve">ato univerzálie není </w:t>
      </w:r>
      <w:r w:rsidR="007D1E69">
        <w:rPr>
          <w:rFonts w:cs="Calibri"/>
          <w:lang w:val="fr-FR"/>
        </w:rPr>
        <w:t xml:space="preserve">[logicky] </w:t>
      </w:r>
      <w:r w:rsidR="00263A37" w:rsidRPr="00273106">
        <w:rPr>
          <w:noProof/>
          <w:lang w:val="cs-CZ"/>
        </w:rPr>
        <w:t>predikovatelná</w:t>
      </w:r>
      <w:r w:rsidR="085636E1">
        <w:rPr>
          <w:noProof/>
          <w:lang w:val="cs-CZ"/>
        </w:rPr>
        <w:t xml:space="preserve"> </w:t>
      </w:r>
      <w:r w:rsidR="08F9612E">
        <w:rPr>
          <w:noProof/>
          <w:lang w:val="cs-CZ"/>
        </w:rPr>
        <w:t>(</w:t>
      </w:r>
      <w:r w:rsidR="08F9612E" w:rsidRPr="08F9612E">
        <w:rPr>
          <w:i/>
        </w:rPr>
        <w:t>tale universale est non</w:t>
      </w:r>
      <w:r w:rsidR="08F9612E" w:rsidRPr="08F9612E">
        <w:rPr>
          <w:i/>
          <w:lang w:val="cs-CZ"/>
        </w:rPr>
        <w:noBreakHyphen/>
      </w:r>
      <w:r w:rsidR="08F9612E" w:rsidRPr="08F9612E">
        <w:rPr>
          <w:i/>
        </w:rPr>
        <w:t>predicabile</w:t>
      </w:r>
      <w:r w:rsidR="08F9612E">
        <w:rPr>
          <w:noProof/>
          <w:lang w:val="cs-CZ"/>
        </w:rPr>
        <w:t>)</w:t>
      </w:r>
      <w:r w:rsidR="00263A37" w:rsidRPr="00273106">
        <w:rPr>
          <w:noProof/>
          <w:lang w:val="cs-CZ"/>
        </w:rPr>
        <w:t>.“</w:t>
      </w:r>
      <w:r w:rsidR="00EE1843" w:rsidRPr="00273106">
        <w:rPr>
          <w:noProof/>
          <w:lang w:val="cs-CZ"/>
        </w:rPr>
        <w:t xml:space="preserve"> </w:t>
      </w:r>
      <w:r w:rsidR="00263A37" w:rsidRPr="00273106">
        <w:rPr>
          <w:rStyle w:val="Znakapoznpodarou"/>
          <w:noProof/>
          <w:lang w:val="cs-CZ"/>
        </w:rPr>
        <w:footnoteReference w:id="369"/>
      </w:r>
    </w:p>
    <w:p w14:paraId="27813368" w14:textId="6A2140CC" w:rsidR="00212337" w:rsidRDefault="08BF5F8E" w:rsidP="00234534">
      <w:r w:rsidRPr="00273106">
        <w:t xml:space="preserve">Predikace založená na kauzalitě středního </w:t>
      </w:r>
      <w:r w:rsidR="00263A37" w:rsidRPr="00273106">
        <w:t xml:space="preserve">členu soudu </w:t>
      </w:r>
      <w:r w:rsidR="00377B4A" w:rsidRPr="00273106">
        <w:t>(</w:t>
      </w:r>
      <w:r w:rsidR="00377B4A" w:rsidRPr="00273106">
        <w:rPr>
          <w:i/>
        </w:rPr>
        <w:t>hoc est universale per causalitatem</w:t>
      </w:r>
      <w:r w:rsidR="00377B4A" w:rsidRPr="00273106">
        <w:t xml:space="preserve">) </w:t>
      </w:r>
      <w:r w:rsidR="00263A37" w:rsidRPr="00273106">
        <w:t>vypovíd</w:t>
      </w:r>
      <w:r w:rsidR="00377B4A" w:rsidRPr="00273106">
        <w:t>á</w:t>
      </w:r>
      <w:r w:rsidR="00263A37" w:rsidRPr="00273106">
        <w:t xml:space="preserve"> o re</w:t>
      </w:r>
      <w:r w:rsidRPr="00273106">
        <w:t>álné kauzalitě první substa</w:t>
      </w:r>
      <w:r w:rsidR="003120BF" w:rsidRPr="00273106">
        <w:t>n</w:t>
      </w:r>
      <w:r w:rsidRPr="00273106">
        <w:t>ce</w:t>
      </w:r>
      <w:r w:rsidR="08216A19">
        <w:t>. Tato predikace n</w:t>
      </w:r>
      <w:r w:rsidRPr="00273106">
        <w:t xml:space="preserve">ení </w:t>
      </w:r>
      <w:r w:rsidR="00F80500" w:rsidRPr="00273106">
        <w:t xml:space="preserve">formálně daná </w:t>
      </w:r>
      <w:r w:rsidRPr="00273106">
        <w:t xml:space="preserve">predikace </w:t>
      </w:r>
      <w:r w:rsidR="00173765">
        <w:t>zajištěná v rámci logické abstrakce</w:t>
      </w:r>
      <w:r w:rsidR="004C4E36">
        <w:t>. Impozici kauzality do deduktivního soudu</w:t>
      </w:r>
      <w:r w:rsidR="00EC50F6">
        <w:t xml:space="preserve"> nešlo</w:t>
      </w:r>
      <w:r w:rsidR="004C4E36">
        <w:t xml:space="preserve"> provést </w:t>
      </w:r>
      <w:r w:rsidR="08B77D14">
        <w:t xml:space="preserve">v rámci tehdy rozšířené porretánské predikaci </w:t>
      </w:r>
      <w:r w:rsidR="08B77D14" w:rsidRPr="08B77D14">
        <w:rPr>
          <w:i/>
        </w:rPr>
        <w:t>Kategorií</w:t>
      </w:r>
      <w:r w:rsidR="084F3C02">
        <w:t xml:space="preserve"> (kap. 3</w:t>
      </w:r>
      <w:r w:rsidR="08B77D14">
        <w:t xml:space="preserve">.1.2) </w:t>
      </w:r>
      <w:r w:rsidR="08216A19">
        <w:t xml:space="preserve">prováděné </w:t>
      </w:r>
      <w:r w:rsidR="08B77D14">
        <w:t xml:space="preserve">skrze hypostázovaná </w:t>
      </w:r>
      <w:r w:rsidR="08B77D14" w:rsidRPr="08B77D14">
        <w:rPr>
          <w:i/>
        </w:rPr>
        <w:t>predicabilia</w:t>
      </w:r>
      <w:r w:rsidRPr="00273106">
        <w:t xml:space="preserve">. </w:t>
      </w:r>
      <w:r w:rsidR="00182182">
        <w:t>Bacon nepřipus</w:t>
      </w:r>
      <w:r w:rsidR="00EC50F6">
        <w:t>til</w:t>
      </w:r>
      <w:r w:rsidR="00182182" w:rsidRPr="00182182">
        <w:t xml:space="preserve">, aby univerzální pojem jako </w:t>
      </w:r>
      <w:r w:rsidR="00182182" w:rsidRPr="00182182">
        <w:rPr>
          <w:i/>
        </w:rPr>
        <w:t>tertium ens</w:t>
      </w:r>
      <w:r w:rsidR="00182182">
        <w:t xml:space="preserve"> nahrazoval skutečnou kauzalitu</w:t>
      </w:r>
      <w:r w:rsidR="00182182" w:rsidRPr="00182182">
        <w:t xml:space="preserve">. Tak tomu bylo v případě druhého averroismu a oxfordských modernistů. Nutnost daná reálnou kauzalitou </w:t>
      </w:r>
      <w:r w:rsidR="00182182">
        <w:t xml:space="preserve">vytváří impozici </w:t>
      </w:r>
      <w:r w:rsidR="00182182" w:rsidRPr="00182182">
        <w:t xml:space="preserve">významu. Tímto způsobem se ustavuje pravda jako korespondence. Na jedné straně je tu nutná realita věci </w:t>
      </w:r>
      <w:r w:rsidR="00182182" w:rsidRPr="00182182">
        <w:rPr>
          <w:i/>
        </w:rPr>
        <w:t>per se</w:t>
      </w:r>
      <w:r w:rsidR="00182182" w:rsidRPr="00182182">
        <w:t xml:space="preserve">, na druhé straně je tu nutnost, která vzniká univerzální predikací. Nutnost </w:t>
      </w:r>
      <w:r w:rsidR="00182182" w:rsidRPr="00182182">
        <w:rPr>
          <w:i/>
        </w:rPr>
        <w:t>per se</w:t>
      </w:r>
      <w:r w:rsidR="00182182" w:rsidRPr="00182182">
        <w:t xml:space="preserve"> </w:t>
      </w:r>
      <w:r w:rsidR="00182182">
        <w:t xml:space="preserve">existující </w:t>
      </w:r>
      <w:r w:rsidR="00182182" w:rsidRPr="00182182">
        <w:t xml:space="preserve">první substance zakládá nutnost druhé substance v univerzální predikaci (in pluribus formaliter, set solum causaliter). Tímto způsobem se první triáda metafyzických principů poznání </w:t>
      </w:r>
      <w:r w:rsidR="00182182" w:rsidRPr="00182182">
        <w:lastRenderedPageBreak/>
        <w:t>spojuje s druhou triádou logických principů</w:t>
      </w:r>
      <w:r w:rsidR="00182182">
        <w:t xml:space="preserve">. </w:t>
      </w:r>
      <w:r w:rsidR="08A20B9C">
        <w:t>U</w:t>
      </w:r>
      <w:r w:rsidR="001C556E">
        <w:t xml:space="preserve">niverzální vědecká </w:t>
      </w:r>
      <w:r w:rsidR="00FB30CF">
        <w:t xml:space="preserve">definice zatmění slunce je dána proto, že </w:t>
      </w:r>
      <w:r w:rsidR="001C556E">
        <w:t xml:space="preserve">nejprve </w:t>
      </w:r>
      <w:r w:rsidR="00FB30CF">
        <w:t xml:space="preserve">reálně </w:t>
      </w:r>
      <w:r w:rsidR="001C556E">
        <w:t>na</w:t>
      </w:r>
      <w:r w:rsidR="00FB30CF">
        <w:t xml:space="preserve">stalo zatmění Slunce. </w:t>
      </w:r>
      <w:r w:rsidR="00727F89">
        <w:t xml:space="preserve">Proto má vědecká predikace vlastní statut daný v rámci univočního kategoriálního vztahu, kde je impozice významu vzata z reálného působení prvních substancí predikovaných skrze střední člen soudu </w:t>
      </w:r>
      <w:r w:rsidR="00E82417" w:rsidRPr="00273106">
        <w:t>(</w:t>
      </w:r>
      <w:r w:rsidR="00E82417" w:rsidRPr="00273106">
        <w:rPr>
          <w:i/>
        </w:rPr>
        <w:t>hoc est universale per causalitatem</w:t>
      </w:r>
      <w:r w:rsidR="00E82417" w:rsidRPr="00273106">
        <w:t xml:space="preserve">). </w:t>
      </w:r>
      <w:r w:rsidR="00A30586" w:rsidRPr="00A30586">
        <w:t>Primární kauzalita na úrovni prvních substancí je ve vědeckém důkazu predikována podle výše citovaného hyparchického modu (</w:t>
      </w:r>
      <w:r w:rsidR="00A30586" w:rsidRPr="00A30586">
        <w:rPr>
          <w:i/>
        </w:rPr>
        <w:t>Anal. Post</w:t>
      </w:r>
      <w:r w:rsidR="00A30586" w:rsidRPr="00A30586">
        <w:t>. 84a13</w:t>
      </w:r>
      <w:r w:rsidR="00A30586">
        <w:fldChar w:fldCharType="begin"/>
      </w:r>
      <w:r w:rsidR="00A30586">
        <w:instrText xml:space="preserve"> XE "Aristoteles:</w:instrText>
      </w:r>
      <w:r w:rsidR="00A30586" w:rsidRPr="00273106">
        <w:rPr>
          <w:i/>
        </w:rPr>
        <w:instrText>Anal. Post</w:instrText>
      </w:r>
      <w:r w:rsidR="00A30586">
        <w:instrText xml:space="preserve">. 84a13" </w:instrText>
      </w:r>
      <w:r w:rsidR="00A30586">
        <w:fldChar w:fldCharType="end"/>
      </w:r>
      <w:r w:rsidR="00A30586" w:rsidRPr="00A30586">
        <w:t xml:space="preserve">). První hyparchická substance pak správně nese subjekt univerzální propozice (ὑπάρχουσιν αὐτοῖς, </w:t>
      </w:r>
      <w:r w:rsidR="00A30586" w:rsidRPr="00A30586">
        <w:rPr>
          <w:i/>
        </w:rPr>
        <w:t>Anal. Post</w:t>
      </w:r>
      <w:r w:rsidR="00A30586" w:rsidRPr="00A30586">
        <w:t>. 84a14</w:t>
      </w:r>
      <w:r w:rsidR="00A30586">
        <w:fldChar w:fldCharType="begin"/>
      </w:r>
      <w:r w:rsidR="00A30586">
        <w:instrText xml:space="preserve"> XE "Aristoteles:</w:instrText>
      </w:r>
      <w:r w:rsidR="00A30586" w:rsidRPr="00273106">
        <w:rPr>
          <w:i/>
        </w:rPr>
        <w:instrText>Anal. Post</w:instrText>
      </w:r>
      <w:r w:rsidR="00A30586">
        <w:instrText>. 84a</w:instrText>
      </w:r>
      <w:r w:rsidR="00A30586" w:rsidRPr="00273106">
        <w:instrText>14</w:instrText>
      </w:r>
      <w:r w:rsidR="00A30586">
        <w:instrText xml:space="preserve">" </w:instrText>
      </w:r>
      <w:r w:rsidR="00A30586">
        <w:fldChar w:fldCharType="end"/>
      </w:r>
      <w:r w:rsidR="00A30586" w:rsidRPr="00A30586">
        <w:t>).</w:t>
      </w:r>
      <w:r w:rsidR="009C211C">
        <w:t xml:space="preserve"> </w:t>
      </w:r>
      <w:r w:rsidR="085636E1">
        <w:t>Bacon jasně vidí, že kauzalita ve středním členu soudu není ani první substance ani výsledná un</w:t>
      </w:r>
      <w:r w:rsidR="00AF0375">
        <w:t xml:space="preserve">iverzální esence daná v závěru. </w:t>
      </w:r>
      <w:r w:rsidR="00AF0375" w:rsidRPr="00AF0375">
        <w:t>Dedukce jako vědecký důkaz se tak liší od obecného tvrzení týkajícího se formální podstaty trojúhelníku.</w:t>
      </w:r>
      <w:r w:rsidR="00AF0375">
        <w:t xml:space="preserve"> </w:t>
      </w:r>
      <w:r w:rsidR="081F7F76">
        <w:t>P</w:t>
      </w:r>
      <w:r w:rsidR="085636E1">
        <w:t xml:space="preserve">redikace </w:t>
      </w:r>
      <w:r w:rsidR="081F7F76">
        <w:t xml:space="preserve">reálné kauzality sleduje působení první substance </w:t>
      </w:r>
      <w:r w:rsidR="08D21DBF">
        <w:t>(</w:t>
      </w:r>
      <w:r w:rsidR="08D21DBF" w:rsidRPr="00273106">
        <w:t>ἐν τῷ</w:t>
      </w:r>
      <w:r w:rsidR="08D21DBF">
        <w:t xml:space="preserve"> </w:t>
      </w:r>
      <w:r w:rsidR="08D21DBF" w:rsidRPr="00273106">
        <w:t>τί</w:t>
      </w:r>
      <w:r w:rsidR="08D21DBF">
        <w:t xml:space="preserve">) </w:t>
      </w:r>
      <w:r w:rsidR="081F7F76">
        <w:t>v</w:t>
      </w:r>
      <w:r w:rsidR="00AF0375">
        <w:t xml:space="preserve"> metafyzickém dativu </w:t>
      </w:r>
      <w:r w:rsidR="086D5654">
        <w:t>(</w:t>
      </w:r>
      <w:r w:rsidR="08D21DBF" w:rsidRPr="00273106">
        <w:t>ἐστιν ὑ</w:t>
      </w:r>
      <w:r w:rsidR="08D21DBF">
        <w:t>πάρχουσιν</w:t>
      </w:r>
      <w:r w:rsidR="086D5654">
        <w:t>)</w:t>
      </w:r>
      <w:r w:rsidR="08D21DBF">
        <w:t>,</w:t>
      </w:r>
      <w:r w:rsidR="086D5654" w:rsidRPr="00273106">
        <w:t xml:space="preserve"> </w:t>
      </w:r>
      <w:r w:rsidR="081F7F76">
        <w:t xml:space="preserve">a tím se liší </w:t>
      </w:r>
      <w:r w:rsidR="085636E1">
        <w:t xml:space="preserve">od </w:t>
      </w:r>
      <w:r w:rsidR="005A25E5" w:rsidRPr="00273106">
        <w:t>obecné výpovědi</w:t>
      </w:r>
      <w:r w:rsidR="0033065F">
        <w:t xml:space="preserve"> vztažené formální esenci trojúhelníka</w:t>
      </w:r>
      <w:r w:rsidR="00E82417" w:rsidRPr="00273106">
        <w:t xml:space="preserve">. </w:t>
      </w:r>
      <w:r w:rsidR="085636E1">
        <w:t xml:space="preserve">Jeho </w:t>
      </w:r>
      <w:r w:rsidR="00173765">
        <w:t xml:space="preserve">nutnost </w:t>
      </w:r>
      <w:r w:rsidR="085636E1">
        <w:t xml:space="preserve">je </w:t>
      </w:r>
      <w:r w:rsidR="00173765">
        <w:t xml:space="preserve">dána pouze formálně, protože poznání </w:t>
      </w:r>
      <w:r w:rsidR="08FA657A">
        <w:t xml:space="preserve">logiky, geometrie a </w:t>
      </w:r>
      <w:r w:rsidR="00173765">
        <w:t xml:space="preserve">matematiky </w:t>
      </w:r>
      <w:r w:rsidR="08E66D02">
        <w:t xml:space="preserve">běží </w:t>
      </w:r>
      <w:r w:rsidR="00173765">
        <w:t>na úrovn</w:t>
      </w:r>
      <w:r w:rsidR="08AA2306">
        <w:t xml:space="preserve">i logické abstrakce, kde je hyparchické bytí univerzálie dáno v mysli </w:t>
      </w:r>
      <w:r w:rsidR="08A32A75">
        <w:t>(</w:t>
      </w:r>
      <w:r w:rsidR="08A32A75" w:rsidRPr="080C517E">
        <w:rPr>
          <w:i/>
        </w:rPr>
        <w:t>Anal. Post.</w:t>
      </w:r>
      <w:r w:rsidR="000E5CD5">
        <w:t xml:space="preserve"> 84a14</w:t>
      </w:r>
      <w:r w:rsidR="08A32A75">
        <w:fldChar w:fldCharType="begin"/>
      </w:r>
      <w:r w:rsidR="08A32A75">
        <w:instrText xml:space="preserve"> XE "Aristoteles:</w:instrText>
      </w:r>
      <w:r w:rsidR="08A32A75" w:rsidRPr="08821841">
        <w:rPr>
          <w:i/>
        </w:rPr>
        <w:instrText>Anal. Post.</w:instrText>
      </w:r>
      <w:r w:rsidR="000E5CD5">
        <w:instrText xml:space="preserve"> 84a14</w:instrText>
      </w:r>
      <w:r w:rsidR="08A32A75">
        <w:instrText xml:space="preserve">" </w:instrText>
      </w:r>
      <w:r w:rsidR="08A32A75">
        <w:fldChar w:fldCharType="end"/>
      </w:r>
      <w:r w:rsidR="08A32A75">
        <w:t>)</w:t>
      </w:r>
      <w:r w:rsidR="00173765">
        <w:t xml:space="preserve">. </w:t>
      </w:r>
      <w:r w:rsidR="00E82417" w:rsidRPr="00273106">
        <w:t xml:space="preserve">Proto musí predikace </w:t>
      </w:r>
      <w:r w:rsidR="00173765">
        <w:t xml:space="preserve">rodově odlišné přírodní </w:t>
      </w:r>
      <w:r w:rsidR="00E82417" w:rsidRPr="00273106">
        <w:t>vědy jít ke skutečnému působení prvních substancí</w:t>
      </w:r>
      <w:r w:rsidR="080773D2">
        <w:t xml:space="preserve"> v modu </w:t>
      </w:r>
      <w:r w:rsidR="082A724F">
        <w:t xml:space="preserve">metafyzického </w:t>
      </w:r>
      <w:r w:rsidR="080773D2">
        <w:t>dativu</w:t>
      </w:r>
      <w:r w:rsidR="00201B94">
        <w:t xml:space="preserve">. Jen a pouze v tomto případě </w:t>
      </w:r>
      <w:r w:rsidR="00E82417" w:rsidRPr="00273106">
        <w:t>je univerzalita d</w:t>
      </w:r>
      <w:r w:rsidR="00A860FE">
        <w:t>eduktivního soudu daná univočně</w:t>
      </w:r>
      <w:r w:rsidR="00987942">
        <w:t>-kauzálně</w:t>
      </w:r>
      <w:r w:rsidR="00A860FE">
        <w:t>, tj. v modu kategoriální impozice od reálné</w:t>
      </w:r>
      <w:r w:rsidR="00E82417" w:rsidRPr="00273106">
        <w:t xml:space="preserve"> kauzalit</w:t>
      </w:r>
      <w:r w:rsidR="00A860FE">
        <w:t>y dané na úrovni působení reálných prvních substancí</w:t>
      </w:r>
      <w:r w:rsidR="00E82417" w:rsidRPr="00273106">
        <w:t xml:space="preserve">. Opět je ve hře </w:t>
      </w:r>
      <w:r w:rsidR="00112F7E">
        <w:t xml:space="preserve">dualismus mezi Albertovým </w:t>
      </w:r>
      <w:r w:rsidR="08D91F67" w:rsidRPr="08D91F67">
        <w:rPr>
          <w:i/>
        </w:rPr>
        <w:t>ex</w:t>
      </w:r>
      <w:r w:rsidR="08D91F67">
        <w:t xml:space="preserve"> </w:t>
      </w:r>
      <w:r w:rsidR="08D91F67">
        <w:rPr>
          <w:i/>
        </w:rPr>
        <w:t>inmediatis</w:t>
      </w:r>
      <w:r w:rsidR="00112F7E">
        <w:t xml:space="preserve"> a Grossetestovým </w:t>
      </w:r>
      <w:r w:rsidR="000A2CD3" w:rsidRPr="000A2CD3">
        <w:rPr>
          <w:i/>
        </w:rPr>
        <w:t>inmediat</w:t>
      </w:r>
      <w:r w:rsidR="081F1274">
        <w:rPr>
          <w:i/>
        </w:rPr>
        <w:t>e</w:t>
      </w:r>
      <w:r w:rsidR="081F1274" w:rsidRPr="081F1274">
        <w:t>. S</w:t>
      </w:r>
      <w:r w:rsidR="000A2CD3" w:rsidRPr="081F1274">
        <w:t>por</w:t>
      </w:r>
      <w:r w:rsidR="000A2CD3">
        <w:t xml:space="preserve"> </w:t>
      </w:r>
      <w:r w:rsidR="081F1274">
        <w:t xml:space="preserve">se vede </w:t>
      </w:r>
      <w:r w:rsidR="000A2CD3">
        <w:t xml:space="preserve">o </w:t>
      </w:r>
      <w:r w:rsidR="081F1274">
        <w:t xml:space="preserve">primát první triády principů poznání </w:t>
      </w:r>
      <w:r w:rsidR="009602C8">
        <w:fldChar w:fldCharType="begin"/>
      </w:r>
      <w:r w:rsidR="009602C8">
        <w:instrText xml:space="preserve"> XE "</w:instrText>
      </w:r>
      <w:r w:rsidR="009602C8" w:rsidRPr="00E01EFD">
        <w:instrText xml:space="preserve">princip </w:instrText>
      </w:r>
      <w:r w:rsidR="08D91F67">
        <w:rPr>
          <w:i/>
        </w:rPr>
        <w:instrText>ex in</w:instrText>
      </w:r>
      <w:r w:rsidR="009602C8" w:rsidRPr="009602C8">
        <w:rPr>
          <w:i/>
        </w:rPr>
        <w:instrText>mediatis</w:instrText>
      </w:r>
      <w:r w:rsidR="009602C8">
        <w:instrText xml:space="preserve">" </w:instrText>
      </w:r>
      <w:r w:rsidR="009602C8">
        <w:fldChar w:fldCharType="end"/>
      </w:r>
      <w:r w:rsidR="00E82417" w:rsidRPr="000D04E9">
        <w:rPr>
          <w:i/>
        </w:rPr>
        <w:t>Druhých analytik</w:t>
      </w:r>
      <w:r w:rsidR="081F1274">
        <w:t xml:space="preserve"> </w:t>
      </w:r>
      <w:r w:rsidR="00E82417" w:rsidRPr="00273106">
        <w:t xml:space="preserve">zrušený skrze výklad </w:t>
      </w:r>
      <w:r w:rsidR="00E82417" w:rsidRPr="00273106">
        <w:rPr>
          <w:i/>
        </w:rPr>
        <w:t>Oxfordian Fallacy</w:t>
      </w:r>
      <w:r w:rsidR="005A25E5" w:rsidRPr="00273106">
        <w:t xml:space="preserve">. </w:t>
      </w:r>
      <w:r w:rsidR="00E82417" w:rsidRPr="00273106">
        <w:t xml:space="preserve">Univocita mezi </w:t>
      </w:r>
      <w:r w:rsidR="00222BF8">
        <w:t xml:space="preserve">reálnou </w:t>
      </w:r>
      <w:r w:rsidR="00E82417" w:rsidRPr="00273106">
        <w:t xml:space="preserve">kauzalitou </w:t>
      </w:r>
      <w:r w:rsidR="00222BF8">
        <w:t xml:space="preserve">a mezi formální predikací </w:t>
      </w:r>
      <w:r w:rsidR="00C57F09">
        <w:t xml:space="preserve">vytvoří </w:t>
      </w:r>
      <w:r w:rsidR="00222BF8">
        <w:t>příčin</w:t>
      </w:r>
      <w:r w:rsidR="00C57F09">
        <w:t>u</w:t>
      </w:r>
      <w:r w:rsidR="00222BF8">
        <w:t xml:space="preserve"> jako </w:t>
      </w:r>
      <w:r w:rsidR="00C57F09">
        <w:t>esenci</w:t>
      </w:r>
      <w:r w:rsidR="00E82417" w:rsidRPr="00273106">
        <w:t xml:space="preserve"> (viz Bonaventurovo </w:t>
      </w:r>
      <w:r w:rsidR="00E82417" w:rsidRPr="00273106">
        <w:rPr>
          <w:i/>
        </w:rPr>
        <w:t>ratio causalitatis</w:t>
      </w:r>
      <w:r w:rsidR="08286C48">
        <w:t>; OBJ III, kap. 4</w:t>
      </w:r>
      <w:r w:rsidR="0868122E" w:rsidRPr="00273106">
        <w:t>.1.2</w:t>
      </w:r>
      <w:r w:rsidR="00E82417" w:rsidRPr="00273106">
        <w:t xml:space="preserve">) není podle Bacona možná. Jde o dva rozdílné řády </w:t>
      </w:r>
      <w:r w:rsidR="0855382C">
        <w:t>poznání</w:t>
      </w:r>
      <w:r w:rsidR="00273D42">
        <w:t>. R</w:t>
      </w:r>
      <w:r w:rsidR="00E82417" w:rsidRPr="00273106">
        <w:t xml:space="preserve">ozdíl </w:t>
      </w:r>
      <w:r w:rsidR="00867FEA">
        <w:t>je</w:t>
      </w:r>
      <w:r w:rsidR="00273D42">
        <w:t xml:space="preserve"> dán </w:t>
      </w:r>
      <w:r w:rsidR="00E82417" w:rsidRPr="00273106">
        <w:t xml:space="preserve">mezi </w:t>
      </w:r>
      <w:r w:rsidR="081B238A">
        <w:t xml:space="preserve">univerzalitou predikovanou o hyparchické existenci prvních substancí a mezi </w:t>
      </w:r>
      <w:r w:rsidR="08FF69EA">
        <w:t>univerza</w:t>
      </w:r>
      <w:r w:rsidR="081B238A">
        <w:t xml:space="preserve">litou logických abstrakcí hyparchicky daných v </w:t>
      </w:r>
      <w:r w:rsidR="00E82417" w:rsidRPr="00273106">
        <w:t>mysli</w:t>
      </w:r>
      <w:r w:rsidR="08FA4D79">
        <w:t>. M</w:t>
      </w:r>
      <w:r w:rsidR="004E72DC">
        <w:t>etafyzicky jde o dva odlišné řády bytí jsoucna</w:t>
      </w:r>
      <w:r w:rsidR="08FA4D79">
        <w:t xml:space="preserve">, které musí </w:t>
      </w:r>
      <w:r w:rsidR="08FA4D79" w:rsidRPr="00273106">
        <w:t>adekvační teorie pravdy</w:t>
      </w:r>
      <w:r w:rsidR="08FA4D79">
        <w:t xml:space="preserve"> přesně rozlišit</w:t>
      </w:r>
      <w:r w:rsidR="00DD181C" w:rsidRPr="00273106">
        <w:t xml:space="preserve">. </w:t>
      </w:r>
      <w:r w:rsidR="00170824">
        <w:t xml:space="preserve">Bacon </w:t>
      </w:r>
      <w:r w:rsidR="084A392A">
        <w:t xml:space="preserve">stejně jako Albert a Alvernus </w:t>
      </w:r>
      <w:r w:rsidR="00DD181C" w:rsidRPr="00273106">
        <w:t xml:space="preserve">odmítl </w:t>
      </w:r>
      <w:r w:rsidR="00170824">
        <w:t xml:space="preserve">vidět svět skrze </w:t>
      </w:r>
      <w:r w:rsidR="00170824" w:rsidRPr="00170824">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9602C8">
        <w:instrText>:</w:instrText>
      </w:r>
      <w:r w:rsidR="009602C8" w:rsidRPr="009602C8">
        <w:instrText>kritika Bacona</w:instrText>
      </w:r>
      <w:r w:rsidR="00924399">
        <w:instrText xml:space="preserve">" </w:instrText>
      </w:r>
      <w:r w:rsidR="00924399">
        <w:rPr>
          <w:i/>
        </w:rPr>
        <w:fldChar w:fldCharType="end"/>
      </w:r>
      <w:r w:rsidR="00170824">
        <w:t>, pro</w:t>
      </w:r>
      <w:r w:rsidR="08986AE4">
        <w:t>to</w:t>
      </w:r>
      <w:r w:rsidR="08206546">
        <w:t xml:space="preserve">že jej považoval za šílený. Proto </w:t>
      </w:r>
      <w:r w:rsidR="08986AE4">
        <w:t>odmítl</w:t>
      </w:r>
      <w:r w:rsidR="08986AE4" w:rsidRPr="00273106">
        <w:t xml:space="preserve"> </w:t>
      </w:r>
      <w:r w:rsidR="00170824">
        <w:t xml:space="preserve">univoční </w:t>
      </w:r>
      <w:r w:rsidR="00170824" w:rsidRPr="00273106">
        <w:t>formální predikaci</w:t>
      </w:r>
      <w:r w:rsidR="00B07C3D">
        <w:t xml:space="preserve"> danou v matematice</w:t>
      </w:r>
      <w:r w:rsidR="08986AE4" w:rsidRPr="08986AE4">
        <w:t xml:space="preserve"> </w:t>
      </w:r>
      <w:r w:rsidR="08986AE4">
        <w:t>pro vědecký soud o reálné kauzalitě</w:t>
      </w:r>
      <w:r w:rsidR="00170824" w:rsidRPr="00273106">
        <w:t xml:space="preserve">. </w:t>
      </w:r>
      <w:r w:rsidR="00B07C3D">
        <w:t>Matematika nemůže postihnout kauzalitu reálných substancí, protože její vztahy jsou dány pouze skrze logickou abstrakci</w:t>
      </w:r>
      <w:r w:rsidR="009602C8">
        <w:fldChar w:fldCharType="begin"/>
      </w:r>
      <w:r w:rsidR="009602C8">
        <w:instrText xml:space="preserve"> XE </w:instrText>
      </w:r>
      <w:r w:rsidR="009602C8">
        <w:lastRenderedPageBreak/>
        <w:instrText>"</w:instrText>
      </w:r>
      <w:r w:rsidR="009602C8" w:rsidRPr="009135AC">
        <w:instrText>abstrakce:matematická</w:instrText>
      </w:r>
      <w:r w:rsidR="009602C8">
        <w:instrText xml:space="preserve">" </w:instrText>
      </w:r>
      <w:r w:rsidR="009602C8">
        <w:fldChar w:fldCharType="end"/>
      </w:r>
      <w:r w:rsidR="00B07C3D">
        <w:t xml:space="preserve">. </w:t>
      </w:r>
      <w:r w:rsidR="00170824">
        <w:t xml:space="preserve">Tím také odmítl </w:t>
      </w:r>
      <w:r w:rsidR="00DD181C" w:rsidRPr="00273106">
        <w:t>analogickou</w:t>
      </w:r>
      <w:r w:rsidR="08157602" w:rsidRPr="00273106">
        <w:t xml:space="preserve"> či dokonce </w:t>
      </w:r>
      <w:r w:rsidR="00E82417" w:rsidRPr="00273106">
        <w:t>univoční teori</w:t>
      </w:r>
      <w:r w:rsidR="00DD181C" w:rsidRPr="00273106">
        <w:t>i</w:t>
      </w:r>
      <w:r w:rsidR="00E82417" w:rsidRPr="00273106">
        <w:t xml:space="preserve"> </w:t>
      </w:r>
      <w:r w:rsidR="00E82417" w:rsidRPr="00273106">
        <w:rPr>
          <w:i/>
        </w:rPr>
        <w:t>Modernorum</w:t>
      </w:r>
      <w:r w:rsidR="08157602" w:rsidRPr="00273106">
        <w:t xml:space="preserve">, která </w:t>
      </w:r>
      <w:r w:rsidR="00391F33">
        <w:t xml:space="preserve">v tzv. „vědeckém“ poznání druhého averroismu </w:t>
      </w:r>
      <w:r w:rsidR="08157602" w:rsidRPr="00273106">
        <w:t xml:space="preserve">adekvuje </w:t>
      </w:r>
      <w:r w:rsidR="08A8108D" w:rsidRPr="00273106">
        <w:t xml:space="preserve">dvě odlišná univerzální </w:t>
      </w:r>
      <w:r w:rsidR="004B4D52" w:rsidRPr="004B4D52">
        <w:t>species</w:t>
      </w:r>
      <w:r w:rsidR="000D04E9">
        <w:t xml:space="preserve"> po vzoru Avicebrona. Jedna</w:t>
      </w:r>
      <w:r w:rsidR="00391F33">
        <w:t xml:space="preserve"> </w:t>
      </w:r>
      <w:r w:rsidR="004B4D52" w:rsidRPr="004B4D52">
        <w:t>species</w:t>
      </w:r>
      <w:r w:rsidR="000D04E9">
        <w:t xml:space="preserve"> je predikovaná</w:t>
      </w:r>
      <w:r w:rsidR="00391F33">
        <w:t xml:space="preserve"> </w:t>
      </w:r>
      <w:r w:rsidR="08A8108D" w:rsidRPr="00273106">
        <w:t>v čisté formě</w:t>
      </w:r>
      <w:r w:rsidR="00391F33">
        <w:t xml:space="preserve">, </w:t>
      </w:r>
      <w:r w:rsidR="08A8108D" w:rsidRPr="00273106">
        <w:t>a p</w:t>
      </w:r>
      <w:r w:rsidR="000D04E9">
        <w:t>ak se zjišťuje její</w:t>
      </w:r>
      <w:r w:rsidR="00391F33">
        <w:t xml:space="preserve"> kontigentní výskyt </w:t>
      </w:r>
      <w:r w:rsidR="08A8108D" w:rsidRPr="00273106">
        <w:t>v hylemorfické složenině.</w:t>
      </w:r>
      <w:r w:rsidR="00391F33">
        <w:t xml:space="preserve"> První averroismus nepřipustil synkretismus v poznání první substance, což poprvé předvedl biskup Alvernus oddělením </w:t>
      </w:r>
      <w:r w:rsidR="002E3B62">
        <w:t>Averroes</w:t>
      </w:r>
      <w:r w:rsidR="00391F33">
        <w:t xml:space="preserve">ova výkladu </w:t>
      </w:r>
      <w:r w:rsidR="00555D21">
        <w:t xml:space="preserve">metafyziky </w:t>
      </w:r>
      <w:r w:rsidR="00391F33">
        <w:t xml:space="preserve">od </w:t>
      </w:r>
      <w:r w:rsidR="00874074">
        <w:t>neoplatonsk</w:t>
      </w:r>
      <w:r w:rsidR="000D04E9">
        <w:t xml:space="preserve">ých </w:t>
      </w:r>
      <w:r w:rsidR="00555D21">
        <w:rPr>
          <w:i/>
        </w:rPr>
        <w:t>sequaces Ar</w:t>
      </w:r>
      <w:r w:rsidR="00391F33" w:rsidRPr="00391F33">
        <w:rPr>
          <w:i/>
        </w:rPr>
        <w:t>i</w:t>
      </w:r>
      <w:r w:rsidR="00555D21">
        <w:rPr>
          <w:i/>
        </w:rPr>
        <w:t>s</w:t>
      </w:r>
      <w:r w:rsidR="00391F33" w:rsidRPr="00391F33">
        <w:rPr>
          <w:i/>
        </w:rPr>
        <w:t>totelis</w:t>
      </w:r>
      <w:r w:rsidR="00BB1AC2">
        <w:rPr>
          <w:i/>
        </w:rPr>
        <w:fldChar w:fldCharType="begin"/>
      </w:r>
      <w:r w:rsidR="00BB1AC2">
        <w:instrText xml:space="preserve"> XE "</w:instrText>
      </w:r>
      <w:r w:rsidR="009602C8">
        <w:instrText>druhý averroismus:</w:instrText>
      </w:r>
      <w:r w:rsidR="00BB1AC2" w:rsidRPr="00B81DDF">
        <w:rPr>
          <w:i/>
        </w:rPr>
        <w:instrText>sequaces Aristotelis</w:instrText>
      </w:r>
      <w:r w:rsidR="00BB1AC2">
        <w:instrText xml:space="preserve">" </w:instrText>
      </w:r>
      <w:r w:rsidR="00BB1AC2">
        <w:rPr>
          <w:i/>
        </w:rPr>
        <w:fldChar w:fldCharType="end"/>
      </w:r>
      <w:r w:rsidR="00F16165">
        <w:t xml:space="preserve"> determinovaných Avicennovou metafyzikou</w:t>
      </w:r>
      <w:r w:rsidR="08286C48">
        <w:t xml:space="preserve"> (kap. 2</w:t>
      </w:r>
      <w:r w:rsidR="00FB5ADF">
        <w:t>.3</w:t>
      </w:r>
      <w:r w:rsidR="00D548D9">
        <w:t>.1</w:t>
      </w:r>
      <w:r w:rsidR="00FB5ADF">
        <w:t>)</w:t>
      </w:r>
      <w:r w:rsidR="00412613">
        <w:t xml:space="preserve">. </w:t>
      </w:r>
      <w:r w:rsidR="00D477C6">
        <w:t>Je třeba poznamenat, že j</w:t>
      </w:r>
      <w:r w:rsidR="00412613" w:rsidRPr="00412613">
        <w:t>asné rozdělení různých dr</w:t>
      </w:r>
      <w:r w:rsidR="00412613">
        <w:t xml:space="preserve">uhů aristotelismu </w:t>
      </w:r>
      <w:r w:rsidR="00412613" w:rsidRPr="00412613">
        <w:t xml:space="preserve">bylo pro scholastiky </w:t>
      </w:r>
      <w:r w:rsidR="00D477C6">
        <w:t>v letech 1230–</w:t>
      </w:r>
      <w:r w:rsidR="00D477C6" w:rsidRPr="00412613">
        <w:t xml:space="preserve">50 </w:t>
      </w:r>
      <w:r w:rsidR="00412613" w:rsidRPr="00412613">
        <w:t>z mnoha důvodů velmi obtížné. Tohoto rozlišení byli schopni jen ti nejlepší z nich.</w:t>
      </w:r>
      <w:r w:rsidR="00412613">
        <w:t xml:space="preserve"> </w:t>
      </w:r>
      <w:r w:rsidR="086907C7">
        <w:t xml:space="preserve">Proto </w:t>
      </w:r>
      <w:r w:rsidR="00BB5FE3">
        <w:t xml:space="preserve">moderní </w:t>
      </w:r>
      <w:r w:rsidR="086907C7">
        <w:t>Fúrie nakonec zvítězily, protože po mocenských zásazích nakonec na univerzitách žádní kritičtí aristotelikové nezbyli. A vždy nová a zajímavá filosofická a sofistická mytopoetika praktikovaná v modu kulturní hegemonie</w:t>
      </w:r>
      <w:r w:rsidR="086907C7">
        <w:fldChar w:fldCharType="begin"/>
      </w:r>
      <w:r w:rsidR="086907C7">
        <w:instrText xml:space="preserve"> XE "</w:instrText>
      </w:r>
      <w:r w:rsidR="086907C7" w:rsidRPr="085233AE">
        <w:instrText>kulturní hegemonie</w:instrText>
      </w:r>
      <w:r w:rsidR="086907C7">
        <w:instrText xml:space="preserve">" </w:instrText>
      </w:r>
      <w:r w:rsidR="086907C7">
        <w:fldChar w:fldCharType="end"/>
      </w:r>
      <w:r w:rsidR="086907C7">
        <w:t xml:space="preserve"> (</w:t>
      </w:r>
      <w:r w:rsidR="08286C48">
        <w:t>OBJ III, kap. 4</w:t>
      </w:r>
      <w:r w:rsidR="086907C7">
        <w:t xml:space="preserve">.6) přitahuje akademické nedospělce </w:t>
      </w:r>
      <w:r w:rsidR="006B02C0">
        <w:t xml:space="preserve">všeho druhu </w:t>
      </w:r>
      <w:r w:rsidR="086907C7">
        <w:t>(</w:t>
      </w:r>
      <w:r w:rsidR="086907C7" w:rsidRPr="086907C7">
        <w:rPr>
          <w:i/>
          <w:szCs w:val="15"/>
        </w:rPr>
        <w:t xml:space="preserve">stultam </w:t>
      </w:r>
      <w:r w:rsidR="086907C7" w:rsidRPr="086907C7">
        <w:rPr>
          <w:i/>
          <w:szCs w:val="16"/>
        </w:rPr>
        <w:t>multitudinem</w:t>
      </w:r>
      <w:r w:rsidR="086907C7">
        <w:t xml:space="preserve">) </w:t>
      </w:r>
      <w:r w:rsidR="006B02C0">
        <w:t xml:space="preserve">mnohem </w:t>
      </w:r>
      <w:r w:rsidR="086907C7">
        <w:t>víc než kritické myšlení</w:t>
      </w:r>
      <w:r w:rsidR="08286C48">
        <w:t xml:space="preserve">. To </w:t>
      </w:r>
      <w:r w:rsidR="08FD4739">
        <w:t xml:space="preserve">jde </w:t>
      </w:r>
      <w:r w:rsidR="08A14D92">
        <w:t xml:space="preserve">odvěkou múzickou </w:t>
      </w:r>
      <w:r w:rsidR="08FD4739">
        <w:t>cestou jedné moudrosti</w:t>
      </w:r>
      <w:r w:rsidR="08A14D92">
        <w:t xml:space="preserve"> dané kosmickou dráhou Slunce</w:t>
      </w:r>
      <w:r w:rsidR="086907C7">
        <w:t xml:space="preserve">. </w:t>
      </w:r>
      <w:r w:rsidR="088A44BC">
        <w:t>V Platonově jeskyni je možné virtuálně simulovat cokoliv akademicky vtipného a zajímavého</w:t>
      </w:r>
      <w:r w:rsidR="087F477F">
        <w:t xml:space="preserve"> a moderní odyssea chaotické mysli </w:t>
      </w:r>
      <w:r w:rsidR="0889361B">
        <w:t>kráč</w:t>
      </w:r>
      <w:r w:rsidR="082A788D">
        <w:t xml:space="preserve">í pod praporem radostné vědy Fúrií naprosto </w:t>
      </w:r>
      <w:r w:rsidR="087F477F">
        <w:t>kamkoliv</w:t>
      </w:r>
      <w:r w:rsidR="00212337">
        <w:t>.</w:t>
      </w:r>
    </w:p>
    <w:p w14:paraId="0F73F86D" w14:textId="77777777" w:rsidR="00AE5246" w:rsidRDefault="00221596" w:rsidP="00212337">
      <w:pPr>
        <w:ind w:firstLine="397"/>
      </w:pPr>
      <w:r w:rsidRPr="00273106">
        <w:t xml:space="preserve">Harmonizace Aristotela a </w:t>
      </w:r>
      <w:r w:rsidR="008E02F5">
        <w:t>Platon</w:t>
      </w:r>
      <w:r w:rsidRPr="00273106">
        <w:t xml:space="preserve">a byla </w:t>
      </w:r>
      <w:r w:rsidR="00286F7B" w:rsidRPr="00273106">
        <w:t xml:space="preserve">u Latiníků </w:t>
      </w:r>
      <w:r w:rsidR="08286C48">
        <w:t>velmi proble</w:t>
      </w:r>
      <w:r w:rsidR="08A2153C">
        <w:t>ma</w:t>
      </w:r>
      <w:r w:rsidR="08286C48">
        <w:t>tickým podnikem</w:t>
      </w:r>
      <w:r w:rsidR="08183DAB">
        <w:t xml:space="preserve"> stejně jako ve falsafě, viz myšlení Al-</w:t>
      </w:r>
      <w:r w:rsidR="008E02F5">
        <w:t>Fárábí</w:t>
      </w:r>
      <w:r w:rsidRPr="00273106">
        <w:t>ho</w:t>
      </w:r>
      <w:r w:rsidR="08286C48">
        <w:t xml:space="preserve"> a Averroese</w:t>
      </w:r>
      <w:r w:rsidRPr="00273106">
        <w:t xml:space="preserve">. </w:t>
      </w:r>
      <w:r w:rsidR="001931A2">
        <w:t xml:space="preserve">Dílo </w:t>
      </w:r>
      <w:r w:rsidR="001931A2" w:rsidRPr="001931A2">
        <w:rPr>
          <w:i/>
        </w:rPr>
        <w:t>Liber de c</w:t>
      </w:r>
      <w:r w:rsidRPr="001931A2">
        <w:rPr>
          <w:i/>
        </w:rPr>
        <w:t>ausis</w:t>
      </w:r>
      <w:r w:rsidRPr="00273106">
        <w:t xml:space="preserve"> a další neoplatonské interpretace Stagirity tradované z byzantských a z arabských zdrojů byly považovány za autentické spisy Korpusu. Většina autorů 13. století považovala Avicennovu filosofii za autentické následování Aristotela</w:t>
      </w:r>
      <w:r w:rsidR="001931A2">
        <w:t>, což razila především Toledská škola</w:t>
      </w:r>
      <w:r w:rsidRPr="00273106">
        <w:t xml:space="preserve">. </w:t>
      </w:r>
      <w:r w:rsidRPr="00273106">
        <w:rPr>
          <w:rStyle w:val="Zkladntext158dkovn0pt"/>
          <w:color w:val="auto"/>
          <w:spacing w:val="0"/>
          <w:sz w:val="24"/>
          <w:lang w:val="cs-CZ"/>
        </w:rPr>
        <w:t xml:space="preserve">Syntéza </w:t>
      </w:r>
      <w:r w:rsidR="008E02F5">
        <w:rPr>
          <w:rStyle w:val="Zkladntext158dkovn0pt"/>
          <w:color w:val="auto"/>
          <w:spacing w:val="0"/>
          <w:sz w:val="24"/>
          <w:lang w:val="cs-CZ"/>
        </w:rPr>
        <w:t>Platon</w:t>
      </w:r>
      <w:r w:rsidRPr="00273106">
        <w:rPr>
          <w:rStyle w:val="Zkladntext158dkovn0pt"/>
          <w:color w:val="auto"/>
          <w:spacing w:val="0"/>
          <w:sz w:val="24"/>
          <w:lang w:val="cs-CZ"/>
        </w:rPr>
        <w:t>a a Aristotela nebyla skuteč</w:t>
      </w:r>
      <w:r w:rsidR="008B7536">
        <w:rPr>
          <w:rStyle w:val="Zkladntext158dkovn0pt"/>
          <w:color w:val="auto"/>
          <w:spacing w:val="0"/>
          <w:sz w:val="24"/>
          <w:lang w:val="cs-CZ"/>
        </w:rPr>
        <w:t>ným problémem zhruba do roku 122</w:t>
      </w:r>
      <w:r w:rsidRPr="00273106">
        <w:rPr>
          <w:rStyle w:val="Zkladntext158dkovn0pt"/>
          <w:color w:val="auto"/>
          <w:spacing w:val="0"/>
          <w:sz w:val="24"/>
          <w:lang w:val="cs-CZ"/>
        </w:rPr>
        <w:t xml:space="preserve">0, kdy ve scholastice </w:t>
      </w:r>
      <w:r w:rsidR="008B7536">
        <w:rPr>
          <w:rStyle w:val="Zkladntext158dkovn0pt"/>
          <w:color w:val="auto"/>
          <w:spacing w:val="0"/>
          <w:sz w:val="24"/>
          <w:lang w:val="cs-CZ"/>
        </w:rPr>
        <w:t xml:space="preserve">nerušeně </w:t>
      </w:r>
      <w:r w:rsidRPr="00273106">
        <w:rPr>
          <w:rStyle w:val="Zkladntext158dkovn0pt"/>
          <w:color w:val="auto"/>
          <w:spacing w:val="0"/>
          <w:sz w:val="24"/>
          <w:lang w:val="cs-CZ"/>
        </w:rPr>
        <w:t>vládl aristotelský avicennismus a kdy jeho filosofickým oponentem byla pouze boethiovská interpretace aristotelského Korpusu</w:t>
      </w:r>
      <w:r w:rsidR="008B7536">
        <w:rPr>
          <w:rStyle w:val="Zkladntext158dkovn0pt"/>
          <w:color w:val="auto"/>
          <w:spacing w:val="0"/>
          <w:sz w:val="24"/>
          <w:lang w:val="cs-CZ"/>
        </w:rPr>
        <w:t xml:space="preserve"> v podání Blundovy školy navazující na Abelarda</w:t>
      </w:r>
      <w:r w:rsidRPr="00273106">
        <w:rPr>
          <w:rStyle w:val="Zkladntext158dkovn0pt"/>
          <w:color w:val="auto"/>
          <w:spacing w:val="0"/>
          <w:sz w:val="24"/>
          <w:lang w:val="cs-CZ"/>
        </w:rPr>
        <w:t xml:space="preserve">. </w:t>
      </w:r>
      <w:r w:rsidR="08B85383" w:rsidRPr="00273106">
        <w:rPr>
          <w:rStyle w:val="Zkladntext158dkovn0pt"/>
          <w:color w:val="auto"/>
          <w:spacing w:val="0"/>
          <w:sz w:val="24"/>
          <w:lang w:val="cs-CZ"/>
        </w:rPr>
        <w:t>Tuto situaci</w:t>
      </w:r>
      <w:r w:rsidR="006D1135">
        <w:rPr>
          <w:rStyle w:val="Zkladntext158dkovn0pt"/>
          <w:color w:val="auto"/>
          <w:spacing w:val="0"/>
          <w:sz w:val="24"/>
          <w:lang w:val="cs-CZ"/>
        </w:rPr>
        <w:t xml:space="preserve"> jsme ukázali na konfliktu dvou </w:t>
      </w:r>
      <w:r w:rsidR="08B85383" w:rsidRPr="00273106">
        <w:rPr>
          <w:rStyle w:val="Zkladntext158dkovn0pt"/>
          <w:color w:val="auto"/>
          <w:spacing w:val="0"/>
          <w:sz w:val="24"/>
          <w:lang w:val="cs-CZ"/>
        </w:rPr>
        <w:t>škol, jejímiž reprezen</w:t>
      </w:r>
      <w:r w:rsidR="000A0836" w:rsidRPr="00273106">
        <w:rPr>
          <w:rStyle w:val="Zkladntext158dkovn0pt"/>
          <w:color w:val="auto"/>
          <w:spacing w:val="0"/>
          <w:sz w:val="24"/>
          <w:lang w:val="cs-CZ"/>
        </w:rPr>
        <w:t>t</w:t>
      </w:r>
      <w:r w:rsidR="08B85383" w:rsidRPr="00273106">
        <w:rPr>
          <w:rStyle w:val="Zkladntext158dkovn0pt"/>
          <w:color w:val="auto"/>
          <w:spacing w:val="0"/>
          <w:sz w:val="24"/>
          <w:lang w:val="cs-CZ"/>
        </w:rPr>
        <w:t xml:space="preserve">anty byli </w:t>
      </w:r>
      <w:r w:rsidR="00CB3E4F">
        <w:rPr>
          <w:rStyle w:val="Zkladntext158dkovn0pt"/>
          <w:color w:val="auto"/>
          <w:spacing w:val="0"/>
          <w:sz w:val="24"/>
          <w:lang w:val="cs-CZ"/>
        </w:rPr>
        <w:t>Abélard</w:t>
      </w:r>
      <w:r w:rsidR="08B85383" w:rsidRPr="00273106">
        <w:rPr>
          <w:rStyle w:val="Zkladntext158dkovn0pt"/>
          <w:color w:val="auto"/>
          <w:spacing w:val="0"/>
          <w:sz w:val="24"/>
          <w:lang w:val="cs-CZ"/>
        </w:rPr>
        <w:t xml:space="preserve"> a Anselm. </w:t>
      </w:r>
      <w:r w:rsidRPr="00273106">
        <w:rPr>
          <w:rStyle w:val="Zkladntext158dkovn0pt"/>
          <w:color w:val="auto"/>
          <w:spacing w:val="0"/>
          <w:sz w:val="24"/>
          <w:lang w:val="cs-CZ"/>
        </w:rPr>
        <w:t xml:space="preserve">Pak přichází na scénu </w:t>
      </w:r>
      <w:r w:rsidR="002E3B62">
        <w:rPr>
          <w:rStyle w:val="Zkladntext158dkovn0pt"/>
          <w:color w:val="auto"/>
          <w:spacing w:val="0"/>
          <w:sz w:val="24"/>
          <w:lang w:val="cs-CZ"/>
        </w:rPr>
        <w:t>Averroes</w:t>
      </w:r>
      <w:r w:rsidRPr="00273106">
        <w:rPr>
          <w:rStyle w:val="Zkladntext158dkovn0pt"/>
          <w:color w:val="auto"/>
          <w:spacing w:val="0"/>
          <w:sz w:val="24"/>
          <w:lang w:val="cs-CZ"/>
        </w:rPr>
        <w:t xml:space="preserve"> a jeho originální pojetí intelektuálního poznání, které se opírá o primát první substance. </w:t>
      </w:r>
      <w:r w:rsidR="00660132">
        <w:rPr>
          <w:rStyle w:val="Zkladntext158dkovn0pt"/>
          <w:color w:val="auto"/>
          <w:spacing w:val="0"/>
          <w:sz w:val="24"/>
          <w:lang w:val="cs-CZ"/>
        </w:rPr>
        <w:t xml:space="preserve">Tuto intepretaci jasně hájila Sicilská škola v návaznosti na biologická díla Aristotela. </w:t>
      </w:r>
      <w:r w:rsidRPr="00273106">
        <w:t>Mistři scholastického myšlení kolem 1230–40 jednomyslně uznali genialitu Kordóbského učence</w:t>
      </w:r>
      <w:r w:rsidR="008E2B69">
        <w:t xml:space="preserve"> jako autentického Komentátora</w:t>
      </w:r>
      <w:r w:rsidRPr="00273106">
        <w:t>, což tvoří podle Gauthiera a dalších auto</w:t>
      </w:r>
      <w:r w:rsidR="0043395F" w:rsidRPr="00273106">
        <w:t>rů podstatu prvního averroismu.</w:t>
      </w:r>
      <w:r w:rsidR="00B072A4" w:rsidRPr="00273106">
        <w:t xml:space="preserve"> </w:t>
      </w:r>
      <w:r w:rsidR="08AF01A7">
        <w:t>P</w:t>
      </w:r>
      <w:r w:rsidR="00B25CF9">
        <w:t xml:space="preserve">rvní </w:t>
      </w:r>
      <w:r w:rsidR="00C46E1D">
        <w:t xml:space="preserve">znalci </w:t>
      </w:r>
      <w:r w:rsidR="00B25CF9">
        <w:t xml:space="preserve">ze školy prvního averroismu </w:t>
      </w:r>
      <w:r w:rsidR="00C46E1D">
        <w:t xml:space="preserve">jako </w:t>
      </w:r>
      <w:r w:rsidR="00B25CF9">
        <w:t xml:space="preserve">možná </w:t>
      </w:r>
      <w:r w:rsidR="00B25CF9">
        <w:lastRenderedPageBreak/>
        <w:t xml:space="preserve">ještě žijící Blund, ale zcela jistě </w:t>
      </w:r>
      <w:r w:rsidR="08AF01A7">
        <w:t xml:space="preserve">Alvernus a částečně </w:t>
      </w:r>
      <w:r w:rsidR="001636A1">
        <w:t xml:space="preserve">Grosseteste </w:t>
      </w:r>
      <w:r w:rsidR="08AF01A7">
        <w:t xml:space="preserve">provedli </w:t>
      </w:r>
      <w:r w:rsidR="00B90715">
        <w:t xml:space="preserve">fundamentální </w:t>
      </w:r>
      <w:r w:rsidR="00C46E1D">
        <w:t xml:space="preserve">rozlišení mezi </w:t>
      </w:r>
      <w:r w:rsidR="00874074">
        <w:t>neoplatonsk</w:t>
      </w:r>
      <w:r w:rsidR="00C46E1D">
        <w:t xml:space="preserve">ou a aristotelskou interpretací </w:t>
      </w:r>
      <w:r w:rsidR="00C46E1D" w:rsidRPr="00C46E1D">
        <w:rPr>
          <w:i/>
        </w:rPr>
        <w:t>Corpus Aristotelicum</w:t>
      </w:r>
      <w:r w:rsidR="085619EB">
        <w:t xml:space="preserve"> podle Toledské a podle Sicilské školy. </w:t>
      </w:r>
      <w:r w:rsidR="00B90715">
        <w:t xml:space="preserve">Tato událost </w:t>
      </w:r>
      <w:r w:rsidR="00D41F97">
        <w:t xml:space="preserve">daná v řádu kritického a brilantního myšlení </w:t>
      </w:r>
      <w:r w:rsidR="00B90715">
        <w:t>zachránila ari</w:t>
      </w:r>
      <w:r w:rsidR="00D41F97">
        <w:t>s</w:t>
      </w:r>
      <w:r w:rsidR="00B90715">
        <w:t>totelské pojetí vědy a substanční jednotu člověka pro latinský Západ</w:t>
      </w:r>
      <w:r w:rsidR="0051720B">
        <w:t xml:space="preserve">. </w:t>
      </w:r>
      <w:r w:rsidR="0051720B" w:rsidRPr="0051720B">
        <w:t>Připomeňme, že podle CMDA stačí k</w:t>
      </w:r>
      <w:r w:rsidR="0051720B">
        <w:t xml:space="preserve"> dějinné </w:t>
      </w:r>
      <w:r w:rsidR="0051720B" w:rsidRPr="0051720B">
        <w:t xml:space="preserve">existenci </w:t>
      </w:r>
      <w:r w:rsidR="0051720B" w:rsidRPr="0051720B">
        <w:rPr>
          <w:i/>
        </w:rPr>
        <w:t>alétheia</w:t>
      </w:r>
      <w:r w:rsidR="0051720B" w:rsidRPr="0051720B">
        <w:t xml:space="preserve"> jediný milovník moudrosti. Tato reálně existující první substance může vytvářet pravý smysl bytí pro celé </w:t>
      </w:r>
      <w:r w:rsidR="0051720B">
        <w:t xml:space="preserve">specificky </w:t>
      </w:r>
      <w:r w:rsidR="0051720B" w:rsidRPr="0051720B">
        <w:t>zmatené lidstvo.</w:t>
      </w:r>
      <w:r w:rsidR="0051720B">
        <w:t xml:space="preserve"> Archaické </w:t>
      </w:r>
      <w:r w:rsidR="089C03F6">
        <w:t>Múzy</w:t>
      </w:r>
      <w:r w:rsidR="089C03F6">
        <w:fldChar w:fldCharType="begin"/>
      </w:r>
      <w:r w:rsidR="089C03F6">
        <w:instrText xml:space="preserve"> XE "</w:instrText>
      </w:r>
      <w:r w:rsidR="089C03F6" w:rsidRPr="08140D77">
        <w:instrText>Múzy</w:instrText>
      </w:r>
      <w:r w:rsidR="089C03F6">
        <w:instrText xml:space="preserve">" </w:instrText>
      </w:r>
      <w:r w:rsidR="089C03F6">
        <w:fldChar w:fldCharType="end"/>
      </w:r>
      <w:r w:rsidR="089C03F6">
        <w:t xml:space="preserve"> cení moudrost maximálním způsobem, zatímco trestající akademické Fúrie musí vést všechny slepé objektivisty najednou jako jeden moderní subjekt. </w:t>
      </w:r>
      <w:r w:rsidR="003F5F9C" w:rsidRPr="00273106">
        <w:t xml:space="preserve">Spor mezi prvním a druhým averroismem je dosvědčen ve druhé dekádě latinské recepce </w:t>
      </w:r>
      <w:r w:rsidR="000B13C9">
        <w:t xml:space="preserve">Sicilského a Toledského výkladu </w:t>
      </w:r>
      <w:r w:rsidR="002E3B62">
        <w:t>Averroes</w:t>
      </w:r>
      <w:r w:rsidR="08F80D7D">
        <w:t xml:space="preserve">e. Místem sporu </w:t>
      </w:r>
      <w:r w:rsidR="08B64AAE">
        <w:t xml:space="preserve">mezi prvními averroisty a modernisty byla </w:t>
      </w:r>
      <w:r w:rsidR="08F80D7D">
        <w:t>Pařížská univerzita v letech 1240‒45</w:t>
      </w:r>
      <w:r w:rsidR="003F5F9C" w:rsidRPr="00273106">
        <w:t xml:space="preserve">. </w:t>
      </w:r>
      <w:r w:rsidR="083C48DB">
        <w:t xml:space="preserve">Toto první kolo modernisté prohráli </w:t>
      </w:r>
      <w:r w:rsidR="00E1642D">
        <w:t>až do roku 1255. P</w:t>
      </w:r>
      <w:r w:rsidR="083C48DB">
        <w:t xml:space="preserve">roto na </w:t>
      </w:r>
      <w:r w:rsidR="00C60580">
        <w:t xml:space="preserve">toto období </w:t>
      </w:r>
      <w:r w:rsidR="083C48DB">
        <w:t xml:space="preserve">uvalili objektivní </w:t>
      </w:r>
      <w:r w:rsidR="083C48DB" w:rsidRPr="006732F2">
        <w:rPr>
          <w:i/>
        </w:rPr>
        <w:t>damnatio memoriae</w:t>
      </w:r>
      <w:r w:rsidR="083C48DB">
        <w:rPr>
          <w:i/>
        </w:rPr>
        <w:fldChar w:fldCharType="begin"/>
      </w:r>
      <w:r w:rsidR="083C48DB">
        <w:instrText xml:space="preserve"> XE "</w:instrText>
      </w:r>
      <w:r w:rsidR="083C48DB" w:rsidRPr="00F20519">
        <w:rPr>
          <w:i/>
        </w:rPr>
        <w:instrText>damnatio memoriae</w:instrText>
      </w:r>
      <w:r w:rsidR="083C48DB">
        <w:instrText xml:space="preserve">" </w:instrText>
      </w:r>
      <w:r w:rsidR="083C48DB">
        <w:rPr>
          <w:i/>
        </w:rPr>
        <w:fldChar w:fldCharType="end"/>
      </w:r>
      <w:r w:rsidR="083C48DB">
        <w:t xml:space="preserve">. </w:t>
      </w:r>
      <w:r w:rsidR="00223150">
        <w:t xml:space="preserve">Prubířským kamenem dělení mezi </w:t>
      </w:r>
      <w:r w:rsidR="00D30AE6" w:rsidRPr="00C46E1D">
        <w:rPr>
          <w:i/>
        </w:rPr>
        <w:t>sequaces Aristotelis</w:t>
      </w:r>
      <w:r w:rsidR="009602C8" w:rsidRPr="009602C8">
        <w:rPr>
          <w:i/>
        </w:rPr>
        <w:t xml:space="preserve"> </w:t>
      </w:r>
      <w:r w:rsidR="009602C8">
        <w:rPr>
          <w:i/>
        </w:rPr>
        <w:fldChar w:fldCharType="begin"/>
      </w:r>
      <w:r w:rsidR="009602C8">
        <w:instrText xml:space="preserve"> XE "druhý averroismus:</w:instrText>
      </w:r>
      <w:r w:rsidR="009602C8" w:rsidRPr="00B81DDF">
        <w:rPr>
          <w:i/>
        </w:rPr>
        <w:instrText>sequaces Aristotelis</w:instrText>
      </w:r>
      <w:r w:rsidR="009602C8">
        <w:instrText xml:space="preserve">" </w:instrText>
      </w:r>
      <w:r w:rsidR="009602C8">
        <w:rPr>
          <w:i/>
        </w:rPr>
        <w:fldChar w:fldCharType="end"/>
      </w:r>
      <w:r w:rsidR="00D30AE6">
        <w:t xml:space="preserve">a prvním averroismem byl statut možného a činného intelektu jako integrální schopnosti duše podle CMDA. Druhý averroismus vyrobil dvě </w:t>
      </w:r>
      <w:r w:rsidR="006732F2">
        <w:t xml:space="preserve">intelektuální </w:t>
      </w:r>
      <w:r w:rsidR="00D30AE6">
        <w:t>subst</w:t>
      </w:r>
      <w:r w:rsidR="00223150">
        <w:t xml:space="preserve">ance </w:t>
      </w:r>
      <w:r w:rsidR="006732F2">
        <w:t>(</w:t>
      </w:r>
      <w:r w:rsidR="006732F2" w:rsidRPr="006732F2">
        <w:rPr>
          <w:i/>
        </w:rPr>
        <w:t>intellectus possibilis</w:t>
      </w:r>
      <w:r w:rsidR="006732F2">
        <w:t xml:space="preserve">, </w:t>
      </w:r>
      <w:r w:rsidR="006732F2" w:rsidRPr="006732F2">
        <w:rPr>
          <w:i/>
        </w:rPr>
        <w:t>agens</w:t>
      </w:r>
      <w:r w:rsidR="006732F2">
        <w:t>)</w:t>
      </w:r>
      <w:r w:rsidR="006A0CF4">
        <w:t xml:space="preserve">. Modernisté se </w:t>
      </w:r>
      <w:r w:rsidR="00223150">
        <w:t>pak marně pokoušel</w:t>
      </w:r>
      <w:r w:rsidR="006A0CF4">
        <w:t>i</w:t>
      </w:r>
      <w:r w:rsidR="00223150">
        <w:t xml:space="preserve"> ty</w:t>
      </w:r>
      <w:r w:rsidR="00D30AE6">
        <w:t xml:space="preserve">to substance </w:t>
      </w:r>
      <w:r w:rsidR="00103F5F">
        <w:t xml:space="preserve">dané v modu intelektu jako </w:t>
      </w:r>
      <w:r w:rsidR="00103F5F">
        <w:rPr>
          <w:i/>
        </w:rPr>
        <w:t>inmix</w:t>
      </w:r>
      <w:r w:rsidR="00103F5F" w:rsidRPr="00103F5F">
        <w:rPr>
          <w:i/>
        </w:rPr>
        <w:t>tus</w:t>
      </w:r>
      <w:r w:rsidR="00103F5F">
        <w:t xml:space="preserve"> </w:t>
      </w:r>
      <w:r w:rsidR="00D30AE6">
        <w:t xml:space="preserve">nějak spojit s tělem jako další substancí. </w:t>
      </w:r>
      <w:r w:rsidR="00223150">
        <w:t xml:space="preserve">Příchod </w:t>
      </w:r>
      <w:r w:rsidR="00103F5F">
        <w:t>dualistické</w:t>
      </w:r>
      <w:r w:rsidR="08D33E50">
        <w:t xml:space="preserve"> a proto </w:t>
      </w:r>
      <w:r w:rsidR="00223150">
        <w:t>averroistické</w:t>
      </w:r>
      <w:r w:rsidRPr="00273106">
        <w:t xml:space="preserve"> interpretace Aristotela nepřímo dokazují i</w:t>
      </w:r>
      <w:r w:rsidR="08F504C0" w:rsidRPr="00273106">
        <w:t xml:space="preserve"> tehdejší překlady </w:t>
      </w:r>
      <w:r w:rsidR="08F504C0" w:rsidRPr="00B54956">
        <w:rPr>
          <w:i/>
        </w:rPr>
        <w:t>Nikomachovy e</w:t>
      </w:r>
      <w:r w:rsidRPr="00B54956">
        <w:rPr>
          <w:i/>
        </w:rPr>
        <w:t>tiky</w:t>
      </w:r>
      <w:r w:rsidRPr="00273106">
        <w:t xml:space="preserve"> ovlivněné </w:t>
      </w:r>
      <w:r w:rsidR="002E3B62">
        <w:t>Averroes</w:t>
      </w:r>
      <w:r w:rsidR="00B54956">
        <w:t>em</w:t>
      </w:r>
      <w:r w:rsidR="087A5BA6">
        <w:t xml:space="preserve"> v podání Toledské školy.</w:t>
      </w:r>
      <w:r w:rsidR="087A5BA6" w:rsidRPr="00273106">
        <w:rPr>
          <w:rStyle w:val="Znakapoznpodarou"/>
        </w:rPr>
        <w:footnoteReference w:id="370"/>
      </w:r>
      <w:r w:rsidR="087A5BA6">
        <w:t xml:space="preserve"> Konflikt o status praktického intelektu a politické racionality rozbíráme až </w:t>
      </w:r>
      <w:r w:rsidR="00B54956">
        <w:t>v závěru</w:t>
      </w:r>
      <w:r w:rsidR="087A5BA6">
        <w:t xml:space="preserve"> </w:t>
      </w:r>
      <w:r w:rsidR="080465DC">
        <w:t xml:space="preserve">práce </w:t>
      </w:r>
      <w:r w:rsidR="087A5BA6">
        <w:t>(</w:t>
      </w:r>
      <w:r w:rsidR="086C529F">
        <w:t>OBJ III, kap. 6.2</w:t>
      </w:r>
      <w:r w:rsidR="087A5BA6">
        <w:t>)</w:t>
      </w:r>
      <w:r w:rsidRPr="00273106">
        <w:t>. Aristotelští avicennisté a první moderní karteziáni berou za bernou minci Proklovu a Avicennovu nauku o dvou tvářích duše</w:t>
      </w:r>
      <w:r w:rsidR="00171B29">
        <w:fldChar w:fldCharType="begin"/>
      </w:r>
      <w:r w:rsidR="00171B29">
        <w:instrText xml:space="preserve"> XE "</w:instrText>
      </w:r>
      <w:r w:rsidR="00171B29" w:rsidRPr="00E10F76">
        <w:instrText>osoba:dualismus</w:instrText>
      </w:r>
      <w:r w:rsidR="00171B29">
        <w:instrText xml:space="preserve">" </w:instrText>
      </w:r>
      <w:r w:rsidR="00171B29">
        <w:fldChar w:fldCharType="end"/>
      </w:r>
      <w:r w:rsidRPr="00273106">
        <w:t xml:space="preserve"> (</w:t>
      </w:r>
      <w:r w:rsidR="086C529F">
        <w:t xml:space="preserve">OBJ I, </w:t>
      </w:r>
      <w:r w:rsidRPr="00273106">
        <w:t>kap. 2.3.1). Poznání řídí mysl nasvícená od odděleného činného intelektu, nikoliv od materiální věci určující smyslové poznání.</w:t>
      </w:r>
      <w:bookmarkStart w:id="113" w:name="_Ref393826008"/>
      <w:r w:rsidR="0084193A">
        <w:t xml:space="preserve"> </w:t>
      </w:r>
      <w:r w:rsidR="008B12D2">
        <w:t>Neoplatonsk</w:t>
      </w:r>
      <w:r w:rsidR="0084193A" w:rsidRPr="00CD4B44">
        <w:t xml:space="preserve">é výklady Aristotelova duálního pojetí duše </w:t>
      </w:r>
      <w:r w:rsidR="0084193A">
        <w:t>vycházejí z</w:t>
      </w:r>
      <w:r w:rsidR="0084193A" w:rsidRPr="00CD4B44">
        <w:t xml:space="preserve"> </w:t>
      </w:r>
      <w:r w:rsidR="0084193A">
        <w:rPr>
          <w:i/>
        </w:rPr>
        <w:t>Ethica V</w:t>
      </w:r>
      <w:r w:rsidR="0084193A" w:rsidRPr="084602B7">
        <w:rPr>
          <w:i/>
        </w:rPr>
        <w:t>etus</w:t>
      </w:r>
      <w:r w:rsidR="0084193A" w:rsidRPr="00CD4B44">
        <w:t xml:space="preserve"> (Burgu</w:t>
      </w:r>
      <w:r w:rsidR="0084193A">
        <w:t xml:space="preserve">ndio z Pisy kolem 1150), z níž vychází i </w:t>
      </w:r>
      <w:r w:rsidR="0084193A" w:rsidRPr="00CD4B44">
        <w:t xml:space="preserve">citované </w:t>
      </w:r>
      <w:r w:rsidR="0084193A" w:rsidRPr="00160A2C">
        <w:rPr>
          <w:i/>
        </w:rPr>
        <w:t>reportatio</w:t>
      </w:r>
      <w:r w:rsidR="0084193A" w:rsidRPr="00CD4B44">
        <w:t xml:space="preserve"> </w:t>
      </w:r>
      <w:r w:rsidR="0084193A">
        <w:t xml:space="preserve">přednášek </w:t>
      </w:r>
      <w:r w:rsidR="0084193A" w:rsidRPr="00CD4B44">
        <w:t>ne</w:t>
      </w:r>
      <w:r w:rsidR="0084193A">
        <w:t>známého magistra z Paříže.</w:t>
      </w:r>
      <w:r w:rsidRPr="00273106">
        <w:rPr>
          <w:rStyle w:val="Znakapoznpodarou"/>
        </w:rPr>
        <w:footnoteReference w:id="371"/>
      </w:r>
      <w:bookmarkEnd w:id="113"/>
      <w:r w:rsidRPr="00273106">
        <w:t xml:space="preserve"> Poznání sice začíná u smyslů, ale má plnou </w:t>
      </w:r>
      <w:r w:rsidRPr="00273106">
        <w:lastRenderedPageBreak/>
        <w:t xml:space="preserve">autonomii vzhledem ke smyslově formovanému předmětu ve fantasmatu. </w:t>
      </w:r>
      <w:r w:rsidR="084602B7" w:rsidRPr="00273106">
        <w:t xml:space="preserve">Podobný </w:t>
      </w:r>
      <w:r w:rsidR="08EB0B24" w:rsidRPr="00273106">
        <w:t xml:space="preserve">dualistický </w:t>
      </w:r>
      <w:r w:rsidR="084602B7" w:rsidRPr="00273106">
        <w:t>styl má i komentá</w:t>
      </w:r>
      <w:r w:rsidR="008152A0" w:rsidRPr="00273106">
        <w:t xml:space="preserve">ř k </w:t>
      </w:r>
      <w:r w:rsidR="008152A0" w:rsidRPr="00A25106">
        <w:rPr>
          <w:i/>
        </w:rPr>
        <w:t>Etice</w:t>
      </w:r>
      <w:r w:rsidR="008152A0" w:rsidRPr="00273106">
        <w:t xml:space="preserve"> od neznámého magistra</w:t>
      </w:r>
      <w:r w:rsidR="08850E6D">
        <w:t xml:space="preserve"> psaný okolo roku </w:t>
      </w:r>
      <w:r w:rsidR="084602B7" w:rsidRPr="00273106">
        <w:t>1235</w:t>
      </w:r>
      <w:r w:rsidR="08EB0B24" w:rsidRPr="00273106">
        <w:t>, který</w:t>
      </w:r>
      <w:r w:rsidR="08850E6D">
        <w:t xml:space="preserve"> navazuje na </w:t>
      </w:r>
      <w:r w:rsidR="00BE3581" w:rsidRPr="00273106">
        <w:t xml:space="preserve">výklad </w:t>
      </w:r>
      <w:r w:rsidR="08850E6D" w:rsidRPr="08D71EEA">
        <w:rPr>
          <w:i/>
        </w:rPr>
        <w:t>De anima</w:t>
      </w:r>
      <w:r w:rsidR="08850E6D">
        <w:t xml:space="preserve"> podle </w:t>
      </w:r>
      <w:r w:rsidR="00BE3581" w:rsidRPr="00273106">
        <w:t>Avicenny</w:t>
      </w:r>
      <w:r w:rsidR="00127C62" w:rsidRPr="00273106">
        <w:t xml:space="preserve"> (</w:t>
      </w:r>
      <w:r w:rsidR="08850E6D" w:rsidRPr="00273106">
        <w:rPr>
          <w:i/>
        </w:rPr>
        <w:t>Commentaire d'Avranches</w:t>
      </w:r>
      <w:r w:rsidR="00127C62" w:rsidRPr="00273106">
        <w:t>)</w:t>
      </w:r>
      <w:r w:rsidR="08EB0B24" w:rsidRPr="00273106">
        <w:t xml:space="preserve">. </w:t>
      </w:r>
      <w:r w:rsidR="00127C62" w:rsidRPr="00273106">
        <w:t xml:space="preserve">Anonym navazuje na </w:t>
      </w:r>
      <w:r w:rsidR="002B694A" w:rsidRPr="00273106">
        <w:t xml:space="preserve">Avicennovu </w:t>
      </w:r>
      <w:r w:rsidR="002B694A" w:rsidRPr="00273106">
        <w:rPr>
          <w:i/>
        </w:rPr>
        <w:t xml:space="preserve">Liber de anima </w:t>
      </w:r>
      <w:r w:rsidR="002B694A" w:rsidRPr="00273106">
        <w:t>I.5 podle Gundissalinova</w:t>
      </w:r>
      <w:r w:rsidR="00127C62" w:rsidRPr="00273106">
        <w:t xml:space="preserve"> překlad</w:t>
      </w:r>
      <w:r w:rsidR="002B694A" w:rsidRPr="00273106">
        <w:t>u</w:t>
      </w:r>
      <w:r w:rsidR="00B73C4C">
        <w:fldChar w:fldCharType="begin"/>
      </w:r>
      <w:r w:rsidR="00B73C4C">
        <w:instrText xml:space="preserve"> XE "</w:instrText>
      </w:r>
      <w:r w:rsidR="00B73C4C" w:rsidRPr="00AB6F57">
        <w:instrText>Gundissalinus, D.</w:instrText>
      </w:r>
      <w:r w:rsidR="00B73C4C">
        <w:instrText xml:space="preserve">" </w:instrText>
      </w:r>
      <w:r w:rsidR="00B73C4C">
        <w:fldChar w:fldCharType="end"/>
      </w:r>
      <w:r w:rsidR="00127C62" w:rsidRPr="00273106">
        <w:t xml:space="preserve"> a výklad</w:t>
      </w:r>
      <w:r w:rsidR="002B694A" w:rsidRPr="00273106">
        <w:t>u</w:t>
      </w:r>
      <w:r w:rsidR="004D1FAD" w:rsidRPr="00273106">
        <w:t xml:space="preserve"> (</w:t>
      </w:r>
      <w:r w:rsidR="004D1FAD" w:rsidRPr="00273106">
        <w:rPr>
          <w:i/>
        </w:rPr>
        <w:t>duae vires sive duo intellectus sunt animae rationali quasi duae facies</w:t>
      </w:r>
      <w:r w:rsidR="004D1FAD" w:rsidRPr="00273106">
        <w:t>; Buffon 2007, 104)</w:t>
      </w:r>
      <w:r w:rsidR="00127C62" w:rsidRPr="00273106">
        <w:t xml:space="preserve">. </w:t>
      </w:r>
      <w:r w:rsidR="08A37946" w:rsidRPr="00273106">
        <w:t xml:space="preserve">Druhá část duše má čistě kontemplativní a mystický charakter obrácený k bohu jako nejvyššímu </w:t>
      </w:r>
      <w:r w:rsidR="08EE79EA" w:rsidRPr="00273106">
        <w:t>dobr</w:t>
      </w:r>
      <w:r w:rsidR="08A37946" w:rsidRPr="00273106">
        <w:t>u, odkud je generována veškerá moudrost osvěcuj</w:t>
      </w:r>
      <w:r w:rsidR="00A749F2" w:rsidRPr="00273106">
        <w:t>í</w:t>
      </w:r>
      <w:r w:rsidR="08A37946" w:rsidRPr="00273106">
        <w:t>cí duši (</w:t>
      </w:r>
      <w:r w:rsidR="08A37946" w:rsidRPr="00273106">
        <w:rPr>
          <w:i/>
        </w:rPr>
        <w:t>respiciat sursum ad contemplandum suum superius quod est Deus</w:t>
      </w:r>
      <w:r w:rsidR="008267A5" w:rsidRPr="00273106">
        <w:rPr>
          <w:i/>
        </w:rPr>
        <w:t xml:space="preserve">, </w:t>
      </w:r>
      <w:r w:rsidR="008267A5" w:rsidRPr="00273106">
        <w:t>ibid</w:t>
      </w:r>
      <w:r w:rsidR="08A37946" w:rsidRPr="00273106">
        <w:t xml:space="preserve">). </w:t>
      </w:r>
      <w:r w:rsidR="080D196F">
        <w:t>T</w:t>
      </w:r>
      <w:r w:rsidR="08A37946" w:rsidRPr="00273106">
        <w:t xml:space="preserve">yto výklady </w:t>
      </w:r>
      <w:r w:rsidR="08A37946" w:rsidRPr="00A25106">
        <w:rPr>
          <w:i/>
        </w:rPr>
        <w:t>Etiky</w:t>
      </w:r>
      <w:r w:rsidR="08A37946" w:rsidRPr="00273106">
        <w:t xml:space="preserve"> </w:t>
      </w:r>
      <w:r w:rsidR="002834E4">
        <w:t xml:space="preserve">podle paradigmatu Toledské školy v modelu intelektu-slunce </w:t>
      </w:r>
      <w:r w:rsidR="08A37946" w:rsidRPr="00273106">
        <w:t>mají avicennovský charakter</w:t>
      </w:r>
      <w:r w:rsidR="00CF4A68">
        <w:t xml:space="preserve"> a zásadně ovlivnily moderní výklad </w:t>
      </w:r>
      <w:r w:rsidR="00CF4A68" w:rsidRPr="00CF4A68">
        <w:rPr>
          <w:i/>
        </w:rPr>
        <w:t>De anima</w:t>
      </w:r>
      <w:r w:rsidR="08CD0BA2">
        <w:t xml:space="preserve"> okolo roku 1240. </w:t>
      </w:r>
      <w:r w:rsidR="00B072A4" w:rsidRPr="00273106">
        <w:t xml:space="preserve">Jsoucno je v intelektu </w:t>
      </w:r>
      <w:r w:rsidR="08CD0BA2">
        <w:t xml:space="preserve">moderních porretánů a avicennistů osvíceno </w:t>
      </w:r>
      <w:r w:rsidRPr="00273106">
        <w:t xml:space="preserve">od odděleného </w:t>
      </w:r>
      <w:r w:rsidR="08CD0BA2">
        <w:t xml:space="preserve">kosmického </w:t>
      </w:r>
      <w:r w:rsidRPr="00273106">
        <w:rPr>
          <w:i/>
        </w:rPr>
        <w:t>intellectus agens</w:t>
      </w:r>
      <w:r w:rsidR="00CE65E8">
        <w:fldChar w:fldCharType="begin"/>
      </w:r>
      <w:r w:rsidR="00CE65E8">
        <w:instrText xml:space="preserve"> XE "</w:instrText>
      </w:r>
      <w:r w:rsidR="00CE65E8" w:rsidRPr="00C54C77">
        <w:instrText>intelekt-slunce</w:instrText>
      </w:r>
      <w:r w:rsidR="00CE65E8">
        <w:instrText xml:space="preserve">" </w:instrText>
      </w:r>
      <w:r w:rsidR="00CE65E8">
        <w:fldChar w:fldCharType="end"/>
      </w:r>
      <w:r w:rsidR="007C459C">
        <w:t>.</w:t>
      </w:r>
      <w:r w:rsidR="08DC1750">
        <w:t xml:space="preserve"> </w:t>
      </w:r>
      <w:r w:rsidR="08CD0BA2">
        <w:t xml:space="preserve">Proti těmto výkladům </w:t>
      </w:r>
      <w:r w:rsidR="08CD0BA2" w:rsidRPr="08CD0BA2">
        <w:rPr>
          <w:i/>
        </w:rPr>
        <w:t>Etiky</w:t>
      </w:r>
      <w:r w:rsidR="08CD0BA2">
        <w:t xml:space="preserve"> ve škole druhého averroismu píše Albert magistrální dílo </w:t>
      </w:r>
      <w:r w:rsidR="08CD0BA2" w:rsidRPr="08CD0BA2">
        <w:rPr>
          <w:i/>
        </w:rPr>
        <w:t>De homine</w:t>
      </w:r>
      <w:r w:rsidR="00AE5246">
        <w:t>.</w:t>
      </w:r>
    </w:p>
    <w:p w14:paraId="55F0409C" w14:textId="6669C635" w:rsidR="0068586F" w:rsidRDefault="00221596" w:rsidP="00212337">
      <w:pPr>
        <w:ind w:firstLine="397"/>
        <w:rPr>
          <w:iCs/>
        </w:rPr>
      </w:pPr>
      <w:r w:rsidRPr="00273106">
        <w:t xml:space="preserve">Příchod </w:t>
      </w:r>
      <w:r w:rsidR="002E3B62">
        <w:t>Averroes</w:t>
      </w:r>
      <w:r w:rsidRPr="00273106">
        <w:t xml:space="preserve">ových komentářů </w:t>
      </w:r>
      <w:r w:rsidR="00A25106">
        <w:t xml:space="preserve">ze Sicilské školy </w:t>
      </w:r>
      <w:r w:rsidRPr="00273106">
        <w:t xml:space="preserve">proměnil </w:t>
      </w:r>
      <w:r w:rsidR="00874074">
        <w:t>neoplatonsk</w:t>
      </w:r>
      <w:r w:rsidRPr="00273106">
        <w:t>ou četb</w:t>
      </w:r>
      <w:r w:rsidR="00A25106">
        <w:t>u Aristotela v několika směrech</w:t>
      </w:r>
      <w:r w:rsidRPr="00273106">
        <w:t>.</w:t>
      </w:r>
      <w:r w:rsidR="0073090C">
        <w:t xml:space="preserve"> </w:t>
      </w:r>
      <w:r w:rsidR="0073090C" w:rsidRPr="00273106">
        <w:t xml:space="preserve">Předešlé kapitoly ukázaly, že mezi léty 1225–30 vzniká v prvním averroismu nové paradigma poznání a pravdy integrující </w:t>
      </w:r>
      <w:r w:rsidR="002E3B62">
        <w:t>Averroes</w:t>
      </w:r>
      <w:r w:rsidR="0073090C" w:rsidRPr="00273106">
        <w:t>ovy komentáře Korpusu</w:t>
      </w:r>
      <w:r w:rsidR="00A25106">
        <w:t xml:space="preserve"> v kriticky ujasn</w:t>
      </w:r>
      <w:r w:rsidR="007C459C">
        <w:t>ěném modu Toledské školy</w:t>
      </w:r>
      <w:r w:rsidR="08C83681">
        <w:t xml:space="preserve">. Tento styl </w:t>
      </w:r>
      <w:r w:rsidR="08632108">
        <w:t xml:space="preserve">„sicilského Aristotela“ předběžně </w:t>
      </w:r>
      <w:r w:rsidR="007C459C">
        <w:t>zavedla</w:t>
      </w:r>
      <w:r w:rsidR="00A25106">
        <w:t xml:space="preserve"> Blundova škola</w:t>
      </w:r>
      <w:r w:rsidR="00C9582C">
        <w:t xml:space="preserve"> v podání </w:t>
      </w:r>
      <w:r w:rsidR="004F703D">
        <w:t xml:space="preserve">obou anonymních spisů </w:t>
      </w:r>
      <w:r w:rsidR="004F703D" w:rsidRPr="004F703D">
        <w:rPr>
          <w:i/>
        </w:rPr>
        <w:t>De anima</w:t>
      </w:r>
      <w:r w:rsidR="004F703D">
        <w:t xml:space="preserve">, které napsal </w:t>
      </w:r>
      <w:r w:rsidR="00C9582C">
        <w:t>Grosseteste</w:t>
      </w:r>
      <w:r w:rsidR="004F703D">
        <w:t xml:space="preserve"> (1225) a Alvernus</w:t>
      </w:r>
      <w:r w:rsidR="00C9582C">
        <w:t xml:space="preserve"> (1230)</w:t>
      </w:r>
      <w:r w:rsidR="0073090C" w:rsidRPr="00273106">
        <w:t xml:space="preserve">. </w:t>
      </w:r>
      <w:r w:rsidR="080A3275">
        <w:t>V této</w:t>
      </w:r>
      <w:r w:rsidR="08013960">
        <w:t xml:space="preserve"> době došlo k </w:t>
      </w:r>
      <w:r w:rsidR="00A25106">
        <w:t xml:space="preserve">potvrzení </w:t>
      </w:r>
      <w:r w:rsidR="08013960">
        <w:t xml:space="preserve">nové </w:t>
      </w:r>
      <w:r w:rsidR="00A25106">
        <w:t xml:space="preserve">četby Komentátora skrze přednášky a překlady Scota po roce 1230. Pak už byl pro Alverna </w:t>
      </w:r>
      <w:r w:rsidR="003177DB">
        <w:t xml:space="preserve">a pro </w:t>
      </w:r>
      <w:r w:rsidR="00E20994">
        <w:t>celou školu prvního averroismu</w:t>
      </w:r>
      <w:r w:rsidR="003177DB">
        <w:t xml:space="preserve"> </w:t>
      </w:r>
      <w:r w:rsidR="00A25106">
        <w:t xml:space="preserve">Averroes </w:t>
      </w:r>
      <w:r w:rsidR="085C2413">
        <w:t xml:space="preserve">skutečný </w:t>
      </w:r>
      <w:r w:rsidR="00A25106" w:rsidRPr="00A25106">
        <w:rPr>
          <w:i/>
        </w:rPr>
        <w:t>philosophus nobilissimus</w:t>
      </w:r>
      <w:r w:rsidR="00A25106">
        <w:t xml:space="preserve">, protože držel jednotu reálné osoby a měl kompletní projekt jednotné „meta-fyziky“ založený na primátu první substance. </w:t>
      </w:r>
      <w:r w:rsidR="00C13F04" w:rsidRPr="00273106">
        <w:rPr>
          <w:rStyle w:val="Zkladntext158dkovn0pt"/>
          <w:color w:val="auto"/>
          <w:spacing w:val="0"/>
          <w:sz w:val="24"/>
          <w:lang w:val="cs-CZ"/>
        </w:rPr>
        <w:t xml:space="preserve">Geniální komentátor Aristotela otočil perspektivu poznání zpět do reality a intelekt je nasvícen v modu </w:t>
      </w:r>
      <w:r w:rsidR="00C13F04" w:rsidRPr="00273106">
        <w:rPr>
          <w:rStyle w:val="Zkladntext158dkovn0pt"/>
          <w:i/>
          <w:color w:val="auto"/>
          <w:spacing w:val="0"/>
          <w:sz w:val="24"/>
          <w:lang w:val="cs-CZ"/>
        </w:rPr>
        <w:t>per prius</w:t>
      </w:r>
      <w:r w:rsidR="00C13F04" w:rsidRPr="00273106">
        <w:rPr>
          <w:rStyle w:val="Zkladntext158dkovn0pt"/>
          <w:color w:val="auto"/>
          <w:spacing w:val="0"/>
          <w:sz w:val="24"/>
          <w:lang w:val="cs-CZ"/>
        </w:rPr>
        <w:t xml:space="preserve"> od první substance (</w:t>
      </w:r>
      <w:r w:rsidR="084A333E">
        <w:rPr>
          <w:rStyle w:val="Zkladntext158dkovn0pt"/>
          <w:color w:val="auto"/>
          <w:spacing w:val="0"/>
          <w:sz w:val="24"/>
          <w:lang w:val="cs-CZ"/>
        </w:rPr>
        <w:t xml:space="preserve">OBJ I, </w:t>
      </w:r>
      <w:r w:rsidR="00C13F04" w:rsidRPr="00273106">
        <w:rPr>
          <w:rStyle w:val="Zkladntext158dkovn0pt"/>
          <w:color w:val="auto"/>
          <w:spacing w:val="0"/>
          <w:sz w:val="24"/>
          <w:lang w:val="cs-CZ"/>
        </w:rPr>
        <w:t xml:space="preserve">kap. 2.4.2). </w:t>
      </w:r>
      <w:r w:rsidR="00D97F6E">
        <w:t xml:space="preserve">Interpretační </w:t>
      </w:r>
      <w:r w:rsidR="00D97F6E" w:rsidRPr="00273106">
        <w:t xml:space="preserve">základ </w:t>
      </w:r>
      <w:r w:rsidR="00D97F6E">
        <w:t xml:space="preserve">druhého averroismu </w:t>
      </w:r>
      <w:r w:rsidR="008F7940">
        <w:t xml:space="preserve">podle Toledské školy </w:t>
      </w:r>
      <w:r w:rsidR="00D97F6E" w:rsidRPr="00273106">
        <w:t xml:space="preserve">tvoří hlavně </w:t>
      </w:r>
      <w:r w:rsidR="002E3B62">
        <w:t>Averroes</w:t>
      </w:r>
      <w:r w:rsidR="00D97F6E" w:rsidRPr="00273106">
        <w:t xml:space="preserve">ův komentář k </w:t>
      </w:r>
      <w:r w:rsidR="00D97F6E" w:rsidRPr="008F7940">
        <w:rPr>
          <w:i/>
        </w:rPr>
        <w:t>Fyzice</w:t>
      </w:r>
      <w:r w:rsidR="00D97F6E" w:rsidRPr="00273106">
        <w:t xml:space="preserve"> a k </w:t>
      </w:r>
      <w:r w:rsidR="00D97F6E" w:rsidRPr="00273106">
        <w:rPr>
          <w:i/>
        </w:rPr>
        <w:t>De caelo</w:t>
      </w:r>
      <w:r w:rsidR="08426453">
        <w:t>, který doplnil Avicennovu</w:t>
      </w:r>
      <w:r w:rsidR="00E20994">
        <w:t xml:space="preserve"> ko</w:t>
      </w:r>
      <w:r w:rsidR="08426453">
        <w:t>sm</w:t>
      </w:r>
      <w:r w:rsidR="00E20994">
        <w:t xml:space="preserve">ologii. Sicilská škola stavěla na </w:t>
      </w:r>
      <w:r w:rsidR="08484F4E">
        <w:t xml:space="preserve">Averroesově </w:t>
      </w:r>
      <w:r w:rsidR="00E20994">
        <w:t>velkém</w:t>
      </w:r>
      <w:r w:rsidR="00D97F6E" w:rsidRPr="00273106">
        <w:t xml:space="preserve"> komentář</w:t>
      </w:r>
      <w:r w:rsidR="00E20994">
        <w:t>i</w:t>
      </w:r>
      <w:r w:rsidR="00D97F6E" w:rsidRPr="00273106">
        <w:t xml:space="preserve"> k </w:t>
      </w:r>
      <w:r w:rsidR="00D97F6E">
        <w:rPr>
          <w:i/>
        </w:rPr>
        <w:t>De anima</w:t>
      </w:r>
      <w:r w:rsidR="00E20994">
        <w:t xml:space="preserve"> a </w:t>
      </w:r>
      <w:r w:rsidR="08484F4E">
        <w:t xml:space="preserve">velkém </w:t>
      </w:r>
      <w:r w:rsidR="00E20994">
        <w:t xml:space="preserve">komentáři </w:t>
      </w:r>
      <w:r w:rsidR="00D97F6E" w:rsidRPr="008F7940">
        <w:rPr>
          <w:i/>
        </w:rPr>
        <w:t>Metafyzi</w:t>
      </w:r>
      <w:r w:rsidR="00E20994">
        <w:rPr>
          <w:i/>
        </w:rPr>
        <w:t>ky</w:t>
      </w:r>
      <w:r w:rsidR="00E20994">
        <w:t xml:space="preserve"> a pozorně četla </w:t>
      </w:r>
      <w:r w:rsidR="08484F4E">
        <w:t xml:space="preserve">Aristotelovy </w:t>
      </w:r>
      <w:r w:rsidR="00E20994">
        <w:t xml:space="preserve">biologické spisy o poznání a životě zvířat, protože </w:t>
      </w:r>
      <w:r w:rsidR="080A3275">
        <w:t xml:space="preserve">založily </w:t>
      </w:r>
      <w:r w:rsidR="00E20994">
        <w:t xml:space="preserve">porozumění </w:t>
      </w:r>
      <w:r w:rsidR="003541C8">
        <w:t xml:space="preserve">spisu </w:t>
      </w:r>
      <w:r w:rsidR="00E20994" w:rsidRPr="00E20994">
        <w:rPr>
          <w:i/>
        </w:rPr>
        <w:t>De anima</w:t>
      </w:r>
      <w:r w:rsidR="080D196F">
        <w:t xml:space="preserve"> správným postupem četby od první a druhé knihy ke třetí. </w:t>
      </w:r>
      <w:r w:rsidR="00DC73A4">
        <w:t>Mystická m</w:t>
      </w:r>
      <w:r w:rsidR="00E20994">
        <w:t xml:space="preserve">oderna </w:t>
      </w:r>
      <w:r w:rsidR="00DC73A4">
        <w:t xml:space="preserve">Toledských </w:t>
      </w:r>
      <w:r w:rsidR="00DC73A4">
        <w:lastRenderedPageBreak/>
        <w:t xml:space="preserve">iluminátů </w:t>
      </w:r>
      <w:r w:rsidR="0841140E">
        <w:t xml:space="preserve">a pozdějších karteziánců </w:t>
      </w:r>
      <w:r w:rsidR="00E20994">
        <w:t>se o živé organismy starat nemusí</w:t>
      </w:r>
      <w:r w:rsidR="00DC73A4">
        <w:t>. J</w:t>
      </w:r>
      <w:r w:rsidR="00E20994">
        <w:t>e</w:t>
      </w:r>
      <w:r w:rsidR="00DC73A4">
        <w:t>j</w:t>
      </w:r>
      <w:r w:rsidR="00E20994">
        <w:t>ich existence je objektivně zahrnuta pod specifikum mrtvoly</w:t>
      </w:r>
      <w:r w:rsidR="00DC73A4">
        <w:t xml:space="preserve">, což </w:t>
      </w:r>
      <w:r w:rsidR="00E20994">
        <w:t>dokazují vyhlazovací koncentrační tábory</w:t>
      </w:r>
      <w:r w:rsidR="003541C8">
        <w:fldChar w:fldCharType="begin"/>
      </w:r>
      <w:r w:rsidR="003541C8">
        <w:instrText xml:space="preserve"> XE "</w:instrText>
      </w:r>
      <w:r w:rsidR="003541C8" w:rsidRPr="0056482C">
        <w:instrText>koncentrační tábory</w:instrText>
      </w:r>
      <w:r w:rsidR="003541C8">
        <w:instrText xml:space="preserve">" </w:instrText>
      </w:r>
      <w:r w:rsidR="003541C8">
        <w:fldChar w:fldCharType="end"/>
      </w:r>
      <w:r w:rsidR="00E20994">
        <w:t xml:space="preserve"> XX. století</w:t>
      </w:r>
      <w:r w:rsidR="00B90310">
        <w:t xml:space="preserve">. </w:t>
      </w:r>
      <w:r w:rsidR="00B90310" w:rsidRPr="00B90310">
        <w:t>Ve věku metafyzického nihilismu se člověk stal virtuální, digitalizovanou fata-morgánou.</w:t>
      </w:r>
      <w:r w:rsidR="00B90310">
        <w:t xml:space="preserve"> To dokazují</w:t>
      </w:r>
      <w:r w:rsidR="086C3868">
        <w:t xml:space="preserve"> krize způsobené finančními deriváty</w:t>
      </w:r>
      <w:r w:rsidR="00E20994">
        <w:t xml:space="preserve"> a </w:t>
      </w:r>
      <w:r w:rsidR="00907C31">
        <w:t xml:space="preserve">současný </w:t>
      </w:r>
      <w:r w:rsidR="006316F3">
        <w:t xml:space="preserve">globální </w:t>
      </w:r>
      <w:r w:rsidR="00907C31">
        <w:t xml:space="preserve">nezájem </w:t>
      </w:r>
      <w:r w:rsidR="006316F3">
        <w:t xml:space="preserve">elit </w:t>
      </w:r>
      <w:r w:rsidR="00EA5AB2">
        <w:t>o devastační účinky, které samy způsobily</w:t>
      </w:r>
      <w:r w:rsidR="00907C31">
        <w:fldChar w:fldCharType="begin"/>
      </w:r>
      <w:r w:rsidR="00907C31">
        <w:instrText xml:space="preserve"> XE "</w:instrText>
      </w:r>
      <w:r w:rsidR="00907C31" w:rsidRPr="00552BCC">
        <w:instrText>antropocén</w:instrText>
      </w:r>
      <w:r w:rsidR="00907C31">
        <w:instrText xml:space="preserve">" </w:instrText>
      </w:r>
      <w:r w:rsidR="00907C31">
        <w:fldChar w:fldCharType="end"/>
      </w:r>
      <w:r w:rsidR="00E20994">
        <w:t xml:space="preserve">. </w:t>
      </w:r>
      <w:r w:rsidR="00C13F04" w:rsidRPr="00273106">
        <w:t xml:space="preserve">Příklad biskupa Alverna ukázal první případ úspěšného rozlišení mezi </w:t>
      </w:r>
      <w:r w:rsidR="002E3B62">
        <w:t>Averroes</w:t>
      </w:r>
      <w:r w:rsidR="002E3DE6">
        <w:t xml:space="preserve">em a mezi </w:t>
      </w:r>
      <w:r w:rsidR="00C13F04" w:rsidRPr="00273106">
        <w:rPr>
          <w:i/>
        </w:rPr>
        <w:t>sequaces Aristotelis</w:t>
      </w:r>
      <w:r w:rsidR="00C42D03">
        <w:rPr>
          <w:i/>
        </w:rPr>
        <w:fldChar w:fldCharType="begin"/>
      </w:r>
      <w:r w:rsidR="00C42D03">
        <w:instrText xml:space="preserve"> XE "druhý averroismus:</w:instrText>
      </w:r>
      <w:r w:rsidR="00C42D03" w:rsidRPr="00E372B9">
        <w:rPr>
          <w:i/>
        </w:rPr>
        <w:instrText>sequaces Aristotelis</w:instrText>
      </w:r>
      <w:r w:rsidR="00C42D03">
        <w:instrText xml:space="preserve">" </w:instrText>
      </w:r>
      <w:r w:rsidR="00C42D03">
        <w:rPr>
          <w:i/>
        </w:rPr>
        <w:fldChar w:fldCharType="end"/>
      </w:r>
      <w:r w:rsidR="00C13F04" w:rsidRPr="00273106">
        <w:t xml:space="preserve">, ať již ve falsafě nebo ve scholastice. </w:t>
      </w:r>
      <w:r w:rsidR="00BC1CED">
        <w:t>Moderní následovníci neoplatonského Aristotela o</w:t>
      </w:r>
      <w:r w:rsidR="00C13F04" w:rsidRPr="00273106">
        <w:t xml:space="preserve">bhajovali </w:t>
      </w:r>
      <w:r w:rsidR="00874074">
        <w:t>neoplatonsk</w:t>
      </w:r>
      <w:r w:rsidR="00C13F04" w:rsidRPr="00273106">
        <w:t xml:space="preserve">ý výklad Korpusu a duši člověka definovali skrze oddělený </w:t>
      </w:r>
      <w:r w:rsidR="00C13F04"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490D32">
        <w:instrText>neoplatonismus</w:instrText>
      </w:r>
      <w:r w:rsidR="00DF1F0F">
        <w:instrText xml:space="preserve">" </w:instrText>
      </w:r>
      <w:r w:rsidR="00DF1F0F">
        <w:rPr>
          <w:i/>
        </w:rPr>
        <w:fldChar w:fldCharType="end"/>
      </w:r>
      <w:r w:rsidR="085E736B">
        <w:t xml:space="preserve"> (kap. 2</w:t>
      </w:r>
      <w:r w:rsidR="00C13F04" w:rsidRPr="00273106">
        <w:t>.3</w:t>
      </w:r>
      <w:r w:rsidR="00D548D9">
        <w:t>.1</w:t>
      </w:r>
      <w:r w:rsidR="081E5C9D">
        <w:t xml:space="preserve">). </w:t>
      </w:r>
      <w:r w:rsidR="08F33D68">
        <w:t xml:space="preserve">Pokud nějaký </w:t>
      </w:r>
      <w:r w:rsidR="081E5C9D">
        <w:t xml:space="preserve">scholastik </w:t>
      </w:r>
      <w:r w:rsidR="00C13F04" w:rsidRPr="00273106">
        <w:t xml:space="preserve">viděl </w:t>
      </w:r>
      <w:r w:rsidR="081E5C9D">
        <w:t xml:space="preserve">v letech 1235‒40 </w:t>
      </w:r>
      <w:r w:rsidR="00C13F04" w:rsidRPr="00273106">
        <w:t xml:space="preserve">zásadní rozdíl mezi </w:t>
      </w:r>
      <w:r w:rsidR="002E3B62">
        <w:t>Averroes</w:t>
      </w:r>
      <w:r w:rsidR="00C13F04" w:rsidRPr="00273106">
        <w:t xml:space="preserve">em a Avicennou, </w:t>
      </w:r>
      <w:r w:rsidR="08F33D68">
        <w:t xml:space="preserve">pak </w:t>
      </w:r>
      <w:r w:rsidR="00C13F04" w:rsidRPr="00273106">
        <w:t xml:space="preserve">skoncoval s neoplatonismem a s jeho ontoteologickým modelem jsoucna třetího druhu. </w:t>
      </w:r>
      <w:r w:rsidR="00352086" w:rsidRPr="00273106">
        <w:t>Grosseteste</w:t>
      </w:r>
      <w:r w:rsidR="00352086">
        <w:t xml:space="preserve">ho výklad Averroese a </w:t>
      </w:r>
      <w:r w:rsidR="00352086" w:rsidRPr="004967E6">
        <w:rPr>
          <w:i/>
        </w:rPr>
        <w:t>De anima</w:t>
      </w:r>
      <w:r w:rsidR="00352086">
        <w:t xml:space="preserve"> je dán ve stylu prvního averroismu Blundovy školy, ale moderní sofisté překroutili výklad svého zakladatele. </w:t>
      </w:r>
      <w:r w:rsidR="00352086" w:rsidRPr="00273106">
        <w:t xml:space="preserve">Během výkladu </w:t>
      </w:r>
      <w:r w:rsidR="00352086" w:rsidRPr="008F7940">
        <w:rPr>
          <w:i/>
        </w:rPr>
        <w:t xml:space="preserve">Druhých Analytik </w:t>
      </w:r>
      <w:r w:rsidR="00352086" w:rsidRPr="00273106">
        <w:t>píše</w:t>
      </w:r>
      <w:r w:rsidR="00352086">
        <w:t xml:space="preserve"> </w:t>
      </w:r>
      <w:r w:rsidR="00352086" w:rsidRPr="00273106">
        <w:t xml:space="preserve">Grosseteste i komentář k Aristotelově </w:t>
      </w:r>
      <w:r w:rsidR="00352086" w:rsidRPr="008F7940">
        <w:rPr>
          <w:i/>
        </w:rPr>
        <w:t>Fyzice</w:t>
      </w:r>
      <w:r w:rsidR="00352086" w:rsidRPr="00273106">
        <w:t xml:space="preserve">, který mu pomohl definovat jednotu první substance vzhledem k </w:t>
      </w:r>
      <w:r w:rsidR="00352086" w:rsidRPr="00273106">
        <w:rPr>
          <w:i/>
        </w:rPr>
        <w:t>anima intellectiva</w:t>
      </w:r>
      <w:r w:rsidR="00352086" w:rsidRPr="00273106">
        <w:t xml:space="preserve">. V jeho 7. knize je doložena vůbec první citace z </w:t>
      </w:r>
      <w:r w:rsidR="00352086">
        <w:t>Averroes</w:t>
      </w:r>
      <w:r w:rsidR="00352086" w:rsidRPr="00273106">
        <w:t xml:space="preserve">ova komentáře k </w:t>
      </w:r>
      <w:r w:rsidR="00352086" w:rsidRPr="008F7940">
        <w:rPr>
          <w:i/>
        </w:rPr>
        <w:t>Fyzice</w:t>
      </w:r>
      <w:r w:rsidR="00352086" w:rsidRPr="00273106">
        <w:t xml:space="preserve"> známého na Západě zhruba od roku 1225 (McEvoy 2000, 85).</w:t>
      </w:r>
      <w:r w:rsidR="00352086">
        <w:t xml:space="preserve"> Ale výklad </w:t>
      </w:r>
      <w:r w:rsidR="00352086" w:rsidRPr="00FE1075">
        <w:rPr>
          <w:i/>
        </w:rPr>
        <w:t>Druhých analytik</w:t>
      </w:r>
      <w:r w:rsidR="00352086">
        <w:t xml:space="preserve"> je už psaný ve stylu </w:t>
      </w:r>
      <w:r w:rsidR="00352086" w:rsidRPr="00FE1075">
        <w:rPr>
          <w:i/>
        </w:rPr>
        <w:t>Oxfordian Fallacy</w:t>
      </w:r>
      <w:r w:rsidR="00352086">
        <w:t xml:space="preserve">, i když si </w:t>
      </w:r>
      <w:r w:rsidR="08BE1C28">
        <w:t xml:space="preserve">Grosseteste </w:t>
      </w:r>
      <w:r w:rsidR="00352086">
        <w:t xml:space="preserve">byl vědom zásadního problému, který </w:t>
      </w:r>
      <w:r w:rsidR="005C5DC6">
        <w:t xml:space="preserve">analytický </w:t>
      </w:r>
      <w:r w:rsidR="00352086">
        <w:t>výklad přinesl (</w:t>
      </w:r>
      <w:r w:rsidR="00352086" w:rsidRPr="00352086">
        <w:rPr>
          <w:i/>
        </w:rPr>
        <w:t>aliquantum obs</w:t>
      </w:r>
      <w:r w:rsidR="00352086">
        <w:rPr>
          <w:i/>
        </w:rPr>
        <w:t>c</w:t>
      </w:r>
      <w:r w:rsidR="00352086" w:rsidRPr="00352086">
        <w:rPr>
          <w:i/>
        </w:rPr>
        <w:t>ura</w:t>
      </w:r>
      <w:r w:rsidR="00352086">
        <w:t xml:space="preserve">). </w:t>
      </w:r>
      <w:r w:rsidR="08D313BB">
        <w:t>R</w:t>
      </w:r>
      <w:r w:rsidR="00176600">
        <w:t xml:space="preserve">ecepci </w:t>
      </w:r>
      <w:r w:rsidR="002E3B62">
        <w:t>Averroes</w:t>
      </w:r>
      <w:r w:rsidR="00C13F04" w:rsidRPr="00273106">
        <w:t xml:space="preserve">e </w:t>
      </w:r>
      <w:r w:rsidR="00FE1075">
        <w:t>v Oxf</w:t>
      </w:r>
      <w:r w:rsidR="00176600">
        <w:t>o</w:t>
      </w:r>
      <w:r w:rsidR="00FE1075">
        <w:t>r</w:t>
      </w:r>
      <w:r w:rsidR="00176600">
        <w:t xml:space="preserve">du podle </w:t>
      </w:r>
      <w:r w:rsidR="002E3DE6">
        <w:t xml:space="preserve">paradigmatu Toledské školy </w:t>
      </w:r>
      <w:r w:rsidR="00C13F04" w:rsidRPr="00273106">
        <w:t xml:space="preserve">dosvědčuje citovaný Adam z Buckfieldu, první oxfordský komentátor </w:t>
      </w:r>
      <w:r w:rsidR="00C13F04">
        <w:rPr>
          <w:i/>
        </w:rPr>
        <w:t>De anima</w:t>
      </w:r>
      <w:r w:rsidR="00C13F04" w:rsidRPr="00273106">
        <w:t xml:space="preserve">. </w:t>
      </w:r>
      <w:r w:rsidR="00722AB4">
        <w:t>Jeho d</w:t>
      </w:r>
      <w:r w:rsidR="00C13F04" w:rsidRPr="00273106">
        <w:t xml:space="preserve">ílo </w:t>
      </w:r>
      <w:r w:rsidR="00C13F04" w:rsidRPr="00273106">
        <w:rPr>
          <w:i/>
        </w:rPr>
        <w:t>Sentencia</w:t>
      </w:r>
      <w:r w:rsidR="00C13F04" w:rsidRPr="00273106">
        <w:t xml:space="preserve"> </w:t>
      </w:r>
      <w:r w:rsidR="00C13F04" w:rsidRPr="00273106">
        <w:rPr>
          <w:i/>
        </w:rPr>
        <w:t>super librum de anima</w:t>
      </w:r>
      <w:r w:rsidR="00C13F04" w:rsidRPr="00273106">
        <w:t xml:space="preserve"> obsahuje parafráze CMDA, ale vyložené v rámci druhého averroismu </w:t>
      </w:r>
      <w:r w:rsidR="00C13F04">
        <w:t xml:space="preserve">ovlivněného Avicennou </w:t>
      </w:r>
      <w:r w:rsidR="00C13F04" w:rsidRPr="00273106">
        <w:t xml:space="preserve">(Callus 1939, 422). </w:t>
      </w:r>
      <w:r w:rsidR="00C13F04">
        <w:t xml:space="preserve">Callusova </w:t>
      </w:r>
      <w:r w:rsidR="00C13F04" w:rsidRPr="00273106">
        <w:t>studie o pluralitě substanciálních forem ukazuje, že kritika Alberta Velikého mířená n</w:t>
      </w:r>
      <w:r w:rsidR="00BB74BD">
        <w:t xml:space="preserve">a </w:t>
      </w:r>
      <w:r w:rsidR="00C13F04" w:rsidRPr="00273106">
        <w:rPr>
          <w:i/>
        </w:rPr>
        <w:t>quiddam Latinorum philosophorum</w:t>
      </w:r>
      <w:r w:rsidR="00C13F04" w:rsidRPr="00273106">
        <w:t xml:space="preserve"> v jeho spise </w:t>
      </w:r>
      <w:r w:rsidR="00C13F04">
        <w:rPr>
          <w:i/>
        </w:rPr>
        <w:t>De anima</w:t>
      </w:r>
      <w:r w:rsidR="00C13F04" w:rsidRPr="00273106">
        <w:t xml:space="preserve"> se přímo týká Buckfieldova komentáře k </w:t>
      </w:r>
      <w:r w:rsidR="00C13F04">
        <w:rPr>
          <w:i/>
        </w:rPr>
        <w:t>De anima</w:t>
      </w:r>
      <w:r w:rsidR="00C13F04" w:rsidRPr="00273106">
        <w:t xml:space="preserve"> (ibid, p. 431).  </w:t>
      </w:r>
      <w:r w:rsidR="00234534" w:rsidRPr="00273106">
        <w:rPr>
          <w:iCs/>
        </w:rPr>
        <w:t xml:space="preserve">Zastánci prvního averroismu jako Albert a další odmítli strukturu </w:t>
      </w:r>
      <w:r w:rsidR="00234534" w:rsidRPr="00273106">
        <w:rPr>
          <w:i/>
          <w:iCs/>
        </w:rPr>
        <w:t>intellectus possibilis</w:t>
      </w:r>
      <w:r w:rsidR="009D323B">
        <w:rPr>
          <w:i/>
          <w:iCs/>
        </w:rPr>
        <w:fldChar w:fldCharType="begin"/>
      </w:r>
      <w:r w:rsidR="009D323B">
        <w:instrText xml:space="preserve"> XE "</w:instrText>
      </w:r>
      <w:r w:rsidR="009D323B" w:rsidRPr="00770D02">
        <w:rPr>
          <w:i/>
        </w:rPr>
        <w:instrText>intellectus possibilis</w:instrText>
      </w:r>
      <w:r w:rsidR="00C42D03" w:rsidRPr="00C42D03">
        <w:instrText>:druhý averroismus</w:instrText>
      </w:r>
      <w:r w:rsidR="009D323B">
        <w:instrText xml:space="preserve">" </w:instrText>
      </w:r>
      <w:r w:rsidR="009D323B">
        <w:rPr>
          <w:i/>
          <w:iCs/>
        </w:rPr>
        <w:fldChar w:fldCharType="end"/>
      </w:r>
      <w:r w:rsidR="00234534" w:rsidRPr="00273106">
        <w:rPr>
          <w:iCs/>
        </w:rPr>
        <w:t xml:space="preserve"> danou prvními </w:t>
      </w:r>
      <w:r w:rsidR="00127448">
        <w:rPr>
          <w:iCs/>
        </w:rPr>
        <w:t xml:space="preserve">latinskými </w:t>
      </w:r>
      <w:r w:rsidR="00234534" w:rsidRPr="00273106">
        <w:rPr>
          <w:iCs/>
        </w:rPr>
        <w:t xml:space="preserve">modernisty, kteří </w:t>
      </w:r>
      <w:r w:rsidR="087545F4">
        <w:rPr>
          <w:iCs/>
        </w:rPr>
        <w:t xml:space="preserve">spojili </w:t>
      </w:r>
      <w:r w:rsidR="00234534" w:rsidRPr="00273106">
        <w:rPr>
          <w:iCs/>
        </w:rPr>
        <w:t xml:space="preserve">univoční </w:t>
      </w:r>
      <w:r w:rsidR="004B4D52" w:rsidRPr="004B4D52">
        <w:rPr>
          <w:iCs/>
        </w:rPr>
        <w:t>species</w:t>
      </w:r>
      <w:r w:rsidR="00BB74BD">
        <w:rPr>
          <w:iCs/>
        </w:rPr>
        <w:t xml:space="preserve"> tradovaná</w:t>
      </w:r>
      <w:r w:rsidR="00234534" w:rsidRPr="00273106">
        <w:rPr>
          <w:iCs/>
        </w:rPr>
        <w:t xml:space="preserve"> skrze </w:t>
      </w:r>
      <w:r w:rsidR="00234534" w:rsidRPr="00273106">
        <w:rPr>
          <w:i/>
          <w:iCs/>
        </w:rPr>
        <w:t>Nominales</w:t>
      </w:r>
      <w:r w:rsidR="00234534" w:rsidRPr="00273106">
        <w:rPr>
          <w:iCs/>
        </w:rPr>
        <w:t xml:space="preserve"> </w:t>
      </w:r>
      <w:r w:rsidR="087545F4">
        <w:rPr>
          <w:iCs/>
        </w:rPr>
        <w:t xml:space="preserve">s pojetím </w:t>
      </w:r>
      <w:r w:rsidR="08A4056B">
        <w:rPr>
          <w:iCs/>
        </w:rPr>
        <w:t xml:space="preserve">substančního </w:t>
      </w:r>
      <w:r w:rsidR="088D0DF1">
        <w:rPr>
          <w:iCs/>
        </w:rPr>
        <w:t>intelektu podle n</w:t>
      </w:r>
      <w:r w:rsidR="00234534" w:rsidRPr="00273106">
        <w:rPr>
          <w:iCs/>
        </w:rPr>
        <w:t>eoplatoniků</w:t>
      </w:r>
      <w:r w:rsidR="004766B1" w:rsidRPr="00273106">
        <w:rPr>
          <w:iCs/>
        </w:rPr>
        <w:t xml:space="preserve"> a Avicenny</w:t>
      </w:r>
      <w:r w:rsidR="0068586F">
        <w:rPr>
          <w:iCs/>
        </w:rPr>
        <w:t>.</w:t>
      </w:r>
    </w:p>
    <w:p w14:paraId="50C88D37" w14:textId="50301FE2" w:rsidR="00234534" w:rsidRPr="00C13F04" w:rsidRDefault="00234534" w:rsidP="00212337">
      <w:pPr>
        <w:ind w:firstLine="397"/>
      </w:pPr>
      <w:r w:rsidRPr="00273106">
        <w:rPr>
          <w:iCs/>
        </w:rPr>
        <w:t xml:space="preserve">Podívejme se na klíčové místo, kde vzniká nová </w:t>
      </w:r>
      <w:r w:rsidR="00047D51" w:rsidRPr="00273106">
        <w:rPr>
          <w:iCs/>
        </w:rPr>
        <w:t xml:space="preserve">forma </w:t>
      </w:r>
      <w:r w:rsidR="00047D51">
        <w:rPr>
          <w:iCs/>
        </w:rPr>
        <w:t>objektivně</w:t>
      </w:r>
      <w:r w:rsidRPr="00273106">
        <w:rPr>
          <w:iCs/>
        </w:rPr>
        <w:t xml:space="preserve"> </w:t>
      </w:r>
      <w:r w:rsidR="00047D51">
        <w:rPr>
          <w:iCs/>
        </w:rPr>
        <w:t>homogenního</w:t>
      </w:r>
      <w:r w:rsidRPr="00273106">
        <w:rPr>
          <w:iCs/>
        </w:rPr>
        <w:t xml:space="preserve"> světa. </w:t>
      </w:r>
      <w:r w:rsidR="00D12100">
        <w:rPr>
          <w:iCs/>
        </w:rPr>
        <w:t>D</w:t>
      </w:r>
      <w:r w:rsidR="00D12100" w:rsidRPr="00273106">
        <w:rPr>
          <w:iCs/>
        </w:rPr>
        <w:t xml:space="preserve">ualistické pojetí člověka </w:t>
      </w:r>
      <w:r w:rsidR="00D12100">
        <w:rPr>
          <w:iCs/>
        </w:rPr>
        <w:t xml:space="preserve">vzniklo v momentu, kdy </w:t>
      </w:r>
      <w:r w:rsidR="00DC7A4D" w:rsidRPr="00273106">
        <w:rPr>
          <w:iCs/>
        </w:rPr>
        <w:t xml:space="preserve">nasvícení smyslu jsoucího </w:t>
      </w:r>
      <w:r w:rsidR="00D12100">
        <w:rPr>
          <w:iCs/>
        </w:rPr>
        <w:t xml:space="preserve">přišlo </w:t>
      </w:r>
      <w:r w:rsidRPr="00273106">
        <w:rPr>
          <w:iCs/>
        </w:rPr>
        <w:t xml:space="preserve">od </w:t>
      </w:r>
      <w:r w:rsidRPr="00273106">
        <w:rPr>
          <w:i/>
          <w:iCs/>
        </w:rPr>
        <w:t>intellectus agens</w:t>
      </w:r>
      <w:r w:rsidRPr="00273106">
        <w:rPr>
          <w:iCs/>
        </w:rPr>
        <w:t xml:space="preserve"> vzatého </w:t>
      </w:r>
      <w:r w:rsidRPr="00273106">
        <w:rPr>
          <w:i/>
          <w:iCs/>
        </w:rPr>
        <w:t>absolute</w:t>
      </w:r>
      <w:r w:rsidR="004E2BC4">
        <w:rPr>
          <w:rStyle w:val="addmd"/>
          <w:i/>
        </w:rPr>
        <w:fldChar w:fldCharType="begin"/>
      </w:r>
      <w:r w:rsidR="004E2BC4">
        <w:instrText xml:space="preserve"> 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Pr="00273106">
        <w:rPr>
          <w:iCs/>
        </w:rPr>
        <w:t xml:space="preserve">, tj. bez vazby na </w:t>
      </w:r>
      <w:r w:rsidRPr="00273106">
        <w:rPr>
          <w:iCs/>
        </w:rPr>
        <w:lastRenderedPageBreak/>
        <w:t xml:space="preserve">receptivní </w:t>
      </w:r>
      <w:r w:rsidRPr="00273106">
        <w:rPr>
          <w:i/>
          <w:iCs/>
        </w:rPr>
        <w:t>intellectus possibilis</w:t>
      </w:r>
      <w:r w:rsidR="00374A15" w:rsidRPr="00273106">
        <w:rPr>
          <w:iCs/>
        </w:rPr>
        <w:t xml:space="preserve">. </w:t>
      </w:r>
      <w:r w:rsidRPr="00273106">
        <w:rPr>
          <w:iCs/>
        </w:rPr>
        <w:t xml:space="preserve">Albertův komentář k </w:t>
      </w:r>
      <w:r w:rsidR="00B713C5">
        <w:rPr>
          <w:i/>
          <w:iCs/>
        </w:rPr>
        <w:t>De anima</w:t>
      </w:r>
      <w:r w:rsidR="00374A15" w:rsidRPr="00273106">
        <w:rPr>
          <w:iCs/>
        </w:rPr>
        <w:t xml:space="preserve"> tento dualismus spojuje s autory </w:t>
      </w:r>
      <w:r w:rsidR="00874074">
        <w:rPr>
          <w:iCs/>
        </w:rPr>
        <w:t>neoplatonsk</w:t>
      </w:r>
      <w:r w:rsidR="00374A15" w:rsidRPr="00273106">
        <w:rPr>
          <w:iCs/>
        </w:rPr>
        <w:t>é falsafy jako Avempace</w:t>
      </w:r>
      <w:r w:rsidR="00842CF7">
        <w:rPr>
          <w:iCs/>
        </w:rPr>
        <w:fldChar w:fldCharType="begin"/>
      </w:r>
      <w:r w:rsidR="00842CF7">
        <w:instrText xml:space="preserve"> XE "</w:instrText>
      </w:r>
      <w:r w:rsidR="00842CF7" w:rsidRPr="00762D06">
        <w:rPr>
          <w:iCs/>
        </w:rPr>
        <w:instrText>Avempace</w:instrText>
      </w:r>
      <w:r w:rsidR="00842CF7">
        <w:instrText xml:space="preserve">" </w:instrText>
      </w:r>
      <w:r w:rsidR="00842CF7">
        <w:rPr>
          <w:iCs/>
        </w:rPr>
        <w:fldChar w:fldCharType="end"/>
      </w:r>
      <w:r w:rsidRPr="00273106">
        <w:rPr>
          <w:iCs/>
        </w:rPr>
        <w:t>.</w:t>
      </w:r>
    </w:p>
    <w:p w14:paraId="38DE45F5" w14:textId="77777777" w:rsidR="00D9072E" w:rsidRPr="00273106" w:rsidRDefault="00234534" w:rsidP="00D9072E">
      <w:pPr>
        <w:pStyle w:val="Citace"/>
        <w:rPr>
          <w:noProof/>
          <w:lang w:val="cs-CZ"/>
        </w:rPr>
      </w:pPr>
      <w:r w:rsidRPr="00273106">
        <w:rPr>
          <w:noProof/>
          <w:lang w:val="cs-CZ"/>
        </w:rPr>
        <w:t>„</w:t>
      </w:r>
      <w:r w:rsidR="00BB74BD">
        <w:rPr>
          <w:noProof/>
          <w:lang w:val="cs-CZ"/>
        </w:rPr>
        <w:t>Avempace, který</w:t>
      </w:r>
      <w:r w:rsidR="00D9072E" w:rsidRPr="00273106">
        <w:rPr>
          <w:noProof/>
          <w:lang w:val="cs-CZ"/>
        </w:rPr>
        <w:t xml:space="preserve"> přišel po nich, k tomu přidal, že člověk definovaný skrze intelekt má dvě schopnosti: první lidskou danou natolik, nak</w:t>
      </w:r>
      <w:r w:rsidR="00E54878">
        <w:rPr>
          <w:noProof/>
          <w:lang w:val="cs-CZ"/>
        </w:rPr>
        <w:t>olik poznává skrze fantasmata. D</w:t>
      </w:r>
      <w:r w:rsidR="00D9072E" w:rsidRPr="00273106">
        <w:rPr>
          <w:noProof/>
          <w:lang w:val="cs-CZ"/>
        </w:rPr>
        <w:t>ruhá schopnost je již božská, protože je st</w:t>
      </w:r>
      <w:r w:rsidR="08AA0084">
        <w:rPr>
          <w:noProof/>
          <w:lang w:val="cs-CZ"/>
        </w:rPr>
        <w:t xml:space="preserve">opou </w:t>
      </w:r>
      <w:r w:rsidR="00D9072E" w:rsidRPr="00273106">
        <w:rPr>
          <w:noProof/>
          <w:lang w:val="cs-CZ"/>
        </w:rPr>
        <w:t xml:space="preserve">oddělené </w:t>
      </w:r>
      <w:r w:rsidR="08AA0084">
        <w:rPr>
          <w:noProof/>
          <w:lang w:val="cs-CZ"/>
        </w:rPr>
        <w:t>kosmické inteligence</w:t>
      </w:r>
      <w:r w:rsidR="00D9072E" w:rsidRPr="00273106">
        <w:rPr>
          <w:noProof/>
          <w:lang w:val="cs-CZ"/>
        </w:rPr>
        <w:t>. Intelekt skrze lidskou schopnost rozumí konceptům vzatým z materie, skrze božskou schopnost chápe oddělené inteligibilní formy.“ </w:t>
      </w:r>
      <w:r w:rsidR="00D9072E" w:rsidRPr="00273106">
        <w:rPr>
          <w:rStyle w:val="Znakapoznpodarou"/>
          <w:noProof/>
          <w:lang w:val="cs-CZ"/>
        </w:rPr>
        <w:footnoteReference w:id="372"/>
      </w:r>
    </w:p>
    <w:p w14:paraId="422E8CB7" w14:textId="208554EC" w:rsidR="00D1289F" w:rsidRPr="00DC23F5" w:rsidRDefault="005365B2" w:rsidP="00234534">
      <w:pPr>
        <w:rPr>
          <w:iCs/>
        </w:rPr>
      </w:pPr>
      <w:r w:rsidRPr="00273106">
        <w:t xml:space="preserve">Po zavedení Avempaceho </w:t>
      </w:r>
      <w:r w:rsidR="002647B7">
        <w:t>silného i</w:t>
      </w:r>
      <w:r w:rsidRPr="00273106">
        <w:t>ntelektu došlo k jeho zdvojení (</w:t>
      </w:r>
      <w:r w:rsidRPr="00273106">
        <w:rPr>
          <w:i/>
        </w:rPr>
        <w:t>homo secundum intellectum habet duas vires</w:t>
      </w:r>
      <w:r w:rsidRPr="00273106">
        <w:t>). Slabý intelekt zůstal vázaný na poznání dané abstrakcí z fantasmat (</w:t>
      </w:r>
      <w:r w:rsidRPr="00273106">
        <w:rPr>
          <w:i/>
        </w:rPr>
        <w:t>in quantum colligatur phantasmatibus</w:t>
      </w:r>
      <w:r w:rsidRPr="00273106">
        <w:t xml:space="preserve">). </w:t>
      </w:r>
      <w:r w:rsidR="00B6402F">
        <w:t>Osvícení zepředu</w:t>
      </w:r>
      <w:r w:rsidR="083B1EF7" w:rsidRPr="00273106">
        <w:t xml:space="preserve"> od první substance</w:t>
      </w:r>
      <w:r w:rsidR="00A70FA4">
        <w:fldChar w:fldCharType="begin"/>
      </w:r>
      <w:r w:rsidR="00A70FA4">
        <w:instrText xml:space="preserve"> XE "</w:instrText>
      </w:r>
      <w:r w:rsidR="00E54878">
        <w:instrText>zjevování:nasvícení zepředu</w:instrText>
      </w:r>
      <w:r w:rsidR="00A70FA4">
        <w:instrText xml:space="preserve">" </w:instrText>
      </w:r>
      <w:r w:rsidR="00A70FA4">
        <w:fldChar w:fldCharType="end"/>
      </w:r>
      <w:r w:rsidR="08EB3376">
        <w:t>, podle potřebuje jen slabý</w:t>
      </w:r>
      <w:r w:rsidR="083B1EF7" w:rsidRPr="00273106">
        <w:t xml:space="preserve"> (</w:t>
      </w:r>
      <w:r w:rsidR="083B1EF7" w:rsidRPr="00273106">
        <w:rPr>
          <w:i/>
        </w:rPr>
        <w:t>debilis</w:t>
      </w:r>
      <w:r w:rsidR="083B1EF7" w:rsidRPr="00273106">
        <w:t xml:space="preserve">) intelekt, což </w:t>
      </w:r>
      <w:r w:rsidR="084731E6">
        <w:t xml:space="preserve">prezentuje </w:t>
      </w:r>
      <w:r w:rsidR="083B1EF7" w:rsidRPr="00273106">
        <w:t>Grossetesteho</w:t>
      </w:r>
      <w:r w:rsidR="00B968AE">
        <w:t xml:space="preserve"> </w:t>
      </w:r>
      <w:r w:rsidR="084731E6">
        <w:t xml:space="preserve">pojetí vědy jako aristotelské </w:t>
      </w:r>
      <w:r w:rsidR="084731E6" w:rsidRPr="084731E6">
        <w:rPr>
          <w:i/>
        </w:rPr>
        <w:t>scientia</w:t>
      </w:r>
      <w:r w:rsidR="083B1EF7" w:rsidRPr="00273106">
        <w:t xml:space="preserve">. </w:t>
      </w:r>
      <w:r w:rsidRPr="00273106">
        <w:t xml:space="preserve">Silný intelekt </w:t>
      </w:r>
      <w:r w:rsidR="084731E6">
        <w:t xml:space="preserve">mytopoetických </w:t>
      </w:r>
      <w:r w:rsidRPr="00273106">
        <w:rPr>
          <w:i/>
        </w:rPr>
        <w:t>Modernorum</w:t>
      </w:r>
      <w:r w:rsidRPr="00273106">
        <w:t xml:space="preserve"> </w:t>
      </w:r>
      <w:r w:rsidR="08D13182">
        <w:t xml:space="preserve">řízený Fúriemi </w:t>
      </w:r>
      <w:r w:rsidR="084731E6">
        <w:t xml:space="preserve">proto </w:t>
      </w:r>
      <w:r w:rsidRPr="00273106">
        <w:t xml:space="preserve">hledá po vzoru Bonaventury </w:t>
      </w:r>
      <w:r w:rsidR="0045758D" w:rsidRPr="00273106">
        <w:t xml:space="preserve">a dalších </w:t>
      </w:r>
      <w:r w:rsidR="084731E6">
        <w:t xml:space="preserve">objektivních </w:t>
      </w:r>
      <w:r w:rsidR="0045758D" w:rsidRPr="00273106">
        <w:t xml:space="preserve">mystiků moderny ony </w:t>
      </w:r>
      <w:r w:rsidRPr="00273106">
        <w:t>stopy původních separovaných forem ve stvoření (</w:t>
      </w:r>
      <w:r w:rsidRPr="00273106">
        <w:rPr>
          <w:i/>
        </w:rPr>
        <w:t>vestigium</w:t>
      </w:r>
      <w:r w:rsidR="08AC1AD4">
        <w:rPr>
          <w:i/>
        </w:rPr>
        <w:t xml:space="preserve"> </w:t>
      </w:r>
      <w:r w:rsidRPr="00273106">
        <w:rPr>
          <w:i/>
        </w:rPr>
        <w:t>intelligentiae separatae</w:t>
      </w:r>
      <w:r w:rsidRPr="00273106">
        <w:t>)</w:t>
      </w:r>
      <w:r w:rsidR="00B968AE">
        <w:t xml:space="preserve">. Iluminát se nemusí zdržovat </w:t>
      </w:r>
      <w:r w:rsidR="00880C4C">
        <w:t xml:space="preserve">zkoumáním procesu abstrakce, kde se vytváří </w:t>
      </w:r>
      <w:r w:rsidR="004B4D52" w:rsidRPr="004B4D52">
        <w:t>species</w:t>
      </w:r>
      <w:r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8061D5" w:rsidRPr="00E54878">
        <w:instrText>:</w:instrText>
      </w:r>
      <w:r w:rsidR="00E54878" w:rsidRPr="00E54878">
        <w:instrText>první averroismus</w:instrText>
      </w:r>
      <w:r w:rsidR="008061D5">
        <w:instrText xml:space="preserve">" </w:instrText>
      </w:r>
      <w:r w:rsidR="008061D5">
        <w:rPr>
          <w:i/>
        </w:rPr>
        <w:fldChar w:fldCharType="end"/>
      </w:r>
      <w:r w:rsidR="08101AEA" w:rsidRPr="00273106">
        <w:t xml:space="preserve"> </w:t>
      </w:r>
      <w:r w:rsidR="00880C4C">
        <w:t xml:space="preserve">a kde </w:t>
      </w:r>
      <w:r w:rsidR="00B6402F">
        <w:t xml:space="preserve">začíná </w:t>
      </w:r>
      <w:r w:rsidR="00880C4C">
        <w:t xml:space="preserve">poznání intelektu </w:t>
      </w:r>
      <w:r w:rsidR="00B6402F">
        <w:t xml:space="preserve">v návaznosti na poznání smyslů </w:t>
      </w:r>
      <w:r w:rsidR="08101AEA" w:rsidRPr="00273106">
        <w:t xml:space="preserve">od reálné první substance. </w:t>
      </w:r>
      <w:r w:rsidR="00F20488" w:rsidRPr="00273106">
        <w:t xml:space="preserve">V modelu </w:t>
      </w:r>
      <w:r w:rsidR="0002678B">
        <w:t>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02678B">
        <w:t xml:space="preserve"> </w:t>
      </w:r>
      <w:r w:rsidR="00F20488" w:rsidRPr="00273106">
        <w:t xml:space="preserve">se </w:t>
      </w:r>
      <w:r w:rsidR="00F20488" w:rsidRPr="00273106">
        <w:rPr>
          <w:i/>
        </w:rPr>
        <w:t>intellectus possibilis</w:t>
      </w:r>
      <w:r w:rsidR="00F20488" w:rsidRPr="00273106">
        <w:t xml:space="preserve"> stal pouze kontigentní realizací přímého náhledu </w:t>
      </w:r>
      <w:r w:rsidR="00727CEC">
        <w:t xml:space="preserve">hyparchických </w:t>
      </w:r>
      <w:r w:rsidR="00F20488" w:rsidRPr="00273106">
        <w:t xml:space="preserve">forem, který </w:t>
      </w:r>
      <w:r w:rsidR="00727CEC">
        <w:t xml:space="preserve">vytváří </w:t>
      </w:r>
      <w:r w:rsidR="00F20488" w:rsidRPr="00273106">
        <w:t xml:space="preserve">subsistentní, a tím i od člověka oddělený </w:t>
      </w:r>
      <w:r w:rsidR="00F20488"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E54878">
        <w:rPr>
          <w:i/>
        </w:rPr>
        <w:instrText>druhý averroismus</w:instrText>
      </w:r>
      <w:r w:rsidR="00DF1F0F">
        <w:instrText xml:space="preserve">" </w:instrText>
      </w:r>
      <w:r w:rsidR="00DF1F0F">
        <w:rPr>
          <w:i/>
        </w:rPr>
        <w:fldChar w:fldCharType="end"/>
      </w:r>
      <w:r w:rsidR="00F20488" w:rsidRPr="00273106">
        <w:t xml:space="preserve">. </w:t>
      </w:r>
      <w:r w:rsidR="00D1289F" w:rsidRPr="00273106">
        <w:t xml:space="preserve">Kolem 1230‒35 vznikají první základy nové metafyziky, která je explicitně daná v rámci pozdější </w:t>
      </w:r>
      <w:r w:rsidR="00D1289F" w:rsidRPr="00273106">
        <w:rPr>
          <w:i/>
        </w:rPr>
        <w:t>via Modernorum</w:t>
      </w:r>
      <w:r w:rsidR="00D1289F">
        <w:rPr>
          <w:i/>
        </w:rPr>
        <w:fldChar w:fldCharType="begin"/>
      </w:r>
      <w:r w:rsidR="00D1289F">
        <w:instrText xml:space="preserve"> XE "</w:instrText>
      </w:r>
      <w:r w:rsidR="00D1289F" w:rsidRPr="00ED0748">
        <w:rPr>
          <w:i/>
        </w:rPr>
        <w:instrText>via Modernorum</w:instrText>
      </w:r>
      <w:r w:rsidR="00D1289F">
        <w:instrText xml:space="preserve">" </w:instrText>
      </w:r>
      <w:r w:rsidR="00D1289F">
        <w:rPr>
          <w:i/>
        </w:rPr>
        <w:fldChar w:fldCharType="end"/>
      </w:r>
      <w:r w:rsidR="00D1289F" w:rsidRPr="00273106">
        <w:t>. Integrací univerzálního hylemorfismu</w:t>
      </w:r>
      <w:r w:rsidR="00D1289F">
        <w:fldChar w:fldCharType="begin"/>
      </w:r>
      <w:r w:rsidR="00D1289F">
        <w:instrText xml:space="preserve"> XE "</w:instrText>
      </w:r>
      <w:r w:rsidR="00D1289F" w:rsidRPr="00423560">
        <w:instrText>univerzální hylemorfismus</w:instrText>
      </w:r>
      <w:r w:rsidR="00D1289F">
        <w:instrText xml:space="preserve">" </w:instrText>
      </w:r>
      <w:r w:rsidR="00D1289F">
        <w:fldChar w:fldCharType="end"/>
      </w:r>
      <w:r w:rsidR="00D1289F" w:rsidRPr="00273106">
        <w:t xml:space="preserve"> do avicennovské školy tehdejších </w:t>
      </w:r>
      <w:r w:rsidR="00D1289F" w:rsidRPr="00273106">
        <w:rPr>
          <w:i/>
        </w:rPr>
        <w:t>Nominales</w:t>
      </w:r>
      <w:r w:rsidR="00D1289F" w:rsidRPr="00273106">
        <w:t xml:space="preserve"> na </w:t>
      </w:r>
      <w:r w:rsidR="084E0A2A">
        <w:t>Oxford</w:t>
      </w:r>
      <w:r w:rsidR="00910619">
        <w:t>u a v Paříži vzniká od roku 1240</w:t>
      </w:r>
      <w:r w:rsidR="084E0A2A">
        <w:t xml:space="preserve"> </w:t>
      </w:r>
      <w:r w:rsidR="00D1289F">
        <w:t>nový směr, který jsme nazvali druhý averroismus</w:t>
      </w:r>
      <w:r w:rsidR="00D1289F">
        <w:fldChar w:fldCharType="begin"/>
      </w:r>
      <w:r w:rsidR="00D1289F">
        <w:instrText xml:space="preserve"> XE "druhý</w:instrText>
      </w:r>
      <w:r w:rsidR="00D1289F" w:rsidRPr="006F7146">
        <w:instrText xml:space="preserve"> averroismus:vznik</w:instrText>
      </w:r>
      <w:r w:rsidR="00D1289F">
        <w:instrText xml:space="preserve">" </w:instrText>
      </w:r>
      <w:r w:rsidR="00D1289F">
        <w:fldChar w:fldCharType="end"/>
      </w:r>
      <w:r w:rsidR="00D1289F" w:rsidRPr="00273106">
        <w:t xml:space="preserve">. Tento proud </w:t>
      </w:r>
      <w:r w:rsidR="00D1289F">
        <w:t>vzešlý</w:t>
      </w:r>
      <w:r w:rsidR="00D1289F" w:rsidRPr="00273106">
        <w:t xml:space="preserve"> z avicennismu etabloval </w:t>
      </w:r>
      <w:r w:rsidR="00D1289F">
        <w:t xml:space="preserve">nový </w:t>
      </w:r>
      <w:r w:rsidR="00D1289F" w:rsidRPr="00273106">
        <w:t>objektivní smysl jsoucna</w:t>
      </w:r>
      <w:r w:rsidR="00D1289F">
        <w:t>, kterým překročil meze Avicennovy metafyziky</w:t>
      </w:r>
      <w:r w:rsidR="00D1289F" w:rsidRPr="00273106">
        <w:t>.</w:t>
      </w:r>
      <w:r w:rsidR="00D1289F">
        <w:t xml:space="preserve"> </w:t>
      </w:r>
      <w:r w:rsidR="00D1289F" w:rsidRPr="00273106">
        <w:t>Vznik druhého averroismu indikuje tažení Bacona a Alberta proti nominalistickým současníkům, které pařížský biskup Alvernus označuje ge</w:t>
      </w:r>
      <w:r w:rsidR="00D1289F">
        <w:t xml:space="preserve">nerickým názvem </w:t>
      </w:r>
      <w:r w:rsidR="00D1289F" w:rsidRPr="00273106">
        <w:rPr>
          <w:i/>
        </w:rPr>
        <w:t>sophistae Latini</w:t>
      </w:r>
      <w:r w:rsidR="00D1289F">
        <w:rPr>
          <w:i/>
        </w:rPr>
        <w:fldChar w:fldCharType="begin"/>
      </w:r>
      <w:r w:rsidR="00D1289F">
        <w:instrText xml:space="preserve"> XE "druhý</w:instrText>
      </w:r>
      <w:r w:rsidR="00D1289F" w:rsidRPr="006F7146">
        <w:instrText xml:space="preserve"> averroismus:</w:instrText>
      </w:r>
      <w:r w:rsidR="00D1289F" w:rsidRPr="00EC0AF4">
        <w:rPr>
          <w:i/>
          <w:lang w:eastAsia="en-US"/>
        </w:rPr>
        <w:instrText>sophistae Latini</w:instrText>
      </w:r>
      <w:r w:rsidR="00D1289F">
        <w:instrText xml:space="preserve">" </w:instrText>
      </w:r>
      <w:r w:rsidR="00D1289F">
        <w:rPr>
          <w:i/>
        </w:rPr>
        <w:fldChar w:fldCharType="end"/>
      </w:r>
      <w:r w:rsidR="00D1289F" w:rsidRPr="00273106">
        <w:t xml:space="preserve">. </w:t>
      </w:r>
      <w:r w:rsidR="08EC2DDC" w:rsidRPr="00273106">
        <w:rPr>
          <w:iCs/>
        </w:rPr>
        <w:t xml:space="preserve">Moderní sofisté v Paříži a na Oxfordu inspirovali Alberta a Bacona k tomu, aby oba myslitelé vyložili autentické myšlení </w:t>
      </w:r>
      <w:r w:rsidR="08EC2DDC" w:rsidRPr="00273106">
        <w:rPr>
          <w:iCs/>
        </w:rPr>
        <w:lastRenderedPageBreak/>
        <w:t xml:space="preserve">Aristotela a Komentátora. Albert nazval postup těchto </w:t>
      </w:r>
      <w:r w:rsidR="08EC2DDC" w:rsidRPr="00273106">
        <w:rPr>
          <w:i/>
          <w:iCs/>
        </w:rPr>
        <w:t>Latinorum</w:t>
      </w:r>
      <w:r w:rsidR="08EC2DDC" w:rsidRPr="00273106">
        <w:rPr>
          <w:iCs/>
        </w:rPr>
        <w:t xml:space="preserve"> „fabulací“ a Bacon „šílenstvím“</w:t>
      </w:r>
      <w:r w:rsidR="08EC2DDC">
        <w:rPr>
          <w:iCs/>
        </w:rPr>
        <w:t>. B</w:t>
      </w:r>
      <w:r w:rsidR="08EC2DDC" w:rsidRPr="00273106">
        <w:rPr>
          <w:iCs/>
        </w:rPr>
        <w:t>iskup Alvernus podobné bludy na Pařížské univerzitě odsoudil</w:t>
      </w:r>
      <w:r w:rsidR="08EC2DDC">
        <w:rPr>
          <w:iCs/>
        </w:rPr>
        <w:t xml:space="preserve"> tím, že oddělil kosmický a lidský </w:t>
      </w:r>
      <w:r w:rsidR="08EC2DDC" w:rsidRPr="00FC4305">
        <w:rPr>
          <w:i/>
          <w:iCs/>
        </w:rPr>
        <w:t>intellectus agens</w:t>
      </w:r>
      <w:r w:rsidR="08EC2DDC">
        <w:rPr>
          <w:i/>
          <w:iCs/>
        </w:rPr>
        <w:fldChar w:fldCharType="begin"/>
      </w:r>
      <w:r w:rsidR="08EC2DDC">
        <w:instrText xml:space="preserve"> XE "</w:instrText>
      </w:r>
      <w:r w:rsidR="08EC2DDC" w:rsidRPr="00490D32">
        <w:rPr>
          <w:i/>
        </w:rPr>
        <w:instrText>intellectus agens:</w:instrText>
      </w:r>
      <w:r w:rsidR="08EC2DDC" w:rsidRPr="0813449D">
        <w:instrText>Alvernus</w:instrText>
      </w:r>
      <w:r w:rsidR="08EC2DDC">
        <w:instrText xml:space="preserve">" </w:instrText>
      </w:r>
      <w:r w:rsidR="08EC2DDC">
        <w:rPr>
          <w:i/>
          <w:iCs/>
        </w:rPr>
        <w:fldChar w:fldCharType="end"/>
      </w:r>
      <w:r w:rsidR="08EC2DDC" w:rsidRPr="00273106">
        <w:rPr>
          <w:iCs/>
        </w:rPr>
        <w:t>.</w:t>
      </w:r>
      <w:r w:rsidR="08EC2DDC">
        <w:rPr>
          <w:iCs/>
        </w:rPr>
        <w:t xml:space="preserve"> </w:t>
      </w:r>
      <w:r w:rsidR="000D7DA9">
        <w:t>Alvernovi nejlepší žáci, Albert a Bacon</w:t>
      </w:r>
      <w:r w:rsidR="08FF4BEE">
        <w:t xml:space="preserve"> </w:t>
      </w:r>
      <w:r w:rsidR="000D7DA9">
        <w:t xml:space="preserve">pak další </w:t>
      </w:r>
      <w:r w:rsidR="00E110B9">
        <w:t xml:space="preserve">dvě </w:t>
      </w:r>
      <w:r w:rsidR="000D7DA9">
        <w:t xml:space="preserve">desetiletí hájí autentický smysl Aristotelova korpusu proti moderním sofistům. </w:t>
      </w:r>
      <w:r w:rsidR="00234534" w:rsidRPr="00273106">
        <w:rPr>
          <w:iCs/>
        </w:rPr>
        <w:t xml:space="preserve">Tímto epochálním činem </w:t>
      </w:r>
      <w:r w:rsidR="082D0501" w:rsidRPr="00273106">
        <w:rPr>
          <w:iCs/>
        </w:rPr>
        <w:t xml:space="preserve">následujícím </w:t>
      </w:r>
      <w:r w:rsidR="00347B34" w:rsidRPr="00273106">
        <w:rPr>
          <w:iCs/>
        </w:rPr>
        <w:t>Arist</w:t>
      </w:r>
      <w:r w:rsidR="00D23A55">
        <w:rPr>
          <w:iCs/>
        </w:rPr>
        <w:t>otel</w:t>
      </w:r>
      <w:r w:rsidR="00347B34" w:rsidRPr="00273106">
        <w:rPr>
          <w:iCs/>
        </w:rPr>
        <w:t xml:space="preserve">ův spis </w:t>
      </w:r>
      <w:r w:rsidR="082D0501" w:rsidRPr="00273106">
        <w:rPr>
          <w:i/>
          <w:iCs/>
        </w:rPr>
        <w:t>De Sophisticis Elenchis</w:t>
      </w:r>
      <w:r w:rsidR="082D0501" w:rsidRPr="00273106">
        <w:rPr>
          <w:iCs/>
        </w:rPr>
        <w:t xml:space="preserve"> </w:t>
      </w:r>
      <w:r w:rsidR="00234534" w:rsidRPr="00273106">
        <w:rPr>
          <w:iCs/>
        </w:rPr>
        <w:t xml:space="preserve">oba myslitelé založili autentický projekt západní vědy opřený o skutečný aristotelismus </w:t>
      </w:r>
      <w:r w:rsidR="00234534" w:rsidRPr="00DC23F5">
        <w:rPr>
          <w:i/>
          <w:iCs/>
        </w:rPr>
        <w:t>Druhých analytik</w:t>
      </w:r>
      <w:r w:rsidR="00234534" w:rsidRPr="00273106">
        <w:rPr>
          <w:iCs/>
        </w:rPr>
        <w:t>. Albert a Bacon</w:t>
      </w:r>
      <w:r w:rsidR="00E110B9">
        <w:rPr>
          <w:iCs/>
        </w:rPr>
        <w:t xml:space="preserve"> </w:t>
      </w:r>
      <w:r w:rsidR="00234534" w:rsidRPr="00273106">
        <w:rPr>
          <w:iCs/>
        </w:rPr>
        <w:t>završil</w:t>
      </w:r>
      <w:r w:rsidR="00E110B9">
        <w:rPr>
          <w:iCs/>
        </w:rPr>
        <w:t>i</w:t>
      </w:r>
      <w:r w:rsidR="00234534" w:rsidRPr="00273106">
        <w:rPr>
          <w:iCs/>
        </w:rPr>
        <w:t xml:space="preserve"> </w:t>
      </w:r>
      <w:r w:rsidR="08AC1AD4">
        <w:rPr>
          <w:iCs/>
        </w:rPr>
        <w:t xml:space="preserve">třetí </w:t>
      </w:r>
      <w:r w:rsidR="00234534" w:rsidRPr="00273106">
        <w:rPr>
          <w:iCs/>
        </w:rPr>
        <w:t>matrici objektivity danou vznikem prvního averroismu</w:t>
      </w:r>
      <w:r w:rsidR="00E110B9">
        <w:rPr>
          <w:iCs/>
        </w:rPr>
        <w:t xml:space="preserve"> a svou obranou prvního averroismu </w:t>
      </w:r>
      <w:r w:rsidR="00234534" w:rsidRPr="00273106">
        <w:rPr>
          <w:iCs/>
        </w:rPr>
        <w:t>současně otevřel</w:t>
      </w:r>
      <w:r w:rsidR="08FD4CF8" w:rsidRPr="00273106">
        <w:rPr>
          <w:iCs/>
        </w:rPr>
        <w:t>i</w:t>
      </w:r>
      <w:r w:rsidR="00DC23F5">
        <w:rPr>
          <w:iCs/>
        </w:rPr>
        <w:t xml:space="preserve"> </w:t>
      </w:r>
      <w:r w:rsidR="00137F03">
        <w:rPr>
          <w:iCs/>
        </w:rPr>
        <w:t>další kolo gigantomachie</w:t>
      </w:r>
      <w:r w:rsidR="00DC23F5">
        <w:rPr>
          <w:iCs/>
        </w:rPr>
        <w:t>.</w:t>
      </w:r>
      <w:r w:rsidR="00D1289F">
        <w:rPr>
          <w:iCs/>
        </w:rPr>
        <w:t xml:space="preserve"> </w:t>
      </w:r>
      <w:r w:rsidR="080E06E5">
        <w:rPr>
          <w:iCs/>
        </w:rPr>
        <w:t>N</w:t>
      </w:r>
      <w:r w:rsidR="00E110B9">
        <w:rPr>
          <w:iCs/>
        </w:rPr>
        <w:t>ové</w:t>
      </w:r>
      <w:r w:rsidR="080E06E5">
        <w:rPr>
          <w:iCs/>
        </w:rPr>
        <w:t xml:space="preserve"> kolo</w:t>
      </w:r>
      <w:r w:rsidR="00E110B9">
        <w:rPr>
          <w:iCs/>
        </w:rPr>
        <w:t xml:space="preserve"> sporu </w:t>
      </w:r>
      <w:r w:rsidR="00FB37F6">
        <w:rPr>
          <w:iCs/>
        </w:rPr>
        <w:t xml:space="preserve">o objektivitu </w:t>
      </w:r>
      <w:r w:rsidR="080E06E5">
        <w:rPr>
          <w:iCs/>
        </w:rPr>
        <w:t xml:space="preserve">začíná po </w:t>
      </w:r>
      <w:r w:rsidR="08CA234F">
        <w:rPr>
          <w:iCs/>
        </w:rPr>
        <w:t xml:space="preserve">odchodu </w:t>
      </w:r>
      <w:r w:rsidR="00E110B9">
        <w:rPr>
          <w:iCs/>
        </w:rPr>
        <w:t>biskupa Alberna (</w:t>
      </w:r>
      <w:r w:rsidR="083E58C7">
        <w:rPr>
          <w:iCs/>
        </w:rPr>
        <w:t>†</w:t>
      </w:r>
      <w:r w:rsidR="00E110B9">
        <w:rPr>
          <w:iCs/>
        </w:rPr>
        <w:t xml:space="preserve">1249) a </w:t>
      </w:r>
      <w:r w:rsidR="080E06E5">
        <w:rPr>
          <w:iCs/>
        </w:rPr>
        <w:t>je dáno začát</w:t>
      </w:r>
      <w:r w:rsidR="00E110B9">
        <w:rPr>
          <w:iCs/>
        </w:rPr>
        <w:t>k</w:t>
      </w:r>
      <w:r w:rsidR="080E06E5">
        <w:rPr>
          <w:iCs/>
        </w:rPr>
        <w:t>em</w:t>
      </w:r>
      <w:r w:rsidR="00E110B9">
        <w:rPr>
          <w:iCs/>
        </w:rPr>
        <w:t xml:space="preserve"> výuky Rufuse v Oxfordu roku 1250</w:t>
      </w:r>
      <w:r w:rsidR="080E06E5">
        <w:rPr>
          <w:iCs/>
        </w:rPr>
        <w:t xml:space="preserve">, kdy </w:t>
      </w:r>
      <w:r w:rsidR="08CA234F">
        <w:rPr>
          <w:iCs/>
        </w:rPr>
        <w:t xml:space="preserve">zde už zcela oficiálně </w:t>
      </w:r>
      <w:r w:rsidR="080E06E5">
        <w:rPr>
          <w:iCs/>
        </w:rPr>
        <w:t>přednáší první verzi moderních Sentencí</w:t>
      </w:r>
      <w:r w:rsidR="00E110B9">
        <w:rPr>
          <w:iCs/>
        </w:rPr>
        <w:t xml:space="preserve">. </w:t>
      </w:r>
      <w:r w:rsidR="080E06E5">
        <w:rPr>
          <w:iCs/>
        </w:rPr>
        <w:t xml:space="preserve">Bakaláři </w:t>
      </w:r>
      <w:r w:rsidR="002018F6" w:rsidRPr="00273106">
        <w:t xml:space="preserve">na artistických fakultách už povinně čtou Aristotelovu </w:t>
      </w:r>
      <w:r w:rsidR="002018F6">
        <w:rPr>
          <w:i/>
        </w:rPr>
        <w:t>De anima</w:t>
      </w:r>
      <w:r w:rsidR="002018F6" w:rsidRPr="00273106">
        <w:t xml:space="preserve"> a pod jejím vlivem dokončují magisterské komentáře k Sentencím. Významným protagonistou sporu o averroismus byl františkán </w:t>
      </w:r>
      <w:r w:rsidR="002018F6" w:rsidRPr="00273106">
        <w:rPr>
          <w:bCs/>
        </w:rPr>
        <w:t>Bonaventura z Bagnoreggia</w:t>
      </w:r>
      <w:r w:rsidR="002018F6" w:rsidRPr="00273106">
        <w:t xml:space="preserve"> (†1274) a následná škola </w:t>
      </w:r>
      <w:r w:rsidR="002018F6" w:rsidRPr="00273106">
        <w:rPr>
          <w:i/>
        </w:rPr>
        <w:t>Modernorum</w:t>
      </w:r>
      <w:r w:rsidR="002018F6">
        <w:rPr>
          <w:i/>
        </w:rPr>
        <w:t xml:space="preserve"> </w:t>
      </w:r>
      <w:r w:rsidR="002018F6" w:rsidRPr="00366B18">
        <w:t>pod vedením Pechama</w:t>
      </w:r>
      <w:r w:rsidR="002018F6" w:rsidRPr="00273106">
        <w:t xml:space="preserve">, která na něj navázala. Na druhé straně fronty stojí dva </w:t>
      </w:r>
      <w:r w:rsidR="00D937D3">
        <w:t xml:space="preserve">zásadně odlišní </w:t>
      </w:r>
      <w:r w:rsidR="002018F6" w:rsidRPr="00273106">
        <w:t>aristotelikové, Siger z Brabantu a Tomáš Akvinský.</w:t>
      </w:r>
      <w:r w:rsidR="002018F6" w:rsidRPr="00733502">
        <w:t xml:space="preserve"> </w:t>
      </w:r>
    </w:p>
    <w:p w14:paraId="0ED9119D" w14:textId="5A82B219" w:rsidR="00EB38DD" w:rsidRPr="00273106" w:rsidRDefault="08626077" w:rsidP="00771708">
      <w:pPr>
        <w:pStyle w:val="Nadpis2"/>
      </w:pPr>
      <w:bookmarkStart w:id="114" w:name="_Toc487234317"/>
      <w:bookmarkStart w:id="115" w:name="_Toc12558324"/>
      <w:r>
        <w:rPr>
          <w:lang w:val="cs-CZ"/>
        </w:rPr>
        <w:br w:type="page"/>
      </w:r>
      <w:bookmarkStart w:id="116" w:name="_Toc160449337"/>
      <w:r w:rsidR="08D20D28">
        <w:rPr>
          <w:lang w:val="cs-CZ"/>
        </w:rPr>
        <w:lastRenderedPageBreak/>
        <w:t>3</w:t>
      </w:r>
      <w:r w:rsidR="00895802" w:rsidRPr="00273106">
        <w:t>.</w:t>
      </w:r>
      <w:r w:rsidR="00050538" w:rsidRPr="00273106">
        <w:t>3</w:t>
      </w:r>
      <w:r w:rsidR="00FD0FD1" w:rsidRPr="00273106">
        <w:t xml:space="preserve"> </w:t>
      </w:r>
      <w:r w:rsidR="00056961">
        <w:rPr>
          <w:lang w:val="cs-CZ"/>
        </w:rPr>
        <w:t>O</w:t>
      </w:r>
      <w:r w:rsidR="000E12E1" w:rsidRPr="00273106">
        <w:t>bjekti</w:t>
      </w:r>
      <w:r w:rsidR="005B50FC" w:rsidRPr="00273106">
        <w:t xml:space="preserve">vní </w:t>
      </w:r>
      <w:r w:rsidR="00F4241B">
        <w:rPr>
          <w:lang w:val="cs-CZ"/>
        </w:rPr>
        <w:t xml:space="preserve">pojetí esence </w:t>
      </w:r>
      <w:r w:rsidR="008B3605" w:rsidRPr="00273106">
        <w:t>(Rufus z Cornwallu)</w:t>
      </w:r>
      <w:bookmarkEnd w:id="114"/>
      <w:bookmarkEnd w:id="115"/>
      <w:bookmarkEnd w:id="116"/>
    </w:p>
    <w:p w14:paraId="7A686B81" w14:textId="484372E0" w:rsidR="00BA283A" w:rsidRDefault="00F13305" w:rsidP="00771708">
      <w:r w:rsidRPr="00273106">
        <w:t xml:space="preserve">Moderní gigantomachie </w:t>
      </w:r>
      <w:r w:rsidR="009C6738">
        <w:t xml:space="preserve">vzhledem k </w:t>
      </w:r>
      <w:r w:rsidR="00017475">
        <w:t xml:space="preserve">objektivní </w:t>
      </w:r>
      <w:r w:rsidRPr="00273106">
        <w:t xml:space="preserve">substanci vznikla </w:t>
      </w:r>
      <w:r>
        <w:t xml:space="preserve">kolem roku </w:t>
      </w:r>
      <w:r w:rsidR="0047059F">
        <w:t>1170</w:t>
      </w:r>
      <w:r w:rsidRPr="00273106">
        <w:t xml:space="preserve">, kdy </w:t>
      </w:r>
      <w:r>
        <w:t>Averroes</w:t>
      </w:r>
      <w:r w:rsidRPr="00273106">
        <w:t xml:space="preserve"> začíná </w:t>
      </w:r>
      <w:r w:rsidR="0070404D">
        <w:t xml:space="preserve">zcela originálně komentovat hlavní </w:t>
      </w:r>
      <w:r w:rsidRPr="00273106">
        <w:t>Aristotelovy spisy a provádí zásadní kritiku Avicenny a Al</w:t>
      </w:r>
      <w:r w:rsidRPr="00273106">
        <w:noBreakHyphen/>
        <w:t>Ghazálího</w:t>
      </w:r>
      <w:r>
        <w:fldChar w:fldCharType="begin"/>
      </w:r>
      <w:r>
        <w:instrText xml:space="preserve"> XE "Al-</w:instrText>
      </w:r>
      <w:r w:rsidRPr="00DD0A94">
        <w:instrText>Ghazálí</w:instrText>
      </w:r>
      <w:r>
        <w:instrText xml:space="preserve">" </w:instrText>
      </w:r>
      <w:r>
        <w:fldChar w:fldCharType="end"/>
      </w:r>
      <w:r w:rsidRPr="00273106">
        <w:t>.</w:t>
      </w:r>
      <w:r w:rsidR="00785ACC">
        <w:t xml:space="preserve"> </w:t>
      </w:r>
      <w:r w:rsidR="00D7678B">
        <w:t>Na latinském Západě v tuto dobu začíná recepce Avicenny</w:t>
      </w:r>
      <w:r w:rsidR="00DC23F5">
        <w:t xml:space="preserve"> podle Toledské školy</w:t>
      </w:r>
      <w:r w:rsidR="00D7678B">
        <w:t xml:space="preserve">. </w:t>
      </w:r>
      <w:r w:rsidR="0057025E" w:rsidRPr="00273106">
        <w:t xml:space="preserve">Latinská scholastika převzala spor </w:t>
      </w:r>
      <w:r w:rsidR="007B1D73">
        <w:t xml:space="preserve">falsafy </w:t>
      </w:r>
      <w:r w:rsidR="0057025E">
        <w:t xml:space="preserve">o </w:t>
      </w:r>
      <w:r w:rsidR="00466259">
        <w:t xml:space="preserve">avicennovskou </w:t>
      </w:r>
      <w:r w:rsidR="0057025E">
        <w:t xml:space="preserve">substanci </w:t>
      </w:r>
      <w:r w:rsidR="0057025E" w:rsidRPr="00273106">
        <w:t xml:space="preserve">a přetvořila jej do objektivní formy metafyziky. </w:t>
      </w:r>
      <w:r w:rsidR="00022E26">
        <w:t>Předešlé kapitoly ukázaly, jak byly neoplatonsk</w:t>
      </w:r>
      <w:r w:rsidR="00022E26" w:rsidRPr="00273106">
        <w:t xml:space="preserve">é tradice ovlivněné Avicennou </w:t>
      </w:r>
      <w:r w:rsidR="00022E26">
        <w:t xml:space="preserve">naroubovány </w:t>
      </w:r>
      <w:r w:rsidR="00022E26" w:rsidRPr="00273106">
        <w:t xml:space="preserve">na logické školy </w:t>
      </w:r>
      <w:r w:rsidR="00022E26" w:rsidRPr="00273106">
        <w:rPr>
          <w:i/>
        </w:rPr>
        <w:t>Nominales</w:t>
      </w:r>
      <w:r w:rsidR="00022E26">
        <w:t xml:space="preserve"> a porretánů.</w:t>
      </w:r>
      <w:r w:rsidR="00022E26" w:rsidRPr="00273106">
        <w:t xml:space="preserve"> </w:t>
      </w:r>
      <w:r w:rsidR="00022E26">
        <w:t xml:space="preserve">Tento rozbor se částečně kryje s </w:t>
      </w:r>
      <w:r w:rsidR="00022E26" w:rsidRPr="00273106">
        <w:t>Gilson</w:t>
      </w:r>
      <w:r w:rsidR="00022E26">
        <w:t>ovým</w:t>
      </w:r>
      <w:r w:rsidR="00022E26">
        <w:fldChar w:fldCharType="begin"/>
      </w:r>
      <w:r w:rsidR="00022E26">
        <w:instrText xml:space="preserve"> XE "</w:instrText>
      </w:r>
      <w:r w:rsidR="00022E26" w:rsidRPr="003C0A29">
        <w:instrText>Gilson, E.</w:instrText>
      </w:r>
      <w:r w:rsidR="00022E26">
        <w:instrText xml:space="preserve">" </w:instrText>
      </w:r>
      <w:r w:rsidR="00022E26">
        <w:fldChar w:fldCharType="end"/>
      </w:r>
      <w:r w:rsidR="00022E26">
        <w:t xml:space="preserve"> termínem </w:t>
      </w:r>
      <w:r w:rsidR="00767808">
        <w:t>„</w:t>
      </w:r>
      <w:r w:rsidR="00022E26" w:rsidRPr="00273106">
        <w:rPr>
          <w:i/>
        </w:rPr>
        <w:t>augustinisme avicennisant</w:t>
      </w:r>
      <w:r w:rsidR="00767808">
        <w:t>“</w:t>
      </w:r>
      <w:r w:rsidR="00022E26">
        <w:fldChar w:fldCharType="begin"/>
      </w:r>
      <w:r w:rsidR="00022E26">
        <w:instrText xml:space="preserve"> XE "druhý averroismus:</w:instrText>
      </w:r>
      <w:r w:rsidR="00022E26" w:rsidRPr="00F707A4">
        <w:rPr>
          <w:i/>
        </w:rPr>
        <w:instrText>augustinisme avicennisant</w:instrText>
      </w:r>
      <w:r w:rsidR="00022E26">
        <w:instrText xml:space="preserve">" </w:instrText>
      </w:r>
      <w:r w:rsidR="00022E26">
        <w:fldChar w:fldCharType="end"/>
      </w:r>
      <w:r w:rsidR="00022E26">
        <w:t xml:space="preserve">. </w:t>
      </w:r>
      <w:r w:rsidR="000664F7" w:rsidRPr="00273106">
        <w:t xml:space="preserve">Druhý averroismus vyrostl kolem 1230 na novém výkladu spisu </w:t>
      </w:r>
      <w:r w:rsidR="000664F7" w:rsidRPr="0055212B">
        <w:rPr>
          <w:i/>
        </w:rPr>
        <w:t>Kategorie</w:t>
      </w:r>
      <w:r w:rsidR="000664F7" w:rsidRPr="00273106">
        <w:t xml:space="preserve"> a změnou statutu vědeckého poznání ve </w:t>
      </w:r>
      <w:r w:rsidR="000664F7" w:rsidRPr="0055212B">
        <w:rPr>
          <w:i/>
        </w:rPr>
        <w:t>Druhých analytikách</w:t>
      </w:r>
      <w:r w:rsidR="000664F7" w:rsidRPr="00273106">
        <w:t xml:space="preserve">. Hermeneutiku zajímá především způsob, jak je smysl jsoucna nasvícen v poli epochálně nového </w:t>
      </w:r>
      <w:r w:rsidR="000664F7" w:rsidRPr="00273106">
        <w:rPr>
          <w:i/>
        </w:rPr>
        <w:t>Lichtung</w:t>
      </w:r>
      <w:r w:rsidR="00DA0975">
        <w:t xml:space="preserve"> západní metafyziky. Zde vznikla </w:t>
      </w:r>
      <w:r w:rsidR="000664F7" w:rsidRPr="00273106">
        <w:t>pravda i nepravda druhého averroismu</w:t>
      </w:r>
      <w:r w:rsidR="08F8318F">
        <w:t xml:space="preserve"> daná jako </w:t>
      </w:r>
      <w:r w:rsidR="00726820">
        <w:t xml:space="preserve">fundamentální dějinné </w:t>
      </w:r>
      <w:r w:rsidR="000664F7">
        <w:t xml:space="preserve">pochybení </w:t>
      </w:r>
      <w:r w:rsidR="00726820">
        <w:t>metafyziky</w:t>
      </w:r>
      <w:r w:rsidR="00C06213">
        <w:t xml:space="preserve"> (</w:t>
      </w:r>
      <w:r w:rsidR="00C06213" w:rsidRPr="00C06213">
        <w:rPr>
          <w:i/>
        </w:rPr>
        <w:t>Irrtum</w:t>
      </w:r>
      <w:r w:rsidR="00C06213">
        <w:t>)</w:t>
      </w:r>
      <w:r w:rsidR="00726820">
        <w:t>, z níž vyrostlo objektivní vidění světa</w:t>
      </w:r>
      <w:r w:rsidR="000664F7">
        <w:fldChar w:fldCharType="begin"/>
      </w:r>
      <w:r w:rsidR="000664F7">
        <w:instrText xml:space="preserve"> XE "</w:instrText>
      </w:r>
      <w:r w:rsidR="000664F7" w:rsidRPr="005B1E35">
        <w:instrText>zjevování:nasvícení zezadu</w:instrText>
      </w:r>
      <w:r w:rsidR="000664F7">
        <w:instrText xml:space="preserve">" </w:instrText>
      </w:r>
      <w:r w:rsidR="000664F7">
        <w:fldChar w:fldCharType="end"/>
      </w:r>
      <w:r w:rsidR="000664F7" w:rsidRPr="00273106">
        <w:t>.</w:t>
      </w:r>
      <w:r w:rsidR="000664F7">
        <w:t xml:space="preserve"> </w:t>
      </w:r>
      <w:r w:rsidR="00BD10AD" w:rsidRPr="00BD10AD">
        <w:t>Z tohoto místa dějinnosti (</w:t>
      </w:r>
      <w:r w:rsidR="00BD10AD" w:rsidRPr="00BD10AD">
        <w:rPr>
          <w:i/>
        </w:rPr>
        <w:t>Geschichtlichkeit</w:t>
      </w:r>
      <w:r w:rsidR="00BD10AD" w:rsidRPr="00BD10AD">
        <w:t>) se vynořila pravda a nepravda averroismu jako základní dějinný omyl metafyziky (</w:t>
      </w:r>
      <w:r w:rsidR="00BD10AD" w:rsidRPr="00BD10AD">
        <w:rPr>
          <w:i/>
        </w:rPr>
        <w:t>Irrtum</w:t>
      </w:r>
      <w:r w:rsidR="00BD10AD">
        <w:t>) a založila dějiny</w:t>
      </w:r>
      <w:r w:rsidR="00BD10AD" w:rsidRPr="00BD10AD">
        <w:t xml:space="preserve"> (</w:t>
      </w:r>
      <w:r w:rsidR="00BD10AD" w:rsidRPr="00BD10AD">
        <w:rPr>
          <w:i/>
        </w:rPr>
        <w:t>Geschichte</w:t>
      </w:r>
      <w:r w:rsidR="00BD10AD" w:rsidRPr="00BD10AD">
        <w:t>) objektivního světového názoru. Pozitivistické dějiny filosofie (</w:t>
      </w:r>
      <w:r w:rsidR="00BD10AD" w:rsidRPr="00BD10AD">
        <w:rPr>
          <w:i/>
        </w:rPr>
        <w:t>Historie</w:t>
      </w:r>
      <w:r w:rsidR="00BD10AD" w:rsidRPr="00BD10AD">
        <w:t xml:space="preserve">) jdou cestou </w:t>
      </w:r>
      <w:r w:rsidR="00BD10AD" w:rsidRPr="00BD10AD">
        <w:rPr>
          <w:i/>
        </w:rPr>
        <w:t>tertium ens</w:t>
      </w:r>
      <w:r w:rsidR="00BD10AD" w:rsidRPr="00BD10AD">
        <w:t>, které vytvořilo ději</w:t>
      </w:r>
      <w:r w:rsidR="00BD10AD">
        <w:t>ny objektivního působení moderny</w:t>
      </w:r>
      <w:r w:rsidR="00BD10AD" w:rsidRPr="00BD10AD">
        <w:t>. Proměna dějin sleduje tro</w:t>
      </w:r>
      <w:r w:rsidR="00BD10AD">
        <w:t xml:space="preserve">jí proměnu pravdy: od božské </w:t>
      </w:r>
      <w:r w:rsidR="00BD10AD" w:rsidRPr="00BD10AD">
        <w:rPr>
          <w:i/>
        </w:rPr>
        <w:t>a/létheia</w:t>
      </w:r>
      <w:r w:rsidR="00BD10AD">
        <w:t xml:space="preserve"> Múz k </w:t>
      </w:r>
      <w:r w:rsidR="00BD10AD" w:rsidRPr="00BD10AD">
        <w:rPr>
          <w:i/>
        </w:rPr>
        <w:t>alétheia</w:t>
      </w:r>
      <w:r w:rsidR="00BD10AD" w:rsidRPr="00BD10AD">
        <w:t xml:space="preserve"> první filosofie a nakonec k </w:t>
      </w:r>
      <w:r w:rsidR="00BD10AD" w:rsidRPr="00BD10AD">
        <w:rPr>
          <w:i/>
        </w:rPr>
        <w:t>veritas</w:t>
      </w:r>
      <w:r w:rsidR="00BD10AD" w:rsidRPr="00BD10AD">
        <w:t xml:space="preserve"> metafyziky, která </w:t>
      </w:r>
      <w:r w:rsidR="00BD10AD">
        <w:t xml:space="preserve">nyní končí </w:t>
      </w:r>
      <w:r w:rsidR="00BD10AD" w:rsidRPr="00BD10AD">
        <w:t xml:space="preserve">v západním </w:t>
      </w:r>
      <w:r w:rsidR="00BD10AD">
        <w:t>objektivním nihilismu „</w:t>
      </w:r>
      <w:r w:rsidR="00BD10AD" w:rsidRPr="00BD10AD">
        <w:rPr>
          <w:i/>
        </w:rPr>
        <w:t>post-truths</w:t>
      </w:r>
      <w:r w:rsidR="00BD10AD">
        <w:t>“</w:t>
      </w:r>
      <w:r w:rsidR="00BD10AD" w:rsidRPr="00BD10AD">
        <w:t>.</w:t>
      </w:r>
      <w:r w:rsidR="00787F75">
        <w:t xml:space="preserve"> Zhruba od roku </w:t>
      </w:r>
      <w:r w:rsidR="00022E26" w:rsidRPr="00273106">
        <w:t>1230 vzniká na latinském Západě nová podoba metafyziky složená s několika proudů, které navázaly na gigantomachii zanikající falsafy</w:t>
      </w:r>
      <w:r w:rsidR="00D759AD">
        <w:t xml:space="preserve">. Nejdůležitější </w:t>
      </w:r>
      <w:r w:rsidR="00920CCE">
        <w:t xml:space="preserve">událostí </w:t>
      </w:r>
      <w:r w:rsidR="00D759AD">
        <w:t>byla autentická</w:t>
      </w:r>
      <w:r w:rsidR="00022E26">
        <w:t xml:space="preserve"> interpretace Averroese podle Sicilské školy</w:t>
      </w:r>
      <w:r w:rsidR="00022E26" w:rsidRPr="00273106">
        <w:t xml:space="preserve">. </w:t>
      </w:r>
      <w:r w:rsidR="003B3443" w:rsidRPr="00273106">
        <w:t>Hermene</w:t>
      </w:r>
      <w:r w:rsidR="001B7C37" w:rsidRPr="00273106">
        <w:t xml:space="preserve">utika objektivity rozlišuje při recepci </w:t>
      </w:r>
      <w:r w:rsidR="002E3B62">
        <w:t>Averroes</w:t>
      </w:r>
      <w:r w:rsidR="001B7C37" w:rsidRPr="00273106">
        <w:t xml:space="preserve">e </w:t>
      </w:r>
      <w:r w:rsidR="00FB1E01">
        <w:fldChar w:fldCharType="begin"/>
      </w:r>
      <w:r w:rsidR="00FB1E01">
        <w:instrText xml:space="preserve"> XE "</w:instrText>
      </w:r>
      <w:r w:rsidR="00FB1E01" w:rsidRPr="0091589D">
        <w:instrText>objektivita:</w:instrText>
      </w:r>
      <w:r w:rsidR="00F805EC">
        <w:instrText>druhý averroismus</w:instrText>
      </w:r>
      <w:r w:rsidR="00FB1E01">
        <w:instrText xml:space="preserve">" </w:instrText>
      </w:r>
      <w:r w:rsidR="00FB1E01">
        <w:fldChar w:fldCharType="end"/>
      </w:r>
      <w:r w:rsidR="001B7C37" w:rsidRPr="00273106">
        <w:t>na latinském Západě čtyři odlišné proudy</w:t>
      </w:r>
      <w:r w:rsidR="006E24D6">
        <w:t xml:space="preserve"> podle dějinnosti dané v </w:t>
      </w:r>
      <w:r w:rsidR="006E24D6" w:rsidRPr="00273106">
        <w:t>součtveří (</w:t>
      </w:r>
      <w:r w:rsidR="006E24D6" w:rsidRPr="00273106">
        <w:rPr>
          <w:i/>
        </w:rPr>
        <w:t>Geviert</w:t>
      </w:r>
      <w:r w:rsidR="006E24D6" w:rsidRPr="00273106">
        <w:t>), odkud vychází nové formy myšl</w:t>
      </w:r>
      <w:r w:rsidR="088E6108">
        <w:t>ení západní metafyziky (kap. 3</w:t>
      </w:r>
      <w:r w:rsidR="006E24D6" w:rsidRPr="00273106">
        <w:t>).</w:t>
      </w:r>
      <w:r w:rsidR="002302E4">
        <w:t xml:space="preserve"> Za prvé. A</w:t>
      </w:r>
      <w:r w:rsidR="003B3443" w:rsidRPr="00273106">
        <w:t xml:space="preserve">vicennismus </w:t>
      </w:r>
      <w:r w:rsidR="00592834" w:rsidRPr="00273106">
        <w:t xml:space="preserve">daný </w:t>
      </w:r>
      <w:r w:rsidR="001B7C37" w:rsidRPr="00273106">
        <w:t>v</w:t>
      </w:r>
      <w:r w:rsidR="00516D27">
        <w:t xml:space="preserve">e škole porretánů </w:t>
      </w:r>
      <w:r w:rsidR="00EE4B02" w:rsidRPr="00273106">
        <w:t xml:space="preserve">a </w:t>
      </w:r>
      <w:r w:rsidR="00874074">
        <w:t>neoplatonsk</w:t>
      </w:r>
      <w:r w:rsidR="00EE4B02" w:rsidRPr="00273106">
        <w:t>é interpretace Aristotela</w:t>
      </w:r>
      <w:r w:rsidR="00516D27">
        <w:t xml:space="preserve"> v rámci </w:t>
      </w:r>
      <w:r w:rsidR="00245118">
        <w:t xml:space="preserve">nominalistické </w:t>
      </w:r>
      <w:r w:rsidR="00516D27" w:rsidRPr="00516D27">
        <w:rPr>
          <w:i/>
        </w:rPr>
        <w:t>logica Modernorum</w:t>
      </w:r>
      <w:r w:rsidR="00516D27">
        <w:t xml:space="preserve"> </w:t>
      </w:r>
      <w:r w:rsidR="00C45E15">
        <w:t xml:space="preserve">odmítnutý biskupem Alvernem </w:t>
      </w:r>
      <w:r w:rsidR="00516D27">
        <w:t>(</w:t>
      </w:r>
      <w:r w:rsidR="00516D27" w:rsidRPr="00516D27">
        <w:rPr>
          <w:i/>
        </w:rPr>
        <w:t>sophistae Italici</w:t>
      </w:r>
      <w:r w:rsidR="00516D27">
        <w:t xml:space="preserve">, </w:t>
      </w:r>
      <w:r w:rsidR="00516D27" w:rsidRPr="00516D27">
        <w:rPr>
          <w:i/>
        </w:rPr>
        <w:t>Grammatici</w:t>
      </w:r>
      <w:r w:rsidR="00516D27">
        <w:t>)</w:t>
      </w:r>
      <w:r w:rsidR="006E24D6">
        <w:t>.</w:t>
      </w:r>
      <w:r w:rsidR="002302E4">
        <w:t xml:space="preserve"> Za druhé. </w:t>
      </w:r>
      <w:r w:rsidR="003B3443" w:rsidRPr="00273106">
        <w:t xml:space="preserve">Blundem zavedený </w:t>
      </w:r>
      <w:r w:rsidR="005F3717">
        <w:t xml:space="preserve">klasický </w:t>
      </w:r>
      <w:r w:rsidR="003B3443" w:rsidRPr="00273106">
        <w:t>aristotelismus</w:t>
      </w:r>
      <w:r w:rsidR="0057779E" w:rsidRPr="00273106">
        <w:t>, který</w:t>
      </w:r>
      <w:r w:rsidR="001B7C37" w:rsidRPr="00273106">
        <w:t xml:space="preserve"> provedl nový výklad </w:t>
      </w:r>
      <w:r w:rsidR="001B7C37" w:rsidRPr="00273106">
        <w:rPr>
          <w:i/>
        </w:rPr>
        <w:t>De anima</w:t>
      </w:r>
      <w:r w:rsidR="00E25358">
        <w:rPr>
          <w:i/>
        </w:rPr>
        <w:t xml:space="preserve"> </w:t>
      </w:r>
      <w:r w:rsidR="00E25358">
        <w:t>v linii Boethia a Abelarda</w:t>
      </w:r>
      <w:r w:rsidR="0072707D">
        <w:t xml:space="preserve"> (</w:t>
      </w:r>
      <w:r w:rsidR="0072707D" w:rsidRPr="0072707D">
        <w:rPr>
          <w:i/>
        </w:rPr>
        <w:t>logica Vetus</w:t>
      </w:r>
      <w:r w:rsidR="0072707D">
        <w:t>, klasická metafyzika)</w:t>
      </w:r>
      <w:r w:rsidR="00E25358">
        <w:t xml:space="preserve">. </w:t>
      </w:r>
      <w:r w:rsidR="002302E4">
        <w:t xml:space="preserve">Za třetí. </w:t>
      </w:r>
      <w:r w:rsidR="006E24D6">
        <w:t>P</w:t>
      </w:r>
      <w:r w:rsidR="001B7C37" w:rsidRPr="00273106">
        <w:t xml:space="preserve">rvní </w:t>
      </w:r>
      <w:r w:rsidR="003B3443" w:rsidRPr="00273106">
        <w:t xml:space="preserve">averroismus nastolený </w:t>
      </w:r>
      <w:r w:rsidR="001B7C37" w:rsidRPr="00273106">
        <w:t xml:space="preserve">po </w:t>
      </w:r>
      <w:r w:rsidR="005C00BB">
        <w:t xml:space="preserve">kritické </w:t>
      </w:r>
      <w:r w:rsidR="001B7C37" w:rsidRPr="00273106">
        <w:t xml:space="preserve">recepci </w:t>
      </w:r>
      <w:r w:rsidR="00E50B10">
        <w:t xml:space="preserve">Toledského </w:t>
      </w:r>
      <w:r w:rsidR="002E3B62">
        <w:t>Averroes</w:t>
      </w:r>
      <w:r w:rsidR="001B7C37" w:rsidRPr="00273106">
        <w:t xml:space="preserve">e </w:t>
      </w:r>
      <w:r w:rsidR="003B3443" w:rsidRPr="00273106">
        <w:t xml:space="preserve">v díle </w:t>
      </w:r>
      <w:r w:rsidR="089A1B6F">
        <w:rPr>
          <w:i/>
        </w:rPr>
        <w:t>De anima et de potenciis eius</w:t>
      </w:r>
      <w:r w:rsidR="003B3443" w:rsidRPr="00273106">
        <w:t xml:space="preserve"> (kolem 1225)</w:t>
      </w:r>
      <w:r w:rsidR="00474D65">
        <w:t xml:space="preserve"> </w:t>
      </w:r>
      <w:r w:rsidR="005C00BB">
        <w:t xml:space="preserve">a </w:t>
      </w:r>
      <w:r w:rsidR="00474D65">
        <w:t xml:space="preserve">systematizovaný ve škole </w:t>
      </w:r>
      <w:r w:rsidR="00E50B10">
        <w:t xml:space="preserve">prvního </w:t>
      </w:r>
      <w:r w:rsidR="00474D65" w:rsidRPr="00273106">
        <w:t>averroismu</w:t>
      </w:r>
      <w:r w:rsidR="00474D65">
        <w:t xml:space="preserve"> </w:t>
      </w:r>
      <w:r w:rsidR="00E50B10">
        <w:t xml:space="preserve">Sicilské </w:t>
      </w:r>
      <w:r w:rsidR="00E50B10">
        <w:lastRenderedPageBreak/>
        <w:t xml:space="preserve">provenience v díle </w:t>
      </w:r>
      <w:r w:rsidR="00474D65">
        <w:t>Alverna, Alberta a Bacona.</w:t>
      </w:r>
      <w:r w:rsidR="002302E4">
        <w:t xml:space="preserve"> Za čtvrté. </w:t>
      </w:r>
      <w:r w:rsidR="006E24D6">
        <w:t>D</w:t>
      </w:r>
      <w:r w:rsidR="001B7C37" w:rsidRPr="00273106">
        <w:t xml:space="preserve">ruhý averroismus </w:t>
      </w:r>
      <w:r w:rsidR="000A55CE">
        <w:t xml:space="preserve">nastolený Grossestestovým analytickým výkladem </w:t>
      </w:r>
      <w:r w:rsidR="000A55CE" w:rsidRPr="000A55CE">
        <w:rPr>
          <w:i/>
        </w:rPr>
        <w:t>Druhých analytik</w:t>
      </w:r>
      <w:r w:rsidR="08FA648B">
        <w:t xml:space="preserve">, který </w:t>
      </w:r>
      <w:r w:rsidR="08624F96">
        <w:t xml:space="preserve">škola </w:t>
      </w:r>
      <w:r w:rsidR="08245DDE">
        <w:t xml:space="preserve">prvních Modernistů </w:t>
      </w:r>
      <w:r w:rsidR="08FA648B">
        <w:t>napojil</w:t>
      </w:r>
      <w:r w:rsidR="08624F96">
        <w:t>a</w:t>
      </w:r>
      <w:r w:rsidR="08FA648B">
        <w:t xml:space="preserve"> na univerzální hylemorfismus</w:t>
      </w:r>
      <w:r w:rsidR="087E1867">
        <w:t xml:space="preserve">. Modernismus daný v </w:t>
      </w:r>
      <w:r w:rsidR="08FA648B">
        <w:t xml:space="preserve">této podobě začal </w:t>
      </w:r>
      <w:r w:rsidR="088959A4">
        <w:t xml:space="preserve">akademicky </w:t>
      </w:r>
      <w:r w:rsidR="08FA648B">
        <w:t xml:space="preserve">působit jak na Oxfordu tak v Paříži zhruba od roku 1235. </w:t>
      </w:r>
      <w:r w:rsidR="088959A4">
        <w:t>Na Oxfordu se moderna uchytila proto, že Grosseteste odešel jako bisku</w:t>
      </w:r>
      <w:r w:rsidR="087D7A14">
        <w:t>p do Linc</w:t>
      </w:r>
      <w:r w:rsidR="088959A4">
        <w:t xml:space="preserve">olnu a v Paříži proto, že sem přišel na studia hlavní oxfordský modernista Rufus. </w:t>
      </w:r>
      <w:r w:rsidR="086B64BB">
        <w:t xml:space="preserve">Jeho </w:t>
      </w:r>
      <w:r w:rsidR="08E56AEA">
        <w:t>výklad ovlivnil následující generaci, která</w:t>
      </w:r>
      <w:r w:rsidR="000A55CE">
        <w:t xml:space="preserve"> interpretoval</w:t>
      </w:r>
      <w:r w:rsidR="08E56AEA">
        <w:t>a</w:t>
      </w:r>
      <w:r w:rsidR="00351CAA" w:rsidRPr="00273106">
        <w:t xml:space="preserve"> </w:t>
      </w:r>
      <w:r w:rsidR="002E3B62">
        <w:t>Averroes</w:t>
      </w:r>
      <w:r w:rsidR="00351CAA" w:rsidRPr="00273106">
        <w:t xml:space="preserve">ovy spisy </w:t>
      </w:r>
      <w:r w:rsidR="00E50B10">
        <w:t xml:space="preserve">v modu Toledské školy </w:t>
      </w:r>
      <w:r w:rsidR="00351CAA" w:rsidRPr="00273106">
        <w:t xml:space="preserve">podle </w:t>
      </w:r>
      <w:r w:rsidR="00A55448">
        <w:t>a</w:t>
      </w:r>
      <w:r w:rsidR="001B7C37" w:rsidRPr="00273106">
        <w:t>vicennismu</w:t>
      </w:r>
      <w:r w:rsidR="08E56AEA">
        <w:t xml:space="preserve"> </w:t>
      </w:r>
      <w:r w:rsidR="00A55448">
        <w:t xml:space="preserve">nominalistů </w:t>
      </w:r>
      <w:r w:rsidR="08E56AEA">
        <w:t>a univerzálního hylemorfismu</w:t>
      </w:r>
      <w:r w:rsidR="000A55CE">
        <w:t xml:space="preserve">. Tento směr zásadně </w:t>
      </w:r>
      <w:r w:rsidR="00474D65">
        <w:t>odmítl Alvernus</w:t>
      </w:r>
      <w:r w:rsidR="080D13EF">
        <w:t xml:space="preserve"> a</w:t>
      </w:r>
      <w:r w:rsidR="00474D65">
        <w:t xml:space="preserve"> Albert </w:t>
      </w:r>
      <w:r w:rsidR="00516D27">
        <w:t>(</w:t>
      </w:r>
      <w:r w:rsidR="00516D27" w:rsidRPr="00516D27">
        <w:rPr>
          <w:i/>
        </w:rPr>
        <w:t>sophistae Latini</w:t>
      </w:r>
      <w:r w:rsidR="00516D27">
        <w:t xml:space="preserve">, </w:t>
      </w:r>
      <w:r w:rsidR="00516D27" w:rsidRPr="00516D27">
        <w:rPr>
          <w:i/>
        </w:rPr>
        <w:t>doctores Latin</w:t>
      </w:r>
      <w:r w:rsidR="08AE208B">
        <w:rPr>
          <w:i/>
        </w:rPr>
        <w:t>i</w:t>
      </w:r>
      <w:r w:rsidR="00516D27">
        <w:t>)</w:t>
      </w:r>
      <w:r w:rsidR="006C01C7">
        <w:t xml:space="preserve">. </w:t>
      </w:r>
      <w:r w:rsidR="000A55CE">
        <w:t>Bacon</w:t>
      </w:r>
      <w:r w:rsidR="006C01C7">
        <w:t xml:space="preserve"> jako nejlepší znalec Aristotelovy </w:t>
      </w:r>
      <w:r w:rsidR="006C01C7" w:rsidRPr="006C01C7">
        <w:rPr>
          <w:i/>
        </w:rPr>
        <w:t>Metafyziky</w:t>
      </w:r>
      <w:r w:rsidR="006C01C7">
        <w:t xml:space="preserve"> </w:t>
      </w:r>
      <w:r w:rsidR="08B75986">
        <w:t xml:space="preserve">okolo roku 1245 </w:t>
      </w:r>
      <w:r w:rsidR="006C01C7">
        <w:t>označil nové nauky vzešlé z O</w:t>
      </w:r>
      <w:r w:rsidR="00BE6F13">
        <w:t>xf</w:t>
      </w:r>
      <w:r w:rsidR="006C01C7">
        <w:t>o</w:t>
      </w:r>
      <w:r w:rsidR="00BE6F13">
        <w:t>r</w:t>
      </w:r>
      <w:r w:rsidR="006C01C7">
        <w:t>du za heretické a šílené</w:t>
      </w:r>
      <w:r w:rsidR="000A55CE">
        <w:t xml:space="preserve"> (</w:t>
      </w:r>
      <w:r w:rsidR="000A55CE">
        <w:rPr>
          <w:i/>
        </w:rPr>
        <w:t>insaniunt contra veri</w:t>
      </w:r>
      <w:r w:rsidR="000A55CE" w:rsidRPr="000A55CE">
        <w:rPr>
          <w:i/>
        </w:rPr>
        <w:t>t</w:t>
      </w:r>
      <w:r w:rsidR="000A55CE">
        <w:rPr>
          <w:i/>
        </w:rPr>
        <w:t>at</w:t>
      </w:r>
      <w:r w:rsidR="000A55CE" w:rsidRPr="000A55CE">
        <w:rPr>
          <w:i/>
        </w:rPr>
        <w:t>em</w:t>
      </w:r>
      <w:r w:rsidR="000A55CE">
        <w:t>)</w:t>
      </w:r>
      <w:r w:rsidR="001B7C37" w:rsidRPr="00273106">
        <w:t>.</w:t>
      </w:r>
      <w:r w:rsidR="002302E4">
        <w:t xml:space="preserve"> </w:t>
      </w:r>
      <w:r w:rsidR="003A7B7A" w:rsidRPr="00273106">
        <w:t xml:space="preserve">Komentáře </w:t>
      </w:r>
      <w:r w:rsidR="003A7B7A" w:rsidRPr="001C1948">
        <w:rPr>
          <w:i/>
        </w:rPr>
        <w:t>Druhých analytik</w:t>
      </w:r>
      <w:r w:rsidR="003A7B7A" w:rsidRPr="00273106">
        <w:t xml:space="preserve"> a </w:t>
      </w:r>
      <w:r w:rsidR="00B713C5">
        <w:rPr>
          <w:i/>
        </w:rPr>
        <w:t>De anima</w:t>
      </w:r>
      <w:r w:rsidR="003A7B7A" w:rsidRPr="00273106">
        <w:t xml:space="preserve"> ukazují </w:t>
      </w:r>
      <w:r w:rsidR="001C1948">
        <w:t xml:space="preserve">složitou </w:t>
      </w:r>
      <w:r w:rsidR="003A7B7A" w:rsidRPr="00273106">
        <w:t>historii re</w:t>
      </w:r>
      <w:r w:rsidR="008C53F1">
        <w:t xml:space="preserve">cepce jak Aristotela tak </w:t>
      </w:r>
      <w:r w:rsidR="002E3B62">
        <w:t>Averroes</w:t>
      </w:r>
      <w:r w:rsidR="003A7B7A" w:rsidRPr="00273106">
        <w:t xml:space="preserve">e, a tím </w:t>
      </w:r>
      <w:r w:rsidR="0003265E">
        <w:t xml:space="preserve">manifestují </w:t>
      </w:r>
      <w:r w:rsidR="00CD32F1">
        <w:t xml:space="preserve">základní události myšlení určující </w:t>
      </w:r>
      <w:r w:rsidR="003A7B7A" w:rsidRPr="00273106">
        <w:t>dějinnost</w:t>
      </w:r>
      <w:r w:rsidR="00CD32F1">
        <w:t xml:space="preserve"> Západu</w:t>
      </w:r>
      <w:r w:rsidR="003A7B7A" w:rsidRPr="00273106">
        <w:t xml:space="preserve">. </w:t>
      </w:r>
      <w:r w:rsidR="00AC7F57">
        <w:t xml:space="preserve">Gigantomachie o substanci </w:t>
      </w:r>
      <w:r w:rsidR="00AC7F57" w:rsidRPr="00273106">
        <w:t>mezi prvním a druhým averroismem</w:t>
      </w:r>
      <w:r w:rsidR="00AC7F57">
        <w:t xml:space="preserve"> vytváří p</w:t>
      </w:r>
      <w:r w:rsidR="007B2AE3">
        <w:t>rotnutí obou diago</w:t>
      </w:r>
      <w:r w:rsidR="00AC7F57">
        <w:t xml:space="preserve">nál, které </w:t>
      </w:r>
      <w:r w:rsidR="006E2F1D">
        <w:t xml:space="preserve">spojují všechny póly v součtveří dějinnosti </w:t>
      </w:r>
      <w:r w:rsidR="00AC7F57">
        <w:t>Západu</w:t>
      </w:r>
      <w:r w:rsidR="007B2AE3">
        <w:t xml:space="preserve">. </w:t>
      </w:r>
      <w:r w:rsidR="08AA13FB">
        <w:t>Z</w:t>
      </w:r>
      <w:r w:rsidR="007B3B6C">
        <w:t>atmění první substance</w:t>
      </w:r>
      <w:r w:rsidR="00A70FA4">
        <w:fldChar w:fldCharType="begin"/>
      </w:r>
      <w:r w:rsidR="00A70FA4">
        <w:instrText xml:space="preserve"> XE "</w:instrText>
      </w:r>
      <w:r w:rsidR="00A70FA4" w:rsidRPr="00DE2A32">
        <w:instrText>substance</w:instrText>
      </w:r>
      <w:r w:rsidR="00FB1E01">
        <w:instrText>:gigantomachie</w:instrText>
      </w:r>
      <w:r w:rsidR="00A70FA4">
        <w:instrText xml:space="preserve">" </w:instrText>
      </w:r>
      <w:r w:rsidR="00A70FA4">
        <w:fldChar w:fldCharType="end"/>
      </w:r>
      <w:r w:rsidR="08F8318F">
        <w:t xml:space="preserve"> </w:t>
      </w:r>
      <w:r w:rsidR="08AA13FB">
        <w:t xml:space="preserve">vytvořené na průsečíku obou diagonál </w:t>
      </w:r>
      <w:r w:rsidR="08F8318F">
        <w:t>uk</w:t>
      </w:r>
      <w:r w:rsidR="08DB28A6">
        <w:t xml:space="preserve">azuje dějinný způsob, </w:t>
      </w:r>
      <w:r w:rsidR="08F8318F">
        <w:t>„</w:t>
      </w:r>
      <w:r w:rsidR="00E04E0C">
        <w:t>j</w:t>
      </w:r>
      <w:r w:rsidR="007B3B6C">
        <w:t>ak“ (</w:t>
      </w:r>
      <w:r w:rsidR="007B3B6C" w:rsidRPr="00E869EC">
        <w:rPr>
          <w:i/>
        </w:rPr>
        <w:t>Wie</w:t>
      </w:r>
      <w:r w:rsidR="007B3B6C">
        <w:t>) se po-odhaluje</w:t>
      </w:r>
      <w:r w:rsidR="007B3B6C" w:rsidRPr="00273106">
        <w:t xml:space="preserve"> bytí </w:t>
      </w:r>
      <w:r w:rsidR="007B3B6C">
        <w:t xml:space="preserve">jsoucna skrze </w:t>
      </w:r>
      <w:r w:rsidR="08B35ED7">
        <w:t xml:space="preserve">různorodý </w:t>
      </w:r>
      <w:r w:rsidR="007B3B6C">
        <w:t xml:space="preserve">způsob zakládání </w:t>
      </w:r>
      <w:r w:rsidR="00A80BE9">
        <w:t xml:space="preserve">moderní </w:t>
      </w:r>
      <w:r w:rsidR="007B3B6C">
        <w:t xml:space="preserve">metafyziky a vědeckého poznání. </w:t>
      </w:r>
      <w:r w:rsidR="00E04E0C">
        <w:t xml:space="preserve">Hermeneutická triáda </w:t>
      </w:r>
      <w:r w:rsidR="007B3B6C" w:rsidRPr="00273106">
        <w:t>dějinnost</w:t>
      </w:r>
      <w:r w:rsidR="00E04E0C">
        <w:t>i, d</w:t>
      </w:r>
      <w:r w:rsidR="007B3B6C" w:rsidRPr="00273106">
        <w:t>ějin</w:t>
      </w:r>
      <w:r w:rsidR="00E04E0C">
        <w:t xml:space="preserve"> a h</w:t>
      </w:r>
      <w:r w:rsidR="007B3B6C" w:rsidRPr="00273106">
        <w:t>istorie dostává novou podobu skrze událost střetu obou škol</w:t>
      </w:r>
      <w:r w:rsidR="00034B59">
        <w:t xml:space="preserve"> v letech 1245</w:t>
      </w:r>
      <w:r w:rsidR="00050EB2">
        <w:t>‒</w:t>
      </w:r>
      <w:r w:rsidR="082A5883">
        <w:t>5</w:t>
      </w:r>
      <w:r w:rsidR="00034B59">
        <w:t>5</w:t>
      </w:r>
      <w:r w:rsidR="00632684">
        <w:t xml:space="preserve"> na Pařížské univerzitě.</w:t>
      </w:r>
      <w:r w:rsidR="00D535B2">
        <w:t xml:space="preserve"> V této době zde </w:t>
      </w:r>
      <w:r w:rsidR="082A5883">
        <w:t>prob</w:t>
      </w:r>
      <w:r w:rsidR="00632684">
        <w:t xml:space="preserve">ěhlo </w:t>
      </w:r>
      <w:r w:rsidR="082A5883">
        <w:t xml:space="preserve">rozhodující </w:t>
      </w:r>
      <w:r w:rsidR="08B35ED7">
        <w:t>kolo gigantomachie</w:t>
      </w:r>
      <w:r w:rsidR="00EB62B0">
        <w:t xml:space="preserve"> o substanci předa</w:t>
      </w:r>
      <w:r w:rsidR="08B35ED7">
        <w:t>né</w:t>
      </w:r>
      <w:r w:rsidR="00EB62B0">
        <w:t xml:space="preserve"> </w:t>
      </w:r>
      <w:r w:rsidR="082A5883">
        <w:t xml:space="preserve">na latinský Západ hlavními </w:t>
      </w:r>
      <w:r w:rsidR="00EB62B0">
        <w:t>velikány falsafy</w:t>
      </w:r>
      <w:r w:rsidR="007B3B6C" w:rsidRPr="00273106">
        <w:t xml:space="preserve">. </w:t>
      </w:r>
      <w:r w:rsidR="007B2AE3">
        <w:t xml:space="preserve">Tento </w:t>
      </w:r>
      <w:r w:rsidR="08D721E7">
        <w:t xml:space="preserve">komplexní </w:t>
      </w:r>
      <w:r w:rsidR="007B2AE3">
        <w:t xml:space="preserve">spor </w:t>
      </w:r>
      <w:r w:rsidR="00EA7F54" w:rsidRPr="00273106">
        <w:t xml:space="preserve">o bytí jsoucna </w:t>
      </w:r>
      <w:r w:rsidR="08032A0E">
        <w:t>ve falsafě a na lati</w:t>
      </w:r>
      <w:r w:rsidR="08D721E7">
        <w:t>n</w:t>
      </w:r>
      <w:r w:rsidR="08032A0E">
        <w:t>s</w:t>
      </w:r>
      <w:r w:rsidR="08D721E7">
        <w:t xml:space="preserve">kém Západě </w:t>
      </w:r>
      <w:r w:rsidR="00EA7F54">
        <w:t>ustav</w:t>
      </w:r>
      <w:r w:rsidR="007B2AE3">
        <w:t>il základní u</w:t>
      </w:r>
      <w:r w:rsidR="00EA7F54">
        <w:t>dálost metafyziky</w:t>
      </w:r>
      <w:r w:rsidR="0815141D">
        <w:t xml:space="preserve"> (</w:t>
      </w:r>
      <w:r w:rsidR="0815141D" w:rsidRPr="00CD32F1">
        <w:rPr>
          <w:i/>
        </w:rPr>
        <w:t>Ereignis</w:t>
      </w:r>
      <w:r w:rsidR="0815141D">
        <w:rPr>
          <w:i/>
        </w:rPr>
        <w:fldChar w:fldCharType="begin"/>
      </w:r>
      <w:r w:rsidR="0815141D">
        <w:instrText xml:space="preserve"> XE "</w:instrText>
      </w:r>
      <w:r w:rsidR="0815141D" w:rsidRPr="00120BB2">
        <w:rPr>
          <w:i/>
        </w:rPr>
        <w:instrText>Ereignis</w:instrText>
      </w:r>
      <w:r w:rsidR="0815141D">
        <w:instrText xml:space="preserve">" </w:instrText>
      </w:r>
      <w:r w:rsidR="0815141D">
        <w:rPr>
          <w:i/>
        </w:rPr>
        <w:fldChar w:fldCharType="end"/>
      </w:r>
      <w:r w:rsidR="0815141D">
        <w:t>)</w:t>
      </w:r>
      <w:r w:rsidR="00EA7F54">
        <w:t>, která zalo</w:t>
      </w:r>
      <w:r w:rsidR="00A16881" w:rsidRPr="00273106">
        <w:t xml:space="preserve">žila dějiny </w:t>
      </w:r>
      <w:r w:rsidR="0815141D">
        <w:t xml:space="preserve">západní </w:t>
      </w:r>
      <w:r w:rsidR="00A16881" w:rsidRPr="00273106">
        <w:t>filosofie</w:t>
      </w:r>
      <w:r w:rsidR="084B1944">
        <w:t xml:space="preserve"> v epoše monoteismu</w:t>
      </w:r>
      <w:r w:rsidR="00A16881" w:rsidRPr="00273106">
        <w:t>.</w:t>
      </w:r>
      <w:r w:rsidR="00795857">
        <w:t xml:space="preserve"> Moderní bůh se narodil a zemřel v této době.</w:t>
      </w:r>
      <w:r w:rsidR="00A16881" w:rsidRPr="00273106">
        <w:t xml:space="preserve"> </w:t>
      </w:r>
      <w:r w:rsidR="08F8318F" w:rsidRPr="00273106">
        <w:t xml:space="preserve">Nové určení člověka podle </w:t>
      </w:r>
      <w:r w:rsidR="08F8318F" w:rsidRPr="00273106">
        <w:rPr>
          <w:i/>
        </w:rPr>
        <w:t>Oxfordian Fallacy</w:t>
      </w:r>
      <w:r w:rsidR="08F8318F">
        <w:rPr>
          <w:i/>
        </w:rPr>
        <w:fldChar w:fldCharType="begin"/>
      </w:r>
      <w:r w:rsidR="08F8318F">
        <w:instrText xml:space="preserve"> XE "</w:instrText>
      </w:r>
      <w:r w:rsidR="08F8318F" w:rsidRPr="0015798D">
        <w:rPr>
          <w:i/>
        </w:rPr>
        <w:instrText>Oxfordian Fallacy</w:instrText>
      </w:r>
      <w:r w:rsidR="08F8318F" w:rsidRPr="00FB1E01">
        <w:instrText>:osoba</w:instrText>
      </w:r>
      <w:r w:rsidR="08F8318F">
        <w:instrText xml:space="preserve">" </w:instrText>
      </w:r>
      <w:r w:rsidR="08F8318F">
        <w:rPr>
          <w:i/>
        </w:rPr>
        <w:fldChar w:fldCharType="end"/>
      </w:r>
      <w:r w:rsidR="08F8318F" w:rsidRPr="00273106">
        <w:t xml:space="preserve"> vytvořilo </w:t>
      </w:r>
      <w:r w:rsidR="08F8318F">
        <w:t>novou formu diskrétního</w:t>
      </w:r>
      <w:r w:rsidR="08F8318F" w:rsidRPr="00273106">
        <w:t xml:space="preserve"> vidění světa.</w:t>
      </w:r>
      <w:r w:rsidR="08F8318F">
        <w:t xml:space="preserve"> </w:t>
      </w:r>
      <w:r w:rsidR="00910BFE" w:rsidRPr="00910BFE">
        <w:t>Moderní subjekt naplnil svět smy</w:t>
      </w:r>
      <w:r w:rsidR="00910BFE">
        <w:t>slem bytí podle neskrytosti (</w:t>
      </w:r>
      <w:r w:rsidR="00910BFE" w:rsidRPr="00910BFE">
        <w:rPr>
          <w:i/>
        </w:rPr>
        <w:t>alétheia</w:t>
      </w:r>
      <w:r w:rsidR="00910BFE" w:rsidRPr="00910BFE">
        <w:t xml:space="preserve">) bytí, která tvoří nihilistickou povahu západní metafyziky, </w:t>
      </w:r>
      <w:r w:rsidR="00910BFE">
        <w:t xml:space="preserve">která šla cestou zvanou </w:t>
      </w:r>
      <w:r w:rsidR="00910BFE" w:rsidRPr="00910BFE">
        <w:rPr>
          <w:i/>
        </w:rPr>
        <w:t>via Modernorum</w:t>
      </w:r>
      <w:r w:rsidR="00910BFE" w:rsidRPr="00910BFE">
        <w:t xml:space="preserve">. Tuto cestu připravil druhý averroismus </w:t>
      </w:r>
      <w:r w:rsidR="00A05667">
        <w:t xml:space="preserve">skrze teorii </w:t>
      </w:r>
      <w:r w:rsidR="00910BFE" w:rsidRPr="00910BFE">
        <w:t>poznání, který byl</w:t>
      </w:r>
      <w:r w:rsidR="00A05667">
        <w:t>a</w:t>
      </w:r>
      <w:r w:rsidR="00910BFE" w:rsidRPr="00910BFE">
        <w:t xml:space="preserve"> deformován</w:t>
      </w:r>
      <w:r w:rsidR="00A05667">
        <w:t>a</w:t>
      </w:r>
      <w:r w:rsidR="00910BFE" w:rsidRPr="00910BFE">
        <w:t xml:space="preserve"> mytologickou interpretací CMDA.</w:t>
      </w:r>
      <w:r w:rsidR="00A05667">
        <w:t xml:space="preserve"> </w:t>
      </w:r>
      <w:r w:rsidR="08DA4F73">
        <w:t>Averroe</w:t>
      </w:r>
      <w:r w:rsidR="00D51679">
        <w:t xml:space="preserve">s se stal averroistou a tato dějinná událost daná obratem bytí od jsoucna k objektivnímu nejsoucnu založila novou historii Západu. </w:t>
      </w:r>
      <w:r w:rsidR="08DA4F73" w:rsidRPr="00273106">
        <w:t xml:space="preserve">Jsoucno třetího druhu tradované z avicennistické falsafy a transformované v moderním výkladu logických spisů </w:t>
      </w:r>
      <w:r w:rsidR="08DA4F73" w:rsidRPr="0055212B">
        <w:rPr>
          <w:i/>
        </w:rPr>
        <w:t>Organonu</w:t>
      </w:r>
      <w:r w:rsidR="08DA4F73" w:rsidRPr="00273106">
        <w:t xml:space="preserve"> potřebuje </w:t>
      </w:r>
      <w:r w:rsidR="08DA4F73">
        <w:t xml:space="preserve">nového </w:t>
      </w:r>
      <w:r w:rsidR="08DA4F73" w:rsidRPr="00273106">
        <w:t>nositele</w:t>
      </w:r>
      <w:r w:rsidR="08DA4F73">
        <w:t xml:space="preserve"> poznání, který bude odpovídat specificky definované mrtvole porretánů</w:t>
      </w:r>
      <w:r w:rsidR="08DA4F73" w:rsidRPr="00273106">
        <w:t>.</w:t>
      </w:r>
      <w:r w:rsidR="002451E4">
        <w:t xml:space="preserve"> Moderní „humanismus“</w:t>
      </w:r>
      <w:r w:rsidR="002451E4" w:rsidRPr="002451E4">
        <w:t xml:space="preserve"> přešel od </w:t>
      </w:r>
      <w:r w:rsidR="002451E4" w:rsidRPr="002451E4">
        <w:lastRenderedPageBreak/>
        <w:t>existujícího člověka jako první Boet</w:t>
      </w:r>
      <w:r w:rsidR="002451E4">
        <w:t>h</w:t>
      </w:r>
      <w:r w:rsidR="002451E4" w:rsidRPr="002451E4">
        <w:t xml:space="preserve">iovy </w:t>
      </w:r>
      <w:r w:rsidR="002451E4">
        <w:t xml:space="preserve">první </w:t>
      </w:r>
      <w:r w:rsidR="002451E4" w:rsidRPr="002451E4">
        <w:t>substance k neexistujícímu individuu jako substanci třetího druhu. Západ objevil svou pravou podstatu a dějiny novověkýc</w:t>
      </w:r>
      <w:r w:rsidR="002451E4">
        <w:t>h dobyvatelů začaly prohranými k</w:t>
      </w:r>
      <w:r w:rsidR="002451E4" w:rsidRPr="002451E4">
        <w:t>řížovými výpravami.</w:t>
      </w:r>
      <w:r w:rsidR="002451E4">
        <w:t xml:space="preserve"> </w:t>
      </w:r>
      <w:r w:rsidR="085E2C3F">
        <w:t>Druhý averroismus založil moderní humanitní</w:t>
      </w:r>
      <w:r w:rsidR="085E2C3F" w:rsidRPr="00273106">
        <w:t xml:space="preserve"> věd</w:t>
      </w:r>
      <w:r w:rsidR="085E2C3F">
        <w:t>y</w:t>
      </w:r>
      <w:r w:rsidR="085E2C3F" w:rsidRPr="00273106">
        <w:t xml:space="preserve"> skrze určení </w:t>
      </w:r>
      <w:r w:rsidR="0872640A">
        <w:t xml:space="preserve">reálně neexistujícího </w:t>
      </w:r>
      <w:r w:rsidR="085E2C3F" w:rsidRPr="00273106">
        <w:t>člověka</w:t>
      </w:r>
      <w:r w:rsidR="085E2C3F">
        <w:t>-mrtvoly</w:t>
      </w:r>
      <w:r w:rsidR="085E2C3F" w:rsidRPr="00273106">
        <w:t xml:space="preserve"> </w:t>
      </w:r>
      <w:r w:rsidR="0872640A">
        <w:t xml:space="preserve">definované </w:t>
      </w:r>
      <w:r w:rsidR="085E2C3F">
        <w:t xml:space="preserve">v rámci plurality substančních forem. </w:t>
      </w:r>
      <w:r w:rsidR="00C7487E">
        <w:t xml:space="preserve">Reformovaní porretáni provedli redukci metafyziky na logiku a zavedli </w:t>
      </w:r>
      <w:r w:rsidR="00FF481C" w:rsidRPr="00273106">
        <w:t xml:space="preserve">dělení </w:t>
      </w:r>
      <w:r w:rsidR="00C7487E">
        <w:t xml:space="preserve">jsoucen třetího druhu v rámci </w:t>
      </w:r>
      <w:r w:rsidR="00FF481C" w:rsidRPr="00273106">
        <w:rPr>
          <w:i/>
        </w:rPr>
        <w:t>arbor Porhyriana</w:t>
      </w:r>
      <w:r w:rsidR="00FF481C" w:rsidRPr="00273106">
        <w:t xml:space="preserve"> dávno před Foucaultovým</w:t>
      </w:r>
      <w:r w:rsidR="008C0422">
        <w:fldChar w:fldCharType="begin"/>
      </w:r>
      <w:r w:rsidR="008C0422">
        <w:instrText xml:space="preserve"> XE "</w:instrText>
      </w:r>
      <w:r w:rsidR="008C0422" w:rsidRPr="001408F0">
        <w:instrText>Foucault, M.</w:instrText>
      </w:r>
      <w:r w:rsidR="008C0422">
        <w:instrText xml:space="preserve">" </w:instrText>
      </w:r>
      <w:r w:rsidR="008C0422">
        <w:fldChar w:fldCharType="end"/>
      </w:r>
      <w:r w:rsidR="00FF481C" w:rsidRPr="00273106">
        <w:t xml:space="preserve"> dílem</w:t>
      </w:r>
      <w:r w:rsidR="007146BD" w:rsidRPr="007146BD">
        <w:rPr>
          <w:bCs/>
          <w:i/>
          <w:iCs/>
        </w:rPr>
        <w:t xml:space="preserve"> </w:t>
      </w:r>
      <w:r w:rsidR="007146BD" w:rsidRPr="00E249B4">
        <w:rPr>
          <w:bCs/>
          <w:i/>
          <w:iCs/>
        </w:rPr>
        <w:t>Les mots et les choses</w:t>
      </w:r>
      <w:r w:rsidR="00402FAD">
        <w:t xml:space="preserve"> (1966).</w:t>
      </w:r>
      <w:r w:rsidR="00FF481C" w:rsidRPr="00273106">
        <w:t xml:space="preserve"> Strukturalista Foucault sleduje dělení a třídění dané v rámci postmoderny </w:t>
      </w:r>
      <w:r w:rsidR="00143509">
        <w:t xml:space="preserve">až </w:t>
      </w:r>
      <w:r w:rsidR="00FF481C" w:rsidRPr="00273106">
        <w:t xml:space="preserve">od 17. století. </w:t>
      </w:r>
      <w:r w:rsidR="00A9594B">
        <w:t>Druhá matrice ukázala, že toto třídění vzniklo v novém obrazu světa již ve druhé polovině 12</w:t>
      </w:r>
      <w:r w:rsidR="004938C5">
        <w:t xml:space="preserve">. století  v porretánském modu </w:t>
      </w:r>
      <w:r w:rsidR="00A9594B" w:rsidRPr="00A9594B">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A9594B">
        <w:t xml:space="preserve">. </w:t>
      </w:r>
      <w:r w:rsidR="0872640A">
        <w:t xml:space="preserve">Moderní subjekt vzniká ve druhém averroismu </w:t>
      </w:r>
      <w:r w:rsidR="08BC29C5">
        <w:t xml:space="preserve">o jedno století později </w:t>
      </w:r>
      <w:r w:rsidR="0872640A">
        <w:t xml:space="preserve">skrze komentáře k </w:t>
      </w:r>
      <w:r w:rsidR="0872640A" w:rsidRPr="00A933B8">
        <w:rPr>
          <w:i/>
        </w:rPr>
        <w:t>De anima</w:t>
      </w:r>
      <w:r w:rsidR="0872640A">
        <w:rPr>
          <w:i/>
        </w:rPr>
        <w:t xml:space="preserve"> a Etice Nikomachově</w:t>
      </w:r>
      <w:r w:rsidR="00BA283A">
        <w:t xml:space="preserve"> vytvořené okolo roku 1240.</w:t>
      </w:r>
    </w:p>
    <w:p w14:paraId="7AD5160A" w14:textId="0A3AA9F7" w:rsidR="00B644C9" w:rsidRDefault="00D16AB3" w:rsidP="00122690">
      <w:pPr>
        <w:ind w:firstLine="397"/>
      </w:pPr>
      <w:r>
        <w:t xml:space="preserve">První averroismus </w:t>
      </w:r>
      <w:r w:rsidR="00E46441">
        <w:t xml:space="preserve">hájený Baconem </w:t>
      </w:r>
      <w:r w:rsidR="00FF481C" w:rsidRPr="00273106">
        <w:t xml:space="preserve">označil </w:t>
      </w:r>
      <w:r w:rsidR="00D901E0">
        <w:t xml:space="preserve">novou metafyziku </w:t>
      </w:r>
      <w:r w:rsidR="00FF481C" w:rsidRPr="00273106">
        <w:t xml:space="preserve">za výplod </w:t>
      </w:r>
      <w:r w:rsidR="000C2A46">
        <w:t>šílené</w:t>
      </w:r>
      <w:r w:rsidR="007047AE" w:rsidRPr="00273106">
        <w:t xml:space="preserve"> </w:t>
      </w:r>
      <w:r w:rsidR="000C2A46">
        <w:t xml:space="preserve">mysli </w:t>
      </w:r>
      <w:r w:rsidR="00CB77B8">
        <w:t xml:space="preserve">oxfordských a pařížských </w:t>
      </w:r>
      <w:r w:rsidR="00CB77B8" w:rsidRPr="00CB77B8">
        <w:rPr>
          <w:i/>
        </w:rPr>
        <w:t>Modernorum</w:t>
      </w:r>
      <w:r w:rsidR="008C0422">
        <w:fldChar w:fldCharType="begin"/>
      </w:r>
      <w:r w:rsidR="008C0422">
        <w:instrText xml:space="preserve"> XE "</w:instrText>
      </w:r>
      <w:r w:rsidR="008C0422" w:rsidRPr="003D5949">
        <w:instrText>druhý averroismus:humanitní vědy</w:instrText>
      </w:r>
      <w:r w:rsidR="008C0422">
        <w:instrText xml:space="preserve">" </w:instrText>
      </w:r>
      <w:r w:rsidR="008C0422">
        <w:fldChar w:fldCharType="end"/>
      </w:r>
      <w:r w:rsidR="00FF481C" w:rsidRPr="00273106">
        <w:t>.</w:t>
      </w:r>
      <w:r w:rsidR="081A453B">
        <w:t xml:space="preserve"> </w:t>
      </w:r>
      <w:r w:rsidR="08084E28">
        <w:t xml:space="preserve">Proto </w:t>
      </w:r>
      <w:r w:rsidR="006361B8">
        <w:t xml:space="preserve">je třeba analyzovat vznik nového pojetí světa a člověka, v němž se rodí první koncept objektivního jsoucna. </w:t>
      </w:r>
      <w:r w:rsidR="00F2647F">
        <w:t xml:space="preserve">Jeho hlavním protagonistou se stal oxfordský františkán Rufus z Cornwallu. </w:t>
      </w:r>
      <w:r w:rsidR="00750395" w:rsidRPr="00273106">
        <w:t xml:space="preserve">Hermeneutika lokalizuje Baconem zmíněný spor ohledně </w:t>
      </w:r>
      <w:r w:rsidR="0063275E" w:rsidRPr="00273106">
        <w:t>pařížských přednášek</w:t>
      </w:r>
      <w:r w:rsidR="003C37E2" w:rsidRPr="00273106">
        <w:t xml:space="preserve"> </w:t>
      </w:r>
      <w:r w:rsidR="00DC5B8B" w:rsidRPr="00273106">
        <w:t xml:space="preserve">Rufuse </w:t>
      </w:r>
      <w:r w:rsidR="08891F49">
        <w:t>(kap. 3</w:t>
      </w:r>
      <w:r w:rsidR="08AD568D" w:rsidRPr="00273106">
        <w:t xml:space="preserve">.2) </w:t>
      </w:r>
      <w:r w:rsidR="00750395" w:rsidRPr="00273106">
        <w:t xml:space="preserve">do souboru tezí shrnutých v </w:t>
      </w:r>
      <w:r w:rsidR="00DC5B8B" w:rsidRPr="00273106">
        <w:t xml:space="preserve">jeho </w:t>
      </w:r>
      <w:r w:rsidR="00750395" w:rsidRPr="00273106">
        <w:t xml:space="preserve">komentáři </w:t>
      </w:r>
      <w:r w:rsidR="00E4024D" w:rsidRPr="00273106">
        <w:t xml:space="preserve">a přednáškám </w:t>
      </w:r>
      <w:r w:rsidR="00750395" w:rsidRPr="00273106">
        <w:t xml:space="preserve">ke </w:t>
      </w:r>
      <w:r w:rsidR="00750395" w:rsidRPr="004C7C54">
        <w:rPr>
          <w:i/>
        </w:rPr>
        <w:t>Druhým analytikám</w:t>
      </w:r>
      <w:r w:rsidR="00750395" w:rsidRPr="00273106">
        <w:t xml:space="preserve"> (</w:t>
      </w:r>
      <w:bookmarkStart w:id="117" w:name="0.0"/>
      <w:r w:rsidR="00750395" w:rsidRPr="00273106">
        <w:rPr>
          <w:i/>
        </w:rPr>
        <w:t>Sententia super libros posteriorum analyticorum Aristotelis</w:t>
      </w:r>
      <w:bookmarkEnd w:id="117"/>
      <w:r w:rsidR="00750395" w:rsidRPr="00273106">
        <w:t>, asi 1232–</w:t>
      </w:r>
      <w:r w:rsidR="00DC5B8B" w:rsidRPr="00273106">
        <w:t xml:space="preserve">34) a dále v </w:t>
      </w:r>
      <w:r w:rsidR="00750395" w:rsidRPr="00273106">
        <w:t xml:space="preserve">úvodu k </w:t>
      </w:r>
      <w:r w:rsidR="00750395" w:rsidRPr="004C7C54">
        <w:rPr>
          <w:i/>
        </w:rPr>
        <w:t>Metafyzice</w:t>
      </w:r>
      <w:r w:rsidR="00750395" w:rsidRPr="00273106">
        <w:t xml:space="preserve"> (</w:t>
      </w:r>
      <w:r w:rsidR="00750395" w:rsidRPr="00273106">
        <w:rPr>
          <w:i/>
        </w:rPr>
        <w:t>Memoriale in Metaphysicam Aristotelis</w:t>
      </w:r>
      <w:r w:rsidR="00750395" w:rsidRPr="00273106">
        <w:t xml:space="preserve">, asi 1231–35). Následoval komentář k </w:t>
      </w:r>
      <w:r w:rsidR="00B713C5" w:rsidRPr="00F9288E">
        <w:rPr>
          <w:i/>
        </w:rPr>
        <w:t>De anima</w:t>
      </w:r>
      <w:r w:rsidR="00750395" w:rsidRPr="00273106">
        <w:t xml:space="preserve"> (</w:t>
      </w:r>
      <w:r w:rsidR="00750395" w:rsidRPr="00273106">
        <w:rPr>
          <w:i/>
        </w:rPr>
        <w:t>In Aristotelis De anima</w:t>
      </w:r>
      <w:r w:rsidR="00750395" w:rsidRPr="00273106">
        <w:t>, asi 1236–37), který představil nový subjekt poznání.</w:t>
      </w:r>
      <w:bookmarkStart w:id="118" w:name="_Ref396675787"/>
      <w:r w:rsidR="0063275E" w:rsidRPr="00273106">
        <w:rPr>
          <w:rStyle w:val="Znakapoznpodarou"/>
        </w:rPr>
        <w:footnoteReference w:id="373"/>
      </w:r>
      <w:bookmarkEnd w:id="118"/>
      <w:r w:rsidR="00750395" w:rsidRPr="00273106">
        <w:t xml:space="preserve"> </w:t>
      </w:r>
      <w:r w:rsidR="0080626A">
        <w:t xml:space="preserve">První etapu </w:t>
      </w:r>
      <w:r w:rsidR="00437546">
        <w:t xml:space="preserve">vzniku </w:t>
      </w:r>
      <w:r w:rsidR="003E6728">
        <w:t>druhého averroismu završil</w:t>
      </w:r>
      <w:r w:rsidR="00750395" w:rsidRPr="00273106">
        <w:t xml:space="preserve"> </w:t>
      </w:r>
      <w:r w:rsidR="003E6728">
        <w:t xml:space="preserve">útok na </w:t>
      </w:r>
      <w:r w:rsidR="08E03493">
        <w:t>averroistické simulákrum Averroe</w:t>
      </w:r>
      <w:r w:rsidR="003E6728">
        <w:t>se (</w:t>
      </w:r>
      <w:r w:rsidR="003E6728" w:rsidRPr="003E6728">
        <w:rPr>
          <w:i/>
        </w:rPr>
        <w:t>Contra Averroem</w:t>
      </w:r>
      <w:r w:rsidR="003E6728">
        <w:t>, 1236)</w:t>
      </w:r>
      <w:r w:rsidR="00E3591F">
        <w:t xml:space="preserve">. Rufus uzavřel svůj první pobyt v Paříži vydáním </w:t>
      </w:r>
      <w:r w:rsidR="003E6728">
        <w:t>apologetické</w:t>
      </w:r>
      <w:r w:rsidR="00E3591F">
        <w:t>ho</w:t>
      </w:r>
      <w:r w:rsidR="003E6728">
        <w:t xml:space="preserve"> </w:t>
      </w:r>
      <w:r w:rsidR="00750395" w:rsidRPr="00273106">
        <w:t>díl</w:t>
      </w:r>
      <w:r w:rsidR="00E3591F">
        <w:t>a</w:t>
      </w:r>
      <w:r w:rsidR="00750395" w:rsidRPr="00273106">
        <w:t xml:space="preserve"> </w:t>
      </w:r>
      <w:r w:rsidR="00750395" w:rsidRPr="00273106">
        <w:rPr>
          <w:i/>
        </w:rPr>
        <w:t>Speculum animae</w:t>
      </w:r>
      <w:r w:rsidR="00750395" w:rsidRPr="00273106">
        <w:t xml:space="preserve"> (</w:t>
      </w:r>
      <w:r w:rsidR="00437546">
        <w:t xml:space="preserve">kolem </w:t>
      </w:r>
      <w:r w:rsidR="00750395" w:rsidRPr="00273106">
        <w:t xml:space="preserve">1245). </w:t>
      </w:r>
      <w:r w:rsidR="00E3591F">
        <w:t xml:space="preserve">V něm </w:t>
      </w:r>
      <w:r w:rsidR="00750395" w:rsidRPr="00273106">
        <w:t xml:space="preserve">se pokusil obhájit svou kontroverzní nauku před kritickými pařížskými magistry a před biskupem </w:t>
      </w:r>
      <w:r w:rsidR="08E82D6A">
        <w:t xml:space="preserve">a kancléřem </w:t>
      </w:r>
      <w:r w:rsidR="00E90BC9" w:rsidRPr="00273106">
        <w:t>Alvernem</w:t>
      </w:r>
      <w:r w:rsidR="00750395" w:rsidRPr="00273106">
        <w:t>.</w:t>
      </w:r>
      <w:r w:rsidR="007A28B5" w:rsidRPr="00273106">
        <w:t xml:space="preserve"> </w:t>
      </w:r>
      <w:r w:rsidR="00036D62" w:rsidRPr="00273106">
        <w:t xml:space="preserve">Bacon ve výše citované poznámce připomíná, že </w:t>
      </w:r>
      <w:r w:rsidR="00AB0336">
        <w:t xml:space="preserve">Rufusova </w:t>
      </w:r>
      <w:r w:rsidR="00036D62" w:rsidRPr="00273106">
        <w:t>obhajoba nebyla přijata</w:t>
      </w:r>
      <w:r w:rsidR="0036420B">
        <w:t xml:space="preserve"> </w:t>
      </w:r>
      <w:r w:rsidR="006D6649">
        <w:t>a p</w:t>
      </w:r>
      <w:r w:rsidR="00236E8A">
        <w:t xml:space="preserve">rvní modernista byl </w:t>
      </w:r>
      <w:r w:rsidR="0036420B">
        <w:t xml:space="preserve">zesměšněn </w:t>
      </w:r>
      <w:r w:rsidR="00236E8A">
        <w:t>v odborných kruzích pařížských artistů</w:t>
      </w:r>
      <w:r w:rsidR="006D6649">
        <w:t xml:space="preserve">. </w:t>
      </w:r>
      <w:r w:rsidR="085121DF">
        <w:t xml:space="preserve">Hermeneutika tuto událost klade do roku 1245, kdy umírá </w:t>
      </w:r>
      <w:r w:rsidR="00CA4127">
        <w:t>Jean de La Rochelle</w:t>
      </w:r>
      <w:r w:rsidR="085121DF">
        <w:t xml:space="preserve"> ze skupiny </w:t>
      </w:r>
      <w:r w:rsidR="085121DF">
        <w:lastRenderedPageBreak/>
        <w:t xml:space="preserve">pařížských </w:t>
      </w:r>
      <w:r w:rsidR="085121DF" w:rsidRPr="085121DF">
        <w:rPr>
          <w:i/>
        </w:rPr>
        <w:t>Modernorum</w:t>
      </w:r>
      <w:r w:rsidR="085121DF">
        <w:rPr>
          <w:i/>
        </w:rPr>
        <w:t xml:space="preserve"> </w:t>
      </w:r>
      <w:r w:rsidR="085121DF" w:rsidRPr="085121DF">
        <w:t>a na jeho místo nastoupil magistr Odo Rigaldus.</w:t>
      </w:r>
      <w:r w:rsidR="085121DF">
        <w:t xml:space="preserve"> Ten </w:t>
      </w:r>
      <w:r w:rsidR="0866751E">
        <w:t xml:space="preserve">asi nařídil </w:t>
      </w:r>
      <w:r w:rsidR="085121DF">
        <w:t xml:space="preserve">disputaci Rufusových tezí shrnutých v díle </w:t>
      </w:r>
      <w:r w:rsidR="085121DF" w:rsidRPr="00273106">
        <w:rPr>
          <w:i/>
        </w:rPr>
        <w:t>Speculum animae</w:t>
      </w:r>
      <w:r w:rsidR="08CF6CB2">
        <w:t xml:space="preserve"> (kap. 3</w:t>
      </w:r>
      <w:r w:rsidR="085121DF">
        <w:t>.3.4)</w:t>
      </w:r>
      <w:r w:rsidR="0874307F">
        <w:t>, kterou Rufus neobhájil</w:t>
      </w:r>
      <w:r w:rsidR="085121DF">
        <w:t xml:space="preserve">. </w:t>
      </w:r>
      <w:r w:rsidR="08217E18">
        <w:t>Nepřímo to dosvědčuje Albertova poznámka o bizarnosti těchto nauk založených na univerzálním hylemorfismu, s nimiž nemá cenu polemizovat (</w:t>
      </w:r>
      <w:r w:rsidR="08217E18" w:rsidRPr="00273106">
        <w:rPr>
          <w:i/>
        </w:rPr>
        <w:t>non reputo opinionem, sed ridiculum</w:t>
      </w:r>
      <w:r w:rsidR="08217E18">
        <w:t xml:space="preserve">; </w:t>
      </w:r>
      <w:r w:rsidR="08CF6CB2">
        <w:t>kap. 2</w:t>
      </w:r>
      <w:r w:rsidR="08217E18" w:rsidRPr="00273106">
        <w:t>.4.3</w:t>
      </w:r>
      <w:r w:rsidR="08217E18">
        <w:t xml:space="preserve">). </w:t>
      </w:r>
      <w:r w:rsidR="085121DF">
        <w:t>Kilwardby mus</w:t>
      </w:r>
      <w:r w:rsidR="00122690">
        <w:t>el</w:t>
      </w:r>
      <w:r w:rsidR="085121DF">
        <w:t xml:space="preserve"> pod tlakem Alberta jako magistra regens dominikáns</w:t>
      </w:r>
      <w:r w:rsidR="00122690">
        <w:t>ké koleje udělat totéž a odešel</w:t>
      </w:r>
      <w:r w:rsidR="085121DF">
        <w:t xml:space="preserve"> zpět do Oxfordu </w:t>
      </w:r>
      <w:r w:rsidR="081F212C">
        <w:t xml:space="preserve">taktéž </w:t>
      </w:r>
      <w:r w:rsidR="085121DF">
        <w:t xml:space="preserve">roku 1245. </w:t>
      </w:r>
      <w:r w:rsidR="00C1592C">
        <w:t xml:space="preserve">Rufus </w:t>
      </w:r>
      <w:r w:rsidR="00036D62" w:rsidRPr="00273106">
        <w:t>se vrátil do Oxfordu</w:t>
      </w:r>
      <w:r w:rsidR="005528E7">
        <w:t xml:space="preserve"> </w:t>
      </w:r>
      <w:r w:rsidR="00BD5691">
        <w:t xml:space="preserve">a od roku 1250 </w:t>
      </w:r>
      <w:r w:rsidR="00012788">
        <w:t xml:space="preserve">začal přednášet </w:t>
      </w:r>
      <w:r w:rsidR="005528E7">
        <w:t xml:space="preserve">v </w:t>
      </w:r>
      <w:r w:rsidR="009D4CDF">
        <w:t xml:space="preserve">akademickém </w:t>
      </w:r>
      <w:r w:rsidR="005528E7">
        <w:t xml:space="preserve">prostředí </w:t>
      </w:r>
      <w:r w:rsidR="008F3A9B">
        <w:t xml:space="preserve">formovaném </w:t>
      </w:r>
      <w:r w:rsidR="009D4CDF">
        <w:t xml:space="preserve">již </w:t>
      </w:r>
      <w:r w:rsidR="005528E7">
        <w:t xml:space="preserve">po jednu generaci </w:t>
      </w:r>
      <w:r w:rsidR="009D4CDF">
        <w:t xml:space="preserve">myšlením </w:t>
      </w:r>
      <w:r w:rsidR="005528E7" w:rsidRPr="005528E7">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8C0422">
        <w:instrText>:</w:instrText>
      </w:r>
      <w:r w:rsidR="008C0422" w:rsidRPr="008C0422">
        <w:instrText>Rufus</w:instrText>
      </w:r>
      <w:r w:rsidR="00924399">
        <w:instrText xml:space="preserve">" </w:instrText>
      </w:r>
      <w:r w:rsidR="00924399">
        <w:rPr>
          <w:i/>
        </w:rPr>
        <w:fldChar w:fldCharType="end"/>
      </w:r>
      <w:r w:rsidR="00122690">
        <w:t xml:space="preserve">. </w:t>
      </w:r>
      <w:r w:rsidR="00122690" w:rsidRPr="00122690">
        <w:t xml:space="preserve">Asi v roce 1252 se jako mistr </w:t>
      </w:r>
      <w:r w:rsidR="00122690">
        <w:t xml:space="preserve">regens </w:t>
      </w:r>
      <w:r w:rsidR="00122690" w:rsidRPr="00122690">
        <w:t>vrátil do františkánské koleje v Paříži, kam ho Bonaventura povolal, aby přednášel. Jeho druhý příjezd do Paříže byl jistě zaznamenán. Přišel ve stejnou dobu, kdy Bonaventura publiko</w:t>
      </w:r>
      <w:r w:rsidR="00122690">
        <w:t>val první část svého komentáře k </w:t>
      </w:r>
      <w:r w:rsidR="00122690" w:rsidRPr="00122690">
        <w:t>Senten</w:t>
      </w:r>
      <w:r w:rsidR="00122690">
        <w:t xml:space="preserve">cím </w:t>
      </w:r>
      <w:r w:rsidR="00122690" w:rsidRPr="00122690">
        <w:t>(1252).</w:t>
      </w:r>
      <w:r w:rsidR="00122690">
        <w:t xml:space="preserve"> </w:t>
      </w:r>
      <w:r w:rsidR="001A06C0" w:rsidRPr="001A06C0">
        <w:t xml:space="preserve">Pro školu prvního averroismu to bylo příliš velké </w:t>
      </w:r>
      <w:r w:rsidR="00E06B7B">
        <w:t>sousto. Aristotelští magistři nemohli mlčet k tomuto dvojímu „šílenství“ modernistů</w:t>
      </w:r>
      <w:r w:rsidR="001A06C0" w:rsidRPr="001A06C0">
        <w:t>.</w:t>
      </w:r>
      <w:r w:rsidR="001A06C0">
        <w:t xml:space="preserve"> Tím začalo </w:t>
      </w:r>
      <w:r w:rsidR="08413A3A">
        <w:t>další kolo sporu o modernismus</w:t>
      </w:r>
      <w:r w:rsidR="088563B9">
        <w:t>, které vyv</w:t>
      </w:r>
      <w:r w:rsidR="08413A3A">
        <w:t xml:space="preserve">rcholilo v letech 1255‒56. </w:t>
      </w:r>
      <w:r w:rsidR="00B644C9" w:rsidRPr="00B644C9">
        <w:t>Papežovi se líbil modernismus mendikantů</w:t>
      </w:r>
      <w:r w:rsidR="00B644C9">
        <w:t xml:space="preserve">, </w:t>
      </w:r>
      <w:r w:rsidR="00B644C9" w:rsidRPr="00B644C9">
        <w:t>využil své moci nad univerzitou a provedl první čistku antimodernistických filozofů v Rue du Fouarre. Modernis</w:t>
      </w:r>
      <w:r w:rsidR="00B644C9">
        <w:t>té se stali oficiální součástí P</w:t>
      </w:r>
      <w:r w:rsidR="00B644C9" w:rsidRPr="00B644C9">
        <w:t>ařížské univerzity, stejn</w:t>
      </w:r>
      <w:r w:rsidR="00B644C9">
        <w:t>ě jako tomu bylo od počátku na U</w:t>
      </w:r>
      <w:r w:rsidR="00B644C9" w:rsidRPr="00B644C9">
        <w:t>niverzitě v Oxfordu. Filozofické myšlení ka</w:t>
      </w:r>
      <w:r w:rsidR="00B644C9">
        <w:t xml:space="preserve">tolického Říma vedené akademickými Fúriemi </w:t>
      </w:r>
      <w:r w:rsidR="00B644C9" w:rsidRPr="00B644C9">
        <w:t xml:space="preserve">bylo </w:t>
      </w:r>
      <w:r w:rsidR="00B644C9">
        <w:t xml:space="preserve">hlavní </w:t>
      </w:r>
      <w:r w:rsidR="00450AB1">
        <w:t xml:space="preserve">mocenskou </w:t>
      </w:r>
      <w:r w:rsidR="00B644C9" w:rsidRPr="00B644C9">
        <w:t xml:space="preserve">oporou </w:t>
      </w:r>
      <w:r w:rsidR="00373C4E">
        <w:t>církve, která zajistila pokrok</w:t>
      </w:r>
      <w:r w:rsidR="003D0F35">
        <w:t xml:space="preserve"> paranoické </w:t>
      </w:r>
      <w:r w:rsidR="00B644C9" w:rsidRPr="00B644C9">
        <w:t>modern</w:t>
      </w:r>
      <w:r w:rsidR="003D0F35">
        <w:t>y</w:t>
      </w:r>
      <w:r w:rsidR="00B644C9" w:rsidRPr="00B644C9">
        <w:t>.</w:t>
      </w:r>
      <w:r w:rsidR="002453EE">
        <w:t xml:space="preserve"> </w:t>
      </w:r>
      <w:r w:rsidR="002453EE" w:rsidRPr="002453EE">
        <w:t>Dějiny modernity v latinské části západní Evropy tvoří naprostou tragikomedii, kter</w:t>
      </w:r>
      <w:r w:rsidR="002453EE">
        <w:t>á vznikla pod vedením božských M</w:t>
      </w:r>
      <w:r w:rsidR="002453EE" w:rsidRPr="002453EE">
        <w:t>úz.</w:t>
      </w:r>
    </w:p>
    <w:p w14:paraId="04BBA30D" w14:textId="77777777" w:rsidR="004B6CBD" w:rsidRDefault="00F43E95" w:rsidP="00E06B7B">
      <w:pPr>
        <w:ind w:firstLine="397"/>
      </w:pPr>
      <w:r w:rsidRPr="00273106">
        <w:t xml:space="preserve">Rufusovy </w:t>
      </w:r>
      <w:r w:rsidR="00195076">
        <w:t xml:space="preserve">první </w:t>
      </w:r>
      <w:r w:rsidR="085C2249">
        <w:t xml:space="preserve">oxfordské a pařížské </w:t>
      </w:r>
      <w:r w:rsidRPr="00273106">
        <w:t xml:space="preserve">komentáře z let 1231‒37 obsahují </w:t>
      </w:r>
      <w:r w:rsidRPr="00273106">
        <w:rPr>
          <w:i/>
        </w:rPr>
        <w:t>in nuce</w:t>
      </w:r>
      <w:r w:rsidRPr="00273106">
        <w:t xml:space="preserve"> všechny znaky pozdějšího vývoje moderny. </w:t>
      </w:r>
      <w:r w:rsidR="0034004E" w:rsidRPr="00273106">
        <w:t xml:space="preserve">Rufusův radikalismus </w:t>
      </w:r>
      <w:r w:rsidR="0034004E">
        <w:t>daný přijetím univerzálního hylemorfismu</w:t>
      </w:r>
      <w:r w:rsidR="0034004E">
        <w:fldChar w:fldCharType="begin"/>
      </w:r>
      <w:r w:rsidR="0034004E">
        <w:instrText xml:space="preserve"> XE "</w:instrText>
      </w:r>
      <w:r w:rsidR="0034004E" w:rsidRPr="00423560">
        <w:instrText>univerzální hylemorfismus</w:instrText>
      </w:r>
      <w:r w:rsidR="0034004E">
        <w:instrText xml:space="preserve">" </w:instrText>
      </w:r>
      <w:r w:rsidR="0034004E">
        <w:fldChar w:fldCharType="end"/>
      </w:r>
      <w:r w:rsidR="0034004E">
        <w:t xml:space="preserve"> </w:t>
      </w:r>
      <w:r w:rsidR="08233808">
        <w:t xml:space="preserve">dalece </w:t>
      </w:r>
      <w:r w:rsidR="0034004E" w:rsidRPr="00273106">
        <w:t>překročil opatrné interpretace Grossetesteho</w:t>
      </w:r>
      <w:r w:rsidR="0034004E">
        <w:t xml:space="preserve">. Lincolnský biskup </w:t>
      </w:r>
      <w:r w:rsidR="0034004E" w:rsidRPr="00273106">
        <w:t xml:space="preserve">si byl po vzoru Alverna vědom </w:t>
      </w:r>
      <w:r w:rsidR="0034004E">
        <w:t xml:space="preserve">základního </w:t>
      </w:r>
      <w:r w:rsidR="0034004E" w:rsidRPr="00273106">
        <w:t xml:space="preserve">rozdílu mezi </w:t>
      </w:r>
      <w:r w:rsidR="0034004E">
        <w:t>Averroes</w:t>
      </w:r>
      <w:r w:rsidR="0034004E" w:rsidRPr="00273106">
        <w:t xml:space="preserve">em a </w:t>
      </w:r>
      <w:r w:rsidR="0034004E">
        <w:t>neoplatonsk</w:t>
      </w:r>
      <w:r w:rsidR="0034004E" w:rsidRPr="00273106">
        <w:t>ou školou</w:t>
      </w:r>
      <w:r w:rsidR="0034004E">
        <w:t xml:space="preserve">, proto veřejně napadl neoplatonské vykladače Aristotela </w:t>
      </w:r>
      <w:r w:rsidR="009046C2">
        <w:t>v Oxf</w:t>
      </w:r>
      <w:r w:rsidR="0034004E">
        <w:t>o</w:t>
      </w:r>
      <w:r w:rsidR="009046C2">
        <w:t>r</w:t>
      </w:r>
      <w:r w:rsidR="0034004E">
        <w:t>du kolem roku 1235</w:t>
      </w:r>
      <w:r w:rsidR="0034004E" w:rsidRPr="00273106">
        <w:t xml:space="preserve">. </w:t>
      </w:r>
      <w:r w:rsidR="08E10B7B" w:rsidRPr="08B96B1A">
        <w:rPr>
          <w:szCs w:val="24"/>
        </w:rPr>
        <w:t>Grosseteste jako k</w:t>
      </w:r>
      <w:r w:rsidR="08A335A4">
        <w:t xml:space="preserve">řesťanský filosof z Blundovy školy nemohl tolerovat šíření moderních </w:t>
      </w:r>
      <w:r w:rsidR="080E481D">
        <w:t xml:space="preserve">heretických </w:t>
      </w:r>
      <w:r w:rsidR="08A335A4">
        <w:t>nauk o pluralitě substancí v člověku na Oxfordské univerzitě</w:t>
      </w:r>
      <w:r w:rsidR="08EE75E3">
        <w:t xml:space="preserve">. Oxford </w:t>
      </w:r>
      <w:r w:rsidR="08A335A4">
        <w:t xml:space="preserve">dostal papežem </w:t>
      </w:r>
      <w:r w:rsidR="00E06B7B">
        <w:t xml:space="preserve">Innocentem IV. </w:t>
      </w:r>
      <w:r w:rsidR="08A335A4">
        <w:t>garantovanou autonomii</w:t>
      </w:r>
      <w:r w:rsidR="08EE75E3">
        <w:t xml:space="preserve"> </w:t>
      </w:r>
      <w:r w:rsidR="08336C9D">
        <w:t xml:space="preserve">až za </w:t>
      </w:r>
      <w:r w:rsidR="08054ED4">
        <w:t xml:space="preserve">plné </w:t>
      </w:r>
      <w:r w:rsidR="08336C9D">
        <w:t xml:space="preserve">vlády modernistů </w:t>
      </w:r>
      <w:r w:rsidR="08DE030C">
        <w:t>(</w:t>
      </w:r>
      <w:r w:rsidR="08DE030C" w:rsidRPr="08DE030C">
        <w:rPr>
          <w:i/>
        </w:rPr>
        <w:t>Querentes in agro</w:t>
      </w:r>
      <w:r w:rsidR="08DE030C">
        <w:t xml:space="preserve">, 1254). Zdejší magistři </w:t>
      </w:r>
      <w:r w:rsidR="08054ED4">
        <w:t xml:space="preserve">ovlivnění prvním </w:t>
      </w:r>
      <w:r w:rsidR="08054ED4">
        <w:lastRenderedPageBreak/>
        <w:t xml:space="preserve">averroismem </w:t>
      </w:r>
      <w:r w:rsidR="08DE030C">
        <w:t xml:space="preserve">se o </w:t>
      </w:r>
      <w:r w:rsidR="08621BF1">
        <w:t xml:space="preserve">to </w:t>
      </w:r>
      <w:r w:rsidR="08EE75E3">
        <w:t>pokoušel</w:t>
      </w:r>
      <w:r w:rsidR="08DE030C">
        <w:t>i</w:t>
      </w:r>
      <w:r w:rsidR="08EE75E3">
        <w:t xml:space="preserve"> už v roce 1238, ale </w:t>
      </w:r>
      <w:r w:rsidR="08621BF1">
        <w:t xml:space="preserve">pilné </w:t>
      </w:r>
      <w:r w:rsidR="08EE75E3">
        <w:t xml:space="preserve">síly chaosu </w:t>
      </w:r>
      <w:r w:rsidR="08621BF1">
        <w:t>jim to zn</w:t>
      </w:r>
      <w:r w:rsidR="08EE75E3">
        <w:t>emožnily.</w:t>
      </w:r>
      <w:r w:rsidR="08EE75E3">
        <w:rPr>
          <w:rStyle w:val="Znakapoznpodarou"/>
        </w:rPr>
        <w:footnoteReference w:id="374"/>
      </w:r>
      <w:r w:rsidR="08EE75E3">
        <w:t xml:space="preserve"> Přesto měl Oxford díky působení Grossetesteho formálně stejný úkol bránit </w:t>
      </w:r>
      <w:r w:rsidR="08EE4DA2">
        <w:t>křesťanské</w:t>
      </w:r>
      <w:r w:rsidR="08EE75E3">
        <w:t xml:space="preserve"> myšlení jako </w:t>
      </w:r>
      <w:r w:rsidR="08AC7730">
        <w:t xml:space="preserve">tehdejší </w:t>
      </w:r>
      <w:r w:rsidR="08EE75E3">
        <w:t>Pařížská univerzita</w:t>
      </w:r>
      <w:r w:rsidR="08A335A4">
        <w:t xml:space="preserve">. Rufus </w:t>
      </w:r>
      <w:r w:rsidR="08FB1D14">
        <w:t xml:space="preserve">během bakalářských studií v Oxfordu </w:t>
      </w:r>
      <w:r w:rsidR="08A335A4">
        <w:t>vstupuje do františkánského řá</w:t>
      </w:r>
      <w:r w:rsidR="08FB1D14">
        <w:t xml:space="preserve">du a </w:t>
      </w:r>
      <w:r w:rsidR="08A335A4">
        <w:t xml:space="preserve">odchází na studia do Paříže. </w:t>
      </w:r>
      <w:r w:rsidR="08742C3B">
        <w:t xml:space="preserve">Zde se připojuje ke skupině myslitelů kolem Jana z la Rochelle a Alexandra Halského, která po jeho smrti dokončuje editaci </w:t>
      </w:r>
      <w:r w:rsidR="00B4126A" w:rsidRPr="00735BD9">
        <w:rPr>
          <w:i/>
          <w:lang w:eastAsia="en-US"/>
        </w:rPr>
        <w:t>Summa Halensis</w:t>
      </w:r>
      <w:r w:rsidR="08742C3B">
        <w:t xml:space="preserve">. </w:t>
      </w:r>
      <w:r w:rsidR="08950974">
        <w:t>V tomto okruhu vznikla kompletní škola druhého averroismu, kterou jsme etablovali jako třetí pó</w:t>
      </w:r>
      <w:r w:rsidR="088E6108">
        <w:t>l součtveří dějinnosti (kap. 3</w:t>
      </w:r>
      <w:r w:rsidR="08950974">
        <w:t xml:space="preserve">). </w:t>
      </w:r>
      <w:r w:rsidR="0034004E">
        <w:t xml:space="preserve">Rufus během svého pobytu v Paříži radikalizoval školu </w:t>
      </w:r>
      <w:r w:rsidR="0034004E" w:rsidRPr="00016371">
        <w:rPr>
          <w:i/>
        </w:rPr>
        <w:t>sequaces Aristotelis</w:t>
      </w:r>
      <w:r w:rsidR="0034004E">
        <w:rPr>
          <w:i/>
        </w:rPr>
        <w:fldChar w:fldCharType="begin"/>
      </w:r>
      <w:r w:rsidR="0034004E">
        <w:instrText xml:space="preserve"> XE "druhý averroismus:</w:instrText>
      </w:r>
      <w:r w:rsidR="0034004E" w:rsidRPr="00B81DDF">
        <w:rPr>
          <w:i/>
        </w:rPr>
        <w:instrText>sequaces Aristotelis</w:instrText>
      </w:r>
      <w:r w:rsidR="0034004E">
        <w:instrText xml:space="preserve">" </w:instrText>
      </w:r>
      <w:r w:rsidR="0034004E">
        <w:rPr>
          <w:i/>
        </w:rPr>
        <w:fldChar w:fldCharType="end"/>
      </w:r>
      <w:r w:rsidR="0034004E">
        <w:t xml:space="preserve"> odmítnutou Alvernem</w:t>
      </w:r>
      <w:r w:rsidR="08443920">
        <w:t xml:space="preserve">. Zavedením univerzálního hylemorficky do výkladu metafyziky </w:t>
      </w:r>
      <w:r w:rsidR="082F2D63">
        <w:rPr>
          <w:i/>
        </w:rPr>
        <w:t>ad mentem Averrois</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09046C2">
        <w:t xml:space="preserve"> podle </w:t>
      </w:r>
      <w:r w:rsidR="08443920">
        <w:t xml:space="preserve">Toledské </w:t>
      </w:r>
      <w:r w:rsidR="009046C2">
        <w:t>školy</w:t>
      </w:r>
      <w:r w:rsidR="08443920">
        <w:t xml:space="preserve"> vytvořil nové pojetí prv</w:t>
      </w:r>
      <w:r w:rsidR="085050CC">
        <w:t>n</w:t>
      </w:r>
      <w:r w:rsidR="08443920">
        <w:t>í vědy, které Bacon považoval za šílené</w:t>
      </w:r>
      <w:r w:rsidR="08C044DF">
        <w:t xml:space="preserve">, </w:t>
      </w:r>
      <w:r w:rsidR="085050CC">
        <w:t>Albert za směšné</w:t>
      </w:r>
      <w:r w:rsidR="08C044DF">
        <w:t xml:space="preserve"> a Grosseteste za hloupé</w:t>
      </w:r>
      <w:r w:rsidR="00313B1A">
        <w:fldChar w:fldCharType="begin"/>
      </w:r>
      <w:r w:rsidR="00313B1A">
        <w:instrText xml:space="preserve"> XE "</w:instrText>
      </w:r>
      <w:r w:rsidR="004A155A">
        <w:instrText>Sicilská škola</w:instrText>
      </w:r>
      <w:r w:rsidR="00313B1A">
        <w:instrText xml:space="preserve">" </w:instrText>
      </w:r>
      <w:r w:rsidR="00313B1A">
        <w:fldChar w:fldCharType="end"/>
      </w:r>
      <w:r w:rsidR="08742C3B">
        <w:t xml:space="preserve">. </w:t>
      </w:r>
      <w:r w:rsidR="08443920">
        <w:t>Rufus v</w:t>
      </w:r>
      <w:r w:rsidR="08742C3B">
        <w:t>ytvořil z Averroe</w:t>
      </w:r>
      <w:r w:rsidR="009046C2">
        <w:t xml:space="preserve">se sofistické simulákrum a založil objektivní averroismus, na němž stojí argumentace </w:t>
      </w:r>
      <w:r w:rsidR="009046C2" w:rsidRPr="00273106">
        <w:t xml:space="preserve">nově vzniklé školy </w:t>
      </w:r>
      <w:r w:rsidR="009046C2" w:rsidRPr="00273106">
        <w:rPr>
          <w:i/>
        </w:rPr>
        <w:t>Modernorum</w:t>
      </w:r>
      <w:r w:rsidR="009046C2">
        <w:t>.</w:t>
      </w:r>
      <w:r w:rsidR="00974090">
        <w:t xml:space="preserve"> </w:t>
      </w:r>
      <w:r w:rsidR="00E4678E" w:rsidRPr="00273106">
        <w:t>Ž</w:t>
      </w:r>
      <w:r w:rsidR="00943D9F" w:rsidRPr="00273106">
        <w:t>áci Grossete</w:t>
      </w:r>
      <w:r w:rsidR="00E4678E" w:rsidRPr="00273106">
        <w:t>st</w:t>
      </w:r>
      <w:r w:rsidR="00943D9F" w:rsidRPr="00273106">
        <w:t xml:space="preserve">eho </w:t>
      </w:r>
      <w:r w:rsidR="086A62FA">
        <w:t xml:space="preserve">ovlivnění Rufusem a Kilwardbym se </w:t>
      </w:r>
      <w:r w:rsidR="086B0328">
        <w:t>s</w:t>
      </w:r>
      <w:r w:rsidR="086A62FA">
        <w:t xml:space="preserve">hromáždili </w:t>
      </w:r>
      <w:r w:rsidR="00F53CB4">
        <w:t xml:space="preserve">kolem editace </w:t>
      </w:r>
      <w:r w:rsidR="00F53CB4" w:rsidRPr="00F53CB4">
        <w:rPr>
          <w:i/>
        </w:rPr>
        <w:t>Summa philoso</w:t>
      </w:r>
      <w:r w:rsidR="00974090">
        <w:rPr>
          <w:i/>
        </w:rPr>
        <w:t>p</w:t>
      </w:r>
      <w:r w:rsidR="00F53CB4" w:rsidRPr="00F53CB4">
        <w:rPr>
          <w:i/>
        </w:rPr>
        <w:t>hiae</w:t>
      </w:r>
      <w:r w:rsidR="086A62FA">
        <w:t xml:space="preserve"> a </w:t>
      </w:r>
      <w:r w:rsidR="00F53CB4">
        <w:t xml:space="preserve">provedli </w:t>
      </w:r>
      <w:r w:rsidR="08827E3C">
        <w:t xml:space="preserve">okolo roku 1265 </w:t>
      </w:r>
      <w:r w:rsidR="089237BB">
        <w:t xml:space="preserve">podobnou </w:t>
      </w:r>
      <w:r w:rsidR="00F53CB4">
        <w:t xml:space="preserve">syntézu </w:t>
      </w:r>
      <w:r w:rsidR="08950974">
        <w:t xml:space="preserve">objektivity </w:t>
      </w:r>
      <w:r w:rsidR="00F76C3D">
        <w:t xml:space="preserve">na Oxfordu </w:t>
      </w:r>
      <w:r w:rsidR="086A62FA">
        <w:t xml:space="preserve">jako </w:t>
      </w:r>
      <w:r w:rsidR="089237BB">
        <w:t xml:space="preserve">Bonaventurova </w:t>
      </w:r>
      <w:r w:rsidR="086A62FA">
        <w:t xml:space="preserve">škola </w:t>
      </w:r>
      <w:r w:rsidR="089237BB">
        <w:t xml:space="preserve">shromážděná při editaci </w:t>
      </w:r>
      <w:r w:rsidR="089237BB" w:rsidRPr="089237BB">
        <w:rPr>
          <w:i/>
        </w:rPr>
        <w:t>Summa Halensis</w:t>
      </w:r>
      <w:r w:rsidR="089237BB">
        <w:t xml:space="preserve"> (k</w:t>
      </w:r>
      <w:r w:rsidR="081640F3">
        <w:t>ap. 3</w:t>
      </w:r>
      <w:r w:rsidR="004110D1">
        <w:t>.1.3)</w:t>
      </w:r>
      <w:r w:rsidR="00F53CB4">
        <w:t xml:space="preserve">. </w:t>
      </w:r>
      <w:r w:rsidR="080E5F3B">
        <w:t xml:space="preserve">Oxfordští modernisté aplikovali </w:t>
      </w:r>
      <w:r w:rsidR="080E5F3B" w:rsidRPr="00273106">
        <w:t>na učení svého mistra</w:t>
      </w:r>
      <w:r w:rsidR="080E5F3B">
        <w:t xml:space="preserve"> verzi </w:t>
      </w:r>
      <w:r w:rsidR="00F53CB4" w:rsidRPr="00F53CB4">
        <w:rPr>
          <w:i/>
        </w:rPr>
        <w:t>Oxfordian Fallacy</w:t>
      </w:r>
      <w:r w:rsidR="00F53CB4">
        <w:t xml:space="preserve"> </w:t>
      </w:r>
      <w:r w:rsidR="080E5F3B">
        <w:t xml:space="preserve">etablovanou podle Rufuse a Kilwardbyho </w:t>
      </w:r>
      <w:r w:rsidR="006E2D42">
        <w:t>a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06E2D42">
        <w:t xml:space="preserve"> </w:t>
      </w:r>
      <w:r w:rsidR="080E5F3B">
        <w:t xml:space="preserve">napojený na porretánskou logiku. </w:t>
      </w:r>
      <w:r w:rsidR="080F55AC">
        <w:t xml:space="preserve">Tito reformovaní avicennisté </w:t>
      </w:r>
      <w:r w:rsidR="00A514D8">
        <w:t xml:space="preserve">vytvořili objektivní </w:t>
      </w:r>
      <w:r w:rsidR="08950974">
        <w:t xml:space="preserve">simulákrum Grossetesteho </w:t>
      </w:r>
      <w:r w:rsidR="0833513F">
        <w:t xml:space="preserve">nauky </w:t>
      </w:r>
      <w:r w:rsidR="08566C4F">
        <w:t>v modu analytické filosofie</w:t>
      </w:r>
      <w:r w:rsidR="08950974">
        <w:t xml:space="preserve">. </w:t>
      </w:r>
      <w:r w:rsidR="001916FA">
        <w:t>Výsledkem syntézy oxfor</w:t>
      </w:r>
      <w:r w:rsidR="000C2424">
        <w:t>d</w:t>
      </w:r>
      <w:r w:rsidR="001916FA">
        <w:t>ských averroistů byly teze o odděleném intelektu a substanční mnoho</w:t>
      </w:r>
      <w:r w:rsidR="000C2424">
        <w:t>s</w:t>
      </w:r>
      <w:r w:rsidR="001916FA">
        <w:t xml:space="preserve">ti v člověku, </w:t>
      </w:r>
      <w:r w:rsidR="08442EEA">
        <w:t xml:space="preserve">což </w:t>
      </w:r>
      <w:r w:rsidR="00BE4002">
        <w:t xml:space="preserve">Grosseteste </w:t>
      </w:r>
      <w:r w:rsidR="00BD78B1">
        <w:t>zásadně odmítl</w:t>
      </w:r>
      <w:r w:rsidR="00740687">
        <w:t xml:space="preserve">. </w:t>
      </w:r>
      <w:r w:rsidR="08C817EC" w:rsidRPr="00273106">
        <w:t>Předešlé kapitoly ukázaly, že Grosseteste v rozhodující</w:t>
      </w:r>
      <w:r w:rsidR="08C817EC">
        <w:t xml:space="preserve"> obraně jednoty osoby </w:t>
      </w:r>
      <w:r w:rsidR="08C817EC" w:rsidRPr="00273106">
        <w:t>odmít</w:t>
      </w:r>
      <w:r w:rsidR="08C817EC">
        <w:t>l</w:t>
      </w:r>
      <w:r w:rsidR="08C817EC" w:rsidRPr="00273106">
        <w:t xml:space="preserve"> přejít do neoplatonismu</w:t>
      </w:r>
      <w:r w:rsidR="08C817EC">
        <w:t xml:space="preserve"> a zůstal v této otázce </w:t>
      </w:r>
      <w:r w:rsidR="08C817EC" w:rsidRPr="00273106">
        <w:t>autentickým ari</w:t>
      </w:r>
      <w:r w:rsidR="08C817EC">
        <w:t xml:space="preserve">stotelikem. </w:t>
      </w:r>
      <w:r w:rsidR="00E06B7B">
        <w:t>Bacon napadl oxfordské illumináty</w:t>
      </w:r>
      <w:r w:rsidR="00E06B7B" w:rsidRPr="00E06B7B">
        <w:t xml:space="preserve"> v citovaném díle </w:t>
      </w:r>
      <w:r w:rsidR="00E06B7B">
        <w:rPr>
          <w:i/>
        </w:rPr>
        <w:t>Distinccio tercia de anima</w:t>
      </w:r>
      <w:r w:rsidR="00E06B7B">
        <w:t xml:space="preserve"> </w:t>
      </w:r>
      <w:r w:rsidR="00E06B7B" w:rsidRPr="00E06B7B">
        <w:t xml:space="preserve">(ch. 3.2). Ockham </w:t>
      </w:r>
      <w:r w:rsidR="00E06B7B">
        <w:t xml:space="preserve">vykonal </w:t>
      </w:r>
      <w:r w:rsidR="00E06B7B" w:rsidRPr="00E06B7B">
        <w:t xml:space="preserve">poslední </w:t>
      </w:r>
      <w:r w:rsidR="00E06B7B">
        <w:t xml:space="preserve">kolo gigantomachie proti </w:t>
      </w:r>
      <w:r w:rsidR="009D30EE">
        <w:t xml:space="preserve">oxfordským </w:t>
      </w:r>
      <w:r w:rsidR="00E06B7B">
        <w:t>s</w:t>
      </w:r>
      <w:r w:rsidR="00E06B7B" w:rsidRPr="00E06B7B">
        <w:t>kotistům</w:t>
      </w:r>
      <w:r w:rsidR="009B4DA5">
        <w:t>,</w:t>
      </w:r>
      <w:r w:rsidR="009B4DA5" w:rsidRPr="009B4DA5">
        <w:t xml:space="preserve"> byl poslán do exilu a škola prvního Averroismu byla rozpuštěna.</w:t>
      </w:r>
    </w:p>
    <w:p w14:paraId="3885724D" w14:textId="59A84EF1" w:rsidR="007A28B5" w:rsidRPr="00273106" w:rsidRDefault="004B6CBD" w:rsidP="00E06B7B">
      <w:pPr>
        <w:ind w:firstLine="397"/>
      </w:pPr>
      <w:r>
        <w:rPr>
          <w:szCs w:val="24"/>
        </w:rPr>
        <w:lastRenderedPageBreak/>
        <w:t xml:space="preserve">Grosseteste byl </w:t>
      </w:r>
      <w:r w:rsidR="08A16C70" w:rsidRPr="08A16C70">
        <w:rPr>
          <w:i/>
        </w:rPr>
        <w:t>spiritus agens</w:t>
      </w:r>
      <w:r w:rsidR="08A16C70">
        <w:t xml:space="preserve"> Oxfordské univerzity</w:t>
      </w:r>
      <w:r>
        <w:t xml:space="preserve"> a </w:t>
      </w:r>
      <w:r w:rsidR="08C817EC">
        <w:t xml:space="preserve">představuje </w:t>
      </w:r>
      <w:r w:rsidR="08C817EC" w:rsidRPr="00273106">
        <w:t>p</w:t>
      </w:r>
      <w:r w:rsidR="08A16C70">
        <w:t>ro hermeneutiku epochální figur</w:t>
      </w:r>
      <w:r w:rsidR="08C817EC" w:rsidRPr="00273106">
        <w:t xml:space="preserve">u typu </w:t>
      </w:r>
      <w:r w:rsidR="08C817EC" w:rsidRPr="00273106">
        <w:rPr>
          <w:i/>
        </w:rPr>
        <w:t>Alfarabius redivivus</w:t>
      </w:r>
      <w:r w:rsidR="08C817EC" w:rsidRPr="00273106">
        <w:t xml:space="preserve">. Odvolává se na něj </w:t>
      </w:r>
      <w:r w:rsidR="08C817EC">
        <w:t xml:space="preserve">škola </w:t>
      </w:r>
      <w:r w:rsidR="08C817EC" w:rsidRPr="00273106">
        <w:t>první</w:t>
      </w:r>
      <w:r w:rsidR="08C817EC">
        <w:t xml:space="preserve">ho averroismu </w:t>
      </w:r>
      <w:r w:rsidR="08C817EC" w:rsidRPr="00273106">
        <w:t>na Oxfordu (Bacon, Ockham) ve sporu o pluralismus substancí v</w:t>
      </w:r>
      <w:r w:rsidR="08C817EC">
        <w:t> </w:t>
      </w:r>
      <w:r w:rsidR="08C817EC" w:rsidRPr="00273106">
        <w:t>čl</w:t>
      </w:r>
      <w:r w:rsidR="08C817EC">
        <w:t xml:space="preserve">ověku a současně jeho učení radikalizuje škola druhého averroismu. </w:t>
      </w:r>
      <w:r w:rsidR="00740687">
        <w:t>P</w:t>
      </w:r>
      <w:r w:rsidR="0084643C">
        <w:t xml:space="preserve">o návratu Rufuse na Oxford </w:t>
      </w:r>
      <w:r w:rsidR="00740687">
        <w:t xml:space="preserve">vzniklo </w:t>
      </w:r>
      <w:r w:rsidR="00113FC8">
        <w:t xml:space="preserve">od roku 1250 </w:t>
      </w:r>
      <w:r w:rsidR="005B0C08">
        <w:t xml:space="preserve">druhé místo vzniku </w:t>
      </w:r>
      <w:r w:rsidR="00CE6FEF">
        <w:t xml:space="preserve">modernismu a </w:t>
      </w:r>
      <w:r w:rsidR="005B0C08">
        <w:t>objektivity</w:t>
      </w:r>
      <w:r w:rsidR="00740687">
        <w:t xml:space="preserve">, které akademicky a mocensky střežil </w:t>
      </w:r>
      <w:r w:rsidR="00773FF0">
        <w:t xml:space="preserve">dominikán </w:t>
      </w:r>
      <w:r w:rsidR="009D3DA3">
        <w:t xml:space="preserve">Robert </w:t>
      </w:r>
      <w:r w:rsidR="00773FF0">
        <w:t>Kilwardby</w:t>
      </w:r>
      <w:r w:rsidR="009D3DA3">
        <w:t xml:space="preserve"> (†1279)</w:t>
      </w:r>
      <w:r w:rsidR="00773FF0">
        <w:t xml:space="preserve">, </w:t>
      </w:r>
      <w:r w:rsidR="00740687">
        <w:t xml:space="preserve">rektor </w:t>
      </w:r>
      <w:r w:rsidR="00516ACD">
        <w:t>Oxfordské univerz</w:t>
      </w:r>
      <w:r w:rsidR="009D3DA3">
        <w:t xml:space="preserve">ity </w:t>
      </w:r>
      <w:r w:rsidR="00740687">
        <w:t>a arcibiskup</w:t>
      </w:r>
      <w:r w:rsidR="009D3DA3" w:rsidRPr="009D3DA3">
        <w:t xml:space="preserve"> </w:t>
      </w:r>
      <w:r w:rsidR="009D3DA3">
        <w:t>v Canterbury</w:t>
      </w:r>
      <w:r w:rsidR="007A28B5" w:rsidRPr="00273106">
        <w:t>.</w:t>
      </w:r>
      <w:r w:rsidR="009D3DA3">
        <w:t xml:space="preserve"> Po </w:t>
      </w:r>
      <w:r w:rsidR="00E65E48">
        <w:t xml:space="preserve">jeho smrti </w:t>
      </w:r>
      <w:r w:rsidR="00496947">
        <w:t xml:space="preserve">tuto klíčovou </w:t>
      </w:r>
      <w:r w:rsidR="009D3DA3">
        <w:t xml:space="preserve">roli </w:t>
      </w:r>
      <w:r w:rsidR="001417A0">
        <w:t xml:space="preserve">strážce modernismu </w:t>
      </w:r>
      <w:r w:rsidR="00436CF3">
        <w:t xml:space="preserve">navázanou na </w:t>
      </w:r>
      <w:r w:rsidR="009D3DA3">
        <w:t xml:space="preserve">zmíněné </w:t>
      </w:r>
      <w:r w:rsidR="0040192C">
        <w:t xml:space="preserve">akademické a církevní </w:t>
      </w:r>
      <w:r w:rsidR="009D3DA3">
        <w:t>funkce převzal jeho</w:t>
      </w:r>
      <w:r w:rsidR="00065993">
        <w:t xml:space="preserve"> </w:t>
      </w:r>
      <w:r w:rsidR="009D3DA3">
        <w:t xml:space="preserve">žák, františkán John </w:t>
      </w:r>
      <w:r w:rsidR="004F3E0F">
        <w:t>Pecham</w:t>
      </w:r>
      <w:r w:rsidR="009D3DA3">
        <w:t xml:space="preserve"> (†1292).</w:t>
      </w:r>
      <w:r w:rsidR="002120FB">
        <w:t xml:space="preserve"> </w:t>
      </w:r>
      <w:r w:rsidR="000E4368">
        <w:t xml:space="preserve">Po jeho </w:t>
      </w:r>
      <w:r w:rsidR="006D767D">
        <w:t xml:space="preserve">smrti </w:t>
      </w:r>
      <w:r w:rsidR="000E4368">
        <w:t>škola druhého averroismu zaniká</w:t>
      </w:r>
      <w:r w:rsidR="006D767D">
        <w:t xml:space="preserve"> </w:t>
      </w:r>
      <w:r w:rsidR="0814616E">
        <w:t>jak</w:t>
      </w:r>
      <w:r w:rsidR="006D767D">
        <w:t xml:space="preserve"> </w:t>
      </w:r>
      <w:r w:rsidR="0814616E">
        <w:t xml:space="preserve">na </w:t>
      </w:r>
      <w:r w:rsidR="006D767D">
        <w:t xml:space="preserve">Oxfordu </w:t>
      </w:r>
      <w:r w:rsidR="0814616E">
        <w:t xml:space="preserve">tak v </w:t>
      </w:r>
      <w:r w:rsidR="006D767D">
        <w:t>Paříži</w:t>
      </w:r>
      <w:r w:rsidR="000E4368">
        <w:t xml:space="preserve">. O její pohřeb se </w:t>
      </w:r>
      <w:r w:rsidR="006D767D">
        <w:t xml:space="preserve">zásadně </w:t>
      </w:r>
      <w:r w:rsidR="000E4368">
        <w:t>zasloužil</w:t>
      </w:r>
      <w:r w:rsidR="0814616E">
        <w:t>i Tomáš Akvinský a Duns Scotus, kteří</w:t>
      </w:r>
      <w:r w:rsidR="000E4368">
        <w:t xml:space="preserve"> provedl</w:t>
      </w:r>
      <w:r w:rsidR="0814616E">
        <w:t>i</w:t>
      </w:r>
      <w:r w:rsidR="000E4368">
        <w:t xml:space="preserve"> </w:t>
      </w:r>
      <w:r w:rsidR="000E4368" w:rsidRPr="000E4368">
        <w:rPr>
          <w:i/>
        </w:rPr>
        <w:t>Aufhebung</w:t>
      </w:r>
      <w:r w:rsidR="000E4368">
        <w:rPr>
          <w:i/>
        </w:rPr>
        <w:fldChar w:fldCharType="begin"/>
      </w:r>
      <w:r w:rsidR="000E4368">
        <w:instrText xml:space="preserve"> XE "</w:instrText>
      </w:r>
      <w:r w:rsidR="000E4368" w:rsidRPr="008B74A3">
        <w:rPr>
          <w:i/>
        </w:rPr>
        <w:instrText>Aufhebung</w:instrText>
      </w:r>
      <w:r w:rsidR="000E4368">
        <w:instrText xml:space="preserve">" </w:instrText>
      </w:r>
      <w:r w:rsidR="000E4368">
        <w:rPr>
          <w:i/>
        </w:rPr>
        <w:fldChar w:fldCharType="end"/>
      </w:r>
      <w:r w:rsidR="000E4368">
        <w:t xml:space="preserve"> </w:t>
      </w:r>
      <w:r w:rsidR="0814616E">
        <w:t xml:space="preserve">prvního a </w:t>
      </w:r>
      <w:r w:rsidR="00B43923">
        <w:t xml:space="preserve">druhého averroismu </w:t>
      </w:r>
      <w:r w:rsidR="000E4368">
        <w:t xml:space="preserve">do moderní verze </w:t>
      </w:r>
      <w:r w:rsidR="08002FAD">
        <w:t xml:space="preserve">objektivní </w:t>
      </w:r>
      <w:r w:rsidR="000E4368">
        <w:t xml:space="preserve">metafyziky. </w:t>
      </w:r>
      <w:r w:rsidR="005D3FF5" w:rsidRPr="005D3FF5">
        <w:t xml:space="preserve">Tragikomedie postmoderní metafyziky je nejvíce patrná v tom, že oba představitelé moderního avicennismu </w:t>
      </w:r>
      <w:r w:rsidR="00420C38">
        <w:t xml:space="preserve">(Tomáš Akvinský a Duns Scotus) </w:t>
      </w:r>
      <w:r w:rsidR="005D3FF5" w:rsidRPr="005D3FF5">
        <w:t>se zdají být v zásadním protikladu.</w:t>
      </w:r>
      <w:r w:rsidR="005D3FF5">
        <w:t xml:space="preserve"> </w:t>
      </w:r>
      <w:r w:rsidR="00B5673B">
        <w:t>Význam</w:t>
      </w:r>
      <w:r w:rsidR="00753DD1">
        <w:t xml:space="preserve"> Rufuse pro</w:t>
      </w:r>
      <w:r w:rsidR="002120FB">
        <w:t xml:space="preserve"> vývoj moderny a obje</w:t>
      </w:r>
      <w:r w:rsidR="00753DD1">
        <w:t xml:space="preserve">ktivity je v dějinách latinské scholastiky </w:t>
      </w:r>
      <w:r w:rsidR="002120FB">
        <w:t>srovnateln</w:t>
      </w:r>
      <w:r w:rsidR="00B5673B">
        <w:t>ý</w:t>
      </w:r>
      <w:r w:rsidR="002120FB">
        <w:t xml:space="preserve"> s postavou</w:t>
      </w:r>
      <w:r w:rsidR="002120FB" w:rsidRPr="002120FB">
        <w:t xml:space="preserve"> </w:t>
      </w:r>
      <w:r w:rsidR="002120FB">
        <w:t xml:space="preserve">Dunse Scota, který Rufusovu </w:t>
      </w:r>
      <w:r w:rsidR="00CD7BC8">
        <w:t xml:space="preserve">myslitelskou </w:t>
      </w:r>
      <w:r w:rsidR="002120FB">
        <w:t xml:space="preserve">revoluci </w:t>
      </w:r>
      <w:r w:rsidR="08561F9C">
        <w:t xml:space="preserve">zahájenou v Oxfordu </w:t>
      </w:r>
      <w:r w:rsidR="002120FB">
        <w:t>završuje</w:t>
      </w:r>
      <w:r w:rsidR="00204646">
        <w:t xml:space="preserve"> vznikem nové metafyziky</w:t>
      </w:r>
      <w:r w:rsidR="002120FB">
        <w:t xml:space="preserve">. </w:t>
      </w:r>
      <w:r w:rsidR="00E94DBB">
        <w:t>Rufus jako brilantní představitel skupiny „</w:t>
      </w:r>
      <w:r w:rsidR="00E94DBB" w:rsidRPr="00E94DBB">
        <w:rPr>
          <w:i/>
        </w:rPr>
        <w:t>sophistae Latini</w:t>
      </w:r>
      <w:r w:rsidR="00E94DBB">
        <w:t xml:space="preserve">“ </w:t>
      </w:r>
      <w:r w:rsidR="00BE7D93">
        <w:t>dal</w:t>
      </w:r>
      <w:r w:rsidR="00BE7D93" w:rsidRPr="00BE7D93">
        <w:t xml:space="preserve"> Oxfordské univerzitě počáteční orientaci na mode</w:t>
      </w:r>
      <w:r w:rsidR="006D7F10">
        <w:t>rnitu</w:t>
      </w:r>
      <w:r w:rsidR="00E94DBB">
        <w:t xml:space="preserve"> tím, že </w:t>
      </w:r>
      <w:r w:rsidR="00E94DBB" w:rsidRPr="00FF5357">
        <w:rPr>
          <w:i/>
        </w:rPr>
        <w:t>Oxfordian Fallacy</w:t>
      </w:r>
      <w:r w:rsidR="00E94DBB">
        <w:t xml:space="preserve"> radikalizoval d</w:t>
      </w:r>
      <w:r w:rsidR="00BE7D93" w:rsidRPr="00BE7D93">
        <w:t>o nové formy metafyziky. Jednota a přežití této univerzity je proto spojena s udržováním Grossetestovy a Rufusov</w:t>
      </w:r>
      <w:r w:rsidR="004A14A3">
        <w:t>y metafyzické</w:t>
      </w:r>
      <w:r w:rsidR="00BE7D93" w:rsidRPr="00BE7D93">
        <w:t xml:space="preserve"> a</w:t>
      </w:r>
      <w:r w:rsidR="004A14A3">
        <w:t xml:space="preserve"> vědecké</w:t>
      </w:r>
      <w:r w:rsidR="00BE7D93">
        <w:t xml:space="preserve"> </w:t>
      </w:r>
      <w:r w:rsidR="004A14A3" w:rsidRPr="004A14A3">
        <w:rPr>
          <w:i/>
        </w:rPr>
        <w:t>Oxfordian Fallacy</w:t>
      </w:r>
      <w:r w:rsidR="004A14A3">
        <w:t xml:space="preserve"> v její objektivní formě</w:t>
      </w:r>
      <w:r w:rsidR="00BE7D93" w:rsidRPr="00BE7D93">
        <w:t xml:space="preserve">. Obě formy </w:t>
      </w:r>
      <w:r w:rsidR="00BE7D93">
        <w:t xml:space="preserve">tohoto </w:t>
      </w:r>
      <w:r w:rsidR="00BE7D93" w:rsidRPr="00BE7D93">
        <w:rPr>
          <w:i/>
        </w:rPr>
        <w:t>Irrtum</w:t>
      </w:r>
      <w:r w:rsidR="00BE7D93">
        <w:t xml:space="preserve"> </w:t>
      </w:r>
      <w:r w:rsidR="00BE7D93" w:rsidRPr="00BE7D93">
        <w:t>byly v zásadě odmítnuty na Pařížské univerzitě kolem roku 1245 a oba zástupci moderny byli posláni zpět do moder</w:t>
      </w:r>
      <w:r w:rsidR="006C621A">
        <w:t>nistického Oxfordu. Z</w:t>
      </w:r>
      <w:r w:rsidR="00BE7D93" w:rsidRPr="00BE7D93">
        <w:t xml:space="preserve"> pohledu archaické hermeneutiky vytvořené Múzami je jasné, proč Pařížská univerzita </w:t>
      </w:r>
      <w:r w:rsidR="006C621A">
        <w:t xml:space="preserve">zanikla po </w:t>
      </w:r>
      <w:r w:rsidR="00BE7D93" w:rsidRPr="00BE7D93">
        <w:t>pln</w:t>
      </w:r>
      <w:r w:rsidR="006C621A">
        <w:t xml:space="preserve">ém </w:t>
      </w:r>
      <w:r w:rsidR="00BE7D93" w:rsidRPr="00BE7D93">
        <w:t xml:space="preserve">přijetí </w:t>
      </w:r>
      <w:r w:rsidR="00BE7D93" w:rsidRPr="006C621A">
        <w:rPr>
          <w:i/>
        </w:rPr>
        <w:t>Oxfor</w:t>
      </w:r>
      <w:r w:rsidR="006C621A" w:rsidRPr="006C621A">
        <w:rPr>
          <w:i/>
        </w:rPr>
        <w:t>dian Fallacy</w:t>
      </w:r>
      <w:r w:rsidR="006C621A">
        <w:t xml:space="preserve"> na konci moderny</w:t>
      </w:r>
      <w:r w:rsidR="00BE7D93" w:rsidRPr="00BE7D93">
        <w:t xml:space="preserve">. Archaická pravda nemůže koexistovat s mytopoetickou nepravdou vytvořenou </w:t>
      </w:r>
      <w:r w:rsidR="006C621A">
        <w:t xml:space="preserve">paranoickými </w:t>
      </w:r>
      <w:r w:rsidR="00BE7D93" w:rsidRPr="00BE7D93">
        <w:t>modernisty. Konec metafyzické nutnosti souvisel s koncem univerzity, která na začátku vytv</w:t>
      </w:r>
      <w:r w:rsidR="006C621A">
        <w:t xml:space="preserve">ořila svůj </w:t>
      </w:r>
      <w:r w:rsidR="006C621A" w:rsidRPr="006C621A">
        <w:rPr>
          <w:i/>
        </w:rPr>
        <w:t>raison d</w:t>
      </w:r>
      <w:r w:rsidR="006C621A">
        <w:rPr>
          <w:rFonts w:cs="Calibri"/>
          <w:i/>
        </w:rPr>
        <w:t>’</w:t>
      </w:r>
      <w:r w:rsidR="00BE7D93" w:rsidRPr="006C621A">
        <w:rPr>
          <w:i/>
        </w:rPr>
        <w:t>être</w:t>
      </w:r>
      <w:r w:rsidR="006C621A">
        <w:t xml:space="preserve"> právě tímto způsobem</w:t>
      </w:r>
      <w:r w:rsidR="00BE7D93" w:rsidRPr="00BE7D93">
        <w:t xml:space="preserve">. Oxfordská univerzita vítězně sleduje </w:t>
      </w:r>
      <w:r w:rsidR="000C3419">
        <w:t xml:space="preserve">modus </w:t>
      </w:r>
      <w:r w:rsidR="00BE7D93" w:rsidRPr="00BE7D93">
        <w:t xml:space="preserve">logické a historické nutnosti </w:t>
      </w:r>
      <w:r w:rsidR="001E2648">
        <w:t>ur</w:t>
      </w:r>
      <w:r w:rsidR="000C3419">
        <w:t>čené Fúriemi</w:t>
      </w:r>
      <w:r w:rsidR="00EF48B2">
        <w:t xml:space="preserve">, protože to je jiný </w:t>
      </w:r>
      <w:r w:rsidR="00EF48B2" w:rsidRPr="006C621A">
        <w:rPr>
          <w:i/>
        </w:rPr>
        <w:t>raison d</w:t>
      </w:r>
      <w:r w:rsidR="00EF48B2">
        <w:rPr>
          <w:rFonts w:cs="Calibri"/>
          <w:i/>
        </w:rPr>
        <w:t>’</w:t>
      </w:r>
      <w:r w:rsidR="00EF48B2" w:rsidRPr="006C621A">
        <w:rPr>
          <w:i/>
        </w:rPr>
        <w:t>être</w:t>
      </w:r>
      <w:r w:rsidR="00EF48B2">
        <w:t xml:space="preserve"> daný moderně</w:t>
      </w:r>
      <w:r w:rsidR="00BE7D93" w:rsidRPr="00BE7D93">
        <w:t xml:space="preserve">. Proto </w:t>
      </w:r>
      <w:r w:rsidR="0017458C">
        <w:t xml:space="preserve">Oxford </w:t>
      </w:r>
      <w:r w:rsidR="00BE7D93" w:rsidRPr="00BE7D93">
        <w:t>dominuje objektivnímu akademickému podnikání a produkci z</w:t>
      </w:r>
      <w:r w:rsidR="000C3419">
        <w:t>ápadní vědy prostřednictvím svých amerických odnoží</w:t>
      </w:r>
      <w:r w:rsidR="00BE7D93" w:rsidRPr="00BE7D93">
        <w:t xml:space="preserve">. Sofistikovaný systém korporativně pojaté vědy je dán autoritativně </w:t>
      </w:r>
      <w:r w:rsidR="002052BC">
        <w:t>určenými</w:t>
      </w:r>
      <w:r w:rsidR="004F72E3">
        <w:t xml:space="preserve"> poznatky a objektivním ratingem</w:t>
      </w:r>
      <w:r w:rsidR="00BE7D93" w:rsidRPr="00BE7D93">
        <w:t xml:space="preserve">. </w:t>
      </w:r>
      <w:r w:rsidR="004F72E3">
        <w:t xml:space="preserve">Tento systém byl </w:t>
      </w:r>
      <w:r w:rsidR="00BE7D93" w:rsidRPr="00BE7D93">
        <w:t>založen na základě Rufusovy teorie pravdy jako mytopoetické asimilace objektivních entit.</w:t>
      </w:r>
    </w:p>
    <w:p w14:paraId="727ECBA3" w14:textId="7F708FFC" w:rsidR="0048229E" w:rsidRPr="00273106" w:rsidRDefault="00C51568" w:rsidP="086C1F19">
      <w:pPr>
        <w:pStyle w:val="Nadpis3"/>
      </w:pPr>
      <w:bookmarkStart w:id="119" w:name="_Toc487234318"/>
      <w:bookmarkStart w:id="120" w:name="_Toc12558325"/>
      <w:r>
        <w:rPr>
          <w:lang w:val="cs-CZ"/>
        </w:rPr>
        <w:br w:type="page"/>
      </w:r>
      <w:bookmarkStart w:id="121" w:name="_Toc160449338"/>
      <w:r w:rsidR="08D20D28">
        <w:rPr>
          <w:lang w:val="cs-CZ"/>
        </w:rPr>
        <w:lastRenderedPageBreak/>
        <w:t>3</w:t>
      </w:r>
      <w:r w:rsidR="00BA74FA" w:rsidRPr="00273106">
        <w:t>.3</w:t>
      </w:r>
      <w:r w:rsidR="00EA58EF" w:rsidRPr="00273106">
        <w:t xml:space="preserve">.1 </w:t>
      </w:r>
      <w:r w:rsidR="088F5948">
        <w:t xml:space="preserve">Moderní </w:t>
      </w:r>
      <w:r w:rsidR="008775D8">
        <w:t>v</w:t>
      </w:r>
      <w:r w:rsidR="00EA58EF" w:rsidRPr="00273106">
        <w:t xml:space="preserve">ýklad </w:t>
      </w:r>
      <w:r w:rsidR="0048229E" w:rsidRPr="080919C4">
        <w:rPr>
          <w:i/>
        </w:rPr>
        <w:t>Druhých analytik</w:t>
      </w:r>
      <w:bookmarkEnd w:id="119"/>
      <w:bookmarkEnd w:id="120"/>
      <w:bookmarkEnd w:id="121"/>
    </w:p>
    <w:p w14:paraId="055719FD" w14:textId="5AC89DC0" w:rsidR="00A146E7" w:rsidRPr="00273106" w:rsidRDefault="00077EB1" w:rsidP="00771708">
      <w:r w:rsidRPr="00077EB1">
        <w:t xml:space="preserve">Přednášky o </w:t>
      </w:r>
      <w:r w:rsidRPr="00077EB1">
        <w:rPr>
          <w:i/>
        </w:rPr>
        <w:t>Druhých analytikách</w:t>
      </w:r>
      <w:r w:rsidRPr="00077EB1">
        <w:t xml:space="preserve"> začal Rufus </w:t>
      </w:r>
      <w:r>
        <w:t>pravděpodobně ještě v Oxf</w:t>
      </w:r>
      <w:r w:rsidRPr="00077EB1">
        <w:t>o</w:t>
      </w:r>
      <w:r>
        <w:t>r</w:t>
      </w:r>
      <w:r w:rsidRPr="00077EB1">
        <w:t xml:space="preserve">du a jejich komentář vydal pod názvem </w:t>
      </w:r>
      <w:r w:rsidRPr="00077EB1">
        <w:rPr>
          <w:i/>
        </w:rPr>
        <w:t>In Aristotelis Analytika posteriora</w:t>
      </w:r>
      <w:r>
        <w:t xml:space="preserve"> (asi 1232–</w:t>
      </w:r>
      <w:r w:rsidRPr="00077EB1">
        <w:t xml:space="preserve">34). Komentář je </w:t>
      </w:r>
      <w:r>
        <w:t xml:space="preserve">zdánlivě </w:t>
      </w:r>
      <w:r w:rsidRPr="00077EB1">
        <w:t xml:space="preserve">napsán v aristotelském duchu. </w:t>
      </w:r>
      <w:r w:rsidR="089A5A9A" w:rsidRPr="00273106">
        <w:t>P</w:t>
      </w:r>
      <w:r w:rsidR="00030AD3" w:rsidRPr="00273106">
        <w:t xml:space="preserve">ovažuje duši za nepopsaný list vzhledem k poznání </w:t>
      </w:r>
      <w:r w:rsidR="00900419" w:rsidRPr="00273106">
        <w:t>danému</w:t>
      </w:r>
      <w:r w:rsidR="00783BEA" w:rsidRPr="00273106">
        <w:t xml:space="preserve"> nejprve smyslově</w:t>
      </w:r>
      <w:r w:rsidR="00030AD3" w:rsidRPr="00273106">
        <w:t>.</w:t>
      </w:r>
    </w:p>
    <w:p w14:paraId="798CB66E" w14:textId="30705EB1" w:rsidR="000A7263" w:rsidRPr="00273106" w:rsidRDefault="00A146E7" w:rsidP="000A7263">
      <w:pPr>
        <w:pStyle w:val="Citace"/>
        <w:rPr>
          <w:noProof/>
          <w:lang w:val="cs-CZ"/>
        </w:rPr>
      </w:pPr>
      <w:r w:rsidRPr="00273106">
        <w:rPr>
          <w:noProof/>
          <w:lang w:val="cs-CZ"/>
        </w:rPr>
        <w:t>„</w:t>
      </w:r>
      <w:r w:rsidR="004E4642" w:rsidRPr="004E4642">
        <w:rPr>
          <w:noProof/>
          <w:lang w:val="cs-CZ"/>
        </w:rPr>
        <w:t>Intelekt je jako nepopsaný list (</w:t>
      </w:r>
      <w:r w:rsidR="004E4642" w:rsidRPr="004E4642">
        <w:rPr>
          <w:i/>
          <w:noProof/>
          <w:lang w:val="cs-CZ"/>
        </w:rPr>
        <w:t>tabula nuda</w:t>
      </w:r>
      <w:r w:rsidR="004E4642" w:rsidRPr="004E4642">
        <w:rPr>
          <w:noProof/>
          <w:lang w:val="cs-CZ"/>
        </w:rPr>
        <w:t>) bez j</w:t>
      </w:r>
      <w:r w:rsidR="004E4642">
        <w:rPr>
          <w:noProof/>
          <w:lang w:val="cs-CZ"/>
        </w:rPr>
        <w:t xml:space="preserve">akéhokoliv vědění, a </w:t>
      </w:r>
      <w:r w:rsidR="004E4642" w:rsidRPr="00273106">
        <w:rPr>
          <w:noProof/>
          <w:lang w:val="cs-CZ"/>
        </w:rPr>
        <w:t>vzhledem k jak</w:t>
      </w:r>
      <w:r w:rsidR="004E4642">
        <w:rPr>
          <w:noProof/>
          <w:lang w:val="cs-CZ"/>
        </w:rPr>
        <w:t>é</w:t>
      </w:r>
      <w:r w:rsidR="004E4642" w:rsidRPr="00273106">
        <w:rPr>
          <w:noProof/>
          <w:lang w:val="cs-CZ"/>
        </w:rPr>
        <w:t>mukoliv pozná</w:t>
      </w:r>
      <w:r w:rsidR="004E4642">
        <w:rPr>
          <w:noProof/>
          <w:lang w:val="cs-CZ"/>
        </w:rPr>
        <w:t xml:space="preserve">ní je dán v pouhé potenci. </w:t>
      </w:r>
      <w:r w:rsidR="004E44CE">
        <w:rPr>
          <w:noProof/>
          <w:lang w:val="cs-CZ"/>
        </w:rPr>
        <w:t xml:space="preserve">Ale intelekt jako </w:t>
      </w:r>
      <w:r w:rsidR="004E4642" w:rsidRPr="00273106">
        <w:rPr>
          <w:noProof/>
          <w:lang w:val="cs-CZ"/>
        </w:rPr>
        <w:t xml:space="preserve">potence </w:t>
      </w:r>
      <w:r w:rsidR="004E4642">
        <w:rPr>
          <w:noProof/>
          <w:lang w:val="cs-CZ"/>
        </w:rPr>
        <w:t xml:space="preserve">je </w:t>
      </w:r>
      <w:r w:rsidR="004E4642" w:rsidRPr="00273106">
        <w:rPr>
          <w:noProof/>
          <w:lang w:val="cs-CZ"/>
        </w:rPr>
        <w:t>dvojí, esenciální a akcidentální</w:t>
      </w:r>
      <w:r w:rsidR="004E4642">
        <w:rPr>
          <w:noProof/>
          <w:lang w:val="cs-CZ"/>
        </w:rPr>
        <w:t xml:space="preserve"> (</w:t>
      </w:r>
      <w:r w:rsidR="004E4642" w:rsidRPr="003E4899">
        <w:rPr>
          <w:i/>
        </w:rPr>
        <w:t>potentia duplex est, essentialis et accidentalis</w:t>
      </w:r>
      <w:r w:rsidR="004E4642">
        <w:rPr>
          <w:noProof/>
          <w:lang w:val="cs-CZ"/>
        </w:rPr>
        <w:t xml:space="preserve">). </w:t>
      </w:r>
      <w:r w:rsidR="001509ED">
        <w:rPr>
          <w:noProof/>
          <w:lang w:val="cs-CZ"/>
        </w:rPr>
        <w:t>P</w:t>
      </w:r>
      <w:r w:rsidR="004E4642" w:rsidRPr="004E4642">
        <w:rPr>
          <w:noProof/>
          <w:lang w:val="cs-CZ"/>
        </w:rPr>
        <w:t>otence v substanciálním s</w:t>
      </w:r>
      <w:r w:rsidR="004E4642">
        <w:rPr>
          <w:noProof/>
          <w:lang w:val="cs-CZ"/>
        </w:rPr>
        <w:t>myslu je míněn</w:t>
      </w:r>
      <w:r w:rsidR="001509ED">
        <w:rPr>
          <w:noProof/>
          <w:lang w:val="cs-CZ"/>
        </w:rPr>
        <w:t>a</w:t>
      </w:r>
      <w:r w:rsidR="004E4642">
        <w:rPr>
          <w:noProof/>
          <w:lang w:val="cs-CZ"/>
        </w:rPr>
        <w:t xml:space="preserve"> prostřednictvím impozice</w:t>
      </w:r>
      <w:r w:rsidR="004E4642" w:rsidRPr="004E4642">
        <w:rPr>
          <w:noProof/>
          <w:lang w:val="cs-CZ"/>
        </w:rPr>
        <w:t xml:space="preserve"> (</w:t>
      </w:r>
      <w:r w:rsidR="004E4642" w:rsidRPr="004E4642">
        <w:rPr>
          <w:i/>
          <w:noProof/>
          <w:lang w:val="cs-CZ"/>
        </w:rPr>
        <w:t>proprie dicitur</w:t>
      </w:r>
      <w:r w:rsidR="004E4642" w:rsidRPr="004E4642">
        <w:rPr>
          <w:noProof/>
          <w:lang w:val="cs-CZ"/>
        </w:rPr>
        <w:t xml:space="preserve">), </w:t>
      </w:r>
      <w:r w:rsidR="001509ED">
        <w:rPr>
          <w:noProof/>
          <w:lang w:val="cs-CZ"/>
        </w:rPr>
        <w:t xml:space="preserve">tedy </w:t>
      </w:r>
      <w:r w:rsidR="004E4642" w:rsidRPr="004E4642">
        <w:rPr>
          <w:noProof/>
          <w:lang w:val="cs-CZ"/>
        </w:rPr>
        <w:t xml:space="preserve">jako </w:t>
      </w:r>
      <w:r w:rsidR="004E4642">
        <w:rPr>
          <w:noProof/>
          <w:lang w:val="cs-CZ"/>
        </w:rPr>
        <w:t xml:space="preserve">potence </w:t>
      </w:r>
      <w:r w:rsidR="001509ED">
        <w:rPr>
          <w:noProof/>
          <w:lang w:val="cs-CZ"/>
        </w:rPr>
        <w:t xml:space="preserve">daná v tom bytí </w:t>
      </w:r>
      <w:r w:rsidR="004E4642" w:rsidRPr="004E4642">
        <w:rPr>
          <w:noProof/>
          <w:lang w:val="cs-CZ"/>
        </w:rPr>
        <w:t>(</w:t>
      </w:r>
      <w:r w:rsidR="004E4642" w:rsidRPr="004E4642">
        <w:rPr>
          <w:i/>
          <w:noProof/>
          <w:lang w:val="cs-CZ"/>
        </w:rPr>
        <w:t>fieri</w:t>
      </w:r>
      <w:r w:rsidR="004E4642">
        <w:rPr>
          <w:noProof/>
          <w:lang w:val="cs-CZ"/>
        </w:rPr>
        <w:t>), které přichází do aktuality</w:t>
      </w:r>
      <w:r w:rsidR="004E4642" w:rsidRPr="004E4642">
        <w:rPr>
          <w:noProof/>
          <w:lang w:val="cs-CZ"/>
        </w:rPr>
        <w:t xml:space="preserve"> (</w:t>
      </w:r>
      <w:r w:rsidR="004E4642" w:rsidRPr="004E4642">
        <w:rPr>
          <w:i/>
          <w:noProof/>
          <w:lang w:val="cs-CZ"/>
        </w:rPr>
        <w:t>cum exit in actum</w:t>
      </w:r>
      <w:r w:rsidR="004E4642" w:rsidRPr="004E4642">
        <w:rPr>
          <w:noProof/>
          <w:lang w:val="cs-CZ"/>
        </w:rPr>
        <w:t xml:space="preserve">). Druhý způsob </w:t>
      </w:r>
      <w:r w:rsidR="006647E3" w:rsidRPr="004E4642">
        <w:rPr>
          <w:noProof/>
          <w:lang w:val="cs-CZ"/>
        </w:rPr>
        <w:t xml:space="preserve">jako akcidentální potence </w:t>
      </w:r>
      <w:r w:rsidR="006647E3">
        <w:rPr>
          <w:noProof/>
          <w:lang w:val="cs-CZ"/>
        </w:rPr>
        <w:t xml:space="preserve">je chápán skrze supozici </w:t>
      </w:r>
      <w:r w:rsidR="006647E3">
        <w:rPr>
          <w:lang w:val="de-LU"/>
        </w:rPr>
        <w:t>(</w:t>
      </w:r>
      <w:r w:rsidR="006647E3" w:rsidRPr="005623CA">
        <w:rPr>
          <w:i/>
          <w:lang w:val="de-LU"/>
        </w:rPr>
        <w:t>non proprie dicitur</w:t>
      </w:r>
      <w:r w:rsidR="006647E3">
        <w:rPr>
          <w:lang w:val="de-LU"/>
        </w:rPr>
        <w:t>), protože potence není vzata v jejím esenciá</w:t>
      </w:r>
      <w:r w:rsidR="007E7089">
        <w:rPr>
          <w:lang w:val="de-LU"/>
        </w:rPr>
        <w:t>lním</w:t>
      </w:r>
      <w:r w:rsidR="006647E3">
        <w:rPr>
          <w:lang w:val="de-LU"/>
        </w:rPr>
        <w:t xml:space="preserve"> působení (</w:t>
      </w:r>
      <w:r w:rsidR="006647E3" w:rsidRPr="004E4642">
        <w:rPr>
          <w:i/>
          <w:noProof/>
          <w:lang w:val="cs-CZ"/>
        </w:rPr>
        <w:t>fieri tale</w:t>
      </w:r>
      <w:r w:rsidR="006647E3">
        <w:rPr>
          <w:lang w:val="de-LU"/>
        </w:rPr>
        <w:t xml:space="preserve">), ale jako esence vzatá o sobě </w:t>
      </w:r>
      <w:r w:rsidR="006647E3" w:rsidRPr="0033063D">
        <w:rPr>
          <w:lang w:val="de-LU"/>
        </w:rPr>
        <w:t>(</w:t>
      </w:r>
      <w:r w:rsidR="006647E3" w:rsidRPr="00C224F6">
        <w:rPr>
          <w:i/>
          <w:lang w:val="de-LU"/>
        </w:rPr>
        <w:t>esse tale</w:t>
      </w:r>
      <w:r w:rsidR="006647E3">
        <w:rPr>
          <w:lang w:val="de-LU"/>
        </w:rPr>
        <w:t>).</w:t>
      </w:r>
      <w:r w:rsidR="004E4642" w:rsidRPr="004E4642">
        <w:rPr>
          <w:noProof/>
          <w:lang w:val="cs-CZ"/>
        </w:rPr>
        <w:t>“</w:t>
      </w:r>
      <w:r w:rsidR="00B263E2">
        <w:rPr>
          <w:noProof/>
          <w:lang w:val="cs-CZ"/>
        </w:rPr>
        <w:t> </w:t>
      </w:r>
      <w:r w:rsidR="00272828" w:rsidRPr="00273106">
        <w:rPr>
          <w:rStyle w:val="Znakapoznpodarou"/>
          <w:noProof/>
          <w:lang w:val="cs-CZ"/>
        </w:rPr>
        <w:footnoteReference w:id="375"/>
      </w:r>
    </w:p>
    <w:p w14:paraId="06441B07" w14:textId="2CE818A2" w:rsidR="002B7B46" w:rsidRDefault="00334F4E" w:rsidP="002B7B46">
      <w:r>
        <w:t>Překlad „zradil“</w:t>
      </w:r>
      <w:r w:rsidRPr="00334F4E">
        <w:t xml:space="preserve"> originál v tom smyslu, že interpretuje toho</w:t>
      </w:r>
      <w:r>
        <w:t>to latinského sofistu maximálně možným a</w:t>
      </w:r>
      <w:r w:rsidRPr="00334F4E">
        <w:t>ristotelským způsobem. Pokud vez</w:t>
      </w:r>
      <w:r>
        <w:t>meme názor tehdejších hlavních a</w:t>
      </w:r>
      <w:r w:rsidRPr="00334F4E">
        <w:t>ristotel</w:t>
      </w:r>
      <w:r>
        <w:t>ik</w:t>
      </w:r>
      <w:r w:rsidRPr="00334F4E">
        <w:t xml:space="preserve">ů (Alvernus, Bacon, Albert), </w:t>
      </w:r>
      <w:r>
        <w:t xml:space="preserve">ti </w:t>
      </w:r>
      <w:r w:rsidRPr="00334F4E">
        <w:t xml:space="preserve">považovali Rufuse za avicennistického nominalistu, který pomocí nejednoznačných </w:t>
      </w:r>
      <w:r>
        <w:t>slov vytváří klamnou formu filos</w:t>
      </w:r>
      <w:r w:rsidRPr="00334F4E">
        <w:t xml:space="preserve">ofie. Schopnost poznání je považována za </w:t>
      </w:r>
      <w:r>
        <w:t>trvalou</w:t>
      </w:r>
      <w:r w:rsidRPr="00334F4E">
        <w:t xml:space="preserve"> dis</w:t>
      </w:r>
      <w:r w:rsidR="001A47E1">
        <w:t xml:space="preserve">pozici </w:t>
      </w:r>
      <w:r w:rsidRPr="00334F4E">
        <w:t xml:space="preserve">myšlení, která je schopna </w:t>
      </w:r>
      <w:r>
        <w:t xml:space="preserve">dělat </w:t>
      </w:r>
      <w:r w:rsidRPr="00334F4E">
        <w:t>závěry (</w:t>
      </w:r>
      <w:r w:rsidRPr="00334F4E">
        <w:rPr>
          <w:i/>
        </w:rPr>
        <w:t>potentia essentialis</w:t>
      </w:r>
      <w:r>
        <w:t>). Tato a</w:t>
      </w:r>
      <w:r w:rsidRPr="00334F4E">
        <w:t xml:space="preserve">vicennistická </w:t>
      </w:r>
      <w:r>
        <w:t>schopnost intelektu jako hypostéze schopné vytvářet</w:t>
      </w:r>
      <w:r w:rsidRPr="00334F4E">
        <w:t xml:space="preserve"> závěry (později </w:t>
      </w:r>
      <w:r w:rsidRPr="00334F4E">
        <w:rPr>
          <w:i/>
        </w:rPr>
        <w:t>res cogitans</w:t>
      </w:r>
      <w:r w:rsidR="007D78BE">
        <w:rPr>
          <w:i/>
        </w:rPr>
        <w:fldChar w:fldCharType="begin"/>
      </w:r>
      <w:r w:rsidR="007D78BE">
        <w:instrText xml:space="preserve"> XE "</w:instrText>
      </w:r>
      <w:r w:rsidR="007D78BE" w:rsidRPr="00AC350A">
        <w:rPr>
          <w:i/>
        </w:rPr>
        <w:instrText>res cogitans</w:instrText>
      </w:r>
      <w:r w:rsidR="007D78BE">
        <w:instrText xml:space="preserve">" </w:instrText>
      </w:r>
      <w:r w:rsidR="007D78BE">
        <w:rPr>
          <w:i/>
        </w:rPr>
        <w:fldChar w:fldCharType="end"/>
      </w:r>
      <w:r w:rsidRPr="00334F4E">
        <w:rPr>
          <w:i/>
        </w:rPr>
        <w:t xml:space="preserve"> </w:t>
      </w:r>
      <w:r>
        <w:t>Descarta</w:t>
      </w:r>
      <w:r w:rsidR="00FC6557">
        <w:t>) je nové</w:t>
      </w:r>
      <w:r w:rsidRPr="00334F4E">
        <w:t xml:space="preserve"> </w:t>
      </w:r>
      <w:r>
        <w:t xml:space="preserve">jsoucno </w:t>
      </w:r>
      <w:r w:rsidRPr="00334F4E">
        <w:t xml:space="preserve">třetího druhu. Tento druh </w:t>
      </w:r>
      <w:r>
        <w:t>receptivního i</w:t>
      </w:r>
      <w:r w:rsidRPr="00334F4E">
        <w:t>ntelektu přichází do</w:t>
      </w:r>
      <w:r>
        <w:t xml:space="preserve"> „</w:t>
      </w:r>
      <w:r w:rsidRPr="00334F4E">
        <w:t>ex</w:t>
      </w:r>
      <w:r>
        <w:t>sistence“ v momentu</w:t>
      </w:r>
      <w:r w:rsidRPr="00334F4E">
        <w:t>, kdy potenciálně kognitivní formy (považované za hy</w:t>
      </w:r>
      <w:r>
        <w:t xml:space="preserve">postatické </w:t>
      </w:r>
      <w:r w:rsidRPr="00334F4E">
        <w:rPr>
          <w:i/>
        </w:rPr>
        <w:t>tertium ens</w:t>
      </w:r>
      <w:r w:rsidRPr="00334F4E">
        <w:t>) aktualizují v lids</w:t>
      </w:r>
      <w:r>
        <w:t xml:space="preserve">ké mysli. Taková kvazi-substanční potence je </w:t>
      </w:r>
      <w:r w:rsidRPr="00334F4E">
        <w:t>čist</w:t>
      </w:r>
      <w:r>
        <w:t>á sofistika</w:t>
      </w:r>
      <w:r w:rsidRPr="00334F4E">
        <w:t xml:space="preserve">. Buď máme </w:t>
      </w:r>
      <w:r>
        <w:t>potenci vázanou na tělo jako substanci</w:t>
      </w:r>
      <w:r w:rsidRPr="00334F4E">
        <w:t xml:space="preserve">, nebo máme </w:t>
      </w:r>
      <w:r>
        <w:t xml:space="preserve">receptivní intelekt </w:t>
      </w:r>
      <w:r w:rsidRPr="00334F4E">
        <w:t>jako</w:t>
      </w:r>
      <w:r>
        <w:t xml:space="preserve"> nějaký druh neoplatonské či avicenno</w:t>
      </w:r>
      <w:r w:rsidR="00FC6557">
        <w:t>v</w:t>
      </w:r>
      <w:r>
        <w:t>ské „substance–formy“</w:t>
      </w:r>
      <w:r w:rsidRPr="00334F4E">
        <w:t xml:space="preserve">. Definice </w:t>
      </w:r>
      <w:r w:rsidR="00FC6557">
        <w:t xml:space="preserve">dvojí formy potence </w:t>
      </w:r>
      <w:r w:rsidRPr="00334F4E">
        <w:t xml:space="preserve">je </w:t>
      </w:r>
      <w:r w:rsidR="00FC6557">
        <w:t xml:space="preserve">prvním známým </w:t>
      </w:r>
      <w:r w:rsidRPr="00334F4E">
        <w:t xml:space="preserve">příkladem hypostatizovaného </w:t>
      </w:r>
      <w:r w:rsidRPr="00FC6557">
        <w:rPr>
          <w:i/>
        </w:rPr>
        <w:t>intellectus possibilis</w:t>
      </w:r>
      <w:r w:rsidRPr="00334F4E">
        <w:t xml:space="preserve">, který byl </w:t>
      </w:r>
      <w:r w:rsidR="00FC6557">
        <w:t>vytvořen ve škole Porretá</w:t>
      </w:r>
      <w:r w:rsidRPr="00334F4E">
        <w:t>nů v Oxfordu.</w:t>
      </w:r>
      <w:r w:rsidR="002B7B46">
        <w:t xml:space="preserve"> Intelektu jako potence vstupuje do aktualizace prostřednictvím aktu poznání, který přeměňuje trvalou individuální sílu intelektu na kontingentně dané skutečné poznání (</w:t>
      </w:r>
      <w:r w:rsidR="002B7B46" w:rsidRPr="002B7B46">
        <w:rPr>
          <w:i/>
        </w:rPr>
        <w:t>cum exit in actum</w:t>
      </w:r>
      <w:r w:rsidR="002B7B46">
        <w:t xml:space="preserve">). Možný intelekt druhého averroismu vytvořil hypostatickou substanci, která sestupuje do reálného světa, aby se znovuzrodila jako aktualizovaný „možný“ intelekt. Tato parodie intelektu jako </w:t>
      </w:r>
      <w:r w:rsidR="002B7B46" w:rsidRPr="002B7B46">
        <w:rPr>
          <w:i/>
        </w:rPr>
        <w:t xml:space="preserve">tertium </w:t>
      </w:r>
      <w:r w:rsidR="002B7B46" w:rsidRPr="002B7B46">
        <w:rPr>
          <w:i/>
        </w:rPr>
        <w:lastRenderedPageBreak/>
        <w:t>genus</w:t>
      </w:r>
      <w:r w:rsidR="002B7B46">
        <w:t xml:space="preserve"> v CMDA je naprostým nesmyslem, protože </w:t>
      </w:r>
      <w:r w:rsidR="002B7B46" w:rsidRPr="002B7B46">
        <w:rPr>
          <w:i/>
        </w:rPr>
        <w:t>intellectus possibilis</w:t>
      </w:r>
      <w:r w:rsidR="002B7B46">
        <w:t xml:space="preserve"> se stal nemateriální hypostatickou „substancí–formou“. Jedná se o první známý příklad, který změnil Averroese na jeho averroistické simulákrum. Rufus dělá monumentální </w:t>
      </w:r>
      <w:r w:rsidR="00D36847">
        <w:t xml:space="preserve">mix </w:t>
      </w:r>
      <w:r w:rsidR="00B85BF3">
        <w:t xml:space="preserve">intektu složeného ze dvou hypostázovaných </w:t>
      </w:r>
      <w:r w:rsidR="00B85BF3" w:rsidRPr="00B85BF3">
        <w:rPr>
          <w:i/>
        </w:rPr>
        <w:t>tertium ens</w:t>
      </w:r>
      <w:r w:rsidR="00B85BF3">
        <w:t>, které dostaly charakter moderní substance.</w:t>
      </w:r>
    </w:p>
    <w:p w14:paraId="7DB010B3" w14:textId="132FBE1C" w:rsidR="00E5709D" w:rsidRDefault="00E5709D" w:rsidP="00E5709D">
      <w:pPr>
        <w:numPr>
          <w:ilvl w:val="0"/>
          <w:numId w:val="11"/>
        </w:numPr>
      </w:pPr>
      <w:r>
        <w:t>Existuje simulá</w:t>
      </w:r>
      <w:r w:rsidRPr="00E5709D">
        <w:t xml:space="preserve">krum intelektu jako kvazi-tělesné substance, která je vytvářena jako </w:t>
      </w:r>
      <w:r w:rsidRPr="00E5709D">
        <w:rPr>
          <w:i/>
        </w:rPr>
        <w:t>potentia substantialis</w:t>
      </w:r>
      <w:r w:rsidRPr="00E5709D">
        <w:t>. Z aristotelského hlediska je to</w:t>
      </w:r>
      <w:r>
        <w:t xml:space="preserve">to spojení naprostý </w:t>
      </w:r>
      <w:r w:rsidRPr="00E5709D">
        <w:t xml:space="preserve">nesmysl. Tento intelekt jako substanciální potence simuluje </w:t>
      </w:r>
      <w:r w:rsidRPr="00E5709D">
        <w:rPr>
          <w:i/>
        </w:rPr>
        <w:t>actus essendi</w:t>
      </w:r>
      <w:r w:rsidRPr="00E5709D">
        <w:t xml:space="preserve"> daný </w:t>
      </w:r>
      <w:r w:rsidRPr="00E5709D">
        <w:rPr>
          <w:i/>
        </w:rPr>
        <w:t>anima intellectiva</w:t>
      </w:r>
      <w:r w:rsidRPr="00E5709D">
        <w:t xml:space="preserve"> v člověku (</w:t>
      </w:r>
      <w:r w:rsidRPr="00E5709D">
        <w:rPr>
          <w:i/>
        </w:rPr>
        <w:t>potentia proprie dicitur fieri cum exit in actum</w:t>
      </w:r>
      <w:r w:rsidRPr="00E5709D">
        <w:t xml:space="preserve">). Není výslovně řečeno, že k přechodu poznání z </w:t>
      </w:r>
      <w:r w:rsidR="00C242EC">
        <w:t>„</w:t>
      </w:r>
      <w:r w:rsidRPr="00E5709D">
        <w:rPr>
          <w:i/>
        </w:rPr>
        <w:t>potentia</w:t>
      </w:r>
      <w:r w:rsidR="00C242EC">
        <w:t>“</w:t>
      </w:r>
      <w:r w:rsidRPr="00E5709D">
        <w:t xml:space="preserve"> do </w:t>
      </w:r>
      <w:r w:rsidR="00C242EC">
        <w:t>„</w:t>
      </w:r>
      <w:r w:rsidRPr="00E5709D">
        <w:rPr>
          <w:i/>
        </w:rPr>
        <w:t>actus</w:t>
      </w:r>
      <w:r w:rsidR="00C242EC">
        <w:t>“</w:t>
      </w:r>
      <w:r w:rsidRPr="00E5709D">
        <w:t xml:space="preserve"> dochází v lidském těle. Tato substanciální forma intelektu </w:t>
      </w:r>
      <w:r>
        <w:t>představuje modernistické simulá</w:t>
      </w:r>
      <w:r w:rsidRPr="00E5709D">
        <w:t xml:space="preserve">krum intelektu jako </w:t>
      </w:r>
      <w:r w:rsidRPr="00E5709D">
        <w:rPr>
          <w:i/>
        </w:rPr>
        <w:t>tertium genus</w:t>
      </w:r>
      <w:r w:rsidRPr="00E5709D">
        <w:t xml:space="preserve"> po</w:t>
      </w:r>
      <w:r>
        <w:t>dle</w:t>
      </w:r>
      <w:r w:rsidRPr="00E5709D">
        <w:t xml:space="preserve"> CMDA (</w:t>
      </w:r>
      <w:r w:rsidRPr="00E5709D">
        <w:rPr>
          <w:i/>
        </w:rPr>
        <w:t>fieri tale</w:t>
      </w:r>
      <w:r w:rsidRPr="00E5709D">
        <w:t>). V</w:t>
      </w:r>
      <w:r>
        <w:t>e skutečnosti se jedná o hypostáz</w:t>
      </w:r>
      <w:r w:rsidRPr="00E5709D">
        <w:t xml:space="preserve">ovaný </w:t>
      </w:r>
      <w:r w:rsidRPr="00E5709D">
        <w:rPr>
          <w:i/>
        </w:rPr>
        <w:t>intellectus materialis</w:t>
      </w:r>
      <w:r w:rsidRPr="00E5709D">
        <w:t xml:space="preserve"> Avicenny.</w:t>
      </w:r>
    </w:p>
    <w:p w14:paraId="63FC8683" w14:textId="2E2E3220" w:rsidR="002B7B46" w:rsidRDefault="002B7B46" w:rsidP="0004407E">
      <w:pPr>
        <w:numPr>
          <w:ilvl w:val="0"/>
          <w:numId w:val="11"/>
        </w:numPr>
      </w:pPr>
      <w:r>
        <w:t>Rufus</w:t>
      </w:r>
      <w:r w:rsidR="00F63B5F">
        <w:t xml:space="preserve"> vytvořil </w:t>
      </w:r>
      <w:r w:rsidR="00E0145B">
        <w:t xml:space="preserve">další </w:t>
      </w:r>
      <w:r w:rsidR="00F63B5F">
        <w:t xml:space="preserve">hypostázovanou </w:t>
      </w:r>
      <w:r>
        <w:t xml:space="preserve">verzi tohoto </w:t>
      </w:r>
      <w:r w:rsidR="00F63B5F">
        <w:t xml:space="preserve">simulákra </w:t>
      </w:r>
      <w:r>
        <w:t xml:space="preserve">jako </w:t>
      </w:r>
      <w:r w:rsidRPr="00F63B5F">
        <w:rPr>
          <w:i/>
        </w:rPr>
        <w:t xml:space="preserve">potentia </w:t>
      </w:r>
      <w:r w:rsidR="00E0145B">
        <w:rPr>
          <w:i/>
        </w:rPr>
        <w:t>accidentalis</w:t>
      </w:r>
      <w:r w:rsidR="00DD57B7">
        <w:t xml:space="preserve"> danou </w:t>
      </w:r>
      <w:r w:rsidR="008F188F">
        <w:t>ve formě porretánské esence</w:t>
      </w:r>
      <w:r>
        <w:t>. Tat</w:t>
      </w:r>
      <w:r w:rsidR="00CD5929">
        <w:t xml:space="preserve">o esence zastoupila aristotelskou druhou substanci a působí </w:t>
      </w:r>
      <w:r w:rsidR="0004407E">
        <w:t xml:space="preserve">v člověku </w:t>
      </w:r>
      <w:r w:rsidR="00195E40">
        <w:t xml:space="preserve">skrze objektivně definovanou kauzalitu </w:t>
      </w:r>
      <w:r w:rsidR="00CD5929">
        <w:t>jako reálná první substance</w:t>
      </w:r>
      <w:r w:rsidR="00195E40">
        <w:t xml:space="preserve">. Rufusova verze </w:t>
      </w:r>
      <w:r w:rsidR="00195E40" w:rsidRPr="00CD5929">
        <w:rPr>
          <w:i/>
        </w:rPr>
        <w:t>Oxfordian Fallacy</w:t>
      </w:r>
      <w:r w:rsidR="00195E40">
        <w:t xml:space="preserve"> vytvořila druhý hypostázovaný intelekt </w:t>
      </w:r>
      <w:r w:rsidR="0004407E">
        <w:t>jako akcidentáln</w:t>
      </w:r>
      <w:r w:rsidR="00195E40">
        <w:t xml:space="preserve">í potenci, která </w:t>
      </w:r>
      <w:r w:rsidR="0004407E">
        <w:t xml:space="preserve">se tváří </w:t>
      </w:r>
      <w:r w:rsidR="00D72505">
        <w:t>jako abstrahovaný i</w:t>
      </w:r>
      <w:r>
        <w:t xml:space="preserve">ntelekt </w:t>
      </w:r>
      <w:r w:rsidR="00D72505">
        <w:t xml:space="preserve">v modelu </w:t>
      </w:r>
      <w:r w:rsidR="00D72505" w:rsidRPr="0004407E">
        <w:rPr>
          <w:i/>
        </w:rPr>
        <w:t>qua</w:t>
      </w:r>
      <w:r w:rsidRPr="0004407E">
        <w:rPr>
          <w:i/>
        </w:rPr>
        <w:t>rtum genus</w:t>
      </w:r>
      <w:r w:rsidR="00D72505">
        <w:t xml:space="preserve"> podle </w:t>
      </w:r>
      <w:r>
        <w:t xml:space="preserve">CMDA </w:t>
      </w:r>
      <w:r w:rsidR="0004407E">
        <w:t>(</w:t>
      </w:r>
      <w:r w:rsidR="0004407E" w:rsidRPr="0004407E">
        <w:rPr>
          <w:i/>
        </w:rPr>
        <w:t>esse tale</w:t>
      </w:r>
      <w:r w:rsidR="0004407E">
        <w:t>).</w:t>
      </w:r>
    </w:p>
    <w:p w14:paraId="16D1975B" w14:textId="561ECFAB" w:rsidR="00EE15EF" w:rsidRPr="000D4734" w:rsidRDefault="00D2720B" w:rsidP="00E8175F">
      <w:pPr>
        <w:rPr>
          <w:iCs/>
        </w:rPr>
      </w:pPr>
      <w:r>
        <w:t>Není divu, že a</w:t>
      </w:r>
      <w:r w:rsidR="002B7B46">
        <w:t>ristoteli</w:t>
      </w:r>
      <w:r>
        <w:t xml:space="preserve">kové </w:t>
      </w:r>
      <w:r w:rsidR="002E7B07">
        <w:t xml:space="preserve">v Paříži </w:t>
      </w:r>
      <w:r w:rsidR="002B7B46">
        <w:t>odmítli diskutovat o nek</w:t>
      </w:r>
      <w:r>
        <w:t>onečných sofistických odrazech</w:t>
      </w:r>
      <w:r w:rsidR="00663300">
        <w:t xml:space="preserve"> podobného typu</w:t>
      </w:r>
      <w:r>
        <w:t xml:space="preserve">. </w:t>
      </w:r>
      <w:r w:rsidR="008C07EC">
        <w:t xml:space="preserve">Rufus vytvořil intelekt jako dvě </w:t>
      </w:r>
      <w:r w:rsidR="001573BB">
        <w:t xml:space="preserve">hypostáze a žádná z nich nemá </w:t>
      </w:r>
      <w:r w:rsidR="00661ABA">
        <w:t>nic společného s</w:t>
      </w:r>
      <w:r w:rsidR="001573BB">
        <w:t> aristot</w:t>
      </w:r>
      <w:r w:rsidR="00661ABA">
        <w:t>elismem</w:t>
      </w:r>
      <w:r w:rsidR="001573BB">
        <w:t xml:space="preserve"> </w:t>
      </w:r>
      <w:r w:rsidR="00661ABA">
        <w:t>podaném</w:t>
      </w:r>
      <w:r w:rsidR="001573BB">
        <w:t xml:space="preserve"> v CMDA. </w:t>
      </w:r>
      <w:r w:rsidR="08044C26">
        <w:t xml:space="preserve">Aristotelova nauka ohledně duše jako </w:t>
      </w:r>
      <w:r w:rsidR="08044C26" w:rsidRPr="000768D2">
        <w:rPr>
          <w:i/>
        </w:rPr>
        <w:t>tabula rasa</w:t>
      </w:r>
      <w:r w:rsidR="08044C26">
        <w:t xml:space="preserve"> je spojena s metafyzikou Avicenny a průběh </w:t>
      </w:r>
      <w:r w:rsidR="08044C26" w:rsidRPr="00273106">
        <w:t>poznání je rozdělen na dvě části.</w:t>
      </w:r>
      <w:r w:rsidR="08044C26">
        <w:t xml:space="preserve"> Po etablování poznání v kategoriálním modu </w:t>
      </w:r>
      <w:r w:rsidR="08044C26" w:rsidRPr="00996A6F">
        <w:rPr>
          <w:i/>
        </w:rPr>
        <w:t>per prius</w:t>
      </w:r>
      <w:r w:rsidR="08044C26">
        <w:rPr>
          <w:i/>
        </w:rPr>
        <w:fldChar w:fldCharType="begin"/>
      </w:r>
      <w:r w:rsidR="08044C26">
        <w:instrText xml:space="preserve"> XE "predikace:</w:instrText>
      </w:r>
      <w:r w:rsidR="08044C26" w:rsidRPr="00FC5CB7">
        <w:rPr>
          <w:i/>
        </w:rPr>
        <w:instrText>per prius</w:instrText>
      </w:r>
      <w:r w:rsidR="08044C26">
        <w:instrText xml:space="preserve">" </w:instrText>
      </w:r>
      <w:r w:rsidR="08044C26">
        <w:rPr>
          <w:i/>
        </w:rPr>
        <w:fldChar w:fldCharType="end"/>
      </w:r>
      <w:r w:rsidR="08044C26">
        <w:t xml:space="preserve"> podle hypostázovaného intelektu Avicenny následuje aristotelské vysvětlení poznání. </w:t>
      </w:r>
      <w:r w:rsidR="08044C26" w:rsidRPr="00273106">
        <w:t xml:space="preserve">Akcidentální potence intelektu </w:t>
      </w:r>
      <w:r w:rsidR="08044C26">
        <w:t xml:space="preserve">skrze reálné poznání vstupuje do oblasti aktualizace, která </w:t>
      </w:r>
      <w:r w:rsidR="08044C26" w:rsidRPr="00273106">
        <w:t xml:space="preserve">přeměňuje </w:t>
      </w:r>
      <w:r w:rsidR="08044C26">
        <w:t xml:space="preserve">trvalou individuální </w:t>
      </w:r>
      <w:r w:rsidR="08044C26" w:rsidRPr="00273106">
        <w:t xml:space="preserve">potenci intelektu na </w:t>
      </w:r>
      <w:r w:rsidR="08044C26">
        <w:t xml:space="preserve">kontingentní </w:t>
      </w:r>
      <w:r w:rsidR="08044C26" w:rsidRPr="00273106">
        <w:t>aktuální poznatek (</w:t>
      </w:r>
      <w:r w:rsidR="08044C26" w:rsidRPr="00273106">
        <w:rPr>
          <w:i/>
        </w:rPr>
        <w:t>potentia</w:t>
      </w:r>
      <w:r w:rsidR="08044C26">
        <w:rPr>
          <w:i/>
        </w:rPr>
        <w:t xml:space="preserve"> </w:t>
      </w:r>
      <w:r w:rsidR="08044C26" w:rsidRPr="00273106">
        <w:rPr>
          <w:i/>
        </w:rPr>
        <w:t>accidentalis</w:t>
      </w:r>
      <w:r w:rsidR="08044C26">
        <w:rPr>
          <w:i/>
        </w:rPr>
        <w:fldChar w:fldCharType="begin"/>
      </w:r>
      <w:r w:rsidR="08044C26">
        <w:instrText xml:space="preserve"> XE "</w:instrText>
      </w:r>
      <w:r w:rsidR="08044C26" w:rsidRPr="001E6440">
        <w:rPr>
          <w:i/>
        </w:rPr>
        <w:instrText xml:space="preserve">potentia </w:instrText>
      </w:r>
      <w:r w:rsidR="08044C26">
        <w:rPr>
          <w:i/>
        </w:rPr>
        <w:instrText>accidentalis</w:instrText>
      </w:r>
      <w:r w:rsidR="08044C26">
        <w:instrText xml:space="preserve">" </w:instrText>
      </w:r>
      <w:r w:rsidR="08044C26">
        <w:rPr>
          <w:i/>
        </w:rPr>
        <w:fldChar w:fldCharType="end"/>
      </w:r>
      <w:r w:rsidR="08044C26" w:rsidRPr="00273106">
        <w:t xml:space="preserve">). </w:t>
      </w:r>
      <w:r w:rsidR="08044C26">
        <w:t xml:space="preserve">Tím je poznání definováno podle porretánského výkladu </w:t>
      </w:r>
      <w:r w:rsidR="08044C26" w:rsidRPr="00996A6F">
        <w:rPr>
          <w:i/>
        </w:rPr>
        <w:t>De anima</w:t>
      </w:r>
      <w:r w:rsidR="08044C26" w:rsidRPr="00C439A7">
        <w:t xml:space="preserve"> zavedeného školu </w:t>
      </w:r>
      <w:r w:rsidR="08044C26" w:rsidRPr="00C439A7">
        <w:rPr>
          <w:i/>
        </w:rPr>
        <w:t>Modernorum</w:t>
      </w:r>
      <w:r w:rsidR="08044C26">
        <w:rPr>
          <w:i/>
        </w:rPr>
        <w:t xml:space="preserve"> </w:t>
      </w:r>
      <w:r w:rsidR="08044C26" w:rsidRPr="00C439A7">
        <w:t>na Oxfordu</w:t>
      </w:r>
      <w:r w:rsidR="08191DD3">
        <w:t xml:space="preserve"> (kap. 3</w:t>
      </w:r>
      <w:r w:rsidR="08044C26">
        <w:t>.2)</w:t>
      </w:r>
      <w:r w:rsidR="08044C26" w:rsidRPr="00C439A7">
        <w:t>.</w:t>
      </w:r>
      <w:r w:rsidR="08044C26">
        <w:t xml:space="preserve"> Aktualizace </w:t>
      </w:r>
      <w:r w:rsidR="003138FA">
        <w:t>intelektu probíhá kontingentním způsobem, protože poznání je akcident, který je zvnějšku přidaný k již existujícímu „intelektu–esenci“. Poznání v</w:t>
      </w:r>
      <w:r w:rsidR="08044C26" w:rsidRPr="00273106">
        <w:t>nější věc</w:t>
      </w:r>
      <w:r w:rsidR="003138FA">
        <w:t>i</w:t>
      </w:r>
      <w:r w:rsidR="08044C26" w:rsidRPr="00273106">
        <w:t xml:space="preserve"> </w:t>
      </w:r>
      <w:r w:rsidR="003138FA">
        <w:t xml:space="preserve">sekundárně </w:t>
      </w:r>
      <w:r w:rsidR="08044C26" w:rsidRPr="00273106">
        <w:t>aktuali</w:t>
      </w:r>
      <w:r w:rsidR="08044C26">
        <w:t xml:space="preserve">zuje </w:t>
      </w:r>
      <w:r w:rsidR="003138FA">
        <w:t xml:space="preserve">již daný intelekt, který „existuje“ ve formě hypostázované potence </w:t>
      </w:r>
      <w:r w:rsidR="003138FA" w:rsidRPr="00273106">
        <w:t>(</w:t>
      </w:r>
      <w:r w:rsidR="003138FA" w:rsidRPr="009B040C">
        <w:rPr>
          <w:i/>
          <w:lang w:eastAsia="en-US"/>
        </w:rPr>
        <w:t>fieri tale</w:t>
      </w:r>
      <w:r w:rsidR="003138FA">
        <w:rPr>
          <w:i/>
          <w:lang w:eastAsia="en-US"/>
        </w:rPr>
        <w:t xml:space="preserve">, </w:t>
      </w:r>
      <w:r w:rsidR="003138FA" w:rsidRPr="00273106">
        <w:rPr>
          <w:i/>
        </w:rPr>
        <w:t>esse tale</w:t>
      </w:r>
      <w:r w:rsidR="003138FA" w:rsidRPr="00273106">
        <w:t>)</w:t>
      </w:r>
      <w:r w:rsidR="003138FA">
        <w:t xml:space="preserve">. </w:t>
      </w:r>
      <w:r w:rsidR="08044C26">
        <w:t>Pr</w:t>
      </w:r>
      <w:r w:rsidR="08416930">
        <w:t xml:space="preserve">ůběh </w:t>
      </w:r>
      <w:r w:rsidR="08416930">
        <w:lastRenderedPageBreak/>
        <w:t xml:space="preserve">poznání začíná </w:t>
      </w:r>
      <w:r w:rsidR="08044C26">
        <w:t>od porretánské hypostáze dané jako intelektuální substance duše (</w:t>
      </w:r>
      <w:r w:rsidR="08044C26">
        <w:rPr>
          <w:i/>
        </w:rPr>
        <w:t>potentia substantia</w:t>
      </w:r>
      <w:r w:rsidR="08044C26" w:rsidRPr="00273106">
        <w:rPr>
          <w:i/>
        </w:rPr>
        <w:t>lis</w:t>
      </w:r>
      <w:r w:rsidR="08044C26">
        <w:rPr>
          <w:i/>
        </w:rPr>
        <w:fldChar w:fldCharType="begin"/>
      </w:r>
      <w:r w:rsidR="08044C26">
        <w:instrText xml:space="preserve"> XE "</w:instrText>
      </w:r>
      <w:r w:rsidR="08044C26" w:rsidRPr="00263A8E">
        <w:rPr>
          <w:i/>
        </w:rPr>
        <w:instrText>potentia substantialis</w:instrText>
      </w:r>
      <w:r w:rsidR="08044C26">
        <w:instrText xml:space="preserve">" </w:instrText>
      </w:r>
      <w:r w:rsidR="08044C26">
        <w:rPr>
          <w:i/>
        </w:rPr>
        <w:fldChar w:fldCharType="end"/>
      </w:r>
      <w:r w:rsidR="08044C26">
        <w:t>) a jde směrem ke kontigentním a zatím nerealizovaným potencím této atomární substance třetího druhu (</w:t>
      </w:r>
      <w:r w:rsidR="08044C26" w:rsidRPr="00273106">
        <w:rPr>
          <w:i/>
        </w:rPr>
        <w:t>potentia accidentalis</w:t>
      </w:r>
      <w:r w:rsidR="08044C26">
        <w:t xml:space="preserve">). Tyto sekundární potence jsou vzhledem k intelektuální hypostázi dané v duši predikovány v modu </w:t>
      </w:r>
      <w:r w:rsidR="08044C26" w:rsidRPr="00F33915">
        <w:rPr>
          <w:i/>
        </w:rPr>
        <w:t>per posterius</w:t>
      </w:r>
      <w:r w:rsidR="08044C26">
        <w:t xml:space="preserve">. </w:t>
      </w:r>
      <w:r w:rsidR="007B7809">
        <w:t>R</w:t>
      </w:r>
      <w:r w:rsidR="007B7809" w:rsidRPr="00273106">
        <w:t>eálné poznání je determinované smyslově</w:t>
      </w:r>
      <w:r w:rsidR="08516EDC">
        <w:t xml:space="preserve"> a tím </w:t>
      </w:r>
      <w:r w:rsidR="007B7809">
        <w:t xml:space="preserve">pouze </w:t>
      </w:r>
      <w:r w:rsidR="007B7809" w:rsidRPr="00273106">
        <w:t xml:space="preserve">akcidentálně. </w:t>
      </w:r>
      <w:r w:rsidR="00A54061">
        <w:t>Hypostázovaný i</w:t>
      </w:r>
      <w:r w:rsidR="007B7809" w:rsidRPr="00273106">
        <w:t xml:space="preserve">ntelekt v člověku existuje jako </w:t>
      </w:r>
      <w:r w:rsidR="000768D2">
        <w:rPr>
          <w:i/>
        </w:rPr>
        <w:t>tabula nuda</w:t>
      </w:r>
      <w:r w:rsidR="007B7809">
        <w:rPr>
          <w:i/>
        </w:rPr>
        <w:fldChar w:fldCharType="begin"/>
      </w:r>
      <w:r w:rsidR="007B7809">
        <w:instrText xml:space="preserve"> XE "</w:instrText>
      </w:r>
      <w:r w:rsidR="007B7809" w:rsidRPr="00CE6D17">
        <w:rPr>
          <w:i/>
        </w:rPr>
        <w:instrText>tabula rasa</w:instrText>
      </w:r>
      <w:r w:rsidR="007B7809">
        <w:instrText xml:space="preserve">" </w:instrText>
      </w:r>
      <w:r w:rsidR="007B7809">
        <w:rPr>
          <w:i/>
        </w:rPr>
        <w:fldChar w:fldCharType="end"/>
      </w:r>
      <w:r w:rsidR="007B7809">
        <w:t>, kterou</w:t>
      </w:r>
      <w:r w:rsidR="007B7809" w:rsidRPr="00273106">
        <w:t xml:space="preserve"> je třeba aktualizovat buď sebereflexí, nebo externím poznáním.</w:t>
      </w:r>
      <w:r w:rsidR="007B7809" w:rsidRPr="00E800DE">
        <w:t xml:space="preserve"> </w:t>
      </w:r>
      <w:r w:rsidR="007B7809">
        <w:t xml:space="preserve">Totéž tvrdí i Rufusův pozdější komentář k </w:t>
      </w:r>
      <w:r w:rsidR="007B7809" w:rsidRPr="007B7809">
        <w:rPr>
          <w:i/>
        </w:rPr>
        <w:t>Metafyzice</w:t>
      </w:r>
      <w:r w:rsidR="007B7809">
        <w:t xml:space="preserve"> hned v úvodu.</w:t>
      </w:r>
      <w:r w:rsidR="007B7809" w:rsidRPr="00273106">
        <w:rPr>
          <w:rStyle w:val="Znakapoznpodarou"/>
        </w:rPr>
        <w:footnoteReference w:id="376"/>
      </w:r>
      <w:r w:rsidR="007B7809" w:rsidRPr="00273106">
        <w:t xml:space="preserve"> </w:t>
      </w:r>
      <w:r w:rsidR="007B7809">
        <w:t xml:space="preserve">Sofistika ohledně duše jako </w:t>
      </w:r>
      <w:r w:rsidR="000768D2">
        <w:rPr>
          <w:i/>
        </w:rPr>
        <w:t>tabula nuda</w:t>
      </w:r>
      <w:r w:rsidR="007B7809">
        <w:t xml:space="preserve"> je zřejmá, protože</w:t>
      </w:r>
      <w:r w:rsidR="08416930">
        <w:t xml:space="preserve"> intelekt je v duši </w:t>
      </w:r>
      <w:r w:rsidR="000768D2">
        <w:t>hypostázov</w:t>
      </w:r>
      <w:r w:rsidR="007B7809">
        <w:t>án ve formě porretánské substance</w:t>
      </w:r>
      <w:r w:rsidR="08D3243E">
        <w:t xml:space="preserve"> nebo podle Avicennova</w:t>
      </w:r>
      <w:r w:rsidR="08D3243E" w:rsidRPr="00273106">
        <w:t xml:space="preserve"> </w:t>
      </w:r>
      <w:r w:rsidR="08D3243E" w:rsidRPr="00273106">
        <w:rPr>
          <w:i/>
        </w:rPr>
        <w:t>intellectus materialis</w:t>
      </w:r>
      <w:r w:rsidR="08D3243E">
        <w:rPr>
          <w:i/>
        </w:rPr>
        <w:fldChar w:fldCharType="begin"/>
      </w:r>
      <w:r w:rsidR="08D3243E">
        <w:instrText xml:space="preserve"> XE "</w:instrText>
      </w:r>
      <w:r w:rsidR="08D3243E" w:rsidRPr="00BE489A">
        <w:rPr>
          <w:i/>
        </w:rPr>
        <w:instrText>intellectus materialis:</w:instrText>
      </w:r>
      <w:r w:rsidR="0813449D" w:rsidRPr="0813449D">
        <w:instrText>Rufus</w:instrText>
      </w:r>
      <w:r w:rsidR="08D3243E">
        <w:instrText xml:space="preserve">" </w:instrText>
      </w:r>
      <w:r w:rsidR="08D3243E">
        <w:rPr>
          <w:i/>
        </w:rPr>
        <w:fldChar w:fldCharType="end"/>
      </w:r>
      <w:r w:rsidR="08D3243E" w:rsidRPr="00273106">
        <w:t xml:space="preserve">, který </w:t>
      </w:r>
      <w:r w:rsidR="08D3243E">
        <w:t xml:space="preserve">habituálně </w:t>
      </w:r>
      <w:r w:rsidR="08D3243E" w:rsidRPr="00273106">
        <w:t>existuje i v dítěti</w:t>
      </w:r>
      <w:r w:rsidR="08D3243E">
        <w:t>, které zatím nemá in</w:t>
      </w:r>
      <w:r w:rsidR="08D3243E" w:rsidRPr="00273106">
        <w:t>telektuáln</w:t>
      </w:r>
      <w:r w:rsidR="08D3243E">
        <w:t>í</w:t>
      </w:r>
      <w:r w:rsidR="08D3243E" w:rsidRPr="00273106">
        <w:t xml:space="preserve"> poznání (</w:t>
      </w:r>
      <w:r w:rsidR="08920E92">
        <w:t xml:space="preserve">OBJ I, </w:t>
      </w:r>
      <w:r w:rsidR="08D3243E" w:rsidRPr="00273106">
        <w:t>kap. 2.3.1).</w:t>
      </w:r>
      <w:r w:rsidR="007B7809">
        <w:fldChar w:fldCharType="begin"/>
      </w:r>
      <w:r w:rsidR="007B7809">
        <w:instrText xml:space="preserve"> XE "</w:instrText>
      </w:r>
      <w:r w:rsidR="007B7809" w:rsidRPr="00DE2A32">
        <w:instrText>substance</w:instrText>
      </w:r>
      <w:r w:rsidR="007B7809">
        <w:instrText xml:space="preserve">:Rufus" </w:instrText>
      </w:r>
      <w:r w:rsidR="007B7809">
        <w:fldChar w:fldCharType="end"/>
      </w:r>
      <w:r w:rsidR="08D3243E">
        <w:t xml:space="preserve"> </w:t>
      </w:r>
      <w:r w:rsidR="0024534F" w:rsidRPr="0024534F">
        <w:t>Intelektuální č</w:t>
      </w:r>
      <w:r w:rsidR="00CD15D3">
        <w:t>ást duše se proměnila v esenci, která získala s</w:t>
      </w:r>
      <w:r w:rsidR="00CD15D3" w:rsidRPr="00CD15D3">
        <w:t xml:space="preserve">mysl </w:t>
      </w:r>
      <w:r w:rsidR="00CD15D3">
        <w:t xml:space="preserve">skrze impozici danou </w:t>
      </w:r>
      <w:r w:rsidR="00CD15D3" w:rsidRPr="00CD15D3">
        <w:rPr>
          <w:i/>
        </w:rPr>
        <w:t>ex nihilo</w:t>
      </w:r>
      <w:r w:rsidR="00CD15D3" w:rsidRPr="00CD15D3">
        <w:t>. V člověku není žádná substance v podobě intelektu, protože lid</w:t>
      </w:r>
      <w:r w:rsidR="00CD15D3">
        <w:t xml:space="preserve">ská bytost je jediná substance. </w:t>
      </w:r>
      <w:r w:rsidR="00DD1912">
        <w:rPr>
          <w:lang w:eastAsia="en-US"/>
        </w:rPr>
        <w:t>Ta</w:t>
      </w:r>
      <w:r w:rsidR="00C401A7">
        <w:rPr>
          <w:lang w:eastAsia="en-US"/>
        </w:rPr>
        <w:t xml:space="preserve">kto hypostázovaný intelekt jako esence </w:t>
      </w:r>
      <w:r w:rsidR="00DD1912">
        <w:rPr>
          <w:lang w:eastAsia="en-US"/>
        </w:rPr>
        <w:t>dostal kauzální účinnost ve schématu</w:t>
      </w:r>
      <w:r w:rsidR="00C401A7">
        <w:rPr>
          <w:lang w:eastAsia="en-US"/>
        </w:rPr>
        <w:t xml:space="preserve"> </w:t>
      </w:r>
      <w:r w:rsidR="00C401A7" w:rsidRPr="00A52F87">
        <w:rPr>
          <w:i/>
          <w:lang w:eastAsia="en-US"/>
        </w:rPr>
        <w:t>Oxfordian Fallacy</w:t>
      </w:r>
      <w:r w:rsidR="00C401A7">
        <w:rPr>
          <w:lang w:eastAsia="en-US"/>
        </w:rPr>
        <w:t xml:space="preserve">. </w:t>
      </w:r>
      <w:r w:rsidR="00B217E8">
        <w:rPr>
          <w:lang w:eastAsia="en-US"/>
        </w:rPr>
        <w:t xml:space="preserve">Tento </w:t>
      </w:r>
      <w:r w:rsidR="00B217E8">
        <w:t xml:space="preserve">„intelekt–esence“ </w:t>
      </w:r>
      <w:r w:rsidR="00C401A7">
        <w:rPr>
          <w:lang w:eastAsia="en-US"/>
        </w:rPr>
        <w:t>byl</w:t>
      </w:r>
      <w:r w:rsidR="00DD1912">
        <w:rPr>
          <w:lang w:eastAsia="en-US"/>
        </w:rPr>
        <w:t xml:space="preserve"> p</w:t>
      </w:r>
      <w:r w:rsidR="00B217E8">
        <w:rPr>
          <w:lang w:eastAsia="en-US"/>
        </w:rPr>
        <w:t>redikován</w:t>
      </w:r>
      <w:r w:rsidR="00DD1912">
        <w:rPr>
          <w:lang w:eastAsia="en-US"/>
        </w:rPr>
        <w:t xml:space="preserve"> </w:t>
      </w:r>
      <w:r w:rsidR="00C401A7">
        <w:rPr>
          <w:lang w:eastAsia="en-US"/>
        </w:rPr>
        <w:t xml:space="preserve">jako druhá substance </w:t>
      </w:r>
      <w:r w:rsidR="00B217E8">
        <w:rPr>
          <w:lang w:eastAsia="en-US"/>
        </w:rPr>
        <w:t>podle moderního</w:t>
      </w:r>
      <w:r w:rsidR="089104AC">
        <w:rPr>
          <w:lang w:eastAsia="en-US"/>
        </w:rPr>
        <w:t xml:space="preserve"> výkladu </w:t>
      </w:r>
      <w:r w:rsidR="089104AC" w:rsidRPr="089104AC">
        <w:rPr>
          <w:i/>
          <w:lang w:eastAsia="en-US"/>
        </w:rPr>
        <w:t>Kategorií</w:t>
      </w:r>
      <w:r w:rsidR="089104AC">
        <w:rPr>
          <w:lang w:eastAsia="en-US"/>
        </w:rPr>
        <w:t xml:space="preserve"> vzniklém v téže době </w:t>
      </w:r>
      <w:r w:rsidR="00691441" w:rsidRPr="00273106">
        <w:t xml:space="preserve">(kap. </w:t>
      </w:r>
      <w:r w:rsidR="08920E92">
        <w:t>3</w:t>
      </w:r>
      <w:r w:rsidR="00691441" w:rsidRPr="00273106">
        <w:t>.1.2)</w:t>
      </w:r>
      <w:r w:rsidR="00691441" w:rsidRPr="00273106">
        <w:rPr>
          <w:lang w:eastAsia="en-US"/>
        </w:rPr>
        <w:t xml:space="preserve">. </w:t>
      </w:r>
      <w:r w:rsidR="00691441" w:rsidRPr="00273106">
        <w:t xml:space="preserve">Kombinace dvou potencí vzatých hypostaticky dala kauzalitu a její predikaci do univočního schématu, v němž se zrušil rozdíl mezi první a druhou substancí. </w:t>
      </w:r>
      <w:r w:rsidR="00691441">
        <w:rPr>
          <w:lang w:eastAsia="en-US"/>
        </w:rPr>
        <w:t xml:space="preserve">Zavedení </w:t>
      </w:r>
      <w:r w:rsidR="00641CCC">
        <w:rPr>
          <w:lang w:eastAsia="en-US"/>
        </w:rPr>
        <w:t xml:space="preserve">jsoucna třetího druhu v podobě </w:t>
      </w:r>
      <w:r w:rsidR="00691441" w:rsidRPr="001D2B72">
        <w:rPr>
          <w:i/>
          <w:lang w:eastAsia="en-US"/>
        </w:rPr>
        <w:t>potentia essentialis</w:t>
      </w:r>
      <w:r w:rsidR="00691441">
        <w:rPr>
          <w:lang w:eastAsia="en-US"/>
        </w:rPr>
        <w:t xml:space="preserve"> změnilo scénář poznání na moderní dualismus. </w:t>
      </w:r>
      <w:r w:rsidR="001634A5">
        <w:t>Rozdíl mezi oběma potencemi (</w:t>
      </w:r>
      <w:r w:rsidR="001634A5" w:rsidRPr="001A2013">
        <w:rPr>
          <w:i/>
        </w:rPr>
        <w:t>essentialis</w:t>
      </w:r>
      <w:r w:rsidR="001634A5">
        <w:rPr>
          <w:i/>
        </w:rPr>
        <w:t>,</w:t>
      </w:r>
      <w:r w:rsidR="001634A5" w:rsidRPr="001A2013">
        <w:rPr>
          <w:i/>
        </w:rPr>
        <w:t xml:space="preserve"> accidentalis</w:t>
      </w:r>
      <w:r w:rsidR="001634A5">
        <w:t xml:space="preserve">) zakládá postmoderní schéma dvou schopností rozumu daných u Kanta </w:t>
      </w:r>
      <w:r w:rsidR="00641CCC">
        <w:t xml:space="preserve">také ve dvou rovinách, tedy </w:t>
      </w:r>
      <w:r w:rsidR="001634A5" w:rsidRPr="000C6248">
        <w:rPr>
          <w:i/>
        </w:rPr>
        <w:t>a priori</w:t>
      </w:r>
      <w:r w:rsidR="001634A5">
        <w:t xml:space="preserve"> a empiricky</w:t>
      </w:r>
      <w:r w:rsidR="08E11468">
        <w:t>. Rufusův koncept</w:t>
      </w:r>
      <w:r w:rsidR="08E11468" w:rsidRPr="00D707B8">
        <w:rPr>
          <w:i/>
        </w:rPr>
        <w:t xml:space="preserve"> </w:t>
      </w:r>
      <w:r w:rsidR="08E11468" w:rsidRPr="001A2013">
        <w:rPr>
          <w:i/>
        </w:rPr>
        <w:t>potentia</w:t>
      </w:r>
      <w:r w:rsidR="08E11468">
        <w:rPr>
          <w:i/>
        </w:rPr>
        <w:t xml:space="preserve"> essentialis</w:t>
      </w:r>
      <w:r w:rsidR="00391CF7">
        <w:rPr>
          <w:i/>
        </w:rPr>
        <w:t xml:space="preserve"> </w:t>
      </w:r>
      <w:r w:rsidR="00C8288B">
        <w:t>jako „</w:t>
      </w:r>
      <w:r w:rsidR="00391CF7">
        <w:rPr>
          <w:i/>
        </w:rPr>
        <w:t>fieri tale</w:t>
      </w:r>
      <w:r w:rsidR="00C8288B">
        <w:t>“</w:t>
      </w:r>
      <w:r w:rsidR="08E11468">
        <w:t xml:space="preserve"> vytváří Kant skrze apriorní </w:t>
      </w:r>
      <w:r w:rsidR="0002471E">
        <w:t xml:space="preserve">a permanentně danou </w:t>
      </w:r>
      <w:r w:rsidR="08E11468">
        <w:t xml:space="preserve">schopnost </w:t>
      </w:r>
      <w:r w:rsidR="08EE6885">
        <w:t xml:space="preserve">smyslově založeného </w:t>
      </w:r>
      <w:r w:rsidR="0002471E">
        <w:t xml:space="preserve">rozumu </w:t>
      </w:r>
      <w:r w:rsidR="08E11468">
        <w:t>k činění závěrů</w:t>
      </w:r>
      <w:r w:rsidR="001634A5">
        <w:t>.</w:t>
      </w:r>
      <w:r w:rsidR="001634A5" w:rsidRPr="00273106">
        <w:rPr>
          <w:rStyle w:val="Znakapoznpodarou"/>
        </w:rPr>
        <w:footnoteReference w:id="377"/>
      </w:r>
      <w:r w:rsidR="001634A5">
        <w:t xml:space="preserve"> </w:t>
      </w:r>
      <w:r w:rsidR="00873370">
        <w:rPr>
          <w:iCs/>
        </w:rPr>
        <w:t xml:space="preserve">Rufus hypostázoval </w:t>
      </w:r>
      <w:r w:rsidR="00533820" w:rsidRPr="00533820">
        <w:rPr>
          <w:i/>
          <w:iCs/>
        </w:rPr>
        <w:t>anima intellectiva</w:t>
      </w:r>
      <w:r w:rsidR="00873370">
        <w:rPr>
          <w:iCs/>
        </w:rPr>
        <w:t xml:space="preserve"> novým způsobem. Intelektuální duši měl </w:t>
      </w:r>
      <w:r w:rsidR="001D2B72" w:rsidRPr="00273106">
        <w:rPr>
          <w:iCs/>
        </w:rPr>
        <w:t>Grosseteste</w:t>
      </w:r>
      <w:r w:rsidR="08A319D8">
        <w:rPr>
          <w:iCs/>
        </w:rPr>
        <w:t xml:space="preserve"> ve výkladu </w:t>
      </w:r>
      <w:r w:rsidR="001D2B72" w:rsidRPr="00273106">
        <w:rPr>
          <w:i/>
          <w:iCs/>
        </w:rPr>
        <w:t>De anima</w:t>
      </w:r>
      <w:r w:rsidR="00533820">
        <w:rPr>
          <w:i/>
          <w:iCs/>
        </w:rPr>
        <w:t xml:space="preserve"> </w:t>
      </w:r>
      <w:r w:rsidR="00533820" w:rsidRPr="00533820">
        <w:rPr>
          <w:iCs/>
        </w:rPr>
        <w:t xml:space="preserve">pouze jako </w:t>
      </w:r>
      <w:r w:rsidR="08A319D8">
        <w:rPr>
          <w:iCs/>
        </w:rPr>
        <w:t>nadřazenou</w:t>
      </w:r>
      <w:r w:rsidR="00533820">
        <w:rPr>
          <w:iCs/>
        </w:rPr>
        <w:t xml:space="preserve"> </w:t>
      </w:r>
      <w:r w:rsidR="08A319D8">
        <w:rPr>
          <w:iCs/>
        </w:rPr>
        <w:t>formu</w:t>
      </w:r>
      <w:r w:rsidR="00873370">
        <w:rPr>
          <w:iCs/>
        </w:rPr>
        <w:t>,</w:t>
      </w:r>
      <w:r w:rsidR="08A319D8">
        <w:rPr>
          <w:iCs/>
        </w:rPr>
        <w:t xml:space="preserve"> a nikoliv </w:t>
      </w:r>
      <w:r w:rsidR="08F83A0B">
        <w:rPr>
          <w:iCs/>
        </w:rPr>
        <w:t xml:space="preserve">jako </w:t>
      </w:r>
      <w:r w:rsidR="08A319D8">
        <w:rPr>
          <w:iCs/>
        </w:rPr>
        <w:t>substanci</w:t>
      </w:r>
      <w:r w:rsidR="08241773">
        <w:rPr>
          <w:iCs/>
        </w:rPr>
        <w:t xml:space="preserve"> (kap. 3</w:t>
      </w:r>
      <w:r w:rsidR="00FC5496">
        <w:rPr>
          <w:iCs/>
        </w:rPr>
        <w:t>.2)</w:t>
      </w:r>
      <w:r w:rsidR="00FC5496" w:rsidRPr="00FC5496">
        <w:rPr>
          <w:iCs/>
        </w:rPr>
        <w:t xml:space="preserve">. </w:t>
      </w:r>
      <w:r w:rsidR="00FC5496" w:rsidRPr="00273106">
        <w:rPr>
          <w:iCs/>
        </w:rPr>
        <w:t>Grosseteste</w:t>
      </w:r>
      <w:r w:rsidR="00FC5496">
        <w:rPr>
          <w:iCs/>
        </w:rPr>
        <w:t xml:space="preserve"> patřil v otázce výkladu duše k Blundově škole, což není případ porretánského Rufuse. </w:t>
      </w:r>
      <w:r w:rsidR="000D4734">
        <w:rPr>
          <w:iCs/>
        </w:rPr>
        <w:t>P</w:t>
      </w:r>
      <w:r w:rsidR="000D4734" w:rsidRPr="000D4734">
        <w:rPr>
          <w:iCs/>
        </w:rPr>
        <w:t xml:space="preserve">roblém poznání byl </w:t>
      </w:r>
      <w:r w:rsidR="000D4734" w:rsidRPr="000D4734">
        <w:rPr>
          <w:iCs/>
        </w:rPr>
        <w:lastRenderedPageBreak/>
        <w:t>řešen mytologickou kopulací tří hypostatických entit (empirické poznání v těle, hypostatický aktivní intelekt, hypostatický pasivní intelekt).</w:t>
      </w:r>
      <w:r w:rsidR="000D4734">
        <w:rPr>
          <w:iCs/>
        </w:rPr>
        <w:t xml:space="preserve"> </w:t>
      </w:r>
      <w:r w:rsidR="008E5513">
        <w:t xml:space="preserve">Moderna počínajíc Pechamem hypostázovala schopnosti duše vázané hylemorficky </w:t>
      </w:r>
      <w:r w:rsidR="00E56B07">
        <w:t xml:space="preserve">a pak z nich udělala </w:t>
      </w:r>
      <w:r w:rsidR="008E5513">
        <w:t>samostatnou substanci</w:t>
      </w:r>
      <w:r w:rsidR="00FC5496">
        <w:t xml:space="preserve"> třetího druhu</w:t>
      </w:r>
      <w:r w:rsidR="00DA0B2C">
        <w:t xml:space="preserve"> (</w:t>
      </w:r>
      <w:r w:rsidR="00DA0B2C" w:rsidRPr="008E5513">
        <w:rPr>
          <w:i/>
        </w:rPr>
        <w:t>totalitas virtualis</w:t>
      </w:r>
      <w:r w:rsidR="00DA0B2C">
        <w:t>)</w:t>
      </w:r>
      <w:r w:rsidR="008E5513">
        <w:t xml:space="preserve">. </w:t>
      </w:r>
      <w:r w:rsidR="008F5888" w:rsidRPr="00273106">
        <w:rPr>
          <w:lang w:eastAsia="en-US"/>
        </w:rPr>
        <w:t xml:space="preserve">Další zdroj </w:t>
      </w:r>
      <w:r w:rsidR="00DA77BC">
        <w:t xml:space="preserve">termínu </w:t>
      </w:r>
      <w:r w:rsidR="008F5888" w:rsidRPr="0083224A">
        <w:rPr>
          <w:i/>
        </w:rPr>
        <w:t>potentia substantialis</w:t>
      </w:r>
      <w:r w:rsidR="008F5888">
        <w:t xml:space="preserve"> </w:t>
      </w:r>
      <w:r w:rsidR="008F5888" w:rsidRPr="00273106">
        <w:rPr>
          <w:lang w:eastAsia="en-US"/>
        </w:rPr>
        <w:t xml:space="preserve">najdeme v Aristotelově </w:t>
      </w:r>
      <w:r w:rsidR="008F5888" w:rsidRPr="00FC5496">
        <w:rPr>
          <w:i/>
          <w:lang w:eastAsia="en-US"/>
        </w:rPr>
        <w:t>Fyzice</w:t>
      </w:r>
      <w:r w:rsidR="008F5888" w:rsidRPr="00273106">
        <w:rPr>
          <w:lang w:eastAsia="en-US"/>
        </w:rPr>
        <w:t xml:space="preserve">. </w:t>
      </w:r>
      <w:r w:rsidR="008F5888" w:rsidRPr="00273106">
        <w:t xml:space="preserve">Přirozený pohyb lehkých těles jde vzhůru a těžkých těles dolů, což je podle Aristotela a </w:t>
      </w:r>
      <w:r w:rsidR="002E3B62">
        <w:t>Averroes</w:t>
      </w:r>
      <w:r w:rsidR="008F5888" w:rsidRPr="00273106">
        <w:t>e dáno přirozeně v rámci potenciálního určení samotné substance</w:t>
      </w:r>
      <w:r w:rsidR="00602979">
        <w:fldChar w:fldCharType="begin"/>
      </w:r>
      <w:r w:rsidR="00602979">
        <w:instrText xml:space="preserve"> XE "</w:instrText>
      </w:r>
      <w:r w:rsidR="00602979" w:rsidRPr="00D55806">
        <w:instrText>substance:Rufus</w:instrText>
      </w:r>
      <w:r w:rsidR="00602979">
        <w:instrText xml:space="preserve">" </w:instrText>
      </w:r>
      <w:r w:rsidR="00602979">
        <w:fldChar w:fldCharType="end"/>
      </w:r>
      <w:r w:rsidR="008F5888" w:rsidRPr="00273106">
        <w:rPr>
          <w:iCs/>
        </w:rPr>
        <w:t xml:space="preserve">. </w:t>
      </w:r>
      <w:r w:rsidR="00736336">
        <w:t xml:space="preserve">Aristotelova </w:t>
      </w:r>
      <w:r w:rsidR="00736336" w:rsidRPr="00DA77BC">
        <w:rPr>
          <w:i/>
        </w:rPr>
        <w:t>Metafyzika</w:t>
      </w:r>
      <w:r w:rsidR="00DA77BC">
        <w:t xml:space="preserve"> ohledně </w:t>
      </w:r>
      <w:r w:rsidR="00736336" w:rsidRPr="00461771">
        <w:rPr>
          <w:i/>
          <w:iCs/>
        </w:rPr>
        <w:t>potentia substantialis</w:t>
      </w:r>
      <w:r w:rsidR="00736336">
        <w:rPr>
          <w:iCs/>
        </w:rPr>
        <w:t xml:space="preserve"> jasně s</w:t>
      </w:r>
      <w:r w:rsidR="00736336">
        <w:t>tanovuje, že prioritu v řádu aktuality má pouze reálná věc (</w:t>
      </w:r>
      <w:r w:rsidR="00736336" w:rsidRPr="005E3743">
        <w:t>ὄντος</w:t>
      </w:r>
      <w:r w:rsidR="00736336">
        <w:t xml:space="preserve"> </w:t>
      </w:r>
      <w:r w:rsidR="00736336" w:rsidRPr="005E3743">
        <w:t>κατ᾽</w:t>
      </w:r>
      <w:r w:rsidR="00736336">
        <w:t xml:space="preserve"> </w:t>
      </w:r>
      <w:r w:rsidR="00736336" w:rsidRPr="005E3743">
        <w:t>ἐνέργειαν</w:t>
      </w:r>
      <w:r w:rsidR="00736336">
        <w:t>), protože pouze reálná substance obsahuje potenci k dalšímu pohybu, jako např. semeno má substanciální potenci být stromem (</w:t>
      </w:r>
      <w:r w:rsidR="00736336" w:rsidRPr="005E3743">
        <w:rPr>
          <w:i/>
        </w:rPr>
        <w:t>Met</w:t>
      </w:r>
      <w:r w:rsidR="00736336" w:rsidRPr="005E3743">
        <w:t>. 1049b</w:t>
      </w:r>
      <w:r w:rsidR="00736336">
        <w:t>20‒25</w:t>
      </w:r>
      <w:r w:rsidR="00074668">
        <w:fldChar w:fldCharType="begin"/>
      </w:r>
      <w:r w:rsidR="00074668">
        <w:instrText xml:space="preserve"> XE "</w:instrText>
      </w:r>
      <w:r w:rsidR="008E02F5">
        <w:instrText>Aristoteles</w:instrText>
      </w:r>
      <w:r w:rsidR="00074668">
        <w:instrText>:</w:instrText>
      </w:r>
      <w:r w:rsidR="00074668" w:rsidRPr="00C6644B">
        <w:rPr>
          <w:i/>
        </w:rPr>
        <w:instrText>Met</w:instrText>
      </w:r>
      <w:r w:rsidR="00074668" w:rsidRPr="00C6644B">
        <w:instrText>. 1049b20‒25</w:instrText>
      </w:r>
      <w:r w:rsidR="00074668">
        <w:instrText xml:space="preserve">" </w:instrText>
      </w:r>
      <w:r w:rsidR="00074668">
        <w:fldChar w:fldCharType="end"/>
      </w:r>
      <w:r w:rsidR="00736336">
        <w:t xml:space="preserve">). </w:t>
      </w:r>
      <w:r w:rsidR="00DA77BC">
        <w:rPr>
          <w:iCs/>
        </w:rPr>
        <w:t>Aristotelská po</w:t>
      </w:r>
      <w:r w:rsidR="000172AA">
        <w:rPr>
          <w:iCs/>
        </w:rPr>
        <w:t>tence je vázána pouze na reálné substance</w:t>
      </w:r>
      <w:r w:rsidR="00DA77BC">
        <w:rPr>
          <w:iCs/>
        </w:rPr>
        <w:t xml:space="preserve">. </w:t>
      </w:r>
      <w:r w:rsidR="005E20D7" w:rsidRPr="00273106">
        <w:rPr>
          <w:iCs/>
        </w:rPr>
        <w:t xml:space="preserve">Rufus </w:t>
      </w:r>
      <w:r w:rsidR="00736336">
        <w:rPr>
          <w:iCs/>
        </w:rPr>
        <w:t xml:space="preserve">jako první známý </w:t>
      </w:r>
      <w:r w:rsidR="00F72181">
        <w:rPr>
          <w:iCs/>
        </w:rPr>
        <w:t xml:space="preserve">autor </w:t>
      </w:r>
      <w:r w:rsidR="00F15A73">
        <w:rPr>
          <w:iCs/>
        </w:rPr>
        <w:t xml:space="preserve">druhého averroismu </w:t>
      </w:r>
      <w:r w:rsidR="005E20D7" w:rsidRPr="00273106">
        <w:rPr>
          <w:iCs/>
        </w:rPr>
        <w:t xml:space="preserve">změnil </w:t>
      </w:r>
      <w:r w:rsidR="005E20D7">
        <w:rPr>
          <w:iCs/>
        </w:rPr>
        <w:t>v</w:t>
      </w:r>
      <w:r w:rsidR="006F3D71" w:rsidRPr="00273106">
        <w:rPr>
          <w:iCs/>
        </w:rPr>
        <w:t xml:space="preserve">ýklad </w:t>
      </w:r>
      <w:r w:rsidR="00DA77BC">
        <w:rPr>
          <w:iCs/>
        </w:rPr>
        <w:t xml:space="preserve">potence </w:t>
      </w:r>
      <w:r w:rsidR="00736336">
        <w:rPr>
          <w:iCs/>
        </w:rPr>
        <w:t xml:space="preserve">na nově utvořenou </w:t>
      </w:r>
      <w:r w:rsidR="00AB1B2C">
        <w:rPr>
          <w:iCs/>
        </w:rPr>
        <w:t xml:space="preserve">porretánskou esenci. </w:t>
      </w:r>
      <w:r w:rsidR="00DA77BC">
        <w:rPr>
          <w:iCs/>
        </w:rPr>
        <w:t xml:space="preserve">Termín </w:t>
      </w:r>
      <w:r w:rsidR="00DA77BC" w:rsidRPr="00461771">
        <w:rPr>
          <w:i/>
          <w:iCs/>
        </w:rPr>
        <w:t>potentia essentialis</w:t>
      </w:r>
      <w:r w:rsidR="00DA77BC">
        <w:rPr>
          <w:i/>
          <w:iCs/>
        </w:rPr>
        <w:fldChar w:fldCharType="begin"/>
      </w:r>
      <w:r w:rsidR="00DA77BC">
        <w:instrText xml:space="preserve"> XE "esence:</w:instrText>
      </w:r>
      <w:r w:rsidR="00DA77BC" w:rsidRPr="00AD1AD8">
        <w:rPr>
          <w:i/>
          <w:iCs/>
        </w:rPr>
        <w:instrText>potentia essentialis</w:instrText>
      </w:r>
      <w:r w:rsidR="00DA77BC">
        <w:instrText xml:space="preserve">" </w:instrText>
      </w:r>
      <w:r w:rsidR="00DA77BC">
        <w:rPr>
          <w:i/>
          <w:iCs/>
        </w:rPr>
        <w:fldChar w:fldCharType="end"/>
      </w:r>
      <w:r w:rsidR="00DA77BC">
        <w:rPr>
          <w:iCs/>
        </w:rPr>
        <w:t xml:space="preserve"> se nyní vztahuje k potenci</w:t>
      </w:r>
      <w:r w:rsidR="00DA77BC" w:rsidRPr="00273106">
        <w:rPr>
          <w:iCs/>
        </w:rPr>
        <w:t xml:space="preserve"> </w:t>
      </w:r>
      <w:r w:rsidR="00DA77BC">
        <w:rPr>
          <w:iCs/>
        </w:rPr>
        <w:t xml:space="preserve">dané v rámci </w:t>
      </w:r>
      <w:r w:rsidR="00DA77BC" w:rsidRPr="005E20D7">
        <w:rPr>
          <w:i/>
          <w:iCs/>
        </w:rPr>
        <w:t>anima intellectiva</w:t>
      </w:r>
      <w:r w:rsidR="00DA77BC">
        <w:rPr>
          <w:iCs/>
        </w:rPr>
        <w:t xml:space="preserve"> přeměněné </w:t>
      </w:r>
      <w:r w:rsidR="00DA77BC" w:rsidRPr="00273106">
        <w:rPr>
          <w:iCs/>
        </w:rPr>
        <w:t xml:space="preserve">na </w:t>
      </w:r>
      <w:r w:rsidR="00DA77BC">
        <w:rPr>
          <w:iCs/>
        </w:rPr>
        <w:t xml:space="preserve">porretánskou </w:t>
      </w:r>
      <w:r w:rsidR="00DA77BC" w:rsidRPr="00273106">
        <w:rPr>
          <w:lang w:eastAsia="en-US"/>
        </w:rPr>
        <w:t>hypostázi</w:t>
      </w:r>
      <w:r w:rsidR="00DA77BC">
        <w:rPr>
          <w:lang w:eastAsia="en-US"/>
        </w:rPr>
        <w:t xml:space="preserve">. </w:t>
      </w:r>
      <w:r w:rsidR="00DA7D4C" w:rsidRPr="00273106">
        <w:t xml:space="preserve">Aktualizace poznání </w:t>
      </w:r>
      <w:r w:rsidR="00C93890">
        <w:t xml:space="preserve">se váže </w:t>
      </w:r>
      <w:r w:rsidR="00DA7D4C" w:rsidRPr="00273106">
        <w:t>na intelek</w:t>
      </w:r>
      <w:r w:rsidR="002D3BEB">
        <w:t xml:space="preserve">t jako kvazi-aktuální substrát daný jako </w:t>
      </w:r>
      <w:r w:rsidR="00DA7D4C" w:rsidRPr="00273106">
        <w:t>trval</w:t>
      </w:r>
      <w:r w:rsidR="002D3BEB">
        <w:t>á</w:t>
      </w:r>
      <w:r w:rsidR="00DA7D4C" w:rsidRPr="00273106">
        <w:t xml:space="preserve"> a neměnn</w:t>
      </w:r>
      <w:r w:rsidR="002D3BEB">
        <w:t>á dispozice</w:t>
      </w:r>
      <w:r w:rsidR="00DA7D4C" w:rsidRPr="00273106">
        <w:t xml:space="preserve"> mysli</w:t>
      </w:r>
      <w:r w:rsidR="002D3BEB">
        <w:t xml:space="preserve">. </w:t>
      </w:r>
      <w:r w:rsidR="00350D04">
        <w:t xml:space="preserve">V této atomární substanci </w:t>
      </w:r>
      <w:r w:rsidR="00350D04" w:rsidRPr="00273106">
        <w:t>jsou první principy poznání trvale uchovávány a pak aktualizovány skutečným poznáním.</w:t>
      </w:r>
      <w:r w:rsidR="00350D04" w:rsidRPr="00273106">
        <w:rPr>
          <w:rStyle w:val="Znakapoznpodarou"/>
        </w:rPr>
        <w:footnoteReference w:id="378"/>
      </w:r>
      <w:r w:rsidR="00350D04" w:rsidRPr="00273106">
        <w:t xml:space="preserve"> </w:t>
      </w:r>
      <w:r w:rsidR="08907E3A">
        <w:t xml:space="preserve">Rufus </w:t>
      </w:r>
      <w:r w:rsidR="08907E3A" w:rsidRPr="00273106">
        <w:t xml:space="preserve">vytvořil </w:t>
      </w:r>
      <w:r w:rsidR="08907E3A">
        <w:t xml:space="preserve">první karteziánské </w:t>
      </w:r>
      <w:r w:rsidR="08907E3A" w:rsidRPr="00273106">
        <w:t xml:space="preserve">schéma </w:t>
      </w:r>
      <w:r w:rsidR="08907E3A">
        <w:t xml:space="preserve">poznání jako hypostázované duševní esence a tělesného </w:t>
      </w:r>
      <w:r w:rsidR="08907E3A" w:rsidRPr="00273106">
        <w:t>případku</w:t>
      </w:r>
      <w:r w:rsidR="08907E3A">
        <w:fldChar w:fldCharType="begin"/>
      </w:r>
      <w:r w:rsidR="08907E3A">
        <w:instrText xml:space="preserve"> XE "</w:instrText>
      </w:r>
      <w:r w:rsidR="08907E3A" w:rsidRPr="006B2710">
        <w:instrText>dualismus:Rufus</w:instrText>
      </w:r>
      <w:r w:rsidR="08907E3A">
        <w:instrText xml:space="preserve">" </w:instrText>
      </w:r>
      <w:r w:rsidR="08907E3A">
        <w:fldChar w:fldCharType="end"/>
      </w:r>
      <w:r w:rsidR="08907E3A">
        <w:t xml:space="preserve">. </w:t>
      </w:r>
      <w:r w:rsidR="08907E3A" w:rsidRPr="00273106">
        <w:t xml:space="preserve">Hypostázovaná potence </w:t>
      </w:r>
      <w:r w:rsidR="08907E3A">
        <w:t xml:space="preserve">primármě „exsistuje“ jako </w:t>
      </w:r>
      <w:r w:rsidR="00AB3EDE">
        <w:t xml:space="preserve">nějaká </w:t>
      </w:r>
      <w:r w:rsidR="00406E43">
        <w:t>hyp</w:t>
      </w:r>
      <w:r w:rsidR="00AB3EDE">
        <w:t xml:space="preserve">archická </w:t>
      </w:r>
      <w:r w:rsidR="00B932A4" w:rsidRPr="00273106">
        <w:t xml:space="preserve">substance </w:t>
      </w:r>
      <w:r w:rsidR="00006E10">
        <w:t>třetího druhu, která</w:t>
      </w:r>
      <w:r w:rsidR="00406E43">
        <w:t xml:space="preserve"> tvoří v porretánském modu</w:t>
      </w:r>
      <w:r w:rsidR="00CD3C9E">
        <w:t xml:space="preserve"> </w:t>
      </w:r>
      <w:r w:rsidR="00406E43" w:rsidRPr="00006E10">
        <w:rPr>
          <w:i/>
        </w:rPr>
        <w:t>semel</w:t>
      </w:r>
      <w:r w:rsidR="00406E43">
        <w:t>‒</w:t>
      </w:r>
      <w:r w:rsidR="00406E43" w:rsidRPr="00406E43">
        <w:rPr>
          <w:i/>
        </w:rPr>
        <w:t>semper</w:t>
      </w:r>
      <w:r w:rsidR="00EE3030">
        <w:rPr>
          <w:i/>
        </w:rPr>
        <w:fldChar w:fldCharType="begin"/>
      </w:r>
      <w:r w:rsidR="00CD3C9E">
        <w:instrText xml:space="preserve"> XE "predikace</w:instrText>
      </w:r>
      <w:r w:rsidR="00EE3030">
        <w:instrText>:</w:instrText>
      </w:r>
      <w:r w:rsidR="006F1348">
        <w:rPr>
          <w:i/>
        </w:rPr>
        <w:instrText>semel‒semper</w:instrText>
      </w:r>
      <w:r w:rsidR="00EE3030">
        <w:instrText xml:space="preserve">" </w:instrText>
      </w:r>
      <w:r w:rsidR="00EE3030">
        <w:rPr>
          <w:i/>
        </w:rPr>
        <w:fldChar w:fldCharType="end"/>
      </w:r>
      <w:r w:rsidR="00406E43">
        <w:t xml:space="preserve"> trvalého </w:t>
      </w:r>
      <w:r w:rsidR="08476B34">
        <w:t>nositel</w:t>
      </w:r>
      <w:r w:rsidR="00406E43">
        <w:t>e poznání (</w:t>
      </w:r>
      <w:r w:rsidR="00406E43" w:rsidRPr="00406E43">
        <w:rPr>
          <w:i/>
        </w:rPr>
        <w:t>subiectum</w:t>
      </w:r>
      <w:r w:rsidR="004C27BA">
        <w:rPr>
          <w:i/>
        </w:rPr>
        <w:fldChar w:fldCharType="begin"/>
      </w:r>
      <w:r w:rsidR="004C27BA">
        <w:instrText xml:space="preserve"> XE "</w:instrText>
      </w:r>
      <w:r w:rsidR="004C27BA" w:rsidRPr="00360013">
        <w:rPr>
          <w:i/>
        </w:rPr>
        <w:instrText>subiectum</w:instrText>
      </w:r>
      <w:r w:rsidR="004C27BA" w:rsidRPr="00EE3030">
        <w:instrText>:</w:instrText>
      </w:r>
      <w:r w:rsidR="00EE3030" w:rsidRPr="00EE3030">
        <w:instrText>Rufus</w:instrText>
      </w:r>
      <w:r w:rsidR="004C27BA">
        <w:instrText xml:space="preserve">" </w:instrText>
      </w:r>
      <w:r w:rsidR="004C27BA">
        <w:rPr>
          <w:i/>
        </w:rPr>
        <w:fldChar w:fldCharType="end"/>
      </w:r>
      <w:r w:rsidR="00406E43">
        <w:t xml:space="preserve">). </w:t>
      </w:r>
      <w:r w:rsidR="08907E3A">
        <w:t>Pak z této trvalé aktuální substance přesáhne (</w:t>
      </w:r>
      <w:r w:rsidR="08907E3A" w:rsidRPr="08907E3A">
        <w:rPr>
          <w:i/>
        </w:rPr>
        <w:t>exsistit</w:t>
      </w:r>
      <w:r w:rsidR="08907E3A">
        <w:t>)</w:t>
      </w:r>
      <w:r w:rsidR="086A23FB">
        <w:t xml:space="preserve"> do reálného akcidentálního poznání, které je </w:t>
      </w:r>
      <w:r w:rsidR="08907E3A">
        <w:t xml:space="preserve">aktualizované v poznávacím soudu skrze kontingentně vzniklý poznatek. </w:t>
      </w:r>
      <w:r w:rsidR="008B7EEB" w:rsidRPr="008B7EEB">
        <w:t>Term</w:t>
      </w:r>
      <w:r w:rsidR="008B7EEB">
        <w:t>ín „</w:t>
      </w:r>
      <w:r w:rsidR="008B7EEB" w:rsidRPr="008B7EEB">
        <w:rPr>
          <w:i/>
        </w:rPr>
        <w:t>potentia essentialis</w:t>
      </w:r>
      <w:r w:rsidR="008B7EEB">
        <w:t>“</w:t>
      </w:r>
      <w:r w:rsidR="008B7EEB" w:rsidRPr="008B7EEB">
        <w:t xml:space="preserve"> zajišťuje vznik nové formy středního členu deduktivního sylogismu. Esence učiněná v</w:t>
      </w:r>
      <w:r w:rsidR="008B7EEB">
        <w:t>e formě falešné metafyzické impozice podle O</w:t>
      </w:r>
      <w:r w:rsidR="008B7EEB" w:rsidRPr="008B7EEB">
        <w:t xml:space="preserve">xfordského bludu univoce představuje </w:t>
      </w:r>
      <w:r w:rsidR="008B7EEB">
        <w:t xml:space="preserve">univočně a </w:t>
      </w:r>
      <w:r w:rsidR="008B7EEB" w:rsidRPr="008B7EEB">
        <w:t>kauzálně působící první substanci.</w:t>
      </w:r>
      <w:r w:rsidR="008B7EEB">
        <w:t xml:space="preserve"> </w:t>
      </w:r>
      <w:r w:rsidR="00406E43">
        <w:t xml:space="preserve">Toto schéma </w:t>
      </w:r>
      <w:r w:rsidR="00B932A4" w:rsidRPr="00273106">
        <w:t xml:space="preserve">odpovídá </w:t>
      </w:r>
      <w:r w:rsidR="08B76E18">
        <w:t xml:space="preserve">Grossetesteho </w:t>
      </w:r>
      <w:r w:rsidR="00DB2EF7" w:rsidRPr="00273106">
        <w:rPr>
          <w:i/>
        </w:rPr>
        <w:t>Oxfordian Fallacy</w:t>
      </w:r>
      <w:r w:rsidR="00D325A1">
        <w:t xml:space="preserve">, která </w:t>
      </w:r>
      <w:r w:rsidR="006E7FD9">
        <w:t xml:space="preserve">změnila </w:t>
      </w:r>
      <w:r w:rsidR="00D325A1">
        <w:t xml:space="preserve">výklad </w:t>
      </w:r>
      <w:r w:rsidR="00D325A1" w:rsidRPr="00440124">
        <w:rPr>
          <w:i/>
        </w:rPr>
        <w:t>Druhých analytik</w:t>
      </w:r>
      <w:r w:rsidR="00DB2EF7" w:rsidRPr="00273106">
        <w:t xml:space="preserve"> </w:t>
      </w:r>
      <w:r w:rsidR="006E7FD9">
        <w:t xml:space="preserve">směrem k neoplatonismu </w:t>
      </w:r>
      <w:r w:rsidR="08373182">
        <w:t>(kap. 3</w:t>
      </w:r>
      <w:r w:rsidR="00DB2EF7" w:rsidRPr="00273106">
        <w:t xml:space="preserve">.1.1). </w:t>
      </w:r>
      <w:r w:rsidR="001811E7" w:rsidRPr="001811E7">
        <w:t>Grosseteste ji však odmítl aplikovat na definici člověka.</w:t>
      </w:r>
      <w:r w:rsidR="001811E7">
        <w:t xml:space="preserve"> </w:t>
      </w:r>
      <w:r w:rsidR="003564BE" w:rsidRPr="003564BE">
        <w:t xml:space="preserve">Přechod od aristotelské </w:t>
      </w:r>
      <w:r w:rsidR="003564BE" w:rsidRPr="003564BE">
        <w:rPr>
          <w:i/>
        </w:rPr>
        <w:t>potentia substantialis</w:t>
      </w:r>
      <w:r w:rsidR="003564BE" w:rsidRPr="003564BE">
        <w:t xml:space="preserve"> k nově pojaté Rufově verzi </w:t>
      </w:r>
      <w:r w:rsidR="003564BE" w:rsidRPr="00461771">
        <w:rPr>
          <w:i/>
          <w:iCs/>
        </w:rPr>
        <w:t>potentia essentialis</w:t>
      </w:r>
      <w:r w:rsidR="003564BE">
        <w:rPr>
          <w:i/>
          <w:iCs/>
        </w:rPr>
        <w:t xml:space="preserve"> </w:t>
      </w:r>
      <w:r w:rsidR="003564BE" w:rsidRPr="003564BE">
        <w:t xml:space="preserve">je </w:t>
      </w:r>
      <w:r w:rsidR="003564BE" w:rsidRPr="003564BE">
        <w:lastRenderedPageBreak/>
        <w:t>později doložen ve v</w:t>
      </w:r>
      <w:r w:rsidR="003564BE">
        <w:t xml:space="preserve">ýše citovaném díle </w:t>
      </w:r>
      <w:r w:rsidR="08205BE8" w:rsidRPr="00273106">
        <w:rPr>
          <w:i/>
        </w:rPr>
        <w:t>Summa philosophiae</w:t>
      </w:r>
      <w:r w:rsidR="08205BE8" w:rsidRPr="00273106">
        <w:rPr>
          <w:iCs/>
        </w:rPr>
        <w:t>.</w:t>
      </w:r>
      <w:r w:rsidR="08205BE8" w:rsidRPr="00273106">
        <w:rPr>
          <w:rStyle w:val="Znakapoznpodarou"/>
        </w:rPr>
        <w:footnoteReference w:id="379"/>
      </w:r>
      <w:r w:rsidR="08205BE8">
        <w:rPr>
          <w:iCs/>
        </w:rPr>
        <w:t xml:space="preserve"> </w:t>
      </w:r>
      <w:r w:rsidR="00AC23A8">
        <w:rPr>
          <w:iCs/>
        </w:rPr>
        <w:t>Tam už funguje Rufusova „</w:t>
      </w:r>
      <w:r w:rsidR="00AC23A8" w:rsidRPr="00AC23A8">
        <w:rPr>
          <w:i/>
        </w:rPr>
        <w:t>potentia essentialis</w:t>
      </w:r>
      <w:r w:rsidR="00AC23A8">
        <w:t xml:space="preserve">“ jako jsoucno třetího druhu. </w:t>
      </w:r>
      <w:r w:rsidR="08205BE8">
        <w:t xml:space="preserve">Tento intelekt třetího druhu se stal novým západním subjektem poznání skrze Descartovu </w:t>
      </w:r>
      <w:r w:rsidR="08205BE8" w:rsidRPr="00C93890">
        <w:rPr>
          <w:i/>
        </w:rPr>
        <w:t>res cogitans</w:t>
      </w:r>
      <w:r w:rsidR="08205BE8">
        <w:rPr>
          <w:i/>
        </w:rPr>
        <w:fldChar w:fldCharType="begin"/>
      </w:r>
      <w:r w:rsidR="08205BE8">
        <w:instrText xml:space="preserve"> XE "</w:instrText>
      </w:r>
      <w:r w:rsidR="08205BE8" w:rsidRPr="003F49D8">
        <w:rPr>
          <w:i/>
        </w:rPr>
        <w:instrText>res cogitans</w:instrText>
      </w:r>
      <w:r w:rsidR="08205BE8">
        <w:instrText xml:space="preserve">" </w:instrText>
      </w:r>
      <w:r w:rsidR="08205BE8">
        <w:rPr>
          <w:i/>
        </w:rPr>
        <w:fldChar w:fldCharType="end"/>
      </w:r>
      <w:r w:rsidR="08205BE8">
        <w:t xml:space="preserve">. </w:t>
      </w:r>
      <w:r w:rsidR="00DB2EF7" w:rsidRPr="00273106">
        <w:t>Klíčový je přesun z kauzality p</w:t>
      </w:r>
      <w:r w:rsidR="00E82EB9">
        <w:t xml:space="preserve">rvní substance, tj. z principu </w:t>
      </w:r>
      <w:r w:rsidR="003C11AF">
        <w:t>„</w:t>
      </w:r>
      <w:r w:rsidR="08A57747" w:rsidRPr="08A57747">
        <w:rPr>
          <w:i/>
        </w:rPr>
        <w:t>ex</w:t>
      </w:r>
      <w:r w:rsidR="08A57747">
        <w:t xml:space="preserve"> </w:t>
      </w:r>
      <w:r w:rsidR="086B532D">
        <w:rPr>
          <w:i/>
        </w:rPr>
        <w:t>in</w:t>
      </w:r>
      <w:r w:rsidR="00DB2EF7" w:rsidRPr="00273106">
        <w:rPr>
          <w:i/>
        </w:rPr>
        <w:t>mediat</w:t>
      </w:r>
      <w:r w:rsidR="08A57747">
        <w:rPr>
          <w:i/>
        </w:rPr>
        <w:t>is</w:t>
      </w:r>
      <w:r w:rsidR="003C11AF">
        <w:t>“</w:t>
      </w:r>
      <w:r w:rsidR="084F5E3C">
        <w:fldChar w:fldCharType="begin"/>
      </w:r>
      <w:r w:rsidR="084F5E3C">
        <w:instrText xml:space="preserve"> XE "</w:instrText>
      </w:r>
      <w:r w:rsidR="084F5E3C" w:rsidRPr="006063F4">
        <w:instrText xml:space="preserve">princip </w:instrText>
      </w:r>
      <w:r w:rsidR="084F5E3C">
        <w:rPr>
          <w:i/>
        </w:rPr>
        <w:instrText>ex in</w:instrText>
      </w:r>
      <w:r w:rsidR="084F5E3C" w:rsidRPr="00EE3030">
        <w:rPr>
          <w:i/>
        </w:rPr>
        <w:instrText>mediatis</w:instrText>
      </w:r>
      <w:r w:rsidR="084F5E3C">
        <w:instrText xml:space="preserve">" </w:instrText>
      </w:r>
      <w:r w:rsidR="084F5E3C">
        <w:fldChar w:fldCharType="end"/>
      </w:r>
      <w:r w:rsidR="00784B35" w:rsidRPr="00273106">
        <w:t xml:space="preserve"> danému v první triádě</w:t>
      </w:r>
      <w:r w:rsidR="00DB2EF7" w:rsidRPr="00273106">
        <w:t xml:space="preserve"> principů</w:t>
      </w:r>
      <w:r w:rsidR="006257C6">
        <w:t>,</w:t>
      </w:r>
      <w:r w:rsidR="00DB2EF7" w:rsidRPr="00273106">
        <w:t xml:space="preserve"> na </w:t>
      </w:r>
      <w:r w:rsidR="00784B35" w:rsidRPr="00273106">
        <w:t xml:space="preserve">primát </w:t>
      </w:r>
      <w:r w:rsidR="00DB2EF7" w:rsidRPr="00273106">
        <w:t>druh</w:t>
      </w:r>
      <w:r w:rsidR="00784B35" w:rsidRPr="00273106">
        <w:t>é triády</w:t>
      </w:r>
      <w:r w:rsidR="00DB2EF7" w:rsidRPr="00273106">
        <w:t xml:space="preserve">, kde jsou závěry </w:t>
      </w:r>
      <w:r w:rsidR="00C01D9C" w:rsidRPr="00273106">
        <w:t xml:space="preserve">vědeckého soudu </w:t>
      </w:r>
      <w:r w:rsidR="00DB2EF7" w:rsidRPr="00273106">
        <w:t>dány v mod</w:t>
      </w:r>
      <w:r w:rsidR="006257C6">
        <w:t>u</w:t>
      </w:r>
      <w:r w:rsidR="00DB2EF7" w:rsidRPr="00273106">
        <w:t xml:space="preserve"> logické inference.</w:t>
      </w:r>
      <w:r w:rsidR="00E82EB9">
        <w:t xml:space="preserve"> </w:t>
      </w:r>
      <w:r w:rsidR="009C7D4E" w:rsidRPr="00273106">
        <w:t xml:space="preserve">Tuto změnu </w:t>
      </w:r>
      <w:r w:rsidR="009C7D4E">
        <w:t xml:space="preserve">zásadně </w:t>
      </w:r>
      <w:r w:rsidR="009C7D4E" w:rsidRPr="00273106">
        <w:t>od</w:t>
      </w:r>
      <w:r w:rsidR="009C7D4E">
        <w:t xml:space="preserve">mítl </w:t>
      </w:r>
      <w:r w:rsidR="009C7D4E" w:rsidRPr="00273106">
        <w:t xml:space="preserve">Albert v úvodu </w:t>
      </w:r>
      <w:r w:rsidR="009C7D4E" w:rsidRPr="00273106">
        <w:rPr>
          <w:i/>
        </w:rPr>
        <w:t>De homine</w:t>
      </w:r>
      <w:r w:rsidR="009C7D4E" w:rsidRPr="00273106">
        <w:t xml:space="preserve"> </w:t>
      </w:r>
      <w:r w:rsidR="009C7D4E">
        <w:t xml:space="preserve">jako </w:t>
      </w:r>
      <w:r w:rsidR="08B76E18">
        <w:t>nedostatečně vě</w:t>
      </w:r>
      <w:r w:rsidR="009C7D4E">
        <w:t xml:space="preserve">decký způsob poznání </w:t>
      </w:r>
      <w:r w:rsidR="009C7D4E" w:rsidRPr="00273106">
        <w:t>(</w:t>
      </w:r>
      <w:r w:rsidR="08945F5B" w:rsidRPr="00273106">
        <w:rPr>
          <w:i/>
        </w:rPr>
        <w:t>scientur imperfecte</w:t>
      </w:r>
      <w:r w:rsidR="08945F5B">
        <w:t xml:space="preserve">, </w:t>
      </w:r>
      <w:r w:rsidR="08E310C1">
        <w:t>kap. 2</w:t>
      </w:r>
      <w:r w:rsidR="009C7D4E" w:rsidRPr="00273106">
        <w:t xml:space="preserve">.4.1). </w:t>
      </w:r>
      <w:r w:rsidR="00536673" w:rsidRPr="00273106">
        <w:t xml:space="preserve"> </w:t>
      </w:r>
      <w:r w:rsidR="00D25987" w:rsidRPr="00273106">
        <w:t xml:space="preserve">Změnu statutu </w:t>
      </w:r>
      <w:r w:rsidR="0024208D" w:rsidRPr="00273106">
        <w:t xml:space="preserve">středního </w:t>
      </w:r>
      <w:r w:rsidR="00D25987" w:rsidRPr="00273106">
        <w:t xml:space="preserve">členu soudu </w:t>
      </w:r>
      <w:r w:rsidR="006379C8">
        <w:rPr>
          <w:lang w:eastAsia="en-US"/>
        </w:rPr>
        <w:t>(</w:t>
      </w:r>
      <w:r w:rsidR="006379C8" w:rsidRPr="00FD56D5">
        <w:rPr>
          <w:i/>
          <w:lang w:eastAsia="en-US"/>
        </w:rPr>
        <w:t>medium</w:t>
      </w:r>
      <w:r w:rsidR="006379C8">
        <w:rPr>
          <w:lang w:eastAsia="en-US"/>
        </w:rPr>
        <w:t xml:space="preserve">) </w:t>
      </w:r>
      <w:r w:rsidR="00782B0A" w:rsidRPr="00273106">
        <w:t xml:space="preserve">odmítl </w:t>
      </w:r>
      <w:r w:rsidR="00D25987" w:rsidRPr="00273106">
        <w:t xml:space="preserve">i </w:t>
      </w:r>
      <w:r w:rsidR="00782B0A" w:rsidRPr="00273106">
        <w:t xml:space="preserve">Bacon, který trvá na univerzalitě </w:t>
      </w:r>
      <w:r w:rsidR="00D25987" w:rsidRPr="00273106">
        <w:rPr>
          <w:i/>
        </w:rPr>
        <w:t>medium</w:t>
      </w:r>
      <w:r w:rsidR="00610F15">
        <w:rPr>
          <w:i/>
        </w:rPr>
        <w:fldChar w:fldCharType="begin"/>
      </w:r>
      <w:r w:rsidR="00610F15">
        <w:instrText xml:space="preserve"> XE "</w:instrText>
      </w:r>
      <w:r w:rsidR="00610F15" w:rsidRPr="001618A5">
        <w:rPr>
          <w:i/>
        </w:rPr>
        <w:instrText>medium</w:instrText>
      </w:r>
      <w:r w:rsidR="00610F15" w:rsidRPr="00EE3030">
        <w:instrText>:</w:instrText>
      </w:r>
      <w:r w:rsidR="00EE3030" w:rsidRPr="00EE3030">
        <w:instrText>Bacon</w:instrText>
      </w:r>
      <w:r w:rsidR="00610F15">
        <w:instrText xml:space="preserve">" </w:instrText>
      </w:r>
      <w:r w:rsidR="00610F15">
        <w:rPr>
          <w:i/>
        </w:rPr>
        <w:fldChar w:fldCharType="end"/>
      </w:r>
      <w:r w:rsidR="00D25987" w:rsidRPr="00273106">
        <w:t xml:space="preserve"> </w:t>
      </w:r>
      <w:r w:rsidR="00716231" w:rsidRPr="00273106">
        <w:t>podle kauzality</w:t>
      </w:r>
      <w:r w:rsidR="00782B0A" w:rsidRPr="00273106">
        <w:t xml:space="preserve"> </w:t>
      </w:r>
      <w:r w:rsidR="00C3647F">
        <w:t xml:space="preserve">predikované </w:t>
      </w:r>
      <w:r w:rsidR="00F07BF4" w:rsidRPr="00273106">
        <w:t xml:space="preserve">z první triády principů poznání </w:t>
      </w:r>
      <w:r w:rsidR="00782B0A" w:rsidRPr="00273106">
        <w:t>(</w:t>
      </w:r>
      <w:r w:rsidR="00782B0A" w:rsidRPr="00273106">
        <w:rPr>
          <w:i/>
        </w:rPr>
        <w:t>hoc est universale per causalitatem et non per predicationem formalem</w:t>
      </w:r>
      <w:r w:rsidR="08E310C1">
        <w:t>, kap. 3</w:t>
      </w:r>
      <w:r w:rsidR="00EE15EF">
        <w:t xml:space="preserve">.2). </w:t>
      </w:r>
      <w:r w:rsidR="00EE15EF" w:rsidRPr="00273106">
        <w:t>Z tohoto základního důvodu Rufus nepatří k pr</w:t>
      </w:r>
      <w:r w:rsidR="00EE15EF">
        <w:t xml:space="preserve">vnímu averroismu, ale ke směru </w:t>
      </w:r>
      <w:r w:rsidR="00EE15EF" w:rsidRPr="00273106">
        <w:rPr>
          <w:i/>
        </w:rPr>
        <w:t>sophistae Latini</w:t>
      </w:r>
      <w:r w:rsidR="00EE15EF" w:rsidRPr="00273106">
        <w:t xml:space="preserve">, který </w:t>
      </w:r>
      <w:r w:rsidR="00EE15EF">
        <w:t xml:space="preserve">kritizovali </w:t>
      </w:r>
      <w:r w:rsidR="00EE15EF" w:rsidRPr="00273106">
        <w:t>biskup Alvernus</w:t>
      </w:r>
      <w:r w:rsidR="00EE15EF">
        <w:t xml:space="preserve"> a Albert kolem 1240</w:t>
      </w:r>
      <w:r w:rsidR="00EE15EF" w:rsidRPr="00273106">
        <w:t>.</w:t>
      </w:r>
    </w:p>
    <w:p w14:paraId="263F8AA8" w14:textId="28B16005" w:rsidR="00E8175F" w:rsidRPr="00AC23A8" w:rsidRDefault="00B91823" w:rsidP="00EE15EF">
      <w:pPr>
        <w:ind w:firstLine="397"/>
        <w:rPr>
          <w:iCs/>
        </w:rPr>
      </w:pPr>
      <w:r>
        <w:t xml:space="preserve">Modernismus </w:t>
      </w:r>
      <w:r w:rsidR="00493906" w:rsidRPr="00493906">
        <w:t>Rufus</w:t>
      </w:r>
      <w:r>
        <w:t>e byl evidentní</w:t>
      </w:r>
      <w:r w:rsidR="00493906" w:rsidRPr="00493906">
        <w:t xml:space="preserve">, když </w:t>
      </w:r>
      <w:r w:rsidR="00AE1DEE">
        <w:t xml:space="preserve">zavedl nový </w:t>
      </w:r>
      <w:r w:rsidR="00493906" w:rsidRPr="00493906">
        <w:t xml:space="preserve">statut deduktivního </w:t>
      </w:r>
      <w:r w:rsidR="00493906">
        <w:t xml:space="preserve">vědeckého důkazu </w:t>
      </w:r>
      <w:r w:rsidR="00493906" w:rsidRPr="00493906">
        <w:t xml:space="preserve">a </w:t>
      </w:r>
      <w:r w:rsidR="00AE1DEE">
        <w:t xml:space="preserve">novou </w:t>
      </w:r>
      <w:r w:rsidR="00493906" w:rsidRPr="00493906">
        <w:t>teorii pravdy.</w:t>
      </w:r>
      <w:r w:rsidR="00493906">
        <w:t xml:space="preserve"> </w:t>
      </w:r>
      <w:r w:rsidR="00D72ECA">
        <w:t>D</w:t>
      </w:r>
      <w:r w:rsidR="00EC07DC" w:rsidRPr="00273106">
        <w:t>eduktivní soud</w:t>
      </w:r>
      <w:r w:rsidR="00D72ECA">
        <w:t xml:space="preserve"> není determinován </w:t>
      </w:r>
      <w:r w:rsidR="00EC07DC" w:rsidRPr="00273106">
        <w:t>kauzalitu reáln</w:t>
      </w:r>
      <w:r w:rsidR="00D72ECA">
        <w:t>ých věcí</w:t>
      </w:r>
      <w:r w:rsidR="00EC07DC" w:rsidRPr="00273106">
        <w:t xml:space="preserve">, ale teoretickým poznáním. Intuici prvních principů má i výše citovaný komentář Grossetesteho ke </w:t>
      </w:r>
      <w:r w:rsidR="00EC07DC" w:rsidRPr="00535E40">
        <w:rPr>
          <w:i/>
        </w:rPr>
        <w:t>Druhým analytikám</w:t>
      </w:r>
      <w:r w:rsidR="00EC07DC" w:rsidRPr="00273106">
        <w:t xml:space="preserve"> (</w:t>
      </w:r>
      <w:r w:rsidR="081335E5" w:rsidRPr="081335E5">
        <w:rPr>
          <w:i/>
        </w:rPr>
        <w:t>intellectio</w:t>
      </w:r>
      <w:r w:rsidR="081335E5">
        <w:t xml:space="preserve">, </w:t>
      </w:r>
      <w:r w:rsidR="08165337">
        <w:t>kap. 3</w:t>
      </w:r>
      <w:r w:rsidR="00EC07DC" w:rsidRPr="00273106">
        <w:t xml:space="preserve">.1.1). </w:t>
      </w:r>
      <w:r w:rsidR="00535E40">
        <w:t>Rufusův v</w:t>
      </w:r>
      <w:r w:rsidR="00EC07DC" w:rsidRPr="00273106">
        <w:t xml:space="preserve">ýklad </w:t>
      </w:r>
      <w:r w:rsidR="00AD7B27">
        <w:t xml:space="preserve">přebírá scénář </w:t>
      </w:r>
      <w:r w:rsidR="00EC07DC" w:rsidRPr="00273106">
        <w:rPr>
          <w:i/>
        </w:rPr>
        <w:t>Oxfordian Fallacy</w:t>
      </w:r>
      <w:r w:rsidR="00AD7B27">
        <w:t>, který</w:t>
      </w:r>
      <w:r w:rsidR="00EC07DC" w:rsidRPr="00273106">
        <w:t xml:space="preserve"> zavedl Grosseteste. </w:t>
      </w:r>
      <w:r w:rsidR="00DC58F7">
        <w:t xml:space="preserve">Druhá triáda </w:t>
      </w:r>
      <w:r w:rsidR="007322A6">
        <w:t>prvních principů je hypostázována</w:t>
      </w:r>
      <w:r w:rsidR="00DC58F7">
        <w:t xml:space="preserve"> </w:t>
      </w:r>
      <w:r w:rsidR="007322A6">
        <w:t>mnohem radikálnějším způsobem. Předešlá citace ukázala, že s</w:t>
      </w:r>
      <w:r w:rsidR="00DC58F7">
        <w:t xml:space="preserve">ubsistentní charakter </w:t>
      </w:r>
      <w:r w:rsidR="007322A6">
        <w:t xml:space="preserve">dostal i </w:t>
      </w:r>
      <w:r w:rsidR="007322A6" w:rsidRPr="007322A6">
        <w:rPr>
          <w:i/>
        </w:rPr>
        <w:t>intellectus possibilis</w:t>
      </w:r>
      <w:r w:rsidR="007322A6">
        <w:t xml:space="preserve"> </w:t>
      </w:r>
      <w:r w:rsidR="00DC58F7">
        <w:t>podle Avicennova pojetí intel</w:t>
      </w:r>
      <w:r w:rsidR="00C62415">
        <w:t>ekt</w:t>
      </w:r>
      <w:r w:rsidR="00DC58F7">
        <w:t>u „létajícího muže</w:t>
      </w:r>
      <w:r w:rsidR="00652149">
        <w:fldChar w:fldCharType="begin"/>
      </w:r>
      <w:r w:rsidR="00652149">
        <w:instrText xml:space="preserve"> XE "</w:instrText>
      </w:r>
      <w:r w:rsidR="00652149" w:rsidRPr="00FC391D">
        <w:rPr>
          <w:rStyle w:val="FontStyle129"/>
          <w:rFonts w:ascii="Calibri" w:hAnsi="Calibri"/>
          <w:sz w:val="24"/>
        </w:rPr>
        <w:instrText>létající muž</w:instrText>
      </w:r>
      <w:r w:rsidR="00652149">
        <w:instrText xml:space="preserve">" </w:instrText>
      </w:r>
      <w:r w:rsidR="00652149">
        <w:fldChar w:fldCharType="end"/>
      </w:r>
      <w:r w:rsidR="00DC58F7">
        <w:t>“</w:t>
      </w:r>
      <w:r w:rsidR="007322A6">
        <w:t xml:space="preserve">. Tím vznikl v duši </w:t>
      </w:r>
      <w:r w:rsidR="00DC58F7">
        <w:t xml:space="preserve">trvalý intelektuální náhled do prvních principů. </w:t>
      </w:r>
      <w:r w:rsidR="007322A6">
        <w:t xml:space="preserve">Rufus hypostázoval </w:t>
      </w:r>
      <w:r w:rsidR="00E21170">
        <w:t>střední člen</w:t>
      </w:r>
      <w:r w:rsidR="007322A6">
        <w:t xml:space="preserve"> deduktivního sylogismu</w:t>
      </w:r>
      <w:r w:rsidR="004332FE">
        <w:t xml:space="preserve"> stejným způsobem, jak to </w:t>
      </w:r>
      <w:r w:rsidR="004332FE" w:rsidRPr="004332FE">
        <w:t>ukazuje předchozí schéma intelektu.</w:t>
      </w:r>
    </w:p>
    <w:p w14:paraId="6EB709B3" w14:textId="17FCD994" w:rsidR="00A2238E" w:rsidRPr="00273106" w:rsidRDefault="009B102A" w:rsidP="003777A2">
      <w:pPr>
        <w:pStyle w:val="Citace"/>
        <w:rPr>
          <w:noProof/>
          <w:lang w:val="cs-CZ"/>
        </w:rPr>
      </w:pPr>
      <w:r w:rsidRPr="00273106">
        <w:rPr>
          <w:noProof/>
          <w:lang w:val="cs-CZ"/>
        </w:rPr>
        <w:t>„</w:t>
      </w:r>
      <w:r w:rsidR="080E0D70">
        <w:rPr>
          <w:noProof/>
          <w:lang w:val="cs-CZ"/>
        </w:rPr>
        <w:t>Je třeba vědět, že i</w:t>
      </w:r>
      <w:r w:rsidR="00A2238E" w:rsidRPr="00273106">
        <w:rPr>
          <w:noProof/>
          <w:lang w:val="cs-CZ"/>
        </w:rPr>
        <w:t>ntelekt je vzhle</w:t>
      </w:r>
      <w:r w:rsidR="003777A2" w:rsidRPr="00273106">
        <w:rPr>
          <w:noProof/>
          <w:lang w:val="cs-CZ"/>
        </w:rPr>
        <w:t xml:space="preserve">dem </w:t>
      </w:r>
      <w:r w:rsidR="00535E40">
        <w:rPr>
          <w:noProof/>
          <w:lang w:val="cs-CZ"/>
        </w:rPr>
        <w:t xml:space="preserve">k </w:t>
      </w:r>
      <w:r w:rsidR="003777A2" w:rsidRPr="00273106">
        <w:rPr>
          <w:noProof/>
          <w:lang w:val="cs-CZ"/>
        </w:rPr>
        <w:t xml:space="preserve">principům poznání </w:t>
      </w:r>
      <w:r w:rsidR="00060477">
        <w:rPr>
          <w:noProof/>
          <w:lang w:val="cs-CZ"/>
        </w:rPr>
        <w:t>(</w:t>
      </w:r>
      <w:r w:rsidR="00060477" w:rsidRPr="00060477">
        <w:rPr>
          <w:i/>
        </w:rPr>
        <w:t>respectu cognitionis principiorum</w:t>
      </w:r>
      <w:r w:rsidR="00060477">
        <w:rPr>
          <w:noProof/>
          <w:lang w:val="cs-CZ"/>
        </w:rPr>
        <w:t xml:space="preserve">) </w:t>
      </w:r>
      <w:r w:rsidR="003777A2" w:rsidRPr="00273106">
        <w:rPr>
          <w:noProof/>
          <w:lang w:val="cs-CZ"/>
        </w:rPr>
        <w:t>v akcident</w:t>
      </w:r>
      <w:r w:rsidR="00A2238E" w:rsidRPr="00273106">
        <w:rPr>
          <w:noProof/>
          <w:lang w:val="cs-CZ"/>
        </w:rPr>
        <w:t>ální potenci</w:t>
      </w:r>
      <w:r w:rsidR="00392834" w:rsidRPr="00273106">
        <w:rPr>
          <w:noProof/>
          <w:lang w:val="cs-CZ"/>
        </w:rPr>
        <w:t xml:space="preserve"> (</w:t>
      </w:r>
      <w:r w:rsidR="00392834" w:rsidRPr="00273106">
        <w:rPr>
          <w:i/>
          <w:noProof/>
          <w:lang w:val="cs-CZ"/>
        </w:rPr>
        <w:t>in potentia accidentali</w:t>
      </w:r>
      <w:r w:rsidR="00392834" w:rsidRPr="00273106">
        <w:rPr>
          <w:noProof/>
          <w:lang w:val="cs-CZ"/>
        </w:rPr>
        <w:t>)</w:t>
      </w:r>
      <w:r w:rsidR="080E0D70">
        <w:rPr>
          <w:noProof/>
          <w:lang w:val="cs-CZ"/>
        </w:rPr>
        <w:t>,</w:t>
      </w:r>
      <w:r w:rsidR="00A2238E" w:rsidRPr="00273106">
        <w:rPr>
          <w:noProof/>
          <w:lang w:val="cs-CZ"/>
        </w:rPr>
        <w:t xml:space="preserve"> ale vzhledem k poznání závěrů soudu </w:t>
      </w:r>
      <w:r w:rsidR="00060477">
        <w:rPr>
          <w:noProof/>
          <w:lang w:val="cs-CZ"/>
        </w:rPr>
        <w:t>(</w:t>
      </w:r>
      <w:r w:rsidR="00060477" w:rsidRPr="00060477">
        <w:rPr>
          <w:i/>
        </w:rPr>
        <w:t>respectu cognitionis conclusionum</w:t>
      </w:r>
      <w:r w:rsidR="00060477">
        <w:rPr>
          <w:noProof/>
          <w:lang w:val="cs-CZ"/>
        </w:rPr>
        <w:t xml:space="preserve">) </w:t>
      </w:r>
      <w:r w:rsidR="00A2238E" w:rsidRPr="00273106">
        <w:rPr>
          <w:noProof/>
          <w:lang w:val="cs-CZ"/>
        </w:rPr>
        <w:t>je v esenciální potenci</w:t>
      </w:r>
      <w:r w:rsidR="00392834" w:rsidRPr="00273106">
        <w:rPr>
          <w:noProof/>
          <w:lang w:val="cs-CZ"/>
        </w:rPr>
        <w:t xml:space="preserve"> (</w:t>
      </w:r>
      <w:r w:rsidR="00392834" w:rsidRPr="00273106">
        <w:rPr>
          <w:i/>
          <w:noProof/>
          <w:lang w:val="cs-CZ"/>
        </w:rPr>
        <w:t>in potentia essentiali</w:t>
      </w:r>
      <w:r w:rsidR="00392834" w:rsidRPr="00273106">
        <w:rPr>
          <w:noProof/>
          <w:lang w:val="cs-CZ"/>
        </w:rPr>
        <w:t>)</w:t>
      </w:r>
      <w:r w:rsidR="00941879">
        <w:rPr>
          <w:noProof/>
          <w:lang w:val="cs-CZ"/>
        </w:rPr>
        <w:t xml:space="preserve">. </w:t>
      </w:r>
      <w:r w:rsidR="00941879" w:rsidRPr="00941879">
        <w:rPr>
          <w:noProof/>
          <w:lang w:val="cs-CZ"/>
        </w:rPr>
        <w:t>Je tedy pravda, že vzhledem ke stvořenému charakteru poznání nemá intelekt trvalé první principy.</w:t>
      </w:r>
      <w:r w:rsidR="00941879">
        <w:rPr>
          <w:noProof/>
          <w:lang w:val="cs-CZ"/>
        </w:rPr>
        <w:t xml:space="preserve"> </w:t>
      </w:r>
      <w:r w:rsidR="006E2D68" w:rsidRPr="00273106">
        <w:rPr>
          <w:noProof/>
          <w:lang w:val="cs-CZ"/>
        </w:rPr>
        <w:t>Vzhl</w:t>
      </w:r>
      <w:r w:rsidR="00E21170">
        <w:rPr>
          <w:noProof/>
          <w:lang w:val="cs-CZ"/>
        </w:rPr>
        <w:t xml:space="preserve">edem k nim je </w:t>
      </w:r>
      <w:r w:rsidR="00CD0306">
        <w:rPr>
          <w:noProof/>
          <w:lang w:val="cs-CZ"/>
        </w:rPr>
        <w:t xml:space="preserve">intelekt </w:t>
      </w:r>
      <w:r w:rsidR="00E21170">
        <w:rPr>
          <w:noProof/>
          <w:lang w:val="cs-CZ"/>
        </w:rPr>
        <w:t xml:space="preserve">v pouhé potenci, ale </w:t>
      </w:r>
      <w:r w:rsidR="0012397A">
        <w:rPr>
          <w:noProof/>
          <w:lang w:val="cs-CZ"/>
        </w:rPr>
        <w:t>poznává je</w:t>
      </w:r>
      <w:r w:rsidR="00535E40">
        <w:rPr>
          <w:noProof/>
          <w:lang w:val="cs-CZ"/>
        </w:rPr>
        <w:t xml:space="preserve"> tím, že </w:t>
      </w:r>
      <w:r w:rsidR="080E0D70">
        <w:rPr>
          <w:noProof/>
          <w:lang w:val="cs-CZ"/>
        </w:rPr>
        <w:t xml:space="preserve">přejde </w:t>
      </w:r>
      <w:r w:rsidR="00535E40">
        <w:rPr>
          <w:noProof/>
          <w:lang w:val="cs-CZ"/>
        </w:rPr>
        <w:t xml:space="preserve">do aktuálního výkonu poznání </w:t>
      </w:r>
      <w:r w:rsidR="00E21170">
        <w:rPr>
          <w:noProof/>
          <w:lang w:val="cs-CZ"/>
        </w:rPr>
        <w:t>(</w:t>
      </w:r>
      <w:r w:rsidR="00E21170" w:rsidRPr="00E21170">
        <w:rPr>
          <w:i/>
          <w:noProof/>
          <w:lang w:val="cs-CZ"/>
        </w:rPr>
        <w:t>tamen</w:t>
      </w:r>
      <w:r w:rsidR="00E21170">
        <w:rPr>
          <w:noProof/>
          <w:lang w:val="cs-CZ"/>
        </w:rPr>
        <w:t xml:space="preserve"> </w:t>
      </w:r>
      <w:r w:rsidR="00E21170" w:rsidRPr="00E21170">
        <w:rPr>
          <w:i/>
        </w:rPr>
        <w:t>exit in actum cognoscendi ea</w:t>
      </w:r>
      <w:r w:rsidR="00E21170">
        <w:rPr>
          <w:noProof/>
          <w:lang w:val="cs-CZ"/>
        </w:rPr>
        <w:t>)</w:t>
      </w:r>
      <w:r w:rsidR="080E0D70">
        <w:rPr>
          <w:noProof/>
          <w:lang w:val="cs-CZ"/>
        </w:rPr>
        <w:t>. Toto poznání není poznáním v klasickém smyslu</w:t>
      </w:r>
      <w:r w:rsidR="006E2D68" w:rsidRPr="00273106">
        <w:rPr>
          <w:noProof/>
          <w:lang w:val="cs-CZ"/>
        </w:rPr>
        <w:t xml:space="preserve">, </w:t>
      </w:r>
      <w:r w:rsidR="080E0D70">
        <w:rPr>
          <w:noProof/>
          <w:lang w:val="cs-CZ"/>
        </w:rPr>
        <w:t xml:space="preserve">protože demonstrace </w:t>
      </w:r>
      <w:r w:rsidR="003777A2" w:rsidRPr="00273106">
        <w:rPr>
          <w:noProof/>
          <w:lang w:val="cs-CZ"/>
        </w:rPr>
        <w:t>platí</w:t>
      </w:r>
      <w:r w:rsidR="006E2D68" w:rsidRPr="00273106">
        <w:rPr>
          <w:noProof/>
          <w:lang w:val="cs-CZ"/>
        </w:rPr>
        <w:t xml:space="preserve"> pouze o poznání </w:t>
      </w:r>
      <w:r w:rsidR="00BB2ACF">
        <w:rPr>
          <w:noProof/>
          <w:lang w:val="cs-CZ"/>
        </w:rPr>
        <w:t xml:space="preserve">vytvořené </w:t>
      </w:r>
      <w:r w:rsidR="00DC7CAB">
        <w:rPr>
          <w:noProof/>
          <w:lang w:val="cs-CZ"/>
        </w:rPr>
        <w:t>skrze závěry</w:t>
      </w:r>
      <w:r w:rsidR="006E2D68" w:rsidRPr="00273106">
        <w:rPr>
          <w:noProof/>
          <w:lang w:val="cs-CZ"/>
        </w:rPr>
        <w:t xml:space="preserve"> soudu.</w:t>
      </w:r>
      <w:r w:rsidR="003777A2" w:rsidRPr="00273106">
        <w:rPr>
          <w:noProof/>
          <w:lang w:val="cs-CZ"/>
        </w:rPr>
        <w:t>“</w:t>
      </w:r>
      <w:r w:rsidR="006E2D68" w:rsidRPr="00273106">
        <w:rPr>
          <w:noProof/>
          <w:lang w:val="cs-CZ"/>
        </w:rPr>
        <w:t xml:space="preserve"> </w:t>
      </w:r>
      <w:r w:rsidR="00A2238E" w:rsidRPr="00273106">
        <w:rPr>
          <w:rStyle w:val="Znakapoznpodarou"/>
          <w:noProof/>
          <w:lang w:val="cs-CZ"/>
        </w:rPr>
        <w:footnoteReference w:id="380"/>
      </w:r>
    </w:p>
    <w:p w14:paraId="7EFBFA7B" w14:textId="4B298E7E" w:rsidR="006668D9" w:rsidRPr="00273106" w:rsidRDefault="00BD56F5" w:rsidP="005108FC">
      <w:r w:rsidRPr="00273106">
        <w:lastRenderedPageBreak/>
        <w:t>Poznání je v mysli dáno potenciálně</w:t>
      </w:r>
      <w:r w:rsidR="0077384B" w:rsidRPr="00273106">
        <w:t xml:space="preserve"> </w:t>
      </w:r>
      <w:r w:rsidR="08BE5C65">
        <w:t xml:space="preserve">a kontingentně </w:t>
      </w:r>
      <w:r w:rsidR="0077384B" w:rsidRPr="00273106">
        <w:t>(</w:t>
      </w:r>
      <w:r w:rsidR="00D05479" w:rsidRPr="00273106">
        <w:rPr>
          <w:i/>
        </w:rPr>
        <w:t>in potentia accidentali</w:t>
      </w:r>
      <w:r w:rsidR="0077384B" w:rsidRPr="00273106">
        <w:t>)</w:t>
      </w:r>
      <w:r w:rsidRPr="00273106">
        <w:t xml:space="preserve">, protože </w:t>
      </w:r>
      <w:r w:rsidR="08BE5C65">
        <w:t xml:space="preserve">hypostázované </w:t>
      </w:r>
      <w:r w:rsidRPr="00273106">
        <w:t xml:space="preserve">poznávací principy </w:t>
      </w:r>
      <w:r w:rsidR="08BE5C65">
        <w:t xml:space="preserve">jsou </w:t>
      </w:r>
      <w:r w:rsidR="08BE5C65" w:rsidRPr="08BE5C65">
        <w:rPr>
          <w:i/>
        </w:rPr>
        <w:t>ad hoc</w:t>
      </w:r>
      <w:r w:rsidR="08BE5C65">
        <w:t xml:space="preserve"> </w:t>
      </w:r>
      <w:r w:rsidRPr="00273106">
        <w:t>aktualizovány</w:t>
      </w:r>
      <w:r w:rsidR="00A92B85">
        <w:t xml:space="preserve"> od reálné věci</w:t>
      </w:r>
      <w:r w:rsidR="00E56DC8" w:rsidRPr="00273106">
        <w:t xml:space="preserve">. </w:t>
      </w:r>
      <w:r w:rsidR="08BE5C65">
        <w:t xml:space="preserve">Proto </w:t>
      </w:r>
      <w:r w:rsidR="00CA2054">
        <w:t>i</w:t>
      </w:r>
      <w:r w:rsidR="00C35A26" w:rsidRPr="00273106">
        <w:t xml:space="preserve">ntelekt </w:t>
      </w:r>
      <w:r w:rsidR="00D05479" w:rsidRPr="00273106">
        <w:t xml:space="preserve">není dán </w:t>
      </w:r>
      <w:r w:rsidR="00C35A26" w:rsidRPr="00273106">
        <w:t>v čisté potenci</w:t>
      </w:r>
      <w:r w:rsidR="00D05479" w:rsidRPr="00273106">
        <w:t>, i když to Rufus zdánlivě tvrdí</w:t>
      </w:r>
      <w:r w:rsidR="08BE5C65">
        <w:t xml:space="preserve"> obranou </w:t>
      </w:r>
      <w:r w:rsidR="08BE5C65" w:rsidRPr="08BE5C65">
        <w:rPr>
          <w:i/>
        </w:rPr>
        <w:t>tabula rasa</w:t>
      </w:r>
      <w:r w:rsidR="00D05479" w:rsidRPr="00273106">
        <w:t xml:space="preserve">. </w:t>
      </w:r>
      <w:r w:rsidR="004F29A9" w:rsidRPr="004F29A9">
        <w:t>Aktualizace intelektu (</w:t>
      </w:r>
      <w:r w:rsidR="004F29A9" w:rsidRPr="004F29A9">
        <w:rPr>
          <w:i/>
        </w:rPr>
        <w:t>exit in actum</w:t>
      </w:r>
      <w:r w:rsidR="004F29A9" w:rsidRPr="004F29A9">
        <w:t xml:space="preserve">) je provedena jako </w:t>
      </w:r>
      <w:r w:rsidR="004F29A9">
        <w:t xml:space="preserve">substanciální </w:t>
      </w:r>
      <w:r w:rsidR="004F29A9" w:rsidRPr="004F29A9">
        <w:t>přirozenost intelektu (</w:t>
      </w:r>
      <w:r w:rsidR="004F29A9" w:rsidRPr="004F29A9">
        <w:rPr>
          <w:i/>
        </w:rPr>
        <w:t>in potentia essentiali</w:t>
      </w:r>
      <w:r w:rsidR="004F29A9">
        <w:t>). Druhý averroismus T</w:t>
      </w:r>
      <w:r w:rsidR="004F29A9" w:rsidRPr="004F29A9">
        <w:t>oledské šk</w:t>
      </w:r>
      <w:r w:rsidR="002A739E">
        <w:t>oly považoval duši za substanci</w:t>
      </w:r>
      <w:r w:rsidR="004F29A9" w:rsidRPr="004F29A9">
        <w:t xml:space="preserve">, ale rozhodně ne intelekt. Grosseteste jako </w:t>
      </w:r>
      <w:r w:rsidR="004F29A9" w:rsidRPr="00501ACF">
        <w:rPr>
          <w:i/>
        </w:rPr>
        <w:t>magister regens</w:t>
      </w:r>
      <w:r w:rsidR="004F29A9" w:rsidRPr="004F29A9">
        <w:t xml:space="preserve"> v Oxfordu a později jako biskup v Lincolnu jistě nemohl připustit, aby se na tehdejší křesťanské univerzitě hlásaly teorie o substanciálním intelektu odděleném od </w:t>
      </w:r>
      <w:r w:rsidR="00C40D14">
        <w:t>reálné osoby</w:t>
      </w:r>
      <w:r w:rsidR="004F29A9" w:rsidRPr="004F29A9">
        <w:t>.</w:t>
      </w:r>
      <w:r w:rsidR="00C40D14">
        <w:t xml:space="preserve"> </w:t>
      </w:r>
      <w:r w:rsidR="00E84213">
        <w:t xml:space="preserve">Ve schématu </w:t>
      </w:r>
      <w:r w:rsidR="00E84213" w:rsidRPr="00307EE1">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472B7D">
        <w:instrText>:</w:instrText>
      </w:r>
      <w:r w:rsidR="00472B7D" w:rsidRPr="00472B7D">
        <w:instrText>Rufus</w:instrText>
      </w:r>
      <w:r w:rsidR="00924399">
        <w:instrText xml:space="preserve">" </w:instrText>
      </w:r>
      <w:r w:rsidR="00924399">
        <w:rPr>
          <w:i/>
        </w:rPr>
        <w:fldChar w:fldCharType="end"/>
      </w:r>
      <w:r w:rsidR="00E84213">
        <w:t xml:space="preserve"> </w:t>
      </w:r>
      <w:r w:rsidR="00E84213" w:rsidRPr="00273106">
        <w:t xml:space="preserve">představuje </w:t>
      </w:r>
      <w:r w:rsidR="00E84213">
        <w:t xml:space="preserve">potence poznání </w:t>
      </w:r>
      <w:r w:rsidR="00570D1B">
        <w:t xml:space="preserve">hypostatický základ </w:t>
      </w:r>
      <w:r w:rsidR="00AC4123">
        <w:t>(</w:t>
      </w:r>
      <w:r w:rsidR="00AC4123" w:rsidRPr="00AC4123">
        <w:rPr>
          <w:i/>
        </w:rPr>
        <w:t>subiectum</w:t>
      </w:r>
      <w:r w:rsidR="00AC4123">
        <w:t xml:space="preserve">) </w:t>
      </w:r>
      <w:r w:rsidR="00E84213">
        <w:t xml:space="preserve">akcidentálního </w:t>
      </w:r>
      <w:r w:rsidR="00E84213" w:rsidRPr="00273106">
        <w:t>poznání</w:t>
      </w:r>
      <w:r w:rsidR="00EF2131">
        <w:t xml:space="preserve">, které je již dané v </w:t>
      </w:r>
      <w:r w:rsidR="089F6206">
        <w:t xml:space="preserve">habituální a esenciální </w:t>
      </w:r>
      <w:r w:rsidR="00EF2131">
        <w:t xml:space="preserve">podobě </w:t>
      </w:r>
      <w:r w:rsidR="00570D1B">
        <w:t xml:space="preserve">jako </w:t>
      </w:r>
      <w:r w:rsidR="00E84213" w:rsidRPr="00597884">
        <w:rPr>
          <w:i/>
        </w:rPr>
        <w:t>potentia substantialis</w:t>
      </w:r>
      <w:r w:rsidR="00505572">
        <w:rPr>
          <w:i/>
        </w:rPr>
        <w:fldChar w:fldCharType="begin"/>
      </w:r>
      <w:r w:rsidR="00505572">
        <w:instrText xml:space="preserve"> XE "</w:instrText>
      </w:r>
      <w:r w:rsidR="003D4002">
        <w:instrText>duše:</w:instrText>
      </w:r>
      <w:r w:rsidR="00505572" w:rsidRPr="00263A8E">
        <w:rPr>
          <w:i/>
        </w:rPr>
        <w:instrText>potentia substantialis</w:instrText>
      </w:r>
      <w:r w:rsidR="00505572">
        <w:instrText xml:space="preserve">" </w:instrText>
      </w:r>
      <w:r w:rsidR="00505572">
        <w:rPr>
          <w:i/>
        </w:rPr>
        <w:fldChar w:fldCharType="end"/>
      </w:r>
      <w:r w:rsidR="089F6206">
        <w:t xml:space="preserve">. </w:t>
      </w:r>
      <w:r w:rsidR="00E07D44" w:rsidRPr="00E07D44">
        <w:t>Rufus navazuje na primát logické triády principů v demonstrativním soud</w:t>
      </w:r>
      <w:r w:rsidR="00E07D44">
        <w:t>u (kap. 3.1.1) zavedením hypostáz</w:t>
      </w:r>
      <w:r w:rsidR="00E07D44" w:rsidRPr="00E07D44">
        <w:t xml:space="preserve">ovaného intelektu, který je </w:t>
      </w:r>
      <w:r w:rsidR="00E07D44">
        <w:t xml:space="preserve">hyparchickým </w:t>
      </w:r>
      <w:r w:rsidR="00E07D44" w:rsidRPr="00E07D44">
        <w:t>nositelem této činnosti.</w:t>
      </w:r>
      <w:r w:rsidR="00E07D44">
        <w:t xml:space="preserve"> </w:t>
      </w:r>
      <w:r w:rsidR="009E1604">
        <w:t>Intelekt jako p</w:t>
      </w:r>
      <w:r w:rsidR="009E1604" w:rsidRPr="00273106">
        <w:t>orretánská esence hraje roli první substance</w:t>
      </w:r>
      <w:r w:rsidR="00A70FA4">
        <w:fldChar w:fldCharType="begin"/>
      </w:r>
      <w:r w:rsidR="00A70FA4">
        <w:instrText xml:space="preserve"> XE "</w:instrText>
      </w:r>
      <w:r w:rsidR="00A70FA4" w:rsidRPr="00DE2A32">
        <w:instrText>substance</w:instrText>
      </w:r>
      <w:r w:rsidR="00472B7D">
        <w:instrText>:intelekt</w:instrText>
      </w:r>
      <w:r w:rsidR="00A70FA4">
        <w:instrText xml:space="preserve">" </w:instrText>
      </w:r>
      <w:r w:rsidR="00A70FA4">
        <w:fldChar w:fldCharType="end"/>
      </w:r>
      <w:r w:rsidR="009E1604" w:rsidRPr="00273106">
        <w:t xml:space="preserve">, protože ve středním členu soudu nahrazuje kauzalitu </w:t>
      </w:r>
      <w:r w:rsidR="009E1604">
        <w:t xml:space="preserve">první substance </w:t>
      </w:r>
      <w:r w:rsidR="009E1604" w:rsidRPr="00273106">
        <w:t xml:space="preserve">danou v reálu. Pak platí, že potence k poznání je stálá a neměnná ve formě substrátu, i když pouze potenciálního. </w:t>
      </w:r>
      <w:r w:rsidR="009D705A" w:rsidRPr="009D705A">
        <w:t xml:space="preserve">Citát potvrzuje, že intelekt jako </w:t>
      </w:r>
      <w:r w:rsidR="009D705A">
        <w:t xml:space="preserve">esence </w:t>
      </w:r>
      <w:r w:rsidR="009D705A" w:rsidRPr="009D705A">
        <w:t>je trvalý</w:t>
      </w:r>
      <w:r w:rsidR="009D705A">
        <w:t xml:space="preserve">, i když není vždy aktualizován </w:t>
      </w:r>
      <w:r w:rsidR="009E1604" w:rsidRPr="00273106">
        <w:t>(</w:t>
      </w:r>
      <w:r w:rsidR="009E1604" w:rsidRPr="00273106">
        <w:rPr>
          <w:i/>
        </w:rPr>
        <w:t>non dicitur proprie quod hic cognitio fiat</w:t>
      </w:r>
      <w:r w:rsidR="009E1604" w:rsidRPr="00273106">
        <w:t xml:space="preserve">). </w:t>
      </w:r>
      <w:r w:rsidR="009D705A">
        <w:t>Myšlení jako hypostázovaná potence „působí“</w:t>
      </w:r>
      <w:r w:rsidR="009D705A" w:rsidRPr="009D705A">
        <w:t xml:space="preserve"> ve vztahu </w:t>
      </w:r>
      <w:r w:rsidR="009D705A">
        <w:t xml:space="preserve">daném </w:t>
      </w:r>
      <w:r w:rsidR="009D705A" w:rsidRPr="009D705A">
        <w:t xml:space="preserve">vnější </w:t>
      </w:r>
      <w:r w:rsidR="00044DBB">
        <w:t xml:space="preserve">aktualizací </w:t>
      </w:r>
      <w:r w:rsidR="002A0C09">
        <w:t xml:space="preserve">interních </w:t>
      </w:r>
      <w:r w:rsidR="009D705A" w:rsidRPr="009D705A">
        <w:t>principů (</w:t>
      </w:r>
      <w:r w:rsidR="009D705A" w:rsidRPr="009D705A">
        <w:rPr>
          <w:i/>
        </w:rPr>
        <w:t>in potentia respectu eorum</w:t>
      </w:r>
      <w:r w:rsidR="009D705A" w:rsidRPr="009D705A">
        <w:t>). Své plné podoby dosahuje v poznávacím aktu (</w:t>
      </w:r>
      <w:r w:rsidR="009D705A" w:rsidRPr="009D705A">
        <w:rPr>
          <w:i/>
        </w:rPr>
        <w:t>exit in actum cognoscendi ea</w:t>
      </w:r>
      <w:r w:rsidR="009D705A" w:rsidRPr="009D705A">
        <w:t>).</w:t>
      </w:r>
      <w:r w:rsidR="009D705A">
        <w:t xml:space="preserve"> </w:t>
      </w:r>
      <w:r w:rsidR="00D05479" w:rsidRPr="00273106">
        <w:t xml:space="preserve">První principy poznání </w:t>
      </w:r>
      <w:r w:rsidR="08A70458">
        <w:t xml:space="preserve">předem </w:t>
      </w:r>
      <w:r w:rsidR="00D05479" w:rsidRPr="00273106">
        <w:t xml:space="preserve">existují ve výše uvedeném </w:t>
      </w:r>
      <w:r w:rsidR="00CA2054">
        <w:t xml:space="preserve">hypostázovaném </w:t>
      </w:r>
      <w:r w:rsidR="00A92B85">
        <w:t>modu esenciální potence</w:t>
      </w:r>
      <w:r w:rsidR="00CA2054">
        <w:t>. P</w:t>
      </w:r>
      <w:r w:rsidR="00D05479" w:rsidRPr="00273106">
        <w:t xml:space="preserve">oznání </w:t>
      </w:r>
      <w:r w:rsidR="080B4339">
        <w:t xml:space="preserve">pro tohoto </w:t>
      </w:r>
      <w:r w:rsidR="003578DA">
        <w:t xml:space="preserve">avicennistu </w:t>
      </w:r>
      <w:r w:rsidR="00E83A39" w:rsidRPr="00273106">
        <w:t>v plném smyslu slova</w:t>
      </w:r>
      <w:r w:rsidR="00A92B85">
        <w:t xml:space="preserve"> neexistuje, protože intelekt je aktuální trv</w:t>
      </w:r>
      <w:r w:rsidR="001E07B1">
        <w:t>ale</w:t>
      </w:r>
      <w:r w:rsidR="00710F5C">
        <w:fldChar w:fldCharType="begin"/>
      </w:r>
      <w:r w:rsidR="00710F5C">
        <w:instrText xml:space="preserve"> XE "</w:instrText>
      </w:r>
      <w:r w:rsidR="00710F5C" w:rsidRPr="002E4503">
        <w:instrText>substance:intelekt</w:instrText>
      </w:r>
      <w:r w:rsidR="00710F5C">
        <w:instrText xml:space="preserve">" </w:instrText>
      </w:r>
      <w:r w:rsidR="00710F5C">
        <w:fldChar w:fldCharType="end"/>
      </w:r>
      <w:r w:rsidR="001E07B1">
        <w:t xml:space="preserve">. </w:t>
      </w:r>
      <w:r w:rsidR="00A92B85">
        <w:t xml:space="preserve">Mění se pouze </w:t>
      </w:r>
      <w:r w:rsidR="00E83A39" w:rsidRPr="00273106">
        <w:t>je</w:t>
      </w:r>
      <w:r w:rsidR="00A92B85">
        <w:t>ho potence</w:t>
      </w:r>
      <w:r w:rsidR="080649BB">
        <w:t xml:space="preserve"> aktualizo</w:t>
      </w:r>
      <w:r w:rsidR="00A92B85">
        <w:t>v</w:t>
      </w:r>
      <w:r w:rsidR="080649BB">
        <w:t>aná v</w:t>
      </w:r>
      <w:r w:rsidR="00A92B85">
        <w:t xml:space="preserve"> tom či onom poznávacím soudu</w:t>
      </w:r>
      <w:r w:rsidR="000B7683">
        <w:t>. A</w:t>
      </w:r>
      <w:r w:rsidR="008646EB" w:rsidRPr="00273106">
        <w:t xml:space="preserve">le </w:t>
      </w:r>
      <w:r w:rsidR="00A92B85">
        <w:t xml:space="preserve">vztah k prvním principům </w:t>
      </w:r>
      <w:r w:rsidR="001E07B1">
        <w:t xml:space="preserve">poznání ze druhé triády </w:t>
      </w:r>
      <w:r w:rsidR="001E07B1" w:rsidRPr="008C57F7">
        <w:rPr>
          <w:i/>
        </w:rPr>
        <w:t>Druhých analytik</w:t>
      </w:r>
      <w:r w:rsidR="001E07B1">
        <w:t xml:space="preserve"> </w:t>
      </w:r>
      <w:r w:rsidR="008646EB" w:rsidRPr="00273106">
        <w:t>už existuje</w:t>
      </w:r>
      <w:r w:rsidR="00936D88">
        <w:t xml:space="preserve"> substanciálně</w:t>
      </w:r>
      <w:r w:rsidR="00E83A39" w:rsidRPr="00273106">
        <w:t xml:space="preserve">. </w:t>
      </w:r>
      <w:r w:rsidR="00253B89">
        <w:t>P</w:t>
      </w:r>
      <w:r w:rsidR="00253B89" w:rsidRPr="00273106">
        <w:t xml:space="preserve">otence </w:t>
      </w:r>
      <w:r w:rsidR="006A13FF" w:rsidRPr="00273106">
        <w:t xml:space="preserve">neznamená </w:t>
      </w:r>
      <w:r w:rsidR="00253B89">
        <w:t xml:space="preserve">recepci </w:t>
      </w:r>
      <w:r w:rsidR="00307EE1">
        <w:t xml:space="preserve">poznané </w:t>
      </w:r>
      <w:r w:rsidR="00B12259">
        <w:t xml:space="preserve">věci v intencionálně zaměřené mysli, </w:t>
      </w:r>
      <w:r w:rsidR="00307EE1">
        <w:t xml:space="preserve">jako </w:t>
      </w:r>
      <w:r w:rsidR="00B12259">
        <w:t>v prvním averroismu.</w:t>
      </w:r>
      <w:r w:rsidR="00307EE1">
        <w:t xml:space="preserve"> </w:t>
      </w:r>
      <w:r w:rsidR="00F30B3A">
        <w:t>I</w:t>
      </w:r>
      <w:r w:rsidR="00F30B3A" w:rsidRPr="00273106">
        <w:t>ntelekt</w:t>
      </w:r>
      <w:r w:rsidR="00115B62">
        <w:t xml:space="preserve">-substance </w:t>
      </w:r>
      <w:r w:rsidR="00F30B3A" w:rsidRPr="00273106">
        <w:t>už má sám o sobě dost hypostázované existence na to, aby zajistil rozběh poznání z druhé triády principů</w:t>
      </w:r>
      <w:r w:rsidR="00D650F9">
        <w:t xml:space="preserve"> dané ve </w:t>
      </w:r>
      <w:r w:rsidR="00D650F9" w:rsidRPr="00173944">
        <w:rPr>
          <w:i/>
        </w:rPr>
        <w:t>Druhých analytikách</w:t>
      </w:r>
      <w:r w:rsidR="00A324BD">
        <w:fldChar w:fldCharType="begin"/>
      </w:r>
      <w:r w:rsidR="00A324BD">
        <w:instrText xml:space="preserve"> XE "</w:instrText>
      </w:r>
      <w:r w:rsidR="00A324BD" w:rsidRPr="00E9486F">
        <w:instrText xml:space="preserve">princip </w:instrText>
      </w:r>
      <w:r w:rsidR="08D91F67">
        <w:rPr>
          <w:i/>
        </w:rPr>
        <w:instrText>ex in</w:instrText>
      </w:r>
      <w:r w:rsidR="00A324BD" w:rsidRPr="00A324BD">
        <w:rPr>
          <w:i/>
        </w:rPr>
        <w:instrText>m</w:instrText>
      </w:r>
      <w:r w:rsidR="00103E28">
        <w:rPr>
          <w:i/>
        </w:rPr>
        <w:instrText>e</w:instrText>
      </w:r>
      <w:r w:rsidR="00A324BD" w:rsidRPr="00A324BD">
        <w:rPr>
          <w:i/>
        </w:rPr>
        <w:instrText>diatis</w:instrText>
      </w:r>
      <w:r w:rsidR="00A324BD">
        <w:instrText xml:space="preserve">" </w:instrText>
      </w:r>
      <w:r w:rsidR="00A324BD">
        <w:fldChar w:fldCharType="end"/>
      </w:r>
      <w:r w:rsidR="00B503B8">
        <w:t xml:space="preserve">. </w:t>
      </w:r>
      <w:r w:rsidR="00452CF3">
        <w:t xml:space="preserve">Moderna nutně </w:t>
      </w:r>
      <w:r w:rsidR="00452CF3" w:rsidRPr="00452CF3">
        <w:t>nepotřebuje první skutečnou substanci pro aktualizaci poznání.</w:t>
      </w:r>
      <w:r w:rsidR="00452CF3">
        <w:t xml:space="preserve"> </w:t>
      </w:r>
      <w:r w:rsidR="00D650F9">
        <w:t>První substanci</w:t>
      </w:r>
      <w:r w:rsidR="00D650F9" w:rsidRPr="00273106">
        <w:t xml:space="preserve"> </w:t>
      </w:r>
      <w:r w:rsidR="00D650F9">
        <w:t xml:space="preserve">danou </w:t>
      </w:r>
      <w:r w:rsidR="00D650F9" w:rsidRPr="00273106">
        <w:t>v realitě</w:t>
      </w:r>
      <w:r w:rsidR="00D650F9">
        <w:t xml:space="preserve"> potřebuje moderna k </w:t>
      </w:r>
      <w:r w:rsidR="00B503B8">
        <w:t xml:space="preserve">aktualizaci poznání </w:t>
      </w:r>
      <w:r w:rsidR="00D650F9">
        <w:t xml:space="preserve">jen </w:t>
      </w:r>
      <w:r w:rsidR="00B503B8">
        <w:t>akcident</w:t>
      </w:r>
      <w:r w:rsidR="00D650F9">
        <w:t>álně</w:t>
      </w:r>
      <w:r w:rsidR="00F30B3A" w:rsidRPr="00273106">
        <w:t xml:space="preserve">. </w:t>
      </w:r>
      <w:r w:rsidR="00C225F3">
        <w:t xml:space="preserve">Sofistika ohledně </w:t>
      </w:r>
      <w:r w:rsidR="00C225F3" w:rsidRPr="00C225F3">
        <w:rPr>
          <w:i/>
        </w:rPr>
        <w:t xml:space="preserve">tabula </w:t>
      </w:r>
      <w:r w:rsidR="00C225F3" w:rsidRPr="00C225F3">
        <w:rPr>
          <w:i/>
        </w:rPr>
        <w:lastRenderedPageBreak/>
        <w:t>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9B30FE">
        <w:t xml:space="preserve"> je zřejmá</w:t>
      </w:r>
      <w:r w:rsidR="002B0FA7">
        <w:t xml:space="preserve">, což viděli všichni </w:t>
      </w:r>
      <w:r w:rsidR="00B549EC">
        <w:t xml:space="preserve">vrcholní </w:t>
      </w:r>
      <w:r w:rsidR="002B0FA7">
        <w:t>představi</w:t>
      </w:r>
      <w:r w:rsidR="08637321">
        <w:t>telé prvního averorismu okolo roku 1240</w:t>
      </w:r>
      <w:r w:rsidR="009B30FE">
        <w:t>. A</w:t>
      </w:r>
      <w:r w:rsidR="00C225F3">
        <w:t xml:space="preserve">ristotelská teze o nasvícení intelektu zepředu platí jen pro akcidentálně a kontingentně daný průběh poznání. </w:t>
      </w:r>
      <w:r w:rsidR="00F67EB6">
        <w:t>Poznání zn</w:t>
      </w:r>
      <w:r w:rsidR="00C71735">
        <w:t>amená přechod této substanciáln</w:t>
      </w:r>
      <w:r w:rsidR="00F67EB6">
        <w:t>í potence do stavu aktuálního poznatku, který dodatečně vyžaduje akcidentální aktualizaci poznávací potence směrem od reálné věci</w:t>
      </w:r>
      <w:r w:rsidR="004E70B9">
        <w:fldChar w:fldCharType="begin"/>
      </w:r>
      <w:r w:rsidR="004E70B9">
        <w:instrText xml:space="preserve"> XE "</w:instrText>
      </w:r>
      <w:r w:rsidR="004E70B9" w:rsidRPr="007F50F9">
        <w:instrText>zjevování:nasvícení zezadu</w:instrText>
      </w:r>
      <w:r w:rsidR="004E70B9">
        <w:instrText xml:space="preserve">" </w:instrText>
      </w:r>
      <w:r w:rsidR="004E70B9">
        <w:fldChar w:fldCharType="end"/>
      </w:r>
      <w:r w:rsidR="00F67EB6">
        <w:t xml:space="preserve">. </w:t>
      </w:r>
      <w:r w:rsidR="00BB5DA8">
        <w:t>S</w:t>
      </w:r>
      <w:r w:rsidR="00DF1EA0">
        <w:t xml:space="preserve">tejné schéma </w:t>
      </w:r>
      <w:r w:rsidR="00BB5DA8">
        <w:t xml:space="preserve">predikace obou složek intelektu v modu „substance‒akcident“ </w:t>
      </w:r>
      <w:r w:rsidR="00DF1EA0">
        <w:t>měla Grossetesteho škola ohledně čin</w:t>
      </w:r>
      <w:r w:rsidR="08C86737">
        <w:t>ného a možného intelektu (kap. 3</w:t>
      </w:r>
      <w:r w:rsidR="00DF1EA0">
        <w:t xml:space="preserve">.1.3). </w:t>
      </w:r>
      <w:r w:rsidR="00A87090" w:rsidRPr="00273106">
        <w:t xml:space="preserve">Bacon </w:t>
      </w:r>
      <w:r w:rsidR="00F9189C">
        <w:t xml:space="preserve">a Albert </w:t>
      </w:r>
      <w:r w:rsidR="00490A37" w:rsidRPr="00273106">
        <w:t>jasně viděl</w:t>
      </w:r>
      <w:r w:rsidR="00F9189C">
        <w:t>i</w:t>
      </w:r>
      <w:r w:rsidR="00A87090" w:rsidRPr="00273106">
        <w:t xml:space="preserve">, že druhý averroismus už nepotřebuje </w:t>
      </w:r>
      <w:r w:rsidR="00490A37" w:rsidRPr="00273106">
        <w:t xml:space="preserve">pro </w:t>
      </w:r>
      <w:r w:rsidR="00CF738F">
        <w:t xml:space="preserve">kauzální determinaci </w:t>
      </w:r>
      <w:r w:rsidR="00490A37" w:rsidRPr="00273106">
        <w:t xml:space="preserve">poznání </w:t>
      </w:r>
      <w:r w:rsidR="00CF738F">
        <w:t>existenci</w:t>
      </w:r>
      <w:r w:rsidR="00A87090" w:rsidRPr="00273106">
        <w:t xml:space="preserve"> prvních su</w:t>
      </w:r>
      <w:r w:rsidR="00490A37" w:rsidRPr="00273106">
        <w:t>bstancí</w:t>
      </w:r>
      <w:r w:rsidR="00FF3C04">
        <w:t xml:space="preserve">, protože realitu </w:t>
      </w:r>
      <w:r w:rsidR="00490A37" w:rsidRPr="00273106">
        <w:t xml:space="preserve">nahradil </w:t>
      </w:r>
      <w:r w:rsidR="00FF3C04">
        <w:t xml:space="preserve">hypostázovanými </w:t>
      </w:r>
      <w:r w:rsidR="00490A37" w:rsidRPr="00273106">
        <w:t>esencemi</w:t>
      </w:r>
      <w:r w:rsidR="006013B8">
        <w:t xml:space="preserve"> porretánů a </w:t>
      </w:r>
      <w:r w:rsidR="006013B8" w:rsidRPr="006013B8">
        <w:rPr>
          <w:i/>
        </w:rPr>
        <w:t>Nominales</w:t>
      </w:r>
      <w:r w:rsidR="00A27BA4">
        <w:rPr>
          <w:i/>
        </w:rPr>
        <w:fldChar w:fldCharType="begin"/>
      </w:r>
      <w:r w:rsidR="00A27BA4">
        <w:instrText xml:space="preserve"> XE "</w:instrText>
      </w:r>
      <w:r w:rsidR="00D7618F">
        <w:instrText>esence:Rufus</w:instrText>
      </w:r>
      <w:r w:rsidR="00A27BA4">
        <w:instrText xml:space="preserve">" </w:instrText>
      </w:r>
      <w:r w:rsidR="00A27BA4">
        <w:rPr>
          <w:i/>
        </w:rPr>
        <w:fldChar w:fldCharType="end"/>
      </w:r>
      <w:r w:rsidR="00A87090" w:rsidRPr="00273106">
        <w:t xml:space="preserve">. </w:t>
      </w:r>
      <w:r w:rsidR="00864431">
        <w:t>Rufusova i</w:t>
      </w:r>
      <w:r w:rsidR="004718D7" w:rsidRPr="00273106">
        <w:t>ntuice podstat</w:t>
      </w:r>
      <w:r w:rsidR="00864431">
        <w:t xml:space="preserve">y intelektu </w:t>
      </w:r>
      <w:r w:rsidR="00B208D9">
        <w:t>či eidetický náhled Husserla</w:t>
      </w:r>
      <w:r w:rsidR="00E75B24">
        <w:fldChar w:fldCharType="begin"/>
      </w:r>
      <w:r w:rsidR="00E75B24">
        <w:instrText xml:space="preserve"> XE "</w:instrText>
      </w:r>
      <w:r w:rsidR="00E75B24" w:rsidRPr="000710C4">
        <w:instrText>Husserl, E.</w:instrText>
      </w:r>
      <w:r w:rsidR="00E75B24">
        <w:instrText xml:space="preserve">" </w:instrText>
      </w:r>
      <w:r w:rsidR="00E75B24">
        <w:fldChar w:fldCharType="end"/>
      </w:r>
      <w:r w:rsidR="00B208D9">
        <w:t xml:space="preserve"> </w:t>
      </w:r>
      <w:r w:rsidR="0024145D" w:rsidRPr="00273106">
        <w:t xml:space="preserve">nepodléhá přechodu z potence do aktuality jako v případě klasické demonstrace determinované od první substance v reálu. </w:t>
      </w:r>
      <w:r w:rsidR="00201DB2" w:rsidRPr="00273106">
        <w:t xml:space="preserve">Moderní avicennisté </w:t>
      </w:r>
      <w:r w:rsidR="00084B00">
        <w:t xml:space="preserve">typu Rufuse </w:t>
      </w:r>
      <w:r w:rsidR="00201DB2" w:rsidRPr="00273106">
        <w:t xml:space="preserve">definitivně </w:t>
      </w:r>
      <w:r w:rsidR="00663B5D" w:rsidRPr="00273106">
        <w:t>překročil</w:t>
      </w:r>
      <w:r w:rsidR="00201DB2" w:rsidRPr="00273106">
        <w:t>i</w:t>
      </w:r>
      <w:r w:rsidR="00663B5D" w:rsidRPr="00273106">
        <w:t xml:space="preserve"> obzor Gross</w:t>
      </w:r>
      <w:r w:rsidR="00F93330" w:rsidRPr="00273106">
        <w:t>e</w:t>
      </w:r>
      <w:r w:rsidR="00663B5D" w:rsidRPr="00273106">
        <w:t xml:space="preserve">testeho </w:t>
      </w:r>
      <w:r w:rsidR="00115267" w:rsidRPr="00273106">
        <w:t xml:space="preserve">aristotelské </w:t>
      </w:r>
      <w:r w:rsidR="00663B5D" w:rsidRPr="00273106">
        <w:t xml:space="preserve">filosofie, která </w:t>
      </w:r>
      <w:r w:rsidR="08737F84">
        <w:t xml:space="preserve">ještě </w:t>
      </w:r>
      <w:r w:rsidR="00663B5D" w:rsidRPr="00273106">
        <w:t xml:space="preserve">držela </w:t>
      </w:r>
      <w:r w:rsidR="00F11565" w:rsidRPr="00273106">
        <w:t xml:space="preserve">primát </w:t>
      </w:r>
      <w:r w:rsidR="00744044" w:rsidRPr="00273106">
        <w:t xml:space="preserve">aktuální </w:t>
      </w:r>
      <w:r w:rsidR="00F11565" w:rsidRPr="00273106">
        <w:t>první substance</w:t>
      </w:r>
      <w:r w:rsidR="00663B5D" w:rsidRPr="00273106">
        <w:t xml:space="preserve"> pro výklad </w:t>
      </w:r>
      <w:r w:rsidR="00663B5D" w:rsidRPr="08C70042">
        <w:rPr>
          <w:i/>
        </w:rPr>
        <w:t>Fyziky</w:t>
      </w:r>
      <w:r w:rsidR="00663B5D" w:rsidRPr="00273106">
        <w:t xml:space="preserve"> a </w:t>
      </w:r>
      <w:r w:rsidR="00663B5D" w:rsidRPr="08C70042">
        <w:rPr>
          <w:i/>
        </w:rPr>
        <w:t>Metafyziky</w:t>
      </w:r>
      <w:r w:rsidR="00387923">
        <w:t xml:space="preserve"> a měla výklad </w:t>
      </w:r>
      <w:r w:rsidR="00387923" w:rsidRPr="00387923">
        <w:rPr>
          <w:i/>
        </w:rPr>
        <w:t>De anima</w:t>
      </w:r>
      <w:r w:rsidR="00387923">
        <w:t xml:space="preserve"> podle Blundovy školy</w:t>
      </w:r>
      <w:r w:rsidR="00663B5D" w:rsidRPr="00273106">
        <w:t xml:space="preserve">. </w:t>
      </w:r>
      <w:r w:rsidR="00F11565" w:rsidRPr="00273106">
        <w:t xml:space="preserve">Ale </w:t>
      </w:r>
      <w:r w:rsidR="00C408AE" w:rsidRPr="00273106">
        <w:t xml:space="preserve">minulé kapitoly věnované vzniku </w:t>
      </w:r>
      <w:r w:rsidR="00C408AE" w:rsidRPr="00273106">
        <w:rPr>
          <w:i/>
        </w:rPr>
        <w:t>Oxfordian Fallacy</w:t>
      </w:r>
      <w:r w:rsidR="00C408AE" w:rsidRPr="00273106">
        <w:t xml:space="preserve"> ukázaly, že </w:t>
      </w:r>
      <w:r w:rsidR="00115267" w:rsidRPr="00273106">
        <w:t xml:space="preserve">Grossetesteho </w:t>
      </w:r>
      <w:r w:rsidR="00F11565" w:rsidRPr="00273106">
        <w:t xml:space="preserve">výklad </w:t>
      </w:r>
      <w:r w:rsidR="00F11565" w:rsidRPr="08C70042">
        <w:rPr>
          <w:i/>
        </w:rPr>
        <w:t>Druhých analytik</w:t>
      </w:r>
      <w:r w:rsidR="00F11565" w:rsidRPr="00273106">
        <w:t xml:space="preserve"> kolem 1230 už hyparchickou funci první substance nerespektoval</w:t>
      </w:r>
      <w:r w:rsidR="00D721F0">
        <w:t xml:space="preserve"> v plném rozsahu</w:t>
      </w:r>
      <w:r w:rsidR="00A27BA4">
        <w:fldChar w:fldCharType="begin"/>
      </w:r>
      <w:r w:rsidR="00A27BA4">
        <w:instrText xml:space="preserve"> XE "</w:instrText>
      </w:r>
      <w:r w:rsidR="00A27BA4" w:rsidRPr="00DB1001">
        <w:instrText>predikace:hyparchická</w:instrText>
      </w:r>
      <w:r w:rsidR="00A27BA4">
        <w:instrText xml:space="preserve">" </w:instrText>
      </w:r>
      <w:r w:rsidR="00A27BA4">
        <w:fldChar w:fldCharType="end"/>
      </w:r>
      <w:r w:rsidR="00C14B78">
        <w:t xml:space="preserve">. </w:t>
      </w:r>
      <w:r w:rsidR="00844DFC">
        <w:t>Rufus udělal rozhodující krok směrem k moderně</w:t>
      </w:r>
      <w:r w:rsidR="00844DFC" w:rsidRPr="00844DFC">
        <w:t xml:space="preserve"> </w:t>
      </w:r>
      <w:r w:rsidR="00C71735">
        <w:t xml:space="preserve">po </w:t>
      </w:r>
      <w:r w:rsidR="08C70042">
        <w:t xml:space="preserve">roce </w:t>
      </w:r>
      <w:r w:rsidR="00C71735">
        <w:t xml:space="preserve">1230 </w:t>
      </w:r>
      <w:r w:rsidR="00844DFC">
        <w:t xml:space="preserve">tím, že spojil </w:t>
      </w:r>
      <w:r w:rsidR="00C71735" w:rsidRPr="00273106">
        <w:t xml:space="preserve">Grossetesteho </w:t>
      </w:r>
      <w:r w:rsidR="00844DFC" w:rsidRPr="00844DFC">
        <w:rPr>
          <w:i/>
        </w:rPr>
        <w:t>Oxfordian Fall</w:t>
      </w:r>
      <w:r w:rsidR="00844DFC">
        <w:rPr>
          <w:i/>
        </w:rPr>
        <w:t>a</w:t>
      </w:r>
      <w:r w:rsidR="00844DFC" w:rsidRPr="00844DFC">
        <w:rPr>
          <w:i/>
        </w:rPr>
        <w:t>cy</w:t>
      </w:r>
      <w:r w:rsidR="00924399">
        <w:rPr>
          <w:i/>
        </w:rPr>
        <w:fldChar w:fldCharType="begin"/>
      </w:r>
      <w:r w:rsidR="00924399">
        <w:instrText xml:space="preserve"> XE "</w:instrText>
      </w:r>
      <w:r w:rsidR="00924399" w:rsidRPr="0015798D">
        <w:rPr>
          <w:i/>
        </w:rPr>
        <w:instrText>Oxfordian Fallacy:</w:instrText>
      </w:r>
      <w:r w:rsidR="00A27BA4">
        <w:instrText>Rufus</w:instrText>
      </w:r>
      <w:r w:rsidR="00924399">
        <w:instrText xml:space="preserve">" </w:instrText>
      </w:r>
      <w:r w:rsidR="00924399">
        <w:rPr>
          <w:i/>
        </w:rPr>
        <w:fldChar w:fldCharType="end"/>
      </w:r>
      <w:r w:rsidR="00844DFC" w:rsidRPr="00844DFC">
        <w:rPr>
          <w:i/>
        </w:rPr>
        <w:t xml:space="preserve"> </w:t>
      </w:r>
      <w:r w:rsidR="00844DFC">
        <w:t xml:space="preserve">a </w:t>
      </w:r>
      <w:r w:rsidR="00242F29">
        <w:t xml:space="preserve">hypostázovaný intelekt </w:t>
      </w:r>
      <w:r w:rsidR="00844DFC">
        <w:t>Avicenn</w:t>
      </w:r>
      <w:r w:rsidR="00242F29">
        <w:t>y</w:t>
      </w:r>
      <w:r w:rsidR="08C70042">
        <w:t xml:space="preserve"> daný ve formě </w:t>
      </w:r>
      <w:r w:rsidR="08FD25E4">
        <w:t xml:space="preserve">porretánské </w:t>
      </w:r>
      <w:r w:rsidR="08C70042">
        <w:t>substance třetího druhu</w:t>
      </w:r>
      <w:r w:rsidR="00844DFC">
        <w:t xml:space="preserve">. </w:t>
      </w:r>
      <w:r w:rsidR="007658AE" w:rsidRPr="007658AE">
        <w:t xml:space="preserve">Avicennův sebereflexivní intelekt je </w:t>
      </w:r>
      <w:r w:rsidR="00482772">
        <w:t xml:space="preserve">vždy už nějak aktuální, </w:t>
      </w:r>
      <w:r w:rsidR="007658AE" w:rsidRPr="007658AE">
        <w:t>proto stojí mimo empirickou zkušenost. Do schématu poznání se zapojil jako střední člen deduktivního důkazu (</w:t>
      </w:r>
      <w:r w:rsidR="007658AE" w:rsidRPr="007658AE">
        <w:rPr>
          <w:i/>
        </w:rPr>
        <w:t>potentia essentialis</w:t>
      </w:r>
      <w:r w:rsidR="007658AE" w:rsidRPr="007658AE">
        <w:t>).</w:t>
      </w:r>
      <w:r w:rsidR="007658AE">
        <w:t xml:space="preserve"> </w:t>
      </w:r>
      <w:r w:rsidR="08D97F3E">
        <w:t xml:space="preserve">Nově utvořená </w:t>
      </w:r>
      <w:r w:rsidR="002E1077" w:rsidRPr="00844DFC">
        <w:rPr>
          <w:i/>
        </w:rPr>
        <w:t>Oxfordian Fall</w:t>
      </w:r>
      <w:r w:rsidR="002E1077">
        <w:rPr>
          <w:i/>
        </w:rPr>
        <w:t>a</w:t>
      </w:r>
      <w:r w:rsidR="002E1077" w:rsidRPr="00844DFC">
        <w:rPr>
          <w:i/>
        </w:rPr>
        <w:t xml:space="preserve">cy </w:t>
      </w:r>
      <w:r w:rsidR="002E1077">
        <w:t xml:space="preserve">se </w:t>
      </w:r>
      <w:r w:rsidR="00173944">
        <w:t xml:space="preserve">vinou univerzálního hylemorfismu </w:t>
      </w:r>
      <w:r w:rsidR="002E1077">
        <w:t xml:space="preserve">dostala do </w:t>
      </w:r>
      <w:r w:rsidR="08176596">
        <w:t>nauky o pluralitě</w:t>
      </w:r>
      <w:r w:rsidR="002E1077">
        <w:t xml:space="preserve"> substancí v člověku. </w:t>
      </w:r>
      <w:r w:rsidR="08E31E96">
        <w:t xml:space="preserve">Proto </w:t>
      </w:r>
      <w:r w:rsidR="08D97F3E">
        <w:t xml:space="preserve">Grosseteste </w:t>
      </w:r>
      <w:r w:rsidR="08E31E96">
        <w:t>odmítl Rufusovu teorii, která byla v</w:t>
      </w:r>
      <w:r w:rsidR="086A62F6">
        <w:t xml:space="preserve"> jasném </w:t>
      </w:r>
      <w:r w:rsidR="08E31E96">
        <w:t xml:space="preserve">rozporu s pojetím Aristotelova spisu </w:t>
      </w:r>
      <w:r w:rsidR="08E31E96" w:rsidRPr="08E31E96">
        <w:rPr>
          <w:i/>
        </w:rPr>
        <w:t>De anima</w:t>
      </w:r>
      <w:r w:rsidR="08E31E96">
        <w:t xml:space="preserve">. </w:t>
      </w:r>
      <w:r w:rsidR="0051335C" w:rsidRPr="00273106">
        <w:t xml:space="preserve">Rufusův výklad </w:t>
      </w:r>
      <w:r w:rsidR="0051335C" w:rsidRPr="00173944">
        <w:rPr>
          <w:i/>
        </w:rPr>
        <w:t>Druhých analytik</w:t>
      </w:r>
      <w:r w:rsidR="0051335C" w:rsidRPr="00273106">
        <w:t xml:space="preserve"> ukazuje, že první principy jsou v mysli dány trvale</w:t>
      </w:r>
      <w:r w:rsidR="0051335C">
        <w:t>, ve</w:t>
      </w:r>
      <w:r w:rsidR="0051335C" w:rsidRPr="00273106">
        <w:t xml:space="preserve"> formě </w:t>
      </w:r>
      <w:r w:rsidR="0051335C">
        <w:t xml:space="preserve">vždy </w:t>
      </w:r>
      <w:r w:rsidR="0051335C" w:rsidRPr="00273106">
        <w:t>aktuálního substrátu</w:t>
      </w:r>
      <w:r w:rsidR="005801E6">
        <w:t xml:space="preserve">, </w:t>
      </w:r>
      <w:r w:rsidR="00A026F2">
        <w:t xml:space="preserve">což přineslo </w:t>
      </w:r>
      <w:r w:rsidR="00206E7F" w:rsidRPr="00273106">
        <w:t xml:space="preserve">první </w:t>
      </w:r>
      <w:r w:rsidR="00A026F2">
        <w:t xml:space="preserve">velký </w:t>
      </w:r>
      <w:r w:rsidR="00206E7F" w:rsidRPr="00273106">
        <w:t xml:space="preserve">střet mezi </w:t>
      </w:r>
      <w:r w:rsidR="08252023">
        <w:t xml:space="preserve">Grossetestem a modernisty </w:t>
      </w:r>
      <w:r w:rsidR="00206E7F" w:rsidRPr="00273106">
        <w:t xml:space="preserve">na Oxfordu </w:t>
      </w:r>
      <w:r w:rsidR="08486E69">
        <w:t>někdy v roce 1</w:t>
      </w:r>
      <w:r w:rsidR="08FD25E4">
        <w:t>235</w:t>
      </w:r>
      <w:r w:rsidR="00206E7F">
        <w:t xml:space="preserve">. </w:t>
      </w:r>
      <w:r w:rsidR="0051335C">
        <w:t>Grosseteste odmítal</w:t>
      </w:r>
      <w:r w:rsidR="0051335C" w:rsidRPr="00C40F28">
        <w:t xml:space="preserve"> </w:t>
      </w:r>
      <w:r w:rsidR="0051335C">
        <w:t xml:space="preserve">dualismus oxfordských </w:t>
      </w:r>
      <w:r w:rsidR="0051335C" w:rsidRPr="00C40F28">
        <w:rPr>
          <w:i/>
        </w:rPr>
        <w:t>Modernorum</w:t>
      </w:r>
      <w:r w:rsidR="0051335C">
        <w:t>, protože tento aristotelik Blundovy školy držel pouze pluralitu forem danou v definici člověka jako jedné substance</w:t>
      </w:r>
      <w:r w:rsidR="0051335C" w:rsidRPr="00273106">
        <w:t xml:space="preserve">. </w:t>
      </w:r>
      <w:r w:rsidR="002E1077">
        <w:rPr>
          <w:iCs/>
        </w:rPr>
        <w:t>Grosseteste</w:t>
      </w:r>
      <w:r w:rsidR="086A62F6">
        <w:rPr>
          <w:iCs/>
        </w:rPr>
        <w:t xml:space="preserve"> zásadně kritizoval nové aristoteliky</w:t>
      </w:r>
      <w:r w:rsidR="002E1077">
        <w:rPr>
          <w:iCs/>
        </w:rPr>
        <w:t xml:space="preserve"> jako </w:t>
      </w:r>
      <w:r w:rsidR="001C2A2D">
        <w:rPr>
          <w:iCs/>
        </w:rPr>
        <w:t xml:space="preserve">byl </w:t>
      </w:r>
      <w:r w:rsidR="002E1077" w:rsidRPr="00273106">
        <w:t>Adam z Buckfieldu, Richard Rufus z Cornwallu</w:t>
      </w:r>
      <w:r w:rsidR="0051335C">
        <w:t xml:space="preserve"> a </w:t>
      </w:r>
      <w:r w:rsidR="002E1077">
        <w:t xml:space="preserve">Robert Kilwardby, kteří založili první školu modernistů na Oxfordu </w:t>
      </w:r>
      <w:r w:rsidR="002E1077">
        <w:rPr>
          <w:iCs/>
        </w:rPr>
        <w:t>(</w:t>
      </w:r>
      <w:r w:rsidR="002E1077" w:rsidRPr="00DB4716">
        <w:rPr>
          <w:i/>
        </w:rPr>
        <w:t>contra quosdam modernos</w:t>
      </w:r>
      <w:r w:rsidR="086E155F">
        <w:t>, kap. 3</w:t>
      </w:r>
      <w:r w:rsidR="00735670">
        <w:t>.1.3</w:t>
      </w:r>
      <w:r w:rsidR="002E1077">
        <w:rPr>
          <w:iCs/>
        </w:rPr>
        <w:t xml:space="preserve">). </w:t>
      </w:r>
      <w:r w:rsidR="08821078">
        <w:rPr>
          <w:iCs/>
        </w:rPr>
        <w:t xml:space="preserve">Citovaní autoři </w:t>
      </w:r>
      <w:r w:rsidR="004F4F70">
        <w:t xml:space="preserve">jsou </w:t>
      </w:r>
      <w:r w:rsidR="004F4F70">
        <w:lastRenderedPageBreak/>
        <w:t>první známí modernisté, kteří</w:t>
      </w:r>
      <w:r w:rsidR="004F4F70" w:rsidRPr="00273106">
        <w:t xml:space="preserve"> přev</w:t>
      </w:r>
      <w:r w:rsidR="004F4F70">
        <w:t>edli</w:t>
      </w:r>
      <w:r w:rsidR="004F4F70" w:rsidRPr="00273106">
        <w:t xml:space="preserve"> </w:t>
      </w:r>
      <w:r w:rsidR="004F4F70">
        <w:t xml:space="preserve">mnohost forem v člověku </w:t>
      </w:r>
      <w:r w:rsidR="004F4F70" w:rsidRPr="00273106">
        <w:t>na mnohost substancí</w:t>
      </w:r>
      <w:r w:rsidR="00B305A0">
        <w:t xml:space="preserve">. Tito latinští sofisté a první modernisté </w:t>
      </w:r>
      <w:r w:rsidR="004F4F70">
        <w:t xml:space="preserve">začali svá studia v Paříži </w:t>
      </w:r>
      <w:r w:rsidR="00977C13">
        <w:t>za biskupa Alverna</w:t>
      </w:r>
      <w:r w:rsidR="082C14E4">
        <w:t xml:space="preserve"> a jejich škola nazvaná</w:t>
      </w:r>
      <w:r w:rsidR="00E174C1">
        <w:t xml:space="preserve"> </w:t>
      </w:r>
      <w:r w:rsidR="009F71E4" w:rsidRPr="009F71E4">
        <w:rPr>
          <w:i/>
        </w:rPr>
        <w:t>sophistae Latini</w:t>
      </w:r>
      <w:r w:rsidR="005109BC">
        <w:rPr>
          <w:i/>
        </w:rPr>
        <w:fldChar w:fldCharType="begin"/>
      </w:r>
      <w:r w:rsidR="005109BC">
        <w:instrText xml:space="preserve"> XE "</w:instrText>
      </w:r>
      <w:r w:rsidR="00342E62">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9F71E4">
        <w:t xml:space="preserve"> vytvořil</w:t>
      </w:r>
      <w:r w:rsidR="082C14E4">
        <w:t>a</w:t>
      </w:r>
      <w:r w:rsidR="009F71E4">
        <w:t xml:space="preserve"> v Paříži další centrum moderní sofistiky</w:t>
      </w:r>
      <w:r w:rsidR="08826E86">
        <w:t xml:space="preserve"> po starších školách </w:t>
      </w:r>
      <w:r w:rsidR="08826E86" w:rsidRPr="08826E86">
        <w:rPr>
          <w:i/>
        </w:rPr>
        <w:t>Nominales</w:t>
      </w:r>
      <w:r w:rsidR="08826E86">
        <w:t xml:space="preserve"> zaniklých v první třetině 13. století (</w:t>
      </w:r>
      <w:r w:rsidR="08826E86" w:rsidRPr="08826E86">
        <w:rPr>
          <w:i/>
        </w:rPr>
        <w:t>sophistae Italici</w:t>
      </w:r>
      <w:r w:rsidR="08826E86">
        <w:t xml:space="preserve">). </w:t>
      </w:r>
      <w:r w:rsidR="009F71E4">
        <w:t xml:space="preserve"> </w:t>
      </w:r>
      <w:r w:rsidR="00F326B1" w:rsidRPr="00273106">
        <w:t xml:space="preserve">Rufus pomocí hypostázované potence jako nového jsoucna třetího druhu </w:t>
      </w:r>
      <w:r w:rsidR="008630BC">
        <w:t xml:space="preserve">zdánlivě </w:t>
      </w:r>
      <w:r w:rsidR="00F326B1" w:rsidRPr="00273106">
        <w:t xml:space="preserve">přijal Aristotelovu receptivní mysl jako </w:t>
      </w:r>
      <w:r w:rsidR="00F326B1" w:rsidRPr="00273106">
        <w:rPr>
          <w:i/>
        </w:rPr>
        <w:t>tabula rasa</w:t>
      </w:r>
      <w:r w:rsidR="008630BC">
        <w:t>. Z</w:t>
      </w:r>
      <w:r w:rsidR="00F326B1" w:rsidRPr="00273106">
        <w:t xml:space="preserve">ároveň </w:t>
      </w:r>
      <w:r w:rsidR="008630BC">
        <w:t xml:space="preserve">ale podržel ve svém schématu poznání </w:t>
      </w:r>
      <w:r w:rsidR="00F326B1"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B03CA6">
        <w:instrText>:</w:instrText>
      </w:r>
      <w:r w:rsidR="00B03CA6" w:rsidRPr="00B03CA6">
        <w:instrText>Rufus</w:instrText>
      </w:r>
      <w:r w:rsidR="00DF1F0F">
        <w:instrText xml:space="preserve">" </w:instrText>
      </w:r>
      <w:r w:rsidR="00DF1F0F">
        <w:rPr>
          <w:i/>
        </w:rPr>
        <w:fldChar w:fldCharType="end"/>
      </w:r>
      <w:r w:rsidR="008630BC">
        <w:t xml:space="preserve"> jako aktuální subsistentní</w:t>
      </w:r>
      <w:r w:rsidR="00073F26">
        <w:t xml:space="preserve"> substanci</w:t>
      </w:r>
      <w:r w:rsidR="008630BC">
        <w:t>, kterou sofisticky podal jako pouhou potenci</w:t>
      </w:r>
      <w:r w:rsidR="00073F26">
        <w:t xml:space="preserve"> (</w:t>
      </w:r>
      <w:r w:rsidR="00073F26" w:rsidRPr="00073F26">
        <w:rPr>
          <w:i/>
        </w:rPr>
        <w:t>potentia substantialis</w:t>
      </w:r>
      <w:r w:rsidR="00073F26">
        <w:t>)</w:t>
      </w:r>
      <w:r w:rsidR="00F326B1" w:rsidRPr="00273106">
        <w:t xml:space="preserve">. Svůj </w:t>
      </w:r>
      <w:r w:rsidR="0029661E" w:rsidRPr="00273106">
        <w:t xml:space="preserve">fatální </w:t>
      </w:r>
      <w:r w:rsidR="00F326B1" w:rsidRPr="00273106">
        <w:t xml:space="preserve">omyl </w:t>
      </w:r>
      <w:r w:rsidR="00B14908" w:rsidRPr="00273106">
        <w:t xml:space="preserve">ve výkladu </w:t>
      </w:r>
      <w:r w:rsidR="00B14908" w:rsidRPr="00273106">
        <w:rPr>
          <w:i/>
        </w:rPr>
        <w:t>De anima</w:t>
      </w:r>
      <w:r w:rsidR="00B14908" w:rsidRPr="00273106">
        <w:t xml:space="preserve"> </w:t>
      </w:r>
      <w:r w:rsidR="00F326B1" w:rsidRPr="00273106">
        <w:t xml:space="preserve">pak sofisticky připíše samotnému </w:t>
      </w:r>
      <w:r w:rsidR="002E3B62">
        <w:t>Averroes</w:t>
      </w:r>
      <w:r w:rsidR="00F326B1" w:rsidRPr="00273106">
        <w:t xml:space="preserve">ovi a založí ve spisu </w:t>
      </w:r>
      <w:r w:rsidR="00F326B1" w:rsidRPr="00273106">
        <w:rPr>
          <w:i/>
        </w:rPr>
        <w:t>Contra Averroem</w:t>
      </w:r>
      <w:r w:rsidR="00F326B1" w:rsidRPr="00273106">
        <w:t xml:space="preserve"> (as</w:t>
      </w:r>
      <w:r w:rsidR="08BB55F8">
        <w:t xml:space="preserve">i 1236) </w:t>
      </w:r>
      <w:r w:rsidR="08691F6F">
        <w:t xml:space="preserve">známý </w:t>
      </w:r>
      <w:r w:rsidR="08BB55F8">
        <w:t>spor o averroismus</w:t>
      </w:r>
      <w:r w:rsidR="00F326B1" w:rsidRPr="00273106">
        <w:t xml:space="preserve">. </w:t>
      </w:r>
      <w:r w:rsidR="08847EC3">
        <w:t xml:space="preserve">Uvedenou sofistikou </w:t>
      </w:r>
      <w:r w:rsidR="007556B6">
        <w:t>vznikla kolem 1235</w:t>
      </w:r>
      <w:r w:rsidR="00986393">
        <w:t>‒40</w:t>
      </w:r>
      <w:r w:rsidR="007556B6">
        <w:t xml:space="preserve"> nová forma aristotelského avicennismu odmítnutá </w:t>
      </w:r>
      <w:r w:rsidR="08847EC3">
        <w:t xml:space="preserve">v Paříži </w:t>
      </w:r>
      <w:r w:rsidR="007556B6">
        <w:t>vrcholnými aristoteliky a biskupy jako byli William z  Auvergne</w:t>
      </w:r>
      <w:r w:rsidR="08847EC3">
        <w:t>, Albert a Bacon</w:t>
      </w:r>
      <w:r w:rsidR="007556B6">
        <w:t xml:space="preserve">. </w:t>
      </w:r>
      <w:r w:rsidR="008D23CE">
        <w:t xml:space="preserve">Františkán Bacon </w:t>
      </w:r>
      <w:r w:rsidR="00EE3107" w:rsidRPr="00273106">
        <w:t>jako eminentní představitel prvn</w:t>
      </w:r>
      <w:r w:rsidR="008D23CE">
        <w:t xml:space="preserve">ího averroismu na Oxfordu </w:t>
      </w:r>
      <w:r w:rsidR="0006059A">
        <w:t>kolem 12</w:t>
      </w:r>
      <w:r w:rsidR="00BE3CFB">
        <w:t>45‒</w:t>
      </w:r>
      <w:r w:rsidR="0006059A">
        <w:t xml:space="preserve">50 zásadně </w:t>
      </w:r>
      <w:r w:rsidR="008D23CE">
        <w:t xml:space="preserve">odmítl </w:t>
      </w:r>
      <w:r w:rsidR="005D6F9A" w:rsidRPr="00273106">
        <w:t>Rufusovu</w:t>
      </w:r>
      <w:r w:rsidR="08826E86">
        <w:t xml:space="preserve"> nauku</w:t>
      </w:r>
      <w:r w:rsidR="00EE3107" w:rsidRPr="00273106">
        <w:t xml:space="preserve">. </w:t>
      </w:r>
      <w:r w:rsidR="0048422D">
        <w:t xml:space="preserve">Dominikán </w:t>
      </w:r>
      <w:r w:rsidR="008D23CE">
        <w:t xml:space="preserve">Albert udělal totéž </w:t>
      </w:r>
      <w:r w:rsidR="00BE3CFB">
        <w:t xml:space="preserve">a ve stejné době (1250‒55) </w:t>
      </w:r>
      <w:r w:rsidR="008D23CE">
        <w:t xml:space="preserve">ohledně sofistiky </w:t>
      </w:r>
      <w:r w:rsidR="0048422D">
        <w:t xml:space="preserve">svého </w:t>
      </w:r>
      <w:r w:rsidR="00A930A0">
        <w:t xml:space="preserve">řádového </w:t>
      </w:r>
      <w:r w:rsidR="0048422D">
        <w:t xml:space="preserve">kolegy </w:t>
      </w:r>
      <w:r w:rsidR="008D23CE">
        <w:t xml:space="preserve">Kilwardbyho. </w:t>
      </w:r>
      <w:r w:rsidR="000A3E15">
        <w:t xml:space="preserve">Škola prvního averroismu </w:t>
      </w:r>
      <w:r w:rsidR="001E758C">
        <w:t xml:space="preserve">bránící </w:t>
      </w:r>
      <w:r w:rsidR="000A3E15" w:rsidRPr="00273106">
        <w:t xml:space="preserve">výklad CMDA </w:t>
      </w:r>
      <w:r w:rsidR="000A3E15">
        <w:t xml:space="preserve">nemůže připustit </w:t>
      </w:r>
      <w:r w:rsidR="00602E30">
        <w:t xml:space="preserve">schizofrenii </w:t>
      </w:r>
      <w:r w:rsidR="000A3E15">
        <w:t>karteziánské</w:t>
      </w:r>
      <w:r w:rsidR="00602E30">
        <w:t>ho</w:t>
      </w:r>
      <w:r w:rsidR="000A3E15">
        <w:t xml:space="preserve"> poznání a určení člověka</w:t>
      </w:r>
      <w:r w:rsidR="009D038F">
        <w:fldChar w:fldCharType="begin"/>
      </w:r>
      <w:r w:rsidR="009D038F">
        <w:instrText xml:space="preserve"> XE "</w:instrText>
      </w:r>
      <w:r w:rsidR="009D038F" w:rsidRPr="006950C1">
        <w:instrText>první averroismus:osoba</w:instrText>
      </w:r>
      <w:r w:rsidR="009D038F">
        <w:instrText xml:space="preserve">" </w:instrText>
      </w:r>
      <w:r w:rsidR="009D038F">
        <w:fldChar w:fldCharType="end"/>
      </w:r>
      <w:r w:rsidR="000A3E15">
        <w:t xml:space="preserve">. </w:t>
      </w:r>
      <w:r w:rsidR="002E3B62">
        <w:t>Averroes</w:t>
      </w:r>
      <w:r w:rsidR="00F56757" w:rsidRPr="00273106">
        <w:t xml:space="preserve"> </w:t>
      </w:r>
      <w:r w:rsidR="00047086" w:rsidRPr="00273106">
        <w:t xml:space="preserve">zrušil </w:t>
      </w:r>
      <w:r w:rsidR="00874074">
        <w:t>neoplatonsk</w:t>
      </w:r>
      <w:r w:rsidR="000A3E15">
        <w:t xml:space="preserve">ý a Avicennův dualismus </w:t>
      </w:r>
      <w:r w:rsidR="00F56757" w:rsidRPr="00273106">
        <w:t xml:space="preserve">a trvá na čisté potenciální mysli jako </w:t>
      </w:r>
      <w:r w:rsidR="00F56757" w:rsidRPr="00273106">
        <w:rPr>
          <w:i/>
        </w:rPr>
        <w:t>tabula ras</w:t>
      </w:r>
      <w:r w:rsidR="00885D7F">
        <w:rPr>
          <w:i/>
        </w:rPr>
        <w:t>a</w:t>
      </w:r>
      <w:r w:rsidR="00885D7F" w:rsidRPr="00885D7F">
        <w:t>. I</w:t>
      </w:r>
      <w:r w:rsidR="00F56757" w:rsidRPr="00885D7F">
        <w:t xml:space="preserve">ntelekt </w:t>
      </w:r>
      <w:r w:rsidR="00F56757" w:rsidRPr="00273106">
        <w:t xml:space="preserve">nesmí být </w:t>
      </w:r>
      <w:r w:rsidR="009D0994">
        <w:t>na žádný způsob</w:t>
      </w:r>
      <w:r w:rsidR="009D0994" w:rsidRPr="00273106">
        <w:t xml:space="preserve"> </w:t>
      </w:r>
      <w:r w:rsidR="00F56757" w:rsidRPr="00273106">
        <w:t>substancí (</w:t>
      </w:r>
      <w:r w:rsidR="00F56757" w:rsidRPr="00273106">
        <w:rPr>
          <w:i/>
        </w:rPr>
        <w:t>hoc aliquid</w:t>
      </w:r>
      <w:r w:rsidR="009A43F5">
        <w:rPr>
          <w:i/>
        </w:rPr>
        <w:fldChar w:fldCharType="begin"/>
      </w:r>
      <w:r w:rsidR="009A43F5">
        <w:instrText xml:space="preserve"> XE "</w:instrText>
      </w:r>
      <w:r w:rsidR="009A43F5" w:rsidRPr="006B0AC6">
        <w:rPr>
          <w:rStyle w:val="FontStyle129"/>
          <w:rFonts w:ascii="Calibri" w:hAnsi="Calibri"/>
          <w:i/>
          <w:sz w:val="24"/>
        </w:rPr>
        <w:instrText>hoc aliquid:</w:instrText>
      </w:r>
      <w:r w:rsidR="002E3B62">
        <w:instrText>Averroes</w:instrText>
      </w:r>
      <w:r w:rsidR="009A43F5">
        <w:instrText xml:space="preserve">" </w:instrText>
      </w:r>
      <w:r w:rsidR="009A43F5">
        <w:rPr>
          <w:i/>
        </w:rPr>
        <w:fldChar w:fldCharType="end"/>
      </w:r>
      <w:r w:rsidR="00F56757" w:rsidRPr="00273106">
        <w:t>)</w:t>
      </w:r>
      <w:r w:rsidR="009D0994">
        <w:t>, protože ani duše není substancí</w:t>
      </w:r>
      <w:r w:rsidR="00F56757" w:rsidRPr="00273106">
        <w:t xml:space="preserve">. </w:t>
      </w:r>
      <w:r w:rsidR="084E4454" w:rsidRPr="00273106">
        <w:t xml:space="preserve">Jakákoliv </w:t>
      </w:r>
      <w:r w:rsidR="009B7172" w:rsidRPr="00273106">
        <w:t xml:space="preserve">aktualita </w:t>
      </w:r>
      <w:r w:rsidR="084E4454" w:rsidRPr="00273106">
        <w:t xml:space="preserve">daná na způsob </w:t>
      </w:r>
      <w:r w:rsidR="00F56757" w:rsidRPr="00273106">
        <w:t xml:space="preserve">Rufusovy dvojí potence </w:t>
      </w:r>
      <w:r w:rsidR="009B7172" w:rsidRPr="00273106">
        <w:t xml:space="preserve">by znemožnila univerzální poznání dané skrze </w:t>
      </w:r>
      <w:r w:rsidR="009B7172"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9D038F">
        <w:instrText>:první averroismus</w:instrText>
      </w:r>
      <w:r w:rsidR="009D323B">
        <w:instrText xml:space="preserve">" </w:instrText>
      </w:r>
      <w:r w:rsidR="009D323B">
        <w:rPr>
          <w:i/>
        </w:rPr>
        <w:fldChar w:fldCharType="end"/>
      </w:r>
      <w:r w:rsidR="009B7172" w:rsidRPr="00273106">
        <w:t xml:space="preserve"> a jeho absolutní recepti</w:t>
      </w:r>
      <w:r w:rsidR="00A73170" w:rsidRPr="00273106">
        <w:t>vit</w:t>
      </w:r>
      <w:r w:rsidR="009B7172" w:rsidRPr="00273106">
        <w:t>u (</w:t>
      </w:r>
      <w:r w:rsidR="009B7172" w:rsidRPr="00273106">
        <w:rPr>
          <w:rStyle w:val="st"/>
          <w:bCs/>
          <w:i/>
        </w:rPr>
        <w:t>anima</w:t>
      </w:r>
      <w:r w:rsidR="009B7172" w:rsidRPr="00273106">
        <w:rPr>
          <w:rStyle w:val="st"/>
          <w:i/>
        </w:rPr>
        <w:t xml:space="preserve"> est </w:t>
      </w:r>
      <w:r w:rsidR="009B7172" w:rsidRPr="00273106">
        <w:rPr>
          <w:rStyle w:val="st"/>
          <w:bCs/>
          <w:i/>
        </w:rPr>
        <w:t>quodammodo omnia</w:t>
      </w:r>
      <w:r w:rsidR="009B7172" w:rsidRPr="00273106">
        <w:rPr>
          <w:rStyle w:val="FontStyle129"/>
          <w:rFonts w:ascii="Calibri" w:hAnsi="Calibri"/>
          <w:sz w:val="24"/>
        </w:rPr>
        <w:t xml:space="preserve">, </w:t>
      </w:r>
      <w:r w:rsidR="00B713C5">
        <w:rPr>
          <w:i/>
        </w:rPr>
        <w:t>De anima</w:t>
      </w:r>
      <w:r w:rsidR="08221913" w:rsidRPr="00273106">
        <w:t xml:space="preserve"> </w:t>
      </w:r>
      <w:r w:rsidR="009B7172" w:rsidRPr="00273106">
        <w:rPr>
          <w:rStyle w:val="FontStyle129"/>
          <w:rFonts w:ascii="Calibri" w:hAnsi="Calibri"/>
          <w:sz w:val="24"/>
        </w:rPr>
        <w:t>431b21</w:t>
      </w:r>
      <w:r w:rsidR="00AC24C1">
        <w:rPr>
          <w:rStyle w:val="FontStyle129"/>
          <w:rFonts w:ascii="Calibri" w:hAnsi="Calibri"/>
          <w:sz w:val="24"/>
        </w:rPr>
        <w:fldChar w:fldCharType="begin"/>
      </w:r>
      <w:r w:rsidR="00AC24C1">
        <w:instrText xml:space="preserve"> XE "</w:instrText>
      </w:r>
      <w:r w:rsidR="008E02F5">
        <w:instrText>Aristoteles</w:instrText>
      </w:r>
      <w:r w:rsidR="00AC24C1">
        <w:instrText>:</w:instrText>
      </w:r>
      <w:r w:rsidR="00AC24C1" w:rsidRPr="003E6D1B">
        <w:rPr>
          <w:i/>
        </w:rPr>
        <w:instrText>De anima</w:instrText>
      </w:r>
      <w:r w:rsidR="00AC24C1" w:rsidRPr="003E6D1B">
        <w:instrText xml:space="preserve"> </w:instrText>
      </w:r>
      <w:r w:rsidR="00AC24C1" w:rsidRPr="003E6D1B">
        <w:rPr>
          <w:rStyle w:val="FontStyle129"/>
          <w:rFonts w:ascii="Calibri" w:hAnsi="Calibri"/>
          <w:sz w:val="24"/>
        </w:rPr>
        <w:instrText>431b21</w:instrText>
      </w:r>
      <w:r w:rsidR="00AC24C1">
        <w:instrText xml:space="preserve">" </w:instrText>
      </w:r>
      <w:r w:rsidR="00AC24C1">
        <w:rPr>
          <w:rStyle w:val="FontStyle129"/>
          <w:rFonts w:ascii="Calibri" w:hAnsi="Calibri"/>
          <w:sz w:val="24"/>
        </w:rPr>
        <w:fldChar w:fldCharType="end"/>
      </w:r>
      <w:r w:rsidR="009B7172" w:rsidRPr="00273106">
        <w:t xml:space="preserve">). </w:t>
      </w:r>
      <w:r w:rsidR="006668D9" w:rsidRPr="00273106">
        <w:t xml:space="preserve">Zavedení </w:t>
      </w:r>
      <w:r w:rsidR="00F135DB" w:rsidRPr="00273106">
        <w:t xml:space="preserve">dvou substancí do moderní definice osoby </w:t>
      </w:r>
      <w:r w:rsidR="008D297C">
        <w:fldChar w:fldCharType="begin"/>
      </w:r>
      <w:r w:rsidR="008D297C">
        <w:instrText xml:space="preserve"> XE "</w:instrText>
      </w:r>
      <w:r w:rsidR="008D297C" w:rsidRPr="0034387F">
        <w:instrText>osoba:pluralita substancí</w:instrText>
      </w:r>
      <w:r w:rsidR="008D297C">
        <w:instrText xml:space="preserve">" </w:instrText>
      </w:r>
      <w:r w:rsidR="008D297C">
        <w:fldChar w:fldCharType="end"/>
      </w:r>
      <w:r w:rsidR="006668D9" w:rsidRPr="00273106">
        <w:t xml:space="preserve">vinou neznalosti </w:t>
      </w:r>
      <w:r w:rsidR="086B77C7" w:rsidRPr="086B77C7">
        <w:rPr>
          <w:i/>
        </w:rPr>
        <w:t>De anima</w:t>
      </w:r>
      <w:r w:rsidR="086B77C7">
        <w:t xml:space="preserve"> </w:t>
      </w:r>
      <w:r w:rsidR="006668D9" w:rsidRPr="00273106">
        <w:t xml:space="preserve">a CMDA </w:t>
      </w:r>
      <w:r w:rsidR="086B77C7">
        <w:t xml:space="preserve">bylo nepřijatelné. Neschopnost pravdivé filosofické interpretace obou zmíněných spisů Aristotela a Komentátora </w:t>
      </w:r>
      <w:r w:rsidR="006668D9" w:rsidRPr="00273106">
        <w:t xml:space="preserve">tvoří základní důvod odporu </w:t>
      </w:r>
      <w:r w:rsidR="083B5CA9">
        <w:t xml:space="preserve">avicennovských </w:t>
      </w:r>
      <w:r w:rsidR="00F9773D">
        <w:t xml:space="preserve">modernistů </w:t>
      </w:r>
      <w:r w:rsidR="00DC7EA9" w:rsidRPr="00273106">
        <w:t xml:space="preserve">vůči </w:t>
      </w:r>
      <w:r w:rsidR="086B77C7">
        <w:t xml:space="preserve">Aristotelovi </w:t>
      </w:r>
      <w:r w:rsidR="081A2397">
        <w:t xml:space="preserve">vyloženému </w:t>
      </w:r>
      <w:r w:rsidR="081A2397" w:rsidRPr="081A2397">
        <w:rPr>
          <w:i/>
        </w:rPr>
        <w:t>ad mentem Averrois</w:t>
      </w:r>
      <w:r w:rsidR="081A2397">
        <w:rPr>
          <w:i/>
        </w:rPr>
        <w:fldChar w:fldCharType="begin"/>
      </w:r>
      <w:r w:rsidR="081A2397">
        <w:instrText xml:space="preserve"> XE "</w:instrText>
      </w:r>
      <w:r w:rsidR="081A2397" w:rsidRPr="08B12430">
        <w:rPr>
          <w:i/>
        </w:rPr>
        <w:instrText>ad mentem Averrois</w:instrText>
      </w:r>
      <w:r w:rsidR="081A2397">
        <w:instrText xml:space="preserve">" </w:instrText>
      </w:r>
      <w:r w:rsidR="081A2397">
        <w:rPr>
          <w:i/>
        </w:rPr>
        <w:fldChar w:fldCharType="end"/>
      </w:r>
      <w:r w:rsidR="081A2397">
        <w:t xml:space="preserve"> </w:t>
      </w:r>
      <w:r w:rsidR="086B77C7">
        <w:t>na Oxfordu v letech 1231‒35</w:t>
      </w:r>
      <w:r w:rsidR="083B1A9A">
        <w:t xml:space="preserve">. Tento odpor Rufusovy školy přešel </w:t>
      </w:r>
      <w:r w:rsidR="086B77C7">
        <w:t>v Paříži do aktivního odporu vůči škole prvního</w:t>
      </w:r>
      <w:r w:rsidR="00DC7EA9" w:rsidRPr="00273106">
        <w:t xml:space="preserve"> averroismu</w:t>
      </w:r>
      <w:r w:rsidR="009829F9">
        <w:t xml:space="preserve"> a vůči </w:t>
      </w:r>
      <w:r w:rsidR="002E3B62">
        <w:t>Averroes</w:t>
      </w:r>
      <w:r w:rsidR="009829F9">
        <w:t>ovi</w:t>
      </w:r>
      <w:r w:rsidR="083B1A9A">
        <w:t xml:space="preserve"> v Bonaventurově škole</w:t>
      </w:r>
      <w:r w:rsidR="00DC7EA9" w:rsidRPr="00273106">
        <w:t xml:space="preserve">. </w:t>
      </w:r>
      <w:r w:rsidR="0872556A">
        <w:t xml:space="preserve">Napětí na </w:t>
      </w:r>
      <w:r w:rsidR="08A8619E">
        <w:t xml:space="preserve">Pařížské </w:t>
      </w:r>
      <w:r w:rsidR="0872556A">
        <w:t>univerzitě kulminovalo</w:t>
      </w:r>
      <w:r w:rsidR="08315334">
        <w:t xml:space="preserve"> </w:t>
      </w:r>
      <w:r w:rsidR="006B6303">
        <w:t xml:space="preserve">prvním </w:t>
      </w:r>
      <w:r w:rsidR="08315334">
        <w:t xml:space="preserve">sporem </w:t>
      </w:r>
      <w:r w:rsidR="0872556A">
        <w:t xml:space="preserve">obou škol </w:t>
      </w:r>
      <w:r w:rsidR="08315334">
        <w:t>v roce 12</w:t>
      </w:r>
      <w:r w:rsidR="08A8619E">
        <w:t>45 nebo těsně po něm. O</w:t>
      </w:r>
      <w:r w:rsidR="08315334">
        <w:t xml:space="preserve">ba </w:t>
      </w:r>
      <w:r w:rsidR="08A8619E">
        <w:t xml:space="preserve">hlavní představitelé modernismu Rufus a Kilwardby byli </w:t>
      </w:r>
      <w:r w:rsidR="08315334">
        <w:t xml:space="preserve">donuceni odejít z Pařížské univerzity a </w:t>
      </w:r>
      <w:r w:rsidR="08315334">
        <w:lastRenderedPageBreak/>
        <w:t xml:space="preserve">vrátili se na Oxford. </w:t>
      </w:r>
      <w:r w:rsidR="0872556A">
        <w:t>Vít</w:t>
      </w:r>
      <w:r w:rsidR="08315334">
        <w:t>ěznou o</w:t>
      </w:r>
      <w:r w:rsidR="00DC7EA9" w:rsidRPr="00273106">
        <w:t xml:space="preserve">fenzívu </w:t>
      </w:r>
      <w:r w:rsidR="086B77C7">
        <w:t xml:space="preserve">modernistů </w:t>
      </w:r>
      <w:r w:rsidR="00442843">
        <w:t>vedenou</w:t>
      </w:r>
      <w:r w:rsidR="00AF3EFD" w:rsidRPr="00273106">
        <w:t xml:space="preserve"> </w:t>
      </w:r>
      <w:r w:rsidR="00442843" w:rsidRPr="00273106">
        <w:t xml:space="preserve">Kilwardbym </w:t>
      </w:r>
      <w:r w:rsidR="00442843">
        <w:t>v</w:t>
      </w:r>
      <w:r w:rsidR="00AF3EFD" w:rsidRPr="00273106">
        <w:t xml:space="preserve"> Oxfordu a </w:t>
      </w:r>
      <w:r w:rsidR="0076796A" w:rsidRPr="00273106">
        <w:t>Bon</w:t>
      </w:r>
      <w:r w:rsidR="00AF3EFD" w:rsidRPr="00273106">
        <w:t xml:space="preserve">aventurou v Paříži </w:t>
      </w:r>
      <w:r w:rsidR="00DC7EA9" w:rsidRPr="00273106">
        <w:t xml:space="preserve">vyloží </w:t>
      </w:r>
      <w:r w:rsidR="006668D9" w:rsidRPr="00273106">
        <w:t xml:space="preserve">další </w:t>
      </w:r>
      <w:r w:rsidR="00FD11A0">
        <w:t xml:space="preserve">matrice </w:t>
      </w:r>
      <w:r w:rsidR="00DC7EA9" w:rsidRPr="00273106">
        <w:t xml:space="preserve">zkoumající </w:t>
      </w:r>
      <w:r w:rsidR="0076796A" w:rsidRPr="00273106">
        <w:t>spor</w:t>
      </w:r>
      <w:r w:rsidR="00DC7EA9" w:rsidRPr="00273106">
        <w:t xml:space="preserve"> obou škol </w:t>
      </w:r>
      <w:r w:rsidR="08315334">
        <w:t xml:space="preserve">v letech </w:t>
      </w:r>
      <w:r w:rsidR="00D6184A">
        <w:t>127</w:t>
      </w:r>
      <w:r w:rsidR="00DC7EA9" w:rsidRPr="00273106">
        <w:t>0</w:t>
      </w:r>
      <w:r w:rsidR="08315334">
        <w:t>‒77</w:t>
      </w:r>
      <w:r w:rsidR="006668D9" w:rsidRPr="00273106">
        <w:t xml:space="preserve">. </w:t>
      </w:r>
    </w:p>
    <w:p w14:paraId="23C5349A" w14:textId="518CB2AB" w:rsidR="00FD6E88" w:rsidRPr="00770215" w:rsidRDefault="006668D9" w:rsidP="003A7C3E">
      <w:r w:rsidRPr="00273106">
        <w:tab/>
      </w:r>
      <w:r w:rsidR="008A59ED">
        <w:t xml:space="preserve">Vraťme se k výkladu </w:t>
      </w:r>
      <w:r w:rsidR="008A59ED" w:rsidRPr="003D3C8B">
        <w:rPr>
          <w:i/>
        </w:rPr>
        <w:t>Druhých analytik</w:t>
      </w:r>
      <w:r w:rsidR="008A59ED">
        <w:t xml:space="preserve">, který založil objektivní </w:t>
      </w:r>
      <w:r w:rsidR="008A59ED" w:rsidRPr="008A59ED">
        <w:rPr>
          <w:i/>
        </w:rPr>
        <w:t>Irrtum</w:t>
      </w:r>
      <w:r w:rsidR="00D01690">
        <w:rPr>
          <w:i/>
        </w:rPr>
        <w:fldChar w:fldCharType="begin"/>
      </w:r>
      <w:r w:rsidR="00D01690">
        <w:instrText xml:space="preserve"> XE "</w:instrText>
      </w:r>
      <w:r w:rsidR="00D01690" w:rsidRPr="00453B3F">
        <w:rPr>
          <w:i/>
        </w:rPr>
        <w:instrText>Irrtum</w:instrText>
      </w:r>
      <w:r w:rsidR="00D01690">
        <w:instrText xml:space="preserve">:analytická filosofie" </w:instrText>
      </w:r>
      <w:r w:rsidR="00D01690">
        <w:rPr>
          <w:i/>
        </w:rPr>
        <w:fldChar w:fldCharType="end"/>
      </w:r>
      <w:r w:rsidR="00770215">
        <w:t xml:space="preserve"> moderny. </w:t>
      </w:r>
      <w:r w:rsidR="003A7C3E" w:rsidRPr="003A7C3E">
        <w:t xml:space="preserve">Aristoteles pojímá demonstratio ve vztahu k zatmění Slunce nebo Měsíce jako druh deduktivního důkazu založeného na </w:t>
      </w:r>
      <w:r w:rsidR="003A7C3E">
        <w:t xml:space="preserve">impozici </w:t>
      </w:r>
      <w:r w:rsidR="003A7C3E" w:rsidRPr="003A7C3E">
        <w:t xml:space="preserve">účinné kauzality, která je vyvolána hyparchickou nutností </w:t>
      </w:r>
      <w:r w:rsidR="003A7C3E">
        <w:t>reálných událostí</w:t>
      </w:r>
      <w:r w:rsidR="003A7C3E" w:rsidRPr="003A7C3E">
        <w:t>.</w:t>
      </w:r>
      <w:r w:rsidR="003A7C3E">
        <w:t xml:space="preserve"> </w:t>
      </w:r>
      <w:r w:rsidR="008E02F5">
        <w:t>Aristoteles</w:t>
      </w:r>
      <w:r w:rsidR="00ED5724" w:rsidRPr="00273106">
        <w:t xml:space="preserve"> a první averroismus </w:t>
      </w:r>
      <w:r w:rsidR="009A35A7">
        <w:t xml:space="preserve">postupoval </w:t>
      </w:r>
      <w:r w:rsidR="08E066F8">
        <w:t xml:space="preserve">podle </w:t>
      </w:r>
      <w:r w:rsidR="082A724F">
        <w:t xml:space="preserve">metafyzického </w:t>
      </w:r>
      <w:r w:rsidR="08E066F8">
        <w:t>dativu</w:t>
      </w:r>
      <w:r w:rsidR="08E066F8">
        <w:fldChar w:fldCharType="begin"/>
      </w:r>
      <w:r w:rsidR="08E066F8">
        <w:instrText xml:space="preserve"> XE "</w:instrText>
      </w:r>
      <w:r w:rsidR="082A724F">
        <w:rPr>
          <w:i/>
        </w:rPr>
        <w:instrText>dativus metaphysi</w:instrText>
      </w:r>
      <w:r w:rsidR="08E066F8" w:rsidRPr="08E066F8">
        <w:rPr>
          <w:i/>
        </w:rPr>
        <w:instrText>cus</w:instrText>
      </w:r>
      <w:r w:rsidR="08E066F8">
        <w:instrText xml:space="preserve">" </w:instrText>
      </w:r>
      <w:r w:rsidR="08E066F8">
        <w:fldChar w:fldCharType="end"/>
      </w:r>
      <w:r w:rsidR="08E066F8">
        <w:t xml:space="preserve"> </w:t>
      </w:r>
      <w:r w:rsidR="009A35A7">
        <w:t>od reálné kauzality</w:t>
      </w:r>
      <w:r w:rsidR="08EC75E4" w:rsidRPr="00273106">
        <w:t xml:space="preserve"> k o</w:t>
      </w:r>
      <w:r w:rsidR="082F0743" w:rsidRPr="00273106">
        <w:t>becnému schématu</w:t>
      </w:r>
      <w:r w:rsidR="009A35A7">
        <w:t xml:space="preserve"> kauzality</w:t>
      </w:r>
      <w:r w:rsidR="08B7751E" w:rsidRPr="00273106">
        <w:t>. J</w:t>
      </w:r>
      <w:r w:rsidR="082F0743" w:rsidRPr="00273106">
        <w:t>inak by nep</w:t>
      </w:r>
      <w:r w:rsidR="08EC75E4" w:rsidRPr="00273106">
        <w:t>l</w:t>
      </w:r>
      <w:r w:rsidR="082F0743" w:rsidRPr="00273106">
        <w:t>at</w:t>
      </w:r>
      <w:r w:rsidR="08EC75E4" w:rsidRPr="00273106">
        <w:t xml:space="preserve">ila </w:t>
      </w:r>
      <w:r w:rsidR="082F0743" w:rsidRPr="00273106">
        <w:t xml:space="preserve">univoční </w:t>
      </w:r>
      <w:r w:rsidR="001D20DC">
        <w:t xml:space="preserve">kategoriální </w:t>
      </w:r>
      <w:r w:rsidR="082F0743" w:rsidRPr="00273106">
        <w:t xml:space="preserve">predikace </w:t>
      </w:r>
      <w:r w:rsidR="08EC75E4" w:rsidRPr="00273106">
        <w:t>nutnost</w:t>
      </w:r>
      <w:r w:rsidR="082F0743" w:rsidRPr="00273106">
        <w:t>i dané reálně</w:t>
      </w:r>
      <w:r w:rsidR="00BD465F" w:rsidRPr="00273106">
        <w:t xml:space="preserve">, kterou v modu adekvace predikuje </w:t>
      </w:r>
      <w:r w:rsidR="082F0743" w:rsidRPr="00273106">
        <w:t>střední člen soudu</w:t>
      </w:r>
      <w:r w:rsidR="08B7751E" w:rsidRPr="00273106">
        <w:t xml:space="preserve"> dan</w:t>
      </w:r>
      <w:r w:rsidR="00BD465F" w:rsidRPr="00273106">
        <w:t xml:space="preserve">ý </w:t>
      </w:r>
      <w:r w:rsidR="08B7751E" w:rsidRPr="00273106">
        <w:t>již univerzálně</w:t>
      </w:r>
      <w:r w:rsidR="0092415B">
        <w:fldChar w:fldCharType="begin"/>
      </w:r>
      <w:r w:rsidR="0092415B">
        <w:instrText xml:space="preserve"> XE "</w:instrText>
      </w:r>
      <w:r w:rsidR="0092415B" w:rsidRPr="00482789">
        <w:instrText>predikace:kategoriální</w:instrText>
      </w:r>
      <w:r w:rsidR="0092415B">
        <w:instrText xml:space="preserve">" </w:instrText>
      </w:r>
      <w:r w:rsidR="0092415B">
        <w:fldChar w:fldCharType="end"/>
      </w:r>
      <w:r w:rsidR="08EC75E4" w:rsidRPr="00273106">
        <w:t xml:space="preserve">. </w:t>
      </w:r>
      <w:r w:rsidR="081F7D0F" w:rsidRPr="00273106">
        <w:t>V tomto tvrzení spočívá jádro pravdy jako adekvace</w:t>
      </w:r>
      <w:r w:rsidR="00681CCA" w:rsidRPr="00273106">
        <w:t xml:space="preserve"> intelektu k poznané věci</w:t>
      </w:r>
      <w:r w:rsidR="007E479C">
        <w:t xml:space="preserve"> dané skrze </w:t>
      </w:r>
      <w:r w:rsidR="002E3B62">
        <w:t>Averroes</w:t>
      </w:r>
      <w:r w:rsidR="003C2275" w:rsidRPr="00273106">
        <w:t xml:space="preserve">ovo </w:t>
      </w:r>
      <w:r w:rsidR="003C2275" w:rsidRPr="00273106">
        <w:rPr>
          <w:i/>
        </w:rPr>
        <w:t>proportio</w:t>
      </w:r>
      <w:r w:rsidR="0092415B">
        <w:rPr>
          <w:i/>
        </w:rPr>
        <w:fldChar w:fldCharType="begin"/>
      </w:r>
      <w:r w:rsidR="0092415B">
        <w:instrText xml:space="preserve"> XE "pravda:</w:instrText>
      </w:r>
      <w:r w:rsidR="0092415B" w:rsidRPr="00EC12C8">
        <w:rPr>
          <w:i/>
        </w:rPr>
        <w:instrText>proportio</w:instrText>
      </w:r>
      <w:r w:rsidR="0092415B">
        <w:instrText xml:space="preserve">" </w:instrText>
      </w:r>
      <w:r w:rsidR="0092415B">
        <w:rPr>
          <w:i/>
        </w:rPr>
        <w:fldChar w:fldCharType="end"/>
      </w:r>
      <w:r w:rsidR="003C2275" w:rsidRPr="00273106">
        <w:t xml:space="preserve"> (</w:t>
      </w:r>
      <w:r w:rsidR="08C76AAF">
        <w:t xml:space="preserve">OBJ I, </w:t>
      </w:r>
      <w:r w:rsidR="003C2275" w:rsidRPr="00273106">
        <w:t>kap. 2.4.2)</w:t>
      </w:r>
      <w:r w:rsidR="08FC0970">
        <w:t xml:space="preserve">. Toto pojetí </w:t>
      </w:r>
      <w:r w:rsidR="08FC0970" w:rsidRPr="08FC0970">
        <w:rPr>
          <w:i/>
        </w:rPr>
        <w:t>Druhých analytik</w:t>
      </w:r>
      <w:r w:rsidR="08FC0970">
        <w:t xml:space="preserve"> </w:t>
      </w:r>
      <w:r w:rsidR="003D3C8B">
        <w:t xml:space="preserve">bránil Baconův výklad predikované kauzality </w:t>
      </w:r>
      <w:r w:rsidR="08FC0970">
        <w:t xml:space="preserve">proti modernistické </w:t>
      </w:r>
      <w:r w:rsidR="08FC0970" w:rsidRPr="08FC0970">
        <w:rPr>
          <w:i/>
        </w:rPr>
        <w:t>Oxfordian Fallacy</w:t>
      </w:r>
      <w:r w:rsidR="08D24E7B">
        <w:rPr>
          <w:i/>
        </w:rPr>
        <w:t xml:space="preserve"> </w:t>
      </w:r>
      <w:r w:rsidR="08D24E7B" w:rsidRPr="08D24E7B">
        <w:t xml:space="preserve">založené Grossetesteho výkladem </w:t>
      </w:r>
      <w:r w:rsidR="08D24E7B">
        <w:rPr>
          <w:i/>
        </w:rPr>
        <w:t>Druhých analytik</w:t>
      </w:r>
      <w:r w:rsidR="081F7D0F" w:rsidRPr="00273106">
        <w:t xml:space="preserve">. </w:t>
      </w:r>
      <w:r w:rsidR="0096726A" w:rsidRPr="00273106">
        <w:t>Vědecký s</w:t>
      </w:r>
      <w:r w:rsidR="00681CCA" w:rsidRPr="00273106">
        <w:t>oud musí respektovat hyparchické postavení první substance</w:t>
      </w:r>
      <w:r w:rsidR="003A708B">
        <w:t xml:space="preserve"> a kauzalitu</w:t>
      </w:r>
      <w:r w:rsidR="00C81F23">
        <w:t xml:space="preserve">, kterou </w:t>
      </w:r>
      <w:r w:rsidR="0892677B" w:rsidRPr="00273106">
        <w:t>první substance</w:t>
      </w:r>
      <w:r w:rsidR="0892677B">
        <w:t xml:space="preserve"> </w:t>
      </w:r>
      <w:r w:rsidR="00C81F23">
        <w:t>vykonává v realitě</w:t>
      </w:r>
      <w:r w:rsidR="00681CCA" w:rsidRPr="00273106">
        <w:t xml:space="preserve">. </w:t>
      </w:r>
      <w:r w:rsidR="00F06171">
        <w:t>R</w:t>
      </w:r>
      <w:r w:rsidR="001839B9" w:rsidRPr="00273106">
        <w:t xml:space="preserve">eálná </w:t>
      </w:r>
      <w:r w:rsidR="00BE7E65" w:rsidRPr="00273106">
        <w:t>věc</w:t>
      </w:r>
      <w:r w:rsidR="00D5377F" w:rsidRPr="00273106">
        <w:t xml:space="preserve"> </w:t>
      </w:r>
      <w:r w:rsidR="003A708B">
        <w:t xml:space="preserve">a její působení </w:t>
      </w:r>
      <w:r w:rsidR="00BE7E65" w:rsidRPr="00273106">
        <w:t>nemůže být jinak než jak je</w:t>
      </w:r>
      <w:r w:rsidR="00F06171">
        <w:t>. P</w:t>
      </w:r>
      <w:r w:rsidR="00BE7E65" w:rsidRPr="00273106">
        <w:t xml:space="preserve">ak ani </w:t>
      </w:r>
      <w:r w:rsidR="0892677B">
        <w:t xml:space="preserve">predikovaná </w:t>
      </w:r>
      <w:r w:rsidR="00BE7E65" w:rsidRPr="00273106">
        <w:t xml:space="preserve">nutnost </w:t>
      </w:r>
      <w:r w:rsidR="00D5377F" w:rsidRPr="00273106">
        <w:t xml:space="preserve">univerzálního </w:t>
      </w:r>
      <w:r w:rsidR="003A708B">
        <w:t xml:space="preserve">vědeckého </w:t>
      </w:r>
      <w:r w:rsidR="00D5377F" w:rsidRPr="00273106">
        <w:t>soudu daného v mysli</w:t>
      </w:r>
      <w:r w:rsidR="00BE7E65" w:rsidRPr="00273106">
        <w:t xml:space="preserve"> nemůže být jiná </w:t>
      </w:r>
      <w:r w:rsidR="00F06171">
        <w:t xml:space="preserve">než reálná nutnost věcí </w:t>
      </w:r>
      <w:r w:rsidR="00BE7E65" w:rsidRPr="00273106">
        <w:t xml:space="preserve">(ἀδύνατον ἄλλως ἔχειν οὗ ἔστιν ἐπιστήμη ἁπλῶς, </w:t>
      </w:r>
      <w:r w:rsidR="08EC75E4" w:rsidRPr="00273106">
        <w:rPr>
          <w:i/>
        </w:rPr>
        <w:t>Anal. Post.</w:t>
      </w:r>
      <w:r w:rsidR="08EC75E4" w:rsidRPr="00273106">
        <w:t xml:space="preserve"> </w:t>
      </w:r>
      <w:r w:rsidR="00BE7E65" w:rsidRPr="00273106">
        <w:t>73a21</w:t>
      </w:r>
      <w:r w:rsidR="0092415B">
        <w:fldChar w:fldCharType="begin"/>
      </w:r>
      <w:r w:rsidR="0092415B">
        <w:instrText xml:space="preserve"> XE "</w:instrText>
      </w:r>
      <w:r w:rsidR="008E02F5">
        <w:instrText>Aristoteles</w:instrText>
      </w:r>
      <w:r w:rsidR="0092415B">
        <w:instrText>:</w:instrText>
      </w:r>
      <w:r w:rsidR="0092415B" w:rsidRPr="007F068C">
        <w:rPr>
          <w:i/>
        </w:rPr>
        <w:instrText>Anal. Post</w:instrText>
      </w:r>
      <w:r w:rsidR="0092415B">
        <w:instrText xml:space="preserve">. 73a21" </w:instrText>
      </w:r>
      <w:r w:rsidR="0092415B">
        <w:fldChar w:fldCharType="end"/>
      </w:r>
      <w:r w:rsidR="00BE7E65" w:rsidRPr="00273106">
        <w:t>)</w:t>
      </w:r>
      <w:r w:rsidR="00D5377F" w:rsidRPr="00273106">
        <w:t xml:space="preserve">. </w:t>
      </w:r>
      <w:r w:rsidR="0096726A" w:rsidRPr="00273106">
        <w:t xml:space="preserve">Obě nutnosti jsou dány v modu </w:t>
      </w:r>
      <w:r w:rsidR="0096726A" w:rsidRPr="00273106">
        <w:rPr>
          <w:i/>
        </w:rPr>
        <w:t>simpliciter</w:t>
      </w:r>
      <w:r w:rsidR="0096726A" w:rsidRPr="00273106">
        <w:t xml:space="preserve"> (ἁπλῶς), ale tato jednoduchost má pokaždé jiný statut</w:t>
      </w:r>
      <w:r w:rsidR="00C571E9">
        <w:t xml:space="preserve">: </w:t>
      </w:r>
      <w:r w:rsidR="007D03B3" w:rsidRPr="00273106">
        <w:t>aktuální v realitě</w:t>
      </w:r>
      <w:r w:rsidR="087379BD">
        <w:t>, univerzálně-metafyzický ve vědecké predikaci a logicky-univerzální ve spekulativních vědách typu aritmetiky a geometrie</w:t>
      </w:r>
      <w:r w:rsidR="0092415B">
        <w:fldChar w:fldCharType="begin"/>
      </w:r>
      <w:r w:rsidR="0092415B">
        <w:instrText xml:space="preserve"> XE "</w:instrText>
      </w:r>
      <w:r w:rsidR="0092415B" w:rsidRPr="0058507A">
        <w:instrText>nutnost:</w:instrText>
      </w:r>
      <w:r w:rsidR="0092415B" w:rsidRPr="082526E0">
        <w:rPr>
          <w:i/>
        </w:rPr>
        <w:instrText>Druhé analytiky</w:instrText>
      </w:r>
      <w:r w:rsidR="0092415B">
        <w:instrText xml:space="preserve">" </w:instrText>
      </w:r>
      <w:r w:rsidR="0092415B">
        <w:fldChar w:fldCharType="end"/>
      </w:r>
      <w:r w:rsidR="0096726A" w:rsidRPr="00273106">
        <w:t xml:space="preserve">. </w:t>
      </w:r>
      <w:r w:rsidR="00D65E31" w:rsidRPr="00273106">
        <w:t xml:space="preserve">Nutnosti dané kauzálně na úrovni působení prvních substancí pak odpovídá v modu pravdy jako adekvace věci a rozumu odlišný druh predikativní nutnosti </w:t>
      </w:r>
      <w:r w:rsidR="088B39D3">
        <w:t>(metafyzický, logický) v deduktivním poznávacím soudu</w:t>
      </w:r>
      <w:r w:rsidR="00D65E31" w:rsidRPr="00273106">
        <w:t xml:space="preserve">. </w:t>
      </w:r>
      <w:r w:rsidR="085106A6">
        <w:t>Reálná a metafyzická n</w:t>
      </w:r>
      <w:r w:rsidR="00D65E31" w:rsidRPr="00273106">
        <w:t>utnost</w:t>
      </w:r>
      <w:r w:rsidR="085106A6">
        <w:t xml:space="preserve"> se potkává</w:t>
      </w:r>
      <w:r w:rsidR="00D65E31" w:rsidRPr="00273106">
        <w:t xml:space="preserve"> ve středním členu </w:t>
      </w:r>
      <w:r w:rsidR="08FC0970">
        <w:t xml:space="preserve">demonstrativního </w:t>
      </w:r>
      <w:r w:rsidR="00D65E31" w:rsidRPr="00273106">
        <w:t>soudu</w:t>
      </w:r>
      <w:r w:rsidR="006F012F">
        <w:t xml:space="preserve"> </w:t>
      </w:r>
      <w:r w:rsidR="004143CA">
        <w:t>(</w:t>
      </w:r>
      <w:r w:rsidR="004143CA" w:rsidRPr="004143CA">
        <w:rPr>
          <w:i/>
        </w:rPr>
        <w:t>medium</w:t>
      </w:r>
      <w:r w:rsidR="004143CA">
        <w:t xml:space="preserve">) </w:t>
      </w:r>
      <w:r w:rsidR="006F012F">
        <w:t>ve specifickém dr</w:t>
      </w:r>
      <w:r w:rsidR="08F66531">
        <w:t>uhu univerzální kauzality</w:t>
      </w:r>
      <w:r w:rsidR="004143CA">
        <w:t xml:space="preserve">. A právě tuto kauzalitu </w:t>
      </w:r>
      <w:r w:rsidR="001C3E24">
        <w:t xml:space="preserve">bránil Bacon </w:t>
      </w:r>
      <w:r w:rsidR="006F012F">
        <w:t>proti modernistům typu Rufuse</w:t>
      </w:r>
      <w:r w:rsidR="085106A6">
        <w:t xml:space="preserve"> (</w:t>
      </w:r>
      <w:r w:rsidR="085106A6" w:rsidRPr="00273106">
        <w:rPr>
          <w:i/>
        </w:rPr>
        <w:t>hoc est universale per causalitatem</w:t>
      </w:r>
      <w:r w:rsidR="085106A6">
        <w:rPr>
          <w:i/>
        </w:rPr>
        <w:fldChar w:fldCharType="begin"/>
      </w:r>
      <w:r w:rsidR="085106A6">
        <w:instrText xml:space="preserve"> XE "</w:instrText>
      </w:r>
      <w:r w:rsidR="085106A6" w:rsidRPr="001618A5">
        <w:rPr>
          <w:i/>
        </w:rPr>
        <w:instrText>medium</w:instrText>
      </w:r>
      <w:r w:rsidR="085106A6" w:rsidRPr="00EE3030">
        <w:instrText>:Bacon</w:instrText>
      </w:r>
      <w:r w:rsidR="085106A6">
        <w:instrText xml:space="preserve">" </w:instrText>
      </w:r>
      <w:r w:rsidR="085106A6">
        <w:rPr>
          <w:i/>
        </w:rPr>
        <w:fldChar w:fldCharType="end"/>
      </w:r>
      <w:r w:rsidR="085106A6" w:rsidRPr="006F012F">
        <w:t xml:space="preserve">, </w:t>
      </w:r>
      <w:r w:rsidR="08C614E5">
        <w:t>kap. 3</w:t>
      </w:r>
      <w:r w:rsidR="085106A6">
        <w:t>.2)</w:t>
      </w:r>
      <w:r w:rsidR="00D65E31" w:rsidRPr="00273106">
        <w:t xml:space="preserve">. </w:t>
      </w:r>
      <w:r w:rsidR="088B3E1C">
        <w:t>Fyzikálně daná k</w:t>
      </w:r>
      <w:r w:rsidR="00D65E31" w:rsidRPr="00273106">
        <w:t xml:space="preserve">auzalita působí jak v realitě prvních substancí, tak na </w:t>
      </w:r>
      <w:r w:rsidR="009C387D">
        <w:t xml:space="preserve">úrovni </w:t>
      </w:r>
      <w:r w:rsidR="00D65E31" w:rsidRPr="00273106">
        <w:t>smyslově založené</w:t>
      </w:r>
      <w:r w:rsidR="009C387D">
        <w:t>ho</w:t>
      </w:r>
      <w:r w:rsidR="00D65E31" w:rsidRPr="00273106">
        <w:t xml:space="preserve"> poznání</w:t>
      </w:r>
      <w:r w:rsidR="009C387D">
        <w:t xml:space="preserve">. Teprve následně </w:t>
      </w:r>
      <w:r w:rsidR="00E55F9D">
        <w:t xml:space="preserve">je predikována univerzálně v nemateriální formě intelektuálního poznání </w:t>
      </w:r>
      <w:r w:rsidR="00FF4026">
        <w:t xml:space="preserve">realizovaného </w:t>
      </w:r>
      <w:r w:rsidR="00E55F9D">
        <w:t>jako specifick</w:t>
      </w:r>
      <w:r w:rsidR="00FF4026">
        <w:t>á schopnost</w:t>
      </w:r>
      <w:r w:rsidR="00E55F9D">
        <w:t xml:space="preserve"> lidské duše</w:t>
      </w:r>
      <w:r w:rsidR="00D65E31" w:rsidRPr="00273106">
        <w:t xml:space="preserve">. </w:t>
      </w:r>
      <w:r w:rsidR="00B73CB8">
        <w:t>Toto pořadí determinace inte</w:t>
      </w:r>
      <w:r w:rsidR="00E66BE7">
        <w:t>l</w:t>
      </w:r>
      <w:r w:rsidR="00B73CB8">
        <w:t>e</w:t>
      </w:r>
      <w:r w:rsidR="00C83420">
        <w:t xml:space="preserve">ktu z reality </w:t>
      </w:r>
      <w:r w:rsidR="08FD7F91">
        <w:t xml:space="preserve">v modu </w:t>
      </w:r>
      <w:r w:rsidR="082A724F">
        <w:t xml:space="preserve">metafyzického </w:t>
      </w:r>
      <w:r w:rsidR="08FD7F91">
        <w:t xml:space="preserve">dativu </w:t>
      </w:r>
      <w:r w:rsidR="00C83420">
        <w:t xml:space="preserve">podává termín </w:t>
      </w:r>
      <w:r w:rsidR="0045065E">
        <w:t>„</w:t>
      </w:r>
      <w:r w:rsidR="00E66BE7" w:rsidRPr="00E66BE7">
        <w:rPr>
          <w:i/>
        </w:rPr>
        <w:t>proportionaliter</w:t>
      </w:r>
      <w:r w:rsidR="0045065E">
        <w:t>“</w:t>
      </w:r>
      <w:r w:rsidR="00C83420">
        <w:t xml:space="preserve"> </w:t>
      </w:r>
      <w:r w:rsidR="00E66BE7">
        <w:t xml:space="preserve">v CMDA a pojetí pravdy jako adekvace založené </w:t>
      </w:r>
      <w:r w:rsidR="00623103">
        <w:t xml:space="preserve">na výše uvedených </w:t>
      </w:r>
      <w:r w:rsidR="00623103">
        <w:lastRenderedPageBreak/>
        <w:t xml:space="preserve">formách nutnosti dané </w:t>
      </w:r>
      <w:r w:rsidR="00E66BE7">
        <w:t xml:space="preserve">kauzálně. </w:t>
      </w:r>
      <w:r w:rsidR="00D65E31" w:rsidRPr="00273106">
        <w:t xml:space="preserve">Klíčové je určení substance a kauzality dané </w:t>
      </w:r>
      <w:r w:rsidR="00D65E31" w:rsidRPr="00273106">
        <w:rPr>
          <w:i/>
        </w:rPr>
        <w:t>simpliciter</w:t>
      </w:r>
      <w:r w:rsidR="00D65E31" w:rsidRPr="00273106">
        <w:t xml:space="preserve"> v reálu a pak kategoriálně predikované </w:t>
      </w:r>
      <w:r w:rsidR="00D65E31" w:rsidRPr="00273106">
        <w:rPr>
          <w:i/>
        </w:rPr>
        <w:t>universaliter</w:t>
      </w:r>
      <w:r w:rsidR="00D65E31" w:rsidRPr="00273106">
        <w:t xml:space="preserve">. </w:t>
      </w:r>
      <w:r w:rsidR="004151C7" w:rsidRPr="00273106">
        <w:t>Nutnost dějů je daná v</w:t>
      </w:r>
      <w:r w:rsidR="007755B6">
        <w:t> </w:t>
      </w:r>
      <w:r w:rsidR="004151C7" w:rsidRPr="00273106">
        <w:t>reálu</w:t>
      </w:r>
      <w:r w:rsidR="007755B6">
        <w:t xml:space="preserve"> </w:t>
      </w:r>
      <w:r w:rsidR="007755B6" w:rsidRPr="002B6BD7">
        <w:rPr>
          <w:szCs w:val="24"/>
        </w:rPr>
        <w:t xml:space="preserve">(ἐνυπάρχει ἐν τῷ τί ἐστι, </w:t>
      </w:r>
      <w:r w:rsidR="007755B6" w:rsidRPr="002B6BD7">
        <w:rPr>
          <w:i/>
          <w:szCs w:val="24"/>
        </w:rPr>
        <w:t>Anal. Post.</w:t>
      </w:r>
      <w:r w:rsidR="007755B6" w:rsidRPr="002B6BD7">
        <w:rPr>
          <w:szCs w:val="24"/>
        </w:rPr>
        <w:t xml:space="preserve"> 84a13</w:t>
      </w:r>
      <w:r w:rsidR="007755B6" w:rsidRPr="002B6BD7">
        <w:rPr>
          <w:szCs w:val="24"/>
        </w:rPr>
        <w:fldChar w:fldCharType="begin"/>
      </w:r>
      <w:r w:rsidR="007755B6" w:rsidRPr="002B6BD7">
        <w:rPr>
          <w:szCs w:val="24"/>
        </w:rPr>
        <w:instrText xml:space="preserve"> XE "Aristoteles:</w:instrText>
      </w:r>
      <w:r w:rsidR="007755B6" w:rsidRPr="002B6BD7">
        <w:rPr>
          <w:i/>
          <w:szCs w:val="24"/>
        </w:rPr>
        <w:instrText>Anal. Post.</w:instrText>
      </w:r>
      <w:r w:rsidR="007755B6" w:rsidRPr="002B6BD7">
        <w:rPr>
          <w:szCs w:val="24"/>
        </w:rPr>
        <w:instrText xml:space="preserve"> 84a13" </w:instrText>
      </w:r>
      <w:r w:rsidR="007755B6" w:rsidRPr="002B6BD7">
        <w:rPr>
          <w:szCs w:val="24"/>
        </w:rPr>
        <w:fldChar w:fldCharType="end"/>
      </w:r>
      <w:r w:rsidR="007755B6" w:rsidRPr="002B6BD7">
        <w:rPr>
          <w:szCs w:val="24"/>
        </w:rPr>
        <w:t>)</w:t>
      </w:r>
      <w:r w:rsidR="007755B6">
        <w:rPr>
          <w:szCs w:val="24"/>
        </w:rPr>
        <w:t>. T</w:t>
      </w:r>
      <w:r w:rsidR="004151C7" w:rsidRPr="00273106">
        <w:t>eprve pak ji může konstatovat demo</w:t>
      </w:r>
      <w:r w:rsidR="00DC55A2">
        <w:t xml:space="preserve">nstrativní soud </w:t>
      </w:r>
      <w:r w:rsidR="004151C7" w:rsidRPr="00273106">
        <w:t>daný deduktivně</w:t>
      </w:r>
      <w:r w:rsidR="00DC55A2">
        <w:t xml:space="preserve">, tedy v modu univoční impozice </w:t>
      </w:r>
      <w:r w:rsidR="004151C7" w:rsidRPr="00273106">
        <w:t xml:space="preserve">od </w:t>
      </w:r>
      <w:r w:rsidR="001560F6" w:rsidRPr="00273106">
        <w:t xml:space="preserve">hyparchicky predikované </w:t>
      </w:r>
      <w:r w:rsidR="004151C7" w:rsidRPr="00273106">
        <w:t>první substance</w:t>
      </w:r>
      <w:r w:rsidR="08552477">
        <w:t xml:space="preserve"> </w:t>
      </w:r>
      <w:r w:rsidR="08552477" w:rsidRPr="00273106">
        <w:t>(ἐν τῷ τί ἐστιν ὑπάρχουσιν αὐτοῖς</w:t>
      </w:r>
      <w:r w:rsidR="08552477">
        <w:t xml:space="preserve">, </w:t>
      </w:r>
      <w:r w:rsidR="08552477" w:rsidRPr="00273106">
        <w:rPr>
          <w:i/>
        </w:rPr>
        <w:t>Anal. Post</w:t>
      </w:r>
      <w:r w:rsidR="08552477">
        <w:t>. 84a</w:t>
      </w:r>
      <w:r w:rsidR="08552477" w:rsidRPr="00273106">
        <w:t>14</w:t>
      </w:r>
      <w:r w:rsidR="08552477">
        <w:fldChar w:fldCharType="begin"/>
      </w:r>
      <w:r w:rsidR="08552477">
        <w:instrText xml:space="preserve"> XE "Aristoteles:</w:instrText>
      </w:r>
      <w:r w:rsidR="08552477" w:rsidRPr="00273106">
        <w:rPr>
          <w:i/>
        </w:rPr>
        <w:instrText>Anal. Post</w:instrText>
      </w:r>
      <w:r w:rsidR="08552477">
        <w:instrText>. 84a</w:instrText>
      </w:r>
      <w:r w:rsidR="08552477" w:rsidRPr="00273106">
        <w:instrText>14</w:instrText>
      </w:r>
      <w:r w:rsidR="08552477">
        <w:instrText xml:space="preserve">" </w:instrText>
      </w:r>
      <w:r w:rsidR="08552477">
        <w:fldChar w:fldCharType="end"/>
      </w:r>
      <w:r w:rsidR="08552477" w:rsidRPr="00273106">
        <w:t>)</w:t>
      </w:r>
      <w:r w:rsidR="00E972E0">
        <w:t xml:space="preserve">. </w:t>
      </w:r>
      <w:r w:rsidR="006E2538" w:rsidRPr="00273106">
        <w:t>To</w:t>
      </w:r>
      <w:r w:rsidR="004C059D">
        <w:t xml:space="preserve">to základní schéma </w:t>
      </w:r>
      <w:r w:rsidR="006333AB">
        <w:t xml:space="preserve">deduktivního apodiktického </w:t>
      </w:r>
      <w:r w:rsidR="004C059D">
        <w:t>soudu</w:t>
      </w:r>
      <w:r w:rsidR="006E2538" w:rsidRPr="00273106">
        <w:t xml:space="preserve"> </w:t>
      </w:r>
      <w:r w:rsidR="006333AB" w:rsidRPr="00513BF3">
        <w:rPr>
          <w:i/>
        </w:rPr>
        <w:t>Druhých analytik</w:t>
      </w:r>
      <w:r w:rsidR="006333AB">
        <w:t xml:space="preserve"> </w:t>
      </w:r>
      <w:r w:rsidR="006E2538" w:rsidRPr="00273106">
        <w:t>pominul Avicenna a po něm druhý averroismus</w:t>
      </w:r>
      <w:r w:rsidR="087821AD">
        <w:t xml:space="preserve"> ovlivněný </w:t>
      </w:r>
      <w:r w:rsidR="00513BF3">
        <w:t xml:space="preserve">Toledským neoplatonismem v modu </w:t>
      </w:r>
      <w:r w:rsidR="00BF03AA" w:rsidRPr="00BF03AA">
        <w:rPr>
          <w:i/>
        </w:rPr>
        <w:t>Oxfordian Fallacy</w:t>
      </w:r>
      <w:r w:rsidR="006E2538" w:rsidRPr="00273106">
        <w:t xml:space="preserve">. </w:t>
      </w:r>
      <w:r w:rsidR="00E75C97" w:rsidRPr="00273106">
        <w:t xml:space="preserve">Zatmění </w:t>
      </w:r>
      <w:r w:rsidR="00421A02">
        <w:t>první substance</w:t>
      </w:r>
      <w:r w:rsidR="002B4F96">
        <w:t xml:space="preserve"> </w:t>
      </w:r>
      <w:r w:rsidR="00FE4325">
        <w:t xml:space="preserve">a </w:t>
      </w:r>
      <w:r w:rsidR="00421A02">
        <w:t xml:space="preserve">pravdivého poznání </w:t>
      </w:r>
      <w:r w:rsidR="00E75C97" w:rsidRPr="00273106">
        <w:rPr>
          <w:i/>
        </w:rPr>
        <w:t>Modernorum</w:t>
      </w:r>
      <w:r w:rsidR="00E75C97" w:rsidRPr="00273106">
        <w:t xml:space="preserve"> spočívalo v tom, že </w:t>
      </w:r>
      <w:r w:rsidR="08740EB3">
        <w:t xml:space="preserve">modernisté </w:t>
      </w:r>
      <w:r w:rsidR="00E75C97" w:rsidRPr="00273106">
        <w:t>ignorovali základní způso</w:t>
      </w:r>
      <w:r w:rsidR="00421A02">
        <w:t xml:space="preserve">b, jak </w:t>
      </w:r>
      <w:r w:rsidR="00421A02" w:rsidRPr="00D1420B">
        <w:rPr>
          <w:i/>
        </w:rPr>
        <w:t>Druhé analytiky</w:t>
      </w:r>
      <w:r w:rsidR="00421A02">
        <w:t xml:space="preserve"> vytvořily deduktivní schéma</w:t>
      </w:r>
      <w:r w:rsidR="002E5236">
        <w:t xml:space="preserve"> zatmění</w:t>
      </w:r>
      <w:r w:rsidR="00AA6B2F">
        <w:t xml:space="preserve"> a čím jej od</w:t>
      </w:r>
      <w:r w:rsidR="001B0F91">
        <w:t>lišily</w:t>
      </w:r>
      <w:r w:rsidR="00AA6B2F">
        <w:t xml:space="preserve"> od definice trojúhelníka</w:t>
      </w:r>
      <w:r w:rsidR="00B73CB8">
        <w:fldChar w:fldCharType="begin"/>
      </w:r>
      <w:r w:rsidR="00B73CB8">
        <w:instrText xml:space="preserve"> XE "</w:instrText>
      </w:r>
      <w:r w:rsidR="00B73CB8" w:rsidRPr="009732B7">
        <w:instrText>zatmění:substance</w:instrText>
      </w:r>
      <w:r w:rsidR="00B73CB8">
        <w:instrText xml:space="preserve">" </w:instrText>
      </w:r>
      <w:r w:rsidR="00B73CB8">
        <w:fldChar w:fldCharType="end"/>
      </w:r>
      <w:r w:rsidR="00E75C97" w:rsidRPr="00273106">
        <w:t xml:space="preserve">. </w:t>
      </w:r>
      <w:r w:rsidR="0000328D">
        <w:t>Moderní sofisté</w:t>
      </w:r>
      <w:r w:rsidR="00AA6B2F">
        <w:t xml:space="preserve"> v</w:t>
      </w:r>
      <w:r w:rsidR="002E5236">
        <w:t>yšli z toho, že s</w:t>
      </w:r>
      <w:r w:rsidR="00D674A1">
        <w:t xml:space="preserve">oud </w:t>
      </w:r>
      <w:r w:rsidR="00B47E37" w:rsidRPr="00273106">
        <w:t xml:space="preserve">determinoval schéma kauzality z univerzálně poznaných příčin, </w:t>
      </w:r>
      <w:r w:rsidR="002E5236">
        <w:t xml:space="preserve">proto </w:t>
      </w:r>
      <w:r w:rsidR="00D674A1">
        <w:t xml:space="preserve">není </w:t>
      </w:r>
      <w:r w:rsidR="00B47E37" w:rsidRPr="00273106">
        <w:t>třeb</w:t>
      </w:r>
      <w:r w:rsidR="00D674A1">
        <w:t>a</w:t>
      </w:r>
      <w:r w:rsidR="00B47E37" w:rsidRPr="00273106">
        <w:t xml:space="preserve"> znát konkrétní případ zatmění</w:t>
      </w:r>
      <w:r w:rsidR="002D4A22">
        <w:t>. To výslovně odporuje Aristo</w:t>
      </w:r>
      <w:r w:rsidR="001E2DC1">
        <w:t>lově tezi</w:t>
      </w:r>
      <w:r w:rsidR="00B73CB8">
        <w:fldChar w:fldCharType="begin"/>
      </w:r>
      <w:r w:rsidR="00B73CB8">
        <w:instrText xml:space="preserve"> XE "zatmění:</w:instrText>
      </w:r>
      <w:r w:rsidR="00B73CB8" w:rsidRPr="082526E0">
        <w:rPr>
          <w:i/>
        </w:rPr>
        <w:instrText>Druhé analytiky</w:instrText>
      </w:r>
      <w:r w:rsidR="00B73CB8">
        <w:instrText xml:space="preserve">" </w:instrText>
      </w:r>
      <w:r w:rsidR="00B73CB8">
        <w:fldChar w:fldCharType="end"/>
      </w:r>
      <w:r w:rsidR="001E2DC1">
        <w:t>, že nejprve musíme zji</w:t>
      </w:r>
      <w:r w:rsidR="00654809">
        <w:t>s</w:t>
      </w:r>
      <w:r w:rsidR="001E2DC1">
        <w:t>tit</w:t>
      </w:r>
      <w:r w:rsidR="00654809">
        <w:t xml:space="preserve"> daný fakt v reálu (</w:t>
      </w:r>
      <w:r w:rsidR="00654809" w:rsidRPr="002D4A22">
        <w:t>τὸ ὅτι</w:t>
      </w:r>
      <w:r w:rsidR="00654809">
        <w:t>)</w:t>
      </w:r>
      <w:r w:rsidR="005C2A71">
        <w:t>.</w:t>
      </w:r>
      <w:r w:rsidR="001B0F91">
        <w:t xml:space="preserve"> Věda musí </w:t>
      </w:r>
      <w:r w:rsidR="009F43F4">
        <w:t xml:space="preserve">empiricky </w:t>
      </w:r>
      <w:r w:rsidR="086B391A">
        <w:t xml:space="preserve">znát způsob, </w:t>
      </w:r>
      <w:r w:rsidR="001B0F91">
        <w:t xml:space="preserve">jak </w:t>
      </w:r>
      <w:r w:rsidR="002D4A22">
        <w:t xml:space="preserve">se astronomická tělesa jako </w:t>
      </w:r>
      <w:r w:rsidR="00A4506A">
        <w:t>S</w:t>
      </w:r>
      <w:r w:rsidR="004B7DE4">
        <w:t>lunce</w:t>
      </w:r>
      <w:r w:rsidR="002D4A22">
        <w:t xml:space="preserve"> </w:t>
      </w:r>
      <w:r w:rsidR="00A4506A">
        <w:t xml:space="preserve">a Měsíc </w:t>
      </w:r>
      <w:r w:rsidR="002D4A22">
        <w:t xml:space="preserve">podílí skrze vlastní účinek na daném jevu </w:t>
      </w:r>
      <w:r w:rsidR="002D4A22" w:rsidRPr="002D4A22">
        <w:t xml:space="preserve">(ἐκλείπει ὁ ἥλιος ἢ οὔ, τὸ ὅτι ζητοῦμεν, </w:t>
      </w:r>
      <w:r w:rsidR="002D4A22" w:rsidRPr="002D4A22">
        <w:rPr>
          <w:i/>
        </w:rPr>
        <w:t>Anal. Post</w:t>
      </w:r>
      <w:r w:rsidR="002D4A22" w:rsidRPr="002D4A22">
        <w:t>. 89b27</w:t>
      </w:r>
      <w:r w:rsidR="00B73CB8">
        <w:fldChar w:fldCharType="begin"/>
      </w:r>
      <w:r w:rsidR="00B73CB8">
        <w:instrText xml:space="preserve"> XE "</w:instrText>
      </w:r>
      <w:r w:rsidR="008E02F5">
        <w:instrText>Aristoteles</w:instrText>
      </w:r>
      <w:r w:rsidR="00B73CB8">
        <w:instrText>:</w:instrText>
      </w:r>
      <w:r w:rsidR="00B73CB8" w:rsidRPr="00B30496">
        <w:rPr>
          <w:i/>
        </w:rPr>
        <w:instrText>Anal. Post</w:instrText>
      </w:r>
      <w:r w:rsidR="00B73CB8" w:rsidRPr="00B30496">
        <w:instrText>. 89b27</w:instrText>
      </w:r>
      <w:r w:rsidR="00B73CB8">
        <w:instrText xml:space="preserve">" </w:instrText>
      </w:r>
      <w:r w:rsidR="00B73CB8">
        <w:fldChar w:fldCharType="end"/>
      </w:r>
      <w:r w:rsidR="002D4A22" w:rsidRPr="002D4A22">
        <w:t>)</w:t>
      </w:r>
      <w:r w:rsidR="00B47E37" w:rsidRPr="00273106">
        <w:t xml:space="preserve">. </w:t>
      </w:r>
      <w:r w:rsidR="001E2DC1">
        <w:t xml:space="preserve">Všichni lidé ví, že zatmění existuje. Vědec vyjde z </w:t>
      </w:r>
      <w:r w:rsidR="003C2214">
        <w:t xml:space="preserve">této </w:t>
      </w:r>
      <w:r w:rsidR="001E2DC1">
        <w:t xml:space="preserve">obecné zkušenosti (ἔνδοξα) a najde její univerzálně platné příčiny. </w:t>
      </w:r>
      <w:r w:rsidR="00B05BCC">
        <w:t xml:space="preserve">Rufus toto schéma otočil a </w:t>
      </w:r>
      <w:r w:rsidR="00D674A1">
        <w:t>nasví</w:t>
      </w:r>
      <w:r w:rsidR="00B05BCC">
        <w:t xml:space="preserve">til </w:t>
      </w:r>
      <w:r w:rsidR="003C2214">
        <w:t>smysl</w:t>
      </w:r>
      <w:r w:rsidR="00D674A1">
        <w:t xml:space="preserve"> jsoucna zezadu, od univerzálních forem. </w:t>
      </w:r>
      <w:r w:rsidR="00B47E37" w:rsidRPr="00273106">
        <w:t xml:space="preserve">Ale </w:t>
      </w:r>
      <w:r w:rsidR="00D674A1" w:rsidRPr="00D1420B">
        <w:rPr>
          <w:i/>
        </w:rPr>
        <w:t>Druhé analytiky</w:t>
      </w:r>
      <w:r w:rsidR="00D674A1">
        <w:t xml:space="preserve"> a </w:t>
      </w:r>
      <w:r w:rsidR="00D674A1" w:rsidRPr="00D674A1">
        <w:rPr>
          <w:i/>
        </w:rPr>
        <w:t>De anima</w:t>
      </w:r>
      <w:r w:rsidR="00D674A1">
        <w:t xml:space="preserve"> dobře ví, že </w:t>
      </w:r>
      <w:r w:rsidR="003C2214">
        <w:t xml:space="preserve">univerzalita </w:t>
      </w:r>
      <w:r w:rsidR="00B47E37" w:rsidRPr="00273106">
        <w:t xml:space="preserve">není </w:t>
      </w:r>
      <w:r w:rsidR="003C2214">
        <w:t xml:space="preserve">dána </w:t>
      </w:r>
      <w:r w:rsidR="00B47E37" w:rsidRPr="00273106">
        <w:t>na začátku</w:t>
      </w:r>
      <w:r w:rsidR="003C2214">
        <w:t xml:space="preserve"> poznání v žádné formě</w:t>
      </w:r>
      <w:r w:rsidR="00B47E37" w:rsidRPr="00273106">
        <w:t xml:space="preserve">, </w:t>
      </w:r>
      <w:r w:rsidR="00E56294">
        <w:t>proto</w:t>
      </w:r>
      <w:r w:rsidR="00D674A1">
        <w:t>že</w:t>
      </w:r>
      <w:r w:rsidR="00E56294">
        <w:t xml:space="preserve"> duše je neposaný list</w:t>
      </w:r>
      <w:r w:rsidR="00D674A1">
        <w:t xml:space="preserve"> a zatmění poznáváme nejprve empiricky</w:t>
      </w:r>
      <w:r w:rsidR="00BF58E9">
        <w:fldChar w:fldCharType="begin"/>
      </w:r>
      <w:r w:rsidR="00BF58E9">
        <w:instrText xml:space="preserve"> XE "</w:instrText>
      </w:r>
      <w:r w:rsidR="00BF58E9" w:rsidRPr="000E6626">
        <w:instrText>zjevování:nasvícení zepředu</w:instrText>
      </w:r>
      <w:r w:rsidR="00BF58E9">
        <w:instrText xml:space="preserve">" </w:instrText>
      </w:r>
      <w:r w:rsidR="00BF58E9">
        <w:fldChar w:fldCharType="end"/>
      </w:r>
      <w:r w:rsidR="00E56294">
        <w:t xml:space="preserve">. Proto </w:t>
      </w:r>
      <w:r w:rsidR="00B47E37" w:rsidRPr="00273106">
        <w:t>má</w:t>
      </w:r>
      <w:r w:rsidR="00EB04DA">
        <w:t xml:space="preserve"> věda </w:t>
      </w:r>
      <w:r w:rsidR="00E56294">
        <w:t>ne</w:t>
      </w:r>
      <w:r w:rsidR="00D27AC4">
        <w:t>j</w:t>
      </w:r>
      <w:r w:rsidR="00E56294">
        <w:t xml:space="preserve">prve </w:t>
      </w:r>
      <w:r w:rsidR="00D27AC4">
        <w:t xml:space="preserve">dánu aktuální </w:t>
      </w:r>
      <w:r w:rsidR="00B47E37" w:rsidRPr="00273106">
        <w:t xml:space="preserve">realitu </w:t>
      </w:r>
      <w:r w:rsidR="00E56294">
        <w:t xml:space="preserve">v </w:t>
      </w:r>
      <w:r w:rsidR="00B47E37" w:rsidRPr="00273106">
        <w:t xml:space="preserve">působení prvních substancí, a teprve </w:t>
      </w:r>
      <w:r w:rsidR="00B47E37" w:rsidRPr="00273106">
        <w:rPr>
          <w:i/>
        </w:rPr>
        <w:t>ex post</w:t>
      </w:r>
      <w:r w:rsidR="00EB04DA">
        <w:t xml:space="preserve"> hledá</w:t>
      </w:r>
      <w:r w:rsidR="00B47E37" w:rsidRPr="00273106">
        <w:t xml:space="preserve"> její obecné příčiny (εἰδῶμεν τὸ ὅτι, τὸ διότι ζητοῦμεν,</w:t>
      </w:r>
      <w:r w:rsidR="00B47E37" w:rsidRPr="00273106">
        <w:rPr>
          <w:i/>
        </w:rPr>
        <w:t xml:space="preserve"> Anal. Post.</w:t>
      </w:r>
      <w:r w:rsidR="00B47E37" w:rsidRPr="00273106">
        <w:t xml:space="preserve"> 89b29</w:t>
      </w:r>
      <w:r w:rsidR="00BF58E9">
        <w:fldChar w:fldCharType="begin"/>
      </w:r>
      <w:r w:rsidR="00BF58E9">
        <w:instrText xml:space="preserve"> XE "</w:instrText>
      </w:r>
      <w:r w:rsidR="008E02F5">
        <w:instrText>Aristoteles</w:instrText>
      </w:r>
      <w:r w:rsidR="00BF58E9">
        <w:instrText>:</w:instrText>
      </w:r>
      <w:r w:rsidR="00BF58E9" w:rsidRPr="00B30496">
        <w:rPr>
          <w:i/>
        </w:rPr>
        <w:instrText>Anal. Post</w:instrText>
      </w:r>
      <w:r w:rsidR="00BF58E9">
        <w:instrText xml:space="preserve">. 89b29" </w:instrText>
      </w:r>
      <w:r w:rsidR="00BF58E9">
        <w:fldChar w:fldCharType="end"/>
      </w:r>
      <w:r w:rsidR="00B47E37" w:rsidRPr="00273106">
        <w:t xml:space="preserve">). </w:t>
      </w:r>
      <w:r w:rsidR="003B28EC" w:rsidRPr="00273106">
        <w:t xml:space="preserve">Moderna </w:t>
      </w:r>
      <w:r w:rsidR="00D1420B">
        <w:t>se n</w:t>
      </w:r>
      <w:r w:rsidR="003B28EC" w:rsidRPr="00273106">
        <w:t>echala</w:t>
      </w:r>
      <w:r w:rsidR="00D1420B">
        <w:t xml:space="preserve"> </w:t>
      </w:r>
      <w:r w:rsidR="006E2538" w:rsidRPr="00273106">
        <w:t>svést univerzálně platný</w:t>
      </w:r>
      <w:r w:rsidR="003D192A" w:rsidRPr="00273106">
        <w:t>m schématem dedukce, kterou dala</w:t>
      </w:r>
      <w:r w:rsidR="006E2538" w:rsidRPr="00273106">
        <w:t xml:space="preserve"> do modu </w:t>
      </w:r>
      <w:r w:rsidR="006E2538" w:rsidRPr="00273106">
        <w:rPr>
          <w:i/>
        </w:rPr>
        <w:t>per prius</w:t>
      </w:r>
      <w:r w:rsidR="006E2538" w:rsidRPr="00273106">
        <w:t xml:space="preserve"> podle </w:t>
      </w:r>
      <w:r w:rsidR="00874074">
        <w:t>neoplatonsk</w:t>
      </w:r>
      <w:r w:rsidR="006E2538" w:rsidRPr="00273106">
        <w:t xml:space="preserve">ého výkladu </w:t>
      </w:r>
      <w:r w:rsidR="006E2538" w:rsidRPr="00D1420B">
        <w:rPr>
          <w:i/>
        </w:rPr>
        <w:t>Kategorií</w:t>
      </w:r>
      <w:r w:rsidR="003D192A" w:rsidRPr="00273106">
        <w:t xml:space="preserve"> a záměnou druhé triády prvních principů </w:t>
      </w:r>
      <w:r w:rsidR="08534BF5">
        <w:t>poznání za první trojici (kap. 3</w:t>
      </w:r>
      <w:r w:rsidR="003D192A" w:rsidRPr="00273106">
        <w:t>.1.1)</w:t>
      </w:r>
      <w:r w:rsidR="006E2538" w:rsidRPr="00273106">
        <w:t xml:space="preserve">. </w:t>
      </w:r>
      <w:r w:rsidR="00005E66">
        <w:t xml:space="preserve">Původním zdrojem analytického </w:t>
      </w:r>
      <w:r w:rsidR="001E3C17" w:rsidRPr="00273106">
        <w:t xml:space="preserve">výkladu </w:t>
      </w:r>
      <w:r w:rsidR="00E7483D">
        <w:t xml:space="preserve">zatmění podle </w:t>
      </w:r>
      <w:r w:rsidR="00E7483D" w:rsidRPr="0045555A">
        <w:rPr>
          <w:i/>
        </w:rPr>
        <w:t>Druhých analytik</w:t>
      </w:r>
      <w:r w:rsidR="00E7483D">
        <w:t xml:space="preserve"> </w:t>
      </w:r>
      <w:r w:rsidR="001E3C17" w:rsidRPr="00273106">
        <w:t>je pochopitelně Avicenna</w:t>
      </w:r>
      <w:r w:rsidR="08192404">
        <w:t xml:space="preserve"> jako </w:t>
      </w:r>
      <w:r w:rsidR="00E7483D">
        <w:t>první západní modernista</w:t>
      </w:r>
      <w:r w:rsidR="083A5479">
        <w:t>.</w:t>
      </w:r>
      <w:r w:rsidR="083A5479" w:rsidRPr="083A5479">
        <w:t xml:space="preserve"> </w:t>
      </w:r>
      <w:r w:rsidR="08B41718">
        <w:t>Avicenna změnil dráhu nasvícení jsoucna (</w:t>
      </w:r>
      <w:r w:rsidR="08B41718" w:rsidRPr="00A3685C">
        <w:rPr>
          <w:i/>
        </w:rPr>
        <w:t>Vor</w:t>
      </w:r>
      <w:r w:rsidR="08B41718" w:rsidRPr="00A3685C">
        <w:rPr>
          <w:i/>
        </w:rPr>
        <w:noBreakHyphen/>
        <w:t>blickbahn</w:t>
      </w:r>
      <w:r w:rsidR="08B41718">
        <w:rPr>
          <w:i/>
        </w:rPr>
        <w:fldChar w:fldCharType="begin"/>
      </w:r>
      <w:r w:rsidR="08B41718">
        <w:instrText xml:space="preserve"> XE "</w:instrText>
      </w:r>
      <w:r w:rsidR="08106DC9">
        <w:rPr>
          <w:i/>
        </w:rPr>
        <w:instrText>Vor-</w:instrText>
      </w:r>
      <w:r w:rsidR="08B41718" w:rsidRPr="000C66F2">
        <w:rPr>
          <w:i/>
        </w:rPr>
        <w:instrText>b</w:instrText>
      </w:r>
      <w:r w:rsidR="08B41718" w:rsidRPr="000C66F2">
        <w:rPr>
          <w:i/>
          <w:iCs/>
        </w:rPr>
        <w:instrText>lickbahn</w:instrText>
      </w:r>
      <w:r w:rsidR="08B41718">
        <w:rPr>
          <w:iCs/>
        </w:rPr>
        <w:instrText>:Avicenna</w:instrText>
      </w:r>
      <w:r w:rsidR="08B41718">
        <w:instrText xml:space="preserve">" </w:instrText>
      </w:r>
      <w:r w:rsidR="08B41718">
        <w:rPr>
          <w:i/>
        </w:rPr>
        <w:fldChar w:fldCharType="end"/>
      </w:r>
      <w:r w:rsidR="08B41718">
        <w:t>) vzhledem ke střednímu členu vědeckého soudu (</w:t>
      </w:r>
      <w:r w:rsidR="08B41718" w:rsidRPr="00A3685C">
        <w:rPr>
          <w:i/>
        </w:rPr>
        <w:t>medium</w:t>
      </w:r>
      <w:r w:rsidR="08B41718">
        <w:rPr>
          <w:i/>
        </w:rPr>
        <w:fldChar w:fldCharType="begin"/>
      </w:r>
      <w:r w:rsidR="08B41718">
        <w:instrText xml:space="preserve"> XE "</w:instrText>
      </w:r>
      <w:r w:rsidR="08B41718" w:rsidRPr="001618A5">
        <w:rPr>
          <w:i/>
        </w:rPr>
        <w:instrText>medium:</w:instrText>
      </w:r>
      <w:r w:rsidR="08B41718" w:rsidRPr="001618A5">
        <w:instrText>A</w:instrText>
      </w:r>
      <w:r w:rsidR="08B41718">
        <w:instrText xml:space="preserve">vicenna" </w:instrText>
      </w:r>
      <w:r w:rsidR="08B41718">
        <w:rPr>
          <w:i/>
        </w:rPr>
        <w:fldChar w:fldCharType="end"/>
      </w:r>
      <w:r w:rsidR="08B41718">
        <w:t>), a tím založil původní událost vědeckého myšlení dávající nový epochální smysl bytí jsoucna (</w:t>
      </w:r>
      <w:r w:rsidR="08B41718" w:rsidRPr="00A3685C">
        <w:rPr>
          <w:i/>
        </w:rPr>
        <w:t>Ereignis</w:t>
      </w:r>
      <w:r w:rsidR="08B41718">
        <w:rPr>
          <w:i/>
        </w:rPr>
        <w:fldChar w:fldCharType="begin"/>
      </w:r>
      <w:r w:rsidR="08B41718">
        <w:instrText xml:space="preserve"> XE "</w:instrText>
      </w:r>
      <w:r w:rsidR="08B41718" w:rsidRPr="00120BB2">
        <w:rPr>
          <w:i/>
        </w:rPr>
        <w:instrText>Ereignis</w:instrText>
      </w:r>
      <w:r w:rsidR="08B41718">
        <w:instrText xml:space="preserve">" </w:instrText>
      </w:r>
      <w:r w:rsidR="08B41718">
        <w:rPr>
          <w:i/>
        </w:rPr>
        <w:fldChar w:fldCharType="end"/>
      </w:r>
      <w:r w:rsidR="08B41718">
        <w:t xml:space="preserve">). </w:t>
      </w:r>
      <w:r w:rsidR="08EF0A87">
        <w:t xml:space="preserve">Hermeneutika </w:t>
      </w:r>
      <w:r w:rsidR="08416E61">
        <w:t xml:space="preserve">chápe </w:t>
      </w:r>
      <w:r w:rsidR="08EF0A87">
        <w:t>střední člen soudu u Avicenny (</w:t>
      </w:r>
      <w:r w:rsidR="08EF0A87" w:rsidRPr="003C6D69">
        <w:rPr>
          <w:i/>
        </w:rPr>
        <w:t>understanding</w:t>
      </w:r>
      <w:r w:rsidR="08EF0A87">
        <w:t xml:space="preserve"> </w:t>
      </w:r>
      <w:r w:rsidR="08EF0A87" w:rsidRPr="00A3685C">
        <w:rPr>
          <w:i/>
        </w:rPr>
        <w:t>the cause</w:t>
      </w:r>
      <w:r w:rsidR="08EF0A87">
        <w:t xml:space="preserve">) v modu </w:t>
      </w:r>
      <w:r w:rsidR="08EF0A87" w:rsidRPr="00A3685C">
        <w:rPr>
          <w:i/>
        </w:rPr>
        <w:lastRenderedPageBreak/>
        <w:t>Oxfordian Fallacy</w:t>
      </w:r>
      <w:r w:rsidR="08A60D93">
        <w:t xml:space="preserve">, na </w:t>
      </w:r>
      <w:r w:rsidR="08696543">
        <w:t>rozdíl od univočního objektivismu současných vykladačů</w:t>
      </w:r>
      <w:r w:rsidR="08EF0A87">
        <w:t>.</w:t>
      </w:r>
      <w:r w:rsidR="08EF0A87" w:rsidRPr="00273106">
        <w:rPr>
          <w:rStyle w:val="Znakapoznpodarou"/>
        </w:rPr>
        <w:footnoteReference w:id="381"/>
      </w:r>
      <w:r w:rsidR="08EF0A87">
        <w:t xml:space="preserve"> </w:t>
      </w:r>
      <w:r w:rsidR="08665DFF">
        <w:t xml:space="preserve">Rufus vysvětluje zatmění ve </w:t>
      </w:r>
      <w:r w:rsidR="08665DFF" w:rsidRPr="0045555A">
        <w:rPr>
          <w:i/>
        </w:rPr>
        <w:t>Druhých analytikách</w:t>
      </w:r>
      <w:r w:rsidR="08665DFF">
        <w:t xml:space="preserve"> ve stejném smyslu jako</w:t>
      </w:r>
      <w:r w:rsidR="08665DFF" w:rsidRPr="0033744F">
        <w:t xml:space="preserve"> </w:t>
      </w:r>
      <w:r w:rsidR="08665DFF">
        <w:t xml:space="preserve">Avicenna. Moderna </w:t>
      </w:r>
      <w:r w:rsidR="00C65827">
        <w:t>změnila smysl kauzality</w:t>
      </w:r>
      <w:r w:rsidR="08665DFF">
        <w:t xml:space="preserve"> chápané ve </w:t>
      </w:r>
      <w:r w:rsidR="08665DFF" w:rsidRPr="08665DFF">
        <w:rPr>
          <w:i/>
        </w:rPr>
        <w:t>Druhých analytikách</w:t>
      </w:r>
      <w:r w:rsidR="08665DFF">
        <w:t xml:space="preserve"> v modu kategoriální impozice od hyparchicky dané první substance</w:t>
      </w:r>
      <w:r w:rsidR="00C65827">
        <w:t xml:space="preserve">. </w:t>
      </w:r>
      <w:r w:rsidR="006E2538" w:rsidRPr="00273106">
        <w:t>Zdůrazněním druhé triády prvních principů poznání podle Grossetesteho výkladu modernisté nahradili působení první substance pouhou esencí, nebo porretánskou hypostází.</w:t>
      </w:r>
      <w:r w:rsidR="00C2241F" w:rsidRPr="00273106">
        <w:t xml:space="preserve"> </w:t>
      </w:r>
      <w:r w:rsidR="00D118A8" w:rsidRPr="00273106">
        <w:t xml:space="preserve">Pokud </w:t>
      </w:r>
      <w:r w:rsidR="00D47F9B" w:rsidRPr="00273106">
        <w:t xml:space="preserve">by </w:t>
      </w:r>
      <w:r w:rsidR="00222926" w:rsidRPr="00273106">
        <w:t xml:space="preserve">Rufusovo </w:t>
      </w:r>
      <w:r w:rsidR="00D47F9B" w:rsidRPr="00273106">
        <w:t>schéma respektovalo oddělenou existenci první</w:t>
      </w:r>
      <w:r w:rsidR="00A961ED">
        <w:t xml:space="preserve">ch substancí a primát jejich </w:t>
      </w:r>
      <w:r w:rsidR="00D65E31" w:rsidRPr="00273106">
        <w:t>kauzality</w:t>
      </w:r>
      <w:r w:rsidR="00D47F9B" w:rsidRPr="00273106">
        <w:t xml:space="preserve">, pak jde o </w:t>
      </w:r>
      <w:r w:rsidR="00514150" w:rsidRPr="00273106">
        <w:t xml:space="preserve">autentický aristotelský výklad. Ale Rufus </w:t>
      </w:r>
      <w:r w:rsidR="009E755C">
        <w:t>interpretoval</w:t>
      </w:r>
      <w:r w:rsidR="009E0D49" w:rsidRPr="00273106">
        <w:t xml:space="preserve"> </w:t>
      </w:r>
      <w:r w:rsidR="00514150" w:rsidRPr="00273106">
        <w:t>střední člen</w:t>
      </w:r>
      <w:r w:rsidR="083B18E3" w:rsidRPr="00273106">
        <w:t xml:space="preserve"> </w:t>
      </w:r>
      <w:r w:rsidR="00994BD0" w:rsidRPr="00273106">
        <w:t xml:space="preserve">podle </w:t>
      </w:r>
      <w:r w:rsidR="080A7150">
        <w:t xml:space="preserve">Avicenny a podle </w:t>
      </w:r>
      <w:r w:rsidR="083B18E3" w:rsidRPr="00273106">
        <w:rPr>
          <w:i/>
        </w:rPr>
        <w:t>Oxfordian Fallacy</w:t>
      </w:r>
      <w:r w:rsidR="00A10331" w:rsidRPr="00A10331">
        <w:t xml:space="preserve">, která </w:t>
      </w:r>
      <w:r w:rsidR="00A10331">
        <w:t xml:space="preserve">univočně </w:t>
      </w:r>
      <w:r w:rsidR="00A10331" w:rsidRPr="00A10331">
        <w:t>zaměnila první triádu principů poznání za druhou</w:t>
      </w:r>
      <w:r w:rsidR="00514150" w:rsidRPr="00273106">
        <w:t xml:space="preserve">. </w:t>
      </w:r>
      <w:r w:rsidR="080A7150" w:rsidRPr="00273106">
        <w:t xml:space="preserve">Rufus odlišuje stejně jako Grosseteste dva druhy poznání dané ve dvou patrech </w:t>
      </w:r>
      <w:r w:rsidR="080A7150">
        <w:t>potence intelektu</w:t>
      </w:r>
      <w:r w:rsidR="080A7150" w:rsidRPr="00273106">
        <w:t>.</w:t>
      </w:r>
      <w:r w:rsidR="080A7150">
        <w:t xml:space="preserve"> </w:t>
      </w:r>
      <w:r w:rsidR="00AC5A8F" w:rsidRPr="00273106">
        <w:t xml:space="preserve">Univocitu </w:t>
      </w:r>
      <w:r w:rsidR="00A10331">
        <w:t xml:space="preserve">nové formy vědecké dedukce </w:t>
      </w:r>
      <w:r w:rsidR="0090317B">
        <w:t xml:space="preserve">zajišťuje termín </w:t>
      </w:r>
      <w:r w:rsidR="00E27573">
        <w:t>„</w:t>
      </w:r>
      <w:r w:rsidR="00047B25" w:rsidRPr="00273106">
        <w:rPr>
          <w:i/>
        </w:rPr>
        <w:t>medium sive causa</w:t>
      </w:r>
      <w:r w:rsidR="00E27573">
        <w:t>“</w:t>
      </w:r>
      <w:r w:rsidR="00BF58E9">
        <w:rPr>
          <w:i/>
        </w:rPr>
        <w:fldChar w:fldCharType="begin"/>
      </w:r>
      <w:r w:rsidR="00BF58E9">
        <w:instrText xml:space="preserve"> XE "</w:instrText>
      </w:r>
      <w:r w:rsidR="00BF58E9" w:rsidRPr="001618A5">
        <w:rPr>
          <w:i/>
        </w:rPr>
        <w:instrText>medium:</w:instrText>
      </w:r>
      <w:r w:rsidR="00BF58E9" w:rsidRPr="00BF58E9">
        <w:instrText>Rufus</w:instrText>
      </w:r>
      <w:r w:rsidR="00BF58E9">
        <w:instrText xml:space="preserve">" </w:instrText>
      </w:r>
      <w:r w:rsidR="00BF58E9">
        <w:rPr>
          <w:i/>
        </w:rPr>
        <w:fldChar w:fldCharType="end"/>
      </w:r>
      <w:r w:rsidR="086B1EB0" w:rsidRPr="00273106">
        <w:t>,</w:t>
      </w:r>
      <w:r w:rsidR="00AD6984" w:rsidRPr="00273106">
        <w:t xml:space="preserve"> který je chápán jako jsoucno třetího druhu</w:t>
      </w:r>
      <w:r w:rsidR="007C096D">
        <w:t xml:space="preserve"> (</w:t>
      </w:r>
      <w:r w:rsidR="007C096D" w:rsidRPr="007C096D">
        <w:rPr>
          <w:i/>
        </w:rPr>
        <w:t>scibile</w:t>
      </w:r>
      <w:r w:rsidR="003B4FA7">
        <w:rPr>
          <w:i/>
        </w:rPr>
        <w:fldChar w:fldCharType="begin"/>
      </w:r>
      <w:r w:rsidR="003B4FA7">
        <w:instrText xml:space="preserve"> XE "</w:instrText>
      </w:r>
      <w:r w:rsidR="003B4FA7" w:rsidRPr="00AA4F67">
        <w:rPr>
          <w:i/>
        </w:rPr>
        <w:instrText>scibile</w:instrText>
      </w:r>
      <w:r w:rsidR="00BF58E9">
        <w:rPr>
          <w:i/>
        </w:rPr>
        <w:instrText>:</w:instrText>
      </w:r>
      <w:r w:rsidR="00BF58E9" w:rsidRPr="00BF58E9">
        <w:instrText>Rufus</w:instrText>
      </w:r>
      <w:r w:rsidR="003B4FA7">
        <w:instrText xml:space="preserve">" </w:instrText>
      </w:r>
      <w:r w:rsidR="003B4FA7">
        <w:rPr>
          <w:i/>
        </w:rPr>
        <w:fldChar w:fldCharType="end"/>
      </w:r>
      <w:r w:rsidR="007C096D">
        <w:t>)</w:t>
      </w:r>
      <w:r w:rsidR="086B1EB0" w:rsidRPr="00273106">
        <w:t>.</w:t>
      </w:r>
      <w:r w:rsidR="00727448" w:rsidRPr="00273106">
        <w:t xml:space="preserve"> </w:t>
      </w:r>
      <w:r w:rsidR="000B7EE1">
        <w:t>E</w:t>
      </w:r>
      <w:r w:rsidR="002930F4">
        <w:t xml:space="preserve">pochální </w:t>
      </w:r>
      <w:r w:rsidR="002715EC" w:rsidRPr="002715EC">
        <w:rPr>
          <w:i/>
        </w:rPr>
        <w:t>Lichtung</w:t>
      </w:r>
      <w:r w:rsidR="00862C3C">
        <w:t xml:space="preserve"> moderního </w:t>
      </w:r>
      <w:r w:rsidR="002715EC">
        <w:t xml:space="preserve">pozitivismu </w:t>
      </w:r>
      <w:r w:rsidR="00CD0F9B">
        <w:t xml:space="preserve">založeného na </w:t>
      </w:r>
      <w:r w:rsidR="00CD0F9B" w:rsidRPr="00CD0F9B">
        <w:rPr>
          <w:i/>
        </w:rPr>
        <w:t>Oxfordian Fallacy</w:t>
      </w:r>
      <w:r w:rsidR="00491734">
        <w:rPr>
          <w:i/>
        </w:rPr>
        <w:fldChar w:fldCharType="begin"/>
      </w:r>
      <w:r w:rsidR="00491734">
        <w:instrText xml:space="preserve"> XE "</w:instrText>
      </w:r>
      <w:r w:rsidR="00491734" w:rsidRPr="0015798D">
        <w:rPr>
          <w:i/>
        </w:rPr>
        <w:instrText>Oxfordian Fallacy</w:instrText>
      </w:r>
      <w:r w:rsidR="00491734" w:rsidRPr="00BF58E9">
        <w:instrText>:Rufus</w:instrText>
      </w:r>
      <w:r w:rsidR="00491734">
        <w:instrText xml:space="preserve">" </w:instrText>
      </w:r>
      <w:r w:rsidR="00491734">
        <w:rPr>
          <w:i/>
        </w:rPr>
        <w:fldChar w:fldCharType="end"/>
      </w:r>
      <w:r w:rsidR="00CD0F9B">
        <w:t xml:space="preserve"> </w:t>
      </w:r>
      <w:r w:rsidR="002715EC">
        <w:t>ukazuje tento citát.</w:t>
      </w:r>
    </w:p>
    <w:p w14:paraId="5F7FAB6B" w14:textId="7268F344" w:rsidR="0019289D" w:rsidRPr="00273106" w:rsidRDefault="00FD6E88" w:rsidP="004839B7">
      <w:pPr>
        <w:pStyle w:val="Citace"/>
        <w:rPr>
          <w:noProof/>
          <w:lang w:val="cs-CZ"/>
        </w:rPr>
      </w:pPr>
      <w:r w:rsidRPr="00273106">
        <w:rPr>
          <w:noProof/>
          <w:lang w:val="cs-CZ"/>
        </w:rPr>
        <w:t>„</w:t>
      </w:r>
      <w:r w:rsidR="005108FC" w:rsidRPr="00273106">
        <w:rPr>
          <w:noProof/>
          <w:lang w:val="cs-CZ"/>
        </w:rPr>
        <w:t xml:space="preserve">Poznání </w:t>
      </w:r>
      <w:r w:rsidR="003155C6">
        <w:rPr>
          <w:noProof/>
          <w:lang w:val="cs-CZ"/>
        </w:rPr>
        <w:t xml:space="preserve">je určitá forma </w:t>
      </w:r>
      <w:r w:rsidR="005108FC" w:rsidRPr="00273106">
        <w:rPr>
          <w:noProof/>
          <w:lang w:val="cs-CZ"/>
        </w:rPr>
        <w:t xml:space="preserve">účinku </w:t>
      </w:r>
      <w:r w:rsidR="003155C6">
        <w:rPr>
          <w:noProof/>
          <w:lang w:val="cs-CZ"/>
        </w:rPr>
        <w:t xml:space="preserve">a </w:t>
      </w:r>
      <w:r w:rsidR="005108FC" w:rsidRPr="00273106">
        <w:rPr>
          <w:noProof/>
          <w:lang w:val="cs-CZ"/>
        </w:rPr>
        <w:t xml:space="preserve">je </w:t>
      </w:r>
      <w:r w:rsidR="0860241C">
        <w:rPr>
          <w:noProof/>
          <w:lang w:val="cs-CZ"/>
        </w:rPr>
        <w:t>způsobeno demonstrativním</w:t>
      </w:r>
      <w:r w:rsidR="005108FC" w:rsidRPr="00273106">
        <w:rPr>
          <w:noProof/>
          <w:lang w:val="cs-CZ"/>
        </w:rPr>
        <w:t xml:space="preserve"> soud</w:t>
      </w:r>
      <w:r w:rsidR="0860241C">
        <w:rPr>
          <w:noProof/>
          <w:lang w:val="cs-CZ"/>
        </w:rPr>
        <w:t xml:space="preserve">em </w:t>
      </w:r>
      <w:r w:rsidR="00EC2EF9">
        <w:rPr>
          <w:noProof/>
          <w:lang w:val="cs-CZ"/>
        </w:rPr>
        <w:t>(</w:t>
      </w:r>
      <w:r w:rsidR="00EC2EF9" w:rsidRPr="00EC2EF9">
        <w:rPr>
          <w:i/>
        </w:rPr>
        <w:t>scire est quidam effectus et causatur a demonstratione</w:t>
      </w:r>
      <w:r w:rsidR="00EC2EF9">
        <w:rPr>
          <w:noProof/>
          <w:lang w:val="cs-CZ"/>
        </w:rPr>
        <w:t xml:space="preserve">) </w:t>
      </w:r>
      <w:r w:rsidR="0860241C">
        <w:rPr>
          <w:noProof/>
          <w:lang w:val="cs-CZ"/>
        </w:rPr>
        <w:t xml:space="preserve">a </w:t>
      </w:r>
      <w:r w:rsidR="003155C6">
        <w:rPr>
          <w:noProof/>
          <w:lang w:val="cs-CZ"/>
        </w:rPr>
        <w:t xml:space="preserve">je </w:t>
      </w:r>
      <w:r w:rsidR="00C4662A" w:rsidRPr="00273106">
        <w:rPr>
          <w:noProof/>
          <w:lang w:val="cs-CZ"/>
        </w:rPr>
        <w:t>definován</w:t>
      </w:r>
      <w:r w:rsidR="0860241C">
        <w:rPr>
          <w:noProof/>
          <w:lang w:val="cs-CZ"/>
        </w:rPr>
        <w:t>o</w:t>
      </w:r>
      <w:r w:rsidR="005108FC" w:rsidRPr="00273106">
        <w:rPr>
          <w:noProof/>
          <w:lang w:val="cs-CZ"/>
        </w:rPr>
        <w:t xml:space="preserve"> </w:t>
      </w:r>
      <w:r w:rsidR="003155C6">
        <w:rPr>
          <w:noProof/>
          <w:lang w:val="cs-CZ"/>
        </w:rPr>
        <w:t>skrz</w:t>
      </w:r>
      <w:r w:rsidR="0860241C">
        <w:rPr>
          <w:noProof/>
          <w:lang w:val="cs-CZ"/>
        </w:rPr>
        <w:t>e deduktivní soud</w:t>
      </w:r>
      <w:r w:rsidR="00EC2EF9">
        <w:rPr>
          <w:noProof/>
          <w:lang w:val="cs-CZ"/>
        </w:rPr>
        <w:t xml:space="preserve"> (</w:t>
      </w:r>
      <w:r w:rsidR="00EC2EF9" w:rsidRPr="00EC2EF9">
        <w:rPr>
          <w:i/>
        </w:rPr>
        <w:t>definiri per demonstrationem</w:t>
      </w:r>
      <w:r w:rsidR="00EC2EF9">
        <w:rPr>
          <w:noProof/>
          <w:lang w:val="cs-CZ"/>
        </w:rPr>
        <w:t>)</w:t>
      </w:r>
      <w:r w:rsidR="005108FC" w:rsidRPr="00273106">
        <w:rPr>
          <w:noProof/>
          <w:lang w:val="cs-CZ"/>
        </w:rPr>
        <w:t xml:space="preserve">. </w:t>
      </w:r>
      <w:r w:rsidR="00C4662A" w:rsidRPr="00273106">
        <w:rPr>
          <w:noProof/>
          <w:lang w:val="cs-CZ"/>
        </w:rPr>
        <w:t>Dokazování</w:t>
      </w:r>
      <w:r w:rsidR="005108FC" w:rsidRPr="00273106">
        <w:rPr>
          <w:noProof/>
          <w:lang w:val="cs-CZ"/>
        </w:rPr>
        <w:t xml:space="preserve"> probíhá dvojím způsobem. Buď je důkaz chápán ve svém základu, a pak není ničím jiným, než středním členem soudu</w:t>
      </w:r>
      <w:r w:rsidR="0860241C">
        <w:rPr>
          <w:noProof/>
          <w:lang w:val="cs-CZ"/>
        </w:rPr>
        <w:t xml:space="preserve"> a tedy </w:t>
      </w:r>
      <w:r w:rsidR="004839B7" w:rsidRPr="00273106">
        <w:rPr>
          <w:noProof/>
          <w:lang w:val="cs-CZ"/>
        </w:rPr>
        <w:t>kauzou</w:t>
      </w:r>
      <w:r w:rsidR="00EC2EF9">
        <w:rPr>
          <w:noProof/>
          <w:lang w:val="cs-CZ"/>
        </w:rPr>
        <w:t xml:space="preserve"> </w:t>
      </w:r>
      <w:r w:rsidR="00EC2EF9">
        <w:rPr>
          <w:lang w:val="de-LU"/>
        </w:rPr>
        <w:t>(</w:t>
      </w:r>
      <w:r w:rsidR="00EC2EF9" w:rsidRPr="0046637B">
        <w:rPr>
          <w:i/>
        </w:rPr>
        <w:t>medium sive causa</w:t>
      </w:r>
      <w:r w:rsidR="00EC2EF9">
        <w:rPr>
          <w:lang w:val="cs-CZ"/>
        </w:rPr>
        <w:t>)</w:t>
      </w:r>
      <w:r w:rsidR="00EC2EF9">
        <w:rPr>
          <w:lang w:val="de-LU"/>
        </w:rPr>
        <w:t xml:space="preserve"> </w:t>
      </w:r>
      <w:r w:rsidR="004839B7" w:rsidRPr="00273106">
        <w:rPr>
          <w:noProof/>
          <w:lang w:val="cs-CZ"/>
        </w:rPr>
        <w:t>ve smyslu tvrzení, že 'střední člen a kauza jsou totéž'</w:t>
      </w:r>
      <w:r w:rsidR="000205C2">
        <w:rPr>
          <w:noProof/>
          <w:lang w:val="cs-CZ"/>
        </w:rPr>
        <w:t xml:space="preserve"> (</w:t>
      </w:r>
      <w:r w:rsidR="000205C2" w:rsidRPr="000205C2">
        <w:rPr>
          <w:i/>
        </w:rPr>
        <w:t>medium et causa idem</w:t>
      </w:r>
      <w:r w:rsidR="000205C2">
        <w:rPr>
          <w:noProof/>
          <w:lang w:val="cs-CZ"/>
        </w:rPr>
        <w:t>)</w:t>
      </w:r>
      <w:r w:rsidR="0860241C">
        <w:rPr>
          <w:noProof/>
          <w:lang w:val="cs-CZ"/>
        </w:rPr>
        <w:t>.  Takto je dána první</w:t>
      </w:r>
      <w:r w:rsidR="004839B7" w:rsidRPr="00273106">
        <w:rPr>
          <w:noProof/>
          <w:lang w:val="cs-CZ"/>
        </w:rPr>
        <w:t xml:space="preserve"> definice</w:t>
      </w:r>
      <w:r w:rsidR="00421583">
        <w:rPr>
          <w:noProof/>
          <w:lang w:val="cs-CZ"/>
        </w:rPr>
        <w:t xml:space="preserve"> demonstrativního soudu</w:t>
      </w:r>
      <w:r w:rsidR="004839B7" w:rsidRPr="00273106">
        <w:rPr>
          <w:noProof/>
          <w:lang w:val="cs-CZ"/>
        </w:rPr>
        <w:t xml:space="preserve">. Nebo se dokazování chápe </w:t>
      </w:r>
      <w:r w:rsidR="0860241C">
        <w:rPr>
          <w:noProof/>
          <w:lang w:val="cs-CZ"/>
        </w:rPr>
        <w:t>v jeho aktuálním výkonu</w:t>
      </w:r>
      <w:r w:rsidR="000205C2">
        <w:rPr>
          <w:noProof/>
          <w:lang w:val="cs-CZ"/>
        </w:rPr>
        <w:t xml:space="preserve"> (</w:t>
      </w:r>
      <w:r w:rsidR="000205C2" w:rsidRPr="000205C2">
        <w:rPr>
          <w:i/>
        </w:rPr>
        <w:t>demonstratio consideratur ut in actu</w:t>
      </w:r>
      <w:r w:rsidR="000205C2">
        <w:rPr>
          <w:noProof/>
          <w:lang w:val="cs-CZ"/>
        </w:rPr>
        <w:t>)</w:t>
      </w:r>
      <w:r w:rsidR="0860241C">
        <w:rPr>
          <w:noProof/>
          <w:lang w:val="cs-CZ"/>
        </w:rPr>
        <w:t>, což je druh</w:t>
      </w:r>
      <w:r w:rsidR="004839B7" w:rsidRPr="00273106">
        <w:rPr>
          <w:noProof/>
          <w:lang w:val="cs-CZ"/>
        </w:rPr>
        <w:t xml:space="preserve">á definice.“ </w:t>
      </w:r>
      <w:r w:rsidR="0019289D" w:rsidRPr="00273106">
        <w:rPr>
          <w:rStyle w:val="Znakapoznpodarou"/>
          <w:noProof/>
          <w:lang w:val="cs-CZ"/>
        </w:rPr>
        <w:footnoteReference w:id="382"/>
      </w:r>
    </w:p>
    <w:p w14:paraId="5C2589EA" w14:textId="71EBE36A" w:rsidR="00CF6FAB" w:rsidRDefault="08691F1D" w:rsidP="00CF6FAB">
      <w:r>
        <w:t xml:space="preserve">Hermeneutika objektivity považuje za naprosto zásadní Rufusovu analýzu </w:t>
      </w:r>
      <w:r w:rsidRPr="00273106">
        <w:t>středního členu</w:t>
      </w:r>
      <w:r>
        <w:t xml:space="preserve"> v soudu danou</w:t>
      </w:r>
      <w:r w:rsidRPr="00273106">
        <w:t xml:space="preserve"> </w:t>
      </w:r>
      <w:r>
        <w:t>v termínu</w:t>
      </w:r>
      <w:r w:rsidRPr="00273106">
        <w:t xml:space="preserve"> </w:t>
      </w:r>
      <w:r w:rsidRPr="00273106">
        <w:rPr>
          <w:i/>
        </w:rPr>
        <w:t>medium</w:t>
      </w:r>
      <w:r>
        <w:rPr>
          <w:i/>
        </w:rPr>
        <w:fldChar w:fldCharType="begin"/>
      </w:r>
      <w:r>
        <w:instrText xml:space="preserve"> XE "</w:instrText>
      </w:r>
      <w:r w:rsidRPr="001618A5">
        <w:rPr>
          <w:i/>
        </w:rPr>
        <w:instrText>medium</w:instrText>
      </w:r>
      <w:r w:rsidRPr="008D297C">
        <w:instrText>:Rufus</w:instrText>
      </w:r>
      <w:r>
        <w:instrText xml:space="preserve">" </w:instrText>
      </w:r>
      <w:r>
        <w:rPr>
          <w:i/>
        </w:rPr>
        <w:fldChar w:fldCharType="end"/>
      </w:r>
      <w:r w:rsidRPr="00273106">
        <w:rPr>
          <w:i/>
        </w:rPr>
        <w:t xml:space="preserve"> et causa idem</w:t>
      </w:r>
      <w:r w:rsidRPr="00273106">
        <w:t xml:space="preserve"> (τὸ μὲν γὰρ αἴτιον τὸ μέσον, </w:t>
      </w:r>
      <w:r w:rsidRPr="00273106">
        <w:rPr>
          <w:i/>
        </w:rPr>
        <w:t>Anal. Post</w:t>
      </w:r>
      <w:r w:rsidRPr="00273106">
        <w:t>. 90a6‒7</w:t>
      </w:r>
      <w:r>
        <w:fldChar w:fldCharType="begin"/>
      </w:r>
      <w:r>
        <w:instrText xml:space="preserve"> XE "Aristoteles:</w:instrText>
      </w:r>
      <w:r w:rsidRPr="007F068C">
        <w:rPr>
          <w:i/>
        </w:rPr>
        <w:instrText>Anal. Post</w:instrText>
      </w:r>
      <w:r w:rsidRPr="007F068C">
        <w:instrText>. 90a6‒7</w:instrText>
      </w:r>
      <w:r>
        <w:instrText xml:space="preserve">" </w:instrText>
      </w:r>
      <w:r>
        <w:fldChar w:fldCharType="end"/>
      </w:r>
      <w:r w:rsidRPr="00273106">
        <w:t xml:space="preserve">). Střední člen soudu </w:t>
      </w:r>
      <w:r>
        <w:t xml:space="preserve">univerzálně </w:t>
      </w:r>
      <w:r w:rsidRPr="00273106">
        <w:t>konstatuje účinnou kauzalitu první substance</w:t>
      </w:r>
      <w:r>
        <w:fldChar w:fldCharType="begin"/>
      </w:r>
      <w:r>
        <w:instrText xml:space="preserve"> XE "</w:instrText>
      </w:r>
      <w:r w:rsidRPr="00DE2A32">
        <w:instrText>substance</w:instrText>
      </w:r>
      <w:r>
        <w:instrText xml:space="preserve">:Aristoteles" </w:instrText>
      </w:r>
      <w:r>
        <w:fldChar w:fldCharType="end"/>
      </w:r>
      <w:r w:rsidRPr="00273106">
        <w:t xml:space="preserve"> dané </w:t>
      </w:r>
      <w:r w:rsidRPr="00B1741F">
        <w:t>v realitě</w:t>
      </w:r>
      <w:r w:rsidRPr="00273106">
        <w:rPr>
          <w:i/>
        </w:rPr>
        <w:t xml:space="preserve"> per prius</w:t>
      </w:r>
      <w:r>
        <w:rPr>
          <w:i/>
        </w:rPr>
        <w:t xml:space="preserve">, simpliciter </w:t>
      </w:r>
      <w:r w:rsidRPr="00F33A84">
        <w:t>a</w:t>
      </w:r>
      <w:r>
        <w:rPr>
          <w:i/>
        </w:rPr>
        <w:t xml:space="preserve"> per se</w:t>
      </w:r>
      <w:r w:rsidRPr="00273106">
        <w:t xml:space="preserve">. </w:t>
      </w:r>
      <w:r>
        <w:t xml:space="preserve">Reálně daná kauzalita </w:t>
      </w:r>
      <w:r w:rsidRPr="00273106">
        <w:t xml:space="preserve">vytváří nutný vědecký soud z hlediska toho, čím je věc substanciálně ve svém reálném bytí (ἁπλῶς τὴν οὐσίαν, </w:t>
      </w:r>
      <w:r w:rsidRPr="00273106">
        <w:rPr>
          <w:i/>
        </w:rPr>
        <w:t>Anal. Post.</w:t>
      </w:r>
      <w:r w:rsidRPr="00273106">
        <w:t xml:space="preserve"> 90a10</w:t>
      </w:r>
      <w:r>
        <w:fldChar w:fldCharType="begin"/>
      </w:r>
      <w:r>
        <w:instrText xml:space="preserve"> XE "Aristoteles:</w:instrText>
      </w:r>
      <w:r w:rsidRPr="007F068C">
        <w:rPr>
          <w:i/>
        </w:rPr>
        <w:instrText>Anal. Post</w:instrText>
      </w:r>
      <w:r>
        <w:instrText xml:space="preserve">. 90a10" </w:instrText>
      </w:r>
      <w:r>
        <w:fldChar w:fldCharType="end"/>
      </w:r>
      <w:r w:rsidRPr="00273106">
        <w:t xml:space="preserve">). </w:t>
      </w:r>
      <w:r w:rsidR="00E34F28" w:rsidRPr="00E34F28">
        <w:t>Rufus vy</w:t>
      </w:r>
      <w:r w:rsidR="00E34F28">
        <w:t xml:space="preserve">tvořil </w:t>
      </w:r>
      <w:r w:rsidR="00E34F28" w:rsidRPr="00E34F28">
        <w:t>přímý vhled d</w:t>
      </w:r>
      <w:r w:rsidR="00E34F28">
        <w:t xml:space="preserve">o podstaty </w:t>
      </w:r>
      <w:r w:rsidR="00E34F28">
        <w:lastRenderedPageBreak/>
        <w:t>sylogismu v termínu „</w:t>
      </w:r>
      <w:r w:rsidR="00E34F28" w:rsidRPr="00E34F28">
        <w:rPr>
          <w:i/>
        </w:rPr>
        <w:t>medium et causa idem</w:t>
      </w:r>
      <w:r w:rsidR="00E34F28">
        <w:t>“</w:t>
      </w:r>
      <w:r w:rsidR="00E34F28" w:rsidRPr="00E34F28">
        <w:t xml:space="preserve">, který uvedl v modu </w:t>
      </w:r>
      <w:r w:rsidR="00E34F28" w:rsidRPr="00E34F28">
        <w:rPr>
          <w:i/>
        </w:rPr>
        <w:t>per prius</w:t>
      </w:r>
      <w:r w:rsidR="00E34F28" w:rsidRPr="00E34F28">
        <w:t>. To byl naprostý nesmysl. Poznání</w:t>
      </w:r>
      <w:r w:rsidR="00E34F28">
        <w:t xml:space="preserve"> v klasické metafyzice sleduje</w:t>
      </w:r>
      <w:r w:rsidR="00E34F28" w:rsidRPr="00E34F28">
        <w:t xml:space="preserve"> reálnou kauzalit</w:t>
      </w:r>
      <w:r w:rsidR="00E34F28">
        <w:t xml:space="preserve">u prvních substancí, která je </w:t>
      </w:r>
      <w:r w:rsidR="00E34F28" w:rsidRPr="00E34F28">
        <w:t xml:space="preserve">stanovena v modu </w:t>
      </w:r>
      <w:r w:rsidR="00E34F28" w:rsidRPr="00E34F28">
        <w:rPr>
          <w:i/>
        </w:rPr>
        <w:t>absolute</w:t>
      </w:r>
      <w:r w:rsidR="00E34F28">
        <w:t>. R</w:t>
      </w:r>
      <w:r w:rsidR="00E34F28" w:rsidRPr="00E34F28">
        <w:t>eálný svět si zachovává hyparchickou form</w:t>
      </w:r>
      <w:r w:rsidR="00E34F28">
        <w:t>u nutnosti jako oddělený základ</w:t>
      </w:r>
      <w:r w:rsidR="000D3F6E">
        <w:t xml:space="preserve"> poznání</w:t>
      </w:r>
      <w:r w:rsidR="00E34F28" w:rsidRPr="00E34F28">
        <w:t xml:space="preserve">, </w:t>
      </w:r>
      <w:r w:rsidR="00E34F28">
        <w:t xml:space="preserve">na který navazuje jiný forma metafyzické nutnosti daná skrze impozici </w:t>
      </w:r>
      <w:r w:rsidR="00654624">
        <w:t xml:space="preserve">prvního významu z reálných věcí do </w:t>
      </w:r>
      <w:r w:rsidR="00E34F28" w:rsidRPr="00E34F28">
        <w:t>m</w:t>
      </w:r>
      <w:r w:rsidR="00E34F28">
        <w:t>ysli</w:t>
      </w:r>
      <w:r w:rsidR="00E34F28" w:rsidRPr="00E34F28">
        <w:t xml:space="preserve">. Rufus </w:t>
      </w:r>
      <w:r w:rsidR="00E34F28">
        <w:t xml:space="preserve">dal modus </w:t>
      </w:r>
      <w:r w:rsidR="00E34F28" w:rsidRPr="00E34F28">
        <w:rPr>
          <w:i/>
        </w:rPr>
        <w:t>absolute</w:t>
      </w:r>
      <w:r w:rsidR="00E34F28">
        <w:t xml:space="preserve"> pouze a jedině logické formě nutnosti dané skrze supozici. Tím v analytické filos</w:t>
      </w:r>
      <w:r w:rsidR="007F3173">
        <w:t>o</w:t>
      </w:r>
      <w:r w:rsidR="00E34F28">
        <w:t xml:space="preserve">fii </w:t>
      </w:r>
      <w:r w:rsidR="007F3173">
        <w:t xml:space="preserve">založil nihilistiou formu </w:t>
      </w:r>
      <w:r w:rsidR="00E34F28">
        <w:t>Oxfordian Fall</w:t>
      </w:r>
      <w:r w:rsidR="007F3173">
        <w:t xml:space="preserve">acy, protože </w:t>
      </w:r>
      <w:r w:rsidR="00E34F28" w:rsidRPr="00E34F28">
        <w:t>zničil oba druhy nutnosti, jak reálnou</w:t>
      </w:r>
      <w:r w:rsidR="007F3173">
        <w:t xml:space="preserve"> nutnost danou hyparchicky</w:t>
      </w:r>
      <w:r w:rsidR="00E34F28" w:rsidRPr="00E34F28">
        <w:t>, tak me</w:t>
      </w:r>
      <w:r w:rsidR="00E34F28">
        <w:t xml:space="preserve">tafyzickou </w:t>
      </w:r>
      <w:r w:rsidR="007F3173">
        <w:t xml:space="preserve">nutnost danou </w:t>
      </w:r>
      <w:r w:rsidR="00E34F28">
        <w:t>skrze impozici</w:t>
      </w:r>
      <w:r w:rsidR="00E34F28" w:rsidRPr="00E34F28">
        <w:t>.</w:t>
      </w:r>
      <w:r w:rsidR="00E34F28">
        <w:t xml:space="preserve"> </w:t>
      </w:r>
      <w:r w:rsidR="00E95EBF">
        <w:t xml:space="preserve">Rufus radikalizoval analytickou intepretaci </w:t>
      </w:r>
      <w:r w:rsidR="00E95EBF" w:rsidRPr="00E95EBF">
        <w:rPr>
          <w:i/>
        </w:rPr>
        <w:t>Druhých</w:t>
      </w:r>
      <w:r w:rsidR="080A7150">
        <w:t xml:space="preserve"> </w:t>
      </w:r>
      <w:r w:rsidR="080A7150" w:rsidRPr="005C69F5">
        <w:rPr>
          <w:i/>
        </w:rPr>
        <w:t>Analytik</w:t>
      </w:r>
      <w:r w:rsidR="080A7150">
        <w:t xml:space="preserve"> podle Avicenny a Grossetesteho. </w:t>
      </w:r>
      <w:r w:rsidR="08990004">
        <w:t>P</w:t>
      </w:r>
      <w:r w:rsidR="001E12BF" w:rsidRPr="00273106">
        <w:t xml:space="preserve">rvní věta </w:t>
      </w:r>
      <w:r w:rsidR="00FC07E1">
        <w:t>o</w:t>
      </w:r>
      <w:r w:rsidR="00FC07E1" w:rsidRPr="00FC07E1">
        <w:t xml:space="preserve"> </w:t>
      </w:r>
      <w:r w:rsidR="00FC07E1">
        <w:t>p</w:t>
      </w:r>
      <w:r w:rsidR="00FC07E1" w:rsidRPr="00273106">
        <w:t xml:space="preserve">oznání </w:t>
      </w:r>
      <w:r w:rsidR="00FC07E1">
        <w:t xml:space="preserve">jako určité formy </w:t>
      </w:r>
      <w:r w:rsidR="00FC07E1" w:rsidRPr="00273106">
        <w:t>účinku</w:t>
      </w:r>
      <w:r w:rsidR="00FC07E1">
        <w:t xml:space="preserve"> </w:t>
      </w:r>
      <w:r w:rsidR="00F359F9">
        <w:t xml:space="preserve">demonstrativního soudu </w:t>
      </w:r>
      <w:r w:rsidR="00FC07E1">
        <w:t>(</w:t>
      </w:r>
      <w:r w:rsidR="001E12BF" w:rsidRPr="00273106">
        <w:rPr>
          <w:i/>
        </w:rPr>
        <w:t>quidam effectus et causatur a demonstratione</w:t>
      </w:r>
      <w:r w:rsidR="00FC07E1">
        <w:t>)</w:t>
      </w:r>
      <w:r w:rsidR="00AA2D49" w:rsidRPr="00273106">
        <w:t xml:space="preserve"> představuje jasné sofisma </w:t>
      </w:r>
      <w:r w:rsidR="001E12BF" w:rsidRPr="00273106">
        <w:t xml:space="preserve">z hlediska </w:t>
      </w:r>
      <w:r w:rsidR="00D11602" w:rsidRPr="00273106">
        <w:t>aristotelského výkladu</w:t>
      </w:r>
      <w:r w:rsidR="002C0E29">
        <w:t xml:space="preserve"> metafyziky a logiky</w:t>
      </w:r>
      <w:r w:rsidR="001E12BF" w:rsidRPr="00273106">
        <w:t xml:space="preserve">. </w:t>
      </w:r>
      <w:r w:rsidR="00834EF1">
        <w:t xml:space="preserve">Jde o typický příklad </w:t>
      </w:r>
      <w:r w:rsidR="002C0E29">
        <w:t xml:space="preserve">omylu typu </w:t>
      </w:r>
      <w:r w:rsidR="006F2817">
        <w:rPr>
          <w:i/>
        </w:rPr>
        <w:t>f</w:t>
      </w:r>
      <w:r w:rsidR="00834EF1">
        <w:rPr>
          <w:i/>
        </w:rPr>
        <w:t>allac</w:t>
      </w:r>
      <w:r w:rsidR="00834EF1" w:rsidRPr="009F589E">
        <w:rPr>
          <w:i/>
        </w:rPr>
        <w:t>ia</w:t>
      </w:r>
      <w:r w:rsidR="00834EF1">
        <w:t xml:space="preserve"> </w:t>
      </w:r>
      <w:r w:rsidR="00834EF1" w:rsidRPr="00D82095">
        <w:rPr>
          <w:i/>
        </w:rPr>
        <w:t>a dicto simpliciter ad dictum secundum quid</w:t>
      </w:r>
      <w:r w:rsidR="08C1527E">
        <w:t xml:space="preserve"> (kap. 3</w:t>
      </w:r>
      <w:r w:rsidR="00834EF1">
        <w:t xml:space="preserve">.1.1). </w:t>
      </w:r>
      <w:r w:rsidR="004B4DC7" w:rsidRPr="00273106">
        <w:t xml:space="preserve">Účinek je </w:t>
      </w:r>
      <w:r w:rsidR="00246E35" w:rsidRPr="00273106">
        <w:t xml:space="preserve">efektivně </w:t>
      </w:r>
      <w:r w:rsidR="003557DC" w:rsidRPr="00273106">
        <w:t xml:space="preserve">a aktuálně </w:t>
      </w:r>
      <w:r w:rsidR="004B4DC7" w:rsidRPr="00273106">
        <w:t xml:space="preserve">daný v reálných </w:t>
      </w:r>
      <w:r w:rsidR="00F25A58" w:rsidRPr="00273106">
        <w:t>věcech</w:t>
      </w:r>
      <w:r w:rsidR="08925B1A">
        <w:t>,</w:t>
      </w:r>
      <w:r w:rsidR="00F25A58" w:rsidRPr="00273106">
        <w:t xml:space="preserve"> a ne v </w:t>
      </w:r>
      <w:r w:rsidR="00246E35" w:rsidRPr="00273106">
        <w:t xml:space="preserve">obecném </w:t>
      </w:r>
      <w:r w:rsidR="00F25A58" w:rsidRPr="00273106">
        <w:t xml:space="preserve">soudu. </w:t>
      </w:r>
      <w:r w:rsidR="001E12BF" w:rsidRPr="00273106">
        <w:t xml:space="preserve">Demonstrativní soud pouze konstatuje již daný účinek </w:t>
      </w:r>
      <w:r w:rsidR="08C72348">
        <w:t xml:space="preserve">hypachicky existujících </w:t>
      </w:r>
      <w:r w:rsidR="001E12BF" w:rsidRPr="00273106">
        <w:t>prvních substancí a dělá obecné závěry</w:t>
      </w:r>
      <w:r w:rsidR="08283535">
        <w:t xml:space="preserve"> z tohoto reálného a  aktuálního dění</w:t>
      </w:r>
      <w:r w:rsidR="001E12BF" w:rsidRPr="00273106">
        <w:t xml:space="preserve">. </w:t>
      </w:r>
      <w:r w:rsidR="00175EF1">
        <w:t>Z</w:t>
      </w:r>
      <w:r w:rsidR="001E12BF" w:rsidRPr="00273106">
        <w:t xml:space="preserve">ávěry jsou obecné a dané pouze v rozumu, </w:t>
      </w:r>
      <w:r w:rsidR="00175EF1">
        <w:t xml:space="preserve">proto </w:t>
      </w:r>
      <w:r w:rsidR="001E12BF" w:rsidRPr="00273106">
        <w:t>nemohou samy o sobě</w:t>
      </w:r>
      <w:r w:rsidR="00584734">
        <w:t xml:space="preserve"> zakládat účinnou příčinu dějů</w:t>
      </w:r>
      <w:r w:rsidR="001E12BF" w:rsidRPr="00273106">
        <w:t xml:space="preserve"> mezi prvními substancemi danými </w:t>
      </w:r>
      <w:r w:rsidR="00175EF1">
        <w:t>aktuálně</w:t>
      </w:r>
      <w:r w:rsidR="001E12BF" w:rsidRPr="00273106">
        <w:t xml:space="preserve">. </w:t>
      </w:r>
      <w:r w:rsidR="00DD6B74">
        <w:t xml:space="preserve">Tento spor běžel už mezi logickými školami za dob Abelarda ohledně </w:t>
      </w:r>
      <w:r w:rsidR="00584734">
        <w:t xml:space="preserve">statutu </w:t>
      </w:r>
      <w:r w:rsidR="00DD6B74">
        <w:t>logické nebo metafyzické supozic</w:t>
      </w:r>
      <w:r w:rsidR="082B1041">
        <w:t>e v poznávacím sylogismu (kap. 1</w:t>
      </w:r>
      <w:r w:rsidR="00DD6B74">
        <w:t xml:space="preserve">.6). </w:t>
      </w:r>
      <w:r w:rsidR="00175EF1">
        <w:t>Rufusova p</w:t>
      </w:r>
      <w:r w:rsidR="00FD6E88" w:rsidRPr="00273106">
        <w:t>rimární definice deduktivního soudu</w:t>
      </w:r>
      <w:r w:rsidR="00814C78" w:rsidRPr="00273106">
        <w:t xml:space="preserve"> chápe </w:t>
      </w:r>
      <w:r w:rsidR="00474D28" w:rsidRPr="00273106">
        <w:rPr>
          <w:i/>
        </w:rPr>
        <w:t>medium</w:t>
      </w:r>
      <w:r w:rsidR="00474D28" w:rsidRPr="00273106">
        <w:t xml:space="preserve"> </w:t>
      </w:r>
      <w:r w:rsidR="00FD6E88" w:rsidRPr="00273106">
        <w:t xml:space="preserve">v jeho </w:t>
      </w:r>
      <w:r w:rsidR="008600B3">
        <w:t xml:space="preserve">moderně pojaté </w:t>
      </w:r>
      <w:r w:rsidR="00FD6E88" w:rsidRPr="00273106">
        <w:t>podstatě (</w:t>
      </w:r>
      <w:r w:rsidR="007E3AB6" w:rsidRPr="00273106">
        <w:rPr>
          <w:i/>
        </w:rPr>
        <w:t xml:space="preserve">demonstratio consideratur </w:t>
      </w:r>
      <w:r w:rsidR="00FD6E88" w:rsidRPr="00273106">
        <w:rPr>
          <w:i/>
        </w:rPr>
        <w:t>in sua radice</w:t>
      </w:r>
      <w:r w:rsidR="003122C3" w:rsidRPr="00273106">
        <w:t>). Herm</w:t>
      </w:r>
      <w:r w:rsidR="008F7652">
        <w:t xml:space="preserve">eneutika klade důraz na termín </w:t>
      </w:r>
      <w:r w:rsidR="003122C3" w:rsidRPr="00273106">
        <w:rPr>
          <w:i/>
        </w:rPr>
        <w:t>in sua radice</w:t>
      </w:r>
      <w:r w:rsidR="003122C3" w:rsidRPr="00273106">
        <w:t xml:space="preserve">. </w:t>
      </w:r>
      <w:r w:rsidR="005B463C" w:rsidRPr="00273106">
        <w:t xml:space="preserve">Citát jde radikálně až na kořen </w:t>
      </w:r>
      <w:r w:rsidR="005B463C">
        <w:t xml:space="preserve">moderního </w:t>
      </w:r>
      <w:r w:rsidR="005B463C" w:rsidRPr="00273106">
        <w:t>vědeckého poznání</w:t>
      </w:r>
      <w:r w:rsidR="00925CFA">
        <w:t xml:space="preserve"> v modu objektivního </w:t>
      </w:r>
      <w:r w:rsidR="00925CFA" w:rsidRPr="00925CFA">
        <w:rPr>
          <w:i/>
        </w:rPr>
        <w:t>Irrtum</w:t>
      </w:r>
      <w:r w:rsidR="005B463C" w:rsidRPr="00273106">
        <w:t xml:space="preserve">, v němž </w:t>
      </w:r>
      <w:r w:rsidR="00F472BB">
        <w:t xml:space="preserve">věčná </w:t>
      </w:r>
      <w:r w:rsidR="005B463C" w:rsidRPr="00273106">
        <w:t xml:space="preserve">esence předchází a zakládá </w:t>
      </w:r>
      <w:r w:rsidR="00F472BB">
        <w:t xml:space="preserve">pomíjivou </w:t>
      </w:r>
      <w:r w:rsidR="005B463C" w:rsidRPr="00273106">
        <w:t xml:space="preserve">existenci. </w:t>
      </w:r>
      <w:r w:rsidR="00195BFE">
        <w:t xml:space="preserve">Esence zakládá formální statut </w:t>
      </w:r>
      <w:r w:rsidR="00195BFE" w:rsidRPr="00772D17">
        <w:rPr>
          <w:i/>
        </w:rPr>
        <w:t>demonstratio</w:t>
      </w:r>
      <w:r w:rsidR="00195BFE">
        <w:t xml:space="preserve">. </w:t>
      </w:r>
      <w:r w:rsidR="00164FFD">
        <w:t>P</w:t>
      </w:r>
      <w:r w:rsidR="00164FFD" w:rsidRPr="00273106">
        <w:t>rvní substance</w:t>
      </w:r>
      <w:r w:rsidR="00A70FA4">
        <w:fldChar w:fldCharType="begin"/>
      </w:r>
      <w:r w:rsidR="00A70FA4">
        <w:instrText xml:space="preserve"> XE "</w:instrText>
      </w:r>
      <w:r w:rsidR="00A70FA4" w:rsidRPr="00DE2A32">
        <w:instrText>substance</w:instrText>
      </w:r>
      <w:r w:rsidR="004C1A6B">
        <w:instrText>:Rufus</w:instrText>
      </w:r>
      <w:r w:rsidR="00A70FA4">
        <w:instrText xml:space="preserve">" </w:instrText>
      </w:r>
      <w:r w:rsidR="00A70FA4">
        <w:fldChar w:fldCharType="end"/>
      </w:r>
      <w:r w:rsidR="00164FFD" w:rsidRPr="00273106">
        <w:t xml:space="preserve"> není primárně nahlížena v její kauzalitě, </w:t>
      </w:r>
      <w:r w:rsidR="00164FFD">
        <w:t xml:space="preserve">protože v modu </w:t>
      </w:r>
      <w:r w:rsidR="00164FFD" w:rsidRPr="00F4313F">
        <w:rPr>
          <w:i/>
        </w:rPr>
        <w:t>per prius</w:t>
      </w:r>
      <w:r w:rsidR="00164FFD">
        <w:t xml:space="preserve"> je dána intuice</w:t>
      </w:r>
      <w:r w:rsidR="00164FFD" w:rsidRPr="00273106">
        <w:t xml:space="preserve"> čisté </w:t>
      </w:r>
      <w:r w:rsidR="00164FFD">
        <w:t xml:space="preserve">esenciální </w:t>
      </w:r>
      <w:r w:rsidR="00164FFD" w:rsidRPr="00273106">
        <w:t>formy</w:t>
      </w:r>
      <w:r w:rsidR="00F34C42">
        <w:fldChar w:fldCharType="begin"/>
      </w:r>
      <w:r w:rsidR="00F34C42">
        <w:instrText xml:space="preserve"> XE "</w:instrText>
      </w:r>
      <w:r w:rsidR="00F34C42" w:rsidRPr="00C82C42">
        <w:instrText>predikace:</w:instrText>
      </w:r>
      <w:r w:rsidR="00F34C42" w:rsidRPr="00F34C42">
        <w:rPr>
          <w:i/>
        </w:rPr>
        <w:instrText>per prius</w:instrText>
      </w:r>
      <w:r w:rsidR="00F34C42">
        <w:instrText xml:space="preserve">" </w:instrText>
      </w:r>
      <w:r w:rsidR="00F34C42">
        <w:fldChar w:fldCharType="end"/>
      </w:r>
      <w:r w:rsidR="00164FFD" w:rsidRPr="00273106">
        <w:t>.</w:t>
      </w:r>
      <w:r w:rsidR="002F5A57">
        <w:t xml:space="preserve"> </w:t>
      </w:r>
      <w:r w:rsidR="00CF6FAB" w:rsidRPr="00CF6FAB">
        <w:t>Závěr potvrzuje obrácení aristotelského poznání. Demonstrativní výrok představuje po</w:t>
      </w:r>
      <w:r w:rsidR="00CF6FAB">
        <w:t>r</w:t>
      </w:r>
      <w:r w:rsidR="00CF6FAB" w:rsidRPr="00CF6FAB">
        <w:t>rét</w:t>
      </w:r>
      <w:r w:rsidR="00CF6FAB">
        <w:t>án</w:t>
      </w:r>
      <w:r w:rsidR="00CF6FAB" w:rsidRPr="00CF6FAB">
        <w:t xml:space="preserve">ský a avicenistický výklad, který je založen výhradně na druhé triádě poznávacích principů. </w:t>
      </w:r>
    </w:p>
    <w:p w14:paraId="3FE01FE8" w14:textId="6CE21ABF" w:rsidR="002F5A57" w:rsidRDefault="08C33EFB" w:rsidP="00757349">
      <w:pPr>
        <w:ind w:firstLine="397"/>
      </w:pPr>
      <w:r>
        <w:t>Hermeneutika sleduj</w:t>
      </w:r>
      <w:r w:rsidR="004A4379">
        <w:t xml:space="preserve">e </w:t>
      </w:r>
      <w:r>
        <w:t xml:space="preserve">dějinnost </w:t>
      </w:r>
      <w:r w:rsidR="081E43CC">
        <w:t xml:space="preserve">v modu původní </w:t>
      </w:r>
      <w:r>
        <w:t>odhalenosti (</w:t>
      </w:r>
      <w:r w:rsidR="081E43CC">
        <w:rPr>
          <w:i/>
        </w:rPr>
        <w:t>a</w:t>
      </w:r>
      <w:r w:rsidRPr="002B714F">
        <w:rPr>
          <w:i/>
        </w:rPr>
        <w:t>létheia</w:t>
      </w:r>
      <w:r>
        <w:rPr>
          <w:i/>
        </w:rPr>
        <w:fldChar w:fldCharType="begin"/>
      </w:r>
      <w:r>
        <w:instrText xml:space="preserve"> XE "</w:instrText>
      </w:r>
      <w:r w:rsidRPr="08937E60">
        <w:rPr>
          <w:i/>
          <w:lang w:eastAsia="en-US"/>
        </w:rPr>
        <w:instrText>a/létheia</w:instrText>
      </w:r>
      <w:r>
        <w:instrText xml:space="preserve">" </w:instrText>
      </w:r>
      <w:r>
        <w:rPr>
          <w:i/>
        </w:rPr>
        <w:fldChar w:fldCharType="end"/>
      </w:r>
      <w:r w:rsidR="004A4379">
        <w:t xml:space="preserve">). Proto </w:t>
      </w:r>
      <w:r>
        <w:t xml:space="preserve">musí nejprve určit směr náhledu, který ze skrytosti </w:t>
      </w:r>
      <w:r w:rsidRPr="00561494">
        <w:rPr>
          <w:i/>
        </w:rPr>
        <w:t>léthé</w:t>
      </w:r>
      <w:r>
        <w:t xml:space="preserve"> ř</w:t>
      </w:r>
      <w:r w:rsidR="004A4379">
        <w:t xml:space="preserve">ídí ontologické porozumění nové metafyziky </w:t>
      </w:r>
      <w:r>
        <w:t>(</w:t>
      </w:r>
      <w:r w:rsidRPr="00520E43">
        <w:rPr>
          <w:i/>
        </w:rPr>
        <w:t>Vor</w:t>
      </w:r>
      <w:r w:rsidRPr="00520E43">
        <w:rPr>
          <w:i/>
        </w:rPr>
        <w:noBreakHyphen/>
        <w:t>blickbahn</w:t>
      </w:r>
      <w:r>
        <w:rPr>
          <w:i/>
        </w:rPr>
        <w:fldChar w:fldCharType="begin"/>
      </w:r>
      <w:r>
        <w:instrText xml:space="preserve"> XE "</w:instrText>
      </w:r>
      <w:r w:rsidR="08106DC9">
        <w:rPr>
          <w:i/>
        </w:rPr>
        <w:instrText>Vor-</w:instrText>
      </w:r>
      <w:r w:rsidRPr="000C66F2">
        <w:rPr>
          <w:i/>
        </w:rPr>
        <w:instrText>b</w:instrText>
      </w:r>
      <w:r w:rsidRPr="000C66F2">
        <w:rPr>
          <w:i/>
          <w:iCs/>
        </w:rPr>
        <w:instrText>lickbahn</w:instrText>
      </w:r>
      <w:r>
        <w:rPr>
          <w:iCs/>
        </w:rPr>
        <w:instrText>:Rufus</w:instrText>
      </w:r>
      <w:r>
        <w:instrText xml:space="preserve">" </w:instrText>
      </w:r>
      <w:r>
        <w:rPr>
          <w:i/>
        </w:rPr>
        <w:fldChar w:fldCharType="end"/>
      </w:r>
      <w:r>
        <w:t xml:space="preserve">). Rufus vidí svět v modu </w:t>
      </w:r>
      <w:r w:rsidRPr="00CE0155">
        <w:rPr>
          <w:i/>
        </w:rPr>
        <w:t>discrete videamus</w:t>
      </w:r>
      <w:r>
        <w:rPr>
          <w:i/>
        </w:rPr>
        <w:fldChar w:fldCharType="begin"/>
      </w:r>
      <w:r>
        <w:instrText xml:space="preserve"> XE "</w:instrText>
      </w:r>
      <w:r w:rsidRPr="00E90B20">
        <w:rPr>
          <w:i/>
        </w:rPr>
        <w:instrText>discrete videamus</w:instrText>
      </w:r>
      <w:r>
        <w:instrText xml:space="preserve">" </w:instrText>
      </w:r>
      <w:r>
        <w:rPr>
          <w:i/>
        </w:rPr>
        <w:fldChar w:fldCharType="end"/>
      </w:r>
      <w:r w:rsidR="08902EEA">
        <w:t xml:space="preserve"> daný porretány (kap. 1</w:t>
      </w:r>
      <w:r>
        <w:t xml:space="preserve">.4). </w:t>
      </w:r>
      <w:r w:rsidR="001B0D92" w:rsidRPr="001B0D92">
        <w:t xml:space="preserve">Diskrétní vidění se neřídí </w:t>
      </w:r>
      <w:r w:rsidR="001B0D92" w:rsidRPr="001B0D92">
        <w:lastRenderedPageBreak/>
        <w:t>kauzalitou prvních substancí, ale mytologickou kauzalitou za</w:t>
      </w:r>
      <w:r w:rsidR="001B0D92">
        <w:t>loženou na avicenistickém a pore</w:t>
      </w:r>
      <w:r w:rsidR="001B0D92" w:rsidRPr="001B0D92">
        <w:t>t</w:t>
      </w:r>
      <w:r w:rsidR="001B0D92">
        <w:t>áns</w:t>
      </w:r>
      <w:r w:rsidR="001B0D92" w:rsidRPr="001B0D92">
        <w:t xml:space="preserve">kém </w:t>
      </w:r>
      <w:r w:rsidR="001B0D92" w:rsidRPr="001B0D92">
        <w:rPr>
          <w:i/>
        </w:rPr>
        <w:t>individuum</w:t>
      </w:r>
      <w:r w:rsidR="001B0D92" w:rsidRPr="001B0D92">
        <w:t xml:space="preserve">. Tato neexistující entita tvoří esenciální </w:t>
      </w:r>
      <w:r w:rsidR="001B0D92" w:rsidRPr="001B0D92">
        <w:rPr>
          <w:i/>
        </w:rPr>
        <w:t>tertium ens</w:t>
      </w:r>
      <w:r w:rsidR="001B0D92" w:rsidRPr="001B0D92">
        <w:t xml:space="preserve"> ve středním </w:t>
      </w:r>
      <w:r w:rsidR="001B0D92">
        <w:t xml:space="preserve">členu </w:t>
      </w:r>
      <w:r w:rsidR="001B0D92" w:rsidRPr="001B0D92">
        <w:t xml:space="preserve">deduktivního sylogismu </w:t>
      </w:r>
      <w:r w:rsidR="001B0D92">
        <w:t xml:space="preserve">pro </w:t>
      </w:r>
      <w:r w:rsidR="001B0D92" w:rsidRPr="001B0D92">
        <w:t>moderní vědy (</w:t>
      </w:r>
      <w:r w:rsidR="001B0D92" w:rsidRPr="001B0D92">
        <w:rPr>
          <w:i/>
        </w:rPr>
        <w:t>scibile</w:t>
      </w:r>
      <w:r w:rsidR="001B0D92" w:rsidRPr="001B0D92">
        <w:t>).</w:t>
      </w:r>
      <w:r w:rsidR="001B0D92">
        <w:t xml:space="preserve"> </w:t>
      </w:r>
      <w:r>
        <w:t xml:space="preserve">Diskrétní </w:t>
      </w:r>
      <w:r w:rsidR="00716B53" w:rsidRPr="00716B53">
        <w:rPr>
          <w:i/>
        </w:rPr>
        <w:t>Weltanschauung</w:t>
      </w:r>
      <w:r w:rsidR="00716B53">
        <w:t xml:space="preserve"> moderny </w:t>
      </w:r>
      <w:r>
        <w:t xml:space="preserve">provádí </w:t>
      </w:r>
      <w:r w:rsidR="00716B53">
        <w:t>dedukci (</w:t>
      </w:r>
      <w:r w:rsidRPr="00CE0155">
        <w:rPr>
          <w:i/>
        </w:rPr>
        <w:t>resolutio</w:t>
      </w:r>
      <w:r>
        <w:rPr>
          <w:i/>
        </w:rPr>
        <w:fldChar w:fldCharType="begin"/>
      </w:r>
      <w:r>
        <w:instrText xml:space="preserve"> XE "</w:instrText>
      </w:r>
      <w:r w:rsidRPr="00111E9E">
        <w:rPr>
          <w:i/>
        </w:rPr>
        <w:instrText>resolutio</w:instrText>
      </w:r>
      <w:r>
        <w:rPr>
          <w:i/>
        </w:rPr>
        <w:instrText>:</w:instrText>
      </w:r>
      <w:r w:rsidRPr="007D3515">
        <w:instrText>porretáni</w:instrText>
      </w:r>
      <w:r>
        <w:instrText xml:space="preserve">" </w:instrText>
      </w:r>
      <w:r>
        <w:rPr>
          <w:i/>
        </w:rPr>
        <w:fldChar w:fldCharType="end"/>
      </w:r>
      <w:r w:rsidR="00716B53">
        <w:t xml:space="preserve">) </w:t>
      </w:r>
      <w:r>
        <w:t>reálného světa na jeho první matematické a lo</w:t>
      </w:r>
      <w:r w:rsidR="00716B53">
        <w:t xml:space="preserve">gické principy, které </w:t>
      </w:r>
      <w:r>
        <w:t xml:space="preserve">jsou </w:t>
      </w:r>
      <w:r w:rsidR="00716B53">
        <w:t xml:space="preserve">už dále </w:t>
      </w:r>
      <w:r>
        <w:t>nedokazateln</w:t>
      </w:r>
      <w:r w:rsidR="00716B53">
        <w:t>é</w:t>
      </w:r>
      <w:r>
        <w:t xml:space="preserve"> (</w:t>
      </w:r>
      <w:r w:rsidRPr="005F767D">
        <w:t xml:space="preserve">ἐκ πρώτων δ' ἀναποδείκτων; </w:t>
      </w:r>
      <w:r w:rsidRPr="005F767D">
        <w:rPr>
          <w:i/>
        </w:rPr>
        <w:t>Anal. Post</w:t>
      </w:r>
      <w:r w:rsidR="08F57B5D">
        <w:t>. 71b26‒27</w:t>
      </w:r>
      <w:r>
        <w:fldChar w:fldCharType="begin"/>
      </w:r>
      <w:r>
        <w:instrText xml:space="preserve"> XE "Aristoteles:</w:instrText>
      </w:r>
      <w:r w:rsidRPr="00153EB8">
        <w:rPr>
          <w:i/>
        </w:rPr>
        <w:instrText>Anal. Post</w:instrText>
      </w:r>
      <w:r w:rsidR="08F57B5D">
        <w:instrText>. 71b26‒27</w:instrText>
      </w:r>
      <w:r>
        <w:instrText xml:space="preserve">" </w:instrText>
      </w:r>
      <w:r>
        <w:fldChar w:fldCharType="end"/>
      </w:r>
      <w:r w:rsidRPr="005F767D">
        <w:t>)</w:t>
      </w:r>
      <w:r w:rsidR="00716B53">
        <w:t xml:space="preserve">. Tím jsou tyto logické principy </w:t>
      </w:r>
      <w:r>
        <w:t>současně prvními kauzami myšlení, a tím i reality.</w:t>
      </w:r>
      <w:r w:rsidR="00716B53">
        <w:t xml:space="preserve"> Paranoia moderny je v tom, že nahradila reálnou nutniost světa logickou nutností, kterou produkuje lidský subjekt. </w:t>
      </w:r>
      <w:r w:rsidR="08D72F34">
        <w:t>Rufus nahradil kauzalitu první</w:t>
      </w:r>
      <w:r w:rsidR="08206902">
        <w:t>ch</w:t>
      </w:r>
      <w:r w:rsidR="08D72F34">
        <w:t xml:space="preserve"> substancí daných v reálu </w:t>
      </w:r>
      <w:r w:rsidR="08710790">
        <w:t xml:space="preserve">a predikovaných v modu metafyzické abstrakce </w:t>
      </w:r>
      <w:r w:rsidR="08206902">
        <w:t xml:space="preserve">teoretickou </w:t>
      </w:r>
      <w:r w:rsidR="08D72F34">
        <w:t>kauzalitou</w:t>
      </w:r>
      <w:r w:rsidR="004E26F6">
        <w:t xml:space="preserve"> </w:t>
      </w:r>
      <w:r w:rsidR="00DB7A13">
        <w:t>prvních</w:t>
      </w:r>
      <w:r w:rsidR="08D72F34">
        <w:t xml:space="preserve"> logických a matematických </w:t>
      </w:r>
      <w:r w:rsidR="00DB7A13">
        <w:t>principů</w:t>
      </w:r>
      <w:r w:rsidR="08D72F34">
        <w:t xml:space="preserve">, které </w:t>
      </w:r>
      <w:r w:rsidR="081C6BF2">
        <w:t xml:space="preserve">mají nutnost a univerzalitu </w:t>
      </w:r>
      <w:r w:rsidR="004E26F6">
        <w:t xml:space="preserve">pouze v mysli. </w:t>
      </w:r>
      <w:r w:rsidR="080E416C">
        <w:t xml:space="preserve">Pravda pro predikaci reálné kauzality platí v metafyzické abstrakci. Rufus ale chápe pravdivost demonstrace pouze analyticky, tedy v univoční logické univerzalitě a nutnosti. </w:t>
      </w:r>
      <w:r w:rsidR="08845604">
        <w:t>Následující citát ukazuje vznik analytické filosofie</w:t>
      </w:r>
      <w:r w:rsidR="08845604">
        <w:fldChar w:fldCharType="begin"/>
      </w:r>
      <w:r w:rsidR="08845604">
        <w:instrText xml:space="preserve"> XE "</w:instrText>
      </w:r>
      <w:r w:rsidR="08845604" w:rsidRPr="00AE4BDD">
        <w:instrText>analytická filosofie</w:instrText>
      </w:r>
      <w:r w:rsidR="08845604">
        <w:instrText xml:space="preserve">" </w:instrText>
      </w:r>
      <w:r w:rsidR="08845604">
        <w:fldChar w:fldCharType="end"/>
      </w:r>
      <w:r w:rsidR="08845604">
        <w:t xml:space="preserve"> v Rufusově rozboru klíčové části </w:t>
      </w:r>
      <w:r w:rsidR="08845604" w:rsidRPr="08845A08">
        <w:rPr>
          <w:i/>
        </w:rPr>
        <w:t>Druhých analytik</w:t>
      </w:r>
      <w:r w:rsidR="08845604">
        <w:fldChar w:fldCharType="begin"/>
      </w:r>
      <w:r w:rsidR="08845604">
        <w:instrText xml:space="preserve"> XE "Aristoteles:</w:instrText>
      </w:r>
      <w:r w:rsidR="08845604" w:rsidRPr="00153EB8">
        <w:rPr>
          <w:i/>
        </w:rPr>
        <w:instrText>Anal. Post</w:instrText>
      </w:r>
      <w:r w:rsidR="08845604" w:rsidRPr="00153EB8">
        <w:instrText>. 71b25</w:instrText>
      </w:r>
      <w:r w:rsidR="08845604">
        <w:instrText xml:space="preserve">" </w:instrText>
      </w:r>
      <w:r w:rsidR="08845604">
        <w:fldChar w:fldCharType="end"/>
      </w:r>
      <w:r w:rsidR="08845604">
        <w:t>.</w:t>
      </w:r>
    </w:p>
    <w:p w14:paraId="1434E0AC" w14:textId="77777777" w:rsidR="005F767D" w:rsidRDefault="002F5A57" w:rsidP="005F767D">
      <w:pPr>
        <w:pStyle w:val="Citace"/>
        <w:rPr>
          <w:lang w:val="cs-CZ"/>
        </w:rPr>
      </w:pPr>
      <w:r>
        <w:t>„</w:t>
      </w:r>
      <w:r w:rsidR="00772D17">
        <w:t>Aby premisy vědeckého soudu byly příčinou, tak musí být pravdivé. Jinak soud není poznáním nebo vědou. A</w:t>
      </w:r>
      <w:r w:rsidR="08255EE6">
        <w:t xml:space="preserve"> to je doslova řečeno termínem </w:t>
      </w:r>
      <w:r w:rsidR="08255EE6">
        <w:rPr>
          <w:rFonts w:cs="Calibri"/>
        </w:rPr>
        <w:t>'</w:t>
      </w:r>
      <w:r w:rsidR="08255EE6">
        <w:t>pravdivě</w:t>
      </w:r>
      <w:r w:rsidR="08255EE6">
        <w:rPr>
          <w:rFonts w:cs="Calibri"/>
        </w:rPr>
        <w:t>'</w:t>
      </w:r>
      <w:r w:rsidR="00772D17">
        <w:t>. Premisy soudu dané tímto způsobem jsou kompletními příčinami (</w:t>
      </w:r>
      <w:r w:rsidR="00772D17" w:rsidRPr="00772D17">
        <w:rPr>
          <w:i/>
        </w:rPr>
        <w:t>praemissae sunt causae completae</w:t>
      </w:r>
      <w:r w:rsidR="00772D17">
        <w:t>), a to v rámci takto určeného rodu (</w:t>
      </w:r>
      <w:r w:rsidR="00772D17" w:rsidRPr="00772D17">
        <w:rPr>
          <w:i/>
        </w:rPr>
        <w:t>in illo genere</w:t>
      </w:r>
      <w:r w:rsidR="00772D17">
        <w:t>). Pak platí, že příčiny jsou v premisách dány bezprostředně (</w:t>
      </w:r>
      <w:r w:rsidR="00772D17" w:rsidRPr="005F767D">
        <w:rPr>
          <w:i/>
        </w:rPr>
        <w:t>immediata in eodem</w:t>
      </w:r>
      <w:r w:rsidR="00772D17">
        <w:t>)</w:t>
      </w:r>
      <w:r w:rsidR="0082083A">
        <w:rPr>
          <w:lang w:val="cs-CZ"/>
        </w:rPr>
        <w:t>. K</w:t>
      </w:r>
      <w:r w:rsidR="005F767D">
        <w:t xml:space="preserve">dyby byly nějak zprostředkovány, měly by ještě další střední člen soudu a další příčinu, a proto by nebyly kompletní. Tím je dán výklad toho, co </w:t>
      </w:r>
      <w:r w:rsidR="00644092">
        <w:rPr>
          <w:rFonts w:cs="Calibri"/>
        </w:rPr>
        <w:t>[</w:t>
      </w:r>
      <w:r w:rsidR="008E02F5">
        <w:t>Aristoteles</w:t>
      </w:r>
      <w:r w:rsidR="00644092">
        <w:rPr>
          <w:rFonts w:cs="Calibri"/>
        </w:rPr>
        <w:t>]</w:t>
      </w:r>
      <w:r w:rsidR="08255EE6">
        <w:t xml:space="preserve"> míní termínem </w:t>
      </w:r>
      <w:r w:rsidR="08255EE6">
        <w:rPr>
          <w:rFonts w:cs="Calibri"/>
        </w:rPr>
        <w:t>'</w:t>
      </w:r>
      <w:r w:rsidR="08255EE6">
        <w:t>dáno z premis soudu</w:t>
      </w:r>
      <w:r w:rsidR="08255EE6">
        <w:rPr>
          <w:rFonts w:cs="Calibri"/>
        </w:rPr>
        <w:t>'</w:t>
      </w:r>
      <w:r w:rsidR="005F767D" w:rsidRPr="005F767D">
        <w:t>.“</w:t>
      </w:r>
      <w:r w:rsidR="005F767D">
        <w:rPr>
          <w:lang w:val="cs-CZ"/>
        </w:rPr>
        <w:t> </w:t>
      </w:r>
      <w:r w:rsidR="00164FFD" w:rsidRPr="00273106">
        <w:rPr>
          <w:rStyle w:val="Znakapoznpodarou"/>
        </w:rPr>
        <w:footnoteReference w:id="383"/>
      </w:r>
    </w:p>
    <w:p w14:paraId="1A7AF5E3" w14:textId="1FF8CC48" w:rsidR="00EC6453" w:rsidRDefault="00FF5EEE" w:rsidP="005F767D">
      <w:r>
        <w:t xml:space="preserve">Podle školy prvního Averroismu </w:t>
      </w:r>
      <w:r w:rsidR="00037801" w:rsidRPr="00037801">
        <w:t>je první věta naprostý nesmysl. Z</w:t>
      </w:r>
      <w:r w:rsidR="00037801">
        <w:t> </w:t>
      </w:r>
      <w:r w:rsidR="00037801" w:rsidRPr="00037801">
        <w:t>premis</w:t>
      </w:r>
      <w:r w:rsidR="00037801">
        <w:t>y neobsahují reálnou kauzalitu</w:t>
      </w:r>
      <w:r w:rsidR="00037801" w:rsidRPr="00037801">
        <w:t xml:space="preserve"> prvních substancí. </w:t>
      </w:r>
      <w:r w:rsidR="00037801">
        <w:t xml:space="preserve">Na základě této kauzality dělají </w:t>
      </w:r>
      <w:r w:rsidR="00037801" w:rsidRPr="00037801">
        <w:t>vědeckou predik</w:t>
      </w:r>
      <w:r w:rsidR="00037801">
        <w:t>aci v modu metafyzické impozice</w:t>
      </w:r>
      <w:r w:rsidR="00037801" w:rsidRPr="00037801">
        <w:t>, metafyzické abstrakce a pravdivého deduktivního sylogismu.</w:t>
      </w:r>
      <w:r w:rsidR="00037801">
        <w:t xml:space="preserve"> </w:t>
      </w:r>
      <w:r w:rsidR="08C16D58">
        <w:t>Citát ukazuje první formu společné objektivní „exsistence“ reálných a poznaných jsoucen</w:t>
      </w:r>
      <w:r w:rsidR="00B051D9">
        <w:t xml:space="preserve"> sebraných do jednoho mytologického pojmu</w:t>
      </w:r>
      <w:r w:rsidR="08C16D58">
        <w:t>. K</w:t>
      </w:r>
      <w:r w:rsidR="08C16D58" w:rsidRPr="00273106">
        <w:t xml:space="preserve">omentář používá </w:t>
      </w:r>
      <w:r w:rsidR="08C16D58">
        <w:t xml:space="preserve">aristotelský termín </w:t>
      </w:r>
      <w:r w:rsidR="008B7E38">
        <w:t>„</w:t>
      </w:r>
      <w:r w:rsidR="08C16D58" w:rsidRPr="00273106">
        <w:rPr>
          <w:i/>
        </w:rPr>
        <w:t>praemissae sunt causae completae</w:t>
      </w:r>
      <w:r w:rsidR="008B7E38">
        <w:t>“</w:t>
      </w:r>
      <w:r w:rsidR="08C16D58">
        <w:t>,</w:t>
      </w:r>
      <w:r w:rsidR="08C16D58" w:rsidRPr="00273106">
        <w:t xml:space="preserve"> a</w:t>
      </w:r>
      <w:r w:rsidR="08C16D58">
        <w:t>le</w:t>
      </w:r>
      <w:r w:rsidR="08C16D58" w:rsidRPr="00273106">
        <w:t xml:space="preserve"> míní tím formálně správně utvořený sylogismus</w:t>
      </w:r>
      <w:r w:rsidR="08C16D58">
        <w:t xml:space="preserve"> v modu logické abstrakce</w:t>
      </w:r>
      <w:r w:rsidR="08C16D58" w:rsidRPr="00273106">
        <w:t xml:space="preserve">. Podle </w:t>
      </w:r>
      <w:r w:rsidR="00783DD1">
        <w:t xml:space="preserve">výše </w:t>
      </w:r>
      <w:r w:rsidR="08C16D58" w:rsidRPr="00273106">
        <w:t>citovaného Rufuse až sekundárně platí (</w:t>
      </w:r>
      <w:r w:rsidR="08C16D58" w:rsidRPr="00273106">
        <w:rPr>
          <w:i/>
        </w:rPr>
        <w:t>sic secunda</w:t>
      </w:r>
      <w:r w:rsidR="08C16D58" w:rsidRPr="00273106">
        <w:t xml:space="preserve">), že </w:t>
      </w:r>
      <w:r w:rsidR="08C16D58">
        <w:t xml:space="preserve">vědecký </w:t>
      </w:r>
      <w:r w:rsidR="08C16D58" w:rsidRPr="00273106">
        <w:t>soud je vztažen k reálnému aktu poznání něčeho mimo mysl (</w:t>
      </w:r>
      <w:r w:rsidR="08C16D58" w:rsidRPr="00273106">
        <w:rPr>
          <w:i/>
        </w:rPr>
        <w:t>demonstratio</w:t>
      </w:r>
      <w:r w:rsidR="08C16D58">
        <w:rPr>
          <w:i/>
        </w:rPr>
        <w:fldChar w:fldCharType="begin"/>
      </w:r>
      <w:r w:rsidR="08C16D58">
        <w:instrText xml:space="preserve"> XE "</w:instrText>
      </w:r>
      <w:r w:rsidR="08C16D58" w:rsidRPr="004E6075">
        <w:rPr>
          <w:i/>
        </w:rPr>
        <w:instrText>demonstratio:</w:instrText>
      </w:r>
      <w:r w:rsidR="08C16D58">
        <w:instrText xml:space="preserve">Rufus" </w:instrText>
      </w:r>
      <w:r w:rsidR="08C16D58">
        <w:rPr>
          <w:i/>
        </w:rPr>
        <w:fldChar w:fldCharType="end"/>
      </w:r>
      <w:r w:rsidR="08C16D58" w:rsidRPr="00273106">
        <w:rPr>
          <w:i/>
        </w:rPr>
        <w:t xml:space="preserve"> consideratur ut in actu</w:t>
      </w:r>
      <w:r w:rsidR="08C16D58" w:rsidRPr="00273106">
        <w:t xml:space="preserve">). </w:t>
      </w:r>
      <w:r w:rsidR="08C16D58">
        <w:t xml:space="preserve">Opět je to formálně správně, ale metafyzická adekvace musí od reality vyjít, a ne k ní přijít až na konci pomocí simulákra. </w:t>
      </w:r>
      <w:r w:rsidR="00D03733">
        <w:t xml:space="preserve">Rufus nedělá </w:t>
      </w:r>
      <w:r w:rsidR="00A95F4D">
        <w:t>žádný rozdíl mezi k</w:t>
      </w:r>
      <w:r w:rsidR="08C16D58" w:rsidRPr="00273106">
        <w:t>auzalit</w:t>
      </w:r>
      <w:r w:rsidR="00A95F4D">
        <w:t>ou</w:t>
      </w:r>
      <w:r w:rsidR="08C16D58" w:rsidRPr="00273106">
        <w:t xml:space="preserve"> v reálu na úrovni prvních substancí a její</w:t>
      </w:r>
      <w:r w:rsidR="00A95F4D">
        <w:t>ho</w:t>
      </w:r>
      <w:r w:rsidR="08C16D58" w:rsidRPr="00273106">
        <w:t xml:space="preserve"> poznání na úrovni druhých substancí</w:t>
      </w:r>
      <w:r w:rsidR="00A95F4D">
        <w:t xml:space="preserve">. Obě druhy nutnosti (metafyzická, logická) </w:t>
      </w:r>
      <w:r w:rsidR="08C16D58" w:rsidRPr="00273106">
        <w:t xml:space="preserve">dostaly univoční charakter. Protože </w:t>
      </w:r>
      <w:r w:rsidR="08C16D58" w:rsidRPr="00273106">
        <w:rPr>
          <w:i/>
        </w:rPr>
        <w:t>medium</w:t>
      </w:r>
      <w:r w:rsidR="08C16D58">
        <w:rPr>
          <w:i/>
        </w:rPr>
        <w:fldChar w:fldCharType="begin"/>
      </w:r>
      <w:r w:rsidR="08C16D58">
        <w:instrText xml:space="preserve"> XE "</w:instrText>
      </w:r>
      <w:r w:rsidR="08C16D58" w:rsidRPr="001618A5">
        <w:rPr>
          <w:i/>
        </w:rPr>
        <w:instrText>medium</w:instrText>
      </w:r>
      <w:r w:rsidR="08C16D58" w:rsidRPr="00FF2B68">
        <w:instrText>:druhý averroismus</w:instrText>
      </w:r>
      <w:r w:rsidR="08C16D58">
        <w:instrText xml:space="preserve">" </w:instrText>
      </w:r>
      <w:r w:rsidR="08C16D58">
        <w:rPr>
          <w:i/>
        </w:rPr>
        <w:fldChar w:fldCharType="end"/>
      </w:r>
      <w:r w:rsidR="08C16D58" w:rsidRPr="00273106">
        <w:t xml:space="preserve"> soudu m</w:t>
      </w:r>
      <w:r w:rsidR="08C16D58">
        <w:t xml:space="preserve">á univoční kauzalitu, pak je pro moderní vědu celkem </w:t>
      </w:r>
      <w:r w:rsidR="08C16D58" w:rsidRPr="00273106">
        <w:t>jedno, zda nějaká věc reálně existuje nebo nikoliv.</w:t>
      </w:r>
      <w:r w:rsidR="08C16D58">
        <w:t xml:space="preserve"> </w:t>
      </w:r>
      <w:r w:rsidR="08C53AEA">
        <w:t xml:space="preserve">Sofisma se skrývá v termínu </w:t>
      </w:r>
      <w:r w:rsidR="08C53AEA">
        <w:rPr>
          <w:rFonts w:cs="Calibri"/>
        </w:rPr>
        <w:t>„</w:t>
      </w:r>
      <w:r w:rsidR="08C53AEA">
        <w:t>pravdivě</w:t>
      </w:r>
      <w:r w:rsidR="08C53AEA">
        <w:rPr>
          <w:rFonts w:cs="Calibri"/>
        </w:rPr>
        <w:t>“</w:t>
      </w:r>
      <w:r w:rsidR="08C53AEA">
        <w:t xml:space="preserve"> (</w:t>
      </w:r>
      <w:r w:rsidR="08C53AEA" w:rsidRPr="00772D17">
        <w:rPr>
          <w:i/>
        </w:rPr>
        <w:t>verum igitur</w:t>
      </w:r>
      <w:r w:rsidR="08C53AEA">
        <w:t xml:space="preserve">, ἀληθῆ μὲν; </w:t>
      </w:r>
      <w:r w:rsidR="08C53AEA" w:rsidRPr="00C348B4">
        <w:rPr>
          <w:i/>
        </w:rPr>
        <w:t>Anal. Post</w:t>
      </w:r>
      <w:r w:rsidR="08C53AEA">
        <w:t>. 71b25</w:t>
      </w:r>
      <w:r w:rsidR="08C53AEA">
        <w:fldChar w:fldCharType="begin"/>
      </w:r>
      <w:r w:rsidR="08C53AEA">
        <w:instrText xml:space="preserve"> XE "Aristoteles:</w:instrText>
      </w:r>
      <w:r w:rsidR="08C53AEA" w:rsidRPr="00153EB8">
        <w:rPr>
          <w:i/>
        </w:rPr>
        <w:instrText>Anal. Post</w:instrText>
      </w:r>
      <w:r w:rsidR="08C53AEA" w:rsidRPr="00153EB8">
        <w:instrText>. 71b25</w:instrText>
      </w:r>
      <w:r w:rsidR="08C53AEA">
        <w:instrText xml:space="preserve">" </w:instrText>
      </w:r>
      <w:r w:rsidR="08C53AEA">
        <w:fldChar w:fldCharType="end"/>
      </w:r>
      <w:r w:rsidR="08C53AEA">
        <w:t xml:space="preserve">). </w:t>
      </w:r>
      <w:r w:rsidR="08845604">
        <w:t xml:space="preserve">Rufus vůbec neřeší základní otázku </w:t>
      </w:r>
      <w:r w:rsidR="00EF0AB8">
        <w:t>skrytou v termínu „</w:t>
      </w:r>
      <w:r w:rsidR="08845604" w:rsidRPr="00772D17">
        <w:rPr>
          <w:i/>
        </w:rPr>
        <w:t>in illo genere</w:t>
      </w:r>
      <w:r w:rsidR="00EF0AB8">
        <w:t>“.</w:t>
      </w:r>
      <w:r w:rsidR="08845604">
        <w:rPr>
          <w:i/>
        </w:rPr>
        <w:t xml:space="preserve"> </w:t>
      </w:r>
      <w:r w:rsidR="00EF0AB8">
        <w:t xml:space="preserve">Ale ta </w:t>
      </w:r>
      <w:r w:rsidR="08845604" w:rsidRPr="08845604">
        <w:t xml:space="preserve">má </w:t>
      </w:r>
      <w:r w:rsidR="00695CB7">
        <w:t xml:space="preserve">pro Aristotela </w:t>
      </w:r>
      <w:r w:rsidR="08845604" w:rsidRPr="08845604">
        <w:t>zásadní význam pro pred</w:t>
      </w:r>
      <w:r w:rsidR="08845604">
        <w:t>i</w:t>
      </w:r>
      <w:r w:rsidR="08845604" w:rsidRPr="08845604">
        <w:t>kaci v</w:t>
      </w:r>
      <w:r w:rsidR="08845604">
        <w:t xml:space="preserve">e dvojím modu genericky odlišné nutnosti a univerzality </w:t>
      </w:r>
      <w:r w:rsidR="08845604" w:rsidRPr="00273106">
        <w:t>(καθ' αὑτὰ δὲ διττῶς</w:t>
      </w:r>
      <w:r w:rsidR="08845604">
        <w:t xml:space="preserve">, </w:t>
      </w:r>
      <w:r w:rsidR="08845604" w:rsidRPr="009B084A">
        <w:rPr>
          <w:i/>
        </w:rPr>
        <w:t>Anal</w:t>
      </w:r>
      <w:r w:rsidR="08845604">
        <w:t xml:space="preserve">. </w:t>
      </w:r>
      <w:r w:rsidR="08845604" w:rsidRPr="009B084A">
        <w:rPr>
          <w:i/>
        </w:rPr>
        <w:t>Post</w:t>
      </w:r>
      <w:r w:rsidR="08845604">
        <w:t>. 84a12</w:t>
      </w:r>
      <w:r w:rsidR="08845604">
        <w:fldChar w:fldCharType="begin"/>
      </w:r>
      <w:r w:rsidR="08845604">
        <w:instrText xml:space="preserve"> XE "Aristoteles:</w:instrText>
      </w:r>
      <w:r w:rsidR="08845604" w:rsidRPr="00BF0563">
        <w:rPr>
          <w:i/>
        </w:rPr>
        <w:instrText>Anal</w:instrText>
      </w:r>
      <w:r w:rsidR="08845604" w:rsidRPr="00BF0563">
        <w:instrText xml:space="preserve">. </w:instrText>
      </w:r>
      <w:r w:rsidR="08845604" w:rsidRPr="00BF0563">
        <w:rPr>
          <w:i/>
        </w:rPr>
        <w:instrText>Post</w:instrText>
      </w:r>
      <w:r w:rsidR="08845604" w:rsidRPr="00BF0563">
        <w:instrText>. 84a12</w:instrText>
      </w:r>
      <w:r w:rsidR="08845604">
        <w:instrText xml:space="preserve">" </w:instrText>
      </w:r>
      <w:r w:rsidR="08845604">
        <w:fldChar w:fldCharType="end"/>
      </w:r>
      <w:r w:rsidR="08845604" w:rsidRPr="00273106">
        <w:t>)</w:t>
      </w:r>
      <w:r w:rsidR="08845604">
        <w:t xml:space="preserve">. </w:t>
      </w:r>
      <w:r w:rsidR="00520E43">
        <w:t xml:space="preserve">Nasvícení </w:t>
      </w:r>
      <w:r w:rsidR="008C095F">
        <w:t xml:space="preserve">smyslu </w:t>
      </w:r>
      <w:r w:rsidR="00520E43">
        <w:t xml:space="preserve">jsoucna </w:t>
      </w:r>
      <w:r w:rsidR="008C095F">
        <w:t xml:space="preserve">běží </w:t>
      </w:r>
      <w:r w:rsidR="00520E43">
        <w:t>podle Avicenny a jde od prvních principů poznán</w:t>
      </w:r>
      <w:r w:rsidR="00CE0155">
        <w:t>í</w:t>
      </w:r>
      <w:r w:rsidR="008C095F">
        <w:t>, které reálně působí jako účinné</w:t>
      </w:r>
      <w:r w:rsidR="00CE0155">
        <w:t xml:space="preserve"> příčin</w:t>
      </w:r>
      <w:r w:rsidR="008C095F">
        <w:t>y</w:t>
      </w:r>
      <w:r w:rsidR="00520E43">
        <w:t xml:space="preserve"> ve světě</w:t>
      </w:r>
      <w:r w:rsidR="008C095F">
        <w:t xml:space="preserve"> prvních substancí</w:t>
      </w:r>
      <w:r w:rsidR="00520E43">
        <w:t xml:space="preserve">. </w:t>
      </w:r>
      <w:r w:rsidR="00EF2B36">
        <w:t>Završení kauzality ve vědecké predikaci (</w:t>
      </w:r>
      <w:r w:rsidR="00EF2B36" w:rsidRPr="00CF3659">
        <w:rPr>
          <w:i/>
        </w:rPr>
        <w:t>causae completae</w:t>
      </w:r>
      <w:r w:rsidR="00E46D54">
        <w:rPr>
          <w:i/>
        </w:rPr>
        <w:fldChar w:fldCharType="begin"/>
      </w:r>
      <w:r w:rsidR="00E46D54">
        <w:instrText xml:space="preserve"> XE "kauzalita:</w:instrText>
      </w:r>
      <w:r w:rsidR="00E46D54" w:rsidRPr="007A0FB6">
        <w:rPr>
          <w:i/>
        </w:rPr>
        <w:instrText>causae completae</w:instrText>
      </w:r>
      <w:r w:rsidR="00E46D54">
        <w:instrText xml:space="preserve">" </w:instrText>
      </w:r>
      <w:r w:rsidR="00E46D54">
        <w:rPr>
          <w:i/>
        </w:rPr>
        <w:fldChar w:fldCharType="end"/>
      </w:r>
      <w:r w:rsidR="00EF2B36">
        <w:t>) je dáno skrze univerzální rodové určení (</w:t>
      </w:r>
      <w:r w:rsidR="00EF2B36" w:rsidRPr="00CF3659">
        <w:rPr>
          <w:i/>
        </w:rPr>
        <w:t>in genere</w:t>
      </w:r>
      <w:r w:rsidR="00EF2B36">
        <w:t xml:space="preserve">). </w:t>
      </w:r>
      <w:r w:rsidR="08C75812">
        <w:t xml:space="preserve">Rufus zavedl porretánské atomární dělení na poslední nedělitelný princip do schématu poznání vědeckého soudu. První principy nyní fungují jako porretánská individua v analytickém pojetí </w:t>
      </w:r>
      <w:r w:rsidR="08C75812" w:rsidRPr="005E32C5">
        <w:rPr>
          <w:i/>
        </w:rPr>
        <w:t>demonstratio</w:t>
      </w:r>
      <w:r w:rsidR="08C75812">
        <w:rPr>
          <w:i/>
        </w:rPr>
        <w:fldChar w:fldCharType="begin"/>
      </w:r>
      <w:r w:rsidR="08C75812">
        <w:instrText xml:space="preserve"> XE "</w:instrText>
      </w:r>
      <w:r w:rsidR="08C75812" w:rsidRPr="004E6075">
        <w:rPr>
          <w:i/>
        </w:rPr>
        <w:instrText>demonstratio:</w:instrText>
      </w:r>
      <w:r w:rsidR="08C75812" w:rsidRPr="005A3E7D">
        <w:instrText>Rufus</w:instrText>
      </w:r>
      <w:r w:rsidR="08C75812">
        <w:instrText xml:space="preserve">" </w:instrText>
      </w:r>
      <w:r w:rsidR="08C75812">
        <w:rPr>
          <w:i/>
        </w:rPr>
        <w:fldChar w:fldCharType="end"/>
      </w:r>
      <w:r w:rsidR="08C75812">
        <w:t xml:space="preserve">. </w:t>
      </w:r>
      <w:r w:rsidR="00EF2B36">
        <w:t>Druhá triáda principů pozná</w:t>
      </w:r>
      <w:r w:rsidR="0015163B">
        <w:t xml:space="preserve">ní zakládá moderní princip </w:t>
      </w:r>
      <w:r w:rsidR="00010B8E">
        <w:rPr>
          <w:i/>
        </w:rPr>
        <w:t>inmediate</w:t>
      </w:r>
      <w:r w:rsidR="007236C5">
        <w:t>. Termín „</w:t>
      </w:r>
      <w:r w:rsidR="007236C5" w:rsidRPr="007236C5">
        <w:rPr>
          <w:i/>
        </w:rPr>
        <w:t>quod sint immediata</w:t>
      </w:r>
      <w:r w:rsidR="007236C5">
        <w:fldChar w:fldCharType="begin"/>
      </w:r>
      <w:r w:rsidR="007236C5">
        <w:instrText xml:space="preserve"> XE "princip </w:instrText>
      </w:r>
      <w:r w:rsidR="007236C5">
        <w:rPr>
          <w:i/>
        </w:rPr>
        <w:instrText>ex in</w:instrText>
      </w:r>
      <w:r w:rsidR="007236C5" w:rsidRPr="005A3E7D">
        <w:rPr>
          <w:i/>
        </w:rPr>
        <w:instrText>mediatis</w:instrText>
      </w:r>
      <w:r w:rsidR="007236C5">
        <w:instrText xml:space="preserve">" </w:instrText>
      </w:r>
      <w:r w:rsidR="007236C5">
        <w:fldChar w:fldCharType="end"/>
      </w:r>
      <w:r w:rsidR="007236C5">
        <w:t>“</w:t>
      </w:r>
      <w:r w:rsidR="007236C5" w:rsidRPr="007236C5">
        <w:t xml:space="preserve"> </w:t>
      </w:r>
      <w:r w:rsidR="007236C5">
        <w:t xml:space="preserve">nezahrnuje </w:t>
      </w:r>
      <w:r w:rsidR="007236C5" w:rsidRPr="007236C5">
        <w:t xml:space="preserve">deduktivní postup z hlediska první substance, ale z hlediska </w:t>
      </w:r>
      <w:r w:rsidR="007236C5">
        <w:t>hypostázovaných forem</w:t>
      </w:r>
      <w:r w:rsidR="00EF2B36">
        <w:t xml:space="preserve">. </w:t>
      </w:r>
      <w:r w:rsidR="08B650B6">
        <w:t xml:space="preserve">Druhé sofisma se skrývá v termínu </w:t>
      </w:r>
      <w:r w:rsidR="007236C5">
        <w:rPr>
          <w:rFonts w:cs="Calibri"/>
        </w:rPr>
        <w:t>„</w:t>
      </w:r>
      <w:r w:rsidR="007236C5">
        <w:t>dáno z premis soudu“</w:t>
      </w:r>
      <w:r w:rsidR="08B650B6">
        <w:t xml:space="preserve"> (</w:t>
      </w:r>
      <w:r w:rsidR="08B650B6" w:rsidRPr="00723473">
        <w:rPr>
          <w:i/>
        </w:rPr>
        <w:t>ex praemissis autem</w:t>
      </w:r>
      <w:r w:rsidR="08B650B6">
        <w:t xml:space="preserve">,  </w:t>
      </w:r>
      <w:r w:rsidR="08B650B6" w:rsidRPr="005F767D">
        <w:t xml:space="preserve">ἐκ πρώτων δ' ἀναποδείκτων; </w:t>
      </w:r>
      <w:r w:rsidR="08B650B6" w:rsidRPr="005F767D">
        <w:rPr>
          <w:i/>
        </w:rPr>
        <w:t>Anal. Post</w:t>
      </w:r>
      <w:r w:rsidR="08B650B6">
        <w:t>. 71b26</w:t>
      </w:r>
      <w:r w:rsidR="08B650B6">
        <w:fldChar w:fldCharType="begin"/>
      </w:r>
      <w:r w:rsidR="08B650B6">
        <w:instrText xml:space="preserve"> XE "Aristoteles:</w:instrText>
      </w:r>
      <w:r w:rsidR="08B650B6" w:rsidRPr="00153EB8">
        <w:rPr>
          <w:i/>
        </w:rPr>
        <w:instrText>Anal. Post</w:instrText>
      </w:r>
      <w:r w:rsidR="08B650B6">
        <w:instrText xml:space="preserve">. 71b26" </w:instrText>
      </w:r>
      <w:r w:rsidR="08B650B6">
        <w:fldChar w:fldCharType="end"/>
      </w:r>
      <w:r w:rsidR="08B650B6" w:rsidRPr="005F767D">
        <w:t>)</w:t>
      </w:r>
      <w:r w:rsidR="08B650B6">
        <w:t xml:space="preserve">. </w:t>
      </w:r>
      <w:r w:rsidR="00C27569">
        <w:t xml:space="preserve">Jako kauzální první substance působí v nové formě </w:t>
      </w:r>
      <w:r w:rsidR="00442550">
        <w:t xml:space="preserve">analytického </w:t>
      </w:r>
      <w:r w:rsidR="00C27569">
        <w:t xml:space="preserve">vědeckého soudu atomární jednotky dále nedokazatelných prvních principů. </w:t>
      </w:r>
      <w:r w:rsidR="00EF2B36">
        <w:t>Klíčová věta spojuje všechna sofismata</w:t>
      </w:r>
      <w:r w:rsidR="00E20219">
        <w:t xml:space="preserve"> druhého averroismu dohromady</w:t>
      </w:r>
      <w:r w:rsidR="087E5DED">
        <w:t xml:space="preserve">, protože je dána v nasvícení kauzality zezadu od druhé triády </w:t>
      </w:r>
      <w:r w:rsidR="082A1EC1">
        <w:t xml:space="preserve">formálně určených </w:t>
      </w:r>
      <w:r w:rsidR="087E5DED">
        <w:t>principů</w:t>
      </w:r>
      <w:r w:rsidR="082A1EC1">
        <w:t xml:space="preserve"> poznání. Esence nyní stačí na určení kauzality (</w:t>
      </w:r>
      <w:r w:rsidR="00EF2B36" w:rsidRPr="00CF3659">
        <w:rPr>
          <w:i/>
        </w:rPr>
        <w:t>p</w:t>
      </w:r>
      <w:r w:rsidR="082A1EC1">
        <w:rPr>
          <w:i/>
        </w:rPr>
        <w:t>raemissae sunt causae completae</w:t>
      </w:r>
      <w:r w:rsidR="082A1EC1" w:rsidRPr="082A1EC1">
        <w:t>)</w:t>
      </w:r>
      <w:r w:rsidR="082A1EC1">
        <w:t>, protože má rodově stejnou identitu jako první univezální návěst a tím i závěr (</w:t>
      </w:r>
      <w:r w:rsidR="082A1EC1">
        <w:rPr>
          <w:i/>
        </w:rPr>
        <w:t>in illo genere dico</w:t>
      </w:r>
      <w:r w:rsidR="082A1EC1">
        <w:t>). Pak je jasné, že</w:t>
      </w:r>
      <w:r w:rsidR="08D91F67">
        <w:t xml:space="preserve"> platí závěr podle princip </w:t>
      </w:r>
      <w:r w:rsidR="08D91F67" w:rsidRPr="08D91F67">
        <w:rPr>
          <w:i/>
        </w:rPr>
        <w:t>ex in</w:t>
      </w:r>
      <w:r w:rsidR="082A1EC1" w:rsidRPr="08D91F67">
        <w:rPr>
          <w:i/>
        </w:rPr>
        <w:t>mediatis</w:t>
      </w:r>
      <w:r w:rsidR="082A1EC1">
        <w:t xml:space="preserve"> (</w:t>
      </w:r>
      <w:r w:rsidR="00EF2B36" w:rsidRPr="00CF3659">
        <w:rPr>
          <w:i/>
        </w:rPr>
        <w:t>sequitur quod sint immediata in eodem</w:t>
      </w:r>
      <w:r w:rsidR="082A1EC1">
        <w:t xml:space="preserve">). To je ovšem schéma vědeckého důkazu platné jen pro logickou abstrakci danou v mysli a ne pro vědecký soud predikující kauzalitu reálných substancí daných mimo mysl. </w:t>
      </w:r>
      <w:r w:rsidR="0015163B">
        <w:t xml:space="preserve">Kauza třetího druhu je spojena se substancí třetího druhu a tento mix jsoucna třetího druhu </w:t>
      </w:r>
      <w:r w:rsidR="08696D53">
        <w:t>se univočně vypovídá</w:t>
      </w:r>
      <w:r w:rsidR="0015163B">
        <w:t xml:space="preserve"> v an</w:t>
      </w:r>
      <w:r w:rsidR="08696D53">
        <w:t xml:space="preserve">alytickém modu vědeckého důkazu. Tím vznikla nová verze </w:t>
      </w:r>
      <w:r w:rsidR="0015163B" w:rsidRPr="0015163B">
        <w:rPr>
          <w:i/>
        </w:rPr>
        <w:t>Oxfordian Fallacy</w:t>
      </w:r>
      <w:r w:rsidR="08696D53">
        <w:t xml:space="preserve">, která založila </w:t>
      </w:r>
      <w:r w:rsidR="008F5EA6">
        <w:t xml:space="preserve">spekulativní </w:t>
      </w:r>
      <w:r w:rsidR="08696D53">
        <w:t xml:space="preserve">poznání </w:t>
      </w:r>
      <w:r w:rsidR="008F5EA6">
        <w:t xml:space="preserve">moderní </w:t>
      </w:r>
      <w:r w:rsidR="08696D53">
        <w:t xml:space="preserve">vědy. </w:t>
      </w:r>
      <w:r w:rsidR="00EF2B36" w:rsidRPr="00273106">
        <w:t xml:space="preserve">Moderna je založena na odmítnutí první substance a její </w:t>
      </w:r>
      <w:r w:rsidR="00EF2B36">
        <w:t xml:space="preserve">reálné </w:t>
      </w:r>
      <w:r w:rsidR="00EF2B36" w:rsidRPr="00273106">
        <w:t>kauzality</w:t>
      </w:r>
      <w:r w:rsidR="009D0BDD">
        <w:fldChar w:fldCharType="begin"/>
      </w:r>
      <w:r w:rsidR="009D0BDD">
        <w:instrText xml:space="preserve"> XE "</w:instrText>
      </w:r>
      <w:r w:rsidR="009D0BDD" w:rsidRPr="00392BD1">
        <w:instrText>kauzalita:Rufus</w:instrText>
      </w:r>
      <w:r w:rsidR="009D0BDD">
        <w:instrText xml:space="preserve">" </w:instrText>
      </w:r>
      <w:r w:rsidR="009D0BDD">
        <w:fldChar w:fldCharType="end"/>
      </w:r>
      <w:r w:rsidR="008F5EA6">
        <w:t xml:space="preserve">. Iluminát produkuje substance třetího druhu a pak je poznává v zrcadle své osvícené mysli. </w:t>
      </w:r>
      <w:r w:rsidR="00356DAD">
        <w:t>Toto epochálně n</w:t>
      </w:r>
      <w:r w:rsidR="00F8517A">
        <w:t xml:space="preserve">ové pojetí pravdy a vědeckého poznání </w:t>
      </w:r>
      <w:r w:rsidR="008C095F">
        <w:t>založ</w:t>
      </w:r>
      <w:r w:rsidR="00F8517A">
        <w:t xml:space="preserve">ilo </w:t>
      </w:r>
      <w:r w:rsidR="008C095F">
        <w:t xml:space="preserve">základní </w:t>
      </w:r>
      <w:r w:rsidR="008C095F" w:rsidRPr="008C095F">
        <w:rPr>
          <w:i/>
        </w:rPr>
        <w:t>Irrtum</w:t>
      </w:r>
      <w:r w:rsidR="00D01690">
        <w:rPr>
          <w:i/>
        </w:rPr>
        <w:fldChar w:fldCharType="begin"/>
      </w:r>
      <w:r w:rsidR="00D01690">
        <w:instrText xml:space="preserve"> XE "</w:instrText>
      </w:r>
      <w:r w:rsidR="00D01690" w:rsidRPr="00453B3F">
        <w:rPr>
          <w:i/>
        </w:rPr>
        <w:instrText>Irrtum</w:instrText>
      </w:r>
      <w:r w:rsidR="00D01690">
        <w:instrText xml:space="preserve">:analytická filosofie" </w:instrText>
      </w:r>
      <w:r w:rsidR="00D01690">
        <w:rPr>
          <w:i/>
        </w:rPr>
        <w:fldChar w:fldCharType="end"/>
      </w:r>
      <w:r w:rsidR="008C095F">
        <w:t xml:space="preserve"> anal</w:t>
      </w:r>
      <w:r w:rsidR="00AC1FBD">
        <w:t>y</w:t>
      </w:r>
      <w:r w:rsidR="00EC6453">
        <w:t>tické filosofie.</w:t>
      </w:r>
    </w:p>
    <w:p w14:paraId="4B9BF4B6" w14:textId="298E171F" w:rsidR="001D69A2" w:rsidRDefault="00CD4F74" w:rsidP="00CD4F74">
      <w:pPr>
        <w:ind w:firstLine="397"/>
      </w:pPr>
      <w:r w:rsidRPr="00CD4F74">
        <w:t>První princip poznání byl utvářen výskytem událostí ve skut</w:t>
      </w:r>
      <w:r>
        <w:t>ečnosti, viz Albertovy termíny „</w:t>
      </w:r>
      <w:r w:rsidRPr="08D91F67">
        <w:rPr>
          <w:i/>
        </w:rPr>
        <w:t>ex inmediatis</w:t>
      </w:r>
      <w:r>
        <w:t xml:space="preserve">, </w:t>
      </w:r>
      <w:r>
        <w:rPr>
          <w:i/>
        </w:rPr>
        <w:t>inmediate</w:t>
      </w:r>
      <w:r>
        <w:fldChar w:fldCharType="begin"/>
      </w:r>
      <w:r>
        <w:instrText xml:space="preserve"> XE "</w:instrText>
      </w:r>
      <w:r w:rsidRPr="005144C1">
        <w:instrText xml:space="preserve">princip </w:instrText>
      </w:r>
      <w:r>
        <w:rPr>
          <w:i/>
        </w:rPr>
        <w:instrText>ex in</w:instrText>
      </w:r>
      <w:r w:rsidRPr="00D03BD9">
        <w:rPr>
          <w:i/>
        </w:rPr>
        <w:instrText>mediatis</w:instrText>
      </w:r>
      <w:r>
        <w:instrText xml:space="preserve">" </w:instrText>
      </w:r>
      <w:r>
        <w:fldChar w:fldCharType="end"/>
      </w:r>
      <w:r>
        <w:t>“</w:t>
      </w:r>
      <w:r w:rsidRPr="00CD4F74">
        <w:t xml:space="preserve"> (kap. 2.4.1). Přešel ke Grossesteho formulac</w:t>
      </w:r>
      <w:r>
        <w:t>i „</w:t>
      </w:r>
      <w:r w:rsidRPr="00CD4F74">
        <w:rPr>
          <w:i/>
        </w:rPr>
        <w:t>inmediate</w:t>
      </w:r>
      <w:r>
        <w:t>“</w:t>
      </w:r>
      <w:r w:rsidRPr="00CD4F74">
        <w:t>, která vychází z druhé triády principů poznání (kap. 3.1.1).</w:t>
      </w:r>
      <w:r>
        <w:t xml:space="preserve"> </w:t>
      </w:r>
      <w:r w:rsidR="00524702">
        <w:t>Rufusův v</w:t>
      </w:r>
      <w:r w:rsidR="083256B9">
        <w:t xml:space="preserve">ýklad </w:t>
      </w:r>
      <w:r w:rsidR="083256B9" w:rsidRPr="083256B9">
        <w:rPr>
          <w:i/>
        </w:rPr>
        <w:t>Druhých analytik</w:t>
      </w:r>
      <w:r w:rsidR="00524702">
        <w:t xml:space="preserve"> zavedl mnohem hlubší zmatek.</w:t>
      </w:r>
      <w:r w:rsidR="00F4313F">
        <w:t xml:space="preserve"> </w:t>
      </w:r>
      <w:r w:rsidR="00BF3779" w:rsidRPr="00273106">
        <w:t xml:space="preserve">Radikalita nové definice </w:t>
      </w:r>
      <w:r w:rsidR="00BF3779">
        <w:t xml:space="preserve">poznání zakládající moderní vědu </w:t>
      </w:r>
      <w:r w:rsidR="00BF3779" w:rsidRPr="00273106">
        <w:t xml:space="preserve">spočívá v její </w:t>
      </w:r>
      <w:r w:rsidR="00BF3779">
        <w:t xml:space="preserve">falešné </w:t>
      </w:r>
      <w:r w:rsidR="00BF3779" w:rsidRPr="00273106">
        <w:t>ipseitě</w:t>
      </w:r>
      <w:r w:rsidR="00665111">
        <w:t xml:space="preserve"> pojaté v modu analytické filosofie</w:t>
      </w:r>
      <w:r w:rsidR="00BF3779" w:rsidRPr="00273106">
        <w:t xml:space="preserve">. Protože </w:t>
      </w:r>
      <w:r w:rsidR="00BF3779">
        <w:t xml:space="preserve">poznaná forma </w:t>
      </w:r>
      <w:r w:rsidR="00BF3779" w:rsidRPr="00273106">
        <w:t xml:space="preserve">je středním členem </w:t>
      </w:r>
      <w:r w:rsidR="00BF3779">
        <w:t xml:space="preserve">soudu </w:t>
      </w:r>
      <w:r w:rsidR="00BF3779" w:rsidRPr="00273106">
        <w:t xml:space="preserve">z hlediska </w:t>
      </w:r>
      <w:r w:rsidR="000A16AA">
        <w:t>pří</w:t>
      </w:r>
      <w:r w:rsidR="00BF3779">
        <w:t xml:space="preserve">mo nazírané </w:t>
      </w:r>
      <w:r w:rsidR="00BF3779" w:rsidRPr="00273106">
        <w:t>esenciality (</w:t>
      </w:r>
      <w:r w:rsidR="00BF3779" w:rsidRPr="00273106">
        <w:rPr>
          <w:i/>
        </w:rPr>
        <w:t>ipsum medium</w:t>
      </w:r>
      <w:r w:rsidR="00610F15">
        <w:rPr>
          <w:i/>
        </w:rPr>
        <w:fldChar w:fldCharType="begin"/>
      </w:r>
      <w:r w:rsidR="00610F15">
        <w:instrText xml:space="preserve"> XE "</w:instrText>
      </w:r>
      <w:r w:rsidR="00610F15" w:rsidRPr="001618A5">
        <w:rPr>
          <w:i/>
        </w:rPr>
        <w:instrText>medium:</w:instrText>
      </w:r>
      <w:r w:rsidR="009D0BDD">
        <w:instrText>Rufus</w:instrText>
      </w:r>
      <w:r w:rsidR="00610F15">
        <w:instrText xml:space="preserve">" </w:instrText>
      </w:r>
      <w:r w:rsidR="00610F15">
        <w:rPr>
          <w:i/>
        </w:rPr>
        <w:fldChar w:fldCharType="end"/>
      </w:r>
      <w:r w:rsidR="00BF3779" w:rsidRPr="00273106">
        <w:t xml:space="preserve">), </w:t>
      </w:r>
      <w:r w:rsidR="000A16AA">
        <w:t xml:space="preserve">pak </w:t>
      </w:r>
      <w:r w:rsidR="00BF3779" w:rsidRPr="00273106">
        <w:t>je i kauzou (</w:t>
      </w:r>
      <w:r w:rsidR="00BF3779" w:rsidRPr="00273106">
        <w:rPr>
          <w:i/>
        </w:rPr>
        <w:t>sive causa</w:t>
      </w:r>
      <w:r w:rsidR="00BF3779" w:rsidRPr="00273106">
        <w:t xml:space="preserve">). </w:t>
      </w:r>
      <w:r w:rsidR="00C64270">
        <w:t xml:space="preserve">Následující citát ukazuje </w:t>
      </w:r>
      <w:r w:rsidR="0822707A">
        <w:t xml:space="preserve">nové </w:t>
      </w:r>
      <w:r w:rsidR="001D69A2">
        <w:t xml:space="preserve">pojetí vědy </w:t>
      </w:r>
      <w:r w:rsidR="0822707A">
        <w:t xml:space="preserve">v analytickém modu </w:t>
      </w:r>
      <w:r w:rsidR="0822707A" w:rsidRPr="0822707A">
        <w:rPr>
          <w:i/>
        </w:rPr>
        <w:t>Unified Science</w:t>
      </w:r>
      <w:r w:rsidR="0822707A">
        <w:rPr>
          <w:i/>
        </w:rPr>
        <w:fldChar w:fldCharType="begin"/>
      </w:r>
      <w:r w:rsidR="0822707A">
        <w:instrText xml:space="preserve"> XE "</w:instrText>
      </w:r>
      <w:r w:rsidR="0822707A" w:rsidRPr="08875100">
        <w:rPr>
          <w:i/>
        </w:rPr>
        <w:instrText>Unified Science</w:instrText>
      </w:r>
      <w:r w:rsidR="0822707A">
        <w:instrText xml:space="preserve">" </w:instrText>
      </w:r>
      <w:r w:rsidR="0822707A">
        <w:rPr>
          <w:i/>
        </w:rPr>
        <w:fldChar w:fldCharType="end"/>
      </w:r>
      <w:r w:rsidR="0822707A">
        <w:t xml:space="preserve"> </w:t>
      </w:r>
      <w:r w:rsidR="0071512A">
        <w:t>dedukované z</w:t>
      </w:r>
      <w:r w:rsidR="001D69A2">
        <w:t xml:space="preserve"> </w:t>
      </w:r>
      <w:r w:rsidR="0071512A">
        <w:t xml:space="preserve">libovolně pojatého </w:t>
      </w:r>
      <w:r w:rsidR="0071512A" w:rsidRPr="0071512A">
        <w:rPr>
          <w:i/>
        </w:rPr>
        <w:t>scibile</w:t>
      </w:r>
      <w:r w:rsidR="00457C39">
        <w:t xml:space="preserve">. </w:t>
      </w:r>
    </w:p>
    <w:p w14:paraId="3907B5DF" w14:textId="1AB95A89" w:rsidR="002A7A0F" w:rsidRDefault="001D69A2" w:rsidP="002A7A0F">
      <w:pPr>
        <w:pStyle w:val="Citace"/>
        <w:rPr>
          <w:lang w:val="cs-CZ"/>
        </w:rPr>
      </w:pPr>
      <w:r w:rsidRPr="00AF2D36">
        <w:t>„</w:t>
      </w:r>
      <w:r w:rsidR="00C63A41">
        <w:rPr>
          <w:lang w:val="cs-CZ"/>
        </w:rPr>
        <w:t xml:space="preserve">K </w:t>
      </w:r>
      <w:r w:rsidR="002D3CFB">
        <w:rPr>
          <w:lang w:val="cs-CZ"/>
        </w:rPr>
        <w:t xml:space="preserve">ustavení </w:t>
      </w:r>
      <w:r>
        <w:rPr>
          <w:lang w:val="cs-CZ"/>
        </w:rPr>
        <w:t xml:space="preserve">vědy je vyžadováno a stačí </w:t>
      </w:r>
      <w:r w:rsidRPr="00AF2D36">
        <w:t xml:space="preserve"> </w:t>
      </w:r>
      <w:r>
        <w:rPr>
          <w:lang w:val="cs-CZ"/>
        </w:rPr>
        <w:t xml:space="preserve">existence toho, co je poznáváno a </w:t>
      </w:r>
      <w:r w:rsidR="009D78AC">
        <w:rPr>
          <w:lang w:val="cs-CZ"/>
        </w:rPr>
        <w:t xml:space="preserve">habituální </w:t>
      </w:r>
      <w:r>
        <w:rPr>
          <w:lang w:val="cs-CZ"/>
        </w:rPr>
        <w:t>schopnost poznání daná v subjektu (</w:t>
      </w:r>
      <w:r w:rsidRPr="001D69A2">
        <w:rPr>
          <w:i/>
        </w:rPr>
        <w:t>exigitur et sufficit exsistentia scientis et habitus scibilis</w:t>
      </w:r>
      <w:r>
        <w:rPr>
          <w:lang w:val="cs-CZ"/>
        </w:rPr>
        <w:t>). Věd</w:t>
      </w:r>
      <w:r w:rsidR="00D47D87">
        <w:rPr>
          <w:lang w:val="cs-CZ"/>
        </w:rPr>
        <w:t xml:space="preserve">a existuje, pokud jsou dány obě formy jsoucna </w:t>
      </w:r>
      <w:r>
        <w:rPr>
          <w:lang w:val="cs-CZ"/>
        </w:rPr>
        <w:t>(</w:t>
      </w:r>
      <w:r w:rsidR="080F11DA" w:rsidRPr="080F11DA">
        <w:rPr>
          <w:i/>
          <w:lang w:val="cs-CZ"/>
        </w:rPr>
        <w:t xml:space="preserve">his </w:t>
      </w:r>
      <w:r w:rsidR="080F11DA" w:rsidRPr="080F11DA">
        <w:rPr>
          <w:i/>
        </w:rPr>
        <w:t>enim</w:t>
      </w:r>
      <w:r w:rsidR="080F11DA" w:rsidRPr="00AF2D36">
        <w:t xml:space="preserve"> </w:t>
      </w:r>
      <w:r w:rsidRPr="001D69A2">
        <w:rPr>
          <w:i/>
        </w:rPr>
        <w:t>exsistentibus</w:t>
      </w:r>
      <w:r w:rsidR="005244B8">
        <w:rPr>
          <w:lang w:val="cs-CZ"/>
        </w:rPr>
        <w:t xml:space="preserve">). </w:t>
      </w:r>
      <w:r>
        <w:rPr>
          <w:lang w:val="cs-CZ"/>
        </w:rPr>
        <w:t xml:space="preserve">Výkon představivosti vychází z přítomnosti smyslového </w:t>
      </w:r>
      <w:r w:rsidR="004B4D52" w:rsidRPr="004B4D52">
        <w:rPr>
          <w:lang w:val="cs-CZ"/>
        </w:rPr>
        <w:t>species</w:t>
      </w:r>
      <w:r>
        <w:rPr>
          <w:lang w:val="cs-CZ"/>
        </w:rPr>
        <w:t xml:space="preserve"> daného v pře</w:t>
      </w:r>
      <w:r w:rsidR="002A7A0F">
        <w:rPr>
          <w:lang w:val="cs-CZ"/>
        </w:rPr>
        <w:t>dstavivosti (</w:t>
      </w:r>
      <w:r w:rsidR="002A7A0F" w:rsidRPr="002A7A0F">
        <w:rPr>
          <w:i/>
        </w:rPr>
        <w:t>ex praesentia speciei imaginabiliter</w:t>
      </w:r>
      <w:r w:rsidR="002A7A0F">
        <w:rPr>
          <w:lang w:val="cs-CZ"/>
        </w:rPr>
        <w:t>), který neexistuje v</w:t>
      </w:r>
      <w:r>
        <w:rPr>
          <w:lang w:val="cs-CZ"/>
        </w:rPr>
        <w:t xml:space="preserve"> reálné věci dan</w:t>
      </w:r>
      <w:r w:rsidR="005E3E05">
        <w:rPr>
          <w:lang w:val="cs-CZ"/>
        </w:rPr>
        <w:t>é mimo představivost. I</w:t>
      </w:r>
      <w:r>
        <w:rPr>
          <w:lang w:val="cs-CZ"/>
        </w:rPr>
        <w:t xml:space="preserve">ntelekt </w:t>
      </w:r>
      <w:r w:rsidR="005E3E05">
        <w:rPr>
          <w:lang w:val="cs-CZ"/>
        </w:rPr>
        <w:t xml:space="preserve">podobně </w:t>
      </w:r>
      <w:r>
        <w:rPr>
          <w:lang w:val="cs-CZ"/>
        </w:rPr>
        <w:t>zakládá pozná</w:t>
      </w:r>
      <w:r w:rsidR="00C16B48">
        <w:rPr>
          <w:lang w:val="cs-CZ"/>
        </w:rPr>
        <w:t>ní z přítomnosti inteligibilní</w:t>
      </w:r>
      <w:r>
        <w:rPr>
          <w:lang w:val="cs-CZ"/>
        </w:rPr>
        <w:t xml:space="preserve"> </w:t>
      </w:r>
      <w:r w:rsidR="004B4D52" w:rsidRPr="004B4D52">
        <w:rPr>
          <w:lang w:val="cs-CZ"/>
        </w:rPr>
        <w:t>species</w:t>
      </w:r>
      <w:r>
        <w:rPr>
          <w:lang w:val="cs-CZ"/>
        </w:rPr>
        <w:t xml:space="preserve"> </w:t>
      </w:r>
      <w:r w:rsidR="002A7A0F">
        <w:rPr>
          <w:lang w:val="cs-CZ"/>
        </w:rPr>
        <w:t>(</w:t>
      </w:r>
      <w:r w:rsidR="002A7A0F" w:rsidRPr="002A7A0F">
        <w:rPr>
          <w:i/>
        </w:rPr>
        <w:t>ex praesentia speciei intellectuali</w:t>
      </w:r>
      <w:r w:rsidR="002A7A0F">
        <w:rPr>
          <w:lang w:val="cs-CZ"/>
        </w:rPr>
        <w:t xml:space="preserve">) </w:t>
      </w:r>
      <w:r w:rsidR="00C16B48">
        <w:rPr>
          <w:lang w:val="cs-CZ"/>
        </w:rPr>
        <w:t>dané</w:t>
      </w:r>
      <w:r w:rsidR="00357C78">
        <w:rPr>
          <w:lang w:val="cs-CZ"/>
        </w:rPr>
        <w:t xml:space="preserve"> skrze int</w:t>
      </w:r>
      <w:r>
        <w:rPr>
          <w:lang w:val="cs-CZ"/>
        </w:rPr>
        <w:t>elektuální schopnost.“</w:t>
      </w:r>
      <w:r w:rsidR="002A7A0F">
        <w:rPr>
          <w:lang w:val="cs-CZ"/>
        </w:rPr>
        <w:t> </w:t>
      </w:r>
      <w:r w:rsidR="009A3F15" w:rsidRPr="00273106">
        <w:rPr>
          <w:rStyle w:val="Znakapoznpodarou"/>
        </w:rPr>
        <w:footnoteReference w:id="384"/>
      </w:r>
    </w:p>
    <w:p w14:paraId="49389A0B" w14:textId="28AADB6C" w:rsidR="007D5A3A" w:rsidRDefault="005244B8" w:rsidP="008A4AF2">
      <w:r>
        <w:t>Analytické pojetí vědy postavené na druhé triádě principů, potřebuje pro správné činění závěrů pouze existenci vědce a jeho habituální schopnost poznání (</w:t>
      </w:r>
      <w:r w:rsidRPr="00E27044">
        <w:rPr>
          <w:i/>
        </w:rPr>
        <w:t>sufficit</w:t>
      </w:r>
      <w:r>
        <w:t xml:space="preserve"> </w:t>
      </w:r>
      <w:r w:rsidRPr="00E27044">
        <w:rPr>
          <w:i/>
        </w:rPr>
        <w:t>exsistentia scientis et habitus scibilis</w:t>
      </w:r>
      <w:r>
        <w:t>). Toto pojetí hájil Erfurtský anonym proti Baconovi nastolením formální supozice (</w:t>
      </w:r>
      <w:r w:rsidRPr="00273106">
        <w:rPr>
          <w:i/>
        </w:rPr>
        <w:t>suppositio formalis</w:t>
      </w:r>
      <w:r>
        <w:rPr>
          <w:i/>
        </w:rPr>
        <w:fldChar w:fldCharType="begin"/>
      </w:r>
      <w:r>
        <w:instrText xml:space="preserve"> XE "</w:instrText>
      </w:r>
      <w:r w:rsidRPr="08873F61">
        <w:rPr>
          <w:i/>
        </w:rPr>
        <w:instrText>suppositio formalis</w:instrText>
      </w:r>
      <w:r>
        <w:instrText xml:space="preserve">" </w:instrText>
      </w:r>
      <w:r>
        <w:rPr>
          <w:i/>
        </w:rPr>
        <w:fldChar w:fldCharType="end"/>
      </w:r>
      <w:r>
        <w:t xml:space="preserve">) podle analytických logiků typu Sherwooda (3.4.3). </w:t>
      </w:r>
      <w:r w:rsidR="08514645">
        <w:t>Nová substance třetího druhu porretánsky „exsistuje“ přímo v realitě a pak je reprodukována v habituálním modu poznání (</w:t>
      </w:r>
      <w:r w:rsidR="08514645" w:rsidRPr="001D69A2">
        <w:rPr>
          <w:i/>
        </w:rPr>
        <w:t>habitus scibilis</w:t>
      </w:r>
      <w:r w:rsidR="08514645">
        <w:t>) vázanéh</w:t>
      </w:r>
      <w:r w:rsidR="00EF3A5D">
        <w:t>o na existenci moderních</w:t>
      </w:r>
      <w:r w:rsidR="08514645">
        <w:t xml:space="preserve"> vědc</w:t>
      </w:r>
      <w:r w:rsidR="00EF3A5D">
        <w:t>ů</w:t>
      </w:r>
      <w:r w:rsidR="08514645">
        <w:t xml:space="preserve"> (</w:t>
      </w:r>
      <w:r w:rsidR="08514645" w:rsidRPr="001D69A2">
        <w:rPr>
          <w:i/>
        </w:rPr>
        <w:t>exsistentia scientis</w:t>
      </w:r>
      <w:r w:rsidR="08514645">
        <w:t>)</w:t>
      </w:r>
      <w:r w:rsidR="08514645">
        <w:rPr>
          <w:i/>
        </w:rPr>
        <w:fldChar w:fldCharType="begin"/>
      </w:r>
      <w:r w:rsidR="08514645">
        <w:instrText xml:space="preserve"> XE "druhý averroismus:</w:instrText>
      </w:r>
      <w:r w:rsidR="08514645" w:rsidRPr="00AA4F67">
        <w:rPr>
          <w:i/>
        </w:rPr>
        <w:instrText>sci</w:instrText>
      </w:r>
      <w:r w:rsidR="08514645">
        <w:rPr>
          <w:i/>
        </w:rPr>
        <w:instrText>entia</w:instrText>
      </w:r>
      <w:r w:rsidR="08514645">
        <w:instrText xml:space="preserve">" </w:instrText>
      </w:r>
      <w:r w:rsidR="08514645">
        <w:rPr>
          <w:i/>
        </w:rPr>
        <w:fldChar w:fldCharType="end"/>
      </w:r>
      <w:r w:rsidR="08514645">
        <w:t>.</w:t>
      </w:r>
      <w:r w:rsidR="08514645" w:rsidRPr="00C64270">
        <w:t xml:space="preserve"> </w:t>
      </w:r>
      <w:r w:rsidR="009F59AE" w:rsidRPr="009F59AE">
        <w:t>Habitus vědce vytváří v duši hypostatickou dispozici k vyvozov</w:t>
      </w:r>
      <w:r w:rsidR="009F59AE">
        <w:t>ání kombinatorických závěrů. Tato hypostáze</w:t>
      </w:r>
      <w:r w:rsidR="009F59AE" w:rsidRPr="009F59AE">
        <w:t xml:space="preserve"> je později přetvořen</w:t>
      </w:r>
      <w:r w:rsidR="009F59AE">
        <w:t>a</w:t>
      </w:r>
      <w:r w:rsidR="009F59AE" w:rsidRPr="009F59AE">
        <w:t xml:space="preserve"> v tabulku postmoderních kategorií, které jsou u Kanta apriorními formami myšlení. Druhým zdrojem </w:t>
      </w:r>
      <w:r w:rsidR="00B70EE1">
        <w:t xml:space="preserve">poznání </w:t>
      </w:r>
      <w:r w:rsidR="009F59AE" w:rsidRPr="009F59AE">
        <w:t xml:space="preserve">je mytologická imaginace </w:t>
      </w:r>
      <w:r w:rsidR="009F59AE">
        <w:t>moderny, která vytváří dedukci „</w:t>
      </w:r>
      <w:r w:rsidR="009F59AE" w:rsidRPr="009F59AE">
        <w:rPr>
          <w:i/>
        </w:rPr>
        <w:t>ex praesentia speciei intellectuali</w:t>
      </w:r>
      <w:r w:rsidR="009F59AE">
        <w:t xml:space="preserve">“, což je další </w:t>
      </w:r>
      <w:r w:rsidR="009F59AE" w:rsidRPr="009F59AE">
        <w:t xml:space="preserve"> hypostatické individuum v myšlení. Základ moderní vědecké mytologie </w:t>
      </w:r>
      <w:r w:rsidR="009F59AE">
        <w:t xml:space="preserve">tedy tvoří </w:t>
      </w:r>
      <w:r w:rsidR="009F59AE" w:rsidRPr="009F59AE">
        <w:t xml:space="preserve">dva typy neexistujícího </w:t>
      </w:r>
      <w:r w:rsidR="009F59AE" w:rsidRPr="009F59AE">
        <w:rPr>
          <w:i/>
        </w:rPr>
        <w:t>tertium ens</w:t>
      </w:r>
      <w:r w:rsidR="009F59AE" w:rsidRPr="009F59AE">
        <w:t>.</w:t>
      </w:r>
      <w:r w:rsidR="009F59AE">
        <w:t xml:space="preserve"> </w:t>
      </w:r>
      <w:r w:rsidR="08B305CD">
        <w:t xml:space="preserve">Touto společnou přítomností objektivních </w:t>
      </w:r>
      <w:r w:rsidR="004B4D52" w:rsidRPr="004B4D52">
        <w:t>species</w:t>
      </w:r>
      <w:r w:rsidR="08B305CD">
        <w:t xml:space="preserve"> daný</w:t>
      </w:r>
      <w:r w:rsidR="080F3DF5">
        <w:t>ch</w:t>
      </w:r>
      <w:r w:rsidR="08B305CD">
        <w:t xml:space="preserve"> nejprve </w:t>
      </w:r>
      <w:r w:rsidR="080F3DF5">
        <w:t xml:space="preserve">v </w:t>
      </w:r>
      <w:r w:rsidR="08B305CD">
        <w:t>realitě (</w:t>
      </w:r>
      <w:r w:rsidR="08B305CD" w:rsidRPr="080F11DA">
        <w:rPr>
          <w:i/>
        </w:rPr>
        <w:t>his enim</w:t>
      </w:r>
      <w:r w:rsidR="08B305CD" w:rsidRPr="00AF2D36">
        <w:t xml:space="preserve"> </w:t>
      </w:r>
      <w:r w:rsidR="08B305CD" w:rsidRPr="001D69A2">
        <w:rPr>
          <w:i/>
        </w:rPr>
        <w:t>exsistentibus</w:t>
      </w:r>
      <w:r w:rsidR="08B305CD">
        <w:t>) a pak v mysli (</w:t>
      </w:r>
      <w:r w:rsidR="08B305CD" w:rsidRPr="08B305CD">
        <w:rPr>
          <w:i/>
        </w:rPr>
        <w:t>ex praesentia speciei intellectuali</w:t>
      </w:r>
      <w:r w:rsidR="08B305CD">
        <w:t>) vznikn</w:t>
      </w:r>
      <w:r w:rsidR="08514645">
        <w:t>e</w:t>
      </w:r>
      <w:r w:rsidR="08B305CD">
        <w:t xml:space="preserve"> nová forma univočně pojaté vědy </w:t>
      </w:r>
      <w:r w:rsidR="009F59AE">
        <w:t>jako a</w:t>
      </w:r>
      <w:r w:rsidR="08B305CD">
        <w:t>similace jsoucen třetího druhu</w:t>
      </w:r>
      <w:r w:rsidR="08514645">
        <w:t xml:space="preserve">. </w:t>
      </w:r>
      <w:r w:rsidR="08B01708">
        <w:t xml:space="preserve">Rufusovo sofisma tvoří původní </w:t>
      </w:r>
      <w:r w:rsidR="08857501">
        <w:t xml:space="preserve">zdroj </w:t>
      </w:r>
      <w:r w:rsidR="08B86FFB">
        <w:t xml:space="preserve">analytické </w:t>
      </w:r>
      <w:r w:rsidR="08857501">
        <w:t xml:space="preserve">formální supozice. </w:t>
      </w:r>
      <w:r w:rsidR="009A3F15" w:rsidRPr="00273106">
        <w:t>Esence obsahuje vše</w:t>
      </w:r>
      <w:r w:rsidR="00C373E7">
        <w:t xml:space="preserve">chna podstatná určení věci </w:t>
      </w:r>
      <w:r w:rsidR="009A3F15" w:rsidRPr="00273106">
        <w:t xml:space="preserve">jako </w:t>
      </w:r>
      <w:r w:rsidR="00C373E7">
        <w:t xml:space="preserve">porretánská </w:t>
      </w:r>
      <w:r w:rsidR="006D5086">
        <w:t>„</w:t>
      </w:r>
      <w:r w:rsidR="00C373E7">
        <w:t>substance</w:t>
      </w:r>
      <w:r w:rsidR="006D5086">
        <w:t>–</w:t>
      </w:r>
      <w:r w:rsidR="009A3F15" w:rsidRPr="00273106">
        <w:t>individuum</w:t>
      </w:r>
      <w:r w:rsidR="006D5086">
        <w:t>“</w:t>
      </w:r>
      <w:r w:rsidR="009A3F15" w:rsidRPr="00273106">
        <w:t xml:space="preserve">. </w:t>
      </w:r>
      <w:r w:rsidR="00DD7BAD">
        <w:t xml:space="preserve">Klíčové je určení </w:t>
      </w:r>
      <w:r w:rsidR="00DD7BAD" w:rsidRPr="00DD7BAD">
        <w:rPr>
          <w:i/>
        </w:rPr>
        <w:t>scibile</w:t>
      </w:r>
      <w:r w:rsidR="003B4FA7">
        <w:rPr>
          <w:i/>
        </w:rPr>
        <w:fldChar w:fldCharType="begin"/>
      </w:r>
      <w:r w:rsidR="003B4FA7">
        <w:instrText xml:space="preserve"> XE "</w:instrText>
      </w:r>
      <w:r w:rsidR="003B4FA7" w:rsidRPr="00AA4F67">
        <w:rPr>
          <w:i/>
        </w:rPr>
        <w:instrText>scibile</w:instrText>
      </w:r>
      <w:r w:rsidR="00B453A9">
        <w:instrText>:Rufus</w:instrText>
      </w:r>
      <w:r w:rsidR="003B4FA7">
        <w:instrText xml:space="preserve">" </w:instrText>
      </w:r>
      <w:r w:rsidR="003B4FA7">
        <w:rPr>
          <w:i/>
        </w:rPr>
        <w:fldChar w:fldCharType="end"/>
      </w:r>
      <w:r w:rsidR="00DD7BAD">
        <w:t xml:space="preserve"> jako nové formy atomární substance</w:t>
      </w:r>
      <w:r w:rsidR="00A70FA4">
        <w:fldChar w:fldCharType="begin"/>
      </w:r>
      <w:r w:rsidR="00A70FA4">
        <w:instrText xml:space="preserve"> XE "</w:instrText>
      </w:r>
      <w:r w:rsidR="00A70FA4" w:rsidRPr="00DE2A32">
        <w:instrText>substance</w:instrText>
      </w:r>
      <w:r w:rsidR="00B453A9">
        <w:instrText>:atomární</w:instrText>
      </w:r>
      <w:r w:rsidR="00A70FA4">
        <w:instrText xml:space="preserve">" </w:instrText>
      </w:r>
      <w:r w:rsidR="00A70FA4">
        <w:fldChar w:fldCharType="end"/>
      </w:r>
      <w:r w:rsidR="00DD7BAD">
        <w:t xml:space="preserve"> dané habituálně v mysli (</w:t>
      </w:r>
      <w:r w:rsidR="00DD7BAD" w:rsidRPr="00BF1B9B">
        <w:rPr>
          <w:i/>
        </w:rPr>
        <w:t>habitus scibilis</w:t>
      </w:r>
      <w:r w:rsidR="006D5086">
        <w:t xml:space="preserve">). Tento habitus „být moderním vědcem“ </w:t>
      </w:r>
      <w:r w:rsidR="00DD7BAD">
        <w:t>vytěsn</w:t>
      </w:r>
      <w:r w:rsidR="00FE7812">
        <w:t>il ze schématu vědeckého so</w:t>
      </w:r>
      <w:r w:rsidR="00DD7BAD">
        <w:t>ud</w:t>
      </w:r>
      <w:r w:rsidR="00FE7812">
        <w:t xml:space="preserve">u kauzalitu reálné </w:t>
      </w:r>
      <w:r w:rsidR="00DD7BAD">
        <w:t>p</w:t>
      </w:r>
      <w:r w:rsidR="00FE7812">
        <w:t>r</w:t>
      </w:r>
      <w:r w:rsidR="00DD7BAD">
        <w:t>vní substance</w:t>
      </w:r>
      <w:r w:rsidR="00B453A9">
        <w:fldChar w:fldCharType="begin"/>
      </w:r>
      <w:r w:rsidR="00B453A9">
        <w:instrText xml:space="preserve"> XE "</w:instrText>
      </w:r>
      <w:r w:rsidR="00B453A9" w:rsidRPr="004634E8">
        <w:instrText>kauzalita:objektivní</w:instrText>
      </w:r>
      <w:r w:rsidR="00B453A9">
        <w:instrText xml:space="preserve">" </w:instrText>
      </w:r>
      <w:r w:rsidR="00B453A9">
        <w:fldChar w:fldCharType="end"/>
      </w:r>
      <w:r w:rsidR="00DD7BAD">
        <w:t xml:space="preserve">. </w:t>
      </w:r>
      <w:r w:rsidR="00BE055C">
        <w:t xml:space="preserve">Je zřejmé, že klasičtí </w:t>
      </w:r>
      <w:r w:rsidR="00BE055C" w:rsidRPr="00BE055C">
        <w:t>aristotelici považovali takovou skupinu moderních iluminátů za uzavřenou sektu intelektuálních bláznů. Tento habitus objektivního vymývání mozků zdědil</w:t>
      </w:r>
      <w:r w:rsidR="00BE055C">
        <w:t>a</w:t>
      </w:r>
      <w:r w:rsidR="00BE055C" w:rsidRPr="00BE055C">
        <w:t xml:space="preserve"> vědeckou pospolitost v epoše akademického nihilismu</w:t>
      </w:r>
      <w:r w:rsidR="00D62FBC">
        <w:t xml:space="preserve">. </w:t>
      </w:r>
      <w:r w:rsidR="00D62FBC" w:rsidRPr="00D62FBC">
        <w:t>Sociolog Pierre Bourdieu</w:t>
      </w:r>
      <w:r w:rsidR="00D62FBC">
        <w:fldChar w:fldCharType="begin"/>
      </w:r>
      <w:r w:rsidR="00D62FBC">
        <w:instrText xml:space="preserve"> XE "</w:instrText>
      </w:r>
      <w:r w:rsidR="00D62FBC" w:rsidRPr="00A20BB7">
        <w:instrText>Bourdieu, P.</w:instrText>
      </w:r>
      <w:r w:rsidR="00D62FBC">
        <w:instrText xml:space="preserve">" </w:instrText>
      </w:r>
      <w:r w:rsidR="00D62FBC">
        <w:fldChar w:fldCharType="end"/>
      </w:r>
      <w:r w:rsidR="00D62FBC" w:rsidRPr="00D62FBC">
        <w:t xml:space="preserve"> nazývá subjekt této nereálné skupiny </w:t>
      </w:r>
      <w:r w:rsidR="00D62FBC">
        <w:t>titulem „</w:t>
      </w:r>
      <w:r w:rsidR="00D62FBC" w:rsidRPr="00D62FBC">
        <w:rPr>
          <w:i/>
        </w:rPr>
        <w:t>Homo academicus</w:t>
      </w:r>
      <w:r w:rsidR="00D62FBC">
        <w:t>“</w:t>
      </w:r>
      <w:r w:rsidR="00D62FBC" w:rsidRPr="00D62FBC">
        <w:t>.</w:t>
      </w:r>
      <w:r w:rsidR="00BE055C">
        <w:rPr>
          <w:rStyle w:val="Znakapoznpodarou"/>
          <w:szCs w:val="24"/>
        </w:rPr>
        <w:footnoteReference w:id="385"/>
      </w:r>
      <w:r w:rsidR="00BE055C">
        <w:t xml:space="preserve"> </w:t>
      </w:r>
      <w:r w:rsidR="00334E61" w:rsidRPr="00334E61">
        <w:t xml:space="preserve">Porretánské </w:t>
      </w:r>
      <w:r w:rsidR="00334E61" w:rsidRPr="00334E61">
        <w:rPr>
          <w:i/>
        </w:rPr>
        <w:t>individuum</w:t>
      </w:r>
      <w:r w:rsidR="00334E61" w:rsidRPr="00334E61">
        <w:t xml:space="preserve"> v realitě vůbec neexistuje, a navíc existence hyparchické první substance v realitě je pro novou vědu pouze náhodnou záležitostí. Rufusova</w:t>
      </w:r>
      <w:r w:rsidR="00334E61">
        <w:t xml:space="preserve"> </w:t>
      </w:r>
      <w:r w:rsidR="008A4AF2" w:rsidRPr="008A4AF2">
        <w:rPr>
          <w:i/>
        </w:rPr>
        <w:t>scibile</w:t>
      </w:r>
      <w:r w:rsidR="00DA7134">
        <w:t xml:space="preserve"> „</w:t>
      </w:r>
      <w:r w:rsidR="008A4AF2" w:rsidRPr="008A4AF2">
        <w:t>ex</w:t>
      </w:r>
      <w:r w:rsidR="008A4AF2">
        <w:t>sistují</w:t>
      </w:r>
      <w:r w:rsidR="00DA7134">
        <w:t>“</w:t>
      </w:r>
      <w:r w:rsidR="008A4AF2">
        <w:t xml:space="preserve"> v objektivním modu „</w:t>
      </w:r>
      <w:r w:rsidR="008A4AF2" w:rsidRPr="008A4AF2">
        <w:rPr>
          <w:i/>
        </w:rPr>
        <w:t>semel–semper</w:t>
      </w:r>
      <w:r w:rsidR="008A4AF2">
        <w:rPr>
          <w:i/>
        </w:rPr>
        <w:fldChar w:fldCharType="begin"/>
      </w:r>
      <w:r w:rsidR="008A4AF2">
        <w:instrText xml:space="preserve"> XE "</w:instrText>
      </w:r>
      <w:r w:rsidR="008A4AF2" w:rsidRPr="00BC7520">
        <w:rPr>
          <w:i/>
        </w:rPr>
        <w:instrText>semel–semper</w:instrText>
      </w:r>
      <w:r w:rsidR="008A4AF2">
        <w:instrText xml:space="preserve">" </w:instrText>
      </w:r>
      <w:r w:rsidR="008A4AF2">
        <w:rPr>
          <w:i/>
        </w:rPr>
        <w:fldChar w:fldCharType="end"/>
      </w:r>
      <w:r w:rsidR="008A4AF2">
        <w:t xml:space="preserve">“ v říši věčných forem. Hypostázované esence jako </w:t>
      </w:r>
      <w:r w:rsidR="008A4AF2" w:rsidRPr="00DA7134">
        <w:rPr>
          <w:i/>
        </w:rPr>
        <w:t>tertium ens</w:t>
      </w:r>
      <w:r w:rsidR="008A4AF2">
        <w:t xml:space="preserve"> mohou </w:t>
      </w:r>
      <w:r w:rsidR="008A4AF2" w:rsidRPr="008A4AF2">
        <w:t>se</w:t>
      </w:r>
      <w:r w:rsidR="008A4AF2">
        <w:t>stoupit do hylické hmoty, kde jsou</w:t>
      </w:r>
      <w:r w:rsidR="008A4AF2" w:rsidRPr="008A4AF2">
        <w:t xml:space="preserve"> konkr</w:t>
      </w:r>
      <w:r w:rsidR="008A4AF2">
        <w:t xml:space="preserve">etizována v hylemorfní substanci </w:t>
      </w:r>
      <w:r w:rsidR="00DC2FC6">
        <w:t>(</w:t>
      </w:r>
      <w:r w:rsidR="00DC2FC6" w:rsidRPr="00DC2FC6">
        <w:rPr>
          <w:i/>
        </w:rPr>
        <w:t>habet potestatem complendi materiam et faciendi individuum</w:t>
      </w:r>
      <w:r w:rsidR="00DC2FC6">
        <w:t>)</w:t>
      </w:r>
      <w:r w:rsidR="009A3F15" w:rsidRPr="00273106">
        <w:t>.</w:t>
      </w:r>
      <w:r w:rsidR="009A3F15" w:rsidRPr="00273106">
        <w:rPr>
          <w:rStyle w:val="Znakapoznpodarou"/>
        </w:rPr>
        <w:footnoteReference w:id="386"/>
      </w:r>
      <w:r w:rsidR="009A3F15" w:rsidRPr="00273106">
        <w:t xml:space="preserve"> </w:t>
      </w:r>
      <w:r w:rsidR="000771AF">
        <w:t>K</w:t>
      </w:r>
      <w:r w:rsidR="00497521">
        <w:t>auz</w:t>
      </w:r>
      <w:r w:rsidR="000771AF">
        <w:t>álně-</w:t>
      </w:r>
      <w:r w:rsidR="005F1171">
        <w:t xml:space="preserve">formální schéma </w:t>
      </w:r>
      <w:r w:rsidR="00357F2E">
        <w:t xml:space="preserve">nové substance </w:t>
      </w:r>
      <w:r w:rsidR="000771AF">
        <w:t xml:space="preserve">je dáno </w:t>
      </w:r>
      <w:r w:rsidR="005F1171">
        <w:t xml:space="preserve">v modu </w:t>
      </w:r>
      <w:r w:rsidR="005F1171" w:rsidRPr="005F1171">
        <w:rPr>
          <w:i/>
        </w:rPr>
        <w:t>Oxfordian Fallacy</w:t>
      </w:r>
      <w:r w:rsidR="00924399">
        <w:rPr>
          <w:i/>
        </w:rPr>
        <w:fldChar w:fldCharType="begin"/>
      </w:r>
      <w:r w:rsidR="00924399">
        <w:instrText xml:space="preserve"> XE "</w:instrText>
      </w:r>
      <w:r w:rsidR="00924399" w:rsidRPr="0015798D">
        <w:rPr>
          <w:i/>
        </w:rPr>
        <w:instrText>Oxfordian Fallacy:</w:instrText>
      </w:r>
      <w:r w:rsidR="00B453A9" w:rsidRPr="00B453A9">
        <w:instrText>kauzalita</w:instrText>
      </w:r>
      <w:r w:rsidR="00924399">
        <w:instrText xml:space="preserve">" </w:instrText>
      </w:r>
      <w:r w:rsidR="00924399">
        <w:rPr>
          <w:i/>
        </w:rPr>
        <w:fldChar w:fldCharType="end"/>
      </w:r>
      <w:r w:rsidR="001E48E4">
        <w:t xml:space="preserve">. Supozice této substance jako individua </w:t>
      </w:r>
      <w:r w:rsidR="08CB064C">
        <w:t xml:space="preserve">logicky </w:t>
      </w:r>
      <w:r w:rsidR="00497521">
        <w:t xml:space="preserve">nutně </w:t>
      </w:r>
      <w:r w:rsidR="08CB064C">
        <w:t xml:space="preserve">předpokládá </w:t>
      </w:r>
      <w:r w:rsidR="005F1171">
        <w:t xml:space="preserve">výskyt </w:t>
      </w:r>
      <w:r w:rsidR="08CB064C">
        <w:t xml:space="preserve">této substance třetího druhu </w:t>
      </w:r>
      <w:r w:rsidR="005F1171">
        <w:t xml:space="preserve">v reálu. </w:t>
      </w:r>
      <w:r w:rsidR="008E02F5">
        <w:t>Aristoteles</w:t>
      </w:r>
      <w:r w:rsidR="005F1171">
        <w:t xml:space="preserve"> by </w:t>
      </w:r>
      <w:r w:rsidR="00705062">
        <w:t xml:space="preserve">na to </w:t>
      </w:r>
      <w:r w:rsidR="005F1171">
        <w:t xml:space="preserve">řekl, že tato univoční záměna esence za existenci </w:t>
      </w:r>
      <w:r w:rsidR="00497521">
        <w:t xml:space="preserve">pro nutnost danou </w:t>
      </w:r>
      <w:r w:rsidR="00497521" w:rsidRPr="00497521">
        <w:rPr>
          <w:i/>
        </w:rPr>
        <w:t>simpliciter</w:t>
      </w:r>
      <w:r w:rsidR="00497521">
        <w:t xml:space="preserve"> </w:t>
      </w:r>
      <w:r w:rsidR="005F1171">
        <w:t xml:space="preserve">ve středním členu soudu platí jen pro abstrakci typu matematických a geometrických důkazů, ale nikoliv pro vědecké poznání astronomických jevů daných v reálu. Metafyzika jako </w:t>
      </w:r>
      <w:r w:rsidR="005F1171" w:rsidRPr="005F1171">
        <w:rPr>
          <w:i/>
        </w:rPr>
        <w:t>scientia prima</w:t>
      </w:r>
      <w:r w:rsidR="005F1171">
        <w:t xml:space="preserve"> nemůže vybudovat jednotu </w:t>
      </w:r>
      <w:r w:rsidR="007E052D">
        <w:t xml:space="preserve">jsoucna </w:t>
      </w:r>
      <w:r w:rsidR="005F1171">
        <w:t xml:space="preserve">na úrovni mentální </w:t>
      </w:r>
      <w:r w:rsidR="002D7095">
        <w:t>abstrak</w:t>
      </w:r>
      <w:r w:rsidR="005F1171">
        <w:t xml:space="preserve">ce, což představuje </w:t>
      </w:r>
      <w:r w:rsidR="000068F0">
        <w:t xml:space="preserve">podle prvního averroismu </w:t>
      </w:r>
      <w:r w:rsidR="007E052D">
        <w:t xml:space="preserve">základní </w:t>
      </w:r>
      <w:r w:rsidR="005F1171">
        <w:t xml:space="preserve">omyl </w:t>
      </w:r>
      <w:r w:rsidR="005F1171" w:rsidRPr="005F1171">
        <w:rPr>
          <w:i/>
        </w:rPr>
        <w:t>Modernorum</w:t>
      </w:r>
      <w:r w:rsidR="005F1171">
        <w:t xml:space="preserve">. </w:t>
      </w:r>
      <w:r w:rsidR="00461B30">
        <w:t>M</w:t>
      </w:r>
      <w:r w:rsidR="00DC2FC6">
        <w:t>odern</w:t>
      </w:r>
      <w:r w:rsidR="00461B30">
        <w:t xml:space="preserve">a vzala </w:t>
      </w:r>
      <w:r w:rsidR="009A3F15" w:rsidRPr="00273106">
        <w:t>identit</w:t>
      </w:r>
      <w:r w:rsidR="004D384B">
        <w:t>u</w:t>
      </w:r>
      <w:r w:rsidR="009A3F15" w:rsidRPr="00273106">
        <w:t xml:space="preserve"> středního členu </w:t>
      </w:r>
      <w:r w:rsidR="00B515E5">
        <w:t xml:space="preserve">jako porretánskou hypostázi v modu </w:t>
      </w:r>
      <w:r w:rsidR="009A3F15" w:rsidRPr="00273106">
        <w:rPr>
          <w:i/>
        </w:rPr>
        <w:t>per prius</w:t>
      </w:r>
      <w:r w:rsidR="00783C6B">
        <w:rPr>
          <w:i/>
        </w:rPr>
        <w:fldChar w:fldCharType="begin"/>
      </w:r>
      <w:r w:rsidR="00783C6B">
        <w:instrText xml:space="preserve"> XE "predikace:</w:instrText>
      </w:r>
      <w:r w:rsidR="00783C6B" w:rsidRPr="00D61BE3">
        <w:rPr>
          <w:i/>
        </w:rPr>
        <w:instrText>per prius</w:instrText>
      </w:r>
      <w:r w:rsidR="00783C6B">
        <w:instrText xml:space="preserve">" </w:instrText>
      </w:r>
      <w:r w:rsidR="00783C6B">
        <w:rPr>
          <w:i/>
        </w:rPr>
        <w:fldChar w:fldCharType="end"/>
      </w:r>
      <w:r w:rsidR="00B515E5">
        <w:t xml:space="preserve">. Tato hypostáze </w:t>
      </w:r>
      <w:r w:rsidR="00461B30">
        <w:t xml:space="preserve">je </w:t>
      </w:r>
      <w:r w:rsidR="00660E68">
        <w:t xml:space="preserve">esenciálně predikovanou </w:t>
      </w:r>
      <w:r w:rsidR="009A3F15" w:rsidRPr="00273106">
        <w:t>kauzou</w:t>
      </w:r>
      <w:r w:rsidR="002D7095">
        <w:t xml:space="preserve"> v abstrahovaném univočním modu</w:t>
      </w:r>
      <w:r w:rsidR="009A3F15" w:rsidRPr="00273106">
        <w:t xml:space="preserve">. </w:t>
      </w:r>
      <w:r w:rsidR="082C0318">
        <w:t xml:space="preserve">Logická identita má ale jinou formu hyparchického bytí než metafyzická ipseita. </w:t>
      </w:r>
      <w:r w:rsidR="007A1F6E">
        <w:t xml:space="preserve">Opět platí, že metafyzická impozice </w:t>
      </w:r>
      <w:r w:rsidR="007A1F6E" w:rsidRPr="007A1F6E">
        <w:t>není logick</w:t>
      </w:r>
      <w:r w:rsidR="007A1F6E">
        <w:t>á supozice</w:t>
      </w:r>
      <w:r w:rsidR="007A1F6E" w:rsidRPr="007A1F6E">
        <w:t>.</w:t>
      </w:r>
      <w:r w:rsidR="007A1F6E">
        <w:t xml:space="preserve"> </w:t>
      </w:r>
      <w:r w:rsidR="0092419C">
        <w:t xml:space="preserve">Podle Aristotela a </w:t>
      </w:r>
      <w:r w:rsidR="08C870B2">
        <w:t xml:space="preserve">podle </w:t>
      </w:r>
      <w:r w:rsidR="0092419C">
        <w:t xml:space="preserve">prvního averroismu </w:t>
      </w:r>
      <w:r w:rsidR="083D75B1">
        <w:t xml:space="preserve">hájeného Baconem proti Rufusovi </w:t>
      </w:r>
      <w:r w:rsidR="0092419C">
        <w:t xml:space="preserve">má </w:t>
      </w:r>
      <w:r w:rsidR="004752F9">
        <w:t xml:space="preserve">střední člen vědeckého soudu </w:t>
      </w:r>
      <w:r w:rsidR="0092419C">
        <w:t>vlastní ipseitu</w:t>
      </w:r>
      <w:r w:rsidR="00A7605C">
        <w:t xml:space="preserve">. Impozice je dána </w:t>
      </w:r>
      <w:r w:rsidR="0092419C">
        <w:t>spojením s reálnou kauzalitou prvních substancí</w:t>
      </w:r>
      <w:r w:rsidR="08F262AC">
        <w:t xml:space="preserve"> </w:t>
      </w:r>
      <w:r w:rsidR="08F262AC" w:rsidRPr="00273106">
        <w:t>(</w:t>
      </w:r>
      <w:r w:rsidR="08F262AC" w:rsidRPr="00273106">
        <w:rPr>
          <w:i/>
        </w:rPr>
        <w:t>hoc est universale per causalitatem</w:t>
      </w:r>
      <w:r w:rsidR="08E748AC">
        <w:t>, kap. 3</w:t>
      </w:r>
      <w:r w:rsidR="08F262AC" w:rsidRPr="08F262AC">
        <w:t>.2</w:t>
      </w:r>
      <w:r w:rsidR="08F262AC" w:rsidRPr="00273106">
        <w:t>).</w:t>
      </w:r>
      <w:r w:rsidR="0092419C">
        <w:t xml:space="preserve"> </w:t>
      </w:r>
      <w:r w:rsidR="00AB202B">
        <w:t>Aristote</w:t>
      </w:r>
      <w:r w:rsidR="083D46B1">
        <w:t xml:space="preserve">s </w:t>
      </w:r>
      <w:r w:rsidR="00AB202B">
        <w:t>drží c</w:t>
      </w:r>
      <w:r w:rsidR="00AB202B" w:rsidRPr="00273106">
        <w:t>entrální význam reality pro vědecké poznání ve středním členu demonstrativního soudu</w:t>
      </w:r>
      <w:r w:rsidR="08594799">
        <w:t xml:space="preserve"> v principu </w:t>
      </w:r>
      <w:r w:rsidR="08D91F67">
        <w:rPr>
          <w:i/>
        </w:rPr>
        <w:t>ex in</w:t>
      </w:r>
      <w:r w:rsidR="08594799" w:rsidRPr="08594799">
        <w:rPr>
          <w:i/>
        </w:rPr>
        <w:t>mediatis</w:t>
      </w:r>
      <w:r w:rsidR="00AB202B">
        <w:t xml:space="preserve">. Skrze </w:t>
      </w:r>
      <w:r w:rsidR="001A2AFF">
        <w:t xml:space="preserve">impozici </w:t>
      </w:r>
      <w:r w:rsidR="001A2AFF" w:rsidRPr="00273106">
        <w:t>reáln</w:t>
      </w:r>
      <w:r w:rsidR="001A2AFF">
        <w:t xml:space="preserve">é </w:t>
      </w:r>
      <w:r w:rsidR="001A2AFF" w:rsidRPr="00273106">
        <w:t>kauzalit</w:t>
      </w:r>
      <w:r w:rsidR="001A2AFF">
        <w:t xml:space="preserve">y v </w:t>
      </w:r>
      <w:r w:rsidR="00AB202B" w:rsidRPr="00E9288F">
        <w:rPr>
          <w:i/>
        </w:rPr>
        <w:t>medium</w:t>
      </w:r>
      <w:r w:rsidR="00AB202B">
        <w:rPr>
          <w:i/>
        </w:rPr>
        <w:fldChar w:fldCharType="begin"/>
      </w:r>
      <w:r w:rsidR="00AB202B">
        <w:instrText xml:space="preserve"> XE "</w:instrText>
      </w:r>
      <w:r w:rsidR="00AB202B" w:rsidRPr="001618A5">
        <w:rPr>
          <w:i/>
        </w:rPr>
        <w:instrText>medium:</w:instrText>
      </w:r>
      <w:r w:rsidR="00AB202B" w:rsidRPr="001618A5">
        <w:instrText>Albert</w:instrText>
      </w:r>
      <w:r w:rsidR="00AB202B">
        <w:instrText xml:space="preserve">" </w:instrText>
      </w:r>
      <w:r w:rsidR="00AB202B">
        <w:rPr>
          <w:i/>
        </w:rPr>
        <w:fldChar w:fldCharType="end"/>
      </w:r>
      <w:r w:rsidR="00AB202B">
        <w:t xml:space="preserve"> </w:t>
      </w:r>
      <w:r w:rsidR="001A2AFF">
        <w:t xml:space="preserve">deduktivního syllogismu </w:t>
      </w:r>
      <w:r w:rsidR="00AB202B" w:rsidRPr="00273106">
        <w:t>se potkávají univerzália a vzájemné působení prvních substancí</w:t>
      </w:r>
      <w:r w:rsidR="001A2AFF">
        <w:t xml:space="preserve"> v modu metafyzické korespondence</w:t>
      </w:r>
      <w:r w:rsidR="00AB202B" w:rsidRPr="00273106">
        <w:t>.</w:t>
      </w:r>
      <w:r w:rsidR="00AB202B">
        <w:t xml:space="preserve"> </w:t>
      </w:r>
      <w:r w:rsidR="0092419C">
        <w:t xml:space="preserve">Pak má termín </w:t>
      </w:r>
      <w:r w:rsidR="00A35405">
        <w:t>„</w:t>
      </w:r>
      <w:r w:rsidR="0092419C" w:rsidRPr="0092419C">
        <w:rPr>
          <w:i/>
        </w:rPr>
        <w:t>medium et causa idem</w:t>
      </w:r>
      <w:r w:rsidR="00A35405">
        <w:t>“</w:t>
      </w:r>
      <w:r w:rsidR="0092419C">
        <w:t xml:space="preserve"> v demonstrativním soudu dva rozdílné výklady </w:t>
      </w:r>
      <w:r w:rsidR="08D91381">
        <w:t xml:space="preserve">podle </w:t>
      </w:r>
      <w:r w:rsidR="08D91381" w:rsidRPr="0092419C">
        <w:rPr>
          <w:i/>
        </w:rPr>
        <w:t>Druhých analytik</w:t>
      </w:r>
      <w:r w:rsidR="00067FBF">
        <w:t xml:space="preserve">. </w:t>
      </w:r>
      <w:r w:rsidR="00067FBF" w:rsidRPr="00067FBF">
        <w:t>Existují dvě genericky odlišné hyparchick</w:t>
      </w:r>
      <w:r w:rsidR="00067FBF">
        <w:t>é povahy středního článku (medium</w:t>
      </w:r>
      <w:r w:rsidR="00067FBF" w:rsidRPr="00067FBF">
        <w:t xml:space="preserve">). Jelikož existuje </w:t>
      </w:r>
      <w:r w:rsidR="00BD005C">
        <w:t xml:space="preserve">dvojí </w:t>
      </w:r>
      <w:r w:rsidR="00067FBF" w:rsidRPr="00067FBF">
        <w:t xml:space="preserve">zcela odlišná metafyzická ipseita založená na hyparchické kausalitě a nutnosti, neexistuje </w:t>
      </w:r>
      <w:r w:rsidR="00067FBF">
        <w:t xml:space="preserve">společná </w:t>
      </w:r>
      <w:r w:rsidR="00067FBF" w:rsidRPr="00067FBF">
        <w:t>identita, která by mohla založit jednotný demon</w:t>
      </w:r>
      <w:r w:rsidR="00067FBF">
        <w:t>strativní důkaz. Pak je termín „</w:t>
      </w:r>
      <w:r w:rsidR="00067FBF" w:rsidRPr="00067FBF">
        <w:rPr>
          <w:i/>
        </w:rPr>
        <w:t>medium et causa idem</w:t>
      </w:r>
      <w:r w:rsidR="00067FBF">
        <w:t>“</w:t>
      </w:r>
      <w:r w:rsidR="00067FBF" w:rsidRPr="00067FBF">
        <w:t xml:space="preserve"> naprosto nepravdivý.</w:t>
      </w:r>
      <w:r w:rsidR="00067FBF">
        <w:t xml:space="preserve"> </w:t>
      </w:r>
      <w:r w:rsidR="08AA0CE1">
        <w:t xml:space="preserve">Obě možnosti se podle </w:t>
      </w:r>
      <w:r w:rsidR="08AA0CE1" w:rsidRPr="080C03A0">
        <w:rPr>
          <w:i/>
        </w:rPr>
        <w:t>Druhých analytik</w:t>
      </w:r>
      <w:r w:rsidR="08AA0CE1">
        <w:t xml:space="preserve"> vylučují v modu disjunkce a není mezi nimi možná konjunkce. </w:t>
      </w:r>
      <w:r w:rsidR="08D91381">
        <w:t xml:space="preserve">Buď je </w:t>
      </w:r>
      <w:r w:rsidR="08D91381" w:rsidRPr="08D91381">
        <w:rPr>
          <w:i/>
        </w:rPr>
        <w:t>medium</w:t>
      </w:r>
      <w:r w:rsidR="08D91381">
        <w:t xml:space="preserve"> predikováno p</w:t>
      </w:r>
      <w:r w:rsidR="0092419C">
        <w:t xml:space="preserve">odle identitární </w:t>
      </w:r>
      <w:r w:rsidR="0869524D">
        <w:t xml:space="preserve">logiky, kdy </w:t>
      </w:r>
      <w:r w:rsidR="08AB24EE">
        <w:t>impozice významu jde z logické nutnosti pojmů v mysli)</w:t>
      </w:r>
      <w:r w:rsidR="0869524D">
        <w:t>. N</w:t>
      </w:r>
      <w:r w:rsidR="0092419C">
        <w:t xml:space="preserve">ebo </w:t>
      </w:r>
      <w:r w:rsidR="08D91381">
        <w:t xml:space="preserve">podle </w:t>
      </w:r>
      <w:r w:rsidR="0092419C">
        <w:t>ipseitní metafyziky</w:t>
      </w:r>
      <w:r w:rsidR="0869524D">
        <w:t xml:space="preserve">, kdy </w:t>
      </w:r>
      <w:r w:rsidR="08AB24EE">
        <w:t>impozice významu jde z účinku reálné první substance</w:t>
      </w:r>
      <w:r w:rsidR="0092419C">
        <w:t xml:space="preserve">. Tím jsou dány i dvě pojetí pravdivosti </w:t>
      </w:r>
      <w:r w:rsidR="08075AFB">
        <w:t xml:space="preserve">(logická inference, metafyzická dedukce) </w:t>
      </w:r>
      <w:r w:rsidR="0092419C">
        <w:t>a dvě formy západní vědy</w:t>
      </w:r>
      <w:r w:rsidR="08075AFB">
        <w:t xml:space="preserve"> (přírodní a teoretické vědy)</w:t>
      </w:r>
      <w:r w:rsidR="003620F9">
        <w:t xml:space="preserve"> v rámci </w:t>
      </w:r>
      <w:r w:rsidR="003620F9" w:rsidRPr="004C17F4">
        <w:rPr>
          <w:i/>
          <w:szCs w:val="24"/>
        </w:rPr>
        <w:t>scientia prima</w:t>
      </w:r>
      <w:r w:rsidR="003620F9">
        <w:rPr>
          <w:i/>
          <w:szCs w:val="24"/>
        </w:rPr>
        <w:fldChar w:fldCharType="begin"/>
      </w:r>
      <w:r w:rsidR="003620F9">
        <w:instrText xml:space="preserve"> XE "</w:instrText>
      </w:r>
      <w:r w:rsidR="003620F9" w:rsidRPr="00C30039">
        <w:rPr>
          <w:i/>
          <w:szCs w:val="24"/>
        </w:rPr>
        <w:instrText>scientia prima</w:instrText>
      </w:r>
      <w:r w:rsidR="003620F9">
        <w:instrText xml:space="preserve">" </w:instrText>
      </w:r>
      <w:r w:rsidR="003620F9">
        <w:rPr>
          <w:i/>
          <w:szCs w:val="24"/>
        </w:rPr>
        <w:fldChar w:fldCharType="end"/>
      </w:r>
      <w:r w:rsidR="00FF086D">
        <w:t xml:space="preserve">. </w:t>
      </w:r>
      <w:r w:rsidR="002D7095">
        <w:t xml:space="preserve">Matematická identita daná abstraktně nahradila kauzální ipseitu reálné první substance. </w:t>
      </w:r>
      <w:r w:rsidR="005D4E3C">
        <w:t xml:space="preserve">Rufus jako první modernista tvrdí, že </w:t>
      </w:r>
      <w:r w:rsidR="009A3F15" w:rsidRPr="00273106">
        <w:t xml:space="preserve">deduktivní závěr </w:t>
      </w:r>
      <w:r w:rsidR="00F4019B">
        <w:t xml:space="preserve">přírodních věd </w:t>
      </w:r>
      <w:r w:rsidR="009A3F15" w:rsidRPr="00273106">
        <w:t xml:space="preserve">je možné učinit i mimo </w:t>
      </w:r>
      <w:r w:rsidR="003425C5">
        <w:t xml:space="preserve">reálnou </w:t>
      </w:r>
      <w:r w:rsidR="009A3F15" w:rsidRPr="00273106">
        <w:t xml:space="preserve">existenci </w:t>
      </w:r>
      <w:r w:rsidR="00A558B7">
        <w:t xml:space="preserve">kauzálně působící věci, protože </w:t>
      </w:r>
      <w:r w:rsidR="00452A11" w:rsidRPr="00273106">
        <w:t>trvalá esence</w:t>
      </w:r>
      <w:r w:rsidR="00452A11">
        <w:t xml:space="preserve"> </w:t>
      </w:r>
      <w:r w:rsidR="00452A11" w:rsidRPr="00273106">
        <w:t>supluje</w:t>
      </w:r>
      <w:r w:rsidR="00452A11">
        <w:t xml:space="preserve"> jedinečnou </w:t>
      </w:r>
      <w:r w:rsidR="00A558B7">
        <w:t xml:space="preserve">existenci a účinek </w:t>
      </w:r>
      <w:r w:rsidR="00D2753A">
        <w:t>první substance</w:t>
      </w:r>
      <w:r w:rsidR="009A3F15" w:rsidRPr="00273106">
        <w:t xml:space="preserve">. </w:t>
      </w:r>
      <w:r w:rsidR="00366D3E">
        <w:t xml:space="preserve">Opět došlo k </w:t>
      </w:r>
      <w:r w:rsidR="00D2753A">
        <w:t>t</w:t>
      </w:r>
      <w:r w:rsidR="00366D3E">
        <w:t>o</w:t>
      </w:r>
      <w:r w:rsidR="00D2753A">
        <w:t xml:space="preserve">mu, že impozice </w:t>
      </w:r>
      <w:r w:rsidR="08745AEC">
        <w:t xml:space="preserve">univerzality a nutnosti </w:t>
      </w:r>
      <w:r w:rsidR="00366D3E">
        <w:t xml:space="preserve">z reality se změnila na </w:t>
      </w:r>
      <w:r w:rsidR="08745AEC">
        <w:t xml:space="preserve">logickou </w:t>
      </w:r>
      <w:r w:rsidR="00366D3E">
        <w:t>supozici</w:t>
      </w:r>
      <w:r w:rsidR="00D2753A">
        <w:t xml:space="preserve"> pojatou </w:t>
      </w:r>
      <w:r w:rsidR="081E039D" w:rsidRPr="081E039D">
        <w:rPr>
          <w:i/>
        </w:rPr>
        <w:t>absolute</w:t>
      </w:r>
      <w:r w:rsidR="081E039D">
        <w:t xml:space="preserve"> </w:t>
      </w:r>
      <w:r w:rsidR="00D2753A">
        <w:t xml:space="preserve">v </w:t>
      </w:r>
      <w:r w:rsidR="08E1084C">
        <w:t>porretánsko-analytické predikaci</w:t>
      </w:r>
      <w:r w:rsidR="081E039D" w:rsidRPr="081E039D">
        <w:t xml:space="preserve"> </w:t>
      </w:r>
      <w:r w:rsidR="081E039D">
        <w:t>oddělené od reality</w:t>
      </w:r>
      <w:r w:rsidR="004E2BC4">
        <w:rPr>
          <w:rStyle w:val="addmd"/>
          <w:i/>
        </w:rPr>
        <w:fldChar w:fldCharType="begin"/>
      </w:r>
      <w:r w:rsidR="004E2BC4">
        <w:instrText xml:space="preserve"> XE "predikace</w:instrText>
      </w:r>
      <w:r w:rsidR="004E2BC4" w:rsidRPr="002A5D70">
        <w:instrText>:</w:instrText>
      </w:r>
      <w:r w:rsidR="004E2BC4">
        <w:instrText xml:space="preserve">modus </w:instrText>
      </w:r>
      <w:r w:rsidR="004E2BC4" w:rsidRPr="008D23BF">
        <w:rPr>
          <w:i/>
        </w:rPr>
        <w:instrText>absolute</w:instrText>
      </w:r>
      <w:r w:rsidR="004E2BC4">
        <w:instrText xml:space="preserve">" </w:instrText>
      </w:r>
      <w:r w:rsidR="004E2BC4">
        <w:rPr>
          <w:rStyle w:val="addmd"/>
          <w:i/>
        </w:rPr>
        <w:fldChar w:fldCharType="end"/>
      </w:r>
      <w:r w:rsidR="00D2753A">
        <w:t xml:space="preserve">. </w:t>
      </w:r>
      <w:r w:rsidR="00366D3E">
        <w:t>Správnost a jistota druhého</w:t>
      </w:r>
      <w:r w:rsidR="009A3F15" w:rsidRPr="00273106">
        <w:t xml:space="preserve"> averroismu </w:t>
      </w:r>
      <w:r w:rsidR="00366D3E">
        <w:t>má absolutní charakt</w:t>
      </w:r>
      <w:r w:rsidR="001A5A9D">
        <w:t>er</w:t>
      </w:r>
      <w:r w:rsidR="08C63346">
        <w:t>, což je v případě poznání reality čistá paranoia</w:t>
      </w:r>
      <w:r w:rsidR="007D5A3A">
        <w:t>.</w:t>
      </w:r>
    </w:p>
    <w:p w14:paraId="77D8F7FC" w14:textId="4D4E760F" w:rsidR="082C30BD" w:rsidRPr="00EF3A5D" w:rsidRDefault="004E658D" w:rsidP="00775FDC">
      <w:pPr>
        <w:ind w:firstLine="397"/>
      </w:pPr>
      <w:r w:rsidRPr="004E658D">
        <w:t>Modernismus</w:t>
      </w:r>
      <w:r w:rsidR="00261A39">
        <w:t xml:space="preserve"> </w:t>
      </w:r>
      <w:r>
        <w:t>založený filosofickým dogmatikem</w:t>
      </w:r>
      <w:r w:rsidRPr="004E658D">
        <w:t xml:space="preserve"> a latinským sofistou Ruf</w:t>
      </w:r>
      <w:r>
        <w:t>us</w:t>
      </w:r>
      <w:r w:rsidRPr="004E658D">
        <w:t xml:space="preserve">em nevyžaduje žádnou </w:t>
      </w:r>
      <w:r w:rsidR="00604F05">
        <w:t xml:space="preserve">reálnou </w:t>
      </w:r>
      <w:r w:rsidRPr="004E658D">
        <w:t>substanci k tomu, aby proces poznání probíhal deduktivním způsobem podle metafyzické hyparchické nutnosti.</w:t>
      </w:r>
      <w:r>
        <w:t xml:space="preserve"> </w:t>
      </w:r>
      <w:r w:rsidR="00CC51AF">
        <w:t>M</w:t>
      </w:r>
      <w:r w:rsidR="001A5A9D">
        <w:t xml:space="preserve">ysl </w:t>
      </w:r>
      <w:r>
        <w:t xml:space="preserve">iluminátů </w:t>
      </w:r>
      <w:r w:rsidR="001A5A9D">
        <w:t xml:space="preserve">potřebuje </w:t>
      </w:r>
      <w:r w:rsidR="0031008C">
        <w:t xml:space="preserve">pro </w:t>
      </w:r>
      <w:r w:rsidR="00343ABD" w:rsidRPr="00343ABD">
        <w:rPr>
          <w:i/>
        </w:rPr>
        <w:t>demonstratio</w:t>
      </w:r>
      <w:r w:rsidR="007A6052">
        <w:rPr>
          <w:i/>
        </w:rPr>
        <w:fldChar w:fldCharType="begin"/>
      </w:r>
      <w:r w:rsidR="007A6052">
        <w:instrText xml:space="preserve"> XE "</w:instrText>
      </w:r>
      <w:r w:rsidR="007A6052" w:rsidRPr="004E6075">
        <w:rPr>
          <w:i/>
        </w:rPr>
        <w:instrText>demonstratio:</w:instrText>
      </w:r>
      <w:r w:rsidR="002E3B62">
        <w:instrText>Averroes</w:instrText>
      </w:r>
      <w:r w:rsidR="007A6052">
        <w:instrText xml:space="preserve">" </w:instrText>
      </w:r>
      <w:r w:rsidR="007A6052">
        <w:rPr>
          <w:i/>
        </w:rPr>
        <w:fldChar w:fldCharType="end"/>
      </w:r>
      <w:r w:rsidR="00343ABD">
        <w:t xml:space="preserve"> reálnou první substanci </w:t>
      </w:r>
      <w:r w:rsidR="001A5A9D">
        <w:t>jen akcidentálně</w:t>
      </w:r>
      <w:r w:rsidR="009A3F15" w:rsidRPr="00273106">
        <w:t xml:space="preserve">. Toto pojetí </w:t>
      </w:r>
      <w:r w:rsidR="00210982">
        <w:t xml:space="preserve">dedukce </w:t>
      </w:r>
      <w:r w:rsidR="009A3F15" w:rsidRPr="00273106">
        <w:t>je přímo odvozené od Avicenny, který chápe první moment poznání jako intuitivní uchopení kauzality vyjádřené středním členem soudu (</w:t>
      </w:r>
      <w:r w:rsidR="08E748AC">
        <w:t xml:space="preserve">OBJ I, </w:t>
      </w:r>
      <w:r w:rsidR="009A3F15" w:rsidRPr="00273106">
        <w:t xml:space="preserve">kap. 2.3.1). </w:t>
      </w:r>
      <w:r w:rsidR="00990FA4" w:rsidRPr="00273106">
        <w:t xml:space="preserve">Rufus znal klasický aristotelský výklad </w:t>
      </w:r>
      <w:r w:rsidR="00990FA4" w:rsidRPr="00093250">
        <w:rPr>
          <w:i/>
        </w:rPr>
        <w:t>Analytik</w:t>
      </w:r>
      <w:r w:rsidR="00990FA4" w:rsidRPr="00273106">
        <w:t xml:space="preserve"> a </w:t>
      </w:r>
      <w:r w:rsidR="00990FA4" w:rsidRPr="00093250">
        <w:rPr>
          <w:i/>
        </w:rPr>
        <w:t>Kategorií</w:t>
      </w:r>
      <w:r w:rsidR="00DA7B4F">
        <w:t xml:space="preserve">, protože jeho </w:t>
      </w:r>
      <w:r w:rsidR="00A4625B">
        <w:t>komentář na jiných místech jasně rozlišuje mody bytí první a druhé substance.</w:t>
      </w:r>
      <w:r w:rsidR="00990FA4" w:rsidRPr="00273106">
        <w:rPr>
          <w:rStyle w:val="Znakapoznpodarou"/>
        </w:rPr>
        <w:footnoteReference w:id="387"/>
      </w:r>
      <w:r w:rsidR="00990FA4" w:rsidRPr="00273106">
        <w:t xml:space="preserve"> </w:t>
      </w:r>
      <w:r w:rsidR="08741D08" w:rsidRPr="00273106">
        <w:t xml:space="preserve">Sofistické spojení </w:t>
      </w:r>
      <w:r w:rsidR="08741D08">
        <w:t xml:space="preserve">dvojí univerzality a nutnosti je vázané na moderní mix reálné substance a logické esence v analytickém pojetí vědy. Toto metafyzicky mylné spojení je vyjádřeno výrokem </w:t>
      </w:r>
      <w:r w:rsidR="08741D08" w:rsidRPr="000205C2">
        <w:rPr>
          <w:i/>
        </w:rPr>
        <w:t>medium et causa idem</w:t>
      </w:r>
      <w:r w:rsidR="08741D08">
        <w:rPr>
          <w:i/>
        </w:rPr>
        <w:fldChar w:fldCharType="begin"/>
      </w:r>
      <w:r w:rsidR="08741D08">
        <w:instrText xml:space="preserve"> XE "</w:instrText>
      </w:r>
      <w:r w:rsidR="08741D08" w:rsidRPr="001618A5">
        <w:rPr>
          <w:i/>
        </w:rPr>
        <w:instrText>medium:</w:instrText>
      </w:r>
      <w:r w:rsidR="08741D08" w:rsidRPr="00D4214C">
        <w:instrText>Rufus</w:instrText>
      </w:r>
      <w:r w:rsidR="08741D08">
        <w:instrText xml:space="preserve">" </w:instrText>
      </w:r>
      <w:r w:rsidR="08741D08">
        <w:rPr>
          <w:i/>
        </w:rPr>
        <w:fldChar w:fldCharType="end"/>
      </w:r>
      <w:r w:rsidR="08741D08">
        <w:rPr>
          <w:i/>
        </w:rPr>
        <w:t xml:space="preserve"> </w:t>
      </w:r>
      <w:r w:rsidR="08741D08" w:rsidRPr="08F94C3F">
        <w:t>a v</w:t>
      </w:r>
      <w:r w:rsidR="08741D08">
        <w:t>zniklo vědomým rozhodnutím Rufuse.</w:t>
      </w:r>
      <w:r w:rsidR="08741D08" w:rsidRPr="08B96B1A">
        <w:rPr>
          <w:szCs w:val="24"/>
        </w:rPr>
        <w:t xml:space="preserve"> </w:t>
      </w:r>
      <w:r w:rsidR="083D3A7A">
        <w:t xml:space="preserve">Jeho sofisma </w:t>
      </w:r>
      <w:r w:rsidR="00990FA4" w:rsidRPr="00273106">
        <w:t>vytvořil</w:t>
      </w:r>
      <w:r w:rsidR="083D3A7A">
        <w:t xml:space="preserve">o univoční systém jsoucna postavený mimo klasickou metafyziku, což odsoudil Bacon. </w:t>
      </w:r>
      <w:r w:rsidR="089A324F" w:rsidRPr="00273106">
        <w:t xml:space="preserve">Univoční záměna kauzy a media je z hlediska aristotelsky pojatých </w:t>
      </w:r>
      <w:r w:rsidR="089A324F" w:rsidRPr="00497AB3">
        <w:rPr>
          <w:i/>
        </w:rPr>
        <w:t>Druhých analytik</w:t>
      </w:r>
      <w:r w:rsidR="089A324F" w:rsidRPr="00273106">
        <w:t xml:space="preserve"> vyloučena, protože kauza je dána </w:t>
      </w:r>
      <w:r w:rsidR="089A324F" w:rsidRPr="00273106">
        <w:rPr>
          <w:i/>
        </w:rPr>
        <w:t>simpliciter</w:t>
      </w:r>
      <w:r w:rsidR="089A324F" w:rsidRPr="00273106">
        <w:t xml:space="preserve"> v reálu a </w:t>
      </w:r>
      <w:r w:rsidR="089A324F" w:rsidRPr="00273106">
        <w:rPr>
          <w:i/>
        </w:rPr>
        <w:t>universaliter</w:t>
      </w:r>
      <w:r w:rsidR="085400D1">
        <w:t xml:space="preserve"> v soudu. Metafyzická abstrakce musí tyto odlišné významy adekvátně predikovat</w:t>
      </w:r>
      <w:r w:rsidR="08C9068F">
        <w:t xml:space="preserve"> v modu </w:t>
      </w:r>
      <w:r w:rsidR="082A724F">
        <w:t xml:space="preserve">metafyzického </w:t>
      </w:r>
      <w:r w:rsidR="08C9068F">
        <w:t xml:space="preserve">dativu, v němž </w:t>
      </w:r>
      <w:r w:rsidR="08DD46C3">
        <w:t>jedinečné bytí prvn</w:t>
      </w:r>
      <w:r w:rsidR="08C9068F">
        <w:t>í</w:t>
      </w:r>
      <w:r w:rsidR="082A724F">
        <w:t xml:space="preserve"> substan</w:t>
      </w:r>
      <w:r w:rsidR="08C9068F">
        <w:t>ce přechází do středního členu soudu (</w:t>
      </w:r>
      <w:r w:rsidR="08C9068F" w:rsidRPr="00273106">
        <w:t>ἐν τῷ τί ἐστιν ὑπάρχουσιν</w:t>
      </w:r>
      <w:r w:rsidR="08C9068F">
        <w:t xml:space="preserve">, </w:t>
      </w:r>
      <w:r w:rsidR="08C9068F" w:rsidRPr="081865FB">
        <w:rPr>
          <w:i/>
        </w:rPr>
        <w:t>Anal. Post</w:t>
      </w:r>
      <w:r w:rsidR="08C9068F">
        <w:t>. 84a13</w:t>
      </w:r>
      <w:r w:rsidR="08C9068F">
        <w:fldChar w:fldCharType="begin"/>
      </w:r>
      <w:r w:rsidR="08C9068F">
        <w:instrText xml:space="preserve"> XE "Aristoteles:</w:instrText>
      </w:r>
      <w:r w:rsidR="08C9068F" w:rsidRPr="001B2AC8">
        <w:rPr>
          <w:i/>
        </w:rPr>
        <w:instrText>Anal. Post</w:instrText>
      </w:r>
      <w:r w:rsidR="08C9068F">
        <w:instrText xml:space="preserve">. 84a13" </w:instrText>
      </w:r>
      <w:r w:rsidR="08C9068F">
        <w:fldChar w:fldCharType="end"/>
      </w:r>
      <w:r w:rsidR="08C9068F">
        <w:t>)</w:t>
      </w:r>
      <w:r w:rsidR="085400D1">
        <w:t>.</w:t>
      </w:r>
      <w:r w:rsidR="08C9068F">
        <w:t xml:space="preserve"> </w:t>
      </w:r>
      <w:r w:rsidR="089A324F" w:rsidRPr="00273106">
        <w:t xml:space="preserve">Oxfordský sofista zakládá proces redukce nutnosti na její původní základ daný </w:t>
      </w:r>
      <w:r w:rsidR="089A324F" w:rsidRPr="00273106">
        <w:rPr>
          <w:i/>
        </w:rPr>
        <w:t>simpliciter</w:t>
      </w:r>
      <w:r w:rsidR="089A324F">
        <w:t xml:space="preserve">, ale na </w:t>
      </w:r>
      <w:r w:rsidR="089A324F" w:rsidRPr="00273106">
        <w:t xml:space="preserve">úrovni pouhé </w:t>
      </w:r>
      <w:r w:rsidR="08AE5AC0">
        <w:t xml:space="preserve">logické </w:t>
      </w:r>
      <w:r w:rsidR="089A324F" w:rsidRPr="00273106">
        <w:t xml:space="preserve">abstrakce. Původ tohoto postupu najdeme u Grossetesteho a </w:t>
      </w:r>
      <w:r w:rsidR="089A324F">
        <w:t xml:space="preserve">termínu </w:t>
      </w:r>
      <w:r w:rsidR="089A324F" w:rsidRPr="00273106">
        <w:rPr>
          <w:i/>
        </w:rPr>
        <w:t>resolutio</w:t>
      </w:r>
      <w:r w:rsidR="089A324F">
        <w:rPr>
          <w:i/>
        </w:rPr>
        <w:fldChar w:fldCharType="begin"/>
      </w:r>
      <w:r w:rsidR="089A324F">
        <w:instrText xml:space="preserve"> XE "</w:instrText>
      </w:r>
      <w:r w:rsidR="089A324F" w:rsidRPr="00111E9E">
        <w:rPr>
          <w:i/>
        </w:rPr>
        <w:instrText>resolutio</w:instrText>
      </w:r>
      <w:r w:rsidR="089A324F">
        <w:rPr>
          <w:i/>
        </w:rPr>
        <w:instrText>:</w:instrText>
      </w:r>
      <w:r w:rsidR="089A324F" w:rsidRPr="007D3515">
        <w:instrText>Rufus</w:instrText>
      </w:r>
      <w:r w:rsidR="089A324F">
        <w:instrText xml:space="preserve">" </w:instrText>
      </w:r>
      <w:r w:rsidR="089A324F">
        <w:rPr>
          <w:i/>
        </w:rPr>
        <w:fldChar w:fldCharType="end"/>
      </w:r>
      <w:r w:rsidR="089A324F" w:rsidRPr="00273106">
        <w:t xml:space="preserve"> od Filipa </w:t>
      </w:r>
      <w:r w:rsidR="089A324F">
        <w:t>K</w:t>
      </w:r>
      <w:r w:rsidR="089A324F" w:rsidRPr="00273106">
        <w:t>ancléře, který v téže době učil v Paříži k</w:t>
      </w:r>
      <w:r w:rsidR="08D4591C">
        <w:t>onverzi transcendentálií (kap. 2</w:t>
      </w:r>
      <w:r w:rsidR="089A324F" w:rsidRPr="00273106">
        <w:t>.3</w:t>
      </w:r>
      <w:r w:rsidR="089A324F">
        <w:t>.2</w:t>
      </w:r>
      <w:r w:rsidR="089A324F" w:rsidRPr="00273106">
        <w:t xml:space="preserve">). </w:t>
      </w:r>
      <w:r w:rsidR="082C30BD">
        <w:t xml:space="preserve">Rufus přebírá od </w:t>
      </w:r>
      <w:r w:rsidR="082C30BD" w:rsidRPr="00273106">
        <w:t xml:space="preserve">Grossetesteho </w:t>
      </w:r>
      <w:r w:rsidR="082C30BD">
        <w:t>dvojí pojetí p</w:t>
      </w:r>
      <w:r w:rsidR="082C30BD" w:rsidRPr="00273106">
        <w:t xml:space="preserve">oznání </w:t>
      </w:r>
      <w:r w:rsidR="082C30BD">
        <w:t xml:space="preserve">v přímém náhledu </w:t>
      </w:r>
      <w:r w:rsidR="082C30BD" w:rsidRPr="00273106">
        <w:t>intelektu</w:t>
      </w:r>
      <w:r w:rsidR="082C30BD">
        <w:t xml:space="preserve"> na čistou formu (</w:t>
      </w:r>
      <w:r w:rsidR="082C30BD" w:rsidRPr="004D6767">
        <w:rPr>
          <w:i/>
        </w:rPr>
        <w:t>intellectus</w:t>
      </w:r>
      <w:r w:rsidR="082C30BD">
        <w:t>)</w:t>
      </w:r>
      <w:r w:rsidR="082C30BD" w:rsidRPr="00273106">
        <w:t>, na roz</w:t>
      </w:r>
      <w:r w:rsidR="082C30BD">
        <w:t xml:space="preserve">díl od empiricky zjištěných závěrů </w:t>
      </w:r>
      <w:r w:rsidR="082C30BD" w:rsidRPr="00273106">
        <w:t>(</w:t>
      </w:r>
      <w:r w:rsidR="082C30BD" w:rsidRPr="00273106">
        <w:rPr>
          <w:i/>
        </w:rPr>
        <w:t>scientia</w:t>
      </w:r>
      <w:r w:rsidR="082C30BD" w:rsidRPr="00273106">
        <w:t xml:space="preserve">). </w:t>
      </w:r>
      <w:r w:rsidR="082C30BD">
        <w:t>Přímá intuice hypostázované příčiny třetího druhu</w:t>
      </w:r>
      <w:r w:rsidR="082C30BD" w:rsidRPr="00273106">
        <w:t xml:space="preserve"> </w:t>
      </w:r>
      <w:r w:rsidR="082C30BD">
        <w:t>(</w:t>
      </w:r>
      <w:r w:rsidR="082C30BD" w:rsidRPr="0020407C">
        <w:rPr>
          <w:i/>
        </w:rPr>
        <w:t>scibile</w:t>
      </w:r>
      <w:r w:rsidR="082C30BD">
        <w:rPr>
          <w:i/>
        </w:rPr>
        <w:fldChar w:fldCharType="begin"/>
      </w:r>
      <w:r w:rsidR="082C30BD">
        <w:instrText xml:space="preserve"> XE "</w:instrText>
      </w:r>
      <w:r w:rsidR="082C30BD" w:rsidRPr="00AE7BA9">
        <w:rPr>
          <w:i/>
        </w:rPr>
        <w:instrText>scibile</w:instrText>
      </w:r>
      <w:r w:rsidR="082C30BD">
        <w:instrText xml:space="preserve">:druhý averroismus" </w:instrText>
      </w:r>
      <w:r w:rsidR="082C30BD">
        <w:rPr>
          <w:i/>
        </w:rPr>
        <w:fldChar w:fldCharType="end"/>
      </w:r>
      <w:r w:rsidR="082C30BD">
        <w:t xml:space="preserve">) </w:t>
      </w:r>
      <w:r w:rsidR="082C30BD" w:rsidRPr="00273106">
        <w:t xml:space="preserve">stojí mimo empiricky pozorovaná fakta. </w:t>
      </w:r>
      <w:r w:rsidR="00C54648" w:rsidRPr="00C54648">
        <w:t xml:space="preserve">Modernisté podřídili kauzální realitu hylemorfních substancí spekulativně </w:t>
      </w:r>
      <w:r w:rsidR="00EC7965">
        <w:t xml:space="preserve">poznané </w:t>
      </w:r>
      <w:r w:rsidR="00C54648" w:rsidRPr="00C54648">
        <w:t>nutnosti.</w:t>
      </w:r>
      <w:r w:rsidR="00C54648">
        <w:t xml:space="preserve"> </w:t>
      </w:r>
      <w:r w:rsidR="082C30BD" w:rsidRPr="00273106">
        <w:t xml:space="preserve">Nutnost </w:t>
      </w:r>
      <w:r w:rsidR="082C30BD">
        <w:t xml:space="preserve">vědy </w:t>
      </w:r>
      <w:r w:rsidR="082C30BD" w:rsidRPr="00273106">
        <w:t xml:space="preserve">zakládá druhá triáda formálních principů poznání, a ne </w:t>
      </w:r>
      <w:r w:rsidR="08634F25">
        <w:t xml:space="preserve">predikace založená na </w:t>
      </w:r>
      <w:r w:rsidR="082C30BD" w:rsidRPr="00273106">
        <w:t>reálné interakc</w:t>
      </w:r>
      <w:r w:rsidR="08634F25">
        <w:t>i</w:t>
      </w:r>
      <w:r w:rsidR="082C30BD" w:rsidRPr="00273106">
        <w:t xml:space="preserve"> prvních substancí. Realita představuje </w:t>
      </w:r>
      <w:r w:rsidR="085A5FAE">
        <w:t xml:space="preserve">pro analytický výklad </w:t>
      </w:r>
      <w:r w:rsidR="082C30BD" w:rsidRPr="00273106">
        <w:t xml:space="preserve">pouhý akcident, čili </w:t>
      </w:r>
      <w:r w:rsidR="082C30BD" w:rsidRPr="00273106">
        <w:rPr>
          <w:i/>
        </w:rPr>
        <w:t>ad hoc</w:t>
      </w:r>
      <w:r w:rsidR="082C30BD" w:rsidRPr="00273106">
        <w:t xml:space="preserve"> daný výskyt formálně dané esence nebo hypostáze. Poznání v rámci </w:t>
      </w:r>
      <w:r w:rsidR="08F47215">
        <w:t xml:space="preserve">analytického </w:t>
      </w:r>
      <w:r w:rsidR="082C30BD" w:rsidRPr="00273106">
        <w:t xml:space="preserve">poznávacího </w:t>
      </w:r>
      <w:r w:rsidR="082C30BD">
        <w:t>sylo</w:t>
      </w:r>
      <w:r w:rsidR="082C30BD" w:rsidRPr="00273106">
        <w:t>gismu nazírá působení dané příčiny přímo a univočně, protože univerzální esence předchází kontingentní existenci první substance. Kauzalita se stala porretánskou hypostází a</w:t>
      </w:r>
      <w:r w:rsidR="082C30BD">
        <w:t xml:space="preserve"> novým jsoucnem třetího druhu. R</w:t>
      </w:r>
      <w:r w:rsidR="082C30BD" w:rsidRPr="00273106">
        <w:t>eálný svět funguje v moderně a v postmoderně jako pouhý případek demiurgického myšlení</w:t>
      </w:r>
      <w:r w:rsidR="082C30BD">
        <w:t>, které přímo nazírá hypostázovaná jsoucna třetího druhu</w:t>
      </w:r>
      <w:r w:rsidR="082C30BD" w:rsidRPr="00273106">
        <w:t xml:space="preserve">. To by první averroismus nikdy nepřipustil, protože zná </w:t>
      </w:r>
      <w:r w:rsidR="08304FB6">
        <w:t xml:space="preserve">hyparchickou </w:t>
      </w:r>
      <w:r w:rsidR="082C30BD" w:rsidRPr="00273106">
        <w:t xml:space="preserve">diferenci mezi první substancí danou </w:t>
      </w:r>
      <w:r w:rsidR="082C30BD" w:rsidRPr="00273106">
        <w:rPr>
          <w:i/>
        </w:rPr>
        <w:t>simpliciter</w:t>
      </w:r>
      <w:r w:rsidR="082C30BD" w:rsidRPr="00273106">
        <w:t xml:space="preserve"> v reálu a mezi druhou substancí danou </w:t>
      </w:r>
      <w:r w:rsidR="082C30BD" w:rsidRPr="00273106">
        <w:rPr>
          <w:i/>
        </w:rPr>
        <w:t>universaliter</w:t>
      </w:r>
      <w:r w:rsidR="082C30BD" w:rsidRPr="00273106">
        <w:t xml:space="preserve"> v kategoriálním soudu. Druhý averroismus pod vedením Rufuse radikalizoval Grossetesteho výklad </w:t>
      </w:r>
      <w:r w:rsidR="082C30BD" w:rsidRPr="00F63778">
        <w:rPr>
          <w:i/>
        </w:rPr>
        <w:t>Druhých analytik</w:t>
      </w:r>
      <w:r w:rsidR="082C30BD" w:rsidRPr="00273106">
        <w:t xml:space="preserve"> směrem </w:t>
      </w:r>
      <w:r w:rsidR="08397F7D">
        <w:t xml:space="preserve">k </w:t>
      </w:r>
      <w:r w:rsidR="082C30BD" w:rsidRPr="00273106">
        <w:t xml:space="preserve">porretánskému avicennismu. Rufus a jeho škola už nevidí žádný podstatný rozdíl mezi konstruktem mysli a mezi interakcí prvních substancí v realitě, což by </w:t>
      </w:r>
      <w:r w:rsidR="082C30BD">
        <w:t xml:space="preserve">nikdy </w:t>
      </w:r>
      <w:r w:rsidR="082C30BD" w:rsidRPr="00273106">
        <w:t>nepřipustil</w:t>
      </w:r>
      <w:r w:rsidR="08292C65">
        <w:t xml:space="preserve"> </w:t>
      </w:r>
      <w:r w:rsidR="082C30BD" w:rsidRPr="00273106">
        <w:t xml:space="preserve">Grosseteste </w:t>
      </w:r>
      <w:r w:rsidR="082C30BD">
        <w:t>inspirovaný Averroesem</w:t>
      </w:r>
      <w:r w:rsidR="082C30BD" w:rsidRPr="00273106">
        <w:t>.</w:t>
      </w:r>
      <w:r w:rsidR="082C30BD">
        <w:t xml:space="preserve"> </w:t>
      </w:r>
      <w:r w:rsidR="080D17DA" w:rsidRPr="00273106">
        <w:t xml:space="preserve">Bacon si dobře všiml </w:t>
      </w:r>
      <w:r w:rsidR="080D17DA">
        <w:t>z</w:t>
      </w:r>
      <w:r w:rsidR="082C30BD" w:rsidRPr="00273106">
        <w:t>ákladních změn v pojetí vědy a statutu substance v přechodu od Grossetesteho k</w:t>
      </w:r>
      <w:r w:rsidR="080D17DA">
        <w:t xml:space="preserve">e škole </w:t>
      </w:r>
      <w:r w:rsidR="082C30BD" w:rsidRPr="00273106">
        <w:rPr>
          <w:i/>
        </w:rPr>
        <w:t>Modernorum</w:t>
      </w:r>
      <w:r w:rsidR="082C30BD">
        <w:fldChar w:fldCharType="begin"/>
      </w:r>
      <w:r w:rsidR="082C30BD">
        <w:instrText xml:space="preserve"> XE "druhý averroi</w:instrText>
      </w:r>
      <w:r w:rsidR="082C30BD" w:rsidRPr="00053649">
        <w:instrText>s</w:instrText>
      </w:r>
      <w:r w:rsidR="082C30BD">
        <w:instrText>m</w:instrText>
      </w:r>
      <w:r w:rsidR="082C30BD" w:rsidRPr="00053649">
        <w:instrText>us:kritika Bacona</w:instrText>
      </w:r>
      <w:r w:rsidR="082C30BD">
        <w:instrText xml:space="preserve">" </w:instrText>
      </w:r>
      <w:r w:rsidR="082C30BD">
        <w:fldChar w:fldCharType="end"/>
      </w:r>
      <w:r w:rsidR="082C30BD" w:rsidRPr="00273106">
        <w:t xml:space="preserve">. Prohlásil Rufuse za </w:t>
      </w:r>
      <w:r w:rsidR="082C30BD">
        <w:t xml:space="preserve">zakladatele akademické sekty </w:t>
      </w:r>
      <w:r w:rsidR="08601E89">
        <w:t xml:space="preserve">modernistů </w:t>
      </w:r>
      <w:r w:rsidR="082C30BD" w:rsidRPr="00273106">
        <w:t xml:space="preserve">a </w:t>
      </w:r>
      <w:r w:rsidR="082C30BD">
        <w:t xml:space="preserve">přesně </w:t>
      </w:r>
      <w:r w:rsidR="082C30BD" w:rsidRPr="00273106">
        <w:t xml:space="preserve">určil </w:t>
      </w:r>
      <w:r w:rsidR="082C30BD">
        <w:t xml:space="preserve">rokem </w:t>
      </w:r>
      <w:r w:rsidR="082C30BD" w:rsidRPr="00273106">
        <w:t xml:space="preserve">1250 </w:t>
      </w:r>
      <w:r w:rsidR="082C30BD">
        <w:t xml:space="preserve">začátek epochálního působení </w:t>
      </w:r>
      <w:r w:rsidR="082C30BD" w:rsidRPr="00273106">
        <w:t xml:space="preserve">jeho sofistiky </w:t>
      </w:r>
      <w:r w:rsidR="08397F7D">
        <w:t>v</w:t>
      </w:r>
      <w:r w:rsidR="08397F7D" w:rsidRPr="00273106">
        <w:t xml:space="preserve"> Oxfordu </w:t>
      </w:r>
      <w:r w:rsidR="08D4591C">
        <w:t>(kap. 3</w:t>
      </w:r>
      <w:r w:rsidR="082C30BD" w:rsidRPr="00273106">
        <w:t xml:space="preserve">.2). Hermeneutika ukazuje, že změna v pojetí reality a poznání je dána už v Rufusových aristotelských přednáškách a komentářích </w:t>
      </w:r>
      <w:r w:rsidR="000B4342">
        <w:t xml:space="preserve">před rokem </w:t>
      </w:r>
      <w:r w:rsidR="082C30BD" w:rsidRPr="00273106">
        <w:t>1235</w:t>
      </w:r>
      <w:r w:rsidR="08FE6CC8">
        <w:t xml:space="preserve">. </w:t>
      </w:r>
      <w:r w:rsidR="000B4342" w:rsidRPr="000B4342">
        <w:t>Gros</w:t>
      </w:r>
      <w:r w:rsidR="000B4342">
        <w:t xml:space="preserve">seteste nemohl tolerovat takovou </w:t>
      </w:r>
      <w:r w:rsidR="0050186E">
        <w:t>sofistiku</w:t>
      </w:r>
      <w:r w:rsidR="000B4342" w:rsidRPr="000B4342">
        <w:t xml:space="preserve"> ve své univerzitní koleji</w:t>
      </w:r>
      <w:r w:rsidR="00291986">
        <w:t>.</w:t>
      </w:r>
      <w:r w:rsidR="000B4342" w:rsidRPr="000B4342">
        <w:t xml:space="preserve"> Rufus vstoupi</w:t>
      </w:r>
      <w:r w:rsidR="000B4342">
        <w:t>l</w:t>
      </w:r>
      <w:r w:rsidR="000B4342" w:rsidRPr="000B4342">
        <w:t xml:space="preserve"> do františkánského řádu </w:t>
      </w:r>
      <w:r w:rsidR="000B4342">
        <w:t xml:space="preserve">a byl okamžitě poslán do Paříže. </w:t>
      </w:r>
      <w:r w:rsidR="08FE6CC8">
        <w:t xml:space="preserve">Baconem datovaná </w:t>
      </w:r>
      <w:r w:rsidR="082C30BD" w:rsidRPr="005E4168">
        <w:rPr>
          <w:i/>
        </w:rPr>
        <w:t>Wirkungsgeschichte</w:t>
      </w:r>
      <w:r w:rsidR="082C30BD">
        <w:rPr>
          <w:i/>
        </w:rPr>
        <w:fldChar w:fldCharType="begin"/>
      </w:r>
      <w:r w:rsidR="082C30BD">
        <w:instrText xml:space="preserve"> XE "</w:instrText>
      </w:r>
      <w:r w:rsidR="082C30BD" w:rsidRPr="00DB735E">
        <w:rPr>
          <w:i/>
        </w:rPr>
        <w:instrText>Wirkungsgeschichte</w:instrText>
      </w:r>
      <w:r w:rsidR="082C30BD">
        <w:instrText xml:space="preserve">" </w:instrText>
      </w:r>
      <w:r w:rsidR="082C30BD">
        <w:rPr>
          <w:i/>
        </w:rPr>
        <w:fldChar w:fldCharType="end"/>
      </w:r>
      <w:r w:rsidR="082C30BD">
        <w:t xml:space="preserve"> moderny z hlediska plné odkrytosti jejích dějin běží od roku 1250, kdy Rufus začal přednášet v Oxfordu</w:t>
      </w:r>
      <w:r w:rsidR="082C30BD" w:rsidRPr="00273106">
        <w:t xml:space="preserve">. </w:t>
      </w:r>
      <w:r w:rsidR="08BF28EA">
        <w:t xml:space="preserve">V tomto roce Fúrie jako božské síly primordiálního chaosu dostaly domovské právo na Oxfordské univerzitě a staly se moderními silami osvíceného rozumu. </w:t>
      </w:r>
      <w:r w:rsidR="08F322A8">
        <w:t xml:space="preserve">Jejich </w:t>
      </w:r>
      <w:r w:rsidR="00C64AC3">
        <w:t>kvazi-božský akademický h</w:t>
      </w:r>
      <w:r w:rsidR="08F322A8">
        <w:t xml:space="preserve">abitus dostal sekulární habitat skrze Rufusovu verzi </w:t>
      </w:r>
      <w:r w:rsidR="08F322A8" w:rsidRPr="08F322A8">
        <w:rPr>
          <w:i/>
        </w:rPr>
        <w:t>Oxfordian Fallacy</w:t>
      </w:r>
      <w:r w:rsidR="08F322A8">
        <w:t xml:space="preserve">. </w:t>
      </w:r>
      <w:r w:rsidR="0802740C">
        <w:t>Ale nestaly se z nich usmířené bohyně podle Aischylova dramatu</w:t>
      </w:r>
      <w:r w:rsidR="0802740C" w:rsidRPr="0802740C">
        <w:t xml:space="preserve"> </w:t>
      </w:r>
      <w:r w:rsidR="0802740C" w:rsidRPr="0802740C">
        <w:rPr>
          <w:i/>
        </w:rPr>
        <w:t>Eumenidy</w:t>
      </w:r>
      <w:r w:rsidR="00006E9D">
        <w:t xml:space="preserve">. Hybris iluminátů v jeho </w:t>
      </w:r>
      <w:r w:rsidR="00006E9D" w:rsidRPr="00006E9D">
        <w:t>době stál</w:t>
      </w:r>
      <w:r w:rsidR="00006E9D">
        <w:t>a</w:t>
      </w:r>
      <w:r w:rsidR="00006E9D" w:rsidRPr="00006E9D">
        <w:t xml:space="preserve"> na samém počátku moderní tragédie a </w:t>
      </w:r>
      <w:r w:rsidR="00006E9D">
        <w:t xml:space="preserve">občané polis </w:t>
      </w:r>
      <w:r w:rsidR="00006E9D" w:rsidRPr="00006E9D">
        <w:t>měl</w:t>
      </w:r>
      <w:r w:rsidR="00006E9D">
        <w:t>i</w:t>
      </w:r>
      <w:r w:rsidR="00006E9D" w:rsidRPr="00006E9D">
        <w:t xml:space="preserve"> dostatek moudrosti, aby ji </w:t>
      </w:r>
      <w:r w:rsidR="00006E9D">
        <w:t xml:space="preserve">kolektivně </w:t>
      </w:r>
      <w:r w:rsidR="00006E9D" w:rsidRPr="00006E9D">
        <w:t>zastavil</w:t>
      </w:r>
      <w:r w:rsidR="00006E9D">
        <w:t>i</w:t>
      </w:r>
      <w:r w:rsidR="00006E9D" w:rsidRPr="00006E9D">
        <w:t>.</w:t>
      </w:r>
      <w:r w:rsidR="00AA21EE">
        <w:t xml:space="preserve"> </w:t>
      </w:r>
      <w:r w:rsidR="00AA21EE" w:rsidRPr="00AA21EE">
        <w:t>Latinské křesťanství nebylo tak moudré jako Falsafa, která zastavila invazi avicenistické moderny.</w:t>
      </w:r>
      <w:r w:rsidR="00775FDC">
        <w:t xml:space="preserve"> Analytická predikace</w:t>
      </w:r>
      <w:r w:rsidR="00775FDC" w:rsidRPr="00775FDC">
        <w:t xml:space="preserve"> univerzality a nutnosti založila období západního intelektuálního šílenství (</w:t>
      </w:r>
      <w:r w:rsidR="00775FDC" w:rsidRPr="00775FDC">
        <w:rPr>
          <w:i/>
        </w:rPr>
        <w:t>Irre</w:t>
      </w:r>
      <w:r w:rsidR="00775FDC" w:rsidRPr="00775FDC">
        <w:t xml:space="preserve">), které začalo prostřednictvím </w:t>
      </w:r>
      <w:r w:rsidR="00775FDC" w:rsidRPr="00775FDC">
        <w:rPr>
          <w:i/>
        </w:rPr>
        <w:t>via Modernorum</w:t>
      </w:r>
      <w:r w:rsidR="00775FDC" w:rsidRPr="00775FDC">
        <w:t xml:space="preserve">. Došlo k destrukci metafyziky jako </w:t>
      </w:r>
      <w:r w:rsidR="00775FDC" w:rsidRPr="00775FDC">
        <w:rPr>
          <w:i/>
        </w:rPr>
        <w:t>scientia prima</w:t>
      </w:r>
      <w:r w:rsidR="00775FDC" w:rsidRPr="00775FDC">
        <w:t>, která zanikla při náporu moderního nihilismu.</w:t>
      </w:r>
      <w:r w:rsidR="00775FDC">
        <w:t xml:space="preserve"> </w:t>
      </w:r>
      <w:r w:rsidR="08936172">
        <w:t xml:space="preserve">A metafyzický nihilismus </w:t>
      </w:r>
      <w:r w:rsidR="00775FDC">
        <w:t xml:space="preserve">potřebuje </w:t>
      </w:r>
      <w:r w:rsidR="08936172">
        <w:t xml:space="preserve">moderní subjekt, protože klasická první věda podle Aristotela odmítla věřit na mytopoetické </w:t>
      </w:r>
      <w:r w:rsidR="00124622">
        <w:t xml:space="preserve">pohádky </w:t>
      </w:r>
      <w:r w:rsidR="00124622" w:rsidRPr="00124622">
        <w:rPr>
          <w:i/>
        </w:rPr>
        <w:t>Oxfordian Fallacy</w:t>
      </w:r>
      <w:r w:rsidR="08936172">
        <w:t xml:space="preserve">. </w:t>
      </w:r>
      <w:r w:rsidR="007C1146">
        <w:t xml:space="preserve">Nihilistický </w:t>
      </w:r>
      <w:r w:rsidR="089A324F">
        <w:t>humanismus</w:t>
      </w:r>
      <w:r w:rsidR="089A324F">
        <w:rPr>
          <w:i/>
        </w:rPr>
        <w:fldChar w:fldCharType="begin"/>
      </w:r>
      <w:r w:rsidR="089A324F">
        <w:instrText xml:space="preserve"> XE "humanismus:objektivní" </w:instrText>
      </w:r>
      <w:r w:rsidR="089A324F">
        <w:rPr>
          <w:i/>
        </w:rPr>
        <w:fldChar w:fldCharType="end"/>
      </w:r>
      <w:r w:rsidR="089A324F">
        <w:t xml:space="preserve"> definující člověka jako specifickou mrtvolu vybavenou různými hypostázemi a přívlastky přešel do fáze historického působení</w:t>
      </w:r>
      <w:r w:rsidR="0031128E">
        <w:t xml:space="preserve"> moderní</w:t>
      </w:r>
      <w:r w:rsidR="089A324F">
        <w:t xml:space="preserve"> západní vědy. Spekulativní vědecké poznání oddělené od reality a kauzality prvních substancí </w:t>
      </w:r>
      <w:r w:rsidR="003D7BA2">
        <w:t xml:space="preserve">vytvořilo první objekt moderních humanitních věd </w:t>
      </w:r>
      <w:r w:rsidR="089A324F">
        <w:t>po roce 1300</w:t>
      </w:r>
      <w:r w:rsidR="003D7BA2">
        <w:t xml:space="preserve">. To </w:t>
      </w:r>
      <w:r w:rsidR="089A324F">
        <w:t xml:space="preserve">byly čarodějnice a čarodějníci </w:t>
      </w:r>
      <w:r w:rsidR="08D34790">
        <w:t xml:space="preserve">zkoumaní a upalovaní podle vědecké metodologie </w:t>
      </w:r>
      <w:r w:rsidR="088C3069">
        <w:t xml:space="preserve">nových humanitních věd </w:t>
      </w:r>
      <w:r w:rsidR="08A51F9C">
        <w:t>řízenýc</w:t>
      </w:r>
      <w:r w:rsidR="08292C58">
        <w:t xml:space="preserve">h objektivně vzdělanými </w:t>
      </w:r>
      <w:r w:rsidR="08A51F9C">
        <w:t xml:space="preserve">Fúriemi </w:t>
      </w:r>
      <w:r w:rsidR="089A324F">
        <w:t>(</w:t>
      </w:r>
      <w:r w:rsidR="08D4591C">
        <w:t>OBJ III, kap. 5</w:t>
      </w:r>
      <w:r w:rsidR="089A324F">
        <w:t xml:space="preserve">.5). </w:t>
      </w:r>
      <w:r w:rsidR="00990FA4" w:rsidRPr="00273106">
        <w:t xml:space="preserve">Volba pro univocitu první a druhé substance představuje </w:t>
      </w:r>
      <w:r w:rsidR="00BF2361">
        <w:t xml:space="preserve">generační </w:t>
      </w:r>
      <w:r w:rsidR="00990FA4" w:rsidRPr="00273106">
        <w:t xml:space="preserve">rozhodnutí mladých oxfordských </w:t>
      </w:r>
      <w:r w:rsidR="00107FD3" w:rsidRPr="00273106">
        <w:t>učenců</w:t>
      </w:r>
      <w:r w:rsidR="00990FA4" w:rsidRPr="00273106">
        <w:t xml:space="preserve">, </w:t>
      </w:r>
      <w:r w:rsidR="002A4571">
        <w:t>kteří byli Rufusovi současníci (</w:t>
      </w:r>
      <w:r w:rsidR="002A4571" w:rsidRPr="002A4571">
        <w:rPr>
          <w:i/>
        </w:rPr>
        <w:t>Moderni</w:t>
      </w:r>
      <w:r w:rsidR="002A4571">
        <w:t xml:space="preserve">). </w:t>
      </w:r>
      <w:r w:rsidR="00107FD3" w:rsidRPr="00273106">
        <w:t xml:space="preserve">Albert pojmenovává </w:t>
      </w:r>
      <w:r w:rsidR="00EE4B50">
        <w:t xml:space="preserve">tuto skupinu ironickým titulem </w:t>
      </w:r>
      <w:r w:rsidR="00FF2A66">
        <w:rPr>
          <w:i/>
        </w:rPr>
        <w:t>d</w:t>
      </w:r>
      <w:r w:rsidR="00107FD3" w:rsidRPr="00273106">
        <w:rPr>
          <w:i/>
        </w:rPr>
        <w:t>octores Latin</w:t>
      </w:r>
      <w:r w:rsidR="08E80388">
        <w:rPr>
          <w:i/>
        </w:rPr>
        <w:t>i</w:t>
      </w:r>
      <w:r w:rsidR="00A169B9">
        <w:rPr>
          <w:i/>
        </w:rPr>
        <w:fldChar w:fldCharType="begin"/>
      </w:r>
      <w:r w:rsidR="00A169B9">
        <w:instrText xml:space="preserve"> XE "</w:instrText>
      </w:r>
      <w:r w:rsidR="00D4214C">
        <w:instrText>druhý averroismus:</w:instrText>
      </w:r>
      <w:r w:rsidR="08E80388">
        <w:rPr>
          <w:i/>
        </w:rPr>
        <w:instrText>doctores Latini</w:instrText>
      </w:r>
      <w:r w:rsidR="00A169B9">
        <w:instrText xml:space="preserve">" </w:instrText>
      </w:r>
      <w:r w:rsidR="00A169B9">
        <w:rPr>
          <w:i/>
        </w:rPr>
        <w:fldChar w:fldCharType="end"/>
      </w:r>
      <w:r w:rsidR="00107FD3" w:rsidRPr="00273106">
        <w:t xml:space="preserve">. </w:t>
      </w:r>
      <w:r w:rsidR="00990FA4" w:rsidRPr="00273106">
        <w:t xml:space="preserve">Alvernus, Bacon, Albert a další myslitelé </w:t>
      </w:r>
      <w:r w:rsidR="00E8625B" w:rsidRPr="00273106">
        <w:t xml:space="preserve">prvního averroismu </w:t>
      </w:r>
      <w:r w:rsidR="00990FA4" w:rsidRPr="00273106">
        <w:t xml:space="preserve">tvrdili, že </w:t>
      </w:r>
      <w:r w:rsidR="0043023E">
        <w:t xml:space="preserve">modernisté vytvořili novou formu metafyziky, která aktualizovala ty nejhorší omyly </w:t>
      </w:r>
      <w:r w:rsidR="00990FA4" w:rsidRPr="00273106">
        <w:t xml:space="preserve">dřívějších </w:t>
      </w:r>
      <w:r w:rsidR="00990FA4" w:rsidRPr="00273106">
        <w:rPr>
          <w:i/>
        </w:rPr>
        <w:t>Nominales</w:t>
      </w:r>
      <w:r w:rsidR="00DA7B4F">
        <w:t xml:space="preserve"> a porretánský</w:t>
      </w:r>
      <w:r w:rsidR="082C30BD">
        <w:t>ch logických škol.</w:t>
      </w:r>
      <w:r w:rsidR="00BF155B">
        <w:t xml:space="preserve"> Jak je známo na Západě, moderní pokrok nelze zastavit.</w:t>
      </w:r>
    </w:p>
    <w:p w14:paraId="74BAB769" w14:textId="1233761D" w:rsidR="00FA2D00" w:rsidRDefault="00E01B3D" w:rsidP="08A41502">
      <w:r w:rsidRPr="00273106">
        <w:tab/>
      </w:r>
      <w:r w:rsidR="00AF29B0" w:rsidRPr="00273106">
        <w:t xml:space="preserve">Další </w:t>
      </w:r>
      <w:r w:rsidR="087642BF" w:rsidRPr="00273106">
        <w:t>novátorství Rufus</w:t>
      </w:r>
      <w:r w:rsidR="088157F4" w:rsidRPr="00273106">
        <w:t>e</w:t>
      </w:r>
      <w:r w:rsidR="00AF29B0" w:rsidRPr="00273106">
        <w:t xml:space="preserve"> se týká </w:t>
      </w:r>
      <w:r w:rsidR="088157F4" w:rsidRPr="00273106">
        <w:t>postavení univerzálie v procesu poznání.</w:t>
      </w:r>
      <w:r w:rsidR="00581EC0">
        <w:t xml:space="preserve"> </w:t>
      </w:r>
      <w:r w:rsidR="00FF0BE2" w:rsidRPr="00FF0BE2">
        <w:t xml:space="preserve">Podle již vyložené verze </w:t>
      </w:r>
      <w:r w:rsidR="00FF0BE2" w:rsidRPr="00273106">
        <w:rPr>
          <w:i/>
        </w:rPr>
        <w:t>Anal. Post</w:t>
      </w:r>
      <w:r w:rsidR="00FF0BE2" w:rsidRPr="00273106">
        <w:t>. 84a11‒14</w:t>
      </w:r>
      <w:r w:rsidR="00FF0BE2">
        <w:fldChar w:fldCharType="begin"/>
      </w:r>
      <w:r w:rsidR="00FF0BE2">
        <w:instrText xml:space="preserve"> XE "Aristoteles:</w:instrText>
      </w:r>
      <w:r w:rsidR="00FF0BE2" w:rsidRPr="00273106">
        <w:rPr>
          <w:i/>
        </w:rPr>
        <w:instrText>Anal. Post</w:instrText>
      </w:r>
      <w:r w:rsidR="00FF0BE2" w:rsidRPr="00273106">
        <w:instrText>. 84a11‒14</w:instrText>
      </w:r>
      <w:r w:rsidR="00FF0BE2">
        <w:instrText xml:space="preserve">" </w:instrText>
      </w:r>
      <w:r w:rsidR="00FF0BE2">
        <w:fldChar w:fldCharType="end"/>
      </w:r>
      <w:r w:rsidR="00FF0BE2" w:rsidRPr="00FF0BE2">
        <w:t>, univerzální význam buď tvoří součá</w:t>
      </w:r>
      <w:r w:rsidR="00FF0BE2">
        <w:t xml:space="preserve">st hyparchického bytí v myšlení, </w:t>
      </w:r>
      <w:r w:rsidR="00FF0BE2" w:rsidRPr="00FF0BE2">
        <w:t>nebo jde o hyparchické bytí ve skutečnosti.</w:t>
      </w:r>
      <w:r w:rsidR="00FF0BE2">
        <w:t xml:space="preserve"> </w:t>
      </w:r>
      <w:r w:rsidR="08A8003C">
        <w:t>Nelze zaměnit univerzální predikaci obou forem hyparchicky daného bytí, protože logika není metafyzika</w:t>
      </w:r>
      <w:r w:rsidR="00A74BD9">
        <w:t xml:space="preserve">. Je nutné respektovat dva genericky odlišné druhy nutnosti ve vědeckém soudu. </w:t>
      </w:r>
      <w:r w:rsidR="08115EB7">
        <w:t xml:space="preserve">Vznik analytické filosofie </w:t>
      </w:r>
      <w:r w:rsidR="08AE3CA5">
        <w:t xml:space="preserve">souvisí s výkladem </w:t>
      </w:r>
      <w:r w:rsidR="087D171B" w:rsidRPr="087D171B">
        <w:rPr>
          <w:i/>
        </w:rPr>
        <w:t>Druhých analytik</w:t>
      </w:r>
      <w:r w:rsidR="087D171B">
        <w:t xml:space="preserve"> definující poje</w:t>
      </w:r>
      <w:r w:rsidR="08AE3CA5">
        <w:t xml:space="preserve">tí univerzality </w:t>
      </w:r>
      <w:r w:rsidR="08AE3CA5" w:rsidRPr="083955D8">
        <w:t>(καθόλου δὲ λέγω ὃ ἂν κατὰ παντός τε ὑπάρχῃ καὶ καθ' αὑτὸ καὶ ᾗ αὐτό</w:t>
      </w:r>
      <w:r w:rsidR="08AE3CA5">
        <w:t>,</w:t>
      </w:r>
      <w:r w:rsidR="08AE3CA5" w:rsidRPr="08AE3CA5">
        <w:rPr>
          <w:i/>
        </w:rPr>
        <w:t xml:space="preserve"> </w:t>
      </w:r>
      <w:r w:rsidR="08AE3CA5">
        <w:rPr>
          <w:i/>
        </w:rPr>
        <w:t>Anal. P</w:t>
      </w:r>
      <w:r w:rsidR="08AE3CA5" w:rsidRPr="08292C65">
        <w:rPr>
          <w:i/>
        </w:rPr>
        <w:t>ost</w:t>
      </w:r>
      <w:r w:rsidR="08AE3CA5">
        <w:t xml:space="preserve">. </w:t>
      </w:r>
      <w:r w:rsidR="08E5417E">
        <w:t>73</w:t>
      </w:r>
      <w:r w:rsidR="08AE3CA5" w:rsidRPr="083955D8">
        <w:t>b26‒27</w:t>
      </w:r>
      <w:r w:rsidR="08D57C43">
        <w:fldChar w:fldCharType="begin"/>
      </w:r>
      <w:r w:rsidR="08D57C43">
        <w:instrText xml:space="preserve"> XE "Aristoteles:</w:instrText>
      </w:r>
      <w:r w:rsidR="08D57C43" w:rsidRPr="00032AA2">
        <w:rPr>
          <w:i/>
        </w:rPr>
        <w:instrText>Anal. Post</w:instrText>
      </w:r>
      <w:r w:rsidR="08E5417E">
        <w:instrText>. 73</w:instrText>
      </w:r>
      <w:r w:rsidR="08D57C43">
        <w:instrText xml:space="preserve">b26‒27" </w:instrText>
      </w:r>
      <w:r w:rsidR="08D57C43">
        <w:fldChar w:fldCharType="end"/>
      </w:r>
      <w:r w:rsidR="08AE3CA5">
        <w:t>)</w:t>
      </w:r>
      <w:r w:rsidR="08D57C43">
        <w:t xml:space="preserve">. </w:t>
      </w:r>
      <w:r w:rsidR="08EF1B24" w:rsidRPr="00273106">
        <w:t>Citát definuje univerzálii ve vztahu k trojúhelníku, jehož obecné určení do sebe zahrnuje všechny konkrétní figury trojúhelníka</w:t>
      </w:r>
      <w:r w:rsidR="08EF1B24" w:rsidRPr="00273106">
        <w:rPr>
          <w:szCs w:val="14"/>
        </w:rPr>
        <w:t>. Tato esenciální definice platí pr</w:t>
      </w:r>
      <w:r w:rsidR="08EF1B24">
        <w:rPr>
          <w:szCs w:val="14"/>
        </w:rPr>
        <w:t xml:space="preserve">o všechny reálné trojúhelníky a </w:t>
      </w:r>
      <w:r w:rsidR="08EF1B24" w:rsidRPr="00273106">
        <w:rPr>
          <w:szCs w:val="14"/>
        </w:rPr>
        <w:t>za všech okolností</w:t>
      </w:r>
      <w:r w:rsidR="08EF1B24">
        <w:rPr>
          <w:szCs w:val="14"/>
        </w:rPr>
        <w:t xml:space="preserve">, protože hyparchické bytí této obecniny je dáno v modu </w:t>
      </w:r>
      <w:r w:rsidR="08EF1B24" w:rsidRPr="08AB1796">
        <w:rPr>
          <w:i/>
          <w:szCs w:val="14"/>
        </w:rPr>
        <w:t>simpliciter</w:t>
      </w:r>
      <w:r w:rsidR="08EF1B24">
        <w:rPr>
          <w:szCs w:val="14"/>
        </w:rPr>
        <w:t xml:space="preserve"> a </w:t>
      </w:r>
      <w:r w:rsidR="08EF1B24" w:rsidRPr="08AB1796">
        <w:rPr>
          <w:i/>
          <w:szCs w:val="14"/>
        </w:rPr>
        <w:t>per se</w:t>
      </w:r>
      <w:r w:rsidR="08EF1B24">
        <w:rPr>
          <w:szCs w:val="14"/>
        </w:rPr>
        <w:t xml:space="preserve"> pouze v mysli</w:t>
      </w:r>
      <w:r w:rsidR="08EF1B24" w:rsidRPr="00273106">
        <w:rPr>
          <w:szCs w:val="5"/>
        </w:rPr>
        <w:t xml:space="preserve">. </w:t>
      </w:r>
      <w:r w:rsidR="08720092">
        <w:t xml:space="preserve">Tato část </w:t>
      </w:r>
      <w:r w:rsidR="08720092" w:rsidRPr="08720092">
        <w:rPr>
          <w:i/>
        </w:rPr>
        <w:t>Analytik</w:t>
      </w:r>
      <w:r w:rsidR="08720092">
        <w:t xml:space="preserve"> definuje pouze logickou abstrakci určující univerzální predikaci geometrie. </w:t>
      </w:r>
      <w:r w:rsidR="088E0F66" w:rsidRPr="00273106">
        <w:rPr>
          <w:szCs w:val="5"/>
        </w:rPr>
        <w:t>H</w:t>
      </w:r>
      <w:r w:rsidR="088E0F66" w:rsidRPr="00273106">
        <w:rPr>
          <w:rStyle w:val="TextpoznpodarouChar"/>
        </w:rPr>
        <w:t>yparchicky daná esence trojúhelníka jako univočně definované geometrické figury (</w:t>
      </w:r>
      <w:r w:rsidR="088E0F66" w:rsidRPr="00273106">
        <w:t xml:space="preserve">ὑπάρχῃ, </w:t>
      </w:r>
      <w:r w:rsidR="088E0F66" w:rsidRPr="00273106">
        <w:rPr>
          <w:i/>
        </w:rPr>
        <w:t>inesse</w:t>
      </w:r>
      <w:r w:rsidR="088E0F66">
        <w:rPr>
          <w:i/>
        </w:rPr>
        <w:fldChar w:fldCharType="begin"/>
      </w:r>
      <w:r w:rsidR="088E0F66">
        <w:instrText xml:space="preserve"> XE "esence:</w:instrText>
      </w:r>
      <w:r w:rsidR="088E0F66" w:rsidRPr="00CF4ADF">
        <w:rPr>
          <w:i/>
        </w:rPr>
        <w:instrText>inesse</w:instrText>
      </w:r>
      <w:r w:rsidR="088E0F66">
        <w:instrText xml:space="preserve">" </w:instrText>
      </w:r>
      <w:r w:rsidR="088E0F66">
        <w:rPr>
          <w:i/>
        </w:rPr>
        <w:fldChar w:fldCharType="end"/>
      </w:r>
      <w:r w:rsidR="088E0F66" w:rsidRPr="00273106">
        <w:rPr>
          <w:rStyle w:val="TextpoznpodarouChar"/>
        </w:rPr>
        <w:t xml:space="preserve">) určuje v univerzální predikaci také výskyt jednotlivých figur. </w:t>
      </w:r>
      <w:r w:rsidR="08720092">
        <w:t xml:space="preserve">Impozice je dána v modu logické nutnosti a univerzality, protože esenciální bytí trojúhelníka </w:t>
      </w:r>
      <w:r w:rsidR="08B7446F">
        <w:t xml:space="preserve">existuje </w:t>
      </w:r>
      <w:r w:rsidR="08720092">
        <w:t xml:space="preserve">pouze v mysli. </w:t>
      </w:r>
      <w:r w:rsidR="08AA766E" w:rsidRPr="00273106">
        <w:rPr>
          <w:szCs w:val="5"/>
        </w:rPr>
        <w:t>Deduktivní myšlení a definice jsou dány na rovině univočně pojaté matematické abstrakce</w:t>
      </w:r>
      <w:r w:rsidR="08AA766E">
        <w:rPr>
          <w:szCs w:val="5"/>
        </w:rPr>
        <w:fldChar w:fldCharType="begin"/>
      </w:r>
      <w:r w:rsidR="08AA766E">
        <w:instrText xml:space="preserve"> XE "</w:instrText>
      </w:r>
      <w:r w:rsidR="08AA766E" w:rsidRPr="00A824F0">
        <w:instrText>abstrakce:matematická</w:instrText>
      </w:r>
      <w:r w:rsidR="08AA766E">
        <w:instrText xml:space="preserve">" </w:instrText>
      </w:r>
      <w:r w:rsidR="08AA766E">
        <w:rPr>
          <w:szCs w:val="5"/>
        </w:rPr>
        <w:fldChar w:fldCharType="end"/>
      </w:r>
      <w:r w:rsidR="08AA766E" w:rsidRPr="00273106">
        <w:rPr>
          <w:szCs w:val="5"/>
        </w:rPr>
        <w:t xml:space="preserve">, a nikoliv na rovině hledání původní metafyzické jednoty jsoucna. </w:t>
      </w:r>
      <w:r w:rsidR="08AA766E">
        <w:rPr>
          <w:rStyle w:val="TextpoznpodarouChar"/>
        </w:rPr>
        <w:t xml:space="preserve">Supozice této geometrické figury v sobě obsahuje hyparchické bytí trojúhelníka dané univerzálně-definičně. Proto tato supozice daná obecnou definicí obsahuje v modu impozice také univerzální bytí každého konkrétního trojúhelníka. </w:t>
      </w:r>
      <w:r w:rsidR="08AA766E" w:rsidRPr="00273106">
        <w:rPr>
          <w:rStyle w:val="TextpoznpodarouChar"/>
        </w:rPr>
        <w:t>Trojúhelník daný definičně a jeho nakreslená podoba mají univerzální a univoční modus bytí jsoucna, v němž splývá hyparchické bytí jednotliviny a její obecná definice.</w:t>
      </w:r>
      <w:r w:rsidR="08AA766E">
        <w:rPr>
          <w:rStyle w:val="TextpoznpodarouChar"/>
        </w:rPr>
        <w:t xml:space="preserve"> </w:t>
      </w:r>
      <w:r w:rsidR="08D57C43">
        <w:t xml:space="preserve">Srovnejme toto pojetí s kompletní verzí apodiktického důkazu, </w:t>
      </w:r>
      <w:r w:rsidR="08AE3CA5">
        <w:t xml:space="preserve">kterou analyzoval vznik </w:t>
      </w:r>
      <w:r w:rsidR="08AE3CA5" w:rsidRPr="083955D8">
        <w:rPr>
          <w:i/>
        </w:rPr>
        <w:t>Oxfordian Fallacy</w:t>
      </w:r>
      <w:r w:rsidR="08AE3CA5">
        <w:t xml:space="preserve"> u Grossetesteho (</w:t>
      </w:r>
      <w:r w:rsidR="08D57C43" w:rsidRPr="0816726D">
        <w:rPr>
          <w:i/>
        </w:rPr>
        <w:t>Anal. Post.</w:t>
      </w:r>
      <w:r w:rsidR="08D57C43" w:rsidRPr="08D57C43">
        <w:t xml:space="preserve"> 84a13‒14</w:t>
      </w:r>
      <w:r w:rsidR="08D57C43" w:rsidRPr="08D57C43">
        <w:fldChar w:fldCharType="begin"/>
      </w:r>
      <w:r w:rsidR="08D57C43" w:rsidRPr="08D57C43">
        <w:instrText xml:space="preserve"> XE "Aristoteles:</w:instrText>
      </w:r>
      <w:r w:rsidR="08D57C43" w:rsidRPr="082548CC">
        <w:rPr>
          <w:i/>
        </w:rPr>
        <w:instrText>Anal. Post</w:instrText>
      </w:r>
      <w:r w:rsidR="08D57C43" w:rsidRPr="08D57C43">
        <w:instrText xml:space="preserve">. 84a13‒14" </w:instrText>
      </w:r>
      <w:r w:rsidR="08D57C43" w:rsidRPr="08D57C43">
        <w:fldChar w:fldCharType="end"/>
      </w:r>
      <w:r w:rsidR="08AE3CA5">
        <w:t>).</w:t>
      </w:r>
      <w:r w:rsidR="089E0D6F">
        <w:t xml:space="preserve"> </w:t>
      </w:r>
      <w:r w:rsidR="086854C3">
        <w:t xml:space="preserve">Rufusovi </w:t>
      </w:r>
      <w:r w:rsidR="00077CF5">
        <w:t>vzal pouze matematickou definici</w:t>
      </w:r>
      <w:r w:rsidR="086854C3">
        <w:t xml:space="preserve"> univerzality pro založení vědy, což je čistá sofistika. </w:t>
      </w:r>
      <w:r w:rsidR="000E6784">
        <w:t>Matematická abstrakce</w:t>
      </w:r>
      <w:r w:rsidR="00EB4045">
        <w:fldChar w:fldCharType="begin"/>
      </w:r>
      <w:r w:rsidR="00EB4045">
        <w:instrText xml:space="preserve"> XE "</w:instrText>
      </w:r>
      <w:r w:rsidR="00EB4045" w:rsidRPr="009B3D7D">
        <w:instrText>abstrakce:matematická</w:instrText>
      </w:r>
      <w:r w:rsidR="00EB4045">
        <w:instrText xml:space="preserve">" </w:instrText>
      </w:r>
      <w:r w:rsidR="00EB4045">
        <w:fldChar w:fldCharType="end"/>
      </w:r>
      <w:r w:rsidR="000E6784">
        <w:t xml:space="preserve"> dostala zakládající charakter a pohltila metafyzické poznání, což poprvé provedla porretánská škola (</w:t>
      </w:r>
      <w:r w:rsidR="000E6784" w:rsidRPr="00273106">
        <w:rPr>
          <w:i/>
        </w:rPr>
        <w:t>Dialogus</w:t>
      </w:r>
      <w:r w:rsidR="000E6784" w:rsidRPr="00273106">
        <w:t xml:space="preserve"> </w:t>
      </w:r>
      <w:r w:rsidR="000E6784" w:rsidRPr="00273106">
        <w:rPr>
          <w:i/>
        </w:rPr>
        <w:t>Ratii et Everardi</w:t>
      </w:r>
      <w:r w:rsidR="084A7FEA">
        <w:t>, kap. 1</w:t>
      </w:r>
      <w:r w:rsidR="000E6784">
        <w:t>.5).</w:t>
      </w:r>
      <w:r w:rsidR="088157F4" w:rsidRPr="00273106">
        <w:t xml:space="preserve"> </w:t>
      </w:r>
      <w:r w:rsidR="00E531AF" w:rsidRPr="00273106">
        <w:t xml:space="preserve">Centrální význam reality pro vědecké poznání </w:t>
      </w:r>
      <w:r w:rsidR="00E531AF" w:rsidRPr="00E91E76">
        <w:rPr>
          <w:i/>
        </w:rPr>
        <w:t>Druhé analytiky</w:t>
      </w:r>
      <w:r w:rsidR="00E531AF" w:rsidRPr="00273106">
        <w:t xml:space="preserve"> vyjadřují ve středním členu demonstrativního soudu, kde se potkávají univerzália a vzájemné působení prvních substancí. </w:t>
      </w:r>
      <w:r w:rsidR="0080460F">
        <w:t>Impozice významu je díky logické abstrakci dána přímo v mysli geometra. Proto lze postavit hyparchickou funkci této definice v modu plné supozice, která do sebe zahrnuje i impozici, protože i ta je dána abstraktně v </w:t>
      </w:r>
      <w:r w:rsidR="08541A8E">
        <w:t xml:space="preserve">mysli. </w:t>
      </w:r>
      <w:r w:rsidR="086629C5">
        <w:t xml:space="preserve">Protože máme v mysli esenciální definici trojúhelníka, tak ji můžeme predikovat. </w:t>
      </w:r>
      <w:r w:rsidR="08EE54DA">
        <w:t xml:space="preserve">Protože </w:t>
      </w:r>
      <w:r w:rsidR="00CB41E3">
        <w:t xml:space="preserve">existuje svět mimo nás, tak jej musíme </w:t>
      </w:r>
      <w:r w:rsidR="08EE54DA">
        <w:t>vědecky poznat</w:t>
      </w:r>
      <w:r w:rsidR="00CB41E3">
        <w:t xml:space="preserve"> jiným způsobem</w:t>
      </w:r>
      <w:r w:rsidR="08EE54DA">
        <w:t xml:space="preserve">. </w:t>
      </w:r>
      <w:r w:rsidR="08D52EEE">
        <w:rPr>
          <w:rStyle w:val="TextpoznpodarouChar"/>
        </w:rPr>
        <w:t xml:space="preserve">V případě </w:t>
      </w:r>
      <w:r w:rsidR="08EE54DA">
        <w:rPr>
          <w:rStyle w:val="TextpoznpodarouChar"/>
        </w:rPr>
        <w:t xml:space="preserve">zkoumání světa </w:t>
      </w:r>
      <w:r w:rsidR="08D52EEE">
        <w:rPr>
          <w:rStyle w:val="TextpoznpodarouChar"/>
        </w:rPr>
        <w:t>musí jít impozice významu z hyparch</w:t>
      </w:r>
      <w:r w:rsidR="087F715F">
        <w:rPr>
          <w:rStyle w:val="TextpoznpodarouChar"/>
        </w:rPr>
        <w:t>i</w:t>
      </w:r>
      <w:r w:rsidR="08D52EEE">
        <w:rPr>
          <w:rStyle w:val="TextpoznpodarouChar"/>
        </w:rPr>
        <w:t xml:space="preserve">cky dané existence reálné věci. </w:t>
      </w:r>
      <w:r w:rsidR="08CA284E">
        <w:t xml:space="preserve">Ale v metafyzice platí, že </w:t>
      </w:r>
      <w:r w:rsidR="08CA284E" w:rsidRPr="08C91E2E">
        <w:rPr>
          <w:i/>
        </w:rPr>
        <w:t>ousía</w:t>
      </w:r>
      <w:r w:rsidR="08CA284E">
        <w:t xml:space="preserve"> není </w:t>
      </w:r>
      <w:r w:rsidR="08CA284E" w:rsidRPr="08C91E2E">
        <w:rPr>
          <w:i/>
        </w:rPr>
        <w:t>parousía</w:t>
      </w:r>
      <w:r w:rsidR="086E7B2C">
        <w:t xml:space="preserve"> v mysli</w:t>
      </w:r>
      <w:r w:rsidR="08CA284E">
        <w:t xml:space="preserve">, protože </w:t>
      </w:r>
      <w:r w:rsidR="08CA284E">
        <w:rPr>
          <w:rStyle w:val="TextpoznpodarouChar"/>
        </w:rPr>
        <w:t>první substance existuje</w:t>
      </w:r>
      <w:r w:rsidR="08CA284E" w:rsidRPr="00273106">
        <w:rPr>
          <w:rStyle w:val="TextpoznpodarouChar"/>
        </w:rPr>
        <w:t xml:space="preserve"> </w:t>
      </w:r>
      <w:r w:rsidR="08CA284E">
        <w:rPr>
          <w:rStyle w:val="TextpoznpodarouChar"/>
        </w:rPr>
        <w:t xml:space="preserve">hyparchicky </w:t>
      </w:r>
      <w:r w:rsidR="08CA284E" w:rsidRPr="00273106">
        <w:rPr>
          <w:rStyle w:val="TextpoznpodarouChar"/>
          <w:i/>
        </w:rPr>
        <w:t>simpliciter</w:t>
      </w:r>
      <w:r w:rsidR="08CA284E" w:rsidRPr="00273106">
        <w:rPr>
          <w:rStyle w:val="TextpoznpodarouChar"/>
        </w:rPr>
        <w:t xml:space="preserve"> v realitě. </w:t>
      </w:r>
      <w:r w:rsidR="08D52EEE">
        <w:rPr>
          <w:rStyle w:val="TextpoznpodarouChar"/>
        </w:rPr>
        <w:t xml:space="preserve">Protože </w:t>
      </w:r>
      <w:r w:rsidR="08943813">
        <w:rPr>
          <w:rStyle w:val="TextpoznpodarouChar"/>
        </w:rPr>
        <w:t>věc reálně existuje mimo nás</w:t>
      </w:r>
      <w:r w:rsidR="084B7087">
        <w:rPr>
          <w:rStyle w:val="TextpoznpodarouChar"/>
        </w:rPr>
        <w:t>, tak</w:t>
      </w:r>
      <w:r w:rsidR="08D52EEE">
        <w:rPr>
          <w:rStyle w:val="TextpoznpodarouChar"/>
        </w:rPr>
        <w:t xml:space="preserve"> poznáváme její univerzální esenci</w:t>
      </w:r>
      <w:r w:rsidR="08943813">
        <w:rPr>
          <w:rStyle w:val="TextpoznpodarouChar"/>
        </w:rPr>
        <w:t xml:space="preserve"> v nás</w:t>
      </w:r>
      <w:r w:rsidR="08C91E2E">
        <w:rPr>
          <w:rStyle w:val="TextpoznpodarouChar"/>
        </w:rPr>
        <w:t xml:space="preserve"> v modu parousie nikoliv původního bytí věci, ale její univerzálně esence poznané dané v duši pro nás (</w:t>
      </w:r>
      <w:r w:rsidR="08235E05" w:rsidRPr="08364F97">
        <w:t>τό τί ἦν εἶναι</w:t>
      </w:r>
      <w:r w:rsidR="08235E05">
        <w:fldChar w:fldCharType="begin"/>
      </w:r>
      <w:r w:rsidR="08235E05">
        <w:instrText xml:space="preserve"> XE "</w:instrText>
      </w:r>
      <w:r w:rsidR="08235E05" w:rsidRPr="08D57ABC">
        <w:instrText>τό τί ἦν εἶναι</w:instrText>
      </w:r>
      <w:r w:rsidR="08235E05">
        <w:instrText xml:space="preserve">" </w:instrText>
      </w:r>
      <w:r w:rsidR="08235E05">
        <w:fldChar w:fldCharType="end"/>
      </w:r>
      <w:r w:rsidR="08235E05">
        <w:t xml:space="preserve">, </w:t>
      </w:r>
      <w:r w:rsidR="08C91E2E" w:rsidRPr="08C91E2E">
        <w:rPr>
          <w:rStyle w:val="TextpoznpodarouChar"/>
          <w:i/>
        </w:rPr>
        <w:t>quidditas</w:t>
      </w:r>
      <w:r w:rsidR="08C91E2E">
        <w:rPr>
          <w:rStyle w:val="TextpoznpodarouChar"/>
          <w:i/>
        </w:rPr>
        <w:fldChar w:fldCharType="begin"/>
      </w:r>
      <w:r w:rsidR="08C91E2E">
        <w:instrText xml:space="preserve"> XE "</w:instrText>
      </w:r>
      <w:r w:rsidR="08C91E2E" w:rsidRPr="08A53933">
        <w:rPr>
          <w:rStyle w:val="TextpoznpodarouChar"/>
          <w:i/>
        </w:rPr>
        <w:instrText>quidditas</w:instrText>
      </w:r>
      <w:r w:rsidR="08C91E2E">
        <w:instrText xml:space="preserve">" </w:instrText>
      </w:r>
      <w:r w:rsidR="08C91E2E">
        <w:rPr>
          <w:rStyle w:val="TextpoznpodarouChar"/>
          <w:i/>
        </w:rPr>
        <w:fldChar w:fldCharType="end"/>
      </w:r>
      <w:r w:rsidR="08C91E2E">
        <w:rPr>
          <w:rStyle w:val="TextpoznpodarouChar"/>
        </w:rPr>
        <w:t>)</w:t>
      </w:r>
      <w:r w:rsidR="08D52EEE">
        <w:rPr>
          <w:rStyle w:val="TextpoznpodarouChar"/>
        </w:rPr>
        <w:t>. D</w:t>
      </w:r>
      <w:r w:rsidR="007A633D" w:rsidRPr="00273106">
        <w:rPr>
          <w:rStyle w:val="TextpoznpodarouChar"/>
        </w:rPr>
        <w:t xml:space="preserve">efiniční poznání v rámci </w:t>
      </w:r>
      <w:r w:rsidR="08D52EEE">
        <w:rPr>
          <w:rStyle w:val="TextpoznpodarouChar"/>
        </w:rPr>
        <w:t xml:space="preserve">univerzální </w:t>
      </w:r>
      <w:r w:rsidR="007A633D" w:rsidRPr="00273106">
        <w:rPr>
          <w:rStyle w:val="TextpoznpodarouChar"/>
        </w:rPr>
        <w:t xml:space="preserve">esence má </w:t>
      </w:r>
      <w:r w:rsidR="086F1ED0">
        <w:rPr>
          <w:rStyle w:val="TextpoznpodarouChar"/>
        </w:rPr>
        <w:t xml:space="preserve">v tomto případě nikoliv logický, ale </w:t>
      </w:r>
      <w:r w:rsidR="00FB00F3">
        <w:rPr>
          <w:rStyle w:val="TextpoznpodarouChar"/>
        </w:rPr>
        <w:t xml:space="preserve">metafyzický </w:t>
      </w:r>
      <w:r w:rsidR="007A633D" w:rsidRPr="00273106">
        <w:rPr>
          <w:rStyle w:val="TextpoznpodarouChar"/>
        </w:rPr>
        <w:t>s</w:t>
      </w:r>
      <w:r w:rsidR="086F1ED0">
        <w:rPr>
          <w:rStyle w:val="TextpoznpodarouChar"/>
        </w:rPr>
        <w:t>tatus</w:t>
      </w:r>
      <w:r w:rsidR="08554816">
        <w:rPr>
          <w:rStyle w:val="TextpoznpodarouChar"/>
        </w:rPr>
        <w:t xml:space="preserve">, viz </w:t>
      </w:r>
      <w:r w:rsidR="084B7087">
        <w:rPr>
          <w:rStyle w:val="TextpoznpodarouChar"/>
        </w:rPr>
        <w:t xml:space="preserve">předešlý </w:t>
      </w:r>
      <w:r w:rsidR="08554816">
        <w:rPr>
          <w:rStyle w:val="TextpoznpodarouChar"/>
        </w:rPr>
        <w:t xml:space="preserve">rozbor </w:t>
      </w:r>
      <w:r w:rsidR="084B7087">
        <w:rPr>
          <w:rStyle w:val="TextpoznpodarouChar"/>
        </w:rPr>
        <w:t>dvojí formy univerzality a nutnosti (</w:t>
      </w:r>
      <w:r w:rsidR="08554816" w:rsidRPr="00273106">
        <w:rPr>
          <w:i/>
        </w:rPr>
        <w:t>Anal. Post</w:t>
      </w:r>
      <w:r w:rsidR="08554816" w:rsidRPr="00273106">
        <w:t>. 84a11‒14</w:t>
      </w:r>
      <w:r w:rsidR="084B7087">
        <w:t>)</w:t>
      </w:r>
      <w:r w:rsidR="08554816">
        <w:fldChar w:fldCharType="begin"/>
      </w:r>
      <w:r w:rsidR="08554816">
        <w:instrText xml:space="preserve"> XE "Aristoteles:</w:instrText>
      </w:r>
      <w:r w:rsidR="08554816" w:rsidRPr="00273106">
        <w:rPr>
          <w:i/>
        </w:rPr>
        <w:instrText>Anal. Post</w:instrText>
      </w:r>
      <w:r w:rsidR="08554816" w:rsidRPr="00273106">
        <w:instrText>. 84a11‒14</w:instrText>
      </w:r>
      <w:r w:rsidR="08554816">
        <w:instrText xml:space="preserve">" </w:instrText>
      </w:r>
      <w:r w:rsidR="08554816">
        <w:fldChar w:fldCharType="end"/>
      </w:r>
      <w:r w:rsidR="007A633D">
        <w:rPr>
          <w:rStyle w:val="TextpoznpodarouChar"/>
        </w:rPr>
        <w:t xml:space="preserve">. </w:t>
      </w:r>
      <w:r w:rsidR="00B275C8">
        <w:rPr>
          <w:rStyle w:val="TextpoznpodarouChar"/>
        </w:rPr>
        <w:t>U</w:t>
      </w:r>
      <w:r w:rsidR="084F4E7A">
        <w:rPr>
          <w:rStyle w:val="TextpoznpodarouChar"/>
        </w:rPr>
        <w:t xml:space="preserve"> astronomického </w:t>
      </w:r>
      <w:r w:rsidR="00B275C8">
        <w:rPr>
          <w:rStyle w:val="TextpoznpodarouChar"/>
        </w:rPr>
        <w:t xml:space="preserve">zatmění </w:t>
      </w:r>
      <w:r w:rsidR="007A633D">
        <w:rPr>
          <w:rStyle w:val="TextpoznpodarouChar"/>
        </w:rPr>
        <w:t xml:space="preserve">postupuje </w:t>
      </w:r>
      <w:r w:rsidR="00623998">
        <w:rPr>
          <w:rStyle w:val="TextpoznpodarouChar"/>
        </w:rPr>
        <w:t xml:space="preserve">predikace </w:t>
      </w:r>
      <w:r w:rsidR="08FE15C3">
        <w:rPr>
          <w:rStyle w:val="TextpoznpodarouChar"/>
        </w:rPr>
        <w:t xml:space="preserve">nutnosti a univerzality </w:t>
      </w:r>
      <w:r w:rsidR="007A633D">
        <w:rPr>
          <w:rStyle w:val="TextpoznpodarouChar"/>
        </w:rPr>
        <w:t xml:space="preserve">přesně opačně než u definice trojúhelníka. </w:t>
      </w:r>
      <w:r w:rsidR="08CA284E">
        <w:t xml:space="preserve">Spojení obou forem hyparchického bytí znamená čistou paranoiu. </w:t>
      </w:r>
      <w:r w:rsidR="08151EA5">
        <w:rPr>
          <w:rStyle w:val="TextpoznpodarouChar"/>
        </w:rPr>
        <w:t xml:space="preserve">Supozice středního členu soudu předpokládá kategoriální impozici </w:t>
      </w:r>
      <w:r w:rsidR="08CB0D17">
        <w:rPr>
          <w:rStyle w:val="TextpoznpodarouChar"/>
        </w:rPr>
        <w:t xml:space="preserve">významu z </w:t>
      </w:r>
      <w:r w:rsidR="084769CC">
        <w:rPr>
          <w:rStyle w:val="TextpoznpodarouChar"/>
        </w:rPr>
        <w:t xml:space="preserve">hyparchicky dané </w:t>
      </w:r>
      <w:r w:rsidR="08151EA5">
        <w:rPr>
          <w:rStyle w:val="TextpoznpodarouChar"/>
        </w:rPr>
        <w:t>reálné kauzality</w:t>
      </w:r>
      <w:r w:rsidR="084769CC">
        <w:rPr>
          <w:rStyle w:val="TextpoznpodarouChar"/>
        </w:rPr>
        <w:t xml:space="preserve">, tedy </w:t>
      </w:r>
      <w:r w:rsidR="08CB0D17">
        <w:rPr>
          <w:rStyle w:val="TextpoznpodarouChar"/>
        </w:rPr>
        <w:t xml:space="preserve">z </w:t>
      </w:r>
      <w:r w:rsidR="08151EA5">
        <w:rPr>
          <w:rStyle w:val="TextpoznpodarouChar"/>
        </w:rPr>
        <w:t>aktuáln</w:t>
      </w:r>
      <w:r w:rsidR="084769CC">
        <w:rPr>
          <w:rStyle w:val="TextpoznpodarouChar"/>
        </w:rPr>
        <w:t xml:space="preserve">ího působení </w:t>
      </w:r>
      <w:r w:rsidR="08151EA5">
        <w:rPr>
          <w:rStyle w:val="TextpoznpodarouChar"/>
        </w:rPr>
        <w:t xml:space="preserve">reálných astronomických těles. </w:t>
      </w:r>
      <w:r w:rsidR="08143DD7">
        <w:rPr>
          <w:rStyle w:val="TextpoznpodarouChar"/>
        </w:rPr>
        <w:t>První substance na rozdíl od trojúhelníka reálně působí v rámci účinné kauzality dané fyzikálně (</w:t>
      </w:r>
      <w:r w:rsidR="08143DD7" w:rsidRPr="00597F61">
        <w:rPr>
          <w:rStyle w:val="TextpoznpodarouChar"/>
          <w:i/>
        </w:rPr>
        <w:t>passio</w:t>
      </w:r>
      <w:r w:rsidR="08143DD7">
        <w:rPr>
          <w:rStyle w:val="TextpoznpodarouChar"/>
        </w:rPr>
        <w:t>)</w:t>
      </w:r>
      <w:r w:rsidR="08143DD7" w:rsidRPr="00273106">
        <w:rPr>
          <w:rStyle w:val="TextpoznpodarouChar"/>
        </w:rPr>
        <w:t xml:space="preserve">. </w:t>
      </w:r>
      <w:r w:rsidR="084F4E7A">
        <w:rPr>
          <w:rStyle w:val="TextpoznpodarouChar"/>
        </w:rPr>
        <w:t xml:space="preserve">Podle kanonického textu </w:t>
      </w:r>
      <w:r w:rsidR="084F4E7A">
        <w:rPr>
          <w:i/>
        </w:rPr>
        <w:t xml:space="preserve">Cat. </w:t>
      </w:r>
      <w:r w:rsidR="084F4E7A">
        <w:t>2a14‒16</w:t>
      </w:r>
      <w:r w:rsidR="084F4E7A">
        <w:fldChar w:fldCharType="begin"/>
      </w:r>
      <w:r w:rsidR="084F4E7A">
        <w:instrText xml:space="preserve"> XE "Aristoteles:</w:instrText>
      </w:r>
      <w:r w:rsidR="084F4E7A" w:rsidRPr="008E0888">
        <w:rPr>
          <w:i/>
        </w:rPr>
        <w:instrText xml:space="preserve">Cat. </w:instrText>
      </w:r>
      <w:r w:rsidR="084F4E7A" w:rsidRPr="008E0888">
        <w:instrText>2a14‒16</w:instrText>
      </w:r>
      <w:r w:rsidR="084F4E7A">
        <w:instrText xml:space="preserve">" </w:instrText>
      </w:r>
      <w:r w:rsidR="084F4E7A">
        <w:fldChar w:fldCharType="end"/>
      </w:r>
      <w:r w:rsidR="084F4E7A">
        <w:t xml:space="preserve"> platí, že h</w:t>
      </w:r>
      <w:r w:rsidR="00623998">
        <w:rPr>
          <w:rStyle w:val="TextpoznpodarouChar"/>
        </w:rPr>
        <w:t xml:space="preserve">yparchicky daná první substance </w:t>
      </w:r>
      <w:r w:rsidR="08767BF5">
        <w:rPr>
          <w:rStyle w:val="TextpoznpodarouChar"/>
        </w:rPr>
        <w:t xml:space="preserve">determinuje </w:t>
      </w:r>
      <w:r w:rsidR="00BA26BB">
        <w:rPr>
          <w:rStyle w:val="TextpoznpodarouChar"/>
        </w:rPr>
        <w:t>kategoriální</w:t>
      </w:r>
      <w:r w:rsidR="08767BF5">
        <w:rPr>
          <w:rStyle w:val="TextpoznpodarouChar"/>
        </w:rPr>
        <w:t xml:space="preserve"> predikaci </w:t>
      </w:r>
      <w:r w:rsidR="00623998" w:rsidRPr="00623998">
        <w:rPr>
          <w:rStyle w:val="TextpoznpodarouChar"/>
          <w:i/>
        </w:rPr>
        <w:t>per prius</w:t>
      </w:r>
      <w:r w:rsidR="00623998">
        <w:rPr>
          <w:rStyle w:val="TextpoznpodarouChar"/>
        </w:rPr>
        <w:t xml:space="preserve">. </w:t>
      </w:r>
      <w:r w:rsidR="00C10792" w:rsidRPr="00273106">
        <w:rPr>
          <w:rStyle w:val="TextpoznpodarouChar"/>
        </w:rPr>
        <w:t xml:space="preserve">Oba mody </w:t>
      </w:r>
      <w:r w:rsidR="085951E1">
        <w:rPr>
          <w:rStyle w:val="TextpoznpodarouChar"/>
        </w:rPr>
        <w:t xml:space="preserve">vědeckého důkazu pro zatmění slunce a pro trojúhelník </w:t>
      </w:r>
      <w:r w:rsidR="00C10792" w:rsidRPr="00273106">
        <w:rPr>
          <w:rStyle w:val="TextpoznpodarouChar"/>
        </w:rPr>
        <w:t>jsou</w:t>
      </w:r>
      <w:r w:rsidR="0883586D">
        <w:rPr>
          <w:rStyle w:val="TextpoznpodarouChar"/>
        </w:rPr>
        <w:t xml:space="preserve"> sice vzhledem k nutnosti dány </w:t>
      </w:r>
      <w:r w:rsidR="00C10792" w:rsidRPr="00273106">
        <w:rPr>
          <w:rStyle w:val="TextpoznpodarouChar"/>
          <w:i/>
        </w:rPr>
        <w:t>per se</w:t>
      </w:r>
      <w:r w:rsidR="0883586D">
        <w:rPr>
          <w:rStyle w:val="TextpoznpodarouChar"/>
        </w:rPr>
        <w:t xml:space="preserve"> a </w:t>
      </w:r>
      <w:r w:rsidR="00C10792" w:rsidRPr="00273106">
        <w:rPr>
          <w:rStyle w:val="TextpoznpodarouChar"/>
          <w:i/>
        </w:rPr>
        <w:t>simpliciter</w:t>
      </w:r>
      <w:r w:rsidR="00C10792" w:rsidRPr="00273106">
        <w:rPr>
          <w:rStyle w:val="TextpoznpodarouChar"/>
        </w:rPr>
        <w:t xml:space="preserve"> (</w:t>
      </w:r>
      <w:r w:rsidR="00C10792" w:rsidRPr="00273106">
        <w:t>καθόλου, ἐξ ἀνάγκης ὑπάρχει</w:t>
      </w:r>
      <w:r w:rsidR="00C10792" w:rsidRPr="00273106">
        <w:rPr>
          <w:rStyle w:val="TextpoznpodarouChar"/>
        </w:rPr>
        <w:t xml:space="preserve">), ale ne </w:t>
      </w:r>
      <w:r w:rsidR="00FC5B30">
        <w:rPr>
          <w:rStyle w:val="TextpoznpodarouChar"/>
        </w:rPr>
        <w:t xml:space="preserve">metafyzicky </w:t>
      </w:r>
      <w:r w:rsidR="00C10792" w:rsidRPr="00273106">
        <w:rPr>
          <w:rStyle w:val="TextpoznpodarouChar"/>
        </w:rPr>
        <w:t>stejným způsobem</w:t>
      </w:r>
      <w:r w:rsidR="08CC5C2E">
        <w:rPr>
          <w:rStyle w:val="TextpoznpodarouChar"/>
        </w:rPr>
        <w:t xml:space="preserve"> nutnosti a univerzality</w:t>
      </w:r>
      <w:r w:rsidR="00C10792" w:rsidRPr="00273106">
        <w:rPr>
          <w:rStyle w:val="TextpoznpodarouChar"/>
        </w:rPr>
        <w:t xml:space="preserve">. </w:t>
      </w:r>
      <w:r w:rsidR="004C468F" w:rsidRPr="004C468F">
        <w:rPr>
          <w:rStyle w:val="TextpoznpodarouChar"/>
        </w:rPr>
        <w:t>Platnost základní definice v oblasti geometrie je trvalá a nezávisí na naho</w:t>
      </w:r>
      <w:r w:rsidR="004C468F">
        <w:rPr>
          <w:rStyle w:val="TextpoznpodarouChar"/>
        </w:rPr>
        <w:t>dilých událostech v realitě</w:t>
      </w:r>
      <w:r w:rsidR="004C468F" w:rsidRPr="004C468F">
        <w:rPr>
          <w:rStyle w:val="TextpoznpodarouChar"/>
        </w:rPr>
        <w:t xml:space="preserve">. Naopak predikace reálné první substance potřebuje </w:t>
      </w:r>
      <w:r w:rsidR="004C468F">
        <w:rPr>
          <w:rStyle w:val="TextpoznpodarouChar"/>
        </w:rPr>
        <w:t xml:space="preserve">nasvícení </w:t>
      </w:r>
      <w:r w:rsidR="004C468F" w:rsidRPr="004C468F">
        <w:rPr>
          <w:rStyle w:val="TextpoznpodarouChar"/>
        </w:rPr>
        <w:t>bytí zepředu, neboť tento ontologický přístup předporozumění (</w:t>
      </w:r>
      <w:r w:rsidR="004C468F" w:rsidRPr="004C468F">
        <w:rPr>
          <w:rStyle w:val="TextpoznpodarouChar"/>
          <w:i/>
        </w:rPr>
        <w:t>Vor-blickbahn</w:t>
      </w:r>
      <w:r w:rsidR="004C468F" w:rsidRPr="004C468F">
        <w:rPr>
          <w:rStyle w:val="TextpoznpodarouChar"/>
        </w:rPr>
        <w:t>) charakterizuje univerzálně a potenciálně dané vědecké poznání.</w:t>
      </w:r>
      <w:r w:rsidR="004C468F">
        <w:rPr>
          <w:rStyle w:val="TextpoznpodarouChar"/>
        </w:rPr>
        <w:t xml:space="preserve"> </w:t>
      </w:r>
      <w:r w:rsidR="084E0099">
        <w:t xml:space="preserve">Mytopoetické myšlení moderny </w:t>
      </w:r>
      <w:r w:rsidR="08CA6F9A">
        <w:t xml:space="preserve">chce založit </w:t>
      </w:r>
      <w:r w:rsidR="087A3D0D">
        <w:t xml:space="preserve">univerzální </w:t>
      </w:r>
      <w:r w:rsidR="08CA6F9A">
        <w:t xml:space="preserve">smysl světa skrze </w:t>
      </w:r>
      <w:r w:rsidR="084E0099" w:rsidRPr="08CA6F9A">
        <w:rPr>
          <w:i/>
        </w:rPr>
        <w:t>factum</w:t>
      </w:r>
      <w:r w:rsidR="08CA6F9A">
        <w:t xml:space="preserve"> své sofistiky,</w:t>
      </w:r>
      <w:r w:rsidR="084E0099">
        <w:t xml:space="preserve"> což bylo pro klasické metafyziky buď šílené nebo směšné. </w:t>
      </w:r>
      <w:r w:rsidR="087E57A4">
        <w:t>Proto si modernisté museli vytvořit nejen vlastní diakosmos</w:t>
      </w:r>
      <w:r w:rsidR="08CE36E2">
        <w:t xml:space="preserve"> simuláker</w:t>
      </w:r>
      <w:r w:rsidR="087E57A4">
        <w:t xml:space="preserve">, </w:t>
      </w:r>
      <w:r w:rsidR="00CC57C0">
        <w:t xml:space="preserve">moderní fakulty „filosofie“, </w:t>
      </w:r>
      <w:r w:rsidR="087E57A4">
        <w:t xml:space="preserve">ale také </w:t>
      </w:r>
      <w:r w:rsidR="08C91C0D">
        <w:t xml:space="preserve">moderního </w:t>
      </w:r>
      <w:r w:rsidR="087E57A4">
        <w:t xml:space="preserve">boha </w:t>
      </w:r>
      <w:r w:rsidR="08C91C0D">
        <w:t xml:space="preserve">jako dějinného garanta tohoto paranoického poznání </w:t>
      </w:r>
      <w:r w:rsidR="087E57A4">
        <w:t xml:space="preserve">a </w:t>
      </w:r>
      <w:r w:rsidR="08C91C0D">
        <w:t xml:space="preserve">moderní </w:t>
      </w:r>
      <w:r w:rsidR="087E57A4">
        <w:t>subjek</w:t>
      </w:r>
      <w:r w:rsidR="0872669F">
        <w:t>t</w:t>
      </w:r>
      <w:r w:rsidR="08F85894">
        <w:fldChar w:fldCharType="begin"/>
      </w:r>
      <w:r w:rsidR="08F85894">
        <w:instrText xml:space="preserve"> XE "smrt subjektu" </w:instrText>
      </w:r>
      <w:r w:rsidR="08F85894">
        <w:fldChar w:fldCharType="end"/>
      </w:r>
      <w:r w:rsidR="0872669F">
        <w:t xml:space="preserve"> </w:t>
      </w:r>
      <w:r w:rsidR="08C91C0D">
        <w:t>jako dějinného nositele těchto sofismat</w:t>
      </w:r>
      <w:r w:rsidR="087E57A4">
        <w:t xml:space="preserve">. </w:t>
      </w:r>
      <w:r w:rsidR="08473D7F">
        <w:t>Epochální v</w:t>
      </w:r>
      <w:r w:rsidR="080B208B">
        <w:t>ládu tohoto moderního zásvětí ukončil Nietzsche</w:t>
      </w:r>
      <w:r w:rsidR="08914D92">
        <w:t xml:space="preserve"> </w:t>
      </w:r>
      <w:r w:rsidR="085656BA">
        <w:t xml:space="preserve">v </w:t>
      </w:r>
      <w:r w:rsidR="085656BA" w:rsidRPr="085656BA">
        <w:rPr>
          <w:i/>
        </w:rPr>
        <w:t>Radostné vědě</w:t>
      </w:r>
      <w:r w:rsidR="085656BA">
        <w:t xml:space="preserve"> příběhem o šíleném člověku.</w:t>
      </w:r>
      <w:r w:rsidR="085656BA">
        <w:rPr>
          <w:rStyle w:val="Znakapoznpodarou"/>
        </w:rPr>
        <w:footnoteReference w:id="388"/>
      </w:r>
      <w:r w:rsidR="085656BA">
        <w:t xml:space="preserve"> </w:t>
      </w:r>
      <w:r w:rsidR="00C908C6" w:rsidRPr="00C908C6">
        <w:t xml:space="preserve">Tímto šílencem se stala moderna a podle obrácené verze známého biblického přísloví </w:t>
      </w:r>
      <w:r w:rsidR="00C908C6">
        <w:t>(</w:t>
      </w:r>
      <w:r w:rsidR="00C908C6" w:rsidRPr="08454A1D">
        <w:rPr>
          <w:rStyle w:val="st"/>
          <w:i/>
        </w:rPr>
        <w:t>1 Kor</w:t>
      </w:r>
      <w:r w:rsidR="00C908C6">
        <w:rPr>
          <w:rStyle w:val="st"/>
        </w:rPr>
        <w:t xml:space="preserve"> 1:27</w:t>
      </w:r>
      <w:r w:rsidR="00C908C6">
        <w:rPr>
          <w:iCs/>
        </w:rPr>
        <w:fldChar w:fldCharType="begin"/>
      </w:r>
      <w:r w:rsidR="00C908C6">
        <w:instrText xml:space="preserve"> XE "</w:instrText>
      </w:r>
      <w:r w:rsidR="00C908C6" w:rsidRPr="0046213D">
        <w:instrText>Nový zákon:</w:instrText>
      </w:r>
      <w:r w:rsidR="00C908C6" w:rsidRPr="00977053">
        <w:rPr>
          <w:iCs/>
        </w:rPr>
        <w:instrText>1 Kor</w:instrText>
      </w:r>
      <w:r w:rsidR="00C908C6" w:rsidRPr="00895FC0">
        <w:rPr>
          <w:i/>
          <w:iCs/>
        </w:rPr>
        <w:instrText xml:space="preserve"> </w:instrText>
      </w:r>
      <w:r w:rsidR="00C908C6">
        <w:rPr>
          <w:iCs/>
        </w:rPr>
        <w:instrText>1.27</w:instrText>
      </w:r>
      <w:r w:rsidR="00C908C6">
        <w:instrText xml:space="preserve">" </w:instrText>
      </w:r>
      <w:r w:rsidR="00C908C6">
        <w:rPr>
          <w:iCs/>
        </w:rPr>
        <w:fldChar w:fldCharType="end"/>
      </w:r>
      <w:r w:rsidR="00C908C6">
        <w:t>)</w:t>
      </w:r>
      <w:r w:rsidR="00C908C6" w:rsidRPr="00C908C6">
        <w:t xml:space="preserve"> byli </w:t>
      </w:r>
      <w:r w:rsidR="00C908C6">
        <w:t xml:space="preserve">moderní </w:t>
      </w:r>
      <w:r w:rsidR="00C908C6" w:rsidRPr="00C908C6">
        <w:t>učenli</w:t>
      </w:r>
      <w:r w:rsidR="00C908C6">
        <w:t>ví šílenci vybráni katolickými F</w:t>
      </w:r>
      <w:r w:rsidR="00C908C6" w:rsidRPr="00C908C6">
        <w:t>ú</w:t>
      </w:r>
      <w:r w:rsidR="00C908C6">
        <w:t>riemi, aby zničili moudrou filos</w:t>
      </w:r>
      <w:r w:rsidR="00C908C6" w:rsidRPr="00C908C6">
        <w:t>ofii.</w:t>
      </w:r>
      <w:r w:rsidR="00C908C6">
        <w:t xml:space="preserve"> </w:t>
      </w:r>
      <w:r w:rsidR="085656BA">
        <w:t xml:space="preserve">Tím </w:t>
      </w:r>
      <w:r w:rsidR="00C908C6">
        <w:t xml:space="preserve">se tragicky </w:t>
      </w:r>
      <w:r w:rsidR="085656BA">
        <w:t>naplnil biblický</w:t>
      </w:r>
      <w:r w:rsidR="08914D92">
        <w:t xml:space="preserve"> výrok</w:t>
      </w:r>
      <w:r w:rsidR="00A72017">
        <w:t xml:space="preserve">. Moderní </w:t>
      </w:r>
      <w:r w:rsidR="08914D92">
        <w:t>b</w:t>
      </w:r>
      <w:r w:rsidR="08914D92" w:rsidRPr="08914D92">
        <w:t xml:space="preserve">ůh vyvolil bláznivé </w:t>
      </w:r>
      <w:r w:rsidR="00A72017">
        <w:t xml:space="preserve">akademiky </w:t>
      </w:r>
      <w:r w:rsidR="08914D92" w:rsidRPr="08914D92">
        <w:t xml:space="preserve">tohoto světa, aby </w:t>
      </w:r>
      <w:r w:rsidR="00C908C6">
        <w:t xml:space="preserve">nikoliv </w:t>
      </w:r>
      <w:r w:rsidR="08914D92" w:rsidRPr="08914D92">
        <w:t>zahanbil</w:t>
      </w:r>
      <w:r w:rsidR="00C908C6">
        <w:t>, ale zničil</w:t>
      </w:r>
      <w:r w:rsidR="08914D92" w:rsidRPr="08914D92">
        <w:t xml:space="preserve"> moudré</w:t>
      </w:r>
      <w:r w:rsidR="00C908C6">
        <w:t xml:space="preserve">. </w:t>
      </w:r>
      <w:r w:rsidR="08A1733D">
        <w:t xml:space="preserve">Hermeneutika musí ukázat, jak tato hlavní moderní modla vznikla a jak zemřela. </w:t>
      </w:r>
      <w:r w:rsidR="08914D92">
        <w:t>Tím se zn</w:t>
      </w:r>
      <w:r w:rsidR="085656BA">
        <w:t>o</w:t>
      </w:r>
      <w:r w:rsidR="08914D92">
        <w:t xml:space="preserve">vou ukázal v modu pythické </w:t>
      </w:r>
      <w:r w:rsidR="08914D92">
        <w:rPr>
          <w:i/>
        </w:rPr>
        <w:t>a/léthe</w:t>
      </w:r>
      <w:r w:rsidR="08914D92" w:rsidRPr="08914D92">
        <w:rPr>
          <w:i/>
        </w:rPr>
        <w:t>ia</w:t>
      </w:r>
      <w:r w:rsidR="08914D92">
        <w:t xml:space="preserve"> předtím komentovaný výrok ze stejné kapitoly o záhubě m</w:t>
      </w:r>
      <w:r w:rsidR="08914D92" w:rsidRPr="00273106">
        <w:t>oudrost</w:t>
      </w:r>
      <w:r w:rsidR="08914D92">
        <w:t>i moudrých (</w:t>
      </w:r>
      <w:r w:rsidR="08914D92">
        <w:rPr>
          <w:i/>
          <w:iCs/>
        </w:rPr>
        <w:t xml:space="preserve">1 Kor </w:t>
      </w:r>
      <w:r w:rsidR="08914D92" w:rsidRPr="00D602D2">
        <w:rPr>
          <w:iCs/>
        </w:rPr>
        <w:t>1:19</w:t>
      </w:r>
      <w:r w:rsidR="08914D92">
        <w:rPr>
          <w:iCs/>
        </w:rPr>
        <w:fldChar w:fldCharType="begin"/>
      </w:r>
      <w:r w:rsidR="08914D92">
        <w:instrText xml:space="preserve"> XE "</w:instrText>
      </w:r>
      <w:r w:rsidR="08914D92" w:rsidRPr="0046213D">
        <w:instrText>Nový zákon:</w:instrText>
      </w:r>
      <w:r w:rsidR="08914D92" w:rsidRPr="00977053">
        <w:rPr>
          <w:iCs/>
        </w:rPr>
        <w:instrText xml:space="preserve">1 </w:instrText>
      </w:r>
      <w:r w:rsidR="08914D92" w:rsidRPr="0813449D">
        <w:rPr>
          <w:i/>
          <w:iCs/>
        </w:rPr>
        <w:instrText>Kor</w:instrText>
      </w:r>
      <w:r w:rsidR="08914D92" w:rsidRPr="00895FC0">
        <w:rPr>
          <w:i/>
          <w:iCs/>
        </w:rPr>
        <w:instrText xml:space="preserve"> </w:instrText>
      </w:r>
      <w:r w:rsidR="08914D92">
        <w:rPr>
          <w:iCs/>
        </w:rPr>
        <w:instrText>1.</w:instrText>
      </w:r>
      <w:r w:rsidR="08914D92" w:rsidRPr="00895FC0">
        <w:rPr>
          <w:iCs/>
        </w:rPr>
        <w:instrText>19</w:instrText>
      </w:r>
      <w:r w:rsidR="08914D92">
        <w:instrText xml:space="preserve">" </w:instrText>
      </w:r>
      <w:r w:rsidR="08914D92">
        <w:rPr>
          <w:iCs/>
        </w:rPr>
        <w:fldChar w:fldCharType="end"/>
      </w:r>
      <w:r w:rsidR="08914D92">
        <w:t>)</w:t>
      </w:r>
      <w:r w:rsidR="08914D92" w:rsidRPr="00273106">
        <w:t>, neboť pravá mo</w:t>
      </w:r>
      <w:r w:rsidR="08914D92">
        <w:t xml:space="preserve">udrost zničí moudrost falešnou. Tuto pasáž citoval </w:t>
      </w:r>
      <w:r w:rsidR="00C908C6" w:rsidRPr="00273106">
        <w:t>Petrus Venerabilis</w:t>
      </w:r>
      <w:r w:rsidR="00C908C6">
        <w:fldChar w:fldCharType="begin"/>
      </w:r>
      <w:r w:rsidR="00C908C6">
        <w:instrText xml:space="preserve"> XE "</w:instrText>
      </w:r>
      <w:r w:rsidR="00C908C6" w:rsidRPr="0012482E">
        <w:instrText>Petrus Venerabilis</w:instrText>
      </w:r>
      <w:r w:rsidR="00C908C6">
        <w:instrText xml:space="preserve">" </w:instrText>
      </w:r>
      <w:r w:rsidR="00C908C6">
        <w:fldChar w:fldCharType="end"/>
      </w:r>
      <w:r w:rsidR="00C908C6" w:rsidRPr="00273106">
        <w:t xml:space="preserve"> </w:t>
      </w:r>
      <w:r w:rsidR="08914D92">
        <w:t xml:space="preserve">proti Abelardovi </w:t>
      </w:r>
      <w:r w:rsidR="00C908C6">
        <w:t xml:space="preserve">(ch. 1.3) </w:t>
      </w:r>
      <w:r w:rsidR="08914D92">
        <w:t>a biskup Tempier v dekretu z března 1277 proti škole</w:t>
      </w:r>
      <w:r w:rsidR="08FF73C1">
        <w:t xml:space="preserve"> prvního averroismu (</w:t>
      </w:r>
      <w:r w:rsidR="08ED6CA4">
        <w:t>OBJ III, kap. 4</w:t>
      </w:r>
      <w:r w:rsidR="08FF73C1">
        <w:t>.6)</w:t>
      </w:r>
      <w:r w:rsidR="00D43C75">
        <w:t xml:space="preserve">. </w:t>
      </w:r>
      <w:r w:rsidR="00D43C75" w:rsidRPr="00D43C75">
        <w:t xml:space="preserve">Bohužel tím, že konali tyto nerozumné skutky a podporovali zcela falešné učení, neznali </w:t>
      </w:r>
      <w:r w:rsidR="007362BA">
        <w:t xml:space="preserve">múzický </w:t>
      </w:r>
      <w:r w:rsidR="00D43C75" w:rsidRPr="00D43C75">
        <w:t>a pythický smysl těchto sl</w:t>
      </w:r>
      <w:r w:rsidR="00D43C75">
        <w:t>ov skrytý v</w:t>
      </w:r>
      <w:r w:rsidR="007362BA">
        <w:t xml:space="preserve"> modu </w:t>
      </w:r>
      <w:r w:rsidR="00D43C75">
        <w:t xml:space="preserve">božské </w:t>
      </w:r>
      <w:r w:rsidR="00D43C75" w:rsidRPr="00D43C75">
        <w:rPr>
          <w:i/>
        </w:rPr>
        <w:t>a/létheia</w:t>
      </w:r>
      <w:r w:rsidR="00D43C75" w:rsidRPr="00D43C75">
        <w:t>.</w:t>
      </w:r>
      <w:r w:rsidR="00D43C75">
        <w:t xml:space="preserve"> </w:t>
      </w:r>
      <w:r w:rsidR="08914D92">
        <w:t>A</w:t>
      </w:r>
      <w:r w:rsidR="08FF7730">
        <w:t xml:space="preserve">ristoteles nebyl </w:t>
      </w:r>
      <w:r w:rsidR="08D02052">
        <w:t>neoplatonský iluminát</w:t>
      </w:r>
      <w:r w:rsidR="08FB2A41">
        <w:t xml:space="preserve"> manipulovaný Fúriemi</w:t>
      </w:r>
      <w:r w:rsidR="08D02052">
        <w:t>, ale moudrý filosof</w:t>
      </w:r>
      <w:r w:rsidR="08AF3B2A">
        <w:t xml:space="preserve"> sleduj</w:t>
      </w:r>
      <w:r w:rsidR="00534991">
        <w:t>í</w:t>
      </w:r>
      <w:r w:rsidR="08AF3B2A">
        <w:t xml:space="preserve">cí cestou moudrosti danou reálným bytím prvních substancí, jako je například astronomické těleso zvané Slunce. </w:t>
      </w:r>
      <w:r w:rsidR="00C10792" w:rsidRPr="00273106">
        <w:rPr>
          <w:rStyle w:val="TextpoznpodarouChar"/>
        </w:rPr>
        <w:t>Reálné substance a matematické abstrakce</w:t>
      </w:r>
      <w:r w:rsidR="00EB4045">
        <w:rPr>
          <w:rStyle w:val="TextpoznpodarouChar"/>
        </w:rPr>
        <w:fldChar w:fldCharType="begin"/>
      </w:r>
      <w:r w:rsidR="00EB4045">
        <w:instrText xml:space="preserve"> XE "</w:instrText>
      </w:r>
      <w:r w:rsidR="00EB4045" w:rsidRPr="00A824F0">
        <w:instrText>abstrakce:matematická</w:instrText>
      </w:r>
      <w:r w:rsidR="00EB4045">
        <w:instrText xml:space="preserve">" </w:instrText>
      </w:r>
      <w:r w:rsidR="00EB4045">
        <w:rPr>
          <w:rStyle w:val="TextpoznpodarouChar"/>
        </w:rPr>
        <w:fldChar w:fldCharType="end"/>
      </w:r>
      <w:r w:rsidR="00C10792" w:rsidRPr="00273106">
        <w:rPr>
          <w:rStyle w:val="TextpoznpodarouChar"/>
        </w:rPr>
        <w:t xml:space="preserve"> </w:t>
      </w:r>
      <w:r w:rsidR="009878FE" w:rsidRPr="00273106">
        <w:rPr>
          <w:rStyle w:val="TextpoznpodarouChar"/>
        </w:rPr>
        <w:t xml:space="preserve">z </w:t>
      </w:r>
      <w:r w:rsidR="08FF7730">
        <w:rPr>
          <w:rStyle w:val="TextpoznpodarouChar"/>
        </w:rPr>
        <w:t xml:space="preserve">výše uvedeného </w:t>
      </w:r>
      <w:r w:rsidR="009878FE" w:rsidRPr="00273106">
        <w:rPr>
          <w:rStyle w:val="TextpoznpodarouChar"/>
        </w:rPr>
        <w:t xml:space="preserve">důvodu </w:t>
      </w:r>
      <w:r w:rsidR="08FF7730">
        <w:rPr>
          <w:rStyle w:val="TextpoznpodarouChar"/>
        </w:rPr>
        <w:t xml:space="preserve">odlišného hyparchického bytí </w:t>
      </w:r>
      <w:r w:rsidR="00C10792" w:rsidRPr="00273106">
        <w:rPr>
          <w:rStyle w:val="TextpoznpodarouChar"/>
        </w:rPr>
        <w:t>tvoří rozdílný rod</w:t>
      </w:r>
      <w:r w:rsidR="007A2D15">
        <w:rPr>
          <w:rStyle w:val="TextpoznpodarouChar"/>
        </w:rPr>
        <w:t xml:space="preserve">. </w:t>
      </w:r>
      <w:r w:rsidR="007A2D15" w:rsidRPr="007A2D15">
        <w:rPr>
          <w:rStyle w:val="TextpoznpodarouChar"/>
        </w:rPr>
        <w:t>V</w:t>
      </w:r>
      <w:r w:rsidR="007A2D15">
        <w:rPr>
          <w:rStyle w:val="TextpoznpodarouChar"/>
        </w:rPr>
        <w:t>e </w:t>
      </w:r>
      <w:r w:rsidR="007A2D15" w:rsidRPr="007A2D15">
        <w:rPr>
          <w:rStyle w:val="TextpoznpodarouChar"/>
        </w:rPr>
        <w:t xml:space="preserve">vědeckém důkazu </w:t>
      </w:r>
      <w:r w:rsidR="007A2D15">
        <w:rPr>
          <w:rStyle w:val="TextpoznpodarouChar"/>
        </w:rPr>
        <w:t xml:space="preserve">provedeném </w:t>
      </w:r>
      <w:r w:rsidR="007A2D15" w:rsidRPr="007A2D15">
        <w:rPr>
          <w:rStyle w:val="TextpoznpodarouChar"/>
          <w:i/>
        </w:rPr>
        <w:t>univoce</w:t>
      </w:r>
      <w:r w:rsidR="007A2D15">
        <w:rPr>
          <w:rStyle w:val="TextpoznpodarouChar"/>
        </w:rPr>
        <w:t xml:space="preserve"> </w:t>
      </w:r>
      <w:r w:rsidR="007A2D15" w:rsidRPr="007A2D15">
        <w:rPr>
          <w:rStyle w:val="TextpoznpodarouChar"/>
        </w:rPr>
        <w:t>nemůže existovat žádný přechod od jednoho rodu k</w:t>
      </w:r>
      <w:r w:rsidR="007A2D15">
        <w:rPr>
          <w:rStyle w:val="TextpoznpodarouChar"/>
        </w:rPr>
        <w:t xml:space="preserve">e </w:t>
      </w:r>
      <w:r w:rsidR="007A2D15" w:rsidRPr="007A2D15">
        <w:rPr>
          <w:rStyle w:val="TextpoznpodarouChar"/>
        </w:rPr>
        <w:t xml:space="preserve">druhému. </w:t>
      </w:r>
      <w:r w:rsidR="007A2D15">
        <w:rPr>
          <w:rStyle w:val="TextpoznpodarouChar"/>
        </w:rPr>
        <w:t xml:space="preserve">Impozice </w:t>
      </w:r>
      <w:r w:rsidR="007A2D15" w:rsidRPr="007A2D15">
        <w:rPr>
          <w:rStyle w:val="TextpoznpodarouChar"/>
        </w:rPr>
        <w:t xml:space="preserve">nutnosti </w:t>
      </w:r>
      <w:r w:rsidR="007A2D15">
        <w:rPr>
          <w:rStyle w:val="TextpoznpodarouChar"/>
        </w:rPr>
        <w:t xml:space="preserve">dané </w:t>
      </w:r>
      <w:r w:rsidR="007A2D15" w:rsidRPr="007A2D15">
        <w:rPr>
          <w:rStyle w:val="TextpoznpodarouChar"/>
        </w:rPr>
        <w:t>v matematice a ve fyzice se zásad</w:t>
      </w:r>
      <w:r w:rsidR="007A2D15">
        <w:rPr>
          <w:rStyle w:val="TextpoznpodarouChar"/>
        </w:rPr>
        <w:t xml:space="preserve">ně liší z hlediska jejich hyparchické povahy, která zakládá </w:t>
      </w:r>
      <w:r w:rsidR="007A2D15" w:rsidRPr="007A2D15">
        <w:rPr>
          <w:rStyle w:val="TextpoznpodarouChar"/>
        </w:rPr>
        <w:t>predikované substance v deduktivním sylogismu.</w:t>
      </w:r>
      <w:r w:rsidR="007A2D15">
        <w:rPr>
          <w:rStyle w:val="TextpoznpodarouChar"/>
        </w:rPr>
        <w:t xml:space="preserve"> </w:t>
      </w:r>
      <w:r w:rsidR="009526B0">
        <w:rPr>
          <w:rStyle w:val="TextpoznpodarouChar"/>
        </w:rPr>
        <w:t xml:space="preserve">Jednou je </w:t>
      </w:r>
      <w:r w:rsidR="007A2D15">
        <w:rPr>
          <w:rStyle w:val="TextpoznpodarouChar"/>
        </w:rPr>
        <w:t xml:space="preserve">hyparchická hodnota </w:t>
      </w:r>
      <w:r w:rsidR="009526B0">
        <w:rPr>
          <w:rStyle w:val="TextpoznpodarouChar"/>
        </w:rPr>
        <w:t xml:space="preserve">dána univerzálně v mysli, a jindy jedinečně v realitě. </w:t>
      </w:r>
      <w:r w:rsidR="08C7626A">
        <w:rPr>
          <w:rStyle w:val="TextpoznpodarouChar"/>
        </w:rPr>
        <w:t>Aristoteles odmítl dokonce i přechod rodově odlišné</w:t>
      </w:r>
      <w:r w:rsidR="08C7626A" w:rsidRPr="00273106">
        <w:rPr>
          <w:rStyle w:val="TextpoznpodarouChar"/>
        </w:rPr>
        <w:t xml:space="preserve"> geometrie na aritmetiku, protože by </w:t>
      </w:r>
      <w:r w:rsidR="08C7626A">
        <w:rPr>
          <w:rStyle w:val="TextpoznpodarouChar"/>
        </w:rPr>
        <w:t xml:space="preserve">to </w:t>
      </w:r>
      <w:r w:rsidR="08C7626A" w:rsidRPr="00273106">
        <w:rPr>
          <w:rStyle w:val="TextpoznpodarouChar"/>
        </w:rPr>
        <w:t>zrušil</w:t>
      </w:r>
      <w:r w:rsidR="08C7626A">
        <w:rPr>
          <w:rStyle w:val="TextpoznpodarouChar"/>
        </w:rPr>
        <w:t>o</w:t>
      </w:r>
      <w:r w:rsidR="08C7626A" w:rsidRPr="00273106">
        <w:rPr>
          <w:rStyle w:val="TextpoznpodarouChar"/>
        </w:rPr>
        <w:t xml:space="preserve"> vědecký důkaz.</w:t>
      </w:r>
      <w:r w:rsidR="08C7626A" w:rsidRPr="00273106">
        <w:rPr>
          <w:rStyle w:val="Znakapoznpodarou"/>
        </w:rPr>
        <w:footnoteReference w:id="389"/>
      </w:r>
      <w:r w:rsidR="08C7626A" w:rsidRPr="00273106">
        <w:rPr>
          <w:rStyle w:val="linemarker-marked-line"/>
        </w:rPr>
        <w:t xml:space="preserve"> </w:t>
      </w:r>
      <w:r w:rsidR="008E02F5">
        <w:t>Aristoteles</w:t>
      </w:r>
      <w:r w:rsidR="001D4368">
        <w:t xml:space="preserve"> a </w:t>
      </w:r>
      <w:r w:rsidR="002E3B62">
        <w:t>Averroes</w:t>
      </w:r>
      <w:r w:rsidR="085B6229">
        <w:t xml:space="preserve"> odmítli </w:t>
      </w:r>
      <w:r w:rsidR="0806653C">
        <w:t>postavi</w:t>
      </w:r>
      <w:r w:rsidR="085B6229">
        <w:t xml:space="preserve">t </w:t>
      </w:r>
      <w:r w:rsidR="001D4368">
        <w:t xml:space="preserve">metafyziku </w:t>
      </w:r>
      <w:r w:rsidR="085B6229">
        <w:t xml:space="preserve">na </w:t>
      </w:r>
      <w:r w:rsidR="002354E4" w:rsidRPr="00273106">
        <w:t>primát</w:t>
      </w:r>
      <w:r w:rsidR="085B6229">
        <w:t>u</w:t>
      </w:r>
      <w:r w:rsidR="002354E4" w:rsidRPr="00273106">
        <w:t xml:space="preserve"> čisté formy a vázali kauzální účinek </w:t>
      </w:r>
      <w:r w:rsidR="085B6229">
        <w:t xml:space="preserve">poznání </w:t>
      </w:r>
      <w:r w:rsidR="002354E4" w:rsidRPr="00273106">
        <w:t xml:space="preserve">na reálnou existenci první substance existující </w:t>
      </w:r>
      <w:r w:rsidR="002354E4" w:rsidRPr="00273106">
        <w:rPr>
          <w:i/>
        </w:rPr>
        <w:t>simpliciter</w:t>
      </w:r>
      <w:r w:rsidR="002354E4" w:rsidRPr="00273106">
        <w:t xml:space="preserve">. Touto jednoduchostí a nutností aktu bytí a aktuálního dění </w:t>
      </w:r>
      <w:r w:rsidR="0806653C">
        <w:t>první substance dané</w:t>
      </w:r>
      <w:r w:rsidR="002354E4" w:rsidRPr="00273106">
        <w:t xml:space="preserve"> mimo nás (ἁπλῶς τὴν οὐσίαν, </w:t>
      </w:r>
      <w:r w:rsidR="002354E4" w:rsidRPr="00273106">
        <w:rPr>
          <w:i/>
        </w:rPr>
        <w:t>Anal. Post</w:t>
      </w:r>
      <w:r w:rsidR="002354E4" w:rsidRPr="00273106">
        <w:t>. 90a10</w:t>
      </w:r>
      <w:r w:rsidR="002E5521">
        <w:fldChar w:fldCharType="begin"/>
      </w:r>
      <w:r w:rsidR="002E5521">
        <w:instrText xml:space="preserve"> XE "</w:instrText>
      </w:r>
      <w:r w:rsidR="008E02F5">
        <w:instrText>Aristoteles</w:instrText>
      </w:r>
      <w:r w:rsidR="002E5521">
        <w:instrText>:</w:instrText>
      </w:r>
      <w:r w:rsidR="002E5521" w:rsidRPr="00945B63">
        <w:rPr>
          <w:i/>
        </w:rPr>
        <w:instrText>Anal. Post</w:instrText>
      </w:r>
      <w:r w:rsidR="002E5521">
        <w:instrText xml:space="preserve">. 90a10" </w:instrText>
      </w:r>
      <w:r w:rsidR="002E5521">
        <w:fldChar w:fldCharType="end"/>
      </w:r>
      <w:r w:rsidR="002354E4" w:rsidRPr="00273106">
        <w:t xml:space="preserve">) je první substance oddělená od univerzálního aktu poznání následně vytvořeného v deduktivním </w:t>
      </w:r>
      <w:r w:rsidR="00BB0857">
        <w:t>sylo</w:t>
      </w:r>
      <w:r w:rsidR="002354E4" w:rsidRPr="00273106">
        <w:t>gismu na základě kategorického poznání druhé substance</w:t>
      </w:r>
      <w:r w:rsidR="002E5521">
        <w:fldChar w:fldCharType="begin"/>
      </w:r>
      <w:r w:rsidR="002E5521">
        <w:instrText xml:space="preserve"> XE "</w:instrText>
      </w:r>
      <w:r w:rsidR="002E5521" w:rsidRPr="002E5521">
        <w:rPr>
          <w:i/>
        </w:rPr>
        <w:instrText>demonstratio</w:instrText>
      </w:r>
      <w:r w:rsidR="002E5521" w:rsidRPr="00FF3138">
        <w:instrText>:Rufus</w:instrText>
      </w:r>
      <w:r w:rsidR="002E5521">
        <w:instrText xml:space="preserve">" </w:instrText>
      </w:r>
      <w:r w:rsidR="002E5521">
        <w:fldChar w:fldCharType="end"/>
      </w:r>
      <w:r w:rsidR="002354E4" w:rsidRPr="00273106">
        <w:t>.</w:t>
      </w:r>
      <w:r w:rsidR="000615E7">
        <w:t xml:space="preserve"> </w:t>
      </w:r>
      <w:r w:rsidR="00F1244B" w:rsidRPr="00273106">
        <w:rPr>
          <w:rStyle w:val="TextpoznpodarouChar"/>
        </w:rPr>
        <w:t>Rufusův k</w:t>
      </w:r>
      <w:r w:rsidR="00C963C0" w:rsidRPr="00273106">
        <w:t xml:space="preserve">omentář k </w:t>
      </w:r>
      <w:r w:rsidR="00F1244B" w:rsidRPr="00273106">
        <w:t xml:space="preserve">výše </w:t>
      </w:r>
      <w:r w:rsidR="00C963C0" w:rsidRPr="00273106">
        <w:t xml:space="preserve">citovanému místu </w:t>
      </w:r>
      <w:r w:rsidR="00B927D6" w:rsidRPr="08410952">
        <w:rPr>
          <w:i/>
        </w:rPr>
        <w:t>Anal. Post.</w:t>
      </w:r>
      <w:r w:rsidR="00B927D6">
        <w:t xml:space="preserve"> </w:t>
      </w:r>
      <w:r w:rsidR="082548CC">
        <w:t>73b26–27</w:t>
      </w:r>
      <w:r w:rsidR="002E5521">
        <w:fldChar w:fldCharType="begin"/>
      </w:r>
      <w:r w:rsidR="002E5521">
        <w:instrText xml:space="preserve"> XE "</w:instrText>
      </w:r>
      <w:r w:rsidR="008E02F5">
        <w:instrText>Aristoteles</w:instrText>
      </w:r>
      <w:r w:rsidR="002E5521">
        <w:instrText>:</w:instrText>
      </w:r>
      <w:r w:rsidR="002E5521" w:rsidRPr="00945B63">
        <w:rPr>
          <w:i/>
        </w:rPr>
        <w:instrText>Anal. Post</w:instrText>
      </w:r>
      <w:r w:rsidR="002E5521" w:rsidRPr="00945B63">
        <w:instrText>. 7</w:instrText>
      </w:r>
      <w:r w:rsidR="082548CC">
        <w:instrText>3b26–27</w:instrText>
      </w:r>
      <w:r w:rsidR="002E5521">
        <w:instrText xml:space="preserve">" </w:instrText>
      </w:r>
      <w:r w:rsidR="002E5521">
        <w:fldChar w:fldCharType="end"/>
      </w:r>
      <w:r w:rsidR="00C963C0" w:rsidRPr="00273106">
        <w:t xml:space="preserve"> rozšiřuje pojem univerzália</w:t>
      </w:r>
      <w:r w:rsidR="00763576">
        <w:t xml:space="preserve"> a vytváří nové jsoucno třetího druhu</w:t>
      </w:r>
      <w:r w:rsidR="001E4ECC">
        <w:t xml:space="preserve">. </w:t>
      </w:r>
      <w:r w:rsidR="00763576">
        <w:t xml:space="preserve">Komentář této části </w:t>
      </w:r>
      <w:r w:rsidR="003965BC">
        <w:t xml:space="preserve">je </w:t>
      </w:r>
      <w:r w:rsidR="08410952">
        <w:t xml:space="preserve">dublovaný v závěru </w:t>
      </w:r>
      <w:r w:rsidR="08410952" w:rsidRPr="080D588D">
        <w:rPr>
          <w:i/>
        </w:rPr>
        <w:t>Druhých analytik</w:t>
      </w:r>
      <w:r w:rsidR="08410952">
        <w:t xml:space="preserve"> podobným tvrzením (</w:t>
      </w:r>
      <w:r w:rsidR="08410952" w:rsidRPr="08410952">
        <w:rPr>
          <w:i/>
        </w:rPr>
        <w:t>Anal. Post.</w:t>
      </w:r>
      <w:r w:rsidR="08410952">
        <w:t xml:space="preserve"> 96b2‒4</w:t>
      </w:r>
      <w:r w:rsidR="08410952">
        <w:fldChar w:fldCharType="begin"/>
      </w:r>
      <w:r w:rsidR="08410952">
        <w:instrText xml:space="preserve"> XE "Aristoteles:</w:instrText>
      </w:r>
      <w:r w:rsidR="08410952" w:rsidRPr="00945B63">
        <w:rPr>
          <w:i/>
        </w:rPr>
        <w:instrText>Anal. Post</w:instrText>
      </w:r>
      <w:r w:rsidR="08410952">
        <w:instrText xml:space="preserve">. 96b2‒4" </w:instrText>
      </w:r>
      <w:r w:rsidR="08410952">
        <w:fldChar w:fldCharType="end"/>
      </w:r>
      <w:r w:rsidR="003965BC">
        <w:t xml:space="preserve">). Obě místa představují </w:t>
      </w:r>
      <w:r w:rsidR="00C963C0" w:rsidRPr="00273106">
        <w:t xml:space="preserve">původní </w:t>
      </w:r>
      <w:r w:rsidR="00C963C0" w:rsidRPr="00273106">
        <w:rPr>
          <w:i/>
        </w:rPr>
        <w:t>Lichtung</w:t>
      </w:r>
      <w:r w:rsidR="00C963C0" w:rsidRPr="00273106">
        <w:t>, kde se po-odhaluje pravda a nepravda (</w:t>
      </w:r>
      <w:r w:rsidR="00C963C0" w:rsidRPr="00273106">
        <w:rPr>
          <w:i/>
        </w:rPr>
        <w:t>a/létheia</w:t>
      </w:r>
      <w:r w:rsidR="085A313E">
        <w:rPr>
          <w:i/>
        </w:rPr>
        <w:fldChar w:fldCharType="begin"/>
      </w:r>
      <w:r w:rsidR="085A313E">
        <w:instrText xml:space="preserve"> XE "</w:instrText>
      </w:r>
      <w:r w:rsidR="085A313E" w:rsidRPr="08937E60">
        <w:rPr>
          <w:i/>
          <w:lang w:eastAsia="en-US"/>
        </w:rPr>
        <w:instrText>a/létheia</w:instrText>
      </w:r>
      <w:r w:rsidR="085A313E">
        <w:instrText xml:space="preserve">" </w:instrText>
      </w:r>
      <w:r w:rsidR="085A313E">
        <w:rPr>
          <w:i/>
        </w:rPr>
        <w:fldChar w:fldCharType="end"/>
      </w:r>
      <w:r w:rsidR="00C963C0" w:rsidRPr="00273106">
        <w:t>) západní objektivity</w:t>
      </w:r>
      <w:r w:rsidR="082E743F">
        <w:t xml:space="preserve">, která </w:t>
      </w:r>
      <w:r w:rsidR="003965BC">
        <w:t xml:space="preserve">bohužel tragikomicky </w:t>
      </w:r>
      <w:r w:rsidR="082E743F">
        <w:t>zahubila moudrost moudrých</w:t>
      </w:r>
      <w:r w:rsidR="00C963C0" w:rsidRPr="00273106">
        <w:t xml:space="preserve">. </w:t>
      </w:r>
      <w:r w:rsidR="088A3C85">
        <w:t>Dějinnost bytí jsoucna prošla</w:t>
      </w:r>
      <w:r w:rsidR="081551AF">
        <w:t xml:space="preserve"> kategoriální, tedy hyparchicky určenou změnou, kdy</w:t>
      </w:r>
      <w:r w:rsidR="088A3C85">
        <w:t xml:space="preserve"> </w:t>
      </w:r>
      <w:r w:rsidR="08EF6C52">
        <w:t xml:space="preserve">Rufus </w:t>
      </w:r>
      <w:r w:rsidR="088A3C85">
        <w:t xml:space="preserve">zhasl význam metafyzické predikace. </w:t>
      </w:r>
      <w:r w:rsidR="003965BC" w:rsidRPr="003965BC">
        <w:t xml:space="preserve">Grosseteste by nikdy nezašel tak daleko. </w:t>
      </w:r>
      <w:r w:rsidR="003965BC">
        <w:t xml:space="preserve">Viděli jsme </w:t>
      </w:r>
      <w:r w:rsidR="003965BC" w:rsidRPr="003965BC">
        <w:t>jeho váhání, které se t</w:t>
      </w:r>
      <w:r w:rsidR="003965BC">
        <w:t>ýkalo „</w:t>
      </w:r>
      <w:r w:rsidR="003965BC" w:rsidRPr="000F7182">
        <w:rPr>
          <w:i/>
        </w:rPr>
        <w:t>aliquantulum obscura</w:t>
      </w:r>
      <w:r w:rsidR="003965BC">
        <w:t>“</w:t>
      </w:r>
      <w:r w:rsidR="003965BC" w:rsidRPr="003965BC">
        <w:t xml:space="preserve"> </w:t>
      </w:r>
      <w:r w:rsidR="003965BC">
        <w:t>vzniklé v jeho verzi O</w:t>
      </w:r>
      <w:r w:rsidR="003965BC" w:rsidRPr="003965BC">
        <w:t>xfordského bludu.</w:t>
      </w:r>
      <w:r w:rsidR="003965BC">
        <w:t xml:space="preserve"> </w:t>
      </w:r>
      <w:r w:rsidR="005201BD" w:rsidRPr="005201BD">
        <w:t xml:space="preserve">Hyparchická podstata trojúhelníku vychází ze stejné podstaty </w:t>
      </w:r>
      <w:r w:rsidR="005201BD">
        <w:t>nejprve úsečky a pak bodu (</w:t>
      </w:r>
      <w:r w:rsidR="005201BD" w:rsidRPr="08AF499D">
        <w:t>τριγώνῳ γραμμὴ καὶ γραμμῇ στιγμή ἡ γὰρ οὐσία αὐτῶν ἐκ τούτων ἐστί,</w:t>
      </w:r>
      <w:r w:rsidR="005201BD">
        <w:t xml:space="preserve"> </w:t>
      </w:r>
      <w:r w:rsidR="005201BD" w:rsidRPr="08DB3EA7">
        <w:rPr>
          <w:i/>
        </w:rPr>
        <w:t>Anal. Post</w:t>
      </w:r>
      <w:r w:rsidR="005201BD">
        <w:t>. 73a35‒36</w:t>
      </w:r>
      <w:r w:rsidR="005201BD">
        <w:fldChar w:fldCharType="begin"/>
      </w:r>
      <w:r w:rsidR="005201BD">
        <w:instrText xml:space="preserve"> XE "Aristoteles:</w:instrText>
      </w:r>
      <w:r w:rsidR="005201BD" w:rsidRPr="00945B63">
        <w:rPr>
          <w:i/>
        </w:rPr>
        <w:instrText>Anal. Post</w:instrText>
      </w:r>
      <w:r w:rsidR="005201BD">
        <w:instrText xml:space="preserve">. 73a35‒36" </w:instrText>
      </w:r>
      <w:r w:rsidR="005201BD">
        <w:fldChar w:fldCharType="end"/>
      </w:r>
      <w:r w:rsidR="005201BD">
        <w:t>)</w:t>
      </w:r>
      <w:r w:rsidR="005201BD" w:rsidRPr="005201BD">
        <w:t>. Tento druh geometrické a logické dedukce či redukce (</w:t>
      </w:r>
      <w:r w:rsidR="005201BD" w:rsidRPr="007434A3">
        <w:rPr>
          <w:i/>
        </w:rPr>
        <w:t>resolutio</w:t>
      </w:r>
      <w:r w:rsidR="007434A3">
        <w:rPr>
          <w:i/>
        </w:rPr>
        <w:fldChar w:fldCharType="begin"/>
      </w:r>
      <w:r w:rsidR="007434A3">
        <w:instrText xml:space="preserve"> XE "</w:instrText>
      </w:r>
      <w:r w:rsidR="007434A3" w:rsidRPr="00821973">
        <w:rPr>
          <w:i/>
        </w:rPr>
        <w:instrText>resolutio</w:instrText>
      </w:r>
      <w:r w:rsidR="007434A3">
        <w:instrText xml:space="preserve">" </w:instrText>
      </w:r>
      <w:r w:rsidR="007434A3">
        <w:rPr>
          <w:i/>
        </w:rPr>
        <w:fldChar w:fldCharType="end"/>
      </w:r>
      <w:r w:rsidR="005201BD" w:rsidRPr="005201BD">
        <w:t xml:space="preserve">) se stal modelem, jak konstruovat novou </w:t>
      </w:r>
      <w:r w:rsidR="00D27BAA">
        <w:t xml:space="preserve">jednotnou </w:t>
      </w:r>
      <w:r w:rsidR="005201BD" w:rsidRPr="005201BD">
        <w:t xml:space="preserve">vědu, která je založena na kategoriální druhé substanci jako </w:t>
      </w:r>
      <w:r w:rsidR="005201BD" w:rsidRPr="005201BD">
        <w:rPr>
          <w:i/>
        </w:rPr>
        <w:t>tertium ens</w:t>
      </w:r>
      <w:r w:rsidR="005201BD" w:rsidRPr="005201BD">
        <w:t>.</w:t>
      </w:r>
      <w:r w:rsidR="005201BD">
        <w:t xml:space="preserve"> </w:t>
      </w:r>
      <w:r w:rsidR="08B645CE">
        <w:t xml:space="preserve">Logicky určená esence jako atomární substance matematiky </w:t>
      </w:r>
      <w:r w:rsidR="087F51AC">
        <w:t xml:space="preserve">sofisticky </w:t>
      </w:r>
      <w:r w:rsidR="08B645CE">
        <w:t>pohltila metafy</w:t>
      </w:r>
      <w:r w:rsidR="00D640E3">
        <w:t xml:space="preserve">zicky určenou druhou substanci. </w:t>
      </w:r>
      <w:r w:rsidR="00D640E3" w:rsidRPr="00D640E3">
        <w:t xml:space="preserve">Zatmění Slunce v Rufově moderní vědě přetvořilo antickou mytologickou moudrost v novou sofistiku, </w:t>
      </w:r>
      <w:r w:rsidR="00D640E3">
        <w:t xml:space="preserve">protože </w:t>
      </w:r>
      <w:r w:rsidR="00D640E3" w:rsidRPr="00D640E3">
        <w:t xml:space="preserve">iracionální síly Chaosu pohltily Slunce novým způsobem. V případě </w:t>
      </w:r>
      <w:r w:rsidR="00D640E3" w:rsidRPr="00D640E3">
        <w:rPr>
          <w:i/>
        </w:rPr>
        <w:t>via Modernorum</w:t>
      </w:r>
      <w:r w:rsidR="00D640E3" w:rsidRPr="00D640E3">
        <w:t xml:space="preserve"> </w:t>
      </w:r>
      <w:r w:rsidR="00D640E3">
        <w:t xml:space="preserve">už je to jen </w:t>
      </w:r>
      <w:r w:rsidR="00D640E3" w:rsidRPr="00D640E3">
        <w:t>tragikomické divadlo moderních iluminátů vedených chaotickými, a proto skutečnými Fúriemi.</w:t>
      </w:r>
      <w:r w:rsidR="00D640E3">
        <w:t xml:space="preserve"> </w:t>
      </w:r>
      <w:r w:rsidR="00724149">
        <w:t>V</w:t>
      </w:r>
      <w:r w:rsidR="00724149" w:rsidRPr="00724149">
        <w:t xml:space="preserve"> </w:t>
      </w:r>
      <w:r w:rsidR="00724149">
        <w:t xml:space="preserve">nastalé </w:t>
      </w:r>
      <w:r w:rsidR="00724149" w:rsidRPr="00724149">
        <w:t>skutečném ἐποχή analytického myšlení začalo univerzálně platit, že reálné bytí (οὐσία αὐτῶν) se redukuje na mat</w:t>
      </w:r>
      <w:r w:rsidR="00724149">
        <w:t>ematickou esenci</w:t>
      </w:r>
      <w:r w:rsidR="00724149" w:rsidRPr="00724149">
        <w:t xml:space="preserve">. Z této </w:t>
      </w:r>
      <w:r w:rsidR="00724149">
        <w:t xml:space="preserve">esence </w:t>
      </w:r>
      <w:r w:rsidR="00724149" w:rsidRPr="00724149">
        <w:t xml:space="preserve">(ἐκ τούτων ἐστί) se </w:t>
      </w:r>
      <w:r w:rsidR="00724149">
        <w:t xml:space="preserve">pak </w:t>
      </w:r>
      <w:r w:rsidR="00724149" w:rsidRPr="00724149">
        <w:t>odvozují v</w:t>
      </w:r>
      <w:r w:rsidR="00FA2D00">
        <w:t>šechny substance třetího druhu.</w:t>
      </w:r>
      <w:r w:rsidR="00B51794">
        <w:t xml:space="preserve"> </w:t>
      </w:r>
      <w:r w:rsidR="00B51794" w:rsidRPr="00B51794">
        <w:t xml:space="preserve">Modernisté pohltili skutečné Slunce a místo něj ukázali objektivní </w:t>
      </w:r>
      <w:r w:rsidR="00B51794" w:rsidRPr="00B51794">
        <w:rPr>
          <w:i/>
        </w:rPr>
        <w:t>scibile</w:t>
      </w:r>
      <w:r w:rsidR="00B51794" w:rsidRPr="00B51794">
        <w:t xml:space="preserve">. Cesta po </w:t>
      </w:r>
      <w:r w:rsidR="00B51794" w:rsidRPr="00B51794">
        <w:rPr>
          <w:i/>
        </w:rPr>
        <w:t>via Modernorum</w:t>
      </w:r>
      <w:r w:rsidR="00015618">
        <w:t xml:space="preserve"> byla inspi</w:t>
      </w:r>
      <w:r w:rsidR="00A64BCE">
        <w:t xml:space="preserve">rována Fúriemi, které </w:t>
      </w:r>
      <w:r w:rsidR="00015618">
        <w:t xml:space="preserve">založily </w:t>
      </w:r>
      <w:r w:rsidR="00A64BCE">
        <w:t>objektivní</w:t>
      </w:r>
      <w:r w:rsidR="00B51794" w:rsidRPr="00B51794">
        <w:t xml:space="preserve"> věd</w:t>
      </w:r>
      <w:r w:rsidR="00015618">
        <w:t>u</w:t>
      </w:r>
      <w:r w:rsidR="00A64BCE">
        <w:t xml:space="preserve">. </w:t>
      </w:r>
      <w:r w:rsidR="00CD2B33">
        <w:t>Po zatmění slunce v metafyzice si m</w:t>
      </w:r>
      <w:r w:rsidR="00A64BCE">
        <w:t xml:space="preserve">oderna si </w:t>
      </w:r>
      <w:r w:rsidR="00B51794" w:rsidRPr="00B51794">
        <w:t xml:space="preserve">vzala </w:t>
      </w:r>
      <w:r w:rsidR="00A64BCE">
        <w:t xml:space="preserve">svůj </w:t>
      </w:r>
      <w:r w:rsidR="00A64BCE" w:rsidRPr="00B51794">
        <w:t>intelekt</w:t>
      </w:r>
      <w:r w:rsidR="00A64BCE">
        <w:t xml:space="preserve">-slunce </w:t>
      </w:r>
      <w:r w:rsidR="00B51794" w:rsidRPr="00B51794">
        <w:t xml:space="preserve">za hlavní vodítko </w:t>
      </w:r>
      <w:r w:rsidR="00A64BCE">
        <w:t>cesty k současnému nihilismu</w:t>
      </w:r>
      <w:r w:rsidR="00B51794" w:rsidRPr="00B51794">
        <w:t>.</w:t>
      </w:r>
    </w:p>
    <w:p w14:paraId="59AE85CB" w14:textId="5F616135" w:rsidR="00636CDB" w:rsidRPr="08C91E2E" w:rsidRDefault="00506E24" w:rsidP="00803DE8">
      <w:pPr>
        <w:ind w:firstLine="397"/>
      </w:pPr>
      <w:r>
        <w:t>Rufus vzal</w:t>
      </w:r>
      <w:r w:rsidR="00C963C0" w:rsidRPr="00273106">
        <w:t xml:space="preserve"> geometrickou</w:t>
      </w:r>
      <w:r>
        <w:t xml:space="preserve"> definici univerzality a vztáhl</w:t>
      </w:r>
      <w:r w:rsidR="00C963C0" w:rsidRPr="00273106">
        <w:t xml:space="preserve"> ji v modu kategoriální predikace přímo k </w:t>
      </w:r>
      <w:r w:rsidR="006E664B" w:rsidRPr="00273106">
        <w:t xml:space="preserve">reálné první </w:t>
      </w:r>
      <w:r w:rsidR="00C963C0" w:rsidRPr="00273106">
        <w:t>substanci a ne k</w:t>
      </w:r>
      <w:r w:rsidR="006E664B" w:rsidRPr="00273106">
        <w:t>e druhé substanci dané v modu univerzálních kategorií</w:t>
      </w:r>
      <w:r w:rsidR="00E55E32">
        <w:fldChar w:fldCharType="begin"/>
      </w:r>
      <w:r w:rsidR="00E55E32">
        <w:instrText xml:space="preserve"> XE "</w:instrText>
      </w:r>
      <w:r w:rsidR="00E55E32" w:rsidRPr="00E55E32">
        <w:rPr>
          <w:i/>
        </w:rPr>
        <w:instrText>tertium ens</w:instrText>
      </w:r>
      <w:r w:rsidR="00E55E32" w:rsidRPr="00FF3138">
        <w:instrText>:Rufus</w:instrText>
      </w:r>
      <w:r w:rsidR="00E55E32">
        <w:instrText xml:space="preserve">" </w:instrText>
      </w:r>
      <w:r w:rsidR="00E55E32">
        <w:fldChar w:fldCharType="end"/>
      </w:r>
      <w:r w:rsidR="08710B9A">
        <w:t>. Definice</w:t>
      </w:r>
      <w:r w:rsidR="08EA079D">
        <w:t xml:space="preserve"> původně vztažená</w:t>
      </w:r>
      <w:r w:rsidR="00C963C0" w:rsidRPr="00273106">
        <w:t xml:space="preserve"> k hyparchické povaze </w:t>
      </w:r>
      <w:r w:rsidR="00C963C0" w:rsidRPr="08A41502">
        <w:t xml:space="preserve">univerzálie </w:t>
      </w:r>
      <w:r w:rsidR="08410952">
        <w:t xml:space="preserve">zvané „trojúhelník“ </w:t>
      </w:r>
      <w:r w:rsidR="08710B9A" w:rsidRPr="08A41502">
        <w:t xml:space="preserve">se </w:t>
      </w:r>
      <w:r w:rsidR="00C963C0" w:rsidRPr="08A41502">
        <w:t>rozšířil</w:t>
      </w:r>
      <w:r w:rsidR="08710B9A" w:rsidRPr="08A41502">
        <w:t>a</w:t>
      </w:r>
      <w:r w:rsidR="00C963C0" w:rsidRPr="08A41502">
        <w:t xml:space="preserve"> nerozliš</w:t>
      </w:r>
      <w:r w:rsidR="00C963C0" w:rsidRPr="00273106">
        <w:t>eně jak na esence, tak i na reálné substance determinované v rámci středního členu deduktivního soudu (</w:t>
      </w:r>
      <w:r w:rsidR="00C963C0" w:rsidRPr="00273106">
        <w:rPr>
          <w:i/>
        </w:rPr>
        <w:t>medium</w:t>
      </w:r>
      <w:r w:rsidR="00610F15">
        <w:rPr>
          <w:i/>
        </w:rPr>
        <w:fldChar w:fldCharType="begin"/>
      </w:r>
      <w:r w:rsidR="00610F15">
        <w:instrText xml:space="preserve"> XE "</w:instrText>
      </w:r>
      <w:r w:rsidR="00610F15" w:rsidRPr="001618A5">
        <w:rPr>
          <w:i/>
        </w:rPr>
        <w:instrText>medium:</w:instrText>
      </w:r>
      <w:r w:rsidR="008F6B86">
        <w:instrText>Rufus</w:instrText>
      </w:r>
      <w:r w:rsidR="00610F15">
        <w:instrText xml:space="preserve">" </w:instrText>
      </w:r>
      <w:r w:rsidR="00610F15">
        <w:rPr>
          <w:i/>
        </w:rPr>
        <w:fldChar w:fldCharType="end"/>
      </w:r>
      <w:r w:rsidR="00C963C0" w:rsidRPr="00273106">
        <w:t xml:space="preserve">). </w:t>
      </w:r>
      <w:r w:rsidR="00717C69" w:rsidRPr="00273106">
        <w:t>Podle Ruf</w:t>
      </w:r>
      <w:r w:rsidR="00717C69">
        <w:t xml:space="preserve">use zakládá </w:t>
      </w:r>
      <w:r w:rsidR="082204D3">
        <w:t xml:space="preserve">citovaná teze </w:t>
      </w:r>
      <w:r w:rsidR="08C21FC7">
        <w:t>o univerzálně pojaké predikaci geometrie (</w:t>
      </w:r>
      <w:r w:rsidR="08C21FC7" w:rsidRPr="08A41502">
        <w:t>κατὰ παντός τε ὑπάρχῃ</w:t>
      </w:r>
      <w:r w:rsidR="086B5EB7">
        <w:t xml:space="preserve">, </w:t>
      </w:r>
      <w:r w:rsidR="086B5EB7">
        <w:rPr>
          <w:i/>
        </w:rPr>
        <w:t>Anal. P</w:t>
      </w:r>
      <w:r w:rsidR="086B5EB7" w:rsidRPr="08292C65">
        <w:rPr>
          <w:i/>
        </w:rPr>
        <w:t>ost</w:t>
      </w:r>
      <w:r w:rsidR="086B5EB7">
        <w:t>. 73</w:t>
      </w:r>
      <w:r w:rsidR="086B5EB7" w:rsidRPr="083955D8">
        <w:t>b26‒27</w:t>
      </w:r>
      <w:r w:rsidR="086B5EB7">
        <w:fldChar w:fldCharType="begin"/>
      </w:r>
      <w:r w:rsidR="086B5EB7">
        <w:instrText xml:space="preserve"> XE "Aristoteles:</w:instrText>
      </w:r>
      <w:r w:rsidR="086B5EB7" w:rsidRPr="00032AA2">
        <w:rPr>
          <w:i/>
        </w:rPr>
        <w:instrText>Anal. Post</w:instrText>
      </w:r>
      <w:r w:rsidR="086B5EB7">
        <w:instrText xml:space="preserve">. 73b26‒27" </w:instrText>
      </w:r>
      <w:r w:rsidR="086B5EB7">
        <w:fldChar w:fldCharType="end"/>
      </w:r>
      <w:r w:rsidR="08C21FC7">
        <w:t xml:space="preserve">) metafyzický </w:t>
      </w:r>
      <w:r w:rsidR="00717C69" w:rsidRPr="00273106">
        <w:t xml:space="preserve">univerzální charakter predikace o jsoucnu jako jsoucím. </w:t>
      </w:r>
      <w:r w:rsidR="089F535F">
        <w:t xml:space="preserve">Z rodově specifické predikace </w:t>
      </w:r>
      <w:r w:rsidR="08E85E5A">
        <w:t xml:space="preserve">v rámci geometrie </w:t>
      </w:r>
      <w:r w:rsidR="089F535F">
        <w:t xml:space="preserve">stalo metafyzické určení jsoucna. </w:t>
      </w:r>
      <w:r w:rsidR="084F459F">
        <w:rPr>
          <w:rStyle w:val="TextpoznpodarouChar"/>
        </w:rPr>
        <w:t>Aristoteles</w:t>
      </w:r>
      <w:r w:rsidR="084F459F" w:rsidRPr="00273106">
        <w:rPr>
          <w:rStyle w:val="TextpoznpodarouChar"/>
        </w:rPr>
        <w:t xml:space="preserve"> odmítl</w:t>
      </w:r>
      <w:r w:rsidR="084F459F">
        <w:rPr>
          <w:rStyle w:val="TextpoznpodarouChar"/>
        </w:rPr>
        <w:t xml:space="preserve"> </w:t>
      </w:r>
      <w:r w:rsidR="084F459F">
        <w:t>u</w:t>
      </w:r>
      <w:r w:rsidR="08C20BBB">
        <w:t>ni</w:t>
      </w:r>
      <w:r w:rsidR="08A61580">
        <w:t xml:space="preserve">voční hyparchickou predikaci </w:t>
      </w:r>
      <w:r w:rsidR="08C20BBB">
        <w:rPr>
          <w:rStyle w:val="TextpoznpodarouChar"/>
        </w:rPr>
        <w:t>v citovaném textu o dvojí povaze univerzálií (</w:t>
      </w:r>
      <w:r w:rsidR="08C20BBB">
        <w:t>ὑπάρχει καθ' αὑτὰ τοῖ</w:t>
      </w:r>
      <w:r w:rsidR="08A61580">
        <w:t xml:space="preserve">ς πράγμασιν </w:t>
      </w:r>
      <w:r w:rsidR="08C20BBB">
        <w:t xml:space="preserve">καθ' αὑτὰ δὲ διττῶς, </w:t>
      </w:r>
      <w:r w:rsidR="08C20BBB" w:rsidRPr="08C20BBB">
        <w:rPr>
          <w:i/>
        </w:rPr>
        <w:t xml:space="preserve">Anal. Post. </w:t>
      </w:r>
      <w:r w:rsidR="08C20BBB" w:rsidRPr="08C20BBB">
        <w:t>84a12</w:t>
      </w:r>
      <w:r w:rsidR="08C20BBB" w:rsidRPr="08A41502">
        <w:fldChar w:fldCharType="begin"/>
      </w:r>
      <w:r w:rsidR="08C20BBB" w:rsidRPr="08A41502">
        <w:instrText xml:space="preserve"> XE "Aristoteles:</w:instrText>
      </w:r>
      <w:r w:rsidR="08C20BBB" w:rsidRPr="08C01DC4">
        <w:rPr>
          <w:i/>
        </w:rPr>
        <w:instrText>Anal. Post.</w:instrText>
      </w:r>
      <w:r w:rsidR="08C01DC4">
        <w:instrText xml:space="preserve"> 84</w:instrText>
      </w:r>
      <w:r w:rsidR="08C20BBB">
        <w:instrText>a12</w:instrText>
      </w:r>
      <w:r w:rsidR="08C20BBB" w:rsidRPr="08A41502">
        <w:instrText xml:space="preserve">" </w:instrText>
      </w:r>
      <w:r w:rsidR="08C20BBB" w:rsidRPr="08A41502">
        <w:fldChar w:fldCharType="end"/>
      </w:r>
      <w:r w:rsidR="08C20BBB">
        <w:rPr>
          <w:rStyle w:val="TextpoznpodarouChar"/>
        </w:rPr>
        <w:t>). V</w:t>
      </w:r>
      <w:r w:rsidR="08C21FC7">
        <w:rPr>
          <w:rStyle w:val="TextpoznpodarouChar"/>
        </w:rPr>
        <w:t>e vědeckém</w:t>
      </w:r>
      <w:r w:rsidR="08C20BBB">
        <w:rPr>
          <w:rStyle w:val="TextpoznpodarouChar"/>
        </w:rPr>
        <w:t xml:space="preserve"> důkazu </w:t>
      </w:r>
      <w:r w:rsidR="00C963C0" w:rsidRPr="00273106">
        <w:rPr>
          <w:rStyle w:val="TextpoznpodarouChar"/>
        </w:rPr>
        <w:t>nelze přecházet v poznání z jednoho rodu na druhý</w:t>
      </w:r>
      <w:r w:rsidR="08753CEB">
        <w:rPr>
          <w:rStyle w:val="TextpoznpodarouChar"/>
        </w:rPr>
        <w:t>, protože se predikují univerzálně-kauzální vztahy vzhledem ke druhé substanci</w:t>
      </w:r>
      <w:r w:rsidR="08A035C9">
        <w:rPr>
          <w:rStyle w:val="TextpoznpodarouChar"/>
        </w:rPr>
        <w:t xml:space="preserve"> jako nejvyššímu univočnímu rodu</w:t>
      </w:r>
      <w:r w:rsidR="00C963C0" w:rsidRPr="00273106">
        <w:rPr>
          <w:rStyle w:val="TextpoznpodarouChar"/>
        </w:rPr>
        <w:t xml:space="preserve">. </w:t>
      </w:r>
      <w:r w:rsidR="08F5515F">
        <w:rPr>
          <w:rStyle w:val="TextpoznpodarouChar"/>
        </w:rPr>
        <w:t xml:space="preserve">Univerzalita a nutnost nemají univoční status, pokud je hyparchické bytí dané v mysli v nebo realitě. </w:t>
      </w:r>
      <w:r w:rsidR="001C4DFC">
        <w:rPr>
          <w:rStyle w:val="linemarker-marked-line"/>
        </w:rPr>
        <w:t xml:space="preserve">Rufus </w:t>
      </w:r>
      <w:r w:rsidR="00803DE8">
        <w:rPr>
          <w:rStyle w:val="linemarker-marked-line"/>
        </w:rPr>
        <w:t xml:space="preserve">spojil supozici </w:t>
      </w:r>
      <w:r w:rsidR="00803DE8" w:rsidRPr="00803DE8">
        <w:rPr>
          <w:rStyle w:val="linemarker-marked-line"/>
        </w:rPr>
        <w:t xml:space="preserve">logických esencí a </w:t>
      </w:r>
      <w:r w:rsidR="00803DE8">
        <w:rPr>
          <w:rStyle w:val="linemarker-marked-line"/>
        </w:rPr>
        <w:t xml:space="preserve">impozici </w:t>
      </w:r>
      <w:r w:rsidR="00803DE8" w:rsidRPr="00803DE8">
        <w:rPr>
          <w:rStyle w:val="linemarker-marked-line"/>
        </w:rPr>
        <w:t>metafy</w:t>
      </w:r>
      <w:r w:rsidR="00803DE8">
        <w:rPr>
          <w:rStyle w:val="linemarker-marked-line"/>
        </w:rPr>
        <w:t>zické kauzality do jednoho rodu</w:t>
      </w:r>
      <w:r w:rsidR="00803DE8" w:rsidRPr="00803DE8">
        <w:rPr>
          <w:rStyle w:val="linemarker-marked-line"/>
        </w:rPr>
        <w:t>. Metafyzickou predikaci odvozenou z kauzality reálných prvních substancí podřídil logickému a analytickému diskurzu.</w:t>
      </w:r>
      <w:r w:rsidR="00803DE8">
        <w:rPr>
          <w:rStyle w:val="linemarker-marked-line"/>
        </w:rPr>
        <w:t xml:space="preserve"> </w:t>
      </w:r>
      <w:r w:rsidR="007377F4">
        <w:rPr>
          <w:rStyle w:val="linemarker-marked-line"/>
        </w:rPr>
        <w:t>Po Simplik</w:t>
      </w:r>
      <w:r w:rsidR="007377F4" w:rsidRPr="007377F4">
        <w:rPr>
          <w:rStyle w:val="linemarker-marked-line"/>
        </w:rPr>
        <w:t xml:space="preserve">iovi a Avicennovi provedl Rufus </w:t>
      </w:r>
      <w:r w:rsidR="007377F4" w:rsidRPr="007377F4">
        <w:rPr>
          <w:rStyle w:val="linemarker-marked-line"/>
          <w:i/>
        </w:rPr>
        <w:t>translatio studiorum</w:t>
      </w:r>
      <w:r w:rsidR="007377F4" w:rsidRPr="007377F4">
        <w:rPr>
          <w:rStyle w:val="linemarker-marked-line"/>
        </w:rPr>
        <w:t xml:space="preserve"> antického neoplatonismu </w:t>
      </w:r>
      <w:r w:rsidR="007377F4">
        <w:rPr>
          <w:rStyle w:val="linemarker-marked-line"/>
        </w:rPr>
        <w:t>do analytické filosofie</w:t>
      </w:r>
      <w:r w:rsidR="007377F4" w:rsidRPr="007377F4">
        <w:rPr>
          <w:rStyle w:val="linemarker-marked-line"/>
        </w:rPr>
        <w:t>.</w:t>
      </w:r>
      <w:r w:rsidR="007377F4">
        <w:rPr>
          <w:rStyle w:val="linemarker-marked-line"/>
        </w:rPr>
        <w:t xml:space="preserve"> </w:t>
      </w:r>
      <w:r w:rsidR="08B87696">
        <w:rPr>
          <w:rStyle w:val="linemarker-marked-line"/>
        </w:rPr>
        <w:t>Logická p</w:t>
      </w:r>
      <w:r w:rsidR="00636CDB" w:rsidRPr="00273106">
        <w:t>redikace</w:t>
      </w:r>
      <w:r w:rsidR="001D7805" w:rsidRPr="00273106">
        <w:t xml:space="preserve"> v mo</w:t>
      </w:r>
      <w:r w:rsidR="00AA782D" w:rsidRPr="00273106">
        <w:t xml:space="preserve">du </w:t>
      </w:r>
      <w:r w:rsidR="08E43ED7">
        <w:t xml:space="preserve">geometrické a matematické </w:t>
      </w:r>
      <w:r w:rsidR="00AA782D" w:rsidRPr="00273106">
        <w:t>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AA782D" w:rsidRPr="00273106">
        <w:t xml:space="preserve"> </w:t>
      </w:r>
      <w:r w:rsidR="00636CDB" w:rsidRPr="00273106">
        <w:t xml:space="preserve">byla </w:t>
      </w:r>
      <w:r w:rsidR="00AA782D" w:rsidRPr="00273106">
        <w:t>přesa</w:t>
      </w:r>
      <w:r w:rsidR="00636CDB" w:rsidRPr="00273106">
        <w:t xml:space="preserve">zena </w:t>
      </w:r>
      <w:r w:rsidR="00AA782D" w:rsidRPr="00273106">
        <w:t xml:space="preserve">do </w:t>
      </w:r>
      <w:r w:rsidR="08B87696">
        <w:t xml:space="preserve">metafyzické </w:t>
      </w:r>
      <w:r w:rsidR="001D7805" w:rsidRPr="00273106">
        <w:t xml:space="preserve">kategoriální predikace </w:t>
      </w:r>
      <w:r w:rsidR="00AA782D" w:rsidRPr="00273106">
        <w:t xml:space="preserve">dané hyparchickou funkcí první substance. </w:t>
      </w:r>
      <w:r w:rsidR="00960584">
        <w:t xml:space="preserve">Tím se zásadně změnil smysl vědeckého důkazu </w:t>
      </w:r>
      <w:r w:rsidR="004B055A">
        <w:t xml:space="preserve">podle </w:t>
      </w:r>
      <w:r w:rsidR="004B055A" w:rsidRPr="00170011">
        <w:rPr>
          <w:i/>
        </w:rPr>
        <w:t>Druhých analytik</w:t>
      </w:r>
      <w:r w:rsidR="084C6E39">
        <w:t xml:space="preserve">, který </w:t>
      </w:r>
      <w:r w:rsidR="00170011">
        <w:t xml:space="preserve">přešel </w:t>
      </w:r>
      <w:r w:rsidR="082A1CD2">
        <w:t xml:space="preserve">pod </w:t>
      </w:r>
      <w:r w:rsidR="08026051">
        <w:t xml:space="preserve">odborným vedením analytických Fúrií </w:t>
      </w:r>
      <w:r w:rsidR="00170011">
        <w:t xml:space="preserve">do </w:t>
      </w:r>
      <w:r w:rsidR="08EE2187">
        <w:t xml:space="preserve">radikálního </w:t>
      </w:r>
      <w:r w:rsidR="00BB0B7D">
        <w:t xml:space="preserve">modu </w:t>
      </w:r>
      <w:r w:rsidR="00BB0B7D" w:rsidRPr="00BB0B7D">
        <w:rPr>
          <w:i/>
        </w:rPr>
        <w:t>Oxfordian Fallacy</w:t>
      </w:r>
      <w:r w:rsidR="004B055A">
        <w:t xml:space="preserve">. </w:t>
      </w:r>
      <w:r w:rsidR="08082563">
        <w:t>Podíve</w:t>
      </w:r>
      <w:r w:rsidR="0870097A">
        <w:t>jm</w:t>
      </w:r>
      <w:r w:rsidR="08082563">
        <w:t>e</w:t>
      </w:r>
      <w:r w:rsidR="0870097A">
        <w:t xml:space="preserve"> se na transformaci tří principů</w:t>
      </w:r>
      <w:r w:rsidR="08E00F8B">
        <w:t xml:space="preserve"> formální </w:t>
      </w:r>
      <w:r w:rsidR="08C110F8">
        <w:t xml:space="preserve">logické univerzality </w:t>
      </w:r>
      <w:r w:rsidR="08B55F98">
        <w:t xml:space="preserve">podle </w:t>
      </w:r>
      <w:r w:rsidR="08555D69">
        <w:t xml:space="preserve">Rufusem vyložené </w:t>
      </w:r>
      <w:r w:rsidR="08B55F98">
        <w:t xml:space="preserve">části </w:t>
      </w:r>
      <w:r w:rsidR="08B55F98" w:rsidRPr="08B55F98">
        <w:rPr>
          <w:i/>
        </w:rPr>
        <w:t>Druhých analytik</w:t>
      </w:r>
      <w:r w:rsidR="08B55F98">
        <w:t xml:space="preserve"> </w:t>
      </w:r>
      <w:r w:rsidR="08E00F8B">
        <w:t>(</w:t>
      </w:r>
      <w:r w:rsidR="08E00F8B" w:rsidRPr="08E00F8B">
        <w:rPr>
          <w:i/>
        </w:rPr>
        <w:t>Anal. Post</w:t>
      </w:r>
      <w:r w:rsidR="08E00F8B">
        <w:t>. 73b25‒27</w:t>
      </w:r>
      <w:r w:rsidR="08E00F8B">
        <w:fldChar w:fldCharType="begin"/>
      </w:r>
      <w:r w:rsidR="08E00F8B">
        <w:instrText xml:space="preserve"> XE "Aristoteles:</w:instrText>
      </w:r>
      <w:r w:rsidR="08E00F8B" w:rsidRPr="001B2AC8">
        <w:rPr>
          <w:i/>
        </w:rPr>
        <w:instrText>Anal. Post</w:instrText>
      </w:r>
      <w:r w:rsidR="08E00F8B" w:rsidRPr="001B2AC8">
        <w:instrText>. 73b</w:instrText>
      </w:r>
      <w:r w:rsidR="08E00F8B">
        <w:instrText>25‒</w:instrText>
      </w:r>
      <w:r w:rsidR="08E00F8B" w:rsidRPr="001B2AC8">
        <w:instrText>27</w:instrText>
      </w:r>
      <w:r w:rsidR="08E00F8B">
        <w:instrText xml:space="preserve">" </w:instrText>
      </w:r>
      <w:r w:rsidR="08E00F8B">
        <w:fldChar w:fldCharType="end"/>
      </w:r>
      <w:r w:rsidR="087E35DB">
        <w:t xml:space="preserve">) z hlediska sofisticky pojaté kauzality. </w:t>
      </w:r>
      <w:r w:rsidR="083558B8">
        <w:t>Analyticky pojatá k</w:t>
      </w:r>
      <w:r w:rsidR="08E00F8B">
        <w:t xml:space="preserve">auza </w:t>
      </w:r>
      <w:r w:rsidR="087E35DB">
        <w:t>je nyní v modu univerzální</w:t>
      </w:r>
      <w:r w:rsidR="087E35DB" w:rsidRPr="087E35DB">
        <w:t xml:space="preserve"> </w:t>
      </w:r>
      <w:r w:rsidR="087E35DB">
        <w:t>hyparchie ke všem případům (</w:t>
      </w:r>
      <w:r w:rsidR="087E35DB" w:rsidRPr="08A41502">
        <w:t>παντός τε ὑπάρχῃ</w:t>
      </w:r>
      <w:r w:rsidR="087E35DB">
        <w:t xml:space="preserve">), </w:t>
      </w:r>
      <w:r w:rsidR="08E00F8B">
        <w:t xml:space="preserve">je dána v modu </w:t>
      </w:r>
      <w:r w:rsidR="08E00F8B" w:rsidRPr="083558B8">
        <w:rPr>
          <w:i/>
        </w:rPr>
        <w:t>per se</w:t>
      </w:r>
      <w:r w:rsidR="08E00F8B">
        <w:t xml:space="preserve"> (καθ’ αὑτὸ)</w:t>
      </w:r>
      <w:r w:rsidR="087E35DB">
        <w:t xml:space="preserve"> a je v logické identitě dané univer</w:t>
      </w:r>
      <w:r w:rsidR="08555D69">
        <w:t>z</w:t>
      </w:r>
      <w:r w:rsidR="087E35DB">
        <w:t xml:space="preserve">álně </w:t>
      </w:r>
      <w:r w:rsidR="08E00F8B">
        <w:t xml:space="preserve">(ᾗ αὑτὸ). </w:t>
      </w:r>
      <w:r w:rsidR="08555D69">
        <w:t xml:space="preserve">Rufus nemá s </w:t>
      </w:r>
      <w:r w:rsidR="08E00F8B">
        <w:t xml:space="preserve">určením </w:t>
      </w:r>
      <w:r w:rsidR="087E35DB">
        <w:t xml:space="preserve">kauzality a univerzality </w:t>
      </w:r>
      <w:r w:rsidR="08E00F8B">
        <w:t xml:space="preserve">žádný problém, protože univočně spojil logickou a metafyzickou abstrakci do objektivního určení jsoucna třetího druhu. </w:t>
      </w:r>
      <w:r w:rsidR="004B055A">
        <w:t>M</w:t>
      </w:r>
      <w:r w:rsidR="00960584">
        <w:t xml:space="preserve">atematická abstrakce nahradila </w:t>
      </w:r>
      <w:r w:rsidR="004B055A">
        <w:t xml:space="preserve">metafyzickou </w:t>
      </w:r>
      <w:r w:rsidR="00960584">
        <w:t>abstrakci danou vzhledem reálném</w:t>
      </w:r>
      <w:r w:rsidR="0883586D">
        <w:t>u působení astronomických těles</w:t>
      </w:r>
      <w:r w:rsidR="00960584">
        <w:fldChar w:fldCharType="begin"/>
      </w:r>
      <w:r w:rsidR="00960584">
        <w:instrText xml:space="preserve"> XE "zatmění</w:instrText>
      </w:r>
      <w:r w:rsidR="00960584" w:rsidRPr="082526E0">
        <w:rPr>
          <w:i/>
        </w:rPr>
        <w:instrText>:Druhé analytiky</w:instrText>
      </w:r>
      <w:r w:rsidR="00960584">
        <w:instrText xml:space="preserve">" </w:instrText>
      </w:r>
      <w:r w:rsidR="00960584">
        <w:fldChar w:fldCharType="end"/>
      </w:r>
      <w:r w:rsidR="00960584">
        <w:t xml:space="preserve">. </w:t>
      </w:r>
      <w:r w:rsidR="00636CDB" w:rsidRPr="00273106">
        <w:t>Kompletní zatmění první substance</w:t>
      </w:r>
      <w:r w:rsidR="009720C7">
        <w:t xml:space="preserve"> </w:t>
      </w:r>
      <w:r w:rsidR="0883586D">
        <w:t xml:space="preserve">v analytickém výkladu vědy </w:t>
      </w:r>
      <w:r w:rsidR="08082563">
        <w:t xml:space="preserve">jako moderní </w:t>
      </w:r>
      <w:r w:rsidR="08082563" w:rsidRPr="08082563">
        <w:rPr>
          <w:i/>
        </w:rPr>
        <w:t>Unified Science</w:t>
      </w:r>
      <w:r w:rsidR="08082563">
        <w:rPr>
          <w:i/>
        </w:rPr>
        <w:fldChar w:fldCharType="begin"/>
      </w:r>
      <w:r w:rsidR="08082563">
        <w:instrText xml:space="preserve"> XE "</w:instrText>
      </w:r>
      <w:r w:rsidR="08082563" w:rsidRPr="086F24A8">
        <w:rPr>
          <w:i/>
        </w:rPr>
        <w:instrText>Unified Science</w:instrText>
      </w:r>
      <w:r w:rsidR="08082563">
        <w:instrText xml:space="preserve">" </w:instrText>
      </w:r>
      <w:r w:rsidR="08082563">
        <w:rPr>
          <w:i/>
        </w:rPr>
        <w:fldChar w:fldCharType="end"/>
      </w:r>
      <w:r w:rsidR="08082563">
        <w:t xml:space="preserve"> </w:t>
      </w:r>
      <w:r w:rsidR="00636CDB" w:rsidRPr="00273106">
        <w:t>ukazuje tento citát.</w:t>
      </w:r>
    </w:p>
    <w:p w14:paraId="174F9158" w14:textId="292E4FC9" w:rsidR="00636CDB" w:rsidRPr="00273106" w:rsidRDefault="00636CDB" w:rsidP="00636CDB">
      <w:pPr>
        <w:pStyle w:val="Citace"/>
        <w:rPr>
          <w:noProof/>
          <w:lang w:val="cs-CZ"/>
        </w:rPr>
      </w:pPr>
      <w:r w:rsidRPr="00273106">
        <w:rPr>
          <w:noProof/>
          <w:lang w:val="cs-CZ"/>
        </w:rPr>
        <w:t xml:space="preserve">„Ve vlastním smyslu je </w:t>
      </w:r>
      <w:r w:rsidR="0805093F">
        <w:rPr>
          <w:noProof/>
          <w:lang w:val="cs-CZ"/>
        </w:rPr>
        <w:t xml:space="preserve">univerzální </w:t>
      </w:r>
      <w:r w:rsidRPr="00273106">
        <w:rPr>
          <w:noProof/>
          <w:lang w:val="cs-CZ"/>
        </w:rPr>
        <w:t>určení 'skrze sebe' (</w:t>
      </w:r>
      <w:r w:rsidRPr="00273106">
        <w:rPr>
          <w:i/>
          <w:noProof/>
          <w:lang w:val="cs-CZ"/>
        </w:rPr>
        <w:t>per se</w:t>
      </w:r>
      <w:r w:rsidR="00B94F5F">
        <w:rPr>
          <w:noProof/>
          <w:lang w:val="cs-CZ"/>
        </w:rPr>
        <w:t>) dané</w:t>
      </w:r>
      <w:r w:rsidR="0898216E">
        <w:rPr>
          <w:noProof/>
          <w:lang w:val="cs-CZ"/>
        </w:rPr>
        <w:t xml:space="preserve"> tehdy</w:t>
      </w:r>
      <w:r w:rsidR="00B94F5F">
        <w:rPr>
          <w:noProof/>
          <w:lang w:val="cs-CZ"/>
        </w:rPr>
        <w:t xml:space="preserve">, pokud vztahem </w:t>
      </w:r>
      <w:r w:rsidR="00B52B0D">
        <w:rPr>
          <w:noProof/>
          <w:lang w:val="cs-CZ"/>
        </w:rPr>
        <w:t>k sobě samému (</w:t>
      </w:r>
      <w:r w:rsidR="00B52B0D" w:rsidRPr="00B52B0D">
        <w:rPr>
          <w:i/>
        </w:rPr>
        <w:t>in sua relatione</w:t>
      </w:r>
      <w:r w:rsidR="00B52B0D">
        <w:rPr>
          <w:noProof/>
          <w:lang w:val="cs-CZ"/>
        </w:rPr>
        <w:t xml:space="preserve">) zakládá </w:t>
      </w:r>
      <w:r w:rsidR="0081023D">
        <w:rPr>
          <w:noProof/>
          <w:lang w:val="cs-CZ"/>
        </w:rPr>
        <w:t xml:space="preserve">plné definiční </w:t>
      </w:r>
      <w:r w:rsidR="00B52B0D">
        <w:rPr>
          <w:noProof/>
          <w:lang w:val="cs-CZ"/>
        </w:rPr>
        <w:t>určení (</w:t>
      </w:r>
      <w:r w:rsidR="00B52B0D" w:rsidRPr="00B52B0D">
        <w:rPr>
          <w:i/>
        </w:rPr>
        <w:t>completam facit definitionem</w:t>
      </w:r>
      <w:r w:rsidR="00B52B0D">
        <w:rPr>
          <w:noProof/>
          <w:lang w:val="cs-CZ"/>
        </w:rPr>
        <w:t>)</w:t>
      </w:r>
      <w:r w:rsidRPr="00273106">
        <w:rPr>
          <w:noProof/>
          <w:lang w:val="cs-CZ"/>
        </w:rPr>
        <w:t xml:space="preserve">. Pak určení 'skrze sebe' připadá jakémukoliv </w:t>
      </w:r>
      <w:r w:rsidR="0805093F">
        <w:rPr>
          <w:noProof/>
          <w:lang w:val="cs-CZ"/>
        </w:rPr>
        <w:t>jsoucnu</w:t>
      </w:r>
      <w:r w:rsidR="0898216E">
        <w:rPr>
          <w:noProof/>
          <w:lang w:val="cs-CZ"/>
        </w:rPr>
        <w:t xml:space="preserve"> (</w:t>
      </w:r>
      <w:r w:rsidR="0898216E" w:rsidRPr="0898216E">
        <w:rPr>
          <w:i/>
        </w:rPr>
        <w:t>aliquid alicui secundum se totum</w:t>
      </w:r>
      <w:r w:rsidR="0898216E">
        <w:rPr>
          <w:noProof/>
          <w:lang w:val="cs-CZ"/>
        </w:rPr>
        <w:t>)</w:t>
      </w:r>
      <w:r w:rsidRPr="00273106">
        <w:rPr>
          <w:noProof/>
          <w:lang w:val="cs-CZ"/>
        </w:rPr>
        <w:t>, které skrze sebe tvoří celek</w:t>
      </w:r>
      <w:r w:rsidR="00663125" w:rsidRPr="00273106">
        <w:rPr>
          <w:noProof/>
          <w:lang w:val="cs-CZ"/>
        </w:rPr>
        <w:t xml:space="preserve"> (</w:t>
      </w:r>
      <w:r w:rsidR="00663125" w:rsidRPr="00273106">
        <w:rPr>
          <w:i/>
          <w:noProof/>
          <w:lang w:val="cs-CZ"/>
        </w:rPr>
        <w:t>secundum se totum</w:t>
      </w:r>
      <w:r w:rsidR="00663125" w:rsidRPr="00273106">
        <w:rPr>
          <w:noProof/>
          <w:lang w:val="cs-CZ"/>
        </w:rPr>
        <w:t>)</w:t>
      </w:r>
      <w:r w:rsidR="001B06FC">
        <w:rPr>
          <w:noProof/>
          <w:lang w:val="cs-CZ"/>
        </w:rPr>
        <w:t xml:space="preserve">. Toto jsoucno </w:t>
      </w:r>
      <w:r w:rsidRPr="00273106">
        <w:rPr>
          <w:noProof/>
          <w:lang w:val="cs-CZ"/>
        </w:rPr>
        <w:t>není dá</w:t>
      </w:r>
      <w:r w:rsidR="001B06FC">
        <w:rPr>
          <w:noProof/>
          <w:lang w:val="cs-CZ"/>
        </w:rPr>
        <w:t xml:space="preserve">no skrze </w:t>
      </w:r>
      <w:r w:rsidRPr="00273106">
        <w:rPr>
          <w:noProof/>
          <w:lang w:val="cs-CZ"/>
        </w:rPr>
        <w:t>jiné</w:t>
      </w:r>
      <w:r w:rsidR="001B06FC">
        <w:rPr>
          <w:noProof/>
          <w:lang w:val="cs-CZ"/>
        </w:rPr>
        <w:t xml:space="preserve"> určení, které by </w:t>
      </w:r>
      <w:r w:rsidRPr="00273106">
        <w:rPr>
          <w:noProof/>
          <w:lang w:val="cs-CZ"/>
        </w:rPr>
        <w:t xml:space="preserve">k němu </w:t>
      </w:r>
      <w:r w:rsidR="00A53E45">
        <w:rPr>
          <w:noProof/>
          <w:lang w:val="cs-CZ"/>
        </w:rPr>
        <w:t>hyparchicky</w:t>
      </w:r>
      <w:r w:rsidR="0805093F">
        <w:rPr>
          <w:noProof/>
          <w:lang w:val="cs-CZ"/>
        </w:rPr>
        <w:t xml:space="preserve"> </w:t>
      </w:r>
      <w:r w:rsidRPr="00273106">
        <w:rPr>
          <w:noProof/>
          <w:lang w:val="cs-CZ"/>
        </w:rPr>
        <w:t>při</w:t>
      </w:r>
      <w:r w:rsidR="001B06FC">
        <w:rPr>
          <w:noProof/>
          <w:lang w:val="cs-CZ"/>
        </w:rPr>
        <w:t xml:space="preserve">šlo </w:t>
      </w:r>
      <w:r w:rsidRPr="00273106">
        <w:rPr>
          <w:noProof/>
          <w:lang w:val="cs-CZ"/>
        </w:rPr>
        <w:t>zvnějšku</w:t>
      </w:r>
      <w:r w:rsidR="08B77AFA">
        <w:rPr>
          <w:noProof/>
          <w:lang w:val="cs-CZ"/>
        </w:rPr>
        <w:t xml:space="preserve"> (</w:t>
      </w:r>
      <w:r w:rsidR="08B77AFA" w:rsidRPr="08B77AFA">
        <w:rPr>
          <w:i/>
        </w:rPr>
        <w:t>non per aliquid sui convenit ei</w:t>
      </w:r>
      <w:r w:rsidR="08B77AFA">
        <w:rPr>
          <w:noProof/>
          <w:lang w:val="cs-CZ"/>
        </w:rPr>
        <w:t>)</w:t>
      </w:r>
      <w:r w:rsidRPr="00273106">
        <w:rPr>
          <w:noProof/>
          <w:lang w:val="cs-CZ"/>
        </w:rPr>
        <w:t xml:space="preserve">. </w:t>
      </w:r>
      <w:r w:rsidR="00B13567">
        <w:rPr>
          <w:noProof/>
          <w:lang w:val="cs-CZ"/>
        </w:rPr>
        <w:t>Po</w:t>
      </w:r>
      <w:r w:rsidR="00DB4CDE">
        <w:rPr>
          <w:noProof/>
          <w:lang w:val="cs-CZ"/>
        </w:rPr>
        <w:t xml:space="preserve">kud </w:t>
      </w:r>
      <w:r w:rsidR="00B13567">
        <w:rPr>
          <w:noProof/>
          <w:lang w:val="cs-CZ"/>
        </w:rPr>
        <w:t>tento případ nenastal, pak v</w:t>
      </w:r>
      <w:r w:rsidR="00663125" w:rsidRPr="00273106">
        <w:rPr>
          <w:noProof/>
          <w:lang w:val="cs-CZ"/>
        </w:rPr>
        <w:t xml:space="preserve"> prvním modu </w:t>
      </w:r>
      <w:r w:rsidR="00A53E45">
        <w:rPr>
          <w:noProof/>
          <w:lang w:val="cs-CZ"/>
        </w:rPr>
        <w:t>hyparchické predikace</w:t>
      </w:r>
      <w:r w:rsidR="0805093F">
        <w:rPr>
          <w:noProof/>
          <w:lang w:val="cs-CZ"/>
        </w:rPr>
        <w:t xml:space="preserve"> </w:t>
      </w:r>
      <w:r w:rsidR="00B13567">
        <w:rPr>
          <w:noProof/>
          <w:lang w:val="cs-CZ"/>
        </w:rPr>
        <w:t>existuje</w:t>
      </w:r>
      <w:r w:rsidR="00A42318">
        <w:rPr>
          <w:noProof/>
          <w:lang w:val="cs-CZ"/>
        </w:rPr>
        <w:t xml:space="preserve"> </w:t>
      </w:r>
      <w:r w:rsidR="00663125" w:rsidRPr="00273106">
        <w:rPr>
          <w:noProof/>
          <w:lang w:val="cs-CZ"/>
        </w:rPr>
        <w:t>shoda mezi nutnou identitou celku (</w:t>
      </w:r>
      <w:r w:rsidR="00663125" w:rsidRPr="00273106">
        <w:rPr>
          <w:i/>
          <w:noProof/>
          <w:lang w:val="cs-CZ"/>
        </w:rPr>
        <w:t>idem per-se</w:t>
      </w:r>
      <w:r w:rsidR="082D133B">
        <w:rPr>
          <w:noProof/>
          <w:lang w:val="cs-CZ"/>
        </w:rPr>
        <w:t xml:space="preserve">) a jeho </w:t>
      </w:r>
      <w:r w:rsidR="00663125" w:rsidRPr="00273106">
        <w:rPr>
          <w:noProof/>
          <w:lang w:val="cs-CZ"/>
        </w:rPr>
        <w:t>daností</w:t>
      </w:r>
      <w:r w:rsidRPr="00273106">
        <w:rPr>
          <w:noProof/>
          <w:lang w:val="cs-CZ"/>
        </w:rPr>
        <w:t xml:space="preserve"> skrze sebe</w:t>
      </w:r>
      <w:r w:rsidR="00663125" w:rsidRPr="00273106">
        <w:rPr>
          <w:noProof/>
          <w:lang w:val="cs-CZ"/>
        </w:rPr>
        <w:t xml:space="preserve"> (</w:t>
      </w:r>
      <w:r w:rsidR="00663125" w:rsidRPr="00273106">
        <w:rPr>
          <w:i/>
          <w:noProof/>
          <w:lang w:val="cs-CZ"/>
        </w:rPr>
        <w:t>secundum-quod-ipsum-est</w:t>
      </w:r>
      <w:r w:rsidR="00663125" w:rsidRPr="00273106">
        <w:rPr>
          <w:noProof/>
          <w:lang w:val="cs-CZ"/>
        </w:rPr>
        <w:t>)</w:t>
      </w:r>
      <w:r w:rsidR="000971B8" w:rsidRPr="00273106">
        <w:rPr>
          <w:noProof/>
          <w:lang w:val="cs-CZ"/>
        </w:rPr>
        <w:t>. P</w:t>
      </w:r>
      <w:r w:rsidRPr="00273106">
        <w:rPr>
          <w:noProof/>
          <w:lang w:val="cs-CZ"/>
        </w:rPr>
        <w:t>lná jednota jsoucna je dána jen v</w:t>
      </w:r>
      <w:r w:rsidR="00AA41F5">
        <w:rPr>
          <w:noProof/>
          <w:lang w:val="cs-CZ"/>
        </w:rPr>
        <w:t xml:space="preserve"> tomto </w:t>
      </w:r>
      <w:r w:rsidR="00CE5BAE">
        <w:rPr>
          <w:noProof/>
          <w:lang w:val="cs-CZ"/>
        </w:rPr>
        <w:t xml:space="preserve">dvojím </w:t>
      </w:r>
      <w:r w:rsidR="00AA41F5">
        <w:rPr>
          <w:noProof/>
          <w:lang w:val="cs-CZ"/>
        </w:rPr>
        <w:t>m</w:t>
      </w:r>
      <w:r w:rsidRPr="00273106">
        <w:rPr>
          <w:noProof/>
          <w:lang w:val="cs-CZ"/>
        </w:rPr>
        <w:t xml:space="preserve">odu. Jiná určení jsoucna daná mimo </w:t>
      </w:r>
      <w:r w:rsidR="00CE5BAE">
        <w:rPr>
          <w:noProof/>
          <w:lang w:val="cs-CZ"/>
        </w:rPr>
        <w:t xml:space="preserve">tento dvojí </w:t>
      </w:r>
      <w:r w:rsidRPr="00273106">
        <w:rPr>
          <w:noProof/>
          <w:lang w:val="cs-CZ"/>
        </w:rPr>
        <w:t xml:space="preserve">vztah 'skrze sebe' jsou do této definice zahrnuta </w:t>
      </w:r>
      <w:r w:rsidR="00CE5BAE">
        <w:rPr>
          <w:noProof/>
          <w:lang w:val="cs-CZ"/>
        </w:rPr>
        <w:t xml:space="preserve">na základě jejich </w:t>
      </w:r>
      <w:r w:rsidRPr="00273106">
        <w:rPr>
          <w:noProof/>
          <w:lang w:val="cs-CZ"/>
        </w:rPr>
        <w:t xml:space="preserve">odlišnosti.“ </w:t>
      </w:r>
      <w:r w:rsidRPr="00273106">
        <w:rPr>
          <w:rStyle w:val="Znakapoznpodarou"/>
          <w:noProof/>
          <w:lang w:val="cs-CZ"/>
        </w:rPr>
        <w:footnoteReference w:id="390"/>
      </w:r>
    </w:p>
    <w:p w14:paraId="2C97FE92" w14:textId="37CA145D" w:rsidR="00C354F2" w:rsidRDefault="00E946A4" w:rsidP="00D91C17">
      <w:r>
        <w:t xml:space="preserve">Úvodní </w:t>
      </w:r>
      <w:r w:rsidR="00B52B0D">
        <w:t>určení atomární substance</w:t>
      </w:r>
      <w:r w:rsidR="00A70FA4">
        <w:fldChar w:fldCharType="begin"/>
      </w:r>
      <w:r w:rsidR="00A70FA4">
        <w:instrText xml:space="preserve"> XE "</w:instrText>
      </w:r>
      <w:r w:rsidR="00A70FA4" w:rsidRPr="00DE2A32">
        <w:instrText>substance</w:instrText>
      </w:r>
      <w:r w:rsidR="00170DAE">
        <w:instrText>:Rufus</w:instrText>
      </w:r>
      <w:r w:rsidR="00A70FA4">
        <w:instrText xml:space="preserve">" </w:instrText>
      </w:r>
      <w:r w:rsidR="00A70FA4">
        <w:fldChar w:fldCharType="end"/>
      </w:r>
      <w:r w:rsidR="00B52B0D">
        <w:t xml:space="preserve"> </w:t>
      </w:r>
      <w:r>
        <w:t xml:space="preserve">v modu </w:t>
      </w:r>
      <w:r w:rsidRPr="00E946A4">
        <w:rPr>
          <w:i/>
        </w:rPr>
        <w:t>per se</w:t>
      </w:r>
      <w:r>
        <w:t xml:space="preserve"> </w:t>
      </w:r>
      <w:r w:rsidR="00B52B0D">
        <w:t xml:space="preserve">je čistě formální, protože nerozlišuje mezi </w:t>
      </w:r>
      <w:r w:rsidR="00CE16F6">
        <w:t>impozicí existence</w:t>
      </w:r>
      <w:r w:rsidR="00B52B0D">
        <w:t xml:space="preserve"> a </w:t>
      </w:r>
      <w:r w:rsidR="00CE16F6">
        <w:t>supozicí esence</w:t>
      </w:r>
      <w:r w:rsidR="00B52B0D">
        <w:t>.</w:t>
      </w:r>
      <w:r w:rsidR="00AD27BA">
        <w:t xml:space="preserve"> Každá</w:t>
      </w:r>
      <w:r w:rsidR="00B52B0D">
        <w:t xml:space="preserve"> u</w:t>
      </w:r>
      <w:r w:rsidR="00AD27BA">
        <w:t>niverzálie a reálná</w:t>
      </w:r>
      <w:r w:rsidR="00B52B0D">
        <w:t xml:space="preserve"> věc </w:t>
      </w:r>
      <w:r w:rsidR="00AD27BA">
        <w:t xml:space="preserve">existující </w:t>
      </w:r>
      <w:r w:rsidR="00AD27BA" w:rsidRPr="00AD27BA">
        <w:rPr>
          <w:i/>
        </w:rPr>
        <w:t>per se</w:t>
      </w:r>
      <w:r w:rsidR="00AD27BA">
        <w:t xml:space="preserve"> má</w:t>
      </w:r>
      <w:r w:rsidR="00B52B0D">
        <w:t xml:space="preserve"> formou sebevztahu, který tvoří jejich fo</w:t>
      </w:r>
      <w:r w:rsidR="00AD27BA">
        <w:t>r</w:t>
      </w:r>
      <w:r w:rsidR="00B52B0D">
        <w:t>máln</w:t>
      </w:r>
      <w:r w:rsidR="00AD27BA">
        <w:t>ě</w:t>
      </w:r>
      <w:r w:rsidR="00B52B0D">
        <w:t xml:space="preserve"> danou identitu. </w:t>
      </w:r>
      <w:r w:rsidR="00A553BA">
        <w:t>Inspiraci</w:t>
      </w:r>
      <w:r w:rsidR="0081023D">
        <w:t xml:space="preserve"> této části </w:t>
      </w:r>
      <w:r w:rsidR="00A553BA">
        <w:t xml:space="preserve">definice je třeba hledat v </w:t>
      </w:r>
      <w:r w:rsidR="0081023D">
        <w:t>Avi</w:t>
      </w:r>
      <w:r w:rsidR="08DB38FF">
        <w:t>cennově pojetí objektivně dané koňovitosti</w:t>
      </w:r>
      <w:r w:rsidR="0081023D">
        <w:t xml:space="preserve"> (</w:t>
      </w:r>
      <w:r w:rsidR="0081023D" w:rsidRPr="0081023D">
        <w:rPr>
          <w:i/>
        </w:rPr>
        <w:t>equinitas tantum</w:t>
      </w:r>
      <w:r w:rsidR="00D868A9">
        <w:rPr>
          <w:i/>
        </w:rPr>
        <w:fldChar w:fldCharType="begin"/>
      </w:r>
      <w:r w:rsidR="00D868A9">
        <w:instrText xml:space="preserve"> XE "</w:instrText>
      </w:r>
      <w:r w:rsidR="00170DAE" w:rsidRPr="0081023D">
        <w:rPr>
          <w:i/>
        </w:rPr>
        <w:instrText>equinitas tantum</w:instrText>
      </w:r>
      <w:r w:rsidR="00D868A9">
        <w:instrText xml:space="preserve">" </w:instrText>
      </w:r>
      <w:r w:rsidR="00D868A9">
        <w:rPr>
          <w:i/>
        </w:rPr>
        <w:fldChar w:fldCharType="end"/>
      </w:r>
      <w:r w:rsidR="087609E0">
        <w:t xml:space="preserve">; OBJ I, </w:t>
      </w:r>
      <w:r w:rsidR="0081023D" w:rsidRPr="00273106">
        <w:t>kap. 2.3.2</w:t>
      </w:r>
      <w:r w:rsidR="0081023D">
        <w:t xml:space="preserve">). </w:t>
      </w:r>
      <w:r w:rsidR="00A553BA">
        <w:t>Objektivní d</w:t>
      </w:r>
      <w:r w:rsidR="00AD27BA">
        <w:t xml:space="preserve">efinice </w:t>
      </w:r>
      <w:r w:rsidR="00636CDB" w:rsidRPr="00273106">
        <w:t xml:space="preserve">trojúhelníka je </w:t>
      </w:r>
      <w:r w:rsidR="00AD27BA">
        <w:t xml:space="preserve">dána </w:t>
      </w:r>
      <w:r w:rsidR="00636CDB" w:rsidRPr="00273106">
        <w:t>v modu</w:t>
      </w:r>
      <w:r w:rsidR="00636CDB" w:rsidRPr="00273106">
        <w:rPr>
          <w:i/>
        </w:rPr>
        <w:t xml:space="preserve"> secundum-quod-ipsum-est</w:t>
      </w:r>
      <w:r w:rsidR="00636CDB" w:rsidRPr="00273106">
        <w:t xml:space="preserve"> (καθ' αὑτὸ καὶ ᾗ αὐ</w:t>
      </w:r>
      <w:r w:rsidR="00A553BA">
        <w:t>τό</w:t>
      </w:r>
      <w:r w:rsidR="08C01DC4">
        <w:t xml:space="preserve">, </w:t>
      </w:r>
      <w:r w:rsidR="08C01DC4" w:rsidRPr="08E00F8B">
        <w:rPr>
          <w:i/>
        </w:rPr>
        <w:t>Anal. Post</w:t>
      </w:r>
      <w:r w:rsidR="08C01DC4">
        <w:t>. 73b27</w:t>
      </w:r>
      <w:r w:rsidR="08C01DC4">
        <w:fldChar w:fldCharType="begin"/>
      </w:r>
      <w:r w:rsidR="08C01DC4">
        <w:instrText xml:space="preserve"> XE "Aristoteles:</w:instrText>
      </w:r>
      <w:r w:rsidR="08C01DC4" w:rsidRPr="001B2AC8">
        <w:rPr>
          <w:i/>
        </w:rPr>
        <w:instrText>Anal. Post</w:instrText>
      </w:r>
      <w:r w:rsidR="08C01DC4" w:rsidRPr="001B2AC8">
        <w:instrText>. 73b27</w:instrText>
      </w:r>
      <w:r w:rsidR="08C01DC4">
        <w:instrText xml:space="preserve">" </w:instrText>
      </w:r>
      <w:r w:rsidR="08C01DC4">
        <w:fldChar w:fldCharType="end"/>
      </w:r>
      <w:r w:rsidR="08C01DC4">
        <w:t>)</w:t>
      </w:r>
      <w:r w:rsidR="08ED7AFB">
        <w:t xml:space="preserve">. Tento modus </w:t>
      </w:r>
      <w:r w:rsidR="08DB38FF">
        <w:t xml:space="preserve">sofisticky spojuje </w:t>
      </w:r>
      <w:r w:rsidR="08ED7AFB">
        <w:t xml:space="preserve">obě určení </w:t>
      </w:r>
      <w:r w:rsidR="08DB38FF" w:rsidRPr="08DB38FF">
        <w:rPr>
          <w:i/>
        </w:rPr>
        <w:t>simpliciter</w:t>
      </w:r>
      <w:r w:rsidR="08DB38FF">
        <w:t xml:space="preserve"> a </w:t>
      </w:r>
      <w:r w:rsidR="08DB38FF" w:rsidRPr="08DB38FF">
        <w:rPr>
          <w:i/>
        </w:rPr>
        <w:t>per se</w:t>
      </w:r>
      <w:r w:rsidR="08FF2BEB">
        <w:t xml:space="preserve"> </w:t>
      </w:r>
      <w:r w:rsidR="08ED7AFB">
        <w:t xml:space="preserve">původně </w:t>
      </w:r>
      <w:r w:rsidR="087770BE">
        <w:t xml:space="preserve">rozlišená </w:t>
      </w:r>
      <w:r w:rsidR="08FF2BEB">
        <w:t xml:space="preserve">metafyzicky a logicky. </w:t>
      </w:r>
      <w:r w:rsidR="00A553BA">
        <w:t xml:space="preserve">Znovu platí předešlý výklad </w:t>
      </w:r>
      <w:r w:rsidR="00A553BA" w:rsidRPr="00A553BA">
        <w:rPr>
          <w:i/>
        </w:rPr>
        <w:t>Oxfordian Fallacy</w:t>
      </w:r>
      <w:r w:rsidR="00A553BA">
        <w:t xml:space="preserve">, který univočně spojil </w:t>
      </w:r>
      <w:r w:rsidR="084068B6">
        <w:t xml:space="preserve">logickou a metafyzickou predikaci univerzality. </w:t>
      </w:r>
      <w:r w:rsidR="0078051A">
        <w:t>U definice trojúhe</w:t>
      </w:r>
      <w:r w:rsidR="00A553BA">
        <w:t>lníka je to</w:t>
      </w:r>
      <w:r w:rsidR="08DB38FF">
        <w:t xml:space="preserve">to spojení </w:t>
      </w:r>
      <w:r w:rsidR="00A553BA">
        <w:t>v pořádku</w:t>
      </w:r>
      <w:r w:rsidR="08C441E4">
        <w:t>, protože supozice a impozice zahrnuje totéž hyparchické bytí dané v mysli</w:t>
      </w:r>
      <w:r w:rsidR="08DB38FF">
        <w:t xml:space="preserve">. Ale pro </w:t>
      </w:r>
      <w:r w:rsidR="00A553BA">
        <w:t xml:space="preserve">zatmění </w:t>
      </w:r>
      <w:r w:rsidR="082B125D">
        <w:t>Slunce či M</w:t>
      </w:r>
      <w:r w:rsidR="00855C73">
        <w:t xml:space="preserve">ěsíce jako reálných substancí jde o </w:t>
      </w:r>
      <w:r w:rsidR="0883586D">
        <w:t xml:space="preserve">metafyzický </w:t>
      </w:r>
      <w:r w:rsidR="00855C73">
        <w:t>omyl daný rodovou odlišností první a druhé substance</w:t>
      </w:r>
      <w:r w:rsidR="0883586D">
        <w:t xml:space="preserve"> (</w:t>
      </w:r>
      <w:r w:rsidR="0883586D">
        <w:rPr>
          <w:i/>
        </w:rPr>
        <w:t>fallac</w:t>
      </w:r>
      <w:r w:rsidR="0883586D" w:rsidRPr="009F589E">
        <w:rPr>
          <w:i/>
        </w:rPr>
        <w:t>ia</w:t>
      </w:r>
      <w:r w:rsidR="0883586D">
        <w:t xml:space="preserve"> </w:t>
      </w:r>
      <w:r w:rsidR="0883586D" w:rsidRPr="00D82095">
        <w:rPr>
          <w:i/>
        </w:rPr>
        <w:t>a dicto simpliciter ad dictum secundum quid</w:t>
      </w:r>
      <w:r w:rsidR="0883586D">
        <w:t>)</w:t>
      </w:r>
      <w:r w:rsidR="00A553BA">
        <w:t xml:space="preserve">. </w:t>
      </w:r>
      <w:r w:rsidR="00F251EA" w:rsidRPr="00273106">
        <w:t xml:space="preserve">Citát zaměnil oba mody </w:t>
      </w:r>
      <w:r w:rsidR="08B46E28">
        <w:t xml:space="preserve">predikované univerzality </w:t>
      </w:r>
      <w:r w:rsidR="00F251EA">
        <w:t>(</w:t>
      </w:r>
      <w:r w:rsidR="08B46E28">
        <w:t>logické a metafyzické</w:t>
      </w:r>
      <w:r w:rsidR="00F251EA">
        <w:t xml:space="preserve">) </w:t>
      </w:r>
      <w:r w:rsidR="00F251EA" w:rsidRPr="00273106">
        <w:t xml:space="preserve">a dal je do univoční predikace </w:t>
      </w:r>
      <w:r w:rsidR="00F251EA">
        <w:t xml:space="preserve">esence dané </w:t>
      </w:r>
      <w:r w:rsidR="00F251EA" w:rsidRPr="00273106">
        <w:rPr>
          <w:i/>
        </w:rPr>
        <w:t>per se</w:t>
      </w:r>
      <w:r w:rsidR="00F251EA" w:rsidRPr="00273106">
        <w:t xml:space="preserve"> a v hyparchickém modu </w:t>
      </w:r>
      <w:r w:rsidR="00F251EA" w:rsidRPr="00273106">
        <w:rPr>
          <w:i/>
        </w:rPr>
        <w:t>ipsum</w:t>
      </w:r>
      <w:r w:rsidR="00F251EA" w:rsidRPr="00273106">
        <w:t xml:space="preserve">. </w:t>
      </w:r>
      <w:r w:rsidR="087C2590">
        <w:t xml:space="preserve">Jenže </w:t>
      </w:r>
      <w:r w:rsidR="080F2485">
        <w:t xml:space="preserve">existenciální </w:t>
      </w:r>
      <w:r w:rsidR="087C2590">
        <w:t xml:space="preserve">ipseita reálné kauzy působící zatmění slunce není totéž jako </w:t>
      </w:r>
      <w:r w:rsidR="080F2485">
        <w:t xml:space="preserve">mentální </w:t>
      </w:r>
      <w:r w:rsidR="08B46E28">
        <w:t xml:space="preserve">identita </w:t>
      </w:r>
      <w:r w:rsidR="08E01F50">
        <w:t xml:space="preserve">trojúhelníka. </w:t>
      </w:r>
      <w:r w:rsidR="08AC7560">
        <w:t xml:space="preserve">První existence je dána reálně, ta druhá jen v mysli logika. Mentální identita </w:t>
      </w:r>
      <w:r w:rsidR="08E01F50">
        <w:t xml:space="preserve">je </w:t>
      </w:r>
      <w:r w:rsidR="087C2590">
        <w:t xml:space="preserve">daná v logické abstrakci, která určuje současně </w:t>
      </w:r>
      <w:r w:rsidR="08AC7560">
        <w:t xml:space="preserve">substanci, </w:t>
      </w:r>
      <w:r w:rsidR="087C2590">
        <w:t xml:space="preserve">esenci a existenci trojúhelníka. </w:t>
      </w:r>
      <w:r w:rsidR="087006CE" w:rsidRPr="00273106">
        <w:t>Rufus inspirovaný primátem matematické abstrakce</w:t>
      </w:r>
      <w:r w:rsidR="087006CE">
        <w:fldChar w:fldCharType="begin"/>
      </w:r>
      <w:r w:rsidR="087006CE">
        <w:instrText xml:space="preserve"> XE "</w:instrText>
      </w:r>
      <w:r w:rsidR="087006CE" w:rsidRPr="00A824F0">
        <w:instrText>abstrakce:matematická</w:instrText>
      </w:r>
      <w:r w:rsidR="087006CE">
        <w:instrText xml:space="preserve">" </w:instrText>
      </w:r>
      <w:r w:rsidR="087006CE">
        <w:fldChar w:fldCharType="end"/>
      </w:r>
      <w:r w:rsidR="087006CE" w:rsidRPr="00273106">
        <w:t xml:space="preserve"> vyškrtne z definice </w:t>
      </w:r>
      <w:r w:rsidR="087006CE" w:rsidRPr="00273106">
        <w:rPr>
          <w:i/>
        </w:rPr>
        <w:t>demonstratio</w:t>
      </w:r>
      <w:r w:rsidR="087006CE">
        <w:rPr>
          <w:i/>
        </w:rPr>
        <w:fldChar w:fldCharType="begin"/>
      </w:r>
      <w:r w:rsidR="087006CE">
        <w:instrText xml:space="preserve"> XE "</w:instrText>
      </w:r>
      <w:r w:rsidR="087006CE" w:rsidRPr="004E6075">
        <w:rPr>
          <w:i/>
        </w:rPr>
        <w:instrText>demonstratio:</w:instrText>
      </w:r>
      <w:r w:rsidR="087006CE" w:rsidRPr="00FE7B29">
        <w:instrText>Rufus</w:instrText>
      </w:r>
      <w:r w:rsidR="087006CE">
        <w:instrText xml:space="preserve">" </w:instrText>
      </w:r>
      <w:r w:rsidR="087006CE">
        <w:rPr>
          <w:i/>
        </w:rPr>
        <w:fldChar w:fldCharType="end"/>
      </w:r>
      <w:r w:rsidR="087006CE" w:rsidRPr="00273106">
        <w:t xml:space="preserve"> reálné působení prvních substancí. Nechá v soudu jen esenci danou univerzálně (</w:t>
      </w:r>
      <w:r w:rsidR="087006CE" w:rsidRPr="00273106">
        <w:rPr>
          <w:i/>
        </w:rPr>
        <w:t>definitio completa</w:t>
      </w:r>
      <w:r w:rsidR="087006CE" w:rsidRPr="00273106">
        <w:t>), která je určena v rámci definice jen vztahem k hypostatické formě</w:t>
      </w:r>
      <w:r w:rsidR="087006CE">
        <w:t>-esenci</w:t>
      </w:r>
      <w:r w:rsidR="087006CE" w:rsidRPr="00273106">
        <w:t xml:space="preserve"> (</w:t>
      </w:r>
      <w:r w:rsidR="087006CE" w:rsidRPr="00273106">
        <w:rPr>
          <w:i/>
        </w:rPr>
        <w:t>in sua relatione completam facit definitionem</w:t>
      </w:r>
      <w:r w:rsidR="08182636">
        <w:t>). U</w:t>
      </w:r>
      <w:r w:rsidR="087006CE" w:rsidRPr="00273106">
        <w:t xml:space="preserve">niverzální esence </w:t>
      </w:r>
      <w:r w:rsidR="087006CE">
        <w:t xml:space="preserve">prvních substancí </w:t>
      </w:r>
      <w:r w:rsidR="087006CE" w:rsidRPr="00273106">
        <w:t xml:space="preserve">je dána stejně univočně a univerzálně </w:t>
      </w:r>
      <w:r w:rsidR="08182636">
        <w:t xml:space="preserve">a kompletně </w:t>
      </w:r>
      <w:r w:rsidR="087006CE" w:rsidRPr="00273106">
        <w:t>jako hyparchická esence trojúhelníka</w:t>
      </w:r>
      <w:r w:rsidR="08182636">
        <w:t>. P</w:t>
      </w:r>
      <w:r w:rsidR="087006CE" w:rsidRPr="00273106">
        <w:t>ak je možné definovat i esenci věci v reálu, kde je tato definice dána v kontigentním modu různorodých jsoucen (</w:t>
      </w:r>
      <w:r w:rsidR="087006CE" w:rsidRPr="00273106">
        <w:rPr>
          <w:i/>
        </w:rPr>
        <w:t>secundum quod sunt diversa</w:t>
      </w:r>
      <w:r w:rsidR="087006CE" w:rsidRPr="00273106">
        <w:t xml:space="preserve">). </w:t>
      </w:r>
      <w:r w:rsidR="001F6A7C" w:rsidRPr="001F6A7C">
        <w:t>Sofistická povaha středního článku důkazu provedeného kombinací logické logické a metafyzické úrovně kauzality a nutnosti vytvořila definici moderní vědy.</w:t>
      </w:r>
      <w:r w:rsidR="001F6A7C">
        <w:t xml:space="preserve"> O</w:t>
      </w:r>
      <w:r w:rsidR="087006CE" w:rsidRPr="00273106">
        <w:t xml:space="preserve">bě složky </w:t>
      </w:r>
      <w:r w:rsidR="087006CE">
        <w:t xml:space="preserve">univerzální </w:t>
      </w:r>
      <w:r w:rsidR="087006CE" w:rsidRPr="00273106">
        <w:t xml:space="preserve">esence </w:t>
      </w:r>
      <w:r w:rsidR="087006CE">
        <w:t xml:space="preserve">(věčná, kontigentní) </w:t>
      </w:r>
      <w:r w:rsidR="001F6A7C">
        <w:t xml:space="preserve">se sloučily </w:t>
      </w:r>
      <w:r w:rsidR="087006CE" w:rsidRPr="00273106">
        <w:t>do univoční jednoty jsoucna (</w:t>
      </w:r>
      <w:r w:rsidR="087006CE" w:rsidRPr="00273106">
        <w:rPr>
          <w:i/>
        </w:rPr>
        <w:t>secundo modo sunt idem</w:t>
      </w:r>
      <w:r w:rsidR="087006CE" w:rsidRPr="00273106">
        <w:t>).</w:t>
      </w:r>
      <w:r w:rsidR="087006CE">
        <w:t xml:space="preserve"> </w:t>
      </w:r>
      <w:r w:rsidR="00F251EA">
        <w:t xml:space="preserve">V Rufusově verzi </w:t>
      </w:r>
      <w:r w:rsidR="00F251EA" w:rsidRPr="00A3734E">
        <w:rPr>
          <w:i/>
        </w:rPr>
        <w:t>Oxfordian Fallacy</w:t>
      </w:r>
      <w:r w:rsidR="00F251EA">
        <w:t xml:space="preserve"> nahradila metafyziku </w:t>
      </w:r>
      <w:r w:rsidR="087415A7">
        <w:t xml:space="preserve">logická </w:t>
      </w:r>
      <w:r w:rsidR="00F251EA">
        <w:t>abstrakce</w:t>
      </w:r>
      <w:r w:rsidR="00F251EA">
        <w:fldChar w:fldCharType="begin"/>
      </w:r>
      <w:r w:rsidR="00F251EA">
        <w:instrText xml:space="preserve"> XE "</w:instrText>
      </w:r>
      <w:r w:rsidR="00F251EA" w:rsidRPr="009B3D7D">
        <w:instrText>abstrakce:matematická</w:instrText>
      </w:r>
      <w:r w:rsidR="00F251EA">
        <w:instrText xml:space="preserve">" </w:instrText>
      </w:r>
      <w:r w:rsidR="00F251EA">
        <w:fldChar w:fldCharType="end"/>
      </w:r>
      <w:r w:rsidR="00F251EA">
        <w:t xml:space="preserve">. Ipseita </w:t>
      </w:r>
      <w:r w:rsidR="085110F8">
        <w:t xml:space="preserve">sloučená s identitou </w:t>
      </w:r>
      <w:r w:rsidR="00F251EA">
        <w:t>nyní nerozlišeně patří jak trojúhelníku danému v mysli, tak první substanci dané v realitě</w:t>
      </w:r>
      <w:r w:rsidR="08AE1612">
        <w:t>, tak predikaci zatmění slunce</w:t>
      </w:r>
      <w:r w:rsidR="00F251EA">
        <w:t xml:space="preserve">. </w:t>
      </w:r>
      <w:r w:rsidR="00C12355" w:rsidRPr="00273106">
        <w:t>Rufus spojil geometr</w:t>
      </w:r>
      <w:r w:rsidR="00F95993" w:rsidRPr="00273106">
        <w:t xml:space="preserve">ickou </w:t>
      </w:r>
      <w:r w:rsidR="08652111">
        <w:t xml:space="preserve">univerzalitu a nutnost s metafyzickou univerzalitou predikace </w:t>
      </w:r>
      <w:r w:rsidR="00C12355" w:rsidRPr="00273106">
        <w:t>první substance</w:t>
      </w:r>
      <w:r w:rsidR="008728EA">
        <w:t xml:space="preserve"> také existuj</w:t>
      </w:r>
      <w:r w:rsidR="002904A1">
        <w:t>í</w:t>
      </w:r>
      <w:r w:rsidR="008728EA">
        <w:t>c</w:t>
      </w:r>
      <w:r w:rsidR="00F251EA">
        <w:t xml:space="preserve">í v modu </w:t>
      </w:r>
      <w:r w:rsidR="002904A1" w:rsidRPr="002904A1">
        <w:rPr>
          <w:i/>
        </w:rPr>
        <w:t>per se</w:t>
      </w:r>
      <w:r w:rsidR="00C12355" w:rsidRPr="00273106">
        <w:t xml:space="preserve">. </w:t>
      </w:r>
      <w:r w:rsidR="00671EB0" w:rsidRPr="00273106">
        <w:t xml:space="preserve">Syntézu obou modů </w:t>
      </w:r>
      <w:r w:rsidR="08532B63">
        <w:t xml:space="preserve">univerzality </w:t>
      </w:r>
      <w:r w:rsidR="00F251EA">
        <w:t xml:space="preserve">ukazuje spojení </w:t>
      </w:r>
      <w:r w:rsidR="00DF510E">
        <w:t>„</w:t>
      </w:r>
      <w:r w:rsidR="00671EB0" w:rsidRPr="00273106">
        <w:rPr>
          <w:i/>
        </w:rPr>
        <w:t>per-se et secundum-quod-ipsum-est</w:t>
      </w:r>
      <w:r w:rsidR="00DF510E">
        <w:t>“</w:t>
      </w:r>
      <w:r w:rsidR="00F251EA">
        <w:t xml:space="preserve">. Spojka </w:t>
      </w:r>
      <w:r w:rsidR="00DF510E">
        <w:t>„</w:t>
      </w:r>
      <w:r w:rsidR="00671EB0" w:rsidRPr="00273106">
        <w:rPr>
          <w:i/>
        </w:rPr>
        <w:t>et</w:t>
      </w:r>
      <w:r w:rsidR="00DF510E">
        <w:t>“</w:t>
      </w:r>
      <w:r w:rsidR="00671EB0" w:rsidRPr="00273106">
        <w:t xml:space="preserve"> </w:t>
      </w:r>
      <w:r w:rsidR="087572CC">
        <w:t xml:space="preserve">sofisticky </w:t>
      </w:r>
      <w:r w:rsidR="00671EB0" w:rsidRPr="00273106">
        <w:t xml:space="preserve">slučuje v </w:t>
      </w:r>
      <w:r w:rsidR="00731DCB">
        <w:t xml:space="preserve">univočním </w:t>
      </w:r>
      <w:r w:rsidR="00F251EA">
        <w:t xml:space="preserve">modu </w:t>
      </w:r>
      <w:r w:rsidR="00671EB0" w:rsidRPr="00273106">
        <w:rPr>
          <w:i/>
        </w:rPr>
        <w:t>per se</w:t>
      </w:r>
      <w:r w:rsidR="00671EB0" w:rsidRPr="00273106">
        <w:t xml:space="preserve"> dvě</w:t>
      </w:r>
      <w:r w:rsidR="08532B63">
        <w:t xml:space="preserve"> odlišné roviny </w:t>
      </w:r>
      <w:r w:rsidR="08C8215C">
        <w:t xml:space="preserve">univezální </w:t>
      </w:r>
      <w:r w:rsidR="08532B63">
        <w:t>predikace</w:t>
      </w:r>
      <w:r w:rsidR="08C8215C">
        <w:t>, tedy</w:t>
      </w:r>
      <w:r w:rsidR="088A65EC">
        <w:t xml:space="preserve"> metafyzickou a logickou</w:t>
      </w:r>
      <w:r w:rsidR="08C8215C">
        <w:t xml:space="preserve"> </w:t>
      </w:r>
      <w:r w:rsidR="08C8215C" w:rsidRPr="00273106">
        <w:t>(καθ' αὑτὰ δὲ διττῶς</w:t>
      </w:r>
      <w:r w:rsidR="08C8215C">
        <w:t xml:space="preserve">, </w:t>
      </w:r>
      <w:r w:rsidR="08C8215C" w:rsidRPr="009B084A">
        <w:rPr>
          <w:i/>
        </w:rPr>
        <w:t>Anal</w:t>
      </w:r>
      <w:r w:rsidR="08C8215C">
        <w:t xml:space="preserve">. </w:t>
      </w:r>
      <w:r w:rsidR="08C8215C" w:rsidRPr="009B084A">
        <w:rPr>
          <w:i/>
        </w:rPr>
        <w:t>Post</w:t>
      </w:r>
      <w:r w:rsidR="08C8215C">
        <w:t>. 84a12</w:t>
      </w:r>
      <w:r w:rsidR="08C8215C">
        <w:fldChar w:fldCharType="begin"/>
      </w:r>
      <w:r w:rsidR="08C8215C">
        <w:instrText xml:space="preserve"> XE "Aristoteles:</w:instrText>
      </w:r>
      <w:r w:rsidR="08C8215C" w:rsidRPr="00BF0563">
        <w:rPr>
          <w:i/>
        </w:rPr>
        <w:instrText>Anal</w:instrText>
      </w:r>
      <w:r w:rsidR="08C8215C" w:rsidRPr="00BF0563">
        <w:instrText xml:space="preserve">. </w:instrText>
      </w:r>
      <w:r w:rsidR="08C8215C" w:rsidRPr="00BF0563">
        <w:rPr>
          <w:i/>
        </w:rPr>
        <w:instrText>Post</w:instrText>
      </w:r>
      <w:r w:rsidR="08C8215C" w:rsidRPr="00BF0563">
        <w:instrText>. 84a12</w:instrText>
      </w:r>
      <w:r w:rsidR="08C8215C">
        <w:instrText xml:space="preserve">" </w:instrText>
      </w:r>
      <w:r w:rsidR="08C8215C">
        <w:fldChar w:fldCharType="end"/>
      </w:r>
      <w:r w:rsidR="08C8215C" w:rsidRPr="00273106">
        <w:t>)</w:t>
      </w:r>
      <w:r w:rsidR="08EF3F58">
        <w:t xml:space="preserve">. </w:t>
      </w:r>
      <w:r w:rsidR="084E1709">
        <w:t xml:space="preserve">Syntaktická spojka </w:t>
      </w:r>
      <w:r w:rsidR="084E1709" w:rsidRPr="084E1709">
        <w:rPr>
          <w:i/>
        </w:rPr>
        <w:t>et</w:t>
      </w:r>
      <w:r w:rsidR="084E1709">
        <w:t xml:space="preserve"> má epochální význam </w:t>
      </w:r>
      <w:r w:rsidR="08714EB7">
        <w:t xml:space="preserve">zakládající </w:t>
      </w:r>
      <w:r w:rsidR="088F3595">
        <w:t xml:space="preserve">moderní </w:t>
      </w:r>
      <w:r w:rsidR="084E1709">
        <w:t>asi</w:t>
      </w:r>
      <w:r w:rsidR="08714EB7">
        <w:t>milační teorii</w:t>
      </w:r>
      <w:r w:rsidR="084E1709">
        <w:t xml:space="preserve"> pravdy</w:t>
      </w:r>
      <w:r w:rsidR="08402353">
        <w:fldChar w:fldCharType="begin"/>
      </w:r>
      <w:r w:rsidR="08402353">
        <w:instrText xml:space="preserve"> XE "</w:instrText>
      </w:r>
      <w:r w:rsidR="08402353" w:rsidRPr="089F0C02">
        <w:instrText>pravda:asimilace</w:instrText>
      </w:r>
      <w:r w:rsidR="08402353">
        <w:instrText xml:space="preserve">" </w:instrText>
      </w:r>
      <w:r w:rsidR="08402353">
        <w:fldChar w:fldCharType="end"/>
      </w:r>
      <w:r w:rsidR="084E1709">
        <w:t xml:space="preserve">, protože </w:t>
      </w:r>
      <w:r w:rsidR="08A30730">
        <w:t xml:space="preserve">nekritická teorie vědy </w:t>
      </w:r>
      <w:r w:rsidR="084E1709">
        <w:t xml:space="preserve">pohltila realitu světa do logické abstrakce. </w:t>
      </w:r>
      <w:r w:rsidR="00D47542" w:rsidRPr="00D47542">
        <w:t>Moderní věda</w:t>
      </w:r>
      <w:r w:rsidR="00D47542">
        <w:t xml:space="preserve">, </w:t>
      </w:r>
      <w:r w:rsidR="00D47542" w:rsidRPr="00D47542">
        <w:t xml:space="preserve">vedená </w:t>
      </w:r>
      <w:r w:rsidR="00D47542">
        <w:t>Fúriemi usazenými v O</w:t>
      </w:r>
      <w:r w:rsidR="00D47542" w:rsidRPr="00D47542">
        <w:t>xford</w:t>
      </w:r>
      <w:r w:rsidR="00D47542">
        <w:t xml:space="preserve">u a v Paříži, </w:t>
      </w:r>
      <w:r w:rsidR="00D47542" w:rsidRPr="00D47542">
        <w:t>vstoupila do nového věku (</w:t>
      </w:r>
      <w:r w:rsidR="00D47542" w:rsidRPr="00D47542">
        <w:rPr>
          <w:i/>
        </w:rPr>
        <w:t>New Age</w:t>
      </w:r>
      <w:r w:rsidR="00D47542">
        <w:t xml:space="preserve">) objektivní mytologie. </w:t>
      </w:r>
      <w:r w:rsidR="08EF3F58">
        <w:t>Jedinečná ipseita reál</w:t>
      </w:r>
      <w:r w:rsidR="085809E9">
        <w:t xml:space="preserve">né první substance </w:t>
      </w:r>
      <w:r w:rsidR="08EF3F58">
        <w:t xml:space="preserve">je </w:t>
      </w:r>
      <w:r w:rsidR="0841446C">
        <w:t xml:space="preserve">v originále </w:t>
      </w:r>
      <w:r w:rsidR="0841446C" w:rsidRPr="0841446C">
        <w:rPr>
          <w:i/>
        </w:rPr>
        <w:t>Analytik</w:t>
      </w:r>
      <w:r w:rsidR="0841446C">
        <w:t xml:space="preserve"> </w:t>
      </w:r>
      <w:r w:rsidR="08EF3F58">
        <w:t xml:space="preserve">daná </w:t>
      </w:r>
      <w:r w:rsidR="085809E9">
        <w:t xml:space="preserve">mimo </w:t>
      </w:r>
      <w:r w:rsidR="08EF3F58">
        <w:t>poznávající mysl</w:t>
      </w:r>
      <w:r w:rsidR="08A52137">
        <w:t xml:space="preserve">. Univerzální </w:t>
      </w:r>
      <w:r w:rsidR="08853DC3">
        <w:t>metafyzická</w:t>
      </w:r>
      <w:r w:rsidR="08A52137">
        <w:t xml:space="preserve"> </w:t>
      </w:r>
      <w:r w:rsidR="08853DC3">
        <w:t>identita</w:t>
      </w:r>
      <w:r w:rsidR="08A52137">
        <w:t xml:space="preserve"> </w:t>
      </w:r>
      <w:r w:rsidR="087572CC">
        <w:t xml:space="preserve">proto </w:t>
      </w:r>
      <w:r w:rsidR="08EF3F58">
        <w:t xml:space="preserve">musí být striktně odlišena od této </w:t>
      </w:r>
      <w:r w:rsidR="08A037AA">
        <w:t>původní ipseity</w:t>
      </w:r>
      <w:r w:rsidR="085809E9">
        <w:t xml:space="preserve">. </w:t>
      </w:r>
      <w:r w:rsidR="08B20F76">
        <w:t xml:space="preserve">Naopak v logické predikaci univerzality </w:t>
      </w:r>
      <w:r w:rsidR="08F26734">
        <w:t xml:space="preserve">trojúhelníka </w:t>
      </w:r>
      <w:r w:rsidR="08B20F76">
        <w:t xml:space="preserve">splývá </w:t>
      </w:r>
      <w:r w:rsidR="08A84340">
        <w:t xml:space="preserve">jeho </w:t>
      </w:r>
      <w:r w:rsidR="08450D6D">
        <w:t xml:space="preserve">ipseita </w:t>
      </w:r>
      <w:r w:rsidR="088B1C78">
        <w:t xml:space="preserve">do jednoho genericky daného </w:t>
      </w:r>
      <w:r w:rsidR="08450D6D">
        <w:t xml:space="preserve">identitního </w:t>
      </w:r>
      <w:r w:rsidR="088B1C78">
        <w:t>významu</w:t>
      </w:r>
      <w:r w:rsidR="086758FC">
        <w:t xml:space="preserve">, daného v modu parousie. </w:t>
      </w:r>
      <w:r w:rsidR="08E331AC">
        <w:t xml:space="preserve">Logické zjevení celku jsoucna v mysli prvního moderního ilumináta </w:t>
      </w:r>
      <w:r w:rsidR="086758FC">
        <w:t xml:space="preserve">spojuje </w:t>
      </w:r>
      <w:r w:rsidR="08B20F76">
        <w:t>bytí esence</w:t>
      </w:r>
      <w:r w:rsidR="08E331AC">
        <w:t xml:space="preserve"> trojúhelníka</w:t>
      </w:r>
      <w:r w:rsidR="08A34798" w:rsidRPr="08A34798">
        <w:t xml:space="preserve"> </w:t>
      </w:r>
      <w:r w:rsidR="08A34798">
        <w:t>v mysli</w:t>
      </w:r>
      <w:r w:rsidR="086758FC">
        <w:t xml:space="preserve">, </w:t>
      </w:r>
      <w:r w:rsidR="08A34798">
        <w:t xml:space="preserve">logickou supozici této univerzality v pojmu trojúhelníka a </w:t>
      </w:r>
      <w:r w:rsidR="086758FC">
        <w:t xml:space="preserve">impozici významu </w:t>
      </w:r>
      <w:r w:rsidR="08A34798">
        <w:t>na každý libovolný trojúhelník</w:t>
      </w:r>
      <w:r w:rsidR="08B20F76">
        <w:t xml:space="preserve">. </w:t>
      </w:r>
      <w:r w:rsidR="088A65EC">
        <w:t xml:space="preserve">Jenom tato logická identita je pro Rufuse </w:t>
      </w:r>
      <w:r w:rsidR="08395AA5">
        <w:t xml:space="preserve">základem </w:t>
      </w:r>
      <w:r w:rsidR="088A65EC">
        <w:t xml:space="preserve">vědeckého důkazu. </w:t>
      </w:r>
      <w:r w:rsidR="08B445AE">
        <w:t>Proto</w:t>
      </w:r>
      <w:r w:rsidR="08E16AFC">
        <w:t>že</w:t>
      </w:r>
      <w:r w:rsidR="08B445AE">
        <w:t xml:space="preserve"> tato parousie je kompletní a evident</w:t>
      </w:r>
      <w:r w:rsidR="08E16AFC">
        <w:t>ní, tak může nahradit predikaci</w:t>
      </w:r>
      <w:r w:rsidR="08B445AE">
        <w:t xml:space="preserve"> významu z hyparchicky dané reality</w:t>
      </w:r>
      <w:r w:rsidR="08E16AFC">
        <w:t>, která dělá</w:t>
      </w:r>
      <w:r w:rsidR="08B445AE">
        <w:t xml:space="preserve"> vědu až dodatečně. </w:t>
      </w:r>
      <w:r w:rsidR="08395AA5">
        <w:t xml:space="preserve">Metafyzika dostala novou formu mytopoetického </w:t>
      </w:r>
      <w:r w:rsidR="08395AA5" w:rsidRPr="08395AA5">
        <w:rPr>
          <w:i/>
        </w:rPr>
        <w:t>Gründung</w:t>
      </w:r>
      <w:r w:rsidR="08395AA5">
        <w:rPr>
          <w:i/>
        </w:rPr>
        <w:fldChar w:fldCharType="begin"/>
      </w:r>
      <w:r w:rsidR="08395AA5">
        <w:instrText xml:space="preserve"> XE "metafyzika:</w:instrText>
      </w:r>
      <w:r w:rsidR="08395AA5" w:rsidRPr="00F1306C">
        <w:rPr>
          <w:i/>
        </w:rPr>
        <w:instrText>Gründung</w:instrText>
      </w:r>
      <w:r w:rsidR="08395AA5">
        <w:instrText xml:space="preserve">" </w:instrText>
      </w:r>
      <w:r w:rsidR="08395AA5">
        <w:rPr>
          <w:i/>
        </w:rPr>
        <w:fldChar w:fldCharType="end"/>
      </w:r>
      <w:r w:rsidR="08395AA5">
        <w:t xml:space="preserve"> daného pouze v mysli</w:t>
      </w:r>
      <w:r w:rsidR="08583106">
        <w:t xml:space="preserve"> </w:t>
      </w:r>
      <w:r w:rsidR="08787BBD">
        <w:t xml:space="preserve">tohoto </w:t>
      </w:r>
      <w:r w:rsidR="08583106">
        <w:t>oxfordsk</w:t>
      </w:r>
      <w:r w:rsidR="08787BBD">
        <w:t xml:space="preserve">ého </w:t>
      </w:r>
      <w:r w:rsidR="08583106">
        <w:t>iluminá</w:t>
      </w:r>
      <w:r w:rsidR="08787BBD">
        <w:t>ta a jeho školy</w:t>
      </w:r>
      <w:r w:rsidR="00C354F2">
        <w:t xml:space="preserve">. </w:t>
      </w:r>
      <w:r w:rsidR="08395AA5">
        <w:t xml:space="preserve">Bacon prohlásil </w:t>
      </w:r>
      <w:r w:rsidR="00C354F2">
        <w:t>nauku této školy za šílenou, Albert za směšnou</w:t>
      </w:r>
      <w:r w:rsidR="08FE5050">
        <w:t xml:space="preserve"> a Alvernus za </w:t>
      </w:r>
      <w:r w:rsidR="08536960">
        <w:t>imbecilní</w:t>
      </w:r>
      <w:r w:rsidR="08395AA5">
        <w:t xml:space="preserve">. </w:t>
      </w:r>
      <w:r w:rsidR="00C354F2" w:rsidRPr="00C354F2">
        <w:t>Tito milovníci moudrosti naštěstí nežili v současnosti, proto</w:t>
      </w:r>
      <w:r w:rsidR="00C354F2">
        <w:t xml:space="preserve">že by nikdy nedokončili studia. </w:t>
      </w:r>
      <w:r w:rsidR="00430EB7">
        <w:t xml:space="preserve">V epoše dokonaného metafyzického nihilismu dostal toto „šílené myšlení“ odsouzené prvním averroismem zcela </w:t>
      </w:r>
      <w:r w:rsidR="08AF718E">
        <w:t>globální charakter</w:t>
      </w:r>
      <w:r w:rsidR="08711230">
        <w:t xml:space="preserve"> sofistikované normálnosti</w:t>
      </w:r>
      <w:r w:rsidR="08525D9D">
        <w:t xml:space="preserve"> hlídané katedrami analytické filosofie</w:t>
      </w:r>
      <w:r w:rsidR="08035B9E">
        <w:t xml:space="preserve"> a metodologie vědy</w:t>
      </w:r>
      <w:r w:rsidR="00C354F2">
        <w:t>.</w:t>
      </w:r>
    </w:p>
    <w:p w14:paraId="2D23B663" w14:textId="77777777" w:rsidR="00C16813" w:rsidRDefault="00542BBB" w:rsidP="002E171B">
      <w:pPr>
        <w:ind w:firstLine="397"/>
      </w:pPr>
      <w:r>
        <w:t xml:space="preserve">Vezměme nyní </w:t>
      </w:r>
      <w:r w:rsidR="08801215">
        <w:t>druh</w:t>
      </w:r>
      <w:r>
        <w:t>ou</w:t>
      </w:r>
      <w:r w:rsidR="08801215">
        <w:t xml:space="preserve"> část výše uvedené definice, k</w:t>
      </w:r>
      <w:r w:rsidR="088944E1">
        <w:t>terá opakuje sofistiku</w:t>
      </w:r>
      <w:r w:rsidR="08801215">
        <w:t xml:space="preserve"> </w:t>
      </w:r>
      <w:r w:rsidR="088944E1">
        <w:t>danou</w:t>
      </w:r>
      <w:r w:rsidR="08801215">
        <w:t xml:space="preserve"> v původní verzi </w:t>
      </w:r>
      <w:r w:rsidR="08801215" w:rsidRPr="00820213">
        <w:rPr>
          <w:i/>
        </w:rPr>
        <w:t>Oxfordian Fallacy</w:t>
      </w:r>
      <w:r w:rsidR="08801215">
        <w:t xml:space="preserve"> u Grossetesteho</w:t>
      </w:r>
      <w:r w:rsidR="08801215">
        <w:rPr>
          <w:i/>
        </w:rPr>
        <w:fldChar w:fldCharType="begin"/>
      </w:r>
      <w:r w:rsidR="08801215">
        <w:instrText xml:space="preserve"> XE "</w:instrText>
      </w:r>
      <w:r w:rsidR="08801215" w:rsidRPr="0015798D">
        <w:rPr>
          <w:i/>
        </w:rPr>
        <w:instrText>Oxfordian Fallacy:</w:instrText>
      </w:r>
      <w:r w:rsidR="08801215" w:rsidRPr="00820213">
        <w:instrText>Rufus</w:instrText>
      </w:r>
      <w:r w:rsidR="08801215">
        <w:instrText xml:space="preserve">" </w:instrText>
      </w:r>
      <w:r w:rsidR="08801215">
        <w:rPr>
          <w:i/>
        </w:rPr>
        <w:fldChar w:fldCharType="end"/>
      </w:r>
      <w:r w:rsidR="08801215">
        <w:t xml:space="preserve">. Rufus říká ve zdánlivé shodě s </w:t>
      </w:r>
      <w:r w:rsidR="08801215" w:rsidRPr="008E516F">
        <w:rPr>
          <w:i/>
        </w:rPr>
        <w:t>Druhými analytikami</w:t>
      </w:r>
      <w:r w:rsidR="08801215">
        <w:t xml:space="preserve">, že v </w:t>
      </w:r>
      <w:r w:rsidR="08801215" w:rsidRPr="00273106">
        <w:t xml:space="preserve">prvním modu </w:t>
      </w:r>
      <w:r w:rsidR="08BE2766">
        <w:t xml:space="preserve">metafyzické predikace univerzality </w:t>
      </w:r>
      <w:r w:rsidR="08801215" w:rsidRPr="00273106">
        <w:t>není shoda mezi nutnou identitou celku (</w:t>
      </w:r>
      <w:r w:rsidR="08801215" w:rsidRPr="00273106">
        <w:rPr>
          <w:i/>
        </w:rPr>
        <w:t>non fuit idem per-se</w:t>
      </w:r>
      <w:r w:rsidR="08801215" w:rsidRPr="00273106">
        <w:t xml:space="preserve">) a její </w:t>
      </w:r>
      <w:r w:rsidR="088A65EC">
        <w:t xml:space="preserve">ipseitní </w:t>
      </w:r>
      <w:r w:rsidR="08801215" w:rsidRPr="00273106">
        <w:t>daností skrze sebe (</w:t>
      </w:r>
      <w:r w:rsidR="08801215" w:rsidRPr="00273106">
        <w:rPr>
          <w:i/>
        </w:rPr>
        <w:t>secundum-quod-ipsum-est</w:t>
      </w:r>
      <w:r w:rsidR="08801215" w:rsidRPr="00273106">
        <w:t xml:space="preserve">). </w:t>
      </w:r>
      <w:r w:rsidR="081865FB">
        <w:t>To je pravda, protože hyparchic</w:t>
      </w:r>
      <w:r w:rsidR="08BE2766">
        <w:t>ké bytí první substance se musí univerzálně predikovat</w:t>
      </w:r>
      <w:r w:rsidR="081865FB">
        <w:t xml:space="preserve"> </w:t>
      </w:r>
      <w:r w:rsidR="08D9479C">
        <w:t xml:space="preserve">v tom, co je její vlastní </w:t>
      </w:r>
      <w:r w:rsidR="081865FB">
        <w:t>hyparchické bytí (</w:t>
      </w:r>
      <w:r w:rsidR="081865FB" w:rsidRPr="00273106">
        <w:t>ἐν τῷ τί ἐστιν ὑπάρχουσιν</w:t>
      </w:r>
      <w:r w:rsidR="081865FB">
        <w:t xml:space="preserve">, </w:t>
      </w:r>
      <w:r w:rsidR="081865FB" w:rsidRPr="081865FB">
        <w:rPr>
          <w:i/>
        </w:rPr>
        <w:t>Anal. Post</w:t>
      </w:r>
      <w:r w:rsidR="081865FB">
        <w:t>. 84a13</w:t>
      </w:r>
      <w:r w:rsidR="081865FB">
        <w:fldChar w:fldCharType="begin"/>
      </w:r>
      <w:r w:rsidR="081865FB">
        <w:instrText xml:space="preserve"> XE "Aristoteles:</w:instrText>
      </w:r>
      <w:r w:rsidR="081865FB" w:rsidRPr="001B2AC8">
        <w:rPr>
          <w:i/>
        </w:rPr>
        <w:instrText>Anal. Post</w:instrText>
      </w:r>
      <w:r w:rsidR="081865FB">
        <w:instrText xml:space="preserve">. 84a13" </w:instrText>
      </w:r>
      <w:r w:rsidR="081865FB">
        <w:fldChar w:fldCharType="end"/>
      </w:r>
      <w:r w:rsidR="081865FB">
        <w:t xml:space="preserve">). </w:t>
      </w:r>
      <w:r w:rsidR="08BE2766">
        <w:t>Jenže</w:t>
      </w:r>
      <w:r w:rsidR="081865FB">
        <w:t xml:space="preserve"> </w:t>
      </w:r>
      <w:r w:rsidR="08F621B0">
        <w:t xml:space="preserve">podle analytického Rufuse platí, že </w:t>
      </w:r>
      <w:r w:rsidR="08940BCB">
        <w:t>predikace metafyzic</w:t>
      </w:r>
      <w:r w:rsidR="081865FB">
        <w:t xml:space="preserve">ké univerzality </w:t>
      </w:r>
      <w:r w:rsidR="08BE2766">
        <w:t xml:space="preserve">není plná forma </w:t>
      </w:r>
      <w:r w:rsidR="087D7652">
        <w:t xml:space="preserve">vědecké </w:t>
      </w:r>
      <w:r w:rsidR="08BE2766">
        <w:t xml:space="preserve">dedukce. </w:t>
      </w:r>
      <w:r w:rsidR="08F621B0">
        <w:t xml:space="preserve">V predikaci </w:t>
      </w:r>
      <w:r w:rsidR="08F621B0" w:rsidRPr="08F621B0">
        <w:rPr>
          <w:i/>
        </w:rPr>
        <w:t>modo geometrico</w:t>
      </w:r>
      <w:r w:rsidR="08F621B0">
        <w:t xml:space="preserve"> platí, že konti</w:t>
      </w:r>
      <w:r w:rsidR="00F1404D">
        <w:t>n</w:t>
      </w:r>
      <w:r w:rsidR="08F621B0">
        <w:t xml:space="preserve">gentní </w:t>
      </w:r>
      <w:r w:rsidR="0079027B">
        <w:t xml:space="preserve">stav reality </w:t>
      </w:r>
      <w:r w:rsidR="08F621B0">
        <w:t>je podřízen trvalému</w:t>
      </w:r>
      <w:r w:rsidR="0079027B">
        <w:t xml:space="preserve"> </w:t>
      </w:r>
      <w:r w:rsidR="0079027B" w:rsidRPr="0079027B">
        <w:rPr>
          <w:i/>
        </w:rPr>
        <w:t>scibile</w:t>
      </w:r>
      <w:r w:rsidR="0079027B">
        <w:t>.</w:t>
      </w:r>
      <w:r w:rsidR="08F621B0">
        <w:t xml:space="preserve"> </w:t>
      </w:r>
      <w:r w:rsidR="08801215" w:rsidRPr="00273106">
        <w:t xml:space="preserve">Plná jednota jsoucna je dána jen ve druhém </w:t>
      </w:r>
      <w:r w:rsidR="08BE2766">
        <w:t>logickém modu, kdy je hyparchická pre</w:t>
      </w:r>
      <w:r w:rsidR="08940BCB">
        <w:t xml:space="preserve">dikace identická </w:t>
      </w:r>
      <w:r w:rsidR="00D67380">
        <w:t xml:space="preserve">a dokonce univoční </w:t>
      </w:r>
      <w:r w:rsidR="08940BCB">
        <w:t>v</w:t>
      </w:r>
      <w:r w:rsidR="009E1BC6">
        <w:t xml:space="preserve"> kombinovaném </w:t>
      </w:r>
      <w:r w:rsidR="08940BCB">
        <w:t>modu supozice</w:t>
      </w:r>
      <w:r w:rsidR="08BE2766">
        <w:t xml:space="preserve"> a impozice</w:t>
      </w:r>
      <w:r w:rsidR="08801215" w:rsidRPr="00273106">
        <w:t>.</w:t>
      </w:r>
      <w:r w:rsidR="08801215">
        <w:t xml:space="preserve"> </w:t>
      </w:r>
      <w:r w:rsidR="08F44499">
        <w:t>V</w:t>
      </w:r>
      <w:r w:rsidR="08801215">
        <w:t xml:space="preserve">ědecká definice </w:t>
      </w:r>
      <w:r w:rsidR="08A15D20">
        <w:t xml:space="preserve">a </w:t>
      </w:r>
      <w:r w:rsidR="00CA6CA8">
        <w:t xml:space="preserve">deduktivní </w:t>
      </w:r>
      <w:r w:rsidR="08A15D20">
        <w:t xml:space="preserve">důkaz </w:t>
      </w:r>
      <w:r w:rsidR="00CA6CA8">
        <w:t>jsou úplné</w:t>
      </w:r>
      <w:r w:rsidR="08801215">
        <w:t xml:space="preserve"> jen v př</w:t>
      </w:r>
      <w:r w:rsidR="08280198">
        <w:t xml:space="preserve">ípadě </w:t>
      </w:r>
      <w:r w:rsidR="08A15D20">
        <w:t xml:space="preserve">identitární logické abstrakce dané od atomární porretánské </w:t>
      </w:r>
      <w:r w:rsidR="00020427">
        <w:t xml:space="preserve">esence </w:t>
      </w:r>
      <w:r w:rsidR="08A15D20">
        <w:t xml:space="preserve">v modu </w:t>
      </w:r>
      <w:r w:rsidR="00B64385">
        <w:t>„</w:t>
      </w:r>
      <w:r w:rsidR="08801215" w:rsidRPr="08280198">
        <w:rPr>
          <w:i/>
        </w:rPr>
        <w:t>per se</w:t>
      </w:r>
      <w:r w:rsidR="00B64385">
        <w:t>“</w:t>
      </w:r>
      <w:r w:rsidR="08801215">
        <w:t xml:space="preserve"> a </w:t>
      </w:r>
      <w:r w:rsidR="00B64385">
        <w:t>„</w:t>
      </w:r>
      <w:r w:rsidR="08801215" w:rsidRPr="08801215">
        <w:rPr>
          <w:i/>
        </w:rPr>
        <w:t>idem</w:t>
      </w:r>
      <w:r w:rsidR="00B64385">
        <w:t>“</w:t>
      </w:r>
      <w:r w:rsidR="08801215">
        <w:t xml:space="preserve">. </w:t>
      </w:r>
      <w:r w:rsidR="08BB5316">
        <w:t>Taková identita je ale hyparchicky dána jen v logikově hlavě</w:t>
      </w:r>
      <w:r w:rsidR="08B83B59">
        <w:t xml:space="preserve"> typu Rufuse, </w:t>
      </w:r>
      <w:r w:rsidR="080D1AE7">
        <w:t xml:space="preserve">Kilwardbyho, </w:t>
      </w:r>
      <w:r w:rsidR="08B83B59">
        <w:t>Carnapa, Husserla a Wittgensteina</w:t>
      </w:r>
      <w:r w:rsidR="08BB5316">
        <w:t xml:space="preserve">. </w:t>
      </w:r>
      <w:r w:rsidR="08E639E5">
        <w:t xml:space="preserve">Věda založená na logické abstrakci představuje </w:t>
      </w:r>
      <w:r w:rsidR="08801215">
        <w:t xml:space="preserve">jen </w:t>
      </w:r>
      <w:r w:rsidR="08922A47">
        <w:t xml:space="preserve">poloviční </w:t>
      </w:r>
      <w:r w:rsidR="08E639E5">
        <w:t>shodu</w:t>
      </w:r>
      <w:r w:rsidR="08801215">
        <w:t xml:space="preserve"> s pojetím </w:t>
      </w:r>
      <w:r w:rsidR="08EC5F4E">
        <w:t xml:space="preserve">vědeckého důkazu podle </w:t>
      </w:r>
      <w:r w:rsidR="08801215" w:rsidRPr="00CD3CFC">
        <w:rPr>
          <w:i/>
        </w:rPr>
        <w:t>Druhých analytik</w:t>
      </w:r>
      <w:r w:rsidR="087A74BB">
        <w:t>. P</w:t>
      </w:r>
      <w:r w:rsidR="08922A47">
        <w:t xml:space="preserve">ro Aristotela </w:t>
      </w:r>
      <w:r w:rsidR="08FC39DB">
        <w:t>jsou rozhodující metafyzická abstrakce a predikace</w:t>
      </w:r>
      <w:r w:rsidR="087A74BB">
        <w:t xml:space="preserve">, protože </w:t>
      </w:r>
      <w:r w:rsidR="08FC39DB">
        <w:t xml:space="preserve">ty zakládají </w:t>
      </w:r>
      <w:r w:rsidR="087A74BB">
        <w:t>první vědu o reálné substanci</w:t>
      </w:r>
      <w:r w:rsidR="08922A47">
        <w:t>. S</w:t>
      </w:r>
      <w:r w:rsidR="08801215">
        <w:t>hoda rozumu a věci je u Rufuse dána nasvícením zezadu podle avicennismu Toledské školy</w:t>
      </w:r>
      <w:r w:rsidR="08801215">
        <w:fldChar w:fldCharType="begin"/>
      </w:r>
      <w:r w:rsidR="08801215">
        <w:instrText xml:space="preserve"> XE "</w:instrText>
      </w:r>
      <w:r w:rsidR="08801215" w:rsidRPr="080D5C83">
        <w:instrText>Toledská škola</w:instrText>
      </w:r>
      <w:r w:rsidR="08801215">
        <w:instrText xml:space="preserve">" </w:instrText>
      </w:r>
      <w:r w:rsidR="08801215">
        <w:fldChar w:fldCharType="end"/>
      </w:r>
      <w:r w:rsidR="08801215">
        <w:t xml:space="preserve">. </w:t>
      </w:r>
      <w:r w:rsidR="007A58A6">
        <w:t xml:space="preserve">Rufus vykládá </w:t>
      </w:r>
      <w:r w:rsidR="00890F2A" w:rsidRPr="007A58A6">
        <w:rPr>
          <w:i/>
        </w:rPr>
        <w:t>Druhé analytiky</w:t>
      </w:r>
      <w:r w:rsidR="00890F2A">
        <w:t xml:space="preserve"> podle </w:t>
      </w:r>
      <w:r w:rsidR="00874074">
        <w:t>neoplatonsk</w:t>
      </w:r>
      <w:r w:rsidR="00890F2A">
        <w:t xml:space="preserve">é verze dané v </w:t>
      </w:r>
      <w:r w:rsidR="00890F2A" w:rsidRPr="00890F2A">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890F2A">
        <w:t xml:space="preserve">, kde nadřazená věčná forma kauzálně </w:t>
      </w:r>
      <w:r w:rsidR="00891DA1">
        <w:t xml:space="preserve">a deduktivně </w:t>
      </w:r>
      <w:r w:rsidR="00890F2A">
        <w:t xml:space="preserve">určuje bytí nižší formy. </w:t>
      </w:r>
      <w:r w:rsidR="08772BE0">
        <w:t>Pak platí, že hyparchické první substance jsou zahrnuty do kompletní vědecké definice jen skrze svou jinakovost (</w:t>
      </w:r>
      <w:r w:rsidR="08772BE0" w:rsidRPr="08092FDB">
        <w:rPr>
          <w:i/>
        </w:rPr>
        <w:t>quod sunt diversa veniunt in definitionem</w:t>
      </w:r>
      <w:r w:rsidR="08772BE0">
        <w:t xml:space="preserve">). Opět je to zdánlivě správně podle druhé hyparchické predikace reálných substancí v metafyzické abstrakci </w:t>
      </w:r>
      <w:r w:rsidR="08772BE0" w:rsidRPr="00273106">
        <w:t>(ἐν τῷ τί ἐστιν ὑπάρχουσιν αὐτοῖς</w:t>
      </w:r>
      <w:r w:rsidR="08772BE0">
        <w:t xml:space="preserve">, </w:t>
      </w:r>
      <w:r w:rsidR="08772BE0" w:rsidRPr="00273106">
        <w:rPr>
          <w:i/>
        </w:rPr>
        <w:t>Anal. Post</w:t>
      </w:r>
      <w:r w:rsidR="08772BE0">
        <w:t>. 84a</w:t>
      </w:r>
      <w:r w:rsidR="08772BE0" w:rsidRPr="00273106">
        <w:t>14</w:t>
      </w:r>
      <w:r w:rsidR="08772BE0">
        <w:fldChar w:fldCharType="begin"/>
      </w:r>
      <w:r w:rsidR="08772BE0">
        <w:instrText xml:space="preserve"> XE "Aristoteles:</w:instrText>
      </w:r>
      <w:r w:rsidR="08772BE0" w:rsidRPr="00273106">
        <w:rPr>
          <w:i/>
        </w:rPr>
        <w:instrText>Anal. Post</w:instrText>
      </w:r>
      <w:r w:rsidR="08772BE0">
        <w:instrText>. 84a</w:instrText>
      </w:r>
      <w:r w:rsidR="08772BE0" w:rsidRPr="00273106">
        <w:instrText>14</w:instrText>
      </w:r>
      <w:r w:rsidR="08772BE0">
        <w:instrText xml:space="preserve">" </w:instrText>
      </w:r>
      <w:r w:rsidR="08772BE0">
        <w:fldChar w:fldCharType="end"/>
      </w:r>
      <w:r w:rsidR="08772BE0" w:rsidRPr="00273106">
        <w:t>)</w:t>
      </w:r>
      <w:r w:rsidR="08772BE0">
        <w:t xml:space="preserve">. </w:t>
      </w:r>
      <w:r w:rsidR="002E171B" w:rsidRPr="002E171B">
        <w:t xml:space="preserve">Rufus odvozuje jednotu přímo z logiky pomocí </w:t>
      </w:r>
      <w:r w:rsidR="002E171B">
        <w:t>supozice</w:t>
      </w:r>
      <w:r w:rsidR="002E171B" w:rsidRPr="002E171B">
        <w:t>, ale metafyzika ji odvozuje z prvních substancí pomocí imp</w:t>
      </w:r>
      <w:r w:rsidR="002E171B">
        <w:t>ozice</w:t>
      </w:r>
      <w:r w:rsidR="002E171B" w:rsidRPr="002E171B">
        <w:t xml:space="preserve">. </w:t>
      </w:r>
      <w:r w:rsidR="002E171B">
        <w:t>Proto j</w:t>
      </w:r>
      <w:r w:rsidR="002E171B" w:rsidRPr="002E171B">
        <w:t>e nesmírně důležité, z</w:t>
      </w:r>
      <w:r w:rsidR="002E171B">
        <w:t>e</w:t>
      </w:r>
      <w:r w:rsidR="002E171B" w:rsidRPr="002E171B">
        <w:t xml:space="preserve"> které strany přichází univocita do dedukce, zda z reálného světa, nebo z moderního subjektu.</w:t>
      </w:r>
      <w:r w:rsidR="002E171B">
        <w:t xml:space="preserve"> </w:t>
      </w:r>
      <w:r w:rsidR="08772BE0">
        <w:t xml:space="preserve">Rufus </w:t>
      </w:r>
      <w:r w:rsidR="002E171B">
        <w:t xml:space="preserve">chápe </w:t>
      </w:r>
      <w:r w:rsidR="0880144B">
        <w:t xml:space="preserve">metafyzickou </w:t>
      </w:r>
      <w:r w:rsidR="08772BE0">
        <w:t>nutnost v modu sofistického simulákra</w:t>
      </w:r>
      <w:r w:rsidR="0880144B">
        <w:t xml:space="preserve"> reality, tedy </w:t>
      </w:r>
      <w:r w:rsidR="084B0B16">
        <w:t xml:space="preserve">podle univocity vyšší hyparchické formy dané v </w:t>
      </w:r>
      <w:r w:rsidR="084B0B16" w:rsidRPr="084B0B16">
        <w:rPr>
          <w:i/>
        </w:rPr>
        <w:t>Liber de causis</w:t>
      </w:r>
      <w:r w:rsidR="08772BE0">
        <w:t xml:space="preserve">. </w:t>
      </w:r>
      <w:r w:rsidR="08077AC0">
        <w:t xml:space="preserve">Jenže tato forma </w:t>
      </w:r>
      <w:r w:rsidR="08055F49">
        <w:t xml:space="preserve">reálně </w:t>
      </w:r>
      <w:r w:rsidR="08077AC0">
        <w:t>neexistuje</w:t>
      </w:r>
      <w:r w:rsidR="08343382">
        <w:t>. A p</w:t>
      </w:r>
      <w:r w:rsidR="08077AC0">
        <w:t xml:space="preserve">okud existuje, tak není pro nás poznatelná v jejím původním </w:t>
      </w:r>
      <w:r w:rsidR="08077AC0" w:rsidRPr="08077AC0">
        <w:rPr>
          <w:i/>
        </w:rPr>
        <w:t>actus essendi</w:t>
      </w:r>
      <w:r w:rsidR="08077AC0">
        <w:t xml:space="preserve"> nemateriální aktuální kosmické substance. </w:t>
      </w:r>
      <w:r w:rsidR="08343382">
        <w:t xml:space="preserve">Sestup této </w:t>
      </w:r>
      <w:r w:rsidR="0880144B">
        <w:t xml:space="preserve">věčné formy </w:t>
      </w:r>
      <w:r w:rsidR="08343382">
        <w:t xml:space="preserve">do kontigence porretánského </w:t>
      </w:r>
      <w:r w:rsidR="004B4D52" w:rsidRPr="004B4D52">
        <w:t>species</w:t>
      </w:r>
      <w:r w:rsidR="08343382">
        <w:t xml:space="preserve"> </w:t>
      </w:r>
      <w:r w:rsidR="00890F2A">
        <w:t>pak vytváří v d</w:t>
      </w:r>
      <w:r w:rsidR="08AB68C1">
        <w:t>eduktivním soudu výše uvedenou kompletní kauzalitu třetího druhu</w:t>
      </w:r>
      <w:r w:rsidR="00890F2A">
        <w:t xml:space="preserve"> (</w:t>
      </w:r>
      <w:r w:rsidR="00890F2A" w:rsidRPr="00273106">
        <w:rPr>
          <w:i/>
        </w:rPr>
        <w:t>praemissae sunt causae completae</w:t>
      </w:r>
      <w:r w:rsidR="00FA7124">
        <w:rPr>
          <w:i/>
        </w:rPr>
        <w:fldChar w:fldCharType="begin"/>
      </w:r>
      <w:r w:rsidR="00FA7124">
        <w:instrText xml:space="preserve"> XE "</w:instrText>
      </w:r>
      <w:r w:rsidR="00FA7124" w:rsidRPr="00D66A04">
        <w:instrText>kauzalita:</w:instrText>
      </w:r>
      <w:r w:rsidR="00FA7124" w:rsidRPr="00FA7124">
        <w:rPr>
          <w:i/>
        </w:rPr>
        <w:instrText>causae completae</w:instrText>
      </w:r>
      <w:r w:rsidR="00FA7124">
        <w:instrText xml:space="preserve">" </w:instrText>
      </w:r>
      <w:r w:rsidR="00FA7124">
        <w:rPr>
          <w:i/>
        </w:rPr>
        <w:fldChar w:fldCharType="end"/>
      </w:r>
      <w:r w:rsidR="00890F2A">
        <w:t xml:space="preserve">). </w:t>
      </w:r>
      <w:r w:rsidR="00EB0A19" w:rsidRPr="00EB0A19">
        <w:t>Rufus vyrobil neexistující nové moderní šaty pro nahého por</w:t>
      </w:r>
      <w:r w:rsidR="00EB0A19">
        <w:t>etánského císaře. Ty</w:t>
      </w:r>
      <w:r w:rsidR="00EB0A19" w:rsidRPr="00EB0A19">
        <w:t xml:space="preserve"> mu krásně sluší</w:t>
      </w:r>
      <w:r w:rsidR="00EB0A19">
        <w:t xml:space="preserve"> </w:t>
      </w:r>
      <w:r w:rsidR="00EB0A19" w:rsidRPr="00EB0A19">
        <w:t xml:space="preserve">v modu moderního </w:t>
      </w:r>
      <w:r w:rsidR="00EB0A19" w:rsidRPr="00EB0A19">
        <w:rPr>
          <w:i/>
        </w:rPr>
        <w:t>certitudo</w:t>
      </w:r>
      <w:r w:rsidR="00EB0A19" w:rsidRPr="00EB0A19">
        <w:t xml:space="preserve"> a </w:t>
      </w:r>
      <w:r w:rsidR="00EB0A19" w:rsidRPr="00EB0A19">
        <w:rPr>
          <w:i/>
        </w:rPr>
        <w:t>rectitudo</w:t>
      </w:r>
      <w:r w:rsidR="00EB0A19" w:rsidRPr="00EB0A19">
        <w:t xml:space="preserve">. Tuto metafyzickou hloupost hlásá v dnešní globální </w:t>
      </w:r>
      <w:r w:rsidR="00EB0A19">
        <w:t>vesnici postmoderní vítězný subjekt</w:t>
      </w:r>
      <w:r w:rsidR="00EB0A19" w:rsidRPr="00EB0A19">
        <w:t xml:space="preserve">, který </w:t>
      </w:r>
      <w:r w:rsidR="00EB0A19">
        <w:t xml:space="preserve">je podroben vládnoucím Fúriím všeho druhu. </w:t>
      </w:r>
      <w:r w:rsidR="08C807F8">
        <w:t>O</w:t>
      </w:r>
      <w:r w:rsidR="00890F2A">
        <w:t xml:space="preserve">myl </w:t>
      </w:r>
      <w:r w:rsidR="00BB18EF">
        <w:t xml:space="preserve">daný záměnou první triády principů poznání za druhou </w:t>
      </w:r>
      <w:r w:rsidR="00890F2A">
        <w:t>viděli a nap</w:t>
      </w:r>
      <w:r w:rsidR="00BB18EF">
        <w:t>a</w:t>
      </w:r>
      <w:r w:rsidR="00890F2A">
        <w:t xml:space="preserve">dli všichni hlavní představitelé prvního averroismu. </w:t>
      </w:r>
      <w:r w:rsidR="00AD27BA" w:rsidRPr="00273106">
        <w:t xml:space="preserve">Druhá část </w:t>
      </w:r>
      <w:r w:rsidR="08FA4796">
        <w:t xml:space="preserve">citovaného </w:t>
      </w:r>
      <w:r w:rsidR="00AD27BA" w:rsidRPr="00273106">
        <w:t>spojení (</w:t>
      </w:r>
      <w:r w:rsidR="00AD27BA" w:rsidRPr="00273106">
        <w:rPr>
          <w:i/>
        </w:rPr>
        <w:t>secundum-quod-ipsum-est</w:t>
      </w:r>
      <w:r w:rsidR="00AD27BA" w:rsidRPr="00273106">
        <w:t>) vychází z porretánské univocity</w:t>
      </w:r>
      <w:r w:rsidR="087B6EB0">
        <w:t xml:space="preserve"> mezi esencí a existencí (kap. 1</w:t>
      </w:r>
      <w:r w:rsidR="00AD27BA" w:rsidRPr="00273106">
        <w:t xml:space="preserve">.4). </w:t>
      </w:r>
      <w:r w:rsidR="00A34A1F" w:rsidRPr="00273106">
        <w:t>Tato ipseita hypostázované esence-formy jako nového jsoucna třetího druhu zrušila vazbu na r</w:t>
      </w:r>
      <w:r w:rsidR="004E67A6">
        <w:t>eálné působení první substance</w:t>
      </w:r>
      <w:r w:rsidR="00FA7124">
        <w:fldChar w:fldCharType="begin"/>
      </w:r>
      <w:r w:rsidR="00FA7124">
        <w:instrText xml:space="preserve"> XE "</w:instrText>
      </w:r>
      <w:r w:rsidR="00FA7124" w:rsidRPr="0022692D">
        <w:instrText>esence:Rufus</w:instrText>
      </w:r>
      <w:r w:rsidR="00FA7124">
        <w:instrText xml:space="preserve">" </w:instrText>
      </w:r>
      <w:r w:rsidR="00FA7124">
        <w:fldChar w:fldCharType="end"/>
      </w:r>
      <w:r w:rsidR="004E67A6">
        <w:t xml:space="preserve">. Analytické schéma vědy určuje první substanci zezadu skrze </w:t>
      </w:r>
      <w:r w:rsidR="08CA2E20">
        <w:t xml:space="preserve">univerzální logickou </w:t>
      </w:r>
      <w:r w:rsidR="004E67A6">
        <w:t xml:space="preserve">supozici a ne zepředu skrze </w:t>
      </w:r>
      <w:r w:rsidR="08CA2E20">
        <w:t xml:space="preserve">metafyzickou </w:t>
      </w:r>
      <w:r w:rsidR="004E67A6">
        <w:t>impozici</w:t>
      </w:r>
      <w:r w:rsidR="08CA2E20">
        <w:t xml:space="preserve"> vázanou na reálnou kauzalitu predikovanou ve středním členu </w:t>
      </w:r>
      <w:r w:rsidR="08CA2E20" w:rsidRPr="08CA2E20">
        <w:rPr>
          <w:i/>
        </w:rPr>
        <w:t>demonstratio</w:t>
      </w:r>
      <w:r w:rsidR="00C16813">
        <w:t>.</w:t>
      </w:r>
    </w:p>
    <w:p w14:paraId="30E14C4E" w14:textId="77777777" w:rsidR="001916EC" w:rsidRDefault="088F7F84" w:rsidP="009200EC">
      <w:pPr>
        <w:ind w:firstLine="397"/>
      </w:pPr>
      <w:r>
        <w:t xml:space="preserve">Nová </w:t>
      </w:r>
      <w:r w:rsidR="08F01E19">
        <w:t xml:space="preserve">definice </w:t>
      </w:r>
      <w:r>
        <w:t xml:space="preserve">objektivního </w:t>
      </w:r>
      <w:r w:rsidR="08F01E19">
        <w:t xml:space="preserve">poznání </w:t>
      </w:r>
      <w:r>
        <w:t xml:space="preserve">světa </w:t>
      </w:r>
      <w:r w:rsidR="08F01E19">
        <w:t xml:space="preserve">je chápána v porretánském modu nasvícení jsoucna </w:t>
      </w:r>
      <w:r w:rsidR="00163491">
        <w:t xml:space="preserve">zezadu, </w:t>
      </w:r>
      <w:r w:rsidR="08F01E19">
        <w:t xml:space="preserve">od matematické definice. Ta platí v plné míře a věčně identitně </w:t>
      </w:r>
      <w:r w:rsidR="08F01E19" w:rsidRPr="00480A60">
        <w:rPr>
          <w:i/>
        </w:rPr>
        <w:t>per se</w:t>
      </w:r>
      <w:r w:rsidR="08F01E19">
        <w:t xml:space="preserve">, zatímco reálné substance </w:t>
      </w:r>
      <w:r w:rsidR="00142137">
        <w:t>ex</w:t>
      </w:r>
      <w:r w:rsidR="08F01E19">
        <w:t xml:space="preserve">istují jen </w:t>
      </w:r>
      <w:r w:rsidR="00142137">
        <w:t>k</w:t>
      </w:r>
      <w:r w:rsidR="08F01E19">
        <w:t xml:space="preserve">ontingentně </w:t>
      </w:r>
      <w:r w:rsidR="00142137">
        <w:t xml:space="preserve">a </w:t>
      </w:r>
      <w:r w:rsidR="08F01E19">
        <w:t xml:space="preserve">v hylemorfické realitě poznávané smyslově. </w:t>
      </w:r>
      <w:r w:rsidR="0818029D">
        <w:t>Reálné substance p</w:t>
      </w:r>
      <w:r w:rsidR="089C6909">
        <w:t>rostě nejs</w:t>
      </w:r>
      <w:r w:rsidR="084F371F">
        <w:t>ou tak hezké</w:t>
      </w:r>
      <w:r w:rsidR="0082063D">
        <w:t xml:space="preserve"> jako moderní </w:t>
      </w:r>
      <w:r w:rsidR="0082063D" w:rsidRPr="00CD4A13">
        <w:rPr>
          <w:i/>
          <w:szCs w:val="24"/>
        </w:rPr>
        <w:t>tertium ens</w:t>
      </w:r>
      <w:r w:rsidR="084F371F">
        <w:t xml:space="preserve">, protože nemají </w:t>
      </w:r>
      <w:r w:rsidR="089C6909">
        <w:t xml:space="preserve">císařovy </w:t>
      </w:r>
      <w:r w:rsidR="084F371F">
        <w:t xml:space="preserve">objektivně </w:t>
      </w:r>
      <w:r w:rsidR="089C6909">
        <w:t xml:space="preserve">nové </w:t>
      </w:r>
      <w:r w:rsidR="080D6794">
        <w:t xml:space="preserve">a krásné </w:t>
      </w:r>
      <w:r w:rsidR="089C6909">
        <w:t xml:space="preserve">šaty. </w:t>
      </w:r>
      <w:r w:rsidR="08F01E19">
        <w:t xml:space="preserve">Toto sofistické pochybení v modu fundamentálního metafyzického </w:t>
      </w:r>
      <w:r w:rsidR="08F01E19" w:rsidRPr="08EF3F58">
        <w:rPr>
          <w:i/>
        </w:rPr>
        <w:t>Irrtum</w:t>
      </w:r>
      <w:r w:rsidR="08F01E19">
        <w:t xml:space="preserve"> zakládá moderní objektivní určení jsoucna v modu </w:t>
      </w:r>
      <w:r w:rsidR="08F01E19">
        <w:rPr>
          <w:i/>
        </w:rPr>
        <w:t>Oxf</w:t>
      </w:r>
      <w:r w:rsidR="08F01E19" w:rsidRPr="08EF3F58">
        <w:rPr>
          <w:i/>
        </w:rPr>
        <w:t>o</w:t>
      </w:r>
      <w:r w:rsidR="08F01E19">
        <w:rPr>
          <w:i/>
        </w:rPr>
        <w:t>r</w:t>
      </w:r>
      <w:r w:rsidR="08F01E19" w:rsidRPr="08EF3F58">
        <w:rPr>
          <w:i/>
        </w:rPr>
        <w:t>dian Fallacy</w:t>
      </w:r>
      <w:r w:rsidR="08F01E19" w:rsidRPr="00273106">
        <w:t xml:space="preserve">. </w:t>
      </w:r>
      <w:r w:rsidR="00C84B78">
        <w:t xml:space="preserve">Výsledek nové </w:t>
      </w:r>
      <w:r w:rsidR="08CD67E6">
        <w:t xml:space="preserve">interpretace </w:t>
      </w:r>
      <w:r w:rsidR="08CD67E6" w:rsidRPr="08CD67E6">
        <w:rPr>
          <w:i/>
        </w:rPr>
        <w:t>Analytik</w:t>
      </w:r>
      <w:r w:rsidR="08CD67E6">
        <w:t xml:space="preserve"> </w:t>
      </w:r>
      <w:r w:rsidR="00C84B78">
        <w:t xml:space="preserve">je </w:t>
      </w:r>
      <w:r w:rsidR="085317DA">
        <w:t xml:space="preserve">formálně </w:t>
      </w:r>
      <w:r w:rsidR="00C47BCA">
        <w:t>stejný jako v prvním averroismu</w:t>
      </w:r>
      <w:r w:rsidR="085317DA">
        <w:t>. A</w:t>
      </w:r>
      <w:r w:rsidR="08CA2E20">
        <w:t xml:space="preserve">le </w:t>
      </w:r>
      <w:r w:rsidR="085317DA">
        <w:t xml:space="preserve">zdání klame, protože </w:t>
      </w:r>
      <w:r w:rsidR="08E653CB">
        <w:t xml:space="preserve">vytěsněním metafyzického myšlení sledujícího nutnost </w:t>
      </w:r>
      <w:r w:rsidR="082A724F">
        <w:t xml:space="preserve">metafyzického </w:t>
      </w:r>
      <w:r w:rsidR="08E653CB">
        <w:t xml:space="preserve">dativu </w:t>
      </w:r>
      <w:r w:rsidR="085317DA">
        <w:t>došlo k zatmění první substance</w:t>
      </w:r>
      <w:r w:rsidR="00C47BCA">
        <w:t xml:space="preserve">. </w:t>
      </w:r>
      <w:r w:rsidR="00A4373F" w:rsidRPr="00273106">
        <w:t>D</w:t>
      </w:r>
      <w:r w:rsidR="00C84B78">
        <w:t xml:space="preserve">eterminace </w:t>
      </w:r>
      <w:r w:rsidR="08982E75">
        <w:t xml:space="preserve">univerzália </w:t>
      </w:r>
      <w:r w:rsidR="00F7481A" w:rsidRPr="00273106">
        <w:rPr>
          <w:i/>
        </w:rPr>
        <w:t>per se</w:t>
      </w:r>
      <w:r w:rsidR="00F7481A" w:rsidRPr="00273106">
        <w:t xml:space="preserve"> </w:t>
      </w:r>
      <w:r w:rsidR="081E2FE1">
        <w:t xml:space="preserve">změnila význam </w:t>
      </w:r>
      <w:r w:rsidR="00491F25">
        <w:fldChar w:fldCharType="begin"/>
      </w:r>
      <w:r w:rsidR="00491F25">
        <w:instrText xml:space="preserve"> XE "</w:instrText>
      </w:r>
      <w:r w:rsidR="00491F25" w:rsidRPr="007765BD">
        <w:instrText>nutnost:</w:instrText>
      </w:r>
      <w:r w:rsidR="00491F25" w:rsidRPr="00491F25">
        <w:rPr>
          <w:i/>
        </w:rPr>
        <w:instrText>per se</w:instrText>
      </w:r>
      <w:r w:rsidR="00491F25">
        <w:instrText xml:space="preserve">" </w:instrText>
      </w:r>
      <w:r w:rsidR="00491F25">
        <w:fldChar w:fldCharType="end"/>
      </w:r>
      <w:r w:rsidR="08CD67E6">
        <w:t xml:space="preserve">logické </w:t>
      </w:r>
      <w:r w:rsidR="00AE47D2" w:rsidRPr="00273106">
        <w:t>substance</w:t>
      </w:r>
      <w:r w:rsidR="08CD67E6">
        <w:t>-esence</w:t>
      </w:r>
      <w:r w:rsidR="081E2FE1">
        <w:t xml:space="preserve">, která je nyní determinovaná </w:t>
      </w:r>
      <w:r w:rsidR="08CD67E6">
        <w:t xml:space="preserve">jako </w:t>
      </w:r>
      <w:r w:rsidR="00AE47D2" w:rsidRPr="00273106">
        <w:t>cel</w:t>
      </w:r>
      <w:r w:rsidR="08CD67E6">
        <w:t xml:space="preserve">ek jsoucna </w:t>
      </w:r>
      <w:r w:rsidR="00AE47D2" w:rsidRPr="00273106">
        <w:t>(</w:t>
      </w:r>
      <w:r w:rsidR="00AE47D2" w:rsidRPr="00273106">
        <w:rPr>
          <w:i/>
        </w:rPr>
        <w:t>per-se convenit aliquid alicui secundum se totum</w:t>
      </w:r>
      <w:r w:rsidR="00AE47D2" w:rsidRPr="00273106">
        <w:t xml:space="preserve">). </w:t>
      </w:r>
      <w:r w:rsidR="005637E7" w:rsidRPr="00273106">
        <w:t xml:space="preserve">Klíčové je určení </w:t>
      </w:r>
      <w:r w:rsidR="005637E7" w:rsidRPr="00273106">
        <w:rPr>
          <w:i/>
        </w:rPr>
        <w:t xml:space="preserve">secundum se totum, </w:t>
      </w:r>
      <w:r w:rsidR="005637E7" w:rsidRPr="00273106">
        <w:t xml:space="preserve">které známe ze sporu o </w:t>
      </w:r>
      <w:r w:rsidR="00D46FF6" w:rsidRPr="00273106">
        <w:t xml:space="preserve">určení </w:t>
      </w:r>
      <w:r w:rsidR="005637E7" w:rsidRPr="00273106">
        <w:t xml:space="preserve">substance mezi Abelardem a </w:t>
      </w:r>
      <w:r w:rsidR="00A32F67" w:rsidRPr="00273106">
        <w:t xml:space="preserve">porretány </w:t>
      </w:r>
      <w:r w:rsidR="005637E7" w:rsidRPr="00273106">
        <w:t>(</w:t>
      </w:r>
      <w:r w:rsidR="08C518C9">
        <w:t>kap. 1</w:t>
      </w:r>
      <w:r w:rsidR="001B156E">
        <w:t>.3</w:t>
      </w:r>
      <w:r w:rsidR="00B46E47" w:rsidRPr="00273106">
        <w:t>)</w:t>
      </w:r>
      <w:r w:rsidR="00A82DBE" w:rsidRPr="00273106">
        <w:t>.</w:t>
      </w:r>
      <w:r w:rsidR="00DC184B" w:rsidRPr="00273106">
        <w:t xml:space="preserve"> </w:t>
      </w:r>
      <w:r w:rsidR="08DB0407">
        <w:t xml:space="preserve">Aristoteles </w:t>
      </w:r>
      <w:r w:rsidR="08156BF0" w:rsidRPr="00273106">
        <w:t xml:space="preserve">primárně </w:t>
      </w:r>
      <w:r w:rsidR="0051143A" w:rsidRPr="00273106">
        <w:t xml:space="preserve">definuje tímto </w:t>
      </w:r>
      <w:r w:rsidR="005637E7" w:rsidRPr="00273106">
        <w:t>termín</w:t>
      </w:r>
      <w:r w:rsidR="0051143A" w:rsidRPr="00273106">
        <w:t>em</w:t>
      </w:r>
      <w:r w:rsidR="005637E7" w:rsidRPr="00273106">
        <w:t xml:space="preserve"> </w:t>
      </w:r>
      <w:r w:rsidR="08156BF0">
        <w:t xml:space="preserve">pouze </w:t>
      </w:r>
      <w:r w:rsidR="00A45E4E" w:rsidRPr="00273106">
        <w:t xml:space="preserve">esenciální definici </w:t>
      </w:r>
      <w:r w:rsidR="085607FE">
        <w:t xml:space="preserve">trojúhelníka </w:t>
      </w:r>
      <w:r w:rsidR="085607FE" w:rsidRPr="00273106">
        <w:t>(</w:t>
      </w:r>
      <w:r w:rsidR="085607FE" w:rsidRPr="00273106">
        <w:rPr>
          <w:i/>
        </w:rPr>
        <w:t>secundum per se</w:t>
      </w:r>
      <w:r w:rsidR="085607FE" w:rsidRPr="00273106">
        <w:t>)</w:t>
      </w:r>
      <w:r w:rsidR="085607FE">
        <w:t xml:space="preserve">, kterou </w:t>
      </w:r>
      <w:r w:rsidR="08DB0407">
        <w:t xml:space="preserve">ale Rufus </w:t>
      </w:r>
      <w:r w:rsidR="085607FE">
        <w:t xml:space="preserve">chápe </w:t>
      </w:r>
      <w:r w:rsidR="083143E0">
        <w:t>univerzálně-</w:t>
      </w:r>
      <w:r w:rsidR="085607FE">
        <w:t xml:space="preserve">univočně i pro </w:t>
      </w:r>
      <w:r w:rsidR="083C3D0D">
        <w:t xml:space="preserve">esence a pro </w:t>
      </w:r>
      <w:r w:rsidR="085607FE">
        <w:t>reálné první substance</w:t>
      </w:r>
      <w:r w:rsidR="083C3D0D">
        <w:t xml:space="preserve"> redukované na porretánská individua</w:t>
      </w:r>
      <w:r w:rsidR="00704501">
        <w:t xml:space="preserve">. </w:t>
      </w:r>
      <w:r w:rsidR="08E926F0">
        <w:t xml:space="preserve">V jeho pojetí analytické metafyziky </w:t>
      </w:r>
      <w:r w:rsidR="08AA68B4">
        <w:t xml:space="preserve">patří toto </w:t>
      </w:r>
      <w:r w:rsidR="00B10916">
        <w:t>„</w:t>
      </w:r>
      <w:r w:rsidR="08AA68B4" w:rsidRPr="00273106">
        <w:rPr>
          <w:i/>
        </w:rPr>
        <w:t>totum</w:t>
      </w:r>
      <w:r w:rsidR="00B10916">
        <w:t>“</w:t>
      </w:r>
      <w:r w:rsidR="08AA68B4" w:rsidRPr="00273106">
        <w:t xml:space="preserve"> </w:t>
      </w:r>
      <w:r w:rsidR="083143E0">
        <w:t xml:space="preserve">i </w:t>
      </w:r>
      <w:r w:rsidR="08E926F0">
        <w:t xml:space="preserve">k </w:t>
      </w:r>
      <w:r w:rsidR="083143E0">
        <w:t xml:space="preserve">metafyzické </w:t>
      </w:r>
      <w:r w:rsidR="08E926F0">
        <w:t>predikaci aktuálně působící substance v reálu</w:t>
      </w:r>
      <w:r w:rsidR="00491F25">
        <w:fldChar w:fldCharType="begin"/>
      </w:r>
      <w:r w:rsidR="00491F25">
        <w:instrText xml:space="preserve"> XE "</w:instrText>
      </w:r>
      <w:r w:rsidR="00491F25" w:rsidRPr="007765BD">
        <w:instrText>nutnost:</w:instrText>
      </w:r>
      <w:r w:rsidR="00491F25" w:rsidRPr="00491F25">
        <w:rPr>
          <w:i/>
        </w:rPr>
        <w:instrText>per se</w:instrText>
      </w:r>
      <w:r w:rsidR="00491F25">
        <w:instrText xml:space="preserve">" </w:instrText>
      </w:r>
      <w:r w:rsidR="00491F25">
        <w:fldChar w:fldCharType="end"/>
      </w:r>
      <w:r w:rsidR="000D03CF" w:rsidRPr="00273106">
        <w:t xml:space="preserve">. </w:t>
      </w:r>
      <w:r w:rsidR="000963D2">
        <w:t xml:space="preserve">Opět platí, že to jde </w:t>
      </w:r>
      <w:r w:rsidR="00D73A33">
        <w:t xml:space="preserve">metafyzicky platně </w:t>
      </w:r>
      <w:r w:rsidR="000963D2">
        <w:t>udělat pro trojúh</w:t>
      </w:r>
      <w:r w:rsidR="00BA222D">
        <w:t xml:space="preserve">elník, ale nikoliv pro </w:t>
      </w:r>
      <w:r w:rsidR="08E178B0">
        <w:t xml:space="preserve">predikaci </w:t>
      </w:r>
      <w:r w:rsidR="00BA222D">
        <w:t xml:space="preserve">fyzikální </w:t>
      </w:r>
      <w:r w:rsidR="084133C2">
        <w:t>kauz</w:t>
      </w:r>
      <w:r w:rsidR="08E178B0">
        <w:t>ality</w:t>
      </w:r>
      <w:r w:rsidR="084133C2">
        <w:t xml:space="preserve"> působící zatmění astronomických těles jako </w:t>
      </w:r>
      <w:r w:rsidR="00523AD0">
        <w:t xml:space="preserve">je </w:t>
      </w:r>
      <w:r w:rsidR="084133C2">
        <w:t>Slunce nebo M</w:t>
      </w:r>
      <w:r w:rsidR="00523AD0">
        <w:t>ěsíc</w:t>
      </w:r>
      <w:r w:rsidR="000963D2">
        <w:t xml:space="preserve">. </w:t>
      </w:r>
      <w:r w:rsidR="08E178B0">
        <w:t xml:space="preserve">Tam je nutno predikovat </w:t>
      </w:r>
      <w:r w:rsidR="086C6B8E">
        <w:t xml:space="preserve">metafyzickou </w:t>
      </w:r>
      <w:r w:rsidR="08E178B0">
        <w:t xml:space="preserve">nutnost </w:t>
      </w:r>
      <w:r w:rsidR="08D91F67">
        <w:rPr>
          <w:i/>
        </w:rPr>
        <w:t>ex in</w:t>
      </w:r>
      <w:r w:rsidR="08E178B0" w:rsidRPr="08E178B0">
        <w:rPr>
          <w:i/>
        </w:rPr>
        <w:t>mediatis</w:t>
      </w:r>
      <w:r w:rsidR="08E178B0">
        <w:t xml:space="preserve"> v tom, co je těmto substancí</w:t>
      </w:r>
      <w:r w:rsidR="08F75A8F">
        <w:t>m dáno</w:t>
      </w:r>
      <w:r w:rsidR="08E178B0">
        <w:t xml:space="preserve"> jako jejich hyparchické bytí</w:t>
      </w:r>
      <w:r w:rsidR="08F75A8F">
        <w:t xml:space="preserve"> zakládající kategoriální impozici</w:t>
      </w:r>
      <w:r w:rsidR="08E178B0">
        <w:t xml:space="preserve">. </w:t>
      </w:r>
      <w:r w:rsidR="08260CC2">
        <w:t xml:space="preserve">Pak má věda v modu metafyzické adekvace autentický minulostní ráz Aristotelovy </w:t>
      </w:r>
      <w:r w:rsidR="08260CC2" w:rsidRPr="08260CC2">
        <w:rPr>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8260CC2">
        <w:t xml:space="preserve"> </w:t>
      </w:r>
      <w:r w:rsidR="08103FB8">
        <w:t xml:space="preserve">dané jako metafyzické určení jsoucna </w:t>
      </w:r>
      <w:r w:rsidR="08260CC2">
        <w:t>(</w:t>
      </w:r>
      <w:r w:rsidR="08260CC2" w:rsidRPr="08364F97">
        <w:t>τό τί ἦν εἶναι</w:t>
      </w:r>
      <w:r w:rsidR="08260CC2">
        <w:fldChar w:fldCharType="begin"/>
      </w:r>
      <w:r w:rsidR="08260CC2">
        <w:instrText xml:space="preserve"> XE "</w:instrText>
      </w:r>
      <w:r w:rsidR="08260CC2" w:rsidRPr="08D57ABC">
        <w:instrText>τό τί ἦν εἶναι</w:instrText>
      </w:r>
      <w:r w:rsidR="08260CC2">
        <w:instrText xml:space="preserve">" </w:instrText>
      </w:r>
      <w:r w:rsidR="08260CC2">
        <w:fldChar w:fldCharType="end"/>
      </w:r>
      <w:r w:rsidR="08260CC2">
        <w:t>)</w:t>
      </w:r>
      <w:r w:rsidR="08103FB8">
        <w:t xml:space="preserve">. </w:t>
      </w:r>
      <w:r w:rsidR="08484FB4">
        <w:t xml:space="preserve">Tento akt původní donace bytí jsoucna skrze </w:t>
      </w:r>
      <w:r w:rsidR="082A724F">
        <w:t xml:space="preserve">metafyzický </w:t>
      </w:r>
      <w:r w:rsidR="08484FB4">
        <w:t>dativ</w:t>
      </w:r>
      <w:r w:rsidR="00E87C50">
        <w:rPr>
          <w:i/>
        </w:rPr>
        <w:fldChar w:fldCharType="begin"/>
      </w:r>
      <w:r w:rsidR="00E87C50">
        <w:instrText xml:space="preserve"> XE "</w:instrText>
      </w:r>
      <w:r w:rsidR="00E87C50">
        <w:rPr>
          <w:i/>
        </w:rPr>
        <w:instrText>dativus metaphysi</w:instrText>
      </w:r>
      <w:r w:rsidR="00E87C50" w:rsidRPr="08420B8A">
        <w:rPr>
          <w:i/>
        </w:rPr>
        <w:instrText>cus</w:instrText>
      </w:r>
      <w:r w:rsidR="00E87C50">
        <w:instrText xml:space="preserve">" </w:instrText>
      </w:r>
      <w:r w:rsidR="00E87C50">
        <w:rPr>
          <w:i/>
        </w:rPr>
        <w:fldChar w:fldCharType="end"/>
      </w:r>
      <w:r w:rsidR="08484FB4">
        <w:t xml:space="preserve"> má zásadní význam. </w:t>
      </w:r>
      <w:r w:rsidR="08103FB8">
        <w:t xml:space="preserve">Moudré vědění </w:t>
      </w:r>
      <w:r w:rsidR="008E7228">
        <w:t>sleduje dráhu Slunce a jde jedním směrem. Metafyzika používá jako univerzální znamení (</w:t>
      </w:r>
      <w:r w:rsidR="008E7228" w:rsidRPr="080F0701">
        <w:t>ἕρμαιον</w:t>
      </w:r>
      <w:r w:rsidR="008E7228">
        <w:t>) metafyzický</w:t>
      </w:r>
      <w:r w:rsidR="082A724F">
        <w:t xml:space="preserve"> </w:t>
      </w:r>
      <w:r w:rsidR="08217C94">
        <w:t>dativ</w:t>
      </w:r>
      <w:r w:rsidR="008E7228">
        <w:t xml:space="preserve">, který sleduje již dané minulé </w:t>
      </w:r>
      <w:r w:rsidR="0881639D">
        <w:t>věcí</w:t>
      </w:r>
      <w:r w:rsidR="089143D4">
        <w:t xml:space="preserve"> </w:t>
      </w:r>
      <w:r w:rsidR="08D62630">
        <w:t xml:space="preserve">v realitě </w:t>
      </w:r>
      <w:r w:rsidR="089143D4">
        <w:t>(</w:t>
      </w:r>
      <w:r w:rsidR="089143D4" w:rsidRPr="089143D4">
        <w:rPr>
          <w:i/>
        </w:rPr>
        <w:t>repre</w:t>
      </w:r>
      <w:r w:rsidR="08103FB8">
        <w:rPr>
          <w:i/>
        </w:rPr>
        <w:t>se</w:t>
      </w:r>
      <w:r w:rsidR="089143D4" w:rsidRPr="089143D4">
        <w:rPr>
          <w:i/>
        </w:rPr>
        <w:t>ntatio</w:t>
      </w:r>
      <w:r w:rsidR="089143D4">
        <w:t>)</w:t>
      </w:r>
      <w:r w:rsidR="0881639D">
        <w:t xml:space="preserve">. </w:t>
      </w:r>
      <w:r w:rsidR="008B4F47">
        <w:t xml:space="preserve">Díké jako </w:t>
      </w:r>
      <w:r w:rsidR="08E857E7">
        <w:t xml:space="preserve">trestající </w:t>
      </w:r>
      <w:r w:rsidR="08A6770C">
        <w:t>b</w:t>
      </w:r>
      <w:r w:rsidR="081C7285">
        <w:t>ohyně Spr</w:t>
      </w:r>
      <w:r w:rsidR="08A6770C">
        <w:t>a</w:t>
      </w:r>
      <w:r w:rsidR="08450F8B">
        <w:t xml:space="preserve">vedlnosti má </w:t>
      </w:r>
      <w:r w:rsidR="00505382">
        <w:t xml:space="preserve">obojí </w:t>
      </w:r>
      <w:r w:rsidR="08450F8B">
        <w:t>klíče od bran D</w:t>
      </w:r>
      <w:r w:rsidR="081C7285">
        <w:t>n</w:t>
      </w:r>
      <w:r w:rsidR="08450F8B">
        <w:t>e</w:t>
      </w:r>
      <w:r w:rsidR="081C7285">
        <w:t xml:space="preserve"> i Noci (κληῖδας ἀμοιβούς, </w:t>
      </w:r>
      <w:r w:rsidR="00D2232C" w:rsidRPr="00D2232C">
        <w:rPr>
          <w:i/>
        </w:rPr>
        <w:t>Parm</w:t>
      </w:r>
      <w:r w:rsidR="00D2232C">
        <w:t xml:space="preserve">. </w:t>
      </w:r>
      <w:r w:rsidR="081C7285">
        <w:t>B</w:t>
      </w:r>
      <w:r w:rsidR="0891419F">
        <w:t xml:space="preserve"> </w:t>
      </w:r>
      <w:r w:rsidR="081C7285">
        <w:t>1.37</w:t>
      </w:r>
      <w:r w:rsidR="0891419F">
        <w:fldChar w:fldCharType="begin"/>
      </w:r>
      <w:r w:rsidR="0891419F">
        <w:instrText xml:space="preserve"> XE "Parmenides:</w:instrText>
      </w:r>
      <w:r w:rsidR="0891419F" w:rsidRPr="08C45902">
        <w:instrText>B 1.37</w:instrText>
      </w:r>
      <w:r w:rsidR="0891419F">
        <w:instrText xml:space="preserve">" </w:instrText>
      </w:r>
      <w:r w:rsidR="0891419F">
        <w:fldChar w:fldCharType="end"/>
      </w:r>
      <w:r w:rsidR="081C7285">
        <w:t xml:space="preserve">), ale nikoliv smrtelník, který sleduje dráhu slunce na obloze, která jde jen jedním archaickým směrem. </w:t>
      </w:r>
      <w:r w:rsidR="00C53B2E" w:rsidRPr="00C53B2E">
        <w:t>Proto je tento druh nutnosti první a nutnost logického subjektu je druhotná. Smrtelníci nemají božskou přirozenost a nemohou vložit oba druhy nutnosti</w:t>
      </w:r>
      <w:r w:rsidR="00C53B2E">
        <w:t xml:space="preserve"> </w:t>
      </w:r>
      <w:r w:rsidR="00C53B2E" w:rsidRPr="00C53B2E">
        <w:t>do jedno</w:t>
      </w:r>
      <w:r w:rsidR="00C53B2E">
        <w:t>ho druhu intelektuálního poznání</w:t>
      </w:r>
      <w:r w:rsidR="00C53B2E" w:rsidRPr="00C53B2E">
        <w:t>.</w:t>
      </w:r>
      <w:r w:rsidR="00C53B2E">
        <w:t xml:space="preserve"> </w:t>
      </w:r>
      <w:r w:rsidR="08E70EFC">
        <w:t>Moderna si po zatmění první substance zavedla pod vedením Fúrií do kosmu vlastní sprave</w:t>
      </w:r>
      <w:r w:rsidR="08B859B0">
        <w:t>dlnost. P</w:t>
      </w:r>
      <w:r w:rsidR="08E70EFC">
        <w:t>roto</w:t>
      </w:r>
      <w:r w:rsidR="08B859B0">
        <w:t xml:space="preserve"> musela zhasnout Slunce a </w:t>
      </w:r>
      <w:r w:rsidR="08DA5AAD">
        <w:t xml:space="preserve">k </w:t>
      </w:r>
      <w:r w:rsidR="08B859B0">
        <w:t xml:space="preserve">zavedení této </w:t>
      </w:r>
      <w:r w:rsidR="08DA5AAD">
        <w:t xml:space="preserve">paranoické </w:t>
      </w:r>
      <w:r w:rsidR="08B859B0">
        <w:t>spravedlnosti si vytvořila</w:t>
      </w:r>
      <w:r w:rsidR="08E70EFC">
        <w:t xml:space="preserve"> vlastního boha </w:t>
      </w:r>
      <w:r w:rsidR="08E70EFC" w:rsidRPr="08E70EFC">
        <w:rPr>
          <w:i/>
        </w:rPr>
        <w:t>Modernorum</w:t>
      </w:r>
      <w:r w:rsidR="08E70EFC">
        <w:t xml:space="preserve"> jako plnou míru své objektivní </w:t>
      </w:r>
      <w:r w:rsidR="08E70EFC" w:rsidRPr="002770B5">
        <w:t>Díké</w:t>
      </w:r>
      <w:r w:rsidR="08E70EFC">
        <w:t xml:space="preserve">. </w:t>
      </w:r>
      <w:r w:rsidR="008919AE">
        <w:t xml:space="preserve">Vědec přímo nazírá esenci trojúhelníka a tvoří analytickou vědu </w:t>
      </w:r>
      <w:r w:rsidR="008919AE" w:rsidRPr="008919AE">
        <w:t xml:space="preserve">jako pravdivou a bezprostřední prezentaci této univerzality (presentatio, οὐσία). Je třeba poznamenat, že tato přítomnost významu je výsledkem intelektuální činnosti, kterou vykonává metafyzický dativ. Přítomnost trojúhelníku je zároveň jeho plným </w:t>
      </w:r>
      <w:r w:rsidR="00FC19FD">
        <w:t xml:space="preserve">smyslem </w:t>
      </w:r>
      <w:r w:rsidR="008919AE" w:rsidRPr="008919AE">
        <w:t>rozpoznaným v intelektu (</w:t>
      </w:r>
      <w:r w:rsidR="008919AE" w:rsidRPr="00FC19FD">
        <w:rPr>
          <w:i/>
        </w:rPr>
        <w:t>representatio</w:t>
      </w:r>
      <w:r w:rsidR="008919AE" w:rsidRPr="008919AE">
        <w:t>, παρουσία). Lidský intelekt však nikdy neuskutečňuje přítomnost reálných věcí jako prvních substancí (οὐ</w:t>
      </w:r>
      <w:r w:rsidR="00FC19FD">
        <w:t>σία). Nejsme b</w:t>
      </w:r>
      <w:r w:rsidR="008919AE" w:rsidRPr="008919AE">
        <w:t xml:space="preserve">ůh a nemůžeme stvořit reálný svět. Přítomnost hyparchických substancí je založena darováním existence na základě metafyzického dativu. Lidské poznání </w:t>
      </w:r>
      <w:r w:rsidR="009200EC">
        <w:t xml:space="preserve">vytváří </w:t>
      </w:r>
      <w:r w:rsidR="008919AE" w:rsidRPr="008919AE">
        <w:t xml:space="preserve">parousii </w:t>
      </w:r>
      <w:r w:rsidR="009200EC">
        <w:t xml:space="preserve">reálných věcí </w:t>
      </w:r>
      <w:r w:rsidR="008919AE" w:rsidRPr="008919AE">
        <w:t xml:space="preserve">v intelektu jako univerzální smysl. Nutnost, která existuje v realitě, potřebuje </w:t>
      </w:r>
      <w:r w:rsidR="009200EC">
        <w:t xml:space="preserve">impozici </w:t>
      </w:r>
      <w:r w:rsidR="008919AE" w:rsidRPr="008919AE">
        <w:t>smyslu, aby vytvořila pravdivou korespondenci v intelektu.</w:t>
      </w:r>
      <w:r w:rsidR="009200EC">
        <w:t xml:space="preserve"> </w:t>
      </w:r>
      <w:r w:rsidR="082A724F">
        <w:t xml:space="preserve">Metafyzický </w:t>
      </w:r>
      <w:r w:rsidR="087B5C97">
        <w:t xml:space="preserve">dativ </w:t>
      </w:r>
      <w:r w:rsidR="087B5C97" w:rsidRPr="087B5C97">
        <w:rPr>
          <w:i/>
        </w:rPr>
        <w:t>Druhých analytik</w:t>
      </w:r>
      <w:r w:rsidR="087B5C97">
        <w:t xml:space="preserve"> </w:t>
      </w:r>
      <w:r w:rsidR="08533A4C">
        <w:t>kriticky</w:t>
      </w:r>
      <w:r w:rsidR="002770B5">
        <w:t xml:space="preserve"> a </w:t>
      </w:r>
      <w:r w:rsidR="08533A4C">
        <w:t xml:space="preserve">vědecky </w:t>
      </w:r>
      <w:r w:rsidR="087B5C97">
        <w:t xml:space="preserve">vytváří lidské </w:t>
      </w:r>
      <w:r w:rsidR="087B5C97" w:rsidRPr="087B5C97">
        <w:rPr>
          <w:i/>
        </w:rPr>
        <w:t>re</w:t>
      </w:r>
      <w:r w:rsidR="087B5C97" w:rsidRPr="087B5C97">
        <w:rPr>
          <w:i/>
        </w:rPr>
        <w:noBreakHyphen/>
      </w:r>
      <w:r w:rsidR="08533A4C">
        <w:rPr>
          <w:i/>
        </w:rPr>
        <w:t>pres</w:t>
      </w:r>
      <w:r w:rsidR="087B5C97" w:rsidRPr="087B5C97">
        <w:rPr>
          <w:i/>
        </w:rPr>
        <w:t>entatio</w:t>
      </w:r>
      <w:r w:rsidR="087B5C97">
        <w:t xml:space="preserve"> božského</w:t>
      </w:r>
      <w:r w:rsidR="08E0585A">
        <w:t xml:space="preserve"> řádu. </w:t>
      </w:r>
      <w:r w:rsidR="00F67525">
        <w:t xml:space="preserve">Nemůžeme vytvořit prezentaci externí reality, protože ta je dána </w:t>
      </w:r>
      <w:r w:rsidR="08E0585A">
        <w:t xml:space="preserve">vzhledem k našemu poznání </w:t>
      </w:r>
      <w:r w:rsidR="00F67525">
        <w:t xml:space="preserve">pouze </w:t>
      </w:r>
      <w:r w:rsidR="08E0585A">
        <w:t xml:space="preserve">v hyparchickém minulostním modu. </w:t>
      </w:r>
      <w:r w:rsidR="00F67525">
        <w:t>N</w:t>
      </w:r>
      <w:r w:rsidR="001916EC">
        <w:t>emáme klíče od Bran dne a noci.</w:t>
      </w:r>
    </w:p>
    <w:p w14:paraId="327EF682" w14:textId="1CEC67E7" w:rsidR="00911A4F" w:rsidRDefault="084A5B0E" w:rsidP="009200EC">
      <w:pPr>
        <w:ind w:firstLine="397"/>
      </w:pPr>
      <w:r>
        <w:t xml:space="preserve">Slepota </w:t>
      </w:r>
      <w:r w:rsidR="089143D4">
        <w:t xml:space="preserve">moderny </w:t>
      </w:r>
      <w:r w:rsidR="08141529">
        <w:t xml:space="preserve">a postmoderny </w:t>
      </w:r>
      <w:r w:rsidR="00E22D5B">
        <w:t xml:space="preserve">je dána v </w:t>
      </w:r>
      <w:r>
        <w:t xml:space="preserve">tragické podobě </w:t>
      </w:r>
      <w:r w:rsidR="00E22D5B">
        <w:t>Oidipova objektivního komplexu (OBJ III, kap. 7). Moderna zaměnila</w:t>
      </w:r>
      <w:r w:rsidR="08D175C2">
        <w:t xml:space="preserve"> </w:t>
      </w:r>
      <w:r w:rsidR="00E22D5B">
        <w:t>hermeneutickou</w:t>
      </w:r>
      <w:r w:rsidR="08A543EA">
        <w:t xml:space="preserve"> </w:t>
      </w:r>
      <w:r w:rsidR="08D175C2">
        <w:t>repreze</w:t>
      </w:r>
      <w:r w:rsidR="00E22D5B">
        <w:t>ntaci</w:t>
      </w:r>
      <w:r w:rsidR="089143D4">
        <w:t xml:space="preserve"> světa </w:t>
      </w:r>
      <w:r w:rsidR="08141529">
        <w:t>v modu pravdy</w:t>
      </w:r>
      <w:r w:rsidR="089143D4">
        <w:t xml:space="preserve"> jako adekvace za její mytopoetickou prezentaci v modu pravdy jako </w:t>
      </w:r>
      <w:r w:rsidR="08A543EA">
        <w:t xml:space="preserve">analytické </w:t>
      </w:r>
      <w:r w:rsidR="089143D4">
        <w:t xml:space="preserve">evidence. </w:t>
      </w:r>
      <w:r w:rsidR="0847240C">
        <w:t xml:space="preserve">Z aristotelské </w:t>
      </w:r>
      <w:r w:rsidR="0847240C" w:rsidRPr="0847240C">
        <w:rPr>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847240C">
        <w:t xml:space="preserve"> se stala moderní atomární substa</w:t>
      </w:r>
      <w:r w:rsidR="08C933DD">
        <w:t>nce nazíraná univočně-univerzálně</w:t>
      </w:r>
      <w:r w:rsidR="00E22D5B">
        <w:t xml:space="preserve"> jako </w:t>
      </w:r>
      <w:r w:rsidR="00E22D5B" w:rsidRPr="00E22D5B">
        <w:rPr>
          <w:i/>
        </w:rPr>
        <w:t>individuum</w:t>
      </w:r>
      <w:r w:rsidR="08C933DD">
        <w:t xml:space="preserve">. Toto </w:t>
      </w:r>
      <w:r w:rsidR="084F551C">
        <w:t xml:space="preserve">epochálně jisté a správné </w:t>
      </w:r>
      <w:r w:rsidR="08C933DD">
        <w:t xml:space="preserve">zjevení </w:t>
      </w:r>
      <w:r w:rsidR="0857716F">
        <w:t xml:space="preserve">objektivní </w:t>
      </w:r>
      <w:r w:rsidR="08C933DD">
        <w:t xml:space="preserve">jsoucnosti (παρουσία) vytvořilo mystickou vědu moderních iluminátů na Oxfordu. </w:t>
      </w:r>
      <w:r w:rsidR="08D175C2">
        <w:t xml:space="preserve">Moudrý člověk nejprve </w:t>
      </w:r>
      <w:r w:rsidR="00C11B1A">
        <w:t xml:space="preserve">pozoruje svět </w:t>
      </w:r>
      <w:r w:rsidR="08D175C2">
        <w:t xml:space="preserve">a pak </w:t>
      </w:r>
      <w:r w:rsidR="00D045BD">
        <w:t xml:space="preserve">něco </w:t>
      </w:r>
      <w:r w:rsidR="08D175C2">
        <w:t>ví</w:t>
      </w:r>
      <w:r w:rsidR="00D045BD">
        <w:t>;</w:t>
      </w:r>
      <w:r w:rsidR="08D175C2">
        <w:t xml:space="preserve"> </w:t>
      </w:r>
      <w:r w:rsidR="084F2E30">
        <w:t xml:space="preserve">chaotik a </w:t>
      </w:r>
      <w:r w:rsidR="00C11B1A">
        <w:t xml:space="preserve">hlupák </w:t>
      </w:r>
      <w:r w:rsidR="08D175C2">
        <w:t xml:space="preserve">dělá </w:t>
      </w:r>
      <w:r w:rsidR="00C11B1A">
        <w:t>„vědu“ opačným způsobem</w:t>
      </w:r>
      <w:r w:rsidR="08D175C2">
        <w:t xml:space="preserve">. </w:t>
      </w:r>
      <w:r w:rsidR="0009271A">
        <w:t>Logick</w:t>
      </w:r>
      <w:r w:rsidR="001E0548">
        <w:t>y abstrahující Rufus nepredikoval</w:t>
      </w:r>
      <w:r w:rsidR="0009271A">
        <w:t xml:space="preserve"> v</w:t>
      </w:r>
      <w:r w:rsidR="08631059" w:rsidRPr="00273106">
        <w:t xml:space="preserve"> řádu </w:t>
      </w:r>
      <w:r w:rsidR="08631059" w:rsidRPr="00273106">
        <w:rPr>
          <w:i/>
        </w:rPr>
        <w:t>per prius</w:t>
      </w:r>
      <w:r w:rsidR="08631059" w:rsidRPr="00273106">
        <w:t xml:space="preserve"> </w:t>
      </w:r>
      <w:r w:rsidR="0009271A">
        <w:t>kauzalitu</w:t>
      </w:r>
      <w:r w:rsidR="08631059" w:rsidRPr="00273106">
        <w:t xml:space="preserve"> </w:t>
      </w:r>
      <w:r w:rsidR="005A2BE2" w:rsidRPr="00273106">
        <w:t xml:space="preserve">první substance v reálu, ale </w:t>
      </w:r>
      <w:r w:rsidR="00885FF5">
        <w:t xml:space="preserve">nominalistické </w:t>
      </w:r>
      <w:r w:rsidR="00FA7124">
        <w:t xml:space="preserve">určení </w:t>
      </w:r>
      <w:r w:rsidR="005A2BE2" w:rsidRPr="00273106">
        <w:t>e</w:t>
      </w:r>
      <w:r w:rsidR="08631059" w:rsidRPr="00273106">
        <w:t>sence</w:t>
      </w:r>
      <w:r w:rsidR="00BF5E07">
        <w:t xml:space="preserve"> vzaté absolutně</w:t>
      </w:r>
      <w:r w:rsidR="008D09D8" w:rsidRPr="00273106">
        <w:t xml:space="preserve">. </w:t>
      </w:r>
      <w:r w:rsidR="0054727F">
        <w:t>Tento a</w:t>
      </w:r>
      <w:r w:rsidR="00F523C1" w:rsidRPr="00273106">
        <w:t xml:space="preserve">nalytický </w:t>
      </w:r>
      <w:r w:rsidR="086E4C23">
        <w:t xml:space="preserve">sofista </w:t>
      </w:r>
      <w:r w:rsidR="0054727F">
        <w:t xml:space="preserve">popřel argumentaci </w:t>
      </w:r>
      <w:r w:rsidR="0054727F">
        <w:rPr>
          <w:i/>
        </w:rPr>
        <w:t>Druhých analytik</w:t>
      </w:r>
      <w:r w:rsidR="0054727F">
        <w:t xml:space="preserve">. Rufus </w:t>
      </w:r>
      <w:r w:rsidR="00F523C1" w:rsidRPr="00273106">
        <w:t>vědomě změn</w:t>
      </w:r>
      <w:r w:rsidR="0807781E">
        <w:t xml:space="preserve">il statut predikované obecnosti </w:t>
      </w:r>
      <w:r w:rsidR="000049DC">
        <w:t>ve vědeckém soudu</w:t>
      </w:r>
      <w:r w:rsidR="0807781E">
        <w:t xml:space="preserve">, </w:t>
      </w:r>
      <w:r w:rsidR="08EC4B66">
        <w:t>k</w:t>
      </w:r>
      <w:r w:rsidR="008D3D35">
        <w:t xml:space="preserve"> němuž </w:t>
      </w:r>
      <w:r w:rsidR="0807781E">
        <w:t xml:space="preserve">přidal </w:t>
      </w:r>
      <w:r w:rsidR="008D3D35" w:rsidRPr="0047193E">
        <w:rPr>
          <w:i/>
          <w:szCs w:val="24"/>
        </w:rPr>
        <w:t>ex post</w:t>
      </w:r>
      <w:r w:rsidR="008D3D35">
        <w:rPr>
          <w:i/>
          <w:szCs w:val="24"/>
        </w:rPr>
        <w:t xml:space="preserve"> </w:t>
      </w:r>
      <w:r w:rsidR="0807781E">
        <w:t>účinnou kauzalitu</w:t>
      </w:r>
      <w:r w:rsidR="00F523C1" w:rsidRPr="00273106">
        <w:t xml:space="preserve">. Hyparchické bytí trojúhelníka </w:t>
      </w:r>
      <w:r w:rsidR="009408F2">
        <w:t xml:space="preserve">bylo </w:t>
      </w:r>
      <w:r w:rsidR="00F523C1" w:rsidRPr="00273106">
        <w:t>dané u Aristotela pouze v modu univerzální matematické abstrakce</w:t>
      </w:r>
      <w:r w:rsidR="009408F2">
        <w:t xml:space="preserve">. </w:t>
      </w:r>
      <w:r w:rsidR="00EB4045">
        <w:fldChar w:fldCharType="begin"/>
      </w:r>
      <w:r w:rsidR="00EB4045">
        <w:instrText xml:space="preserve"> XE "</w:instrText>
      </w:r>
      <w:r w:rsidR="00EB4045" w:rsidRPr="00A824F0">
        <w:instrText>abstrakce:</w:instrText>
      </w:r>
      <w:r w:rsidR="008E02F5">
        <w:instrText>Aristoteles</w:instrText>
      </w:r>
      <w:r w:rsidR="00EB4045">
        <w:instrText xml:space="preserve">" </w:instrText>
      </w:r>
      <w:r w:rsidR="00EB4045">
        <w:fldChar w:fldCharType="end"/>
      </w:r>
      <w:r w:rsidR="009408F2">
        <w:t xml:space="preserve">Moderní sofistika Rufuse </w:t>
      </w:r>
      <w:r w:rsidR="00F523C1" w:rsidRPr="00273106">
        <w:t xml:space="preserve"> </w:t>
      </w:r>
      <w:r w:rsidR="009408F2">
        <w:t>univočně spojila</w:t>
      </w:r>
      <w:r w:rsidR="004F4102">
        <w:t xml:space="preserve"> </w:t>
      </w:r>
      <w:r w:rsidR="009408F2">
        <w:t>toto h</w:t>
      </w:r>
      <w:r w:rsidR="009408F2" w:rsidRPr="00273106">
        <w:t xml:space="preserve">yparchické bytí </w:t>
      </w:r>
      <w:r w:rsidR="004F4102">
        <w:t>s hyparchickým</w:t>
      </w:r>
      <w:r w:rsidR="00F523C1" w:rsidRPr="00273106">
        <w:t xml:space="preserve"> bytí</w:t>
      </w:r>
      <w:r w:rsidR="004F4102">
        <w:t>m</w:t>
      </w:r>
      <w:r w:rsidR="00F523C1" w:rsidRPr="00273106">
        <w:t xml:space="preserve"> první substance. </w:t>
      </w:r>
      <w:r w:rsidR="08F31B03" w:rsidRPr="00273106">
        <w:t xml:space="preserve">Aristotelova esencialita platná pouze pro hyparchickou funkci geometrické figury trojúhelníka se stala </w:t>
      </w:r>
      <w:r w:rsidR="08F31B03">
        <w:t xml:space="preserve">univoční predikací danou </w:t>
      </w:r>
      <w:r w:rsidR="08F31B03" w:rsidRPr="007B5DF3">
        <w:rPr>
          <w:i/>
        </w:rPr>
        <w:t>per prius</w:t>
      </w:r>
      <w:r w:rsidR="08F31B03">
        <w:t xml:space="preserve"> v modu globální moderní univerzality platné objektivně</w:t>
      </w:r>
      <w:r w:rsidR="08551440">
        <w:t>-kauzálně</w:t>
      </w:r>
      <w:r w:rsidR="08F31B03">
        <w:t xml:space="preserve">. Rufus otevřel skrze sofistiku </w:t>
      </w:r>
      <w:r w:rsidR="08F31B03" w:rsidRPr="08F31B03">
        <w:rPr>
          <w:i/>
        </w:rPr>
        <w:t>Druhých analytik</w:t>
      </w:r>
      <w:r w:rsidR="08F31B03">
        <w:t xml:space="preserve"> </w:t>
      </w:r>
      <w:r w:rsidR="08C17A9F">
        <w:t xml:space="preserve">novou </w:t>
      </w:r>
      <w:r w:rsidR="08F31B03">
        <w:t>eta</w:t>
      </w:r>
      <w:r w:rsidR="08C17A9F">
        <w:t>pu</w:t>
      </w:r>
      <w:r w:rsidR="08F31B03">
        <w:t xml:space="preserve"> myšlení zvanou </w:t>
      </w:r>
      <w:r w:rsidR="08F31B03" w:rsidRPr="08753F2D">
        <w:rPr>
          <w:i/>
        </w:rPr>
        <w:t>via Modernorum</w:t>
      </w:r>
      <w:r w:rsidR="08F31B03">
        <w:t>, což neušlo an</w:t>
      </w:r>
      <w:r w:rsidR="00A75391">
        <w:t xml:space="preserve">i jeho krikům ani jeho nadšeným, </w:t>
      </w:r>
      <w:r w:rsidR="00707D5E">
        <w:t xml:space="preserve">méně vzdělaným </w:t>
      </w:r>
      <w:r w:rsidR="08F31B03">
        <w:t>žákům (</w:t>
      </w:r>
      <w:r w:rsidR="08F31B03" w:rsidRPr="08F31B03">
        <w:rPr>
          <w:i/>
          <w:szCs w:val="16"/>
        </w:rPr>
        <w:t xml:space="preserve">Ricardus </w:t>
      </w:r>
      <w:r w:rsidR="08F31B03" w:rsidRPr="08F31B03">
        <w:rPr>
          <w:i/>
          <w:szCs w:val="15"/>
        </w:rPr>
        <w:t xml:space="preserve">Cornubiensis, </w:t>
      </w:r>
      <w:r w:rsidR="08F31B03" w:rsidRPr="08F31B03">
        <w:rPr>
          <w:i/>
          <w:szCs w:val="16"/>
        </w:rPr>
        <w:t xml:space="preserve">famosissimus </w:t>
      </w:r>
      <w:r w:rsidR="08F31B03" w:rsidRPr="08F31B03">
        <w:rPr>
          <w:i/>
        </w:rPr>
        <w:t xml:space="preserve">apud </w:t>
      </w:r>
      <w:r w:rsidR="08F31B03" w:rsidRPr="08F31B03">
        <w:rPr>
          <w:i/>
          <w:szCs w:val="15"/>
        </w:rPr>
        <w:t xml:space="preserve">stultam </w:t>
      </w:r>
      <w:r w:rsidR="08F31B03" w:rsidRPr="08F31B03">
        <w:rPr>
          <w:i/>
          <w:szCs w:val="16"/>
        </w:rPr>
        <w:t>multitudinem</w:t>
      </w:r>
      <w:r w:rsidR="088F6298">
        <w:rPr>
          <w:szCs w:val="16"/>
        </w:rPr>
        <w:t>, kap. 3</w:t>
      </w:r>
      <w:r w:rsidR="08F31B03">
        <w:rPr>
          <w:szCs w:val="16"/>
        </w:rPr>
        <w:t>.2)</w:t>
      </w:r>
      <w:r w:rsidR="003573A4">
        <w:t xml:space="preserve">. </w:t>
      </w:r>
      <w:r w:rsidR="003573A4">
        <w:rPr>
          <w:szCs w:val="24"/>
        </w:rPr>
        <w:t>První p</w:t>
      </w:r>
      <w:r w:rsidR="003573A4" w:rsidRPr="00EF11CF">
        <w:rPr>
          <w:szCs w:val="24"/>
        </w:rPr>
        <w:t>ositivismus analyti</w:t>
      </w:r>
      <w:r w:rsidR="003573A4">
        <w:rPr>
          <w:szCs w:val="24"/>
        </w:rPr>
        <w:t>cké f</w:t>
      </w:r>
      <w:r w:rsidR="004B3998">
        <w:rPr>
          <w:szCs w:val="24"/>
        </w:rPr>
        <w:t>ilosof</w:t>
      </w:r>
      <w:r w:rsidR="003573A4">
        <w:rPr>
          <w:szCs w:val="24"/>
        </w:rPr>
        <w:t xml:space="preserve">ie pozoroval </w:t>
      </w:r>
      <w:r w:rsidR="003573A4" w:rsidRPr="00EF11CF">
        <w:rPr>
          <w:i/>
          <w:szCs w:val="24"/>
        </w:rPr>
        <w:t>Tractatus</w:t>
      </w:r>
      <w:r w:rsidR="003573A4">
        <w:rPr>
          <w:szCs w:val="24"/>
        </w:rPr>
        <w:t>-</w:t>
      </w:r>
      <w:r w:rsidR="003573A4" w:rsidRPr="003573A4">
        <w:rPr>
          <w:i/>
          <w:szCs w:val="24"/>
        </w:rPr>
        <w:t>World</w:t>
      </w:r>
      <w:r w:rsidR="003573A4">
        <w:rPr>
          <w:szCs w:val="24"/>
        </w:rPr>
        <w:t xml:space="preserve"> </w:t>
      </w:r>
      <w:r w:rsidR="00B44C63">
        <w:rPr>
          <w:szCs w:val="24"/>
        </w:rPr>
        <w:t xml:space="preserve">v modu </w:t>
      </w:r>
      <w:r w:rsidR="003573A4">
        <w:rPr>
          <w:szCs w:val="24"/>
        </w:rPr>
        <w:t>„</w:t>
      </w:r>
      <w:r w:rsidR="003573A4" w:rsidRPr="00EF11CF">
        <w:rPr>
          <w:i/>
          <w:szCs w:val="24"/>
        </w:rPr>
        <w:t>discrete videamus</w:t>
      </w:r>
      <w:r w:rsidR="003573A4">
        <w:rPr>
          <w:szCs w:val="24"/>
        </w:rPr>
        <w:t xml:space="preserve">.“ </w:t>
      </w:r>
      <w:r w:rsidR="009E17B9">
        <w:t xml:space="preserve">Z kanonické věty o primátu </w:t>
      </w:r>
      <w:r w:rsidR="009E17B9">
        <w:rPr>
          <w:rStyle w:val="TextpoznpodarouChar"/>
        </w:rPr>
        <w:t>první substance v kategoriální predikaci (</w:t>
      </w:r>
      <w:r w:rsidR="009E17B9">
        <w:rPr>
          <w:i/>
        </w:rPr>
        <w:t xml:space="preserve">Cat. </w:t>
      </w:r>
      <w:r w:rsidR="009E17B9">
        <w:t>2a14‒16</w:t>
      </w:r>
      <w:r w:rsidR="007B5DF3">
        <w:fldChar w:fldCharType="begin"/>
      </w:r>
      <w:r w:rsidR="007B5DF3">
        <w:instrText xml:space="preserve"> XE "</w:instrText>
      </w:r>
      <w:r w:rsidR="008E02F5">
        <w:instrText>Aristoteles</w:instrText>
      </w:r>
      <w:r w:rsidR="007B5DF3">
        <w:instrText>:</w:instrText>
      </w:r>
      <w:r w:rsidR="007B5DF3" w:rsidRPr="00794DDC">
        <w:rPr>
          <w:i/>
        </w:rPr>
        <w:instrText xml:space="preserve">Cat. </w:instrText>
      </w:r>
      <w:r w:rsidR="007B5DF3" w:rsidRPr="00794DDC">
        <w:instrText>2a14‒16</w:instrText>
      </w:r>
      <w:r w:rsidR="007B5DF3">
        <w:instrText xml:space="preserve">" </w:instrText>
      </w:r>
      <w:r w:rsidR="007B5DF3">
        <w:fldChar w:fldCharType="end"/>
      </w:r>
      <w:r w:rsidR="009E17B9">
        <w:t xml:space="preserve">) </w:t>
      </w:r>
      <w:r w:rsidR="08A21A02">
        <w:rPr>
          <w:rStyle w:val="TextpoznpodarouChar"/>
        </w:rPr>
        <w:t xml:space="preserve">začala platit </w:t>
      </w:r>
      <w:r w:rsidR="009E17B9">
        <w:rPr>
          <w:rStyle w:val="TextpoznpodarouChar"/>
        </w:rPr>
        <w:t xml:space="preserve">pouze druhá část, kdy univerzální supozice </w:t>
      </w:r>
      <w:r w:rsidR="08A21A02">
        <w:rPr>
          <w:rStyle w:val="TextpoznpodarouChar"/>
        </w:rPr>
        <w:t xml:space="preserve">v modu neoplatonské formy </w:t>
      </w:r>
      <w:r w:rsidR="08EC4B66">
        <w:rPr>
          <w:rStyle w:val="TextpoznpodarouChar"/>
        </w:rPr>
        <w:t xml:space="preserve">podle </w:t>
      </w:r>
      <w:r w:rsidR="08EC4B66" w:rsidRPr="08EC4B66">
        <w:rPr>
          <w:rStyle w:val="TextpoznpodarouChar"/>
          <w:i/>
        </w:rPr>
        <w:t>Liber de causis</w:t>
      </w:r>
      <w:r w:rsidR="08EC4B66">
        <w:rPr>
          <w:rStyle w:val="TextpoznpodarouChar"/>
          <w:i/>
        </w:rPr>
        <w:fldChar w:fldCharType="begin"/>
      </w:r>
      <w:r w:rsidR="08EC4B66">
        <w:instrText xml:space="preserve"> XE "</w:instrText>
      </w:r>
      <w:r w:rsidR="08EC4B66" w:rsidRPr="08351EFB">
        <w:rPr>
          <w:rStyle w:val="TextpoznpodarouChar"/>
          <w:i/>
        </w:rPr>
        <w:instrText>Liber de causis</w:instrText>
      </w:r>
      <w:r w:rsidR="08EC4B66">
        <w:instrText xml:space="preserve">" </w:instrText>
      </w:r>
      <w:r w:rsidR="08EC4B66">
        <w:rPr>
          <w:rStyle w:val="TextpoznpodarouChar"/>
          <w:i/>
        </w:rPr>
        <w:fldChar w:fldCharType="end"/>
      </w:r>
      <w:r w:rsidR="08EC4B66">
        <w:rPr>
          <w:rStyle w:val="TextpoznpodarouChar"/>
        </w:rPr>
        <w:t xml:space="preserve"> </w:t>
      </w:r>
      <w:r w:rsidR="009E17B9">
        <w:rPr>
          <w:rStyle w:val="TextpoznpodarouChar"/>
        </w:rPr>
        <w:t xml:space="preserve">determinuje </w:t>
      </w:r>
      <w:r w:rsidR="08A21A02" w:rsidRPr="08A21A02">
        <w:rPr>
          <w:rStyle w:val="TextpoznpodarouChar"/>
          <w:i/>
        </w:rPr>
        <w:t>modo geometrico</w:t>
      </w:r>
      <w:r w:rsidR="08A21A02">
        <w:rPr>
          <w:rStyle w:val="TextpoznpodarouChar"/>
          <w:i/>
        </w:rPr>
        <w:fldChar w:fldCharType="begin"/>
      </w:r>
      <w:r w:rsidR="08A21A02">
        <w:instrText xml:space="preserve"> XE "</w:instrText>
      </w:r>
      <w:r w:rsidR="08A21A02" w:rsidRPr="082B59F7">
        <w:rPr>
          <w:rStyle w:val="TextpoznpodarouChar"/>
          <w:i/>
        </w:rPr>
        <w:instrText>modo geometrico</w:instrText>
      </w:r>
      <w:r w:rsidR="08A21A02">
        <w:instrText xml:space="preserve">" </w:instrText>
      </w:r>
      <w:r w:rsidR="08A21A02">
        <w:rPr>
          <w:rStyle w:val="TextpoznpodarouChar"/>
          <w:i/>
        </w:rPr>
        <w:fldChar w:fldCharType="end"/>
      </w:r>
      <w:r w:rsidR="08A21A02">
        <w:rPr>
          <w:rStyle w:val="TextpoznpodarouChar"/>
        </w:rPr>
        <w:t xml:space="preserve"> </w:t>
      </w:r>
      <w:r w:rsidR="009E17B9">
        <w:rPr>
          <w:rStyle w:val="TextpoznpodarouChar"/>
        </w:rPr>
        <w:t xml:space="preserve">nižší </w:t>
      </w:r>
      <w:r w:rsidR="004B4D52" w:rsidRPr="004B4D52">
        <w:rPr>
          <w:rStyle w:val="TextpoznpodarouChar"/>
        </w:rPr>
        <w:t>species</w:t>
      </w:r>
      <w:r w:rsidR="009E17B9">
        <w:rPr>
          <w:rStyle w:val="TextpoznpodarouChar"/>
        </w:rPr>
        <w:t xml:space="preserve"> a individua</w:t>
      </w:r>
      <w:r w:rsidR="08A21A02">
        <w:rPr>
          <w:rStyle w:val="TextpoznpodarouChar"/>
        </w:rPr>
        <w:t xml:space="preserve"> (</w:t>
      </w:r>
      <w:r w:rsidR="08A21A02" w:rsidRPr="08A21A02">
        <w:rPr>
          <w:rStyle w:val="TextpoznpodarouChar"/>
          <w:i/>
        </w:rPr>
        <w:t>suppositio formalis</w:t>
      </w:r>
      <w:r w:rsidR="08A21A02">
        <w:rPr>
          <w:rStyle w:val="TextpoznpodarouChar"/>
          <w:i/>
        </w:rPr>
        <w:fldChar w:fldCharType="begin"/>
      </w:r>
      <w:r w:rsidR="08A21A02">
        <w:instrText xml:space="preserve"> XE "</w:instrText>
      </w:r>
      <w:r w:rsidR="08A21A02" w:rsidRPr="084063BB">
        <w:rPr>
          <w:rStyle w:val="TextpoznpodarouChar"/>
          <w:i/>
        </w:rPr>
        <w:instrText>suppositio formalis</w:instrText>
      </w:r>
      <w:r w:rsidR="08A21A02">
        <w:instrText xml:space="preserve">" </w:instrText>
      </w:r>
      <w:r w:rsidR="08A21A02">
        <w:rPr>
          <w:rStyle w:val="TextpoznpodarouChar"/>
          <w:i/>
        </w:rPr>
        <w:fldChar w:fldCharType="end"/>
      </w:r>
      <w:r w:rsidR="08A21A02">
        <w:rPr>
          <w:rStyle w:val="TextpoznpodarouChar"/>
        </w:rPr>
        <w:t>)</w:t>
      </w:r>
      <w:r w:rsidR="009E17B9">
        <w:rPr>
          <w:rStyle w:val="TextpoznpodarouChar"/>
        </w:rPr>
        <w:t xml:space="preserve">. </w:t>
      </w:r>
      <w:r w:rsidR="00483223" w:rsidRPr="00273106">
        <w:t xml:space="preserve">Matematická </w:t>
      </w:r>
      <w:r w:rsidR="003702E0">
        <w:t xml:space="preserve">esence daná skrze Aristotelovo </w:t>
      </w:r>
      <w:r w:rsidR="080215FF" w:rsidRPr="00273106">
        <w:rPr>
          <w:i/>
        </w:rPr>
        <w:t>secundum-quod-ipsum-est</w:t>
      </w:r>
      <w:r w:rsidR="080215FF" w:rsidRPr="00273106">
        <w:t xml:space="preserve"> (καθ' αὑτὸ καὶ ᾗ αὐ</w:t>
      </w:r>
      <w:r w:rsidR="080215FF">
        <w:t xml:space="preserve">τό) </w:t>
      </w:r>
      <w:r w:rsidR="00483223" w:rsidRPr="00273106">
        <w:t xml:space="preserve">se stala základem jsoucího v </w:t>
      </w:r>
      <w:r w:rsidR="08CA3D19">
        <w:t xml:space="preserve">absolutně univerzálním </w:t>
      </w:r>
      <w:r w:rsidR="00483223" w:rsidRPr="00273106">
        <w:t xml:space="preserve">modu </w:t>
      </w:r>
      <w:r w:rsidR="00483223" w:rsidRPr="00273106">
        <w:rPr>
          <w:i/>
        </w:rPr>
        <w:t>per se</w:t>
      </w:r>
      <w:r w:rsidR="00491F25">
        <w:t xml:space="preserve">, a tím nahradila kategoriálně predikovanou </w:t>
      </w:r>
      <w:r w:rsidR="084656DB">
        <w:t xml:space="preserve">první </w:t>
      </w:r>
      <w:r w:rsidR="00491F25">
        <w:t>substanci</w:t>
      </w:r>
      <w:r w:rsidR="084656DB">
        <w:t xml:space="preserve"> a její reálnou kauzalitu</w:t>
      </w:r>
      <w:r w:rsidR="00491F25">
        <w:fldChar w:fldCharType="begin"/>
      </w:r>
      <w:r w:rsidR="00491F25">
        <w:instrText xml:space="preserve"> XE "</w:instrText>
      </w:r>
      <w:r w:rsidR="00491F25" w:rsidRPr="007765BD">
        <w:instrText>nutnost:</w:instrText>
      </w:r>
      <w:r w:rsidR="00491F25" w:rsidRPr="00491F25">
        <w:rPr>
          <w:i/>
        </w:rPr>
        <w:instrText>per se</w:instrText>
      </w:r>
      <w:r w:rsidR="00491F25">
        <w:instrText xml:space="preserve">" </w:instrText>
      </w:r>
      <w:r w:rsidR="00491F25">
        <w:fldChar w:fldCharType="end"/>
      </w:r>
      <w:r w:rsidR="00483223" w:rsidRPr="00273106">
        <w:t xml:space="preserve">. </w:t>
      </w:r>
      <w:r w:rsidR="088B78B3">
        <w:t>Tato univerzální forma supozice v modu matematické abstrakce</w:t>
      </w:r>
      <w:r w:rsidR="088B78B3">
        <w:fldChar w:fldCharType="begin"/>
      </w:r>
      <w:r w:rsidR="088B78B3">
        <w:instrText xml:space="preserve"> XE "supozice</w:instrText>
      </w:r>
      <w:r w:rsidR="088B78B3" w:rsidRPr="00A824F0">
        <w:instrText>:</w:instrText>
      </w:r>
      <w:r w:rsidR="088B78B3">
        <w:instrText xml:space="preserve">Rufus" </w:instrText>
      </w:r>
      <w:r w:rsidR="088B78B3">
        <w:fldChar w:fldCharType="end"/>
      </w:r>
      <w:r w:rsidR="088B78B3">
        <w:t xml:space="preserve"> založila kategoriální esenciální predikaci</w:t>
      </w:r>
      <w:r w:rsidR="088B78B3" w:rsidRPr="00273106">
        <w:t xml:space="preserve">. </w:t>
      </w:r>
      <w:r w:rsidR="088B78B3">
        <w:t>Objektivní kauzalita této nové</w:t>
      </w:r>
      <w:r w:rsidR="088B78B3" w:rsidRPr="00273106">
        <w:t xml:space="preserve"> substance třetího druhu </w:t>
      </w:r>
      <w:r w:rsidR="088B78B3">
        <w:t xml:space="preserve">dané v modu eidetické parousie ilumináta pak funguje </w:t>
      </w:r>
      <w:r w:rsidR="088B78B3" w:rsidRPr="00273106">
        <w:t xml:space="preserve">jako střední člen </w:t>
      </w:r>
      <w:r w:rsidR="088B78B3">
        <w:t xml:space="preserve">objektivně platného </w:t>
      </w:r>
      <w:r w:rsidR="088B78B3" w:rsidRPr="00273106">
        <w:t>vědeckého důkazu</w:t>
      </w:r>
      <w:r w:rsidR="088B78B3">
        <w:t xml:space="preserve"> (</w:t>
      </w:r>
      <w:r w:rsidR="088B78B3" w:rsidRPr="08F31B03">
        <w:rPr>
          <w:i/>
        </w:rPr>
        <w:t>medium</w:t>
      </w:r>
      <w:r w:rsidR="088B78B3">
        <w:rPr>
          <w:i/>
        </w:rPr>
        <w:t xml:space="preserve"> et causa idem</w:t>
      </w:r>
      <w:r w:rsidR="088B78B3">
        <w:t>)</w:t>
      </w:r>
      <w:r w:rsidR="088B78B3">
        <w:fldChar w:fldCharType="begin"/>
      </w:r>
      <w:r w:rsidR="088B78B3">
        <w:instrText xml:space="preserve"> XE "</w:instrText>
      </w:r>
      <w:r w:rsidR="088B78B3" w:rsidRPr="00972877">
        <w:rPr>
          <w:i/>
        </w:rPr>
        <w:instrText>medium</w:instrText>
      </w:r>
      <w:r w:rsidR="088B78B3" w:rsidRPr="008464B3">
        <w:instrText>:Rufus</w:instrText>
      </w:r>
      <w:r w:rsidR="088B78B3">
        <w:instrText xml:space="preserve">" </w:instrText>
      </w:r>
      <w:r w:rsidR="088B78B3">
        <w:fldChar w:fldCharType="end"/>
      </w:r>
      <w:r w:rsidR="088B78B3" w:rsidRPr="00273106">
        <w:t xml:space="preserve">. </w:t>
      </w:r>
      <w:r w:rsidR="088B78B3">
        <w:t xml:space="preserve">Objektivní kauzalita dostala epochální dějinnou účinnost skrze působení </w:t>
      </w:r>
      <w:r w:rsidR="088B78B3" w:rsidRPr="08753F2D">
        <w:rPr>
          <w:i/>
        </w:rPr>
        <w:t>Oxfordian Fallacy</w:t>
      </w:r>
      <w:r w:rsidR="088B78B3">
        <w:t xml:space="preserve"> medializované západní civilizací</w:t>
      </w:r>
      <w:r w:rsidR="088B78B3">
        <w:rPr>
          <w:i/>
        </w:rPr>
        <w:fldChar w:fldCharType="begin"/>
      </w:r>
      <w:r w:rsidR="088B78B3">
        <w:instrText xml:space="preserve"> XE "</w:instrText>
      </w:r>
      <w:r w:rsidR="088B78B3" w:rsidRPr="08305EA8">
        <w:rPr>
          <w:i/>
        </w:rPr>
        <w:instrText>via Modernorum</w:instrText>
      </w:r>
      <w:r w:rsidR="088B78B3">
        <w:instrText xml:space="preserve">" </w:instrText>
      </w:r>
      <w:r w:rsidR="088B78B3">
        <w:rPr>
          <w:i/>
        </w:rPr>
        <w:fldChar w:fldCharType="end"/>
      </w:r>
      <w:r w:rsidR="088B78B3">
        <w:t>. Tímto metafyzickým pochybením (</w:t>
      </w:r>
      <w:r w:rsidR="088B78B3" w:rsidRPr="08156BF0">
        <w:rPr>
          <w:i/>
        </w:rPr>
        <w:t>Irrtum</w:t>
      </w:r>
      <w:r w:rsidR="088B78B3">
        <w:t>) vznikla na Oxfordu kompletní figura analytické filosofie</w:t>
      </w:r>
      <w:r w:rsidR="0014486E">
        <w:t xml:space="preserve"> okolo roku 1235</w:t>
      </w:r>
      <w:r w:rsidR="088B78B3">
        <w:t>, kterou v nekompletním modu založil Grosseteste</w:t>
      </w:r>
      <w:r w:rsidR="0014486E">
        <w:t xml:space="preserve"> okolo roku 1230</w:t>
      </w:r>
      <w:r w:rsidR="088B78B3">
        <w:t xml:space="preserve">. </w:t>
      </w:r>
      <w:r w:rsidR="00483223" w:rsidRPr="00273106">
        <w:t>První modernisté dali univerzáliím statut první substance, kterou transformovali na jsoucno třetího druhu</w:t>
      </w:r>
      <w:r w:rsidR="009B1565">
        <w:fldChar w:fldCharType="begin"/>
      </w:r>
      <w:r w:rsidR="009B1565">
        <w:instrText xml:space="preserve"> XE "</w:instrText>
      </w:r>
      <w:r w:rsidR="009B1565" w:rsidRPr="00A368AB">
        <w:instrText>substance:objektivní</w:instrText>
      </w:r>
      <w:r w:rsidR="009B1565">
        <w:instrText xml:space="preserve">" </w:instrText>
      </w:r>
      <w:r w:rsidR="009B1565">
        <w:fldChar w:fldCharType="end"/>
      </w:r>
      <w:r w:rsidR="00483223" w:rsidRPr="00273106">
        <w:t xml:space="preserve">. Výše uvedená citace </w:t>
      </w:r>
      <w:r w:rsidR="005920C0" w:rsidRPr="00CC6E55">
        <w:rPr>
          <w:i/>
          <w:szCs w:val="24"/>
        </w:rPr>
        <w:t>Anal. Post.</w:t>
      </w:r>
      <w:r w:rsidR="005920C0">
        <w:rPr>
          <w:szCs w:val="24"/>
        </w:rPr>
        <w:t xml:space="preserve"> </w:t>
      </w:r>
      <w:r w:rsidR="084656DB">
        <w:t>73b25–27</w:t>
      </w:r>
      <w:r w:rsidR="009B1565">
        <w:fldChar w:fldCharType="begin"/>
      </w:r>
      <w:r w:rsidR="009B1565">
        <w:instrText xml:space="preserve"> XE "</w:instrText>
      </w:r>
      <w:r w:rsidR="008E02F5">
        <w:instrText>Aristoteles</w:instrText>
      </w:r>
      <w:r w:rsidR="009B1565">
        <w:instrText>:</w:instrText>
      </w:r>
      <w:r w:rsidR="009B1565" w:rsidRPr="001B2AC8">
        <w:rPr>
          <w:i/>
        </w:rPr>
        <w:instrText>Anal. Post</w:instrText>
      </w:r>
      <w:r w:rsidR="009B1565" w:rsidRPr="001B2AC8">
        <w:instrText xml:space="preserve">. </w:instrText>
      </w:r>
      <w:r w:rsidR="084656DB">
        <w:instrText>73b25–27</w:instrText>
      </w:r>
      <w:r w:rsidR="009B1565">
        <w:instrText xml:space="preserve">" </w:instrText>
      </w:r>
      <w:r w:rsidR="009B1565">
        <w:fldChar w:fldCharType="end"/>
      </w:r>
      <w:r w:rsidR="00483223" w:rsidRPr="00273106">
        <w:t xml:space="preserve"> vztahovala v originále význam </w:t>
      </w:r>
      <w:r w:rsidR="00483223" w:rsidRPr="00273106">
        <w:rPr>
          <w:i/>
        </w:rPr>
        <w:t>per se</w:t>
      </w:r>
      <w:r w:rsidR="00483223" w:rsidRPr="00273106">
        <w:t xml:space="preserve"> pouze na geometrickou a na matematickou úměru</w:t>
      </w:r>
      <w:r w:rsidR="08DC757D">
        <w:t>. P</w:t>
      </w:r>
      <w:r w:rsidR="00657992">
        <w:t xml:space="preserve">rvní substance má své vlastní bytí dané </w:t>
      </w:r>
      <w:r w:rsidR="00657992" w:rsidRPr="00657992">
        <w:rPr>
          <w:i/>
        </w:rPr>
        <w:t>per se</w:t>
      </w:r>
      <w:r w:rsidR="00657992">
        <w:t xml:space="preserve"> mimo </w:t>
      </w:r>
      <w:r w:rsidR="00727E55">
        <w:t xml:space="preserve">lidské </w:t>
      </w:r>
      <w:r w:rsidR="00657992">
        <w:t>poznání a abstrakci</w:t>
      </w:r>
      <w:r w:rsidR="00491F25">
        <w:fldChar w:fldCharType="begin"/>
      </w:r>
      <w:r w:rsidR="00491F25">
        <w:instrText xml:space="preserve"> XE "</w:instrText>
      </w:r>
      <w:r w:rsidR="00491F25" w:rsidRPr="007765BD">
        <w:instrText>nutnost:</w:instrText>
      </w:r>
      <w:r w:rsidR="00491F25" w:rsidRPr="00491F25">
        <w:rPr>
          <w:i/>
        </w:rPr>
        <w:instrText>per se</w:instrText>
      </w:r>
      <w:r w:rsidR="00491F25">
        <w:instrText xml:space="preserve">" </w:instrText>
      </w:r>
      <w:r w:rsidR="00491F25">
        <w:fldChar w:fldCharType="end"/>
      </w:r>
      <w:r w:rsidR="00657992">
        <w:t xml:space="preserve">. </w:t>
      </w:r>
      <w:r w:rsidR="00EE2494">
        <w:t xml:space="preserve">A toto </w:t>
      </w:r>
      <w:r w:rsidR="00483223" w:rsidRPr="00273106">
        <w:rPr>
          <w:i/>
        </w:rPr>
        <w:t>secundum se totum</w:t>
      </w:r>
      <w:r w:rsidR="00483223" w:rsidRPr="00273106">
        <w:t xml:space="preserve"> se stalo v epochální transformaci </w:t>
      </w:r>
      <w:r w:rsidR="00483223">
        <w:t xml:space="preserve">reality </w:t>
      </w:r>
      <w:r w:rsidR="00483223" w:rsidRPr="00273106">
        <w:t>novým jsoucnem třetího druhu, pojatým jedinečně a univočně</w:t>
      </w:r>
      <w:r w:rsidR="00A439BC">
        <w:fldChar w:fldCharType="begin"/>
      </w:r>
      <w:r w:rsidR="00A439BC">
        <w:instrText xml:space="preserve"> XE "</w:instrText>
      </w:r>
      <w:r w:rsidR="00A439BC" w:rsidRPr="00A439BC">
        <w:rPr>
          <w:i/>
        </w:rPr>
        <w:instrText>tertium ens</w:instrText>
      </w:r>
      <w:r w:rsidR="00A439BC" w:rsidRPr="002B21FA">
        <w:instrText>:Rufus</w:instrText>
      </w:r>
      <w:r w:rsidR="00A439BC">
        <w:instrText xml:space="preserve">" </w:instrText>
      </w:r>
      <w:r w:rsidR="00A439BC">
        <w:fldChar w:fldCharType="end"/>
      </w:r>
      <w:r w:rsidR="00483223" w:rsidRPr="00273106">
        <w:t xml:space="preserve">. </w:t>
      </w:r>
      <w:r w:rsidR="009E17B9">
        <w:rPr>
          <w:rStyle w:val="TextpoznpodarouChar"/>
        </w:rPr>
        <w:t>Novým</w:t>
      </w:r>
      <w:r w:rsidR="00EE2494">
        <w:rPr>
          <w:rStyle w:val="TextpoznpodarouChar"/>
        </w:rPr>
        <w:t xml:space="preserve"> pojetím </w:t>
      </w:r>
      <w:r w:rsidR="00563DF4">
        <w:rPr>
          <w:rStyle w:val="TextpoznpodarouChar"/>
        </w:rPr>
        <w:t>„</w:t>
      </w:r>
      <w:r w:rsidR="009E17B9" w:rsidRPr="009E17B9">
        <w:rPr>
          <w:rStyle w:val="TextpoznpodarouChar"/>
          <w:i/>
        </w:rPr>
        <w:t>causae completae</w:t>
      </w:r>
      <w:r w:rsidR="00563DF4">
        <w:rPr>
          <w:rStyle w:val="TextpoznpodarouChar"/>
        </w:rPr>
        <w:t>“</w:t>
      </w:r>
      <w:r w:rsidR="009E17B9">
        <w:rPr>
          <w:rStyle w:val="TextpoznpodarouChar"/>
        </w:rPr>
        <w:t xml:space="preserve"> došlo ke kompletnímu zatmění první sub</w:t>
      </w:r>
      <w:r w:rsidR="009C72E9">
        <w:rPr>
          <w:rStyle w:val="TextpoznpodarouChar"/>
        </w:rPr>
        <w:t>s</w:t>
      </w:r>
      <w:r w:rsidR="009E17B9">
        <w:rPr>
          <w:rStyle w:val="TextpoznpodarouChar"/>
        </w:rPr>
        <w:t xml:space="preserve">tance v analytickém pojetí vědy. </w:t>
      </w:r>
      <w:r w:rsidR="00C40C3E">
        <w:rPr>
          <w:rStyle w:val="TextpoznpodarouChar"/>
        </w:rPr>
        <w:t>Rufus tvrdí, že r</w:t>
      </w:r>
      <w:r w:rsidR="00C40C3E">
        <w:t>eálné určení věcí</w:t>
      </w:r>
      <w:r w:rsidR="00535A6F" w:rsidRPr="00273106">
        <w:t xml:space="preserve"> a </w:t>
      </w:r>
      <w:r w:rsidR="00C40C3E">
        <w:t xml:space="preserve">jejich kauzalita </w:t>
      </w:r>
      <w:r w:rsidR="00535A6F" w:rsidRPr="00273106">
        <w:t xml:space="preserve">není </w:t>
      </w:r>
      <w:r w:rsidR="089E4AB5">
        <w:t xml:space="preserve">hyparchickým </w:t>
      </w:r>
      <w:r w:rsidR="00535A6F" w:rsidRPr="00273106">
        <w:t>subjektem dedukce (</w:t>
      </w:r>
      <w:r w:rsidR="00535A6F" w:rsidRPr="00273106">
        <w:rPr>
          <w:i/>
        </w:rPr>
        <w:t>sub suis partibus subiectivis</w:t>
      </w:r>
      <w:r w:rsidR="00535A6F" w:rsidRPr="00273106">
        <w:t>)</w:t>
      </w:r>
      <w:r w:rsidR="00C40C3E">
        <w:t xml:space="preserve">; </w:t>
      </w:r>
      <w:r w:rsidR="08D53A9E">
        <w:t xml:space="preserve">plně </w:t>
      </w:r>
      <w:r w:rsidR="00535A6F" w:rsidRPr="00273106">
        <w:t>pravdivou determinaci jsoucna tvoří esenciální definice věci (</w:t>
      </w:r>
      <w:r w:rsidR="00535A6F" w:rsidRPr="00273106">
        <w:rPr>
          <w:i/>
        </w:rPr>
        <w:t>subiectum</w:t>
      </w:r>
      <w:r w:rsidR="00535A6F" w:rsidRPr="00273106">
        <w:t xml:space="preserve">... </w:t>
      </w:r>
      <w:r w:rsidR="00535A6F" w:rsidRPr="00273106">
        <w:rPr>
          <w:i/>
        </w:rPr>
        <w:t>pro partibus constitutivis</w:t>
      </w:r>
      <w:r w:rsidR="00535A6F" w:rsidRPr="00273106">
        <w:t>).</w:t>
      </w:r>
      <w:r w:rsidR="00535A6F" w:rsidRPr="00273106">
        <w:rPr>
          <w:rStyle w:val="Znakapoznpodarou"/>
        </w:rPr>
        <w:footnoteReference w:id="391"/>
      </w:r>
      <w:r w:rsidR="00535A6F" w:rsidRPr="00273106">
        <w:t xml:space="preserve"> </w:t>
      </w:r>
      <w:r w:rsidR="086B548E">
        <w:t>Moderní věda nepoznává</w:t>
      </w:r>
      <w:r w:rsidR="00115773">
        <w:t xml:space="preserve"> reálný svět</w:t>
      </w:r>
      <w:r w:rsidR="086B548E">
        <w:t>, ale konstruuje poznatky skrze axiomy</w:t>
      </w:r>
      <w:r w:rsidR="08585A32">
        <w:t xml:space="preserve"> a esence</w:t>
      </w:r>
      <w:r w:rsidR="086B548E">
        <w:t xml:space="preserve">. </w:t>
      </w:r>
      <w:r w:rsidR="089E4AB5">
        <w:t xml:space="preserve">Metafyzická </w:t>
      </w:r>
      <w:r w:rsidR="00F52277" w:rsidRPr="00273106">
        <w:t>danost zkoumané věci již není</w:t>
      </w:r>
      <w:r w:rsidR="089E4AB5">
        <w:t xml:space="preserve"> hyparchická</w:t>
      </w:r>
      <w:r w:rsidR="00F52277" w:rsidRPr="00273106">
        <w:t xml:space="preserve">, ale </w:t>
      </w:r>
      <w:r w:rsidR="089E4AB5">
        <w:t>logická</w:t>
      </w:r>
      <w:r w:rsidR="00BA4561">
        <w:t>, ale současně se tváří, jakoby pocházela od první substance z reality</w:t>
      </w:r>
      <w:r w:rsidR="00911A4F">
        <w:t>.</w:t>
      </w:r>
    </w:p>
    <w:p w14:paraId="0A5A9BFC" w14:textId="490D67CE" w:rsidR="00B73DFD" w:rsidRDefault="002E43D3" w:rsidP="003573A4">
      <w:pPr>
        <w:ind w:firstLine="397"/>
      </w:pPr>
      <w:r>
        <w:t xml:space="preserve">Tuto sofistiku </w:t>
      </w:r>
      <w:r w:rsidR="088E1B6A">
        <w:t xml:space="preserve">oxfordských </w:t>
      </w:r>
      <w:r w:rsidR="088E1B6A" w:rsidRPr="088E1B6A">
        <w:rPr>
          <w:i/>
        </w:rPr>
        <w:t>Modernorum</w:t>
      </w:r>
      <w:r w:rsidR="088E1B6A">
        <w:t xml:space="preserve"> </w:t>
      </w:r>
      <w:r>
        <w:t>odmítli všichni citovaní představitelé prvního averroismu</w:t>
      </w:r>
      <w:r w:rsidR="00911A4F">
        <w:t>. S</w:t>
      </w:r>
      <w:r w:rsidR="08C95DE4">
        <w:t xml:space="preserve">kuteční myslitelé </w:t>
      </w:r>
      <w:r w:rsidR="08DC757D">
        <w:t xml:space="preserve">uměli </w:t>
      </w:r>
      <w:r w:rsidR="08507902">
        <w:t xml:space="preserve">a umí </w:t>
      </w:r>
      <w:r w:rsidR="08DC757D">
        <w:t>kriticky rozlišovat mezi logickou a metafyzickou</w:t>
      </w:r>
      <w:r w:rsidR="0829324A">
        <w:t xml:space="preserve"> univerzalitou</w:t>
      </w:r>
      <w:r>
        <w:t xml:space="preserve">. </w:t>
      </w:r>
      <w:r w:rsidR="00F66838">
        <w:t xml:space="preserve">Rufusova </w:t>
      </w:r>
      <w:r w:rsidR="00F52277" w:rsidRPr="00273106">
        <w:t>dedukce je inspirován</w:t>
      </w:r>
      <w:r w:rsidR="00F66838">
        <w:t>a</w:t>
      </w:r>
      <w:r w:rsidR="00F52277" w:rsidRPr="00273106">
        <w:t xml:space="preserve"> dělením univerzálií podle školy </w:t>
      </w:r>
      <w:r w:rsidR="00F52277" w:rsidRPr="00273106">
        <w:rPr>
          <w:i/>
        </w:rPr>
        <w:t>Nominales</w:t>
      </w:r>
      <w:r w:rsidR="00F52277" w:rsidRPr="00273106">
        <w:t xml:space="preserve">. Dedukce v modu </w:t>
      </w:r>
      <w:r w:rsidR="00BB45B1">
        <w:t>Porfyri</w:t>
      </w:r>
      <w:r w:rsidR="00F52277" w:rsidRPr="00273106">
        <w:t xml:space="preserve">ova stromu jde až na individuum, čili na esenci </w:t>
      </w:r>
      <w:r w:rsidR="00381503">
        <w:t xml:space="preserve">existující v modu hypostázované ipseity </w:t>
      </w:r>
      <w:r w:rsidR="00F52277" w:rsidRPr="00273106">
        <w:t>(</w:t>
      </w:r>
      <w:r w:rsidR="00F52277" w:rsidRPr="00273106">
        <w:rPr>
          <w:i/>
        </w:rPr>
        <w:t>secundum-quod-ipsum-est</w:t>
      </w:r>
      <w:r w:rsidR="00F52277" w:rsidRPr="00273106">
        <w:t xml:space="preserve">). </w:t>
      </w:r>
      <w:r w:rsidR="08BD5974">
        <w:t xml:space="preserve">Reálně neexistující individum </w:t>
      </w:r>
      <w:r w:rsidR="08BD5974" w:rsidRPr="00273106">
        <w:t xml:space="preserve">je v </w:t>
      </w:r>
      <w:r w:rsidR="08BD5974">
        <w:t>esenci dáno</w:t>
      </w:r>
      <w:r w:rsidR="08BD5974" w:rsidRPr="00273106">
        <w:t xml:space="preserve"> </w:t>
      </w:r>
      <w:r w:rsidR="08BD5974">
        <w:t xml:space="preserve">ve věčném modu </w:t>
      </w:r>
      <w:r w:rsidR="08BD5974" w:rsidRPr="00841096">
        <w:rPr>
          <w:i/>
        </w:rPr>
        <w:t>per prius</w:t>
      </w:r>
      <w:r w:rsidR="08BD5974">
        <w:rPr>
          <w:i/>
        </w:rPr>
        <w:t xml:space="preserve"> </w:t>
      </w:r>
      <w:r w:rsidR="08BD5974" w:rsidRPr="08BD5974">
        <w:t>a v tom spočívá je</w:t>
      </w:r>
      <w:r w:rsidR="08BD5974">
        <w:t>ho objek</w:t>
      </w:r>
      <w:r w:rsidR="087F306B">
        <w:t>tivní par</w:t>
      </w:r>
      <w:r w:rsidR="08BD5974" w:rsidRPr="08BD5974">
        <w:t>ousie</w:t>
      </w:r>
      <w:r w:rsidR="08BD5974">
        <w:t xml:space="preserve">. </w:t>
      </w:r>
      <w:r w:rsidR="00F52277" w:rsidRPr="00273106">
        <w:t xml:space="preserve">Kompletní kompozice </w:t>
      </w:r>
      <w:r w:rsidR="087F306B">
        <w:t xml:space="preserve">individuí a jejich hypostáziovaných vlastností </w:t>
      </w:r>
      <w:r w:rsidR="00F52277" w:rsidRPr="00273106">
        <w:t xml:space="preserve">v poznávacím soudu je vztažená k výskytu univerzální esence. </w:t>
      </w:r>
      <w:r w:rsidR="087F306B">
        <w:t xml:space="preserve">Rufus </w:t>
      </w:r>
      <w:r w:rsidR="081E3715">
        <w:t xml:space="preserve">klade </w:t>
      </w:r>
      <w:r w:rsidR="087F306B">
        <w:t xml:space="preserve">poznání </w:t>
      </w:r>
      <w:r w:rsidR="081E3715">
        <w:t xml:space="preserve">do </w:t>
      </w:r>
      <w:r w:rsidR="00865328">
        <w:t>reálné první substanc</w:t>
      </w:r>
      <w:r w:rsidR="081E3715">
        <w:t xml:space="preserve">e </w:t>
      </w:r>
      <w:r w:rsidR="087F306B">
        <w:t>(</w:t>
      </w:r>
      <w:r w:rsidR="087F306B" w:rsidRPr="087F306B">
        <w:rPr>
          <w:i/>
        </w:rPr>
        <w:t>scientia</w:t>
      </w:r>
      <w:r w:rsidR="087F306B">
        <w:t xml:space="preserve">) </w:t>
      </w:r>
      <w:r w:rsidR="081E3715">
        <w:t>až</w:t>
      </w:r>
      <w:r w:rsidR="00865328">
        <w:t xml:space="preserve"> </w:t>
      </w:r>
      <w:r w:rsidR="087F306B">
        <w:t xml:space="preserve">do kontingentního výskytu esence v modu </w:t>
      </w:r>
      <w:r w:rsidR="00841096" w:rsidRPr="00841096">
        <w:rPr>
          <w:i/>
        </w:rPr>
        <w:t>per posterius</w:t>
      </w:r>
      <w:r w:rsidR="00865328">
        <w:t xml:space="preserve">. </w:t>
      </w:r>
      <w:r w:rsidR="08F4114C">
        <w:t xml:space="preserve">Záměnou existence v modu </w:t>
      </w:r>
      <w:r w:rsidR="00B371E6">
        <w:t>„</w:t>
      </w:r>
      <w:r w:rsidR="08F4114C" w:rsidRPr="08F4114C">
        <w:rPr>
          <w:i/>
        </w:rPr>
        <w:t>quo est</w:t>
      </w:r>
      <w:r w:rsidR="00B371E6">
        <w:t>“</w:t>
      </w:r>
      <w:r w:rsidR="08F4114C">
        <w:t xml:space="preserve"> na moderní </w:t>
      </w:r>
      <w:r w:rsidR="0829643E">
        <w:t xml:space="preserve">esenci </w:t>
      </w:r>
      <w:r w:rsidR="08F4114C">
        <w:t xml:space="preserve">v modu </w:t>
      </w:r>
      <w:r w:rsidR="00B371E6">
        <w:t>„</w:t>
      </w:r>
      <w:r w:rsidR="08F4114C" w:rsidRPr="08F4114C">
        <w:rPr>
          <w:i/>
        </w:rPr>
        <w:t>quod est</w:t>
      </w:r>
      <w:r w:rsidR="00B371E6">
        <w:t>“</w:t>
      </w:r>
      <w:r w:rsidR="08F4114C">
        <w:t xml:space="preserve"> </w:t>
      </w:r>
      <w:r w:rsidR="00865328">
        <w:t xml:space="preserve">vzniklo moderní pojetí vědy </w:t>
      </w:r>
      <w:r w:rsidR="083C3073">
        <w:t xml:space="preserve">kategoricky </w:t>
      </w:r>
      <w:r w:rsidR="00865328">
        <w:t xml:space="preserve">postavené mimo </w:t>
      </w:r>
      <w:r w:rsidR="00481007">
        <w:t>kauzální působení prvních substancí</w:t>
      </w:r>
      <w:r w:rsidR="00F52277" w:rsidRPr="00273106">
        <w:t xml:space="preserve">. </w:t>
      </w:r>
      <w:r w:rsidR="003440CC">
        <w:t>Rufusův k</w:t>
      </w:r>
      <w:r w:rsidR="08B91C24" w:rsidRPr="00273106">
        <w:t>oncept moderní vědy</w:t>
      </w:r>
      <w:r w:rsidR="004F11FA" w:rsidRPr="00273106">
        <w:t xml:space="preserve"> </w:t>
      </w:r>
      <w:r w:rsidR="007B2D4C">
        <w:t xml:space="preserve">sleduje linii </w:t>
      </w:r>
      <w:r w:rsidR="00411C78">
        <w:t>Gross</w:t>
      </w:r>
      <w:r w:rsidR="004F11FA" w:rsidRPr="00273106">
        <w:t xml:space="preserve">etesteho dualismu </w:t>
      </w:r>
      <w:r w:rsidR="007B2D4C">
        <w:t>daného dvoupatrovým dělením poznání (</w:t>
      </w:r>
      <w:r w:rsidR="004F11FA" w:rsidRPr="00273106">
        <w:rPr>
          <w:i/>
        </w:rPr>
        <w:t>scientia</w:t>
      </w:r>
      <w:r w:rsidR="007B2D4C">
        <w:t>/</w:t>
      </w:r>
      <w:r w:rsidR="004F11FA" w:rsidRPr="00273106">
        <w:rPr>
          <w:i/>
        </w:rPr>
        <w:t>intellectus</w:t>
      </w:r>
      <w:r w:rsidR="007B2D4C">
        <w:t>)</w:t>
      </w:r>
      <w:r w:rsidR="0017494C" w:rsidRPr="00273106">
        <w:t>.</w:t>
      </w:r>
      <w:r w:rsidR="000F5850">
        <w:t xml:space="preserve"> </w:t>
      </w:r>
      <w:r w:rsidR="003652E4" w:rsidRPr="00273106">
        <w:t xml:space="preserve">Bytí jsoucna určující </w:t>
      </w:r>
      <w:r w:rsidR="08D77183">
        <w:t xml:space="preserve">v citované části </w:t>
      </w:r>
      <w:r w:rsidR="08D77183" w:rsidRPr="08D77183">
        <w:rPr>
          <w:i/>
        </w:rPr>
        <w:t>Analytik</w:t>
      </w:r>
      <w:r w:rsidR="08D77183">
        <w:t xml:space="preserve"> pouze logický aspekt </w:t>
      </w:r>
      <w:r w:rsidR="00723722" w:rsidRPr="00273106">
        <w:t xml:space="preserve">reality </w:t>
      </w:r>
      <w:r w:rsidR="00EB172E">
        <w:t xml:space="preserve">dané geometrickou abstrakcí. Tato determinace </w:t>
      </w:r>
      <w:r w:rsidR="00723722" w:rsidRPr="00273106">
        <w:t>dostal</w:t>
      </w:r>
      <w:r w:rsidR="00EB172E">
        <w:t xml:space="preserve">a univerzální </w:t>
      </w:r>
      <w:r w:rsidR="08FE18AB" w:rsidRPr="00273106">
        <w:t xml:space="preserve">význam. </w:t>
      </w:r>
      <w:r w:rsidR="00C16F0E" w:rsidRPr="00273106">
        <w:t>Esence trojúhelníka s jeho abstrahovaným hyparchickým bytím se stala v novém pojetí reality univerzálním bytím substance třetího druhu</w:t>
      </w:r>
      <w:r w:rsidR="00622140">
        <w:fldChar w:fldCharType="begin"/>
      </w:r>
      <w:r w:rsidR="00622140">
        <w:instrText xml:space="preserve"> XE "</w:instrText>
      </w:r>
      <w:r w:rsidR="00622140" w:rsidRPr="00D03908">
        <w:instrText>predikace:hyparchická</w:instrText>
      </w:r>
      <w:r w:rsidR="00622140">
        <w:instrText xml:space="preserve">" </w:instrText>
      </w:r>
      <w:r w:rsidR="00622140">
        <w:fldChar w:fldCharType="end"/>
      </w:r>
      <w:r w:rsidR="00C16F0E" w:rsidRPr="00273106">
        <w:t xml:space="preserve">. </w:t>
      </w:r>
      <w:r w:rsidR="08FE18AB" w:rsidRPr="00273106">
        <w:t xml:space="preserve">Pro Aristotela </w:t>
      </w:r>
      <w:r w:rsidR="00723722" w:rsidRPr="00273106">
        <w:t xml:space="preserve">byla </w:t>
      </w:r>
      <w:r w:rsidR="08FE18AB" w:rsidRPr="00273106">
        <w:t xml:space="preserve">základem poznání </w:t>
      </w:r>
      <w:r w:rsidR="088A6EC5" w:rsidRPr="00273106">
        <w:t xml:space="preserve">realita první substance </w:t>
      </w:r>
      <w:r w:rsidR="088C0F93" w:rsidRPr="00273106">
        <w:t xml:space="preserve">v </w:t>
      </w:r>
      <w:r w:rsidR="088A6EC5">
        <w:t>hyparchickém</w:t>
      </w:r>
      <w:r w:rsidR="088A6EC5" w:rsidRPr="00273106">
        <w:t xml:space="preserve"> </w:t>
      </w:r>
      <w:r w:rsidR="088C0F93" w:rsidRPr="00273106">
        <w:t xml:space="preserve">modu </w:t>
      </w:r>
      <w:r w:rsidR="088C0F93" w:rsidRPr="00273106">
        <w:rPr>
          <w:i/>
        </w:rPr>
        <w:t>per prius</w:t>
      </w:r>
      <w:r w:rsidR="088A3236">
        <w:t>. J</w:t>
      </w:r>
      <w:r w:rsidR="003724EA">
        <w:t xml:space="preserve">en ta </w:t>
      </w:r>
      <w:r w:rsidR="008E431F">
        <w:t xml:space="preserve">má </w:t>
      </w:r>
      <w:r w:rsidR="00604E7F">
        <w:t xml:space="preserve">reálnou </w:t>
      </w:r>
      <w:r w:rsidR="008E431F">
        <w:t>kauzalitu</w:t>
      </w:r>
      <w:r w:rsidR="08047AF5">
        <w:t xml:space="preserve">, která </w:t>
      </w:r>
      <w:r w:rsidR="088A3236">
        <w:t xml:space="preserve">univočně </w:t>
      </w:r>
      <w:r w:rsidR="08047AF5">
        <w:t>určuje její akcidentální a potenciální predikaci v mysli</w:t>
      </w:r>
      <w:r w:rsidR="088A3236">
        <w:t xml:space="preserve"> skrze poznání smyslů</w:t>
      </w:r>
      <w:r w:rsidR="00723722" w:rsidRPr="00273106">
        <w:t xml:space="preserve">. </w:t>
      </w:r>
      <w:r w:rsidR="00D61061" w:rsidRPr="00273106">
        <w:t xml:space="preserve">Substanční bytí trojúhelníka není hyparchické na způsob první substance, protože je </w:t>
      </w:r>
      <w:r w:rsidR="003724EA">
        <w:t xml:space="preserve">dané </w:t>
      </w:r>
      <w:r w:rsidR="00D61061" w:rsidRPr="00273106">
        <w:t>pouhou abstrakcí</w:t>
      </w:r>
      <w:r w:rsidR="003724EA">
        <w:t xml:space="preserve"> a existuje pouze v mysli</w:t>
      </w:r>
      <w:r w:rsidR="00D61061" w:rsidRPr="00273106">
        <w:t xml:space="preserve">. </w:t>
      </w:r>
      <w:r w:rsidR="00EA03AA" w:rsidRPr="00273106">
        <w:t>Trojúhelník sice má v esenciální definici</w:t>
      </w:r>
      <w:r w:rsidR="0823325C">
        <w:t xml:space="preserve"> také</w:t>
      </w:r>
      <w:r w:rsidR="00EA03AA" w:rsidRPr="00273106">
        <w:t xml:space="preserve"> hyparchickou existenci, ale matematická abstrakce je z hlediska metafyzické abstrakce pouhá ekvivokace. </w:t>
      </w:r>
      <w:r w:rsidR="0823325C" w:rsidRPr="00273106">
        <w:t xml:space="preserve">Tento substrát je daný </w:t>
      </w:r>
      <w:r w:rsidR="0823325C">
        <w:t>skrze sebe a pro sebe</w:t>
      </w:r>
      <w:r w:rsidR="0823325C" w:rsidRPr="00273106">
        <w:t xml:space="preserve"> (καθ' αὑτὸ καὶ ᾗ αὐτό) jen proto, že existuje</w:t>
      </w:r>
      <w:r w:rsidR="0823325C">
        <w:t xml:space="preserve"> vzhledem k realitě pouze jako potence, tedy v modu univerzálního konceptu</w:t>
      </w:r>
      <w:r w:rsidR="0823325C" w:rsidRPr="00273106">
        <w:t>.</w:t>
      </w:r>
      <w:r w:rsidR="0823325C">
        <w:t xml:space="preserve"> </w:t>
      </w:r>
      <w:r w:rsidR="088172B9">
        <w:t xml:space="preserve">A nositelem tohoto konceptu je reálná myslící osoba s její hyparchickou existencí danou hylemorficky v těle. </w:t>
      </w:r>
      <w:r w:rsidR="08415298" w:rsidRPr="00273106">
        <w:t xml:space="preserve">Definice trojúhelníka je výsledek </w:t>
      </w:r>
      <w:r w:rsidR="08415298">
        <w:t xml:space="preserve">logické </w:t>
      </w:r>
      <w:r w:rsidR="08415298" w:rsidRPr="00273106">
        <w:t>abstrakce</w:t>
      </w:r>
      <w:r w:rsidR="08415298">
        <w:fldChar w:fldCharType="begin"/>
      </w:r>
      <w:r w:rsidR="08415298">
        <w:instrText xml:space="preserve"> XE "</w:instrText>
      </w:r>
      <w:r w:rsidR="08415298" w:rsidRPr="00A824F0">
        <w:instrText>abstrakce:matematická</w:instrText>
      </w:r>
      <w:r w:rsidR="08415298">
        <w:instrText xml:space="preserve">" </w:instrText>
      </w:r>
      <w:r w:rsidR="08415298">
        <w:fldChar w:fldCharType="end"/>
      </w:r>
      <w:r w:rsidR="08415298">
        <w:t xml:space="preserve">, která nepotřebuje </w:t>
      </w:r>
      <w:r w:rsidR="08415298" w:rsidRPr="00273106">
        <w:t>realit</w:t>
      </w:r>
      <w:r w:rsidR="08415298">
        <w:t>u</w:t>
      </w:r>
      <w:r w:rsidR="08415298" w:rsidRPr="00273106">
        <w:t xml:space="preserve"> první substance. </w:t>
      </w:r>
      <w:r w:rsidR="088172B9">
        <w:t xml:space="preserve">Pokud </w:t>
      </w:r>
      <w:r w:rsidR="08415298">
        <w:t xml:space="preserve">jakoukoliv </w:t>
      </w:r>
      <w:r w:rsidR="088172B9">
        <w:t xml:space="preserve">univerzálii aktem </w:t>
      </w:r>
      <w:r w:rsidR="088172B9" w:rsidRPr="088172B9">
        <w:rPr>
          <w:i/>
        </w:rPr>
        <w:t>modus tollens</w:t>
      </w:r>
      <w:r w:rsidR="088172B9">
        <w:rPr>
          <w:i/>
        </w:rPr>
        <w:fldChar w:fldCharType="begin"/>
      </w:r>
      <w:r w:rsidR="088172B9">
        <w:instrText xml:space="preserve"> XE "</w:instrText>
      </w:r>
      <w:r w:rsidR="088172B9" w:rsidRPr="08643422">
        <w:rPr>
          <w:i/>
        </w:rPr>
        <w:instrText>modus tollens</w:instrText>
      </w:r>
      <w:r w:rsidR="088172B9">
        <w:instrText xml:space="preserve">" </w:instrText>
      </w:r>
      <w:r w:rsidR="088172B9">
        <w:rPr>
          <w:i/>
        </w:rPr>
        <w:fldChar w:fldCharType="end"/>
      </w:r>
      <w:r w:rsidR="088172B9">
        <w:t xml:space="preserve"> uzávorkujeme, tak logická </w:t>
      </w:r>
      <w:r w:rsidR="083F0E24">
        <w:t xml:space="preserve">supozice </w:t>
      </w:r>
      <w:r w:rsidR="088172B9">
        <w:t xml:space="preserve">zmizí, protože </w:t>
      </w:r>
      <w:r w:rsidR="08190C13">
        <w:t xml:space="preserve">sama o sobě </w:t>
      </w:r>
      <w:r w:rsidR="084A5E54">
        <w:t xml:space="preserve">představuje </w:t>
      </w:r>
      <w:r w:rsidR="08190C13">
        <w:t xml:space="preserve">pouze </w:t>
      </w:r>
      <w:r w:rsidR="084A5E54">
        <w:t xml:space="preserve">univerzální </w:t>
      </w:r>
      <w:r w:rsidR="004B4D52" w:rsidRPr="004B4D52">
        <w:t>species</w:t>
      </w:r>
      <w:r w:rsidR="084A5E54">
        <w:t xml:space="preserve">. </w:t>
      </w:r>
      <w:r w:rsidR="08190C13">
        <w:t>Pro</w:t>
      </w:r>
      <w:r w:rsidR="08D31E6B">
        <w:t>to</w:t>
      </w:r>
      <w:r w:rsidR="08190C13">
        <w:t xml:space="preserve"> je modus </w:t>
      </w:r>
      <w:r w:rsidR="083F0E24">
        <w:t xml:space="preserve">původní </w:t>
      </w:r>
      <w:r w:rsidR="084A5E54">
        <w:t xml:space="preserve">kategoriální impozice </w:t>
      </w:r>
      <w:r w:rsidR="08190C13">
        <w:t>ověřovaný</w:t>
      </w:r>
      <w:r w:rsidR="08020DC4">
        <w:t xml:space="preserve"> </w:t>
      </w:r>
      <w:r w:rsidR="084A2B1C">
        <w:t xml:space="preserve">skrze princip </w:t>
      </w:r>
      <w:r w:rsidR="006217CA">
        <w:t>zvaný „</w:t>
      </w:r>
      <w:r w:rsidR="084A2B1C" w:rsidRPr="084A2B1C">
        <w:rPr>
          <w:i/>
        </w:rPr>
        <w:t>destructio primis</w:t>
      </w:r>
      <w:r w:rsidR="006217CA">
        <w:t>“</w:t>
      </w:r>
      <w:r w:rsidR="084A2B1C">
        <w:rPr>
          <w:i/>
        </w:rPr>
        <w:fldChar w:fldCharType="begin"/>
      </w:r>
      <w:r w:rsidR="084A2B1C">
        <w:instrText xml:space="preserve"> XE "</w:instrText>
      </w:r>
      <w:r w:rsidR="084A2B1C" w:rsidRPr="081E0085">
        <w:rPr>
          <w:i/>
        </w:rPr>
        <w:instrText>destructio primis</w:instrText>
      </w:r>
      <w:r w:rsidR="084A2B1C">
        <w:instrText xml:space="preserve">" </w:instrText>
      </w:r>
      <w:r w:rsidR="084A2B1C">
        <w:rPr>
          <w:i/>
        </w:rPr>
        <w:fldChar w:fldCharType="end"/>
      </w:r>
      <w:r w:rsidR="084A2B1C">
        <w:t xml:space="preserve"> </w:t>
      </w:r>
      <w:r w:rsidR="088172B9">
        <w:t>(</w:t>
      </w:r>
      <w:r w:rsidR="082F513D">
        <w:t xml:space="preserve">OBJ I, </w:t>
      </w:r>
      <w:r w:rsidR="084E7952">
        <w:t>kap. 1.3</w:t>
      </w:r>
      <w:r w:rsidR="088172B9">
        <w:t xml:space="preserve">). </w:t>
      </w:r>
      <w:r w:rsidR="0831782F">
        <w:t xml:space="preserve">Pokud uzávorkujeme poznání slunce v mysli, pak reálné </w:t>
      </w:r>
      <w:r w:rsidR="080049F7">
        <w:t xml:space="preserve">astronomické </w:t>
      </w:r>
      <w:r w:rsidR="0831782F">
        <w:t>Sl</w:t>
      </w:r>
      <w:r w:rsidR="00B73DFD">
        <w:t>unce na obloze bude svítit dál.</w:t>
      </w:r>
    </w:p>
    <w:p w14:paraId="0FB5153E" w14:textId="736135A7" w:rsidR="0053616C" w:rsidRDefault="00B73DFD" w:rsidP="003573A4">
      <w:pPr>
        <w:ind w:firstLine="397"/>
      </w:pPr>
      <w:r>
        <w:t>První averroismus nemohl</w:t>
      </w:r>
      <w:r w:rsidR="00027D6F" w:rsidRPr="00273106">
        <w:t xml:space="preserve"> připustit vpád </w:t>
      </w:r>
      <w:r w:rsidR="0838078C">
        <w:t xml:space="preserve">teologické </w:t>
      </w:r>
      <w:r w:rsidR="00027D6F" w:rsidRPr="00273106">
        <w:t xml:space="preserve">dogmatiky </w:t>
      </w:r>
      <w:r w:rsidR="00ED0F49" w:rsidRPr="00273106">
        <w:t>do</w:t>
      </w:r>
      <w:r w:rsidR="08B40A9E">
        <w:t xml:space="preserve"> aristotelské filosofie</w:t>
      </w:r>
      <w:r w:rsidR="00ED0F49" w:rsidRPr="00273106">
        <w:t xml:space="preserve">, </w:t>
      </w:r>
      <w:r w:rsidR="00027D6F" w:rsidRPr="00273106">
        <w:t>či matematiky do metafyziky, jak to provedl</w:t>
      </w:r>
      <w:r w:rsidR="001667AF">
        <w:t>i</w:t>
      </w:r>
      <w:r w:rsidR="00027D6F" w:rsidRPr="00273106">
        <w:t xml:space="preserve"> Gilbert </w:t>
      </w:r>
      <w:r w:rsidR="002239AA">
        <w:t>de La Porrée</w:t>
      </w:r>
      <w:r w:rsidR="00622140">
        <w:t xml:space="preserve">, </w:t>
      </w:r>
      <w:r w:rsidR="08B40A9E">
        <w:t xml:space="preserve">Rufus </w:t>
      </w:r>
      <w:r w:rsidR="00027D6F" w:rsidRPr="00273106">
        <w:t>a po n</w:t>
      </w:r>
      <w:r w:rsidR="00622140">
        <w:t>ich</w:t>
      </w:r>
      <w:r w:rsidR="00027D6F" w:rsidRPr="00273106">
        <w:t xml:space="preserve"> všichni moderní a postmoderní </w:t>
      </w:r>
      <w:r w:rsidR="00ED0F49" w:rsidRPr="00273106">
        <w:t xml:space="preserve">porretáni. </w:t>
      </w:r>
      <w:r w:rsidR="00EA0131" w:rsidRPr="00273106">
        <w:t xml:space="preserve">Proto Akvinský </w:t>
      </w:r>
      <w:r w:rsidR="00846E45" w:rsidRPr="00273106">
        <w:t>vyložil</w:t>
      </w:r>
      <w:r w:rsidR="00EA0131" w:rsidRPr="00273106">
        <w:t xml:space="preserve"> </w:t>
      </w:r>
      <w:r w:rsidR="00FE590F">
        <w:t xml:space="preserve">proti </w:t>
      </w:r>
      <w:r w:rsidR="006E061C">
        <w:t xml:space="preserve">pařížským </w:t>
      </w:r>
      <w:r w:rsidR="00FE590F">
        <w:t xml:space="preserve">porretánům </w:t>
      </w:r>
      <w:r w:rsidR="006E061C">
        <w:t xml:space="preserve">a </w:t>
      </w:r>
      <w:r w:rsidR="084D791F">
        <w:t xml:space="preserve">avicennistickým </w:t>
      </w:r>
      <w:r w:rsidR="006E061C">
        <w:t xml:space="preserve">modernistům </w:t>
      </w:r>
      <w:r w:rsidR="00EA0131" w:rsidRPr="00273106">
        <w:t xml:space="preserve">Boethiovu nauku o abstrakci </w:t>
      </w:r>
      <w:r w:rsidR="0081456D">
        <w:t>v </w:t>
      </w:r>
      <w:r w:rsidR="00103B29">
        <w:t>Boethiově</w:t>
      </w:r>
      <w:r w:rsidR="00FE590F" w:rsidRPr="00273106">
        <w:t xml:space="preserve"> </w:t>
      </w:r>
      <w:r w:rsidR="00EA0131" w:rsidRPr="00273106">
        <w:t>díl</w:t>
      </w:r>
      <w:r w:rsidR="003F1D39" w:rsidRPr="00273106">
        <w:t>e</w:t>
      </w:r>
      <w:r w:rsidR="00EA0131" w:rsidRPr="00273106">
        <w:t xml:space="preserve"> </w:t>
      </w:r>
      <w:r w:rsidR="00AF5178" w:rsidRPr="00AF5178">
        <w:rPr>
          <w:i/>
        </w:rPr>
        <w:t>De trinitate</w:t>
      </w:r>
      <w:r w:rsidR="00EA0131" w:rsidRPr="00273106">
        <w:t xml:space="preserve">, které </w:t>
      </w:r>
      <w:r w:rsidR="00FE590F">
        <w:t xml:space="preserve">tyto </w:t>
      </w:r>
      <w:r w:rsidR="00EA0131" w:rsidRPr="00273106">
        <w:t xml:space="preserve">tři stupně abstrakce v originále </w:t>
      </w:r>
      <w:r w:rsidR="00DB6007">
        <w:t xml:space="preserve">vůbec </w:t>
      </w:r>
      <w:r w:rsidR="00EA0131" w:rsidRPr="00273106">
        <w:t xml:space="preserve">nekomentuje. </w:t>
      </w:r>
      <w:r w:rsidR="006E061C">
        <w:t>První averroismus musel ukáza</w:t>
      </w:r>
      <w:r w:rsidR="00306205">
        <w:t>t</w:t>
      </w:r>
      <w:r w:rsidR="00921997">
        <w:t xml:space="preserve"> </w:t>
      </w:r>
      <w:r w:rsidR="00FC313E">
        <w:t xml:space="preserve">po </w:t>
      </w:r>
      <w:r w:rsidR="083E63D0">
        <w:t xml:space="preserve">roce </w:t>
      </w:r>
      <w:r w:rsidR="00921997">
        <w:t>1250</w:t>
      </w:r>
      <w:r w:rsidR="003A1F77">
        <w:t xml:space="preserve"> na akademické půdě</w:t>
      </w:r>
      <w:r w:rsidR="006E061C">
        <w:t xml:space="preserve">, </w:t>
      </w:r>
      <w:r w:rsidR="003A1F77">
        <w:t xml:space="preserve">v čem </w:t>
      </w:r>
      <w:r w:rsidR="08EE17A4">
        <w:t xml:space="preserve">modernističtí filosofové a teologové </w:t>
      </w:r>
      <w:r w:rsidR="006E061C">
        <w:t>udělali základní omyl a proč se nemohou odvolávat na klasické autority</w:t>
      </w:r>
      <w:r w:rsidR="08A85087">
        <w:t xml:space="preserve"> západní moudrosti</w:t>
      </w:r>
      <w:r w:rsidR="006E061C">
        <w:t xml:space="preserve">. </w:t>
      </w:r>
      <w:r w:rsidR="00723722" w:rsidRPr="00273106">
        <w:t>Rufus</w:t>
      </w:r>
      <w:r w:rsidR="005E1D75">
        <w:t xml:space="preserve"> </w:t>
      </w:r>
      <w:r w:rsidR="008E336E" w:rsidRPr="00273106">
        <w:t>absolutizova</w:t>
      </w:r>
      <w:r w:rsidR="005E1D75">
        <w:t>l esenci</w:t>
      </w:r>
      <w:r w:rsidR="0023504B" w:rsidRPr="00273106">
        <w:t xml:space="preserve"> </w:t>
      </w:r>
      <w:r w:rsidR="005E1D75">
        <w:t>jako základ</w:t>
      </w:r>
      <w:r w:rsidR="003E596B" w:rsidRPr="00273106">
        <w:t xml:space="preserve"> jsoucna</w:t>
      </w:r>
      <w:r w:rsidR="005E1D75">
        <w:t xml:space="preserve">. To </w:t>
      </w:r>
      <w:r w:rsidR="00036045" w:rsidRPr="00273106">
        <w:t xml:space="preserve">známe od neoplatoniků, kde bytí esence </w:t>
      </w:r>
      <w:r w:rsidR="002D4FA2" w:rsidRPr="00273106">
        <w:t xml:space="preserve">také </w:t>
      </w:r>
      <w:r w:rsidR="00036045" w:rsidRPr="00273106">
        <w:t xml:space="preserve">předchází bytí reálné substance. Viz </w:t>
      </w:r>
      <w:r w:rsidR="08156BF0">
        <w:t xml:space="preserve">koncept </w:t>
      </w:r>
      <w:r w:rsidR="004F1B41" w:rsidRPr="00273106">
        <w:t>zdvojené</w:t>
      </w:r>
      <w:r w:rsidR="0872034A">
        <w:t>ho</w:t>
      </w:r>
      <w:r w:rsidR="004F1B41" w:rsidRPr="00273106">
        <w:t xml:space="preserve"> bytí</w:t>
      </w:r>
      <w:r w:rsidR="00B40981">
        <w:fldChar w:fldCharType="begin"/>
      </w:r>
      <w:r w:rsidR="00B40981">
        <w:instrText xml:space="preserve"> XE "</w:instrText>
      </w:r>
      <w:r w:rsidR="00B40981" w:rsidRPr="000651FC">
        <w:instrText>zdvojení bytí</w:instrText>
      </w:r>
      <w:r w:rsidR="00B40981">
        <w:instrText xml:space="preserve">" </w:instrText>
      </w:r>
      <w:r w:rsidR="00B40981">
        <w:fldChar w:fldCharType="end"/>
      </w:r>
      <w:r w:rsidR="004F1B41" w:rsidRPr="00273106">
        <w:t xml:space="preserve"> </w:t>
      </w:r>
      <w:r w:rsidR="00542B57" w:rsidRPr="00273106">
        <w:t xml:space="preserve">u </w:t>
      </w:r>
      <w:r w:rsidR="00BB45B1">
        <w:t>Porfyri</w:t>
      </w:r>
      <w:r w:rsidR="00542B57" w:rsidRPr="00273106">
        <w:t>a</w:t>
      </w:r>
      <w:r w:rsidR="08156BF0">
        <w:t xml:space="preserve">, v němž </w:t>
      </w:r>
      <w:r w:rsidR="00036045" w:rsidRPr="00273106">
        <w:t>proarchické</w:t>
      </w:r>
      <w:r w:rsidR="004F1B41" w:rsidRPr="00273106">
        <w:t xml:space="preserve"> bytí </w:t>
      </w:r>
      <w:r w:rsidR="08156BF0">
        <w:t xml:space="preserve">předchází Aristotelovo </w:t>
      </w:r>
      <w:r w:rsidR="00036045" w:rsidRPr="00273106">
        <w:t>hyparchick</w:t>
      </w:r>
      <w:r w:rsidR="08156BF0">
        <w:t>é</w:t>
      </w:r>
      <w:r w:rsidR="004F1B41" w:rsidRPr="00273106">
        <w:t xml:space="preserve"> pojetí substance</w:t>
      </w:r>
      <w:r w:rsidR="00C94452">
        <w:fldChar w:fldCharType="begin"/>
      </w:r>
      <w:r w:rsidR="00C94452">
        <w:instrText xml:space="preserve"> XE "</w:instrText>
      </w:r>
      <w:r w:rsidR="00C94452" w:rsidRPr="00085A25">
        <w:instrText>predikace:proarchická</w:instrText>
      </w:r>
      <w:r w:rsidR="00C94452">
        <w:instrText xml:space="preserve">" </w:instrText>
      </w:r>
      <w:r w:rsidR="00C94452">
        <w:fldChar w:fldCharType="end"/>
      </w:r>
      <w:r w:rsidR="00DD504F" w:rsidRPr="00273106">
        <w:t xml:space="preserve"> (</w:t>
      </w:r>
      <w:r w:rsidR="08915B9D">
        <w:t xml:space="preserve">OBJ I, </w:t>
      </w:r>
      <w:r w:rsidR="084E7952">
        <w:t>kap. 1.3</w:t>
      </w:r>
      <w:r w:rsidR="00DD504F" w:rsidRPr="00273106">
        <w:t>.1)</w:t>
      </w:r>
      <w:r w:rsidR="00E27B74" w:rsidRPr="00273106">
        <w:t xml:space="preserve">. </w:t>
      </w:r>
      <w:r w:rsidR="089F34A1" w:rsidRPr="00273106">
        <w:t xml:space="preserve">Toto pojetí </w:t>
      </w:r>
      <w:r w:rsidR="00304687">
        <w:t xml:space="preserve">částečně </w:t>
      </w:r>
      <w:r w:rsidR="089F34A1" w:rsidRPr="00273106">
        <w:t xml:space="preserve">převzal Grosseteste a oddělil empirické poznání </w:t>
      </w:r>
      <w:r w:rsidR="003005CC">
        <w:t>(</w:t>
      </w:r>
      <w:r w:rsidR="003005CC" w:rsidRPr="003005CC">
        <w:rPr>
          <w:i/>
        </w:rPr>
        <w:t>scientia</w:t>
      </w:r>
      <w:r w:rsidR="003005CC">
        <w:t xml:space="preserve">) </w:t>
      </w:r>
      <w:r w:rsidR="089F34A1" w:rsidRPr="00273106">
        <w:t>a náhled čistých forem</w:t>
      </w:r>
      <w:r w:rsidR="003005CC">
        <w:t xml:space="preserve"> (</w:t>
      </w:r>
      <w:r w:rsidR="003005CC" w:rsidRPr="003005CC">
        <w:rPr>
          <w:i/>
        </w:rPr>
        <w:t>intellectus</w:t>
      </w:r>
      <w:r w:rsidR="003005CC">
        <w:t>)</w:t>
      </w:r>
      <w:r w:rsidR="089F34A1" w:rsidRPr="00273106">
        <w:t xml:space="preserve"> </w:t>
      </w:r>
      <w:r w:rsidR="00786C0F" w:rsidRPr="00273106">
        <w:t>ve dvojím pojetí vědy</w:t>
      </w:r>
      <w:r w:rsidR="002652DA">
        <w:fldChar w:fldCharType="begin"/>
      </w:r>
      <w:r w:rsidR="002652DA">
        <w:instrText xml:space="preserve"> XE "</w:instrText>
      </w:r>
      <w:r w:rsidR="002652DA" w:rsidRPr="00270F75">
        <w:instrText>teorie dvojí pravdy</w:instrText>
      </w:r>
      <w:r w:rsidR="002652DA">
        <w:instrText xml:space="preserve">" </w:instrText>
      </w:r>
      <w:r w:rsidR="002652DA">
        <w:fldChar w:fldCharType="end"/>
      </w:r>
      <w:r w:rsidR="089F34A1" w:rsidRPr="00273106">
        <w:t xml:space="preserve">. </w:t>
      </w:r>
      <w:r w:rsidR="003112A4" w:rsidRPr="00273106">
        <w:t xml:space="preserve">Rufus v nové konstelaci opakuje </w:t>
      </w:r>
      <w:r w:rsidR="00BB45B1">
        <w:t>Porfyri</w:t>
      </w:r>
      <w:r w:rsidR="003112A4" w:rsidRPr="00273106">
        <w:t>em zahájenou gigantomachii</w:t>
      </w:r>
      <w:r w:rsidR="00DC1E45" w:rsidRPr="00273106">
        <w:t xml:space="preserve"> o substan</w:t>
      </w:r>
      <w:r w:rsidR="003112A4" w:rsidRPr="00273106">
        <w:t>ci, kterou</w:t>
      </w:r>
      <w:r w:rsidR="001C60C8" w:rsidRPr="00273106">
        <w:t xml:space="preserve"> aktualizoval Avicenna v podobě reálné existence jako akcidentu (</w:t>
      </w:r>
      <w:r w:rsidR="08915B9D">
        <w:t xml:space="preserve">OBJ I, </w:t>
      </w:r>
      <w:r w:rsidR="001C60C8" w:rsidRPr="00273106">
        <w:t>kap. 2.3.1)</w:t>
      </w:r>
      <w:r w:rsidR="00006174" w:rsidRPr="00273106">
        <w:t>.</w:t>
      </w:r>
      <w:r w:rsidR="00D91C17" w:rsidRPr="00273106">
        <w:t xml:space="preserve"> První substance tvoří pouze </w:t>
      </w:r>
      <w:r w:rsidR="08691F63" w:rsidRPr="00273106">
        <w:t xml:space="preserve">formální a esenciální </w:t>
      </w:r>
      <w:r w:rsidR="00D91C17" w:rsidRPr="00273106">
        <w:t xml:space="preserve">supozici našeho poznání a přestává se zjevovat ve své </w:t>
      </w:r>
      <w:r w:rsidR="08622BE7" w:rsidRPr="00273106">
        <w:t xml:space="preserve">kauzální </w:t>
      </w:r>
      <w:r w:rsidR="00D91C17" w:rsidRPr="00273106">
        <w:t>jedinečnosti</w:t>
      </w:r>
      <w:r w:rsidR="083017AE">
        <w:t xml:space="preserve"> dané reálně</w:t>
      </w:r>
      <w:r w:rsidR="087A40BC">
        <w:t xml:space="preserve">. Tak </w:t>
      </w:r>
      <w:r w:rsidR="007F7A57" w:rsidRPr="00273106">
        <w:t>radikální vytěsnění první subs</w:t>
      </w:r>
      <w:r w:rsidR="00395218" w:rsidRPr="00273106">
        <w:t>t</w:t>
      </w:r>
      <w:r w:rsidR="007F7A57" w:rsidRPr="00273106">
        <w:t xml:space="preserve">ance </w:t>
      </w:r>
      <w:r w:rsidR="087A40BC">
        <w:t>a j</w:t>
      </w:r>
      <w:r w:rsidR="08871AE7">
        <w:t>e</w:t>
      </w:r>
      <w:r w:rsidR="087A40BC">
        <w:t>j</w:t>
      </w:r>
      <w:r w:rsidR="08871AE7">
        <w:t xml:space="preserve">í kauzality </w:t>
      </w:r>
      <w:r w:rsidR="007F7A57" w:rsidRPr="00273106">
        <w:t>z</w:t>
      </w:r>
      <w:r w:rsidR="00395218" w:rsidRPr="00273106">
        <w:t>e</w:t>
      </w:r>
      <w:r w:rsidR="08871AE7">
        <w:t xml:space="preserve"> schématu poznání </w:t>
      </w:r>
      <w:r w:rsidR="007F7A57" w:rsidRPr="00273106">
        <w:t>Grosseteste nepřipustil</w:t>
      </w:r>
      <w:r w:rsidR="08871AE7">
        <w:t>, protože by nemoh</w:t>
      </w:r>
      <w:r w:rsidR="087A40BC">
        <w:t>l def</w:t>
      </w:r>
      <w:r w:rsidR="08871AE7">
        <w:t>inovat jednotu osoby jako jedinečné první substance</w:t>
      </w:r>
      <w:r w:rsidR="087A40BC">
        <w:t xml:space="preserve"> působící kauzálně. Myslíme, když to sami chceme</w:t>
      </w:r>
      <w:r w:rsidR="08BF2A51">
        <w:t>,</w:t>
      </w:r>
      <w:r w:rsidR="08FE7AF0">
        <w:t xml:space="preserve"> a ne když za nás myslí kosmický </w:t>
      </w:r>
      <w:r w:rsidR="08FE7AF0" w:rsidRPr="08FE7AF0">
        <w:rPr>
          <w:i/>
        </w:rPr>
        <w:t>intellectus agens</w:t>
      </w:r>
      <w:r w:rsidR="00D573EB">
        <w:t>. P</w:t>
      </w:r>
      <w:r w:rsidR="00A52E23" w:rsidRPr="00273106">
        <w:t xml:space="preserve">roto si Bacon </w:t>
      </w:r>
      <w:r w:rsidR="083017AE">
        <w:t>a Ockham berou</w:t>
      </w:r>
      <w:r w:rsidR="00A52E23" w:rsidRPr="00273106">
        <w:t xml:space="preserve"> </w:t>
      </w:r>
      <w:r w:rsidR="087A5E89" w:rsidRPr="00273106">
        <w:t>Grosseteste</w:t>
      </w:r>
      <w:r w:rsidR="086F32E5">
        <w:t>ho</w:t>
      </w:r>
      <w:r w:rsidR="087A5E89" w:rsidRPr="00273106">
        <w:t xml:space="preserve"> </w:t>
      </w:r>
      <w:r w:rsidR="00A52E23" w:rsidRPr="00273106">
        <w:t xml:space="preserve">za svědka ve sporu se školou </w:t>
      </w:r>
      <w:r w:rsidR="00A52E23" w:rsidRPr="00273106">
        <w:rPr>
          <w:i/>
        </w:rPr>
        <w:t>Modernorum</w:t>
      </w:r>
      <w:r w:rsidR="00D91C17" w:rsidRPr="00273106">
        <w:t>.</w:t>
      </w:r>
      <w:r w:rsidR="08AE5347">
        <w:t xml:space="preserve"> </w:t>
      </w:r>
      <w:r w:rsidR="086F32E5">
        <w:t xml:space="preserve">Moderní </w:t>
      </w:r>
      <w:r w:rsidR="08820E5D">
        <w:t xml:space="preserve">porretáni </w:t>
      </w:r>
      <w:r w:rsidR="086F32E5">
        <w:t xml:space="preserve">mají základní jistotu poznání danou shůry a nasvícením od hypostázované věčné esence dané v modu </w:t>
      </w:r>
      <w:r w:rsidR="086F32E5" w:rsidRPr="007A25CC">
        <w:rPr>
          <w:i/>
        </w:rPr>
        <w:t>semel</w:t>
      </w:r>
      <w:r w:rsidR="086F32E5">
        <w:t>‒</w:t>
      </w:r>
      <w:r w:rsidR="086F32E5" w:rsidRPr="007A25CC">
        <w:rPr>
          <w:i/>
        </w:rPr>
        <w:t>semper</w:t>
      </w:r>
      <w:r w:rsidR="086F32E5">
        <w:rPr>
          <w:i/>
        </w:rPr>
        <w:fldChar w:fldCharType="begin"/>
      </w:r>
      <w:r w:rsidR="086F32E5">
        <w:instrText xml:space="preserve"> XE "predikace:</w:instrText>
      </w:r>
      <w:r w:rsidR="086F32E5">
        <w:rPr>
          <w:i/>
        </w:rPr>
        <w:instrText>semel‒semper</w:instrText>
      </w:r>
      <w:r w:rsidR="086F32E5">
        <w:instrText xml:space="preserve">" </w:instrText>
      </w:r>
      <w:r w:rsidR="086F32E5">
        <w:rPr>
          <w:i/>
        </w:rPr>
        <w:fldChar w:fldCharType="end"/>
      </w:r>
      <w:r w:rsidR="086F32E5">
        <w:t xml:space="preserve">. Pak mohou vzít na milost i Aristotelovu empirickou </w:t>
      </w:r>
      <w:r w:rsidR="086F32E5" w:rsidRPr="0055345C">
        <w:rPr>
          <w:i/>
        </w:rPr>
        <w:t>scientia</w:t>
      </w:r>
      <w:r w:rsidR="086F32E5">
        <w:t xml:space="preserve">. </w:t>
      </w:r>
      <w:r w:rsidR="086F32E5" w:rsidRPr="00273106">
        <w:t xml:space="preserve">Vědecké </w:t>
      </w:r>
      <w:r w:rsidR="086F32E5" w:rsidRPr="00273106">
        <w:rPr>
          <w:i/>
        </w:rPr>
        <w:t>demonst</w:t>
      </w:r>
      <w:r w:rsidR="086F32E5">
        <w:rPr>
          <w:i/>
        </w:rPr>
        <w:t>r</w:t>
      </w:r>
      <w:r w:rsidR="086F32E5" w:rsidRPr="00273106">
        <w:rPr>
          <w:i/>
        </w:rPr>
        <w:t>atio</w:t>
      </w:r>
      <w:r w:rsidR="086F32E5">
        <w:t xml:space="preserve"> najde v konti</w:t>
      </w:r>
      <w:r w:rsidR="086370D0">
        <w:t>n</w:t>
      </w:r>
      <w:r w:rsidR="086F32E5">
        <w:t>gentní</w:t>
      </w:r>
      <w:r w:rsidR="086F32E5" w:rsidRPr="00273106">
        <w:t xml:space="preserve"> </w:t>
      </w:r>
      <w:r w:rsidR="086F32E5" w:rsidRPr="00273106">
        <w:rPr>
          <w:i/>
        </w:rPr>
        <w:t>scientia</w:t>
      </w:r>
      <w:r w:rsidR="004A5D33">
        <w:rPr>
          <w:i/>
        </w:rPr>
        <w:fldChar w:fldCharType="begin"/>
      </w:r>
      <w:r w:rsidR="004A5D33">
        <w:instrText xml:space="preserve"> XE "</w:instrText>
      </w:r>
      <w:r w:rsidR="004A5D33" w:rsidRPr="002D2B36">
        <w:rPr>
          <w:i/>
        </w:rPr>
        <w:instrText>scientia/intellectus</w:instrText>
      </w:r>
      <w:r w:rsidR="004A5D33">
        <w:instrText xml:space="preserve">" </w:instrText>
      </w:r>
      <w:r w:rsidR="004A5D33">
        <w:rPr>
          <w:i/>
        </w:rPr>
        <w:fldChar w:fldCharType="end"/>
      </w:r>
      <w:r w:rsidR="086F32E5" w:rsidRPr="00273106">
        <w:t xml:space="preserve"> </w:t>
      </w:r>
      <w:r w:rsidR="086F32E5">
        <w:t xml:space="preserve">dodatečné </w:t>
      </w:r>
      <w:r w:rsidR="086F32E5" w:rsidRPr="00273106">
        <w:t xml:space="preserve">potvrzení toho, což už vědělo přímým náhledem </w:t>
      </w:r>
      <w:r w:rsidR="086F32E5">
        <w:t>skrze osvícený</w:t>
      </w:r>
      <w:r w:rsidR="086F32E5" w:rsidRPr="00273106">
        <w:t xml:space="preserve"> </w:t>
      </w:r>
      <w:r w:rsidR="086F32E5" w:rsidRPr="00273106">
        <w:rPr>
          <w:i/>
        </w:rPr>
        <w:t>intellectus</w:t>
      </w:r>
      <w:r w:rsidR="086F32E5" w:rsidRPr="00273106">
        <w:t xml:space="preserve">. </w:t>
      </w:r>
      <w:r w:rsidR="084D09EF">
        <w:t xml:space="preserve">Objektivní iluminát </w:t>
      </w:r>
      <w:r w:rsidR="086F32E5" w:rsidRPr="00273106">
        <w:t>Rufus tím</w:t>
      </w:r>
      <w:r w:rsidR="086F32E5">
        <w:t xml:space="preserve">to výkladem založil výše citované </w:t>
      </w:r>
      <w:r w:rsidR="086F32E5" w:rsidRPr="00273106">
        <w:rPr>
          <w:i/>
        </w:rPr>
        <w:t>resolutio</w:t>
      </w:r>
      <w:r w:rsidR="086F32E5">
        <w:rPr>
          <w:i/>
        </w:rPr>
        <w:fldChar w:fldCharType="begin"/>
      </w:r>
      <w:r w:rsidR="086F32E5">
        <w:instrText xml:space="preserve"> XE "</w:instrText>
      </w:r>
      <w:r w:rsidR="086F32E5" w:rsidRPr="00111E9E">
        <w:rPr>
          <w:i/>
        </w:rPr>
        <w:instrText>resolutio</w:instrText>
      </w:r>
      <w:r w:rsidR="086F32E5">
        <w:rPr>
          <w:i/>
        </w:rPr>
        <w:instrText>:</w:instrText>
      </w:r>
      <w:r w:rsidR="086F32E5" w:rsidRPr="007D3515">
        <w:instrText>Rufus</w:instrText>
      </w:r>
      <w:r w:rsidR="086F32E5">
        <w:instrText xml:space="preserve">" </w:instrText>
      </w:r>
      <w:r w:rsidR="086F32E5">
        <w:rPr>
          <w:i/>
        </w:rPr>
        <w:fldChar w:fldCharType="end"/>
      </w:r>
      <w:r w:rsidR="086F32E5">
        <w:t xml:space="preserve"> a </w:t>
      </w:r>
      <w:r w:rsidR="086F32E5" w:rsidRPr="00273106">
        <w:rPr>
          <w:i/>
        </w:rPr>
        <w:t>compositio</w:t>
      </w:r>
      <w:r w:rsidR="086F32E5">
        <w:rPr>
          <w:i/>
        </w:rPr>
        <w:fldChar w:fldCharType="begin"/>
      </w:r>
      <w:r w:rsidR="086F32E5">
        <w:instrText xml:space="preserve"> XE "</w:instrText>
      </w:r>
      <w:r w:rsidR="086F32E5" w:rsidRPr="006B120B">
        <w:rPr>
          <w:i/>
        </w:rPr>
        <w:instrText>compositio</w:instrText>
      </w:r>
      <w:r w:rsidR="086F32E5">
        <w:instrText xml:space="preserve">" </w:instrText>
      </w:r>
      <w:r w:rsidR="086F32E5">
        <w:rPr>
          <w:i/>
        </w:rPr>
        <w:fldChar w:fldCharType="end"/>
      </w:r>
      <w:r w:rsidR="086F32E5">
        <w:t>, které tematizovala v následující dekádě Grossetesteho škola</w:t>
      </w:r>
      <w:r w:rsidR="086F32E5" w:rsidRPr="00273106">
        <w:t xml:space="preserve"> </w:t>
      </w:r>
      <w:r w:rsidR="086F32E5">
        <w:t xml:space="preserve">modernistů komponující dílo </w:t>
      </w:r>
      <w:r w:rsidR="086F32E5" w:rsidRPr="00273106">
        <w:rPr>
          <w:i/>
        </w:rPr>
        <w:t>Summa philosophiae</w:t>
      </w:r>
      <w:r w:rsidR="086F32E5">
        <w:t xml:space="preserve"> (kap. </w:t>
      </w:r>
      <w:r w:rsidR="085B55EE">
        <w:t>3</w:t>
      </w:r>
      <w:r w:rsidR="086F32E5">
        <w:t>.</w:t>
      </w:r>
      <w:r w:rsidR="086F32E5" w:rsidRPr="00273106">
        <w:t>1</w:t>
      </w:r>
      <w:r w:rsidR="086F32E5">
        <w:t xml:space="preserve">.3). </w:t>
      </w:r>
      <w:r w:rsidR="000F5850">
        <w:t xml:space="preserve">Matematizovaná </w:t>
      </w:r>
      <w:r w:rsidR="000F5850" w:rsidRPr="00273106">
        <w:t xml:space="preserve">konstituce jsoucna je neúplná a potřebuje </w:t>
      </w:r>
      <w:r w:rsidR="083A1F0B">
        <w:t xml:space="preserve">podle vědecky myslícících iluminátů také </w:t>
      </w:r>
      <w:r w:rsidR="00874074">
        <w:t>neoplatonsk</w:t>
      </w:r>
      <w:r w:rsidR="000F5850" w:rsidRPr="00273106">
        <w:t>ý sestup do materie</w:t>
      </w:r>
      <w:r w:rsidR="002966DB">
        <w:t xml:space="preserve">. </w:t>
      </w:r>
      <w:r w:rsidR="08496B6A" w:rsidRPr="00273106">
        <w:t xml:space="preserve">Vyšší esenci chybí </w:t>
      </w:r>
      <w:r w:rsidR="08496B6A">
        <w:t xml:space="preserve">empirická </w:t>
      </w:r>
      <w:r w:rsidR="08496B6A" w:rsidRPr="00273106">
        <w:t xml:space="preserve">aktualizace </w:t>
      </w:r>
      <w:r w:rsidR="08496B6A">
        <w:t xml:space="preserve">daná v reálné první substanci. Sestup z matematiky do reálu zajišťuje pojetí pravdy jako avicennovské </w:t>
      </w:r>
      <w:r w:rsidR="08496B6A" w:rsidRPr="0055345C">
        <w:rPr>
          <w:i/>
        </w:rPr>
        <w:t>certitudo</w:t>
      </w:r>
      <w:r w:rsidR="08496B6A">
        <w:rPr>
          <w:i/>
        </w:rPr>
        <w:fldChar w:fldCharType="begin"/>
      </w:r>
      <w:r w:rsidR="08496B6A">
        <w:instrText xml:space="preserve"> XE "pravda:</w:instrText>
      </w:r>
      <w:r w:rsidR="08496B6A" w:rsidRPr="001A266E">
        <w:rPr>
          <w:i/>
        </w:rPr>
        <w:instrText>certitudo</w:instrText>
      </w:r>
      <w:r w:rsidR="08496B6A">
        <w:instrText xml:space="preserve">" </w:instrText>
      </w:r>
      <w:r w:rsidR="08496B6A">
        <w:rPr>
          <w:i/>
        </w:rPr>
        <w:fldChar w:fldCharType="end"/>
      </w:r>
      <w:r w:rsidR="08496B6A">
        <w:t xml:space="preserve">. </w:t>
      </w:r>
      <w:r w:rsidR="083A1F0B">
        <w:t xml:space="preserve">Tímto mystickým sestupem </w:t>
      </w:r>
      <w:r w:rsidR="084F05EC">
        <w:t>moderní</w:t>
      </w:r>
      <w:r w:rsidR="083A1F0B">
        <w:t xml:space="preserve">ho ducha do materie třetího druhu </w:t>
      </w:r>
      <w:r w:rsidR="08BF2A51">
        <w:t>vznikla první sciento</w:t>
      </w:r>
      <w:r w:rsidR="08322AFF">
        <w:noBreakHyphen/>
      </w:r>
      <w:r w:rsidR="08BF2A51">
        <w:t xml:space="preserve">logická forma </w:t>
      </w:r>
      <w:r w:rsidR="084601AF">
        <w:t xml:space="preserve">deduktivního </w:t>
      </w:r>
      <w:r w:rsidR="08BF2A51">
        <w:t>důkazu pro přírodní vědy</w:t>
      </w:r>
      <w:r w:rsidR="084F05EC">
        <w:t xml:space="preserve">. </w:t>
      </w:r>
      <w:r w:rsidR="08DE355D">
        <w:t xml:space="preserve">Základ Grossetesteho a Rufusovy </w:t>
      </w:r>
      <w:r w:rsidR="08DE355D" w:rsidRPr="084F05EC">
        <w:rPr>
          <w:i/>
        </w:rPr>
        <w:t>scientia</w:t>
      </w:r>
      <w:r w:rsidR="08DE355D">
        <w:t xml:space="preserve"> tvoří mytopoetický</w:t>
      </w:r>
      <w:r w:rsidR="08C21078">
        <w:fldChar w:fldCharType="begin"/>
      </w:r>
      <w:r w:rsidR="08C21078">
        <w:instrText xml:space="preserve"> XE "</w:instrText>
      </w:r>
      <w:r w:rsidR="08C21078" w:rsidRPr="08546EE4">
        <w:instrText>mytopoesis</w:instrText>
      </w:r>
      <w:r w:rsidR="08C21078">
        <w:instrText xml:space="preserve">" </w:instrText>
      </w:r>
      <w:r w:rsidR="08C21078">
        <w:fldChar w:fldCharType="end"/>
      </w:r>
      <w:r w:rsidR="08DE355D">
        <w:t xml:space="preserve"> </w:t>
      </w:r>
      <w:r w:rsidR="084F05EC">
        <w:t>smysl (</w:t>
      </w:r>
      <w:r w:rsidR="084F05EC">
        <w:rPr>
          <w:rStyle w:val="st"/>
        </w:rPr>
        <w:t>λόγος</w:t>
      </w:r>
      <w:r w:rsidR="084F05EC">
        <w:t xml:space="preserve">) metafyziky </w:t>
      </w:r>
      <w:r w:rsidR="08135707">
        <w:t>převedené na analytickou filosofii</w:t>
      </w:r>
      <w:r w:rsidR="08BF2A51">
        <w:t xml:space="preserve">. </w:t>
      </w:r>
      <w:r w:rsidR="00496481">
        <w:t>Sestupem fo</w:t>
      </w:r>
      <w:r w:rsidR="001C629B">
        <w:t xml:space="preserve">rmy </w:t>
      </w:r>
      <w:r w:rsidR="0872034A">
        <w:t xml:space="preserve">do univerzální materie třetího druhu a do stejně sofistikovaného tělesa </w:t>
      </w:r>
      <w:r w:rsidR="0859158E">
        <w:t xml:space="preserve">třetího druhu </w:t>
      </w:r>
      <w:r w:rsidR="001C629B">
        <w:t>vznikne kontingentní i</w:t>
      </w:r>
      <w:r w:rsidR="00496481">
        <w:t xml:space="preserve">dentita </w:t>
      </w:r>
      <w:r w:rsidR="0841324A">
        <w:t xml:space="preserve">původní kosmické formy nyní predikované </w:t>
      </w:r>
      <w:r w:rsidR="00496481">
        <w:t xml:space="preserve">vzhledem </w:t>
      </w:r>
      <w:r w:rsidR="000F5850" w:rsidRPr="00273106">
        <w:t xml:space="preserve">k ipseitě hypostázované esence. </w:t>
      </w:r>
      <w:r w:rsidR="089A4A87">
        <w:t xml:space="preserve">Tuto katabázi formy do materie měly v pozdní antice scénáře </w:t>
      </w:r>
      <w:r w:rsidR="089A4A87" w:rsidRPr="00273106">
        <w:t>Simplikia</w:t>
      </w:r>
      <w:r w:rsidR="089A4A87">
        <w:t xml:space="preserve">, Avicenny a </w:t>
      </w:r>
      <w:r w:rsidR="089A4A87" w:rsidRPr="00C509A9">
        <w:rPr>
          <w:i/>
        </w:rPr>
        <w:t>Liber de causis</w:t>
      </w:r>
      <w:r w:rsidR="089A4A87">
        <w:rPr>
          <w:i/>
        </w:rPr>
        <w:fldChar w:fldCharType="begin"/>
      </w:r>
      <w:r w:rsidR="089A4A87">
        <w:instrText xml:space="preserve"> XE "</w:instrText>
      </w:r>
      <w:r w:rsidR="089A4A87" w:rsidRPr="00C46BD8">
        <w:rPr>
          <w:i/>
        </w:rPr>
        <w:instrText>Liber de causis</w:instrText>
      </w:r>
      <w:r w:rsidR="089A4A87">
        <w:instrText xml:space="preserve">" </w:instrText>
      </w:r>
      <w:r w:rsidR="089A4A87">
        <w:rPr>
          <w:i/>
        </w:rPr>
        <w:fldChar w:fldCharType="end"/>
      </w:r>
      <w:r w:rsidR="0053616C">
        <w:t>.</w:t>
      </w:r>
    </w:p>
    <w:p w14:paraId="62879337" w14:textId="1753D3C0" w:rsidR="00D91C17" w:rsidRPr="00273106" w:rsidRDefault="0841324A" w:rsidP="00406D62">
      <w:pPr>
        <w:ind w:firstLine="397"/>
      </w:pPr>
      <w:r>
        <w:t>Nyní je jasné, pr</w:t>
      </w:r>
      <w:r w:rsidR="00EB5CCC">
        <w:t>oč Grosseteste a Rufus potřebovali</w:t>
      </w:r>
      <w:r>
        <w:t xml:space="preserve"> koncept </w:t>
      </w:r>
      <w:r w:rsidR="08943CBC">
        <w:t xml:space="preserve">kosmické </w:t>
      </w:r>
      <w:r w:rsidRPr="0841324A">
        <w:rPr>
          <w:i/>
        </w:rPr>
        <w:t>anima mundi</w:t>
      </w:r>
      <w:r>
        <w:rPr>
          <w:i/>
        </w:rPr>
        <w:fldChar w:fldCharType="begin"/>
      </w:r>
      <w:r>
        <w:instrText xml:space="preserve"> XE "</w:instrText>
      </w:r>
      <w:r w:rsidRPr="08E748A5">
        <w:rPr>
          <w:i/>
        </w:rPr>
        <w:instrText>anima mundi</w:instrText>
      </w:r>
      <w:r>
        <w:instrText xml:space="preserve">" </w:instrText>
      </w:r>
      <w:r>
        <w:rPr>
          <w:i/>
        </w:rPr>
        <w:fldChar w:fldCharType="end"/>
      </w:r>
      <w:r>
        <w:t xml:space="preserve"> odmítnutý Blundovou školou. </w:t>
      </w:r>
      <w:r w:rsidR="00E303C9">
        <w:t>T</w:t>
      </w:r>
      <w:r w:rsidR="08F4084B">
        <w:t>voří mytický rezervoár hyparchicky daných kosmických forem</w:t>
      </w:r>
      <w:r w:rsidR="08B3685A">
        <w:t xml:space="preserve"> (</w:t>
      </w:r>
      <w:r w:rsidR="08B3685A" w:rsidRPr="08B3685A">
        <w:rPr>
          <w:i/>
        </w:rPr>
        <w:t>locus specierum</w:t>
      </w:r>
      <w:r w:rsidR="08B3685A">
        <w:t>)</w:t>
      </w:r>
      <w:r w:rsidR="08D76752">
        <w:t xml:space="preserve"> podle Di</w:t>
      </w:r>
      <w:r w:rsidR="08826BD8">
        <w:t>o</w:t>
      </w:r>
      <w:r w:rsidR="08D76752">
        <w:t>ny</w:t>
      </w:r>
      <w:r w:rsidR="08826BD8">
        <w:t>sia Aeropagity</w:t>
      </w:r>
      <w:r w:rsidR="08F4084B">
        <w:t xml:space="preserve">, který </w:t>
      </w:r>
      <w:r w:rsidR="08DB742A">
        <w:t xml:space="preserve">v </w:t>
      </w:r>
      <w:r w:rsidR="08375EB6">
        <w:t xml:space="preserve">současné </w:t>
      </w:r>
      <w:r w:rsidR="08DB742A">
        <w:t xml:space="preserve">nihilistické verzi této metafyziky </w:t>
      </w:r>
      <w:r w:rsidR="08F4084B">
        <w:t xml:space="preserve">nahradily digitální databáze v modu </w:t>
      </w:r>
      <w:r w:rsidR="08F4084B">
        <w:rPr>
          <w:i/>
        </w:rPr>
        <w:t xml:space="preserve">cloud </w:t>
      </w:r>
      <w:r w:rsidR="08F4084B" w:rsidRPr="08F4084B">
        <w:rPr>
          <w:i/>
        </w:rPr>
        <w:t>computing</w:t>
      </w:r>
      <w:r w:rsidR="08F4084B">
        <w:rPr>
          <w:i/>
        </w:rPr>
        <w:fldChar w:fldCharType="begin"/>
      </w:r>
      <w:r w:rsidR="08F4084B">
        <w:instrText xml:space="preserve"> XE "</w:instrText>
      </w:r>
      <w:r w:rsidR="08F4084B" w:rsidRPr="00621429">
        <w:rPr>
          <w:i/>
        </w:rPr>
        <w:instrText>cloud computing</w:instrText>
      </w:r>
      <w:r w:rsidR="08F4084B">
        <w:instrText xml:space="preserve">" </w:instrText>
      </w:r>
      <w:r w:rsidR="08F4084B">
        <w:rPr>
          <w:i/>
        </w:rPr>
        <w:fldChar w:fldCharType="end"/>
      </w:r>
      <w:r w:rsidR="08F4084B">
        <w:t xml:space="preserve">. </w:t>
      </w:r>
      <w:r w:rsidR="08FE4EAB">
        <w:t xml:space="preserve">Neexistující duše světa je </w:t>
      </w:r>
      <w:r w:rsidR="08EF03FB">
        <w:t xml:space="preserve">nyní </w:t>
      </w:r>
      <w:r w:rsidR="08FE4EAB">
        <w:t xml:space="preserve">zahalena objektivním oblakem planetárního </w:t>
      </w:r>
      <w:r w:rsidR="08C913EA">
        <w:t xml:space="preserve">digitálního </w:t>
      </w:r>
      <w:r w:rsidR="08FE4EAB">
        <w:t>vědění</w:t>
      </w:r>
      <w:r w:rsidR="0836299B">
        <w:t xml:space="preserve"> hlídaných </w:t>
      </w:r>
      <w:r w:rsidR="008824FD">
        <w:t xml:space="preserve">nihilistickým </w:t>
      </w:r>
      <w:r w:rsidR="0836299B">
        <w:t>subjektem</w:t>
      </w:r>
      <w:r w:rsidR="08EF03FB">
        <w:t>. T</w:t>
      </w:r>
      <w:r w:rsidR="08965677">
        <w:t xml:space="preserve">outo doketistickou kopulací </w:t>
      </w:r>
      <w:r w:rsidR="08E8468A">
        <w:t xml:space="preserve">dvou jsoucen třetího druhu </w:t>
      </w:r>
      <w:r w:rsidR="089F7304">
        <w:t xml:space="preserve">daných subjektivně a objektivně </w:t>
      </w:r>
      <w:r w:rsidR="08965677">
        <w:t>vznikl</w:t>
      </w:r>
      <w:r w:rsidR="08316228">
        <w:t>o</w:t>
      </w:r>
      <w:r w:rsidR="08965677">
        <w:t xml:space="preserve"> </w:t>
      </w:r>
      <w:r w:rsidR="08316228">
        <w:t>globálně uctívané</w:t>
      </w:r>
      <w:r w:rsidR="08E8468A">
        <w:t xml:space="preserve"> </w:t>
      </w:r>
      <w:r w:rsidR="08974CAA" w:rsidRPr="08974CAA">
        <w:rPr>
          <w:i/>
        </w:rPr>
        <w:t>corpus mysticum</w:t>
      </w:r>
      <w:r w:rsidR="08974CAA">
        <w:t xml:space="preserve"> </w:t>
      </w:r>
      <w:r w:rsidR="08965677">
        <w:t>dnešní vědy</w:t>
      </w:r>
      <w:r w:rsidR="08FE4EAB">
        <w:t xml:space="preserve">. </w:t>
      </w:r>
      <w:r w:rsidR="08F4084B">
        <w:t>P</w:t>
      </w:r>
      <w:r w:rsidR="00496481">
        <w:t xml:space="preserve">ořadí </w:t>
      </w:r>
      <w:r w:rsidR="081B597B">
        <w:t xml:space="preserve">predikované </w:t>
      </w:r>
      <w:r w:rsidR="00496481">
        <w:t xml:space="preserve">ipseity je </w:t>
      </w:r>
      <w:r w:rsidR="08094946">
        <w:t xml:space="preserve">v moderně </w:t>
      </w:r>
      <w:r w:rsidR="00496481">
        <w:t xml:space="preserve">přesně opačné než v prvním averroismu, kde </w:t>
      </w:r>
      <w:r w:rsidR="081B597B">
        <w:t xml:space="preserve">tuto </w:t>
      </w:r>
      <w:r w:rsidR="00496481">
        <w:t>ipseitu nese první substance</w:t>
      </w:r>
      <w:r w:rsidR="081B597B">
        <w:t xml:space="preserve"> poznaná nejprve smysly</w:t>
      </w:r>
      <w:r w:rsidR="00496481">
        <w:t xml:space="preserve">. </w:t>
      </w:r>
      <w:r w:rsidR="00CF3512" w:rsidRPr="00273106">
        <w:t xml:space="preserve">Rufusova moderní verze </w:t>
      </w:r>
      <w:r w:rsidR="00CF3512" w:rsidRPr="00273106">
        <w:rPr>
          <w:i/>
        </w:rPr>
        <w:t>Oxfordian Fallacy</w:t>
      </w:r>
      <w:r w:rsidR="00924399">
        <w:rPr>
          <w:i/>
        </w:rPr>
        <w:fldChar w:fldCharType="begin"/>
      </w:r>
      <w:r w:rsidR="00924399">
        <w:instrText xml:space="preserve"> XE "</w:instrText>
      </w:r>
      <w:r w:rsidR="00924399" w:rsidRPr="0015798D">
        <w:rPr>
          <w:i/>
        </w:rPr>
        <w:instrText>Oxfordian Fallacy:</w:instrText>
      </w:r>
      <w:r w:rsidR="0043378E" w:rsidRPr="0043378E">
        <w:instrText>Rufus</w:instrText>
      </w:r>
      <w:r w:rsidR="00924399">
        <w:instrText xml:space="preserve">" </w:instrText>
      </w:r>
      <w:r w:rsidR="00924399">
        <w:rPr>
          <w:i/>
        </w:rPr>
        <w:fldChar w:fldCharType="end"/>
      </w:r>
      <w:r w:rsidR="00CF3512" w:rsidRPr="00273106">
        <w:t xml:space="preserve"> dala poznání reality </w:t>
      </w:r>
      <w:r w:rsidR="00AC55B0" w:rsidRPr="00273106">
        <w:t xml:space="preserve">epochálně </w:t>
      </w:r>
      <w:r w:rsidR="00F7233B" w:rsidRPr="00273106">
        <w:t>nový</w:t>
      </w:r>
      <w:r w:rsidR="00AC55B0" w:rsidRPr="00273106">
        <w:t xml:space="preserve"> s</w:t>
      </w:r>
      <w:r w:rsidR="08F6642A">
        <w:t>měr náhledu na smysl jsoucna (</w:t>
      </w:r>
      <w:r w:rsidR="08F6642A">
        <w:rPr>
          <w:i/>
        </w:rPr>
        <w:t>Vor</w:t>
      </w:r>
      <w:r w:rsidR="08F6642A">
        <w:rPr>
          <w:i/>
        </w:rPr>
        <w:noBreakHyphen/>
      </w:r>
      <w:r w:rsidR="08F6642A" w:rsidRPr="08F6642A">
        <w:rPr>
          <w:i/>
        </w:rPr>
        <w:t>blickbahn</w:t>
      </w:r>
      <w:r w:rsidR="08F6642A">
        <w:rPr>
          <w:i/>
        </w:rPr>
        <w:fldChar w:fldCharType="begin"/>
      </w:r>
      <w:r w:rsidR="08F6642A">
        <w:instrText xml:space="preserve"> XE "</w:instrText>
      </w:r>
      <w:r w:rsidR="08106DC9">
        <w:rPr>
          <w:i/>
        </w:rPr>
        <w:instrText>Vor-</w:instrText>
      </w:r>
      <w:r w:rsidR="08F6642A" w:rsidRPr="088D5B3C">
        <w:rPr>
          <w:i/>
        </w:rPr>
        <w:instrText>blickbahn:</w:instrText>
      </w:r>
      <w:r w:rsidR="08F6642A" w:rsidRPr="08106DC9">
        <w:instrText>Rufus</w:instrText>
      </w:r>
      <w:r w:rsidR="08F6642A">
        <w:instrText xml:space="preserve">" </w:instrText>
      </w:r>
      <w:r w:rsidR="08F6642A">
        <w:rPr>
          <w:i/>
        </w:rPr>
        <w:fldChar w:fldCharType="end"/>
      </w:r>
      <w:r w:rsidR="08F6642A">
        <w:t>)</w:t>
      </w:r>
      <w:r w:rsidR="00DF6523" w:rsidRPr="00273106">
        <w:t xml:space="preserve">. </w:t>
      </w:r>
      <w:r w:rsidR="08B33519">
        <w:t xml:space="preserve">Moderní sluneční mýtus nahradil dráhu reálného slunce na obloze. Metafyzická nutnost úplně zmizela z moderní analytické vědy. Tragicky </w:t>
      </w:r>
      <w:r w:rsidR="082D01DA">
        <w:t xml:space="preserve">existující </w:t>
      </w:r>
      <w:r w:rsidR="08B33519">
        <w:t xml:space="preserve">iluminát má klíče Díké ve vlastní kapse a může si chodit po celku jsoucen představených Fúriemi, jak chce a kam chce. </w:t>
      </w:r>
      <w:r w:rsidR="00406D62">
        <w:t xml:space="preserve">Tento typ modernisty historicky poprvé popsali </w:t>
      </w:r>
      <w:r w:rsidR="000020D6">
        <w:t xml:space="preserve">poslední </w:t>
      </w:r>
      <w:r w:rsidR="00406D62">
        <w:t xml:space="preserve">autoři řecké tragédie. Hlavní postavy byly ve shodě s Baconem podané jako šílenci, kteří skončili tragicky. </w:t>
      </w:r>
      <w:r w:rsidR="00DF6523" w:rsidRPr="00273106">
        <w:t>E</w:t>
      </w:r>
      <w:r w:rsidR="00F7233B" w:rsidRPr="00273106">
        <w:t xml:space="preserve">mpirický </w:t>
      </w:r>
      <w:r w:rsidR="00D573EB">
        <w:t xml:space="preserve">činitel </w:t>
      </w:r>
      <w:r w:rsidR="00DF6523" w:rsidRPr="00273106">
        <w:t>poznání daný skrze hyparchické postavení hylemorfické substance</w:t>
      </w:r>
      <w:r w:rsidR="00A70FA4">
        <w:fldChar w:fldCharType="begin"/>
      </w:r>
      <w:r w:rsidR="00A70FA4">
        <w:instrText xml:space="preserve"> XE "</w:instrText>
      </w:r>
      <w:r w:rsidR="00A70FA4" w:rsidRPr="00DE2A32">
        <w:instrText>substance</w:instrText>
      </w:r>
      <w:r w:rsidR="0043378E">
        <w:instrText>:hylemorfická</w:instrText>
      </w:r>
      <w:r w:rsidR="00A70FA4">
        <w:instrText xml:space="preserve">" </w:instrText>
      </w:r>
      <w:r w:rsidR="00A70FA4">
        <w:fldChar w:fldCharType="end"/>
      </w:r>
      <w:r w:rsidR="00DF6523" w:rsidRPr="00273106">
        <w:t xml:space="preserve"> zmizel </w:t>
      </w:r>
      <w:r w:rsidR="00F7233B" w:rsidRPr="00273106">
        <w:t xml:space="preserve">a je tam pouze předpokládán, stejně jako u </w:t>
      </w:r>
      <w:r w:rsidR="00B413A7" w:rsidRPr="00273106">
        <w:t xml:space="preserve">postmodernisty </w:t>
      </w:r>
      <w:r w:rsidR="00F7233B" w:rsidRPr="00273106">
        <w:t>Descarta</w:t>
      </w:r>
      <w:r w:rsidR="083B1DCA">
        <w:t xml:space="preserve"> a Husserla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F7233B" w:rsidRPr="00273106">
        <w:t>.</w:t>
      </w:r>
      <w:r w:rsidR="00A245AC" w:rsidRPr="00273106">
        <w:t xml:space="preserve"> </w:t>
      </w:r>
      <w:r w:rsidR="00D573EB" w:rsidRPr="00273106">
        <w:t xml:space="preserve">Poznání </w:t>
      </w:r>
      <w:r w:rsidR="08613B81">
        <w:t xml:space="preserve">první </w:t>
      </w:r>
      <w:r w:rsidR="00D573EB" w:rsidRPr="00273106">
        <w:t xml:space="preserve">substance je primárně </w:t>
      </w:r>
      <w:r w:rsidR="08613B81">
        <w:t xml:space="preserve">vědecky </w:t>
      </w:r>
      <w:r w:rsidR="00D573EB" w:rsidRPr="00273106">
        <w:t>dáno esenciálně</w:t>
      </w:r>
      <w:r w:rsidR="005A2E1F">
        <w:t xml:space="preserve"> a </w:t>
      </w:r>
      <w:r w:rsidR="08613B81">
        <w:t xml:space="preserve">to </w:t>
      </w:r>
      <w:r w:rsidR="005A2E1F">
        <w:t xml:space="preserve">skrze mystický či intuitivní náhled </w:t>
      </w:r>
      <w:r w:rsidR="008824FD">
        <w:t xml:space="preserve">reflexe </w:t>
      </w:r>
      <w:r w:rsidR="005A2E1F">
        <w:t xml:space="preserve">(Grossetesteho </w:t>
      </w:r>
      <w:r w:rsidR="005A2E1F" w:rsidRPr="005A2E1F">
        <w:rPr>
          <w:i/>
        </w:rPr>
        <w:t>intellectus</w:t>
      </w:r>
      <w:r w:rsidR="005A2E1F">
        <w:t>)</w:t>
      </w:r>
      <w:r w:rsidR="08613B81">
        <w:t xml:space="preserve">. Slabý intelekt prvních averroistů vědecky </w:t>
      </w:r>
      <w:r w:rsidR="08F268E7">
        <w:t xml:space="preserve">adekvátně </w:t>
      </w:r>
      <w:r w:rsidR="08613B81">
        <w:t xml:space="preserve">poznává svět podle litery </w:t>
      </w:r>
      <w:r w:rsidR="08613B81" w:rsidRPr="08613B81">
        <w:rPr>
          <w:i/>
        </w:rPr>
        <w:t>Druhých analytik</w:t>
      </w:r>
      <w:r w:rsidR="08DF2641">
        <w:t xml:space="preserve">, tedy </w:t>
      </w:r>
      <w:r w:rsidR="00D573EB" w:rsidRPr="00273106">
        <w:t>skrze existenci první substance v reálu.</w:t>
      </w:r>
      <w:r w:rsidR="00D573EB">
        <w:t xml:space="preserve"> </w:t>
      </w:r>
      <w:r w:rsidR="000125E2">
        <w:t>Následující c</w:t>
      </w:r>
      <w:r w:rsidR="00A245AC" w:rsidRPr="00273106">
        <w:t xml:space="preserve">itát </w:t>
      </w:r>
      <w:r w:rsidR="000125E2">
        <w:t xml:space="preserve">z Rufusova výkladu </w:t>
      </w:r>
      <w:r w:rsidR="000125E2" w:rsidRPr="08E758BD">
        <w:rPr>
          <w:i/>
        </w:rPr>
        <w:t>Druhých analytik</w:t>
      </w:r>
      <w:r w:rsidR="000125E2">
        <w:t xml:space="preserve"> </w:t>
      </w:r>
      <w:r w:rsidR="00A245AC" w:rsidRPr="00273106">
        <w:t xml:space="preserve">ukazuje </w:t>
      </w:r>
      <w:r w:rsidR="006D2D9E">
        <w:t xml:space="preserve">vznik </w:t>
      </w:r>
      <w:r w:rsidR="08061DB0">
        <w:t>nového subjektu vědeckého</w:t>
      </w:r>
      <w:r w:rsidR="003556AA">
        <w:fldChar w:fldCharType="begin"/>
      </w:r>
      <w:r w:rsidR="003556AA">
        <w:instrText xml:space="preserve"> XE "</w:instrText>
      </w:r>
      <w:r w:rsidR="003556AA" w:rsidRPr="00492661">
        <w:instrText>objektivita:moderní subjekt</w:instrText>
      </w:r>
      <w:r w:rsidR="003556AA">
        <w:instrText xml:space="preserve">" </w:instrText>
      </w:r>
      <w:r w:rsidR="003556AA">
        <w:fldChar w:fldCharType="end"/>
      </w:r>
      <w:r w:rsidR="08061DB0">
        <w:t xml:space="preserve"> </w:t>
      </w:r>
      <w:r w:rsidR="08F8589B">
        <w:t>poznání</w:t>
      </w:r>
      <w:r w:rsidR="08D57F96">
        <w:t>, kde subjekt analytické výpovědi přestal existoval ve vztahu k hyparchické realitě.</w:t>
      </w:r>
    </w:p>
    <w:p w14:paraId="0627924E" w14:textId="4285C6D7" w:rsidR="007F7A57" w:rsidRPr="00273106" w:rsidRDefault="00D91C17" w:rsidP="005D39F0">
      <w:pPr>
        <w:pStyle w:val="Citace"/>
        <w:rPr>
          <w:noProof/>
          <w:lang w:val="cs-CZ"/>
        </w:rPr>
      </w:pPr>
      <w:r w:rsidRPr="00273106">
        <w:rPr>
          <w:noProof/>
          <w:lang w:val="cs-CZ"/>
        </w:rPr>
        <w:t>„</w:t>
      </w:r>
      <w:r w:rsidR="00AA4F35" w:rsidRPr="00273106">
        <w:rPr>
          <w:noProof/>
          <w:lang w:val="cs-CZ"/>
        </w:rPr>
        <w:t>Subjekt je dán dvěma způsoby, v obecném a ve vlastním smyslu</w:t>
      </w:r>
      <w:r w:rsidR="00FF0467" w:rsidRPr="00273106">
        <w:rPr>
          <w:noProof/>
          <w:lang w:val="cs-CZ"/>
        </w:rPr>
        <w:t xml:space="preserve"> (</w:t>
      </w:r>
      <w:r w:rsidR="00FF0467" w:rsidRPr="00273106">
        <w:rPr>
          <w:i/>
          <w:noProof/>
          <w:lang w:val="cs-CZ"/>
        </w:rPr>
        <w:t>commune vel proprium</w:t>
      </w:r>
      <w:r w:rsidR="00FF0467" w:rsidRPr="00273106">
        <w:rPr>
          <w:noProof/>
          <w:lang w:val="cs-CZ"/>
        </w:rPr>
        <w:t>)</w:t>
      </w:r>
      <w:r w:rsidR="00AA4F35" w:rsidRPr="00273106">
        <w:rPr>
          <w:noProof/>
          <w:lang w:val="cs-CZ"/>
        </w:rPr>
        <w:t xml:space="preserve">. </w:t>
      </w:r>
      <w:r w:rsidR="004A354D" w:rsidRPr="00273106">
        <w:rPr>
          <w:noProof/>
          <w:lang w:val="cs-CZ"/>
        </w:rPr>
        <w:t xml:space="preserve">Existenci </w:t>
      </w:r>
      <w:r w:rsidR="00242451">
        <w:rPr>
          <w:noProof/>
          <w:lang w:val="cs-CZ"/>
        </w:rPr>
        <w:t xml:space="preserve">esenciálně </w:t>
      </w:r>
      <w:r w:rsidR="00AA4F35" w:rsidRPr="00273106">
        <w:rPr>
          <w:noProof/>
          <w:lang w:val="cs-CZ"/>
        </w:rPr>
        <w:t>dan</w:t>
      </w:r>
      <w:r w:rsidR="004A354D" w:rsidRPr="00273106">
        <w:rPr>
          <w:noProof/>
          <w:lang w:val="cs-CZ"/>
        </w:rPr>
        <w:t>ého s</w:t>
      </w:r>
      <w:r w:rsidR="00AA4F35" w:rsidRPr="00273106">
        <w:rPr>
          <w:noProof/>
          <w:lang w:val="cs-CZ"/>
        </w:rPr>
        <w:t>ubjekt</w:t>
      </w:r>
      <w:r w:rsidR="004A354D" w:rsidRPr="00273106">
        <w:rPr>
          <w:noProof/>
          <w:lang w:val="cs-CZ"/>
        </w:rPr>
        <w:t>u</w:t>
      </w:r>
      <w:r w:rsidR="00AA4F35" w:rsidRPr="00273106">
        <w:rPr>
          <w:noProof/>
          <w:lang w:val="cs-CZ"/>
        </w:rPr>
        <w:t xml:space="preserve"> </w:t>
      </w:r>
      <w:r w:rsidR="004A354D" w:rsidRPr="00273106">
        <w:rPr>
          <w:noProof/>
          <w:lang w:val="cs-CZ"/>
        </w:rPr>
        <w:t>(</w:t>
      </w:r>
      <w:r w:rsidR="004A354D" w:rsidRPr="00273106">
        <w:rPr>
          <w:i/>
          <w:noProof/>
          <w:lang w:val="cs-CZ"/>
        </w:rPr>
        <w:t>quid sit</w:t>
      </w:r>
      <w:r w:rsidR="004A354D" w:rsidRPr="00273106">
        <w:rPr>
          <w:noProof/>
          <w:lang w:val="cs-CZ"/>
        </w:rPr>
        <w:t xml:space="preserve">) </w:t>
      </w:r>
      <w:r w:rsidR="00AA4F35" w:rsidRPr="00273106">
        <w:rPr>
          <w:noProof/>
          <w:lang w:val="cs-CZ"/>
        </w:rPr>
        <w:t xml:space="preserve">není nutné </w:t>
      </w:r>
      <w:r w:rsidR="005D39F0" w:rsidRPr="00273106">
        <w:rPr>
          <w:noProof/>
          <w:lang w:val="cs-CZ"/>
        </w:rPr>
        <w:t xml:space="preserve">zkoumat, ani </w:t>
      </w:r>
      <w:r w:rsidR="00AA4F35" w:rsidRPr="00273106">
        <w:rPr>
          <w:noProof/>
          <w:lang w:val="cs-CZ"/>
        </w:rPr>
        <w:t xml:space="preserve">manifestovat skrze nějaké empirické poznání </w:t>
      </w:r>
      <w:r w:rsidR="000C372C">
        <w:rPr>
          <w:noProof/>
          <w:lang w:val="cs-CZ"/>
        </w:rPr>
        <w:t xml:space="preserve">dané vědecky </w:t>
      </w:r>
      <w:r w:rsidR="00AA4F35" w:rsidRPr="00273106">
        <w:rPr>
          <w:noProof/>
          <w:lang w:val="cs-CZ"/>
        </w:rPr>
        <w:t>(</w:t>
      </w:r>
      <w:r w:rsidR="00AA4F35" w:rsidRPr="00273106">
        <w:rPr>
          <w:i/>
          <w:noProof/>
          <w:lang w:val="cs-CZ"/>
        </w:rPr>
        <w:t>in aliqua scientia</w:t>
      </w:r>
      <w:r w:rsidR="004A354D" w:rsidRPr="00273106">
        <w:rPr>
          <w:noProof/>
          <w:lang w:val="cs-CZ"/>
        </w:rPr>
        <w:t>)</w:t>
      </w:r>
      <w:r w:rsidR="00AA4F35" w:rsidRPr="00273106">
        <w:rPr>
          <w:noProof/>
          <w:lang w:val="cs-CZ"/>
        </w:rPr>
        <w:t xml:space="preserve">. </w:t>
      </w:r>
      <w:r w:rsidR="008E33E1">
        <w:rPr>
          <w:noProof/>
          <w:lang w:val="cs-CZ"/>
        </w:rPr>
        <w:t>Tento důkaz musí s</w:t>
      </w:r>
      <w:r w:rsidR="00C94FBD" w:rsidRPr="00273106">
        <w:rPr>
          <w:noProof/>
          <w:lang w:val="cs-CZ"/>
        </w:rPr>
        <w:t xml:space="preserve">ubjekt </w:t>
      </w:r>
      <w:r w:rsidR="008E33E1">
        <w:rPr>
          <w:noProof/>
          <w:lang w:val="cs-CZ"/>
        </w:rPr>
        <w:t xml:space="preserve">nahlédnout </w:t>
      </w:r>
      <w:r w:rsidR="08A255D9">
        <w:rPr>
          <w:noProof/>
          <w:lang w:val="cs-CZ"/>
        </w:rPr>
        <w:t xml:space="preserve">ve vlastním slova smyslu </w:t>
      </w:r>
      <w:r w:rsidR="009257F0">
        <w:rPr>
          <w:noProof/>
          <w:lang w:val="cs-CZ"/>
        </w:rPr>
        <w:t>(</w:t>
      </w:r>
      <w:r w:rsidR="009257F0" w:rsidRPr="009257F0">
        <w:rPr>
          <w:i/>
        </w:rPr>
        <w:t>de proprio ostenditur</w:t>
      </w:r>
      <w:r w:rsidR="009257F0">
        <w:rPr>
          <w:noProof/>
          <w:lang w:val="cs-CZ"/>
        </w:rPr>
        <w:t>)</w:t>
      </w:r>
      <w:r w:rsidR="00C94FBD" w:rsidRPr="00273106">
        <w:rPr>
          <w:noProof/>
          <w:lang w:val="cs-CZ"/>
        </w:rPr>
        <w:t xml:space="preserve">. </w:t>
      </w:r>
      <w:r w:rsidR="00C24F4D">
        <w:rPr>
          <w:noProof/>
          <w:lang w:val="cs-CZ"/>
        </w:rPr>
        <w:t xml:space="preserve">V </w:t>
      </w:r>
      <w:r w:rsidR="00C94FBD" w:rsidRPr="00273106">
        <w:rPr>
          <w:noProof/>
          <w:lang w:val="cs-CZ"/>
        </w:rPr>
        <w:t xml:space="preserve">takto daném subjektu není jeho </w:t>
      </w:r>
      <w:r w:rsidR="089D38C7">
        <w:rPr>
          <w:noProof/>
          <w:lang w:val="cs-CZ"/>
        </w:rPr>
        <w:t xml:space="preserve">obecné </w:t>
      </w:r>
      <w:r w:rsidR="00C94FBD" w:rsidRPr="00273106">
        <w:rPr>
          <w:noProof/>
          <w:lang w:val="cs-CZ"/>
        </w:rPr>
        <w:t xml:space="preserve">bytí </w:t>
      </w:r>
      <w:r w:rsidR="008614FB">
        <w:rPr>
          <w:noProof/>
          <w:lang w:val="cs-CZ"/>
        </w:rPr>
        <w:t xml:space="preserve">dáno jako první náhled jeho bytí </w:t>
      </w:r>
      <w:r w:rsidR="00C94FBD" w:rsidRPr="00273106">
        <w:rPr>
          <w:noProof/>
          <w:lang w:val="cs-CZ"/>
        </w:rPr>
        <w:t>(</w:t>
      </w:r>
      <w:r w:rsidR="08CA648A" w:rsidRPr="08CA648A">
        <w:rPr>
          <w:i/>
        </w:rPr>
        <w:t>non est subiectum in illa ostensione in qua ostenditur esse</w:t>
      </w:r>
      <w:r w:rsidR="00C94FBD" w:rsidRPr="00273106">
        <w:rPr>
          <w:noProof/>
          <w:lang w:val="cs-CZ"/>
        </w:rPr>
        <w:t xml:space="preserve">), ani není </w:t>
      </w:r>
      <w:r w:rsidR="0067193B">
        <w:rPr>
          <w:noProof/>
          <w:lang w:val="cs-CZ"/>
        </w:rPr>
        <w:t xml:space="preserve">manifestováno </w:t>
      </w:r>
      <w:r w:rsidR="00D87DD9">
        <w:rPr>
          <w:noProof/>
          <w:lang w:val="cs-CZ"/>
        </w:rPr>
        <w:t xml:space="preserve">z </w:t>
      </w:r>
      <w:r w:rsidR="0067193B">
        <w:rPr>
          <w:noProof/>
          <w:lang w:val="cs-CZ"/>
        </w:rPr>
        <w:t>prvních p</w:t>
      </w:r>
      <w:r w:rsidR="00D87DD9">
        <w:rPr>
          <w:noProof/>
          <w:lang w:val="cs-CZ"/>
        </w:rPr>
        <w:t xml:space="preserve">rincipů </w:t>
      </w:r>
      <w:r w:rsidR="00C94FBD" w:rsidRPr="00273106">
        <w:rPr>
          <w:noProof/>
          <w:lang w:val="cs-CZ"/>
        </w:rPr>
        <w:t>poznání</w:t>
      </w:r>
      <w:r w:rsidR="00E3035C" w:rsidRPr="00273106">
        <w:rPr>
          <w:noProof/>
          <w:lang w:val="cs-CZ"/>
        </w:rPr>
        <w:t xml:space="preserve"> (</w:t>
      </w:r>
      <w:r w:rsidR="00E3035C" w:rsidRPr="00273106">
        <w:rPr>
          <w:i/>
          <w:noProof/>
          <w:lang w:val="cs-CZ"/>
        </w:rPr>
        <w:t>neque ostenditur esse ex principali</w:t>
      </w:r>
      <w:r w:rsidR="00E3035C" w:rsidRPr="00273106">
        <w:rPr>
          <w:noProof/>
          <w:lang w:val="cs-CZ"/>
        </w:rPr>
        <w:t>)</w:t>
      </w:r>
      <w:r w:rsidR="00C94FBD" w:rsidRPr="00273106">
        <w:rPr>
          <w:noProof/>
          <w:lang w:val="cs-CZ"/>
        </w:rPr>
        <w:t>, ale pouze ze závěrů v demonstrativním soudu (</w:t>
      </w:r>
      <w:r w:rsidR="00C94FBD" w:rsidRPr="00273106">
        <w:rPr>
          <w:i/>
          <w:noProof/>
          <w:lang w:val="cs-CZ"/>
        </w:rPr>
        <w:t>sed ex consequenti</w:t>
      </w:r>
      <w:r w:rsidR="00C94FBD" w:rsidRPr="00273106">
        <w:rPr>
          <w:noProof/>
          <w:lang w:val="cs-CZ"/>
        </w:rPr>
        <w:t xml:space="preserve">). Pak platí, že </w:t>
      </w:r>
      <w:r w:rsidR="004A354D" w:rsidRPr="00273106">
        <w:rPr>
          <w:noProof/>
          <w:lang w:val="cs-CZ"/>
        </w:rPr>
        <w:t xml:space="preserve">takto dané </w:t>
      </w:r>
      <w:r w:rsidR="004D5239">
        <w:rPr>
          <w:noProof/>
          <w:lang w:val="cs-CZ"/>
        </w:rPr>
        <w:t xml:space="preserve">esenciální </w:t>
      </w:r>
      <w:r w:rsidR="00C94FBD" w:rsidRPr="00273106">
        <w:rPr>
          <w:noProof/>
          <w:lang w:val="cs-CZ"/>
        </w:rPr>
        <w:t xml:space="preserve">bytí subjektu </w:t>
      </w:r>
      <w:r w:rsidR="00C248BC" w:rsidRPr="00273106">
        <w:rPr>
          <w:noProof/>
          <w:lang w:val="cs-CZ"/>
        </w:rPr>
        <w:t>(</w:t>
      </w:r>
      <w:r w:rsidR="00C248BC" w:rsidRPr="00273106">
        <w:rPr>
          <w:i/>
          <w:noProof/>
          <w:lang w:val="cs-CZ"/>
        </w:rPr>
        <w:t>ubi est subiectum</w:t>
      </w:r>
      <w:r w:rsidR="00C248BC" w:rsidRPr="00273106">
        <w:rPr>
          <w:noProof/>
          <w:lang w:val="cs-CZ"/>
        </w:rPr>
        <w:t xml:space="preserve">) </w:t>
      </w:r>
      <w:r w:rsidR="00C94FBD" w:rsidRPr="00273106">
        <w:rPr>
          <w:noProof/>
          <w:lang w:val="cs-CZ"/>
        </w:rPr>
        <w:t>není manifestováno</w:t>
      </w:r>
      <w:r w:rsidR="004D5239">
        <w:rPr>
          <w:noProof/>
          <w:lang w:val="cs-CZ"/>
        </w:rPr>
        <w:t xml:space="preserve"> </w:t>
      </w:r>
      <w:r w:rsidR="00DD5F39">
        <w:rPr>
          <w:noProof/>
          <w:lang w:val="cs-CZ"/>
        </w:rPr>
        <w:t>skrze empirickou impozici</w:t>
      </w:r>
      <w:r w:rsidR="00C94FBD" w:rsidRPr="00273106">
        <w:rPr>
          <w:noProof/>
          <w:lang w:val="cs-CZ"/>
        </w:rPr>
        <w:t xml:space="preserve">, ale </w:t>
      </w:r>
      <w:r w:rsidR="00214930">
        <w:rPr>
          <w:noProof/>
          <w:lang w:val="cs-CZ"/>
        </w:rPr>
        <w:t xml:space="preserve">skrze </w:t>
      </w:r>
      <w:r w:rsidR="004D5239">
        <w:rPr>
          <w:noProof/>
          <w:lang w:val="cs-CZ"/>
        </w:rPr>
        <w:t>intutivní supo</w:t>
      </w:r>
      <w:r w:rsidR="00214930">
        <w:rPr>
          <w:noProof/>
          <w:lang w:val="cs-CZ"/>
        </w:rPr>
        <w:t>zici</w:t>
      </w:r>
      <w:r w:rsidR="004D5239">
        <w:rPr>
          <w:noProof/>
          <w:lang w:val="cs-CZ"/>
        </w:rPr>
        <w:t xml:space="preserve"> </w:t>
      </w:r>
      <w:r w:rsidR="006D7B20" w:rsidRPr="00273106">
        <w:rPr>
          <w:noProof/>
          <w:lang w:val="cs-CZ"/>
        </w:rPr>
        <w:t>(</w:t>
      </w:r>
      <w:r w:rsidR="006D7B20" w:rsidRPr="00273106">
        <w:rPr>
          <w:i/>
          <w:noProof/>
          <w:lang w:val="cs-CZ"/>
        </w:rPr>
        <w:t>non ostenditur, sed supponitur</w:t>
      </w:r>
      <w:r w:rsidR="006D7B20" w:rsidRPr="00273106">
        <w:rPr>
          <w:noProof/>
          <w:lang w:val="cs-CZ"/>
        </w:rPr>
        <w:t>)</w:t>
      </w:r>
      <w:r w:rsidR="00C94FBD" w:rsidRPr="00273106">
        <w:rPr>
          <w:noProof/>
          <w:lang w:val="cs-CZ"/>
        </w:rPr>
        <w:t>.</w:t>
      </w:r>
      <w:r w:rsidR="004A354D" w:rsidRPr="00273106">
        <w:rPr>
          <w:noProof/>
          <w:lang w:val="cs-CZ"/>
        </w:rPr>
        <w:t>“</w:t>
      </w:r>
      <w:r w:rsidR="005D39F0" w:rsidRPr="00273106">
        <w:rPr>
          <w:noProof/>
          <w:lang w:val="cs-CZ"/>
        </w:rPr>
        <w:t xml:space="preserve"> </w:t>
      </w:r>
      <w:r w:rsidR="007F7A57" w:rsidRPr="00273106">
        <w:rPr>
          <w:rStyle w:val="Znakapoznpodarou"/>
          <w:noProof/>
          <w:lang w:val="cs-CZ"/>
        </w:rPr>
        <w:footnoteReference w:id="392"/>
      </w:r>
    </w:p>
    <w:p w14:paraId="37246E56" w14:textId="31CDC9BC" w:rsidR="000A1105" w:rsidRDefault="009E7C8A" w:rsidP="00D91C17">
      <w:r>
        <w:t>Citát aristotelsky konstatuje</w:t>
      </w:r>
      <w:r w:rsidR="00C24F4D">
        <w:t xml:space="preserve">, že zkoumat podle </w:t>
      </w:r>
      <w:r w:rsidR="00C24F4D" w:rsidRPr="009E7C8A">
        <w:rPr>
          <w:i/>
        </w:rPr>
        <w:t>Druhých analytik</w:t>
      </w:r>
      <w:r w:rsidR="00C24F4D">
        <w:t xml:space="preserve"> lze pouze tu věc, která existuje reálně (</w:t>
      </w:r>
      <w:r w:rsidR="00C24F4D" w:rsidRPr="00C24F4D">
        <w:rPr>
          <w:i/>
        </w:rPr>
        <w:t>de proprio</w:t>
      </w:r>
      <w:r w:rsidR="00C24F4D">
        <w:t>), a ne pouze esenciálně (</w:t>
      </w:r>
      <w:r w:rsidR="00C24F4D" w:rsidRPr="00C24F4D">
        <w:rPr>
          <w:i/>
        </w:rPr>
        <w:t>de communi</w:t>
      </w:r>
      <w:r w:rsidR="00C24F4D">
        <w:t>). Reálná v</w:t>
      </w:r>
      <w:r w:rsidR="00D91C17" w:rsidRPr="00273106">
        <w:t xml:space="preserve">ěc </w:t>
      </w:r>
      <w:r w:rsidR="00C24F4D">
        <w:t xml:space="preserve">ale </w:t>
      </w:r>
      <w:r w:rsidR="00D91C17" w:rsidRPr="00273106">
        <w:t xml:space="preserve">není </w:t>
      </w:r>
      <w:r w:rsidR="08DC32FB" w:rsidRPr="00273106">
        <w:t>zkoumána v primárním vztahu k</w:t>
      </w:r>
      <w:r w:rsidR="08CF3666" w:rsidRPr="00273106">
        <w:t xml:space="preserve"> </w:t>
      </w:r>
      <w:r w:rsidR="08DC32FB" w:rsidRPr="00273106">
        <w:t xml:space="preserve">její </w:t>
      </w:r>
      <w:r w:rsidR="086448C6">
        <w:t xml:space="preserve">fenomenální </w:t>
      </w:r>
      <w:r w:rsidR="08CF3666" w:rsidRPr="00273106">
        <w:t>realitě</w:t>
      </w:r>
      <w:r w:rsidR="00262758" w:rsidRPr="00273106">
        <w:t xml:space="preserve"> (</w:t>
      </w:r>
      <w:r w:rsidR="00262758" w:rsidRPr="00273106">
        <w:rPr>
          <w:i/>
        </w:rPr>
        <w:t>non</w:t>
      </w:r>
      <w:r w:rsidR="00262758" w:rsidRPr="00273106">
        <w:t xml:space="preserve"> </w:t>
      </w:r>
      <w:r w:rsidR="00262758" w:rsidRPr="00273106">
        <w:rPr>
          <w:i/>
        </w:rPr>
        <w:t>est subiectum in illa ostensione</w:t>
      </w:r>
      <w:r w:rsidR="00262758" w:rsidRPr="00273106">
        <w:t>)</w:t>
      </w:r>
      <w:r w:rsidR="00A70F2A">
        <w:t xml:space="preserve"> dané jako</w:t>
      </w:r>
      <w:r w:rsidR="08DC32FB" w:rsidRPr="00273106">
        <w:t xml:space="preserve"> </w:t>
      </w:r>
      <w:r w:rsidR="00A70F2A">
        <w:t>přímá manifestace</w:t>
      </w:r>
      <w:r w:rsidR="08CF3666" w:rsidRPr="00273106">
        <w:t xml:space="preserve"> aktuálního bytí věci</w:t>
      </w:r>
      <w:r w:rsidR="00262758" w:rsidRPr="00273106">
        <w:t xml:space="preserve"> (</w:t>
      </w:r>
      <w:r w:rsidR="00262758" w:rsidRPr="00273106">
        <w:rPr>
          <w:i/>
        </w:rPr>
        <w:t>in qua ostenditur esse</w:t>
      </w:r>
      <w:r w:rsidR="00262758" w:rsidRPr="00273106">
        <w:t>)</w:t>
      </w:r>
      <w:r w:rsidR="08CF3666" w:rsidRPr="00273106">
        <w:t xml:space="preserve">. </w:t>
      </w:r>
      <w:r w:rsidR="089F441C">
        <w:t xml:space="preserve">Opět je to pravda podle </w:t>
      </w:r>
      <w:r w:rsidR="089F441C" w:rsidRPr="089F441C">
        <w:rPr>
          <w:i/>
        </w:rPr>
        <w:t>Druhých analytik</w:t>
      </w:r>
      <w:r w:rsidR="08F03E55">
        <w:t xml:space="preserve"> jen napůl. U</w:t>
      </w:r>
      <w:r w:rsidR="08000A1F">
        <w:t xml:space="preserve">niverzální </w:t>
      </w:r>
      <w:r w:rsidR="089F441C">
        <w:t>metafyzická predikace ne</w:t>
      </w:r>
      <w:r w:rsidR="08000A1F">
        <w:t>obsahuje hyparchické bytí reáln</w:t>
      </w:r>
      <w:r w:rsidR="089F441C">
        <w:t>é věci</w:t>
      </w:r>
      <w:r w:rsidR="084B1BF5">
        <w:t>, ale adekvátně je vyjadřuje</w:t>
      </w:r>
      <w:r w:rsidR="089F441C">
        <w:t xml:space="preserve">. </w:t>
      </w:r>
      <w:r w:rsidR="00A70F2A">
        <w:t xml:space="preserve">Rufuse </w:t>
      </w:r>
      <w:r w:rsidR="086448C6">
        <w:t xml:space="preserve">ostentativně </w:t>
      </w:r>
      <w:r w:rsidR="00A70F2A">
        <w:t>nezajímá kauzalita první substance, která determinuje poznání</w:t>
      </w:r>
      <w:r w:rsidR="084034C0" w:rsidRPr="084034C0">
        <w:t xml:space="preserve"> </w:t>
      </w:r>
      <w:r w:rsidR="084034C0">
        <w:t>v originále spisu</w:t>
      </w:r>
      <w:r w:rsidR="00A70F2A">
        <w:t xml:space="preserve">. </w:t>
      </w:r>
      <w:r w:rsidR="08515E5F">
        <w:t xml:space="preserve">Impozici </w:t>
      </w:r>
      <w:r w:rsidR="08515E5F" w:rsidRPr="00273106">
        <w:t xml:space="preserve">deduktivního soudu netvoří první substance poznávaná v rámci univoční predikace vztažené ke druhé substanci. </w:t>
      </w:r>
      <w:r w:rsidR="08515E5F">
        <w:t>Zdrojem poznání není manifestace reálné věci, ale její logická supozice (</w:t>
      </w:r>
      <w:r w:rsidR="08515E5F" w:rsidRPr="00A70F2A">
        <w:rPr>
          <w:i/>
        </w:rPr>
        <w:t>ubi est subiectum, non ostenditur, sed supponitur</w:t>
      </w:r>
      <w:r w:rsidR="08515E5F">
        <w:t xml:space="preserve">). </w:t>
      </w:r>
      <w:r w:rsidR="082D56B0">
        <w:t>Tato supozice</w:t>
      </w:r>
      <w:r w:rsidR="082D56B0">
        <w:fldChar w:fldCharType="begin"/>
      </w:r>
      <w:r w:rsidR="082D56B0">
        <w:instrText xml:space="preserve"> XE "</w:instrText>
      </w:r>
      <w:r w:rsidR="082D56B0" w:rsidRPr="00473421">
        <w:instrText>supozice:Rufus</w:instrText>
      </w:r>
      <w:r w:rsidR="082D56B0">
        <w:instrText xml:space="preserve">" </w:instrText>
      </w:r>
      <w:r w:rsidR="082D56B0">
        <w:fldChar w:fldCharType="end"/>
      </w:r>
      <w:r w:rsidR="082D56B0">
        <w:t xml:space="preserve"> platí pro </w:t>
      </w:r>
      <w:r w:rsidR="082D56B0" w:rsidRPr="00273106">
        <w:t>esenciálně dan</w:t>
      </w:r>
      <w:r w:rsidR="082D56B0">
        <w:t xml:space="preserve">ý </w:t>
      </w:r>
      <w:r w:rsidR="082D56B0" w:rsidRPr="00273106">
        <w:t>význam</w:t>
      </w:r>
      <w:r w:rsidR="082D56B0">
        <w:t xml:space="preserve"> a</w:t>
      </w:r>
      <w:r w:rsidR="082D56B0" w:rsidRPr="00273106">
        <w:t xml:space="preserve"> zakládá nepochybně jistý subjekt výpovědi daný na úrovni analytické dedukce z čistých exemplarů a esencí. Základní supozicí, čili zdrojem významu, se stala </w:t>
      </w:r>
      <w:r w:rsidR="082D56B0">
        <w:t>kartezi</w:t>
      </w:r>
      <w:r w:rsidR="082D56B0" w:rsidRPr="00273106">
        <w:t>ánská jistota osvíceného intelektu v jeho hypostázované aktualitě, a nikoliv jednoduchá reálná danost aktuální první substance</w:t>
      </w:r>
      <w:r w:rsidR="082D56B0">
        <w:t xml:space="preserve"> existující mimo poznávající subjekt</w:t>
      </w:r>
      <w:r w:rsidR="082D56B0" w:rsidRPr="00273106">
        <w:t>.</w:t>
      </w:r>
      <w:r w:rsidR="082D56B0">
        <w:t xml:space="preserve"> </w:t>
      </w:r>
      <w:r w:rsidR="089D7DA9">
        <w:t xml:space="preserve">Konsekvence vědecké dedukce ohledně kontigentní reality je daná skrze univerzální hylemorfismus katabází vyšší formy do nižší materie </w:t>
      </w:r>
      <w:r w:rsidR="089D7DA9" w:rsidRPr="00273106">
        <w:t>(</w:t>
      </w:r>
      <w:r w:rsidR="089D7DA9" w:rsidRPr="00273106">
        <w:rPr>
          <w:i/>
        </w:rPr>
        <w:t>neque ostenditur esse ex principali, sed ex consequenti</w:t>
      </w:r>
      <w:r w:rsidR="089D7DA9" w:rsidRPr="00273106">
        <w:t>)</w:t>
      </w:r>
      <w:r w:rsidR="089D7DA9">
        <w:t xml:space="preserve">. </w:t>
      </w:r>
      <w:r w:rsidR="08771F71">
        <w:t xml:space="preserve">Tím vznikla </w:t>
      </w:r>
      <w:r w:rsidR="08410124">
        <w:t xml:space="preserve">moderní </w:t>
      </w:r>
      <w:r w:rsidR="08771F71">
        <w:t>scientologie přírodních věd</w:t>
      </w:r>
      <w:r w:rsidR="08CA648A">
        <w:t xml:space="preserve">. Metodologie </w:t>
      </w:r>
      <w:r w:rsidR="00585F20">
        <w:t>podobné „</w:t>
      </w:r>
      <w:r w:rsidR="08771F71" w:rsidRPr="08771F71">
        <w:rPr>
          <w:i/>
        </w:rPr>
        <w:t>Unified Science</w:t>
      </w:r>
      <w:r w:rsidR="00585F20">
        <w:t>“</w:t>
      </w:r>
      <w:r w:rsidR="08771F71">
        <w:rPr>
          <w:i/>
        </w:rPr>
        <w:fldChar w:fldCharType="begin"/>
      </w:r>
      <w:r w:rsidR="08771F71">
        <w:instrText xml:space="preserve"> XE "</w:instrText>
      </w:r>
      <w:r w:rsidR="08771F71" w:rsidRPr="08A855BD">
        <w:rPr>
          <w:i/>
        </w:rPr>
        <w:instrText>Unified Science</w:instrText>
      </w:r>
      <w:r w:rsidR="08771F71">
        <w:instrText xml:space="preserve">" </w:instrText>
      </w:r>
      <w:r w:rsidR="08771F71">
        <w:rPr>
          <w:i/>
        </w:rPr>
        <w:fldChar w:fldCharType="end"/>
      </w:r>
      <w:r w:rsidR="08257770">
        <w:t xml:space="preserve"> </w:t>
      </w:r>
      <w:r w:rsidR="08CA648A">
        <w:t>je daná</w:t>
      </w:r>
      <w:r w:rsidR="08FD3C07">
        <w:t xml:space="preserve"> jako </w:t>
      </w:r>
      <w:r w:rsidR="08CA648A">
        <w:t>analytická</w:t>
      </w:r>
      <w:r w:rsidR="087E3AB9">
        <w:t xml:space="preserve"> dedukce</w:t>
      </w:r>
      <w:r w:rsidR="084C27F3">
        <w:t xml:space="preserve"> podle toletánského aristotelismu. Rufus převedl do výkladu vědeckého důkazu </w:t>
      </w:r>
      <w:r w:rsidR="084C27F3" w:rsidRPr="080E5B37">
        <w:rPr>
          <w:i/>
        </w:rPr>
        <w:t>Druhých analytik</w:t>
      </w:r>
      <w:r w:rsidR="084C27F3">
        <w:t xml:space="preserve"> původní formu </w:t>
      </w:r>
      <w:r w:rsidR="08257770">
        <w:t xml:space="preserve">onto-teo-logicky </w:t>
      </w:r>
      <w:r w:rsidR="084C27F3">
        <w:t xml:space="preserve">dané </w:t>
      </w:r>
      <w:r w:rsidR="082D738E">
        <w:t xml:space="preserve">neoplatonské </w:t>
      </w:r>
      <w:r w:rsidR="084C27F3">
        <w:t xml:space="preserve">dedukce vytvořené </w:t>
      </w:r>
      <w:r w:rsidR="084C27F3" w:rsidRPr="084C27F3">
        <w:rPr>
          <w:i/>
        </w:rPr>
        <w:t>modo geometrico</w:t>
      </w:r>
      <w:r w:rsidR="08EC4B66">
        <w:rPr>
          <w:rStyle w:val="TextpoznpodarouChar"/>
          <w:i/>
        </w:rPr>
        <w:fldChar w:fldCharType="begin"/>
      </w:r>
      <w:r w:rsidR="08EC4B66">
        <w:instrText xml:space="preserve"> XE "</w:instrText>
      </w:r>
      <w:r w:rsidR="08EC4B66" w:rsidRPr="082B59F7">
        <w:rPr>
          <w:rStyle w:val="TextpoznpodarouChar"/>
          <w:i/>
        </w:rPr>
        <w:instrText>modo geometrico</w:instrText>
      </w:r>
      <w:r w:rsidR="08EC4B66">
        <w:instrText xml:space="preserve">" </w:instrText>
      </w:r>
      <w:r w:rsidR="08EC4B66">
        <w:rPr>
          <w:rStyle w:val="TextpoznpodarouChar"/>
          <w:i/>
        </w:rPr>
        <w:fldChar w:fldCharType="end"/>
      </w:r>
      <w:r w:rsidR="084C27F3">
        <w:t xml:space="preserve"> </w:t>
      </w:r>
      <w:r w:rsidR="08257770">
        <w:t xml:space="preserve">v </w:t>
      </w:r>
      <w:r w:rsidR="082D738E">
        <w:t xml:space="preserve">díle </w:t>
      </w:r>
      <w:r w:rsidR="08257770" w:rsidRPr="08257770">
        <w:rPr>
          <w:i/>
        </w:rPr>
        <w:t>Liber de causis</w:t>
      </w:r>
      <w:r w:rsidR="08061DB0">
        <w:t xml:space="preserve">. </w:t>
      </w:r>
      <w:r w:rsidR="00307912" w:rsidRPr="00307912">
        <w:t>Božstva Chaosu se stala mocnostmi matematicko-</w:t>
      </w:r>
      <w:r w:rsidR="00307912">
        <w:t>analytické myšlení</w:t>
      </w:r>
      <w:r w:rsidR="00307912" w:rsidRPr="00307912">
        <w:t xml:space="preserve">; </w:t>
      </w:r>
      <w:r w:rsidR="00307912">
        <w:t>takto vzdělané Fúrie připravily</w:t>
      </w:r>
      <w:r w:rsidR="00307912" w:rsidRPr="00307912">
        <w:t xml:space="preserve"> první karteziánské motivy pro císařovy nové šaty, které navrhl Rufus.</w:t>
      </w:r>
      <w:r w:rsidR="00307912">
        <w:t xml:space="preserve"> </w:t>
      </w:r>
      <w:r w:rsidR="086448C6" w:rsidRPr="00273106">
        <w:t>Univerzálně poznaná „ex</w:t>
      </w:r>
      <w:r w:rsidR="086448C6">
        <w:t>sistence“ individua je založena na vyšší subsistentní formě schopné vyvést (</w:t>
      </w:r>
      <w:r w:rsidR="086448C6" w:rsidRPr="004209B9">
        <w:rPr>
          <w:i/>
        </w:rPr>
        <w:t>deducere</w:t>
      </w:r>
      <w:r w:rsidR="086448C6">
        <w:t xml:space="preserve">) </w:t>
      </w:r>
      <w:r w:rsidR="086448C6" w:rsidRPr="00273106">
        <w:t>poznání z vyšší formy</w:t>
      </w:r>
      <w:r w:rsidR="086448C6">
        <w:t xml:space="preserve"> </w:t>
      </w:r>
      <w:r w:rsidR="086448C6" w:rsidRPr="00273106">
        <w:t>do nižší formy</w:t>
      </w:r>
      <w:r w:rsidR="086448C6">
        <w:t xml:space="preserve">. Analyticky čili deduktivně pojatá existence třetího druhu je dána podle Rufusovy verze </w:t>
      </w:r>
      <w:r w:rsidR="086448C6" w:rsidRPr="00E90CC8">
        <w:rPr>
          <w:i/>
        </w:rPr>
        <w:t>Oxfordian Fallacy</w:t>
      </w:r>
      <w:r w:rsidR="086448C6">
        <w:t>, v níž je důležitá jen druhá triáda princip</w:t>
      </w:r>
      <w:r w:rsidR="08C0104D">
        <w:t>ů řídících logické závěry soudu, která určuje predikaci první triády</w:t>
      </w:r>
      <w:r w:rsidR="086448C6" w:rsidRPr="00273106">
        <w:t>.</w:t>
      </w:r>
      <w:r w:rsidR="086448C6">
        <w:t xml:space="preserve"> </w:t>
      </w:r>
      <w:r w:rsidR="08515E5F">
        <w:t xml:space="preserve">Opět </w:t>
      </w:r>
      <w:r w:rsidR="086448C6">
        <w:t xml:space="preserve">je vidět základní omyl logické a nominalistické predikace </w:t>
      </w:r>
      <w:r w:rsidR="0064119C">
        <w:t>zvané „</w:t>
      </w:r>
      <w:r w:rsidR="086448C6" w:rsidRPr="008E1F3B">
        <w:rPr>
          <w:i/>
        </w:rPr>
        <w:t>in artificialibus</w:t>
      </w:r>
      <w:r w:rsidR="0064119C">
        <w:t>“, která je postavena</w:t>
      </w:r>
      <w:r w:rsidR="086448C6">
        <w:t xml:space="preserve"> mimo metafyzickou abstrakci. </w:t>
      </w:r>
      <w:r w:rsidR="088A196B">
        <w:t xml:space="preserve">Myšlení netvoří reálnou věc, to </w:t>
      </w:r>
      <w:r w:rsidR="081666C5">
        <w:t xml:space="preserve">může </w:t>
      </w:r>
      <w:r w:rsidR="088A196B">
        <w:t xml:space="preserve">jen bůh. </w:t>
      </w:r>
      <w:r w:rsidR="00D91C17" w:rsidRPr="00273106">
        <w:t>Poznání věci reálně existující mimo smysly je vědecky odvoditelné ze souboru akcidentálních či esenciálních vlastností reflek</w:t>
      </w:r>
      <w:r w:rsidR="088C6467" w:rsidRPr="00273106">
        <w:t>tovaných v </w:t>
      </w:r>
      <w:r w:rsidR="00146DDC" w:rsidRPr="00273106">
        <w:t xml:space="preserve">porretánské verzi </w:t>
      </w:r>
      <w:r w:rsidR="08D32178">
        <w:t xml:space="preserve">vědeckého </w:t>
      </w:r>
      <w:r w:rsidR="088C6467" w:rsidRPr="00273106">
        <w:t>soudu</w:t>
      </w:r>
      <w:r w:rsidR="084D752E">
        <w:t xml:space="preserve">. Jako supozitum vystupuje </w:t>
      </w:r>
      <w:r w:rsidR="08F719CD">
        <w:t xml:space="preserve">u Rufuse </w:t>
      </w:r>
      <w:r w:rsidR="084D752E">
        <w:t>jednotlivina</w:t>
      </w:r>
      <w:r w:rsidR="00146DDC" w:rsidRPr="00273106">
        <w:t xml:space="preserve"> </w:t>
      </w:r>
      <w:r w:rsidR="00AB56EB">
        <w:t xml:space="preserve">třetího druhu </w:t>
      </w:r>
      <w:r w:rsidR="00886725" w:rsidRPr="00273106">
        <w:t>(</w:t>
      </w:r>
      <w:r w:rsidR="00146DDC" w:rsidRPr="00273106">
        <w:rPr>
          <w:i/>
        </w:rPr>
        <w:t>individuum</w:t>
      </w:r>
      <w:r w:rsidR="00886725" w:rsidRPr="00273106">
        <w:t>)</w:t>
      </w:r>
      <w:r w:rsidR="084D752E">
        <w:t>, kterou zajišťuje existence poznávajícího a ne reálné věci</w:t>
      </w:r>
      <w:r w:rsidR="088B57C2">
        <w:t xml:space="preserve"> (</w:t>
      </w:r>
      <w:r w:rsidR="088B57C2" w:rsidRPr="088B57C2">
        <w:rPr>
          <w:i/>
        </w:rPr>
        <w:t>suppositio formalis</w:t>
      </w:r>
      <w:r w:rsidR="088B57C2">
        <w:rPr>
          <w:i/>
        </w:rPr>
        <w:fldChar w:fldCharType="begin"/>
      </w:r>
      <w:r w:rsidR="088B57C2">
        <w:instrText xml:space="preserve"> XE "</w:instrText>
      </w:r>
      <w:r w:rsidR="088B57C2" w:rsidRPr="08873F61">
        <w:rPr>
          <w:i/>
        </w:rPr>
        <w:instrText>suppositio formalis</w:instrText>
      </w:r>
      <w:r w:rsidR="088B57C2">
        <w:instrText xml:space="preserve">" </w:instrText>
      </w:r>
      <w:r w:rsidR="088B57C2">
        <w:rPr>
          <w:i/>
        </w:rPr>
        <w:fldChar w:fldCharType="end"/>
      </w:r>
      <w:r w:rsidR="088B57C2">
        <w:t>)</w:t>
      </w:r>
      <w:r w:rsidR="00D91C17" w:rsidRPr="00273106">
        <w:t xml:space="preserve">. </w:t>
      </w:r>
      <w:r w:rsidR="007538C4" w:rsidRPr="00273106">
        <w:t xml:space="preserve">Citát ukazuje novou supozici </w:t>
      </w:r>
      <w:r w:rsidR="007F4769" w:rsidRPr="00273106">
        <w:t xml:space="preserve">vzhledem k </w:t>
      </w:r>
      <w:r w:rsidR="00DE4456" w:rsidRPr="00273106">
        <w:t xml:space="preserve">abstraktnímu </w:t>
      </w:r>
      <w:r w:rsidR="007F4769" w:rsidRPr="00273106">
        <w:t xml:space="preserve">individuu, jehož esence je dána v </w:t>
      </w:r>
      <w:r w:rsidR="00ED4690" w:rsidRPr="00273106">
        <w:t>přímé</w:t>
      </w:r>
      <w:r w:rsidR="007F4769" w:rsidRPr="00273106">
        <w:t>m</w:t>
      </w:r>
      <w:r w:rsidR="00ED4690" w:rsidRPr="00273106">
        <w:t xml:space="preserve"> náhledu </w:t>
      </w:r>
      <w:r w:rsidR="007F4769" w:rsidRPr="00273106">
        <w:t>hypostázované</w:t>
      </w:r>
      <w:r w:rsidR="00DE4456" w:rsidRPr="00273106">
        <w:t xml:space="preserve"> univerzálie dané v rámci substanční definice</w:t>
      </w:r>
      <w:r w:rsidR="00D91C17" w:rsidRPr="00273106">
        <w:t>.</w:t>
      </w:r>
      <w:r w:rsidR="0020605C" w:rsidRPr="00273106">
        <w:rPr>
          <w:rStyle w:val="Znakapoznpodarou"/>
        </w:rPr>
        <w:footnoteReference w:id="393"/>
      </w:r>
      <w:r w:rsidR="00D91C17" w:rsidRPr="00273106">
        <w:t xml:space="preserve"> </w:t>
      </w:r>
      <w:r w:rsidR="003B269A">
        <w:t xml:space="preserve">Supozice moderny je dána tím, že subjekt poznání přímo nazírá </w:t>
      </w:r>
      <w:r w:rsidR="087C3D7A">
        <w:t xml:space="preserve">nominální esenci, který tvoří principální zdroj </w:t>
      </w:r>
      <w:r w:rsidR="003B269A">
        <w:t>„exsistence“</w:t>
      </w:r>
      <w:r w:rsidR="08C373E4">
        <w:t xml:space="preserve"> </w:t>
      </w:r>
      <w:r w:rsidR="08EE44FA">
        <w:t xml:space="preserve">supozičně kladené </w:t>
      </w:r>
      <w:r w:rsidR="08C373E4">
        <w:t>věci</w:t>
      </w:r>
      <w:r w:rsidR="087C3D7A">
        <w:t xml:space="preserve"> (</w:t>
      </w:r>
      <w:r w:rsidR="087C3D7A" w:rsidRPr="087C3D7A">
        <w:rPr>
          <w:i/>
        </w:rPr>
        <w:t>principia subiecti et facta ex genere et differentia illius subiecti</w:t>
      </w:r>
      <w:r w:rsidR="087C3D7A">
        <w:t>)</w:t>
      </w:r>
      <w:r w:rsidR="003B269A">
        <w:t xml:space="preserve">. </w:t>
      </w:r>
      <w:r w:rsidR="00CD1FDA" w:rsidRPr="00CD1FDA">
        <w:t>Rufus vytvořil novou verzi Ge-Stell</w:t>
      </w:r>
      <w:r w:rsidR="00CD1FDA">
        <w:fldChar w:fldCharType="begin"/>
      </w:r>
      <w:r w:rsidR="00CD1FDA">
        <w:instrText xml:space="preserve"> XE "</w:instrText>
      </w:r>
      <w:r w:rsidR="00CD1FDA" w:rsidRPr="00BA4FFA">
        <w:instrText>Ge-Stell</w:instrText>
      </w:r>
      <w:r w:rsidR="00CD1FDA">
        <w:instrText xml:space="preserve">" </w:instrText>
      </w:r>
      <w:r w:rsidR="00CD1FDA">
        <w:fldChar w:fldCharType="end"/>
      </w:r>
      <w:r w:rsidR="00CD1FDA" w:rsidRPr="00CD1FDA">
        <w:t xml:space="preserve"> (OBJ I, kap. 1.2), k</w:t>
      </w:r>
      <w:r w:rsidR="00CD1FDA">
        <w:t xml:space="preserve">terá již nese všechny nihilistické rysy </w:t>
      </w:r>
      <w:r w:rsidR="00CD1FDA" w:rsidRPr="00CD1FDA">
        <w:t xml:space="preserve">pozdějšího </w:t>
      </w:r>
      <w:r w:rsidR="00CD1FDA" w:rsidRPr="00CD1FDA">
        <w:rPr>
          <w:i/>
        </w:rPr>
        <w:t>dativus obiectivus</w:t>
      </w:r>
      <w:r w:rsidR="00CD1FDA">
        <w:rPr>
          <w:i/>
        </w:rPr>
        <w:fldChar w:fldCharType="begin"/>
      </w:r>
      <w:r w:rsidR="00CD1FDA">
        <w:instrText xml:space="preserve"> XE "</w:instrText>
      </w:r>
      <w:r w:rsidR="00CD1FDA" w:rsidRPr="006425CA">
        <w:rPr>
          <w:i/>
        </w:rPr>
        <w:instrText>dativus obiectivus</w:instrText>
      </w:r>
      <w:r w:rsidR="00CD1FDA">
        <w:instrText xml:space="preserve">" </w:instrText>
      </w:r>
      <w:r w:rsidR="00CD1FDA">
        <w:rPr>
          <w:i/>
        </w:rPr>
        <w:fldChar w:fldCharType="end"/>
      </w:r>
      <w:r w:rsidR="00CD1FDA" w:rsidRPr="00CD1FDA">
        <w:t xml:space="preserve"> (OBJ III, kap. 4).</w:t>
      </w:r>
      <w:r w:rsidR="00CD1FDA">
        <w:t xml:space="preserve"> Subjekt si přisunuje jím vytvořená jsoucna třetího druhu. </w:t>
      </w:r>
      <w:r w:rsidR="003B269A">
        <w:t>Pak není třeba impozice z proměnlivé reality, protože místo poznávající abstrakce nastoupila logická dedukce</w:t>
      </w:r>
      <w:r w:rsidR="08EE44FA">
        <w:t xml:space="preserve"> </w:t>
      </w:r>
      <w:r w:rsidR="083A5469">
        <w:t xml:space="preserve">esencí daných </w:t>
      </w:r>
      <w:r w:rsidR="08EE44FA">
        <w:t>v modu univerzální supozice</w:t>
      </w:r>
      <w:r w:rsidR="003B269A">
        <w:t xml:space="preserve">. </w:t>
      </w:r>
      <w:r w:rsidR="00ED4690" w:rsidRPr="00273106">
        <w:t xml:space="preserve">Učení oxfordští ilumináti založili </w:t>
      </w:r>
      <w:r w:rsidR="00CE4954">
        <w:t xml:space="preserve">první </w:t>
      </w:r>
      <w:r w:rsidR="00ED4690" w:rsidRPr="00273106">
        <w:t>subjekt-objektovou</w:t>
      </w:r>
      <w:r w:rsidR="00D91C17" w:rsidRPr="00273106">
        <w:t xml:space="preserve"> </w:t>
      </w:r>
      <w:r w:rsidR="00AD5B74" w:rsidRPr="00273106">
        <w:t>strukturu poznání danou čistě antropocentricky</w:t>
      </w:r>
      <w:r w:rsidR="08D767B0">
        <w:t xml:space="preserve"> a mytopoeticky</w:t>
      </w:r>
      <w:r w:rsidR="087929D5">
        <w:fldChar w:fldCharType="begin"/>
      </w:r>
      <w:r w:rsidR="087929D5">
        <w:instrText xml:space="preserve"> XE "</w:instrText>
      </w:r>
      <w:r w:rsidR="087929D5" w:rsidRPr="08AC7D21">
        <w:instrText>mytopoesis</w:instrText>
      </w:r>
      <w:r w:rsidR="087929D5">
        <w:instrText xml:space="preserve">" </w:instrText>
      </w:r>
      <w:r w:rsidR="087929D5">
        <w:fldChar w:fldCharType="end"/>
      </w:r>
      <w:r w:rsidR="00D91C17" w:rsidRPr="00273106">
        <w:t xml:space="preserve">. Člověk </w:t>
      </w:r>
      <w:r w:rsidR="00E10088">
        <w:t xml:space="preserve">se stal </w:t>
      </w:r>
      <w:r w:rsidR="002E3471">
        <w:t>základem (</w:t>
      </w:r>
      <w:r w:rsidR="00D91C17" w:rsidRPr="00273106">
        <w:rPr>
          <w:i/>
        </w:rPr>
        <w:t>subiectum</w:t>
      </w:r>
      <w:r w:rsidR="002E3471">
        <w:t>)</w:t>
      </w:r>
      <w:r w:rsidR="00D91C17" w:rsidRPr="00273106">
        <w:rPr>
          <w:i/>
        </w:rPr>
        <w:t xml:space="preserve"> </w:t>
      </w:r>
      <w:r w:rsidR="002E3471" w:rsidRPr="002E3471">
        <w:t xml:space="preserve">světa </w:t>
      </w:r>
      <w:r w:rsidR="00133CEE">
        <w:t xml:space="preserve">tím, že poznává </w:t>
      </w:r>
      <w:r w:rsidR="002E3471">
        <w:t xml:space="preserve">nejprve a především ideální </w:t>
      </w:r>
      <w:r w:rsidR="00E10088">
        <w:t>esence</w:t>
      </w:r>
      <w:r w:rsidR="08D767B0">
        <w:t xml:space="preserve"> a do</w:t>
      </w:r>
      <w:r w:rsidR="007D7419">
        <w:t>d</w:t>
      </w:r>
      <w:r w:rsidR="08D767B0">
        <w:t xml:space="preserve">atečně </w:t>
      </w:r>
      <w:r w:rsidR="002E3471">
        <w:t xml:space="preserve">dokládá </w:t>
      </w:r>
      <w:r w:rsidR="00E10088">
        <w:t>jejich</w:t>
      </w:r>
      <w:r w:rsidR="08D767B0">
        <w:t xml:space="preserve"> </w:t>
      </w:r>
      <w:r w:rsidR="002E3471">
        <w:t xml:space="preserve">reálnou </w:t>
      </w:r>
      <w:r w:rsidR="08D767B0">
        <w:t>existenci</w:t>
      </w:r>
      <w:r w:rsidR="00B5322C">
        <w:t>. Kauzalita prvních substancí</w:t>
      </w:r>
      <w:r w:rsidR="00B5322C" w:rsidRPr="00273106">
        <w:t xml:space="preserve"> </w:t>
      </w:r>
      <w:r w:rsidR="00D91C17" w:rsidRPr="00273106">
        <w:t xml:space="preserve">ztratila status </w:t>
      </w:r>
      <w:r w:rsidR="00133CEE">
        <w:t xml:space="preserve">subjektu </w:t>
      </w:r>
      <w:r w:rsidR="00B4582F">
        <w:t>vědecké</w:t>
      </w:r>
      <w:r w:rsidR="00133CEE">
        <w:t>ho</w:t>
      </w:r>
      <w:r w:rsidR="00B4582F">
        <w:t xml:space="preserve"> poznání</w:t>
      </w:r>
      <w:r w:rsidR="00B5322C">
        <w:t>, kterým působila skrze střední člen vědeckého deduktivního soudu</w:t>
      </w:r>
      <w:r w:rsidR="0050506E">
        <w:rPr>
          <w:i/>
        </w:rPr>
        <w:fldChar w:fldCharType="begin"/>
      </w:r>
      <w:r w:rsidR="0050506E">
        <w:instrText xml:space="preserve"> XE "osoba:druhý averroismus" </w:instrText>
      </w:r>
      <w:r w:rsidR="0050506E">
        <w:rPr>
          <w:i/>
        </w:rPr>
        <w:fldChar w:fldCharType="end"/>
      </w:r>
      <w:r w:rsidR="00B4582F">
        <w:t xml:space="preserve">. </w:t>
      </w:r>
      <w:r w:rsidR="00133CEE">
        <w:t xml:space="preserve">Subjektem se stává člověk sám a jeho habituální schopnost poznání, viz </w:t>
      </w:r>
      <w:r w:rsidR="00875418">
        <w:t xml:space="preserve">Rufusovy </w:t>
      </w:r>
      <w:r w:rsidR="00133CEE">
        <w:t xml:space="preserve">citáty vyložené výše. </w:t>
      </w:r>
      <w:r w:rsidR="00875418">
        <w:t xml:space="preserve">Moderní pojetí vědy u Rufuse dostalo </w:t>
      </w:r>
      <w:r w:rsidR="08ED0DA0">
        <w:t xml:space="preserve">dějině určenou </w:t>
      </w:r>
      <w:r w:rsidR="00875418">
        <w:t>fakticitu</w:t>
      </w:r>
      <w:r w:rsidR="084D752E">
        <w:t xml:space="preserve">, protože esence a její nazírání je dáno do adekvace skrze </w:t>
      </w:r>
      <w:r w:rsidR="08791025">
        <w:t xml:space="preserve">subjektivní </w:t>
      </w:r>
      <w:r w:rsidR="084D752E" w:rsidRPr="0089243B">
        <w:rPr>
          <w:i/>
        </w:rPr>
        <w:t>factum</w:t>
      </w:r>
      <w:r w:rsidR="084D752E">
        <w:t xml:space="preserve"> přímého následu. </w:t>
      </w:r>
      <w:r w:rsidR="00F13A14" w:rsidRPr="00273106">
        <w:t xml:space="preserve">Identita </w:t>
      </w:r>
      <w:r w:rsidR="00E538B0">
        <w:t xml:space="preserve">faktů v mysli a objektivní reality </w:t>
      </w:r>
      <w:r w:rsidR="00F13A14" w:rsidRPr="00273106">
        <w:t>je dána tím,</w:t>
      </w:r>
      <w:r w:rsidR="00D91C17" w:rsidRPr="00273106">
        <w:t xml:space="preserve"> že jedno a totéž </w:t>
      </w:r>
      <w:r w:rsidR="00D91C17" w:rsidRPr="00D8456D">
        <w:t>suppositum</w:t>
      </w:r>
      <w:r w:rsidR="00D91C17" w:rsidRPr="00273106">
        <w:t xml:space="preserve"> </w:t>
      </w:r>
      <w:r w:rsidR="00EF307D" w:rsidRPr="00273106">
        <w:t xml:space="preserve">existuje </w:t>
      </w:r>
      <w:r w:rsidR="00521958">
        <w:t xml:space="preserve">univočně </w:t>
      </w:r>
      <w:r w:rsidR="00EF307D" w:rsidRPr="00273106">
        <w:t xml:space="preserve">jak </w:t>
      </w:r>
      <w:r w:rsidR="00D91C17" w:rsidRPr="00273106">
        <w:t>v mysli</w:t>
      </w:r>
      <w:r w:rsidR="00EF307D" w:rsidRPr="00273106">
        <w:t xml:space="preserve">, tak </w:t>
      </w:r>
      <w:r w:rsidR="00D91C17" w:rsidRPr="00273106">
        <w:t>v realitě (</w:t>
      </w:r>
      <w:r w:rsidR="084F46E3" w:rsidRPr="084F46E3">
        <w:rPr>
          <w:i/>
        </w:rPr>
        <w:t>subiectum non ostenditur, sed supponitur</w:t>
      </w:r>
      <w:r w:rsidR="00D91C17" w:rsidRPr="00273106">
        <w:t>)</w:t>
      </w:r>
      <w:r w:rsidR="00EF307D" w:rsidRPr="00273106">
        <w:t xml:space="preserve">. </w:t>
      </w:r>
      <w:r w:rsidR="00D8456D" w:rsidRPr="00D8456D">
        <w:t xml:space="preserve">Proto Kant potřebuje apriorně dané kategorie jako čisté pojmy </w:t>
      </w:r>
      <w:r w:rsidR="00D8456D">
        <w:t xml:space="preserve">rozumu </w:t>
      </w:r>
      <w:r w:rsidR="00D8456D" w:rsidRPr="00D8456D">
        <w:t xml:space="preserve">a jednotu </w:t>
      </w:r>
      <w:r w:rsidR="00450D9D">
        <w:t xml:space="preserve">transcendentální </w:t>
      </w:r>
      <w:r w:rsidR="00D8456D" w:rsidRPr="00D8456D">
        <w:t xml:space="preserve">apercepce </w:t>
      </w:r>
      <w:r w:rsidR="00D8456D">
        <w:t>(</w:t>
      </w:r>
      <w:r w:rsidR="00D8456D" w:rsidRPr="00D8456D">
        <w:rPr>
          <w:i/>
        </w:rPr>
        <w:t>das „Ich denke“</w:t>
      </w:r>
      <w:r w:rsidR="00D8456D">
        <w:t xml:space="preserve">) </w:t>
      </w:r>
      <w:r w:rsidR="00D8456D" w:rsidRPr="00D8456D">
        <w:t xml:space="preserve">jako dva </w:t>
      </w:r>
      <w:r w:rsidR="00D8456D">
        <w:t>apriori d</w:t>
      </w:r>
      <w:r w:rsidR="00D8456D" w:rsidRPr="00D8456D">
        <w:t>ané subjektivní základy objektivity.</w:t>
      </w:r>
      <w:r w:rsidR="00D8456D">
        <w:rPr>
          <w:rStyle w:val="Znakapoznpodarou"/>
          <w:szCs w:val="24"/>
        </w:rPr>
        <w:footnoteReference w:id="394"/>
      </w:r>
      <w:r w:rsidR="00D8456D" w:rsidRPr="00D8456D">
        <w:t xml:space="preserve"> Jako </w:t>
      </w:r>
      <w:r w:rsidR="00D8456D" w:rsidRPr="00D8456D">
        <w:rPr>
          <w:i/>
        </w:rPr>
        <w:t>tertium ens</w:t>
      </w:r>
      <w:r w:rsidR="00D8456D">
        <w:t xml:space="preserve"> vnějšího světa existuje</w:t>
      </w:r>
      <w:r w:rsidR="00D8456D" w:rsidRPr="00D8456D">
        <w:t xml:space="preserve"> čas a prostor jako čisté apriorní formy všech </w:t>
      </w:r>
      <w:r w:rsidR="00E10D8F">
        <w:t xml:space="preserve">potenciálních </w:t>
      </w:r>
      <w:r w:rsidR="00D8456D" w:rsidRPr="00D8456D">
        <w:t>apercepcí. V návaznosti na Rufusův přístup Kant stanovi</w:t>
      </w:r>
      <w:r w:rsidR="00D8456D">
        <w:t>l apriorně danou úroveň vztahu „</w:t>
      </w:r>
      <w:r w:rsidR="00D8456D" w:rsidRPr="00D8456D">
        <w:t>s</w:t>
      </w:r>
      <w:r w:rsidR="00D8456D">
        <w:t>ubjekt–objekt“</w:t>
      </w:r>
      <w:r w:rsidR="00D8456D" w:rsidRPr="00D8456D">
        <w:t>, která nevyžaduje vědecký důkaz.</w:t>
      </w:r>
      <w:r w:rsidR="00F96C81">
        <w:t xml:space="preserve"> </w:t>
      </w:r>
      <w:r w:rsidR="08493ADD">
        <w:t>A</w:t>
      </w:r>
      <w:r w:rsidR="08493ADD" w:rsidRPr="00273106">
        <w:t xml:space="preserve">utonomní subjekt </w:t>
      </w:r>
      <w:r w:rsidR="08493ADD" w:rsidRPr="00273106">
        <w:rPr>
          <w:i/>
        </w:rPr>
        <w:t>Modernorum</w:t>
      </w:r>
      <w:r w:rsidR="08493ADD" w:rsidRPr="00273106">
        <w:t xml:space="preserve"> zahrne poznání vlastního produktu myšlení (</w:t>
      </w:r>
      <w:r w:rsidR="08493ADD" w:rsidRPr="00273106">
        <w:rPr>
          <w:i/>
        </w:rPr>
        <w:t>factum</w:t>
      </w:r>
      <w:r w:rsidR="08493ADD" w:rsidRPr="00273106">
        <w:t xml:space="preserve">) do metafyzické jistoty první vědy dané přímým nazíráním prvních principů. </w:t>
      </w:r>
      <w:r w:rsidR="08704213" w:rsidRPr="00273106">
        <w:t xml:space="preserve">Moderní </w:t>
      </w:r>
      <w:r w:rsidR="005E5C2E" w:rsidRPr="00273106">
        <w:t xml:space="preserve">fakticita </w:t>
      </w:r>
      <w:r w:rsidR="08704213" w:rsidRPr="00273106">
        <w:t>již nezná ro</w:t>
      </w:r>
      <w:r w:rsidR="00880A2B" w:rsidRPr="00273106">
        <w:t xml:space="preserve">zdíl </w:t>
      </w:r>
      <w:r w:rsidR="005E5C2E" w:rsidRPr="00273106">
        <w:t xml:space="preserve">mezi </w:t>
      </w:r>
      <w:r w:rsidR="00880A2B" w:rsidRPr="00273106">
        <w:t>svými výplody a realitou</w:t>
      </w:r>
      <w:r w:rsidR="00E86741">
        <w:t xml:space="preserve"> </w:t>
      </w:r>
      <w:r w:rsidR="00101FAE">
        <w:t xml:space="preserve">daný odlišným postavením impozice a supozice podle citované pasáže </w:t>
      </w:r>
      <w:r w:rsidR="00101FAE" w:rsidRPr="00AA24FE">
        <w:rPr>
          <w:i/>
        </w:rPr>
        <w:t>Kategorií</w:t>
      </w:r>
      <w:r w:rsidR="00BA3590" w:rsidRPr="00273106">
        <w:t xml:space="preserve">. </w:t>
      </w:r>
      <w:r w:rsidR="003216D1">
        <w:t xml:space="preserve">Analytický výklad </w:t>
      </w:r>
      <w:r w:rsidR="003216D1" w:rsidRPr="00AA24FE">
        <w:rPr>
          <w:i/>
        </w:rPr>
        <w:t>Druhých analytik</w:t>
      </w:r>
      <w:r w:rsidR="003216D1">
        <w:t xml:space="preserve"> v modu završené </w:t>
      </w:r>
      <w:r w:rsidR="003216D1" w:rsidRPr="009E0554">
        <w:rPr>
          <w:i/>
        </w:rPr>
        <w:t>Oxfordian Fallacy</w:t>
      </w:r>
      <w:r w:rsidR="003216D1">
        <w:t xml:space="preserve"> </w:t>
      </w:r>
      <w:r w:rsidR="003216D1" w:rsidRPr="00273106">
        <w:t xml:space="preserve">otočil pohled na realitu a determinuje substanci z pozice hyparchické esence, nikoliv z pozice aktuální první substance. </w:t>
      </w:r>
      <w:r w:rsidR="001816D1" w:rsidRPr="00273106">
        <w:t xml:space="preserve">V  klíčovém obratu moderny </w:t>
      </w:r>
      <w:r w:rsidR="08A008F6">
        <w:t xml:space="preserve">k mytopoetickému </w:t>
      </w:r>
      <w:r w:rsidR="08A008F6" w:rsidRPr="08A008F6">
        <w:rPr>
          <w:i/>
        </w:rPr>
        <w:t>factum</w:t>
      </w:r>
      <w:r w:rsidR="08A008F6">
        <w:t xml:space="preserve"> </w:t>
      </w:r>
      <w:r w:rsidR="001816D1" w:rsidRPr="00273106">
        <w:t>se samotná existence reálné vě</w:t>
      </w:r>
      <w:r w:rsidR="00A70F2A">
        <w:t>ci stává jsoucnem třetího druhu</w:t>
      </w:r>
      <w:r w:rsidR="001816D1" w:rsidRPr="00273106">
        <w:t xml:space="preserve">. </w:t>
      </w:r>
      <w:r w:rsidR="00D91C17" w:rsidRPr="00273106">
        <w:t xml:space="preserve">Toto </w:t>
      </w:r>
      <w:r w:rsidR="086C11B9" w:rsidRPr="00273106">
        <w:t xml:space="preserve">odkryté </w:t>
      </w:r>
      <w:r w:rsidR="00D91C17" w:rsidRPr="00273106">
        <w:rPr>
          <w:i/>
        </w:rPr>
        <w:t>factum</w:t>
      </w:r>
      <w:r w:rsidR="001435E0">
        <w:rPr>
          <w:i/>
        </w:rPr>
        <w:fldChar w:fldCharType="begin"/>
      </w:r>
      <w:r w:rsidR="001435E0">
        <w:instrText xml:space="preserve"> XE "</w:instrText>
      </w:r>
      <w:r w:rsidR="001435E0" w:rsidRPr="0012277B">
        <w:rPr>
          <w:i/>
        </w:rPr>
        <w:instrText>factum</w:instrText>
      </w:r>
      <w:r w:rsidR="001435E0">
        <w:instrText xml:space="preserve">" </w:instrText>
      </w:r>
      <w:r w:rsidR="001435E0">
        <w:rPr>
          <w:i/>
        </w:rPr>
        <w:fldChar w:fldCharType="end"/>
      </w:r>
      <w:r w:rsidR="00D91C17" w:rsidRPr="00273106">
        <w:t xml:space="preserve"> moderního subjektu</w:t>
      </w:r>
      <w:r w:rsidR="00587868">
        <w:t xml:space="preserve"> </w:t>
      </w:r>
      <w:r w:rsidR="00AA24FE">
        <w:t xml:space="preserve">v modu </w:t>
      </w:r>
      <w:r w:rsidR="00E86741">
        <w:rPr>
          <w:i/>
        </w:rPr>
        <w:t>a</w:t>
      </w:r>
      <w:r w:rsidR="00587868" w:rsidRPr="00587868">
        <w:rPr>
          <w:i/>
        </w:rPr>
        <w:t>léth</w:t>
      </w:r>
      <w:r w:rsidR="007720CC">
        <w:rPr>
          <w:i/>
        </w:rPr>
        <w:t>e</w:t>
      </w:r>
      <w:r w:rsidR="00587868" w:rsidRPr="00587868">
        <w:rPr>
          <w:i/>
        </w:rPr>
        <w:t>ia</w:t>
      </w:r>
      <w:r w:rsidR="00D91C17" w:rsidRPr="00273106">
        <w:t xml:space="preserve"> se stane </w:t>
      </w:r>
      <w:r w:rsidR="00E86741">
        <w:t xml:space="preserve">historickou </w:t>
      </w:r>
      <w:r w:rsidR="00D91C17" w:rsidRPr="00273106">
        <w:t xml:space="preserve">odkrytostí, čili objektivně </w:t>
      </w:r>
      <w:r w:rsidR="00637D7B" w:rsidRPr="00273106">
        <w:t>danou pravdou</w:t>
      </w:r>
      <w:r w:rsidR="00DF355F" w:rsidRPr="00273106">
        <w:t xml:space="preserve"> Západu. </w:t>
      </w:r>
      <w:r w:rsidR="0019071A" w:rsidRPr="00273106">
        <w:t xml:space="preserve">Rufusův postup poznání otevírající </w:t>
      </w:r>
      <w:r w:rsidR="002655EC">
        <w:t xml:space="preserve">historickou etapu zvanou </w:t>
      </w:r>
      <w:r w:rsidR="0019071A"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19071A" w:rsidRPr="00273106">
        <w:t xml:space="preserve"> označil Bacon za šílený (</w:t>
      </w:r>
      <w:r w:rsidR="0019071A" w:rsidRPr="00273106">
        <w:rPr>
          <w:i/>
        </w:rPr>
        <w:t xml:space="preserve">apud </w:t>
      </w:r>
      <w:r w:rsidR="0019071A" w:rsidRPr="00273106">
        <w:rPr>
          <w:i/>
          <w:szCs w:val="14"/>
        </w:rPr>
        <w:t xml:space="preserve">sapientes </w:t>
      </w:r>
      <w:r w:rsidR="0019071A" w:rsidRPr="00273106">
        <w:rPr>
          <w:i/>
          <w:szCs w:val="12"/>
        </w:rPr>
        <w:t xml:space="preserve">fuit </w:t>
      </w:r>
      <w:r w:rsidR="0019071A" w:rsidRPr="00273106">
        <w:rPr>
          <w:i/>
          <w:szCs w:val="14"/>
        </w:rPr>
        <w:t>insanus</w:t>
      </w:r>
      <w:r w:rsidR="08DE6CFE">
        <w:rPr>
          <w:szCs w:val="14"/>
        </w:rPr>
        <w:t>, kap. 3</w:t>
      </w:r>
      <w:r w:rsidR="0019071A" w:rsidRPr="00273106">
        <w:rPr>
          <w:szCs w:val="14"/>
        </w:rPr>
        <w:t>.2</w:t>
      </w:r>
      <w:r w:rsidR="0019071A" w:rsidRPr="00273106">
        <w:t>)</w:t>
      </w:r>
      <w:r w:rsidR="00A70F2A">
        <w:t xml:space="preserve">. </w:t>
      </w:r>
      <w:r w:rsidR="005A5382">
        <w:t xml:space="preserve">Co </w:t>
      </w:r>
      <w:r w:rsidR="082E7402">
        <w:t xml:space="preserve">kdysi </w:t>
      </w:r>
      <w:r w:rsidR="005A5382">
        <w:t>bylo šílené</w:t>
      </w:r>
      <w:r w:rsidR="086C2123">
        <w:t xml:space="preserve"> v kritickém, aristotelismu</w:t>
      </w:r>
      <w:r w:rsidR="005A5382">
        <w:t>, to se stalo moderním</w:t>
      </w:r>
      <w:r w:rsidR="086C2123">
        <w:t xml:space="preserve"> v nové formě objektivní mytopoetiky</w:t>
      </w:r>
      <w:r w:rsidR="086C2123">
        <w:fldChar w:fldCharType="begin"/>
      </w:r>
      <w:r w:rsidR="086C2123">
        <w:instrText xml:space="preserve"> XE "</w:instrText>
      </w:r>
      <w:r w:rsidR="086C2123" w:rsidRPr="08216169">
        <w:instrText>mytopoesis</w:instrText>
      </w:r>
      <w:r w:rsidR="086C2123">
        <w:instrText xml:space="preserve">" </w:instrText>
      </w:r>
      <w:r w:rsidR="086C2123">
        <w:fldChar w:fldCharType="end"/>
      </w:r>
      <w:r w:rsidR="005A5382">
        <w:t xml:space="preserve">. </w:t>
      </w:r>
      <w:r w:rsidR="088A1B25">
        <w:t xml:space="preserve">Rufus vytvořil první moderní fakticitu vědy </w:t>
      </w:r>
      <w:r w:rsidR="08466B14">
        <w:t>v narativním sofistickém modu metafyzické</w:t>
      </w:r>
      <w:r w:rsidR="088A1B25">
        <w:t xml:space="preserve"> </w:t>
      </w:r>
      <w:r w:rsidR="080A7C22" w:rsidRPr="080A7C22">
        <w:rPr>
          <w:i/>
        </w:rPr>
        <w:t>science-fiction</w:t>
      </w:r>
      <w:r w:rsidR="080E1EFC">
        <w:rPr>
          <w:i/>
        </w:rPr>
        <w:fldChar w:fldCharType="begin"/>
      </w:r>
      <w:r w:rsidR="080E1EFC">
        <w:instrText xml:space="preserve"> XE "</w:instrText>
      </w:r>
      <w:r w:rsidR="080E1EFC" w:rsidRPr="086B5E81">
        <w:rPr>
          <w:i/>
        </w:rPr>
        <w:instrText>science-fiction</w:instrText>
      </w:r>
      <w:r w:rsidR="080E1EFC">
        <w:instrText xml:space="preserve">" </w:instrText>
      </w:r>
      <w:r w:rsidR="080E1EFC">
        <w:rPr>
          <w:i/>
        </w:rPr>
        <w:fldChar w:fldCharType="end"/>
      </w:r>
      <w:r w:rsidR="08466B14">
        <w:t xml:space="preserve"> a tím </w:t>
      </w:r>
      <w:r w:rsidR="084663E1">
        <w:t xml:space="preserve">modernizoval </w:t>
      </w:r>
      <w:r w:rsidR="08466B14">
        <w:t xml:space="preserve">dialog </w:t>
      </w:r>
      <w:r w:rsidR="08466B14" w:rsidRPr="08466B14">
        <w:rPr>
          <w:i/>
        </w:rPr>
        <w:t>Timaios</w:t>
      </w:r>
      <w:r w:rsidR="08AF110B">
        <w:t xml:space="preserve">, v němž demiurg tvořil </w:t>
      </w:r>
      <w:r w:rsidR="003D58E1">
        <w:t xml:space="preserve">nižší </w:t>
      </w:r>
      <w:r w:rsidR="08621745">
        <w:t xml:space="preserve">svět </w:t>
      </w:r>
      <w:r w:rsidR="00656EB8">
        <w:t xml:space="preserve">podle </w:t>
      </w:r>
      <w:r w:rsidR="08AF110B">
        <w:t>původní</w:t>
      </w:r>
      <w:r w:rsidR="00656EB8">
        <w:t>ch a</w:t>
      </w:r>
      <w:r w:rsidR="08AF110B">
        <w:t>rchaick</w:t>
      </w:r>
      <w:r w:rsidR="00656EB8">
        <w:t>ých principů</w:t>
      </w:r>
      <w:r w:rsidR="08AF110B">
        <w:t xml:space="preserve">. Na tento platonský </w:t>
      </w:r>
      <w:r w:rsidR="084663E1">
        <w:t xml:space="preserve">principiální </w:t>
      </w:r>
      <w:r w:rsidR="08AF110B" w:rsidRPr="08AF110B">
        <w:rPr>
          <w:i/>
        </w:rPr>
        <w:t>Anfang</w:t>
      </w:r>
      <w:r w:rsidR="08AF110B">
        <w:t xml:space="preserve"> přenesený na latinský Západ antickým Simplikiem a perským Avicennou navázal nový </w:t>
      </w:r>
      <w:r w:rsidR="08AF110B" w:rsidRPr="08AF110B">
        <w:rPr>
          <w:i/>
        </w:rPr>
        <w:t>Beginn</w:t>
      </w:r>
      <w:r w:rsidR="08AF110B">
        <w:rPr>
          <w:i/>
        </w:rPr>
        <w:fldChar w:fldCharType="begin"/>
      </w:r>
      <w:r w:rsidR="08AF110B">
        <w:instrText xml:space="preserve"> XE "objektivita:</w:instrText>
      </w:r>
      <w:r w:rsidR="08AF110B" w:rsidRPr="00807E55">
        <w:rPr>
          <w:i/>
        </w:rPr>
        <w:instrText>Anfang/Beginn</w:instrText>
      </w:r>
      <w:r w:rsidR="08AF110B">
        <w:instrText xml:space="preserve">" </w:instrText>
      </w:r>
      <w:r w:rsidR="08AF110B">
        <w:rPr>
          <w:i/>
        </w:rPr>
        <w:fldChar w:fldCharType="end"/>
      </w:r>
      <w:r w:rsidR="08AF110B">
        <w:t xml:space="preserve"> </w:t>
      </w:r>
      <w:r w:rsidR="084663E1">
        <w:t xml:space="preserve">iniciativní </w:t>
      </w:r>
      <w:r w:rsidR="08AF110B">
        <w:t>moderny. Z</w:t>
      </w:r>
      <w:r w:rsidR="088A1B25">
        <w:t xml:space="preserve">akladatelské </w:t>
      </w:r>
      <w:r w:rsidR="088A1B25" w:rsidRPr="087E68E6">
        <w:rPr>
          <w:i/>
        </w:rPr>
        <w:t>initium</w:t>
      </w:r>
      <w:r w:rsidR="088A1B25">
        <w:t xml:space="preserve"> prvního objektivního sofisty dodnes chrání a opatruje jeho rodná </w:t>
      </w:r>
      <w:r w:rsidR="088A1B25" w:rsidRPr="087E68E6">
        <w:rPr>
          <w:i/>
        </w:rPr>
        <w:t>alma mat</w:t>
      </w:r>
      <w:r w:rsidR="088A1B25">
        <w:t>er a po ní také všechny katedry analytické filosofie a</w:t>
      </w:r>
      <w:r w:rsidR="086D6A50">
        <w:t xml:space="preserve"> metodologie </w:t>
      </w:r>
      <w:r w:rsidR="009465EC">
        <w:t>moderních věd</w:t>
      </w:r>
      <w:r w:rsidR="086D6A50">
        <w:rPr>
          <w:i/>
        </w:rPr>
        <w:fldChar w:fldCharType="begin"/>
      </w:r>
      <w:r w:rsidR="086D6A50">
        <w:instrText xml:space="preserve"> XE "</w:instrText>
      </w:r>
      <w:r w:rsidR="086D6A50" w:rsidRPr="08932198">
        <w:rPr>
          <w:i/>
        </w:rPr>
        <w:instrText>Unified Science</w:instrText>
      </w:r>
      <w:r w:rsidR="086D6A50">
        <w:instrText xml:space="preserve">" </w:instrText>
      </w:r>
      <w:r w:rsidR="086D6A50">
        <w:rPr>
          <w:i/>
        </w:rPr>
        <w:fldChar w:fldCharType="end"/>
      </w:r>
      <w:r w:rsidR="088A1B25">
        <w:t xml:space="preserve">. </w:t>
      </w:r>
      <w:r w:rsidR="00006AD8">
        <w:t>Moderní metafyzika provedla</w:t>
      </w:r>
      <w:r w:rsidR="00BD5155">
        <w:t xml:space="preserve"> zatmění první substance a nechala vládnout vlastn</w:t>
      </w:r>
      <w:r w:rsidR="00006AD8">
        <w:t xml:space="preserve">í simulákra. </w:t>
      </w:r>
      <w:r w:rsidR="00D31725">
        <w:t xml:space="preserve">Moderna </w:t>
      </w:r>
      <w:r w:rsidR="008C4F5D">
        <w:t xml:space="preserve">a postmoderna </w:t>
      </w:r>
      <w:r w:rsidR="00D31725">
        <w:t xml:space="preserve">v modu </w:t>
      </w:r>
      <w:r w:rsidR="085F6FC7">
        <w:t xml:space="preserve">dějinného </w:t>
      </w:r>
      <w:r w:rsidR="001F594C" w:rsidRPr="001F594C">
        <w:rPr>
          <w:i/>
        </w:rPr>
        <w:t>passio</w:t>
      </w:r>
      <w:r w:rsidR="001F594C">
        <w:t xml:space="preserve"> </w:t>
      </w:r>
      <w:r w:rsidR="00915C72">
        <w:t>skrze metafyzický</w:t>
      </w:r>
      <w:r w:rsidR="00D31725">
        <w:t xml:space="preserve"> nihili</w:t>
      </w:r>
      <w:r w:rsidR="00640DF4">
        <w:t>s</w:t>
      </w:r>
      <w:r w:rsidR="00D31725">
        <w:t>mu</w:t>
      </w:r>
      <w:r w:rsidR="00915C72">
        <w:t>s</w:t>
      </w:r>
      <w:r w:rsidR="00D31725">
        <w:t xml:space="preserve"> skutkem i slovem dokázala, že moudří v</w:t>
      </w:r>
      <w:r w:rsidR="00640DF4">
        <w:t xml:space="preserve"> životě</w:t>
      </w:r>
      <w:r w:rsidR="00640DF4" w:rsidRPr="00640DF4">
        <w:t xml:space="preserve"> </w:t>
      </w:r>
      <w:r w:rsidR="085F6FC7">
        <w:t>vždy nevyhrávají</w:t>
      </w:r>
      <w:r w:rsidR="08AE5347">
        <w:t>,</w:t>
      </w:r>
      <w:r w:rsidR="00640DF4">
        <w:t xml:space="preserve"> </w:t>
      </w:r>
      <w:r w:rsidR="08AE5347">
        <w:t xml:space="preserve">natož </w:t>
      </w:r>
      <w:r w:rsidR="085B7B99">
        <w:t xml:space="preserve">v </w:t>
      </w:r>
      <w:r w:rsidR="00340CD1">
        <w:t>post</w:t>
      </w:r>
      <w:r w:rsidR="085B7B99">
        <w:t>moderní</w:t>
      </w:r>
      <w:r w:rsidR="00640DF4">
        <w:t xml:space="preserve"> </w:t>
      </w:r>
      <w:r w:rsidR="000A1105">
        <w:t>filosofii.</w:t>
      </w:r>
    </w:p>
    <w:p w14:paraId="0BA9B555" w14:textId="2D12C296" w:rsidR="008D1DCB" w:rsidRPr="00273106" w:rsidRDefault="000A1105" w:rsidP="00D91C17">
      <w:r>
        <w:tab/>
      </w:r>
      <w:r w:rsidR="08336119">
        <w:t xml:space="preserve">Vliv Avicenny se ukazuje v nastolení </w:t>
      </w:r>
      <w:r w:rsidR="0023159C">
        <w:t>moderní</w:t>
      </w:r>
      <w:r w:rsidR="08336119">
        <w:t>ho</w:t>
      </w:r>
      <w:r w:rsidR="0023159C">
        <w:t xml:space="preserve"> pojetí inte</w:t>
      </w:r>
      <w:r w:rsidR="00684058">
        <w:t>n</w:t>
      </w:r>
      <w:r w:rsidR="0023159C">
        <w:t>cionality</w:t>
      </w:r>
      <w:r w:rsidR="08336119">
        <w:t xml:space="preserve">. Rufusovo pojetí </w:t>
      </w:r>
      <w:r w:rsidR="0023159C">
        <w:t>nemá nic společn</w:t>
      </w:r>
      <w:r w:rsidR="003E7D43">
        <w:t xml:space="preserve">ého s </w:t>
      </w:r>
      <w:r w:rsidR="0023159C">
        <w:t>intencionali</w:t>
      </w:r>
      <w:r w:rsidR="003E7D43">
        <w:t>tou</w:t>
      </w:r>
      <w:r w:rsidR="00757E3F">
        <w:t xml:space="preserve"> podle diaf</w:t>
      </w:r>
      <w:r w:rsidR="0023159C">
        <w:t>anum</w:t>
      </w:r>
      <w:r w:rsidR="00D5332E">
        <w:fldChar w:fldCharType="begin"/>
      </w:r>
      <w:r w:rsidR="00D5332E">
        <w:instrText xml:space="preserve"> XE "</w:instrText>
      </w:r>
      <w:r w:rsidR="00A62AC9">
        <w:instrText>diaf</w:instrText>
      </w:r>
      <w:r w:rsidR="00D5332E" w:rsidRPr="00A62AC9">
        <w:instrText>anum</w:instrText>
      </w:r>
      <w:r w:rsidR="00A62AC9">
        <w:instrText>:Rufus</w:instrText>
      </w:r>
      <w:r w:rsidR="00D5332E">
        <w:instrText xml:space="preserve">" </w:instrText>
      </w:r>
      <w:r w:rsidR="00D5332E">
        <w:fldChar w:fldCharType="end"/>
      </w:r>
      <w:r w:rsidR="00D40CD5">
        <w:t xml:space="preserve"> v CMDA</w:t>
      </w:r>
      <w:r w:rsidR="0023159C">
        <w:t xml:space="preserve">. </w:t>
      </w:r>
      <w:r w:rsidR="00757E3F">
        <w:t xml:space="preserve">Triáda </w:t>
      </w:r>
      <w:r w:rsidR="00A61F60">
        <w:t>„</w:t>
      </w:r>
      <w:r w:rsidR="0023159C" w:rsidRPr="00273106">
        <w:rPr>
          <w:i/>
        </w:rPr>
        <w:t>res</w:t>
      </w:r>
      <w:r w:rsidR="00A61F60">
        <w:t>–</w:t>
      </w:r>
      <w:r w:rsidR="0023159C" w:rsidRPr="00273106">
        <w:rPr>
          <w:i/>
        </w:rPr>
        <w:t>diaphanum</w:t>
      </w:r>
      <w:r w:rsidR="00A61F60">
        <w:rPr>
          <w:i/>
        </w:rPr>
        <w:t>–</w:t>
      </w:r>
      <w:r w:rsidR="0023159C" w:rsidRPr="00273106">
        <w:rPr>
          <w:i/>
        </w:rPr>
        <w:t>intellectio</w:t>
      </w:r>
      <w:r w:rsidR="00A61F60">
        <w:t xml:space="preserve">“ </w:t>
      </w:r>
      <w:r w:rsidR="0023159C" w:rsidRPr="00273106">
        <w:t xml:space="preserve">je dána v rámci aristotelské abstrakce jako </w:t>
      </w:r>
      <w:r w:rsidR="0023159C" w:rsidRPr="00273106">
        <w:rPr>
          <w:i/>
        </w:rPr>
        <w:t>proportio</w:t>
      </w:r>
      <w:r w:rsidR="0023159C" w:rsidRPr="00273106">
        <w:t xml:space="preserve"> syntetizované formy od smyslů k</w:t>
      </w:r>
      <w:r w:rsidR="00BE0386">
        <w:t> </w:t>
      </w:r>
      <w:r w:rsidR="0023159C" w:rsidRPr="00273106">
        <w:t>intelektu</w:t>
      </w:r>
      <w:r w:rsidR="00BE0386">
        <w:t xml:space="preserve">. Ten </w:t>
      </w:r>
      <w:r w:rsidR="0023159C">
        <w:t>musí v aktu in</w:t>
      </w:r>
      <w:r w:rsidR="00531920">
        <w:t>ten</w:t>
      </w:r>
      <w:r w:rsidR="0023159C">
        <w:t xml:space="preserve">cionální recepce </w:t>
      </w:r>
      <w:r w:rsidR="08315842">
        <w:t>přijmout</w:t>
      </w:r>
      <w:r w:rsidR="0023159C">
        <w:t xml:space="preserve"> smy</w:t>
      </w:r>
      <w:r w:rsidR="00531920">
        <w:t>s</w:t>
      </w:r>
      <w:r w:rsidR="0023159C">
        <w:t xml:space="preserve">lovou </w:t>
      </w:r>
      <w:r w:rsidR="00BE0386">
        <w:t xml:space="preserve">a </w:t>
      </w:r>
      <w:r w:rsidR="0023159C">
        <w:t>intelektuální form</w:t>
      </w:r>
      <w:r w:rsidR="00531920">
        <w:t>u abstrahovanou</w:t>
      </w:r>
      <w:r w:rsidR="0023159C">
        <w:t xml:space="preserve"> z reálně existující věci</w:t>
      </w:r>
      <w:r w:rsidR="0023159C" w:rsidRPr="00273106">
        <w:t>. Bacon dobře viděl, že moderní ilumináti na Oxfordu již nepotřebují realitu první substance k zajištění metafyzické jednoty jsoucna.</w:t>
      </w:r>
      <w:r w:rsidR="00684058" w:rsidRPr="00684058">
        <w:t xml:space="preserve"> </w:t>
      </w:r>
      <w:r w:rsidR="08F73C0F">
        <w:t>Společné esenciální určení přechází</w:t>
      </w:r>
      <w:r w:rsidR="08F73C0F" w:rsidRPr="00273106">
        <w:t xml:space="preserve"> (</w:t>
      </w:r>
      <w:r w:rsidR="08F73C0F" w:rsidRPr="00273106">
        <w:rPr>
          <w:i/>
        </w:rPr>
        <w:t>exsistit</w:t>
      </w:r>
      <w:r w:rsidR="008A1D58">
        <w:t>) na individuum</w:t>
      </w:r>
      <w:r w:rsidR="08F73C0F" w:rsidRPr="00273106">
        <w:t xml:space="preserve">, která je pak momentální aktualizací univerzální esence dané </w:t>
      </w:r>
      <w:r w:rsidR="08F73C0F" w:rsidRPr="00273106">
        <w:rPr>
          <w:i/>
        </w:rPr>
        <w:t>per se</w:t>
      </w:r>
      <w:r w:rsidR="08F73C0F">
        <w:fldChar w:fldCharType="begin"/>
      </w:r>
      <w:r w:rsidR="08F73C0F">
        <w:instrText xml:space="preserve"> XE "</w:instrText>
      </w:r>
      <w:r w:rsidR="08F73C0F" w:rsidRPr="007765BD">
        <w:instrText>nutnost:</w:instrText>
      </w:r>
      <w:r w:rsidR="08F73C0F" w:rsidRPr="00491F25">
        <w:rPr>
          <w:i/>
        </w:rPr>
        <w:instrText>per se</w:instrText>
      </w:r>
      <w:r w:rsidR="08F73C0F">
        <w:instrText xml:space="preserve">" </w:instrText>
      </w:r>
      <w:r w:rsidR="08F73C0F">
        <w:fldChar w:fldCharType="end"/>
      </w:r>
      <w:r w:rsidR="08F73C0F" w:rsidRPr="00273106">
        <w:t xml:space="preserve">. Tento model </w:t>
      </w:r>
      <w:r w:rsidR="08F73C0F">
        <w:t xml:space="preserve">amfibolní </w:t>
      </w:r>
      <w:r w:rsidR="08F73C0F" w:rsidRPr="00273106">
        <w:t>predikace zavedl do západní metafyziky Al</w:t>
      </w:r>
      <w:r w:rsidR="08F73C0F" w:rsidRPr="00273106">
        <w:noBreakHyphen/>
      </w:r>
      <w:r w:rsidR="08F73C0F">
        <w:t xml:space="preserve">Fárábí skrze termín </w:t>
      </w:r>
      <w:r w:rsidR="002D00AA">
        <w:t>„</w:t>
      </w:r>
      <w:r w:rsidR="08F73C0F" w:rsidRPr="00273106">
        <w:rPr>
          <w:i/>
        </w:rPr>
        <w:t>modulated terms</w:t>
      </w:r>
      <w:r w:rsidR="002D00AA">
        <w:t>“</w:t>
      </w:r>
      <w:r w:rsidR="002D00AA">
        <w:fldChar w:fldCharType="begin"/>
      </w:r>
      <w:r w:rsidR="002D00AA">
        <w:instrText xml:space="preserve"> XE "</w:instrText>
      </w:r>
      <w:r w:rsidR="002D00AA" w:rsidRPr="006F109E">
        <w:instrText>amfibolia</w:instrText>
      </w:r>
      <w:r w:rsidR="002D00AA">
        <w:instrText xml:space="preserve">" </w:instrText>
      </w:r>
      <w:r w:rsidR="002D00AA">
        <w:fldChar w:fldCharType="end"/>
      </w:r>
      <w:r w:rsidR="08F73C0F" w:rsidRPr="00273106">
        <w:t xml:space="preserve"> (</w:t>
      </w:r>
      <w:r w:rsidR="083D3786">
        <w:t xml:space="preserve">OBJ I, </w:t>
      </w:r>
      <w:r w:rsidR="08F73C0F" w:rsidRPr="00273106">
        <w:t xml:space="preserve">kap. 2.1.1). </w:t>
      </w:r>
      <w:r w:rsidR="08F73C0F">
        <w:t xml:space="preserve">Amfibolní </w:t>
      </w:r>
      <w:r w:rsidR="08F73C0F" w:rsidRPr="00273106">
        <w:t xml:space="preserve">určení jsoucna </w:t>
      </w:r>
      <w:r w:rsidR="002D00AA" w:rsidRPr="002D00AA">
        <w:t xml:space="preserve">vytvořilo </w:t>
      </w:r>
      <w:r w:rsidR="002D00AA" w:rsidRPr="002D00AA">
        <w:rPr>
          <w:i/>
        </w:rPr>
        <w:t>tertium ens</w:t>
      </w:r>
      <w:r w:rsidR="002D00AA" w:rsidRPr="002D00AA">
        <w:t>, které položilo základy objektivity</w:t>
      </w:r>
      <w:r w:rsidR="006A57DC">
        <w:t xml:space="preserve"> v momentu, kdy </w:t>
      </w:r>
      <w:r w:rsidR="002D00AA" w:rsidRPr="002D00AA">
        <w:t>vstoupilo do systému kategoriální predikace.</w:t>
      </w:r>
      <w:r w:rsidR="002D00AA">
        <w:t xml:space="preserve"> </w:t>
      </w:r>
      <w:r w:rsidR="083033BA" w:rsidRPr="00273106">
        <w:t xml:space="preserve">Vraťme se k úvodnímu komentáři </w:t>
      </w:r>
      <w:r w:rsidR="083033BA" w:rsidRPr="00757E3F">
        <w:rPr>
          <w:i/>
        </w:rPr>
        <w:t>Kategorií</w:t>
      </w:r>
      <w:r w:rsidR="083033BA" w:rsidRPr="00273106">
        <w:t>, kde predikaci určoval statut reálné substance</w:t>
      </w:r>
      <w:r w:rsidR="083033BA">
        <w:t xml:space="preserve"> a jejího </w:t>
      </w:r>
      <w:r w:rsidR="083033BA" w:rsidRPr="00273106">
        <w:t>kauzálního působení, které musely obsahovat premisy vědeckého soudu (</w:t>
      </w:r>
      <w:r w:rsidR="083D3786">
        <w:t xml:space="preserve">OBJ I, </w:t>
      </w:r>
      <w:r w:rsidR="084E7952">
        <w:t>kap. 1.3</w:t>
      </w:r>
      <w:r w:rsidR="083033BA" w:rsidRPr="00273106">
        <w:t xml:space="preserve">).  Základní změnu ve výkladu </w:t>
      </w:r>
      <w:r w:rsidR="083033BA" w:rsidRPr="00757E3F">
        <w:rPr>
          <w:i/>
        </w:rPr>
        <w:t>Kategorií</w:t>
      </w:r>
      <w:r w:rsidR="083033BA" w:rsidRPr="00273106">
        <w:t xml:space="preserve"> na Oxfordu a v Paří</w:t>
      </w:r>
      <w:r w:rsidR="083D3786">
        <w:t>ži jsme komentovali výše (kap. 3</w:t>
      </w:r>
      <w:r w:rsidR="083033BA" w:rsidRPr="00273106">
        <w:t xml:space="preserve">.1.2). Klasickou definici univocity a ekvivocity etabloval </w:t>
      </w:r>
      <w:r w:rsidR="083033BA">
        <w:t>Aristoteles</w:t>
      </w:r>
      <w:r w:rsidR="083033BA" w:rsidRPr="00273106">
        <w:t xml:space="preserve"> v modech kategoriální predikace, což scholastice předal komentář </w:t>
      </w:r>
      <w:r w:rsidR="083033BA" w:rsidRPr="00757E3F">
        <w:rPr>
          <w:i/>
        </w:rPr>
        <w:t>Kategorií</w:t>
      </w:r>
      <w:r w:rsidR="083033BA" w:rsidRPr="00273106">
        <w:t xml:space="preserve"> od Boethia. Rufus tuto definici cituje formálně správně, ale její výklad už je veden podle Avicenny.</w:t>
      </w:r>
      <w:r w:rsidR="083033BA">
        <w:t xml:space="preserve"> </w:t>
      </w:r>
      <w:r w:rsidR="00E45537">
        <w:t xml:space="preserve">Nové pojetí intencionality </w:t>
      </w:r>
      <w:r w:rsidR="002C6CB8">
        <w:t xml:space="preserve">podle </w:t>
      </w:r>
      <w:r w:rsidR="002C6CB8" w:rsidRPr="002C6CB8">
        <w:rPr>
          <w:i/>
        </w:rPr>
        <w:t>Oxfordian Fallacy</w:t>
      </w:r>
      <w:r w:rsidR="002C6CB8">
        <w:t xml:space="preserve"> dokládá tento citát.</w:t>
      </w:r>
    </w:p>
    <w:p w14:paraId="089E3A6D" w14:textId="007C2458" w:rsidR="008D1DCB" w:rsidRPr="00273106" w:rsidRDefault="008D1DCB" w:rsidP="00F25E2D">
      <w:pPr>
        <w:pStyle w:val="Citace"/>
      </w:pPr>
      <w:r w:rsidRPr="00273106">
        <w:rPr>
          <w:noProof/>
        </w:rPr>
        <w:t>„</w:t>
      </w:r>
      <w:r w:rsidR="001F3EBB">
        <w:rPr>
          <w:noProof/>
          <w:lang w:val="cs-CZ"/>
        </w:rPr>
        <w:t>Modality univerzální p</w:t>
      </w:r>
      <w:r w:rsidRPr="00273106">
        <w:rPr>
          <w:noProof/>
        </w:rPr>
        <w:t xml:space="preserve">redikace </w:t>
      </w:r>
      <w:r w:rsidR="004F19EC">
        <w:rPr>
          <w:noProof/>
        </w:rPr>
        <w:t>(</w:t>
      </w:r>
      <w:r w:rsidR="004F19EC" w:rsidRPr="00811321">
        <w:rPr>
          <w:i/>
        </w:rPr>
        <w:t>modi praedicandi communiter</w:t>
      </w:r>
      <w:r w:rsidR="004F19EC">
        <w:rPr>
          <w:noProof/>
        </w:rPr>
        <w:t xml:space="preserve">) </w:t>
      </w:r>
      <w:r w:rsidR="001F3EBB">
        <w:rPr>
          <w:noProof/>
        </w:rPr>
        <w:t>m</w:t>
      </w:r>
      <w:r w:rsidR="001F3EBB">
        <w:rPr>
          <w:noProof/>
          <w:lang w:val="cs-CZ"/>
        </w:rPr>
        <w:t>ají</w:t>
      </w:r>
      <w:r w:rsidRPr="00273106">
        <w:rPr>
          <w:noProof/>
        </w:rPr>
        <w:t xml:space="preserve"> čtyři základní</w:t>
      </w:r>
      <w:r w:rsidR="004F19EC">
        <w:rPr>
          <w:noProof/>
        </w:rPr>
        <w:t xml:space="preserve"> způsoby</w:t>
      </w:r>
      <w:r w:rsidRPr="00273106">
        <w:rPr>
          <w:noProof/>
        </w:rPr>
        <w:t>. Buď je intence obsažena v mnohý</w:t>
      </w:r>
      <w:r w:rsidR="00B341D9">
        <w:rPr>
          <w:noProof/>
        </w:rPr>
        <w:t xml:space="preserve">ch jednotlivinách </w:t>
      </w:r>
      <w:r w:rsidR="082E1DF6">
        <w:rPr>
          <w:noProof/>
          <w:lang w:val="cs-CZ"/>
        </w:rPr>
        <w:t>(</w:t>
      </w:r>
      <w:r w:rsidR="082E1DF6" w:rsidRPr="082E1DF6">
        <w:rPr>
          <w:i/>
        </w:rPr>
        <w:t>una intentio reperta in pluribus</w:t>
      </w:r>
      <w:r w:rsidR="082E1DF6">
        <w:rPr>
          <w:noProof/>
          <w:lang w:val="cs-CZ"/>
        </w:rPr>
        <w:t xml:space="preserve">) </w:t>
      </w:r>
      <w:r w:rsidR="009E50D0">
        <w:rPr>
          <w:noProof/>
        </w:rPr>
        <w:t>a podle j</w:t>
      </w:r>
      <w:r w:rsidR="009E50D0">
        <w:rPr>
          <w:noProof/>
          <w:lang w:val="cs-CZ"/>
        </w:rPr>
        <w:t xml:space="preserve">im </w:t>
      </w:r>
      <w:r w:rsidR="00866B19">
        <w:rPr>
          <w:noProof/>
        </w:rPr>
        <w:t xml:space="preserve">vlastní </w:t>
      </w:r>
      <w:r w:rsidR="009E50D0">
        <w:rPr>
          <w:noProof/>
          <w:lang w:val="cs-CZ"/>
        </w:rPr>
        <w:t>podstaty;</w:t>
      </w:r>
      <w:r w:rsidR="00B341D9">
        <w:rPr>
          <w:noProof/>
        </w:rPr>
        <w:t xml:space="preserve"> </w:t>
      </w:r>
      <w:r w:rsidRPr="00273106">
        <w:rPr>
          <w:noProof/>
        </w:rPr>
        <w:t>pak jde o univoční predikaci.</w:t>
      </w:r>
      <w:r w:rsidR="00F25E2D" w:rsidRPr="00F25E2D">
        <w:t xml:space="preserve"> </w:t>
      </w:r>
      <w:r w:rsidR="00F25E2D">
        <w:t xml:space="preserve">Anebo nejde </w:t>
      </w:r>
      <w:r w:rsidR="00F25E2D">
        <w:rPr>
          <w:lang w:val="cs-CZ"/>
        </w:rPr>
        <w:t xml:space="preserve">ani </w:t>
      </w:r>
      <w:r w:rsidR="00F25E2D">
        <w:t>o jednu intenci</w:t>
      </w:r>
      <w:r w:rsidR="009E50D0">
        <w:rPr>
          <w:noProof/>
        </w:rPr>
        <w:t xml:space="preserve">, ani o </w:t>
      </w:r>
      <w:r w:rsidR="009E50D0">
        <w:rPr>
          <w:noProof/>
          <w:lang w:val="cs-CZ"/>
        </w:rPr>
        <w:t xml:space="preserve">společnou </w:t>
      </w:r>
      <w:r w:rsidRPr="00273106">
        <w:rPr>
          <w:noProof/>
        </w:rPr>
        <w:t xml:space="preserve">přirozenost </w:t>
      </w:r>
      <w:r w:rsidR="00F25E2D">
        <w:rPr>
          <w:noProof/>
          <w:lang w:val="cs-CZ"/>
        </w:rPr>
        <w:t xml:space="preserve">a </w:t>
      </w:r>
      <w:r w:rsidRPr="00273106">
        <w:rPr>
          <w:noProof/>
        </w:rPr>
        <w:t xml:space="preserve">pak </w:t>
      </w:r>
      <w:r w:rsidR="00F25E2D">
        <w:rPr>
          <w:noProof/>
          <w:lang w:val="cs-CZ"/>
        </w:rPr>
        <w:t xml:space="preserve">platí </w:t>
      </w:r>
      <w:r w:rsidR="00F25E2D">
        <w:rPr>
          <w:noProof/>
        </w:rPr>
        <w:t>pouh</w:t>
      </w:r>
      <w:r w:rsidR="00F25E2D">
        <w:rPr>
          <w:noProof/>
          <w:lang w:val="cs-CZ"/>
        </w:rPr>
        <w:t>á</w:t>
      </w:r>
      <w:r w:rsidR="00F25E2D">
        <w:rPr>
          <w:noProof/>
        </w:rPr>
        <w:t xml:space="preserve"> ekvivocit</w:t>
      </w:r>
      <w:r w:rsidR="00F25E2D">
        <w:rPr>
          <w:noProof/>
          <w:lang w:val="cs-CZ"/>
        </w:rPr>
        <w:t>a</w:t>
      </w:r>
      <w:r w:rsidRPr="00273106">
        <w:rPr>
          <w:noProof/>
        </w:rPr>
        <w:t xml:space="preserve">.“ </w:t>
      </w:r>
      <w:r w:rsidR="00476731" w:rsidRPr="00273106">
        <w:rPr>
          <w:rStyle w:val="Znakapoznpodarou"/>
          <w:noProof/>
          <w:lang w:val="cs-CZ"/>
        </w:rPr>
        <w:footnoteReference w:id="395"/>
      </w:r>
    </w:p>
    <w:p w14:paraId="1F87BD0A" w14:textId="03ABA31B" w:rsidR="006B2B4D" w:rsidRDefault="08840ADC" w:rsidP="008D1DCB">
      <w:r w:rsidRPr="00273106">
        <w:t xml:space="preserve">Jednota významu není </w:t>
      </w:r>
      <w:r w:rsidR="00DD596B" w:rsidRPr="00273106">
        <w:rPr>
          <w:i/>
        </w:rPr>
        <w:t>per prius</w:t>
      </w:r>
      <w:r w:rsidR="00DD596B" w:rsidRPr="00273106">
        <w:t xml:space="preserve"> </w:t>
      </w:r>
      <w:r w:rsidRPr="00273106">
        <w:t>vztažena ke druhé substanci, ale k pohledu osvíceného subjektu (</w:t>
      </w:r>
      <w:r w:rsidRPr="00273106">
        <w:rPr>
          <w:i/>
        </w:rPr>
        <w:t>intentio</w:t>
      </w:r>
      <w:r w:rsidRPr="00273106">
        <w:t xml:space="preserve">). </w:t>
      </w:r>
      <w:r w:rsidR="0021786A" w:rsidRPr="00273106">
        <w:t xml:space="preserve">Oxfordský </w:t>
      </w:r>
      <w:r w:rsidR="00D24E06" w:rsidRPr="00273106">
        <w:t>akademick</w:t>
      </w:r>
      <w:r w:rsidR="0021786A" w:rsidRPr="00273106">
        <w:t xml:space="preserve">ý </w:t>
      </w:r>
      <w:r w:rsidR="00DD596B" w:rsidRPr="00273106">
        <w:t xml:space="preserve">iluminát </w:t>
      </w:r>
      <w:r w:rsidR="00D24E06" w:rsidRPr="00273106">
        <w:t xml:space="preserve">kontempluje </w:t>
      </w:r>
      <w:r w:rsidR="00D705A6" w:rsidRPr="00273106">
        <w:t xml:space="preserve">po vzoru Avicenny </w:t>
      </w:r>
      <w:r w:rsidRPr="00273106">
        <w:t>univerzáli</w:t>
      </w:r>
      <w:r w:rsidR="00D24E06" w:rsidRPr="00273106">
        <w:t>a</w:t>
      </w:r>
      <w:r w:rsidRPr="00273106">
        <w:t xml:space="preserve"> </w:t>
      </w:r>
      <w:r w:rsidR="00187845" w:rsidRPr="00273106">
        <w:t xml:space="preserve">přímo </w:t>
      </w:r>
      <w:r w:rsidRPr="00273106">
        <w:t>ve věcech (</w:t>
      </w:r>
      <w:r w:rsidRPr="00273106">
        <w:rPr>
          <w:i/>
        </w:rPr>
        <w:t>intentio reperta in pluribus</w:t>
      </w:r>
      <w:r w:rsidRPr="00273106">
        <w:t>)</w:t>
      </w:r>
      <w:r w:rsidR="00187845" w:rsidRPr="00273106">
        <w:t xml:space="preserve">. </w:t>
      </w:r>
      <w:r w:rsidR="00D55054" w:rsidRPr="00273106">
        <w:t>P</w:t>
      </w:r>
      <w:r w:rsidR="00187845" w:rsidRPr="00273106">
        <w:t>rvní substance</w:t>
      </w:r>
      <w:r w:rsidR="00A70FA4">
        <w:fldChar w:fldCharType="begin"/>
      </w:r>
      <w:r w:rsidR="00A70FA4">
        <w:instrText xml:space="preserve"> XE "</w:instrText>
      </w:r>
      <w:r w:rsidR="00A70FA4" w:rsidRPr="00DE2A32">
        <w:instrText>substance</w:instrText>
      </w:r>
      <w:r w:rsidR="007F1643">
        <w:instrText>:Rufus</w:instrText>
      </w:r>
      <w:r w:rsidR="00A70FA4">
        <w:instrText xml:space="preserve">" </w:instrText>
      </w:r>
      <w:r w:rsidR="00A70FA4">
        <w:fldChar w:fldCharType="end"/>
      </w:r>
      <w:r w:rsidR="00187845" w:rsidRPr="00273106">
        <w:t xml:space="preserve"> jako jednotliviny </w:t>
      </w:r>
      <w:r w:rsidR="00D55054" w:rsidRPr="00273106">
        <w:t xml:space="preserve">se nazírají </w:t>
      </w:r>
      <w:r w:rsidRPr="00273106">
        <w:t xml:space="preserve">z hlediska </w:t>
      </w:r>
      <w:r w:rsidR="00187845" w:rsidRPr="00273106">
        <w:t xml:space="preserve">jejich </w:t>
      </w:r>
      <w:r w:rsidRPr="00273106">
        <w:t>společné přirozenosti (</w:t>
      </w:r>
      <w:r w:rsidRPr="00273106">
        <w:rPr>
          <w:i/>
        </w:rPr>
        <w:t>per naturam eandem</w:t>
      </w:r>
      <w:r w:rsidRPr="00273106">
        <w:t>).</w:t>
      </w:r>
      <w:r w:rsidR="0828228D" w:rsidRPr="00273106">
        <w:t xml:space="preserve"> </w:t>
      </w:r>
      <w:r w:rsidR="08745098" w:rsidRPr="00273106">
        <w:t xml:space="preserve">Jen první intence </w:t>
      </w:r>
      <w:r w:rsidR="00187845" w:rsidRPr="00273106">
        <w:t>daná v poznávajícím subjektu má nárok na univocitu</w:t>
      </w:r>
      <w:r w:rsidR="08745098" w:rsidRPr="00273106">
        <w:t xml:space="preserve">. </w:t>
      </w:r>
      <w:r w:rsidR="000E4620">
        <w:t>Z hlediska klasického aristotelismu se j</w:t>
      </w:r>
      <w:r w:rsidR="00253149">
        <w:t xml:space="preserve">edná </w:t>
      </w:r>
      <w:r w:rsidR="000E4620">
        <w:t xml:space="preserve">o </w:t>
      </w:r>
      <w:r w:rsidR="00716112" w:rsidRPr="00273106">
        <w:t xml:space="preserve">analogickou predikaci </w:t>
      </w:r>
      <w:r w:rsidR="000E4620">
        <w:t>jednoty viděnou z hlediska poznávacího subjektu</w:t>
      </w:r>
      <w:r w:rsidR="00AD3FE2">
        <w:t xml:space="preserve">. Ta ale </w:t>
      </w:r>
      <w:r w:rsidR="000E4620">
        <w:t xml:space="preserve">není dána kauzalitou prvních substancí v realitě </w:t>
      </w:r>
      <w:r w:rsidR="00716112" w:rsidRPr="00273106">
        <w:t xml:space="preserve">(κοινὰ δὲ κατ' ἀναλογίαν, </w:t>
      </w:r>
      <w:r w:rsidR="001F2FBC">
        <w:rPr>
          <w:i/>
        </w:rPr>
        <w:t>Anal. P</w:t>
      </w:r>
      <w:r w:rsidR="00716112" w:rsidRPr="00273106">
        <w:rPr>
          <w:i/>
        </w:rPr>
        <w:t>ost</w:t>
      </w:r>
      <w:r w:rsidR="00716112" w:rsidRPr="00273106">
        <w:t>. 76a38‒39</w:t>
      </w:r>
      <w:r w:rsidR="00CD297B">
        <w:fldChar w:fldCharType="begin"/>
      </w:r>
      <w:r w:rsidR="00CD297B">
        <w:instrText xml:space="preserve"> XE "</w:instrText>
      </w:r>
      <w:r w:rsidR="008E02F5">
        <w:instrText>Aristoteles</w:instrText>
      </w:r>
      <w:r w:rsidR="00CD297B">
        <w:instrText>:</w:instrText>
      </w:r>
      <w:r w:rsidR="00CD297B" w:rsidRPr="00F27A3C">
        <w:rPr>
          <w:i/>
        </w:rPr>
        <w:instrText>Anal. Post</w:instrText>
      </w:r>
      <w:r w:rsidR="00CD297B" w:rsidRPr="00F27A3C">
        <w:instrText>. 76a38‒39</w:instrText>
      </w:r>
      <w:r w:rsidR="00CD297B">
        <w:instrText xml:space="preserve">" </w:instrText>
      </w:r>
      <w:r w:rsidR="00CD297B">
        <w:fldChar w:fldCharType="end"/>
      </w:r>
      <w:r w:rsidR="00716112" w:rsidRPr="00273106">
        <w:t xml:space="preserve">). Rufus tuto </w:t>
      </w:r>
      <w:r w:rsidR="005A70BF">
        <w:t xml:space="preserve">logickou </w:t>
      </w:r>
      <w:r w:rsidR="00716112" w:rsidRPr="00273106">
        <w:t xml:space="preserve">predikaci </w:t>
      </w:r>
      <w:r w:rsidR="0038736E" w:rsidRPr="00273106">
        <w:t>a</w:t>
      </w:r>
      <w:r w:rsidR="00AD3FE2">
        <w:t xml:space="preserve">bsolutizoval </w:t>
      </w:r>
      <w:r w:rsidR="00716112" w:rsidRPr="00273106">
        <w:t xml:space="preserve">tak, že </w:t>
      </w:r>
      <w:r w:rsidR="004E316D">
        <w:t>ji zaměnil za metafyzickou formu jednoty</w:t>
      </w:r>
      <w:r w:rsidR="005A70BF">
        <w:t xml:space="preserve"> jsoucna</w:t>
      </w:r>
      <w:r w:rsidR="00716112" w:rsidRPr="00273106">
        <w:t xml:space="preserve">. </w:t>
      </w:r>
      <w:r w:rsidR="004E316D">
        <w:t>M</w:t>
      </w:r>
      <w:r w:rsidR="006A620C" w:rsidRPr="00273106">
        <w:t xml:space="preserve">etafyzická </w:t>
      </w:r>
      <w:r w:rsidR="004E316D">
        <w:t xml:space="preserve">abstrakce </w:t>
      </w:r>
      <w:r w:rsidR="002C04C5" w:rsidRPr="00273106">
        <w:t xml:space="preserve">podle Aristotela </w:t>
      </w:r>
      <w:r w:rsidR="008E23F0">
        <w:t xml:space="preserve">ale </w:t>
      </w:r>
      <w:r w:rsidR="00716112" w:rsidRPr="00273106">
        <w:t xml:space="preserve">není </w:t>
      </w:r>
      <w:r w:rsidR="008E23F0">
        <w:t xml:space="preserve">nikdy </w:t>
      </w:r>
      <w:r w:rsidR="00716112" w:rsidRPr="00273106">
        <w:t>dán</w:t>
      </w:r>
      <w:r w:rsidR="004E316D">
        <w:t>a analogicky</w:t>
      </w:r>
      <w:r w:rsidR="008E23F0">
        <w:t>,</w:t>
      </w:r>
      <w:r w:rsidR="004E316D">
        <w:t xml:space="preserve"> na úrovni matematické abstrakce</w:t>
      </w:r>
      <w:r w:rsidR="008E23F0">
        <w:t xml:space="preserve">. Univoční impozice musí sledovat </w:t>
      </w:r>
      <w:r w:rsidR="00EB4045">
        <w:fldChar w:fldCharType="begin"/>
      </w:r>
      <w:r w:rsidR="00EB4045">
        <w:instrText xml:space="preserve"> XE "</w:instrText>
      </w:r>
      <w:r w:rsidR="00EB4045" w:rsidRPr="00A824F0">
        <w:instrText>abstrakce:m</w:instrText>
      </w:r>
      <w:r w:rsidR="00AA5469">
        <w:instrText>etafyzická</w:instrText>
      </w:r>
      <w:r w:rsidR="00EB4045">
        <w:instrText xml:space="preserve">" </w:instrText>
      </w:r>
      <w:r w:rsidR="00EB4045">
        <w:fldChar w:fldCharType="end"/>
      </w:r>
      <w:r w:rsidR="008E23F0">
        <w:t>kauzalitu predikovanou</w:t>
      </w:r>
      <w:r w:rsidR="001F2FBC">
        <w:t xml:space="preserve"> </w:t>
      </w:r>
      <w:r w:rsidR="007B62E5">
        <w:t xml:space="preserve">od </w:t>
      </w:r>
      <w:r w:rsidR="00716112" w:rsidRPr="00273106">
        <w:t xml:space="preserve">prvních substancí. </w:t>
      </w:r>
      <w:r w:rsidR="005A70BF">
        <w:t xml:space="preserve">Analogie je </w:t>
      </w:r>
      <w:r w:rsidR="08A5704A">
        <w:t>podle Aristote</w:t>
      </w:r>
      <w:r w:rsidR="08681F7A">
        <w:t>l</w:t>
      </w:r>
      <w:r w:rsidR="08066E1D">
        <w:t xml:space="preserve">a </w:t>
      </w:r>
      <w:r w:rsidR="005A70BF">
        <w:t xml:space="preserve">predikovaná </w:t>
      </w:r>
      <w:r w:rsidR="08A5704A">
        <w:t>z pozice poznávajícího subjektu</w:t>
      </w:r>
      <w:r w:rsidR="00863336">
        <w:t>, což nestačí na založení univoční vědy</w:t>
      </w:r>
      <w:r w:rsidR="08A5704A">
        <w:t xml:space="preserve">. </w:t>
      </w:r>
      <w:r w:rsidR="0038736E" w:rsidRPr="00273106">
        <w:t xml:space="preserve">Rufus </w:t>
      </w:r>
      <w:r w:rsidR="005A70BF" w:rsidRPr="00273106">
        <w:t xml:space="preserve">zrušil </w:t>
      </w:r>
      <w:r w:rsidR="0038736E" w:rsidRPr="00273106">
        <w:t xml:space="preserve">metafyzickou jednotu bytí jsoucna a nahradil ji analogickou </w:t>
      </w:r>
      <w:r w:rsidR="00B661E4">
        <w:t>a matematickou jednotou</w:t>
      </w:r>
      <w:r w:rsidR="0038736E" w:rsidRPr="00273106">
        <w:t xml:space="preserve">. </w:t>
      </w:r>
      <w:r w:rsidR="009A2BD4">
        <w:t xml:space="preserve">Iluminát nasvěcuje jsoucna zezadu, podle subjektivní jistoty poznání věčných esencí a podle matematické abstrakce. </w:t>
      </w:r>
      <w:r w:rsidR="08A86BCC">
        <w:t>A</w:t>
      </w:r>
      <w:r w:rsidR="08A86BCC" w:rsidRPr="00273106">
        <w:t xml:space="preserve">vicennovský smysl </w:t>
      </w:r>
      <w:r w:rsidR="08A86BCC">
        <w:t>intencionality jako vidění původní jednoduchosti (</w:t>
      </w:r>
      <w:r w:rsidR="08A86BCC" w:rsidRPr="00775F77">
        <w:rPr>
          <w:i/>
        </w:rPr>
        <w:t>equinitas tantum</w:t>
      </w:r>
      <w:r w:rsidR="08A86BCC">
        <w:t xml:space="preserve">) je nyní </w:t>
      </w:r>
      <w:r w:rsidR="08A86BCC" w:rsidRPr="00273106">
        <w:t>definován v rámci nové univerzální pred</w:t>
      </w:r>
      <w:r w:rsidR="08A86BCC">
        <w:t xml:space="preserve">ikace. Iluminát </w:t>
      </w:r>
      <w:r w:rsidR="08E15F6B">
        <w:t>žijící v</w:t>
      </w:r>
      <w:r w:rsidR="004A4713">
        <w:t xml:space="preserve"> prvních </w:t>
      </w:r>
      <w:r w:rsidR="08B0559E">
        <w:t>časech  parousie</w:t>
      </w:r>
      <w:r w:rsidR="08E15F6B">
        <w:t xml:space="preserve"> objektivity nutně </w:t>
      </w:r>
      <w:r w:rsidR="009A2BD4">
        <w:t>vidí univerzá</w:t>
      </w:r>
      <w:r w:rsidR="08A2715A">
        <w:t>lia a indivividua úplně všude</w:t>
      </w:r>
      <w:r w:rsidR="08C0009C">
        <w:t xml:space="preserve"> </w:t>
      </w:r>
      <w:r w:rsidR="08622446">
        <w:t>(</w:t>
      </w:r>
      <w:r w:rsidR="08C0009C" w:rsidRPr="08C0009C">
        <w:rPr>
          <w:i/>
        </w:rPr>
        <w:t>ubi est subiectum, non ostenditur, sed supponitur</w:t>
      </w:r>
      <w:r w:rsidR="08622446">
        <w:t>).</w:t>
      </w:r>
      <w:r w:rsidR="08C0009C">
        <w:t xml:space="preserve"> Podle analogické supozice může subjektivní jsoucna třetího druhu </w:t>
      </w:r>
      <w:r w:rsidR="009A2BD4">
        <w:t xml:space="preserve">predikovat </w:t>
      </w:r>
      <w:r w:rsidR="08332E25">
        <w:t>i do reálných věcí, protože jsoucn</w:t>
      </w:r>
      <w:r w:rsidR="08A2715A">
        <w:t xml:space="preserve">a třetího druhu </w:t>
      </w:r>
      <w:r w:rsidR="08622446">
        <w:t xml:space="preserve">supozičně </w:t>
      </w:r>
      <w:r w:rsidR="08A2715A">
        <w:t>„exsistují“ všude</w:t>
      </w:r>
      <w:r w:rsidR="009A2BD4">
        <w:t>. Intencionalita daná skrze růz</w:t>
      </w:r>
      <w:r w:rsidR="08AF1113">
        <w:t>né formy diafanum je zbytečná</w:t>
      </w:r>
      <w:r w:rsidR="08AB1154">
        <w:t>, protože ostenze z reality je pro moderní poznání až druhořadá</w:t>
      </w:r>
      <w:r w:rsidR="08AF1113">
        <w:t>. I</w:t>
      </w:r>
      <w:r w:rsidR="009A2BD4">
        <w:t>ntelekt-slunce nasvěcuje věci přímo</w:t>
      </w:r>
      <w:r w:rsidR="084F54A1">
        <w:t xml:space="preserve"> a mytopoetický iluminát také poznáv</w:t>
      </w:r>
      <w:r w:rsidR="08BA6783">
        <w:t xml:space="preserve">á </w:t>
      </w:r>
      <w:r w:rsidR="08BA6783" w:rsidRPr="08BA6783">
        <w:rPr>
          <w:i/>
        </w:rPr>
        <w:t>tertium ens</w:t>
      </w:r>
      <w:r w:rsidR="08BA6783">
        <w:t xml:space="preserve"> přímo</w:t>
      </w:r>
      <w:r w:rsidR="009A2BD4">
        <w:t xml:space="preserve">. </w:t>
      </w:r>
      <w:r w:rsidR="00167507" w:rsidRPr="00273106">
        <w:t>Rufus za</w:t>
      </w:r>
      <w:r w:rsidR="0889277C">
        <w:t>vádí první známý rozdíl mezi dvěma rovinami intencionality, které</w:t>
      </w:r>
      <w:r w:rsidR="00167507" w:rsidRPr="00273106">
        <w:t xml:space="preserve"> následující tradice</w:t>
      </w:r>
      <w:r w:rsidR="00167507">
        <w:t xml:space="preserve"> etablovaná Scotem chápe pojmy </w:t>
      </w:r>
      <w:r w:rsidR="00167507">
        <w:rPr>
          <w:i/>
        </w:rPr>
        <w:t>intentio prima</w:t>
      </w:r>
      <w:r w:rsidR="00167507" w:rsidRPr="00273106">
        <w:rPr>
          <w:i/>
        </w:rPr>
        <w:t xml:space="preserve"> </w:t>
      </w:r>
      <w:r w:rsidR="00167507" w:rsidRPr="00273106">
        <w:t>a</w:t>
      </w:r>
      <w:r w:rsidR="00167507">
        <w:rPr>
          <w:i/>
        </w:rPr>
        <w:t xml:space="preserve"> </w:t>
      </w:r>
      <w:r w:rsidR="00167507" w:rsidRPr="00273106">
        <w:rPr>
          <w:i/>
        </w:rPr>
        <w:t>intentio secunda</w:t>
      </w:r>
      <w:r w:rsidR="00167507">
        <w:fldChar w:fldCharType="begin"/>
      </w:r>
      <w:r w:rsidR="00167507">
        <w:instrText xml:space="preserve"> XE "</w:instrText>
      </w:r>
      <w:r w:rsidR="00167507" w:rsidRPr="00C75B79">
        <w:instrText>intencionalita:Rufus</w:instrText>
      </w:r>
      <w:r w:rsidR="00167507">
        <w:instrText xml:space="preserve">" </w:instrText>
      </w:r>
      <w:r w:rsidR="00167507">
        <w:fldChar w:fldCharType="end"/>
      </w:r>
      <w:r w:rsidR="00167507" w:rsidRPr="00273106">
        <w:t xml:space="preserve">. </w:t>
      </w:r>
      <w:r w:rsidR="00167507">
        <w:t xml:space="preserve"> </w:t>
      </w:r>
      <w:r w:rsidR="009A2BD4">
        <w:t>Iluminát vidí v prvním náhledu přímo esence (</w:t>
      </w:r>
      <w:r w:rsidR="009A2BD4" w:rsidRPr="00684403">
        <w:rPr>
          <w:i/>
        </w:rPr>
        <w:t>intentio prima</w:t>
      </w:r>
      <w:r w:rsidR="009A2BD4">
        <w:t>) a ve druhém náhledu najde její kontingentní výskyt ve věci (</w:t>
      </w:r>
      <w:r w:rsidR="009A2BD4" w:rsidRPr="00684403">
        <w:rPr>
          <w:i/>
        </w:rPr>
        <w:t>intentio secunda</w:t>
      </w:r>
      <w:r w:rsidR="009A2BD4">
        <w:t>)</w:t>
      </w:r>
      <w:r w:rsidR="00B0593E">
        <w:fldChar w:fldCharType="begin"/>
      </w:r>
      <w:r w:rsidR="00B0593E">
        <w:instrText xml:space="preserve"> XE "intencionalita</w:instrText>
      </w:r>
      <w:r w:rsidR="00B0593E" w:rsidRPr="00A824F0">
        <w:instrText>:</w:instrText>
      </w:r>
      <w:r w:rsidR="00B0593E">
        <w:instrText xml:space="preserve">Rufus" </w:instrText>
      </w:r>
      <w:r w:rsidR="00B0593E">
        <w:fldChar w:fldCharType="end"/>
      </w:r>
      <w:r w:rsidR="009A2BD4">
        <w:t xml:space="preserve">. </w:t>
      </w:r>
      <w:r w:rsidR="084D172F">
        <w:t xml:space="preserve">Tím padl rozdíl mezi primární smyslovou a aktuální intencí danou ve </w:t>
      </w:r>
      <w:r w:rsidR="004B4D52" w:rsidRPr="004B4D52">
        <w:t>species</w:t>
      </w:r>
      <w:r w:rsidR="084D172F" w:rsidRPr="084D172F">
        <w:rPr>
          <w:i/>
        </w:rPr>
        <w:t xml:space="preserve"> sensibilis</w:t>
      </w:r>
      <w:r w:rsidR="084D172F">
        <w:t xml:space="preserve"> a sekundární nemateriální a čistě formální intencí danou ve </w:t>
      </w:r>
      <w:r w:rsidR="004B4D52" w:rsidRPr="004B4D52">
        <w:t>species</w:t>
      </w:r>
      <w:r w:rsidR="084D172F" w:rsidRPr="084D172F">
        <w:rPr>
          <w:i/>
        </w:rPr>
        <w:t xml:space="preserve"> intelligibilis</w:t>
      </w:r>
      <w:r w:rsidR="084D172F">
        <w:t xml:space="preserve">. </w:t>
      </w:r>
      <w:r w:rsidR="001E6C9B" w:rsidRPr="00273106">
        <w:t xml:space="preserve">Nový způsob vidění světa </w:t>
      </w:r>
      <w:r w:rsidR="083115DF">
        <w:t xml:space="preserve">vědecky </w:t>
      </w:r>
      <w:r w:rsidR="00B96475" w:rsidRPr="00273106">
        <w:t>nap</w:t>
      </w:r>
      <w:r w:rsidR="002C043C">
        <w:t xml:space="preserve">lnil porretánské motto </w:t>
      </w:r>
      <w:r w:rsidR="00B96475" w:rsidRPr="00273106">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B96475" w:rsidRPr="00273106">
        <w:t xml:space="preserve"> a </w:t>
      </w:r>
      <w:r w:rsidR="001E6C9B" w:rsidRPr="00273106">
        <w:t xml:space="preserve">zakládá </w:t>
      </w:r>
      <w:r w:rsidR="08D96EE2">
        <w:t xml:space="preserve">analogické </w:t>
      </w:r>
      <w:r w:rsidR="001E6C9B" w:rsidRPr="00273106">
        <w:t xml:space="preserve">vidění </w:t>
      </w:r>
      <w:r w:rsidR="08D96EE2">
        <w:t xml:space="preserve">a predikaci </w:t>
      </w:r>
      <w:r w:rsidR="001E6C9B" w:rsidRPr="00273106">
        <w:t xml:space="preserve">nového druhu </w:t>
      </w:r>
      <w:r w:rsidR="00B96475" w:rsidRPr="00273106">
        <w:t>individuálně pojatých univerzálií</w:t>
      </w:r>
      <w:r w:rsidR="00BB10EE" w:rsidRPr="00273106">
        <w:t xml:space="preserve"> jako posledních univočních a společných jednotek významu jsoucna</w:t>
      </w:r>
      <w:r w:rsidR="001E6C9B" w:rsidRPr="00273106">
        <w:t xml:space="preserve">. </w:t>
      </w:r>
      <w:r w:rsidR="00F842C4" w:rsidRPr="00273106">
        <w:t xml:space="preserve">Poznání </w:t>
      </w:r>
      <w:r w:rsidR="00F842C4">
        <w:t xml:space="preserve">reality ve druhém averroismu </w:t>
      </w:r>
      <w:r w:rsidR="00F842C4" w:rsidRPr="00273106">
        <w:t>není založeno na aristotelském procesu abstrakce</w:t>
      </w:r>
      <w:r w:rsidR="08B739F3">
        <w:t>, ale na neoplatonské univerzální analogii</w:t>
      </w:r>
      <w:r w:rsidR="00F842C4" w:rsidRPr="00273106">
        <w:t xml:space="preserve">. </w:t>
      </w:r>
      <w:r w:rsidR="08B739F3">
        <w:t>A</w:t>
      </w:r>
      <w:r w:rsidR="08B739F3" w:rsidRPr="00273106">
        <w:t>ristotelsk</w:t>
      </w:r>
      <w:r w:rsidR="08B739F3">
        <w:t xml:space="preserve">á </w:t>
      </w:r>
      <w:r w:rsidR="08B739F3" w:rsidRPr="00273106">
        <w:t>abstrakce</w:t>
      </w:r>
      <w:r w:rsidR="00F842C4" w:rsidRPr="00273106">
        <w:t xml:space="preserve"> začíná u existence první substance a v intelektu směřuje k univerzální a univoční predikaci toho, co je v reálu dáno singulárně a </w:t>
      </w:r>
      <w:r w:rsidR="00F842C4" w:rsidRPr="00273106">
        <w:rPr>
          <w:i/>
        </w:rPr>
        <w:t>simpliciter</w:t>
      </w:r>
      <w:r w:rsidR="00F842C4" w:rsidRPr="00273106">
        <w:t>. Analytická škola udělala z existence pouhý</w:t>
      </w:r>
      <w:r w:rsidR="089D4EA1">
        <w:t xml:space="preserve"> akcident přidaný zvnějšku k es</w:t>
      </w:r>
      <w:r w:rsidR="00F842C4" w:rsidRPr="00273106">
        <w:t>enci, a navíc daný pouze v procesu náhodných akcidentálních určení</w:t>
      </w:r>
      <w:r w:rsidR="006B3A5F">
        <w:t xml:space="preserve">, sebraných </w:t>
      </w:r>
      <w:r w:rsidR="08B05054">
        <w:t>v modu porretánské kolekce hypostází</w:t>
      </w:r>
      <w:r w:rsidR="006B2B4D">
        <w:t>.</w:t>
      </w:r>
    </w:p>
    <w:p w14:paraId="39341215" w14:textId="01A29C95" w:rsidR="00562AB1" w:rsidRPr="00273106" w:rsidRDefault="00F842C4" w:rsidP="006B2B4D">
      <w:pPr>
        <w:ind w:firstLine="397"/>
      </w:pPr>
      <w:r w:rsidRPr="00273106">
        <w:t>Rufusův komentář k </w:t>
      </w:r>
      <w:r w:rsidRPr="009D7CEA">
        <w:rPr>
          <w:i/>
        </w:rPr>
        <w:t>Metafyzice</w:t>
      </w:r>
      <w:r w:rsidRPr="00273106">
        <w:t xml:space="preserve"> (</w:t>
      </w:r>
      <w:r w:rsidRPr="00273106">
        <w:rPr>
          <w:i/>
        </w:rPr>
        <w:t>Memoriale in Metaphysicam Aristotelis</w:t>
      </w:r>
      <w:r w:rsidRPr="00273106">
        <w:t xml:space="preserve">, 1231–35) </w:t>
      </w:r>
      <w:r w:rsidR="083209C7">
        <w:t xml:space="preserve">byl </w:t>
      </w:r>
      <w:r w:rsidRPr="00273106">
        <w:t xml:space="preserve">napsaný </w:t>
      </w:r>
      <w:r>
        <w:t>souběžně s komentářem</w:t>
      </w:r>
      <w:r w:rsidRPr="00273106">
        <w:t xml:space="preserve"> ke </w:t>
      </w:r>
      <w:r w:rsidRPr="009D7CEA">
        <w:rPr>
          <w:i/>
        </w:rPr>
        <w:t>Druhým analytikám</w:t>
      </w:r>
      <w:r w:rsidR="083209C7">
        <w:t xml:space="preserve">. Komentář </w:t>
      </w:r>
      <w:r>
        <w:t xml:space="preserve">vztahuje </w:t>
      </w:r>
      <w:r w:rsidRPr="00273106">
        <w:t xml:space="preserve">existenci </w:t>
      </w:r>
      <w:r>
        <w:t xml:space="preserve">nikoliv k </w:t>
      </w:r>
      <w:r w:rsidRPr="00273106">
        <w:t>reálné věci</w:t>
      </w:r>
      <w:r>
        <w:t>, ale k subsistenci hypostázovaného individua (</w:t>
      </w:r>
      <w:r w:rsidRPr="006C0A36">
        <w:rPr>
          <w:i/>
        </w:rPr>
        <w:t>individuum habet propriam essentiam superadditam essentiae speciei</w:t>
      </w:r>
      <w:r>
        <w:t>).</w:t>
      </w:r>
      <w:r w:rsidRPr="00273106">
        <w:rPr>
          <w:rStyle w:val="Znakapoznpodarou"/>
        </w:rPr>
        <w:footnoteReference w:id="396"/>
      </w:r>
      <w:r>
        <w:t xml:space="preserve"> </w:t>
      </w:r>
      <w:r w:rsidRPr="00273106">
        <w:t xml:space="preserve"> </w:t>
      </w:r>
      <w:r>
        <w:t xml:space="preserve">Existence dodala nový </w:t>
      </w:r>
      <w:r w:rsidRPr="00273106">
        <w:t xml:space="preserve">akcident </w:t>
      </w:r>
      <w:r>
        <w:t xml:space="preserve">dodatečně </w:t>
      </w:r>
      <w:r w:rsidRPr="00273106">
        <w:t xml:space="preserve">přidaný </w:t>
      </w:r>
      <w:r w:rsidR="009D7CEA" w:rsidRPr="00273106">
        <w:t>(</w:t>
      </w:r>
      <w:r w:rsidR="009D7CEA" w:rsidRPr="00273106">
        <w:rPr>
          <w:i/>
        </w:rPr>
        <w:t>superadditum</w:t>
      </w:r>
      <w:r w:rsidR="009D7CEA" w:rsidRPr="00273106">
        <w:t>)</w:t>
      </w:r>
      <w:r w:rsidR="009D7CEA">
        <w:t xml:space="preserve"> </w:t>
      </w:r>
      <w:r>
        <w:t xml:space="preserve">k trvalé </w:t>
      </w:r>
      <w:r w:rsidRPr="00273106">
        <w:t>kategoriální substanci-</w:t>
      </w:r>
      <w:r w:rsidR="004B4D52" w:rsidRPr="004B4D52">
        <w:t>species</w:t>
      </w:r>
      <w:r w:rsidRPr="00273106">
        <w:t xml:space="preserve">. Archetypický vzor tohoto poznání reality podal </w:t>
      </w:r>
      <w:r w:rsidR="08B07C73">
        <w:t xml:space="preserve">Avicenna. </w:t>
      </w:r>
      <w:r w:rsidRPr="00273106">
        <w:t>Viz jeho pojetí stvoření dané v rámci ontoteologické komitace</w:t>
      </w:r>
      <w:r w:rsidR="000E492D">
        <w:fldChar w:fldCharType="begin"/>
      </w:r>
      <w:r w:rsidR="000E492D">
        <w:instrText xml:space="preserve"> XE "</w:instrText>
      </w:r>
      <w:r w:rsidR="000E492D" w:rsidRPr="00467B7F">
        <w:instrText>komitace</w:instrText>
      </w:r>
      <w:r w:rsidR="000E492D">
        <w:instrText xml:space="preserve">" </w:instrText>
      </w:r>
      <w:r w:rsidR="000E492D">
        <w:fldChar w:fldCharType="end"/>
      </w:r>
      <w:r w:rsidR="000E492D">
        <w:t xml:space="preserve"> </w:t>
      </w:r>
      <w:r w:rsidR="000E492D" w:rsidRPr="00273106">
        <w:t>(</w:t>
      </w:r>
      <w:r w:rsidR="000E492D">
        <w:t xml:space="preserve">OBJ I, </w:t>
      </w:r>
      <w:r w:rsidR="000E492D" w:rsidRPr="00273106">
        <w:t>kap. 2.3.3)</w:t>
      </w:r>
      <w:r w:rsidR="000E492D">
        <w:t xml:space="preserve">. K </w:t>
      </w:r>
      <w:r w:rsidRPr="00273106">
        <w:t xml:space="preserve">archetypickému, nutnému a univerzálnímu určení věci v boží mysli na věčnosti </w:t>
      </w:r>
      <w:r w:rsidR="000E492D">
        <w:t xml:space="preserve">se </w:t>
      </w:r>
      <w:r w:rsidRPr="00273106">
        <w:t>přidá aktua</w:t>
      </w:r>
      <w:r w:rsidR="089D4EA1">
        <w:t>lizace či pouhá potence dané es</w:t>
      </w:r>
      <w:r w:rsidR="000E492D">
        <w:t>ence v čase</w:t>
      </w:r>
      <w:r w:rsidRPr="00273106">
        <w:t xml:space="preserve">. Rufus originálním způsobem pokračuje v této </w:t>
      </w:r>
      <w:r w:rsidR="00874074">
        <w:t>neoplatonsk</w:t>
      </w:r>
      <w:r w:rsidRPr="00273106">
        <w:t xml:space="preserve">é ontoteologii založené na </w:t>
      </w:r>
      <w:r w:rsidR="083A3E00">
        <w:t xml:space="preserve">komitaci </w:t>
      </w:r>
      <w:r w:rsidR="08DE44D8">
        <w:t xml:space="preserve">subsistentních </w:t>
      </w:r>
      <w:r w:rsidRPr="00273106">
        <w:t>forem</w:t>
      </w:r>
      <w:r w:rsidR="00896DA2">
        <w:fldChar w:fldCharType="begin"/>
      </w:r>
      <w:r w:rsidR="00896DA2">
        <w:instrText xml:space="preserve"> XE "</w:instrText>
      </w:r>
      <w:r w:rsidR="00896DA2">
        <w:rPr>
          <w:rStyle w:val="addmd"/>
        </w:rPr>
        <w:instrText>emanace</w:instrText>
      </w:r>
      <w:r w:rsidR="00896DA2">
        <w:instrText xml:space="preserve">" </w:instrText>
      </w:r>
      <w:r w:rsidR="00896DA2">
        <w:fldChar w:fldCharType="end"/>
      </w:r>
      <w:r w:rsidRPr="00273106">
        <w:t>, což odmítli př</w:t>
      </w:r>
      <w:r w:rsidR="00CB770C">
        <w:t xml:space="preserve">edstavitelé prvního averroismu. </w:t>
      </w:r>
      <w:r w:rsidR="00CB770C" w:rsidRPr="00CB770C">
        <w:t xml:space="preserve">Taková intencionalita předpokládá vnější </w:t>
      </w:r>
      <w:r w:rsidR="00CB770C" w:rsidRPr="00CB770C">
        <w:rPr>
          <w:i/>
        </w:rPr>
        <w:t>intellectus agens</w:t>
      </w:r>
      <w:r w:rsidR="00CB770C" w:rsidRPr="00CB770C">
        <w:t xml:space="preserve">, který působí na lidskou duši shora.  Grosseteste proti tomu postavil pojetí intelektu jako vnitřní formy, </w:t>
      </w:r>
      <w:r w:rsidR="00CB770C">
        <w:t>která</w:t>
      </w:r>
      <w:r w:rsidR="00CB770C" w:rsidRPr="00273106">
        <w:t xml:space="preserve"> přichází </w:t>
      </w:r>
      <w:r w:rsidR="00CB770C">
        <w:t>(</w:t>
      </w:r>
      <w:r w:rsidR="00CB770C" w:rsidRPr="00CD4733">
        <w:rPr>
          <w:i/>
        </w:rPr>
        <w:t>superveniens</w:t>
      </w:r>
      <w:r w:rsidR="00CB770C">
        <w:t xml:space="preserve">) </w:t>
      </w:r>
      <w:r w:rsidR="00CB770C" w:rsidRPr="00273106">
        <w:t xml:space="preserve">k duševním výkonům </w:t>
      </w:r>
      <w:r w:rsidR="00CB770C">
        <w:t xml:space="preserve">tělesně dané </w:t>
      </w:r>
      <w:r w:rsidR="00CB770C" w:rsidRPr="00273106">
        <w:t>duše (</w:t>
      </w:r>
      <w:r w:rsidR="00CB770C" w:rsidRPr="00273106">
        <w:rPr>
          <w:i/>
          <w:szCs w:val="22"/>
        </w:rPr>
        <w:t>immediate advenit formae non situali</w:t>
      </w:r>
      <w:r w:rsidR="00CB770C">
        <w:rPr>
          <w:szCs w:val="22"/>
        </w:rPr>
        <w:t>, kap. 3</w:t>
      </w:r>
      <w:r w:rsidR="00CB770C" w:rsidRPr="08B07C73">
        <w:rPr>
          <w:szCs w:val="22"/>
        </w:rPr>
        <w:t>.2</w:t>
      </w:r>
      <w:r w:rsidR="00CB770C">
        <w:t xml:space="preserve">). </w:t>
      </w:r>
      <w:r w:rsidR="08B07C73">
        <w:t>Co původně platilo jen pro lidský intel</w:t>
      </w:r>
      <w:r w:rsidR="08DB79C9">
        <w:t>ekt jako specifickou formu duše, to nyní platí obe</w:t>
      </w:r>
      <w:r w:rsidR="08B07C73">
        <w:t>c</w:t>
      </w:r>
      <w:r w:rsidR="08DB79C9">
        <w:t>ně</w:t>
      </w:r>
      <w:r w:rsidR="08B07C73">
        <w:t xml:space="preserve"> pro všechny porretánské hypostáze</w:t>
      </w:r>
      <w:r w:rsidR="08DB79C9">
        <w:t>-individua</w:t>
      </w:r>
      <w:r w:rsidR="08B07C73">
        <w:t>. J</w:t>
      </w:r>
      <w:r w:rsidR="000C1785">
        <w:t xml:space="preserve">ednota reálných jsoucen je predikována skrze hypostázované </w:t>
      </w:r>
      <w:r w:rsidR="00336D2E" w:rsidRPr="00273106">
        <w:t>určení</w:t>
      </w:r>
      <w:r w:rsidR="000C1785">
        <w:t xml:space="preserve"> kvantity, kterou</w:t>
      </w:r>
      <w:r w:rsidR="00336D2E" w:rsidRPr="00273106">
        <w:t xml:space="preserve"> první averroismus </w:t>
      </w:r>
      <w:r w:rsidR="00CE1B80" w:rsidRPr="00273106">
        <w:t xml:space="preserve">považoval za </w:t>
      </w:r>
      <w:r w:rsidR="00216279" w:rsidRPr="00273106">
        <w:t xml:space="preserve">pouhý </w:t>
      </w:r>
      <w:r w:rsidR="00336D2E" w:rsidRPr="00273106">
        <w:t>akcident.</w:t>
      </w:r>
      <w:r w:rsidR="00216279" w:rsidRPr="00273106">
        <w:t xml:space="preserve"> </w:t>
      </w:r>
      <w:r w:rsidR="000B72E6" w:rsidRPr="00273106">
        <w:t xml:space="preserve">Základem nové jednoty světa je </w:t>
      </w:r>
      <w:r w:rsidR="00874074">
        <w:t>neoplatonsk</w:t>
      </w:r>
      <w:r w:rsidR="000B72E6" w:rsidRPr="00273106">
        <w:t>ý statut rozsažnosti, který jsme analyzovali u Simplikia</w:t>
      </w:r>
      <w:r w:rsidR="008E5CD8">
        <w:t xml:space="preserve"> a jeho následovníků (</w:t>
      </w:r>
      <w:r w:rsidR="083209C7">
        <w:t xml:space="preserve">OBJ I, </w:t>
      </w:r>
      <w:r w:rsidR="084E7952">
        <w:t>kap. 1.3</w:t>
      </w:r>
      <w:r w:rsidR="008E5CD8">
        <w:t>.3</w:t>
      </w:r>
      <w:r w:rsidR="000B72E6" w:rsidRPr="00273106">
        <w:t xml:space="preserve">). </w:t>
      </w:r>
      <w:r w:rsidR="00216279" w:rsidRPr="00273106">
        <w:t xml:space="preserve">Rufus vidí novou jednotu světa, v níž </w:t>
      </w:r>
      <w:r w:rsidR="00497A32">
        <w:t xml:space="preserve">je možné predikovat jednotu pomocí </w:t>
      </w:r>
      <w:r w:rsidR="0008587E">
        <w:t xml:space="preserve">rodových a specifických </w:t>
      </w:r>
      <w:r w:rsidR="00216279" w:rsidRPr="00273106">
        <w:t xml:space="preserve">určení </w:t>
      </w:r>
      <w:r w:rsidR="00874074">
        <w:t>neoplatonsk</w:t>
      </w:r>
      <w:r w:rsidR="00216279" w:rsidRPr="00273106">
        <w:t>ého typu.</w:t>
      </w:r>
      <w:r w:rsidR="004C66FE">
        <w:t xml:space="preserve"> </w:t>
      </w:r>
      <w:r w:rsidR="08656588">
        <w:t>M</w:t>
      </w:r>
      <w:r w:rsidR="08656588" w:rsidRPr="00273106">
        <w:t xml:space="preserve">imo univocitu a ekvivocitu kategoriální predikace existuje i </w:t>
      </w:r>
      <w:r w:rsidR="08656588">
        <w:t xml:space="preserve">třetí definice </w:t>
      </w:r>
      <w:r w:rsidR="00B761E9">
        <w:t xml:space="preserve">deduktivního soudu </w:t>
      </w:r>
      <w:r w:rsidR="08656588" w:rsidRPr="00273106">
        <w:t>(</w:t>
      </w:r>
      <w:r w:rsidR="08656588" w:rsidRPr="00273106">
        <w:rPr>
          <w:i/>
        </w:rPr>
        <w:t>medio modo</w:t>
      </w:r>
      <w:r w:rsidR="08656588">
        <w:t>) daná v rámci matematické abstrakce</w:t>
      </w:r>
      <w:r w:rsidR="08656588" w:rsidRPr="00273106">
        <w:t>.</w:t>
      </w:r>
      <w:r w:rsidR="08656588">
        <w:t xml:space="preserve"> </w:t>
      </w:r>
      <w:r w:rsidR="004C66FE">
        <w:t>Filosofický projekt matematizace světa</w:t>
      </w:r>
      <w:r w:rsidR="009B1E57">
        <w:t xml:space="preserve"> </w:t>
      </w:r>
      <w:r w:rsidR="004C66FE">
        <w:t>oslavované Husserlem jako základní náhled západní</w:t>
      </w:r>
      <w:r w:rsidR="006805DA">
        <w:t>ho myšlení</w:t>
      </w:r>
      <w:r w:rsidR="004C66FE">
        <w:t xml:space="preserve"> vzniká v tomto citátu.</w:t>
      </w:r>
      <w:r w:rsidR="003F1FE3">
        <w:t xml:space="preserve"> </w:t>
      </w:r>
      <w:r w:rsidR="003F1FE3" w:rsidRPr="003F1FE3">
        <w:t xml:space="preserve">Rufus </w:t>
      </w:r>
      <w:r w:rsidR="003F1FE3">
        <w:t>vychází z </w:t>
      </w:r>
      <w:r w:rsidR="003F1FE3" w:rsidRPr="003F1FE3">
        <w:t>nominalistick</w:t>
      </w:r>
      <w:r w:rsidR="003F1FE3">
        <w:t xml:space="preserve">é </w:t>
      </w:r>
      <w:r w:rsidR="003F1FE3" w:rsidRPr="003F1FE3">
        <w:t>definic</w:t>
      </w:r>
      <w:r w:rsidR="003F1FE3">
        <w:t>e</w:t>
      </w:r>
      <w:r w:rsidR="003F1FE3" w:rsidRPr="003F1FE3">
        <w:t xml:space="preserve"> univo</w:t>
      </w:r>
      <w:r w:rsidR="003F1FE3">
        <w:t xml:space="preserve">city </w:t>
      </w:r>
      <w:r w:rsidR="003F1FE3" w:rsidRPr="003F1FE3">
        <w:t xml:space="preserve">a homonymie. </w:t>
      </w:r>
      <w:r w:rsidR="003F1FE3">
        <w:t xml:space="preserve">Definice vychází z nasvícení jsoucna </w:t>
      </w:r>
      <w:r w:rsidR="003F1FE3" w:rsidRPr="003F1FE3">
        <w:t xml:space="preserve">zezadu, od poznávajícího subjektu. Nejdůležitější </w:t>
      </w:r>
      <w:r w:rsidR="003F1FE3">
        <w:t xml:space="preserve">komentář </w:t>
      </w:r>
      <w:r w:rsidR="003F1FE3" w:rsidRPr="003F1FE3">
        <w:t>se týká definice analogie</w:t>
      </w:r>
      <w:r w:rsidR="00635E54">
        <w:fldChar w:fldCharType="begin"/>
      </w:r>
      <w:r w:rsidR="00635E54">
        <w:instrText xml:space="preserve"> XE "</w:instrText>
      </w:r>
      <w:r w:rsidR="00635E54" w:rsidRPr="00AA2F3A">
        <w:instrText>analogie:Rufus</w:instrText>
      </w:r>
      <w:r w:rsidR="00635E54">
        <w:instrText xml:space="preserve">" </w:instrText>
      </w:r>
      <w:r w:rsidR="00635E54">
        <w:fldChar w:fldCharType="end"/>
      </w:r>
      <w:r w:rsidR="003F1FE3" w:rsidRPr="003F1FE3">
        <w:t>.</w:t>
      </w:r>
    </w:p>
    <w:p w14:paraId="1DA68919" w14:textId="4C64F2FF" w:rsidR="00DD39FF" w:rsidRPr="00273106" w:rsidRDefault="00562AB1" w:rsidP="001B0960">
      <w:pPr>
        <w:pStyle w:val="Citace"/>
        <w:rPr>
          <w:noProof/>
          <w:lang w:val="cs-CZ"/>
        </w:rPr>
      </w:pPr>
      <w:r w:rsidRPr="00273106">
        <w:rPr>
          <w:noProof/>
          <w:lang w:val="cs-CZ"/>
        </w:rPr>
        <w:t>„</w:t>
      </w:r>
      <w:r w:rsidR="007C7873" w:rsidRPr="00273106">
        <w:rPr>
          <w:noProof/>
          <w:lang w:val="cs-CZ"/>
        </w:rPr>
        <w:t xml:space="preserve">Predikace </w:t>
      </w:r>
      <w:r w:rsidR="00E52B60">
        <w:rPr>
          <w:noProof/>
          <w:lang w:val="cs-CZ"/>
        </w:rPr>
        <w:t xml:space="preserve">daná analogicky </w:t>
      </w:r>
      <w:r w:rsidR="0080382C">
        <w:rPr>
          <w:noProof/>
          <w:lang w:val="cs-CZ"/>
        </w:rPr>
        <w:t>(</w:t>
      </w:r>
      <w:r w:rsidR="0080382C" w:rsidRPr="0080382C">
        <w:rPr>
          <w:i/>
        </w:rPr>
        <w:t>medio modo</w:t>
      </w:r>
      <w:r w:rsidR="0080382C">
        <w:rPr>
          <w:noProof/>
          <w:lang w:val="cs-CZ"/>
        </w:rPr>
        <w:t xml:space="preserve">) </w:t>
      </w:r>
      <w:r w:rsidR="007C7873" w:rsidRPr="00273106">
        <w:rPr>
          <w:noProof/>
          <w:lang w:val="cs-CZ"/>
        </w:rPr>
        <w:t>je dána dvojím způsobem. B</w:t>
      </w:r>
      <w:r w:rsidR="00D30AEE">
        <w:rPr>
          <w:noProof/>
          <w:lang w:val="cs-CZ"/>
        </w:rPr>
        <w:t xml:space="preserve">uď je dána jedna intence </w:t>
      </w:r>
      <w:r w:rsidR="08D57F96">
        <w:rPr>
          <w:noProof/>
          <w:lang w:val="cs-CZ"/>
        </w:rPr>
        <w:t xml:space="preserve">v jednotlivinách </w:t>
      </w:r>
      <w:r w:rsidR="007C7873" w:rsidRPr="00273106">
        <w:rPr>
          <w:noProof/>
          <w:lang w:val="cs-CZ"/>
        </w:rPr>
        <w:t xml:space="preserve">odlišných podle různě dané přirozenosti. </w:t>
      </w:r>
      <w:r w:rsidR="00253A47">
        <w:rPr>
          <w:noProof/>
          <w:lang w:val="cs-CZ"/>
        </w:rPr>
        <w:t xml:space="preserve">To je </w:t>
      </w:r>
      <w:r w:rsidR="007C7873" w:rsidRPr="00273106">
        <w:rPr>
          <w:noProof/>
          <w:lang w:val="cs-CZ"/>
        </w:rPr>
        <w:t xml:space="preserve">v případě určení zvaného „kvantita“, protože celek kvantity je dán </w:t>
      </w:r>
      <w:r w:rsidR="00D87B47" w:rsidRPr="00273106">
        <w:rPr>
          <w:noProof/>
          <w:lang w:val="cs-CZ"/>
        </w:rPr>
        <w:t xml:space="preserve">v intenci, která je </w:t>
      </w:r>
      <w:r w:rsidR="00BD0446">
        <w:rPr>
          <w:noProof/>
          <w:lang w:val="cs-CZ"/>
        </w:rPr>
        <w:t xml:space="preserve">její </w:t>
      </w:r>
      <w:r w:rsidR="007C7873" w:rsidRPr="00273106">
        <w:rPr>
          <w:noProof/>
          <w:lang w:val="cs-CZ"/>
        </w:rPr>
        <w:t>mírou</w:t>
      </w:r>
      <w:r w:rsidR="00D30AEE">
        <w:rPr>
          <w:noProof/>
          <w:lang w:val="cs-CZ"/>
        </w:rPr>
        <w:t xml:space="preserve"> </w:t>
      </w:r>
      <w:r w:rsidR="00D30AEE" w:rsidRPr="00D30AEE">
        <w:t>(</w:t>
      </w:r>
      <w:r w:rsidR="00D30AEE" w:rsidRPr="00D30AEE">
        <w:rPr>
          <w:i/>
        </w:rPr>
        <w:t>omnis quantitas communicat in hac intentione quae est mensura</w:t>
      </w:r>
      <w:r w:rsidR="00D30AEE" w:rsidRPr="00D30AEE">
        <w:t>)</w:t>
      </w:r>
      <w:r w:rsidR="007C7873" w:rsidRPr="00273106">
        <w:rPr>
          <w:noProof/>
          <w:lang w:val="cs-CZ"/>
        </w:rPr>
        <w:t>. Ale tato intenc</w:t>
      </w:r>
      <w:r w:rsidR="00BD0446">
        <w:rPr>
          <w:noProof/>
          <w:lang w:val="cs-CZ"/>
        </w:rPr>
        <w:t xml:space="preserve">e </w:t>
      </w:r>
      <w:r w:rsidR="00F7563F" w:rsidRPr="00273106">
        <w:rPr>
          <w:noProof/>
          <w:lang w:val="cs-CZ"/>
        </w:rPr>
        <w:t xml:space="preserve">numericky </w:t>
      </w:r>
      <w:r w:rsidR="00BD0446">
        <w:rPr>
          <w:noProof/>
          <w:lang w:val="cs-CZ"/>
        </w:rPr>
        <w:t xml:space="preserve">odlišných jednotlivin </w:t>
      </w:r>
      <w:r w:rsidR="00F7563F" w:rsidRPr="00273106">
        <w:rPr>
          <w:noProof/>
          <w:lang w:val="cs-CZ"/>
        </w:rPr>
        <w:t xml:space="preserve">je </w:t>
      </w:r>
      <w:r w:rsidR="007D28BA" w:rsidRPr="00273106">
        <w:rPr>
          <w:noProof/>
          <w:lang w:val="cs-CZ"/>
        </w:rPr>
        <w:t>kauzál</w:t>
      </w:r>
      <w:r w:rsidR="00F7563F" w:rsidRPr="00273106">
        <w:rPr>
          <w:noProof/>
          <w:lang w:val="cs-CZ"/>
        </w:rPr>
        <w:t xml:space="preserve">ně založena </w:t>
      </w:r>
      <w:r w:rsidR="00253A47">
        <w:rPr>
          <w:noProof/>
          <w:lang w:val="cs-CZ"/>
        </w:rPr>
        <w:t>vzhledem k původní matematické jednotě</w:t>
      </w:r>
      <w:r w:rsidR="00FF16D9">
        <w:rPr>
          <w:noProof/>
          <w:lang w:val="cs-CZ"/>
        </w:rPr>
        <w:t xml:space="preserve"> (</w:t>
      </w:r>
      <w:r w:rsidR="00FF16D9" w:rsidRPr="00FF16D9">
        <w:rPr>
          <w:i/>
        </w:rPr>
        <w:t>intentio in numero causatur a natura unitatis</w:t>
      </w:r>
      <w:r w:rsidR="00FF16D9">
        <w:rPr>
          <w:noProof/>
          <w:lang w:val="cs-CZ"/>
        </w:rPr>
        <w:t>)</w:t>
      </w:r>
      <w:r w:rsidR="007C7873" w:rsidRPr="00273106">
        <w:rPr>
          <w:noProof/>
          <w:lang w:val="cs-CZ"/>
        </w:rPr>
        <w:t>; v geometri</w:t>
      </w:r>
      <w:r w:rsidR="00F7563F" w:rsidRPr="00273106">
        <w:rPr>
          <w:noProof/>
          <w:lang w:val="cs-CZ"/>
        </w:rPr>
        <w:t xml:space="preserve">cké rozsažnosti je </w:t>
      </w:r>
      <w:r w:rsidR="00FF16D9" w:rsidRPr="00273106">
        <w:rPr>
          <w:noProof/>
          <w:lang w:val="cs-CZ"/>
        </w:rPr>
        <w:t xml:space="preserve">kauzálně založena </w:t>
      </w:r>
      <w:r w:rsidR="00F7563F" w:rsidRPr="00273106">
        <w:rPr>
          <w:noProof/>
          <w:lang w:val="cs-CZ"/>
        </w:rPr>
        <w:t>od bodu</w:t>
      </w:r>
      <w:r w:rsidR="007C7873" w:rsidRPr="00273106">
        <w:rPr>
          <w:noProof/>
          <w:lang w:val="cs-CZ"/>
        </w:rPr>
        <w:t xml:space="preserve">; v časové extenzi </w:t>
      </w:r>
      <w:r w:rsidR="00F7563F" w:rsidRPr="00273106">
        <w:rPr>
          <w:noProof/>
          <w:lang w:val="cs-CZ"/>
        </w:rPr>
        <w:t xml:space="preserve">je </w:t>
      </w:r>
      <w:r w:rsidR="00FF16D9" w:rsidRPr="00273106">
        <w:rPr>
          <w:noProof/>
          <w:lang w:val="cs-CZ"/>
        </w:rPr>
        <w:t xml:space="preserve">kauzálně založena </w:t>
      </w:r>
      <w:r w:rsidR="007C7873" w:rsidRPr="00273106">
        <w:rPr>
          <w:noProof/>
          <w:lang w:val="cs-CZ"/>
        </w:rPr>
        <w:t>od nynějšího okamžiku.“</w:t>
      </w:r>
      <w:r w:rsidR="001B0960" w:rsidRPr="00273106">
        <w:rPr>
          <w:noProof/>
          <w:lang w:val="cs-CZ"/>
        </w:rPr>
        <w:t xml:space="preserve"> </w:t>
      </w:r>
      <w:r w:rsidR="00DD39FF" w:rsidRPr="00273106">
        <w:rPr>
          <w:rStyle w:val="Znakapoznpodarou"/>
          <w:noProof/>
          <w:lang w:val="cs-CZ"/>
        </w:rPr>
        <w:footnoteReference w:id="397"/>
      </w:r>
    </w:p>
    <w:p w14:paraId="18E632EA" w14:textId="7774B714" w:rsidR="00866C34" w:rsidRDefault="002F6C94" w:rsidP="00285844">
      <w:r w:rsidRPr="002F6C94">
        <w:t>Rufus našel novou cestu k jednotě by</w:t>
      </w:r>
      <w:r>
        <w:t>tí, která byla později nazvána „</w:t>
      </w:r>
      <w:r w:rsidRPr="002F6C94">
        <w:rPr>
          <w:i/>
        </w:rPr>
        <w:t>analogia entis</w:t>
      </w:r>
      <w:r>
        <w:t>“</w:t>
      </w:r>
      <w:r w:rsidRPr="002F6C94">
        <w:t>. Analogická predikace nevyžaduje reálné substance</w:t>
      </w:r>
      <w:r>
        <w:t xml:space="preserve"> pro vytvoření </w:t>
      </w:r>
      <w:r w:rsidRPr="002F6C94">
        <w:t xml:space="preserve">jednoty </w:t>
      </w:r>
      <w:r>
        <w:t xml:space="preserve">dané v rámci </w:t>
      </w:r>
      <w:r w:rsidR="008C2AF5">
        <w:t>predik</w:t>
      </w:r>
      <w:r>
        <w:t>ace</w:t>
      </w:r>
      <w:r w:rsidRPr="002F6C94">
        <w:t>. Rufusova</w:t>
      </w:r>
      <w:r>
        <w:t xml:space="preserve"> intencionalita začíná u porretánských </w:t>
      </w:r>
      <w:r w:rsidRPr="002F6C94">
        <w:t>esencí, které jsou považovány za hyparchické substance.</w:t>
      </w:r>
      <w:r>
        <w:t xml:space="preserve"> </w:t>
      </w:r>
      <w:r w:rsidR="00CE3BD6" w:rsidRPr="00273106">
        <w:t>Rufus našel střední cestu k jednotě jsoucna, kdy se jedna intence univerzality vyskytuje i v rodově v odlišných jednotlivinách (</w:t>
      </w:r>
      <w:r w:rsidR="00CE3BD6" w:rsidRPr="00273106">
        <w:rPr>
          <w:i/>
        </w:rPr>
        <w:t>intentio eadem in pluribus</w:t>
      </w:r>
      <w:r w:rsidR="00CE3BD6" w:rsidRPr="00273106">
        <w:t xml:space="preserve">). Citát </w:t>
      </w:r>
      <w:r w:rsidR="084C610D" w:rsidRPr="00273106">
        <w:t>vytvořil</w:t>
      </w:r>
      <w:r w:rsidR="08636D8F" w:rsidRPr="00273106">
        <w:t xml:space="preserve"> </w:t>
      </w:r>
      <w:r w:rsidR="00920C67" w:rsidRPr="00273106">
        <w:t>jednotu</w:t>
      </w:r>
      <w:r w:rsidR="08636D8F" w:rsidRPr="00273106">
        <w:t xml:space="preserve"> </w:t>
      </w:r>
      <w:r w:rsidR="00920C67" w:rsidRPr="00273106">
        <w:rPr>
          <w:i/>
        </w:rPr>
        <w:t>per prius</w:t>
      </w:r>
      <w:r w:rsidR="00920C67" w:rsidRPr="00273106">
        <w:t xml:space="preserve"> predikovanou nikoliv k substanci, ale k akcidentálním</w:t>
      </w:r>
      <w:r w:rsidR="08636D8F" w:rsidRPr="00273106">
        <w:t xml:space="preserve"> určení</w:t>
      </w:r>
      <w:r w:rsidR="00920C67" w:rsidRPr="00273106">
        <w:t>m</w:t>
      </w:r>
      <w:r w:rsidR="08636D8F" w:rsidRPr="00273106">
        <w:t xml:space="preserve"> podle </w:t>
      </w:r>
      <w:r w:rsidR="00874074">
        <w:t>neoplatonsk</w:t>
      </w:r>
      <w:r w:rsidR="08C07C47" w:rsidRPr="00273106">
        <w:t>ého pojetí kvantity</w:t>
      </w:r>
      <w:r w:rsidR="006225E8">
        <w:t xml:space="preserve"> (</w:t>
      </w:r>
      <w:r w:rsidR="08B5786E">
        <w:t xml:space="preserve">OBJ I, </w:t>
      </w:r>
      <w:r w:rsidR="084E7952">
        <w:t>kap. 1.3</w:t>
      </w:r>
      <w:r w:rsidR="006225E8">
        <w:t>.3)</w:t>
      </w:r>
      <w:r w:rsidR="08636D8F" w:rsidRPr="00273106">
        <w:t xml:space="preserve">. </w:t>
      </w:r>
      <w:r w:rsidR="00CE3BD6" w:rsidRPr="00273106">
        <w:t>A</w:t>
      </w:r>
      <w:r w:rsidR="0842094C" w:rsidRPr="00273106">
        <w:t xml:space="preserve">kcidenty </w:t>
      </w:r>
      <w:r w:rsidR="006F289C">
        <w:t xml:space="preserve">dané </w:t>
      </w:r>
      <w:r w:rsidR="006F289C" w:rsidRPr="00273106">
        <w:t xml:space="preserve">na rodově různých substancích </w:t>
      </w:r>
      <w:r w:rsidR="006F289C" w:rsidRPr="006F289C">
        <w:t>tvoří analogickou jednotu tím, že existuje společný</w:t>
      </w:r>
      <w:r w:rsidR="006F289C">
        <w:t xml:space="preserve"> matematický ekvivalent kvantity</w:t>
      </w:r>
      <w:r w:rsidR="006F289C" w:rsidRPr="006F289C">
        <w:t xml:space="preserve">, který lze shrnout jako kvantitativně </w:t>
      </w:r>
      <w:r w:rsidR="006F289C">
        <w:t xml:space="preserve">měřitelnou </w:t>
      </w:r>
      <w:r w:rsidR="0842094C" w:rsidRPr="00273106">
        <w:t>(</w:t>
      </w:r>
      <w:r w:rsidR="0842094C" w:rsidRPr="00273106">
        <w:rPr>
          <w:i/>
        </w:rPr>
        <w:t>omnis quantitas communicat in hac intentione quae est mensura</w:t>
      </w:r>
      <w:r w:rsidR="0842094C" w:rsidRPr="00273106">
        <w:t xml:space="preserve">). </w:t>
      </w:r>
      <w:r w:rsidR="008B74B5" w:rsidRPr="008B74B5">
        <w:t>Pokud j</w:t>
      </w:r>
      <w:r w:rsidR="008B74B5">
        <w:t>de o jednotu metafyziky, došlo</w:t>
      </w:r>
      <w:r w:rsidR="008B74B5" w:rsidRPr="008B74B5">
        <w:t xml:space="preserve"> dokonce k</w:t>
      </w:r>
      <w:r w:rsidR="008B74B5">
        <w:t>e</w:t>
      </w:r>
      <w:r w:rsidR="008B74B5" w:rsidRPr="008B74B5">
        <w:t xml:space="preserve"> dvojí</w:t>
      </w:r>
      <w:r w:rsidR="008B74B5">
        <w:t>mu omylu v uvažování. Za prvé, Aristoteles odmít</w:t>
      </w:r>
      <w:r w:rsidR="008B74B5" w:rsidRPr="008B74B5">
        <w:t>l jakoukoli kategoriální jednotu mimo jednoznačně danou predikaci. Ta se vytváří ve v</w:t>
      </w:r>
      <w:r w:rsidR="008B74B5">
        <w:t>ztahu ke kauzálně predikované impozici, která</w:t>
      </w:r>
      <w:r w:rsidR="008B74B5" w:rsidRPr="008B74B5">
        <w:t xml:space="preserve"> je </w:t>
      </w:r>
      <w:r w:rsidR="008B74B5">
        <w:t xml:space="preserve">predikována </w:t>
      </w:r>
      <w:r w:rsidR="008B74B5" w:rsidRPr="008B74B5">
        <w:t xml:space="preserve">na úrovni druhé substance. Za druhé, Rufus zrušil metafyzickou jednotu a dokonce i </w:t>
      </w:r>
      <w:r w:rsidR="00400284">
        <w:t xml:space="preserve">klasickou </w:t>
      </w:r>
      <w:r w:rsidR="008B74B5" w:rsidRPr="008B74B5">
        <w:t>analogii, kterou Aristoteles vymezil ve vztahu k aktuálním stavům ve světě</w:t>
      </w:r>
      <w:r w:rsidR="008B74B5">
        <w:t xml:space="preserve">. Rufus tuto aristotelskou analogii </w:t>
      </w:r>
      <w:r w:rsidR="008B74B5" w:rsidRPr="008B74B5">
        <w:t>nahradil matematickou analogií. Moderní ilumináti nepozorují jednotu světa, ale jakousi analogickou podobnost, kterou v jejich myslích vytváří matematika. Citát zavádí nové pojetí kauzality, kde roli účinné příčiny přebírá moderní intencionalita.</w:t>
      </w:r>
      <w:r w:rsidR="009551FD">
        <w:t xml:space="preserve"> </w:t>
      </w:r>
      <w:r w:rsidR="00A5055C" w:rsidRPr="00A5055C">
        <w:t>Osvícená mysl vidí sjednocující analogii jednotlivých věcí díky matematicky vytvořené kauzalitě, k</w:t>
      </w:r>
      <w:r w:rsidR="00A5055C">
        <w:t xml:space="preserve">terá zakládá novou jednotu bytí </w:t>
      </w:r>
      <w:r w:rsidR="00B914AF">
        <w:t>(</w:t>
      </w:r>
      <w:r w:rsidR="00B914AF" w:rsidRPr="00FF16D9">
        <w:rPr>
          <w:i/>
        </w:rPr>
        <w:t>intentio in numero causatur a natura unitatis</w:t>
      </w:r>
      <w:r w:rsidR="00B914AF">
        <w:t xml:space="preserve">). </w:t>
      </w:r>
      <w:r w:rsidR="006223AD" w:rsidRPr="00273106">
        <w:t xml:space="preserve">Rufus definuje </w:t>
      </w:r>
      <w:r w:rsidR="00775F77">
        <w:t>tuto intencionální kauzalitu</w:t>
      </w:r>
      <w:r w:rsidR="006223AD" w:rsidRPr="00273106">
        <w:t xml:space="preserve"> </w:t>
      </w:r>
      <w:r w:rsidR="08894BE5">
        <w:t xml:space="preserve">matematiky </w:t>
      </w:r>
      <w:r w:rsidR="006223AD" w:rsidRPr="00273106">
        <w:t>skrze bod pro rozsažnost (</w:t>
      </w:r>
      <w:r w:rsidR="006223AD" w:rsidRPr="00273106">
        <w:rPr>
          <w:i/>
        </w:rPr>
        <w:t>magnitudine autem a natura puncti</w:t>
      </w:r>
      <w:r w:rsidR="006223AD" w:rsidRPr="00273106">
        <w:t>) a skrze okamžik pro plynutí v čase (</w:t>
      </w:r>
      <w:r w:rsidR="006223AD" w:rsidRPr="00273106">
        <w:rPr>
          <w:i/>
        </w:rPr>
        <w:t>in tempore autem a natura instantis</w:t>
      </w:r>
      <w:r w:rsidR="006223AD" w:rsidRPr="00273106">
        <w:t xml:space="preserve">). </w:t>
      </w:r>
      <w:r w:rsidR="00301CA8">
        <w:t xml:space="preserve">Nová jednota světa daná </w:t>
      </w:r>
      <w:r w:rsidR="006223AD" w:rsidRPr="00273106">
        <w:rPr>
          <w:i/>
        </w:rPr>
        <w:t>medio modo</w:t>
      </w:r>
      <w:r w:rsidR="003F128E">
        <w:rPr>
          <w:i/>
        </w:rPr>
        <w:fldChar w:fldCharType="begin"/>
      </w:r>
      <w:r w:rsidR="003F128E">
        <w:instrText xml:space="preserve"> XE "predikace:</w:instrText>
      </w:r>
      <w:r w:rsidR="003F128E" w:rsidRPr="00AE483B">
        <w:rPr>
          <w:i/>
        </w:rPr>
        <w:instrText>medio modo</w:instrText>
      </w:r>
      <w:r w:rsidR="003F128E">
        <w:instrText xml:space="preserve">" </w:instrText>
      </w:r>
      <w:r w:rsidR="003F128E">
        <w:rPr>
          <w:i/>
        </w:rPr>
        <w:fldChar w:fldCharType="end"/>
      </w:r>
      <w:r w:rsidR="006223AD" w:rsidRPr="00273106">
        <w:t xml:space="preserve"> má zvláštní univoční charakter daný matematickou úměrou a </w:t>
      </w:r>
      <w:r w:rsidR="00874074">
        <w:t>neoplatonsk</w:t>
      </w:r>
      <w:r w:rsidR="006223AD" w:rsidRPr="00273106">
        <w:t>ou participací na matematicky určené míře</w:t>
      </w:r>
      <w:r w:rsidR="003F128E">
        <w:rPr>
          <w:i/>
        </w:rPr>
        <w:fldChar w:fldCharType="begin"/>
      </w:r>
      <w:r w:rsidR="003F128E">
        <w:instrText xml:space="preserve"> XE "těleso:třetího druhu" </w:instrText>
      </w:r>
      <w:r w:rsidR="003F128E">
        <w:rPr>
          <w:i/>
        </w:rPr>
        <w:fldChar w:fldCharType="end"/>
      </w:r>
      <w:r w:rsidR="006223AD" w:rsidRPr="00273106">
        <w:t xml:space="preserve">. </w:t>
      </w:r>
      <w:r w:rsidR="00CE3BD6" w:rsidRPr="00273106">
        <w:t xml:space="preserve">Jednotu vytváří </w:t>
      </w:r>
      <w:r w:rsidR="00874074">
        <w:t>neoplatonsk</w:t>
      </w:r>
      <w:r w:rsidR="00CE3BD6" w:rsidRPr="00273106">
        <w:t>ý vztah založený na Jamblichově principu „</w:t>
      </w:r>
      <w:r w:rsidR="00CE3BD6" w:rsidRPr="00273106">
        <w:rPr>
          <w:rStyle w:val="addmd"/>
        </w:rPr>
        <w:t>Omezené‒Neomezené</w:t>
      </w:r>
      <w:r w:rsidR="00640BE5">
        <w:rPr>
          <w:rStyle w:val="addmd"/>
        </w:rPr>
        <w:fldChar w:fldCharType="begin"/>
      </w:r>
      <w:r w:rsidR="00640BE5">
        <w:instrText xml:space="preserve"> XE "</w:instrText>
      </w:r>
      <w:r w:rsidR="00640BE5" w:rsidRPr="00F84D3A">
        <w:rPr>
          <w:rStyle w:val="addmd"/>
        </w:rPr>
        <w:instrText>Omezené‒Neomezené</w:instrText>
      </w:r>
      <w:r w:rsidR="00640BE5">
        <w:instrText xml:space="preserve">" </w:instrText>
      </w:r>
      <w:r w:rsidR="00640BE5">
        <w:rPr>
          <w:rStyle w:val="addmd"/>
        </w:rPr>
        <w:fldChar w:fldCharType="end"/>
      </w:r>
      <w:r w:rsidR="00CE3BD6" w:rsidRPr="00273106">
        <w:rPr>
          <w:rStyle w:val="addmd"/>
        </w:rPr>
        <w:t>“</w:t>
      </w:r>
      <w:r w:rsidR="00CE3BD6" w:rsidRPr="00273106">
        <w:t xml:space="preserve"> (</w:t>
      </w:r>
      <w:r w:rsidR="08FD6C0A">
        <w:t xml:space="preserve">OBJ I, </w:t>
      </w:r>
      <w:r w:rsidR="084E7952">
        <w:t>kap. 1.3</w:t>
      </w:r>
      <w:r w:rsidR="00CE3BD6" w:rsidRPr="00273106">
        <w:t xml:space="preserve">.1). </w:t>
      </w:r>
      <w:r w:rsidR="00097EFD" w:rsidRPr="00273106">
        <w:t>U</w:t>
      </w:r>
      <w:r w:rsidR="0842094C" w:rsidRPr="00273106">
        <w:t>nivoční predika</w:t>
      </w:r>
      <w:r w:rsidR="00097EFD" w:rsidRPr="00273106">
        <w:t>ce</w:t>
      </w:r>
      <w:r w:rsidR="00B00E3D" w:rsidRPr="00273106">
        <w:t xml:space="preserve"> v rámci matematiky (číslo), </w:t>
      </w:r>
      <w:r w:rsidR="0842094C" w:rsidRPr="00273106">
        <w:t xml:space="preserve">geometrie (bod) </w:t>
      </w:r>
      <w:r w:rsidR="00B00E3D" w:rsidRPr="00273106">
        <w:t xml:space="preserve">a </w:t>
      </w:r>
      <w:r w:rsidR="00956962" w:rsidRPr="00273106">
        <w:t xml:space="preserve">fyzikálního </w:t>
      </w:r>
      <w:r w:rsidR="00B00E3D" w:rsidRPr="00273106">
        <w:t>času (přítomné nyní)</w:t>
      </w:r>
      <w:r w:rsidR="00097EFD" w:rsidRPr="00273106">
        <w:t xml:space="preserve"> svou definicí vymezuje nekonečné a kontigentní kontinuum materie nebo </w:t>
      </w:r>
      <w:r w:rsidR="008F1AF6" w:rsidRPr="00273106">
        <w:t xml:space="preserve">časovaného </w:t>
      </w:r>
      <w:r w:rsidR="00097EFD" w:rsidRPr="00273106">
        <w:t>pohybu</w:t>
      </w:r>
      <w:r w:rsidR="0842094C" w:rsidRPr="00273106">
        <w:t xml:space="preserve">. </w:t>
      </w:r>
      <w:r w:rsidR="00301CA8">
        <w:t xml:space="preserve">Tím vzniklo nové </w:t>
      </w:r>
      <w:r w:rsidR="00B00E3D" w:rsidRPr="00273106">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07D3515" w:rsidRPr="007D3515">
        <w:instrText>moderna</w:instrText>
      </w:r>
      <w:r w:rsidR="005A68A7">
        <w:instrText xml:space="preserve">" </w:instrText>
      </w:r>
      <w:r w:rsidR="005A68A7">
        <w:rPr>
          <w:i/>
        </w:rPr>
        <w:fldChar w:fldCharType="end"/>
      </w:r>
      <w:r w:rsidR="00956962" w:rsidRPr="00273106">
        <w:t xml:space="preserve"> moderny</w:t>
      </w:r>
      <w:r w:rsidR="00B00E3D" w:rsidRPr="00273106">
        <w:t xml:space="preserve">, v němž </w:t>
      </w:r>
      <w:r w:rsidR="00E2170C" w:rsidRPr="00273106">
        <w:t xml:space="preserve">se </w:t>
      </w:r>
      <w:r w:rsidR="089D43E0">
        <w:t xml:space="preserve">nazírají </w:t>
      </w:r>
      <w:r w:rsidR="007F235C" w:rsidRPr="00273106">
        <w:t xml:space="preserve">a následně </w:t>
      </w:r>
      <w:r w:rsidR="00E2170C" w:rsidRPr="00273106">
        <w:t xml:space="preserve">predikují různorodé substance </w:t>
      </w:r>
      <w:r w:rsidR="00DC6269" w:rsidRPr="00273106">
        <w:t xml:space="preserve">vzhledem </w:t>
      </w:r>
      <w:r w:rsidR="00B00E3D" w:rsidRPr="00273106">
        <w:t xml:space="preserve">k </w:t>
      </w:r>
      <w:r w:rsidR="00A242AB" w:rsidRPr="00273106">
        <w:t xml:space="preserve">moderní </w:t>
      </w:r>
      <w:r w:rsidR="00E2170C" w:rsidRPr="00273106">
        <w:t xml:space="preserve">jednotě dané jako hypostáze </w:t>
      </w:r>
      <w:r w:rsidR="008F1AF6" w:rsidRPr="00273106">
        <w:t xml:space="preserve">analogicky pojaté </w:t>
      </w:r>
      <w:r w:rsidR="00E2170C" w:rsidRPr="00273106">
        <w:t>kvantity</w:t>
      </w:r>
      <w:r w:rsidR="000A2D5E" w:rsidRPr="00273106">
        <w:t xml:space="preserve"> a míry</w:t>
      </w:r>
      <w:r w:rsidR="00B00E3D" w:rsidRPr="00273106">
        <w:t>.</w:t>
      </w:r>
      <w:r w:rsidR="008F1AF6" w:rsidRPr="00273106">
        <w:t xml:space="preserve"> </w:t>
      </w:r>
      <w:r w:rsidR="085C0363">
        <w:t xml:space="preserve">Předešlý výklad díla </w:t>
      </w:r>
      <w:r w:rsidR="085C0363" w:rsidRPr="00273106">
        <w:rPr>
          <w:i/>
        </w:rPr>
        <w:t>Dialogus</w:t>
      </w:r>
      <w:r w:rsidR="085C0363" w:rsidRPr="00273106">
        <w:t xml:space="preserve"> </w:t>
      </w:r>
      <w:r w:rsidR="085C0363" w:rsidRPr="00273106">
        <w:rPr>
          <w:i/>
        </w:rPr>
        <w:t>Ratii et Everardi</w:t>
      </w:r>
      <w:r w:rsidR="085C0363">
        <w:rPr>
          <w:i/>
        </w:rPr>
        <w:t xml:space="preserve"> </w:t>
      </w:r>
      <w:r w:rsidR="085C0363">
        <w:t>ukázal, že na tomto zák</w:t>
      </w:r>
      <w:r w:rsidR="085C0363" w:rsidRPr="08A315C7">
        <w:t>l</w:t>
      </w:r>
      <w:r w:rsidR="085C0363">
        <w:t>a</w:t>
      </w:r>
      <w:r w:rsidR="085C0363" w:rsidRPr="08A315C7">
        <w:t>dě vznikl</w:t>
      </w:r>
      <w:r w:rsidR="085C0363">
        <w:t xml:space="preserve">a filosofická možnost diferenciálního a integrálního počtu v matematice (kap. 3.5). </w:t>
      </w:r>
      <w:r w:rsidR="001F2596">
        <w:t>M</w:t>
      </w:r>
      <w:r w:rsidR="008F1AF6" w:rsidRPr="00273106">
        <w:t xml:space="preserve">oderní predikábilia hrají roli </w:t>
      </w:r>
      <w:r w:rsidR="00F573C8">
        <w:t>druhých substancí</w:t>
      </w:r>
      <w:r w:rsidR="008F1AF6" w:rsidRPr="00273106">
        <w:t>, kter</w:t>
      </w:r>
      <w:r w:rsidR="00F573C8">
        <w:t xml:space="preserve">é </w:t>
      </w:r>
      <w:r w:rsidR="008F1AF6" w:rsidRPr="00273106">
        <w:t>již ne</w:t>
      </w:r>
      <w:r w:rsidR="00F573C8">
        <w:t xml:space="preserve">jsou </w:t>
      </w:r>
      <w:r w:rsidR="008F1AF6" w:rsidRPr="00273106">
        <w:t xml:space="preserve">potřeba </w:t>
      </w:r>
      <w:r w:rsidR="00DC6269" w:rsidRPr="00273106">
        <w:t>k zajištění univoční predikace</w:t>
      </w:r>
      <w:r w:rsidR="004A12BC">
        <w:t xml:space="preserve"> jsoucna</w:t>
      </w:r>
      <w:r w:rsidR="00DC6269" w:rsidRPr="00273106">
        <w:t xml:space="preserve">. </w:t>
      </w:r>
      <w:r w:rsidR="0842094C" w:rsidRPr="00273106">
        <w:t>Základ jednoty (číslo, bod</w:t>
      </w:r>
      <w:r w:rsidR="009E0DC9" w:rsidRPr="00273106">
        <w:t xml:space="preserve">, čas) je univočně dán ve všech tělesech </w:t>
      </w:r>
      <w:r w:rsidR="0842094C" w:rsidRPr="00273106">
        <w:t>a platí jak esenciálně, ta</w:t>
      </w:r>
      <w:r w:rsidR="00603A17" w:rsidRPr="00273106">
        <w:t>k i substanciálně</w:t>
      </w:r>
      <w:r w:rsidR="00842A37">
        <w:t xml:space="preserve"> a kauzálně</w:t>
      </w:r>
      <w:r w:rsidR="00603A17" w:rsidRPr="00273106">
        <w:t xml:space="preserve">. </w:t>
      </w:r>
      <w:r w:rsidR="085C0363">
        <w:t xml:space="preserve">Tato predikábilia zavedená Rufusem dnes fungují v rámci diferenciálního a integrálního počtu, který našel v systému dělení daném jako moderní </w:t>
      </w:r>
      <w:r w:rsidR="085C0363" w:rsidRPr="00273106">
        <w:rPr>
          <w:i/>
        </w:rPr>
        <w:t>resolutio</w:t>
      </w:r>
      <w:r w:rsidR="085C0363">
        <w:t xml:space="preserve"> a </w:t>
      </w:r>
      <w:r w:rsidR="085C0363" w:rsidRPr="00273106">
        <w:rPr>
          <w:i/>
        </w:rPr>
        <w:t>compositio</w:t>
      </w:r>
      <w:r w:rsidR="085C0363">
        <w:rPr>
          <w:i/>
        </w:rPr>
        <w:fldChar w:fldCharType="begin"/>
      </w:r>
      <w:r w:rsidR="085C0363">
        <w:instrText xml:space="preserve"> XE "matematika" </w:instrText>
      </w:r>
      <w:r w:rsidR="085C0363">
        <w:rPr>
          <w:i/>
        </w:rPr>
        <w:fldChar w:fldCharType="end"/>
      </w:r>
      <w:r w:rsidR="085C0363">
        <w:t xml:space="preserve"> poslední nekonečně malé </w:t>
      </w:r>
      <w:r w:rsidR="085C0363" w:rsidRPr="007048D1">
        <w:rPr>
          <w:i/>
        </w:rPr>
        <w:t>individuum</w:t>
      </w:r>
      <w:r w:rsidR="084E62A2">
        <w:t xml:space="preserve"> porretánů</w:t>
      </w:r>
      <w:r w:rsidR="085C0363">
        <w:t xml:space="preserve">. </w:t>
      </w:r>
      <w:r w:rsidR="00603A17" w:rsidRPr="00273106">
        <w:t>S</w:t>
      </w:r>
      <w:r w:rsidR="0842094C" w:rsidRPr="00273106">
        <w:t xml:space="preserve">vět v perspektivě analytické verze </w:t>
      </w:r>
      <w:r w:rsidR="08FC6BA1" w:rsidRPr="00273106">
        <w:rPr>
          <w:i/>
        </w:rPr>
        <w:t>Oxfordian F</w:t>
      </w:r>
      <w:r w:rsidR="0842094C" w:rsidRPr="00273106">
        <w:rPr>
          <w:i/>
        </w:rPr>
        <w:t>allacy</w:t>
      </w:r>
      <w:r w:rsidR="00924399">
        <w:rPr>
          <w:i/>
        </w:rPr>
        <w:fldChar w:fldCharType="begin"/>
      </w:r>
      <w:r w:rsidR="00924399">
        <w:instrText xml:space="preserve"> XE "</w:instrText>
      </w:r>
      <w:r w:rsidR="00924399" w:rsidRPr="0015798D">
        <w:rPr>
          <w:i/>
        </w:rPr>
        <w:instrText>Oxfordian Fallacy</w:instrText>
      </w:r>
      <w:r w:rsidR="00924399" w:rsidRPr="00711734">
        <w:instrText>:</w:instrText>
      </w:r>
      <w:r w:rsidR="00711734" w:rsidRPr="00711734">
        <w:instrText>analytický výklad</w:instrText>
      </w:r>
      <w:r w:rsidR="00924399">
        <w:instrText xml:space="preserve">" </w:instrText>
      </w:r>
      <w:r w:rsidR="00924399">
        <w:rPr>
          <w:i/>
        </w:rPr>
        <w:fldChar w:fldCharType="end"/>
      </w:r>
      <w:r w:rsidR="0842094C" w:rsidRPr="00273106">
        <w:t xml:space="preserve"> </w:t>
      </w:r>
      <w:r w:rsidR="00603A17" w:rsidRPr="00273106">
        <w:t>dostal novou</w:t>
      </w:r>
      <w:r w:rsidR="0842094C" w:rsidRPr="00273106">
        <w:t xml:space="preserve"> jednot</w:t>
      </w:r>
      <w:r w:rsidR="00603A17" w:rsidRPr="00273106">
        <w:t>u</w:t>
      </w:r>
      <w:r w:rsidR="0842094C" w:rsidRPr="00273106">
        <w:t xml:space="preserve"> jsoucího</w:t>
      </w:r>
      <w:r w:rsidR="00603A17" w:rsidRPr="00273106">
        <w:t xml:space="preserve"> danou</w:t>
      </w:r>
      <w:r w:rsidR="009E0DC9" w:rsidRPr="00273106">
        <w:t xml:space="preserve"> matematicky </w:t>
      </w:r>
      <w:r w:rsidR="0842094C" w:rsidRPr="00273106">
        <w:t>(</w:t>
      </w:r>
      <w:r w:rsidR="0842094C" w:rsidRPr="00273106">
        <w:rPr>
          <w:i/>
        </w:rPr>
        <w:t>intentio in numero causatur a natura unitatis</w:t>
      </w:r>
      <w:r w:rsidR="00353D2F">
        <w:t xml:space="preserve">). Sloveso </w:t>
      </w:r>
      <w:r w:rsidR="0842094C" w:rsidRPr="00273106">
        <w:rPr>
          <w:i/>
        </w:rPr>
        <w:t>causatur</w:t>
      </w:r>
      <w:r w:rsidR="0842094C" w:rsidRPr="00273106">
        <w:t xml:space="preserve"> je třeba </w:t>
      </w:r>
      <w:r w:rsidR="004C32C7" w:rsidRPr="00273106">
        <w:t xml:space="preserve">chápat </w:t>
      </w:r>
      <w:r w:rsidR="0842094C" w:rsidRPr="00273106">
        <w:t xml:space="preserve">v </w:t>
      </w:r>
      <w:r w:rsidR="004C32C7" w:rsidRPr="00273106">
        <w:t xml:space="preserve">sofistickém </w:t>
      </w:r>
      <w:r w:rsidR="0842094C" w:rsidRPr="00273106">
        <w:t xml:space="preserve">mixu </w:t>
      </w:r>
      <w:r w:rsidR="00F6018B">
        <w:t xml:space="preserve">kauzality první substance a </w:t>
      </w:r>
      <w:r w:rsidR="00AA5AC5" w:rsidRPr="00273106">
        <w:t>kauzálně-univerzálního významu</w:t>
      </w:r>
      <w:r w:rsidR="08534DF4">
        <w:t xml:space="preserve">. </w:t>
      </w:r>
      <w:r w:rsidR="08264586">
        <w:t xml:space="preserve">Moderní </w:t>
      </w:r>
      <w:r w:rsidR="08AB5706">
        <w:t xml:space="preserve">iluminát </w:t>
      </w:r>
      <w:r w:rsidR="08534DF4">
        <w:t xml:space="preserve">vidí </w:t>
      </w:r>
      <w:r w:rsidR="08264586">
        <w:t xml:space="preserve">třetí </w:t>
      </w:r>
      <w:r w:rsidR="08534DF4">
        <w:t>svě</w:t>
      </w:r>
      <w:r w:rsidR="08264586">
        <w:t>t moderní objektivity (</w:t>
      </w:r>
      <w:r w:rsidR="08264586" w:rsidRPr="08264586">
        <w:rPr>
          <w:i/>
        </w:rPr>
        <w:t>medio modo</w:t>
      </w:r>
      <w:r w:rsidR="08264586">
        <w:t xml:space="preserve">) skrze princip </w:t>
      </w:r>
      <w:r w:rsidR="004B3A80">
        <w:t>univerzální analogie</w:t>
      </w:r>
      <w:r w:rsidR="00CB6340">
        <w:t>, v n</w:t>
      </w:r>
      <w:r w:rsidR="004B3A80">
        <w:t>íž</w:t>
      </w:r>
      <w:r w:rsidR="00CB6340">
        <w:t xml:space="preserve"> obecný význam </w:t>
      </w:r>
      <w:r w:rsidR="08051E0D">
        <w:t xml:space="preserve">matematické esence </w:t>
      </w:r>
      <w:r w:rsidR="001F2596">
        <w:t xml:space="preserve">kauzálně </w:t>
      </w:r>
      <w:r w:rsidR="00CB6340">
        <w:t>determinuje kontingentní výskyt věci</w:t>
      </w:r>
      <w:r w:rsidR="00AA5AC5" w:rsidRPr="00273106">
        <w:t xml:space="preserve">. </w:t>
      </w:r>
      <w:r w:rsidR="00B5160E">
        <w:t>Rufusův</w:t>
      </w:r>
      <w:r w:rsidR="002639B3">
        <w:t xml:space="preserve"> </w:t>
      </w:r>
      <w:r w:rsidR="00B5160E">
        <w:t xml:space="preserve">komentář </w:t>
      </w:r>
      <w:r w:rsidR="088B6F1D" w:rsidRPr="088B6F1D">
        <w:rPr>
          <w:i/>
        </w:rPr>
        <w:t>Metafyziky</w:t>
      </w:r>
      <w:r w:rsidR="088B6F1D">
        <w:t xml:space="preserve"> a </w:t>
      </w:r>
      <w:r w:rsidR="088B6F1D" w:rsidRPr="088B6F1D">
        <w:rPr>
          <w:i/>
        </w:rPr>
        <w:t>Druhých analytik</w:t>
      </w:r>
      <w:r w:rsidR="088B6F1D">
        <w:t xml:space="preserve"> </w:t>
      </w:r>
      <w:r w:rsidR="00B5160E">
        <w:t xml:space="preserve">vyprovokoval </w:t>
      </w:r>
      <w:r w:rsidR="088B6F1D">
        <w:t>Bacon</w:t>
      </w:r>
      <w:r w:rsidR="00B5160E">
        <w:t xml:space="preserve">a k tomu, aby </w:t>
      </w:r>
      <w:r w:rsidR="088B6F1D">
        <w:t xml:space="preserve">vyložil o dekádu později </w:t>
      </w:r>
      <w:r w:rsidR="088B6F1D" w:rsidRPr="009D7CEA">
        <w:rPr>
          <w:i/>
        </w:rPr>
        <w:t>Metafyziku</w:t>
      </w:r>
      <w:r w:rsidR="088B6F1D">
        <w:t xml:space="preserve"> v </w:t>
      </w:r>
      <w:r w:rsidR="08A6274B">
        <w:t>duchu prvního averroismu (kap. 3</w:t>
      </w:r>
      <w:r w:rsidR="088B6F1D">
        <w:t xml:space="preserve">.2). </w:t>
      </w:r>
      <w:r w:rsidR="088B6F1D" w:rsidRPr="00273106">
        <w:t xml:space="preserve">Základ </w:t>
      </w:r>
      <w:r w:rsidR="088B6F1D">
        <w:t xml:space="preserve">objektivní </w:t>
      </w:r>
      <w:r w:rsidR="08051E0D">
        <w:t xml:space="preserve">matematické </w:t>
      </w:r>
      <w:r w:rsidR="088B6F1D" w:rsidRPr="08F5399B">
        <w:rPr>
          <w:i/>
        </w:rPr>
        <w:t>science-fiction</w:t>
      </w:r>
      <w:r w:rsidR="088B6F1D">
        <w:rPr>
          <w:i/>
        </w:rPr>
        <w:fldChar w:fldCharType="begin"/>
      </w:r>
      <w:r w:rsidR="088B6F1D">
        <w:instrText xml:space="preserve"> XE "</w:instrText>
      </w:r>
      <w:r w:rsidR="088B6F1D" w:rsidRPr="086B5E81">
        <w:rPr>
          <w:i/>
        </w:rPr>
        <w:instrText>science-fiction</w:instrText>
      </w:r>
      <w:r w:rsidR="088B6F1D">
        <w:instrText xml:space="preserve">" </w:instrText>
      </w:r>
      <w:r w:rsidR="088B6F1D">
        <w:rPr>
          <w:i/>
        </w:rPr>
        <w:fldChar w:fldCharType="end"/>
      </w:r>
      <w:r w:rsidR="088B6F1D">
        <w:t xml:space="preserve"> </w:t>
      </w:r>
      <w:r w:rsidR="088B6F1D" w:rsidRPr="00273106">
        <w:t xml:space="preserve">tvoří Rufusova </w:t>
      </w:r>
      <w:r w:rsidR="088B6F1D">
        <w:t xml:space="preserve">analytická </w:t>
      </w:r>
      <w:r w:rsidR="088B6F1D" w:rsidRPr="00273106">
        <w:t xml:space="preserve">forma </w:t>
      </w:r>
      <w:r w:rsidR="088B6F1D">
        <w:t>neoplatonsk</w:t>
      </w:r>
      <w:r w:rsidR="088B6F1D" w:rsidRPr="00273106">
        <w:t xml:space="preserve">é </w:t>
      </w:r>
      <w:r w:rsidR="088B6F1D" w:rsidRPr="00273106">
        <w:rPr>
          <w:i/>
        </w:rPr>
        <w:t>methexis</w:t>
      </w:r>
      <w:r w:rsidR="006C54C3">
        <w:t>. R</w:t>
      </w:r>
      <w:r w:rsidR="088B6F1D" w:rsidRPr="00273106">
        <w:t xml:space="preserve">eálnou existenci jednotlivin zakládají nikoliv </w:t>
      </w:r>
      <w:r w:rsidR="088B6F1D">
        <w:t>platonské</w:t>
      </w:r>
      <w:r w:rsidR="088B6F1D" w:rsidRPr="00273106">
        <w:t xml:space="preserve"> ideje, ale </w:t>
      </w:r>
      <w:r w:rsidR="088B6F1D">
        <w:t>neoplatonsk</w:t>
      </w:r>
      <w:r w:rsidR="088B6F1D" w:rsidRPr="00273106">
        <w:t>y definované esence, vztahy, vlastnosti atd</w:t>
      </w:r>
      <w:r w:rsidR="088B6F1D">
        <w:t xml:space="preserve">. </w:t>
      </w:r>
      <w:r w:rsidR="0879173E">
        <w:t xml:space="preserve">nahlížené </w:t>
      </w:r>
      <w:r w:rsidR="088B6F1D">
        <w:t>v rámci kauzálně postavené matematické analogie. H</w:t>
      </w:r>
      <w:r w:rsidR="088B6F1D" w:rsidRPr="00273106">
        <w:t xml:space="preserve">ypostázovaná jsoucna třetího druhu </w:t>
      </w:r>
      <w:r w:rsidR="088B6F1D">
        <w:t>se chápou</w:t>
      </w:r>
      <w:r w:rsidR="088B6F1D" w:rsidRPr="00273106">
        <w:t xml:space="preserve"> uni</w:t>
      </w:r>
      <w:r w:rsidR="088B6F1D">
        <w:t>vočně s reálnou existencí věci.</w:t>
      </w:r>
      <w:r w:rsidR="00285844">
        <w:t xml:space="preserve"> </w:t>
      </w:r>
      <w:r w:rsidR="088B6F1D" w:rsidRPr="00273106">
        <w:t xml:space="preserve">Rufus přidal k </w:t>
      </w:r>
      <w:r w:rsidR="088B6F1D" w:rsidRPr="00273106">
        <w:rPr>
          <w:i/>
        </w:rPr>
        <w:t>Oxfordian Fallacy</w:t>
      </w:r>
      <w:r w:rsidR="088B6F1D" w:rsidRPr="00273106">
        <w:t xml:space="preserve"> svůj originální díl sofistiky, a t</w:t>
      </w:r>
      <w:r w:rsidR="088B6F1D">
        <w:t xml:space="preserve">ím změnil Grossetesteho termín </w:t>
      </w:r>
      <w:r w:rsidR="088B6F1D" w:rsidRPr="00273106">
        <w:rPr>
          <w:i/>
        </w:rPr>
        <w:t>aliquantulum obscura</w:t>
      </w:r>
      <w:r w:rsidR="08A6274B">
        <w:t xml:space="preserve"> (kap. 3</w:t>
      </w:r>
      <w:r w:rsidR="088B6F1D" w:rsidRPr="00273106">
        <w:t>.1.1) na plné zatmění první substance</w:t>
      </w:r>
      <w:r w:rsidR="088B6F1D">
        <w:fldChar w:fldCharType="begin"/>
      </w:r>
      <w:r w:rsidR="088B6F1D">
        <w:instrText xml:space="preserve"> XE "</w:instrText>
      </w:r>
      <w:r w:rsidR="088B6F1D" w:rsidRPr="00C27681">
        <w:instrText>zatmění</w:instrText>
      </w:r>
      <w:r w:rsidR="088B6F1D">
        <w:instrText>:s</w:instrText>
      </w:r>
      <w:r w:rsidR="088B6F1D" w:rsidRPr="00C27681">
        <w:instrText>ubstance</w:instrText>
      </w:r>
      <w:r w:rsidR="088B6F1D">
        <w:instrText xml:space="preserve">" </w:instrText>
      </w:r>
      <w:r w:rsidR="088B6F1D">
        <w:fldChar w:fldCharType="end"/>
      </w:r>
      <w:r w:rsidR="088B6F1D" w:rsidRPr="00273106">
        <w:t>.</w:t>
      </w:r>
      <w:r w:rsidR="088B6F1D">
        <w:t xml:space="preserve"> Rufusovo sofistické vidění světa naroubované na aristotelismus </w:t>
      </w:r>
      <w:r w:rsidR="088B6F1D" w:rsidRPr="00273106">
        <w:t>odmítl nejprve Albe</w:t>
      </w:r>
      <w:r w:rsidR="088B6F1D">
        <w:t>rt v Paříži po 1240 (</w:t>
      </w:r>
      <w:r w:rsidR="088B6F1D" w:rsidRPr="0056499D">
        <w:rPr>
          <w:i/>
        </w:rPr>
        <w:t>De homine</w:t>
      </w:r>
      <w:r w:rsidR="088B6F1D">
        <w:t xml:space="preserve">) a ve stejné době také Bacon skrze komentář </w:t>
      </w:r>
      <w:r w:rsidR="088B6F1D" w:rsidRPr="009D7CEA">
        <w:rPr>
          <w:i/>
        </w:rPr>
        <w:t>Metafyziky</w:t>
      </w:r>
      <w:r w:rsidR="088B6F1D">
        <w:t xml:space="preserve"> </w:t>
      </w:r>
      <w:r w:rsidR="088B6F1D" w:rsidRPr="00273106">
        <w:t>(</w:t>
      </w:r>
      <w:r w:rsidR="088B6F1D" w:rsidRPr="00273106">
        <w:rPr>
          <w:i/>
        </w:rPr>
        <w:t>Metaphysica</w:t>
      </w:r>
      <w:r w:rsidR="088B6F1D" w:rsidRPr="00273106">
        <w:t xml:space="preserve">, </w:t>
      </w:r>
      <w:r w:rsidR="088B6F1D">
        <w:t xml:space="preserve">asi </w:t>
      </w:r>
      <w:r w:rsidR="088B6F1D" w:rsidRPr="00273106">
        <w:t xml:space="preserve">1240‒45). </w:t>
      </w:r>
      <w:r w:rsidR="008A5F35">
        <w:t>A</w:t>
      </w:r>
      <w:r w:rsidR="088B6F1D">
        <w:t xml:space="preserve">nalyticky </w:t>
      </w:r>
      <w:r w:rsidR="008A5F35">
        <w:t>pojatá</w:t>
      </w:r>
      <w:r w:rsidR="088B6F1D" w:rsidRPr="00273106">
        <w:t xml:space="preserve"> existence </w:t>
      </w:r>
      <w:r w:rsidR="008A5F35">
        <w:t xml:space="preserve">světa a hyparchických </w:t>
      </w:r>
      <w:r w:rsidR="088B6F1D" w:rsidRPr="00273106">
        <w:t>substanc</w:t>
      </w:r>
      <w:r w:rsidR="008A5F35">
        <w:t>í se změnila na pouhý predikát osvícené mysli. Š</w:t>
      </w:r>
      <w:r w:rsidR="088B6F1D" w:rsidRPr="00273106">
        <w:t xml:space="preserve">kola prvních </w:t>
      </w:r>
      <w:r w:rsidR="088B6F1D" w:rsidRPr="00273106">
        <w:rPr>
          <w:i/>
        </w:rPr>
        <w:t>Modernorum</w:t>
      </w:r>
      <w:r w:rsidR="088B6F1D" w:rsidRPr="00273106">
        <w:t xml:space="preserve"> se </w:t>
      </w:r>
      <w:r w:rsidR="008A5F35">
        <w:t xml:space="preserve">tím </w:t>
      </w:r>
      <w:r w:rsidR="088B6F1D" w:rsidRPr="00273106">
        <w:t>definitivně rozešla s tradicí aristotelské filosofie vykládané v prvním averroismu.</w:t>
      </w:r>
      <w:r w:rsidR="088B6F1D">
        <w:t xml:space="preserve"> </w:t>
      </w:r>
      <w:r w:rsidR="088B6F1D" w:rsidRPr="00273106">
        <w:t>Mediální forma univocity třetího druhu zakládá jednotu jsoucna na matematické či geometrické analogii.</w:t>
      </w:r>
      <w:r w:rsidR="081A0CE2" w:rsidRPr="081A0CE2">
        <w:t xml:space="preserve"> </w:t>
      </w:r>
      <w:r w:rsidR="081A0CE2" w:rsidRPr="00273106">
        <w:t>Diskrétní vidění světa zavedené porretány dostalo novou matematickou podobu, nyní již ve scénáři moderny.</w:t>
      </w:r>
      <w:r w:rsidR="081A0CE2">
        <w:t xml:space="preserve"> </w:t>
      </w:r>
      <w:r w:rsidR="08E43FAD">
        <w:t xml:space="preserve">Zavedením analogické </w:t>
      </w:r>
      <w:r w:rsidR="00866C34" w:rsidRPr="00273106">
        <w:t xml:space="preserve">jednoty </w:t>
      </w:r>
      <w:r w:rsidR="08E43FAD">
        <w:t xml:space="preserve">dané intencionálně </w:t>
      </w:r>
      <w:r w:rsidR="00866C34" w:rsidRPr="00273106">
        <w:t>(číslo, bod, okamžik), vznikl nový pohled na univerzální jednotu jsoucna, který nepotřeb</w:t>
      </w:r>
      <w:r w:rsidR="08E31906">
        <w:t xml:space="preserve">uje aktuální první substanci. Rufus se dokonce </w:t>
      </w:r>
      <w:r w:rsidR="00866C34" w:rsidRPr="00273106">
        <w:t>obejde i bez druhé substance, protože vybudoval jednotu hypostázovaných akcidentů</w:t>
      </w:r>
      <w:r w:rsidR="00866C34">
        <w:t xml:space="preserve"> typu rozsažnosti a kvantity, které</w:t>
      </w:r>
      <w:r w:rsidR="00866C34" w:rsidRPr="00273106">
        <w:t xml:space="preserve"> spojil </w:t>
      </w:r>
      <w:r w:rsidR="00866C34">
        <w:t xml:space="preserve">do analogické jednoty v modu </w:t>
      </w:r>
      <w:r w:rsidR="00866C34" w:rsidRPr="00A76AD5">
        <w:rPr>
          <w:i/>
        </w:rPr>
        <w:t>ad unum</w:t>
      </w:r>
      <w:r w:rsidR="00866C34">
        <w:t xml:space="preserve"> skrze matematickou abstrakci</w:t>
      </w:r>
      <w:r w:rsidR="00866C34">
        <w:fldChar w:fldCharType="begin"/>
      </w:r>
      <w:r w:rsidR="00866C34">
        <w:instrText xml:space="preserve"> XE "</w:instrText>
      </w:r>
      <w:r w:rsidR="00866C34" w:rsidRPr="00A824F0">
        <w:instrText>abstrakce:matematická</w:instrText>
      </w:r>
      <w:r w:rsidR="00866C34">
        <w:instrText xml:space="preserve">" </w:instrText>
      </w:r>
      <w:r w:rsidR="00866C34">
        <w:fldChar w:fldCharType="end"/>
      </w:r>
      <w:r w:rsidR="00866C34" w:rsidRPr="00273106">
        <w:t>.</w:t>
      </w:r>
      <w:r w:rsidR="00866C34">
        <w:t xml:space="preserve"> </w:t>
      </w:r>
      <w:r w:rsidR="00353D2F">
        <w:t xml:space="preserve">Další </w:t>
      </w:r>
      <w:r w:rsidR="00353D2F" w:rsidRPr="00273106">
        <w:t xml:space="preserve">osud Západu </w:t>
      </w:r>
      <w:r w:rsidR="00353D2F">
        <w:t xml:space="preserve">určí </w:t>
      </w:r>
      <w:r w:rsidR="00396386">
        <w:t>jednota</w:t>
      </w:r>
      <w:r w:rsidR="089F5AA1" w:rsidRPr="00273106">
        <w:t xml:space="preserve"> jsoucna podle matematické míry </w:t>
      </w:r>
      <w:r w:rsidR="088204CA">
        <w:t xml:space="preserve">vztažené k čemukoliv </w:t>
      </w:r>
      <w:r w:rsidR="009E2262">
        <w:t xml:space="preserve">kvantitativně určenému </w:t>
      </w:r>
      <w:r w:rsidR="087B0444" w:rsidRPr="00273106">
        <w:t>(</w:t>
      </w:r>
      <w:r w:rsidR="087B0444" w:rsidRPr="00273106">
        <w:rPr>
          <w:i/>
        </w:rPr>
        <w:t>omnis quantitas communicat in hac intentione</w:t>
      </w:r>
      <w:r w:rsidR="087B0444" w:rsidRPr="00273106">
        <w:t>)</w:t>
      </w:r>
      <w:r w:rsidR="009606AA" w:rsidRPr="00273106">
        <w:t xml:space="preserve">. </w:t>
      </w:r>
      <w:r w:rsidR="00B76707" w:rsidRPr="00273106">
        <w:t xml:space="preserve">Změna daná ve výše uvedeném </w:t>
      </w:r>
      <w:r w:rsidR="006A4DF9">
        <w:t>termínu „</w:t>
      </w:r>
      <w:r w:rsidR="00E83FA3" w:rsidRPr="00273106">
        <w:rPr>
          <w:i/>
        </w:rPr>
        <w:t>causae completae</w:t>
      </w:r>
      <w:r w:rsidR="006A4DF9">
        <w:t>“</w:t>
      </w:r>
      <w:r w:rsidR="00E83FA3" w:rsidRPr="00273106">
        <w:t xml:space="preserve"> ukazuje, že </w:t>
      </w:r>
      <w:r w:rsidR="0038211D" w:rsidRPr="00273106">
        <w:t xml:space="preserve">exaktní míra daná matematicky </w:t>
      </w:r>
      <w:r w:rsidR="00F034BA" w:rsidRPr="00273106">
        <w:t xml:space="preserve">vyjadřuje vztah </w:t>
      </w:r>
      <w:r w:rsidR="00E83FA3" w:rsidRPr="00273106">
        <w:t xml:space="preserve">v realitě </w:t>
      </w:r>
      <w:r w:rsidR="00F034BA" w:rsidRPr="00273106">
        <w:t>účinným, tj. reálným způsobem</w:t>
      </w:r>
      <w:r w:rsidR="00090AA9" w:rsidRPr="00273106">
        <w:t xml:space="preserve">, a to skrze esenci danou jako </w:t>
      </w:r>
      <w:r w:rsidR="00090AA9" w:rsidRPr="00273106">
        <w:rPr>
          <w:i/>
        </w:rPr>
        <w:t>medium</w:t>
      </w:r>
      <w:r w:rsidR="00610F15">
        <w:rPr>
          <w:i/>
        </w:rPr>
        <w:fldChar w:fldCharType="begin"/>
      </w:r>
      <w:r w:rsidR="00610F15">
        <w:instrText xml:space="preserve"> XE "</w:instrText>
      </w:r>
      <w:r w:rsidR="00610F15" w:rsidRPr="001618A5">
        <w:rPr>
          <w:i/>
        </w:rPr>
        <w:instrText>medium:</w:instrText>
      </w:r>
      <w:r w:rsidR="00DF13E0" w:rsidRPr="00DF13E0">
        <w:instrText>Rufus</w:instrText>
      </w:r>
      <w:r w:rsidR="00610F15">
        <w:instrText xml:space="preserve">" </w:instrText>
      </w:r>
      <w:r w:rsidR="00610F15">
        <w:rPr>
          <w:i/>
        </w:rPr>
        <w:fldChar w:fldCharType="end"/>
      </w:r>
      <w:r w:rsidR="00090AA9" w:rsidRPr="00273106">
        <w:t xml:space="preserve"> deduktivního soudu</w:t>
      </w:r>
      <w:r w:rsidR="00494C05" w:rsidRPr="00273106">
        <w:t xml:space="preserve">. </w:t>
      </w:r>
      <w:r w:rsidR="00F871C3" w:rsidRPr="00273106">
        <w:t>T</w:t>
      </w:r>
      <w:r w:rsidR="089235AD" w:rsidRPr="00273106">
        <w:t>ato forma kauza</w:t>
      </w:r>
      <w:r w:rsidR="083B68FC" w:rsidRPr="00273106">
        <w:t xml:space="preserve">lity </w:t>
      </w:r>
      <w:r w:rsidR="00B33463">
        <w:t xml:space="preserve">třetího druhu </w:t>
      </w:r>
      <w:r w:rsidR="083B68FC" w:rsidRPr="00273106">
        <w:t>se stala</w:t>
      </w:r>
      <w:r w:rsidR="089235AD" w:rsidRPr="00273106">
        <w:t xml:space="preserve"> </w:t>
      </w:r>
      <w:r w:rsidR="084777B9">
        <w:t xml:space="preserve">veritativně </w:t>
      </w:r>
      <w:r w:rsidR="089235AD" w:rsidRPr="00273106">
        <w:t>účinnou skrze matematizaci světa</w:t>
      </w:r>
      <w:r w:rsidR="00026D3B">
        <w:fldChar w:fldCharType="begin"/>
      </w:r>
      <w:r w:rsidR="00026D3B">
        <w:instrText xml:space="preserve"> XE "</w:instrText>
      </w:r>
      <w:r w:rsidR="00026D3B" w:rsidRPr="008E1AD0">
        <w:instrText>matematizace světa</w:instrText>
      </w:r>
      <w:r w:rsidR="00026D3B">
        <w:instrText xml:space="preserve">" </w:instrText>
      </w:r>
      <w:r w:rsidR="00026D3B">
        <w:fldChar w:fldCharType="end"/>
      </w:r>
      <w:r w:rsidR="083B68FC" w:rsidRPr="00273106">
        <w:t xml:space="preserve"> od 17. století</w:t>
      </w:r>
      <w:r w:rsidR="08511C8D" w:rsidRPr="00273106">
        <w:t xml:space="preserve">, která zakládá </w:t>
      </w:r>
      <w:r w:rsidR="00271379" w:rsidRPr="00273106">
        <w:t>post</w:t>
      </w:r>
      <w:r w:rsidR="08511C8D" w:rsidRPr="00273106">
        <w:t>moderní vědu a techniku</w:t>
      </w:r>
      <w:r w:rsidR="00DF13E0">
        <w:fldChar w:fldCharType="begin"/>
      </w:r>
      <w:r w:rsidR="00DF13E0">
        <w:instrText xml:space="preserve"> XE "</w:instrText>
      </w:r>
      <w:r w:rsidR="00DF13E0" w:rsidRPr="00F37C92">
        <w:instrText>kauzalita:objektivní</w:instrText>
      </w:r>
      <w:r w:rsidR="00DF13E0">
        <w:instrText xml:space="preserve">" </w:instrText>
      </w:r>
      <w:r w:rsidR="00DF13E0">
        <w:fldChar w:fldCharType="end"/>
      </w:r>
      <w:r w:rsidR="089235AD" w:rsidRPr="00273106">
        <w:t>.</w:t>
      </w:r>
      <w:r w:rsidR="00B104D1">
        <w:t xml:space="preserve"> Z</w:t>
      </w:r>
      <w:r w:rsidR="088B3799" w:rsidRPr="00273106">
        <w:t xml:space="preserve">působ </w:t>
      </w:r>
      <w:r w:rsidR="006223AD" w:rsidRPr="00273106">
        <w:t xml:space="preserve">predikace </w:t>
      </w:r>
      <w:r w:rsidR="088B3799" w:rsidRPr="00273106">
        <w:rPr>
          <w:i/>
        </w:rPr>
        <w:t>medio modo</w:t>
      </w:r>
      <w:r w:rsidR="00F143B6">
        <w:rPr>
          <w:i/>
        </w:rPr>
        <w:fldChar w:fldCharType="begin"/>
      </w:r>
      <w:r w:rsidR="00F143B6">
        <w:instrText xml:space="preserve"> XE "predikace:</w:instrText>
      </w:r>
      <w:r w:rsidR="00F143B6" w:rsidRPr="00D546B7">
        <w:rPr>
          <w:i/>
        </w:rPr>
        <w:instrText>medio modo</w:instrText>
      </w:r>
      <w:r w:rsidR="00F143B6">
        <w:instrText xml:space="preserve">" </w:instrText>
      </w:r>
      <w:r w:rsidR="00F143B6">
        <w:rPr>
          <w:i/>
        </w:rPr>
        <w:fldChar w:fldCharType="end"/>
      </w:r>
      <w:r w:rsidR="088B3799" w:rsidRPr="00273106">
        <w:t xml:space="preserve"> se stane základem dalších matric objektivity.</w:t>
      </w:r>
      <w:r w:rsidR="003C1111" w:rsidRPr="00273106">
        <w:t xml:space="preserve"> </w:t>
      </w:r>
      <w:r w:rsidR="080B704A" w:rsidRPr="00273106">
        <w:t>Duns Scotus, oxfordský následovník Rufuse, pochop</w:t>
      </w:r>
      <w:r w:rsidR="0050039C" w:rsidRPr="00273106">
        <w:t>il skutečný potenciál této predikace pro modernu</w:t>
      </w:r>
      <w:r w:rsidR="080B704A" w:rsidRPr="00273106">
        <w:t xml:space="preserve">. </w:t>
      </w:r>
      <w:r w:rsidR="00615E8A" w:rsidRPr="00273106">
        <w:t>Scotus objektivně vytěsnil realitu první</w:t>
      </w:r>
      <w:r w:rsidR="009C2015">
        <w:t>ch substancí</w:t>
      </w:r>
      <w:r w:rsidR="00615E8A" w:rsidRPr="00273106">
        <w:t xml:space="preserve"> a na jej</w:t>
      </w:r>
      <w:r w:rsidR="009C2015">
        <w:t xml:space="preserve">ich </w:t>
      </w:r>
      <w:r w:rsidR="00615E8A" w:rsidRPr="00273106">
        <w:t>místo dal univočně a unitárně nazíranou esenci (</w:t>
      </w:r>
      <w:r w:rsidR="00615E8A" w:rsidRPr="00273106">
        <w:rPr>
          <w:i/>
        </w:rPr>
        <w:t>intentio prima</w:t>
      </w:r>
      <w:r w:rsidR="00615E8A" w:rsidRPr="00273106">
        <w:t xml:space="preserve">). </w:t>
      </w:r>
      <w:r w:rsidR="080D0289" w:rsidRPr="00273106">
        <w:t xml:space="preserve">Metafyzika </w:t>
      </w:r>
      <w:r w:rsidR="080D0289" w:rsidRPr="00273106">
        <w:rPr>
          <w:i/>
        </w:rPr>
        <w:t>Modernorum</w:t>
      </w:r>
      <w:r w:rsidR="080D0289" w:rsidRPr="00273106">
        <w:t xml:space="preserve"> vznikla</w:t>
      </w:r>
      <w:r w:rsidR="080D0289">
        <w:t xml:space="preserve"> tím, že </w:t>
      </w:r>
      <w:r w:rsidR="080D0289" w:rsidRPr="00273106">
        <w:t>Scotus ide</w:t>
      </w:r>
      <w:r w:rsidR="080D0289">
        <w:t>ntifikoval první substanci jako individuální předmět aktu první intence</w:t>
      </w:r>
      <w:r w:rsidR="080D0289" w:rsidRPr="00273106">
        <w:t xml:space="preserve"> a založil </w:t>
      </w:r>
      <w:r w:rsidR="080D0289">
        <w:t xml:space="preserve">další </w:t>
      </w:r>
      <w:r w:rsidR="080D0289" w:rsidRPr="00273106">
        <w:t xml:space="preserve">formu univoční </w:t>
      </w:r>
      <w:r w:rsidR="08DE6CFE">
        <w:t>objektivní predikace (kap. 3</w:t>
      </w:r>
      <w:r w:rsidR="080D0289" w:rsidRPr="00273106">
        <w:t xml:space="preserve">.3.1). </w:t>
      </w:r>
      <w:r w:rsidR="0889521F">
        <w:t xml:space="preserve">Primát </w:t>
      </w:r>
      <w:r w:rsidR="003C1111" w:rsidRPr="00273106">
        <w:t xml:space="preserve">matematické abstrakce </w:t>
      </w:r>
      <w:r w:rsidR="0889521F">
        <w:t xml:space="preserve">a analogie pro vědecké poznání </w:t>
      </w:r>
      <w:r w:rsidR="00A170E2" w:rsidRPr="00273106">
        <w:t xml:space="preserve">by </w:t>
      </w:r>
      <w:r w:rsidR="008E02F5">
        <w:t>Aristoteles</w:t>
      </w:r>
      <w:r w:rsidR="00A170E2" w:rsidRPr="00273106">
        <w:t xml:space="preserve"> </w:t>
      </w:r>
      <w:r w:rsidR="00B20F20">
        <w:t xml:space="preserve">a </w:t>
      </w:r>
      <w:r w:rsidR="002E3B62">
        <w:t>Averroes</w:t>
      </w:r>
      <w:r w:rsidR="00B20F20">
        <w:t xml:space="preserve"> </w:t>
      </w:r>
      <w:r w:rsidR="00A170E2" w:rsidRPr="00273106">
        <w:t>jistě odmítl</w:t>
      </w:r>
      <w:r w:rsidR="00B20F20">
        <w:t>i</w:t>
      </w:r>
      <w:r w:rsidR="083C7FAA">
        <w:t xml:space="preserve">. </w:t>
      </w:r>
      <w:r w:rsidR="008D7558">
        <w:t>Vědecký soud musí predikovat</w:t>
      </w:r>
      <w:r w:rsidR="000D7A0E">
        <w:t xml:space="preserve"> </w:t>
      </w:r>
      <w:r w:rsidR="00E2314D">
        <w:t xml:space="preserve">ve středním členu sylogismu </w:t>
      </w:r>
      <w:r w:rsidR="008D7558">
        <w:t xml:space="preserve">univoční </w:t>
      </w:r>
      <w:r w:rsidR="000D7A0E">
        <w:t xml:space="preserve">vztah </w:t>
      </w:r>
      <w:r w:rsidR="00514036">
        <w:t>druhých substancí</w:t>
      </w:r>
      <w:r w:rsidR="000D7A0E">
        <w:t xml:space="preserve"> </w:t>
      </w:r>
      <w:r w:rsidR="00E2314D">
        <w:t xml:space="preserve">v modu impozice, tedy od </w:t>
      </w:r>
      <w:r w:rsidR="004F7C54">
        <w:t>kauzality</w:t>
      </w:r>
      <w:r w:rsidR="000D7A0E">
        <w:t xml:space="preserve"> první</w:t>
      </w:r>
      <w:r w:rsidR="00514036">
        <w:t>ch substancí</w:t>
      </w:r>
      <w:r w:rsidR="000D7A0E">
        <w:t xml:space="preserve">. </w:t>
      </w:r>
    </w:p>
    <w:p w14:paraId="4F28759A" w14:textId="563751FD" w:rsidR="00D7149B" w:rsidRDefault="081A0CE2" w:rsidP="006643C0">
      <w:r>
        <w:tab/>
        <w:t xml:space="preserve">Nové vidění světa </w:t>
      </w:r>
      <w:r w:rsidR="083F4C13">
        <w:t xml:space="preserve">vzniklo </w:t>
      </w:r>
      <w:r>
        <w:t xml:space="preserve">skrze františkánskou skupinu </w:t>
      </w:r>
      <w:r w:rsidRPr="083B2BA2">
        <w:rPr>
          <w:i/>
        </w:rPr>
        <w:t>intelligentia sp</w:t>
      </w:r>
      <w:r>
        <w:rPr>
          <w:i/>
        </w:rPr>
        <w:t>i</w:t>
      </w:r>
      <w:r w:rsidRPr="083B2BA2">
        <w:rPr>
          <w:i/>
        </w:rPr>
        <w:t>ritualis</w:t>
      </w:r>
      <w:r>
        <w:rPr>
          <w:i/>
        </w:rPr>
        <w:fldChar w:fldCharType="begin"/>
      </w:r>
      <w:r>
        <w:instrText xml:space="preserve"> XE "</w:instrText>
      </w:r>
      <w:r w:rsidRPr="08D6574D">
        <w:rPr>
          <w:i/>
        </w:rPr>
        <w:instrText>intelligentia spiritualis</w:instrText>
      </w:r>
      <w:r>
        <w:instrText xml:space="preserve">" </w:instrText>
      </w:r>
      <w:r>
        <w:rPr>
          <w:i/>
        </w:rPr>
        <w:fldChar w:fldCharType="end"/>
      </w:r>
      <w:r>
        <w:t xml:space="preserve"> na základě Rufusovy novátorské interpretace vědy. Grossetestemu stačila jedna filosofická pětiletka k tomu, aby ve františkánské koleji v Oxfordu vychoval novou generaci metafyziků</w:t>
      </w:r>
      <w:r w:rsidRPr="08B4311F">
        <w:t xml:space="preserve"> </w:t>
      </w:r>
      <w:r>
        <w:t xml:space="preserve">v letech 1230‒35. </w:t>
      </w:r>
      <w:r w:rsidR="00312FBF">
        <w:t xml:space="preserve">Oxfordští akademičtí </w:t>
      </w:r>
      <w:r w:rsidR="00ED1AFB">
        <w:t xml:space="preserve">ilumináti jako Rufus radikalizovali Grossetesteho výklad </w:t>
      </w:r>
      <w:r w:rsidR="00ED1AFB" w:rsidRPr="00312FBF">
        <w:rPr>
          <w:i/>
        </w:rPr>
        <w:t>Druhých analytik</w:t>
      </w:r>
      <w:r w:rsidR="00ED1AFB">
        <w:t xml:space="preserve"> směrem k matematické abstrakci a začali</w:t>
      </w:r>
      <w:r w:rsidR="00244C6A">
        <w:t xml:space="preserve"> </w:t>
      </w:r>
      <w:r w:rsidR="00ED1AFB">
        <w:t>etapu</w:t>
      </w:r>
      <w:r w:rsidR="00244C6A" w:rsidRPr="00273106">
        <w:t xml:space="preserve"> </w:t>
      </w:r>
      <w:r w:rsidR="00244C6A">
        <w:t xml:space="preserve">moderní </w:t>
      </w:r>
      <w:r w:rsidR="00244C6A" w:rsidRPr="00273106">
        <w:t>analytické filosofie</w:t>
      </w:r>
      <w:r w:rsidR="00ED1AFB">
        <w:t xml:space="preserve"> spojené s matematizací světa</w:t>
      </w:r>
      <w:r w:rsidR="002E28AC">
        <w:fldChar w:fldCharType="begin"/>
      </w:r>
      <w:r w:rsidR="002E28AC">
        <w:instrText xml:space="preserve"> XE "</w:instrText>
      </w:r>
      <w:r w:rsidR="002E28AC" w:rsidRPr="005337EA">
        <w:instrText>analytická filosofie</w:instrText>
      </w:r>
      <w:r w:rsidR="002E28AC">
        <w:instrText xml:space="preserve">" </w:instrText>
      </w:r>
      <w:r w:rsidR="002E28AC">
        <w:fldChar w:fldCharType="end"/>
      </w:r>
      <w:r w:rsidR="00244C6A" w:rsidRPr="00273106">
        <w:t>.</w:t>
      </w:r>
      <w:r w:rsidR="006A0645">
        <w:t xml:space="preserve"> </w:t>
      </w:r>
      <w:r w:rsidR="00312FBF">
        <w:t xml:space="preserve">Rufusovým výkladem </w:t>
      </w:r>
      <w:r w:rsidR="00312FBF" w:rsidRPr="00312FBF">
        <w:rPr>
          <w:i/>
        </w:rPr>
        <w:t>Druhých analytik</w:t>
      </w:r>
      <w:r w:rsidR="00312FBF">
        <w:t xml:space="preserve"> se </w:t>
      </w:r>
      <w:r w:rsidR="00312FBF" w:rsidRPr="00273106">
        <w:t xml:space="preserve">uzavřela první fáze vývoje </w:t>
      </w:r>
      <w:r w:rsidR="00312FBF" w:rsidRPr="00273106">
        <w:rPr>
          <w:i/>
        </w:rPr>
        <w:t>Oxfordian Fallacy</w:t>
      </w:r>
      <w:r w:rsidR="00312FBF">
        <w:t xml:space="preserve">. </w:t>
      </w:r>
      <w:r w:rsidR="00D66F3F">
        <w:t xml:space="preserve">Predikace </w:t>
      </w:r>
      <w:r w:rsidR="00AC1EAD" w:rsidRPr="00273106">
        <w:t xml:space="preserve">první substance </w:t>
      </w:r>
      <w:r w:rsidR="002E28AC">
        <w:t>vztažená k původnímu bytí věci (</w:t>
      </w:r>
      <w:r w:rsidR="002E28AC" w:rsidRPr="00273106">
        <w:rPr>
          <w:i/>
        </w:rPr>
        <w:t>actus essendi</w:t>
      </w:r>
      <w:r w:rsidR="002E28AC">
        <w:t>)</w:t>
      </w:r>
      <w:r w:rsidR="00C14270">
        <w:t xml:space="preserve"> </w:t>
      </w:r>
      <w:r w:rsidR="002E28AC">
        <w:rPr>
          <w:i/>
        </w:rPr>
        <w:fldChar w:fldCharType="begin"/>
      </w:r>
      <w:r w:rsidR="002E28AC">
        <w:instrText xml:space="preserve"> XE "</w:instrText>
      </w:r>
      <w:r w:rsidR="002E28AC" w:rsidRPr="006D3950">
        <w:rPr>
          <w:i/>
        </w:rPr>
        <w:instrText>actus essendi</w:instrText>
      </w:r>
      <w:r w:rsidR="002E28AC">
        <w:instrText xml:space="preserve">" </w:instrText>
      </w:r>
      <w:r w:rsidR="002E28AC">
        <w:rPr>
          <w:i/>
        </w:rPr>
        <w:fldChar w:fldCharType="end"/>
      </w:r>
      <w:r w:rsidR="00D66F3F">
        <w:t xml:space="preserve">se transformovala </w:t>
      </w:r>
      <w:r w:rsidR="00AC1EAD" w:rsidRPr="00273106">
        <w:t xml:space="preserve">na intenci </w:t>
      </w:r>
      <w:r w:rsidR="089A2F5C">
        <w:t xml:space="preserve">esence dané </w:t>
      </w:r>
      <w:r w:rsidR="002E28AC">
        <w:t xml:space="preserve">v modu </w:t>
      </w:r>
      <w:r w:rsidR="00D66F3F">
        <w:t>matematického individua</w:t>
      </w:r>
      <w:r w:rsidR="002E28AC">
        <w:t xml:space="preserve">. Existence věci se stala </w:t>
      </w:r>
      <w:r w:rsidR="002335A3">
        <w:t>porretán</w:t>
      </w:r>
      <w:r w:rsidR="002E28AC">
        <w:t>skou</w:t>
      </w:r>
      <w:r w:rsidR="00C14270">
        <w:t xml:space="preserve"> hypostází v modu objektivního </w:t>
      </w:r>
      <w:r w:rsidR="002E28AC" w:rsidRPr="002E28AC">
        <w:rPr>
          <w:i/>
        </w:rPr>
        <w:t>exsistere</w:t>
      </w:r>
      <w:r w:rsidR="002E28AC">
        <w:rPr>
          <w:i/>
        </w:rPr>
        <w:fldChar w:fldCharType="begin"/>
      </w:r>
      <w:r w:rsidR="002E28AC">
        <w:instrText xml:space="preserve"> XE "</w:instrText>
      </w:r>
      <w:r w:rsidR="002E28AC" w:rsidRPr="00F453E8">
        <w:rPr>
          <w:i/>
        </w:rPr>
        <w:instrText>exsistere</w:instrText>
      </w:r>
      <w:r w:rsidR="002E28AC">
        <w:instrText xml:space="preserve">" </w:instrText>
      </w:r>
      <w:r w:rsidR="002E28AC">
        <w:rPr>
          <w:i/>
        </w:rPr>
        <w:fldChar w:fldCharType="end"/>
      </w:r>
      <w:r w:rsidR="00674C94" w:rsidRPr="00273106">
        <w:t xml:space="preserve">. </w:t>
      </w:r>
      <w:r w:rsidR="002B0E98" w:rsidRPr="00273106">
        <w:t>Originální a sebevědomý f</w:t>
      </w:r>
      <w:r w:rsidR="00C1515D" w:rsidRPr="00273106">
        <w:t xml:space="preserve">rantiškánský magistr </w:t>
      </w:r>
      <w:r w:rsidR="0014623E" w:rsidRPr="00273106">
        <w:t xml:space="preserve">transformoval </w:t>
      </w:r>
      <w:r w:rsidR="08C34005">
        <w:t xml:space="preserve">učení </w:t>
      </w:r>
      <w:r w:rsidR="00C03C7E" w:rsidRPr="00273106">
        <w:rPr>
          <w:i/>
        </w:rPr>
        <w:t>Nominales</w:t>
      </w:r>
      <w:r w:rsidR="08C34005">
        <w:t>, kteří chápali</w:t>
      </w:r>
      <w:r w:rsidR="00C03C7E" w:rsidRPr="00273106">
        <w:t xml:space="preserve"> </w:t>
      </w:r>
      <w:r w:rsidR="007954F2" w:rsidRPr="00273106">
        <w:t xml:space="preserve">univerzália </w:t>
      </w:r>
      <w:r w:rsidR="00F96277" w:rsidRPr="00273106">
        <w:t>jako individuální esence</w:t>
      </w:r>
      <w:r w:rsidR="0014623E" w:rsidRPr="00273106">
        <w:t>, na novou</w:t>
      </w:r>
      <w:r w:rsidR="00C964AA" w:rsidRPr="00273106">
        <w:t xml:space="preserve"> formu kategoriální predikace</w:t>
      </w:r>
      <w:r w:rsidR="00EE7C58" w:rsidRPr="00273106">
        <w:t xml:space="preserve">. </w:t>
      </w:r>
      <w:r w:rsidR="00BC70DF" w:rsidRPr="00273106">
        <w:t xml:space="preserve">Klasické pojmy </w:t>
      </w:r>
      <w:r w:rsidR="00BC70DF" w:rsidRPr="00273106">
        <w:rPr>
          <w:i/>
        </w:rPr>
        <w:t>Nominales</w:t>
      </w:r>
      <w:r w:rsidR="00BC70DF" w:rsidRPr="00273106">
        <w:t xml:space="preserve"> jako </w:t>
      </w:r>
      <w:r w:rsidR="004B4D52" w:rsidRPr="004B4D52">
        <w:t>species</w:t>
      </w:r>
      <w:r w:rsidR="00BC70DF" w:rsidRPr="00273106">
        <w:t xml:space="preserve">, </w:t>
      </w:r>
      <w:r w:rsidR="00BC70DF" w:rsidRPr="00273106">
        <w:rPr>
          <w:i/>
        </w:rPr>
        <w:t>individuum</w:t>
      </w:r>
      <w:r w:rsidR="00BC70DF" w:rsidRPr="00273106">
        <w:t xml:space="preserve">, </w:t>
      </w:r>
      <w:r w:rsidR="00BC70DF" w:rsidRPr="00273106">
        <w:rPr>
          <w:i/>
        </w:rPr>
        <w:t>quantitas</w:t>
      </w:r>
      <w:r w:rsidR="00BC70DF" w:rsidRPr="00273106">
        <w:t xml:space="preserve"> a </w:t>
      </w:r>
      <w:r w:rsidR="00BC70DF" w:rsidRPr="00273106">
        <w:rPr>
          <w:i/>
        </w:rPr>
        <w:t>numerus</w:t>
      </w:r>
      <w:r w:rsidR="00BC70DF" w:rsidRPr="00273106">
        <w:t xml:space="preserve"> </w:t>
      </w:r>
      <w:r w:rsidR="00C82F4F" w:rsidRPr="00273106">
        <w:t>se stal</w:t>
      </w:r>
      <w:r w:rsidR="002B43C2" w:rsidRPr="00273106">
        <w:t>y</w:t>
      </w:r>
      <w:r w:rsidR="00B161EB" w:rsidRPr="00273106">
        <w:t xml:space="preserve"> </w:t>
      </w:r>
      <w:r w:rsidR="007A46F1" w:rsidRPr="00273106">
        <w:t xml:space="preserve">zhruba </w:t>
      </w:r>
      <w:r w:rsidR="00C87365" w:rsidRPr="00273106">
        <w:t xml:space="preserve">od 1235 novou </w:t>
      </w:r>
      <w:r w:rsidR="00B161EB" w:rsidRPr="00273106">
        <w:t>kvazi-substancí</w:t>
      </w:r>
      <w:r w:rsidR="00A46E62">
        <w:t xml:space="preserve">. Tyto nové formy </w:t>
      </w:r>
      <w:r w:rsidR="00A46E62" w:rsidRPr="00A46E62">
        <w:rPr>
          <w:i/>
        </w:rPr>
        <w:t>tertium ens</w:t>
      </w:r>
      <w:r w:rsidR="00A46E62">
        <w:t xml:space="preserve"> </w:t>
      </w:r>
      <w:r w:rsidR="00BC70DF" w:rsidRPr="00273106">
        <w:t>dostaly</w:t>
      </w:r>
      <w:r w:rsidR="0014623E" w:rsidRPr="00273106">
        <w:t xml:space="preserve"> statut </w:t>
      </w:r>
      <w:r w:rsidR="0083729A">
        <w:t xml:space="preserve">hyparchického </w:t>
      </w:r>
      <w:r w:rsidR="00C20322">
        <w:t>sub</w:t>
      </w:r>
      <w:r w:rsidR="00BC3EEF">
        <w:t xml:space="preserve">jektu </w:t>
      </w:r>
      <w:r w:rsidR="00E85088" w:rsidRPr="00273106">
        <w:t xml:space="preserve">(Aristotelovo ὑποκείμενον) </w:t>
      </w:r>
      <w:r w:rsidR="004A2598" w:rsidRPr="00273106">
        <w:t xml:space="preserve">pro </w:t>
      </w:r>
      <w:r w:rsidR="00C14270">
        <w:t>kategoriální</w:t>
      </w:r>
      <w:r w:rsidR="0083729A">
        <w:t xml:space="preserve"> </w:t>
      </w:r>
      <w:r w:rsidR="004A2598" w:rsidRPr="00273106">
        <w:t>predikaci</w:t>
      </w:r>
      <w:r w:rsidR="00E85088" w:rsidRPr="00273106">
        <w:t xml:space="preserve"> </w:t>
      </w:r>
      <w:r w:rsidR="00714806" w:rsidRPr="00273106">
        <w:t xml:space="preserve">jednoty jsoucna </w:t>
      </w:r>
      <w:r w:rsidR="00E72091" w:rsidRPr="00273106">
        <w:t xml:space="preserve">danou </w:t>
      </w:r>
      <w:r w:rsidR="00E85088" w:rsidRPr="00273106">
        <w:t xml:space="preserve">v </w:t>
      </w:r>
      <w:r w:rsidR="00F03A64">
        <w:t xml:space="preserve">analogickém </w:t>
      </w:r>
      <w:r w:rsidR="00E85088" w:rsidRPr="00273106">
        <w:t xml:space="preserve">modu </w:t>
      </w:r>
      <w:r w:rsidR="00E85088" w:rsidRPr="00273106">
        <w:rPr>
          <w:i/>
        </w:rPr>
        <w:t>per prius</w:t>
      </w:r>
      <w:r w:rsidR="00371818" w:rsidRPr="00273106">
        <w:t xml:space="preserve">. </w:t>
      </w:r>
      <w:r w:rsidR="0015065A" w:rsidRPr="00273106">
        <w:t>Existence reálné věci nemá ve druhém averroismu stejný význam jako v</w:t>
      </w:r>
      <w:r w:rsidR="0015065A">
        <w:t xml:space="preserve"> prvním averroismu. </w:t>
      </w:r>
      <w:r w:rsidR="009F7016" w:rsidRPr="00273106">
        <w:t>První a druhý averroismus s</w:t>
      </w:r>
      <w:r w:rsidR="00A40B93">
        <w:t xml:space="preserve">e zásadně liší v klasické tezi </w:t>
      </w:r>
      <w:r w:rsidR="000850FE">
        <w:t>„</w:t>
      </w:r>
      <w:r w:rsidR="009F7016" w:rsidRPr="00273106">
        <w:rPr>
          <w:i/>
        </w:rPr>
        <w:t>forma dat esse</w:t>
      </w:r>
      <w:r w:rsidR="000850FE">
        <w:t>“</w:t>
      </w:r>
      <w:r w:rsidR="00A40B93">
        <w:t xml:space="preserve"> a </w:t>
      </w:r>
      <w:r w:rsidR="000850FE">
        <w:t>„</w:t>
      </w:r>
      <w:r w:rsidR="009F7016" w:rsidRPr="00273106">
        <w:rPr>
          <w:i/>
        </w:rPr>
        <w:t>materia dat esse</w:t>
      </w:r>
      <w:r w:rsidR="000850FE">
        <w:t>“</w:t>
      </w:r>
      <w:r w:rsidR="009F7016" w:rsidRPr="00273106">
        <w:t xml:space="preserve">. </w:t>
      </w:r>
      <w:r w:rsidR="089B77DC">
        <w:t>Moderní f</w:t>
      </w:r>
      <w:r w:rsidR="00933C2F" w:rsidRPr="00273106">
        <w:t>orma a materie mají statut jsoucna třetího druhu</w:t>
      </w:r>
      <w:r w:rsidR="004927F9">
        <w:t>, které „exsistuje“ v modu porretánské hypostatické unie první a druhé substance</w:t>
      </w:r>
      <w:r w:rsidR="00933C2F" w:rsidRPr="00273106">
        <w:t>.</w:t>
      </w:r>
      <w:r w:rsidR="000422F7">
        <w:t xml:space="preserve"> </w:t>
      </w:r>
      <w:r w:rsidR="000422F7" w:rsidRPr="000422F7">
        <w:t xml:space="preserve">Avicenisté a Rufus tvrdí, že esence má svou vlastní kauzalitu, kterou poznáváme jako třetí druh v procesu </w:t>
      </w:r>
      <w:r w:rsidR="000422F7" w:rsidRPr="000422F7">
        <w:rPr>
          <w:i/>
        </w:rPr>
        <w:t>demonstratio</w:t>
      </w:r>
      <w:r w:rsidR="000422F7" w:rsidRPr="000422F7">
        <w:t xml:space="preserve">. Střední článek deduktivního sylogismu hrál nezbytnou roli pro zajištění dedukce. Jeho aktualizace je dána </w:t>
      </w:r>
      <w:r w:rsidR="000422F7" w:rsidRPr="00B07514">
        <w:rPr>
          <w:i/>
        </w:rPr>
        <w:t>ad hoc</w:t>
      </w:r>
      <w:r w:rsidR="000422F7" w:rsidRPr="000422F7">
        <w:t xml:space="preserve"> </w:t>
      </w:r>
      <w:r w:rsidR="000422F7">
        <w:t xml:space="preserve">v realitě bytím </w:t>
      </w:r>
      <w:r w:rsidR="000422F7" w:rsidRPr="000422F7">
        <w:t>věčné exemplární esence.</w:t>
      </w:r>
      <w:r w:rsidR="000422F7">
        <w:t xml:space="preserve"> </w:t>
      </w:r>
      <w:r w:rsidR="00F46F33" w:rsidRPr="00273106">
        <w:t xml:space="preserve">Pokud je singularizovaná esence nalezena a poznána </w:t>
      </w:r>
      <w:r w:rsidR="00D06CD2" w:rsidRPr="00273106">
        <w:t xml:space="preserve">i v reálu, pak </w:t>
      </w:r>
      <w:r w:rsidR="00A77A0E">
        <w:t>objektivní „</w:t>
      </w:r>
      <w:r w:rsidR="00F46F33" w:rsidRPr="00273106">
        <w:t>ex</w:t>
      </w:r>
      <w:r w:rsidR="00A77A0E">
        <w:t>s</w:t>
      </w:r>
      <w:r w:rsidR="00F46F33" w:rsidRPr="00273106">
        <w:t>istence</w:t>
      </w:r>
      <w:r w:rsidR="00A77A0E">
        <w:t>“</w:t>
      </w:r>
      <w:r w:rsidR="00F46F33" w:rsidRPr="00273106">
        <w:t xml:space="preserve"> </w:t>
      </w:r>
      <w:r w:rsidR="00A77A0E">
        <w:t xml:space="preserve">porretánského individua či </w:t>
      </w:r>
      <w:r w:rsidR="00A77A0E" w:rsidRPr="00A77A0E">
        <w:rPr>
          <w:i/>
        </w:rPr>
        <w:t>scibile</w:t>
      </w:r>
      <w:r w:rsidR="003B4FA7">
        <w:rPr>
          <w:i/>
        </w:rPr>
        <w:fldChar w:fldCharType="begin"/>
      </w:r>
      <w:r w:rsidR="003B4FA7">
        <w:instrText xml:space="preserve"> XE "</w:instrText>
      </w:r>
      <w:r w:rsidR="003B4FA7" w:rsidRPr="00AA4F67">
        <w:rPr>
          <w:i/>
        </w:rPr>
        <w:instrText>scibile</w:instrText>
      </w:r>
      <w:r w:rsidR="00E03EBD">
        <w:instrText>:Rufus</w:instrText>
      </w:r>
      <w:r w:rsidR="003B4FA7">
        <w:instrText xml:space="preserve">" </w:instrText>
      </w:r>
      <w:r w:rsidR="003B4FA7">
        <w:rPr>
          <w:i/>
        </w:rPr>
        <w:fldChar w:fldCharType="end"/>
      </w:r>
      <w:r w:rsidR="00A77A0E">
        <w:t xml:space="preserve"> </w:t>
      </w:r>
      <w:r w:rsidR="007A525E" w:rsidRPr="00273106">
        <w:t xml:space="preserve">přechází </w:t>
      </w:r>
      <w:r w:rsidR="0858730C">
        <w:t xml:space="preserve">do predikace </w:t>
      </w:r>
      <w:r w:rsidR="08A96A25" w:rsidRPr="00273106">
        <w:t>aktuální</w:t>
      </w:r>
      <w:r w:rsidR="00A77A0E">
        <w:t xml:space="preserve"> ex</w:t>
      </w:r>
      <w:r w:rsidR="0858730C">
        <w:t>istence</w:t>
      </w:r>
      <w:r w:rsidR="00A77A0E">
        <w:t xml:space="preserve"> první substance. </w:t>
      </w:r>
      <w:r w:rsidR="004A2605" w:rsidRPr="00273106">
        <w:t xml:space="preserve">Rufus navázal výklad </w:t>
      </w:r>
      <w:r w:rsidR="004A2605" w:rsidRPr="004A2605">
        <w:rPr>
          <w:i/>
        </w:rPr>
        <w:t>Druhých analytik</w:t>
      </w:r>
      <w:r w:rsidR="004A2605" w:rsidRPr="00273106">
        <w:t xml:space="preserve"> na univerzální predikaci Avicenny.</w:t>
      </w:r>
      <w:r w:rsidR="004A2605">
        <w:t xml:space="preserve"> </w:t>
      </w:r>
      <w:r w:rsidR="00A77A0E">
        <w:t>E</w:t>
      </w:r>
      <w:r w:rsidR="08482B5F">
        <w:t>xistenciální soud spojil</w:t>
      </w:r>
      <w:r w:rsidR="08A96A25" w:rsidRPr="00273106">
        <w:t xml:space="preserve"> </w:t>
      </w:r>
      <w:r w:rsidR="00A77A0E">
        <w:t xml:space="preserve">trvalý význam </w:t>
      </w:r>
      <w:r w:rsidR="004A2605">
        <w:t xml:space="preserve">esence </w:t>
      </w:r>
      <w:r w:rsidR="08A96A25" w:rsidRPr="00273106">
        <w:t>skrze kopulu</w:t>
      </w:r>
      <w:r w:rsidR="004A2605">
        <w:t xml:space="preserve"> s její</w:t>
      </w:r>
      <w:r w:rsidR="00A77A0E">
        <w:t xml:space="preserve"> pomíjivou aktualizací</w:t>
      </w:r>
      <w:r w:rsidR="00056D25">
        <w:t xml:space="preserve">. </w:t>
      </w:r>
      <w:r w:rsidR="00257361" w:rsidRPr="00273106">
        <w:t xml:space="preserve">Oba mody </w:t>
      </w:r>
      <w:r w:rsidR="085E4AAB">
        <w:t>substance (věčná</w:t>
      </w:r>
      <w:r w:rsidR="00E440A7">
        <w:t xml:space="preserve"> </w:t>
      </w:r>
      <w:r w:rsidR="004B4D52" w:rsidRPr="004B4D52">
        <w:t>species</w:t>
      </w:r>
      <w:r w:rsidR="009E4D45">
        <w:t>, její</w:t>
      </w:r>
      <w:r w:rsidR="00E440A7">
        <w:t xml:space="preserve"> kontigentní existence zde a nyní) </w:t>
      </w:r>
      <w:r w:rsidR="00257361" w:rsidRPr="00273106">
        <w:t xml:space="preserve">jsou dány </w:t>
      </w:r>
      <w:r w:rsidR="00257361" w:rsidRPr="00273106">
        <w:rPr>
          <w:i/>
        </w:rPr>
        <w:t>simpliciter</w:t>
      </w:r>
      <w:r w:rsidR="00257361" w:rsidRPr="00273106">
        <w:t xml:space="preserve">, a tím je zajištěna univocita pro vědecké poznání v rámci </w:t>
      </w:r>
      <w:r w:rsidR="007D1139" w:rsidRPr="00273106">
        <w:t xml:space="preserve">nové formy </w:t>
      </w:r>
      <w:r w:rsidR="00257361" w:rsidRPr="00273106">
        <w:t>kategoriální predikace</w:t>
      </w:r>
      <w:r w:rsidR="008076E6">
        <w:fldChar w:fldCharType="begin"/>
      </w:r>
      <w:r w:rsidR="008076E6">
        <w:instrText xml:space="preserve"> XE "</w:instrText>
      </w:r>
      <w:r w:rsidR="008076E6" w:rsidRPr="00D701EF">
        <w:instrText>predikace:</w:instrText>
      </w:r>
      <w:r w:rsidR="008076E6">
        <w:instrText>objek</w:instrText>
      </w:r>
      <w:r w:rsidR="008076E6" w:rsidRPr="00D701EF">
        <w:instrText>tivní</w:instrText>
      </w:r>
      <w:r w:rsidR="008076E6">
        <w:instrText xml:space="preserve">" </w:instrText>
      </w:r>
      <w:r w:rsidR="008076E6">
        <w:fldChar w:fldCharType="end"/>
      </w:r>
      <w:r w:rsidR="00257361" w:rsidRPr="00273106">
        <w:t xml:space="preserve">. </w:t>
      </w:r>
      <w:r w:rsidR="085E4AAB">
        <w:t xml:space="preserve">Aktualizace </w:t>
      </w:r>
      <w:r w:rsidR="0062423B">
        <w:t xml:space="preserve">nebo exemplifikace objektivní formy funguje jako střední člen demonstrativního soudu, proto má i kauzalitu třetího druhu. </w:t>
      </w:r>
      <w:r w:rsidR="00F46F33" w:rsidRPr="00273106">
        <w:t>I</w:t>
      </w:r>
      <w:r w:rsidR="00D06CD2" w:rsidRPr="00273106">
        <w:t>ndi</w:t>
      </w:r>
      <w:r w:rsidR="004347CF" w:rsidRPr="00273106">
        <w:t xml:space="preserve">viduálně-univerzální </w:t>
      </w:r>
      <w:r w:rsidR="00D06CD2" w:rsidRPr="00273106">
        <w:t>esence přesáhne</w:t>
      </w:r>
      <w:r w:rsidR="004C048D" w:rsidRPr="00273106">
        <w:t xml:space="preserve"> (</w:t>
      </w:r>
      <w:r w:rsidR="004C048D" w:rsidRPr="00273106">
        <w:rPr>
          <w:i/>
        </w:rPr>
        <w:t>exsist</w:t>
      </w:r>
      <w:r w:rsidR="001D7574" w:rsidRPr="00273106">
        <w:rPr>
          <w:i/>
        </w:rPr>
        <w:t>it</w:t>
      </w:r>
      <w:r w:rsidR="004C048D" w:rsidRPr="00273106">
        <w:t xml:space="preserve">) </w:t>
      </w:r>
      <w:r w:rsidR="00D06CD2" w:rsidRPr="00273106">
        <w:t xml:space="preserve">až </w:t>
      </w:r>
      <w:r w:rsidR="00405D62" w:rsidRPr="00273106">
        <w:t xml:space="preserve">do </w:t>
      </w:r>
      <w:r w:rsidR="00211C65" w:rsidRPr="00273106">
        <w:t xml:space="preserve">aktuálně dané </w:t>
      </w:r>
      <w:r w:rsidR="00405D62" w:rsidRPr="00273106">
        <w:t>individuální existence</w:t>
      </w:r>
      <w:r w:rsidR="00D06CD2" w:rsidRPr="00273106">
        <w:t xml:space="preserve"> (</w:t>
      </w:r>
      <w:r w:rsidR="00D06CD2" w:rsidRPr="00273106">
        <w:rPr>
          <w:i/>
        </w:rPr>
        <w:t>actualiter exsistentia</w:t>
      </w:r>
      <w:r w:rsidR="00D06CD2" w:rsidRPr="00273106">
        <w:t>)</w:t>
      </w:r>
      <w:r w:rsidR="00405D62" w:rsidRPr="00273106">
        <w:t xml:space="preserve">. </w:t>
      </w:r>
      <w:r w:rsidR="00F70C64">
        <w:t xml:space="preserve">Současná nihilistická fáze metafyziky zná tento postup dedukce skrze </w:t>
      </w:r>
      <w:r w:rsidR="00610494">
        <w:t xml:space="preserve">analytické </w:t>
      </w:r>
      <w:r w:rsidR="00F70C64">
        <w:t xml:space="preserve">termíny </w:t>
      </w:r>
      <w:r w:rsidR="0083413D">
        <w:t>„</w:t>
      </w:r>
      <w:r w:rsidR="085E4AAB">
        <w:rPr>
          <w:i/>
        </w:rPr>
        <w:t>Principle of I</w:t>
      </w:r>
      <w:r w:rsidR="00F70C64" w:rsidRPr="00A77A0E">
        <w:rPr>
          <w:i/>
        </w:rPr>
        <w:t>nstantiation</w:t>
      </w:r>
      <w:r w:rsidR="0083413D">
        <w:t>“</w:t>
      </w:r>
      <w:r w:rsidR="00F70C64">
        <w:rPr>
          <w:i/>
        </w:rPr>
        <w:fldChar w:fldCharType="begin"/>
      </w:r>
      <w:r w:rsidR="00F70C64">
        <w:instrText xml:space="preserve"> XE "</w:instrText>
      </w:r>
      <w:r w:rsidR="08627DA7">
        <w:rPr>
          <w:i/>
        </w:rPr>
        <w:instrText>Principle of I</w:instrText>
      </w:r>
      <w:r w:rsidR="00F70C64" w:rsidRPr="00AE64B0">
        <w:rPr>
          <w:i/>
        </w:rPr>
        <w:instrText>nstantiation</w:instrText>
      </w:r>
      <w:r w:rsidR="00F70C64">
        <w:instrText xml:space="preserve">" </w:instrText>
      </w:r>
      <w:r w:rsidR="00F70C64">
        <w:rPr>
          <w:i/>
        </w:rPr>
        <w:fldChar w:fldCharType="end"/>
      </w:r>
      <w:r w:rsidR="00F70C64">
        <w:t xml:space="preserve"> nebo </w:t>
      </w:r>
      <w:r w:rsidR="0083413D">
        <w:t>„</w:t>
      </w:r>
      <w:r w:rsidR="085E4AAB">
        <w:rPr>
          <w:i/>
        </w:rPr>
        <w:t>Principle of E</w:t>
      </w:r>
      <w:r w:rsidR="00F70C64" w:rsidRPr="00A77A0E">
        <w:rPr>
          <w:i/>
        </w:rPr>
        <w:t>xemplification</w:t>
      </w:r>
      <w:r w:rsidR="08627DA7">
        <w:rPr>
          <w:i/>
        </w:rPr>
        <w:fldChar w:fldCharType="begin"/>
      </w:r>
      <w:r w:rsidR="08627DA7">
        <w:instrText xml:space="preserve"> XE "</w:instrText>
      </w:r>
      <w:r w:rsidR="08627DA7" w:rsidRPr="08361C3C">
        <w:rPr>
          <w:i/>
        </w:rPr>
        <w:instrText>Principle of Exemplification</w:instrText>
      </w:r>
      <w:r w:rsidR="08627DA7">
        <w:instrText xml:space="preserve">" </w:instrText>
      </w:r>
      <w:r w:rsidR="08627DA7">
        <w:rPr>
          <w:i/>
        </w:rPr>
        <w:fldChar w:fldCharType="end"/>
      </w:r>
      <w:r w:rsidR="00F70C64" w:rsidRPr="00A77A0E">
        <w:t>.</w:t>
      </w:r>
      <w:r w:rsidR="0083413D">
        <w:t>“</w:t>
      </w:r>
      <w:r w:rsidR="00F70C64" w:rsidRPr="00A77A0E">
        <w:t xml:space="preserve"> </w:t>
      </w:r>
      <w:r w:rsidR="00013107" w:rsidRPr="00273106">
        <w:t xml:space="preserve">Pokud </w:t>
      </w:r>
      <w:r w:rsidR="08911253" w:rsidRPr="00273106">
        <w:t>konti</w:t>
      </w:r>
      <w:r w:rsidR="089971AE" w:rsidRPr="00273106">
        <w:t>n</w:t>
      </w:r>
      <w:r w:rsidR="0083413D">
        <w:t>gentní realita t</w:t>
      </w:r>
      <w:r w:rsidR="00920FE0">
        <w:t>uto recep</w:t>
      </w:r>
      <w:r w:rsidR="0083413D">
        <w:t xml:space="preserve">ci moderní formy </w:t>
      </w:r>
      <w:r w:rsidR="08911253" w:rsidRPr="00273106">
        <w:t xml:space="preserve">neuskuteční, tak </w:t>
      </w:r>
      <w:r w:rsidR="00013107" w:rsidRPr="00273106">
        <w:t xml:space="preserve">se </w:t>
      </w:r>
      <w:r w:rsidR="08911253" w:rsidRPr="00273106">
        <w:t xml:space="preserve">nestane </w:t>
      </w:r>
      <w:r w:rsidR="009E48F2">
        <w:t xml:space="preserve">podle modernistů </w:t>
      </w:r>
      <w:r w:rsidR="08911253" w:rsidRPr="00273106">
        <w:t>nic závažného</w:t>
      </w:r>
      <w:r w:rsidR="00F07EC4">
        <w:t>. E</w:t>
      </w:r>
      <w:r w:rsidR="089D4EA1">
        <w:t>s</w:t>
      </w:r>
      <w:r w:rsidR="003E7CAB" w:rsidRPr="00273106">
        <w:t xml:space="preserve">ence </w:t>
      </w:r>
      <w:r w:rsidR="00F07EC4">
        <w:t xml:space="preserve">jsou </w:t>
      </w:r>
      <w:r w:rsidR="003E7CAB" w:rsidRPr="00273106">
        <w:t xml:space="preserve">dané </w:t>
      </w:r>
      <w:r w:rsidR="00F07EC4">
        <w:t>v modu „</w:t>
      </w:r>
      <w:r w:rsidR="006978C2" w:rsidRPr="00273106">
        <w:rPr>
          <w:i/>
        </w:rPr>
        <w:t>semel‒semper</w:t>
      </w:r>
      <w:r w:rsidR="00F07EC4">
        <w:t>“</w:t>
      </w:r>
      <w:r w:rsidR="004044B6">
        <w:rPr>
          <w:i/>
        </w:rPr>
        <w:fldChar w:fldCharType="begin"/>
      </w:r>
      <w:r w:rsidR="004044B6">
        <w:instrText xml:space="preserve"> XE "</w:instrText>
      </w:r>
      <w:r w:rsidR="004044B6" w:rsidRPr="004044B6">
        <w:instrText>predikace</w:instrText>
      </w:r>
      <w:r w:rsidR="004044B6" w:rsidRPr="00935065">
        <w:rPr>
          <w:i/>
        </w:rPr>
        <w:instrText>:</w:instrText>
      </w:r>
      <w:r w:rsidR="006F1348">
        <w:rPr>
          <w:i/>
        </w:rPr>
        <w:instrText>semel‒semper</w:instrText>
      </w:r>
      <w:r w:rsidR="004044B6">
        <w:instrText xml:space="preserve">" </w:instrText>
      </w:r>
      <w:r w:rsidR="004044B6">
        <w:rPr>
          <w:i/>
        </w:rPr>
        <w:fldChar w:fldCharType="end"/>
      </w:r>
      <w:r w:rsidR="006978C2" w:rsidRPr="00273106">
        <w:t xml:space="preserve"> </w:t>
      </w:r>
      <w:r w:rsidR="087A14FF">
        <w:t xml:space="preserve">alespoň </w:t>
      </w:r>
      <w:r w:rsidR="0812679D">
        <w:t xml:space="preserve">v </w:t>
      </w:r>
      <w:r w:rsidR="087A14FF">
        <w:t xml:space="preserve">moderním bohu </w:t>
      </w:r>
      <w:r w:rsidR="08CC68A7">
        <w:t xml:space="preserve">a po jeho smrti v nějaké </w:t>
      </w:r>
      <w:r w:rsidR="08FC6E28">
        <w:t xml:space="preserve">indexované </w:t>
      </w:r>
      <w:r w:rsidR="08CC68A7">
        <w:t>vědecké databázi</w:t>
      </w:r>
      <w:r w:rsidR="00F07EC4">
        <w:t xml:space="preserve">. Pak </w:t>
      </w:r>
      <w:r w:rsidR="087A14FF">
        <w:t xml:space="preserve">je jisté, že individuum </w:t>
      </w:r>
      <w:r w:rsidR="00040B4F">
        <w:t xml:space="preserve">vždy </w:t>
      </w:r>
      <w:r w:rsidR="087A14FF">
        <w:t xml:space="preserve">„exsistuje“ </w:t>
      </w:r>
      <w:r w:rsidR="006978C2" w:rsidRPr="00273106">
        <w:t xml:space="preserve">jako </w:t>
      </w:r>
      <w:r w:rsidR="00CF35B8" w:rsidRPr="00273106">
        <w:t xml:space="preserve">univerzální </w:t>
      </w:r>
      <w:r w:rsidR="006978C2" w:rsidRPr="00273106">
        <w:t>logický</w:t>
      </w:r>
      <w:r w:rsidR="00CF35B8" w:rsidRPr="00273106">
        <w:t xml:space="preserve"> predikát</w:t>
      </w:r>
      <w:r w:rsidR="08425629" w:rsidRPr="00273106">
        <w:t xml:space="preserve">. </w:t>
      </w:r>
      <w:r w:rsidR="00BF0754">
        <w:t>Tato specifická univerzálie</w:t>
      </w:r>
      <w:r w:rsidR="00DA4F4A" w:rsidRPr="00273106">
        <w:t xml:space="preserve"> sice </w:t>
      </w:r>
      <w:r w:rsidR="00BF0754">
        <w:t xml:space="preserve">ještě </w:t>
      </w:r>
      <w:r w:rsidR="00DA4F4A" w:rsidRPr="00273106">
        <w:t>nemá moderní „</w:t>
      </w:r>
      <w:r w:rsidR="00DA4F4A" w:rsidRPr="009E48F2">
        <w:t>exsistenci</w:t>
      </w:r>
      <w:r w:rsidR="00DA4F4A" w:rsidRPr="00273106">
        <w:t>“</w:t>
      </w:r>
      <w:r w:rsidR="00BF0754">
        <w:t xml:space="preserve"> v reálu</w:t>
      </w:r>
      <w:r w:rsidR="00DA4F4A" w:rsidRPr="00273106">
        <w:t>, ale má minimální hypostázo</w:t>
      </w:r>
      <w:r w:rsidR="00707290" w:rsidRPr="00273106">
        <w:t>vanou j</w:t>
      </w:r>
      <w:r w:rsidR="00DA4F4A" w:rsidRPr="00273106">
        <w:t>s</w:t>
      </w:r>
      <w:r w:rsidR="00707290" w:rsidRPr="00273106">
        <w:t>o</w:t>
      </w:r>
      <w:r w:rsidR="00DA4F4A" w:rsidRPr="00273106">
        <w:t xml:space="preserve">ucnost danou jako </w:t>
      </w:r>
      <w:r w:rsidR="005A126F">
        <w:t xml:space="preserve">objektivní existence </w:t>
      </w:r>
      <w:r w:rsidR="00707290" w:rsidRPr="00273106">
        <w:t xml:space="preserve">(ὑπάρχῃ, </w:t>
      </w:r>
      <w:r w:rsidR="00707290" w:rsidRPr="00273106">
        <w:rPr>
          <w:i/>
        </w:rPr>
        <w:t>inesse</w:t>
      </w:r>
      <w:r w:rsidR="00CF4ADF">
        <w:rPr>
          <w:i/>
        </w:rPr>
        <w:fldChar w:fldCharType="begin"/>
      </w:r>
      <w:r w:rsidR="00CF4ADF">
        <w:instrText xml:space="preserve"> XE "esence:</w:instrText>
      </w:r>
      <w:r w:rsidR="00CF4ADF" w:rsidRPr="00CF4ADF">
        <w:rPr>
          <w:i/>
        </w:rPr>
        <w:instrText>inesse</w:instrText>
      </w:r>
      <w:r w:rsidR="00CF4ADF">
        <w:instrText xml:space="preserve">" </w:instrText>
      </w:r>
      <w:r w:rsidR="00CF4ADF">
        <w:rPr>
          <w:i/>
        </w:rPr>
        <w:fldChar w:fldCharType="end"/>
      </w:r>
      <w:r w:rsidR="00707290" w:rsidRPr="00273106">
        <w:t xml:space="preserve">) </w:t>
      </w:r>
      <w:r w:rsidR="00DA4F4A" w:rsidRPr="00273106">
        <w:t>té či oné esence nebo formy v boží mysli</w:t>
      </w:r>
      <w:r w:rsidR="00534C27">
        <w:t xml:space="preserve"> (</w:t>
      </w:r>
      <w:r w:rsidR="00534C27" w:rsidRPr="00534C27">
        <w:rPr>
          <w:i/>
        </w:rPr>
        <w:t>ens ratum</w:t>
      </w:r>
      <w:r w:rsidR="00C8762F">
        <w:rPr>
          <w:i/>
        </w:rPr>
        <w:fldChar w:fldCharType="begin"/>
      </w:r>
      <w:r w:rsidR="00C8762F">
        <w:instrText xml:space="preserve"> XE "</w:instrText>
      </w:r>
      <w:r w:rsidR="00C8762F" w:rsidRPr="00B2798F">
        <w:rPr>
          <w:rStyle w:val="addmd"/>
          <w:i/>
        </w:rPr>
        <w:instrText>ens ratum:</w:instrText>
      </w:r>
      <w:r w:rsidR="00DD0066">
        <w:rPr>
          <w:rStyle w:val="addmd"/>
        </w:rPr>
        <w:instrText>Rufus</w:instrText>
      </w:r>
      <w:r w:rsidR="00DD0066">
        <w:instrText xml:space="preserve"> </w:instrText>
      </w:r>
      <w:r w:rsidR="00C8762F">
        <w:instrText xml:space="preserve">" </w:instrText>
      </w:r>
      <w:r w:rsidR="00C8762F">
        <w:rPr>
          <w:i/>
        </w:rPr>
        <w:fldChar w:fldCharType="end"/>
      </w:r>
      <w:r w:rsidR="00534C27">
        <w:t xml:space="preserve">, </w:t>
      </w:r>
      <w:r w:rsidR="00534C27" w:rsidRPr="00534C27">
        <w:rPr>
          <w:i/>
        </w:rPr>
        <w:t>ens diminutum</w:t>
      </w:r>
      <w:r w:rsidR="00726C13">
        <w:rPr>
          <w:i/>
        </w:rPr>
        <w:fldChar w:fldCharType="begin"/>
      </w:r>
      <w:r w:rsidR="00726C13">
        <w:instrText xml:space="preserve"> XE "</w:instrText>
      </w:r>
      <w:r w:rsidR="00726C13" w:rsidRPr="00D72A7A">
        <w:rPr>
          <w:i/>
        </w:rPr>
        <w:instrText>ens diminutum</w:instrText>
      </w:r>
      <w:r w:rsidR="00726C13">
        <w:instrText xml:space="preserve">" </w:instrText>
      </w:r>
      <w:r w:rsidR="00726C13">
        <w:rPr>
          <w:i/>
        </w:rPr>
        <w:fldChar w:fldCharType="end"/>
      </w:r>
      <w:r w:rsidR="00534C27">
        <w:t>)</w:t>
      </w:r>
      <w:r w:rsidR="00DA4F4A" w:rsidRPr="00273106">
        <w:t xml:space="preserve">. </w:t>
      </w:r>
      <w:r w:rsidR="00D01DB9">
        <w:t>Na této</w:t>
      </w:r>
      <w:r w:rsidR="004A2605">
        <w:t xml:space="preserve"> úrovni je existence věci dána </w:t>
      </w:r>
      <w:r w:rsidR="00D01DB9" w:rsidRPr="00D01DB9">
        <w:rPr>
          <w:i/>
        </w:rPr>
        <w:t>obiective</w:t>
      </w:r>
      <w:r w:rsidR="00D01DB9">
        <w:t>, protože každá potenciální „věc“ vznikla jako předmět boží intencionality</w:t>
      </w:r>
      <w:r w:rsidR="0087701C">
        <w:t xml:space="preserve">, který je </w:t>
      </w:r>
      <w:r w:rsidR="00D01DB9">
        <w:t xml:space="preserve">nahlížený ve stvořitelském modu </w:t>
      </w:r>
      <w:r w:rsidR="00D01DB9" w:rsidRPr="00D01DB9">
        <w:rPr>
          <w:i/>
        </w:rPr>
        <w:t>intentio prima</w:t>
      </w:r>
      <w:r w:rsidR="008F7AAB">
        <w:rPr>
          <w:i/>
        </w:rPr>
        <w:fldChar w:fldCharType="begin"/>
      </w:r>
      <w:r w:rsidR="008F7AAB">
        <w:instrText xml:space="preserve"> XE "</w:instrText>
      </w:r>
      <w:r w:rsidR="008F7AAB" w:rsidRPr="00FC5A5D">
        <w:instrText>intencionalita:Rufus</w:instrText>
      </w:r>
      <w:r w:rsidR="008F7AAB">
        <w:instrText xml:space="preserve">" </w:instrText>
      </w:r>
      <w:r w:rsidR="008F7AAB">
        <w:rPr>
          <w:i/>
        </w:rPr>
        <w:fldChar w:fldCharType="end"/>
      </w:r>
      <w:r w:rsidR="00D01DB9">
        <w:t xml:space="preserve">. </w:t>
      </w:r>
      <w:r w:rsidR="009F5D91" w:rsidRPr="00273106">
        <w:t>Novou scénu zjevování vytvořilo n</w:t>
      </w:r>
      <w:r w:rsidR="00E816EC" w:rsidRPr="00273106">
        <w:t>asvícení</w:t>
      </w:r>
      <w:r w:rsidR="00F0344F" w:rsidRPr="00273106">
        <w:t xml:space="preserve"> </w:t>
      </w:r>
      <w:r w:rsidR="009A2615" w:rsidRPr="00273106">
        <w:t xml:space="preserve">darovaného intelektu aktivovaného skrze </w:t>
      </w:r>
      <w:r w:rsidR="003B73E6">
        <w:t xml:space="preserve">tento božský </w:t>
      </w:r>
      <w:r w:rsidR="009A2615"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DF1F0F" w:rsidRPr="008F7AAB">
        <w:instrText>:</w:instrText>
      </w:r>
      <w:r w:rsidR="008F7AAB" w:rsidRPr="008F7AAB">
        <w:instrText>druhý averroismus</w:instrText>
      </w:r>
      <w:r w:rsidR="00DF1F0F">
        <w:instrText xml:space="preserve">" </w:instrText>
      </w:r>
      <w:r w:rsidR="00DF1F0F">
        <w:rPr>
          <w:i/>
        </w:rPr>
        <w:fldChar w:fldCharType="end"/>
      </w:r>
      <w:r w:rsidR="0026434E">
        <w:t xml:space="preserve"> fungující jako věčný </w:t>
      </w:r>
      <w:r w:rsidR="00BC7397">
        <w:t xml:space="preserve">a zcela evidentně jistý </w:t>
      </w:r>
      <w:r w:rsidR="0026434E" w:rsidRPr="0026434E">
        <w:rPr>
          <w:i/>
        </w:rPr>
        <w:t>locus specierum</w:t>
      </w:r>
      <w:r w:rsidR="00CC2962">
        <w:rPr>
          <w:i/>
        </w:rPr>
        <w:fldChar w:fldCharType="begin"/>
      </w:r>
      <w:r w:rsidR="00CC2962">
        <w:instrText xml:space="preserve"> XE "</w:instrText>
      </w:r>
      <w:r w:rsidR="00CC2962" w:rsidRPr="009E5259">
        <w:rPr>
          <w:i/>
        </w:rPr>
        <w:instrText>locus specierum</w:instrText>
      </w:r>
      <w:r w:rsidR="00CC2962">
        <w:instrText xml:space="preserve">" </w:instrText>
      </w:r>
      <w:r w:rsidR="00CC2962">
        <w:rPr>
          <w:i/>
        </w:rPr>
        <w:fldChar w:fldCharType="end"/>
      </w:r>
      <w:r w:rsidR="0026434E">
        <w:t>. Os</w:t>
      </w:r>
      <w:r w:rsidR="009A2615" w:rsidRPr="00273106">
        <w:t xml:space="preserve">vícený intelekt </w:t>
      </w:r>
      <w:r w:rsidR="00847B56">
        <w:t>moderních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847B56">
        <w:t xml:space="preserve"> </w:t>
      </w:r>
      <w:r w:rsidR="009A2615" w:rsidRPr="00273106">
        <w:t xml:space="preserve">odkrývá </w:t>
      </w:r>
      <w:r w:rsidR="0026434E">
        <w:t xml:space="preserve">náhledem do této pokladnice objektivní jsoucnosti Avicennovu </w:t>
      </w:r>
      <w:r w:rsidR="009A2615" w:rsidRPr="00273106">
        <w:t>univerzální přirozenost věcí</w:t>
      </w:r>
      <w:r w:rsidR="00D66E65">
        <w:t xml:space="preserve"> nazíraných </w:t>
      </w:r>
      <w:r w:rsidR="009A2615" w:rsidRPr="00273106">
        <w:rPr>
          <w:i/>
        </w:rPr>
        <w:t>ad modum universalis</w:t>
      </w:r>
      <w:r w:rsidR="00BE39C8" w:rsidRPr="00273106">
        <w:t xml:space="preserve"> (</w:t>
      </w:r>
      <w:r w:rsidR="08C914B3">
        <w:t xml:space="preserve">OBJ I, </w:t>
      </w:r>
      <w:r w:rsidR="00BE39C8" w:rsidRPr="00273106">
        <w:t>kap. 2.3.2)</w:t>
      </w:r>
      <w:r w:rsidR="0026434E">
        <w:t xml:space="preserve">. </w:t>
      </w:r>
      <w:r w:rsidR="089E0058">
        <w:t>Pro kritické myslitele první</w:t>
      </w:r>
      <w:r w:rsidR="08C914B3">
        <w:t>ho</w:t>
      </w:r>
      <w:r w:rsidR="089E0058">
        <w:t xml:space="preserve"> averroismu představovala </w:t>
      </w:r>
      <w:r w:rsidR="000150C7">
        <w:t xml:space="preserve">taková </w:t>
      </w:r>
      <w:r w:rsidR="089E0058">
        <w:t xml:space="preserve">teorie </w:t>
      </w:r>
      <w:r w:rsidR="000150C7">
        <w:t>„</w:t>
      </w:r>
      <w:r w:rsidR="089E0058">
        <w:t>vědy</w:t>
      </w:r>
      <w:r w:rsidR="000150C7">
        <w:t>“</w:t>
      </w:r>
      <w:r w:rsidR="089E0058">
        <w:t xml:space="preserve"> </w:t>
      </w:r>
      <w:r w:rsidR="00F94DFC">
        <w:t xml:space="preserve">úplné </w:t>
      </w:r>
      <w:r w:rsidR="089E0058">
        <w:t>popření zdravého rozumu</w:t>
      </w:r>
      <w:r w:rsidR="08CF6B49">
        <w:t xml:space="preserve">, nejen zničení </w:t>
      </w:r>
      <w:r w:rsidR="005211F0">
        <w:t>a</w:t>
      </w:r>
      <w:r w:rsidR="08CF6B49">
        <w:t>ristotelské filosofie</w:t>
      </w:r>
      <w:r w:rsidR="089E0058">
        <w:t xml:space="preserve">. </w:t>
      </w:r>
      <w:r w:rsidR="08A9551C">
        <w:t xml:space="preserve">Místo zkoumání reality začali zkoumat boží mysl, v níž je realita daná objektivně. </w:t>
      </w:r>
      <w:r w:rsidR="081B2929">
        <w:t xml:space="preserve">Bacon </w:t>
      </w:r>
      <w:r w:rsidR="080A3DEA">
        <w:t xml:space="preserve">jako největší tehdejší znalec </w:t>
      </w:r>
      <w:r w:rsidR="08126D14">
        <w:t xml:space="preserve">Aristotelovy </w:t>
      </w:r>
      <w:r w:rsidR="080A3DEA" w:rsidRPr="080A3DEA">
        <w:rPr>
          <w:i/>
        </w:rPr>
        <w:t>Metafysiky</w:t>
      </w:r>
      <w:r w:rsidR="080A3DEA">
        <w:t xml:space="preserve"> </w:t>
      </w:r>
      <w:r w:rsidR="081B2929">
        <w:t xml:space="preserve">považoval moderní sofisty </w:t>
      </w:r>
      <w:r w:rsidR="086D5630">
        <w:t xml:space="preserve">typu Rufuse </w:t>
      </w:r>
      <w:r w:rsidR="081B2929">
        <w:t xml:space="preserve">za filosofické šílence. </w:t>
      </w:r>
      <w:r w:rsidR="089E0058">
        <w:t xml:space="preserve">Pravdivou vědu danou jako adekvace reality a intelektu nemůže budovat osvícená </w:t>
      </w:r>
      <w:r w:rsidR="089E0058" w:rsidRPr="0889521F">
        <w:rPr>
          <w:i/>
        </w:rPr>
        <w:t>science-fiction</w:t>
      </w:r>
      <w:r w:rsidR="080E1EFC">
        <w:rPr>
          <w:i/>
        </w:rPr>
        <w:fldChar w:fldCharType="begin"/>
      </w:r>
      <w:r w:rsidR="080E1EFC">
        <w:instrText xml:space="preserve"> XE "</w:instrText>
      </w:r>
      <w:r w:rsidR="080E1EFC" w:rsidRPr="086B5E81">
        <w:rPr>
          <w:i/>
        </w:rPr>
        <w:instrText>science-fiction</w:instrText>
      </w:r>
      <w:r w:rsidR="080E1EFC">
        <w:instrText xml:space="preserve">" </w:instrText>
      </w:r>
      <w:r w:rsidR="080E1EFC">
        <w:rPr>
          <w:i/>
        </w:rPr>
        <w:fldChar w:fldCharType="end"/>
      </w:r>
      <w:r w:rsidR="089E0058">
        <w:t xml:space="preserve"> moderních iluminátů, kteří nazírají vlastní </w:t>
      </w:r>
      <w:r w:rsidR="089E0058" w:rsidRPr="083C7FAA">
        <w:rPr>
          <w:i/>
        </w:rPr>
        <w:t>scibile</w:t>
      </w:r>
      <w:r w:rsidR="00FE22D5">
        <w:t xml:space="preserve"> jako jsoucna třetího druhu. Analogie daná pouze v mysli a predikovaná univerzálně v univočním modu </w:t>
      </w:r>
      <w:r w:rsidR="00FE22D5" w:rsidRPr="0889521F">
        <w:rPr>
          <w:i/>
        </w:rPr>
        <w:t>in artificialibus</w:t>
      </w:r>
      <w:r w:rsidR="00FE22D5">
        <w:rPr>
          <w:i/>
        </w:rPr>
        <w:fldChar w:fldCharType="begin"/>
      </w:r>
      <w:r w:rsidR="00FE22D5">
        <w:instrText xml:space="preserve"> XE "predikace:</w:instrText>
      </w:r>
      <w:r w:rsidR="00FE22D5" w:rsidRPr="08640290">
        <w:rPr>
          <w:i/>
        </w:rPr>
        <w:instrText>in artificialibus</w:instrText>
      </w:r>
      <w:r w:rsidR="00FE22D5">
        <w:instrText xml:space="preserve">" </w:instrText>
      </w:r>
      <w:r w:rsidR="00FE22D5">
        <w:rPr>
          <w:i/>
        </w:rPr>
        <w:fldChar w:fldCharType="end"/>
      </w:r>
      <w:r w:rsidR="00FE22D5" w:rsidRPr="0889521F">
        <w:rPr>
          <w:i/>
        </w:rPr>
        <w:t xml:space="preserve"> </w:t>
      </w:r>
      <w:r w:rsidR="00FE22D5" w:rsidRPr="00273106">
        <w:t>se dostala na úroveň metafyzické jednoty</w:t>
      </w:r>
      <w:r w:rsidR="00FE22D5">
        <w:t xml:space="preserve"> prvních substancí. Nová </w:t>
      </w:r>
      <w:r w:rsidR="00FE22D5" w:rsidRPr="00FE22D5">
        <w:t xml:space="preserve">predikace vytvořila metafyzickou jednotu esencí, hypostatických forem, individuí a různých druhů </w:t>
      </w:r>
      <w:r w:rsidR="00FE22D5" w:rsidRPr="00FE22D5">
        <w:rPr>
          <w:i/>
        </w:rPr>
        <w:t>tertium ens</w:t>
      </w:r>
      <w:r w:rsidR="00FE22D5" w:rsidRPr="00FE22D5">
        <w:t>.</w:t>
      </w:r>
      <w:r w:rsidR="00C30728">
        <w:t xml:space="preserve"> </w:t>
      </w:r>
      <w:r w:rsidR="004D554D">
        <w:t xml:space="preserve">Analytičtí </w:t>
      </w:r>
      <w:r w:rsidR="0026434E">
        <w:t>avice</w:t>
      </w:r>
      <w:r w:rsidR="004D554D">
        <w:t>n</w:t>
      </w:r>
      <w:r w:rsidR="0026434E">
        <w:t xml:space="preserve">nisté na Oxfordu a v Paříži </w:t>
      </w:r>
      <w:r w:rsidR="001352EB">
        <w:t xml:space="preserve">objevili </w:t>
      </w:r>
      <w:r w:rsidR="003129BC">
        <w:t xml:space="preserve">mystický </w:t>
      </w:r>
      <w:r w:rsidR="001352EB">
        <w:t>náhled</w:t>
      </w:r>
      <w:r w:rsidR="00F62888">
        <w:t xml:space="preserve"> do boží mysli</w:t>
      </w:r>
      <w:r w:rsidR="001352EB">
        <w:t xml:space="preserve">. Tím našli </w:t>
      </w:r>
      <w:r w:rsidR="0026434E">
        <w:t>Alibabovu jeskyni</w:t>
      </w:r>
      <w:r w:rsidR="00803E9C">
        <w:t xml:space="preserve"> objektivních významů </w:t>
      </w:r>
      <w:r w:rsidR="001352EB" w:rsidRPr="001352EB">
        <w:t>odkazujících na neexistu</w:t>
      </w:r>
      <w:r w:rsidR="001352EB">
        <w:t>jící neoplatónské entity. Perská f</w:t>
      </w:r>
      <w:r w:rsidR="001352EB" w:rsidRPr="001352EB">
        <w:t>alsafa připravil</w:t>
      </w:r>
      <w:r w:rsidR="001352EB">
        <w:t>a</w:t>
      </w:r>
      <w:r w:rsidR="001352EB" w:rsidRPr="001352EB">
        <w:t xml:space="preserve"> tento legendárn</w:t>
      </w:r>
      <w:r w:rsidR="001352EB">
        <w:t>í poklad pro latinskou modernu</w:t>
      </w:r>
      <w:r w:rsidR="001352EB" w:rsidRPr="001352EB">
        <w:t>.</w:t>
      </w:r>
      <w:r w:rsidR="001352EB">
        <w:t xml:space="preserve"> F</w:t>
      </w:r>
      <w:r w:rsidR="009678BA">
        <w:t>ilos</w:t>
      </w:r>
      <w:r w:rsidR="00410F22">
        <w:t>ofické školy</w:t>
      </w:r>
      <w:r w:rsidR="009678BA">
        <w:t xml:space="preserve"> v Bagdádu, v Kordóbě a jinde </w:t>
      </w:r>
      <w:r w:rsidR="086F72E8">
        <w:t xml:space="preserve">v </w:t>
      </w:r>
      <w:r w:rsidR="08EC76E9">
        <w:t>první třetině 13. století postu</w:t>
      </w:r>
      <w:r w:rsidR="086F72E8">
        <w:t>pně zanik</w:t>
      </w:r>
      <w:r w:rsidR="08EC76E9">
        <w:t>aly</w:t>
      </w:r>
      <w:r w:rsidR="086F72E8">
        <w:t xml:space="preserve"> nebo již úplně </w:t>
      </w:r>
      <w:r w:rsidR="009C6D61">
        <w:t>zani</w:t>
      </w:r>
      <w:r w:rsidR="009678BA">
        <w:t>kly</w:t>
      </w:r>
      <w:r w:rsidR="086F72E8">
        <w:t>. A</w:t>
      </w:r>
      <w:r w:rsidR="009678BA">
        <w:t xml:space="preserve">le jejich </w:t>
      </w:r>
      <w:r w:rsidR="009C6D61">
        <w:t xml:space="preserve">vědění se stalo </w:t>
      </w:r>
      <w:r w:rsidR="086F72E8">
        <w:t xml:space="preserve">metafyzickým </w:t>
      </w:r>
      <w:r w:rsidR="009C6D61" w:rsidRPr="009C6D61">
        <w:rPr>
          <w:i/>
        </w:rPr>
        <w:t>depositum fidei</w:t>
      </w:r>
      <w:r w:rsidR="009C6D61">
        <w:t xml:space="preserve"> pro </w:t>
      </w:r>
      <w:r w:rsidR="00007FCF">
        <w:t xml:space="preserve">latinskou </w:t>
      </w:r>
      <w:r w:rsidR="009C6D61">
        <w:t>modernu</w:t>
      </w:r>
      <w:r w:rsidR="00EA7F70">
        <w:t xml:space="preserve">, v níž se </w:t>
      </w:r>
      <w:r w:rsidR="08560AD8">
        <w:t xml:space="preserve">spojila </w:t>
      </w:r>
      <w:r w:rsidR="00EA7F70">
        <w:t xml:space="preserve">teologie a filosofie do jedné </w:t>
      </w:r>
      <w:r w:rsidR="08A528B2">
        <w:t xml:space="preserve">mytopoetické </w:t>
      </w:r>
      <w:r w:rsidR="00EA7F70">
        <w:t>pravdy</w:t>
      </w:r>
      <w:r w:rsidR="009C6D61">
        <w:t xml:space="preserve">. </w:t>
      </w:r>
      <w:r w:rsidR="00C44CBD" w:rsidRPr="00273106">
        <w:t xml:space="preserve">Kolem </w:t>
      </w:r>
      <w:r w:rsidR="08560AD8">
        <w:t xml:space="preserve">roku </w:t>
      </w:r>
      <w:r w:rsidR="00C44CBD" w:rsidRPr="00273106">
        <w:t xml:space="preserve">1235 </w:t>
      </w:r>
      <w:r w:rsidR="00CD7ED0" w:rsidRPr="00273106">
        <w:t xml:space="preserve">se </w:t>
      </w:r>
      <w:r w:rsidR="003556EA">
        <w:t xml:space="preserve">forma univerzální </w:t>
      </w:r>
      <w:r w:rsidR="08AA1057" w:rsidRPr="00273106">
        <w:t xml:space="preserve">predikace </w:t>
      </w:r>
      <w:r w:rsidR="08560AD8">
        <w:t>stala</w:t>
      </w:r>
      <w:r w:rsidR="005606C8" w:rsidRPr="00273106">
        <w:t xml:space="preserve"> </w:t>
      </w:r>
      <w:r w:rsidR="00EB3CBC">
        <w:t xml:space="preserve">deduktivním </w:t>
      </w:r>
      <w:r w:rsidR="00DF1A52" w:rsidRPr="00273106">
        <w:t>věděním</w:t>
      </w:r>
      <w:r w:rsidR="08AA1057" w:rsidRPr="00273106">
        <w:t xml:space="preserve"> </w:t>
      </w:r>
      <w:r w:rsidR="000F12ED" w:rsidRPr="00273106">
        <w:t xml:space="preserve">zakládajícím moderní pojetí vědy podle </w:t>
      </w:r>
      <w:r w:rsidR="000F12ED" w:rsidRPr="004723DC">
        <w:rPr>
          <w:i/>
        </w:rPr>
        <w:t>Druhých analytik</w:t>
      </w:r>
      <w:r w:rsidR="08560AD8">
        <w:t>. S</w:t>
      </w:r>
      <w:r w:rsidR="084506E0" w:rsidRPr="00273106">
        <w:t xml:space="preserve">krze </w:t>
      </w:r>
      <w:r w:rsidR="08560AD8">
        <w:t xml:space="preserve">Rufusem </w:t>
      </w:r>
      <w:r w:rsidR="003556EA">
        <w:t xml:space="preserve">dokonanou </w:t>
      </w:r>
      <w:r w:rsidR="084506E0" w:rsidRPr="00273106">
        <w:rPr>
          <w:i/>
        </w:rPr>
        <w:t>Oxfordian Fallacy</w:t>
      </w:r>
      <w:r w:rsidR="084506E0" w:rsidRPr="00273106">
        <w:t xml:space="preserve"> </w:t>
      </w:r>
      <w:r w:rsidR="08AA1057" w:rsidRPr="00273106">
        <w:t xml:space="preserve">vytváří </w:t>
      </w:r>
      <w:r w:rsidR="08560AD8">
        <w:t xml:space="preserve">tato moderní </w:t>
      </w:r>
      <w:r w:rsidR="08560AD8" w:rsidRPr="08560AD8">
        <w:rPr>
          <w:i/>
        </w:rPr>
        <w:t>science-fiction</w:t>
      </w:r>
      <w:r w:rsidR="08560AD8">
        <w:t xml:space="preserve"> </w:t>
      </w:r>
      <w:r w:rsidR="08AA1057" w:rsidRPr="00273106">
        <w:t xml:space="preserve">nové </w:t>
      </w:r>
      <w:r w:rsidR="08AA1057" w:rsidRPr="00273106">
        <w:rPr>
          <w:i/>
        </w:rPr>
        <w:t>Weltanschauung</w:t>
      </w:r>
      <w:r w:rsidR="00ED633A">
        <w:rPr>
          <w:i/>
        </w:rPr>
        <w:fldChar w:fldCharType="begin"/>
      </w:r>
      <w:r w:rsidR="00ED633A">
        <w:instrText xml:space="preserve"> XE "</w:instrText>
      </w:r>
      <w:r w:rsidR="00ED633A" w:rsidRPr="001E5389">
        <w:rPr>
          <w:i/>
        </w:rPr>
        <w:instrText>Weltanschauung</w:instrText>
      </w:r>
      <w:r w:rsidR="00ED633A">
        <w:instrText xml:space="preserve">" </w:instrText>
      </w:r>
      <w:r w:rsidR="00ED633A">
        <w:rPr>
          <w:i/>
        </w:rPr>
        <w:fldChar w:fldCharType="end"/>
      </w:r>
      <w:r w:rsidR="08AA1057" w:rsidRPr="00273106">
        <w:t xml:space="preserve"> Západu</w:t>
      </w:r>
      <w:r w:rsidR="00C13B1F" w:rsidRPr="00273106">
        <w:t>.</w:t>
      </w:r>
      <w:r w:rsidR="00C421C5" w:rsidRPr="00273106">
        <w:t xml:space="preserve"> Další matrice objektivity ukáží, že vize reality založená na habituálním ustrojení </w:t>
      </w:r>
      <w:r w:rsidR="000D63C7">
        <w:t xml:space="preserve">osvícené </w:t>
      </w:r>
      <w:r w:rsidR="00C421C5" w:rsidRPr="00273106">
        <w:t>mysli (Bonaventur</w:t>
      </w:r>
      <w:r w:rsidR="00D7149B">
        <w:t>a</w:t>
      </w:r>
      <w:r w:rsidR="00C421C5" w:rsidRPr="00273106">
        <w:t xml:space="preserve">), a nakonec i demiurgického habitu samotné vůle (Olivi), bude mít epochální působnost v dalším vývoji moderny a postmoderny, až do </w:t>
      </w:r>
      <w:r w:rsidR="004A3218">
        <w:t>nihili</w:t>
      </w:r>
      <w:r w:rsidR="083344F0">
        <w:t>s</w:t>
      </w:r>
      <w:r w:rsidR="004A3218">
        <w:t xml:space="preserve">tického </w:t>
      </w:r>
      <w:r w:rsidR="00C421C5" w:rsidRPr="00273106">
        <w:t>Nietzscheho.</w:t>
      </w:r>
      <w:r w:rsidR="003509C9">
        <w:t xml:space="preserve"> </w:t>
      </w:r>
      <w:r w:rsidR="004F7B80">
        <w:t xml:space="preserve">Tento </w:t>
      </w:r>
      <w:r w:rsidR="004723DC">
        <w:t xml:space="preserve">filosofický </w:t>
      </w:r>
      <w:r w:rsidR="004F7B80">
        <w:t>t</w:t>
      </w:r>
      <w:r w:rsidR="003509C9">
        <w:t>e</w:t>
      </w:r>
      <w:r w:rsidR="00E041AF">
        <w:t>rminátor neoplatonismu prohlásí</w:t>
      </w:r>
      <w:r w:rsidR="00281830">
        <w:t xml:space="preserve"> Al</w:t>
      </w:r>
      <w:r w:rsidR="003509C9">
        <w:t>i</w:t>
      </w:r>
      <w:r w:rsidR="00281830">
        <w:t>b</w:t>
      </w:r>
      <w:r w:rsidR="003509C9">
        <w:t>ab</w:t>
      </w:r>
      <w:r w:rsidR="00281830">
        <w:t>ovu</w:t>
      </w:r>
      <w:r w:rsidR="003509C9">
        <w:t xml:space="preserve"> jeskyni </w:t>
      </w:r>
      <w:r w:rsidR="00600CAD">
        <w:t xml:space="preserve">objektivní moderny a postmoderny </w:t>
      </w:r>
      <w:r w:rsidR="003509C9">
        <w:t xml:space="preserve">za zásvětí </w:t>
      </w:r>
      <w:r w:rsidR="00E041AF">
        <w:t xml:space="preserve">nevyspělého </w:t>
      </w:r>
      <w:r w:rsidR="003509C9">
        <w:t>ducha</w:t>
      </w:r>
      <w:r w:rsidR="00D55538">
        <w:t xml:space="preserve">. Vinou </w:t>
      </w:r>
      <w:r w:rsidR="00D55538" w:rsidRPr="00D55538">
        <w:t>této Nietzschem odmítané metafyzické vychytralosti začali platoničtí intelektuální neurastenikové, morální slaboši (a současní sociopat</w:t>
      </w:r>
      <w:r w:rsidR="00D55538">
        <w:t>i</w:t>
      </w:r>
      <w:r w:rsidR="002B5634">
        <w:t xml:space="preserve"> jednoho procenta</w:t>
      </w:r>
      <w:r w:rsidR="00D55538">
        <w:t>) ovládat svět obyčejných lidí</w:t>
      </w:r>
      <w:r w:rsidR="003509C9">
        <w:t>.</w:t>
      </w:r>
    </w:p>
    <w:p w14:paraId="523C02A3" w14:textId="7DDE68C5" w:rsidR="00F8594A" w:rsidRDefault="00E36969" w:rsidP="00E36969">
      <w:pPr>
        <w:ind w:firstLine="397"/>
        <w:rPr>
          <w:rStyle w:val="linemarker-marked-line"/>
        </w:rPr>
      </w:pPr>
      <w:r w:rsidRPr="00E36969">
        <w:rPr>
          <w:rStyle w:val="linemarker-marked-line"/>
        </w:rPr>
        <w:t>Nové vědecké poznání nutně změnilo definici člověka. Moderní význam p</w:t>
      </w:r>
      <w:r>
        <w:rPr>
          <w:rStyle w:val="linemarker-marked-line"/>
        </w:rPr>
        <w:t>ojmu „</w:t>
      </w:r>
      <w:r w:rsidRPr="00E36969">
        <w:rPr>
          <w:rStyle w:val="linemarker-marked-line"/>
          <w:i/>
        </w:rPr>
        <w:t>homo</w:t>
      </w:r>
      <w:r>
        <w:rPr>
          <w:rStyle w:val="linemarker-marked-line"/>
        </w:rPr>
        <w:t>“ nebo „</w:t>
      </w:r>
      <w:r w:rsidRPr="00E36969">
        <w:rPr>
          <w:rStyle w:val="linemarker-marked-line"/>
          <w:i/>
        </w:rPr>
        <w:t>humanitas</w:t>
      </w:r>
      <w:r>
        <w:rPr>
          <w:rStyle w:val="linemarker-marked-line"/>
        </w:rPr>
        <w:t>“</w:t>
      </w:r>
      <w:r>
        <w:rPr>
          <w:rStyle w:val="linemarker-marked-line"/>
          <w:i/>
        </w:rPr>
        <w:fldChar w:fldCharType="begin"/>
      </w:r>
      <w:r>
        <w:instrText xml:space="preserve"> XE "</w:instrText>
      </w:r>
      <w:r w:rsidRPr="00420622">
        <w:rPr>
          <w:i/>
        </w:rPr>
        <w:instrText>humanitas:</w:instrText>
      </w:r>
      <w:r>
        <w:instrText xml:space="preserve">Rufus" </w:instrText>
      </w:r>
      <w:r>
        <w:rPr>
          <w:rStyle w:val="linemarker-marked-line"/>
          <w:i/>
        </w:rPr>
        <w:fldChar w:fldCharType="end"/>
      </w:r>
      <w:r w:rsidRPr="00E36969">
        <w:rPr>
          <w:rStyle w:val="linemarker-marked-line"/>
        </w:rPr>
        <w:t xml:space="preserve"> </w:t>
      </w:r>
      <w:r>
        <w:rPr>
          <w:rStyle w:val="linemarker-marked-line"/>
        </w:rPr>
        <w:t>se predikuje s ohledem na moderní „exsistenci“</w:t>
      </w:r>
      <w:r w:rsidRPr="00E36969">
        <w:rPr>
          <w:rStyle w:val="linemarker-marked-line"/>
        </w:rPr>
        <w:t xml:space="preserve"> </w:t>
      </w:r>
      <w:r>
        <w:rPr>
          <w:rStyle w:val="linemarker-marked-line"/>
        </w:rPr>
        <w:t>individua</w:t>
      </w:r>
      <w:r w:rsidRPr="00E36969">
        <w:rPr>
          <w:rStyle w:val="linemarker-marked-line"/>
        </w:rPr>
        <w:t xml:space="preserve">. </w:t>
      </w:r>
      <w:r>
        <w:rPr>
          <w:rStyle w:val="linemarker-marked-line"/>
        </w:rPr>
        <w:t>Definic</w:t>
      </w:r>
      <w:r w:rsidR="00631364">
        <w:rPr>
          <w:rStyle w:val="linemarker-marked-line"/>
        </w:rPr>
        <w:t>e</w:t>
      </w:r>
      <w:r>
        <w:rPr>
          <w:rStyle w:val="linemarker-marked-line"/>
        </w:rPr>
        <w:t xml:space="preserve"> je založena na logické supozici dané mnohostí</w:t>
      </w:r>
      <w:r w:rsidRPr="00E36969">
        <w:rPr>
          <w:rStyle w:val="linemarker-marked-line"/>
        </w:rPr>
        <w:t xml:space="preserve"> substancí v člověku, nikoliv </w:t>
      </w:r>
      <w:r>
        <w:rPr>
          <w:rStyle w:val="linemarker-marked-line"/>
        </w:rPr>
        <w:t>na impozici dané jednotou</w:t>
      </w:r>
      <w:r w:rsidRPr="00E36969">
        <w:rPr>
          <w:rStyle w:val="linemarker-marked-line"/>
        </w:rPr>
        <w:t xml:space="preserve"> </w:t>
      </w:r>
      <w:r>
        <w:rPr>
          <w:rStyle w:val="linemarker-marked-line"/>
        </w:rPr>
        <w:t>reálné osoby. Člověk začal „exsistovat“</w:t>
      </w:r>
      <w:r w:rsidRPr="00E36969">
        <w:rPr>
          <w:rStyle w:val="linemarker-marked-line"/>
        </w:rPr>
        <w:t xml:space="preserve"> jako </w:t>
      </w:r>
      <w:r w:rsidR="00631364">
        <w:rPr>
          <w:rStyle w:val="linemarker-marked-line"/>
        </w:rPr>
        <w:t xml:space="preserve">genderově nevyhraněné </w:t>
      </w:r>
      <w:r w:rsidRPr="00E36969">
        <w:rPr>
          <w:rStyle w:val="linemarker-marked-line"/>
          <w:i/>
        </w:rPr>
        <w:t>individuum</w:t>
      </w:r>
      <w:r w:rsidR="00566FE6">
        <w:rPr>
          <w:rStyle w:val="linemarker-marked-line"/>
        </w:rPr>
        <w:t>, které je objektivně vykastrováno (</w:t>
      </w:r>
      <w:r w:rsidR="00566FE6" w:rsidRPr="00566FE6">
        <w:rPr>
          <w:rStyle w:val="linemarker-marked-line"/>
          <w:i/>
        </w:rPr>
        <w:t>neutrum</w:t>
      </w:r>
      <w:r w:rsidR="00566FE6">
        <w:rPr>
          <w:rStyle w:val="linemarker-marked-line"/>
        </w:rPr>
        <w:t>).</w:t>
      </w:r>
      <w:r w:rsidR="00D479C9">
        <w:rPr>
          <w:rStyle w:val="linemarker-marked-line"/>
        </w:rPr>
        <w:t xml:space="preserve"> Tato sbírka mytologických a dnes ideologických hypostází je </w:t>
      </w:r>
      <w:r w:rsidR="00D479C9" w:rsidRPr="009F523E">
        <w:rPr>
          <w:rStyle w:val="linemarker-marked-line"/>
          <w:i/>
        </w:rPr>
        <w:t>ad hoc</w:t>
      </w:r>
      <w:r w:rsidR="00D479C9">
        <w:rPr>
          <w:rStyle w:val="linemarker-marked-line"/>
        </w:rPr>
        <w:t xml:space="preserve"> určena</w:t>
      </w:r>
      <w:r w:rsidR="00631364">
        <w:rPr>
          <w:rStyle w:val="linemarker-marked-line"/>
        </w:rPr>
        <w:t xml:space="preserve"> </w:t>
      </w:r>
      <w:r w:rsidRPr="00E36969">
        <w:rPr>
          <w:rStyle w:val="linemarker-marked-line"/>
        </w:rPr>
        <w:t xml:space="preserve">na základě souboru různých </w:t>
      </w:r>
      <w:r w:rsidRPr="00E36969">
        <w:rPr>
          <w:rStyle w:val="linemarker-marked-line"/>
          <w:i/>
        </w:rPr>
        <w:t>tertium ens</w:t>
      </w:r>
      <w:r w:rsidRPr="00E36969">
        <w:rPr>
          <w:rStyle w:val="linemarker-marked-line"/>
        </w:rPr>
        <w:t>.</w:t>
      </w:r>
      <w:r>
        <w:rPr>
          <w:rStyle w:val="linemarker-marked-line"/>
        </w:rPr>
        <w:t xml:space="preserve"> </w:t>
      </w:r>
      <w:r w:rsidR="086B45AA">
        <w:rPr>
          <w:rStyle w:val="linemarker-marked-line"/>
        </w:rPr>
        <w:t>Vznik objektivního určení člověka a humanitních věd dokládá tento citát.</w:t>
      </w:r>
    </w:p>
    <w:p w14:paraId="633E19EE" w14:textId="7E84E8CF" w:rsidR="008570B0" w:rsidRDefault="00F8594A" w:rsidP="008570B0">
      <w:pPr>
        <w:pStyle w:val="Citace"/>
        <w:rPr>
          <w:lang w:val="cs-CZ"/>
        </w:rPr>
      </w:pPr>
      <w:r>
        <w:t>„</w:t>
      </w:r>
      <w:r w:rsidR="008570B0">
        <w:rPr>
          <w:lang w:val="cs-CZ"/>
        </w:rPr>
        <w:t xml:space="preserve">Termín </w:t>
      </w:r>
      <w:r>
        <w:t>'</w:t>
      </w:r>
      <w:r w:rsidR="008570B0">
        <w:rPr>
          <w:lang w:val="cs-CZ"/>
        </w:rPr>
        <w:t>člověk</w:t>
      </w:r>
      <w:r>
        <w:t>'</w:t>
      </w:r>
      <w:r w:rsidR="00AA6860">
        <w:rPr>
          <w:lang w:val="cs-CZ"/>
        </w:rPr>
        <w:t xml:space="preserve"> </w:t>
      </w:r>
      <w:r w:rsidR="086B45AA">
        <w:rPr>
          <w:lang w:val="cs-CZ"/>
        </w:rPr>
        <w:t>a jakákoukoliv jinou</w:t>
      </w:r>
      <w:r w:rsidR="008570B0">
        <w:rPr>
          <w:lang w:val="cs-CZ"/>
        </w:rPr>
        <w:t xml:space="preserve"> poslední </w:t>
      </w:r>
      <w:r w:rsidR="004B4D52" w:rsidRPr="004B4D52">
        <w:rPr>
          <w:lang w:val="cs-CZ"/>
        </w:rPr>
        <w:t>species</w:t>
      </w:r>
      <w:r w:rsidR="008570B0">
        <w:rPr>
          <w:lang w:val="cs-CZ"/>
        </w:rPr>
        <w:t xml:space="preserve"> </w:t>
      </w:r>
      <w:r w:rsidR="00B06BA3">
        <w:rPr>
          <w:lang w:val="en-US"/>
        </w:rPr>
        <w:t>(</w:t>
      </w:r>
      <w:r w:rsidR="00B06BA3" w:rsidRPr="00DB4190">
        <w:rPr>
          <w:i/>
        </w:rPr>
        <w:t>species specialissima</w:t>
      </w:r>
      <w:r w:rsidR="00B06BA3">
        <w:rPr>
          <w:lang w:val="en-US"/>
        </w:rPr>
        <w:t xml:space="preserve">) </w:t>
      </w:r>
      <w:r w:rsidR="008570B0">
        <w:rPr>
          <w:lang w:val="cs-CZ"/>
        </w:rPr>
        <w:t>je možné predikovat skrze dvojí způ</w:t>
      </w:r>
      <w:r w:rsidR="00290598">
        <w:rPr>
          <w:lang w:val="cs-CZ"/>
        </w:rPr>
        <w:t>sob dělení založené na individuích</w:t>
      </w:r>
      <w:r w:rsidR="008570B0">
        <w:rPr>
          <w:lang w:val="cs-CZ"/>
        </w:rPr>
        <w:t xml:space="preserve"> (</w:t>
      </w:r>
      <w:r w:rsidR="008570B0" w:rsidRPr="008570B0">
        <w:rPr>
          <w:i/>
        </w:rPr>
        <w:t>dupliciter potest dividi per individua</w:t>
      </w:r>
      <w:r w:rsidR="008570B0">
        <w:rPr>
          <w:lang w:val="cs-CZ"/>
        </w:rPr>
        <w:t>). Buď je existence těchto individuí dána aktuálně nebo habituálně (</w:t>
      </w:r>
      <w:r w:rsidRPr="008570B0">
        <w:rPr>
          <w:i/>
        </w:rPr>
        <w:t>individua actualiter exsistentia, aut habitualiter</w:t>
      </w:r>
      <w:r w:rsidR="008570B0">
        <w:rPr>
          <w:lang w:val="cs-CZ"/>
        </w:rPr>
        <w:t>)</w:t>
      </w:r>
      <w:r w:rsidRPr="00E46C62">
        <w:t xml:space="preserve">. </w:t>
      </w:r>
      <w:r w:rsidR="008F4156">
        <w:rPr>
          <w:lang w:val="cs-CZ"/>
        </w:rPr>
        <w:t>Reálnou existenci nelze vždy dělit na i</w:t>
      </w:r>
      <w:r w:rsidR="00825C40">
        <w:rPr>
          <w:lang w:val="cs-CZ"/>
        </w:rPr>
        <w:t>ndivi</w:t>
      </w:r>
      <w:r w:rsidR="008F4156">
        <w:rPr>
          <w:lang w:val="cs-CZ"/>
        </w:rPr>
        <w:t xml:space="preserve">dua, ale na individua lze </w:t>
      </w:r>
      <w:r w:rsidR="008570B0">
        <w:rPr>
          <w:lang w:val="cs-CZ"/>
        </w:rPr>
        <w:t>dělit habituální existenci (</w:t>
      </w:r>
      <w:r w:rsidR="008570B0" w:rsidRPr="008570B0">
        <w:rPr>
          <w:i/>
        </w:rPr>
        <w:t>per individua habitualiter exsistentia</w:t>
      </w:r>
      <w:r w:rsidR="008570B0">
        <w:rPr>
          <w:lang w:val="cs-CZ"/>
        </w:rPr>
        <w:t xml:space="preserve">). </w:t>
      </w:r>
      <w:r w:rsidR="00B4394E">
        <w:rPr>
          <w:lang w:val="cs-CZ"/>
        </w:rPr>
        <w:t xml:space="preserve">Toto bytí </w:t>
      </w:r>
      <w:r w:rsidR="008570B0">
        <w:rPr>
          <w:lang w:val="cs-CZ"/>
        </w:rPr>
        <w:t>člověk</w:t>
      </w:r>
      <w:r w:rsidR="00B4394E">
        <w:rPr>
          <w:lang w:val="cs-CZ"/>
        </w:rPr>
        <w:t>a</w:t>
      </w:r>
      <w:r w:rsidR="008570B0">
        <w:rPr>
          <w:lang w:val="cs-CZ"/>
        </w:rPr>
        <w:t xml:space="preserve"> je </w:t>
      </w:r>
      <w:r w:rsidR="00D255A4">
        <w:rPr>
          <w:lang w:val="cs-CZ"/>
        </w:rPr>
        <w:t>indivi</w:t>
      </w:r>
      <w:r w:rsidR="008570B0">
        <w:rPr>
          <w:lang w:val="cs-CZ"/>
        </w:rPr>
        <w:t>duálně dán</w:t>
      </w:r>
      <w:r w:rsidR="00B4394E">
        <w:rPr>
          <w:lang w:val="cs-CZ"/>
        </w:rPr>
        <w:t>o</w:t>
      </w:r>
      <w:r w:rsidR="008570B0">
        <w:rPr>
          <w:lang w:val="cs-CZ"/>
        </w:rPr>
        <w:t xml:space="preserve"> v Sortovi nebo v </w:t>
      </w:r>
      <w:r w:rsidR="008E02F5">
        <w:rPr>
          <w:lang w:val="cs-CZ"/>
        </w:rPr>
        <w:t>Platon</w:t>
      </w:r>
      <w:r w:rsidR="008570B0">
        <w:rPr>
          <w:lang w:val="cs-CZ"/>
        </w:rPr>
        <w:t>ovi.“</w:t>
      </w:r>
      <w:r w:rsidR="008570B0" w:rsidRPr="008570B0">
        <w:rPr>
          <w:rStyle w:val="Znakapoznpodarou"/>
        </w:rPr>
        <w:t xml:space="preserve"> </w:t>
      </w:r>
      <w:r w:rsidR="008570B0" w:rsidRPr="00273106">
        <w:rPr>
          <w:rStyle w:val="Znakapoznpodarou"/>
        </w:rPr>
        <w:footnoteReference w:id="398"/>
      </w:r>
    </w:p>
    <w:p w14:paraId="60759CD2" w14:textId="60D5F6AC" w:rsidR="006643C0" w:rsidRPr="00273106" w:rsidRDefault="086D096F" w:rsidP="008570B0">
      <w:r>
        <w:t xml:space="preserve">Rufus chápe existenci jako </w:t>
      </w:r>
      <w:r w:rsidR="004D55FD">
        <w:t xml:space="preserve">moderní </w:t>
      </w:r>
      <w:r w:rsidR="006F57C0">
        <w:t xml:space="preserve">invazi </w:t>
      </w:r>
      <w:r w:rsidR="003C540D" w:rsidRPr="00273106">
        <w:t>(</w:t>
      </w:r>
      <w:r w:rsidR="003C540D" w:rsidRPr="00273106">
        <w:rPr>
          <w:i/>
        </w:rPr>
        <w:t>exsistere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3C540D" w:rsidRPr="00273106">
        <w:t xml:space="preserve">) </w:t>
      </w:r>
      <w:r w:rsidR="004B4D52" w:rsidRPr="004B4D52">
        <w:t>species</w:t>
      </w:r>
      <w:r w:rsidR="003C540D" w:rsidRPr="00273106">
        <w:t xml:space="preserve"> či individua jako jsoucna třetího druhu do reálné existence</w:t>
      </w:r>
      <w:r w:rsidR="003C540D">
        <w:t xml:space="preserve"> </w:t>
      </w:r>
      <w:r w:rsidR="003C540D" w:rsidRPr="00273106">
        <w:t>(</w:t>
      </w:r>
      <w:r w:rsidR="003C540D" w:rsidRPr="00DE5F6A">
        <w:rPr>
          <w:i/>
        </w:rPr>
        <w:t>homo in Sorte et homo in Platone</w:t>
      </w:r>
      <w:r w:rsidR="003C540D" w:rsidRPr="00273106">
        <w:t xml:space="preserve">). </w:t>
      </w:r>
      <w:r w:rsidR="00F7753E" w:rsidRPr="00273106">
        <w:t xml:space="preserve">Rozdíl v modech </w:t>
      </w:r>
      <w:r w:rsidR="000F17C9">
        <w:t>„</w:t>
      </w:r>
      <w:r w:rsidR="00F7753E" w:rsidRPr="00273106">
        <w:t>ex</w:t>
      </w:r>
      <w:r w:rsidR="000F17C9">
        <w:t>s</w:t>
      </w:r>
      <w:r w:rsidR="00F7753E" w:rsidRPr="00273106">
        <w:t>istence</w:t>
      </w:r>
      <w:r w:rsidR="000F17C9">
        <w:t>“</w:t>
      </w:r>
      <w:r w:rsidR="00F7753E" w:rsidRPr="00273106">
        <w:t xml:space="preserve"> nové první substance</w:t>
      </w:r>
      <w:r w:rsidR="00A70FA4">
        <w:fldChar w:fldCharType="begin"/>
      </w:r>
      <w:r w:rsidR="00A70FA4">
        <w:instrText xml:space="preserve"> XE "</w:instrText>
      </w:r>
      <w:r w:rsidR="00A70FA4" w:rsidRPr="00DE2A32">
        <w:instrText>substance</w:instrText>
      </w:r>
      <w:r w:rsidR="00825C40">
        <w:instrText>:Rufus</w:instrText>
      </w:r>
      <w:r w:rsidR="00A70FA4">
        <w:instrText xml:space="preserve">" </w:instrText>
      </w:r>
      <w:r w:rsidR="00A70FA4">
        <w:fldChar w:fldCharType="end"/>
      </w:r>
      <w:r w:rsidR="00F7753E" w:rsidRPr="00273106">
        <w:t xml:space="preserve">  tkví pouze v </w:t>
      </w:r>
      <w:r w:rsidR="000F17C9">
        <w:t xml:space="preserve">akcidenciálním </w:t>
      </w:r>
      <w:r w:rsidR="00F7753E" w:rsidRPr="00273106">
        <w:t xml:space="preserve">modu </w:t>
      </w:r>
      <w:r w:rsidR="00F7753E" w:rsidRPr="00273106">
        <w:rPr>
          <w:i/>
        </w:rPr>
        <w:t>habitualiter</w:t>
      </w:r>
      <w:r w:rsidR="00F7753E" w:rsidRPr="00273106">
        <w:t xml:space="preserve"> nebo </w:t>
      </w:r>
      <w:r w:rsidR="00F7753E" w:rsidRPr="00273106">
        <w:rPr>
          <w:i/>
        </w:rPr>
        <w:t>actualiter</w:t>
      </w:r>
      <w:r w:rsidR="000F17C9">
        <w:t xml:space="preserve">. Po zatmění první substance se existence stala univočním analytickým predikátem. </w:t>
      </w:r>
      <w:r w:rsidR="003C540D" w:rsidRPr="00273106">
        <w:t>Reálná exi</w:t>
      </w:r>
      <w:r>
        <w:t xml:space="preserve">stence v rámci </w:t>
      </w:r>
      <w:r w:rsidR="008264BB">
        <w:t xml:space="preserve">objektivní </w:t>
      </w:r>
      <w:r>
        <w:t>formy a materie přichází</w:t>
      </w:r>
      <w:r w:rsidR="003C540D" w:rsidRPr="00273106">
        <w:t xml:space="preserve"> (</w:t>
      </w:r>
      <w:r w:rsidR="003C540D" w:rsidRPr="00273106">
        <w:rPr>
          <w:i/>
        </w:rPr>
        <w:t>accidit</w:t>
      </w:r>
      <w:r w:rsidR="003C540D" w:rsidRPr="00273106">
        <w:t xml:space="preserve">) k esencialistickému pojetí věci jako její trvalý </w:t>
      </w:r>
      <w:r w:rsidR="003C540D" w:rsidRPr="00273106">
        <w:rPr>
          <w:i/>
        </w:rPr>
        <w:t>habitus</w:t>
      </w:r>
      <w:r w:rsidR="003C540D" w:rsidRPr="00273106">
        <w:t xml:space="preserve"> či jako </w:t>
      </w:r>
      <w:r w:rsidR="003C540D" w:rsidRPr="005A32E9">
        <w:rPr>
          <w:i/>
        </w:rPr>
        <w:t>ad hoc</w:t>
      </w:r>
      <w:r w:rsidR="003C540D" w:rsidRPr="00273106">
        <w:t xml:space="preserve"> daná aktualizace esence v té či oné jednotlivině. </w:t>
      </w:r>
      <w:r w:rsidR="003C540D">
        <w:t>Universální a reálný modus bytí jsoucna je</w:t>
      </w:r>
      <w:r w:rsidR="003C540D" w:rsidRPr="00273106">
        <w:t xml:space="preserve"> univočně komplementární</w:t>
      </w:r>
      <w:r w:rsidR="006F57C0">
        <w:t xml:space="preserve">. </w:t>
      </w:r>
      <w:r w:rsidR="006F57C0" w:rsidRPr="006F57C0">
        <w:t>Oba způsoby bytí určují predikaci ze směru univerzální podstaty k nahodile vytvořené existenci reálné věci. Skutečnost m</w:t>
      </w:r>
      <w:r w:rsidR="006F57C0">
        <w:t xml:space="preserve">ůže být reflektována </w:t>
      </w:r>
      <w:r w:rsidR="00AA6860">
        <w:t xml:space="preserve">buď v modu </w:t>
      </w:r>
      <w:r w:rsidR="003C540D" w:rsidRPr="003C540D">
        <w:rPr>
          <w:i/>
        </w:rPr>
        <w:t>resolutio</w:t>
      </w:r>
      <w:r w:rsidR="005A68A7">
        <w:rPr>
          <w:i/>
        </w:rPr>
        <w:fldChar w:fldCharType="begin"/>
      </w:r>
      <w:r w:rsidR="005A68A7">
        <w:instrText xml:space="preserve"> XE "</w:instrText>
      </w:r>
      <w:r w:rsidR="005A68A7" w:rsidRPr="00111E9E">
        <w:rPr>
          <w:i/>
        </w:rPr>
        <w:instrText>resolutio</w:instrText>
      </w:r>
      <w:r w:rsidR="007D3515">
        <w:rPr>
          <w:i/>
        </w:rPr>
        <w:instrText>:</w:instrText>
      </w:r>
      <w:r w:rsidR="007D3515" w:rsidRPr="007D3515">
        <w:instrText>Rufus</w:instrText>
      </w:r>
      <w:r w:rsidR="005A68A7">
        <w:instrText xml:space="preserve">" </w:instrText>
      </w:r>
      <w:r w:rsidR="005A68A7">
        <w:rPr>
          <w:i/>
        </w:rPr>
        <w:fldChar w:fldCharType="end"/>
      </w:r>
      <w:r w:rsidR="00AA6860">
        <w:t xml:space="preserve"> nebo </w:t>
      </w:r>
      <w:r w:rsidR="003C540D" w:rsidRPr="003C540D">
        <w:rPr>
          <w:i/>
        </w:rPr>
        <w:t>compositio</w:t>
      </w:r>
      <w:r w:rsidR="007A3BB7">
        <w:rPr>
          <w:i/>
        </w:rPr>
        <w:fldChar w:fldCharType="begin"/>
      </w:r>
      <w:r w:rsidR="007A3BB7">
        <w:instrText xml:space="preserve"> XE "</w:instrText>
      </w:r>
      <w:r w:rsidR="007A3BB7" w:rsidRPr="006B120B">
        <w:rPr>
          <w:i/>
        </w:rPr>
        <w:instrText>compositio</w:instrText>
      </w:r>
      <w:r w:rsidR="007A3BB7">
        <w:instrText xml:space="preserve">" </w:instrText>
      </w:r>
      <w:r w:rsidR="007A3BB7">
        <w:rPr>
          <w:i/>
        </w:rPr>
        <w:fldChar w:fldCharType="end"/>
      </w:r>
      <w:r w:rsidR="082757D9">
        <w:t xml:space="preserve">. Reálnou existenci Sokrata nahradila habituální existence, která už má charakter univerzálie a lze ji dělit a skládat podle metodiky Porfyriova stromu. </w:t>
      </w:r>
      <w:r>
        <w:t xml:space="preserve">Substance třetího druhu </w:t>
      </w:r>
      <w:r w:rsidR="003C540D" w:rsidRPr="00273106">
        <w:t>přesá</w:t>
      </w:r>
      <w:r>
        <w:t>hne či expanduje</w:t>
      </w:r>
      <w:r w:rsidR="003C540D" w:rsidRPr="00273106">
        <w:t xml:space="preserve"> (</w:t>
      </w:r>
      <w:r w:rsidR="003C540D" w:rsidRPr="00273106">
        <w:rPr>
          <w:i/>
        </w:rPr>
        <w:t>exsistit</w:t>
      </w:r>
      <w:r w:rsidR="003C540D" w:rsidRPr="00273106">
        <w:t xml:space="preserve">) </w:t>
      </w:r>
      <w:r>
        <w:t>skrze univerzální a věčnou esenci</w:t>
      </w:r>
      <w:r w:rsidR="003C540D" w:rsidRPr="00273106">
        <w:t xml:space="preserve"> do </w:t>
      </w:r>
      <w:r>
        <w:t xml:space="preserve">habituálně </w:t>
      </w:r>
      <w:r w:rsidR="003C540D" w:rsidRPr="00273106">
        <w:t>myšlené a poznané existence jednotliviny (</w:t>
      </w:r>
      <w:r w:rsidR="003C540D" w:rsidRPr="00273106">
        <w:rPr>
          <w:i/>
        </w:rPr>
        <w:t>habitualiter exsistentia</w:t>
      </w:r>
      <w:r w:rsidR="003C540D" w:rsidRPr="00273106">
        <w:t>)</w:t>
      </w:r>
      <w:r>
        <w:t xml:space="preserve">. Habituální modus bytí </w:t>
      </w:r>
      <w:r w:rsidR="00C14872">
        <w:t>představuje perm</w:t>
      </w:r>
      <w:r w:rsidR="00A00146">
        <w:t>an</w:t>
      </w:r>
      <w:r w:rsidR="00C14872">
        <w:t>entně existující hypostá</w:t>
      </w:r>
      <w:r w:rsidR="00FA26F5" w:rsidRPr="00FA26F5">
        <w:t>zi. Podle nominalistů</w:t>
      </w:r>
      <w:r w:rsidR="00FA26F5">
        <w:t xml:space="preserve"> je určena </w:t>
      </w:r>
      <w:r w:rsidR="00FA26F5" w:rsidRPr="00FA26F5">
        <w:rPr>
          <w:i/>
        </w:rPr>
        <w:t>genus</w:t>
      </w:r>
      <w:r w:rsidR="00FA26F5">
        <w:t xml:space="preserve">, </w:t>
      </w:r>
      <w:r w:rsidR="00FA26F5" w:rsidRPr="00FA26F5">
        <w:t xml:space="preserve">pak </w:t>
      </w:r>
      <w:r w:rsidR="00FA26F5">
        <w:t>species a nakonec jako</w:t>
      </w:r>
      <w:r w:rsidR="00FA26F5" w:rsidRPr="00FA26F5">
        <w:t xml:space="preserve"> </w:t>
      </w:r>
      <w:r w:rsidR="00FA26F5" w:rsidRPr="00FA26F5">
        <w:rPr>
          <w:i/>
        </w:rPr>
        <w:t>species specialissima</w:t>
      </w:r>
      <w:r w:rsidR="00FA26F5">
        <w:t xml:space="preserve"> a </w:t>
      </w:r>
      <w:r w:rsidR="00FA26F5" w:rsidRPr="00FA26F5">
        <w:rPr>
          <w:i/>
        </w:rPr>
        <w:t>individuum</w:t>
      </w:r>
      <w:r w:rsidR="00FA26F5" w:rsidRPr="00FA26F5">
        <w:t>.</w:t>
      </w:r>
      <w:r w:rsidR="00FA26F5">
        <w:t xml:space="preserve"> </w:t>
      </w:r>
      <w:r w:rsidR="003C540D" w:rsidRPr="00273106">
        <w:t>Nyní už je zcela zřejmá kritika Ba</w:t>
      </w:r>
      <w:r w:rsidR="00AA6860">
        <w:t xml:space="preserve">cona a Alberta ohledně termínu </w:t>
      </w:r>
      <w:r w:rsidR="003C540D" w:rsidRPr="00273106">
        <w:rPr>
          <w:i/>
        </w:rPr>
        <w:t>habitus</w:t>
      </w:r>
      <w:r w:rsidR="003C540D" w:rsidRPr="00273106">
        <w:t xml:space="preserve"> daném v rámci </w:t>
      </w:r>
      <w:r w:rsidR="003C540D" w:rsidRPr="00273106">
        <w:rPr>
          <w:i/>
        </w:rPr>
        <w:t>Oxfordian Fallacy</w:t>
      </w:r>
      <w:r w:rsidR="08BE1F82">
        <w:t xml:space="preserve"> (kap. 2</w:t>
      </w:r>
      <w:r w:rsidR="003C540D" w:rsidRPr="00273106">
        <w:t xml:space="preserve">.4.1). </w:t>
      </w:r>
      <w:r w:rsidR="009C2BB5" w:rsidRPr="009C2BB5">
        <w:t xml:space="preserve">Rufus a jemu podobní Moderni si ve svých myslích vytvořili paralelní vesmír. </w:t>
      </w:r>
      <w:r w:rsidR="009C2BB5">
        <w:t>Ten d</w:t>
      </w:r>
      <w:r w:rsidR="009C2BB5" w:rsidRPr="009C2BB5">
        <w:t>ostal punc reality a začali ho vědecky definovat. Bacon to považoval za šílené a Albert za směšné. Bonaventura založil oficiálně tuto školu v Paříži a Kilwardby v Oxfordu.</w:t>
      </w:r>
      <w:r w:rsidR="009C2BB5">
        <w:t xml:space="preserve"> </w:t>
      </w:r>
      <w:r w:rsidR="003C540D" w:rsidRPr="00273106">
        <w:t>Scotus</w:t>
      </w:r>
      <w:r w:rsidR="003C540D">
        <w:t xml:space="preserve"> </w:t>
      </w:r>
      <w:r w:rsidR="003C540D" w:rsidRPr="00273106">
        <w:t xml:space="preserve">završil </w:t>
      </w:r>
      <w:r w:rsidR="003C540D">
        <w:t>modern</w:t>
      </w:r>
      <w:r w:rsidR="00326C19">
        <w:t>u</w:t>
      </w:r>
      <w:r w:rsidR="003C540D">
        <w:t xml:space="preserve"> tím, že zrušil paralelní vesmír </w:t>
      </w:r>
      <w:r w:rsidR="003C540D" w:rsidRPr="007726C4">
        <w:rPr>
          <w:i/>
        </w:rPr>
        <w:t>Modernorum</w:t>
      </w:r>
      <w:r w:rsidR="003C540D">
        <w:t xml:space="preserve"> v této primitivní podobě a zavedl sofistikovaný model aristotelské objektivity</w:t>
      </w:r>
      <w:r w:rsidR="003C540D" w:rsidRPr="00273106">
        <w:t>.</w:t>
      </w:r>
      <w:r w:rsidR="00004A71">
        <w:t xml:space="preserve"> </w:t>
      </w:r>
      <w:r w:rsidR="006643C0">
        <w:t>Rufus po vzoru nominalistických p</w:t>
      </w:r>
      <w:r w:rsidR="006643C0" w:rsidRPr="00273106">
        <w:t>orretán</w:t>
      </w:r>
      <w:r w:rsidR="006643C0">
        <w:t>ů</w:t>
      </w:r>
      <w:r w:rsidR="006643C0" w:rsidRPr="00273106">
        <w:t xml:space="preserve"> </w:t>
      </w:r>
      <w:r w:rsidR="006643C0" w:rsidRPr="00273106">
        <w:rPr>
          <w:rStyle w:val="linemarker-marked-line"/>
        </w:rPr>
        <w:t>definuj</w:t>
      </w:r>
      <w:r w:rsidR="006643C0">
        <w:rPr>
          <w:rStyle w:val="linemarker-marked-line"/>
        </w:rPr>
        <w:t xml:space="preserve">e </w:t>
      </w:r>
      <w:r w:rsidR="006643C0" w:rsidRPr="00273106">
        <w:t>i</w:t>
      </w:r>
      <w:r w:rsidR="006643C0" w:rsidRPr="00273106">
        <w:rPr>
          <w:rStyle w:val="linemarker-marked-line"/>
        </w:rPr>
        <w:t xml:space="preserve">ndividuum z hlediska formy dané primátem </w:t>
      </w:r>
      <w:r w:rsidR="004B4D52" w:rsidRPr="004B4D52">
        <w:rPr>
          <w:rStyle w:val="linemarker-marked-line"/>
        </w:rPr>
        <w:t>species</w:t>
      </w:r>
      <w:r w:rsidR="006643C0" w:rsidRPr="00273106">
        <w:rPr>
          <w:rStyle w:val="linemarker-marked-line"/>
          <w:i/>
        </w:rPr>
        <w:t xml:space="preserve"> specialissima</w:t>
      </w:r>
      <w:r w:rsidR="00C63957">
        <w:rPr>
          <w:rStyle w:val="linemarker-marked-line"/>
          <w:i/>
        </w:rPr>
        <w:fldChar w:fldCharType="begin"/>
      </w:r>
      <w:r w:rsidR="00C63957">
        <w:instrText xml:space="preserve"> XE "</w:instrText>
      </w:r>
      <w:r w:rsidR="00C63957" w:rsidRPr="00A94442">
        <w:rPr>
          <w:i/>
        </w:rPr>
        <w:instrText>species specialissima</w:instrText>
      </w:r>
      <w:r w:rsidR="00C63957">
        <w:instrText xml:space="preserve">" </w:instrText>
      </w:r>
      <w:r w:rsidR="00C63957">
        <w:rPr>
          <w:rStyle w:val="linemarker-marked-line"/>
          <w:i/>
        </w:rPr>
        <w:fldChar w:fldCharType="end"/>
      </w:r>
      <w:r w:rsidR="00E80316">
        <w:rPr>
          <w:rStyle w:val="linemarker-marked-line"/>
        </w:rPr>
        <w:t>. Reálná h</w:t>
      </w:r>
      <w:r w:rsidR="00E80316" w:rsidRPr="00E80316">
        <w:rPr>
          <w:rStyle w:val="linemarker-marked-line"/>
        </w:rPr>
        <w:t>yparchická první substance se redukuje na entitu, kterou nelze dále definovat (</w:t>
      </w:r>
      <w:r w:rsidR="00E80316" w:rsidRPr="00E80316">
        <w:rPr>
          <w:rStyle w:val="linemarker-marked-line"/>
          <w:i/>
        </w:rPr>
        <w:t>individuum non habet definitionem</w:t>
      </w:r>
      <w:r w:rsidR="00E80316">
        <w:rPr>
          <w:rStyle w:val="linemarker-marked-line"/>
        </w:rPr>
        <w:t>).</w:t>
      </w:r>
      <w:r w:rsidR="00E80316" w:rsidRPr="00273106">
        <w:rPr>
          <w:rStyle w:val="Znakapoznpodarou"/>
        </w:rPr>
        <w:footnoteReference w:id="399"/>
      </w:r>
      <w:r w:rsidR="00E80316">
        <w:rPr>
          <w:rStyle w:val="linemarker-marked-line"/>
        </w:rPr>
        <w:t xml:space="preserve"> </w:t>
      </w:r>
      <w:r w:rsidR="00E80316" w:rsidRPr="00E80316">
        <w:rPr>
          <w:rStyle w:val="linemarker-marked-line"/>
        </w:rPr>
        <w:t>Hyparchická funkce první substance zanikla a byla nahrazena moderní abstrakcí, která je zcela iracionální, ergo nedefinovatelná.</w:t>
      </w:r>
      <w:r w:rsidR="00E80316">
        <w:rPr>
          <w:rStyle w:val="linemarker-marked-line"/>
        </w:rPr>
        <w:t xml:space="preserve"> </w:t>
      </w:r>
      <w:r w:rsidR="006643C0">
        <w:rPr>
          <w:rStyle w:val="linemarker-marked-line"/>
        </w:rPr>
        <w:t xml:space="preserve">Člověk se stal dále nedělitelným individuem daným v řadě abstraktního dělení </w:t>
      </w:r>
      <w:r w:rsidR="006643C0" w:rsidRPr="00D73799">
        <w:rPr>
          <w:rStyle w:val="linemarker-marked-line"/>
          <w:i/>
        </w:rPr>
        <w:t>Arbor Pophyriana</w:t>
      </w:r>
      <w:r w:rsidR="005954E8">
        <w:rPr>
          <w:rStyle w:val="linemarker-marked-line"/>
          <w:i/>
        </w:rPr>
        <w:fldChar w:fldCharType="begin"/>
      </w:r>
      <w:r w:rsidR="005954E8">
        <w:instrText xml:space="preserve"> XE "</w:instrText>
      </w:r>
      <w:r w:rsidR="005954E8" w:rsidRPr="008D5BE7">
        <w:instrText>osoba:individuum</w:instrText>
      </w:r>
      <w:r w:rsidR="005954E8">
        <w:instrText xml:space="preserve">" </w:instrText>
      </w:r>
      <w:r w:rsidR="005954E8">
        <w:rPr>
          <w:rStyle w:val="linemarker-marked-line"/>
          <w:i/>
        </w:rPr>
        <w:fldChar w:fldCharType="end"/>
      </w:r>
      <w:r w:rsidR="006643C0">
        <w:rPr>
          <w:rStyle w:val="linemarker-marked-line"/>
        </w:rPr>
        <w:t>. Toto pojetí humanismu rozvedl Foucault</w:t>
      </w:r>
      <w:r w:rsidR="005954E8">
        <w:rPr>
          <w:rStyle w:val="linemarker-marked-line"/>
        </w:rPr>
        <w:fldChar w:fldCharType="begin"/>
      </w:r>
      <w:r w:rsidR="005954E8">
        <w:instrText xml:space="preserve"> XE "</w:instrText>
      </w:r>
      <w:r w:rsidR="005954E8" w:rsidRPr="00A72C2A">
        <w:rPr>
          <w:rStyle w:val="linemarker-marked-line"/>
        </w:rPr>
        <w:instrText>Foucault, M.</w:instrText>
      </w:r>
      <w:r w:rsidR="005954E8">
        <w:instrText xml:space="preserve">" </w:instrText>
      </w:r>
      <w:r w:rsidR="005954E8">
        <w:rPr>
          <w:rStyle w:val="linemarker-marked-line"/>
        </w:rPr>
        <w:fldChar w:fldCharType="end"/>
      </w:r>
      <w:r w:rsidR="006643C0">
        <w:rPr>
          <w:rStyle w:val="linemarker-marked-line"/>
        </w:rPr>
        <w:t xml:space="preserve"> v projektu postmoderních </w:t>
      </w:r>
      <w:r w:rsidR="006643C0">
        <w:t>humanitních věd daných v epoše metafyzického nihilismu</w:t>
      </w:r>
      <w:r w:rsidR="00FA6EF4">
        <w:t xml:space="preserve"> (kap. 3.5).</w:t>
      </w:r>
      <w:r w:rsidR="006643C0">
        <w:t xml:space="preserve"> </w:t>
      </w:r>
      <w:r w:rsidR="00C5205F">
        <w:t xml:space="preserve">Analytičtí ilumináti </w:t>
      </w:r>
      <w:r w:rsidR="00C46CAA">
        <w:t xml:space="preserve">chápou </w:t>
      </w:r>
      <w:r w:rsidR="00C5205F">
        <w:t xml:space="preserve">osobu jako </w:t>
      </w:r>
      <w:r w:rsidR="006F55B0">
        <w:t xml:space="preserve">objektivní </w:t>
      </w:r>
      <w:r w:rsidR="00C5205F">
        <w:t>atom</w:t>
      </w:r>
      <w:r w:rsidR="0020099C">
        <w:t>á</w:t>
      </w:r>
      <w:r w:rsidR="00C5205F">
        <w:t xml:space="preserve">rní substanci </w:t>
      </w:r>
      <w:r w:rsidR="00C46CAA">
        <w:t xml:space="preserve">generovanou </w:t>
      </w:r>
      <w:r w:rsidR="006F55B0">
        <w:t>pohybem difere</w:t>
      </w:r>
      <w:r w:rsidR="00C5205F">
        <w:t>nce</w:t>
      </w:r>
      <w:r w:rsidR="00D74B16">
        <w:t xml:space="preserve">. Individuum </w:t>
      </w:r>
      <w:r w:rsidR="00C5205F">
        <w:t xml:space="preserve">stojí nedělitelně </w:t>
      </w:r>
      <w:r w:rsidR="006F55B0">
        <w:t>na konci řady</w:t>
      </w:r>
      <w:r w:rsidR="0020099C">
        <w:t xml:space="preserve"> tvořené </w:t>
      </w:r>
      <w:r w:rsidR="00D37B9E">
        <w:t xml:space="preserve">porretánskými </w:t>
      </w:r>
      <w:r w:rsidR="0020099C">
        <w:t>univerzál</w:t>
      </w:r>
      <w:r w:rsidR="00D37B9E">
        <w:t>iemi</w:t>
      </w:r>
      <w:r w:rsidR="006643C0" w:rsidRPr="00273106">
        <w:t>.</w:t>
      </w:r>
      <w:r w:rsidR="00635C32">
        <w:t xml:space="preserve"> Následující </w:t>
      </w:r>
      <w:r w:rsidR="00635C32" w:rsidRPr="00273106">
        <w:t>citát</w:t>
      </w:r>
      <w:r w:rsidR="00635C32">
        <w:t xml:space="preserve"> </w:t>
      </w:r>
      <w:r w:rsidR="00635C32" w:rsidRPr="00273106">
        <w:t xml:space="preserve">ukazuje </w:t>
      </w:r>
      <w:r w:rsidR="00635C32" w:rsidRPr="00D73799">
        <w:rPr>
          <w:i/>
        </w:rPr>
        <w:t>Lichtung</w:t>
      </w:r>
      <w:r w:rsidR="00635C32">
        <w:t xml:space="preserve"> postmoderního dělení a třídění věd </w:t>
      </w:r>
      <w:r w:rsidR="000C6912">
        <w:t xml:space="preserve">prováděného v </w:t>
      </w:r>
      <w:r w:rsidR="00635C32">
        <w:t xml:space="preserve">rámci moderního </w:t>
      </w:r>
      <w:r w:rsidR="00635C32" w:rsidRPr="00C5205F">
        <w:rPr>
          <w:i/>
        </w:rPr>
        <w:t>Arbor Porphyriana</w:t>
      </w:r>
      <w:r w:rsidR="00635C32">
        <w:rPr>
          <w:i/>
        </w:rPr>
        <w:fldChar w:fldCharType="begin"/>
      </w:r>
      <w:r w:rsidR="00635C32">
        <w:instrText xml:space="preserve"> XE "</w:instrText>
      </w:r>
      <w:r w:rsidR="00635C32" w:rsidRPr="00227C7B">
        <w:rPr>
          <w:i/>
        </w:rPr>
        <w:instrText>Arbor Porphyriana</w:instrText>
      </w:r>
      <w:r w:rsidR="00635C32">
        <w:instrText xml:space="preserve">" </w:instrText>
      </w:r>
      <w:r w:rsidR="00635C32">
        <w:rPr>
          <w:i/>
        </w:rPr>
        <w:fldChar w:fldCharType="end"/>
      </w:r>
      <w:r w:rsidR="00635C32">
        <w:t xml:space="preserve">. </w:t>
      </w:r>
    </w:p>
    <w:p w14:paraId="1B0E0A92" w14:textId="6BE587FA" w:rsidR="006643C0" w:rsidRPr="00273106" w:rsidRDefault="006643C0" w:rsidP="006643C0">
      <w:pPr>
        <w:pStyle w:val="Citace"/>
        <w:rPr>
          <w:noProof/>
          <w:lang w:val="cs-CZ"/>
        </w:rPr>
      </w:pPr>
      <w:r w:rsidRPr="00273106">
        <w:rPr>
          <w:rStyle w:val="linemarker-marked-line"/>
          <w:noProof/>
          <w:lang w:val="cs-CZ"/>
        </w:rPr>
        <w:t>„</w:t>
      </w:r>
      <w:r w:rsidR="00AA6860">
        <w:rPr>
          <w:lang w:val="cs-CZ"/>
        </w:rPr>
        <w:t xml:space="preserve">Ale může být lépe řečeno, co se rozumí </w:t>
      </w:r>
      <w:r w:rsidR="00AA6860">
        <w:rPr>
          <w:rStyle w:val="linemarker-marked-line"/>
          <w:noProof/>
          <w:lang w:val="cs-CZ"/>
        </w:rPr>
        <w:t>pojmovou definicí</w:t>
      </w:r>
      <w:r w:rsidRPr="00273106">
        <w:rPr>
          <w:rStyle w:val="linemarker-marked-line"/>
          <w:noProof/>
          <w:lang w:val="cs-CZ"/>
        </w:rPr>
        <w:t xml:space="preserve"> 'člověk je rozumný a smrtelný živočich'. Jistě je možné tuto definici ověřit a pojem spojit z jednoho a z druhého určení. Ale poslední intence poznání </w:t>
      </w:r>
      <w:r>
        <w:rPr>
          <w:rStyle w:val="linemarker-marked-line"/>
          <w:noProof/>
          <w:lang w:val="cs-CZ"/>
        </w:rPr>
        <w:t>(</w:t>
      </w:r>
      <w:r w:rsidRPr="00BF36D1">
        <w:rPr>
          <w:rStyle w:val="linemarker-marked-line"/>
          <w:i/>
          <w:noProof/>
          <w:lang w:val="cs-CZ"/>
        </w:rPr>
        <w:t>ultima intentio</w:t>
      </w:r>
      <w:r>
        <w:rPr>
          <w:rStyle w:val="linemarker-marked-line"/>
          <w:noProof/>
          <w:lang w:val="cs-CZ"/>
        </w:rPr>
        <w:t xml:space="preserve">) </w:t>
      </w:r>
      <w:r w:rsidRPr="00273106">
        <w:rPr>
          <w:rStyle w:val="linemarker-marked-line"/>
          <w:noProof/>
          <w:lang w:val="cs-CZ"/>
        </w:rPr>
        <w:t>směřuje k tomu, aby se nazřel první subjekt daný jednoduše v sobě samém</w:t>
      </w:r>
      <w:r>
        <w:rPr>
          <w:rStyle w:val="linemarker-marked-line"/>
          <w:noProof/>
          <w:lang w:val="cs-CZ"/>
        </w:rPr>
        <w:t xml:space="preserve"> (</w:t>
      </w:r>
      <w:r w:rsidRPr="003407F6">
        <w:rPr>
          <w:rStyle w:val="linemarker-marked-line"/>
          <w:i/>
        </w:rPr>
        <w:t>primum subiectum simpliciter in se</w:t>
      </w:r>
      <w:r>
        <w:rPr>
          <w:rStyle w:val="linemarker-marked-line"/>
          <w:noProof/>
          <w:lang w:val="cs-CZ"/>
        </w:rPr>
        <w:t>)</w:t>
      </w:r>
      <w:r w:rsidRPr="00273106">
        <w:rPr>
          <w:rStyle w:val="linemarker-marked-line"/>
          <w:noProof/>
          <w:lang w:val="cs-CZ"/>
        </w:rPr>
        <w:t xml:space="preserve">.“ </w:t>
      </w:r>
      <w:r w:rsidRPr="00273106">
        <w:rPr>
          <w:rStyle w:val="Znakapoznpodarou"/>
          <w:noProof/>
          <w:lang w:val="cs-CZ"/>
        </w:rPr>
        <w:footnoteReference w:id="400"/>
      </w:r>
    </w:p>
    <w:p w14:paraId="04B83432" w14:textId="033EEEB1" w:rsidR="08313FAC" w:rsidRPr="00273106" w:rsidRDefault="006643C0" w:rsidP="08313FAC">
      <w:r w:rsidRPr="00273106">
        <w:t>Klasická definice člověka (</w:t>
      </w:r>
      <w:r w:rsidRPr="00273106">
        <w:rPr>
          <w:rStyle w:val="linemarker-marked-line"/>
          <w:i/>
        </w:rPr>
        <w:t>homo est animal rationale mortale</w:t>
      </w:r>
      <w:r w:rsidRPr="00273106">
        <w:t>) dostává v nově pojatém vědění jiný význam než u Aristotela. Subjekt (</w:t>
      </w:r>
      <w:r w:rsidRPr="00273106">
        <w:rPr>
          <w:i/>
        </w:rPr>
        <w:t>homo</w:t>
      </w:r>
      <w:r w:rsidRPr="00273106">
        <w:t>) a predikát (</w:t>
      </w:r>
      <w:r w:rsidRPr="00273106">
        <w:rPr>
          <w:i/>
        </w:rPr>
        <w:t>animal rationale mortale</w:t>
      </w:r>
      <w:r w:rsidRPr="00273106">
        <w:t>) vytvářejí kompozici reálného a ideálního určení (</w:t>
      </w:r>
      <w:r w:rsidRPr="00273106">
        <w:rPr>
          <w:i/>
        </w:rPr>
        <w:t>componere hoc de hoc</w:t>
      </w:r>
      <w:r w:rsidRPr="00273106">
        <w:t>), která má charakter substance</w:t>
      </w:r>
      <w:r w:rsidR="00A70FA4">
        <w:fldChar w:fldCharType="begin"/>
      </w:r>
      <w:r w:rsidR="00A70FA4">
        <w:instrText xml:space="preserve"> XE "</w:instrText>
      </w:r>
      <w:r w:rsidR="00316A19">
        <w:instrText>osoba:Rufus</w:instrText>
      </w:r>
      <w:r w:rsidR="00A70FA4">
        <w:instrText xml:space="preserve">" </w:instrText>
      </w:r>
      <w:r w:rsidR="00A70FA4">
        <w:fldChar w:fldCharType="end"/>
      </w:r>
      <w:r w:rsidRPr="00273106">
        <w:t xml:space="preserve"> třetího druhu. Základem nového </w:t>
      </w:r>
      <w:r w:rsidR="00133ED2">
        <w:t xml:space="preserve">humanismu </w:t>
      </w:r>
      <w:r w:rsidRPr="00273106">
        <w:t xml:space="preserve">není existence </w:t>
      </w:r>
      <w:r w:rsidR="00B17113">
        <w:t xml:space="preserve">osoby jako </w:t>
      </w:r>
      <w:r w:rsidRPr="00273106">
        <w:t>první s</w:t>
      </w:r>
      <w:r w:rsidR="001C49CE">
        <w:t>ubstance, ale náhled do trvalé</w:t>
      </w:r>
      <w:r w:rsidRPr="00273106">
        <w:t xml:space="preserve"> </w:t>
      </w:r>
      <w:r w:rsidR="004B4D52" w:rsidRPr="004B4D52">
        <w:t>species</w:t>
      </w:r>
      <w:r w:rsidRPr="00273106">
        <w:t xml:space="preserve"> jako čisté </w:t>
      </w:r>
      <w:r w:rsidR="00A05D1C">
        <w:t xml:space="preserve">porretánské </w:t>
      </w:r>
      <w:r w:rsidRPr="00273106">
        <w:t xml:space="preserve">formy nebo </w:t>
      </w:r>
      <w:r w:rsidR="00A05D1C">
        <w:t xml:space="preserve">avicennistické </w:t>
      </w:r>
      <w:r w:rsidRPr="00273106">
        <w:t>esence (</w:t>
      </w:r>
      <w:r w:rsidRPr="00273106">
        <w:rPr>
          <w:rStyle w:val="linemarker-marked-line"/>
          <w:i/>
        </w:rPr>
        <w:t>primum subiectum simpliciter in se</w:t>
      </w:r>
      <w:r w:rsidRPr="00273106">
        <w:t xml:space="preserve">). </w:t>
      </w:r>
      <w:r w:rsidR="08BA4156">
        <w:t>Opět je ve hře náhled do Avicennovy čisté esence (</w:t>
      </w:r>
      <w:r w:rsidR="08BA4156" w:rsidRPr="08BA4156">
        <w:rPr>
          <w:i/>
        </w:rPr>
        <w:t>equinitas tantum</w:t>
      </w:r>
      <w:r w:rsidR="08BA4156">
        <w:t>), kterou Scotus převezme do metafyzické dedukce od Avicenny a od Rufuse (</w:t>
      </w:r>
      <w:r w:rsidR="08BA4156" w:rsidRPr="08BA4156">
        <w:rPr>
          <w:i/>
        </w:rPr>
        <w:t>conceptus simpliciter simplex</w:t>
      </w:r>
      <w:r w:rsidR="08BA4156">
        <w:rPr>
          <w:i/>
        </w:rPr>
        <w:fldChar w:fldCharType="begin"/>
      </w:r>
      <w:r w:rsidR="08BA4156">
        <w:instrText xml:space="preserve"> XE "</w:instrText>
      </w:r>
      <w:r w:rsidR="08BA4156" w:rsidRPr="08493A9A">
        <w:rPr>
          <w:i/>
        </w:rPr>
        <w:instrText>conceptus simpliciter simplex</w:instrText>
      </w:r>
      <w:r w:rsidR="08BA4156">
        <w:instrText xml:space="preserve">" </w:instrText>
      </w:r>
      <w:r w:rsidR="08BA4156">
        <w:rPr>
          <w:i/>
        </w:rPr>
        <w:fldChar w:fldCharType="end"/>
      </w:r>
      <w:r w:rsidR="08DE6CFE">
        <w:t>;</w:t>
      </w:r>
      <w:r w:rsidR="08BA4156">
        <w:t xml:space="preserve"> </w:t>
      </w:r>
      <w:r w:rsidR="08DE6CFE">
        <w:t xml:space="preserve">OBJ III, </w:t>
      </w:r>
      <w:r w:rsidR="08C17575">
        <w:t>kap. 5</w:t>
      </w:r>
      <w:r w:rsidR="08BA4156" w:rsidRPr="00273106">
        <w:t>.3.2</w:t>
      </w:r>
      <w:r w:rsidR="08BA4156">
        <w:t xml:space="preserve">). </w:t>
      </w:r>
      <w:r w:rsidRPr="00273106">
        <w:t>Poslední jednotlivina a současně univerzálie „člověk“ (</w:t>
      </w:r>
      <w:r w:rsidRPr="00273106">
        <w:rPr>
          <w:i/>
        </w:rPr>
        <w:t>homo</w:t>
      </w:r>
      <w:r w:rsidRPr="00273106">
        <w:t>) se stala moderním individuem</w:t>
      </w:r>
      <w:r w:rsidR="00A3676E">
        <w:t>. To vzn</w:t>
      </w:r>
      <w:r w:rsidR="00DC71D1">
        <w:t>iklo jako poslední element porretánského dělení univerzálií</w:t>
      </w:r>
      <w:r w:rsidRPr="00273106">
        <w:t xml:space="preserve">. </w:t>
      </w:r>
      <w:r w:rsidR="08313FAC" w:rsidRPr="00273106">
        <w:t xml:space="preserve">První substance není dána na začátku poznání, ale je </w:t>
      </w:r>
      <w:r w:rsidR="08FE6CA7">
        <w:t xml:space="preserve">nazírána, (dedukována, </w:t>
      </w:r>
      <w:r w:rsidR="08313FAC" w:rsidRPr="00273106">
        <w:t>konstruována, konkretizována, syntetizována, postulována, dedukována</w:t>
      </w:r>
      <w:r w:rsidR="08313FAC">
        <w:t>, individualizována</w:t>
      </w:r>
      <w:r w:rsidR="08313FAC" w:rsidRPr="00273106">
        <w:t xml:space="preserve"> atd.) jako výsledek poznáva</w:t>
      </w:r>
      <w:r w:rsidR="08313FAC">
        <w:t xml:space="preserve">cího procesu v rámci moderního </w:t>
      </w:r>
      <w:r w:rsidR="08313FAC" w:rsidRPr="00273106">
        <w:rPr>
          <w:i/>
        </w:rPr>
        <w:t>resolutio</w:t>
      </w:r>
      <w:r w:rsidR="08313FAC">
        <w:rPr>
          <w:i/>
        </w:rPr>
        <w:fldChar w:fldCharType="begin"/>
      </w:r>
      <w:r w:rsidR="08313FAC">
        <w:instrText xml:space="preserve"> XE "</w:instrText>
      </w:r>
      <w:r w:rsidR="08313FAC" w:rsidRPr="00111E9E">
        <w:rPr>
          <w:i/>
        </w:rPr>
        <w:instrText>resolutio</w:instrText>
      </w:r>
      <w:r w:rsidR="08313FAC">
        <w:rPr>
          <w:i/>
        </w:rPr>
        <w:instrText>:</w:instrText>
      </w:r>
      <w:r w:rsidR="08313FAC" w:rsidRPr="007D3515">
        <w:instrText>Rufus</w:instrText>
      </w:r>
      <w:r w:rsidR="08313FAC">
        <w:instrText xml:space="preserve">" </w:instrText>
      </w:r>
      <w:r w:rsidR="08313FAC">
        <w:rPr>
          <w:i/>
        </w:rPr>
        <w:fldChar w:fldCharType="end"/>
      </w:r>
      <w:r w:rsidR="08313FAC">
        <w:t xml:space="preserve"> a </w:t>
      </w:r>
      <w:r w:rsidR="08313FAC" w:rsidRPr="009C2459">
        <w:rPr>
          <w:i/>
        </w:rPr>
        <w:t>compositio</w:t>
      </w:r>
      <w:r w:rsidR="08313FAC">
        <w:rPr>
          <w:i/>
        </w:rPr>
        <w:fldChar w:fldCharType="begin"/>
      </w:r>
      <w:r w:rsidR="08313FAC">
        <w:instrText xml:space="preserve"> XE "</w:instrText>
      </w:r>
      <w:r w:rsidR="08313FAC" w:rsidRPr="006B120B">
        <w:rPr>
          <w:i/>
        </w:rPr>
        <w:instrText>compositio</w:instrText>
      </w:r>
      <w:r w:rsidR="08313FAC">
        <w:instrText xml:space="preserve">" </w:instrText>
      </w:r>
      <w:r w:rsidR="08313FAC">
        <w:rPr>
          <w:i/>
        </w:rPr>
        <w:fldChar w:fldCharType="end"/>
      </w:r>
      <w:r w:rsidR="08313FAC" w:rsidRPr="00273106">
        <w:t>. Nedosažiteln</w:t>
      </w:r>
      <w:r w:rsidR="08313FAC">
        <w:t xml:space="preserve">á první substance moderny se aktem </w:t>
      </w:r>
      <w:r w:rsidR="08313FAC" w:rsidRPr="00497BDE">
        <w:rPr>
          <w:i/>
        </w:rPr>
        <w:t>compositio</w:t>
      </w:r>
      <w:r w:rsidR="08313FAC" w:rsidRPr="00273106">
        <w:t xml:space="preserve"> mění v </w:t>
      </w:r>
      <w:r w:rsidR="08313FAC">
        <w:t xml:space="preserve">moderní </w:t>
      </w:r>
      <w:r w:rsidR="08313FAC" w:rsidRPr="00273106">
        <w:t xml:space="preserve">individuum. </w:t>
      </w:r>
      <w:r w:rsidR="08081AA4">
        <w:t>Komentář</w:t>
      </w:r>
      <w:r w:rsidR="08313FAC" w:rsidRPr="00273106">
        <w:t xml:space="preserve"> k </w:t>
      </w:r>
      <w:r w:rsidR="08313FAC" w:rsidRPr="002B4304">
        <w:rPr>
          <w:i/>
        </w:rPr>
        <w:t>Metafyzice</w:t>
      </w:r>
      <w:r w:rsidR="08081AA4">
        <w:t xml:space="preserve"> sofistickým odvoláním na klasickou metafyziku provádí první objektivní kolektu toho, čemu Rufus</w:t>
      </w:r>
      <w:r w:rsidR="005F6C9A">
        <w:t xml:space="preserve"> </w:t>
      </w:r>
      <w:r w:rsidR="08081AA4">
        <w:t>říká „reálná substance“.</w:t>
      </w:r>
    </w:p>
    <w:p w14:paraId="29B71BA3" w14:textId="2FC82756" w:rsidR="08313FAC" w:rsidRPr="00273106" w:rsidRDefault="08313FAC" w:rsidP="08313FAC">
      <w:pPr>
        <w:pStyle w:val="Citace"/>
        <w:rPr>
          <w:noProof/>
          <w:lang w:val="cs-CZ"/>
        </w:rPr>
      </w:pPr>
      <w:r w:rsidRPr="00273106">
        <w:rPr>
          <w:noProof/>
          <w:lang w:val="cs-CZ"/>
        </w:rPr>
        <w:t>„</w:t>
      </w:r>
      <w:r>
        <w:rPr>
          <w:noProof/>
          <w:lang w:val="cs-CZ"/>
        </w:rPr>
        <w:t>I</w:t>
      </w:r>
      <w:r w:rsidRPr="00273106">
        <w:rPr>
          <w:noProof/>
          <w:lang w:val="cs-CZ"/>
        </w:rPr>
        <w:t xml:space="preserve">ndividum </w:t>
      </w:r>
      <w:r>
        <w:rPr>
          <w:noProof/>
          <w:lang w:val="cs-CZ"/>
        </w:rPr>
        <w:t xml:space="preserve">lze definovat </w:t>
      </w:r>
      <w:r w:rsidRPr="00273106">
        <w:rPr>
          <w:noProof/>
          <w:lang w:val="cs-CZ"/>
        </w:rPr>
        <w:t xml:space="preserve">podle principů jeho individualizace, ale tak to </w:t>
      </w:r>
      <w:r>
        <w:rPr>
          <w:noProof/>
          <w:lang w:val="cs-CZ"/>
        </w:rPr>
        <w:t>Porfyri</w:t>
      </w:r>
      <w:r w:rsidRPr="00273106">
        <w:rPr>
          <w:noProof/>
          <w:lang w:val="cs-CZ"/>
        </w:rPr>
        <w:t>us nechápe. Nebo jej lze definovat skrze principy, které jsou dány externě vzhledem k syntetizujícímu poznání</w:t>
      </w:r>
      <w:r>
        <w:rPr>
          <w:noProof/>
          <w:lang w:val="cs-CZ"/>
        </w:rPr>
        <w:t xml:space="preserve"> (</w:t>
      </w:r>
      <w:r w:rsidRPr="00D0621B">
        <w:rPr>
          <w:i/>
        </w:rPr>
        <w:t>per principia exterius ad cognitionem conferentia</w:t>
      </w:r>
      <w:r>
        <w:rPr>
          <w:noProof/>
          <w:lang w:val="cs-CZ"/>
        </w:rPr>
        <w:t>)</w:t>
      </w:r>
      <w:r w:rsidRPr="00273106">
        <w:rPr>
          <w:noProof/>
          <w:lang w:val="cs-CZ"/>
        </w:rPr>
        <w:t xml:space="preserve">. Tak rozumí </w:t>
      </w:r>
      <w:r>
        <w:rPr>
          <w:noProof/>
          <w:lang w:val="cs-CZ"/>
        </w:rPr>
        <w:t>Porfyri</w:t>
      </w:r>
      <w:r w:rsidRPr="00273106">
        <w:rPr>
          <w:noProof/>
          <w:lang w:val="cs-CZ"/>
        </w:rPr>
        <w:t xml:space="preserve">us Aristotelovu tvrzení v </w:t>
      </w:r>
      <w:r w:rsidRPr="00273106">
        <w:rPr>
          <w:i/>
          <w:noProof/>
          <w:lang w:val="cs-CZ"/>
        </w:rPr>
        <w:t>De anima</w:t>
      </w:r>
      <w:r w:rsidRPr="00273106">
        <w:rPr>
          <w:noProof/>
          <w:lang w:val="cs-CZ"/>
        </w:rPr>
        <w:t xml:space="preserve"> </w:t>
      </w:r>
      <w:r w:rsidRPr="00963D82">
        <w:rPr>
          <w:i/>
          <w:noProof/>
          <w:lang w:val="cs-CZ"/>
        </w:rPr>
        <w:t>I</w:t>
      </w:r>
      <w:r w:rsidR="007E0870">
        <w:rPr>
          <w:noProof/>
          <w:lang w:val="cs-CZ"/>
        </w:rPr>
        <w:t>: «A</w:t>
      </w:r>
      <w:r w:rsidRPr="00273106">
        <w:rPr>
          <w:noProof/>
          <w:lang w:val="cs-CZ"/>
        </w:rPr>
        <w:t>kcidenty z velké části přispívaj</w:t>
      </w:r>
      <w:r>
        <w:rPr>
          <w:noProof/>
          <w:lang w:val="cs-CZ"/>
        </w:rPr>
        <w:t>í k poznání toho, co je dáno».</w:t>
      </w:r>
      <w:r w:rsidRPr="00273106">
        <w:rPr>
          <w:noProof/>
          <w:lang w:val="cs-CZ"/>
        </w:rPr>
        <w:t xml:space="preserve">“ </w:t>
      </w:r>
      <w:r w:rsidRPr="00273106">
        <w:rPr>
          <w:rStyle w:val="Znakapoznpodarou"/>
          <w:noProof/>
          <w:lang w:val="cs-CZ"/>
        </w:rPr>
        <w:footnoteReference w:id="401"/>
      </w:r>
    </w:p>
    <w:p w14:paraId="01E3FF46" w14:textId="77777777" w:rsidR="00621046" w:rsidRDefault="08313FAC" w:rsidP="00855BF7">
      <w:r>
        <w:t xml:space="preserve">Rufus </w:t>
      </w:r>
      <w:r w:rsidR="00C663C6">
        <w:t xml:space="preserve">jen zdánlivě </w:t>
      </w:r>
      <w:r w:rsidRPr="00273106">
        <w:t>determinuje poznání z existujících prvních substancí</w:t>
      </w:r>
      <w:r w:rsidR="00C663C6">
        <w:t xml:space="preserve"> kauzálně působících mezi sebou, které mají </w:t>
      </w:r>
      <w:r w:rsidRPr="00273106">
        <w:t>vlastní způsob</w:t>
      </w:r>
      <w:r w:rsidR="00C663C6">
        <w:t xml:space="preserve"> </w:t>
      </w:r>
      <w:r w:rsidRPr="00273106">
        <w:t>bytí v reálu (</w:t>
      </w:r>
      <w:r w:rsidRPr="00273106">
        <w:rPr>
          <w:i/>
        </w:rPr>
        <w:t>notificare individuum per propria principia individuantia</w:t>
      </w:r>
      <w:r w:rsidRPr="00273106">
        <w:t>). Individuum je synteticky poskládáno ze souboru akcidentů determinujících průběh poznání v mysli (</w:t>
      </w:r>
      <w:r w:rsidRPr="00273106">
        <w:rPr>
          <w:i/>
        </w:rPr>
        <w:t>per principia exterius ad cognitionem conferentia</w:t>
      </w:r>
      <w:r w:rsidRPr="00273106">
        <w:t xml:space="preserve">). </w:t>
      </w:r>
      <w:r>
        <w:t xml:space="preserve">Citace </w:t>
      </w:r>
      <w:r w:rsidRPr="00862DD8">
        <w:rPr>
          <w:i/>
        </w:rPr>
        <w:t>De anima</w:t>
      </w:r>
      <w:r>
        <w:t xml:space="preserve"> je opět čistý sofismus. Aristoteles a Averroes pod akcidentálním poznáním rozumí proces abstrakce dané prací intentionality, která skrze různé smyslové či inteligibilní aspekty syntetizuje výsledný pojem v prostředí </w:t>
      </w:r>
      <w:r w:rsidRPr="00E06A1C">
        <w:rPr>
          <w:i/>
        </w:rPr>
        <w:t>intellectus speculativus</w:t>
      </w:r>
      <w:r>
        <w:rPr>
          <w:i/>
        </w:rPr>
        <w:fldChar w:fldCharType="begin"/>
      </w:r>
      <w:r>
        <w:instrText xml:space="preserve"> XE "</w:instrText>
      </w:r>
      <w:r w:rsidR="0821155B">
        <w:rPr>
          <w:i/>
        </w:rPr>
        <w:instrText>intellectus speculativus</w:instrText>
      </w:r>
      <w:r>
        <w:instrText xml:space="preserve">" </w:instrText>
      </w:r>
      <w:r>
        <w:rPr>
          <w:i/>
        </w:rPr>
        <w:fldChar w:fldCharType="end"/>
      </w:r>
      <w:r>
        <w:t xml:space="preserve">. </w:t>
      </w:r>
      <w:r w:rsidRPr="00273106">
        <w:t xml:space="preserve">Rufus na rozdíl od citovaných autorit </w:t>
      </w:r>
      <w:r>
        <w:t xml:space="preserve">determinuje </w:t>
      </w:r>
      <w:r w:rsidRPr="00273106">
        <w:t>poznání reálné substance skrze</w:t>
      </w:r>
      <w:r>
        <w:t xml:space="preserve"> kolektu </w:t>
      </w:r>
      <w:r w:rsidRPr="00273106">
        <w:t>fo</w:t>
      </w:r>
      <w:r>
        <w:t xml:space="preserve">rmálních </w:t>
      </w:r>
      <w:r w:rsidR="004B4D52" w:rsidRPr="004B4D52">
        <w:t>species</w:t>
      </w:r>
      <w:r w:rsidR="00621046">
        <w:t>.</w:t>
      </w:r>
    </w:p>
    <w:p w14:paraId="2481593B" w14:textId="3743E65E" w:rsidR="00853B6C" w:rsidRDefault="08313FAC" w:rsidP="00621046">
      <w:pPr>
        <w:ind w:firstLine="397"/>
      </w:pPr>
      <w:r>
        <w:t xml:space="preserve">První substance vzniká v rámci </w:t>
      </w:r>
      <w:r w:rsidR="08902B16">
        <w:t xml:space="preserve">mytopoetické </w:t>
      </w:r>
      <w:r w:rsidRPr="00273106">
        <w:rPr>
          <w:i/>
        </w:rPr>
        <w:t>conferentia</w:t>
      </w:r>
      <w:r>
        <w:t xml:space="preserve"> modernistů, což je pozoruhodný výkon </w:t>
      </w:r>
      <w:r w:rsidR="08902B16">
        <w:t xml:space="preserve">vědeckého </w:t>
      </w:r>
      <w:r>
        <w:t>myšlení</w:t>
      </w:r>
      <w:r w:rsidR="08E62E80">
        <w:t xml:space="preserve"> platný </w:t>
      </w:r>
      <w:r w:rsidR="08EC29D4">
        <w:t xml:space="preserve">pod vedením kongresově zdatných Fúrií až </w:t>
      </w:r>
      <w:r w:rsidR="08E62E80">
        <w:t>dodnes</w:t>
      </w:r>
      <w:r>
        <w:t>. Rufusovo o</w:t>
      </w:r>
      <w:r w:rsidRPr="00273106">
        <w:t xml:space="preserve">dvolání na </w:t>
      </w:r>
      <w:r>
        <w:t>Porfyri</w:t>
      </w:r>
      <w:r w:rsidRPr="00273106">
        <w:t>a a na Ari</w:t>
      </w:r>
      <w:r>
        <w:t>stotela není na místě. P</w:t>
      </w:r>
      <w:r w:rsidRPr="00273106">
        <w:t xml:space="preserve">růběh poznání </w:t>
      </w:r>
      <w:r w:rsidR="089B370B">
        <w:t xml:space="preserve">u nich </w:t>
      </w:r>
      <w:r>
        <w:t>určují</w:t>
      </w:r>
      <w:r w:rsidRPr="00273106">
        <w:t xml:space="preserve"> </w:t>
      </w:r>
      <w:r>
        <w:t xml:space="preserve">v modu </w:t>
      </w:r>
      <w:r w:rsidRPr="00D0621B">
        <w:rPr>
          <w:i/>
        </w:rPr>
        <w:t>per principia exterius</w:t>
      </w:r>
      <w:r w:rsidRPr="00273106">
        <w:t xml:space="preserve"> </w:t>
      </w:r>
      <w:r>
        <w:t xml:space="preserve">pouze </w:t>
      </w:r>
      <w:r w:rsidRPr="00273106">
        <w:t xml:space="preserve">první substance, i když ji nejprve poznáváme skrze akcidenty. </w:t>
      </w:r>
      <w:r w:rsidR="080B0C47">
        <w:t xml:space="preserve">Ale vědecké poznání v rámci </w:t>
      </w:r>
      <w:r w:rsidR="080B0C47" w:rsidRPr="080B0C47">
        <w:rPr>
          <w:i/>
        </w:rPr>
        <w:t>demonstratio</w:t>
      </w:r>
      <w:r w:rsidR="080B0C47">
        <w:t xml:space="preserve"> </w:t>
      </w:r>
      <w:r w:rsidR="080B24EA">
        <w:t xml:space="preserve">musí predikovat </w:t>
      </w:r>
      <w:r w:rsidR="080B0C47">
        <w:t xml:space="preserve">kauzalitu danou </w:t>
      </w:r>
      <w:r w:rsidR="08FB4F24">
        <w:t xml:space="preserve">přímým působením </w:t>
      </w:r>
      <w:r w:rsidR="080B0C47">
        <w:t>první</w:t>
      </w:r>
      <w:r w:rsidR="08FB4F24">
        <w:t>ch substancí</w:t>
      </w:r>
      <w:r w:rsidR="080B0C47">
        <w:t>, jinak by vědecké poznání nebylo univerzálně a adekvátně pravdivé</w:t>
      </w:r>
      <w:r w:rsidR="08F974FB">
        <w:t xml:space="preserve"> v rámci daného rodu</w:t>
      </w:r>
      <w:r w:rsidR="080B0C47">
        <w:t xml:space="preserve">. </w:t>
      </w:r>
      <w:r>
        <w:t>U</w:t>
      </w:r>
      <w:r w:rsidRPr="00273106">
        <w:t xml:space="preserve">nivoční kategoriální predikace </w:t>
      </w:r>
      <w:r w:rsidR="00716584">
        <w:t xml:space="preserve">je daná jako universální supozice, která se skrze </w:t>
      </w:r>
      <w:r>
        <w:t>impo</w:t>
      </w:r>
      <w:r w:rsidR="00716584">
        <w:t xml:space="preserve">zici vztahuje </w:t>
      </w:r>
      <w:r w:rsidRPr="00273106">
        <w:t>ke druhé substanci</w:t>
      </w:r>
      <w:r w:rsidR="00716584">
        <w:t xml:space="preserve">. Ta </w:t>
      </w:r>
      <w:r w:rsidRPr="00273106">
        <w:t xml:space="preserve">tvoří </w:t>
      </w:r>
      <w:r w:rsidRPr="00273106">
        <w:rPr>
          <w:i/>
        </w:rPr>
        <w:t>subiectum</w:t>
      </w:r>
      <w:r>
        <w:rPr>
          <w:i/>
        </w:rPr>
        <w:fldChar w:fldCharType="begin"/>
      </w:r>
      <w:r>
        <w:instrText xml:space="preserve"> XE "</w:instrText>
      </w:r>
      <w:r w:rsidRPr="00360013">
        <w:rPr>
          <w:i/>
        </w:rPr>
        <w:instrText>subiectum:</w:instrText>
      </w:r>
      <w:r w:rsidRPr="00AA5A31">
        <w:instrText>Rufus</w:instrText>
      </w:r>
      <w:r>
        <w:instrText xml:space="preserve">" </w:instrText>
      </w:r>
      <w:r>
        <w:rPr>
          <w:i/>
        </w:rPr>
        <w:fldChar w:fldCharType="end"/>
      </w:r>
      <w:r w:rsidR="08B978C3">
        <w:t xml:space="preserve"> vědecké výpovědi. V </w:t>
      </w:r>
      <w:r>
        <w:t xml:space="preserve">modu supozice </w:t>
      </w:r>
      <w:r w:rsidR="00716584">
        <w:t>pa</w:t>
      </w:r>
      <w:r w:rsidR="00985E54">
        <w:t>k</w:t>
      </w:r>
      <w:r w:rsidR="00505260">
        <w:t xml:space="preserve"> druhá substance </w:t>
      </w:r>
      <w:r w:rsidR="00716584">
        <w:t xml:space="preserve">„drží místo“ </w:t>
      </w:r>
      <w:r>
        <w:t>(</w:t>
      </w:r>
      <w:r w:rsidRPr="008E5A7C">
        <w:rPr>
          <w:i/>
        </w:rPr>
        <w:t>supponit pro</w:t>
      </w:r>
      <w:r w:rsidR="080F6E83">
        <w:rPr>
          <w:rStyle w:val="TextpoznpodarouChar"/>
          <w:i/>
        </w:rPr>
        <w:fldChar w:fldCharType="begin"/>
      </w:r>
      <w:r w:rsidR="080F6E83">
        <w:instrText xml:space="preserve"> XE "</w:instrText>
      </w:r>
      <w:r w:rsidR="080F6E83" w:rsidRPr="08A13CE7">
        <w:rPr>
          <w:rStyle w:val="TextpoznpodarouChar"/>
          <w:i/>
        </w:rPr>
        <w:instrText>supponit pro</w:instrText>
      </w:r>
      <w:r w:rsidR="080F6E83">
        <w:instrText xml:space="preserve">" </w:instrText>
      </w:r>
      <w:r w:rsidR="080F6E83">
        <w:rPr>
          <w:rStyle w:val="TextpoznpodarouChar"/>
          <w:i/>
        </w:rPr>
        <w:fldChar w:fldCharType="end"/>
      </w:r>
      <w:r>
        <w:t>)</w:t>
      </w:r>
      <w:r w:rsidR="00716584">
        <w:t xml:space="preserve"> vlastnostem </w:t>
      </w:r>
      <w:r>
        <w:t>první substance</w:t>
      </w:r>
      <w:r w:rsidR="00716584">
        <w:t xml:space="preserve">. Ty jsou </w:t>
      </w:r>
      <w:r>
        <w:t>nyní predikované univerzálně v kategoriální predikaci druhé substance a jejíc</w:t>
      </w:r>
      <w:r w:rsidR="08DC55F7">
        <w:t xml:space="preserve">h akcidentů. Rufus udělal z první a druhé substance porretánské individuum. </w:t>
      </w:r>
      <w:r w:rsidR="006643C0" w:rsidRPr="00273106">
        <w:t xml:space="preserve">Každé individuum </w:t>
      </w:r>
      <w:r w:rsidR="001C49CE">
        <w:t xml:space="preserve">je podle Rufuse dáno v původní jednoduchosti individua složeného z první a druhé substance </w:t>
      </w:r>
      <w:r w:rsidR="006643C0" w:rsidRPr="00273106">
        <w:t>(</w:t>
      </w:r>
      <w:r w:rsidR="001C49CE" w:rsidRPr="00273106">
        <w:rPr>
          <w:i/>
        </w:rPr>
        <w:t>simpliciter et ex necessitate</w:t>
      </w:r>
      <w:r w:rsidR="001C49CE">
        <w:t xml:space="preserve">, </w:t>
      </w:r>
      <w:r w:rsidR="006643C0" w:rsidRPr="00273106">
        <w:rPr>
          <w:i/>
        </w:rPr>
        <w:t>In APos</w:t>
      </w:r>
      <w:r w:rsidR="006643C0" w:rsidRPr="00273106">
        <w:t xml:space="preserve"> 1.2.S6.ad1</w:t>
      </w:r>
      <w:r w:rsidR="009F7BF6">
        <w:fldChar w:fldCharType="begin"/>
      </w:r>
      <w:r w:rsidR="009F7BF6">
        <w:instrText xml:space="preserve"> XE "Rufus:</w:instrText>
      </w:r>
      <w:r w:rsidR="009F7BF6" w:rsidRPr="00450652">
        <w:rPr>
          <w:i/>
        </w:rPr>
        <w:instrText>In APos</w:instrText>
      </w:r>
      <w:r w:rsidR="009F7BF6" w:rsidRPr="00450652">
        <w:instrText xml:space="preserve"> 1.2.S6.ad1</w:instrText>
      </w:r>
      <w:r w:rsidR="009F7BF6">
        <w:instrText xml:space="preserve">" </w:instrText>
      </w:r>
      <w:r w:rsidR="009F7BF6">
        <w:fldChar w:fldCharType="end"/>
      </w:r>
      <w:r w:rsidR="006643C0" w:rsidRPr="00273106">
        <w:t>).</w:t>
      </w:r>
      <w:r w:rsidR="006643C0">
        <w:t xml:space="preserve"> </w:t>
      </w:r>
      <w:r w:rsidR="006E43B1" w:rsidRPr="00273106">
        <w:t xml:space="preserve">První představitelé </w:t>
      </w:r>
      <w:r w:rsidR="006E43B1" w:rsidRPr="004F100F">
        <w:rPr>
          <w:i/>
        </w:rPr>
        <w:t>Oxfordian Fallacy</w:t>
      </w:r>
      <w:r w:rsidR="006E43B1">
        <w:t xml:space="preserve"> </w:t>
      </w:r>
      <w:r w:rsidR="006E43B1" w:rsidRPr="00273106">
        <w:t>postavili vztah k realitě na hlavu, protože zajistili poznání reálné věci pomocí esenciální dedukce z věčných</w:t>
      </w:r>
      <w:r w:rsidR="006E43B1">
        <w:t xml:space="preserve"> exemplarů a z principů poznání daných v duši </w:t>
      </w:r>
      <w:r w:rsidR="006E43B1" w:rsidRPr="0091024B">
        <w:t>hypostaticky a substanciálně</w:t>
      </w:r>
      <w:r w:rsidR="006E43B1">
        <w:t>.</w:t>
      </w:r>
      <w:r w:rsidR="006E43B1" w:rsidRPr="00273106">
        <w:t xml:space="preserve"> </w:t>
      </w:r>
      <w:r w:rsidR="089C7E53">
        <w:t xml:space="preserve">Paranoickou mysl Moderních osvěcuje intelekt-slunce a tato sluneční cesta Moderních je nyní dána v plné podobě její múzické </w:t>
      </w:r>
      <w:r w:rsidR="089C7E53" w:rsidRPr="089C7E53">
        <w:rPr>
          <w:i/>
        </w:rPr>
        <w:t>alétheia</w:t>
      </w:r>
      <w:r w:rsidR="089C7E53">
        <w:t xml:space="preserve">, tedy v modu epochální metafyzické </w:t>
      </w:r>
      <w:r w:rsidR="089C7E53">
        <w:rPr>
          <w:i/>
        </w:rPr>
        <w:t>Irre</w:t>
      </w:r>
      <w:r w:rsidR="089C7E53">
        <w:rPr>
          <w:i/>
        </w:rPr>
        <w:fldChar w:fldCharType="begin"/>
      </w:r>
      <w:r w:rsidR="089C7E53">
        <w:instrText xml:space="preserve"> XE "</w:instrText>
      </w:r>
      <w:r w:rsidR="089C7E53">
        <w:rPr>
          <w:i/>
        </w:rPr>
        <w:instrText>Irre</w:instrText>
      </w:r>
      <w:r w:rsidR="089C7E53">
        <w:instrText xml:space="preserve">" </w:instrText>
      </w:r>
      <w:r w:rsidR="089C7E53">
        <w:rPr>
          <w:i/>
        </w:rPr>
        <w:fldChar w:fldCharType="end"/>
      </w:r>
      <w:r w:rsidR="089C7E53">
        <w:t xml:space="preserve">. </w:t>
      </w:r>
      <w:r w:rsidR="00D948B3">
        <w:t>M</w:t>
      </w:r>
      <w:r w:rsidR="006E43B1">
        <w:t xml:space="preserve">oderní </w:t>
      </w:r>
      <w:r w:rsidR="006E43B1" w:rsidRPr="00273106">
        <w:t xml:space="preserve">četba </w:t>
      </w:r>
      <w:r w:rsidR="006E43B1" w:rsidRPr="00D948B3">
        <w:rPr>
          <w:i/>
        </w:rPr>
        <w:t>Organonu</w:t>
      </w:r>
      <w:r w:rsidR="006E43B1" w:rsidRPr="00273106">
        <w:t xml:space="preserve"> chápe vědecké poznání </w:t>
      </w:r>
      <w:r w:rsidR="001C2336">
        <w:t xml:space="preserve">světa </w:t>
      </w:r>
      <w:r w:rsidR="006E43B1" w:rsidRPr="00273106">
        <w:t xml:space="preserve">jako nutný důsledek </w:t>
      </w:r>
      <w:r w:rsidR="006E43B1">
        <w:t xml:space="preserve">deduktivního soudu, v němž </w:t>
      </w:r>
      <w:r w:rsidR="00DD427A">
        <w:t xml:space="preserve">druhá substance </w:t>
      </w:r>
      <w:r w:rsidR="006E43B1">
        <w:t>a její formální kauzalita hraje roli středního členu</w:t>
      </w:r>
      <w:r w:rsidR="006E43B1" w:rsidRPr="00273106">
        <w:t xml:space="preserve">. </w:t>
      </w:r>
      <w:r w:rsidR="006E43B1">
        <w:t>Modernisté z</w:t>
      </w:r>
      <w:r w:rsidR="006E43B1" w:rsidRPr="00273106">
        <w:t xml:space="preserve">měnili existenci </w:t>
      </w:r>
      <w:r w:rsidR="006E43B1">
        <w:t xml:space="preserve">reálné věci </w:t>
      </w:r>
      <w:r w:rsidR="006E43B1" w:rsidRPr="00273106">
        <w:t>na kontingen</w:t>
      </w:r>
      <w:r w:rsidR="006E43B1">
        <w:t>tní akcident trvalé esence, a tím otevřeli cestu moderně</w:t>
      </w:r>
      <w:r w:rsidR="006E43B1" w:rsidRPr="00273106">
        <w:t xml:space="preserve">. </w:t>
      </w:r>
      <w:r w:rsidR="006E43B1" w:rsidRPr="00273106">
        <w:rPr>
          <w:rStyle w:val="linemarker-marked-line"/>
        </w:rPr>
        <w:t xml:space="preserve">První substance se dostala až na konec poznání, místo aby stála na jejím začátku. </w:t>
      </w:r>
      <w:r w:rsidR="006E43B1" w:rsidRPr="00273106">
        <w:t xml:space="preserve">Proto byly pro první </w:t>
      </w:r>
      <w:r w:rsidR="006E43B1">
        <w:t xml:space="preserve">modernisty typu </w:t>
      </w:r>
      <w:r w:rsidR="006E43B1" w:rsidRPr="00273106">
        <w:t>Rufus</w:t>
      </w:r>
      <w:r w:rsidR="006E43B1">
        <w:t>e</w:t>
      </w:r>
      <w:r w:rsidR="006E43B1" w:rsidRPr="00273106">
        <w:t xml:space="preserve"> a Kilwardby</w:t>
      </w:r>
      <w:r w:rsidR="006E43B1">
        <w:t>ho</w:t>
      </w:r>
      <w:r w:rsidR="006E43B1" w:rsidRPr="00273106">
        <w:t xml:space="preserve"> důležité </w:t>
      </w:r>
      <w:r w:rsidR="006E43B1">
        <w:t xml:space="preserve">ty pasáže ze </w:t>
      </w:r>
      <w:r w:rsidR="006E43B1" w:rsidRPr="00415361">
        <w:rPr>
          <w:i/>
        </w:rPr>
        <w:t>Druhých analytik</w:t>
      </w:r>
      <w:r w:rsidR="006E43B1" w:rsidRPr="00273106">
        <w:t xml:space="preserve">, které ilustrují vědecké poznání na příkladech z geometrie a z aritmetiky. </w:t>
      </w:r>
      <w:r w:rsidR="006E43B1">
        <w:t>Rufus provedl zatmění první substance tím, že změnil</w:t>
      </w:r>
      <w:r w:rsidR="006E43B1" w:rsidRPr="00273106">
        <w:t xml:space="preserve"> pojetí substance na univoční jednotu, která nerozlišuje mezi bytím první substance v realitě a mezi druhou substancí danou kategoriálně v procesu poznání. Nasvícení smyslu jsoucna zezadu vytváří </w:t>
      </w:r>
      <w:r w:rsidR="00E41E6C">
        <w:t xml:space="preserve">onto-teologický </w:t>
      </w:r>
      <w:r w:rsidR="00AA4865">
        <w:t xml:space="preserve">synkretismus ve stylu </w:t>
      </w:r>
      <w:r w:rsidR="08F30667">
        <w:t>Anselma (kap. 1</w:t>
      </w:r>
      <w:r w:rsidR="006E43B1">
        <w:t>.2</w:t>
      </w:r>
      <w:r w:rsidR="006E43B1" w:rsidRPr="00273106">
        <w:t>). Tento neoplatonik spojil nominální a ekvivoční význam daný pojmově (</w:t>
      </w:r>
      <w:r w:rsidR="006E43B1" w:rsidRPr="00273106">
        <w:rPr>
          <w:i/>
        </w:rPr>
        <w:t>significatio</w:t>
      </w:r>
      <w:r w:rsidR="006E43B1" w:rsidRPr="00273106">
        <w:t>) s kategoriální demonstrací vědeckého soudu (</w:t>
      </w:r>
      <w:r w:rsidR="006E43B1" w:rsidRPr="00273106">
        <w:rPr>
          <w:i/>
        </w:rPr>
        <w:t>enuntiatio</w:t>
      </w:r>
      <w:r w:rsidR="006E43B1">
        <w:rPr>
          <w:i/>
        </w:rPr>
        <w:fldChar w:fldCharType="begin"/>
      </w:r>
      <w:r w:rsidR="006E43B1">
        <w:instrText xml:space="preserve"> XE "</w:instrText>
      </w:r>
      <w:r w:rsidR="006E43B1" w:rsidRPr="0038128E">
        <w:rPr>
          <w:i/>
        </w:rPr>
        <w:instrText>enuntiatio:</w:instrText>
      </w:r>
      <w:r w:rsidR="006E43B1">
        <w:instrText xml:space="preserve">Anselm" </w:instrText>
      </w:r>
      <w:r w:rsidR="006E43B1">
        <w:rPr>
          <w:i/>
        </w:rPr>
        <w:fldChar w:fldCharType="end"/>
      </w:r>
      <w:r w:rsidR="006E43B1" w:rsidRPr="00273106">
        <w:t>).</w:t>
      </w:r>
      <w:r w:rsidR="006E43B1">
        <w:t xml:space="preserve"> </w:t>
      </w:r>
      <w:r w:rsidR="006E43B1" w:rsidRPr="00273106">
        <w:t>Nové pojetí esence se promítlo do nominální defice (</w:t>
      </w:r>
      <w:r w:rsidR="006E43B1" w:rsidRPr="00273106">
        <w:rPr>
          <w:rStyle w:val="linemarker-marked-line"/>
          <w:i/>
        </w:rPr>
        <w:t>nomine definitionis</w:t>
      </w:r>
      <w:r w:rsidR="006E43B1" w:rsidRPr="00273106">
        <w:t>), o níž se vedl boj v přecházející matrici mezi Abelardem a porretány (</w:t>
      </w:r>
      <w:r w:rsidR="08F30667">
        <w:t>kap. 1</w:t>
      </w:r>
      <w:r w:rsidR="006E43B1">
        <w:t>.3</w:t>
      </w:r>
      <w:r w:rsidR="006E43B1" w:rsidRPr="00273106">
        <w:t>).</w:t>
      </w:r>
      <w:r w:rsidR="006E43B1">
        <w:t xml:space="preserve"> </w:t>
      </w:r>
      <w:r w:rsidR="006E43B1" w:rsidRPr="00273106">
        <w:t>Matematická abstrakce</w:t>
      </w:r>
      <w:r w:rsidR="006E43B1">
        <w:fldChar w:fldCharType="begin"/>
      </w:r>
      <w:r w:rsidR="006E43B1">
        <w:instrText xml:space="preserve"> XE "</w:instrText>
      </w:r>
      <w:r w:rsidR="006E43B1" w:rsidRPr="009B3D7D">
        <w:instrText>abstrakce:matematická</w:instrText>
      </w:r>
      <w:r w:rsidR="006E43B1">
        <w:instrText xml:space="preserve">" </w:instrText>
      </w:r>
      <w:r w:rsidR="006E43B1">
        <w:fldChar w:fldCharType="end"/>
      </w:r>
      <w:r w:rsidR="006E43B1" w:rsidRPr="00273106">
        <w:t xml:space="preserve"> však nedává poslední pojetí jednoty jsoucna, což analytičtí myslitelé na Oxfordu jako Kilwardby dobře věděli. Ve druhém patře matematické abstrakce</w:t>
      </w:r>
      <w:r w:rsidR="006E43B1">
        <w:fldChar w:fldCharType="begin"/>
      </w:r>
      <w:r w:rsidR="006E43B1">
        <w:instrText xml:space="preserve"> XE "</w:instrText>
      </w:r>
      <w:r w:rsidR="006E43B1" w:rsidRPr="00A824F0">
        <w:instrText>abstrakce:matematická</w:instrText>
      </w:r>
      <w:r w:rsidR="006E43B1">
        <w:instrText xml:space="preserve">" </w:instrText>
      </w:r>
      <w:r w:rsidR="006E43B1">
        <w:fldChar w:fldCharType="end"/>
      </w:r>
      <w:r w:rsidR="006E43B1" w:rsidRPr="00273106">
        <w:t xml:space="preserve"> neexistuje realita první substance. Avicenna </w:t>
      </w:r>
      <w:r w:rsidR="00EC4C1F">
        <w:t xml:space="preserve">naštěstí drží </w:t>
      </w:r>
      <w:r w:rsidR="006E43B1" w:rsidRPr="00273106">
        <w:t xml:space="preserve">jednotu bytí v nejvyšším modu metafyzické abstrakce </w:t>
      </w:r>
      <w:r w:rsidR="006E43B1" w:rsidRPr="00273106">
        <w:rPr>
          <w:i/>
        </w:rPr>
        <w:t>ens inquantum ens</w:t>
      </w:r>
      <w:r w:rsidR="006E43B1">
        <w:rPr>
          <w:i/>
        </w:rPr>
        <w:fldChar w:fldCharType="begin"/>
      </w:r>
      <w:r w:rsidR="006E43B1">
        <w:instrText xml:space="preserve"> XE "</w:instrText>
      </w:r>
      <w:r w:rsidR="006E43B1" w:rsidRPr="005424E2">
        <w:rPr>
          <w:i/>
        </w:rPr>
        <w:instrText>ens inquantum ens</w:instrText>
      </w:r>
      <w:r w:rsidR="006E43B1">
        <w:instrText xml:space="preserve">" </w:instrText>
      </w:r>
      <w:r w:rsidR="006E43B1">
        <w:rPr>
          <w:i/>
        </w:rPr>
        <w:fldChar w:fldCharType="end"/>
      </w:r>
      <w:r w:rsidR="006E43B1" w:rsidRPr="00273106">
        <w:t xml:space="preserve">. </w:t>
      </w:r>
      <w:r w:rsidR="006E43B1">
        <w:t>Rehabilitace metafyzické abstrakce představovala pro</w:t>
      </w:r>
      <w:r w:rsidR="006E43B1" w:rsidRPr="00273106">
        <w:t xml:space="preserve"> následující generaci </w:t>
      </w:r>
      <w:r w:rsidR="006E43B1">
        <w:t xml:space="preserve">moderních avicennistů </w:t>
      </w:r>
      <w:r w:rsidR="006E43B1" w:rsidRPr="00273106">
        <w:t xml:space="preserve">výzvu k tvorbě nové metafyziky, kterou </w:t>
      </w:r>
      <w:r w:rsidR="006E43B1">
        <w:t>úspěšně završil Duns Scotus</w:t>
      </w:r>
      <w:r w:rsidR="006E43B1" w:rsidRPr="00273106">
        <w:t>.</w:t>
      </w:r>
    </w:p>
    <w:p w14:paraId="0C577D53" w14:textId="43CECBFB" w:rsidR="00B139A4" w:rsidRDefault="00853B6C" w:rsidP="00DD036C">
      <w:pPr>
        <w:ind w:firstLine="397"/>
      </w:pPr>
      <w:r>
        <w:rPr>
          <w:rStyle w:val="linemarker-marked-line"/>
        </w:rPr>
        <w:t>M</w:t>
      </w:r>
      <w:r w:rsidR="087E7D7E">
        <w:rPr>
          <w:rStyle w:val="linemarker-marked-line"/>
        </w:rPr>
        <w:t xml:space="preserve">oderní pojetí individuality a postmoderního individualismu se stalo vládnoucí planetární ideologií Západu. Reálně existující osoba </w:t>
      </w:r>
      <w:r w:rsidR="087E7D7E" w:rsidRPr="00273106">
        <w:rPr>
          <w:rStyle w:val="linemarker-marked-line"/>
        </w:rPr>
        <w:t xml:space="preserve">nemá žádné místo v moderní definici </w:t>
      </w:r>
      <w:r w:rsidR="087E7D7E">
        <w:rPr>
          <w:rStyle w:val="linemarker-marked-line"/>
        </w:rPr>
        <w:t xml:space="preserve">objektivně pojatého humanismu. </w:t>
      </w:r>
      <w:r w:rsidR="00604AC6">
        <w:rPr>
          <w:rStyle w:val="linemarker-marked-line"/>
        </w:rPr>
        <w:t xml:space="preserve">Existující osoba se stala reziduálním zbytkem při dělení objektivního významu animality, v nímž si moderní iluminát </w:t>
      </w:r>
      <w:r w:rsidR="00DE789E">
        <w:rPr>
          <w:rStyle w:val="linemarker-marked-line"/>
        </w:rPr>
        <w:t xml:space="preserve">ve </w:t>
      </w:r>
      <w:r w:rsidR="00604AC6">
        <w:rPr>
          <w:rStyle w:val="linemarker-marked-line"/>
        </w:rPr>
        <w:t>škol</w:t>
      </w:r>
      <w:r w:rsidR="00DE789E">
        <w:rPr>
          <w:rStyle w:val="linemarker-marked-line"/>
        </w:rPr>
        <w:t>ách</w:t>
      </w:r>
      <w:r w:rsidR="00604AC6">
        <w:rPr>
          <w:rStyle w:val="linemarker-marked-line"/>
        </w:rPr>
        <w:t xml:space="preserve"> </w:t>
      </w:r>
      <w:r w:rsidR="00604AC6" w:rsidRPr="080C1152">
        <w:rPr>
          <w:rStyle w:val="linemarker-marked-line"/>
          <w:i/>
        </w:rPr>
        <w:t>Grammatici</w:t>
      </w:r>
      <w:r w:rsidR="00604AC6">
        <w:rPr>
          <w:rStyle w:val="linemarker-marked-line"/>
        </w:rPr>
        <w:t xml:space="preserve"> neví rady </w:t>
      </w:r>
      <w:r w:rsidR="00604AC6">
        <w:t>(</w:t>
      </w:r>
      <w:r w:rsidR="00604AC6" w:rsidRPr="08957C57">
        <w:rPr>
          <w:i/>
        </w:rPr>
        <w:t>compositum ex animali et quodam residuo</w:t>
      </w:r>
      <w:r w:rsidR="00604AC6" w:rsidRPr="08CE5971">
        <w:t>, ka</w:t>
      </w:r>
      <w:r w:rsidR="00604AC6">
        <w:t>p. 2</w:t>
      </w:r>
      <w:r w:rsidR="00604AC6" w:rsidRPr="08CE5971">
        <w:t>.3.2</w:t>
      </w:r>
      <w:r w:rsidR="00604AC6">
        <w:t>)</w:t>
      </w:r>
      <w:r w:rsidR="00604AC6">
        <w:rPr>
          <w:rStyle w:val="linemarker-marked-line"/>
        </w:rPr>
        <w:t xml:space="preserve">. Proto se matematika stala v porretánském modu </w:t>
      </w:r>
      <w:r w:rsidR="00DE789E">
        <w:rPr>
          <w:rStyle w:val="linemarker-marked-line"/>
        </w:rPr>
        <w:t>„</w:t>
      </w:r>
      <w:r w:rsidR="00604AC6" w:rsidRPr="00D37062">
        <w:rPr>
          <w:rStyle w:val="linemarker-marked-line"/>
          <w:i/>
        </w:rPr>
        <w:t>semel</w:t>
      </w:r>
      <w:r w:rsidR="00604AC6">
        <w:rPr>
          <w:rStyle w:val="linemarker-marked-line"/>
        </w:rPr>
        <w:t>‒</w:t>
      </w:r>
      <w:r w:rsidR="00604AC6" w:rsidRPr="00D37062">
        <w:rPr>
          <w:rStyle w:val="linemarker-marked-line"/>
          <w:i/>
        </w:rPr>
        <w:t>semper</w:t>
      </w:r>
      <w:r w:rsidR="00DE789E">
        <w:rPr>
          <w:rStyle w:val="linemarker-marked-line"/>
        </w:rPr>
        <w:t>“</w:t>
      </w:r>
      <w:r w:rsidR="00604AC6">
        <w:rPr>
          <w:rStyle w:val="linemarker-marked-line"/>
          <w:i/>
        </w:rPr>
        <w:fldChar w:fldCharType="begin"/>
      </w:r>
      <w:r w:rsidR="00604AC6">
        <w:instrText xml:space="preserve"> XE "predikace:</w:instrText>
      </w:r>
      <w:r w:rsidR="00604AC6">
        <w:rPr>
          <w:rStyle w:val="linemarker-marked-line"/>
          <w:i/>
        </w:rPr>
        <w:instrText>semel‒semper</w:instrText>
      </w:r>
      <w:r w:rsidR="00604AC6">
        <w:instrText xml:space="preserve">" </w:instrText>
      </w:r>
      <w:r w:rsidR="00604AC6">
        <w:rPr>
          <w:rStyle w:val="linemarker-marked-line"/>
          <w:i/>
        </w:rPr>
        <w:fldChar w:fldCharType="end"/>
      </w:r>
      <w:r w:rsidR="00604AC6">
        <w:rPr>
          <w:rStyle w:val="linemarker-marked-line"/>
        </w:rPr>
        <w:t xml:space="preserve"> a </w:t>
      </w:r>
      <w:r w:rsidR="00DE789E">
        <w:rPr>
          <w:rStyle w:val="linemarker-marked-line"/>
        </w:rPr>
        <w:t>„</w:t>
      </w:r>
      <w:r w:rsidR="00604AC6" w:rsidRPr="00543A6A">
        <w:rPr>
          <w:rStyle w:val="linemarker-marked-line"/>
          <w:i/>
        </w:rPr>
        <w:t>discrete videamus</w:t>
      </w:r>
      <w:r w:rsidR="00DE789E">
        <w:rPr>
          <w:rStyle w:val="linemarker-marked-line"/>
        </w:rPr>
        <w:t>“</w:t>
      </w:r>
      <w:r w:rsidR="00604AC6">
        <w:rPr>
          <w:rStyle w:val="linemarker-marked-line"/>
          <w:i/>
        </w:rPr>
        <w:fldChar w:fldCharType="begin"/>
      </w:r>
      <w:r w:rsidR="00604AC6">
        <w:instrText xml:space="preserve"> XE "</w:instrText>
      </w:r>
      <w:r w:rsidR="00604AC6" w:rsidRPr="00E90B20">
        <w:rPr>
          <w:i/>
        </w:rPr>
        <w:instrText>discrete videamus</w:instrText>
      </w:r>
      <w:r w:rsidR="00604AC6">
        <w:instrText xml:space="preserve">" </w:instrText>
      </w:r>
      <w:r w:rsidR="00604AC6">
        <w:rPr>
          <w:rStyle w:val="linemarker-marked-line"/>
          <w:i/>
        </w:rPr>
        <w:fldChar w:fldCharType="end"/>
      </w:r>
      <w:r w:rsidR="00604AC6">
        <w:rPr>
          <w:rStyle w:val="linemarker-marked-line"/>
        </w:rPr>
        <w:t xml:space="preserve"> novým náboženstvím moderny. </w:t>
      </w:r>
      <w:r w:rsidR="00DE789E">
        <w:rPr>
          <w:rStyle w:val="linemarker-marked-line"/>
        </w:rPr>
        <w:t>Toto p</w:t>
      </w:r>
      <w:r w:rsidR="08A1460B">
        <w:rPr>
          <w:rStyle w:val="linemarker-marked-line"/>
        </w:rPr>
        <w:t>aranoické vidění reality</w:t>
      </w:r>
      <w:r w:rsidR="087E7D7E">
        <w:rPr>
          <w:rStyle w:val="linemarker-marked-line"/>
        </w:rPr>
        <w:t xml:space="preserve"> a osoby</w:t>
      </w:r>
      <w:r w:rsidR="00025A7C">
        <w:rPr>
          <w:rStyle w:val="linemarker-marked-line"/>
        </w:rPr>
        <w:t xml:space="preserve"> </w:t>
      </w:r>
      <w:r w:rsidR="08A1460B">
        <w:rPr>
          <w:rStyle w:val="linemarker-marked-line"/>
        </w:rPr>
        <w:t>Bacon považoval za šílené a Albert za směšné</w:t>
      </w:r>
      <w:r w:rsidR="00025A7C">
        <w:rPr>
          <w:rStyle w:val="linemarker-marked-line"/>
        </w:rPr>
        <w:t xml:space="preserve">. </w:t>
      </w:r>
      <w:r w:rsidR="08861AA5">
        <w:rPr>
          <w:rStyle w:val="linemarker-marked-line"/>
        </w:rPr>
        <w:t>Osoba se stala nadbytečnou</w:t>
      </w:r>
      <w:r w:rsidR="08861AA5" w:rsidRPr="00273106">
        <w:rPr>
          <w:rStyle w:val="linemarker-marked-line"/>
        </w:rPr>
        <w:t xml:space="preserve"> </w:t>
      </w:r>
      <w:r w:rsidR="085A37FA">
        <w:rPr>
          <w:rStyle w:val="linemarker-marked-line"/>
        </w:rPr>
        <w:t xml:space="preserve">přítěží </w:t>
      </w:r>
      <w:r w:rsidR="08861AA5">
        <w:rPr>
          <w:rStyle w:val="linemarker-marked-line"/>
        </w:rPr>
        <w:t xml:space="preserve">v obou světových válkách či </w:t>
      </w:r>
      <w:r w:rsidR="08861AA5" w:rsidRPr="00273106">
        <w:rPr>
          <w:rStyle w:val="linemarker-marked-line"/>
        </w:rPr>
        <w:t>ve vyhlazovacích táborech totalitních rež</w:t>
      </w:r>
      <w:r w:rsidR="085A37FA">
        <w:rPr>
          <w:rStyle w:val="linemarker-marked-line"/>
        </w:rPr>
        <w:t>imů XX. století (L</w:t>
      </w:r>
      <w:r w:rsidR="08F30667">
        <w:rPr>
          <w:rStyle w:val="linemarker-marked-line"/>
        </w:rPr>
        <w:t xml:space="preserve">efort 1986a). </w:t>
      </w:r>
      <w:r w:rsidR="080C1152">
        <w:rPr>
          <w:rStyle w:val="linemarker-marked-line"/>
        </w:rPr>
        <w:t xml:space="preserve">Noví exponenti korporátního kapitalismu a fašismu dokonali vizi objektivního humanismu a úspěšně nahradili akademickou fikci oxfordské </w:t>
      </w:r>
      <w:r w:rsidR="080C1152" w:rsidRPr="086A58B6">
        <w:rPr>
          <w:rStyle w:val="linemarker-marked-line"/>
          <w:i/>
        </w:rPr>
        <w:t>intelligentia spiritualis</w:t>
      </w:r>
      <w:r w:rsidR="080C1152">
        <w:rPr>
          <w:rStyle w:val="linemarker-marked-line"/>
        </w:rPr>
        <w:t>. Ideologicky danou „exsistenci“ člověka v epoše neoliberáln</w:t>
      </w:r>
      <w:r w:rsidR="08E10D5D">
        <w:rPr>
          <w:rStyle w:val="linemarker-marked-line"/>
        </w:rPr>
        <w:t xml:space="preserve">ího kapitalismu </w:t>
      </w:r>
      <w:r w:rsidR="00095E8D">
        <w:rPr>
          <w:rStyle w:val="linemarker-marked-line"/>
        </w:rPr>
        <w:t xml:space="preserve">manipuluje </w:t>
      </w:r>
      <w:r w:rsidR="00DE789E">
        <w:rPr>
          <w:rStyle w:val="linemarker-marked-line"/>
        </w:rPr>
        <w:t xml:space="preserve">biopolitika </w:t>
      </w:r>
      <w:r w:rsidR="08E10D5D">
        <w:rPr>
          <w:rStyle w:val="linemarker-marked-line"/>
        </w:rPr>
        <w:t xml:space="preserve">globálních </w:t>
      </w:r>
      <w:r w:rsidR="00DE789E">
        <w:rPr>
          <w:rStyle w:val="linemarker-marked-line"/>
        </w:rPr>
        <w:t>„</w:t>
      </w:r>
      <w:r w:rsidR="08E10D5D">
        <w:rPr>
          <w:rStyle w:val="linemarker-marked-line"/>
        </w:rPr>
        <w:t>lidských zdrojů</w:t>
      </w:r>
      <w:r w:rsidR="00DE789E">
        <w:rPr>
          <w:rStyle w:val="linemarker-marked-line"/>
        </w:rPr>
        <w:t>“</w:t>
      </w:r>
      <w:r w:rsidR="080C1152">
        <w:rPr>
          <w:rStyle w:val="linemarker-marked-line"/>
        </w:rPr>
        <w:fldChar w:fldCharType="begin"/>
      </w:r>
      <w:r w:rsidR="080C1152">
        <w:instrText xml:space="preserve"> XE "</w:instrText>
      </w:r>
      <w:r w:rsidR="080C1152" w:rsidRPr="00545767">
        <w:instrText>osoba:lidské zdroje</w:instrText>
      </w:r>
      <w:r w:rsidR="080C1152">
        <w:instrText xml:space="preserve">" </w:instrText>
      </w:r>
      <w:r w:rsidR="080C1152">
        <w:rPr>
          <w:rStyle w:val="linemarker-marked-line"/>
        </w:rPr>
        <w:fldChar w:fldCharType="end"/>
      </w:r>
      <w:r w:rsidR="080C1152">
        <w:rPr>
          <w:rStyle w:val="linemarker-marked-line"/>
        </w:rPr>
        <w:t>. Po smrti moderního boha</w:t>
      </w:r>
      <w:r w:rsidR="080C1152">
        <w:rPr>
          <w:color w:val="000000"/>
        </w:rPr>
        <w:fldChar w:fldCharType="begin"/>
      </w:r>
      <w:r w:rsidR="080C1152">
        <w:instrText xml:space="preserve"> XE "smrt boha" </w:instrText>
      </w:r>
      <w:r w:rsidR="080C1152">
        <w:rPr>
          <w:color w:val="000000"/>
        </w:rPr>
        <w:fldChar w:fldCharType="end"/>
      </w:r>
      <w:r w:rsidR="08E10D5D">
        <w:rPr>
          <w:rStyle w:val="linemarker-marked-line"/>
        </w:rPr>
        <w:t xml:space="preserve"> spravují tyto </w:t>
      </w:r>
      <w:r w:rsidR="00257247">
        <w:rPr>
          <w:rStyle w:val="linemarker-marked-line"/>
        </w:rPr>
        <w:t>„</w:t>
      </w:r>
      <w:r w:rsidR="08E10D5D">
        <w:rPr>
          <w:rStyle w:val="linemarker-marked-line"/>
        </w:rPr>
        <w:t>lidské zdroje</w:t>
      </w:r>
      <w:r w:rsidR="00257247">
        <w:rPr>
          <w:rStyle w:val="linemarker-marked-line"/>
        </w:rPr>
        <w:t>“</w:t>
      </w:r>
      <w:r w:rsidR="080C1152">
        <w:rPr>
          <w:rStyle w:val="linemarker-marked-line"/>
        </w:rPr>
        <w:t xml:space="preserve"> nihilističtí ilumináti současného </w:t>
      </w:r>
      <w:r w:rsidR="00F303F0">
        <w:rPr>
          <w:rStyle w:val="linemarker-marked-line"/>
        </w:rPr>
        <w:t xml:space="preserve">neoliberálního </w:t>
      </w:r>
      <w:r w:rsidR="080C1152">
        <w:rPr>
          <w:rStyle w:val="linemarker-marked-line"/>
        </w:rPr>
        <w:t>kapitalismu provozovaného jedním procentem planetární oligarchie</w:t>
      </w:r>
      <w:r w:rsidR="089161D9">
        <w:rPr>
          <w:rStyle w:val="linemarker-marked-line"/>
        </w:rPr>
        <w:t xml:space="preserve"> a jedním promile banksterů</w:t>
      </w:r>
      <w:r w:rsidR="080C1152" w:rsidRPr="00273106">
        <w:rPr>
          <w:rStyle w:val="linemarker-marked-line"/>
        </w:rPr>
        <w:t>.</w:t>
      </w:r>
      <w:r w:rsidR="080C1152">
        <w:rPr>
          <w:rStyle w:val="linemarker-marked-line"/>
        </w:rPr>
        <w:t xml:space="preserve"> </w:t>
      </w:r>
      <w:r w:rsidR="088B4B2A">
        <w:rPr>
          <w:rStyle w:val="linemarker-marked-line"/>
        </w:rPr>
        <w:t xml:space="preserve">Současná forma této moderní </w:t>
      </w:r>
      <w:r w:rsidR="080C1152">
        <w:rPr>
          <w:rStyle w:val="linemarker-marked-line"/>
          <w:i/>
        </w:rPr>
        <w:t>mathesis univers</w:t>
      </w:r>
      <w:r w:rsidR="088B4B2A" w:rsidRPr="088B4B2A">
        <w:rPr>
          <w:rStyle w:val="linemarker-marked-line"/>
          <w:i/>
        </w:rPr>
        <w:t>alis</w:t>
      </w:r>
      <w:r w:rsidR="088B4B2A">
        <w:rPr>
          <w:rStyle w:val="linemarker-marked-line"/>
          <w:i/>
        </w:rPr>
        <w:fldChar w:fldCharType="begin"/>
      </w:r>
      <w:r w:rsidR="088B4B2A">
        <w:instrText xml:space="preserve"> XE "</w:instrText>
      </w:r>
      <w:r w:rsidR="088B4B2A" w:rsidRPr="08935507">
        <w:rPr>
          <w:rStyle w:val="linemarker-marked-line"/>
          <w:i/>
        </w:rPr>
        <w:instrText xml:space="preserve">mathesis </w:instrText>
      </w:r>
      <w:r w:rsidR="080C1152">
        <w:rPr>
          <w:rStyle w:val="linemarker-marked-line"/>
          <w:i/>
        </w:rPr>
        <w:instrText>univers</w:instrText>
      </w:r>
      <w:r w:rsidR="088B4B2A" w:rsidRPr="08935507">
        <w:rPr>
          <w:rStyle w:val="linemarker-marked-line"/>
          <w:i/>
        </w:rPr>
        <w:instrText>alis</w:instrText>
      </w:r>
      <w:r w:rsidR="088B4B2A">
        <w:instrText xml:space="preserve">" </w:instrText>
      </w:r>
      <w:r w:rsidR="088B4B2A">
        <w:rPr>
          <w:rStyle w:val="linemarker-marked-line"/>
          <w:i/>
        </w:rPr>
        <w:fldChar w:fldCharType="end"/>
      </w:r>
      <w:r w:rsidR="088B4B2A">
        <w:rPr>
          <w:rStyle w:val="linemarker-marked-line"/>
        </w:rPr>
        <w:t xml:space="preserve"> </w:t>
      </w:r>
      <w:r w:rsidR="080C1152">
        <w:rPr>
          <w:rStyle w:val="linemarker-marked-line"/>
        </w:rPr>
        <w:t>zakládá neoliberální ekonomii</w:t>
      </w:r>
      <w:r w:rsidR="0888396C">
        <w:rPr>
          <w:rStyle w:val="linemarker-marked-line"/>
        </w:rPr>
        <w:t xml:space="preserve">, protože </w:t>
      </w:r>
      <w:r w:rsidR="080C1152">
        <w:rPr>
          <w:rStyle w:val="linemarker-marked-line"/>
        </w:rPr>
        <w:t>i</w:t>
      </w:r>
      <w:r w:rsidR="08861AA5">
        <w:rPr>
          <w:rStyle w:val="linemarker-marked-line"/>
        </w:rPr>
        <w:t xml:space="preserve">lumináti </w:t>
      </w:r>
      <w:r w:rsidR="0888396C">
        <w:rPr>
          <w:rStyle w:val="linemarker-marked-line"/>
        </w:rPr>
        <w:t xml:space="preserve">vedení intelektem-slucem </w:t>
      </w:r>
      <w:r w:rsidR="08861AA5">
        <w:rPr>
          <w:rStyle w:val="linemarker-marked-line"/>
        </w:rPr>
        <w:t>po sed</w:t>
      </w:r>
      <w:r w:rsidR="080C1152">
        <w:rPr>
          <w:rStyle w:val="linemarker-marked-line"/>
        </w:rPr>
        <w:t xml:space="preserve">mi stoletích </w:t>
      </w:r>
      <w:r w:rsidR="0888396C">
        <w:rPr>
          <w:rStyle w:val="linemarker-marked-line"/>
        </w:rPr>
        <w:t xml:space="preserve">objektivní odyseje ducha </w:t>
      </w:r>
      <w:r w:rsidR="080C1152">
        <w:rPr>
          <w:rStyle w:val="linemarker-marked-line"/>
        </w:rPr>
        <w:t xml:space="preserve">změnili adresu. Přešli </w:t>
      </w:r>
      <w:r w:rsidR="08861AA5">
        <w:rPr>
          <w:rStyle w:val="linemarker-marked-line"/>
        </w:rPr>
        <w:t xml:space="preserve">z akademického Oxfordu do londýnské City a po obou světových válkách za oceán až do Wall Street. </w:t>
      </w:r>
      <w:bookmarkStart w:id="122" w:name="_Toc487234319"/>
      <w:bookmarkStart w:id="123" w:name="_Toc12558326"/>
      <w:r w:rsidR="00DD036C" w:rsidRPr="00DD036C">
        <w:t xml:space="preserve">Spekulativní myšlení </w:t>
      </w:r>
      <w:r w:rsidR="00DD036C" w:rsidRPr="00DD036C">
        <w:rPr>
          <w:i/>
        </w:rPr>
        <w:t>Modernorum</w:t>
      </w:r>
      <w:r w:rsidR="00DD036C">
        <w:t xml:space="preserve"> se zrcadlí ve vlastních</w:t>
      </w:r>
      <w:r w:rsidR="00DD036C" w:rsidRPr="00DD036C">
        <w:t xml:space="preserve"> </w:t>
      </w:r>
      <w:r w:rsidR="00DD036C" w:rsidRPr="00DD036C">
        <w:rPr>
          <w:i/>
        </w:rPr>
        <w:t>scibilia</w:t>
      </w:r>
      <w:r w:rsidR="00DD036C" w:rsidRPr="00DD036C">
        <w:t xml:space="preserve">, </w:t>
      </w:r>
      <w:r w:rsidR="00DD036C">
        <w:t>která objektivně zrcadlí burza v N</w:t>
      </w:r>
      <w:r w:rsidR="00DD036C" w:rsidRPr="00DD036C">
        <w:t>ew</w:t>
      </w:r>
      <w:r w:rsidR="00DD036C">
        <w:t xml:space="preserve"> Yorku</w:t>
      </w:r>
      <w:r w:rsidR="00DD036C" w:rsidRPr="00DD036C">
        <w:t xml:space="preserve">. Uvažováno v metafyzickém modu </w:t>
      </w:r>
      <w:r w:rsidR="00DD036C" w:rsidRPr="00DD036C">
        <w:rPr>
          <w:i/>
        </w:rPr>
        <w:t>certitudo</w:t>
      </w:r>
      <w:r w:rsidR="00DD036C" w:rsidRPr="00DD036C">
        <w:t xml:space="preserve"> a </w:t>
      </w:r>
      <w:r w:rsidR="00DD036C" w:rsidRPr="00DD036C">
        <w:rPr>
          <w:i/>
        </w:rPr>
        <w:t>rectitudo</w:t>
      </w:r>
      <w:r w:rsidR="00A53B55">
        <w:t>, postmoderna pozoruje objektivní burzovní realitu „hodnot“. Ty jsou pr</w:t>
      </w:r>
      <w:r w:rsidR="00DD036C" w:rsidRPr="00DD036C">
        <w:t>ediková</w:t>
      </w:r>
      <w:r w:rsidR="00A53B55">
        <w:t>ny jako jisté a správné v modu „</w:t>
      </w:r>
      <w:r w:rsidR="00DD036C" w:rsidRPr="00A53B55">
        <w:rPr>
          <w:i/>
        </w:rPr>
        <w:t>dis</w:t>
      </w:r>
      <w:r w:rsidR="00A53B55" w:rsidRPr="00A53B55">
        <w:rPr>
          <w:i/>
        </w:rPr>
        <w:t>crete videamus</w:t>
      </w:r>
      <w:r w:rsidR="00A53B55">
        <w:t>“</w:t>
      </w:r>
      <w:r w:rsidR="00DD036C" w:rsidRPr="00DD036C">
        <w:t xml:space="preserve">. </w:t>
      </w:r>
      <w:r w:rsidR="009E7248">
        <w:t>Latinský</w:t>
      </w:r>
      <w:r w:rsidR="00DD036C" w:rsidRPr="00DD036C">
        <w:t xml:space="preserve"> Západ si vybudoval</w:t>
      </w:r>
      <w:r w:rsidR="009E7248">
        <w:t xml:space="preserve"> globální vesnici, aby byl</w:t>
      </w:r>
      <w:r w:rsidR="00DD036C" w:rsidRPr="00DD036C">
        <w:t xml:space="preserve"> </w:t>
      </w:r>
      <w:r w:rsidR="009E7248">
        <w:t xml:space="preserve">pořád </w:t>
      </w:r>
      <w:r w:rsidR="00DD036C" w:rsidRPr="00DD036C">
        <w:t xml:space="preserve">doma ve svém vlastním paranoidním světě. </w:t>
      </w:r>
      <w:r w:rsidR="00444A51">
        <w:t xml:space="preserve">Modernisté nemohou </w:t>
      </w:r>
      <w:r w:rsidR="00DD036C" w:rsidRPr="00DD036C">
        <w:t>žít ve skutečném světě</w:t>
      </w:r>
      <w:r w:rsidR="00444A51">
        <w:t xml:space="preserve">. </w:t>
      </w:r>
      <w:r w:rsidR="007A5FF0">
        <w:t>I</w:t>
      </w:r>
      <w:r w:rsidR="009E7248">
        <w:t>lumináti vedení pomstychtivými F</w:t>
      </w:r>
      <w:r w:rsidR="00DD036C" w:rsidRPr="00DD036C">
        <w:t xml:space="preserve">úriemi musí nutně zničit realitu, aby mohli nastolit utopii Nového světového řádu. Jde o ontologickou neurózu západní </w:t>
      </w:r>
      <w:r w:rsidR="00DD036C" w:rsidRPr="00164974">
        <w:rPr>
          <w:i/>
        </w:rPr>
        <w:t>intelligentia neoliberalis</w:t>
      </w:r>
      <w:r w:rsidR="00DD036C" w:rsidRPr="00DD036C">
        <w:t xml:space="preserve">, viz poslední kapitola o tragické podobě objektivního Oidipova komplexu (OBJ III, kap. 7). Myšlení </w:t>
      </w:r>
      <w:r w:rsidR="00DD036C" w:rsidRPr="002D444A">
        <w:rPr>
          <w:i/>
        </w:rPr>
        <w:t>Modernorum</w:t>
      </w:r>
      <w:r w:rsidR="00DD036C" w:rsidRPr="00DD036C">
        <w:t xml:space="preserve"> se zcela </w:t>
      </w:r>
      <w:r w:rsidR="002D444A">
        <w:t>adekvátně obdivuje v zrcadle svá</w:t>
      </w:r>
      <w:r w:rsidR="00DD036C" w:rsidRPr="00DD036C">
        <w:t xml:space="preserve"> vlastní </w:t>
      </w:r>
      <w:r w:rsidR="00DD036C" w:rsidRPr="002D444A">
        <w:rPr>
          <w:i/>
        </w:rPr>
        <w:t>scibilia</w:t>
      </w:r>
      <w:r w:rsidR="00DD036C" w:rsidRPr="00DD036C">
        <w:t xml:space="preserve">. Toto divadlo se stalo objektivním věděním dostupným v databázích a kótovaným na světových burzách, stejně jako v akademických indexech. Hermeneutika proto musí </w:t>
      </w:r>
      <w:r w:rsidR="00566B30" w:rsidRPr="00DD036C">
        <w:t xml:space="preserve">najít </w:t>
      </w:r>
      <w:r w:rsidR="00566B30">
        <w:t>v Rufusově díle</w:t>
      </w:r>
      <w:r w:rsidR="00DD036C" w:rsidRPr="00DD036C">
        <w:t xml:space="preserve"> základní </w:t>
      </w:r>
      <w:r w:rsidR="00DD036C" w:rsidRPr="00566B30">
        <w:rPr>
          <w:i/>
        </w:rPr>
        <w:t>Ereignis</w:t>
      </w:r>
      <w:r w:rsidR="00DD036C" w:rsidRPr="00DD036C">
        <w:t xml:space="preserve"> moderny. </w:t>
      </w:r>
      <w:r w:rsidR="00130ACC">
        <w:t xml:space="preserve">Rufus </w:t>
      </w:r>
      <w:r w:rsidR="00DD036C" w:rsidRPr="00DD036C">
        <w:t xml:space="preserve">změnil ambivalentní </w:t>
      </w:r>
      <w:r w:rsidR="00130ACC">
        <w:rPr>
          <w:i/>
        </w:rPr>
        <w:t>alé</w:t>
      </w:r>
      <w:r w:rsidR="00DD036C" w:rsidRPr="00130ACC">
        <w:rPr>
          <w:i/>
        </w:rPr>
        <w:t>theia</w:t>
      </w:r>
      <w:r w:rsidR="00DD036C" w:rsidRPr="00DD036C">
        <w:t xml:space="preserve"> skrytou v</w:t>
      </w:r>
      <w:r w:rsidR="003B1C74">
        <w:t>e</w:t>
      </w:r>
      <w:r w:rsidR="00DD036C" w:rsidRPr="00DD036C">
        <w:t xml:space="preserve"> </w:t>
      </w:r>
      <w:r w:rsidR="003B1C74" w:rsidRPr="00DD036C">
        <w:t xml:space="preserve">filosofii </w:t>
      </w:r>
      <w:r w:rsidR="00DD036C" w:rsidRPr="00DD036C">
        <w:t>Grosseteste</w:t>
      </w:r>
      <w:r w:rsidR="003B1C74">
        <w:t>ho</w:t>
      </w:r>
      <w:r w:rsidR="00DD036C" w:rsidRPr="00DD036C">
        <w:t xml:space="preserve"> na objektivní </w:t>
      </w:r>
      <w:r w:rsidR="00DD036C" w:rsidRPr="00130ACC">
        <w:rPr>
          <w:i/>
        </w:rPr>
        <w:t>veritas</w:t>
      </w:r>
      <w:r w:rsidR="00DD036C" w:rsidRPr="00DD036C">
        <w:t xml:space="preserve"> nové metafyziky.</w:t>
      </w:r>
    </w:p>
    <w:p w14:paraId="10EBB5E5" w14:textId="13D02FDB" w:rsidR="008B6B88" w:rsidRPr="00273106" w:rsidRDefault="00B139A4" w:rsidP="00B139A4">
      <w:pPr>
        <w:pStyle w:val="Nadpis3"/>
      </w:pPr>
      <w:r>
        <w:br w:type="page"/>
      </w:r>
      <w:bookmarkStart w:id="124" w:name="_Toc160449339"/>
      <w:r w:rsidR="08D20D28">
        <w:rPr>
          <w:lang w:val="cs-CZ"/>
        </w:rPr>
        <w:t>3</w:t>
      </w:r>
      <w:r w:rsidR="00BA74FA" w:rsidRPr="00273106">
        <w:t>.3</w:t>
      </w:r>
      <w:r w:rsidR="008B6B88" w:rsidRPr="00273106">
        <w:t xml:space="preserve">.2 </w:t>
      </w:r>
      <w:r w:rsidR="0063789E">
        <w:t>P</w:t>
      </w:r>
      <w:r w:rsidR="00067CEA">
        <w:t>ravda</w:t>
      </w:r>
      <w:r w:rsidR="0034210F">
        <w:t xml:space="preserve"> jako </w:t>
      </w:r>
      <w:r w:rsidR="0063789E">
        <w:t xml:space="preserve">moderní </w:t>
      </w:r>
      <w:r w:rsidR="08C90576">
        <w:t xml:space="preserve">asimilace a </w:t>
      </w:r>
      <w:r w:rsidR="00067CEA">
        <w:t>rovnost</w:t>
      </w:r>
      <w:bookmarkEnd w:id="122"/>
      <w:bookmarkEnd w:id="123"/>
      <w:bookmarkEnd w:id="124"/>
    </w:p>
    <w:p w14:paraId="53DFC918" w14:textId="77777777" w:rsidR="008E5CBD" w:rsidRDefault="009B0C66" w:rsidP="082B2511">
      <w:r>
        <w:t xml:space="preserve">Předešlé kapitoly našla fakt, který </w:t>
      </w:r>
      <w:r w:rsidRPr="00724149">
        <w:t>byl pro aristoteliky jak</w:t>
      </w:r>
      <w:r>
        <w:t xml:space="preserve">o Albert a Bacon skutečně děsivý. Totiž, že </w:t>
      </w:r>
      <w:r w:rsidRPr="00724149">
        <w:t xml:space="preserve">všechny první substance lze v rámci univerzálního hylemorfismu </w:t>
      </w:r>
      <w:r w:rsidR="003E11EE">
        <w:t>převést na mytologické</w:t>
      </w:r>
      <w:r>
        <w:t xml:space="preserve"> </w:t>
      </w:r>
      <w:r w:rsidR="003E11EE">
        <w:t>esence</w:t>
      </w:r>
      <w:r w:rsidRPr="00724149">
        <w:t xml:space="preserve"> </w:t>
      </w:r>
      <w:r w:rsidR="003E11EE">
        <w:t>dané</w:t>
      </w:r>
      <w:r>
        <w:t xml:space="preserve"> </w:t>
      </w:r>
      <w:r w:rsidRPr="00724149">
        <w:t>jako Rufuso</w:t>
      </w:r>
      <w:r>
        <w:t>vo</w:t>
      </w:r>
      <w:r w:rsidRPr="00724149">
        <w:t xml:space="preserve"> </w:t>
      </w:r>
      <w:r w:rsidRPr="00724149">
        <w:rPr>
          <w:i/>
        </w:rPr>
        <w:t>scibile</w:t>
      </w:r>
      <w:r w:rsidRPr="00724149">
        <w:t>.</w:t>
      </w:r>
      <w:r>
        <w:t xml:space="preserve"> </w:t>
      </w:r>
      <w:r w:rsidR="00701CC2">
        <w:t xml:space="preserve">Ten </w:t>
      </w:r>
      <w:r w:rsidR="002A161D">
        <w:t xml:space="preserve">pro </w:t>
      </w:r>
      <w:r w:rsidR="00A92978">
        <w:t xml:space="preserve">moderní </w:t>
      </w:r>
      <w:r w:rsidR="002A161D">
        <w:t>vědu zhasl význam reálného Slu</w:t>
      </w:r>
      <w:r w:rsidR="00491DF8">
        <w:t xml:space="preserve">nce. V tomto zatmění kritického, a dokonce i zdravého rozumu, </w:t>
      </w:r>
      <w:r w:rsidR="002A161D">
        <w:t xml:space="preserve">daného přechodem do chtónické říše chaosu vznikla dogmatická ontoteologie jedné vědecké pravdy, která zahájila </w:t>
      </w:r>
      <w:r w:rsidR="002A161D" w:rsidRPr="009F1A50">
        <w:rPr>
          <w:i/>
        </w:rPr>
        <w:t>via Modernorum</w:t>
      </w:r>
      <w:r w:rsidR="002A161D">
        <w:t>. Archaická hermeneutika našla základní událost zatmění první substance (</w:t>
      </w:r>
      <w:r w:rsidR="002A161D" w:rsidRPr="089A7EBD">
        <w:rPr>
          <w:i/>
        </w:rPr>
        <w:t>Ereignis</w:t>
      </w:r>
      <w:r w:rsidR="002A161D">
        <w:rPr>
          <w:i/>
        </w:rPr>
        <w:fldChar w:fldCharType="begin"/>
      </w:r>
      <w:r w:rsidR="002A161D">
        <w:instrText xml:space="preserve"> XE "</w:instrText>
      </w:r>
      <w:r w:rsidR="002A161D" w:rsidRPr="00120BB2">
        <w:rPr>
          <w:i/>
        </w:rPr>
        <w:instrText>Ereignis</w:instrText>
      </w:r>
      <w:r w:rsidR="002A161D">
        <w:instrText xml:space="preserve">" </w:instrText>
      </w:r>
      <w:r w:rsidR="002A161D">
        <w:rPr>
          <w:i/>
        </w:rPr>
        <w:fldChar w:fldCharType="end"/>
      </w:r>
      <w:r w:rsidR="002A161D">
        <w:t xml:space="preserve">), který založil epochální </w:t>
      </w:r>
      <w:r w:rsidR="002A161D" w:rsidRPr="085F71B7">
        <w:rPr>
          <w:i/>
        </w:rPr>
        <w:t>Irrtum</w:t>
      </w:r>
      <w:r w:rsidR="002A161D">
        <w:rPr>
          <w:i/>
        </w:rPr>
        <w:fldChar w:fldCharType="begin"/>
      </w:r>
      <w:r w:rsidR="002A161D">
        <w:instrText xml:space="preserve"> XE "</w:instrText>
      </w:r>
      <w:r w:rsidR="002A161D" w:rsidRPr="00504440">
        <w:rPr>
          <w:i/>
        </w:rPr>
        <w:instrText>Irrtum</w:instrText>
      </w:r>
      <w:r w:rsidR="002A161D">
        <w:instrText xml:space="preserve">" </w:instrText>
      </w:r>
      <w:r w:rsidR="002A161D">
        <w:rPr>
          <w:i/>
        </w:rPr>
        <w:fldChar w:fldCharType="end"/>
      </w:r>
      <w:r w:rsidR="002A161D">
        <w:t xml:space="preserve"> právě vzniklé analytické filosofie. </w:t>
      </w:r>
      <w:r>
        <w:t xml:space="preserve">Obskuratismus myšlení </w:t>
      </w:r>
      <w:r w:rsidR="00B3037E">
        <w:t xml:space="preserve">se týkal </w:t>
      </w:r>
      <w:r>
        <w:t xml:space="preserve">první sustance </w:t>
      </w:r>
      <w:r w:rsidR="00B3037E">
        <w:t>v Rufusově verzi</w:t>
      </w:r>
      <w:r>
        <w:t xml:space="preserve"> Oxfordského omylu</w:t>
      </w:r>
      <w:r w:rsidR="00B3037E">
        <w:t xml:space="preserve">. Ten </w:t>
      </w:r>
      <w:r>
        <w:t xml:space="preserve"> založil první formu objektivně určené první vědy v její logicky nepochybné formě pravdy jako moderní </w:t>
      </w:r>
      <w:r w:rsidRPr="00666011">
        <w:rPr>
          <w:i/>
        </w:rPr>
        <w:t>veritas</w:t>
      </w:r>
      <w:r>
        <w:t xml:space="preserve">. Podle již citované </w:t>
      </w:r>
      <w:r w:rsidRPr="088A3C85">
        <w:rPr>
          <w:i/>
        </w:rPr>
        <w:t>Metafyziky</w:t>
      </w:r>
      <w:r>
        <w:t xml:space="preserve"> vzaté podle úvodního výkladu Heideggerovy </w:t>
      </w:r>
      <w:r w:rsidRPr="08EB0ACF">
        <w:rPr>
          <w:i/>
        </w:rPr>
        <w:t>paideía</w:t>
      </w:r>
      <w:r>
        <w:rPr>
          <w:lang w:eastAsia="en-US"/>
        </w:rPr>
        <w:fldChar w:fldCharType="begin"/>
      </w:r>
      <w:r>
        <w:instrText xml:space="preserve"> XE "</w:instrText>
      </w:r>
      <w:r w:rsidRPr="08EB0ACF">
        <w:rPr>
          <w:i/>
        </w:rPr>
        <w:instrText>paideía</w:instrText>
      </w:r>
      <w:r>
        <w:instrText xml:space="preserve">" </w:instrText>
      </w:r>
      <w:r>
        <w:rPr>
          <w:lang w:eastAsia="en-US"/>
        </w:rPr>
        <w:fldChar w:fldCharType="end"/>
      </w:r>
      <w:r>
        <w:t xml:space="preserve"> vznikla nová forma sofistikované moderní nevzdělanosti (ἀπαιδευσία</w:t>
      </w:r>
      <w:r>
        <w:rPr>
          <w:lang w:eastAsia="en-US"/>
        </w:rPr>
        <w:fldChar w:fldCharType="begin"/>
      </w:r>
      <w:r>
        <w:instrText xml:space="preserve"> XE "</w:instrText>
      </w:r>
      <w:r w:rsidRPr="08CF3194">
        <w:rPr>
          <w:i/>
        </w:rPr>
        <w:instrText>apaideusía</w:instrText>
      </w:r>
      <w:r>
        <w:instrText xml:space="preserve">" </w:instrText>
      </w:r>
      <w:r>
        <w:rPr>
          <w:lang w:eastAsia="en-US"/>
        </w:rPr>
        <w:fldChar w:fldCharType="end"/>
      </w:r>
      <w:r>
        <w:t xml:space="preserve">, </w:t>
      </w:r>
      <w:r w:rsidRPr="000421A2">
        <w:rPr>
          <w:i/>
        </w:rPr>
        <w:t>Met</w:t>
      </w:r>
      <w:r>
        <w:t>. 1006a6</w:t>
      </w:r>
      <w:r>
        <w:rPr>
          <w:i/>
        </w:rPr>
        <w:fldChar w:fldCharType="begin"/>
      </w:r>
      <w:r>
        <w:instrText xml:space="preserve"> XE "Aristoteles:</w:instrText>
      </w:r>
      <w:r w:rsidRPr="000421A2">
        <w:rPr>
          <w:i/>
        </w:rPr>
        <w:instrText>Met</w:instrText>
      </w:r>
      <w:r>
        <w:instrText xml:space="preserve">. 1006a6" </w:instrText>
      </w:r>
      <w:r>
        <w:rPr>
          <w:i/>
        </w:rPr>
        <w:fldChar w:fldCharType="end"/>
      </w:r>
      <w:r>
        <w:t xml:space="preserve">). Její současnou podobu podává analýza současné akademické nevzdělanosti provozované v modu instrumentální a postmoderní verze </w:t>
      </w:r>
      <w:r w:rsidR="000547B8">
        <w:t>„</w:t>
      </w:r>
      <w:r w:rsidRPr="088A3C85">
        <w:rPr>
          <w:i/>
        </w:rPr>
        <w:t>Unbildung</w:t>
      </w:r>
      <w:r w:rsidR="000547B8">
        <w:t>“</w:t>
      </w:r>
      <w:r>
        <w:t xml:space="preserve"> (</w:t>
      </w:r>
      <w:r w:rsidRPr="088A3C85">
        <w:rPr>
          <w:rStyle w:val="st"/>
          <w:bCs/>
        </w:rPr>
        <w:t>Liessmann</w:t>
      </w:r>
      <w:r>
        <w:rPr>
          <w:rStyle w:val="st"/>
          <w:bCs/>
        </w:rPr>
        <w:t xml:space="preserve"> 2006).</w:t>
      </w:r>
      <w:r>
        <w:rPr>
          <w:rStyle w:val="st"/>
        </w:rPr>
        <w:t xml:space="preserve"> </w:t>
      </w:r>
      <w:r w:rsidR="00F02864" w:rsidRPr="00F02864">
        <w:t xml:space="preserve">Spor týkající se teorie pravdy musí být zasazen do rámce </w:t>
      </w:r>
      <w:r w:rsidR="00AA1AEA">
        <w:t xml:space="preserve">traktátů </w:t>
      </w:r>
      <w:r w:rsidR="00F02864" w:rsidRPr="00F02864">
        <w:t xml:space="preserve">a debat </w:t>
      </w:r>
      <w:r w:rsidR="00EC3236">
        <w:t xml:space="preserve">vedených </w:t>
      </w:r>
      <w:r w:rsidR="00F02864" w:rsidRPr="00F02864">
        <w:t>před rokem 1250</w:t>
      </w:r>
      <w:r w:rsidR="00EC3236">
        <w:t xml:space="preserve"> </w:t>
      </w:r>
      <w:r w:rsidR="00057FE1">
        <w:t xml:space="preserve">především </w:t>
      </w:r>
      <w:r w:rsidR="00F02864" w:rsidRPr="00F02864">
        <w:t>v Paříži.</w:t>
      </w:r>
    </w:p>
    <w:p w14:paraId="3DADD81A" w14:textId="2044DEA0" w:rsidR="082B2511" w:rsidRPr="00273106" w:rsidRDefault="000C5304" w:rsidP="008E5CBD">
      <w:pPr>
        <w:ind w:firstLine="397"/>
      </w:pPr>
      <w:r>
        <w:t>Ve stejné době, kdy Rufus psal</w:t>
      </w:r>
      <w:r w:rsidR="082B2511" w:rsidRPr="00273106">
        <w:t xml:space="preserve"> </w:t>
      </w:r>
      <w:r w:rsidR="082B2511" w:rsidRPr="00273106">
        <w:rPr>
          <w:i/>
        </w:rPr>
        <w:t>Speculum animae</w:t>
      </w:r>
      <w:r w:rsidR="082B2511" w:rsidRPr="00273106">
        <w:t>, Bac</w:t>
      </w:r>
      <w:r>
        <w:t>on podobně jako Albert komponoval</w:t>
      </w:r>
      <w:r w:rsidR="082B2511" w:rsidRPr="00273106">
        <w:t xml:space="preserve"> odpověď na sofistické výklady Aristotela praktikované ve druhém averroismu. Dílo </w:t>
      </w:r>
      <w:r w:rsidR="082B2511" w:rsidRPr="00273106">
        <w:rPr>
          <w:i/>
        </w:rPr>
        <w:t>Metaphysica</w:t>
      </w:r>
      <w:r w:rsidR="082B2511" w:rsidRPr="00273106">
        <w:t xml:space="preserve"> (asi 1240‒45) vzniklo během Baconova studijního pobytu v Paříži </w:t>
      </w:r>
      <w:r w:rsidR="082B2511">
        <w:t xml:space="preserve">někdy během let </w:t>
      </w:r>
      <w:r w:rsidR="082B2511" w:rsidRPr="00273106">
        <w:t xml:space="preserve">1237‒47. Komentář ke druhé knize </w:t>
      </w:r>
      <w:r w:rsidR="082B2511" w:rsidRPr="006A0302">
        <w:rPr>
          <w:i/>
        </w:rPr>
        <w:t>Metafyziky</w:t>
      </w:r>
      <w:r w:rsidR="082B2511" w:rsidRPr="00273106">
        <w:t xml:space="preserve"> </w:t>
      </w:r>
      <w:r w:rsidR="082B2511">
        <w:t xml:space="preserve">brilantně </w:t>
      </w:r>
      <w:r w:rsidR="082B2511" w:rsidRPr="00273106">
        <w:t xml:space="preserve">definuje rozdíl mezi </w:t>
      </w:r>
      <w:r w:rsidR="08D605D5">
        <w:t xml:space="preserve">logickou správností a metafyzickou </w:t>
      </w:r>
      <w:r w:rsidR="082B2511" w:rsidRPr="00273106">
        <w:t xml:space="preserve">pravdou jako </w:t>
      </w:r>
      <w:r w:rsidR="082B2511">
        <w:rPr>
          <w:i/>
        </w:rPr>
        <w:t>adaequatio</w:t>
      </w:r>
      <w:r w:rsidR="082B2511">
        <w:rPr>
          <w:i/>
        </w:rPr>
        <w:fldChar w:fldCharType="begin"/>
      </w:r>
      <w:r w:rsidR="082B2511">
        <w:instrText xml:space="preserve"> XE "</w:instrText>
      </w:r>
      <w:r w:rsidR="082B2511">
        <w:rPr>
          <w:i/>
        </w:rPr>
        <w:instrText>adaequatio</w:instrText>
      </w:r>
      <w:r w:rsidR="082B2511" w:rsidRPr="00BD02BA">
        <w:rPr>
          <w:i/>
        </w:rPr>
        <w:instrText>:</w:instrText>
      </w:r>
      <w:r w:rsidR="082B2511">
        <w:instrText xml:space="preserve">Bacon" </w:instrText>
      </w:r>
      <w:r w:rsidR="082B2511">
        <w:rPr>
          <w:i/>
        </w:rPr>
        <w:fldChar w:fldCharType="end"/>
      </w:r>
      <w:r w:rsidR="082B2511" w:rsidRPr="00273106">
        <w:t xml:space="preserve"> a </w:t>
      </w:r>
      <w:r w:rsidR="082B2511" w:rsidRPr="00273106">
        <w:rPr>
          <w:i/>
        </w:rPr>
        <w:t>rectitudo</w:t>
      </w:r>
      <w:r w:rsidR="082B2511" w:rsidRPr="00273106">
        <w:t xml:space="preserve">. </w:t>
      </w:r>
    </w:p>
    <w:p w14:paraId="514822FA" w14:textId="12B28EAC" w:rsidR="082B2511" w:rsidRPr="00273106" w:rsidRDefault="082B2511" w:rsidP="082B2511">
      <w:pPr>
        <w:pStyle w:val="Citace"/>
        <w:rPr>
          <w:noProof/>
          <w:szCs w:val="21"/>
          <w:lang w:val="cs-CZ"/>
        </w:rPr>
      </w:pPr>
      <w:r w:rsidRPr="00273106">
        <w:rPr>
          <w:noProof/>
          <w:szCs w:val="29"/>
          <w:lang w:val="cs-CZ"/>
        </w:rPr>
        <w:t>„Jedna věc je pravda v modu abstrakce (</w:t>
      </w:r>
      <w:r w:rsidRPr="00273106">
        <w:rPr>
          <w:i/>
          <w:noProof/>
          <w:szCs w:val="29"/>
          <w:lang w:val="cs-CZ"/>
        </w:rPr>
        <w:t>v</w:t>
      </w:r>
      <w:r w:rsidRPr="00273106">
        <w:rPr>
          <w:i/>
          <w:noProof/>
          <w:szCs w:val="18"/>
          <w:lang w:val="cs-CZ"/>
        </w:rPr>
        <w:t xml:space="preserve">eritas </w:t>
      </w:r>
      <w:r w:rsidRPr="00273106">
        <w:rPr>
          <w:i/>
          <w:noProof/>
          <w:szCs w:val="17"/>
          <w:lang w:val="cs-CZ"/>
        </w:rPr>
        <w:t>in</w:t>
      </w:r>
      <w:r w:rsidRPr="00273106">
        <w:rPr>
          <w:i/>
          <w:noProof/>
          <w:szCs w:val="21"/>
          <w:lang w:val="cs-CZ"/>
        </w:rPr>
        <w:t>complexa</w:t>
      </w:r>
      <w:r w:rsidRPr="00273106">
        <w:rPr>
          <w:noProof/>
          <w:szCs w:val="21"/>
          <w:lang w:val="cs-CZ"/>
        </w:rPr>
        <w:t>), která se vztahuje k formální jsoucnosti věci</w:t>
      </w:r>
      <w:r w:rsidR="08940807">
        <w:rPr>
          <w:noProof/>
          <w:szCs w:val="21"/>
          <w:lang w:val="cs-CZ"/>
        </w:rPr>
        <w:t xml:space="preserve"> jako esence</w:t>
      </w:r>
      <w:r w:rsidRPr="00273106">
        <w:rPr>
          <w:noProof/>
          <w:szCs w:val="21"/>
          <w:lang w:val="cs-CZ"/>
        </w:rPr>
        <w:t xml:space="preserve"> (</w:t>
      </w:r>
      <w:r w:rsidRPr="00273106">
        <w:rPr>
          <w:i/>
          <w:noProof/>
          <w:szCs w:val="21"/>
          <w:lang w:val="cs-CZ"/>
        </w:rPr>
        <w:t>rei entitas</w:t>
      </w:r>
      <w:r w:rsidRPr="00273106">
        <w:rPr>
          <w:noProof/>
          <w:szCs w:val="21"/>
          <w:lang w:val="cs-CZ"/>
        </w:rPr>
        <w:t>). Jiná pravda se vztahuje k reálné složenině (</w:t>
      </w:r>
      <w:r w:rsidRPr="00273106">
        <w:rPr>
          <w:i/>
          <w:noProof/>
          <w:szCs w:val="29"/>
          <w:lang w:val="cs-CZ"/>
        </w:rPr>
        <w:t>v</w:t>
      </w:r>
      <w:r w:rsidRPr="00273106">
        <w:rPr>
          <w:i/>
          <w:noProof/>
          <w:szCs w:val="18"/>
          <w:lang w:val="cs-CZ"/>
        </w:rPr>
        <w:t xml:space="preserve">eritas </w:t>
      </w:r>
      <w:r w:rsidRPr="00273106">
        <w:rPr>
          <w:i/>
          <w:noProof/>
          <w:szCs w:val="21"/>
          <w:lang w:val="cs-CZ"/>
        </w:rPr>
        <w:t>complexa</w:t>
      </w:r>
      <w:r w:rsidRPr="00273106">
        <w:rPr>
          <w:noProof/>
          <w:szCs w:val="21"/>
          <w:lang w:val="cs-CZ"/>
        </w:rPr>
        <w:t>). Pravda vztažená k reálné složenině je dvojí. Jednak se může vztahovat na věc ve smyslu substrátu existujícího v realitě (</w:t>
      </w:r>
      <w:r w:rsidRPr="00273106">
        <w:rPr>
          <w:i/>
          <w:noProof/>
          <w:szCs w:val="21"/>
          <w:lang w:val="cs-CZ"/>
        </w:rPr>
        <w:t>ad</w:t>
      </w:r>
      <w:r w:rsidRPr="00273106">
        <w:rPr>
          <w:noProof/>
          <w:szCs w:val="21"/>
          <w:lang w:val="cs-CZ"/>
        </w:rPr>
        <w:t xml:space="preserve"> </w:t>
      </w:r>
      <w:r w:rsidRPr="00273106">
        <w:rPr>
          <w:i/>
          <w:noProof/>
          <w:szCs w:val="21"/>
          <w:lang w:val="cs-CZ"/>
        </w:rPr>
        <w:t>subjectum</w:t>
      </w:r>
      <w:r w:rsidRPr="00273106">
        <w:rPr>
          <w:noProof/>
          <w:szCs w:val="21"/>
          <w:lang w:val="cs-CZ"/>
        </w:rPr>
        <w:t>), a tímto způsobem platí, že 'pravda je adekvace věci' (</w:t>
      </w:r>
      <w:r w:rsidRPr="00273106">
        <w:rPr>
          <w:i/>
          <w:noProof/>
          <w:szCs w:val="18"/>
          <w:lang w:val="cs-CZ"/>
        </w:rPr>
        <w:t xml:space="preserve">veritas </w:t>
      </w:r>
      <w:r w:rsidRPr="00273106">
        <w:rPr>
          <w:i/>
          <w:noProof/>
          <w:szCs w:val="17"/>
          <w:lang w:val="cs-CZ"/>
        </w:rPr>
        <w:t xml:space="preserve">est </w:t>
      </w:r>
      <w:r>
        <w:rPr>
          <w:i/>
          <w:noProof/>
          <w:lang w:val="cs-CZ"/>
        </w:rPr>
        <w:t>adequatio</w:t>
      </w:r>
      <w:r w:rsidRPr="00273106">
        <w:rPr>
          <w:i/>
          <w:noProof/>
          <w:lang w:val="cs-CZ"/>
        </w:rPr>
        <w:t xml:space="preserve"> </w:t>
      </w:r>
      <w:r w:rsidRPr="00273106">
        <w:rPr>
          <w:i/>
          <w:noProof/>
          <w:szCs w:val="22"/>
          <w:lang w:val="cs-CZ"/>
        </w:rPr>
        <w:t>rerum</w:t>
      </w:r>
      <w:r w:rsidRPr="00273106">
        <w:rPr>
          <w:noProof/>
          <w:szCs w:val="21"/>
          <w:lang w:val="cs-CZ"/>
        </w:rPr>
        <w:t>). Nebo se tato pravda vztahuje k poznání danému v duši (</w:t>
      </w:r>
      <w:r w:rsidRPr="00273106">
        <w:rPr>
          <w:i/>
          <w:noProof/>
          <w:szCs w:val="22"/>
          <w:lang w:val="cs-CZ"/>
        </w:rPr>
        <w:t xml:space="preserve">ad </w:t>
      </w:r>
      <w:r w:rsidRPr="00273106">
        <w:rPr>
          <w:i/>
          <w:noProof/>
          <w:szCs w:val="24"/>
          <w:lang w:val="cs-CZ"/>
        </w:rPr>
        <w:t xml:space="preserve">animam </w:t>
      </w:r>
      <w:r w:rsidRPr="00273106">
        <w:rPr>
          <w:i/>
          <w:noProof/>
          <w:szCs w:val="21"/>
          <w:lang w:val="cs-CZ"/>
        </w:rPr>
        <w:t>cognoscentem</w:t>
      </w:r>
      <w:r w:rsidRPr="00273106">
        <w:rPr>
          <w:noProof/>
          <w:szCs w:val="21"/>
          <w:lang w:val="cs-CZ"/>
        </w:rPr>
        <w:t>)</w:t>
      </w:r>
      <w:r w:rsidR="00F13DB5">
        <w:rPr>
          <w:noProof/>
          <w:szCs w:val="21"/>
          <w:lang w:val="cs-CZ"/>
        </w:rPr>
        <w:t xml:space="preserve">; </w:t>
      </w:r>
      <w:r w:rsidRPr="00273106">
        <w:rPr>
          <w:noProof/>
          <w:szCs w:val="21"/>
          <w:lang w:val="cs-CZ"/>
        </w:rPr>
        <w:t>pak platí, že 'pravda je správnost' (</w:t>
      </w:r>
      <w:r w:rsidRPr="00273106">
        <w:rPr>
          <w:i/>
          <w:noProof/>
          <w:szCs w:val="17"/>
          <w:lang w:val="cs-CZ"/>
        </w:rPr>
        <w:t xml:space="preserve">veritas est </w:t>
      </w:r>
      <w:r w:rsidRPr="00273106">
        <w:rPr>
          <w:i/>
          <w:noProof/>
          <w:szCs w:val="19"/>
          <w:lang w:val="cs-CZ"/>
        </w:rPr>
        <w:t>rectitudo</w:t>
      </w:r>
      <w:r w:rsidRPr="00273106">
        <w:rPr>
          <w:noProof/>
          <w:szCs w:val="21"/>
          <w:lang w:val="cs-CZ"/>
        </w:rPr>
        <w:t xml:space="preserve">).“ </w:t>
      </w:r>
      <w:r w:rsidRPr="00273106">
        <w:rPr>
          <w:rStyle w:val="Znakapoznpodarou"/>
          <w:noProof/>
          <w:lang w:val="cs-CZ"/>
        </w:rPr>
        <w:footnoteReference w:id="402"/>
      </w:r>
    </w:p>
    <w:p w14:paraId="01E0C4AE" w14:textId="77777777" w:rsidR="00ED6039" w:rsidRDefault="0022226D" w:rsidP="00C346CD">
      <w:r>
        <w:t>První rovina poznání se týká logické abstrakce, protože logik drží p</w:t>
      </w:r>
      <w:r>
        <w:rPr>
          <w:szCs w:val="29"/>
        </w:rPr>
        <w:t>ravdu</w:t>
      </w:r>
      <w:r w:rsidRPr="00273106">
        <w:rPr>
          <w:szCs w:val="29"/>
        </w:rPr>
        <w:t xml:space="preserve"> v modu abstrakce (</w:t>
      </w:r>
      <w:r w:rsidRPr="00273106">
        <w:rPr>
          <w:i/>
          <w:szCs w:val="29"/>
        </w:rPr>
        <w:t>v</w:t>
      </w:r>
      <w:r w:rsidRPr="00273106">
        <w:rPr>
          <w:i/>
          <w:szCs w:val="18"/>
        </w:rPr>
        <w:t xml:space="preserve">eritas </w:t>
      </w:r>
      <w:r w:rsidRPr="00273106">
        <w:rPr>
          <w:i/>
          <w:szCs w:val="17"/>
        </w:rPr>
        <w:t>in</w:t>
      </w:r>
      <w:r w:rsidRPr="00273106">
        <w:rPr>
          <w:i/>
          <w:szCs w:val="21"/>
        </w:rPr>
        <w:t>complexa</w:t>
      </w:r>
      <w:r w:rsidRPr="00273106">
        <w:rPr>
          <w:szCs w:val="21"/>
        </w:rPr>
        <w:t xml:space="preserve">), která se vztahuje </w:t>
      </w:r>
      <w:r>
        <w:rPr>
          <w:szCs w:val="21"/>
        </w:rPr>
        <w:t xml:space="preserve">pouze </w:t>
      </w:r>
      <w:r w:rsidRPr="00273106">
        <w:rPr>
          <w:szCs w:val="21"/>
        </w:rPr>
        <w:t xml:space="preserve">k </w:t>
      </w:r>
      <w:r>
        <w:rPr>
          <w:szCs w:val="21"/>
        </w:rPr>
        <w:t xml:space="preserve">esenci danou logickou abstrakcí </w:t>
      </w:r>
      <w:r w:rsidRPr="00273106">
        <w:rPr>
          <w:szCs w:val="21"/>
        </w:rPr>
        <w:t xml:space="preserve"> (</w:t>
      </w:r>
      <w:r w:rsidRPr="00273106">
        <w:rPr>
          <w:i/>
          <w:szCs w:val="21"/>
        </w:rPr>
        <w:t>rei entitas</w:t>
      </w:r>
      <w:r w:rsidRPr="00273106">
        <w:rPr>
          <w:szCs w:val="21"/>
        </w:rPr>
        <w:t>).</w:t>
      </w:r>
      <w:r>
        <w:rPr>
          <w:szCs w:val="21"/>
        </w:rPr>
        <w:t xml:space="preserve"> Toto pojetí pravdy nepatří do metafyziky, protože neřeší otázku poznání reálné substance dané predikací pravdy vzhledem k reálné věci (</w:t>
      </w:r>
      <w:r w:rsidRPr="00273106">
        <w:rPr>
          <w:i/>
          <w:szCs w:val="29"/>
        </w:rPr>
        <w:t>v</w:t>
      </w:r>
      <w:r w:rsidRPr="00273106">
        <w:rPr>
          <w:i/>
          <w:szCs w:val="18"/>
        </w:rPr>
        <w:t xml:space="preserve">eritas </w:t>
      </w:r>
      <w:r w:rsidRPr="00273106">
        <w:rPr>
          <w:i/>
          <w:szCs w:val="21"/>
        </w:rPr>
        <w:t>complexa</w:t>
      </w:r>
      <w:r>
        <w:rPr>
          <w:szCs w:val="21"/>
        </w:rPr>
        <w:t xml:space="preserve">). </w:t>
      </w:r>
      <w:r w:rsidR="00A37369" w:rsidRPr="00A37369">
        <w:t xml:space="preserve">Je to predikace </w:t>
      </w:r>
      <w:r w:rsidR="00A37369">
        <w:t xml:space="preserve">nazvaná </w:t>
      </w:r>
      <w:r w:rsidR="00A37369" w:rsidRPr="00A37369">
        <w:rPr>
          <w:i/>
        </w:rPr>
        <w:t>opinabile</w:t>
      </w:r>
      <w:r w:rsidR="00F81B2D">
        <w:rPr>
          <w:i/>
        </w:rPr>
        <w:fldChar w:fldCharType="begin"/>
      </w:r>
      <w:r w:rsidR="00F81B2D">
        <w:instrText xml:space="preserve"> XE "</w:instrText>
      </w:r>
      <w:r w:rsidR="00F81B2D" w:rsidRPr="00960AB1">
        <w:rPr>
          <w:i/>
        </w:rPr>
        <w:instrText>opinabile</w:instrText>
      </w:r>
      <w:r w:rsidR="00F81B2D">
        <w:instrText xml:space="preserve">" </w:instrText>
      </w:r>
      <w:r w:rsidR="00F81B2D">
        <w:rPr>
          <w:i/>
        </w:rPr>
        <w:fldChar w:fldCharType="end"/>
      </w:r>
      <w:r w:rsidR="00A37369" w:rsidRPr="00A37369">
        <w:t xml:space="preserve">, bez </w:t>
      </w:r>
      <w:r w:rsidR="00A37369">
        <w:t xml:space="preserve">impozice </w:t>
      </w:r>
      <w:r w:rsidR="00A37369" w:rsidRPr="00A37369">
        <w:t xml:space="preserve">ze skutečnosti, </w:t>
      </w:r>
      <w:r w:rsidR="00A37369">
        <w:t xml:space="preserve">viz Abelardův </w:t>
      </w:r>
      <w:r w:rsidR="00A37369" w:rsidRPr="00A37369">
        <w:t xml:space="preserve">spis </w:t>
      </w:r>
      <w:r w:rsidR="00A37369" w:rsidRPr="00A37369">
        <w:rPr>
          <w:i/>
        </w:rPr>
        <w:t>Dialectica</w:t>
      </w:r>
      <w:r w:rsidR="0005263F">
        <w:t>: „</w:t>
      </w:r>
      <w:r w:rsidR="00A37369" w:rsidRPr="00A37369">
        <w:t>Tato mrtvola je ze</w:t>
      </w:r>
      <w:r w:rsidR="00A37369">
        <w:t xml:space="preserve">mřelý </w:t>
      </w:r>
      <w:r w:rsidR="0005263F">
        <w:t>člověk“</w:t>
      </w:r>
      <w:r w:rsidR="00A37369" w:rsidRPr="00A37369">
        <w:t xml:space="preserve"> (</w:t>
      </w:r>
      <w:r w:rsidR="00A37369" w:rsidRPr="00A37369">
        <w:rPr>
          <w:i/>
        </w:rPr>
        <w:t>hoc cadaver est homo mortuus</w:t>
      </w:r>
      <w:r w:rsidR="00A37369" w:rsidRPr="00A37369">
        <w:t xml:space="preserve">, kap. 1.3). </w:t>
      </w:r>
      <w:r w:rsidR="08882898">
        <w:rPr>
          <w:szCs w:val="21"/>
        </w:rPr>
        <w:t xml:space="preserve"> </w:t>
      </w:r>
      <w:r w:rsidR="00833FB0">
        <w:rPr>
          <w:szCs w:val="21"/>
        </w:rPr>
        <w:t>Jde o predikaci zvanou „</w:t>
      </w:r>
      <w:r w:rsidR="00833FB0" w:rsidRPr="00833FB0">
        <w:rPr>
          <w:i/>
          <w:szCs w:val="21"/>
        </w:rPr>
        <w:t>opinabile</w:t>
      </w:r>
      <w:r w:rsidR="00833FB0">
        <w:rPr>
          <w:szCs w:val="21"/>
        </w:rPr>
        <w:t xml:space="preserve">“, která nemá impozici významu z reality, podle příkladu z Abelardova spisu </w:t>
      </w:r>
      <w:r w:rsidR="00833FB0" w:rsidRPr="00DC6664">
        <w:rPr>
          <w:i/>
          <w:szCs w:val="24"/>
        </w:rPr>
        <w:t>Dialectica</w:t>
      </w:r>
      <w:r w:rsidR="00833FB0">
        <w:rPr>
          <w:szCs w:val="24"/>
        </w:rPr>
        <w:t xml:space="preserve">: „Tato mrtvola je zemřelý člověk“ </w:t>
      </w:r>
      <w:r w:rsidR="00833FB0" w:rsidRPr="00DC6664">
        <w:rPr>
          <w:szCs w:val="24"/>
        </w:rPr>
        <w:t>(</w:t>
      </w:r>
      <w:r w:rsidR="00833FB0" w:rsidRPr="00DC6664">
        <w:rPr>
          <w:i/>
          <w:szCs w:val="24"/>
        </w:rPr>
        <w:t>hoc cadaver est homo mortuus</w:t>
      </w:r>
      <w:r w:rsidR="00833FB0" w:rsidRPr="00DC6664">
        <w:rPr>
          <w:szCs w:val="24"/>
        </w:rPr>
        <w:t>, Kap. 1.3)</w:t>
      </w:r>
      <w:r w:rsidR="00833FB0">
        <w:rPr>
          <w:szCs w:val="24"/>
        </w:rPr>
        <w:t xml:space="preserve">. </w:t>
      </w:r>
      <w:r w:rsidR="0060090C">
        <w:rPr>
          <w:szCs w:val="24"/>
        </w:rPr>
        <w:t xml:space="preserve">Toto pojetí pravdy nepatří do metafyziky, protože pojednává shodu s reálně existující první substancí. Tato pravda je dána vzhledem k realitě </w:t>
      </w:r>
      <w:r w:rsidR="0060090C" w:rsidRPr="00DC6664">
        <w:rPr>
          <w:szCs w:val="24"/>
        </w:rPr>
        <w:t>(</w:t>
      </w:r>
      <w:r w:rsidR="0060090C" w:rsidRPr="00DC6664">
        <w:rPr>
          <w:i/>
          <w:szCs w:val="24"/>
        </w:rPr>
        <w:t>veritas complexa</w:t>
      </w:r>
      <w:r w:rsidR="0060090C">
        <w:rPr>
          <w:szCs w:val="24"/>
        </w:rPr>
        <w:t xml:space="preserve">) a </w:t>
      </w:r>
      <w:r w:rsidR="08C72C3D">
        <w:t xml:space="preserve">je podle Aristotela a tím i Bacona dána podle dvojí univerzality </w:t>
      </w:r>
      <w:r w:rsidR="08C72C3D" w:rsidRPr="00273106">
        <w:t>(καθ' αὑτὰ δὲ διττῶς</w:t>
      </w:r>
      <w:r w:rsidR="08C72C3D">
        <w:t xml:space="preserve">, </w:t>
      </w:r>
      <w:r w:rsidR="08C72C3D" w:rsidRPr="009B084A">
        <w:rPr>
          <w:i/>
        </w:rPr>
        <w:t>Anal</w:t>
      </w:r>
      <w:r w:rsidR="08C72C3D">
        <w:t xml:space="preserve">. </w:t>
      </w:r>
      <w:r w:rsidR="08C72C3D" w:rsidRPr="009B084A">
        <w:rPr>
          <w:i/>
        </w:rPr>
        <w:t>Post</w:t>
      </w:r>
      <w:r w:rsidR="08C72C3D">
        <w:t>. 84a12</w:t>
      </w:r>
      <w:r w:rsidR="08C72C3D">
        <w:fldChar w:fldCharType="begin"/>
      </w:r>
      <w:r w:rsidR="08C72C3D">
        <w:instrText xml:space="preserve"> XE "Aristoteles:</w:instrText>
      </w:r>
      <w:r w:rsidR="08C72C3D" w:rsidRPr="00BF0563">
        <w:rPr>
          <w:i/>
        </w:rPr>
        <w:instrText>Anal</w:instrText>
      </w:r>
      <w:r w:rsidR="08C72C3D" w:rsidRPr="00BF0563">
        <w:instrText xml:space="preserve">. </w:instrText>
      </w:r>
      <w:r w:rsidR="08C72C3D" w:rsidRPr="00BF0563">
        <w:rPr>
          <w:i/>
        </w:rPr>
        <w:instrText>Post</w:instrText>
      </w:r>
      <w:r w:rsidR="08C72C3D" w:rsidRPr="00BF0563">
        <w:instrText>. 84a12</w:instrText>
      </w:r>
      <w:r w:rsidR="08C72C3D">
        <w:instrText xml:space="preserve">" </w:instrText>
      </w:r>
      <w:r w:rsidR="08C72C3D">
        <w:fldChar w:fldCharType="end"/>
      </w:r>
      <w:r w:rsidR="08C72C3D" w:rsidRPr="00273106">
        <w:t>)</w:t>
      </w:r>
      <w:r w:rsidR="08C72C3D">
        <w:t xml:space="preserve">. </w:t>
      </w:r>
      <w:r w:rsidR="08882898">
        <w:t xml:space="preserve">Z hlediska klíčového textu </w:t>
      </w:r>
      <w:r w:rsidR="08882898" w:rsidRPr="00273106">
        <w:rPr>
          <w:i/>
        </w:rPr>
        <w:t>Anal. Post</w:t>
      </w:r>
      <w:r w:rsidR="08882898" w:rsidRPr="00273106">
        <w:t>. 84a11‒14</w:t>
      </w:r>
      <w:r w:rsidR="08882898">
        <w:fldChar w:fldCharType="begin"/>
      </w:r>
      <w:r w:rsidR="08882898">
        <w:instrText xml:space="preserve"> XE "Aristoteles:</w:instrText>
      </w:r>
      <w:r w:rsidR="08882898" w:rsidRPr="00273106">
        <w:rPr>
          <w:i/>
        </w:rPr>
        <w:instrText>Anal. Post</w:instrText>
      </w:r>
      <w:r w:rsidR="08882898" w:rsidRPr="00273106">
        <w:instrText>. 84a11‒14</w:instrText>
      </w:r>
      <w:r w:rsidR="08882898">
        <w:instrText xml:space="preserve">" </w:instrText>
      </w:r>
      <w:r w:rsidR="08882898">
        <w:fldChar w:fldCharType="end"/>
      </w:r>
      <w:r w:rsidR="08882898">
        <w:t xml:space="preserve"> vyloženého v předešlé kapitole lze určit pravdu v modu adekvace (</w:t>
      </w:r>
      <w:r w:rsidR="08882898" w:rsidRPr="08AA2D88">
        <w:rPr>
          <w:i/>
          <w:szCs w:val="18"/>
        </w:rPr>
        <w:t xml:space="preserve">veritas </w:t>
      </w:r>
      <w:r w:rsidR="08882898" w:rsidRPr="08AA2D88">
        <w:rPr>
          <w:i/>
        </w:rPr>
        <w:t xml:space="preserve">est adequatio </w:t>
      </w:r>
      <w:r w:rsidR="08882898" w:rsidRPr="08AA2D88">
        <w:rPr>
          <w:i/>
          <w:szCs w:val="22"/>
        </w:rPr>
        <w:t>rerum</w:t>
      </w:r>
      <w:r w:rsidR="08882898">
        <w:t xml:space="preserve">) podle predikace od hyparchicky daných </w:t>
      </w:r>
      <w:r w:rsidR="085F2407">
        <w:t>významů,</w:t>
      </w:r>
      <w:r w:rsidR="08882898">
        <w:t xml:space="preserve"> které tvoří subjekt </w:t>
      </w:r>
      <w:r w:rsidR="085F2407">
        <w:t xml:space="preserve">vědecké </w:t>
      </w:r>
      <w:r w:rsidR="08882898">
        <w:t xml:space="preserve">výpovědi. </w:t>
      </w:r>
      <w:r w:rsidR="08882898" w:rsidRPr="00273106">
        <w:t xml:space="preserve">Pokud je subjektem </w:t>
      </w:r>
      <w:r w:rsidR="083C1AAB">
        <w:t xml:space="preserve">pravdivé predikace </w:t>
      </w:r>
      <w:r w:rsidR="08882898" w:rsidRPr="00273106">
        <w:t>reálná věc, pak se</w:t>
      </w:r>
      <w:r w:rsidR="08882898">
        <w:t xml:space="preserve"> jedná skutečnou adekvaci danou skrze impozici </w:t>
      </w:r>
      <w:r w:rsidR="08882898" w:rsidRPr="00273106">
        <w:t>individu</w:t>
      </w:r>
      <w:r w:rsidR="08882898">
        <w:t>ální věci do univerzálního intel</w:t>
      </w:r>
      <w:r w:rsidR="08882898" w:rsidRPr="00273106">
        <w:t>ektu (</w:t>
      </w:r>
      <w:r w:rsidR="08882898" w:rsidRPr="00273106">
        <w:rPr>
          <w:i/>
          <w:szCs w:val="17"/>
        </w:rPr>
        <w:t xml:space="preserve">referri </w:t>
      </w:r>
      <w:r w:rsidR="08882898" w:rsidRPr="00273106">
        <w:rPr>
          <w:i/>
          <w:szCs w:val="22"/>
        </w:rPr>
        <w:t xml:space="preserve">ad </w:t>
      </w:r>
      <w:r w:rsidR="08882898" w:rsidRPr="00273106">
        <w:rPr>
          <w:i/>
          <w:szCs w:val="17"/>
        </w:rPr>
        <w:t xml:space="preserve">res </w:t>
      </w:r>
      <w:r w:rsidR="08882898" w:rsidRPr="00273106">
        <w:rPr>
          <w:i/>
          <w:szCs w:val="23"/>
        </w:rPr>
        <w:t xml:space="preserve">tanquam </w:t>
      </w:r>
      <w:r w:rsidR="08882898" w:rsidRPr="00273106">
        <w:rPr>
          <w:i/>
          <w:szCs w:val="21"/>
        </w:rPr>
        <w:t xml:space="preserve">ad </w:t>
      </w:r>
      <w:r w:rsidR="08882898" w:rsidRPr="00273106">
        <w:rPr>
          <w:i/>
        </w:rPr>
        <w:t>subjectum</w:t>
      </w:r>
      <w:r w:rsidR="08882898" w:rsidRPr="00273106">
        <w:t>).</w:t>
      </w:r>
      <w:r w:rsidR="08882898" w:rsidRPr="08882898">
        <w:t xml:space="preserve"> </w:t>
      </w:r>
      <w:r w:rsidR="00AB2BF0" w:rsidRPr="00AB2BF0">
        <w:t>V tomto případě je přímým subjektem poznání pr</w:t>
      </w:r>
      <w:r w:rsidR="00AB2BF0">
        <w:t>vní substance. Shoda patří do o</w:t>
      </w:r>
      <w:r w:rsidR="00AB2BF0" w:rsidRPr="00AB2BF0">
        <w:t xml:space="preserve">boru </w:t>
      </w:r>
      <w:r w:rsidR="00AB2BF0" w:rsidRPr="00AB2BF0">
        <w:rPr>
          <w:i/>
        </w:rPr>
        <w:t>veritas complexa</w:t>
      </w:r>
      <w:r w:rsidR="00AB2BF0" w:rsidRPr="00AB2BF0">
        <w:t>. Komentář definuje základ univerzálně chápané a kauzálně dan</w:t>
      </w:r>
      <w:r w:rsidR="00C838E9">
        <w:t xml:space="preserve">é nutnosti, protože intelekt </w:t>
      </w:r>
      <w:r w:rsidR="00AB2BF0" w:rsidRPr="00AB2BF0">
        <w:t>poznává reálně existující hylem</w:t>
      </w:r>
      <w:r w:rsidR="00C838E9">
        <w:t xml:space="preserve">orfní složeninu </w:t>
      </w:r>
      <w:r w:rsidR="00AB2BF0" w:rsidRPr="00AB2BF0">
        <w:t>(</w:t>
      </w:r>
      <w:r w:rsidR="00AB2BF0" w:rsidRPr="00C838E9">
        <w:rPr>
          <w:i/>
        </w:rPr>
        <w:t>complexum</w:t>
      </w:r>
      <w:r w:rsidR="000715F0">
        <w:rPr>
          <w:i/>
        </w:rPr>
        <w:fldChar w:fldCharType="begin"/>
      </w:r>
      <w:r w:rsidR="000715F0">
        <w:instrText xml:space="preserve"> XE "</w:instrText>
      </w:r>
      <w:r w:rsidR="000715F0" w:rsidRPr="00412AA6">
        <w:instrText>substance:</w:instrText>
      </w:r>
      <w:r w:rsidR="000715F0" w:rsidRPr="000F1E02">
        <w:rPr>
          <w:i/>
        </w:rPr>
        <w:instrText>complexum</w:instrText>
      </w:r>
      <w:r w:rsidR="000715F0">
        <w:instrText xml:space="preserve">" </w:instrText>
      </w:r>
      <w:r w:rsidR="000715F0">
        <w:rPr>
          <w:i/>
        </w:rPr>
        <w:fldChar w:fldCharType="end"/>
      </w:r>
      <w:r w:rsidR="00AB2BF0" w:rsidRPr="00AB2BF0">
        <w:t>). Pravda následuje shodu na základě jednoznačných kategor</w:t>
      </w:r>
      <w:r w:rsidR="00C838E9">
        <w:t>ických výroků založených na hyp</w:t>
      </w:r>
      <w:r w:rsidR="00AB2BF0" w:rsidRPr="00AB2BF0">
        <w:t xml:space="preserve">archickém primátu existující věci ve skutečnosti. Druhý případ metafyzické pravdy zahrnuje </w:t>
      </w:r>
      <w:r w:rsidR="00C838E9">
        <w:t xml:space="preserve">predikaci </w:t>
      </w:r>
      <w:r w:rsidR="00AB2BF0" w:rsidRPr="00AB2BF0">
        <w:t>významů a definic v myšlení</w:t>
      </w:r>
      <w:r w:rsidR="00C838E9">
        <w:t xml:space="preserve">. Esence má status druhé substance </w:t>
      </w:r>
      <w:r w:rsidR="00AB2BF0" w:rsidRPr="00AB2BF0">
        <w:t xml:space="preserve">a může v rámci rodu vytvořit potřebnou jednoznačnost. Ale na rozdíl od výroku metafyzického dativu spočívá základ </w:t>
      </w:r>
      <w:r w:rsidR="00C838E9">
        <w:t xml:space="preserve">korespondence </w:t>
      </w:r>
      <w:r w:rsidR="00AB2BF0" w:rsidRPr="00AB2BF0">
        <w:t xml:space="preserve"> (</w:t>
      </w:r>
      <w:r w:rsidR="00AB2BF0" w:rsidRPr="00C838E9">
        <w:rPr>
          <w:i/>
        </w:rPr>
        <w:t>rectitudo</w:t>
      </w:r>
      <w:r w:rsidR="00AB2BF0" w:rsidRPr="00AB2BF0">
        <w:t>) pouze ve významu vytvořeném v myšlení (</w:t>
      </w:r>
      <w:r w:rsidR="00AB2BF0" w:rsidRPr="00C838E9">
        <w:rPr>
          <w:i/>
        </w:rPr>
        <w:t>ad animam cognoscentem</w:t>
      </w:r>
      <w:r w:rsidR="00AB2BF0" w:rsidRPr="00AB2BF0">
        <w:t xml:space="preserve">). Nejde o korespondenci </w:t>
      </w:r>
      <w:r w:rsidR="00273D34">
        <w:t xml:space="preserve">mysli </w:t>
      </w:r>
      <w:r w:rsidR="00AB2BF0" w:rsidRPr="00AB2BF0">
        <w:t>s hyparchickou realitou. Porovnáváme dva jednoznačné a kategoricky předpovězené významy druhé substance (</w:t>
      </w:r>
      <w:r w:rsidR="00AB2BF0" w:rsidRPr="00273D34">
        <w:rPr>
          <w:i/>
        </w:rPr>
        <w:t>veritas est rectitudo</w:t>
      </w:r>
      <w:r w:rsidR="00273D34">
        <w:t xml:space="preserve">). Bacon tak obhajoval impozici </w:t>
      </w:r>
      <w:r w:rsidR="00AB2BF0" w:rsidRPr="00AB2BF0">
        <w:t xml:space="preserve"> významu </w:t>
      </w:r>
      <w:r w:rsidR="00273D34">
        <w:t xml:space="preserve">danou v </w:t>
      </w:r>
      <w:r w:rsidR="00273D34" w:rsidRPr="00273D34">
        <w:rPr>
          <w:i/>
        </w:rPr>
        <w:t>Kategoriích</w:t>
      </w:r>
      <w:r w:rsidR="00273D34">
        <w:t xml:space="preserve"> a ve </w:t>
      </w:r>
      <w:r w:rsidR="00273D34" w:rsidRPr="00273D34">
        <w:rPr>
          <w:i/>
        </w:rPr>
        <w:t>D</w:t>
      </w:r>
      <w:r w:rsidR="00AB2BF0" w:rsidRPr="00273D34">
        <w:rPr>
          <w:i/>
        </w:rPr>
        <w:t>ruh</w:t>
      </w:r>
      <w:r w:rsidR="00273D34" w:rsidRPr="00273D34">
        <w:rPr>
          <w:i/>
        </w:rPr>
        <w:t>ých analytikách</w:t>
      </w:r>
      <w:r w:rsidR="00273D34">
        <w:t xml:space="preserve">, a to </w:t>
      </w:r>
      <w:r w:rsidR="00AB2BF0" w:rsidRPr="00AB2BF0">
        <w:t xml:space="preserve">ve vztahu k první </w:t>
      </w:r>
      <w:r w:rsidR="00273D34">
        <w:t>substanci</w:t>
      </w:r>
      <w:r w:rsidR="00A21C73">
        <w:t xml:space="preserve">. Druhý případ pravdy nastává, když je skutečná věc založena v rámci supozice. Korespondence probíhá jako esenciální predikace druhé substance, protože její pojem je vytvořen v </w:t>
      </w:r>
      <w:r w:rsidR="00A21C73" w:rsidRPr="00A21C73">
        <w:rPr>
          <w:i/>
        </w:rPr>
        <w:t>anima intellectiva</w:t>
      </w:r>
      <w:r w:rsidR="00A21C73">
        <w:t xml:space="preserve"> (</w:t>
      </w:r>
      <w:r w:rsidR="00A21C73" w:rsidRPr="00A21C73">
        <w:rPr>
          <w:i/>
        </w:rPr>
        <w:t>refertur ad animam cognoscentem</w:t>
      </w:r>
      <w:r w:rsidR="00A21C73">
        <w:t xml:space="preserve">). Není to pouze </w:t>
      </w:r>
      <w:r w:rsidR="00A21C73" w:rsidRPr="00A21C73">
        <w:rPr>
          <w:i/>
        </w:rPr>
        <w:t>opinabile</w:t>
      </w:r>
      <w:r w:rsidR="00A21C73">
        <w:t xml:space="preserve">, které je </w:t>
      </w:r>
      <w:r w:rsidR="00C761EA">
        <w:t xml:space="preserve">dáno </w:t>
      </w:r>
      <w:r w:rsidR="00A21C73">
        <w:t xml:space="preserve">jako univerzální </w:t>
      </w:r>
      <w:r w:rsidR="00C761EA">
        <w:t xml:space="preserve">esence v myšlení. V této podobě pravdy je zahrnuto i mystické osvícení, poznání vírou atd., protože ty </w:t>
      </w:r>
      <w:r w:rsidR="00A21C73">
        <w:t>mohou přím</w:t>
      </w:r>
      <w:r w:rsidR="00C761EA">
        <w:t>o působit na duši jako Avicennův</w:t>
      </w:r>
      <w:r w:rsidR="00A21C73">
        <w:t xml:space="preserve"> </w:t>
      </w:r>
      <w:r w:rsidR="00A21C73" w:rsidRPr="00C761EA">
        <w:rPr>
          <w:i/>
        </w:rPr>
        <w:t>intellectus sanctus</w:t>
      </w:r>
      <w:r w:rsidR="00C761EA">
        <w:rPr>
          <w:i/>
        </w:rPr>
        <w:fldChar w:fldCharType="begin"/>
      </w:r>
      <w:r w:rsidR="00C761EA">
        <w:instrText xml:space="preserve"> XE "</w:instrText>
      </w:r>
      <w:r w:rsidR="00C761EA" w:rsidRPr="00AC4701">
        <w:rPr>
          <w:i/>
        </w:rPr>
        <w:instrText>intellectus sanctus</w:instrText>
      </w:r>
      <w:r w:rsidR="00C761EA">
        <w:instrText xml:space="preserve">" </w:instrText>
      </w:r>
      <w:r w:rsidR="00C761EA">
        <w:rPr>
          <w:i/>
        </w:rPr>
        <w:fldChar w:fldCharType="end"/>
      </w:r>
      <w:r w:rsidR="00A21C73">
        <w:t>.</w:t>
      </w:r>
      <w:r w:rsidR="00C761EA">
        <w:t xml:space="preserve"> </w:t>
      </w:r>
      <w:r w:rsidR="00AB2BF0" w:rsidRPr="00AB2BF0">
        <w:t xml:space="preserve">Myšlení </w:t>
      </w:r>
      <w:r w:rsidR="000715F0">
        <w:t>po</w:t>
      </w:r>
      <w:r w:rsidR="00AB2BF0" w:rsidRPr="00AB2BF0">
        <w:t xml:space="preserve">znává skutečnou věc ne podle </w:t>
      </w:r>
      <w:r w:rsidR="00C761EA">
        <w:t xml:space="preserve">smyslově založené </w:t>
      </w:r>
      <w:r w:rsidR="00AB2BF0" w:rsidRPr="00AB2BF0">
        <w:t>predik</w:t>
      </w:r>
      <w:r w:rsidR="000715F0">
        <w:t>a</w:t>
      </w:r>
      <w:r w:rsidR="00AB2BF0" w:rsidRPr="00AB2BF0">
        <w:t>ce jedinečné kauzality</w:t>
      </w:r>
      <w:r w:rsidR="00C761EA">
        <w:t xml:space="preserve"> z reálu</w:t>
      </w:r>
      <w:r w:rsidR="00AB2BF0" w:rsidRPr="00AB2BF0">
        <w:t>, ale podle jejích podstatných rysů daných univerzální definicí. Pak je pravda zjištěna na základě přesvědčení, že myšlení si zachovává svou vlastní správnost (</w:t>
      </w:r>
      <w:r w:rsidR="00AB2BF0" w:rsidRPr="000715F0">
        <w:rPr>
          <w:i/>
        </w:rPr>
        <w:t>veritas est rectitudo</w:t>
      </w:r>
      <w:r w:rsidR="00AB2BF0" w:rsidRPr="00AB2BF0">
        <w:t xml:space="preserve">), protože neexistuje žádný </w:t>
      </w:r>
      <w:r w:rsidR="000715F0">
        <w:t xml:space="preserve">vztah </w:t>
      </w:r>
      <w:r w:rsidR="00AB2BF0" w:rsidRPr="00AB2BF0">
        <w:t>k</w:t>
      </w:r>
      <w:r w:rsidR="00C761EA">
        <w:t xml:space="preserve"> hylemorficky určené </w:t>
      </w:r>
      <w:r w:rsidR="00AB2BF0" w:rsidRPr="00AB2BF0">
        <w:t>realitě.</w:t>
      </w:r>
      <w:r w:rsidR="000715F0">
        <w:t xml:space="preserve"> </w:t>
      </w:r>
      <w:r w:rsidR="08C72C3D">
        <w:rPr>
          <w:szCs w:val="21"/>
        </w:rPr>
        <w:t xml:space="preserve">Pak nejde o adekvaci vzhledem k hyparchicky dané </w:t>
      </w:r>
      <w:r w:rsidR="00C761EA">
        <w:rPr>
          <w:szCs w:val="21"/>
        </w:rPr>
        <w:t xml:space="preserve">materiální </w:t>
      </w:r>
      <w:r w:rsidR="08C72C3D">
        <w:rPr>
          <w:szCs w:val="21"/>
        </w:rPr>
        <w:t>realitě, ale o porovnání dvou univočně a kategoriálně predikovaných významů druhé substance</w:t>
      </w:r>
      <w:r w:rsidR="08C72C3D">
        <w:t xml:space="preserve">. </w:t>
      </w:r>
      <w:r w:rsidR="0875286F">
        <w:t>Z hlediska metafyzické abstrakce platí, že k</w:t>
      </w:r>
      <w:r w:rsidR="082B2511">
        <w:t xml:space="preserve">ategoriální predikace </w:t>
      </w:r>
      <w:r w:rsidR="0875286F">
        <w:t xml:space="preserve">esence </w:t>
      </w:r>
      <w:r w:rsidR="082B2511">
        <w:t xml:space="preserve">je </w:t>
      </w:r>
      <w:r w:rsidR="08546D65">
        <w:t xml:space="preserve">dána </w:t>
      </w:r>
      <w:r w:rsidR="00C761EA">
        <w:t xml:space="preserve">mimo </w:t>
      </w:r>
      <w:r w:rsidR="082B2511">
        <w:t>modu</w:t>
      </w:r>
      <w:r w:rsidR="00C761EA">
        <w:t>s</w:t>
      </w:r>
      <w:r w:rsidR="082B2511">
        <w:t xml:space="preserve"> </w:t>
      </w:r>
      <w:r w:rsidR="08882898">
        <w:t>pravdy</w:t>
      </w:r>
      <w:r w:rsidR="00144C3B">
        <w:t xml:space="preserve"> </w:t>
      </w:r>
      <w:r w:rsidR="00C761EA">
        <w:t xml:space="preserve">jako </w:t>
      </w:r>
      <w:r w:rsidR="00C761EA" w:rsidRPr="00C761EA">
        <w:rPr>
          <w:i/>
        </w:rPr>
        <w:t>demonstratio</w:t>
      </w:r>
      <w:r w:rsidR="00C761EA">
        <w:t xml:space="preserve">, </w:t>
      </w:r>
      <w:r w:rsidR="00144C3B">
        <w:t>kvůli chybějící hyparchické va</w:t>
      </w:r>
      <w:r w:rsidR="0875286F">
        <w:t xml:space="preserve">zbě na </w:t>
      </w:r>
      <w:r w:rsidR="00C761EA">
        <w:t xml:space="preserve">smyslově vnímanou </w:t>
      </w:r>
      <w:r w:rsidR="0875286F">
        <w:t>realitu</w:t>
      </w:r>
      <w:r w:rsidR="00144C3B">
        <w:t>.</w:t>
      </w:r>
      <w:r w:rsidR="006E5B0B">
        <w:t xml:space="preserve"> </w:t>
      </w:r>
      <w:r w:rsidR="08C83DE0">
        <w:t xml:space="preserve">Bacon </w:t>
      </w:r>
      <w:r w:rsidR="082B2511">
        <w:t>rozlišuje dvojí b</w:t>
      </w:r>
      <w:r w:rsidR="08ED7D53">
        <w:t>ytí substance buď v hyparchické existenci</w:t>
      </w:r>
      <w:r w:rsidR="082B2511">
        <w:t>, nebo v univerzálním modu</w:t>
      </w:r>
      <w:r w:rsidR="08ED7D53">
        <w:t xml:space="preserve"> existence v mysli</w:t>
      </w:r>
      <w:r w:rsidR="082B2511">
        <w:t xml:space="preserve">.  Pokud vzniká </w:t>
      </w:r>
      <w:r w:rsidR="08C15B7F">
        <w:t xml:space="preserve">logická pravda </w:t>
      </w:r>
      <w:r w:rsidR="082B2511">
        <w:t xml:space="preserve">jen v řádu pouhé supozice dané v mysli poznávajícího, pak nelze mluvit o adekvaci intelektu a reality. </w:t>
      </w:r>
      <w:r w:rsidR="0856779D">
        <w:t xml:space="preserve">Esenciální a formální </w:t>
      </w:r>
      <w:r w:rsidR="0856779D" w:rsidRPr="00273106">
        <w:t xml:space="preserve">správnost </w:t>
      </w:r>
      <w:r w:rsidR="0856779D">
        <w:t>daná v subjektu není totéž jako pravda v projektu první vědy</w:t>
      </w:r>
      <w:r w:rsidR="0856779D" w:rsidRPr="00273106">
        <w:t xml:space="preserve"> zkoumající principy poznání </w:t>
      </w:r>
      <w:r w:rsidR="0856779D">
        <w:t xml:space="preserve">vzhledem k </w:t>
      </w:r>
      <w:r w:rsidR="0856779D" w:rsidRPr="00273106">
        <w:t xml:space="preserve">aktuální </w:t>
      </w:r>
      <w:r w:rsidR="0856779D">
        <w:t>první substanci (</w:t>
      </w:r>
      <w:r w:rsidR="00D95F3B" w:rsidRPr="001A46D7">
        <w:rPr>
          <w:i/>
        </w:rPr>
        <w:t xml:space="preserve">adequatio </w:t>
      </w:r>
      <w:r w:rsidR="00D95F3B" w:rsidRPr="001A46D7">
        <w:rPr>
          <w:i/>
          <w:szCs w:val="22"/>
        </w:rPr>
        <w:t>rerum</w:t>
      </w:r>
      <w:r w:rsidR="0856779D">
        <w:rPr>
          <w:i/>
        </w:rPr>
        <w:fldChar w:fldCharType="begin"/>
      </w:r>
      <w:r w:rsidR="0856779D">
        <w:instrText xml:space="preserve"> XE "</w:instrText>
      </w:r>
      <w:r w:rsidR="0856779D">
        <w:rPr>
          <w:i/>
        </w:rPr>
        <w:instrText>adaequatio</w:instrText>
      </w:r>
      <w:r w:rsidR="0856779D" w:rsidRPr="00BD02BA">
        <w:rPr>
          <w:i/>
        </w:rPr>
        <w:instrText>:</w:instrText>
      </w:r>
      <w:r w:rsidR="0856779D" w:rsidRPr="00695F18">
        <w:instrText>Bacon</w:instrText>
      </w:r>
      <w:r w:rsidR="0856779D">
        <w:instrText xml:space="preserve">" </w:instrText>
      </w:r>
      <w:r w:rsidR="0856779D">
        <w:rPr>
          <w:i/>
        </w:rPr>
        <w:fldChar w:fldCharType="end"/>
      </w:r>
      <w:r w:rsidR="0856779D">
        <w:t>)</w:t>
      </w:r>
      <w:r w:rsidR="0856779D" w:rsidRPr="00273106">
        <w:t>.</w:t>
      </w:r>
      <w:r w:rsidR="0856779D">
        <w:t xml:space="preserve"> </w:t>
      </w:r>
      <w:r w:rsidR="082E4441">
        <w:t xml:space="preserve">Albert z tohoto zásadního důvodu odmítl poznání duše na základě formální definice Toledské školy </w:t>
      </w:r>
      <w:r w:rsidR="082E4441" w:rsidRPr="00273106">
        <w:t>(</w:t>
      </w:r>
      <w:r w:rsidR="082E4441" w:rsidRPr="00273106">
        <w:rPr>
          <w:i/>
        </w:rPr>
        <w:t>scientur imperfecte</w:t>
      </w:r>
      <w:r w:rsidR="082E4441">
        <w:t xml:space="preserve">, </w:t>
      </w:r>
      <w:r w:rsidR="085F6FB7">
        <w:t>kap. 2</w:t>
      </w:r>
      <w:r w:rsidR="082E4441" w:rsidRPr="00273106">
        <w:t>.4.1).</w:t>
      </w:r>
    </w:p>
    <w:p w14:paraId="4B968BF8" w14:textId="77777777" w:rsidR="00EA54CA" w:rsidRDefault="082B2511" w:rsidP="00ED6039">
      <w:pPr>
        <w:ind w:firstLine="397"/>
      </w:pPr>
      <w:r w:rsidRPr="00273106">
        <w:t xml:space="preserve">Bacon </w:t>
      </w:r>
      <w:r w:rsidR="082E4441">
        <w:t xml:space="preserve">a Albert </w:t>
      </w:r>
      <w:r w:rsidRPr="00273106">
        <w:t>odmítl</w:t>
      </w:r>
      <w:r w:rsidR="082E4441">
        <w:t>i</w:t>
      </w:r>
      <w:r w:rsidRPr="00273106">
        <w:t xml:space="preserve"> </w:t>
      </w:r>
      <w:r w:rsidR="001206DE">
        <w:t xml:space="preserve">falešné </w:t>
      </w:r>
      <w:r w:rsidRPr="00273106">
        <w:t xml:space="preserve">pojetí </w:t>
      </w:r>
      <w:r w:rsidR="08B85C7B">
        <w:t xml:space="preserve">metafyzické </w:t>
      </w:r>
      <w:r w:rsidRPr="00273106">
        <w:t xml:space="preserve">pravdy podle </w:t>
      </w:r>
      <w:r w:rsidRPr="00273106">
        <w:rPr>
          <w:i/>
        </w:rPr>
        <w:t>Oxfordian Fallacy</w:t>
      </w:r>
      <w:r>
        <w:rPr>
          <w:i/>
        </w:rPr>
        <w:fldChar w:fldCharType="begin"/>
      </w:r>
      <w:r>
        <w:instrText xml:space="preserve"> XE "</w:instrText>
      </w:r>
      <w:r w:rsidRPr="0015798D">
        <w:rPr>
          <w:i/>
        </w:rPr>
        <w:instrText>Oxfordian Fallacy:</w:instrText>
      </w:r>
      <w:r w:rsidRPr="00432514">
        <w:instrText>kritika Bacona</w:instrText>
      </w:r>
      <w:r>
        <w:instrText xml:space="preserve">" </w:instrText>
      </w:r>
      <w:r>
        <w:rPr>
          <w:i/>
        </w:rPr>
        <w:fldChar w:fldCharType="end"/>
      </w:r>
      <w:r w:rsidRPr="00273106">
        <w:t xml:space="preserve"> v téže </w:t>
      </w:r>
      <w:r>
        <w:t>dekádě</w:t>
      </w:r>
      <w:r w:rsidRPr="00273106">
        <w:t xml:space="preserve">. </w:t>
      </w:r>
      <w:r w:rsidR="082E4441">
        <w:t xml:space="preserve">Oba </w:t>
      </w:r>
      <w:r w:rsidR="083162C3">
        <w:t xml:space="preserve">brilantní </w:t>
      </w:r>
      <w:r w:rsidRPr="00273106">
        <w:t>aristotelik</w:t>
      </w:r>
      <w:r w:rsidR="082E4441">
        <w:t>ové</w:t>
      </w:r>
      <w:r w:rsidRPr="00273106">
        <w:t xml:space="preserve"> hájil</w:t>
      </w:r>
      <w:r w:rsidR="082E4441">
        <w:t xml:space="preserve">i proti modernistům </w:t>
      </w:r>
      <w:r w:rsidRPr="00273106">
        <w:t>pojetí pra</w:t>
      </w:r>
      <w:r w:rsidR="087F47C3">
        <w:t xml:space="preserve">vdy podle prvního averroismu. </w:t>
      </w:r>
      <w:r w:rsidR="082E4441">
        <w:t xml:space="preserve">Bacon </w:t>
      </w:r>
      <w:r w:rsidRPr="00273106">
        <w:t>viděl</w:t>
      </w:r>
      <w:r w:rsidR="087F47C3">
        <w:t xml:space="preserve"> jako Albert </w:t>
      </w:r>
      <w:r w:rsidR="082E4441">
        <w:t xml:space="preserve">a </w:t>
      </w:r>
      <w:r w:rsidR="087F47C3">
        <w:t>ve stejné době</w:t>
      </w:r>
      <w:r w:rsidRPr="00273106">
        <w:t xml:space="preserve">, že rozdíl mezi oběma podobami </w:t>
      </w:r>
      <w:r w:rsidR="08297867">
        <w:t xml:space="preserve">metafyzické </w:t>
      </w:r>
      <w:r w:rsidRPr="00273106">
        <w:t xml:space="preserve">pravdy určuje dva odlišné </w:t>
      </w:r>
      <w:r w:rsidR="00B30F14">
        <w:t xml:space="preserve">modely </w:t>
      </w:r>
      <w:r w:rsidR="0812460D">
        <w:t>vědeckého poznání</w:t>
      </w:r>
      <w:r w:rsidR="00B30F14">
        <w:t>,</w:t>
      </w:r>
      <w:r w:rsidR="08DF6561">
        <w:t xml:space="preserve"> a tím </w:t>
      </w:r>
      <w:r w:rsidR="001504FD">
        <w:t>je třeba zajistit jednotu p</w:t>
      </w:r>
      <w:r w:rsidR="08DF6561">
        <w:t>rvní vědy</w:t>
      </w:r>
      <w:r w:rsidRPr="00273106">
        <w:t>.</w:t>
      </w:r>
      <w:r w:rsidR="08CB6543">
        <w:rPr>
          <w:rStyle w:val="Znakapoznpodarou"/>
        </w:rPr>
        <w:footnoteReference w:id="403"/>
      </w:r>
      <w:r w:rsidRPr="00273106">
        <w:t xml:space="preserve"> </w:t>
      </w:r>
      <w:r w:rsidR="08771F98">
        <w:t xml:space="preserve">Zkoumání univerzální esence v modu </w:t>
      </w:r>
      <w:r w:rsidR="08771F98" w:rsidRPr="08771F98">
        <w:rPr>
          <w:i/>
        </w:rPr>
        <w:t>ens inquantum ens</w:t>
      </w:r>
      <w:r w:rsidR="08771F98">
        <w:rPr>
          <w:i/>
        </w:rPr>
        <w:fldChar w:fldCharType="begin"/>
      </w:r>
      <w:r w:rsidR="08771F98">
        <w:instrText xml:space="preserve"> XE "</w:instrText>
      </w:r>
      <w:r w:rsidR="08771F98" w:rsidRPr="088B3746">
        <w:rPr>
          <w:i/>
        </w:rPr>
        <w:instrText>ens inquantum ens</w:instrText>
      </w:r>
      <w:r w:rsidR="08771F98">
        <w:instrText xml:space="preserve">" </w:instrText>
      </w:r>
      <w:r w:rsidR="08771F98">
        <w:rPr>
          <w:i/>
        </w:rPr>
        <w:fldChar w:fldCharType="end"/>
      </w:r>
      <w:r w:rsidR="08771F98">
        <w:t xml:space="preserve"> patří do pojetí </w:t>
      </w:r>
      <w:r w:rsidR="087A7724">
        <w:t xml:space="preserve">neoplatonské </w:t>
      </w:r>
      <w:r w:rsidR="08771F98">
        <w:t>metafyziky podle Avicenny</w:t>
      </w:r>
      <w:r w:rsidR="08FA1D8A">
        <w:t>. M</w:t>
      </w:r>
      <w:r w:rsidR="08CB6543">
        <w:t>etafyzická dedukce jde od jsoucna daného esenciálně</w:t>
      </w:r>
      <w:r w:rsidR="08771F98">
        <w:t xml:space="preserve"> </w:t>
      </w:r>
      <w:r w:rsidR="08FA1D8A">
        <w:t xml:space="preserve">jako </w:t>
      </w:r>
      <w:r w:rsidR="000812CB">
        <w:t xml:space="preserve">logický </w:t>
      </w:r>
      <w:r w:rsidR="08FA1D8A">
        <w:t>princip (</w:t>
      </w:r>
      <w:r w:rsidR="08FA1D8A" w:rsidRPr="08CB6543">
        <w:rPr>
          <w:i/>
        </w:rPr>
        <w:t>ad principium eorum productivum</w:t>
      </w:r>
      <w:r w:rsidR="08FA1D8A">
        <w:t>)</w:t>
      </w:r>
      <w:r w:rsidR="000812CB">
        <w:t xml:space="preserve">, </w:t>
      </w:r>
      <w:r w:rsidR="08FA1D8A">
        <w:t xml:space="preserve">proto se jedná o redukci </w:t>
      </w:r>
      <w:r w:rsidR="003D6779">
        <w:t>na abstraktní</w:t>
      </w:r>
      <w:r w:rsidR="08FA1D8A">
        <w:t xml:space="preserve"> pojetí jsoucnosti </w:t>
      </w:r>
      <w:r w:rsidR="08CB6543">
        <w:t>(</w:t>
      </w:r>
      <w:r w:rsidR="08CB6543" w:rsidRPr="08CB6543">
        <w:rPr>
          <w:i/>
        </w:rPr>
        <w:t>reductio entium in quantum entia sunt</w:t>
      </w:r>
      <w:r w:rsidR="08CB6543">
        <w:t>). Z</w:t>
      </w:r>
      <w:r w:rsidR="08771F98">
        <w:t xml:space="preserve">koumání </w:t>
      </w:r>
      <w:r w:rsidR="00DB1E74">
        <w:t>„</w:t>
      </w:r>
      <w:r w:rsidR="08771F98">
        <w:t xml:space="preserve">substance </w:t>
      </w:r>
      <w:r w:rsidR="08771F98" w:rsidRPr="08771F98">
        <w:rPr>
          <w:i/>
        </w:rPr>
        <w:t>qua</w:t>
      </w:r>
      <w:r w:rsidR="08771F98">
        <w:t xml:space="preserve"> substance</w:t>
      </w:r>
      <w:r w:rsidR="00DB1E74">
        <w:t>“</w:t>
      </w:r>
      <w:r w:rsidR="08771F98">
        <w:fldChar w:fldCharType="begin"/>
      </w:r>
      <w:r w:rsidR="08771F98">
        <w:instrText xml:space="preserve"> XE "</w:instrText>
      </w:r>
      <w:r w:rsidR="08771F98" w:rsidRPr="086D6FB6">
        <w:instrText xml:space="preserve">substance </w:instrText>
      </w:r>
      <w:r w:rsidR="08771F98" w:rsidRPr="086D6FB6">
        <w:rPr>
          <w:i/>
        </w:rPr>
        <w:instrText>qua</w:instrText>
      </w:r>
      <w:r w:rsidR="08771F98" w:rsidRPr="086D6FB6">
        <w:instrText xml:space="preserve"> substance</w:instrText>
      </w:r>
      <w:r w:rsidR="08771F98">
        <w:instrText xml:space="preserve">" </w:instrText>
      </w:r>
      <w:r w:rsidR="08771F98">
        <w:fldChar w:fldCharType="end"/>
      </w:r>
      <w:r w:rsidR="08771F98">
        <w:t xml:space="preserve"> </w:t>
      </w:r>
      <w:r w:rsidR="08B03D13">
        <w:t xml:space="preserve">naopak </w:t>
      </w:r>
      <w:r w:rsidR="08CB6543">
        <w:t xml:space="preserve">patří </w:t>
      </w:r>
      <w:r w:rsidR="08771F98">
        <w:t xml:space="preserve">do projektu </w:t>
      </w:r>
      <w:r w:rsidR="081A5A0A">
        <w:t xml:space="preserve">aristotelské </w:t>
      </w:r>
      <w:r w:rsidR="08771F98">
        <w:t>metafyziky podle Komentátora</w:t>
      </w:r>
      <w:r w:rsidR="08B03D13">
        <w:t>. P</w:t>
      </w:r>
      <w:r w:rsidR="08CB6543">
        <w:t>rvní</w:t>
      </w:r>
      <w:r w:rsidR="081A5A0A">
        <w:t xml:space="preserve"> věda</w:t>
      </w:r>
      <w:r w:rsidR="08CB6543">
        <w:t xml:space="preserve"> vychází z fyziky a zkoumá reálnou produkci jsoucna</w:t>
      </w:r>
      <w:r w:rsidR="08FA5709">
        <w:t xml:space="preserve"> (</w:t>
      </w:r>
      <w:r w:rsidR="08FA5709" w:rsidRPr="08CB6543">
        <w:rPr>
          <w:i/>
        </w:rPr>
        <w:t>resolutio esse actualis et naturalis rerum</w:t>
      </w:r>
      <w:r w:rsidR="08FA5709">
        <w:t>)</w:t>
      </w:r>
      <w:r w:rsidR="08BD11E1">
        <w:t xml:space="preserve">. </w:t>
      </w:r>
      <w:r w:rsidR="08360A98">
        <w:t xml:space="preserve">Metafyzická predikace </w:t>
      </w:r>
      <w:r w:rsidR="08BD11E1">
        <w:t xml:space="preserve">celku </w:t>
      </w:r>
      <w:r w:rsidR="08FA5709">
        <w:t xml:space="preserve">jsoucna </w:t>
      </w:r>
      <w:r w:rsidR="087C7AD6">
        <w:t xml:space="preserve">od </w:t>
      </w:r>
      <w:r w:rsidR="08360A98">
        <w:t xml:space="preserve">hyparchicky </w:t>
      </w:r>
      <w:r w:rsidR="08BD11E1">
        <w:t xml:space="preserve">reálné jsoucnosti </w:t>
      </w:r>
      <w:r w:rsidR="08FD4DE6">
        <w:t>(</w:t>
      </w:r>
      <w:r w:rsidR="08FD4DE6" w:rsidRPr="08FA5709">
        <w:rPr>
          <w:i/>
        </w:rPr>
        <w:t>secundum methaphysicum est ponere</w:t>
      </w:r>
      <w:r w:rsidR="08FD4DE6">
        <w:t xml:space="preserve">) </w:t>
      </w:r>
      <w:r w:rsidR="08FA5709">
        <w:t xml:space="preserve">může pocházet výslovně a jedině </w:t>
      </w:r>
      <w:r w:rsidR="08360A98">
        <w:t xml:space="preserve">od </w:t>
      </w:r>
      <w:r w:rsidR="08CB6543">
        <w:t>první efektivní příčiny</w:t>
      </w:r>
      <w:r w:rsidR="08FA5709">
        <w:t xml:space="preserve"> (</w:t>
      </w:r>
      <w:r w:rsidR="08E11B98" w:rsidRPr="08FA5709">
        <w:rPr>
          <w:i/>
        </w:rPr>
        <w:t>unam solam causam efficientem</w:t>
      </w:r>
      <w:r w:rsidR="08FA5709">
        <w:t>)</w:t>
      </w:r>
      <w:r w:rsidR="08771F98">
        <w:t xml:space="preserve">. </w:t>
      </w:r>
      <w:r w:rsidR="087C7AD6">
        <w:t xml:space="preserve">Opět je ve hře správně vyložený status vědeckého důkazu </w:t>
      </w:r>
      <w:r w:rsidR="087C7AD6" w:rsidRPr="087C7AD6">
        <w:rPr>
          <w:i/>
        </w:rPr>
        <w:t>Druhých analytik</w:t>
      </w:r>
      <w:r w:rsidR="087C7AD6">
        <w:t xml:space="preserve">, který moderna změnila na sofistickou analytickou verzi skrze zatmění první substance. </w:t>
      </w:r>
      <w:r w:rsidRPr="00273106">
        <w:t>Druhý averroismus konstruuje poznání jako logický závěr dokazující existenci první substance v modu subj</w:t>
      </w:r>
      <w:r>
        <w:t>ektivní evidence</w:t>
      </w:r>
      <w:r w:rsidR="08267535">
        <w:t xml:space="preserve"> </w:t>
      </w:r>
      <w:r w:rsidR="08267535" w:rsidRPr="08267535">
        <w:rPr>
          <w:i/>
        </w:rPr>
        <w:t>rectitudo</w:t>
      </w:r>
      <w:r>
        <w:fldChar w:fldCharType="begin"/>
      </w:r>
      <w:r>
        <w:instrText xml:space="preserve"> XE "</w:instrText>
      </w:r>
      <w:r w:rsidRPr="004D79A7">
        <w:instrText>evidence:Avicenna</w:instrText>
      </w:r>
      <w:r>
        <w:instrText xml:space="preserve">" </w:instrText>
      </w:r>
      <w:r>
        <w:fldChar w:fldCharType="end"/>
      </w:r>
      <w:r w:rsidR="007C7C49">
        <w:t xml:space="preserve">. Rufus to </w:t>
      </w:r>
      <w:r>
        <w:t xml:space="preserve">poprvé </w:t>
      </w:r>
      <w:r w:rsidR="007C7C49" w:rsidRPr="00273106">
        <w:t xml:space="preserve">uskutečnil </w:t>
      </w:r>
      <w:r>
        <w:t xml:space="preserve">na </w:t>
      </w:r>
      <w:r w:rsidR="007C7C49">
        <w:t>latinském Západě</w:t>
      </w:r>
      <w:r w:rsidRPr="00273106">
        <w:t xml:space="preserve">. </w:t>
      </w:r>
      <w:r w:rsidR="0852755E">
        <w:t>Předešlá kapitola ukázala, že Rufus zrušil platnost metaf</w:t>
      </w:r>
      <w:r w:rsidR="005C253D">
        <w:t>yziky jako první vědy. P</w:t>
      </w:r>
      <w:r w:rsidR="0852755E">
        <w:t>ostavil první filosofii na logické abstrakci a</w:t>
      </w:r>
      <w:r w:rsidR="005C253D">
        <w:t xml:space="preserve"> tu sofisticky </w:t>
      </w:r>
      <w:r w:rsidR="0852755E">
        <w:t>vydával za Aristotelov</w:t>
      </w:r>
      <w:r w:rsidR="005C253D">
        <w:t>u metafyziku</w:t>
      </w:r>
      <w:r w:rsidR="0852755E">
        <w:t xml:space="preserve">. </w:t>
      </w:r>
      <w:r>
        <w:t xml:space="preserve">Tuto cestu moderního </w:t>
      </w:r>
      <w:r w:rsidRPr="00273106">
        <w:t>rozumu musí první ave</w:t>
      </w:r>
      <w:r w:rsidR="08267535">
        <w:t>rroismus zásadně odmít</w:t>
      </w:r>
      <w:r w:rsidR="084313B5">
        <w:t>nout, protože musí bránit pravdu</w:t>
      </w:r>
      <w:r w:rsidR="08267535">
        <w:t xml:space="preserve"> jako adekvaci. Rufusova analytická cesta pouze logického </w:t>
      </w:r>
      <w:r w:rsidR="08267535" w:rsidRPr="08267535">
        <w:rPr>
          <w:i/>
        </w:rPr>
        <w:t>certitudo</w:t>
      </w:r>
      <w:r w:rsidR="08267535">
        <w:t xml:space="preserve"> </w:t>
      </w:r>
      <w:r w:rsidR="0852755E">
        <w:t>dokonce zrušila i metafyziku, nejen Aristotelovu filosofii</w:t>
      </w:r>
      <w:r w:rsidRPr="00273106">
        <w:t xml:space="preserve">. </w:t>
      </w:r>
      <w:r w:rsidR="00E229BF" w:rsidRPr="00E229BF">
        <w:t xml:space="preserve">Analyticky </w:t>
      </w:r>
      <w:r w:rsidR="00020EF6">
        <w:t xml:space="preserve">vzdělané </w:t>
      </w:r>
      <w:r w:rsidR="00E229BF" w:rsidRPr="00E229BF">
        <w:t>Fúrie od té doby udělaly velký pokrok. Když to Vídeňský kruh</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0E229BF" w:rsidRPr="00E229BF">
        <w:t xml:space="preserve"> </w:t>
      </w:r>
      <w:r w:rsidR="005560A4">
        <w:t xml:space="preserve">logických </w:t>
      </w:r>
      <w:r w:rsidR="00E229BF" w:rsidRPr="00E229BF">
        <w:t>positivistů udělal znovu na začátku 20.</w:t>
      </w:r>
      <w:r w:rsidR="00E229BF">
        <w:t xml:space="preserve"> </w:t>
      </w:r>
      <w:r w:rsidR="00E229BF" w:rsidRPr="00E229BF">
        <w:t>století, byli všeobecně uznáváni jako filozofičtí spasitelé.</w:t>
      </w:r>
      <w:r w:rsidR="00E229BF">
        <w:t xml:space="preserve"> </w:t>
      </w:r>
      <w:r w:rsidR="00FE3A50" w:rsidRPr="00FE3A50">
        <w:t xml:space="preserve">Na samém počátku, kdy temnota moderní mysli udělala </w:t>
      </w:r>
      <w:r w:rsidR="00FE3A50">
        <w:t xml:space="preserve">teprve </w:t>
      </w:r>
      <w:r w:rsidR="00FE3A50" w:rsidRPr="00FE3A50">
        <w:t>první kr</w:t>
      </w:r>
      <w:r w:rsidR="00FE3A50">
        <w:t>ůčky</w:t>
      </w:r>
      <w:r w:rsidR="00FE3A50" w:rsidRPr="00FE3A50">
        <w:t xml:space="preserve">, </w:t>
      </w:r>
      <w:r w:rsidR="005730BA">
        <w:t>zmizení metafyziky vadilo i prvním scholastickým</w:t>
      </w:r>
      <w:r w:rsidR="00FE3A50" w:rsidRPr="00FE3A50">
        <w:t xml:space="preserve">. Je třeba </w:t>
      </w:r>
      <w:r w:rsidR="005730BA">
        <w:t>poznamenat,</w:t>
      </w:r>
      <w:r w:rsidR="00FE3A50" w:rsidRPr="00FE3A50">
        <w:t xml:space="preserve"> že byli považováni za šílené, směšné nebo imbecilní myslitele v kritických akademických školách.</w:t>
      </w:r>
      <w:r w:rsidR="005730BA">
        <w:t xml:space="preserve"> </w:t>
      </w:r>
      <w:r w:rsidR="00415B43">
        <w:t xml:space="preserve">Moderna proto nestojí na správné teorii pravdy, ale na ideji nezadržitelného pokroku. </w:t>
      </w:r>
      <w:r w:rsidR="00415B43" w:rsidRPr="00415B43">
        <w:t>Škola moderních Iluminátů v Oxfordu věděla s logickou nutností, že Antikrist musí přijít</w:t>
      </w:r>
      <w:r w:rsidR="00F24DCF">
        <w:t xml:space="preserve"> (</w:t>
      </w:r>
      <w:r w:rsidR="00F24DCF" w:rsidRPr="00F24DCF">
        <w:rPr>
          <w:i/>
        </w:rPr>
        <w:t>Ge-Stell</w:t>
      </w:r>
      <w:r w:rsidR="00F24DCF">
        <w:rPr>
          <w:i/>
        </w:rPr>
        <w:fldChar w:fldCharType="begin"/>
      </w:r>
      <w:r w:rsidR="00F24DCF">
        <w:instrText xml:space="preserve"> XE "</w:instrText>
      </w:r>
      <w:r w:rsidR="00F24DCF" w:rsidRPr="00F536A7">
        <w:rPr>
          <w:i/>
        </w:rPr>
        <w:instrText>Ge-Stell</w:instrText>
      </w:r>
      <w:r w:rsidR="00F24DCF">
        <w:instrText xml:space="preserve">" </w:instrText>
      </w:r>
      <w:r w:rsidR="00F24DCF">
        <w:rPr>
          <w:i/>
        </w:rPr>
        <w:fldChar w:fldCharType="end"/>
      </w:r>
      <w:r w:rsidR="00F24DCF">
        <w:t>)</w:t>
      </w:r>
      <w:r w:rsidR="00415B43" w:rsidRPr="00415B43">
        <w:t>.</w:t>
      </w:r>
      <w:r w:rsidR="00415B43">
        <w:t xml:space="preserve"> </w:t>
      </w:r>
      <w:r w:rsidR="00F24DCF">
        <w:t xml:space="preserve">Existence logicky myslících iluminátů je </w:t>
      </w:r>
      <w:r w:rsidR="00E267AB">
        <w:t xml:space="preserve">fundemantální </w:t>
      </w:r>
      <w:r w:rsidR="00F24DCF">
        <w:t>základ</w:t>
      </w:r>
      <w:r w:rsidR="00E267AB">
        <w:t xml:space="preserve"> </w:t>
      </w:r>
      <w:r w:rsidR="00E267AB" w:rsidRPr="002841CC">
        <w:rPr>
          <w:szCs w:val="24"/>
        </w:rPr>
        <w:t>(</w:t>
      </w:r>
      <w:r w:rsidR="00E267AB" w:rsidRPr="002841CC">
        <w:rPr>
          <w:i/>
          <w:szCs w:val="24"/>
        </w:rPr>
        <w:t>ratio sufficiens</w:t>
      </w:r>
      <w:r w:rsidR="00E267AB">
        <w:rPr>
          <w:i/>
          <w:szCs w:val="24"/>
        </w:rPr>
        <w:fldChar w:fldCharType="begin"/>
      </w:r>
      <w:r w:rsidR="00E267AB">
        <w:instrText xml:space="preserve"> XE "</w:instrText>
      </w:r>
      <w:r w:rsidR="00E267AB" w:rsidRPr="002B30DD">
        <w:rPr>
          <w:i/>
          <w:szCs w:val="24"/>
        </w:rPr>
        <w:instrText>ratio sufficiens</w:instrText>
      </w:r>
      <w:r w:rsidR="00E267AB">
        <w:instrText xml:space="preserve">" </w:instrText>
      </w:r>
      <w:r w:rsidR="00E267AB">
        <w:rPr>
          <w:i/>
          <w:szCs w:val="24"/>
        </w:rPr>
        <w:fldChar w:fldCharType="end"/>
      </w:r>
      <w:r w:rsidR="00E267AB">
        <w:rPr>
          <w:szCs w:val="24"/>
        </w:rPr>
        <w:t xml:space="preserve"> </w:t>
      </w:r>
      <w:r w:rsidR="00E267AB" w:rsidRPr="002841CC">
        <w:rPr>
          <w:szCs w:val="24"/>
        </w:rPr>
        <w:t>Leibniz</w:t>
      </w:r>
      <w:r w:rsidR="00E267AB">
        <w:rPr>
          <w:szCs w:val="24"/>
        </w:rPr>
        <w:t>e</w:t>
      </w:r>
      <w:r w:rsidR="00E267AB" w:rsidRPr="002841CC">
        <w:rPr>
          <w:szCs w:val="24"/>
        </w:rPr>
        <w:t>)</w:t>
      </w:r>
      <w:r w:rsidR="00F24DCF">
        <w:t>, který zajišťuje eschatologicky a démonologicky založenou metafyziku moderny</w:t>
      </w:r>
      <w:r w:rsidR="00DE5607">
        <w:t>. Aristotelikové považovali takové myšlení z</w:t>
      </w:r>
      <w:r w:rsidR="00546B56">
        <w:t>a</w:t>
      </w:r>
      <w:r w:rsidR="00DE5607">
        <w:t> čistou paranoiu</w:t>
      </w:r>
      <w:r w:rsidR="004227C7">
        <w:t>.</w:t>
      </w:r>
    </w:p>
    <w:p w14:paraId="37E5BC54" w14:textId="4D1A32C7" w:rsidR="00E934A6" w:rsidRDefault="00E934A6" w:rsidP="00ED6039">
      <w:pPr>
        <w:ind w:firstLine="397"/>
      </w:pPr>
      <w:r>
        <w:t>P</w:t>
      </w:r>
      <w:r w:rsidRPr="00273106">
        <w:t xml:space="preserve">rvní a druhý averroismus </w:t>
      </w:r>
      <w:r>
        <w:t xml:space="preserve">rozdělil spor o atomární substanci, kterou zavedl Porfyriův komentář </w:t>
      </w:r>
      <w:r w:rsidRPr="002520C5">
        <w:rPr>
          <w:i/>
        </w:rPr>
        <w:t>Kategorií</w:t>
      </w:r>
      <w:r>
        <w:t xml:space="preserve"> (</w:t>
      </w:r>
      <w:r w:rsidRPr="00273106">
        <w:t>ἄτομος οὐσία</w:t>
      </w:r>
      <w:r>
        <w:fldChar w:fldCharType="begin"/>
      </w:r>
      <w:r>
        <w:instrText xml:space="preserve"> XE "</w:instrText>
      </w:r>
      <w:r w:rsidRPr="00644D5F">
        <w:instrText>substance:atomární</w:instrText>
      </w:r>
      <w:r>
        <w:instrText xml:space="preserve">" </w:instrText>
      </w:r>
      <w:r>
        <w:fldChar w:fldCharType="end"/>
      </w:r>
      <w:r w:rsidRPr="00273106">
        <w:t xml:space="preserve">, </w:t>
      </w:r>
      <w:r>
        <w:rPr>
          <w:i/>
        </w:rPr>
        <w:t>In C</w:t>
      </w:r>
      <w:r w:rsidRPr="000A230E">
        <w:rPr>
          <w:i/>
        </w:rPr>
        <w:t>at</w:t>
      </w:r>
      <w:r>
        <w:t xml:space="preserve">. </w:t>
      </w:r>
      <w:r w:rsidRPr="00273106">
        <w:t>90.31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90.31" </w:instrText>
      </w:r>
      <w:r w:rsidRPr="002856D5">
        <w:rPr>
          <w:szCs w:val="24"/>
        </w:rPr>
        <w:fldChar w:fldCharType="end"/>
      </w:r>
      <w:r>
        <w:t>)</w:t>
      </w:r>
      <w:r w:rsidRPr="00273106">
        <w:t xml:space="preserve">. Buď má </w:t>
      </w:r>
      <w:r>
        <w:t xml:space="preserve">atomární charakter v modu </w:t>
      </w:r>
      <w:r w:rsidRPr="00A57B7B">
        <w:rPr>
          <w:i/>
        </w:rPr>
        <w:t>per prius</w:t>
      </w:r>
      <w:r>
        <w:t xml:space="preserve"> </w:t>
      </w:r>
      <w:r w:rsidRPr="00273106">
        <w:t>materiální substance</w:t>
      </w:r>
      <w:r>
        <w:t xml:space="preserve">, protože exsistuje v </w:t>
      </w:r>
      <w:r w:rsidRPr="00273106">
        <w:t>původní jedinečnost</w:t>
      </w:r>
      <w:r>
        <w:t>i</w:t>
      </w:r>
      <w:r w:rsidRPr="00273106">
        <w:t xml:space="preserve"> aktuálního bytí</w:t>
      </w:r>
      <w:r>
        <w:t>. N</w:t>
      </w:r>
      <w:r w:rsidRPr="00273106">
        <w:t xml:space="preserve">ebo </w:t>
      </w:r>
      <w:r>
        <w:t xml:space="preserve">jsoucno „exsistuje“ </w:t>
      </w:r>
      <w:r w:rsidRPr="00273106">
        <w:t xml:space="preserve">mimo první substanci </w:t>
      </w:r>
      <w:r>
        <w:t xml:space="preserve">jako hypostázovaná esence, </w:t>
      </w:r>
      <w:r w:rsidRPr="00273106">
        <w:t>exemplar</w:t>
      </w:r>
      <w:r>
        <w:fldChar w:fldCharType="begin"/>
      </w:r>
      <w:r>
        <w:instrText xml:space="preserve"> XE "</w:instrText>
      </w:r>
      <w:r w:rsidRPr="009B012E">
        <w:instrText>exemplar</w:instrText>
      </w:r>
      <w:r>
        <w:instrText xml:space="preserve">" </w:instrText>
      </w:r>
      <w:r>
        <w:fldChar w:fldCharType="end"/>
      </w:r>
      <w:r w:rsidRPr="00273106">
        <w:t xml:space="preserve">, </w:t>
      </w:r>
      <w:r w:rsidRPr="004B4D52">
        <w:t>species</w:t>
      </w:r>
      <w:r w:rsidRPr="00273106">
        <w:t xml:space="preserve"> či</w:t>
      </w:r>
      <w:r>
        <w:t xml:space="preserve"> </w:t>
      </w:r>
      <w:r w:rsidRPr="082379DD">
        <w:rPr>
          <w:i/>
        </w:rPr>
        <w:t>eidos</w:t>
      </w:r>
      <w:r w:rsidRPr="00273106">
        <w:t>.</w:t>
      </w:r>
      <w:r>
        <w:t xml:space="preserve"> Pak se změní pojetí pravdy z</w:t>
      </w:r>
      <w:r w:rsidR="008130CD">
        <w:t> </w:t>
      </w:r>
      <w:r>
        <w:t>aristotel</w:t>
      </w:r>
      <w:r w:rsidR="008130CD">
        <w:t>ské metafyziky na neoplatonismus</w:t>
      </w:r>
      <w:r>
        <w:t xml:space="preserve">, protože smysl jsoucna je primárně nasvícen od poznávajícího subjektu, a tedy zezadu. Moderna nemá pravdu jako adekvaci intelektu a reálné věci. Avicennista Kilwardby ji má v modu esenciální </w:t>
      </w:r>
      <w:r w:rsidRPr="08F52CC9">
        <w:rPr>
          <w:i/>
        </w:rPr>
        <w:t>rect</w:t>
      </w:r>
      <w:r>
        <w:rPr>
          <w:i/>
        </w:rPr>
        <w:t>itu</w:t>
      </w:r>
      <w:r w:rsidRPr="08F52CC9">
        <w:rPr>
          <w:i/>
        </w:rPr>
        <w:t>do</w:t>
      </w:r>
      <w:r>
        <w:t xml:space="preserve"> a analytický Rufus v modu </w:t>
      </w:r>
      <w:r w:rsidRPr="08F52CC9">
        <w:rPr>
          <w:i/>
        </w:rPr>
        <w:t>certitudo</w:t>
      </w:r>
      <w:r>
        <w:t xml:space="preserve"> dané logickou abstrakcí. Analyticky pojatá věc se změnila z hypachické první substance na univerzální substanci třetího druhu. Grosseteste a po něm Rufus </w:t>
      </w:r>
      <w:r w:rsidRPr="00273106">
        <w:t>posunul</w:t>
      </w:r>
      <w:r>
        <w:t>i</w:t>
      </w:r>
      <w:r w:rsidRPr="00273106">
        <w:t xml:space="preserve"> pojetí pravdy jako moderní jistoty a správnosti směrem k </w:t>
      </w:r>
      <w:r>
        <w:t xml:space="preserve">logické a analytické </w:t>
      </w:r>
      <w:r w:rsidRPr="00273106">
        <w:t>objektivitě</w:t>
      </w:r>
      <w:r>
        <w:t>. Oba zástupci toletánů zakládají</w:t>
      </w:r>
      <w:r w:rsidRPr="00273106">
        <w:t xml:space="preserve"> jistotu pravdy v rámci Avicennova a </w:t>
      </w:r>
      <w:r>
        <w:t xml:space="preserve">Aristotelova pojetí poznání, což ještě neměl neoplatonský augustinián Anselm. Rozdíl mezi nimi je v tom, že Grosseteste odmítal nauku porretánů zejména v nauce o duši. Tu naopak přijal Rufus a k tomu i univerzální hylemorfismus. Moderní logika Rufuse se přijetím univerzálního hylemorfismu stala simulákrem metafyziky, což odmítli všichni představitelé prvního averroismu. </w:t>
      </w:r>
      <w:r w:rsidRPr="00273106">
        <w:rPr>
          <w:rStyle w:val="FontStyle129"/>
          <w:rFonts w:ascii="Calibri" w:hAnsi="Calibri"/>
          <w:sz w:val="24"/>
        </w:rPr>
        <w:t xml:space="preserve">Druhý averroismus </w:t>
      </w:r>
      <w:r>
        <w:rPr>
          <w:rStyle w:val="FontStyle129"/>
          <w:rFonts w:ascii="Calibri" w:hAnsi="Calibri"/>
          <w:sz w:val="24"/>
        </w:rPr>
        <w:t xml:space="preserve">založený výkladem </w:t>
      </w:r>
      <w:r w:rsidRPr="080B1EBA">
        <w:rPr>
          <w:rStyle w:val="FontStyle129"/>
          <w:rFonts w:ascii="Calibri" w:hAnsi="Calibri"/>
          <w:i/>
          <w:sz w:val="24"/>
        </w:rPr>
        <w:t>Druhých analytik</w:t>
      </w:r>
      <w:r>
        <w:rPr>
          <w:rStyle w:val="FontStyle129"/>
          <w:rFonts w:ascii="Calibri" w:hAnsi="Calibri"/>
          <w:sz w:val="24"/>
        </w:rPr>
        <w:t xml:space="preserve"> </w:t>
      </w:r>
      <w:r w:rsidRPr="00273106">
        <w:t>zrušil definici pravdy jako adekvaci</w:t>
      </w:r>
      <w:r w:rsidR="00ED4D49">
        <w:t xml:space="preserve"> intelektu a reality. </w:t>
      </w:r>
      <w:r w:rsidR="003D794D">
        <w:t>Rufus t</w:t>
      </w:r>
      <w:r w:rsidR="00ED4D49">
        <w:t xml:space="preserve">uto teorii </w:t>
      </w:r>
      <w:r>
        <w:t xml:space="preserve">nahradil </w:t>
      </w:r>
      <w:r w:rsidR="00ED4D49">
        <w:t>teorií asimilace, kdy falešný intelekt jako s</w:t>
      </w:r>
      <w:r w:rsidR="00EF7340">
        <w:t>ubstan</w:t>
      </w:r>
      <w:r w:rsidR="00ED4D49">
        <w:t>ce třetího druhu asimiluje s</w:t>
      </w:r>
      <w:r>
        <w:t>imulákru</w:t>
      </w:r>
      <w:r w:rsidR="00ED4D49">
        <w:t>m</w:t>
      </w:r>
      <w:r>
        <w:t xml:space="preserve"> reality</w:t>
      </w:r>
      <w:r w:rsidR="00EF7340">
        <w:t xml:space="preserve"> složené ze j</w:t>
      </w:r>
      <w:r w:rsidR="00ED4D49">
        <w:t>s</w:t>
      </w:r>
      <w:r w:rsidR="00EF7340">
        <w:t>o</w:t>
      </w:r>
      <w:r w:rsidR="00ED4D49">
        <w:t>ucen třetího druhu</w:t>
      </w:r>
      <w:r w:rsidRPr="00273106">
        <w:t>.</w:t>
      </w:r>
      <w:r w:rsidRPr="005B253D">
        <w:t xml:space="preserve"> </w:t>
      </w:r>
      <w:r>
        <w:t xml:space="preserve">To bylo podle citovaných aristoteliků směšné, šílené nebo imbecilní. Dnes toto moderní </w:t>
      </w:r>
      <w:r w:rsidRPr="081972E4">
        <w:rPr>
          <w:i/>
        </w:rPr>
        <w:t>depositum fidei</w:t>
      </w:r>
      <w:r>
        <w:t xml:space="preserve"> opatrují </w:t>
      </w:r>
      <w:r w:rsidR="00843070">
        <w:t xml:space="preserve">a chrání </w:t>
      </w:r>
      <w:r>
        <w:t>všechny globálně rozšířené pobočky oxfordských postmoderních a nihilistických iluminátů.</w:t>
      </w:r>
    </w:p>
    <w:p w14:paraId="012FFA77" w14:textId="77777777" w:rsidR="00BC6C15" w:rsidRDefault="082B2511" w:rsidP="005A1203">
      <w:pPr>
        <w:ind w:firstLine="397"/>
      </w:pPr>
      <w:r w:rsidRPr="00273106">
        <w:t xml:space="preserve">Dalším důvodem </w:t>
      </w:r>
      <w:r>
        <w:t>zatmění první substance</w:t>
      </w:r>
      <w:r>
        <w:fldChar w:fldCharType="begin"/>
      </w:r>
      <w:r>
        <w:instrText xml:space="preserve"> XE "</w:instrText>
      </w:r>
      <w:r w:rsidRPr="00C27681">
        <w:instrText>zatmění</w:instrText>
      </w:r>
      <w:r>
        <w:instrText>:</w:instrText>
      </w:r>
      <w:r w:rsidRPr="00C27681">
        <w:instrText>substance</w:instrText>
      </w:r>
      <w:r>
        <w:instrText xml:space="preserve">" </w:instrText>
      </w:r>
      <w:r>
        <w:fldChar w:fldCharType="end"/>
      </w:r>
      <w:r w:rsidRPr="00273106">
        <w:t xml:space="preserve"> je fakt, že jistota poznání </w:t>
      </w:r>
      <w:r w:rsidRPr="00497BDE">
        <w:rPr>
          <w:i/>
        </w:rPr>
        <w:t>Modernorum</w:t>
      </w:r>
      <w:r>
        <w:t xml:space="preserve"> </w:t>
      </w:r>
      <w:r w:rsidRPr="00273106">
        <w:t xml:space="preserve">vzniká během procesu narůstající shody akcidentů. </w:t>
      </w:r>
      <w:r>
        <w:t xml:space="preserve">První substance, </w:t>
      </w:r>
      <w:r w:rsidRPr="00273106">
        <w:t>nebo spíše soubor jejich nutně daných akcidentů a proprií</w:t>
      </w:r>
      <w:r>
        <w:t>,</w:t>
      </w:r>
      <w:r w:rsidR="080E2180">
        <w:t xml:space="preserve"> postupně vystupuje</w:t>
      </w:r>
      <w:r w:rsidRPr="00273106">
        <w:t xml:space="preserve"> (</w:t>
      </w:r>
      <w:r w:rsidRPr="00273106">
        <w:rPr>
          <w:i/>
        </w:rPr>
        <w:t>exsistit</w:t>
      </w:r>
      <w:r w:rsidRPr="00273106">
        <w:t xml:space="preserve">) jako subjekt poznání v modu supozice vázané na analytické </w:t>
      </w:r>
      <w:r w:rsidRPr="00273106">
        <w:rPr>
          <w:i/>
        </w:rPr>
        <w:t>demonstratio</w:t>
      </w:r>
      <w:r>
        <w:rPr>
          <w:i/>
        </w:rPr>
        <w:fldChar w:fldCharType="begin"/>
      </w:r>
      <w:r>
        <w:instrText xml:space="preserve"> XE "</w:instrText>
      </w:r>
      <w:r w:rsidRPr="004E6075">
        <w:rPr>
          <w:i/>
        </w:rPr>
        <w:instrText>demonstratio:</w:instrText>
      </w:r>
      <w:r>
        <w:instrText xml:space="preserve">Rufus" </w:instrText>
      </w:r>
      <w:r>
        <w:rPr>
          <w:i/>
        </w:rPr>
        <w:fldChar w:fldCharType="end"/>
      </w:r>
      <w:r w:rsidRPr="00273106">
        <w:t>. Akcidenty mají vlastní hypostázovanou „exsistenci“ v kontigentní materii</w:t>
      </w:r>
      <w:r w:rsidR="085E4E9D">
        <w:t xml:space="preserve"> (</w:t>
      </w:r>
      <w:r w:rsidR="085E4E9D" w:rsidRPr="00273106">
        <w:rPr>
          <w:i/>
        </w:rPr>
        <w:t>individuum</w:t>
      </w:r>
      <w:r w:rsidR="085E4E9D">
        <w:t>)</w:t>
      </w:r>
      <w:r w:rsidR="004F4B4D">
        <w:t xml:space="preserve">. Pak </w:t>
      </w:r>
      <w:r w:rsidRPr="00273106">
        <w:t xml:space="preserve">není problém vytvořit skrze konkrétní predikaci jejich individuální </w:t>
      </w:r>
      <w:r w:rsidR="085E4E9D">
        <w:t xml:space="preserve">simulákrum </w:t>
      </w:r>
      <w:r w:rsidRPr="00273106">
        <w:t>(</w:t>
      </w:r>
      <w:r w:rsidRPr="00273106">
        <w:rPr>
          <w:i/>
        </w:rPr>
        <w:t>concretum</w:t>
      </w:r>
      <w:r>
        <w:rPr>
          <w:i/>
        </w:rPr>
        <w:fldChar w:fldCharType="begin"/>
      </w:r>
      <w:r>
        <w:instrText xml:space="preserve"> XE "substance:</w:instrText>
      </w:r>
      <w:r w:rsidRPr="00B759F5">
        <w:rPr>
          <w:i/>
        </w:rPr>
        <w:instrText>concretum</w:instrText>
      </w:r>
      <w:r>
        <w:instrText xml:space="preserve">" </w:instrText>
      </w:r>
      <w:r>
        <w:rPr>
          <w:i/>
        </w:rPr>
        <w:fldChar w:fldCharType="end"/>
      </w:r>
      <w:r w:rsidR="08BA469F">
        <w:t>)</w:t>
      </w:r>
      <w:r w:rsidR="004F4B4D">
        <w:t xml:space="preserve"> dané na základě </w:t>
      </w:r>
      <w:r w:rsidR="004F4B4D">
        <w:rPr>
          <w:lang w:eastAsia="en-US"/>
        </w:rPr>
        <w:t>univerzálního hylemorfismu</w:t>
      </w:r>
      <w:r w:rsidR="08BA469F">
        <w:t xml:space="preserve">. </w:t>
      </w:r>
      <w:r w:rsidRPr="00273106">
        <w:t xml:space="preserve">Tím se znovu potvrzuje absurdní </w:t>
      </w:r>
      <w:r>
        <w:t xml:space="preserve">způsob, jak </w:t>
      </w:r>
      <w:r w:rsidRPr="00273106">
        <w:t>druh</w:t>
      </w:r>
      <w:r>
        <w:t xml:space="preserve">ý </w:t>
      </w:r>
      <w:r w:rsidRPr="00273106">
        <w:t>averroismu</w:t>
      </w:r>
      <w:r>
        <w:t>s</w:t>
      </w:r>
      <w:r w:rsidRPr="00273106">
        <w:t xml:space="preserve"> </w:t>
      </w:r>
      <w:r>
        <w:t xml:space="preserve">poznává </w:t>
      </w:r>
      <w:r w:rsidRPr="00273106">
        <w:t>realit</w:t>
      </w:r>
      <w:r>
        <w:t>u</w:t>
      </w:r>
      <w:r w:rsidRPr="00273106">
        <w:t xml:space="preserve">. </w:t>
      </w:r>
      <w:r w:rsidR="089468A0">
        <w:t xml:space="preserve">Rufus založil moderní </w:t>
      </w:r>
      <w:r w:rsidR="089468A0" w:rsidRPr="00273106">
        <w:t xml:space="preserve">subjekt </w:t>
      </w:r>
      <w:r w:rsidR="089468A0">
        <w:t xml:space="preserve">latinského </w:t>
      </w:r>
      <w:r w:rsidR="089468A0" w:rsidRPr="00273106">
        <w:t>Západu a ten vidí nový svět, v němž došlo k zatmění první substance</w:t>
      </w:r>
      <w:r w:rsidR="089468A0">
        <w:fldChar w:fldCharType="begin"/>
      </w:r>
      <w:r w:rsidR="089468A0">
        <w:instrText xml:space="preserve"> XE "zatmění:</w:instrText>
      </w:r>
      <w:r w:rsidR="089468A0" w:rsidRPr="00DE2A32">
        <w:instrText>substance</w:instrText>
      </w:r>
      <w:r w:rsidR="089468A0">
        <w:instrText xml:space="preserve">" </w:instrText>
      </w:r>
      <w:r w:rsidR="089468A0">
        <w:fldChar w:fldCharType="end"/>
      </w:r>
      <w:r w:rsidR="089468A0" w:rsidRPr="00273106">
        <w:t>.</w:t>
      </w:r>
      <w:r w:rsidR="089468A0">
        <w:t xml:space="preserve"> </w:t>
      </w:r>
      <w:r w:rsidR="08C55F23" w:rsidRPr="00273106">
        <w:t xml:space="preserve">Modernistický výklad stál mimo skutečný smysl </w:t>
      </w:r>
      <w:r w:rsidR="08C55F23">
        <w:t>Averroes</w:t>
      </w:r>
      <w:r w:rsidR="08C55F23" w:rsidRPr="00273106">
        <w:t xml:space="preserve">ových komentářů Korpusu, i když se verbálně dovolával litery </w:t>
      </w:r>
      <w:r w:rsidR="08C55F23" w:rsidRPr="00273106">
        <w:rPr>
          <w:i/>
        </w:rPr>
        <w:t>ad hoc</w:t>
      </w:r>
      <w:r w:rsidR="08C55F23">
        <w:t xml:space="preserve"> vybraného textu. </w:t>
      </w:r>
      <w:r>
        <w:t xml:space="preserve">Porfyrius a Aristoteles nekomponují druhou substanci z </w:t>
      </w:r>
      <w:r w:rsidRPr="0027229E">
        <w:rPr>
          <w:i/>
        </w:rPr>
        <w:t>ad hoc</w:t>
      </w:r>
      <w:r>
        <w:t xml:space="preserve"> daných porretánských hypostází, ale predikují její význam v rámci impozice od reálné první substance</w:t>
      </w:r>
      <w:r w:rsidR="08BA469F">
        <w:t>.</w:t>
      </w:r>
      <w:r w:rsidR="08C53812">
        <w:t xml:space="preserve"> </w:t>
      </w:r>
      <w:r w:rsidR="08BA469F">
        <w:t xml:space="preserve">Působení první </w:t>
      </w:r>
      <w:r w:rsidR="08BA469F" w:rsidRPr="00273106">
        <w:t>substance je reálné</w:t>
      </w:r>
      <w:r w:rsidR="008A36CF">
        <w:t xml:space="preserve"> a</w:t>
      </w:r>
      <w:r w:rsidR="00CB4F23">
        <w:t xml:space="preserve"> </w:t>
      </w:r>
      <w:r w:rsidR="008A36CF">
        <w:t>nutné o sobě</w:t>
      </w:r>
      <w:r w:rsidR="08BA469F" w:rsidRPr="00273106">
        <w:t xml:space="preserve">, ale její poznání je akcidentální proces daný </w:t>
      </w:r>
      <w:r w:rsidR="08BA469F" w:rsidRPr="00273106">
        <w:rPr>
          <w:i/>
        </w:rPr>
        <w:t>per posterius</w:t>
      </w:r>
      <w:r w:rsidR="08BA469F" w:rsidRPr="00273106">
        <w:t xml:space="preserve"> vzhledem první substanci existující </w:t>
      </w:r>
      <w:r w:rsidR="08BA469F" w:rsidRPr="00273106">
        <w:rPr>
          <w:i/>
        </w:rPr>
        <w:t>per prius</w:t>
      </w:r>
      <w:r w:rsidR="08BA469F" w:rsidRPr="00273106">
        <w:t>.</w:t>
      </w:r>
      <w:r w:rsidR="008A36CF">
        <w:t xml:space="preserve"> Nutnost daná v ú</w:t>
      </w:r>
      <w:r w:rsidR="008A36CF" w:rsidRPr="008A36CF">
        <w:t xml:space="preserve">sudku </w:t>
      </w:r>
      <w:r w:rsidR="008A36CF">
        <w:t xml:space="preserve">proto </w:t>
      </w:r>
      <w:r w:rsidR="008A36CF" w:rsidRPr="008A36CF">
        <w:t>není skutečná, ale univerzální.</w:t>
      </w:r>
      <w:r w:rsidR="008A36CF">
        <w:t xml:space="preserve"> </w:t>
      </w:r>
      <w:r w:rsidR="08BA469F" w:rsidRPr="00273106">
        <w:t xml:space="preserve">V klasické teorii poznání je poznání akcidentem vzhledem k reálné </w:t>
      </w:r>
      <w:r w:rsidR="08BA469F">
        <w:t xml:space="preserve">substanci, protože mysl k němu </w:t>
      </w:r>
      <w:r w:rsidR="08BA469F" w:rsidRPr="00273106">
        <w:t>přichází (</w:t>
      </w:r>
      <w:r w:rsidR="08BA469F" w:rsidRPr="00273106">
        <w:rPr>
          <w:i/>
        </w:rPr>
        <w:t>accidit</w:t>
      </w:r>
      <w:r w:rsidR="08BA469F" w:rsidRPr="00273106">
        <w:t>) v procesu p</w:t>
      </w:r>
      <w:r w:rsidR="08BA469F">
        <w:t xml:space="preserve">oznání dané v mysli. </w:t>
      </w:r>
      <w:r w:rsidR="08C53812">
        <w:t xml:space="preserve">Avicenna </w:t>
      </w:r>
      <w:r w:rsidR="08BA469F">
        <w:t xml:space="preserve">zakládá metafyziku </w:t>
      </w:r>
      <w:r w:rsidR="00EB0727">
        <w:t xml:space="preserve">od eideticky nahlížených esencí. To je </w:t>
      </w:r>
      <w:r w:rsidR="08BA469F">
        <w:t>formálně správně daný základ</w:t>
      </w:r>
      <w:r w:rsidR="00EB0727">
        <w:t xml:space="preserve"> poznání</w:t>
      </w:r>
      <w:r w:rsidR="08BA469F">
        <w:t xml:space="preserve">, </w:t>
      </w:r>
      <w:r w:rsidR="00EB0727">
        <w:t xml:space="preserve">které ale </w:t>
      </w:r>
      <w:r w:rsidR="08BA469F">
        <w:t>nejde k realitě první</w:t>
      </w:r>
      <w:r w:rsidR="00EB0727">
        <w:t>ch</w:t>
      </w:r>
      <w:r w:rsidR="08BA469F">
        <w:t xml:space="preserve"> substancí</w:t>
      </w:r>
      <w:r>
        <w:fldChar w:fldCharType="begin"/>
      </w:r>
      <w:r>
        <w:instrText xml:space="preserve"> XE "</w:instrText>
      </w:r>
      <w:r w:rsidRPr="00AA5A31">
        <w:rPr>
          <w:i/>
        </w:rPr>
        <w:instrText>collecta</w:instrText>
      </w:r>
      <w:r>
        <w:instrText xml:space="preserve">" </w:instrText>
      </w:r>
      <w:r>
        <w:fldChar w:fldCharType="end"/>
      </w:r>
      <w:r>
        <w:t xml:space="preserve">. </w:t>
      </w:r>
      <w:r w:rsidR="0002309E">
        <w:t xml:space="preserve">Parousie jsoucna je v autentickém aristotelismu dána primárně v realitě a ne v mysli, jako v případě Avicennovy esence. Intelekt je v řádu bytí vzhledem k realitě až druhý, ale zato poznává univerzálně. To je velmi realistická cena placená v autentickém aristotelismu za lidské poznání. </w:t>
      </w:r>
      <w:r w:rsidR="0002309E" w:rsidRPr="007C04CC">
        <w:t xml:space="preserve">Skutečná existence a účinek první </w:t>
      </w:r>
      <w:r w:rsidR="0002309E">
        <w:t xml:space="preserve">substance jsou v metafyzice dány pouze v minulostním modu. Poznání substance v její </w:t>
      </w:r>
      <w:r w:rsidR="0002309E" w:rsidRPr="08E86460">
        <w:rPr>
          <w:i/>
        </w:rPr>
        <w:t>quidditas</w:t>
      </w:r>
      <w:r w:rsidR="0002309E">
        <w:rPr>
          <w:i/>
        </w:rPr>
        <w:fldChar w:fldCharType="begin"/>
      </w:r>
      <w:r w:rsidR="0002309E">
        <w:instrText xml:space="preserve"> XE "</w:instrText>
      </w:r>
      <w:r w:rsidR="0002309E" w:rsidRPr="0865651F">
        <w:rPr>
          <w:i/>
        </w:rPr>
        <w:instrText>quidditas</w:instrText>
      </w:r>
      <w:r w:rsidR="0002309E">
        <w:instrText xml:space="preserve">" </w:instrText>
      </w:r>
      <w:r w:rsidR="0002309E">
        <w:rPr>
          <w:i/>
        </w:rPr>
        <w:fldChar w:fldCharType="end"/>
      </w:r>
      <w:r w:rsidR="0002309E">
        <w:t>, čili v tom, co bylo její bytí (</w:t>
      </w:r>
      <w:r w:rsidR="0002309E" w:rsidRPr="08364F97">
        <w:t>τό τί ἦν εἶναι</w:t>
      </w:r>
      <w:r w:rsidR="0002309E">
        <w:fldChar w:fldCharType="begin"/>
      </w:r>
      <w:r w:rsidR="0002309E">
        <w:instrText xml:space="preserve"> XE "</w:instrText>
      </w:r>
      <w:r w:rsidR="0002309E" w:rsidRPr="08D57ABC">
        <w:instrText>τό τί ἦν εἶναι</w:instrText>
      </w:r>
      <w:r w:rsidR="0002309E">
        <w:instrText xml:space="preserve">" </w:instrText>
      </w:r>
      <w:r w:rsidR="0002309E">
        <w:fldChar w:fldCharType="end"/>
      </w:r>
      <w:r w:rsidR="0002309E">
        <w:t xml:space="preserve">), ale zajistí v řádu univerzality jednoznačnou </w:t>
      </w:r>
      <w:r w:rsidR="0002309E" w:rsidRPr="00273106">
        <w:t>adekvaci intelektu</w:t>
      </w:r>
      <w:r w:rsidR="0002309E">
        <w:t xml:space="preserve"> k reálné věci. </w:t>
      </w:r>
      <w:r w:rsidR="009C0F6F">
        <w:t>D</w:t>
      </w:r>
      <w:r w:rsidR="084F5BF5">
        <w:t xml:space="preserve">onace </w:t>
      </w:r>
      <w:r w:rsidR="009C0F6F">
        <w:t xml:space="preserve">bytí jsoucna </w:t>
      </w:r>
      <w:r w:rsidR="00C7487A">
        <w:t xml:space="preserve">skrze metafyzický dativ </w:t>
      </w:r>
      <w:r w:rsidR="009C0F6F">
        <w:t xml:space="preserve">zakládá </w:t>
      </w:r>
      <w:r w:rsidR="084F5BF5">
        <w:t xml:space="preserve">pojetí pravdy jako adekvace. </w:t>
      </w:r>
      <w:r w:rsidR="082246F9">
        <w:t>P</w:t>
      </w:r>
      <w:r w:rsidRPr="00273106">
        <w:t xml:space="preserve">roto je pravda podle </w:t>
      </w:r>
      <w:r w:rsidRPr="00942392">
        <w:rPr>
          <w:i/>
        </w:rPr>
        <w:t>Druhých analytik</w:t>
      </w:r>
      <w:r w:rsidR="086C6E0E">
        <w:t xml:space="preserve"> dána podle hyparchic</w:t>
      </w:r>
      <w:r w:rsidR="00915707">
        <w:t>ké predikace reálných substancí</w:t>
      </w:r>
      <w:r w:rsidR="086C6E0E">
        <w:t xml:space="preserve">. </w:t>
      </w:r>
      <w:r w:rsidR="00427167">
        <w:t>G</w:t>
      </w:r>
      <w:r w:rsidR="00427167" w:rsidRPr="00273106">
        <w:t xml:space="preserve">igantomachie o substanci </w:t>
      </w:r>
      <w:r w:rsidR="089468A0">
        <w:t>proti analytickým modernistům umožnila Baconovi a Albertovi, aby přesně rozlišili metafyzik</w:t>
      </w:r>
      <w:r w:rsidR="00427167" w:rsidRPr="00273106">
        <w:t xml:space="preserve">u Avicenny a </w:t>
      </w:r>
      <w:r w:rsidR="00427167">
        <w:t>Averroes</w:t>
      </w:r>
      <w:r w:rsidR="00427167" w:rsidRPr="00273106">
        <w:t xml:space="preserve">e (kap. 2.4.1). </w:t>
      </w:r>
      <w:r w:rsidR="08204153">
        <w:t>M</w:t>
      </w:r>
      <w:r w:rsidR="086520CF">
        <w:t xml:space="preserve">etafyzický </w:t>
      </w:r>
      <w:r w:rsidR="00427167" w:rsidRPr="00273106">
        <w:t>statu</w:t>
      </w:r>
      <w:r w:rsidR="086520CF">
        <w:t>s</w:t>
      </w:r>
      <w:r w:rsidR="00427167" w:rsidRPr="00273106">
        <w:t xml:space="preserve"> reálně existující substance představuje </w:t>
      </w:r>
      <w:r w:rsidR="00427167">
        <w:t xml:space="preserve">fundamentální </w:t>
      </w:r>
      <w:r w:rsidR="00427167" w:rsidRPr="00273106">
        <w:t>otázku</w:t>
      </w:r>
      <w:r w:rsidR="00427167">
        <w:t xml:space="preserve"> po smyslu jsoucího, kterou se </w:t>
      </w:r>
      <w:r w:rsidR="08204153">
        <w:t xml:space="preserve">Komentáror </w:t>
      </w:r>
      <w:r w:rsidR="00427167" w:rsidRPr="00273106">
        <w:t xml:space="preserve">oddělil od </w:t>
      </w:r>
      <w:r w:rsidR="00D41A96">
        <w:t>Avicenny.</w:t>
      </w:r>
      <w:r w:rsidR="005A1203">
        <w:t xml:space="preserve"> </w:t>
      </w:r>
      <w:r w:rsidR="087D7C46" w:rsidRPr="00273106">
        <w:t xml:space="preserve">Po zániku hyparchické první substance </w:t>
      </w:r>
      <w:r w:rsidR="087D7C46">
        <w:t xml:space="preserve">pro metafyzickou univerzalitu a nutnost </w:t>
      </w:r>
      <w:r w:rsidR="087D7C46" w:rsidRPr="00273106">
        <w:t xml:space="preserve">nebyla možná klasická adekvace ve smyslu </w:t>
      </w:r>
      <w:r w:rsidR="087D7C46">
        <w:t>Averroes</w:t>
      </w:r>
      <w:r w:rsidR="087D7C46" w:rsidRPr="00273106">
        <w:t xml:space="preserve">ova </w:t>
      </w:r>
      <w:r w:rsidR="087D7C46" w:rsidRPr="00273106">
        <w:rPr>
          <w:i/>
        </w:rPr>
        <w:t xml:space="preserve">proportio </w:t>
      </w:r>
      <w:r w:rsidR="087D7C46" w:rsidRPr="00273106">
        <w:t>nebo</w:t>
      </w:r>
      <w:r w:rsidR="087D7C46" w:rsidRPr="00273106">
        <w:rPr>
          <w:i/>
        </w:rPr>
        <w:t xml:space="preserve"> consimilitudo</w:t>
      </w:r>
      <w:r w:rsidR="087D7C46">
        <w:rPr>
          <w:i/>
        </w:rPr>
        <w:fldChar w:fldCharType="begin"/>
      </w:r>
      <w:r w:rsidR="087D7C46">
        <w:instrText xml:space="preserve"> XE "pravda:</w:instrText>
      </w:r>
      <w:r w:rsidR="087D7C46" w:rsidRPr="00060577">
        <w:rPr>
          <w:i/>
        </w:rPr>
        <w:instrText>consimilitudo</w:instrText>
      </w:r>
      <w:r w:rsidR="087D7C46">
        <w:instrText xml:space="preserve">" </w:instrText>
      </w:r>
      <w:r w:rsidR="087D7C46">
        <w:rPr>
          <w:i/>
        </w:rPr>
        <w:fldChar w:fldCharType="end"/>
      </w:r>
      <w:r w:rsidR="008F7CC5">
        <w:t xml:space="preserve">. Tato forma podobnosti intelektu a reality je </w:t>
      </w:r>
      <w:r w:rsidR="087D7C46">
        <w:t>daná nasvícením s</w:t>
      </w:r>
      <w:r w:rsidR="00D65259">
        <w:t xml:space="preserve">myslu jsoucna zepředu, </w:t>
      </w:r>
      <w:r w:rsidR="087D7C46">
        <w:t>od první substance.</w:t>
      </w:r>
      <w:r w:rsidR="087D7C46">
        <w:rPr>
          <w:szCs w:val="18"/>
        </w:rPr>
        <w:t xml:space="preserve"> </w:t>
      </w:r>
      <w:r w:rsidR="004E294F" w:rsidRPr="00273106">
        <w:t xml:space="preserve">Rozbor Avicennovy teorie pravdy v </w:t>
      </w:r>
      <w:r w:rsidR="004E294F" w:rsidRPr="00273106">
        <w:rPr>
          <w:rStyle w:val="FontStyle129"/>
          <w:rFonts w:ascii="Calibri" w:hAnsi="Calibri"/>
          <w:i/>
          <w:sz w:val="24"/>
        </w:rPr>
        <w:t>Liber de Philosophia prima</w:t>
      </w:r>
      <w:r w:rsidR="004E294F" w:rsidRPr="00273106">
        <w:rPr>
          <w:rStyle w:val="FontStyle129"/>
          <w:rFonts w:ascii="Calibri" w:hAnsi="Calibri"/>
          <w:sz w:val="24"/>
        </w:rPr>
        <w:t xml:space="preserve"> I.8 ukázal první výskyt pojetí pravdy, v němž </w:t>
      </w:r>
      <w:r w:rsidR="08BC4B2E">
        <w:rPr>
          <w:rStyle w:val="FontStyle129"/>
          <w:rFonts w:ascii="Calibri" w:hAnsi="Calibri"/>
          <w:sz w:val="24"/>
        </w:rPr>
        <w:t xml:space="preserve">je </w:t>
      </w:r>
      <w:r w:rsidR="004E294F" w:rsidRPr="00273106">
        <w:rPr>
          <w:rStyle w:val="FontStyle129"/>
          <w:rFonts w:ascii="Calibri" w:hAnsi="Calibri"/>
          <w:sz w:val="24"/>
        </w:rPr>
        <w:t xml:space="preserve">adekvace </w:t>
      </w:r>
      <w:r w:rsidR="08BC4B2E">
        <w:rPr>
          <w:rStyle w:val="FontStyle129"/>
          <w:rFonts w:ascii="Calibri" w:hAnsi="Calibri"/>
          <w:sz w:val="24"/>
        </w:rPr>
        <w:t>dána nasvícením zezadu</w:t>
      </w:r>
      <w:r w:rsidR="0083523C">
        <w:rPr>
          <w:rStyle w:val="FontStyle129"/>
          <w:rFonts w:ascii="Calibri" w:hAnsi="Calibri"/>
          <w:sz w:val="24"/>
        </w:rPr>
        <w:t>. Avicenna jako neoplatonský myslitel a islámský mystik otočil směřování rozumu (</w:t>
      </w:r>
      <w:r w:rsidR="0083523C" w:rsidRPr="0083523C">
        <w:rPr>
          <w:rStyle w:val="FontStyle129"/>
          <w:rFonts w:ascii="Calibri" w:hAnsi="Calibri"/>
          <w:i/>
          <w:sz w:val="24"/>
        </w:rPr>
        <w:t>Vor-blickbahn</w:t>
      </w:r>
      <w:r w:rsidR="0083523C">
        <w:rPr>
          <w:rStyle w:val="FontStyle129"/>
          <w:rFonts w:ascii="Calibri" w:hAnsi="Calibri"/>
          <w:i/>
          <w:sz w:val="24"/>
        </w:rPr>
        <w:fldChar w:fldCharType="begin"/>
      </w:r>
      <w:r w:rsidR="0083523C">
        <w:instrText xml:space="preserve"> XE "</w:instrText>
      </w:r>
      <w:r w:rsidR="0083523C" w:rsidRPr="00DD2AA2">
        <w:rPr>
          <w:rStyle w:val="FontStyle129"/>
          <w:rFonts w:ascii="Calibri" w:hAnsi="Calibri"/>
          <w:i/>
          <w:sz w:val="24"/>
        </w:rPr>
        <w:instrText>Vor-blickbahn</w:instrText>
      </w:r>
      <w:r w:rsidR="0083523C">
        <w:instrText xml:space="preserve">" </w:instrText>
      </w:r>
      <w:r w:rsidR="0083523C">
        <w:rPr>
          <w:rStyle w:val="FontStyle129"/>
          <w:rFonts w:ascii="Calibri" w:hAnsi="Calibri"/>
          <w:i/>
          <w:sz w:val="24"/>
        </w:rPr>
        <w:fldChar w:fldCharType="end"/>
      </w:r>
      <w:r w:rsidR="0083523C">
        <w:rPr>
          <w:rStyle w:val="FontStyle129"/>
          <w:rFonts w:ascii="Calibri" w:hAnsi="Calibri"/>
          <w:sz w:val="24"/>
        </w:rPr>
        <w:t>) a šel o</w:t>
      </w:r>
      <w:r w:rsidR="004E294F" w:rsidRPr="00273106">
        <w:rPr>
          <w:rStyle w:val="FontStyle129"/>
          <w:rFonts w:ascii="Calibri" w:hAnsi="Calibri"/>
          <w:sz w:val="24"/>
        </w:rPr>
        <w:t>d intelektu k reálné věci</w:t>
      </w:r>
      <w:r w:rsidR="004E294F">
        <w:rPr>
          <w:rStyle w:val="FontStyle129"/>
          <w:rFonts w:ascii="Calibri" w:hAnsi="Calibri"/>
          <w:sz w:val="24"/>
        </w:rPr>
        <w:t xml:space="preserve"> </w:t>
      </w:r>
      <w:r w:rsidR="004E294F" w:rsidRPr="00DC46B4">
        <w:rPr>
          <w:rStyle w:val="FontStyle129"/>
          <w:rFonts w:ascii="Calibri" w:hAnsi="Calibri"/>
          <w:sz w:val="24"/>
        </w:rPr>
        <w:t>(</w:t>
      </w:r>
      <w:r w:rsidR="004E294F" w:rsidRPr="00DC46B4">
        <w:rPr>
          <w:rStyle w:val="FontStyle129"/>
          <w:rFonts w:ascii="Calibri" w:hAnsi="Calibri"/>
          <w:i/>
          <w:sz w:val="24"/>
        </w:rPr>
        <w:t>significat dispositionem in re exteriore cum est ei aequalis</w:t>
      </w:r>
      <w:r w:rsidR="08446DCE">
        <w:rPr>
          <w:rStyle w:val="FontStyle129"/>
          <w:rFonts w:ascii="Calibri" w:hAnsi="Calibri"/>
          <w:sz w:val="24"/>
        </w:rPr>
        <w:t xml:space="preserve">; OBJ I, </w:t>
      </w:r>
      <w:r w:rsidR="004E294F" w:rsidRPr="00DC46B4">
        <w:rPr>
          <w:rStyle w:val="FontStyle129"/>
          <w:rFonts w:ascii="Calibri" w:hAnsi="Calibri"/>
          <w:sz w:val="24"/>
        </w:rPr>
        <w:t>kap. 2.3.2)</w:t>
      </w:r>
      <w:r w:rsidR="004E294F">
        <w:rPr>
          <w:rStyle w:val="FontStyle129"/>
          <w:rFonts w:ascii="Calibri" w:hAnsi="Calibri"/>
          <w:sz w:val="24"/>
        </w:rPr>
        <w:t xml:space="preserve">. </w:t>
      </w:r>
      <w:r w:rsidR="004E294F" w:rsidRPr="00273106">
        <w:rPr>
          <w:rStyle w:val="FontStyle129"/>
          <w:rFonts w:ascii="Calibri" w:hAnsi="Calibri"/>
          <w:sz w:val="24"/>
        </w:rPr>
        <w:t>Intelekt vnímá formu v přímém náhledu</w:t>
      </w:r>
      <w:r w:rsidR="004E294F">
        <w:rPr>
          <w:rStyle w:val="FontStyle129"/>
          <w:rFonts w:ascii="Calibri" w:hAnsi="Calibri"/>
          <w:sz w:val="24"/>
        </w:rPr>
        <w:t xml:space="preserve"> a </w:t>
      </w:r>
      <w:r w:rsidR="087A4BA7">
        <w:rPr>
          <w:rStyle w:val="FontStyle129"/>
          <w:rFonts w:ascii="Calibri" w:hAnsi="Calibri"/>
          <w:sz w:val="24"/>
        </w:rPr>
        <w:t xml:space="preserve">pak ji porovnává s výskytem stejné formy </w:t>
      </w:r>
      <w:r w:rsidR="004E294F">
        <w:rPr>
          <w:rStyle w:val="FontStyle129"/>
          <w:rFonts w:ascii="Calibri" w:hAnsi="Calibri"/>
          <w:sz w:val="24"/>
        </w:rPr>
        <w:t>v reálných věcech</w:t>
      </w:r>
      <w:r w:rsidR="0850568C">
        <w:rPr>
          <w:rStyle w:val="FontStyle129"/>
          <w:rFonts w:ascii="Calibri" w:hAnsi="Calibri"/>
          <w:sz w:val="24"/>
        </w:rPr>
        <w:t xml:space="preserve"> (</w:t>
      </w:r>
      <w:r w:rsidR="0850568C" w:rsidRPr="00DC46B4">
        <w:rPr>
          <w:rStyle w:val="FontStyle129"/>
          <w:rFonts w:ascii="Calibri" w:hAnsi="Calibri"/>
          <w:i/>
          <w:sz w:val="24"/>
        </w:rPr>
        <w:t>cum est ei aequalis</w:t>
      </w:r>
      <w:r w:rsidR="0850568C">
        <w:rPr>
          <w:rStyle w:val="FontStyle129"/>
          <w:rFonts w:ascii="Calibri" w:hAnsi="Calibri"/>
          <w:sz w:val="24"/>
        </w:rPr>
        <w:t>)</w:t>
      </w:r>
      <w:r w:rsidR="0886190E">
        <w:rPr>
          <w:rStyle w:val="FontStyle129"/>
          <w:rFonts w:ascii="Calibri" w:hAnsi="Calibri"/>
          <w:sz w:val="24"/>
        </w:rPr>
        <w:t xml:space="preserve">. Avicenna změnil aristotelskou adekvační teorii pravdy na moderní asimilaci jsoucen třetího druhu. </w:t>
      </w:r>
      <w:r w:rsidR="000B37FA">
        <w:rPr>
          <w:rStyle w:val="FontStyle129"/>
          <w:rFonts w:ascii="Calibri" w:hAnsi="Calibri"/>
          <w:sz w:val="24"/>
        </w:rPr>
        <w:t xml:space="preserve">Ontologická forma </w:t>
      </w:r>
      <w:r w:rsidR="000B37FA" w:rsidRPr="000B37FA">
        <w:rPr>
          <w:rStyle w:val="FontStyle129"/>
          <w:rFonts w:ascii="Calibri" w:hAnsi="Calibri"/>
          <w:i/>
          <w:sz w:val="24"/>
        </w:rPr>
        <w:t>G</w:t>
      </w:r>
      <w:r w:rsidR="000B37FA" w:rsidRPr="000B37FA">
        <w:rPr>
          <w:i/>
          <w:szCs w:val="24"/>
        </w:rPr>
        <w:t>e-Stell</w:t>
      </w:r>
      <w:r w:rsidR="000B37FA">
        <w:rPr>
          <w:i/>
          <w:szCs w:val="24"/>
        </w:rPr>
        <w:fldChar w:fldCharType="begin"/>
      </w:r>
      <w:r w:rsidR="000B37FA">
        <w:instrText xml:space="preserve"> XE "</w:instrText>
      </w:r>
      <w:r w:rsidR="000B37FA" w:rsidRPr="00785BC2">
        <w:rPr>
          <w:rStyle w:val="FontStyle129"/>
          <w:rFonts w:ascii="Calibri" w:hAnsi="Calibri"/>
          <w:i/>
          <w:sz w:val="24"/>
        </w:rPr>
        <w:instrText>G</w:instrText>
      </w:r>
      <w:r w:rsidR="000B37FA" w:rsidRPr="00785BC2">
        <w:rPr>
          <w:i/>
          <w:szCs w:val="24"/>
        </w:rPr>
        <w:instrText>e-Stell</w:instrText>
      </w:r>
      <w:r w:rsidR="000B37FA">
        <w:instrText xml:space="preserve">" </w:instrText>
      </w:r>
      <w:r w:rsidR="000B37FA">
        <w:rPr>
          <w:i/>
          <w:szCs w:val="24"/>
        </w:rPr>
        <w:fldChar w:fldCharType="end"/>
      </w:r>
      <w:r w:rsidR="000B37FA">
        <w:rPr>
          <w:szCs w:val="24"/>
        </w:rPr>
        <w:t xml:space="preserve"> dostal</w:t>
      </w:r>
      <w:r w:rsidR="00546BFE">
        <w:rPr>
          <w:szCs w:val="24"/>
        </w:rPr>
        <w:t>a</w:t>
      </w:r>
      <w:r w:rsidR="000B37FA">
        <w:rPr>
          <w:szCs w:val="24"/>
        </w:rPr>
        <w:t xml:space="preserve"> plně moderní charakter: jde od mystického (později objektivního) subjektu směrem k realitě.</w:t>
      </w:r>
      <w:r w:rsidR="000B37FA">
        <w:rPr>
          <w:rStyle w:val="A10"/>
          <w:sz w:val="24"/>
        </w:rPr>
        <w:t xml:space="preserve"> </w:t>
      </w:r>
      <w:r w:rsidR="001D6C08" w:rsidRPr="001D6C08">
        <w:rPr>
          <w:rStyle w:val="FontStyle129"/>
          <w:rFonts w:ascii="Calibri" w:hAnsi="Calibri"/>
          <w:sz w:val="24"/>
        </w:rPr>
        <w:t xml:space="preserve">Po zatmění první substance </w:t>
      </w:r>
      <w:r w:rsidR="001D6C08">
        <w:rPr>
          <w:rStyle w:val="FontStyle129"/>
          <w:rFonts w:ascii="Calibri" w:hAnsi="Calibri"/>
          <w:sz w:val="24"/>
        </w:rPr>
        <w:t xml:space="preserve">vzali </w:t>
      </w:r>
      <w:r w:rsidR="001D6C08" w:rsidRPr="001D6C08">
        <w:rPr>
          <w:rStyle w:val="FontStyle129"/>
          <w:rFonts w:ascii="Calibri" w:hAnsi="Calibri"/>
          <w:sz w:val="24"/>
        </w:rPr>
        <w:t xml:space="preserve">modernisté </w:t>
      </w:r>
      <w:r w:rsidR="001D6C08">
        <w:rPr>
          <w:rStyle w:val="FontStyle129"/>
          <w:rFonts w:ascii="Calibri" w:hAnsi="Calibri"/>
          <w:sz w:val="24"/>
        </w:rPr>
        <w:t xml:space="preserve">teorii </w:t>
      </w:r>
      <w:r w:rsidR="001D6C08" w:rsidRPr="001D6C08">
        <w:rPr>
          <w:rStyle w:val="FontStyle129"/>
          <w:rFonts w:ascii="Calibri" w:hAnsi="Calibri"/>
          <w:sz w:val="24"/>
        </w:rPr>
        <w:t xml:space="preserve">pravdy </w:t>
      </w:r>
      <w:r w:rsidR="001D6C08">
        <w:rPr>
          <w:rStyle w:val="FontStyle129"/>
          <w:rFonts w:ascii="Calibri" w:hAnsi="Calibri"/>
          <w:sz w:val="24"/>
        </w:rPr>
        <w:t>z oblasti Anselmovy</w:t>
      </w:r>
      <w:r w:rsidR="001D6C08" w:rsidRPr="001D6C08">
        <w:rPr>
          <w:rStyle w:val="FontStyle129"/>
          <w:rFonts w:ascii="Calibri" w:hAnsi="Calibri"/>
          <w:sz w:val="24"/>
        </w:rPr>
        <w:t xml:space="preserve"> </w:t>
      </w:r>
      <w:r w:rsidR="001D6C08" w:rsidRPr="001D6C08">
        <w:rPr>
          <w:rStyle w:val="FontStyle129"/>
          <w:rFonts w:ascii="Calibri" w:hAnsi="Calibri"/>
          <w:i/>
          <w:sz w:val="24"/>
        </w:rPr>
        <w:t>rectitudo</w:t>
      </w:r>
      <w:r w:rsidR="001D6C08" w:rsidRPr="001D6C08">
        <w:rPr>
          <w:rStyle w:val="FontStyle129"/>
          <w:rFonts w:ascii="Calibri" w:hAnsi="Calibri"/>
          <w:sz w:val="24"/>
        </w:rPr>
        <w:t xml:space="preserve"> a Avicennovy </w:t>
      </w:r>
      <w:r w:rsidR="001D6C08" w:rsidRPr="001D6C08">
        <w:rPr>
          <w:rStyle w:val="FontStyle129"/>
          <w:rFonts w:ascii="Calibri" w:hAnsi="Calibri"/>
          <w:i/>
          <w:sz w:val="24"/>
        </w:rPr>
        <w:t>certitudo</w:t>
      </w:r>
      <w:r w:rsidR="001D6C08" w:rsidRPr="001D6C08">
        <w:rPr>
          <w:rStyle w:val="FontStyle129"/>
          <w:rFonts w:ascii="Calibri" w:hAnsi="Calibri"/>
          <w:sz w:val="24"/>
        </w:rPr>
        <w:t xml:space="preserve">. Čistá islámská mystika se stala </w:t>
      </w:r>
      <w:r w:rsidR="00584C7F">
        <w:rPr>
          <w:rStyle w:val="FontStyle129"/>
          <w:rFonts w:ascii="Calibri" w:hAnsi="Calibri"/>
          <w:sz w:val="24"/>
        </w:rPr>
        <w:t xml:space="preserve">spekulativním </w:t>
      </w:r>
      <w:r w:rsidR="001D6C08" w:rsidRPr="001D6C08">
        <w:rPr>
          <w:rStyle w:val="FontStyle129"/>
          <w:rFonts w:ascii="Calibri" w:hAnsi="Calibri"/>
          <w:sz w:val="24"/>
        </w:rPr>
        <w:t xml:space="preserve">myšlením západní </w:t>
      </w:r>
      <w:r w:rsidR="001D6C08" w:rsidRPr="001D6C08">
        <w:rPr>
          <w:rStyle w:val="FontStyle129"/>
          <w:rFonts w:ascii="Calibri" w:hAnsi="Calibri"/>
          <w:i/>
          <w:sz w:val="24"/>
        </w:rPr>
        <w:t>intelligentia spiritualis</w:t>
      </w:r>
      <w:r w:rsidR="001D6C08" w:rsidRPr="001D6C08">
        <w:rPr>
          <w:rStyle w:val="FontStyle129"/>
          <w:rFonts w:ascii="Calibri" w:hAnsi="Calibri"/>
          <w:sz w:val="24"/>
        </w:rPr>
        <w:t xml:space="preserve">, která byla postižena </w:t>
      </w:r>
      <w:r w:rsidR="001D6C08">
        <w:rPr>
          <w:rStyle w:val="FontStyle129"/>
          <w:rFonts w:ascii="Calibri" w:hAnsi="Calibri"/>
          <w:sz w:val="24"/>
        </w:rPr>
        <w:t xml:space="preserve">nemalou </w:t>
      </w:r>
      <w:r w:rsidR="001D6C08" w:rsidRPr="001D6C08">
        <w:rPr>
          <w:rStyle w:val="FontStyle129"/>
          <w:rFonts w:ascii="Calibri" w:hAnsi="Calibri"/>
          <w:sz w:val="24"/>
        </w:rPr>
        <w:t>intelektuální pýchou a slabým metafyzickým vzděláním (</w:t>
      </w:r>
      <w:r w:rsidR="001D6C08" w:rsidRPr="001D6C08">
        <w:rPr>
          <w:rStyle w:val="FontStyle129"/>
          <w:rFonts w:ascii="Calibri" w:hAnsi="Calibri"/>
          <w:i/>
          <w:sz w:val="24"/>
        </w:rPr>
        <w:t>apaideusía</w:t>
      </w:r>
      <w:r w:rsidR="00C5157B">
        <w:rPr>
          <w:rStyle w:val="FontStyle129"/>
          <w:rFonts w:ascii="Calibri" w:hAnsi="Calibri"/>
          <w:i/>
          <w:sz w:val="24"/>
        </w:rPr>
        <w:fldChar w:fldCharType="begin"/>
      </w:r>
      <w:r w:rsidR="00C5157B">
        <w:instrText xml:space="preserve"> XE "</w:instrText>
      </w:r>
      <w:r w:rsidR="00C5157B" w:rsidRPr="00F51C36">
        <w:rPr>
          <w:rStyle w:val="FontStyle129"/>
          <w:rFonts w:ascii="Calibri" w:hAnsi="Calibri"/>
          <w:i/>
          <w:sz w:val="24"/>
        </w:rPr>
        <w:instrText>apaideusía</w:instrText>
      </w:r>
      <w:r w:rsidR="00C5157B">
        <w:instrText xml:space="preserve">" </w:instrText>
      </w:r>
      <w:r w:rsidR="00C5157B">
        <w:rPr>
          <w:rStyle w:val="FontStyle129"/>
          <w:rFonts w:ascii="Calibri" w:hAnsi="Calibri"/>
          <w:i/>
          <w:sz w:val="24"/>
        </w:rPr>
        <w:fldChar w:fldCharType="end"/>
      </w:r>
      <w:r w:rsidR="001D6C08" w:rsidRPr="001D6C08">
        <w:rPr>
          <w:rStyle w:val="FontStyle129"/>
          <w:rFonts w:ascii="Calibri" w:hAnsi="Calibri"/>
          <w:sz w:val="24"/>
        </w:rPr>
        <w:t xml:space="preserve">). </w:t>
      </w:r>
      <w:r w:rsidR="001D6C08">
        <w:rPr>
          <w:rStyle w:val="FontStyle129"/>
          <w:rFonts w:ascii="Calibri" w:hAnsi="Calibri"/>
          <w:sz w:val="24"/>
        </w:rPr>
        <w:t>Moderní b</w:t>
      </w:r>
      <w:r w:rsidR="001D6C08" w:rsidRPr="001D6C08">
        <w:rPr>
          <w:rStyle w:val="FontStyle129"/>
          <w:rFonts w:ascii="Calibri" w:hAnsi="Calibri"/>
          <w:sz w:val="24"/>
        </w:rPr>
        <w:t xml:space="preserve">ůh </w:t>
      </w:r>
      <w:r w:rsidR="001D6C08">
        <w:rPr>
          <w:rStyle w:val="FontStyle129"/>
          <w:rFonts w:ascii="Calibri" w:hAnsi="Calibri"/>
          <w:sz w:val="24"/>
        </w:rPr>
        <w:t xml:space="preserve">se stal posledním </w:t>
      </w:r>
      <w:r w:rsidR="001D6C08" w:rsidRPr="001D6C08">
        <w:rPr>
          <w:rStyle w:val="FontStyle129"/>
          <w:rFonts w:ascii="Calibri" w:hAnsi="Calibri"/>
          <w:sz w:val="24"/>
        </w:rPr>
        <w:t>zdroj</w:t>
      </w:r>
      <w:r w:rsidR="001D6C08">
        <w:rPr>
          <w:rStyle w:val="FontStyle129"/>
          <w:rFonts w:ascii="Calibri" w:hAnsi="Calibri"/>
          <w:sz w:val="24"/>
        </w:rPr>
        <w:t>em</w:t>
      </w:r>
      <w:r w:rsidR="001D6C08" w:rsidRPr="001D6C08">
        <w:rPr>
          <w:rStyle w:val="FontStyle129"/>
          <w:rFonts w:ascii="Calibri" w:hAnsi="Calibri"/>
          <w:sz w:val="24"/>
        </w:rPr>
        <w:t xml:space="preserve"> správnosti a jistoty osvíceného myšlení.</w:t>
      </w:r>
      <w:r w:rsidR="00C5157B">
        <w:rPr>
          <w:rStyle w:val="FontStyle129"/>
          <w:rFonts w:ascii="Calibri" w:hAnsi="Calibri"/>
          <w:sz w:val="24"/>
        </w:rPr>
        <w:t xml:space="preserve"> </w:t>
      </w:r>
      <w:r w:rsidR="001C78B8" w:rsidRPr="001C78B8">
        <w:rPr>
          <w:rStyle w:val="FontStyle129"/>
          <w:rFonts w:ascii="Calibri" w:hAnsi="Calibri"/>
          <w:sz w:val="24"/>
        </w:rPr>
        <w:t xml:space="preserve">V epoše úplného zatmění první substance samozřejmě neexistovalo nic, co by se dalo </w:t>
      </w:r>
      <w:r w:rsidR="001C78B8">
        <w:rPr>
          <w:rStyle w:val="FontStyle129"/>
          <w:rFonts w:ascii="Calibri" w:hAnsi="Calibri"/>
          <w:sz w:val="24"/>
        </w:rPr>
        <w:t>použít k metafyzické impozici</w:t>
      </w:r>
      <w:r w:rsidR="001C78B8" w:rsidRPr="001C78B8">
        <w:rPr>
          <w:rStyle w:val="FontStyle129"/>
          <w:rFonts w:ascii="Calibri" w:hAnsi="Calibri"/>
          <w:sz w:val="24"/>
        </w:rPr>
        <w:t xml:space="preserve">. Moderna musela vytvořit sofistickou náhradu hyparchické substance, </w:t>
      </w:r>
      <w:r w:rsidR="00490A98">
        <w:t xml:space="preserve">což provedl novátorský Rufus. </w:t>
      </w:r>
      <w:r w:rsidR="08CC376E">
        <w:t xml:space="preserve">Trvalá </w:t>
      </w:r>
      <w:r w:rsidR="08CC376E" w:rsidRPr="00273106">
        <w:t xml:space="preserve">esence </w:t>
      </w:r>
      <w:r w:rsidR="08CC376E">
        <w:t xml:space="preserve">daná v modu metafyzické ipseity </w:t>
      </w:r>
      <w:r w:rsidR="08CC376E" w:rsidRPr="00273106">
        <w:t>(</w:t>
      </w:r>
      <w:r w:rsidR="08CC376E" w:rsidRPr="00273106">
        <w:rPr>
          <w:i/>
        </w:rPr>
        <w:t>secundum-quod-ipsum-est</w:t>
      </w:r>
      <w:r w:rsidR="08CC376E" w:rsidRPr="00273106">
        <w:t>) určuje konti</w:t>
      </w:r>
      <w:r w:rsidR="08CC376E">
        <w:t>n</w:t>
      </w:r>
      <w:r w:rsidR="08CC376E" w:rsidRPr="00273106">
        <w:t xml:space="preserve">gentní první substanci pomocí vědeckého </w:t>
      </w:r>
      <w:r w:rsidR="08CC376E" w:rsidRPr="00273106">
        <w:rPr>
          <w:i/>
        </w:rPr>
        <w:t>demonstratio</w:t>
      </w:r>
      <w:r w:rsidR="08CC376E">
        <w:rPr>
          <w:i/>
        </w:rPr>
        <w:fldChar w:fldCharType="begin"/>
      </w:r>
      <w:r w:rsidR="08CC376E">
        <w:instrText xml:space="preserve"> XE "</w:instrText>
      </w:r>
      <w:r w:rsidR="08CC376E" w:rsidRPr="004E6075">
        <w:rPr>
          <w:i/>
        </w:rPr>
        <w:instrText>demonstratio:</w:instrText>
      </w:r>
      <w:r w:rsidR="08CC376E" w:rsidRPr="005D5714">
        <w:instrText>Rufus</w:instrText>
      </w:r>
      <w:r w:rsidR="08CC376E">
        <w:instrText xml:space="preserve">" </w:instrText>
      </w:r>
      <w:r w:rsidR="08CC376E">
        <w:rPr>
          <w:i/>
        </w:rPr>
        <w:fldChar w:fldCharType="end"/>
      </w:r>
      <w:r w:rsidR="08CC376E" w:rsidRPr="00273106">
        <w:t>.</w:t>
      </w:r>
      <w:r w:rsidR="08CC376E">
        <w:t xml:space="preserve"> Rufusův </w:t>
      </w:r>
      <w:r w:rsidR="08CC376E" w:rsidRPr="00273106">
        <w:t xml:space="preserve">výklad </w:t>
      </w:r>
      <w:r w:rsidR="08CC376E" w:rsidRPr="007F2859">
        <w:rPr>
          <w:i/>
        </w:rPr>
        <w:t>Druhých analytik</w:t>
      </w:r>
      <w:r w:rsidR="08CC376E">
        <w:t xml:space="preserve"> v minulé kapitole ukázal, že i</w:t>
      </w:r>
      <w:r w:rsidR="00415361">
        <w:t xml:space="preserve">ntelekt poznává vnější svět </w:t>
      </w:r>
      <w:r w:rsidR="00BA448A" w:rsidRPr="00273106">
        <w:t xml:space="preserve">skrze </w:t>
      </w:r>
      <w:r w:rsidR="00415361">
        <w:t>supozici</w:t>
      </w:r>
      <w:r w:rsidR="00BA448A" w:rsidRPr="00273106">
        <w:t xml:space="preserve"> inteligibilních a aktuálních forem</w:t>
      </w:r>
      <w:r w:rsidR="08CC376E">
        <w:t xml:space="preserve">. Logická forma abstrakce </w:t>
      </w:r>
      <w:r w:rsidR="087436EA">
        <w:t>s</w:t>
      </w:r>
      <w:r w:rsidR="08CC376E">
        <w:t>pojila diskrétně nazírané jsoucno-esenci</w:t>
      </w:r>
      <w:r w:rsidR="083603B5">
        <w:t xml:space="preserve"> jako číselně určené individuum </w:t>
      </w:r>
      <w:r w:rsidR="08CC376E">
        <w:t>do analytické jedno</w:t>
      </w:r>
      <w:r w:rsidR="08A57C4E">
        <w:t xml:space="preserve">ty celku jsoucna, který vznikl skrze matematickou analogii. </w:t>
      </w:r>
      <w:r w:rsidR="083603B5">
        <w:t xml:space="preserve">Tato asimilace </w:t>
      </w:r>
      <w:r w:rsidR="08EC6073">
        <w:t xml:space="preserve">individualizovaného </w:t>
      </w:r>
      <w:r w:rsidR="08A57C4E">
        <w:t xml:space="preserve">jsoucna </w:t>
      </w:r>
      <w:r w:rsidR="083603B5">
        <w:t xml:space="preserve">běží </w:t>
      </w:r>
      <w:r w:rsidR="08A57C4E">
        <w:t xml:space="preserve">v mysli modernisty a </w:t>
      </w:r>
      <w:r w:rsidR="083603B5">
        <w:t xml:space="preserve">v modu porretánského </w:t>
      </w:r>
      <w:r w:rsidR="083603B5" w:rsidRPr="083603B5">
        <w:rPr>
          <w:i/>
        </w:rPr>
        <w:t>discrete videamus</w:t>
      </w:r>
      <w:r w:rsidR="083603B5">
        <w:t>.</w:t>
      </w:r>
      <w:r w:rsidR="0014287F">
        <w:t xml:space="preserve"> </w:t>
      </w:r>
      <w:r w:rsidR="0014287F" w:rsidRPr="0014287F">
        <w:t xml:space="preserve">Jistota poznání byla původně </w:t>
      </w:r>
      <w:r w:rsidR="0014287F">
        <w:t>od první substance</w:t>
      </w:r>
      <w:r w:rsidR="0014287F" w:rsidRPr="0014287F">
        <w:t xml:space="preserve">. Po jejím odchodu z </w:t>
      </w:r>
      <w:r w:rsidR="0014287F">
        <w:t>metafyziky ji nahradil moderní b</w:t>
      </w:r>
      <w:r w:rsidR="0014287F" w:rsidRPr="0014287F">
        <w:t>ůh jako nový subjekt latinských iluminátů. Ten nakonec o několik století později nutně zanikl, prot</w:t>
      </w:r>
      <w:r w:rsidR="0014287F">
        <w:t xml:space="preserve">ože </w:t>
      </w:r>
      <w:r w:rsidR="0014287F" w:rsidRPr="0014287F">
        <w:t>nikdy neexistoval.</w:t>
      </w:r>
    </w:p>
    <w:p w14:paraId="6845C1D2" w14:textId="12C4BC1D" w:rsidR="08D54993" w:rsidRPr="005A1203" w:rsidRDefault="08A174B6" w:rsidP="005A1203">
      <w:pPr>
        <w:ind w:firstLine="397"/>
      </w:pPr>
      <w:r>
        <w:t xml:space="preserve">Vraťme se ke sporu ohledně triteismu ve druhé polovině 12. století (kap. </w:t>
      </w:r>
      <w:r w:rsidR="08EC6073">
        <w:t>1</w:t>
      </w:r>
      <w:r>
        <w:t xml:space="preserve">.4). </w:t>
      </w:r>
      <w:r w:rsidR="088C0BA1">
        <w:rPr>
          <w:color w:val="000000"/>
        </w:rPr>
        <w:t xml:space="preserve">Základní definice boha a člověka dostaly nominální charakter pouhého </w:t>
      </w:r>
      <w:r w:rsidR="088C0BA1" w:rsidRPr="08012946">
        <w:rPr>
          <w:i/>
          <w:color w:val="000000"/>
        </w:rPr>
        <w:t>opinabile</w:t>
      </w:r>
      <w:r w:rsidR="088C0BA1">
        <w:rPr>
          <w:color w:val="000000"/>
        </w:rPr>
        <w:t xml:space="preserve">. </w:t>
      </w:r>
      <w:r>
        <w:rPr>
          <w:color w:val="000000"/>
        </w:rPr>
        <w:t xml:space="preserve">Aristotelikové </w:t>
      </w:r>
      <w:r w:rsidR="0840490E">
        <w:rPr>
          <w:color w:val="000000"/>
        </w:rPr>
        <w:t xml:space="preserve">v linii Boethia </w:t>
      </w:r>
      <w:r w:rsidR="0840560D">
        <w:rPr>
          <w:color w:val="000000"/>
        </w:rPr>
        <w:t xml:space="preserve">a Abelarda </w:t>
      </w:r>
      <w:r w:rsidR="00401DF8">
        <w:rPr>
          <w:color w:val="000000"/>
        </w:rPr>
        <w:t xml:space="preserve">rychle </w:t>
      </w:r>
      <w:r>
        <w:rPr>
          <w:color w:val="000000"/>
        </w:rPr>
        <w:t>pochopili</w:t>
      </w:r>
      <w:r w:rsidR="00401DF8">
        <w:rPr>
          <w:color w:val="000000"/>
        </w:rPr>
        <w:t xml:space="preserve"> důsledky</w:t>
      </w:r>
      <w:r w:rsidR="00405362">
        <w:rPr>
          <w:color w:val="000000"/>
        </w:rPr>
        <w:t xml:space="preserve"> nominalismu</w:t>
      </w:r>
      <w:r w:rsidR="00401DF8">
        <w:rPr>
          <w:color w:val="000000"/>
        </w:rPr>
        <w:t>. Z</w:t>
      </w:r>
      <w:r>
        <w:rPr>
          <w:color w:val="000000"/>
        </w:rPr>
        <w:t>ničením impozice a redukcí supozice na jistotu poznávajícího subjektu dochází k des</w:t>
      </w:r>
      <w:r w:rsidR="081941CE">
        <w:rPr>
          <w:color w:val="000000"/>
        </w:rPr>
        <w:t xml:space="preserve">trukci </w:t>
      </w:r>
      <w:r w:rsidR="0840560D">
        <w:rPr>
          <w:color w:val="000000"/>
        </w:rPr>
        <w:t>božských Osob</w:t>
      </w:r>
      <w:r w:rsidR="089E03E2">
        <w:rPr>
          <w:color w:val="000000"/>
        </w:rPr>
        <w:t xml:space="preserve"> </w:t>
      </w:r>
      <w:r w:rsidR="0840560D">
        <w:rPr>
          <w:color w:val="000000"/>
        </w:rPr>
        <w:t xml:space="preserve">a tím i </w:t>
      </w:r>
      <w:r w:rsidR="081941CE">
        <w:rPr>
          <w:color w:val="000000"/>
        </w:rPr>
        <w:t>člověka</w:t>
      </w:r>
      <w:r w:rsidR="0840560D">
        <w:rPr>
          <w:color w:val="000000"/>
        </w:rPr>
        <w:t xml:space="preserve"> jako osoby</w:t>
      </w:r>
      <w:r w:rsidR="081941CE">
        <w:rPr>
          <w:color w:val="000000"/>
        </w:rPr>
        <w:t xml:space="preserve">. </w:t>
      </w:r>
      <w:r w:rsidR="084A319E">
        <w:rPr>
          <w:color w:val="000000"/>
        </w:rPr>
        <w:t>V letech 1240</w:t>
      </w:r>
      <w:r w:rsidR="084A319E">
        <w:t>‒</w:t>
      </w:r>
      <w:r w:rsidR="084A319E">
        <w:rPr>
          <w:color w:val="000000"/>
        </w:rPr>
        <w:t xml:space="preserve">45 se tento spor opakuje v mnohem sofistikovanější podobě určené výkladem poznání a osoby podle </w:t>
      </w:r>
      <w:r w:rsidR="084A319E" w:rsidRPr="084A319E">
        <w:rPr>
          <w:i/>
          <w:color w:val="000000"/>
        </w:rPr>
        <w:t>De anima</w:t>
      </w:r>
      <w:r w:rsidR="084A319E">
        <w:rPr>
          <w:color w:val="000000"/>
        </w:rPr>
        <w:t xml:space="preserve">. </w:t>
      </w:r>
      <w:r>
        <w:rPr>
          <w:color w:val="000000"/>
        </w:rPr>
        <w:t xml:space="preserve">Rufus změnil </w:t>
      </w:r>
      <w:r w:rsidRPr="08012946">
        <w:rPr>
          <w:i/>
          <w:color w:val="000000"/>
        </w:rPr>
        <w:t>opinabile</w:t>
      </w:r>
      <w:r w:rsidR="08CD2127">
        <w:rPr>
          <w:i/>
        </w:rPr>
        <w:fldChar w:fldCharType="begin"/>
      </w:r>
      <w:r w:rsidR="08CD2127">
        <w:instrText xml:space="preserve"> XE "</w:instrText>
      </w:r>
      <w:r w:rsidR="08CD2127" w:rsidRPr="084633EC">
        <w:rPr>
          <w:i/>
        </w:rPr>
        <w:instrText>opinabile</w:instrText>
      </w:r>
      <w:r w:rsidR="08CD2127">
        <w:instrText xml:space="preserve">" </w:instrText>
      </w:r>
      <w:r w:rsidR="08CD2127">
        <w:rPr>
          <w:i/>
        </w:rPr>
        <w:fldChar w:fldCharType="end"/>
      </w:r>
      <w:r>
        <w:rPr>
          <w:i/>
          <w:color w:val="000000"/>
        </w:rPr>
        <w:t xml:space="preserve"> </w:t>
      </w:r>
      <w:r>
        <w:rPr>
          <w:color w:val="000000"/>
        </w:rPr>
        <w:t xml:space="preserve">porretánů </w:t>
      </w:r>
      <w:r w:rsidRPr="08A174B6">
        <w:t xml:space="preserve">na vědecké </w:t>
      </w:r>
      <w:r w:rsidRPr="08A174B6">
        <w:rPr>
          <w:i/>
        </w:rPr>
        <w:t>scibile</w:t>
      </w:r>
      <w:r w:rsidRPr="08A174B6">
        <w:t xml:space="preserve"> </w:t>
      </w:r>
      <w:r w:rsidR="0840490E">
        <w:t xml:space="preserve">podle Aristotela </w:t>
      </w:r>
      <w:r w:rsidRPr="08A174B6">
        <w:t xml:space="preserve">a </w:t>
      </w:r>
      <w:r w:rsidR="08FB41F4">
        <w:t xml:space="preserve">touto sofistickou transformací </w:t>
      </w:r>
      <w:r w:rsidR="08842C88">
        <w:t>vytvořil moderní</w:t>
      </w:r>
      <w:r w:rsidR="088D5C53">
        <w:t xml:space="preserve"> analytickou </w:t>
      </w:r>
      <w:r w:rsidR="08842C88">
        <w:t>vědu.</w:t>
      </w:r>
      <w:r w:rsidR="086D6794">
        <w:t xml:space="preserve"> </w:t>
      </w:r>
      <w:r w:rsidR="004E294F">
        <w:t>Ve škole druhého averroismu dané</w:t>
      </w:r>
      <w:r w:rsidR="08D7554D">
        <w:t>ho</w:t>
      </w:r>
      <w:r w:rsidR="004E294F">
        <w:t xml:space="preserve"> </w:t>
      </w:r>
      <w:r w:rsidR="004E294F" w:rsidRPr="00273106">
        <w:t xml:space="preserve">v rámci </w:t>
      </w:r>
      <w:r w:rsidR="004E294F" w:rsidRPr="00273106">
        <w:rPr>
          <w:i/>
        </w:rPr>
        <w:t>Oxfordian Fallacy</w:t>
      </w:r>
      <w:r w:rsidR="004E294F">
        <w:rPr>
          <w:i/>
        </w:rPr>
        <w:fldChar w:fldCharType="begin"/>
      </w:r>
      <w:r w:rsidR="004E294F">
        <w:instrText xml:space="preserve"> XE "</w:instrText>
      </w:r>
      <w:r w:rsidR="004E294F" w:rsidRPr="0015798D">
        <w:rPr>
          <w:i/>
        </w:rPr>
        <w:instrText>Oxfordian Fallacy:</w:instrText>
      </w:r>
      <w:r w:rsidR="004E294F">
        <w:instrText xml:space="preserve">pravda" </w:instrText>
      </w:r>
      <w:r w:rsidR="004E294F">
        <w:rPr>
          <w:i/>
        </w:rPr>
        <w:fldChar w:fldCharType="end"/>
      </w:r>
      <w:r w:rsidR="004E294F">
        <w:t xml:space="preserve"> se </w:t>
      </w:r>
      <w:r w:rsidR="004E294F" w:rsidRPr="00273106">
        <w:t xml:space="preserve">spojily </w:t>
      </w:r>
      <w:r w:rsidR="08842C88">
        <w:t xml:space="preserve">okolo roku </w:t>
      </w:r>
      <w:r w:rsidR="004E294F" w:rsidRPr="00273106">
        <w:t>1235 základní předpoklady pro vznik nového pojetí pravdy.</w:t>
      </w:r>
      <w:r w:rsidR="004E294F">
        <w:t xml:space="preserve"> </w:t>
      </w:r>
      <w:r w:rsidR="00BA448A">
        <w:t>V</w:t>
      </w:r>
      <w:r w:rsidR="00BA448A" w:rsidRPr="00273106">
        <w:t xml:space="preserve">zorem </w:t>
      </w:r>
      <w:r w:rsidR="00BA448A">
        <w:t xml:space="preserve">nového pojetí pravdy je </w:t>
      </w:r>
      <w:r w:rsidR="00BA448A" w:rsidRPr="00273106">
        <w:t xml:space="preserve">Anselmův </w:t>
      </w:r>
      <w:r w:rsidR="00405362">
        <w:rPr>
          <w:i/>
        </w:rPr>
        <w:t>Dialogus de V</w:t>
      </w:r>
      <w:r w:rsidR="00BA448A" w:rsidRPr="00273106">
        <w:rPr>
          <w:i/>
        </w:rPr>
        <w:t>eritate</w:t>
      </w:r>
      <w:r w:rsidR="00BA448A" w:rsidRPr="00273106">
        <w:t xml:space="preserve"> a jeho pojetí pravdy jako </w:t>
      </w:r>
      <w:r w:rsidR="08E31734" w:rsidRPr="08E31734">
        <w:rPr>
          <w:i/>
        </w:rPr>
        <w:t>rectitudo</w:t>
      </w:r>
      <w:r w:rsidR="00336B54">
        <w:rPr>
          <w:i/>
        </w:rPr>
        <w:fldChar w:fldCharType="begin"/>
      </w:r>
      <w:r w:rsidR="00336B54">
        <w:instrText xml:space="preserve"> XE "pravda:</w:instrText>
      </w:r>
      <w:r w:rsidR="00336B54" w:rsidRPr="00253B4C">
        <w:rPr>
          <w:i/>
        </w:rPr>
        <w:instrText>certitudo</w:instrText>
      </w:r>
      <w:r w:rsidR="00336B54">
        <w:instrText xml:space="preserve">" </w:instrText>
      </w:r>
      <w:r w:rsidR="00336B54">
        <w:rPr>
          <w:i/>
        </w:rPr>
        <w:fldChar w:fldCharType="end"/>
      </w:r>
      <w:r w:rsidR="08E31734">
        <w:t xml:space="preserve"> a </w:t>
      </w:r>
      <w:r w:rsidR="08E31734" w:rsidRPr="08E31734">
        <w:rPr>
          <w:i/>
        </w:rPr>
        <w:t>certitudo</w:t>
      </w:r>
      <w:r w:rsidR="08E31734">
        <w:t xml:space="preserve"> dané </w:t>
      </w:r>
      <w:r w:rsidR="08E31734" w:rsidRPr="00273106">
        <w:t>v bohu jako nejvyšší pravdě</w:t>
      </w:r>
      <w:r w:rsidR="089E03E2">
        <w:t xml:space="preserve"> (kap. 1</w:t>
      </w:r>
      <w:r w:rsidR="08E31734">
        <w:t>.2)</w:t>
      </w:r>
      <w:r w:rsidR="08E31734">
        <w:rPr>
          <w:i/>
          <w:iCs/>
        </w:rPr>
        <w:fldChar w:fldCharType="begin"/>
      </w:r>
      <w:r w:rsidR="08E31734">
        <w:instrText xml:space="preserve"> XE "esence:druhý averroismus" </w:instrText>
      </w:r>
      <w:r w:rsidR="08E31734">
        <w:rPr>
          <w:i/>
          <w:iCs/>
        </w:rPr>
        <w:fldChar w:fldCharType="end"/>
      </w:r>
      <w:r w:rsidR="08E31734" w:rsidRPr="00273106">
        <w:t xml:space="preserve">. </w:t>
      </w:r>
      <w:r w:rsidR="08E31734">
        <w:t xml:space="preserve">První producent bytí jsoucna dává </w:t>
      </w:r>
      <w:r w:rsidR="08E31734" w:rsidRPr="00273106">
        <w:t xml:space="preserve">potřebnou jistotu pro pravdu </w:t>
      </w:r>
      <w:r w:rsidR="08E31734">
        <w:t xml:space="preserve">danou </w:t>
      </w:r>
      <w:r w:rsidR="08E31734" w:rsidRPr="00273106">
        <w:t>jako správnost věcí</w:t>
      </w:r>
      <w:r w:rsidR="00DF41FE">
        <w:t xml:space="preserve"> v boží mysli</w:t>
      </w:r>
      <w:r w:rsidR="08E31734">
        <w:t>.</w:t>
      </w:r>
      <w:r w:rsidR="08E31734" w:rsidRPr="00273106">
        <w:t xml:space="preserve"> </w:t>
      </w:r>
      <w:r w:rsidR="00DF41FE">
        <w:t>M</w:t>
      </w:r>
      <w:r w:rsidR="000141ED" w:rsidRPr="000141ED">
        <w:t xml:space="preserve">odernismus, založený </w:t>
      </w:r>
      <w:r w:rsidR="000141ED">
        <w:t xml:space="preserve">na středověké církvi a současné </w:t>
      </w:r>
      <w:r w:rsidR="000141ED" w:rsidRPr="000141ED">
        <w:rPr>
          <w:i/>
        </w:rPr>
        <w:t>global governance</w:t>
      </w:r>
      <w:r w:rsidR="006F1F1F">
        <w:t xml:space="preserve"> nepotřeboval </w:t>
      </w:r>
      <w:r w:rsidR="000141ED" w:rsidRPr="000141ED">
        <w:t>realitu kolem nás</w:t>
      </w:r>
      <w:r w:rsidR="006F1F1F">
        <w:t xml:space="preserve">, kterou by zkoumal jako pravdivou </w:t>
      </w:r>
      <w:r w:rsidR="000141ED" w:rsidRPr="000141ED">
        <w:t xml:space="preserve">prostřednictvím </w:t>
      </w:r>
      <w:r w:rsidR="006F1F1F">
        <w:t>impozice</w:t>
      </w:r>
      <w:r w:rsidR="000141ED" w:rsidRPr="000141ED">
        <w:t xml:space="preserve">. Místo toho modernisté využili </w:t>
      </w:r>
      <w:r w:rsidR="00C2513C">
        <w:t xml:space="preserve">narrativního </w:t>
      </w:r>
      <w:r w:rsidR="006F1F1F">
        <w:t xml:space="preserve">potenciálu </w:t>
      </w:r>
      <w:r w:rsidR="000141ED" w:rsidRPr="006F1F1F">
        <w:rPr>
          <w:i/>
        </w:rPr>
        <w:t>Liber de causis</w:t>
      </w:r>
      <w:r w:rsidR="006F1F1F">
        <w:t xml:space="preserve"> a vytvořili my</w:t>
      </w:r>
      <w:r w:rsidR="00C1723D">
        <w:t>topoetickou hierarchii neoplatonských hypostází</w:t>
      </w:r>
      <w:r w:rsidR="000141ED" w:rsidRPr="000141ED">
        <w:t>.</w:t>
      </w:r>
      <w:r w:rsidR="006059AE">
        <w:t xml:space="preserve"> </w:t>
      </w:r>
      <w:r w:rsidR="006059AE" w:rsidRPr="006059AE">
        <w:t xml:space="preserve">Modernisté nakonec našli </w:t>
      </w:r>
      <w:r w:rsidR="00206B69">
        <w:t xml:space="preserve">původní </w:t>
      </w:r>
      <w:r w:rsidR="006059AE" w:rsidRPr="006059AE">
        <w:t>jeskyni Ali Bab</w:t>
      </w:r>
      <w:r w:rsidR="006059AE">
        <w:t xml:space="preserve">y plnou moderních esencí, které </w:t>
      </w:r>
      <w:r w:rsidR="00206B69">
        <w:t>vytvořila Avicennova falsafa a pak oni sami</w:t>
      </w:r>
      <w:r w:rsidR="006059AE">
        <w:t xml:space="preserve">. </w:t>
      </w:r>
      <w:r w:rsidR="08E31734" w:rsidRPr="00273106">
        <w:t xml:space="preserve">Primární plnost bytí v bohu </w:t>
      </w:r>
      <w:r w:rsidR="0848295C">
        <w:t>představu</w:t>
      </w:r>
      <w:r w:rsidR="08E31734" w:rsidRPr="00273106">
        <w:t xml:space="preserve">je nejvyšší jistotou </w:t>
      </w:r>
      <w:r w:rsidR="08E31734">
        <w:t xml:space="preserve">pro všechny stvořené </w:t>
      </w:r>
      <w:r w:rsidR="08E31734" w:rsidRPr="00273106">
        <w:t>esence (</w:t>
      </w:r>
      <w:r w:rsidR="08E31734" w:rsidRPr="00273106">
        <w:rPr>
          <w:i/>
        </w:rPr>
        <w:t>certum est veritatem rerum esse rectitudinem</w:t>
      </w:r>
      <w:r w:rsidR="00AD6FDF">
        <w:rPr>
          <w:i/>
        </w:rPr>
        <w:t>,</w:t>
      </w:r>
      <w:r w:rsidR="00AD6FDF" w:rsidRPr="00C058EC">
        <w:rPr>
          <w:lang w:eastAsia="en-US"/>
        </w:rPr>
        <w:t xml:space="preserve"> </w:t>
      </w:r>
      <w:r w:rsidR="00AD6FDF">
        <w:rPr>
          <w:lang w:eastAsia="en-US"/>
        </w:rPr>
        <w:t xml:space="preserve">kap. </w:t>
      </w:r>
      <w:r w:rsidR="00AD6FDF" w:rsidRPr="00C058EC">
        <w:rPr>
          <w:lang w:eastAsia="en-US"/>
        </w:rPr>
        <w:t>1.2</w:t>
      </w:r>
      <w:r w:rsidR="08E31734" w:rsidRPr="00273106">
        <w:t>)</w:t>
      </w:r>
      <w:r w:rsidR="08E31734">
        <w:t xml:space="preserve">. </w:t>
      </w:r>
      <w:r w:rsidR="08E31734" w:rsidRPr="00273106">
        <w:t xml:space="preserve">Pravda jako </w:t>
      </w:r>
      <w:r w:rsidR="08E31734" w:rsidRPr="00273106">
        <w:rPr>
          <w:i/>
        </w:rPr>
        <w:t>rectitudo</w:t>
      </w:r>
      <w:r w:rsidR="08E31734" w:rsidRPr="00273106">
        <w:t xml:space="preserve"> je vyvázána z procesu smyslového poznání</w:t>
      </w:r>
      <w:r w:rsidR="080F05C4">
        <w:t>, protože nevzniká v procesu aristotelské abstrakce</w:t>
      </w:r>
      <w:r w:rsidR="08E31734" w:rsidRPr="00273106">
        <w:t xml:space="preserve">. </w:t>
      </w:r>
      <w:r w:rsidR="08E71254">
        <w:t>Pravda asimiluje na úrovni osvíceného subjektu mytopoetickou</w:t>
      </w:r>
      <w:r w:rsidR="08E71254">
        <w:fldChar w:fldCharType="begin"/>
      </w:r>
      <w:r w:rsidR="08E71254">
        <w:instrText xml:space="preserve"> XE "</w:instrText>
      </w:r>
      <w:r w:rsidR="08E71254" w:rsidRPr="08E40CDB">
        <w:instrText>mytopoesis</w:instrText>
      </w:r>
      <w:r w:rsidR="08E71254">
        <w:instrText xml:space="preserve">" </w:instrText>
      </w:r>
      <w:r w:rsidR="08E71254">
        <w:fldChar w:fldCharType="end"/>
      </w:r>
      <w:r w:rsidR="08E71254">
        <w:t xml:space="preserve"> plnost</w:t>
      </w:r>
      <w:r w:rsidR="08E31734" w:rsidRPr="00273106">
        <w:t xml:space="preserve"> stvoření daného v</w:t>
      </w:r>
      <w:r w:rsidR="08E31734">
        <w:t xml:space="preserve">e </w:t>
      </w:r>
      <w:r w:rsidR="08E31734" w:rsidRPr="00273106">
        <w:t>stále pravdivější hierarchii esencí (</w:t>
      </w:r>
      <w:r w:rsidR="08E31734" w:rsidRPr="00273106">
        <w:rPr>
          <w:i/>
        </w:rPr>
        <w:t>veritas et rectitudo idcirco sunt in rerum essentia</w:t>
      </w:r>
      <w:r w:rsidR="00AD6FDF">
        <w:rPr>
          <w:i/>
        </w:rPr>
        <w:t xml:space="preserve">, </w:t>
      </w:r>
      <w:r w:rsidR="00AD6FDF">
        <w:rPr>
          <w:lang w:eastAsia="en-US"/>
        </w:rPr>
        <w:t xml:space="preserve">kap. </w:t>
      </w:r>
      <w:r w:rsidR="00AD6FDF" w:rsidRPr="00C058EC">
        <w:rPr>
          <w:lang w:eastAsia="en-US"/>
        </w:rPr>
        <w:t>1.2</w:t>
      </w:r>
      <w:r w:rsidR="08E31734" w:rsidRPr="00273106">
        <w:t>).</w:t>
      </w:r>
      <w:r w:rsidR="08E31734">
        <w:t xml:space="preserve"> </w:t>
      </w:r>
      <w:r w:rsidR="08D7554D">
        <w:t>M</w:t>
      </w:r>
      <w:r w:rsidR="00BA448A" w:rsidRPr="00273106">
        <w:t xml:space="preserve">oderní subjekt stvořitelskou či tvořitelskou činností danou skrze </w:t>
      </w:r>
      <w:r w:rsidR="00B9186D">
        <w:t xml:space="preserve">božskou a pak lidskou </w:t>
      </w:r>
      <w:r w:rsidR="00BA448A" w:rsidRPr="00273106">
        <w:t>vůli garantuje nárok jsoucen na pravdivost (</w:t>
      </w:r>
      <w:r w:rsidR="00BA448A" w:rsidRPr="00273106">
        <w:rPr>
          <w:i/>
        </w:rPr>
        <w:t>quod debet esse, recte est</w:t>
      </w:r>
      <w:r w:rsidR="00BA448A">
        <w:rPr>
          <w:i/>
        </w:rPr>
        <w:t>,</w:t>
      </w:r>
      <w:r w:rsidR="00BA448A">
        <w:t xml:space="preserve"> </w:t>
      </w:r>
      <w:r w:rsidR="08F60E2D">
        <w:t>kap. 1</w:t>
      </w:r>
      <w:r w:rsidR="001B156E">
        <w:t>.2</w:t>
      </w:r>
      <w:r w:rsidR="00BA448A" w:rsidRPr="00273106">
        <w:t xml:space="preserve">). </w:t>
      </w:r>
      <w:r w:rsidR="084A72C0">
        <w:t xml:space="preserve">Grosseteste a Rufus vycházejí při určení pravdy z augustiniánského </w:t>
      </w:r>
      <w:r w:rsidR="08732834">
        <w:t xml:space="preserve">neoplatonika </w:t>
      </w:r>
      <w:r w:rsidR="084A72C0">
        <w:t xml:space="preserve">Anselma. </w:t>
      </w:r>
      <w:r w:rsidR="00623262" w:rsidRPr="00273106">
        <w:t xml:space="preserve">Předešlá kapitola ukázala, že bytí subjektu </w:t>
      </w:r>
      <w:r w:rsidR="08D7554D">
        <w:t xml:space="preserve">u Rufuse se nemusí reálně </w:t>
      </w:r>
      <w:r w:rsidR="00623262" w:rsidRPr="00273106">
        <w:t>mani</w:t>
      </w:r>
      <w:r w:rsidR="08D7554D">
        <w:t>festovat, protože je pouze pr</w:t>
      </w:r>
      <w:r w:rsidR="00623262" w:rsidRPr="00273106">
        <w:t>ed</w:t>
      </w:r>
      <w:r w:rsidR="08D7554D">
        <w:t>ikováno</w:t>
      </w:r>
      <w:r w:rsidR="00623262" w:rsidRPr="00273106">
        <w:t xml:space="preserve"> (</w:t>
      </w:r>
      <w:r w:rsidR="00623262" w:rsidRPr="00273106">
        <w:rPr>
          <w:i/>
        </w:rPr>
        <w:t>non ostenditur, sed supponitur</w:t>
      </w:r>
      <w:r w:rsidR="00623262" w:rsidRPr="00273106">
        <w:t xml:space="preserve">). Supozice </w:t>
      </w:r>
      <w:r w:rsidR="088C25FC" w:rsidRPr="00273106">
        <w:t xml:space="preserve">primárně </w:t>
      </w:r>
      <w:r w:rsidR="00623262" w:rsidRPr="00273106">
        <w:t>nejde od konti</w:t>
      </w:r>
      <w:r w:rsidR="00A95889">
        <w:t>n</w:t>
      </w:r>
      <w:r w:rsidR="00623262" w:rsidRPr="00273106">
        <w:t xml:space="preserve">gentní první substance, ale od </w:t>
      </w:r>
      <w:r w:rsidR="00E70622">
        <w:t xml:space="preserve">věčné </w:t>
      </w:r>
      <w:r w:rsidR="00623262" w:rsidRPr="00273106">
        <w:t xml:space="preserve">esence v dané v aktu intuice čistých forem. </w:t>
      </w:r>
      <w:r w:rsidR="00097287" w:rsidRPr="00273106">
        <w:t xml:space="preserve">Připomeňme ironický epigram díla </w:t>
      </w:r>
      <w:r w:rsidR="00097287" w:rsidRPr="00273106">
        <w:rPr>
          <w:i/>
        </w:rPr>
        <w:t>Fons philosophiae</w:t>
      </w:r>
      <w:r w:rsidR="08CD69E3">
        <w:t xml:space="preserve">, který kritizuje </w:t>
      </w:r>
      <w:r w:rsidR="00097287" w:rsidRPr="00273106">
        <w:t xml:space="preserve">vidění reality ve školách </w:t>
      </w:r>
      <w:r w:rsidR="00097287" w:rsidRPr="00273106">
        <w:rPr>
          <w:i/>
        </w:rPr>
        <w:t>Nominales</w:t>
      </w:r>
      <w:r w:rsidR="00097287" w:rsidRPr="00273106">
        <w:t xml:space="preserve"> jako šílené </w:t>
      </w:r>
      <w:r w:rsidR="00097287">
        <w:t xml:space="preserve">dávno před Baconem </w:t>
      </w:r>
      <w:r w:rsidR="00097287" w:rsidRPr="00273106">
        <w:t>(</w:t>
      </w:r>
      <w:r w:rsidR="00336B54" w:rsidRPr="00273106">
        <w:rPr>
          <w:i/>
        </w:rPr>
        <w:t xml:space="preserve">hoc crediderit </w:t>
      </w:r>
      <w:r w:rsidR="08732834" w:rsidRPr="00273106">
        <w:rPr>
          <w:i/>
        </w:rPr>
        <w:t xml:space="preserve">solus </w:t>
      </w:r>
      <w:r w:rsidR="00336B54" w:rsidRPr="00273106">
        <w:rPr>
          <w:i/>
        </w:rPr>
        <w:t>mentis alienus</w:t>
      </w:r>
      <w:r w:rsidR="00336B54">
        <w:t xml:space="preserve">, </w:t>
      </w:r>
      <w:r w:rsidR="08DB588F">
        <w:t>kap. 1</w:t>
      </w:r>
      <w:r w:rsidR="00097287" w:rsidRPr="00273106">
        <w:t xml:space="preserve">.6). </w:t>
      </w:r>
      <w:r w:rsidR="002A40DA">
        <w:t xml:space="preserve">Rufus radikalizuje </w:t>
      </w:r>
      <w:r w:rsidR="08732834">
        <w:t xml:space="preserve">svět naruby podle </w:t>
      </w:r>
      <w:r w:rsidR="08732834" w:rsidRPr="08732834">
        <w:rPr>
          <w:i/>
        </w:rPr>
        <w:t>Nominales</w:t>
      </w:r>
      <w:r w:rsidR="08732834">
        <w:t xml:space="preserve"> </w:t>
      </w:r>
      <w:r w:rsidR="00352195">
        <w:t xml:space="preserve">tím, že jej kombinuje s </w:t>
      </w:r>
      <w:r w:rsidR="002A40DA">
        <w:t>avicennovským výkladem</w:t>
      </w:r>
      <w:r w:rsidR="00352195">
        <w:t xml:space="preserve"> </w:t>
      </w:r>
      <w:r w:rsidR="00352195" w:rsidRPr="00352195">
        <w:rPr>
          <w:i/>
        </w:rPr>
        <w:t>De anima</w:t>
      </w:r>
      <w:r w:rsidR="002A40DA">
        <w:t>, který Gross</w:t>
      </w:r>
      <w:r w:rsidR="089A2738">
        <w:t>e</w:t>
      </w:r>
      <w:r w:rsidR="002A40DA">
        <w:t>teste odmítal</w:t>
      </w:r>
      <w:r w:rsidR="009F53BC">
        <w:t xml:space="preserve"> kvůli tezi o mnohosti substancí v člověku</w:t>
      </w:r>
      <w:r w:rsidR="002A40DA">
        <w:t xml:space="preserve">. </w:t>
      </w:r>
      <w:r w:rsidR="0892650A">
        <w:t xml:space="preserve">Úvod předešlé kapitoly ukázal, že </w:t>
      </w:r>
      <w:r w:rsidR="00EB7E79">
        <w:t xml:space="preserve">Rufus </w:t>
      </w:r>
      <w:r w:rsidR="00EB7E79" w:rsidRPr="00273106">
        <w:t xml:space="preserve">se </w:t>
      </w:r>
      <w:r w:rsidR="00EB7E79">
        <w:t xml:space="preserve">verbálně </w:t>
      </w:r>
      <w:r w:rsidR="0892650A">
        <w:t>hlásí k</w:t>
      </w:r>
      <w:r w:rsidR="00EB7E79" w:rsidRPr="00273106">
        <w:t xml:space="preserve"> pojetí intelektu jako </w:t>
      </w:r>
      <w:r w:rsidR="00EB7E79"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EB7E79" w:rsidRPr="00273106">
        <w:t xml:space="preserve">. Ale popírá </w:t>
      </w:r>
      <w:r w:rsidR="0892650A">
        <w:t xml:space="preserve">Aristotelovo </w:t>
      </w:r>
      <w:r w:rsidR="00EB7E79" w:rsidRPr="00273106">
        <w:t xml:space="preserve">pojetí výkladem subsistentního </w:t>
      </w:r>
      <w:r w:rsidR="08C2647D">
        <w:t xml:space="preserve">avicennovského </w:t>
      </w:r>
      <w:r w:rsidR="00EB7E79" w:rsidRPr="00273106">
        <w:t>intelektu</w:t>
      </w:r>
      <w:r w:rsidR="00EB7E79">
        <w:t xml:space="preserve"> </w:t>
      </w:r>
      <w:r w:rsidR="085A266A">
        <w:t xml:space="preserve">podaného </w:t>
      </w:r>
      <w:r w:rsidR="00EB7E79">
        <w:t>v rámci univerzálního hylemorfismu</w:t>
      </w:r>
      <w:r w:rsidR="08064649">
        <w:t xml:space="preserve"> (</w:t>
      </w:r>
      <w:r w:rsidR="08064649">
        <w:rPr>
          <w:i/>
        </w:rPr>
        <w:t>potentia substantialis</w:t>
      </w:r>
      <w:r w:rsidR="08064649">
        <w:rPr>
          <w:i/>
        </w:rPr>
        <w:fldChar w:fldCharType="begin"/>
      </w:r>
      <w:r w:rsidR="08064649">
        <w:instrText xml:space="preserve"> XE "</w:instrText>
      </w:r>
      <w:r w:rsidR="08064649" w:rsidRPr="007169BB">
        <w:rPr>
          <w:i/>
        </w:rPr>
        <w:instrText>potentia</w:instrText>
      </w:r>
      <w:r w:rsidR="08064649" w:rsidRPr="007169BB">
        <w:instrText xml:space="preserve"> </w:instrText>
      </w:r>
      <w:r w:rsidR="08064649">
        <w:rPr>
          <w:i/>
        </w:rPr>
        <w:instrText>accidentalis</w:instrText>
      </w:r>
      <w:r w:rsidR="08064649">
        <w:instrText xml:space="preserve">" </w:instrText>
      </w:r>
      <w:r w:rsidR="08064649">
        <w:rPr>
          <w:i/>
        </w:rPr>
        <w:fldChar w:fldCharType="end"/>
      </w:r>
      <w:r w:rsidR="08064649">
        <w:t>)</w:t>
      </w:r>
      <w:r w:rsidR="085A266A">
        <w:t>. A</w:t>
      </w:r>
      <w:r w:rsidR="00EB7E79" w:rsidRPr="00273106">
        <w:t xml:space="preserve">ktuální věc poznaná smysly tvoří pouze akcidentální </w:t>
      </w:r>
      <w:r w:rsidR="00A60454">
        <w:t xml:space="preserve">případ </w:t>
      </w:r>
      <w:r w:rsidR="00EB7E79" w:rsidRPr="00273106">
        <w:t xml:space="preserve"> </w:t>
      </w:r>
      <w:r w:rsidR="00A60454">
        <w:t>(</w:t>
      </w:r>
      <w:r w:rsidR="00A60454">
        <w:rPr>
          <w:i/>
        </w:rPr>
        <w:t>potentia accident</w:t>
      </w:r>
      <w:r w:rsidR="00A60454" w:rsidRPr="00AB584B">
        <w:rPr>
          <w:i/>
        </w:rPr>
        <w:t>alis</w:t>
      </w:r>
      <w:r w:rsidR="00A60454">
        <w:rPr>
          <w:i/>
        </w:rPr>
        <w:fldChar w:fldCharType="begin"/>
      </w:r>
      <w:r w:rsidR="00A60454">
        <w:instrText xml:space="preserve"> XE "</w:instrText>
      </w:r>
      <w:r w:rsidR="00A60454" w:rsidRPr="007169BB">
        <w:rPr>
          <w:i/>
        </w:rPr>
        <w:instrText>potentia</w:instrText>
      </w:r>
      <w:r w:rsidR="00A60454" w:rsidRPr="007169BB">
        <w:instrText xml:space="preserve"> </w:instrText>
      </w:r>
      <w:r w:rsidR="00A60454">
        <w:rPr>
          <w:i/>
        </w:rPr>
        <w:instrText>accidentalis</w:instrText>
      </w:r>
      <w:r w:rsidR="00A60454">
        <w:instrText xml:space="preserve">" </w:instrText>
      </w:r>
      <w:r w:rsidR="00A60454">
        <w:rPr>
          <w:i/>
        </w:rPr>
        <w:fldChar w:fldCharType="end"/>
      </w:r>
      <w:r w:rsidR="00A60454">
        <w:t xml:space="preserve">) </w:t>
      </w:r>
      <w:r w:rsidR="00EB7E79">
        <w:t xml:space="preserve">již existujícího </w:t>
      </w:r>
      <w:r w:rsidR="00EB7E79" w:rsidRPr="00273106">
        <w:t xml:space="preserve">poznání. </w:t>
      </w:r>
      <w:r w:rsidR="08166ECF" w:rsidRPr="00273106">
        <w:t xml:space="preserve">Primární charakteristika </w:t>
      </w:r>
      <w:r w:rsidR="08166ECF">
        <w:t xml:space="preserve">svébytného </w:t>
      </w:r>
      <w:r w:rsidR="08166ECF" w:rsidRPr="00273106">
        <w:t xml:space="preserve">intelektu tkví podle Rufuse v tom, že reflexivně poznává </w:t>
      </w:r>
      <w:r w:rsidR="08166ECF">
        <w:t xml:space="preserve">vlastní </w:t>
      </w:r>
      <w:r w:rsidR="08166ECF" w:rsidRPr="00273106">
        <w:t>poznání (</w:t>
      </w:r>
      <w:r w:rsidR="08166ECF" w:rsidRPr="00273106">
        <w:rPr>
          <w:i/>
        </w:rPr>
        <w:t>intelligit se</w:t>
      </w:r>
      <w:r w:rsidR="08166ECF" w:rsidRPr="00273106">
        <w:t xml:space="preserve">). </w:t>
      </w:r>
      <w:r w:rsidR="009612F1" w:rsidRPr="009612F1">
        <w:t>Aktem sebereflexe se aktivuje avicenisti</w:t>
      </w:r>
      <w:r w:rsidR="009612F1">
        <w:t>cký intelekt "létajícího muže</w:t>
      </w:r>
      <w:r w:rsidR="009612F1" w:rsidRPr="009612F1">
        <w:t>", který sdílí poznání s odděleným akti</w:t>
      </w:r>
      <w:r w:rsidR="009612F1">
        <w:t>vním intelektem. Toto schéma bylo</w:t>
      </w:r>
      <w:r w:rsidR="009612F1" w:rsidRPr="009612F1">
        <w:t xml:space="preserve"> transformováno do aristotelského scénáře </w:t>
      </w:r>
      <w:r w:rsidR="009612F1">
        <w:t>přijetím avicenistického pojmu „</w:t>
      </w:r>
      <w:r w:rsidR="009612F1" w:rsidRPr="009612F1">
        <w:rPr>
          <w:i/>
        </w:rPr>
        <w:t>intellectus in effectu</w:t>
      </w:r>
      <w:r w:rsidR="009612F1">
        <w:rPr>
          <w:i/>
        </w:rPr>
        <w:fldChar w:fldCharType="begin"/>
      </w:r>
      <w:r w:rsidR="009612F1">
        <w:instrText xml:space="preserve"> XE "</w:instrText>
      </w:r>
      <w:r w:rsidR="009612F1" w:rsidRPr="0017668B">
        <w:rPr>
          <w:i/>
        </w:rPr>
        <w:instrText>intellectus in effectu</w:instrText>
      </w:r>
      <w:r w:rsidR="009612F1">
        <w:instrText xml:space="preserve">:Rufus" </w:instrText>
      </w:r>
      <w:r w:rsidR="009612F1">
        <w:rPr>
          <w:i/>
        </w:rPr>
        <w:fldChar w:fldCharType="end"/>
      </w:r>
      <w:r w:rsidR="009612F1">
        <w:t>“</w:t>
      </w:r>
      <w:r w:rsidR="009612F1" w:rsidRPr="009612F1">
        <w:t xml:space="preserve">. Tento druh hypostatizovaného intelektu byl aktualizován expozicí zezadu, aby se stal </w:t>
      </w:r>
      <w:r w:rsidR="009612F1" w:rsidRPr="009612F1">
        <w:rPr>
          <w:i/>
        </w:rPr>
        <w:t>intellectus adeptus</w:t>
      </w:r>
      <w:r w:rsidR="009612F1" w:rsidRPr="009612F1">
        <w:t xml:space="preserve"> (OBJ I, kap. 2.3.1).</w:t>
      </w:r>
      <w:r w:rsidR="009612F1">
        <w:t xml:space="preserve"> </w:t>
      </w:r>
      <w:r w:rsidR="085A266A">
        <w:t>Rufusova sofist</w:t>
      </w:r>
      <w:r w:rsidR="08673EBD">
        <w:t>i</w:t>
      </w:r>
      <w:r w:rsidR="085A266A">
        <w:t xml:space="preserve">ka ohledně výkladu </w:t>
      </w:r>
      <w:r w:rsidR="085A266A" w:rsidRPr="085A266A">
        <w:rPr>
          <w:i/>
        </w:rPr>
        <w:t>De anima</w:t>
      </w:r>
      <w:r w:rsidR="08C820F7">
        <w:t xml:space="preserve"> spočívá</w:t>
      </w:r>
      <w:r w:rsidR="085A266A">
        <w:t xml:space="preserve"> v tom, že místo Alvernem zakázané nauky o odděleném činném intelektu kauzálně působícího na duši dal do duše </w:t>
      </w:r>
      <w:r w:rsidR="085A266A" w:rsidRPr="085A266A">
        <w:rPr>
          <w:i/>
        </w:rPr>
        <w:t>intellectus agens</w:t>
      </w:r>
      <w:r w:rsidR="085A266A">
        <w:t xml:space="preserve"> kombinovaný s </w:t>
      </w:r>
      <w:r w:rsidR="085A266A" w:rsidRPr="085A266A">
        <w:rPr>
          <w:i/>
        </w:rPr>
        <w:t xml:space="preserve">intellectus possibilis </w:t>
      </w:r>
      <w:r w:rsidR="085A266A" w:rsidRPr="085A266A">
        <w:t>jako</w:t>
      </w:r>
      <w:r w:rsidR="085A266A">
        <w:t xml:space="preserve"> jednu porretánskou hypostázovanou potenci. </w:t>
      </w:r>
      <w:r w:rsidR="08C820F7">
        <w:t xml:space="preserve">Tím vzniklo moderní simulákrum intelektu opatrované jako </w:t>
      </w:r>
      <w:r w:rsidR="08881909">
        <w:t xml:space="preserve">akademický </w:t>
      </w:r>
      <w:r w:rsidR="08C820F7">
        <w:t>poklad moderny</w:t>
      </w:r>
      <w:r w:rsidR="08EE5AF4" w:rsidRPr="08EE5AF4">
        <w:t xml:space="preserve"> </w:t>
      </w:r>
      <w:r w:rsidR="086A6B6C">
        <w:t xml:space="preserve">pilně </w:t>
      </w:r>
      <w:r w:rsidR="08EE5AF4">
        <w:t xml:space="preserve">řešící takto vzniklý </w:t>
      </w:r>
      <w:r w:rsidR="0003665C">
        <w:t xml:space="preserve">monumentální omyl zvaný </w:t>
      </w:r>
      <w:r w:rsidR="0003665C">
        <w:rPr>
          <w:szCs w:val="24"/>
        </w:rPr>
        <w:t>„</w:t>
      </w:r>
      <w:r w:rsidR="0003665C" w:rsidRPr="00DC6664">
        <w:rPr>
          <w:i/>
          <w:szCs w:val="24"/>
        </w:rPr>
        <w:t>Mind‒Body Problem</w:t>
      </w:r>
      <w:r w:rsidR="0003665C">
        <w:rPr>
          <w:szCs w:val="24"/>
        </w:rPr>
        <w:t>“</w:t>
      </w:r>
      <w:r w:rsidR="0003665C" w:rsidRPr="00DC6664">
        <w:rPr>
          <w:i/>
          <w:szCs w:val="24"/>
        </w:rPr>
        <w:fldChar w:fldCharType="begin"/>
      </w:r>
      <w:r w:rsidR="0003665C" w:rsidRPr="00DC6664">
        <w:rPr>
          <w:szCs w:val="24"/>
        </w:rPr>
        <w:instrText xml:space="preserve"> XE "</w:instrText>
      </w:r>
      <w:r w:rsidR="0003665C" w:rsidRPr="00DC6664">
        <w:rPr>
          <w:i/>
          <w:szCs w:val="24"/>
        </w:rPr>
        <w:instrText>Mind‒Body Problem</w:instrText>
      </w:r>
      <w:r w:rsidR="0003665C" w:rsidRPr="00DC6664">
        <w:rPr>
          <w:szCs w:val="24"/>
        </w:rPr>
        <w:instrText xml:space="preserve">" </w:instrText>
      </w:r>
      <w:r w:rsidR="0003665C" w:rsidRPr="00DC6664">
        <w:rPr>
          <w:i/>
          <w:szCs w:val="24"/>
        </w:rPr>
        <w:fldChar w:fldCharType="end"/>
      </w:r>
      <w:r w:rsidR="0003665C" w:rsidRPr="00DC6664">
        <w:rPr>
          <w:szCs w:val="24"/>
        </w:rPr>
        <w:t xml:space="preserve">. </w:t>
      </w:r>
      <w:r w:rsidR="088D01AB">
        <w:t>Moderna a postmoderna do</w:t>
      </w:r>
      <w:r w:rsidR="081405A4">
        <w:t>g</w:t>
      </w:r>
      <w:r w:rsidR="088D01AB">
        <w:t xml:space="preserve">maticky věří na </w:t>
      </w:r>
      <w:r w:rsidR="08096BFB">
        <w:t xml:space="preserve">neocenitelnou </w:t>
      </w:r>
      <w:r w:rsidR="08EE5AF4">
        <w:t>hodnot</w:t>
      </w:r>
      <w:r w:rsidR="08C820F7">
        <w:t xml:space="preserve">u </w:t>
      </w:r>
      <w:r w:rsidR="08EE5AF4">
        <w:t xml:space="preserve">tohoto Alibabova pokladu odkázaného avicennistickou falsafou </w:t>
      </w:r>
      <w:r w:rsidR="088D01AB">
        <w:t xml:space="preserve">a pak </w:t>
      </w:r>
      <w:r w:rsidR="0859139C">
        <w:t>skrze Rufus</w:t>
      </w:r>
      <w:r w:rsidR="08E279D7">
        <w:t xml:space="preserve">ovy dvě hypostáze </w:t>
      </w:r>
      <w:r w:rsidR="088D01AB">
        <w:t>intelektu</w:t>
      </w:r>
      <w:r w:rsidR="08E279D7">
        <w:t xml:space="preserve"> (</w:t>
      </w:r>
      <w:r w:rsidR="08E279D7" w:rsidRPr="08E279D7">
        <w:rPr>
          <w:i/>
        </w:rPr>
        <w:t>potentia substancialis</w:t>
      </w:r>
      <w:r w:rsidR="08E279D7">
        <w:t xml:space="preserve">, </w:t>
      </w:r>
      <w:r w:rsidR="08E279D7" w:rsidRPr="08E279D7">
        <w:rPr>
          <w:i/>
        </w:rPr>
        <w:t>accidentalis</w:t>
      </w:r>
      <w:r w:rsidR="08E279D7">
        <w:t>)</w:t>
      </w:r>
      <w:r w:rsidR="0859139C">
        <w:t xml:space="preserve">. </w:t>
      </w:r>
      <w:r w:rsidR="080E7E2D">
        <w:t xml:space="preserve">Na tuto </w:t>
      </w:r>
      <w:r w:rsidR="080E7E2D" w:rsidRPr="080E7E2D">
        <w:rPr>
          <w:i/>
        </w:rPr>
        <w:t>via Modernorum</w:t>
      </w:r>
      <w:r w:rsidR="080E7E2D">
        <w:t xml:space="preserve"> na</w:t>
      </w:r>
      <w:r w:rsidR="0859139C">
        <w:t xml:space="preserve">stoupili </w:t>
      </w:r>
      <w:r w:rsidR="08EE5AF4">
        <w:t xml:space="preserve">všichni analytičtí </w:t>
      </w:r>
      <w:r w:rsidR="080E7E2D">
        <w:t xml:space="preserve">myslitelé </w:t>
      </w:r>
      <w:r w:rsidR="08EE5AF4">
        <w:t xml:space="preserve">vyzbrojeni moderní a postmoderní dogmatickou vírou v objektivní hodnotu </w:t>
      </w:r>
      <w:r w:rsidR="081152DB">
        <w:t xml:space="preserve">takto zdůvodněného </w:t>
      </w:r>
      <w:r w:rsidR="08EE5AF4">
        <w:t>vědění</w:t>
      </w:r>
      <w:r w:rsidR="0850598E">
        <w:t xml:space="preserve"> </w:t>
      </w:r>
      <w:r w:rsidR="080E7E2D">
        <w:t xml:space="preserve">původně daného </w:t>
      </w:r>
      <w:r w:rsidR="0850598E">
        <w:t xml:space="preserve">v modu </w:t>
      </w:r>
      <w:r w:rsidR="08577C4E">
        <w:t xml:space="preserve">archaicky moderního </w:t>
      </w:r>
      <w:r w:rsidR="0850598E" w:rsidRPr="0850598E">
        <w:rPr>
          <w:i/>
        </w:rPr>
        <w:t>depositum fidei</w:t>
      </w:r>
      <w:r w:rsidR="08C820F7">
        <w:rPr>
          <w:i/>
        </w:rPr>
        <w:fldChar w:fldCharType="begin"/>
      </w:r>
      <w:r w:rsidR="08C820F7">
        <w:instrText xml:space="preserve"> XE "</w:instrText>
      </w:r>
      <w:r w:rsidR="08C820F7" w:rsidRPr="00496049">
        <w:rPr>
          <w:rStyle w:val="Zkladntext184"/>
          <w:rFonts w:ascii="Calibri" w:eastAsia="Times" w:hAnsi="Calibri" w:cs="Times New Roman"/>
          <w:i/>
          <w:color w:val="auto"/>
          <w:spacing w:val="0"/>
          <w:sz w:val="24"/>
          <w:lang w:val="cs-CZ"/>
        </w:rPr>
        <w:instrText>Mind‒Body Problem</w:instrText>
      </w:r>
      <w:r w:rsidR="08C820F7">
        <w:instrText xml:space="preserve">" </w:instrText>
      </w:r>
      <w:r w:rsidR="08C820F7">
        <w:rPr>
          <w:i/>
        </w:rPr>
        <w:fldChar w:fldCharType="end"/>
      </w:r>
      <w:r w:rsidR="08577C4E">
        <w:t xml:space="preserve"> vytvořeného oxfordskými akademickými ilumináty. </w:t>
      </w:r>
      <w:r w:rsidR="00DB3E7F" w:rsidRPr="00273106">
        <w:t xml:space="preserve">Intelekt </w:t>
      </w:r>
      <w:r w:rsidR="00DB3E7F" w:rsidRPr="00273106">
        <w:rPr>
          <w:i/>
        </w:rPr>
        <w:t>Modernorum</w:t>
      </w:r>
      <w:r w:rsidR="00DB3E7F" w:rsidRPr="00273106">
        <w:t xml:space="preserve"> má vlastní aktualitu</w:t>
      </w:r>
      <w:r w:rsidR="005014AA">
        <w:t xml:space="preserve"> </w:t>
      </w:r>
      <w:r w:rsidR="005014AA">
        <w:rPr>
          <w:rStyle w:val="FontStyle129"/>
          <w:rFonts w:ascii="Calibri" w:hAnsi="Calibri"/>
          <w:sz w:val="24"/>
        </w:rPr>
        <w:t xml:space="preserve">v modu </w:t>
      </w:r>
      <w:r w:rsidR="005014AA" w:rsidRPr="00EF14BE">
        <w:rPr>
          <w:rStyle w:val="FontStyle129"/>
          <w:rFonts w:ascii="Calibri" w:hAnsi="Calibri"/>
          <w:i/>
          <w:sz w:val="24"/>
        </w:rPr>
        <w:t>potentia substantialis</w:t>
      </w:r>
      <w:r w:rsidR="005014AA">
        <w:rPr>
          <w:rStyle w:val="FontStyle129"/>
          <w:rFonts w:ascii="Calibri" w:hAnsi="Calibri"/>
          <w:i/>
          <w:sz w:val="24"/>
        </w:rPr>
        <w:fldChar w:fldCharType="begin"/>
      </w:r>
      <w:r w:rsidR="005014AA">
        <w:instrText xml:space="preserve"> XE "</w:instrText>
      </w:r>
      <w:r w:rsidR="005014AA" w:rsidRPr="00263A8E">
        <w:rPr>
          <w:i/>
        </w:rPr>
        <w:instrText>potentia substantialis</w:instrText>
      </w:r>
      <w:r w:rsidR="005014AA">
        <w:instrText xml:space="preserve">" </w:instrText>
      </w:r>
      <w:r w:rsidR="005014AA">
        <w:rPr>
          <w:rStyle w:val="FontStyle129"/>
          <w:rFonts w:ascii="Calibri" w:hAnsi="Calibri"/>
          <w:i/>
          <w:sz w:val="24"/>
        </w:rPr>
        <w:fldChar w:fldCharType="end"/>
      </w:r>
      <w:r w:rsidR="088D64E7">
        <w:t xml:space="preserve">. Rufusův </w:t>
      </w:r>
      <w:r w:rsidR="082C14C7">
        <w:t xml:space="preserve">první karteziánský </w:t>
      </w:r>
      <w:r w:rsidR="088D64E7">
        <w:t xml:space="preserve">intelekt </w:t>
      </w:r>
      <w:r w:rsidR="00DB3E7F" w:rsidRPr="00273106">
        <w:t>funguje buď sám od sebe jako subsistentní jsoucno</w:t>
      </w:r>
      <w:r w:rsidR="088D64E7">
        <w:t xml:space="preserve"> nas</w:t>
      </w:r>
      <w:r w:rsidR="082C14C7">
        <w:t>v</w:t>
      </w:r>
      <w:r w:rsidR="088D64E7">
        <w:t xml:space="preserve">ícené od kosmického </w:t>
      </w:r>
      <w:r w:rsidR="088D64E7" w:rsidRPr="088D64E7">
        <w:rPr>
          <w:i/>
        </w:rPr>
        <w:t>intellectus agens</w:t>
      </w:r>
      <w:r w:rsidR="00DB3E7F" w:rsidRPr="00273106">
        <w:t xml:space="preserve">, nebo má aktualitu danou skrze duši jako autonomní </w:t>
      </w:r>
      <w:r w:rsidR="088D64E7">
        <w:t xml:space="preserve">porretánskou </w:t>
      </w:r>
      <w:r w:rsidR="00DB3E7F" w:rsidRPr="00273106">
        <w:t>substanci.</w:t>
      </w:r>
      <w:r w:rsidR="008B25F3">
        <w:t xml:space="preserve"> </w:t>
      </w:r>
      <w:r w:rsidR="082E5FAB" w:rsidRPr="00273106">
        <w:t>Jistota poznání v osvíceném subje</w:t>
      </w:r>
      <w:r w:rsidR="082E5FAB">
        <w:t xml:space="preserve">ktu vztaženém k existenci boha </w:t>
      </w:r>
      <w:r w:rsidR="082E5FAB" w:rsidRPr="00273106">
        <w:t xml:space="preserve">a k matematice nahradila původní aristotelské poznání vztažené k </w:t>
      </w:r>
      <w:r w:rsidR="082E5FAB">
        <w:t>existenci reálné věci. Předešlá kapitola ukázala, že Rufusův k</w:t>
      </w:r>
      <w:r w:rsidR="082E5FAB" w:rsidRPr="00273106">
        <w:t xml:space="preserve">omentář </w:t>
      </w:r>
      <w:r w:rsidR="082E5FAB" w:rsidRPr="002E52AF">
        <w:rPr>
          <w:i/>
        </w:rPr>
        <w:t>Druhých analytik</w:t>
      </w:r>
      <w:r w:rsidR="082E5FAB">
        <w:t xml:space="preserve"> </w:t>
      </w:r>
      <w:r w:rsidR="082E5FAB" w:rsidRPr="00273106">
        <w:t xml:space="preserve">používá </w:t>
      </w:r>
      <w:r w:rsidR="082E5FAB">
        <w:t xml:space="preserve">aristotelský termín </w:t>
      </w:r>
      <w:r w:rsidR="008B30DB">
        <w:t>„</w:t>
      </w:r>
      <w:r w:rsidR="082E5FAB" w:rsidRPr="00273106">
        <w:rPr>
          <w:i/>
        </w:rPr>
        <w:t>praemissae sunt causae completae</w:t>
      </w:r>
      <w:r w:rsidR="008B30DB">
        <w:t>“</w:t>
      </w:r>
      <w:r w:rsidR="082E5FAB">
        <w:t xml:space="preserve"> pouze pro f</w:t>
      </w:r>
      <w:r w:rsidR="082E5FAB" w:rsidRPr="00273106">
        <w:t>ormálně správně utvořený sylogi</w:t>
      </w:r>
      <w:r w:rsidR="082E5FAB">
        <w:t xml:space="preserve">smus, k němuž kontigentně přistoupí poznání z reality. Kompletace kauzality nejde primárně z reality přes správně utvořené a predikované </w:t>
      </w:r>
      <w:r w:rsidR="082E5FAB" w:rsidRPr="084C0828">
        <w:rPr>
          <w:i/>
        </w:rPr>
        <w:t>medium</w:t>
      </w:r>
      <w:r w:rsidR="082E5FAB">
        <w:t xml:space="preserve"> zakládající demonstativní soud. </w:t>
      </w:r>
      <w:r w:rsidR="08CC18E2">
        <w:t xml:space="preserve">V </w:t>
      </w:r>
      <w:r w:rsidR="080D7DC6">
        <w:t xml:space="preserve">kritické </w:t>
      </w:r>
      <w:r w:rsidR="08CC18E2">
        <w:t xml:space="preserve">univerzitní Paříži </w:t>
      </w:r>
      <w:r w:rsidR="080D7DC6">
        <w:t>okolo roku 124</w:t>
      </w:r>
      <w:r w:rsidR="082C5E87">
        <w:t>0‒4</w:t>
      </w:r>
      <w:r w:rsidR="080D7DC6">
        <w:t xml:space="preserve">5 </w:t>
      </w:r>
      <w:r w:rsidR="08CC18E2">
        <w:t xml:space="preserve">nešlo hlásat nauku </w:t>
      </w:r>
      <w:r w:rsidR="080D7DC6">
        <w:t>dualistického intelektu nasvíceného zezadu</w:t>
      </w:r>
      <w:r w:rsidR="08CC18E2">
        <w:t xml:space="preserve">. </w:t>
      </w:r>
      <w:r w:rsidR="08EC54BA">
        <w:t xml:space="preserve">Analytický matematik </w:t>
      </w:r>
      <w:r w:rsidR="08AA0746">
        <w:t>Descartes</w:t>
      </w:r>
      <w:r w:rsidR="08DD5D62">
        <w:fldChar w:fldCharType="begin"/>
      </w:r>
      <w:r w:rsidR="08DD5D62">
        <w:instrText xml:space="preserve"> XE "</w:instrText>
      </w:r>
      <w:r w:rsidR="08DD5D62" w:rsidRPr="081625E9">
        <w:instrText>Descartes, R.</w:instrText>
      </w:r>
      <w:r w:rsidR="08DD5D62">
        <w:instrText xml:space="preserve">" </w:instrText>
      </w:r>
      <w:r w:rsidR="08DD5D62">
        <w:fldChar w:fldCharType="end"/>
      </w:r>
      <w:r w:rsidR="08AA0746">
        <w:t xml:space="preserve"> alias </w:t>
      </w:r>
      <w:r w:rsidR="08AA0746" w:rsidRPr="08AA0746">
        <w:rPr>
          <w:i/>
        </w:rPr>
        <w:t>Rufus redivivus</w:t>
      </w:r>
      <w:r w:rsidR="08AA0746">
        <w:t xml:space="preserve"> </w:t>
      </w:r>
      <w:r w:rsidR="000C4708">
        <w:t xml:space="preserve">je spojen s touto </w:t>
      </w:r>
      <w:r w:rsidR="08AA0746" w:rsidRPr="08AA0746">
        <w:rPr>
          <w:i/>
        </w:rPr>
        <w:t>alma mater</w:t>
      </w:r>
      <w:r w:rsidR="08AA0746">
        <w:t xml:space="preserve"> až v posledních časech </w:t>
      </w:r>
      <w:r w:rsidR="00D209FB">
        <w:t xml:space="preserve">Pařížské </w:t>
      </w:r>
      <w:r w:rsidR="08AA0746">
        <w:t xml:space="preserve">univerzity před jejím zrušením za Francouzské revoluce. </w:t>
      </w:r>
      <w:r w:rsidR="008B25F3">
        <w:t xml:space="preserve">Vinou hypostázovaného intelektu a existence univerzálních </w:t>
      </w:r>
      <w:r w:rsidR="004B4D52" w:rsidRPr="004B4D52">
        <w:t>species</w:t>
      </w:r>
      <w:r w:rsidR="00BA448A">
        <w:t xml:space="preserve"> v</w:t>
      </w:r>
      <w:r w:rsidR="008B25F3">
        <w:t xml:space="preserve"> realitě nemůže moderna </w:t>
      </w:r>
      <w:r w:rsidR="00B53F04">
        <w:t xml:space="preserve">definovat </w:t>
      </w:r>
      <w:r w:rsidR="008B25F3">
        <w:t>pravdu jako adekvaci</w:t>
      </w:r>
      <w:r w:rsidR="00D4730D">
        <w:t xml:space="preserve"> myšlení a oddělených</w:t>
      </w:r>
      <w:r w:rsidR="001F37D0">
        <w:t xml:space="preserve"> první</w:t>
      </w:r>
      <w:r w:rsidR="00D4730D">
        <w:t>ch substancí daných</w:t>
      </w:r>
      <w:r w:rsidR="001F37D0">
        <w:t xml:space="preserve"> v realitě</w:t>
      </w:r>
      <w:r w:rsidR="008B25F3">
        <w:t>.</w:t>
      </w:r>
    </w:p>
    <w:p w14:paraId="57297113" w14:textId="42A4BE40" w:rsidR="00321ED9" w:rsidRPr="00ED2966" w:rsidRDefault="08D54993" w:rsidP="00771708">
      <w:r>
        <w:tab/>
      </w:r>
      <w:r w:rsidR="007F24C5" w:rsidRPr="00273106">
        <w:t xml:space="preserve">Vznik </w:t>
      </w:r>
      <w:r w:rsidR="002A335F">
        <w:t xml:space="preserve">moderního </w:t>
      </w:r>
      <w:r w:rsidR="007F24C5" w:rsidRPr="00273106">
        <w:t xml:space="preserve">pojetí pravdy ukazuje </w:t>
      </w:r>
      <w:r w:rsidR="08A84934">
        <w:t xml:space="preserve">Rufusův </w:t>
      </w:r>
      <w:r w:rsidR="00C52947" w:rsidRPr="00273106">
        <w:t>komentář k </w:t>
      </w:r>
      <w:r w:rsidR="00C52947" w:rsidRPr="002E52AF">
        <w:rPr>
          <w:i/>
        </w:rPr>
        <w:t>Metafyzice</w:t>
      </w:r>
      <w:r w:rsidR="00BB3164" w:rsidRPr="00273106">
        <w:t xml:space="preserve"> (</w:t>
      </w:r>
      <w:r w:rsidR="00BB3164" w:rsidRPr="00273106">
        <w:rPr>
          <w:i/>
        </w:rPr>
        <w:t>Memoriale in Metaphysicam Aristotelis</w:t>
      </w:r>
      <w:r w:rsidR="008E436B" w:rsidRPr="00273106">
        <w:rPr>
          <w:i/>
        </w:rPr>
        <w:t xml:space="preserve">, </w:t>
      </w:r>
      <w:r w:rsidR="008E436B" w:rsidRPr="00273106">
        <w:t>1231–35</w:t>
      </w:r>
      <w:r w:rsidR="00BB3164" w:rsidRPr="00273106">
        <w:t>)</w:t>
      </w:r>
      <w:r w:rsidR="00C52947" w:rsidRPr="00273106">
        <w:t xml:space="preserve">. </w:t>
      </w:r>
      <w:r w:rsidR="087469B0">
        <w:t>Komentář n</w:t>
      </w:r>
      <w:r w:rsidR="00F96712" w:rsidRPr="00273106">
        <w:t xml:space="preserve">eřeší </w:t>
      </w:r>
      <w:r w:rsidR="006858B0" w:rsidRPr="00273106">
        <w:t xml:space="preserve">Aristotelovu a </w:t>
      </w:r>
      <w:r w:rsidR="002E3B62">
        <w:t>Averroes</w:t>
      </w:r>
      <w:r w:rsidR="006858B0" w:rsidRPr="00273106">
        <w:t xml:space="preserve">ovu otázku, </w:t>
      </w:r>
      <w:r w:rsidR="00F96712" w:rsidRPr="00273106">
        <w:t xml:space="preserve">jak </w:t>
      </w:r>
      <w:r w:rsidR="006858B0" w:rsidRPr="00273106">
        <w:t>je me</w:t>
      </w:r>
      <w:r w:rsidR="00D03041" w:rsidRPr="00273106">
        <w:t>tafyzika první vědou o bytí skrze zkoumání prvních principů</w:t>
      </w:r>
      <w:r w:rsidR="006858B0" w:rsidRPr="00273106">
        <w:t xml:space="preserve"> </w:t>
      </w:r>
      <w:r w:rsidR="00D03041" w:rsidRPr="00273106">
        <w:t xml:space="preserve">reálné </w:t>
      </w:r>
      <w:r w:rsidR="006858B0" w:rsidRPr="00273106">
        <w:t>substan</w:t>
      </w:r>
      <w:r w:rsidR="00F96712" w:rsidRPr="00273106">
        <w:t>ce</w:t>
      </w:r>
      <w:r w:rsidR="00C429F3">
        <w:t xml:space="preserve">. Toto klasické pojetí </w:t>
      </w:r>
      <w:r w:rsidR="08673EBD">
        <w:t xml:space="preserve">znovu </w:t>
      </w:r>
      <w:r w:rsidR="08250133">
        <w:t xml:space="preserve">tematizoval </w:t>
      </w:r>
      <w:r w:rsidR="08673EBD">
        <w:t>výše citovaný Bacon</w:t>
      </w:r>
      <w:r w:rsidR="00F96712" w:rsidRPr="00273106">
        <w:t xml:space="preserve">. </w:t>
      </w:r>
      <w:r w:rsidR="08250133">
        <w:t xml:space="preserve">Rufus má jsoucno </w:t>
      </w:r>
      <w:r w:rsidR="08660457" w:rsidRPr="00273106">
        <w:t>dané v první</w:t>
      </w:r>
      <w:r w:rsidR="08BE19B1" w:rsidRPr="00273106">
        <w:t>m</w:t>
      </w:r>
      <w:r w:rsidR="08660457" w:rsidRPr="00273106">
        <w:t xml:space="preserve"> postřehu bytí </w:t>
      </w:r>
      <w:r w:rsidR="00B11296">
        <w:t xml:space="preserve">podle Avicenny </w:t>
      </w:r>
      <w:r w:rsidR="08660457" w:rsidRPr="00273106">
        <w:t xml:space="preserve">a </w:t>
      </w:r>
      <w:r w:rsidR="08250133">
        <w:t xml:space="preserve">pak je </w:t>
      </w:r>
      <w:r w:rsidR="08556131">
        <w:t xml:space="preserve">logicky </w:t>
      </w:r>
      <w:r w:rsidR="08250133">
        <w:t>poznává</w:t>
      </w:r>
      <w:r w:rsidR="08660457" w:rsidRPr="00273106">
        <w:t xml:space="preserve"> skrze </w:t>
      </w:r>
      <w:r w:rsidR="08250133">
        <w:t xml:space="preserve">druhou triádu axiomů </w:t>
      </w:r>
      <w:r w:rsidR="08715BAA">
        <w:t xml:space="preserve">podle </w:t>
      </w:r>
      <w:r w:rsidR="08250133" w:rsidRPr="08250133">
        <w:rPr>
          <w:i/>
        </w:rPr>
        <w:t>Druhých analytik</w:t>
      </w:r>
      <w:r w:rsidR="08250133">
        <w:t xml:space="preserve">. Toto </w:t>
      </w:r>
      <w:r w:rsidR="008F4799">
        <w:t xml:space="preserve">pořadí </w:t>
      </w:r>
      <w:r w:rsidR="08250133">
        <w:t xml:space="preserve">poprvé zavedla </w:t>
      </w:r>
      <w:r w:rsidR="085D7858">
        <w:t xml:space="preserve">Grossetesteho verze </w:t>
      </w:r>
      <w:r w:rsidR="00B11296" w:rsidRPr="00B11296">
        <w:rPr>
          <w:i/>
        </w:rPr>
        <w:t>Oxfordian Fallacy</w:t>
      </w:r>
      <w:r w:rsidR="085D7858">
        <w:t xml:space="preserve"> </w:t>
      </w:r>
      <w:r w:rsidR="089B54D4">
        <w:t>(kap. 3</w:t>
      </w:r>
      <w:r w:rsidR="08250133">
        <w:t xml:space="preserve">.1.1). </w:t>
      </w:r>
      <w:r w:rsidR="00D85B74" w:rsidRPr="00273106">
        <w:t xml:space="preserve">Pojetí první vědy jako jistoty esenciální formy nazírané v aktu přímé intuice </w:t>
      </w:r>
      <w:r w:rsidR="085D7858">
        <w:t>je postaveno na avicennistickém</w:t>
      </w:r>
      <w:r w:rsidR="00D85B74" w:rsidRPr="00273106">
        <w:t xml:space="preserve"> pojetí abstrakce jako </w:t>
      </w:r>
      <w:r w:rsidR="00D85B74" w:rsidRPr="00273106">
        <w:rPr>
          <w:i/>
        </w:rPr>
        <w:t>denudatio</w:t>
      </w:r>
      <w:r w:rsidR="00D44795">
        <w:rPr>
          <w:i/>
        </w:rPr>
        <w:fldChar w:fldCharType="begin"/>
      </w:r>
      <w:r w:rsidR="00D44795">
        <w:instrText xml:space="preserve"> XE "</w:instrText>
      </w:r>
      <w:r w:rsidR="00D44795" w:rsidRPr="00C23100">
        <w:rPr>
          <w:i/>
        </w:rPr>
        <w:instrText>denudatio</w:instrText>
      </w:r>
      <w:r w:rsidR="00A56DE9">
        <w:instrText>:Rufus</w:instrText>
      </w:r>
      <w:r w:rsidR="00D44795">
        <w:instrText xml:space="preserve">" </w:instrText>
      </w:r>
      <w:r w:rsidR="00D44795">
        <w:rPr>
          <w:i/>
        </w:rPr>
        <w:fldChar w:fldCharType="end"/>
      </w:r>
      <w:r w:rsidR="00D85B74" w:rsidRPr="00273106">
        <w:t xml:space="preserve">. </w:t>
      </w:r>
      <w:r w:rsidR="000A3BBC" w:rsidRPr="00273106">
        <w:t xml:space="preserve">V tomto náhledu je dána i primární </w:t>
      </w:r>
      <w:r w:rsidR="08660457" w:rsidRPr="00273106">
        <w:t xml:space="preserve">jistota našeho poznání. </w:t>
      </w:r>
      <w:r w:rsidR="00F96712" w:rsidRPr="00273106">
        <w:t xml:space="preserve">Rufus bere </w:t>
      </w:r>
      <w:r w:rsidR="00DD018B" w:rsidRPr="00273106">
        <w:t xml:space="preserve">k definici pravdy </w:t>
      </w:r>
      <w:r w:rsidR="00F96712" w:rsidRPr="00273106">
        <w:t>A</w:t>
      </w:r>
      <w:r w:rsidR="006858B0" w:rsidRPr="00273106">
        <w:t>vicennovu perspektivu metafyziky jako evidentně dané vědy</w:t>
      </w:r>
      <w:r w:rsidR="00C87AED" w:rsidRPr="00273106">
        <w:t xml:space="preserve"> (</w:t>
      </w:r>
      <w:r w:rsidR="00C87AED" w:rsidRPr="00273106">
        <w:rPr>
          <w:i/>
        </w:rPr>
        <w:t>certissima</w:t>
      </w:r>
      <w:r w:rsidR="00C87AED" w:rsidRPr="00273106">
        <w:t>)</w:t>
      </w:r>
      <w:r w:rsidR="08EB64B4">
        <w:t xml:space="preserve">, kterou chápe </w:t>
      </w:r>
      <w:r w:rsidR="08927E5B">
        <w:t>také přímým náhledem, ale v modu logické a matematické abstrakce</w:t>
      </w:r>
      <w:r w:rsidR="00321ED9" w:rsidRPr="00273106">
        <w:t>.</w:t>
      </w:r>
    </w:p>
    <w:p w14:paraId="6BE3D34C" w14:textId="4EF33C75" w:rsidR="007A4C08" w:rsidRPr="00273106" w:rsidRDefault="00077DF9" w:rsidP="00771708">
      <w:pPr>
        <w:pStyle w:val="Citace"/>
        <w:rPr>
          <w:noProof/>
          <w:lang w:val="cs-CZ"/>
        </w:rPr>
      </w:pPr>
      <w:r w:rsidRPr="00273106">
        <w:rPr>
          <w:noProof/>
          <w:lang w:val="cs-CZ"/>
        </w:rPr>
        <w:t>„</w:t>
      </w:r>
      <w:r w:rsidR="00F24637">
        <w:rPr>
          <w:noProof/>
          <w:lang w:val="cs-CZ"/>
        </w:rPr>
        <w:t>M</w:t>
      </w:r>
      <w:r w:rsidR="007A4C08" w:rsidRPr="00273106">
        <w:rPr>
          <w:noProof/>
          <w:lang w:val="cs-CZ"/>
        </w:rPr>
        <w:t xml:space="preserve">etafyzika je </w:t>
      </w:r>
      <w:r w:rsidR="00F24637">
        <w:rPr>
          <w:noProof/>
          <w:lang w:val="cs-CZ"/>
        </w:rPr>
        <w:t xml:space="preserve">určitě </w:t>
      </w:r>
      <w:r w:rsidR="007A4C08" w:rsidRPr="00273106">
        <w:rPr>
          <w:noProof/>
          <w:lang w:val="cs-CZ"/>
        </w:rPr>
        <w:t xml:space="preserve">nejjistějším poznáním, protože je </w:t>
      </w:r>
      <w:r w:rsidR="00C01F01">
        <w:rPr>
          <w:noProof/>
          <w:lang w:val="cs-CZ"/>
        </w:rPr>
        <w:t xml:space="preserve">vědou </w:t>
      </w:r>
      <w:r w:rsidR="007A4C08" w:rsidRPr="00273106">
        <w:rPr>
          <w:noProof/>
          <w:lang w:val="cs-CZ"/>
        </w:rPr>
        <w:t xml:space="preserve">o zcela jistých příčinách; první příčina je příčinou všeho ostatního, proto je nejjistější.“ </w:t>
      </w:r>
      <w:r w:rsidR="007A4C08" w:rsidRPr="00273106">
        <w:rPr>
          <w:rStyle w:val="Znakapoznpodarou"/>
          <w:noProof/>
          <w:lang w:val="cs-CZ"/>
        </w:rPr>
        <w:footnoteReference w:id="404"/>
      </w:r>
    </w:p>
    <w:p w14:paraId="1E2DEBF2" w14:textId="3F13FB10" w:rsidR="00B84871" w:rsidRPr="00273106" w:rsidRDefault="08643E28" w:rsidP="00771708">
      <w:r>
        <w:t>V</w:t>
      </w:r>
      <w:r w:rsidR="002B779C" w:rsidRPr="00273106">
        <w:t>ěda musí být o trvalých příčinách (</w:t>
      </w:r>
      <w:r w:rsidR="002B779C" w:rsidRPr="00273106">
        <w:rPr>
          <w:i/>
        </w:rPr>
        <w:t>causis certissimis</w:t>
      </w:r>
      <w:r w:rsidR="002B779C" w:rsidRPr="00273106">
        <w:t xml:space="preserve">), které nenajdeme na úrovni materiálních prvních substancí. Proto je třeba hledat základ poznání ve světě trvalých </w:t>
      </w:r>
      <w:r w:rsidR="08E70D4F">
        <w:t xml:space="preserve">matematických </w:t>
      </w:r>
      <w:r w:rsidR="002B779C" w:rsidRPr="00273106">
        <w:t xml:space="preserve">forem. </w:t>
      </w:r>
      <w:r w:rsidR="00995345" w:rsidRPr="00273106">
        <w:t>Reálno</w:t>
      </w:r>
      <w:r w:rsidR="00FF3818" w:rsidRPr="00273106">
        <w:t>u danost první substance nahradila</w:t>
      </w:r>
      <w:r w:rsidR="00995345" w:rsidRPr="00273106">
        <w:t xml:space="preserve"> </w:t>
      </w:r>
      <w:r w:rsidR="08C80E3C">
        <w:t xml:space="preserve">evidence </w:t>
      </w:r>
      <w:r w:rsidR="00995345" w:rsidRPr="00273106">
        <w:t xml:space="preserve">subjektu, který </w:t>
      </w:r>
      <w:r w:rsidR="00702283">
        <w:t xml:space="preserve">skrze akt prvního postřehu bytí </w:t>
      </w:r>
      <w:r w:rsidR="00127C66">
        <w:t>o sobě (</w:t>
      </w:r>
      <w:r w:rsidR="00127C66" w:rsidRPr="00127C66">
        <w:rPr>
          <w:i/>
        </w:rPr>
        <w:t>ens inquantum ens</w:t>
      </w:r>
      <w:r w:rsidR="00127C66">
        <w:rPr>
          <w:i/>
        </w:rPr>
        <w:fldChar w:fldCharType="begin"/>
      </w:r>
      <w:r w:rsidR="00127C66">
        <w:instrText xml:space="preserve"> XE "</w:instrText>
      </w:r>
      <w:r w:rsidR="00127C66" w:rsidRPr="007C1898">
        <w:rPr>
          <w:i/>
        </w:rPr>
        <w:instrText>ens inquantum ens</w:instrText>
      </w:r>
      <w:r w:rsidR="00127C66">
        <w:instrText xml:space="preserve">" </w:instrText>
      </w:r>
      <w:r w:rsidR="00127C66">
        <w:rPr>
          <w:i/>
        </w:rPr>
        <w:fldChar w:fldCharType="end"/>
      </w:r>
      <w:r w:rsidR="00127C66">
        <w:t xml:space="preserve">) </w:t>
      </w:r>
      <w:r w:rsidR="00995345" w:rsidRPr="00273106">
        <w:t>zakládá jistotu poznání</w:t>
      </w:r>
      <w:r w:rsidR="001F21C5">
        <w:t xml:space="preserve">. </w:t>
      </w:r>
      <w:r w:rsidR="005B7770">
        <w:t>Bacon a Albert odmítli tento postup jako šílený nebo směšný.</w:t>
      </w:r>
      <w:r w:rsidR="00F63099">
        <w:t xml:space="preserve"> </w:t>
      </w:r>
      <w:r w:rsidR="00F63099" w:rsidRPr="00F63099">
        <w:t xml:space="preserve">Rufus </w:t>
      </w:r>
      <w:r w:rsidR="00F63099">
        <w:t xml:space="preserve">se stal </w:t>
      </w:r>
      <w:r w:rsidR="00F63099" w:rsidRPr="00F63099">
        <w:rPr>
          <w:i/>
        </w:rPr>
        <w:t>Avicenna redivivus</w:t>
      </w:r>
      <w:r w:rsidR="00F63099" w:rsidRPr="00F63099">
        <w:t xml:space="preserve">, </w:t>
      </w:r>
      <w:r w:rsidR="00F63099">
        <w:t xml:space="preserve">který založil první vědu skrze vlastní </w:t>
      </w:r>
      <w:r w:rsidR="0064455D">
        <w:t xml:space="preserve">vědění </w:t>
      </w:r>
      <w:r w:rsidR="00F63099" w:rsidRPr="00F63099">
        <w:t>(</w:t>
      </w:r>
      <w:r w:rsidR="00F63099" w:rsidRPr="00F63099">
        <w:rPr>
          <w:i/>
        </w:rPr>
        <w:t>quasi a se</w:t>
      </w:r>
      <w:r w:rsidR="00F63099" w:rsidRPr="00F63099">
        <w:t>; OBJ I, Kap. 2.5).</w:t>
      </w:r>
      <w:r w:rsidR="00F63099">
        <w:t xml:space="preserve"> </w:t>
      </w:r>
      <w:r w:rsidR="08A227B6" w:rsidRPr="00273106">
        <w:t xml:space="preserve">Předchozí analýzy ukázaly, že </w:t>
      </w:r>
      <w:r w:rsidR="00BA1F01">
        <w:t xml:space="preserve">nutnost </w:t>
      </w:r>
      <w:r w:rsidR="08A227B6" w:rsidRPr="00273106">
        <w:t xml:space="preserve">už není </w:t>
      </w:r>
      <w:r w:rsidR="08A227B6">
        <w:t xml:space="preserve">dána </w:t>
      </w:r>
      <w:r w:rsidR="08A227B6" w:rsidRPr="006F2BDE">
        <w:rPr>
          <w:i/>
        </w:rPr>
        <w:t>per prius</w:t>
      </w:r>
      <w:r w:rsidR="08A227B6">
        <w:t xml:space="preserve"> </w:t>
      </w:r>
      <w:r w:rsidR="08A227B6" w:rsidRPr="00273106">
        <w:t>v působení reálné substance, protože její kontingence postrádá skutečnou jistotu a trvalost formy.</w:t>
      </w:r>
      <w:r w:rsidR="08A227B6">
        <w:t xml:space="preserve"> A</w:t>
      </w:r>
      <w:r w:rsidR="00A56DE9">
        <w:t xml:space="preserve">nalytický výklad </w:t>
      </w:r>
      <w:r w:rsidR="00A56DE9" w:rsidRPr="00CC636A">
        <w:rPr>
          <w:i/>
        </w:rPr>
        <w:t>Druhých analytik</w:t>
      </w:r>
      <w:r w:rsidR="00A56DE9">
        <w:t xml:space="preserve"> váže vědu na </w:t>
      </w:r>
      <w:r w:rsidR="00C47A6C">
        <w:t xml:space="preserve">deduktivní </w:t>
      </w:r>
      <w:r w:rsidR="004F48C0">
        <w:t>soud</w:t>
      </w:r>
      <w:r w:rsidR="00C47A6C">
        <w:t xml:space="preserve"> </w:t>
      </w:r>
      <w:r w:rsidR="00A56DE9">
        <w:t xml:space="preserve">daný skrze kauzalitu </w:t>
      </w:r>
      <w:r w:rsidR="00C47A6C">
        <w:t>esence</w:t>
      </w:r>
      <w:r w:rsidR="00A16729">
        <w:t xml:space="preserve"> v modu </w:t>
      </w:r>
      <w:r w:rsidR="004F48C0">
        <w:t>objektivní predikace (</w:t>
      </w:r>
      <w:r w:rsidR="004F48C0" w:rsidRPr="00A02915">
        <w:rPr>
          <w:i/>
        </w:rPr>
        <w:t>medio modo</w:t>
      </w:r>
      <w:r w:rsidR="080A0E60">
        <w:t>, kap. 3</w:t>
      </w:r>
      <w:r w:rsidR="08A227B6">
        <w:t>.3</w:t>
      </w:r>
      <w:r w:rsidRPr="08643E28">
        <w:t>.1</w:t>
      </w:r>
      <w:r w:rsidR="004F48C0">
        <w:t>)</w:t>
      </w:r>
      <w:r w:rsidR="00E138B3" w:rsidRPr="00273106">
        <w:t>.</w:t>
      </w:r>
      <w:r w:rsidR="00A16729">
        <w:t xml:space="preserve"> </w:t>
      </w:r>
      <w:r w:rsidR="08AE20B3">
        <w:t>V</w:t>
      </w:r>
      <w:r w:rsidR="0012306A">
        <w:rPr>
          <w:rStyle w:val="FontStyle129"/>
          <w:rFonts w:ascii="Calibri" w:hAnsi="Calibri"/>
          <w:sz w:val="24"/>
        </w:rPr>
        <w:t xml:space="preserve">yšší pravda osvíceného intelektu určuje nižší pravdu </w:t>
      </w:r>
      <w:r w:rsidR="080A0E60">
        <w:rPr>
          <w:rStyle w:val="FontStyle129"/>
          <w:rFonts w:ascii="Calibri" w:hAnsi="Calibri"/>
          <w:sz w:val="24"/>
        </w:rPr>
        <w:t xml:space="preserve">danou na úrovni </w:t>
      </w:r>
      <w:r w:rsidR="0012306A">
        <w:rPr>
          <w:rStyle w:val="FontStyle129"/>
          <w:rFonts w:ascii="Calibri" w:hAnsi="Calibri"/>
          <w:sz w:val="24"/>
        </w:rPr>
        <w:t>e</w:t>
      </w:r>
      <w:r w:rsidR="080A0E60">
        <w:rPr>
          <w:rStyle w:val="FontStyle129"/>
          <w:rFonts w:ascii="Calibri" w:hAnsi="Calibri"/>
          <w:sz w:val="24"/>
        </w:rPr>
        <w:t>mpirického poznání</w:t>
      </w:r>
      <w:r w:rsidR="0012306A">
        <w:rPr>
          <w:rStyle w:val="FontStyle129"/>
          <w:rFonts w:ascii="Calibri" w:hAnsi="Calibri"/>
          <w:sz w:val="24"/>
        </w:rPr>
        <w:t xml:space="preserve">. </w:t>
      </w:r>
      <w:r w:rsidR="00531346">
        <w:t>Grossetesteho a</w:t>
      </w:r>
      <w:r w:rsidR="00D85B74" w:rsidRPr="00273106">
        <w:rPr>
          <w:rStyle w:val="FontStyle129"/>
          <w:rFonts w:ascii="Calibri" w:hAnsi="Calibri"/>
          <w:sz w:val="24"/>
        </w:rPr>
        <w:t xml:space="preserve">nalytický výklad </w:t>
      </w:r>
      <w:r w:rsidR="00531346">
        <w:rPr>
          <w:rStyle w:val="FontStyle129"/>
          <w:rFonts w:ascii="Calibri" w:hAnsi="Calibri"/>
          <w:sz w:val="24"/>
        </w:rPr>
        <w:t xml:space="preserve">postuloval </w:t>
      </w:r>
      <w:r w:rsidR="00CC636A">
        <w:rPr>
          <w:rStyle w:val="FontStyle129"/>
          <w:rFonts w:ascii="Calibri" w:hAnsi="Calibri"/>
          <w:sz w:val="24"/>
        </w:rPr>
        <w:t xml:space="preserve">nižší </w:t>
      </w:r>
      <w:r w:rsidR="00531346">
        <w:rPr>
          <w:rStyle w:val="FontStyle129"/>
          <w:rFonts w:ascii="Calibri" w:hAnsi="Calibri"/>
          <w:sz w:val="24"/>
        </w:rPr>
        <w:t>p</w:t>
      </w:r>
      <w:r w:rsidR="00305F0F">
        <w:rPr>
          <w:rStyle w:val="FontStyle129"/>
          <w:rFonts w:ascii="Calibri" w:hAnsi="Calibri"/>
          <w:sz w:val="24"/>
        </w:rPr>
        <w:t xml:space="preserve">oznání </w:t>
      </w:r>
      <w:r w:rsidR="085E6738">
        <w:rPr>
          <w:rStyle w:val="FontStyle129"/>
          <w:rFonts w:ascii="Calibri" w:hAnsi="Calibri"/>
          <w:sz w:val="24"/>
        </w:rPr>
        <w:t xml:space="preserve">slabého intelektu </w:t>
      </w:r>
      <w:r w:rsidR="00305F0F">
        <w:rPr>
          <w:rStyle w:val="FontStyle129"/>
          <w:rFonts w:ascii="Calibri" w:hAnsi="Calibri"/>
          <w:sz w:val="24"/>
        </w:rPr>
        <w:t xml:space="preserve">v rámci aristotelského poznání </w:t>
      </w:r>
      <w:r w:rsidR="000D4BC7" w:rsidRPr="00273106">
        <w:rPr>
          <w:rStyle w:val="FontStyle129"/>
          <w:rFonts w:ascii="Calibri" w:hAnsi="Calibri"/>
          <w:sz w:val="24"/>
        </w:rPr>
        <w:t>(</w:t>
      </w:r>
      <w:r w:rsidR="000D4BC7" w:rsidRPr="00273106">
        <w:rPr>
          <w:rStyle w:val="FontStyle129"/>
          <w:rFonts w:ascii="Calibri" w:hAnsi="Calibri"/>
          <w:i/>
          <w:sz w:val="24"/>
        </w:rPr>
        <w:t>scientia</w:t>
      </w:r>
      <w:r w:rsidR="0018428B">
        <w:rPr>
          <w:rStyle w:val="FontStyle129"/>
          <w:rFonts w:ascii="Calibri" w:hAnsi="Calibri"/>
          <w:i/>
          <w:sz w:val="24"/>
        </w:rPr>
        <w:fldChar w:fldCharType="begin"/>
      </w:r>
      <w:r w:rsidR="0018428B">
        <w:instrText xml:space="preserve"> XE "</w:instrText>
      </w:r>
      <w:r w:rsidR="0018428B">
        <w:rPr>
          <w:rStyle w:val="FontStyle129"/>
          <w:rFonts w:ascii="Calibri" w:hAnsi="Calibri"/>
          <w:i/>
          <w:sz w:val="24"/>
        </w:rPr>
        <w:instrText>Oxf</w:instrText>
      </w:r>
      <w:r w:rsidR="0018428B" w:rsidRPr="00F54A39">
        <w:rPr>
          <w:rStyle w:val="FontStyle129"/>
          <w:rFonts w:ascii="Calibri" w:hAnsi="Calibri"/>
          <w:i/>
          <w:sz w:val="24"/>
        </w:rPr>
        <w:instrText>o</w:instrText>
      </w:r>
      <w:r w:rsidR="0018428B">
        <w:rPr>
          <w:rStyle w:val="FontStyle129"/>
          <w:rFonts w:ascii="Calibri" w:hAnsi="Calibri"/>
          <w:i/>
          <w:sz w:val="24"/>
        </w:rPr>
        <w:instrText>r</w:instrText>
      </w:r>
      <w:r w:rsidR="0018428B" w:rsidRPr="00F54A39">
        <w:rPr>
          <w:rStyle w:val="FontStyle129"/>
          <w:rFonts w:ascii="Calibri" w:hAnsi="Calibri"/>
          <w:i/>
          <w:sz w:val="24"/>
        </w:rPr>
        <w:instrText>dian Fallacy:scientia</w:instrText>
      </w:r>
      <w:r w:rsidR="0018428B">
        <w:instrText xml:space="preserve">" </w:instrText>
      </w:r>
      <w:r w:rsidR="0018428B">
        <w:rPr>
          <w:rStyle w:val="FontStyle129"/>
          <w:rFonts w:ascii="Calibri" w:hAnsi="Calibri"/>
          <w:i/>
          <w:sz w:val="24"/>
        </w:rPr>
        <w:fldChar w:fldCharType="end"/>
      </w:r>
      <w:r w:rsidR="00CC636A">
        <w:rPr>
          <w:rStyle w:val="FontStyle129"/>
          <w:rFonts w:ascii="Calibri" w:hAnsi="Calibri"/>
          <w:sz w:val="24"/>
        </w:rPr>
        <w:t>)</w:t>
      </w:r>
      <w:r w:rsidR="085E6738">
        <w:rPr>
          <w:rStyle w:val="FontStyle129"/>
          <w:rFonts w:ascii="Calibri" w:hAnsi="Calibri"/>
          <w:sz w:val="24"/>
        </w:rPr>
        <w:t xml:space="preserve">. </w:t>
      </w:r>
      <w:r w:rsidR="00225F56">
        <w:rPr>
          <w:rStyle w:val="FontStyle129"/>
          <w:rFonts w:ascii="Calibri" w:hAnsi="Calibri"/>
          <w:sz w:val="24"/>
        </w:rPr>
        <w:t>Věda daná na empirické abstrakci</w:t>
      </w:r>
      <w:r w:rsidR="085E6738">
        <w:rPr>
          <w:rStyle w:val="FontStyle129"/>
          <w:rFonts w:ascii="Calibri" w:hAnsi="Calibri"/>
          <w:sz w:val="24"/>
        </w:rPr>
        <w:t xml:space="preserve"> </w:t>
      </w:r>
      <w:r w:rsidR="00135140" w:rsidRPr="00273106">
        <w:rPr>
          <w:rStyle w:val="FontStyle129"/>
          <w:rFonts w:ascii="Calibri" w:hAnsi="Calibri"/>
          <w:sz w:val="24"/>
        </w:rPr>
        <w:t xml:space="preserve">postihuje pouze aktuální danost materiální věci, nikoliv </w:t>
      </w:r>
      <w:r w:rsidR="000D4BC7" w:rsidRPr="00273106">
        <w:rPr>
          <w:rStyle w:val="FontStyle129"/>
          <w:rFonts w:ascii="Calibri" w:hAnsi="Calibri"/>
          <w:sz w:val="24"/>
        </w:rPr>
        <w:t>absolutní nutnost prvních principů a exemplarů</w:t>
      </w:r>
      <w:r w:rsidR="00E71543" w:rsidRPr="00273106">
        <w:rPr>
          <w:rStyle w:val="FontStyle129"/>
          <w:rFonts w:ascii="Calibri" w:hAnsi="Calibri"/>
          <w:sz w:val="24"/>
        </w:rPr>
        <w:t xml:space="preserve"> (</w:t>
      </w:r>
      <w:r w:rsidR="00E71543" w:rsidRPr="00273106">
        <w:rPr>
          <w:rStyle w:val="FontStyle129"/>
          <w:rFonts w:ascii="Calibri" w:hAnsi="Calibri"/>
          <w:i/>
          <w:sz w:val="24"/>
        </w:rPr>
        <w:t>intellectus</w:t>
      </w:r>
      <w:r w:rsidR="00E71543" w:rsidRPr="00273106">
        <w:rPr>
          <w:rStyle w:val="FontStyle129"/>
          <w:rFonts w:ascii="Calibri" w:hAnsi="Calibri"/>
          <w:sz w:val="24"/>
        </w:rPr>
        <w:t>)</w:t>
      </w:r>
      <w:r w:rsidR="00135140" w:rsidRPr="00273106">
        <w:rPr>
          <w:rStyle w:val="FontStyle129"/>
          <w:rFonts w:ascii="Calibri" w:hAnsi="Calibri"/>
          <w:sz w:val="24"/>
        </w:rPr>
        <w:t xml:space="preserve">. </w:t>
      </w:r>
      <w:r w:rsidR="00E62D72">
        <w:t xml:space="preserve">Nová definice pravdy </w:t>
      </w:r>
      <w:r w:rsidR="009801BA">
        <w:t xml:space="preserve">je založena </w:t>
      </w:r>
      <w:r w:rsidR="00E62D72">
        <w:t xml:space="preserve">na </w:t>
      </w:r>
      <w:r w:rsidR="009801BA">
        <w:t xml:space="preserve">přímé intuici </w:t>
      </w:r>
      <w:r w:rsidR="00E62D72">
        <w:t>b</w:t>
      </w:r>
      <w:r w:rsidR="084C5B25">
        <w:t xml:space="preserve">ytí jsoucna v  esenci predikované v modu </w:t>
      </w:r>
      <w:r w:rsidR="00E62D72" w:rsidRPr="00A56DE9">
        <w:rPr>
          <w:i/>
        </w:rPr>
        <w:t>semel</w:t>
      </w:r>
      <w:r w:rsidR="00E62D72">
        <w:t>–</w:t>
      </w:r>
      <w:r w:rsidR="00E62D72" w:rsidRPr="00A56DE9">
        <w:rPr>
          <w:i/>
        </w:rPr>
        <w:t>semper</w:t>
      </w:r>
      <w:r w:rsidR="00E62D72">
        <w:rPr>
          <w:rStyle w:val="linemarker-marked-line"/>
          <w:i/>
        </w:rPr>
        <w:fldChar w:fldCharType="begin"/>
      </w:r>
      <w:r w:rsidR="00E62D72">
        <w:instrText xml:space="preserve"> XE "predikace:</w:instrText>
      </w:r>
      <w:r w:rsidR="006F1348">
        <w:rPr>
          <w:rStyle w:val="linemarker-marked-line"/>
          <w:i/>
        </w:rPr>
        <w:instrText>semel‒semper</w:instrText>
      </w:r>
      <w:r w:rsidR="00E62D72">
        <w:instrText xml:space="preserve">" </w:instrText>
      </w:r>
      <w:r w:rsidR="00E62D72">
        <w:rPr>
          <w:rStyle w:val="linemarker-marked-line"/>
          <w:i/>
        </w:rPr>
        <w:fldChar w:fldCharType="end"/>
      </w:r>
      <w:r w:rsidR="086F03E4">
        <w:t xml:space="preserve">. </w:t>
      </w:r>
      <w:r w:rsidR="084C5B25">
        <w:t xml:space="preserve">Grossesteho moderní </w:t>
      </w:r>
      <w:r w:rsidR="00A7190B">
        <w:t xml:space="preserve">a dogmatická </w:t>
      </w:r>
      <w:r w:rsidR="084C5B25">
        <w:t>logika</w:t>
      </w:r>
      <w:r w:rsidR="00A7190B">
        <w:t>,</w:t>
      </w:r>
      <w:r w:rsidR="084C5B25">
        <w:t xml:space="preserve"> postavená na </w:t>
      </w:r>
      <w:r w:rsidR="00A7190B">
        <w:t xml:space="preserve">logicky </w:t>
      </w:r>
      <w:r w:rsidR="084C5B25">
        <w:t>nutn</w:t>
      </w:r>
      <w:r w:rsidR="081054E8">
        <w:t>ém příchodu Antikrista</w:t>
      </w:r>
      <w:r w:rsidR="00A7190B">
        <w:t>,</w:t>
      </w:r>
      <w:r w:rsidR="081054E8">
        <w:t xml:space="preserve"> umožnila</w:t>
      </w:r>
      <w:r w:rsidR="00A7190B">
        <w:t xml:space="preserve"> oxfordské</w:t>
      </w:r>
      <w:r w:rsidR="08CD4DDC">
        <w:t xml:space="preserve"> </w:t>
      </w:r>
      <w:r w:rsidR="084C5B25" w:rsidRPr="084C5B25">
        <w:rPr>
          <w:i/>
        </w:rPr>
        <w:t>intelligentia spiritualis</w:t>
      </w:r>
      <w:r w:rsidR="080A27BE">
        <w:rPr>
          <w:i/>
        </w:rPr>
        <w:fldChar w:fldCharType="begin"/>
      </w:r>
      <w:r w:rsidR="080A27BE">
        <w:instrText xml:space="preserve"> XE "</w:instrText>
      </w:r>
      <w:r w:rsidR="080A27BE" w:rsidRPr="08CE1D7F">
        <w:rPr>
          <w:i/>
        </w:rPr>
        <w:instrText>intelligentia spiritualis</w:instrText>
      </w:r>
      <w:r w:rsidR="080A27BE">
        <w:instrText xml:space="preserve">" </w:instrText>
      </w:r>
      <w:r w:rsidR="080A27BE">
        <w:rPr>
          <w:i/>
        </w:rPr>
        <w:fldChar w:fldCharType="end"/>
      </w:r>
      <w:r w:rsidR="081054E8">
        <w:t xml:space="preserve"> </w:t>
      </w:r>
      <w:r w:rsidR="00A7190B">
        <w:t>nahlédnout</w:t>
      </w:r>
      <w:r w:rsidR="081054E8">
        <w:t xml:space="preserve"> </w:t>
      </w:r>
      <w:r w:rsidR="084C5B25">
        <w:t xml:space="preserve">přímo do </w:t>
      </w:r>
      <w:r w:rsidR="080A27BE">
        <w:t>intele</w:t>
      </w:r>
      <w:r w:rsidR="084C5B25">
        <w:t>k</w:t>
      </w:r>
      <w:r w:rsidR="080A27BE">
        <w:t>t</w:t>
      </w:r>
      <w:r w:rsidR="084F2975">
        <w:t xml:space="preserve">u </w:t>
      </w:r>
      <w:r w:rsidR="00256DE6">
        <w:t xml:space="preserve">moderního boha </w:t>
      </w:r>
      <w:r w:rsidR="084F2975">
        <w:t>(kap. 3</w:t>
      </w:r>
      <w:r w:rsidR="084C5B25">
        <w:t xml:space="preserve">.1.2). Objektivní „exsistence“ forem </w:t>
      </w:r>
      <w:r w:rsidR="00E62D72">
        <w:t xml:space="preserve">ve věčném bohu </w:t>
      </w:r>
      <w:r w:rsidR="0841551D" w:rsidRPr="0841551D">
        <w:rPr>
          <w:i/>
        </w:rPr>
        <w:t>Modernorum</w:t>
      </w:r>
      <w:r w:rsidR="0841551D">
        <w:t xml:space="preserve"> definovaném </w:t>
      </w:r>
      <w:r w:rsidR="00E62D72">
        <w:t xml:space="preserve">jako </w:t>
      </w:r>
      <w:r w:rsidR="0841551D">
        <w:t>Avicennův d</w:t>
      </w:r>
      <w:r w:rsidR="00E62D72">
        <w:t xml:space="preserve">árce forem doplnila vědecké poznání </w:t>
      </w:r>
      <w:r w:rsidR="0841551D">
        <w:t>v</w:t>
      </w:r>
      <w:r w:rsidR="08CC6AC2">
        <w:t xml:space="preserve"> rámci </w:t>
      </w:r>
      <w:r w:rsidR="0841551D">
        <w:t>první ontoteologické verzi moderní metafyziky</w:t>
      </w:r>
      <w:r w:rsidR="00E62D72">
        <w:t xml:space="preserve">. </w:t>
      </w:r>
      <w:r w:rsidR="002E476E" w:rsidRPr="00273106">
        <w:rPr>
          <w:rStyle w:val="FontStyle129"/>
          <w:rFonts w:ascii="Calibri" w:hAnsi="Calibri"/>
          <w:sz w:val="24"/>
        </w:rPr>
        <w:t xml:space="preserve">Rufus </w:t>
      </w:r>
      <w:r w:rsidR="00620F57" w:rsidRPr="00273106">
        <w:t xml:space="preserve">mluví o </w:t>
      </w:r>
      <w:r w:rsidR="005F1691">
        <w:t xml:space="preserve">pravdě jako </w:t>
      </w:r>
      <w:r w:rsidR="00620F57" w:rsidRPr="00273106">
        <w:t>rovnosti (</w:t>
      </w:r>
      <w:r w:rsidR="00620F57" w:rsidRPr="00273106">
        <w:rPr>
          <w:rStyle w:val="linemarker-marked-line"/>
          <w:i/>
        </w:rPr>
        <w:t>aequalitas</w:t>
      </w:r>
      <w:r w:rsidR="00AB1859">
        <w:rPr>
          <w:rStyle w:val="linemarker-marked-line"/>
          <w:i/>
        </w:rPr>
        <w:fldChar w:fldCharType="begin"/>
      </w:r>
      <w:r w:rsidR="00AB1859">
        <w:instrText xml:space="preserve"> XE "pravda:</w:instrText>
      </w:r>
      <w:r w:rsidR="00AB1859" w:rsidRPr="006967E4">
        <w:rPr>
          <w:rStyle w:val="linemarker-marked-line"/>
          <w:i/>
        </w:rPr>
        <w:instrText>aequalitas</w:instrText>
      </w:r>
      <w:r w:rsidR="00AB1859">
        <w:instrText xml:space="preserve">" </w:instrText>
      </w:r>
      <w:r w:rsidR="00AB1859">
        <w:rPr>
          <w:rStyle w:val="linemarker-marked-line"/>
          <w:i/>
        </w:rPr>
        <w:fldChar w:fldCharType="end"/>
      </w:r>
      <w:r w:rsidR="00620F57" w:rsidRPr="00273106">
        <w:t>)</w:t>
      </w:r>
      <w:r w:rsidR="00AB1859">
        <w:t xml:space="preserve"> objektivně daných </w:t>
      </w:r>
      <w:r w:rsidR="004B4D52" w:rsidRPr="004B4D52">
        <w:t>species</w:t>
      </w:r>
      <w:r w:rsidR="00620F57" w:rsidRPr="00273106">
        <w:t xml:space="preserve">, a nikoliv o adekvaci intelektu a věci. </w:t>
      </w:r>
      <w:r w:rsidR="007D1A74" w:rsidRPr="00273106">
        <w:t>Jeho k</w:t>
      </w:r>
      <w:r w:rsidR="0036748A" w:rsidRPr="00273106">
        <w:t xml:space="preserve">omentář </w:t>
      </w:r>
      <w:r w:rsidR="00684C53" w:rsidRPr="00273106">
        <w:t xml:space="preserve">obsahuje </w:t>
      </w:r>
      <w:r w:rsidR="005F1691">
        <w:t xml:space="preserve">novou </w:t>
      </w:r>
      <w:r w:rsidR="007E3C93" w:rsidRPr="00273106">
        <w:t>definic</w:t>
      </w:r>
      <w:r w:rsidR="00E55C31" w:rsidRPr="00273106">
        <w:t>i</w:t>
      </w:r>
      <w:r w:rsidR="007E3C93" w:rsidRPr="00273106">
        <w:t xml:space="preserve"> </w:t>
      </w:r>
      <w:r w:rsidR="0024597C" w:rsidRPr="00273106">
        <w:t>pravdy</w:t>
      </w:r>
      <w:r w:rsidR="08357DB1">
        <w:t xml:space="preserve"> podanou v rámci augustiniánské iluminace</w:t>
      </w:r>
      <w:r w:rsidR="08E941D1">
        <w:t xml:space="preserve"> </w:t>
      </w:r>
      <w:r w:rsidR="08C42572">
        <w:t xml:space="preserve">podle </w:t>
      </w:r>
      <w:r w:rsidR="08E941D1">
        <w:t>Grossetes</w:t>
      </w:r>
      <w:r w:rsidR="084F2975">
        <w:t>teho pojetí pravdy (kap. 3</w:t>
      </w:r>
      <w:r w:rsidR="08237D68">
        <w:t>.1.2)</w:t>
      </w:r>
      <w:r w:rsidR="08357DB1">
        <w:t xml:space="preserve">. </w:t>
      </w:r>
      <w:r w:rsidR="08854063">
        <w:t xml:space="preserve">Moderní pojetí pravdy </w:t>
      </w:r>
      <w:r w:rsidR="08854063" w:rsidRPr="00273106">
        <w:t xml:space="preserve">je </w:t>
      </w:r>
      <w:r w:rsidR="08854063">
        <w:t xml:space="preserve">založeno </w:t>
      </w:r>
      <w:r w:rsidR="08854063" w:rsidRPr="00273106">
        <w:t xml:space="preserve">na vidění reality </w:t>
      </w:r>
      <w:r w:rsidR="009953D6">
        <w:t xml:space="preserve">podle Augustinovy cesty do nitra neomylné sebereflexivní duše. </w:t>
      </w:r>
      <w:r w:rsidR="00251977">
        <w:t>Nazírání pravdy j</w:t>
      </w:r>
      <w:r w:rsidR="009953D6">
        <w:t xml:space="preserve">e inspirované Avicennovou </w:t>
      </w:r>
      <w:r w:rsidR="08854063" w:rsidRPr="00273106">
        <w:t xml:space="preserve"> </w:t>
      </w:r>
      <w:r w:rsidR="08854063">
        <w:t xml:space="preserve">denudací a Anselmovou </w:t>
      </w:r>
      <w:r w:rsidR="08854063" w:rsidRPr="08684090">
        <w:rPr>
          <w:i/>
        </w:rPr>
        <w:t>summa veritas</w:t>
      </w:r>
      <w:r w:rsidR="08854063">
        <w:t>.</w:t>
      </w:r>
    </w:p>
    <w:p w14:paraId="62C15497" w14:textId="29B0895D" w:rsidR="00DB73EB" w:rsidRPr="00273106" w:rsidRDefault="00EF58FE" w:rsidP="005F5BE7">
      <w:pPr>
        <w:pStyle w:val="Citace"/>
        <w:rPr>
          <w:noProof/>
          <w:lang w:val="cs-CZ"/>
        </w:rPr>
      </w:pPr>
      <w:r w:rsidRPr="00273106">
        <w:rPr>
          <w:noProof/>
          <w:lang w:val="cs-CZ"/>
        </w:rPr>
        <w:t>„</w:t>
      </w:r>
      <w:r w:rsidR="00B84871" w:rsidRPr="00273106">
        <w:rPr>
          <w:noProof/>
          <w:lang w:val="cs-CZ"/>
        </w:rPr>
        <w:t>Vědecké poznání nepost</w:t>
      </w:r>
      <w:r w:rsidR="00CC636A">
        <w:rPr>
          <w:noProof/>
          <w:lang w:val="cs-CZ"/>
        </w:rPr>
        <w:t>ihuje pouze přítomnost poznané</w:t>
      </w:r>
      <w:r w:rsidR="00B84871" w:rsidRPr="00273106">
        <w:rPr>
          <w:noProof/>
          <w:lang w:val="cs-CZ"/>
        </w:rPr>
        <w:t xml:space="preserve"> </w:t>
      </w:r>
      <w:r w:rsidR="004B4D52" w:rsidRPr="004B4D52">
        <w:rPr>
          <w:noProof/>
          <w:lang w:val="cs-CZ"/>
        </w:rPr>
        <w:t>species</w:t>
      </w:r>
      <w:r w:rsidR="00B84871" w:rsidRPr="00273106">
        <w:rPr>
          <w:noProof/>
          <w:lang w:val="cs-CZ"/>
        </w:rPr>
        <w:t xml:space="preserve"> ve výkonu poznávací schopnosti, jako je tomu v případě imagi</w:t>
      </w:r>
      <w:r w:rsidR="00CC636A">
        <w:rPr>
          <w:noProof/>
          <w:lang w:val="cs-CZ"/>
        </w:rPr>
        <w:t>nace, která zpřítomňuje smyslová</w:t>
      </w:r>
      <w:r w:rsidR="00B84871" w:rsidRPr="00273106">
        <w:rPr>
          <w:noProof/>
          <w:lang w:val="cs-CZ"/>
        </w:rPr>
        <w:t xml:space="preserve"> </w:t>
      </w:r>
      <w:r w:rsidR="004B4D52" w:rsidRPr="004B4D52">
        <w:rPr>
          <w:noProof/>
          <w:lang w:val="cs-CZ"/>
        </w:rPr>
        <w:t>species</w:t>
      </w:r>
      <w:r w:rsidR="00B84871" w:rsidRPr="00273106">
        <w:rPr>
          <w:noProof/>
          <w:lang w:val="cs-CZ"/>
        </w:rPr>
        <w:t xml:space="preserve"> skrze úkon představivosti. </w:t>
      </w:r>
      <w:r w:rsidR="005F5BE7" w:rsidRPr="00273106">
        <w:rPr>
          <w:noProof/>
          <w:lang w:val="cs-CZ"/>
        </w:rPr>
        <w:t xml:space="preserve">Intelekt </w:t>
      </w:r>
      <w:r w:rsidR="08940807">
        <w:rPr>
          <w:noProof/>
          <w:lang w:val="cs-CZ"/>
        </w:rPr>
        <w:t xml:space="preserve">ale </w:t>
      </w:r>
      <w:r w:rsidR="005F5BE7" w:rsidRPr="00273106">
        <w:rPr>
          <w:noProof/>
          <w:lang w:val="cs-CZ"/>
        </w:rPr>
        <w:t>poznává s</w:t>
      </w:r>
      <w:r w:rsidR="00B84871" w:rsidRPr="00273106">
        <w:rPr>
          <w:noProof/>
          <w:lang w:val="cs-CZ"/>
        </w:rPr>
        <w:t xml:space="preserve">krze přítomnost </w:t>
      </w:r>
      <w:r w:rsidR="004B4D52" w:rsidRPr="004B4D52">
        <w:rPr>
          <w:noProof/>
          <w:lang w:val="cs-CZ"/>
        </w:rPr>
        <w:t>species</w:t>
      </w:r>
      <w:r w:rsidR="005F5BE7" w:rsidRPr="00273106">
        <w:rPr>
          <w:noProof/>
          <w:lang w:val="cs-CZ"/>
        </w:rPr>
        <w:t xml:space="preserve"> jako takového (</w:t>
      </w:r>
      <w:r w:rsidR="005F5BE7" w:rsidRPr="00273106">
        <w:rPr>
          <w:i/>
          <w:noProof/>
          <w:lang w:val="cs-CZ"/>
        </w:rPr>
        <w:t>ipsius speciei</w:t>
      </w:r>
      <w:r w:rsidR="0852001B">
        <w:rPr>
          <w:noProof/>
          <w:lang w:val="cs-CZ"/>
        </w:rPr>
        <w:t>), nakolik tat</w:t>
      </w:r>
      <w:r w:rsidR="005F5BE7" w:rsidRPr="00273106">
        <w:rPr>
          <w:noProof/>
          <w:lang w:val="cs-CZ"/>
        </w:rPr>
        <w:t xml:space="preserve">o </w:t>
      </w:r>
      <w:r w:rsidR="004B4D52" w:rsidRPr="004B4D52">
        <w:rPr>
          <w:noProof/>
          <w:lang w:val="cs-CZ"/>
        </w:rPr>
        <w:t>species</w:t>
      </w:r>
      <w:r w:rsidR="005F5BE7" w:rsidRPr="00273106">
        <w:rPr>
          <w:noProof/>
          <w:lang w:val="cs-CZ"/>
        </w:rPr>
        <w:t xml:space="preserve"> odpovídá tomu, co je poznáno v mysli (</w:t>
      </w:r>
      <w:r w:rsidR="005F5BE7" w:rsidRPr="00273106">
        <w:rPr>
          <w:rStyle w:val="linemarker-marked-line"/>
          <w:i/>
          <w:noProof/>
          <w:lang w:val="cs-CZ"/>
        </w:rPr>
        <w:t>inquantum per aequalitatem respondet scibili</w:t>
      </w:r>
      <w:r w:rsidR="005F5BE7" w:rsidRPr="00273106">
        <w:rPr>
          <w:noProof/>
          <w:lang w:val="cs-CZ"/>
        </w:rPr>
        <w:t>). Tím myslím rovnost (</w:t>
      </w:r>
      <w:r w:rsidR="005F5BE7" w:rsidRPr="00273106">
        <w:rPr>
          <w:rStyle w:val="linemarker-marked-line"/>
          <w:i/>
          <w:noProof/>
          <w:lang w:val="cs-CZ"/>
        </w:rPr>
        <w:t>aequalitatem</w:t>
      </w:r>
      <w:r w:rsidR="005F5BE7" w:rsidRPr="00273106">
        <w:rPr>
          <w:noProof/>
          <w:lang w:val="cs-CZ"/>
        </w:rPr>
        <w:t>) danou v definici 'p</w:t>
      </w:r>
      <w:r w:rsidR="006341B9" w:rsidRPr="00273106">
        <w:rPr>
          <w:noProof/>
          <w:lang w:val="cs-CZ"/>
        </w:rPr>
        <w:t>ravda je věcmi a intelektem</w:t>
      </w:r>
      <w:r w:rsidR="005F5BE7" w:rsidRPr="00273106">
        <w:rPr>
          <w:noProof/>
          <w:lang w:val="cs-CZ"/>
        </w:rPr>
        <w:t>' (</w:t>
      </w:r>
      <w:r w:rsidR="005F5BE7" w:rsidRPr="00273106">
        <w:rPr>
          <w:rStyle w:val="linemarker-marked-line"/>
          <w:i/>
          <w:noProof/>
          <w:lang w:val="cs-CZ"/>
        </w:rPr>
        <w:t>ver</w:t>
      </w:r>
      <w:r w:rsidR="005F5BE7" w:rsidRPr="00273106">
        <w:rPr>
          <w:i/>
          <w:noProof/>
          <w:lang w:val="cs-CZ"/>
        </w:rPr>
        <w:t xml:space="preserve">itas est rerum et </w:t>
      </w:r>
      <w:r w:rsidR="005F5BE7" w:rsidRPr="00273106">
        <w:rPr>
          <w:rStyle w:val="linemarker-marked-line"/>
          <w:i/>
          <w:noProof/>
          <w:lang w:val="cs-CZ"/>
        </w:rPr>
        <w:t>intellectuum</w:t>
      </w:r>
      <w:r w:rsidR="005F5BE7" w:rsidRPr="00273106">
        <w:rPr>
          <w:noProof/>
          <w:lang w:val="cs-CZ"/>
        </w:rPr>
        <w:t>).</w:t>
      </w:r>
      <w:r w:rsidR="00B7122A">
        <w:rPr>
          <w:noProof/>
          <w:lang w:val="cs-CZ"/>
        </w:rPr>
        <w:t>“</w:t>
      </w:r>
      <w:r w:rsidR="005F5BE7" w:rsidRPr="00273106">
        <w:rPr>
          <w:noProof/>
          <w:lang w:val="cs-CZ"/>
        </w:rPr>
        <w:t xml:space="preserve"> </w:t>
      </w:r>
      <w:r w:rsidR="00DB73EB" w:rsidRPr="00273106">
        <w:rPr>
          <w:rStyle w:val="Znakapoznpodarou"/>
          <w:noProof/>
          <w:lang w:val="cs-CZ"/>
        </w:rPr>
        <w:footnoteReference w:id="405"/>
      </w:r>
    </w:p>
    <w:p w14:paraId="3B6FB75B" w14:textId="7CD8178E" w:rsidR="006737C7" w:rsidRDefault="08194D7D" w:rsidP="001E0D64">
      <w:r w:rsidRPr="00273106">
        <w:t xml:space="preserve">Citát nemluví o adekvaci věci a intelektu, ale o </w:t>
      </w:r>
      <w:r>
        <w:t xml:space="preserve">rovnosti </w:t>
      </w:r>
      <w:r w:rsidR="004B4D52" w:rsidRPr="004B4D52">
        <w:t>species</w:t>
      </w:r>
      <w:r>
        <w:t xml:space="preserve"> daných ve specifickém modu </w:t>
      </w:r>
      <w:r w:rsidRPr="004D3958">
        <w:rPr>
          <w:i/>
        </w:rPr>
        <w:t>scibile</w:t>
      </w:r>
      <w:r>
        <w:t xml:space="preserve">. </w:t>
      </w:r>
      <w:r w:rsidR="08D816CA">
        <w:t xml:space="preserve">Porretánské </w:t>
      </w:r>
      <w:r>
        <w:t xml:space="preserve">formy </w:t>
      </w:r>
      <w:r w:rsidRPr="00273106">
        <w:t>dan</w:t>
      </w:r>
      <w:r>
        <w:t xml:space="preserve">é </w:t>
      </w:r>
      <w:r w:rsidRPr="00273106">
        <w:t xml:space="preserve">mimo intelekt </w:t>
      </w:r>
      <w:r>
        <w:t xml:space="preserve">jsou shodné </w:t>
      </w:r>
      <w:r w:rsidRPr="00273106">
        <w:t xml:space="preserve">s těmi formami, které jsou </w:t>
      </w:r>
      <w:r>
        <w:t xml:space="preserve">nazřeny </w:t>
      </w:r>
      <w:r w:rsidRPr="00273106">
        <w:t>v intelektu</w:t>
      </w:r>
      <w:r>
        <w:t xml:space="preserve"> (</w:t>
      </w:r>
      <w:r w:rsidRPr="00980A58">
        <w:rPr>
          <w:rStyle w:val="linemarker-marked-line"/>
          <w:i/>
        </w:rPr>
        <w:t>praesentiam ipsius speciei apud intellectum</w:t>
      </w:r>
      <w:r>
        <w:t>)</w:t>
      </w:r>
      <w:r w:rsidRPr="00273106">
        <w:t xml:space="preserve">. </w:t>
      </w:r>
      <w:r>
        <w:t>Forma-esence vystupuje jako jsoucno třetího druhu v jeho objektivní ipseitě (</w:t>
      </w:r>
      <w:r w:rsidRPr="00980A58">
        <w:rPr>
          <w:rStyle w:val="linemarker-marked-line"/>
          <w:i/>
        </w:rPr>
        <w:t>ipsius speciei</w:t>
      </w:r>
      <w:r>
        <w:t xml:space="preserve">). Jednou je dána specificky ve věci a podruhé specificky v mysli, protože je zároveň jednotlivinou i univerzálií. </w:t>
      </w:r>
      <w:r w:rsidR="005E1109">
        <w:t xml:space="preserve">Pravda vzniká </w:t>
      </w:r>
      <w:r w:rsidR="005E1109" w:rsidRPr="00273106">
        <w:t>na úrovni čisté formy (</w:t>
      </w:r>
      <w:r w:rsidR="005E1109" w:rsidRPr="00273106">
        <w:rPr>
          <w:i/>
        </w:rPr>
        <w:t>scibile</w:t>
      </w:r>
      <w:r w:rsidR="003B4FA7">
        <w:rPr>
          <w:i/>
        </w:rPr>
        <w:fldChar w:fldCharType="begin"/>
      </w:r>
      <w:r w:rsidR="003B4FA7">
        <w:instrText xml:space="preserve"> XE "</w:instrText>
      </w:r>
      <w:r w:rsidR="003B4FA7" w:rsidRPr="00AA4F67">
        <w:rPr>
          <w:i/>
        </w:rPr>
        <w:instrText>scibile</w:instrText>
      </w:r>
      <w:r w:rsidR="0094703F">
        <w:instrText>:Rufus</w:instrText>
      </w:r>
      <w:r w:rsidR="003B4FA7">
        <w:instrText xml:space="preserve">" </w:instrText>
      </w:r>
      <w:r w:rsidR="003B4FA7">
        <w:rPr>
          <w:i/>
        </w:rPr>
        <w:fldChar w:fldCharType="end"/>
      </w:r>
      <w:r w:rsidR="005E1109" w:rsidRPr="00273106">
        <w:t xml:space="preserve">), která </w:t>
      </w:r>
      <w:r w:rsidR="005E1109">
        <w:t xml:space="preserve">je </w:t>
      </w:r>
      <w:r w:rsidR="005E1109" w:rsidRPr="00273106">
        <w:t>definována pouze vzhledem k poznávací schopnosti (</w:t>
      </w:r>
      <w:r w:rsidR="005E1109" w:rsidRPr="00273106">
        <w:rPr>
          <w:i/>
        </w:rPr>
        <w:t>virtus scitiva</w:t>
      </w:r>
      <w:r w:rsidR="005E1109" w:rsidRPr="00520F39">
        <w:t>)</w:t>
      </w:r>
      <w:r w:rsidR="005E1109">
        <w:t>, a je výslovně oddělena od</w:t>
      </w:r>
      <w:r w:rsidR="005E1109" w:rsidRPr="00273106">
        <w:t xml:space="preserve"> smyslové představivosti (</w:t>
      </w:r>
      <w:r w:rsidR="004B4D52" w:rsidRPr="004B4D52">
        <w:t>species</w:t>
      </w:r>
      <w:r w:rsidR="005E1109" w:rsidRPr="00273106">
        <w:rPr>
          <w:i/>
        </w:rPr>
        <w:t xml:space="preserve"> imaginabilis</w:t>
      </w:r>
      <w:r w:rsidR="005E1109" w:rsidRPr="00273106">
        <w:t>)</w:t>
      </w:r>
      <w:r w:rsidR="005E1109" w:rsidRPr="00273106">
        <w:rPr>
          <w:rStyle w:val="linemarker-marked-line"/>
        </w:rPr>
        <w:t xml:space="preserve">. </w:t>
      </w:r>
      <w:r w:rsidR="00F55E3F" w:rsidRPr="00273106">
        <w:t xml:space="preserve">Rufus </w:t>
      </w:r>
      <w:r w:rsidR="003452BE" w:rsidRPr="00273106">
        <w:t>odmítne klasickou cestu abstrakce</w:t>
      </w:r>
      <w:r w:rsidR="00E3384E">
        <w:t xml:space="preserve"> podle prvního averroismu</w:t>
      </w:r>
      <w:r w:rsidR="087F4B35">
        <w:t xml:space="preserve"> (</w:t>
      </w:r>
      <w:r w:rsidR="087F4B35" w:rsidRPr="087F4B35">
        <w:rPr>
          <w:rStyle w:val="linemarker-marked-line"/>
          <w:i/>
        </w:rPr>
        <w:t>non est tantum</w:t>
      </w:r>
      <w:r w:rsidR="087F4B35">
        <w:t>)</w:t>
      </w:r>
      <w:r w:rsidR="003452BE" w:rsidRPr="00273106">
        <w:t xml:space="preserve">, kdy </w:t>
      </w:r>
      <w:r w:rsidR="00513C70">
        <w:t xml:space="preserve">akt smyslově dané intencionality </w:t>
      </w:r>
      <w:r w:rsidR="087F4B35">
        <w:t xml:space="preserve">abstrahuje v představivosti první </w:t>
      </w:r>
      <w:r w:rsidR="004B4D52" w:rsidRPr="004B4D52">
        <w:t>species</w:t>
      </w:r>
      <w:r w:rsidR="087F4B35">
        <w:t xml:space="preserve"> </w:t>
      </w:r>
      <w:r w:rsidR="003452BE" w:rsidRPr="00273106">
        <w:t>(</w:t>
      </w:r>
      <w:r w:rsidR="003452BE" w:rsidRPr="00273106">
        <w:rPr>
          <w:rStyle w:val="linemarker-marked-line"/>
          <w:i/>
        </w:rPr>
        <w:t>praesentiam imaginabilis speciei apud virtutem imaginativam</w:t>
      </w:r>
      <w:r w:rsidR="003452BE" w:rsidRPr="00273106">
        <w:t xml:space="preserve">). </w:t>
      </w:r>
      <w:r w:rsidR="00F55E3F" w:rsidRPr="00273106">
        <w:t>P</w:t>
      </w:r>
      <w:r w:rsidR="001B0743">
        <w:t xml:space="preserve">rezence </w:t>
      </w:r>
      <w:r w:rsidR="004B4D52" w:rsidRPr="004B4D52">
        <w:t>species</w:t>
      </w:r>
      <w:r w:rsidR="001B0743">
        <w:t xml:space="preserve"> nazíraných</w:t>
      </w:r>
      <w:r w:rsidR="003452BE" w:rsidRPr="00273106">
        <w:t xml:space="preserve"> intelektem </w:t>
      </w:r>
      <w:r w:rsidR="00AA4677" w:rsidRPr="00273106">
        <w:t>(</w:t>
      </w:r>
      <w:r w:rsidR="00AA4677" w:rsidRPr="00273106">
        <w:rPr>
          <w:rStyle w:val="linemarker-marked-line"/>
          <w:i/>
        </w:rPr>
        <w:t>apud virtutem scitivam</w:t>
      </w:r>
      <w:r w:rsidR="00AA4677" w:rsidRPr="00273106">
        <w:t xml:space="preserve">) </w:t>
      </w:r>
      <w:r w:rsidR="003452BE" w:rsidRPr="00273106">
        <w:t>má jiný druh zpřítomnění</w:t>
      </w:r>
      <w:r w:rsidR="00AA4677" w:rsidRPr="00273106">
        <w:t xml:space="preserve"> daný nemateriálně</w:t>
      </w:r>
      <w:r w:rsidR="003452BE" w:rsidRPr="00273106">
        <w:t xml:space="preserve"> (</w:t>
      </w:r>
      <w:r w:rsidR="003452BE" w:rsidRPr="00273106">
        <w:rPr>
          <w:rStyle w:val="linemarker-marked-line"/>
          <w:i/>
        </w:rPr>
        <w:t>praesentiam speciei scibilis</w:t>
      </w:r>
      <w:r w:rsidR="003452BE" w:rsidRPr="00273106">
        <w:t xml:space="preserve">). </w:t>
      </w:r>
      <w:r w:rsidR="087F4B35">
        <w:t>Hermeneutika trvá na fundamentálně rozdílném</w:t>
      </w:r>
      <w:r w:rsidR="08D97C26">
        <w:t xml:space="preserve"> pojetí Rufusovy</w:t>
      </w:r>
      <w:r w:rsidR="087F4B35">
        <w:t xml:space="preserve"> </w:t>
      </w:r>
      <w:r w:rsidR="004B4D52" w:rsidRPr="004B4D52">
        <w:t>species</w:t>
      </w:r>
      <w:r w:rsidR="087F4B35" w:rsidRPr="087F4B35">
        <w:rPr>
          <w:i/>
        </w:rPr>
        <w:t xml:space="preserve"> scibilis</w:t>
      </w:r>
      <w:r w:rsidR="087F4B35">
        <w:t xml:space="preserve">  a</w:t>
      </w:r>
      <w:r w:rsidR="08D97C26">
        <w:t xml:space="preserve"> aristotelské</w:t>
      </w:r>
      <w:r w:rsidR="087F4B35">
        <w:t xml:space="preserve"> </w:t>
      </w:r>
      <w:r w:rsidR="004B4D52" w:rsidRPr="004B4D52">
        <w:t>species</w:t>
      </w:r>
      <w:r w:rsidR="087F4B35" w:rsidRPr="087F4B35">
        <w:rPr>
          <w:i/>
        </w:rPr>
        <w:t xml:space="preserve"> intelligibilis</w:t>
      </w:r>
      <w:r w:rsidR="08D97C26">
        <w:t xml:space="preserve"> dané</w:t>
      </w:r>
      <w:r w:rsidR="087F4B35">
        <w:t xml:space="preserve"> v Blundově škole. </w:t>
      </w:r>
      <w:r w:rsidR="08D97C26">
        <w:t xml:space="preserve">Oba druhy </w:t>
      </w:r>
      <w:r w:rsidR="004B4D52" w:rsidRPr="004B4D52">
        <w:t>species</w:t>
      </w:r>
      <w:r w:rsidR="08D97C26">
        <w:t xml:space="preserve"> od sebe o</w:t>
      </w:r>
      <w:r w:rsidR="087F4B35">
        <w:t>d</w:t>
      </w:r>
      <w:r w:rsidR="08D97C26">
        <w:t xml:space="preserve">děluje projekt </w:t>
      </w:r>
      <w:r w:rsidR="087F4B35">
        <w:t xml:space="preserve">Avicennovy nebo Averroesovy metafyziky. Rufus má </w:t>
      </w:r>
      <w:r w:rsidR="001B0743">
        <w:t>jen zdánlivě mode</w:t>
      </w:r>
      <w:r w:rsidR="08A3005E">
        <w:t xml:space="preserve">l pravdy jako aristotelské adekvace. Objektivní </w:t>
      </w:r>
      <w:r w:rsidR="004B4D52" w:rsidRPr="004B4D52">
        <w:t>species</w:t>
      </w:r>
      <w:r w:rsidR="001B0743">
        <w:t xml:space="preserve"> </w:t>
      </w:r>
      <w:r w:rsidR="08A3005E" w:rsidRPr="00273106">
        <w:rPr>
          <w:rStyle w:val="linemarker-marked-line"/>
          <w:i/>
        </w:rPr>
        <w:t>scibilis</w:t>
      </w:r>
      <w:r w:rsidR="08A3005E">
        <w:t xml:space="preserve"> je jsoucno třetího druhu a tato porretánská hypostáze „exsistuje“ </w:t>
      </w:r>
      <w:r w:rsidR="001B0743">
        <w:t>v</w:t>
      </w:r>
      <w:r w:rsidR="08F178E9">
        <w:t> </w:t>
      </w:r>
      <w:r w:rsidR="001B0743">
        <w:t>modu</w:t>
      </w:r>
      <w:r w:rsidR="08F178E9">
        <w:t xml:space="preserve"> univerzálního hylemorfismu</w:t>
      </w:r>
      <w:r w:rsidR="08A3005E">
        <w:t xml:space="preserve">. Proto je </w:t>
      </w:r>
      <w:r w:rsidR="08F178E9">
        <w:t xml:space="preserve">Rufusovo </w:t>
      </w:r>
      <w:r w:rsidR="08F178E9" w:rsidRPr="08F178E9">
        <w:rPr>
          <w:i/>
        </w:rPr>
        <w:t>scibile</w:t>
      </w:r>
      <w:r w:rsidR="08F178E9">
        <w:t xml:space="preserve"> dáno</w:t>
      </w:r>
      <w:r w:rsidR="08A3005E">
        <w:t xml:space="preserve"> kontingentně v</w:t>
      </w:r>
      <w:r w:rsidR="00776BB0">
        <w:t xml:space="preserve"> </w:t>
      </w:r>
      <w:r w:rsidR="08A3005E">
        <w:t xml:space="preserve">reálných </w:t>
      </w:r>
      <w:r w:rsidR="00776BB0">
        <w:t xml:space="preserve">věcech a trvale v esencích. </w:t>
      </w:r>
      <w:r w:rsidR="08EB0204">
        <w:t>Moderní r</w:t>
      </w:r>
      <w:r w:rsidR="00D56421" w:rsidRPr="00273106">
        <w:t xml:space="preserve">ovnost věci a rozumu (a nikoliv </w:t>
      </w:r>
      <w:r w:rsidR="08EB0204">
        <w:t xml:space="preserve">aristotelská </w:t>
      </w:r>
      <w:r w:rsidR="00D56421" w:rsidRPr="00273106">
        <w:t xml:space="preserve">podobnost) je </w:t>
      </w:r>
      <w:r w:rsidR="00776BB0">
        <w:t>definována objektivním genitivem (</w:t>
      </w:r>
      <w:r w:rsidR="00776BB0" w:rsidRPr="00776BB0">
        <w:rPr>
          <w:i/>
        </w:rPr>
        <w:t>veritas</w:t>
      </w:r>
      <w:r w:rsidR="00776BB0">
        <w:t xml:space="preserve"> </w:t>
      </w:r>
      <w:r w:rsidR="00776BB0" w:rsidRPr="00776BB0">
        <w:rPr>
          <w:i/>
        </w:rPr>
        <w:t>est</w:t>
      </w:r>
      <w:r w:rsidR="00776BB0">
        <w:t xml:space="preserve"> </w:t>
      </w:r>
      <w:r w:rsidR="00776BB0" w:rsidRPr="00273106">
        <w:rPr>
          <w:i/>
        </w:rPr>
        <w:t xml:space="preserve">rerum et </w:t>
      </w:r>
      <w:r w:rsidR="00776BB0" w:rsidRPr="00273106">
        <w:rPr>
          <w:rStyle w:val="linemarker-marked-line"/>
          <w:i/>
        </w:rPr>
        <w:t>intellectuum</w:t>
      </w:r>
      <w:r w:rsidR="00776BB0">
        <w:t xml:space="preserve">). </w:t>
      </w:r>
      <w:r w:rsidR="08DE32E5">
        <w:t xml:space="preserve">Genitiv ukazuje místo vzniku moderního pojetí pravdy, která se stala novým jsoucnem třetího druhu v novém modu predikace. </w:t>
      </w:r>
      <w:r w:rsidR="00FF1A57">
        <w:t xml:space="preserve">Pravda je navázaná genitivem přímo na objektivně dané, čili specifické bytí samotné </w:t>
      </w:r>
      <w:r w:rsidR="00FF1A57" w:rsidRPr="00273106">
        <w:t>věc</w:t>
      </w:r>
      <w:r w:rsidR="00FF1A57">
        <w:t>i</w:t>
      </w:r>
      <w:r w:rsidR="00FF1A57" w:rsidRPr="00273106">
        <w:t xml:space="preserve"> (</w:t>
      </w:r>
      <w:r w:rsidR="00FF1A57" w:rsidRPr="00BC2B31">
        <w:rPr>
          <w:i/>
        </w:rPr>
        <w:t>veritas</w:t>
      </w:r>
      <w:r w:rsidR="00FF1A57">
        <w:t xml:space="preserve"> </w:t>
      </w:r>
      <w:r w:rsidR="00FF1A57" w:rsidRPr="00273106">
        <w:rPr>
          <w:i/>
        </w:rPr>
        <w:t>re</w:t>
      </w:r>
      <w:r w:rsidR="00FF1A57">
        <w:rPr>
          <w:i/>
        </w:rPr>
        <w:t>rum</w:t>
      </w:r>
      <w:r w:rsidR="00FF1A57">
        <w:t xml:space="preserve">). </w:t>
      </w:r>
      <w:r w:rsidR="086D4339">
        <w:t>Ona „v</w:t>
      </w:r>
      <w:r w:rsidR="08366A34">
        <w:t>ěc</w:t>
      </w:r>
      <w:r w:rsidR="086D4339">
        <w:t>“ (</w:t>
      </w:r>
      <w:r w:rsidR="086D4339" w:rsidRPr="086D4339">
        <w:rPr>
          <w:i/>
        </w:rPr>
        <w:t>res</w:t>
      </w:r>
      <w:r w:rsidR="086D4339">
        <w:t>)</w:t>
      </w:r>
      <w:r w:rsidR="08366A34">
        <w:t xml:space="preserve"> je pochopitelně porretánské individuum, nikoliv reálná první substance. </w:t>
      </w:r>
      <w:r w:rsidR="00FF1A57">
        <w:t xml:space="preserve">Genitiv je </w:t>
      </w:r>
      <w:r w:rsidR="08366A34">
        <w:t xml:space="preserve">proto </w:t>
      </w:r>
      <w:r w:rsidR="00FF1A57">
        <w:t xml:space="preserve">současně subjektivní a objektivní, protože </w:t>
      </w:r>
      <w:r w:rsidR="00FF1A57" w:rsidRPr="00A769A3">
        <w:rPr>
          <w:i/>
        </w:rPr>
        <w:t>scibile</w:t>
      </w:r>
      <w:r w:rsidR="00FF1A57">
        <w:t xml:space="preserve"> „exsistuje“ jako </w:t>
      </w:r>
      <w:r w:rsidR="004B4D52" w:rsidRPr="004B4D52">
        <w:t>species</w:t>
      </w:r>
      <w:r w:rsidR="00FF1A57">
        <w:t xml:space="preserve"> třetího druhu</w:t>
      </w:r>
      <w:r w:rsidR="08D060D3">
        <w:t xml:space="preserve"> všude a stejným mytopoetickým způsobem</w:t>
      </w:r>
      <w:r w:rsidR="00BD2803">
        <w:t xml:space="preserve">. </w:t>
      </w:r>
      <w:r w:rsidR="00BD2803" w:rsidRPr="00BD2803">
        <w:t xml:space="preserve">Její nositel je moderní </w:t>
      </w:r>
      <w:r w:rsidR="00BD2803">
        <w:t>subjekt, kterého plně zmátly božské síly akademické Pomsty</w:t>
      </w:r>
      <w:r w:rsidR="00BD2803" w:rsidRPr="00BD2803">
        <w:t xml:space="preserve">, protože ve skutečnosti nic takového neexistuje. </w:t>
      </w:r>
      <w:r w:rsidR="00BD2803">
        <w:t>Tak vznikl první moderní vztah „subjekt–objekt“, který je postaven na my</w:t>
      </w:r>
      <w:r w:rsidR="00BD2803" w:rsidRPr="00BD2803">
        <w:t xml:space="preserve">topoetické formě </w:t>
      </w:r>
      <w:r w:rsidR="009965D3">
        <w:rPr>
          <w:i/>
        </w:rPr>
        <w:t>Ge-Stell</w:t>
      </w:r>
      <w:r w:rsidR="00BD2803">
        <w:rPr>
          <w:i/>
        </w:rPr>
        <w:fldChar w:fldCharType="begin"/>
      </w:r>
      <w:r w:rsidR="00BD2803">
        <w:instrText xml:space="preserve"> XE "</w:instrText>
      </w:r>
      <w:r w:rsidR="009965D3">
        <w:rPr>
          <w:i/>
        </w:rPr>
        <w:instrText>Ge-Stell</w:instrText>
      </w:r>
      <w:r w:rsidR="00BD2803">
        <w:instrText xml:space="preserve">" </w:instrText>
      </w:r>
      <w:r w:rsidR="00BD2803">
        <w:rPr>
          <w:i/>
        </w:rPr>
        <w:fldChar w:fldCharType="end"/>
      </w:r>
      <w:r w:rsidR="00BD2803" w:rsidRPr="00BD2803">
        <w:t>.</w:t>
      </w:r>
      <w:r w:rsidR="00BD2803">
        <w:t xml:space="preserve"> </w:t>
      </w:r>
      <w:r w:rsidR="086E5F3A">
        <w:t>Poznaná „</w:t>
      </w:r>
      <w:r w:rsidR="00FF1A57">
        <w:t>věc</w:t>
      </w:r>
      <w:r w:rsidR="086E5F3A">
        <w:t>“</w:t>
      </w:r>
      <w:r w:rsidR="00FF1A57">
        <w:t xml:space="preserve"> nemá aristotelský charakter první substance, ale trvalé porretánské hypostáze. </w:t>
      </w:r>
      <w:r w:rsidR="00776BB0">
        <w:t xml:space="preserve">Pravda dostala poprvé </w:t>
      </w:r>
      <w:r w:rsidR="08F178E9">
        <w:t xml:space="preserve">plně </w:t>
      </w:r>
      <w:r w:rsidR="00776BB0">
        <w:t>objektivní charakter</w:t>
      </w:r>
      <w:r w:rsidR="086E5F3A">
        <w:t xml:space="preserve">. Pravdivé poznání běží </w:t>
      </w:r>
      <w:r w:rsidR="08F178E9">
        <w:t>v modu demiurgické asimilace</w:t>
      </w:r>
      <w:r w:rsidR="08502552">
        <w:t xml:space="preserve"> neexistují</w:t>
      </w:r>
      <w:r w:rsidR="086E5F3A">
        <w:t>cí</w:t>
      </w:r>
      <w:r w:rsidR="08502552">
        <w:t>ch jsoucen třetího druhu</w:t>
      </w:r>
      <w:r w:rsidR="00776BB0">
        <w:t>. Univočně stejná</w:t>
      </w:r>
      <w:r w:rsidR="00D56421">
        <w:t xml:space="preserve"> </w:t>
      </w:r>
      <w:r w:rsidR="004B4D52" w:rsidRPr="004B4D52">
        <w:t>species</w:t>
      </w:r>
      <w:r w:rsidR="00D56421">
        <w:t xml:space="preserve"> existuje v modu porretánského  „</w:t>
      </w:r>
      <w:r w:rsidR="00D56421" w:rsidRPr="00D56421">
        <w:rPr>
          <w:i/>
        </w:rPr>
        <w:t>exsistere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D56421">
        <w:t>“ jak v realitě tak v mysli (</w:t>
      </w:r>
      <w:r w:rsidR="00D56421" w:rsidRPr="00D56421">
        <w:rPr>
          <w:rStyle w:val="linemarker-marked-line"/>
          <w:i/>
        </w:rPr>
        <w:t>per praesentiam ipsius speciei apud intellectum</w:t>
      </w:r>
      <w:r w:rsidR="00D56421">
        <w:t xml:space="preserve">). </w:t>
      </w:r>
      <w:r w:rsidR="00AD39E2">
        <w:t xml:space="preserve">Poznaná forma </w:t>
      </w:r>
      <w:r w:rsidR="00776BB0">
        <w:t>je hypostázovaná</w:t>
      </w:r>
      <w:r w:rsidR="00C20BE4">
        <w:t xml:space="preserve"> jak v mysli, tak i v realitě, ale</w:t>
      </w:r>
      <w:r w:rsidR="087935EE">
        <w:t xml:space="preserve"> pokaždé v jiném modu prezence. Nepřítomná první substance </w:t>
      </w:r>
      <w:r w:rsidR="0856486A">
        <w:t xml:space="preserve">daná </w:t>
      </w:r>
      <w:r w:rsidR="087935EE">
        <w:t xml:space="preserve">v modu </w:t>
      </w:r>
      <w:r w:rsidR="087935EE" w:rsidRPr="087935EE">
        <w:rPr>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87935EE">
        <w:t xml:space="preserve"> (</w:t>
      </w:r>
      <w:r w:rsidR="087935EE" w:rsidRPr="08364F97">
        <w:t>τό τί ἦν εἶναι</w:t>
      </w:r>
      <w:r w:rsidR="087935EE">
        <w:fldChar w:fldCharType="begin"/>
      </w:r>
      <w:r w:rsidR="087935EE">
        <w:instrText xml:space="preserve"> XE "</w:instrText>
      </w:r>
      <w:r w:rsidR="087935EE" w:rsidRPr="08D57ABC">
        <w:instrText>τό τί ἦν εἶναι</w:instrText>
      </w:r>
      <w:r w:rsidR="087935EE">
        <w:instrText xml:space="preserve">" </w:instrText>
      </w:r>
      <w:r w:rsidR="087935EE">
        <w:fldChar w:fldCharType="end"/>
      </w:r>
      <w:r w:rsidR="087935EE">
        <w:t>) přes</w:t>
      </w:r>
      <w:r w:rsidR="08FD4F35">
        <w:t>tala ovlivňovat moderní poznání. První substance získala tragickou formu</w:t>
      </w:r>
      <w:r w:rsidR="087935EE">
        <w:t xml:space="preserve"> bytí v modu </w:t>
      </w:r>
      <w:r w:rsidR="003D7E55">
        <w:t>zapomenutosti hyparchické substance (</w:t>
      </w:r>
      <w:r w:rsidR="087935EE" w:rsidRPr="087935EE">
        <w:rPr>
          <w:i/>
        </w:rPr>
        <w:t>Seinsvergessenheit</w:t>
      </w:r>
      <w:r w:rsidR="087935EE">
        <w:rPr>
          <w:i/>
        </w:rPr>
        <w:fldChar w:fldCharType="begin"/>
      </w:r>
      <w:r w:rsidR="087935EE">
        <w:instrText xml:space="preserve"> XE "</w:instrText>
      </w:r>
      <w:r w:rsidR="087935EE" w:rsidRPr="003B3CCF">
        <w:rPr>
          <w:i/>
        </w:rPr>
        <w:instrText>Seinsvergessenheit</w:instrText>
      </w:r>
      <w:r w:rsidR="087935EE">
        <w:instrText xml:space="preserve">" </w:instrText>
      </w:r>
      <w:r w:rsidR="087935EE">
        <w:rPr>
          <w:i/>
        </w:rPr>
        <w:fldChar w:fldCharType="end"/>
      </w:r>
      <w:r w:rsidR="003D7E55">
        <w:t>).</w:t>
      </w:r>
      <w:r w:rsidR="087935EE">
        <w:t xml:space="preserve"> </w:t>
      </w:r>
      <w:r w:rsidR="08484FB4">
        <w:t>Akt původní donace bytí jsoucna daný v</w:t>
      </w:r>
      <w:r w:rsidR="085C6485">
        <w:t xml:space="preserve"> metafyzice skrze </w:t>
      </w:r>
      <w:r w:rsidR="082A724F">
        <w:t xml:space="preserve">metafyzický </w:t>
      </w:r>
      <w:r w:rsidR="085C6485">
        <w:t>dativ</w:t>
      </w:r>
      <w:r w:rsidR="08484FB4">
        <w:t xml:space="preserve"> (</w:t>
      </w:r>
      <w:r w:rsidR="08520339">
        <w:t xml:space="preserve">OBJ I, </w:t>
      </w:r>
      <w:r w:rsidR="08484FB4">
        <w:t>kap. 1.1</w:t>
      </w:r>
      <w:r w:rsidR="08484FB4">
        <w:rPr>
          <w:i/>
        </w:rPr>
        <w:fldChar w:fldCharType="begin"/>
      </w:r>
      <w:r w:rsidR="08484FB4">
        <w:instrText xml:space="preserve"> XE "</w:instrText>
      </w:r>
      <w:r w:rsidR="082A724F">
        <w:rPr>
          <w:i/>
        </w:rPr>
        <w:instrText>dativus metaphysi</w:instrText>
      </w:r>
      <w:r w:rsidR="08484FB4" w:rsidRPr="082F5A4B">
        <w:rPr>
          <w:i/>
        </w:rPr>
        <w:instrText>cus</w:instrText>
      </w:r>
      <w:r w:rsidR="08484FB4">
        <w:instrText xml:space="preserve">" </w:instrText>
      </w:r>
      <w:r w:rsidR="08484FB4">
        <w:rPr>
          <w:i/>
        </w:rPr>
        <w:fldChar w:fldCharType="end"/>
      </w:r>
      <w:r w:rsidR="08484FB4">
        <w:t xml:space="preserve">) se z myšlení zcela vytratil. </w:t>
      </w:r>
      <w:r w:rsidR="087935EE">
        <w:t xml:space="preserve">Existence první substance je nahrazena esencí predikovanou v modu logické a matematické abstrakce. </w:t>
      </w:r>
      <w:r w:rsidR="086C0738">
        <w:t>S</w:t>
      </w:r>
      <w:r w:rsidR="00042F4F">
        <w:t xml:space="preserve">pecificky daná </w:t>
      </w:r>
      <w:r w:rsidR="005E1109">
        <w:t xml:space="preserve">ipseita </w:t>
      </w:r>
      <w:r w:rsidR="086C0738">
        <w:t xml:space="preserve">této analyticky predikované esence </w:t>
      </w:r>
      <w:r w:rsidR="005E1109">
        <w:t>je univočně dána v objektivním demiurgickém diakosmu, v lid</w:t>
      </w:r>
      <w:r w:rsidR="00AD39E2">
        <w:t xml:space="preserve">ské mysli a v reálných věcech. </w:t>
      </w:r>
      <w:r w:rsidR="082A6D6C" w:rsidRPr="00273106">
        <w:t xml:space="preserve">Poznání je pravdivé </w:t>
      </w:r>
      <w:r w:rsidR="003452BE" w:rsidRPr="00273106">
        <w:t xml:space="preserve">v momentu, kdy </w:t>
      </w:r>
      <w:r w:rsidR="00802BC9">
        <w:t xml:space="preserve">se zpřítomňuje </w:t>
      </w:r>
      <w:r w:rsidR="004B4D52" w:rsidRPr="002D39BC">
        <w:rPr>
          <w:i/>
        </w:rPr>
        <w:t>species</w:t>
      </w:r>
      <w:r w:rsidR="086167F1">
        <w:t xml:space="preserve"> </w:t>
      </w:r>
      <w:r w:rsidR="086167F1" w:rsidRPr="00273106">
        <w:rPr>
          <w:rStyle w:val="linemarker-marked-line"/>
          <w:i/>
        </w:rPr>
        <w:t>scibilis</w:t>
      </w:r>
      <w:r w:rsidR="086167F1">
        <w:t xml:space="preserve"> </w:t>
      </w:r>
      <w:r w:rsidR="001137BE">
        <w:t>v přímém náhledu (</w:t>
      </w:r>
      <w:r w:rsidR="001137BE" w:rsidRPr="001137BE">
        <w:rPr>
          <w:i/>
        </w:rPr>
        <w:t>per</w:t>
      </w:r>
      <w:r w:rsidR="001137BE">
        <w:t xml:space="preserve"> </w:t>
      </w:r>
      <w:r w:rsidR="001137BE" w:rsidRPr="00D56421">
        <w:rPr>
          <w:rStyle w:val="linemarker-marked-line"/>
          <w:i/>
        </w:rPr>
        <w:t>praesentiam</w:t>
      </w:r>
      <w:r w:rsidR="001137BE">
        <w:t xml:space="preserve">) </w:t>
      </w:r>
      <w:r w:rsidR="002D39BC">
        <w:t xml:space="preserve">pravdy dané </w:t>
      </w:r>
      <w:r w:rsidR="00802BC9">
        <w:t>skrze intelekt</w:t>
      </w:r>
      <w:r w:rsidR="001137BE">
        <w:t xml:space="preserve">. </w:t>
      </w:r>
      <w:r w:rsidR="08283F54">
        <w:t xml:space="preserve">V parousii objektivity </w:t>
      </w:r>
      <w:r w:rsidR="001137BE">
        <w:t>platí pravda jako matematická rovnost (</w:t>
      </w:r>
      <w:r w:rsidR="001137BE" w:rsidRPr="00273106">
        <w:rPr>
          <w:rStyle w:val="linemarker-marked-line"/>
          <w:i/>
        </w:rPr>
        <w:t>aequalita</w:t>
      </w:r>
      <w:r w:rsidR="001137BE">
        <w:rPr>
          <w:rStyle w:val="linemarker-marked-line"/>
          <w:i/>
        </w:rPr>
        <w:t>s</w:t>
      </w:r>
      <w:r w:rsidR="08283F54">
        <w:t xml:space="preserve">). Zpřítomnění světa probíhá pouze v mysli, kde je plně přítomné hyparchické bytí matematických a logických esencí podle citované pasáže </w:t>
      </w:r>
      <w:r w:rsidR="08283F54" w:rsidRPr="00273106">
        <w:rPr>
          <w:i/>
        </w:rPr>
        <w:t>Anal. Post</w:t>
      </w:r>
      <w:r w:rsidR="08283F54" w:rsidRPr="00273106">
        <w:t>. 84a11‒14</w:t>
      </w:r>
      <w:r w:rsidR="08283F54">
        <w:fldChar w:fldCharType="begin"/>
      </w:r>
      <w:r w:rsidR="08283F54">
        <w:instrText xml:space="preserve"> XE "Aristoteles:</w:instrText>
      </w:r>
      <w:r w:rsidR="08283F54" w:rsidRPr="00273106">
        <w:rPr>
          <w:i/>
        </w:rPr>
        <w:instrText>Anal. Post</w:instrText>
      </w:r>
      <w:r w:rsidR="08283F54" w:rsidRPr="00273106">
        <w:instrText>. 84a11‒14</w:instrText>
      </w:r>
      <w:r w:rsidR="08283F54">
        <w:instrText xml:space="preserve">" </w:instrText>
      </w:r>
      <w:r w:rsidR="08283F54">
        <w:fldChar w:fldCharType="end"/>
      </w:r>
      <w:r w:rsidR="08283F54">
        <w:t>. Tat</w:t>
      </w:r>
      <w:r w:rsidR="001137BE">
        <w:t xml:space="preserve">o </w:t>
      </w:r>
      <w:r w:rsidR="081B3C99">
        <w:t>parousie</w:t>
      </w:r>
      <w:r w:rsidR="08194393">
        <w:fldChar w:fldCharType="begin"/>
      </w:r>
      <w:r w:rsidR="08194393">
        <w:instrText xml:space="preserve"> XE "</w:instrText>
      </w:r>
      <w:r w:rsidR="08194393" w:rsidRPr="087953EF">
        <w:instrText>parousie</w:instrText>
      </w:r>
      <w:r w:rsidR="08194393">
        <w:instrText xml:space="preserve">" </w:instrText>
      </w:r>
      <w:r w:rsidR="08194393">
        <w:fldChar w:fldCharType="end"/>
      </w:r>
      <w:r w:rsidR="081B3C99">
        <w:t xml:space="preserve"> </w:t>
      </w:r>
      <w:r w:rsidR="001137BE">
        <w:t xml:space="preserve">kosmické formy </w:t>
      </w:r>
      <w:r w:rsidR="08DE3F6E">
        <w:t xml:space="preserve">daná objektivně-analyticky </w:t>
      </w:r>
      <w:r w:rsidR="001137BE">
        <w:t>p</w:t>
      </w:r>
      <w:r w:rsidR="00195D55" w:rsidRPr="00273106">
        <w:t xml:space="preserve">lně </w:t>
      </w:r>
      <w:r w:rsidR="003452BE" w:rsidRPr="00273106">
        <w:t xml:space="preserve">odpovídá </w:t>
      </w:r>
      <w:r w:rsidR="00195D55" w:rsidRPr="00273106">
        <w:t xml:space="preserve">individuálně poznané </w:t>
      </w:r>
      <w:r w:rsidR="003452BE" w:rsidRPr="00273106">
        <w:t>inteligibiln</w:t>
      </w:r>
      <w:r w:rsidR="00CD3ECB" w:rsidRPr="00273106">
        <w:t>í formě</w:t>
      </w:r>
      <w:r w:rsidR="003452BE" w:rsidRPr="00273106">
        <w:rPr>
          <w:rStyle w:val="linemarker-marked-line"/>
        </w:rPr>
        <w:t>.</w:t>
      </w:r>
      <w:r w:rsidR="003452BE" w:rsidRPr="00273106">
        <w:t xml:space="preserve"> </w:t>
      </w:r>
      <w:r w:rsidR="085D7900">
        <w:t xml:space="preserve">Moderní pojetí pravdy jako univerzální rovnosti je založeno na prezentaci avicennovsky či porretánsky „exsistujícího“ </w:t>
      </w:r>
      <w:r w:rsidR="085D7900" w:rsidRPr="00B126AE">
        <w:rPr>
          <w:i/>
        </w:rPr>
        <w:t>scibile</w:t>
      </w:r>
      <w:r w:rsidR="085D7900">
        <w:rPr>
          <w:i/>
        </w:rPr>
        <w:t xml:space="preserve"> </w:t>
      </w:r>
      <w:r w:rsidR="085D7900" w:rsidRPr="08CC0839">
        <w:t>v objektivním diakosmu</w:t>
      </w:r>
      <w:r w:rsidR="085D7900">
        <w:t>. Tato univerzální matematická forma či porretánská esence je v modu prezentace toh</w:t>
      </w:r>
      <w:r w:rsidR="08034140">
        <w:t>o</w:t>
      </w:r>
      <w:r w:rsidR="085D7900">
        <w:t xml:space="preserve">to </w:t>
      </w:r>
      <w:r w:rsidR="085D7900" w:rsidRPr="08034140">
        <w:rPr>
          <w:i/>
        </w:rPr>
        <w:t>scibile</w:t>
      </w:r>
      <w:r w:rsidR="085D7900">
        <w:t xml:space="preserve"> zpřítomněna v mysli moderního ilumináta (</w:t>
      </w:r>
      <w:r w:rsidR="085D7900" w:rsidRPr="00773D6C">
        <w:rPr>
          <w:rStyle w:val="linemarker-marked-line"/>
          <w:i/>
        </w:rPr>
        <w:t>inquantum per aequalitatem respondet scibili</w:t>
      </w:r>
      <w:r w:rsidR="085D7900">
        <w:t xml:space="preserve">). </w:t>
      </w:r>
      <w:r w:rsidR="08AF227D">
        <w:t xml:space="preserve">Asimilační pojetí pravdy jako rovnosti takto daných jsoucen platí v modu </w:t>
      </w:r>
      <w:r w:rsidR="08AF227D" w:rsidRPr="08AF227D">
        <w:rPr>
          <w:i/>
        </w:rPr>
        <w:t>absolute</w:t>
      </w:r>
      <w:r w:rsidR="0856486A">
        <w:t>. H</w:t>
      </w:r>
      <w:r w:rsidR="08AF227D">
        <w:t xml:space="preserve">yparchické bytí </w:t>
      </w:r>
      <w:r w:rsidR="004B4D52" w:rsidRPr="004B4D52">
        <w:t>species</w:t>
      </w:r>
      <w:r w:rsidR="08AF227D">
        <w:t xml:space="preserve"> </w:t>
      </w:r>
      <w:r w:rsidR="08AF227D" w:rsidRPr="00273106">
        <w:rPr>
          <w:rStyle w:val="linemarker-marked-line"/>
          <w:i/>
        </w:rPr>
        <w:t>scibilis</w:t>
      </w:r>
      <w:r w:rsidR="08AF227D">
        <w:t xml:space="preserve"> je dáno pouze v</w:t>
      </w:r>
      <w:r w:rsidR="0856486A">
        <w:t> </w:t>
      </w:r>
      <w:r w:rsidR="08AF227D">
        <w:t>mysli</w:t>
      </w:r>
      <w:r w:rsidR="0856486A">
        <w:t xml:space="preserve"> </w:t>
      </w:r>
      <w:r w:rsidR="0883723E">
        <w:t xml:space="preserve">moderního </w:t>
      </w:r>
      <w:r w:rsidR="0856486A">
        <w:t>ilumináta odděleného od empirické reality</w:t>
      </w:r>
      <w:r w:rsidR="00110EC6">
        <w:t xml:space="preserve"> </w:t>
      </w:r>
      <w:r w:rsidR="00110EC6">
        <w:rPr>
          <w:lang w:eastAsia="en-US"/>
        </w:rPr>
        <w:t>(</w:t>
      </w:r>
      <w:r w:rsidR="00110EC6" w:rsidRPr="005C4E35">
        <w:rPr>
          <w:i/>
          <w:lang w:eastAsia="en-US"/>
        </w:rPr>
        <w:t>Anal. Post</w:t>
      </w:r>
      <w:r w:rsidR="00110EC6">
        <w:rPr>
          <w:lang w:eastAsia="en-US"/>
        </w:rPr>
        <w:t>. 84a14</w:t>
      </w:r>
      <w:r w:rsidR="00110EC6" w:rsidRPr="00DC6664">
        <w:rPr>
          <w:szCs w:val="24"/>
        </w:rPr>
        <w:fldChar w:fldCharType="begin"/>
      </w:r>
      <w:r w:rsidR="00110EC6" w:rsidRPr="00DC6664">
        <w:rPr>
          <w:szCs w:val="24"/>
        </w:rPr>
        <w:instrText xml:space="preserve"> XE "Aristoteles:</w:instrText>
      </w:r>
      <w:r w:rsidR="00110EC6" w:rsidRPr="00DC6664">
        <w:rPr>
          <w:i/>
          <w:szCs w:val="24"/>
        </w:rPr>
        <w:instrText>Anal. Post</w:instrText>
      </w:r>
      <w:r w:rsidR="00110EC6">
        <w:rPr>
          <w:szCs w:val="24"/>
        </w:rPr>
        <w:instrText>. 84a</w:instrText>
      </w:r>
      <w:r w:rsidR="00110EC6" w:rsidRPr="00DC6664">
        <w:rPr>
          <w:szCs w:val="24"/>
        </w:rPr>
        <w:instrText xml:space="preserve">14" </w:instrText>
      </w:r>
      <w:r w:rsidR="00110EC6" w:rsidRPr="00DC6664">
        <w:rPr>
          <w:szCs w:val="24"/>
        </w:rPr>
        <w:fldChar w:fldCharType="end"/>
      </w:r>
      <w:r w:rsidR="00110EC6">
        <w:rPr>
          <w:lang w:eastAsia="en-US"/>
        </w:rPr>
        <w:t>)</w:t>
      </w:r>
      <w:r w:rsidR="08AF227D">
        <w:t xml:space="preserve">. </w:t>
      </w:r>
      <w:r w:rsidR="005F779D">
        <w:t xml:space="preserve">Rufus </w:t>
      </w:r>
      <w:r w:rsidR="00BC2B31">
        <w:t>ne</w:t>
      </w:r>
      <w:r w:rsidR="002B130D">
        <w:t xml:space="preserve">potřebuje </w:t>
      </w:r>
      <w:r w:rsidR="00BC2B31">
        <w:t xml:space="preserve">impozici </w:t>
      </w:r>
      <w:r w:rsidR="004D3958">
        <w:t xml:space="preserve">pravdy </w:t>
      </w:r>
      <w:r w:rsidR="00BC2B31">
        <w:t>z</w:t>
      </w:r>
      <w:r w:rsidR="002B130D">
        <w:t> </w:t>
      </w:r>
      <w:r w:rsidR="00BC2B31">
        <w:t>reality</w:t>
      </w:r>
      <w:r w:rsidR="002B130D">
        <w:t>. D</w:t>
      </w:r>
      <w:r w:rsidR="00941B5A" w:rsidRPr="00273106">
        <w:t>ruh</w:t>
      </w:r>
      <w:r w:rsidR="00850EA9" w:rsidRPr="00273106">
        <w:t xml:space="preserve">ý </w:t>
      </w:r>
      <w:r w:rsidR="00941B5A" w:rsidRPr="00273106">
        <w:t>averroismu</w:t>
      </w:r>
      <w:r w:rsidR="00850EA9" w:rsidRPr="00273106">
        <w:t xml:space="preserve">s provedl </w:t>
      </w:r>
      <w:r w:rsidR="00941B5A" w:rsidRPr="00273106">
        <w:t>pln</w:t>
      </w:r>
      <w:r w:rsidR="00850EA9" w:rsidRPr="00273106">
        <w:t xml:space="preserve">é </w:t>
      </w:r>
      <w:r w:rsidR="00941B5A" w:rsidRPr="00273106">
        <w:t>zatmění první substance</w:t>
      </w:r>
      <w:r w:rsidR="00A70FA4">
        <w:fldChar w:fldCharType="begin"/>
      </w:r>
      <w:r w:rsidR="00A70FA4">
        <w:instrText xml:space="preserve"> XE "</w:instrText>
      </w:r>
      <w:r w:rsidR="00B34339">
        <w:instrText>zatmění:</w:instrText>
      </w:r>
      <w:r w:rsidR="00A70FA4" w:rsidRPr="00DE2A32">
        <w:instrText>substance</w:instrText>
      </w:r>
      <w:r w:rsidR="00A70FA4">
        <w:instrText xml:space="preserve">" </w:instrText>
      </w:r>
      <w:r w:rsidR="00A70FA4">
        <w:fldChar w:fldCharType="end"/>
      </w:r>
      <w:r w:rsidR="00941B5A" w:rsidRPr="00273106">
        <w:t>.</w:t>
      </w:r>
    </w:p>
    <w:p w14:paraId="33F919B1" w14:textId="1C40751F" w:rsidR="00BE7199" w:rsidRDefault="00310452" w:rsidP="008F6022">
      <w:pPr>
        <w:ind w:firstLine="397"/>
        <w:rPr>
          <w:rStyle w:val="linemarker-marked-line"/>
        </w:rPr>
      </w:pPr>
      <w:r w:rsidRPr="00310452">
        <w:t>Hermeneutika nalezla v Rufusových textech epochální událost moderny (</w:t>
      </w:r>
      <w:r w:rsidRPr="00310452">
        <w:rPr>
          <w:i/>
        </w:rPr>
        <w:t>Ereignis</w:t>
      </w:r>
      <w:r w:rsidRPr="00310452">
        <w:t xml:space="preserve">), která proměnila původní moderní </w:t>
      </w:r>
      <w:r w:rsidRPr="00310452">
        <w:rPr>
          <w:i/>
        </w:rPr>
        <w:t>alétheia</w:t>
      </w:r>
      <w:r>
        <w:t xml:space="preserve"> etablovanou </w:t>
      </w:r>
      <w:r w:rsidRPr="00310452">
        <w:t>Grossetestem (</w:t>
      </w:r>
      <w:r w:rsidRPr="00310452">
        <w:rPr>
          <w:i/>
        </w:rPr>
        <w:t>aliquantulum obscura</w:t>
      </w:r>
      <w:r w:rsidRPr="00310452">
        <w:t xml:space="preserve">) v objektivní pravdu jako absolutně jistou a evidentní </w:t>
      </w:r>
      <w:r w:rsidRPr="00310452">
        <w:rPr>
          <w:i/>
        </w:rPr>
        <w:t>veritas</w:t>
      </w:r>
      <w:r>
        <w:rPr>
          <w:i/>
        </w:rPr>
        <w:fldChar w:fldCharType="begin"/>
      </w:r>
      <w:r>
        <w:instrText xml:space="preserve"> XE "</w:instrText>
      </w:r>
      <w:r w:rsidRPr="08B45255">
        <w:instrText>pravda</w:instrText>
      </w:r>
      <w:r w:rsidRPr="082E4FB4">
        <w:rPr>
          <w:i/>
        </w:rPr>
        <w:instrText>:veritas</w:instrText>
      </w:r>
      <w:r>
        <w:instrText xml:space="preserve">" </w:instrText>
      </w:r>
      <w:r>
        <w:rPr>
          <w:i/>
        </w:rPr>
        <w:fldChar w:fldCharType="end"/>
      </w:r>
      <w:r w:rsidRPr="00310452">
        <w:t>.</w:t>
      </w:r>
      <w:r>
        <w:t xml:space="preserve"> </w:t>
      </w:r>
      <w:r w:rsidR="08D04CF6">
        <w:t xml:space="preserve">Matematická rovnost </w:t>
      </w:r>
      <w:r w:rsidR="08D04CF6" w:rsidRPr="086B74D2">
        <w:rPr>
          <w:i/>
        </w:rPr>
        <w:t>scibile</w:t>
      </w:r>
      <w:r w:rsidR="08D04CF6">
        <w:t xml:space="preserve"> není adekvace </w:t>
      </w:r>
      <w:r w:rsidR="086B74D2">
        <w:t xml:space="preserve">reálné </w:t>
      </w:r>
      <w:r w:rsidR="08D04CF6">
        <w:t xml:space="preserve">věci a poznávajícího intelektu. </w:t>
      </w:r>
      <w:r w:rsidR="003B6BAD">
        <w:t>H</w:t>
      </w:r>
      <w:r w:rsidR="08D04CF6">
        <w:t xml:space="preserve">yparchické bytí Rufusových </w:t>
      </w:r>
      <w:r w:rsidR="08D04CF6" w:rsidRPr="08D04CF6">
        <w:rPr>
          <w:i/>
        </w:rPr>
        <w:t>scibile</w:t>
      </w:r>
      <w:r w:rsidR="08D04CF6">
        <w:t xml:space="preserve"> </w:t>
      </w:r>
      <w:r w:rsidR="086B74D2">
        <w:t xml:space="preserve">jako jsoucen třetího druhu </w:t>
      </w:r>
      <w:r w:rsidR="08D04CF6">
        <w:t>je dané pouze v</w:t>
      </w:r>
      <w:r w:rsidR="08AF07FA">
        <w:t> moderním subjektu</w:t>
      </w:r>
      <w:r w:rsidR="08D04CF6">
        <w:t xml:space="preserve">. Logická identita porretánského individua jako </w:t>
      </w:r>
      <w:r w:rsidR="08D456E6" w:rsidRPr="08D456E6">
        <w:rPr>
          <w:i/>
        </w:rPr>
        <w:t>tertium ens</w:t>
      </w:r>
      <w:r w:rsidR="08D456E6">
        <w:t xml:space="preserve"> </w:t>
      </w:r>
      <w:r w:rsidR="08D04CF6">
        <w:t xml:space="preserve">nahradila </w:t>
      </w:r>
      <w:r w:rsidR="08A1189A">
        <w:t xml:space="preserve">hyparchickou </w:t>
      </w:r>
      <w:r w:rsidR="08D04CF6">
        <w:t>ipseitu první substance</w:t>
      </w:r>
      <w:r w:rsidR="08AF07FA">
        <w:t xml:space="preserve">. Ta byla metafyzicky predikována v rámci kauzálně dané </w:t>
      </w:r>
      <w:r w:rsidR="08A1189A">
        <w:t>nutnosti</w:t>
      </w:r>
      <w:r w:rsidR="088F7361">
        <w:t xml:space="preserve"> jako střední člen věde</w:t>
      </w:r>
      <w:r w:rsidR="08D25F12">
        <w:t>ckého soudu</w:t>
      </w:r>
      <w:r w:rsidR="08D04CF6">
        <w:t xml:space="preserve">. </w:t>
      </w:r>
      <w:r w:rsidR="00EF51B8">
        <w:t xml:space="preserve">Rufus nemůže mít v mysli </w:t>
      </w:r>
      <w:r w:rsidR="085A0DB2">
        <w:t xml:space="preserve">univerzální metafyzickou </w:t>
      </w:r>
      <w:r w:rsidR="00596079">
        <w:t xml:space="preserve">podobnost </w:t>
      </w:r>
      <w:r w:rsidR="00EF51B8">
        <w:t>s e</w:t>
      </w:r>
      <w:r w:rsidR="00596079">
        <w:t>xterní fyzickou věcí</w:t>
      </w:r>
      <w:r w:rsidR="082031CB">
        <w:t xml:space="preserve"> v modu </w:t>
      </w:r>
      <w:r w:rsidR="08D91F67">
        <w:rPr>
          <w:i/>
        </w:rPr>
        <w:t>ex in</w:t>
      </w:r>
      <w:r w:rsidR="084A1BC5">
        <w:rPr>
          <w:i/>
        </w:rPr>
        <w:t>medi</w:t>
      </w:r>
      <w:r w:rsidR="082031CB" w:rsidRPr="082031CB">
        <w:rPr>
          <w:i/>
        </w:rPr>
        <w:t>atis</w:t>
      </w:r>
      <w:r w:rsidR="084A1BC5">
        <w:t xml:space="preserve"> p</w:t>
      </w:r>
      <w:r w:rsidR="084A1BC5" w:rsidRPr="00273106">
        <w:t xml:space="preserve">odle </w:t>
      </w:r>
      <w:r w:rsidR="084A1BC5">
        <w:t xml:space="preserve">modu </w:t>
      </w:r>
      <w:r w:rsidR="084A1BC5" w:rsidRPr="08C76FE2">
        <w:rPr>
          <w:i/>
        </w:rPr>
        <w:t>per se</w:t>
      </w:r>
      <w:r w:rsidR="084A1BC5">
        <w:t xml:space="preserve"> daného z hyparchicky existujících prvních substancí (</w:t>
      </w:r>
      <w:r w:rsidR="084A1BC5" w:rsidRPr="00273106">
        <w:t>ἂν δι' ἀμέσων</w:t>
      </w:r>
      <w:r w:rsidR="084A1BC5">
        <w:t xml:space="preserve">, </w:t>
      </w:r>
      <w:r w:rsidR="084A1BC5" w:rsidRPr="00273106">
        <w:rPr>
          <w:i/>
        </w:rPr>
        <w:t>Anal. Post</w:t>
      </w:r>
      <w:r w:rsidR="084A1BC5" w:rsidRPr="00273106">
        <w:t>. 93a36</w:t>
      </w:r>
      <w:r w:rsidR="084A1BC5">
        <w:fldChar w:fldCharType="begin"/>
      </w:r>
      <w:r w:rsidR="084A1BC5">
        <w:instrText xml:space="preserve"> XE "Aristoteles:</w:instrText>
      </w:r>
      <w:r w:rsidR="084A1BC5" w:rsidRPr="00D07122">
        <w:rPr>
          <w:i/>
        </w:rPr>
        <w:instrText>Anal. Post</w:instrText>
      </w:r>
      <w:r w:rsidR="084A1BC5" w:rsidRPr="00D07122">
        <w:instrText>. 93a36</w:instrText>
      </w:r>
      <w:r w:rsidR="084A1BC5">
        <w:instrText xml:space="preserve">" </w:instrText>
      </w:r>
      <w:r w:rsidR="084A1BC5">
        <w:fldChar w:fldCharType="end"/>
      </w:r>
      <w:r w:rsidR="084A1BC5" w:rsidRPr="00273106">
        <w:t xml:space="preserve">). </w:t>
      </w:r>
      <w:r w:rsidR="08602EC2">
        <w:t>H</w:t>
      </w:r>
      <w:r w:rsidR="085A0DB2">
        <w:t xml:space="preserve">yparchickou </w:t>
      </w:r>
      <w:r w:rsidR="00596079">
        <w:t>existenci</w:t>
      </w:r>
      <w:r w:rsidR="00EF51B8">
        <w:t xml:space="preserve"> nahradilo </w:t>
      </w:r>
      <w:r w:rsidR="084A1BC5">
        <w:t xml:space="preserve">v deduktivním sylogismu objektivní </w:t>
      </w:r>
      <w:r w:rsidR="004B4D52" w:rsidRPr="004B4D52">
        <w:t>species</w:t>
      </w:r>
      <w:r w:rsidR="00EF51B8">
        <w:t xml:space="preserve"> jako porretánské jso</w:t>
      </w:r>
      <w:r w:rsidR="00F06DFC">
        <w:t>ucno třetího druhu. Pak už mysl</w:t>
      </w:r>
      <w:r w:rsidR="00EF51B8">
        <w:t xml:space="preserve"> vytváří </w:t>
      </w:r>
      <w:r w:rsidR="00B61EC2">
        <w:t xml:space="preserve">univerzální </w:t>
      </w:r>
      <w:r w:rsidR="00EF51B8">
        <w:t>rovnost sama se sebou</w:t>
      </w:r>
      <w:r w:rsidR="00F06DFC">
        <w:t>, což zakládá moderní pojetí pravdy</w:t>
      </w:r>
      <w:r w:rsidR="08FE5EFB">
        <w:t xml:space="preserve"> jako asimilace a univerzální sofistikované rovnosti všeho se vším</w:t>
      </w:r>
      <w:r w:rsidR="00EF51B8">
        <w:t xml:space="preserve">. </w:t>
      </w:r>
      <w:r w:rsidR="00773D6C">
        <w:t>P</w:t>
      </w:r>
      <w:r w:rsidR="00DD0D2B" w:rsidRPr="00273106">
        <w:t xml:space="preserve">ravda </w:t>
      </w:r>
      <w:r w:rsidR="00773D6C">
        <w:t xml:space="preserve">je </w:t>
      </w:r>
      <w:r w:rsidR="00980A58">
        <w:t xml:space="preserve">dána </w:t>
      </w:r>
      <w:r w:rsidR="00773D6C">
        <w:t xml:space="preserve">jak ve věcech, tak v </w:t>
      </w:r>
      <w:r w:rsidR="00DD0D2B" w:rsidRPr="00273106">
        <w:t>intelekt</w:t>
      </w:r>
      <w:r w:rsidR="00773D6C">
        <w:t>u</w:t>
      </w:r>
      <w:r w:rsidR="00D33705">
        <w:t xml:space="preserve">, protože </w:t>
      </w:r>
      <w:r w:rsidR="00773D6C">
        <w:t>rovnos</w:t>
      </w:r>
      <w:r w:rsidR="00980A58">
        <w:t>t</w:t>
      </w:r>
      <w:r w:rsidR="00773D6C">
        <w:t xml:space="preserve"> a identita </w:t>
      </w:r>
      <w:r w:rsidR="000167A4">
        <w:t xml:space="preserve">forem třetího druhu </w:t>
      </w:r>
      <w:r w:rsidR="00773D6C">
        <w:t xml:space="preserve">daná </w:t>
      </w:r>
      <w:r w:rsidR="00D33705">
        <w:t xml:space="preserve">jako </w:t>
      </w:r>
      <w:r w:rsidR="00D33705" w:rsidRPr="00273106">
        <w:rPr>
          <w:rStyle w:val="linemarker-marked-line"/>
          <w:i/>
        </w:rPr>
        <w:t>aequalita</w:t>
      </w:r>
      <w:r w:rsidR="00D33705">
        <w:rPr>
          <w:rStyle w:val="linemarker-marked-line"/>
          <w:i/>
        </w:rPr>
        <w:t>s</w:t>
      </w:r>
      <w:r w:rsidR="00D26052">
        <w:rPr>
          <w:rStyle w:val="linemarker-marked-line"/>
          <w:i/>
        </w:rPr>
        <w:fldChar w:fldCharType="begin"/>
      </w:r>
      <w:r w:rsidR="00D26052">
        <w:instrText xml:space="preserve"> XE "pravda:</w:instrText>
      </w:r>
      <w:r w:rsidR="00D26052" w:rsidRPr="0073237C">
        <w:rPr>
          <w:rStyle w:val="linemarker-marked-line"/>
          <w:i/>
        </w:rPr>
        <w:instrText>aequalitas</w:instrText>
      </w:r>
      <w:r w:rsidR="00D26052">
        <w:instrText xml:space="preserve">" </w:instrText>
      </w:r>
      <w:r w:rsidR="00D26052">
        <w:rPr>
          <w:rStyle w:val="linemarker-marked-line"/>
          <w:i/>
        </w:rPr>
        <w:fldChar w:fldCharType="end"/>
      </w:r>
      <w:r w:rsidR="00D33705">
        <w:rPr>
          <w:rStyle w:val="linemarker-marked-line"/>
          <w:i/>
        </w:rPr>
        <w:t xml:space="preserve"> </w:t>
      </w:r>
      <w:r w:rsidR="00DD0D2B" w:rsidRPr="00273106">
        <w:t xml:space="preserve">je </w:t>
      </w:r>
      <w:r w:rsidR="00D33705">
        <w:t xml:space="preserve">v </w:t>
      </w:r>
      <w:r w:rsidR="00044487">
        <w:t xml:space="preserve">mysli i ve věcech </w:t>
      </w:r>
      <w:r w:rsidR="00D33705" w:rsidRPr="00273106">
        <w:t xml:space="preserve">obsažena </w:t>
      </w:r>
      <w:r w:rsidR="002B5DAD" w:rsidRPr="00273106">
        <w:t>univočně</w:t>
      </w:r>
      <w:r w:rsidR="003250B7">
        <w:t xml:space="preserve"> (</w:t>
      </w:r>
      <w:r w:rsidR="00210E0A" w:rsidRPr="00273106">
        <w:rPr>
          <w:rStyle w:val="linemarker-marked-line"/>
          <w:i/>
        </w:rPr>
        <w:t>ver</w:t>
      </w:r>
      <w:r w:rsidR="003250B7">
        <w:rPr>
          <w:i/>
        </w:rPr>
        <w:t>itas est</w:t>
      </w:r>
      <w:r w:rsidR="00210E0A" w:rsidRPr="00273106">
        <w:rPr>
          <w:i/>
        </w:rPr>
        <w:t xml:space="preserve"> rerum et </w:t>
      </w:r>
      <w:r w:rsidR="00210E0A" w:rsidRPr="00273106">
        <w:rPr>
          <w:rStyle w:val="linemarker-marked-line"/>
          <w:i/>
        </w:rPr>
        <w:t>intellectuum</w:t>
      </w:r>
      <w:r w:rsidR="003250B7">
        <w:rPr>
          <w:rStyle w:val="linemarker-marked-line"/>
        </w:rPr>
        <w:t>)</w:t>
      </w:r>
      <w:r w:rsidR="08777936" w:rsidRPr="00273106">
        <w:rPr>
          <w:rStyle w:val="linemarker-marked-line"/>
          <w:i/>
        </w:rPr>
        <w:t>.</w:t>
      </w:r>
      <w:r w:rsidR="00210E0A" w:rsidRPr="00273106">
        <w:t xml:space="preserve"> </w:t>
      </w:r>
      <w:r w:rsidR="003250B7">
        <w:t xml:space="preserve">Kopula </w:t>
      </w:r>
      <w:r w:rsidR="00316857">
        <w:t>„</w:t>
      </w:r>
      <w:r w:rsidR="00316857" w:rsidRPr="00316857">
        <w:rPr>
          <w:i/>
        </w:rPr>
        <w:t>est</w:t>
      </w:r>
      <w:r w:rsidR="00316857">
        <w:t xml:space="preserve">“ </w:t>
      </w:r>
      <w:r w:rsidR="003250B7">
        <w:t xml:space="preserve">spojující pravdu s věcmi a s intelektem je dána v </w:t>
      </w:r>
      <w:r w:rsidR="082027BA">
        <w:t xml:space="preserve">analytickém </w:t>
      </w:r>
      <w:r w:rsidR="003250B7">
        <w:t xml:space="preserve">modu </w:t>
      </w:r>
      <w:r w:rsidR="003250B7" w:rsidRPr="003250B7">
        <w:rPr>
          <w:i/>
        </w:rPr>
        <w:t>Oxfordian Fallacy</w:t>
      </w:r>
      <w:r w:rsidR="003250B7">
        <w:t xml:space="preserve">. </w:t>
      </w:r>
      <w:r w:rsidR="00C758BD">
        <w:t xml:space="preserve">Identifikací dvojího bytí </w:t>
      </w:r>
      <w:r w:rsidR="004B4D52" w:rsidRPr="004B4D52">
        <w:t>species</w:t>
      </w:r>
      <w:r w:rsidR="00C758BD">
        <w:t xml:space="preserve"> ve věcech a v mysli </w:t>
      </w:r>
      <w:r w:rsidR="00C758BD">
        <w:rPr>
          <w:rStyle w:val="linemarker-marked-line"/>
        </w:rPr>
        <w:t>vzniklo p</w:t>
      </w:r>
      <w:r w:rsidR="00C758BD" w:rsidRPr="00273106">
        <w:rPr>
          <w:rStyle w:val="linemarker-marked-line"/>
        </w:rPr>
        <w:t xml:space="preserve">ojetí pravdy jako asimilace </w:t>
      </w:r>
      <w:r w:rsidR="00C758BD">
        <w:rPr>
          <w:rStyle w:val="linemarker-marked-line"/>
        </w:rPr>
        <w:t xml:space="preserve">vnější </w:t>
      </w:r>
      <w:r w:rsidR="00C758BD" w:rsidRPr="00273106">
        <w:rPr>
          <w:rStyle w:val="linemarker-marked-line"/>
        </w:rPr>
        <w:t xml:space="preserve">reality </w:t>
      </w:r>
      <w:r w:rsidR="00C758BD">
        <w:rPr>
          <w:rStyle w:val="linemarker-marked-line"/>
        </w:rPr>
        <w:t xml:space="preserve">v modu </w:t>
      </w:r>
      <w:r w:rsidR="00151378">
        <w:rPr>
          <w:rStyle w:val="linemarker-marked-line"/>
        </w:rPr>
        <w:t xml:space="preserve">logické identity </w:t>
      </w:r>
      <w:r w:rsidR="00C758BD">
        <w:rPr>
          <w:rStyle w:val="linemarker-marked-line"/>
        </w:rPr>
        <w:t>intelekt</w:t>
      </w:r>
      <w:r w:rsidR="082F4ECF">
        <w:rPr>
          <w:rStyle w:val="linemarker-marked-line"/>
        </w:rPr>
        <w:t xml:space="preserve">u s vlastními </w:t>
      </w:r>
      <w:r w:rsidR="082F4ECF" w:rsidRPr="082F4ECF">
        <w:rPr>
          <w:rStyle w:val="linemarker-marked-line"/>
          <w:i/>
        </w:rPr>
        <w:t>scibil</w:t>
      </w:r>
      <w:r w:rsidR="000859BA">
        <w:rPr>
          <w:rStyle w:val="linemarker-marked-line"/>
          <w:i/>
        </w:rPr>
        <w:t>ia</w:t>
      </w:r>
      <w:r w:rsidR="00C758BD">
        <w:rPr>
          <w:rStyle w:val="linemarker-marked-line"/>
        </w:rPr>
        <w:t xml:space="preserve">. </w:t>
      </w:r>
      <w:r w:rsidR="088035EF">
        <w:t xml:space="preserve">Tuto dvojnásobnou devaluaci pravdy z metafyzické abstrakce na logickou a z druhé substance na individuum považoval Bacon za šílenost. </w:t>
      </w:r>
      <w:r w:rsidR="00C758BD">
        <w:t xml:space="preserve">Po zatmění první substance může jít moderna v rámci epochálního </w:t>
      </w:r>
      <w:r w:rsidR="00C758BD" w:rsidRPr="005F779D">
        <w:rPr>
          <w:i/>
        </w:rPr>
        <w:t>Irrtum</w:t>
      </w:r>
      <w:r w:rsidR="08D27FC0">
        <w:t xml:space="preserve"> přímo k </w:t>
      </w:r>
      <w:r w:rsidR="00C758BD">
        <w:t>věcem sam</w:t>
      </w:r>
      <w:r w:rsidR="00D26052">
        <w:t>ým</w:t>
      </w:r>
      <w:r w:rsidR="08D27FC0">
        <w:t xml:space="preserve"> nebo k protokolárním větám </w:t>
      </w:r>
      <w:r w:rsidR="00C35DB4">
        <w:t>Vídeňského kruhu</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0C35DB4">
        <w:t xml:space="preserve"> </w:t>
      </w:r>
      <w:r w:rsidR="08D27FC0">
        <w:t>o objektivní realitě</w:t>
      </w:r>
      <w:r w:rsidR="005675E3">
        <w:t xml:space="preserve">. Obě cesty nikam </w:t>
      </w:r>
      <w:r w:rsidR="00A66041">
        <w:t>završila</w:t>
      </w:r>
      <w:r w:rsidR="005675E3">
        <w:t xml:space="preserve"> </w:t>
      </w:r>
      <w:r w:rsidR="08222403">
        <w:t xml:space="preserve">v epoše metafyzického nihilismu </w:t>
      </w:r>
      <w:r w:rsidR="00D26052">
        <w:t>Husserlova fenomen</w:t>
      </w:r>
      <w:r w:rsidR="00C758BD">
        <w:t>ologie</w:t>
      </w:r>
      <w:r w:rsidR="0821429C">
        <w:t xml:space="preserve">, </w:t>
      </w:r>
      <w:r w:rsidR="08D27FC0">
        <w:t>neopozitivismus</w:t>
      </w:r>
      <w:r w:rsidR="0821429C">
        <w:t xml:space="preserve"> a analytická filosofie</w:t>
      </w:r>
      <w:r w:rsidR="00D26052">
        <w:fldChar w:fldCharType="begin"/>
      </w:r>
      <w:r w:rsidR="00D26052">
        <w:instrText xml:space="preserve"> XE "fenomen</w:instrText>
      </w:r>
      <w:r w:rsidR="00D26052" w:rsidRPr="00C60875">
        <w:instrText>ologie</w:instrText>
      </w:r>
      <w:r w:rsidR="00D26052">
        <w:instrText xml:space="preserve">" </w:instrText>
      </w:r>
      <w:r w:rsidR="00D26052">
        <w:fldChar w:fldCharType="end"/>
      </w:r>
      <w:r w:rsidR="00C758BD">
        <w:t xml:space="preserve">. </w:t>
      </w:r>
      <w:r w:rsidR="00D94576">
        <w:rPr>
          <w:rStyle w:val="linemarker-marked-line"/>
        </w:rPr>
        <w:t xml:space="preserve">Základem absolutizované supozice významu není impozice z reality skrze smyslové a inteligibilní </w:t>
      </w:r>
      <w:r w:rsidR="00D94576" w:rsidRPr="00D94576">
        <w:rPr>
          <w:rStyle w:val="linemarker-marked-line"/>
          <w:i/>
        </w:rPr>
        <w:t>intentio</w:t>
      </w:r>
      <w:r w:rsidR="00B1374E">
        <w:rPr>
          <w:rStyle w:val="linemarker-marked-line"/>
        </w:rPr>
        <w:t>, po němž v prvním averroi</w:t>
      </w:r>
      <w:r w:rsidR="00D94576">
        <w:rPr>
          <w:rStyle w:val="linemarker-marked-line"/>
        </w:rPr>
        <w:t>s</w:t>
      </w:r>
      <w:r w:rsidR="00B1374E">
        <w:rPr>
          <w:rStyle w:val="linemarker-marked-line"/>
        </w:rPr>
        <w:t>m</w:t>
      </w:r>
      <w:r w:rsidR="00D94576">
        <w:rPr>
          <w:rStyle w:val="linemarker-marked-line"/>
        </w:rPr>
        <w:t>u následovala syntéza smy</w:t>
      </w:r>
      <w:r w:rsidR="006D5384">
        <w:rPr>
          <w:rStyle w:val="linemarker-marked-line"/>
        </w:rPr>
        <w:t>s</w:t>
      </w:r>
      <w:r w:rsidR="00D94576">
        <w:rPr>
          <w:rStyle w:val="linemarker-marked-line"/>
        </w:rPr>
        <w:t xml:space="preserve">lového a </w:t>
      </w:r>
      <w:r w:rsidR="00A865DC" w:rsidRPr="00273106">
        <w:rPr>
          <w:rStyle w:val="linemarker-marked-line"/>
        </w:rPr>
        <w:t>inteligibilní</w:t>
      </w:r>
      <w:r w:rsidR="00D94576">
        <w:rPr>
          <w:rStyle w:val="linemarker-marked-line"/>
        </w:rPr>
        <w:t>ho</w:t>
      </w:r>
      <w:r w:rsidR="00A865DC" w:rsidRPr="00273106">
        <w:rPr>
          <w:rStyle w:val="linemarker-marked-line"/>
        </w:rPr>
        <w:t xml:space="preserve"> </w:t>
      </w:r>
      <w:r w:rsidR="004B4D52" w:rsidRPr="004B4D52">
        <w:rPr>
          <w:rStyle w:val="linemarker-marked-line"/>
        </w:rPr>
        <w:t>species</w:t>
      </w:r>
      <w:r w:rsidR="00D94576">
        <w:rPr>
          <w:rStyle w:val="linemarker-marked-line"/>
        </w:rPr>
        <w:t xml:space="preserve">. </w:t>
      </w:r>
      <w:r w:rsidR="00F03DC0" w:rsidRPr="00273106">
        <w:rPr>
          <w:rStyle w:val="linemarker-marked-line"/>
        </w:rPr>
        <w:t xml:space="preserve">Podle Aristotela a </w:t>
      </w:r>
      <w:r w:rsidR="002E3B62">
        <w:rPr>
          <w:rStyle w:val="linemarker-marked-line"/>
        </w:rPr>
        <w:t>Averroes</w:t>
      </w:r>
      <w:r w:rsidR="00B93734">
        <w:rPr>
          <w:rStyle w:val="linemarker-marked-line"/>
        </w:rPr>
        <w:t xml:space="preserve">e je </w:t>
      </w:r>
      <w:r w:rsidR="004B4D52" w:rsidRPr="004B4D52">
        <w:rPr>
          <w:rStyle w:val="linemarker-marked-line"/>
        </w:rPr>
        <w:t>species</w:t>
      </w:r>
      <w:r w:rsidR="00B93734">
        <w:rPr>
          <w:rStyle w:val="linemarker-marked-line"/>
        </w:rPr>
        <w:t xml:space="preserve"> dána</w:t>
      </w:r>
      <w:r w:rsidR="00F03DC0" w:rsidRPr="00273106">
        <w:rPr>
          <w:rStyle w:val="linemarker-marked-line"/>
        </w:rPr>
        <w:t xml:space="preserve"> abstrakcí a </w:t>
      </w:r>
      <w:r w:rsidR="00F03DC0">
        <w:rPr>
          <w:rStyle w:val="linemarker-marked-line"/>
        </w:rPr>
        <w:t xml:space="preserve">díky </w:t>
      </w:r>
      <w:r w:rsidR="00F03DC0" w:rsidRPr="00273106">
        <w:rPr>
          <w:rStyle w:val="linemarker-marked-line"/>
        </w:rPr>
        <w:t>univerzálním</w:t>
      </w:r>
      <w:r w:rsidR="00F03DC0">
        <w:rPr>
          <w:rStyle w:val="linemarker-marked-line"/>
        </w:rPr>
        <w:t>u bytí</w:t>
      </w:r>
      <w:r w:rsidR="00F03DC0" w:rsidRPr="00273106">
        <w:rPr>
          <w:rStyle w:val="linemarker-marked-line"/>
        </w:rPr>
        <w:t xml:space="preserve"> </w:t>
      </w:r>
      <w:r w:rsidR="00F03DC0">
        <w:rPr>
          <w:rStyle w:val="linemarker-marked-line"/>
        </w:rPr>
        <w:t xml:space="preserve">významu </w:t>
      </w:r>
      <w:r w:rsidR="00F03DC0" w:rsidRPr="00273106">
        <w:rPr>
          <w:rStyle w:val="linemarker-marked-line"/>
        </w:rPr>
        <w:t xml:space="preserve">v mysli je </w:t>
      </w:r>
      <w:r w:rsidR="00F03DC0">
        <w:rPr>
          <w:rStyle w:val="linemarker-marked-line"/>
        </w:rPr>
        <w:t xml:space="preserve">poznání </w:t>
      </w:r>
      <w:r w:rsidR="00F03DC0" w:rsidRPr="00273106">
        <w:rPr>
          <w:rStyle w:val="linemarker-marked-line"/>
        </w:rPr>
        <w:t xml:space="preserve">odděleno od </w:t>
      </w:r>
      <w:r w:rsidR="00F03DC0">
        <w:rPr>
          <w:rStyle w:val="linemarker-marked-line"/>
        </w:rPr>
        <w:t xml:space="preserve">singulární </w:t>
      </w:r>
      <w:r w:rsidR="00F03DC0" w:rsidRPr="00273106">
        <w:rPr>
          <w:rStyle w:val="linemarker-marked-line"/>
        </w:rPr>
        <w:t xml:space="preserve">věci dané v realitě. </w:t>
      </w:r>
      <w:r w:rsidR="00D96E7E">
        <w:rPr>
          <w:rStyle w:val="linemarker-marked-line"/>
        </w:rPr>
        <w:t>I</w:t>
      </w:r>
      <w:r w:rsidR="00B1374E">
        <w:rPr>
          <w:rStyle w:val="linemarker-marked-line"/>
        </w:rPr>
        <w:t xml:space="preserve">mpozice významu </w:t>
      </w:r>
      <w:r w:rsidR="00D96E7E">
        <w:rPr>
          <w:rStyle w:val="linemarker-marked-line"/>
        </w:rPr>
        <w:t xml:space="preserve">je dána </w:t>
      </w:r>
      <w:r w:rsidR="08F83AB4">
        <w:rPr>
          <w:rStyle w:val="linemarker-marked-line"/>
        </w:rPr>
        <w:t>hyparchicky-</w:t>
      </w:r>
      <w:r w:rsidR="00B1374E">
        <w:rPr>
          <w:rStyle w:val="linemarker-marked-line"/>
        </w:rPr>
        <w:t>intencionálně</w:t>
      </w:r>
      <w:r w:rsidR="08F83AB4">
        <w:rPr>
          <w:rStyle w:val="linemarker-marked-line"/>
        </w:rPr>
        <w:t xml:space="preserve"> a tím zakládá pravdu jako adekvaci. Externí </w:t>
      </w:r>
      <w:r w:rsidR="08F83AB4" w:rsidRPr="00273106">
        <w:rPr>
          <w:rStyle w:val="linemarker-marked-line"/>
        </w:rPr>
        <w:t>první substance</w:t>
      </w:r>
      <w:r w:rsidR="08F83AB4">
        <w:rPr>
          <w:rStyle w:val="linemarker-marked-line"/>
        </w:rPr>
        <w:t xml:space="preserve"> působí na představivost skrze účinnou kauzalitu a pak </w:t>
      </w:r>
      <w:r w:rsidR="00A30067">
        <w:rPr>
          <w:rStyle w:val="linemarker-marked-line"/>
        </w:rPr>
        <w:t>na intelekt</w:t>
      </w:r>
      <w:r w:rsidR="08F83AB4">
        <w:rPr>
          <w:rStyle w:val="linemarker-marked-line"/>
        </w:rPr>
        <w:t xml:space="preserve"> skrze formální kauzalitu</w:t>
      </w:r>
      <w:r w:rsidR="00B23F2D">
        <w:rPr>
          <w:rStyle w:val="linemarker-marked-line"/>
        </w:rPr>
        <w:fldChar w:fldCharType="begin"/>
      </w:r>
      <w:r w:rsidR="00B23F2D">
        <w:instrText xml:space="preserve"> XE "</w:instrText>
      </w:r>
      <w:r w:rsidR="00B23F2D" w:rsidRPr="00027B5F">
        <w:instrText>intencionalita:první averroismus</w:instrText>
      </w:r>
      <w:r w:rsidR="00B23F2D">
        <w:instrText xml:space="preserve">" </w:instrText>
      </w:r>
      <w:r w:rsidR="00B23F2D">
        <w:rPr>
          <w:rStyle w:val="linemarker-marked-line"/>
        </w:rPr>
        <w:fldChar w:fldCharType="end"/>
      </w:r>
      <w:r w:rsidR="088F3668" w:rsidRPr="00273106">
        <w:rPr>
          <w:rStyle w:val="linemarker-marked-line"/>
        </w:rPr>
        <w:t xml:space="preserve">. </w:t>
      </w:r>
      <w:r w:rsidR="084C4455">
        <w:rPr>
          <w:rStyle w:val="linemarker-marked-line"/>
        </w:rPr>
        <w:t xml:space="preserve">Averroesův </w:t>
      </w:r>
      <w:r w:rsidR="00D96E7E">
        <w:rPr>
          <w:rStyle w:val="linemarker-marked-line"/>
        </w:rPr>
        <w:t>scénář nasvícení smyslu jso</w:t>
      </w:r>
      <w:r w:rsidR="006D5384">
        <w:rPr>
          <w:rStyle w:val="linemarker-marked-line"/>
        </w:rPr>
        <w:t>u</w:t>
      </w:r>
      <w:r w:rsidR="00D96E7E">
        <w:rPr>
          <w:rStyle w:val="linemarker-marked-line"/>
        </w:rPr>
        <w:t>c</w:t>
      </w:r>
      <w:r w:rsidR="006D5384">
        <w:rPr>
          <w:rStyle w:val="linemarker-marked-line"/>
        </w:rPr>
        <w:t xml:space="preserve">na </w:t>
      </w:r>
      <w:r w:rsidR="00526A6F">
        <w:rPr>
          <w:rStyle w:val="linemarker-marked-line"/>
        </w:rPr>
        <w:t xml:space="preserve">zepředu </w:t>
      </w:r>
      <w:r w:rsidR="00097269">
        <w:rPr>
          <w:rStyle w:val="linemarker-marked-line"/>
        </w:rPr>
        <w:t xml:space="preserve">skrze diafanum </w:t>
      </w:r>
      <w:r w:rsidR="006D5384">
        <w:rPr>
          <w:rStyle w:val="linemarker-marked-line"/>
        </w:rPr>
        <w:t>kategoricky vylučoval jakoukoli</w:t>
      </w:r>
      <w:r w:rsidR="00526A6F">
        <w:rPr>
          <w:rStyle w:val="linemarker-marked-line"/>
        </w:rPr>
        <w:t>v</w:t>
      </w:r>
      <w:r w:rsidR="00BC08AF">
        <w:rPr>
          <w:rStyle w:val="linemarker-marked-line"/>
        </w:rPr>
        <w:t xml:space="preserve"> formu rovnosti</w:t>
      </w:r>
      <w:r w:rsidR="006D5384">
        <w:rPr>
          <w:rStyle w:val="linemarker-marked-line"/>
        </w:rPr>
        <w:t xml:space="preserve"> </w:t>
      </w:r>
      <w:r w:rsidR="00160C49">
        <w:rPr>
          <w:rStyle w:val="linemarker-marked-line"/>
        </w:rPr>
        <w:t>poznávané věci a intelektu</w:t>
      </w:r>
      <w:r w:rsidR="0065179C">
        <w:rPr>
          <w:rStyle w:val="linemarker-marked-line"/>
        </w:rPr>
        <w:t xml:space="preserve"> a pr</w:t>
      </w:r>
      <w:r w:rsidR="00FC450B">
        <w:rPr>
          <w:rStyle w:val="linemarker-marked-line"/>
        </w:rPr>
        <w:t>a</w:t>
      </w:r>
      <w:r w:rsidR="0065179C">
        <w:rPr>
          <w:rStyle w:val="linemarker-marked-line"/>
        </w:rPr>
        <w:t>cov</w:t>
      </w:r>
      <w:r w:rsidR="00FC450B">
        <w:rPr>
          <w:rStyle w:val="linemarker-marked-line"/>
        </w:rPr>
        <w:t>al pouze s modelem adekvace</w:t>
      </w:r>
      <w:r w:rsidR="08102E07">
        <w:rPr>
          <w:rStyle w:val="linemarker-marked-line"/>
        </w:rPr>
        <w:t xml:space="preserve"> </w:t>
      </w:r>
      <w:r w:rsidR="08102E07" w:rsidRPr="08102E07">
        <w:rPr>
          <w:szCs w:val="24"/>
        </w:rPr>
        <w:t>(</w:t>
      </w:r>
      <w:r w:rsidR="08102E07">
        <w:rPr>
          <w:szCs w:val="24"/>
        </w:rPr>
        <w:t>OBJ I, k</w:t>
      </w:r>
      <w:r w:rsidR="08102E07" w:rsidRPr="08102E07">
        <w:rPr>
          <w:szCs w:val="24"/>
        </w:rPr>
        <w:t>ap. 2.4.4)</w:t>
      </w:r>
      <w:r w:rsidR="00160C49">
        <w:rPr>
          <w:rStyle w:val="linemarker-marked-line"/>
        </w:rPr>
        <w:t xml:space="preserve">. </w:t>
      </w:r>
      <w:r w:rsidR="08CC16DC">
        <w:rPr>
          <w:rStyle w:val="linemarker-marked-line"/>
        </w:rPr>
        <w:t xml:space="preserve">Spis </w:t>
      </w:r>
      <w:r w:rsidR="08CC16DC" w:rsidRPr="00901782">
        <w:rPr>
          <w:rStyle w:val="linemarker-marked-line"/>
          <w:i/>
        </w:rPr>
        <w:t>De anima</w:t>
      </w:r>
      <w:r w:rsidR="08CC16DC">
        <w:rPr>
          <w:rStyle w:val="linemarker-marked-line"/>
        </w:rPr>
        <w:t xml:space="preserve"> ukázal adekvaci směrem od věci na základě kauzální impozice dané skrze specifický způsob recepce podle modu šíření světla v rámci diafanum </w:t>
      </w:r>
      <w:r w:rsidR="003F4713">
        <w:rPr>
          <w:rStyle w:val="linemarker-marked-line"/>
        </w:rPr>
        <w:t xml:space="preserve">v duši </w:t>
      </w:r>
      <w:r w:rsidR="08CC16DC">
        <w:rPr>
          <w:rStyle w:val="linemarker-marked-line"/>
        </w:rPr>
        <w:t>(</w:t>
      </w:r>
      <w:r w:rsidR="08CC16DC" w:rsidRPr="00591DCF">
        <w:rPr>
          <w:rStyle w:val="linemarker-marked-line"/>
          <w:i/>
        </w:rPr>
        <w:t>intellectus possibilis</w:t>
      </w:r>
      <w:r w:rsidR="08CC16DC">
        <w:rPr>
          <w:rStyle w:val="linemarker-marked-line"/>
          <w:i/>
        </w:rPr>
        <w:fldChar w:fldCharType="begin"/>
      </w:r>
      <w:r w:rsidR="08CC16DC">
        <w:instrText xml:space="preserve"> XE "</w:instrText>
      </w:r>
      <w:r w:rsidR="08CC16DC" w:rsidRPr="00770D02">
        <w:rPr>
          <w:i/>
        </w:rPr>
        <w:instrText>intellectus possibilis</w:instrText>
      </w:r>
      <w:r w:rsidR="08CC16DC" w:rsidRPr="006458AB">
        <w:instrText>:první averroismus</w:instrText>
      </w:r>
      <w:r w:rsidR="08CC16DC">
        <w:instrText xml:space="preserve">" </w:instrText>
      </w:r>
      <w:r w:rsidR="08CC16DC">
        <w:rPr>
          <w:rStyle w:val="linemarker-marked-line"/>
          <w:i/>
        </w:rPr>
        <w:fldChar w:fldCharType="end"/>
      </w:r>
      <w:r w:rsidR="08CC16DC">
        <w:rPr>
          <w:rStyle w:val="linemarker-marked-line"/>
        </w:rPr>
        <w:t xml:space="preserve">). Spis </w:t>
      </w:r>
      <w:r w:rsidR="08CC16DC" w:rsidRPr="000167A4">
        <w:rPr>
          <w:rStyle w:val="linemarker-marked-line"/>
          <w:i/>
        </w:rPr>
        <w:t>Kategorie</w:t>
      </w:r>
      <w:r w:rsidR="08CC16DC">
        <w:rPr>
          <w:rStyle w:val="linemarker-marked-line"/>
        </w:rPr>
        <w:t xml:space="preserve"> a </w:t>
      </w:r>
      <w:r w:rsidR="08CC16DC" w:rsidRPr="000167A4">
        <w:rPr>
          <w:rStyle w:val="linemarker-marked-line"/>
          <w:i/>
        </w:rPr>
        <w:t>Druhé analytiky</w:t>
      </w:r>
      <w:r w:rsidR="08CC16DC">
        <w:rPr>
          <w:rStyle w:val="linemarker-marked-line"/>
        </w:rPr>
        <w:t xml:space="preserve"> ukázaly stejnou adekvaci výkladem univerzální supozice kategoriálně predikované ve vědeckém deduktivním soudu (</w:t>
      </w:r>
      <w:r w:rsidR="08CC16DC" w:rsidRPr="00BC08AF">
        <w:rPr>
          <w:rStyle w:val="linemarker-marked-line"/>
          <w:i/>
        </w:rPr>
        <w:t>demonstratio</w:t>
      </w:r>
      <w:r w:rsidR="08CC16DC">
        <w:rPr>
          <w:rStyle w:val="linemarker-marked-line"/>
          <w:i/>
        </w:rPr>
        <w:fldChar w:fldCharType="begin"/>
      </w:r>
      <w:r w:rsidR="08CC16DC">
        <w:instrText xml:space="preserve"> XE "</w:instrText>
      </w:r>
      <w:r w:rsidR="08CC16DC" w:rsidRPr="004E6075">
        <w:rPr>
          <w:i/>
        </w:rPr>
        <w:instrText>demonstratio:</w:instrText>
      </w:r>
      <w:r w:rsidR="08CC16DC">
        <w:instrText xml:space="preserve">Averroes" </w:instrText>
      </w:r>
      <w:r w:rsidR="08CC16DC">
        <w:rPr>
          <w:rStyle w:val="linemarker-marked-line"/>
          <w:i/>
        </w:rPr>
        <w:fldChar w:fldCharType="end"/>
      </w:r>
      <w:r w:rsidR="08CC16DC">
        <w:rPr>
          <w:rStyle w:val="linemarker-marked-line"/>
        </w:rPr>
        <w:t xml:space="preserve">). </w:t>
      </w:r>
      <w:r w:rsidR="08085DEC" w:rsidRPr="00273106">
        <w:rPr>
          <w:rStyle w:val="linemarker-marked-line"/>
        </w:rPr>
        <w:t>Kvůli základní nesouměřitelnosti intelektu a vnější reality postuluje aristotelismus vztah kategoriální a demonst</w:t>
      </w:r>
      <w:r w:rsidR="08085DEC">
        <w:rPr>
          <w:rStyle w:val="linemarker-marked-line"/>
        </w:rPr>
        <w:t>r</w:t>
      </w:r>
      <w:r w:rsidR="08085DEC" w:rsidRPr="00273106">
        <w:rPr>
          <w:rStyle w:val="linemarker-marked-line"/>
        </w:rPr>
        <w:t>ativní adekvace</w:t>
      </w:r>
      <w:r w:rsidR="08085DEC">
        <w:rPr>
          <w:rStyle w:val="linemarker-marked-line"/>
        </w:rPr>
        <w:t xml:space="preserve">. Aristotelské pojetí adekvace vylučuje neoplatonské pojetí </w:t>
      </w:r>
      <w:r w:rsidR="08085DEC" w:rsidRPr="00273106">
        <w:rPr>
          <w:rStyle w:val="linemarker-marked-line"/>
        </w:rPr>
        <w:t>rovnosti nebo analogie</w:t>
      </w:r>
      <w:r w:rsidR="08085DEC">
        <w:rPr>
          <w:rStyle w:val="linemarker-marked-line"/>
        </w:rPr>
        <w:t xml:space="preserve"> na úrovni Simplikiových atomárních substancí a </w:t>
      </w:r>
      <w:r w:rsidR="004B4D52" w:rsidRPr="004B4D52">
        <w:rPr>
          <w:rStyle w:val="linemarker-marked-line"/>
        </w:rPr>
        <w:t>species</w:t>
      </w:r>
      <w:r w:rsidR="08085DEC">
        <w:rPr>
          <w:rStyle w:val="linemarker-marked-line"/>
        </w:rPr>
        <w:t xml:space="preserve"> třetího druhu</w:t>
      </w:r>
      <w:r w:rsidR="08085DEC" w:rsidRPr="00273106">
        <w:rPr>
          <w:rStyle w:val="linemarker-marked-line"/>
        </w:rPr>
        <w:t xml:space="preserve">. </w:t>
      </w:r>
      <w:r w:rsidR="00160C49">
        <w:rPr>
          <w:rStyle w:val="linemarker-marked-line"/>
        </w:rPr>
        <w:t xml:space="preserve">Blundova škola zakládající první averroismus </w:t>
      </w:r>
      <w:r w:rsidR="00BC08AF">
        <w:rPr>
          <w:rStyle w:val="linemarker-marked-line"/>
        </w:rPr>
        <w:t>držel</w:t>
      </w:r>
      <w:r w:rsidR="00160C49">
        <w:rPr>
          <w:rStyle w:val="linemarker-marked-line"/>
        </w:rPr>
        <w:t>a</w:t>
      </w:r>
      <w:r w:rsidR="00BC08AF">
        <w:rPr>
          <w:rStyle w:val="linemarker-marked-line"/>
        </w:rPr>
        <w:t xml:space="preserve"> </w:t>
      </w:r>
      <w:r w:rsidR="00160C49">
        <w:rPr>
          <w:rStyle w:val="linemarker-marked-line"/>
        </w:rPr>
        <w:t xml:space="preserve">již před recepcí CMDA na latinském Západě </w:t>
      </w:r>
      <w:r w:rsidR="00B67CBC">
        <w:rPr>
          <w:rStyle w:val="linemarker-marked-line"/>
        </w:rPr>
        <w:t xml:space="preserve">pravdu jako </w:t>
      </w:r>
      <w:r w:rsidR="006D5384">
        <w:rPr>
          <w:rStyle w:val="linemarker-marked-line"/>
        </w:rPr>
        <w:t>adekvaci</w:t>
      </w:r>
      <w:r w:rsidR="00FD1750">
        <w:rPr>
          <w:rStyle w:val="linemarker-marked-line"/>
        </w:rPr>
        <w:t xml:space="preserve"> danou dvo</w:t>
      </w:r>
      <w:r w:rsidR="00901782">
        <w:rPr>
          <w:rStyle w:val="linemarker-marked-line"/>
        </w:rPr>
        <w:t>jím způsobem</w:t>
      </w:r>
      <w:r w:rsidR="00FD1750">
        <w:rPr>
          <w:rStyle w:val="linemarker-marked-line"/>
        </w:rPr>
        <w:t xml:space="preserve"> </w:t>
      </w:r>
      <w:r w:rsidR="00160C49">
        <w:rPr>
          <w:rStyle w:val="linemarker-marked-line"/>
        </w:rPr>
        <w:t xml:space="preserve">podobnosti </w:t>
      </w:r>
      <w:r w:rsidR="00FD1750">
        <w:rPr>
          <w:rStyle w:val="linemarker-marked-line"/>
        </w:rPr>
        <w:t xml:space="preserve">skrze </w:t>
      </w:r>
      <w:r w:rsidR="004B4D52" w:rsidRPr="004B4D52">
        <w:rPr>
          <w:rStyle w:val="linemarker-marked-line"/>
        </w:rPr>
        <w:t>species</w:t>
      </w:r>
      <w:r w:rsidR="00FD1750">
        <w:rPr>
          <w:rStyle w:val="linemarker-marked-line"/>
        </w:rPr>
        <w:t xml:space="preserve"> </w:t>
      </w:r>
      <w:r w:rsidR="00FD1750" w:rsidRPr="00FD1750">
        <w:rPr>
          <w:rStyle w:val="linemarker-marked-line"/>
          <w:i/>
        </w:rPr>
        <w:t>sensibilis</w:t>
      </w:r>
      <w:r w:rsidR="008061D5">
        <w:rPr>
          <w:rStyle w:val="linemarker-marked-line"/>
          <w:i/>
        </w:rPr>
        <w:fldChar w:fldCharType="begin"/>
      </w:r>
      <w:r w:rsidR="008061D5">
        <w:instrText xml:space="preserve"> XE "</w:instrText>
      </w:r>
      <w:r w:rsidR="008061D5" w:rsidRPr="00374FA1">
        <w:rPr>
          <w:i/>
        </w:rPr>
        <w:instrText>species sensibilis</w:instrText>
      </w:r>
      <w:r w:rsidR="008061D5">
        <w:instrText xml:space="preserve">" </w:instrText>
      </w:r>
      <w:r w:rsidR="008061D5">
        <w:rPr>
          <w:rStyle w:val="linemarker-marked-line"/>
          <w:i/>
        </w:rPr>
        <w:fldChar w:fldCharType="end"/>
      </w:r>
      <w:r w:rsidR="00FD1750">
        <w:rPr>
          <w:rStyle w:val="linemarker-marked-line"/>
        </w:rPr>
        <w:t xml:space="preserve"> a </w:t>
      </w:r>
      <w:r w:rsidR="00FD1750" w:rsidRPr="00FD1750">
        <w:rPr>
          <w:rStyle w:val="linemarker-marked-line"/>
          <w:i/>
        </w:rPr>
        <w:t>intelligibilis</w:t>
      </w:r>
      <w:r w:rsidR="00901782">
        <w:rPr>
          <w:rStyle w:val="linemarker-marked-line"/>
        </w:rPr>
        <w:t xml:space="preserve">. </w:t>
      </w:r>
      <w:r w:rsidR="084B256F" w:rsidRPr="00273106">
        <w:rPr>
          <w:rStyle w:val="linemarker-marked-line"/>
        </w:rPr>
        <w:t xml:space="preserve">Rufus </w:t>
      </w:r>
      <w:r w:rsidR="00A67414">
        <w:rPr>
          <w:rStyle w:val="linemarker-marked-line"/>
        </w:rPr>
        <w:t xml:space="preserve">zrušil </w:t>
      </w:r>
      <w:r w:rsidR="084B256F" w:rsidRPr="00273106">
        <w:rPr>
          <w:rStyle w:val="linemarker-marked-line"/>
        </w:rPr>
        <w:t>aristotelskou</w:t>
      </w:r>
      <w:r w:rsidR="08B533BA" w:rsidRPr="00273106">
        <w:rPr>
          <w:rStyle w:val="linemarker-marked-line"/>
        </w:rPr>
        <w:t xml:space="preserve"> </w:t>
      </w:r>
      <w:r w:rsidR="084B256F" w:rsidRPr="00273106">
        <w:rPr>
          <w:rStyle w:val="linemarker-marked-line"/>
        </w:rPr>
        <w:t>adekvaci</w:t>
      </w:r>
      <w:r w:rsidR="00AB46B5" w:rsidRPr="00273106">
        <w:rPr>
          <w:rStyle w:val="linemarker-marked-line"/>
        </w:rPr>
        <w:t xml:space="preserve"> </w:t>
      </w:r>
      <w:r w:rsidR="00A67414">
        <w:rPr>
          <w:rStyle w:val="linemarker-marked-line"/>
        </w:rPr>
        <w:t xml:space="preserve">a nahradil ji </w:t>
      </w:r>
      <w:r w:rsidR="08606DBE" w:rsidRPr="00273106">
        <w:rPr>
          <w:rStyle w:val="linemarker-marked-line"/>
        </w:rPr>
        <w:t xml:space="preserve">univoční </w:t>
      </w:r>
      <w:r w:rsidR="084B256F" w:rsidRPr="00273106">
        <w:rPr>
          <w:rStyle w:val="linemarker-marked-line"/>
        </w:rPr>
        <w:t xml:space="preserve">formou </w:t>
      </w:r>
      <w:r w:rsidR="00A67414">
        <w:rPr>
          <w:rStyle w:val="linemarker-marked-line"/>
        </w:rPr>
        <w:t xml:space="preserve">pravdy jako </w:t>
      </w:r>
      <w:r w:rsidR="081C4553">
        <w:rPr>
          <w:rStyle w:val="linemarker-marked-line"/>
        </w:rPr>
        <w:t xml:space="preserve">univerzálně dané </w:t>
      </w:r>
      <w:r w:rsidR="00A67414">
        <w:rPr>
          <w:rStyle w:val="linemarker-marked-line"/>
        </w:rPr>
        <w:t>rovnosti</w:t>
      </w:r>
      <w:r w:rsidR="087D7577">
        <w:rPr>
          <w:rStyle w:val="linemarker-marked-line"/>
        </w:rPr>
        <w:t xml:space="preserve">. </w:t>
      </w:r>
      <w:r w:rsidR="084A514D">
        <w:rPr>
          <w:rStyle w:val="linemarker-marked-line"/>
        </w:rPr>
        <w:t xml:space="preserve">Nová forma </w:t>
      </w:r>
      <w:r w:rsidR="087D7577">
        <w:rPr>
          <w:rStyle w:val="linemarker-marked-line"/>
        </w:rPr>
        <w:t xml:space="preserve">rovnosti je dána v matematické </w:t>
      </w:r>
      <w:r w:rsidR="084A514D">
        <w:rPr>
          <w:rStyle w:val="linemarker-marked-line"/>
        </w:rPr>
        <w:t xml:space="preserve">analogii, jejímž základem je aritmetický počet jako primární forma </w:t>
      </w:r>
      <w:r w:rsidR="004B4D52" w:rsidRPr="004B4D52">
        <w:rPr>
          <w:rStyle w:val="linemarker-marked-line"/>
        </w:rPr>
        <w:t>species</w:t>
      </w:r>
      <w:r w:rsidR="087D7577" w:rsidRPr="087D7577">
        <w:rPr>
          <w:rStyle w:val="linemarker-marked-line"/>
          <w:i/>
        </w:rPr>
        <w:t xml:space="preserve"> scibilis</w:t>
      </w:r>
      <w:r w:rsidR="087D7577">
        <w:rPr>
          <w:rStyle w:val="linemarker-marked-line"/>
        </w:rPr>
        <w:t xml:space="preserve">. Iluminát </w:t>
      </w:r>
      <w:r w:rsidR="08C36E7B">
        <w:rPr>
          <w:rStyle w:val="linemarker-marked-line"/>
        </w:rPr>
        <w:t xml:space="preserve">asimiluje </w:t>
      </w:r>
      <w:r w:rsidR="087D7577">
        <w:rPr>
          <w:rStyle w:val="linemarker-marked-line"/>
        </w:rPr>
        <w:t xml:space="preserve">tato </w:t>
      </w:r>
      <w:r w:rsidR="004B4D52" w:rsidRPr="004B4D52">
        <w:rPr>
          <w:rStyle w:val="linemarker-marked-line"/>
        </w:rPr>
        <w:t>species</w:t>
      </w:r>
      <w:r w:rsidR="08B86C97">
        <w:rPr>
          <w:rStyle w:val="linemarker-marked-line"/>
        </w:rPr>
        <w:t xml:space="preserve"> třetího druhu </w:t>
      </w:r>
      <w:r w:rsidR="08C36E7B">
        <w:rPr>
          <w:rStyle w:val="linemarker-marked-line"/>
        </w:rPr>
        <w:t>ve svém osvíceném intelektu</w:t>
      </w:r>
      <w:r w:rsidR="08B86C97">
        <w:rPr>
          <w:rStyle w:val="linemarker-marked-line"/>
        </w:rPr>
        <w:t xml:space="preserve">. </w:t>
      </w:r>
      <w:r w:rsidR="007F0E0C" w:rsidRPr="007F0E0C">
        <w:rPr>
          <w:rStyle w:val="linemarker-marked-line"/>
        </w:rPr>
        <w:t>Samozřejmě, že kore</w:t>
      </w:r>
      <w:r w:rsidR="007F0E0C">
        <w:rPr>
          <w:rStyle w:val="linemarker-marked-line"/>
        </w:rPr>
        <w:t xml:space="preserve">spondence </w:t>
      </w:r>
      <w:r w:rsidR="007F0E0C" w:rsidRPr="007F0E0C">
        <w:rPr>
          <w:rStyle w:val="linemarker-marked-line"/>
        </w:rPr>
        <w:t xml:space="preserve">probíhá v dvojím modu </w:t>
      </w:r>
      <w:r w:rsidR="007F0E0C">
        <w:rPr>
          <w:rStyle w:val="linemarker-marked-line"/>
        </w:rPr>
        <w:t xml:space="preserve">vytvořeném </w:t>
      </w:r>
      <w:r w:rsidR="007F0E0C" w:rsidRPr="007F0E0C">
        <w:rPr>
          <w:rStyle w:val="linemarker-marked-line"/>
          <w:i/>
        </w:rPr>
        <w:t>absolute</w:t>
      </w:r>
      <w:r w:rsidR="007F0E0C" w:rsidRPr="007F0E0C">
        <w:rPr>
          <w:rStyle w:val="linemarker-marked-line"/>
        </w:rPr>
        <w:t xml:space="preserve">, protože je oddělena od reality a </w:t>
      </w:r>
      <w:r w:rsidR="00DA6FCF">
        <w:rPr>
          <w:rStyle w:val="linemarker-marked-line"/>
        </w:rPr>
        <w:t xml:space="preserve">reflexivní </w:t>
      </w:r>
      <w:r w:rsidR="007F0E0C" w:rsidRPr="007F0E0C">
        <w:rPr>
          <w:rStyle w:val="linemarker-marked-line"/>
        </w:rPr>
        <w:t>myšlení se považuje za absolutně</w:t>
      </w:r>
      <w:r w:rsidR="00BE7199">
        <w:rPr>
          <w:rStyle w:val="linemarker-marked-line"/>
        </w:rPr>
        <w:t xml:space="preserve"> logické a jisté.</w:t>
      </w:r>
    </w:p>
    <w:p w14:paraId="2DD70F1B" w14:textId="628E3558" w:rsidR="00265971" w:rsidRPr="00273106" w:rsidRDefault="008F6022" w:rsidP="008F6022">
      <w:pPr>
        <w:ind w:firstLine="397"/>
      </w:pPr>
      <w:r>
        <w:rPr>
          <w:rStyle w:val="linemarker-marked-line"/>
        </w:rPr>
        <w:t>V</w:t>
      </w:r>
      <w:r w:rsidR="007F0E0C">
        <w:rPr>
          <w:rStyle w:val="linemarker-marked-line"/>
        </w:rPr>
        <w:t xml:space="preserve"> moderně </w:t>
      </w:r>
      <w:r>
        <w:rPr>
          <w:rStyle w:val="linemarker-marked-line"/>
        </w:rPr>
        <w:t xml:space="preserve">vznikla </w:t>
      </w:r>
      <w:r w:rsidR="007F0E0C" w:rsidRPr="007F0E0C">
        <w:rPr>
          <w:rStyle w:val="linemarker-marked-line"/>
        </w:rPr>
        <w:t>totální paro</w:t>
      </w:r>
      <w:r>
        <w:rPr>
          <w:rStyle w:val="linemarker-marked-line"/>
        </w:rPr>
        <w:t xml:space="preserve">die </w:t>
      </w:r>
      <w:r w:rsidR="007F0E0C" w:rsidRPr="007F0E0C">
        <w:rPr>
          <w:rStyle w:val="linemarker-marked-line"/>
        </w:rPr>
        <w:t>na aristotelskou definici dvojí hypostatické pravdy</w:t>
      </w:r>
      <w:r w:rsidR="007F0E0C">
        <w:rPr>
          <w:rStyle w:val="linemarker-marked-line"/>
        </w:rPr>
        <w:t xml:space="preserve">, která </w:t>
      </w:r>
      <w:r w:rsidR="007F0E0C" w:rsidRPr="007F0E0C">
        <w:rPr>
          <w:rStyle w:val="linemarker-marked-line"/>
        </w:rPr>
        <w:t xml:space="preserve"> je dána dvojí univerzalitou </w:t>
      </w:r>
      <w:r w:rsidR="007F0E0C" w:rsidRPr="000045B4">
        <w:rPr>
          <w:szCs w:val="24"/>
        </w:rPr>
        <w:t xml:space="preserve">(καθ' αὑτὰ δὲ διττῶς, </w:t>
      </w:r>
      <w:r w:rsidR="007F0E0C" w:rsidRPr="000045B4">
        <w:rPr>
          <w:i/>
          <w:szCs w:val="24"/>
        </w:rPr>
        <w:t>Anal. Post.</w:t>
      </w:r>
      <w:r w:rsidR="007F0E0C" w:rsidRPr="000045B4">
        <w:rPr>
          <w:szCs w:val="24"/>
        </w:rPr>
        <w:t xml:space="preserve"> 84a12</w:t>
      </w:r>
      <w:r w:rsidR="007F0E0C" w:rsidRPr="00DC6664">
        <w:rPr>
          <w:szCs w:val="24"/>
        </w:rPr>
        <w:fldChar w:fldCharType="begin"/>
      </w:r>
      <w:r w:rsidR="007F0E0C" w:rsidRPr="00DC6664">
        <w:rPr>
          <w:szCs w:val="24"/>
        </w:rPr>
        <w:instrText xml:space="preserve"> XE "Aristoteles:</w:instrText>
      </w:r>
      <w:r w:rsidR="007F0E0C" w:rsidRPr="00DC6664">
        <w:rPr>
          <w:i/>
          <w:szCs w:val="24"/>
        </w:rPr>
        <w:instrText>Anal</w:instrText>
      </w:r>
      <w:r w:rsidR="007F0E0C" w:rsidRPr="00DC6664">
        <w:rPr>
          <w:szCs w:val="24"/>
        </w:rPr>
        <w:instrText xml:space="preserve">. </w:instrText>
      </w:r>
      <w:r w:rsidR="007F0E0C" w:rsidRPr="00DC6664">
        <w:rPr>
          <w:i/>
          <w:szCs w:val="24"/>
        </w:rPr>
        <w:instrText>Post</w:instrText>
      </w:r>
      <w:r w:rsidR="007F0E0C" w:rsidRPr="00DC6664">
        <w:rPr>
          <w:szCs w:val="24"/>
        </w:rPr>
        <w:instrText xml:space="preserve">. 84a12" </w:instrText>
      </w:r>
      <w:r w:rsidR="007F0E0C" w:rsidRPr="00DC6664">
        <w:rPr>
          <w:szCs w:val="24"/>
        </w:rPr>
        <w:fldChar w:fldCharType="end"/>
      </w:r>
      <w:r w:rsidR="007F0E0C" w:rsidRPr="000045B4">
        <w:rPr>
          <w:szCs w:val="24"/>
        </w:rPr>
        <w:t>)</w:t>
      </w:r>
      <w:r w:rsidR="007F0E0C">
        <w:rPr>
          <w:szCs w:val="24"/>
        </w:rPr>
        <w:t>.</w:t>
      </w:r>
      <w:r w:rsidR="00097DA5">
        <w:rPr>
          <w:szCs w:val="24"/>
        </w:rPr>
        <w:t xml:space="preserve"> Modernisté jsou pilní tvorové</w:t>
      </w:r>
      <w:r w:rsidR="009028D9">
        <w:rPr>
          <w:szCs w:val="24"/>
        </w:rPr>
        <w:t>, pro</w:t>
      </w:r>
      <w:r w:rsidR="00097DA5">
        <w:rPr>
          <w:szCs w:val="24"/>
        </w:rPr>
        <w:t xml:space="preserve">tože musí vše asimilovat k jejich </w:t>
      </w:r>
      <w:r w:rsidR="009028D9">
        <w:rPr>
          <w:szCs w:val="24"/>
        </w:rPr>
        <w:t xml:space="preserve">pravdivé </w:t>
      </w:r>
      <w:r w:rsidR="00A20D49">
        <w:rPr>
          <w:szCs w:val="24"/>
        </w:rPr>
        <w:t xml:space="preserve">nihilistické </w:t>
      </w:r>
      <w:r w:rsidR="009028D9">
        <w:rPr>
          <w:szCs w:val="24"/>
        </w:rPr>
        <w:t xml:space="preserve">podstatě. </w:t>
      </w:r>
      <w:r w:rsidR="08B86C97">
        <w:rPr>
          <w:rStyle w:val="linemarker-marked-line"/>
        </w:rPr>
        <w:t>Čím zdatněji, globálněji a efektiv</w:t>
      </w:r>
      <w:r w:rsidR="007E6A24">
        <w:rPr>
          <w:rStyle w:val="linemarker-marked-line"/>
        </w:rPr>
        <w:t xml:space="preserve">něji tuto objektivní asimilaci </w:t>
      </w:r>
      <w:r w:rsidR="00C220C1">
        <w:rPr>
          <w:rStyle w:val="linemarker-marked-line"/>
        </w:rPr>
        <w:t>boha, lidí a světa provozují</w:t>
      </w:r>
      <w:r w:rsidR="08B86C97">
        <w:rPr>
          <w:rStyle w:val="linemarker-marked-line"/>
        </w:rPr>
        <w:t>, t</w:t>
      </w:r>
      <w:r w:rsidR="087D7577">
        <w:rPr>
          <w:rStyle w:val="linemarker-marked-line"/>
        </w:rPr>
        <w:t xml:space="preserve">ím </w:t>
      </w:r>
      <w:r w:rsidR="08D01660">
        <w:rPr>
          <w:rStyle w:val="linemarker-marked-line"/>
        </w:rPr>
        <w:t xml:space="preserve">evidentněji </w:t>
      </w:r>
      <w:r w:rsidR="00C220C1">
        <w:rPr>
          <w:rStyle w:val="linemarker-marked-line"/>
        </w:rPr>
        <w:t>se jim</w:t>
      </w:r>
      <w:r w:rsidR="087D7577">
        <w:rPr>
          <w:rStyle w:val="linemarker-marked-line"/>
        </w:rPr>
        <w:t xml:space="preserve"> </w:t>
      </w:r>
      <w:r w:rsidR="08B86C97">
        <w:rPr>
          <w:rStyle w:val="linemarker-marked-line"/>
        </w:rPr>
        <w:t xml:space="preserve">tyto </w:t>
      </w:r>
      <w:r w:rsidR="087A6F38">
        <w:rPr>
          <w:rStyle w:val="linemarker-marked-line"/>
        </w:rPr>
        <w:t xml:space="preserve">„věci“ </w:t>
      </w:r>
      <w:r w:rsidR="087D7577">
        <w:rPr>
          <w:rStyle w:val="linemarker-marked-line"/>
        </w:rPr>
        <w:t xml:space="preserve">potvrzují </w:t>
      </w:r>
      <w:r w:rsidR="087A6F38">
        <w:rPr>
          <w:rStyle w:val="linemarker-marked-line"/>
        </w:rPr>
        <w:t>jako pravdivé</w:t>
      </w:r>
      <w:r w:rsidR="087D7577">
        <w:rPr>
          <w:rStyle w:val="linemarker-marked-line"/>
        </w:rPr>
        <w:t xml:space="preserve"> v modu </w:t>
      </w:r>
      <w:r w:rsidR="087D7577" w:rsidRPr="087D7577">
        <w:rPr>
          <w:rStyle w:val="linemarker-marked-line"/>
          <w:i/>
        </w:rPr>
        <w:t>certitudo</w:t>
      </w:r>
      <w:r w:rsidR="087D7577">
        <w:rPr>
          <w:rStyle w:val="linemarker-marked-line"/>
        </w:rPr>
        <w:t xml:space="preserve"> a </w:t>
      </w:r>
      <w:r w:rsidR="087D7577" w:rsidRPr="087D7577">
        <w:rPr>
          <w:rStyle w:val="linemarker-marked-line"/>
          <w:i/>
        </w:rPr>
        <w:t>rectitudo</w:t>
      </w:r>
      <w:r w:rsidR="08B86C97">
        <w:rPr>
          <w:rStyle w:val="linemarker-marked-line"/>
        </w:rPr>
        <w:t>.</w:t>
      </w:r>
      <w:r w:rsidR="00BD480A">
        <w:rPr>
          <w:rStyle w:val="linemarker-marked-line"/>
        </w:rPr>
        <w:t xml:space="preserve"> Moderní z</w:t>
      </w:r>
      <w:r w:rsidR="00EA195C">
        <w:rPr>
          <w:rStyle w:val="linemarker-marked-line"/>
        </w:rPr>
        <w:t>ápadní imperialismus je založen na Oxfor</w:t>
      </w:r>
      <w:r w:rsidR="00613F54">
        <w:rPr>
          <w:rStyle w:val="linemarker-marked-line"/>
        </w:rPr>
        <w:t>d</w:t>
      </w:r>
      <w:r w:rsidR="00EA195C">
        <w:rPr>
          <w:rStyle w:val="linemarker-marked-line"/>
        </w:rPr>
        <w:t xml:space="preserve">ském bludu, který modifikoval Rufus. </w:t>
      </w:r>
      <w:r w:rsidR="088C0621">
        <w:rPr>
          <w:rStyle w:val="linemarker-marked-line"/>
        </w:rPr>
        <w:t>Předešlá kapitola ukázala, že o</w:t>
      </w:r>
      <w:r w:rsidR="084B256F" w:rsidRPr="00273106">
        <w:rPr>
          <w:rStyle w:val="linemarker-marked-line"/>
        </w:rPr>
        <w:t>bjek</w:t>
      </w:r>
      <w:r w:rsidR="088C0621">
        <w:rPr>
          <w:rStyle w:val="linemarker-marked-line"/>
        </w:rPr>
        <w:t xml:space="preserve">t poznání je sám o sobě </w:t>
      </w:r>
      <w:r w:rsidR="084B256F" w:rsidRPr="00273106">
        <w:rPr>
          <w:rStyle w:val="linemarker-marked-line"/>
        </w:rPr>
        <w:t xml:space="preserve">daný </w:t>
      </w:r>
      <w:r w:rsidR="088C0621">
        <w:rPr>
          <w:rStyle w:val="linemarker-marked-line"/>
        </w:rPr>
        <w:t xml:space="preserve">v modu </w:t>
      </w:r>
      <w:r w:rsidR="084B256F" w:rsidRPr="00273106">
        <w:rPr>
          <w:rStyle w:val="linemarker-marked-line"/>
          <w:i/>
        </w:rPr>
        <w:t>per se</w:t>
      </w:r>
      <w:r w:rsidR="084B256F" w:rsidRPr="00273106">
        <w:rPr>
          <w:rStyle w:val="linemarker-marked-line"/>
        </w:rPr>
        <w:t xml:space="preserve"> </w:t>
      </w:r>
      <w:r w:rsidR="088C0621">
        <w:rPr>
          <w:rStyle w:val="linemarker-marked-line"/>
        </w:rPr>
        <w:t xml:space="preserve">jako </w:t>
      </w:r>
      <w:r w:rsidR="088C0621" w:rsidRPr="00273106">
        <w:t>individuum</w:t>
      </w:r>
      <w:r w:rsidR="088C0621">
        <w:t xml:space="preserve"> „exsistující“ v modu hypostázované ipseity </w:t>
      </w:r>
      <w:r w:rsidR="088C0621" w:rsidRPr="00273106">
        <w:t>(</w:t>
      </w:r>
      <w:r w:rsidR="088C0621" w:rsidRPr="00273106">
        <w:rPr>
          <w:i/>
        </w:rPr>
        <w:t>secundum-quod-ipsum-est</w:t>
      </w:r>
      <w:r w:rsidR="088C0621" w:rsidRPr="00273106">
        <w:t>).</w:t>
      </w:r>
      <w:r w:rsidR="088C0621">
        <w:t xml:space="preserve"> Pak již jen stačí v modu matematické analogie predikovat tuto „exsistenci“ kdekoliv se vyskytuje, </w:t>
      </w:r>
      <w:r w:rsidR="084B256F" w:rsidRPr="00273106">
        <w:t>ať již v</w:t>
      </w:r>
      <w:r w:rsidR="00F903FF">
        <w:t xml:space="preserve"> moderním </w:t>
      </w:r>
      <w:r w:rsidR="088C0621">
        <w:t xml:space="preserve">bohu, v </w:t>
      </w:r>
      <w:r w:rsidR="084B256F" w:rsidRPr="00273106">
        <w:t xml:space="preserve">reálné jednotlivině nebo </w:t>
      </w:r>
      <w:r w:rsidR="088C0621">
        <w:t>v</w:t>
      </w:r>
      <w:r w:rsidR="004810AA">
        <w:t xml:space="preserve"> osvícené </w:t>
      </w:r>
      <w:r w:rsidR="088C0621">
        <w:t>mysli</w:t>
      </w:r>
      <w:r w:rsidR="084B256F" w:rsidRPr="00273106">
        <w:t xml:space="preserve">. Toto univerzální </w:t>
      </w:r>
      <w:r w:rsidR="004B4D52" w:rsidRPr="004B4D52">
        <w:t>species</w:t>
      </w:r>
      <w:r w:rsidR="084B256F" w:rsidRPr="00273106">
        <w:t xml:space="preserve"> </w:t>
      </w:r>
      <w:r w:rsidR="001F07A9">
        <w:t xml:space="preserve">je </w:t>
      </w:r>
      <w:r w:rsidR="00767DCD" w:rsidRPr="00273106">
        <w:t>adekvátn</w:t>
      </w:r>
      <w:r w:rsidR="084B256F" w:rsidRPr="00273106">
        <w:t>ě zpřítomněno</w:t>
      </w:r>
      <w:r w:rsidR="00684A7D">
        <w:t xml:space="preserve"> v poznávající mysli, která kontempluje obje</w:t>
      </w:r>
      <w:r w:rsidR="00B95DEF">
        <w:t>ktivní formu</w:t>
      </w:r>
      <w:r w:rsidR="00684A7D">
        <w:t xml:space="preserve"> bytí jsoucna v podobě čehokoliv nazíratelného </w:t>
      </w:r>
      <w:r w:rsidR="002142F8" w:rsidRPr="00273106">
        <w:t>(</w:t>
      </w:r>
      <w:r w:rsidR="002142F8" w:rsidRPr="00273106">
        <w:rPr>
          <w:rStyle w:val="linemarker-marked-line"/>
          <w:i/>
        </w:rPr>
        <w:t>inquantum per aequalitatem respondet scibili</w:t>
      </w:r>
      <w:r w:rsidR="002142F8" w:rsidRPr="00273106">
        <w:t>)</w:t>
      </w:r>
      <w:r w:rsidR="00573C1C" w:rsidRPr="00273106">
        <w:t xml:space="preserve">. </w:t>
      </w:r>
      <w:r w:rsidR="000A6D8E">
        <w:t>Status</w:t>
      </w:r>
      <w:r w:rsidR="00783D9F" w:rsidRPr="00273106">
        <w:t xml:space="preserve"> </w:t>
      </w:r>
      <w:r w:rsidR="08D01660">
        <w:t xml:space="preserve">analytických </w:t>
      </w:r>
      <w:r w:rsidR="004B4D52" w:rsidRPr="004B4D52">
        <w:t>species</w:t>
      </w:r>
      <w:r w:rsidR="00783D9F" w:rsidRPr="00273106">
        <w:t xml:space="preserve"> nemá nic společného s intencionálním předmětem daným v mysli</w:t>
      </w:r>
      <w:r w:rsidR="000678A6" w:rsidRPr="00273106">
        <w:t xml:space="preserve"> skrze abstrakci</w:t>
      </w:r>
      <w:r w:rsidR="00783D9F" w:rsidRPr="00273106">
        <w:t xml:space="preserve">, jako to měl </w:t>
      </w:r>
      <w:r w:rsidR="002E3B62">
        <w:t>Averroes</w:t>
      </w:r>
      <w:r w:rsidR="00783D9F" w:rsidRPr="00273106">
        <w:t xml:space="preserve"> a po něm první averroismus. </w:t>
      </w:r>
      <w:r w:rsidR="000A6D8E">
        <w:t xml:space="preserve">Poznaná forma </w:t>
      </w:r>
      <w:r w:rsidR="00783D9F" w:rsidRPr="00273106">
        <w:t xml:space="preserve">hraje roli </w:t>
      </w:r>
      <w:r w:rsidR="000678A6" w:rsidRPr="00273106">
        <w:t xml:space="preserve">univočního </w:t>
      </w:r>
      <w:r w:rsidR="009B298F" w:rsidRPr="00273106">
        <w:rPr>
          <w:i/>
        </w:rPr>
        <w:t>tertium ens</w:t>
      </w:r>
      <w:r w:rsidR="00FD7236">
        <w:rPr>
          <w:i/>
        </w:rPr>
        <w:fldChar w:fldCharType="begin"/>
      </w:r>
      <w:r w:rsidR="00FD7236">
        <w:instrText xml:space="preserve"> XE "</w:instrText>
      </w:r>
      <w:r w:rsidR="00FD7236" w:rsidRPr="00025084">
        <w:rPr>
          <w:i/>
        </w:rPr>
        <w:instrText>tertium ens</w:instrText>
      </w:r>
      <w:r w:rsidR="00FD7236" w:rsidRPr="00FD7236">
        <w:instrText>:</w:instrText>
      </w:r>
      <w:r w:rsidR="00FD7236" w:rsidRPr="08CE63C5">
        <w:rPr>
          <w:i/>
        </w:rPr>
        <w:instrText>species</w:instrText>
      </w:r>
      <w:r w:rsidR="00FD7236">
        <w:instrText xml:space="preserve">" </w:instrText>
      </w:r>
      <w:r w:rsidR="00FD7236">
        <w:rPr>
          <w:i/>
        </w:rPr>
        <w:fldChar w:fldCharType="end"/>
      </w:r>
      <w:r w:rsidR="009B298F" w:rsidRPr="00273106">
        <w:t>, čili avicennovské formy třetího druhu (</w:t>
      </w:r>
      <w:r w:rsidR="009B298F" w:rsidRPr="00273106">
        <w:rPr>
          <w:i/>
        </w:rPr>
        <w:t>equinitas tantum</w:t>
      </w:r>
      <w:r w:rsidR="00D868A9">
        <w:rPr>
          <w:i/>
        </w:rPr>
        <w:fldChar w:fldCharType="begin"/>
      </w:r>
      <w:r w:rsidR="00D868A9">
        <w:instrText xml:space="preserve"> XE "</w:instrText>
      </w:r>
      <w:r w:rsidR="00C60194" w:rsidRPr="00273106">
        <w:rPr>
          <w:i/>
        </w:rPr>
        <w:instrText>equinitas tantum</w:instrText>
      </w:r>
      <w:r w:rsidR="00C60194">
        <w:instrText xml:space="preserve"> </w:instrText>
      </w:r>
      <w:r w:rsidR="00D868A9">
        <w:instrText xml:space="preserve">" </w:instrText>
      </w:r>
      <w:r w:rsidR="00D868A9">
        <w:rPr>
          <w:i/>
        </w:rPr>
        <w:fldChar w:fldCharType="end"/>
      </w:r>
      <w:r w:rsidR="009B298F" w:rsidRPr="00273106">
        <w:t xml:space="preserve">, </w:t>
      </w:r>
      <w:r w:rsidR="009B298F" w:rsidRPr="00273106">
        <w:rPr>
          <w:i/>
        </w:rPr>
        <w:t>hoc esse tantum</w:t>
      </w:r>
      <w:r w:rsidR="00C63957">
        <w:rPr>
          <w:i/>
        </w:rPr>
        <w:fldChar w:fldCharType="begin"/>
      </w:r>
      <w:r w:rsidR="00C63957">
        <w:instrText xml:space="preserve"> XE "</w:instrText>
      </w:r>
      <w:r w:rsidR="00C63957" w:rsidRPr="005A071C">
        <w:rPr>
          <w:i/>
          <w:lang w:eastAsia="en-US"/>
        </w:rPr>
        <w:instrText>hoc esse tantum</w:instrText>
      </w:r>
      <w:r w:rsidR="00C63957">
        <w:instrText xml:space="preserve">" </w:instrText>
      </w:r>
      <w:r w:rsidR="00C63957">
        <w:rPr>
          <w:i/>
        </w:rPr>
        <w:fldChar w:fldCharType="end"/>
      </w:r>
      <w:r w:rsidR="009B298F" w:rsidRPr="00273106">
        <w:t xml:space="preserve">). </w:t>
      </w:r>
      <w:r w:rsidR="087955D3" w:rsidRPr="00273106">
        <w:t>Nej</w:t>
      </w:r>
      <w:r w:rsidR="08CA6C84" w:rsidRPr="00273106">
        <w:t>p</w:t>
      </w:r>
      <w:r w:rsidR="087955D3" w:rsidRPr="00273106">
        <w:t>r</w:t>
      </w:r>
      <w:r w:rsidR="00F7127E">
        <w:t xml:space="preserve">ve se </w:t>
      </w:r>
      <w:r w:rsidR="08CA6C84" w:rsidRPr="00273106">
        <w:t xml:space="preserve">toto </w:t>
      </w:r>
      <w:r w:rsidR="004B4D52" w:rsidRPr="004B4D52">
        <w:t>species</w:t>
      </w:r>
      <w:r w:rsidR="08CA6C84" w:rsidRPr="00273106">
        <w:t xml:space="preserve"> </w:t>
      </w:r>
      <w:r w:rsidR="00F7127E">
        <w:t xml:space="preserve">vyskytuje </w:t>
      </w:r>
      <w:r w:rsidR="08796765">
        <w:t xml:space="preserve">v modu </w:t>
      </w:r>
      <w:r w:rsidR="003A2116">
        <w:t>„</w:t>
      </w:r>
      <w:r w:rsidR="00295DA7">
        <w:rPr>
          <w:i/>
        </w:rPr>
        <w:t>semel–</w:t>
      </w:r>
      <w:r w:rsidR="08CD0C5A" w:rsidRPr="00273106">
        <w:rPr>
          <w:i/>
        </w:rPr>
        <w:t>semper</w:t>
      </w:r>
      <w:r w:rsidR="003A2116">
        <w:t>“</w:t>
      </w:r>
      <w:r w:rsidR="00EF7E15">
        <w:t xml:space="preserve"> věčných forem</w:t>
      </w:r>
      <w:r w:rsidR="08CA6C84" w:rsidRPr="00273106">
        <w:t>, což je jeho</w:t>
      </w:r>
      <w:r w:rsidR="00F7127E">
        <w:t xml:space="preserve"> pravé bytí, které moderní iluminát nazírá </w:t>
      </w:r>
      <w:r w:rsidR="009D10A3">
        <w:t>skrze eidetické osvícení mysli</w:t>
      </w:r>
      <w:r w:rsidR="00F7127E">
        <w:t xml:space="preserve">. </w:t>
      </w:r>
      <w:r w:rsidR="009D10A3">
        <w:t>S</w:t>
      </w:r>
      <w:r w:rsidR="000A6D8E">
        <w:t xml:space="preserve">tejná esence </w:t>
      </w:r>
      <w:r w:rsidR="08CD0C5A" w:rsidRPr="00273106">
        <w:t xml:space="preserve">existuje </w:t>
      </w:r>
      <w:r w:rsidR="08CA6C84" w:rsidRPr="00273106">
        <w:t>akcidentálně a kontingentně v</w:t>
      </w:r>
      <w:r w:rsidR="00F7127E">
        <w:t xml:space="preserve"> hylemorfických substancích</w:t>
      </w:r>
      <w:r w:rsidR="08CD0C5A" w:rsidRPr="00273106">
        <w:t>.</w:t>
      </w:r>
      <w:r w:rsidR="081019FE" w:rsidRPr="00273106">
        <w:t xml:space="preserve"> </w:t>
      </w:r>
      <w:r w:rsidR="009B6FA3" w:rsidRPr="00273106">
        <w:t>Rufus nesleduje li</w:t>
      </w:r>
      <w:r w:rsidR="001E0D64" w:rsidRPr="00273106">
        <w:t>nii prvního averroismu s jeho intencionalitou a abstrakcí</w:t>
      </w:r>
      <w:r w:rsidR="00295DA7">
        <w:fldChar w:fldCharType="begin"/>
      </w:r>
      <w:r w:rsidR="00295DA7">
        <w:instrText xml:space="preserve"> XE "</w:instrText>
      </w:r>
      <w:r w:rsidR="00295DA7" w:rsidRPr="00B21BB6">
        <w:instrText>abstrakce:Rufus</w:instrText>
      </w:r>
      <w:r w:rsidR="00295DA7">
        <w:instrText xml:space="preserve">" </w:instrText>
      </w:r>
      <w:r w:rsidR="00295DA7">
        <w:fldChar w:fldCharType="end"/>
      </w:r>
      <w:r w:rsidR="001E0D64" w:rsidRPr="00273106">
        <w:t xml:space="preserve">. První modernista </w:t>
      </w:r>
      <w:r w:rsidR="00186DED">
        <w:t xml:space="preserve">vytvořil pojetí pravdy jako </w:t>
      </w:r>
      <w:r w:rsidR="007E1566">
        <w:t>univerzální rovnosti</w:t>
      </w:r>
      <w:r w:rsidR="000A6D8E">
        <w:t xml:space="preserve"> hypostázovaných esencí</w:t>
      </w:r>
      <w:r w:rsidR="00186DED">
        <w:t xml:space="preserve">. </w:t>
      </w:r>
      <w:r w:rsidR="00265971" w:rsidRPr="00273106">
        <w:t>Mysl představuje zrcadlo (</w:t>
      </w:r>
      <w:r w:rsidR="00265971" w:rsidRPr="00273106">
        <w:rPr>
          <w:i/>
        </w:rPr>
        <w:t>speculum</w:t>
      </w:r>
      <w:r w:rsidR="00631197">
        <w:rPr>
          <w:i/>
        </w:rPr>
        <w:fldChar w:fldCharType="begin"/>
      </w:r>
      <w:r w:rsidR="00631197">
        <w:instrText xml:space="preserve"> XE "</w:instrText>
      </w:r>
      <w:r w:rsidR="00631197" w:rsidRPr="00191FF1">
        <w:rPr>
          <w:i/>
        </w:rPr>
        <w:instrText>speculum</w:instrText>
      </w:r>
      <w:r w:rsidR="00631197">
        <w:instrText xml:space="preserve">" </w:instrText>
      </w:r>
      <w:r w:rsidR="00631197">
        <w:rPr>
          <w:i/>
        </w:rPr>
        <w:fldChar w:fldCharType="end"/>
      </w:r>
      <w:r w:rsidR="00265971" w:rsidRPr="00273106">
        <w:t xml:space="preserve">) hypostatických forem a </w:t>
      </w:r>
      <w:r w:rsidR="004B4D52" w:rsidRPr="004B4D52">
        <w:t>species</w:t>
      </w:r>
      <w:r w:rsidR="00265971" w:rsidRPr="00273106">
        <w:t>, které jsou ve věcech a v intelektu dány univočním způsobem</w:t>
      </w:r>
      <w:r w:rsidR="00F456C9">
        <w:t xml:space="preserve">, proto jsou si </w:t>
      </w:r>
      <w:r w:rsidR="00925879">
        <w:t xml:space="preserve">metafyzicky </w:t>
      </w:r>
      <w:r w:rsidR="00F456C9">
        <w:t>rovny</w:t>
      </w:r>
      <w:r w:rsidR="00265971" w:rsidRPr="00273106">
        <w:t>. Spekulativní p</w:t>
      </w:r>
      <w:r w:rsidR="00265971" w:rsidRPr="00273106">
        <w:rPr>
          <w:rStyle w:val="linemarker-marked-line"/>
        </w:rPr>
        <w:t>ojetí pravdy</w:t>
      </w:r>
      <w:r w:rsidR="00F456C9">
        <w:rPr>
          <w:rStyle w:val="linemarker-marked-line"/>
        </w:rPr>
        <w:t>-</w:t>
      </w:r>
      <w:r w:rsidR="00F456C9" w:rsidRPr="00F456C9">
        <w:rPr>
          <w:rStyle w:val="linemarker-marked-line"/>
          <w:i/>
        </w:rPr>
        <w:t>aequalitas</w:t>
      </w:r>
      <w:r w:rsidR="00265971" w:rsidRPr="00273106">
        <w:rPr>
          <w:rStyle w:val="linemarker-marked-line"/>
        </w:rPr>
        <w:t xml:space="preserve"> jako </w:t>
      </w:r>
      <w:r w:rsidR="00787D1F">
        <w:rPr>
          <w:rStyle w:val="linemarker-marked-line"/>
        </w:rPr>
        <w:t xml:space="preserve">identity </w:t>
      </w:r>
      <w:r w:rsidR="00D97481">
        <w:rPr>
          <w:rStyle w:val="linemarker-marked-line"/>
        </w:rPr>
        <w:t xml:space="preserve">dvojí reprezentace téhož </w:t>
      </w:r>
      <w:r w:rsidR="004B4D52" w:rsidRPr="004B4D52">
        <w:rPr>
          <w:rStyle w:val="linemarker-marked-line"/>
        </w:rPr>
        <w:t>species</w:t>
      </w:r>
      <w:r w:rsidR="00D97481">
        <w:rPr>
          <w:rStyle w:val="linemarker-marked-line"/>
        </w:rPr>
        <w:t xml:space="preserve"> </w:t>
      </w:r>
      <w:r w:rsidR="00FB00C7" w:rsidRPr="00273106">
        <w:rPr>
          <w:rStyle w:val="linemarker-marked-line"/>
        </w:rPr>
        <w:t xml:space="preserve">najdeme </w:t>
      </w:r>
      <w:r w:rsidR="000A6D8E">
        <w:rPr>
          <w:rStyle w:val="linemarker-marked-line"/>
        </w:rPr>
        <w:t xml:space="preserve">také </w:t>
      </w:r>
      <w:r w:rsidR="00265971" w:rsidRPr="00273106">
        <w:rPr>
          <w:rStyle w:val="linemarker-marked-line"/>
        </w:rPr>
        <w:t>v</w:t>
      </w:r>
      <w:r w:rsidR="00BF62BF">
        <w:rPr>
          <w:rStyle w:val="linemarker-marked-line"/>
        </w:rPr>
        <w:t xml:space="preserve">e spise </w:t>
      </w:r>
      <w:r w:rsidR="00265971" w:rsidRPr="00273106">
        <w:rPr>
          <w:i/>
        </w:rPr>
        <w:t>Memoriale</w:t>
      </w:r>
      <w:r w:rsidR="00265971" w:rsidRPr="00273106">
        <w:t xml:space="preserve">. Rufus odkazuje na již analyzované Anselmovo pojetí pravdy v konceptu </w:t>
      </w:r>
      <w:r w:rsidR="00265971" w:rsidRPr="00273106">
        <w:rPr>
          <w:i/>
        </w:rPr>
        <w:t>rectitudo</w:t>
      </w:r>
      <w:r w:rsidR="00265971" w:rsidRPr="00273106">
        <w:t xml:space="preserve"> a uvádí jej společně s vlastní teorií pravdy (</w:t>
      </w:r>
      <w:r w:rsidR="00265971" w:rsidRPr="00273106">
        <w:rPr>
          <w:i/>
        </w:rPr>
        <w:t>coaequatio</w:t>
      </w:r>
      <w:r w:rsidR="00433872">
        <w:rPr>
          <w:i/>
        </w:rPr>
        <w:fldChar w:fldCharType="begin"/>
      </w:r>
      <w:r w:rsidR="00433872">
        <w:instrText xml:space="preserve"> XE "</w:instrText>
      </w:r>
      <w:r w:rsidR="00295DA7">
        <w:instrText>pravda:</w:instrText>
      </w:r>
      <w:r w:rsidR="00433872" w:rsidRPr="00E11E1F">
        <w:rPr>
          <w:i/>
        </w:rPr>
        <w:instrText>coaequatio</w:instrText>
      </w:r>
      <w:r w:rsidR="00433872">
        <w:instrText xml:space="preserve">" </w:instrText>
      </w:r>
      <w:r w:rsidR="00433872">
        <w:rPr>
          <w:i/>
        </w:rPr>
        <w:fldChar w:fldCharType="end"/>
      </w:r>
      <w:r w:rsidR="00265971" w:rsidRPr="00273106">
        <w:t xml:space="preserve">). </w:t>
      </w:r>
    </w:p>
    <w:p w14:paraId="2E6B4804" w14:textId="77777777" w:rsidR="00653ABF" w:rsidRDefault="00265971" w:rsidP="00653ABF">
      <w:pPr>
        <w:pStyle w:val="Citace"/>
        <w:rPr>
          <w:noProof/>
          <w:lang w:val="cs-CZ"/>
        </w:rPr>
      </w:pPr>
      <w:r w:rsidRPr="00273106">
        <w:rPr>
          <w:noProof/>
          <w:lang w:val="cs-CZ"/>
        </w:rPr>
        <w:t>„Na to odpověděl Anselm, když definoval pravdu jako 'správnost poznávající mysli' (</w:t>
      </w:r>
      <w:r w:rsidRPr="00273106">
        <w:rPr>
          <w:i/>
          <w:noProof/>
          <w:lang w:val="cs-CZ"/>
        </w:rPr>
        <w:t>rectitudo sola mente perceptibilis</w:t>
      </w:r>
      <w:r w:rsidRPr="00273106">
        <w:rPr>
          <w:noProof/>
          <w:lang w:val="cs-CZ"/>
        </w:rPr>
        <w:t xml:space="preserve">). Také existuje jeho další definice 'pravda je společná </w:t>
      </w:r>
      <w:r w:rsidR="0047772E">
        <w:rPr>
          <w:noProof/>
          <w:lang w:val="cs-CZ"/>
        </w:rPr>
        <w:t xml:space="preserve">rovnost </w:t>
      </w:r>
      <w:r w:rsidRPr="00273106">
        <w:rPr>
          <w:noProof/>
          <w:lang w:val="cs-CZ"/>
        </w:rPr>
        <w:t>věcí a jejich intelektuálního poznání' (</w:t>
      </w:r>
      <w:r w:rsidRPr="00273106">
        <w:rPr>
          <w:i/>
          <w:noProof/>
          <w:lang w:val="cs-CZ"/>
        </w:rPr>
        <w:t>veritas est coaequatio rerum et intellectuum</w:t>
      </w:r>
      <w:r w:rsidRPr="00273106">
        <w:rPr>
          <w:noProof/>
          <w:lang w:val="cs-CZ"/>
        </w:rPr>
        <w:t>).</w:t>
      </w:r>
      <w:r w:rsidR="00A527F1">
        <w:rPr>
          <w:noProof/>
          <w:lang w:val="cs-CZ"/>
        </w:rPr>
        <w:t>“</w:t>
      </w:r>
      <w:r w:rsidRPr="00273106">
        <w:rPr>
          <w:noProof/>
          <w:lang w:val="cs-CZ"/>
        </w:rPr>
        <w:t xml:space="preserve"> </w:t>
      </w:r>
      <w:r w:rsidRPr="00273106">
        <w:rPr>
          <w:rStyle w:val="Znakapoznpodarou"/>
          <w:noProof/>
          <w:lang w:val="cs-CZ"/>
        </w:rPr>
        <w:footnoteReference w:id="406"/>
      </w:r>
    </w:p>
    <w:p w14:paraId="64B686AF" w14:textId="51F8BD59" w:rsidR="00B971D6" w:rsidRPr="00273106" w:rsidRDefault="00B83A05" w:rsidP="00771708">
      <w:r>
        <w:rPr>
          <w:rStyle w:val="linemarker-marked-line"/>
        </w:rPr>
        <w:t>M</w:t>
      </w:r>
      <w:r w:rsidR="00295447">
        <w:rPr>
          <w:rStyle w:val="linemarker-marked-line"/>
        </w:rPr>
        <w:t xml:space="preserve">ysl prvního modernisty </w:t>
      </w:r>
      <w:r w:rsidR="00265971" w:rsidRPr="00273106">
        <w:rPr>
          <w:rStyle w:val="linemarker-marked-line"/>
        </w:rPr>
        <w:t>nazírá jistotu sama v sobě</w:t>
      </w:r>
      <w:r>
        <w:rPr>
          <w:rStyle w:val="linemarker-marked-line"/>
        </w:rPr>
        <w:t xml:space="preserve">, což dokazuje citace Anselmova pojetí pravdy </w:t>
      </w:r>
      <w:r w:rsidR="00265971" w:rsidRPr="00273106">
        <w:rPr>
          <w:rStyle w:val="linemarker-marked-line"/>
        </w:rPr>
        <w:t>(</w:t>
      </w:r>
      <w:r w:rsidR="00265971" w:rsidRPr="00273106">
        <w:rPr>
          <w:i/>
        </w:rPr>
        <w:t>rectitudo sola mente perceptibilis</w:t>
      </w:r>
      <w:r w:rsidR="00265971" w:rsidRPr="00273106">
        <w:rPr>
          <w:rStyle w:val="linemarker-marked-line"/>
        </w:rPr>
        <w:t xml:space="preserve">). </w:t>
      </w:r>
      <w:r w:rsidR="00692F9E">
        <w:rPr>
          <w:rStyle w:val="linemarker-marked-line"/>
        </w:rPr>
        <w:t xml:space="preserve">Odkaz na Anselmovo pojetí pravdy jasně indikuje, že rovnost se nevztahuje </w:t>
      </w:r>
      <w:r w:rsidR="00C5785C">
        <w:rPr>
          <w:rStyle w:val="linemarker-marked-line"/>
        </w:rPr>
        <w:t xml:space="preserve">primárně </w:t>
      </w:r>
      <w:r w:rsidR="00692F9E">
        <w:rPr>
          <w:rStyle w:val="linemarker-marked-line"/>
        </w:rPr>
        <w:t xml:space="preserve">v modu </w:t>
      </w:r>
      <w:r w:rsidR="00692F9E" w:rsidRPr="0066113F">
        <w:rPr>
          <w:rStyle w:val="linemarker-marked-line"/>
          <w:i/>
        </w:rPr>
        <w:t>per prius</w:t>
      </w:r>
      <w:r w:rsidR="00692F9E">
        <w:rPr>
          <w:rStyle w:val="linemarker-marked-line"/>
        </w:rPr>
        <w:t xml:space="preserve"> </w:t>
      </w:r>
      <w:r w:rsidR="00692F9E" w:rsidRPr="00273106">
        <w:rPr>
          <w:rStyle w:val="linemarker-marked-line"/>
        </w:rPr>
        <w:t>na adekvaci mysli vzhledem</w:t>
      </w:r>
      <w:r w:rsidR="00692F9E">
        <w:rPr>
          <w:rStyle w:val="linemarker-marked-line"/>
        </w:rPr>
        <w:t xml:space="preserve"> k reálné věci dané mimo nás. </w:t>
      </w:r>
      <w:r w:rsidR="08F20B74">
        <w:rPr>
          <w:rStyle w:val="linemarker-marked-line"/>
        </w:rPr>
        <w:t xml:space="preserve">Tuto definici pravdy odmítl Bacon ve výše citovaném komentáři </w:t>
      </w:r>
      <w:r w:rsidR="08F20B74" w:rsidRPr="08F20B74">
        <w:rPr>
          <w:rStyle w:val="linemarker-marked-line"/>
          <w:i/>
        </w:rPr>
        <w:t>Metafyziky</w:t>
      </w:r>
      <w:r w:rsidR="086A7B16">
        <w:rPr>
          <w:rStyle w:val="linemarker-marked-line"/>
        </w:rPr>
        <w:t xml:space="preserve"> jako nedostatečnou</w:t>
      </w:r>
      <w:r w:rsidR="00FC7399">
        <w:rPr>
          <w:rStyle w:val="linemarker-marked-line"/>
        </w:rPr>
        <w:t xml:space="preserve">. </w:t>
      </w:r>
      <w:r w:rsidR="001039AD">
        <w:rPr>
          <w:rStyle w:val="linemarker-marked-line"/>
        </w:rPr>
        <w:t>Rufusovi c</w:t>
      </w:r>
      <w:r w:rsidR="00FC7399">
        <w:rPr>
          <w:rStyle w:val="linemarker-marked-line"/>
        </w:rPr>
        <w:t xml:space="preserve">hybí základní rozlišení mezi realitou a intelektem. Za prvé, chybí distinkce </w:t>
      </w:r>
      <w:r w:rsidR="086A7B16">
        <w:rPr>
          <w:rStyle w:val="linemarker-marked-line"/>
        </w:rPr>
        <w:t xml:space="preserve">mezi </w:t>
      </w:r>
      <w:r w:rsidR="086F5ACE">
        <w:rPr>
          <w:rStyle w:val="linemarker-marked-line"/>
        </w:rPr>
        <w:t xml:space="preserve">esenciální </w:t>
      </w:r>
      <w:r w:rsidR="086A7B16">
        <w:rPr>
          <w:rStyle w:val="linemarker-marked-line"/>
        </w:rPr>
        <w:t>predikací</w:t>
      </w:r>
      <w:r w:rsidR="086F5ACE">
        <w:rPr>
          <w:rStyle w:val="linemarker-marked-line"/>
        </w:rPr>
        <w:t xml:space="preserve"> d</w:t>
      </w:r>
      <w:r w:rsidR="086A7B16">
        <w:rPr>
          <w:rStyle w:val="linemarker-marked-line"/>
        </w:rPr>
        <w:t>anou od mysli k</w:t>
      </w:r>
      <w:r w:rsidR="000656DB">
        <w:rPr>
          <w:rStyle w:val="linemarker-marked-line"/>
        </w:rPr>
        <w:t> </w:t>
      </w:r>
      <w:r w:rsidR="086A7B16">
        <w:rPr>
          <w:rStyle w:val="linemarker-marked-line"/>
        </w:rPr>
        <w:t>věci</w:t>
      </w:r>
      <w:r w:rsidR="000656DB">
        <w:rPr>
          <w:rStyle w:val="linemarker-marked-line"/>
        </w:rPr>
        <w:t>. Ch</w:t>
      </w:r>
      <w:r w:rsidR="00594FA5">
        <w:rPr>
          <w:rStyle w:val="linemarker-marked-line"/>
        </w:rPr>
        <w:t>iméra n</w:t>
      </w:r>
      <w:r w:rsidR="000656DB">
        <w:rPr>
          <w:rStyle w:val="linemarker-marked-line"/>
        </w:rPr>
        <w:t xml:space="preserve">ení reálně </w:t>
      </w:r>
      <w:r w:rsidR="00594FA5">
        <w:rPr>
          <w:rStyle w:val="linemarker-marked-line"/>
        </w:rPr>
        <w:t xml:space="preserve">daná </w:t>
      </w:r>
      <w:r w:rsidR="000656DB">
        <w:rPr>
          <w:rStyle w:val="linemarker-marked-line"/>
        </w:rPr>
        <w:t xml:space="preserve">věc a teorie pravdy by to měla reflektovat. Za druhé, </w:t>
      </w:r>
      <w:r w:rsidR="08082D9D">
        <w:rPr>
          <w:rStyle w:val="linemarker-marked-line"/>
        </w:rPr>
        <w:t xml:space="preserve">adekvátně poznávané bytí </w:t>
      </w:r>
      <w:r w:rsidR="00761F1F">
        <w:rPr>
          <w:rStyle w:val="linemarker-marked-line"/>
        </w:rPr>
        <w:t>reálných věcí</w:t>
      </w:r>
      <w:r w:rsidR="00606BEE">
        <w:rPr>
          <w:rStyle w:val="linemarker-marked-line"/>
        </w:rPr>
        <w:t xml:space="preserve"> </w:t>
      </w:r>
      <w:r w:rsidR="000656DB">
        <w:rPr>
          <w:rStyle w:val="linemarker-marked-line"/>
        </w:rPr>
        <w:t>není dáno v mysli skrze metafyzickou impozici danou kauzálně</w:t>
      </w:r>
      <w:r w:rsidR="086A7B16">
        <w:rPr>
          <w:rStyle w:val="linemarker-marked-line"/>
        </w:rPr>
        <w:t>.</w:t>
      </w:r>
      <w:r w:rsidR="08082D9D">
        <w:rPr>
          <w:rStyle w:val="linemarker-marked-line"/>
        </w:rPr>
        <w:t xml:space="preserve"> </w:t>
      </w:r>
      <w:r w:rsidR="000656DB">
        <w:rPr>
          <w:rStyle w:val="linemarker-marked-line"/>
        </w:rPr>
        <w:t>Pak platí,</w:t>
      </w:r>
      <w:r w:rsidR="009E77BB">
        <w:rPr>
          <w:rStyle w:val="linemarker-marked-line"/>
        </w:rPr>
        <w:t xml:space="preserve"> </w:t>
      </w:r>
      <w:r w:rsidR="000656DB">
        <w:rPr>
          <w:rStyle w:val="linemarker-marked-line"/>
        </w:rPr>
        <w:t xml:space="preserve">že mrtvola není člověk a teorie pravdy by to měla reflektovat. </w:t>
      </w:r>
      <w:r w:rsidR="08082D9D">
        <w:rPr>
          <w:rStyle w:val="linemarker-marked-line"/>
        </w:rPr>
        <w:t xml:space="preserve">Zásadní rozdíl v pojetí pravdy je predikace </w:t>
      </w:r>
      <w:r w:rsidR="08082D9D" w:rsidRPr="08082D9D">
        <w:rPr>
          <w:rStyle w:val="linemarker-marked-line"/>
          <w:i/>
        </w:rPr>
        <w:t>in artificialibus</w:t>
      </w:r>
      <w:r w:rsidR="08082D9D">
        <w:rPr>
          <w:rStyle w:val="linemarker-marked-line"/>
          <w:i/>
        </w:rPr>
        <w:fldChar w:fldCharType="begin"/>
      </w:r>
      <w:r w:rsidR="08082D9D">
        <w:instrText xml:space="preserve"> XE "</w:instrText>
      </w:r>
      <w:r w:rsidR="08082D9D" w:rsidRPr="08847AEB">
        <w:rPr>
          <w:rStyle w:val="linemarker-marked-line"/>
        </w:rPr>
        <w:instrText>predikace:</w:instrText>
      </w:r>
      <w:r w:rsidR="08082D9D" w:rsidRPr="08847AEB">
        <w:rPr>
          <w:rStyle w:val="linemarker-marked-line"/>
          <w:i/>
        </w:rPr>
        <w:instrText>in artificialibus</w:instrText>
      </w:r>
      <w:r w:rsidR="08082D9D">
        <w:instrText xml:space="preserve">" </w:instrText>
      </w:r>
      <w:r w:rsidR="08082D9D">
        <w:rPr>
          <w:rStyle w:val="linemarker-marked-line"/>
          <w:i/>
        </w:rPr>
        <w:fldChar w:fldCharType="end"/>
      </w:r>
      <w:r w:rsidR="08082D9D">
        <w:rPr>
          <w:rStyle w:val="linemarker-marked-line"/>
        </w:rPr>
        <w:t xml:space="preserve"> v případě esencí, protože ty si mysl může upravovat jak sama chce.</w:t>
      </w:r>
      <w:r w:rsidR="08082D9D">
        <w:rPr>
          <w:rStyle w:val="Znakapoznpodarou"/>
        </w:rPr>
        <w:footnoteReference w:id="407"/>
      </w:r>
      <w:r w:rsidR="08082D9D">
        <w:rPr>
          <w:rStyle w:val="linemarker-marked-line"/>
        </w:rPr>
        <w:t xml:space="preserve"> To v případě adekvace řízené </w:t>
      </w:r>
      <w:r w:rsidR="082A724F">
        <w:t xml:space="preserve">metafyzickým </w:t>
      </w:r>
      <w:r w:rsidR="08082D9D">
        <w:rPr>
          <w:rStyle w:val="linemarker-marked-line"/>
        </w:rPr>
        <w:t>dativem pochopitelně nejde, proto</w:t>
      </w:r>
      <w:r w:rsidR="08870EA2">
        <w:rPr>
          <w:rStyle w:val="linemarker-marked-line"/>
        </w:rPr>
        <w:t>že</w:t>
      </w:r>
      <w:r w:rsidR="08082D9D">
        <w:rPr>
          <w:rStyle w:val="linemarker-marked-line"/>
        </w:rPr>
        <w:t xml:space="preserve"> nu</w:t>
      </w:r>
      <w:r w:rsidR="08870EA2">
        <w:rPr>
          <w:rStyle w:val="linemarker-marked-line"/>
        </w:rPr>
        <w:t>tnost je dána z reality existuj</w:t>
      </w:r>
      <w:r w:rsidR="08082D9D">
        <w:rPr>
          <w:rStyle w:val="linemarker-marked-line"/>
        </w:rPr>
        <w:t>ící první substance.</w:t>
      </w:r>
      <w:r w:rsidR="087C2B2A">
        <w:rPr>
          <w:rStyle w:val="linemarker-marked-line"/>
        </w:rPr>
        <w:t xml:space="preserve"> </w:t>
      </w:r>
      <w:r w:rsidR="084D6C8F">
        <w:rPr>
          <w:rStyle w:val="linemarker-marked-line"/>
        </w:rPr>
        <w:t>P</w:t>
      </w:r>
      <w:r w:rsidR="08782CCB">
        <w:rPr>
          <w:rStyle w:val="linemarker-marked-line"/>
        </w:rPr>
        <w:t xml:space="preserve">rvní modernista </w:t>
      </w:r>
      <w:r w:rsidR="00F57EE1">
        <w:rPr>
          <w:rStyle w:val="linemarker-marked-line"/>
        </w:rPr>
        <w:t xml:space="preserve">oděl </w:t>
      </w:r>
      <w:r w:rsidR="08782CCB">
        <w:rPr>
          <w:rStyle w:val="linemarker-marked-line"/>
        </w:rPr>
        <w:t xml:space="preserve">ontoteologické pojetí pravdy Anselma do sofistického aristotelského hávu. </w:t>
      </w:r>
      <w:r w:rsidR="08AC5345">
        <w:rPr>
          <w:rStyle w:val="linemarker-marked-line"/>
        </w:rPr>
        <w:t xml:space="preserve">Rufus </w:t>
      </w:r>
      <w:r w:rsidR="08870EA2">
        <w:rPr>
          <w:rStyle w:val="linemarker-marked-line"/>
        </w:rPr>
        <w:t xml:space="preserve">ale </w:t>
      </w:r>
      <w:r w:rsidR="08782CCB">
        <w:rPr>
          <w:rStyle w:val="linemarker-marked-line"/>
        </w:rPr>
        <w:t xml:space="preserve">nemohl oklamat znalce Aristotela </w:t>
      </w:r>
      <w:r w:rsidR="0879473E">
        <w:rPr>
          <w:rStyle w:val="linemarker-marked-line"/>
        </w:rPr>
        <w:t xml:space="preserve">a Komentátora </w:t>
      </w:r>
      <w:r w:rsidR="08782CCB">
        <w:rPr>
          <w:rStyle w:val="linemarker-marked-line"/>
        </w:rPr>
        <w:t xml:space="preserve">jako byl Bacon nebo Albert. </w:t>
      </w:r>
      <w:r w:rsidR="08BC0D23">
        <w:rPr>
          <w:rStyle w:val="linemarker-marked-line"/>
        </w:rPr>
        <w:t xml:space="preserve">Nové pojetí pravdy vychází z eidetického poznání </w:t>
      </w:r>
      <w:r w:rsidR="00AF41A7" w:rsidRPr="00273106">
        <w:rPr>
          <w:rStyle w:val="linemarker-marked-line"/>
        </w:rPr>
        <w:t xml:space="preserve"> moderní </w:t>
      </w:r>
      <w:r w:rsidR="00B341F2">
        <w:rPr>
          <w:rStyle w:val="linemarker-marked-line"/>
        </w:rPr>
        <w:t xml:space="preserve">hypostázované </w:t>
      </w:r>
      <w:r w:rsidR="00AF41A7" w:rsidRPr="00273106">
        <w:rPr>
          <w:rStyle w:val="linemarker-marked-line"/>
        </w:rPr>
        <w:t xml:space="preserve">„věci“ </w:t>
      </w:r>
      <w:r w:rsidR="00B341F2">
        <w:rPr>
          <w:rStyle w:val="linemarker-marked-line"/>
        </w:rPr>
        <w:t>porretánů (</w:t>
      </w:r>
      <w:r w:rsidR="00B341F2" w:rsidRPr="00B341F2">
        <w:rPr>
          <w:rStyle w:val="linemarker-marked-line"/>
          <w:i/>
        </w:rPr>
        <w:t>res</w:t>
      </w:r>
      <w:r w:rsidR="004C5EFA">
        <w:rPr>
          <w:rStyle w:val="linemarker-marked-line"/>
        </w:rPr>
        <w:t xml:space="preserve">), která je v modu mystické </w:t>
      </w:r>
      <w:r w:rsidR="00F961A6">
        <w:rPr>
          <w:rStyle w:val="linemarker-marked-line"/>
        </w:rPr>
        <w:t xml:space="preserve">a intelektuální </w:t>
      </w:r>
      <w:r w:rsidR="004C5EFA">
        <w:rPr>
          <w:rStyle w:val="linemarker-marked-line"/>
        </w:rPr>
        <w:t xml:space="preserve">konjunkce spojena </w:t>
      </w:r>
      <w:r w:rsidR="00F961A6">
        <w:rPr>
          <w:rStyle w:val="linemarker-marked-line"/>
        </w:rPr>
        <w:t>s</w:t>
      </w:r>
      <w:r w:rsidR="009D47B6">
        <w:rPr>
          <w:rStyle w:val="linemarker-marked-line"/>
        </w:rPr>
        <w:t xml:space="preserve"> hypostatickým </w:t>
      </w:r>
      <w:r w:rsidR="00265971" w:rsidRPr="00273106">
        <w:rPr>
          <w:rStyle w:val="linemarker-marked-line"/>
        </w:rPr>
        <w:t>intelekt</w:t>
      </w:r>
      <w:r w:rsidR="009D47B6">
        <w:rPr>
          <w:rStyle w:val="linemarker-marked-line"/>
        </w:rPr>
        <w:t>em</w:t>
      </w:r>
      <w:r w:rsidR="00265971" w:rsidRPr="00273106">
        <w:rPr>
          <w:rStyle w:val="linemarker-marked-line"/>
        </w:rPr>
        <w:t xml:space="preserve"> (</w:t>
      </w:r>
      <w:r w:rsidR="00265971" w:rsidRPr="00273106">
        <w:rPr>
          <w:i/>
        </w:rPr>
        <w:t>coaequatio</w:t>
      </w:r>
      <w:r w:rsidR="008B29C4">
        <w:rPr>
          <w:i/>
        </w:rPr>
        <w:t xml:space="preserve"> </w:t>
      </w:r>
      <w:r w:rsidR="00265971" w:rsidRPr="00273106">
        <w:rPr>
          <w:i/>
        </w:rPr>
        <w:t>rerum et intellectuum</w:t>
      </w:r>
      <w:r w:rsidR="00265971" w:rsidRPr="00273106">
        <w:rPr>
          <w:rStyle w:val="linemarker-marked-line"/>
        </w:rPr>
        <w:t>).</w:t>
      </w:r>
      <w:r w:rsidR="08E96E17">
        <w:rPr>
          <w:rStyle w:val="linemarker-marked-line"/>
        </w:rPr>
        <w:t xml:space="preserve"> </w:t>
      </w:r>
      <w:r w:rsidR="00265971" w:rsidRPr="00273106">
        <w:t>Předešlá část rozboru ukázala, že Rufusovo pojetí existence a substance neodpovídá aristotel</w:t>
      </w:r>
      <w:r w:rsidR="002B42CB">
        <w:t>skému vědeckému</w:t>
      </w:r>
      <w:r w:rsidR="00265971" w:rsidRPr="00273106">
        <w:t xml:space="preserve"> </w:t>
      </w:r>
      <w:r w:rsidR="00BB0857">
        <w:t>sylo</w:t>
      </w:r>
      <w:r w:rsidR="001460C6">
        <w:t>gismu. O</w:t>
      </w:r>
      <w:r w:rsidR="002F6E83">
        <w:t xml:space="preserve">xfordský sofista </w:t>
      </w:r>
      <w:r w:rsidR="00265971" w:rsidRPr="00273106">
        <w:t>odm</w:t>
      </w:r>
      <w:r w:rsidR="00106464">
        <w:t xml:space="preserve">ítá adekvaci </w:t>
      </w:r>
      <w:r w:rsidR="0009406D">
        <w:t xml:space="preserve">danou na základě </w:t>
      </w:r>
      <w:r w:rsidR="00106464">
        <w:t xml:space="preserve">primární </w:t>
      </w:r>
      <w:r w:rsidR="0009406D">
        <w:t>impozice</w:t>
      </w:r>
      <w:r w:rsidR="004F59B7">
        <w:t xml:space="preserve"> </w:t>
      </w:r>
      <w:r w:rsidR="00106464">
        <w:t xml:space="preserve">významu od </w:t>
      </w:r>
      <w:r w:rsidR="00265971" w:rsidRPr="00273106">
        <w:t xml:space="preserve">bytí </w:t>
      </w:r>
      <w:r w:rsidR="0025003A">
        <w:t xml:space="preserve">reálné </w:t>
      </w:r>
      <w:r w:rsidR="00265971" w:rsidRPr="00273106">
        <w:t xml:space="preserve">první substance. </w:t>
      </w:r>
      <w:r w:rsidR="00EB7536">
        <w:t xml:space="preserve">Myslitelé </w:t>
      </w:r>
      <w:r w:rsidR="00EB7536" w:rsidRPr="00EB7536">
        <w:rPr>
          <w:i/>
        </w:rPr>
        <w:t>Oxfordian Fallacy</w:t>
      </w:r>
      <w:r w:rsidR="00EB7536">
        <w:t xml:space="preserve"> </w:t>
      </w:r>
      <w:r w:rsidR="004E3571" w:rsidRPr="00273106">
        <w:t>nevid</w:t>
      </w:r>
      <w:r w:rsidR="00EB7536">
        <w:t xml:space="preserve">í metafyzický </w:t>
      </w:r>
      <w:r w:rsidR="004E3571" w:rsidRPr="00273106">
        <w:t xml:space="preserve">rozdíl </w:t>
      </w:r>
      <w:r w:rsidR="080B2FB2">
        <w:t xml:space="preserve">v predikaci </w:t>
      </w:r>
      <w:r w:rsidR="004E3571" w:rsidRPr="00273106">
        <w:t>trojúhelníka a reálné hylemorfické</w:t>
      </w:r>
      <w:r w:rsidR="080B2FB2">
        <w:t xml:space="preserve"> věci</w:t>
      </w:r>
      <w:r w:rsidR="004E3571" w:rsidRPr="00273106">
        <w:t xml:space="preserve">. </w:t>
      </w:r>
      <w:r w:rsidR="00FC7010">
        <w:t>Z</w:t>
      </w:r>
      <w:r w:rsidR="002D2BD0">
        <w:t xml:space="preserve">avedení pravdy jako matematické rovnosti </w:t>
      </w:r>
      <w:r w:rsidR="00FC7010">
        <w:t>a</w:t>
      </w:r>
      <w:r w:rsidR="002D2BD0">
        <w:t>bsolutizuje p</w:t>
      </w:r>
      <w:r w:rsidR="00265971" w:rsidRPr="00273106">
        <w:t>oužití trojúhelníka, geometrie a aritm</w:t>
      </w:r>
      <w:r w:rsidR="08EC4366">
        <w:t xml:space="preserve">etiky ve vědeckém důkazu. </w:t>
      </w:r>
      <w:r w:rsidR="005A1514" w:rsidRPr="005A1514">
        <w:t xml:space="preserve">Analytický způsob Rufusovy predikace </w:t>
      </w:r>
      <w:r w:rsidR="005A1514">
        <w:t xml:space="preserve">používá </w:t>
      </w:r>
      <w:r w:rsidR="005A1514" w:rsidRPr="005A1514">
        <w:t xml:space="preserve">logickou abstrakci chybným způsobem, který odkazuje na </w:t>
      </w:r>
      <w:r w:rsidR="005A1514">
        <w:t xml:space="preserve">reálnou kauzalitu prvních substancí </w:t>
      </w:r>
      <w:r w:rsidR="08EC4366">
        <w:t>(</w:t>
      </w:r>
      <w:r w:rsidR="08EC4366" w:rsidRPr="08E37C3D">
        <w:rPr>
          <w:i/>
        </w:rPr>
        <w:t xml:space="preserve">medium et causa </w:t>
      </w:r>
      <w:r w:rsidR="08EC4366" w:rsidRPr="08E91126">
        <w:rPr>
          <w:i/>
        </w:rPr>
        <w:t>idem</w:t>
      </w:r>
      <w:r w:rsidR="08EC4366">
        <w:t xml:space="preserve">, kap. </w:t>
      </w:r>
      <w:r w:rsidR="081C61D5">
        <w:t>3</w:t>
      </w:r>
      <w:r w:rsidR="08EC4366" w:rsidRPr="08E91126">
        <w:t>.3.1</w:t>
      </w:r>
      <w:r w:rsidR="08EC4366">
        <w:t>)</w:t>
      </w:r>
      <w:r w:rsidR="00265971" w:rsidRPr="00273106">
        <w:t xml:space="preserve">. </w:t>
      </w:r>
      <w:r w:rsidR="087A67B3">
        <w:t>H</w:t>
      </w:r>
      <w:r w:rsidR="087A67B3">
        <w:rPr>
          <w:rStyle w:val="linemarker-marked-line"/>
        </w:rPr>
        <w:t>ermeneut</w:t>
      </w:r>
      <w:r w:rsidR="08C65413">
        <w:rPr>
          <w:rStyle w:val="linemarker-marked-line"/>
        </w:rPr>
        <w:t xml:space="preserve">ika musí </w:t>
      </w:r>
      <w:r w:rsidR="00307DC6">
        <w:rPr>
          <w:rStyle w:val="linemarker-marked-line"/>
        </w:rPr>
        <w:t xml:space="preserve">podle Heideggera </w:t>
      </w:r>
      <w:r w:rsidR="08C65413">
        <w:rPr>
          <w:rStyle w:val="linemarker-marked-line"/>
        </w:rPr>
        <w:t xml:space="preserve">vyložit fundamentální způsob, </w:t>
      </w:r>
      <w:r w:rsidR="00307DC6">
        <w:rPr>
          <w:rStyle w:val="linemarker-marked-line"/>
        </w:rPr>
        <w:t>„</w:t>
      </w:r>
      <w:r w:rsidR="087A67B3">
        <w:rPr>
          <w:rStyle w:val="linemarker-marked-line"/>
        </w:rPr>
        <w:t>jak</w:t>
      </w:r>
      <w:r w:rsidR="00307DC6">
        <w:rPr>
          <w:rStyle w:val="linemarker-marked-line"/>
        </w:rPr>
        <w:t>“</w:t>
      </w:r>
      <w:r w:rsidR="087A67B3">
        <w:rPr>
          <w:rStyle w:val="linemarker-marked-line"/>
        </w:rPr>
        <w:t xml:space="preserve"> je pravdivě dáno bytí jsoucna v modu této vzájemné či společné</w:t>
      </w:r>
      <w:r w:rsidR="087A67B3" w:rsidRPr="00273106">
        <w:rPr>
          <w:rStyle w:val="linemarker-marked-line"/>
        </w:rPr>
        <w:t xml:space="preserve"> </w:t>
      </w:r>
      <w:r w:rsidR="087A67B3">
        <w:rPr>
          <w:rStyle w:val="linemarker-marked-line"/>
        </w:rPr>
        <w:t xml:space="preserve">rovnosti </w:t>
      </w:r>
      <w:r w:rsidR="087A67B3" w:rsidRPr="00273106">
        <w:rPr>
          <w:rStyle w:val="linemarker-marked-line"/>
        </w:rPr>
        <w:t>(</w:t>
      </w:r>
      <w:r w:rsidR="087A67B3" w:rsidRPr="00273106">
        <w:rPr>
          <w:i/>
        </w:rPr>
        <w:t>coaequatio</w:t>
      </w:r>
      <w:r w:rsidR="087A67B3">
        <w:rPr>
          <w:i/>
        </w:rPr>
        <w:fldChar w:fldCharType="begin"/>
      </w:r>
      <w:r w:rsidR="087A67B3">
        <w:instrText xml:space="preserve"> XE "pravda:</w:instrText>
      </w:r>
      <w:r w:rsidR="087A67B3" w:rsidRPr="00E11E1F">
        <w:rPr>
          <w:i/>
        </w:rPr>
        <w:instrText>coaequatio</w:instrText>
      </w:r>
      <w:r w:rsidR="087A67B3">
        <w:instrText xml:space="preserve">" </w:instrText>
      </w:r>
      <w:r w:rsidR="087A67B3">
        <w:rPr>
          <w:i/>
        </w:rPr>
        <w:fldChar w:fldCharType="end"/>
      </w:r>
      <w:r w:rsidR="087A67B3" w:rsidRPr="00273106">
        <w:rPr>
          <w:rStyle w:val="linemarker-marked-line"/>
        </w:rPr>
        <w:t>)</w:t>
      </w:r>
      <w:r w:rsidR="087A67B3">
        <w:rPr>
          <w:rStyle w:val="linemarker-marked-line"/>
        </w:rPr>
        <w:t xml:space="preserve">. </w:t>
      </w:r>
      <w:r w:rsidR="087A67B3">
        <w:t xml:space="preserve">V novém </w:t>
      </w:r>
      <w:r w:rsidR="00FF04B6" w:rsidRPr="00273106">
        <w:t>predikati</w:t>
      </w:r>
      <w:r w:rsidR="087A67B3">
        <w:t>vním modu</w:t>
      </w:r>
      <w:r w:rsidR="087A67B3" w:rsidRPr="087A67B3">
        <w:t xml:space="preserve"> </w:t>
      </w:r>
      <w:r w:rsidR="087A67B3" w:rsidRPr="00273106">
        <w:t>dostala</w:t>
      </w:r>
      <w:r w:rsidR="087A67B3">
        <w:t xml:space="preserve"> kopula </w:t>
      </w:r>
      <w:r w:rsidR="00FF04B6" w:rsidRPr="00273106">
        <w:t xml:space="preserve">logický význam </w:t>
      </w:r>
      <w:r w:rsidR="087A67B3">
        <w:t xml:space="preserve">abstraktní univoční </w:t>
      </w:r>
      <w:r w:rsidR="08796765">
        <w:t>syntézy</w:t>
      </w:r>
      <w:r w:rsidR="001937AA">
        <w:t xml:space="preserve"> a nikoliv </w:t>
      </w:r>
      <w:r w:rsidR="087A67B3" w:rsidRPr="00273106">
        <w:t>metafyzick</w:t>
      </w:r>
      <w:r w:rsidR="087A67B3">
        <w:t>é</w:t>
      </w:r>
      <w:r w:rsidR="087A67B3" w:rsidRPr="00273106">
        <w:t xml:space="preserve"> </w:t>
      </w:r>
      <w:r w:rsidR="001937AA">
        <w:t>adekvace.</w:t>
      </w:r>
      <w:r w:rsidR="0021113B">
        <w:t xml:space="preserve"> </w:t>
      </w:r>
      <w:r w:rsidR="087A67B3">
        <w:t xml:space="preserve">Pojetí pravdy jako </w:t>
      </w:r>
      <w:r w:rsidR="087A67B3" w:rsidRPr="00273106">
        <w:rPr>
          <w:i/>
        </w:rPr>
        <w:t>coaequatio</w:t>
      </w:r>
      <w:r w:rsidR="087A67B3">
        <w:rPr>
          <w:i/>
        </w:rPr>
        <w:t xml:space="preserve"> </w:t>
      </w:r>
      <w:r w:rsidR="08D44F21">
        <w:rPr>
          <w:rStyle w:val="linemarker-marked-line"/>
        </w:rPr>
        <w:t xml:space="preserve">napovídá, že základem je </w:t>
      </w:r>
      <w:r w:rsidR="08265D0E">
        <w:rPr>
          <w:rStyle w:val="linemarker-marked-line"/>
        </w:rPr>
        <w:t>matematická rovnost</w:t>
      </w:r>
      <w:r w:rsidR="08D44F21">
        <w:rPr>
          <w:rStyle w:val="linemarker-marked-line"/>
        </w:rPr>
        <w:t xml:space="preserve"> daná v rámci logické abstrakce</w:t>
      </w:r>
      <w:r w:rsidR="084818E9">
        <w:rPr>
          <w:rStyle w:val="linemarker-marked-line"/>
        </w:rPr>
        <w:t xml:space="preserve"> a vyjádřená ve formě analogické predikace</w:t>
      </w:r>
      <w:r w:rsidR="08D44F21">
        <w:rPr>
          <w:rStyle w:val="linemarker-marked-line"/>
        </w:rPr>
        <w:t xml:space="preserve">. </w:t>
      </w:r>
      <w:r w:rsidR="00D34BBA" w:rsidRPr="00273106">
        <w:t>Základ</w:t>
      </w:r>
      <w:r w:rsidR="00CE2B43" w:rsidRPr="00273106">
        <w:t xml:space="preserve"> </w:t>
      </w:r>
      <w:r w:rsidR="00CA1900" w:rsidRPr="00273106">
        <w:t xml:space="preserve">nové jednoty evidentně nazírané spekulativní myslí </w:t>
      </w:r>
      <w:r w:rsidR="00F81188" w:rsidRPr="00273106">
        <w:t xml:space="preserve">osvícených </w:t>
      </w:r>
      <w:r w:rsidR="00CA1900" w:rsidRPr="00273106">
        <w:rPr>
          <w:i/>
        </w:rPr>
        <w:t>Modernorum</w:t>
      </w:r>
      <w:r w:rsidR="00CA1900" w:rsidRPr="00273106">
        <w:t xml:space="preserve"> </w:t>
      </w:r>
      <w:r w:rsidR="00D34BBA" w:rsidRPr="00273106">
        <w:t>představu</w:t>
      </w:r>
      <w:r w:rsidR="00CA1900" w:rsidRPr="00273106">
        <w:t xml:space="preserve">je </w:t>
      </w:r>
      <w:r w:rsidR="00874074">
        <w:t>neoplatonsk</w:t>
      </w:r>
      <w:r w:rsidR="004B28F6" w:rsidRPr="00273106">
        <w:t xml:space="preserve">ý </w:t>
      </w:r>
      <w:r w:rsidR="00CC23CE" w:rsidRPr="00273106">
        <w:t>statut rozsažnosti</w:t>
      </w:r>
      <w:r w:rsidR="00563FF5">
        <w:t xml:space="preserve"> a tělesa třetího druhu (</w:t>
      </w:r>
      <w:r w:rsidR="08350198">
        <w:t xml:space="preserve">OBJ I, </w:t>
      </w:r>
      <w:r w:rsidR="084E7952">
        <w:t>kap. 1.3</w:t>
      </w:r>
      <w:r w:rsidR="00563FF5">
        <w:t>.3)</w:t>
      </w:r>
      <w:r w:rsidR="08C07C47" w:rsidRPr="00273106">
        <w:t xml:space="preserve">. </w:t>
      </w:r>
      <w:r w:rsidR="083057C7" w:rsidRPr="00273106">
        <w:rPr>
          <w:rStyle w:val="TextpoznpodarouChar"/>
        </w:rPr>
        <w:t>Rufus se v</w:t>
      </w:r>
      <w:r w:rsidR="083057C7" w:rsidRPr="00273106">
        <w:rPr>
          <w:rStyle w:val="linemarker-marked-line"/>
        </w:rPr>
        <w:t>r</w:t>
      </w:r>
      <w:r w:rsidR="083057C7" w:rsidRPr="00273106">
        <w:t xml:space="preserve">átil k Avicennově </w:t>
      </w:r>
      <w:r w:rsidR="00541D32">
        <w:t>neoplatonskému</w:t>
      </w:r>
      <w:r w:rsidR="00AF1396" w:rsidRPr="00273106">
        <w:t xml:space="preserve"> pojetí </w:t>
      </w:r>
      <w:r w:rsidR="00CB7CAC" w:rsidRPr="00273106">
        <w:t xml:space="preserve">kvantity a rozsažnosti </w:t>
      </w:r>
      <w:r w:rsidR="083057C7" w:rsidRPr="00273106">
        <w:t>(</w:t>
      </w:r>
      <w:r w:rsidR="00AF1396" w:rsidRPr="00273106">
        <w:rPr>
          <w:i/>
        </w:rPr>
        <w:t>non est necesse esse in corpore tres dimensiones in effectu</w:t>
      </w:r>
      <w:r w:rsidR="08350198">
        <w:t xml:space="preserve">; OBJ I, </w:t>
      </w:r>
      <w:r w:rsidR="00CB70FA" w:rsidRPr="00273106">
        <w:t xml:space="preserve">kap. 2.3.3). </w:t>
      </w:r>
      <w:r w:rsidR="00845E69">
        <w:t xml:space="preserve">Matematický </w:t>
      </w:r>
      <w:r w:rsidR="00032084" w:rsidRPr="00273106">
        <w:t>počet (</w:t>
      </w:r>
      <w:r w:rsidR="00032084" w:rsidRPr="00273106">
        <w:rPr>
          <w:i/>
        </w:rPr>
        <w:t>numerus</w:t>
      </w:r>
      <w:r w:rsidR="00032084" w:rsidRPr="00273106">
        <w:t xml:space="preserve">) </w:t>
      </w:r>
      <w:r w:rsidR="00845E69">
        <w:t xml:space="preserve">se stal </w:t>
      </w:r>
      <w:r w:rsidR="00032084" w:rsidRPr="00273106">
        <w:t>společný</w:t>
      </w:r>
      <w:r w:rsidR="00845E69">
        <w:t>m</w:t>
      </w:r>
      <w:r w:rsidR="00032084" w:rsidRPr="00273106">
        <w:t xml:space="preserve"> jmenovatel</w:t>
      </w:r>
      <w:r w:rsidR="00845E69">
        <w:t>em</w:t>
      </w:r>
      <w:r w:rsidR="000373B4">
        <w:t xml:space="preserve"> obou věd</w:t>
      </w:r>
      <w:r w:rsidR="00026D3B">
        <w:fldChar w:fldCharType="begin"/>
      </w:r>
      <w:r w:rsidR="00026D3B">
        <w:instrText xml:space="preserve"> XE "</w:instrText>
      </w:r>
      <w:r w:rsidR="00026D3B" w:rsidRPr="0097667B">
        <w:instrText>těleso:třetího druhu</w:instrText>
      </w:r>
      <w:r w:rsidR="00026D3B">
        <w:instrText xml:space="preserve">" </w:instrText>
      </w:r>
      <w:r w:rsidR="00026D3B">
        <w:fldChar w:fldCharType="end"/>
      </w:r>
      <w:r w:rsidR="000373B4">
        <w:t xml:space="preserve">. </w:t>
      </w:r>
      <w:r w:rsidR="0877191E">
        <w:t xml:space="preserve">Spis </w:t>
      </w:r>
      <w:r w:rsidR="00032084" w:rsidRPr="0021113B">
        <w:rPr>
          <w:i/>
        </w:rPr>
        <w:t>Druhé analytiky</w:t>
      </w:r>
      <w:r w:rsidR="00032084" w:rsidRPr="00273106">
        <w:t xml:space="preserve"> </w:t>
      </w:r>
      <w:r w:rsidR="00E72076">
        <w:t xml:space="preserve">univerzální </w:t>
      </w:r>
      <w:r w:rsidR="000373B4">
        <w:t xml:space="preserve">použití matematiky </w:t>
      </w:r>
      <w:r w:rsidR="00032084" w:rsidRPr="00273106">
        <w:t>v</w:t>
      </w:r>
      <w:r w:rsidR="0877191E">
        <w:t>ýslovně zakazuje</w:t>
      </w:r>
      <w:r w:rsidR="081E32E8">
        <w:t>, protože nejde přejít z jednoho rodu na druhý. Matematika může určovat geometrický důkaz jen tehdy, pokud je vedený kvantitativně pomocí čísel</w:t>
      </w:r>
      <w:r w:rsidR="00032084" w:rsidRPr="00273106">
        <w:t>.</w:t>
      </w:r>
      <w:r w:rsidR="00032084" w:rsidRPr="00273106">
        <w:rPr>
          <w:rStyle w:val="Znakapoznpodarou"/>
        </w:rPr>
        <w:footnoteReference w:id="408"/>
      </w:r>
      <w:r w:rsidR="00032084" w:rsidRPr="00273106">
        <w:t xml:space="preserve"> </w:t>
      </w:r>
      <w:r w:rsidR="00C94391" w:rsidRPr="00273106">
        <w:t>N</w:t>
      </w:r>
      <w:r w:rsidR="007266E5">
        <w:t>ové pojetí individua dané n</w:t>
      </w:r>
      <w:r w:rsidR="000E2094" w:rsidRPr="00273106">
        <w:t xml:space="preserve">umericky </w:t>
      </w:r>
      <w:r w:rsidR="08A659A0" w:rsidRPr="00273106">
        <w:t xml:space="preserve">má </w:t>
      </w:r>
      <w:r w:rsidR="08783675">
        <w:t>u Rufuse univerzální charakter. Č</w:t>
      </w:r>
      <w:r w:rsidR="000E2094" w:rsidRPr="00273106">
        <w:t xml:space="preserve">íslo </w:t>
      </w:r>
      <w:r w:rsidR="08A659A0" w:rsidRPr="00273106">
        <w:t xml:space="preserve">je poslední </w:t>
      </w:r>
      <w:r w:rsidR="000E2094" w:rsidRPr="00273106">
        <w:t>univočně daná a dále</w:t>
      </w:r>
      <w:r w:rsidR="08A659A0" w:rsidRPr="00273106">
        <w:t xml:space="preserve"> nedělitelná entita</w:t>
      </w:r>
      <w:r w:rsidR="08941921" w:rsidRPr="00273106">
        <w:t xml:space="preserve"> </w:t>
      </w:r>
      <w:r w:rsidR="00494D2C" w:rsidRPr="00273106">
        <w:t xml:space="preserve">zakládají výslednou </w:t>
      </w:r>
      <w:r w:rsidR="00127816">
        <w:t xml:space="preserve">„metafyzickou“ </w:t>
      </w:r>
      <w:r w:rsidR="00494D2C" w:rsidRPr="00273106">
        <w:t xml:space="preserve">jednotu </w:t>
      </w:r>
      <w:r w:rsidR="08941921" w:rsidRPr="00273106">
        <w:t>(</w:t>
      </w:r>
      <w:r w:rsidR="08941921" w:rsidRPr="00273106">
        <w:rPr>
          <w:i/>
        </w:rPr>
        <w:t>in numero causatur a natura unitatis</w:t>
      </w:r>
      <w:r w:rsidR="082C18FA">
        <w:t>, kap. 3</w:t>
      </w:r>
      <w:r w:rsidR="08941921" w:rsidRPr="00273106">
        <w:t>.3.1)</w:t>
      </w:r>
      <w:r w:rsidR="000E2094" w:rsidRPr="00273106">
        <w:t xml:space="preserve">. </w:t>
      </w:r>
      <w:r w:rsidR="00255350" w:rsidRPr="00273106">
        <w:t>A</w:t>
      </w:r>
      <w:r w:rsidR="00255350" w:rsidRPr="00273106">
        <w:rPr>
          <w:rStyle w:val="linemarker-marked-line"/>
        </w:rPr>
        <w:t xml:space="preserve">ritmetika na rozdíl od geometrie je </w:t>
      </w:r>
      <w:r w:rsidR="00255350" w:rsidRPr="00273106">
        <w:t xml:space="preserve">první vědou v řádu abstrakce a univerzality, protože číslo už nedělitelně (a tedy individuálně) určuje geometrické nebo smyslové vnímání </w:t>
      </w:r>
      <w:r w:rsidR="00023CAE">
        <w:t>reálných těles.</w:t>
      </w:r>
      <w:r w:rsidR="00026D3B">
        <w:fldChar w:fldCharType="begin"/>
      </w:r>
      <w:r w:rsidR="00026D3B">
        <w:instrText xml:space="preserve"> XE "</w:instrText>
      </w:r>
      <w:r w:rsidR="00026D3B" w:rsidRPr="00C0320C">
        <w:instrText>metafyzika:matematika</w:instrText>
      </w:r>
      <w:r w:rsidR="00026D3B">
        <w:instrText xml:space="preserve">" </w:instrText>
      </w:r>
      <w:r w:rsidR="00026D3B">
        <w:fldChar w:fldCharType="end"/>
      </w:r>
      <w:r w:rsidR="00255350" w:rsidRPr="00273106">
        <w:rPr>
          <w:rStyle w:val="Znakapoznpodarou"/>
        </w:rPr>
        <w:footnoteReference w:id="409"/>
      </w:r>
      <w:r w:rsidR="00255350">
        <w:t xml:space="preserve"> </w:t>
      </w:r>
      <w:r w:rsidR="00F87404" w:rsidRPr="00F87404">
        <w:t xml:space="preserve">Opět je pravda, že matematická logika nahradila </w:t>
      </w:r>
      <w:r w:rsidR="00F87404">
        <w:t xml:space="preserve">nauku </w:t>
      </w:r>
      <w:r w:rsidR="00F87404" w:rsidRPr="00F87404">
        <w:rPr>
          <w:i/>
        </w:rPr>
        <w:t>Metafyziky</w:t>
      </w:r>
      <w:r w:rsidR="00287E41">
        <w:t xml:space="preserve">. V </w:t>
      </w:r>
      <w:r w:rsidR="00F87404" w:rsidRPr="00F87404">
        <w:t xml:space="preserve">případě moderního pojetí tělesnosti byla dokonce vynechána </w:t>
      </w:r>
      <w:r w:rsidR="00F87404">
        <w:t xml:space="preserve">i </w:t>
      </w:r>
      <w:r w:rsidR="00F87404" w:rsidRPr="00F87404">
        <w:rPr>
          <w:i/>
        </w:rPr>
        <w:t>Fyzika</w:t>
      </w:r>
      <w:r w:rsidR="00F87404">
        <w:t>, která předpokládá</w:t>
      </w:r>
      <w:r w:rsidR="00F87404" w:rsidRPr="00F87404">
        <w:t xml:space="preserve"> empirické poznání fyzických těles jako základ přírodních věd.</w:t>
      </w:r>
      <w:r w:rsidR="00F87404">
        <w:t xml:space="preserve"> </w:t>
      </w:r>
      <w:r w:rsidR="00B26D15">
        <w:t xml:space="preserve">Matematika </w:t>
      </w:r>
      <w:r w:rsidR="00864D10" w:rsidRPr="00273106">
        <w:t xml:space="preserve">definovaná abstraktním pojetím </w:t>
      </w:r>
      <w:r w:rsidR="00135CE1" w:rsidRPr="00273106">
        <w:t>číselné řady (</w:t>
      </w:r>
      <w:r w:rsidR="00135CE1" w:rsidRPr="00273106">
        <w:rPr>
          <w:i/>
        </w:rPr>
        <w:t>numerus</w:t>
      </w:r>
      <w:r w:rsidR="00135CE1" w:rsidRPr="00273106">
        <w:t xml:space="preserve">) </w:t>
      </w:r>
      <w:r w:rsidR="00864D10" w:rsidRPr="00273106">
        <w:t xml:space="preserve">představuje </w:t>
      </w:r>
      <w:r w:rsidR="000E2094" w:rsidRPr="00273106">
        <w:t xml:space="preserve">pro </w:t>
      </w:r>
      <w:r w:rsidR="086A4E2F">
        <w:t xml:space="preserve">nominalistu </w:t>
      </w:r>
      <w:r w:rsidR="000E2094" w:rsidRPr="00273106">
        <w:t xml:space="preserve">Rufuse </w:t>
      </w:r>
      <w:r w:rsidR="00864D10" w:rsidRPr="00273106">
        <w:t>p</w:t>
      </w:r>
      <w:r w:rsidR="00AA1DB4" w:rsidRPr="00273106">
        <w:t>osled</w:t>
      </w:r>
      <w:r w:rsidR="00871EA7" w:rsidRPr="00273106">
        <w:t>ní</w:t>
      </w:r>
      <w:r w:rsidR="005259B4" w:rsidRPr="00273106">
        <w:t xml:space="preserve"> určení </w:t>
      </w:r>
      <w:r w:rsidR="004B4D52" w:rsidRPr="004B4D52">
        <w:t>species</w:t>
      </w:r>
      <w:r w:rsidR="005259B4"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83B7849">
        <w:t xml:space="preserve">. Tento iluminát </w:t>
      </w:r>
      <w:r w:rsidR="089C5D12">
        <w:t>chápe</w:t>
      </w:r>
      <w:r w:rsidR="00B872C0" w:rsidRPr="00273106">
        <w:t xml:space="preserve"> </w:t>
      </w:r>
      <w:r w:rsidR="083B7849">
        <w:t>mystiku čísel (</w:t>
      </w:r>
      <w:r w:rsidR="083B7849" w:rsidRPr="083B7849">
        <w:rPr>
          <w:i/>
        </w:rPr>
        <w:t>numerus</w:t>
      </w:r>
      <w:r w:rsidR="083B7849">
        <w:t xml:space="preserve">) </w:t>
      </w:r>
      <w:r w:rsidR="08A747FE" w:rsidRPr="00273106">
        <w:t xml:space="preserve">v podobě jsoucna třetího druhu, </w:t>
      </w:r>
      <w:r w:rsidR="089C5D12">
        <w:t xml:space="preserve">tedy </w:t>
      </w:r>
      <w:r w:rsidR="00B872C0" w:rsidRPr="00273106">
        <w:t xml:space="preserve">jako </w:t>
      </w:r>
      <w:r w:rsidR="00E111E1" w:rsidRPr="00273106">
        <w:t>individualizovanu</w:t>
      </w:r>
      <w:r w:rsidR="001166DF" w:rsidRPr="00273106">
        <w:t xml:space="preserve"> </w:t>
      </w:r>
      <w:r w:rsidR="00E111E1" w:rsidRPr="00273106">
        <w:t>formu-substanci</w:t>
      </w:r>
      <w:r w:rsidR="005259B4" w:rsidRPr="00273106">
        <w:t>.</w:t>
      </w:r>
      <w:r w:rsidR="001A7F1F">
        <w:t xml:space="preserve"> Moderní matematizaci světa</w:t>
      </w:r>
      <w:r w:rsidR="00026D3B">
        <w:fldChar w:fldCharType="begin"/>
      </w:r>
      <w:r w:rsidR="00026D3B">
        <w:instrText xml:space="preserve"> XE "</w:instrText>
      </w:r>
      <w:r w:rsidR="00026D3B" w:rsidRPr="008E1AD0">
        <w:instrText>matematizace světa</w:instrText>
      </w:r>
      <w:r w:rsidR="00026D3B">
        <w:instrText xml:space="preserve">" </w:instrText>
      </w:r>
      <w:r w:rsidR="00026D3B">
        <w:fldChar w:fldCharType="end"/>
      </w:r>
      <w:r w:rsidR="001A7F1F">
        <w:t xml:space="preserve"> ve formě univerzálního </w:t>
      </w:r>
      <w:r w:rsidR="001A7F1F" w:rsidRPr="001A7F1F">
        <w:rPr>
          <w:i/>
        </w:rPr>
        <w:t>scibile</w:t>
      </w:r>
      <w:r w:rsidR="001A7F1F">
        <w:t xml:space="preserve"> ukazuje následující citát.</w:t>
      </w:r>
    </w:p>
    <w:p w14:paraId="4959E17B" w14:textId="496FE6AC" w:rsidR="00B971D6" w:rsidRPr="00273106" w:rsidRDefault="005259B4" w:rsidP="001104D3">
      <w:pPr>
        <w:pStyle w:val="Citace"/>
        <w:rPr>
          <w:rStyle w:val="linemarker-marked-line"/>
          <w:noProof/>
          <w:lang w:val="cs-CZ"/>
        </w:rPr>
      </w:pPr>
      <w:r w:rsidRPr="00273106">
        <w:rPr>
          <w:rStyle w:val="linemarker-marked-line"/>
          <w:noProof/>
          <w:lang w:val="cs-CZ"/>
        </w:rPr>
        <w:t>„</w:t>
      </w:r>
      <w:r w:rsidR="006B561A">
        <w:rPr>
          <w:rStyle w:val="linemarker-marked-line"/>
          <w:noProof/>
          <w:lang w:val="cs-CZ"/>
        </w:rPr>
        <w:t xml:space="preserve">V případě, že je číslo dané </w:t>
      </w:r>
      <w:r w:rsidR="001104D3" w:rsidRPr="00273106">
        <w:rPr>
          <w:rStyle w:val="linemarker-marked-line"/>
          <w:noProof/>
          <w:lang w:val="cs-CZ"/>
        </w:rPr>
        <w:t>akcidentálně</w:t>
      </w:r>
      <w:r w:rsidR="006B561A">
        <w:rPr>
          <w:rStyle w:val="linemarker-marked-line"/>
          <w:noProof/>
          <w:lang w:val="cs-CZ"/>
        </w:rPr>
        <w:t xml:space="preserve">, pak </w:t>
      </w:r>
      <w:r w:rsidR="001A7F1F">
        <w:rPr>
          <w:rStyle w:val="linemarker-marked-line"/>
          <w:noProof/>
          <w:lang w:val="cs-CZ"/>
        </w:rPr>
        <w:t>působí u</w:t>
      </w:r>
      <w:r w:rsidR="001104D3" w:rsidRPr="00273106">
        <w:rPr>
          <w:rStyle w:val="linemarker-marked-line"/>
          <w:noProof/>
          <w:lang w:val="cs-CZ"/>
        </w:rPr>
        <w:t>niverzálně skrze individuaci formy</w:t>
      </w:r>
      <w:r w:rsidR="008E1DCE">
        <w:rPr>
          <w:rStyle w:val="linemarker-marked-line"/>
          <w:noProof/>
          <w:lang w:val="cs-CZ"/>
        </w:rPr>
        <w:t xml:space="preserve"> (</w:t>
      </w:r>
      <w:r w:rsidR="008E1DCE" w:rsidRPr="008E1DCE">
        <w:rPr>
          <w:rStyle w:val="linemarker-marked-line"/>
          <w:i/>
        </w:rPr>
        <w:t>universaliter causatur ex individuatione formae</w:t>
      </w:r>
      <w:r w:rsidR="008E1DCE">
        <w:rPr>
          <w:rStyle w:val="linemarker-marked-line"/>
          <w:noProof/>
          <w:lang w:val="cs-CZ"/>
        </w:rPr>
        <w:t>)</w:t>
      </w:r>
      <w:r w:rsidR="001104D3" w:rsidRPr="00273106">
        <w:rPr>
          <w:rStyle w:val="linemarker-marked-line"/>
          <w:noProof/>
          <w:lang w:val="cs-CZ"/>
        </w:rPr>
        <w:t>.  Rozsažnost je dána ind</w:t>
      </w:r>
      <w:r w:rsidR="083D0B24">
        <w:rPr>
          <w:rStyle w:val="linemarker-marked-line"/>
          <w:noProof/>
          <w:lang w:val="cs-CZ"/>
        </w:rPr>
        <w:t xml:space="preserve">ividuací této formy v materii. Nikoliv </w:t>
      </w:r>
      <w:r w:rsidR="00E95C69">
        <w:rPr>
          <w:rStyle w:val="linemarker-marked-line"/>
          <w:noProof/>
          <w:lang w:val="cs-CZ"/>
        </w:rPr>
        <w:t>skrze jakou</w:t>
      </w:r>
      <w:r w:rsidR="001104D3" w:rsidRPr="00273106">
        <w:rPr>
          <w:rStyle w:val="linemarker-marked-line"/>
          <w:noProof/>
          <w:lang w:val="cs-CZ"/>
        </w:rPr>
        <w:t>koliv</w:t>
      </w:r>
      <w:r w:rsidR="002400E3">
        <w:rPr>
          <w:rStyle w:val="linemarker-marked-line"/>
          <w:noProof/>
          <w:lang w:val="cs-CZ"/>
        </w:rPr>
        <w:t xml:space="preserve"> formu</w:t>
      </w:r>
      <w:r w:rsidR="001104D3" w:rsidRPr="00273106">
        <w:rPr>
          <w:rStyle w:val="linemarker-marked-line"/>
          <w:noProof/>
          <w:lang w:val="cs-CZ"/>
        </w:rPr>
        <w:t xml:space="preserve">, ale </w:t>
      </w:r>
      <w:r w:rsidR="002400E3">
        <w:rPr>
          <w:rStyle w:val="linemarker-marked-line"/>
          <w:noProof/>
          <w:lang w:val="cs-CZ"/>
        </w:rPr>
        <w:t xml:space="preserve">skrze </w:t>
      </w:r>
      <w:r w:rsidR="00237260">
        <w:rPr>
          <w:rStyle w:val="linemarker-marked-line"/>
          <w:noProof/>
          <w:lang w:val="cs-CZ"/>
        </w:rPr>
        <w:t>tu, která je dána</w:t>
      </w:r>
      <w:r w:rsidR="001104D3" w:rsidRPr="00273106">
        <w:rPr>
          <w:rStyle w:val="linemarker-marked-line"/>
          <w:noProof/>
          <w:lang w:val="cs-CZ"/>
        </w:rPr>
        <w:t xml:space="preserve"> v prost</w:t>
      </w:r>
      <w:r w:rsidR="00A84539">
        <w:rPr>
          <w:rStyle w:val="linemarker-marked-line"/>
          <w:noProof/>
          <w:lang w:val="cs-CZ"/>
        </w:rPr>
        <w:t>oru a skrze materiální extenzi.</w:t>
      </w:r>
      <w:r w:rsidR="003A595E">
        <w:rPr>
          <w:rStyle w:val="linemarker-marked-line"/>
          <w:noProof/>
          <w:lang w:val="cs-CZ"/>
        </w:rPr>
        <w:t xml:space="preserve"> </w:t>
      </w:r>
      <w:r w:rsidR="004A7A38">
        <w:rPr>
          <w:rStyle w:val="linemarker-marked-line"/>
          <w:noProof/>
          <w:lang w:val="cs-CZ"/>
        </w:rPr>
        <w:t xml:space="preserve">Číslo </w:t>
      </w:r>
      <w:r w:rsidR="08C13992">
        <w:rPr>
          <w:rStyle w:val="linemarker-marked-line"/>
          <w:noProof/>
          <w:lang w:val="cs-CZ"/>
        </w:rPr>
        <w:t xml:space="preserve">působí apriorně a </w:t>
      </w:r>
      <w:r w:rsidR="001104D3" w:rsidRPr="00273106">
        <w:rPr>
          <w:rStyle w:val="linemarker-marked-line"/>
          <w:noProof/>
          <w:lang w:val="cs-CZ"/>
        </w:rPr>
        <w:t xml:space="preserve">kauzálně </w:t>
      </w:r>
      <w:r w:rsidR="08C13992">
        <w:rPr>
          <w:rStyle w:val="linemarker-marked-line"/>
          <w:noProof/>
          <w:lang w:val="cs-CZ"/>
        </w:rPr>
        <w:t>s</w:t>
      </w:r>
      <w:r w:rsidR="003A595E">
        <w:rPr>
          <w:rStyle w:val="linemarker-marked-line"/>
          <w:noProof/>
          <w:lang w:val="cs-CZ"/>
        </w:rPr>
        <w:t xml:space="preserve">krze svou podstatu </w:t>
      </w:r>
      <w:r w:rsidR="001104D3" w:rsidRPr="00273106">
        <w:rPr>
          <w:rStyle w:val="linemarker-marked-line"/>
          <w:noProof/>
          <w:lang w:val="cs-CZ"/>
        </w:rPr>
        <w:t>(</w:t>
      </w:r>
      <w:r w:rsidR="001104D3" w:rsidRPr="00273106">
        <w:rPr>
          <w:rStyle w:val="linemarker-marked-line"/>
          <w:i/>
          <w:noProof/>
          <w:lang w:val="cs-CZ"/>
        </w:rPr>
        <w:t>numerus a priori secundum naturam causatur</w:t>
      </w:r>
      <w:r w:rsidR="001104D3" w:rsidRPr="00273106">
        <w:rPr>
          <w:rStyle w:val="linemarker-marked-line"/>
          <w:noProof/>
          <w:lang w:val="cs-CZ"/>
        </w:rPr>
        <w:t>),</w:t>
      </w:r>
      <w:r w:rsidR="002F2D14">
        <w:rPr>
          <w:rStyle w:val="linemarker-marked-line"/>
          <w:noProof/>
          <w:lang w:val="cs-CZ"/>
        </w:rPr>
        <w:t xml:space="preserve"> proto</w:t>
      </w:r>
      <w:r w:rsidR="0810785A">
        <w:rPr>
          <w:rStyle w:val="linemarker-marked-line"/>
          <w:noProof/>
          <w:lang w:val="cs-CZ"/>
        </w:rPr>
        <w:t xml:space="preserve"> není </w:t>
      </w:r>
      <w:r w:rsidR="00150D6D">
        <w:rPr>
          <w:rStyle w:val="linemarker-marked-line"/>
          <w:noProof/>
          <w:lang w:val="cs-CZ"/>
        </w:rPr>
        <w:t xml:space="preserve">hylemorfickou </w:t>
      </w:r>
      <w:r w:rsidR="0810785A">
        <w:rPr>
          <w:rStyle w:val="linemarker-marked-line"/>
          <w:noProof/>
          <w:lang w:val="cs-CZ"/>
        </w:rPr>
        <w:t xml:space="preserve">složeninou </w:t>
      </w:r>
      <w:r w:rsidR="002400E3">
        <w:rPr>
          <w:rStyle w:val="linemarker-marked-line"/>
          <w:noProof/>
          <w:lang w:val="cs-CZ"/>
        </w:rPr>
        <w:t>(</w:t>
      </w:r>
      <w:r w:rsidR="002400E3" w:rsidRPr="002400E3">
        <w:rPr>
          <w:rStyle w:val="linemarker-marked-line"/>
          <w:i/>
        </w:rPr>
        <w:t>in aggregando</w:t>
      </w:r>
      <w:r w:rsidR="002400E3">
        <w:rPr>
          <w:rStyle w:val="linemarker-marked-line"/>
          <w:noProof/>
          <w:lang w:val="cs-CZ"/>
        </w:rPr>
        <w:t>)</w:t>
      </w:r>
      <w:r w:rsidR="0810785A">
        <w:rPr>
          <w:rStyle w:val="linemarker-marked-line"/>
          <w:noProof/>
          <w:lang w:val="cs-CZ"/>
        </w:rPr>
        <w:t xml:space="preserve"> a j</w:t>
      </w:r>
      <w:r w:rsidR="001104D3" w:rsidRPr="00273106">
        <w:rPr>
          <w:rStyle w:val="linemarker-marked-line"/>
          <w:noProof/>
          <w:lang w:val="cs-CZ"/>
        </w:rPr>
        <w:t xml:space="preserve">e </w:t>
      </w:r>
      <w:r w:rsidR="0810785A">
        <w:rPr>
          <w:rStyle w:val="linemarker-marked-line"/>
          <w:noProof/>
          <w:lang w:val="cs-CZ"/>
        </w:rPr>
        <w:t>dán</w:t>
      </w:r>
      <w:r w:rsidR="006074D4">
        <w:rPr>
          <w:rStyle w:val="linemarker-marked-line"/>
          <w:noProof/>
          <w:lang w:val="cs-CZ"/>
        </w:rPr>
        <w:t>o</w:t>
      </w:r>
      <w:r w:rsidR="0810785A">
        <w:rPr>
          <w:rStyle w:val="linemarker-marked-line"/>
          <w:noProof/>
          <w:lang w:val="cs-CZ"/>
        </w:rPr>
        <w:t xml:space="preserve"> jako první vzhledem ke své podstatě </w:t>
      </w:r>
      <w:r w:rsidR="001104D3" w:rsidRPr="00273106">
        <w:rPr>
          <w:rStyle w:val="linemarker-marked-line"/>
          <w:noProof/>
          <w:lang w:val="cs-CZ"/>
        </w:rPr>
        <w:t>(</w:t>
      </w:r>
      <w:r w:rsidR="001104D3" w:rsidRPr="00273106">
        <w:rPr>
          <w:rStyle w:val="linemarker-marked-line"/>
          <w:i/>
          <w:noProof/>
          <w:lang w:val="cs-CZ"/>
        </w:rPr>
        <w:t>prius est secundum naturam</w:t>
      </w:r>
      <w:r w:rsidR="001104D3" w:rsidRPr="00273106">
        <w:rPr>
          <w:rStyle w:val="linemarker-marked-line"/>
          <w:noProof/>
          <w:lang w:val="cs-CZ"/>
        </w:rPr>
        <w:t xml:space="preserve">).“ </w:t>
      </w:r>
      <w:r w:rsidR="00B971D6" w:rsidRPr="00273106">
        <w:rPr>
          <w:rStyle w:val="Znakapoznpodarou"/>
          <w:noProof/>
          <w:lang w:val="cs-CZ"/>
        </w:rPr>
        <w:footnoteReference w:id="410"/>
      </w:r>
    </w:p>
    <w:p w14:paraId="182C19D5" w14:textId="5471D97F" w:rsidR="08051005" w:rsidRDefault="0810785A" w:rsidP="00771708">
      <w:r>
        <w:rPr>
          <w:rStyle w:val="linemarker-marked-line"/>
        </w:rPr>
        <w:t xml:space="preserve">Reálná věc je hylemorfickou jednotou, ale číslo je dáno </w:t>
      </w:r>
      <w:r w:rsidRPr="0810785A">
        <w:rPr>
          <w:rStyle w:val="linemarker-marked-line"/>
          <w:i/>
        </w:rPr>
        <w:t>per se</w:t>
      </w:r>
      <w:r>
        <w:rPr>
          <w:rStyle w:val="linemarker-marked-line"/>
        </w:rPr>
        <w:t xml:space="preserve"> a </w:t>
      </w:r>
      <w:r w:rsidRPr="0810785A">
        <w:rPr>
          <w:rStyle w:val="linemarker-marked-line"/>
          <w:i/>
        </w:rPr>
        <w:t>simpliciter</w:t>
      </w:r>
      <w:r>
        <w:rPr>
          <w:rStyle w:val="linemarker-marked-line"/>
        </w:rPr>
        <w:t xml:space="preserve">. Proto je jeho kauzalita v řádu reality vyšší než kauzalita reálných hylemorfických substancí. </w:t>
      </w:r>
      <w:r w:rsidR="00AC4E6D" w:rsidRPr="00273106">
        <w:rPr>
          <w:rStyle w:val="linemarker-marked-line"/>
        </w:rPr>
        <w:t>První věta určuje postupně klesající jednotu forem</w:t>
      </w:r>
      <w:r w:rsidR="00A90CDE" w:rsidRPr="00273106">
        <w:rPr>
          <w:rStyle w:val="linemarker-marked-line"/>
        </w:rPr>
        <w:t xml:space="preserve"> (</w:t>
      </w:r>
      <w:r w:rsidR="00A90CDE" w:rsidRPr="00273106">
        <w:rPr>
          <w:rStyle w:val="linemarker-marked-line"/>
          <w:i/>
        </w:rPr>
        <w:t>ex individuatione formae</w:t>
      </w:r>
      <w:r w:rsidR="00A90CDE" w:rsidRPr="00273106">
        <w:rPr>
          <w:rStyle w:val="linemarker-marked-line"/>
        </w:rPr>
        <w:t>)</w:t>
      </w:r>
      <w:r w:rsidR="00AC4E6D" w:rsidRPr="00273106">
        <w:rPr>
          <w:rStyle w:val="linemarker-marked-line"/>
        </w:rPr>
        <w:t xml:space="preserve">, které na úrovni materie již obsahují individuaci formy pouze v modu </w:t>
      </w:r>
      <w:r w:rsidR="00A90CDE" w:rsidRPr="00273106">
        <w:rPr>
          <w:rStyle w:val="linemarker-marked-line"/>
        </w:rPr>
        <w:t>akcidentu</w:t>
      </w:r>
      <w:r w:rsidR="00BE7E9D">
        <w:rPr>
          <w:rStyle w:val="linemarker-marked-line"/>
        </w:rPr>
        <w:t xml:space="preserve"> a reálně dané rozsažnosti</w:t>
      </w:r>
      <w:r w:rsidR="08D531B7">
        <w:rPr>
          <w:rStyle w:val="linemarker-marked-line"/>
        </w:rPr>
        <w:t xml:space="preserve"> v hylemorfické složenině</w:t>
      </w:r>
      <w:r w:rsidR="00A90CDE" w:rsidRPr="00273106">
        <w:rPr>
          <w:rStyle w:val="linemarker-marked-line"/>
        </w:rPr>
        <w:t xml:space="preserve">. </w:t>
      </w:r>
      <w:r w:rsidR="08444441" w:rsidRPr="00273106">
        <w:rPr>
          <w:rStyle w:val="linemarker-marked-line"/>
        </w:rPr>
        <w:t xml:space="preserve">Původním formálním vyjádřením rozsažnosti je číslo, které působí řádu </w:t>
      </w:r>
      <w:r w:rsidR="08444441">
        <w:rPr>
          <w:rStyle w:val="linemarker-marked-line"/>
        </w:rPr>
        <w:t>neoplatonsk</w:t>
      </w:r>
      <w:r w:rsidR="08444441" w:rsidRPr="00273106">
        <w:rPr>
          <w:rStyle w:val="linemarker-marked-line"/>
        </w:rPr>
        <w:t xml:space="preserve">é </w:t>
      </w:r>
      <w:r w:rsidR="08444441">
        <w:rPr>
          <w:rStyle w:val="linemarker-marked-line"/>
        </w:rPr>
        <w:t xml:space="preserve">formální </w:t>
      </w:r>
      <w:r w:rsidR="08444441" w:rsidRPr="00273106">
        <w:rPr>
          <w:rStyle w:val="linemarker-marked-line"/>
        </w:rPr>
        <w:t>kauzality (</w:t>
      </w:r>
      <w:r w:rsidR="08444441" w:rsidRPr="00273106">
        <w:rPr>
          <w:rStyle w:val="linemarker-marked-line"/>
          <w:i/>
        </w:rPr>
        <w:t>secundum naturam causatur</w:t>
      </w:r>
      <w:r w:rsidR="08444441" w:rsidRPr="00273106">
        <w:rPr>
          <w:rStyle w:val="linemarker-marked-line"/>
        </w:rPr>
        <w:t xml:space="preserve">). </w:t>
      </w:r>
      <w:r w:rsidR="00CD5F39" w:rsidRPr="00273106">
        <w:rPr>
          <w:rStyle w:val="linemarker-marked-line"/>
        </w:rPr>
        <w:t xml:space="preserve">Predikace v řádu </w:t>
      </w:r>
      <w:r w:rsidR="00CD5F39" w:rsidRPr="00273106">
        <w:rPr>
          <w:rStyle w:val="linemarker-marked-line"/>
          <w:i/>
        </w:rPr>
        <w:t>per prius</w:t>
      </w:r>
      <w:r w:rsidR="00C6693E">
        <w:rPr>
          <w:rStyle w:val="linemarker-marked-line"/>
          <w:i/>
        </w:rPr>
        <w:fldChar w:fldCharType="begin"/>
      </w:r>
      <w:r w:rsidR="00C6693E">
        <w:instrText xml:space="preserve"> XE "predikace:</w:instrText>
      </w:r>
      <w:r w:rsidR="00C6693E" w:rsidRPr="00461231">
        <w:rPr>
          <w:rStyle w:val="linemarker-marked-line"/>
          <w:i/>
        </w:rPr>
        <w:instrText>per prius</w:instrText>
      </w:r>
      <w:r w:rsidR="00C6693E">
        <w:instrText xml:space="preserve">" </w:instrText>
      </w:r>
      <w:r w:rsidR="00C6693E">
        <w:rPr>
          <w:rStyle w:val="linemarker-marked-line"/>
          <w:i/>
        </w:rPr>
        <w:fldChar w:fldCharType="end"/>
      </w:r>
      <w:r w:rsidR="00CD5F39" w:rsidRPr="00273106">
        <w:rPr>
          <w:rStyle w:val="linemarker-marked-line"/>
        </w:rPr>
        <w:t xml:space="preserve"> určující smysl jsoucna patří nejprve aritmetice (</w:t>
      </w:r>
      <w:r w:rsidR="00CD5F39" w:rsidRPr="00273106">
        <w:rPr>
          <w:rStyle w:val="linemarker-marked-line"/>
          <w:i/>
        </w:rPr>
        <w:t>ipsum prius est</w:t>
      </w:r>
      <w:r w:rsidR="00CD5F39" w:rsidRPr="00273106">
        <w:rPr>
          <w:rStyle w:val="linemarker-marked-line"/>
        </w:rPr>
        <w:t xml:space="preserve">), a to díky apriornímu postavení čísla </w:t>
      </w:r>
      <w:r>
        <w:rPr>
          <w:rStyle w:val="linemarker-marked-line"/>
        </w:rPr>
        <w:t xml:space="preserve">jako čisté esence </w:t>
      </w:r>
      <w:r w:rsidR="00CD5F39" w:rsidRPr="00273106">
        <w:rPr>
          <w:rStyle w:val="linemarker-marked-line"/>
        </w:rPr>
        <w:t>(</w:t>
      </w:r>
      <w:r w:rsidR="00CD5F39" w:rsidRPr="00273106">
        <w:rPr>
          <w:rStyle w:val="linemarker-marked-line"/>
          <w:i/>
        </w:rPr>
        <w:t>numerus a priori</w:t>
      </w:r>
      <w:r w:rsidR="00CD5F39" w:rsidRPr="00273106">
        <w:rPr>
          <w:rStyle w:val="linemarker-marked-line"/>
        </w:rPr>
        <w:t xml:space="preserve">). </w:t>
      </w:r>
      <w:r w:rsidR="007F2202">
        <w:rPr>
          <w:rStyle w:val="linemarker-marked-line"/>
        </w:rPr>
        <w:t>N</w:t>
      </w:r>
      <w:r w:rsidR="00B2463D">
        <w:rPr>
          <w:rStyle w:val="linemarker-marked-line"/>
        </w:rPr>
        <w:t xml:space="preserve">umerická jednota je dána v modu kauzality </w:t>
      </w:r>
      <w:r w:rsidR="007F2202">
        <w:rPr>
          <w:rStyle w:val="linemarker-marked-line"/>
        </w:rPr>
        <w:t xml:space="preserve">třetího druhu dané z esence </w:t>
      </w:r>
      <w:r w:rsidR="00B2463D">
        <w:rPr>
          <w:rStyle w:val="linemarker-marked-line"/>
        </w:rPr>
        <w:t>(</w:t>
      </w:r>
      <w:r w:rsidR="00B2463D" w:rsidRPr="008E1DCE">
        <w:rPr>
          <w:rStyle w:val="linemarker-marked-line"/>
          <w:i/>
        </w:rPr>
        <w:t>causatur ex individuatione formae</w:t>
      </w:r>
      <w:r w:rsidR="00B2463D">
        <w:rPr>
          <w:rStyle w:val="linemarker-marked-line"/>
        </w:rPr>
        <w:t>)</w:t>
      </w:r>
      <w:r w:rsidR="007F2202">
        <w:rPr>
          <w:rStyle w:val="linemarker-marked-line"/>
        </w:rPr>
        <w:t>. I</w:t>
      </w:r>
      <w:r w:rsidR="00B2463D" w:rsidRPr="00273106">
        <w:rPr>
          <w:rStyle w:val="linemarker-marked-line"/>
        </w:rPr>
        <w:t xml:space="preserve">ndividuace </w:t>
      </w:r>
      <w:r w:rsidR="00B2463D">
        <w:rPr>
          <w:rStyle w:val="linemarker-marked-line"/>
        </w:rPr>
        <w:t xml:space="preserve">pomocí numericky určené jednoty </w:t>
      </w:r>
      <w:r w:rsidR="007F2202">
        <w:rPr>
          <w:rStyle w:val="linemarker-marked-line"/>
        </w:rPr>
        <w:t xml:space="preserve">je proto </w:t>
      </w:r>
      <w:r w:rsidR="00B2463D" w:rsidRPr="00273106">
        <w:rPr>
          <w:rStyle w:val="linemarker-marked-line"/>
        </w:rPr>
        <w:t xml:space="preserve">dána </w:t>
      </w:r>
      <w:r w:rsidR="00B2463D">
        <w:rPr>
          <w:rStyle w:val="linemarker-marked-line"/>
        </w:rPr>
        <w:t xml:space="preserve">univerzálně i v hyleformických jednotlivinách </w:t>
      </w:r>
      <w:r w:rsidR="00B2463D" w:rsidRPr="00273106">
        <w:rPr>
          <w:rStyle w:val="linemarker-marked-line"/>
        </w:rPr>
        <w:t>(</w:t>
      </w:r>
      <w:r w:rsidR="00B2463D" w:rsidRPr="00273106">
        <w:rPr>
          <w:rStyle w:val="linemarker-marked-line"/>
          <w:i/>
        </w:rPr>
        <w:t>universaliter causatur</w:t>
      </w:r>
      <w:r w:rsidR="00B2463D" w:rsidRPr="00273106">
        <w:rPr>
          <w:rStyle w:val="linemarker-marked-line"/>
        </w:rPr>
        <w:t xml:space="preserve">). </w:t>
      </w:r>
      <w:r w:rsidR="00B629BE" w:rsidRPr="00273106">
        <w:rPr>
          <w:rStyle w:val="linemarker-marked-line"/>
        </w:rPr>
        <w:t xml:space="preserve">Matematický počet v modu </w:t>
      </w:r>
      <w:r w:rsidR="00B629BE" w:rsidRPr="00273106">
        <w:rPr>
          <w:rStyle w:val="linemarker-marked-line"/>
          <w:i/>
        </w:rPr>
        <w:t xml:space="preserve">a priori </w:t>
      </w:r>
      <w:r w:rsidR="00B629BE" w:rsidRPr="00273106">
        <w:rPr>
          <w:rStyle w:val="linemarker-marked-line"/>
        </w:rPr>
        <w:t>determinuje následnou katabázi hypostázovaných porretánských forem do materie</w:t>
      </w:r>
      <w:r w:rsidR="00B629BE">
        <w:rPr>
          <w:rStyle w:val="linemarker-marked-line"/>
        </w:rPr>
        <w:t xml:space="preserve"> a do fyzikálních těles</w:t>
      </w:r>
      <w:r w:rsidR="00B629BE" w:rsidRPr="00273106">
        <w:rPr>
          <w:rStyle w:val="linemarker-marked-line"/>
        </w:rPr>
        <w:t xml:space="preserve">. </w:t>
      </w:r>
      <w:r w:rsidR="005E79C9" w:rsidRPr="00273106">
        <w:t>M</w:t>
      </w:r>
      <w:r w:rsidR="005E79C9" w:rsidRPr="00273106">
        <w:rPr>
          <w:rStyle w:val="linemarker-marked-line"/>
        </w:rPr>
        <w:t>atematický popis světa (</w:t>
      </w:r>
      <w:r w:rsidR="005E79C9" w:rsidRPr="00273106">
        <w:rPr>
          <w:rStyle w:val="linemarker-marked-line"/>
          <w:i/>
        </w:rPr>
        <w:t>numerus</w:t>
      </w:r>
      <w:r w:rsidR="005E79C9" w:rsidRPr="00273106">
        <w:rPr>
          <w:rStyle w:val="linemarker-marked-line"/>
        </w:rPr>
        <w:t>) je univerzálnější než smysly postihnutá rozsažnost (</w:t>
      </w:r>
      <w:r w:rsidR="005E79C9" w:rsidRPr="00273106">
        <w:rPr>
          <w:rStyle w:val="linemarker-marked-line"/>
          <w:i/>
        </w:rPr>
        <w:t>magnitudo</w:t>
      </w:r>
      <w:r w:rsidR="005E79C9" w:rsidRPr="00273106">
        <w:rPr>
          <w:rStyle w:val="linemarker-marked-line"/>
        </w:rPr>
        <w:t>). Jedinečnost formy na nižší úrovni je určena numericky (</w:t>
      </w:r>
      <w:r w:rsidR="005E79C9" w:rsidRPr="00273106">
        <w:rPr>
          <w:rStyle w:val="linemarker-marked-line"/>
          <w:i/>
        </w:rPr>
        <w:t>numerus, qui est accidens</w:t>
      </w:r>
      <w:r w:rsidR="005E79C9" w:rsidRPr="00273106">
        <w:rPr>
          <w:rStyle w:val="linemarker-marked-line"/>
        </w:rPr>
        <w:t>)</w:t>
      </w:r>
      <w:r w:rsidR="005E79C9">
        <w:rPr>
          <w:rStyle w:val="linemarker-marked-line"/>
        </w:rPr>
        <w:t xml:space="preserve">, například skrze fyzikálně určenou rozsažnost reálných těles. </w:t>
      </w:r>
      <w:r w:rsidR="00032084" w:rsidRPr="00273106">
        <w:rPr>
          <w:rStyle w:val="linemarker-marked-line"/>
        </w:rPr>
        <w:t xml:space="preserve">Po aritmetice pokračuje </w:t>
      </w:r>
      <w:r w:rsidR="00A90CDE" w:rsidRPr="00273106">
        <w:rPr>
          <w:rStyle w:val="linemarker-marked-line"/>
        </w:rPr>
        <w:t xml:space="preserve">sestup forem do hmoty </w:t>
      </w:r>
      <w:r w:rsidR="00032084" w:rsidRPr="00273106">
        <w:rPr>
          <w:rStyle w:val="linemarker-marked-line"/>
        </w:rPr>
        <w:t>skrze geometrii</w:t>
      </w:r>
      <w:r w:rsidR="00C6693E">
        <w:rPr>
          <w:i/>
        </w:rPr>
        <w:fldChar w:fldCharType="begin"/>
      </w:r>
      <w:r w:rsidR="00C6693E">
        <w:instrText xml:space="preserve"> XE "</w:instrText>
      </w:r>
      <w:r w:rsidR="00C6693E" w:rsidRPr="00837AAF">
        <w:instrText>rozsažnost</w:instrText>
      </w:r>
      <w:r w:rsidR="00C6693E">
        <w:instrText xml:space="preserve">" </w:instrText>
      </w:r>
      <w:r w:rsidR="00C6693E">
        <w:rPr>
          <w:i/>
        </w:rPr>
        <w:fldChar w:fldCharType="end"/>
      </w:r>
      <w:r w:rsidR="000D3E48" w:rsidRPr="00273106">
        <w:rPr>
          <w:rStyle w:val="linemarker-marked-line"/>
        </w:rPr>
        <w:t xml:space="preserve">. </w:t>
      </w:r>
      <w:r w:rsidR="08051005" w:rsidRPr="00273106">
        <w:rPr>
          <w:rStyle w:val="linemarker-marked-line"/>
        </w:rPr>
        <w:t xml:space="preserve">Oxfordská moderna znovu </w:t>
      </w:r>
      <w:r w:rsidR="08051005" w:rsidRPr="00273106">
        <w:t xml:space="preserve">potvrdila </w:t>
      </w:r>
      <w:r w:rsidR="08051005">
        <w:t>neoplatonsk</w:t>
      </w:r>
      <w:r w:rsidR="08051005" w:rsidRPr="00273106">
        <w:t>ý primát matematické abstrakce</w:t>
      </w:r>
      <w:r w:rsidR="08051005">
        <w:fldChar w:fldCharType="begin"/>
      </w:r>
      <w:r w:rsidR="08051005">
        <w:instrText xml:space="preserve"> XE "</w:instrText>
      </w:r>
      <w:r w:rsidR="08051005" w:rsidRPr="00A824F0">
        <w:instrText>abstrakce:matematická</w:instrText>
      </w:r>
      <w:r w:rsidR="08051005">
        <w:instrText xml:space="preserve">" </w:instrText>
      </w:r>
      <w:r w:rsidR="08051005">
        <w:fldChar w:fldCharType="end"/>
      </w:r>
      <w:r w:rsidR="08051005" w:rsidRPr="00273106">
        <w:t>.</w:t>
      </w:r>
      <w:r w:rsidR="08051005">
        <w:t xml:space="preserve"> </w:t>
      </w:r>
      <w:r w:rsidR="000D3E48" w:rsidRPr="00273106">
        <w:rPr>
          <w:rStyle w:val="linemarker-marked-line"/>
        </w:rPr>
        <w:t xml:space="preserve">Ta </w:t>
      </w:r>
      <w:r w:rsidR="00A90CDE" w:rsidRPr="00273106">
        <w:rPr>
          <w:rStyle w:val="linemarker-marked-line"/>
        </w:rPr>
        <w:t xml:space="preserve">určuje jednotu formy z hlediska rozsažnosti </w:t>
      </w:r>
      <w:r w:rsidR="00F17764" w:rsidRPr="00273106">
        <w:rPr>
          <w:rStyle w:val="linemarker-marked-line"/>
        </w:rPr>
        <w:t xml:space="preserve">situované </w:t>
      </w:r>
      <w:r w:rsidR="00A90CDE" w:rsidRPr="00273106">
        <w:rPr>
          <w:rStyle w:val="linemarker-marked-line"/>
        </w:rPr>
        <w:t xml:space="preserve">v materii </w:t>
      </w:r>
      <w:r w:rsidR="00AC4E6D" w:rsidRPr="00273106">
        <w:rPr>
          <w:rStyle w:val="linemarker-marked-line"/>
        </w:rPr>
        <w:t>(</w:t>
      </w:r>
      <w:r w:rsidR="00AC4E6D" w:rsidRPr="00273106">
        <w:rPr>
          <w:rStyle w:val="linemarker-marked-line"/>
          <w:i/>
        </w:rPr>
        <w:t>magnitudo ex individuatione formae in materia</w:t>
      </w:r>
      <w:r w:rsidR="00AC4E6D" w:rsidRPr="00273106">
        <w:rPr>
          <w:rStyle w:val="linemarker-marked-line"/>
        </w:rPr>
        <w:t xml:space="preserve">). </w:t>
      </w:r>
      <w:r w:rsidR="08F671B6">
        <w:rPr>
          <w:rStyle w:val="linemarker-marked-line"/>
        </w:rPr>
        <w:t xml:space="preserve">Tím je završeno pojetí pravdy jako </w:t>
      </w:r>
      <w:r w:rsidR="08BE1A93">
        <w:rPr>
          <w:rStyle w:val="linemarker-marked-line"/>
        </w:rPr>
        <w:t xml:space="preserve">moderní </w:t>
      </w:r>
      <w:r w:rsidR="08F671B6">
        <w:rPr>
          <w:rStyle w:val="linemarker-marked-line"/>
        </w:rPr>
        <w:t>asimilace</w:t>
      </w:r>
      <w:r w:rsidR="08BE1A93">
        <w:rPr>
          <w:rStyle w:val="linemarker-marked-line"/>
        </w:rPr>
        <w:t xml:space="preserve"> světa</w:t>
      </w:r>
      <w:r w:rsidR="08F671B6">
        <w:rPr>
          <w:rStyle w:val="linemarker-marked-line"/>
        </w:rPr>
        <w:t xml:space="preserve">, protože je vztaženo k matematické analogii. </w:t>
      </w:r>
      <w:r w:rsidR="001A1E93">
        <w:t xml:space="preserve">Rufus založil první kvantovou teorii </w:t>
      </w:r>
      <w:r w:rsidR="08051005" w:rsidRPr="00273106">
        <w:t>světa, v němž matematicky měřitelné kvantum potence nahradilo materiální první substanci.</w:t>
      </w:r>
    </w:p>
    <w:p w14:paraId="6EE7B44D" w14:textId="6A1FCBE9" w:rsidR="08051005" w:rsidRPr="00273106" w:rsidRDefault="08051005" w:rsidP="08051005">
      <w:pPr>
        <w:pStyle w:val="Citace"/>
        <w:rPr>
          <w:noProof/>
          <w:lang w:val="cs-CZ"/>
        </w:rPr>
      </w:pPr>
      <w:r w:rsidRPr="00273106">
        <w:rPr>
          <w:noProof/>
          <w:lang w:val="cs-CZ"/>
        </w:rPr>
        <w:t>„Kvantita určená jako rod může být mírou, i pokud je v potenci (</w:t>
      </w:r>
      <w:r w:rsidRPr="00273106">
        <w:rPr>
          <w:i/>
          <w:noProof/>
          <w:lang w:val="cs-CZ"/>
        </w:rPr>
        <w:t>quantum in potentia</w:t>
      </w:r>
      <w:r w:rsidRPr="00273106">
        <w:rPr>
          <w:noProof/>
          <w:lang w:val="cs-CZ"/>
        </w:rPr>
        <w:t>) a není třeba, aby to byla kvantita v aktuální</w:t>
      </w:r>
      <w:r w:rsidR="00DE1799">
        <w:rPr>
          <w:noProof/>
          <w:lang w:val="cs-CZ"/>
        </w:rPr>
        <w:t>ch věcech</w:t>
      </w:r>
      <w:r w:rsidRPr="00273106">
        <w:rPr>
          <w:noProof/>
          <w:lang w:val="cs-CZ"/>
        </w:rPr>
        <w:t xml:space="preserve">.“ </w:t>
      </w:r>
      <w:r w:rsidRPr="00273106">
        <w:rPr>
          <w:rStyle w:val="Znakapoznpodarou"/>
          <w:noProof/>
          <w:lang w:val="cs-CZ"/>
        </w:rPr>
        <w:footnoteReference w:id="411"/>
      </w:r>
    </w:p>
    <w:p w14:paraId="059F49A1" w14:textId="77777777" w:rsidR="004A31AA" w:rsidRDefault="08051005" w:rsidP="087F4916">
      <w:pPr>
        <w:rPr>
          <w:rStyle w:val="linemarker-marked-line"/>
        </w:rPr>
      </w:pPr>
      <w:r w:rsidRPr="00273106">
        <w:t>Kvantita dostala stejné univoční určení jako Aristotelova druhá substance</w:t>
      </w:r>
      <w:r>
        <w:fldChar w:fldCharType="begin"/>
      </w:r>
      <w:r>
        <w:instrText xml:space="preserve"> XE "</w:instrText>
      </w:r>
      <w:r w:rsidRPr="00DE2A32">
        <w:instrText>substance</w:instrText>
      </w:r>
      <w:r>
        <w:instrText xml:space="preserve">:druhá" </w:instrText>
      </w:r>
      <w:r>
        <w:fldChar w:fldCharType="end"/>
      </w:r>
      <w:r w:rsidRPr="00273106">
        <w:t xml:space="preserve"> v rámci rodu a má přitom univerzální platnost jako potence (</w:t>
      </w:r>
      <w:r w:rsidR="00555E25" w:rsidRPr="00F17A4F">
        <w:rPr>
          <w:i/>
        </w:rPr>
        <w:t xml:space="preserve">mensura </w:t>
      </w:r>
      <w:r w:rsidR="00555E25">
        <w:rPr>
          <w:i/>
        </w:rPr>
        <w:t xml:space="preserve">esse </w:t>
      </w:r>
      <w:r w:rsidR="00555E25" w:rsidRPr="00F17A4F">
        <w:rPr>
          <w:i/>
        </w:rPr>
        <w:t>quantum in potentia</w:t>
      </w:r>
      <w:r>
        <w:t>). Toto hypostázované kvantum potence</w:t>
      </w:r>
      <w:r w:rsidRPr="00273106">
        <w:t xml:space="preserve"> dané subsistentně v modu jsoucna třetího druhu může být aktualizováno, ale nutné to není (</w:t>
      </w:r>
      <w:r w:rsidRPr="00273106">
        <w:rPr>
          <w:i/>
        </w:rPr>
        <w:t>non oportet quod sit quantitas in actu</w:t>
      </w:r>
      <w:r>
        <w:t xml:space="preserve">). </w:t>
      </w:r>
      <w:r w:rsidRPr="00273106">
        <w:rPr>
          <w:rStyle w:val="linemarker-marked-line"/>
        </w:rPr>
        <w:t>Podobně jako druhá substance mají nová určení subsistentní charakter</w:t>
      </w:r>
      <w:r>
        <w:rPr>
          <w:rStyle w:val="linemarker-marked-line"/>
        </w:rPr>
        <w:t xml:space="preserve"> v modu </w:t>
      </w:r>
      <w:r w:rsidRPr="00273106">
        <w:rPr>
          <w:rStyle w:val="linemarker-marked-line"/>
          <w:i/>
        </w:rPr>
        <w:t>per se</w:t>
      </w:r>
      <w:r w:rsidRPr="00491F25">
        <w:t xml:space="preserve"> </w:t>
      </w:r>
      <w:r>
        <w:fldChar w:fldCharType="begin"/>
      </w:r>
      <w:r>
        <w:instrText xml:space="preserve"> XE "</w:instrText>
      </w:r>
      <w:r w:rsidRPr="007765BD">
        <w:instrText>nutnost:</w:instrText>
      </w:r>
      <w:r w:rsidRPr="00491F25">
        <w:rPr>
          <w:i/>
        </w:rPr>
        <w:instrText>per se</w:instrText>
      </w:r>
      <w:r>
        <w:instrText xml:space="preserve">" </w:instrText>
      </w:r>
      <w:r>
        <w:fldChar w:fldCharType="end"/>
      </w:r>
      <w:r w:rsidRPr="00D12D02">
        <w:rPr>
          <w:rStyle w:val="linemarker-marked-line"/>
        </w:rPr>
        <w:t xml:space="preserve"> </w:t>
      </w:r>
      <w:r w:rsidRPr="00273106">
        <w:rPr>
          <w:rStyle w:val="linemarker-marked-line"/>
        </w:rPr>
        <w:t>a jsou následně aktualizována v reálné substanci</w:t>
      </w:r>
      <w:r>
        <w:rPr>
          <w:rStyle w:val="linemarker-marked-line"/>
        </w:rPr>
        <w:fldChar w:fldCharType="begin"/>
      </w:r>
      <w:r>
        <w:instrText xml:space="preserve"> XE "</w:instrText>
      </w:r>
      <w:r w:rsidRPr="00E20BD7">
        <w:instrText>matematizace světa</w:instrText>
      </w:r>
      <w:r>
        <w:instrText xml:space="preserve">" </w:instrText>
      </w:r>
      <w:r>
        <w:rPr>
          <w:rStyle w:val="linemarker-marked-line"/>
        </w:rPr>
        <w:fldChar w:fldCharType="end"/>
      </w:r>
      <w:r w:rsidRPr="00273106">
        <w:rPr>
          <w:rStyle w:val="linemarker-marked-line"/>
        </w:rPr>
        <w:t xml:space="preserve">. </w:t>
      </w:r>
      <w:r>
        <w:rPr>
          <w:rStyle w:val="linemarker-marked-line"/>
        </w:rPr>
        <w:t xml:space="preserve">Vlastnosti tělesa jako rozsažnosti jsou predikována v modu matematické analogie a tato predikace platí </w:t>
      </w:r>
      <w:r w:rsidRPr="00273106">
        <w:rPr>
          <w:rStyle w:val="linemarker-marked-line"/>
          <w:i/>
        </w:rPr>
        <w:t>per prius</w:t>
      </w:r>
      <w:r w:rsidRPr="00273106">
        <w:rPr>
          <w:rStyle w:val="linemarker-marked-line"/>
        </w:rPr>
        <w:t>.</w:t>
      </w:r>
      <w:r>
        <w:rPr>
          <w:rStyle w:val="linemarker-marked-line"/>
        </w:rPr>
        <w:t xml:space="preserve"> </w:t>
      </w:r>
      <w:r w:rsidR="085637DA" w:rsidRPr="00273106">
        <w:t>Rozsažnost dostala univoční význam vzhledem k času, k prostoru, a dokonce i vzhledem k predikativnímu vztahu v soudu.</w:t>
      </w:r>
      <w:r w:rsidR="085637DA" w:rsidRPr="00273106">
        <w:rPr>
          <w:rStyle w:val="Znakapoznpodarou"/>
        </w:rPr>
        <w:footnoteReference w:id="412"/>
      </w:r>
      <w:r w:rsidR="085637DA" w:rsidRPr="00273106">
        <w:t xml:space="preserve"> </w:t>
      </w:r>
      <w:r w:rsidR="00E059E7" w:rsidRPr="00273106">
        <w:t>Rufus nazírá čisté formy přímo i v jejich akcidentálním bytí</w:t>
      </w:r>
      <w:r w:rsidR="08E9091F">
        <w:t xml:space="preserve"> daném na reální substanci. P</w:t>
      </w:r>
      <w:r w:rsidR="00E059E7" w:rsidRPr="00273106">
        <w:t xml:space="preserve">roto používá termín </w:t>
      </w:r>
      <w:r w:rsidR="00E059E7" w:rsidRPr="00273106">
        <w:rPr>
          <w:i/>
        </w:rPr>
        <w:t>dimensio</w:t>
      </w:r>
      <w:r w:rsidR="00E059E7" w:rsidRPr="00273106">
        <w:t xml:space="preserve"> ve smyslu extenze čehokoliv</w:t>
      </w:r>
      <w:r w:rsidR="007A1DAD">
        <w:fldChar w:fldCharType="begin"/>
      </w:r>
      <w:r w:rsidR="007A1DAD">
        <w:instrText xml:space="preserve"> XE "</w:instrText>
      </w:r>
      <w:r w:rsidR="007A1DAD" w:rsidRPr="00CF516F">
        <w:instrText>těleso:objektivní</w:instrText>
      </w:r>
      <w:r w:rsidR="007A1DAD">
        <w:instrText xml:space="preserve">" </w:instrText>
      </w:r>
      <w:r w:rsidR="007A1DAD">
        <w:fldChar w:fldCharType="end"/>
      </w:r>
      <w:r w:rsidR="00E059E7" w:rsidRPr="00273106">
        <w:t>.</w:t>
      </w:r>
      <w:r w:rsidR="00E059E7">
        <w:t xml:space="preserve"> </w:t>
      </w:r>
      <w:r w:rsidR="085A034A">
        <w:t>K</w:t>
      </w:r>
      <w:r w:rsidR="085637DA">
        <w:rPr>
          <w:rStyle w:val="TextpoznpodarouChar"/>
        </w:rPr>
        <w:t xml:space="preserve">omentář k </w:t>
      </w:r>
      <w:r w:rsidR="085637DA" w:rsidRPr="00837E3C">
        <w:rPr>
          <w:rStyle w:val="TextpoznpodarouChar"/>
          <w:i/>
        </w:rPr>
        <w:t>De anima</w:t>
      </w:r>
      <w:r w:rsidR="085637DA">
        <w:rPr>
          <w:rStyle w:val="TextpoznpodarouChar"/>
        </w:rPr>
        <w:t xml:space="preserve"> (asi 1236‒37) chápe rozsažnost jako jsoucno třetího druhu po vzoru </w:t>
      </w:r>
      <w:r w:rsidR="085637DA" w:rsidRPr="00710C9C">
        <w:rPr>
          <w:rStyle w:val="TextpoznpodarouChar"/>
          <w:i/>
        </w:rPr>
        <w:t>Nominales</w:t>
      </w:r>
      <w:r w:rsidR="085637DA">
        <w:rPr>
          <w:rStyle w:val="TextpoznpodarouChar"/>
        </w:rPr>
        <w:t>.</w:t>
      </w:r>
      <w:r w:rsidR="085637DA" w:rsidRPr="00273106">
        <w:rPr>
          <w:rStyle w:val="Znakapoznpodarou"/>
        </w:rPr>
        <w:footnoteReference w:id="413"/>
      </w:r>
      <w:r w:rsidR="085637DA" w:rsidRPr="00273106">
        <w:t xml:space="preserve"> </w:t>
      </w:r>
      <w:r w:rsidR="009959A1" w:rsidRPr="00273106">
        <w:t xml:space="preserve">Původně akcidentální určení druhé substance </w:t>
      </w:r>
      <w:r w:rsidR="00042DFA">
        <w:t xml:space="preserve">získala </w:t>
      </w:r>
      <w:r w:rsidR="00A94112">
        <w:rPr>
          <w:rStyle w:val="linemarker-marked-line"/>
        </w:rPr>
        <w:t xml:space="preserve">kategoriální </w:t>
      </w:r>
      <w:r w:rsidR="00E5075B" w:rsidRPr="00273106">
        <w:rPr>
          <w:rStyle w:val="linemarker-marked-line"/>
        </w:rPr>
        <w:t>charakter</w:t>
      </w:r>
      <w:r w:rsidR="00042DFA">
        <w:rPr>
          <w:rStyle w:val="linemarker-marked-line"/>
        </w:rPr>
        <w:t xml:space="preserve">. </w:t>
      </w:r>
      <w:r w:rsidR="00965E22" w:rsidRPr="00273106">
        <w:rPr>
          <w:rStyle w:val="linemarker-marked-line"/>
        </w:rPr>
        <w:t xml:space="preserve">Rufusův komentář k Aristotelově </w:t>
      </w:r>
      <w:r w:rsidR="00965E22" w:rsidRPr="00EE1B28">
        <w:rPr>
          <w:rStyle w:val="linemarker-marked-line"/>
          <w:i/>
        </w:rPr>
        <w:t>Fyzice</w:t>
      </w:r>
      <w:r w:rsidR="00965E22" w:rsidRPr="00273106">
        <w:rPr>
          <w:rStyle w:val="linemarker-marked-line"/>
        </w:rPr>
        <w:t xml:space="preserve"> potvrzuje </w:t>
      </w:r>
      <w:r w:rsidR="00965E22">
        <w:rPr>
          <w:rStyle w:val="linemarker-marked-line"/>
        </w:rPr>
        <w:t>s</w:t>
      </w:r>
      <w:r w:rsidR="00CF6C67" w:rsidRPr="00273106">
        <w:rPr>
          <w:rStyle w:val="linemarker-marked-line"/>
        </w:rPr>
        <w:t xml:space="preserve">ubstanční pojetí akcidentu dané na Oxfordu kolem 1230 skrze Pagusův komentář </w:t>
      </w:r>
      <w:r w:rsidR="00CF6C67" w:rsidRPr="00EE1B28">
        <w:rPr>
          <w:rStyle w:val="linemarker-marked-line"/>
          <w:i/>
        </w:rPr>
        <w:t>Kategorií</w:t>
      </w:r>
      <w:r w:rsidR="00CF6C67" w:rsidRPr="00273106">
        <w:rPr>
          <w:rStyle w:val="linemarker-marked-line"/>
        </w:rPr>
        <w:t xml:space="preserve"> </w:t>
      </w:r>
      <w:r w:rsidR="0860186B">
        <w:t>(kap. 3</w:t>
      </w:r>
      <w:r w:rsidR="00CF6C67" w:rsidRPr="00273106">
        <w:t>.1.2)</w:t>
      </w:r>
      <w:r w:rsidR="00CF6C67" w:rsidRPr="00273106">
        <w:rPr>
          <w:rStyle w:val="linemarker-marked-line"/>
        </w:rPr>
        <w:t xml:space="preserve">. </w:t>
      </w:r>
      <w:r w:rsidR="009046AF">
        <w:rPr>
          <w:rStyle w:val="linemarker-marked-line"/>
        </w:rPr>
        <w:t>Sestup původní formy dané</w:t>
      </w:r>
      <w:r w:rsidR="00BD5A35">
        <w:rPr>
          <w:rStyle w:val="linemarker-marked-line"/>
        </w:rPr>
        <w:t xml:space="preserve"> </w:t>
      </w:r>
      <w:r w:rsidR="009046AF">
        <w:rPr>
          <w:rStyle w:val="linemarker-marked-line"/>
        </w:rPr>
        <w:t>v objek</w:t>
      </w:r>
      <w:r w:rsidR="00BD5A35">
        <w:rPr>
          <w:rStyle w:val="linemarker-marked-line"/>
        </w:rPr>
        <w:t>tivní</w:t>
      </w:r>
      <w:r w:rsidR="009046AF">
        <w:rPr>
          <w:rStyle w:val="linemarker-marked-line"/>
        </w:rPr>
        <w:t>m mate</w:t>
      </w:r>
      <w:r w:rsidR="00BD5A35">
        <w:rPr>
          <w:rStyle w:val="linemarker-marked-line"/>
        </w:rPr>
        <w:t>m</w:t>
      </w:r>
      <w:r w:rsidR="009046AF">
        <w:rPr>
          <w:rStyle w:val="linemarker-marked-line"/>
        </w:rPr>
        <w:t>a</w:t>
      </w:r>
      <w:r w:rsidR="00BD5A35">
        <w:rPr>
          <w:rStyle w:val="linemarker-marked-line"/>
        </w:rPr>
        <w:t>tickém diakosmu</w:t>
      </w:r>
      <w:r w:rsidR="00043198">
        <w:rPr>
          <w:rStyle w:val="linemarker-marked-line"/>
        </w:rPr>
        <w:fldChar w:fldCharType="begin"/>
      </w:r>
      <w:r w:rsidR="00043198">
        <w:instrText xml:space="preserve"> XE "</w:instrText>
      </w:r>
      <w:r w:rsidR="00043198" w:rsidRPr="008044A0">
        <w:rPr>
          <w:rStyle w:val="linemarker-marked-line"/>
        </w:rPr>
        <w:instrText>diakosmos</w:instrText>
      </w:r>
      <w:r w:rsidR="00043198">
        <w:instrText xml:space="preserve">" </w:instrText>
      </w:r>
      <w:r w:rsidR="00043198">
        <w:rPr>
          <w:rStyle w:val="linemarker-marked-line"/>
        </w:rPr>
        <w:fldChar w:fldCharType="end"/>
      </w:r>
      <w:r w:rsidR="00BD5A35">
        <w:rPr>
          <w:rStyle w:val="linemarker-marked-line"/>
        </w:rPr>
        <w:t xml:space="preserve"> zakládá moderní pojetí „exsistence“ jako kontinge</w:t>
      </w:r>
      <w:r w:rsidR="00EE1B28">
        <w:rPr>
          <w:rStyle w:val="linemarker-marked-line"/>
        </w:rPr>
        <w:t>ntního přesahu</w:t>
      </w:r>
      <w:r w:rsidR="00BD5A35">
        <w:rPr>
          <w:rStyle w:val="linemarker-marked-line"/>
        </w:rPr>
        <w:t xml:space="preserve"> (</w:t>
      </w:r>
      <w:r w:rsidR="00BD5A35" w:rsidRPr="00BD5A35">
        <w:rPr>
          <w:rStyle w:val="linemarker-marked-line"/>
          <w:i/>
        </w:rPr>
        <w:t>exsist</w:t>
      </w:r>
      <w:r w:rsidR="00BD5A35">
        <w:rPr>
          <w:rStyle w:val="linemarker-marked-line"/>
          <w:i/>
        </w:rPr>
        <w:t>entia</w:t>
      </w:r>
      <w:r w:rsidR="00612892">
        <w:rPr>
          <w:rStyle w:val="linemarker-marked-line"/>
        </w:rPr>
        <w:t>) kosmických forem z diakosmu do kontingentní části reality</w:t>
      </w:r>
      <w:r w:rsidR="00EE1B28">
        <w:rPr>
          <w:rStyle w:val="linemarker-marked-line"/>
        </w:rPr>
        <w:t>. H</w:t>
      </w:r>
      <w:r w:rsidR="00DB29C2">
        <w:rPr>
          <w:rStyle w:val="linemarker-marked-line"/>
        </w:rPr>
        <w:t xml:space="preserve">ypostázované </w:t>
      </w:r>
      <w:r w:rsidR="00BD5A35">
        <w:rPr>
          <w:rStyle w:val="linemarker-marked-line"/>
        </w:rPr>
        <w:t>univerzál</w:t>
      </w:r>
      <w:r w:rsidR="00DB29C2">
        <w:rPr>
          <w:rStyle w:val="linemarker-marked-line"/>
        </w:rPr>
        <w:t>i</w:t>
      </w:r>
      <w:r w:rsidR="00BD5A35">
        <w:rPr>
          <w:rStyle w:val="linemarker-marked-line"/>
        </w:rPr>
        <w:t xml:space="preserve">e </w:t>
      </w:r>
      <w:r w:rsidR="08E33154">
        <w:rPr>
          <w:rStyle w:val="linemarker-marked-line"/>
        </w:rPr>
        <w:t xml:space="preserve">jsou hyparchicky dané </w:t>
      </w:r>
      <w:r w:rsidR="00DB29C2">
        <w:rPr>
          <w:rStyle w:val="linemarker-marked-line"/>
        </w:rPr>
        <w:t xml:space="preserve">v </w:t>
      </w:r>
      <w:r w:rsidR="00EE1B28">
        <w:rPr>
          <w:rStyle w:val="linemarker-marked-line"/>
        </w:rPr>
        <w:t xml:space="preserve">matematické a geometrické kauzalitě </w:t>
      </w:r>
      <w:r w:rsidR="08E33154">
        <w:rPr>
          <w:rStyle w:val="linemarker-marked-line"/>
        </w:rPr>
        <w:t xml:space="preserve">a pak </w:t>
      </w:r>
      <w:r w:rsidR="00EE1B28">
        <w:rPr>
          <w:rStyle w:val="linemarker-marked-line"/>
        </w:rPr>
        <w:t>působí</w:t>
      </w:r>
      <w:r w:rsidR="00DB29C2">
        <w:rPr>
          <w:rStyle w:val="linemarker-marked-line"/>
        </w:rPr>
        <w:t xml:space="preserve"> </w:t>
      </w:r>
      <w:r w:rsidR="00BD5A35">
        <w:rPr>
          <w:rStyle w:val="linemarker-marked-line"/>
        </w:rPr>
        <w:t>směrem</w:t>
      </w:r>
      <w:r w:rsidR="08E33154">
        <w:rPr>
          <w:rStyle w:val="linemarker-marked-line"/>
        </w:rPr>
        <w:t xml:space="preserve"> ze sebe </w:t>
      </w:r>
      <w:r w:rsidR="08551B96">
        <w:rPr>
          <w:rStyle w:val="linemarker-marked-line"/>
        </w:rPr>
        <w:t>(</w:t>
      </w:r>
      <w:r w:rsidR="08551B96" w:rsidRPr="08E33154">
        <w:rPr>
          <w:rStyle w:val="linemarker-marked-line"/>
          <w:i/>
        </w:rPr>
        <w:t>ex</w:t>
      </w:r>
      <w:r w:rsidR="08551B96">
        <w:rPr>
          <w:rStyle w:val="linemarker-marked-line"/>
        </w:rPr>
        <w:t>-</w:t>
      </w:r>
      <w:r w:rsidR="08551B96" w:rsidRPr="00DB29C2">
        <w:rPr>
          <w:rStyle w:val="linemarker-marked-line"/>
          <w:i/>
        </w:rPr>
        <w:t>sisto</w:t>
      </w:r>
      <w:r w:rsidR="08551B96">
        <w:rPr>
          <w:rStyle w:val="linemarker-marked-line"/>
        </w:rPr>
        <w:t xml:space="preserve">) </w:t>
      </w:r>
      <w:r w:rsidR="00BD5A35">
        <w:rPr>
          <w:rStyle w:val="linemarker-marked-line"/>
        </w:rPr>
        <w:t>do hmotného světa</w:t>
      </w:r>
      <w:r w:rsidR="00043198">
        <w:rPr>
          <w:rStyle w:val="linemarker-marked-line"/>
        </w:rPr>
        <w:fldChar w:fldCharType="begin"/>
      </w:r>
      <w:r w:rsidR="00043198">
        <w:instrText xml:space="preserve"> XE "</w:instrText>
      </w:r>
      <w:r w:rsidR="00043198" w:rsidRPr="00043198">
        <w:rPr>
          <w:i/>
        </w:rPr>
        <w:instrText>exsistere</w:instrText>
      </w:r>
      <w:r w:rsidR="00043198" w:rsidRPr="008F63AF">
        <w:instrText>:Rufus</w:instrText>
      </w:r>
      <w:r w:rsidR="00043198">
        <w:instrText xml:space="preserve">" </w:instrText>
      </w:r>
      <w:r w:rsidR="00043198">
        <w:rPr>
          <w:rStyle w:val="linemarker-marked-line"/>
        </w:rPr>
        <w:fldChar w:fldCharType="end"/>
      </w:r>
      <w:r w:rsidR="00BD5A35">
        <w:rPr>
          <w:rStyle w:val="linemarker-marked-line"/>
        </w:rPr>
        <w:t>.</w:t>
      </w:r>
    </w:p>
    <w:p w14:paraId="49FCE974" w14:textId="08A05550" w:rsidR="087F4916" w:rsidRPr="00385AF5" w:rsidRDefault="002005E5" w:rsidP="004A31AA">
      <w:pPr>
        <w:ind w:firstLine="397"/>
      </w:pPr>
      <w:r w:rsidRPr="00273106">
        <w:t xml:space="preserve">Sestup forem podaný v </w:t>
      </w:r>
      <w:r w:rsidRPr="00273106">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Pr="00273106">
        <w:t xml:space="preserve"> založil ve spojení s novým </w:t>
      </w:r>
      <w:r w:rsidR="007A10C0">
        <w:t xml:space="preserve">typem hypostázované predikace </w:t>
      </w:r>
      <w:r w:rsidRPr="00273106">
        <w:t>novou jednotu jsoucna</w:t>
      </w:r>
      <w:r w:rsidR="00CF6C67">
        <w:t xml:space="preserve"> založenou na n</w:t>
      </w:r>
      <w:r w:rsidR="00DB29C2">
        <w:t>o</w:t>
      </w:r>
      <w:r w:rsidR="00CF6C67">
        <w:t>v</w:t>
      </w:r>
      <w:r w:rsidR="00DB29C2">
        <w:t>ém pojetí existence a pravdy</w:t>
      </w:r>
      <w:r w:rsidRPr="00273106">
        <w:t xml:space="preserve">. </w:t>
      </w:r>
      <w:bookmarkStart w:id="125" w:name="_Ref403038656"/>
      <w:r w:rsidR="005B53A7" w:rsidRPr="00273106">
        <w:t>Porretánsk</w:t>
      </w:r>
      <w:r w:rsidR="008B49A2">
        <w:t>ý Rufus převedl</w:t>
      </w:r>
      <w:r w:rsidR="008B49A2" w:rsidRPr="00273106">
        <w:t xml:space="preserve"> </w:t>
      </w:r>
      <w:r w:rsidR="008B49A2">
        <w:t xml:space="preserve">analogickou jednotu </w:t>
      </w:r>
      <w:r w:rsidR="005B53A7" w:rsidRPr="00273106">
        <w:t xml:space="preserve">na číslo jako poslední, již dále nedělitelné individuum, které má hypostatický charakter. </w:t>
      </w:r>
      <w:bookmarkEnd w:id="125"/>
      <w:r w:rsidR="007E0E09">
        <w:t>Zavedení analogie do kategoriální predikace</w:t>
      </w:r>
      <w:r w:rsidR="08E732A8">
        <w:t xml:space="preserve"> není aristotelské řešení</w:t>
      </w:r>
      <w:r w:rsidR="080E1EFC">
        <w:t xml:space="preserve">. První averroismus </w:t>
      </w:r>
      <w:r w:rsidR="08C14803">
        <w:t xml:space="preserve">Alberta </w:t>
      </w:r>
      <w:r w:rsidR="080E1EFC">
        <w:t xml:space="preserve">nemůže připustit metafyzickou definici pravdy na základě </w:t>
      </w:r>
      <w:r w:rsidR="080E1EFC" w:rsidRPr="00273106">
        <w:t>poznání dané</w:t>
      </w:r>
      <w:r w:rsidR="080E1EFC">
        <w:t>ho</w:t>
      </w:r>
      <w:r w:rsidR="080E1EFC" w:rsidRPr="00273106">
        <w:t xml:space="preserve"> mimo kauzální vztah první substance</w:t>
      </w:r>
      <w:r w:rsidR="080E1EFC">
        <w:fldChar w:fldCharType="begin"/>
      </w:r>
      <w:r w:rsidR="080E1EFC">
        <w:instrText xml:space="preserve"> XE "</w:instrText>
      </w:r>
      <w:r w:rsidR="080E1EFC" w:rsidRPr="00DE2A32">
        <w:instrText>substance</w:instrText>
      </w:r>
      <w:r w:rsidR="080E1EFC">
        <w:instrText xml:space="preserve">:první" </w:instrText>
      </w:r>
      <w:r w:rsidR="080E1EFC">
        <w:fldChar w:fldCharType="end"/>
      </w:r>
      <w:r w:rsidR="080E1EFC">
        <w:t xml:space="preserve">, protože tím by se věda stala </w:t>
      </w:r>
      <w:r w:rsidR="080E1EFC" w:rsidRPr="080E1EFC">
        <w:rPr>
          <w:i/>
        </w:rPr>
        <w:t>science-fiction</w:t>
      </w:r>
      <w:r w:rsidR="080E1EFC">
        <w:rPr>
          <w:i/>
        </w:rPr>
        <w:fldChar w:fldCharType="begin"/>
      </w:r>
      <w:r w:rsidR="080E1EFC">
        <w:instrText xml:space="preserve"> XE "</w:instrText>
      </w:r>
      <w:r w:rsidR="080E1EFC" w:rsidRPr="086B5E81">
        <w:rPr>
          <w:i/>
        </w:rPr>
        <w:instrText>science-fiction</w:instrText>
      </w:r>
      <w:r w:rsidR="080E1EFC">
        <w:instrText xml:space="preserve">" </w:instrText>
      </w:r>
      <w:r w:rsidR="080E1EFC">
        <w:rPr>
          <w:i/>
        </w:rPr>
        <w:fldChar w:fldCharType="end"/>
      </w:r>
      <w:r w:rsidR="080E1EFC">
        <w:t xml:space="preserve"> danou pouze v duši </w:t>
      </w:r>
      <w:r w:rsidR="080E1EFC" w:rsidRPr="00273106">
        <w:t>(</w:t>
      </w:r>
      <w:r w:rsidR="080E1EFC" w:rsidRPr="00273106">
        <w:rPr>
          <w:i/>
        </w:rPr>
        <w:t>si enim scientia sit qualitas in anima</w:t>
      </w:r>
      <w:r w:rsidR="080E1EFC">
        <w:rPr>
          <w:i/>
        </w:rPr>
        <w:t xml:space="preserve">, </w:t>
      </w:r>
      <w:r w:rsidR="0860186B">
        <w:t>kap. 2</w:t>
      </w:r>
      <w:r w:rsidR="080E1EFC" w:rsidRPr="080E1EFC">
        <w:t>.4.3</w:t>
      </w:r>
      <w:r w:rsidR="080E1EFC" w:rsidRPr="00273106">
        <w:t xml:space="preserve">). </w:t>
      </w:r>
      <w:r w:rsidR="00760FC3">
        <w:t xml:space="preserve">Takové </w:t>
      </w:r>
      <w:r w:rsidR="00760FC3" w:rsidRPr="00760FC3">
        <w:t>poznání by v myšlení vytvořilo analogickou pro</w:t>
      </w:r>
      <w:r w:rsidR="00760FC3">
        <w:t>jekci univerzálních pojmů jako „zdraví“</w:t>
      </w:r>
      <w:r w:rsidR="00760FC3" w:rsidRPr="00760FC3">
        <w:t xml:space="preserve"> a </w:t>
      </w:r>
      <w:r w:rsidR="00760FC3">
        <w:t xml:space="preserve">ty by projektovalo </w:t>
      </w:r>
      <w:r w:rsidR="00760FC3" w:rsidRPr="00760FC3">
        <w:t xml:space="preserve">do reality </w:t>
      </w:r>
      <w:r w:rsidR="00760FC3">
        <w:t xml:space="preserve">skrze </w:t>
      </w:r>
      <w:r w:rsidR="00760FC3" w:rsidRPr="00760FC3">
        <w:t>matematickou abstrakci.</w:t>
      </w:r>
      <w:r w:rsidR="00760FC3">
        <w:t xml:space="preserve"> </w:t>
      </w:r>
      <w:r w:rsidR="08386174">
        <w:t xml:space="preserve">Rufus vědomě pominul celou debatu ohledně analogie danou Averroesovým komentářem k </w:t>
      </w:r>
      <w:r w:rsidR="08386174" w:rsidRPr="084F4C93">
        <w:rPr>
          <w:i/>
        </w:rPr>
        <w:t>Metafyzice</w:t>
      </w:r>
      <w:r w:rsidR="08386174">
        <w:t xml:space="preserve">. </w:t>
      </w:r>
      <w:r w:rsidR="08386174">
        <w:rPr>
          <w:rFonts w:cs="Calibri"/>
        </w:rPr>
        <w:t>Averroes</w:t>
      </w:r>
      <w:r w:rsidR="08386174" w:rsidRPr="00273106">
        <w:rPr>
          <w:rFonts w:cs="Calibri"/>
        </w:rPr>
        <w:t xml:space="preserve"> bere příklad zdraví a medicíny </w:t>
      </w:r>
      <w:r w:rsidR="08386174">
        <w:rPr>
          <w:rFonts w:cs="Calibri"/>
        </w:rPr>
        <w:t xml:space="preserve">pouze </w:t>
      </w:r>
      <w:r w:rsidR="08386174" w:rsidRPr="00273106">
        <w:rPr>
          <w:rFonts w:cs="Calibri"/>
        </w:rPr>
        <w:t>vzhledem k externě danému cíli nebo činiteli (</w:t>
      </w:r>
      <w:r w:rsidR="08386174" w:rsidRPr="00273106">
        <w:rPr>
          <w:i/>
        </w:rPr>
        <w:t>quia est agens aut finis eorum</w:t>
      </w:r>
      <w:r w:rsidR="08386174">
        <w:rPr>
          <w:i/>
        </w:rPr>
        <w:t xml:space="preserve">, </w:t>
      </w:r>
      <w:r w:rsidR="08D0053A">
        <w:t>kap. 3</w:t>
      </w:r>
      <w:r w:rsidR="08386174">
        <w:t>.1.2</w:t>
      </w:r>
      <w:r w:rsidR="08386174" w:rsidRPr="00273106">
        <w:rPr>
          <w:rFonts w:cs="Calibri"/>
        </w:rPr>
        <w:t xml:space="preserve">). </w:t>
      </w:r>
      <w:r w:rsidR="08386174">
        <w:rPr>
          <w:rFonts w:cs="Calibri"/>
        </w:rPr>
        <w:t xml:space="preserve">Impozice významu jde již z reality, proto je možné predikovat analogické vztahy v modu </w:t>
      </w:r>
      <w:r w:rsidR="08386174" w:rsidRPr="00D81759">
        <w:rPr>
          <w:rFonts w:cs="Calibri"/>
          <w:i/>
        </w:rPr>
        <w:t>per prius</w:t>
      </w:r>
      <w:r w:rsidR="08386174">
        <w:rPr>
          <w:rFonts w:cs="Calibri"/>
        </w:rPr>
        <w:t xml:space="preserve"> a </w:t>
      </w:r>
      <w:r w:rsidR="08386174" w:rsidRPr="00D81759">
        <w:rPr>
          <w:rFonts w:cs="Calibri"/>
          <w:i/>
        </w:rPr>
        <w:t>per posterius</w:t>
      </w:r>
      <w:r w:rsidR="08386174">
        <w:rPr>
          <w:rFonts w:cs="Calibri"/>
        </w:rPr>
        <w:t xml:space="preserve"> vzhledem k první substanci. </w:t>
      </w:r>
      <w:r w:rsidR="00913395" w:rsidRPr="00913395">
        <w:rPr>
          <w:rFonts w:cs="Calibri"/>
        </w:rPr>
        <w:t>Původce a cíl činnosti však představují pouze konstrukt v myšlení poznávajícího. Taková jednota je dána na úrovni druhé abstrakce.</w:t>
      </w:r>
      <w:r w:rsidR="00913395">
        <w:rPr>
          <w:rFonts w:cs="Calibri"/>
        </w:rPr>
        <w:t xml:space="preserve"> </w:t>
      </w:r>
      <w:r w:rsidR="08386174">
        <w:rPr>
          <w:rFonts w:cs="Calibri"/>
        </w:rPr>
        <w:t>A</w:t>
      </w:r>
      <w:r w:rsidR="08386174" w:rsidRPr="00273106">
        <w:t>nalogie je podle Aristotela jen slabá forma jednoty na úrovni homonymie</w:t>
      </w:r>
      <w:r w:rsidR="08386174">
        <w:fldChar w:fldCharType="begin"/>
      </w:r>
      <w:r w:rsidR="08386174">
        <w:instrText xml:space="preserve"> XE "</w:instrText>
      </w:r>
      <w:r w:rsidR="08386174" w:rsidRPr="006524F7">
        <w:instrText>homonymie</w:instrText>
      </w:r>
      <w:r w:rsidR="08386174">
        <w:instrText xml:space="preserve">" </w:instrText>
      </w:r>
      <w:r w:rsidR="08386174">
        <w:fldChar w:fldCharType="end"/>
      </w:r>
      <w:r w:rsidR="08386174" w:rsidRPr="00273106">
        <w:t xml:space="preserve"> a v nejlepším případě vyjadřuje jednotu vztaženou k různým substancím (zdravý člověk, </w:t>
      </w:r>
      <w:r w:rsidR="004216AE">
        <w:t xml:space="preserve">zdravé </w:t>
      </w:r>
      <w:r w:rsidR="08386174" w:rsidRPr="00273106">
        <w:t xml:space="preserve">jídlo, </w:t>
      </w:r>
      <w:r w:rsidR="004216AE">
        <w:t xml:space="preserve">zdravá </w:t>
      </w:r>
      <w:r w:rsidR="08386174" w:rsidRPr="00273106">
        <w:t xml:space="preserve">životospráva atd.). </w:t>
      </w:r>
      <w:r w:rsidR="00DC09A9" w:rsidRPr="00273106">
        <w:t xml:space="preserve">Rufus </w:t>
      </w:r>
      <w:r w:rsidR="00DC09A9">
        <w:t>jako l</w:t>
      </w:r>
      <w:r w:rsidR="00EC0DCA">
        <w:t xml:space="preserve">atinský sofista </w:t>
      </w:r>
      <w:r w:rsidR="08386174" w:rsidRPr="00273106">
        <w:t>tyto</w:t>
      </w:r>
      <w:r w:rsidR="08386174">
        <w:t xml:space="preserve"> </w:t>
      </w:r>
      <w:r w:rsidR="00EC0DCA">
        <w:t>„</w:t>
      </w:r>
      <w:r w:rsidR="08386174">
        <w:t>detaily</w:t>
      </w:r>
      <w:r w:rsidR="00EC0DCA">
        <w:t>“</w:t>
      </w:r>
      <w:r w:rsidR="08386174" w:rsidRPr="00273106">
        <w:t xml:space="preserve"> </w:t>
      </w:r>
      <w:r w:rsidR="08386174">
        <w:t xml:space="preserve">ohledně </w:t>
      </w:r>
      <w:r w:rsidR="00DC09A9">
        <w:t xml:space="preserve">definice </w:t>
      </w:r>
      <w:r w:rsidR="08386174">
        <w:t xml:space="preserve">analogie </w:t>
      </w:r>
      <w:r w:rsidR="08386174" w:rsidRPr="00273106">
        <w:t xml:space="preserve">jednoduše pominul, na rozdíl od prvního averroismu. Vzal z původní definice </w:t>
      </w:r>
      <w:r w:rsidR="08386174">
        <w:t xml:space="preserve">matematické </w:t>
      </w:r>
      <w:r w:rsidR="08386174" w:rsidRPr="00273106">
        <w:t>analogie formální strukturu</w:t>
      </w:r>
      <w:r w:rsidR="08386174">
        <w:t xml:space="preserve"> výpovědi vztažené k substanci v modu </w:t>
      </w:r>
      <w:r w:rsidR="08386174" w:rsidRPr="00180480">
        <w:rPr>
          <w:i/>
        </w:rPr>
        <w:t>per prius</w:t>
      </w:r>
      <w:r w:rsidR="08386174">
        <w:t xml:space="preserve">. I </w:t>
      </w:r>
      <w:r w:rsidR="08386174" w:rsidRPr="00273106">
        <w:t xml:space="preserve">slabou podobnost lze podle Aristotela predikovat v modu </w:t>
      </w:r>
      <w:r w:rsidR="08386174" w:rsidRPr="00273106">
        <w:rPr>
          <w:i/>
        </w:rPr>
        <w:t>per prius</w:t>
      </w:r>
      <w:r w:rsidR="08386174" w:rsidRPr="00273106">
        <w:t xml:space="preserve"> vzhledem k původní substanci a </w:t>
      </w:r>
      <w:r w:rsidR="08386174" w:rsidRPr="00273106">
        <w:rPr>
          <w:i/>
        </w:rPr>
        <w:t>per posterius</w:t>
      </w:r>
      <w:r w:rsidR="08386174" w:rsidRPr="00273106">
        <w:t xml:space="preserve"> vzhledem k významům</w:t>
      </w:r>
      <w:r w:rsidR="08386174">
        <w:t xml:space="preserve"> daným v mysli</w:t>
      </w:r>
      <w:r w:rsidR="08386174" w:rsidRPr="00273106">
        <w:t>.</w:t>
      </w:r>
      <w:r w:rsidR="08386174">
        <w:t xml:space="preserve"> </w:t>
      </w:r>
      <w:r w:rsidR="007E0E09" w:rsidRPr="00273106">
        <w:t>Novátorský Rufus ustavil nové pojetí jednoty jsoucna, které stojí na matematické analogii</w:t>
      </w:r>
      <w:r w:rsidR="007E0E09">
        <w:t xml:space="preserve"> dané v mysli</w:t>
      </w:r>
      <w:r w:rsidR="007E0E09">
        <w:fldChar w:fldCharType="begin"/>
      </w:r>
      <w:r w:rsidR="007E0E09">
        <w:instrText xml:space="preserve"> XE "</w:instrText>
      </w:r>
      <w:r w:rsidR="007E0E09" w:rsidRPr="009C50F6">
        <w:instrText>predikace:analogická</w:instrText>
      </w:r>
      <w:r w:rsidR="007E0E09">
        <w:instrText xml:space="preserve">" </w:instrText>
      </w:r>
      <w:r w:rsidR="007E0E09">
        <w:fldChar w:fldCharType="end"/>
      </w:r>
      <w:r w:rsidR="007E0E09" w:rsidRPr="00273106">
        <w:t>, a nikoliv na metafyzické univocitě</w:t>
      </w:r>
      <w:r w:rsidR="007E0E09">
        <w:t xml:space="preserve"> dané z reálu</w:t>
      </w:r>
      <w:r w:rsidR="007E0E09" w:rsidRPr="00273106">
        <w:t xml:space="preserve">. </w:t>
      </w:r>
      <w:r w:rsidR="00385AF5">
        <w:t xml:space="preserve">Analogická predikace </w:t>
      </w:r>
      <w:r w:rsidR="00385AF5" w:rsidRPr="00385AF5">
        <w:t xml:space="preserve">se vztahuje k číslu jako hypostatické substanci v modu </w:t>
      </w:r>
      <w:r w:rsidR="00385AF5" w:rsidRPr="00385AF5">
        <w:rPr>
          <w:i/>
        </w:rPr>
        <w:t>per prius</w:t>
      </w:r>
      <w:r w:rsidR="00385AF5" w:rsidRPr="00385AF5">
        <w:t>. Číslo získalo mytologicko</w:t>
      </w:r>
      <w:r w:rsidR="00385AF5">
        <w:t>u kauzalitu podle božských sil C</w:t>
      </w:r>
      <w:r w:rsidR="00385AF5" w:rsidRPr="00385AF5">
        <w:t>haosu a ve vědeckém soudu</w:t>
      </w:r>
      <w:r w:rsidR="00385AF5">
        <w:t xml:space="preserve"> </w:t>
      </w:r>
      <w:r w:rsidR="00385AF5" w:rsidRPr="00385AF5">
        <w:t>nahradilo imp</w:t>
      </w:r>
      <w:r w:rsidR="00385AF5">
        <w:t>ozici z reality</w:t>
      </w:r>
      <w:r w:rsidR="00385AF5" w:rsidRPr="00385AF5">
        <w:t>.</w:t>
      </w:r>
      <w:r w:rsidR="00385AF5">
        <w:t xml:space="preserve"> </w:t>
      </w:r>
      <w:r w:rsidR="007E0E09">
        <w:t xml:space="preserve">Abstraktní vztahy </w:t>
      </w:r>
      <w:r w:rsidR="007E0E09" w:rsidRPr="00273106">
        <w:t>(</w:t>
      </w:r>
      <w:r w:rsidR="007E0E09" w:rsidRPr="00273106">
        <w:rPr>
          <w:i/>
        </w:rPr>
        <w:t>dimensio</w:t>
      </w:r>
      <w:r w:rsidR="007E0E09" w:rsidRPr="00273106">
        <w:t xml:space="preserve">, </w:t>
      </w:r>
      <w:r w:rsidR="007E0E09" w:rsidRPr="00273106">
        <w:rPr>
          <w:i/>
        </w:rPr>
        <w:t>magnitudo</w:t>
      </w:r>
      <w:r w:rsidR="007E0E09" w:rsidRPr="00273106">
        <w:t xml:space="preserve">, </w:t>
      </w:r>
      <w:r w:rsidR="007E0E09" w:rsidRPr="00273106">
        <w:rPr>
          <w:i/>
        </w:rPr>
        <w:t>numerus</w:t>
      </w:r>
      <w:r w:rsidR="007E0E09" w:rsidRPr="00273106">
        <w:t xml:space="preserve">) dostaly transcendentální charakter v rámci univerzálně pojaté analogie. </w:t>
      </w:r>
      <w:r w:rsidR="08056A4D">
        <w:t>Moderna dala j</w:t>
      </w:r>
      <w:r w:rsidR="08056A4D" w:rsidRPr="00273106">
        <w:t xml:space="preserve">ednotu jsoucna do matematické podobnosti trojčlenky </w:t>
      </w:r>
      <w:r w:rsidR="08056A4D">
        <w:t xml:space="preserve">podle </w:t>
      </w:r>
      <w:r w:rsidR="08056A4D">
        <w:rPr>
          <w:i/>
        </w:rPr>
        <w:t>Etiky</w:t>
      </w:r>
      <w:r w:rsidR="08056A4D" w:rsidRPr="001F07FD">
        <w:rPr>
          <w:i/>
        </w:rPr>
        <w:t xml:space="preserve"> Nikomachov</w:t>
      </w:r>
      <w:r w:rsidR="08056A4D">
        <w:rPr>
          <w:i/>
        </w:rPr>
        <w:t>y</w:t>
      </w:r>
      <w:r w:rsidR="08056A4D" w:rsidRPr="00273106">
        <w:t xml:space="preserve"> (E.N. 1131a31‒32</w:t>
      </w:r>
      <w:r w:rsidR="08056A4D">
        <w:fldChar w:fldCharType="begin"/>
      </w:r>
      <w:r w:rsidR="08056A4D">
        <w:instrText xml:space="preserve"> XE "Aristoteles:</w:instrText>
      </w:r>
      <w:r w:rsidR="08056A4D" w:rsidRPr="009229D9">
        <w:instrText>E.N. 1131a31‒32</w:instrText>
      </w:r>
      <w:r w:rsidR="08056A4D">
        <w:instrText xml:space="preserve">" </w:instrText>
      </w:r>
      <w:r w:rsidR="08056A4D">
        <w:fldChar w:fldCharType="end"/>
      </w:r>
      <w:r w:rsidR="08056A4D" w:rsidRPr="00273106">
        <w:t>).</w:t>
      </w:r>
      <w:r w:rsidR="08056A4D">
        <w:t xml:space="preserve"> </w:t>
      </w:r>
      <w:r w:rsidR="008B4B3E">
        <w:t>Metamtická a</w:t>
      </w:r>
      <w:r w:rsidR="08D337D6" w:rsidRPr="00273106">
        <w:t xml:space="preserve">nalogie se v nové metafyzice dostala na úroveň </w:t>
      </w:r>
      <w:r w:rsidR="08D337D6">
        <w:t>kategoriální</w:t>
      </w:r>
      <w:r w:rsidR="08462101">
        <w:t xml:space="preserve"> predikace pro </w:t>
      </w:r>
      <w:r w:rsidR="08D337D6">
        <w:t xml:space="preserve">hyparchicky dané první substance. </w:t>
      </w:r>
      <w:r w:rsidR="08E67D48">
        <w:t xml:space="preserve">Rufusovo spojení dvou zcela odlišných úrovní predikace univerzality založilo </w:t>
      </w:r>
      <w:r w:rsidR="089C7C76">
        <w:t xml:space="preserve">postmoderní </w:t>
      </w:r>
      <w:r w:rsidR="007E0E09">
        <w:t xml:space="preserve">hybrid </w:t>
      </w:r>
      <w:r w:rsidR="08ED7875">
        <w:t xml:space="preserve">univerzality </w:t>
      </w:r>
      <w:r w:rsidR="007E0E09">
        <w:t xml:space="preserve">zvaný </w:t>
      </w:r>
      <w:r w:rsidR="004D6F08">
        <w:t>„</w:t>
      </w:r>
      <w:r w:rsidR="007E0E09" w:rsidRPr="00273106">
        <w:rPr>
          <w:i/>
        </w:rPr>
        <w:t>analogia entis</w:t>
      </w:r>
      <w:r w:rsidR="004D6F08">
        <w:rPr>
          <w:i/>
        </w:rPr>
        <w:t>“</w:t>
      </w:r>
      <w:r w:rsidR="007E0E09">
        <w:rPr>
          <w:i/>
        </w:rPr>
        <w:fldChar w:fldCharType="begin"/>
      </w:r>
      <w:r w:rsidR="007E0E09">
        <w:instrText xml:space="preserve"> XE "</w:instrText>
      </w:r>
      <w:r w:rsidR="007E0E09" w:rsidRPr="00834F99">
        <w:rPr>
          <w:rStyle w:val="addmd"/>
          <w:i/>
        </w:rPr>
        <w:instrText>analogia entis</w:instrText>
      </w:r>
      <w:r w:rsidR="007E0E09">
        <w:instrText xml:space="preserve">" </w:instrText>
      </w:r>
      <w:r w:rsidR="007E0E09">
        <w:rPr>
          <w:i/>
        </w:rPr>
        <w:fldChar w:fldCharType="end"/>
      </w:r>
      <w:r w:rsidR="08ED7875">
        <w:t>. O</w:t>
      </w:r>
      <w:r w:rsidR="089C7C76">
        <w:t xml:space="preserve">ntologická jednota </w:t>
      </w:r>
      <w:r w:rsidR="08ED7875">
        <w:t xml:space="preserve">postmoderní </w:t>
      </w:r>
      <w:r w:rsidR="089C7C76" w:rsidRPr="089C7C76">
        <w:rPr>
          <w:i/>
        </w:rPr>
        <w:t>metaphysica generalis</w:t>
      </w:r>
      <w:r w:rsidR="089C7C76">
        <w:rPr>
          <w:i/>
        </w:rPr>
        <w:fldChar w:fldCharType="begin"/>
      </w:r>
      <w:r w:rsidR="089C7C76">
        <w:instrText xml:space="preserve"> XE "</w:instrText>
      </w:r>
      <w:r w:rsidR="089C7C76" w:rsidRPr="08C02C6F">
        <w:rPr>
          <w:i/>
        </w:rPr>
        <w:instrText>metaphysica generalis</w:instrText>
      </w:r>
      <w:r w:rsidR="089C7C76">
        <w:instrText xml:space="preserve">" </w:instrText>
      </w:r>
      <w:r w:rsidR="089C7C76">
        <w:rPr>
          <w:i/>
        </w:rPr>
        <w:fldChar w:fldCharType="end"/>
      </w:r>
      <w:r w:rsidR="089C7C76">
        <w:t xml:space="preserve"> vychází z moderního poj</w:t>
      </w:r>
      <w:r w:rsidR="08144E51">
        <w:t>m</w:t>
      </w:r>
      <w:r w:rsidR="089C7C76">
        <w:t>u</w:t>
      </w:r>
      <w:r w:rsidR="08144E51">
        <w:t xml:space="preserve"> </w:t>
      </w:r>
      <w:r w:rsidR="004D6F08">
        <w:t>„</w:t>
      </w:r>
      <w:r w:rsidR="007E0E09" w:rsidRPr="00273106">
        <w:rPr>
          <w:i/>
        </w:rPr>
        <w:t>univocatio entis</w:t>
      </w:r>
      <w:r w:rsidR="004D6F08">
        <w:t>“. Tento pojem definoval</w:t>
      </w:r>
      <w:r w:rsidR="005630DC" w:rsidRPr="005630DC">
        <w:t xml:space="preserve"> po roce 1300 (Duns Scotus, Franciscus</w:t>
      </w:r>
      <w:r w:rsidR="005630DC">
        <w:t xml:space="preserve"> de Marchia) analogickou jednot</w:t>
      </w:r>
      <w:r w:rsidR="005630DC" w:rsidRPr="005630DC">
        <w:t>u, která vytváří objektivní pohled na bytí</w:t>
      </w:r>
      <w:r w:rsidR="005630DC">
        <w:t xml:space="preserve"> jsoucna</w:t>
      </w:r>
      <w:r w:rsidR="005630DC" w:rsidRPr="005630DC">
        <w:t xml:space="preserve">. Rufus zahajuje </w:t>
      </w:r>
      <w:r w:rsidR="005630DC" w:rsidRPr="005630DC">
        <w:rPr>
          <w:i/>
        </w:rPr>
        <w:t>via Modernorum</w:t>
      </w:r>
      <w:r w:rsidR="005630DC" w:rsidRPr="005630DC">
        <w:t xml:space="preserve"> stanovením </w:t>
      </w:r>
      <w:r w:rsidR="005630DC">
        <w:t xml:space="preserve">moderní </w:t>
      </w:r>
      <w:r w:rsidR="005630DC" w:rsidRPr="005630DC">
        <w:t>numer</w:t>
      </w:r>
      <w:r w:rsidR="005630DC">
        <w:t>iz</w:t>
      </w:r>
      <w:r w:rsidR="005630DC" w:rsidRPr="005630DC">
        <w:t>ace světa jako základu metafyziky.</w:t>
      </w:r>
      <w:r w:rsidR="005630DC">
        <w:t xml:space="preserve"> </w:t>
      </w:r>
      <w:r w:rsidR="089C44BA">
        <w:t xml:space="preserve">Číslo se stalo novou první substancí a jeho hyparchické bytí dané pouze v mysli začalo efektivně kauzálně působit ve světě prvních substancí. </w:t>
      </w:r>
      <w:r w:rsidR="0854409F">
        <w:t>Epochální nástup matematiky</w:t>
      </w:r>
      <w:r w:rsidR="0854409F" w:rsidRPr="08BB0C62">
        <w:t xml:space="preserve"> </w:t>
      </w:r>
      <w:r w:rsidR="0854409F" w:rsidRPr="00273106">
        <w:t>umožn</w:t>
      </w:r>
      <w:r w:rsidR="0854409F">
        <w:t xml:space="preserve">ila devalvace metafyzické abstrakce a predikace spojená s primátem </w:t>
      </w:r>
      <w:r w:rsidR="0854409F" w:rsidRPr="00273106">
        <w:t xml:space="preserve">čísla jako posledního a dále nedělitelného základu reality </w:t>
      </w:r>
      <w:r w:rsidR="0854409F">
        <w:t>(</w:t>
      </w:r>
      <w:r w:rsidR="0854409F" w:rsidRPr="00CB4233">
        <w:rPr>
          <w:i/>
        </w:rPr>
        <w:t>individuum</w:t>
      </w:r>
      <w:r w:rsidR="0854409F">
        <w:t xml:space="preserve">). </w:t>
      </w:r>
      <w:r w:rsidR="087F4916">
        <w:t xml:space="preserve">Nový systém </w:t>
      </w:r>
      <w:r w:rsidR="087F4916" w:rsidRPr="002D098C">
        <w:rPr>
          <w:i/>
        </w:rPr>
        <w:t>mathesis universalis</w:t>
      </w:r>
      <w:r w:rsidR="087F4916">
        <w:rPr>
          <w:i/>
        </w:rPr>
        <w:fldChar w:fldCharType="begin"/>
      </w:r>
      <w:r w:rsidR="087F4916">
        <w:instrText xml:space="preserve"> XE "</w:instrText>
      </w:r>
      <w:r w:rsidR="087F4916" w:rsidRPr="00212B09">
        <w:rPr>
          <w:i/>
        </w:rPr>
        <w:instrText>mathesis universalis</w:instrText>
      </w:r>
      <w:r w:rsidR="087F4916">
        <w:instrText xml:space="preserve">" </w:instrText>
      </w:r>
      <w:r w:rsidR="087F4916">
        <w:rPr>
          <w:i/>
        </w:rPr>
        <w:fldChar w:fldCharType="end"/>
      </w:r>
      <w:r w:rsidR="087F4916">
        <w:t xml:space="preserve"> nahrazující klasickou metafyziku ukazuje následující citát.</w:t>
      </w:r>
    </w:p>
    <w:p w14:paraId="0694EE2C" w14:textId="0B4B44F7" w:rsidR="087F4916" w:rsidRPr="00273106" w:rsidRDefault="087F4916" w:rsidP="087F4916">
      <w:pPr>
        <w:pStyle w:val="Citace"/>
        <w:rPr>
          <w:noProof/>
          <w:lang w:val="cs-CZ"/>
        </w:rPr>
      </w:pPr>
      <w:r w:rsidRPr="00273106">
        <w:rPr>
          <w:noProof/>
          <w:lang w:val="cs-CZ"/>
        </w:rPr>
        <w:t xml:space="preserve">„Matematický počet lze chápat tak, že má existenci danou ve věcech. </w:t>
      </w:r>
      <w:r>
        <w:rPr>
          <w:noProof/>
          <w:lang w:val="cs-CZ"/>
        </w:rPr>
        <w:t>Č</w:t>
      </w:r>
      <w:r w:rsidRPr="00273106">
        <w:rPr>
          <w:noProof/>
          <w:lang w:val="cs-CZ"/>
        </w:rPr>
        <w:t xml:space="preserve">íselná mnohost </w:t>
      </w:r>
      <w:r>
        <w:rPr>
          <w:noProof/>
          <w:lang w:val="cs-CZ"/>
        </w:rPr>
        <w:t xml:space="preserve">vzniká </w:t>
      </w:r>
      <w:r w:rsidRPr="00273106">
        <w:rPr>
          <w:noProof/>
          <w:lang w:val="cs-CZ"/>
        </w:rPr>
        <w:t>násobením věcí</w:t>
      </w:r>
      <w:r w:rsidR="001F3754">
        <w:rPr>
          <w:noProof/>
          <w:lang w:val="cs-CZ"/>
        </w:rPr>
        <w:t xml:space="preserve">; vzat </w:t>
      </w:r>
      <w:r w:rsidR="08DF5EF5">
        <w:rPr>
          <w:noProof/>
          <w:lang w:val="cs-CZ"/>
        </w:rPr>
        <w:t>tímto způsobem</w:t>
      </w:r>
      <w:r w:rsidR="001F3754">
        <w:rPr>
          <w:noProof/>
          <w:lang w:val="cs-CZ"/>
        </w:rPr>
        <w:t>,</w:t>
      </w:r>
      <w:r w:rsidR="08DF5EF5">
        <w:rPr>
          <w:noProof/>
          <w:lang w:val="cs-CZ"/>
        </w:rPr>
        <w:t xml:space="preserve"> je </w:t>
      </w:r>
      <w:r w:rsidR="08287701">
        <w:rPr>
          <w:noProof/>
          <w:lang w:val="cs-CZ"/>
        </w:rPr>
        <w:t xml:space="preserve">numerický </w:t>
      </w:r>
      <w:r w:rsidR="08DF5EF5">
        <w:rPr>
          <w:noProof/>
          <w:lang w:val="cs-CZ"/>
        </w:rPr>
        <w:t xml:space="preserve">počet zdvojen </w:t>
      </w:r>
      <w:r w:rsidR="08287701">
        <w:rPr>
          <w:noProof/>
          <w:lang w:val="cs-CZ"/>
        </w:rPr>
        <w:t>tím, že se násob</w:t>
      </w:r>
      <w:r w:rsidR="084A4A80">
        <w:rPr>
          <w:noProof/>
          <w:lang w:val="cs-CZ"/>
        </w:rPr>
        <w:t>í skrze věci (</w:t>
      </w:r>
      <w:r w:rsidR="084A4A80" w:rsidRPr="084A4A80">
        <w:rPr>
          <w:i/>
        </w:rPr>
        <w:t>est binarius per multiplicationem rerum</w:t>
      </w:r>
      <w:r w:rsidR="084A4A80">
        <w:rPr>
          <w:noProof/>
          <w:lang w:val="cs-CZ"/>
        </w:rPr>
        <w:t>). N</w:t>
      </w:r>
      <w:r w:rsidR="08DF5EF5">
        <w:rPr>
          <w:noProof/>
          <w:lang w:val="cs-CZ"/>
        </w:rPr>
        <w:t>umerická</w:t>
      </w:r>
      <w:r w:rsidRPr="00273106">
        <w:rPr>
          <w:noProof/>
          <w:lang w:val="cs-CZ"/>
        </w:rPr>
        <w:t xml:space="preserve"> </w:t>
      </w:r>
      <w:r w:rsidR="004B4D52" w:rsidRPr="004B4D52">
        <w:rPr>
          <w:noProof/>
          <w:lang w:val="cs-CZ"/>
        </w:rPr>
        <w:t>species</w:t>
      </w:r>
      <w:r w:rsidR="084A4A80">
        <w:rPr>
          <w:noProof/>
          <w:lang w:val="cs-CZ"/>
        </w:rPr>
        <w:t xml:space="preserve"> </w:t>
      </w:r>
      <w:r>
        <w:rPr>
          <w:noProof/>
          <w:lang w:val="cs-CZ"/>
        </w:rPr>
        <w:t xml:space="preserve">se </w:t>
      </w:r>
      <w:r w:rsidRPr="00273106">
        <w:rPr>
          <w:noProof/>
          <w:lang w:val="cs-CZ"/>
        </w:rPr>
        <w:t>diferenc</w:t>
      </w:r>
      <w:r w:rsidR="08DF5EF5">
        <w:rPr>
          <w:noProof/>
          <w:lang w:val="cs-CZ"/>
        </w:rPr>
        <w:t>ují</w:t>
      </w:r>
      <w:r>
        <w:rPr>
          <w:noProof/>
          <w:lang w:val="cs-CZ"/>
        </w:rPr>
        <w:t xml:space="preserve"> </w:t>
      </w:r>
      <w:r w:rsidRPr="00273106">
        <w:rPr>
          <w:noProof/>
          <w:lang w:val="cs-CZ"/>
        </w:rPr>
        <w:t>skrze mnohost individuí.“ </w:t>
      </w:r>
      <w:r w:rsidRPr="00273106">
        <w:rPr>
          <w:rStyle w:val="Znakapoznpodarou"/>
          <w:noProof/>
          <w:lang w:val="cs-CZ"/>
        </w:rPr>
        <w:footnoteReference w:id="414"/>
      </w:r>
    </w:p>
    <w:p w14:paraId="79F055F7" w14:textId="64A77CBF" w:rsidR="006F0AC0" w:rsidRDefault="087F4916" w:rsidP="00AF4584">
      <w:r>
        <w:t>Č</w:t>
      </w:r>
      <w:r w:rsidRPr="00273106">
        <w:t>íslo v rámci matematické abstrakce</w:t>
      </w:r>
      <w:r>
        <w:fldChar w:fldCharType="begin"/>
      </w:r>
      <w:r>
        <w:instrText xml:space="preserve"> XE "</w:instrText>
      </w:r>
      <w:r w:rsidRPr="00A824F0">
        <w:instrText>abstrakce:matematická</w:instrText>
      </w:r>
      <w:r>
        <w:instrText xml:space="preserve">" </w:instrText>
      </w:r>
      <w:r>
        <w:fldChar w:fldCharType="end"/>
      </w:r>
      <w:r w:rsidRPr="00273106">
        <w:t xml:space="preserve"> (</w:t>
      </w:r>
      <w:r w:rsidRPr="00273106">
        <w:rPr>
          <w:i/>
        </w:rPr>
        <w:t>numerus mathematicus</w:t>
      </w:r>
      <w:r w:rsidRPr="00273106">
        <w:t>) se stalo formou, která je přímo obsažena ve věcech (</w:t>
      </w:r>
      <w:r w:rsidRPr="00273106">
        <w:rPr>
          <w:i/>
        </w:rPr>
        <w:t>habet esse in rebus</w:t>
      </w:r>
      <w:r w:rsidRPr="00273106">
        <w:t xml:space="preserve">). Numericky definovaná kvantita se váže na </w:t>
      </w:r>
      <w:r>
        <w:t xml:space="preserve">univerzálně-singulární definici </w:t>
      </w:r>
      <w:r w:rsidRPr="00273106">
        <w:t xml:space="preserve">čísla jako </w:t>
      </w:r>
      <w:r w:rsidR="004B4D52" w:rsidRPr="004B4D52">
        <w:t>species</w:t>
      </w:r>
      <w:r>
        <w:t>, která</w:t>
      </w:r>
      <w:r w:rsidRPr="00273106">
        <w:t xml:space="preserve"> univočně reprezentuje jakékoliv dále nedělitelné individuum (</w:t>
      </w:r>
      <w:r w:rsidR="004B4D52" w:rsidRPr="004B4D52">
        <w:t>species</w:t>
      </w:r>
      <w:r w:rsidRPr="00273106">
        <w:rPr>
          <w:i/>
        </w:rPr>
        <w:t xml:space="preserve"> numeri et multiplicatur per individua</w:t>
      </w:r>
      <w:r w:rsidRPr="00273106">
        <w:t xml:space="preserve">). Toto spojení matematiky a dělení </w:t>
      </w:r>
      <w:r>
        <w:t xml:space="preserve">hypostází </w:t>
      </w:r>
      <w:r w:rsidRPr="00273106">
        <w:t xml:space="preserve">podle </w:t>
      </w:r>
      <w:r w:rsidR="004B4D52" w:rsidRPr="004B4D52">
        <w:t>species</w:t>
      </w:r>
      <w:r w:rsidRPr="00273106">
        <w:rPr>
          <w:i/>
        </w:rPr>
        <w:t xml:space="preserve"> specialissima</w:t>
      </w:r>
      <w:r>
        <w:rPr>
          <w:i/>
        </w:rPr>
        <w:fldChar w:fldCharType="begin"/>
      </w:r>
      <w:r>
        <w:instrText xml:space="preserve"> XE "</w:instrText>
      </w:r>
      <w:r w:rsidRPr="00A94442">
        <w:rPr>
          <w:i/>
        </w:rPr>
        <w:instrText>species specialissima</w:instrText>
      </w:r>
      <w:r>
        <w:instrText xml:space="preserve">" </w:instrText>
      </w:r>
      <w:r>
        <w:rPr>
          <w:i/>
        </w:rPr>
        <w:fldChar w:fldCharType="end"/>
      </w:r>
      <w:r w:rsidRPr="00273106">
        <w:rPr>
          <w:i/>
        </w:rPr>
        <w:t xml:space="preserve"> </w:t>
      </w:r>
      <w:r w:rsidRPr="00273106">
        <w:t xml:space="preserve">nahradilo </w:t>
      </w:r>
      <w:r>
        <w:t>impozici prvního averroismu, který determinoval vědecké poznání směrem od první substance</w:t>
      </w:r>
      <w:r w:rsidRPr="00273106">
        <w:t xml:space="preserve">. </w:t>
      </w:r>
      <w:r>
        <w:t>Rufusovo d</w:t>
      </w:r>
      <w:r w:rsidRPr="00273106">
        <w:t xml:space="preserve">ělení je </w:t>
      </w:r>
      <w:r w:rsidR="08EE46F9">
        <w:t xml:space="preserve">zdánlivě </w:t>
      </w:r>
      <w:r w:rsidRPr="00273106">
        <w:t>univoční, protože mn</w:t>
      </w:r>
      <w:r w:rsidR="0829316F">
        <w:t xml:space="preserve">ožina čísel v matematice je </w:t>
      </w:r>
      <w:r w:rsidRPr="00273106">
        <w:t xml:space="preserve">množinou univočních </w:t>
      </w:r>
      <w:r w:rsidR="004B4D52" w:rsidRPr="004B4D52">
        <w:t>species</w:t>
      </w:r>
      <w:r w:rsidRPr="00273106">
        <w:t xml:space="preserve"> (</w:t>
      </w:r>
      <w:r w:rsidRPr="00273106">
        <w:rPr>
          <w:i/>
        </w:rPr>
        <w:t xml:space="preserve">est </w:t>
      </w:r>
      <w:r w:rsidR="004B4D52" w:rsidRPr="004B4D52">
        <w:t>species</w:t>
      </w:r>
      <w:r w:rsidRPr="00273106">
        <w:rPr>
          <w:i/>
        </w:rPr>
        <w:t xml:space="preserve"> numeri</w:t>
      </w:r>
      <w:r w:rsidRPr="00273106">
        <w:t xml:space="preserve">). </w:t>
      </w:r>
      <w:r w:rsidR="08DF5EF5">
        <w:t xml:space="preserve">Rufus vytvořil novou verzi dialogu </w:t>
      </w:r>
      <w:r w:rsidR="08DF5EF5" w:rsidRPr="08DF5EF5">
        <w:rPr>
          <w:i/>
        </w:rPr>
        <w:t>Timaios</w:t>
      </w:r>
      <w:r w:rsidR="08DF5EF5">
        <w:t xml:space="preserve">, kde existují věčná matematická </w:t>
      </w:r>
      <w:r w:rsidR="004B4D52" w:rsidRPr="004B4D52">
        <w:t>species</w:t>
      </w:r>
      <w:r w:rsidR="08D3493C">
        <w:t>, která se kauzál</w:t>
      </w:r>
      <w:r w:rsidR="08B1766A">
        <w:t>n</w:t>
      </w:r>
      <w:r w:rsidR="08D3493C">
        <w:t>ě</w:t>
      </w:r>
      <w:r w:rsidR="08B1766A">
        <w:t xml:space="preserve"> replikují skrze numerické </w:t>
      </w:r>
      <w:r w:rsidR="08DF5EF5">
        <w:t>modely dané v materii</w:t>
      </w:r>
      <w:r w:rsidR="08B1766A">
        <w:t xml:space="preserve"> v modelu prvního </w:t>
      </w:r>
      <w:r w:rsidR="08B1766A" w:rsidRPr="08B1766A">
        <w:rPr>
          <w:i/>
        </w:rPr>
        <w:t>Computer Aided Design</w:t>
      </w:r>
      <w:r w:rsidR="08B1766A">
        <w:rPr>
          <w:i/>
        </w:rPr>
        <w:fldChar w:fldCharType="begin"/>
      </w:r>
      <w:r w:rsidR="08B1766A">
        <w:instrText xml:space="preserve"> XE "</w:instrText>
      </w:r>
      <w:r w:rsidR="08B1766A" w:rsidRPr="08D004C9">
        <w:rPr>
          <w:i/>
        </w:rPr>
        <w:instrText>Computer Aided Design</w:instrText>
      </w:r>
      <w:r w:rsidR="08B1766A">
        <w:instrText xml:space="preserve">" </w:instrText>
      </w:r>
      <w:r w:rsidR="08B1766A">
        <w:rPr>
          <w:i/>
        </w:rPr>
        <w:fldChar w:fldCharType="end"/>
      </w:r>
      <w:r w:rsidR="08A26AC2">
        <w:t xml:space="preserve"> (CAD). </w:t>
      </w:r>
      <w:r w:rsidR="08DF5EF5">
        <w:t xml:space="preserve">První numericky řízená produkce </w:t>
      </w:r>
      <w:r w:rsidR="08EE46F9">
        <w:t xml:space="preserve">moderního </w:t>
      </w:r>
      <w:r w:rsidR="08DF5EF5">
        <w:t xml:space="preserve">světa ovšem vyvolala </w:t>
      </w:r>
      <w:r w:rsidR="00C675EC">
        <w:t>zděšení na Pařížské univerzitě</w:t>
      </w:r>
      <w:r w:rsidR="0846113E">
        <w:t>. Ve věku metafyz</w:t>
      </w:r>
      <w:r w:rsidR="08DF5EF5">
        <w:t>ického nih</w:t>
      </w:r>
      <w:r w:rsidR="0846113E">
        <w:t>i</w:t>
      </w:r>
      <w:r w:rsidR="08DF5EF5">
        <w:t>lismu je</w:t>
      </w:r>
      <w:r w:rsidR="089C00F3">
        <w:t xml:space="preserve">j ve </w:t>
      </w:r>
      <w:r w:rsidR="08DF5EF5">
        <w:t xml:space="preserve">velkém </w:t>
      </w:r>
      <w:r w:rsidR="089C00F3">
        <w:t xml:space="preserve">praktikují </w:t>
      </w:r>
      <w:r w:rsidR="08D3493C">
        <w:t xml:space="preserve">nejen modely </w:t>
      </w:r>
      <w:r w:rsidR="089C00F3">
        <w:t xml:space="preserve">obrábění v rámci </w:t>
      </w:r>
      <w:r w:rsidR="08D3493C">
        <w:t xml:space="preserve">CAD, ale především </w:t>
      </w:r>
      <w:r w:rsidR="08DF5EF5">
        <w:t>bank</w:t>
      </w:r>
      <w:r w:rsidR="08D3493C">
        <w:t>s</w:t>
      </w:r>
      <w:r w:rsidR="08DF5EF5">
        <w:t>teři</w:t>
      </w:r>
      <w:r w:rsidR="08DF5EF5">
        <w:fldChar w:fldCharType="begin"/>
      </w:r>
      <w:r w:rsidR="08DF5EF5">
        <w:instrText xml:space="preserve"> XE "</w:instrText>
      </w:r>
      <w:r w:rsidR="08DF5EF5" w:rsidRPr="08DF5EF5">
        <w:rPr>
          <w:i/>
        </w:rPr>
        <w:instrText>banksters</w:instrText>
      </w:r>
      <w:r w:rsidR="08DF5EF5">
        <w:instrText xml:space="preserve">" </w:instrText>
      </w:r>
      <w:r w:rsidR="08DF5EF5">
        <w:fldChar w:fldCharType="end"/>
      </w:r>
      <w:r w:rsidR="08DF5EF5">
        <w:t xml:space="preserve"> na Wall Street, kteří </w:t>
      </w:r>
      <w:r w:rsidR="089C00F3">
        <w:t xml:space="preserve">pilně </w:t>
      </w:r>
      <w:r w:rsidR="08DF5EF5">
        <w:t>konají toto ob</w:t>
      </w:r>
      <w:r w:rsidR="08AE525A">
        <w:t>jektivní numerické a postmoderní</w:t>
      </w:r>
      <w:r w:rsidR="08DF5EF5">
        <w:t xml:space="preserve"> boží dílo</w:t>
      </w:r>
      <w:r w:rsidR="08813123">
        <w:t xml:space="preserve"> (kap. 3.1.2)</w:t>
      </w:r>
      <w:r w:rsidR="08DF5EF5">
        <w:t xml:space="preserve">. </w:t>
      </w:r>
      <w:r w:rsidR="08880FF6">
        <w:t xml:space="preserve">Binarizace </w:t>
      </w:r>
      <w:r w:rsidR="0820777D">
        <w:t>světa jako n</w:t>
      </w:r>
      <w:r w:rsidR="08A120E3">
        <w:t>i</w:t>
      </w:r>
      <w:r w:rsidR="0820777D">
        <w:t>hi</w:t>
      </w:r>
      <w:r w:rsidR="08A120E3">
        <w:t>listické zdvoje</w:t>
      </w:r>
      <w:r w:rsidR="0820777D">
        <w:t>n</w:t>
      </w:r>
      <w:r w:rsidR="08A120E3">
        <w:t xml:space="preserve">í </w:t>
      </w:r>
      <w:r w:rsidR="0820777D">
        <w:t xml:space="preserve">reálného a virtuálního světa </w:t>
      </w:r>
      <w:r w:rsidR="08880FF6">
        <w:t xml:space="preserve">se dělá skrze produkci finančních derivátů a globálních dluhů. </w:t>
      </w:r>
      <w:r>
        <w:t>Opět je ve hře pojetí pravdy jako univerzální rovnosti věcí a intelektu (</w:t>
      </w:r>
      <w:r w:rsidRPr="00DC7C64">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t xml:space="preserve">). </w:t>
      </w:r>
      <w:r w:rsidR="00A77058" w:rsidRPr="00273106">
        <w:t>Individuálně-univerzální aritmetický počet (</w:t>
      </w:r>
      <w:r w:rsidR="00A77058" w:rsidRPr="00273106">
        <w:rPr>
          <w:i/>
        </w:rPr>
        <w:t>numerus mathematicus</w:t>
      </w:r>
      <w:r w:rsidR="00A77058" w:rsidRPr="00273106">
        <w:t>) se stává poslední zárukou moderní</w:t>
      </w:r>
      <w:r w:rsidR="00BE49AC" w:rsidRPr="00273106">
        <w:t xml:space="preserve"> esence, zatímco reálná substance </w:t>
      </w:r>
      <w:r w:rsidR="00A77058" w:rsidRPr="00273106">
        <w:t>hraje druhé housle.</w:t>
      </w:r>
      <w:r w:rsidR="00834172">
        <w:t xml:space="preserve"> </w:t>
      </w:r>
      <w:r w:rsidR="009405D2">
        <w:t xml:space="preserve">Moderní </w:t>
      </w:r>
      <w:r w:rsidR="009405D2" w:rsidRPr="00273106">
        <w:t xml:space="preserve">individuum zkonstruované </w:t>
      </w:r>
      <w:r w:rsidR="009405D2">
        <w:t xml:space="preserve">v modu aritmetického </w:t>
      </w:r>
      <w:r w:rsidR="009405D2" w:rsidRPr="00F048CA">
        <w:rPr>
          <w:i/>
        </w:rPr>
        <w:t>unum</w:t>
      </w:r>
      <w:r w:rsidR="009405D2" w:rsidRPr="00273106">
        <w:t xml:space="preserve"> nahradilo aristotelskou první substanci</w:t>
      </w:r>
      <w:r w:rsidR="009405D2">
        <w:fldChar w:fldCharType="begin"/>
      </w:r>
      <w:r w:rsidR="009405D2">
        <w:instrText xml:space="preserve"> XE "</w:instrText>
      </w:r>
      <w:r w:rsidR="009405D2" w:rsidRPr="00935DBA">
        <w:instrText>substance:individuum</w:instrText>
      </w:r>
      <w:r w:rsidR="009405D2">
        <w:instrText xml:space="preserve">" </w:instrText>
      </w:r>
      <w:r w:rsidR="009405D2">
        <w:fldChar w:fldCharType="end"/>
      </w:r>
      <w:r w:rsidR="009405D2">
        <w:t>.</w:t>
      </w:r>
      <w:r w:rsidR="009405D2" w:rsidRPr="001F400F">
        <w:t xml:space="preserve"> </w:t>
      </w:r>
      <w:r w:rsidR="08D231D4">
        <w:t xml:space="preserve">Analytická </w:t>
      </w:r>
      <w:r w:rsidR="00834172">
        <w:t>„exsistence</w:t>
      </w:r>
      <w:r w:rsidR="00834172" w:rsidRPr="00273106">
        <w:t xml:space="preserve">“ </w:t>
      </w:r>
      <w:r w:rsidR="00A42E44">
        <w:t xml:space="preserve">matematizovaného </w:t>
      </w:r>
      <w:r w:rsidR="00834172">
        <w:t xml:space="preserve">univerza </w:t>
      </w:r>
      <w:r w:rsidR="00834172" w:rsidRPr="00273106">
        <w:t xml:space="preserve">vznikla tím, že všechny formální operace předpokládají nedělitelné individuum </w:t>
      </w:r>
      <w:r w:rsidR="00834172">
        <w:t>(</w:t>
      </w:r>
      <w:r w:rsidR="00834172" w:rsidRPr="00BA2A12">
        <w:rPr>
          <w:i/>
        </w:rPr>
        <w:t>unum</w:t>
      </w:r>
      <w:r w:rsidR="00834172">
        <w:t>)</w:t>
      </w:r>
      <w:r w:rsidR="08AE525A">
        <w:t>. To je</w:t>
      </w:r>
      <w:r w:rsidR="00834172">
        <w:t xml:space="preserve"> </w:t>
      </w:r>
      <w:r w:rsidR="00834172" w:rsidRPr="00273106">
        <w:t xml:space="preserve">dané na konci řady </w:t>
      </w:r>
      <w:r w:rsidR="00834172">
        <w:t xml:space="preserve">různorodých </w:t>
      </w:r>
      <w:r w:rsidR="004B4D52" w:rsidRPr="004B4D52">
        <w:t>species</w:t>
      </w:r>
      <w:r w:rsidR="08AE525A">
        <w:t xml:space="preserve">, které jsou </w:t>
      </w:r>
      <w:r w:rsidR="08EE1568">
        <w:t xml:space="preserve">skrze poslední diferenci </w:t>
      </w:r>
      <w:r w:rsidR="08AE525A">
        <w:t>ukončeny numericky odlišnými individualitami</w:t>
      </w:r>
      <w:r w:rsidR="00834172" w:rsidRPr="00273106">
        <w:t xml:space="preserve">. </w:t>
      </w:r>
      <w:r w:rsidR="081F3837">
        <w:t>Analogickou predikací jednoty a mnohosti (</w:t>
      </w:r>
      <w:r w:rsidR="081F3837">
        <w:rPr>
          <w:i/>
        </w:rPr>
        <w:t>uni</w:t>
      </w:r>
      <w:r w:rsidR="081F3837" w:rsidRPr="002F5116">
        <w:rPr>
          <w:i/>
        </w:rPr>
        <w:t>versum</w:t>
      </w:r>
      <w:r w:rsidR="081F3837">
        <w:t>) se matematika</w:t>
      </w:r>
      <w:r w:rsidR="081F3837">
        <w:fldChar w:fldCharType="begin"/>
      </w:r>
      <w:r w:rsidR="081F3837">
        <w:instrText xml:space="preserve"> XE "</w:instrText>
      </w:r>
      <w:r w:rsidR="081F3837" w:rsidRPr="00DC040D">
        <w:instrText>matematika</w:instrText>
      </w:r>
      <w:r w:rsidR="081F3837">
        <w:instrText xml:space="preserve">" </w:instrText>
      </w:r>
      <w:r w:rsidR="081F3837">
        <w:fldChar w:fldCharType="end"/>
      </w:r>
      <w:r w:rsidR="081F3837">
        <w:t xml:space="preserve"> stala </w:t>
      </w:r>
      <w:r w:rsidR="081F3837" w:rsidRPr="00273106">
        <w:t>univerzální mírou všech věcí</w:t>
      </w:r>
      <w:r w:rsidR="081F3837">
        <w:t xml:space="preserve">. </w:t>
      </w:r>
      <w:r w:rsidR="005B7BE8" w:rsidRPr="005B7BE8">
        <w:t xml:space="preserve">Logicky je </w:t>
      </w:r>
      <w:r w:rsidR="005B7BE8">
        <w:t xml:space="preserve">zcela </w:t>
      </w:r>
      <w:r w:rsidR="005B7BE8" w:rsidRPr="005B7BE8">
        <w:t xml:space="preserve">pravdivá identita obou </w:t>
      </w:r>
      <w:r w:rsidR="005B7BE8" w:rsidRPr="005B7BE8">
        <w:rPr>
          <w:i/>
        </w:rPr>
        <w:t>tertium ens</w:t>
      </w:r>
      <w:r w:rsidR="005B7BE8" w:rsidRPr="005B7BE8">
        <w:t xml:space="preserve"> (číslo </w:t>
      </w:r>
      <w:r w:rsidR="005B7BE8">
        <w:t xml:space="preserve">jako </w:t>
      </w:r>
      <w:r w:rsidR="005B7BE8" w:rsidRPr="005B7BE8">
        <w:rPr>
          <w:i/>
        </w:rPr>
        <w:t>unum, individuum</w:t>
      </w:r>
      <w:r w:rsidR="005B7BE8" w:rsidRPr="005B7BE8">
        <w:t>) ve sm</w:t>
      </w:r>
      <w:r w:rsidR="005B7BE8">
        <w:t>yslu latinského slova „</w:t>
      </w:r>
      <w:r w:rsidR="005B7BE8" w:rsidRPr="005B7BE8">
        <w:rPr>
          <w:i/>
        </w:rPr>
        <w:t>absolute</w:t>
      </w:r>
      <w:r w:rsidR="005B7BE8">
        <w:t>“</w:t>
      </w:r>
      <w:r w:rsidR="005B7BE8" w:rsidRPr="005B7BE8">
        <w:t xml:space="preserve">. Mytologická shoda obou pojmů </w:t>
      </w:r>
      <w:r w:rsidR="005B7BE8">
        <w:t xml:space="preserve">je dána na úrovni </w:t>
      </w:r>
      <w:r w:rsidR="005B7BE8" w:rsidRPr="005B7BE8">
        <w:rPr>
          <w:i/>
        </w:rPr>
        <w:t>opinabile</w:t>
      </w:r>
      <w:r w:rsidR="005B7BE8">
        <w:t xml:space="preserve">, protože tyto pojmy </w:t>
      </w:r>
      <w:r w:rsidR="005B7BE8" w:rsidRPr="005B7BE8">
        <w:t>žádnou imp</w:t>
      </w:r>
      <w:r w:rsidR="005B7BE8">
        <w:t xml:space="preserve">ozici významu </w:t>
      </w:r>
      <w:r w:rsidR="005B7BE8" w:rsidRPr="005B7BE8">
        <w:t>ze skutečnosti.</w:t>
      </w:r>
      <w:r w:rsidR="005B7BE8">
        <w:t xml:space="preserve"> Ale</w:t>
      </w:r>
      <w:r w:rsidR="00326551">
        <w:t xml:space="preserve"> císařovy nové šaty jsou krásné. </w:t>
      </w:r>
      <w:r w:rsidR="00326551" w:rsidRPr="00326551">
        <w:t>Církevní a akademické instituce tuto zbož</w:t>
      </w:r>
      <w:r w:rsidR="00326551">
        <w:t>nou lež udržovaly v modu „</w:t>
      </w:r>
      <w:r w:rsidR="00326551" w:rsidRPr="00326551">
        <w:rPr>
          <w:i/>
        </w:rPr>
        <w:t>semel–semper</w:t>
      </w:r>
      <w:r w:rsidR="00B252F5">
        <w:rPr>
          <w:i/>
        </w:rPr>
        <w:fldChar w:fldCharType="begin"/>
      </w:r>
      <w:r w:rsidR="00B252F5">
        <w:instrText xml:space="preserve"> XE "</w:instrText>
      </w:r>
      <w:r w:rsidR="00B252F5" w:rsidRPr="00634C9D">
        <w:rPr>
          <w:i/>
        </w:rPr>
        <w:instrText>semel–semper</w:instrText>
      </w:r>
      <w:r w:rsidR="00B252F5">
        <w:instrText xml:space="preserve">" </w:instrText>
      </w:r>
      <w:r w:rsidR="00B252F5">
        <w:rPr>
          <w:i/>
        </w:rPr>
        <w:fldChar w:fldCharType="end"/>
      </w:r>
      <w:r w:rsidR="00326551">
        <w:t>“</w:t>
      </w:r>
      <w:r w:rsidR="00326551" w:rsidRPr="00326551">
        <w:t>. Tyto strážce moderní pravdy nyní nahradila k</w:t>
      </w:r>
      <w:r w:rsidR="00326551">
        <w:t>orporátní a ideologicky řízená „věda“</w:t>
      </w:r>
      <w:r w:rsidR="00326551" w:rsidRPr="00326551">
        <w:t>.</w:t>
      </w:r>
      <w:r w:rsidR="00326551">
        <w:t xml:space="preserve"> </w:t>
      </w:r>
      <w:r w:rsidR="001F400F">
        <w:t xml:space="preserve">Poznání světa skrze aristotelskou abstrakci </w:t>
      </w:r>
      <w:r w:rsidR="006270A5">
        <w:t xml:space="preserve">a adekvaci </w:t>
      </w:r>
      <w:r w:rsidR="001F400F">
        <w:t xml:space="preserve">se stalo v prostředí moderních iluminátů zcela </w:t>
      </w:r>
      <w:r w:rsidR="001F400F" w:rsidRPr="00273106">
        <w:t>zbytečn</w:t>
      </w:r>
      <w:r w:rsidR="001F400F">
        <w:t>ým.</w:t>
      </w:r>
      <w:r w:rsidR="0064027E" w:rsidRPr="0064027E">
        <w:t xml:space="preserve"> </w:t>
      </w:r>
      <w:r w:rsidR="0064027E">
        <w:t xml:space="preserve">Individuace </w:t>
      </w:r>
      <w:r w:rsidR="00E80F39">
        <w:t xml:space="preserve">reálných </w:t>
      </w:r>
      <w:r w:rsidR="0064027E">
        <w:t xml:space="preserve">jednotlivin je dána číselným dělením, které ustavilo nový vědecký systém třídění a dělení univerzálních </w:t>
      </w:r>
      <w:r w:rsidR="0064027E" w:rsidRPr="0064027E">
        <w:rPr>
          <w:i/>
        </w:rPr>
        <w:t>scibile</w:t>
      </w:r>
      <w:r w:rsidR="003B4FA7">
        <w:rPr>
          <w:i/>
        </w:rPr>
        <w:fldChar w:fldCharType="begin"/>
      </w:r>
      <w:r w:rsidR="003B4FA7">
        <w:instrText xml:space="preserve"> XE "</w:instrText>
      </w:r>
      <w:r w:rsidR="003B4FA7" w:rsidRPr="00AA4F67">
        <w:rPr>
          <w:i/>
        </w:rPr>
        <w:instrText>scibile</w:instrText>
      </w:r>
      <w:r w:rsidR="003C7D5D" w:rsidRPr="003C7D5D">
        <w:instrText>:moderna</w:instrText>
      </w:r>
      <w:r w:rsidR="003B4FA7">
        <w:instrText xml:space="preserve">" </w:instrText>
      </w:r>
      <w:r w:rsidR="003B4FA7">
        <w:rPr>
          <w:i/>
        </w:rPr>
        <w:fldChar w:fldCharType="end"/>
      </w:r>
      <w:r w:rsidR="0064027E">
        <w:t xml:space="preserve">. Individuum na konci řady </w:t>
      </w:r>
      <w:r w:rsidR="00BB45B1">
        <w:t>Porfyri</w:t>
      </w:r>
      <w:r w:rsidR="0064027E">
        <w:t xml:space="preserve">ova stromu je </w:t>
      </w:r>
      <w:r w:rsidR="006F4747">
        <w:t xml:space="preserve">pouze </w:t>
      </w:r>
      <w:r w:rsidR="0064027E">
        <w:t>jedno, proto je už dále nedělitelné.</w:t>
      </w:r>
      <w:r w:rsidR="002D098C">
        <w:t xml:space="preserve"> </w:t>
      </w:r>
      <w:r w:rsidR="00C5552C" w:rsidRPr="00273106">
        <w:t xml:space="preserve">Připomeňme, že </w:t>
      </w:r>
      <w:r w:rsidR="00C5552C" w:rsidRPr="006F4747">
        <w:rPr>
          <w:i/>
        </w:rPr>
        <w:t>Metafyzika</w:t>
      </w:r>
      <w:r w:rsidR="00C5552C" w:rsidRPr="00273106">
        <w:t xml:space="preserve"> chápe číselné uchopení jednoty reálné substance jako naprosto nedostačující, protože platí pouze v rámci ekvivocity</w:t>
      </w:r>
      <w:r w:rsidR="084746E5">
        <w:t xml:space="preserve"> (</w:t>
      </w:r>
      <w:r w:rsidR="08EE1568" w:rsidRPr="087F36D8">
        <w:rPr>
          <w:szCs w:val="24"/>
        </w:rPr>
        <w:t xml:space="preserve">OBJ I, </w:t>
      </w:r>
      <w:r w:rsidR="084E7952">
        <w:t>kap. 1.3</w:t>
      </w:r>
      <w:r w:rsidR="084746E5">
        <w:t>)</w:t>
      </w:r>
      <w:r w:rsidR="00C5552C" w:rsidRPr="00273106">
        <w:t>.</w:t>
      </w:r>
      <w:r w:rsidR="00DE73AA">
        <w:t xml:space="preserve"> </w:t>
      </w:r>
      <w:r w:rsidR="009355C0" w:rsidRPr="00273106">
        <w:t xml:space="preserve">Asimilace </w:t>
      </w:r>
      <w:r w:rsidR="000B59C0" w:rsidRPr="00273106">
        <w:t xml:space="preserve">reality </w:t>
      </w:r>
      <w:r w:rsidR="0038176E">
        <w:t>v modu pravdy jako univerzální rovnosti všeho se vším (</w:t>
      </w:r>
      <w:r w:rsidR="0038176E" w:rsidRPr="0038176E">
        <w:rPr>
          <w:i/>
        </w:rPr>
        <w:t>coaequatio</w:t>
      </w:r>
      <w:r w:rsidR="003C7D5D">
        <w:rPr>
          <w:i/>
        </w:rPr>
        <w:fldChar w:fldCharType="begin"/>
      </w:r>
      <w:r w:rsidR="003C7D5D">
        <w:instrText xml:space="preserve"> XE "pravda:</w:instrText>
      </w:r>
      <w:r w:rsidR="003C7D5D" w:rsidRPr="00970DF7">
        <w:rPr>
          <w:i/>
        </w:rPr>
        <w:instrText>coaequatio</w:instrText>
      </w:r>
      <w:r w:rsidR="003C7D5D">
        <w:instrText xml:space="preserve">" </w:instrText>
      </w:r>
      <w:r w:rsidR="003C7D5D">
        <w:rPr>
          <w:i/>
        </w:rPr>
        <w:fldChar w:fldCharType="end"/>
      </w:r>
      <w:r w:rsidR="00EA435B">
        <w:t xml:space="preserve">) je v moderně </w:t>
      </w:r>
      <w:r w:rsidR="000B59C0" w:rsidRPr="00273106">
        <w:t xml:space="preserve">možná proto, že Rufus zrušil rozdíl mezi </w:t>
      </w:r>
      <w:r w:rsidR="006F4747">
        <w:t xml:space="preserve">metafyzickým </w:t>
      </w:r>
      <w:r w:rsidR="000B59C0" w:rsidRPr="00273106">
        <w:t>statutem reality a matematiky.</w:t>
      </w:r>
      <w:r w:rsidR="00222307" w:rsidRPr="00273106">
        <w:t xml:space="preserve"> </w:t>
      </w:r>
      <w:r w:rsidRPr="00273106">
        <w:t>M</w:t>
      </w:r>
      <w:r>
        <w:t>ytopoetická</w:t>
      </w:r>
      <w:r>
        <w:fldChar w:fldCharType="begin"/>
      </w:r>
      <w:r>
        <w:instrText xml:space="preserve"> XE "</w:instrText>
      </w:r>
      <w:r w:rsidRPr="08C672CE">
        <w:instrText>mytopoesis</w:instrText>
      </w:r>
      <w:r>
        <w:instrText xml:space="preserve">" </w:instrText>
      </w:r>
      <w:r>
        <w:fldChar w:fldCharType="end"/>
      </w:r>
      <w:r>
        <w:t xml:space="preserve"> </w:t>
      </w:r>
      <w:r w:rsidRPr="00273106">
        <w:t xml:space="preserve">verze </w:t>
      </w:r>
      <w:r w:rsidRPr="00273106">
        <w:rPr>
          <w:i/>
        </w:rPr>
        <w:t>Oxfordian Fallacy</w:t>
      </w:r>
      <w:r w:rsidRPr="00273106">
        <w:t xml:space="preserve"> </w:t>
      </w:r>
      <w:r>
        <w:t xml:space="preserve">definovaná podle </w:t>
      </w:r>
      <w:r w:rsidR="00C94B3D">
        <w:t xml:space="preserve">neoplatonského </w:t>
      </w:r>
      <w:r w:rsidR="08561D8F">
        <w:t>Pythagora</w:t>
      </w:r>
      <w:r>
        <w:t>se harmonizuje objek</w:t>
      </w:r>
      <w:r w:rsidR="00DF095E">
        <w:t xml:space="preserve">tivní diakosmos a reálný svět. </w:t>
      </w:r>
      <w:r w:rsidR="00C5552C" w:rsidRPr="00273106">
        <w:t>Číslo se u Rufuse stalo moderním tělem a začalo přebývat mezi námi</w:t>
      </w:r>
      <w:r w:rsidR="00C5552C">
        <w:t>, a my pozorujeme ve věku metafyzického nihilismu jeho plnou odhalenost a slávu</w:t>
      </w:r>
      <w:r w:rsidR="08205BBE">
        <w:t xml:space="preserve">. Síly chaosu konají </w:t>
      </w:r>
      <w:r w:rsidR="08DC0CCD">
        <w:t xml:space="preserve">skrze </w:t>
      </w:r>
      <w:r w:rsidR="08205BBE">
        <w:t>bankstery ve světě finančních derivátů doslova božské dílo</w:t>
      </w:r>
      <w:r w:rsidR="0077355C">
        <w:t xml:space="preserve"> založené na démonické logice</w:t>
      </w:r>
      <w:r w:rsidR="00C5552C" w:rsidRPr="00273106">
        <w:t xml:space="preserve">. </w:t>
      </w:r>
      <w:r w:rsidR="00C5552C">
        <w:t xml:space="preserve">Vznikem matematizovaného individua ve vědeckém modu </w:t>
      </w:r>
      <w:r w:rsidR="00C5552C" w:rsidRPr="00834F26">
        <w:rPr>
          <w:i/>
        </w:rPr>
        <w:t>Oxfordian Fallacy</w:t>
      </w:r>
      <w:r w:rsidR="00C5552C">
        <w:t xml:space="preserve"> se naplnila vize prvních porretánů o diskrétním vidění světa. </w:t>
      </w:r>
      <w:r w:rsidR="00CB34E7" w:rsidRPr="00273106">
        <w:t>Základ nového vidění smyslu jsoucího tvoří kauzalita třetího druhu determinovaná matematikou, a nikoliv kauzálními vztahy mezi prvními substancemi.</w:t>
      </w:r>
      <w:r w:rsidR="00754A27">
        <w:t xml:space="preserve"> </w:t>
      </w:r>
      <w:r w:rsidR="08407D7A" w:rsidRPr="00273106">
        <w:t xml:space="preserve">Viz například </w:t>
      </w:r>
      <w:r w:rsidR="08407D7A">
        <w:t>současné výpočty v modelu tzv. „metody</w:t>
      </w:r>
      <w:r w:rsidR="08407D7A" w:rsidRPr="00273106">
        <w:t xml:space="preserve"> konečných prvků“ (</w:t>
      </w:r>
      <w:r w:rsidR="08407D7A" w:rsidRPr="00273106">
        <w:rPr>
          <w:rStyle w:val="st"/>
          <w:i/>
        </w:rPr>
        <w:t>Finite Element Method</w:t>
      </w:r>
      <w:r w:rsidR="08407D7A">
        <w:rPr>
          <w:rStyle w:val="st"/>
          <w:i/>
        </w:rPr>
        <w:fldChar w:fldCharType="begin"/>
      </w:r>
      <w:r w:rsidR="08407D7A">
        <w:instrText xml:space="preserve"> XE "</w:instrText>
      </w:r>
      <w:r w:rsidR="08407D7A" w:rsidRPr="00D00B73">
        <w:rPr>
          <w:rStyle w:val="st"/>
          <w:i/>
        </w:rPr>
        <w:instrText>Finite Element Method</w:instrText>
      </w:r>
      <w:r w:rsidR="08407D7A">
        <w:instrText xml:space="preserve">" </w:instrText>
      </w:r>
      <w:r w:rsidR="08407D7A">
        <w:rPr>
          <w:rStyle w:val="st"/>
          <w:i/>
        </w:rPr>
        <w:fldChar w:fldCharType="end"/>
      </w:r>
      <w:r w:rsidR="08407D7A" w:rsidRPr="00273106">
        <w:t>)</w:t>
      </w:r>
      <w:r w:rsidR="08407D7A">
        <w:t xml:space="preserve"> v mechanice pevných těles</w:t>
      </w:r>
      <w:r w:rsidR="08407D7A" w:rsidRPr="00273106">
        <w:t>.</w:t>
      </w:r>
    </w:p>
    <w:p w14:paraId="47753035" w14:textId="77777777" w:rsidR="00140877" w:rsidRDefault="089F1AB0" w:rsidP="00F4299E">
      <w:pPr>
        <w:ind w:firstLine="397"/>
      </w:pPr>
      <w:r w:rsidRPr="00273106">
        <w:t xml:space="preserve">Moderní iluminát nazírá pravdu světa </w:t>
      </w:r>
      <w:r w:rsidR="008C23EF" w:rsidRPr="00273106">
        <w:t>skrze kvantitativ</w:t>
      </w:r>
      <w:r w:rsidR="086D4448" w:rsidRPr="00273106">
        <w:t xml:space="preserve">ně </w:t>
      </w:r>
      <w:r w:rsidR="088F6AF7" w:rsidRPr="00273106">
        <w:t xml:space="preserve">určené </w:t>
      </w:r>
      <w:r w:rsidR="086D4448" w:rsidRPr="00273106">
        <w:t>matematické vztahy, které univočně postihují i</w:t>
      </w:r>
      <w:r w:rsidR="00E53720" w:rsidRPr="00273106">
        <w:t xml:space="preserve"> kauzální vztahy v realitě</w:t>
      </w:r>
      <w:r w:rsidR="00662287">
        <w:t xml:space="preserve"> (</w:t>
      </w:r>
      <w:r w:rsidR="00C7209F">
        <w:rPr>
          <w:i/>
        </w:rPr>
        <w:t>causae comple</w:t>
      </w:r>
      <w:r w:rsidR="00662287" w:rsidRPr="00662287">
        <w:rPr>
          <w:i/>
        </w:rPr>
        <w:t>tae</w:t>
      </w:r>
      <w:r w:rsidR="00662287">
        <w:t>)</w:t>
      </w:r>
      <w:r w:rsidR="003C7D5D">
        <w:rPr>
          <w:i/>
        </w:rPr>
        <w:fldChar w:fldCharType="begin"/>
      </w:r>
      <w:r w:rsidR="003C7D5D">
        <w:instrText xml:space="preserve"> XE "</w:instrText>
      </w:r>
      <w:r w:rsidR="003C7D5D" w:rsidRPr="001618A5">
        <w:rPr>
          <w:i/>
        </w:rPr>
        <w:instrText>medium:</w:instrText>
      </w:r>
      <w:r w:rsidR="003C7D5D" w:rsidRPr="003C7D5D">
        <w:instrText>Rufus</w:instrText>
      </w:r>
      <w:r w:rsidR="003C7D5D">
        <w:instrText xml:space="preserve">" </w:instrText>
      </w:r>
      <w:r w:rsidR="003C7D5D">
        <w:rPr>
          <w:i/>
        </w:rPr>
        <w:fldChar w:fldCharType="end"/>
      </w:r>
      <w:r w:rsidR="0095284F" w:rsidRPr="00273106">
        <w:t xml:space="preserve">. To ukázal </w:t>
      </w:r>
      <w:r w:rsidR="00545811" w:rsidRPr="00273106">
        <w:t>koncept kauzality v deduktivním soudu</w:t>
      </w:r>
      <w:r w:rsidR="00034082" w:rsidRPr="00273106">
        <w:t xml:space="preserve"> </w:t>
      </w:r>
      <w:r w:rsidR="0095284F" w:rsidRPr="00273106">
        <w:t xml:space="preserve">explikovaný </w:t>
      </w:r>
      <w:r w:rsidR="08006A88" w:rsidRPr="00273106">
        <w:t>v předešlé kapitole (</w:t>
      </w:r>
      <w:r w:rsidR="08006A88" w:rsidRPr="00273106">
        <w:rPr>
          <w:i/>
        </w:rPr>
        <w:t>medium sive causa</w:t>
      </w:r>
      <w:r w:rsidR="08006A88" w:rsidRPr="00273106">
        <w:t>)</w:t>
      </w:r>
      <w:r w:rsidR="00034082" w:rsidRPr="00273106">
        <w:t xml:space="preserve">. </w:t>
      </w:r>
      <w:r w:rsidR="08D716EF" w:rsidRPr="00273106">
        <w:t xml:space="preserve">Proces poznání oddělený od reality </w:t>
      </w:r>
      <w:r w:rsidR="0092609A">
        <w:t xml:space="preserve">v modu </w:t>
      </w:r>
      <w:r w:rsidR="0092609A" w:rsidRPr="0092609A">
        <w:rPr>
          <w:i/>
        </w:rPr>
        <w:t>discrete videamus</w:t>
      </w:r>
      <w:r w:rsidR="0092609A">
        <w:t xml:space="preserve"> </w:t>
      </w:r>
      <w:r w:rsidR="08D716EF" w:rsidRPr="00273106">
        <w:t xml:space="preserve">získal </w:t>
      </w:r>
      <w:r w:rsidR="0092609A">
        <w:t xml:space="preserve">u Rufuse </w:t>
      </w:r>
      <w:r w:rsidR="08D716EF" w:rsidRPr="00273106">
        <w:t xml:space="preserve">moderní jistotu </w:t>
      </w:r>
      <w:r w:rsidR="00C7209F">
        <w:t>z logiky a z matematiky.</w:t>
      </w:r>
      <w:r w:rsidR="00F8090B" w:rsidRPr="00F8090B">
        <w:t xml:space="preserve"> </w:t>
      </w:r>
      <w:r w:rsidR="08C221C5">
        <w:t xml:space="preserve">Nové diskrétní </w:t>
      </w:r>
      <w:r w:rsidR="0092609A">
        <w:t xml:space="preserve">vidění </w:t>
      </w:r>
      <w:r w:rsidR="08C221C5">
        <w:t xml:space="preserve">světa </w:t>
      </w:r>
      <w:r w:rsidR="0092609A">
        <w:t xml:space="preserve">dáno v modu </w:t>
      </w:r>
      <w:r w:rsidR="0092609A" w:rsidRPr="0092609A">
        <w:rPr>
          <w:i/>
        </w:rPr>
        <w:t>Oxfordian Fallacy</w:t>
      </w:r>
      <w:r w:rsidR="0092609A">
        <w:t xml:space="preserve">, </w:t>
      </w:r>
      <w:r w:rsidR="00025298">
        <w:t xml:space="preserve">kdy matematika získala </w:t>
      </w:r>
      <w:r w:rsidR="0092609A">
        <w:t>uni</w:t>
      </w:r>
      <w:r w:rsidR="00A22DD4">
        <w:t>voční kauzalitu</w:t>
      </w:r>
      <w:r w:rsidR="00025298">
        <w:t xml:space="preserve">. </w:t>
      </w:r>
      <w:r w:rsidR="00025298" w:rsidRPr="00025298">
        <w:t>Dříve byla kauzalita prvních substancí</w:t>
      </w:r>
      <w:r w:rsidR="00025298">
        <w:t xml:space="preserve"> </w:t>
      </w:r>
      <w:r w:rsidR="00025298" w:rsidRPr="00025298">
        <w:t xml:space="preserve">jedinou </w:t>
      </w:r>
      <w:r w:rsidR="00025298">
        <w:t xml:space="preserve">pravdivou a nutnou kauzalitou ve </w:t>
      </w:r>
      <w:r w:rsidR="00025298" w:rsidRPr="00025298">
        <w:rPr>
          <w:i/>
        </w:rPr>
        <w:t>Druhých</w:t>
      </w:r>
      <w:r w:rsidR="00025298">
        <w:rPr>
          <w:i/>
        </w:rPr>
        <w:t xml:space="preserve"> a</w:t>
      </w:r>
      <w:r w:rsidR="00025298" w:rsidRPr="00025298">
        <w:rPr>
          <w:i/>
        </w:rPr>
        <w:t>nalytikách</w:t>
      </w:r>
      <w:r w:rsidR="00025298" w:rsidRPr="00025298">
        <w:t>.</w:t>
      </w:r>
      <w:r w:rsidR="00025298">
        <w:t xml:space="preserve"> </w:t>
      </w:r>
      <w:r w:rsidR="0092609A">
        <w:t xml:space="preserve">Rufus má jen akcidentální rozdíl mezi skutečným a vypočítaným astronomickým zatměním. </w:t>
      </w:r>
      <w:r w:rsidR="00370FD3">
        <w:t xml:space="preserve">Pravdě jako </w:t>
      </w:r>
      <w:r w:rsidR="009355C0" w:rsidRPr="00273106">
        <w:rPr>
          <w:i/>
        </w:rPr>
        <w:t>coaequatio</w:t>
      </w:r>
      <w:r w:rsidR="009355C0" w:rsidRPr="00273106">
        <w:t xml:space="preserve"> odpo</w:t>
      </w:r>
      <w:r w:rsidR="08C65EF2">
        <w:t>vídá moderní vidění světa dané konkrétně</w:t>
      </w:r>
      <w:r w:rsidR="009355C0" w:rsidRPr="00273106">
        <w:t>, čili v řádu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DB67C6">
        <w:t xml:space="preserve">, která „vidí“ mytologická individua třetího druhu </w:t>
      </w:r>
      <w:r w:rsidR="005D2D76" w:rsidRPr="00273106">
        <w:t>(</w:t>
      </w:r>
      <w:r w:rsidR="005D2D76" w:rsidRPr="00273106">
        <w:rPr>
          <w:i/>
        </w:rPr>
        <w:t>concretum</w:t>
      </w:r>
      <w:r w:rsidR="003330AF">
        <w:rPr>
          <w:i/>
        </w:rPr>
        <w:fldChar w:fldCharType="begin"/>
      </w:r>
      <w:r w:rsidR="003330AF">
        <w:instrText xml:space="preserve"> XE "</w:instrText>
      </w:r>
      <w:r w:rsidR="003330AF" w:rsidRPr="00B759F5">
        <w:rPr>
          <w:i/>
        </w:rPr>
        <w:instrText>concretum</w:instrText>
      </w:r>
      <w:r w:rsidR="003330AF">
        <w:instrText xml:space="preserve">" </w:instrText>
      </w:r>
      <w:r w:rsidR="003330AF">
        <w:rPr>
          <w:i/>
        </w:rPr>
        <w:fldChar w:fldCharType="end"/>
      </w:r>
      <w:r w:rsidR="005D2D76" w:rsidRPr="00273106">
        <w:t>)</w:t>
      </w:r>
      <w:r w:rsidR="00632B71">
        <w:t xml:space="preserve">. </w:t>
      </w:r>
      <w:r w:rsidR="00AF4584">
        <w:t xml:space="preserve">Rovnost těch či oněch </w:t>
      </w:r>
      <w:r w:rsidR="00AF4584" w:rsidRPr="007F3106">
        <w:rPr>
          <w:i/>
        </w:rPr>
        <w:t>scibile</w:t>
      </w:r>
      <w:r w:rsidR="00AF4584">
        <w:t xml:space="preserve"> daných buď v mysli nebo v realitě převádí </w:t>
      </w:r>
      <w:r w:rsidR="00AF4584" w:rsidRPr="00273106">
        <w:t>vztah rozumu a věci na čistý subjekt-ob</w:t>
      </w:r>
      <w:r w:rsidR="00AF4584">
        <w:t>jektový vztah, jehož střední člen evidentní demonstrace tvoří to či ono jsoucno třetího druhu</w:t>
      </w:r>
      <w:r w:rsidR="00AF2D58">
        <w:t xml:space="preserve"> dané pouze v mysli</w:t>
      </w:r>
      <w:r w:rsidR="00AF4584" w:rsidRPr="00273106">
        <w:t xml:space="preserve">. </w:t>
      </w:r>
      <w:r w:rsidR="00A22DD4">
        <w:t>Ta</w:t>
      </w:r>
      <w:r w:rsidR="00AF2D58">
        <w:t xml:space="preserve">to specifická </w:t>
      </w:r>
      <w:r w:rsidR="004B4D52" w:rsidRPr="004B4D52">
        <w:t>species</w:t>
      </w:r>
      <w:r w:rsidR="00AF4584" w:rsidRPr="00273106">
        <w:t xml:space="preserve"> </w:t>
      </w:r>
      <w:r w:rsidR="00A22DD4">
        <w:t xml:space="preserve">ve formě </w:t>
      </w:r>
      <w:r w:rsidR="00A22DD4" w:rsidRPr="00A22DD4">
        <w:rPr>
          <w:i/>
        </w:rPr>
        <w:t>scibile</w:t>
      </w:r>
      <w:r w:rsidR="00A22DD4">
        <w:t xml:space="preserve"> </w:t>
      </w:r>
      <w:r w:rsidR="00AF4584" w:rsidRPr="00273106">
        <w:t>se vyskytují jak na stran</w:t>
      </w:r>
      <w:r w:rsidR="00A22DD4">
        <w:t xml:space="preserve">ě hylemorfních substancí, tak </w:t>
      </w:r>
      <w:r w:rsidR="00AF4584" w:rsidRPr="00273106">
        <w:t xml:space="preserve">v podobě </w:t>
      </w:r>
      <w:r w:rsidR="003230EC">
        <w:t xml:space="preserve">intelektem nazíraných </w:t>
      </w:r>
      <w:r w:rsidR="00AF4584" w:rsidRPr="00273106">
        <w:t>čistých forem</w:t>
      </w:r>
      <w:r w:rsidR="081168F0">
        <w:t xml:space="preserve">. Ty jsou původně dány v </w:t>
      </w:r>
      <w:r w:rsidR="086C001B">
        <w:t xml:space="preserve">diakosmu spravovaném </w:t>
      </w:r>
      <w:r w:rsidR="086C001B" w:rsidRPr="086C001B">
        <w:rPr>
          <w:i/>
        </w:rPr>
        <w:t>mod</w:t>
      </w:r>
      <w:r w:rsidR="086C001B">
        <w:rPr>
          <w:i/>
        </w:rPr>
        <w:t>o geometr</w:t>
      </w:r>
      <w:r w:rsidR="086C001B" w:rsidRPr="086C001B">
        <w:rPr>
          <w:i/>
        </w:rPr>
        <w:t>i</w:t>
      </w:r>
      <w:r w:rsidR="086C001B">
        <w:rPr>
          <w:i/>
        </w:rPr>
        <w:t>co</w:t>
      </w:r>
      <w:r w:rsidR="086C001B">
        <w:t xml:space="preserve"> podle neoplatonské dedukce </w:t>
      </w:r>
      <w:r w:rsidR="086C001B" w:rsidRPr="086C001B">
        <w:rPr>
          <w:i/>
        </w:rPr>
        <w:t>Liber de causis</w:t>
      </w:r>
      <w:r w:rsidR="003230EC">
        <w:t xml:space="preserve">. </w:t>
      </w:r>
      <w:r w:rsidR="00F4299E" w:rsidRPr="00F4299E">
        <w:t>Rufus se chopil tohoto scénáře a převedl ho do matematické dedukce. Aritmetické číslo získává kauzalitu dřívě</w:t>
      </w:r>
      <w:r w:rsidR="00F4299E">
        <w:t>jších neoplatonistických hypostá</w:t>
      </w:r>
      <w:r w:rsidR="00F4299E" w:rsidRPr="00F4299E">
        <w:t xml:space="preserve">zí a díky univerzálnímu hylemorfismu získává i kauzalitu první substance. Demonstrativní sylogismus </w:t>
      </w:r>
      <w:r w:rsidR="002A2938">
        <w:t>Rufuse je zcela paranoický. M</w:t>
      </w:r>
      <w:r w:rsidR="00F4299E" w:rsidRPr="00F4299E">
        <w:t>ísto druhé substance je zde číslo jako porret</w:t>
      </w:r>
      <w:r w:rsidR="00F4299E">
        <w:t>áns</w:t>
      </w:r>
      <w:r w:rsidR="00F4299E" w:rsidRPr="00F4299E">
        <w:t>ké individ</w:t>
      </w:r>
      <w:r w:rsidR="00F4299E">
        <w:t>uum, které hraje roli neoplatons</w:t>
      </w:r>
      <w:r w:rsidR="00F4299E" w:rsidRPr="00F4299E">
        <w:t xml:space="preserve">ké kosmické formy a předstírá, že je druhou aristotelskou substancí vytvořenou </w:t>
      </w:r>
      <w:r w:rsidR="00F4299E">
        <w:t>impozicí z reality</w:t>
      </w:r>
      <w:r w:rsidR="00F4299E" w:rsidRPr="00F4299E">
        <w:t>.</w:t>
      </w:r>
      <w:r w:rsidR="00F4299E">
        <w:t xml:space="preserve"> </w:t>
      </w:r>
      <w:r w:rsidR="003230EC">
        <w:t xml:space="preserve">Shoda </w:t>
      </w:r>
      <w:r w:rsidR="00F4299E">
        <w:t xml:space="preserve">takových </w:t>
      </w:r>
      <w:r w:rsidR="003230EC">
        <w:t xml:space="preserve">forem zajišťuje moderní </w:t>
      </w:r>
      <w:r w:rsidR="00AF4584" w:rsidRPr="00273106">
        <w:t xml:space="preserve">pravdu jako </w:t>
      </w:r>
      <w:r w:rsidR="00AF4584" w:rsidRPr="00273106">
        <w:rPr>
          <w:i/>
        </w:rPr>
        <w:t>coaequatio</w:t>
      </w:r>
      <w:r w:rsidR="006E5F49">
        <w:rPr>
          <w:i/>
        </w:rPr>
        <w:fldChar w:fldCharType="begin"/>
      </w:r>
      <w:r w:rsidR="006E5F49">
        <w:instrText xml:space="preserve"> XE "pravda:</w:instrText>
      </w:r>
      <w:r w:rsidR="006E5F49" w:rsidRPr="00DE30C5">
        <w:rPr>
          <w:i/>
        </w:rPr>
        <w:instrText>coaequatio</w:instrText>
      </w:r>
      <w:r w:rsidR="006E5F49">
        <w:instrText xml:space="preserve">" </w:instrText>
      </w:r>
      <w:r w:rsidR="006E5F49">
        <w:rPr>
          <w:i/>
        </w:rPr>
        <w:fldChar w:fldCharType="end"/>
      </w:r>
      <w:r w:rsidR="00AF4584" w:rsidRPr="00273106">
        <w:t xml:space="preserve">. </w:t>
      </w:r>
      <w:r w:rsidR="00AF4584">
        <w:t>Definic</w:t>
      </w:r>
      <w:r w:rsidR="00AF4584" w:rsidRPr="00273106">
        <w:t xml:space="preserve">e pravdy v modu </w:t>
      </w:r>
      <w:r w:rsidR="00AF4584">
        <w:t xml:space="preserve">Rufusovy intelektuální </w:t>
      </w:r>
      <w:r w:rsidR="00AF4584" w:rsidRPr="00273106">
        <w:t xml:space="preserve">asimilace </w:t>
      </w:r>
      <w:r w:rsidR="00AF4584">
        <w:t xml:space="preserve">světa </w:t>
      </w:r>
      <w:r w:rsidR="00AF4584" w:rsidRPr="00273106">
        <w:t>změnila pravdivý vztah k realitě na konkrétní</w:t>
      </w:r>
      <w:r w:rsidR="00AF2D58">
        <w:t xml:space="preserve"> rovnost mezi </w:t>
      </w:r>
      <w:r w:rsidR="004B4D52" w:rsidRPr="004B4D52">
        <w:t>species</w:t>
      </w:r>
      <w:r w:rsidR="00AF2D58">
        <w:t xml:space="preserve"> třetího druhu</w:t>
      </w:r>
      <w:r w:rsidR="00AF4584" w:rsidRPr="00273106">
        <w:t xml:space="preserve">. </w:t>
      </w:r>
      <w:r w:rsidR="00356DDF">
        <w:t>Analýza univerzálních významů (</w:t>
      </w:r>
      <w:r w:rsidR="00356DDF" w:rsidRPr="0091319B">
        <w:rPr>
          <w:i/>
        </w:rPr>
        <w:t>resolu</w:t>
      </w:r>
      <w:r w:rsidR="00356DDF">
        <w:rPr>
          <w:i/>
        </w:rPr>
        <w:t>t</w:t>
      </w:r>
      <w:r w:rsidR="00356DDF" w:rsidRPr="0091319B">
        <w:rPr>
          <w:i/>
        </w:rPr>
        <w:t>io</w:t>
      </w:r>
      <w:r w:rsidR="00356DDF">
        <w:rPr>
          <w:i/>
        </w:rPr>
        <w:fldChar w:fldCharType="begin"/>
      </w:r>
      <w:r w:rsidR="00356DDF">
        <w:instrText xml:space="preserve"> XE "</w:instrText>
      </w:r>
      <w:r w:rsidR="00356DDF" w:rsidRPr="00111E9E">
        <w:rPr>
          <w:i/>
        </w:rPr>
        <w:instrText>resolutio</w:instrText>
      </w:r>
      <w:r w:rsidR="00356DDF">
        <w:rPr>
          <w:i/>
        </w:rPr>
        <w:instrText>:</w:instrText>
      </w:r>
      <w:r w:rsidR="00356DDF" w:rsidRPr="007D3515">
        <w:instrText>Rufus</w:instrText>
      </w:r>
      <w:r w:rsidR="00356DDF">
        <w:instrText xml:space="preserve">" </w:instrText>
      </w:r>
      <w:r w:rsidR="00356DDF">
        <w:rPr>
          <w:i/>
        </w:rPr>
        <w:fldChar w:fldCharType="end"/>
      </w:r>
      <w:r w:rsidR="00356DDF">
        <w:t>), nebo syntéza hypostázované kolekty akcidentů (</w:t>
      </w:r>
      <w:r w:rsidR="00356DDF" w:rsidRPr="0091319B">
        <w:rPr>
          <w:i/>
        </w:rPr>
        <w:t>compositio</w:t>
      </w:r>
      <w:r w:rsidR="00356DDF">
        <w:rPr>
          <w:i/>
        </w:rPr>
        <w:fldChar w:fldCharType="begin"/>
      </w:r>
      <w:r w:rsidR="00356DDF">
        <w:instrText xml:space="preserve"> XE "</w:instrText>
      </w:r>
      <w:r w:rsidR="00356DDF" w:rsidRPr="006B120B">
        <w:rPr>
          <w:i/>
        </w:rPr>
        <w:instrText>compositio</w:instrText>
      </w:r>
      <w:r w:rsidR="00356DDF">
        <w:instrText xml:space="preserve">" </w:instrText>
      </w:r>
      <w:r w:rsidR="00356DDF">
        <w:rPr>
          <w:i/>
        </w:rPr>
        <w:fldChar w:fldCharType="end"/>
      </w:r>
      <w:r w:rsidR="00356DDF">
        <w:t>) pokaždé vytvoří p</w:t>
      </w:r>
      <w:r w:rsidR="00356DDF" w:rsidRPr="00273106">
        <w:t>os</w:t>
      </w:r>
      <w:r w:rsidR="00356DDF">
        <w:t>lední nedělitelnou jednotku</w:t>
      </w:r>
      <w:r w:rsidR="00356DDF" w:rsidRPr="00273106">
        <w:t xml:space="preserve"> významu</w:t>
      </w:r>
      <w:r w:rsidR="00356DDF">
        <w:t xml:space="preserve"> (</w:t>
      </w:r>
      <w:r w:rsidR="00356DDF" w:rsidRPr="00137B92">
        <w:rPr>
          <w:i/>
        </w:rPr>
        <w:t>individuum</w:t>
      </w:r>
      <w:r w:rsidR="00356DDF">
        <w:t xml:space="preserve">, </w:t>
      </w:r>
      <w:r w:rsidR="00356DDF" w:rsidRPr="00137B92">
        <w:rPr>
          <w:i/>
        </w:rPr>
        <w:t>concretum</w:t>
      </w:r>
      <w:r w:rsidR="00356DDF">
        <w:t>)</w:t>
      </w:r>
      <w:r w:rsidR="00356DDF" w:rsidRPr="00273106">
        <w:t>.</w:t>
      </w:r>
      <w:r w:rsidR="00356DDF">
        <w:t xml:space="preserve"> </w:t>
      </w:r>
      <w:r w:rsidR="081168F0">
        <w:t>Moderní konkrétno</w:t>
      </w:r>
      <w:r w:rsidR="00356DDF" w:rsidRPr="00273106">
        <w:t xml:space="preserve"> není determinováno z reality, ale skrze výkon intelektu. </w:t>
      </w:r>
      <w:r w:rsidR="00356DDF">
        <w:t xml:space="preserve">Avicennova </w:t>
      </w:r>
      <w:r w:rsidR="00356DDF" w:rsidRPr="00273106">
        <w:rPr>
          <w:i/>
        </w:rPr>
        <w:t>res</w:t>
      </w:r>
      <w:r w:rsidR="081E214A">
        <w:t xml:space="preserve"> se stala moderním konkrétnem</w:t>
      </w:r>
      <w:r w:rsidR="00356DDF" w:rsidRPr="00273106">
        <w:t xml:space="preserve"> (</w:t>
      </w:r>
      <w:r w:rsidR="00356DDF" w:rsidRPr="00273106">
        <w:rPr>
          <w:i/>
        </w:rPr>
        <w:t>concretum</w:t>
      </w:r>
      <w:r w:rsidR="00356DDF">
        <w:rPr>
          <w:i/>
        </w:rPr>
        <w:fldChar w:fldCharType="begin"/>
      </w:r>
      <w:r w:rsidR="00356DDF">
        <w:instrText xml:space="preserve"> XE "</w:instrText>
      </w:r>
      <w:r w:rsidR="00356DDF" w:rsidRPr="006E5F49">
        <w:rPr>
          <w:i/>
        </w:rPr>
        <w:instrText>tertium ens</w:instrText>
      </w:r>
      <w:r w:rsidR="00356DDF">
        <w:instrText>:</w:instrText>
      </w:r>
      <w:r w:rsidR="00356DDF" w:rsidRPr="00FA7481">
        <w:rPr>
          <w:i/>
        </w:rPr>
        <w:instrText>concretum</w:instrText>
      </w:r>
      <w:r w:rsidR="00356DDF">
        <w:instrText xml:space="preserve">" </w:instrText>
      </w:r>
      <w:r w:rsidR="00356DDF">
        <w:rPr>
          <w:i/>
        </w:rPr>
        <w:fldChar w:fldCharType="end"/>
      </w:r>
      <w:r w:rsidR="00356DDF" w:rsidRPr="00273106">
        <w:t>), čili srosticí nominálně daného významu vzniklého v rámci syntézy akcidentů</w:t>
      </w:r>
      <w:r w:rsidR="00356DDF">
        <w:t xml:space="preserve"> na substanci a </w:t>
      </w:r>
      <w:r w:rsidR="00356DDF" w:rsidRPr="00273106">
        <w:t>v rámci dělení unive</w:t>
      </w:r>
      <w:r w:rsidR="08407D7A">
        <w:t>rzálií podle Porfyriova str</w:t>
      </w:r>
      <w:r w:rsidR="08EA17AE">
        <w:t>omu.</w:t>
      </w:r>
      <w:r w:rsidR="08522484">
        <w:t xml:space="preserve"> </w:t>
      </w:r>
      <w:r w:rsidR="00AF4584">
        <w:t xml:space="preserve">Rufusovo určení jsoucna v modu </w:t>
      </w:r>
      <w:r w:rsidR="00AF4584" w:rsidRPr="00273106">
        <w:rPr>
          <w:i/>
        </w:rPr>
        <w:t>concretive</w:t>
      </w:r>
      <w:r w:rsidR="006E5F49">
        <w:rPr>
          <w:i/>
        </w:rPr>
        <w:fldChar w:fldCharType="begin"/>
      </w:r>
      <w:r w:rsidR="006E5F49">
        <w:instrText xml:space="preserve"> XE "predikace:</w:instrText>
      </w:r>
      <w:r w:rsidR="006E5F49" w:rsidRPr="00A23EEB">
        <w:rPr>
          <w:i/>
        </w:rPr>
        <w:instrText>concretive</w:instrText>
      </w:r>
      <w:r w:rsidR="006E5F49">
        <w:instrText xml:space="preserve">" </w:instrText>
      </w:r>
      <w:r w:rsidR="006E5F49">
        <w:rPr>
          <w:i/>
        </w:rPr>
        <w:fldChar w:fldCharType="end"/>
      </w:r>
      <w:r w:rsidR="00AF4584" w:rsidRPr="00273106">
        <w:t xml:space="preserve"> dokládá transformaci akcidentálního habitu popsané v předešlé kapi</w:t>
      </w:r>
      <w:r w:rsidR="00AF4584">
        <w:t xml:space="preserve">tole na úroveň druhé substance. </w:t>
      </w:r>
      <w:r w:rsidR="081E214A">
        <w:t>K</w:t>
      </w:r>
      <w:r w:rsidR="00CE4C91">
        <w:t>onkrétní</w:t>
      </w:r>
      <w:r w:rsidR="00AF4584" w:rsidRPr="00273106">
        <w:t xml:space="preserve"> vidění reality najdeme v díle </w:t>
      </w:r>
      <w:r w:rsidR="00AF4584" w:rsidRPr="00273106">
        <w:rPr>
          <w:i/>
          <w:iCs/>
        </w:rPr>
        <w:t xml:space="preserve">Scriptum in </w:t>
      </w:r>
      <w:r w:rsidR="00AF4584" w:rsidRPr="00273106">
        <w:rPr>
          <w:i/>
        </w:rPr>
        <w:t>Metaphysicam Aristotelis</w:t>
      </w:r>
      <w:r w:rsidR="00AF4584" w:rsidRPr="00273106">
        <w:t xml:space="preserve">  (1237‒38). Predikace vytváří srostici (</w:t>
      </w:r>
      <w:r w:rsidR="00AF4584" w:rsidRPr="00273106">
        <w:rPr>
          <w:i/>
        </w:rPr>
        <w:t>concretum</w:t>
      </w:r>
      <w:r w:rsidR="00AF4584" w:rsidRPr="00273106">
        <w:t xml:space="preserve">) formy a substance a toto </w:t>
      </w:r>
      <w:r w:rsidR="00AF4584" w:rsidRPr="00273106">
        <w:rPr>
          <w:i/>
        </w:rPr>
        <w:t>tertium ens</w:t>
      </w:r>
      <w:r w:rsidR="00AF4584" w:rsidRPr="00273106">
        <w:t xml:space="preserve"> </w:t>
      </w:r>
      <w:r w:rsidR="00B24B06">
        <w:t>stojí na úrov</w:t>
      </w:r>
      <w:r w:rsidR="08EA17AE">
        <w:t>n</w:t>
      </w:r>
      <w:r w:rsidR="00B24B06">
        <w:t>i</w:t>
      </w:r>
      <w:r w:rsidR="00AF4584" w:rsidRPr="00273106">
        <w:t xml:space="preserve"> první substance</w:t>
      </w:r>
      <w:r w:rsidR="006E5F49">
        <w:rPr>
          <w:i/>
        </w:rPr>
        <w:fldChar w:fldCharType="begin"/>
      </w:r>
      <w:r w:rsidR="006E5F49">
        <w:instrText xml:space="preserve"> XE "substance:</w:instrText>
      </w:r>
      <w:r w:rsidR="006E5F49" w:rsidRPr="00FA7481">
        <w:rPr>
          <w:i/>
        </w:rPr>
        <w:instrText>concretum</w:instrText>
      </w:r>
      <w:r w:rsidR="006E5F49">
        <w:instrText xml:space="preserve">" </w:instrText>
      </w:r>
      <w:r w:rsidR="006E5F49">
        <w:rPr>
          <w:i/>
        </w:rPr>
        <w:fldChar w:fldCharType="end"/>
      </w:r>
      <w:r w:rsidR="00AF4584">
        <w:t>: „Esenciální jednotu jsoucna vypovídáme v modu konkrétnosti o každé formě.“ </w:t>
      </w:r>
      <w:r w:rsidR="00AF4584" w:rsidRPr="00273106">
        <w:rPr>
          <w:rStyle w:val="Znakapoznpodarou"/>
        </w:rPr>
        <w:footnoteReference w:id="415"/>
      </w:r>
      <w:r w:rsidR="00AF4584" w:rsidRPr="00273106">
        <w:t xml:space="preserve"> Ve stejn</w:t>
      </w:r>
      <w:r w:rsidR="086539D4">
        <w:t xml:space="preserve">é době okolo roku </w:t>
      </w:r>
      <w:r w:rsidR="00AF4584" w:rsidRPr="00273106">
        <w:t>1240</w:t>
      </w:r>
      <w:r w:rsidR="086539D4">
        <w:t xml:space="preserve"> </w:t>
      </w:r>
      <w:r w:rsidR="00AF4584" w:rsidRPr="00273106">
        <w:t>najdeme jiné pojetí umírněných avicennistických myslite</w:t>
      </w:r>
      <w:r w:rsidR="00AF4584">
        <w:t>lů jako Hugues de Saint-Cher</w:t>
      </w:r>
      <w:r w:rsidR="00AF4584" w:rsidRPr="00273106">
        <w:t xml:space="preserve">, který </w:t>
      </w:r>
      <w:r w:rsidR="00AF4584">
        <w:t xml:space="preserve">v komentáři k </w:t>
      </w:r>
      <w:r w:rsidR="00AF4584" w:rsidRPr="00D12FDE">
        <w:rPr>
          <w:i/>
        </w:rPr>
        <w:t>De anima</w:t>
      </w:r>
      <w:r w:rsidR="00AF4584">
        <w:t xml:space="preserve"> chápe </w:t>
      </w:r>
      <w:r w:rsidR="00AF4584" w:rsidRPr="00273106">
        <w:rPr>
          <w:i/>
        </w:rPr>
        <w:t>concretum</w:t>
      </w:r>
      <w:r w:rsidR="00AF4584" w:rsidRPr="00273106">
        <w:t xml:space="preserve"> v aristotelském smyslu jako druhou substanci.</w:t>
      </w:r>
      <w:r w:rsidR="00AF4584" w:rsidRPr="00273106">
        <w:rPr>
          <w:rStyle w:val="Znakapoznpodarou"/>
        </w:rPr>
        <w:footnoteReference w:id="416"/>
      </w:r>
      <w:r w:rsidR="00AF4584" w:rsidRPr="00273106">
        <w:t xml:space="preserve"> </w:t>
      </w:r>
      <w:r w:rsidR="08EB5EC9">
        <w:t xml:space="preserve">Rufusovo </w:t>
      </w:r>
      <w:r w:rsidR="08EB5EC9" w:rsidRPr="08EB5EC9">
        <w:rPr>
          <w:i/>
        </w:rPr>
        <w:t>concretum</w:t>
      </w:r>
      <w:r w:rsidR="08EB5EC9">
        <w:t xml:space="preserve"> se stalo </w:t>
      </w:r>
      <w:r w:rsidR="08BB443E">
        <w:t xml:space="preserve">univerzálním </w:t>
      </w:r>
      <w:r w:rsidR="08EB5EC9">
        <w:t xml:space="preserve">analytickým nástrojem </w:t>
      </w:r>
      <w:r w:rsidR="08BB443E">
        <w:t xml:space="preserve">dneška </w:t>
      </w:r>
      <w:r w:rsidR="08EB5EC9">
        <w:t xml:space="preserve">tím, že dostalo logický a numerický základ. </w:t>
      </w:r>
      <w:r w:rsidR="00AF4584">
        <w:t xml:space="preserve">Konkrétní predikace postavená </w:t>
      </w:r>
      <w:r w:rsidR="089F1CE4">
        <w:t xml:space="preserve">na </w:t>
      </w:r>
      <w:r w:rsidR="0841344D">
        <w:t xml:space="preserve">porretánské </w:t>
      </w:r>
      <w:r w:rsidR="089F1CE4">
        <w:t>definici</w:t>
      </w:r>
      <w:r w:rsidR="00AF4584">
        <w:t xml:space="preserve"> </w:t>
      </w:r>
      <w:r w:rsidR="089F1CE4" w:rsidRPr="089F1CE4">
        <w:rPr>
          <w:i/>
        </w:rPr>
        <w:t>Nominales</w:t>
      </w:r>
      <w:r w:rsidR="089F1CE4">
        <w:t xml:space="preserve"> </w:t>
      </w:r>
      <w:r w:rsidR="00AF4584">
        <w:t xml:space="preserve">a ne </w:t>
      </w:r>
      <w:r w:rsidR="089F1CE4">
        <w:t>kategoriální predikaci druhé substance</w:t>
      </w:r>
      <w:r w:rsidR="00AF4584">
        <w:t xml:space="preserve"> představuje </w:t>
      </w:r>
      <w:r w:rsidR="00AF4584" w:rsidRPr="00273106">
        <w:t>Rufusovu další so</w:t>
      </w:r>
      <w:r w:rsidR="08D31D73">
        <w:t xml:space="preserve">fistickou inovaci, kvůli které </w:t>
      </w:r>
      <w:r w:rsidR="00AF4584" w:rsidRPr="00273106">
        <w:t xml:space="preserve">jeho myšlení odsoudili představitelé prvního averroismu. </w:t>
      </w:r>
      <w:r w:rsidR="08EA17AE">
        <w:t xml:space="preserve">Nyní je jasné, proč do Alvernovy kritiky filosofů zvaných </w:t>
      </w:r>
      <w:r w:rsidR="08EA17AE" w:rsidRPr="007E0E09">
        <w:rPr>
          <w:i/>
        </w:rPr>
        <w:t>Grammatici</w:t>
      </w:r>
      <w:r w:rsidR="08873371">
        <w:t xml:space="preserve"> patřil také Rufus</w:t>
      </w:r>
      <w:r w:rsidR="08EA17AE">
        <w:t xml:space="preserve">. </w:t>
      </w:r>
      <w:r w:rsidR="08873371">
        <w:t xml:space="preserve">Albert zásadně kritizoval </w:t>
      </w:r>
      <w:r w:rsidR="00AF4584" w:rsidRPr="00273106">
        <w:t>konkré</w:t>
      </w:r>
      <w:r w:rsidR="006F60BB">
        <w:t>t</w:t>
      </w:r>
      <w:r w:rsidR="08873371">
        <w:t>ní</w:t>
      </w:r>
      <w:r w:rsidR="006F60BB">
        <w:t xml:space="preserve"> pojetí substance v pojmu </w:t>
      </w:r>
      <w:r w:rsidR="00AF4584" w:rsidRPr="00273106">
        <w:rPr>
          <w:i/>
        </w:rPr>
        <w:t>esse individuatum</w:t>
      </w:r>
      <w:r w:rsidR="087F36D8">
        <w:t xml:space="preserve"> (kap. 2</w:t>
      </w:r>
      <w:r w:rsidR="00AF4584" w:rsidRPr="00273106">
        <w:t xml:space="preserve">.4.2). </w:t>
      </w:r>
      <w:r w:rsidR="00873E93">
        <w:t xml:space="preserve">Kritika míří na Rufuse, což ukazuje jeho dílo </w:t>
      </w:r>
      <w:r w:rsidR="00AF4584" w:rsidRPr="00273106">
        <w:rPr>
          <w:i/>
        </w:rPr>
        <w:t>Speculum animae</w:t>
      </w:r>
      <w:r w:rsidR="00AF4584" w:rsidRPr="00273106">
        <w:t xml:space="preserve"> (kolem 1245), které psal v Paříži v době, kdy zde Albert </w:t>
      </w:r>
      <w:r w:rsidR="08B816D4">
        <w:t xml:space="preserve">publikoval </w:t>
      </w:r>
      <w:r w:rsidR="00AF4584" w:rsidRPr="00273106">
        <w:t xml:space="preserve">spis </w:t>
      </w:r>
      <w:r w:rsidR="00AF4584" w:rsidRPr="00273106">
        <w:rPr>
          <w:i/>
        </w:rPr>
        <w:t>De homine</w:t>
      </w:r>
      <w:r w:rsidR="00140877">
        <w:t>.</w:t>
      </w:r>
    </w:p>
    <w:p w14:paraId="1A81B819" w14:textId="75C73000" w:rsidR="00AF4584" w:rsidRPr="00273106" w:rsidRDefault="00DB62D8" w:rsidP="00F4299E">
      <w:pPr>
        <w:ind w:firstLine="397"/>
      </w:pPr>
      <w:r>
        <w:t>Rufusovo d</w:t>
      </w:r>
      <w:r w:rsidR="00AF4584" w:rsidRPr="00273106">
        <w:t xml:space="preserve">ílo definuje dva mody formální predikace. </w:t>
      </w:r>
      <w:r w:rsidR="00873E93">
        <w:t xml:space="preserve">V prvním modu jde predikace k </w:t>
      </w:r>
      <w:r w:rsidR="00AF4584" w:rsidRPr="00273106">
        <w:t xml:space="preserve">hylemorfické formě, ve druhém modu je forma z věci nazírána přímo a </w:t>
      </w:r>
      <w:r w:rsidR="00AF4584" w:rsidRPr="00273106">
        <w:rPr>
          <w:i/>
        </w:rPr>
        <w:t>simpliciter</w:t>
      </w:r>
      <w:r w:rsidR="00AF4584" w:rsidRPr="00273106">
        <w:t>.</w:t>
      </w:r>
      <w:r w:rsidR="00AF4584" w:rsidRPr="00273106">
        <w:rPr>
          <w:rStyle w:val="Znakapoznpodarou"/>
        </w:rPr>
        <w:footnoteReference w:id="417"/>
      </w:r>
      <w:r w:rsidR="00AF4584" w:rsidRPr="00273106">
        <w:t xml:space="preserve"> Druhý modus predikace vytváří konkrétní vidění světa </w:t>
      </w:r>
      <w:r w:rsidR="08B816D4">
        <w:t xml:space="preserve">v modu univerzálního hylemorfismu </w:t>
      </w:r>
      <w:r w:rsidR="00AF4584" w:rsidRPr="00273106">
        <w:t xml:space="preserve">tím, že </w:t>
      </w:r>
      <w:r w:rsidR="08873371">
        <w:t xml:space="preserve">intelekt </w:t>
      </w:r>
      <w:r w:rsidR="083464F1">
        <w:t xml:space="preserve">ilumináta </w:t>
      </w:r>
      <w:r w:rsidR="08873371" w:rsidRPr="00273106">
        <w:t xml:space="preserve">vtiskne </w:t>
      </w:r>
      <w:r w:rsidR="00F32A1C">
        <w:t>hypostázovanou</w:t>
      </w:r>
      <w:r w:rsidR="00B04F90">
        <w:t xml:space="preserve"> formu</w:t>
      </w:r>
      <w:r w:rsidR="00AF4584" w:rsidRPr="00273106">
        <w:t xml:space="preserve"> do materie</w:t>
      </w:r>
      <w:r w:rsidR="08B816D4">
        <w:t xml:space="preserve"> třetího druhu</w:t>
      </w:r>
      <w:r w:rsidR="00673CB6">
        <w:t xml:space="preserve">. </w:t>
      </w:r>
      <w:r w:rsidR="00CE3C48">
        <w:t xml:space="preserve">Tím vzniklo sofistické simulákrum reality </w:t>
      </w:r>
      <w:r w:rsidR="087273CF">
        <w:t xml:space="preserve">fabrikované </w:t>
      </w:r>
      <w:r w:rsidR="00CE3C48">
        <w:t>v modu univerzálního hylemorfismu</w:t>
      </w:r>
      <w:r w:rsidR="08B816D4">
        <w:t>, které Albert a Bacon považovali za šílenost</w:t>
      </w:r>
      <w:r w:rsidR="00CE3C48">
        <w:t xml:space="preserve">. </w:t>
      </w:r>
      <w:r w:rsidR="08011705">
        <w:t>K</w:t>
      </w:r>
      <w:r w:rsidR="08011705" w:rsidRPr="00273106">
        <w:t xml:space="preserve">onkrétní smysl jsoucna vznikl </w:t>
      </w:r>
      <w:r w:rsidR="08011705">
        <w:t xml:space="preserve">radikálně novým </w:t>
      </w:r>
      <w:r w:rsidR="08011705" w:rsidRPr="00273106">
        <w:t>určením moderní věci jako „toto zde“ (</w:t>
      </w:r>
      <w:r w:rsidR="08011705" w:rsidRPr="00273106">
        <w:rPr>
          <w:i/>
        </w:rPr>
        <w:t>hoc aliquid</w:t>
      </w:r>
      <w:r w:rsidR="08011705">
        <w:rPr>
          <w:i/>
        </w:rPr>
        <w:fldChar w:fldCharType="begin"/>
      </w:r>
      <w:r w:rsidR="08011705">
        <w:instrText xml:space="preserve"> XE "</w:instrText>
      </w:r>
      <w:r w:rsidR="08011705" w:rsidRPr="006B0AC6">
        <w:rPr>
          <w:rStyle w:val="FontStyle129"/>
          <w:rFonts w:ascii="Calibri" w:hAnsi="Calibri"/>
          <w:i/>
          <w:sz w:val="24"/>
        </w:rPr>
        <w:instrText>hoc aliquid:</w:instrText>
      </w:r>
      <w:r w:rsidR="08011705">
        <w:instrText xml:space="preserve">Rufus" </w:instrText>
      </w:r>
      <w:r w:rsidR="08011705">
        <w:rPr>
          <w:i/>
        </w:rPr>
        <w:fldChar w:fldCharType="end"/>
      </w:r>
      <w:r w:rsidR="08011705" w:rsidRPr="00273106">
        <w:t>)</w:t>
      </w:r>
      <w:r w:rsidR="08011705">
        <w:t xml:space="preserve">, které už není navázeno na první substanci existující v realitě mimo poznávající subjekt. </w:t>
      </w:r>
      <w:r w:rsidR="00CE3C48">
        <w:t>N</w:t>
      </w:r>
      <w:r w:rsidR="00673CB6">
        <w:t xml:space="preserve">ový způsob bytí věci v modu konkrétnosti </w:t>
      </w:r>
      <w:r w:rsidR="005A5BA8">
        <w:t>(</w:t>
      </w:r>
      <w:r w:rsidR="005A5BA8" w:rsidRPr="00273106">
        <w:rPr>
          <w:i/>
        </w:rPr>
        <w:t>modum concretum</w:t>
      </w:r>
      <w:r w:rsidR="005A5BA8">
        <w:t xml:space="preserve">) </w:t>
      </w:r>
      <w:r w:rsidR="00673CB6">
        <w:t xml:space="preserve">zakládá i novou </w:t>
      </w:r>
      <w:r w:rsidR="005A5BA8">
        <w:t>přirozenost věci</w:t>
      </w:r>
      <w:r w:rsidR="00D556ED">
        <w:fldChar w:fldCharType="begin"/>
      </w:r>
      <w:r w:rsidR="00D556ED">
        <w:instrText xml:space="preserve"> XE "</w:instrText>
      </w:r>
      <w:r w:rsidR="00D556ED" w:rsidRPr="007B4C90">
        <w:instrText>predikace:konkrétní</w:instrText>
      </w:r>
      <w:r w:rsidR="00D556ED">
        <w:instrText xml:space="preserve">" </w:instrText>
      </w:r>
      <w:r w:rsidR="00D556ED">
        <w:fldChar w:fldCharType="end"/>
      </w:r>
      <w:r w:rsidR="00AF4584" w:rsidRPr="00273106">
        <w:t xml:space="preserve">. </w:t>
      </w:r>
      <w:r w:rsidR="08F209AF" w:rsidRPr="00273106">
        <w:t xml:space="preserve">Původní metafyzické určení substance se mění </w:t>
      </w:r>
      <w:r w:rsidR="08F209AF">
        <w:t xml:space="preserve">predikací abstraktní materie </w:t>
      </w:r>
      <w:r w:rsidR="08F209AF" w:rsidRPr="00273106">
        <w:t>na jsoucno třetího druhu (</w:t>
      </w:r>
      <w:r w:rsidR="08F209AF" w:rsidRPr="00273106">
        <w:rPr>
          <w:i/>
        </w:rPr>
        <w:t>concretum</w:t>
      </w:r>
      <w:r w:rsidR="08F209AF">
        <w:fldChar w:fldCharType="begin"/>
      </w:r>
      <w:r w:rsidR="08F209AF">
        <w:instrText xml:space="preserve"> XE "</w:instrText>
      </w:r>
      <w:r w:rsidR="08F209AF" w:rsidRPr="00DE2A32">
        <w:instrText>substance</w:instrText>
      </w:r>
      <w:r w:rsidR="08F209AF">
        <w:instrText>:</w:instrText>
      </w:r>
      <w:r w:rsidR="08F209AF" w:rsidRPr="00273106">
        <w:rPr>
          <w:i/>
        </w:rPr>
        <w:instrText>concretum</w:instrText>
      </w:r>
      <w:r w:rsidR="08F209AF">
        <w:instrText xml:space="preserve">" </w:instrText>
      </w:r>
      <w:r w:rsidR="08F209AF">
        <w:fldChar w:fldCharType="end"/>
      </w:r>
      <w:r w:rsidR="08F209AF" w:rsidRPr="00273106">
        <w:t>).</w:t>
      </w:r>
    </w:p>
    <w:p w14:paraId="7D804DB4" w14:textId="227400B4" w:rsidR="00AF4584" w:rsidRPr="00273106" w:rsidRDefault="00AF4584" w:rsidP="00AF4584">
      <w:pPr>
        <w:pStyle w:val="Citace"/>
        <w:rPr>
          <w:noProof/>
          <w:lang w:val="cs-CZ"/>
        </w:rPr>
      </w:pPr>
      <w:r w:rsidRPr="00273106">
        <w:rPr>
          <w:noProof/>
          <w:lang w:val="cs-CZ"/>
        </w:rPr>
        <w:t>„</w:t>
      </w:r>
      <w:r w:rsidR="005211DF" w:rsidRPr="005211DF">
        <w:rPr>
          <w:noProof/>
          <w:lang w:val="cs-CZ"/>
        </w:rPr>
        <w:t xml:space="preserve">Druhým způsobem </w:t>
      </w:r>
      <w:r w:rsidR="005211DF" w:rsidRPr="00273106">
        <w:rPr>
          <w:noProof/>
          <w:lang w:val="cs-CZ"/>
        </w:rPr>
        <w:t xml:space="preserve">dostane přirozenost </w:t>
      </w:r>
      <w:r w:rsidR="00141F1A">
        <w:rPr>
          <w:noProof/>
          <w:lang w:val="cs-CZ"/>
        </w:rPr>
        <w:t xml:space="preserve">její </w:t>
      </w:r>
      <w:r w:rsidR="005211DF" w:rsidRPr="00273106">
        <w:rPr>
          <w:noProof/>
          <w:lang w:val="cs-CZ"/>
        </w:rPr>
        <w:t xml:space="preserve">bytí </w:t>
      </w:r>
      <w:r w:rsidR="00141F1A">
        <w:rPr>
          <w:noProof/>
          <w:lang w:val="cs-CZ"/>
        </w:rPr>
        <w:t xml:space="preserve">a formu skrze </w:t>
      </w:r>
      <w:r w:rsidR="005211DF" w:rsidRPr="00273106">
        <w:rPr>
          <w:noProof/>
          <w:lang w:val="cs-CZ"/>
        </w:rPr>
        <w:t>konkretizac</w:t>
      </w:r>
      <w:r w:rsidR="00141F1A">
        <w:rPr>
          <w:noProof/>
          <w:lang w:val="cs-CZ"/>
        </w:rPr>
        <w:t>i</w:t>
      </w:r>
      <w:r w:rsidR="005211DF">
        <w:rPr>
          <w:noProof/>
          <w:lang w:val="cs-CZ"/>
        </w:rPr>
        <w:t xml:space="preserve"> </w:t>
      </w:r>
      <w:r w:rsidR="005211DF" w:rsidRPr="00273106">
        <w:rPr>
          <w:noProof/>
          <w:lang w:val="cs-CZ"/>
        </w:rPr>
        <w:t>(</w:t>
      </w:r>
      <w:r w:rsidR="005211DF" w:rsidRPr="00273106">
        <w:rPr>
          <w:i/>
          <w:noProof/>
          <w:lang w:val="cs-CZ"/>
        </w:rPr>
        <w:t>esse et modum concretum</w:t>
      </w:r>
      <w:r w:rsidR="005211DF" w:rsidRPr="00273106">
        <w:rPr>
          <w:noProof/>
          <w:lang w:val="cs-CZ"/>
        </w:rPr>
        <w:t>)</w:t>
      </w:r>
      <w:r w:rsidR="005211DF">
        <w:rPr>
          <w:noProof/>
          <w:lang w:val="cs-CZ"/>
        </w:rPr>
        <w:t xml:space="preserve"> a </w:t>
      </w:r>
      <w:r w:rsidR="005211DF" w:rsidRPr="005211DF">
        <w:rPr>
          <w:noProof/>
          <w:lang w:val="cs-CZ"/>
        </w:rPr>
        <w:t xml:space="preserve">dále způsobem daným kvalitou, atribucí, inherencí a signifikací, protože pojem konkrétního určuje </w:t>
      </w:r>
      <w:r w:rsidR="005211DF">
        <w:rPr>
          <w:noProof/>
          <w:lang w:val="cs-CZ"/>
        </w:rPr>
        <w:t>materii</w:t>
      </w:r>
      <w:r w:rsidR="005211DF" w:rsidRPr="005211DF">
        <w:rPr>
          <w:noProof/>
          <w:lang w:val="cs-CZ"/>
        </w:rPr>
        <w:t xml:space="preserve"> (</w:t>
      </w:r>
      <w:r w:rsidR="005211DF" w:rsidRPr="005211DF">
        <w:rPr>
          <w:i/>
          <w:noProof/>
          <w:lang w:val="cs-CZ"/>
        </w:rPr>
        <w:t>nomine scilicet suo materiam notantis</w:t>
      </w:r>
      <w:r w:rsidR="005211DF" w:rsidRPr="005211DF">
        <w:rPr>
          <w:noProof/>
          <w:lang w:val="cs-CZ"/>
        </w:rPr>
        <w:t>). Tímto způsobem je form</w:t>
      </w:r>
      <w:r w:rsidR="005211DF">
        <w:rPr>
          <w:noProof/>
          <w:lang w:val="cs-CZ"/>
        </w:rPr>
        <w:t>a predikována s ohledem na materii</w:t>
      </w:r>
      <w:r w:rsidR="005211DF" w:rsidRPr="005211DF">
        <w:rPr>
          <w:noProof/>
          <w:lang w:val="cs-CZ"/>
        </w:rPr>
        <w:t>.</w:t>
      </w:r>
      <w:r w:rsidRPr="00273106">
        <w:rPr>
          <w:noProof/>
          <w:lang w:val="cs-CZ"/>
        </w:rPr>
        <w:t xml:space="preserve">“ </w:t>
      </w:r>
      <w:r w:rsidRPr="00273106">
        <w:rPr>
          <w:rStyle w:val="Znakapoznpodarou"/>
          <w:noProof/>
          <w:lang w:val="cs-CZ"/>
        </w:rPr>
        <w:footnoteReference w:id="418"/>
      </w:r>
    </w:p>
    <w:p w14:paraId="7672B25C" w14:textId="77777777" w:rsidR="00704AAC" w:rsidRDefault="08F209AF" w:rsidP="00771708">
      <w:r w:rsidRPr="00273106">
        <w:t>Materií se myslí pouhá určení esence daná jako moderní modalita (</w:t>
      </w:r>
      <w:r w:rsidRPr="00273106">
        <w:rPr>
          <w:i/>
        </w:rPr>
        <w:t xml:space="preserve">modum </w:t>
      </w:r>
      <w:r w:rsidRPr="00273106">
        <w:rPr>
          <w:i/>
          <w:szCs w:val="10"/>
        </w:rPr>
        <w:t xml:space="preserve"> </w:t>
      </w:r>
      <w:r w:rsidRPr="00273106">
        <w:rPr>
          <w:i/>
        </w:rPr>
        <w:t>qualitatis et adiacentis et inhaerentis et nominantis</w:t>
      </w:r>
      <w:r w:rsidRPr="00273106">
        <w:t xml:space="preserve">). </w:t>
      </w:r>
      <w:r>
        <w:t>Konkrétní</w:t>
      </w:r>
      <w:r w:rsidRPr="00273106">
        <w:t xml:space="preserve"> </w:t>
      </w:r>
      <w:r w:rsidRPr="002C2AD3">
        <w:t>individuum</w:t>
      </w:r>
      <w:r w:rsidRPr="00273106">
        <w:t xml:space="preserve"> je čistým produktem intelektu, jehož pravda je garantovaná v rámci </w:t>
      </w:r>
      <w:r>
        <w:t>Avicennovy pravdy-</w:t>
      </w:r>
      <w:r w:rsidRPr="002C2AD3">
        <w:rPr>
          <w:i/>
        </w:rPr>
        <w:t>certitudo</w:t>
      </w:r>
      <w:r>
        <w:t xml:space="preserve">, </w:t>
      </w:r>
      <w:r w:rsidRPr="00273106">
        <w:t xml:space="preserve">Anselmova </w:t>
      </w:r>
      <w:r w:rsidRPr="00273106">
        <w:rPr>
          <w:i/>
        </w:rPr>
        <w:t>rectitudo</w:t>
      </w:r>
      <w:r>
        <w:t xml:space="preserve">, </w:t>
      </w:r>
      <w:r w:rsidRPr="00273106">
        <w:t>a Rufusova</w:t>
      </w:r>
      <w:r>
        <w:t xml:space="preserve"> </w:t>
      </w:r>
      <w:r w:rsidRPr="002C2AD3">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Pr="00273106">
        <w:t xml:space="preserve">. </w:t>
      </w:r>
      <w:r w:rsidR="002F1EDF" w:rsidRPr="00273106">
        <w:t xml:space="preserve">Substance </w:t>
      </w:r>
      <w:r>
        <w:t xml:space="preserve">jako </w:t>
      </w:r>
      <w:r w:rsidRPr="08F209AF">
        <w:rPr>
          <w:i/>
        </w:rPr>
        <w:t>concretum</w:t>
      </w:r>
      <w:r>
        <w:t xml:space="preserve"> </w:t>
      </w:r>
      <w:r w:rsidR="002F1EDF" w:rsidRPr="00273106">
        <w:t xml:space="preserve">dostává nový smysl pomocí </w:t>
      </w:r>
      <w:r w:rsidR="002F1EDF">
        <w:t>neoplatonsk</w:t>
      </w:r>
      <w:r w:rsidR="002F1EDF" w:rsidRPr="00273106">
        <w:t xml:space="preserve">é rozsažnosti, která </w:t>
      </w:r>
      <w:r w:rsidR="002F1EDF">
        <w:t xml:space="preserve">podle výše citovaného Rufuse </w:t>
      </w:r>
      <w:r w:rsidR="002F1EDF" w:rsidRPr="00273106">
        <w:t>určuje materii současně singulárním a univerzálním způsobem (</w:t>
      </w:r>
      <w:r w:rsidR="002F1EDF" w:rsidRPr="0067565B">
        <w:rPr>
          <w:i/>
        </w:rPr>
        <w:t>modum qualitatis et adiacentis et inhaerentis et nominantis</w:t>
      </w:r>
      <w:r w:rsidR="002F1EDF">
        <w:t xml:space="preserve">). </w:t>
      </w:r>
      <w:r w:rsidR="08BB443E" w:rsidRPr="00273106">
        <w:t xml:space="preserve">Rufus </w:t>
      </w:r>
      <w:r w:rsidR="08277968">
        <w:t>provádí čistou nominalistickou dedukci</w:t>
      </w:r>
      <w:r w:rsidR="08BB443E">
        <w:fldChar w:fldCharType="begin"/>
      </w:r>
      <w:r w:rsidR="08BB443E">
        <w:instrText xml:space="preserve"> XE "</w:instrText>
      </w:r>
      <w:r w:rsidR="08BB443E" w:rsidRPr="00AB10ED">
        <w:instrText>dedukce:objektivní</w:instrText>
      </w:r>
      <w:r w:rsidR="08BB443E">
        <w:instrText xml:space="preserve">" </w:instrText>
      </w:r>
      <w:r w:rsidR="08BB443E">
        <w:fldChar w:fldCharType="end"/>
      </w:r>
      <w:r w:rsidR="08277968">
        <w:t>, čili vyvedení</w:t>
      </w:r>
      <w:r w:rsidR="08BB443E" w:rsidRPr="00273106">
        <w:t xml:space="preserve"> významů z vlastností esence (</w:t>
      </w:r>
      <w:r w:rsidR="08BB443E" w:rsidRPr="00273106">
        <w:rPr>
          <w:i/>
        </w:rPr>
        <w:t>nomine scilicet suo materiam notantis</w:t>
      </w:r>
      <w:r w:rsidR="08BB443E" w:rsidRPr="00273106">
        <w:t xml:space="preserve">). </w:t>
      </w:r>
      <w:r w:rsidR="08BB443E">
        <w:t xml:space="preserve">Nová první substance vznikla ve škole oxfordských modernistů tím, že hypostázované esence porretánů na sebe vzaly </w:t>
      </w:r>
      <w:r w:rsidR="08BB443E" w:rsidRPr="00273106">
        <w:t xml:space="preserve">Avicebronovo určení materie </w:t>
      </w:r>
      <w:r w:rsidR="08BB443E">
        <w:t xml:space="preserve">třetího druhu </w:t>
      </w:r>
      <w:r w:rsidR="086B0569">
        <w:t>(kap. 3</w:t>
      </w:r>
      <w:r w:rsidR="08BB443E" w:rsidRPr="00273106">
        <w:t xml:space="preserve">.2). Určení konkrétního jsoucna se děje v řádu kategoriální definice vztažené k pseudo-materiální substanci. </w:t>
      </w:r>
      <w:r w:rsidR="08BB443E">
        <w:t xml:space="preserve">Výsledem syntézy </w:t>
      </w:r>
      <w:r w:rsidR="08BB443E" w:rsidRPr="00273106">
        <w:rPr>
          <w:i/>
        </w:rPr>
        <w:t>per modum concretum</w:t>
      </w:r>
      <w:r w:rsidR="08BB443E">
        <w:t xml:space="preserve"> je </w:t>
      </w:r>
      <w:r w:rsidR="08366E5E">
        <w:t xml:space="preserve">objektivní </w:t>
      </w:r>
      <w:r w:rsidR="08BB443E">
        <w:t>individuum dané jako první substance</w:t>
      </w:r>
      <w:r w:rsidR="08BB443E">
        <w:fldChar w:fldCharType="begin"/>
      </w:r>
      <w:r w:rsidR="08BB443E">
        <w:instrText xml:space="preserve"> XE "</w:instrText>
      </w:r>
      <w:r w:rsidR="08BB443E" w:rsidRPr="00FE79DE">
        <w:instrText>predikace:konkrétní</w:instrText>
      </w:r>
      <w:r w:rsidR="08BB443E">
        <w:instrText xml:space="preserve">" </w:instrText>
      </w:r>
      <w:r w:rsidR="08BB443E">
        <w:fldChar w:fldCharType="end"/>
      </w:r>
      <w:r w:rsidR="08BB443E">
        <w:t xml:space="preserve">. Toto určení jsoucna v plné formě obsahuje Rufusův traktát </w:t>
      </w:r>
      <w:r w:rsidR="08BB443E" w:rsidRPr="00632B71">
        <w:rPr>
          <w:i/>
        </w:rPr>
        <w:t>Speculum animae</w:t>
      </w:r>
      <w:r w:rsidR="08BB443E">
        <w:t xml:space="preserve">. </w:t>
      </w:r>
      <w:r w:rsidR="002F1EDF">
        <w:t xml:space="preserve">Sofistickým spojením první a druhé substance </w:t>
      </w:r>
      <w:r w:rsidR="002F1EDF" w:rsidRPr="00273106">
        <w:t>vznikl ve dr</w:t>
      </w:r>
      <w:r w:rsidR="00330E39">
        <w:t xml:space="preserve">uhém averroismu dvojník reality. </w:t>
      </w:r>
      <w:r w:rsidR="00330E39" w:rsidRPr="00330E39">
        <w:t xml:space="preserve">Albert to považoval za takovou </w:t>
      </w:r>
      <w:r w:rsidR="00330E39">
        <w:t>hloupost, že se o tom odmít</w:t>
      </w:r>
      <w:r w:rsidR="00330E39" w:rsidRPr="00330E39">
        <w:t>l vážně bavit.</w:t>
      </w:r>
      <w:r w:rsidR="002F1EDF" w:rsidRPr="00273106">
        <w:t xml:space="preserve"> </w:t>
      </w:r>
      <w:r w:rsidR="004C1F57">
        <w:t xml:space="preserve">Tento aristotelik </w:t>
      </w:r>
      <w:r w:rsidR="004C1F57" w:rsidRPr="00273106">
        <w:t>provedl obhajobu reálného jsoucna proti latinským averroistům (</w:t>
      </w:r>
      <w:r w:rsidR="004C1F57" w:rsidRPr="00273106">
        <w:rPr>
          <w:i/>
        </w:rPr>
        <w:t>esse reale et ratum in natura</w:t>
      </w:r>
      <w:r w:rsidR="086E64C1">
        <w:t>, kap. 2</w:t>
      </w:r>
      <w:r w:rsidR="004C1F57" w:rsidRPr="00273106">
        <w:t xml:space="preserve">.4.3). </w:t>
      </w:r>
      <w:r w:rsidR="004C1F57">
        <w:t xml:space="preserve">Cílem Albertovy kritiky je zcela jistě i Rufus. </w:t>
      </w:r>
      <w:r w:rsidR="08DF7FD3">
        <w:t>Porretánské určení individua a Avicennova objektivní jsoucnost (</w:t>
      </w:r>
      <w:r w:rsidR="08DF7FD3" w:rsidRPr="00524E35">
        <w:rPr>
          <w:i/>
        </w:rPr>
        <w:t>equinitas tantum</w:t>
      </w:r>
      <w:r w:rsidR="08DF7FD3">
        <w:rPr>
          <w:i/>
        </w:rPr>
        <w:fldChar w:fldCharType="begin"/>
      </w:r>
      <w:r w:rsidR="08DF7FD3">
        <w:instrText xml:space="preserve"> XE "</w:instrText>
      </w:r>
      <w:r w:rsidR="08DF7FD3" w:rsidRPr="00524E35">
        <w:rPr>
          <w:i/>
        </w:rPr>
        <w:instrText>equinitas tantum</w:instrText>
      </w:r>
      <w:r w:rsidR="08DF7FD3">
        <w:instrText xml:space="preserve">" </w:instrText>
      </w:r>
      <w:r w:rsidR="08DF7FD3">
        <w:rPr>
          <w:i/>
        </w:rPr>
        <w:fldChar w:fldCharType="end"/>
      </w:r>
      <w:r w:rsidR="08DF7FD3">
        <w:t xml:space="preserve">) se univočně přidala k určení </w:t>
      </w:r>
      <w:r w:rsidR="00D81F7A">
        <w:t xml:space="preserve">reálné, tedy „konkrétní a individuální“ věci jako </w:t>
      </w:r>
      <w:r w:rsidR="00D81F7A" w:rsidRPr="00D81F7A">
        <w:rPr>
          <w:i/>
        </w:rPr>
        <w:t>tertium ens</w:t>
      </w:r>
      <w:r w:rsidR="08DF7FD3">
        <w:t>. Pak platí, že klasická hypachická predikace od první substance je univočně spojena s konkrétním způsobem predikace (</w:t>
      </w:r>
      <w:r w:rsidR="08DF7FD3" w:rsidRPr="08DF7FD3">
        <w:rPr>
          <w:i/>
        </w:rPr>
        <w:t>modum concretum accipiunt</w:t>
      </w:r>
      <w:r w:rsidR="08DF7FD3">
        <w:t>).</w:t>
      </w:r>
      <w:r w:rsidR="08DF7FD3">
        <w:rPr>
          <w:rStyle w:val="Znakapoznpodarou"/>
        </w:rPr>
        <w:footnoteReference w:id="419"/>
      </w:r>
      <w:r w:rsidR="08DF7FD3">
        <w:t xml:space="preserve"> Kategoriální predikace jsoucna třetího druhu do sebe pojala</w:t>
      </w:r>
      <w:r w:rsidR="08DF7FD3" w:rsidRPr="00273106">
        <w:t xml:space="preserve"> celek jsoucna</w:t>
      </w:r>
      <w:r w:rsidR="08DF7FD3">
        <w:t xml:space="preserve"> chápaného </w:t>
      </w:r>
      <w:r w:rsidR="0824582A">
        <w:t>konkrétně</w:t>
      </w:r>
      <w:r w:rsidR="08B76078">
        <w:t xml:space="preserve"> a t</w:t>
      </w:r>
      <w:r w:rsidR="0824582A">
        <w:t>ím vzniklo objektivní simulákrum</w:t>
      </w:r>
      <w:r w:rsidR="0824582A">
        <w:fldChar w:fldCharType="begin"/>
      </w:r>
      <w:r w:rsidR="0824582A">
        <w:instrText xml:space="preserve"> XE "</w:instrText>
      </w:r>
      <w:r w:rsidR="0824582A" w:rsidRPr="0025315C">
        <w:instrText>simulákrum</w:instrText>
      </w:r>
      <w:r w:rsidR="0824582A">
        <w:instrText xml:space="preserve">" </w:instrText>
      </w:r>
      <w:r w:rsidR="0824582A">
        <w:fldChar w:fldCharType="end"/>
      </w:r>
      <w:r w:rsidR="0824582A">
        <w:t xml:space="preserve"> reality. </w:t>
      </w:r>
      <w:r w:rsidR="00704AAC">
        <w:t xml:space="preserve">Alvernus </w:t>
      </w:r>
      <w:r w:rsidR="00704AAC" w:rsidRPr="00273106">
        <w:t xml:space="preserve">odmítl </w:t>
      </w:r>
      <w:r w:rsidR="00704AAC">
        <w:t xml:space="preserve">Rufusovu konkrétní </w:t>
      </w:r>
      <w:r w:rsidR="00704AAC" w:rsidRPr="00273106">
        <w:t>inherenci akcidentu v substanci s tím, že bytí reálné substance není totéž jako její signifikace (</w:t>
      </w:r>
      <w:r w:rsidR="00704AAC" w:rsidRPr="00273106">
        <w:rPr>
          <w:i/>
        </w:rPr>
        <w:t>esse in subjecto non est inhaerere subjecto</w:t>
      </w:r>
      <w:r w:rsidR="00704AAC">
        <w:t>, kap. 2</w:t>
      </w:r>
      <w:r w:rsidR="00704AAC" w:rsidRPr="00273106">
        <w:t>.3</w:t>
      </w:r>
      <w:r w:rsidR="00704AAC">
        <w:t>.2</w:t>
      </w:r>
      <w:r w:rsidR="00704AAC" w:rsidRPr="00273106">
        <w:t xml:space="preserve">). </w:t>
      </w:r>
      <w:r w:rsidR="00704AAC">
        <w:t xml:space="preserve">Kancléř a </w:t>
      </w:r>
      <w:r w:rsidR="00704AAC" w:rsidRPr="00273106">
        <w:t xml:space="preserve">biskup zásadně kritizoval </w:t>
      </w:r>
      <w:r w:rsidR="00704AAC">
        <w:t>z</w:t>
      </w:r>
      <w:r w:rsidR="001124E3">
        <w:t>atmění první substance u moderních porre</w:t>
      </w:r>
      <w:r w:rsidR="00704AAC">
        <w:t xml:space="preserve">tánů a </w:t>
      </w:r>
      <w:r w:rsidR="005F3C9F">
        <w:t xml:space="preserve">v polemice proti Gramatikům </w:t>
      </w:r>
      <w:r w:rsidR="001349C1">
        <w:t xml:space="preserve">výslovně odmítl Rufusův </w:t>
      </w:r>
      <w:r w:rsidR="008265A4">
        <w:t xml:space="preserve">nominalistický </w:t>
      </w:r>
      <w:r w:rsidR="001349C1" w:rsidRPr="001349C1">
        <w:rPr>
          <w:i/>
        </w:rPr>
        <w:t>modus</w:t>
      </w:r>
      <w:r w:rsidR="001349C1">
        <w:t xml:space="preserve"> </w:t>
      </w:r>
      <w:r w:rsidR="001349C1" w:rsidRPr="00273106">
        <w:rPr>
          <w:i/>
        </w:rPr>
        <w:t>inhaerentis</w:t>
      </w:r>
      <w:r w:rsidR="00704AAC">
        <w:t>.</w:t>
      </w:r>
    </w:p>
    <w:p w14:paraId="3E31DC31" w14:textId="4A1FF1C7" w:rsidR="000D11FF" w:rsidRPr="00273106" w:rsidRDefault="00AF4584" w:rsidP="00704AAC">
      <w:pPr>
        <w:ind w:firstLine="397"/>
      </w:pPr>
      <w:r w:rsidRPr="00273106">
        <w:t>Předešlá kapitola ukázala, že nástup nového vidění světa je spojený s rozšířením amfibolické predikace a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Pr="00273106">
        <w:t xml:space="preserve">. Oba jevy původně patřily do </w:t>
      </w:r>
      <w:r w:rsidR="0042238A">
        <w:t xml:space="preserve">úzce vymezené </w:t>
      </w:r>
      <w:r w:rsidRPr="00273106">
        <w:t>s</w:t>
      </w:r>
      <w:r>
        <w:t>kupiny univerzálií</w:t>
      </w:r>
      <w:r w:rsidR="00021EC0">
        <w:t xml:space="preserve"> oddělené od kategoriální predikace</w:t>
      </w:r>
      <w:r w:rsidR="083A1335">
        <w:t xml:space="preserve"> (</w:t>
      </w:r>
      <w:r w:rsidR="08774A79">
        <w:t xml:space="preserve">OBJ I, </w:t>
      </w:r>
      <w:r w:rsidR="083A1335">
        <w:t>kap. 2.1.2)</w:t>
      </w:r>
      <w:r>
        <w:t xml:space="preserve">. V prostředí </w:t>
      </w:r>
      <w:r w:rsidRPr="00D7608A">
        <w:rPr>
          <w:i/>
        </w:rPr>
        <w:t>Oxfordian Fallacy</w:t>
      </w:r>
      <w:r>
        <w:t xml:space="preserve"> a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t xml:space="preserve"> </w:t>
      </w:r>
      <w:r w:rsidRPr="00273106">
        <w:t>do</w:t>
      </w:r>
      <w:r w:rsidR="0042238A">
        <w:t>stala amfibolia statut substance</w:t>
      </w:r>
      <w:r w:rsidR="00AF370C">
        <w:t xml:space="preserve"> třetího druhu</w:t>
      </w:r>
      <w:r w:rsidR="0042238A">
        <w:t>.</w:t>
      </w:r>
      <w:r w:rsidR="08DF7FD3">
        <w:t xml:space="preserve"> </w:t>
      </w:r>
      <w:r w:rsidR="00446A6E">
        <w:t xml:space="preserve">Základ konkrétního určení jsoucna </w:t>
      </w:r>
      <w:r w:rsidR="00A66257">
        <w:t xml:space="preserve">obsahuje </w:t>
      </w:r>
      <w:r w:rsidR="08F54E6C">
        <w:t xml:space="preserve">citovaný </w:t>
      </w:r>
      <w:r w:rsidR="084735EE">
        <w:t xml:space="preserve">Rufusův </w:t>
      </w:r>
      <w:r w:rsidR="00052448">
        <w:t xml:space="preserve">komentář ke </w:t>
      </w:r>
      <w:r w:rsidR="00052448" w:rsidRPr="001E5D2D">
        <w:rPr>
          <w:i/>
        </w:rPr>
        <w:t>Druhým</w:t>
      </w:r>
      <w:r w:rsidR="00446A6E" w:rsidRPr="001E5D2D">
        <w:rPr>
          <w:i/>
        </w:rPr>
        <w:t xml:space="preserve"> analytikám</w:t>
      </w:r>
      <w:r w:rsidR="00446A6E">
        <w:t xml:space="preserve">. </w:t>
      </w:r>
      <w:r w:rsidR="005103BF" w:rsidRPr="00273106">
        <w:t xml:space="preserve">Univoční koncept čísla vzniká jako poslední jednotlivina dělení v rámci </w:t>
      </w:r>
      <w:r w:rsidR="00BB45B1">
        <w:t>Porfyri</w:t>
      </w:r>
      <w:r w:rsidR="005103BF" w:rsidRPr="00273106">
        <w:t xml:space="preserve">ova stromu. Tím je </w:t>
      </w:r>
      <w:r w:rsidR="001E5D2D">
        <w:t xml:space="preserve">pojem čísla </w:t>
      </w:r>
      <w:r w:rsidR="005103BF" w:rsidRPr="00273106">
        <w:t xml:space="preserve">formální a současně už konkrétní, čili univočně </w:t>
      </w:r>
      <w:r w:rsidR="00D7424B">
        <w:t>srostlý (</w:t>
      </w:r>
      <w:r w:rsidR="00D7424B" w:rsidRPr="00D7424B">
        <w:rPr>
          <w:i/>
        </w:rPr>
        <w:t>concresco</w:t>
      </w:r>
      <w:r w:rsidR="00D7424B">
        <w:t xml:space="preserve">) </w:t>
      </w:r>
      <w:r w:rsidR="005103BF" w:rsidRPr="00273106">
        <w:t>s realitou první substance</w:t>
      </w:r>
      <w:r w:rsidR="002B1D46">
        <w:fldChar w:fldCharType="begin"/>
      </w:r>
      <w:r w:rsidR="002B1D46">
        <w:instrText xml:space="preserve"> XE "</w:instrText>
      </w:r>
      <w:r w:rsidR="002B1D46" w:rsidRPr="00A241ED">
        <w:instrText>substance:</w:instrText>
      </w:r>
      <w:r w:rsidR="002B1D46" w:rsidRPr="002B1D46">
        <w:rPr>
          <w:i/>
        </w:rPr>
        <w:instrText>concretum</w:instrText>
      </w:r>
      <w:r w:rsidR="002B1D46">
        <w:instrText xml:space="preserve">" </w:instrText>
      </w:r>
      <w:r w:rsidR="002B1D46">
        <w:fldChar w:fldCharType="end"/>
      </w:r>
      <w:r w:rsidR="005103BF" w:rsidRPr="00273106">
        <w:t xml:space="preserve">. </w:t>
      </w:r>
      <w:r w:rsidR="009355C0" w:rsidRPr="00273106">
        <w:t>Spekulativní mysl akademických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9355C0" w:rsidRPr="00273106">
        <w:t xml:space="preserve"> na Oxfordu </w:t>
      </w:r>
      <w:r w:rsidR="00E17BE4">
        <w:t xml:space="preserve">a v Paříži </w:t>
      </w:r>
      <w:r w:rsidR="009355C0" w:rsidRPr="00273106">
        <w:t>pevně srostla s jimi nazíran</w:t>
      </w:r>
      <w:r w:rsidR="08F54E6C">
        <w:t>ým konkrétním a individuálním simulákrem</w:t>
      </w:r>
      <w:r w:rsidR="00444DB4">
        <w:t xml:space="preserve">, což Bacon považoval za šílené a Albert za směšné. </w:t>
      </w:r>
      <w:r w:rsidR="001E5D2D">
        <w:t xml:space="preserve">Univerzální </w:t>
      </w:r>
      <w:r w:rsidR="004B4D52" w:rsidRPr="004B4D52">
        <w:t>species</w:t>
      </w:r>
      <w:r w:rsidR="00444DB4">
        <w:t xml:space="preserve"> daná m</w:t>
      </w:r>
      <w:r w:rsidR="009355C0" w:rsidRPr="00273106">
        <w:t xml:space="preserve">atematicky se vzájemně zrcadlí v epochální formě </w:t>
      </w:r>
      <w:r w:rsidR="08F54E6C">
        <w:t xml:space="preserve">moderního </w:t>
      </w:r>
      <w:r w:rsidR="009355C0" w:rsidRPr="00273106">
        <w:rPr>
          <w:i/>
        </w:rPr>
        <w:t>Irrtum</w:t>
      </w:r>
      <w:r w:rsidR="009355C0" w:rsidRPr="00273106">
        <w:t xml:space="preserve">. </w:t>
      </w:r>
      <w:r w:rsidR="080F654A">
        <w:t>Analy</w:t>
      </w:r>
      <w:r w:rsidR="087A437C">
        <w:t>ticky vzdělané Fúrie p</w:t>
      </w:r>
      <w:r w:rsidR="08323F78">
        <w:rPr>
          <w:rStyle w:val="linemarker-marked-line"/>
        </w:rPr>
        <w:t xml:space="preserve">ředložily objektivnímu rozumu iluminátů univerzální nepravdu opravdu tragickým, tedy božským způsobem. </w:t>
      </w:r>
      <w:r w:rsidR="08F54E6C">
        <w:t xml:space="preserve">Kouzelné zrcadlo moderny </w:t>
      </w:r>
      <w:r w:rsidR="08F54E6C" w:rsidRPr="00273106">
        <w:t xml:space="preserve">univočně </w:t>
      </w:r>
      <w:r w:rsidR="08F54E6C">
        <w:t xml:space="preserve">zrcadlí konkrétní </w:t>
      </w:r>
      <w:r w:rsidR="08F54E6C" w:rsidRPr="08F54E6C">
        <w:rPr>
          <w:i/>
        </w:rPr>
        <w:t>tertium ens</w:t>
      </w:r>
      <w:r w:rsidR="08F54E6C">
        <w:t xml:space="preserve"> daná </w:t>
      </w:r>
      <w:r w:rsidR="00F7456D" w:rsidRPr="00E148C6">
        <w:rPr>
          <w:i/>
          <w:lang w:eastAsia="en-US"/>
        </w:rPr>
        <w:t>obiective</w:t>
      </w:r>
      <w:r w:rsidR="00F7456D">
        <w:rPr>
          <w:lang w:eastAsia="en-US"/>
        </w:rPr>
        <w:t xml:space="preserve"> </w:t>
      </w:r>
      <w:r w:rsidR="08F54E6C" w:rsidRPr="00273106">
        <w:t>v realitě a v mysli</w:t>
      </w:r>
      <w:r w:rsidR="08F54E6C">
        <w:t xml:space="preserve">. </w:t>
      </w:r>
      <w:r w:rsidR="08323F78">
        <w:rPr>
          <w:rStyle w:val="linemarker-marked-line"/>
        </w:rPr>
        <w:t>Moderna neprovedla Weberovo</w:t>
      </w:r>
      <w:r w:rsidR="08323F78">
        <w:rPr>
          <w:rStyle w:val="linemarker-marked-line"/>
        </w:rPr>
        <w:fldChar w:fldCharType="begin"/>
      </w:r>
      <w:r w:rsidR="08323F78">
        <w:instrText xml:space="preserve"> XE "</w:instrText>
      </w:r>
      <w:r w:rsidR="08323F78" w:rsidRPr="0820440D">
        <w:rPr>
          <w:rStyle w:val="linemarker-marked-line"/>
        </w:rPr>
        <w:instrText>Weber, M.</w:instrText>
      </w:r>
      <w:r w:rsidR="08323F78">
        <w:instrText xml:space="preserve">" </w:instrText>
      </w:r>
      <w:r w:rsidR="08323F78">
        <w:rPr>
          <w:rStyle w:val="linemarker-marked-line"/>
        </w:rPr>
        <w:fldChar w:fldCharType="end"/>
      </w:r>
      <w:r w:rsidR="08323F78">
        <w:rPr>
          <w:rStyle w:val="linemarker-marked-line"/>
        </w:rPr>
        <w:t xml:space="preserve"> odkouzlení světa (</w:t>
      </w:r>
      <w:r w:rsidR="08323F78" w:rsidRPr="08955409">
        <w:rPr>
          <w:rStyle w:val="linemarker-marked-line"/>
          <w:i/>
        </w:rPr>
        <w:t>Entzauberung der Welt</w:t>
      </w:r>
      <w:r w:rsidR="08323F78">
        <w:rPr>
          <w:rStyle w:val="linemarker-marked-line"/>
          <w:i/>
        </w:rPr>
        <w:fldChar w:fldCharType="begin"/>
      </w:r>
      <w:r w:rsidR="08323F78">
        <w:instrText xml:space="preserve"> XE "</w:instrText>
      </w:r>
      <w:r w:rsidR="08323F78" w:rsidRPr="08002F26">
        <w:rPr>
          <w:rStyle w:val="linemarker-marked-line"/>
          <w:i/>
        </w:rPr>
        <w:instrText>Entzauberung der Welt</w:instrText>
      </w:r>
      <w:r w:rsidR="08323F78">
        <w:instrText xml:space="preserve">" </w:instrText>
      </w:r>
      <w:r w:rsidR="08323F78">
        <w:rPr>
          <w:rStyle w:val="linemarker-marked-line"/>
          <w:i/>
        </w:rPr>
        <w:fldChar w:fldCharType="end"/>
      </w:r>
      <w:r w:rsidR="00EB2755">
        <w:rPr>
          <w:rStyle w:val="linemarker-marked-line"/>
        </w:rPr>
        <w:t>). N</w:t>
      </w:r>
      <w:r w:rsidR="009A72CE">
        <w:rPr>
          <w:rStyle w:val="linemarker-marked-line"/>
        </w:rPr>
        <w:t>aopak</w:t>
      </w:r>
      <w:r w:rsidR="00EB2755">
        <w:rPr>
          <w:rStyle w:val="linemarker-marked-line"/>
        </w:rPr>
        <w:t xml:space="preserve">, modernisté </w:t>
      </w:r>
      <w:r w:rsidR="009A72CE">
        <w:rPr>
          <w:rStyle w:val="linemarker-marked-line"/>
        </w:rPr>
        <w:t xml:space="preserve">reálný svět </w:t>
      </w:r>
      <w:r w:rsidR="00EB2755">
        <w:rPr>
          <w:rStyle w:val="linemarker-marked-line"/>
        </w:rPr>
        <w:t xml:space="preserve">objektivně začarovali, a to </w:t>
      </w:r>
      <w:r w:rsidR="08DD1BED">
        <w:rPr>
          <w:rStyle w:val="linemarker-marked-line"/>
        </w:rPr>
        <w:t xml:space="preserve">přímo démonickým způsobem, což dokazuje </w:t>
      </w:r>
      <w:r w:rsidR="082A7A23">
        <w:rPr>
          <w:rStyle w:val="linemarker-marked-line"/>
        </w:rPr>
        <w:t xml:space="preserve">apokalyptické </w:t>
      </w:r>
      <w:r w:rsidR="009A72CE">
        <w:rPr>
          <w:rStyle w:val="linemarker-marked-line"/>
        </w:rPr>
        <w:t xml:space="preserve">a démonické </w:t>
      </w:r>
      <w:r w:rsidR="08810133">
        <w:rPr>
          <w:rStyle w:val="linemarker-marked-line"/>
        </w:rPr>
        <w:t>založení moderní logiky (kap. 3</w:t>
      </w:r>
      <w:r w:rsidR="08DD1BED">
        <w:rPr>
          <w:rStyle w:val="linemarker-marked-line"/>
        </w:rPr>
        <w:t xml:space="preserve">.1.2). </w:t>
      </w:r>
      <w:r w:rsidR="08323F78">
        <w:rPr>
          <w:rStyle w:val="linemarker-marked-line"/>
        </w:rPr>
        <w:t xml:space="preserve">Paranoická pravda moderny funguje mytopoeticky podle kouzelného zrcadla </w:t>
      </w:r>
      <w:r w:rsidR="00CC334B">
        <w:rPr>
          <w:szCs w:val="24"/>
        </w:rPr>
        <w:t>(</w:t>
      </w:r>
      <w:r w:rsidR="00CC334B" w:rsidRPr="00485124">
        <w:rPr>
          <w:i/>
          <w:szCs w:val="24"/>
        </w:rPr>
        <w:t>speculum</w:t>
      </w:r>
      <w:r w:rsidR="00CC334B">
        <w:rPr>
          <w:szCs w:val="24"/>
        </w:rPr>
        <w:t xml:space="preserve">) </w:t>
      </w:r>
      <w:r w:rsidR="08323F78">
        <w:rPr>
          <w:rStyle w:val="linemarker-marked-line"/>
        </w:rPr>
        <w:t>pohádky o Sněhurce</w:t>
      </w:r>
      <w:r w:rsidR="00CC334B">
        <w:rPr>
          <w:rStyle w:val="linemarker-marked-line"/>
        </w:rPr>
        <w:t xml:space="preserve">. Spekulativní modernisté obdivujují v tomto kouzelném zrcadle císařovy nové šaty, které zhotovil Rufus </w:t>
      </w:r>
      <w:r w:rsidR="08AF0A23">
        <w:rPr>
          <w:rStyle w:val="linemarker-marked-line"/>
        </w:rPr>
        <w:t xml:space="preserve">v modu </w:t>
      </w:r>
      <w:r w:rsidR="08AF0A23" w:rsidRPr="08AF0A23">
        <w:rPr>
          <w:rStyle w:val="linemarker-marked-line"/>
          <w:i/>
        </w:rPr>
        <w:t>semel</w:t>
      </w:r>
      <w:r w:rsidR="08AF0A23">
        <w:rPr>
          <w:rStyle w:val="linemarker-marked-line"/>
        </w:rPr>
        <w:t>‒</w:t>
      </w:r>
      <w:r w:rsidR="08AF0A23" w:rsidRPr="08AF0A23">
        <w:rPr>
          <w:rStyle w:val="linemarker-marked-line"/>
          <w:i/>
        </w:rPr>
        <w:t>semper</w:t>
      </w:r>
      <w:r w:rsidR="08323F78">
        <w:rPr>
          <w:rStyle w:val="linemarker-marked-line"/>
        </w:rPr>
        <w:t xml:space="preserve">. </w:t>
      </w:r>
      <w:r w:rsidR="00CC334B">
        <w:t>M</w:t>
      </w:r>
      <w:r w:rsidR="00916627" w:rsidRPr="00273106">
        <w:t xml:space="preserve">oderní </w:t>
      </w:r>
      <w:r w:rsidR="08DE186D">
        <w:t xml:space="preserve">spekulativní </w:t>
      </w:r>
      <w:r w:rsidR="00CC334B">
        <w:t>věda</w:t>
      </w:r>
      <w:r w:rsidR="00760C7B" w:rsidRPr="00273106">
        <w:t xml:space="preserve"> </w:t>
      </w:r>
      <w:r w:rsidR="00CC334B">
        <w:t xml:space="preserve">vzniká </w:t>
      </w:r>
      <w:r w:rsidR="000F7989">
        <w:t>nasvíce</w:t>
      </w:r>
      <w:r w:rsidR="08DE186D">
        <w:t>ním smyslu jsoucna od matematické abstrakce</w:t>
      </w:r>
      <w:r w:rsidR="00CC334B">
        <w:t xml:space="preserve">, což </w:t>
      </w:r>
      <w:r w:rsidR="002B5C44" w:rsidRPr="00273106">
        <w:t>ukazuje tento citát</w:t>
      </w:r>
      <w:r w:rsidR="006257BD">
        <w:fldChar w:fldCharType="begin"/>
      </w:r>
      <w:r w:rsidR="006257BD">
        <w:instrText xml:space="preserve"> XE "</w:instrText>
      </w:r>
      <w:r w:rsidR="006257BD" w:rsidRPr="00480EDC">
        <w:instrText>zjevování:</w:instrText>
      </w:r>
      <w:r w:rsidR="006257BD">
        <w:instrText xml:space="preserve">nasvícení zezadu" </w:instrText>
      </w:r>
      <w:r w:rsidR="006257BD">
        <w:fldChar w:fldCharType="end"/>
      </w:r>
      <w:r w:rsidR="002B5C44" w:rsidRPr="00273106">
        <w:t>.</w:t>
      </w:r>
    </w:p>
    <w:p w14:paraId="19D90990" w14:textId="35E43F35" w:rsidR="009604D0" w:rsidRPr="00273106" w:rsidRDefault="006C76E1" w:rsidP="00720854">
      <w:pPr>
        <w:pStyle w:val="Citace"/>
        <w:rPr>
          <w:noProof/>
          <w:lang w:val="cs-CZ"/>
        </w:rPr>
      </w:pPr>
      <w:r w:rsidRPr="00273106">
        <w:rPr>
          <w:noProof/>
          <w:lang w:val="cs-CZ"/>
        </w:rPr>
        <w:t>„</w:t>
      </w:r>
      <w:r w:rsidR="006A126A">
        <w:rPr>
          <w:noProof/>
          <w:lang w:val="cs-CZ"/>
        </w:rPr>
        <w:t>Některé příčiny jsou natolik determinovány</w:t>
      </w:r>
      <w:r w:rsidR="00720854" w:rsidRPr="00273106">
        <w:rPr>
          <w:noProof/>
          <w:lang w:val="cs-CZ"/>
        </w:rPr>
        <w:t xml:space="preserve"> </w:t>
      </w:r>
      <w:r w:rsidR="009966C8">
        <w:rPr>
          <w:noProof/>
          <w:lang w:val="cs-CZ"/>
        </w:rPr>
        <w:t>vzhledem k</w:t>
      </w:r>
      <w:r w:rsidR="006A126A">
        <w:rPr>
          <w:noProof/>
          <w:lang w:val="cs-CZ"/>
        </w:rPr>
        <w:t xml:space="preserve"> jejich </w:t>
      </w:r>
      <w:r w:rsidR="009966C8">
        <w:rPr>
          <w:noProof/>
          <w:lang w:val="cs-CZ"/>
        </w:rPr>
        <w:t>účinku, že jej</w:t>
      </w:r>
      <w:r w:rsidR="006A126A">
        <w:rPr>
          <w:noProof/>
          <w:lang w:val="cs-CZ"/>
        </w:rPr>
        <w:t xml:space="preserve">ich </w:t>
      </w:r>
      <w:r w:rsidR="009966C8">
        <w:rPr>
          <w:noProof/>
          <w:lang w:val="cs-CZ"/>
        </w:rPr>
        <w:t xml:space="preserve">působení </w:t>
      </w:r>
      <w:r w:rsidR="00720854" w:rsidRPr="00273106">
        <w:rPr>
          <w:noProof/>
          <w:lang w:val="cs-CZ"/>
        </w:rPr>
        <w:t>nelze nijak zabránit. Takový typ příčin je dán v matematice. Forma trojúhelníka nemůže být jiná vzhle</w:t>
      </w:r>
      <w:r w:rsidR="006A126A">
        <w:rPr>
          <w:noProof/>
          <w:lang w:val="cs-CZ"/>
        </w:rPr>
        <w:t xml:space="preserve">dem ke své habituální danosti. </w:t>
      </w:r>
      <w:r w:rsidR="006B2EF6">
        <w:rPr>
          <w:noProof/>
          <w:lang w:val="cs-CZ"/>
        </w:rPr>
        <w:t>Ale j</w:t>
      </w:r>
      <w:r w:rsidR="006A126A">
        <w:rPr>
          <w:noProof/>
          <w:lang w:val="cs-CZ"/>
        </w:rPr>
        <w:t>iná příčiny jsou determinovány</w:t>
      </w:r>
      <w:r w:rsidR="00720854" w:rsidRPr="00273106">
        <w:rPr>
          <w:noProof/>
          <w:lang w:val="cs-CZ"/>
        </w:rPr>
        <w:t xml:space="preserve"> vzhledem ke svému účinku</w:t>
      </w:r>
      <w:r w:rsidR="006B2EF6">
        <w:rPr>
          <w:noProof/>
          <w:lang w:val="cs-CZ"/>
        </w:rPr>
        <w:t xml:space="preserve"> tak, že </w:t>
      </w:r>
      <w:r w:rsidR="006A126A">
        <w:rPr>
          <w:noProof/>
          <w:lang w:val="cs-CZ"/>
        </w:rPr>
        <w:t>jim</w:t>
      </w:r>
      <w:r w:rsidR="00720854" w:rsidRPr="00273106">
        <w:rPr>
          <w:noProof/>
          <w:lang w:val="cs-CZ"/>
        </w:rPr>
        <w:t xml:space="preserve"> v tom </w:t>
      </w:r>
      <w:r w:rsidR="006B2EF6">
        <w:rPr>
          <w:noProof/>
          <w:lang w:val="cs-CZ"/>
        </w:rPr>
        <w:t xml:space="preserve">lze </w:t>
      </w:r>
      <w:r w:rsidR="00720854" w:rsidRPr="00273106">
        <w:rPr>
          <w:noProof/>
          <w:lang w:val="cs-CZ"/>
        </w:rPr>
        <w:t xml:space="preserve">zabránit, což je případ </w:t>
      </w:r>
      <w:r w:rsidR="00287131">
        <w:rPr>
          <w:noProof/>
          <w:lang w:val="cs-CZ"/>
        </w:rPr>
        <w:t>kauzality v přírodě</w:t>
      </w:r>
      <w:r w:rsidR="003970CE">
        <w:rPr>
          <w:noProof/>
          <w:lang w:val="cs-CZ"/>
        </w:rPr>
        <w:t>. Olivovník</w:t>
      </w:r>
      <w:r w:rsidR="00720854" w:rsidRPr="00273106">
        <w:rPr>
          <w:noProof/>
          <w:lang w:val="cs-CZ"/>
        </w:rPr>
        <w:t xml:space="preserve"> </w:t>
      </w:r>
      <w:r w:rsidR="003970CE">
        <w:rPr>
          <w:noProof/>
          <w:lang w:val="cs-CZ"/>
        </w:rPr>
        <w:t xml:space="preserve">plodí </w:t>
      </w:r>
      <w:r w:rsidR="00720854" w:rsidRPr="00273106">
        <w:rPr>
          <w:noProof/>
          <w:lang w:val="cs-CZ"/>
        </w:rPr>
        <w:t>olivu, ale není tomu vždy, protože tomu lze zabránit vinou neposlušnosti materie (</w:t>
      </w:r>
      <w:r w:rsidR="00720854" w:rsidRPr="00273106">
        <w:rPr>
          <w:i/>
          <w:noProof/>
          <w:lang w:val="cs-CZ"/>
        </w:rPr>
        <w:t>per inoboedientiam materiae</w:t>
      </w:r>
      <w:r w:rsidR="00720854" w:rsidRPr="00273106">
        <w:rPr>
          <w:noProof/>
          <w:lang w:val="cs-CZ"/>
        </w:rPr>
        <w:t xml:space="preserve">), jak praví Aristoteles v první knize </w:t>
      </w:r>
      <w:r w:rsidR="00720854" w:rsidRPr="00EC75EE">
        <w:rPr>
          <w:i/>
          <w:noProof/>
          <w:lang w:val="cs-CZ"/>
        </w:rPr>
        <w:t>Metafyziky</w:t>
      </w:r>
      <w:r w:rsidR="00720854" w:rsidRPr="00273106">
        <w:rPr>
          <w:noProof/>
          <w:lang w:val="cs-CZ"/>
        </w:rPr>
        <w:t xml:space="preserve">.“ </w:t>
      </w:r>
      <w:r w:rsidR="009604D0" w:rsidRPr="00273106">
        <w:rPr>
          <w:rStyle w:val="Znakapoznpodarou"/>
          <w:noProof/>
          <w:lang w:val="cs-CZ"/>
        </w:rPr>
        <w:footnoteReference w:id="420"/>
      </w:r>
    </w:p>
    <w:p w14:paraId="2138320C" w14:textId="0858FA34" w:rsidR="00000FC2" w:rsidRDefault="007B70FE" w:rsidP="00771708">
      <w:r w:rsidRPr="00273106">
        <w:t xml:space="preserve">Rufus nedefinuje vazbu mezi příčinou a účinkem na základě působení reálných substancí, ale na základě </w:t>
      </w:r>
      <w:r w:rsidR="08DE186D">
        <w:t xml:space="preserve">matematické </w:t>
      </w:r>
      <w:r w:rsidRPr="00273106">
        <w:t xml:space="preserve">nutnosti </w:t>
      </w:r>
      <w:r w:rsidR="08DE186D">
        <w:t xml:space="preserve">a </w:t>
      </w:r>
      <w:r w:rsidRPr="00273106">
        <w:t>kauzality</w:t>
      </w:r>
      <w:r w:rsidR="08DE186D">
        <w:t xml:space="preserve">, která </w:t>
      </w:r>
      <w:r w:rsidRPr="00273106">
        <w:t>nemůže být dán</w:t>
      </w:r>
      <w:r w:rsidR="08DE186D">
        <w:t>a</w:t>
      </w:r>
      <w:r w:rsidRPr="00273106">
        <w:t xml:space="preserve"> jinak (</w:t>
      </w:r>
      <w:r w:rsidRPr="00273106">
        <w:rPr>
          <w:i/>
        </w:rPr>
        <w:t>impossibile est ipsam prohiberi</w:t>
      </w:r>
      <w:r w:rsidRPr="00273106">
        <w:t xml:space="preserve">). </w:t>
      </w:r>
      <w:r w:rsidR="00382F26" w:rsidRPr="00273106">
        <w:t>Účinná kauzalita</w:t>
      </w:r>
      <w:r w:rsidR="006B4104" w:rsidRPr="00273106">
        <w:t xml:space="preserve"> reálné </w:t>
      </w:r>
      <w:r w:rsidR="00382F26" w:rsidRPr="00273106">
        <w:t>p</w:t>
      </w:r>
      <w:r w:rsidR="006C76E1" w:rsidRPr="00273106">
        <w:t xml:space="preserve">rvní substance je podřazena </w:t>
      </w:r>
      <w:r w:rsidR="00EC75EE">
        <w:t xml:space="preserve">kauzální </w:t>
      </w:r>
      <w:r w:rsidR="006C76E1" w:rsidRPr="00273106">
        <w:t xml:space="preserve">nutnosti </w:t>
      </w:r>
      <w:r w:rsidR="00C77469" w:rsidRPr="00273106">
        <w:t>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212EFD" w:rsidRPr="00273106">
        <w:t xml:space="preserve"> vzaté univočně pro poznání i pro realitu</w:t>
      </w:r>
      <w:r w:rsidR="00B1688C" w:rsidRPr="00273106">
        <w:t xml:space="preserve"> (</w:t>
      </w:r>
      <w:r w:rsidR="00C61204" w:rsidRPr="00273106">
        <w:rPr>
          <w:i/>
        </w:rPr>
        <w:t>tales causae sunt in mathematicis</w:t>
      </w:r>
      <w:r w:rsidR="00B1688C" w:rsidRPr="00273106">
        <w:t>)</w:t>
      </w:r>
      <w:r w:rsidR="00212EFD" w:rsidRPr="00273106">
        <w:t xml:space="preserve">. </w:t>
      </w:r>
      <w:r w:rsidR="006B4104" w:rsidRPr="00273106">
        <w:t xml:space="preserve">Proto má </w:t>
      </w:r>
      <w:r w:rsidR="00EC75EE">
        <w:t xml:space="preserve">z hlediska vědecké kauzality </w:t>
      </w:r>
      <w:r w:rsidR="006B4104" w:rsidRPr="00273106">
        <w:t xml:space="preserve">primát </w:t>
      </w:r>
      <w:r w:rsidR="00C16FFC">
        <w:t xml:space="preserve">matematická a geometrická </w:t>
      </w:r>
      <w:r w:rsidR="00090528" w:rsidRPr="00273106">
        <w:t>nutnost</w:t>
      </w:r>
      <w:r w:rsidR="00B83BB1" w:rsidRPr="00273106">
        <w:t xml:space="preserve"> (</w:t>
      </w:r>
      <w:r w:rsidR="00B83BB1" w:rsidRPr="00273106">
        <w:rPr>
          <w:i/>
        </w:rPr>
        <w:t>formam enim trianguli</w:t>
      </w:r>
      <w:r w:rsidR="00B83BB1" w:rsidRPr="00273106">
        <w:t>)</w:t>
      </w:r>
      <w:r w:rsidR="006B4104" w:rsidRPr="00273106">
        <w:t xml:space="preserve">, a ne z </w:t>
      </w:r>
      <w:r w:rsidR="00C16FFC">
        <w:t>nutnost vzatá z reálného stavu věcí ve světě</w:t>
      </w:r>
      <w:r w:rsidR="00090528" w:rsidRPr="00273106">
        <w:t xml:space="preserve">. </w:t>
      </w:r>
      <w:r w:rsidR="00EC75EE">
        <w:t xml:space="preserve">To je v rozporu s Aristotelovým výkladem, kde je obojí nutnost rodově odlišena podle matematické nebo metafyzické abstrakce. </w:t>
      </w:r>
      <w:r w:rsidR="08BE70B4" w:rsidRPr="00273106">
        <w:t>M</w:t>
      </w:r>
      <w:r w:rsidR="00C61204" w:rsidRPr="00273106">
        <w:t xml:space="preserve">atematicky </w:t>
      </w:r>
      <w:r w:rsidR="00212EFD" w:rsidRPr="00273106">
        <w:t xml:space="preserve">daná kauzalita </w:t>
      </w:r>
      <w:r w:rsidR="006C76E1" w:rsidRPr="00273106">
        <w:t xml:space="preserve">není </w:t>
      </w:r>
      <w:r w:rsidR="000E4AFA">
        <w:t xml:space="preserve">podle Rufuse </w:t>
      </w:r>
      <w:r w:rsidR="006C76E1" w:rsidRPr="00273106">
        <w:t>ničím rušena</w:t>
      </w:r>
      <w:r w:rsidR="00C61204" w:rsidRPr="00273106">
        <w:t xml:space="preserve"> (</w:t>
      </w:r>
      <w:r w:rsidR="00C61204" w:rsidRPr="00273106">
        <w:rPr>
          <w:i/>
        </w:rPr>
        <w:t>impossibile est ipsam prohiberi</w:t>
      </w:r>
      <w:r w:rsidR="00C61204" w:rsidRPr="00273106">
        <w:t>)</w:t>
      </w:r>
      <w:r w:rsidR="004B09AF" w:rsidRPr="00273106">
        <w:t>, na rozdíl od neposlušnosti materie (</w:t>
      </w:r>
      <w:r w:rsidR="004B09AF" w:rsidRPr="00273106">
        <w:rPr>
          <w:i/>
        </w:rPr>
        <w:t>inoboedientiam materiae</w:t>
      </w:r>
      <w:r w:rsidR="004B09AF" w:rsidRPr="00273106">
        <w:t>)</w:t>
      </w:r>
      <w:r w:rsidR="006C76E1" w:rsidRPr="00273106">
        <w:t xml:space="preserve">. </w:t>
      </w:r>
      <w:r w:rsidR="0814788D">
        <w:t xml:space="preserve">Rufus vůbec nevidí výše citovaná základní fakta </w:t>
      </w:r>
      <w:r w:rsidR="0814788D" w:rsidRPr="0814788D">
        <w:rPr>
          <w:i/>
        </w:rPr>
        <w:t>Druhých analytik</w:t>
      </w:r>
      <w:r w:rsidR="0814788D">
        <w:t xml:space="preserve">. Abstraktní logická kauzalita postupovaná v mysli se zásadně liší od metafyzické kauzality predikované od hyparchicky daných prvních substancí, které na sebe působí v realitě. </w:t>
      </w:r>
      <w:r w:rsidR="086F6086">
        <w:t>Tím dostala matematická pravda-</w:t>
      </w:r>
      <w:r w:rsidR="086F6086" w:rsidRPr="086F6086">
        <w:rPr>
          <w:i/>
        </w:rPr>
        <w:t>veritas</w:t>
      </w:r>
      <w:r w:rsidR="086F6086">
        <w:t xml:space="preserve"> dějinný impuls k moderní asimilaci a </w:t>
      </w:r>
      <w:r w:rsidR="08A41C62">
        <w:t xml:space="preserve">k </w:t>
      </w:r>
      <w:r w:rsidR="086F6086">
        <w:t>dobytí světa.</w:t>
      </w:r>
      <w:r w:rsidR="00583373">
        <w:t xml:space="preserve"> </w:t>
      </w:r>
      <w:r w:rsidR="00583373" w:rsidRPr="00583373">
        <w:t>Nové imperialistické myšlení odmít</w:t>
      </w:r>
      <w:r w:rsidR="00583373">
        <w:t>lo metafyzickou a „demokratickou“</w:t>
      </w:r>
      <w:r w:rsidR="00583373" w:rsidRPr="00583373">
        <w:t xml:space="preserve"> povinnost přijmout </w:t>
      </w:r>
      <w:r w:rsidR="00583373">
        <w:t>svět v jeho skutečné nutnosti</w:t>
      </w:r>
      <w:r w:rsidR="00583373" w:rsidRPr="00583373">
        <w:t>. Otevřelo cestu k mo</w:t>
      </w:r>
      <w:r w:rsidR="00583373">
        <w:t>derní a postmoderní pacifikaci „neposlušné materie“</w:t>
      </w:r>
      <w:r w:rsidR="00583373" w:rsidRPr="00583373">
        <w:t xml:space="preserve"> všeho druhu, včetně tzv. </w:t>
      </w:r>
      <w:r w:rsidR="00583373">
        <w:t>„</w:t>
      </w:r>
      <w:r w:rsidR="00583373" w:rsidRPr="00583373">
        <w:t>lidských zdrojů</w:t>
      </w:r>
      <w:r w:rsidR="00583373">
        <w:t>“</w:t>
      </w:r>
      <w:r w:rsidR="00583373" w:rsidRPr="00583373">
        <w:t>.</w:t>
      </w:r>
      <w:r w:rsidR="00583373">
        <w:t xml:space="preserve"> </w:t>
      </w:r>
      <w:r w:rsidR="08A41C62">
        <w:t>T</w:t>
      </w:r>
      <w:r w:rsidR="08B57112">
        <w:t>o</w:t>
      </w:r>
      <w:r w:rsidR="08A41C62">
        <w:t xml:space="preserve">to </w:t>
      </w:r>
      <w:r w:rsidR="08B57112">
        <w:t>nihili</w:t>
      </w:r>
      <w:r w:rsidR="089C2FE2">
        <w:t>sti</w:t>
      </w:r>
      <w:r w:rsidR="08B57112">
        <w:t xml:space="preserve">cké </w:t>
      </w:r>
      <w:r w:rsidR="08B57112" w:rsidRPr="08F450C6">
        <w:rPr>
          <w:i/>
        </w:rPr>
        <w:t>scibile</w:t>
      </w:r>
      <w:r w:rsidR="08B57112">
        <w:t xml:space="preserve"> </w:t>
      </w:r>
      <w:r w:rsidR="08A41C62">
        <w:t xml:space="preserve">postmoderního humanismu </w:t>
      </w:r>
      <w:r w:rsidR="08B57112">
        <w:t>p</w:t>
      </w:r>
      <w:r w:rsidR="08F450C6">
        <w:t xml:space="preserve">řesně </w:t>
      </w:r>
      <w:r w:rsidR="08A41C62">
        <w:t xml:space="preserve">označuje </w:t>
      </w:r>
      <w:r w:rsidR="08F450C6">
        <w:t>konkrétně definované</w:t>
      </w:r>
      <w:r w:rsidR="088611C0">
        <w:t xml:space="preserve"> </w:t>
      </w:r>
      <w:r w:rsidR="08B57112">
        <w:t xml:space="preserve">individuum </w:t>
      </w:r>
      <w:r w:rsidR="08F450C6">
        <w:t xml:space="preserve">odvozené od </w:t>
      </w:r>
      <w:r w:rsidR="088611C0">
        <w:t>specifické</w:t>
      </w:r>
      <w:r w:rsidR="08B57112">
        <w:t>ho</w:t>
      </w:r>
      <w:r w:rsidR="088611C0">
        <w:t xml:space="preserve"> </w:t>
      </w:r>
      <w:r w:rsidR="08B57112">
        <w:t>pojetí člověka-</w:t>
      </w:r>
      <w:r w:rsidR="088611C0">
        <w:t>mrtvoly</w:t>
      </w:r>
      <w:r w:rsidR="00B9398E" w:rsidRPr="00273106">
        <w:t>.</w:t>
      </w:r>
      <w:r w:rsidR="001E34A7" w:rsidRPr="00273106">
        <w:t xml:space="preserve"> </w:t>
      </w:r>
      <w:r w:rsidR="00F854EA">
        <w:t>V</w:t>
      </w:r>
      <w:r w:rsidR="005D7537" w:rsidRPr="00273106">
        <w:t xml:space="preserve">ýklad </w:t>
      </w:r>
      <w:r w:rsidR="00B358F3">
        <w:t xml:space="preserve">vědeckého poznání </w:t>
      </w:r>
      <w:r w:rsidR="00BC07C1" w:rsidRPr="00273106">
        <w:t xml:space="preserve">v rámci </w:t>
      </w:r>
      <w:r w:rsidR="00BC07C1" w:rsidRPr="00273106">
        <w:rPr>
          <w:i/>
        </w:rPr>
        <w:t>Oxfordian Fallacy</w:t>
      </w:r>
      <w:r w:rsidR="00BC07C1">
        <w:t xml:space="preserve"> </w:t>
      </w:r>
      <w:r w:rsidR="00344E39">
        <w:t xml:space="preserve">redukoval svět na </w:t>
      </w:r>
      <w:r w:rsidR="088B645A">
        <w:t xml:space="preserve">matematický kalkul, jehož analogická jednota založila mytopoetický svět </w:t>
      </w:r>
      <w:r w:rsidR="00B15BB5">
        <w:t xml:space="preserve">moderních </w:t>
      </w:r>
      <w:r w:rsidR="089A0292">
        <w:t>iluminátů</w:t>
      </w:r>
      <w:r w:rsidR="00344E39">
        <w:t xml:space="preserve">. </w:t>
      </w:r>
      <w:r w:rsidR="089A0292">
        <w:t xml:space="preserve">Nová </w:t>
      </w:r>
      <w:r w:rsidR="089A0292" w:rsidRPr="089A0292">
        <w:rPr>
          <w:i/>
        </w:rPr>
        <w:t>intelligentia spiritualis</w:t>
      </w:r>
      <w:r w:rsidR="089A0292">
        <w:t xml:space="preserve"> jménem jejího zakladatele tvrdí, že </w:t>
      </w:r>
      <w:r w:rsidR="006341D4">
        <w:t xml:space="preserve">materiálně danou </w:t>
      </w:r>
      <w:r w:rsidR="089A0292">
        <w:t xml:space="preserve">„neposlušnost“ reálného jsoucna </w:t>
      </w:r>
      <w:r w:rsidR="00BC07C1">
        <w:t>je třeba eliminovat</w:t>
      </w:r>
      <w:r w:rsidR="000730FD">
        <w:t xml:space="preserve"> a nahradit </w:t>
      </w:r>
      <w:r w:rsidR="006341D4">
        <w:t>„</w:t>
      </w:r>
      <w:r w:rsidR="000730FD">
        <w:t>konkrétnem</w:t>
      </w:r>
      <w:r w:rsidR="006341D4">
        <w:t>“</w:t>
      </w:r>
      <w:r w:rsidR="000730FD">
        <w:t>, čili aktuálně danou mocí demiurgického subjektu</w:t>
      </w:r>
      <w:r w:rsidR="005D7537" w:rsidRPr="00273106">
        <w:t>.</w:t>
      </w:r>
      <w:r w:rsidR="00344C1A" w:rsidRPr="00344C1A">
        <w:t xml:space="preserve"> </w:t>
      </w:r>
      <w:r w:rsidR="089A0292">
        <w:t xml:space="preserve">Tento citát ukazuje </w:t>
      </w:r>
      <w:r w:rsidR="089A0292" w:rsidRPr="089A0292">
        <w:rPr>
          <w:i/>
        </w:rPr>
        <w:t>Lichtung</w:t>
      </w:r>
      <w:r w:rsidR="089A0292">
        <w:rPr>
          <w:i/>
        </w:rPr>
        <w:fldChar w:fldCharType="begin"/>
      </w:r>
      <w:r w:rsidR="089A0292">
        <w:instrText xml:space="preserve"> XE "</w:instrText>
      </w:r>
      <w:r w:rsidR="089A0292" w:rsidRPr="08A83BCC">
        <w:rPr>
          <w:i/>
        </w:rPr>
        <w:instrText>Lichtung</w:instrText>
      </w:r>
      <w:r w:rsidR="089A0292">
        <w:instrText xml:space="preserve">:kapitalismus" </w:instrText>
      </w:r>
      <w:r w:rsidR="089A0292">
        <w:rPr>
          <w:i/>
        </w:rPr>
        <w:fldChar w:fldCharType="end"/>
      </w:r>
      <w:r w:rsidR="089A0292">
        <w:t xml:space="preserve"> původního místa pravdy a nepravdy budoucího kapitalismu, který </w:t>
      </w:r>
      <w:r w:rsidR="08520E45">
        <w:t xml:space="preserve">teologicky </w:t>
      </w:r>
      <w:r w:rsidR="00313D68">
        <w:t>rozvinul</w:t>
      </w:r>
      <w:r w:rsidR="089A0292">
        <w:t xml:space="preserve"> Bonave</w:t>
      </w:r>
      <w:r w:rsidR="08520E45">
        <w:t>n</w:t>
      </w:r>
      <w:r w:rsidR="089A0292">
        <w:t xml:space="preserve">tura a </w:t>
      </w:r>
      <w:r w:rsidR="08520E45">
        <w:t>ekonomicky založ</w:t>
      </w:r>
      <w:r w:rsidR="00313D68">
        <w:t>il</w:t>
      </w:r>
      <w:r w:rsidR="08520E45">
        <w:t xml:space="preserve"> </w:t>
      </w:r>
      <w:r w:rsidR="00000FC2">
        <w:t>Olivi.</w:t>
      </w:r>
    </w:p>
    <w:p w14:paraId="365090E9" w14:textId="21534A4F" w:rsidR="001F5714" w:rsidRPr="00273106" w:rsidRDefault="00BF165D" w:rsidP="00BF165D">
      <w:pPr>
        <w:ind w:firstLine="397"/>
      </w:pPr>
      <w:r w:rsidRPr="00BF165D">
        <w:t>Moderní subjekt, obdařený vůlí vytvořit ze světa matematické simulakrum a zkrotit neposlušnou hmotu,</w:t>
      </w:r>
      <w:r>
        <w:t xml:space="preserve"> ten </w:t>
      </w:r>
      <w:r w:rsidR="00344C1A" w:rsidRPr="00273106">
        <w:t>musí vyloučit smyslové poznání vázané na reálnou substanci (</w:t>
      </w:r>
      <w:r w:rsidR="00344C1A" w:rsidRPr="00273106">
        <w:rPr>
          <w:i/>
        </w:rPr>
        <w:t>passio materialis</w:t>
      </w:r>
      <w:r w:rsidR="00344C1A" w:rsidRPr="00273106">
        <w:t>) z procesu deduktivního poznání (</w:t>
      </w:r>
      <w:r w:rsidR="00344C1A" w:rsidRPr="00273106">
        <w:rPr>
          <w:i/>
        </w:rPr>
        <w:t>ipsa demonstratio</w:t>
      </w:r>
      <w:r w:rsidR="007A6052">
        <w:rPr>
          <w:i/>
        </w:rPr>
        <w:fldChar w:fldCharType="begin"/>
      </w:r>
      <w:r w:rsidR="007A6052">
        <w:instrText xml:space="preserve"> XE "</w:instrText>
      </w:r>
      <w:r w:rsidR="007A6052" w:rsidRPr="004E6075">
        <w:rPr>
          <w:i/>
        </w:rPr>
        <w:instrText>demonstratio:</w:instrText>
      </w:r>
      <w:r w:rsidR="006257BD" w:rsidRPr="006257BD">
        <w:instrText>Rufus</w:instrText>
      </w:r>
      <w:r w:rsidR="007A6052">
        <w:instrText xml:space="preserve">" </w:instrText>
      </w:r>
      <w:r w:rsidR="007A6052">
        <w:rPr>
          <w:i/>
        </w:rPr>
        <w:fldChar w:fldCharType="end"/>
      </w:r>
      <w:r w:rsidR="00344C1A" w:rsidRPr="00273106">
        <w:t>).</w:t>
      </w:r>
      <w:r w:rsidR="00C10C3C">
        <w:t xml:space="preserve"> </w:t>
      </w:r>
      <w:r w:rsidR="00C7577A">
        <w:t>Františkánský mystik a „šílený“ filos</w:t>
      </w:r>
      <w:r w:rsidR="00C7577A" w:rsidRPr="00C7577A">
        <w:t xml:space="preserve">of Rufus založil v Oxfordu školu </w:t>
      </w:r>
      <w:r w:rsidR="00C7577A" w:rsidRPr="00C7577A">
        <w:rPr>
          <w:i/>
        </w:rPr>
        <w:t>Modernorum</w:t>
      </w:r>
      <w:r w:rsidR="00C7577A" w:rsidRPr="00C7577A">
        <w:t xml:space="preserve"> a učinil tak první důležitý krok na cestě k britskému koloniálnímu imperialismu.</w:t>
      </w:r>
      <w:r w:rsidR="00C7577A">
        <w:t xml:space="preserve"> </w:t>
      </w:r>
      <w:r w:rsidR="00CE261A">
        <w:t>Vůle</w:t>
      </w:r>
      <w:r w:rsidR="00227497">
        <w:t xml:space="preserve"> k moci </w:t>
      </w:r>
      <w:r w:rsidR="009347D7">
        <w:t xml:space="preserve">vycházející z </w:t>
      </w:r>
      <w:r w:rsidR="008B7429">
        <w:t xml:space="preserve">moderního vědeckého poznání </w:t>
      </w:r>
      <w:r w:rsidR="006F395A">
        <w:t xml:space="preserve">je </w:t>
      </w:r>
      <w:r w:rsidR="00152576">
        <w:t>postaven</w:t>
      </w:r>
      <w:r w:rsidR="006F395A">
        <w:t xml:space="preserve">a </w:t>
      </w:r>
      <w:r w:rsidR="00A71112">
        <w:t xml:space="preserve">mimo reálný svět. Objektivní dvojník světa </w:t>
      </w:r>
      <w:r w:rsidR="00441B26">
        <w:t xml:space="preserve">a jemu poddaný šílený </w:t>
      </w:r>
      <w:r w:rsidR="006C6768">
        <w:t>nositel (</w:t>
      </w:r>
      <w:r w:rsidR="00491A18" w:rsidRPr="006C6768">
        <w:rPr>
          <w:i/>
        </w:rPr>
        <w:t>sub</w:t>
      </w:r>
      <w:r w:rsidR="006C6768" w:rsidRPr="006C6768">
        <w:rPr>
          <w:i/>
        </w:rPr>
        <w:t>iectum</w:t>
      </w:r>
      <w:r w:rsidR="006C6768">
        <w:t xml:space="preserve">) </w:t>
      </w:r>
      <w:r w:rsidR="00491A18">
        <w:t xml:space="preserve">jsou dány </w:t>
      </w:r>
      <w:r w:rsidR="00CE261A">
        <w:t xml:space="preserve">dávno před </w:t>
      </w:r>
      <w:r w:rsidR="006F395A">
        <w:t>postm</w:t>
      </w:r>
      <w:r w:rsidR="0091417E">
        <w:t>oderní metafyzikou Descarta</w:t>
      </w:r>
      <w:r w:rsidR="083D7E4A">
        <w:t xml:space="preserve"> </w:t>
      </w:r>
      <w:r w:rsidR="08336F59">
        <w:t xml:space="preserve">a </w:t>
      </w:r>
      <w:r w:rsidR="006F395A">
        <w:t xml:space="preserve">nihilistickým </w:t>
      </w:r>
      <w:r w:rsidR="0091417E">
        <w:t xml:space="preserve">humanismem </w:t>
      </w:r>
      <w:r w:rsidR="08336F59">
        <w:t>Foucau</w:t>
      </w:r>
      <w:r w:rsidR="0091417E">
        <w:t>lta</w:t>
      </w:r>
      <w:r w:rsidR="008B7429">
        <w:t>.</w:t>
      </w:r>
      <w:r w:rsidR="00CE261A" w:rsidRPr="00CE261A">
        <w:t xml:space="preserve"> </w:t>
      </w:r>
      <w:r w:rsidR="009015A0">
        <w:t>Moderní dělení a třídění konkrétní reality jde k esenci jako poslednímu nedělitelnému individuu, a k němu se ve druhém kroku přidá reálná kauza</w:t>
      </w:r>
      <w:r w:rsidR="001212FF">
        <w:t xml:space="preserve">lita. Tím se analyticky pojaté </w:t>
      </w:r>
      <w:r w:rsidR="009015A0" w:rsidRPr="00CC332D">
        <w:rPr>
          <w:i/>
        </w:rPr>
        <w:t>scibile</w:t>
      </w:r>
      <w:r w:rsidR="009015A0">
        <w:t xml:space="preserve"> </w:t>
      </w:r>
      <w:r w:rsidR="002A0B00">
        <w:t xml:space="preserve">moderní spekulativní </w:t>
      </w:r>
      <w:r w:rsidR="009015A0">
        <w:t xml:space="preserve">vědy stane </w:t>
      </w:r>
      <w:r w:rsidR="002972ED">
        <w:t xml:space="preserve">sofistickou </w:t>
      </w:r>
      <w:r w:rsidR="001212FF">
        <w:t xml:space="preserve">první substancí v podobě </w:t>
      </w:r>
      <w:r w:rsidR="009015A0" w:rsidRPr="00CC332D">
        <w:rPr>
          <w:i/>
        </w:rPr>
        <w:t>concretum</w:t>
      </w:r>
      <w:r w:rsidR="003330AF">
        <w:rPr>
          <w:i/>
        </w:rPr>
        <w:fldChar w:fldCharType="begin"/>
      </w:r>
      <w:r w:rsidR="003330AF">
        <w:instrText xml:space="preserve"> XE "</w:instrText>
      </w:r>
      <w:r w:rsidR="006257BD">
        <w:instrText>substance:</w:instrText>
      </w:r>
      <w:r w:rsidR="003330AF" w:rsidRPr="00B759F5">
        <w:rPr>
          <w:i/>
        </w:rPr>
        <w:instrText>concretum</w:instrText>
      </w:r>
      <w:r w:rsidR="003330AF">
        <w:instrText xml:space="preserve">" </w:instrText>
      </w:r>
      <w:r w:rsidR="003330AF">
        <w:rPr>
          <w:i/>
        </w:rPr>
        <w:fldChar w:fldCharType="end"/>
      </w:r>
      <w:r w:rsidR="009015A0">
        <w:t>. Definice vědeckého poznání je založena na nasvícení jsoucna zezadu</w:t>
      </w:r>
      <w:r w:rsidR="001212FF">
        <w:t xml:space="preserve"> a tím vytvoří simulákrum reality v podobě konkrétního určení věci</w:t>
      </w:r>
      <w:r w:rsidR="009015A0">
        <w:t xml:space="preserve">. </w:t>
      </w:r>
      <w:r w:rsidR="001212FF">
        <w:t>Tím vzniklo paranoické vidění reality</w:t>
      </w:r>
      <w:r w:rsidR="00012491">
        <w:t xml:space="preserve"> a jejího simulákra</w:t>
      </w:r>
      <w:r w:rsidR="001212FF">
        <w:t xml:space="preserve">, které odmítli Alvernus, Bacon a Albert. </w:t>
      </w:r>
      <w:r w:rsidR="005570D2">
        <w:t xml:space="preserve">Nominálně pojatá esence definovaná podle </w:t>
      </w:r>
      <w:r w:rsidR="005570D2" w:rsidRPr="00E178AB">
        <w:rPr>
          <w:i/>
        </w:rPr>
        <w:t>Oxfordian Fallacy</w:t>
      </w:r>
      <w:r w:rsidR="005570D2">
        <w:rPr>
          <w:i/>
        </w:rPr>
        <w:t xml:space="preserve"> </w:t>
      </w:r>
      <w:r w:rsidR="005570D2">
        <w:t>zabrala roli středního členu soudu</w:t>
      </w:r>
      <w:r w:rsidR="00924399">
        <w:rPr>
          <w:i/>
        </w:rPr>
        <w:fldChar w:fldCharType="begin"/>
      </w:r>
      <w:r w:rsidR="00924399">
        <w:instrText xml:space="preserve"> XE "</w:instrText>
      </w:r>
      <w:r w:rsidR="00924399" w:rsidRPr="0015798D">
        <w:rPr>
          <w:i/>
        </w:rPr>
        <w:instrText>Oxfordian Fallacy:</w:instrText>
      </w:r>
      <w:r w:rsidR="006257BD" w:rsidRPr="006257BD">
        <w:instrText>esence</w:instrText>
      </w:r>
      <w:r w:rsidR="006257BD">
        <w:instrText xml:space="preserve"> </w:instrText>
      </w:r>
      <w:r w:rsidR="00924399">
        <w:instrText xml:space="preserve">" </w:instrText>
      </w:r>
      <w:r w:rsidR="00924399">
        <w:rPr>
          <w:i/>
        </w:rPr>
        <w:fldChar w:fldCharType="end"/>
      </w:r>
      <w:r w:rsidR="009015A0">
        <w:t xml:space="preserve">. </w:t>
      </w:r>
      <w:r w:rsidR="00CE261A">
        <w:t>Následující c</w:t>
      </w:r>
      <w:r w:rsidR="00CE261A" w:rsidRPr="00273106">
        <w:t xml:space="preserve">itace je zajímavá tím, že ukazuje vědecký důkaz jako </w:t>
      </w:r>
      <w:r w:rsidR="00CE261A">
        <w:t>souběh dvou paralelních jevů vztažených</w:t>
      </w:r>
      <w:r w:rsidR="00CE261A" w:rsidRPr="00273106">
        <w:t xml:space="preserve"> buď k </w:t>
      </w:r>
      <w:r w:rsidR="00CE261A">
        <w:t xml:space="preserve">ideálnímu </w:t>
      </w:r>
      <w:r w:rsidR="00CE261A" w:rsidRPr="00273106">
        <w:rPr>
          <w:i/>
        </w:rPr>
        <w:t>definitio</w:t>
      </w:r>
      <w:r w:rsidR="00CE261A" w:rsidRPr="00273106">
        <w:t xml:space="preserve"> nebo k </w:t>
      </w:r>
      <w:r w:rsidR="00CE261A">
        <w:t xml:space="preserve">reálnému </w:t>
      </w:r>
      <w:r w:rsidR="00CE261A" w:rsidRPr="00273106">
        <w:rPr>
          <w:i/>
        </w:rPr>
        <w:t>passio</w:t>
      </w:r>
      <w:r w:rsidR="00CE261A" w:rsidRPr="00273106">
        <w:t>.</w:t>
      </w:r>
      <w:r w:rsidR="00376338">
        <w:t xml:space="preserve"> </w:t>
      </w:r>
      <w:r w:rsidR="00D205F6" w:rsidRPr="00D205F6">
        <w:t xml:space="preserve">Model vědy založený na pravdě jako </w:t>
      </w:r>
      <w:r w:rsidR="00D205F6" w:rsidRPr="00D205F6">
        <w:rPr>
          <w:i/>
        </w:rPr>
        <w:t>coaequatio</w:t>
      </w:r>
      <w:r w:rsidR="00D205F6" w:rsidRPr="00D205F6">
        <w:t xml:space="preserve"> sleduje synchronicitu dvojí "konkrétní" predikace.</w:t>
      </w:r>
    </w:p>
    <w:p w14:paraId="4BD40BF1" w14:textId="77777777" w:rsidR="00560F12" w:rsidRPr="00273106" w:rsidRDefault="001F5714" w:rsidP="008C7C71">
      <w:pPr>
        <w:pStyle w:val="Citace"/>
        <w:rPr>
          <w:noProof/>
          <w:lang w:val="cs-CZ"/>
        </w:rPr>
      </w:pPr>
      <w:r w:rsidRPr="00273106">
        <w:rPr>
          <w:noProof/>
          <w:lang w:val="cs-CZ"/>
        </w:rPr>
        <w:t>„</w:t>
      </w:r>
      <w:r w:rsidR="00560F12" w:rsidRPr="00273106">
        <w:rPr>
          <w:noProof/>
          <w:lang w:val="cs-CZ"/>
        </w:rPr>
        <w:t xml:space="preserve">Působení v materii má definici danou z rodu a </w:t>
      </w:r>
      <w:r w:rsidR="004D15B8">
        <w:rPr>
          <w:noProof/>
          <w:lang w:val="cs-CZ"/>
        </w:rPr>
        <w:t>diference</w:t>
      </w:r>
      <w:r w:rsidR="00253C6D">
        <w:rPr>
          <w:noProof/>
          <w:lang w:val="cs-CZ"/>
        </w:rPr>
        <w:t>, ale t</w:t>
      </w:r>
      <w:r w:rsidR="004D15B8">
        <w:rPr>
          <w:noProof/>
          <w:lang w:val="cs-CZ"/>
        </w:rPr>
        <w:t xml:space="preserve">akto definované působení vypovídá </w:t>
      </w:r>
      <w:r w:rsidR="086E5AA4">
        <w:rPr>
          <w:noProof/>
          <w:lang w:val="cs-CZ"/>
        </w:rPr>
        <w:t xml:space="preserve">jen </w:t>
      </w:r>
      <w:r w:rsidR="004D15B8">
        <w:rPr>
          <w:noProof/>
          <w:lang w:val="cs-CZ"/>
        </w:rPr>
        <w:t xml:space="preserve">o </w:t>
      </w:r>
      <w:r w:rsidR="086E5AA4">
        <w:rPr>
          <w:noProof/>
          <w:lang w:val="cs-CZ"/>
        </w:rPr>
        <w:t xml:space="preserve">esenci a jejím </w:t>
      </w:r>
      <w:r w:rsidR="004D15B8">
        <w:rPr>
          <w:noProof/>
          <w:lang w:val="cs-CZ"/>
        </w:rPr>
        <w:t xml:space="preserve">reálném </w:t>
      </w:r>
      <w:r w:rsidR="086E5AA4">
        <w:rPr>
          <w:noProof/>
          <w:lang w:val="cs-CZ"/>
        </w:rPr>
        <w:t xml:space="preserve">působení </w:t>
      </w:r>
      <w:r w:rsidR="00082116">
        <w:rPr>
          <w:noProof/>
          <w:lang w:val="cs-CZ"/>
        </w:rPr>
        <w:t>(</w:t>
      </w:r>
      <w:r w:rsidR="00082116" w:rsidRPr="00082116">
        <w:rPr>
          <w:i/>
        </w:rPr>
        <w:t>essentiam eandem cum passione</w:t>
      </w:r>
      <w:r w:rsidR="00082116">
        <w:rPr>
          <w:noProof/>
          <w:lang w:val="cs-CZ"/>
        </w:rPr>
        <w:t>)</w:t>
      </w:r>
      <w:r w:rsidR="008C7C71" w:rsidRPr="00273106">
        <w:rPr>
          <w:noProof/>
          <w:lang w:val="cs-CZ"/>
        </w:rPr>
        <w:t xml:space="preserve">, </w:t>
      </w:r>
      <w:r w:rsidR="00253C6D">
        <w:rPr>
          <w:noProof/>
          <w:lang w:val="cs-CZ"/>
        </w:rPr>
        <w:t>ale nepodává definici příčiny</w:t>
      </w:r>
      <w:r w:rsidR="008C7C71" w:rsidRPr="00273106">
        <w:rPr>
          <w:noProof/>
          <w:lang w:val="cs-CZ"/>
        </w:rPr>
        <w:t xml:space="preserve">. </w:t>
      </w:r>
      <w:r w:rsidR="00560F12" w:rsidRPr="00273106">
        <w:rPr>
          <w:noProof/>
          <w:lang w:val="cs-CZ"/>
        </w:rPr>
        <w:t xml:space="preserve"> </w:t>
      </w:r>
      <w:r w:rsidR="008C7C71" w:rsidRPr="00273106">
        <w:rPr>
          <w:noProof/>
          <w:lang w:val="cs-CZ"/>
        </w:rPr>
        <w:t>Jiná definice vypovídá o působící kauze, ale nikoliv o</w:t>
      </w:r>
      <w:r w:rsidR="004F7BEC">
        <w:rPr>
          <w:noProof/>
          <w:lang w:val="cs-CZ"/>
        </w:rPr>
        <w:t xml:space="preserve"> její </w:t>
      </w:r>
      <w:r w:rsidR="086E5AA4">
        <w:rPr>
          <w:noProof/>
          <w:lang w:val="cs-CZ"/>
        </w:rPr>
        <w:t xml:space="preserve">esenci </w:t>
      </w:r>
      <w:r w:rsidR="008B7429">
        <w:rPr>
          <w:noProof/>
          <w:lang w:val="cs-CZ"/>
        </w:rPr>
        <w:t>(</w:t>
      </w:r>
      <w:r w:rsidR="008B7429" w:rsidRPr="008B7429">
        <w:rPr>
          <w:i/>
        </w:rPr>
        <w:t>dicit causam passionis, et non essentiam</w:t>
      </w:r>
      <w:r w:rsidR="008B7429">
        <w:rPr>
          <w:noProof/>
          <w:lang w:val="cs-CZ"/>
        </w:rPr>
        <w:t>)</w:t>
      </w:r>
      <w:r w:rsidR="008C7C71" w:rsidRPr="00273106">
        <w:rPr>
          <w:noProof/>
          <w:lang w:val="cs-CZ"/>
        </w:rPr>
        <w:t xml:space="preserve">. </w:t>
      </w:r>
      <w:r w:rsidR="004F7BEC">
        <w:rPr>
          <w:noProof/>
          <w:lang w:val="cs-CZ"/>
        </w:rPr>
        <w:t xml:space="preserve">První určení </w:t>
      </w:r>
      <w:r w:rsidR="086E5AA4">
        <w:rPr>
          <w:noProof/>
          <w:lang w:val="cs-CZ"/>
        </w:rPr>
        <w:t xml:space="preserve">toho, co náleží </w:t>
      </w:r>
      <w:r w:rsidR="008C7C71" w:rsidRPr="00273106">
        <w:rPr>
          <w:noProof/>
          <w:lang w:val="cs-CZ"/>
        </w:rPr>
        <w:t>subjekt</w:t>
      </w:r>
      <w:r w:rsidR="004F7BEC">
        <w:rPr>
          <w:noProof/>
          <w:lang w:val="cs-CZ"/>
        </w:rPr>
        <w:t xml:space="preserve">u </w:t>
      </w:r>
      <w:r w:rsidR="008543CA">
        <w:rPr>
          <w:noProof/>
          <w:lang w:val="cs-CZ"/>
        </w:rPr>
        <w:t xml:space="preserve">jako principu </w:t>
      </w:r>
      <w:r w:rsidR="086E5AA4">
        <w:rPr>
          <w:noProof/>
          <w:lang w:val="cs-CZ"/>
        </w:rPr>
        <w:t xml:space="preserve">poznání </w:t>
      </w:r>
      <w:r w:rsidR="004F7BEC">
        <w:rPr>
          <w:noProof/>
          <w:lang w:val="cs-CZ"/>
        </w:rPr>
        <w:t xml:space="preserve">je dáno v </w:t>
      </w:r>
      <w:r w:rsidR="008C7C71" w:rsidRPr="00273106">
        <w:rPr>
          <w:noProof/>
          <w:lang w:val="cs-CZ"/>
        </w:rPr>
        <w:t>deduktivní</w:t>
      </w:r>
      <w:r w:rsidR="004F7BEC">
        <w:rPr>
          <w:noProof/>
          <w:lang w:val="cs-CZ"/>
        </w:rPr>
        <w:t>m</w:t>
      </w:r>
      <w:r w:rsidR="008C7C71" w:rsidRPr="00273106">
        <w:rPr>
          <w:noProof/>
          <w:lang w:val="cs-CZ"/>
        </w:rPr>
        <w:t xml:space="preserve"> soud</w:t>
      </w:r>
      <w:r w:rsidR="004F7BEC">
        <w:rPr>
          <w:noProof/>
          <w:lang w:val="cs-CZ"/>
        </w:rPr>
        <w:t xml:space="preserve">u. Druhé určení kauzality </w:t>
      </w:r>
      <w:r w:rsidR="008C7C71" w:rsidRPr="00273106">
        <w:rPr>
          <w:noProof/>
          <w:lang w:val="cs-CZ"/>
        </w:rPr>
        <w:t>se netýká</w:t>
      </w:r>
      <w:r w:rsidR="004F7BEC">
        <w:rPr>
          <w:noProof/>
          <w:lang w:val="cs-CZ"/>
        </w:rPr>
        <w:t xml:space="preserve"> jen vědeckého poznání</w:t>
      </w:r>
      <w:r w:rsidR="008C7C71" w:rsidRPr="00273106">
        <w:rPr>
          <w:noProof/>
          <w:lang w:val="cs-CZ"/>
        </w:rPr>
        <w:t xml:space="preserve">, ale </w:t>
      </w:r>
      <w:r w:rsidR="004F7BEC">
        <w:rPr>
          <w:noProof/>
          <w:lang w:val="cs-CZ"/>
        </w:rPr>
        <w:t xml:space="preserve">i reálného </w:t>
      </w:r>
      <w:r w:rsidR="008C7C71" w:rsidRPr="00273106">
        <w:rPr>
          <w:noProof/>
          <w:lang w:val="cs-CZ"/>
        </w:rPr>
        <w:t>účinku</w:t>
      </w:r>
      <w:r w:rsidR="086E5AA4">
        <w:rPr>
          <w:noProof/>
          <w:lang w:val="cs-CZ"/>
        </w:rPr>
        <w:t xml:space="preserve"> esence</w:t>
      </w:r>
      <w:r w:rsidR="083D7E4A">
        <w:rPr>
          <w:noProof/>
          <w:lang w:val="cs-CZ"/>
        </w:rPr>
        <w:t xml:space="preserve"> (</w:t>
      </w:r>
      <w:r w:rsidR="083D7E4A" w:rsidRPr="083D7E4A">
        <w:rPr>
          <w:i/>
        </w:rPr>
        <w:t>non est tantum subiecti, sed et passionis</w:t>
      </w:r>
      <w:r w:rsidR="083D7E4A">
        <w:rPr>
          <w:noProof/>
          <w:lang w:val="cs-CZ"/>
        </w:rPr>
        <w:t>)</w:t>
      </w:r>
      <w:r w:rsidR="008C7C71" w:rsidRPr="00273106">
        <w:rPr>
          <w:noProof/>
          <w:lang w:val="cs-CZ"/>
        </w:rPr>
        <w:t xml:space="preserve">. Takto je dán celek </w:t>
      </w:r>
      <w:r w:rsidR="004F7BEC">
        <w:rPr>
          <w:noProof/>
          <w:lang w:val="cs-CZ"/>
        </w:rPr>
        <w:t xml:space="preserve">deduktivního </w:t>
      </w:r>
      <w:r w:rsidR="008C7C71" w:rsidRPr="00273106">
        <w:rPr>
          <w:noProof/>
          <w:lang w:val="cs-CZ"/>
        </w:rPr>
        <w:t xml:space="preserve">poznání </w:t>
      </w:r>
      <w:r w:rsidR="004F7BEC">
        <w:rPr>
          <w:noProof/>
          <w:lang w:val="cs-CZ"/>
        </w:rPr>
        <w:t xml:space="preserve">a </w:t>
      </w:r>
      <w:r w:rsidR="00D8032C">
        <w:rPr>
          <w:noProof/>
          <w:lang w:val="cs-CZ"/>
        </w:rPr>
        <w:t xml:space="preserve">výklad </w:t>
      </w:r>
      <w:r w:rsidR="00AA4909">
        <w:rPr>
          <w:noProof/>
          <w:lang w:val="cs-CZ"/>
        </w:rPr>
        <w:t>vědeckého soudu</w:t>
      </w:r>
      <w:r w:rsidR="008C7C71" w:rsidRPr="00273106">
        <w:rPr>
          <w:noProof/>
          <w:lang w:val="cs-CZ"/>
        </w:rPr>
        <w:t xml:space="preserve">, </w:t>
      </w:r>
      <w:r w:rsidR="00AA4909">
        <w:rPr>
          <w:noProof/>
          <w:lang w:val="cs-CZ"/>
        </w:rPr>
        <w:t>ale každá část o něm vypovídá z jiné perspektivy poznání (</w:t>
      </w:r>
      <w:r w:rsidR="00AA4909" w:rsidRPr="00AA4909">
        <w:rPr>
          <w:i/>
        </w:rPr>
        <w:t>positione differens</w:t>
      </w:r>
      <w:r w:rsidR="00AA4909">
        <w:rPr>
          <w:noProof/>
          <w:lang w:val="cs-CZ"/>
        </w:rPr>
        <w:t>)</w:t>
      </w:r>
      <w:r w:rsidR="008C7C71" w:rsidRPr="00273106">
        <w:rPr>
          <w:noProof/>
          <w:lang w:val="cs-CZ"/>
        </w:rPr>
        <w:t xml:space="preserve">.“ </w:t>
      </w:r>
      <w:r w:rsidR="00560F12" w:rsidRPr="00273106">
        <w:rPr>
          <w:rStyle w:val="Znakapoznpodarou"/>
          <w:noProof/>
          <w:lang w:val="cs-CZ"/>
        </w:rPr>
        <w:footnoteReference w:id="421"/>
      </w:r>
    </w:p>
    <w:p w14:paraId="28D9D4C3" w14:textId="64010872" w:rsidR="00CC16E7" w:rsidRDefault="00C23B17" w:rsidP="00E03FF0">
      <w:r w:rsidRPr="00273106">
        <w:t>Rufu</w:t>
      </w:r>
      <w:r w:rsidR="006E222E" w:rsidRPr="00273106">
        <w:t xml:space="preserve">s </w:t>
      </w:r>
      <w:r w:rsidR="00D205F6">
        <w:t xml:space="preserve">definuje vědu </w:t>
      </w:r>
      <w:r w:rsidR="000940CE">
        <w:t xml:space="preserve">jako </w:t>
      </w:r>
      <w:r w:rsidR="006E222E" w:rsidRPr="00273106">
        <w:t xml:space="preserve">poznání </w:t>
      </w:r>
      <w:r w:rsidR="08D1326C">
        <w:t>esence v modu univerzálního hylemorfismu</w:t>
      </w:r>
      <w:r w:rsidR="00D205F6">
        <w:t xml:space="preserve">. Esence je </w:t>
      </w:r>
      <w:r w:rsidR="08D1326C">
        <w:t xml:space="preserve">těleso </w:t>
      </w:r>
      <w:r w:rsidR="08C23700">
        <w:t xml:space="preserve">třetího druhu </w:t>
      </w:r>
      <w:r w:rsidR="00D205F6">
        <w:t xml:space="preserve">působící v realitě </w:t>
      </w:r>
      <w:r w:rsidR="006E222E" w:rsidRPr="00273106">
        <w:t>(</w:t>
      </w:r>
      <w:r w:rsidR="006E222E" w:rsidRPr="00273106">
        <w:rPr>
          <w:i/>
        </w:rPr>
        <w:t>essentiam eandem cum passione</w:t>
      </w:r>
      <w:r w:rsidR="00CF7ADC" w:rsidRPr="00273106">
        <w:t xml:space="preserve">). </w:t>
      </w:r>
      <w:r w:rsidR="005C68D2">
        <w:t xml:space="preserve">Vyšší forma analytického poznání principů nazírá </w:t>
      </w:r>
      <w:r w:rsidR="006E222E" w:rsidRPr="00273106">
        <w:t>střední člen soudu v esenciálně dané definici</w:t>
      </w:r>
      <w:r w:rsidR="00E571D0" w:rsidRPr="00273106">
        <w:t>. T</w:t>
      </w:r>
      <w:r w:rsidR="006E222E" w:rsidRPr="00273106">
        <w:t xml:space="preserve">ím </w:t>
      </w:r>
      <w:r w:rsidR="00E571D0" w:rsidRPr="00273106">
        <w:t xml:space="preserve">se </w:t>
      </w:r>
      <w:r w:rsidR="00091866">
        <w:t xml:space="preserve">predikuje logicky pojatá </w:t>
      </w:r>
      <w:r w:rsidR="00E571D0" w:rsidRPr="00273106">
        <w:t>kauzalita (</w:t>
      </w:r>
      <w:r w:rsidR="00E571D0" w:rsidRPr="00273106">
        <w:rPr>
          <w:i/>
        </w:rPr>
        <w:t>dicit causam passionis</w:t>
      </w:r>
      <w:r w:rsidR="008E76B1">
        <w:t xml:space="preserve">) </w:t>
      </w:r>
      <w:r w:rsidR="08C12EBE">
        <w:t>mimo existující první substanci</w:t>
      </w:r>
      <w:r w:rsidR="006E222E" w:rsidRPr="00273106">
        <w:t xml:space="preserve">. </w:t>
      </w:r>
      <w:r w:rsidR="00AC17E3" w:rsidRPr="00273106">
        <w:t>T</w:t>
      </w:r>
      <w:r w:rsidR="00091866">
        <w:t>akto daná kauzalita třetího druhu</w:t>
      </w:r>
      <w:r w:rsidR="006E222E" w:rsidRPr="00273106">
        <w:t xml:space="preserve"> vyjadřuje </w:t>
      </w:r>
      <w:r w:rsidR="08966D9E">
        <w:t>zdánlivou metafyzickou nutnost</w:t>
      </w:r>
      <w:r w:rsidR="088A7278">
        <w:t xml:space="preserve"> obsaženou ve středním členu vědeckého soudu (</w:t>
      </w:r>
      <w:r w:rsidR="088A7278" w:rsidRPr="088A7278">
        <w:rPr>
          <w:i/>
        </w:rPr>
        <w:t>medium</w:t>
      </w:r>
      <w:r w:rsidR="088A7278">
        <w:t xml:space="preserve">). Rufus tuto kauzální nutnost převedl na logickou esenci a tu definoval jako </w:t>
      </w:r>
      <w:r w:rsidR="006E222E" w:rsidRPr="00273106">
        <w:t>formální</w:t>
      </w:r>
      <w:r w:rsidR="088A7278">
        <w:t xml:space="preserve"> základ</w:t>
      </w:r>
      <w:r w:rsidR="08966D9E">
        <w:t xml:space="preserve"> </w:t>
      </w:r>
      <w:r w:rsidR="088A7278">
        <w:t>a princip</w:t>
      </w:r>
      <w:r w:rsidR="08966D9E">
        <w:t xml:space="preserve"> </w:t>
      </w:r>
      <w:r w:rsidR="006E222E" w:rsidRPr="00273106">
        <w:t>vědeckého důkazu (</w:t>
      </w:r>
      <w:r w:rsidR="006E222E" w:rsidRPr="00273106">
        <w:rPr>
          <w:i/>
        </w:rPr>
        <w:t>subiecti tantum principium est demonstrationis</w:t>
      </w:r>
      <w:r w:rsidR="006E222E" w:rsidRPr="00273106">
        <w:t xml:space="preserve">). </w:t>
      </w:r>
      <w:r w:rsidR="004F7C58" w:rsidRPr="004F7C58">
        <w:t xml:space="preserve">Esence působí v oblasti kauzality </w:t>
      </w:r>
      <w:r w:rsidR="004F7C58">
        <w:t xml:space="preserve">již </w:t>
      </w:r>
      <w:r w:rsidR="004F7C58" w:rsidRPr="004F7C58">
        <w:t xml:space="preserve">trvale a nahrazuje dočasný účinek první substance. </w:t>
      </w:r>
      <w:r w:rsidR="004F7C58">
        <w:t xml:space="preserve">Moderna vytvořila nový </w:t>
      </w:r>
      <w:r w:rsidR="00443880">
        <w:t>deduktivní syllogismus</w:t>
      </w:r>
      <w:r w:rsidR="004F7C58" w:rsidRPr="004F7C58">
        <w:t xml:space="preserve">. Nutnost a univerzalita </w:t>
      </w:r>
      <w:r w:rsidR="00443880">
        <w:t>v moderním vědeckém důkazu vycházej</w:t>
      </w:r>
      <w:r w:rsidR="004F7C58" w:rsidRPr="004F7C58">
        <w:t xml:space="preserve">í z celé </w:t>
      </w:r>
      <w:r w:rsidR="00443880">
        <w:t xml:space="preserve">legie moderních jsoucen třetího druhu </w:t>
      </w:r>
      <w:r w:rsidR="004F7C58" w:rsidRPr="004F7C58">
        <w:t>(</w:t>
      </w:r>
      <w:r w:rsidR="004F7C58" w:rsidRPr="004F7C58">
        <w:rPr>
          <w:i/>
        </w:rPr>
        <w:t>numerus, unum, concretum, individuum</w:t>
      </w:r>
      <w:r w:rsidR="004F7C58" w:rsidRPr="004F7C58">
        <w:t>) a tato mytologie určuje poznání skutečné první substance (</w:t>
      </w:r>
      <w:r w:rsidR="004F7C58" w:rsidRPr="004F7C58">
        <w:rPr>
          <w:i/>
        </w:rPr>
        <w:t>sic est tota virtus demonstrationis et sic ipsa demonstratio</w:t>
      </w:r>
      <w:r w:rsidR="004F7C58" w:rsidRPr="004F7C58">
        <w:t>).</w:t>
      </w:r>
      <w:r w:rsidR="004F7C58">
        <w:t xml:space="preserve"> </w:t>
      </w:r>
      <w:r w:rsidR="0075593D">
        <w:t>Subjektem vědeckého soudu není predikace kauzality z první substance</w:t>
      </w:r>
      <w:r w:rsidR="00457321">
        <w:t>, protože ta funguje v celém schématu jen jako dodatečný akcident</w:t>
      </w:r>
      <w:r w:rsidR="00583F09">
        <w:t xml:space="preserve"> daný kontingentně v realitě</w:t>
      </w:r>
      <w:r w:rsidR="08D1326C">
        <w:t xml:space="preserve"> (</w:t>
      </w:r>
      <w:r w:rsidR="08D1326C" w:rsidRPr="08D1326C">
        <w:rPr>
          <w:i/>
        </w:rPr>
        <w:t>positione differens</w:t>
      </w:r>
      <w:r w:rsidR="08D1326C">
        <w:t xml:space="preserve">). </w:t>
      </w:r>
      <w:r w:rsidR="00EA2C57">
        <w:t>Empirické poznání tvoří v rámci pravdy-</w:t>
      </w:r>
      <w:r w:rsidR="00EA2C57" w:rsidRPr="00932D5A">
        <w:rPr>
          <w:i/>
        </w:rPr>
        <w:t>coaequatio</w:t>
      </w:r>
      <w:r w:rsidR="00433872">
        <w:rPr>
          <w:i/>
        </w:rPr>
        <w:fldChar w:fldCharType="begin"/>
      </w:r>
      <w:r w:rsidR="00433872">
        <w:instrText xml:space="preserve"> XE "</w:instrText>
      </w:r>
      <w:r w:rsidR="006257BD">
        <w:instrText>pravda:</w:instrText>
      </w:r>
      <w:r w:rsidR="00433872" w:rsidRPr="00E11E1F">
        <w:rPr>
          <w:i/>
        </w:rPr>
        <w:instrText>coaequatio</w:instrText>
      </w:r>
      <w:r w:rsidR="00433872">
        <w:instrText xml:space="preserve">" </w:instrText>
      </w:r>
      <w:r w:rsidR="00433872">
        <w:rPr>
          <w:i/>
        </w:rPr>
        <w:fldChar w:fldCharType="end"/>
      </w:r>
      <w:r w:rsidR="00EA2C57">
        <w:t xml:space="preserve"> jen doplněk již dané dedukce, což ukazuje závěr citátu. M</w:t>
      </w:r>
      <w:r w:rsidR="00EA2C57" w:rsidRPr="00273106">
        <w:t xml:space="preserve">ateriální substance </w:t>
      </w:r>
      <w:r w:rsidR="00EA2C57">
        <w:t>už nezakládá podstatu poznání</w:t>
      </w:r>
      <w:r w:rsidR="00840DC7">
        <w:t xml:space="preserve">. </w:t>
      </w:r>
      <w:r w:rsidR="00840DC7" w:rsidRPr="00840DC7">
        <w:t>Skutečná kauzalita pouze potvrzuje již danou objektivní kauzalitu (</w:t>
      </w:r>
      <w:r w:rsidR="00840DC7" w:rsidRPr="00840DC7">
        <w:rPr>
          <w:i/>
        </w:rPr>
        <w:t>dicit causam passionis, et non essentiam</w:t>
      </w:r>
      <w:r w:rsidR="00840DC7">
        <w:t>). K</w:t>
      </w:r>
      <w:r w:rsidR="00840DC7" w:rsidRPr="00840DC7">
        <w:t xml:space="preserve">auzalita v novém </w:t>
      </w:r>
      <w:r w:rsidR="007D2A8F">
        <w:t xml:space="preserve">a krásném </w:t>
      </w:r>
      <w:r w:rsidR="00840DC7" w:rsidRPr="00840DC7">
        <w:t xml:space="preserve">světě </w:t>
      </w:r>
      <w:r w:rsidR="00840DC7">
        <w:t xml:space="preserve">iluminátů </w:t>
      </w:r>
      <w:r w:rsidR="00840DC7" w:rsidRPr="00840DC7">
        <w:t>si zachovává svou esenciální hypostatickou povahu</w:t>
      </w:r>
      <w:r w:rsidR="00840DC7">
        <w:t xml:space="preserve"> nezávisle na realitě</w:t>
      </w:r>
      <w:r w:rsidR="00840DC7" w:rsidRPr="00840DC7">
        <w:t>.</w:t>
      </w:r>
      <w:r w:rsidR="00840DC7">
        <w:t xml:space="preserve"> </w:t>
      </w:r>
      <w:r w:rsidR="00AC3638">
        <w:t>Rufus nebere reálné ka</w:t>
      </w:r>
      <w:r w:rsidR="088A7278">
        <w:t>u</w:t>
      </w:r>
      <w:r w:rsidR="00AC3638">
        <w:t>z</w:t>
      </w:r>
      <w:r w:rsidR="088A7278">
        <w:t xml:space="preserve">ální působení jako základ vědeckého soudu, ale logickou definici tohoto působení. Tato definice je kompletní, </w:t>
      </w:r>
      <w:r w:rsidR="085B2B6A">
        <w:t xml:space="preserve">zatímco </w:t>
      </w:r>
      <w:r w:rsidR="08DB1719">
        <w:t>empirické působení je neúplné.</w:t>
      </w:r>
      <w:r w:rsidR="00500E11">
        <w:t xml:space="preserve"> Sofististika </w:t>
      </w:r>
      <w:r w:rsidR="08205DC2" w:rsidRPr="089A64D0">
        <w:rPr>
          <w:i/>
        </w:rPr>
        <w:t>Druhých analytik</w:t>
      </w:r>
      <w:r w:rsidR="08205DC2">
        <w:t xml:space="preserve"> je v tom, že reálné zatmění Slunce bylo vyměněno za </w:t>
      </w:r>
      <w:r w:rsidR="00500E11">
        <w:t>„</w:t>
      </w:r>
      <w:r w:rsidR="08205DC2">
        <w:t>individuální</w:t>
      </w:r>
      <w:r w:rsidR="00500E11">
        <w:t>“</w:t>
      </w:r>
      <w:r w:rsidR="08205DC2">
        <w:t xml:space="preserve"> a </w:t>
      </w:r>
      <w:r w:rsidR="00500E11">
        <w:t>„</w:t>
      </w:r>
      <w:r w:rsidR="08205DC2">
        <w:t>konkrétní</w:t>
      </w:r>
      <w:r w:rsidR="00500E11">
        <w:t>“</w:t>
      </w:r>
      <w:r w:rsidR="08205DC2">
        <w:t xml:space="preserve"> jsoucno třetího druhu. Nové „slunce“ jako dvojník reálného Slunce má esenciálně určenou kauzalitu (</w:t>
      </w:r>
      <w:r w:rsidR="08205DC2" w:rsidRPr="00273106">
        <w:rPr>
          <w:i/>
        </w:rPr>
        <w:t>dicit causam passionis</w:t>
      </w:r>
      <w:r w:rsidR="08205DC2">
        <w:t xml:space="preserve">). Po této sofistické záměně první substance za jsoucno třetího druhu už </w:t>
      </w:r>
      <w:r w:rsidR="00D020FE">
        <w:t xml:space="preserve">nově platí </w:t>
      </w:r>
      <w:r w:rsidR="08205DC2">
        <w:t xml:space="preserve">definice vědeckého soudu </w:t>
      </w:r>
      <w:r w:rsidR="00057DD7">
        <w:rPr>
          <w:i/>
        </w:rPr>
        <w:t>ex inmediatis</w:t>
      </w:r>
      <w:r w:rsidR="08205DC2">
        <w:t xml:space="preserve"> podle </w:t>
      </w:r>
      <w:r w:rsidR="08205DC2" w:rsidRPr="089A64D0">
        <w:rPr>
          <w:i/>
        </w:rPr>
        <w:t>Druhých analytik</w:t>
      </w:r>
      <w:r w:rsidR="084A3978">
        <w:t xml:space="preserve">. </w:t>
      </w:r>
      <w:r w:rsidR="08EC6780">
        <w:t>Tuto záměnu poprvé provedl Grosseteste (kap. 3.1</w:t>
      </w:r>
      <w:r w:rsidR="084A3978">
        <w:t xml:space="preserve">.1). </w:t>
      </w:r>
      <w:r w:rsidR="00EA2C57">
        <w:t>I</w:t>
      </w:r>
      <w:r w:rsidR="00EA2C57" w:rsidRPr="00273106">
        <w:t xml:space="preserve">ndividualizované poznání singulární věci </w:t>
      </w:r>
      <w:r w:rsidR="00583F09">
        <w:t xml:space="preserve">sekundárně </w:t>
      </w:r>
      <w:r w:rsidR="00EA2C57" w:rsidRPr="00273106">
        <w:t xml:space="preserve">završuje </w:t>
      </w:r>
      <w:r w:rsidR="00EA2C57">
        <w:t xml:space="preserve">autonomní </w:t>
      </w:r>
      <w:r w:rsidR="00EA2C57" w:rsidRPr="00273106">
        <w:t xml:space="preserve">dedukci </w:t>
      </w:r>
      <w:r w:rsidR="00583F09">
        <w:t xml:space="preserve">primárně </w:t>
      </w:r>
      <w:r w:rsidR="00EA2C57" w:rsidRPr="00273106">
        <w:t>danou na úrovni působení univerzálních a nutných esencí.</w:t>
      </w:r>
      <w:r w:rsidR="08D172B3">
        <w:t xml:space="preserve"> Akcident</w:t>
      </w:r>
      <w:r w:rsidR="00EA2C57">
        <w:t xml:space="preserve">ální vztah k reálné kauzalitě na úrovni prvních substancí dělá poznání kompletní, což jen zdánlivě odpovídá liteře </w:t>
      </w:r>
      <w:r w:rsidR="00EA2C57" w:rsidRPr="00583F09">
        <w:rPr>
          <w:i/>
        </w:rPr>
        <w:t>Druhých analytik</w:t>
      </w:r>
      <w:r w:rsidR="00EA2C57">
        <w:t xml:space="preserve">. </w:t>
      </w:r>
      <w:r w:rsidR="08627D2A">
        <w:t xml:space="preserve">Předešlá kapitola ukázala, že </w:t>
      </w:r>
      <w:r w:rsidR="00EA2C57">
        <w:t>Rufusova p</w:t>
      </w:r>
      <w:r w:rsidR="00583F09">
        <w:t xml:space="preserve">redikace </w:t>
      </w:r>
      <w:r w:rsidR="00C40C73" w:rsidRPr="00C40C73">
        <w:rPr>
          <w:i/>
        </w:rPr>
        <w:t>medium et causa idem</w:t>
      </w:r>
      <w:r w:rsidR="00C40C73">
        <w:t xml:space="preserve"> </w:t>
      </w:r>
      <w:r w:rsidR="006257BD">
        <w:rPr>
          <w:i/>
        </w:rPr>
        <w:fldChar w:fldCharType="begin"/>
      </w:r>
      <w:r w:rsidR="006257BD">
        <w:instrText xml:space="preserve"> XE "kauzalita:</w:instrText>
      </w:r>
      <w:r w:rsidR="006257BD" w:rsidRPr="006257BD">
        <w:instrText>Rufus</w:instrText>
      </w:r>
      <w:r w:rsidR="006257BD">
        <w:instrText xml:space="preserve">" </w:instrText>
      </w:r>
      <w:r w:rsidR="006257BD">
        <w:rPr>
          <w:i/>
        </w:rPr>
        <w:fldChar w:fldCharType="end"/>
      </w:r>
      <w:r w:rsidR="00C40C73">
        <w:t xml:space="preserve">patří primárně esenci. </w:t>
      </w:r>
      <w:r w:rsidR="00DC1A75" w:rsidRPr="00273106">
        <w:t xml:space="preserve">Podle </w:t>
      </w:r>
      <w:r w:rsidR="006D2A54" w:rsidRPr="00583F09">
        <w:rPr>
          <w:i/>
        </w:rPr>
        <w:t>Druhých analytik</w:t>
      </w:r>
      <w:r w:rsidR="006D2A54">
        <w:t xml:space="preserve"> </w:t>
      </w:r>
      <w:r w:rsidR="00B85359" w:rsidRPr="00273106">
        <w:t xml:space="preserve">je </w:t>
      </w:r>
      <w:r w:rsidR="006C05E7">
        <w:t>esenciální definice středního členu soudu možná</w:t>
      </w:r>
      <w:r w:rsidR="00B85359" w:rsidRPr="00273106">
        <w:t xml:space="preserve"> pouze v matematice a geometrii, ale nikoliv </w:t>
      </w:r>
      <w:r w:rsidR="00BC7E61">
        <w:t>při poznávání reality prvních substancí</w:t>
      </w:r>
      <w:r w:rsidR="00583F09">
        <w:t xml:space="preserve"> daných aktuálně v realitě</w:t>
      </w:r>
      <w:r w:rsidR="00B85359" w:rsidRPr="00273106">
        <w:t xml:space="preserve">. </w:t>
      </w:r>
      <w:r w:rsidR="08D172B3">
        <w:t>O zatmění víme proto, že existují astronomická těle</w:t>
      </w:r>
      <w:r w:rsidR="08595081">
        <w:t>sa</w:t>
      </w:r>
      <w:r w:rsidR="08D172B3">
        <w:t xml:space="preserve"> a ne pro</w:t>
      </w:r>
      <w:r w:rsidR="08595081">
        <w:t>to</w:t>
      </w:r>
      <w:r w:rsidR="08D172B3">
        <w:t xml:space="preserve">, že existuje matematika nebo dokonce jen myslící subjekt. </w:t>
      </w:r>
      <w:r w:rsidR="00DC1A75" w:rsidRPr="00273106">
        <w:t>Rufus vzal m</w:t>
      </w:r>
      <w:r w:rsidR="00DC4039" w:rsidRPr="00273106">
        <w:t>atematickou</w:t>
      </w:r>
      <w:r w:rsidR="00DC1A75" w:rsidRPr="00273106">
        <w:t xml:space="preserve"> nutnost univočně s </w:t>
      </w:r>
      <w:r w:rsidR="00B44076">
        <w:t xml:space="preserve">metafyzickou </w:t>
      </w:r>
      <w:r w:rsidR="08763A8A">
        <w:t xml:space="preserve">predikovanou kauzalitou </w:t>
      </w:r>
      <w:r w:rsidR="00DC1A75" w:rsidRPr="00273106">
        <w:t xml:space="preserve">reálné věci, a tím </w:t>
      </w:r>
      <w:r w:rsidR="00DC4039" w:rsidRPr="00273106">
        <w:t>za</w:t>
      </w:r>
      <w:r w:rsidR="00865912">
        <w:t>ložil typ analytického</w:t>
      </w:r>
      <w:r w:rsidR="00DC1A75" w:rsidRPr="00273106">
        <w:t xml:space="preserve"> vědeckého důkazu. </w:t>
      </w:r>
      <w:r w:rsidR="00CB29BE">
        <w:t>Vrcholní předs</w:t>
      </w:r>
      <w:r w:rsidR="00583F09">
        <w:t>tavitelé školy prvního averroism</w:t>
      </w:r>
      <w:r w:rsidR="00CB29BE">
        <w:t xml:space="preserve">u dobře viděli, že </w:t>
      </w:r>
      <w:r w:rsidR="00707797" w:rsidRPr="00273106">
        <w:t xml:space="preserve">formální určení </w:t>
      </w:r>
      <w:r w:rsidR="008C4071">
        <w:t xml:space="preserve">vědeckého soudu </w:t>
      </w:r>
      <w:r w:rsidR="00CB29BE">
        <w:t xml:space="preserve">ve škole </w:t>
      </w:r>
      <w:r w:rsidR="00CB29BE" w:rsidRPr="00CB29BE">
        <w:rPr>
          <w:i/>
        </w:rPr>
        <w:t>Modernorum</w:t>
      </w:r>
      <w:r w:rsidR="00CB29BE">
        <w:t xml:space="preserve"> </w:t>
      </w:r>
      <w:r w:rsidR="008C4071">
        <w:t>si vys</w:t>
      </w:r>
      <w:r w:rsidR="00707797" w:rsidRPr="00273106">
        <w:t>tačí</w:t>
      </w:r>
      <w:r w:rsidR="00C54DA3" w:rsidRPr="00273106">
        <w:t xml:space="preserve"> samo o sobě</w:t>
      </w:r>
      <w:r w:rsidR="00CB29BE">
        <w:t xml:space="preserve"> a </w:t>
      </w:r>
      <w:r w:rsidR="004822CB">
        <w:t>j</w:t>
      </w:r>
      <w:r w:rsidR="0048320C">
        <w:t>e</w:t>
      </w:r>
      <w:r w:rsidR="004822CB">
        <w:t>j</w:t>
      </w:r>
      <w:r w:rsidR="0048320C">
        <w:t xml:space="preserve">ich pojetí </w:t>
      </w:r>
      <w:r w:rsidR="0048320C" w:rsidRPr="00545EB3">
        <w:rPr>
          <w:i/>
        </w:rPr>
        <w:t>demonstratio</w:t>
      </w:r>
      <w:r w:rsidR="0048320C">
        <w:t xml:space="preserve"> </w:t>
      </w:r>
      <w:r w:rsidR="00237B10">
        <w:t xml:space="preserve">nepotřebuje vnější </w:t>
      </w:r>
      <w:r w:rsidR="00CB29BE">
        <w:t xml:space="preserve">realitu </w:t>
      </w:r>
      <w:r w:rsidR="00237B10">
        <w:t>k pravdivému závěru</w:t>
      </w:r>
      <w:r w:rsidR="00707797" w:rsidRPr="00273106">
        <w:t xml:space="preserve">. </w:t>
      </w:r>
      <w:r w:rsidR="008C4071">
        <w:t xml:space="preserve">Záměna druhé triády prvních principů za první dokonala </w:t>
      </w:r>
      <w:r w:rsidR="00DF0A6F">
        <w:t xml:space="preserve">v Rufusově </w:t>
      </w:r>
      <w:r w:rsidR="008C4071">
        <w:t xml:space="preserve">verzi </w:t>
      </w:r>
      <w:r w:rsidR="008C4071" w:rsidRPr="008C4071">
        <w:rPr>
          <w:i/>
        </w:rPr>
        <w:t>Oxfordian Fallacy</w:t>
      </w:r>
      <w:r w:rsidR="008C4071">
        <w:t xml:space="preserve"> zatmění prv</w:t>
      </w:r>
      <w:r w:rsidR="005A0BBB">
        <w:t>ní substance</w:t>
      </w:r>
      <w:r w:rsidR="00E27ABC">
        <w:fldChar w:fldCharType="begin"/>
      </w:r>
      <w:r w:rsidR="00E27ABC">
        <w:instrText xml:space="preserve"> XE "</w:instrText>
      </w:r>
      <w:r w:rsidR="00E27ABC" w:rsidRPr="00C27681">
        <w:instrText>zatmění</w:instrText>
      </w:r>
      <w:r w:rsidR="006257BD">
        <w:instrText>:</w:instrText>
      </w:r>
      <w:r w:rsidR="00E27ABC" w:rsidRPr="00C27681">
        <w:instrText>substance</w:instrText>
      </w:r>
      <w:r w:rsidR="00E27ABC">
        <w:instrText xml:space="preserve">" </w:instrText>
      </w:r>
      <w:r w:rsidR="00E27ABC">
        <w:fldChar w:fldCharType="end"/>
      </w:r>
      <w:r w:rsidR="005A0BBB">
        <w:t xml:space="preserve"> ve vědeckém soudu.</w:t>
      </w:r>
      <w:r w:rsidR="0023292A">
        <w:t xml:space="preserve"> </w:t>
      </w:r>
      <w:r w:rsidR="0023292A" w:rsidRPr="00273106">
        <w:t>Rufusův koncept</w:t>
      </w:r>
      <w:r w:rsidR="0023292A" w:rsidRPr="00273106">
        <w:rPr>
          <w:rStyle w:val="linemarker-marked-line"/>
        </w:rPr>
        <w:t xml:space="preserve"> pravdy zakládá identitu dvou </w:t>
      </w:r>
      <w:r w:rsidR="0023292A" w:rsidRPr="00273106">
        <w:t xml:space="preserve">porretánských </w:t>
      </w:r>
      <w:r w:rsidR="004B4D52" w:rsidRPr="004B4D52">
        <w:rPr>
          <w:rStyle w:val="linemarker-marked-line"/>
        </w:rPr>
        <w:t>species</w:t>
      </w:r>
      <w:r w:rsidR="0023292A" w:rsidRPr="00273106">
        <w:rPr>
          <w:rStyle w:val="linemarker-marked-line"/>
        </w:rPr>
        <w:t>-hypostází (</w:t>
      </w:r>
      <w:r w:rsidR="0023292A" w:rsidRPr="00273106">
        <w:rPr>
          <w:i/>
        </w:rPr>
        <w:t>coaequatio</w:t>
      </w:r>
      <w:r w:rsidR="0023292A" w:rsidRPr="00273106">
        <w:rPr>
          <w:rStyle w:val="linemarker-marked-line"/>
        </w:rPr>
        <w:t>)</w:t>
      </w:r>
      <w:r w:rsidR="0023292A">
        <w:rPr>
          <w:rStyle w:val="linemarker-marked-line"/>
        </w:rPr>
        <w:t xml:space="preserve"> a j</w:t>
      </w:r>
      <w:r w:rsidR="0023292A" w:rsidRPr="00273106">
        <w:rPr>
          <w:rStyle w:val="linemarker-marked-line"/>
        </w:rPr>
        <w:t xml:space="preserve">ejich univoční jednota se inspiruje matematickou úměrou známou z díla </w:t>
      </w:r>
      <w:r w:rsidR="0023292A" w:rsidRPr="00273106">
        <w:rPr>
          <w:i/>
        </w:rPr>
        <w:t>Dialogus Ratii et Everardi</w:t>
      </w:r>
      <w:r w:rsidR="087677EF">
        <w:t xml:space="preserve"> (kap. 1</w:t>
      </w:r>
      <w:r w:rsidR="0023292A" w:rsidRPr="00273106">
        <w:t xml:space="preserve">.5). </w:t>
      </w:r>
      <w:r w:rsidR="0023292A" w:rsidRPr="00273106">
        <w:rPr>
          <w:rStyle w:val="linemarker-marked-line"/>
        </w:rPr>
        <w:t xml:space="preserve">Znovu je ve hře odlišný statut </w:t>
      </w:r>
      <w:r w:rsidR="004B4D52" w:rsidRPr="004B4D52">
        <w:rPr>
          <w:rStyle w:val="linemarker-marked-line"/>
        </w:rPr>
        <w:t>species</w:t>
      </w:r>
      <w:r w:rsidR="0023292A" w:rsidRPr="00273106">
        <w:rPr>
          <w:rStyle w:val="linemarker-marked-line"/>
        </w:rPr>
        <w:t xml:space="preserve"> ve druhém averroismu, který zakl</w:t>
      </w:r>
      <w:r w:rsidR="00CC16E7">
        <w:rPr>
          <w:rStyle w:val="linemarker-marked-line"/>
        </w:rPr>
        <w:t xml:space="preserve">ádá analogickou jednotu jsoucna. Tuto </w:t>
      </w:r>
      <w:r w:rsidR="0023292A">
        <w:rPr>
          <w:rStyle w:val="linemarker-marked-line"/>
        </w:rPr>
        <w:t xml:space="preserve">metodu </w:t>
      </w:r>
      <w:r w:rsidR="00CC16E7">
        <w:rPr>
          <w:rStyle w:val="linemarker-marked-line"/>
        </w:rPr>
        <w:t>danou jako „</w:t>
      </w:r>
      <w:r w:rsidR="0023292A" w:rsidRPr="00273106">
        <w:rPr>
          <w:i/>
        </w:rPr>
        <w:t>medio modo</w:t>
      </w:r>
      <w:r w:rsidR="00CC16E7">
        <w:t>“</w:t>
      </w:r>
      <w:r w:rsidR="006257BD">
        <w:rPr>
          <w:i/>
        </w:rPr>
        <w:fldChar w:fldCharType="begin"/>
      </w:r>
      <w:r w:rsidR="006257BD">
        <w:instrText xml:space="preserve"> XE "predikace:</w:instrText>
      </w:r>
      <w:r w:rsidR="006257BD" w:rsidRPr="00B22C8B">
        <w:rPr>
          <w:i/>
        </w:rPr>
        <w:instrText>medio modo</w:instrText>
      </w:r>
      <w:r w:rsidR="006257BD">
        <w:instrText xml:space="preserve">" </w:instrText>
      </w:r>
      <w:r w:rsidR="006257BD">
        <w:rPr>
          <w:i/>
        </w:rPr>
        <w:fldChar w:fldCharType="end"/>
      </w:r>
      <w:r w:rsidR="0023292A">
        <w:t xml:space="preserve"> </w:t>
      </w:r>
      <w:r w:rsidR="00CC16E7">
        <w:t xml:space="preserve">(kap. 3.3.1) fedrovala škola postavená na </w:t>
      </w:r>
      <w:r w:rsidR="0023292A" w:rsidRPr="003F483C">
        <w:rPr>
          <w:i/>
        </w:rPr>
        <w:t>Oxfordian Fallacy</w:t>
      </w:r>
      <w:r w:rsidR="00CC16E7">
        <w:t>.</w:t>
      </w:r>
    </w:p>
    <w:p w14:paraId="314696EA" w14:textId="77777777" w:rsidR="00720234" w:rsidRDefault="003D7A59" w:rsidP="00355631">
      <w:pPr>
        <w:ind w:firstLine="397"/>
        <w:rPr>
          <w:rStyle w:val="linemarker-marked-line"/>
        </w:rPr>
      </w:pPr>
      <w:r w:rsidRPr="00273106">
        <w:rPr>
          <w:rStyle w:val="linemarker-marked-line"/>
        </w:rPr>
        <w:t xml:space="preserve">Klíčovou otázkou pro pojetí pravdy jako adekvace </w:t>
      </w:r>
      <w:r>
        <w:rPr>
          <w:rStyle w:val="linemarker-marked-line"/>
        </w:rPr>
        <w:t xml:space="preserve">byl </w:t>
      </w:r>
      <w:r w:rsidRPr="00273106">
        <w:rPr>
          <w:rStyle w:val="linemarker-marked-line"/>
        </w:rPr>
        <w:t xml:space="preserve">statut </w:t>
      </w:r>
      <w:r w:rsidR="004B4D52" w:rsidRPr="004B4D52">
        <w:rPr>
          <w:rStyle w:val="linemarker-marked-line"/>
        </w:rPr>
        <w:t>species</w:t>
      </w:r>
      <w:r w:rsidR="00B75C8A">
        <w:rPr>
          <w:rStyle w:val="linemarker-marked-line"/>
        </w:rPr>
        <w:t>. P</w:t>
      </w:r>
      <w:r>
        <w:rPr>
          <w:rStyle w:val="linemarker-marked-line"/>
        </w:rPr>
        <w:t xml:space="preserve">rvní </w:t>
      </w:r>
      <w:r w:rsidRPr="00273106">
        <w:rPr>
          <w:rStyle w:val="linemarker-marked-line"/>
        </w:rPr>
        <w:t>anonym</w:t>
      </w:r>
      <w:r>
        <w:rPr>
          <w:rStyle w:val="linemarker-marked-line"/>
        </w:rPr>
        <w:t xml:space="preserve">ní spisy ze školy prvního averroismu </w:t>
      </w:r>
      <w:r w:rsidR="00B75C8A">
        <w:rPr>
          <w:rStyle w:val="linemarker-marked-line"/>
        </w:rPr>
        <w:t xml:space="preserve">po 1220 </w:t>
      </w:r>
      <w:r>
        <w:rPr>
          <w:rStyle w:val="linemarker-marked-line"/>
        </w:rPr>
        <w:t xml:space="preserve">navázaly </w:t>
      </w:r>
      <w:r w:rsidR="00B75C8A">
        <w:rPr>
          <w:rStyle w:val="linemarker-marked-line"/>
        </w:rPr>
        <w:t xml:space="preserve">species </w:t>
      </w:r>
      <w:r>
        <w:rPr>
          <w:rStyle w:val="linemarker-marked-line"/>
        </w:rPr>
        <w:t>na</w:t>
      </w:r>
      <w:r w:rsidRPr="00273106">
        <w:t xml:space="preserve"> </w:t>
      </w:r>
      <w:r w:rsidR="002E3B62">
        <w:t>Averroes</w:t>
      </w:r>
      <w:r w:rsidRPr="00273106">
        <w:t xml:space="preserve">ův </w:t>
      </w:r>
      <w:r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C422E4">
        <w:rPr>
          <w:i/>
        </w:rPr>
        <w:instrText>:</w:instrText>
      </w:r>
      <w:r w:rsidR="002E3B62">
        <w:instrText>Averroes</w:instrText>
      </w:r>
      <w:r w:rsidR="009D323B">
        <w:instrText xml:space="preserve">" </w:instrText>
      </w:r>
      <w:r w:rsidR="009D323B">
        <w:rPr>
          <w:i/>
        </w:rPr>
        <w:fldChar w:fldCharType="end"/>
      </w:r>
      <w:r w:rsidR="00090C08">
        <w:rPr>
          <w:rStyle w:val="linemarker-marked-line"/>
        </w:rPr>
        <w:t xml:space="preserve">. </w:t>
      </w:r>
      <w:r w:rsidR="00090C08" w:rsidRPr="00090C08">
        <w:rPr>
          <w:rStyle w:val="linemarker-marked-line"/>
        </w:rPr>
        <w:t xml:space="preserve">Receptivita </w:t>
      </w:r>
      <w:r w:rsidR="00090C08" w:rsidRPr="00273106">
        <w:rPr>
          <w:rStyle w:val="linemarker-marked-line"/>
        </w:rPr>
        <w:t xml:space="preserve">nemateriálního </w:t>
      </w:r>
      <w:r w:rsidR="00090C08" w:rsidRPr="00090C08">
        <w:rPr>
          <w:rStyle w:val="linemarker-marked-line"/>
        </w:rPr>
        <w:t xml:space="preserve">intelektu </w:t>
      </w:r>
      <w:r w:rsidR="00090C08">
        <w:rPr>
          <w:rStyle w:val="linemarker-marked-line"/>
        </w:rPr>
        <w:t xml:space="preserve">dostala </w:t>
      </w:r>
      <w:r w:rsidR="00090C08" w:rsidRPr="00090C08">
        <w:rPr>
          <w:rStyle w:val="linemarker-marked-line"/>
        </w:rPr>
        <w:t>v Blundově škol</w:t>
      </w:r>
      <w:r w:rsidR="00090C08">
        <w:rPr>
          <w:rStyle w:val="linemarker-marked-line"/>
        </w:rPr>
        <w:t>e podobu intencionálního předmětu</w:t>
      </w:r>
      <w:r w:rsidR="00090C08" w:rsidRPr="00090C08">
        <w:rPr>
          <w:rStyle w:val="linemarker-marked-line"/>
        </w:rPr>
        <w:t xml:space="preserve">, který umožňuje </w:t>
      </w:r>
      <w:r w:rsidR="00090C08">
        <w:rPr>
          <w:rStyle w:val="linemarker-marked-line"/>
        </w:rPr>
        <w:t xml:space="preserve">skutečnou </w:t>
      </w:r>
      <w:r w:rsidR="00090C08" w:rsidRPr="00090C08">
        <w:rPr>
          <w:rStyle w:val="linemarker-marked-line"/>
        </w:rPr>
        <w:t>korespondenci mezi věcí a poznáním vě</w:t>
      </w:r>
      <w:r w:rsidR="00090C08">
        <w:rPr>
          <w:rStyle w:val="linemarker-marked-line"/>
        </w:rPr>
        <w:t xml:space="preserve">ci </w:t>
      </w:r>
      <w:r w:rsidRPr="00273106">
        <w:rPr>
          <w:rStyle w:val="linemarker-marked-line"/>
        </w:rPr>
        <w:t>(</w:t>
      </w:r>
      <w:r w:rsidRPr="00273106">
        <w:rPr>
          <w:i/>
        </w:rPr>
        <w:t>potentia media</w:t>
      </w:r>
      <w:r>
        <w:rPr>
          <w:i/>
        </w:rPr>
        <w:t xml:space="preserve">, </w:t>
      </w:r>
      <w:r w:rsidR="08CD7F39">
        <w:rPr>
          <w:rStyle w:val="linemarker-marked-line"/>
        </w:rPr>
        <w:t>kap. 2</w:t>
      </w:r>
      <w:r w:rsidRPr="00273106">
        <w:rPr>
          <w:rStyle w:val="linemarker-marked-line"/>
        </w:rPr>
        <w:t>.2</w:t>
      </w:r>
      <w:r w:rsidR="085022FC">
        <w:rPr>
          <w:rStyle w:val="linemarker-marked-line"/>
        </w:rPr>
        <w:t>.1</w:t>
      </w:r>
      <w:r w:rsidRPr="00273106">
        <w:t>). Blundova škola adekvátně spojila věc a její poznání skrze koncept diafanum</w:t>
      </w:r>
      <w:r w:rsidR="00617CF1">
        <w:fldChar w:fldCharType="begin"/>
      </w:r>
      <w:r w:rsidR="00617CF1">
        <w:instrText xml:space="preserve"> XE "</w:instrText>
      </w:r>
      <w:r w:rsidR="00617CF1" w:rsidRPr="009759A5">
        <w:instrText>diafanum:Blund</w:instrText>
      </w:r>
      <w:r w:rsidR="00617CF1">
        <w:instrText xml:space="preserve">" </w:instrText>
      </w:r>
      <w:r w:rsidR="00617CF1">
        <w:fldChar w:fldCharType="end"/>
      </w:r>
      <w:r w:rsidRPr="00273106">
        <w:t xml:space="preserve"> a skrze výkon </w:t>
      </w:r>
      <w:r w:rsidRPr="00273106">
        <w:rPr>
          <w:i/>
        </w:rPr>
        <w:t>intellectus possibilis</w:t>
      </w:r>
      <w:r w:rsidRPr="00273106">
        <w:t xml:space="preserve">. </w:t>
      </w:r>
      <w:r w:rsidR="006F1009">
        <w:t xml:space="preserve">Tato forma mediace dané skrze </w:t>
      </w:r>
      <w:r w:rsidRPr="007902A4">
        <w:rPr>
          <w:i/>
        </w:rPr>
        <w:t>intellectus in potentia</w:t>
      </w:r>
      <w:r>
        <w:t xml:space="preserve"> se zásadně liší od Rufusovy spekulativní jednoty světa dané</w:t>
      </w:r>
      <w:r w:rsidR="006F1009">
        <w:t xml:space="preserve"> </w:t>
      </w:r>
      <w:r w:rsidRPr="00273106">
        <w:rPr>
          <w:i/>
        </w:rPr>
        <w:t>medio modo</w:t>
      </w:r>
      <w:r>
        <w:t xml:space="preserve">. Moderní koncept mediace </w:t>
      </w:r>
      <w:r w:rsidRPr="00273106">
        <w:t xml:space="preserve">má univoční charakter daný matematickou úměrou a </w:t>
      </w:r>
      <w:r w:rsidR="00874074">
        <w:t>neoplatonsk</w:t>
      </w:r>
      <w:r w:rsidRPr="00273106">
        <w:t>ou participací na matematicky určené míře</w:t>
      </w:r>
      <w:r>
        <w:t xml:space="preserve">. </w:t>
      </w:r>
      <w:r w:rsidRPr="00273106">
        <w:rPr>
          <w:rStyle w:val="linemarker-marked-line"/>
        </w:rPr>
        <w:t xml:space="preserve">První averroismus chápe </w:t>
      </w:r>
      <w:r w:rsidR="004B4D52" w:rsidRPr="004B4D52">
        <w:rPr>
          <w:rStyle w:val="linemarker-marked-line"/>
        </w:rPr>
        <w:t>species</w:t>
      </w:r>
      <w:r w:rsidRPr="00273106">
        <w:rPr>
          <w:rStyle w:val="linemarker-marked-line"/>
          <w:i/>
        </w:rPr>
        <w:t xml:space="preserve"> intelligibilis</w:t>
      </w:r>
      <w:r w:rsidR="008061D5">
        <w:rPr>
          <w:rStyle w:val="linemarker-marked-line"/>
          <w:i/>
        </w:rPr>
        <w:fldChar w:fldCharType="begin"/>
      </w:r>
      <w:r w:rsidR="008061D5">
        <w:instrText xml:space="preserve"> XE "</w:instrText>
      </w:r>
      <w:r w:rsidR="008061D5" w:rsidRPr="00DD403C">
        <w:rPr>
          <w:i/>
        </w:rPr>
        <w:instrText>species intelligibilis:</w:instrText>
      </w:r>
      <w:r w:rsidR="00617CF1" w:rsidRPr="00617CF1">
        <w:instrText>první averroismus</w:instrText>
      </w:r>
      <w:r w:rsidR="008061D5">
        <w:instrText xml:space="preserve">" </w:instrText>
      </w:r>
      <w:r w:rsidR="008061D5">
        <w:rPr>
          <w:rStyle w:val="linemarker-marked-line"/>
          <w:i/>
        </w:rPr>
        <w:fldChar w:fldCharType="end"/>
      </w:r>
      <w:r w:rsidRPr="00273106">
        <w:rPr>
          <w:rStyle w:val="linemarker-marked-line"/>
        </w:rPr>
        <w:t xml:space="preserve"> v rámci intencionality jako </w:t>
      </w:r>
      <w:r w:rsidR="002E3B62">
        <w:rPr>
          <w:rStyle w:val="linemarker-marked-line"/>
        </w:rPr>
        <w:t>Averroes</w:t>
      </w:r>
      <w:r w:rsidRPr="00273106">
        <w:rPr>
          <w:rStyle w:val="linemarker-marked-line"/>
        </w:rPr>
        <w:t>ovu schopnost intelektu</w:t>
      </w:r>
      <w:r>
        <w:rPr>
          <w:rStyle w:val="linemarker-marked-line"/>
        </w:rPr>
        <w:t xml:space="preserve"> daného pouze jako potence duše</w:t>
      </w:r>
      <w:r w:rsidRPr="00273106">
        <w:rPr>
          <w:rStyle w:val="linemarker-marked-line"/>
        </w:rPr>
        <w:t xml:space="preserve">. </w:t>
      </w:r>
      <w:r>
        <w:rPr>
          <w:rStyle w:val="linemarker-marked-line"/>
        </w:rPr>
        <w:t xml:space="preserve">Rufus </w:t>
      </w:r>
      <w:r w:rsidRPr="00273106">
        <w:rPr>
          <w:rStyle w:val="linemarker-marked-line"/>
        </w:rPr>
        <w:t xml:space="preserve">sice chápe intelekt jako </w:t>
      </w:r>
      <w:r>
        <w:rPr>
          <w:rStyle w:val="linemarker-marked-line"/>
        </w:rPr>
        <w:t xml:space="preserve">aristotelskou </w:t>
      </w:r>
      <w:r w:rsidRPr="00273106">
        <w:rPr>
          <w:rStyle w:val="linemarker-marked-line"/>
          <w:i/>
        </w:rPr>
        <w:t>tabula rasa</w:t>
      </w:r>
      <w:r w:rsidR="008702D7">
        <w:rPr>
          <w:rStyle w:val="linemarker-marked-line"/>
          <w:i/>
        </w:rPr>
        <w:fldChar w:fldCharType="begin"/>
      </w:r>
      <w:r w:rsidR="008702D7">
        <w:instrText xml:space="preserve"> XE "</w:instrText>
      </w:r>
      <w:r w:rsidR="008702D7" w:rsidRPr="00CE6D17">
        <w:rPr>
          <w:i/>
        </w:rPr>
        <w:instrText>tabula rasa</w:instrText>
      </w:r>
      <w:r w:rsidR="008702D7">
        <w:instrText xml:space="preserve">" </w:instrText>
      </w:r>
      <w:r w:rsidR="008702D7">
        <w:rPr>
          <w:rStyle w:val="linemarker-marked-line"/>
          <w:i/>
        </w:rPr>
        <w:fldChar w:fldCharType="end"/>
      </w:r>
      <w:r w:rsidRPr="00273106">
        <w:rPr>
          <w:rStyle w:val="linemarker-marked-line"/>
        </w:rPr>
        <w:t xml:space="preserve">, ale výslovně odmítá </w:t>
      </w:r>
      <w:r w:rsidR="002E3B62">
        <w:rPr>
          <w:rStyle w:val="linemarker-marked-line"/>
        </w:rPr>
        <w:t>Averroes</w:t>
      </w:r>
      <w:r w:rsidRPr="00273106">
        <w:rPr>
          <w:rStyle w:val="linemarker-marked-line"/>
        </w:rPr>
        <w:t xml:space="preserve">ovo pojetí </w:t>
      </w:r>
      <w:r w:rsidR="004B4D52" w:rsidRPr="004B4D52">
        <w:rPr>
          <w:rStyle w:val="linemarker-marked-line"/>
        </w:rPr>
        <w:t>species</w:t>
      </w:r>
      <w:r w:rsidRPr="00273106">
        <w:rPr>
          <w:rStyle w:val="linemarker-marked-line"/>
        </w:rPr>
        <w:t xml:space="preserve"> jako poznávacího konceptu navázaného na </w:t>
      </w:r>
      <w:r w:rsidRPr="00273106">
        <w:rPr>
          <w:i/>
        </w:rPr>
        <w:t>intellectus possibilis</w:t>
      </w:r>
      <w:r w:rsidRPr="00273106">
        <w:rPr>
          <w:rStyle w:val="linemarker-marked-line"/>
        </w:rPr>
        <w:t xml:space="preserve">. Druhý averroismus daný v rámci </w:t>
      </w:r>
      <w:r w:rsidR="00874074">
        <w:rPr>
          <w:rStyle w:val="linemarker-marked-line"/>
        </w:rPr>
        <w:t>neoplatonsk</w:t>
      </w:r>
      <w:r w:rsidRPr="00273106">
        <w:rPr>
          <w:rStyle w:val="linemarker-marked-line"/>
        </w:rPr>
        <w:t xml:space="preserve">é metafyziky bere </w:t>
      </w:r>
      <w:r w:rsidR="004B4D52" w:rsidRPr="004B4D52">
        <w:rPr>
          <w:rStyle w:val="linemarker-marked-line"/>
        </w:rPr>
        <w:t>species</w:t>
      </w:r>
      <w:r w:rsidRPr="00273106">
        <w:rPr>
          <w:rStyle w:val="linemarker-marked-line"/>
        </w:rPr>
        <w:t xml:space="preserve"> jako singulárně </w:t>
      </w:r>
      <w:r w:rsidR="08C16FBE">
        <w:rPr>
          <w:rStyle w:val="linemarker-marked-line"/>
        </w:rPr>
        <w:t xml:space="preserve">a konkrétně </w:t>
      </w:r>
      <w:r w:rsidRPr="00273106">
        <w:rPr>
          <w:rStyle w:val="linemarker-marked-line"/>
        </w:rPr>
        <w:t>pojatou univerzálii, která kauzálně</w:t>
      </w:r>
      <w:r>
        <w:rPr>
          <w:rStyle w:val="linemarker-marked-line"/>
        </w:rPr>
        <w:t xml:space="preserve"> zakl</w:t>
      </w:r>
      <w:r w:rsidR="08C16FBE">
        <w:rPr>
          <w:rStyle w:val="linemarker-marked-line"/>
        </w:rPr>
        <w:t>ádá poznání moderního individua</w:t>
      </w:r>
      <w:r w:rsidRPr="00273106">
        <w:rPr>
          <w:rStyle w:val="linemarker-marked-line"/>
        </w:rPr>
        <w:t xml:space="preserve">. </w:t>
      </w:r>
      <w:r w:rsidRPr="00273106">
        <w:t xml:space="preserve">Rufus patří do školy druhého averroismu a jeho spekulativní pojetí pravdy vychází z Avicennova pojetí abstrakce jako </w:t>
      </w:r>
      <w:r w:rsidRPr="00273106">
        <w:rPr>
          <w:i/>
        </w:rPr>
        <w:t>denudatio</w:t>
      </w:r>
      <w:r w:rsidR="00D44795">
        <w:rPr>
          <w:i/>
        </w:rPr>
        <w:fldChar w:fldCharType="begin"/>
      </w:r>
      <w:r w:rsidR="00D44795">
        <w:instrText xml:space="preserve"> XE "</w:instrText>
      </w:r>
      <w:r w:rsidR="00D44795" w:rsidRPr="00C23100">
        <w:rPr>
          <w:i/>
        </w:rPr>
        <w:instrText>denudatio</w:instrText>
      </w:r>
      <w:r w:rsidR="00617CF1">
        <w:instrText>:druhý averroismus</w:instrText>
      </w:r>
      <w:r w:rsidR="00D44795">
        <w:instrText xml:space="preserve">" </w:instrText>
      </w:r>
      <w:r w:rsidR="00D44795">
        <w:rPr>
          <w:i/>
        </w:rPr>
        <w:fldChar w:fldCharType="end"/>
      </w:r>
      <w:r w:rsidRPr="00273106">
        <w:t xml:space="preserve">. </w:t>
      </w:r>
      <w:r w:rsidR="001F4A22">
        <w:t xml:space="preserve">Jeho </w:t>
      </w:r>
      <w:r>
        <w:t xml:space="preserve">nové učení </w:t>
      </w:r>
      <w:r w:rsidR="001F4A22">
        <w:t xml:space="preserve">proto </w:t>
      </w:r>
      <w:r>
        <w:t>kladně přijali avicennisté kolem Filipa Kancléře</w:t>
      </w:r>
      <w:r w:rsidR="08C16FBE">
        <w:t xml:space="preserve"> a </w:t>
      </w:r>
      <w:r>
        <w:t xml:space="preserve">představitelé </w:t>
      </w:r>
      <w:r w:rsidR="009A1CB0" w:rsidRPr="009A1CB0">
        <w:rPr>
          <w:i/>
        </w:rPr>
        <w:t>Logica</w:t>
      </w:r>
      <w:r w:rsidR="009A1CB0">
        <w:t xml:space="preserve"> </w:t>
      </w:r>
      <w:r w:rsidRPr="00146D94">
        <w:rPr>
          <w:i/>
        </w:rPr>
        <w:t>Modernorum</w:t>
      </w:r>
      <w:r>
        <w:t xml:space="preserve"> ze zanikajících porretánských škol</w:t>
      </w:r>
      <w:r w:rsidR="08C16FBE">
        <w:t xml:space="preserve">. Rufusovo učení </w:t>
      </w:r>
      <w:r w:rsidR="086D0AC4">
        <w:t xml:space="preserve">skvěle </w:t>
      </w:r>
      <w:r w:rsidR="08C16FBE">
        <w:t xml:space="preserve">zapadlo do školy </w:t>
      </w:r>
      <w:r>
        <w:t xml:space="preserve">mladých františkánů redigujících pod vedením Bonaventury dílo </w:t>
      </w:r>
      <w:r>
        <w:rPr>
          <w:i/>
        </w:rPr>
        <w:t>Summa H</w:t>
      </w:r>
      <w:r w:rsidRPr="00391D78">
        <w:rPr>
          <w:i/>
        </w:rPr>
        <w:t>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t>. Radikální o</w:t>
      </w:r>
      <w:r w:rsidRPr="00273106">
        <w:t>xfordský františkán</w:t>
      </w:r>
      <w:r>
        <w:rPr>
          <w:rStyle w:val="linemarker-marked-line"/>
        </w:rPr>
        <w:t xml:space="preserve"> nabídl </w:t>
      </w:r>
      <w:r w:rsidR="08BF0E07">
        <w:rPr>
          <w:rStyle w:val="linemarker-marked-line"/>
        </w:rPr>
        <w:t xml:space="preserve">avicennistickým </w:t>
      </w:r>
      <w:r>
        <w:rPr>
          <w:rStyle w:val="linemarker-marked-line"/>
        </w:rPr>
        <w:t>kolegům v pařížském konventu další verzi moderny skrze univerzální hylemorfismus</w:t>
      </w:r>
      <w:r w:rsidR="08BF0E07">
        <w:rPr>
          <w:rStyle w:val="linemarker-marked-line"/>
        </w:rPr>
        <w:t xml:space="preserve"> a nový typ konkrétní kategoriální predikace</w:t>
      </w:r>
      <w:r w:rsidR="004C27BA">
        <w:rPr>
          <w:rStyle w:val="linemarker-marked-line"/>
        </w:rPr>
        <w:fldChar w:fldCharType="begin"/>
      </w:r>
      <w:r w:rsidR="004C27BA">
        <w:instrText xml:space="preserve"> XE "</w:instrText>
      </w:r>
      <w:r w:rsidR="004C27BA" w:rsidRPr="005619B2">
        <w:instrText>univerzální hylemorfismus</w:instrText>
      </w:r>
      <w:r w:rsidR="004C27BA">
        <w:instrText xml:space="preserve">" </w:instrText>
      </w:r>
      <w:r w:rsidR="004C27BA">
        <w:rPr>
          <w:rStyle w:val="linemarker-marked-line"/>
        </w:rPr>
        <w:fldChar w:fldCharType="end"/>
      </w:r>
      <w:r>
        <w:rPr>
          <w:rStyle w:val="linemarker-marked-line"/>
        </w:rPr>
        <w:t xml:space="preserve">. </w:t>
      </w:r>
      <w:r w:rsidRPr="00273106">
        <w:t xml:space="preserve">Moderní vize pravdy nepotřebuje adekvaci rozumu a věci, ale </w:t>
      </w:r>
      <w:r>
        <w:t xml:space="preserve">objektivně </w:t>
      </w:r>
      <w:r w:rsidRPr="00273106">
        <w:t xml:space="preserve">konstatuje shodu </w:t>
      </w:r>
      <w:r>
        <w:t xml:space="preserve">či rovnost </w:t>
      </w:r>
      <w:r w:rsidRPr="00273106">
        <w:t xml:space="preserve">dvou </w:t>
      </w:r>
      <w:r w:rsidR="003C382C">
        <w:t xml:space="preserve">univočních </w:t>
      </w:r>
      <w:r w:rsidR="004B4D52" w:rsidRPr="004B4D52">
        <w:t>species</w:t>
      </w:r>
      <w:r w:rsidRPr="00273106">
        <w:rPr>
          <w:rStyle w:val="linemarker-marked-line"/>
        </w:rPr>
        <w:t xml:space="preserve">. </w:t>
      </w:r>
      <w:r w:rsidR="003C382C">
        <w:rPr>
          <w:rStyle w:val="linemarker-marked-line"/>
        </w:rPr>
        <w:t>Intelekt iluminátů tyto formy jednou nahlíží přímo ve věci, podruhé přímo v sobě.</w:t>
      </w:r>
    </w:p>
    <w:p w14:paraId="2C342FEF" w14:textId="77777777" w:rsidR="00BE3B41" w:rsidRDefault="003D7A59" w:rsidP="00355631">
      <w:pPr>
        <w:ind w:firstLine="397"/>
      </w:pPr>
      <w:r>
        <w:t xml:space="preserve">Definice pravdy jako spekulativní </w:t>
      </w:r>
      <w:r w:rsidR="00F3277E">
        <w:t xml:space="preserve">identity </w:t>
      </w:r>
      <w:r w:rsidR="00F3277E" w:rsidRPr="00F3277E">
        <w:rPr>
          <w:i/>
        </w:rPr>
        <w:t>tertium ens</w:t>
      </w:r>
      <w:r w:rsidR="00F3277E">
        <w:t xml:space="preserve"> fabrikovaných v intelektu a tímto intelektem reflektovaných </w:t>
      </w:r>
      <w:r w:rsidR="088F0F4A">
        <w:t>zásadně ovlivnila</w:t>
      </w:r>
      <w:r>
        <w:t xml:space="preserve"> modernu a </w:t>
      </w:r>
      <w:r w:rsidR="005F4A03">
        <w:t>p</w:t>
      </w:r>
      <w:r w:rsidR="086D0AC4">
        <w:t>ostmodernu.</w:t>
      </w:r>
      <w:r w:rsidR="08DB21F4">
        <w:t xml:space="preserve"> </w:t>
      </w:r>
      <w:r w:rsidR="005F4A03">
        <w:t xml:space="preserve">Vývoj pravdy jako Rufusovo </w:t>
      </w:r>
      <w:r w:rsidRPr="00273106">
        <w:rPr>
          <w:i/>
        </w:rPr>
        <w:t>coaequatio</w:t>
      </w:r>
      <w:r w:rsidR="00433872">
        <w:rPr>
          <w:i/>
        </w:rPr>
        <w:fldChar w:fldCharType="begin"/>
      </w:r>
      <w:r w:rsidR="00433872">
        <w:instrText xml:space="preserve"> XE "</w:instrText>
      </w:r>
      <w:r w:rsidR="00617CF1">
        <w:instrText>pravda:</w:instrText>
      </w:r>
      <w:r w:rsidR="00433872" w:rsidRPr="00E11E1F">
        <w:rPr>
          <w:i/>
        </w:rPr>
        <w:instrText>coaequatio</w:instrText>
      </w:r>
      <w:r w:rsidR="00433872">
        <w:instrText xml:space="preserve">" </w:instrText>
      </w:r>
      <w:r w:rsidR="00433872">
        <w:rPr>
          <w:i/>
        </w:rPr>
        <w:fldChar w:fldCharType="end"/>
      </w:r>
      <w:r w:rsidRPr="00273106">
        <w:rPr>
          <w:i/>
        </w:rPr>
        <w:t xml:space="preserve"> rerum et intellectuum</w:t>
      </w:r>
      <w:r w:rsidRPr="00C954AD">
        <w:t xml:space="preserve"> </w:t>
      </w:r>
      <w:r w:rsidRPr="00273106">
        <w:t>uzavře v postmoderně absolutní logika Hegela</w:t>
      </w:r>
      <w:r w:rsidR="00617CF1">
        <w:fldChar w:fldCharType="begin"/>
      </w:r>
      <w:r w:rsidR="00617CF1">
        <w:instrText xml:space="preserve"> XE "</w:instrText>
      </w:r>
      <w:r w:rsidR="00617CF1" w:rsidRPr="00710C16">
        <w:instrText>Hegel, G. W.</w:instrText>
      </w:r>
      <w:r w:rsidR="00617CF1">
        <w:instrText xml:space="preserve">" </w:instrText>
      </w:r>
      <w:r w:rsidR="00617CF1">
        <w:fldChar w:fldCharType="end"/>
      </w:r>
      <w:r>
        <w:t xml:space="preserve">. Dílo </w:t>
      </w:r>
      <w:r w:rsidRPr="00273106">
        <w:rPr>
          <w:rStyle w:val="st"/>
          <w:bCs/>
          <w:i/>
        </w:rPr>
        <w:t>Enzyklopädie</w:t>
      </w:r>
      <w:r w:rsidRPr="00273106">
        <w:rPr>
          <w:rStyle w:val="st"/>
          <w:i/>
        </w:rPr>
        <w:t xml:space="preserve"> der philosophischen </w:t>
      </w:r>
      <w:r w:rsidRPr="00273106">
        <w:rPr>
          <w:rStyle w:val="st"/>
          <w:bCs/>
          <w:i/>
        </w:rPr>
        <w:t>Wissenschaften</w:t>
      </w:r>
      <w:r>
        <w:t xml:space="preserve"> aktualizuje </w:t>
      </w:r>
      <w:r w:rsidR="00F8019A">
        <w:t xml:space="preserve">Grossetesteho a </w:t>
      </w:r>
      <w:r>
        <w:t xml:space="preserve">Rufuse </w:t>
      </w:r>
      <w:r w:rsidR="00F8019A">
        <w:t xml:space="preserve">rozdílem mezi </w:t>
      </w:r>
      <w:r w:rsidRPr="00273106">
        <w:rPr>
          <w:i/>
        </w:rPr>
        <w:t>natürliche Logik</w:t>
      </w:r>
      <w:r w:rsidR="00F8019A">
        <w:t xml:space="preserve"> a mezi </w:t>
      </w:r>
      <w:r w:rsidRPr="00273106">
        <w:rPr>
          <w:i/>
        </w:rPr>
        <w:t>spekulative Logik</w:t>
      </w:r>
      <w:r>
        <w:t xml:space="preserve"> (</w:t>
      </w:r>
      <w:r w:rsidRPr="00273106">
        <w:t>§ 170</w:t>
      </w:r>
      <w:r>
        <w:t>)</w:t>
      </w:r>
      <w:r w:rsidRPr="00273106">
        <w:t xml:space="preserve">. </w:t>
      </w:r>
      <w:r w:rsidR="00FF6F78" w:rsidRPr="00273106">
        <w:t>Hegel s</w:t>
      </w:r>
      <w:r w:rsidR="08A35D70">
        <w:t>tejně jako Rufus nebere výrok</w:t>
      </w:r>
      <w:r w:rsidR="00FF6F78" w:rsidRPr="00273106">
        <w:t xml:space="preserve"> „</w:t>
      </w:r>
      <w:r w:rsidR="00FF6F78" w:rsidRPr="00273106">
        <w:rPr>
          <w:i/>
        </w:rPr>
        <w:t>Diese Rose ist rot</w:t>
      </w:r>
      <w:r w:rsidR="00FF6F78" w:rsidRPr="00273106">
        <w:t xml:space="preserve">“ ve vztahu k první substanci, ale k esenci dané </w:t>
      </w:r>
      <w:r w:rsidR="00FF6F78" w:rsidRPr="00273106">
        <w:rPr>
          <w:i/>
        </w:rPr>
        <w:t>absolute</w:t>
      </w:r>
      <w:r w:rsidR="00FF6F78">
        <w:rPr>
          <w:rStyle w:val="addmd"/>
          <w:i/>
        </w:rPr>
        <w:fldChar w:fldCharType="begin"/>
      </w:r>
      <w:r w:rsidR="00FF6F78">
        <w:instrText xml:space="preserve"> XE "esence</w:instrText>
      </w:r>
      <w:r w:rsidR="00FF6F78" w:rsidRPr="002A5D70">
        <w:instrText>:</w:instrText>
      </w:r>
      <w:r w:rsidR="00FF6F78">
        <w:instrText xml:space="preserve">modus </w:instrText>
      </w:r>
      <w:r w:rsidR="00FF6F78" w:rsidRPr="008D23BF">
        <w:rPr>
          <w:i/>
        </w:rPr>
        <w:instrText>absolute</w:instrText>
      </w:r>
      <w:r w:rsidR="00FF6F78">
        <w:instrText xml:space="preserve">" </w:instrText>
      </w:r>
      <w:r w:rsidR="00FF6F78">
        <w:rPr>
          <w:rStyle w:val="addmd"/>
          <w:i/>
        </w:rPr>
        <w:fldChar w:fldCharType="end"/>
      </w:r>
      <w:r w:rsidR="00FF6F78" w:rsidRPr="00273106">
        <w:t>, tedy odděleně od první substance.</w:t>
      </w:r>
      <w:r w:rsidR="00FF6F78" w:rsidRPr="00273106">
        <w:rPr>
          <w:rStyle w:val="Znakapoznpodarou"/>
        </w:rPr>
        <w:footnoteReference w:id="422"/>
      </w:r>
      <w:r w:rsidR="00FF6F78" w:rsidRPr="00273106">
        <w:t xml:space="preserve"> </w:t>
      </w:r>
      <w:r w:rsidRPr="00273106">
        <w:t xml:space="preserve">Přirozená logika je aristotelská a platí </w:t>
      </w:r>
      <w:r>
        <w:t xml:space="preserve">pouze </w:t>
      </w:r>
      <w:r w:rsidRPr="00273106">
        <w:t xml:space="preserve">v </w:t>
      </w:r>
      <w:r>
        <w:t xml:space="preserve">nižším pojetí sylogistické pravdy </w:t>
      </w:r>
      <w:r w:rsidRPr="00273106">
        <w:rPr>
          <w:rStyle w:val="Zvraznn"/>
          <w:i w:val="0"/>
          <w:iCs w:val="0"/>
        </w:rPr>
        <w:t>(</w:t>
      </w:r>
      <w:r w:rsidRPr="00273106">
        <w:rPr>
          <w:rStyle w:val="Zvraznn"/>
          <w:iCs w:val="0"/>
        </w:rPr>
        <w:t>Räsonieren</w:t>
      </w:r>
      <w:r>
        <w:rPr>
          <w:rStyle w:val="Zvraznn"/>
          <w:i w:val="0"/>
          <w:iCs w:val="0"/>
        </w:rPr>
        <w:t>,</w:t>
      </w:r>
      <w:r w:rsidRPr="00273106">
        <w:rPr>
          <w:rStyle w:val="Zvraznn"/>
        </w:rPr>
        <w:t xml:space="preserve"> Hegel</w:t>
      </w:r>
      <w:r w:rsidR="00C01704">
        <w:rPr>
          <w:rStyle w:val="Zvraznn"/>
          <w:i w:val="0"/>
          <w:iCs w:val="0"/>
        </w:rPr>
        <w:t> 8</w:t>
      </w:r>
      <w:r w:rsidRPr="00273106">
        <w:rPr>
          <w:rStyle w:val="Zvraznn"/>
          <w:i w:val="0"/>
          <w:iCs w:val="0"/>
        </w:rPr>
        <w:t>,</w:t>
      </w:r>
      <w:r>
        <w:rPr>
          <w:rStyle w:val="Zvraznn"/>
          <w:i w:val="0"/>
          <w:iCs w:val="0"/>
        </w:rPr>
        <w:t xml:space="preserve"> </w:t>
      </w:r>
      <w:r w:rsidRPr="00273106">
        <w:rPr>
          <w:rStyle w:val="Zvraznn"/>
          <w:i w:val="0"/>
          <w:iCs w:val="0"/>
        </w:rPr>
        <w:t>59</w:t>
      </w:r>
      <w:r w:rsidRPr="00273106">
        <w:rPr>
          <w:rStyle w:val="Zvraznn"/>
          <w:i w:val="0"/>
          <w:iCs w:val="0"/>
        </w:rPr>
        <w:fldChar w:fldCharType="begin"/>
      </w:r>
      <w:r w:rsidRPr="00273106">
        <w:instrText xml:space="preserve"> XE "</w:instrText>
      </w:r>
      <w:r w:rsidRPr="00617CF1">
        <w:rPr>
          <w:rStyle w:val="Zvraznn"/>
          <w:i w:val="0"/>
        </w:rPr>
        <w:instrText>Hegel</w:instrText>
      </w:r>
      <w:r w:rsidR="00617CF1">
        <w:rPr>
          <w:rStyle w:val="Zvraznn"/>
          <w:i w:val="0"/>
          <w:iCs w:val="0"/>
        </w:rPr>
        <w:instrText>:</w:instrText>
      </w:r>
      <w:r w:rsidR="00617CF1" w:rsidRPr="00273106">
        <w:rPr>
          <w:rStyle w:val="st"/>
          <w:bCs/>
          <w:i/>
        </w:rPr>
        <w:instrText>Enzyklopädie</w:instrText>
      </w:r>
      <w:r w:rsidR="00617CF1" w:rsidRPr="00273106">
        <w:rPr>
          <w:rStyle w:val="st"/>
          <w:i/>
        </w:rPr>
        <w:instrText xml:space="preserve"> der philosophischen </w:instrText>
      </w:r>
      <w:r w:rsidR="00617CF1" w:rsidRPr="00273106">
        <w:rPr>
          <w:rStyle w:val="st"/>
          <w:bCs/>
          <w:i/>
        </w:rPr>
        <w:instrText>Wissenschaften</w:instrText>
      </w:r>
      <w:r w:rsidR="00617CF1">
        <w:instrText xml:space="preserve"> </w:instrText>
      </w:r>
      <w:r w:rsidR="00617CF1">
        <w:rPr>
          <w:rStyle w:val="Zvraznn"/>
          <w:i w:val="0"/>
          <w:iCs w:val="0"/>
        </w:rPr>
        <w:instrText>8.</w:instrText>
      </w:r>
      <w:r w:rsidRPr="00273106">
        <w:rPr>
          <w:rStyle w:val="Zvraznn"/>
          <w:i w:val="0"/>
          <w:iCs w:val="0"/>
        </w:rPr>
        <w:instrText>59</w:instrText>
      </w:r>
      <w:r w:rsidRPr="00273106">
        <w:instrText xml:space="preserve">" </w:instrText>
      </w:r>
      <w:r w:rsidRPr="00273106">
        <w:rPr>
          <w:rStyle w:val="Zvraznn"/>
          <w:i w:val="0"/>
          <w:iCs w:val="0"/>
        </w:rPr>
        <w:fldChar w:fldCharType="end"/>
      </w:r>
      <w:r w:rsidRPr="00273106">
        <w:rPr>
          <w:rStyle w:val="Zvraznn"/>
          <w:i w:val="0"/>
          <w:iCs w:val="0"/>
        </w:rPr>
        <w:t xml:space="preserve">). </w:t>
      </w:r>
      <w:r w:rsidRPr="00273106">
        <w:t xml:space="preserve">Z hlediska absolutního ducha </w:t>
      </w:r>
      <w:r>
        <w:t xml:space="preserve">ale </w:t>
      </w:r>
      <w:r w:rsidRPr="00273106">
        <w:t xml:space="preserve">platí, že </w:t>
      </w:r>
      <w:r w:rsidR="00FF6F78">
        <w:t xml:space="preserve">metafyzika </w:t>
      </w:r>
      <w:r w:rsidR="00F8019A">
        <w:t xml:space="preserve">a logika jsou identické: </w:t>
      </w:r>
      <w:r w:rsidRPr="00273106">
        <w:rPr>
          <w:i/>
        </w:rPr>
        <w:t>Alle Dinge sind ein Urteil</w:t>
      </w:r>
      <w:r w:rsidR="00F8019A">
        <w:rPr>
          <w:iCs/>
        </w:rPr>
        <w:t>.</w:t>
      </w:r>
      <w:r w:rsidRPr="00273106">
        <w:t xml:space="preserve"> (</w:t>
      </w:r>
      <w:r w:rsidRPr="00273106">
        <w:rPr>
          <w:i/>
          <w:iCs/>
        </w:rPr>
        <w:t>Hegel</w:t>
      </w:r>
      <w:r w:rsidRPr="00273106">
        <w:t xml:space="preserve"> 8,</w:t>
      </w:r>
      <w:r>
        <w:t xml:space="preserve"> </w:t>
      </w:r>
      <w:r w:rsidRPr="00273106">
        <w:t>318</w:t>
      </w:r>
      <w:r w:rsidR="00617CF1" w:rsidRPr="00273106">
        <w:rPr>
          <w:rStyle w:val="Zvraznn"/>
          <w:i w:val="0"/>
          <w:iCs w:val="0"/>
        </w:rPr>
        <w:fldChar w:fldCharType="begin"/>
      </w:r>
      <w:r w:rsidR="00617CF1" w:rsidRPr="00273106">
        <w:instrText xml:space="preserve"> XE "</w:instrText>
      </w:r>
      <w:r w:rsidR="00617CF1" w:rsidRPr="00617CF1">
        <w:rPr>
          <w:rStyle w:val="Zvraznn"/>
          <w:i w:val="0"/>
        </w:rPr>
        <w:instrText>Hegel</w:instrText>
      </w:r>
      <w:r w:rsidR="00617CF1">
        <w:rPr>
          <w:rStyle w:val="Zvraznn"/>
          <w:i w:val="0"/>
          <w:iCs w:val="0"/>
        </w:rPr>
        <w:instrText>:</w:instrText>
      </w:r>
      <w:r w:rsidR="00617CF1" w:rsidRPr="00273106">
        <w:rPr>
          <w:rStyle w:val="st"/>
          <w:bCs/>
          <w:i/>
        </w:rPr>
        <w:instrText>Enzyklopädie</w:instrText>
      </w:r>
      <w:r w:rsidR="00617CF1" w:rsidRPr="00273106">
        <w:rPr>
          <w:rStyle w:val="st"/>
          <w:i/>
        </w:rPr>
        <w:instrText xml:space="preserve"> der philosophischen </w:instrText>
      </w:r>
      <w:r w:rsidR="00617CF1" w:rsidRPr="00273106">
        <w:rPr>
          <w:rStyle w:val="st"/>
          <w:bCs/>
          <w:i/>
        </w:rPr>
        <w:instrText>Wissenschaften</w:instrText>
      </w:r>
      <w:r w:rsidR="00617CF1">
        <w:instrText xml:space="preserve"> </w:instrText>
      </w:r>
      <w:r w:rsidR="00617CF1">
        <w:rPr>
          <w:rStyle w:val="Zvraznn"/>
          <w:i w:val="0"/>
          <w:iCs w:val="0"/>
        </w:rPr>
        <w:instrText>8.318</w:instrText>
      </w:r>
      <w:r w:rsidR="00617CF1" w:rsidRPr="00273106">
        <w:instrText xml:space="preserve">" </w:instrText>
      </w:r>
      <w:r w:rsidR="00617CF1" w:rsidRPr="00273106">
        <w:rPr>
          <w:rStyle w:val="Zvraznn"/>
          <w:i w:val="0"/>
          <w:iCs w:val="0"/>
        </w:rPr>
        <w:fldChar w:fldCharType="end"/>
      </w:r>
      <w:r>
        <w:t xml:space="preserve">). Původní rovnost ducha se sebou </w:t>
      </w:r>
      <w:r w:rsidR="00FF6F78">
        <w:t xml:space="preserve">samým </w:t>
      </w:r>
      <w:r>
        <w:t>je dána skrze svět, který zrcadlí univerzální obsahy ducha</w:t>
      </w:r>
      <w:r w:rsidR="08904708">
        <w:t xml:space="preserve"> po moderním vzoru Davida z Dinantu</w:t>
      </w:r>
      <w:r>
        <w:t>. Pak platí plná spekulativní rovnost daná spojením celku a části</w:t>
      </w:r>
      <w:r w:rsidRPr="00273106">
        <w:t xml:space="preserve">: </w:t>
      </w:r>
      <w:r w:rsidR="00FF6F78">
        <w:t>„</w:t>
      </w:r>
      <w:r w:rsidRPr="00273106">
        <w:rPr>
          <w:rStyle w:val="Zvraznn"/>
          <w:iCs w:val="0"/>
        </w:rPr>
        <w:t>Das</w:t>
      </w:r>
      <w:r w:rsidRPr="00273106">
        <w:rPr>
          <w:iCs/>
        </w:rPr>
        <w:t xml:space="preserve"> </w:t>
      </w:r>
      <w:r w:rsidRPr="00273106">
        <w:rPr>
          <w:rStyle w:val="Zvraznn"/>
          <w:iCs w:val="0"/>
        </w:rPr>
        <w:t>Einzelne</w:t>
      </w:r>
      <w:r w:rsidRPr="00273106">
        <w:rPr>
          <w:iCs/>
        </w:rPr>
        <w:t xml:space="preserve"> </w:t>
      </w:r>
      <w:r w:rsidRPr="00273106">
        <w:rPr>
          <w:rStyle w:val="Zvraznn"/>
          <w:iCs w:val="0"/>
        </w:rPr>
        <w:t>ist</w:t>
      </w:r>
      <w:r w:rsidRPr="00273106">
        <w:rPr>
          <w:iCs/>
        </w:rPr>
        <w:t xml:space="preserve"> </w:t>
      </w:r>
      <w:r w:rsidRPr="00273106">
        <w:rPr>
          <w:rStyle w:val="Zvraznn"/>
          <w:iCs w:val="0"/>
        </w:rPr>
        <w:t>das</w:t>
      </w:r>
      <w:r w:rsidRPr="00273106">
        <w:rPr>
          <w:iCs/>
        </w:rPr>
        <w:t xml:space="preserve"> </w:t>
      </w:r>
      <w:r w:rsidRPr="00273106">
        <w:rPr>
          <w:rStyle w:val="Zvraznn"/>
          <w:iCs w:val="0"/>
        </w:rPr>
        <w:t>Allgemeine.</w:t>
      </w:r>
      <w:r w:rsidR="00FF6F78">
        <w:rPr>
          <w:rStyle w:val="Zvraznn"/>
          <w:i w:val="0"/>
          <w:iCs w:val="0"/>
        </w:rPr>
        <w:t>“</w:t>
      </w:r>
      <w:r w:rsidRPr="00273106">
        <w:t xml:space="preserve"> (</w:t>
      </w:r>
      <w:r w:rsidRPr="00273106">
        <w:rPr>
          <w:i/>
          <w:iCs/>
        </w:rPr>
        <w:t>Hegel</w:t>
      </w:r>
      <w:r w:rsidRPr="00273106">
        <w:t xml:space="preserve"> 8,</w:t>
      </w:r>
      <w:r>
        <w:t xml:space="preserve"> </w:t>
      </w:r>
      <w:r w:rsidRPr="00273106">
        <w:t>319</w:t>
      </w:r>
      <w:r w:rsidR="00617CF1" w:rsidRPr="00273106">
        <w:rPr>
          <w:rStyle w:val="Zvraznn"/>
          <w:i w:val="0"/>
          <w:iCs w:val="0"/>
        </w:rPr>
        <w:fldChar w:fldCharType="begin"/>
      </w:r>
      <w:r w:rsidR="00617CF1" w:rsidRPr="00273106">
        <w:instrText xml:space="preserve"> XE "</w:instrText>
      </w:r>
      <w:r w:rsidR="00617CF1" w:rsidRPr="00617CF1">
        <w:rPr>
          <w:rStyle w:val="Zvraznn"/>
          <w:i w:val="0"/>
        </w:rPr>
        <w:instrText>Hegel</w:instrText>
      </w:r>
      <w:r w:rsidR="00617CF1">
        <w:rPr>
          <w:rStyle w:val="Zvraznn"/>
          <w:i w:val="0"/>
          <w:iCs w:val="0"/>
        </w:rPr>
        <w:instrText>:</w:instrText>
      </w:r>
      <w:r w:rsidR="00617CF1" w:rsidRPr="00273106">
        <w:rPr>
          <w:rStyle w:val="st"/>
          <w:bCs/>
          <w:i/>
        </w:rPr>
        <w:instrText>Enzyklopädie</w:instrText>
      </w:r>
      <w:r w:rsidR="00617CF1" w:rsidRPr="00273106">
        <w:rPr>
          <w:rStyle w:val="st"/>
          <w:i/>
        </w:rPr>
        <w:instrText xml:space="preserve"> der philosophischen </w:instrText>
      </w:r>
      <w:r w:rsidR="00617CF1" w:rsidRPr="00273106">
        <w:rPr>
          <w:rStyle w:val="st"/>
          <w:bCs/>
          <w:i/>
        </w:rPr>
        <w:instrText>Wissenschaften</w:instrText>
      </w:r>
      <w:r w:rsidR="00617CF1">
        <w:instrText xml:space="preserve"> </w:instrText>
      </w:r>
      <w:r w:rsidR="00617CF1">
        <w:rPr>
          <w:rStyle w:val="Zvraznn"/>
          <w:i w:val="0"/>
          <w:iCs w:val="0"/>
        </w:rPr>
        <w:instrText>8.319</w:instrText>
      </w:r>
      <w:r w:rsidR="00617CF1" w:rsidRPr="00273106">
        <w:instrText xml:space="preserve">" </w:instrText>
      </w:r>
      <w:r w:rsidR="00617CF1" w:rsidRPr="00273106">
        <w:rPr>
          <w:rStyle w:val="Zvraznn"/>
          <w:i w:val="0"/>
          <w:iCs w:val="0"/>
        </w:rPr>
        <w:fldChar w:fldCharType="end"/>
      </w:r>
      <w:r w:rsidRPr="00273106">
        <w:t xml:space="preserve">) </w:t>
      </w:r>
      <w:r w:rsidR="00FF6F78">
        <w:t xml:space="preserve">Logika absolutního ducha kontempluje jsoucno v modu logické a metafyzické konkrétnosti, kterou </w:t>
      </w:r>
      <w:r w:rsidR="00DD2723">
        <w:t xml:space="preserve">založil </w:t>
      </w:r>
      <w:r w:rsidR="00FF6F78">
        <w:t>Rufus kolem roku 1235. M</w:t>
      </w:r>
      <w:r w:rsidRPr="00273106">
        <w:t xml:space="preserve">arxova kritická </w:t>
      </w:r>
      <w:r>
        <w:t xml:space="preserve">verze </w:t>
      </w:r>
      <w:r w:rsidR="088A2C95">
        <w:t xml:space="preserve">politické </w:t>
      </w:r>
      <w:r w:rsidRPr="00273106">
        <w:t>ekonomie hraje ve vztahu ke spekulativnímu Hegelovi stejnou roli jako představitelé prvního averroismu (</w:t>
      </w:r>
      <w:r w:rsidR="0023248E">
        <w:t xml:space="preserve">Alvernus, </w:t>
      </w:r>
      <w:r w:rsidRPr="00273106">
        <w:t xml:space="preserve">Albert, Bacon) </w:t>
      </w:r>
      <w:r>
        <w:t xml:space="preserve">hráli vůči moderně. </w:t>
      </w:r>
      <w:r w:rsidR="002702A8" w:rsidRPr="002702A8">
        <w:t>Marxův pojem ideologicky daného odcizení převrátil Hegelovu absolutní definici pravdy jako spekulativně-konkrétní coaequatio. Absolutní duch uvažuje o své vlastní racionalitě ve světě, aby dosáhl předem naprogramovaného cíle dějin. Realista Marx</w:t>
      </w:r>
      <w:r w:rsidR="002702A8">
        <w:rPr>
          <w:szCs w:val="24"/>
          <w:lang w:val="de-LU"/>
        </w:rPr>
        <w:fldChar w:fldCharType="begin"/>
      </w:r>
      <w:r w:rsidR="002702A8">
        <w:instrText xml:space="preserve"> XE "</w:instrText>
      </w:r>
      <w:r w:rsidR="002702A8" w:rsidRPr="088253B0">
        <w:rPr>
          <w:szCs w:val="24"/>
        </w:rPr>
        <w:instrText>Marx, K.</w:instrText>
      </w:r>
      <w:r w:rsidR="002702A8">
        <w:instrText xml:space="preserve">" </w:instrText>
      </w:r>
      <w:r w:rsidR="002702A8">
        <w:rPr>
          <w:szCs w:val="24"/>
          <w:lang w:val="de-LU"/>
        </w:rPr>
        <w:fldChar w:fldCharType="end"/>
      </w:r>
      <w:r w:rsidR="002702A8" w:rsidRPr="002702A8">
        <w:t xml:space="preserve"> ve svém díle </w:t>
      </w:r>
      <w:r w:rsidR="002702A8" w:rsidRPr="089551E0">
        <w:rPr>
          <w:i/>
        </w:rPr>
        <w:t>Die deutsche Ideologie</w:t>
      </w:r>
      <w:r w:rsidR="002702A8">
        <w:t xml:space="preserve"> (1846</w:t>
      </w:r>
      <w:r w:rsidR="002702A8" w:rsidRPr="002702A8">
        <w:t xml:space="preserve">) </w:t>
      </w:r>
      <w:r w:rsidR="002702A8">
        <w:fldChar w:fldCharType="begin"/>
      </w:r>
      <w:r w:rsidR="002702A8">
        <w:instrText xml:space="preserve"> XE "</w:instrText>
      </w:r>
      <w:r w:rsidR="002702A8" w:rsidRPr="088A1F37">
        <w:instrText>ideologie</w:instrText>
      </w:r>
      <w:r w:rsidR="002702A8">
        <w:instrText xml:space="preserve">" </w:instrText>
      </w:r>
      <w:r w:rsidR="002702A8">
        <w:fldChar w:fldCharType="end"/>
      </w:r>
      <w:r w:rsidR="002702A8" w:rsidRPr="002702A8">
        <w:t xml:space="preserve">odmítl základní princip spekulativně-logického zrcadlení jako ideologickou pohádku německého akademického idealismu. Podle Marxe neexistuje takové zrcadlo absolutního ducha, jak předstíral spekulativní spis </w:t>
      </w:r>
      <w:r w:rsidR="002702A8" w:rsidRPr="005F0FE9">
        <w:rPr>
          <w:i/>
        </w:rPr>
        <w:t xml:space="preserve">Fenomenologie ducha </w:t>
      </w:r>
      <w:r w:rsidR="00586839">
        <w:t xml:space="preserve">(1807). </w:t>
      </w:r>
      <w:r w:rsidR="002702A8" w:rsidRPr="002702A8">
        <w:t>Odcizení mezi postmoderním idealistickým myšlením a reálným světem práce existuje kvůli špatnému druhu ekonomie vyt</w:t>
      </w:r>
      <w:r w:rsidR="00586839">
        <w:t>vářené v kapitalismu</w:t>
      </w:r>
      <w:r w:rsidR="002702A8" w:rsidRPr="002702A8">
        <w:t xml:space="preserve">. </w:t>
      </w:r>
      <w:r w:rsidR="00586839">
        <w:t xml:space="preserve">Marx našel základní </w:t>
      </w:r>
      <w:r w:rsidR="00586839" w:rsidRPr="00586839">
        <w:rPr>
          <w:i/>
        </w:rPr>
        <w:t>Oxfordian Fallacy</w:t>
      </w:r>
      <w:r w:rsidR="00586839">
        <w:t xml:space="preserve"> kapitalistického systému. </w:t>
      </w:r>
      <w:r w:rsidR="002702A8" w:rsidRPr="002702A8">
        <w:t xml:space="preserve">Hegelovo absolutní vědomí vytváří </w:t>
      </w:r>
      <w:r w:rsidR="00586839">
        <w:t xml:space="preserve">postmoderní </w:t>
      </w:r>
      <w:r w:rsidR="002702A8" w:rsidRPr="002702A8">
        <w:t xml:space="preserve">tertium ens, které </w:t>
      </w:r>
      <w:r w:rsidR="00586839">
        <w:t>produkuje falešný druh t</w:t>
      </w:r>
      <w:r w:rsidR="002702A8" w:rsidRPr="002702A8">
        <w:t xml:space="preserve">řídního vědomí. Skutečná první substance se vytváří v systému kapitalismu </w:t>
      </w:r>
      <w:r w:rsidR="00586839">
        <w:t>na základě v</w:t>
      </w:r>
      <w:r w:rsidR="002702A8" w:rsidRPr="002702A8">
        <w:t>lastnictví výrobních prostředků. Odcizení postmoderního idealistického myšlení a reálného světa práce je skutečné a dané ekonomikou kapitalistického systému.</w:t>
      </w:r>
      <w:r w:rsidR="00586839">
        <w:t xml:space="preserve"> </w:t>
      </w:r>
      <w:r w:rsidR="08384372">
        <w:t xml:space="preserve">Znovu se tím dostal do hry </w:t>
      </w:r>
      <w:r w:rsidR="00586839">
        <w:t>minulostní ráz reálné substance (</w:t>
      </w:r>
      <w:r w:rsidR="08384372" w:rsidRPr="08384372">
        <w:rPr>
          <w:i/>
        </w:rPr>
        <w:t>quidditas</w:t>
      </w:r>
      <w:r w:rsidR="08E6733C">
        <w:rPr>
          <w:i/>
        </w:rPr>
        <w:fldChar w:fldCharType="begin"/>
      </w:r>
      <w:r w:rsidR="08E6733C">
        <w:instrText xml:space="preserve"> XE "</w:instrText>
      </w:r>
      <w:r w:rsidR="08E6733C" w:rsidRPr="0865651F">
        <w:rPr>
          <w:i/>
        </w:rPr>
        <w:instrText>quidditas</w:instrText>
      </w:r>
      <w:r w:rsidR="08E6733C">
        <w:instrText xml:space="preserve">" </w:instrText>
      </w:r>
      <w:r w:rsidR="08E6733C">
        <w:rPr>
          <w:i/>
        </w:rPr>
        <w:fldChar w:fldCharType="end"/>
      </w:r>
      <w:r w:rsidR="00586839">
        <w:t xml:space="preserve">), </w:t>
      </w:r>
      <w:r w:rsidR="08384372">
        <w:t>nyní dané jako primát reálné práce a ekonomiky</w:t>
      </w:r>
      <w:r w:rsidR="089A038A">
        <w:t xml:space="preserve"> n</w:t>
      </w:r>
      <w:r w:rsidR="086A4229">
        <w:t>ad ideologií</w:t>
      </w:r>
      <w:r w:rsidR="006B56E9">
        <w:t xml:space="preserve"> akademických iluminátů</w:t>
      </w:r>
      <w:r w:rsidR="08384372">
        <w:t xml:space="preserve">. </w:t>
      </w:r>
      <w:r>
        <w:t xml:space="preserve">Hegelovo absolutní </w:t>
      </w:r>
      <w:r w:rsidRPr="002C6B97">
        <w:rPr>
          <w:i/>
        </w:rPr>
        <w:t>scibile</w:t>
      </w:r>
      <w:r w:rsidR="003B4FA7">
        <w:rPr>
          <w:i/>
        </w:rPr>
        <w:fldChar w:fldCharType="begin"/>
      </w:r>
      <w:r w:rsidR="003B4FA7">
        <w:instrText xml:space="preserve"> XE "</w:instrText>
      </w:r>
      <w:r w:rsidR="003B4FA7" w:rsidRPr="00AA4F67">
        <w:rPr>
          <w:i/>
        </w:rPr>
        <w:instrText>scibile</w:instrText>
      </w:r>
      <w:r w:rsidR="00853568">
        <w:instrText>:Hegel</w:instrText>
      </w:r>
      <w:r w:rsidR="003B4FA7">
        <w:instrText xml:space="preserve">" </w:instrText>
      </w:r>
      <w:r w:rsidR="003B4FA7">
        <w:rPr>
          <w:i/>
        </w:rPr>
        <w:fldChar w:fldCharType="end"/>
      </w:r>
      <w:r w:rsidR="00EE4747">
        <w:t xml:space="preserve"> </w:t>
      </w:r>
      <w:r>
        <w:t xml:space="preserve">zrcadlilo </w:t>
      </w:r>
      <w:r w:rsidR="00EE4747">
        <w:t xml:space="preserve">abstraktní růst svobody a sebereflexe v mysli tohoto akademického </w:t>
      </w:r>
      <w:r w:rsidR="00F9215E">
        <w:t>filosofa</w:t>
      </w:r>
      <w:r w:rsidR="008C2760">
        <w:t xml:space="preserve">, nikoliv reálné </w:t>
      </w:r>
      <w:r w:rsidR="086A4229">
        <w:t xml:space="preserve">a proto primární </w:t>
      </w:r>
      <w:r w:rsidR="008C2760">
        <w:t xml:space="preserve">dění v </w:t>
      </w:r>
      <w:r w:rsidR="00EE4747">
        <w:t>kapitalistickém systému práce a podnikání.</w:t>
      </w:r>
      <w:r w:rsidR="005005E1">
        <w:t xml:space="preserve"> Rufusova moderní definice pravdy zahajuje jak vývoj k postmoderně Hegela</w:t>
      </w:r>
      <w:r w:rsidR="005005E1">
        <w:fldChar w:fldCharType="begin"/>
      </w:r>
      <w:r w:rsidR="005005E1">
        <w:instrText xml:space="preserve"> XE "</w:instrText>
      </w:r>
      <w:r w:rsidR="005005E1" w:rsidRPr="00710C16">
        <w:instrText>Hegel, G. W.</w:instrText>
      </w:r>
      <w:r w:rsidR="005005E1">
        <w:instrText xml:space="preserve">" </w:instrText>
      </w:r>
      <w:r w:rsidR="005005E1">
        <w:fldChar w:fldCharType="end"/>
      </w:r>
      <w:r w:rsidR="005005E1">
        <w:t xml:space="preserve"> a Marxe, tak i vývoj k abstraktně pojaté ideji lidských práv. Jejich moderní univerzalita stojí v epoše metafyzického nihilismu na ideologickém </w:t>
      </w:r>
      <w:r w:rsidR="005005E1" w:rsidRPr="004A3973">
        <w:rPr>
          <w:i/>
        </w:rPr>
        <w:t>scibile</w:t>
      </w:r>
      <w:r w:rsidR="005005E1">
        <w:t xml:space="preserve"> moderní specificky</w:t>
      </w:r>
      <w:r w:rsidR="005005E1">
        <w:noBreakHyphen/>
        <w:t>lidské přirozenosti.</w:t>
      </w:r>
      <w:r w:rsidR="083225C3">
        <w:t xml:space="preserve"> </w:t>
      </w:r>
      <w:r w:rsidR="00903D6F" w:rsidRPr="00903D6F">
        <w:t>Kritika aristotelské Han</w:t>
      </w:r>
      <w:r w:rsidR="00903D6F">
        <w:t>y</w:t>
      </w:r>
      <w:r w:rsidR="00903D6F" w:rsidRPr="00903D6F">
        <w:t xml:space="preserve"> Arendtové</w:t>
      </w:r>
      <w:r w:rsidR="00E402F3">
        <w:rPr>
          <w:szCs w:val="24"/>
        </w:rPr>
        <w:fldChar w:fldCharType="begin"/>
      </w:r>
      <w:r w:rsidR="00E402F3">
        <w:instrText xml:space="preserve"> XE "</w:instrText>
      </w:r>
      <w:r w:rsidR="00E402F3" w:rsidRPr="00964940">
        <w:rPr>
          <w:szCs w:val="24"/>
        </w:rPr>
        <w:instrText>Arendt, H.</w:instrText>
      </w:r>
      <w:r w:rsidR="00E402F3">
        <w:instrText xml:space="preserve">" </w:instrText>
      </w:r>
      <w:r w:rsidR="00E402F3">
        <w:rPr>
          <w:szCs w:val="24"/>
        </w:rPr>
        <w:fldChar w:fldCharType="end"/>
      </w:r>
      <w:r w:rsidR="00903D6F" w:rsidRPr="00903D6F">
        <w:t xml:space="preserve"> se </w:t>
      </w:r>
      <w:r w:rsidR="00903D6F">
        <w:t xml:space="preserve">proto </w:t>
      </w:r>
      <w:r w:rsidR="00903D6F" w:rsidRPr="00903D6F">
        <w:t>týká jak moderního pojetí svobody, tak abstraktního pojetí lidských práv (OBJ III, kap. 5).</w:t>
      </w:r>
      <w:r w:rsidR="00903D6F">
        <w:t xml:space="preserve"> </w:t>
      </w:r>
      <w:r w:rsidR="005005E1" w:rsidRPr="00273106">
        <w:t xml:space="preserve">Univerzální </w:t>
      </w:r>
      <w:r w:rsidR="004B4D52" w:rsidRPr="004B4D52">
        <w:t>species</w:t>
      </w:r>
      <w:r w:rsidR="005005E1" w:rsidRPr="00273106">
        <w:t xml:space="preserve"> existují univočně a tvoří </w:t>
      </w:r>
      <w:r w:rsidR="005005E1">
        <w:t xml:space="preserve">v diakosmu </w:t>
      </w:r>
      <w:r w:rsidR="005005E1" w:rsidRPr="00B844EF">
        <w:rPr>
          <w:i/>
        </w:rPr>
        <w:t>Modernorum</w:t>
      </w:r>
      <w:r w:rsidR="005005E1">
        <w:t xml:space="preserve"> potenciální a substančně dané </w:t>
      </w:r>
      <w:r w:rsidR="005005E1" w:rsidRPr="00273106">
        <w:rPr>
          <w:i/>
        </w:rPr>
        <w:t>scibile</w:t>
      </w:r>
      <w:r w:rsidR="005005E1" w:rsidRPr="00273106">
        <w:t xml:space="preserve"> v hylemorfických substancích, v božím, kosmickém a lidském intelektu. Poznání s potřebnou jistotou a správností kon</w:t>
      </w:r>
      <w:r w:rsidR="005005E1">
        <w:t xml:space="preserve">statuje jejich totožnost v mysli. </w:t>
      </w:r>
      <w:r w:rsidR="00355631" w:rsidRPr="00355631">
        <w:t xml:space="preserve">Moderna </w:t>
      </w:r>
      <w:r w:rsidR="00355631">
        <w:t xml:space="preserve">mysticky vidí </w:t>
      </w:r>
      <w:r w:rsidR="003677D5">
        <w:t xml:space="preserve">objektivní </w:t>
      </w:r>
      <w:r w:rsidR="00355631">
        <w:t xml:space="preserve">species ve </w:t>
      </w:r>
      <w:r w:rsidR="00355631" w:rsidRPr="00355631">
        <w:t xml:space="preserve">věcech a následně zjišťuje jejich </w:t>
      </w:r>
      <w:r w:rsidR="003677D5">
        <w:t xml:space="preserve">korespondenci s identickými objektivními </w:t>
      </w:r>
      <w:r w:rsidR="00355631">
        <w:t xml:space="preserve">species </w:t>
      </w:r>
      <w:r w:rsidR="003677D5">
        <w:t xml:space="preserve">danými </w:t>
      </w:r>
      <w:r w:rsidR="00355631">
        <w:t>v mysli</w:t>
      </w:r>
      <w:r w:rsidR="003677D5">
        <w:t xml:space="preserve">. Akt </w:t>
      </w:r>
      <w:r w:rsidR="00355631" w:rsidRPr="00355631">
        <w:t xml:space="preserve">poznání </w:t>
      </w:r>
      <w:r w:rsidR="003677D5">
        <w:t>logicky a evidentně nutně konstuje plnou rovnost</w:t>
      </w:r>
      <w:r w:rsidR="00355631">
        <w:t xml:space="preserve"> obou druhů </w:t>
      </w:r>
      <w:r w:rsidR="00355631" w:rsidRPr="00355631">
        <w:rPr>
          <w:i/>
        </w:rPr>
        <w:t>scibile</w:t>
      </w:r>
      <w:r w:rsidR="00355631" w:rsidRPr="00355631">
        <w:t>.</w:t>
      </w:r>
      <w:r w:rsidR="00355631">
        <w:t xml:space="preserve"> </w:t>
      </w:r>
      <w:r w:rsidR="005005E1">
        <w:t xml:space="preserve">Moderní dialektika mezi </w:t>
      </w:r>
      <w:r w:rsidRPr="00B504B7">
        <w:rPr>
          <w:i/>
        </w:rPr>
        <w:t>potentia accidentalis</w:t>
      </w:r>
      <w:r w:rsidR="00074668">
        <w:rPr>
          <w:i/>
        </w:rPr>
        <w:fldChar w:fldCharType="begin"/>
      </w:r>
      <w:r w:rsidR="00074668">
        <w:instrText xml:space="preserve"> XE "</w:instrText>
      </w:r>
      <w:r w:rsidR="00074668" w:rsidRPr="001E6440">
        <w:rPr>
          <w:i/>
        </w:rPr>
        <w:instrText xml:space="preserve">potentia </w:instrText>
      </w:r>
      <w:r w:rsidR="00843164">
        <w:rPr>
          <w:i/>
        </w:rPr>
        <w:instrText>accidentalis</w:instrText>
      </w:r>
      <w:r w:rsidR="00074668">
        <w:instrText xml:space="preserve">" </w:instrText>
      </w:r>
      <w:r w:rsidR="00074668">
        <w:rPr>
          <w:i/>
        </w:rPr>
        <w:fldChar w:fldCharType="end"/>
      </w:r>
      <w:r w:rsidR="005005E1">
        <w:t xml:space="preserve"> a </w:t>
      </w:r>
      <w:r>
        <w:rPr>
          <w:i/>
        </w:rPr>
        <w:t>potentia substantialis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t xml:space="preserve"> platí nerozlišeně jak v realitě, tak v mysli, protože obě </w:t>
      </w:r>
      <w:r w:rsidR="004B4D52" w:rsidRPr="004B4D52">
        <w:t>species</w:t>
      </w:r>
      <w:r>
        <w:t xml:space="preserve"> jsou dány univočně. </w:t>
      </w:r>
      <w:r w:rsidR="005005E1">
        <w:t xml:space="preserve">Formy </w:t>
      </w:r>
      <w:r>
        <w:t xml:space="preserve">jsou dány v kontingentní realitě a naše empiricky založené poznání je akcidentálně reprezentuje v mysli. Teoretický vědec drží v aktu sebereflexe karteziánské </w:t>
      </w:r>
      <w:r w:rsidRPr="001A2ED0">
        <w:rPr>
          <w:i/>
        </w:rPr>
        <w:t>cogito</w:t>
      </w:r>
      <w:r>
        <w:t xml:space="preserve"> jako substanciální poznávací potenci. Pomocí matem</w:t>
      </w:r>
      <w:r w:rsidR="00CD3C9E">
        <w:t xml:space="preserve">atiky dané v porretánském modu </w:t>
      </w:r>
      <w:r w:rsidRPr="00273106">
        <w:rPr>
          <w:i/>
        </w:rPr>
        <w:t>semel</w:t>
      </w:r>
      <w:r w:rsidRPr="00273106">
        <w:t xml:space="preserve"> </w:t>
      </w:r>
      <w:r w:rsidRPr="00273106">
        <w:rPr>
          <w:i/>
        </w:rPr>
        <w:t>est verum, semper est verum</w:t>
      </w:r>
      <w:r>
        <w:t xml:space="preserve"> (</w:t>
      </w:r>
      <w:r w:rsidR="00EC33EF">
        <w:fldChar w:fldCharType="begin"/>
      </w:r>
      <w:r w:rsidR="00EC33EF">
        <w:instrText xml:space="preserve"> XE "</w:instrText>
      </w:r>
      <w:r w:rsidR="00EC33EF" w:rsidRPr="0084105F">
        <w:instrText>predikace:</w:instrText>
      </w:r>
      <w:r w:rsidR="006F1348">
        <w:rPr>
          <w:i/>
        </w:rPr>
        <w:instrText>semel‒semper</w:instrText>
      </w:r>
      <w:r w:rsidR="00EC33EF">
        <w:instrText xml:space="preserve">" </w:instrText>
      </w:r>
      <w:r w:rsidR="00EC33EF">
        <w:fldChar w:fldCharType="end"/>
      </w:r>
      <w:r w:rsidR="089A038A">
        <w:t>kap. 1</w:t>
      </w:r>
      <w:r w:rsidRPr="00273106">
        <w:t>.4)</w:t>
      </w:r>
      <w:r>
        <w:t xml:space="preserve"> pak akcidentálně určuje, jak bude vypadat ten či onen reálný produkt technovědy, či ideologicky pojaté reality. V obou případech platí spekulativní definice pravdy jako plné rovnosti věcí a intelektu (</w:t>
      </w:r>
      <w:r w:rsidRPr="00273106">
        <w:rPr>
          <w:i/>
        </w:rPr>
        <w:t>veritas est coaequatio rerum et intellectuum</w:t>
      </w:r>
      <w:r w:rsidR="00DC6F64">
        <w:rPr>
          <w:i/>
        </w:rPr>
        <w:fldChar w:fldCharType="begin"/>
      </w:r>
      <w:r w:rsidR="00DC6F64">
        <w:instrText xml:space="preserve"> XE "pravda:</w:instrText>
      </w:r>
      <w:r w:rsidR="00DC6F64" w:rsidRPr="009F63FD">
        <w:rPr>
          <w:i/>
        </w:rPr>
        <w:instrText>coaequatio</w:instrText>
      </w:r>
      <w:r w:rsidR="00DC6F64">
        <w:instrText xml:space="preserve">" </w:instrText>
      </w:r>
      <w:r w:rsidR="00DC6F64">
        <w:rPr>
          <w:i/>
        </w:rPr>
        <w:fldChar w:fldCharType="end"/>
      </w:r>
      <w:r>
        <w:t xml:space="preserve">). </w:t>
      </w:r>
      <w:r w:rsidRPr="00273106">
        <w:t>Každá pravda je dána předem, viz metafyzický modus Avicennovy a Anselmovy jistoty založené ontoteologicky</w:t>
      </w:r>
      <w:r>
        <w:t xml:space="preserve"> směrem od kosmického činného intelektu jako dárce forem</w:t>
      </w:r>
      <w:r w:rsidR="00524DCB">
        <w:fldChar w:fldCharType="begin"/>
      </w:r>
      <w:r w:rsidR="00524DCB">
        <w:instrText xml:space="preserve"> XE "</w:instrText>
      </w:r>
      <w:r w:rsidR="00524DCB" w:rsidRPr="00BA7E25">
        <w:instrText>intelekt:dárce forem</w:instrText>
      </w:r>
      <w:r w:rsidR="00524DCB">
        <w:instrText xml:space="preserve">" </w:instrText>
      </w:r>
      <w:r w:rsidR="00524DCB">
        <w:fldChar w:fldCharType="end"/>
      </w:r>
      <w:r w:rsidRPr="00273106">
        <w:t xml:space="preserve">. Adekvace v modu pravdy jako </w:t>
      </w:r>
      <w:r w:rsidRPr="00273106">
        <w:rPr>
          <w:rStyle w:val="linemarker-marked-line"/>
          <w:i/>
        </w:rPr>
        <w:t>aequalitas</w:t>
      </w:r>
      <w:r w:rsidRPr="00273106">
        <w:t xml:space="preserve"> vychází z matematicky dané analogie, která směšuje v univočním konceptu jsoucna reálnou věc i její poznání.</w:t>
      </w:r>
      <w:r w:rsidRPr="00273106">
        <w:rPr>
          <w:rStyle w:val="linemarker-marked-line"/>
        </w:rPr>
        <w:t xml:space="preserve"> </w:t>
      </w:r>
      <w:r w:rsidRPr="00273106">
        <w:t>Blund a první averroismus jasně rozlišili věc v realitě a její smyslové a intelekt</w:t>
      </w:r>
      <w:r>
        <w:t xml:space="preserve">uální </w:t>
      </w:r>
      <w:r w:rsidR="004B4D52" w:rsidRPr="004B4D52">
        <w:t>species</w:t>
      </w:r>
      <w:r>
        <w:t xml:space="preserve"> v mysli. Mrtvola není reálný člověk</w:t>
      </w:r>
      <w:r w:rsidR="00D25884">
        <w:t xml:space="preserve">, ani není impozice </w:t>
      </w:r>
      <w:r w:rsidR="00D25884" w:rsidRPr="00D25884">
        <w:t>osoby k provedení demonstrativního důkazu.</w:t>
      </w:r>
      <w:r w:rsidR="00915401">
        <w:rPr>
          <w:i/>
        </w:rPr>
        <w:fldChar w:fldCharType="begin"/>
      </w:r>
      <w:r w:rsidR="00915401">
        <w:instrText xml:space="preserve"> XE "sofisma člověk-mrtvola" </w:instrText>
      </w:r>
      <w:r w:rsidR="00915401">
        <w:rPr>
          <w:i/>
        </w:rPr>
        <w:fldChar w:fldCharType="end"/>
      </w:r>
    </w:p>
    <w:p w14:paraId="0BA106B3" w14:textId="691FB20C" w:rsidR="00C07AF4" w:rsidRPr="00273106" w:rsidRDefault="00CE26AB" w:rsidP="00355631">
      <w:pPr>
        <w:ind w:firstLine="397"/>
      </w:pPr>
      <w:r w:rsidRPr="00273106">
        <w:t xml:space="preserve">Rufus je </w:t>
      </w:r>
      <w:r w:rsidR="00656A8B">
        <w:t xml:space="preserve">první vědecky založený </w:t>
      </w:r>
      <w:r w:rsidR="006E7C93" w:rsidRPr="00273106">
        <w:t>moderní kartezián</w:t>
      </w:r>
      <w:r w:rsidR="00656A8B">
        <w:t xml:space="preserve">, který nepotřebuje </w:t>
      </w:r>
      <w:r w:rsidR="004B3F3D">
        <w:t xml:space="preserve">pozorovat </w:t>
      </w:r>
      <w:r w:rsidR="00656A8B">
        <w:t>reálný svět</w:t>
      </w:r>
      <w:r w:rsidRPr="00273106">
        <w:t xml:space="preserve">. </w:t>
      </w:r>
      <w:r w:rsidR="001F1877" w:rsidRPr="00273106">
        <w:t>Jistota poznáva</w:t>
      </w:r>
      <w:r w:rsidR="00F71101" w:rsidRPr="00273106">
        <w:t>jí</w:t>
      </w:r>
      <w:r w:rsidR="001F1877" w:rsidRPr="00273106">
        <w:t xml:space="preserve">cího subjektu </w:t>
      </w:r>
      <w:r w:rsidR="00341751" w:rsidRPr="00273106">
        <w:t xml:space="preserve">se nejprve </w:t>
      </w:r>
      <w:r w:rsidR="009C7D66" w:rsidRPr="00273106">
        <w:t>vzta</w:t>
      </w:r>
      <w:r w:rsidR="00341751" w:rsidRPr="00273106">
        <w:t xml:space="preserve">huje </w:t>
      </w:r>
      <w:r w:rsidR="009C7D66" w:rsidRPr="00273106">
        <w:t>k</w:t>
      </w:r>
      <w:r w:rsidR="00341751" w:rsidRPr="00273106">
        <w:t xml:space="preserve"> sebereflexi na úrovni smyslového poznání </w:t>
      </w:r>
      <w:r w:rsidR="009C7D66" w:rsidRPr="00273106">
        <w:t>(</w:t>
      </w:r>
      <w:r w:rsidR="009C7D66" w:rsidRPr="00273106">
        <w:rPr>
          <w:i/>
        </w:rPr>
        <w:t>percipio me percipere colorem</w:t>
      </w:r>
      <w:r w:rsidR="003677D5">
        <w:t>)</w:t>
      </w:r>
      <w:r w:rsidR="00C07AF4" w:rsidRPr="00273106">
        <w:t xml:space="preserve">. </w:t>
      </w:r>
      <w:r w:rsidR="00C503FF">
        <w:t>Moderní p</w:t>
      </w:r>
      <w:r w:rsidR="003C2BBE">
        <w:t xml:space="preserve">roces poznání </w:t>
      </w:r>
      <w:r w:rsidR="000C1359" w:rsidRPr="00273106">
        <w:t xml:space="preserve">vzniká </w:t>
      </w:r>
      <w:r w:rsidR="003C2BBE">
        <w:t xml:space="preserve">v modu moderního </w:t>
      </w:r>
      <w:r w:rsidR="00C503FF" w:rsidRPr="00AC31DE">
        <w:rPr>
          <w:i/>
        </w:rPr>
        <w:t>informatio</w:t>
      </w:r>
      <w:r w:rsidR="00F44F09">
        <w:rPr>
          <w:i/>
        </w:rPr>
        <w:fldChar w:fldCharType="begin"/>
      </w:r>
      <w:r w:rsidR="00F44F09">
        <w:instrText xml:space="preserve"> XE "</w:instrText>
      </w:r>
      <w:r w:rsidR="00F44F09" w:rsidRPr="00BA0B31">
        <w:rPr>
          <w:i/>
        </w:rPr>
        <w:instrText>informatio</w:instrText>
      </w:r>
      <w:r w:rsidR="00F44F09">
        <w:instrText xml:space="preserve">" </w:instrText>
      </w:r>
      <w:r w:rsidR="00F44F09">
        <w:rPr>
          <w:i/>
        </w:rPr>
        <w:fldChar w:fldCharType="end"/>
      </w:r>
      <w:r w:rsidR="000C1359">
        <w:t>. I</w:t>
      </w:r>
      <w:r w:rsidR="00C503FF">
        <w:t xml:space="preserve">ntelekt </w:t>
      </w:r>
      <w:r w:rsidR="00C503FF" w:rsidRPr="00273106">
        <w:t xml:space="preserve">si uvědomí </w:t>
      </w:r>
      <w:r w:rsidR="00A11E35" w:rsidRPr="00273106">
        <w:t>v aktu sebereflexe</w:t>
      </w:r>
      <w:r w:rsidR="00A11E35">
        <w:t xml:space="preserve"> také následný fakt, že musí asimilovat další formu </w:t>
      </w:r>
      <w:r w:rsidR="000C1359">
        <w:t xml:space="preserve">jako </w:t>
      </w:r>
      <w:r w:rsidR="00C503FF" w:rsidRPr="00273106">
        <w:rPr>
          <w:i/>
        </w:rPr>
        <w:t>scibile</w:t>
      </w:r>
      <w:r w:rsidR="00C503FF" w:rsidRPr="00273106">
        <w:t xml:space="preserve">. </w:t>
      </w:r>
      <w:r w:rsidR="00C07AF4" w:rsidRPr="00273106">
        <w:t xml:space="preserve">Původní </w:t>
      </w:r>
      <w:r w:rsidR="00C07AF4" w:rsidRPr="00273106">
        <w:rPr>
          <w:i/>
        </w:rPr>
        <w:t>Lichtung</w:t>
      </w:r>
      <w:r w:rsidR="00C07AF4" w:rsidRPr="00273106">
        <w:t xml:space="preserve"> informačního věku moderny ukazuje tento citát.</w:t>
      </w:r>
    </w:p>
    <w:p w14:paraId="3B8ACAE8" w14:textId="7A7502D7" w:rsidR="00C07AF4" w:rsidRPr="00273106" w:rsidRDefault="00C07AF4" w:rsidP="00152F25">
      <w:pPr>
        <w:pStyle w:val="Citace"/>
        <w:rPr>
          <w:noProof/>
          <w:lang w:val="cs-CZ"/>
        </w:rPr>
      </w:pPr>
      <w:r w:rsidRPr="00273106">
        <w:rPr>
          <w:noProof/>
          <w:lang w:val="cs-CZ"/>
        </w:rPr>
        <w:t>„S</w:t>
      </w:r>
      <w:r w:rsidR="00F567D4">
        <w:rPr>
          <w:noProof/>
          <w:lang w:val="cs-CZ"/>
        </w:rPr>
        <w:t>chopnost vidění, pokud je změně</w:t>
      </w:r>
      <w:r w:rsidRPr="00273106">
        <w:rPr>
          <w:noProof/>
          <w:lang w:val="cs-CZ"/>
        </w:rPr>
        <w:t xml:space="preserve">na světlem, vnímá </w:t>
      </w:r>
      <w:r w:rsidR="008D1280">
        <w:rPr>
          <w:noProof/>
          <w:lang w:val="cs-CZ"/>
        </w:rPr>
        <w:t xml:space="preserve">nejen </w:t>
      </w:r>
      <w:r w:rsidRPr="00273106">
        <w:rPr>
          <w:noProof/>
          <w:lang w:val="cs-CZ"/>
        </w:rPr>
        <w:t>barvu</w:t>
      </w:r>
      <w:r w:rsidR="008D1280">
        <w:rPr>
          <w:noProof/>
          <w:lang w:val="cs-CZ"/>
        </w:rPr>
        <w:t xml:space="preserve">, ale i </w:t>
      </w:r>
      <w:r w:rsidR="00C31A0B">
        <w:rPr>
          <w:noProof/>
          <w:lang w:val="cs-CZ"/>
        </w:rPr>
        <w:t xml:space="preserve">neměnnost světla </w:t>
      </w:r>
      <w:r w:rsidR="00157EE7">
        <w:rPr>
          <w:noProof/>
          <w:lang w:val="cs-CZ"/>
        </w:rPr>
        <w:t>(</w:t>
      </w:r>
      <w:r w:rsidR="00157EE7" w:rsidRPr="00157EE7">
        <w:rPr>
          <w:i/>
        </w:rPr>
        <w:t>suam immutationem</w:t>
      </w:r>
      <w:r w:rsidR="00157EE7">
        <w:rPr>
          <w:noProof/>
          <w:lang w:val="cs-CZ"/>
        </w:rPr>
        <w:t>)</w:t>
      </w:r>
      <w:r w:rsidRPr="00273106">
        <w:rPr>
          <w:noProof/>
          <w:lang w:val="cs-CZ"/>
        </w:rPr>
        <w:t xml:space="preserve">. Podobně i intelektuální poznávací schopnost vychází z </w:t>
      </w:r>
      <w:r w:rsidR="00C31A0B">
        <w:rPr>
          <w:noProof/>
          <w:lang w:val="cs-CZ"/>
        </w:rPr>
        <w:t xml:space="preserve">neměnnosti </w:t>
      </w:r>
      <w:r w:rsidR="004B4D52" w:rsidRPr="004B4D52">
        <w:rPr>
          <w:noProof/>
          <w:lang w:val="cs-CZ"/>
        </w:rPr>
        <w:t>species</w:t>
      </w:r>
      <w:r w:rsidR="08185383">
        <w:rPr>
          <w:noProof/>
          <w:lang w:val="cs-CZ"/>
        </w:rPr>
        <w:t>, která je poznána nebo zformována</w:t>
      </w:r>
      <w:r w:rsidR="00C31A0B">
        <w:rPr>
          <w:noProof/>
          <w:lang w:val="cs-CZ"/>
        </w:rPr>
        <w:t xml:space="preserve"> (</w:t>
      </w:r>
      <w:r w:rsidR="00C31A0B" w:rsidRPr="00C31A0B">
        <w:rPr>
          <w:i/>
        </w:rPr>
        <w:t>specie alicuius scibilis aut informatur</w:t>
      </w:r>
      <w:r w:rsidR="00C31A0B">
        <w:rPr>
          <w:noProof/>
          <w:lang w:val="cs-CZ"/>
        </w:rPr>
        <w:t xml:space="preserve">). </w:t>
      </w:r>
      <w:r w:rsidR="003911F1">
        <w:rPr>
          <w:noProof/>
          <w:lang w:val="cs-CZ"/>
        </w:rPr>
        <w:t xml:space="preserve">Poznávací schopnost </w:t>
      </w:r>
      <w:r w:rsidR="002521EF">
        <w:rPr>
          <w:noProof/>
          <w:lang w:val="cs-CZ"/>
        </w:rPr>
        <w:t xml:space="preserve">vnímá </w:t>
      </w:r>
      <w:r w:rsidR="001C346F">
        <w:rPr>
          <w:noProof/>
          <w:lang w:val="cs-CZ"/>
        </w:rPr>
        <w:t xml:space="preserve">nejen </w:t>
      </w:r>
      <w:r w:rsidR="00C31A0B">
        <w:rPr>
          <w:noProof/>
          <w:lang w:val="cs-CZ"/>
        </w:rPr>
        <w:t>poznaný obsah (</w:t>
      </w:r>
      <w:r w:rsidR="00C31A0B" w:rsidRPr="00C31A0B">
        <w:rPr>
          <w:i/>
          <w:noProof/>
          <w:lang w:val="cs-CZ"/>
        </w:rPr>
        <w:t>suum scibile</w:t>
      </w:r>
      <w:r w:rsidR="00C31A0B">
        <w:rPr>
          <w:noProof/>
          <w:lang w:val="cs-CZ"/>
        </w:rPr>
        <w:t>)</w:t>
      </w:r>
      <w:r w:rsidR="002521EF">
        <w:rPr>
          <w:noProof/>
          <w:lang w:val="cs-CZ"/>
        </w:rPr>
        <w:t xml:space="preserve">, </w:t>
      </w:r>
      <w:r w:rsidR="001C346F">
        <w:rPr>
          <w:noProof/>
          <w:lang w:val="cs-CZ"/>
        </w:rPr>
        <w:t xml:space="preserve">ale i </w:t>
      </w:r>
      <w:r w:rsidR="08463563">
        <w:rPr>
          <w:noProof/>
          <w:lang w:val="cs-CZ"/>
        </w:rPr>
        <w:t xml:space="preserve">proces </w:t>
      </w:r>
      <w:r w:rsidR="00C31A0B">
        <w:rPr>
          <w:noProof/>
          <w:lang w:val="cs-CZ"/>
        </w:rPr>
        <w:t xml:space="preserve">formace </w:t>
      </w:r>
      <w:r w:rsidR="004B4D52" w:rsidRPr="004B4D52">
        <w:rPr>
          <w:noProof/>
          <w:lang w:val="cs-CZ"/>
        </w:rPr>
        <w:t>species</w:t>
      </w:r>
      <w:r w:rsidR="08463563">
        <w:rPr>
          <w:noProof/>
          <w:lang w:val="cs-CZ"/>
        </w:rPr>
        <w:t xml:space="preserve"> </w:t>
      </w:r>
      <w:r w:rsidR="00C31A0B">
        <w:rPr>
          <w:noProof/>
          <w:lang w:val="cs-CZ"/>
        </w:rPr>
        <w:t>(</w:t>
      </w:r>
      <w:r w:rsidR="00FA5B19" w:rsidRPr="00FA5B19">
        <w:rPr>
          <w:i/>
        </w:rPr>
        <w:t>suam informationem</w:t>
      </w:r>
      <w:r w:rsidR="00FA5B19">
        <w:rPr>
          <w:noProof/>
          <w:lang w:val="cs-CZ"/>
        </w:rPr>
        <w:t>)</w:t>
      </w:r>
      <w:r w:rsidRPr="00273106">
        <w:rPr>
          <w:noProof/>
          <w:lang w:val="cs-CZ"/>
        </w:rPr>
        <w:t>.</w:t>
      </w:r>
      <w:r w:rsidR="00152F25" w:rsidRPr="00273106">
        <w:rPr>
          <w:noProof/>
          <w:lang w:val="cs-CZ"/>
        </w:rPr>
        <w:t>“</w:t>
      </w:r>
      <w:r w:rsidR="009B0EDB">
        <w:rPr>
          <w:noProof/>
          <w:lang w:val="cs-CZ"/>
        </w:rPr>
        <w:t> </w:t>
      </w:r>
      <w:r w:rsidRPr="00273106">
        <w:rPr>
          <w:rStyle w:val="Znakapoznpodarou"/>
          <w:noProof/>
          <w:lang w:val="cs-CZ"/>
        </w:rPr>
        <w:footnoteReference w:id="423"/>
      </w:r>
    </w:p>
    <w:p w14:paraId="569703DE" w14:textId="728A6786" w:rsidR="08573A39" w:rsidRDefault="005840B6" w:rsidP="003630A9">
      <w:r>
        <w:t>Paralela běží mezi dvěma podobnými procesy (</w:t>
      </w:r>
      <w:r w:rsidRPr="00157EE7">
        <w:rPr>
          <w:i/>
        </w:rPr>
        <w:t>suam immutationem</w:t>
      </w:r>
      <w:r w:rsidR="00836E44">
        <w:rPr>
          <w:i/>
        </w:rPr>
        <w:t>–</w:t>
      </w:r>
      <w:r w:rsidRPr="00FA5B19">
        <w:rPr>
          <w:i/>
        </w:rPr>
        <w:t>suam informationem</w:t>
      </w:r>
      <w:r>
        <w:t xml:space="preserve">). </w:t>
      </w:r>
      <w:r w:rsidR="00531E24">
        <w:t>Smyslové nebo inte</w:t>
      </w:r>
      <w:r>
        <w:t>l</w:t>
      </w:r>
      <w:r w:rsidR="00531E24">
        <w:t>e</w:t>
      </w:r>
      <w:r>
        <w:t>kt</w:t>
      </w:r>
      <w:r w:rsidR="00531E24">
        <w:t xml:space="preserve">uální vnímání není formováno </w:t>
      </w:r>
      <w:r w:rsidR="009F0F45">
        <w:t xml:space="preserve">skrze </w:t>
      </w:r>
      <w:r w:rsidR="00531E24">
        <w:t>intencionální</w:t>
      </w:r>
      <w:r>
        <w:t xml:space="preserve"> </w:t>
      </w:r>
      <w:r w:rsidR="004B4D52" w:rsidRPr="004B4D52">
        <w:t>species</w:t>
      </w:r>
      <w:r>
        <w:t xml:space="preserve">, ale </w:t>
      </w:r>
      <w:r w:rsidR="00531E24">
        <w:t>přímo nazírá hypostázovanou</w:t>
      </w:r>
      <w:r>
        <w:t xml:space="preserve"> </w:t>
      </w:r>
      <w:r w:rsidR="004B4D52" w:rsidRPr="004B4D52">
        <w:t>species</w:t>
      </w:r>
      <w:r>
        <w:t xml:space="preserve"> třetího druhu, kter</w:t>
      </w:r>
      <w:r w:rsidR="00531E24">
        <w:t xml:space="preserve">á tvoří </w:t>
      </w:r>
      <w:r w:rsidR="005A2F55">
        <w:t>ne</w:t>
      </w:r>
      <w:r w:rsidR="083225C3">
        <w:t xml:space="preserve">měnný </w:t>
      </w:r>
      <w:r w:rsidR="00531E24">
        <w:t>základ</w:t>
      </w:r>
      <w:r w:rsidR="00182341">
        <w:t xml:space="preserve"> poznání</w:t>
      </w:r>
      <w:r>
        <w:t>.</w:t>
      </w:r>
      <w:r w:rsidR="00F27D37">
        <w:t xml:space="preserve"> </w:t>
      </w:r>
      <w:r w:rsidR="009B0EDB">
        <w:t xml:space="preserve">Schéma </w:t>
      </w:r>
      <w:r w:rsidR="00C67C2B">
        <w:t xml:space="preserve">nasvícení zezadu </w:t>
      </w:r>
      <w:r w:rsidR="009B0EDB">
        <w:t>ukazuje na pevný základ vnímání a poznání (</w:t>
      </w:r>
      <w:r w:rsidR="009B0EDB" w:rsidRPr="009B0EDB">
        <w:rPr>
          <w:i/>
        </w:rPr>
        <w:t>potentia substantialis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rsidR="081C35FF">
        <w:t>, kap. 3</w:t>
      </w:r>
      <w:r w:rsidR="009B0EDB">
        <w:t>.3.1</w:t>
      </w:r>
      <w:r w:rsidR="00BE109D">
        <w:t>) daný vůči promě</w:t>
      </w:r>
      <w:r w:rsidR="009B0EDB">
        <w:t>nlivému aktu poznání</w:t>
      </w:r>
      <w:r w:rsidR="082E764E">
        <w:t xml:space="preserve"> danému v subjektivním </w:t>
      </w:r>
      <w:r w:rsidR="082E764E" w:rsidRPr="082E764E">
        <w:rPr>
          <w:i/>
        </w:rPr>
        <w:t>informatio</w:t>
      </w:r>
      <w:r w:rsidR="009B0EDB">
        <w:t xml:space="preserve">. </w:t>
      </w:r>
      <w:r w:rsidR="080F2497">
        <w:t xml:space="preserve">Náhled kontigentního </w:t>
      </w:r>
      <w:r w:rsidR="080F2497" w:rsidRPr="00531E24">
        <w:rPr>
          <w:i/>
        </w:rPr>
        <w:t>scibile</w:t>
      </w:r>
      <w:r w:rsidR="080F2497" w:rsidRPr="00531E24">
        <w:rPr>
          <w:i/>
        </w:rPr>
        <w:fldChar w:fldCharType="begin"/>
      </w:r>
      <w:r w:rsidR="080F2497" w:rsidRPr="00531E24">
        <w:rPr>
          <w:i/>
        </w:rPr>
        <w:instrText xml:space="preserve"> XE "scibile:</w:instrText>
      </w:r>
      <w:r w:rsidR="080F2497" w:rsidRPr="0813449D">
        <w:instrText>Rufus</w:instrText>
      </w:r>
      <w:r w:rsidR="080F2497" w:rsidRPr="00531E24">
        <w:rPr>
          <w:i/>
        </w:rPr>
        <w:instrText xml:space="preserve">" </w:instrText>
      </w:r>
      <w:r w:rsidR="080F2497" w:rsidRPr="00531E24">
        <w:rPr>
          <w:i/>
        </w:rPr>
        <w:fldChar w:fldCharType="end"/>
      </w:r>
      <w:r w:rsidR="080F2497">
        <w:t xml:space="preserve"> je dedukován od moderního </w:t>
      </w:r>
      <w:r w:rsidR="080F2497" w:rsidRPr="00D66CBE">
        <w:rPr>
          <w:i/>
        </w:rPr>
        <w:t>informatio</w:t>
      </w:r>
      <w:r w:rsidR="080F2497">
        <w:rPr>
          <w:i/>
        </w:rPr>
        <w:fldChar w:fldCharType="begin"/>
      </w:r>
      <w:r w:rsidR="080F2497">
        <w:instrText xml:space="preserve"> XE "</w:instrText>
      </w:r>
      <w:r w:rsidR="080F2497" w:rsidRPr="00BA0B31">
        <w:rPr>
          <w:i/>
        </w:rPr>
        <w:instrText>informatio</w:instrText>
      </w:r>
      <w:r w:rsidR="080F2497">
        <w:instrText xml:space="preserve">" </w:instrText>
      </w:r>
      <w:r w:rsidR="080F2497">
        <w:rPr>
          <w:i/>
        </w:rPr>
        <w:fldChar w:fldCharType="end"/>
      </w:r>
      <w:r w:rsidR="080F2497">
        <w:t xml:space="preserve"> daného hypostatickou unií intelektu a nového druhu </w:t>
      </w:r>
      <w:r w:rsidR="004B4D52" w:rsidRPr="004B4D52">
        <w:t>species</w:t>
      </w:r>
      <w:r w:rsidR="080F2497">
        <w:t xml:space="preserve"> v modu individuality a konkrétnosti. </w:t>
      </w:r>
      <w:r w:rsidR="080F2497" w:rsidRPr="00273106">
        <w:t>Intelekt informovaný sebou samým skrze akcidentálně danou vnější realitu potvrzuje svou nadřazenost nad nepo</w:t>
      </w:r>
      <w:r w:rsidR="080F2497">
        <w:t xml:space="preserve">slušnou </w:t>
      </w:r>
      <w:r w:rsidR="080F2497" w:rsidRPr="00273106">
        <w:t xml:space="preserve">první substancí. Realita světa platí v řádu moderního poznání pouze </w:t>
      </w:r>
      <w:r w:rsidR="080F2497" w:rsidRPr="00273106">
        <w:rPr>
          <w:i/>
        </w:rPr>
        <w:t>per posterius</w:t>
      </w:r>
      <w:r w:rsidR="080F2497" w:rsidRPr="00273106">
        <w:t xml:space="preserve"> vůči aktivnímu </w:t>
      </w:r>
      <w:r w:rsidR="080F2497">
        <w:t xml:space="preserve">neměnnému </w:t>
      </w:r>
      <w:r w:rsidR="080F2497" w:rsidRPr="00273106">
        <w:t xml:space="preserve">intelektu a vůči trvale </w:t>
      </w:r>
      <w:r w:rsidR="080F2497">
        <w:t xml:space="preserve">daným principům poznání </w:t>
      </w:r>
      <w:r w:rsidR="080F2497" w:rsidRPr="00273106">
        <w:t xml:space="preserve">daným </w:t>
      </w:r>
      <w:r w:rsidR="080F2497" w:rsidRPr="00273106">
        <w:rPr>
          <w:i/>
        </w:rPr>
        <w:t>per prius</w:t>
      </w:r>
      <w:r w:rsidR="080F2497" w:rsidRPr="00273106">
        <w:t xml:space="preserve">. Tím se znovu potvrdil význam již zmíněné matematické </w:t>
      </w:r>
      <w:r w:rsidR="080F2497">
        <w:t xml:space="preserve">analogie, která je neměnná svou podstatou. </w:t>
      </w:r>
      <w:r w:rsidR="00C67C2B">
        <w:t>Proces poznání řídí zezadu aktuální</w:t>
      </w:r>
      <w:r w:rsidR="00F27D37">
        <w:t xml:space="preserve"> náhled daný v aktu </w:t>
      </w:r>
      <w:r w:rsidR="00C67C2B">
        <w:t xml:space="preserve">sebereflexe </w:t>
      </w:r>
      <w:r w:rsidR="00F27D37">
        <w:t xml:space="preserve">substanciálního intelektu. Tento náhled zopakuje </w:t>
      </w:r>
      <w:r w:rsidR="00C67C2B">
        <w:t xml:space="preserve">karteziánské </w:t>
      </w:r>
      <w:r w:rsidR="00C67C2B" w:rsidRPr="00C67C2B">
        <w:rPr>
          <w:i/>
        </w:rPr>
        <w:t>cogito</w:t>
      </w:r>
      <w:r w:rsidR="00C67C2B">
        <w:t xml:space="preserve"> převzaté od </w:t>
      </w:r>
      <w:r w:rsidR="00874074">
        <w:t>neoplatonsk</w:t>
      </w:r>
      <w:r w:rsidR="00D133BD">
        <w:t xml:space="preserve">ého </w:t>
      </w:r>
      <w:r w:rsidR="00C67C2B">
        <w:t xml:space="preserve">Augustina a Avicenny. </w:t>
      </w:r>
      <w:r w:rsidR="00DB135E">
        <w:t>Univerzální a univoční m</w:t>
      </w:r>
      <w:r w:rsidR="009A176B">
        <w:t>atematickou rovnost</w:t>
      </w:r>
      <w:r w:rsidR="004B1A4A" w:rsidRPr="00273106">
        <w:t xml:space="preserve"> </w:t>
      </w:r>
      <w:r w:rsidR="009A176B">
        <w:t>(</w:t>
      </w:r>
      <w:r w:rsidR="009A176B" w:rsidRPr="009A176B">
        <w:rPr>
          <w:i/>
        </w:rPr>
        <w:t>coaequatio</w:t>
      </w:r>
      <w:r w:rsidR="00433872">
        <w:rPr>
          <w:i/>
        </w:rPr>
        <w:fldChar w:fldCharType="begin"/>
      </w:r>
      <w:r w:rsidR="00433872">
        <w:instrText xml:space="preserve"> XE "</w:instrText>
      </w:r>
      <w:r w:rsidR="00DC6F64">
        <w:instrText>pravda:</w:instrText>
      </w:r>
      <w:r w:rsidR="00433872" w:rsidRPr="00E11E1F">
        <w:rPr>
          <w:i/>
        </w:rPr>
        <w:instrText>coaequatio</w:instrText>
      </w:r>
      <w:r w:rsidR="00433872">
        <w:instrText xml:space="preserve">" </w:instrText>
      </w:r>
      <w:r w:rsidR="00433872">
        <w:rPr>
          <w:i/>
        </w:rPr>
        <w:fldChar w:fldCharType="end"/>
      </w:r>
      <w:r w:rsidR="009A176B">
        <w:t xml:space="preserve">) </w:t>
      </w:r>
      <w:r w:rsidR="00B057FC" w:rsidRPr="00273106">
        <w:t>mezi vě</w:t>
      </w:r>
      <w:r w:rsidR="004B1A4A" w:rsidRPr="00273106">
        <w:t xml:space="preserve">cí a intelektem </w:t>
      </w:r>
      <w:r w:rsidR="00535297" w:rsidRPr="00273106">
        <w:t xml:space="preserve">determinuje </w:t>
      </w:r>
      <w:r w:rsidR="00DB135E">
        <w:t>vztah založený na analogii</w:t>
      </w:r>
      <w:r w:rsidR="003858FF" w:rsidRPr="00273106">
        <w:t xml:space="preserve"> </w:t>
      </w:r>
      <w:r w:rsidR="00535297" w:rsidRPr="00273106">
        <w:t xml:space="preserve">a </w:t>
      </w:r>
      <w:r w:rsidR="00DB135E">
        <w:t>na singulárně-univerzální povaze</w:t>
      </w:r>
      <w:r w:rsidR="00535297" w:rsidRPr="00273106">
        <w:t xml:space="preserve"> čísla (</w:t>
      </w:r>
      <w:r w:rsidR="00535297" w:rsidRPr="00273106">
        <w:rPr>
          <w:i/>
        </w:rPr>
        <w:t>numerus</w:t>
      </w:r>
      <w:r w:rsidR="00535297" w:rsidRPr="00273106">
        <w:t>)</w:t>
      </w:r>
      <w:r w:rsidR="00784ACD" w:rsidRPr="00273106">
        <w:t xml:space="preserve">. Pravda </w:t>
      </w:r>
      <w:r w:rsidR="00B26726" w:rsidRPr="00273106">
        <w:t xml:space="preserve">jako </w:t>
      </w:r>
      <w:r w:rsidR="00173AC8">
        <w:t xml:space="preserve">univerzální rovnost </w:t>
      </w:r>
      <w:r w:rsidR="00784ACD" w:rsidRPr="00273106">
        <w:t>nejde k první substanc</w:t>
      </w:r>
      <w:r w:rsidR="0055533B" w:rsidRPr="00273106">
        <w:t>i, ale představuje formu adekvace</w:t>
      </w:r>
      <w:r w:rsidR="00784ACD" w:rsidRPr="00273106">
        <w:t xml:space="preserve"> intelektu vzhledem k</w:t>
      </w:r>
      <w:r w:rsidR="0862446F" w:rsidRPr="00273106">
        <w:t xml:space="preserve">e </w:t>
      </w:r>
      <w:r w:rsidR="00E975DC" w:rsidRPr="00273106">
        <w:t xml:space="preserve">jsoucnu třetímu druhu </w:t>
      </w:r>
      <w:r w:rsidR="00784ACD" w:rsidRPr="00273106">
        <w:t xml:space="preserve">poznávanému v rámci Rufusova </w:t>
      </w:r>
      <w:r w:rsidR="004F2B85" w:rsidRPr="00273106">
        <w:t xml:space="preserve">matematického a logického </w:t>
      </w:r>
      <w:r w:rsidR="00784ACD" w:rsidRPr="00273106">
        <w:rPr>
          <w:i/>
        </w:rPr>
        <w:t>demonstratio</w:t>
      </w:r>
      <w:r w:rsidR="007A6052">
        <w:rPr>
          <w:i/>
        </w:rPr>
        <w:fldChar w:fldCharType="begin"/>
      </w:r>
      <w:r w:rsidR="007A6052">
        <w:instrText xml:space="preserve"> XE "</w:instrText>
      </w:r>
      <w:r w:rsidR="007A6052" w:rsidRPr="004E6075">
        <w:rPr>
          <w:i/>
        </w:rPr>
        <w:instrText>demonstratio:</w:instrText>
      </w:r>
      <w:r w:rsidR="00DC6F64">
        <w:instrText>Rufus</w:instrText>
      </w:r>
      <w:r w:rsidR="007A6052">
        <w:instrText xml:space="preserve">" </w:instrText>
      </w:r>
      <w:r w:rsidR="007A6052">
        <w:rPr>
          <w:i/>
        </w:rPr>
        <w:fldChar w:fldCharType="end"/>
      </w:r>
      <w:r w:rsidR="00784ACD" w:rsidRPr="00273106">
        <w:t xml:space="preserve">. </w:t>
      </w:r>
      <w:r w:rsidR="00C60A3D" w:rsidRPr="00273106">
        <w:t>Bacon a Albert</w:t>
      </w:r>
      <w:r w:rsidR="00C60A3D">
        <w:t xml:space="preserve"> </w:t>
      </w:r>
      <w:r w:rsidR="00C60A3D" w:rsidRPr="00273106">
        <w:t xml:space="preserve">zásadně protestovali </w:t>
      </w:r>
      <w:r w:rsidR="00C60A3D">
        <w:t>p</w:t>
      </w:r>
      <w:r w:rsidR="00FC1F87" w:rsidRPr="00273106">
        <w:t>roti tomuto oddělení vědy od reality</w:t>
      </w:r>
      <w:r w:rsidR="00C60A3D">
        <w:t xml:space="preserve">, </w:t>
      </w:r>
      <w:r w:rsidR="00FC1F87" w:rsidRPr="00273106">
        <w:t xml:space="preserve"> </w:t>
      </w:r>
      <w:r w:rsidR="00C60A3D">
        <w:t>protože žádná formální a matematická</w:t>
      </w:r>
      <w:r w:rsidR="00C60A3D" w:rsidRPr="00273106">
        <w:t xml:space="preserve"> kauz</w:t>
      </w:r>
      <w:r w:rsidR="00C60A3D">
        <w:t>alita neexistuje</w:t>
      </w:r>
      <w:r w:rsidR="00FC1F87" w:rsidRPr="00273106">
        <w:t>. Oba představitelé prvního averroismu považovali</w:t>
      </w:r>
      <w:r w:rsidR="00DD7420">
        <w:t xml:space="preserve"> oxfordské</w:t>
      </w:r>
      <w:r w:rsidR="00FC1F87" w:rsidRPr="00273106">
        <w:t xml:space="preserve"> </w:t>
      </w:r>
      <w:r w:rsidR="00C60A3D">
        <w:t xml:space="preserve">učence </w:t>
      </w:r>
      <w:r w:rsidR="00345CA8">
        <w:t xml:space="preserve">za čisté sofisty, kteří </w:t>
      </w:r>
      <w:r w:rsidR="00C60A3D">
        <w:t xml:space="preserve">vůbec </w:t>
      </w:r>
      <w:r w:rsidR="00345CA8" w:rsidRPr="00273106">
        <w:t xml:space="preserve">nepochopili </w:t>
      </w:r>
      <w:r w:rsidR="00345CA8">
        <w:t>Aristotela</w:t>
      </w:r>
      <w:r w:rsidR="08573A39">
        <w:t>.</w:t>
      </w:r>
    </w:p>
    <w:p w14:paraId="7A7C3077" w14:textId="35A48865" w:rsidR="08660B6A" w:rsidRDefault="089518FA" w:rsidP="08573A39">
      <w:pPr>
        <w:ind w:firstLine="397"/>
      </w:pPr>
      <w:r>
        <w:t>M</w:t>
      </w:r>
      <w:r w:rsidRPr="00273106">
        <w:t xml:space="preserve">oderní vidění světa </w:t>
      </w:r>
      <w:r>
        <w:t>vzniká v</w:t>
      </w:r>
      <w:r w:rsidR="087F64A8" w:rsidRPr="00273106">
        <w:t xml:space="preserve">yřazením nespolehlivého </w:t>
      </w:r>
      <w:r w:rsidR="08BC630A">
        <w:t xml:space="preserve">empiricky poznávajícího </w:t>
      </w:r>
      <w:r w:rsidR="087F64A8" w:rsidRPr="00273106">
        <w:t xml:space="preserve">subjektu a neposlušné </w:t>
      </w:r>
      <w:r>
        <w:t>materiální reality</w:t>
      </w:r>
      <w:r w:rsidR="08B4014C">
        <w:t>. Oba zdroje aristotelské pravdy nahradil metodický postup</w:t>
      </w:r>
      <w:r w:rsidR="087F64A8" w:rsidRPr="00273106">
        <w:t xml:space="preserve"> </w:t>
      </w:r>
      <w:r w:rsidR="08B4014C">
        <w:t xml:space="preserve">osvíceného </w:t>
      </w:r>
      <w:r w:rsidR="087F64A8" w:rsidRPr="00273106">
        <w:t xml:space="preserve">poznání založeného na matematice a na jistotě </w:t>
      </w:r>
      <w:r w:rsidR="00AA0D22">
        <w:t xml:space="preserve">sebereflexivního </w:t>
      </w:r>
      <w:r w:rsidR="087F64A8" w:rsidRPr="00273106">
        <w:t>subjektu.</w:t>
      </w:r>
      <w:r w:rsidR="087F64A8">
        <w:t xml:space="preserve"> </w:t>
      </w:r>
      <w:r w:rsidR="00E975DC" w:rsidRPr="00273106">
        <w:t xml:space="preserve">Nyní je jasné, proč klasičtí aristotelikové jako Bacon </w:t>
      </w:r>
      <w:r w:rsidR="003F1C01" w:rsidRPr="00273106">
        <w:t xml:space="preserve">či </w:t>
      </w:r>
      <w:r w:rsidR="003828D5" w:rsidRPr="00273106">
        <w:t xml:space="preserve">averroisté první vlny jako </w:t>
      </w:r>
      <w:r w:rsidR="00BB3182" w:rsidRPr="00273106">
        <w:t>Alvernus</w:t>
      </w:r>
      <w:r w:rsidR="003F1C01" w:rsidRPr="00273106">
        <w:t xml:space="preserve"> </w:t>
      </w:r>
      <w:r>
        <w:t xml:space="preserve">považovali </w:t>
      </w:r>
      <w:r w:rsidR="00E975DC" w:rsidRPr="00273106">
        <w:t xml:space="preserve">současníky </w:t>
      </w:r>
      <w:r>
        <w:t xml:space="preserve">za </w:t>
      </w:r>
      <w:r w:rsidR="00E975DC" w:rsidRPr="00273106">
        <w:t xml:space="preserve">šílené myslitele nebo </w:t>
      </w:r>
      <w:r>
        <w:t xml:space="preserve">za </w:t>
      </w:r>
      <w:r w:rsidR="00E975DC" w:rsidRPr="00273106">
        <w:t xml:space="preserve">sofisty. </w:t>
      </w:r>
      <w:r w:rsidR="00784ACD" w:rsidRPr="00273106">
        <w:t>M</w:t>
      </w:r>
      <w:r w:rsidR="00341751" w:rsidRPr="00273106">
        <w:t>ysl</w:t>
      </w:r>
      <w:r w:rsidR="00784ACD" w:rsidRPr="00273106">
        <w:t xml:space="preserve"> </w:t>
      </w:r>
      <w:r w:rsidR="0073338D" w:rsidRPr="00273106">
        <w:t xml:space="preserve">těchto </w:t>
      </w:r>
      <w:r w:rsidR="00CE4DE8" w:rsidRPr="00E046E2">
        <w:rPr>
          <w:i/>
        </w:rPr>
        <w:t>doctores</w:t>
      </w:r>
      <w:r w:rsidR="00CE4DE8">
        <w:t xml:space="preserve"> </w:t>
      </w:r>
      <w:r w:rsidR="00CE4DE8">
        <w:rPr>
          <w:i/>
        </w:rPr>
        <w:t>Latini</w:t>
      </w:r>
      <w:r w:rsidR="00CE4DE8" w:rsidRPr="008D5268">
        <w:t xml:space="preserve"> </w:t>
      </w:r>
      <w:r w:rsidR="08EF6B58">
        <w:t>zrcadlí a a</w:t>
      </w:r>
      <w:r w:rsidR="00E81DDA">
        <w:t>similuje neexistující „substance–</w:t>
      </w:r>
      <w:r w:rsidR="08EF6B58">
        <w:t>hypostáze</w:t>
      </w:r>
      <w:r w:rsidR="00E81DDA">
        <w:t>“</w:t>
      </w:r>
      <w:r w:rsidR="00341751" w:rsidRPr="00273106">
        <w:t xml:space="preserve"> </w:t>
      </w:r>
      <w:r w:rsidR="007F73A8" w:rsidRPr="00273106">
        <w:t xml:space="preserve">dané participací na univerzální esenci </w:t>
      </w:r>
      <w:r>
        <w:t xml:space="preserve">danou pouze v mysli </w:t>
      </w:r>
      <w:r w:rsidR="007F73A8" w:rsidRPr="00273106">
        <w:t>(</w:t>
      </w:r>
      <w:r w:rsidR="001F00E7" w:rsidRPr="00273106">
        <w:rPr>
          <w:i/>
        </w:rPr>
        <w:t xml:space="preserve">individuum, </w:t>
      </w:r>
      <w:r w:rsidR="004B4D52" w:rsidRPr="007C1CFB">
        <w:rPr>
          <w:i/>
        </w:rPr>
        <w:t>species</w:t>
      </w:r>
      <w:r w:rsidR="001177F1" w:rsidRPr="00273106">
        <w:rPr>
          <w:i/>
        </w:rPr>
        <w:t>, scibile</w:t>
      </w:r>
      <w:r w:rsidR="08E911BB">
        <w:rPr>
          <w:i/>
        </w:rPr>
        <w:t>, concretum</w:t>
      </w:r>
      <w:r w:rsidR="001F00E7" w:rsidRPr="00273106">
        <w:t xml:space="preserve">). </w:t>
      </w:r>
      <w:r w:rsidR="00215B52">
        <w:t>Toto s</w:t>
      </w:r>
      <w:r w:rsidR="001C764F">
        <w:t xml:space="preserve">imulákrum reality </w:t>
      </w:r>
      <w:r>
        <w:t xml:space="preserve">se manifestuje </w:t>
      </w:r>
      <w:r w:rsidR="007F73A8" w:rsidRPr="00273106">
        <w:t xml:space="preserve">v  aktu avicennovské intuice vztažené </w:t>
      </w:r>
      <w:r w:rsidR="0093432C">
        <w:t xml:space="preserve">k substančně danému intelektu </w:t>
      </w:r>
      <w:r w:rsidR="00AE75E1" w:rsidRPr="00273106">
        <w:t>(</w:t>
      </w:r>
      <w:r w:rsidR="00AE75E1" w:rsidRPr="00273106">
        <w:rPr>
          <w:i/>
        </w:rPr>
        <w:t>reflexio</w:t>
      </w:r>
      <w:r w:rsidR="00BB1BC2" w:rsidRPr="00273106">
        <w:rPr>
          <w:i/>
        </w:rPr>
        <w:t>, informatio</w:t>
      </w:r>
      <w:r w:rsidR="00F40216">
        <w:rPr>
          <w:i/>
        </w:rPr>
        <w:t>, repr</w:t>
      </w:r>
      <w:r w:rsidR="006A0302">
        <w:rPr>
          <w:i/>
        </w:rPr>
        <w:t>a</w:t>
      </w:r>
      <w:r w:rsidR="00F40216">
        <w:rPr>
          <w:i/>
        </w:rPr>
        <w:t>esentatio</w:t>
      </w:r>
      <w:r w:rsidR="00AE75E1" w:rsidRPr="00273106">
        <w:t>)</w:t>
      </w:r>
      <w:r w:rsidR="00B12FA8" w:rsidRPr="00273106">
        <w:t xml:space="preserve">. </w:t>
      </w:r>
      <w:r w:rsidR="00124E08" w:rsidRPr="00273106">
        <w:t>A</w:t>
      </w:r>
      <w:r w:rsidR="00A0471E" w:rsidRPr="00273106">
        <w:t xml:space="preserve">dekvace mysli je dána </w:t>
      </w:r>
      <w:r w:rsidR="00C36B26" w:rsidRPr="00273106">
        <w:t xml:space="preserve">vzhledem </w:t>
      </w:r>
      <w:r w:rsidR="001E34A7" w:rsidRPr="00273106">
        <w:t>k</w:t>
      </w:r>
      <w:r w:rsidR="009C7D66" w:rsidRPr="00273106">
        <w:t> </w:t>
      </w:r>
      <w:r w:rsidR="00AD619B" w:rsidRPr="00273106">
        <w:t xml:space="preserve">univočnímu </w:t>
      </w:r>
      <w:r w:rsidR="006D405C" w:rsidRPr="00273106">
        <w:t xml:space="preserve">jsoucnu </w:t>
      </w:r>
      <w:r w:rsidR="00215B52">
        <w:t>třetího</w:t>
      </w:r>
      <w:r w:rsidR="00A008C7" w:rsidRPr="00273106">
        <w:t xml:space="preserve"> druhu </w:t>
      </w:r>
      <w:r w:rsidR="006D405C" w:rsidRPr="00273106">
        <w:t xml:space="preserve">danému </w:t>
      </w:r>
      <w:r w:rsidR="00F22E96">
        <w:t xml:space="preserve">v </w:t>
      </w:r>
      <w:r w:rsidR="00F22E96" w:rsidRPr="00273106">
        <w:t xml:space="preserve">poznávající </w:t>
      </w:r>
      <w:r w:rsidR="00F22E96">
        <w:t>mysli</w:t>
      </w:r>
      <w:r w:rsidR="00B67A3F">
        <w:t xml:space="preserve">, které </w:t>
      </w:r>
      <w:r w:rsidR="000D3051">
        <w:t xml:space="preserve">pak </w:t>
      </w:r>
      <w:r w:rsidR="00F22E96">
        <w:t xml:space="preserve">akcidentálně </w:t>
      </w:r>
      <w:r w:rsidR="08864D25">
        <w:t>přesahuje</w:t>
      </w:r>
      <w:r w:rsidR="00B67A3F">
        <w:t xml:space="preserve"> do kontingetní </w:t>
      </w:r>
      <w:r w:rsidR="00F22E96" w:rsidRPr="00273106">
        <w:t>realit</w:t>
      </w:r>
      <w:r w:rsidR="00B67A3F">
        <w:t>y</w:t>
      </w:r>
      <w:r w:rsidR="00F22E96">
        <w:t xml:space="preserve">. Moderní iluminát </w:t>
      </w:r>
      <w:r w:rsidR="00A008C7" w:rsidRPr="00273106">
        <w:t xml:space="preserve">vnímá </w:t>
      </w:r>
      <w:r w:rsidR="007A319F">
        <w:t xml:space="preserve">objektivní </w:t>
      </w:r>
      <w:r w:rsidR="00A008C7" w:rsidRPr="00273106">
        <w:t xml:space="preserve">„exsistenci“ </w:t>
      </w:r>
      <w:r w:rsidR="004B4D52" w:rsidRPr="004B4D52">
        <w:t>species</w:t>
      </w:r>
      <w:r w:rsidR="00215B52">
        <w:t xml:space="preserve"> </w:t>
      </w:r>
      <w:r w:rsidR="00A008C7" w:rsidRPr="00273106">
        <w:t xml:space="preserve">v aktu </w:t>
      </w:r>
      <w:r w:rsidR="00E74809">
        <w:t xml:space="preserve">analogického </w:t>
      </w:r>
      <w:r w:rsidR="000D3051">
        <w:t>třídění (</w:t>
      </w:r>
      <w:r w:rsidR="00A008C7" w:rsidRPr="00273106">
        <w:rPr>
          <w:i/>
        </w:rPr>
        <w:t>resolutio</w:t>
      </w:r>
      <w:r w:rsidR="000D3051">
        <w:t>)</w:t>
      </w:r>
      <w:r w:rsidR="007D3515">
        <w:rPr>
          <w:i/>
        </w:rPr>
        <w:fldChar w:fldCharType="begin"/>
      </w:r>
      <w:r w:rsidR="007D3515">
        <w:instrText xml:space="preserve"> XE "</w:instrText>
      </w:r>
      <w:r w:rsidR="007D3515" w:rsidRPr="00111E9E">
        <w:rPr>
          <w:i/>
        </w:rPr>
        <w:instrText>resolutio</w:instrText>
      </w:r>
      <w:r w:rsidR="007D3515">
        <w:rPr>
          <w:i/>
        </w:rPr>
        <w:instrText>:</w:instrText>
      </w:r>
      <w:r w:rsidR="007D3515" w:rsidRPr="007D3515">
        <w:instrText>Rufus</w:instrText>
      </w:r>
      <w:r w:rsidR="007D3515">
        <w:instrText xml:space="preserve">" </w:instrText>
      </w:r>
      <w:r w:rsidR="007D3515">
        <w:rPr>
          <w:i/>
        </w:rPr>
        <w:fldChar w:fldCharType="end"/>
      </w:r>
      <w:r w:rsidR="00A008C7" w:rsidRPr="00273106">
        <w:t xml:space="preserve"> dané</w:t>
      </w:r>
      <w:r w:rsidR="08864D25">
        <w:t>ho</w:t>
      </w:r>
      <w:r w:rsidR="00E74809">
        <w:t xml:space="preserve"> na úrovni </w:t>
      </w:r>
      <w:r w:rsidR="08864D25">
        <w:t xml:space="preserve">logické </w:t>
      </w:r>
      <w:r w:rsidR="00E74809">
        <w:t>abstrakce</w:t>
      </w:r>
      <w:r w:rsidR="08DE6172">
        <w:t xml:space="preserve"> (</w:t>
      </w:r>
      <w:r w:rsidR="08DE6172" w:rsidRPr="08DE6172">
        <w:rPr>
          <w:i/>
        </w:rPr>
        <w:t>denudatio</w:t>
      </w:r>
      <w:r w:rsidR="08DE6172">
        <w:t>)</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A008C7" w:rsidRPr="00273106">
        <w:t>. R</w:t>
      </w:r>
      <w:r w:rsidR="002E5B74">
        <w:t>ozložení světa na abstraktní pr</w:t>
      </w:r>
      <w:r w:rsidR="00A008C7" w:rsidRPr="00273106">
        <w:t xml:space="preserve">vočinitele zakládá původní jistotu </w:t>
      </w:r>
      <w:r w:rsidR="006D405C" w:rsidRPr="00273106">
        <w:t>poznání</w:t>
      </w:r>
      <w:r w:rsidR="00A008C7" w:rsidRPr="00273106">
        <w:t xml:space="preserve"> definovanou </w:t>
      </w:r>
      <w:r w:rsidR="00851A05">
        <w:t xml:space="preserve">matematickou proporcí. </w:t>
      </w:r>
      <w:r w:rsidR="081600F7">
        <w:t xml:space="preserve">Jeho pojetí </w:t>
      </w:r>
      <w:r w:rsidR="000D3051">
        <w:t xml:space="preserve">adekvace </w:t>
      </w:r>
      <w:r w:rsidR="00BA22F8">
        <w:t>odporuje definici</w:t>
      </w:r>
      <w:r w:rsidR="008E119A">
        <w:t xml:space="preserve"> pravdy </w:t>
      </w:r>
      <w:r w:rsidR="00D05B07">
        <w:t>v</w:t>
      </w:r>
      <w:r w:rsidR="00BA22F8">
        <w:t xml:space="preserve"> </w:t>
      </w:r>
      <w:r w:rsidR="00492C87">
        <w:t>CMDA</w:t>
      </w:r>
      <w:r w:rsidR="008E119A" w:rsidRPr="008E119A">
        <w:rPr>
          <w:i/>
        </w:rPr>
        <w:t xml:space="preserve"> </w:t>
      </w:r>
      <w:r w:rsidR="00BA22F8">
        <w:t xml:space="preserve">jako </w:t>
      </w:r>
      <w:r w:rsidR="008E119A" w:rsidRPr="00492C87">
        <w:rPr>
          <w:i/>
        </w:rPr>
        <w:t>proportio</w:t>
      </w:r>
      <w:r w:rsidR="00492C87">
        <w:t>.</w:t>
      </w:r>
      <w:r w:rsidR="080A0B36">
        <w:rPr>
          <w:rStyle w:val="Znakapoznpodarou"/>
        </w:rPr>
        <w:footnoteReference w:id="424"/>
      </w:r>
      <w:r w:rsidR="00492C87">
        <w:t xml:space="preserve"> </w:t>
      </w:r>
      <w:r w:rsidR="002E5B74">
        <w:t>P</w:t>
      </w:r>
      <w:r w:rsidR="002E5B74" w:rsidRPr="00273106">
        <w:t>ojetí pravdy</w:t>
      </w:r>
      <w:r w:rsidR="002E5B74">
        <w:t xml:space="preserve"> jako analogické rovnosti</w:t>
      </w:r>
      <w:r w:rsidR="002E5B74" w:rsidRPr="00273106">
        <w:t xml:space="preserve"> </w:t>
      </w:r>
      <w:r w:rsidR="008E119A">
        <w:t>a proporce</w:t>
      </w:r>
      <w:r w:rsidR="00D05B07">
        <w:t xml:space="preserve"> </w:t>
      </w:r>
      <w:r w:rsidR="002E5B74" w:rsidRPr="00273106">
        <w:t xml:space="preserve">tvoří </w:t>
      </w:r>
      <w:r w:rsidR="002E5B74">
        <w:t>m</w:t>
      </w:r>
      <w:r w:rsidR="00B25D96" w:rsidRPr="00273106">
        <w:t>atematicky daná rovnost (</w:t>
      </w:r>
      <w:r w:rsidR="00B25D96" w:rsidRPr="00273106">
        <w:rPr>
          <w:i/>
        </w:rPr>
        <w:t>aequatio</w:t>
      </w:r>
      <w:r w:rsidR="00DC6F64">
        <w:rPr>
          <w:i/>
        </w:rPr>
        <w:fldChar w:fldCharType="begin"/>
      </w:r>
      <w:r w:rsidR="00DC6F64">
        <w:instrText xml:space="preserve"> XE "pravda:</w:instrText>
      </w:r>
      <w:r w:rsidR="00DC6F64" w:rsidRPr="00E40961">
        <w:rPr>
          <w:i/>
        </w:rPr>
        <w:instrText>aequatio</w:instrText>
      </w:r>
      <w:r w:rsidR="00DC6F64">
        <w:instrText xml:space="preserve">" </w:instrText>
      </w:r>
      <w:r w:rsidR="00DC6F64">
        <w:rPr>
          <w:i/>
        </w:rPr>
        <w:fldChar w:fldCharType="end"/>
      </w:r>
      <w:r w:rsidR="002E5B74">
        <w:t xml:space="preserve">) založená v mysli </w:t>
      </w:r>
      <w:r w:rsidR="00B25D96" w:rsidRPr="00273106">
        <w:t xml:space="preserve">skrze </w:t>
      </w:r>
      <w:r w:rsidR="00952A2F">
        <w:t xml:space="preserve">formální </w:t>
      </w:r>
      <w:r w:rsidR="00B25D96" w:rsidRPr="00273106">
        <w:t>dedukci</w:t>
      </w:r>
      <w:r w:rsidR="008E119A">
        <w:t xml:space="preserve">, kterou moderní subjekt </w:t>
      </w:r>
      <w:r w:rsidR="002E5B74">
        <w:t>projekt</w:t>
      </w:r>
      <w:r w:rsidR="008E119A">
        <w:t xml:space="preserve">uje </w:t>
      </w:r>
      <w:r w:rsidR="00140257">
        <w:t>do světa skrze k</w:t>
      </w:r>
      <w:r w:rsidR="00952A2F">
        <w:t>a</w:t>
      </w:r>
      <w:r w:rsidR="00140257">
        <w:t>uzalit</w:t>
      </w:r>
      <w:r w:rsidR="002E5B74">
        <w:t xml:space="preserve">u </w:t>
      </w:r>
      <w:r w:rsidR="08011129">
        <w:t xml:space="preserve">univerzální </w:t>
      </w:r>
      <w:r w:rsidR="002E5B74">
        <w:t>esence</w:t>
      </w:r>
      <w:r w:rsidR="08011129">
        <w:t xml:space="preserve"> (</w:t>
      </w:r>
      <w:r w:rsidR="08011129" w:rsidRPr="08011129">
        <w:rPr>
          <w:i/>
        </w:rPr>
        <w:t>quod est</w:t>
      </w:r>
      <w:r w:rsidR="08011129">
        <w:t>)</w:t>
      </w:r>
      <w:r w:rsidR="00B25D96" w:rsidRPr="00273106">
        <w:t>. Matematick</w:t>
      </w:r>
      <w:r w:rsidR="00B849F6" w:rsidRPr="00273106">
        <w:t xml:space="preserve">á rovnost </w:t>
      </w:r>
      <w:r w:rsidR="006D405C" w:rsidRPr="00273106">
        <w:t xml:space="preserve">vyjadřuje vzájemnou </w:t>
      </w:r>
      <w:r w:rsidR="00AA6F3B" w:rsidRPr="00273106">
        <w:t>konvertibilitu</w:t>
      </w:r>
      <w:r w:rsidR="009178DB">
        <w:t xml:space="preserve"> a univerzální rovnost (</w:t>
      </w:r>
      <w:r w:rsidR="009178DB" w:rsidRPr="009178DB">
        <w:rPr>
          <w:i/>
        </w:rPr>
        <w:t>coaequatio</w:t>
      </w:r>
      <w:r w:rsidR="009178DB">
        <w:t xml:space="preserve">) </w:t>
      </w:r>
      <w:r w:rsidR="006D405C" w:rsidRPr="00273106">
        <w:t xml:space="preserve">mezi </w:t>
      </w:r>
      <w:r w:rsidR="008F1585" w:rsidRPr="00273106">
        <w:t xml:space="preserve">individuální jednotou </w:t>
      </w:r>
      <w:r w:rsidR="006D405C" w:rsidRPr="00273106">
        <w:t xml:space="preserve">poznávané věci </w:t>
      </w:r>
      <w:r w:rsidR="008F1585" w:rsidRPr="00273106">
        <w:t>(</w:t>
      </w:r>
      <w:r w:rsidRPr="089518FA">
        <w:rPr>
          <w:i/>
        </w:rPr>
        <w:t>concretum</w:t>
      </w:r>
      <w:r w:rsidR="008F1585" w:rsidRPr="00273106">
        <w:t xml:space="preserve">) </w:t>
      </w:r>
      <w:r w:rsidR="006D405C" w:rsidRPr="00273106">
        <w:t xml:space="preserve">a mezi reprezentací </w:t>
      </w:r>
      <w:r w:rsidR="008F1585" w:rsidRPr="00273106">
        <w:t xml:space="preserve">této jednoty </w:t>
      </w:r>
      <w:r w:rsidR="006D405C" w:rsidRPr="00273106">
        <w:t>v osvícené mysli</w:t>
      </w:r>
      <w:r w:rsidR="008F1585" w:rsidRPr="00273106">
        <w:t xml:space="preserve"> (</w:t>
      </w:r>
      <w:r w:rsidR="008F1585" w:rsidRPr="00273106">
        <w:rPr>
          <w:i/>
        </w:rPr>
        <w:t>scibile</w:t>
      </w:r>
      <w:r w:rsidR="008F1585" w:rsidRPr="00273106">
        <w:t>)</w:t>
      </w:r>
      <w:r w:rsidR="006D405C" w:rsidRPr="00273106">
        <w:t xml:space="preserve">. </w:t>
      </w:r>
      <w:r w:rsidR="008F1585" w:rsidRPr="00273106">
        <w:t>M</w:t>
      </w:r>
      <w:r w:rsidR="00770B6E" w:rsidRPr="00273106">
        <w:t>ysl se vztahuje sama k sobě</w:t>
      </w:r>
      <w:r w:rsidR="00F2362F" w:rsidRPr="00273106">
        <w:t xml:space="preserve">, protože </w:t>
      </w:r>
      <w:r w:rsidRPr="089518FA">
        <w:rPr>
          <w:i/>
        </w:rPr>
        <w:t>concretum</w:t>
      </w:r>
      <w:r>
        <w:t xml:space="preserve"> </w:t>
      </w:r>
      <w:r w:rsidR="00F2362F" w:rsidRPr="00273106">
        <w:t xml:space="preserve">i </w:t>
      </w:r>
      <w:r w:rsidR="00F2362F" w:rsidRPr="00273106">
        <w:rPr>
          <w:i/>
        </w:rPr>
        <w:t>scibile</w:t>
      </w:r>
      <w:r w:rsidR="00F2362F" w:rsidRPr="00273106">
        <w:t xml:space="preserve"> jsou čisté abstrakce</w:t>
      </w:r>
      <w:r w:rsidR="008F1585" w:rsidRPr="00273106">
        <w:t xml:space="preserve">. </w:t>
      </w:r>
      <w:r w:rsidR="08695568" w:rsidRPr="00273106">
        <w:t xml:space="preserve">Základ matematicky založené teorie pravdy tvoří rovnost mezi </w:t>
      </w:r>
      <w:r w:rsidR="0078284A">
        <w:t xml:space="preserve">hypostatickou </w:t>
      </w:r>
      <w:r w:rsidR="08695568" w:rsidRPr="00273106">
        <w:t xml:space="preserve">formou </w:t>
      </w:r>
      <w:r w:rsidR="0804029B">
        <w:t>(</w:t>
      </w:r>
      <w:r w:rsidR="0804029B" w:rsidRPr="0804029B">
        <w:rPr>
          <w:i/>
        </w:rPr>
        <w:t>scibile</w:t>
      </w:r>
      <w:r w:rsidR="0804029B">
        <w:t xml:space="preserve">) </w:t>
      </w:r>
      <w:r w:rsidR="08695568" w:rsidRPr="00273106">
        <w:t>a numericky definovaným individuem</w:t>
      </w:r>
      <w:r w:rsidR="08695568">
        <w:t xml:space="preserve"> </w:t>
      </w:r>
      <w:r w:rsidR="080F2497">
        <w:t xml:space="preserve">vtištěným do mysli ilumináta </w:t>
      </w:r>
      <w:r w:rsidR="0804029B">
        <w:t>(</w:t>
      </w:r>
      <w:r w:rsidR="0804029B" w:rsidRPr="0804029B">
        <w:rPr>
          <w:i/>
        </w:rPr>
        <w:t>informatio</w:t>
      </w:r>
      <w:r w:rsidR="0804029B">
        <w:t>)</w:t>
      </w:r>
      <w:r w:rsidR="08695568" w:rsidRPr="00273106">
        <w:t xml:space="preserve">. </w:t>
      </w:r>
      <w:r w:rsidR="008F1585" w:rsidRPr="00273106">
        <w:t xml:space="preserve">Proto </w:t>
      </w:r>
      <w:r w:rsidR="00A432D4" w:rsidRPr="00273106">
        <w:t xml:space="preserve">je pravda moderny </w:t>
      </w:r>
      <w:r w:rsidR="00770B6E" w:rsidRPr="00273106">
        <w:t>primárně daná jako rovnost</w:t>
      </w:r>
      <w:r w:rsidR="00A432D4" w:rsidRPr="00273106">
        <w:t xml:space="preserve"> dvou členů v univočním vztahu asimilace</w:t>
      </w:r>
      <w:r w:rsidR="00770B6E" w:rsidRPr="00273106">
        <w:t xml:space="preserve">, a nikoliv jako </w:t>
      </w:r>
      <w:r w:rsidR="00803D7D">
        <w:t xml:space="preserve">aristotelská </w:t>
      </w:r>
      <w:r w:rsidR="00770B6E" w:rsidRPr="00273106">
        <w:t>adekvace</w:t>
      </w:r>
      <w:r w:rsidR="007D01B7">
        <w:t xml:space="preserve"> dvou odlišný</w:t>
      </w:r>
      <w:r w:rsidR="00A432D4" w:rsidRPr="00273106">
        <w:t>ch řádů bytí</w:t>
      </w:r>
      <w:r w:rsidR="08D81D08">
        <w:t xml:space="preserve"> jsoucna</w:t>
      </w:r>
      <w:r w:rsidR="00D65ECA">
        <w:t xml:space="preserve"> v intelektu a v realitě</w:t>
      </w:r>
      <w:r w:rsidR="00770B6E" w:rsidRPr="00273106">
        <w:t xml:space="preserve">. </w:t>
      </w:r>
      <w:r w:rsidR="00E330D1">
        <w:t xml:space="preserve">Specifickou, čili konkrétní a individuální </w:t>
      </w:r>
      <w:r w:rsidR="0067560B" w:rsidRPr="00273106">
        <w:t xml:space="preserve">jednotu světa vyjadřuje </w:t>
      </w:r>
      <w:r w:rsidR="00E330D1">
        <w:t>m</w:t>
      </w:r>
      <w:r w:rsidR="00E330D1" w:rsidRPr="00273106">
        <w:t xml:space="preserve">oderní </w:t>
      </w:r>
      <w:r w:rsidR="08A64536" w:rsidRPr="08A64536">
        <w:rPr>
          <w:i/>
        </w:rPr>
        <w:t>me</w:t>
      </w:r>
      <w:r w:rsidR="0067560B" w:rsidRPr="08A64536">
        <w:rPr>
          <w:i/>
        </w:rPr>
        <w:t>dium</w:t>
      </w:r>
      <w:r w:rsidR="0067560B" w:rsidRPr="00273106">
        <w:t xml:space="preserve"> v</w:t>
      </w:r>
      <w:r w:rsidR="00D629DA">
        <w:t> </w:t>
      </w:r>
      <w:r w:rsidR="0067560B" w:rsidRPr="00273106">
        <w:t>de</w:t>
      </w:r>
      <w:r w:rsidR="00D629DA">
        <w:t xml:space="preserve">duktivním </w:t>
      </w:r>
      <w:r w:rsidR="00BB0857">
        <w:t>sylo</w:t>
      </w:r>
      <w:r w:rsidR="0067560B" w:rsidRPr="00273106">
        <w:t>gismu chápaném kauzálně</w:t>
      </w:r>
      <w:r w:rsidR="007D01B7">
        <w:t>-esenciálně</w:t>
      </w:r>
      <w:r w:rsidR="0067560B" w:rsidRPr="00273106">
        <w:t xml:space="preserve">. </w:t>
      </w:r>
      <w:r w:rsidR="00131F72" w:rsidRPr="00273106">
        <w:t xml:space="preserve">Ze schématu </w:t>
      </w:r>
      <w:r w:rsidR="0006318A" w:rsidRPr="00273106">
        <w:t xml:space="preserve">druhého averroismu </w:t>
      </w:r>
      <w:r w:rsidR="00C43F10">
        <w:t xml:space="preserve">vypadla </w:t>
      </w:r>
      <w:r w:rsidR="00131F72" w:rsidRPr="00273106">
        <w:t xml:space="preserve">intencionalita postavená na procesu abstrakce </w:t>
      </w:r>
      <w:r w:rsidR="00A910D9" w:rsidRPr="00273106">
        <w:t>reálné substance</w:t>
      </w:r>
      <w:r w:rsidR="00A70FA4">
        <w:fldChar w:fldCharType="begin"/>
      </w:r>
      <w:r w:rsidR="00A70FA4">
        <w:instrText xml:space="preserve"> XE "</w:instrText>
      </w:r>
      <w:r w:rsidR="00DC6F64">
        <w:instrText>intencionalita:druhý averroismus</w:instrText>
      </w:r>
      <w:r w:rsidR="00A70FA4">
        <w:instrText xml:space="preserve">" </w:instrText>
      </w:r>
      <w:r w:rsidR="00A70FA4">
        <w:fldChar w:fldCharType="end"/>
      </w:r>
      <w:r w:rsidR="00A910D9" w:rsidRPr="00273106">
        <w:t xml:space="preserve"> </w:t>
      </w:r>
      <w:r w:rsidR="00131F72" w:rsidRPr="00273106">
        <w:t xml:space="preserve">přes </w:t>
      </w:r>
      <w:r w:rsidR="004B4D52" w:rsidRPr="00ED5374">
        <w:rPr>
          <w:i/>
        </w:rPr>
        <w:t>species</w:t>
      </w:r>
      <w:r w:rsidR="00131F72" w:rsidRPr="00273106">
        <w:rPr>
          <w:i/>
        </w:rPr>
        <w:t xml:space="preserve"> sensibilis</w:t>
      </w:r>
      <w:r w:rsidR="008061D5">
        <w:rPr>
          <w:i/>
        </w:rPr>
        <w:fldChar w:fldCharType="begin"/>
      </w:r>
      <w:r w:rsidR="008061D5">
        <w:instrText xml:space="preserve"> XE "</w:instrText>
      </w:r>
      <w:r w:rsidR="008061D5" w:rsidRPr="00374FA1">
        <w:rPr>
          <w:i/>
        </w:rPr>
        <w:instrText>species sensibilis</w:instrText>
      </w:r>
      <w:r w:rsidR="008061D5">
        <w:instrText xml:space="preserve">" </w:instrText>
      </w:r>
      <w:r w:rsidR="008061D5">
        <w:rPr>
          <w:i/>
        </w:rPr>
        <w:fldChar w:fldCharType="end"/>
      </w:r>
      <w:r w:rsidR="00131F72" w:rsidRPr="00273106">
        <w:t xml:space="preserve"> a </w:t>
      </w:r>
      <w:r w:rsidR="004B4D52" w:rsidRPr="00ED5374">
        <w:rPr>
          <w:i/>
        </w:rPr>
        <w:t>species</w:t>
      </w:r>
      <w:r w:rsidR="000F7970" w:rsidRPr="00273106">
        <w:rPr>
          <w:i/>
        </w:rPr>
        <w:t xml:space="preserve"> </w:t>
      </w:r>
      <w:r w:rsidR="00131F72" w:rsidRPr="00273106">
        <w:rPr>
          <w:i/>
        </w:rPr>
        <w:t>intelligib</w:t>
      </w:r>
      <w:r w:rsidR="088E42EF" w:rsidRPr="00273106">
        <w:rPr>
          <w:i/>
        </w:rPr>
        <w:t>i</w:t>
      </w:r>
      <w:r w:rsidR="00131F72" w:rsidRPr="00273106">
        <w:rPr>
          <w:i/>
        </w:rPr>
        <w:t>lis</w:t>
      </w:r>
      <w:r w:rsidR="008061D5">
        <w:rPr>
          <w:i/>
        </w:rPr>
        <w:fldChar w:fldCharType="begin"/>
      </w:r>
      <w:r w:rsidR="008061D5">
        <w:instrText xml:space="preserve"> XE "</w:instrText>
      </w:r>
      <w:r w:rsidR="008061D5" w:rsidRPr="00DD403C">
        <w:rPr>
          <w:i/>
        </w:rPr>
        <w:instrText>species intelligibilis:</w:instrText>
      </w:r>
      <w:r w:rsidR="008061D5" w:rsidRPr="00DD403C">
        <w:instrText>Avicenna</w:instrText>
      </w:r>
      <w:r w:rsidR="008061D5">
        <w:instrText xml:space="preserve">" </w:instrText>
      </w:r>
      <w:r w:rsidR="008061D5">
        <w:rPr>
          <w:i/>
        </w:rPr>
        <w:fldChar w:fldCharType="end"/>
      </w:r>
      <w:r w:rsidR="00315A59">
        <w:t xml:space="preserve">. </w:t>
      </w:r>
      <w:r w:rsidR="08F814ED">
        <w:t>Moderní i</w:t>
      </w:r>
      <w:r w:rsidR="00315A59">
        <w:t>ntelekt spekulativně zrcadlí v nejvyšším stupni poznání sám sebe</w:t>
      </w:r>
      <w:r w:rsidR="00315A59" w:rsidRPr="00315A59">
        <w:t xml:space="preserve"> </w:t>
      </w:r>
      <w:r w:rsidR="00315A59">
        <w:t xml:space="preserve">na úrovni přímého náhledu </w:t>
      </w:r>
      <w:r w:rsidR="004B4D52" w:rsidRPr="004B4D52">
        <w:t>species</w:t>
      </w:r>
      <w:r w:rsidR="00315A59">
        <w:t xml:space="preserve"> daného v modu </w:t>
      </w:r>
      <w:r w:rsidR="00315A59" w:rsidRPr="007424AE">
        <w:rPr>
          <w:i/>
        </w:rPr>
        <w:t>per prius</w:t>
      </w:r>
      <w:r w:rsidR="08D81D08">
        <w:t>. P</w:t>
      </w:r>
      <w:r w:rsidR="00315A59">
        <w:t xml:space="preserve">ak je intencionalita daná recepcí z kontintentní reality </w:t>
      </w:r>
      <w:r w:rsidR="00C43F10" w:rsidRPr="00273106">
        <w:t>zbytečná</w:t>
      </w:r>
      <w:r w:rsidR="00C43F10">
        <w:t xml:space="preserve">. </w:t>
      </w:r>
      <w:r w:rsidR="00315A59">
        <w:t xml:space="preserve">Moderní věda iluminátů si vystačí sama v sobě, protože je oddělena od reality matematicko-logickou abstrakcí. </w:t>
      </w:r>
      <w:r w:rsidR="007424AE">
        <w:t xml:space="preserve">Až modu </w:t>
      </w:r>
      <w:r w:rsidR="007424AE" w:rsidRPr="007424AE">
        <w:rPr>
          <w:i/>
        </w:rPr>
        <w:t>per posterius</w:t>
      </w:r>
      <w:r w:rsidR="007424AE">
        <w:t xml:space="preserve"> je třeba hledat adekvaci intelektu k věci v modu empirické </w:t>
      </w:r>
      <w:r w:rsidR="007424AE" w:rsidRPr="007424AE">
        <w:rPr>
          <w:i/>
        </w:rPr>
        <w:t>scientia</w:t>
      </w:r>
      <w:r w:rsidR="00D96C2F">
        <w:t xml:space="preserve">, kde má intencionalita daná smyslovou a inteligibilní recepcí </w:t>
      </w:r>
      <w:r w:rsidR="00C43F10">
        <w:t xml:space="preserve">reálné věci nějaké oprávnění. </w:t>
      </w:r>
      <w:r w:rsidR="085734EF">
        <w:t>V</w:t>
      </w:r>
      <w:r w:rsidR="009040C8" w:rsidRPr="00273106">
        <w:t xml:space="preserve"> </w:t>
      </w:r>
      <w:r w:rsidR="085734EF">
        <w:t xml:space="preserve">diakosmu </w:t>
      </w:r>
      <w:r w:rsidR="009040C8" w:rsidRPr="00273106">
        <w:t>modernistů p</w:t>
      </w:r>
      <w:r w:rsidR="00125D81" w:rsidRPr="00273106">
        <w:t xml:space="preserve">anuje plná </w:t>
      </w:r>
      <w:r w:rsidR="00AD2FB0" w:rsidRPr="00273106">
        <w:t xml:space="preserve">matematická </w:t>
      </w:r>
      <w:r w:rsidR="00125D81" w:rsidRPr="00273106">
        <w:t>úměra (</w:t>
      </w:r>
      <w:r w:rsidR="00125D81" w:rsidRPr="00273106">
        <w:rPr>
          <w:i/>
        </w:rPr>
        <w:t>aequatio</w:t>
      </w:r>
      <w:r w:rsidR="00125D81" w:rsidRPr="00273106">
        <w:t xml:space="preserve">) mezi subjektem </w:t>
      </w:r>
      <w:r w:rsidR="00C972F5">
        <w:t xml:space="preserve">poznání </w:t>
      </w:r>
      <w:r w:rsidR="00125D81" w:rsidRPr="00273106">
        <w:t xml:space="preserve">a </w:t>
      </w:r>
      <w:r w:rsidR="00520504">
        <w:t xml:space="preserve">mezi </w:t>
      </w:r>
      <w:r w:rsidR="00AD2FB0" w:rsidRPr="00273106">
        <w:t>univerzální predikací</w:t>
      </w:r>
      <w:r w:rsidR="00C972F5">
        <w:t xml:space="preserve"> danou </w:t>
      </w:r>
      <w:r w:rsidR="00C608C8">
        <w:t>skrze matematickou supozici</w:t>
      </w:r>
      <w:r w:rsidR="00DC6F64">
        <w:fldChar w:fldCharType="begin"/>
      </w:r>
      <w:r w:rsidR="00DC6F64">
        <w:instrText xml:space="preserve"> XE "</w:instrText>
      </w:r>
      <w:r w:rsidR="00DC6F64" w:rsidRPr="00782B13">
        <w:instrText>supozice:matematická</w:instrText>
      </w:r>
      <w:r w:rsidR="00DC6F64">
        <w:instrText xml:space="preserve">" </w:instrText>
      </w:r>
      <w:r w:rsidR="00DC6F64">
        <w:fldChar w:fldCharType="end"/>
      </w:r>
      <w:r w:rsidR="00FB5EE2" w:rsidRPr="00273106">
        <w:t xml:space="preserve">. </w:t>
      </w:r>
      <w:r w:rsidR="08196800">
        <w:t xml:space="preserve">Proces </w:t>
      </w:r>
      <w:r w:rsidR="08D237A4">
        <w:t xml:space="preserve">matematického a kauzálně účinného </w:t>
      </w:r>
      <w:r w:rsidR="08196800" w:rsidRPr="08D237A4">
        <w:rPr>
          <w:i/>
        </w:rPr>
        <w:t>informatio</w:t>
      </w:r>
      <w:r w:rsidR="001C3889">
        <w:t xml:space="preserve"> nejde </w:t>
      </w:r>
      <w:r w:rsidR="00C07459">
        <w:t xml:space="preserve">v modu </w:t>
      </w:r>
      <w:r w:rsidR="00C07459" w:rsidRPr="00C07459">
        <w:rPr>
          <w:i/>
        </w:rPr>
        <w:t>per prius</w:t>
      </w:r>
      <w:r w:rsidR="00C07459">
        <w:t xml:space="preserve"> </w:t>
      </w:r>
      <w:r w:rsidR="00B71E53">
        <w:t>od</w:t>
      </w:r>
      <w:r w:rsidR="001C3889">
        <w:t xml:space="preserve"> </w:t>
      </w:r>
      <w:r w:rsidR="08196800">
        <w:t xml:space="preserve">materiální věci, ale </w:t>
      </w:r>
      <w:r w:rsidR="00B71E53">
        <w:t>nazírá konkrétní a individuální</w:t>
      </w:r>
      <w:r w:rsidR="08196800">
        <w:t xml:space="preserve"> </w:t>
      </w:r>
      <w:r w:rsidR="00B71E53">
        <w:t>„samotné věci</w:t>
      </w:r>
      <w:r w:rsidR="001C3889">
        <w:t>“</w:t>
      </w:r>
      <w:r w:rsidR="08196800">
        <w:t>, jak je později nazve Husserl</w:t>
      </w:r>
      <w:r w:rsidR="001C3889">
        <w:t xml:space="preserve">. </w:t>
      </w:r>
      <w:r w:rsidR="00310466" w:rsidRPr="00273106">
        <w:t>F</w:t>
      </w:r>
      <w:r w:rsidR="00927E85" w:rsidRPr="00273106">
        <w:t>ormální esencialita</w:t>
      </w:r>
      <w:r w:rsidR="0024563A" w:rsidRPr="00273106">
        <w:t xml:space="preserve"> </w:t>
      </w:r>
      <w:r w:rsidR="00F1642D">
        <w:t xml:space="preserve">věci, tj. </w:t>
      </w:r>
      <w:r w:rsidR="00F15490" w:rsidRPr="00273106">
        <w:t>indivi</w:t>
      </w:r>
      <w:r w:rsidR="009C7D66" w:rsidRPr="00273106">
        <w:t>d</w:t>
      </w:r>
      <w:r w:rsidR="00F15490" w:rsidRPr="00273106">
        <w:t>ualita</w:t>
      </w:r>
      <w:r w:rsidR="00C54D43" w:rsidRPr="00273106">
        <w:t xml:space="preserve"> a existence jako</w:t>
      </w:r>
      <w:r w:rsidR="00C54D43" w:rsidRPr="00273106">
        <w:rPr>
          <w:i/>
        </w:rPr>
        <w:t xml:space="preserve"> tertium ens</w:t>
      </w:r>
      <w:r w:rsidR="003F16A5">
        <w:rPr>
          <w:i/>
        </w:rPr>
        <w:fldChar w:fldCharType="begin"/>
      </w:r>
      <w:r w:rsidR="003F16A5">
        <w:instrText xml:space="preserve"> XE "</w:instrText>
      </w:r>
      <w:r w:rsidR="003F16A5" w:rsidRPr="002F10B4">
        <w:rPr>
          <w:rStyle w:val="Zvraznn"/>
        </w:rPr>
        <w:instrText>tertium ens</w:instrText>
      </w:r>
      <w:r w:rsidR="007374CA">
        <w:rPr>
          <w:rStyle w:val="Zvraznn"/>
        </w:rPr>
        <w:instrText>:scibile</w:instrText>
      </w:r>
      <w:r w:rsidR="003F16A5">
        <w:instrText xml:space="preserve">" </w:instrText>
      </w:r>
      <w:r w:rsidR="003F16A5">
        <w:rPr>
          <w:i/>
        </w:rPr>
        <w:fldChar w:fldCharType="end"/>
      </w:r>
      <w:r w:rsidR="00F1642D" w:rsidRPr="00F1642D">
        <w:rPr>
          <w:i/>
        </w:rPr>
        <w:t>,</w:t>
      </w:r>
      <w:r w:rsidR="00F1642D">
        <w:t xml:space="preserve"> </w:t>
      </w:r>
      <w:r w:rsidR="00F15490" w:rsidRPr="00273106">
        <w:t xml:space="preserve">tvoří základ jistoty </w:t>
      </w:r>
      <w:r w:rsidR="000857B5" w:rsidRPr="00273106">
        <w:t>poznání</w:t>
      </w:r>
      <w:r w:rsidR="005F0C99" w:rsidRPr="00273106">
        <w:t xml:space="preserve"> a dává </w:t>
      </w:r>
      <w:r w:rsidR="08F658F1">
        <w:t xml:space="preserve">modernímu jsoucnu </w:t>
      </w:r>
      <w:r w:rsidR="005F0C99" w:rsidRPr="00273106">
        <w:t xml:space="preserve">poslední ospravedlnění. </w:t>
      </w:r>
      <w:r w:rsidR="000857B5" w:rsidRPr="00273106">
        <w:t xml:space="preserve">Toto nové </w:t>
      </w:r>
      <w:r w:rsidR="000857B5" w:rsidRPr="00273106">
        <w:rPr>
          <w:i/>
        </w:rPr>
        <w:t>individuum</w:t>
      </w:r>
      <w:r w:rsidR="000857B5" w:rsidRPr="00273106">
        <w:t xml:space="preserve"> moderny </w:t>
      </w:r>
      <w:r w:rsidR="00553234" w:rsidRPr="00273106">
        <w:t xml:space="preserve">se stalo v procesu </w:t>
      </w:r>
      <w:r w:rsidR="0024563A" w:rsidRPr="00273106">
        <w:t xml:space="preserve">Rufusova </w:t>
      </w:r>
      <w:r w:rsidR="0024563A" w:rsidRPr="00273106">
        <w:rPr>
          <w:i/>
        </w:rPr>
        <w:t>informatio</w:t>
      </w:r>
      <w:r w:rsidR="0024563A" w:rsidRPr="00273106">
        <w:t xml:space="preserve"> </w:t>
      </w:r>
      <w:r w:rsidR="00563556" w:rsidRPr="00273106">
        <w:t>subj</w:t>
      </w:r>
      <w:r w:rsidR="000857B5" w:rsidRPr="00273106">
        <w:t>ektem</w:t>
      </w:r>
      <w:r w:rsidR="0024563A" w:rsidRPr="00273106">
        <w:t xml:space="preserve"> poznání</w:t>
      </w:r>
      <w:r w:rsidR="00EC450D">
        <w:t xml:space="preserve"> </w:t>
      </w:r>
      <w:r w:rsidR="006F63C6" w:rsidRPr="00273106">
        <w:t>(</w:t>
      </w:r>
      <w:r w:rsidR="08A17B43" w:rsidRPr="00273106">
        <w:rPr>
          <w:i/>
        </w:rPr>
        <w:t>scibile</w:t>
      </w:r>
      <w:r w:rsidR="00EC450D">
        <w:t>)</w:t>
      </w:r>
      <w:r w:rsidR="00202253" w:rsidRPr="00273106">
        <w:t>.</w:t>
      </w:r>
      <w:r w:rsidR="00CF2DB4" w:rsidRPr="00273106">
        <w:t xml:space="preserve"> </w:t>
      </w:r>
      <w:r w:rsidR="007D3445">
        <w:t xml:space="preserve">Nová epocha </w:t>
      </w:r>
      <w:r w:rsidR="00C07459">
        <w:t xml:space="preserve">vědecké </w:t>
      </w:r>
      <w:r w:rsidR="00E732E1">
        <w:t>informatiky</w:t>
      </w:r>
      <w:r w:rsidR="007374CA">
        <w:fldChar w:fldCharType="begin"/>
      </w:r>
      <w:r w:rsidR="007374CA">
        <w:instrText xml:space="preserve"> XE "</w:instrText>
      </w:r>
      <w:r w:rsidR="007374CA" w:rsidRPr="00215217">
        <w:instrText>informatika</w:instrText>
      </w:r>
      <w:r w:rsidR="007374CA">
        <w:instrText xml:space="preserve">" </w:instrText>
      </w:r>
      <w:r w:rsidR="007374CA">
        <w:fldChar w:fldCharType="end"/>
      </w:r>
      <w:r w:rsidR="00E732E1">
        <w:t xml:space="preserve"> </w:t>
      </w:r>
      <w:r w:rsidR="00BE2FBE">
        <w:t>začíná vznikem k</w:t>
      </w:r>
      <w:r w:rsidR="007D3445">
        <w:t>onkrétního moderního individua</w:t>
      </w:r>
      <w:r w:rsidR="08AC2934">
        <w:t xml:space="preserve"> pojatého zcela univerzálně a ekvivočně</w:t>
      </w:r>
      <w:r w:rsidR="0081480D">
        <w:t xml:space="preserve">. </w:t>
      </w:r>
      <w:r w:rsidR="009B23BD" w:rsidRPr="00273106">
        <w:t xml:space="preserve">Supozice nepotřebuje </w:t>
      </w:r>
      <w:r w:rsidR="001C7C76">
        <w:t xml:space="preserve">v modu </w:t>
      </w:r>
      <w:r w:rsidR="001C7C76" w:rsidRPr="001C7C76">
        <w:rPr>
          <w:i/>
        </w:rPr>
        <w:t>per prius</w:t>
      </w:r>
      <w:r w:rsidR="001C7C76">
        <w:t xml:space="preserve"> </w:t>
      </w:r>
      <w:r w:rsidR="00A616EC">
        <w:t xml:space="preserve">ani </w:t>
      </w:r>
      <w:r w:rsidR="009B23BD" w:rsidRPr="00273106">
        <w:t>manifestaci reálné věci</w:t>
      </w:r>
      <w:r w:rsidR="00A616EC">
        <w:t xml:space="preserve">, ani </w:t>
      </w:r>
      <w:r w:rsidR="00330400">
        <w:t xml:space="preserve">nemusí predikovat </w:t>
      </w:r>
      <w:r w:rsidR="00A616EC">
        <w:t xml:space="preserve">její </w:t>
      </w:r>
      <w:r w:rsidR="00330400">
        <w:t xml:space="preserve">kauzálně danou </w:t>
      </w:r>
      <w:r w:rsidR="00A616EC">
        <w:t>impozici</w:t>
      </w:r>
      <w:r w:rsidR="08AC2934">
        <w:t xml:space="preserve"> z reality</w:t>
      </w:r>
      <w:r w:rsidR="00A616EC">
        <w:t xml:space="preserve">. K pravdivému </w:t>
      </w:r>
      <w:r w:rsidR="00A42888">
        <w:t xml:space="preserve">analytickému </w:t>
      </w:r>
      <w:r w:rsidR="00A616EC">
        <w:t xml:space="preserve">soudu v rámci pravdy jako univerzální matematické harmonie stačí </w:t>
      </w:r>
      <w:r w:rsidR="009B23BD" w:rsidRPr="00273106">
        <w:t>evidentně daná jistota esenc</w:t>
      </w:r>
      <w:r w:rsidR="002C5CBB">
        <w:t>e</w:t>
      </w:r>
      <w:r w:rsidR="089247A2" w:rsidRPr="00273106">
        <w:t>, která se eventuálně vyskytne i v reálu</w:t>
      </w:r>
      <w:r w:rsidR="08660B6A">
        <w:t>.</w:t>
      </w:r>
    </w:p>
    <w:p w14:paraId="3DC5DC6D" w14:textId="77777777" w:rsidR="001B20D5" w:rsidRDefault="08660B6A" w:rsidP="003630A9">
      <w:r>
        <w:tab/>
      </w:r>
      <w:r w:rsidR="00DF0877">
        <w:t xml:space="preserve">Rufusovu dedukci </w:t>
      </w:r>
      <w:r w:rsidR="086D0C96">
        <w:t xml:space="preserve">jsoucna třetího druhu na první principy poznání </w:t>
      </w:r>
      <w:r w:rsidR="00D02C26">
        <w:t>(</w:t>
      </w:r>
      <w:r w:rsidR="00D02C26" w:rsidRPr="00D02C26">
        <w:rPr>
          <w:i/>
        </w:rPr>
        <w:t>resolutio</w:t>
      </w:r>
      <w:r w:rsidR="00D02C26">
        <w:t xml:space="preserve">) </w:t>
      </w:r>
      <w:r w:rsidR="00DF0877">
        <w:t>opakoval Descartes při hledání první filosofie</w:t>
      </w:r>
      <w:r w:rsidR="086D0C96">
        <w:rPr>
          <w:i/>
        </w:rPr>
        <w:fldChar w:fldCharType="begin"/>
      </w:r>
      <w:r w:rsidR="086D0C96">
        <w:instrText xml:space="preserve"> XE "metafyzika</w:instrText>
      </w:r>
      <w:r w:rsidR="086D0C96" w:rsidRPr="004E6075">
        <w:rPr>
          <w:i/>
        </w:rPr>
        <w:instrText>:</w:instrText>
      </w:r>
      <w:r w:rsidR="086D0C96" w:rsidRPr="00274F8C">
        <w:instrText>Descartes</w:instrText>
      </w:r>
      <w:r w:rsidR="086D0C96">
        <w:instrText xml:space="preserve">" </w:instrText>
      </w:r>
      <w:r w:rsidR="086D0C96">
        <w:rPr>
          <w:i/>
        </w:rPr>
        <w:fldChar w:fldCharType="end"/>
      </w:r>
      <w:r w:rsidR="086D0C96">
        <w:t>. P</w:t>
      </w:r>
      <w:r w:rsidR="087724DA">
        <w:t xml:space="preserve">ostmoderní </w:t>
      </w:r>
      <w:r w:rsidR="00391257">
        <w:t xml:space="preserve">dílo </w:t>
      </w:r>
      <w:r w:rsidR="087724DA" w:rsidRPr="00442052">
        <w:rPr>
          <w:i/>
        </w:rPr>
        <w:t>Medit</w:t>
      </w:r>
      <w:r w:rsidR="087724DA">
        <w:rPr>
          <w:i/>
        </w:rPr>
        <w:t>at</w:t>
      </w:r>
      <w:r w:rsidR="087724DA" w:rsidRPr="00442052">
        <w:rPr>
          <w:i/>
        </w:rPr>
        <w:t>iones de prima philoso</w:t>
      </w:r>
      <w:r w:rsidR="087724DA">
        <w:rPr>
          <w:i/>
        </w:rPr>
        <w:t>p</w:t>
      </w:r>
      <w:r w:rsidR="087724DA" w:rsidRPr="00442052">
        <w:rPr>
          <w:i/>
        </w:rPr>
        <w:t>hia</w:t>
      </w:r>
      <w:r w:rsidR="087724DA">
        <w:t xml:space="preserve"> </w:t>
      </w:r>
      <w:r w:rsidR="00586D57">
        <w:rPr>
          <w:lang w:eastAsia="en-US"/>
        </w:rPr>
        <w:t xml:space="preserve">(1641) </w:t>
      </w:r>
      <w:r w:rsidR="00391257">
        <w:t xml:space="preserve">aktualizuje </w:t>
      </w:r>
      <w:r w:rsidR="087724DA" w:rsidRPr="00273106">
        <w:t>Grossetesteho a Rufuso</w:t>
      </w:r>
      <w:r w:rsidR="00586D57">
        <w:t>vo</w:t>
      </w:r>
      <w:r w:rsidR="087724DA" w:rsidRPr="00273106">
        <w:t xml:space="preserve"> </w:t>
      </w:r>
      <w:r w:rsidR="00586D57">
        <w:t>moderní</w:t>
      </w:r>
      <w:r w:rsidR="087724DA">
        <w:t xml:space="preserve"> vytěsnění empirické reality skrze objektivní evidenci prvních principů poznání</w:t>
      </w:r>
      <w:r w:rsidR="08463EE4">
        <w:t xml:space="preserve">. </w:t>
      </w:r>
      <w:r w:rsidR="00D31DE1">
        <w:t xml:space="preserve">Postmoderní rozklad </w:t>
      </w:r>
      <w:r w:rsidR="00D31DE1" w:rsidRPr="00D31DE1">
        <w:rPr>
          <w:i/>
        </w:rPr>
        <w:t>tertium ens</w:t>
      </w:r>
      <w:r w:rsidR="00D31DE1">
        <w:t xml:space="preserve"> </w:t>
      </w:r>
      <w:r w:rsidR="08463EE4">
        <w:t xml:space="preserve">na prvočinitele skrze </w:t>
      </w:r>
      <w:r w:rsidR="00391257">
        <w:t xml:space="preserve">postup </w:t>
      </w:r>
      <w:r w:rsidR="08E83C9F">
        <w:t xml:space="preserve">Descarta </w:t>
      </w:r>
      <w:r w:rsidR="08463EE4">
        <w:t>lze shrnout ve třech základních krocích</w:t>
      </w:r>
      <w:r w:rsidR="087724DA">
        <w:t xml:space="preserve">. Za prvé: </w:t>
      </w:r>
      <w:r w:rsidR="087724DA" w:rsidRPr="00273106">
        <w:t>zpochybnění vnější reality</w:t>
      </w:r>
      <w:r w:rsidR="087724DA">
        <w:t xml:space="preserve">. Za druhé: </w:t>
      </w:r>
      <w:r w:rsidR="087724DA" w:rsidRPr="00273106">
        <w:t xml:space="preserve">nalezení pevného a nepochybného základu v </w:t>
      </w:r>
      <w:r w:rsidR="087724DA" w:rsidRPr="002B3D90">
        <w:rPr>
          <w:i/>
        </w:rPr>
        <w:t>cogito</w:t>
      </w:r>
      <w:r w:rsidR="087724DA">
        <w:t>. Za třetí: s</w:t>
      </w:r>
      <w:r w:rsidR="087724DA" w:rsidRPr="00273106">
        <w:t>pojení s prvním principem poznání daným v intelektu aktuálně a jako první příčina</w:t>
      </w:r>
      <w:r w:rsidR="087724DA">
        <w:t xml:space="preserve">. Za čtvrté: </w:t>
      </w:r>
      <w:r w:rsidR="087724DA" w:rsidRPr="00273106">
        <w:t>rekonstrukce empirického jsoucna směrem od tohoto základu</w:t>
      </w:r>
      <w:r w:rsidR="087724DA">
        <w:t xml:space="preserve"> matematicky a reflexivně dané univerzální rovnosti</w:t>
      </w:r>
      <w:r w:rsidR="007635B2">
        <w:t>. Tento proces začíná Avicennovou</w:t>
      </w:r>
      <w:r w:rsidR="007635B2" w:rsidRPr="007635B2">
        <w:t xml:space="preserve"> </w:t>
      </w:r>
      <w:r w:rsidR="007635B2" w:rsidRPr="007635B2">
        <w:rPr>
          <w:i/>
        </w:rPr>
        <w:t>denudatio</w:t>
      </w:r>
      <w:r w:rsidR="007635B2">
        <w:t xml:space="preserve"> (mytologický</w:t>
      </w:r>
      <w:r w:rsidR="007635B2" w:rsidRPr="007635B2">
        <w:t xml:space="preserve"> zánik reálného světa) a prochází Rufusovou </w:t>
      </w:r>
      <w:r w:rsidR="007635B2" w:rsidRPr="007635B2">
        <w:rPr>
          <w:i/>
        </w:rPr>
        <w:t>resolutio</w:t>
      </w:r>
      <w:r w:rsidR="007635B2">
        <w:t xml:space="preserve"> (metafyzická redukce</w:t>
      </w:r>
      <w:r w:rsidR="007635B2" w:rsidRPr="007635B2">
        <w:t xml:space="preserve"> poznání na mo</w:t>
      </w:r>
      <w:r w:rsidR="007635B2">
        <w:t>derního Boha), kterou završuje porretánské</w:t>
      </w:r>
      <w:r w:rsidR="007635B2" w:rsidRPr="007635B2">
        <w:t xml:space="preserve"> </w:t>
      </w:r>
      <w:r w:rsidR="007635B2" w:rsidRPr="007635B2">
        <w:rPr>
          <w:i/>
        </w:rPr>
        <w:t>colligatio</w:t>
      </w:r>
      <w:r w:rsidR="007635B2" w:rsidRPr="007635B2">
        <w:t xml:space="preserve"> (logická rekompozice objektivního, postmoderního světa).</w:t>
      </w:r>
      <w:r w:rsidR="007635B2">
        <w:t xml:space="preserve"> </w:t>
      </w:r>
      <w:r w:rsidR="00C90C16" w:rsidRPr="00C90C16">
        <w:t xml:space="preserve">Postmoderní francouzský iluminát po vzoru Rufuse </w:t>
      </w:r>
      <w:r w:rsidR="00C90C16">
        <w:t xml:space="preserve">přímo nazírá </w:t>
      </w:r>
      <w:r w:rsidR="005958D1">
        <w:t>evidentní</w:t>
      </w:r>
      <w:r w:rsidR="00C90C16">
        <w:t xml:space="preserve"> fakta</w:t>
      </w:r>
      <w:r w:rsidR="00C90C16" w:rsidRPr="00C90C16">
        <w:t xml:space="preserve"> a asimiluje svět v matem</w:t>
      </w:r>
      <w:r w:rsidR="00C90C16">
        <w:t xml:space="preserve">atickém modu </w:t>
      </w:r>
      <w:r w:rsidR="087724DA" w:rsidRPr="085D6354">
        <w:rPr>
          <w:i/>
        </w:rPr>
        <w:t>discrete videamus</w:t>
      </w:r>
      <w:r w:rsidR="087724DA">
        <w:rPr>
          <w:i/>
        </w:rPr>
        <w:fldChar w:fldCharType="begin"/>
      </w:r>
      <w:r w:rsidR="087724DA">
        <w:instrText xml:space="preserve"> XE "</w:instrText>
      </w:r>
      <w:r w:rsidR="087724DA" w:rsidRPr="08EF4CA6">
        <w:rPr>
          <w:i/>
        </w:rPr>
        <w:instrText>discrete videamus</w:instrText>
      </w:r>
      <w:r w:rsidR="087724DA">
        <w:instrText xml:space="preserve">" </w:instrText>
      </w:r>
      <w:r w:rsidR="087724DA">
        <w:rPr>
          <w:i/>
        </w:rPr>
        <w:fldChar w:fldCharType="end"/>
      </w:r>
      <w:r w:rsidR="087724DA">
        <w:t xml:space="preserve">. </w:t>
      </w:r>
      <w:r w:rsidR="08DF062E" w:rsidRPr="00273106">
        <w:t xml:space="preserve">Rozkládání a skládání světa </w:t>
      </w:r>
      <w:r w:rsidR="08DF062E">
        <w:t xml:space="preserve">v postmoderním světě logicko-filosofických traktátů už </w:t>
      </w:r>
      <w:r w:rsidR="08DF062E" w:rsidRPr="00273106">
        <w:t xml:space="preserve">funguje nikoliv v substančním </w:t>
      </w:r>
      <w:r w:rsidR="08DF062E">
        <w:t>modelu univerzálního hylemorfismu</w:t>
      </w:r>
      <w:r w:rsidR="08DF062E">
        <w:fldChar w:fldCharType="begin"/>
      </w:r>
      <w:r w:rsidR="08DF062E">
        <w:instrText xml:space="preserve"> XE "</w:instrText>
      </w:r>
      <w:r w:rsidR="08DF062E" w:rsidRPr="00423560">
        <w:instrText>univerzální hylemorfismus</w:instrText>
      </w:r>
      <w:r w:rsidR="08DF062E">
        <w:instrText xml:space="preserve">" </w:instrText>
      </w:r>
      <w:r w:rsidR="08DF062E">
        <w:fldChar w:fldCharType="end"/>
      </w:r>
      <w:r w:rsidR="08DF062E">
        <w:t xml:space="preserve"> prvních </w:t>
      </w:r>
      <w:r w:rsidR="08DF062E" w:rsidRPr="00273106">
        <w:rPr>
          <w:i/>
        </w:rPr>
        <w:t>Modernorum</w:t>
      </w:r>
      <w:r w:rsidR="08DF062E" w:rsidRPr="00273106">
        <w:t xml:space="preserve">, ale skrze postmoderní vědomí vlastního Já, které dostane charakter </w:t>
      </w:r>
      <w:r w:rsidR="08DF062E">
        <w:t xml:space="preserve">myslící </w:t>
      </w:r>
      <w:r w:rsidR="08DF062E" w:rsidRPr="00273106">
        <w:t>substance (</w:t>
      </w:r>
      <w:r w:rsidR="08DF062E" w:rsidRPr="00273106">
        <w:rPr>
          <w:i/>
        </w:rPr>
        <w:t>res cogitans</w:t>
      </w:r>
      <w:r w:rsidR="08DF062E">
        <w:rPr>
          <w:i/>
        </w:rPr>
        <w:fldChar w:fldCharType="begin"/>
      </w:r>
      <w:r w:rsidR="08DF062E">
        <w:instrText xml:space="preserve"> XE "</w:instrText>
      </w:r>
      <w:r w:rsidR="08DF062E" w:rsidRPr="003F49D8">
        <w:rPr>
          <w:i/>
        </w:rPr>
        <w:instrText>res cogitans</w:instrText>
      </w:r>
      <w:r w:rsidR="08DF062E">
        <w:instrText xml:space="preserve">" </w:instrText>
      </w:r>
      <w:r w:rsidR="08DF062E">
        <w:rPr>
          <w:i/>
        </w:rPr>
        <w:fldChar w:fldCharType="end"/>
      </w:r>
      <w:r w:rsidR="08DF062E" w:rsidRPr="00273106">
        <w:t>).</w:t>
      </w:r>
      <w:r w:rsidR="08DF062E">
        <w:t xml:space="preserve"> </w:t>
      </w:r>
      <w:r w:rsidR="08E83C9F">
        <w:t xml:space="preserve">Další </w:t>
      </w:r>
      <w:r w:rsidR="087724DA">
        <w:t xml:space="preserve">formu Rufusovy resoluce a kompozice ukázal </w:t>
      </w:r>
      <w:r w:rsidR="087724DA" w:rsidRPr="00273106">
        <w:t>postmoderní zápas německého idealismu o odstranění či potvrzení Kantovy dichotomie noumenálního a fenomenálního světa.</w:t>
      </w:r>
      <w:r w:rsidR="087724DA">
        <w:t xml:space="preserve"> </w:t>
      </w:r>
      <w:r w:rsidR="087724DA" w:rsidRPr="00273106">
        <w:t xml:space="preserve">Rufusovo pojetí pravdy </w:t>
      </w:r>
      <w:r w:rsidR="087724DA">
        <w:t xml:space="preserve">jako univerzální podobnosti a rovnosti </w:t>
      </w:r>
      <w:r w:rsidR="005129AB">
        <w:t xml:space="preserve">všech </w:t>
      </w:r>
      <w:r w:rsidR="005129AB" w:rsidRPr="0052657D">
        <w:rPr>
          <w:i/>
          <w:lang w:eastAsia="en-US"/>
        </w:rPr>
        <w:t>scibilia</w:t>
      </w:r>
      <w:r w:rsidR="005129AB">
        <w:rPr>
          <w:lang w:eastAsia="en-US"/>
        </w:rPr>
        <w:t xml:space="preserve"> </w:t>
      </w:r>
      <w:r w:rsidR="005129AB">
        <w:t>otevřelo</w:t>
      </w:r>
      <w:r w:rsidR="087724DA" w:rsidRPr="00273106">
        <w:t xml:space="preserve"> cestu </w:t>
      </w:r>
      <w:r w:rsidR="002117D4">
        <w:t>oběma směry. Na jedné straně vznikla radikální subjektivita</w:t>
      </w:r>
      <w:r w:rsidR="087724DA" w:rsidRPr="00273106">
        <w:t xml:space="preserve"> Descarta</w:t>
      </w:r>
      <w:r w:rsidR="087724DA">
        <w:fldChar w:fldCharType="begin"/>
      </w:r>
      <w:r w:rsidR="087724DA">
        <w:instrText xml:space="preserve"> XE "</w:instrText>
      </w:r>
      <w:r w:rsidR="087724DA" w:rsidRPr="004146C6">
        <w:rPr>
          <w:rStyle w:val="addmd"/>
        </w:rPr>
        <w:instrText>Descartes, R.</w:instrText>
      </w:r>
      <w:r w:rsidR="087724DA">
        <w:instrText xml:space="preserve">" </w:instrText>
      </w:r>
      <w:r w:rsidR="087724DA">
        <w:fldChar w:fldCharType="end"/>
      </w:r>
      <w:r w:rsidR="087724DA" w:rsidRPr="00273106">
        <w:t xml:space="preserve"> a Husserla</w:t>
      </w:r>
      <w:r w:rsidR="087724DA">
        <w:fldChar w:fldCharType="begin"/>
      </w:r>
      <w:r w:rsidR="087724DA">
        <w:instrText xml:space="preserve"> XE "</w:instrText>
      </w:r>
      <w:r w:rsidR="087724DA" w:rsidRPr="000710C4">
        <w:instrText>Husserl, E.</w:instrText>
      </w:r>
      <w:r w:rsidR="087724DA">
        <w:instrText xml:space="preserve">" </w:instrText>
      </w:r>
      <w:r w:rsidR="087724DA">
        <w:fldChar w:fldCharType="end"/>
      </w:r>
      <w:r w:rsidR="002117D4">
        <w:t>. Na druhé straně vznikla radikální objektivita</w:t>
      </w:r>
      <w:r w:rsidR="087724DA">
        <w:t xml:space="preserve"> Vídeňského kruhu</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0B62CC0">
        <w:t>, který zopakuje Rufusův projekt</w:t>
      </w:r>
      <w:r w:rsidR="08F364F0">
        <w:t xml:space="preserve"> v epoše metafyzického nihilismu.</w:t>
      </w:r>
      <w:r w:rsidR="002117D4">
        <w:t xml:space="preserve"> </w:t>
      </w:r>
      <w:r w:rsidR="08632EF0">
        <w:fldChar w:fldCharType="begin"/>
      </w:r>
      <w:r w:rsidR="08632EF0">
        <w:instrText xml:space="preserve"> XE "</w:instrText>
      </w:r>
      <w:r w:rsidR="08632EF0" w:rsidRPr="00B05C94">
        <w:instrText>nihilismus</w:instrText>
      </w:r>
      <w:r w:rsidR="08632EF0">
        <w:instrText xml:space="preserve">" </w:instrText>
      </w:r>
      <w:r w:rsidR="08632EF0">
        <w:fldChar w:fldCharType="end"/>
      </w:r>
      <w:r w:rsidR="08510713">
        <w:t xml:space="preserve">Logičtí </w:t>
      </w:r>
      <w:r w:rsidR="0082615D">
        <w:t xml:space="preserve">pozitivisté </w:t>
      </w:r>
      <w:r w:rsidR="08510713">
        <w:t>obnovili na začátku 20. století zašlou slávu</w:t>
      </w:r>
      <w:r w:rsidR="085734EF">
        <w:t xml:space="preserve"> analytické filosofie Rufuse</w:t>
      </w:r>
      <w:r w:rsidR="08510713">
        <w:t xml:space="preserve">, </w:t>
      </w:r>
      <w:r w:rsidR="08510713" w:rsidRPr="00273106">
        <w:t>protože z</w:t>
      </w:r>
      <w:r w:rsidR="08510713">
        <w:t xml:space="preserve">rušili </w:t>
      </w:r>
      <w:r w:rsidR="08510713" w:rsidRPr="00273106">
        <w:t>metafyzi</w:t>
      </w:r>
      <w:r w:rsidR="08510713">
        <w:t>c</w:t>
      </w:r>
      <w:r w:rsidR="08510713" w:rsidRPr="00273106">
        <w:t>k</w:t>
      </w:r>
      <w:r w:rsidR="08510713">
        <w:t>o</w:t>
      </w:r>
      <w:r w:rsidR="08510713" w:rsidRPr="00273106">
        <w:t xml:space="preserve">u </w:t>
      </w:r>
      <w:r w:rsidR="08510713">
        <w:t>abstrakci jako zbytečnou</w:t>
      </w:r>
      <w:r w:rsidR="08510713" w:rsidRPr="00273106">
        <w:t>.</w:t>
      </w:r>
      <w:r w:rsidR="08510713">
        <w:t xml:space="preserve"> Současné analytické filosofii stačí </w:t>
      </w:r>
      <w:r w:rsidR="00614206" w:rsidRPr="00273106">
        <w:t>k poznání světa matematická abstrakce</w:t>
      </w:r>
      <w:r w:rsidR="08510713">
        <w:t xml:space="preserve"> a pouhý nominalismus</w:t>
      </w:r>
      <w:r w:rsidR="08451252">
        <w:t xml:space="preserve">. </w:t>
      </w:r>
      <w:r w:rsidR="081E5044">
        <w:t xml:space="preserve">Rufusovy teze dějinně působí v současných verzích analytické filosofie, která završuje epochu </w:t>
      </w:r>
      <w:r w:rsidR="081E5044" w:rsidRPr="00AB26DA">
        <w:rPr>
          <w:i/>
        </w:rPr>
        <w:t>Oxfordian Fallacy</w:t>
      </w:r>
      <w:r w:rsidR="081E5044">
        <w:t xml:space="preserve"> ve věku metafyzického nihilismu.  </w:t>
      </w:r>
      <w:r w:rsidR="005C6C53">
        <w:t>R</w:t>
      </w:r>
      <w:r w:rsidR="08942368">
        <w:t xml:space="preserve">oli oněch </w:t>
      </w:r>
      <w:r w:rsidR="08942368" w:rsidRPr="005A1E4B">
        <w:rPr>
          <w:i/>
        </w:rPr>
        <w:t>sophistae Italici</w:t>
      </w:r>
      <w:r w:rsidR="08942368">
        <w:t xml:space="preserve"> a </w:t>
      </w:r>
      <w:r w:rsidR="08942368" w:rsidRPr="005A1E4B">
        <w:rPr>
          <w:i/>
        </w:rPr>
        <w:t>Grammatici</w:t>
      </w:r>
      <w:r w:rsidR="08942368">
        <w:t xml:space="preserve"> kritizovaných Alvernem hraje kolem roku 1920 neopozitivist</w:t>
      </w:r>
      <w:r w:rsidR="08352E49">
        <w:t>ick</w:t>
      </w:r>
      <w:r w:rsidR="08942368">
        <w:t>á Víde</w:t>
      </w:r>
      <w:r w:rsidR="08352E49">
        <w:t xml:space="preserve">ňská škola </w:t>
      </w:r>
      <w:r w:rsidR="08942368">
        <w:t xml:space="preserve">a </w:t>
      </w:r>
      <w:r w:rsidR="08352E49">
        <w:t xml:space="preserve">analytická filosofie </w:t>
      </w:r>
      <w:r w:rsidR="08942368">
        <w:t xml:space="preserve">raného Wittgensteina. </w:t>
      </w:r>
      <w:r w:rsidR="08F364F0">
        <w:t>Nihilistickou formu současného vědeckého poznání založili neopozitivisté z</w:t>
      </w:r>
      <w:r w:rsidR="009D00F6">
        <w:t> Vídeňského kruhu</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09D00F6">
        <w:t xml:space="preserve"> </w:t>
      </w:r>
      <w:r w:rsidR="08F364F0">
        <w:t>tím, že programově nahradili metafyziku moderní logikou</w:t>
      </w:r>
      <w:r w:rsidR="08F364F0">
        <w:fldChar w:fldCharType="begin"/>
      </w:r>
      <w:r w:rsidR="08F364F0">
        <w:instrText xml:space="preserve"> XE "</w:instrText>
      </w:r>
      <w:r w:rsidR="08F364F0" w:rsidRPr="00F95494">
        <w:instrText>Carnap, R.</w:instrText>
      </w:r>
      <w:r w:rsidR="08F364F0">
        <w:instrText xml:space="preserve">" </w:instrText>
      </w:r>
      <w:r w:rsidR="08F364F0">
        <w:fldChar w:fldCharType="end"/>
      </w:r>
      <w:r w:rsidR="08F364F0">
        <w:t>.</w:t>
      </w:r>
      <w:r w:rsidR="08F364F0">
        <w:rPr>
          <w:rStyle w:val="Znakapoznpodarou"/>
        </w:rPr>
        <w:footnoteReference w:id="425"/>
      </w:r>
      <w:r w:rsidR="08F364F0">
        <w:t xml:space="preserve"> </w:t>
      </w:r>
      <w:r w:rsidR="08942368">
        <w:t xml:space="preserve">Tyto školy aktualizují </w:t>
      </w:r>
      <w:r w:rsidR="08942368" w:rsidRPr="00D83F45">
        <w:rPr>
          <w:i/>
        </w:rPr>
        <w:t>Oxfordian Fallacy</w:t>
      </w:r>
      <w:r w:rsidR="08942368">
        <w:t xml:space="preserve"> v podobě objektivně vítězné </w:t>
      </w:r>
      <w:r w:rsidR="08942368" w:rsidRPr="006C6D21">
        <w:rPr>
          <w:i/>
        </w:rPr>
        <w:t>philosophy of language</w:t>
      </w:r>
      <w:r w:rsidR="08942368">
        <w:t xml:space="preserve">. </w:t>
      </w:r>
      <w:r w:rsidR="081E5044">
        <w:t xml:space="preserve">Výstavba Wittgensteinova </w:t>
      </w:r>
      <w:r w:rsidR="081E5044" w:rsidRPr="0884665D">
        <w:rPr>
          <w:i/>
        </w:rPr>
        <w:t>Traktátu</w:t>
      </w:r>
      <w:r w:rsidR="081E5044">
        <w:t xml:space="preserve"> jde od </w:t>
      </w:r>
      <w:r w:rsidR="081E5044" w:rsidRPr="008C019F">
        <w:rPr>
          <w:i/>
        </w:rPr>
        <w:t>scibile</w:t>
      </w:r>
      <w:r w:rsidR="081E5044">
        <w:t xml:space="preserve"> daného v realitě k formálnímu </w:t>
      </w:r>
      <w:r w:rsidR="081E5044" w:rsidRPr="008C019F">
        <w:rPr>
          <w:i/>
        </w:rPr>
        <w:t>scibile</w:t>
      </w:r>
      <w:r w:rsidR="081E5044">
        <w:t xml:space="preserve"> v mysli v modu Rufusovy logické pravdy jako </w:t>
      </w:r>
      <w:r w:rsidR="081E5044" w:rsidRPr="08632EF0">
        <w:rPr>
          <w:i/>
        </w:rPr>
        <w:t>coaequatio</w:t>
      </w:r>
      <w:r w:rsidR="081E5044">
        <w:t>.</w:t>
      </w:r>
      <w:r w:rsidR="081E5044">
        <w:rPr>
          <w:rStyle w:val="Znakapoznpodarou"/>
        </w:rPr>
        <w:footnoteReference w:id="426"/>
      </w:r>
      <w:r w:rsidR="081E5044">
        <w:t xml:space="preserve"> </w:t>
      </w:r>
      <w:r w:rsidR="08942368">
        <w:t xml:space="preserve">Tato postmoderní verze Rufusovy původní </w:t>
      </w:r>
      <w:r w:rsidR="08942368" w:rsidRPr="0820706E">
        <w:rPr>
          <w:i/>
        </w:rPr>
        <w:t>science-fiction</w:t>
      </w:r>
      <w:r w:rsidR="08DC45A2">
        <w:rPr>
          <w:i/>
        </w:rPr>
        <w:fldChar w:fldCharType="begin"/>
      </w:r>
      <w:r w:rsidR="08DC45A2">
        <w:instrText xml:space="preserve"> XE "</w:instrText>
      </w:r>
      <w:r w:rsidR="08DC45A2" w:rsidRPr="08C02FE6">
        <w:rPr>
          <w:i/>
        </w:rPr>
        <w:instrText>science-fiction</w:instrText>
      </w:r>
      <w:r w:rsidR="08DC45A2">
        <w:instrText xml:space="preserve">" </w:instrText>
      </w:r>
      <w:r w:rsidR="08DC45A2">
        <w:rPr>
          <w:i/>
        </w:rPr>
        <w:fldChar w:fldCharType="end"/>
      </w:r>
      <w:r w:rsidR="08942368">
        <w:t xml:space="preserve"> je napojena na dogmatickou metodu jediné </w:t>
      </w:r>
      <w:r w:rsidR="08A46F07">
        <w:t xml:space="preserve">logické </w:t>
      </w:r>
      <w:r w:rsidR="08942368">
        <w:t xml:space="preserve">cesty v rámci </w:t>
      </w:r>
      <w:r w:rsidR="08942368" w:rsidRPr="00377278">
        <w:rPr>
          <w:i/>
        </w:rPr>
        <w:t>Unified</w:t>
      </w:r>
      <w:r w:rsidR="08942368">
        <w:rPr>
          <w:i/>
        </w:rPr>
        <w:t xml:space="preserve"> S</w:t>
      </w:r>
      <w:r w:rsidR="08942368" w:rsidRPr="00912AAE">
        <w:rPr>
          <w:i/>
        </w:rPr>
        <w:t>cience</w:t>
      </w:r>
      <w:r w:rsidR="08942368">
        <w:rPr>
          <w:i/>
        </w:rPr>
        <w:fldChar w:fldCharType="begin"/>
      </w:r>
      <w:r w:rsidR="08942368">
        <w:instrText xml:space="preserve"> XE "</w:instrText>
      </w:r>
      <w:r w:rsidR="08942368">
        <w:rPr>
          <w:i/>
        </w:rPr>
        <w:instrText>Unified S</w:instrText>
      </w:r>
      <w:r w:rsidR="08942368" w:rsidRPr="00B70114">
        <w:rPr>
          <w:i/>
        </w:rPr>
        <w:instrText>cience</w:instrText>
      </w:r>
      <w:r w:rsidR="08942368">
        <w:instrText xml:space="preserve">" </w:instrText>
      </w:r>
      <w:r w:rsidR="08942368">
        <w:rPr>
          <w:i/>
        </w:rPr>
        <w:fldChar w:fldCharType="end"/>
      </w:r>
      <w:r w:rsidR="08942368">
        <w:t xml:space="preserve">, která hájí teorii jedné pravdy. </w:t>
      </w:r>
      <w:r w:rsidR="00616111">
        <w:t>Karl Raimund Popper převzal r</w:t>
      </w:r>
      <w:r w:rsidR="00614206">
        <w:t xml:space="preserve">oli Bacona proti učeným vídeňským akademikům </w:t>
      </w:r>
      <w:r w:rsidR="08B25645">
        <w:t xml:space="preserve">roku </w:t>
      </w:r>
      <w:r w:rsidR="00614206">
        <w:t>1930</w:t>
      </w:r>
      <w:r w:rsidR="007374CA">
        <w:fldChar w:fldCharType="begin"/>
      </w:r>
      <w:r w:rsidR="007374CA">
        <w:instrText xml:space="preserve"> XE "</w:instrText>
      </w:r>
      <w:r w:rsidR="007374CA" w:rsidRPr="0067496C">
        <w:instrText>Popper</w:instrText>
      </w:r>
      <w:r w:rsidR="007331BD">
        <w:instrText>,</w:instrText>
      </w:r>
      <w:r w:rsidR="007374CA" w:rsidRPr="0067496C">
        <w:instrText xml:space="preserve"> K. R.</w:instrText>
      </w:r>
      <w:r w:rsidR="007374CA">
        <w:instrText xml:space="preserve">" </w:instrText>
      </w:r>
      <w:r w:rsidR="007374CA">
        <w:fldChar w:fldCharType="end"/>
      </w:r>
      <w:r w:rsidR="08B25645">
        <w:t>. T</w:t>
      </w:r>
      <w:r w:rsidR="00614206">
        <w:t>e</w:t>
      </w:r>
      <w:r w:rsidR="08BE6BB7">
        <w:t xml:space="preserve">nto </w:t>
      </w:r>
      <w:r w:rsidR="00614206">
        <w:t xml:space="preserve">gymnaziální učitel </w:t>
      </w:r>
      <w:r w:rsidR="000A3F41">
        <w:t>upozornil</w:t>
      </w:r>
      <w:r w:rsidR="00E25F03">
        <w:t xml:space="preserve"> </w:t>
      </w:r>
      <w:r w:rsidR="004A3043">
        <w:t xml:space="preserve">vídeňské </w:t>
      </w:r>
      <w:r w:rsidR="00E25F03">
        <w:t xml:space="preserve">ilumináty na </w:t>
      </w:r>
      <w:r w:rsidR="08E707E1">
        <w:t xml:space="preserve">Aristotelem daný princip </w:t>
      </w:r>
      <w:r w:rsidR="08D91F67">
        <w:rPr>
          <w:i/>
        </w:rPr>
        <w:t>ex in</w:t>
      </w:r>
      <w:r w:rsidR="08E707E1" w:rsidRPr="08E707E1">
        <w:rPr>
          <w:i/>
        </w:rPr>
        <w:t>mediatis</w:t>
      </w:r>
      <w:r w:rsidR="08E707E1">
        <w:t xml:space="preserve">, i když jej v </w:t>
      </w:r>
      <w:r w:rsidR="000A3F41">
        <w:t>této formě výslovně nekomentoval</w:t>
      </w:r>
      <w:r w:rsidR="08E707E1">
        <w:t>. Pop</w:t>
      </w:r>
      <w:r w:rsidR="083258A6">
        <w:t>p</w:t>
      </w:r>
      <w:r w:rsidR="08E707E1">
        <w:t xml:space="preserve">er zdůraznil </w:t>
      </w:r>
      <w:r w:rsidR="00E25F03">
        <w:t xml:space="preserve">fakt, že </w:t>
      </w:r>
      <w:r w:rsidR="08B17C64">
        <w:t xml:space="preserve">pravdivost vědy </w:t>
      </w:r>
      <w:r w:rsidR="00723746">
        <w:t>je určen</w:t>
      </w:r>
      <w:r w:rsidR="0046397D">
        <w:t>a</w:t>
      </w:r>
      <w:r w:rsidR="00723746">
        <w:t xml:space="preserve"> faktickým </w:t>
      </w:r>
      <w:r w:rsidR="00E25F03">
        <w:t>stav</w:t>
      </w:r>
      <w:r w:rsidR="00723746">
        <w:t>em</w:t>
      </w:r>
      <w:r w:rsidR="00E25F03">
        <w:t xml:space="preserve"> reality</w:t>
      </w:r>
      <w:r w:rsidR="0046397D">
        <w:t xml:space="preserve">. Impozičně určené vědění je </w:t>
      </w:r>
      <w:r w:rsidR="00723746">
        <w:t xml:space="preserve">vždy </w:t>
      </w:r>
      <w:r w:rsidR="0046397D">
        <w:t>zahrnuto</w:t>
      </w:r>
      <w:r w:rsidR="00E25F03">
        <w:t xml:space="preserve"> do verifikace </w:t>
      </w:r>
      <w:r w:rsidR="00565343">
        <w:t>deduktivn</w:t>
      </w:r>
      <w:r w:rsidR="0046397D">
        <w:t xml:space="preserve">ího </w:t>
      </w:r>
      <w:r w:rsidR="00E25F03">
        <w:t xml:space="preserve">vědeckého důkazu. </w:t>
      </w:r>
      <w:r w:rsidR="00723746">
        <w:t>Neexistují žádné analytické principy poznání dané jako apriorní principy induktivního soudu (</w:t>
      </w:r>
      <w:r w:rsidR="00723746" w:rsidRPr="083A0D1D">
        <w:rPr>
          <w:i/>
        </w:rPr>
        <w:t>eine Logik der Induktion</w:t>
      </w:r>
      <w:r w:rsidR="00723746">
        <w:t>), protože to je logický a metodologický nesmysl.</w:t>
      </w:r>
      <w:r w:rsidR="00723746">
        <w:rPr>
          <w:rStyle w:val="Znakapoznpodarou"/>
        </w:rPr>
        <w:footnoteReference w:id="427"/>
      </w:r>
      <w:r w:rsidR="00723746">
        <w:t xml:space="preserve"> </w:t>
      </w:r>
      <w:r w:rsidR="00723746" w:rsidRPr="00723746">
        <w:t>Aristotelskou indukci nelze převést na žádné apriorní principy, protože metafyzický</w:t>
      </w:r>
      <w:r w:rsidR="00723746">
        <w:t xml:space="preserve"> dativ tvoří základ indukce</w:t>
      </w:r>
      <w:r w:rsidR="00723746" w:rsidRPr="00723746">
        <w:t>. Popper jako objektivista tuto část aristotelské metafyziky samozřejmě nezmínil.</w:t>
      </w:r>
      <w:r w:rsidR="00723746">
        <w:t xml:space="preserve"> </w:t>
      </w:r>
      <w:r w:rsidR="002C7475" w:rsidRPr="002C7475">
        <w:t xml:space="preserve">Postup </w:t>
      </w:r>
      <w:r w:rsidR="002C7475">
        <w:t xml:space="preserve">založený na Oxfordském bludu </w:t>
      </w:r>
      <w:r w:rsidR="002C7475" w:rsidRPr="002C7475">
        <w:t>v</w:t>
      </w:r>
      <w:r w:rsidR="002C7475">
        <w:t> </w:t>
      </w:r>
      <w:r w:rsidR="002C7475" w:rsidRPr="002C7475">
        <w:t>podobě Vídeňského</w:t>
      </w:r>
      <w:r w:rsidR="002C7475">
        <w:t xml:space="preserve"> kruhu</w:t>
      </w:r>
      <w:r w:rsidR="009D00F6">
        <w:fldChar w:fldCharType="begin"/>
      </w:r>
      <w:r w:rsidR="009D00F6">
        <w:instrText xml:space="preserve"> XE "</w:instrText>
      </w:r>
      <w:r w:rsidR="009D00F6" w:rsidRPr="006D417C">
        <w:instrText>Vídeňský kruh</w:instrText>
      </w:r>
      <w:r w:rsidR="009D00F6">
        <w:instrText xml:space="preserve">" </w:instrText>
      </w:r>
      <w:r w:rsidR="009D00F6">
        <w:fldChar w:fldCharType="end"/>
      </w:r>
      <w:r w:rsidR="002C7475">
        <w:t xml:space="preserve"> však prohlásil za metodologický omyl</w:t>
      </w:r>
      <w:r w:rsidR="002C7475" w:rsidRPr="002C7475">
        <w:t>, protože první triádu poznání z reality nelze nahradit triádou druhou.</w:t>
      </w:r>
      <w:r w:rsidR="002C7475">
        <w:t xml:space="preserve"> </w:t>
      </w:r>
      <w:r w:rsidR="08B338E3">
        <w:t>Opě</w:t>
      </w:r>
      <w:r w:rsidR="085734EF">
        <w:t xml:space="preserve">t </w:t>
      </w:r>
      <w:r w:rsidR="08B338E3">
        <w:t xml:space="preserve">je ve hře status metafyzické abstrakce </w:t>
      </w:r>
      <w:r w:rsidR="08B338E3" w:rsidRPr="08B338E3">
        <w:rPr>
          <w:i/>
        </w:rPr>
        <w:t>Druhých analytik</w:t>
      </w:r>
      <w:r w:rsidR="08B338E3">
        <w:t xml:space="preserve"> v modu </w:t>
      </w:r>
      <w:r w:rsidR="006E6B0C">
        <w:rPr>
          <w:i/>
        </w:rPr>
        <w:t>ex in</w:t>
      </w:r>
      <w:r w:rsidR="08B338E3" w:rsidRPr="082031CB">
        <w:rPr>
          <w:i/>
        </w:rPr>
        <w:t>meditatis</w:t>
      </w:r>
      <w:r w:rsidR="08B338E3">
        <w:t xml:space="preserve"> (</w:t>
      </w:r>
      <w:r w:rsidR="08B338E3" w:rsidRPr="00273106">
        <w:rPr>
          <w:i/>
        </w:rPr>
        <w:t>Anal. Post</w:t>
      </w:r>
      <w:r w:rsidR="08B338E3">
        <w:t>. 84a</w:t>
      </w:r>
      <w:r w:rsidR="00C26982">
        <w:t>13–</w:t>
      </w:r>
      <w:r w:rsidR="08B338E3" w:rsidRPr="00273106">
        <w:t>14</w:t>
      </w:r>
      <w:r w:rsidR="08B338E3">
        <w:fldChar w:fldCharType="begin"/>
      </w:r>
      <w:r w:rsidR="08B338E3">
        <w:instrText xml:space="preserve"> XE "Aristoteles:</w:instrText>
      </w:r>
      <w:r w:rsidR="08B338E3" w:rsidRPr="00273106">
        <w:rPr>
          <w:i/>
        </w:rPr>
        <w:instrText>Anal. Post</w:instrText>
      </w:r>
      <w:r w:rsidR="08B338E3">
        <w:instrText>. 84a</w:instrText>
      </w:r>
      <w:r w:rsidR="00C26982">
        <w:instrText>13–</w:instrText>
      </w:r>
      <w:r w:rsidR="08B338E3" w:rsidRPr="00273106">
        <w:instrText>14</w:instrText>
      </w:r>
      <w:r w:rsidR="08B338E3">
        <w:instrText xml:space="preserve">" </w:instrText>
      </w:r>
      <w:r w:rsidR="08B338E3">
        <w:fldChar w:fldCharType="end"/>
      </w:r>
      <w:r w:rsidR="08B338E3">
        <w:t>)</w:t>
      </w:r>
      <w:r w:rsidR="08B20289">
        <w:t xml:space="preserve">. </w:t>
      </w:r>
      <w:r w:rsidR="00C26982">
        <w:t>Oba z</w:t>
      </w:r>
      <w:r w:rsidR="00C26982" w:rsidRPr="00C26982">
        <w:t xml:space="preserve">áklady univerzálních výroků </w:t>
      </w:r>
      <w:r w:rsidR="00C26982">
        <w:t xml:space="preserve">daných </w:t>
      </w:r>
      <w:r w:rsidR="00C26982" w:rsidRPr="00C26982">
        <w:rPr>
          <w:i/>
        </w:rPr>
        <w:t>per se</w:t>
      </w:r>
      <w:r w:rsidR="00C26982">
        <w:t xml:space="preserve"> v logice a v metafyzice </w:t>
      </w:r>
      <w:r w:rsidR="00C26982" w:rsidRPr="00C26982">
        <w:t>je třeba pečlivě rozlišovat.</w:t>
      </w:r>
      <w:r w:rsidR="00C26982">
        <w:t xml:space="preserve"> </w:t>
      </w:r>
      <w:r w:rsidR="08B20289">
        <w:t>A</w:t>
      </w:r>
      <w:r w:rsidR="08B338E3">
        <w:t xml:space="preserve">le </w:t>
      </w:r>
      <w:r w:rsidR="083A0D1D">
        <w:t xml:space="preserve">ve 20. století </w:t>
      </w:r>
      <w:r w:rsidR="08B338E3">
        <w:t xml:space="preserve">působí </w:t>
      </w:r>
      <w:r w:rsidR="0046397D">
        <w:t xml:space="preserve">tato nauka </w:t>
      </w:r>
      <w:r w:rsidR="08B338E3">
        <w:t xml:space="preserve">již zcela </w:t>
      </w:r>
      <w:r w:rsidR="0046397D">
        <w:t>staromódně, protože je objektivně vytěsněna z nekritické metodologie vědy</w:t>
      </w:r>
      <w:r w:rsidR="08B338E3">
        <w:t xml:space="preserve">. </w:t>
      </w:r>
      <w:r w:rsidR="087A792B">
        <w:t xml:space="preserve">Výsledkem </w:t>
      </w:r>
      <w:r w:rsidR="08437741">
        <w:t xml:space="preserve">aporetické spekulativní </w:t>
      </w:r>
      <w:r w:rsidR="087A792B">
        <w:t xml:space="preserve">vědy vídeňských iluminátů je </w:t>
      </w:r>
      <w:r w:rsidR="08DF1949">
        <w:t xml:space="preserve">podle Poppera </w:t>
      </w:r>
      <w:r w:rsidR="087A792B">
        <w:t>z</w:t>
      </w:r>
      <w:r w:rsidR="0046397D">
        <w:t xml:space="preserve">rcadlení mysli v sobě samé jako </w:t>
      </w:r>
      <w:r w:rsidR="087724DA">
        <w:t>neverifiko</w:t>
      </w:r>
      <w:r w:rsidR="087A792B">
        <w:t xml:space="preserve">vatelného apriorního postulátu. </w:t>
      </w:r>
      <w:r w:rsidR="001A3DA1">
        <w:t xml:space="preserve">Pak </w:t>
      </w:r>
      <w:r w:rsidR="087A792B">
        <w:t>dojde k nekonečnému regresu danému</w:t>
      </w:r>
      <w:r w:rsidR="087724DA">
        <w:t xml:space="preserve"> narcistním zrcadlením spekulativního subjektu. </w:t>
      </w:r>
      <w:r w:rsidR="08975598">
        <w:t xml:space="preserve">Proto </w:t>
      </w:r>
      <w:r w:rsidR="00174E9B">
        <w:t xml:space="preserve">se deduktivní závěry </w:t>
      </w:r>
      <w:r w:rsidR="00F71424">
        <w:t xml:space="preserve">musí osvědčit </w:t>
      </w:r>
      <w:r w:rsidR="0805019D">
        <w:t xml:space="preserve">pouze induktivně, tedy </w:t>
      </w:r>
      <w:r w:rsidR="00F71424">
        <w:t xml:space="preserve">skrze </w:t>
      </w:r>
      <w:r w:rsidR="00565343">
        <w:t xml:space="preserve">trvalou </w:t>
      </w:r>
      <w:r w:rsidR="00F71424">
        <w:t xml:space="preserve">falsifikaci </w:t>
      </w:r>
      <w:r w:rsidR="00F71424" w:rsidRPr="00565343">
        <w:rPr>
          <w:i/>
        </w:rPr>
        <w:t>ad hoc</w:t>
      </w:r>
      <w:r w:rsidR="00F71424">
        <w:t xml:space="preserve"> daných </w:t>
      </w:r>
      <w:r w:rsidR="087724DA">
        <w:t xml:space="preserve">vědeckých </w:t>
      </w:r>
      <w:r w:rsidR="00F71424">
        <w:t>teorií.</w:t>
      </w:r>
      <w:r w:rsidR="00E25F03">
        <w:t xml:space="preserve"> </w:t>
      </w:r>
      <w:r w:rsidR="08453A33">
        <w:t xml:space="preserve">Tím vznikla </w:t>
      </w:r>
      <w:r w:rsidR="08983EC8">
        <w:t xml:space="preserve">a zase se zhroutila další božská komedie. </w:t>
      </w:r>
      <w:r w:rsidR="0069117C" w:rsidRPr="0069117C">
        <w:t>Pokud neexistuje deduktivní postup alespoň v první vědě, pak platí pouze relativní pravd</w:t>
      </w:r>
      <w:r w:rsidR="00BB6AD4">
        <w:t>y</w:t>
      </w:r>
      <w:r w:rsidR="0069117C" w:rsidRPr="0069117C">
        <w:t>.</w:t>
      </w:r>
    </w:p>
    <w:p w14:paraId="3CF5EC84" w14:textId="0D25731A" w:rsidR="00941B90" w:rsidRDefault="08983EC8" w:rsidP="001B20D5">
      <w:pPr>
        <w:ind w:firstLine="397"/>
      </w:pPr>
      <w:r>
        <w:t xml:space="preserve">Hlavní roli </w:t>
      </w:r>
      <w:r w:rsidR="00BB6AD4">
        <w:t>v krizi věd</w:t>
      </w:r>
      <w:r w:rsidR="001B20D5">
        <w:t>y</w:t>
      </w:r>
      <w:r w:rsidR="00BB6AD4">
        <w:t xml:space="preserve"> </w:t>
      </w:r>
      <w:r>
        <w:t xml:space="preserve">hrála </w:t>
      </w:r>
      <w:r w:rsidR="007D447D">
        <w:t>idea analogické jednoty</w:t>
      </w:r>
      <w:r w:rsidR="08453A33">
        <w:t xml:space="preserve"> světa </w:t>
      </w:r>
      <w:r w:rsidR="007D447D">
        <w:t xml:space="preserve">dané </w:t>
      </w:r>
      <w:r w:rsidR="08453A33">
        <w:t>v modu univerzální logicko-matematické rovnosti</w:t>
      </w:r>
      <w:r w:rsidR="007D447D">
        <w:t xml:space="preserve">. Jejím garantem není absolutní nutnost daná v realitě, ale subjektivní nutnost daná v </w:t>
      </w:r>
      <w:r w:rsidR="08453A33">
        <w:t>osví</w:t>
      </w:r>
      <w:r w:rsidR="007D447D">
        <w:t>cené mysli těch či oněch iluminátů</w:t>
      </w:r>
      <w:r w:rsidR="08453A33">
        <w:t xml:space="preserve">. </w:t>
      </w:r>
      <w:r w:rsidR="088B2381">
        <w:t xml:space="preserve">Všechny tyto formy postmoderního avicennismu mají společné to, že po vzoru </w:t>
      </w:r>
      <w:r w:rsidR="088B2381" w:rsidRPr="0021668C">
        <w:rPr>
          <w:i/>
        </w:rPr>
        <w:t>Oxfordian Fallacy</w:t>
      </w:r>
      <w:r w:rsidR="088B2381">
        <w:rPr>
          <w:i/>
        </w:rPr>
        <w:fldChar w:fldCharType="begin"/>
      </w:r>
      <w:r w:rsidR="088B2381">
        <w:instrText xml:space="preserve"> XE "</w:instrText>
      </w:r>
      <w:r w:rsidR="088B2381" w:rsidRPr="0015798D">
        <w:rPr>
          <w:i/>
        </w:rPr>
        <w:instrText>Oxfordian Fallacy:</w:instrText>
      </w:r>
      <w:r w:rsidR="088B2381">
        <w:instrText xml:space="preserve">postmoderna" </w:instrText>
      </w:r>
      <w:r w:rsidR="088B2381">
        <w:rPr>
          <w:i/>
        </w:rPr>
        <w:fldChar w:fldCharType="end"/>
      </w:r>
      <w:r w:rsidR="088B2381">
        <w:t xml:space="preserve"> vyměnily impozici hyparchicky determinovaného významu z reality za jeho logickou (Carnap) či eidetickou supozici (Husserl). </w:t>
      </w:r>
      <w:r w:rsidR="080D5C1E">
        <w:t xml:space="preserve">Ani filosofie jazyka ani Husserlova fenomenologie není schopna řešit otázku reference a pravdy, kterou měl dávno vyřešenou Aristoteles a Komentátor. </w:t>
      </w:r>
      <w:r w:rsidR="000A7DC5" w:rsidRPr="00273106">
        <w:t xml:space="preserve">Husserl </w:t>
      </w:r>
      <w:r w:rsidR="08DC33BF">
        <w:fldChar w:fldCharType="begin"/>
      </w:r>
      <w:r w:rsidR="08DC33BF">
        <w:instrText xml:space="preserve"> XE "</w:instrText>
      </w:r>
      <w:r w:rsidR="08DC33BF" w:rsidRPr="000710C4">
        <w:instrText>Husserl, E.</w:instrText>
      </w:r>
      <w:r w:rsidR="08DC33BF">
        <w:instrText xml:space="preserve">" </w:instrText>
      </w:r>
      <w:r w:rsidR="08DC33BF">
        <w:fldChar w:fldCharType="end"/>
      </w:r>
      <w:r w:rsidR="000A7DC5" w:rsidRPr="00273106">
        <w:t xml:space="preserve">se oddělil od </w:t>
      </w:r>
      <w:r w:rsidR="004441D5">
        <w:t>tzv. „</w:t>
      </w:r>
      <w:r w:rsidR="000A7DC5" w:rsidRPr="00273106">
        <w:t>psychologizující</w:t>
      </w:r>
      <w:r w:rsidR="004441D5">
        <w:t>“</w:t>
      </w:r>
      <w:r w:rsidR="000A7DC5" w:rsidRPr="00273106">
        <w:t xml:space="preserve"> intenciona</w:t>
      </w:r>
      <w:r w:rsidR="083C366D">
        <w:t xml:space="preserve">lity Brentana při hledání </w:t>
      </w:r>
      <w:r w:rsidR="08827D31">
        <w:t>absolutně subjektivního základu poznání (</w:t>
      </w:r>
      <w:r w:rsidR="000A7DC5" w:rsidRPr="00273106">
        <w:rPr>
          <w:i/>
        </w:rPr>
        <w:t>transzendentale Egologie</w:t>
      </w:r>
      <w:r w:rsidR="08827D31">
        <w:t>)</w:t>
      </w:r>
      <w:r w:rsidR="000A7DC5" w:rsidRPr="00273106">
        <w:t>.</w:t>
      </w:r>
      <w:r w:rsidR="0079759F">
        <w:t xml:space="preserve"> </w:t>
      </w:r>
      <w:r w:rsidR="08A218CD">
        <w:t xml:space="preserve">Husserl nepotřebuje pro osvícení intelektu žádné zprostředování mezi intelektem a reálnými věcmi, protože v pojetí absolutní egologie šel „k věcem samým“. </w:t>
      </w:r>
      <w:r w:rsidR="086E4AFD" w:rsidRPr="00273106">
        <w:t xml:space="preserve">Podobně jako Rufus musel i tento matematik a filosof </w:t>
      </w:r>
      <w:r w:rsidR="086E4AFD">
        <w:t xml:space="preserve">najít v sobě samém univerzální </w:t>
      </w:r>
      <w:r w:rsidR="086E4AFD" w:rsidRPr="00273106">
        <w:rPr>
          <w:i/>
        </w:rPr>
        <w:t>scibile</w:t>
      </w:r>
      <w:r w:rsidR="086E4AFD" w:rsidRPr="00273106">
        <w:t xml:space="preserve">, které by tvořilo poslední univoční </w:t>
      </w:r>
      <w:r w:rsidR="086E4AFD">
        <w:t xml:space="preserve">a zcela konkrétní </w:t>
      </w:r>
      <w:r w:rsidR="086E4AFD" w:rsidRPr="00273106">
        <w:t xml:space="preserve">jednotu světa. </w:t>
      </w:r>
      <w:r w:rsidR="086E4AFD">
        <w:t xml:space="preserve">Husserlovy </w:t>
      </w:r>
      <w:r w:rsidR="007D447D" w:rsidRPr="0014646F">
        <w:rPr>
          <w:i/>
        </w:rPr>
        <w:t>Cartesianische Meditationen</w:t>
      </w:r>
      <w:r w:rsidR="007D447D" w:rsidRPr="0014646F">
        <w:t xml:space="preserve"> (1929)</w:t>
      </w:r>
      <w:r w:rsidR="007D447D">
        <w:rPr>
          <w:b/>
          <w:bCs/>
        </w:rPr>
        <w:t xml:space="preserve"> </w:t>
      </w:r>
      <w:r w:rsidR="086E4AFD">
        <w:t xml:space="preserve">podaly </w:t>
      </w:r>
      <w:r w:rsidR="086E4AFD" w:rsidRPr="00273106">
        <w:t xml:space="preserve">Rufusovo </w:t>
      </w:r>
      <w:r w:rsidR="086E4AFD" w:rsidRPr="00273106">
        <w:rPr>
          <w:i/>
        </w:rPr>
        <w:t>coaequatio</w:t>
      </w:r>
      <w:r w:rsidR="086E4AFD">
        <w:t xml:space="preserve"> jako univerzální shodu</w:t>
      </w:r>
      <w:r w:rsidR="086E4AFD" w:rsidRPr="00273106">
        <w:t xml:space="preserve"> </w:t>
      </w:r>
      <w:r w:rsidR="00F2498F">
        <w:t>mezi imanentní a transcendentní složkou sebevědomí</w:t>
      </w:r>
      <w:r w:rsidR="086E4AFD" w:rsidRPr="00273106">
        <w:t>.</w:t>
      </w:r>
      <w:r w:rsidR="086E4AFD">
        <w:t xml:space="preserve"> </w:t>
      </w:r>
      <w:r w:rsidR="08DC33BF">
        <w:t>P</w:t>
      </w:r>
      <w:r w:rsidR="00F13122">
        <w:t xml:space="preserve">ravda jako </w:t>
      </w:r>
      <w:r w:rsidR="00F13122" w:rsidRPr="00273106">
        <w:rPr>
          <w:i/>
        </w:rPr>
        <w:t>coaequatio</w:t>
      </w:r>
      <w:r w:rsidR="00F13122" w:rsidRPr="00273106">
        <w:t xml:space="preserve"> </w:t>
      </w:r>
      <w:r w:rsidR="08DC33BF">
        <w:t xml:space="preserve">vzniká </w:t>
      </w:r>
      <w:r w:rsidR="00F13122" w:rsidRPr="00273106">
        <w:t xml:space="preserve">tím, že na konci transcendentální redukce splyne evidentní intuice transcendence v aktu absolutního </w:t>
      </w:r>
      <w:r w:rsidR="00F13122" w:rsidRPr="00460358">
        <w:rPr>
          <w:i/>
        </w:rPr>
        <w:t>Ego</w:t>
      </w:r>
      <w:r w:rsidR="00F13122" w:rsidRPr="00273106">
        <w:t xml:space="preserve"> s aktuální imanencí </w:t>
      </w:r>
      <w:r w:rsidR="00F13122" w:rsidRPr="00460358">
        <w:rPr>
          <w:i/>
        </w:rPr>
        <w:t>cogita</w:t>
      </w:r>
      <w:r w:rsidR="00F13122" w:rsidRPr="00273106">
        <w:t xml:space="preserve">. </w:t>
      </w:r>
      <w:r w:rsidR="00ED74C5">
        <w:t xml:space="preserve">Matematik hledající stejně jako Rufus nepochybný základ čísla </w:t>
      </w:r>
      <w:r w:rsidR="0079759F">
        <w:t xml:space="preserve">vytvořil </w:t>
      </w:r>
      <w:r w:rsidR="00ED74C5">
        <w:t xml:space="preserve">novou </w:t>
      </w:r>
      <w:r w:rsidR="00427F30">
        <w:t xml:space="preserve">verzi fenomenologického </w:t>
      </w:r>
      <w:r w:rsidR="0079759F" w:rsidRPr="08B672E7">
        <w:rPr>
          <w:i/>
        </w:rPr>
        <w:t>scibile</w:t>
      </w:r>
      <w:r w:rsidR="0079759F">
        <w:t xml:space="preserve"> odlišným výkladem Brentanových pojmů </w:t>
      </w:r>
      <w:r w:rsidR="0079759F">
        <w:rPr>
          <w:rStyle w:val="Zvraznn"/>
        </w:rPr>
        <w:t>qualitative</w:t>
      </w:r>
      <w:r w:rsidR="0079759F">
        <w:t xml:space="preserve"> </w:t>
      </w:r>
      <w:r w:rsidR="0079759F">
        <w:rPr>
          <w:rStyle w:val="Zvraznn"/>
        </w:rPr>
        <w:t>Modifikation</w:t>
      </w:r>
      <w:r w:rsidR="0079759F">
        <w:t xml:space="preserve"> a </w:t>
      </w:r>
      <w:r w:rsidR="0079759F">
        <w:rPr>
          <w:rStyle w:val="Zvraznn"/>
        </w:rPr>
        <w:t>Fundierung</w:t>
      </w:r>
      <w:r w:rsidR="00F160E5">
        <w:rPr>
          <w:rStyle w:val="Zvraznn"/>
        </w:rPr>
        <w:fldChar w:fldCharType="begin"/>
      </w:r>
      <w:r w:rsidR="00F160E5">
        <w:instrText xml:space="preserve"> XE "</w:instrText>
      </w:r>
      <w:r w:rsidR="00F160E5" w:rsidRPr="005F6559">
        <w:rPr>
          <w:rStyle w:val="Zvraznn"/>
        </w:rPr>
        <w:instrText>Fundierung</w:instrText>
      </w:r>
      <w:r w:rsidR="00F160E5">
        <w:instrText xml:space="preserve">" </w:instrText>
      </w:r>
      <w:r w:rsidR="00F160E5">
        <w:rPr>
          <w:rStyle w:val="Zvraznn"/>
        </w:rPr>
        <w:fldChar w:fldCharType="end"/>
      </w:r>
      <w:r w:rsidR="0079759F">
        <w:t xml:space="preserve">. </w:t>
      </w:r>
      <w:r w:rsidR="084D4ADF">
        <w:t xml:space="preserve">Na rozdíl od aristotelského Brentana posunul Husserl intencionalitu směrem k </w:t>
      </w:r>
      <w:r w:rsidR="084D4ADF" w:rsidRPr="00331866">
        <w:rPr>
          <w:i/>
        </w:rPr>
        <w:t>Wesen</w:t>
      </w:r>
      <w:r w:rsidR="084D4ADF">
        <w:rPr>
          <w:i/>
        </w:rPr>
        <w:t>s</w:t>
      </w:r>
      <w:r w:rsidR="084D4ADF" w:rsidRPr="00331866">
        <w:rPr>
          <w:i/>
        </w:rPr>
        <w:t>schau</w:t>
      </w:r>
      <w:r w:rsidR="084D4ADF">
        <w:rPr>
          <w:i/>
        </w:rPr>
        <w:fldChar w:fldCharType="begin"/>
      </w:r>
      <w:r w:rsidR="084D4ADF">
        <w:instrText xml:space="preserve"> XE "</w:instrText>
      </w:r>
      <w:r w:rsidR="084D4ADF" w:rsidRPr="003467C6">
        <w:rPr>
          <w:i/>
        </w:rPr>
        <w:instrText>Wesen</w:instrText>
      </w:r>
      <w:r w:rsidR="084D4ADF">
        <w:rPr>
          <w:i/>
        </w:rPr>
        <w:instrText>s</w:instrText>
      </w:r>
      <w:r w:rsidR="084D4ADF" w:rsidRPr="003467C6">
        <w:rPr>
          <w:i/>
        </w:rPr>
        <w:instrText>schau</w:instrText>
      </w:r>
      <w:r w:rsidR="084D4ADF">
        <w:instrText xml:space="preserve">" </w:instrText>
      </w:r>
      <w:r w:rsidR="084D4ADF">
        <w:rPr>
          <w:i/>
        </w:rPr>
        <w:fldChar w:fldCharType="end"/>
      </w:r>
      <w:r w:rsidR="084D4ADF">
        <w:t xml:space="preserve"> dané pouze reflexivně.</w:t>
      </w:r>
      <w:r w:rsidR="084D4ADF" w:rsidRPr="00273106">
        <w:rPr>
          <w:rStyle w:val="Znakapoznpodarou"/>
        </w:rPr>
        <w:footnoteReference w:id="428"/>
      </w:r>
      <w:r w:rsidR="084D4ADF" w:rsidRPr="00273106">
        <w:t xml:space="preserve"> </w:t>
      </w:r>
      <w:r w:rsidR="084D4ADF">
        <w:t xml:space="preserve">Rufusovo čisté </w:t>
      </w:r>
      <w:r w:rsidR="084D4ADF" w:rsidRPr="00273106">
        <w:rPr>
          <w:i/>
        </w:rPr>
        <w:t>scibile</w:t>
      </w:r>
      <w:r w:rsidR="084D4ADF" w:rsidRPr="00273106">
        <w:t xml:space="preserve"> nutné pro asimilační model p</w:t>
      </w:r>
      <w:r w:rsidR="084D4ADF">
        <w:t xml:space="preserve">ravdy definuje Husserl v pojmu </w:t>
      </w:r>
      <w:r w:rsidR="084D4ADF" w:rsidRPr="00273106">
        <w:rPr>
          <w:i/>
        </w:rPr>
        <w:t>eidos</w:t>
      </w:r>
      <w:r w:rsidR="084D4ADF">
        <w:t xml:space="preserve">, které je dáno v modu </w:t>
      </w:r>
      <w:r w:rsidR="00F2498F">
        <w:t>kompletní identity (</w:t>
      </w:r>
      <w:r w:rsidR="084D4ADF" w:rsidRPr="00273106">
        <w:rPr>
          <w:i/>
        </w:rPr>
        <w:t>radikales Gemeinsamkeit</w:t>
      </w:r>
      <w:r w:rsidR="00F2498F">
        <w:t xml:space="preserve">) </w:t>
      </w:r>
      <w:r w:rsidR="084D4ADF" w:rsidRPr="00273106">
        <w:t>se smyslovým nazíráním</w:t>
      </w:r>
      <w:r w:rsidR="084D4ADF">
        <w:t xml:space="preserve"> a současně tvoří </w:t>
      </w:r>
      <w:r w:rsidR="00F2498F">
        <w:t>čistou esenci (</w:t>
      </w:r>
      <w:r w:rsidR="084D4ADF" w:rsidRPr="00667328">
        <w:rPr>
          <w:i/>
        </w:rPr>
        <w:t>reines Wesen</w:t>
      </w:r>
      <w:r w:rsidR="00F2498F">
        <w:t xml:space="preserve">) </w:t>
      </w:r>
      <w:r w:rsidR="084D4ADF">
        <w:t>v modu nového intelektuálního náhledu</w:t>
      </w:r>
      <w:r w:rsidR="084D4ADF" w:rsidRPr="00273106">
        <w:t>.</w:t>
      </w:r>
      <w:r w:rsidR="084D4ADF" w:rsidRPr="00273106">
        <w:rPr>
          <w:rStyle w:val="Znakapoznpodarou"/>
        </w:rPr>
        <w:footnoteReference w:id="429"/>
      </w:r>
      <w:r w:rsidR="084D4ADF">
        <w:t xml:space="preserve"> </w:t>
      </w:r>
      <w:r w:rsidR="084D4ADF" w:rsidRPr="00273106">
        <w:t>Husserl</w:t>
      </w:r>
      <w:r w:rsidR="084D4ADF">
        <w:t xml:space="preserve"> napsal prozatím poslední kapitolu </w:t>
      </w:r>
      <w:r w:rsidR="00C45926">
        <w:t>moderní „</w:t>
      </w:r>
      <w:r w:rsidR="084D4ADF">
        <w:t>konkrétní predikace</w:t>
      </w:r>
      <w:r w:rsidR="00C45926">
        <w:t>“</w:t>
      </w:r>
      <w:r w:rsidR="084D4ADF">
        <w:fldChar w:fldCharType="begin"/>
      </w:r>
      <w:r w:rsidR="084D4ADF">
        <w:instrText xml:space="preserve"> XE "</w:instrText>
      </w:r>
      <w:r w:rsidR="084D4ADF" w:rsidRPr="00F7522F">
        <w:instrText>predikace:konkrétní</w:instrText>
      </w:r>
      <w:r w:rsidR="084D4ADF">
        <w:instrText xml:space="preserve">" </w:instrText>
      </w:r>
      <w:r w:rsidR="084D4ADF">
        <w:fldChar w:fldCharType="end"/>
      </w:r>
      <w:r w:rsidR="084D4ADF" w:rsidRPr="00273106">
        <w:t xml:space="preserve">, </w:t>
      </w:r>
      <w:r w:rsidR="084D4ADF">
        <w:t xml:space="preserve">protože </w:t>
      </w:r>
      <w:r w:rsidR="08AE7E1A">
        <w:t>revolučně</w:t>
      </w:r>
      <w:r w:rsidR="08AE7E1A" w:rsidRPr="08007F46">
        <w:rPr>
          <w:i/>
        </w:rPr>
        <w:t xml:space="preserve"> </w:t>
      </w:r>
      <w:r w:rsidR="084D4ADF" w:rsidRPr="00273106">
        <w:t xml:space="preserve">zopakoval </w:t>
      </w:r>
      <w:r w:rsidR="08AE7E1A" w:rsidRPr="08AE7E1A">
        <w:rPr>
          <w:i/>
        </w:rPr>
        <w:t>Irrtum</w:t>
      </w:r>
      <w:r w:rsidR="08AE7E1A">
        <w:t xml:space="preserve"> současné filosofe návratem </w:t>
      </w:r>
      <w:r w:rsidR="00DA28E1">
        <w:t>(</w:t>
      </w:r>
      <w:r w:rsidR="00DA28E1" w:rsidRPr="00DA28E1">
        <w:rPr>
          <w:i/>
        </w:rPr>
        <w:t>revolutio</w:t>
      </w:r>
      <w:r w:rsidR="00DA28E1">
        <w:t xml:space="preserve">) </w:t>
      </w:r>
      <w:r w:rsidR="08AE7E1A">
        <w:t>k Rufusově</w:t>
      </w:r>
      <w:r w:rsidR="084D4ADF" w:rsidRPr="00273106">
        <w:t xml:space="preserve"> </w:t>
      </w:r>
      <w:r w:rsidR="08AE7E1A">
        <w:t xml:space="preserve">predikaci </w:t>
      </w:r>
      <w:r w:rsidR="00A0555A">
        <w:t>„</w:t>
      </w:r>
      <w:r w:rsidR="084D4ADF" w:rsidRPr="005B6A76">
        <w:rPr>
          <w:i/>
        </w:rPr>
        <w:t>per modum concretum</w:t>
      </w:r>
      <w:r w:rsidR="00A0555A">
        <w:t>“</w:t>
      </w:r>
      <w:r w:rsidR="084D4ADF" w:rsidRPr="00273106">
        <w:t>.</w:t>
      </w:r>
      <w:r w:rsidR="084D4ADF">
        <w:t xml:space="preserve"> </w:t>
      </w:r>
      <w:r w:rsidR="08A218CD" w:rsidRPr="00273106">
        <w:t xml:space="preserve">Moderní neoplatonik Rufus se rozešel s aristotelským </w:t>
      </w:r>
      <w:r w:rsidR="08A218CD">
        <w:t>Averroes</w:t>
      </w:r>
      <w:r w:rsidR="08A218CD" w:rsidRPr="00273106">
        <w:t xml:space="preserve">em, neoplatonik Husserl zavrhl učení </w:t>
      </w:r>
      <w:r w:rsidR="08A218CD">
        <w:t xml:space="preserve">postmoderního </w:t>
      </w:r>
      <w:r w:rsidR="08A218CD" w:rsidRPr="00273106">
        <w:t>aristotelika Brentana.</w:t>
      </w:r>
      <w:r w:rsidR="08A218CD">
        <w:t xml:space="preserve"> </w:t>
      </w:r>
      <w:r w:rsidR="00427F30">
        <w:t xml:space="preserve">Přechod od Rufusova </w:t>
      </w:r>
      <w:r w:rsidR="00464BEC" w:rsidRPr="00273106">
        <w:rPr>
          <w:i/>
        </w:rPr>
        <w:t>scibile</w:t>
      </w:r>
      <w:r w:rsidR="00427F30">
        <w:t xml:space="preserve"> k Husserlovu </w:t>
      </w:r>
      <w:r w:rsidR="00464BEC" w:rsidRPr="00273106">
        <w:rPr>
          <w:i/>
        </w:rPr>
        <w:t>eidos</w:t>
      </w:r>
      <w:r w:rsidR="00464BEC" w:rsidRPr="00273106">
        <w:t xml:space="preserve"> v kostce postihuje epochální </w:t>
      </w:r>
      <w:r w:rsidR="00427F30">
        <w:t>cestu m</w:t>
      </w:r>
      <w:r w:rsidR="00464BEC" w:rsidRPr="00273106">
        <w:t>oderny</w:t>
      </w:r>
      <w:r w:rsidR="00D83F45">
        <w:t xml:space="preserve"> pod</w:t>
      </w:r>
      <w:r w:rsidR="00427F30">
        <w:t>l</w:t>
      </w:r>
      <w:r w:rsidR="00D83F45">
        <w:t>e</w:t>
      </w:r>
      <w:r w:rsidR="00427F30">
        <w:t xml:space="preserve"> Heideggerovy </w:t>
      </w:r>
      <w:r w:rsidR="00427F30" w:rsidRPr="00427F30">
        <w:rPr>
          <w:i/>
        </w:rPr>
        <w:t>Irre</w:t>
      </w:r>
      <w:r w:rsidR="00427F30">
        <w:rPr>
          <w:i/>
        </w:rPr>
        <w:fldChar w:fldCharType="begin"/>
      </w:r>
      <w:r w:rsidR="00427F30">
        <w:instrText xml:space="preserve"> XE "</w:instrText>
      </w:r>
      <w:r w:rsidR="00427F30" w:rsidRPr="00EF21F7">
        <w:rPr>
          <w:i/>
        </w:rPr>
        <w:instrText>Irre</w:instrText>
      </w:r>
      <w:r w:rsidR="00427F30">
        <w:instrText xml:space="preserve">" </w:instrText>
      </w:r>
      <w:r w:rsidR="00427F30">
        <w:rPr>
          <w:i/>
        </w:rPr>
        <w:fldChar w:fldCharType="end"/>
      </w:r>
      <w:r w:rsidR="00464BEC" w:rsidRPr="00273106">
        <w:t>.</w:t>
      </w:r>
      <w:r w:rsidR="00464BEC">
        <w:t xml:space="preserve"> </w:t>
      </w:r>
      <w:r w:rsidR="0013298D" w:rsidRPr="0013298D">
        <w:t xml:space="preserve">Návrat ke škole prvního averroismu předznamenal Heideggerův rozchod s Husserlem. </w:t>
      </w:r>
      <w:r w:rsidR="0013298D">
        <w:t xml:space="preserve">Heidegger </w:t>
      </w:r>
      <w:r w:rsidR="0013298D" w:rsidRPr="0013298D">
        <w:t xml:space="preserve">odmítl cestu </w:t>
      </w:r>
      <w:r w:rsidR="00AA7304">
        <w:t xml:space="preserve">avicennovské </w:t>
      </w:r>
      <w:r w:rsidR="0013298D" w:rsidRPr="0013298D">
        <w:t>postmoderny hned na počátku své fenomenologické dráhy.</w:t>
      </w:r>
      <w:r w:rsidR="0013298D">
        <w:t xml:space="preserve"> </w:t>
      </w:r>
      <w:r w:rsidR="00624281">
        <w:t xml:space="preserve">Nová </w:t>
      </w:r>
      <w:r w:rsidR="00A9706E">
        <w:t>hermeneut</w:t>
      </w:r>
      <w:r w:rsidR="00624281">
        <w:t xml:space="preserve">ika </w:t>
      </w:r>
      <w:r w:rsidR="00114663">
        <w:t xml:space="preserve">původního existenciálního </w:t>
      </w:r>
      <w:r w:rsidR="00624281">
        <w:t>významu</w:t>
      </w:r>
      <w:r w:rsidR="00A9706E">
        <w:t xml:space="preserve"> </w:t>
      </w:r>
      <w:r w:rsidR="00114663" w:rsidRPr="00114663">
        <w:rPr>
          <w:i/>
        </w:rPr>
        <w:t>Dasein</w:t>
      </w:r>
      <w:r w:rsidR="00114663">
        <w:t xml:space="preserve"> </w:t>
      </w:r>
      <w:r w:rsidR="08EA5485" w:rsidRPr="00273106">
        <w:t xml:space="preserve">objevuje </w:t>
      </w:r>
      <w:r w:rsidR="00210F80">
        <w:t xml:space="preserve">kolem 1920 </w:t>
      </w:r>
      <w:r w:rsidR="08EA5485" w:rsidRPr="00273106">
        <w:t>nové pojetí</w:t>
      </w:r>
      <w:r w:rsidR="00B55D7A" w:rsidRPr="00273106">
        <w:t xml:space="preserve"> pravdy a </w:t>
      </w:r>
      <w:r w:rsidR="00A707C5">
        <w:t xml:space="preserve">nový </w:t>
      </w:r>
      <w:r w:rsidR="00B55D7A" w:rsidRPr="00273106">
        <w:t>vztah k b</w:t>
      </w:r>
      <w:r w:rsidR="08EA5485" w:rsidRPr="00273106">
        <w:t>ytí (</w:t>
      </w:r>
      <w:r w:rsidR="08EA5485" w:rsidRPr="00273106">
        <w:rPr>
          <w:i/>
        </w:rPr>
        <w:t>Hermeneutik der Faktizität</w:t>
      </w:r>
      <w:r w:rsidR="08EA5485" w:rsidRPr="00273106">
        <w:t>).</w:t>
      </w:r>
      <w:r w:rsidR="00BC32DE" w:rsidRPr="00273106">
        <w:t xml:space="preserve"> </w:t>
      </w:r>
      <w:r w:rsidR="000C0EA9">
        <w:t>R</w:t>
      </w:r>
      <w:r w:rsidR="00D83F45">
        <w:t xml:space="preserve">ozchod </w:t>
      </w:r>
      <w:r w:rsidR="000C0EA9">
        <w:t>Heideggera s </w:t>
      </w:r>
      <w:r w:rsidR="00D83F45">
        <w:t>Husserl</w:t>
      </w:r>
      <w:r w:rsidR="000C0EA9">
        <w:t xml:space="preserve">em opakoval konflikt </w:t>
      </w:r>
      <w:r w:rsidR="000C0EA9" w:rsidRPr="00273106">
        <w:t>prvního a druhého averroismu</w:t>
      </w:r>
      <w:r w:rsidR="000C0EA9">
        <w:t xml:space="preserve"> skrze novou gigantomachii o substanci. </w:t>
      </w:r>
      <w:r w:rsidR="00D83F45">
        <w:fldChar w:fldCharType="begin"/>
      </w:r>
      <w:r w:rsidR="00D83F45">
        <w:instrText xml:space="preserve"> XE "</w:instrText>
      </w:r>
      <w:r w:rsidR="00D83F45" w:rsidRPr="000710C4">
        <w:instrText>Husserl, E.</w:instrText>
      </w:r>
      <w:r w:rsidR="00D83F45">
        <w:instrText xml:space="preserve">" </w:instrText>
      </w:r>
      <w:r w:rsidR="00D83F45">
        <w:fldChar w:fldCharType="end"/>
      </w:r>
      <w:r w:rsidR="00172A52" w:rsidRPr="00172A52">
        <w:t>V následujícím období filozofického nihilismu plně vítězí současní představitelé oxfordského bludu. Dokonce i humanistická škola moderních objektivistů prohrála svou věc stejně neodvratně jako první averroismus prohrál s latinskými sofisty kolem roku 1277.</w:t>
      </w:r>
      <w:r w:rsidR="00172A52">
        <w:t xml:space="preserve"> </w:t>
      </w:r>
      <w:r w:rsidR="085734EF" w:rsidRPr="00273106">
        <w:t xml:space="preserve">Rufusem založený subjekt moderny </w:t>
      </w:r>
      <w:r w:rsidR="008478C1">
        <w:t>provádí dialektiku</w:t>
      </w:r>
      <w:r w:rsidR="085734EF">
        <w:t xml:space="preserve"> </w:t>
      </w:r>
      <w:r w:rsidR="008478C1">
        <w:t>„neměnné‒proměnlivé“. Tím vznikla adekvace</w:t>
      </w:r>
      <w:r w:rsidR="085734EF" w:rsidRPr="00273106">
        <w:t xml:space="preserve"> </w:t>
      </w:r>
      <w:r w:rsidR="085734EF">
        <w:t xml:space="preserve">jsoucna třetího druhu </w:t>
      </w:r>
      <w:r w:rsidR="085734EF" w:rsidRPr="00273106">
        <w:t>vzhledem k</w:t>
      </w:r>
      <w:r w:rsidR="008478C1">
        <w:t> jeho sebereflexi</w:t>
      </w:r>
      <w:r w:rsidR="085734EF" w:rsidRPr="00273106">
        <w:t xml:space="preserve">. Realita představuje speciální případ </w:t>
      </w:r>
      <w:r w:rsidR="085734EF">
        <w:t xml:space="preserve">informačně pojaté </w:t>
      </w:r>
      <w:r w:rsidR="085734EF" w:rsidRPr="00273106">
        <w:t>esence</w:t>
      </w:r>
      <w:r w:rsidR="085734EF">
        <w:t xml:space="preserve"> přímo nazírané v modu matematické denudace. Tato esence pak </w:t>
      </w:r>
      <w:r w:rsidR="085734EF" w:rsidRPr="00273106">
        <w:t>přesáhne (</w:t>
      </w:r>
      <w:r w:rsidR="085734EF" w:rsidRPr="00273106">
        <w:rPr>
          <w:i/>
        </w:rPr>
        <w:t>exsistit</w:t>
      </w:r>
      <w:r w:rsidR="085734EF" w:rsidRPr="00273106">
        <w:t>) do kontigentní a neposlušné materie</w:t>
      </w:r>
      <w:r w:rsidR="085734EF">
        <w:t xml:space="preserve">, kterou je třeba asimilovat v tomto novém informačním aspektu a pak kapitalisticky zkrotit. </w:t>
      </w:r>
      <w:r w:rsidR="08B30D44">
        <w:t>I</w:t>
      </w:r>
      <w:r w:rsidR="08B30D44" w:rsidRPr="00273106">
        <w:t>nformační epocha moderny je nastolena skrze avicennovské poznání jako jistoty spekulativního intelektu</w:t>
      </w:r>
      <w:r w:rsidR="00443B72">
        <w:t xml:space="preserve">. Toto gnoseologické šílenství </w:t>
      </w:r>
      <w:r w:rsidR="08B30D44" w:rsidRPr="00273106">
        <w:t>se reflektuje v zrcadle (</w:t>
      </w:r>
      <w:r w:rsidR="08B30D44" w:rsidRPr="00273106">
        <w:rPr>
          <w:i/>
        </w:rPr>
        <w:t>speculum</w:t>
      </w:r>
      <w:r w:rsidR="08B30D44">
        <w:rPr>
          <w:i/>
        </w:rPr>
        <w:fldChar w:fldCharType="begin"/>
      </w:r>
      <w:r w:rsidR="08B30D44">
        <w:instrText xml:space="preserve"> XE "</w:instrText>
      </w:r>
      <w:r w:rsidR="08B30D44" w:rsidRPr="00191FF1">
        <w:rPr>
          <w:i/>
        </w:rPr>
        <w:instrText>speculum</w:instrText>
      </w:r>
      <w:r w:rsidR="08B30D44">
        <w:instrText xml:space="preserve">" </w:instrText>
      </w:r>
      <w:r w:rsidR="08B30D44">
        <w:rPr>
          <w:i/>
        </w:rPr>
        <w:fldChar w:fldCharType="end"/>
      </w:r>
      <w:r w:rsidR="08B30D44" w:rsidRPr="00273106">
        <w:t>) př</w:t>
      </w:r>
      <w:r w:rsidR="0000642E">
        <w:t>edzjednané matematické univocity</w:t>
      </w:r>
      <w:r w:rsidR="08B30D44" w:rsidRPr="00273106">
        <w:t xml:space="preserve"> monád jako nedělitelných individuí (Rufusovo </w:t>
      </w:r>
      <w:r w:rsidR="08B30D44" w:rsidRPr="00273106">
        <w:rPr>
          <w:i/>
        </w:rPr>
        <w:t>informatio</w:t>
      </w:r>
      <w:r w:rsidR="08B30D44" w:rsidRPr="00273106">
        <w:t>, Leibnizova</w:t>
      </w:r>
      <w:r w:rsidR="08B30D44" w:rsidRPr="00273106">
        <w:rPr>
          <w:i/>
        </w:rPr>
        <w:t xml:space="preserve"> </w:t>
      </w:r>
      <w:r w:rsidR="08B30D44" w:rsidRPr="00273106">
        <w:rPr>
          <w:rStyle w:val="st"/>
          <w:bCs/>
          <w:i/>
        </w:rPr>
        <w:t>harmonie</w:t>
      </w:r>
      <w:r w:rsidR="08B30D44" w:rsidRPr="00273106">
        <w:rPr>
          <w:rStyle w:val="st"/>
          <w:i/>
        </w:rPr>
        <w:t xml:space="preserve"> préétablie</w:t>
      </w:r>
      <w:r w:rsidR="00941B90">
        <w:t>).</w:t>
      </w:r>
    </w:p>
    <w:p w14:paraId="095C36C0" w14:textId="1620D31E" w:rsidR="08B30D44" w:rsidRDefault="085A243E" w:rsidP="000C0E7B">
      <w:pPr>
        <w:ind w:firstLine="397"/>
      </w:pPr>
      <w:r>
        <w:t>Ok</w:t>
      </w:r>
      <w:r w:rsidR="08B30D44">
        <w:t>ol</w:t>
      </w:r>
      <w:r>
        <w:t xml:space="preserve">o roku </w:t>
      </w:r>
      <w:r w:rsidR="08B30D44">
        <w:t xml:space="preserve">1235 </w:t>
      </w:r>
      <w:r w:rsidR="08B30D44" w:rsidRPr="00273106">
        <w:t>je dán základní program moderny dobývající svět pomocí matematické abstrakce</w:t>
      </w:r>
      <w:r w:rsidR="000C0E7B">
        <w:t xml:space="preserve">. </w:t>
      </w:r>
      <w:r w:rsidR="000C0E7B" w:rsidRPr="000C0E7B">
        <w:t>Konkrétnost nové vědy využí</w:t>
      </w:r>
      <w:r w:rsidR="000C0E7B">
        <w:t>vá matematickou abstrakci, která je</w:t>
      </w:r>
      <w:r w:rsidR="000C0E7B" w:rsidRPr="000C0E7B">
        <w:t xml:space="preserve"> </w:t>
      </w:r>
      <w:r w:rsidR="000C0E7B">
        <w:t>naprosto lhostejná k bytí prvních substancí, ať již živých nebo neživých</w:t>
      </w:r>
      <w:r w:rsidR="000C0E7B" w:rsidRPr="00273106">
        <w:t>.</w:t>
      </w:r>
      <w:r w:rsidR="000C0E7B">
        <w:t xml:space="preserve"> </w:t>
      </w:r>
      <w:r w:rsidR="000C0E7B" w:rsidRPr="000C0E7B">
        <w:t>Zatmění hyparchické metafyziky způsobilo, že reálný svět existuje pouze v myšlení novodobých iluminátů.</w:t>
      </w:r>
      <w:r w:rsidR="000C0E7B">
        <w:t xml:space="preserve"> N</w:t>
      </w:r>
      <w:r w:rsidR="08B30D44">
        <w:t xml:space="preserve">eposlušnost toho či onoho jedince daného materiálně je třeba objektivně </w:t>
      </w:r>
      <w:r w:rsidR="00133F71">
        <w:t>potlačit</w:t>
      </w:r>
      <w:r w:rsidR="08B30D44">
        <w:t xml:space="preserve">. První averroismus považoval tento obraz světa za šílený nebo směšný. Konkrétní individuum modernistů reálně vůbec neexistuje, protože jsoucno třetího druhu nemá </w:t>
      </w:r>
      <w:r w:rsidR="00B91EEA">
        <w:t>hyparchickou možnost existence</w:t>
      </w:r>
      <w:r w:rsidR="00995F91">
        <w:t xml:space="preserve"> v reálném světě</w:t>
      </w:r>
      <w:r w:rsidR="08B30D44">
        <w:t xml:space="preserve">. Ale druhý averroismus vytvořil vlastní formu „exsistence“ a pravdy, které ustavily </w:t>
      </w:r>
      <w:r w:rsidR="08B30D44" w:rsidRPr="00EC4B3A">
        <w:rPr>
          <w:i/>
        </w:rPr>
        <w:t>ex nihilo</w:t>
      </w:r>
      <w:r w:rsidR="08B30D44">
        <w:t xml:space="preserve"> nový objektivní diakosmos mezi realitou a lidskou myslí. O</w:t>
      </w:r>
      <w:r w:rsidR="08B30D44" w:rsidRPr="00273106">
        <w:t xml:space="preserve">d 17. století se </w:t>
      </w:r>
      <w:r w:rsidR="08B30D44">
        <w:t xml:space="preserve">fundace této formální rovnosti </w:t>
      </w:r>
      <w:r w:rsidR="08B30D44" w:rsidRPr="00273106">
        <w:t>přesunula do postmoderní matematiky a na ní založené vědě a technice</w:t>
      </w:r>
      <w:r w:rsidR="08B30D44">
        <w:t xml:space="preserve">. </w:t>
      </w:r>
      <w:r w:rsidR="005D655E">
        <w:t>N</w:t>
      </w:r>
      <w:r w:rsidR="005D655E" w:rsidRPr="00273106">
        <w:t xml:space="preserve">yní </w:t>
      </w:r>
      <w:r w:rsidR="005D655E">
        <w:t xml:space="preserve">rovnost </w:t>
      </w:r>
      <w:r w:rsidR="005D655E" w:rsidRPr="00273106">
        <w:t>funguje už zcela nihilisticky v současné monetární ekonomii globá</w:t>
      </w:r>
      <w:r w:rsidR="005D655E">
        <w:t xml:space="preserve">lních korporací s jejich </w:t>
      </w:r>
      <w:r w:rsidR="005D655E" w:rsidRPr="00172336">
        <w:rPr>
          <w:i/>
        </w:rPr>
        <w:t>scibile</w:t>
      </w:r>
      <w:r w:rsidR="005D655E">
        <w:t xml:space="preserve"> zvaným finance. </w:t>
      </w:r>
      <w:r w:rsidR="005D655E" w:rsidRPr="005D655E">
        <w:t xml:space="preserve">Svět financí se stal čistě matematickým derivátem, v němž se vědecká fikce </w:t>
      </w:r>
      <w:r w:rsidR="00F4767D">
        <w:t xml:space="preserve">nutných </w:t>
      </w:r>
      <w:r w:rsidR="005D655E" w:rsidRPr="005D655E">
        <w:t>budoucích dluhů odráží v zrcadle vytvořené</w:t>
      </w:r>
      <w:r w:rsidR="005D655E">
        <w:t>m informatiky nihilistických F</w:t>
      </w:r>
      <w:r w:rsidR="005D655E" w:rsidRPr="005D655E">
        <w:t xml:space="preserve">úrií. </w:t>
      </w:r>
      <w:r w:rsidR="005D655E">
        <w:t>Finanční d</w:t>
      </w:r>
      <w:r w:rsidR="005D655E" w:rsidRPr="005D655E">
        <w:t>eriváty</w:t>
      </w:r>
      <w:r w:rsidR="08B30D44">
        <w:t xml:space="preserve"> js</w:t>
      </w:r>
      <w:r w:rsidR="005D655E">
        <w:t>ou čistým matematickým produktem</w:t>
      </w:r>
      <w:r w:rsidR="08B30D44">
        <w:t xml:space="preserve">, v němž se zrcadlí </w:t>
      </w:r>
      <w:r w:rsidR="08B30D44" w:rsidRPr="082B1AB7">
        <w:rPr>
          <w:i/>
        </w:rPr>
        <w:t>science-fiction</w:t>
      </w:r>
      <w:r w:rsidR="08DC45A2">
        <w:rPr>
          <w:i/>
        </w:rPr>
        <w:fldChar w:fldCharType="begin"/>
      </w:r>
      <w:r w:rsidR="08DC45A2">
        <w:instrText xml:space="preserve"> XE "</w:instrText>
      </w:r>
      <w:r w:rsidR="08DC45A2" w:rsidRPr="082F01C6">
        <w:rPr>
          <w:i/>
        </w:rPr>
        <w:instrText>science-fiction</w:instrText>
      </w:r>
      <w:r w:rsidR="08DC45A2">
        <w:instrText xml:space="preserve">" </w:instrText>
      </w:r>
      <w:r w:rsidR="08DC45A2">
        <w:rPr>
          <w:i/>
        </w:rPr>
        <w:fldChar w:fldCharType="end"/>
      </w:r>
      <w:r w:rsidR="08B30D44">
        <w:t xml:space="preserve"> budoucích dluhů. Ty jsou navázány na logicky nutný příchod nikoliv Antikrista, ale banksterské ekonomiky planetárního dluhu</w:t>
      </w:r>
      <w:r w:rsidR="085B6857">
        <w:rPr>
          <w:i/>
        </w:rPr>
        <w:fldChar w:fldCharType="begin"/>
      </w:r>
      <w:r w:rsidR="085B6857">
        <w:instrText xml:space="preserve"> XE "</w:instrText>
      </w:r>
      <w:r w:rsidR="085B6857">
        <w:rPr>
          <w:i/>
        </w:rPr>
        <w:instrText>banksters</w:instrText>
      </w:r>
      <w:r w:rsidR="085B6857">
        <w:instrText xml:space="preserve">" </w:instrText>
      </w:r>
      <w:r w:rsidR="085B6857">
        <w:rPr>
          <w:i/>
        </w:rPr>
        <w:fldChar w:fldCharType="end"/>
      </w:r>
      <w:r w:rsidR="00BC3981">
        <w:t xml:space="preserve">. Rufus dal moderně nové dějinné poslání: zkrotit </w:t>
      </w:r>
      <w:r w:rsidR="08B30D44">
        <w:t>neposlu</w:t>
      </w:r>
      <w:r w:rsidR="00BC3981">
        <w:t>šnou</w:t>
      </w:r>
      <w:r w:rsidR="00B63BA4">
        <w:t xml:space="preserve"> materi</w:t>
      </w:r>
      <w:r w:rsidR="00BC3981">
        <w:t xml:space="preserve">i. Tento úkol </w:t>
      </w:r>
      <w:r w:rsidR="00B63BA4">
        <w:t>historicky naplnila koloniální impéria</w:t>
      </w:r>
      <w:r w:rsidR="08B30D44">
        <w:t xml:space="preserve"> </w:t>
      </w:r>
      <w:r w:rsidR="00BC3981">
        <w:t xml:space="preserve">postmoderního Západu </w:t>
      </w:r>
      <w:r w:rsidR="08B30D44">
        <w:t xml:space="preserve">a dnešní bankovní </w:t>
      </w:r>
      <w:r w:rsidR="00913336">
        <w:t xml:space="preserve">otroctví. </w:t>
      </w:r>
      <w:r w:rsidR="00D34B13">
        <w:t>Tito o</w:t>
      </w:r>
      <w:r w:rsidR="00913336">
        <w:t xml:space="preserve">trokáři </w:t>
      </w:r>
      <w:r w:rsidR="007420DE">
        <w:t xml:space="preserve">nahradili zemřelého moderního boha a </w:t>
      </w:r>
      <w:r w:rsidR="08B30D44">
        <w:t xml:space="preserve">subsistují ve zvláštním režimu na korporativním suverénním území </w:t>
      </w:r>
      <w:r w:rsidR="08B30D44" w:rsidRPr="002E585A">
        <w:rPr>
          <w:i/>
        </w:rPr>
        <w:t>City of London</w:t>
      </w:r>
      <w:r w:rsidR="08B30D44" w:rsidRPr="00F01856">
        <w:t>, či na Wall Street</w:t>
      </w:r>
      <w:r w:rsidR="08B30D44">
        <w:t>. Neoliberální ideologie</w:t>
      </w:r>
      <w:r w:rsidR="08B30D44">
        <w:fldChar w:fldCharType="begin"/>
      </w:r>
      <w:r w:rsidR="08B30D44">
        <w:instrText xml:space="preserve"> XE "</w:instrText>
      </w:r>
      <w:r w:rsidR="08B30D44" w:rsidRPr="088A1F37">
        <w:instrText>ideologie</w:instrText>
      </w:r>
      <w:r w:rsidR="08B30D44">
        <w:instrText xml:space="preserve">" </w:instrText>
      </w:r>
      <w:r w:rsidR="08B30D44">
        <w:fldChar w:fldCharType="end"/>
      </w:r>
      <w:r w:rsidR="08B30D44">
        <w:t xml:space="preserve"> daná na dnešní způsob vulgárního monetarismu pak všechny hodnoty porovnává s tímto nihilistickým jsoucnem třetího druhu a vytváří nové simulákrum univerzální postmoderní rovnosti založené zcela nihilisticky</w:t>
      </w:r>
      <w:r w:rsidR="08B30D44">
        <w:fldChar w:fldCharType="begin"/>
      </w:r>
      <w:r w:rsidR="08B30D44">
        <w:instrText xml:space="preserve"> XE "</w:instrText>
      </w:r>
      <w:r w:rsidR="08B30D44" w:rsidRPr="00F43D79">
        <w:instrText>ekonomie</w:instrText>
      </w:r>
      <w:r w:rsidR="08B30D44">
        <w:instrText xml:space="preserve">" </w:instrText>
      </w:r>
      <w:r w:rsidR="08B30D44">
        <w:fldChar w:fldCharType="end"/>
      </w:r>
      <w:r w:rsidR="08B30D44">
        <w:t>.</w:t>
      </w:r>
      <w:r w:rsidR="08B30D44" w:rsidRPr="08B30D44">
        <w:t xml:space="preserve"> </w:t>
      </w:r>
      <w:r w:rsidR="00E4679D">
        <w:t>Rufus zahájil</w:t>
      </w:r>
      <w:r w:rsidR="08B30D44">
        <w:t xml:space="preserve"> </w:t>
      </w:r>
      <w:r w:rsidR="00E4679D" w:rsidRPr="00E4679D">
        <w:rPr>
          <w:i/>
        </w:rPr>
        <w:t>via</w:t>
      </w:r>
      <w:r w:rsidR="00E4679D">
        <w:t xml:space="preserve"> </w:t>
      </w:r>
      <w:r w:rsidR="08B30D44" w:rsidRPr="00C83EAB">
        <w:rPr>
          <w:i/>
        </w:rPr>
        <w:t>Modernorum</w:t>
      </w:r>
      <w:r w:rsidR="08B30D44">
        <w:t>, v níž logic</w:t>
      </w:r>
      <w:r w:rsidR="00AB2564">
        <w:t>ko-filosofický stav světa určují</w:t>
      </w:r>
      <w:r w:rsidR="08B30D44">
        <w:t xml:space="preserve"> </w:t>
      </w:r>
      <w:r w:rsidR="00AB2564">
        <w:t>matematika</w:t>
      </w:r>
      <w:r w:rsidR="00AB2564">
        <w:fldChar w:fldCharType="begin"/>
      </w:r>
      <w:r w:rsidR="00AB2564">
        <w:instrText xml:space="preserve"> XE "</w:instrText>
      </w:r>
      <w:r w:rsidR="00AB2564" w:rsidRPr="00DC040D">
        <w:instrText>matematika</w:instrText>
      </w:r>
      <w:r w:rsidR="00AB2564">
        <w:instrText xml:space="preserve">" </w:instrText>
      </w:r>
      <w:r w:rsidR="00AB2564">
        <w:fldChar w:fldCharType="end"/>
      </w:r>
      <w:r w:rsidR="00AB2564">
        <w:t xml:space="preserve"> a </w:t>
      </w:r>
      <w:r w:rsidR="007420DE">
        <w:t xml:space="preserve">nihilistická </w:t>
      </w:r>
      <w:r w:rsidR="00AB2564">
        <w:t xml:space="preserve">logika </w:t>
      </w:r>
      <w:r w:rsidR="08B30D44">
        <w:t xml:space="preserve">v modu </w:t>
      </w:r>
      <w:r w:rsidR="08B30D44" w:rsidRPr="00C83EAB">
        <w:rPr>
          <w:i/>
        </w:rPr>
        <w:t>per prius</w:t>
      </w:r>
      <w:r w:rsidR="08B30D44">
        <w:t>.</w:t>
      </w:r>
    </w:p>
    <w:p w14:paraId="31AD1E6C" w14:textId="5E07265D" w:rsidR="00325629" w:rsidRPr="00273106" w:rsidRDefault="00C51568" w:rsidP="086C1F19">
      <w:pPr>
        <w:pStyle w:val="Nadpis3"/>
      </w:pPr>
      <w:bookmarkStart w:id="126" w:name="_Toc487234320"/>
      <w:bookmarkStart w:id="127" w:name="_Toc12558327"/>
      <w:r>
        <w:rPr>
          <w:lang w:val="cs-CZ"/>
        </w:rPr>
        <w:br w:type="page"/>
      </w:r>
      <w:bookmarkStart w:id="128" w:name="_Toc160449340"/>
      <w:r w:rsidR="08D20D28">
        <w:rPr>
          <w:lang w:val="cs-CZ"/>
        </w:rPr>
        <w:t>3</w:t>
      </w:r>
      <w:r w:rsidR="00325629" w:rsidRPr="00273106">
        <w:t xml:space="preserve">.3.3 Vznik </w:t>
      </w:r>
      <w:r w:rsidR="00325629">
        <w:t xml:space="preserve">oficiálního </w:t>
      </w:r>
      <w:r w:rsidR="00325629" w:rsidRPr="00273106">
        <w:t>averroismu</w:t>
      </w:r>
      <w:bookmarkEnd w:id="126"/>
      <w:bookmarkEnd w:id="127"/>
      <w:bookmarkEnd w:id="128"/>
      <w:r w:rsidR="00325629" w:rsidRPr="00273106">
        <w:t xml:space="preserve"> </w:t>
      </w:r>
    </w:p>
    <w:p w14:paraId="1F5145AB" w14:textId="67AE1EB6" w:rsidR="007B44C7" w:rsidRDefault="00355ED0" w:rsidP="00771708">
      <w:r>
        <w:t>Spor o pojetí pravdy jasně rozlišil kolem 1235 oba směry vykládající Averroese a dal signál k novému kolu gigantomachie</w:t>
      </w:r>
      <w:r>
        <w:fldChar w:fldCharType="begin"/>
      </w:r>
      <w:r>
        <w:instrText xml:space="preserve"> XE "substance:</w:instrText>
      </w:r>
      <w:r w:rsidRPr="008734BA">
        <w:instrText>gigantomachie</w:instrText>
      </w:r>
      <w:r>
        <w:instrText xml:space="preserve">" </w:instrText>
      </w:r>
      <w:r>
        <w:fldChar w:fldCharType="end"/>
      </w:r>
      <w:r>
        <w:t xml:space="preserve"> o substanci. Zástupcům Blundovy školy v Paříži bylo zcela jasné, že nová forma metafyziky, kterou přinesli bakaláři z Oxfordu, stojí v zásadním rozporu s aristotelskou koncepcí pravdy a poznání, kterou znali z Averroesových komentářů aristotelského Korpusu. Otevřený spor mezi mendikanty a artisty na Pařížské univerzitě naplno vypukl bě</w:t>
      </w:r>
      <w:r w:rsidR="00C53E4B">
        <w:t xml:space="preserve">hem pontifikátu biskupa Alverna. To ukazuje jeho druhý </w:t>
      </w:r>
      <w:r>
        <w:t xml:space="preserve">komentář k </w:t>
      </w:r>
      <w:r w:rsidRPr="009C1DB6">
        <w:rPr>
          <w:i/>
        </w:rPr>
        <w:t>De anima</w:t>
      </w:r>
      <w:r w:rsidR="00C53E4B">
        <w:t xml:space="preserve">, který byl psaný pravděpodobně v letech </w:t>
      </w:r>
      <w:r>
        <w:t xml:space="preserve">1240‒45. Připomeňme, že v této době vrcholila neúspěšná snaha Rufuse ubránit novou verzi moderní metafyziky, což dokazuje jeho dílo </w:t>
      </w:r>
      <w:r w:rsidRPr="00BC1793">
        <w:rPr>
          <w:i/>
        </w:rPr>
        <w:t>Speculum animae</w:t>
      </w:r>
      <w:r>
        <w:t xml:space="preserve"> (</w:t>
      </w:r>
      <w:r w:rsidRPr="00273106">
        <w:t xml:space="preserve">kolem </w:t>
      </w:r>
      <w:r>
        <w:t>1245) a vynucený odchod do Oxfordu před rokem 1250. Po smrti biskupa Alverna přešli akademicky otřesení modernisté do prvního úspěšného útoku</w:t>
      </w:r>
      <w:r w:rsidR="004372F6">
        <w:t xml:space="preserve"> proti prvnímu averroismu</w:t>
      </w:r>
      <w:r>
        <w:t>. Hlavní protagonista sekulárních magistrů Pařížské univerzity ve sporu proti mendikantům byl již citovaný Guillelmus</w:t>
      </w:r>
      <w:r w:rsidRPr="00052A0E">
        <w:t xml:space="preserve"> de Sancto Amore</w:t>
      </w:r>
      <w: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fldChar w:fldCharType="end"/>
      </w:r>
      <w:r>
        <w:t xml:space="preserve">, </w:t>
      </w:r>
      <w:r w:rsidRPr="004E2AAB">
        <w:rPr>
          <w:i/>
        </w:rPr>
        <w:t>magister artium</w:t>
      </w:r>
      <w:r>
        <w:t xml:space="preserve"> od 1228, </w:t>
      </w:r>
      <w:r w:rsidRPr="004E2AAB">
        <w:rPr>
          <w:i/>
        </w:rPr>
        <w:t>magister theologiae</w:t>
      </w:r>
      <w:r>
        <w:t xml:space="preserve"> od 1250. Je známý svými polemickými spisy proti mendikantům (</w:t>
      </w:r>
      <w:r w:rsidRPr="00F01704">
        <w:rPr>
          <w:i/>
        </w:rPr>
        <w:t>Tractatus brevis de periculis novissimorum temporum</w:t>
      </w:r>
      <w:r>
        <w:t xml:space="preserve">, 1255). Jeho komentáře </w:t>
      </w:r>
      <w:r w:rsidRPr="009A7762">
        <w:rPr>
          <w:i/>
        </w:rPr>
        <w:t>Prvních</w:t>
      </w:r>
      <w:r>
        <w:t xml:space="preserve"> a </w:t>
      </w:r>
      <w:r w:rsidRPr="009A7762">
        <w:rPr>
          <w:i/>
        </w:rPr>
        <w:t>Druhých analytik</w:t>
      </w:r>
      <w:r>
        <w:t xml:space="preserve"> dosud čekají na kritické vydání. Celý spor za mendikanty urovnával generál řádu Menších bratří </w:t>
      </w:r>
      <w:r w:rsidRPr="00BC1793">
        <w:rPr>
          <w:bCs/>
        </w:rPr>
        <w:t>J</w:t>
      </w:r>
      <w:r>
        <w:rPr>
          <w:bCs/>
        </w:rPr>
        <w:t>an z Parmy (</w:t>
      </w:r>
      <w:r w:rsidRPr="00FB6944">
        <w:t>Johannis de Parma</w:t>
      </w:r>
      <w:r>
        <w:fldChar w:fldCharType="begin"/>
      </w:r>
      <w:r>
        <w:instrText xml:space="preserve"> XE "</w:instrText>
      </w:r>
      <w:r w:rsidRPr="002E635A">
        <w:instrText>Johannis de Parma</w:instrText>
      </w:r>
      <w:r>
        <w:instrText xml:space="preserve">" </w:instrText>
      </w:r>
      <w:r>
        <w:fldChar w:fldCharType="end"/>
      </w:r>
      <w:r>
        <w:t>)</w:t>
      </w:r>
      <w:r w:rsidRPr="00694AA6">
        <w:t xml:space="preserve"> </w:t>
      </w:r>
      <w:r>
        <w:t>někdy kolem 1253. Myslitelskou štafetu moderny po Rufusově odchodu z Paříže převezme charismatický modernista Bonaventura a celou kauzu dotáhne do vítězného konce pro modernisty.</w:t>
      </w:r>
      <w:r w:rsidR="0024447F">
        <w:t xml:space="preserve"> </w:t>
      </w:r>
      <w:r w:rsidR="085C15DF">
        <w:t xml:space="preserve">Na </w:t>
      </w:r>
      <w:r w:rsidR="08B30D44">
        <w:t xml:space="preserve">Rufusově sofistickém výkladu Aristotela je třeba ukázat, proč a jak se Averroes stal černou ovcí moderny. </w:t>
      </w:r>
      <w:r w:rsidR="08017FAC" w:rsidRPr="00273106">
        <w:t xml:space="preserve">Rozbor Rufusových komentářů ukázal základní dilema </w:t>
      </w:r>
      <w:r w:rsidR="08DD5451">
        <w:t>moderny, která</w:t>
      </w:r>
      <w:r w:rsidR="08017FAC">
        <w:t xml:space="preserve"> začal</w:t>
      </w:r>
      <w:r w:rsidR="08DD5451">
        <w:t>a</w:t>
      </w:r>
      <w:r w:rsidR="08017FAC">
        <w:t xml:space="preserve"> utvářet scholastické myšlení v letech 1235‒40 k epochálně novému dobrodružství intelektu známému jako </w:t>
      </w:r>
      <w:r w:rsidR="08017FAC" w:rsidRPr="00294245">
        <w:rPr>
          <w:i/>
        </w:rPr>
        <w:t>via Modernorum</w:t>
      </w:r>
      <w:r w:rsidR="08017FAC">
        <w:rPr>
          <w:i/>
        </w:rPr>
        <w:fldChar w:fldCharType="begin"/>
      </w:r>
      <w:r w:rsidR="08017FAC">
        <w:instrText xml:space="preserve"> XE "</w:instrText>
      </w:r>
      <w:r w:rsidR="08017FAC" w:rsidRPr="00ED0748">
        <w:rPr>
          <w:i/>
        </w:rPr>
        <w:instrText>via Modernorum</w:instrText>
      </w:r>
      <w:r w:rsidR="08017FAC">
        <w:instrText xml:space="preserve">" </w:instrText>
      </w:r>
      <w:r w:rsidR="08017FAC">
        <w:rPr>
          <w:i/>
        </w:rPr>
        <w:fldChar w:fldCharType="end"/>
      </w:r>
      <w:r w:rsidR="08017FAC" w:rsidRPr="00273106">
        <w:t xml:space="preserve">. </w:t>
      </w:r>
      <w:r w:rsidR="08DD5451" w:rsidRPr="00273106">
        <w:t>Druhý averroismus změnil pojetí vědeckého poznání, substance, pravdy, a doko</w:t>
      </w:r>
      <w:r w:rsidR="08DD5451">
        <w:t xml:space="preserve">nce i pojetí existence. </w:t>
      </w:r>
      <w:r w:rsidR="08017FAC">
        <w:t>P</w:t>
      </w:r>
      <w:r w:rsidR="08017FAC" w:rsidRPr="00273106">
        <w:t xml:space="preserve">odle </w:t>
      </w:r>
      <w:r w:rsidR="08017FAC">
        <w:t xml:space="preserve">tehdejších </w:t>
      </w:r>
      <w:r w:rsidR="08017FAC" w:rsidRPr="00273106">
        <w:t xml:space="preserve">znalců Aristotela a </w:t>
      </w:r>
      <w:r w:rsidR="08017FAC">
        <w:t>Averroes</w:t>
      </w:r>
      <w:r w:rsidR="08017FAC" w:rsidRPr="00273106">
        <w:t xml:space="preserve">e </w:t>
      </w:r>
      <w:r w:rsidR="00990EB5">
        <w:t>mohla</w:t>
      </w:r>
      <w:r w:rsidR="08017FAC">
        <w:t xml:space="preserve"> patřit k analytické moderně Rufuse </w:t>
      </w:r>
      <w:r w:rsidR="08017FAC" w:rsidRPr="00273106">
        <w:t xml:space="preserve">pouze </w:t>
      </w:r>
      <w:r w:rsidR="00990EB5">
        <w:t xml:space="preserve">hrstka </w:t>
      </w:r>
      <w:r w:rsidR="08017FAC" w:rsidRPr="00273106">
        <w:t>filosoficky nedospěl</w:t>
      </w:r>
      <w:r w:rsidR="00990EB5">
        <w:t>ých jedinců</w:t>
      </w:r>
      <w:r w:rsidR="08017FAC">
        <w:t>, protože se dopustili z</w:t>
      </w:r>
      <w:r w:rsidR="007B44C7">
        <w:t>ákladních metafyzických omylů.</w:t>
      </w:r>
    </w:p>
    <w:p w14:paraId="20D71115" w14:textId="77777777" w:rsidR="007B44C7" w:rsidRDefault="007B44C7" w:rsidP="00771708">
      <w:pPr>
        <w:numPr>
          <w:ilvl w:val="0"/>
          <w:numId w:val="13"/>
        </w:numPr>
      </w:pPr>
      <w:r>
        <w:t>M</w:t>
      </w:r>
      <w:r w:rsidR="00C915C3" w:rsidRPr="00C915C3">
        <w:t xml:space="preserve">odernisté </w:t>
      </w:r>
      <w:r w:rsidR="00C915C3">
        <w:t xml:space="preserve">zrušili </w:t>
      </w:r>
      <w:r w:rsidR="00D63BD1">
        <w:t xml:space="preserve">dvojí hyparchický </w:t>
      </w:r>
      <w:r w:rsidR="00C915C3" w:rsidRPr="00C915C3">
        <w:t xml:space="preserve">smysl </w:t>
      </w:r>
      <w:r>
        <w:t>jsoucna (logický, metafyzický</w:t>
      </w:r>
      <w:r w:rsidR="00C915C3">
        <w:t>) a použili logickou u</w:t>
      </w:r>
      <w:r>
        <w:t xml:space="preserve">nivocitu na vybudování moderní </w:t>
      </w:r>
      <w:r w:rsidR="00C915C3" w:rsidRPr="00C915C3">
        <w:t>metafyziky</w:t>
      </w:r>
      <w:r w:rsidR="00C915C3">
        <w:t xml:space="preserve"> jako první vědy</w:t>
      </w:r>
      <w:r w:rsidR="00C915C3" w:rsidRPr="00C915C3">
        <w:t>.</w:t>
      </w:r>
    </w:p>
    <w:p w14:paraId="251293A6" w14:textId="77777777" w:rsidR="007B44C7" w:rsidRDefault="08017FAC" w:rsidP="00771708">
      <w:pPr>
        <w:numPr>
          <w:ilvl w:val="0"/>
          <w:numId w:val="13"/>
        </w:numPr>
      </w:pPr>
      <w:r>
        <w:t xml:space="preserve">Modernisté </w:t>
      </w:r>
      <w:r w:rsidRPr="00273106">
        <w:t>ignorují metafyzickou diferenci me</w:t>
      </w:r>
      <w:r>
        <w:t>zi první a druhou substancí</w:t>
      </w:r>
      <w:r w:rsidR="007B44C7">
        <w:t>,</w:t>
      </w:r>
      <w:r>
        <w:t xml:space="preserve"> proto p</w:t>
      </w:r>
      <w:r w:rsidR="007B44C7">
        <w:t>rodukují jsoucno třetího druhu.</w:t>
      </w:r>
    </w:p>
    <w:p w14:paraId="07054124" w14:textId="77777777" w:rsidR="007B44C7" w:rsidRDefault="08017FAC" w:rsidP="00771708">
      <w:pPr>
        <w:numPr>
          <w:ilvl w:val="0"/>
          <w:numId w:val="13"/>
        </w:numPr>
      </w:pPr>
      <w:r>
        <w:t xml:space="preserve">Modernisté ve své konkrétní a individuální predikaci </w:t>
      </w:r>
      <w:r w:rsidRPr="00273106">
        <w:t xml:space="preserve">popírají kategoriální diferenci mezi substancí </w:t>
      </w:r>
      <w:r>
        <w:t xml:space="preserve">danou </w:t>
      </w:r>
      <w:r w:rsidR="00E07683">
        <w:t xml:space="preserve">v aristotelismu </w:t>
      </w:r>
      <w:r>
        <w:t xml:space="preserve">jako </w:t>
      </w:r>
      <w:r w:rsidR="006836D0">
        <w:t>„</w:t>
      </w:r>
      <w:r w:rsidRPr="007B44C7">
        <w:rPr>
          <w:i/>
        </w:rPr>
        <w:t>subiectum</w:t>
      </w:r>
      <w:r>
        <w:t xml:space="preserve"> </w:t>
      </w:r>
      <w:r w:rsidRPr="007B44C7">
        <w:rPr>
          <w:i/>
        </w:rPr>
        <w:t>per se</w:t>
      </w:r>
      <w:r w:rsidR="006836D0">
        <w:t>“</w:t>
      </w:r>
      <w:r w:rsidRPr="007B44C7">
        <w:rPr>
          <w:i/>
        </w:rPr>
        <w:t xml:space="preserve"> </w:t>
      </w:r>
      <w:r w:rsidRPr="00273106">
        <w:t>a akcidentem</w:t>
      </w:r>
      <w:r>
        <w:t xml:space="preserve"> daným jako </w:t>
      </w:r>
      <w:r w:rsidR="006836D0">
        <w:t>„</w:t>
      </w:r>
      <w:r w:rsidRPr="007B44C7">
        <w:rPr>
          <w:i/>
        </w:rPr>
        <w:t>esse in alio</w:t>
      </w:r>
      <w:r w:rsidR="006836D0">
        <w:t>“</w:t>
      </w:r>
      <w:r w:rsidRPr="00273106">
        <w:t>.</w:t>
      </w:r>
      <w:r w:rsidR="006836D0">
        <w:t xml:space="preserve"> A</w:t>
      </w:r>
      <w:r w:rsidR="006836D0" w:rsidRPr="006836D0">
        <w:t xml:space="preserve">kcidenty se staly hypostatickým </w:t>
      </w:r>
      <w:r w:rsidR="006836D0" w:rsidRPr="007B44C7">
        <w:rPr>
          <w:i/>
        </w:rPr>
        <w:t>tertium ens</w:t>
      </w:r>
      <w:r w:rsidR="006836D0" w:rsidRPr="006836D0">
        <w:t>, kt</w:t>
      </w:r>
      <w:r w:rsidR="007B44C7">
        <w:t>eré nahrazuje druhou substanci.</w:t>
      </w:r>
    </w:p>
    <w:p w14:paraId="626490EA" w14:textId="6186F918" w:rsidR="007B44C7" w:rsidRDefault="007B44C7" w:rsidP="00771708">
      <w:pPr>
        <w:numPr>
          <w:ilvl w:val="0"/>
          <w:numId w:val="13"/>
        </w:numPr>
      </w:pPr>
      <w:r>
        <w:t xml:space="preserve">Pak platí, že tak </w:t>
      </w:r>
      <w:r w:rsidR="006836D0">
        <w:t xml:space="preserve">zvaná „vědecká“ predikace moderny </w:t>
      </w:r>
      <w:r>
        <w:t>není kategoriální</w:t>
      </w:r>
      <w:r w:rsidR="006836D0">
        <w:t>, ale analogická</w:t>
      </w:r>
      <w:r w:rsidR="006836D0" w:rsidRPr="006836D0">
        <w:t xml:space="preserve">. Moderní věda se skládá z ontoteologických </w:t>
      </w:r>
      <w:r w:rsidR="00125695">
        <w:t xml:space="preserve">pohádek </w:t>
      </w:r>
      <w:r>
        <w:t xml:space="preserve">a dnes ideologických </w:t>
      </w:r>
      <w:r w:rsidR="00125695">
        <w:t>blábolů</w:t>
      </w:r>
      <w:r w:rsidR="006836D0">
        <w:t>, dokud jako Titanik nenarazí na princip reality</w:t>
      </w:r>
      <w:r>
        <w:t>.</w:t>
      </w:r>
    </w:p>
    <w:p w14:paraId="09F7B94D" w14:textId="38429F36" w:rsidR="007B44C7" w:rsidRDefault="08017FAC" w:rsidP="00771708">
      <w:pPr>
        <w:numPr>
          <w:ilvl w:val="0"/>
          <w:numId w:val="13"/>
        </w:numPr>
      </w:pPr>
      <w:r>
        <w:t xml:space="preserve">Zavedení univerzálního hyleformismu vyrobilo v hlavě iluminátů paralelní vesmír, který začali predikovat </w:t>
      </w:r>
      <w:r w:rsidR="00BC315E">
        <w:t>jako impozici od hyparchických</w:t>
      </w:r>
      <w:r w:rsidR="00D21693">
        <w:t xml:space="preserve"> první</w:t>
      </w:r>
      <w:r w:rsidR="00BC315E">
        <w:t>ch substancí</w:t>
      </w:r>
      <w:r w:rsidR="007B44C7">
        <w:t>.</w:t>
      </w:r>
    </w:p>
    <w:p w14:paraId="0E8908FE" w14:textId="0B86C386" w:rsidR="00940B8C" w:rsidRDefault="007B44C7" w:rsidP="007B44C7">
      <w:r>
        <w:t>Těchto pět bodů</w:t>
      </w:r>
      <w:r w:rsidR="08017FAC">
        <w:t xml:space="preserve"> tvoří základní rozdíly mezi prvním a druhým averr</w:t>
      </w:r>
      <w:r w:rsidR="0039534D">
        <w:t>oismem okolo roku 1240</w:t>
      </w:r>
      <w:r w:rsidR="00F05394">
        <w:t xml:space="preserve"> a </w:t>
      </w:r>
      <w:r w:rsidR="00387D17">
        <w:t xml:space="preserve">zásadně </w:t>
      </w:r>
      <w:r w:rsidR="00F05394">
        <w:t xml:space="preserve">poznamenalo </w:t>
      </w:r>
      <w:r w:rsidR="08017FAC">
        <w:t>spor</w:t>
      </w:r>
      <w:r w:rsidR="00F05394">
        <w:t>y</w:t>
      </w:r>
      <w:r w:rsidR="08017FAC">
        <w:t xml:space="preserve"> následující generace prvního a druhého averroismu. Poznání vycház</w:t>
      </w:r>
      <w:r w:rsidR="08017FAC" w:rsidRPr="00273106">
        <w:t>í z lidského sub</w:t>
      </w:r>
      <w:r w:rsidR="08017FAC">
        <w:t xml:space="preserve">jektu a vytvořilo univerzální rovnost </w:t>
      </w:r>
      <w:r w:rsidR="08017FAC" w:rsidRPr="00273106">
        <w:t>jsouc</w:t>
      </w:r>
      <w:r w:rsidR="08017FAC">
        <w:t>en</w:t>
      </w:r>
      <w:r w:rsidR="08017FAC" w:rsidRPr="00273106">
        <w:t xml:space="preserve"> třetího druhu. Produkce pravdy se v moderně stala záležitostí suvérenního demiurga</w:t>
      </w:r>
      <w:r w:rsidR="08017FAC">
        <w:fldChar w:fldCharType="begin"/>
      </w:r>
      <w:r w:rsidR="08017FAC">
        <w:instrText xml:space="preserve"> XE "</w:instrText>
      </w:r>
      <w:r w:rsidR="08017FAC" w:rsidRPr="005C2F4A">
        <w:rPr>
          <w:rStyle w:val="addmd"/>
        </w:rPr>
        <w:instrText>demiurg</w:instrText>
      </w:r>
      <w:r w:rsidR="08017FAC">
        <w:instrText xml:space="preserve">" </w:instrText>
      </w:r>
      <w:r w:rsidR="08017FAC">
        <w:fldChar w:fldCharType="end"/>
      </w:r>
      <w:r w:rsidR="08017FAC">
        <w:t xml:space="preserve"> na boží, či</w:t>
      </w:r>
      <w:r w:rsidR="08017FAC" w:rsidRPr="00273106">
        <w:t xml:space="preserve"> lidské úrovni</w:t>
      </w:r>
      <w:r w:rsidR="08017FAC">
        <w:t>. Ve věku dokonaného nihilismu a smrti moderního boha</w:t>
      </w:r>
      <w:r w:rsidR="08017FAC" w:rsidRPr="007B44C7">
        <w:rPr>
          <w:color w:val="000000"/>
        </w:rPr>
        <w:fldChar w:fldCharType="begin"/>
      </w:r>
      <w:r w:rsidR="08017FAC">
        <w:instrText xml:space="preserve"> XE "smrt boha" </w:instrText>
      </w:r>
      <w:r w:rsidR="08017FAC" w:rsidRPr="007B44C7">
        <w:rPr>
          <w:color w:val="000000"/>
        </w:rPr>
        <w:fldChar w:fldCharType="end"/>
      </w:r>
      <w:r w:rsidR="08017FAC">
        <w:t xml:space="preserve"> </w:t>
      </w:r>
      <w:r w:rsidR="08017FAC" w:rsidRPr="00273106">
        <w:t xml:space="preserve">degenovala </w:t>
      </w:r>
      <w:r w:rsidR="08017FAC">
        <w:t xml:space="preserve">pravda </w:t>
      </w:r>
      <w:r w:rsidR="08017FAC" w:rsidRPr="00273106">
        <w:t>na čistě subjektivní mínění a na jazykové hry</w:t>
      </w:r>
      <w:r w:rsidR="08017FAC">
        <w:t xml:space="preserve">, v nichž teze </w:t>
      </w:r>
      <w:r w:rsidR="08017FAC" w:rsidRPr="007B44C7">
        <w:rPr>
          <w:i/>
        </w:rPr>
        <w:t>meaning is use</w:t>
      </w:r>
      <w:r w:rsidR="08017FAC" w:rsidRPr="003E10ED">
        <w:t xml:space="preserve"> </w:t>
      </w:r>
      <w:r w:rsidR="08017FAC">
        <w:t xml:space="preserve">platí absolutně a v modu </w:t>
      </w:r>
      <w:r w:rsidR="08017FAC" w:rsidRPr="007B44C7">
        <w:rPr>
          <w:i/>
        </w:rPr>
        <w:t>per prius</w:t>
      </w:r>
      <w:r w:rsidR="08017FAC" w:rsidRPr="00273106">
        <w:t>.</w:t>
      </w:r>
      <w:r w:rsidR="00881B8A">
        <w:t xml:space="preserve"> Moderní „</w:t>
      </w:r>
      <w:r w:rsidR="00881B8A" w:rsidRPr="00881B8A">
        <w:rPr>
          <w:i/>
        </w:rPr>
        <w:t>res</w:t>
      </w:r>
      <w:r w:rsidR="00881B8A">
        <w:t xml:space="preserve">“ </w:t>
      </w:r>
      <w:r w:rsidR="00881B8A" w:rsidRPr="00881B8A">
        <w:t>existuje výhradně potenciálně; realita světa představuje kontingentní efemérnost, která se rodí jako aktualizace trvalých kosmických forem.</w:t>
      </w:r>
      <w:r w:rsidR="00881B8A">
        <w:t xml:space="preserve"> </w:t>
      </w:r>
      <w:r w:rsidR="085664C2" w:rsidRPr="00273106">
        <w:t>Tranformaci existence na „exsistenci“ poprvé na latinském Západě provedl G</w:t>
      </w:r>
      <w:r w:rsidR="0058401C">
        <w:t>rosseteste novým pojetím potenciality</w:t>
      </w:r>
      <w:r w:rsidR="00F71A4B">
        <w:t xml:space="preserve">. </w:t>
      </w:r>
      <w:r w:rsidR="002A29D5">
        <w:t xml:space="preserve">Otec </w:t>
      </w:r>
      <w:r w:rsidR="002A29D5" w:rsidRPr="002A29D5">
        <w:rPr>
          <w:i/>
        </w:rPr>
        <w:t>Oxfordian Fallacy</w:t>
      </w:r>
      <w:r w:rsidR="002A29D5">
        <w:t xml:space="preserve"> u</w:t>
      </w:r>
      <w:r w:rsidR="00F71A4B">
        <w:t xml:space="preserve">stavil </w:t>
      </w:r>
      <w:r w:rsidR="085664C2" w:rsidRPr="00273106">
        <w:t>validitu budoucích kontingentních událostí</w:t>
      </w:r>
      <w:r w:rsidR="004A41A1">
        <w:t xml:space="preserve">, </w:t>
      </w:r>
      <w:r w:rsidR="00F71A4B">
        <w:t xml:space="preserve">a tím </w:t>
      </w:r>
      <w:r w:rsidR="08603578">
        <w:t xml:space="preserve">založil moderní logiku </w:t>
      </w:r>
      <w:r w:rsidR="002A29D5">
        <w:t xml:space="preserve">na démonologii </w:t>
      </w:r>
      <w:r w:rsidR="08603578">
        <w:t>(kap. 3</w:t>
      </w:r>
      <w:r w:rsidR="085664C2" w:rsidRPr="00273106">
        <w:t>.1.2</w:t>
      </w:r>
      <w:r w:rsidR="085664C2">
        <w:t xml:space="preserve">). </w:t>
      </w:r>
      <w:r w:rsidR="085519AA" w:rsidRPr="00273106">
        <w:t xml:space="preserve">Esence daná jako </w:t>
      </w:r>
      <w:r w:rsidR="004B4D52" w:rsidRPr="004B4D52">
        <w:t>species</w:t>
      </w:r>
      <w:r w:rsidR="085519AA" w:rsidRPr="00273106">
        <w:t xml:space="preserve"> přechází „z“ (</w:t>
      </w:r>
      <w:r w:rsidR="085519AA" w:rsidRPr="007B44C7">
        <w:rPr>
          <w:i/>
        </w:rPr>
        <w:t>ex</w:t>
      </w:r>
      <w:r w:rsidR="085519AA" w:rsidRPr="00273106">
        <w:t>) této trvalé, nutné a neměnné trvalosti (</w:t>
      </w:r>
      <w:r w:rsidR="085519AA" w:rsidRPr="007B44C7">
        <w:rPr>
          <w:i/>
        </w:rPr>
        <w:t>sistit</w:t>
      </w:r>
      <w:r w:rsidR="085519AA" w:rsidRPr="00273106">
        <w:t xml:space="preserve">) do kontingentní aktuality. </w:t>
      </w:r>
      <w:r w:rsidR="08FB35E8">
        <w:t>N</w:t>
      </w:r>
      <w:r w:rsidR="085664C2" w:rsidRPr="00273106">
        <w:t xml:space="preserve">ovým výkladem </w:t>
      </w:r>
      <w:r w:rsidR="085664C2" w:rsidRPr="007B44C7">
        <w:rPr>
          <w:i/>
        </w:rPr>
        <w:t>Druhých analytik</w:t>
      </w:r>
      <w:r w:rsidR="085664C2" w:rsidRPr="00273106">
        <w:t xml:space="preserve"> a </w:t>
      </w:r>
      <w:r w:rsidR="085664C2" w:rsidRPr="007B44C7">
        <w:rPr>
          <w:i/>
        </w:rPr>
        <w:t>Metafyziky</w:t>
      </w:r>
      <w:r w:rsidR="002A29D5">
        <w:t xml:space="preserve"> vznikla moderní scientologie</w:t>
      </w:r>
      <w:r w:rsidR="085664C2" w:rsidRPr="00273106">
        <w:t>, která nepotřebuje reálnou věc jako účin</w:t>
      </w:r>
      <w:r w:rsidR="085664C2">
        <w:t xml:space="preserve">nou příčinu deduktivního vědeckého soudu. </w:t>
      </w:r>
      <w:r w:rsidR="085664C2" w:rsidRPr="00273106">
        <w:t>Míra pravdivosti (</w:t>
      </w:r>
      <w:r w:rsidR="085664C2" w:rsidRPr="007B44C7">
        <w:rPr>
          <w:i/>
        </w:rPr>
        <w:t>rectitudo</w:t>
      </w:r>
      <w:r w:rsidR="085664C2" w:rsidRPr="00273106">
        <w:t>) je určena evidencí (</w:t>
      </w:r>
      <w:r w:rsidR="085664C2" w:rsidRPr="007B44C7">
        <w:rPr>
          <w:i/>
        </w:rPr>
        <w:t>certitudo</w:t>
      </w:r>
      <w:r w:rsidR="085664C2" w:rsidRPr="00273106">
        <w:t xml:space="preserve">) </w:t>
      </w:r>
      <w:r w:rsidR="007A28CD">
        <w:t xml:space="preserve">správného </w:t>
      </w:r>
      <w:r w:rsidR="085664C2">
        <w:t xml:space="preserve">logického </w:t>
      </w:r>
      <w:r w:rsidR="085664C2" w:rsidRPr="00273106">
        <w:t>soudu (</w:t>
      </w:r>
      <w:r w:rsidR="085664C2" w:rsidRPr="007B44C7">
        <w:rPr>
          <w:i/>
        </w:rPr>
        <w:t>demonstratio</w:t>
      </w:r>
      <w:r w:rsidR="085664C2" w:rsidRPr="00273106">
        <w:t>).</w:t>
      </w:r>
      <w:r w:rsidR="085664C2">
        <w:t xml:space="preserve"> </w:t>
      </w:r>
      <w:r w:rsidR="00E2255F" w:rsidRPr="00E2255F">
        <w:t>Metafyzické spekulace založené na porret</w:t>
      </w:r>
      <w:r w:rsidR="00E2255F">
        <w:t xml:space="preserve">ánské </w:t>
      </w:r>
      <w:r w:rsidR="00E2255F" w:rsidRPr="00E2255F">
        <w:t xml:space="preserve">verzi </w:t>
      </w:r>
      <w:r w:rsidR="00E2255F" w:rsidRPr="00E2255F">
        <w:rPr>
          <w:i/>
        </w:rPr>
        <w:t xml:space="preserve">Logica Modernorum </w:t>
      </w:r>
      <w:r w:rsidR="00E2255F" w:rsidRPr="00E2255F">
        <w:t>vytvořily svět</w:t>
      </w:r>
      <w:r w:rsidR="00E2255F">
        <w:t xml:space="preserve"> z Alenčiny říše divů. Není zde žádná substanciální kočka na stromě, ale její akcidentální úšklebek </w:t>
      </w:r>
      <w:r w:rsidR="00E2255F" w:rsidRPr="00E2255F">
        <w:t xml:space="preserve">je </w:t>
      </w:r>
      <w:r w:rsidR="00485C3A">
        <w:t xml:space="preserve">trvale </w:t>
      </w:r>
      <w:r w:rsidR="00E2255F" w:rsidRPr="00E2255F">
        <w:t>přítomen v</w:t>
      </w:r>
      <w:r w:rsidR="00E2255F">
        <w:t> modu „</w:t>
      </w:r>
      <w:r w:rsidR="00E2255F" w:rsidRPr="00E2255F">
        <w:rPr>
          <w:i/>
        </w:rPr>
        <w:t>semel–semper</w:t>
      </w:r>
      <w:r w:rsidR="00E2255F">
        <w:t>“</w:t>
      </w:r>
      <w:r w:rsidR="00E2255F" w:rsidRPr="00E2255F">
        <w:t>.</w:t>
      </w:r>
      <w:r w:rsidR="00E2255F">
        <w:t xml:space="preserve"> </w:t>
      </w:r>
      <w:r w:rsidR="082B2511" w:rsidRPr="00273106">
        <w:t xml:space="preserve">Učení druhého averroismu přijímali hlavně filosofičtí začátečníci studující logiku na příkladech sofistických </w:t>
      </w:r>
      <w:r w:rsidR="082B2511">
        <w:t>hádanek (</w:t>
      </w:r>
      <w:r w:rsidR="082B2511" w:rsidRPr="007B44C7">
        <w:rPr>
          <w:i/>
        </w:rPr>
        <w:t>obligationes, insolubilia</w:t>
      </w:r>
      <w:r w:rsidR="082B2511">
        <w:t xml:space="preserve">, </w:t>
      </w:r>
      <w:r w:rsidR="082B2511" w:rsidRPr="007B44C7">
        <w:rPr>
          <w:i/>
        </w:rPr>
        <w:t>sophistaria</w:t>
      </w:r>
      <w:r w:rsidR="082B2511">
        <w:t>). Tím se na</w:t>
      </w:r>
      <w:r w:rsidR="082B2511" w:rsidRPr="00273106">
        <w:t xml:space="preserve">učili rozlišovat mezi </w:t>
      </w:r>
      <w:r w:rsidR="082B2511">
        <w:t>různými formy sofismat</w:t>
      </w:r>
      <w:r w:rsidR="08DC1D55">
        <w:t>. P</w:t>
      </w:r>
      <w:r w:rsidR="082B2511">
        <w:t xml:space="preserve">o studiu logiky a signifikace v rámci aristotelského </w:t>
      </w:r>
      <w:r w:rsidR="082B2511" w:rsidRPr="007B44C7">
        <w:rPr>
          <w:i/>
        </w:rPr>
        <w:t>Organonu</w:t>
      </w:r>
      <w:r w:rsidR="082B2511">
        <w:t xml:space="preserve"> </w:t>
      </w:r>
      <w:r w:rsidR="08DC1D55">
        <w:t xml:space="preserve">bakaláři </w:t>
      </w:r>
      <w:r w:rsidR="082B2511">
        <w:t>přecházeli k otázkám poznání a první filosofie danými v nejdůležitějších spisech Korpusu (</w:t>
      </w:r>
      <w:r w:rsidR="082B2511" w:rsidRPr="007B44C7">
        <w:rPr>
          <w:i/>
        </w:rPr>
        <w:t>De anima</w:t>
      </w:r>
      <w:r w:rsidR="082B2511">
        <w:t xml:space="preserve">, </w:t>
      </w:r>
      <w:r w:rsidR="00C22708">
        <w:rPr>
          <w:i/>
        </w:rPr>
        <w:t>Physica</w:t>
      </w:r>
      <w:r w:rsidR="082B2511">
        <w:t xml:space="preserve">, </w:t>
      </w:r>
      <w:r w:rsidR="082B2511" w:rsidRPr="007B44C7">
        <w:rPr>
          <w:i/>
        </w:rPr>
        <w:t>De caelo</w:t>
      </w:r>
      <w:r w:rsidR="082B2511">
        <w:t xml:space="preserve">, </w:t>
      </w:r>
      <w:r w:rsidR="000858B7">
        <w:rPr>
          <w:i/>
        </w:rPr>
        <w:t>Metaphysica</w:t>
      </w:r>
      <w:r w:rsidR="082B2511">
        <w:t xml:space="preserve">). Předešlý výklad ukázal, že modus </w:t>
      </w:r>
      <w:r w:rsidR="082B2511" w:rsidRPr="007B44C7">
        <w:rPr>
          <w:i/>
        </w:rPr>
        <w:t xml:space="preserve">Oxfordian Fallacy </w:t>
      </w:r>
      <w:r w:rsidR="082B2511">
        <w:t xml:space="preserve">spadal do kategorie omylů </w:t>
      </w:r>
      <w:r w:rsidR="082B2511" w:rsidRPr="007B44C7">
        <w:rPr>
          <w:i/>
        </w:rPr>
        <w:t>fallacia</w:t>
      </w:r>
      <w:r w:rsidR="082B2511">
        <w:t xml:space="preserve"> </w:t>
      </w:r>
      <w:r w:rsidR="082B2511" w:rsidRPr="007B44C7">
        <w:rPr>
          <w:i/>
        </w:rPr>
        <w:t>a dicto simpliciter ad dictum secundum quid</w:t>
      </w:r>
      <w:r w:rsidR="08C87B16">
        <w:t xml:space="preserve"> (kap. 3</w:t>
      </w:r>
      <w:r w:rsidR="082B2511" w:rsidRPr="00273106">
        <w:t xml:space="preserve">.1.1). Alvernus, Albert, Bacon považovali </w:t>
      </w:r>
      <w:r w:rsidR="082B2511">
        <w:t xml:space="preserve">sofistické </w:t>
      </w:r>
      <w:r w:rsidR="082B2511" w:rsidRPr="00273106">
        <w:t xml:space="preserve">pojetí existence a vědeckého soudu </w:t>
      </w:r>
      <w:r w:rsidR="082B2511">
        <w:t xml:space="preserve">obhajované ve školách tehdejších </w:t>
      </w:r>
      <w:r w:rsidR="082B2511" w:rsidRPr="007B44C7">
        <w:rPr>
          <w:i/>
        </w:rPr>
        <w:t>Nominales</w:t>
      </w:r>
      <w:r w:rsidR="082B2511">
        <w:t xml:space="preserve"> </w:t>
      </w:r>
      <w:r w:rsidR="082B2511" w:rsidRPr="00273106">
        <w:t xml:space="preserve">za téma mimo filosofickou </w:t>
      </w:r>
      <w:r w:rsidR="08C87B16">
        <w:t>disputaci rozumných lidí (kap. 3</w:t>
      </w:r>
      <w:r w:rsidR="082B2511" w:rsidRPr="00273106">
        <w:t>.2). Siger</w:t>
      </w:r>
      <w:r w:rsidR="00E81B79">
        <w:t xml:space="preserve"> z </w:t>
      </w:r>
      <w:r w:rsidR="005E4E29">
        <w:t>Braba</w:t>
      </w:r>
      <w:r w:rsidR="00E81B79">
        <w:t>nt</w:t>
      </w:r>
      <w:r w:rsidR="005E4E29">
        <w:t>u</w:t>
      </w:r>
      <w:r w:rsidR="00E81B79">
        <w:t xml:space="preserve"> </w:t>
      </w:r>
      <w:r w:rsidR="082B2511" w:rsidRPr="00273106">
        <w:t xml:space="preserve">a </w:t>
      </w:r>
      <w:r w:rsidR="00E81B79">
        <w:t xml:space="preserve">Tomáš </w:t>
      </w:r>
      <w:r w:rsidR="082B2511" w:rsidRPr="00273106">
        <w:t xml:space="preserve">Akvinský už </w:t>
      </w:r>
      <w:r w:rsidR="081479E0">
        <w:t>s modernisty mus</w:t>
      </w:r>
      <w:r w:rsidR="005E4E29">
        <w:t>eli disk</w:t>
      </w:r>
      <w:r w:rsidR="081479E0">
        <w:t>utovat</w:t>
      </w:r>
      <w:r w:rsidR="082B2511" w:rsidRPr="00273106">
        <w:t xml:space="preserve">, protože </w:t>
      </w:r>
      <w:r w:rsidR="00332FF0">
        <w:t xml:space="preserve">ti </w:t>
      </w:r>
      <w:r w:rsidR="082B2511" w:rsidRPr="00273106">
        <w:t>založili nový myšlenkový směr</w:t>
      </w:r>
      <w:r w:rsidR="00332FF0">
        <w:t xml:space="preserve"> zhruba </w:t>
      </w:r>
      <w:r w:rsidR="00332FF0" w:rsidRPr="00273106">
        <w:t xml:space="preserve">od </w:t>
      </w:r>
      <w:r w:rsidR="00332FF0">
        <w:t xml:space="preserve">roku </w:t>
      </w:r>
      <w:r w:rsidR="00332FF0" w:rsidRPr="00273106">
        <w:t>1250</w:t>
      </w:r>
      <w:r w:rsidR="00E81B79">
        <w:t xml:space="preserve">. </w:t>
      </w:r>
      <w:r w:rsidR="00332FF0">
        <w:t xml:space="preserve">Jejich škola </w:t>
      </w:r>
      <w:r w:rsidR="082B2511" w:rsidRPr="00273106">
        <w:t>postupně dostal</w:t>
      </w:r>
      <w:r w:rsidR="00332FF0">
        <w:t xml:space="preserve">a </w:t>
      </w:r>
      <w:r w:rsidR="082B2511" w:rsidRPr="00273106">
        <w:t>církevní schválení</w:t>
      </w:r>
      <w:r w:rsidR="082B2511">
        <w:t xml:space="preserve"> a </w:t>
      </w:r>
      <w:r w:rsidR="08395509">
        <w:t xml:space="preserve">od roku 1255 dokonce i </w:t>
      </w:r>
      <w:r w:rsidR="082B2511">
        <w:t>vlastní univerzitní katedru</w:t>
      </w:r>
      <w:r w:rsidR="082B2511" w:rsidRPr="00273106">
        <w:t>.</w:t>
      </w:r>
    </w:p>
    <w:p w14:paraId="5974D153" w14:textId="7906305C" w:rsidR="08055689" w:rsidRDefault="0014654E" w:rsidP="00E507EE">
      <w:pPr>
        <w:ind w:firstLine="397"/>
      </w:pPr>
      <w:r w:rsidRPr="00273106">
        <w:t>Spor mezi oběma školami se nutně dotknul i da</w:t>
      </w:r>
      <w:r>
        <w:t xml:space="preserve">lšího kritického bodu, a tím byla </w:t>
      </w:r>
      <w:r w:rsidR="086E7AEB">
        <w:t xml:space="preserve">scholastická </w:t>
      </w:r>
      <w:r>
        <w:t xml:space="preserve">interpretace spisu CMDA. </w:t>
      </w:r>
      <w:r w:rsidR="00BF4A39">
        <w:t>Hermeneutika obj</w:t>
      </w:r>
      <w:r w:rsidR="00F54CD3">
        <w:t xml:space="preserve">ektivity musí ukázat, </w:t>
      </w:r>
      <w:r w:rsidR="00BF4A39">
        <w:t xml:space="preserve">proč a v čem aristotelská moderna odmítla Averroesovu </w:t>
      </w:r>
      <w:r w:rsidR="0070316E">
        <w:t>aristotelskou metafyziku</w:t>
      </w:r>
      <w:r w:rsidR="08B91962">
        <w:t xml:space="preserve">. Komentátorův korpus byl </w:t>
      </w:r>
      <w:r w:rsidR="0070316E">
        <w:t xml:space="preserve">z velké části </w:t>
      </w:r>
      <w:r w:rsidR="08B91962">
        <w:t>integrován do avicennismu Toledské školy</w:t>
      </w:r>
      <w:r w:rsidR="0070316E">
        <w:t xml:space="preserve">, </w:t>
      </w:r>
      <w:r w:rsidR="00E3634A">
        <w:t>k níž patřil Grosseteste v</w:t>
      </w:r>
      <w:r w:rsidR="00353477">
        <w:t> </w:t>
      </w:r>
      <w:r w:rsidR="00E3634A">
        <w:t>poslední</w:t>
      </w:r>
      <w:r w:rsidR="00353477">
        <w:t xml:space="preserve"> fázi</w:t>
      </w:r>
      <w:r w:rsidR="00E3634A">
        <w:t xml:space="preserve"> pařížské</w:t>
      </w:r>
      <w:r w:rsidR="00353477">
        <w:t>ho</w:t>
      </w:r>
      <w:r w:rsidR="00E3634A">
        <w:t xml:space="preserve"> období</w:t>
      </w:r>
      <w:r w:rsidR="0070316E">
        <w:t xml:space="preserve">. </w:t>
      </w:r>
      <w:r w:rsidR="08B91962">
        <w:t xml:space="preserve">Ale základní problém daný konfliktním vztahem obou </w:t>
      </w:r>
      <w:r w:rsidR="00353477">
        <w:t xml:space="preserve">arabských </w:t>
      </w:r>
      <w:r w:rsidR="08B91962">
        <w:t>metafyzik</w:t>
      </w:r>
      <w:r w:rsidR="00353477">
        <w:t>ů</w:t>
      </w:r>
      <w:r w:rsidR="08B91962">
        <w:t xml:space="preserve"> tím vyřešen nebyl. Integrace Komentátora do Avicenny je nemožná</w:t>
      </w:r>
      <w:r w:rsidR="088149FC">
        <w:t xml:space="preserve"> pro </w:t>
      </w:r>
      <w:r w:rsidR="08B91962">
        <w:t>nekompatib</w:t>
      </w:r>
      <w:r w:rsidR="088149FC">
        <w:t>ilitu jejich základních východis</w:t>
      </w:r>
      <w:r w:rsidR="08B91962">
        <w:t xml:space="preserve">ek. </w:t>
      </w:r>
      <w:r w:rsidR="00AA6CA5" w:rsidRPr="00273106">
        <w:t xml:space="preserve">Předešlý rozbor </w:t>
      </w:r>
      <w:r w:rsidR="00AA6CA5" w:rsidRPr="001D3FBE">
        <w:rPr>
          <w:i/>
        </w:rPr>
        <w:t>Druhých</w:t>
      </w:r>
      <w:r w:rsidR="00AA6CA5">
        <w:t xml:space="preserve"> </w:t>
      </w:r>
      <w:r w:rsidR="00AA6CA5">
        <w:rPr>
          <w:i/>
        </w:rPr>
        <w:t>a</w:t>
      </w:r>
      <w:r w:rsidR="00AA6CA5" w:rsidRPr="001D3FBE">
        <w:rPr>
          <w:i/>
        </w:rPr>
        <w:t>nalytik</w:t>
      </w:r>
      <w:r w:rsidR="00A25E39">
        <w:t xml:space="preserve"> ukázal, že Rufus obhajoval</w:t>
      </w:r>
      <w:r w:rsidR="00AA6CA5" w:rsidRPr="00273106">
        <w:t xml:space="preserve"> existenci jednotliviny jako univerzálního individua</w:t>
      </w:r>
      <w:r w:rsidR="00AA6CA5">
        <w:fldChar w:fldCharType="begin"/>
      </w:r>
      <w:r w:rsidR="00AA6CA5">
        <w:instrText xml:space="preserve"> XE "</w:instrText>
      </w:r>
      <w:r w:rsidR="00AA6CA5" w:rsidRPr="00711DFF">
        <w:instrText>substance:Rufus</w:instrText>
      </w:r>
      <w:r w:rsidR="00AA6CA5">
        <w:instrText xml:space="preserve">" </w:instrText>
      </w:r>
      <w:r w:rsidR="00AA6CA5">
        <w:fldChar w:fldCharType="end"/>
      </w:r>
      <w:r w:rsidR="00AA6CA5" w:rsidRPr="00273106">
        <w:t xml:space="preserve">. </w:t>
      </w:r>
      <w:r w:rsidR="00AA6CA5">
        <w:t>Neoplatonsk</w:t>
      </w:r>
      <w:r w:rsidR="00AA6CA5" w:rsidRPr="00273106">
        <w:t>é formy třetího druhu (</w:t>
      </w:r>
      <w:r w:rsidR="084E3000">
        <w:t xml:space="preserve">OBJ I, </w:t>
      </w:r>
      <w:r w:rsidR="084E7952">
        <w:t>kap. 1.3</w:t>
      </w:r>
      <w:r w:rsidR="00AA6CA5" w:rsidRPr="00273106">
        <w:t>.1), popřípadě Grossetesteho ex</w:t>
      </w:r>
      <w:r w:rsidR="084E3000">
        <w:t>emplary (kap. 3</w:t>
      </w:r>
      <w:r w:rsidR="00AA6CA5" w:rsidRPr="00273106">
        <w:t xml:space="preserve">.1.1) působí jako příčiny na úrovni sublunárních substancí. Rufusova obhajoba singulárního statutu </w:t>
      </w:r>
      <w:r w:rsidR="004B4D52" w:rsidRPr="004B4D52">
        <w:t>species</w:t>
      </w:r>
      <w:r w:rsidR="00AA6CA5" w:rsidRPr="00273106">
        <w:t xml:space="preserve"> se přiklonila na stranu </w:t>
      </w:r>
      <w:r w:rsidR="00AA6CA5">
        <w:t>Platon</w:t>
      </w:r>
      <w:r w:rsidR="00AA6CA5" w:rsidRPr="00273106">
        <w:t>a a Avicenny</w:t>
      </w:r>
      <w:r w:rsidR="08A025EF">
        <w:t xml:space="preserve">. Moderna  se dovolávala </w:t>
      </w:r>
      <w:r w:rsidR="00AA6CA5">
        <w:t>neoplatonsk</w:t>
      </w:r>
      <w:r w:rsidR="00AA6CA5" w:rsidRPr="00273106">
        <w:t>é interpretace Aristotela</w:t>
      </w:r>
      <w:r w:rsidR="08141F8E">
        <w:t xml:space="preserve">, kterou v této době reprezentoval </w:t>
      </w:r>
      <w:r w:rsidR="00AA6CA5">
        <w:t xml:space="preserve">výklad Avicenny </w:t>
      </w:r>
      <w:r w:rsidR="08141F8E">
        <w:t xml:space="preserve">a Komentátora </w:t>
      </w:r>
      <w:r w:rsidR="00AA6CA5">
        <w:t>podle Toledské školy</w:t>
      </w:r>
      <w:r w:rsidR="00AA6CA5" w:rsidRPr="00273106">
        <w:t>.</w:t>
      </w:r>
      <w:r w:rsidR="00AA6CA5">
        <w:t xml:space="preserve"> </w:t>
      </w:r>
      <w:r w:rsidR="00E507EE" w:rsidRPr="00E507EE">
        <w:t xml:space="preserve">Grosseteste, jako autor knihy </w:t>
      </w:r>
      <w:r w:rsidR="00E507EE">
        <w:rPr>
          <w:i/>
        </w:rPr>
        <w:t>De anima et de potenciis eius</w:t>
      </w:r>
      <w:r w:rsidR="00E507EE">
        <w:t xml:space="preserve"> (asi </w:t>
      </w:r>
      <w:r w:rsidR="00E507EE" w:rsidRPr="00273106">
        <w:t>1225)</w:t>
      </w:r>
      <w:r w:rsidR="00E507EE" w:rsidRPr="00E507EE">
        <w:t xml:space="preserve"> byl ak</w:t>
      </w:r>
      <w:r w:rsidR="00E507EE">
        <w:t>tivní v Blundově škole. Odmítl ne</w:t>
      </w:r>
      <w:r w:rsidR="00E507EE" w:rsidRPr="00E507EE">
        <w:t>oplaton</w:t>
      </w:r>
      <w:r w:rsidR="00E507EE">
        <w:t>s</w:t>
      </w:r>
      <w:r w:rsidR="00E507EE" w:rsidRPr="00E507EE">
        <w:t>kou interpretaci v době, kdy Toledská škola vydávala první překlady Averroesova korpusu. Jako učitel františkánů na Oxfordské univerzitě asi o deset let později rozhodně nesouhlasil s opačnými interpretacemi, které předložili</w:t>
      </w:r>
      <w:r w:rsidR="00E507EE">
        <w:t xml:space="preserve"> </w:t>
      </w:r>
      <w:r w:rsidR="00E507EE" w:rsidRPr="00E507EE">
        <w:t xml:space="preserve">mladí </w:t>
      </w:r>
      <w:r w:rsidR="00E507EE" w:rsidRPr="00E507EE">
        <w:rPr>
          <w:i/>
        </w:rPr>
        <w:t>sequaces Aristotelis</w:t>
      </w:r>
      <w:r w:rsidR="00E507EE" w:rsidRPr="00E507EE">
        <w:t xml:space="preserve"> s Rufusem v </w:t>
      </w:r>
      <w:r w:rsidR="00E507EE">
        <w:t>čele</w:t>
      </w:r>
      <w:r w:rsidR="00E507EE" w:rsidRPr="00E507EE">
        <w:t>.</w:t>
      </w:r>
      <w:r w:rsidR="00E507EE">
        <w:t xml:space="preserve"> </w:t>
      </w:r>
      <w:r w:rsidR="08944765">
        <w:t xml:space="preserve">To byl také důvod, proč zakladatel </w:t>
      </w:r>
      <w:r w:rsidR="08944765" w:rsidRPr="0070316E">
        <w:rPr>
          <w:i/>
        </w:rPr>
        <w:t>Oxfordian Fallacy</w:t>
      </w:r>
      <w:r w:rsidR="08944765">
        <w:t xml:space="preserve"> kritizoval mladé modernisty na Oxfordu (</w:t>
      </w:r>
      <w:r w:rsidR="08944765" w:rsidRPr="00DB4716">
        <w:rPr>
          <w:i/>
        </w:rPr>
        <w:t>contra quosdam modernos</w:t>
      </w:r>
      <w:r w:rsidR="084E3000">
        <w:t>, kap. 3</w:t>
      </w:r>
      <w:r w:rsidR="08944765">
        <w:t>.1.2</w:t>
      </w:r>
      <w:r w:rsidR="08944765">
        <w:rPr>
          <w:iCs/>
        </w:rPr>
        <w:t xml:space="preserve">). Tato skupina radikálních akademických iluminátů </w:t>
      </w:r>
      <w:r w:rsidR="08944765">
        <w:t xml:space="preserve">zakládala školu druhého averroismu na Oxfordu někdy roku 1235 a její linie byla v rozporu s Aristotelovou metafyzikou vyloženou </w:t>
      </w:r>
      <w:r w:rsidR="08944765">
        <w:rPr>
          <w:i/>
        </w:rPr>
        <w:t>ad mentem Averrois</w:t>
      </w:r>
      <w:r w:rsidR="08944765">
        <w:rPr>
          <w:i/>
        </w:rPr>
        <w:fldChar w:fldCharType="begin"/>
      </w:r>
      <w:r w:rsidR="08944765">
        <w:instrText xml:space="preserve"> XE "</w:instrText>
      </w:r>
      <w:r w:rsidR="08944765">
        <w:rPr>
          <w:i/>
        </w:rPr>
        <w:instrText>ad mentem Averrois</w:instrText>
      </w:r>
      <w:r w:rsidR="08944765">
        <w:instrText xml:space="preserve">" </w:instrText>
      </w:r>
      <w:r w:rsidR="08944765">
        <w:rPr>
          <w:i/>
        </w:rPr>
        <w:fldChar w:fldCharType="end"/>
      </w:r>
      <w:r w:rsidR="08944765">
        <w:rPr>
          <w:iCs/>
        </w:rPr>
        <w:t>.</w:t>
      </w:r>
      <w:r w:rsidR="08944765">
        <w:t xml:space="preserve"> Zavedení univerzálního hylemorfismu byl filosofický nesmysl i pro klasické avicennisty z Toledské školy. Proto Grosseteste zakročil, aby nebyla ohrožena jednota osoby</w:t>
      </w:r>
      <w:r w:rsidR="088C3DBD">
        <w:t xml:space="preserve"> absolutně nutná pro křesťanskou teologii</w:t>
      </w:r>
      <w:r w:rsidR="08944765">
        <w:t xml:space="preserve">. </w:t>
      </w:r>
      <w:r w:rsidR="0080413D">
        <w:t xml:space="preserve">To je další důvod, proč Rufus a další </w:t>
      </w:r>
      <w:r w:rsidR="00CF3723">
        <w:t xml:space="preserve">bakalářští </w:t>
      </w:r>
      <w:r w:rsidR="0080413D">
        <w:t xml:space="preserve">modernisté byli z Oxfordu </w:t>
      </w:r>
      <w:r w:rsidR="00DF7056">
        <w:t xml:space="preserve">urychleně </w:t>
      </w:r>
      <w:r w:rsidR="0080413D">
        <w:t>pos</w:t>
      </w:r>
      <w:r w:rsidR="00DF7056">
        <w:t xml:space="preserve">láni na </w:t>
      </w:r>
      <w:r w:rsidR="00CF3723">
        <w:t xml:space="preserve">magisterská </w:t>
      </w:r>
      <w:r w:rsidR="00DF7056">
        <w:t>studia</w:t>
      </w:r>
      <w:r w:rsidR="0080413D">
        <w:t xml:space="preserve"> do Paříže</w:t>
      </w:r>
      <w:r w:rsidR="000D0F7B">
        <w:t xml:space="preserve"> někdy po roce 1235</w:t>
      </w:r>
      <w:r w:rsidR="0080413D">
        <w:t xml:space="preserve">. Grosseteste stejně jako kancléř a biskup Alvernus ze školy prvního averroismu nebyl ochoten tolerovat na křesťanské univerzitě </w:t>
      </w:r>
      <w:r w:rsidR="08691548">
        <w:t xml:space="preserve">heretické </w:t>
      </w:r>
      <w:r w:rsidR="0080413D">
        <w:t xml:space="preserve">nauky, které podporovaly </w:t>
      </w:r>
      <w:r w:rsidR="08691548">
        <w:t xml:space="preserve">univoční </w:t>
      </w:r>
      <w:r w:rsidR="0080413D">
        <w:t>ema</w:t>
      </w:r>
      <w:r w:rsidR="00B4790F">
        <w:t xml:space="preserve">nační scénář </w:t>
      </w:r>
      <w:r w:rsidR="08691548">
        <w:t xml:space="preserve">podle univerzálního hylemorfismu </w:t>
      </w:r>
      <w:r w:rsidR="088070DB">
        <w:t xml:space="preserve">aristotelika </w:t>
      </w:r>
      <w:r w:rsidR="08691548">
        <w:t>Davida z Dinantu</w:t>
      </w:r>
      <w:r w:rsidR="088070DB">
        <w:t xml:space="preserve"> </w:t>
      </w:r>
      <w:r w:rsidR="0080413D">
        <w:t xml:space="preserve">a mnohost substancí v člověku. V této kritické linii proti moderně pak pokračoval </w:t>
      </w:r>
      <w:r w:rsidR="08B31DCE">
        <w:t xml:space="preserve">v Oxfordu </w:t>
      </w:r>
      <w:r w:rsidR="0080413D">
        <w:t>jeho fi</w:t>
      </w:r>
      <w:r w:rsidR="08B31DCE">
        <w:t>losofický nástupce Roger Bacon.</w:t>
      </w:r>
      <w:r w:rsidR="08055689">
        <w:t xml:space="preserve"> </w:t>
      </w:r>
      <w:r w:rsidR="00702EB1">
        <w:t>Rufus explicitně tvrdil</w:t>
      </w:r>
      <w:r w:rsidR="0811489C" w:rsidRPr="00273106">
        <w:t xml:space="preserve">, že </w:t>
      </w:r>
      <w:r w:rsidR="0811489C">
        <w:t>Averroes</w:t>
      </w:r>
      <w:r w:rsidR="00702EB1">
        <w:t xml:space="preserve"> se mýlil</w:t>
      </w:r>
      <w:r w:rsidR="0811489C" w:rsidRPr="00273106">
        <w:t xml:space="preserve"> v podstatných bodech Aristotelovy nauky</w:t>
      </w:r>
      <w:r w:rsidR="08055689">
        <w:t>.</w:t>
      </w:r>
      <w:r w:rsidR="00D6798F">
        <w:t xml:space="preserve"> </w:t>
      </w:r>
      <w:r w:rsidR="080B06B4" w:rsidRPr="00273106">
        <w:t>Podejme dva příklady z Rufusových kom</w:t>
      </w:r>
      <w:r w:rsidR="00D6798F">
        <w:t xml:space="preserve">entářů, které se týkají </w:t>
      </w:r>
      <w:r w:rsidR="00C42759">
        <w:t xml:space="preserve">výkladu </w:t>
      </w:r>
      <w:r w:rsidR="00D6798F" w:rsidRPr="00D6798F">
        <w:rPr>
          <w:i/>
        </w:rPr>
        <w:t>M</w:t>
      </w:r>
      <w:r w:rsidR="080B06B4" w:rsidRPr="00D6798F">
        <w:rPr>
          <w:i/>
        </w:rPr>
        <w:t>etafyziky</w:t>
      </w:r>
      <w:r w:rsidR="080B06B4" w:rsidRPr="00273106">
        <w:t xml:space="preserve"> v rozporu s Aristotelem i s Komentátorem. </w:t>
      </w:r>
    </w:p>
    <w:p w14:paraId="718F50EA" w14:textId="60C6037D" w:rsidR="000618FE" w:rsidRPr="00273106" w:rsidRDefault="08055689" w:rsidP="00771708">
      <w:r>
        <w:tab/>
      </w:r>
      <w:r w:rsidR="002E3B62">
        <w:t>Averroes</w:t>
      </w:r>
      <w:r w:rsidR="084A4C58" w:rsidRPr="00273106">
        <w:t xml:space="preserve">ův </w:t>
      </w:r>
      <w:r w:rsidR="00E56EE2" w:rsidRPr="00E56EE2">
        <w:rPr>
          <w:i/>
        </w:rPr>
        <w:t xml:space="preserve">Velký </w:t>
      </w:r>
      <w:r w:rsidR="084A4C58" w:rsidRPr="00E56EE2">
        <w:rPr>
          <w:i/>
        </w:rPr>
        <w:t>komentář k </w:t>
      </w:r>
      <w:r w:rsidR="084A4C58" w:rsidRPr="001D3FBE">
        <w:rPr>
          <w:i/>
        </w:rPr>
        <w:t>Metafyzice</w:t>
      </w:r>
      <w:r w:rsidR="084A4C58" w:rsidRPr="00273106">
        <w:t xml:space="preserve"> a také CMDA váže </w:t>
      </w:r>
      <w:r w:rsidR="00707DCC">
        <w:t xml:space="preserve">predikaci druhé substance </w:t>
      </w:r>
      <w:r w:rsidR="084A4C58" w:rsidRPr="00273106">
        <w:t>na statut první substance dané materiálně.</w:t>
      </w:r>
      <w:r w:rsidR="00900C2F">
        <w:t xml:space="preserve"> </w:t>
      </w:r>
      <w:r w:rsidR="002E3B62">
        <w:t>Averroes</w:t>
      </w:r>
      <w:r w:rsidR="00900C2F">
        <w:t xml:space="preserve"> definuje </w:t>
      </w:r>
      <w:r w:rsidR="00900C2F" w:rsidRPr="00BB154B">
        <w:t>Aristotelovo pojetí individua</w:t>
      </w:r>
      <w:r w:rsidR="00900C2F">
        <w:t>ce výlučně skrze reálnou materii a skrze jednotlivinu jako první substanci.</w:t>
      </w:r>
      <w:r w:rsidR="08373ACC" w:rsidRPr="00273106">
        <w:rPr>
          <w:rStyle w:val="Znakapoznpodarou"/>
        </w:rPr>
        <w:footnoteReference w:id="430"/>
      </w:r>
      <w:r w:rsidR="084A4C58" w:rsidRPr="00273106">
        <w:t xml:space="preserve"> </w:t>
      </w:r>
      <w:r w:rsidR="0040798F">
        <w:t>Pro první averroi</w:t>
      </w:r>
      <w:r w:rsidR="00F432CB">
        <w:t>s</w:t>
      </w:r>
      <w:r w:rsidR="0040798F">
        <w:t xml:space="preserve">mus je jsoucno </w:t>
      </w:r>
      <w:r w:rsidR="08BF39D6" w:rsidRPr="00273106">
        <w:t>numericky odlišné od jiného díky aktuální hylemorf</w:t>
      </w:r>
      <w:r w:rsidR="000A0CF6">
        <w:t>ické existenci. Materiálně daná jedinečnost zakládá</w:t>
      </w:r>
      <w:r w:rsidR="000A0CF6" w:rsidRPr="00273106">
        <w:t xml:space="preserve"> bytí </w:t>
      </w:r>
      <w:r w:rsidR="000A0CF6">
        <w:t xml:space="preserve">první substance </w:t>
      </w:r>
      <w:r w:rsidR="000A0CF6" w:rsidRPr="00273106">
        <w:t>zásadně odlišné od potenciality</w:t>
      </w:r>
      <w:r w:rsidR="000A0CF6">
        <w:t xml:space="preserve"> konceptu</w:t>
      </w:r>
      <w:r w:rsidR="000A0CF6" w:rsidRPr="00273106">
        <w:t xml:space="preserve">. </w:t>
      </w:r>
      <w:r w:rsidR="003B484E">
        <w:t>Následuj</w:t>
      </w:r>
      <w:r w:rsidR="00036C99">
        <w:t>í</w:t>
      </w:r>
      <w:r w:rsidR="003B484E">
        <w:t>cí citát vysvětluje, proč Grosseteste o</w:t>
      </w:r>
      <w:r w:rsidR="00E45340">
        <w:t>dmítl školu mladých současníků</w:t>
      </w:r>
      <w:r w:rsidR="003B484E">
        <w:t xml:space="preserve">, kteří nepochopili </w:t>
      </w:r>
      <w:r w:rsidR="00F8664C">
        <w:t xml:space="preserve">Aristotelovo </w:t>
      </w:r>
      <w:r w:rsidR="003B484E">
        <w:t>učení</w:t>
      </w:r>
      <w:r w:rsidR="00F8664C">
        <w:t>,</w:t>
      </w:r>
      <w:r w:rsidR="003B484E">
        <w:t xml:space="preserve"> a </w:t>
      </w:r>
      <w:r w:rsidR="003B7133">
        <w:t xml:space="preserve">navíc z něj udělali </w:t>
      </w:r>
      <w:r w:rsidR="003B484E">
        <w:t>heretika.</w:t>
      </w:r>
      <w:r w:rsidR="00036C99">
        <w:t xml:space="preserve"> </w:t>
      </w:r>
      <w:r w:rsidR="00273B76">
        <w:t xml:space="preserve">Rufus patří do Alvernem odmítnuté skupiny </w:t>
      </w:r>
      <w:r w:rsidR="00874074">
        <w:t>neoplatonsk</w:t>
      </w:r>
      <w:r w:rsidR="001D3FBE">
        <w:t xml:space="preserve">é skupiny </w:t>
      </w:r>
      <w:r w:rsidR="00273B76" w:rsidRPr="00273B76">
        <w:rPr>
          <w:i/>
        </w:rPr>
        <w:t>sequaces Aristotelis</w:t>
      </w:r>
      <w:r w:rsidR="00A373C1">
        <w:rPr>
          <w:i/>
        </w:rPr>
        <w:fldChar w:fldCharType="begin"/>
      </w:r>
      <w:r w:rsidR="00A373C1">
        <w:instrText xml:space="preserve"> XE "druhý averroismus:</w:instrText>
      </w:r>
      <w:r w:rsidR="00A373C1" w:rsidRPr="00051B0A">
        <w:rPr>
          <w:i/>
        </w:rPr>
        <w:instrText>sequaces Aristotelis</w:instrText>
      </w:r>
      <w:r w:rsidR="00A373C1">
        <w:instrText xml:space="preserve">" </w:instrText>
      </w:r>
      <w:r w:rsidR="00A373C1">
        <w:rPr>
          <w:i/>
        </w:rPr>
        <w:fldChar w:fldCharType="end"/>
      </w:r>
      <w:r w:rsidR="00273B76">
        <w:t xml:space="preserve">, což ukazuje citát z jeho komentáře k </w:t>
      </w:r>
      <w:r w:rsidR="00273B76" w:rsidRPr="001D3FBE">
        <w:rPr>
          <w:i/>
        </w:rPr>
        <w:t>Metafyzice</w:t>
      </w:r>
      <w:r w:rsidR="00273B76">
        <w:t>.</w:t>
      </w:r>
    </w:p>
    <w:p w14:paraId="22201333" w14:textId="7FE56992" w:rsidR="006831E5" w:rsidRPr="00273106" w:rsidRDefault="00107C33" w:rsidP="006831E5">
      <w:pPr>
        <w:pStyle w:val="Citace"/>
        <w:rPr>
          <w:noProof/>
          <w:lang w:val="cs-CZ"/>
        </w:rPr>
      </w:pPr>
      <w:r w:rsidRPr="00273106">
        <w:rPr>
          <w:noProof/>
          <w:lang w:val="cs-CZ"/>
        </w:rPr>
        <w:t>„</w:t>
      </w:r>
      <w:r w:rsidR="008E02F5">
        <w:rPr>
          <w:noProof/>
          <w:lang w:val="cs-CZ"/>
        </w:rPr>
        <w:t>Aristoteles</w:t>
      </w:r>
      <w:r w:rsidR="006831E5" w:rsidRPr="00273106">
        <w:rPr>
          <w:noProof/>
          <w:lang w:val="cs-CZ"/>
        </w:rPr>
        <w:t xml:space="preserve"> polemizoval proti </w:t>
      </w:r>
      <w:r w:rsidR="008E02F5">
        <w:rPr>
          <w:noProof/>
          <w:lang w:val="cs-CZ"/>
        </w:rPr>
        <w:t>Platon</w:t>
      </w:r>
      <w:r w:rsidR="006831E5" w:rsidRPr="00273106">
        <w:rPr>
          <w:noProof/>
          <w:lang w:val="cs-CZ"/>
        </w:rPr>
        <w:t xml:space="preserve">ovi, který dal separovaná </w:t>
      </w:r>
      <w:r w:rsidR="004B4D52" w:rsidRPr="004B4D52">
        <w:rPr>
          <w:noProof/>
          <w:lang w:val="cs-CZ"/>
        </w:rPr>
        <w:t>species</w:t>
      </w:r>
      <w:r w:rsidR="006831E5" w:rsidRPr="00273106">
        <w:rPr>
          <w:noProof/>
          <w:lang w:val="cs-CZ"/>
        </w:rPr>
        <w:t xml:space="preserve"> jako příčiny existence jednotlivin. K tomu tvrdí Komentátor, že materiální jednotlivina může být změněna pouze od materie. Protože </w:t>
      </w:r>
      <w:r w:rsidR="004B4D52" w:rsidRPr="004B4D52">
        <w:rPr>
          <w:noProof/>
          <w:lang w:val="cs-CZ"/>
        </w:rPr>
        <w:t>species</w:t>
      </w:r>
      <w:r w:rsidR="006831E5" w:rsidRPr="00273106">
        <w:rPr>
          <w:noProof/>
          <w:lang w:val="cs-CZ"/>
        </w:rPr>
        <w:t xml:space="preserve"> jsou nemateriální a </w:t>
      </w:r>
      <w:r w:rsidR="00FE16E5" w:rsidRPr="00273106">
        <w:rPr>
          <w:noProof/>
          <w:lang w:val="cs-CZ"/>
        </w:rPr>
        <w:t>jedno</w:t>
      </w:r>
      <w:r w:rsidR="006831E5" w:rsidRPr="00273106">
        <w:rPr>
          <w:noProof/>
          <w:lang w:val="cs-CZ"/>
        </w:rPr>
        <w:t>t</w:t>
      </w:r>
      <w:r w:rsidR="00FE16E5" w:rsidRPr="00273106">
        <w:rPr>
          <w:noProof/>
          <w:lang w:val="cs-CZ"/>
        </w:rPr>
        <w:t>l</w:t>
      </w:r>
      <w:r w:rsidR="006831E5" w:rsidRPr="00273106">
        <w:rPr>
          <w:noProof/>
          <w:lang w:val="cs-CZ"/>
        </w:rPr>
        <w:t xml:space="preserve">iviny materiální, pak </w:t>
      </w:r>
      <w:r w:rsidR="004B4D52" w:rsidRPr="004B4D52">
        <w:rPr>
          <w:noProof/>
          <w:lang w:val="cs-CZ"/>
        </w:rPr>
        <w:t>species</w:t>
      </w:r>
      <w:r w:rsidR="006831E5" w:rsidRPr="00273106">
        <w:rPr>
          <w:noProof/>
          <w:lang w:val="cs-CZ"/>
        </w:rPr>
        <w:t xml:space="preserve"> </w:t>
      </w:r>
      <w:r w:rsidR="00BB4BA8">
        <w:rPr>
          <w:noProof/>
          <w:lang w:val="cs-CZ"/>
        </w:rPr>
        <w:t xml:space="preserve">prý </w:t>
      </w:r>
      <w:r w:rsidR="006831E5" w:rsidRPr="00273106">
        <w:rPr>
          <w:noProof/>
          <w:lang w:val="cs-CZ"/>
        </w:rPr>
        <w:t xml:space="preserve">nemohou měnit jednotliviny. Ale to je mylné.“ </w:t>
      </w:r>
      <w:r w:rsidR="006831E5" w:rsidRPr="00273106">
        <w:rPr>
          <w:rStyle w:val="Znakapoznpodarou"/>
          <w:noProof/>
          <w:lang w:val="cs-CZ"/>
        </w:rPr>
        <w:footnoteReference w:id="431"/>
      </w:r>
    </w:p>
    <w:p w14:paraId="438D5E79" w14:textId="1A64C95F" w:rsidR="008E363D" w:rsidRPr="00273106" w:rsidRDefault="08A17871" w:rsidP="00771708">
      <w:r w:rsidRPr="00273106">
        <w:t>Citát spr</w:t>
      </w:r>
      <w:r w:rsidR="08452992" w:rsidRPr="00273106">
        <w:t>á</w:t>
      </w:r>
      <w:r w:rsidRPr="00273106">
        <w:t xml:space="preserve">vně vidí, že základní spor mezi </w:t>
      </w:r>
      <w:r w:rsidR="008E02F5">
        <w:t>Platon</w:t>
      </w:r>
      <w:r w:rsidRPr="00273106">
        <w:t>em a Aristot</w:t>
      </w:r>
      <w:r w:rsidR="08D82313" w:rsidRPr="00273106">
        <w:t>e</w:t>
      </w:r>
      <w:r w:rsidRPr="00273106">
        <w:t>lem se vede o subsistenci univerzálních idejí jako samosta</w:t>
      </w:r>
      <w:r w:rsidR="00FE16E5" w:rsidRPr="00273106">
        <w:t>t</w:t>
      </w:r>
      <w:r w:rsidRPr="00273106">
        <w:t>ných substancí</w:t>
      </w:r>
      <w:r w:rsidR="004D7CAF">
        <w:t>.</w:t>
      </w:r>
      <w:r w:rsidR="00273B76">
        <w:t xml:space="preserve"> </w:t>
      </w:r>
      <w:r w:rsidR="004D7CAF">
        <w:t xml:space="preserve">Univerzália </w:t>
      </w:r>
      <w:r w:rsidRPr="00273106">
        <w:t xml:space="preserve">podle </w:t>
      </w:r>
      <w:r w:rsidR="008E02F5">
        <w:t>Platon</w:t>
      </w:r>
      <w:r w:rsidRPr="00273106">
        <w:t>a kauzálně působ</w:t>
      </w:r>
      <w:r w:rsidR="004D7CAF">
        <w:t>í</w:t>
      </w:r>
      <w:r w:rsidRPr="00273106">
        <w:t xml:space="preserve"> v </w:t>
      </w:r>
      <w:r w:rsidR="00FE16E5" w:rsidRPr="00273106">
        <w:t xml:space="preserve">materiální </w:t>
      </w:r>
      <w:r w:rsidRPr="00273106">
        <w:t>realitě (</w:t>
      </w:r>
      <w:r w:rsidR="004B4D52" w:rsidRPr="004B4D52">
        <w:t>species</w:t>
      </w:r>
      <w:r w:rsidRPr="00273106">
        <w:rPr>
          <w:i/>
        </w:rPr>
        <w:t xml:space="preserve"> separatas esse causas singularium</w:t>
      </w:r>
      <w:r w:rsidRPr="00273106">
        <w:t xml:space="preserve">). </w:t>
      </w:r>
      <w:r w:rsidR="00FB6778">
        <w:t xml:space="preserve">Tento platonismus je pro aristoteliky naprosto nepřijatelný. </w:t>
      </w:r>
      <w:r w:rsidR="002E3B62">
        <w:t>Averroes</w:t>
      </w:r>
      <w:r w:rsidR="006D3BB0" w:rsidRPr="00273106">
        <w:t xml:space="preserve"> trvá na oddělení </w:t>
      </w:r>
      <w:r w:rsidR="004B4D52" w:rsidRPr="004B4D52">
        <w:t>species</w:t>
      </w:r>
      <w:r w:rsidR="006D3BB0" w:rsidRPr="00273106">
        <w:t xml:space="preserve"> daných v mysli od fyziká</w:t>
      </w:r>
      <w:r w:rsidR="086B60F7" w:rsidRPr="00273106">
        <w:t>l</w:t>
      </w:r>
      <w:r w:rsidR="006D3BB0" w:rsidRPr="00273106">
        <w:t>ního působení materiálně daných těles</w:t>
      </w:r>
      <w:r w:rsidR="0092151D">
        <w:t xml:space="preserve">. </w:t>
      </w:r>
      <w:r w:rsidR="00C5241D">
        <w:t xml:space="preserve">Rufus </w:t>
      </w:r>
      <w:r w:rsidR="0092151D">
        <w:t xml:space="preserve">velice </w:t>
      </w:r>
      <w:r w:rsidR="00C5241D">
        <w:t xml:space="preserve">dobře </w:t>
      </w:r>
      <w:r w:rsidR="0092151D">
        <w:t xml:space="preserve">znal tuto skutečnost </w:t>
      </w:r>
      <w:r w:rsidR="006D3BB0" w:rsidRPr="00273106">
        <w:t>(</w:t>
      </w:r>
      <w:r w:rsidR="006D3BB0" w:rsidRPr="00273106">
        <w:rPr>
          <w:i/>
        </w:rPr>
        <w:t>non poterunt singularia transmutari a speciebus</w:t>
      </w:r>
      <w:r w:rsidR="006D3BB0" w:rsidRPr="00273106">
        <w:t xml:space="preserve">). </w:t>
      </w:r>
      <w:r w:rsidR="00961561">
        <w:t xml:space="preserve">Rufus odmítá </w:t>
      </w:r>
      <w:r w:rsidR="002E3B62">
        <w:t>Averroes</w:t>
      </w:r>
      <w:r w:rsidR="00961561">
        <w:t>ovu pozici, která se staví za autentického Aristotela a zásadně odmítá jakékoliv koncepty jsoucna třetího druhu</w:t>
      </w:r>
      <w:r w:rsidR="00EE5D8E">
        <w:fldChar w:fldCharType="begin"/>
      </w:r>
      <w:r w:rsidR="00EE5D8E">
        <w:instrText xml:space="preserve"> XE "</w:instrText>
      </w:r>
      <w:r w:rsidR="00EE5D8E" w:rsidRPr="00EE5D8E">
        <w:rPr>
          <w:i/>
        </w:rPr>
        <w:instrText>tertium ens</w:instrText>
      </w:r>
      <w:r w:rsidR="00EE5D8E" w:rsidRPr="000C08AB">
        <w:instrText>:Rufus</w:instrText>
      </w:r>
      <w:r w:rsidR="00EE5D8E">
        <w:instrText xml:space="preserve">" </w:instrText>
      </w:r>
      <w:r w:rsidR="00EE5D8E">
        <w:fldChar w:fldCharType="end"/>
      </w:r>
      <w:r w:rsidR="00961561">
        <w:t>. P</w:t>
      </w:r>
      <w:r w:rsidR="00C5241D">
        <w:t xml:space="preserve">rvní modernista </w:t>
      </w:r>
      <w:r w:rsidR="00A340A4">
        <w:t xml:space="preserve">má zásadní problémy s aristotelským </w:t>
      </w:r>
      <w:r w:rsidR="006D3BB0" w:rsidRPr="00273106">
        <w:t>rozdělením reality</w:t>
      </w:r>
      <w:r w:rsidR="08452992" w:rsidRPr="00273106">
        <w:t xml:space="preserve"> </w:t>
      </w:r>
      <w:r w:rsidR="005723EE">
        <w:t xml:space="preserve">na aktuální </w:t>
      </w:r>
      <w:r w:rsidR="005723EE" w:rsidRPr="00273106">
        <w:t xml:space="preserve">jsoucno </w:t>
      </w:r>
      <w:r w:rsidR="005723EE">
        <w:t>dané reálně</w:t>
      </w:r>
      <w:r w:rsidR="08D00420" w:rsidRPr="00273106">
        <w:t xml:space="preserve"> a </w:t>
      </w:r>
      <w:r w:rsidR="00583E9E" w:rsidRPr="00273106">
        <w:t xml:space="preserve">na </w:t>
      </w:r>
      <w:r w:rsidR="08D00420" w:rsidRPr="00273106">
        <w:t xml:space="preserve">ideální </w:t>
      </w:r>
      <w:r w:rsidR="085618FB" w:rsidRPr="00273106">
        <w:t xml:space="preserve">jsoucno </w:t>
      </w:r>
      <w:r w:rsidR="00583E9E" w:rsidRPr="00273106">
        <w:t xml:space="preserve">dané pouze potenciálně </w:t>
      </w:r>
      <w:r w:rsidR="08452992" w:rsidRPr="00273106">
        <w:t>(</w:t>
      </w:r>
      <w:r w:rsidR="08452992" w:rsidRPr="00273106">
        <w:rPr>
          <w:i/>
        </w:rPr>
        <w:t>hoc vide</w:t>
      </w:r>
      <w:r w:rsidR="00AE2D97">
        <w:rPr>
          <w:i/>
        </w:rPr>
        <w:t>t</w:t>
      </w:r>
      <w:r w:rsidR="08452992" w:rsidRPr="00273106">
        <w:rPr>
          <w:i/>
        </w:rPr>
        <w:t>ur falsum</w:t>
      </w:r>
      <w:r w:rsidR="08452992" w:rsidRPr="00273106">
        <w:t>)</w:t>
      </w:r>
      <w:r w:rsidR="006D3BB0" w:rsidRPr="00273106">
        <w:t xml:space="preserve">. </w:t>
      </w:r>
      <w:r w:rsidR="00E85961">
        <w:t>Numerická odlišnost substancí je dána na úrovni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E85961">
        <w:t>, protože číslo má kauzální působnost a vystupuje jako jeden z principů individuace. Aritmetický počet (</w:t>
      </w:r>
      <w:r w:rsidR="00E85961" w:rsidRPr="00273106">
        <w:rPr>
          <w:i/>
        </w:rPr>
        <w:t>numerus mathematicus</w:t>
      </w:r>
      <w:r w:rsidR="00E85961">
        <w:t>) se stal</w:t>
      </w:r>
      <w:r w:rsidR="00E85961" w:rsidRPr="00273106">
        <w:t xml:space="preserve"> formou</w:t>
      </w:r>
      <w:r w:rsidR="00E85961">
        <w:t xml:space="preserve"> obsaženou </w:t>
      </w:r>
      <w:r w:rsidR="00E85961" w:rsidRPr="00273106">
        <w:t>ve věcech</w:t>
      </w:r>
      <w:r w:rsidR="00E85961">
        <w:t>. Číslo se stalo novým jsoucnem třetího druhu navázané na porretánské individuum</w:t>
      </w:r>
      <w:r w:rsidR="00226E24">
        <w:t xml:space="preserve"> </w:t>
      </w:r>
      <w:r w:rsidR="00226E24" w:rsidRPr="00273106">
        <w:t>(</w:t>
      </w:r>
      <w:r w:rsidR="00226E24" w:rsidRPr="00273106">
        <w:rPr>
          <w:i/>
        </w:rPr>
        <w:t>habet esse in rebus</w:t>
      </w:r>
      <w:r w:rsidR="080B06B4">
        <w:t>, kap. 3</w:t>
      </w:r>
      <w:r w:rsidR="00226E24" w:rsidRPr="00BC46FC">
        <w:t>.3.2</w:t>
      </w:r>
      <w:r w:rsidR="00226E24" w:rsidRPr="00273106">
        <w:t>)</w:t>
      </w:r>
      <w:r w:rsidR="004577E5">
        <w:rPr>
          <w:i/>
        </w:rPr>
        <w:fldChar w:fldCharType="begin"/>
      </w:r>
      <w:r w:rsidR="004577E5">
        <w:instrText xml:space="preserve"> XE "substance:numerická" </w:instrText>
      </w:r>
      <w:r w:rsidR="004577E5">
        <w:rPr>
          <w:i/>
        </w:rPr>
        <w:fldChar w:fldCharType="end"/>
      </w:r>
      <w:r w:rsidR="00E85961">
        <w:t xml:space="preserve">. </w:t>
      </w:r>
      <w:r w:rsidR="0021038D">
        <w:t>Rufusova j</w:t>
      </w:r>
      <w:r w:rsidR="0021038D" w:rsidRPr="00273106">
        <w:t xml:space="preserve">ednota daná matematicky zakládá identitu aktuálně existujících složenin a proto je dána v </w:t>
      </w:r>
      <w:r w:rsidR="08CC60E6">
        <w:t xml:space="preserve">primárním </w:t>
      </w:r>
      <w:r w:rsidR="0021038D" w:rsidRPr="00273106">
        <w:t>modu vůči reálným prvním substancím</w:t>
      </w:r>
      <w:r w:rsidR="08CC60E6">
        <w:t xml:space="preserve"> (</w:t>
      </w:r>
      <w:r w:rsidR="08CC60E6" w:rsidRPr="08CC60E6">
        <w:rPr>
          <w:rStyle w:val="linemarker-marked-line"/>
          <w:i/>
        </w:rPr>
        <w:t>numerus a priori secundum naturam causatur quam in aggregando, et sic ipsum prius est secundum naturam</w:t>
      </w:r>
      <w:r w:rsidR="08CC60E6">
        <w:rPr>
          <w:rStyle w:val="linemarker-marked-line"/>
        </w:rPr>
        <w:t xml:space="preserve">, </w:t>
      </w:r>
      <w:r w:rsidR="08CC60E6" w:rsidRPr="00273106">
        <w:rPr>
          <w:i/>
        </w:rPr>
        <w:t>In APos</w:t>
      </w:r>
      <w:r w:rsidR="08CC60E6" w:rsidRPr="00273106">
        <w:t xml:space="preserve"> </w:t>
      </w:r>
      <w:r w:rsidR="08CC60E6" w:rsidRPr="00273106">
        <w:rPr>
          <w:rStyle w:val="TextpoznpodarouChar"/>
        </w:rPr>
        <w:t>1.</w:t>
      </w:r>
      <w:r w:rsidR="08CC60E6" w:rsidRPr="00273106">
        <w:rPr>
          <w:rStyle w:val="linemarker-marked-line"/>
        </w:rPr>
        <w:t>3.S4.ad5</w:t>
      </w:r>
      <w:r w:rsidR="08CC60E6">
        <w:rPr>
          <w:rStyle w:val="linemarker-marked-line"/>
        </w:rPr>
        <w:fldChar w:fldCharType="begin"/>
      </w:r>
      <w:r w:rsidR="08CC60E6">
        <w:instrText xml:space="preserve"> XE "Rufus:</w:instrText>
      </w:r>
      <w:r w:rsidR="08CC60E6" w:rsidRPr="00825095">
        <w:rPr>
          <w:i/>
        </w:rPr>
        <w:instrText>In APos</w:instrText>
      </w:r>
      <w:r w:rsidR="08CC60E6" w:rsidRPr="00825095">
        <w:instrText xml:space="preserve"> </w:instrText>
      </w:r>
      <w:r w:rsidR="08CC60E6" w:rsidRPr="00825095">
        <w:rPr>
          <w:rStyle w:val="TextpoznpodarouChar"/>
        </w:rPr>
        <w:instrText>1.</w:instrText>
      </w:r>
      <w:r w:rsidR="08CC60E6" w:rsidRPr="00825095">
        <w:rPr>
          <w:rStyle w:val="linemarker-marked-line"/>
        </w:rPr>
        <w:instrText>3.S4.ad5</w:instrText>
      </w:r>
      <w:r w:rsidR="08CC60E6">
        <w:instrText xml:space="preserve">" </w:instrText>
      </w:r>
      <w:r w:rsidR="08CC60E6">
        <w:rPr>
          <w:rStyle w:val="linemarker-marked-line"/>
        </w:rPr>
        <w:fldChar w:fldCharType="end"/>
      </w:r>
      <w:r w:rsidR="08CC60E6">
        <w:t>)</w:t>
      </w:r>
      <w:r w:rsidR="0021038D" w:rsidRPr="00273106">
        <w:rPr>
          <w:rStyle w:val="linemarker-marked-line"/>
        </w:rPr>
        <w:t xml:space="preserve">. </w:t>
      </w:r>
      <w:r w:rsidR="0021038D" w:rsidRPr="00273106">
        <w:t>Matematická individualizace daná numericky</w:t>
      </w:r>
      <w:r w:rsidR="0813449D">
        <w:rPr>
          <w:i/>
        </w:rPr>
        <w:fldChar w:fldCharType="begin"/>
      </w:r>
      <w:r w:rsidR="0813449D">
        <w:instrText xml:space="preserve"> XE "substance:numerická" </w:instrText>
      </w:r>
      <w:r w:rsidR="0813449D">
        <w:rPr>
          <w:i/>
        </w:rPr>
        <w:fldChar w:fldCharType="end"/>
      </w:r>
      <w:r w:rsidR="0021038D" w:rsidRPr="00273106">
        <w:t xml:space="preserve"> je podle Rufuse jedinečná ve smyslu hylemorfické jednotliviny. </w:t>
      </w:r>
      <w:r w:rsidR="0034178B" w:rsidRPr="00273106">
        <w:t xml:space="preserve">Odmítnutí jednoty </w:t>
      </w:r>
      <w:r w:rsidR="00400071" w:rsidRPr="00273106">
        <w:t xml:space="preserve">první substance </w:t>
      </w:r>
      <w:r w:rsidR="0034178B" w:rsidRPr="00273106">
        <w:t xml:space="preserve">dané materiálně a aktuálně </w:t>
      </w:r>
      <w:r w:rsidR="008E363D" w:rsidRPr="00273106">
        <w:t>u</w:t>
      </w:r>
      <w:r w:rsidR="084829A7" w:rsidRPr="00273106">
        <w:t xml:space="preserve">kazuje následující část výkladu kritizující pojetí </w:t>
      </w:r>
      <w:r w:rsidR="002E3B62">
        <w:t>Averroes</w:t>
      </w:r>
      <w:r w:rsidR="084829A7" w:rsidRPr="00273106">
        <w:t>e.</w:t>
      </w:r>
    </w:p>
    <w:p w14:paraId="216E24B8" w14:textId="748B8F84" w:rsidR="00583E9E" w:rsidRPr="00273106" w:rsidRDefault="00087246" w:rsidP="00583E9E">
      <w:pPr>
        <w:pStyle w:val="Citace"/>
        <w:rPr>
          <w:noProof/>
          <w:lang w:val="cs-CZ"/>
        </w:rPr>
      </w:pPr>
      <w:r w:rsidRPr="00273106">
        <w:rPr>
          <w:rStyle w:val="yellow"/>
          <w:noProof/>
          <w:lang w:val="cs-CZ"/>
        </w:rPr>
        <w:t>„</w:t>
      </w:r>
      <w:r w:rsidR="00583E9E" w:rsidRPr="00273106">
        <w:rPr>
          <w:rStyle w:val="yellow"/>
          <w:noProof/>
          <w:lang w:val="cs-CZ"/>
        </w:rPr>
        <w:t xml:space="preserve">Výklad Komentátora ale předtím pravil opak, protože materiální princip si přes všechny variace a proměny v materii a v substanci podržuje stejnou numerickou totožnost </w:t>
      </w:r>
      <w:r w:rsidR="00921C38">
        <w:rPr>
          <w:rStyle w:val="yellow"/>
          <w:noProof/>
          <w:lang w:val="cs-CZ"/>
        </w:rPr>
        <w:t>(</w:t>
      </w:r>
      <w:r w:rsidR="00921C38" w:rsidRPr="00921C38">
        <w:rPr>
          <w:i/>
        </w:rPr>
        <w:t>idem numero prius resoluto</w:t>
      </w:r>
      <w:r w:rsidR="00921C38">
        <w:rPr>
          <w:rStyle w:val="yellow"/>
          <w:noProof/>
          <w:lang w:val="cs-CZ"/>
        </w:rPr>
        <w:t>)</w:t>
      </w:r>
      <w:r w:rsidR="00D4634D">
        <w:rPr>
          <w:rStyle w:val="yellow"/>
          <w:noProof/>
          <w:lang w:val="cs-CZ"/>
        </w:rPr>
        <w:t xml:space="preserve">. Pak by </w:t>
      </w:r>
      <w:r w:rsidR="00583E9E" w:rsidRPr="00273106">
        <w:rPr>
          <w:rStyle w:val="yellow"/>
          <w:noProof/>
          <w:lang w:val="cs-CZ"/>
        </w:rPr>
        <w:t xml:space="preserve">princip </w:t>
      </w:r>
      <w:r w:rsidR="002B0B02" w:rsidRPr="00273106">
        <w:rPr>
          <w:rStyle w:val="yellow"/>
          <w:noProof/>
          <w:lang w:val="cs-CZ"/>
        </w:rPr>
        <w:t xml:space="preserve">věci </w:t>
      </w:r>
      <w:r w:rsidR="00583E9E" w:rsidRPr="00273106">
        <w:rPr>
          <w:rStyle w:val="yellow"/>
          <w:noProof/>
          <w:lang w:val="cs-CZ"/>
        </w:rPr>
        <w:t>neměl stejnou totožnost</w:t>
      </w:r>
      <w:r w:rsidR="00D4634D">
        <w:rPr>
          <w:rStyle w:val="yellow"/>
          <w:noProof/>
          <w:lang w:val="cs-CZ"/>
        </w:rPr>
        <w:t xml:space="preserve"> jako materiální věc</w:t>
      </w:r>
      <w:r w:rsidR="00583E9E" w:rsidRPr="00273106">
        <w:rPr>
          <w:rStyle w:val="yellow"/>
          <w:noProof/>
          <w:lang w:val="cs-CZ"/>
        </w:rPr>
        <w:t>, což považuji za mylné</w:t>
      </w:r>
      <w:r w:rsidR="08CC41F4">
        <w:rPr>
          <w:rStyle w:val="yellow"/>
          <w:noProof/>
          <w:lang w:val="cs-CZ"/>
        </w:rPr>
        <w:t xml:space="preserve"> (</w:t>
      </w:r>
      <w:r w:rsidR="08CC41F4" w:rsidRPr="08CC41F4">
        <w:rPr>
          <w:i/>
        </w:rPr>
        <w:t>hoc sit falsum, ut credo</w:t>
      </w:r>
      <w:r w:rsidR="08CC41F4">
        <w:rPr>
          <w:rStyle w:val="yellow"/>
          <w:noProof/>
          <w:lang w:val="cs-CZ"/>
        </w:rPr>
        <w:t>)</w:t>
      </w:r>
      <w:r w:rsidR="00583E9E" w:rsidRPr="00273106">
        <w:rPr>
          <w:rStyle w:val="yellow"/>
          <w:noProof/>
          <w:lang w:val="cs-CZ"/>
        </w:rPr>
        <w:t xml:space="preserve">.“ </w:t>
      </w:r>
      <w:r w:rsidR="00583E9E" w:rsidRPr="00273106">
        <w:rPr>
          <w:rStyle w:val="Znakapoznpodarou"/>
          <w:noProof/>
          <w:lang w:val="cs-CZ"/>
        </w:rPr>
        <w:footnoteReference w:id="432"/>
      </w:r>
    </w:p>
    <w:p w14:paraId="321ABBBD" w14:textId="301C9B51" w:rsidR="007C41B8" w:rsidRDefault="002E3B62" w:rsidP="002221D4">
      <w:r>
        <w:t>Averroes</w:t>
      </w:r>
      <w:r w:rsidR="007B279F" w:rsidRPr="00273106">
        <w:t xml:space="preserve"> prý nemá pravdu, když tvrdí, že individuaci určuje pouze hyleformická složenina daná v reálu. </w:t>
      </w:r>
      <w:r w:rsidR="000874D8" w:rsidRPr="00273106">
        <w:t xml:space="preserve">Rufus nemá jednotu </w:t>
      </w:r>
      <w:r w:rsidR="00A2479C">
        <w:t>„</w:t>
      </w:r>
      <w:r w:rsidR="000874D8" w:rsidRPr="00273106">
        <w:rPr>
          <w:i/>
        </w:rPr>
        <w:t>ipse</w:t>
      </w:r>
      <w:r w:rsidR="00A2479C">
        <w:t>“</w:t>
      </w:r>
      <w:r w:rsidR="000874D8" w:rsidRPr="00273106">
        <w:t xml:space="preserve"> danou subsistencí reálné substance, ale </w:t>
      </w:r>
      <w:r w:rsidR="08BE06C0" w:rsidRPr="00273106">
        <w:t xml:space="preserve">moderní matematickou </w:t>
      </w:r>
      <w:r w:rsidR="000874D8" w:rsidRPr="00273106">
        <w:t xml:space="preserve">jednotu </w:t>
      </w:r>
      <w:r w:rsidR="00A2479C">
        <w:t>„</w:t>
      </w:r>
      <w:r w:rsidR="000874D8" w:rsidRPr="00273106">
        <w:rPr>
          <w:i/>
        </w:rPr>
        <w:t>idem</w:t>
      </w:r>
      <w:r w:rsidR="00A2479C">
        <w:t>“. Ta je dána</w:t>
      </w:r>
      <w:r w:rsidR="000874D8" w:rsidRPr="00273106">
        <w:t xml:space="preserve"> dělením </w:t>
      </w:r>
      <w:r w:rsidR="004B4D52" w:rsidRPr="00A2479C">
        <w:rPr>
          <w:i/>
        </w:rPr>
        <w:t>species</w:t>
      </w:r>
      <w:r w:rsidR="000874D8"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0874D8" w:rsidRPr="00273106">
        <w:t xml:space="preserve"> až k atomární jednotce dále nedělitelného </w:t>
      </w:r>
      <w:r w:rsidR="00A2479C">
        <w:t xml:space="preserve">elementu </w:t>
      </w:r>
      <w:r w:rsidR="000874D8" w:rsidRPr="00273106">
        <w:t>(</w:t>
      </w:r>
      <w:r w:rsidR="000874D8" w:rsidRPr="00273106">
        <w:rPr>
          <w:i/>
        </w:rPr>
        <w:t>individuum</w:t>
      </w:r>
      <w:r w:rsidR="000874D8" w:rsidRPr="00273106">
        <w:t xml:space="preserve">). </w:t>
      </w:r>
      <w:r w:rsidR="008D658C" w:rsidRPr="00273106">
        <w:t xml:space="preserve">Numerická identita </w:t>
      </w:r>
      <w:r w:rsidR="003A2EDD">
        <w:t xml:space="preserve">je </w:t>
      </w:r>
      <w:r w:rsidR="008D658C">
        <w:t xml:space="preserve">daná porretánským dělením na atomární substanci </w:t>
      </w:r>
      <w:r w:rsidR="008D658C" w:rsidRPr="00273106">
        <w:t>(</w:t>
      </w:r>
      <w:r w:rsidR="008D658C" w:rsidRPr="00273106">
        <w:rPr>
          <w:i/>
        </w:rPr>
        <w:t>in idem numero prius resoluto</w:t>
      </w:r>
      <w:r w:rsidR="008D658C" w:rsidRPr="00273106">
        <w:t>)</w:t>
      </w:r>
      <w:r w:rsidR="003A2EDD">
        <w:t xml:space="preserve">. </w:t>
      </w:r>
      <w:r w:rsidR="0092106B">
        <w:t xml:space="preserve">Moderní </w:t>
      </w:r>
      <w:r w:rsidR="0092106B" w:rsidRPr="0092106B">
        <w:rPr>
          <w:i/>
        </w:rPr>
        <w:t>i</w:t>
      </w:r>
      <w:r w:rsidR="003A2EDD" w:rsidRPr="0092106B">
        <w:rPr>
          <w:i/>
        </w:rPr>
        <w:t>ndividuum</w:t>
      </w:r>
      <w:r w:rsidR="003A2EDD">
        <w:t xml:space="preserve"> </w:t>
      </w:r>
      <w:r w:rsidR="00B46324">
        <w:t xml:space="preserve">Rufuse </w:t>
      </w:r>
      <w:r w:rsidR="003C1F74">
        <w:t xml:space="preserve">tím </w:t>
      </w:r>
      <w:r w:rsidR="003A2EDD">
        <w:t>dostalo</w:t>
      </w:r>
      <w:r w:rsidR="008D658C">
        <w:t xml:space="preserve"> stejný metafyzický statut </w:t>
      </w:r>
      <w:r w:rsidR="008D658C" w:rsidRPr="00273106">
        <w:t xml:space="preserve">jako </w:t>
      </w:r>
      <w:r w:rsidR="003A2EDD">
        <w:t xml:space="preserve">hyparchické </w:t>
      </w:r>
      <w:r w:rsidR="008D658C" w:rsidRPr="00273106">
        <w:t>substance (</w:t>
      </w:r>
      <w:r w:rsidR="008D658C" w:rsidRPr="001653F2">
        <w:rPr>
          <w:i/>
        </w:rPr>
        <w:t>in ipso quae sunt substantiales</w:t>
      </w:r>
      <w:r w:rsidR="008D658C" w:rsidRPr="00273106">
        <w:t>).</w:t>
      </w:r>
      <w:r w:rsidR="008D658C">
        <w:t xml:space="preserve"> </w:t>
      </w:r>
      <w:r w:rsidR="009809F6">
        <w:t>I</w:t>
      </w:r>
      <w:r w:rsidR="00400071" w:rsidRPr="00273106">
        <w:t xml:space="preserve">ndividuaci </w:t>
      </w:r>
      <w:r w:rsidR="00B60AA9" w:rsidRPr="00273106">
        <w:t>pod</w:t>
      </w:r>
      <w:r w:rsidR="00663D8D" w:rsidRPr="00273106">
        <w:t>l</w:t>
      </w:r>
      <w:r w:rsidR="00B60AA9" w:rsidRPr="00273106">
        <w:t>e</w:t>
      </w:r>
      <w:r w:rsidR="00663D8D" w:rsidRPr="00273106">
        <w:t xml:space="preserve"> Rufuse </w:t>
      </w:r>
      <w:r w:rsidR="001F0F79">
        <w:t xml:space="preserve">tvoří univerzálně-individuální </w:t>
      </w:r>
      <w:r w:rsidR="00400071" w:rsidRPr="00273106">
        <w:t xml:space="preserve">pojem čísla jako posledního a dále nedělitelného základu reality. </w:t>
      </w:r>
      <w:r w:rsidR="00E516AE">
        <w:t xml:space="preserve">Jsoucno je v řádu logické abstrakce </w:t>
      </w:r>
      <w:r w:rsidR="00C35B9E">
        <w:t>a skrze matematický počet (</w:t>
      </w:r>
      <w:r w:rsidR="00C35B9E" w:rsidRPr="00C35B9E">
        <w:rPr>
          <w:i/>
        </w:rPr>
        <w:t>numerus</w:t>
      </w:r>
      <w:r w:rsidR="00C35B9E">
        <w:t xml:space="preserve">) </w:t>
      </w:r>
      <w:r w:rsidR="00E516AE">
        <w:t>jedno</w:t>
      </w:r>
      <w:r w:rsidR="00C35B9E">
        <w:t xml:space="preserve"> a totéž</w:t>
      </w:r>
      <w:r w:rsidR="003D2D34">
        <w:t xml:space="preserve">; </w:t>
      </w:r>
      <w:r w:rsidR="00E516AE">
        <w:t xml:space="preserve">tím </w:t>
      </w:r>
      <w:r w:rsidR="00A340A4">
        <w:t xml:space="preserve">je </w:t>
      </w:r>
      <w:r w:rsidR="00E516AE">
        <w:t xml:space="preserve">identické samo se sebou. Metafyzická abstrakce </w:t>
      </w:r>
      <w:r w:rsidR="087A44E0">
        <w:t xml:space="preserve">podaná v předešlých výkladech </w:t>
      </w:r>
      <w:r w:rsidR="00E516AE">
        <w:t>jasně rozlišuje matematickou</w:t>
      </w:r>
      <w:r w:rsidR="00774818">
        <w:t xml:space="preserve"> identitu a metafyzickou ipseitu</w:t>
      </w:r>
      <w:r w:rsidR="00E516AE">
        <w:t xml:space="preserve"> věci. Jen ipseita je v reálu dána </w:t>
      </w:r>
      <w:r w:rsidR="00E516AE" w:rsidRPr="00E516AE">
        <w:rPr>
          <w:i/>
        </w:rPr>
        <w:t>per se</w:t>
      </w:r>
      <w:r w:rsidR="00E516AE">
        <w:t xml:space="preserve"> a </w:t>
      </w:r>
      <w:r w:rsidR="00E516AE" w:rsidRPr="00E516AE">
        <w:rPr>
          <w:i/>
        </w:rPr>
        <w:t>sim</w:t>
      </w:r>
      <w:r w:rsidR="00E516AE">
        <w:rPr>
          <w:i/>
        </w:rPr>
        <w:t>p</w:t>
      </w:r>
      <w:r w:rsidR="00E516AE" w:rsidRPr="00E516AE">
        <w:rPr>
          <w:i/>
        </w:rPr>
        <w:t>liciter</w:t>
      </w:r>
      <w:r w:rsidR="08C617DE">
        <w:t xml:space="preserve"> </w:t>
      </w:r>
      <w:r w:rsidR="00E516AE">
        <w:t xml:space="preserve">jedinečně-aktuálně, což v žádném případě neplatí pro potenciálně-univerzální identitu danou numericky. </w:t>
      </w:r>
      <w:r w:rsidR="00C645C8" w:rsidRPr="00C645C8">
        <w:t>Metafyzická individuace provedená na základě mater</w:t>
      </w:r>
      <w:r w:rsidR="00C645C8">
        <w:t>ie není v žádném případě stejný</w:t>
      </w:r>
      <w:r w:rsidR="00C645C8" w:rsidRPr="00C645C8">
        <w:t xml:space="preserve"> koncept jako logická individuace provedená logickou abstrakcí. Dvě jablka nejsou stejná</w:t>
      </w:r>
      <w:r w:rsidR="00C645C8">
        <w:t xml:space="preserve"> jako číslo „dvě“</w:t>
      </w:r>
      <w:r w:rsidR="00C645C8" w:rsidRPr="00C645C8">
        <w:t>, které je predikováno na neexistující</w:t>
      </w:r>
      <w:r w:rsidR="00C645C8">
        <w:t xml:space="preserve"> „jablko“</w:t>
      </w:r>
      <w:r w:rsidR="00C645C8" w:rsidRPr="00C645C8">
        <w:t xml:space="preserve"> jako abstraktní individuum.</w:t>
      </w:r>
      <w:r w:rsidR="00C645C8">
        <w:t xml:space="preserve"> </w:t>
      </w:r>
      <w:r w:rsidR="00C7018F">
        <w:t xml:space="preserve">Metafyzická impozice není logická supozice. </w:t>
      </w:r>
      <w:r w:rsidR="00942256" w:rsidRPr="00273106">
        <w:rPr>
          <w:rStyle w:val="linemarker-marked-line"/>
        </w:rPr>
        <w:t xml:space="preserve">Citát podává příklad </w:t>
      </w:r>
      <w:r w:rsidR="00942256" w:rsidRPr="00273106">
        <w:t xml:space="preserve">moderního pojetí </w:t>
      </w:r>
      <w:r w:rsidR="08C94A6E">
        <w:t>existence jako přesah</w:t>
      </w:r>
      <w:r w:rsidR="00942256" w:rsidRPr="00273106">
        <w:t xml:space="preserve"> (</w:t>
      </w:r>
      <w:r w:rsidR="00942256" w:rsidRPr="00273106">
        <w:rPr>
          <w:i/>
        </w:rPr>
        <w:t>exsistere</w:t>
      </w:r>
      <w:r w:rsidR="00942256">
        <w:rPr>
          <w:i/>
        </w:rPr>
        <w:fldChar w:fldCharType="begin"/>
      </w:r>
      <w:r w:rsidR="00942256">
        <w:instrText xml:space="preserve"> XE "</w:instrText>
      </w:r>
      <w:r w:rsidR="00942256" w:rsidRPr="008E07A9">
        <w:rPr>
          <w:i/>
        </w:rPr>
        <w:instrText>exsistere</w:instrText>
      </w:r>
      <w:r w:rsidR="00942256">
        <w:instrText xml:space="preserve">" </w:instrText>
      </w:r>
      <w:r w:rsidR="00942256">
        <w:rPr>
          <w:i/>
        </w:rPr>
        <w:fldChar w:fldCharType="end"/>
      </w:r>
      <w:r w:rsidR="00942256" w:rsidRPr="00273106">
        <w:t xml:space="preserve">) trvalé esence nebo jednoduchého čísla do kontingentní reality. </w:t>
      </w:r>
      <w:r w:rsidR="001B3E41">
        <w:t>Moderní e</w:t>
      </w:r>
      <w:r w:rsidR="00942256" w:rsidRPr="00273106">
        <w:t xml:space="preserve">xistence vzniká </w:t>
      </w:r>
      <w:r w:rsidR="00746A02">
        <w:t>tím, že věčné formy</w:t>
      </w:r>
      <w:r w:rsidR="00942256">
        <w:t xml:space="preserve"> se </w:t>
      </w:r>
      <w:r w:rsidR="00942256" w:rsidRPr="00273106">
        <w:t>individualiz</w:t>
      </w:r>
      <w:r w:rsidR="00746A02">
        <w:t>ují</w:t>
      </w:r>
      <w:r w:rsidR="00942256">
        <w:t xml:space="preserve"> </w:t>
      </w:r>
      <w:r w:rsidR="00942256" w:rsidRPr="00273106">
        <w:t>konti</w:t>
      </w:r>
      <w:r w:rsidR="00942256">
        <w:t>n</w:t>
      </w:r>
      <w:r w:rsidR="00942256" w:rsidRPr="00273106">
        <w:t>gentně</w:t>
      </w:r>
      <w:r w:rsidR="00942256">
        <w:t xml:space="preserve"> a </w:t>
      </w:r>
      <w:r w:rsidR="00942256" w:rsidRPr="00273106">
        <w:t xml:space="preserve">hylemorficky. </w:t>
      </w:r>
      <w:r w:rsidR="004C2EA8">
        <w:t>U</w:t>
      </w:r>
      <w:r w:rsidR="00921D12" w:rsidRPr="00273106">
        <w:t xml:space="preserve">nivoční pojetí materie jako univerzální potence </w:t>
      </w:r>
      <w:r w:rsidR="004C2EA8">
        <w:t xml:space="preserve">determinované objektivní formou </w:t>
      </w:r>
      <w:r w:rsidR="004D5E5C">
        <w:t xml:space="preserve">v rámci </w:t>
      </w:r>
      <w:r w:rsidR="003818BB">
        <w:t xml:space="preserve">numericky dané jednoty </w:t>
      </w:r>
      <w:r w:rsidR="00921D12" w:rsidRPr="00273106">
        <w:t>(</w:t>
      </w:r>
      <w:r w:rsidR="00921D12" w:rsidRPr="00273106">
        <w:rPr>
          <w:i/>
        </w:rPr>
        <w:t>concretum</w:t>
      </w:r>
      <w:r w:rsidR="003330AF">
        <w:rPr>
          <w:i/>
        </w:rPr>
        <w:fldChar w:fldCharType="begin"/>
      </w:r>
      <w:r w:rsidR="003330AF">
        <w:instrText xml:space="preserve"> XE "</w:instrText>
      </w:r>
      <w:r w:rsidR="003A1564">
        <w:instrText>substance:</w:instrText>
      </w:r>
      <w:r w:rsidR="003330AF" w:rsidRPr="00B759F5">
        <w:rPr>
          <w:i/>
        </w:rPr>
        <w:instrText>concretum</w:instrText>
      </w:r>
      <w:r w:rsidR="003330AF">
        <w:instrText xml:space="preserve">" </w:instrText>
      </w:r>
      <w:r w:rsidR="003330AF">
        <w:rPr>
          <w:i/>
        </w:rPr>
        <w:fldChar w:fldCharType="end"/>
      </w:r>
      <w:r w:rsidR="00921D12" w:rsidRPr="00273106">
        <w:t xml:space="preserve">) umožňuje </w:t>
      </w:r>
      <w:r w:rsidR="004D5E5C">
        <w:t xml:space="preserve">moderně provést konkretizaci a </w:t>
      </w:r>
      <w:r w:rsidR="00921D12" w:rsidRPr="00273106">
        <w:t>indi</w:t>
      </w:r>
      <w:r w:rsidR="08652FCD">
        <w:t xml:space="preserve">vidualizaci člověka </w:t>
      </w:r>
      <w:r w:rsidR="007C41B8">
        <w:t>na úrovni univerzálií.</w:t>
      </w:r>
    </w:p>
    <w:p w14:paraId="19837BBD" w14:textId="1E35494D" w:rsidR="002221D4" w:rsidRPr="00273106" w:rsidRDefault="004D1EDC" w:rsidP="007C41B8">
      <w:pPr>
        <w:ind w:firstLine="397"/>
      </w:pPr>
      <w:r>
        <w:t>Moderní v</w:t>
      </w:r>
      <w:r w:rsidR="00EB18F1">
        <w:t xml:space="preserve">ěda </w:t>
      </w:r>
      <w:r>
        <w:t xml:space="preserve">je </w:t>
      </w:r>
      <w:r w:rsidR="00B9685A">
        <w:t>založen</w:t>
      </w:r>
      <w:r>
        <w:t>a</w:t>
      </w:r>
      <w:r w:rsidR="00B9685A">
        <w:t xml:space="preserve"> na </w:t>
      </w:r>
      <w:r w:rsidR="00EB18F1">
        <w:t>porretánské „</w:t>
      </w:r>
      <w:r w:rsidR="00A92522" w:rsidRPr="00273106">
        <w:t>ex</w:t>
      </w:r>
      <w:r w:rsidR="00EB18F1">
        <w:t>sistenci“</w:t>
      </w:r>
      <w:r w:rsidR="00A92522" w:rsidRPr="00273106">
        <w:t xml:space="preserve"> </w:t>
      </w:r>
      <w:r>
        <w:t xml:space="preserve">dané </w:t>
      </w:r>
      <w:r w:rsidR="00EB18F1">
        <w:t>skrze konkrétní individum</w:t>
      </w:r>
      <w:r>
        <w:t xml:space="preserve">. Rufus </w:t>
      </w:r>
      <w:r w:rsidR="00EB18F1">
        <w:t>popřel</w:t>
      </w:r>
      <w:r w:rsidR="002E2F58" w:rsidRPr="00273106">
        <w:t xml:space="preserve"> </w:t>
      </w:r>
      <w:r w:rsidR="00130867">
        <w:t>metafyziku</w:t>
      </w:r>
      <w:r w:rsidR="00130867" w:rsidRPr="00273106">
        <w:t xml:space="preserve"> </w:t>
      </w:r>
      <w:r w:rsidR="000D33F9" w:rsidRPr="00273106">
        <w:t>Aristotel</w:t>
      </w:r>
      <w:r w:rsidR="00130867">
        <w:t>a</w:t>
      </w:r>
      <w:r w:rsidR="00017615" w:rsidRPr="00273106">
        <w:t xml:space="preserve"> </w:t>
      </w:r>
      <w:r w:rsidR="000D33F9" w:rsidRPr="00273106">
        <w:t xml:space="preserve">a </w:t>
      </w:r>
      <w:r w:rsidR="002E3B62">
        <w:t>Averroes</w:t>
      </w:r>
      <w:r w:rsidR="00130867">
        <w:t xml:space="preserve">e </w:t>
      </w:r>
      <w:r w:rsidR="000D33F9" w:rsidRPr="00273106">
        <w:t xml:space="preserve">jako </w:t>
      </w:r>
      <w:r w:rsidR="00064FCA">
        <w:t>první vědy</w:t>
      </w:r>
      <w:r w:rsidR="000D33F9" w:rsidRPr="00273106">
        <w:t xml:space="preserve"> o aktuální</w:t>
      </w:r>
      <w:r w:rsidR="00130867">
        <w:t>ch substancích</w:t>
      </w:r>
      <w:r w:rsidR="002E2F58" w:rsidRPr="00273106">
        <w:t>.</w:t>
      </w:r>
      <w:r w:rsidR="00A90F23" w:rsidRPr="00273106">
        <w:rPr>
          <w:rStyle w:val="Znakapoznpodarou"/>
        </w:rPr>
        <w:t xml:space="preserve"> </w:t>
      </w:r>
      <w:r w:rsidR="087345F8">
        <w:t>To bylo zcela nepřijatelné pro Grossetesteho</w:t>
      </w:r>
      <w:r w:rsidR="001F2E24">
        <w:t>. V tomto kritické</w:t>
      </w:r>
      <w:r w:rsidR="001947EE">
        <w:t>m</w:t>
      </w:r>
      <w:r w:rsidR="001F2E24">
        <w:t xml:space="preserve"> bodu </w:t>
      </w:r>
      <w:r w:rsidR="087345F8">
        <w:t>háj</w:t>
      </w:r>
      <w:r w:rsidR="001F2E24">
        <w:t xml:space="preserve">il </w:t>
      </w:r>
      <w:r w:rsidR="087345F8">
        <w:t xml:space="preserve">aristotelskou metafyziku </w:t>
      </w:r>
      <w:r w:rsidR="001F2E24">
        <w:t>dělanou „</w:t>
      </w:r>
      <w:r w:rsidR="087345F8">
        <w:rPr>
          <w:i/>
        </w:rPr>
        <w:t>ad mentem Averrois</w:t>
      </w:r>
      <w:r w:rsidR="001F2E24">
        <w:t>“</w:t>
      </w:r>
      <w:r w:rsidR="087345F8">
        <w:rPr>
          <w:i/>
        </w:rPr>
        <w:fldChar w:fldCharType="begin"/>
      </w:r>
      <w:r w:rsidR="087345F8">
        <w:instrText xml:space="preserve"> XE "</w:instrText>
      </w:r>
      <w:r w:rsidR="087345F8">
        <w:rPr>
          <w:i/>
        </w:rPr>
        <w:instrText>ad mentem Averrois</w:instrText>
      </w:r>
      <w:r w:rsidR="087345F8">
        <w:instrText xml:space="preserve">" </w:instrText>
      </w:r>
      <w:r w:rsidR="087345F8">
        <w:rPr>
          <w:i/>
        </w:rPr>
        <w:fldChar w:fldCharType="end"/>
      </w:r>
      <w:r w:rsidR="087345F8">
        <w:t xml:space="preserve">. </w:t>
      </w:r>
      <w:r w:rsidR="000A51DD">
        <w:t xml:space="preserve">Reálná </w:t>
      </w:r>
      <w:r w:rsidR="00611C2C" w:rsidRPr="00273106">
        <w:t>su</w:t>
      </w:r>
      <w:r w:rsidR="00611C2C">
        <w:t>bstance</w:t>
      </w:r>
      <w:r w:rsidR="00611C2C" w:rsidRPr="00273106">
        <w:t xml:space="preserve"> pro Aristotela a </w:t>
      </w:r>
      <w:r w:rsidR="002E3B62">
        <w:t>Averroes</w:t>
      </w:r>
      <w:r w:rsidR="00611C2C" w:rsidRPr="00273106">
        <w:t>e může existovat i jako čistá forma kosmických inteligencí</w:t>
      </w:r>
      <w:r w:rsidR="00EB18F1">
        <w:t xml:space="preserve"> daných v podobě nemateriálních prvních substancí. A</w:t>
      </w:r>
      <w:r w:rsidR="00611C2C">
        <w:t xml:space="preserve">le existence každé první substance je zásadně oddělena od </w:t>
      </w:r>
      <w:r w:rsidR="00EE0381">
        <w:t xml:space="preserve">logické abstrakce dané univerzálním konceptem a od </w:t>
      </w:r>
      <w:r w:rsidR="00611C2C">
        <w:t>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611C2C">
        <w:t xml:space="preserve"> dané číslem. </w:t>
      </w:r>
      <w:r w:rsidR="08757696">
        <w:t>Rufusův s</w:t>
      </w:r>
      <w:r w:rsidR="08CD2E6A" w:rsidRPr="00273106">
        <w:t xml:space="preserve">pis </w:t>
      </w:r>
      <w:r w:rsidR="08CD2E6A" w:rsidRPr="00273106">
        <w:rPr>
          <w:i/>
        </w:rPr>
        <w:t>Contra Averroem</w:t>
      </w:r>
      <w:r w:rsidR="08CD2E6A" w:rsidRPr="00273106">
        <w:t xml:space="preserve"> (kolem 1236</w:t>
      </w:r>
      <w:r w:rsidR="08767F70" w:rsidRPr="00273106">
        <w:t>)</w:t>
      </w:r>
      <w:r w:rsidR="08CD2E6A" w:rsidRPr="00273106">
        <w:t xml:space="preserve"> odmítá </w:t>
      </w:r>
      <w:r w:rsidR="002E3B62">
        <w:t>Averroes</w:t>
      </w:r>
      <w:r w:rsidR="08CD2E6A" w:rsidRPr="00273106">
        <w:t xml:space="preserve">ovo pojetí </w:t>
      </w:r>
      <w:r w:rsidR="08ED27E1">
        <w:t xml:space="preserve">hyparchie </w:t>
      </w:r>
      <w:r w:rsidR="08CD2E6A" w:rsidRPr="00273106">
        <w:t xml:space="preserve">vázané na první substanci a mění statut první substance na </w:t>
      </w:r>
      <w:r w:rsidR="08914C63">
        <w:t xml:space="preserve">konkrétní </w:t>
      </w:r>
      <w:r w:rsidR="004B4D52" w:rsidRPr="004B4D52">
        <w:t>species</w:t>
      </w:r>
      <w:r w:rsidR="08CD2E6A" w:rsidRPr="00273106">
        <w:t>.</w:t>
      </w:r>
      <w:r w:rsidR="00C100A7" w:rsidRPr="00273106">
        <w:rPr>
          <w:rStyle w:val="Znakapoznpodarou"/>
        </w:rPr>
        <w:footnoteReference w:id="433"/>
      </w:r>
      <w:r w:rsidR="002221D4" w:rsidRPr="00273106">
        <w:t xml:space="preserve"> </w:t>
      </w:r>
      <w:r w:rsidR="001F03EF" w:rsidRPr="00273106">
        <w:t>Pseudo</w:t>
      </w:r>
      <w:r w:rsidR="001F03EF" w:rsidRPr="00273106">
        <w:noBreakHyphen/>
        <w:t xml:space="preserve">materie koncipovaná v rámci čisté možnosti </w:t>
      </w:r>
      <w:r w:rsidR="001F03EF"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1F03EF" w:rsidRPr="00273106">
        <w:t xml:space="preserve"> dané </w:t>
      </w:r>
      <w:r w:rsidR="001F03EF" w:rsidRPr="00273106">
        <w:rPr>
          <w:i/>
        </w:rPr>
        <w:t>simpliciter</w:t>
      </w:r>
      <w:r w:rsidR="001F03EF" w:rsidRPr="00273106">
        <w:t xml:space="preserve"> Rufusovi umožnila, aby </w:t>
      </w:r>
      <w:r w:rsidR="001F03EF">
        <w:t xml:space="preserve">založil atomární substanci </w:t>
      </w:r>
      <w:r w:rsidR="005813E9">
        <w:t xml:space="preserve">v rozporu </w:t>
      </w:r>
      <w:r w:rsidR="001F03EF" w:rsidRPr="00273106">
        <w:t xml:space="preserve">s Aristotelem a s </w:t>
      </w:r>
      <w:r w:rsidR="002E3B62">
        <w:t>Averroes</w:t>
      </w:r>
      <w:r w:rsidR="001F03EF" w:rsidRPr="00273106">
        <w:t xml:space="preserve">em. </w:t>
      </w:r>
      <w:r w:rsidR="00743DE4" w:rsidRPr="00273106">
        <w:t>K tomu pomohl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0743DE4" w:rsidRPr="00273106">
        <w:t xml:space="preserve"> z díla </w:t>
      </w:r>
      <w:r w:rsidR="00743DE4" w:rsidRPr="00273106">
        <w:rPr>
          <w:i/>
        </w:rPr>
        <w:t>Fo</w:t>
      </w:r>
      <w:r w:rsidR="001947EE">
        <w:rPr>
          <w:i/>
        </w:rPr>
        <w:t>n</w:t>
      </w:r>
      <w:r w:rsidR="00743DE4" w:rsidRPr="00273106">
        <w:rPr>
          <w:i/>
        </w:rPr>
        <w:t>s Vitae</w:t>
      </w:r>
      <w:r w:rsidR="005813E9">
        <w:t>, v němž</w:t>
      </w:r>
      <w:r w:rsidR="00743DE4" w:rsidRPr="00273106">
        <w:t xml:space="preserve"> se materie stala j</w:t>
      </w:r>
      <w:r w:rsidR="08914C63">
        <w:t>soucnem třetího druhu</w:t>
      </w:r>
      <w:r w:rsidR="00743DE4" w:rsidRPr="00273106">
        <w:t xml:space="preserve">. </w:t>
      </w:r>
      <w:r w:rsidR="002221D4" w:rsidRPr="00273106">
        <w:t xml:space="preserve">Individualizovaná materie slouží pouze jako akcident ke kompletaci </w:t>
      </w:r>
      <w:r w:rsidR="004D020C">
        <w:t xml:space="preserve">atomární </w:t>
      </w:r>
      <w:r w:rsidR="002221D4" w:rsidRPr="00273106">
        <w:t>substance</w:t>
      </w:r>
      <w:r w:rsidR="08EE7F64" w:rsidRPr="00273106">
        <w:t xml:space="preserve"> </w:t>
      </w:r>
      <w:r w:rsidR="002378A1">
        <w:t>třetího druhu dané jako trvalá</w:t>
      </w:r>
      <w:r w:rsidR="08EE7F64" w:rsidRPr="00273106">
        <w:t xml:space="preserve"> </w:t>
      </w:r>
      <w:r w:rsidR="004B4D52" w:rsidRPr="004B4D52">
        <w:t>species</w:t>
      </w:r>
      <w:r w:rsidR="002221D4" w:rsidRPr="00273106">
        <w:t xml:space="preserve">. Moderní proces individuace </w:t>
      </w:r>
      <w:r w:rsidR="00D34C10">
        <w:t xml:space="preserve">je určován skrze </w:t>
      </w:r>
      <w:r w:rsidR="006B454B">
        <w:t>„</w:t>
      </w:r>
      <w:r w:rsidR="00D34C10" w:rsidRPr="00835513">
        <w:rPr>
          <w:i/>
        </w:rPr>
        <w:t>virtus disponens</w:t>
      </w:r>
      <w:r w:rsidR="006B454B">
        <w:t>“</w:t>
      </w:r>
      <w:r w:rsidR="00D34C10">
        <w:t xml:space="preserve">, která přešla z demiurgického boha na pilný </w:t>
      </w:r>
      <w:r w:rsidR="089F13DD">
        <w:t xml:space="preserve">moderní </w:t>
      </w:r>
      <w:r w:rsidR="00D34C10">
        <w:t>subjekt.</w:t>
      </w:r>
      <w:r w:rsidR="002221D4" w:rsidRPr="00273106">
        <w:t xml:space="preserve"> </w:t>
      </w:r>
    </w:p>
    <w:p w14:paraId="642ED3C8" w14:textId="77777777" w:rsidR="005A6C3B" w:rsidRPr="00273106" w:rsidRDefault="002221D4" w:rsidP="005A6C3B">
      <w:pPr>
        <w:pStyle w:val="Citace"/>
        <w:rPr>
          <w:noProof/>
          <w:lang w:val="cs-CZ"/>
        </w:rPr>
      </w:pPr>
      <w:r w:rsidRPr="00273106">
        <w:rPr>
          <w:noProof/>
          <w:lang w:val="cs-CZ"/>
        </w:rPr>
        <w:t>„</w:t>
      </w:r>
      <w:r w:rsidR="002378A1">
        <w:rPr>
          <w:noProof/>
          <w:lang w:val="cs-CZ"/>
        </w:rPr>
        <w:t>A tak je zjevné, že k</w:t>
      </w:r>
      <w:r w:rsidR="005A6C3B" w:rsidRPr="00273106">
        <w:rPr>
          <w:noProof/>
          <w:lang w:val="cs-CZ"/>
        </w:rPr>
        <w:t xml:space="preserve"> individuaci je třeba trojí: činitel, materie a příslušná schopnost</w:t>
      </w:r>
      <w:r w:rsidR="00835513">
        <w:rPr>
          <w:noProof/>
          <w:lang w:val="cs-CZ"/>
        </w:rPr>
        <w:t xml:space="preserve"> individuace (</w:t>
      </w:r>
      <w:r w:rsidR="00835513" w:rsidRPr="00835513">
        <w:rPr>
          <w:i/>
        </w:rPr>
        <w:t>virtus disponens</w:t>
      </w:r>
      <w:r w:rsidR="00835513">
        <w:rPr>
          <w:noProof/>
          <w:lang w:val="cs-CZ"/>
        </w:rPr>
        <w:t>)</w:t>
      </w:r>
      <w:r w:rsidR="005A6C3B" w:rsidRPr="00273106">
        <w:rPr>
          <w:noProof/>
          <w:lang w:val="cs-CZ"/>
        </w:rPr>
        <w:t xml:space="preserve">. Tato schopnost je dána jako prostředník mezi substancí a akcidentem, protože není úplně ani substancí, ani akcidentem. Podle této definice platí, že materie je vyžadována k individuaci, ale není samotným principem této individuace.“ </w:t>
      </w:r>
      <w:r w:rsidR="005A6C3B" w:rsidRPr="00273106">
        <w:rPr>
          <w:rStyle w:val="Znakapoznpodarou"/>
          <w:noProof/>
          <w:lang w:val="cs-CZ"/>
        </w:rPr>
        <w:footnoteReference w:id="434"/>
      </w:r>
    </w:p>
    <w:p w14:paraId="737F7C7D" w14:textId="65111952" w:rsidR="0010434B" w:rsidRDefault="009F70BC" w:rsidP="0010434B">
      <w:r w:rsidRPr="00273106">
        <w:t xml:space="preserve">Individuace </w:t>
      </w:r>
      <w:r w:rsidR="00464CDC" w:rsidRPr="00273106">
        <w:t>je dána mimo vzt</w:t>
      </w:r>
      <w:r w:rsidR="00287E13" w:rsidRPr="00273106">
        <w:t>ah</w:t>
      </w:r>
      <w:r w:rsidR="00464CDC" w:rsidRPr="00273106">
        <w:t xml:space="preserve"> </w:t>
      </w:r>
      <w:r w:rsidR="088F3C24">
        <w:t xml:space="preserve">k </w:t>
      </w:r>
      <w:r w:rsidR="00307E0C" w:rsidRPr="00273106">
        <w:t>aktuální substanci</w:t>
      </w:r>
      <w:r w:rsidR="00520A0B">
        <w:t xml:space="preserve"> (</w:t>
      </w:r>
      <w:r w:rsidR="00520A0B" w:rsidRPr="00520A0B">
        <w:rPr>
          <w:i/>
        </w:rPr>
        <w:t>neque est complete substantia neque complete accidens</w:t>
      </w:r>
      <w:r w:rsidR="00520A0B">
        <w:t>)</w:t>
      </w:r>
      <w:r w:rsidR="00E412FF" w:rsidRPr="00273106">
        <w:t xml:space="preserve">. </w:t>
      </w:r>
      <w:r w:rsidR="00484387" w:rsidRPr="00484387">
        <w:t>Sofistika spočívá ve skutečnosti, že definice předstírá, že</w:t>
      </w:r>
      <w:r w:rsidR="00484387">
        <w:t xml:space="preserve"> je </w:t>
      </w:r>
      <w:r w:rsidR="00536C4B">
        <w:t xml:space="preserve">vzata </w:t>
      </w:r>
      <w:r w:rsidR="00484387">
        <w:t>podle Aristotelovy</w:t>
      </w:r>
      <w:r w:rsidR="00484387" w:rsidRPr="00484387">
        <w:t xml:space="preserve"> metafyziky; ve skutečnosti je založena </w:t>
      </w:r>
      <w:r w:rsidR="00484387">
        <w:t>na logickém rozdělení univerzálií</w:t>
      </w:r>
      <w:r w:rsidR="00484387" w:rsidRPr="00484387">
        <w:t xml:space="preserve"> v rámci Porfyr</w:t>
      </w:r>
      <w:r w:rsidR="00484387">
        <w:t xml:space="preserve">iova </w:t>
      </w:r>
      <w:r w:rsidR="00484387" w:rsidRPr="00484387">
        <w:t>stromu.</w:t>
      </w:r>
      <w:r w:rsidR="00484387">
        <w:t xml:space="preserve"> </w:t>
      </w:r>
      <w:r w:rsidR="00E412FF" w:rsidRPr="00273106">
        <w:t xml:space="preserve">Předchozí rozbor </w:t>
      </w:r>
      <w:r w:rsidR="0081247F">
        <w:t xml:space="preserve">Rufusova </w:t>
      </w:r>
      <w:r w:rsidR="00E412FF" w:rsidRPr="00273106">
        <w:rPr>
          <w:i/>
        </w:rPr>
        <w:t>informatio</w:t>
      </w:r>
      <w:r w:rsidR="00F44F09">
        <w:rPr>
          <w:i/>
        </w:rPr>
        <w:fldChar w:fldCharType="begin"/>
      </w:r>
      <w:r w:rsidR="00F44F09">
        <w:instrText xml:space="preserve"> XE "</w:instrText>
      </w:r>
      <w:r w:rsidR="00F44F09" w:rsidRPr="00BA0B31">
        <w:rPr>
          <w:i/>
        </w:rPr>
        <w:instrText>informatio</w:instrText>
      </w:r>
      <w:r w:rsidR="00F44F09">
        <w:instrText xml:space="preserve">" </w:instrText>
      </w:r>
      <w:r w:rsidR="00F44F09">
        <w:rPr>
          <w:i/>
        </w:rPr>
        <w:fldChar w:fldCharType="end"/>
      </w:r>
      <w:r w:rsidR="00E412FF" w:rsidRPr="00273106">
        <w:t xml:space="preserve"> ukázal, že </w:t>
      </w:r>
      <w:r w:rsidR="00307E0C" w:rsidRPr="00273106">
        <w:t xml:space="preserve">mysl </w:t>
      </w:r>
      <w:r w:rsidR="00F442B5">
        <w:t>v sobě obsahuje aktuální</w:t>
      </w:r>
      <w:r w:rsidR="00F442B5" w:rsidRPr="00273106">
        <w:t xml:space="preserve"> </w:t>
      </w:r>
      <w:r w:rsidR="00F92A93" w:rsidRPr="00273106">
        <w:t>principy poznání dané skrze akt sebereflexe</w:t>
      </w:r>
      <w:r w:rsidR="08525CBA" w:rsidRPr="00273106">
        <w:t xml:space="preserve"> intelektu</w:t>
      </w:r>
      <w:r w:rsidR="00F92A93" w:rsidRPr="00273106">
        <w:t xml:space="preserve">. </w:t>
      </w:r>
      <w:r w:rsidR="0081247F">
        <w:t xml:space="preserve">To je </w:t>
      </w:r>
      <w:r w:rsidR="089F3729">
        <w:t xml:space="preserve">typicky </w:t>
      </w:r>
      <w:r w:rsidR="0081247F">
        <w:t xml:space="preserve">avicennovské a karteziánské pojetí intelektu jako hypostázované substance. </w:t>
      </w:r>
      <w:r w:rsidR="089F3729">
        <w:t>H</w:t>
      </w:r>
      <w:r w:rsidR="00E412FF" w:rsidRPr="00273106">
        <w:t xml:space="preserve">abituální schopnost </w:t>
      </w:r>
      <w:r w:rsidR="00CF708A" w:rsidRPr="00273106">
        <w:t xml:space="preserve">moderního subjektu </w:t>
      </w:r>
      <w:r w:rsidR="00E412FF" w:rsidRPr="00273106">
        <w:t>(</w:t>
      </w:r>
      <w:r w:rsidR="00CC0894" w:rsidRPr="00273106">
        <w:rPr>
          <w:i/>
        </w:rPr>
        <w:t>virtus disponens</w:t>
      </w:r>
      <w:r w:rsidR="00E412FF" w:rsidRPr="00273106">
        <w:t xml:space="preserve">) </w:t>
      </w:r>
      <w:r w:rsidR="089F3729">
        <w:t xml:space="preserve">představuje </w:t>
      </w:r>
      <w:r w:rsidR="00CC0894" w:rsidRPr="00273106">
        <w:t>střední člen</w:t>
      </w:r>
      <w:r w:rsidR="089F3729">
        <w:t xml:space="preserve"> </w:t>
      </w:r>
      <w:r w:rsidR="084F43C1">
        <w:t xml:space="preserve">vědeckého a deduktivního </w:t>
      </w:r>
      <w:r w:rsidR="00F92A93" w:rsidRPr="00273106">
        <w:t xml:space="preserve">soudu provádějícího dělení </w:t>
      </w:r>
      <w:r w:rsidR="0058597E" w:rsidRPr="00273106">
        <w:t xml:space="preserve">a třídění reality </w:t>
      </w:r>
      <w:r w:rsidR="00F92A93" w:rsidRPr="00273106">
        <w:t>(</w:t>
      </w:r>
      <w:r w:rsidR="00F92A93" w:rsidRPr="00273106">
        <w:rPr>
          <w:i/>
        </w:rPr>
        <w:t>ista virtus ponitur medium</w:t>
      </w:r>
      <w:r w:rsidR="00610F15">
        <w:rPr>
          <w:i/>
        </w:rPr>
        <w:fldChar w:fldCharType="begin"/>
      </w:r>
      <w:r w:rsidR="00610F15">
        <w:instrText xml:space="preserve"> XE "</w:instrText>
      </w:r>
      <w:r w:rsidR="00610F15" w:rsidRPr="001618A5">
        <w:rPr>
          <w:i/>
        </w:rPr>
        <w:instrText>medium:</w:instrText>
      </w:r>
      <w:r w:rsidR="003A1564">
        <w:instrText>Rufus</w:instrText>
      </w:r>
      <w:r w:rsidR="00610F15">
        <w:instrText xml:space="preserve">" </w:instrText>
      </w:r>
      <w:r w:rsidR="00610F15">
        <w:rPr>
          <w:i/>
        </w:rPr>
        <w:fldChar w:fldCharType="end"/>
      </w:r>
      <w:r w:rsidR="00F92A93" w:rsidRPr="00273106">
        <w:rPr>
          <w:i/>
        </w:rPr>
        <w:t xml:space="preserve"> inter substantiam et accidens</w:t>
      </w:r>
      <w:r w:rsidR="00F92A93" w:rsidRPr="00273106">
        <w:t xml:space="preserve">). </w:t>
      </w:r>
      <w:r w:rsidR="08F91123">
        <w:t>Tím je dána konkrétní</w:t>
      </w:r>
      <w:r w:rsidR="080F60FC">
        <w:t xml:space="preserve"> a individuál</w:t>
      </w:r>
      <w:r w:rsidR="08F91123">
        <w:t xml:space="preserve">ní predikace </w:t>
      </w:r>
      <w:r w:rsidR="08F91123" w:rsidRPr="08F91123">
        <w:rPr>
          <w:i/>
        </w:rPr>
        <w:t>medio modo</w:t>
      </w:r>
      <w:r w:rsidR="08F91123">
        <w:t xml:space="preserve"> </w:t>
      </w:r>
      <w:r w:rsidR="087A2096">
        <w:t>(kap. 3</w:t>
      </w:r>
      <w:r w:rsidR="080F60FC">
        <w:t>.3</w:t>
      </w:r>
      <w:r w:rsidR="080F60FC" w:rsidRPr="08643E28">
        <w:t>.1</w:t>
      </w:r>
      <w:r w:rsidR="080F60FC">
        <w:t>)</w:t>
      </w:r>
      <w:r w:rsidR="08F91123">
        <w:t xml:space="preserve">. </w:t>
      </w:r>
      <w:r w:rsidR="00F92A93" w:rsidRPr="00273106">
        <w:t xml:space="preserve">Pak přijde klíčová věta potvrzující abstraktní dělení </w:t>
      </w:r>
      <w:r w:rsidR="00CF5BA1">
        <w:t xml:space="preserve">reality </w:t>
      </w:r>
      <w:r w:rsidR="00F92A93" w:rsidRPr="00273106">
        <w:t xml:space="preserve">podle </w:t>
      </w:r>
      <w:r w:rsidR="00BB45B1">
        <w:t>Porfyri</w:t>
      </w:r>
      <w:r w:rsidR="00F92A93" w:rsidRPr="00273106">
        <w:t>ova stromu. Materie je sice vyžadována k procesu individuace (</w:t>
      </w:r>
      <w:r w:rsidR="00F92A93" w:rsidRPr="00273106">
        <w:rPr>
          <w:i/>
        </w:rPr>
        <w:t>materia coexigitur ad individuationem</w:t>
      </w:r>
      <w:r w:rsidR="00F92A93" w:rsidRPr="00273106">
        <w:t>), ale netvoří jeho účinnou složku (</w:t>
      </w:r>
      <w:r w:rsidR="00F92A93" w:rsidRPr="00273106">
        <w:rPr>
          <w:i/>
        </w:rPr>
        <w:t>non tamen est principium efficiens individuationis</w:t>
      </w:r>
      <w:r w:rsidR="00F92A93" w:rsidRPr="00273106">
        <w:t xml:space="preserve">). </w:t>
      </w:r>
      <w:r w:rsidR="00BF2EF7">
        <w:t xml:space="preserve">Připomeňme postavení </w:t>
      </w:r>
      <w:r w:rsidR="00F92A93" w:rsidRPr="00273106">
        <w:t>esence</w:t>
      </w:r>
      <w:r w:rsidR="003D5008">
        <w:t xml:space="preserve"> </w:t>
      </w:r>
      <w:r w:rsidR="0066585A">
        <w:t xml:space="preserve">v systému </w:t>
      </w:r>
      <w:r w:rsidR="089F3729">
        <w:t xml:space="preserve">Rufusovy verze </w:t>
      </w:r>
      <w:r w:rsidR="0066585A" w:rsidRPr="0066585A">
        <w:rPr>
          <w:i/>
        </w:rPr>
        <w:t>Oxfordian Fallacy</w:t>
      </w:r>
      <w:r w:rsidR="00924399">
        <w:rPr>
          <w:i/>
        </w:rPr>
        <w:fldChar w:fldCharType="begin"/>
      </w:r>
      <w:r w:rsidR="00924399">
        <w:instrText xml:space="preserve"> XE "</w:instrText>
      </w:r>
      <w:r w:rsidR="00924399" w:rsidRPr="0015798D">
        <w:rPr>
          <w:i/>
        </w:rPr>
        <w:instrText>Oxfordian Fallacy:</w:instrText>
      </w:r>
      <w:r w:rsidR="003A1564" w:rsidRPr="003A1564">
        <w:instrText>esence</w:instrText>
      </w:r>
      <w:r w:rsidR="00924399">
        <w:instrText xml:space="preserve">" </w:instrText>
      </w:r>
      <w:r w:rsidR="00924399">
        <w:rPr>
          <w:i/>
        </w:rPr>
        <w:fldChar w:fldCharType="end"/>
      </w:r>
      <w:r w:rsidR="00F92A93" w:rsidRPr="00273106">
        <w:t xml:space="preserve">, která </w:t>
      </w:r>
      <w:r w:rsidR="00CF5BA1">
        <w:t>skrze inherentní kauzalitu třetího druhu</w:t>
      </w:r>
      <w:r w:rsidR="00F92A93" w:rsidRPr="00273106">
        <w:t xml:space="preserve"> zajistí vědecké </w:t>
      </w:r>
      <w:r w:rsidR="00F92A93" w:rsidRPr="00273106">
        <w:rPr>
          <w:i/>
        </w:rPr>
        <w:t>demonstratio</w:t>
      </w:r>
      <w:r w:rsidR="00312CA9" w:rsidRPr="00273106">
        <w:t xml:space="preserve"> i bez </w:t>
      </w:r>
      <w:r w:rsidR="00454CB6">
        <w:t xml:space="preserve">působení </w:t>
      </w:r>
      <w:r w:rsidR="00312CA9" w:rsidRPr="00273106">
        <w:t>aktuál</w:t>
      </w:r>
      <w:r w:rsidR="00F92A93" w:rsidRPr="00273106">
        <w:t>ní substance</w:t>
      </w:r>
      <w:r w:rsidR="00381F06">
        <w:t xml:space="preserve"> (</w:t>
      </w:r>
      <w:r w:rsidR="00381F06" w:rsidRPr="00381F06">
        <w:rPr>
          <w:i/>
        </w:rPr>
        <w:t>medium et causa idem</w:t>
      </w:r>
      <w:r w:rsidR="087A2096">
        <w:t>, kap. 3</w:t>
      </w:r>
      <w:r w:rsidR="00381F06">
        <w:t>.3.1)</w:t>
      </w:r>
      <w:r w:rsidR="00F92A93" w:rsidRPr="00273106">
        <w:t xml:space="preserve">. </w:t>
      </w:r>
      <w:r w:rsidR="00E322EE" w:rsidRPr="00273106">
        <w:t xml:space="preserve">V </w:t>
      </w:r>
      <w:r w:rsidR="003B3FC0" w:rsidRPr="00273106">
        <w:t xml:space="preserve">tomto </w:t>
      </w:r>
      <w:r w:rsidR="00AF7B38" w:rsidRPr="00273106">
        <w:t xml:space="preserve">důležitém sporu </w:t>
      </w:r>
      <w:r w:rsidR="009C6EDB" w:rsidRPr="00273106">
        <w:t>týkající</w:t>
      </w:r>
      <w:r w:rsidR="00AF7B38" w:rsidRPr="00273106">
        <w:t>ho</w:t>
      </w:r>
      <w:r w:rsidR="009C6EDB" w:rsidRPr="00273106">
        <w:t xml:space="preserve"> se </w:t>
      </w:r>
      <w:r w:rsidR="00A17E3C" w:rsidRPr="00273106">
        <w:t xml:space="preserve">hylemorfického </w:t>
      </w:r>
      <w:r w:rsidR="009C6EDB" w:rsidRPr="00273106">
        <w:t xml:space="preserve">určení </w:t>
      </w:r>
      <w:r w:rsidR="00F40349" w:rsidRPr="00273106">
        <w:t>sub</w:t>
      </w:r>
      <w:r w:rsidR="00C02E8D" w:rsidRPr="00273106">
        <w:t>st</w:t>
      </w:r>
      <w:r w:rsidR="00F40349" w:rsidRPr="00273106">
        <w:t>ance</w:t>
      </w:r>
      <w:r w:rsidR="00173E42" w:rsidRPr="00273106">
        <w:t>,</w:t>
      </w:r>
      <w:r w:rsidR="00F40349" w:rsidRPr="00273106">
        <w:t xml:space="preserve"> a tím i jedinečnosti </w:t>
      </w:r>
      <w:r w:rsidR="009C6EDB" w:rsidRPr="00273106">
        <w:t>člověka</w:t>
      </w:r>
      <w:r w:rsidR="00173E42" w:rsidRPr="00273106">
        <w:t>,</w:t>
      </w:r>
      <w:r w:rsidR="009C6EDB" w:rsidRPr="00273106">
        <w:t xml:space="preserve"> </w:t>
      </w:r>
      <w:r w:rsidR="00087246" w:rsidRPr="00273106">
        <w:t xml:space="preserve">jsou ve hře téměř všechny formy </w:t>
      </w:r>
      <w:r w:rsidR="00087246"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1F63AB">
        <w:rPr>
          <w:rStyle w:val="Zvraznn"/>
          <w:i w:val="0"/>
        </w:rPr>
        <w:instrText>:Rufus</w:instrText>
      </w:r>
      <w:r w:rsidR="003F16A5">
        <w:instrText xml:space="preserve">" </w:instrText>
      </w:r>
      <w:r w:rsidR="003F16A5">
        <w:rPr>
          <w:i/>
        </w:rPr>
        <w:fldChar w:fldCharType="end"/>
      </w:r>
      <w:r w:rsidR="00087246" w:rsidRPr="00273106">
        <w:t xml:space="preserve">, které jsme dosud komentovali: substance, materie, kvantita, rozsažnost, </w:t>
      </w:r>
      <w:r w:rsidR="004B4D52" w:rsidRPr="004B4D52">
        <w:t>species</w:t>
      </w:r>
      <w:r w:rsidR="00087246"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087246" w:rsidRPr="00273106">
        <w:t xml:space="preserve"> a numerická individualizace.</w:t>
      </w:r>
      <w:r w:rsidR="00A340A4">
        <w:t xml:space="preserve"> Rufusovo určení atomární substance sleduje řešení, které není aristotelské, ale neoplatonské.</w:t>
      </w:r>
      <w:r w:rsidR="0010434B">
        <w:t xml:space="preserve"> </w:t>
      </w:r>
      <w:r w:rsidR="0010434B" w:rsidRPr="00273106">
        <w:t xml:space="preserve">Výklad </w:t>
      </w:r>
      <w:r w:rsidR="0010434B" w:rsidRPr="00A37DF7">
        <w:rPr>
          <w:i/>
        </w:rPr>
        <w:t>Druhých analytik</w:t>
      </w:r>
      <w:r w:rsidR="0010434B" w:rsidRPr="00273106">
        <w:t xml:space="preserve"> </w:t>
      </w:r>
      <w:r w:rsidR="0010434B">
        <w:t xml:space="preserve">v letech 1230‒35 </w:t>
      </w:r>
      <w:r w:rsidR="0010434B" w:rsidRPr="00273106">
        <w:t xml:space="preserve">poslal moderní schéma poznání v rámci </w:t>
      </w:r>
      <w:r w:rsidR="0010434B" w:rsidRPr="00273106">
        <w:rPr>
          <w:i/>
        </w:rPr>
        <w:t>Oxfordian Fallacy</w:t>
      </w:r>
      <w:r w:rsidR="0010434B">
        <w:rPr>
          <w:i/>
        </w:rPr>
        <w:fldChar w:fldCharType="begin"/>
      </w:r>
      <w:r w:rsidR="0010434B">
        <w:instrText xml:space="preserve"> XE "</w:instrText>
      </w:r>
      <w:r w:rsidR="0010434B" w:rsidRPr="0015798D">
        <w:rPr>
          <w:i/>
        </w:rPr>
        <w:instrText>Oxfordian Fallacy:</w:instrText>
      </w:r>
      <w:r w:rsidR="0010434B" w:rsidRPr="005177EC">
        <w:instrText>duše</w:instrText>
      </w:r>
      <w:r w:rsidR="0010434B">
        <w:instrText xml:space="preserve">" </w:instrText>
      </w:r>
      <w:r w:rsidR="0010434B">
        <w:rPr>
          <w:i/>
        </w:rPr>
        <w:fldChar w:fldCharType="end"/>
      </w:r>
      <w:r w:rsidR="0010434B" w:rsidRPr="00273106">
        <w:t xml:space="preserve"> do další fáze sporu</w:t>
      </w:r>
      <w:r w:rsidR="0010434B">
        <w:t xml:space="preserve"> ohledně výkladu aristotelského korpusu podaného </w:t>
      </w:r>
      <w:r w:rsidR="082F2D63">
        <w:rPr>
          <w:i/>
        </w:rPr>
        <w:t>ad mentem Averrois</w:t>
      </w:r>
      <w:r w:rsidR="0010434B">
        <w:rPr>
          <w:i/>
        </w:rPr>
        <w:fldChar w:fldCharType="begin"/>
      </w:r>
      <w:r w:rsidR="0010434B">
        <w:instrText xml:space="preserve"> XE "</w:instrText>
      </w:r>
      <w:r w:rsidR="082F2D63">
        <w:rPr>
          <w:i/>
        </w:rPr>
        <w:instrText>ad mentem Averrois</w:instrText>
      </w:r>
      <w:r w:rsidR="0010434B">
        <w:instrText xml:space="preserve">" </w:instrText>
      </w:r>
      <w:r w:rsidR="0010434B">
        <w:rPr>
          <w:i/>
        </w:rPr>
        <w:fldChar w:fldCharType="end"/>
      </w:r>
      <w:r w:rsidR="0010434B">
        <w:t xml:space="preserve">. </w:t>
      </w:r>
      <w:r w:rsidR="0010434B" w:rsidRPr="00273106">
        <w:t xml:space="preserve">Grosseteste </w:t>
      </w:r>
      <w:r w:rsidR="08521B82">
        <w:t xml:space="preserve">předložil první verzi </w:t>
      </w:r>
      <w:r w:rsidR="08521B82" w:rsidRPr="08521B82">
        <w:rPr>
          <w:i/>
        </w:rPr>
        <w:t>Oxfordian Fallacy</w:t>
      </w:r>
      <w:r w:rsidR="08521B82">
        <w:t xml:space="preserve">, ale v žádném případě nehájil </w:t>
      </w:r>
      <w:r w:rsidR="08E2005E">
        <w:t xml:space="preserve">univocitu poznání a reality, protože znal průběh poznání podle Blundovy a </w:t>
      </w:r>
      <w:r w:rsidR="00656E1A">
        <w:t xml:space="preserve">podle Sicilské školy. </w:t>
      </w:r>
      <w:r w:rsidR="0010434B">
        <w:t>J</w:t>
      </w:r>
      <w:r w:rsidR="0010434B" w:rsidRPr="00273106">
        <w:t xml:space="preserve">eho pojetí </w:t>
      </w:r>
      <w:r w:rsidR="0010434B">
        <w:t xml:space="preserve">intelektuální </w:t>
      </w:r>
      <w:r w:rsidR="0010434B" w:rsidRPr="00273106">
        <w:t>duše se drželo nauky prvního averroismu</w:t>
      </w:r>
      <w:r w:rsidR="0010434B">
        <w:t>, protože odmítal pluralitu substanciálních forem v člověku</w:t>
      </w:r>
      <w:r w:rsidR="0010434B" w:rsidRPr="00273106">
        <w:t xml:space="preserve">. Situace </w:t>
      </w:r>
      <w:r w:rsidR="086D7190">
        <w:t xml:space="preserve">v Oxfordu </w:t>
      </w:r>
      <w:r w:rsidR="0010434B" w:rsidRPr="00273106">
        <w:t xml:space="preserve">se změnila </w:t>
      </w:r>
      <w:r w:rsidR="086C3956">
        <w:t xml:space="preserve">po roce 1235 </w:t>
      </w:r>
      <w:r w:rsidR="0010434B" w:rsidRPr="00273106">
        <w:t>s </w:t>
      </w:r>
      <w:r w:rsidR="086C3956">
        <w:t xml:space="preserve">akademickým nástupem </w:t>
      </w:r>
      <w:r w:rsidR="0010434B" w:rsidRPr="00273106">
        <w:t>jeho radikálních žáků hlásajících pluralismus substancí v člověku</w:t>
      </w:r>
      <w:r w:rsidR="0010434B">
        <w:t xml:space="preserve"> v rámci univerzálního hylemorfismu</w:t>
      </w:r>
      <w:r w:rsidR="0010434B">
        <w:fldChar w:fldCharType="begin"/>
      </w:r>
      <w:r w:rsidR="0010434B">
        <w:instrText xml:space="preserve"> XE "</w:instrText>
      </w:r>
      <w:r w:rsidR="0010434B" w:rsidRPr="00423560">
        <w:instrText>univerzální hylemorfismus</w:instrText>
      </w:r>
      <w:r w:rsidR="0010434B">
        <w:instrText xml:space="preserve">" </w:instrText>
      </w:r>
      <w:r w:rsidR="0010434B">
        <w:fldChar w:fldCharType="end"/>
      </w:r>
      <w:r w:rsidR="08A574CE">
        <w:t xml:space="preserve"> (kap. 3</w:t>
      </w:r>
      <w:r w:rsidR="0010434B">
        <w:t>.2)</w:t>
      </w:r>
      <w:r w:rsidR="0010434B" w:rsidRPr="00273106">
        <w:t xml:space="preserve">. </w:t>
      </w:r>
      <w:r w:rsidR="086D7190">
        <w:t xml:space="preserve">Rufusova sofistická škola založila akademický </w:t>
      </w:r>
      <w:r w:rsidR="086D7190" w:rsidRPr="086D7190">
        <w:rPr>
          <w:i/>
        </w:rPr>
        <w:t>genius loci</w:t>
      </w:r>
      <w:r w:rsidR="086D7190">
        <w:t xml:space="preserve"> </w:t>
      </w:r>
      <w:r w:rsidR="085C61EB">
        <w:t xml:space="preserve">v </w:t>
      </w:r>
      <w:r w:rsidR="086D7190">
        <w:t xml:space="preserve">Oxfordu, protože radikalizovala nihilistické tendence </w:t>
      </w:r>
      <w:r w:rsidR="08A574CE">
        <w:t xml:space="preserve">metafyziky </w:t>
      </w:r>
      <w:r w:rsidR="086D7190">
        <w:t xml:space="preserve">dané v Grossetesteho výkladu </w:t>
      </w:r>
      <w:r w:rsidR="086D7190" w:rsidRPr="086D7190">
        <w:rPr>
          <w:i/>
        </w:rPr>
        <w:t>Druhých analytik</w:t>
      </w:r>
      <w:r w:rsidR="086D7190">
        <w:t xml:space="preserve">. </w:t>
      </w:r>
      <w:r w:rsidR="08F925F5">
        <w:t xml:space="preserve">Rufus převedl </w:t>
      </w:r>
      <w:r w:rsidR="08F925F5" w:rsidRPr="00273106">
        <w:t>Grosseteste</w:t>
      </w:r>
      <w:r w:rsidR="08F925F5">
        <w:t>ho</w:t>
      </w:r>
      <w:r w:rsidR="08F925F5" w:rsidRPr="00273106">
        <w:t xml:space="preserve"> </w:t>
      </w:r>
      <w:r w:rsidR="08F925F5">
        <w:t xml:space="preserve">verzi </w:t>
      </w:r>
      <w:r w:rsidR="08F925F5" w:rsidRPr="009948FF">
        <w:rPr>
          <w:i/>
        </w:rPr>
        <w:t>Oxfordian Fallacy</w:t>
      </w:r>
      <w:r w:rsidR="08F925F5">
        <w:t xml:space="preserve"> do porretánského</w:t>
      </w:r>
      <w:r w:rsidR="08E6608C">
        <w:t xml:space="preserve"> světa v modu diskrétního vidění</w:t>
      </w:r>
      <w:r w:rsidR="08F925F5">
        <w:t xml:space="preserve"> daného v matematické abstrakci</w:t>
      </w:r>
      <w:r w:rsidR="08231FF1">
        <w:t xml:space="preserve"> (</w:t>
      </w:r>
      <w:r w:rsidR="08231FF1" w:rsidRPr="08231FF1">
        <w:rPr>
          <w:i/>
          <w:szCs w:val="24"/>
        </w:rPr>
        <w:t>discrete videamus</w:t>
      </w:r>
      <w:r w:rsidR="08231FF1">
        <w:t>)</w:t>
      </w:r>
      <w:r w:rsidR="08F925F5">
        <w:t xml:space="preserve">. </w:t>
      </w:r>
      <w:r w:rsidR="0010434B">
        <w:t xml:space="preserve">Pojetí substance třetího druhu a její konkrétní individuace pomocí numerické identity zrušily základní principy </w:t>
      </w:r>
      <w:r w:rsidR="0010434B" w:rsidRPr="001E25F7">
        <w:rPr>
          <w:i/>
        </w:rPr>
        <w:t>Metafyziky</w:t>
      </w:r>
      <w:r w:rsidR="0010434B">
        <w:t xml:space="preserve"> dané Aristotelem a vyložené Averroesem. </w:t>
      </w:r>
      <w:r w:rsidR="08F40B3E">
        <w:t xml:space="preserve">Oxfordská moderna </w:t>
      </w:r>
      <w:r w:rsidR="0010434B" w:rsidRPr="00273106">
        <w:t xml:space="preserve">nepotřebuje koncept intencionality a receptivitu </w:t>
      </w:r>
      <w:r w:rsidR="000D0EA4">
        <w:t xml:space="preserve">personálního </w:t>
      </w:r>
      <w:r w:rsidR="0010434B" w:rsidRPr="00273106">
        <w:rPr>
          <w:i/>
        </w:rPr>
        <w:t>intellectus possibilis</w:t>
      </w:r>
      <w:r w:rsidR="0010434B" w:rsidRPr="00273106">
        <w:t xml:space="preserve"> pro výkon poznání. Nemá pravdu jako adekvaci, ale jako </w:t>
      </w:r>
      <w:r w:rsidR="0010434B">
        <w:t xml:space="preserve">univerzální rovnost </w:t>
      </w:r>
      <w:r w:rsidR="0010434B" w:rsidRPr="00273106">
        <w:t xml:space="preserve">univočních </w:t>
      </w:r>
      <w:r w:rsidR="0010434B" w:rsidRPr="00273106">
        <w:rPr>
          <w:i/>
        </w:rPr>
        <w:t>scibile</w:t>
      </w:r>
      <w:r w:rsidR="0010434B">
        <w:rPr>
          <w:i/>
        </w:rPr>
        <w:fldChar w:fldCharType="begin"/>
      </w:r>
      <w:r w:rsidR="0010434B">
        <w:instrText xml:space="preserve"> XE "</w:instrText>
      </w:r>
      <w:r w:rsidR="0010434B" w:rsidRPr="00AA4F67">
        <w:rPr>
          <w:i/>
        </w:rPr>
        <w:instrText>scibile</w:instrText>
      </w:r>
      <w:r w:rsidR="0010434B">
        <w:instrText xml:space="preserve">" </w:instrText>
      </w:r>
      <w:r w:rsidR="0010434B">
        <w:rPr>
          <w:i/>
        </w:rPr>
        <w:fldChar w:fldCharType="end"/>
      </w:r>
      <w:r w:rsidR="0010434B">
        <w:t>, kterou</w:t>
      </w:r>
      <w:r w:rsidR="0010434B" w:rsidRPr="00273106">
        <w:t xml:space="preserve"> zpřítomňuje aktivní intelekt</w:t>
      </w:r>
      <w:r w:rsidR="0010434B">
        <w:t xml:space="preserve"> v procesu </w:t>
      </w:r>
      <w:r w:rsidR="080B3789" w:rsidRPr="080B3789">
        <w:rPr>
          <w:i/>
        </w:rPr>
        <w:t>informatio</w:t>
      </w:r>
      <w:r w:rsidR="080B3789">
        <w:t xml:space="preserve"> jako </w:t>
      </w:r>
      <w:r w:rsidR="0010434B">
        <w:t>avicennovské denudace, nikoliv aristotelské abstrakce</w:t>
      </w:r>
      <w:r w:rsidR="0010434B" w:rsidRPr="00273106">
        <w:t xml:space="preserve">. Rufus chápe </w:t>
      </w:r>
      <w:r w:rsidR="004B4D52" w:rsidRPr="004B4D52">
        <w:t>species</w:t>
      </w:r>
      <w:r w:rsidR="0010434B" w:rsidRPr="00273106">
        <w:t xml:space="preserve"> jako substanční jsoucno třetího druhu, tj. jako esenciálně a formálně danou jednotlivinu určenou numericky. Předešlá kapitola ukázala, že jednota daná matematicky zakládá poznání aktuálně existujících složenin z hlediska univerzální míry, a proto je dána v modu </w:t>
      </w:r>
      <w:r w:rsidR="0010434B" w:rsidRPr="00273106">
        <w:rPr>
          <w:i/>
        </w:rPr>
        <w:t>per prius</w:t>
      </w:r>
      <w:r w:rsidR="0010434B" w:rsidRPr="00273106">
        <w:t xml:space="preserve"> </w:t>
      </w:r>
      <w:r w:rsidR="0010434B">
        <w:t xml:space="preserve">vůči reálným prvním substancím. </w:t>
      </w:r>
      <w:r w:rsidR="08A23169">
        <w:t>M</w:t>
      </w:r>
      <w:r w:rsidR="08E6608C" w:rsidRPr="00273106">
        <w:t>atematick</w:t>
      </w:r>
      <w:r w:rsidR="08A23169">
        <w:t>y atomizované</w:t>
      </w:r>
      <w:r w:rsidR="083B2D43">
        <w:t xml:space="preserve"> </w:t>
      </w:r>
      <w:r w:rsidR="08E6608C" w:rsidRPr="00273106">
        <w:t>individu</w:t>
      </w:r>
      <w:r w:rsidR="08A23169">
        <w:t>um</w:t>
      </w:r>
      <w:r w:rsidR="08E6608C" w:rsidRPr="00273106">
        <w:t xml:space="preserve"> supluje jednotlivinu a má statut univerzálie. </w:t>
      </w:r>
      <w:r w:rsidR="087F659C" w:rsidRPr="00273106">
        <w:t>Grosseteste</w:t>
      </w:r>
      <w:r w:rsidR="087F659C">
        <w:t>ho</w:t>
      </w:r>
      <w:r w:rsidR="087F659C" w:rsidRPr="00273106">
        <w:t xml:space="preserve"> </w:t>
      </w:r>
      <w:r w:rsidR="087F659C">
        <w:t>znechutila tato s</w:t>
      </w:r>
      <w:r w:rsidR="0010434B">
        <w:t xml:space="preserve">ofistika modernistů, soudě podle jeho tvrdého výpadu </w:t>
      </w:r>
      <w:r w:rsidR="0010434B" w:rsidRPr="00DB4716">
        <w:rPr>
          <w:i/>
        </w:rPr>
        <w:t>contra quosdam modernos</w:t>
      </w:r>
      <w:r w:rsidR="0010434B">
        <w:t xml:space="preserve">. Rufus zavedl do aristotelské metafyziky nasvícení zezadu a vytvořil analogickou jednotu jsoucna založenou na novém typu substance třetího druhu. Důsledkem transformace metafyziky do první podoby univoční </w:t>
      </w:r>
      <w:r w:rsidR="0010434B" w:rsidRPr="000517CC">
        <w:rPr>
          <w:i/>
        </w:rPr>
        <w:t>metaphysica generalis</w:t>
      </w:r>
      <w:r w:rsidR="0010434B">
        <w:rPr>
          <w:i/>
        </w:rPr>
        <w:fldChar w:fldCharType="begin"/>
      </w:r>
      <w:r w:rsidR="0010434B">
        <w:instrText xml:space="preserve"> XE "</w:instrText>
      </w:r>
      <w:r w:rsidR="0010434B" w:rsidRPr="00F8080C">
        <w:rPr>
          <w:i/>
        </w:rPr>
        <w:instrText>metaphysica generalis</w:instrText>
      </w:r>
      <w:r w:rsidR="0010434B">
        <w:instrText xml:space="preserve">" </w:instrText>
      </w:r>
      <w:r w:rsidR="0010434B">
        <w:rPr>
          <w:i/>
        </w:rPr>
        <w:fldChar w:fldCharType="end"/>
      </w:r>
      <w:r w:rsidR="0010434B">
        <w:t xml:space="preserve"> byl rozpad jednoty osoby. Tím </w:t>
      </w:r>
      <w:r w:rsidR="08293C61">
        <w:t xml:space="preserve">padly </w:t>
      </w:r>
      <w:r w:rsidR="0010434B">
        <w:t>základní teologické předpoklady pro věčnou spásu a zatracení, což odmítl biskup Alvernus a jistě i Grosseteste</w:t>
      </w:r>
      <w:r w:rsidR="085B025C">
        <w:t xml:space="preserve"> jako </w:t>
      </w:r>
      <w:r w:rsidR="085B025C">
        <w:rPr>
          <w:i/>
          <w:iCs/>
        </w:rPr>
        <w:t xml:space="preserve">magister scholarium </w:t>
      </w:r>
      <w:r w:rsidR="085B025C" w:rsidRPr="085B025C">
        <w:rPr>
          <w:iCs/>
        </w:rPr>
        <w:t xml:space="preserve">v Oxfordu. </w:t>
      </w:r>
      <w:r w:rsidR="085B025C">
        <w:t>O</w:t>
      </w:r>
      <w:r w:rsidR="0010434B">
        <w:t xml:space="preserve">ba </w:t>
      </w:r>
      <w:r w:rsidR="085B025C">
        <w:t xml:space="preserve">učenci </w:t>
      </w:r>
      <w:r w:rsidR="0010434B">
        <w:t>pocházeli z pařížské školy prvního averroismu</w:t>
      </w:r>
      <w:r w:rsidR="085B025C">
        <w:t xml:space="preserve"> a byli spojeni s obranou autentického aristotelismu </w:t>
      </w:r>
      <w:r w:rsidR="084120C7">
        <w:t xml:space="preserve">podanou </w:t>
      </w:r>
      <w:r w:rsidR="085B025C">
        <w:t>jako zakladatelskou udá</w:t>
      </w:r>
      <w:r w:rsidR="084120C7">
        <w:t>lost</w:t>
      </w:r>
      <w:r w:rsidR="08BA0628">
        <w:t xml:space="preserve"> Pařížské univerzity (kap. 2</w:t>
      </w:r>
      <w:r w:rsidR="085B025C">
        <w:t>.1.3)</w:t>
      </w:r>
      <w:r w:rsidR="0010434B">
        <w:t>. Po takové herezi spojené s destrukcí jednoty osoby musel Rufus zvolit akademický exil do Paříže</w:t>
      </w:r>
      <w:r w:rsidR="08803671">
        <w:t xml:space="preserve"> </w:t>
      </w:r>
      <w:r w:rsidR="081B6BC9">
        <w:t>pravděpodobně po jmenování Grossetesteho biskupem v Lincolnu (1235)</w:t>
      </w:r>
      <w:r w:rsidR="08AD7076">
        <w:t>. B</w:t>
      </w:r>
      <w:r w:rsidR="0010434B">
        <w:t>ěhem magisterských studií</w:t>
      </w:r>
      <w:r w:rsidR="0010434B" w:rsidRPr="00273106">
        <w:t xml:space="preserve"> Rufus </w:t>
      </w:r>
      <w:r w:rsidR="0010434B">
        <w:t>spoluzakládal modernistickou školu v Paříži, kterou akademicky vybudoval a chránil Bonaventura.</w:t>
      </w:r>
      <w:r w:rsidR="0010434B" w:rsidRPr="00BE36BD">
        <w:t xml:space="preserve"> </w:t>
      </w:r>
    </w:p>
    <w:p w14:paraId="7CD7C9A2" w14:textId="33381EC9" w:rsidR="00F41CB9" w:rsidRPr="00273106" w:rsidRDefault="087669C7" w:rsidP="00771708">
      <w:r w:rsidRPr="00273106">
        <w:tab/>
      </w:r>
      <w:r w:rsidR="08372368" w:rsidRPr="00273106">
        <w:t>Druhý</w:t>
      </w:r>
      <w:r w:rsidR="00890AEA" w:rsidRPr="00273106">
        <w:t xml:space="preserve"> </w:t>
      </w:r>
      <w:r w:rsidR="0086649F" w:rsidRPr="00273106">
        <w:t xml:space="preserve">příklad </w:t>
      </w:r>
      <w:r w:rsidR="006716B4" w:rsidRPr="00273106">
        <w:t xml:space="preserve">sofistického výkladu </w:t>
      </w:r>
      <w:r w:rsidR="002E3B62">
        <w:t>Averroes</w:t>
      </w:r>
      <w:r w:rsidR="080F7710" w:rsidRPr="00273106">
        <w:t>e se týká statutu univerzálií</w:t>
      </w:r>
      <w:r w:rsidR="00D603BC">
        <w:fldChar w:fldCharType="begin"/>
      </w:r>
      <w:r w:rsidR="00D603BC">
        <w:instrText xml:space="preserve"> XE "</w:instrText>
      </w:r>
      <w:r w:rsidR="00D603BC" w:rsidRPr="00FC7608">
        <w:instrText>spor o univerzália</w:instrText>
      </w:r>
      <w:r w:rsidR="00D603BC">
        <w:instrText xml:space="preserve">" </w:instrText>
      </w:r>
      <w:r w:rsidR="00D603BC">
        <w:fldChar w:fldCharType="end"/>
      </w:r>
      <w:r w:rsidR="080F7710" w:rsidRPr="00273106">
        <w:t xml:space="preserve">. </w:t>
      </w:r>
      <w:r w:rsidR="080B3789">
        <w:t xml:space="preserve">Komentátor </w:t>
      </w:r>
      <w:r w:rsidR="0086649F" w:rsidRPr="00273106">
        <w:t>je v tomto bodu striktní a chápe existenci univerzálií pouze v </w:t>
      </w:r>
      <w:r w:rsidR="00CD35F0" w:rsidRPr="00273106">
        <w:t>lidské mysli</w:t>
      </w:r>
      <w:r w:rsidR="00AE3ECE">
        <w:t xml:space="preserve"> (</w:t>
      </w:r>
      <w:r w:rsidR="00AE3ECE" w:rsidRPr="00AE3ECE">
        <w:rPr>
          <w:i/>
        </w:rPr>
        <w:t>intellectus est qui agit in eis universalitatem</w:t>
      </w:r>
      <w:r w:rsidR="00AE3ECE">
        <w:t>)</w:t>
      </w:r>
      <w:r w:rsidR="00CD35F0" w:rsidRPr="00273106">
        <w:t>.</w:t>
      </w:r>
      <w:r w:rsidR="082D7CD5" w:rsidRPr="00273106">
        <w:rPr>
          <w:rStyle w:val="Znakapoznpodarou"/>
        </w:rPr>
        <w:footnoteReference w:id="435"/>
      </w:r>
      <w:r w:rsidR="08FD464A" w:rsidRPr="00273106">
        <w:t xml:space="preserve"> </w:t>
      </w:r>
      <w:r w:rsidR="082D7CD5" w:rsidRPr="00273106">
        <w:t xml:space="preserve">Citát </w:t>
      </w:r>
      <w:r w:rsidR="002C4875" w:rsidRPr="00273106">
        <w:t xml:space="preserve">CMDA </w:t>
      </w:r>
      <w:r w:rsidR="002C4875">
        <w:t>popírá</w:t>
      </w:r>
      <w:r w:rsidR="002C4875" w:rsidRPr="00273106">
        <w:t xml:space="preserve"> </w:t>
      </w:r>
      <w:r w:rsidR="08FD464A" w:rsidRPr="00273106">
        <w:t xml:space="preserve">výklad univerzálií </w:t>
      </w:r>
      <w:r w:rsidR="003C00C6">
        <w:t>nazvaných „</w:t>
      </w:r>
      <w:r w:rsidR="08FD464A" w:rsidRPr="00273106">
        <w:rPr>
          <w:i/>
        </w:rPr>
        <w:t>in re</w:t>
      </w:r>
      <w:r w:rsidR="003C00C6">
        <w:t>“</w:t>
      </w:r>
      <w:r w:rsidR="08FD464A" w:rsidRPr="00273106">
        <w:t>, které druhý averroismus</w:t>
      </w:r>
      <w:r w:rsidR="08BE447C" w:rsidRPr="00273106">
        <w:t xml:space="preserve"> </w:t>
      </w:r>
      <w:r w:rsidR="08046209" w:rsidRPr="00273106">
        <w:t xml:space="preserve">přejal </w:t>
      </w:r>
      <w:r w:rsidR="08DE6CFE">
        <w:t>od Grossetesteho (kap. 3</w:t>
      </w:r>
      <w:r w:rsidR="08BE447C" w:rsidRPr="00273106">
        <w:t>.1.1)</w:t>
      </w:r>
      <w:r w:rsidR="08FD464A" w:rsidRPr="00273106">
        <w:t>.</w:t>
      </w:r>
      <w:r w:rsidR="00CD35F0" w:rsidRPr="00273106">
        <w:t xml:space="preserve"> </w:t>
      </w:r>
      <w:r w:rsidR="00AE3ECE">
        <w:t xml:space="preserve">Rufus radikalizoval </w:t>
      </w:r>
      <w:r w:rsidR="00AE3ECE" w:rsidRPr="00AE3ECE">
        <w:rPr>
          <w:i/>
        </w:rPr>
        <w:t xml:space="preserve">Oxfordian Fallacy </w:t>
      </w:r>
      <w:r w:rsidR="082239B9">
        <w:t xml:space="preserve">a </w:t>
      </w:r>
      <w:r w:rsidR="00AE3ECE">
        <w:t xml:space="preserve">na rozdíl od Grossetesteho </w:t>
      </w:r>
      <w:r w:rsidR="002C4875">
        <w:t>při</w:t>
      </w:r>
      <w:r w:rsidR="00AE3ECE">
        <w:t xml:space="preserve">dal </w:t>
      </w:r>
      <w:r w:rsidR="002C4875">
        <w:t xml:space="preserve">k </w:t>
      </w:r>
      <w:r w:rsidR="00AE3ECE">
        <w:t xml:space="preserve">esenci </w:t>
      </w:r>
      <w:r w:rsidR="002C4875">
        <w:t>ve středním</w:t>
      </w:r>
      <w:r w:rsidR="00AE3ECE">
        <w:t xml:space="preserve"> členu vědeckého důkazu také kauzalitu třetího druhu</w:t>
      </w:r>
      <w:r w:rsidR="082239B9">
        <w:t xml:space="preserve"> podanou skrze univerzální hylemorfismus</w:t>
      </w:r>
      <w:r w:rsidR="00AE3ECE">
        <w:t xml:space="preserve">. </w:t>
      </w:r>
      <w:r w:rsidR="084E0F1F">
        <w:t>V</w:t>
      </w:r>
      <w:r w:rsidR="00AE3ECE">
        <w:t xml:space="preserve">e škole modernistů </w:t>
      </w:r>
      <w:r w:rsidR="084E0F1F">
        <w:t xml:space="preserve">přestala </w:t>
      </w:r>
      <w:r w:rsidR="00AE3ECE">
        <w:t xml:space="preserve">platit Aristotelova metafyzika podaná </w:t>
      </w:r>
      <w:r w:rsidR="082F2D63">
        <w:rPr>
          <w:i/>
        </w:rPr>
        <w:t>ad mentem Averrois</w:t>
      </w:r>
      <w:r w:rsidR="00E62B33">
        <w:rPr>
          <w:i/>
        </w:rPr>
        <w:fldChar w:fldCharType="begin"/>
      </w:r>
      <w:r w:rsidR="00E62B33">
        <w:instrText xml:space="preserve"> XE "</w:instrText>
      </w:r>
      <w:r w:rsidR="082F2D63">
        <w:rPr>
          <w:i/>
        </w:rPr>
        <w:instrText>ad mentem Averrois</w:instrText>
      </w:r>
      <w:r w:rsidR="00E62B33">
        <w:instrText xml:space="preserve">" </w:instrText>
      </w:r>
      <w:r w:rsidR="00E62B33">
        <w:rPr>
          <w:i/>
        </w:rPr>
        <w:fldChar w:fldCharType="end"/>
      </w:r>
      <w:r w:rsidR="00AE3ECE">
        <w:t xml:space="preserve">. </w:t>
      </w:r>
      <w:r w:rsidR="00CB68CE" w:rsidRPr="00273106">
        <w:t xml:space="preserve">Spis </w:t>
      </w:r>
      <w:r w:rsidR="00CB68CE" w:rsidRPr="00273106">
        <w:rPr>
          <w:i/>
        </w:rPr>
        <w:t>Memoriale</w:t>
      </w:r>
      <w:r w:rsidR="00CB68CE" w:rsidRPr="00273106">
        <w:t xml:space="preserve"> přip</w:t>
      </w:r>
      <w:r w:rsidR="0059280C">
        <w:t>omíná Komentátorovu pozici</w:t>
      </w:r>
      <w:r w:rsidR="00CB68CE" w:rsidRPr="00273106">
        <w:t>, že univerzália jsou pouze v mysli (</w:t>
      </w:r>
      <w:r w:rsidR="00CB68CE" w:rsidRPr="00273106">
        <w:rPr>
          <w:i/>
        </w:rPr>
        <w:t>per Commentatorem, dicentem quod universalia solum habent esse in anima, Memoriale</w:t>
      </w:r>
      <w:r w:rsidR="00CB68CE" w:rsidRPr="00273106">
        <w:t xml:space="preserve"> </w:t>
      </w:r>
      <w:r w:rsidR="003B3580" w:rsidRPr="00273106">
        <w:t>7</w:t>
      </w:r>
      <w:r w:rsidR="00CB68CE" w:rsidRPr="00273106">
        <w:t>.8</w:t>
      </w:r>
      <w:r w:rsidR="00187FF7">
        <w:fldChar w:fldCharType="begin"/>
      </w:r>
      <w:r w:rsidR="00187FF7">
        <w:instrText xml:space="preserve"> XE "Rufus:</w:instrText>
      </w:r>
      <w:r w:rsidR="00187FF7" w:rsidRPr="005A6A8A">
        <w:rPr>
          <w:i/>
        </w:rPr>
        <w:instrText>Memoriale</w:instrText>
      </w:r>
      <w:r w:rsidR="00187FF7" w:rsidRPr="005A6A8A">
        <w:instrText xml:space="preserve"> 7.8</w:instrText>
      </w:r>
      <w:r w:rsidR="00187FF7">
        <w:instrText xml:space="preserve">" </w:instrText>
      </w:r>
      <w:r w:rsidR="00187FF7">
        <w:fldChar w:fldCharType="end"/>
      </w:r>
      <w:r w:rsidR="00F57CEB" w:rsidRPr="00273106">
        <w:t xml:space="preserve">). </w:t>
      </w:r>
      <w:r w:rsidR="00CD35F0" w:rsidRPr="00273106">
        <w:t>Rufus shrnuje učení</w:t>
      </w:r>
      <w:r w:rsidR="003D4ABC" w:rsidRPr="00273106">
        <w:t xml:space="preserve"> CMDA</w:t>
      </w:r>
      <w:r w:rsidR="002C39AB" w:rsidRPr="00273106">
        <w:t xml:space="preserve"> a pak </w:t>
      </w:r>
      <w:r w:rsidR="00F41CB9" w:rsidRPr="00273106">
        <w:t xml:space="preserve">otočí </w:t>
      </w:r>
      <w:r w:rsidR="002C39AB" w:rsidRPr="00273106">
        <w:t xml:space="preserve">jeho smysl </w:t>
      </w:r>
      <w:r w:rsidR="00F41CB9" w:rsidRPr="00273106">
        <w:t xml:space="preserve">stejně hbitě jako </w:t>
      </w:r>
      <w:r w:rsidR="0070693E">
        <w:t>to udělal v případě Aristotelova</w:t>
      </w:r>
      <w:r w:rsidR="00F41CB9" w:rsidRPr="00273106">
        <w:t xml:space="preserve"> výklad</w:t>
      </w:r>
      <w:r w:rsidR="0070693E">
        <w:t>u</w:t>
      </w:r>
      <w:r w:rsidR="00F41CB9" w:rsidRPr="00273106">
        <w:t xml:space="preserve"> </w:t>
      </w:r>
      <w:r w:rsidR="00F41CB9" w:rsidRPr="0070693E">
        <w:rPr>
          <w:i/>
        </w:rPr>
        <w:t>Druhých analytik</w:t>
      </w:r>
      <w:r w:rsidR="00F41CB9" w:rsidRPr="00273106">
        <w:t>.</w:t>
      </w:r>
      <w:r w:rsidR="00E5382D" w:rsidRPr="00273106">
        <w:t xml:space="preserve"> </w:t>
      </w:r>
      <w:r w:rsidR="00C4581E">
        <w:t>Spor o h</w:t>
      </w:r>
      <w:r w:rsidR="00A327A2">
        <w:t xml:space="preserve">yparchickou </w:t>
      </w:r>
      <w:r w:rsidR="00557DF7">
        <w:t xml:space="preserve">existenci univerzálií </w:t>
      </w:r>
      <w:r w:rsidR="00C4581E">
        <w:t xml:space="preserve">rozběhl </w:t>
      </w:r>
      <w:r w:rsidR="00557DF7">
        <w:t>tento citát.</w:t>
      </w:r>
    </w:p>
    <w:p w14:paraId="7D5F405D" w14:textId="77777777" w:rsidR="006F225E" w:rsidRPr="00273106" w:rsidRDefault="00F41CB9" w:rsidP="006F225E">
      <w:pPr>
        <w:pStyle w:val="Citace"/>
        <w:rPr>
          <w:noProof/>
          <w:lang w:val="cs-CZ"/>
        </w:rPr>
      </w:pPr>
      <w:r w:rsidRPr="00273106">
        <w:rPr>
          <w:noProof/>
          <w:lang w:val="cs-CZ"/>
        </w:rPr>
        <w:t>„</w:t>
      </w:r>
      <w:r w:rsidR="008E02F5">
        <w:rPr>
          <w:noProof/>
          <w:lang w:val="cs-CZ"/>
        </w:rPr>
        <w:t>Aristoteles</w:t>
      </w:r>
      <w:r w:rsidR="00D35DC9">
        <w:rPr>
          <w:noProof/>
          <w:lang w:val="cs-CZ"/>
        </w:rPr>
        <w:t xml:space="preserve"> nejen </w:t>
      </w:r>
      <w:r w:rsidR="006F225E" w:rsidRPr="00273106">
        <w:rPr>
          <w:noProof/>
          <w:lang w:val="cs-CZ"/>
        </w:rPr>
        <w:t xml:space="preserve">řekl, že forma má </w:t>
      </w:r>
      <w:r w:rsidR="00D35DC9" w:rsidRPr="00273106">
        <w:rPr>
          <w:noProof/>
          <w:lang w:val="cs-CZ"/>
        </w:rPr>
        <w:t>univer</w:t>
      </w:r>
      <w:r w:rsidR="00D35DC9">
        <w:rPr>
          <w:noProof/>
          <w:lang w:val="cs-CZ"/>
        </w:rPr>
        <w:t>z</w:t>
      </w:r>
      <w:r w:rsidR="00D35DC9" w:rsidRPr="00273106">
        <w:rPr>
          <w:noProof/>
          <w:lang w:val="cs-CZ"/>
        </w:rPr>
        <w:t>ál</w:t>
      </w:r>
      <w:r w:rsidR="00D35DC9">
        <w:rPr>
          <w:noProof/>
          <w:lang w:val="cs-CZ"/>
        </w:rPr>
        <w:t xml:space="preserve">ní </w:t>
      </w:r>
      <w:r w:rsidR="00745826">
        <w:rPr>
          <w:noProof/>
          <w:lang w:val="cs-CZ"/>
        </w:rPr>
        <w:t>bytí</w:t>
      </w:r>
      <w:r w:rsidR="00D35DC9">
        <w:rPr>
          <w:noProof/>
          <w:lang w:val="cs-CZ"/>
        </w:rPr>
        <w:t xml:space="preserve">, ale také řekl, že toto bytí je buď </w:t>
      </w:r>
      <w:r w:rsidR="00745826">
        <w:rPr>
          <w:noProof/>
          <w:lang w:val="cs-CZ"/>
        </w:rPr>
        <w:t xml:space="preserve">v duši, </w:t>
      </w:r>
      <w:r w:rsidR="00D35DC9">
        <w:rPr>
          <w:noProof/>
          <w:lang w:val="cs-CZ"/>
        </w:rPr>
        <w:t xml:space="preserve">nebo mimo ni </w:t>
      </w:r>
      <w:r w:rsidR="00470849">
        <w:rPr>
          <w:noProof/>
          <w:lang w:val="cs-CZ"/>
        </w:rPr>
        <w:t>(</w:t>
      </w:r>
      <w:r w:rsidR="00470849" w:rsidRPr="00470849">
        <w:rPr>
          <w:i/>
        </w:rPr>
        <w:t>habet esse extra animam</w:t>
      </w:r>
      <w:r w:rsidR="00470849">
        <w:rPr>
          <w:noProof/>
          <w:lang w:val="cs-CZ"/>
        </w:rPr>
        <w:t>)</w:t>
      </w:r>
      <w:r w:rsidR="006F225E" w:rsidRPr="00273106">
        <w:rPr>
          <w:noProof/>
          <w:lang w:val="cs-CZ"/>
        </w:rPr>
        <w:t xml:space="preserve">. </w:t>
      </w:r>
      <w:r w:rsidR="00B01B73">
        <w:rPr>
          <w:noProof/>
          <w:lang w:val="cs-CZ"/>
        </w:rPr>
        <w:t>První danost j</w:t>
      </w:r>
      <w:r w:rsidR="003D5008">
        <w:rPr>
          <w:noProof/>
          <w:lang w:val="cs-CZ"/>
        </w:rPr>
        <w:t xml:space="preserve">e dána tím, že univerzália jsou </w:t>
      </w:r>
      <w:r w:rsidR="08056025">
        <w:rPr>
          <w:noProof/>
          <w:lang w:val="cs-CZ"/>
        </w:rPr>
        <w:t xml:space="preserve">v mnohosti reálných </w:t>
      </w:r>
      <w:r w:rsidR="003D5008">
        <w:rPr>
          <w:noProof/>
          <w:lang w:val="cs-CZ"/>
        </w:rPr>
        <w:t>vě</w:t>
      </w:r>
      <w:r w:rsidR="08056025">
        <w:rPr>
          <w:noProof/>
          <w:lang w:val="cs-CZ"/>
        </w:rPr>
        <w:t>cí</w:t>
      </w:r>
      <w:r w:rsidR="003D5008">
        <w:rPr>
          <w:noProof/>
          <w:lang w:val="cs-CZ"/>
        </w:rPr>
        <w:t xml:space="preserve"> (</w:t>
      </w:r>
      <w:r w:rsidR="003D5008" w:rsidRPr="003D5008">
        <w:rPr>
          <w:i/>
        </w:rPr>
        <w:t>in multis</w:t>
      </w:r>
      <w:r w:rsidR="003D5008">
        <w:rPr>
          <w:noProof/>
          <w:lang w:val="cs-CZ"/>
        </w:rPr>
        <w:t xml:space="preserve">) </w:t>
      </w:r>
      <w:r w:rsidR="00B01B73">
        <w:rPr>
          <w:noProof/>
          <w:lang w:val="cs-CZ"/>
        </w:rPr>
        <w:t>a druhá danost je dána tím, že u</w:t>
      </w:r>
      <w:r w:rsidR="003D5008">
        <w:rPr>
          <w:noProof/>
          <w:lang w:val="cs-CZ"/>
        </w:rPr>
        <w:t xml:space="preserve">niverzália jsou dána </w:t>
      </w:r>
      <w:r w:rsidR="080072D5">
        <w:rPr>
          <w:noProof/>
          <w:lang w:val="cs-CZ"/>
        </w:rPr>
        <w:t xml:space="preserve">v </w:t>
      </w:r>
      <w:r w:rsidR="003D5008">
        <w:rPr>
          <w:noProof/>
          <w:lang w:val="cs-CZ"/>
        </w:rPr>
        <w:t>jednotliv</w:t>
      </w:r>
      <w:r w:rsidR="080072D5">
        <w:rPr>
          <w:noProof/>
          <w:lang w:val="cs-CZ"/>
        </w:rPr>
        <w:t>inách</w:t>
      </w:r>
      <w:r w:rsidR="003D5008">
        <w:rPr>
          <w:noProof/>
          <w:lang w:val="cs-CZ"/>
        </w:rPr>
        <w:t xml:space="preserve"> (</w:t>
      </w:r>
      <w:r w:rsidR="003D5008" w:rsidRPr="003D5008">
        <w:rPr>
          <w:i/>
          <w:noProof/>
          <w:lang w:val="cs-CZ"/>
        </w:rPr>
        <w:t>in singulis</w:t>
      </w:r>
      <w:r w:rsidR="003D5008">
        <w:rPr>
          <w:noProof/>
          <w:lang w:val="cs-CZ"/>
        </w:rPr>
        <w:t>)</w:t>
      </w:r>
      <w:r w:rsidR="00B01B73">
        <w:rPr>
          <w:noProof/>
          <w:lang w:val="cs-CZ"/>
        </w:rPr>
        <w:t xml:space="preserve">. </w:t>
      </w:r>
      <w:r w:rsidR="006F225E" w:rsidRPr="00273106">
        <w:rPr>
          <w:noProof/>
          <w:lang w:val="cs-CZ"/>
        </w:rPr>
        <w:t>Proto lze říci, že univerzália existují v duši a v realitě</w:t>
      </w:r>
      <w:r w:rsidR="00557DF7">
        <w:rPr>
          <w:noProof/>
          <w:lang w:val="cs-CZ"/>
        </w:rPr>
        <w:t xml:space="preserve"> (</w:t>
      </w:r>
      <w:r w:rsidR="00557DF7" w:rsidRPr="00557DF7">
        <w:rPr>
          <w:i/>
        </w:rPr>
        <w:t>universale habere esse in anima et extra animam</w:t>
      </w:r>
      <w:r w:rsidR="00557DF7">
        <w:rPr>
          <w:noProof/>
          <w:lang w:val="cs-CZ"/>
        </w:rPr>
        <w:t>)</w:t>
      </w:r>
      <w:r w:rsidR="006F225E" w:rsidRPr="00273106">
        <w:rPr>
          <w:noProof/>
          <w:lang w:val="cs-CZ"/>
        </w:rPr>
        <w:t xml:space="preserve">.“ </w:t>
      </w:r>
      <w:r w:rsidR="006F225E" w:rsidRPr="00273106">
        <w:rPr>
          <w:rStyle w:val="Znakapoznpodarou"/>
          <w:noProof/>
          <w:lang w:val="cs-CZ"/>
        </w:rPr>
        <w:footnoteReference w:id="436"/>
      </w:r>
    </w:p>
    <w:p w14:paraId="4A351B02" w14:textId="57506E87" w:rsidR="00BD2066" w:rsidRPr="005552FC" w:rsidRDefault="00F41CB9" w:rsidP="00771708">
      <w:pPr>
        <w:rPr>
          <w:i/>
        </w:rPr>
      </w:pPr>
      <w:r w:rsidRPr="00273106">
        <w:t xml:space="preserve">Citát </w:t>
      </w:r>
      <w:r w:rsidR="008C26C8" w:rsidRPr="00273106">
        <w:t xml:space="preserve">staví </w:t>
      </w:r>
      <w:r w:rsidR="002221D4" w:rsidRPr="00273106">
        <w:t xml:space="preserve">Aristotela proti </w:t>
      </w:r>
      <w:r w:rsidR="002E3B62">
        <w:t>Averroes</w:t>
      </w:r>
      <w:r w:rsidR="002221D4" w:rsidRPr="00273106">
        <w:t xml:space="preserve">ovi. Stagirita </w:t>
      </w:r>
      <w:r w:rsidR="002F6863" w:rsidRPr="00273106">
        <w:t>prý tvrdí, že univerzál</w:t>
      </w:r>
      <w:r w:rsidR="002221D4" w:rsidRPr="00273106">
        <w:t xml:space="preserve">ia jako formy mají existenci jak v </w:t>
      </w:r>
      <w:r w:rsidR="00D5482A" w:rsidRPr="00273106">
        <w:t>mysl</w:t>
      </w:r>
      <w:r w:rsidR="002221D4" w:rsidRPr="00273106">
        <w:t>i, tak i mimo ni</w:t>
      </w:r>
      <w:r w:rsidR="00D5482A" w:rsidRPr="00273106">
        <w:t>.</w:t>
      </w:r>
      <w:r w:rsidR="08372368" w:rsidRPr="00273106">
        <w:t xml:space="preserve"> Když univerzálii</w:t>
      </w:r>
      <w:r w:rsidR="009A6586" w:rsidRPr="00273106">
        <w:t xml:space="preserve"> </w:t>
      </w:r>
      <w:r w:rsidR="002221D4" w:rsidRPr="00273106">
        <w:t>chápeme jako formu jednotliviny (</w:t>
      </w:r>
      <w:r w:rsidR="002221D4" w:rsidRPr="00273106">
        <w:rPr>
          <w:i/>
        </w:rPr>
        <w:t>inquantum est in singulis</w:t>
      </w:r>
      <w:r w:rsidR="002221D4" w:rsidRPr="00273106">
        <w:t xml:space="preserve">), pak je </w:t>
      </w:r>
      <w:r w:rsidR="00FF6516">
        <w:t xml:space="preserve">i </w:t>
      </w:r>
      <w:r w:rsidR="002221D4" w:rsidRPr="00273106">
        <w:t>mimo duši</w:t>
      </w:r>
      <w:r w:rsidR="00E103E8">
        <w:t>, protože tvoří hypo</w:t>
      </w:r>
      <w:r w:rsidR="00382D5A">
        <w:t>stázovanou porretánskou</w:t>
      </w:r>
      <w:r w:rsidR="00E103E8">
        <w:t xml:space="preserve"> </w:t>
      </w:r>
      <w:r w:rsidR="004B4D52" w:rsidRPr="004B4D52">
        <w:t>species</w:t>
      </w:r>
      <w:r w:rsidR="00382D5A">
        <w:t xml:space="preserve"> vybavenou</w:t>
      </w:r>
      <w:r w:rsidR="00E103E8">
        <w:t xml:space="preserve"> numerickou jednotou. Když </w:t>
      </w:r>
      <w:r w:rsidR="002221D4" w:rsidRPr="00273106">
        <w:t xml:space="preserve">chápeme </w:t>
      </w:r>
      <w:r w:rsidR="00E103E8" w:rsidRPr="00273106">
        <w:t xml:space="preserve">univerzálii </w:t>
      </w:r>
      <w:r w:rsidR="00E103E8">
        <w:t xml:space="preserve">skrze </w:t>
      </w:r>
      <w:r w:rsidR="002221D4" w:rsidRPr="00273106">
        <w:t>akt abstrakce (</w:t>
      </w:r>
      <w:r w:rsidR="002221D4" w:rsidRPr="00273106">
        <w:rPr>
          <w:i/>
        </w:rPr>
        <w:t>inquantum est in multis</w:t>
      </w:r>
      <w:r w:rsidR="002221D4" w:rsidRPr="00273106">
        <w:t xml:space="preserve">), pak je </w:t>
      </w:r>
      <w:r w:rsidR="00E103E8">
        <w:t xml:space="preserve">dána pouze </w:t>
      </w:r>
      <w:r w:rsidR="00FF6516">
        <w:t xml:space="preserve">v duši, protože tvoří intencionální </w:t>
      </w:r>
      <w:r w:rsidR="004B4D52" w:rsidRPr="004B4D52">
        <w:t>species</w:t>
      </w:r>
      <w:r w:rsidR="00FF6516">
        <w:t xml:space="preserve"> danou v procesu aristotelské abstrakce.</w:t>
      </w:r>
      <w:r w:rsidR="002221D4" w:rsidRPr="00273106">
        <w:t xml:space="preserve"> </w:t>
      </w:r>
      <w:r w:rsidR="08BB45C9">
        <w:t xml:space="preserve">První oxfordský analytik diskrétně pozorující svět pod vlivem </w:t>
      </w:r>
      <w:r w:rsidR="08BB45C9" w:rsidRPr="08BB45C9">
        <w:rPr>
          <w:i/>
        </w:rPr>
        <w:t>Oxfordian Fallacy</w:t>
      </w:r>
      <w:r w:rsidR="08BB45C9">
        <w:t xml:space="preserve"> vůbec </w:t>
      </w:r>
      <w:r w:rsidR="0082573E" w:rsidRPr="00273106">
        <w:t xml:space="preserve">nerozlišuje fakt, že forma v první substanci je daná </w:t>
      </w:r>
      <w:r w:rsidR="00533873">
        <w:t xml:space="preserve">aktuálně </w:t>
      </w:r>
      <w:r w:rsidR="0082573E" w:rsidRPr="00273106">
        <w:rPr>
          <w:i/>
        </w:rPr>
        <w:t>simpliciter</w:t>
      </w:r>
      <w:r w:rsidR="08BB45C9">
        <w:t xml:space="preserve"> a </w:t>
      </w:r>
      <w:r w:rsidR="0082573E" w:rsidRPr="00273106">
        <w:t xml:space="preserve">má úplně jiný způsob existence než </w:t>
      </w:r>
      <w:r w:rsidR="08A30F67" w:rsidRPr="00273106">
        <w:t xml:space="preserve">univerzální </w:t>
      </w:r>
      <w:r w:rsidR="0082573E" w:rsidRPr="00273106">
        <w:t xml:space="preserve">forma poznaná v mysli. </w:t>
      </w:r>
      <w:r w:rsidR="08247344" w:rsidRPr="00273106">
        <w:t xml:space="preserve">Realita první substance nemá na poznání žádný podstatný vliv, </w:t>
      </w:r>
      <w:r w:rsidR="088E0E8E">
        <w:t xml:space="preserve">protože </w:t>
      </w:r>
      <w:r w:rsidR="08CE275C">
        <w:t xml:space="preserve">moderní </w:t>
      </w:r>
      <w:r w:rsidR="08010DDA">
        <w:t xml:space="preserve">metafyziku </w:t>
      </w:r>
      <w:r w:rsidR="088E0E8E">
        <w:t>řídí model pravdy založený na jistotě poznávajícího subjektu</w:t>
      </w:r>
      <w:r w:rsidR="003A3D44">
        <w:t xml:space="preserve">. </w:t>
      </w:r>
      <w:r w:rsidR="00BD2066" w:rsidRPr="00273106">
        <w:t xml:space="preserve">Zbytečnost první substance pro poznání </w:t>
      </w:r>
      <w:r w:rsidR="0082573E" w:rsidRPr="00273106">
        <w:t xml:space="preserve">ukazuje spis proti </w:t>
      </w:r>
      <w:r w:rsidR="002E3B62">
        <w:t>Averroes</w:t>
      </w:r>
      <w:r w:rsidR="0082573E" w:rsidRPr="00273106">
        <w:t>ovi</w:t>
      </w:r>
      <w:r w:rsidR="00852227" w:rsidRPr="00273106">
        <w:t xml:space="preserve"> koncipovaný ve stejné době jako </w:t>
      </w:r>
      <w:r w:rsidR="00852227" w:rsidRPr="00273106">
        <w:rPr>
          <w:i/>
        </w:rPr>
        <w:t>Memoriale</w:t>
      </w:r>
      <w:r w:rsidR="0082573E" w:rsidRPr="00273106">
        <w:t>.</w:t>
      </w:r>
      <w:r w:rsidR="004F2B68">
        <w:t xml:space="preserve"> </w:t>
      </w:r>
      <w:r w:rsidR="00A21DB1">
        <w:t>Pohyb formy zakládá efektivní kauzalitu, jejímž posledním produktem je individuum</w:t>
      </w:r>
      <w:r w:rsidR="00A613FC">
        <w:t xml:space="preserve"> Rufuse</w:t>
      </w:r>
      <w:r w:rsidR="00A21DB1">
        <w:t xml:space="preserve">. </w:t>
      </w:r>
      <w:r w:rsidR="004F2B68" w:rsidRPr="00273106">
        <w:t xml:space="preserve">Logika dělení v rámci </w:t>
      </w:r>
      <w:r w:rsidR="00BB45B1">
        <w:t>Porfyri</w:t>
      </w:r>
      <w:r w:rsidR="004F2B68" w:rsidRPr="00273106">
        <w:t xml:space="preserve">ova stromu vyžaduje, aby proces individuace šel až ke </w:t>
      </w:r>
      <w:r w:rsidR="004B4D52" w:rsidRPr="004B4D52">
        <w:t>species</w:t>
      </w:r>
      <w:r w:rsidR="004F2B68"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4F2B68">
        <w:t xml:space="preserve">. To pak </w:t>
      </w:r>
      <w:r w:rsidR="004F2B68" w:rsidRPr="00273106">
        <w:t>hraje kauzální roli při dělení materie třetího druhu</w:t>
      </w:r>
      <w:r w:rsidR="004F2B68">
        <w:t xml:space="preserve"> až na poslední </w:t>
      </w:r>
      <w:r w:rsidR="00C20CCC">
        <w:t xml:space="preserve">nedělitelné </w:t>
      </w:r>
      <w:r w:rsidR="00DD11AF">
        <w:t>individ</w:t>
      </w:r>
      <w:r w:rsidR="004F2B68">
        <w:t>uum.</w:t>
      </w:r>
      <w:r w:rsidR="00164988">
        <w:t xml:space="preserve"> </w:t>
      </w:r>
      <w:r w:rsidR="088534D2">
        <w:t xml:space="preserve">Tímto stylem </w:t>
      </w:r>
      <w:r w:rsidR="08CD5A5D">
        <w:t xml:space="preserve">koncipoval </w:t>
      </w:r>
      <w:r w:rsidR="088534D2">
        <w:t xml:space="preserve">David z Dinantu univerzální </w:t>
      </w:r>
      <w:r w:rsidR="08CD5A5D">
        <w:t>panteismus</w:t>
      </w:r>
      <w:r w:rsidR="082F3823">
        <w:fldChar w:fldCharType="begin"/>
      </w:r>
      <w:r w:rsidR="082F3823">
        <w:instrText xml:space="preserve"> XE "</w:instrText>
      </w:r>
      <w:r w:rsidR="082F3823" w:rsidRPr="08F167B9">
        <w:instrText>panteismus</w:instrText>
      </w:r>
      <w:r w:rsidR="082F3823">
        <w:instrText xml:space="preserve">" </w:instrText>
      </w:r>
      <w:r w:rsidR="082F3823">
        <w:fldChar w:fldCharType="end"/>
      </w:r>
      <w:r w:rsidR="08CD5A5D">
        <w:t xml:space="preserve"> </w:t>
      </w:r>
      <w:r w:rsidR="088534D2">
        <w:t xml:space="preserve">materie a intelektu </w:t>
      </w:r>
      <w:r w:rsidR="082D6AD2">
        <w:fldChar w:fldCharType="begin"/>
      </w:r>
      <w:r w:rsidR="082D6AD2">
        <w:instrText xml:space="preserve"> XE "</w:instrText>
      </w:r>
      <w:r w:rsidR="082D6AD2" w:rsidRPr="080032B7">
        <w:instrText>David z Dinantu</w:instrText>
      </w:r>
      <w:r w:rsidR="082D6AD2">
        <w:instrText xml:space="preserve">" </w:instrText>
      </w:r>
      <w:r w:rsidR="082D6AD2">
        <w:fldChar w:fldCharType="end"/>
      </w:r>
      <w:r w:rsidR="085F6FB7">
        <w:t xml:space="preserve"> (kap. 2</w:t>
      </w:r>
      <w:r w:rsidR="082D6AD2">
        <w:t>.1.3). A</w:t>
      </w:r>
      <w:r w:rsidR="08CD5A5D">
        <w:t>le Rufus je opatrnější</w:t>
      </w:r>
      <w:r w:rsidR="082D6AD2">
        <w:t xml:space="preserve"> a vyd</w:t>
      </w:r>
      <w:r w:rsidR="08271583">
        <w:t>ělil boha z univerzálního an</w:t>
      </w:r>
      <w:r w:rsidR="082D6AD2">
        <w:t>a</w:t>
      </w:r>
      <w:r w:rsidR="08271583">
        <w:t>ly</w:t>
      </w:r>
      <w:r w:rsidR="082D6AD2">
        <w:t>tického třídění reality</w:t>
      </w:r>
      <w:r w:rsidR="08CD5A5D">
        <w:t xml:space="preserve">. </w:t>
      </w:r>
      <w:r w:rsidR="00164988">
        <w:t>Zdvojení světa a první substance v paralelním diakosmu moderny ukazuje tento citát.</w:t>
      </w:r>
    </w:p>
    <w:p w14:paraId="7259F2DE" w14:textId="4BAD7154" w:rsidR="00BD2066" w:rsidRPr="00273106" w:rsidRDefault="0082573E" w:rsidP="001F6C08">
      <w:pPr>
        <w:pStyle w:val="Citace"/>
        <w:rPr>
          <w:noProof/>
          <w:lang w:val="cs-CZ"/>
        </w:rPr>
      </w:pPr>
      <w:r w:rsidRPr="00273106">
        <w:rPr>
          <w:noProof/>
          <w:lang w:val="cs-CZ"/>
        </w:rPr>
        <w:t>„</w:t>
      </w:r>
      <w:r w:rsidR="00533873">
        <w:rPr>
          <w:noProof/>
          <w:lang w:val="cs-CZ"/>
        </w:rPr>
        <w:t>Přirozenost poslední</w:t>
      </w:r>
      <w:r w:rsidR="001F6C08" w:rsidRPr="00273106">
        <w:rPr>
          <w:noProof/>
          <w:lang w:val="cs-CZ"/>
        </w:rPr>
        <w:t xml:space="preserve"> </w:t>
      </w:r>
      <w:r w:rsidR="004B4D52" w:rsidRPr="004B4D52">
        <w:rPr>
          <w:noProof/>
          <w:lang w:val="cs-CZ"/>
        </w:rPr>
        <w:t>species</w:t>
      </w:r>
      <w:r w:rsidR="001F6C08" w:rsidRPr="00273106">
        <w:rPr>
          <w:noProof/>
          <w:lang w:val="cs-CZ"/>
        </w:rPr>
        <w:t xml:space="preserve"> je poznatelná skrze</w:t>
      </w:r>
      <w:r w:rsidR="00BD5467">
        <w:rPr>
          <w:noProof/>
          <w:lang w:val="cs-CZ"/>
        </w:rPr>
        <w:t xml:space="preserve"> sebe</w:t>
      </w:r>
      <w:r w:rsidR="00A50174">
        <w:rPr>
          <w:noProof/>
          <w:lang w:val="cs-CZ"/>
        </w:rPr>
        <w:t xml:space="preserve"> (</w:t>
      </w:r>
      <w:r w:rsidR="00A50174" w:rsidRPr="00A50174">
        <w:rPr>
          <w:i/>
        </w:rPr>
        <w:t>per se est intelligibilis</w:t>
      </w:r>
      <w:r w:rsidR="00A50174">
        <w:rPr>
          <w:noProof/>
          <w:lang w:val="cs-CZ"/>
        </w:rPr>
        <w:t>)</w:t>
      </w:r>
      <w:r w:rsidR="00BD5467">
        <w:rPr>
          <w:noProof/>
          <w:lang w:val="cs-CZ"/>
        </w:rPr>
        <w:t xml:space="preserve">. </w:t>
      </w:r>
      <w:r w:rsidR="009E0603">
        <w:rPr>
          <w:noProof/>
          <w:lang w:val="cs-CZ"/>
        </w:rPr>
        <w:t>C</w:t>
      </w:r>
      <w:r w:rsidR="001F6C08" w:rsidRPr="00273106">
        <w:rPr>
          <w:noProof/>
          <w:lang w:val="cs-CZ"/>
        </w:rPr>
        <w:t xml:space="preserve">o je přidáno k této specifické formě, </w:t>
      </w:r>
      <w:r w:rsidR="009E0603">
        <w:rPr>
          <w:noProof/>
          <w:lang w:val="cs-CZ"/>
        </w:rPr>
        <w:t xml:space="preserve">to </w:t>
      </w:r>
      <w:r w:rsidR="001F6C08" w:rsidRPr="00273106">
        <w:rPr>
          <w:noProof/>
          <w:lang w:val="cs-CZ"/>
        </w:rPr>
        <w:t xml:space="preserve">je příčinou </w:t>
      </w:r>
      <w:r w:rsidR="008262C1">
        <w:rPr>
          <w:noProof/>
          <w:lang w:val="cs-CZ"/>
        </w:rPr>
        <w:t xml:space="preserve">následné individuace a </w:t>
      </w:r>
      <w:r w:rsidR="084829E4">
        <w:rPr>
          <w:noProof/>
          <w:lang w:val="cs-CZ"/>
        </w:rPr>
        <w:t xml:space="preserve">tato příčina je </w:t>
      </w:r>
      <w:r w:rsidR="008262C1">
        <w:rPr>
          <w:noProof/>
          <w:lang w:val="cs-CZ"/>
        </w:rPr>
        <w:t xml:space="preserve">přímo </w:t>
      </w:r>
      <w:r w:rsidR="084829E4">
        <w:rPr>
          <w:noProof/>
          <w:lang w:val="cs-CZ"/>
        </w:rPr>
        <w:t>poznatelná</w:t>
      </w:r>
      <w:r w:rsidR="001F6C08" w:rsidRPr="00273106">
        <w:rPr>
          <w:noProof/>
          <w:lang w:val="cs-CZ"/>
        </w:rPr>
        <w:t xml:space="preserve"> (</w:t>
      </w:r>
      <w:r w:rsidR="001F6C08" w:rsidRPr="00273106">
        <w:rPr>
          <w:i/>
          <w:noProof/>
          <w:lang w:val="cs-CZ"/>
        </w:rPr>
        <w:t>scibile</w:t>
      </w:r>
      <w:r w:rsidR="001F6C08" w:rsidRPr="00273106">
        <w:rPr>
          <w:noProof/>
          <w:lang w:val="cs-CZ"/>
        </w:rPr>
        <w:t>). Jinak by byla otázka individuace neře</w:t>
      </w:r>
      <w:r w:rsidR="001C4788">
        <w:rPr>
          <w:noProof/>
          <w:lang w:val="cs-CZ"/>
        </w:rPr>
        <w:t xml:space="preserve">šitelná, protože by </w:t>
      </w:r>
      <w:r w:rsidR="087C11E3">
        <w:rPr>
          <w:noProof/>
          <w:lang w:val="cs-CZ"/>
        </w:rPr>
        <w:t xml:space="preserve">nemohla najít </w:t>
      </w:r>
      <w:r w:rsidR="001F6C08" w:rsidRPr="00273106">
        <w:rPr>
          <w:noProof/>
          <w:lang w:val="cs-CZ"/>
        </w:rPr>
        <w:t>příčinu individuace.“</w:t>
      </w:r>
      <w:r w:rsidR="00BD2066" w:rsidRPr="00273106">
        <w:rPr>
          <w:rStyle w:val="Znakapoznpodarou"/>
          <w:noProof/>
          <w:lang w:val="cs-CZ"/>
        </w:rPr>
        <w:footnoteReference w:id="437"/>
      </w:r>
    </w:p>
    <w:p w14:paraId="7FC71200" w14:textId="3564B42F" w:rsidR="001F5A4C" w:rsidRPr="00273106" w:rsidRDefault="003E6304" w:rsidP="00771708">
      <w:r w:rsidRPr="00273106">
        <w:t xml:space="preserve">Poslední jednotka univerzálního významu je </w:t>
      </w:r>
      <w:r w:rsidR="004B4D52" w:rsidRPr="004B4D52">
        <w:t>species</w:t>
      </w:r>
      <w:r w:rsidRPr="00273106">
        <w:t xml:space="preserve"> </w:t>
      </w:r>
      <w:r w:rsidR="00533873">
        <w:t>poznatelná</w:t>
      </w:r>
      <w:r w:rsidR="00EE5FD0">
        <w:t xml:space="preserve"> skrze sebe </w:t>
      </w:r>
      <w:r w:rsidRPr="00273106">
        <w:t>(</w:t>
      </w:r>
      <w:r w:rsidRPr="00273106">
        <w:rPr>
          <w:i/>
        </w:rPr>
        <w:t>natura speciei specialissimae per se est intelligibilis</w:t>
      </w:r>
      <w:r w:rsidRPr="00273106">
        <w:t xml:space="preserve">). </w:t>
      </w:r>
      <w:r w:rsidR="00EE5FD0">
        <w:t xml:space="preserve">Jednotlivina vznikne tím, že se </w:t>
      </w:r>
      <w:r w:rsidRPr="00273106">
        <w:t xml:space="preserve">přidá </w:t>
      </w:r>
      <w:r w:rsidR="086724AB" w:rsidRPr="00273106">
        <w:t xml:space="preserve">ke </w:t>
      </w:r>
      <w:r w:rsidR="004B4D52" w:rsidRPr="004B4D52">
        <w:t>species</w:t>
      </w:r>
      <w:r w:rsidR="086724AB" w:rsidRPr="00273106">
        <w:t xml:space="preserve"> </w:t>
      </w:r>
      <w:r w:rsidRPr="00273106">
        <w:t xml:space="preserve">poslední </w:t>
      </w:r>
      <w:r w:rsidR="00EE5FD0">
        <w:t>forma diference</w:t>
      </w:r>
      <w:r w:rsidR="00A53202">
        <w:t xml:space="preserve">, aby vzniklo konkrétní individuum. </w:t>
      </w:r>
      <w:r w:rsidR="003C5AEC">
        <w:t>T</w:t>
      </w:r>
      <w:r w:rsidR="00A53202">
        <w:t>o</w:t>
      </w:r>
      <w:r w:rsidR="003C5AEC">
        <w:t xml:space="preserve"> </w:t>
      </w:r>
      <w:r w:rsidR="00A53202">
        <w:t xml:space="preserve">například </w:t>
      </w:r>
      <w:r w:rsidR="003C5AEC">
        <w:t>vznikne v procesu poznání reálné substance</w:t>
      </w:r>
      <w:r w:rsidR="00A70FA4">
        <w:fldChar w:fldCharType="begin"/>
      </w:r>
      <w:r w:rsidR="00A70FA4">
        <w:instrText xml:space="preserve"> XE "</w:instrText>
      </w:r>
      <w:r w:rsidR="00A70FA4" w:rsidRPr="00DE2A32">
        <w:instrText>substance</w:instrText>
      </w:r>
      <w:r w:rsidR="00E41549">
        <w:instrText>:</w:instrText>
      </w:r>
      <w:r w:rsidR="00E41549" w:rsidRPr="08CE63C5">
        <w:rPr>
          <w:i/>
        </w:rPr>
        <w:instrText>species</w:instrText>
      </w:r>
      <w:r w:rsidR="00A70FA4">
        <w:instrText xml:space="preserve">" </w:instrText>
      </w:r>
      <w:r w:rsidR="00A70FA4">
        <w:fldChar w:fldCharType="end"/>
      </w:r>
      <w:r w:rsidR="00533873">
        <w:t xml:space="preserve">, kdy iluminát přímo nazírá původní esenciální </w:t>
      </w:r>
      <w:r w:rsidR="004B4D52" w:rsidRPr="004B4D52">
        <w:t>species</w:t>
      </w:r>
      <w:r w:rsidR="00533873">
        <w:rPr>
          <w:i/>
        </w:rPr>
        <w:t>-</w:t>
      </w:r>
      <w:r w:rsidR="00533873" w:rsidRPr="003C5AEC">
        <w:rPr>
          <w:i/>
        </w:rPr>
        <w:t>scibile</w:t>
      </w:r>
      <w:r w:rsidR="08DF6D16">
        <w:t xml:space="preserve"> skrze kontigentní</w:t>
      </w:r>
      <w:r w:rsidR="00533873">
        <w:t xml:space="preserve"> </w:t>
      </w:r>
      <w:r w:rsidR="00533873" w:rsidRPr="00533873">
        <w:rPr>
          <w:i/>
        </w:rPr>
        <w:t>scibile</w:t>
      </w:r>
      <w:r w:rsidR="08DF6D16">
        <w:t xml:space="preserve"> dané</w:t>
      </w:r>
      <w:r w:rsidR="00533873">
        <w:t xml:space="preserve"> jako závěr </w:t>
      </w:r>
      <w:r w:rsidR="08C82926">
        <w:t xml:space="preserve">soudu ze </w:t>
      </w:r>
      <w:r w:rsidR="00533873">
        <w:t>smyslově dané abstrakce</w:t>
      </w:r>
      <w:r w:rsidR="003C5AEC">
        <w:t xml:space="preserve">. </w:t>
      </w:r>
      <w:r w:rsidR="00533873">
        <w:t>Avicennista Rufus radikalizoval Grossetesteho rozdíl mezi nižší a vyšší fo</w:t>
      </w:r>
      <w:r w:rsidR="00337EC7">
        <w:t>r</w:t>
      </w:r>
      <w:r w:rsidR="00533873">
        <w:t>mou vědeckého poznání (</w:t>
      </w:r>
      <w:r w:rsidR="00533873" w:rsidRPr="00533873">
        <w:rPr>
          <w:i/>
        </w:rPr>
        <w:t>scientia</w:t>
      </w:r>
      <w:r w:rsidR="00533873">
        <w:t xml:space="preserve">, </w:t>
      </w:r>
      <w:r w:rsidR="00533873" w:rsidRPr="00533873">
        <w:rPr>
          <w:i/>
        </w:rPr>
        <w:t>intellectus</w:t>
      </w:r>
      <w:r w:rsidR="004A5D33">
        <w:rPr>
          <w:i/>
        </w:rPr>
        <w:fldChar w:fldCharType="begin"/>
      </w:r>
      <w:r w:rsidR="004A5D33">
        <w:instrText xml:space="preserve"> XE "</w:instrText>
      </w:r>
      <w:r w:rsidR="004A5D33" w:rsidRPr="002D2B36">
        <w:rPr>
          <w:i/>
        </w:rPr>
        <w:instrText>scientia/intellectus</w:instrText>
      </w:r>
      <w:r w:rsidR="004A5D33">
        <w:instrText xml:space="preserve">" </w:instrText>
      </w:r>
      <w:r w:rsidR="004A5D33">
        <w:rPr>
          <w:i/>
        </w:rPr>
        <w:fldChar w:fldCharType="end"/>
      </w:r>
      <w:r w:rsidR="00533873">
        <w:t xml:space="preserve">) směrem k </w:t>
      </w:r>
      <w:r w:rsidR="08815E36">
        <w:t xml:space="preserve">matematicky pojatému </w:t>
      </w:r>
      <w:r w:rsidR="00533873">
        <w:t xml:space="preserve">neoplatonismu. </w:t>
      </w:r>
      <w:r w:rsidR="003C5AEC">
        <w:t xml:space="preserve">Poznání </w:t>
      </w:r>
      <w:r w:rsidR="00337EC7">
        <w:t>atomární subs</w:t>
      </w:r>
      <w:r w:rsidR="000F24A4">
        <w:t>tan</w:t>
      </w:r>
      <w:r w:rsidR="00337EC7">
        <w:t xml:space="preserve">ce ve formě </w:t>
      </w:r>
      <w:r w:rsidR="00476072">
        <w:t>„</w:t>
      </w:r>
      <w:r w:rsidR="004B4D52" w:rsidRPr="00476072">
        <w:rPr>
          <w:i/>
        </w:rPr>
        <w:t>species</w:t>
      </w:r>
      <w:r w:rsidR="00476072">
        <w:t>–</w:t>
      </w:r>
      <w:r w:rsidR="00337EC7" w:rsidRPr="00337EC7">
        <w:rPr>
          <w:i/>
        </w:rPr>
        <w:t>scibile</w:t>
      </w:r>
      <w:r w:rsidR="00476072">
        <w:t>“</w:t>
      </w:r>
      <w:r w:rsidR="00337EC7">
        <w:t xml:space="preserve"> </w:t>
      </w:r>
      <w:r w:rsidR="000F24A4">
        <w:t xml:space="preserve">dostalo kauzálně-matematický </w:t>
      </w:r>
      <w:r w:rsidR="003C5AEC">
        <w:t xml:space="preserve">charakter a </w:t>
      </w:r>
      <w:r w:rsidR="000F24A4">
        <w:t xml:space="preserve">tato poslední diference dělení v rámci Porfyriova stromu </w:t>
      </w:r>
      <w:r w:rsidR="003C5AEC">
        <w:t xml:space="preserve">tvoří jednotlivinu </w:t>
      </w:r>
      <w:r w:rsidR="009348F9">
        <w:t xml:space="preserve">danou za posledním univerzálním </w:t>
      </w:r>
      <w:r w:rsidR="004B4D52" w:rsidRPr="004B4D52">
        <w:t>species</w:t>
      </w:r>
      <w:r w:rsidR="009348F9">
        <w:t xml:space="preserve"> </w:t>
      </w:r>
      <w:r w:rsidR="003C5AEC" w:rsidRPr="00273106">
        <w:t>(</w:t>
      </w:r>
      <w:r w:rsidR="003C5AEC" w:rsidRPr="00273106">
        <w:rPr>
          <w:i/>
        </w:rPr>
        <w:t>illud additum super formam speciei specialissimae</w:t>
      </w:r>
      <w:r w:rsidR="003C5AEC" w:rsidRPr="00273106">
        <w:t xml:space="preserve">). </w:t>
      </w:r>
      <w:r w:rsidR="00491D54">
        <w:t xml:space="preserve">Tato </w:t>
      </w:r>
      <w:r w:rsidR="009348F9">
        <w:t xml:space="preserve">kauzálně-numerická </w:t>
      </w:r>
      <w:r w:rsidR="00491D54">
        <w:t xml:space="preserve">diference </w:t>
      </w:r>
      <w:r w:rsidR="08711877">
        <w:t>zakládá moderní individuum jako novou atomární substanci</w:t>
      </w:r>
      <w:r w:rsidR="08B660EA">
        <w:t xml:space="preserve"> (</w:t>
      </w:r>
      <w:r w:rsidR="08B660EA" w:rsidRPr="08B660EA">
        <w:rPr>
          <w:i/>
        </w:rPr>
        <w:t>scibile</w:t>
      </w:r>
      <w:r w:rsidR="08B660EA">
        <w:t>)</w:t>
      </w:r>
      <w:r w:rsidR="08711877">
        <w:t xml:space="preserve">, proto </w:t>
      </w:r>
      <w:r w:rsidR="00491D54">
        <w:t>je vlastní příčinou individuace (</w:t>
      </w:r>
      <w:r w:rsidR="00491D54" w:rsidRPr="00273106">
        <w:rPr>
          <w:i/>
        </w:rPr>
        <w:t>causa individuationis</w:t>
      </w:r>
      <w:r w:rsidR="00E41549">
        <w:fldChar w:fldCharType="begin"/>
      </w:r>
      <w:r w:rsidR="00E41549">
        <w:instrText xml:space="preserve"> XE "</w:instrText>
      </w:r>
      <w:r w:rsidR="00E41549" w:rsidRPr="0035298A">
        <w:instrText>kauzalita:objektivní</w:instrText>
      </w:r>
      <w:r w:rsidR="00E41549">
        <w:instrText xml:space="preserve">" </w:instrText>
      </w:r>
      <w:r w:rsidR="00E41549">
        <w:fldChar w:fldCharType="end"/>
      </w:r>
      <w:r w:rsidR="009348F9">
        <w:t xml:space="preserve">). </w:t>
      </w:r>
      <w:r w:rsidR="009348F9" w:rsidRPr="00273106">
        <w:t>Vzniklý produkt moderny</w:t>
      </w:r>
      <w:r w:rsidR="086724AB">
        <w:t xml:space="preserve"> definovaný jako </w:t>
      </w:r>
      <w:r w:rsidR="009348F9" w:rsidRPr="00273106">
        <w:t xml:space="preserve">singulární a individuální jsoucno třetího druhu, je </w:t>
      </w:r>
      <w:r w:rsidR="000E564E">
        <w:t xml:space="preserve">podle Rususe také </w:t>
      </w:r>
      <w:r w:rsidR="009348F9" w:rsidRPr="00273106">
        <w:t>účinnou substancí v reálu</w:t>
      </w:r>
      <w:r w:rsidR="009348F9">
        <w:t xml:space="preserve">. </w:t>
      </w:r>
      <w:r w:rsidR="000E564E">
        <w:t xml:space="preserve">Poznání má eficientní kauzální charakter, protože vytváří substanci třetího druhu ve formě </w:t>
      </w:r>
      <w:r w:rsidR="004B4D52" w:rsidRPr="004B4D52">
        <w:t>species</w:t>
      </w:r>
      <w:r w:rsidR="009F45A0">
        <w:t>-</w:t>
      </w:r>
      <w:r w:rsidR="009F45A0" w:rsidRPr="009F45A0">
        <w:rPr>
          <w:i/>
        </w:rPr>
        <w:t>scibile</w:t>
      </w:r>
      <w:r w:rsidR="009F45A0">
        <w:t xml:space="preserve"> </w:t>
      </w:r>
      <w:r w:rsidR="00686C34" w:rsidRPr="00273106">
        <w:t>(</w:t>
      </w:r>
      <w:r w:rsidR="008D16E2" w:rsidRPr="00273106">
        <w:rPr>
          <w:i/>
          <w:szCs w:val="22"/>
        </w:rPr>
        <w:t xml:space="preserve">causa individuationis... </w:t>
      </w:r>
      <w:r w:rsidR="00686C34" w:rsidRPr="00273106">
        <w:rPr>
          <w:i/>
          <w:szCs w:val="22"/>
        </w:rPr>
        <w:t>est scibile</w:t>
      </w:r>
      <w:r w:rsidR="08193068">
        <w:rPr>
          <w:szCs w:val="22"/>
        </w:rPr>
        <w:t>, kap. 3</w:t>
      </w:r>
      <w:r w:rsidR="08372368" w:rsidRPr="00273106">
        <w:rPr>
          <w:szCs w:val="22"/>
        </w:rPr>
        <w:t>.3.2</w:t>
      </w:r>
      <w:r w:rsidR="00686C34" w:rsidRPr="00273106">
        <w:t>)</w:t>
      </w:r>
      <w:r w:rsidR="008D16E2" w:rsidRPr="00273106">
        <w:t xml:space="preserve">. </w:t>
      </w:r>
      <w:r w:rsidR="00514CA4">
        <w:t xml:space="preserve">V tomto simulákru reality nahradila poslední diference </w:t>
      </w:r>
      <w:r w:rsidR="081647BC">
        <w:t xml:space="preserve">dokonce i </w:t>
      </w:r>
      <w:r w:rsidR="00514CA4">
        <w:t>reálnou kauzalitu první substance</w:t>
      </w:r>
      <w:r w:rsidR="081647BC">
        <w:t>. V</w:t>
      </w:r>
      <w:r w:rsidR="00514CA4">
        <w:t>ýsled</w:t>
      </w:r>
      <w:r w:rsidR="009F45A0">
        <w:t>k</w:t>
      </w:r>
      <w:r w:rsidR="081647BC">
        <w:t>em této logicky predikované kauzality</w:t>
      </w:r>
      <w:r w:rsidR="00514CA4">
        <w:t xml:space="preserve"> </w:t>
      </w:r>
      <w:r w:rsidR="0863431B">
        <w:t xml:space="preserve">dané v pouze v mysli sofisty </w:t>
      </w:r>
      <w:r w:rsidR="00514CA4">
        <w:t xml:space="preserve">je </w:t>
      </w:r>
      <w:r w:rsidR="08B660EA" w:rsidRPr="08B660EA">
        <w:t xml:space="preserve">individuum </w:t>
      </w:r>
      <w:r w:rsidR="08B660EA">
        <w:t xml:space="preserve">jako další </w:t>
      </w:r>
      <w:r w:rsidR="00514CA4">
        <w:t>jsoucno třetíh</w:t>
      </w:r>
      <w:r w:rsidR="08B660EA">
        <w:t>o druhu</w:t>
      </w:r>
      <w:r w:rsidR="00514CA4">
        <w:t xml:space="preserve">. </w:t>
      </w:r>
      <w:r w:rsidR="00027D49">
        <w:t>Jeho</w:t>
      </w:r>
      <w:r w:rsidR="08B660EA">
        <w:t xml:space="preserve"> materiální</w:t>
      </w:r>
      <w:r w:rsidR="00474895" w:rsidRPr="00273106">
        <w:t xml:space="preserve"> základ dává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0474895" w:rsidRPr="00273106">
        <w:t xml:space="preserve"> přejatý od Avicebron</w:t>
      </w:r>
      <w:r w:rsidR="00E41549">
        <w:t>a</w:t>
      </w:r>
      <w:r w:rsidR="00E41549">
        <w:fldChar w:fldCharType="begin"/>
      </w:r>
      <w:r w:rsidR="00E41549">
        <w:instrText xml:space="preserve"> XE "</w:instrText>
      </w:r>
      <w:r w:rsidR="00E41549" w:rsidRPr="004B3F98">
        <w:instrText>Avicebron</w:instrText>
      </w:r>
      <w:r w:rsidR="00E41549">
        <w:instrText xml:space="preserve">" </w:instrText>
      </w:r>
      <w:r w:rsidR="00E41549">
        <w:fldChar w:fldCharType="end"/>
      </w:r>
      <w:r w:rsidR="00474895" w:rsidRPr="00273106">
        <w:t>.</w:t>
      </w:r>
      <w:r w:rsidR="00474895">
        <w:t xml:space="preserve"> </w:t>
      </w:r>
      <w:r w:rsidR="001C3F34" w:rsidRPr="00273106">
        <w:t xml:space="preserve">Nové individuum moderny je genericky totožné s </w:t>
      </w:r>
      <w:r w:rsidR="001F5A4C" w:rsidRPr="00273106">
        <w:t xml:space="preserve">univoční </w:t>
      </w:r>
      <w:r w:rsidR="001F5A4C"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1F5A4C" w:rsidRPr="00273106">
        <w:t xml:space="preserve">, </w:t>
      </w:r>
      <w:r w:rsidR="08F250AA" w:rsidRPr="00273106">
        <w:t>která je pohybem forem následně diferencovaná</w:t>
      </w:r>
      <w:r w:rsidR="001F5A4C" w:rsidRPr="00273106">
        <w:t xml:space="preserve"> až na úroveň </w:t>
      </w:r>
      <w:r w:rsidR="08F250AA" w:rsidRPr="00273106">
        <w:t xml:space="preserve">dále nedělitelného </w:t>
      </w:r>
      <w:r w:rsidR="001F5A4C" w:rsidRPr="00273106">
        <w:t>individua</w:t>
      </w:r>
      <w:r w:rsidR="00BD0030">
        <w:t xml:space="preserve"> zvaného </w:t>
      </w:r>
      <w:r w:rsidR="00BD0030" w:rsidRPr="00BD0030">
        <w:rPr>
          <w:i/>
        </w:rPr>
        <w:t>scibile</w:t>
      </w:r>
      <w:r w:rsidR="001F5A4C" w:rsidRPr="00273106">
        <w:t>.</w:t>
      </w:r>
      <w:r w:rsidR="00F313B5">
        <w:t xml:space="preserve"> </w:t>
      </w:r>
      <w:r w:rsidR="00BD0030">
        <w:t xml:space="preserve">Primární materie </w:t>
      </w:r>
      <w:r w:rsidR="08761433">
        <w:t>definovaná</w:t>
      </w:r>
      <w:r w:rsidR="00637004">
        <w:t xml:space="preserve"> v podobě porretánské hypostáze </w:t>
      </w:r>
      <w:r w:rsidR="00BD0030">
        <w:t xml:space="preserve">dostala kategoriální statut druhé substance a stala </w:t>
      </w:r>
      <w:r w:rsidR="08E61821">
        <w:t xml:space="preserve">se </w:t>
      </w:r>
      <w:r w:rsidR="00BD0030">
        <w:t xml:space="preserve">novým jsoucnem třetího druhu. </w:t>
      </w:r>
      <w:r w:rsidR="08D743B2" w:rsidRPr="00273106">
        <w:t xml:space="preserve">Individuaci provádí moderní subjekt dělení a třídění </w:t>
      </w:r>
      <w:r w:rsidR="085B6CC0">
        <w:t>v</w:t>
      </w:r>
      <w:r w:rsidR="08D743B2">
        <w:t xml:space="preserve"> rámci </w:t>
      </w:r>
      <w:r w:rsidR="08D743B2">
        <w:rPr>
          <w:i/>
        </w:rPr>
        <w:t>Arbor Porphyriana</w:t>
      </w:r>
      <w:r w:rsidR="08D743B2">
        <w:rPr>
          <w:i/>
        </w:rPr>
        <w:fldChar w:fldCharType="begin"/>
      </w:r>
      <w:r w:rsidR="08D743B2">
        <w:instrText xml:space="preserve"> XE "</w:instrText>
      </w:r>
      <w:r w:rsidR="08D743B2" w:rsidRPr="00227C7B">
        <w:rPr>
          <w:i/>
        </w:rPr>
        <w:instrText>Arbor Porphyriana</w:instrText>
      </w:r>
      <w:r w:rsidR="08D743B2">
        <w:instrText xml:space="preserve">" </w:instrText>
      </w:r>
      <w:r w:rsidR="08D743B2">
        <w:rPr>
          <w:i/>
        </w:rPr>
        <w:fldChar w:fldCharType="end"/>
      </w:r>
      <w:r w:rsidR="08D743B2">
        <w:t xml:space="preserve">, jehož genezi v epoše metafyzického nihilismu </w:t>
      </w:r>
      <w:r w:rsidR="08D743B2" w:rsidRPr="00273106">
        <w:t>završ</w:t>
      </w:r>
      <w:r w:rsidR="08D743B2">
        <w:t xml:space="preserve">ily post-strukturální </w:t>
      </w:r>
      <w:r w:rsidR="08D743B2" w:rsidRPr="00273106">
        <w:t>analýz</w:t>
      </w:r>
      <w:r w:rsidR="08D743B2">
        <w:t>y</w:t>
      </w:r>
      <w:r w:rsidR="08D743B2" w:rsidRPr="00273106">
        <w:t xml:space="preserve"> Foucaulta</w:t>
      </w:r>
      <w:r w:rsidR="08D743B2">
        <w:fldChar w:fldCharType="begin"/>
      </w:r>
      <w:r w:rsidR="08D743B2">
        <w:instrText xml:space="preserve"> XE "</w:instrText>
      </w:r>
      <w:r w:rsidR="08D743B2" w:rsidRPr="00B82537">
        <w:instrText>Foucault, M.</w:instrText>
      </w:r>
      <w:r w:rsidR="08D743B2">
        <w:instrText xml:space="preserve">" </w:instrText>
      </w:r>
      <w:r w:rsidR="08D743B2">
        <w:fldChar w:fldCharType="end"/>
      </w:r>
      <w:r w:rsidR="08D743B2" w:rsidRPr="00273106">
        <w:t xml:space="preserve"> o vzniku </w:t>
      </w:r>
      <w:r w:rsidR="006C54D7">
        <w:t xml:space="preserve">nihilistických </w:t>
      </w:r>
      <w:r w:rsidR="08D743B2">
        <w:t xml:space="preserve">humanitních věd </w:t>
      </w:r>
      <w:r w:rsidR="08D743B2" w:rsidRPr="00273106">
        <w:t>(</w:t>
      </w:r>
      <w:r w:rsidR="08D743B2" w:rsidRPr="00273106">
        <w:rPr>
          <w:i/>
        </w:rPr>
        <w:t>Le mots et le choses</w:t>
      </w:r>
      <w:r w:rsidR="08D743B2" w:rsidRPr="00273106">
        <w:t>, 1966).</w:t>
      </w:r>
      <w:r w:rsidR="08D743B2">
        <w:t xml:space="preserve"> </w:t>
      </w:r>
      <w:r w:rsidR="00CF6702">
        <w:t xml:space="preserve">Rufus změnil </w:t>
      </w:r>
      <w:r w:rsidR="00AD0A1A">
        <w:t>první</w:t>
      </w:r>
      <w:r w:rsidR="005D3933">
        <w:t xml:space="preserve"> materii</w:t>
      </w:r>
      <w:r w:rsidR="00CF6702">
        <w:t xml:space="preserve"> danou</w:t>
      </w:r>
      <w:r w:rsidR="00F313B5">
        <w:t xml:space="preserve"> u Aristotela jako čistý myšlenkový koncept na novou formu </w:t>
      </w:r>
      <w:r w:rsidR="00CF6702">
        <w:t xml:space="preserve">rodového </w:t>
      </w:r>
      <w:r w:rsidR="00F313B5">
        <w:t>určení jsoucna.</w:t>
      </w:r>
      <w:r w:rsidR="00CF6702">
        <w:t xml:space="preserve"> </w:t>
      </w:r>
      <w:r w:rsidR="001F0341">
        <w:t>M</w:t>
      </w:r>
      <w:r w:rsidR="001F0341" w:rsidRPr="00273106">
        <w:t xml:space="preserve">aterie </w:t>
      </w:r>
      <w:r w:rsidR="001F0341">
        <w:t xml:space="preserve">je </w:t>
      </w:r>
      <w:r w:rsidR="001F0341" w:rsidRPr="00273106">
        <w:t>pojata kvazi-substanciálně</w:t>
      </w:r>
      <w:r w:rsidR="001F0341">
        <w:t xml:space="preserve"> a </w:t>
      </w:r>
      <w:r w:rsidR="001F0341" w:rsidRPr="00273106">
        <w:t xml:space="preserve">stala se pasivním nástrojem </w:t>
      </w:r>
      <w:r w:rsidR="001F0341">
        <w:t xml:space="preserve">demiurgického </w:t>
      </w:r>
      <w:r w:rsidR="001F0341" w:rsidRPr="00273106">
        <w:t xml:space="preserve">subjektu, který do </w:t>
      </w:r>
      <w:r w:rsidR="001F0341">
        <w:t>aktivně vtiskuje své formy</w:t>
      </w:r>
      <w:r w:rsidR="0807638E">
        <w:t xml:space="preserve"> do </w:t>
      </w:r>
      <w:r w:rsidR="086D0F74">
        <w:t>t</w:t>
      </w:r>
      <w:r w:rsidR="0807638E">
        <w:t>akt</w:t>
      </w:r>
      <w:r w:rsidR="086D0F74">
        <w:t>o určené materie třetího druhu</w:t>
      </w:r>
      <w:r w:rsidR="001F0341">
        <w:t xml:space="preserve">. </w:t>
      </w:r>
      <w:r w:rsidR="003D29B6" w:rsidRPr="00273106">
        <w:t>Tak vznikla moderní analogie k Aristotel</w:t>
      </w:r>
      <w:r w:rsidR="003D29B6">
        <w:t>em a Averroe</w:t>
      </w:r>
      <w:r w:rsidR="003D29B6" w:rsidRPr="00273106">
        <w:t>sem navržené první vědě o aktuální substanci.</w:t>
      </w:r>
      <w:r w:rsidR="003D29B6">
        <w:t xml:space="preserve"> </w:t>
      </w:r>
      <w:r w:rsidR="00476072">
        <w:t xml:space="preserve">Pravda </w:t>
      </w:r>
      <w:r w:rsidR="009E0603">
        <w:t xml:space="preserve">daná impozicí od první substance nepodporuje </w:t>
      </w:r>
      <w:r w:rsidR="00E73B1E">
        <w:t xml:space="preserve">moderní gnózi a postmoderní ideologie všeho druhu. Moderní pokrok není založen na pravdě, ale na neomezené produkci </w:t>
      </w:r>
      <w:r w:rsidR="00E73B1E" w:rsidRPr="00E73B1E">
        <w:rPr>
          <w:i/>
        </w:rPr>
        <w:t>scibile</w:t>
      </w:r>
      <w:r w:rsidR="00E73B1E">
        <w:t xml:space="preserve">. </w:t>
      </w:r>
      <w:r w:rsidR="00CF6702">
        <w:t xml:space="preserve">Citát ukazuje, jak </w:t>
      </w:r>
      <w:r w:rsidR="0003593C">
        <w:t xml:space="preserve">v moderně začalo nekontrolované množení </w:t>
      </w:r>
      <w:r w:rsidR="00A44C8B">
        <w:t xml:space="preserve">objektivních </w:t>
      </w:r>
      <w:r w:rsidR="0003593C">
        <w:t>určení jsoucna skrze materi</w:t>
      </w:r>
      <w:r w:rsidR="009E0603">
        <w:t>i</w:t>
      </w:r>
      <w:r w:rsidR="0003593C">
        <w:t xml:space="preserve"> třetího druhu</w:t>
      </w:r>
      <w:r w:rsidR="00CF6702">
        <w:t>.</w:t>
      </w:r>
    </w:p>
    <w:p w14:paraId="130A84CF" w14:textId="77777777" w:rsidR="00537F79" w:rsidRPr="00273106" w:rsidRDefault="001F5A4C" w:rsidP="0062633D">
      <w:pPr>
        <w:pStyle w:val="Citace"/>
        <w:rPr>
          <w:noProof/>
          <w:szCs w:val="22"/>
          <w:lang w:val="cs-CZ"/>
        </w:rPr>
      </w:pPr>
      <w:r w:rsidRPr="00273106">
        <w:rPr>
          <w:noProof/>
          <w:szCs w:val="22"/>
          <w:lang w:val="cs-CZ"/>
        </w:rPr>
        <w:t>„</w:t>
      </w:r>
      <w:r w:rsidR="00537F79" w:rsidRPr="00273106">
        <w:rPr>
          <w:noProof/>
          <w:szCs w:val="22"/>
          <w:lang w:val="cs-CZ"/>
        </w:rPr>
        <w:t>Mluvím o materii</w:t>
      </w:r>
      <w:r w:rsidR="00E751A3" w:rsidRPr="00273106">
        <w:rPr>
          <w:noProof/>
          <w:szCs w:val="22"/>
          <w:lang w:val="cs-CZ"/>
        </w:rPr>
        <w:t>, od níž jsou od</w:t>
      </w:r>
      <w:r w:rsidR="00537F79" w:rsidRPr="00273106">
        <w:rPr>
          <w:noProof/>
          <w:szCs w:val="22"/>
          <w:lang w:val="cs-CZ"/>
        </w:rPr>
        <w:t>děleny všechny společné formy, propria a poslední společné rody</w:t>
      </w:r>
      <w:r w:rsidR="0062633D" w:rsidRPr="00273106">
        <w:rPr>
          <w:noProof/>
          <w:szCs w:val="22"/>
          <w:lang w:val="cs-CZ"/>
        </w:rPr>
        <w:t>, tedy o materii jako formě, která má určení nejobecnějšího rodu (</w:t>
      </w:r>
      <w:r w:rsidR="0062633D" w:rsidRPr="00273106">
        <w:rPr>
          <w:i/>
          <w:noProof/>
          <w:szCs w:val="22"/>
          <w:lang w:val="cs-CZ"/>
        </w:rPr>
        <w:t>forma generis generissimi</w:t>
      </w:r>
      <w:r w:rsidR="0062633D" w:rsidRPr="00273106">
        <w:rPr>
          <w:noProof/>
          <w:szCs w:val="22"/>
          <w:lang w:val="cs-CZ"/>
        </w:rPr>
        <w:t>). Všechno ostatní pak přijímá toto první určení materie, nejprve skrze ona obecná určení až k</w:t>
      </w:r>
      <w:r w:rsidR="085D1512">
        <w:rPr>
          <w:noProof/>
          <w:szCs w:val="22"/>
          <w:lang w:val="cs-CZ"/>
        </w:rPr>
        <w:t xml:space="preserve"> jednotlivině</w:t>
      </w:r>
      <w:r w:rsidR="0062633D" w:rsidRPr="00273106">
        <w:rPr>
          <w:noProof/>
          <w:szCs w:val="22"/>
          <w:lang w:val="cs-CZ"/>
        </w:rPr>
        <w:t xml:space="preserve">.“ </w:t>
      </w:r>
      <w:r w:rsidR="00537F79" w:rsidRPr="00273106">
        <w:rPr>
          <w:rStyle w:val="Znakapoznpodarou"/>
          <w:noProof/>
          <w:lang w:val="cs-CZ"/>
        </w:rPr>
        <w:footnoteReference w:id="438"/>
      </w:r>
    </w:p>
    <w:p w14:paraId="54C5D54C" w14:textId="79FBF7B9" w:rsidR="003643BA" w:rsidRDefault="00474895" w:rsidP="007162D8">
      <w:r>
        <w:t>Moderní m</w:t>
      </w:r>
      <w:r w:rsidR="00A25BAE" w:rsidRPr="00273106">
        <w:t xml:space="preserve">aterie </w:t>
      </w:r>
      <w:r>
        <w:t>v modu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t xml:space="preserve"> </w:t>
      </w:r>
      <w:r w:rsidR="00AE0640">
        <w:t xml:space="preserve">založila generickou </w:t>
      </w:r>
      <w:r w:rsidR="00A25BAE" w:rsidRPr="00273106">
        <w:t>možnost individuace</w:t>
      </w:r>
      <w:r w:rsidR="00AE0640">
        <w:t xml:space="preserve">. Je dána jako čistá hypostáze, a </w:t>
      </w:r>
      <w:r>
        <w:t xml:space="preserve">proto nemá žádnou formu </w:t>
      </w:r>
      <w:r w:rsidR="00E9114B" w:rsidRPr="00273106">
        <w:t>(</w:t>
      </w:r>
      <w:r w:rsidR="00E9114B" w:rsidRPr="00273106">
        <w:rPr>
          <w:i/>
          <w:szCs w:val="22"/>
        </w:rPr>
        <w:t>materia circumscripta ab ea omni forma communi</w:t>
      </w:r>
      <w:r w:rsidR="00E9114B" w:rsidRPr="00273106">
        <w:t xml:space="preserve">). </w:t>
      </w:r>
      <w:r w:rsidR="00B7234B">
        <w:t xml:space="preserve">Hypostázovaná </w:t>
      </w:r>
      <w:r w:rsidR="08667649">
        <w:t xml:space="preserve">neoplatonská </w:t>
      </w:r>
      <w:r w:rsidR="00B7234B">
        <w:t xml:space="preserve">materie třetího druhu </w:t>
      </w:r>
      <w:r w:rsidR="081E2246">
        <w:t xml:space="preserve">nemá žádnou </w:t>
      </w:r>
      <w:r w:rsidR="00B7234B">
        <w:t xml:space="preserve">formu </w:t>
      </w:r>
      <w:r w:rsidR="08667649">
        <w:t xml:space="preserve">a </w:t>
      </w:r>
      <w:r w:rsidR="081E2246">
        <w:t xml:space="preserve">proto </w:t>
      </w:r>
      <w:r w:rsidR="00E9114B" w:rsidRPr="00273106">
        <w:t xml:space="preserve">pasivně přijímá </w:t>
      </w:r>
      <w:r w:rsidR="00B7234B">
        <w:t xml:space="preserve">všechny ostatní formy </w:t>
      </w:r>
      <w:r w:rsidR="00206E68">
        <w:t xml:space="preserve">jako první substrát v řadě </w:t>
      </w:r>
      <w:r w:rsidR="00E9114B" w:rsidRPr="00273106">
        <w:t>(</w:t>
      </w:r>
      <w:r w:rsidR="00E9114B" w:rsidRPr="00273106">
        <w:rPr>
          <w:i/>
          <w:szCs w:val="22"/>
        </w:rPr>
        <w:t>omnium primo recipit</w:t>
      </w:r>
      <w:r w:rsidR="00E9114B" w:rsidRPr="00273106">
        <w:t xml:space="preserve">). </w:t>
      </w:r>
      <w:r w:rsidR="08831DAF">
        <w:t>Tato mytopoetická materie se stala skrze moderní sofistiku nositelem substanciálních determinací na kategoriální úrovni</w:t>
      </w:r>
      <w:r w:rsidR="08831DAF" w:rsidRPr="006B3004">
        <w:t xml:space="preserve"> (ὑποκείμενον, </w:t>
      </w:r>
      <w:r w:rsidR="08831DAF" w:rsidRPr="006B3004">
        <w:rPr>
          <w:i/>
        </w:rPr>
        <w:t>subiectum</w:t>
      </w:r>
      <w:r w:rsidR="000147ED">
        <w:t xml:space="preserve">). </w:t>
      </w:r>
      <w:r w:rsidR="00D5599E">
        <w:t>M</w:t>
      </w:r>
      <w:r w:rsidR="000147ED">
        <w:t>oderní filosofové</w:t>
      </w:r>
      <w:r w:rsidR="00D5599E">
        <w:t xml:space="preserve"> d</w:t>
      </w:r>
      <w:r w:rsidR="000147ED">
        <w:t xml:space="preserve">ělají hrad z písku, což je jimi preferovaná </w:t>
      </w:r>
      <w:r w:rsidR="000147ED" w:rsidRPr="000147ED">
        <w:rPr>
          <w:i/>
        </w:rPr>
        <w:t>materia prima</w:t>
      </w:r>
      <w:r w:rsidR="000147ED">
        <w:t xml:space="preserve">. Rufus aktualizoval </w:t>
      </w:r>
      <w:r w:rsidR="081537F6">
        <w:t xml:space="preserve">Dinantův scénář diferenciace neoplatonského diakosmu do reálného světa, což jistě poznali všichni znalci metafyziky v </w:t>
      </w:r>
      <w:r w:rsidR="08995117">
        <w:t xml:space="preserve">tehdejší univerzitní </w:t>
      </w:r>
      <w:r w:rsidR="081537F6">
        <w:t>Paříži (Alvernu</w:t>
      </w:r>
      <w:r w:rsidR="00410A57">
        <w:t xml:space="preserve">s, Albert, Bacon). </w:t>
      </w:r>
      <w:r w:rsidR="00410A57" w:rsidRPr="00410A57">
        <w:t>Neoplaton</w:t>
      </w:r>
      <w:r w:rsidR="00410A57">
        <w:t>ická hypostá</w:t>
      </w:r>
      <w:r w:rsidR="00410A57" w:rsidRPr="00410A57">
        <w:t xml:space="preserve">zovaná </w:t>
      </w:r>
      <w:r w:rsidR="00410A57">
        <w:t>materie existuje jako čistá „</w:t>
      </w:r>
      <w:r w:rsidR="00410A57" w:rsidRPr="00410A57">
        <w:t>potence</w:t>
      </w:r>
      <w:r w:rsidR="00410A57">
        <w:t>–substance“</w:t>
      </w:r>
      <w:r w:rsidR="00410A57" w:rsidRPr="00410A57">
        <w:t xml:space="preserve"> a </w:t>
      </w:r>
      <w:r w:rsidR="001A001F">
        <w:t>ve dru</w:t>
      </w:r>
      <w:r w:rsidR="004D69DE">
        <w:t>h</w:t>
      </w:r>
      <w:r w:rsidR="001A001F">
        <w:t xml:space="preserve">ém kroku přijala </w:t>
      </w:r>
      <w:r w:rsidR="00410A57" w:rsidRPr="00410A57">
        <w:t>hyparchickou formu.</w:t>
      </w:r>
      <w:r w:rsidR="00410A57">
        <w:t xml:space="preserve"> </w:t>
      </w:r>
      <w:r w:rsidR="00CD78C5" w:rsidRPr="00273106">
        <w:t xml:space="preserve">Materie jako </w:t>
      </w:r>
      <w:r w:rsidR="00CD78C5" w:rsidRPr="00273106">
        <w:rPr>
          <w:i/>
        </w:rPr>
        <w:t>tertium ens</w:t>
      </w:r>
      <w:r w:rsidR="00CD78C5">
        <w:rPr>
          <w:i/>
        </w:rPr>
        <w:fldChar w:fldCharType="begin"/>
      </w:r>
      <w:r w:rsidR="00CD78C5">
        <w:instrText xml:space="preserve"> XE "</w:instrText>
      </w:r>
      <w:r w:rsidR="00CD78C5" w:rsidRPr="002F10B4">
        <w:rPr>
          <w:rStyle w:val="Zvraznn"/>
        </w:rPr>
        <w:instrText>tertium ens</w:instrText>
      </w:r>
      <w:r w:rsidR="00CD78C5">
        <w:rPr>
          <w:rStyle w:val="Zvraznn"/>
          <w:i w:val="0"/>
        </w:rPr>
        <w:instrText>:materie</w:instrText>
      </w:r>
      <w:r w:rsidR="00CD78C5">
        <w:instrText xml:space="preserve">" </w:instrText>
      </w:r>
      <w:r w:rsidR="00CD78C5">
        <w:rPr>
          <w:i/>
        </w:rPr>
        <w:fldChar w:fldCharType="end"/>
      </w:r>
      <w:r w:rsidR="00CD78C5" w:rsidRPr="00273106">
        <w:t xml:space="preserve"> </w:t>
      </w:r>
      <w:r w:rsidR="00CD78C5">
        <w:t xml:space="preserve">tím zakládá první </w:t>
      </w:r>
      <w:r w:rsidR="00A06502">
        <w:t xml:space="preserve">sérii </w:t>
      </w:r>
      <w:r w:rsidR="009C10A4">
        <w:t xml:space="preserve">individuace. </w:t>
      </w:r>
      <w:r w:rsidR="00E9114B" w:rsidRPr="00273106">
        <w:t xml:space="preserve">Determinací </w:t>
      </w:r>
      <w:r w:rsidR="082E2768" w:rsidRPr="00273106">
        <w:t xml:space="preserve">univerzální </w:t>
      </w:r>
      <w:r w:rsidR="00E9114B" w:rsidRPr="00273106">
        <w:t xml:space="preserve">materie </w:t>
      </w:r>
      <w:r w:rsidR="082E2768" w:rsidRPr="00273106">
        <w:t xml:space="preserve">skrze </w:t>
      </w:r>
      <w:r w:rsidR="005E08EE">
        <w:t xml:space="preserve">jedinečnou substanciální </w:t>
      </w:r>
      <w:r w:rsidR="00E9114B" w:rsidRPr="00273106">
        <w:t>form</w:t>
      </w:r>
      <w:r w:rsidR="082E2768" w:rsidRPr="00273106">
        <w:t>u</w:t>
      </w:r>
      <w:r w:rsidR="00E9114B" w:rsidRPr="00273106">
        <w:t xml:space="preserve"> </w:t>
      </w:r>
      <w:r w:rsidR="007356E2">
        <w:t>vzniklo</w:t>
      </w:r>
      <w:r w:rsidR="005E08EE">
        <w:t xml:space="preserve"> moderní individuum </w:t>
      </w:r>
      <w:r w:rsidR="00E9114B" w:rsidRPr="00273106">
        <w:t>(</w:t>
      </w:r>
      <w:r w:rsidR="00E9114B" w:rsidRPr="00273106">
        <w:rPr>
          <w:i/>
          <w:szCs w:val="22"/>
        </w:rPr>
        <w:t>mediante hac alias per ordinem usque ad individualem</w:t>
      </w:r>
      <w:r w:rsidR="00E9114B" w:rsidRPr="00273106">
        <w:t>)</w:t>
      </w:r>
      <w:r w:rsidR="00EE5CAE">
        <w:t>, které je možné získat univočním dělením (</w:t>
      </w:r>
      <w:r w:rsidR="00EE5CAE" w:rsidRPr="00EE5CAE">
        <w:rPr>
          <w:i/>
        </w:rPr>
        <w:t>resolutio</w:t>
      </w:r>
      <w:r w:rsidR="00DB7C59">
        <w:t xml:space="preserve">). </w:t>
      </w:r>
      <w:r w:rsidR="00881C38">
        <w:t>Pomocí hypostázovaných univočních predikátů (</w:t>
      </w:r>
      <w:r w:rsidR="00881C38" w:rsidRPr="00EE5CAE">
        <w:rPr>
          <w:i/>
        </w:rPr>
        <w:t>collecta</w:t>
      </w:r>
      <w:r w:rsidR="00881C38">
        <w:t xml:space="preserve">) </w:t>
      </w:r>
      <w:r w:rsidR="00DB7C59">
        <w:t xml:space="preserve">lze </w:t>
      </w:r>
      <w:r w:rsidR="00881C38">
        <w:t xml:space="preserve">individuum také </w:t>
      </w:r>
      <w:r w:rsidR="006E6EF4">
        <w:t xml:space="preserve">libovolně skládat do </w:t>
      </w:r>
      <w:r w:rsidR="00EE5CAE">
        <w:t xml:space="preserve">moderních </w:t>
      </w:r>
      <w:r w:rsidR="006E6EF4">
        <w:t xml:space="preserve">simuláker </w:t>
      </w:r>
      <w:r w:rsidR="00EE5CAE">
        <w:t>(</w:t>
      </w:r>
      <w:r w:rsidR="00EE5CAE" w:rsidRPr="00EE5CAE">
        <w:rPr>
          <w:i/>
        </w:rPr>
        <w:t>compositio</w:t>
      </w:r>
      <w:r w:rsidR="00EE5CAE">
        <w:t>)</w:t>
      </w:r>
      <w:r w:rsidR="00881C38">
        <w:t xml:space="preserve">. Tuto neoplatonskou predikaci zavedl porretánský výklad </w:t>
      </w:r>
      <w:r w:rsidR="00881C38" w:rsidRPr="00881C38">
        <w:rPr>
          <w:i/>
        </w:rPr>
        <w:t>Kategorií</w:t>
      </w:r>
      <w:r w:rsidR="00881C38">
        <w:t xml:space="preserve"> </w:t>
      </w:r>
      <w:r w:rsidR="00FE3084">
        <w:t>od roku 1230</w:t>
      </w:r>
      <w:r w:rsidR="003643BA">
        <w:t>.</w:t>
      </w:r>
    </w:p>
    <w:p w14:paraId="1595C7F4" w14:textId="5F0BF1F3" w:rsidR="007162D8" w:rsidRPr="000147ED" w:rsidRDefault="08B83B53" w:rsidP="003643BA">
      <w:pPr>
        <w:ind w:firstLine="397"/>
      </w:pPr>
      <w:r>
        <w:t>Rufus upravil</w:t>
      </w:r>
      <w:r w:rsidR="00EE5CAE">
        <w:t xml:space="preserve"> univerzální hylemorfismus do první formy </w:t>
      </w:r>
      <w:r w:rsidR="00EE5CAE" w:rsidRPr="00CD78C5">
        <w:rPr>
          <w:i/>
        </w:rPr>
        <w:t>metaphysica generalis</w:t>
      </w:r>
      <w:r w:rsidR="00EE5CAE">
        <w:rPr>
          <w:i/>
        </w:rPr>
        <w:fldChar w:fldCharType="begin"/>
      </w:r>
      <w:r w:rsidR="00EE5CAE">
        <w:instrText xml:space="preserve"> XE "</w:instrText>
      </w:r>
      <w:r w:rsidR="00EE5CAE" w:rsidRPr="00A6477F">
        <w:rPr>
          <w:i/>
        </w:rPr>
        <w:instrText>metaphysica generalis</w:instrText>
      </w:r>
      <w:r w:rsidR="00EE5CAE">
        <w:instrText xml:space="preserve">" </w:instrText>
      </w:r>
      <w:r w:rsidR="00EE5CAE">
        <w:rPr>
          <w:i/>
        </w:rPr>
        <w:fldChar w:fldCharType="end"/>
      </w:r>
      <w:r w:rsidR="00EE5CAE">
        <w:t xml:space="preserve"> dané v modu matematické analogie a logické abstrakce. </w:t>
      </w:r>
      <w:r w:rsidR="08CC6A84">
        <w:t xml:space="preserve">Rufusovu modernistickou tezi </w:t>
      </w:r>
      <w:r w:rsidR="08CC6A84" w:rsidRPr="00273106">
        <w:t xml:space="preserve">rozvine </w:t>
      </w:r>
      <w:r w:rsidR="00E11DE4">
        <w:t xml:space="preserve">Duns </w:t>
      </w:r>
      <w:r w:rsidR="08CC6A84">
        <w:t>Scotus do objektivní formy materie (</w:t>
      </w:r>
      <w:r w:rsidR="08CC6A84" w:rsidRPr="00694241">
        <w:rPr>
          <w:i/>
        </w:rPr>
        <w:t>Ordinatio</w:t>
      </w:r>
      <w:r w:rsidR="08CC6A84">
        <w:t xml:space="preserve"> </w:t>
      </w:r>
      <w:r w:rsidR="08CC6A84" w:rsidRPr="00E11DE4">
        <w:rPr>
          <w:i/>
        </w:rPr>
        <w:t>II</w:t>
      </w:r>
      <w:r w:rsidR="08CC6A84">
        <w:t xml:space="preserve">, dist. 3, pars 1). </w:t>
      </w:r>
      <w:r w:rsidR="004C4D7D">
        <w:t>Scotus vytvořil o</w:t>
      </w:r>
      <w:r w:rsidR="00DD502E">
        <w:t>bjek</w:t>
      </w:r>
      <w:r w:rsidR="004C4D7D">
        <w:t>tivní úpravu</w:t>
      </w:r>
      <w:r w:rsidR="006C553C">
        <w:t xml:space="preserve"> </w:t>
      </w:r>
      <w:r w:rsidR="00DD502E">
        <w:t xml:space="preserve">Rufusova </w:t>
      </w:r>
      <w:r w:rsidR="00DD502E" w:rsidRPr="00DD502E">
        <w:rPr>
          <w:i/>
        </w:rPr>
        <w:t>scibile</w:t>
      </w:r>
      <w:r w:rsidR="004C4D7D">
        <w:t xml:space="preserve">. Tuto </w:t>
      </w:r>
      <w:r w:rsidR="006C553C">
        <w:t xml:space="preserve">analogickou univoční metafyziku </w:t>
      </w:r>
      <w:r w:rsidR="006C553C" w:rsidRPr="006C553C">
        <w:rPr>
          <w:i/>
        </w:rPr>
        <w:t>Modernorum</w:t>
      </w:r>
      <w:r w:rsidR="006C553C">
        <w:t xml:space="preserve"> </w:t>
      </w:r>
      <w:r w:rsidR="004C4D7D">
        <w:t xml:space="preserve">pak převzal </w:t>
      </w:r>
      <w:r w:rsidR="006C553C">
        <w:t>první postmodernista</w:t>
      </w:r>
      <w:r w:rsidR="006C553C" w:rsidRPr="006C553C">
        <w:t xml:space="preserve"> </w:t>
      </w:r>
      <w:r w:rsidR="000B6B10">
        <w:t>Suá</w:t>
      </w:r>
      <w:r w:rsidR="006C553C" w:rsidRPr="00273106">
        <w:t>rez</w:t>
      </w:r>
      <w:r w:rsidR="006C553C">
        <w:fldChar w:fldCharType="begin"/>
      </w:r>
      <w:r w:rsidR="006C553C">
        <w:instrText xml:space="preserve"> XE "</w:instrText>
      </w:r>
      <w:r w:rsidR="001131A2">
        <w:instrText>Suárez</w:instrText>
      </w:r>
      <w:r w:rsidR="006C553C" w:rsidRPr="00E73967">
        <w:instrText>, F.</w:instrText>
      </w:r>
      <w:r w:rsidR="006C553C">
        <w:instrText xml:space="preserve">" </w:instrText>
      </w:r>
      <w:r w:rsidR="006C553C">
        <w:fldChar w:fldCharType="end"/>
      </w:r>
      <w:r w:rsidR="006C553C">
        <w:t xml:space="preserve"> jako </w:t>
      </w:r>
      <w:r w:rsidR="00B2486A">
        <w:t>zakladatel moderní ontologie.</w:t>
      </w:r>
      <w:r w:rsidR="0838073B">
        <w:rPr>
          <w:rStyle w:val="Znakapoznpodarou"/>
        </w:rPr>
        <w:footnoteReference w:id="439"/>
      </w:r>
      <w:r w:rsidR="00B2486A">
        <w:t xml:space="preserve"> </w:t>
      </w:r>
      <w:r w:rsidR="006B51E1">
        <w:t xml:space="preserve">Španělský jezuita </w:t>
      </w:r>
      <w:r w:rsidR="087771E0">
        <w:t xml:space="preserve">a scholastický zakladatel postmoderny </w:t>
      </w:r>
      <w:r w:rsidR="006B51E1">
        <w:t xml:space="preserve">pojal </w:t>
      </w:r>
      <w:r w:rsidR="00B2486A">
        <w:t>materi</w:t>
      </w:r>
      <w:r w:rsidR="001E2429">
        <w:t>i</w:t>
      </w:r>
      <w:r w:rsidR="00B2486A">
        <w:t xml:space="preserve"> </w:t>
      </w:r>
      <w:r w:rsidR="00205561">
        <w:t>jako jsoucn</w:t>
      </w:r>
      <w:r w:rsidR="006B51E1">
        <w:t>o</w:t>
      </w:r>
      <w:r w:rsidR="00205561">
        <w:t xml:space="preserve"> třetího</w:t>
      </w:r>
      <w:r w:rsidR="00881C38">
        <w:t xml:space="preserve"> druhu </w:t>
      </w:r>
      <w:r w:rsidR="00B2486A">
        <w:t>podle Rufu</w:t>
      </w:r>
      <w:r w:rsidR="08C350C9">
        <w:t xml:space="preserve">se a Scota </w:t>
      </w:r>
      <w:r w:rsidR="00205561">
        <w:t>(</w:t>
      </w:r>
      <w:r w:rsidR="00205561" w:rsidRPr="00427167">
        <w:rPr>
          <w:i/>
        </w:rPr>
        <w:t>ipsa habet aliquem actum</w:t>
      </w:r>
      <w:r w:rsidR="00205561" w:rsidRPr="00B2486A">
        <w:rPr>
          <w:i/>
        </w:rPr>
        <w:t xml:space="preserve"> </w:t>
      </w:r>
      <w:r w:rsidR="00205561" w:rsidRPr="00427167">
        <w:rPr>
          <w:i/>
        </w:rPr>
        <w:t>entitativum</w:t>
      </w:r>
      <w:r w:rsidR="00205561" w:rsidRPr="00273106">
        <w:t>)</w:t>
      </w:r>
      <w:r w:rsidR="080C1B95">
        <w:t xml:space="preserve">. </w:t>
      </w:r>
      <w:r w:rsidR="084C49E9" w:rsidRPr="084C49E9">
        <w:t>F</w:t>
      </w:r>
      <w:r w:rsidR="084C49E9">
        <w:t xml:space="preserve">orma primární materie je určena logickým vyloučením třetího, protože </w:t>
      </w:r>
      <w:r w:rsidR="00E91340">
        <w:t>individualizovaná „</w:t>
      </w:r>
      <w:r w:rsidR="084C49E9">
        <w:t>materie</w:t>
      </w:r>
      <w:r w:rsidR="00E91340">
        <w:t>“</w:t>
      </w:r>
      <w:r w:rsidR="084C49E9">
        <w:t xml:space="preserve"> je sama sebou</w:t>
      </w:r>
      <w:r w:rsidR="00E91340">
        <w:t>,</w:t>
      </w:r>
      <w:r w:rsidR="084C49E9">
        <w:t xml:space="preserve"> a tím se liší od všeho ostatního.  Logické určení materie nahradilo její původní metafyzický smysl daný v aristotelském hylemorfismu.</w:t>
      </w:r>
      <w:r w:rsidR="084C49E9">
        <w:rPr>
          <w:szCs w:val="24"/>
        </w:rPr>
        <w:t xml:space="preserve"> </w:t>
      </w:r>
      <w:r w:rsidR="080C1B95">
        <w:t xml:space="preserve">Ale na rozdíl od Rufuse odmítl </w:t>
      </w:r>
      <w:r w:rsidR="084C49E9">
        <w:t xml:space="preserve">Suarez </w:t>
      </w:r>
      <w:r w:rsidR="080C1B95">
        <w:t>hypostázovat akcidenty, které patří pouze k lokalizované</w:t>
      </w:r>
      <w:r w:rsidR="00205561">
        <w:t xml:space="preserve"> </w:t>
      </w:r>
      <w:r w:rsidR="080C1B95">
        <w:t xml:space="preserve">reálné </w:t>
      </w:r>
      <w:r w:rsidR="08350612">
        <w:t>věci</w:t>
      </w:r>
      <w:r w:rsidR="085307BF">
        <w:t xml:space="preserve">, viz </w:t>
      </w:r>
      <w:r w:rsidR="084C49E9">
        <w:t xml:space="preserve">jeho </w:t>
      </w:r>
      <w:r w:rsidR="085307BF">
        <w:t xml:space="preserve">termín </w:t>
      </w:r>
      <w:r w:rsidR="00205561" w:rsidRPr="00205561">
        <w:rPr>
          <w:i/>
        </w:rPr>
        <w:t>distinctio situalis</w:t>
      </w:r>
      <w:r w:rsidR="006B51E1">
        <w:t xml:space="preserve">. </w:t>
      </w:r>
      <w:r w:rsidR="00DB2CDA">
        <w:t>Aristotelské řešení individuace je opět dáno jen zdánlivě, protože Suárezova materie má status porretánské hypostáze a Avicennovy čisté esence tím, že přichází k již dané esenci moderního individua (</w:t>
      </w:r>
      <w:r w:rsidR="00DB2CDA" w:rsidRPr="00B71AED">
        <w:rPr>
          <w:i/>
        </w:rPr>
        <w:t xml:space="preserve">superveniens </w:t>
      </w:r>
      <w:r w:rsidR="00DB2CDA" w:rsidRPr="00B71AED">
        <w:rPr>
          <w:rFonts w:eastAsia="TimesNewRoman,Italic"/>
          <w:i/>
        </w:rPr>
        <w:t>ad rationem individui</w:t>
      </w:r>
      <w:r w:rsidR="00DB2CDA">
        <w:rPr>
          <w:rFonts w:eastAsia="TimesNewRoman,Italic"/>
        </w:rPr>
        <w:t>)</w:t>
      </w:r>
      <w:r w:rsidR="00DB2CDA">
        <w:t>. R</w:t>
      </w:r>
      <w:r w:rsidR="00205561">
        <w:t xml:space="preserve">ozsažnost </w:t>
      </w:r>
      <w:r w:rsidR="08B82F53">
        <w:t xml:space="preserve">ale </w:t>
      </w:r>
      <w:r w:rsidR="006B51E1">
        <w:t>patří pouze materiální první substanci, nikoliv esenci</w:t>
      </w:r>
      <w:r w:rsidR="00DD502E">
        <w:t>.</w:t>
      </w:r>
      <w:r w:rsidR="00881C38">
        <w:t xml:space="preserve"> </w:t>
      </w:r>
      <w:r w:rsidR="00A64D85">
        <w:t>C</w:t>
      </w:r>
      <w:r w:rsidR="00AD18D4">
        <w:t xml:space="preserve">itovaná pasáž </w:t>
      </w:r>
      <w:r w:rsidR="006B51E1">
        <w:t xml:space="preserve">Suáreze ukazuje odklon od </w:t>
      </w:r>
      <w:r w:rsidR="00AD18D4">
        <w:t xml:space="preserve">Rufusova modernismu, protože </w:t>
      </w:r>
      <w:r w:rsidR="006B51E1">
        <w:t xml:space="preserve">ten </w:t>
      </w:r>
      <w:r w:rsidR="00AD18D4">
        <w:t>zahrnul rozsažnost a ka</w:t>
      </w:r>
      <w:r w:rsidR="006B51E1">
        <w:t xml:space="preserve">uzalitu do definice esence. </w:t>
      </w:r>
      <w:r w:rsidR="00AD18D4">
        <w:t>Suárez odmítl</w:t>
      </w:r>
      <w:r w:rsidR="007505A1">
        <w:t xml:space="preserve"> </w:t>
      </w:r>
      <w:r w:rsidR="006B51E1">
        <w:t xml:space="preserve">univerzální hylemorfismus </w:t>
      </w:r>
      <w:r w:rsidR="007505A1">
        <w:t>a držel materii</w:t>
      </w:r>
      <w:r w:rsidR="08563357">
        <w:t xml:space="preserve"> jako princip reálné rozsažnosti</w:t>
      </w:r>
      <w:r w:rsidR="00AD18D4">
        <w:t xml:space="preserve">. </w:t>
      </w:r>
      <w:r w:rsidR="001331B0" w:rsidRPr="00273106">
        <w:t xml:space="preserve">Leibniz </w:t>
      </w:r>
      <w:r w:rsidR="001131A2">
        <w:t>přijal Suá</w:t>
      </w:r>
      <w:r w:rsidR="00DD502E">
        <w:t>rezovu moderní individuaci</w:t>
      </w:r>
      <w:r w:rsidR="00BD33DE">
        <w:t xml:space="preserve"> </w:t>
      </w:r>
      <w:r w:rsidR="08546F5D">
        <w:t xml:space="preserve">a také </w:t>
      </w:r>
      <w:r w:rsidR="000E7130">
        <w:t xml:space="preserve">odmítl scotistickou tezi danou </w:t>
      </w:r>
      <w:r w:rsidR="00DD502E">
        <w:t>skrze koncept materie třetího druhu</w:t>
      </w:r>
      <w:r w:rsidR="000E7130">
        <w:t xml:space="preserve">. Leibnizovo </w:t>
      </w:r>
      <w:r w:rsidR="0078427C">
        <w:t xml:space="preserve">rané </w:t>
      </w:r>
      <w:r w:rsidR="001331B0" w:rsidRPr="00273106">
        <w:t>díl</w:t>
      </w:r>
      <w:r w:rsidR="000E7130">
        <w:t>o</w:t>
      </w:r>
      <w:r w:rsidR="001331B0" w:rsidRPr="00273106">
        <w:t xml:space="preserve"> </w:t>
      </w:r>
      <w:r w:rsidR="00123596" w:rsidRPr="00123596">
        <w:rPr>
          <w:i/>
        </w:rPr>
        <w:t>Disputatio metaph</w:t>
      </w:r>
      <w:r w:rsidR="00123596">
        <w:rPr>
          <w:i/>
        </w:rPr>
        <w:t>y</w:t>
      </w:r>
      <w:r w:rsidR="00123596" w:rsidRPr="00123596">
        <w:rPr>
          <w:i/>
        </w:rPr>
        <w:t>sica de principium individui</w:t>
      </w:r>
      <w:r w:rsidR="00123596">
        <w:t xml:space="preserve"> </w:t>
      </w:r>
      <w:r w:rsidR="001331B0" w:rsidRPr="00273106">
        <w:t>(1663)</w:t>
      </w:r>
      <w:r w:rsidR="001E29C4">
        <w:t xml:space="preserve"> odmítá Scotovu verzi individuace</w:t>
      </w:r>
      <w:r w:rsidR="00875ED0">
        <w:t xml:space="preserve"> skrze </w:t>
      </w:r>
      <w:r w:rsidR="00875ED0" w:rsidRPr="00875ED0">
        <w:rPr>
          <w:i/>
        </w:rPr>
        <w:t>haecceitas</w:t>
      </w:r>
      <w:r w:rsidR="00DE4A81">
        <w:rPr>
          <w:i/>
        </w:rPr>
        <w:fldChar w:fldCharType="begin"/>
      </w:r>
      <w:r w:rsidR="00DE4A81">
        <w:instrText xml:space="preserve"> XE "</w:instrText>
      </w:r>
      <w:r w:rsidR="00DE4A81" w:rsidRPr="00B566C1">
        <w:rPr>
          <w:i/>
        </w:rPr>
        <w:instrText>haecceitas</w:instrText>
      </w:r>
      <w:r w:rsidR="00DE4A81">
        <w:instrText xml:space="preserve">" </w:instrText>
      </w:r>
      <w:r w:rsidR="00DE4A81">
        <w:rPr>
          <w:i/>
        </w:rPr>
        <w:fldChar w:fldCharType="end"/>
      </w:r>
      <w:r w:rsidR="001E29C4">
        <w:t>, protože vytváří hylemorfické jsoucno třetího druhu.</w:t>
      </w:r>
      <w:r w:rsidR="00E9267E">
        <w:rPr>
          <w:rStyle w:val="Znakapoznpodarou"/>
        </w:rPr>
        <w:footnoteReference w:id="440"/>
      </w:r>
      <w:r w:rsidR="001331B0" w:rsidRPr="00273106">
        <w:t xml:space="preserve"> </w:t>
      </w:r>
      <w:r w:rsidR="08E44675">
        <w:t xml:space="preserve">Podle Leibnize vytvořil </w:t>
      </w:r>
      <w:r w:rsidR="00CA5F73">
        <w:t>Scotus</w:t>
      </w:r>
      <w:r w:rsidR="000E6C30">
        <w:t xml:space="preserve"> </w:t>
      </w:r>
      <w:r w:rsidR="00687B24">
        <w:t>z</w:t>
      </w:r>
      <w:r w:rsidR="000707C9">
        <w:t xml:space="preserve"> </w:t>
      </w:r>
      <w:r w:rsidR="00687B24">
        <w:t xml:space="preserve">objektivní </w:t>
      </w:r>
      <w:r w:rsidR="000707C9">
        <w:t xml:space="preserve">materie jednoho </w:t>
      </w:r>
      <w:r w:rsidR="00CA5F73">
        <w:t xml:space="preserve">moderního </w:t>
      </w:r>
      <w:r w:rsidR="000707C9">
        <w:t>Fr</w:t>
      </w:r>
      <w:r w:rsidR="000E6C30">
        <w:t xml:space="preserve">ankensteina, který </w:t>
      </w:r>
      <w:r w:rsidR="000707C9">
        <w:t>v sobě materiálně a moderně-konkrétně obsahoval všechny lidi (</w:t>
      </w:r>
      <w:r w:rsidR="000707C9" w:rsidRPr="000707C9">
        <w:rPr>
          <w:i/>
          <w:color w:val="000000"/>
          <w:lang w:val="la"/>
        </w:rPr>
        <w:t>humanitate concretum</w:t>
      </w:r>
      <w:r w:rsidR="003330AF">
        <w:rPr>
          <w:i/>
          <w:color w:val="000000"/>
          <w:lang w:val="la"/>
        </w:rPr>
        <w:fldChar w:fldCharType="begin"/>
      </w:r>
      <w:r w:rsidR="003330AF">
        <w:instrText xml:space="preserve"> XE "</w:instrText>
      </w:r>
      <w:r w:rsidR="00DE4A81">
        <w:instrText>osoba:</w:instrText>
      </w:r>
      <w:r w:rsidR="003330AF" w:rsidRPr="00B759F5">
        <w:rPr>
          <w:i/>
        </w:rPr>
        <w:instrText>concretum</w:instrText>
      </w:r>
      <w:r w:rsidR="003330AF">
        <w:instrText xml:space="preserve">" </w:instrText>
      </w:r>
      <w:r w:rsidR="003330AF">
        <w:rPr>
          <w:i/>
          <w:color w:val="000000"/>
          <w:lang w:val="la"/>
        </w:rPr>
        <w:fldChar w:fldCharType="end"/>
      </w:r>
      <w:r w:rsidR="000707C9" w:rsidRPr="000707C9">
        <w:rPr>
          <w:i/>
          <w:color w:val="000000"/>
          <w:lang w:val="la"/>
        </w:rPr>
        <w:t xml:space="preserve"> constituere, Hominem</w:t>
      </w:r>
      <w:r w:rsidR="000707C9">
        <w:t xml:space="preserve">). </w:t>
      </w:r>
      <w:r w:rsidR="00A11E64">
        <w:t xml:space="preserve">Leibniz </w:t>
      </w:r>
      <w:r w:rsidR="0044151B">
        <w:t xml:space="preserve">odmítá univoční ekvivalenci </w:t>
      </w:r>
      <w:r w:rsidR="00837215">
        <w:t xml:space="preserve">reality </w:t>
      </w:r>
      <w:r w:rsidR="0044151B">
        <w:t xml:space="preserve">a jejího obrazu v </w:t>
      </w:r>
      <w:r w:rsidR="00837215">
        <w:t xml:space="preserve">mysli a v tom se </w:t>
      </w:r>
      <w:r w:rsidR="000A17E2">
        <w:t xml:space="preserve">shoduje s kritikou </w:t>
      </w:r>
      <w:r w:rsidR="0044151B">
        <w:t xml:space="preserve">scotistické </w:t>
      </w:r>
      <w:r w:rsidR="000A17E2">
        <w:t>moderny</w:t>
      </w:r>
      <w:r w:rsidR="0044151B">
        <w:t xml:space="preserve"> podle Suáreze</w:t>
      </w:r>
      <w:r w:rsidR="00B62D55">
        <w:t>. Postmoderna staví na vítězné</w:t>
      </w:r>
      <w:r w:rsidR="00500B6E">
        <w:t>m středním proudu semiaverroismu</w:t>
      </w:r>
      <w:r w:rsidR="00B62D55">
        <w:t xml:space="preserve"> vzniklém po roce 1280 a hlásaného Akvinským, A</w:t>
      </w:r>
      <w:r w:rsidR="00500B6E">
        <w:t>egidiem Romanem a některými fra</w:t>
      </w:r>
      <w:r w:rsidR="00B62D55">
        <w:t>ntiškány jako byl Aquasparta.</w:t>
      </w:r>
      <w:r w:rsidR="007162D8">
        <w:t xml:space="preserve"> </w:t>
      </w:r>
      <w:r w:rsidR="0814028A">
        <w:t xml:space="preserve">Tento proud odmítl neoplatonismus tělesa třetího druhu, protože by padla klasická metafyzika Aristotela vykládaná </w:t>
      </w:r>
      <w:r w:rsidR="0814028A" w:rsidRPr="0814028A">
        <w:rPr>
          <w:i/>
        </w:rPr>
        <w:t>ad mentem Averrois</w:t>
      </w:r>
      <w:r w:rsidR="0814028A">
        <w:t xml:space="preserve">. Ale objektivistický proud modernistů podržel Rufusův dualismus poznání. </w:t>
      </w:r>
      <w:r w:rsidR="007162D8" w:rsidRPr="00273106">
        <w:t>Smysl</w:t>
      </w:r>
      <w:r w:rsidR="007162D8">
        <w:t xml:space="preserve">ová či inteligibilní </w:t>
      </w:r>
      <w:r w:rsidR="004B4D52" w:rsidRPr="004B4D52">
        <w:t>species</w:t>
      </w:r>
      <w:r w:rsidR="007162D8">
        <w:t xml:space="preserve"> získaná abstrakcí od kontingentních prvních substancí jsou</w:t>
      </w:r>
      <w:r w:rsidR="007162D8" w:rsidRPr="00273106">
        <w:t xml:space="preserve"> pro vědecký </w:t>
      </w:r>
      <w:r w:rsidR="007162D8">
        <w:t>sylo</w:t>
      </w:r>
      <w:r w:rsidR="007162D8" w:rsidRPr="00273106">
        <w:t>gismu</w:t>
      </w:r>
      <w:r w:rsidR="007162D8">
        <w:t>s druhého averroismu nepodstatná, protože ne</w:t>
      </w:r>
      <w:r w:rsidR="08EB45EB">
        <w:t xml:space="preserve">tvoří původní </w:t>
      </w:r>
      <w:r w:rsidR="007162D8" w:rsidRPr="00273106">
        <w:t xml:space="preserve">princip univerzálního poznání věci. </w:t>
      </w:r>
    </w:p>
    <w:p w14:paraId="2E248B72" w14:textId="66AE393D" w:rsidR="007162D8" w:rsidRPr="00273106" w:rsidRDefault="007162D8" w:rsidP="007162D8">
      <w:pPr>
        <w:pStyle w:val="Citace"/>
        <w:rPr>
          <w:noProof/>
          <w:lang w:val="cs-CZ"/>
        </w:rPr>
      </w:pPr>
      <w:r w:rsidRPr="00273106">
        <w:rPr>
          <w:noProof/>
          <w:lang w:val="cs-CZ"/>
        </w:rPr>
        <w:t>„</w:t>
      </w:r>
      <w:r w:rsidR="004B4D52" w:rsidRPr="004B4D52">
        <w:rPr>
          <w:noProof/>
          <w:lang w:val="cs-CZ"/>
        </w:rPr>
        <w:t>Species</w:t>
      </w:r>
      <w:r w:rsidRPr="00273106">
        <w:rPr>
          <w:noProof/>
          <w:lang w:val="cs-CZ"/>
        </w:rPr>
        <w:t xml:space="preserve"> pozna</w:t>
      </w:r>
      <w:r>
        <w:rPr>
          <w:noProof/>
          <w:lang w:val="cs-CZ"/>
        </w:rPr>
        <w:t>telné věci je přijata</w:t>
      </w:r>
      <w:r w:rsidRPr="00273106">
        <w:rPr>
          <w:noProof/>
          <w:lang w:val="cs-CZ"/>
        </w:rPr>
        <w:t xml:space="preserve"> do duše jako poznání, čili je to něco odděleného, co není smyslové i</w:t>
      </w:r>
      <w:r>
        <w:rPr>
          <w:noProof/>
          <w:lang w:val="cs-CZ"/>
        </w:rPr>
        <w:t xml:space="preserve">mago poznané věci. Jinak by tato </w:t>
      </w:r>
      <w:r w:rsidR="004B4D52" w:rsidRPr="004B4D52">
        <w:rPr>
          <w:noProof/>
          <w:lang w:val="cs-CZ"/>
        </w:rPr>
        <w:t>species</w:t>
      </w:r>
      <w:r>
        <w:rPr>
          <w:noProof/>
          <w:lang w:val="cs-CZ"/>
        </w:rPr>
        <w:t xml:space="preserve"> nikdy nebyla</w:t>
      </w:r>
      <w:r w:rsidRPr="00273106">
        <w:rPr>
          <w:noProof/>
          <w:lang w:val="cs-CZ"/>
        </w:rPr>
        <w:t xml:space="preserve"> principem poznání samotné věci.“ </w:t>
      </w:r>
      <w:r w:rsidRPr="00273106">
        <w:rPr>
          <w:rStyle w:val="Znakapoznpodarou"/>
          <w:noProof/>
          <w:lang w:val="cs-CZ"/>
        </w:rPr>
        <w:footnoteReference w:id="441"/>
      </w:r>
    </w:p>
    <w:p w14:paraId="4B0669E8" w14:textId="48758E24" w:rsidR="08CC2DA7" w:rsidRDefault="007162D8" w:rsidP="002A71AE">
      <w:r w:rsidRPr="00273106">
        <w:t>Vědecké poznání je oddělené (</w:t>
      </w:r>
      <w:r w:rsidR="086A62A6" w:rsidRPr="086A62A6">
        <w:rPr>
          <w:i/>
          <w:szCs w:val="24"/>
        </w:rPr>
        <w:t>est aliquid absolutum</w:t>
      </w:r>
      <w:r w:rsidRPr="00273106">
        <w:t>) od smyslového poznání (</w:t>
      </w:r>
      <w:r w:rsidRPr="00273106">
        <w:rPr>
          <w:i/>
        </w:rPr>
        <w:t>imago rei scibilis</w:t>
      </w:r>
      <w:r>
        <w:t xml:space="preserve">). </w:t>
      </w:r>
      <w:r w:rsidR="086A62A6">
        <w:t>Rufus zaměňuje příčinu poznání (první substance) s jejím p</w:t>
      </w:r>
      <w:r w:rsidR="087F49E6">
        <w:t>ůsobe</w:t>
      </w:r>
      <w:r w:rsidR="086A62A6">
        <w:t>ním v intelektu (</w:t>
      </w:r>
      <w:r w:rsidR="004B4D52" w:rsidRPr="004B4D52">
        <w:t>species</w:t>
      </w:r>
      <w:r w:rsidR="086A62A6">
        <w:t xml:space="preserve">). </w:t>
      </w:r>
      <w:r>
        <w:t xml:space="preserve">Status </w:t>
      </w:r>
      <w:r w:rsidR="00633E5F">
        <w:t>„</w:t>
      </w:r>
      <w:r w:rsidR="00633E5F">
        <w:rPr>
          <w:i/>
        </w:rPr>
        <w:t>rei</w:t>
      </w:r>
      <w:r w:rsidRPr="00273106">
        <w:rPr>
          <w:i/>
        </w:rPr>
        <w:t xml:space="preserve"> scibilis</w:t>
      </w:r>
      <w:r w:rsidR="00633E5F">
        <w:t>“</w:t>
      </w:r>
      <w:r w:rsidRPr="00273106">
        <w:t xml:space="preserve"> je daný v rámci jsoucna třetího druhu a je odvozený od výše analyzované existence </w:t>
      </w:r>
      <w:r>
        <w:t>atomární substance dané jako konkrétní individuum</w:t>
      </w:r>
      <w:r w:rsidR="086A62A6">
        <w:t xml:space="preserve"> (kap. 3</w:t>
      </w:r>
      <w:r w:rsidRPr="00273106">
        <w:t xml:space="preserve">.3.2). Závěr plně souzní s předchozí analýzou demonstrativního soudu v Rufusově komentáři ke </w:t>
      </w:r>
      <w:r w:rsidRPr="00D516E1">
        <w:rPr>
          <w:i/>
        </w:rPr>
        <w:t>Druhým analytikám</w:t>
      </w:r>
      <w:r w:rsidRPr="00273106">
        <w:t xml:space="preserve"> založenou na pojetí moderního </w:t>
      </w:r>
      <w:r w:rsidRPr="00273106">
        <w:rPr>
          <w:i/>
        </w:rPr>
        <w:t>scibile</w:t>
      </w:r>
      <w:r w:rsidR="086A62A6">
        <w:t xml:space="preserve"> (kap. 3</w:t>
      </w:r>
      <w:r w:rsidRPr="00273106">
        <w:t>.3.1).</w:t>
      </w:r>
      <w:r>
        <w:rPr>
          <w:rStyle w:val="FontStyle157"/>
          <w:rFonts w:ascii="Calibri" w:hAnsi="Calibri"/>
          <w:sz w:val="24"/>
        </w:rPr>
        <w:t xml:space="preserve"> </w:t>
      </w:r>
      <w:r w:rsidR="00BE6CC6">
        <w:t xml:space="preserve">Obě Rufusovy kritiky </w:t>
      </w:r>
      <w:r w:rsidR="00BE6CC6" w:rsidRPr="00273106">
        <w:t xml:space="preserve">se </w:t>
      </w:r>
      <w:r w:rsidR="001557DE" w:rsidRPr="00273106">
        <w:t xml:space="preserve">rozcházejí </w:t>
      </w:r>
      <w:r w:rsidR="001557DE">
        <w:t xml:space="preserve">v </w:t>
      </w:r>
      <w:r w:rsidR="00BE6CC6" w:rsidRPr="00273106">
        <w:t xml:space="preserve">zásadních bodech (postavení univerzálie a materie) jak s Aristotelem, tak pochopitelně s výkladem </w:t>
      </w:r>
      <w:r w:rsidR="002E3B62">
        <w:t>Averroes</w:t>
      </w:r>
      <w:r w:rsidR="00BE6CC6" w:rsidRPr="00273106">
        <w:t>e.</w:t>
      </w:r>
      <w:r w:rsidR="00D6172A">
        <w:t xml:space="preserve"> </w:t>
      </w:r>
      <w:r w:rsidR="009A5299">
        <w:t>Modernisté vytvořili simulákrum reality tím</w:t>
      </w:r>
      <w:r w:rsidR="008E31EE">
        <w:t>, ž</w:t>
      </w:r>
      <w:r w:rsidR="009A5299">
        <w:t xml:space="preserve">e zdvojili </w:t>
      </w:r>
      <w:r w:rsidR="008E31EE">
        <w:t xml:space="preserve">první substanci ve </w:t>
      </w:r>
      <w:r w:rsidR="009A5299">
        <w:t>form</w:t>
      </w:r>
      <w:r w:rsidR="008E31EE">
        <w:t>ě</w:t>
      </w:r>
      <w:r w:rsidR="009A5299">
        <w:t xml:space="preserve"> objektivní jso</w:t>
      </w:r>
      <w:r w:rsidR="008E31EE">
        <w:t>u</w:t>
      </w:r>
      <w:r w:rsidR="005C6FCA">
        <w:t xml:space="preserve">cnosti. </w:t>
      </w:r>
      <w:r w:rsidR="00360030">
        <w:t>Alvernus a Albert</w:t>
      </w:r>
      <w:r w:rsidR="00360030" w:rsidRPr="00493E1D">
        <w:t xml:space="preserve"> </w:t>
      </w:r>
      <w:r w:rsidR="00360030">
        <w:t xml:space="preserve">dosvědčili existenci sporu o výklad poznání kolem roku 1240, což analyzovala předešlá matrice. </w:t>
      </w:r>
      <w:r w:rsidR="08CD3E69">
        <w:t xml:space="preserve">Toto řešení zásadně odmítl Albert, protože </w:t>
      </w:r>
      <w:r w:rsidR="08CD3E69" w:rsidRPr="00273106">
        <w:t>dualismus Latiníků</w:t>
      </w:r>
      <w:r w:rsidR="08CD3E69">
        <w:t xml:space="preserve"> </w:t>
      </w:r>
      <w:r w:rsidR="08CD3E69">
        <w:rPr>
          <w:i/>
        </w:rPr>
        <w:fldChar w:fldCharType="begin"/>
      </w:r>
      <w:r w:rsidR="08CD3E69">
        <w:instrText xml:space="preserve"> XE "</w:instrText>
      </w:r>
      <w:r w:rsidR="08CD3E69" w:rsidRPr="009A5D69">
        <w:rPr>
          <w:lang w:eastAsia="en-US"/>
        </w:rPr>
        <w:instrText>druhý averroismus</w:instrText>
      </w:r>
      <w:r w:rsidR="08CD3E69">
        <w:rPr>
          <w:i/>
          <w:lang w:eastAsia="en-US"/>
        </w:rPr>
        <w:instrText>:</w:instrText>
      </w:r>
      <w:r w:rsidR="08CD3E69" w:rsidRPr="00EC0AF4">
        <w:rPr>
          <w:i/>
          <w:lang w:eastAsia="en-US"/>
        </w:rPr>
        <w:instrText>sophistae Latini</w:instrText>
      </w:r>
      <w:r w:rsidR="08CD3E69">
        <w:instrText xml:space="preserve">" </w:instrText>
      </w:r>
      <w:r w:rsidR="08CD3E69">
        <w:rPr>
          <w:i/>
        </w:rPr>
        <w:fldChar w:fldCharType="end"/>
      </w:r>
      <w:r w:rsidR="08CD3E69">
        <w:t xml:space="preserve">dubluje realitu v modelu univerzálního </w:t>
      </w:r>
      <w:r w:rsidR="08CD3E69" w:rsidRPr="009A5299">
        <w:t>hylemorfismu</w:t>
      </w:r>
      <w:r w:rsidR="08CD3E69" w:rsidRPr="009A5299">
        <w:fldChar w:fldCharType="begin"/>
      </w:r>
      <w:r w:rsidR="08CD3E69" w:rsidRPr="009A5299">
        <w:instrText xml:space="preserve"> XE "univerzální hylemorfismus" </w:instrText>
      </w:r>
      <w:r w:rsidR="08CD3E69" w:rsidRPr="009A5299">
        <w:fldChar w:fldCharType="end"/>
      </w:r>
      <w:r w:rsidR="08CD3E69" w:rsidRPr="009A5299">
        <w:t xml:space="preserve"> (</w:t>
      </w:r>
      <w:r w:rsidR="08CD3E69" w:rsidRPr="009A5299">
        <w:rPr>
          <w:i/>
        </w:rPr>
        <w:t>duplici individuitate</w:t>
      </w:r>
      <w:r w:rsidR="08485283">
        <w:t>, kap. 2</w:t>
      </w:r>
      <w:r w:rsidR="08CD3E69">
        <w:t>.4.2</w:t>
      </w:r>
      <w:r w:rsidR="08CD3E69" w:rsidRPr="009A5299">
        <w:t xml:space="preserve">). </w:t>
      </w:r>
      <w:r w:rsidR="08CD3E69" w:rsidRPr="00273106">
        <w:t>Alvernus, Bacon, Albert a další</w:t>
      </w:r>
      <w:r w:rsidR="08CD3E69">
        <w:t xml:space="preserve"> </w:t>
      </w:r>
      <w:r w:rsidR="08CD3E69" w:rsidRPr="00273106">
        <w:t xml:space="preserve">znalci </w:t>
      </w:r>
      <w:r w:rsidR="08CD3E69">
        <w:t>Averroes</w:t>
      </w:r>
      <w:r w:rsidR="08CD3E69" w:rsidRPr="00273106">
        <w:t xml:space="preserve">e z první vlny </w:t>
      </w:r>
      <w:r w:rsidR="08CD3E69">
        <w:t>konstatovali</w:t>
      </w:r>
      <w:r w:rsidR="08CD3E69" w:rsidRPr="00273106">
        <w:t>, že v případě moderních interpretátorů jde o pouhou sofistiku</w:t>
      </w:r>
      <w:r w:rsidR="08CD3E69">
        <w:t>, která uzávorkovala bytí první substance a popřela ipseitu jedinečné osoby</w:t>
      </w:r>
      <w:r w:rsidR="08CD3E69" w:rsidRPr="00273106">
        <w:t>.</w:t>
      </w:r>
      <w:r w:rsidR="08CD3E69" w:rsidRPr="008D655D">
        <w:t xml:space="preserve"> </w:t>
      </w:r>
      <w:r w:rsidR="08357CB1">
        <w:t>Zdvojení reality dané v učení latinských sofistů bylo pro aristoteliky</w:t>
      </w:r>
      <w:r w:rsidR="08CC2DA7">
        <w:t xml:space="preserve"> naprosto nepřijatelné. O</w:t>
      </w:r>
      <w:r w:rsidR="08C73824">
        <w:t xml:space="preserve">xfordští </w:t>
      </w:r>
      <w:r w:rsidR="08C73824" w:rsidRPr="08C73824">
        <w:rPr>
          <w:i/>
        </w:rPr>
        <w:t>Moderni</w:t>
      </w:r>
      <w:r w:rsidR="08C73824">
        <w:t xml:space="preserve"> </w:t>
      </w:r>
      <w:r w:rsidR="08357CB1">
        <w:t>popíral</w:t>
      </w:r>
      <w:r w:rsidR="08C73824">
        <w:t>i</w:t>
      </w:r>
      <w:r w:rsidR="08357CB1">
        <w:t xml:space="preserve"> myšlení normálního zdravého rozumu</w:t>
      </w:r>
      <w:r w:rsidR="08CC2DA7">
        <w:t xml:space="preserve">, na kterém stojí </w:t>
      </w:r>
      <w:r w:rsidR="08CC2DA7" w:rsidRPr="08CC2DA7">
        <w:rPr>
          <w:i/>
        </w:rPr>
        <w:t>Metafyzika</w:t>
      </w:r>
      <w:r w:rsidR="08CC2DA7">
        <w:t xml:space="preserve"> a </w:t>
      </w:r>
      <w:r w:rsidR="08CC2DA7">
        <w:rPr>
          <w:i/>
        </w:rPr>
        <w:t>Druhé ana</w:t>
      </w:r>
      <w:r w:rsidR="08CC2DA7" w:rsidRPr="08CC2DA7">
        <w:rPr>
          <w:i/>
        </w:rPr>
        <w:t>l</w:t>
      </w:r>
      <w:r w:rsidR="08CC2DA7">
        <w:rPr>
          <w:i/>
        </w:rPr>
        <w:t>y</w:t>
      </w:r>
      <w:r w:rsidR="08CC2DA7" w:rsidRPr="08CC2DA7">
        <w:rPr>
          <w:i/>
        </w:rPr>
        <w:t>tiky</w:t>
      </w:r>
      <w:r w:rsidR="08357CB1">
        <w:t>.</w:t>
      </w:r>
    </w:p>
    <w:p w14:paraId="05C30A4E" w14:textId="77777777" w:rsidR="00EB2884" w:rsidRDefault="08CC2DA7" w:rsidP="002A71AE">
      <w:r>
        <w:tab/>
      </w:r>
      <w:r w:rsidR="08B1016A" w:rsidRPr="00273106">
        <w:t xml:space="preserve">Univoční identita </w:t>
      </w:r>
      <w:r w:rsidR="004B4D52" w:rsidRPr="004B4D52">
        <w:t>species</w:t>
      </w:r>
      <w:r w:rsidR="08B1016A" w:rsidRPr="00273106">
        <w:t xml:space="preserve"> a interního </w:t>
      </w:r>
      <w:r w:rsidR="08B1016A" w:rsidRPr="00273106">
        <w:rPr>
          <w:i/>
        </w:rPr>
        <w:t>scibile</w:t>
      </w:r>
      <w:r w:rsidR="08B1016A" w:rsidRPr="00273106">
        <w:t xml:space="preserve"> odtržená od real</w:t>
      </w:r>
      <w:r w:rsidR="08025705">
        <w:t xml:space="preserve">ity smyslů a od první substance. To znamená, že </w:t>
      </w:r>
      <w:r w:rsidR="08B1016A" w:rsidRPr="00273106">
        <w:t xml:space="preserve">receptivní intelekt </w:t>
      </w:r>
      <w:r w:rsidR="08B1016A" w:rsidRPr="00273106">
        <w:rPr>
          <w:i/>
        </w:rPr>
        <w:t>Modernorum</w:t>
      </w:r>
      <w:r w:rsidR="08B1016A" w:rsidRPr="00273106">
        <w:t xml:space="preserve"> bude stejně problematický, jako jejich poznání reality</w:t>
      </w:r>
      <w:r w:rsidR="00557DCE">
        <w:t xml:space="preserve">. </w:t>
      </w:r>
      <w:r w:rsidR="00052BA1">
        <w:t>Hermeneutická arche</w:t>
      </w:r>
      <w:r w:rsidR="00313BE8">
        <w:t>ologie</w:t>
      </w:r>
      <w:r w:rsidR="00DA7BAA" w:rsidRPr="00273106">
        <w:t xml:space="preserve"> </w:t>
      </w:r>
      <w:r w:rsidR="00313BE8">
        <w:t xml:space="preserve">proto </w:t>
      </w:r>
      <w:r w:rsidR="00052BA1">
        <w:t xml:space="preserve">hledá </w:t>
      </w:r>
      <w:r w:rsidR="00DA7BAA">
        <w:t xml:space="preserve">originální </w:t>
      </w:r>
      <w:r w:rsidR="00DA7BAA" w:rsidRPr="00273106">
        <w:t xml:space="preserve">subjekt poznání </w:t>
      </w:r>
      <w:r w:rsidR="00DA7BAA" w:rsidRPr="00273106">
        <w:rPr>
          <w:i/>
        </w:rPr>
        <w:t>Modernorum</w:t>
      </w:r>
      <w:r w:rsidR="00472C69">
        <w:t>. T</w:t>
      </w:r>
      <w:r w:rsidR="00DA7BAA">
        <w:t xml:space="preserve">ento subjekt </w:t>
      </w:r>
      <w:r w:rsidR="00DA7BAA" w:rsidRPr="00273106">
        <w:t xml:space="preserve">zakládá původní </w:t>
      </w:r>
      <w:r w:rsidR="00DA7BAA" w:rsidRPr="00273106">
        <w:rPr>
          <w:i/>
        </w:rPr>
        <w:t>Lichtung</w:t>
      </w:r>
      <w:r w:rsidR="00DA7BAA" w:rsidRPr="00273106">
        <w:t xml:space="preserve"> vykazující pravdu a nepravdu moderní</w:t>
      </w:r>
      <w:r w:rsidR="00DA7BAA">
        <w:t xml:space="preserve"> objektivity</w:t>
      </w:r>
      <w:r w:rsidR="00472C69">
        <w:t xml:space="preserve"> vzniklé jako simulákrum</w:t>
      </w:r>
      <w:r w:rsidR="00472C69">
        <w:fldChar w:fldCharType="begin"/>
      </w:r>
      <w:r w:rsidR="00472C69">
        <w:instrText xml:space="preserve"> XE "</w:instrText>
      </w:r>
      <w:r w:rsidR="00472C69" w:rsidRPr="00CE5C7E">
        <w:instrText>simulákrum</w:instrText>
      </w:r>
      <w:r w:rsidR="00472C69">
        <w:instrText xml:space="preserve">" </w:instrText>
      </w:r>
      <w:r w:rsidR="00472C69">
        <w:fldChar w:fldCharType="end"/>
      </w:r>
      <w:r w:rsidR="00472C69">
        <w:t xml:space="preserve"> metafyziky sofisticky dané </w:t>
      </w:r>
      <w:r w:rsidR="00472C69" w:rsidRPr="00472C69">
        <w:rPr>
          <w:i/>
        </w:rPr>
        <w:t>ad mentem Averrois</w:t>
      </w:r>
      <w:r w:rsidR="00DA7BAA" w:rsidRPr="00273106">
        <w:t>.</w:t>
      </w:r>
      <w:r w:rsidR="007162D8">
        <w:t xml:space="preserve"> </w:t>
      </w:r>
      <w:r w:rsidR="004105CA">
        <w:t>Status subjektu je vázaný na výklad Averroesova</w:t>
      </w:r>
      <w:r w:rsidR="004105CA" w:rsidRPr="00273106">
        <w:t xml:space="preserve"> </w:t>
      </w:r>
      <w:r w:rsidR="004105CA" w:rsidRPr="00273106">
        <w:rPr>
          <w:i/>
        </w:rPr>
        <w:t>intellectus possibilis</w:t>
      </w:r>
      <w:r w:rsidR="004105CA">
        <w:t xml:space="preserve">, který </w:t>
      </w:r>
      <w:r w:rsidR="004105CA" w:rsidRPr="00273106">
        <w:t>nemůže mít stejný charakter v</w:t>
      </w:r>
      <w:r w:rsidR="004105CA">
        <w:t xml:space="preserve"> prvním a ve druhém averroismu. </w:t>
      </w:r>
      <w:r w:rsidR="007C67AF">
        <w:t xml:space="preserve">Moderna </w:t>
      </w:r>
      <w:r w:rsidR="007C67AF" w:rsidRPr="00273106">
        <w:t xml:space="preserve">nemá pojetí abstrakce podle prvního averroismu, protože </w:t>
      </w:r>
      <w:r w:rsidR="007C67AF" w:rsidRPr="007949A0">
        <w:rPr>
          <w:i/>
        </w:rPr>
        <w:t>scibile</w:t>
      </w:r>
      <w:r w:rsidR="007C67AF">
        <w:t xml:space="preserve"> </w:t>
      </w:r>
      <w:r w:rsidR="007C67AF" w:rsidRPr="00273106">
        <w:t>je určen</w:t>
      </w:r>
      <w:r w:rsidR="007C67AF">
        <w:t>o</w:t>
      </w:r>
      <w:r w:rsidR="007C67AF" w:rsidRPr="00273106">
        <w:t xml:space="preserve"> jako subsistentní forma.</w:t>
      </w:r>
      <w:r w:rsidR="007C67AF">
        <w:t xml:space="preserve"> </w:t>
      </w:r>
      <w:r w:rsidR="002C3579" w:rsidRPr="00273106">
        <w:t xml:space="preserve">Dvojí způsob </w:t>
      </w:r>
      <w:r w:rsidR="002C3579">
        <w:t>výkladu</w:t>
      </w:r>
      <w:r w:rsidR="002C3579" w:rsidRPr="000F1023">
        <w:rPr>
          <w:i/>
        </w:rPr>
        <w:t xml:space="preserve"> </w:t>
      </w:r>
      <w:r w:rsidR="002C3579" w:rsidRPr="00273106">
        <w:rPr>
          <w:i/>
        </w:rPr>
        <w:t>intellectus possibilis</w:t>
      </w:r>
      <w:r w:rsidR="002C3579">
        <w:t xml:space="preserve"> </w:t>
      </w:r>
      <w:r w:rsidR="002C3579" w:rsidRPr="00273106">
        <w:t>tvoří epochální událost (</w:t>
      </w:r>
      <w:r w:rsidR="002C3579" w:rsidRPr="00273106">
        <w:rPr>
          <w:i/>
        </w:rPr>
        <w:t>Ereignis</w:t>
      </w:r>
      <w:r w:rsidR="002C3579">
        <w:rPr>
          <w:i/>
        </w:rPr>
        <w:fldChar w:fldCharType="begin"/>
      </w:r>
      <w:r w:rsidR="002C3579">
        <w:instrText xml:space="preserve"> XE "</w:instrText>
      </w:r>
      <w:r w:rsidR="002C3579" w:rsidRPr="00120BB2">
        <w:rPr>
          <w:i/>
        </w:rPr>
        <w:instrText>Ereignis</w:instrText>
      </w:r>
      <w:r w:rsidR="002C3579">
        <w:instrText xml:space="preserve">" </w:instrText>
      </w:r>
      <w:r w:rsidR="002C3579">
        <w:rPr>
          <w:i/>
        </w:rPr>
        <w:fldChar w:fldCharType="end"/>
      </w:r>
      <w:r w:rsidR="002C3579" w:rsidRPr="00273106">
        <w:t>) vzniku moderního subjektu</w:t>
      </w:r>
      <w:r w:rsidR="002C3579">
        <w:t xml:space="preserve">, protože zakládá </w:t>
      </w:r>
      <w:r w:rsidR="002C3579" w:rsidRPr="00417253">
        <w:rPr>
          <w:i/>
        </w:rPr>
        <w:t>Lichtung</w:t>
      </w:r>
      <w:r w:rsidR="002C3579">
        <w:t xml:space="preserve"> pravdy a nepravdy západního vidění světa v modu objektivního </w:t>
      </w:r>
      <w:r w:rsidR="002C3579" w:rsidRPr="00FF3315">
        <w:rPr>
          <w:i/>
        </w:rPr>
        <w:t>Irrtum</w:t>
      </w:r>
      <w:r w:rsidR="002C3579" w:rsidRPr="00273106">
        <w:t>.</w:t>
      </w:r>
      <w:r w:rsidR="002C3579">
        <w:t xml:space="preserve"> </w:t>
      </w:r>
      <w:r w:rsidR="00DA7BAA">
        <w:t xml:space="preserve">Rufusův výklad averroistického Averroese vyvolal zásadní spor o aristotelský nebo neoplatonský výklad </w:t>
      </w:r>
      <w:r w:rsidR="00DA7BAA" w:rsidRPr="00017752">
        <w:rPr>
          <w:i/>
        </w:rPr>
        <w:t>De anima</w:t>
      </w:r>
      <w:r w:rsidR="00DA7BAA">
        <w:t xml:space="preserve">. Důvod tkví v již pojednaném tvrzení Avicebrona, že </w:t>
      </w:r>
      <w:r w:rsidR="00DA7BAA" w:rsidRPr="00273106">
        <w:t xml:space="preserve">možný intelekt je </w:t>
      </w:r>
      <w:r w:rsidR="00DA7BAA">
        <w:t>univerzální jako materie (</w:t>
      </w:r>
      <w:r w:rsidR="00DA7BAA" w:rsidRPr="00CD23BD">
        <w:rPr>
          <w:i/>
        </w:rPr>
        <w:t>i</w:t>
      </w:r>
      <w:r w:rsidR="00DA7BAA" w:rsidRPr="00CD23BD">
        <w:rPr>
          <w:rStyle w:val="FontStyle157"/>
          <w:rFonts w:ascii="Calibri" w:hAnsi="Calibri"/>
          <w:i/>
          <w:sz w:val="24"/>
        </w:rPr>
        <w:t>ntellectus</w:t>
      </w:r>
      <w:r w:rsidR="00DA7BAA">
        <w:rPr>
          <w:rStyle w:val="FontStyle157"/>
          <w:rFonts w:ascii="Calibri" w:hAnsi="Calibri"/>
          <w:i/>
          <w:sz w:val="24"/>
        </w:rPr>
        <w:t xml:space="preserve"> possi</w:t>
      </w:r>
      <w:r w:rsidR="00DA7BAA" w:rsidRPr="00273106">
        <w:rPr>
          <w:rStyle w:val="FontStyle157"/>
          <w:rFonts w:ascii="Calibri" w:hAnsi="Calibri"/>
          <w:i/>
          <w:sz w:val="24"/>
        </w:rPr>
        <w:t>bilis est communis sicut materiae</w:t>
      </w:r>
      <w:r w:rsidR="084F2D63">
        <w:rPr>
          <w:rStyle w:val="FontStyle157"/>
          <w:rFonts w:ascii="Calibri" w:hAnsi="Calibri"/>
          <w:i/>
          <w:sz w:val="24"/>
        </w:rPr>
        <w:t xml:space="preserve">, </w:t>
      </w:r>
      <w:r w:rsidR="084D160E">
        <w:rPr>
          <w:rStyle w:val="FontStyle157"/>
          <w:rFonts w:ascii="Calibri" w:hAnsi="Calibri"/>
          <w:sz w:val="24"/>
        </w:rPr>
        <w:t>kap. 2</w:t>
      </w:r>
      <w:r w:rsidR="084F2D63">
        <w:rPr>
          <w:rStyle w:val="FontStyle157"/>
          <w:rFonts w:ascii="Calibri" w:hAnsi="Calibri"/>
          <w:sz w:val="24"/>
        </w:rPr>
        <w:t>.4.3</w:t>
      </w:r>
      <w:r w:rsidR="00DA7BAA">
        <w:t>)</w:t>
      </w:r>
      <w:r w:rsidR="00DA7BAA" w:rsidRPr="00273106">
        <w:t xml:space="preserve">. </w:t>
      </w:r>
      <w:r w:rsidR="00DA7BAA" w:rsidRPr="00273106">
        <w:rPr>
          <w:rStyle w:val="FontStyle157"/>
          <w:rFonts w:ascii="Calibri" w:hAnsi="Calibri"/>
          <w:sz w:val="24"/>
        </w:rPr>
        <w:t xml:space="preserve">Toto tvrzení obsahuje </w:t>
      </w:r>
      <w:r w:rsidR="08226B54">
        <w:rPr>
          <w:rStyle w:val="FontStyle157"/>
          <w:rFonts w:ascii="Calibri" w:hAnsi="Calibri"/>
          <w:sz w:val="24"/>
        </w:rPr>
        <w:t xml:space="preserve">základní princip </w:t>
      </w:r>
      <w:r w:rsidR="08B76E72">
        <w:rPr>
          <w:rStyle w:val="FontStyle157"/>
          <w:rFonts w:ascii="Calibri" w:hAnsi="Calibri"/>
          <w:sz w:val="24"/>
        </w:rPr>
        <w:t>Dina</w:t>
      </w:r>
      <w:r w:rsidR="08226B54">
        <w:rPr>
          <w:rStyle w:val="FontStyle157"/>
          <w:rFonts w:ascii="Calibri" w:hAnsi="Calibri"/>
          <w:sz w:val="24"/>
        </w:rPr>
        <w:t>ntovy</w:t>
      </w:r>
      <w:r w:rsidR="08B76E72">
        <w:rPr>
          <w:rStyle w:val="FontStyle157"/>
          <w:rFonts w:ascii="Calibri" w:hAnsi="Calibri"/>
          <w:sz w:val="24"/>
        </w:rPr>
        <w:t xml:space="preserve"> panteis</w:t>
      </w:r>
      <w:r w:rsidR="08226B54">
        <w:rPr>
          <w:rStyle w:val="FontStyle157"/>
          <w:rFonts w:ascii="Calibri" w:hAnsi="Calibri"/>
          <w:sz w:val="24"/>
        </w:rPr>
        <w:t>tické</w:t>
      </w:r>
      <w:r w:rsidR="085A1C75">
        <w:rPr>
          <w:rStyle w:val="FontStyle157"/>
          <w:rFonts w:ascii="Calibri" w:hAnsi="Calibri"/>
          <w:sz w:val="24"/>
        </w:rPr>
        <w:fldChar w:fldCharType="begin"/>
      </w:r>
      <w:r w:rsidR="085A1C75">
        <w:instrText xml:space="preserve"> XE "</w:instrText>
      </w:r>
      <w:r w:rsidR="085A1C75" w:rsidRPr="08E64A8E">
        <w:rPr>
          <w:rStyle w:val="FontStyle157"/>
          <w:rFonts w:ascii="Calibri" w:hAnsi="Calibri"/>
          <w:sz w:val="24"/>
        </w:rPr>
        <w:instrText>panteismus</w:instrText>
      </w:r>
      <w:r w:rsidR="085A1C75">
        <w:instrText xml:space="preserve">" </w:instrText>
      </w:r>
      <w:r w:rsidR="085A1C75">
        <w:rPr>
          <w:rStyle w:val="FontStyle157"/>
          <w:rFonts w:ascii="Calibri" w:hAnsi="Calibri"/>
          <w:sz w:val="24"/>
        </w:rPr>
        <w:fldChar w:fldCharType="end"/>
      </w:r>
      <w:r w:rsidR="08226B54">
        <w:rPr>
          <w:rStyle w:val="FontStyle157"/>
          <w:rFonts w:ascii="Calibri" w:hAnsi="Calibri"/>
          <w:sz w:val="24"/>
        </w:rPr>
        <w:t xml:space="preserve"> hereze a proto tvoří </w:t>
      </w:r>
      <w:r w:rsidR="00DA7BAA" w:rsidRPr="00273106">
        <w:rPr>
          <w:rStyle w:val="FontStyle157"/>
          <w:rFonts w:ascii="Calibri" w:hAnsi="Calibri"/>
          <w:sz w:val="24"/>
        </w:rPr>
        <w:t>jádro sporu m</w:t>
      </w:r>
      <w:r w:rsidR="00DA7BAA">
        <w:rPr>
          <w:rStyle w:val="FontStyle157"/>
          <w:rFonts w:ascii="Calibri" w:hAnsi="Calibri"/>
          <w:sz w:val="24"/>
        </w:rPr>
        <w:t>e</w:t>
      </w:r>
      <w:r w:rsidR="084F2D63">
        <w:rPr>
          <w:rStyle w:val="FontStyle157"/>
          <w:rFonts w:ascii="Calibri" w:hAnsi="Calibri"/>
          <w:sz w:val="24"/>
        </w:rPr>
        <w:t>zi prvním a druhým averroismem</w:t>
      </w:r>
      <w:r w:rsidR="00DA7BAA">
        <w:rPr>
          <w:rStyle w:val="FontStyle157"/>
          <w:rFonts w:ascii="Calibri" w:hAnsi="Calibri"/>
          <w:sz w:val="24"/>
        </w:rPr>
        <w:t xml:space="preserve">. První averroismus tvrdí s CMDA, že slovo </w:t>
      </w:r>
      <w:r w:rsidR="004341E3">
        <w:rPr>
          <w:rStyle w:val="FontStyle157"/>
          <w:rFonts w:ascii="Calibri" w:hAnsi="Calibri"/>
          <w:sz w:val="24"/>
        </w:rPr>
        <w:t>„</w:t>
      </w:r>
      <w:r w:rsidR="00DA7BAA" w:rsidRPr="00555DF3">
        <w:rPr>
          <w:rStyle w:val="FontStyle157"/>
          <w:rFonts w:ascii="Calibri" w:hAnsi="Calibri"/>
          <w:i/>
          <w:sz w:val="24"/>
        </w:rPr>
        <w:t>sicut</w:t>
      </w:r>
      <w:r w:rsidR="004341E3">
        <w:rPr>
          <w:rStyle w:val="FontStyle157"/>
          <w:rFonts w:ascii="Calibri" w:hAnsi="Calibri"/>
          <w:sz w:val="24"/>
        </w:rPr>
        <w:t>“</w:t>
      </w:r>
      <w:r w:rsidR="00DA7BAA">
        <w:rPr>
          <w:rStyle w:val="FontStyle157"/>
          <w:rFonts w:ascii="Calibri" w:hAnsi="Calibri"/>
          <w:sz w:val="24"/>
        </w:rPr>
        <w:t xml:space="preserve"> znamená pouhou podobnost intelektu a materie, protože intelekt není ani hypostází ani substancí, ale má schopnost univerzální receptivity podobně jako materie. </w:t>
      </w:r>
      <w:r w:rsidR="00C048EE" w:rsidRPr="00273106">
        <w:t xml:space="preserve">Druhá vlna averroistů zásadně změnila pojetí </w:t>
      </w:r>
      <w:r w:rsidR="00C048EE" w:rsidRPr="00273106">
        <w:rPr>
          <w:i/>
        </w:rPr>
        <w:t>intellectus possibilis</w:t>
      </w:r>
      <w:r w:rsidR="00C048EE" w:rsidRPr="00273106">
        <w:t xml:space="preserve">, které první averroismus chápal podle CMDA. </w:t>
      </w:r>
      <w:r w:rsidR="00743389" w:rsidRPr="00743389">
        <w:t>Na</w:t>
      </w:r>
      <w:r w:rsidR="00743389">
        <w:t>místo abstrakce používá modern</w:t>
      </w:r>
      <w:r w:rsidR="00743389" w:rsidRPr="00743389">
        <w:t xml:space="preserve">a denudaci objektivního </w:t>
      </w:r>
      <w:r w:rsidR="00743389">
        <w:t>species</w:t>
      </w:r>
      <w:r w:rsidR="00743389" w:rsidRPr="00743389">
        <w:t xml:space="preserve">, aby nahradila </w:t>
      </w:r>
      <w:r w:rsidR="00743389">
        <w:t>impozici významu z první substance</w:t>
      </w:r>
      <w:r w:rsidR="00743389" w:rsidRPr="00743389">
        <w:t>.</w:t>
      </w:r>
      <w:r w:rsidR="00743389">
        <w:t xml:space="preserve"> </w:t>
      </w:r>
      <w:r w:rsidR="08A5751F">
        <w:t xml:space="preserve">Rufus </w:t>
      </w:r>
      <w:r w:rsidR="080D0E76">
        <w:t xml:space="preserve">nepotřebuje k poznání intencionalitu a </w:t>
      </w:r>
      <w:r w:rsidR="080D0E76" w:rsidRPr="080D0E76">
        <w:rPr>
          <w:i/>
          <w:szCs w:val="24"/>
        </w:rPr>
        <w:t xml:space="preserve">intellectus possibilis </w:t>
      </w:r>
      <w:r w:rsidR="080D0E76">
        <w:t xml:space="preserve">jako </w:t>
      </w:r>
      <w:r w:rsidR="080D0E76" w:rsidRPr="080D0E76">
        <w:rPr>
          <w:rStyle w:val="st"/>
          <w:i/>
        </w:rPr>
        <w:t>condi</w:t>
      </w:r>
      <w:r w:rsidR="080D0E76">
        <w:rPr>
          <w:rStyle w:val="st"/>
          <w:i/>
        </w:rPr>
        <w:t>t</w:t>
      </w:r>
      <w:r w:rsidR="080D0E76" w:rsidRPr="080D0E76">
        <w:rPr>
          <w:rStyle w:val="st"/>
          <w:i/>
        </w:rPr>
        <w:t>io</w:t>
      </w:r>
      <w:r w:rsidR="080D0E76">
        <w:rPr>
          <w:rStyle w:val="st"/>
        </w:rPr>
        <w:t xml:space="preserve"> </w:t>
      </w:r>
      <w:r w:rsidR="080D0E76">
        <w:rPr>
          <w:rStyle w:val="Zvraznn"/>
        </w:rPr>
        <w:t>sine qua non</w:t>
      </w:r>
      <w:r w:rsidR="08FB0B22">
        <w:t>. M</w:t>
      </w:r>
      <w:r w:rsidR="080D0E76" w:rsidRPr="080D0E76">
        <w:t xml:space="preserve">oderní poznání nezakládá aktualita na úrovni </w:t>
      </w:r>
      <w:r w:rsidR="004B4D52" w:rsidRPr="004B4D52">
        <w:rPr>
          <w:rStyle w:val="Zvraznn"/>
          <w:i w:val="0"/>
        </w:rPr>
        <w:t>species</w:t>
      </w:r>
      <w:r w:rsidR="08297375">
        <w:rPr>
          <w:rStyle w:val="Zvraznn"/>
        </w:rPr>
        <w:t xml:space="preserve"> sensibilis</w:t>
      </w:r>
      <w:r w:rsidR="08297375">
        <w:t xml:space="preserve">, ale přímé nazírání individualizovaného </w:t>
      </w:r>
      <w:r w:rsidR="08297375">
        <w:rPr>
          <w:rStyle w:val="Zvraznn"/>
        </w:rPr>
        <w:t>scibile</w:t>
      </w:r>
      <w:r w:rsidR="08297375" w:rsidRPr="08297375">
        <w:rPr>
          <w:rStyle w:val="Zvraznn"/>
          <w:i w:val="0"/>
        </w:rPr>
        <w:t xml:space="preserve">. </w:t>
      </w:r>
      <w:r w:rsidR="00C048EE" w:rsidRPr="00273106">
        <w:t xml:space="preserve">To je pochopitelné vzhledem k avicennistickému pojetí abstrakce postavené mimo činnost individuálního </w:t>
      </w:r>
      <w:r w:rsidR="00C048EE" w:rsidRPr="00273106">
        <w:rPr>
          <w:i/>
        </w:rPr>
        <w:t>intellectus possibilis</w:t>
      </w:r>
      <w:r w:rsidR="00C048EE">
        <w:rPr>
          <w:i/>
        </w:rPr>
        <w:fldChar w:fldCharType="begin"/>
      </w:r>
      <w:r w:rsidR="00C048EE">
        <w:instrText xml:space="preserve"> XE "abstrakce:druhý averroismus" </w:instrText>
      </w:r>
      <w:r w:rsidR="00C048EE">
        <w:rPr>
          <w:i/>
        </w:rPr>
        <w:fldChar w:fldCharType="end"/>
      </w:r>
      <w:r w:rsidR="0847630F">
        <w:t xml:space="preserve">. Moderna nemá </w:t>
      </w:r>
      <w:r w:rsidR="00C048EE" w:rsidRPr="00273106">
        <w:t>intencionalitu</w:t>
      </w:r>
      <w:r w:rsidR="00C048EE">
        <w:t xml:space="preserve"> primárně orientovanou na aktualitu </w:t>
      </w:r>
      <w:r w:rsidR="004B4D52" w:rsidRPr="004B4D52">
        <w:t>species</w:t>
      </w:r>
      <w:r w:rsidR="00C048EE" w:rsidRPr="00D64BCE">
        <w:rPr>
          <w:i/>
        </w:rPr>
        <w:t xml:space="preserve"> sensibilis</w:t>
      </w:r>
      <w:r w:rsidR="00C048EE">
        <w:rPr>
          <w:i/>
        </w:rPr>
        <w:fldChar w:fldCharType="begin"/>
      </w:r>
      <w:r w:rsidR="00C048EE">
        <w:instrText xml:space="preserve"> XE "</w:instrText>
      </w:r>
      <w:r w:rsidR="00C048EE" w:rsidRPr="00374FA1">
        <w:rPr>
          <w:i/>
        </w:rPr>
        <w:instrText>species sensibilis</w:instrText>
      </w:r>
      <w:r w:rsidR="00C048EE">
        <w:instrText xml:space="preserve">" </w:instrText>
      </w:r>
      <w:r w:rsidR="00C048EE">
        <w:rPr>
          <w:i/>
        </w:rPr>
        <w:fldChar w:fldCharType="end"/>
      </w:r>
      <w:r w:rsidR="00C048EE" w:rsidRPr="00273106">
        <w:t>.</w:t>
      </w:r>
      <w:r w:rsidR="00C048EE">
        <w:t xml:space="preserve"> </w:t>
      </w:r>
      <w:r w:rsidR="00DA7BAA">
        <w:rPr>
          <w:rStyle w:val="FontStyle157"/>
          <w:rFonts w:ascii="Calibri" w:hAnsi="Calibri"/>
          <w:sz w:val="24"/>
        </w:rPr>
        <w:t>Moderní por</w:t>
      </w:r>
      <w:r w:rsidR="00FD18B3">
        <w:rPr>
          <w:rStyle w:val="FontStyle157"/>
          <w:rFonts w:ascii="Calibri" w:hAnsi="Calibri"/>
          <w:sz w:val="24"/>
        </w:rPr>
        <w:t>r</w:t>
      </w:r>
      <w:r w:rsidR="00DA7BAA">
        <w:rPr>
          <w:rStyle w:val="FontStyle157"/>
          <w:rFonts w:ascii="Calibri" w:hAnsi="Calibri"/>
          <w:sz w:val="24"/>
        </w:rPr>
        <w:t xml:space="preserve">etáni jako Rufus definovali možný intekt jako materiální substanci třetího druhu. </w:t>
      </w:r>
      <w:r w:rsidR="08592672" w:rsidRPr="00273106">
        <w:t xml:space="preserve">Možný intelekt musí být numericky jeden, oddělený a univerzální, aby mohl přijímat podobně utvořený porretánský </w:t>
      </w:r>
      <w:r w:rsidR="004B4D52" w:rsidRPr="004B4D52">
        <w:t>species</w:t>
      </w:r>
      <w:r w:rsidR="08592672">
        <w:rPr>
          <w:i/>
        </w:rPr>
        <w:fldChar w:fldCharType="begin"/>
      </w:r>
      <w:r w:rsidR="08592672">
        <w:instrText xml:space="preserve"> XE "</w:instrText>
      </w:r>
      <w:r w:rsidR="08592672" w:rsidRPr="005177EC">
        <w:rPr>
          <w:i/>
        </w:rPr>
        <w:instrText>intellectus possibilis</w:instrText>
      </w:r>
      <w:r w:rsidR="08592672" w:rsidRPr="00B9622D">
        <w:instrText>:Rufus</w:instrText>
      </w:r>
      <w:r w:rsidR="08592672">
        <w:instrText xml:space="preserve">" </w:instrText>
      </w:r>
      <w:r w:rsidR="08592672">
        <w:rPr>
          <w:i/>
        </w:rPr>
        <w:fldChar w:fldCharType="end"/>
      </w:r>
      <w:r w:rsidR="08592672" w:rsidRPr="00273106">
        <w:t xml:space="preserve">. </w:t>
      </w:r>
      <w:r w:rsidR="008121B7">
        <w:t xml:space="preserve">Receptivita poznání tvoří substanční podstatu člověka na způsob </w:t>
      </w:r>
      <w:r w:rsidR="08EE26DE">
        <w:t>Dina</w:t>
      </w:r>
      <w:r w:rsidR="08F96014">
        <w:t>ntovy</w:t>
      </w:r>
      <w:r w:rsidR="08EE26DE">
        <w:t xml:space="preserve"> univerzální </w:t>
      </w:r>
      <w:r w:rsidR="08F96014">
        <w:t>primární látky (</w:t>
      </w:r>
      <w:r w:rsidR="08F96014" w:rsidRPr="08F96014">
        <w:rPr>
          <w:i/>
        </w:rPr>
        <w:t>una materia esse materiae primae, et νοῦ</w:t>
      </w:r>
      <w:r w:rsidR="08ED5BD6">
        <w:rPr>
          <w:i/>
        </w:rPr>
        <w:t>ς erit pri</w:t>
      </w:r>
      <w:r w:rsidR="08F96014" w:rsidRPr="08F96014">
        <w:rPr>
          <w:i/>
        </w:rPr>
        <w:t>mae materiae materia</w:t>
      </w:r>
      <w:r w:rsidR="08676365">
        <w:t>, kap. 2</w:t>
      </w:r>
      <w:r w:rsidR="08F96014">
        <w:t xml:space="preserve">.1.3). </w:t>
      </w:r>
      <w:r w:rsidR="08592672">
        <w:t>T</w:t>
      </w:r>
      <w:r w:rsidR="086C0AA1">
        <w:t xml:space="preserve">ento intelekt-materie </w:t>
      </w:r>
      <w:r w:rsidR="08592672">
        <w:t xml:space="preserve">je </w:t>
      </w:r>
      <w:r w:rsidR="008121B7" w:rsidRPr="00273106">
        <w:t xml:space="preserve">subsistentní </w:t>
      </w:r>
      <w:r w:rsidR="086C0AA1">
        <w:t xml:space="preserve">a numericky jednotný </w:t>
      </w:r>
      <w:r w:rsidR="008121B7" w:rsidRPr="00273106">
        <w:t xml:space="preserve">na způsob </w:t>
      </w:r>
      <w:r w:rsidR="008121B7">
        <w:t xml:space="preserve">univerzálního </w:t>
      </w:r>
      <w:r w:rsidR="004B4D52" w:rsidRPr="004B4D52">
        <w:t>species</w:t>
      </w:r>
      <w:r w:rsidR="008121B7" w:rsidRPr="00273106">
        <w:t xml:space="preserve">. </w:t>
      </w:r>
      <w:r w:rsidR="001C0AA5" w:rsidRPr="00273106">
        <w:t xml:space="preserve">A přitom musí být </w:t>
      </w:r>
      <w:r w:rsidR="00AA1B78">
        <w:t xml:space="preserve">tento </w:t>
      </w:r>
      <w:r w:rsidR="007669C1" w:rsidRPr="007669C1">
        <w:rPr>
          <w:i/>
        </w:rPr>
        <w:t>intellectus possibilis</w:t>
      </w:r>
      <w:r w:rsidR="007669C1">
        <w:t xml:space="preserve"> </w:t>
      </w:r>
      <w:r w:rsidR="00AA1B78">
        <w:t xml:space="preserve">také </w:t>
      </w:r>
      <w:r w:rsidR="001C0AA5" w:rsidRPr="00273106">
        <w:t xml:space="preserve">individuální a jedinečný jako Rufusovo </w:t>
      </w:r>
      <w:r w:rsidR="001C0AA5" w:rsidRPr="00273106">
        <w:rPr>
          <w:i/>
        </w:rPr>
        <w:t>scibile</w:t>
      </w:r>
      <w:r w:rsidR="00DE7822" w:rsidRPr="00273106">
        <w:t xml:space="preserve"> dané v individuálním aktu poznání</w:t>
      </w:r>
      <w:r w:rsidR="00AA1B78">
        <w:t xml:space="preserve">. </w:t>
      </w:r>
      <w:r w:rsidR="08592672" w:rsidRPr="00273106">
        <w:t xml:space="preserve">Receptivní intelekt daný v </w:t>
      </w:r>
      <w:r w:rsidR="08592672">
        <w:t xml:space="preserve">avicennistickém </w:t>
      </w:r>
      <w:r w:rsidR="08592672" w:rsidRPr="00273106">
        <w:t xml:space="preserve">výkladu </w:t>
      </w:r>
      <w:r w:rsidR="08592672">
        <w:t>Averroes</w:t>
      </w:r>
      <w:r w:rsidR="08592672" w:rsidRPr="00273106">
        <w:t xml:space="preserve">e </w:t>
      </w:r>
      <w:r w:rsidR="08592672">
        <w:t xml:space="preserve">podle Toledské školy je </w:t>
      </w:r>
      <w:r w:rsidR="08592672" w:rsidRPr="00273106">
        <w:t xml:space="preserve">hypostáze </w:t>
      </w:r>
      <w:r w:rsidR="08592672">
        <w:t xml:space="preserve">daná </w:t>
      </w:r>
      <w:r w:rsidR="08592672" w:rsidRPr="00273106">
        <w:t>v potenci</w:t>
      </w:r>
      <w:r w:rsidR="08592672">
        <w:t xml:space="preserve"> podle Rufusova modu </w:t>
      </w:r>
      <w:r w:rsidR="08592672" w:rsidRPr="00C05F4A">
        <w:rPr>
          <w:i/>
        </w:rPr>
        <w:t>potentia substantialis</w:t>
      </w:r>
      <w:r w:rsidR="08592672">
        <w:rPr>
          <w:i/>
        </w:rPr>
        <w:fldChar w:fldCharType="begin"/>
      </w:r>
      <w:r w:rsidR="08592672">
        <w:instrText xml:space="preserve"> XE "</w:instrText>
      </w:r>
      <w:r w:rsidR="08592672" w:rsidRPr="00263A8E">
        <w:rPr>
          <w:i/>
        </w:rPr>
        <w:instrText>potentia substantialis</w:instrText>
      </w:r>
      <w:r w:rsidR="08592672">
        <w:instrText xml:space="preserve">" </w:instrText>
      </w:r>
      <w:r w:rsidR="08592672">
        <w:rPr>
          <w:i/>
        </w:rPr>
        <w:fldChar w:fldCharType="end"/>
      </w:r>
      <w:r w:rsidR="089F705D">
        <w:t xml:space="preserve"> (kap. 3</w:t>
      </w:r>
      <w:r w:rsidR="08592672">
        <w:t xml:space="preserve">.3.1). </w:t>
      </w:r>
      <w:r w:rsidR="00AA1B78">
        <w:t xml:space="preserve">Všechny tyto vlastnosti </w:t>
      </w:r>
      <w:r w:rsidR="00F817F6">
        <w:t>je nutno spojit, protože musí vyhovovat</w:t>
      </w:r>
      <w:r w:rsidR="00DE7822" w:rsidRPr="00273106">
        <w:t xml:space="preserve"> </w:t>
      </w:r>
      <w:r w:rsidR="001C0AA5" w:rsidRPr="00273106">
        <w:t>receptivní</w:t>
      </w:r>
      <w:r w:rsidR="00DE7822" w:rsidRPr="00273106">
        <w:t>mu</w:t>
      </w:r>
      <w:r w:rsidR="001C0AA5" w:rsidRPr="00273106">
        <w:t xml:space="preserve"> charakter</w:t>
      </w:r>
      <w:r w:rsidR="00DE7822" w:rsidRPr="00273106">
        <w:t xml:space="preserve">u </w:t>
      </w:r>
      <w:r w:rsidR="00314AAA" w:rsidRPr="00273106">
        <w:t xml:space="preserve">rozumné </w:t>
      </w:r>
      <w:r w:rsidR="00DE7822" w:rsidRPr="00273106">
        <w:t>duše</w:t>
      </w:r>
      <w:r w:rsidR="00314AAA" w:rsidRPr="00273106">
        <w:t xml:space="preserve"> </w:t>
      </w:r>
      <w:r w:rsidR="001C0AA5" w:rsidRPr="00273106">
        <w:t>podle</w:t>
      </w:r>
      <w:r w:rsidR="08CE0994">
        <w:t xml:space="preserve"> spisu </w:t>
      </w:r>
      <w:r w:rsidR="00B713C5">
        <w:rPr>
          <w:i/>
        </w:rPr>
        <w:t>De anima</w:t>
      </w:r>
      <w:r w:rsidR="00EB2884">
        <w:t>.</w:t>
      </w:r>
    </w:p>
    <w:p w14:paraId="3802F7B1" w14:textId="70B69AD7" w:rsidR="00585072" w:rsidRDefault="00763E57" w:rsidP="00EB2884">
      <w:pPr>
        <w:ind w:firstLine="397"/>
      </w:pPr>
      <w:r>
        <w:t xml:space="preserve">Tento úkol byl pro </w:t>
      </w:r>
      <w:r w:rsidR="00B80F5D">
        <w:t xml:space="preserve">první </w:t>
      </w:r>
      <w:r>
        <w:t xml:space="preserve">moderní sofisty </w:t>
      </w:r>
      <w:r w:rsidR="08CE0994">
        <w:t>o</w:t>
      </w:r>
      <w:r w:rsidR="00B80F5D">
        <w:t>kol</w:t>
      </w:r>
      <w:r w:rsidR="08CE0994">
        <w:t>o</w:t>
      </w:r>
      <w:r w:rsidR="00B80F5D">
        <w:t xml:space="preserve"> roku 1235 </w:t>
      </w:r>
      <w:r>
        <w:t xml:space="preserve">opravdu velké sousto. </w:t>
      </w:r>
      <w:r w:rsidR="08A57D71">
        <w:t xml:space="preserve">Rufus koncipoval </w:t>
      </w:r>
      <w:r w:rsidR="08A57D71" w:rsidRPr="08A57D71">
        <w:rPr>
          <w:i/>
        </w:rPr>
        <w:t>intellectus materialis</w:t>
      </w:r>
      <w:r w:rsidR="08A57D71">
        <w:rPr>
          <w:i/>
        </w:rPr>
        <w:fldChar w:fldCharType="begin"/>
      </w:r>
      <w:r w:rsidR="08A57D71">
        <w:instrText xml:space="preserve"> XE "</w:instrText>
      </w:r>
      <w:r w:rsidR="08A57D71" w:rsidRPr="0888010E">
        <w:rPr>
          <w:i/>
        </w:rPr>
        <w:instrText>intellectus materialis</w:instrText>
      </w:r>
      <w:r w:rsidR="08A57D71" w:rsidRPr="08A57D71">
        <w:instrText>:Rufus</w:instrText>
      </w:r>
      <w:r w:rsidR="08A57D71">
        <w:instrText xml:space="preserve">" </w:instrText>
      </w:r>
      <w:r w:rsidR="08A57D71">
        <w:rPr>
          <w:i/>
        </w:rPr>
        <w:fldChar w:fldCharType="end"/>
      </w:r>
      <w:r w:rsidR="08A57D71">
        <w:t xml:space="preserve"> </w:t>
      </w:r>
      <w:r w:rsidR="08E31C55">
        <w:t xml:space="preserve">pod vlivem </w:t>
      </w:r>
      <w:r w:rsidR="08A57D71">
        <w:t xml:space="preserve">univerzálního hylemorfismu </w:t>
      </w:r>
      <w:r w:rsidR="08E31C55">
        <w:t>Davida z Dinantu</w:t>
      </w:r>
      <w:r w:rsidR="08A57D71">
        <w:t xml:space="preserve">. </w:t>
      </w:r>
      <w:r w:rsidR="08E31C55">
        <w:t xml:space="preserve"> </w:t>
      </w:r>
      <w:r w:rsidR="08A57D71">
        <w:t>Aby obhájil</w:t>
      </w:r>
      <w:r>
        <w:t xml:space="preserve"> schizofrenické pojetí osoby</w:t>
      </w:r>
      <w:r w:rsidR="089521D9">
        <w:t xml:space="preserve"> jako moderního </w:t>
      </w:r>
      <w:r w:rsidR="08E31C55">
        <w:t>individua</w:t>
      </w:r>
      <w:r>
        <w:t xml:space="preserve">, </w:t>
      </w:r>
      <w:r w:rsidR="08A57D71">
        <w:t xml:space="preserve">Rufus </w:t>
      </w:r>
      <w:r>
        <w:t xml:space="preserve">musel </w:t>
      </w:r>
      <w:r w:rsidR="002C3579">
        <w:t xml:space="preserve">sofistikovaně </w:t>
      </w:r>
      <w:r w:rsidR="085D7F5A">
        <w:t xml:space="preserve">odmítnout Komentátorův </w:t>
      </w:r>
      <w:r w:rsidR="08682C0E">
        <w:t xml:space="preserve">geniální </w:t>
      </w:r>
      <w:r>
        <w:t xml:space="preserve">výklad </w:t>
      </w:r>
      <w:r w:rsidRPr="003620B8">
        <w:rPr>
          <w:i/>
        </w:rPr>
        <w:t>De anima</w:t>
      </w:r>
      <w:r>
        <w:t>.</w:t>
      </w:r>
      <w:r w:rsidR="00017752">
        <w:t xml:space="preserve"> </w:t>
      </w:r>
      <w:r w:rsidR="002A71AE" w:rsidRPr="00273106">
        <w:t xml:space="preserve">Averroistické pojetí </w:t>
      </w:r>
      <w:r w:rsidR="002D05EF">
        <w:t xml:space="preserve">intelektu </w:t>
      </w:r>
      <w:r w:rsidR="003620B8">
        <w:t xml:space="preserve">a první otevřený útok oxfordských modernistů na CMDA </w:t>
      </w:r>
      <w:r w:rsidR="002A71AE" w:rsidRPr="00273106">
        <w:t>ukazuje Rufusův komentář k </w:t>
      </w:r>
      <w:r w:rsidR="002A71AE">
        <w:rPr>
          <w:i/>
        </w:rPr>
        <w:t>De anima</w:t>
      </w:r>
      <w:r w:rsidR="002A71AE" w:rsidRPr="00273106">
        <w:t xml:space="preserve"> z let 1236–1237 (</w:t>
      </w:r>
      <w:r w:rsidR="002A71AE" w:rsidRPr="00273106">
        <w:rPr>
          <w:i/>
        </w:rPr>
        <w:t>In Aristotelis De anima, redactio brevior)</w:t>
      </w:r>
      <w:r w:rsidR="008121B7">
        <w:rPr>
          <w:i/>
        </w:rPr>
        <w:t xml:space="preserve"> </w:t>
      </w:r>
      <w:r w:rsidR="008121B7" w:rsidRPr="008121B7">
        <w:t xml:space="preserve">psaný </w:t>
      </w:r>
      <w:r w:rsidR="08BD7780">
        <w:t xml:space="preserve">asi </w:t>
      </w:r>
      <w:r w:rsidR="008121B7" w:rsidRPr="008121B7">
        <w:t>ve stejné době jako dílo</w:t>
      </w:r>
      <w:r w:rsidR="008121B7">
        <w:rPr>
          <w:i/>
        </w:rPr>
        <w:t xml:space="preserve"> Contra Averroem</w:t>
      </w:r>
      <w:r w:rsidR="002A71AE" w:rsidRPr="00273106">
        <w:t xml:space="preserve">. </w:t>
      </w:r>
      <w:r w:rsidR="000D1BF3">
        <w:t xml:space="preserve">Hermeneutika předpokládá, že </w:t>
      </w:r>
      <w:r w:rsidR="00C916C4">
        <w:t xml:space="preserve">oba </w:t>
      </w:r>
      <w:r w:rsidR="000D1BF3">
        <w:t>t</w:t>
      </w:r>
      <w:r w:rsidR="00C916C4">
        <w:t xml:space="preserve">yto </w:t>
      </w:r>
      <w:r w:rsidR="000D1BF3">
        <w:t>komentář</w:t>
      </w:r>
      <w:r w:rsidR="00C916C4">
        <w:t>e</w:t>
      </w:r>
      <w:r w:rsidR="000D1BF3">
        <w:t xml:space="preserve"> </w:t>
      </w:r>
      <w:r w:rsidR="00C916C4">
        <w:t xml:space="preserve">vznikly </w:t>
      </w:r>
      <w:r w:rsidR="00543BF3">
        <w:t xml:space="preserve">ještě </w:t>
      </w:r>
      <w:r w:rsidR="002A32A1">
        <w:t>v Oxfordu. P</w:t>
      </w:r>
      <w:r w:rsidR="00C916C4">
        <w:t>o jejich publikaci</w:t>
      </w:r>
      <w:r w:rsidR="000D1BF3">
        <w:t xml:space="preserve"> </w:t>
      </w:r>
      <w:r w:rsidR="08BF5C49">
        <w:t xml:space="preserve">asi </w:t>
      </w:r>
      <w:r w:rsidR="000D1BF3">
        <w:t xml:space="preserve">následoval Rufusův </w:t>
      </w:r>
      <w:r w:rsidR="08027481">
        <w:t xml:space="preserve">vstup do františkánského řádu a </w:t>
      </w:r>
      <w:r w:rsidR="0024069D">
        <w:t xml:space="preserve">rychlý </w:t>
      </w:r>
      <w:r w:rsidR="000D1BF3">
        <w:t xml:space="preserve">odchod </w:t>
      </w:r>
      <w:r w:rsidR="08C93DBB">
        <w:t xml:space="preserve">na magisterská </w:t>
      </w:r>
      <w:r w:rsidR="08BE633C">
        <w:t xml:space="preserve">studia </w:t>
      </w:r>
      <w:r w:rsidR="000D1BF3">
        <w:t>do Paříže</w:t>
      </w:r>
      <w:r w:rsidR="08C93DBB">
        <w:t xml:space="preserve">. </w:t>
      </w:r>
      <w:r w:rsidR="00E66287">
        <w:t>Grosseteste</w:t>
      </w:r>
      <w:r w:rsidR="08BE633C">
        <w:t xml:space="preserve"> jako </w:t>
      </w:r>
      <w:r w:rsidR="08BE633C">
        <w:rPr>
          <w:i/>
          <w:iCs/>
        </w:rPr>
        <w:t xml:space="preserve">magister </w:t>
      </w:r>
      <w:r w:rsidR="08BE633C" w:rsidRPr="08BE633C">
        <w:rPr>
          <w:i/>
          <w:iCs/>
        </w:rPr>
        <w:t>scholarium</w:t>
      </w:r>
      <w:r w:rsidR="08BE633C">
        <w:rPr>
          <w:iCs/>
        </w:rPr>
        <w:t xml:space="preserve"> </w:t>
      </w:r>
      <w:r w:rsidR="08C93DBB" w:rsidRPr="08BE633C">
        <w:t>nemohl</w:t>
      </w:r>
      <w:r w:rsidR="08C93DBB">
        <w:t xml:space="preserve"> připustit sofistický útok na Komentátota tak pochybné úrovně</w:t>
      </w:r>
      <w:r w:rsidR="08673BFE">
        <w:t>, který navíc obsahoval klíčové principy panteistické hereze amalriciánů</w:t>
      </w:r>
      <w:r w:rsidR="000D1BF3">
        <w:t xml:space="preserve">. Historická událost </w:t>
      </w:r>
      <w:r w:rsidR="002A32A1">
        <w:t xml:space="preserve">Rufusova </w:t>
      </w:r>
      <w:r w:rsidR="000D1BF3">
        <w:t>odchodu z</w:t>
      </w:r>
      <w:r w:rsidR="00FB2BB7">
        <w:t xml:space="preserve"> jeho </w:t>
      </w:r>
      <w:r w:rsidR="000D1BF3" w:rsidRPr="000D1BF3">
        <w:rPr>
          <w:i/>
        </w:rPr>
        <w:t>alma mater</w:t>
      </w:r>
      <w:r w:rsidR="000D1BF3">
        <w:t xml:space="preserve"> se kryje s dějin</w:t>
      </w:r>
      <w:r w:rsidR="00FC1125">
        <w:t>nou událostí vzniku averroismu.</w:t>
      </w:r>
      <w:r w:rsidR="00EB2884">
        <w:t xml:space="preserve"> </w:t>
      </w:r>
      <w:r w:rsidR="002A71AE" w:rsidRPr="00273106">
        <w:t xml:space="preserve">Komentář k </w:t>
      </w:r>
      <w:r w:rsidR="002A71AE">
        <w:rPr>
          <w:i/>
        </w:rPr>
        <w:t>De anima</w:t>
      </w:r>
      <w:r w:rsidR="002A71AE" w:rsidRPr="00273106">
        <w:t xml:space="preserve"> chápe rozumové poznání v rámci Avicennovy sebereflexe duše, kterou </w:t>
      </w:r>
      <w:r w:rsidR="088B5E39" w:rsidRPr="00273106">
        <w:t xml:space="preserve">Rufus </w:t>
      </w:r>
      <w:r w:rsidR="088B5E39">
        <w:t xml:space="preserve">definuje </w:t>
      </w:r>
      <w:r w:rsidR="088B5E39" w:rsidRPr="00273106">
        <w:t xml:space="preserve">kruhovým pohybem </w:t>
      </w:r>
      <w:r w:rsidR="088B5E39">
        <w:t>platonské</w:t>
      </w:r>
      <w:r w:rsidR="088B5E39" w:rsidRPr="00273106">
        <w:t xml:space="preserve"> </w:t>
      </w:r>
      <w:r w:rsidR="088B5E39" w:rsidRPr="00273106">
        <w:rPr>
          <w:i/>
        </w:rPr>
        <w:t>anima mundi</w:t>
      </w:r>
      <w:r w:rsidR="088B5E39">
        <w:rPr>
          <w:i/>
        </w:rPr>
        <w:fldChar w:fldCharType="begin"/>
      </w:r>
      <w:r w:rsidR="088B5E39">
        <w:instrText xml:space="preserve"> XE "</w:instrText>
      </w:r>
      <w:r w:rsidR="088B5E39" w:rsidRPr="00E13CCE">
        <w:rPr>
          <w:i/>
        </w:rPr>
        <w:instrText>anima mundi</w:instrText>
      </w:r>
      <w:r w:rsidR="088B5E39">
        <w:instrText xml:space="preserve">" </w:instrText>
      </w:r>
      <w:r w:rsidR="088B5E39">
        <w:rPr>
          <w:i/>
        </w:rPr>
        <w:fldChar w:fldCharType="end"/>
      </w:r>
      <w:r w:rsidR="002A71AE" w:rsidRPr="00273106">
        <w:t>.</w:t>
      </w:r>
      <w:r w:rsidR="088B5E39">
        <w:rPr>
          <w:rStyle w:val="Znakapoznpodarou"/>
        </w:rPr>
        <w:footnoteReference w:id="442"/>
      </w:r>
      <w:r w:rsidR="002A71AE" w:rsidRPr="00273106">
        <w:t xml:space="preserve"> </w:t>
      </w:r>
      <w:r w:rsidR="0867105A" w:rsidRPr="00273106">
        <w:t xml:space="preserve">Rufus je jeden z mála komentátorů kolem 1250, který držel spornou nauku </w:t>
      </w:r>
      <w:r w:rsidR="0867105A">
        <w:t>o světové duši (Wood 2001, 135‒</w:t>
      </w:r>
      <w:r w:rsidR="0867105A" w:rsidRPr="00273106">
        <w:t xml:space="preserve">36). </w:t>
      </w:r>
      <w:r w:rsidR="002A71AE" w:rsidRPr="00273106">
        <w:t>To mu určitě nepomohlo u pařížského biskupa Alverna</w:t>
      </w:r>
      <w:r w:rsidR="00543BF3">
        <w:t xml:space="preserve"> z</w:t>
      </w:r>
      <w:r w:rsidR="00233A21">
        <w:t xml:space="preserve"> Blundovy školy</w:t>
      </w:r>
      <w:r w:rsidR="002A71AE" w:rsidRPr="00273106">
        <w:t xml:space="preserve">, který koncept </w:t>
      </w:r>
      <w:r w:rsidR="002A71AE" w:rsidRPr="00273106">
        <w:rPr>
          <w:i/>
        </w:rPr>
        <w:t xml:space="preserve">anima mundi </w:t>
      </w:r>
      <w:r w:rsidR="002A71AE" w:rsidRPr="00273106">
        <w:t xml:space="preserve">považoval za herezi </w:t>
      </w:r>
      <w:r w:rsidR="08AF4C83">
        <w:t xml:space="preserve">arabských </w:t>
      </w:r>
      <w:r w:rsidR="08AF4C83" w:rsidRPr="00273106">
        <w:rPr>
          <w:i/>
        </w:rPr>
        <w:t>sequaces Aristotelis</w:t>
      </w:r>
      <w:r w:rsidR="002A71AE" w:rsidRPr="00273106">
        <w:t>, kteří překroutili výklad Aristotela</w:t>
      </w:r>
      <w:r w:rsidR="08AF4C83">
        <w:t xml:space="preserve"> </w:t>
      </w:r>
      <w:r w:rsidR="08D56F3B">
        <w:t>(kap. 2</w:t>
      </w:r>
      <w:r w:rsidR="08AF4C83" w:rsidRPr="00273106">
        <w:t>.3</w:t>
      </w:r>
      <w:r w:rsidR="08AF4C83">
        <w:t>.1</w:t>
      </w:r>
      <w:r w:rsidR="08AF4C83" w:rsidRPr="00273106">
        <w:t>)</w:t>
      </w:r>
      <w:r w:rsidR="002A71AE" w:rsidRPr="00273106">
        <w:t xml:space="preserve">. A navíc byl </w:t>
      </w:r>
      <w:r w:rsidR="00E409EC">
        <w:t xml:space="preserve">v předešlé generaci </w:t>
      </w:r>
      <w:r w:rsidR="00843015" w:rsidRPr="00273106">
        <w:t>exkomunikován David z Dinantu</w:t>
      </w:r>
      <w:r w:rsidR="00A30032">
        <w:fldChar w:fldCharType="begin"/>
      </w:r>
      <w:r w:rsidR="00A30032">
        <w:instrText xml:space="preserve"> XE "</w:instrText>
      </w:r>
      <w:r w:rsidR="00A30032" w:rsidRPr="00E64FDB">
        <w:instrText>David z Dinantu</w:instrText>
      </w:r>
      <w:r w:rsidR="00A30032">
        <w:instrText xml:space="preserve">" </w:instrText>
      </w:r>
      <w:r w:rsidR="00A30032">
        <w:fldChar w:fldCharType="end"/>
      </w:r>
      <w:r w:rsidR="00843015" w:rsidRPr="00273106">
        <w:t xml:space="preserve"> </w:t>
      </w:r>
      <w:r w:rsidR="002A71AE" w:rsidRPr="00273106">
        <w:t>za pante</w:t>
      </w:r>
      <w:r w:rsidR="00543BF3">
        <w:t>is</w:t>
      </w:r>
      <w:r w:rsidR="002A71AE" w:rsidRPr="00273106">
        <w:t xml:space="preserve">tický </w:t>
      </w:r>
      <w:r w:rsidR="08AF4C83">
        <w:t xml:space="preserve">výklad </w:t>
      </w:r>
      <w:r w:rsidR="08136496">
        <w:t xml:space="preserve">kosmické </w:t>
      </w:r>
      <w:r w:rsidR="08AF4C83">
        <w:t>duše</w:t>
      </w:r>
      <w:r w:rsidR="002A71AE" w:rsidRPr="00273106">
        <w:t xml:space="preserve">. Rufus na rozdíl </w:t>
      </w:r>
      <w:r w:rsidR="009D0FA6">
        <w:t xml:space="preserve">tohoto </w:t>
      </w:r>
      <w:r w:rsidR="00AD6562">
        <w:t xml:space="preserve">aristotelského </w:t>
      </w:r>
      <w:r w:rsidR="002A71AE" w:rsidRPr="00273106">
        <w:t xml:space="preserve">neoplatonika potřebuje kruhový pohyb duše </w:t>
      </w:r>
      <w:r w:rsidR="087108FD">
        <w:t>nikoliv pro založení univerzáln</w:t>
      </w:r>
      <w:r w:rsidR="080D7368">
        <w:t>í intencionality a panteistického</w:t>
      </w:r>
      <w:r w:rsidR="087108FD">
        <w:t xml:space="preserve"> poznání, ale </w:t>
      </w:r>
      <w:r w:rsidR="00543BF3">
        <w:t xml:space="preserve">pro </w:t>
      </w:r>
      <w:r w:rsidR="087108FD">
        <w:t xml:space="preserve">kosmický </w:t>
      </w:r>
      <w:r w:rsidR="087059BF">
        <w:t xml:space="preserve">a univerzální </w:t>
      </w:r>
      <w:r w:rsidR="00543BF3">
        <w:t xml:space="preserve">pohyb </w:t>
      </w:r>
      <w:r w:rsidR="002A71AE" w:rsidRPr="00273106">
        <w:t>sebereflexe</w:t>
      </w:r>
      <w:r w:rsidR="08C2034A">
        <w:t xml:space="preserve"> </w:t>
      </w:r>
      <w:r w:rsidR="080D7368">
        <w:t xml:space="preserve">dané skrze </w:t>
      </w:r>
      <w:r w:rsidR="08A81D07">
        <w:t xml:space="preserve">kosmický </w:t>
      </w:r>
      <w:r w:rsidR="08C2034A" w:rsidRPr="08C2034A">
        <w:rPr>
          <w:i/>
        </w:rPr>
        <w:t>intellectus agens</w:t>
      </w:r>
      <w:r w:rsidR="002A71AE" w:rsidRPr="00273106">
        <w:t xml:space="preserve">. </w:t>
      </w:r>
      <w:r w:rsidR="08C2034A">
        <w:t xml:space="preserve">Aktivní intelekt Avicenny je kosmická forma stvořená bohem, proto Rufus nemá panteismus. </w:t>
      </w:r>
      <w:r w:rsidR="00AD6562">
        <w:t>V tom se podobá Grossetestemu, který na rozdíl od striktního odmítnutí Blunda</w:t>
      </w:r>
      <w:r w:rsidR="00954B8A">
        <w:t xml:space="preserve"> a prvního aristotelismu p</w:t>
      </w:r>
      <w:r w:rsidR="00AD6562">
        <w:t xml:space="preserve">řijal </w:t>
      </w:r>
      <w:r w:rsidR="00954B8A">
        <w:t xml:space="preserve">modifikovanou </w:t>
      </w:r>
      <w:r w:rsidR="00AD6562">
        <w:t>nauk</w:t>
      </w:r>
      <w:r w:rsidR="00954B8A">
        <w:t>u</w:t>
      </w:r>
      <w:r w:rsidR="00AD6562">
        <w:t xml:space="preserve"> </w:t>
      </w:r>
      <w:r w:rsidR="00AD6562" w:rsidRPr="00954B8A">
        <w:rPr>
          <w:i/>
        </w:rPr>
        <w:t>anima mundi</w:t>
      </w:r>
      <w:r w:rsidR="00AD6562">
        <w:t xml:space="preserve"> v modu Anselmov</w:t>
      </w:r>
      <w:r w:rsidR="00954B8A">
        <w:t xml:space="preserve">y mystické augustiniánské vize, kterou uplatnil ve svých kosmologických spisech podle </w:t>
      </w:r>
      <w:r w:rsidR="083742BE">
        <w:t xml:space="preserve">toletánského </w:t>
      </w:r>
      <w:r w:rsidR="00954B8A">
        <w:t>výkladu Aristotela</w:t>
      </w:r>
      <w:r w:rsidR="08D56F3B">
        <w:t xml:space="preserve"> (kap. 3</w:t>
      </w:r>
      <w:r w:rsidR="0829635E">
        <w:t>.1.1)</w:t>
      </w:r>
      <w:r w:rsidR="00954B8A">
        <w:t>.</w:t>
      </w:r>
      <w:r w:rsidR="00766F03">
        <w:t xml:space="preserve"> </w:t>
      </w:r>
      <w:r w:rsidR="08027D53">
        <w:t xml:space="preserve">Za </w:t>
      </w:r>
      <w:r w:rsidR="08806571">
        <w:t xml:space="preserve">působení </w:t>
      </w:r>
      <w:r w:rsidR="08027D53">
        <w:t xml:space="preserve">Grosseteteho v Oxfordu koncept </w:t>
      </w:r>
      <w:r w:rsidR="08027D53" w:rsidRPr="00273106">
        <w:rPr>
          <w:i/>
        </w:rPr>
        <w:t xml:space="preserve">anima mundi </w:t>
      </w:r>
      <w:r w:rsidR="08027D53" w:rsidRPr="08027D53">
        <w:t xml:space="preserve">asi nikomu </w:t>
      </w:r>
      <w:r w:rsidR="08027D53">
        <w:t xml:space="preserve">ze zdejších </w:t>
      </w:r>
      <w:r w:rsidR="086B7C6F">
        <w:t xml:space="preserve">porretánských </w:t>
      </w:r>
      <w:r w:rsidR="08027D53">
        <w:t xml:space="preserve">magistrů </w:t>
      </w:r>
      <w:r w:rsidR="08027D53" w:rsidRPr="08027D53">
        <w:t>nevadil</w:t>
      </w:r>
      <w:r w:rsidR="08027D53">
        <w:t xml:space="preserve">, protože Lincolnský biskup tuto teorii držel v modifikované formě </w:t>
      </w:r>
      <w:r w:rsidR="086B7C6F">
        <w:t xml:space="preserve">avicennismu </w:t>
      </w:r>
      <w:r w:rsidR="08027D53">
        <w:t xml:space="preserve">Toledské školy. </w:t>
      </w:r>
      <w:r w:rsidR="08DB3185">
        <w:t xml:space="preserve">Ale v Paříži </w:t>
      </w:r>
      <w:r w:rsidR="08FE4069">
        <w:t>za bi</w:t>
      </w:r>
      <w:r w:rsidR="08244C24">
        <w:t>s</w:t>
      </w:r>
      <w:r w:rsidR="08FE4069">
        <w:t xml:space="preserve">kupa Alverna </w:t>
      </w:r>
      <w:r w:rsidR="08DB3185">
        <w:t>tuto nauku hlásat nešlo a proto Grossete</w:t>
      </w:r>
      <w:r w:rsidR="08FE4069">
        <w:t>st</w:t>
      </w:r>
      <w:r w:rsidR="08DB3185">
        <w:t xml:space="preserve">e odešel </w:t>
      </w:r>
      <w:r w:rsidR="08244C24">
        <w:t xml:space="preserve">do Oxfordu </w:t>
      </w:r>
      <w:r w:rsidR="00CE6C37">
        <w:t xml:space="preserve">po </w:t>
      </w:r>
      <w:r w:rsidR="08244C24">
        <w:t xml:space="preserve">jmenování </w:t>
      </w:r>
      <w:r w:rsidR="00CE6C37">
        <w:t xml:space="preserve">Alverna </w:t>
      </w:r>
      <w:r w:rsidR="08244C24">
        <w:t>biskupem (1228)</w:t>
      </w:r>
      <w:r w:rsidR="08DB3185">
        <w:t xml:space="preserve">. </w:t>
      </w:r>
      <w:r w:rsidR="00766F03">
        <w:t xml:space="preserve">Rufusova </w:t>
      </w:r>
      <w:r w:rsidR="00167779" w:rsidRPr="00273106">
        <w:t>konverze duše k sobě samé (</w:t>
      </w:r>
      <w:r w:rsidR="00167779" w:rsidRPr="00273106">
        <w:rPr>
          <w:i/>
        </w:rPr>
        <w:t>convertit se supra se ipsam</w:t>
      </w:r>
      <w:r w:rsidR="00167779" w:rsidRPr="00273106">
        <w:t xml:space="preserve">) </w:t>
      </w:r>
      <w:r w:rsidR="00514895">
        <w:t xml:space="preserve">je dána na základě pohybu mysli, která kauzálně působí sama na sebe. To je </w:t>
      </w:r>
      <w:r w:rsidR="00167779" w:rsidRPr="00273106">
        <w:t xml:space="preserve">typický </w:t>
      </w:r>
      <w:r w:rsidR="003D70B1">
        <w:t>p</w:t>
      </w:r>
      <w:r w:rsidR="008E02F5">
        <w:t>laton</w:t>
      </w:r>
      <w:r w:rsidR="00167779" w:rsidRPr="00273106">
        <w:t>ský obraz kruhového pohybu duše upravený na koncept „létajícího muže</w:t>
      </w:r>
      <w:r w:rsidR="00652149">
        <w:fldChar w:fldCharType="begin"/>
      </w:r>
      <w:r w:rsidR="00652149">
        <w:instrText xml:space="preserve"> XE "</w:instrText>
      </w:r>
      <w:r w:rsidR="00652149" w:rsidRPr="00FC391D">
        <w:rPr>
          <w:rStyle w:val="FontStyle129"/>
          <w:rFonts w:ascii="Calibri" w:hAnsi="Calibri"/>
          <w:sz w:val="24"/>
        </w:rPr>
        <w:instrText>létající muž</w:instrText>
      </w:r>
      <w:r w:rsidR="00652149">
        <w:instrText xml:space="preserve">" </w:instrText>
      </w:r>
      <w:r w:rsidR="00652149">
        <w:fldChar w:fldCharType="end"/>
      </w:r>
      <w:r w:rsidR="00167779" w:rsidRPr="00273106">
        <w:t xml:space="preserve">“ Avicenny. </w:t>
      </w:r>
      <w:r w:rsidR="002A71AE" w:rsidRPr="00273106">
        <w:t>Intelektuální část duše poznává sama sebe na zák</w:t>
      </w:r>
      <w:r w:rsidR="00C766DB">
        <w:t>ladě akcidentální práce smyslů</w:t>
      </w:r>
      <w:r w:rsidR="00246225">
        <w:t>, k</w:t>
      </w:r>
      <w:r w:rsidR="00412576">
        <w:t xml:space="preserve">teré k této hypostázované intelektuální části duše </w:t>
      </w:r>
      <w:r w:rsidR="00246225">
        <w:t>dodají další podnět zvnějšku</w:t>
      </w:r>
      <w:r w:rsidR="0011227F">
        <w:t xml:space="preserve">. </w:t>
      </w:r>
      <w:r w:rsidR="00246225">
        <w:t xml:space="preserve">Toto </w:t>
      </w:r>
      <w:r w:rsidR="00167779" w:rsidRPr="00273106">
        <w:rPr>
          <w:i/>
        </w:rPr>
        <w:t>excitatio</w:t>
      </w:r>
      <w:r w:rsidR="00167779" w:rsidRPr="00273106">
        <w:t xml:space="preserve"> smyslů skrze vjem externí věci vždy probíhá prostřednictvím těla (</w:t>
      </w:r>
      <w:r w:rsidR="00167779" w:rsidRPr="00273106">
        <w:rPr>
          <w:i/>
        </w:rPr>
        <w:t>haec enim excitatio non est nisi mediante corpore</w:t>
      </w:r>
      <w:r w:rsidR="00167779" w:rsidRPr="00273106">
        <w:t xml:space="preserve">, </w:t>
      </w:r>
      <w:r w:rsidR="00167779" w:rsidRPr="00273106">
        <w:rPr>
          <w:i/>
        </w:rPr>
        <w:t>In DA</w:t>
      </w:r>
      <w:r w:rsidR="00167779" w:rsidRPr="00273106">
        <w:t xml:space="preserve"> 2.11.35). </w:t>
      </w:r>
      <w:r w:rsidR="0011227F" w:rsidRPr="00273106">
        <w:t xml:space="preserve">Intelekt je </w:t>
      </w:r>
      <w:r w:rsidR="00B4043F">
        <w:t xml:space="preserve">aktualizovaný </w:t>
      </w:r>
      <w:r w:rsidR="0011227F" w:rsidRPr="00273106">
        <w:t>smysly</w:t>
      </w:r>
      <w:r w:rsidR="008C0AB6">
        <w:t xml:space="preserve"> (</w:t>
      </w:r>
      <w:r w:rsidR="008C0AB6" w:rsidRPr="00DC6664">
        <w:rPr>
          <w:i/>
          <w:szCs w:val="24"/>
        </w:rPr>
        <w:t>excitatio</w:t>
      </w:r>
      <w:r w:rsidR="008C0AB6">
        <w:t>)</w:t>
      </w:r>
      <w:r w:rsidR="0011227F" w:rsidRPr="00273106">
        <w:t>, ale zcela okrajově</w:t>
      </w:r>
      <w:r w:rsidR="08C677EA">
        <w:t>. J</w:t>
      </w:r>
      <w:r w:rsidR="0011227F">
        <w:t xml:space="preserve">eho </w:t>
      </w:r>
      <w:r w:rsidR="00C766DB">
        <w:t xml:space="preserve">činnost je založena </w:t>
      </w:r>
      <w:r w:rsidR="002A71AE" w:rsidRPr="00273106">
        <w:t xml:space="preserve">na </w:t>
      </w:r>
      <w:r w:rsidR="00D6756D">
        <w:t xml:space="preserve">sebereflexivním </w:t>
      </w:r>
      <w:r w:rsidR="002A71AE" w:rsidRPr="00273106">
        <w:rPr>
          <w:i/>
        </w:rPr>
        <w:t>informatio</w:t>
      </w:r>
      <w:r w:rsidR="00F44F09">
        <w:rPr>
          <w:i/>
        </w:rPr>
        <w:fldChar w:fldCharType="begin"/>
      </w:r>
      <w:r w:rsidR="00F44F09">
        <w:instrText xml:space="preserve"> XE "</w:instrText>
      </w:r>
      <w:r w:rsidR="00F44F09" w:rsidRPr="00BA0B31">
        <w:rPr>
          <w:i/>
        </w:rPr>
        <w:instrText>informatio</w:instrText>
      </w:r>
      <w:r w:rsidR="00F44F09">
        <w:instrText xml:space="preserve">" </w:instrText>
      </w:r>
      <w:r w:rsidR="00F44F09">
        <w:rPr>
          <w:i/>
        </w:rPr>
        <w:fldChar w:fldCharType="end"/>
      </w:r>
      <w:r w:rsidR="002A71AE" w:rsidRPr="00273106">
        <w:t xml:space="preserve"> uvedené v minulé kapitole.</w:t>
      </w:r>
      <w:r w:rsidR="002A71AE" w:rsidRPr="00273106">
        <w:rPr>
          <w:rStyle w:val="Znakapoznpodarou"/>
        </w:rPr>
        <w:footnoteReference w:id="443"/>
      </w:r>
      <w:r w:rsidR="002A71AE" w:rsidRPr="00273106">
        <w:t xml:space="preserve"> Konverze duše k sobě samé </w:t>
      </w:r>
      <w:r w:rsidR="00602566">
        <w:t xml:space="preserve">nepotřebuje hledat </w:t>
      </w:r>
      <w:r w:rsidR="002A71AE" w:rsidRPr="00273106">
        <w:t>podobnost vnější věci a intelektu, čili změnu intele</w:t>
      </w:r>
      <w:r w:rsidR="00D6756D">
        <w:t>ktuálního poznání skrze smyslová</w:t>
      </w:r>
      <w:r w:rsidR="002A71AE" w:rsidRPr="00273106">
        <w:t xml:space="preserve"> </w:t>
      </w:r>
      <w:r w:rsidR="004B4D52" w:rsidRPr="004B4D52">
        <w:t>species</w:t>
      </w:r>
      <w:r w:rsidR="002A71AE" w:rsidRPr="00273106">
        <w:t xml:space="preserve">. Sebereflexe </w:t>
      </w:r>
      <w:r w:rsidR="089C6C77">
        <w:t xml:space="preserve">je napojená na pohyb kosmické inteligibilní duše, která tvoří původní zdroj poznání skrze nasvícení kosmického </w:t>
      </w:r>
      <w:r w:rsidR="089C6C77" w:rsidRPr="089C6C77">
        <w:rPr>
          <w:i/>
        </w:rPr>
        <w:t>intellectus agens</w:t>
      </w:r>
      <w:r w:rsidR="089C6C77">
        <w:t xml:space="preserve">. </w:t>
      </w:r>
      <w:r w:rsidR="085D2990" w:rsidRPr="00273106">
        <w:t xml:space="preserve">Viz původní vzor této intencionality u trinitární struktury sebereflexe božského intelektu </w:t>
      </w:r>
      <w:r w:rsidR="085D2990">
        <w:t xml:space="preserve">a stvořitelského aktu </w:t>
      </w:r>
      <w:r w:rsidR="085D2990" w:rsidRPr="00273106">
        <w:t>u Ibn Ádího</w:t>
      </w:r>
      <w:r w:rsidR="085D2990">
        <w:fldChar w:fldCharType="begin"/>
      </w:r>
      <w:r w:rsidR="085D2990">
        <w:instrText xml:space="preserve"> XE "</w:instrText>
      </w:r>
      <w:r w:rsidR="085D2990" w:rsidRPr="00CB5ED5">
        <w:instrText>Ibn Ádí</w:instrText>
      </w:r>
      <w:r w:rsidR="085D2990">
        <w:instrText xml:space="preserve">" </w:instrText>
      </w:r>
      <w:r w:rsidR="085D2990">
        <w:fldChar w:fldCharType="end"/>
      </w:r>
      <w:r w:rsidR="085D2990" w:rsidRPr="00273106">
        <w:t xml:space="preserve"> (</w:t>
      </w:r>
      <w:r w:rsidR="08D56F3B">
        <w:t xml:space="preserve">OBJ I, </w:t>
      </w:r>
      <w:r w:rsidR="085D2990" w:rsidRPr="00273106">
        <w:t>kap. 2.2).</w:t>
      </w:r>
      <w:r w:rsidR="085D2990">
        <w:t xml:space="preserve"> </w:t>
      </w:r>
      <w:r w:rsidR="08593EEB">
        <w:t>V pohybu seberef</w:t>
      </w:r>
      <w:r w:rsidR="08EB237C">
        <w:t>l</w:t>
      </w:r>
      <w:r w:rsidR="08593EEB">
        <w:t>e</w:t>
      </w:r>
      <w:r w:rsidR="08EB237C">
        <w:t xml:space="preserve">xe </w:t>
      </w:r>
      <w:r w:rsidR="089C6C77">
        <w:t xml:space="preserve">lidská duše </w:t>
      </w:r>
      <w:r w:rsidR="002A71AE" w:rsidRPr="00273106">
        <w:t xml:space="preserve">zahrne i poznání na </w:t>
      </w:r>
      <w:r w:rsidR="08EB237C" w:rsidRPr="00273106">
        <w:t xml:space="preserve">smyslové </w:t>
      </w:r>
      <w:r w:rsidR="002A71AE" w:rsidRPr="00273106">
        <w:t xml:space="preserve">úrovni. Aktualitu k demonstrativnímu poznání definovaného ve </w:t>
      </w:r>
      <w:r w:rsidR="002A71AE" w:rsidRPr="00D6756D">
        <w:rPr>
          <w:i/>
        </w:rPr>
        <w:t>Druhých analytikách</w:t>
      </w:r>
      <w:r w:rsidR="002A71AE" w:rsidRPr="00273106">
        <w:t xml:space="preserve"> má </w:t>
      </w:r>
      <w:r w:rsidR="007E4300">
        <w:t xml:space="preserve">duše </w:t>
      </w:r>
      <w:r w:rsidR="002A71AE" w:rsidRPr="00273106">
        <w:t>primárně ze sebe</w:t>
      </w:r>
      <w:r w:rsidR="08EA6C67">
        <w:t xml:space="preserve"> a z kosmického zdroje</w:t>
      </w:r>
      <w:r w:rsidR="08593EEB">
        <w:t xml:space="preserve"> </w:t>
      </w:r>
      <w:r w:rsidR="08593EEB" w:rsidRPr="08593EEB">
        <w:rPr>
          <w:i/>
        </w:rPr>
        <w:t>anima mundi</w:t>
      </w:r>
      <w:r w:rsidR="002A71AE" w:rsidRPr="00273106">
        <w:t>, a ne z externí konti</w:t>
      </w:r>
      <w:r w:rsidR="00D6756D">
        <w:t>n</w:t>
      </w:r>
      <w:r w:rsidR="002A71AE" w:rsidRPr="00273106">
        <w:t xml:space="preserve">gentní věci. </w:t>
      </w:r>
      <w:r w:rsidR="003C097C">
        <w:t xml:space="preserve">Rufus </w:t>
      </w:r>
      <w:r w:rsidR="002A71AE" w:rsidRPr="00273106">
        <w:t>potřebuj</w:t>
      </w:r>
      <w:r w:rsidR="003C097C">
        <w:t>e</w:t>
      </w:r>
      <w:r w:rsidR="002A71AE" w:rsidRPr="00273106">
        <w:t xml:space="preserve"> </w:t>
      </w:r>
      <w:r w:rsidR="007E4300" w:rsidRPr="00273106">
        <w:t xml:space="preserve">poznání ze smyslů </w:t>
      </w:r>
      <w:r w:rsidR="003C097C">
        <w:t xml:space="preserve">pouze jako akcident </w:t>
      </w:r>
      <w:r w:rsidR="00D6756D">
        <w:t>poznání</w:t>
      </w:r>
      <w:r w:rsidR="080C53B7">
        <w:t xml:space="preserve"> pro </w:t>
      </w:r>
      <w:r w:rsidR="088A370D">
        <w:t xml:space="preserve">moderně </w:t>
      </w:r>
      <w:r w:rsidR="080C53B7">
        <w:t xml:space="preserve">soběstačnou </w:t>
      </w:r>
      <w:r w:rsidR="080C53B7" w:rsidRPr="080C53B7">
        <w:rPr>
          <w:i/>
        </w:rPr>
        <w:t>anima intellectiva</w:t>
      </w:r>
      <w:r w:rsidR="00D6756D">
        <w:t>. Proto redukuje status</w:t>
      </w:r>
      <w:r w:rsidR="003C097C">
        <w:t xml:space="preserve"> smyslových </w:t>
      </w:r>
      <w:r w:rsidR="004B4D52" w:rsidRPr="004B4D52">
        <w:t>species</w:t>
      </w:r>
      <w:r w:rsidR="003C097C">
        <w:t xml:space="preserve"> </w:t>
      </w:r>
      <w:r w:rsidR="002A71AE" w:rsidRPr="00273106">
        <w:t xml:space="preserve">pouze na smyslový orgán, </w:t>
      </w:r>
      <w:r w:rsidR="080C53B7">
        <w:t xml:space="preserve">například </w:t>
      </w:r>
      <w:r w:rsidR="002A71AE" w:rsidRPr="00273106">
        <w:t>na zrak.</w:t>
      </w:r>
      <w:r w:rsidR="002A71AE" w:rsidRPr="00273106">
        <w:rPr>
          <w:rStyle w:val="Znakapoznpodarou"/>
        </w:rPr>
        <w:footnoteReference w:id="444"/>
      </w:r>
      <w:r w:rsidR="002A71AE" w:rsidRPr="00273106">
        <w:t xml:space="preserve"> První část ohl</w:t>
      </w:r>
      <w:r w:rsidR="080C53B7">
        <w:t xml:space="preserve">edně </w:t>
      </w:r>
      <w:r w:rsidR="003A7647">
        <w:t>smyslových</w:t>
      </w:r>
      <w:r w:rsidR="002A71AE" w:rsidRPr="00273106">
        <w:t xml:space="preserve"> </w:t>
      </w:r>
      <w:r w:rsidR="004B4D52" w:rsidRPr="004B4D52">
        <w:t>species</w:t>
      </w:r>
      <w:r w:rsidR="002A71AE" w:rsidRPr="00273106">
        <w:t xml:space="preserve"> (</w:t>
      </w:r>
      <w:r w:rsidR="002A71AE" w:rsidRPr="00273106">
        <w:rPr>
          <w:i/>
        </w:rPr>
        <w:t>nullo modo potest immutare animam</w:t>
      </w:r>
      <w:r w:rsidR="002A71AE" w:rsidRPr="00273106">
        <w:t>) by podepsal i první averroi</w:t>
      </w:r>
      <w:r w:rsidR="00417665">
        <w:t>s</w:t>
      </w:r>
      <w:r w:rsidR="002A71AE" w:rsidRPr="00273106">
        <w:t>mus</w:t>
      </w:r>
      <w:r w:rsidR="003A7647">
        <w:t>, protože trvá na nemateriálním</w:t>
      </w:r>
      <w:r w:rsidR="00D6756D">
        <w:t xml:space="preserve"> výkonu intelektu (</w:t>
      </w:r>
      <w:r w:rsidR="002579C3" w:rsidRPr="002579C3">
        <w:rPr>
          <w:i/>
        </w:rPr>
        <w:t>inmixtus</w:t>
      </w:r>
      <w:r w:rsidR="00D6756D">
        <w:t>)</w:t>
      </w:r>
      <w:r w:rsidR="003A7647">
        <w:t xml:space="preserve"> daném skrze </w:t>
      </w:r>
      <w:r w:rsidR="003A7647" w:rsidRPr="003A7647">
        <w:rPr>
          <w:i/>
        </w:rPr>
        <w:t>species intelligibilis</w:t>
      </w:r>
      <w:r w:rsidR="002A71AE" w:rsidRPr="00273106">
        <w:t>. Duše syntetizuje každé poznání</w:t>
      </w:r>
      <w:r w:rsidR="08FC0D45">
        <w:t xml:space="preserve"> skrze svou nemateriální formu</w:t>
      </w:r>
      <w:r w:rsidR="002A71AE" w:rsidRPr="00273106">
        <w:t xml:space="preserve">, proto ji ani smysly neovlivňují přímo. </w:t>
      </w:r>
      <w:r w:rsidR="00132568">
        <w:t>Ale n</w:t>
      </w:r>
      <w:r w:rsidR="00417665">
        <w:t xml:space="preserve">asvícení intelektu jde </w:t>
      </w:r>
      <w:r w:rsidR="08773721">
        <w:t xml:space="preserve">v pojetí </w:t>
      </w:r>
      <w:r w:rsidR="00FB7539">
        <w:t xml:space="preserve">duše jako </w:t>
      </w:r>
      <w:r w:rsidR="00FB7539" w:rsidRPr="00FB7539">
        <w:rPr>
          <w:i/>
        </w:rPr>
        <w:t>tabula rasa</w:t>
      </w:r>
      <w:r w:rsidR="00FB7539">
        <w:t xml:space="preserve"> pouze </w:t>
      </w:r>
      <w:r w:rsidR="00417665">
        <w:t>od aktuality dané smyslově</w:t>
      </w:r>
      <w:r w:rsidR="08773721">
        <w:t>. P</w:t>
      </w:r>
      <w:r w:rsidR="00417665">
        <w:t xml:space="preserve">roto </w:t>
      </w:r>
      <w:r w:rsidR="00D40353">
        <w:t>první averroismus hledá</w:t>
      </w:r>
      <w:r w:rsidR="00417665">
        <w:t xml:space="preserve"> kauzálně danou adekvaci mezi smysly a intelektem. </w:t>
      </w:r>
      <w:r w:rsidR="009D69B4">
        <w:t>R</w:t>
      </w:r>
      <w:r w:rsidR="002A71AE" w:rsidRPr="00273106">
        <w:t xml:space="preserve">ufus </w:t>
      </w:r>
      <w:r w:rsidR="009D69B4">
        <w:t xml:space="preserve">má </w:t>
      </w:r>
      <w:r w:rsidR="002A71AE" w:rsidRPr="00273106">
        <w:t xml:space="preserve">pojetí pravdy jako </w:t>
      </w:r>
      <w:r w:rsidR="002A71AE" w:rsidRPr="00273106">
        <w:rPr>
          <w:i/>
        </w:rPr>
        <w:t>coaequatio</w:t>
      </w:r>
      <w:r w:rsidR="00433872">
        <w:rPr>
          <w:i/>
        </w:rPr>
        <w:fldChar w:fldCharType="begin"/>
      </w:r>
      <w:r w:rsidR="00433872">
        <w:instrText xml:space="preserve"> XE "</w:instrText>
      </w:r>
      <w:r w:rsidR="00E95BA7">
        <w:instrText>pravda:</w:instrText>
      </w:r>
      <w:r w:rsidR="00433872" w:rsidRPr="00E11E1F">
        <w:rPr>
          <w:i/>
        </w:rPr>
        <w:instrText>coaequatio</w:instrText>
      </w:r>
      <w:r w:rsidR="00433872">
        <w:instrText xml:space="preserve">" </w:instrText>
      </w:r>
      <w:r w:rsidR="00433872">
        <w:rPr>
          <w:i/>
        </w:rPr>
        <w:fldChar w:fldCharType="end"/>
      </w:r>
      <w:r w:rsidR="002A71AE" w:rsidRPr="00273106">
        <w:t xml:space="preserve"> mezi </w:t>
      </w:r>
      <w:r w:rsidR="00417665">
        <w:t xml:space="preserve">objektivními </w:t>
      </w:r>
      <w:r w:rsidR="004B4D52" w:rsidRPr="004B4D52">
        <w:t>species</w:t>
      </w:r>
      <w:r w:rsidR="00EF5A4A">
        <w:t>, která mají kauzalitu sama</w:t>
      </w:r>
      <w:r w:rsidR="00417665">
        <w:t xml:space="preserve"> v sobě. Adekvační teorie pravdy a poznání je nahrazena moderním asimilačním modelem</w:t>
      </w:r>
      <w:r w:rsidR="000A2B53">
        <w:t xml:space="preserve"> pravdy, kdy lidská či kosmická duše kruhovým pohybem zakládá v sobě samé prvotní inteligibilní formy</w:t>
      </w:r>
      <w:r w:rsidR="00585072">
        <w:t>.</w:t>
      </w:r>
    </w:p>
    <w:p w14:paraId="5019CCC9" w14:textId="05946E89" w:rsidR="002A71AE" w:rsidRPr="00273106" w:rsidRDefault="002A71AE" w:rsidP="00EB2884">
      <w:pPr>
        <w:ind w:firstLine="397"/>
      </w:pPr>
      <w:r w:rsidRPr="00273106">
        <w:t xml:space="preserve">Pojetí pravdy jako asimilace externích </w:t>
      </w:r>
      <w:r w:rsidR="004B4D52" w:rsidRPr="004B4D52">
        <w:t>species</w:t>
      </w:r>
      <w:r w:rsidRPr="00273106">
        <w:t xml:space="preserve"> do intelektu potvrzuje třetí část Rufusova komentáře k </w:t>
      </w:r>
      <w:r>
        <w:rPr>
          <w:i/>
        </w:rPr>
        <w:t>De anima</w:t>
      </w:r>
      <w:r w:rsidRPr="00273106">
        <w:t xml:space="preserve"> definující receptivní složku intelektu. Receptivní intelekt nemůže být čistá </w:t>
      </w:r>
      <w:r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Pr="00273106">
        <w:t xml:space="preserve">, viz úvodní koncept </w:t>
      </w:r>
      <w:r w:rsidR="00B27609">
        <w:t>Rufusovy schopnosti poznání dané ve</w:t>
      </w:r>
      <w:r w:rsidRPr="00273106">
        <w:t xml:space="preserve"> dvou </w:t>
      </w:r>
      <w:r w:rsidR="00B27609">
        <w:t xml:space="preserve">hypostázovaných </w:t>
      </w:r>
      <w:r w:rsidRPr="00273106">
        <w:t>potencí</w:t>
      </w:r>
      <w:r w:rsidR="00B27609">
        <w:t>ch</w:t>
      </w:r>
      <w:r w:rsidR="08284F77">
        <w:t xml:space="preserve"> (kap. 3</w:t>
      </w:r>
      <w:r w:rsidR="008E64AD">
        <w:t>.3</w:t>
      </w:r>
      <w:r w:rsidRPr="00273106">
        <w:t xml:space="preserve">.1). </w:t>
      </w:r>
      <w:r w:rsidR="00F85789" w:rsidRPr="00273106">
        <w:t xml:space="preserve">Citace ukazuje pojetí </w:t>
      </w:r>
      <w:r w:rsidR="00F85789" w:rsidRPr="00273106">
        <w:rPr>
          <w:i/>
        </w:rPr>
        <w:t>intellectus possibilis</w:t>
      </w:r>
      <w:r w:rsidR="00B94B46">
        <w:t xml:space="preserve">, které je založené na Avicennově pojmu </w:t>
      </w:r>
      <w:r w:rsidR="00F85789"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6D2B5F" w:rsidRPr="00BE489A">
        <w:instrText>Avicenna</w:instrText>
      </w:r>
      <w:r w:rsidR="006D2B5F">
        <w:instrText xml:space="preserve">" </w:instrText>
      </w:r>
      <w:r w:rsidR="006D2B5F">
        <w:rPr>
          <w:i/>
        </w:rPr>
        <w:fldChar w:fldCharType="end"/>
      </w:r>
      <w:r w:rsidR="00B94B46">
        <w:t xml:space="preserve">. Ten </w:t>
      </w:r>
      <w:r w:rsidR="004B7CD6">
        <w:t xml:space="preserve">habituálně </w:t>
      </w:r>
      <w:r w:rsidR="00F85789" w:rsidRPr="00273106">
        <w:t>existuje i v dítěti prozatím neschopného intelektuálního poznání (</w:t>
      </w:r>
      <w:r w:rsidR="08284F77">
        <w:t xml:space="preserve">OBJ I, </w:t>
      </w:r>
      <w:r w:rsidR="00F85789" w:rsidRPr="00273106">
        <w:t>kap. 2.3.1).</w:t>
      </w:r>
      <w:r w:rsidR="00F85789">
        <w:t xml:space="preserve"> </w:t>
      </w:r>
      <w:r w:rsidR="08E21C86">
        <w:t xml:space="preserve">Ale Rufus má k dispozici </w:t>
      </w:r>
      <w:r w:rsidR="08E21C86" w:rsidRPr="08E21C86">
        <w:rPr>
          <w:i/>
        </w:rPr>
        <w:t>materia spiritualis</w:t>
      </w:r>
      <w:r w:rsidR="08E21C86">
        <w:t xml:space="preserve">, takže je schopen podat novou defici materiálního intelektu Avicenny. </w:t>
      </w:r>
      <w:r w:rsidR="085E3215" w:rsidRPr="00273106">
        <w:t xml:space="preserve">Nakupení různých forem </w:t>
      </w:r>
      <w:r w:rsidR="085E3215" w:rsidRPr="00273106">
        <w:rPr>
          <w:i/>
        </w:rPr>
        <w:t>tertium ens</w:t>
      </w:r>
      <w:r w:rsidR="085E3215" w:rsidRPr="00273106">
        <w:t xml:space="preserve"> v klíčové pasáži definující činnost </w:t>
      </w:r>
      <w:r w:rsidR="085E3215" w:rsidRPr="00273106">
        <w:rPr>
          <w:i/>
        </w:rPr>
        <w:t>intellectus possibilis</w:t>
      </w:r>
      <w:r w:rsidR="085E3215">
        <w:rPr>
          <w:i/>
        </w:rPr>
        <w:fldChar w:fldCharType="begin"/>
      </w:r>
      <w:r w:rsidR="085E3215">
        <w:instrText xml:space="preserve"> XE "</w:instrText>
      </w:r>
      <w:r w:rsidR="085E3215" w:rsidRPr="00770D02">
        <w:rPr>
          <w:i/>
        </w:rPr>
        <w:instrText>intellectus possibilis</w:instrText>
      </w:r>
      <w:r w:rsidR="085E3215">
        <w:rPr>
          <w:i/>
        </w:rPr>
        <w:instrText>:</w:instrText>
      </w:r>
      <w:r w:rsidR="085E3215" w:rsidRPr="00E95BA7">
        <w:instrText>Rufus</w:instrText>
      </w:r>
      <w:r w:rsidR="085E3215">
        <w:instrText xml:space="preserve">" </w:instrText>
      </w:r>
      <w:r w:rsidR="085E3215">
        <w:rPr>
          <w:i/>
        </w:rPr>
        <w:fldChar w:fldCharType="end"/>
      </w:r>
      <w:r w:rsidR="085E3215" w:rsidRPr="00273106">
        <w:t xml:space="preserve"> je vskutku pozoruhodné.</w:t>
      </w:r>
    </w:p>
    <w:p w14:paraId="08D21D41" w14:textId="2E5ED019" w:rsidR="002A71AE" w:rsidRPr="00273106" w:rsidRDefault="002A71AE" w:rsidP="002A71AE">
      <w:pPr>
        <w:pStyle w:val="Citace"/>
        <w:rPr>
          <w:noProof/>
          <w:lang w:val="cs-CZ"/>
        </w:rPr>
      </w:pPr>
      <w:r w:rsidRPr="00273106">
        <w:rPr>
          <w:noProof/>
          <w:lang w:val="cs-CZ"/>
        </w:rPr>
        <w:t xml:space="preserve">„Co je pouze v potenci, to nemá samostatnou existenci. Ale možný intelekt předchází každé porozumění a </w:t>
      </w:r>
      <w:r w:rsidR="00105B53">
        <w:rPr>
          <w:noProof/>
          <w:lang w:val="cs-CZ"/>
        </w:rPr>
        <w:t>má ho i dítě</w:t>
      </w:r>
      <w:r w:rsidRPr="00273106">
        <w:rPr>
          <w:noProof/>
          <w:lang w:val="cs-CZ"/>
        </w:rPr>
        <w:t xml:space="preserve">, proto </w:t>
      </w:r>
      <w:r w:rsidR="00105B53">
        <w:rPr>
          <w:noProof/>
          <w:lang w:val="cs-CZ"/>
        </w:rPr>
        <w:t xml:space="preserve">tento intelekt </w:t>
      </w:r>
      <w:r w:rsidRPr="00273106">
        <w:rPr>
          <w:noProof/>
          <w:lang w:val="cs-CZ"/>
        </w:rPr>
        <w:t>existuje aktuálně</w:t>
      </w:r>
      <w:r w:rsidR="00584A2C">
        <w:rPr>
          <w:noProof/>
          <w:lang w:val="cs-CZ"/>
        </w:rPr>
        <w:t xml:space="preserve"> </w:t>
      </w:r>
      <w:r w:rsidR="00584A2C">
        <w:rPr>
          <w:lang w:val="en-US"/>
        </w:rPr>
        <w:t>(</w:t>
      </w:r>
      <w:r w:rsidR="00584A2C" w:rsidRPr="001624D7">
        <w:rPr>
          <w:i/>
        </w:rPr>
        <w:t>habet actum exsistendi</w:t>
      </w:r>
      <w:r w:rsidR="00584A2C">
        <w:rPr>
          <w:lang w:val="en-US"/>
        </w:rPr>
        <w:t>)</w:t>
      </w:r>
      <w:r w:rsidRPr="00273106">
        <w:rPr>
          <w:noProof/>
          <w:lang w:val="cs-CZ"/>
        </w:rPr>
        <w:t>. Pak není jen v potenci, pr</w:t>
      </w:r>
      <w:r w:rsidR="085325CB">
        <w:rPr>
          <w:noProof/>
          <w:lang w:val="cs-CZ"/>
        </w:rPr>
        <w:t xml:space="preserve">otože </w:t>
      </w:r>
      <w:r w:rsidRPr="00273106">
        <w:rPr>
          <w:noProof/>
          <w:lang w:val="cs-CZ"/>
        </w:rPr>
        <w:t xml:space="preserve"> před aktem porozumění není jen čistá potence</w:t>
      </w:r>
      <w:r w:rsidR="00C204D7">
        <w:rPr>
          <w:noProof/>
          <w:lang w:val="cs-CZ"/>
        </w:rPr>
        <w:t xml:space="preserve"> (</w:t>
      </w:r>
      <w:r w:rsidR="00C204D7" w:rsidRPr="00C204D7">
        <w:rPr>
          <w:i/>
        </w:rPr>
        <w:t>antequam intelligat non est solum in potentia</w:t>
      </w:r>
      <w:r w:rsidR="00C204D7">
        <w:rPr>
          <w:noProof/>
          <w:lang w:val="cs-CZ"/>
        </w:rPr>
        <w:t>)</w:t>
      </w:r>
      <w:r w:rsidRPr="00273106">
        <w:rPr>
          <w:noProof/>
          <w:lang w:val="cs-CZ"/>
        </w:rPr>
        <w:t>. P</w:t>
      </w:r>
      <w:r w:rsidR="087079AB">
        <w:rPr>
          <w:noProof/>
          <w:lang w:val="cs-CZ"/>
        </w:rPr>
        <w:t>roto</w:t>
      </w:r>
      <w:r w:rsidRPr="00273106">
        <w:rPr>
          <w:noProof/>
          <w:lang w:val="cs-CZ"/>
        </w:rPr>
        <w:t xml:space="preserve"> intelekt, kterým duše rozumí, nemůže být jen forma, ale individuální substance (</w:t>
      </w:r>
      <w:r w:rsidR="00D6128A">
        <w:rPr>
          <w:i/>
          <w:noProof/>
          <w:lang w:val="cs-CZ"/>
        </w:rPr>
        <w:t>hoc–</w:t>
      </w:r>
      <w:r w:rsidRPr="00273106">
        <w:rPr>
          <w:i/>
          <w:noProof/>
          <w:lang w:val="cs-CZ"/>
        </w:rPr>
        <w:t>aliquid</w:t>
      </w:r>
      <w:r w:rsidRPr="00273106">
        <w:rPr>
          <w:noProof/>
          <w:lang w:val="cs-CZ"/>
        </w:rPr>
        <w:t>). Ale každá takto vytvořená věc má v sobě dvojí</w:t>
      </w:r>
      <w:r w:rsidR="00824197">
        <w:rPr>
          <w:noProof/>
          <w:lang w:val="cs-CZ"/>
        </w:rPr>
        <w:t xml:space="preserve">: </w:t>
      </w:r>
      <w:r w:rsidRPr="00273106">
        <w:rPr>
          <w:noProof/>
          <w:lang w:val="cs-CZ"/>
        </w:rPr>
        <w:t>materiální jednotu a formální zbytek</w:t>
      </w:r>
      <w:r w:rsidR="00105B53">
        <w:rPr>
          <w:noProof/>
          <w:lang w:val="cs-CZ"/>
        </w:rPr>
        <w:t xml:space="preserve"> (</w:t>
      </w:r>
      <w:r w:rsidR="00105B53" w:rsidRPr="00105B53">
        <w:rPr>
          <w:i/>
        </w:rPr>
        <w:t>unum materiale et reliquum formale</w:t>
      </w:r>
      <w:r w:rsidR="00105B53">
        <w:rPr>
          <w:noProof/>
          <w:lang w:val="cs-CZ"/>
        </w:rPr>
        <w:t>)</w:t>
      </w:r>
      <w:r w:rsidR="0031646D">
        <w:rPr>
          <w:noProof/>
          <w:lang w:val="cs-CZ"/>
        </w:rPr>
        <w:t xml:space="preserve">.  Proto má </w:t>
      </w:r>
      <w:r w:rsidR="00963BB5">
        <w:rPr>
          <w:noProof/>
          <w:lang w:val="cs-CZ"/>
        </w:rPr>
        <w:t xml:space="preserve">lidský </w:t>
      </w:r>
      <w:r w:rsidRPr="00273106">
        <w:rPr>
          <w:noProof/>
          <w:lang w:val="cs-CZ"/>
        </w:rPr>
        <w:t>intele</w:t>
      </w:r>
      <w:r w:rsidR="00963BB5">
        <w:rPr>
          <w:noProof/>
          <w:lang w:val="cs-CZ"/>
        </w:rPr>
        <w:t>kt formu a není jen v potenci.“ </w:t>
      </w:r>
      <w:r w:rsidRPr="00273106">
        <w:rPr>
          <w:rStyle w:val="Znakapoznpodarou"/>
          <w:noProof/>
          <w:lang w:val="cs-CZ"/>
        </w:rPr>
        <w:footnoteReference w:id="445"/>
      </w:r>
    </w:p>
    <w:p w14:paraId="45B8EDBA" w14:textId="77777777" w:rsidR="008F0271" w:rsidRDefault="009658DB" w:rsidP="002A71AE">
      <w:r>
        <w:t>R</w:t>
      </w:r>
      <w:r w:rsidR="002A71AE" w:rsidRPr="00273106">
        <w:t xml:space="preserve">eceptivní intelekt existuje </w:t>
      </w:r>
      <w:r w:rsidR="003260BE">
        <w:t xml:space="preserve">v aktuální podobě </w:t>
      </w:r>
      <w:r w:rsidR="002A71AE" w:rsidRPr="00273106">
        <w:t>už u dětí (</w:t>
      </w:r>
      <w:r w:rsidR="002A71AE" w:rsidRPr="00273106">
        <w:rPr>
          <w:i/>
        </w:rPr>
        <w:t>habet actum exsistendi</w:t>
      </w:r>
      <w:r w:rsidR="002A71AE" w:rsidRPr="00273106">
        <w:t xml:space="preserve">), </w:t>
      </w:r>
      <w:r>
        <w:t xml:space="preserve">proto </w:t>
      </w:r>
      <w:r w:rsidR="002A71AE" w:rsidRPr="00273106">
        <w:t xml:space="preserve">musí být nějakým druhem </w:t>
      </w:r>
      <w:r>
        <w:t>individualizované</w:t>
      </w:r>
      <w:r w:rsidR="002A71AE" w:rsidRPr="00273106">
        <w:t xml:space="preserve"> substance</w:t>
      </w:r>
      <w:r w:rsidR="00A70FA4">
        <w:fldChar w:fldCharType="begin"/>
      </w:r>
      <w:r w:rsidR="00A70FA4">
        <w:instrText xml:space="preserve"> XE "</w:instrText>
      </w:r>
      <w:r w:rsidR="00A70FA4" w:rsidRPr="00DE2A32">
        <w:instrText>substance</w:instrText>
      </w:r>
      <w:r w:rsidR="00E95BA7">
        <w:instrText>:intelekt</w:instrText>
      </w:r>
      <w:r w:rsidR="00A70FA4">
        <w:instrText xml:space="preserve">" </w:instrText>
      </w:r>
      <w:r w:rsidR="00A70FA4">
        <w:fldChar w:fldCharType="end"/>
      </w:r>
      <w:r w:rsidR="002A71AE" w:rsidRPr="00273106">
        <w:t xml:space="preserve"> (</w:t>
      </w:r>
      <w:r w:rsidR="007A047B">
        <w:rPr>
          <w:i/>
        </w:rPr>
        <w:t>hoc–</w:t>
      </w:r>
      <w:r w:rsidR="002A71AE" w:rsidRPr="00273106">
        <w:rPr>
          <w:i/>
        </w:rPr>
        <w:t>aliquid</w:t>
      </w:r>
      <w:r w:rsidR="002A71AE" w:rsidRPr="00273106">
        <w:t xml:space="preserve">). Substancí třetího typu je mimo jiné i proto, že obsahuje </w:t>
      </w:r>
      <w:r w:rsidR="00620AC3">
        <w:t xml:space="preserve">zvláštní formu subsistence dané na úrovni formy </w:t>
      </w:r>
      <w:r w:rsidR="002A71AE" w:rsidRPr="00273106">
        <w:t>(</w:t>
      </w:r>
      <w:r w:rsidR="002A71AE" w:rsidRPr="00273106">
        <w:rPr>
          <w:i/>
        </w:rPr>
        <w:t>reliquum formale</w:t>
      </w:r>
      <w:r w:rsidR="002A71AE" w:rsidRPr="00273106">
        <w:t xml:space="preserve">). Čistě receptivní složka možného intelektu </w:t>
      </w:r>
      <w:r w:rsidR="001E606D">
        <w:t>jako pouhé potence duše nestačí pro výkon poznání</w:t>
      </w:r>
      <w:r w:rsidR="002A71AE" w:rsidRPr="00273106">
        <w:t xml:space="preserve"> (</w:t>
      </w:r>
      <w:r w:rsidR="002A71AE" w:rsidRPr="00273106">
        <w:rPr>
          <w:i/>
        </w:rPr>
        <w:t>non est solum in potentia</w:t>
      </w:r>
      <w:r w:rsidR="002A71AE" w:rsidRPr="00273106">
        <w:t xml:space="preserve">), což později převezme Bonaventurova definice pasivního intelektu. Definice intelektu jako </w:t>
      </w:r>
      <w:r w:rsidR="002A71AE" w:rsidRPr="00273106">
        <w:rPr>
          <w:i/>
        </w:rPr>
        <w:t>tabula rasa</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2A71AE" w:rsidRPr="00273106">
        <w:t xml:space="preserve"> je vyloučena i proto, že </w:t>
      </w:r>
      <w:r w:rsidR="003635B2">
        <w:t xml:space="preserve">mysl </w:t>
      </w:r>
      <w:r w:rsidR="002A71AE" w:rsidRPr="00273106">
        <w:t xml:space="preserve">má vlastní aktualitu </w:t>
      </w:r>
      <w:r w:rsidR="08603618">
        <w:t xml:space="preserve">vždy </w:t>
      </w:r>
      <w:r w:rsidR="002A71AE" w:rsidRPr="00273106">
        <w:t>(</w:t>
      </w:r>
      <w:r w:rsidR="002A71AE" w:rsidRPr="00273106">
        <w:rPr>
          <w:i/>
        </w:rPr>
        <w:t>antequam intelligat non est solum in potentia</w:t>
      </w:r>
      <w:r w:rsidR="002A71AE" w:rsidRPr="00273106">
        <w:t xml:space="preserve">), a z toho důvodu je také individualizovanou substancí. A právě proto, že je </w:t>
      </w:r>
      <w:r w:rsidR="003635B2">
        <w:t xml:space="preserve">duše </w:t>
      </w:r>
      <w:r w:rsidR="002A71AE" w:rsidRPr="00273106">
        <w:t>aktuální substancí, obsahuje receptivní a formální složku (</w:t>
      </w:r>
      <w:r w:rsidR="002A71AE" w:rsidRPr="00273106">
        <w:rPr>
          <w:i/>
        </w:rPr>
        <w:t>habet duo in se</w:t>
      </w:r>
      <w:r w:rsidR="002A71AE" w:rsidRPr="00273106">
        <w:t>). Dualismus odděleného smyslového a intelektuálního poznání</w:t>
      </w:r>
      <w:r w:rsidR="00BF764A">
        <w:fldChar w:fldCharType="begin"/>
      </w:r>
      <w:r w:rsidR="00BF764A">
        <w:instrText xml:space="preserve"> XE "</w:instrText>
      </w:r>
      <w:r w:rsidR="00BF764A" w:rsidRPr="00C86DD9">
        <w:instrText>osoba:dualismus</w:instrText>
      </w:r>
      <w:r w:rsidR="00BF764A">
        <w:instrText xml:space="preserve">" </w:instrText>
      </w:r>
      <w:r w:rsidR="00BF764A">
        <w:fldChar w:fldCharType="end"/>
      </w:r>
      <w:r w:rsidR="002A71AE" w:rsidRPr="00273106">
        <w:t xml:space="preserve"> způsobil, že Rufus musel do duše zavést dvě intelektuální substance (</w:t>
      </w:r>
      <w:r w:rsidR="002A71AE" w:rsidRPr="00273106">
        <w:rPr>
          <w:i/>
        </w:rPr>
        <w:t>unum materiale et reliquum formale</w:t>
      </w:r>
      <w:r w:rsidR="002A71AE" w:rsidRPr="00273106">
        <w:t xml:space="preserve">). </w:t>
      </w:r>
      <w:r w:rsidR="002E3B62">
        <w:t>Averroes</w:t>
      </w:r>
      <w:r w:rsidR="002A71AE" w:rsidRPr="00273106">
        <w:t xml:space="preserve">ova </w:t>
      </w:r>
      <w:r w:rsidR="00212218">
        <w:t>CMDA</w:t>
      </w:r>
      <w:r w:rsidR="002A71AE" w:rsidRPr="00273106">
        <w:t xml:space="preserve"> jasně zdůvodnila, že </w:t>
      </w:r>
      <w:r w:rsidR="00E41E79">
        <w:t>materiální smyslově daná receptivita je aktuální, protože váže porozumění</w:t>
      </w:r>
      <w:r w:rsidR="002A71AE" w:rsidRPr="00273106">
        <w:t xml:space="preserve"> </w:t>
      </w:r>
      <w:r w:rsidR="00E41E79">
        <w:t xml:space="preserve">na smysly dané tělesně jako </w:t>
      </w:r>
      <w:r w:rsidR="002A71AE" w:rsidRPr="00273106">
        <w:rPr>
          <w:i/>
        </w:rPr>
        <w:t>hoc aliquid</w:t>
      </w:r>
      <w:r w:rsidR="00E41E79">
        <w:t xml:space="preserve">. </w:t>
      </w:r>
      <w:r w:rsidR="006F134E">
        <w:t>T</w:t>
      </w:r>
      <w:r w:rsidR="00E41E79">
        <w:t xml:space="preserve">ato </w:t>
      </w:r>
      <w:r w:rsidR="006F134E">
        <w:t xml:space="preserve">poznávací schopnost duše daná materiálně </w:t>
      </w:r>
      <w:r w:rsidR="002A71AE" w:rsidRPr="00273106">
        <w:t xml:space="preserve">nemůže provést adekvátní aktualizaci poznané formy nebo </w:t>
      </w:r>
      <w:r w:rsidR="004B4D52" w:rsidRPr="004B4D52">
        <w:t>species</w:t>
      </w:r>
      <w:r w:rsidR="006F134E">
        <w:t xml:space="preserve">, proto </w:t>
      </w:r>
      <w:r w:rsidR="00836B7B">
        <w:t>musí</w:t>
      </w:r>
      <w:r w:rsidR="00E41E79">
        <w:t xml:space="preserve"> dojít k dalšímu </w:t>
      </w:r>
      <w:r w:rsidR="00836B7B">
        <w:t xml:space="preserve">aktu nemateriální </w:t>
      </w:r>
      <w:r w:rsidR="00E41E79">
        <w:t>inte</w:t>
      </w:r>
      <w:r w:rsidR="00836B7B">
        <w:t>n</w:t>
      </w:r>
      <w:r w:rsidR="00E41E79">
        <w:t>cion</w:t>
      </w:r>
      <w:r w:rsidR="00836B7B">
        <w:t xml:space="preserve">ality, receptivity, </w:t>
      </w:r>
      <w:r w:rsidR="00E41E79">
        <w:t xml:space="preserve">abstrakce </w:t>
      </w:r>
      <w:r w:rsidR="00836B7B">
        <w:t xml:space="preserve">a syntézy </w:t>
      </w:r>
      <w:r w:rsidR="00E41E79">
        <w:t xml:space="preserve">dané na úrovni </w:t>
      </w:r>
      <w:r w:rsidR="00E41E79" w:rsidRPr="00E41E79">
        <w:rPr>
          <w:i/>
        </w:rPr>
        <w:t>intellectus possibilis</w:t>
      </w:r>
      <w:r w:rsidR="00E41E79">
        <w:t xml:space="preserve">, </w:t>
      </w:r>
      <w:r w:rsidR="00E41E79" w:rsidRPr="00E41E79">
        <w:rPr>
          <w:i/>
        </w:rPr>
        <w:t>agens</w:t>
      </w:r>
      <w:r w:rsidR="00E41E79">
        <w:t xml:space="preserve"> a </w:t>
      </w:r>
      <w:r w:rsidR="00E41E79" w:rsidRPr="00E41E79">
        <w:rPr>
          <w:i/>
        </w:rPr>
        <w:t>speculativus</w:t>
      </w:r>
      <w:r w:rsidR="00E41E79">
        <w:t xml:space="preserve">. </w:t>
      </w:r>
      <w:r w:rsidR="00675D57">
        <w:t xml:space="preserve">Spis </w:t>
      </w:r>
      <w:r w:rsidR="00675D57" w:rsidRPr="00675D57">
        <w:rPr>
          <w:i/>
        </w:rPr>
        <w:t>De anima</w:t>
      </w:r>
      <w:r w:rsidR="00675D57">
        <w:t xml:space="preserve"> a </w:t>
      </w:r>
      <w:r w:rsidR="002A71AE" w:rsidRPr="00273106">
        <w:t xml:space="preserve">CMDA </w:t>
      </w:r>
      <w:r w:rsidR="00675D57">
        <w:t xml:space="preserve">z naprosto zásadních důvodů </w:t>
      </w:r>
      <w:r w:rsidR="002A71AE" w:rsidRPr="00273106">
        <w:t xml:space="preserve">brání intelekt pouze jako potenci duše, nikoliv jako substanci. </w:t>
      </w:r>
      <w:r w:rsidR="00804173" w:rsidRPr="00273106">
        <w:t>První averroismus definuje poznání jako formaci inteligibilní intence v činném intelektu vzniklé receptivitou možného intelektu daného jako diafanum</w:t>
      </w:r>
      <w:r w:rsidR="00FE5B30">
        <w:fldChar w:fldCharType="begin"/>
      </w:r>
      <w:r w:rsidR="00FE5B30">
        <w:instrText xml:space="preserve"> XE "</w:instrText>
      </w:r>
      <w:r w:rsidR="00FE5B30" w:rsidRPr="008148D1">
        <w:instrText>diafanum:</w:instrText>
      </w:r>
      <w:r w:rsidR="002E3B62">
        <w:instrText>Averroes</w:instrText>
      </w:r>
      <w:r w:rsidR="00FE5B30">
        <w:instrText xml:space="preserve">" </w:instrText>
      </w:r>
      <w:r w:rsidR="00FE5B30">
        <w:fldChar w:fldCharType="end"/>
      </w:r>
      <w:r w:rsidR="00804173" w:rsidRPr="00273106">
        <w:t xml:space="preserve"> mezi smyslovým a rozumovým poznáním.</w:t>
      </w:r>
      <w:r w:rsidR="00804173">
        <w:t xml:space="preserve"> </w:t>
      </w:r>
      <w:r w:rsidR="00482B6E" w:rsidRPr="00273106">
        <w:t xml:space="preserve">Blund </w:t>
      </w:r>
      <w:r w:rsidR="08603618">
        <w:t>odděluje pasivní recepci</w:t>
      </w:r>
      <w:r w:rsidR="005503E9">
        <w:t xml:space="preserve"> vjemu</w:t>
      </w:r>
      <w:r w:rsidR="08603618">
        <w:t xml:space="preserve"> </w:t>
      </w:r>
      <w:r w:rsidR="005503E9">
        <w:t xml:space="preserve">od </w:t>
      </w:r>
      <w:r w:rsidR="00482B6E" w:rsidRPr="00273106">
        <w:t>následn</w:t>
      </w:r>
      <w:r w:rsidR="005503E9">
        <w:t xml:space="preserve">é </w:t>
      </w:r>
      <w:r w:rsidR="00482B6E" w:rsidRPr="00273106">
        <w:t>ak</w:t>
      </w:r>
      <w:r w:rsidR="005503E9">
        <w:t>tivní syntézy</w:t>
      </w:r>
      <w:r w:rsidR="081363A1">
        <w:t>, což platí pro imaginaci zvířat i pro konceptuální poznání člověka</w:t>
      </w:r>
      <w:r w:rsidR="005503E9">
        <w:t xml:space="preserve">. Individuální pasivní intelekt daný jako schopnost duše </w:t>
      </w:r>
      <w:r w:rsidR="00730D99">
        <w:t xml:space="preserve">nejprve </w:t>
      </w:r>
      <w:r w:rsidR="00482B6E" w:rsidRPr="00273106">
        <w:t>intenduje vjemy recipované ve společném orgánu smyslovosti (</w:t>
      </w:r>
      <w:r w:rsidR="00482B6E" w:rsidRPr="00273106">
        <w:rPr>
          <w:i/>
        </w:rPr>
        <w:t>sensus communis</w:t>
      </w:r>
      <w:r w:rsidR="00933505">
        <w:rPr>
          <w:i/>
        </w:rPr>
        <w:fldChar w:fldCharType="begin"/>
      </w:r>
      <w:r w:rsidR="00933505">
        <w:instrText xml:space="preserve"> XE "</w:instrText>
      </w:r>
      <w:r w:rsidR="00933505" w:rsidRPr="00F24A59">
        <w:rPr>
          <w:i/>
        </w:rPr>
        <w:instrText>sensus communis</w:instrText>
      </w:r>
      <w:r w:rsidR="00933505">
        <w:instrText xml:space="preserve">" </w:instrText>
      </w:r>
      <w:r w:rsidR="00933505">
        <w:rPr>
          <w:i/>
        </w:rPr>
        <w:fldChar w:fldCharType="end"/>
      </w:r>
      <w:r w:rsidR="008F0271">
        <w:t>).</w:t>
      </w:r>
    </w:p>
    <w:p w14:paraId="7FB8FF1B" w14:textId="6284C226" w:rsidR="002A71AE" w:rsidRPr="00273106" w:rsidRDefault="00730D99" w:rsidP="008F0271">
      <w:pPr>
        <w:ind w:firstLine="397"/>
      </w:pPr>
      <w:r w:rsidRPr="00273106">
        <w:t xml:space="preserve">Rufus </w:t>
      </w:r>
      <w:r w:rsidR="00C67990">
        <w:t xml:space="preserve">nepotřebuje </w:t>
      </w:r>
      <w:r w:rsidR="00482B6E" w:rsidRPr="00273106">
        <w:t>intencionální synt</w:t>
      </w:r>
      <w:r>
        <w:t xml:space="preserve">ézu </w:t>
      </w:r>
      <w:r w:rsidR="004B4D52" w:rsidRPr="004B4D52">
        <w:t>species</w:t>
      </w:r>
      <w:r w:rsidR="081363A1">
        <w:t xml:space="preserve"> </w:t>
      </w:r>
      <w:r w:rsidR="081363A1" w:rsidRPr="081363A1">
        <w:rPr>
          <w:i/>
          <w:szCs w:val="24"/>
        </w:rPr>
        <w:t>sensibilis</w:t>
      </w:r>
      <w:r w:rsidR="081363A1" w:rsidRPr="081363A1">
        <w:rPr>
          <w:szCs w:val="24"/>
        </w:rPr>
        <w:t xml:space="preserve"> und </w:t>
      </w:r>
      <w:r w:rsidR="081363A1" w:rsidRPr="081363A1">
        <w:rPr>
          <w:i/>
          <w:szCs w:val="24"/>
        </w:rPr>
        <w:t>intelligibilis</w:t>
      </w:r>
      <w:r w:rsidR="081363A1">
        <w:rPr>
          <w:szCs w:val="24"/>
        </w:rPr>
        <w:t xml:space="preserve">, </w:t>
      </w:r>
      <w:r w:rsidR="00482B6E" w:rsidRPr="00273106">
        <w:t xml:space="preserve">protože </w:t>
      </w:r>
      <w:r w:rsidR="08F30E1A">
        <w:t>nemá žádné diafanum</w:t>
      </w:r>
      <w:r w:rsidR="08880F33">
        <w:t>, které umožňuje mediaci mezi aktuální realitou a poznáním</w:t>
      </w:r>
      <w:r w:rsidR="08F30E1A">
        <w:t>. J</w:t>
      </w:r>
      <w:r w:rsidR="00482B6E">
        <w:t xml:space="preserve">eho </w:t>
      </w:r>
      <w:r w:rsidR="00482B6E" w:rsidRPr="00273106">
        <w:t xml:space="preserve">pojetí </w:t>
      </w:r>
      <w:r w:rsidR="00482B6E" w:rsidRPr="00273106">
        <w:rPr>
          <w:i/>
        </w:rPr>
        <w:t>intellectus possibilis</w:t>
      </w:r>
      <w:r w:rsidR="00482B6E" w:rsidRPr="00273106">
        <w:t xml:space="preserve"> nezná </w:t>
      </w:r>
      <w:r w:rsidR="002E3B62">
        <w:t>Averroes</w:t>
      </w:r>
      <w:r w:rsidR="00482B6E" w:rsidRPr="00273106">
        <w:t xml:space="preserve">ovo pojetí intencionality </w:t>
      </w:r>
      <w:r w:rsidR="00482B6E">
        <w:t xml:space="preserve">jako diafanum </w:t>
      </w:r>
      <w:r w:rsidR="00D36228">
        <w:t>spojující smyslová</w:t>
      </w:r>
      <w:r w:rsidR="00482B6E" w:rsidRPr="00273106">
        <w:t xml:space="preserve"> </w:t>
      </w:r>
      <w:r w:rsidR="004B4D52" w:rsidRPr="004B4D52">
        <w:t>species</w:t>
      </w:r>
      <w:r w:rsidR="00482B6E" w:rsidRPr="00273106">
        <w:t xml:space="preserve"> a rozumové poznání první substance.</w:t>
      </w:r>
      <w:r w:rsidR="00482B6E">
        <w:t xml:space="preserve"> </w:t>
      </w:r>
      <w:r w:rsidR="002A71AE" w:rsidRPr="00273106">
        <w:t xml:space="preserve">Rufusův komentář k </w:t>
      </w:r>
      <w:r w:rsidR="002A71AE">
        <w:rPr>
          <w:i/>
        </w:rPr>
        <w:t>De anima</w:t>
      </w:r>
      <w:r w:rsidR="002A71AE" w:rsidRPr="00273106">
        <w:t xml:space="preserve"> nevidí vlastní výkon recep</w:t>
      </w:r>
      <w:r w:rsidR="08817379">
        <w:t>tivního intelektu, protože nemá</w:t>
      </w:r>
      <w:r w:rsidR="002A71AE" w:rsidRPr="00273106">
        <w:t xml:space="preserve"> pojem intencionality podle prvního averroismu. </w:t>
      </w:r>
      <w:r w:rsidR="08CF4103">
        <w:t xml:space="preserve">Podobnost nejde od věci ke smyslům a k intelektu skrze mediaci. </w:t>
      </w:r>
      <w:r w:rsidR="00D36228">
        <w:t xml:space="preserve">Atomární substance daná jako </w:t>
      </w:r>
      <w:r w:rsidR="004B4D52" w:rsidRPr="004B4D52">
        <w:t>species</w:t>
      </w:r>
      <w:r w:rsidR="00D36228">
        <w:rPr>
          <w:i/>
        </w:rPr>
        <w:t>-scibile</w:t>
      </w:r>
      <w:r w:rsidR="002A71AE" w:rsidRPr="00273106">
        <w:t xml:space="preserve"> </w:t>
      </w:r>
      <w:r w:rsidR="00D36228">
        <w:t>představu</w:t>
      </w:r>
      <w:r w:rsidR="002A71AE" w:rsidRPr="00273106">
        <w:t>je univoční koncept společný pro věci v realitě i pro intence intelektu</w:t>
      </w:r>
      <w:r w:rsidR="00FE5B30">
        <w:rPr>
          <w:i/>
        </w:rPr>
        <w:fldChar w:fldCharType="begin"/>
      </w:r>
      <w:r w:rsidR="00FE5B30">
        <w:instrText xml:space="preserve"> XE "</w:instrText>
      </w:r>
      <w:r w:rsidR="00FE5B30" w:rsidRPr="00FE5B30">
        <w:instrText>inte</w:instrText>
      </w:r>
      <w:r w:rsidR="00FE5B30">
        <w:instrText xml:space="preserve">ncionalita:Rufus" </w:instrText>
      </w:r>
      <w:r w:rsidR="00FE5B30">
        <w:rPr>
          <w:i/>
        </w:rPr>
        <w:fldChar w:fldCharType="end"/>
      </w:r>
      <w:r w:rsidR="002A71AE" w:rsidRPr="00273106">
        <w:t xml:space="preserve">. </w:t>
      </w:r>
      <w:r w:rsidR="00145D40">
        <w:t xml:space="preserve">Učený latiník </w:t>
      </w:r>
      <w:r w:rsidR="002A71AE" w:rsidRPr="00273106">
        <w:t xml:space="preserve">z Cornwallu dává intence přímo do věci podle Avicenny, což potvrzuje jeho komentář k Aristotelově </w:t>
      </w:r>
      <w:r w:rsidR="002A71AE" w:rsidRPr="001F000B">
        <w:rPr>
          <w:i/>
        </w:rPr>
        <w:t>Fyzice</w:t>
      </w:r>
      <w:r w:rsidR="002A71AE" w:rsidRPr="00273106">
        <w:t xml:space="preserve"> (</w:t>
      </w:r>
      <w:r w:rsidR="002A71AE" w:rsidRPr="00273106">
        <w:rPr>
          <w:i/>
        </w:rPr>
        <w:t>cum ergo intentiones principiorum sint in materia extra</w:t>
      </w:r>
      <w:r w:rsidR="08880F33">
        <w:t>;</w:t>
      </w:r>
      <w:r w:rsidR="002A71AE" w:rsidRPr="00273106">
        <w:t xml:space="preserve"> </w:t>
      </w:r>
      <w:r w:rsidR="002A71AE" w:rsidRPr="00273106">
        <w:rPr>
          <w:i/>
        </w:rPr>
        <w:t>In Phys</w:t>
      </w:r>
      <w:r w:rsidR="002A71AE" w:rsidRPr="00273106">
        <w:t>. P2, ed. RRP</w:t>
      </w:r>
      <w:r w:rsidR="008F2E2C">
        <w:fldChar w:fldCharType="begin"/>
      </w:r>
      <w:r w:rsidR="008F2E2C">
        <w:instrText xml:space="preserve"> XE "Rufus:</w:instrText>
      </w:r>
      <w:r w:rsidR="008F2E2C" w:rsidRPr="00F94111">
        <w:rPr>
          <w:i/>
        </w:rPr>
        <w:instrText>In Phys</w:instrText>
      </w:r>
      <w:r w:rsidR="008F2E2C" w:rsidRPr="00F94111">
        <w:instrText>. P2</w:instrText>
      </w:r>
      <w:r w:rsidR="008F2E2C">
        <w:instrText xml:space="preserve">" </w:instrText>
      </w:r>
      <w:r w:rsidR="008F2E2C">
        <w:fldChar w:fldCharType="end"/>
      </w:r>
      <w:r w:rsidR="002A71AE" w:rsidRPr="00273106">
        <w:t>). Činný</w:t>
      </w:r>
      <w:r w:rsidR="001F000B">
        <w:t xml:space="preserve"> intelekt abstrahuje v procesu </w:t>
      </w:r>
      <w:r w:rsidR="002A71AE" w:rsidRPr="00273106">
        <w:rPr>
          <w:i/>
        </w:rPr>
        <w:t>denudatio</w:t>
      </w:r>
      <w:r w:rsidR="00D44795">
        <w:rPr>
          <w:i/>
        </w:rPr>
        <w:fldChar w:fldCharType="begin"/>
      </w:r>
      <w:r w:rsidR="00D44795">
        <w:instrText xml:space="preserve"> XE "</w:instrText>
      </w:r>
      <w:r w:rsidR="00D44795" w:rsidRPr="00C23100">
        <w:rPr>
          <w:i/>
        </w:rPr>
        <w:instrText>denudatio</w:instrText>
      </w:r>
      <w:r w:rsidR="008F2E2C">
        <w:instrText>:Rufus</w:instrText>
      </w:r>
      <w:r w:rsidR="00D44795">
        <w:instrText xml:space="preserve">" </w:instrText>
      </w:r>
      <w:r w:rsidR="00D44795">
        <w:rPr>
          <w:i/>
        </w:rPr>
        <w:fldChar w:fldCharType="end"/>
      </w:r>
      <w:r w:rsidR="002A71AE" w:rsidRPr="00273106">
        <w:t xml:space="preserve"> z věcí nemateriální formu tím</w:t>
      </w:r>
      <w:r w:rsidR="00CE17FD">
        <w:t>,</w:t>
      </w:r>
      <w:r w:rsidR="002A71AE" w:rsidRPr="00273106">
        <w:t xml:space="preserve"> že </w:t>
      </w:r>
      <w:r w:rsidR="004B4D52" w:rsidRPr="004B4D52">
        <w:t>species</w:t>
      </w:r>
      <w:r w:rsidR="0023322E">
        <w:t xml:space="preserve"> daná</w:t>
      </w:r>
      <w:r w:rsidR="002A71AE" w:rsidRPr="00273106">
        <w:t xml:space="preserve"> </w:t>
      </w:r>
      <w:r w:rsidR="00605B2A">
        <w:t>skrze univerz</w:t>
      </w:r>
      <w:r w:rsidR="0023322E">
        <w:t xml:space="preserve">ální hylemorfismus </w:t>
      </w:r>
      <w:r w:rsidR="002A71AE" w:rsidRPr="00273106">
        <w:t>zbavuje kontingentních určení (</w:t>
      </w:r>
      <w:r w:rsidR="002A71AE" w:rsidRPr="00273106">
        <w:rPr>
          <w:i/>
        </w:rPr>
        <w:t>et magis adhuc per intellectum agentem per cuius abstractionem removentur illae condiciones</w:t>
      </w:r>
      <w:r w:rsidR="002A71AE" w:rsidRPr="00273106">
        <w:t xml:space="preserve">, ibid). </w:t>
      </w:r>
      <w:r w:rsidR="009476B1" w:rsidRPr="00273106">
        <w:t xml:space="preserve">Rufus musí odmítnout </w:t>
      </w:r>
      <w:r w:rsidR="009476B1">
        <w:t>Averroes</w:t>
      </w:r>
      <w:r w:rsidR="009476B1" w:rsidRPr="00273106">
        <w:t xml:space="preserve">ovu </w:t>
      </w:r>
      <w:r w:rsidR="00C75946">
        <w:t xml:space="preserve">proporcionalitu personálního </w:t>
      </w:r>
      <w:r w:rsidR="009476B1" w:rsidRPr="00273106">
        <w:t>receptivníh</w:t>
      </w:r>
      <w:r w:rsidR="009476B1">
        <w:t xml:space="preserve">o a syntetizujícího intelektu </w:t>
      </w:r>
      <w:r w:rsidR="00C75946">
        <w:t>(</w:t>
      </w:r>
      <w:r w:rsidR="00C75946" w:rsidRPr="00C75946">
        <w:rPr>
          <w:i/>
        </w:rPr>
        <w:t>tertium genus</w:t>
      </w:r>
      <w:r w:rsidR="00C75946">
        <w:t xml:space="preserve">) </w:t>
      </w:r>
      <w:r w:rsidR="009476B1">
        <w:t>k externí první substanci</w:t>
      </w:r>
      <w:r w:rsidR="00C75946">
        <w:t xml:space="preserve">. Jeho poznání </w:t>
      </w:r>
      <w:r w:rsidR="009476B1">
        <w:t xml:space="preserve">nemá zprostředkování poznání skrze diafanum a </w:t>
      </w:r>
      <w:r w:rsidR="00C75946">
        <w:t xml:space="preserve">skrze </w:t>
      </w:r>
      <w:r w:rsidR="009476B1">
        <w:t>intencionalitu determinovanou od smyslů</w:t>
      </w:r>
      <w:r w:rsidR="009476B1" w:rsidRPr="00273106">
        <w:t xml:space="preserve">. </w:t>
      </w:r>
      <w:r w:rsidR="009476B1">
        <w:t>Intelektuální poznání je od smyslů odděleno, protože in</w:t>
      </w:r>
      <w:r w:rsidR="009476B1" w:rsidRPr="00273106">
        <w:t>tence vztažená ke smyslovému vjemu</w:t>
      </w:r>
      <w:r w:rsidR="009476B1">
        <w:t xml:space="preserve"> je </w:t>
      </w:r>
      <w:r w:rsidR="08FC3AA5">
        <w:t xml:space="preserve">dána </w:t>
      </w:r>
      <w:r w:rsidR="006A42BD">
        <w:t xml:space="preserve">pouze </w:t>
      </w:r>
      <w:r w:rsidR="009476B1">
        <w:t>v materiálním modu</w:t>
      </w:r>
      <w:r w:rsidR="009476B1" w:rsidRPr="00273106">
        <w:t xml:space="preserve">. </w:t>
      </w:r>
      <w:r w:rsidR="007558B7">
        <w:t>Poznání vzniká tak, že aktivní intelekt denuduje u</w:t>
      </w:r>
      <w:r w:rsidR="009476B1">
        <w:t xml:space="preserve">nivoční </w:t>
      </w:r>
      <w:r w:rsidR="004B4D52" w:rsidRPr="004B4D52">
        <w:t>species</w:t>
      </w:r>
      <w:r w:rsidR="009476B1">
        <w:t xml:space="preserve"> </w:t>
      </w:r>
      <w:r w:rsidR="007558B7">
        <w:t xml:space="preserve">ve věci nebo je nazírá přímo a </w:t>
      </w:r>
      <w:r w:rsidR="009476B1">
        <w:t xml:space="preserve">pak </w:t>
      </w:r>
      <w:r w:rsidR="007558B7">
        <w:t xml:space="preserve">toto </w:t>
      </w:r>
      <w:r w:rsidR="007558B7" w:rsidRPr="007558B7">
        <w:rPr>
          <w:i/>
        </w:rPr>
        <w:t>scibile</w:t>
      </w:r>
      <w:r w:rsidR="007558B7">
        <w:t xml:space="preserve"> </w:t>
      </w:r>
      <w:r w:rsidR="009476B1">
        <w:t>vtiskn</w:t>
      </w:r>
      <w:r w:rsidR="007558B7">
        <w:t>e</w:t>
      </w:r>
      <w:r w:rsidR="009476B1">
        <w:t xml:space="preserve"> do pasivního intelektu. </w:t>
      </w:r>
      <w:r w:rsidR="008E02F5">
        <w:t>Platon</w:t>
      </w:r>
      <w:r w:rsidR="002A71AE" w:rsidRPr="00273106">
        <w:t xml:space="preserve">ova metafora </w:t>
      </w:r>
      <w:r w:rsidR="0072797A">
        <w:t>pozn</w:t>
      </w:r>
      <w:r w:rsidR="0858728E">
        <w:t>ání jako obtisku formy do vosku podle mytopoetické činnosti Mnémosyné (</w:t>
      </w:r>
      <w:r w:rsidR="0858728E" w:rsidRPr="08D13AB9">
        <w:rPr>
          <w:i/>
        </w:rPr>
        <w:t>Theait</w:t>
      </w:r>
      <w:r w:rsidR="0858728E">
        <w:t>. 191d7‒9</w:t>
      </w:r>
      <w:r w:rsidR="0858728E">
        <w:fldChar w:fldCharType="begin"/>
      </w:r>
      <w:r w:rsidR="0858728E">
        <w:instrText xml:space="preserve"> XE "Platon:</w:instrText>
      </w:r>
      <w:r w:rsidR="0858728E" w:rsidRPr="08D13AB9">
        <w:rPr>
          <w:i/>
        </w:rPr>
        <w:instrText>Theait</w:instrText>
      </w:r>
      <w:r w:rsidR="0858728E">
        <w:instrText xml:space="preserve">. 191d7‒9" </w:instrText>
      </w:r>
      <w:r w:rsidR="0858728E">
        <w:fldChar w:fldCharType="end"/>
      </w:r>
      <w:r w:rsidR="0858728E">
        <w:t xml:space="preserve">) </w:t>
      </w:r>
      <w:r w:rsidR="002A71AE" w:rsidRPr="00273106">
        <w:t xml:space="preserve">je zasazena do </w:t>
      </w:r>
      <w:r w:rsidR="0858728E">
        <w:t xml:space="preserve">Themistiova pojetí </w:t>
      </w:r>
      <w:r w:rsidR="0858728E" w:rsidRPr="0858728E">
        <w:rPr>
          <w:i/>
        </w:rPr>
        <w:t>intellectus materialis</w:t>
      </w:r>
      <w:r w:rsidR="08453E3A">
        <w:t xml:space="preserve"> (</w:t>
      </w:r>
      <w:r w:rsidR="08AD15D0">
        <w:t xml:space="preserve">OBJ I, </w:t>
      </w:r>
      <w:r w:rsidR="08453E3A">
        <w:t>kap. 2.4.2)</w:t>
      </w:r>
      <w:r w:rsidR="08482098">
        <w:t>.</w:t>
      </w:r>
      <w:r w:rsidR="08EC2490">
        <w:t xml:space="preserve"> Schéma aktualizace poznání není aristotelská syntéza poznatku (akt‒potence), ale platonsk</w:t>
      </w:r>
      <w:r w:rsidR="08582DFF">
        <w:t>ý otisk vyšší inteligibilní f</w:t>
      </w:r>
      <w:r w:rsidR="08EC2490">
        <w:t>o</w:t>
      </w:r>
      <w:r w:rsidR="08582DFF">
        <w:t>r</w:t>
      </w:r>
      <w:r w:rsidR="08EC2490">
        <w:t xml:space="preserve">my do </w:t>
      </w:r>
      <w:r w:rsidR="08582DFF">
        <w:t xml:space="preserve">receptivní </w:t>
      </w:r>
      <w:r w:rsidR="084010FC">
        <w:t xml:space="preserve">složky v duši </w:t>
      </w:r>
      <w:r w:rsidR="08EC2490">
        <w:t>(substance‒akcident).</w:t>
      </w:r>
    </w:p>
    <w:p w14:paraId="771FAD5C" w14:textId="7A2E6019" w:rsidR="002A71AE" w:rsidRPr="00273106" w:rsidRDefault="0041438D" w:rsidP="002A71AE">
      <w:pPr>
        <w:pStyle w:val="Citace"/>
        <w:rPr>
          <w:noProof/>
          <w:lang w:val="cs-CZ"/>
        </w:rPr>
      </w:pPr>
      <w:r>
        <w:rPr>
          <w:noProof/>
          <w:lang w:val="cs-CZ"/>
        </w:rPr>
        <w:t xml:space="preserve">„Činný intelekt abstrahuje </w:t>
      </w:r>
      <w:r w:rsidR="004B4D52" w:rsidRPr="004B4D52">
        <w:rPr>
          <w:noProof/>
          <w:lang w:val="cs-CZ"/>
        </w:rPr>
        <w:t>species</w:t>
      </w:r>
      <w:r w:rsidR="009E10E6">
        <w:rPr>
          <w:noProof/>
          <w:lang w:val="cs-CZ"/>
        </w:rPr>
        <w:t xml:space="preserve"> tím, že zpřítomňuje </w:t>
      </w:r>
      <w:r w:rsidR="002A71AE" w:rsidRPr="00273106">
        <w:rPr>
          <w:noProof/>
          <w:lang w:val="cs-CZ"/>
        </w:rPr>
        <w:t>podobnost</w:t>
      </w:r>
      <w:r w:rsidR="009E10E6">
        <w:rPr>
          <w:noProof/>
          <w:lang w:val="cs-CZ"/>
        </w:rPr>
        <w:t xml:space="preserve"> jejich u</w:t>
      </w:r>
      <w:r w:rsidR="004D25C3">
        <w:rPr>
          <w:noProof/>
          <w:lang w:val="cs-CZ"/>
        </w:rPr>
        <w:t>rčení</w:t>
      </w:r>
      <w:r w:rsidR="088809F3">
        <w:rPr>
          <w:noProof/>
          <w:lang w:val="cs-CZ"/>
        </w:rPr>
        <w:t xml:space="preserve"> daných mimo představivost</w:t>
      </w:r>
      <w:r w:rsidR="00B66E76">
        <w:rPr>
          <w:noProof/>
          <w:lang w:val="cs-CZ"/>
        </w:rPr>
        <w:t xml:space="preserve"> </w:t>
      </w:r>
      <w:r w:rsidR="00804173">
        <w:rPr>
          <w:noProof/>
          <w:lang w:val="cs-CZ"/>
        </w:rPr>
        <w:t>(</w:t>
      </w:r>
      <w:r w:rsidR="00804173" w:rsidRPr="00804173">
        <w:rPr>
          <w:i/>
        </w:rPr>
        <w:t>appropriantibus per eius praesentiam super imaginabile</w:t>
      </w:r>
      <w:r w:rsidR="00804173">
        <w:rPr>
          <w:noProof/>
          <w:lang w:val="cs-CZ"/>
        </w:rPr>
        <w:t>)</w:t>
      </w:r>
      <w:r w:rsidR="002A71AE" w:rsidRPr="00273106">
        <w:rPr>
          <w:noProof/>
          <w:lang w:val="cs-CZ"/>
        </w:rPr>
        <w:t>. Stejně jako vosk, který do sebe nerozlišeně přijímá jakoukoliv formu</w:t>
      </w:r>
      <w:r w:rsidR="00C70874">
        <w:rPr>
          <w:noProof/>
          <w:lang w:val="cs-CZ"/>
        </w:rPr>
        <w:t xml:space="preserve"> skrze pečetidlo</w:t>
      </w:r>
      <w:r>
        <w:rPr>
          <w:noProof/>
          <w:lang w:val="cs-CZ"/>
        </w:rPr>
        <w:t>, tak i možný intelekt je sám z</w:t>
      </w:r>
      <w:r w:rsidR="002A71AE" w:rsidRPr="00273106">
        <w:rPr>
          <w:noProof/>
          <w:lang w:val="cs-CZ"/>
        </w:rPr>
        <w:t>e sebe potencí (</w:t>
      </w:r>
      <w:r w:rsidR="002A71AE" w:rsidRPr="00273106">
        <w:rPr>
          <w:i/>
          <w:noProof/>
          <w:lang w:val="cs-CZ"/>
        </w:rPr>
        <w:t>de se sit possibilis</w:t>
      </w:r>
      <w:r w:rsidR="002A71AE" w:rsidRPr="00273106">
        <w:rPr>
          <w:noProof/>
          <w:lang w:val="cs-CZ"/>
        </w:rPr>
        <w:t xml:space="preserve">), aby byl podobností jakékoliv formy. Skrze přítomnou podobnost formy </w:t>
      </w:r>
      <w:r w:rsidR="00B66E76">
        <w:rPr>
          <w:noProof/>
          <w:lang w:val="cs-CZ"/>
        </w:rPr>
        <w:t xml:space="preserve">v možném intelektu </w:t>
      </w:r>
      <w:r w:rsidR="00240020">
        <w:rPr>
          <w:noProof/>
          <w:lang w:val="cs-CZ"/>
        </w:rPr>
        <w:t xml:space="preserve">vzniká </w:t>
      </w:r>
      <w:r w:rsidR="002A71AE" w:rsidRPr="00273106">
        <w:rPr>
          <w:noProof/>
          <w:lang w:val="cs-CZ"/>
        </w:rPr>
        <w:t>podobnost aktuální formy</w:t>
      </w:r>
      <w:r w:rsidR="085325CB">
        <w:rPr>
          <w:noProof/>
          <w:lang w:val="cs-CZ"/>
        </w:rPr>
        <w:t xml:space="preserve"> </w:t>
      </w:r>
      <w:r w:rsidR="002A71AE" w:rsidRPr="00273106">
        <w:rPr>
          <w:noProof/>
          <w:lang w:val="cs-CZ"/>
        </w:rPr>
        <w:t>skrze</w:t>
      </w:r>
      <w:r w:rsidR="00240020">
        <w:rPr>
          <w:noProof/>
          <w:lang w:val="cs-CZ"/>
        </w:rPr>
        <w:t xml:space="preserve"> přítomnost činného intelektu</w:t>
      </w:r>
      <w:r w:rsidR="0064790B">
        <w:rPr>
          <w:noProof/>
          <w:lang w:val="cs-CZ"/>
        </w:rPr>
        <w:t xml:space="preserve">. Ten </w:t>
      </w:r>
      <w:r w:rsidR="002A71AE" w:rsidRPr="00273106">
        <w:rPr>
          <w:noProof/>
          <w:lang w:val="cs-CZ"/>
        </w:rPr>
        <w:t>manifestuje univerzá</w:t>
      </w:r>
      <w:r w:rsidR="0064790B">
        <w:rPr>
          <w:noProof/>
          <w:lang w:val="cs-CZ"/>
        </w:rPr>
        <w:t xml:space="preserve">lní intence a jejich podobnost </w:t>
      </w:r>
      <w:r w:rsidR="002A71AE" w:rsidRPr="00273106">
        <w:rPr>
          <w:noProof/>
          <w:lang w:val="cs-CZ"/>
        </w:rPr>
        <w:t xml:space="preserve">mimo </w:t>
      </w:r>
      <w:r w:rsidR="00240020">
        <w:rPr>
          <w:noProof/>
          <w:lang w:val="cs-CZ"/>
        </w:rPr>
        <w:t>materiální určení</w:t>
      </w:r>
      <w:r w:rsidR="002A71AE" w:rsidRPr="00273106">
        <w:rPr>
          <w:noProof/>
          <w:lang w:val="cs-CZ"/>
        </w:rPr>
        <w:t xml:space="preserve">.“ </w:t>
      </w:r>
      <w:r w:rsidR="002A71AE" w:rsidRPr="00273106">
        <w:rPr>
          <w:rStyle w:val="Znakapoznpodarou"/>
          <w:noProof/>
          <w:lang w:val="cs-CZ"/>
        </w:rPr>
        <w:footnoteReference w:id="446"/>
      </w:r>
    </w:p>
    <w:p w14:paraId="3E4B0B54" w14:textId="7B575D4F" w:rsidR="00552755" w:rsidRDefault="00C70874" w:rsidP="08F553C7">
      <w:r>
        <w:t>P</w:t>
      </w:r>
      <w:r w:rsidR="002A71AE" w:rsidRPr="00273106">
        <w:t xml:space="preserve">rvní věta ukazuje zcela automnomní </w:t>
      </w:r>
      <w:r w:rsidR="002A71AE"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49426B" w:rsidRPr="0049426B">
        <w:instrText>Rufus</w:instrText>
      </w:r>
      <w:r w:rsidR="00DF1F0F">
        <w:instrText xml:space="preserve">" </w:instrText>
      </w:r>
      <w:r w:rsidR="00DF1F0F">
        <w:rPr>
          <w:i/>
        </w:rPr>
        <w:fldChar w:fldCharType="end"/>
      </w:r>
      <w:r w:rsidR="002A71AE" w:rsidRPr="00273106">
        <w:t>, který prov</w:t>
      </w:r>
      <w:r w:rsidR="00763892">
        <w:t xml:space="preserve">ádí abstrakci inteligibilních </w:t>
      </w:r>
      <w:r w:rsidR="004B4D52" w:rsidRPr="004B4D52">
        <w:t>species</w:t>
      </w:r>
      <w:r w:rsidR="002A71AE" w:rsidRPr="00273106">
        <w:t xml:space="preserve"> tím</w:t>
      </w:r>
      <w:r w:rsidR="00763892">
        <w:t xml:space="preserve">, že zpřítomňuje </w:t>
      </w:r>
      <w:r w:rsidR="004B4D52" w:rsidRPr="004B4D52">
        <w:t>species</w:t>
      </w:r>
      <w:r w:rsidR="00763892" w:rsidRPr="00763892">
        <w:rPr>
          <w:i/>
        </w:rPr>
        <w:t xml:space="preserve"> </w:t>
      </w:r>
      <w:r w:rsidR="00763892">
        <w:t>již daná</w:t>
      </w:r>
      <w:r w:rsidR="002A71AE" w:rsidRPr="00273106">
        <w:t xml:space="preserve"> ve věcech a ve smyslových představách (</w:t>
      </w:r>
      <w:r w:rsidR="002A71AE" w:rsidRPr="00273106">
        <w:rPr>
          <w:i/>
        </w:rPr>
        <w:t>per eius praesentiam super imaginabile</w:t>
      </w:r>
      <w:r w:rsidR="002A71AE" w:rsidRPr="00273106">
        <w:t xml:space="preserve">). </w:t>
      </w:r>
      <w:r>
        <w:t xml:space="preserve">Tento </w:t>
      </w:r>
      <w:r w:rsidR="004F3DEF">
        <w:t xml:space="preserve">kosmický </w:t>
      </w:r>
      <w:r w:rsidRPr="00C70874">
        <w:rPr>
          <w:i/>
        </w:rPr>
        <w:t xml:space="preserve">intellectus agens </w:t>
      </w:r>
      <w:r w:rsidR="004F3DEF">
        <w:t xml:space="preserve">není </w:t>
      </w:r>
      <w:r>
        <w:t>individualizovaný</w:t>
      </w:r>
      <w:r w:rsidR="00387043">
        <w:t>, pro</w:t>
      </w:r>
      <w:r w:rsidR="004F3DEF">
        <w:t>t</w:t>
      </w:r>
      <w:r w:rsidR="00387043">
        <w:t>ože ho sdíl</w:t>
      </w:r>
      <w:r w:rsidR="004F3DEF">
        <w:t>ím</w:t>
      </w:r>
      <w:r w:rsidR="00387043">
        <w:t>e ve form</w:t>
      </w:r>
      <w:r w:rsidR="004F3DEF">
        <w:t>ě</w:t>
      </w:r>
      <w:r w:rsidR="00387043">
        <w:t xml:space="preserve"> neoplatonské participace nebo Avicennova </w:t>
      </w:r>
      <w:r w:rsidR="082453D7">
        <w:rPr>
          <w:i/>
        </w:rPr>
        <w:t>coniunctio</w:t>
      </w:r>
      <w:r>
        <w:t xml:space="preserve">. </w:t>
      </w:r>
      <w:r w:rsidR="0035704E" w:rsidRPr="00273106">
        <w:t>Osvícený činný intelekt náhledem do prvních forem a princ</w:t>
      </w:r>
      <w:r w:rsidR="006778D5">
        <w:t xml:space="preserve">ipů poznání (viz Grossetesteho </w:t>
      </w:r>
      <w:r w:rsidR="0035704E" w:rsidRPr="00273106">
        <w:rPr>
          <w:i/>
        </w:rPr>
        <w:t>exemplar</w:t>
      </w:r>
      <w:r w:rsidR="00B7167E">
        <w:rPr>
          <w:i/>
        </w:rPr>
        <w:fldChar w:fldCharType="begin"/>
      </w:r>
      <w:r w:rsidR="00B7167E">
        <w:instrText xml:space="preserve"> XE "</w:instrText>
      </w:r>
      <w:r w:rsidR="00B7167E" w:rsidRPr="0049426B">
        <w:instrText>exemplar</w:instrText>
      </w:r>
      <w:r w:rsidR="00B7167E">
        <w:instrText xml:space="preserve">" </w:instrText>
      </w:r>
      <w:r w:rsidR="00B7167E">
        <w:rPr>
          <w:i/>
        </w:rPr>
        <w:fldChar w:fldCharType="end"/>
      </w:r>
      <w:r w:rsidR="006778D5">
        <w:t xml:space="preserve"> a Rufusovo </w:t>
      </w:r>
      <w:r w:rsidR="0035704E" w:rsidRPr="00273106">
        <w:rPr>
          <w:i/>
        </w:rPr>
        <w:t>scibile</w:t>
      </w:r>
      <w:r w:rsidR="0035704E" w:rsidRPr="00273106">
        <w:t xml:space="preserve">) vtiskuje na způsob </w:t>
      </w:r>
      <w:r w:rsidR="00763892">
        <w:t>p</w:t>
      </w:r>
      <w:r w:rsidR="008E02F5">
        <w:t>laton</w:t>
      </w:r>
      <w:r w:rsidR="00763892">
        <w:t>ského pečetidla denudovaná</w:t>
      </w:r>
      <w:r w:rsidR="0035704E" w:rsidRPr="00273106">
        <w:t xml:space="preserve"> </w:t>
      </w:r>
      <w:r w:rsidR="004B4D52" w:rsidRPr="004B4D52">
        <w:t>species</w:t>
      </w:r>
      <w:r w:rsidR="0035704E" w:rsidRPr="00273106">
        <w:rPr>
          <w:i/>
        </w:rPr>
        <w:t xml:space="preserve"> intelligibilis</w:t>
      </w:r>
      <w:r w:rsidR="008061D5">
        <w:rPr>
          <w:i/>
        </w:rPr>
        <w:fldChar w:fldCharType="begin"/>
      </w:r>
      <w:r w:rsidR="008061D5">
        <w:instrText xml:space="preserve"> XE "</w:instrText>
      </w:r>
      <w:r w:rsidR="008061D5" w:rsidRPr="00DD403C">
        <w:rPr>
          <w:i/>
        </w:rPr>
        <w:instrText>species intelligibilis:</w:instrText>
      </w:r>
      <w:r w:rsidR="0049426B">
        <w:instrText>Rufus</w:instrText>
      </w:r>
      <w:r w:rsidR="008061D5">
        <w:instrText xml:space="preserve">" </w:instrText>
      </w:r>
      <w:r w:rsidR="008061D5">
        <w:rPr>
          <w:i/>
        </w:rPr>
        <w:fldChar w:fldCharType="end"/>
      </w:r>
      <w:r w:rsidR="0035704E" w:rsidRPr="00273106">
        <w:t xml:space="preserve"> do </w:t>
      </w:r>
      <w:r w:rsidR="08EC2490">
        <w:t xml:space="preserve">receptivně </w:t>
      </w:r>
      <w:r w:rsidR="0035704E" w:rsidRPr="00273106">
        <w:t>poznávající složky duše</w:t>
      </w:r>
      <w:r w:rsidR="08482098">
        <w:t xml:space="preserve"> dané jako </w:t>
      </w:r>
      <w:r w:rsidR="08482098" w:rsidRPr="08482098">
        <w:rPr>
          <w:i/>
        </w:rPr>
        <w:t>intellectus</w:t>
      </w:r>
      <w:r w:rsidR="08894415">
        <w:rPr>
          <w:i/>
        </w:rPr>
        <w:t xml:space="preserve"> materialis</w:t>
      </w:r>
      <w:r w:rsidR="0035704E" w:rsidRPr="00273106">
        <w:t xml:space="preserve">. </w:t>
      </w:r>
      <w:r w:rsidR="0035704E">
        <w:t xml:space="preserve">Citovaný proces otisku formy do vosku </w:t>
      </w:r>
      <w:r>
        <w:t xml:space="preserve">může dělat i oddělený </w:t>
      </w:r>
      <w:r w:rsidRPr="00C70874">
        <w:rPr>
          <w:i/>
        </w:rPr>
        <w:t xml:space="preserve">intellectus agens </w:t>
      </w:r>
      <w:r>
        <w:t xml:space="preserve">jako </w:t>
      </w:r>
      <w:r w:rsidR="0035704E">
        <w:t xml:space="preserve">aktivní </w:t>
      </w:r>
      <w:r>
        <w:t>forma</w:t>
      </w:r>
      <w:r w:rsidR="08906A8A">
        <w:t>. N</w:t>
      </w:r>
      <w:r>
        <w:t xml:space="preserve">umericky jednotný a oddělený </w:t>
      </w:r>
      <w:r>
        <w:rPr>
          <w:i/>
        </w:rPr>
        <w:t>intel</w:t>
      </w:r>
      <w:r w:rsidRPr="00C70874">
        <w:rPr>
          <w:i/>
        </w:rPr>
        <w:t>l</w:t>
      </w:r>
      <w:r>
        <w:rPr>
          <w:i/>
        </w:rPr>
        <w:t>e</w:t>
      </w:r>
      <w:r w:rsidRPr="00C70874">
        <w:rPr>
          <w:i/>
        </w:rPr>
        <w:t>ctus possibi</w:t>
      </w:r>
      <w:r>
        <w:rPr>
          <w:i/>
        </w:rPr>
        <w:t>lis</w:t>
      </w:r>
      <w:r w:rsidR="009D323B">
        <w:rPr>
          <w:i/>
        </w:rPr>
        <w:fldChar w:fldCharType="begin"/>
      </w:r>
      <w:r w:rsidR="009D323B">
        <w:instrText xml:space="preserve"> XE "</w:instrText>
      </w:r>
      <w:r w:rsidR="009D323B" w:rsidRPr="00770D02">
        <w:rPr>
          <w:i/>
        </w:rPr>
        <w:instrText>intellectus possibilis</w:instrText>
      </w:r>
      <w:r w:rsidR="0049426B">
        <w:instrText>:Rufus</w:instrText>
      </w:r>
      <w:r w:rsidR="009D323B">
        <w:instrText xml:space="preserve">" </w:instrText>
      </w:r>
      <w:r w:rsidR="009D323B">
        <w:rPr>
          <w:i/>
        </w:rPr>
        <w:fldChar w:fldCharType="end"/>
      </w:r>
      <w:r w:rsidR="08906A8A">
        <w:t xml:space="preserve"> </w:t>
      </w:r>
      <w:r>
        <w:t xml:space="preserve"> může </w:t>
      </w:r>
      <w:r w:rsidR="0035704E">
        <w:t xml:space="preserve">pasivně </w:t>
      </w:r>
      <w:r>
        <w:t>přijmout</w:t>
      </w:r>
      <w:r w:rsidR="08906A8A">
        <w:t xml:space="preserve"> tuto oddělenou formu vtištěnou do duše skrze oddělený kosmický </w:t>
      </w:r>
      <w:r w:rsidR="08906A8A">
        <w:rPr>
          <w:i/>
        </w:rPr>
        <w:t>intellectus agens</w:t>
      </w:r>
      <w:r>
        <w:t>.</w:t>
      </w:r>
      <w:r w:rsidR="0035704E">
        <w:t xml:space="preserve"> </w:t>
      </w:r>
      <w:r w:rsidR="002A71AE" w:rsidRPr="00273106">
        <w:t xml:space="preserve">Další věta konstatuje, že </w:t>
      </w:r>
      <w:r w:rsidR="002A71AE" w:rsidRPr="00273106">
        <w:rPr>
          <w:i/>
        </w:rPr>
        <w:t>intellectus possibilis</w:t>
      </w:r>
      <w:r w:rsidR="001C5A9C">
        <w:t xml:space="preserve"> má tuto schopnost recepce sám ze sebe</w:t>
      </w:r>
      <w:r w:rsidR="0035704E">
        <w:t xml:space="preserve"> (</w:t>
      </w:r>
      <w:r w:rsidR="0035704E" w:rsidRPr="0035704E">
        <w:rPr>
          <w:i/>
        </w:rPr>
        <w:t>de se</w:t>
      </w:r>
      <w:r w:rsidR="0035704E">
        <w:t>)</w:t>
      </w:r>
      <w:r w:rsidR="002A71AE" w:rsidRPr="00273106">
        <w:t xml:space="preserve">. </w:t>
      </w:r>
      <w:r w:rsidR="08DA1EC3">
        <w:t>R</w:t>
      </w:r>
      <w:r w:rsidR="00203A2B">
        <w:t>ece</w:t>
      </w:r>
      <w:r w:rsidR="00D22199">
        <w:t xml:space="preserve">ptivní intelekt </w:t>
      </w:r>
      <w:r w:rsidR="08DA1EC3">
        <w:t>fungu</w:t>
      </w:r>
      <w:r w:rsidR="00D22199">
        <w:t xml:space="preserve">je </w:t>
      </w:r>
      <w:r w:rsidR="08DA1EC3">
        <w:t xml:space="preserve">jako </w:t>
      </w:r>
      <w:r w:rsidR="00D22199">
        <w:t>hypostázovaná</w:t>
      </w:r>
      <w:r w:rsidR="00203A2B">
        <w:t xml:space="preserve"> </w:t>
      </w:r>
      <w:r w:rsidR="004B4D52" w:rsidRPr="004B4D52">
        <w:t>species</w:t>
      </w:r>
      <w:r w:rsidR="08DA1EC3">
        <w:t xml:space="preserve"> n</w:t>
      </w:r>
      <w:r w:rsidR="08227F35">
        <w:t>a způsob Dina</w:t>
      </w:r>
      <w:r w:rsidR="080F6A6C">
        <w:t>n</w:t>
      </w:r>
      <w:r w:rsidR="08227F35">
        <w:t xml:space="preserve">tova kosmického receptivního intelektu </w:t>
      </w:r>
      <w:r w:rsidR="08DA1EC3">
        <w:t xml:space="preserve">v modu </w:t>
      </w:r>
      <w:r w:rsidR="08227F35">
        <w:t xml:space="preserve">univerzální </w:t>
      </w:r>
      <w:r w:rsidR="08227F35" w:rsidRPr="08227F35">
        <w:rPr>
          <w:i/>
        </w:rPr>
        <w:t>materia prima</w:t>
      </w:r>
      <w:r w:rsidR="08227F35">
        <w:t xml:space="preserve">. </w:t>
      </w:r>
      <w:r w:rsidR="002A71AE" w:rsidRPr="00273106">
        <w:t xml:space="preserve">Citát zdůrazňuje, že </w:t>
      </w:r>
      <w:r w:rsidR="00203A2B">
        <w:t>manifestaci intendovaných</w:t>
      </w:r>
      <w:r w:rsidR="00203A2B" w:rsidRPr="00273106">
        <w:t xml:space="preserve"> </w:t>
      </w:r>
      <w:r w:rsidR="00203A2B">
        <w:t xml:space="preserve">univerzálií </w:t>
      </w:r>
      <w:r w:rsidR="00203A2B" w:rsidRPr="00273106">
        <w:t>(</w:t>
      </w:r>
      <w:r w:rsidR="00203A2B" w:rsidRPr="00273106">
        <w:rPr>
          <w:i/>
        </w:rPr>
        <w:t>intentiones universalium</w:t>
      </w:r>
      <w:r w:rsidR="00203A2B">
        <w:t xml:space="preserve">) zařizuje pouze </w:t>
      </w:r>
      <w:r w:rsidR="002A71AE" w:rsidRPr="00273106">
        <w:rPr>
          <w:i/>
        </w:rPr>
        <w:t>intellectus agens</w:t>
      </w:r>
      <w:r w:rsidR="007227C3" w:rsidRPr="00273106">
        <w:t xml:space="preserve"> (</w:t>
      </w:r>
      <w:r w:rsidR="007227C3" w:rsidRPr="00273106">
        <w:rPr>
          <w:i/>
        </w:rPr>
        <w:t>per praesentiam intellectus agentis</w:t>
      </w:r>
      <w:r w:rsidR="007227C3" w:rsidRPr="00273106">
        <w:t>)</w:t>
      </w:r>
      <w:r w:rsidR="00B43119">
        <w:t xml:space="preserve">. Tento aktuální a substanční intelekt </w:t>
      </w:r>
      <w:r w:rsidR="007227C3">
        <w:t xml:space="preserve"> </w:t>
      </w:r>
      <w:r w:rsidR="002A71AE" w:rsidRPr="00273106">
        <w:t xml:space="preserve">aktivně vytváří podobu univerzálií </w:t>
      </w:r>
      <w:r w:rsidR="007227C3">
        <w:t>v receptivním intelektu</w:t>
      </w:r>
      <w:r w:rsidR="00B43119">
        <w:t xml:space="preserve"> otiskem formy do spirituální materie</w:t>
      </w:r>
      <w:r w:rsidR="002A71AE" w:rsidRPr="00273106">
        <w:t xml:space="preserve">. </w:t>
      </w:r>
      <w:r w:rsidR="004804E0">
        <w:t xml:space="preserve">Stejné schéma poznání a </w:t>
      </w:r>
      <w:r w:rsidR="004804E0" w:rsidRPr="00273106">
        <w:t>přir</w:t>
      </w:r>
      <w:r w:rsidR="004804E0">
        <w:t xml:space="preserve">ovnání vosku a pečetidla </w:t>
      </w:r>
      <w:r w:rsidR="004804E0" w:rsidRPr="00273106">
        <w:t xml:space="preserve">obsahuje Descartova klíčová </w:t>
      </w:r>
      <w:r w:rsidR="004804E0" w:rsidRPr="00273106">
        <w:rPr>
          <w:i/>
        </w:rPr>
        <w:t>Regula XII</w:t>
      </w:r>
      <w:r w:rsidR="00D22199">
        <w:t xml:space="preserve"> zakládající schéma evidentního vědeckého poznání a metodologie</w:t>
      </w:r>
      <w:r w:rsidR="004804E0" w:rsidRPr="00273106">
        <w:t>.</w:t>
      </w:r>
      <w:r w:rsidR="004804E0" w:rsidRPr="00273106">
        <w:rPr>
          <w:rStyle w:val="Znakapoznpodarou"/>
        </w:rPr>
        <w:footnoteReference w:id="447"/>
      </w:r>
      <w:r w:rsidR="004804E0" w:rsidRPr="00273106">
        <w:t xml:space="preserve"> </w:t>
      </w:r>
      <w:r w:rsidR="00C648CC">
        <w:t xml:space="preserve">Poznání </w:t>
      </w:r>
      <w:r w:rsidR="00B738BF">
        <w:t xml:space="preserve">v moderně </w:t>
      </w:r>
      <w:r w:rsidR="0056709E">
        <w:t xml:space="preserve">a postmoderně </w:t>
      </w:r>
      <w:r w:rsidR="002A71AE" w:rsidRPr="00273106">
        <w:t xml:space="preserve">znamená </w:t>
      </w:r>
      <w:r w:rsidR="00C648CC">
        <w:t>zrcadlení univoční</w:t>
      </w:r>
      <w:r w:rsidR="006A6D36">
        <w:t>ch</w:t>
      </w:r>
      <w:r w:rsidR="00C648CC">
        <w:t xml:space="preserve"> </w:t>
      </w:r>
      <w:r w:rsidR="004B4D52" w:rsidRPr="004B4D52">
        <w:t>species</w:t>
      </w:r>
      <w:r w:rsidR="00C648CC">
        <w:t xml:space="preserve"> v </w:t>
      </w:r>
      <w:r w:rsidR="00CF7B84">
        <w:t xml:space="preserve">činném </w:t>
      </w:r>
      <w:r w:rsidR="00C648CC">
        <w:t>intelek</w:t>
      </w:r>
      <w:r w:rsidR="006A6D36">
        <w:t>tu, který denuduje hypostázovaná</w:t>
      </w:r>
      <w:r w:rsidR="00C648CC">
        <w:t xml:space="preserve"> </w:t>
      </w:r>
      <w:r w:rsidR="004B4D52" w:rsidRPr="004B4D52">
        <w:t>species</w:t>
      </w:r>
      <w:r w:rsidR="00C648CC">
        <w:t xml:space="preserve"> třetího druhu  buď z věci nebo z kosmické </w:t>
      </w:r>
      <w:r w:rsidR="00F41AF8">
        <w:t xml:space="preserve">či matematické </w:t>
      </w:r>
      <w:r w:rsidR="00C648CC">
        <w:t>formy</w:t>
      </w:r>
      <w:r w:rsidR="080F6A6C">
        <w:t xml:space="preserve">. </w:t>
      </w:r>
      <w:r w:rsidR="007D6679">
        <w:t xml:space="preserve">Tyto druhy hypostázovaných </w:t>
      </w:r>
      <w:r w:rsidR="007D6679" w:rsidRPr="007D6679">
        <w:t>poznávací</w:t>
      </w:r>
      <w:r w:rsidR="007D6679">
        <w:t>ch</w:t>
      </w:r>
      <w:r w:rsidR="007D6679" w:rsidRPr="007D6679">
        <w:t xml:space="preserve"> for</w:t>
      </w:r>
      <w:r w:rsidR="007D6679">
        <w:t>em</w:t>
      </w:r>
      <w:r w:rsidR="007D6679" w:rsidRPr="007D6679">
        <w:t xml:space="preserve"> se otiskují do receptivní složky duše, která se stala </w:t>
      </w:r>
      <w:r w:rsidR="007D6679">
        <w:t>spirituální a hypostázovanou materií</w:t>
      </w:r>
      <w:r w:rsidR="007D6679" w:rsidRPr="007D6679">
        <w:t>.</w:t>
      </w:r>
      <w:r w:rsidR="007D6679">
        <w:t xml:space="preserve"> </w:t>
      </w:r>
      <w:r w:rsidR="001C5A9C">
        <w:t>Rufus jako první modernista dělí duši na dvě samostatné substance.</w:t>
      </w:r>
      <w:r w:rsidR="001C5A9C" w:rsidRPr="00C85F09">
        <w:t xml:space="preserve"> </w:t>
      </w:r>
      <w:r w:rsidR="001C5A9C" w:rsidRPr="00273106">
        <w:t>Nasvícení smyslu jsoucího jde zezadu</w:t>
      </w:r>
      <w:r w:rsidR="001C5A9C">
        <w:t xml:space="preserve"> </w:t>
      </w:r>
      <w:r w:rsidR="001C5A9C" w:rsidRPr="00273106">
        <w:t xml:space="preserve">skrze </w:t>
      </w:r>
      <w:r w:rsidR="001C5A9C" w:rsidRPr="00273106">
        <w:rPr>
          <w:i/>
        </w:rPr>
        <w:t xml:space="preserve">intellectus agens </w:t>
      </w:r>
      <w:r w:rsidR="001C5A9C" w:rsidRPr="00273106">
        <w:t xml:space="preserve">a role </w:t>
      </w:r>
      <w:r w:rsidR="001C5A9C" w:rsidRPr="00273106">
        <w:rPr>
          <w:i/>
        </w:rPr>
        <w:t>intellectus possibilis</w:t>
      </w:r>
      <w:r w:rsidR="001C5A9C" w:rsidRPr="00273106">
        <w:t xml:space="preserve"> je úplně minimá</w:t>
      </w:r>
      <w:r w:rsidR="00255A18">
        <w:t xml:space="preserve">lní. Receptivní intelekt se chápe </w:t>
      </w:r>
      <w:r w:rsidR="001C5A9C">
        <w:t xml:space="preserve">jako spirituální materie třetího druhu, která do sebe přijme otisky </w:t>
      </w:r>
      <w:r w:rsidR="00B54402">
        <w:t>hypostázovaných</w:t>
      </w:r>
      <w:r w:rsidR="001C5A9C">
        <w:t xml:space="preserve"> </w:t>
      </w:r>
      <w:r w:rsidR="004B4D52" w:rsidRPr="004B4D52">
        <w:t>species</w:t>
      </w:r>
      <w:r w:rsidR="00B54402">
        <w:t xml:space="preserve"> nahlížených či produkovaných</w:t>
      </w:r>
      <w:r w:rsidR="001C5A9C">
        <w:t xml:space="preserve"> skrze </w:t>
      </w:r>
      <w:r w:rsidR="001C5A9C" w:rsidRPr="001C5A9C">
        <w:rPr>
          <w:i/>
        </w:rPr>
        <w:t>intellectus agens</w:t>
      </w:r>
      <w:r w:rsidR="001C5A9C">
        <w:t xml:space="preserve">. </w:t>
      </w:r>
      <w:r w:rsidR="002A71AE" w:rsidRPr="00273106">
        <w:t xml:space="preserve">Tím padl vztah pravdy jako adekvace </w:t>
      </w:r>
      <w:r w:rsidR="001C5A9C">
        <w:t xml:space="preserve">intelektu </w:t>
      </w:r>
      <w:r w:rsidR="002A71AE" w:rsidRPr="00273106">
        <w:t>k věci (</w:t>
      </w:r>
      <w:r w:rsidR="002E3B62">
        <w:t>Averroes</w:t>
      </w:r>
      <w:r w:rsidR="002A71AE" w:rsidRPr="00273106">
        <w:t xml:space="preserve">ovo </w:t>
      </w:r>
      <w:r w:rsidR="002A71AE" w:rsidRPr="00273106">
        <w:rPr>
          <w:i/>
        </w:rPr>
        <w:t>proportio</w:t>
      </w:r>
      <w:r w:rsidR="004A4A42">
        <w:rPr>
          <w:i/>
        </w:rPr>
        <w:fldChar w:fldCharType="begin"/>
      </w:r>
      <w:r w:rsidR="004A4A42">
        <w:instrText xml:space="preserve"> XE "pravda:</w:instrText>
      </w:r>
      <w:r w:rsidR="004A4A42" w:rsidRPr="005A1E53">
        <w:rPr>
          <w:i/>
        </w:rPr>
        <w:instrText>proportio</w:instrText>
      </w:r>
      <w:r w:rsidR="004A4A42">
        <w:instrText xml:space="preserve">" </w:instrText>
      </w:r>
      <w:r w:rsidR="004A4A42">
        <w:rPr>
          <w:i/>
        </w:rPr>
        <w:fldChar w:fldCharType="end"/>
      </w:r>
      <w:r w:rsidR="002A71AE" w:rsidRPr="00273106">
        <w:rPr>
          <w:i/>
        </w:rPr>
        <w:t>, consimilitudo</w:t>
      </w:r>
      <w:r w:rsidR="08A22E81">
        <w:t>). Rufus</w:t>
      </w:r>
      <w:r w:rsidR="00C87151">
        <w:t xml:space="preserve"> má </w:t>
      </w:r>
      <w:r w:rsidR="002A71AE" w:rsidRPr="00273106">
        <w:t xml:space="preserve">pouze </w:t>
      </w:r>
      <w:r w:rsidR="00984E7F">
        <w:t xml:space="preserve">mytologickou </w:t>
      </w:r>
      <w:r w:rsidR="00C87151">
        <w:t>shodu</w:t>
      </w:r>
      <w:r w:rsidR="00F42643">
        <w:t xml:space="preserve"> </w:t>
      </w:r>
      <w:r w:rsidR="002A71AE" w:rsidRPr="00273106">
        <w:t>exte</w:t>
      </w:r>
      <w:r w:rsidR="00F42643">
        <w:t>rní</w:t>
      </w:r>
      <w:r w:rsidR="08A22E81">
        <w:t>ho</w:t>
      </w:r>
      <w:r w:rsidR="00F42643">
        <w:t xml:space="preserve"> a interní</w:t>
      </w:r>
      <w:r w:rsidR="08A22E81">
        <w:t>ho</w:t>
      </w:r>
      <w:r w:rsidR="00F42643">
        <w:t xml:space="preserve"> </w:t>
      </w:r>
      <w:r w:rsidR="00F42643" w:rsidRPr="00F42643">
        <w:rPr>
          <w:i/>
        </w:rPr>
        <w:t>scibile</w:t>
      </w:r>
      <w:r w:rsidR="00F42643">
        <w:t xml:space="preserve"> definovaného jako substance či </w:t>
      </w:r>
      <w:r w:rsidR="004B4D52" w:rsidRPr="004B4D52">
        <w:t>species</w:t>
      </w:r>
      <w:r w:rsidR="00F42643">
        <w:t xml:space="preserve"> třetího druhu </w:t>
      </w:r>
      <w:r w:rsidR="002A71AE" w:rsidRPr="00273106">
        <w:t xml:space="preserve"> (Anselmovo </w:t>
      </w:r>
      <w:r w:rsidR="002A71AE" w:rsidRPr="00273106">
        <w:rPr>
          <w:i/>
        </w:rPr>
        <w:t>rectitudo,</w:t>
      </w:r>
      <w:r w:rsidR="002A71AE" w:rsidRPr="00273106">
        <w:t xml:space="preserve"> Rufusovo </w:t>
      </w:r>
      <w:r w:rsidR="002A71AE" w:rsidRPr="00273106">
        <w:rPr>
          <w:i/>
        </w:rPr>
        <w:t>coaequatio</w:t>
      </w:r>
      <w:r w:rsidR="00433872">
        <w:rPr>
          <w:i/>
        </w:rPr>
        <w:fldChar w:fldCharType="begin"/>
      </w:r>
      <w:r w:rsidR="00433872">
        <w:instrText xml:space="preserve"> XE "</w:instrText>
      </w:r>
      <w:r w:rsidR="004A4A42">
        <w:instrText>pravda:</w:instrText>
      </w:r>
      <w:r w:rsidR="00433872" w:rsidRPr="00E11E1F">
        <w:rPr>
          <w:i/>
        </w:rPr>
        <w:instrText>coaequatio</w:instrText>
      </w:r>
      <w:r w:rsidR="00433872">
        <w:instrText xml:space="preserve">" </w:instrText>
      </w:r>
      <w:r w:rsidR="00433872">
        <w:rPr>
          <w:i/>
        </w:rPr>
        <w:fldChar w:fldCharType="end"/>
      </w:r>
      <w:r w:rsidR="006A6D36">
        <w:t>)</w:t>
      </w:r>
      <w:r w:rsidR="002A71AE" w:rsidRPr="00273106">
        <w:t xml:space="preserve">. </w:t>
      </w:r>
      <w:r w:rsidR="08A2280B">
        <w:t xml:space="preserve">Avicennista Rufus vyznávající moderní teorii pravdy nemůže převzít scénář CMDA postavený na pravdě jako adekvaci. Ale aristotelský </w:t>
      </w:r>
      <w:r w:rsidR="004D618B">
        <w:t xml:space="preserve">výklad </w:t>
      </w:r>
      <w:r w:rsidR="08A2280B" w:rsidRPr="00BB0B1F">
        <w:rPr>
          <w:i/>
        </w:rPr>
        <w:t>De anima</w:t>
      </w:r>
      <w:r w:rsidR="08A2280B">
        <w:t xml:space="preserve"> musel v hrubých rysech musel znát minimálně z Grossetesteho přednášek na Oxfordu. Bacon jasně konstatoval, že za doby jeho studií </w:t>
      </w:r>
      <w:r w:rsidR="089E14ED">
        <w:t xml:space="preserve">v Oxfordu neexistoval </w:t>
      </w:r>
      <w:r w:rsidR="08A2280B">
        <w:t>dualismus substancí v člověku, což byla jistě zásluha Grossetesteho (ka</w:t>
      </w:r>
      <w:r w:rsidR="08DE6CFE">
        <w:t>p. 3</w:t>
      </w:r>
      <w:r w:rsidR="08A2280B">
        <w:t>.2). Rufus vytvořil intelekt jako substanci v modu univerzálního hylemorfismu</w:t>
      </w:r>
      <w:r w:rsidR="086454E0">
        <w:fldChar w:fldCharType="begin"/>
      </w:r>
      <w:r w:rsidR="086454E0">
        <w:instrText xml:space="preserve"> XE "</w:instrText>
      </w:r>
      <w:r w:rsidR="086454E0" w:rsidRPr="00423560">
        <w:instrText>univerzální hylemorfismus</w:instrText>
      </w:r>
      <w:r w:rsidR="086454E0">
        <w:instrText xml:space="preserve">" </w:instrText>
      </w:r>
      <w:r w:rsidR="086454E0">
        <w:fldChar w:fldCharType="end"/>
      </w:r>
      <w:r w:rsidR="086454E0">
        <w:t xml:space="preserve"> Davida z Dinantu </w:t>
      </w:r>
      <w:r w:rsidR="08A2280B">
        <w:t xml:space="preserve">a zahájil éru karteziánského </w:t>
      </w:r>
      <w:r w:rsidR="00552755">
        <w:t>dualismu.</w:t>
      </w:r>
    </w:p>
    <w:p w14:paraId="154A9AAF" w14:textId="5FFE5BA6" w:rsidR="08F553C7" w:rsidRPr="00273106" w:rsidRDefault="08A2280B" w:rsidP="00552755">
      <w:pPr>
        <w:ind w:firstLine="397"/>
      </w:pPr>
      <w:r>
        <w:t xml:space="preserve">Definice </w:t>
      </w:r>
      <w:r w:rsidRPr="00273106">
        <w:t>intelektuálního poznání rozdělil</w:t>
      </w:r>
      <w:r>
        <w:t>a</w:t>
      </w:r>
      <w:r w:rsidRPr="00273106">
        <w:t xml:space="preserve"> duši na dvě složky</w:t>
      </w:r>
      <w:r>
        <w:t xml:space="preserve">, ale úplně jinak, než měl aristotelský spis </w:t>
      </w:r>
      <w:r w:rsidRPr="00EF2619">
        <w:rPr>
          <w:i/>
        </w:rPr>
        <w:t>De anima</w:t>
      </w:r>
      <w:r>
        <w:t xml:space="preserve"> komentovaný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t xml:space="preserve"> podle výkladu Sicilské školy</w:t>
      </w:r>
      <w:r>
        <w:fldChar w:fldCharType="begin"/>
      </w:r>
      <w:r>
        <w:instrText xml:space="preserve"> XE "Sicilská škola" </w:instrText>
      </w:r>
      <w:r>
        <w:fldChar w:fldCharType="end"/>
      </w:r>
      <w:r>
        <w:t xml:space="preserve"> a CMDA. </w:t>
      </w:r>
      <w:r w:rsidR="0826693A">
        <w:t xml:space="preserve">Poznání není aktualizováno od reálné věci vnímané smyslově, ale od kosmického </w:t>
      </w:r>
      <w:r w:rsidR="0826693A" w:rsidRPr="0826693A">
        <w:rPr>
          <w:i/>
        </w:rPr>
        <w:t>intellectus agens</w:t>
      </w:r>
      <w:r w:rsidR="0826693A">
        <w:t xml:space="preserve"> a od </w:t>
      </w:r>
      <w:r w:rsidR="004B4D52" w:rsidRPr="004B4D52">
        <w:t>species</w:t>
      </w:r>
      <w:r w:rsidR="0826693A">
        <w:t xml:space="preserve"> třetího druhu. Nasvícení jsoucna jde zezadu</w:t>
      </w:r>
      <w:r w:rsidR="08FA61E7">
        <w:t>,</w:t>
      </w:r>
      <w:r w:rsidR="0826693A">
        <w:t xml:space="preserve"> a proto je schéma poznání dáno přesně opačně než v prvním </w:t>
      </w:r>
      <w:r w:rsidR="08FA61E7">
        <w:t>averro</w:t>
      </w:r>
      <w:r w:rsidR="0826693A">
        <w:t>i</w:t>
      </w:r>
      <w:r w:rsidR="08FA61E7">
        <w:t>s</w:t>
      </w:r>
      <w:r w:rsidR="0826693A">
        <w:t xml:space="preserve">mu. </w:t>
      </w:r>
      <w:r w:rsidR="08F553C7" w:rsidRPr="00273106">
        <w:t xml:space="preserve">Materiální složka má intelektuální poznání pouze v potenci a formální složka drží toto poznání aktuálně. </w:t>
      </w:r>
    </w:p>
    <w:p w14:paraId="6A1CF394" w14:textId="77777777" w:rsidR="08F553C7" w:rsidRPr="00273106" w:rsidRDefault="08F553C7" w:rsidP="08F553C7">
      <w:pPr>
        <w:pStyle w:val="Citace"/>
        <w:rPr>
          <w:noProof/>
          <w:lang w:val="cs-CZ"/>
        </w:rPr>
      </w:pPr>
      <w:r w:rsidRPr="00273106">
        <w:rPr>
          <w:noProof/>
          <w:lang w:val="cs-CZ"/>
        </w:rPr>
        <w:t xml:space="preserve">„Co je ve stvořené duši materiální, to je možný intelekt; co je v ní formální, to je činný intelekt.“ </w:t>
      </w:r>
      <w:r w:rsidRPr="00273106">
        <w:rPr>
          <w:rStyle w:val="Znakapoznpodarou"/>
          <w:noProof/>
          <w:lang w:val="cs-CZ"/>
        </w:rPr>
        <w:footnoteReference w:id="448"/>
      </w:r>
    </w:p>
    <w:p w14:paraId="6191BE3E" w14:textId="193B6C49" w:rsidR="007A321B" w:rsidRDefault="08E84BA1" w:rsidP="002A71AE">
      <w:r>
        <w:t xml:space="preserve">Materiální intelekt je u Rufuse stejně jako u Davida z Dinantu </w:t>
      </w:r>
      <w:r w:rsidR="0057084A">
        <w:t xml:space="preserve">objektivně </w:t>
      </w:r>
      <w:r>
        <w:t xml:space="preserve">materiální, protože je dán v modu </w:t>
      </w:r>
      <w:r w:rsidR="086E095E">
        <w:t xml:space="preserve">kosmické primární </w:t>
      </w:r>
      <w:r>
        <w:t xml:space="preserve">materie jako </w:t>
      </w:r>
      <w:r w:rsidRPr="08E84BA1">
        <w:rPr>
          <w:i/>
        </w:rPr>
        <w:t>tertium ens</w:t>
      </w:r>
      <w:r>
        <w:t xml:space="preserve">. </w:t>
      </w:r>
      <w:r w:rsidR="089358C5">
        <w:t xml:space="preserve">Materiální intelekt je svou podstatou nemateriální, takže je to kosmická oddělená forma společná všem lidem. </w:t>
      </w:r>
      <w:r w:rsidR="08F163B3">
        <w:t xml:space="preserve">Tím </w:t>
      </w:r>
      <w:r w:rsidR="082C2C10">
        <w:t>Rufusovi vznikl zásadní prob</w:t>
      </w:r>
      <w:r w:rsidR="08F163B3">
        <w:t>lém indiv</w:t>
      </w:r>
      <w:r w:rsidR="082C2C10">
        <w:t>id</w:t>
      </w:r>
      <w:r w:rsidR="08F163B3">
        <w:t xml:space="preserve">ualizace materiálního intelektu v jednotlivci, který se pokoušel řešit ve spise </w:t>
      </w:r>
      <w:r w:rsidR="08F163B3" w:rsidRPr="08F163B3">
        <w:rPr>
          <w:i/>
        </w:rPr>
        <w:t>Speculum animae</w:t>
      </w:r>
      <w:r w:rsidR="08F163B3">
        <w:t xml:space="preserve">, ale neúspěšně. Proto musel z Paříže odejít, aby nebyl v případě poznání v duši podle kosmického </w:t>
      </w:r>
      <w:r w:rsidR="08F163B3" w:rsidRPr="08F163B3">
        <w:rPr>
          <w:i/>
        </w:rPr>
        <w:t>intellectus agens</w:t>
      </w:r>
      <w:r w:rsidR="08F163B3">
        <w:t xml:space="preserve"> a </w:t>
      </w:r>
      <w:r w:rsidR="08F163B3" w:rsidRPr="08F163B3">
        <w:rPr>
          <w:i/>
        </w:rPr>
        <w:t>possibilis</w:t>
      </w:r>
      <w:r w:rsidR="08F163B3">
        <w:t xml:space="preserve"> obviněn z panteistické hereze typu Davida z Dinantu. </w:t>
      </w:r>
      <w:r w:rsidR="08A2280B" w:rsidRPr="00273106">
        <w:t xml:space="preserve">Rufus musel </w:t>
      </w:r>
      <w:r w:rsidR="08A2280B">
        <w:t xml:space="preserve">po vzoru avicennovského aristotelika Davida z Dinantu </w:t>
      </w:r>
      <w:r w:rsidR="00A71657">
        <w:t xml:space="preserve">ponechat </w:t>
      </w:r>
      <w:r w:rsidR="08A2280B" w:rsidRPr="00273106">
        <w:t xml:space="preserve">nemateriální receptivní intelekt mimo </w:t>
      </w:r>
      <w:r w:rsidR="08A2280B">
        <w:t xml:space="preserve">individuální </w:t>
      </w:r>
      <w:r w:rsidR="08A2280B" w:rsidRPr="00273106">
        <w:t xml:space="preserve">duši jednotlivce, aby </w:t>
      </w:r>
      <w:r w:rsidR="08A2280B">
        <w:t xml:space="preserve">v jeho schématu univerzálních </w:t>
      </w:r>
      <w:r w:rsidR="004B4D52" w:rsidRPr="004B4D52">
        <w:t>species</w:t>
      </w:r>
      <w:r w:rsidR="08A2280B">
        <w:t xml:space="preserve"> </w:t>
      </w:r>
      <w:r w:rsidR="08A2280B" w:rsidRPr="00273106">
        <w:t>vůbec mohlo nějaké poznání proběhnout.</w:t>
      </w:r>
      <w:r w:rsidR="089E14ED">
        <w:t xml:space="preserve"> </w:t>
      </w:r>
      <w:r w:rsidR="002A71AE" w:rsidRPr="00273106">
        <w:t>Metafora otisku aktuální fo</w:t>
      </w:r>
      <w:r w:rsidR="007F16CA">
        <w:t>rmy do vosku ukazuje, že druhý</w:t>
      </w:r>
      <w:r w:rsidR="002A71AE" w:rsidRPr="00273106">
        <w:t xml:space="preserve"> avicennismu</w:t>
      </w:r>
      <w:r w:rsidR="007F16CA">
        <w:t>s</w:t>
      </w:r>
      <w:r w:rsidR="002A71AE" w:rsidRPr="00273106">
        <w:t xml:space="preserve"> </w:t>
      </w:r>
      <w:r w:rsidR="00313BBD">
        <w:t xml:space="preserve">nemá personalizovaný </w:t>
      </w:r>
      <w:r w:rsidR="002A71AE" w:rsidRPr="00273106">
        <w:rPr>
          <w:i/>
        </w:rPr>
        <w:t>intellectus possibilis</w:t>
      </w:r>
      <w:r w:rsidR="00313BBD">
        <w:t xml:space="preserve">. Místo něj funguje </w:t>
      </w:r>
      <w:r w:rsidR="085154E1">
        <w:t xml:space="preserve">platonské </w:t>
      </w:r>
      <w:r w:rsidR="002A71AE" w:rsidRPr="00273106">
        <w:t xml:space="preserve">receptákulum forem na způsob </w:t>
      </w:r>
      <w:r w:rsidR="002A71AE" w:rsidRPr="00273106">
        <w:rPr>
          <w:i/>
        </w:rPr>
        <w:t>hypodoché</w:t>
      </w:r>
      <w:r w:rsidR="00646443">
        <w:rPr>
          <w:i/>
        </w:rPr>
        <w:fldChar w:fldCharType="begin"/>
      </w:r>
      <w:r w:rsidR="00646443">
        <w:instrText xml:space="preserve"> XE "</w:instrText>
      </w:r>
      <w:r w:rsidR="00646443" w:rsidRPr="00B82DBC">
        <w:rPr>
          <w:i/>
        </w:rPr>
        <w:instrText>hypodoché</w:instrText>
      </w:r>
      <w:r w:rsidR="00646443">
        <w:instrText xml:space="preserve">" </w:instrText>
      </w:r>
      <w:r w:rsidR="00646443">
        <w:rPr>
          <w:i/>
        </w:rPr>
        <w:fldChar w:fldCharType="end"/>
      </w:r>
      <w:r w:rsidR="085154E1">
        <w:t xml:space="preserve"> </w:t>
      </w:r>
      <w:r w:rsidR="002A71AE" w:rsidRPr="00273106">
        <w:t>(</w:t>
      </w:r>
      <w:r w:rsidR="004A4A42" w:rsidRPr="004A4A42">
        <w:rPr>
          <w:i/>
        </w:rPr>
        <w:t>Tim</w:t>
      </w:r>
      <w:r w:rsidR="004A4A42">
        <w:t xml:space="preserve">. </w:t>
      </w:r>
      <w:r w:rsidR="002A71AE" w:rsidRPr="00273106">
        <w:t>48e–53c</w:t>
      </w:r>
      <w:r w:rsidR="004A4A42">
        <w:fldChar w:fldCharType="begin"/>
      </w:r>
      <w:r w:rsidR="004A4A42">
        <w:instrText xml:space="preserve"> XE "</w:instrText>
      </w:r>
      <w:r w:rsidR="008E02F5">
        <w:instrText>Platon</w:instrText>
      </w:r>
      <w:r w:rsidR="004A4A42">
        <w:instrText>:</w:instrText>
      </w:r>
      <w:r w:rsidR="004A4A42" w:rsidRPr="00BB34BF">
        <w:rPr>
          <w:i/>
        </w:rPr>
        <w:instrText>Tim</w:instrText>
      </w:r>
      <w:r w:rsidR="004A4A42" w:rsidRPr="00BB34BF">
        <w:instrText>. 48e–53c</w:instrText>
      </w:r>
      <w:r w:rsidR="004A4A42">
        <w:instrText xml:space="preserve">" </w:instrText>
      </w:r>
      <w:r w:rsidR="004A4A42">
        <w:fldChar w:fldCharType="end"/>
      </w:r>
      <w:r w:rsidR="002A71AE" w:rsidRPr="00273106">
        <w:t xml:space="preserve">). </w:t>
      </w:r>
      <w:r w:rsidR="08FF302D">
        <w:t xml:space="preserve">Materiální kosmický intelekt poznává tím, že činný intelekt </w:t>
      </w:r>
      <w:r w:rsidR="00780F57">
        <w:t xml:space="preserve">jako </w:t>
      </w:r>
      <w:r w:rsidR="00780F57">
        <w:rPr>
          <w:i/>
          <w:lang w:eastAsia="en-US"/>
        </w:rPr>
        <w:t>d</w:t>
      </w:r>
      <w:r w:rsidR="00780F57" w:rsidRPr="00E3452F">
        <w:rPr>
          <w:i/>
          <w:lang w:eastAsia="en-US"/>
        </w:rPr>
        <w:t>ator formarum</w:t>
      </w:r>
      <w:r w:rsidR="00780F57">
        <w:rPr>
          <w:i/>
          <w:lang w:eastAsia="en-US"/>
        </w:rPr>
        <w:fldChar w:fldCharType="begin"/>
      </w:r>
      <w:r w:rsidR="00780F57">
        <w:instrText xml:space="preserve"> XE "</w:instrText>
      </w:r>
      <w:r w:rsidR="00780F57">
        <w:rPr>
          <w:i/>
          <w:lang w:eastAsia="en-US"/>
        </w:rPr>
        <w:instrText>d</w:instrText>
      </w:r>
      <w:r w:rsidR="00780F57" w:rsidRPr="005C2CE7">
        <w:rPr>
          <w:i/>
          <w:lang w:eastAsia="en-US"/>
        </w:rPr>
        <w:instrText>ator formarum</w:instrText>
      </w:r>
      <w:r w:rsidR="00780F57">
        <w:instrText xml:space="preserve">" </w:instrText>
      </w:r>
      <w:r w:rsidR="00780F57">
        <w:rPr>
          <w:i/>
          <w:lang w:eastAsia="en-US"/>
        </w:rPr>
        <w:fldChar w:fldCharType="end"/>
      </w:r>
      <w:r w:rsidR="00780F57">
        <w:rPr>
          <w:i/>
          <w:lang w:eastAsia="en-US"/>
        </w:rPr>
        <w:t xml:space="preserve"> </w:t>
      </w:r>
      <w:r w:rsidR="08FF302D">
        <w:t xml:space="preserve">do něj otiskuje formy jako pečetidlo do vosku. </w:t>
      </w:r>
      <w:r w:rsidR="002A71AE" w:rsidRPr="00273106">
        <w:t xml:space="preserve">Pojetí </w:t>
      </w:r>
      <w:r w:rsidR="004B4D52" w:rsidRPr="004B4D52">
        <w:t>species</w:t>
      </w:r>
      <w:r w:rsidR="002A71AE" w:rsidRPr="00273106">
        <w:t xml:space="preserve"> </w:t>
      </w:r>
      <w:r w:rsidR="0040587B">
        <w:t xml:space="preserve">jako účinných univerzálních forem je </w:t>
      </w:r>
      <w:r w:rsidR="002A71AE" w:rsidRPr="00273106">
        <w:t xml:space="preserve">z hlediska </w:t>
      </w:r>
      <w:r w:rsidR="002E3B62">
        <w:t>Averroes</w:t>
      </w:r>
      <w:r w:rsidR="002A71AE" w:rsidRPr="00273106">
        <w:t xml:space="preserve">e </w:t>
      </w:r>
      <w:r w:rsidR="0040587B">
        <w:t xml:space="preserve">a prvního averroismu </w:t>
      </w:r>
      <w:r w:rsidR="002A71AE" w:rsidRPr="00273106">
        <w:t>naprosto nepřijatelné. Pokud by Rufus četl CMDA stejně po</w:t>
      </w:r>
      <w:r w:rsidR="00D867CD">
        <w:t>zorně</w:t>
      </w:r>
      <w:r w:rsidR="002A71AE" w:rsidRPr="00273106">
        <w:t xml:space="preserve"> jako stoupenci prvního averroismu, pak by věděl, že desinterpretací skutečného průběhu poznání udělal to</w:t>
      </w:r>
      <w:r w:rsidR="00A46095">
        <w:t>též</w:t>
      </w:r>
      <w:r w:rsidR="002A71AE" w:rsidRPr="00273106">
        <w:t xml:space="preserve">, co </w:t>
      </w:r>
      <w:r w:rsidR="002E3B62">
        <w:t>Averroes</w:t>
      </w:r>
      <w:r w:rsidR="002A71AE" w:rsidRPr="00273106">
        <w:t xml:space="preserve"> v tomto díle vyčítá T</w:t>
      </w:r>
      <w:r w:rsidR="0075021E">
        <w:t xml:space="preserve">hemistiovi, Alexandrovi a </w:t>
      </w:r>
      <w:r w:rsidR="08DE18BB">
        <w:t>a</w:t>
      </w:r>
      <w:r w:rsidR="002A71AE" w:rsidRPr="00273106">
        <w:t>lexandrovcům</w:t>
      </w:r>
      <w:r w:rsidR="003620A6">
        <w:fldChar w:fldCharType="begin"/>
      </w:r>
      <w:r w:rsidR="003620A6">
        <w:instrText xml:space="preserve"> XE "</w:instrText>
      </w:r>
      <w:r w:rsidR="08DE18BB">
        <w:instrText>alexandrovci</w:instrText>
      </w:r>
      <w:r w:rsidR="003620A6">
        <w:instrText xml:space="preserve">" </w:instrText>
      </w:r>
      <w:r w:rsidR="003620A6">
        <w:fldChar w:fldCharType="end"/>
      </w:r>
      <w:r w:rsidR="002A71AE" w:rsidRPr="00273106">
        <w:t xml:space="preserve"> jeho doby (</w:t>
      </w:r>
      <w:r w:rsidR="086E095E">
        <w:t xml:space="preserve">OBJ I, </w:t>
      </w:r>
      <w:r w:rsidR="002A71AE" w:rsidRPr="00273106">
        <w:rPr>
          <w:rStyle w:val="Zkladntext158dkovn0pt"/>
          <w:color w:val="auto"/>
          <w:spacing w:val="0"/>
          <w:sz w:val="24"/>
          <w:lang w:val="cs-CZ"/>
        </w:rPr>
        <w:t>kap. 2.4.2</w:t>
      </w:r>
      <w:r w:rsidR="002A71AE" w:rsidRPr="00273106">
        <w:t xml:space="preserve">). Klíčová změna </w:t>
      </w:r>
      <w:r w:rsidR="001B601C">
        <w:t xml:space="preserve">moderny </w:t>
      </w:r>
      <w:r w:rsidR="002A71AE" w:rsidRPr="00273106">
        <w:t xml:space="preserve">proti prvnímu averroismu je v tom, že intence nevzniká na úrovni </w:t>
      </w:r>
      <w:r w:rsidR="002A71AE" w:rsidRPr="00273106">
        <w:rPr>
          <w:i/>
        </w:rPr>
        <w:t>intellectus possibilis</w:t>
      </w:r>
      <w:r w:rsidR="00B778C5">
        <w:t>. R</w:t>
      </w:r>
      <w:r w:rsidR="001B601C">
        <w:t xml:space="preserve">eceptivita </w:t>
      </w:r>
      <w:r w:rsidR="00B778C5">
        <w:t>modernistů nemá aktualitu ze smyslově poznaných věcí</w:t>
      </w:r>
      <w:r w:rsidR="08CA672D">
        <w:t xml:space="preserve">. </w:t>
      </w:r>
      <w:r w:rsidR="08C07267" w:rsidRPr="00273106">
        <w:t xml:space="preserve">Rufus staví podobnost univerzálních </w:t>
      </w:r>
      <w:r w:rsidR="004B4D52" w:rsidRPr="004B4D52">
        <w:t>species</w:t>
      </w:r>
      <w:r w:rsidR="08C07267" w:rsidRPr="00273106">
        <w:t xml:space="preserve"> na konceptu individuace dané skrze </w:t>
      </w:r>
      <w:r w:rsidR="08C07267" w:rsidRPr="00273106">
        <w:rPr>
          <w:i/>
        </w:rPr>
        <w:t>numerus mathematicus</w:t>
      </w:r>
      <w:r w:rsidR="08C07267" w:rsidRPr="00273106">
        <w:t xml:space="preserve"> a na podobnosti věcí dané analogickým vz</w:t>
      </w:r>
      <w:r w:rsidR="086E095E">
        <w:t>tahem k univerzální míře (kap. 3</w:t>
      </w:r>
      <w:r w:rsidR="08C07267" w:rsidRPr="00273106">
        <w:t>.3.1). Intelektuální část duše ne</w:t>
      </w:r>
      <w:r w:rsidR="083A2403">
        <w:t>zakládá</w:t>
      </w:r>
      <w:r w:rsidR="08C07267">
        <w:t xml:space="preserve"> poznání na </w:t>
      </w:r>
      <w:r w:rsidR="00064396">
        <w:t xml:space="preserve">nemateriální recepci </w:t>
      </w:r>
      <w:r w:rsidR="08C07267">
        <w:t>možného intelektu, který se intencionálně vztahuje</w:t>
      </w:r>
      <w:r w:rsidR="08C07267" w:rsidRPr="00273106">
        <w:t xml:space="preserve"> ke smyslovým představám v imaginaci. </w:t>
      </w:r>
      <w:r w:rsidR="002A71AE" w:rsidRPr="00273106">
        <w:t>Rufuse nezajímá receptivní složka nemateriálního intelektu</w:t>
      </w:r>
      <w:r w:rsidR="004D7470">
        <w:t xml:space="preserve"> obrácená</w:t>
      </w:r>
      <w:r w:rsidR="00BC4BA4">
        <w:t xml:space="preserve"> ke smyslům. M</w:t>
      </w:r>
      <w:r w:rsidR="00BD46EF">
        <w:t>ožný inte</w:t>
      </w:r>
      <w:r w:rsidR="004D7470">
        <w:t>l</w:t>
      </w:r>
      <w:r w:rsidR="00BD46EF">
        <w:t>e</w:t>
      </w:r>
      <w:r w:rsidR="004D7470">
        <w:t xml:space="preserve">kt </w:t>
      </w:r>
      <w:r w:rsidR="08384C03">
        <w:t xml:space="preserve">jako hypostáze </w:t>
      </w:r>
      <w:r w:rsidR="004D7470">
        <w:t>pasivně přijím</w:t>
      </w:r>
      <w:r w:rsidR="00BD46EF">
        <w:t>á</w:t>
      </w:r>
      <w:r w:rsidR="004D7470">
        <w:t xml:space="preserve"> formy z činného intelektu a ne od smyslů</w:t>
      </w:r>
      <w:r w:rsidR="002A71AE" w:rsidRPr="00273106">
        <w:t xml:space="preserve">. </w:t>
      </w:r>
      <w:r w:rsidR="009A5AD9">
        <w:t xml:space="preserve">Moderní intelekt poznává </w:t>
      </w:r>
      <w:r w:rsidR="004B4D52" w:rsidRPr="004B4D52">
        <w:t>species</w:t>
      </w:r>
      <w:r w:rsidR="002A71AE" w:rsidRPr="00273106">
        <w:t xml:space="preserve"> </w:t>
      </w:r>
      <w:r w:rsidR="009A5AD9" w:rsidRPr="00273106">
        <w:t>skrze přímý náhled</w:t>
      </w:r>
      <w:r w:rsidR="009A5AD9">
        <w:t>, protože avicennovská</w:t>
      </w:r>
      <w:r w:rsidR="002A71AE" w:rsidRPr="00273106">
        <w:t xml:space="preserve"> denudace </w:t>
      </w:r>
      <w:r w:rsidR="083A2403">
        <w:t>vidí</w:t>
      </w:r>
      <w:r w:rsidR="009A5AD9">
        <w:t xml:space="preserve"> poznávací formy </w:t>
      </w:r>
      <w:r w:rsidR="002A71AE" w:rsidRPr="00273106">
        <w:t>přímo ve věcech</w:t>
      </w:r>
      <w:r w:rsidR="009A5AD9">
        <w:t xml:space="preserve"> samých</w:t>
      </w:r>
      <w:r w:rsidR="003620A6">
        <w:fldChar w:fldCharType="begin"/>
      </w:r>
      <w:r w:rsidR="003620A6">
        <w:instrText xml:space="preserve"> XE "</w:instrText>
      </w:r>
      <w:r w:rsidR="003620A6" w:rsidRPr="00435A46">
        <w:instrText>intencionalita:Rufus</w:instrText>
      </w:r>
      <w:r w:rsidR="003620A6">
        <w:instrText xml:space="preserve">" </w:instrText>
      </w:r>
      <w:r w:rsidR="003620A6">
        <w:fldChar w:fldCharType="end"/>
      </w:r>
      <w:r w:rsidR="002A71AE" w:rsidRPr="00273106">
        <w:t xml:space="preserve">. </w:t>
      </w:r>
      <w:r w:rsidR="00DB7B3A" w:rsidRPr="00273106">
        <w:t xml:space="preserve">Tím padla základní teze </w:t>
      </w:r>
      <w:r w:rsidR="002E3B62">
        <w:t>Averroes</w:t>
      </w:r>
      <w:r w:rsidR="00DB7B3A" w:rsidRPr="00273106">
        <w:t>e a Aristotela, že univerzália jsou dána jen v mysli, protože jsou univerzální a pouze potenciální vzhledem k singulárním a aktuálním prvním substancím.</w:t>
      </w:r>
      <w:r w:rsidR="00DB7B3A">
        <w:t xml:space="preserve"> </w:t>
      </w:r>
      <w:r w:rsidR="002A71AE" w:rsidRPr="00273106">
        <w:t>Proto musí první averroismus hledat skutečnou podob</w:t>
      </w:r>
      <w:r w:rsidR="00435294">
        <w:t>nost v modu  adekvace smyslové</w:t>
      </w:r>
      <w:r w:rsidR="002A71AE" w:rsidRPr="00273106">
        <w:t xml:space="preserve"> </w:t>
      </w:r>
      <w:r w:rsidR="004B4D52" w:rsidRPr="004B4D52">
        <w:t>species</w:t>
      </w:r>
      <w:r w:rsidR="00435294">
        <w:t xml:space="preserve"> vzhledem k intelektuální</w:t>
      </w:r>
      <w:r w:rsidR="088A7203">
        <w:t xml:space="preserve"> </w:t>
      </w:r>
      <w:r w:rsidR="004B4D52" w:rsidRPr="004B4D52">
        <w:t>species</w:t>
      </w:r>
      <w:r w:rsidR="088A7203">
        <w:t xml:space="preserve">. Tuto adekvaci </w:t>
      </w:r>
      <w:r w:rsidR="00446A77">
        <w:t>druhý averroismus vůbec nepotřebuje</w:t>
      </w:r>
      <w:r w:rsidR="00A12381">
        <w:t xml:space="preserve">. Jeho intelekt </w:t>
      </w:r>
      <w:r w:rsidR="087C0EF2">
        <w:t xml:space="preserve">má poznané </w:t>
      </w:r>
      <w:r w:rsidR="006C618E">
        <w:t xml:space="preserve">formy </w:t>
      </w:r>
      <w:r w:rsidR="088A7203">
        <w:t xml:space="preserve">sám </w:t>
      </w:r>
      <w:r w:rsidR="087C0EF2">
        <w:t>v</w:t>
      </w:r>
      <w:r w:rsidR="006C618E">
        <w:t> </w:t>
      </w:r>
      <w:r w:rsidR="087C0EF2">
        <w:t>sobě</w:t>
      </w:r>
      <w:r w:rsidR="006C618E">
        <w:t xml:space="preserve"> a navíc jsou přímo v reálných věcech</w:t>
      </w:r>
      <w:r w:rsidR="002A71AE" w:rsidRPr="00273106">
        <w:t xml:space="preserve">. </w:t>
      </w:r>
      <w:r w:rsidR="088E3BAF" w:rsidRPr="00273106">
        <w:t xml:space="preserve">Receptivita duše jako </w:t>
      </w:r>
      <w:r w:rsidR="088E3BAF" w:rsidRPr="00273106">
        <w:rPr>
          <w:i/>
        </w:rPr>
        <w:t>tabula rasa</w:t>
      </w:r>
      <w:r w:rsidR="088E3BAF">
        <w:rPr>
          <w:i/>
        </w:rPr>
        <w:fldChar w:fldCharType="begin"/>
      </w:r>
      <w:r w:rsidR="088E3BAF">
        <w:instrText xml:space="preserve"> XE "</w:instrText>
      </w:r>
      <w:r w:rsidR="088E3BAF" w:rsidRPr="00CE6D17">
        <w:rPr>
          <w:i/>
        </w:rPr>
        <w:instrText>tabula rasa</w:instrText>
      </w:r>
      <w:r w:rsidR="088E3BAF">
        <w:instrText xml:space="preserve">" </w:instrText>
      </w:r>
      <w:r w:rsidR="088E3BAF">
        <w:rPr>
          <w:i/>
        </w:rPr>
        <w:fldChar w:fldCharType="end"/>
      </w:r>
      <w:r w:rsidR="088E3BAF" w:rsidRPr="00273106">
        <w:t xml:space="preserve"> hraje v prvním averroismu klíčovou roli vzhledem k aktuálně a singulárním daným smyslovým představám. </w:t>
      </w:r>
      <w:r w:rsidR="0897356B" w:rsidRPr="00273106">
        <w:t xml:space="preserve">Receptivní složka intelektu přijímá </w:t>
      </w:r>
      <w:r w:rsidR="004B4D52" w:rsidRPr="004B4D52">
        <w:t>species</w:t>
      </w:r>
      <w:r w:rsidR="0897356B" w:rsidRPr="00273106">
        <w:rPr>
          <w:i/>
        </w:rPr>
        <w:t xml:space="preserve"> sensibilis</w:t>
      </w:r>
      <w:r w:rsidR="0897356B">
        <w:rPr>
          <w:i/>
        </w:rPr>
        <w:fldChar w:fldCharType="begin"/>
      </w:r>
      <w:r w:rsidR="0897356B">
        <w:instrText xml:space="preserve"> XE "</w:instrText>
      </w:r>
      <w:r w:rsidR="0897356B" w:rsidRPr="00374FA1">
        <w:rPr>
          <w:i/>
        </w:rPr>
        <w:instrText>species sensibilis</w:instrText>
      </w:r>
      <w:r w:rsidR="0897356B">
        <w:instrText xml:space="preserve">" </w:instrText>
      </w:r>
      <w:r w:rsidR="0897356B">
        <w:rPr>
          <w:i/>
        </w:rPr>
        <w:fldChar w:fldCharType="end"/>
      </w:r>
      <w:r w:rsidR="0897356B" w:rsidRPr="00273106">
        <w:t xml:space="preserve"> v rámci procesu abstrakce a činný intelekt pak provádí následnou syntézu nemater</w:t>
      </w:r>
      <w:r w:rsidR="0897356B">
        <w:t>i</w:t>
      </w:r>
      <w:r w:rsidR="0897356B" w:rsidRPr="00273106">
        <w:t xml:space="preserve">álních, a tím i univerzálních inteligibilních forem. </w:t>
      </w:r>
      <w:r w:rsidR="08E01362">
        <w:t xml:space="preserve">Rufus a David z Dinantu mají receptivitu </w:t>
      </w:r>
      <w:r w:rsidR="0897356B">
        <w:t xml:space="preserve">duše </w:t>
      </w:r>
      <w:r w:rsidR="08E01362">
        <w:t xml:space="preserve">vůči kosmickému </w:t>
      </w:r>
      <w:r w:rsidR="08E01362" w:rsidRPr="08E01362">
        <w:rPr>
          <w:i/>
        </w:rPr>
        <w:t>intellectus agens</w:t>
      </w:r>
      <w:r w:rsidR="08E01362">
        <w:t xml:space="preserve">. Jejich materiální intelekt vůbec není daný jako výkon osoby, protože individuace této podivuhodné kosmické </w:t>
      </w:r>
      <w:r w:rsidR="004B4D52" w:rsidRPr="004B4D52">
        <w:t>species</w:t>
      </w:r>
      <w:r w:rsidR="08E01362">
        <w:t xml:space="preserve"> je daná skrze spirituální materii. </w:t>
      </w:r>
      <w:r w:rsidR="08923596">
        <w:t xml:space="preserve">Pak je nutná sofistikovaná konjunkce tohoto simulákra s </w:t>
      </w:r>
      <w:r w:rsidR="08574419">
        <w:t xml:space="preserve">osobním </w:t>
      </w:r>
      <w:r w:rsidR="08923596">
        <w:t xml:space="preserve">intelektem, což </w:t>
      </w:r>
      <w:r w:rsidR="08771C30">
        <w:t xml:space="preserve">pro prvního modernistu </w:t>
      </w:r>
      <w:r w:rsidR="08923596">
        <w:t xml:space="preserve">nebyl </w:t>
      </w:r>
      <w:r w:rsidR="08771C30">
        <w:t xml:space="preserve">jednoduchý úkol </w:t>
      </w:r>
      <w:r w:rsidR="08923596">
        <w:t xml:space="preserve">a </w:t>
      </w:r>
      <w:r w:rsidR="082B6975">
        <w:t xml:space="preserve">v jeho škole </w:t>
      </w:r>
      <w:r w:rsidR="08771C30">
        <w:t xml:space="preserve">není vyřešen </w:t>
      </w:r>
      <w:r w:rsidR="08923596">
        <w:t xml:space="preserve">dodnes. </w:t>
      </w:r>
      <w:r w:rsidR="083B0333">
        <w:t xml:space="preserve">Po konjunkci činné a pasivní kosmické formy do našeho intelektu se konečně rozběhne moderní proces poznání. </w:t>
      </w:r>
    </w:p>
    <w:p w14:paraId="73B963F5" w14:textId="4934DA6C" w:rsidR="002A71AE" w:rsidRPr="00273106" w:rsidRDefault="080B2968" w:rsidP="007A321B">
      <w:pPr>
        <w:ind w:firstLine="397"/>
      </w:pPr>
      <w:r>
        <w:t xml:space="preserve">Moderní </w:t>
      </w:r>
      <w:r w:rsidR="007A321B">
        <w:t>ilumináti na Oxfordu porovnávali</w:t>
      </w:r>
      <w:r w:rsidRPr="00273106">
        <w:t xml:space="preserve"> </w:t>
      </w:r>
      <w:r>
        <w:t xml:space="preserve">kolem roku 1235 </w:t>
      </w:r>
      <w:r w:rsidRPr="00273106">
        <w:t>dv</w:t>
      </w:r>
      <w:r>
        <w:t xml:space="preserve">a druhy univerzálních </w:t>
      </w:r>
      <w:r w:rsidR="004B4D52" w:rsidRPr="004B4D52">
        <w:t>species</w:t>
      </w:r>
      <w:r>
        <w:t>. P</w:t>
      </w:r>
      <w:r w:rsidRPr="00273106">
        <w:t xml:space="preserve">rvní </w:t>
      </w:r>
      <w:r>
        <w:t xml:space="preserve">jsoucno třetího druhu </w:t>
      </w:r>
      <w:r w:rsidRPr="00273106">
        <w:t>je obsažen</w:t>
      </w:r>
      <w:r>
        <w:t>o</w:t>
      </w:r>
      <w:r w:rsidRPr="00273106">
        <w:t xml:space="preserve"> </w:t>
      </w:r>
      <w:r>
        <w:t>přímo v reálných věcech a druhé</w:t>
      </w:r>
      <w:r w:rsidRPr="00273106">
        <w:t xml:space="preserve"> je nazírán</w:t>
      </w:r>
      <w:r>
        <w:t>o</w:t>
      </w:r>
      <w:r w:rsidRPr="00273106">
        <w:t xml:space="preserve"> </w:t>
      </w:r>
      <w:r>
        <w:t xml:space="preserve">osvíceným činným intelektem, který přímo působí </w:t>
      </w:r>
      <w:r w:rsidR="081F12CD">
        <w:t xml:space="preserve">poznání </w:t>
      </w:r>
      <w:r>
        <w:t xml:space="preserve">v </w:t>
      </w:r>
      <w:r w:rsidRPr="00273106">
        <w:t xml:space="preserve">mysli </w:t>
      </w:r>
      <w:r>
        <w:t xml:space="preserve">osvícené náhledem čistých forem (Grossetesteho </w:t>
      </w:r>
      <w:r w:rsidRPr="002D216A">
        <w:rPr>
          <w:i/>
        </w:rPr>
        <w:t>intellectus</w:t>
      </w:r>
      <w:r>
        <w:t>)</w:t>
      </w:r>
      <w:r>
        <w:fldChar w:fldCharType="begin"/>
      </w:r>
      <w:r>
        <w:instrText xml:space="preserve"> XE "</w:instrText>
      </w:r>
      <w:r w:rsidRPr="00BD65D1">
        <w:instrText>ilumináti</w:instrText>
      </w:r>
      <w:r>
        <w:instrText xml:space="preserve">" </w:instrText>
      </w:r>
      <w:r>
        <w:fldChar w:fldCharType="end"/>
      </w:r>
      <w:r w:rsidRPr="00273106">
        <w:t xml:space="preserve">. </w:t>
      </w:r>
      <w:r w:rsidR="083B0333">
        <w:t>A</w:t>
      </w:r>
      <w:r w:rsidR="003B1DCB">
        <w:t>ktivní intelekt vtiskuje denudovaná</w:t>
      </w:r>
      <w:r w:rsidR="00644F76" w:rsidRPr="00273106">
        <w:t xml:space="preserve"> </w:t>
      </w:r>
      <w:r w:rsidR="004B4D52" w:rsidRPr="004B4D52">
        <w:t>species</w:t>
      </w:r>
      <w:r w:rsidR="00644F76" w:rsidRPr="00273106">
        <w:t xml:space="preserve"> do pasivní</w:t>
      </w:r>
      <w:r w:rsidR="003B1DCB">
        <w:t xml:space="preserve"> části duše</w:t>
      </w:r>
      <w:r w:rsidR="08573FD7">
        <w:t xml:space="preserve"> jako </w:t>
      </w:r>
      <w:r w:rsidR="08573FD7" w:rsidRPr="08573FD7">
        <w:rPr>
          <w:i/>
        </w:rPr>
        <w:t>intellectus materialis</w:t>
      </w:r>
      <w:r w:rsidR="003B1DCB">
        <w:t>, kde jsou uchovávána</w:t>
      </w:r>
      <w:r w:rsidR="00644F76" w:rsidRPr="00273106">
        <w:t xml:space="preserve"> v augustiniánském pojetí paměti (</w:t>
      </w:r>
      <w:r w:rsidR="00644F76" w:rsidRPr="00273106">
        <w:rPr>
          <w:i/>
        </w:rPr>
        <w:t>locus specierum</w:t>
      </w:r>
      <w:r w:rsidR="00CC2962">
        <w:rPr>
          <w:i/>
        </w:rPr>
        <w:fldChar w:fldCharType="begin"/>
      </w:r>
      <w:r w:rsidR="00CC2962">
        <w:instrText xml:space="preserve"> XE "</w:instrText>
      </w:r>
      <w:r w:rsidR="00CC2962" w:rsidRPr="009E5259">
        <w:rPr>
          <w:i/>
        </w:rPr>
        <w:instrText>locus specierum</w:instrText>
      </w:r>
      <w:r w:rsidR="00CC2962">
        <w:instrText xml:space="preserve">" </w:instrText>
      </w:r>
      <w:r w:rsidR="00CC2962">
        <w:rPr>
          <w:i/>
        </w:rPr>
        <w:fldChar w:fldCharType="end"/>
      </w:r>
      <w:r w:rsidR="087358B5">
        <w:t>; OBJ III, kap. 4</w:t>
      </w:r>
      <w:r w:rsidR="082F7E60">
        <w:t xml:space="preserve">.3.1). </w:t>
      </w:r>
      <w:r w:rsidR="0836508E">
        <w:t xml:space="preserve">Darovaný nebo aktualizovaný intelekt pak </w:t>
      </w:r>
      <w:r w:rsidR="0075021E">
        <w:t xml:space="preserve">provádí Avicennovu </w:t>
      </w:r>
      <w:r w:rsidR="00837877" w:rsidRPr="00273106">
        <w:t xml:space="preserve">kolektu  formálních určení </w:t>
      </w:r>
      <w:r>
        <w:t xml:space="preserve">z </w:t>
      </w:r>
      <w:r w:rsidR="00837877" w:rsidRPr="00273106">
        <w:t>materiální věci (</w:t>
      </w:r>
      <w:r w:rsidR="0075021E" w:rsidRPr="00273106">
        <w:rPr>
          <w:i/>
        </w:rPr>
        <w:t>iltaqaṭa</w:t>
      </w:r>
      <w:r w:rsidR="0075021E">
        <w:rPr>
          <w:i/>
        </w:rPr>
        <w:fldChar w:fldCharType="begin"/>
      </w:r>
      <w:r w:rsidR="0075021E">
        <w:instrText xml:space="preserve"> XE "</w:instrText>
      </w:r>
      <w:r w:rsidR="0075021E" w:rsidRPr="00A53DFC">
        <w:rPr>
          <w:i/>
        </w:rPr>
        <w:instrText>iltaqaṭa</w:instrText>
      </w:r>
      <w:r w:rsidR="0075021E">
        <w:instrText xml:space="preserve">" </w:instrText>
      </w:r>
      <w:r w:rsidR="0075021E">
        <w:rPr>
          <w:i/>
        </w:rPr>
        <w:fldChar w:fldCharType="end"/>
      </w:r>
      <w:r w:rsidR="087358B5">
        <w:t xml:space="preserve">; OBJ I, </w:t>
      </w:r>
      <w:r w:rsidR="00837877" w:rsidRPr="00273106">
        <w:t xml:space="preserve">kap. 2.3.1). </w:t>
      </w:r>
      <w:r w:rsidR="08D56344" w:rsidRPr="00273106">
        <w:t xml:space="preserve">Smyslová recepce externí věci </w:t>
      </w:r>
      <w:r w:rsidR="08D56344">
        <w:t>skrze intencionalitu</w:t>
      </w:r>
      <w:r w:rsidR="08D56344" w:rsidRPr="00273106">
        <w:t xml:space="preserve"> </w:t>
      </w:r>
      <w:r w:rsidR="08D56344">
        <w:t xml:space="preserve">vykonávanou skrze </w:t>
      </w:r>
      <w:r w:rsidR="08D56344" w:rsidRPr="00273106">
        <w:rPr>
          <w:i/>
        </w:rPr>
        <w:t>intellectus possibilis</w:t>
      </w:r>
      <w:r w:rsidR="08D56344" w:rsidRPr="00273106">
        <w:t xml:space="preserve"> je </w:t>
      </w:r>
      <w:r w:rsidR="08D56344">
        <w:t xml:space="preserve">v moderním scénáři vědeckého poznání zcela druhořadá. Intencionalita podle Rufuse </w:t>
      </w:r>
      <w:r w:rsidR="08D56344" w:rsidRPr="00273106">
        <w:t xml:space="preserve">a později </w:t>
      </w:r>
      <w:r w:rsidR="08D56344">
        <w:t xml:space="preserve">i </w:t>
      </w:r>
      <w:r w:rsidR="08D56344" w:rsidRPr="00273106">
        <w:t>Descarta</w:t>
      </w:r>
      <w:r w:rsidR="08D56344">
        <w:fldChar w:fldCharType="begin"/>
      </w:r>
      <w:r w:rsidR="08D56344">
        <w:instrText xml:space="preserve"> XE "</w:instrText>
      </w:r>
      <w:r w:rsidR="08D56344" w:rsidRPr="004146C6">
        <w:rPr>
          <w:rStyle w:val="addmd"/>
        </w:rPr>
        <w:instrText>Descartes, R.</w:instrText>
      </w:r>
      <w:r w:rsidR="08D56344">
        <w:instrText xml:space="preserve">" </w:instrText>
      </w:r>
      <w:r w:rsidR="08D56344">
        <w:fldChar w:fldCharType="end"/>
      </w:r>
      <w:r w:rsidR="08D56344" w:rsidRPr="00273106">
        <w:t xml:space="preserve"> </w:t>
      </w:r>
      <w:r w:rsidR="08D56344">
        <w:t>a</w:t>
      </w:r>
      <w:r w:rsidR="08D56344" w:rsidRPr="00273106">
        <w:t xml:space="preserve"> Husserla</w:t>
      </w:r>
      <w:r w:rsidR="08D56344">
        <w:fldChar w:fldCharType="begin"/>
      </w:r>
      <w:r w:rsidR="08D56344">
        <w:instrText xml:space="preserve"> XE "</w:instrText>
      </w:r>
      <w:r w:rsidR="08D56344" w:rsidRPr="000710C4">
        <w:instrText>Husserl, E.</w:instrText>
      </w:r>
      <w:r w:rsidR="08D56344">
        <w:instrText xml:space="preserve">" </w:instrText>
      </w:r>
      <w:r w:rsidR="08D56344">
        <w:fldChar w:fldCharType="end"/>
      </w:r>
      <w:r w:rsidR="08D56344" w:rsidRPr="00273106">
        <w:t xml:space="preserve"> znamená aktivní proces činného intelektu</w:t>
      </w:r>
      <w:r w:rsidR="08D56344">
        <w:t xml:space="preserve"> daného v člověku jako substance třetího druhu. Tento aktuální hypostázovaný intelekt </w:t>
      </w:r>
      <w:r w:rsidR="08D56344" w:rsidRPr="00273106">
        <w:t>přímo nazírá obecné formy v aktu intelektuální intuice</w:t>
      </w:r>
      <w:r w:rsidR="08D56344">
        <w:t xml:space="preserve">. Může to dělat i </w:t>
      </w:r>
      <w:r w:rsidR="08D56344" w:rsidRPr="00273106">
        <w:t>z materiálních jednotlivin</w:t>
      </w:r>
      <w:r w:rsidR="08D56344">
        <w:t>, ale není to nutné, protože původní jistotu poznání má sám v sobě</w:t>
      </w:r>
      <w:r w:rsidR="08D56344" w:rsidRPr="00273106">
        <w:t xml:space="preserve">. </w:t>
      </w:r>
      <w:r w:rsidR="08D56344">
        <w:t xml:space="preserve">Proto z moderního schématu poznání vypadla mediační funkce </w:t>
      </w:r>
      <w:r w:rsidR="08D56344" w:rsidRPr="08995558">
        <w:rPr>
          <w:i/>
        </w:rPr>
        <w:t>intellectus possib</w:t>
      </w:r>
      <w:r w:rsidR="08D56344">
        <w:rPr>
          <w:i/>
        </w:rPr>
        <w:t>i</w:t>
      </w:r>
      <w:r w:rsidR="08D56344" w:rsidRPr="08995558">
        <w:rPr>
          <w:i/>
        </w:rPr>
        <w:t>lis</w:t>
      </w:r>
      <w:r w:rsidR="08D56344">
        <w:t xml:space="preserve"> a byla nahrazena platonským otiskem univerzální, aktuální a hypostázované kosmické formy do receptivní části lidské duše. </w:t>
      </w:r>
      <w:r w:rsidR="08446068">
        <w:t xml:space="preserve">Moderní poznání </w:t>
      </w:r>
      <w:r w:rsidR="08AD3465">
        <w:t>představu</w:t>
      </w:r>
      <w:r w:rsidR="08446068">
        <w:t xml:space="preserve">je </w:t>
      </w:r>
      <w:r w:rsidR="08635DAE">
        <w:t xml:space="preserve">mytopoetickou kolektu </w:t>
      </w:r>
      <w:r w:rsidR="08446068">
        <w:t xml:space="preserve">kosmicky </w:t>
      </w:r>
      <w:r w:rsidR="00F76AC9">
        <w:t xml:space="preserve">daných </w:t>
      </w:r>
      <w:r w:rsidR="08446068">
        <w:t>poznatků</w:t>
      </w:r>
      <w:r w:rsidR="00F76AC9">
        <w:t>,</w:t>
      </w:r>
      <w:r w:rsidR="08446068">
        <w:t xml:space="preserve"> univerzálně hypostázovaných ve formě objektivních </w:t>
      </w:r>
      <w:r w:rsidR="08446068" w:rsidRPr="008C1E0B">
        <w:rPr>
          <w:i/>
        </w:rPr>
        <w:t>scibil</w:t>
      </w:r>
      <w:r w:rsidR="00F76AC9">
        <w:rPr>
          <w:i/>
        </w:rPr>
        <w:t>ia</w:t>
      </w:r>
      <w:r w:rsidR="08446068">
        <w:t xml:space="preserve">. </w:t>
      </w:r>
      <w:r w:rsidR="083C572F" w:rsidRPr="00273106">
        <w:t xml:space="preserve">Husserlovo transcendentální </w:t>
      </w:r>
      <w:r w:rsidR="083C572F" w:rsidRPr="003B1DCB">
        <w:rPr>
          <w:i/>
        </w:rPr>
        <w:t>cogito</w:t>
      </w:r>
      <w:r w:rsidR="083C572F" w:rsidRPr="00273106">
        <w:t xml:space="preserve"> </w:t>
      </w:r>
      <w:r w:rsidR="083C572F">
        <w:t xml:space="preserve">provádí </w:t>
      </w:r>
      <w:r w:rsidR="083C572F" w:rsidRPr="00273106">
        <w:t>Avicennovu kolektu eidetických daností v aktu absolutně dané evidence</w:t>
      </w:r>
      <w:r w:rsidR="083C572F">
        <w:fldChar w:fldCharType="begin"/>
      </w:r>
      <w:r w:rsidR="083C572F">
        <w:instrText xml:space="preserve"> XE "</w:instrText>
      </w:r>
      <w:r w:rsidR="083C572F" w:rsidRPr="004D79A7">
        <w:instrText>evidence:</w:instrText>
      </w:r>
      <w:r w:rsidR="083C572F">
        <w:instrText xml:space="preserve">Husserl" </w:instrText>
      </w:r>
      <w:r w:rsidR="083C572F">
        <w:fldChar w:fldCharType="end"/>
      </w:r>
      <w:r w:rsidR="083C572F" w:rsidRPr="00273106">
        <w:t>.</w:t>
      </w:r>
      <w:r w:rsidR="083C572F" w:rsidRPr="00273106">
        <w:rPr>
          <w:rStyle w:val="Znakapoznpodarou"/>
        </w:rPr>
        <w:footnoteReference w:id="449"/>
      </w:r>
      <w:r w:rsidR="083C572F">
        <w:t xml:space="preserve"> </w:t>
      </w:r>
      <w:r w:rsidR="00AC272B" w:rsidRPr="00273106">
        <w:t xml:space="preserve">Tento druh poznání výslovně tematizuje druhý averroismus </w:t>
      </w:r>
      <w:r w:rsidR="08F95133">
        <w:t xml:space="preserve">okolo roku </w:t>
      </w:r>
      <w:r w:rsidR="00AC272B" w:rsidRPr="00273106">
        <w:t>1290 (</w:t>
      </w:r>
      <w:r w:rsidR="00AC272B" w:rsidRPr="00273106">
        <w:rPr>
          <w:i/>
        </w:rPr>
        <w:t xml:space="preserve">per </w:t>
      </w:r>
      <w:r w:rsidR="004B4D52" w:rsidRPr="004B4D52">
        <w:t>species</w:t>
      </w:r>
      <w:r w:rsidR="00AC272B" w:rsidRPr="00273106">
        <w:rPr>
          <w:i/>
        </w:rPr>
        <w:t xml:space="preserve"> collectam</w:t>
      </w:r>
      <w:r w:rsidR="08C65BFD">
        <w:t>; OBJ III, kap. 4</w:t>
      </w:r>
      <w:r w:rsidR="00AC272B" w:rsidRPr="00273106">
        <w:t xml:space="preserve">.6). </w:t>
      </w:r>
      <w:r w:rsidR="083C572F">
        <w:t>Rufuse</w:t>
      </w:r>
      <w:r w:rsidR="081C1E62">
        <w:t>m založená epocha</w:t>
      </w:r>
      <w:r w:rsidR="083C572F">
        <w:t xml:space="preserve"> informatiky </w:t>
      </w:r>
      <w:r w:rsidR="081C1E62">
        <w:t xml:space="preserve">vizionářsky vidí neexistující </w:t>
      </w:r>
      <w:r w:rsidR="083C572F" w:rsidRPr="08F87CB6">
        <w:rPr>
          <w:i/>
        </w:rPr>
        <w:t>scibile</w:t>
      </w:r>
      <w:r w:rsidR="083C572F">
        <w:t xml:space="preserve"> </w:t>
      </w:r>
      <w:r w:rsidR="085C71D4">
        <w:t xml:space="preserve">přímo ve světě, kde porretánsky „exsistují“ </w:t>
      </w:r>
      <w:r w:rsidR="083C572F">
        <w:t xml:space="preserve">v podobě matematických entit </w:t>
      </w:r>
      <w:r w:rsidR="081C1E62">
        <w:t xml:space="preserve">daných </w:t>
      </w:r>
      <w:r w:rsidR="083C572F">
        <w:t xml:space="preserve">v modu </w:t>
      </w:r>
      <w:r w:rsidR="083C572F" w:rsidRPr="003B1DCB">
        <w:rPr>
          <w:i/>
        </w:rPr>
        <w:t>semel</w:t>
      </w:r>
      <w:r w:rsidR="083C572F">
        <w:rPr>
          <w:rFonts w:cs="Calibri"/>
        </w:rPr>
        <w:t>‒</w:t>
      </w:r>
      <w:r w:rsidR="083C572F" w:rsidRPr="003B1DCB">
        <w:rPr>
          <w:i/>
        </w:rPr>
        <w:t>semper</w:t>
      </w:r>
      <w:r w:rsidR="083C572F">
        <w:t xml:space="preserve">. </w:t>
      </w:r>
      <w:r w:rsidR="003D2BD2">
        <w:t>Dnes tuto avicennov</w:t>
      </w:r>
      <w:r w:rsidR="00565289">
        <w:t>s</w:t>
      </w:r>
      <w:r w:rsidR="003D2BD2">
        <w:t xml:space="preserve">kou kolektu </w:t>
      </w:r>
      <w:r w:rsidR="00DA040A">
        <w:t xml:space="preserve">zajišťují </w:t>
      </w:r>
      <w:r w:rsidR="003D2BD2">
        <w:t>cloudové databáze</w:t>
      </w:r>
      <w:r w:rsidR="00565289">
        <w:fldChar w:fldCharType="begin"/>
      </w:r>
      <w:r w:rsidR="00565289">
        <w:instrText xml:space="preserve"> XE "</w:instrText>
      </w:r>
      <w:r w:rsidR="00565289" w:rsidRPr="00565289">
        <w:rPr>
          <w:i/>
        </w:rPr>
        <w:instrText>cloud</w:instrText>
      </w:r>
      <w:r w:rsidR="08555809">
        <w:rPr>
          <w:i/>
        </w:rPr>
        <w:instrText xml:space="preserve"> </w:instrText>
      </w:r>
      <w:r w:rsidR="00565289" w:rsidRPr="00565289">
        <w:rPr>
          <w:i/>
        </w:rPr>
        <w:instrText>computing</w:instrText>
      </w:r>
      <w:r w:rsidR="00565289">
        <w:instrText xml:space="preserve">" </w:instrText>
      </w:r>
      <w:r w:rsidR="00565289">
        <w:fldChar w:fldCharType="end"/>
      </w:r>
      <w:r w:rsidR="003D2BD2">
        <w:t xml:space="preserve">, které reprezentují </w:t>
      </w:r>
      <w:r w:rsidR="08AF03B1">
        <w:t xml:space="preserve">mystický </w:t>
      </w:r>
      <w:r w:rsidR="003D2BD2">
        <w:t xml:space="preserve">oblak současného vědění daný ve formě budhistické máji, sofistického simulákra či Rufusova </w:t>
      </w:r>
      <w:r w:rsidR="003D2BD2" w:rsidRPr="003D2BD2">
        <w:rPr>
          <w:i/>
        </w:rPr>
        <w:t>informatio</w:t>
      </w:r>
      <w:r w:rsidR="003D2BD2">
        <w:t xml:space="preserve">. </w:t>
      </w:r>
      <w:r w:rsidR="002A71AE" w:rsidRPr="00273106">
        <w:t xml:space="preserve">Rozbor Rufusova komentáře k </w:t>
      </w:r>
      <w:r w:rsidR="002A71AE">
        <w:rPr>
          <w:i/>
        </w:rPr>
        <w:t>De anima</w:t>
      </w:r>
      <w:r w:rsidR="002A71AE" w:rsidRPr="00273106">
        <w:t xml:space="preserve"> ukázal, že intencionální syntézu </w:t>
      </w:r>
      <w:r w:rsidR="004B4D52" w:rsidRPr="004B4D52">
        <w:t>species</w:t>
      </w:r>
      <w:r w:rsidR="002A71AE" w:rsidRPr="00273106">
        <w:t xml:space="preserve"> provádí pouze činný intelekt, který odezírá univerzální formy přímo z reálné singulární věci</w:t>
      </w:r>
      <w:r w:rsidR="08B67FE2">
        <w:t xml:space="preserve"> nebo je dostává skrze iluminaci od odděleného </w:t>
      </w:r>
      <w:r w:rsidR="08B67FE2" w:rsidRPr="08B67FE2">
        <w:rPr>
          <w:i/>
        </w:rPr>
        <w:t>intell</w:t>
      </w:r>
      <w:r w:rsidR="08B67FE2">
        <w:rPr>
          <w:i/>
        </w:rPr>
        <w:t>e</w:t>
      </w:r>
      <w:r w:rsidR="08B67FE2" w:rsidRPr="08B67FE2">
        <w:rPr>
          <w:i/>
        </w:rPr>
        <w:t>ctus agens</w:t>
      </w:r>
      <w:r w:rsidR="08E52ABE">
        <w:rPr>
          <w:i/>
        </w:rPr>
        <w:fldChar w:fldCharType="begin"/>
      </w:r>
      <w:r w:rsidR="08E52ABE">
        <w:instrText xml:space="preserve"> XE "</w:instrText>
      </w:r>
      <w:r w:rsidR="08E52ABE" w:rsidRPr="0861219C">
        <w:rPr>
          <w:i/>
        </w:rPr>
        <w:instrText>anima mundi</w:instrText>
      </w:r>
      <w:r w:rsidR="08E52ABE">
        <w:instrText xml:space="preserve">" </w:instrText>
      </w:r>
      <w:r w:rsidR="08E52ABE">
        <w:rPr>
          <w:i/>
        </w:rPr>
        <w:fldChar w:fldCharType="end"/>
      </w:r>
      <w:r w:rsidR="08B67FE2">
        <w:t xml:space="preserve">. </w:t>
      </w:r>
      <w:r w:rsidR="005A7C9D">
        <w:t>Poznán</w:t>
      </w:r>
      <w:r w:rsidR="002E7B17">
        <w:t xml:space="preserve">í této formy ve věcech je dané tím, že mysl ilumináta odezře </w:t>
      </w:r>
      <w:r w:rsidR="006402CB">
        <w:t xml:space="preserve">v procesu denudace tuto formu </w:t>
      </w:r>
      <w:r w:rsidR="002E7B17">
        <w:t xml:space="preserve">z poznaných obsahů v mysli, které </w:t>
      </w:r>
      <w:r w:rsidR="006402CB">
        <w:t xml:space="preserve">se vztahují na poznatky dané </w:t>
      </w:r>
      <w:r w:rsidR="002E7B17">
        <w:t xml:space="preserve">na nižší </w:t>
      </w:r>
      <w:r w:rsidR="006402CB">
        <w:t>smyslové úrovni</w:t>
      </w:r>
      <w:r w:rsidR="002E7B17">
        <w:t xml:space="preserve">. </w:t>
      </w:r>
      <w:r w:rsidR="002A71AE" w:rsidRPr="00273106">
        <w:t xml:space="preserve">A tyto univočně dané formy otiskne </w:t>
      </w:r>
      <w:r w:rsidR="00A66BE4">
        <w:t xml:space="preserve">lidský </w:t>
      </w:r>
      <w:r w:rsidR="008733C9" w:rsidRPr="008733C9">
        <w:rPr>
          <w:i/>
        </w:rPr>
        <w:t>intellectus agens</w:t>
      </w:r>
      <w:r w:rsidR="008733C9">
        <w:t xml:space="preserve"> </w:t>
      </w:r>
      <w:r w:rsidR="002A71AE" w:rsidRPr="00273106">
        <w:t xml:space="preserve">do intelektuálního pasivního média daného </w:t>
      </w:r>
      <w:r w:rsidR="005A7C9D">
        <w:t xml:space="preserve">také </w:t>
      </w:r>
      <w:r w:rsidR="002A71AE" w:rsidRPr="00273106">
        <w:t xml:space="preserve">jako </w:t>
      </w:r>
      <w:r w:rsidR="08DA7248">
        <w:t>substance</w:t>
      </w:r>
      <w:r w:rsidR="005A7C9D">
        <w:t xml:space="preserve">, ale v modu </w:t>
      </w:r>
      <w:r w:rsidR="002A71AE" w:rsidRPr="00273106">
        <w:t>čisté poznávací možnosti</w:t>
      </w:r>
      <w:r w:rsidR="087F5FA7">
        <w:t xml:space="preserve"> (</w:t>
      </w:r>
      <w:r w:rsidR="087F5FA7" w:rsidRPr="087F5FA7">
        <w:rPr>
          <w:i/>
        </w:rPr>
        <w:t>intellectus materialis</w:t>
      </w:r>
      <w:r w:rsidR="087F5FA7">
        <w:t>)</w:t>
      </w:r>
      <w:r w:rsidR="002A71AE" w:rsidRPr="00273106">
        <w:t xml:space="preserve">. Takto </w:t>
      </w:r>
      <w:r w:rsidR="00281C93">
        <w:t xml:space="preserve">otisknuté </w:t>
      </w:r>
      <w:r w:rsidR="002A71AE" w:rsidRPr="00273106">
        <w:t xml:space="preserve">formy </w:t>
      </w:r>
      <w:r w:rsidR="00281C93">
        <w:t xml:space="preserve">dané jako </w:t>
      </w:r>
      <w:r w:rsidR="00281C93" w:rsidRPr="00281C93">
        <w:rPr>
          <w:i/>
        </w:rPr>
        <w:t>scibile</w:t>
      </w:r>
      <w:r w:rsidR="00281C93">
        <w:t xml:space="preserve"> </w:t>
      </w:r>
      <w:r w:rsidR="00A974EF">
        <w:t xml:space="preserve">se </w:t>
      </w:r>
      <w:r w:rsidR="002A71AE" w:rsidRPr="00273106">
        <w:t>pak shrom</w:t>
      </w:r>
      <w:r w:rsidR="00D22411">
        <w:t xml:space="preserve">áždí v paměti </w:t>
      </w:r>
      <w:r w:rsidR="00A974EF">
        <w:t xml:space="preserve">definované </w:t>
      </w:r>
      <w:r w:rsidR="00FF74F9">
        <w:t xml:space="preserve">podle Augustina </w:t>
      </w:r>
      <w:r w:rsidR="00D22411">
        <w:t xml:space="preserve">jako </w:t>
      </w:r>
      <w:r w:rsidR="002A71AE" w:rsidRPr="00273106">
        <w:rPr>
          <w:i/>
        </w:rPr>
        <w:t>locus specierum</w:t>
      </w:r>
      <w:r w:rsidR="00D97E18">
        <w:t>. M</w:t>
      </w:r>
      <w:r w:rsidR="002A71AE" w:rsidRPr="00273106">
        <w:t xml:space="preserve">oderní </w:t>
      </w:r>
      <w:r w:rsidR="002A71AE" w:rsidRPr="00273106">
        <w:rPr>
          <w:i/>
        </w:rPr>
        <w:t>memoria</w:t>
      </w:r>
      <w:r w:rsidR="00E6051F">
        <w:rPr>
          <w:i/>
        </w:rPr>
        <w:fldChar w:fldCharType="begin"/>
      </w:r>
      <w:r w:rsidR="00E6051F">
        <w:instrText xml:space="preserve"> XE "</w:instrText>
      </w:r>
      <w:r w:rsidR="00E6051F" w:rsidRPr="00840D0F">
        <w:rPr>
          <w:i/>
        </w:rPr>
        <w:instrText>memoria:</w:instrText>
      </w:r>
      <w:r w:rsidR="00E6051F" w:rsidRPr="00840D0F">
        <w:instrText>druhý averroismus</w:instrText>
      </w:r>
      <w:r w:rsidR="00E6051F">
        <w:instrText xml:space="preserve">" </w:instrText>
      </w:r>
      <w:r w:rsidR="00E6051F">
        <w:rPr>
          <w:i/>
        </w:rPr>
        <w:fldChar w:fldCharType="end"/>
      </w:r>
      <w:r w:rsidR="002A71AE" w:rsidRPr="00273106">
        <w:t xml:space="preserve"> začne provádět první formu porovnávání s trvalými exempl</w:t>
      </w:r>
      <w:r w:rsidR="00C26D84">
        <w:t xml:space="preserve">ary danými v aktivním kosmickém intelektu. Srovnávání běží skrze proces iluminace, které díky zavedení exemplarů začíná </w:t>
      </w:r>
      <w:r w:rsidR="002A71AE" w:rsidRPr="00273106">
        <w:t xml:space="preserve">přímo od </w:t>
      </w:r>
      <w:r w:rsidR="00C26D84">
        <w:t xml:space="preserve">moderního </w:t>
      </w:r>
      <w:r w:rsidR="002A71AE" w:rsidRPr="00273106">
        <w:t xml:space="preserve">boha. </w:t>
      </w:r>
      <w:r w:rsidR="08E17808">
        <w:t>P</w:t>
      </w:r>
      <w:r w:rsidR="08E17808" w:rsidRPr="00273106">
        <w:t xml:space="preserve">ravda </w:t>
      </w:r>
      <w:r w:rsidR="088D59F1">
        <w:t xml:space="preserve">je </w:t>
      </w:r>
      <w:r w:rsidR="08E17808">
        <w:t xml:space="preserve">podobnost jedné a téže </w:t>
      </w:r>
      <w:r w:rsidR="004B4D52" w:rsidRPr="004B4D52">
        <w:t>species</w:t>
      </w:r>
      <w:r w:rsidR="08E17808">
        <w:t xml:space="preserve"> dané nejprve v singulární formě </w:t>
      </w:r>
      <w:r w:rsidR="089B392D">
        <w:t xml:space="preserve">kosmické univerzální formy </w:t>
      </w:r>
      <w:r w:rsidR="08E17808">
        <w:t>existující u sebe a pro sebe.</w:t>
      </w:r>
      <w:r w:rsidR="08E17808" w:rsidRPr="00273106">
        <w:rPr>
          <w:rStyle w:val="Znakapoznpodarou"/>
        </w:rPr>
        <w:footnoteReference w:id="450"/>
      </w:r>
      <w:r w:rsidR="08E17808">
        <w:t xml:space="preserve"> </w:t>
      </w:r>
      <w:r w:rsidR="083D328B">
        <w:t>Odtud je v modu objektivního přivlastnění moderně zvaného „poznání“ denudována (</w:t>
      </w:r>
      <w:r w:rsidR="083D328B" w:rsidRPr="083D328B">
        <w:rPr>
          <w:i/>
        </w:rPr>
        <w:t>forma universalis cum condicionibus appropriantibus ipsam</w:t>
      </w:r>
      <w:r w:rsidR="083D328B">
        <w:t xml:space="preserve">). Pak se tato forma </w:t>
      </w:r>
      <w:r w:rsidR="08F7270E">
        <w:t xml:space="preserve">v modu demiurgické asimilace </w:t>
      </w:r>
      <w:r w:rsidR="083D328B">
        <w:t xml:space="preserve">porovnává se stejnou formou abstrahovanou z reálného světa. </w:t>
      </w:r>
      <w:r w:rsidR="08DE18BB">
        <w:t>Základní chybou moderních a</w:t>
      </w:r>
      <w:r w:rsidR="00554229" w:rsidRPr="00273106">
        <w:t>lexandrovců</w:t>
      </w:r>
      <w:r w:rsidR="00554229">
        <w:fldChar w:fldCharType="begin"/>
      </w:r>
      <w:r w:rsidR="00554229">
        <w:instrText xml:space="preserve"> XE "</w:instrText>
      </w:r>
      <w:r w:rsidR="08DE18BB">
        <w:instrText>alexandrovci</w:instrText>
      </w:r>
      <w:r w:rsidR="00554229">
        <w:instrText xml:space="preserve">" </w:instrText>
      </w:r>
      <w:r w:rsidR="00554229">
        <w:fldChar w:fldCharType="end"/>
      </w:r>
      <w:r w:rsidR="00554229" w:rsidRPr="00273106">
        <w:t xml:space="preserve"> typu Rufuse a Husserla</w:t>
      </w:r>
      <w:r w:rsidR="00554229">
        <w:fldChar w:fldCharType="begin"/>
      </w:r>
      <w:r w:rsidR="00554229">
        <w:instrText xml:space="preserve"> XE "</w:instrText>
      </w:r>
      <w:r w:rsidR="00554229" w:rsidRPr="000710C4">
        <w:instrText>Husserl, E.</w:instrText>
      </w:r>
      <w:r w:rsidR="00554229">
        <w:instrText xml:space="preserve">" </w:instrText>
      </w:r>
      <w:r w:rsidR="00554229">
        <w:fldChar w:fldCharType="end"/>
      </w:r>
      <w:r w:rsidR="00554229" w:rsidRPr="00273106">
        <w:t xml:space="preserve"> je neschopnost prohlédnout </w:t>
      </w:r>
      <w:r w:rsidR="00554229">
        <w:t>Averroes</w:t>
      </w:r>
      <w:r w:rsidR="00554229" w:rsidRPr="00273106">
        <w:t xml:space="preserve">em založený druh intencionality jako skutečné </w:t>
      </w:r>
      <w:r w:rsidR="00554229" w:rsidRPr="00273106">
        <w:rPr>
          <w:i/>
        </w:rPr>
        <w:t>proportio</w:t>
      </w:r>
      <w:r w:rsidR="00554229" w:rsidRPr="00273106">
        <w:t xml:space="preserve"> materiální věci a nemateriálního intelektu.</w:t>
      </w:r>
      <w:r w:rsidR="00554229">
        <w:t xml:space="preserve"> D</w:t>
      </w:r>
      <w:r w:rsidR="00554229" w:rsidRPr="00273106">
        <w:t>ualismus dvou oddělených druhů poznání nedovoluje žádnou adekvaci mezi materiálními smysly a nemateriálním intelektem</w:t>
      </w:r>
      <w:r w:rsidR="00554229">
        <w:fldChar w:fldCharType="begin"/>
      </w:r>
      <w:r w:rsidR="00554229">
        <w:instrText xml:space="preserve"> XE "</w:instrText>
      </w:r>
      <w:r w:rsidR="00554229" w:rsidRPr="00B01004">
        <w:instrText>osoba:dualismus</w:instrText>
      </w:r>
      <w:r w:rsidR="00554229">
        <w:instrText xml:space="preserve">" </w:instrText>
      </w:r>
      <w:r w:rsidR="00554229">
        <w:fldChar w:fldCharType="end"/>
      </w:r>
      <w:r w:rsidR="00554229" w:rsidRPr="00273106">
        <w:t>.</w:t>
      </w:r>
      <w:r w:rsidR="00554229">
        <w:t xml:space="preserve"> Subjekt</w:t>
      </w:r>
      <w:r w:rsidR="005D2846">
        <w:t xml:space="preserve">ivní styl poznání v modu pravdy jako </w:t>
      </w:r>
      <w:r w:rsidR="00554229" w:rsidRPr="009110E9">
        <w:rPr>
          <w:i/>
        </w:rPr>
        <w:t>speculatio</w:t>
      </w:r>
      <w:r w:rsidR="08F0090B">
        <w:t xml:space="preserve"> </w:t>
      </w:r>
      <w:r w:rsidR="00554229">
        <w:t xml:space="preserve">zkoumá a skladuje </w:t>
      </w:r>
      <w:r w:rsidR="08860F86">
        <w:t xml:space="preserve">pouze </w:t>
      </w:r>
      <w:r w:rsidR="00554229">
        <w:t xml:space="preserve">vlastní </w:t>
      </w:r>
      <w:r w:rsidR="00554229" w:rsidRPr="00B01F8B">
        <w:rPr>
          <w:i/>
        </w:rPr>
        <w:t>scibil</w:t>
      </w:r>
      <w:r w:rsidR="005D2846">
        <w:rPr>
          <w:i/>
        </w:rPr>
        <w:t>ia</w:t>
      </w:r>
      <w:r w:rsidR="08F7270E">
        <w:t xml:space="preserve">. Tento narcistní styl </w:t>
      </w:r>
      <w:r w:rsidR="08F0090B">
        <w:t xml:space="preserve">moderny a </w:t>
      </w:r>
      <w:r w:rsidR="08F7270E">
        <w:t xml:space="preserve">postmoderny v paradigmatu pravdy jako asimilace nepovažuje </w:t>
      </w:r>
      <w:r w:rsidR="08E31605">
        <w:t xml:space="preserve">pod vlivem moderních Fúrií </w:t>
      </w:r>
      <w:r w:rsidR="08F7270E">
        <w:fldChar w:fldCharType="begin"/>
      </w:r>
      <w:r w:rsidR="08F7270E">
        <w:instrText xml:space="preserve"> XE "</w:instrText>
      </w:r>
      <w:r w:rsidR="08F7270E" w:rsidRPr="00C573FC">
        <w:instrText>pravda:asimilace</w:instrText>
      </w:r>
      <w:r w:rsidR="08F7270E">
        <w:instrText xml:space="preserve">" </w:instrText>
      </w:r>
      <w:r w:rsidR="08F7270E">
        <w:fldChar w:fldCharType="end"/>
      </w:r>
      <w:r w:rsidR="08F7270E">
        <w:t>realitu</w:t>
      </w:r>
      <w:r w:rsidR="00554229">
        <w:t xml:space="preserve"> první substance </w:t>
      </w:r>
      <w:r w:rsidR="08F7270E">
        <w:t>za důležitou pro poznání</w:t>
      </w:r>
      <w:r w:rsidR="00554229">
        <w:t xml:space="preserve">. </w:t>
      </w:r>
      <w:r w:rsidR="002A71AE" w:rsidRPr="00273106">
        <w:t>Druhý averroismus neměl adekvaci intelektu a extramentální věci jako CMDA</w:t>
      </w:r>
      <w:r w:rsidR="000F3392">
        <w:t xml:space="preserve"> ve výkladu Sicilské školy</w:t>
      </w:r>
      <w:r w:rsidR="08C020F1">
        <w:fldChar w:fldCharType="begin"/>
      </w:r>
      <w:r w:rsidR="08C020F1">
        <w:instrText xml:space="preserve"> XE "Sicilská škola" </w:instrText>
      </w:r>
      <w:r w:rsidR="08C020F1">
        <w:fldChar w:fldCharType="end"/>
      </w:r>
      <w:r w:rsidR="00D34A2B">
        <w:t xml:space="preserve">. </w:t>
      </w:r>
      <w:r w:rsidR="08C020F1">
        <w:t>R</w:t>
      </w:r>
      <w:r w:rsidR="00A416CE">
        <w:t xml:space="preserve">ufus </w:t>
      </w:r>
      <w:r w:rsidR="002A71AE" w:rsidRPr="00273106">
        <w:t xml:space="preserve">popíral nemateriální a </w:t>
      </w:r>
      <w:r w:rsidR="00D34A2B">
        <w:t xml:space="preserve">personalizovaný </w:t>
      </w:r>
      <w:r w:rsidR="00D34A2B">
        <w:rPr>
          <w:i/>
        </w:rPr>
        <w:t>i</w:t>
      </w:r>
      <w:r w:rsidR="002A71AE" w:rsidRPr="00273106">
        <w:rPr>
          <w:i/>
        </w:rPr>
        <w:t>ntellectus possibilis</w:t>
      </w:r>
      <w:r w:rsidR="08C020F1">
        <w:t xml:space="preserve"> jako schopnost </w:t>
      </w:r>
      <w:r w:rsidR="00D34A2B">
        <w:t xml:space="preserve">existující </w:t>
      </w:r>
      <w:r w:rsidR="08C020F1">
        <w:t>duše</w:t>
      </w:r>
      <w:r w:rsidR="00D34A2B">
        <w:t xml:space="preserve"> </w:t>
      </w:r>
      <w:r w:rsidR="00D34A2B">
        <w:rPr>
          <w:lang w:eastAsia="en-US"/>
        </w:rPr>
        <w:t>(</w:t>
      </w:r>
      <w:r w:rsidR="00D34A2B" w:rsidRPr="002F3C60">
        <w:rPr>
          <w:i/>
          <w:lang w:eastAsia="en-US"/>
        </w:rPr>
        <w:t>tertium genus</w:t>
      </w:r>
      <w:r w:rsidR="00D34A2B">
        <w:rPr>
          <w:lang w:eastAsia="en-US"/>
        </w:rPr>
        <w:t>)</w:t>
      </w:r>
      <w:r w:rsidR="08C020F1">
        <w:t xml:space="preserve">. Místo toho dosadil Themistiův </w:t>
      </w:r>
      <w:r w:rsidR="08C020F1" w:rsidRPr="083E46AB">
        <w:rPr>
          <w:i/>
        </w:rPr>
        <w:t>intellectus materialis</w:t>
      </w:r>
      <w:r w:rsidR="00092773">
        <w:t xml:space="preserve"> jako oddělenou hypostázi. Pak hypostázoval </w:t>
      </w:r>
      <w:r w:rsidR="083E46AB">
        <w:t xml:space="preserve">receptivní a aktivní intelekt daný podle CMDA v modu </w:t>
      </w:r>
      <w:r w:rsidR="083E46AB" w:rsidRPr="083E46AB">
        <w:rPr>
          <w:i/>
        </w:rPr>
        <w:t>inmixtus</w:t>
      </w:r>
      <w:r w:rsidR="083E46AB">
        <w:t xml:space="preserve"> jako oddělenou kosmickou substanci. </w:t>
      </w:r>
      <w:r w:rsidR="00092773">
        <w:t xml:space="preserve">Rufus </w:t>
      </w:r>
      <w:r w:rsidR="00281C93">
        <w:t xml:space="preserve">nemohl provést základní rozlišení </w:t>
      </w:r>
      <w:r w:rsidR="002A71AE" w:rsidRPr="00273106">
        <w:t xml:space="preserve">mezi statutem </w:t>
      </w:r>
      <w:r w:rsidR="002A71AE" w:rsidRPr="00273106">
        <w:rPr>
          <w:i/>
        </w:rPr>
        <w:t>tertium</w:t>
      </w:r>
      <w:r w:rsidR="002A71AE" w:rsidRPr="00273106">
        <w:t xml:space="preserve"> a </w:t>
      </w:r>
      <w:r w:rsidR="002A71AE" w:rsidRPr="00273106">
        <w:rPr>
          <w:i/>
        </w:rPr>
        <w:t xml:space="preserve">quartum </w:t>
      </w:r>
      <w:r w:rsidR="00B1298A">
        <w:rPr>
          <w:i/>
        </w:rPr>
        <w:t>genus</w:t>
      </w:r>
      <w:r w:rsidR="00982C89">
        <w:rPr>
          <w:i/>
        </w:rPr>
        <w:fldChar w:fldCharType="begin"/>
      </w:r>
      <w:r w:rsidR="00982C89">
        <w:instrText xml:space="preserve"> XE "</w:instrText>
      </w:r>
      <w:r w:rsidR="00F668C0" w:rsidRPr="00F668C0">
        <w:rPr>
          <w:i/>
        </w:rPr>
        <w:instrText>tertium</w:instrText>
      </w:r>
      <w:r w:rsidR="00F668C0">
        <w:instrText xml:space="preserve"> </w:instrText>
      </w:r>
      <w:r w:rsidR="00982C89" w:rsidRPr="00191848">
        <w:rPr>
          <w:i/>
        </w:rPr>
        <w:instrText>genus</w:instrText>
      </w:r>
      <w:r w:rsidR="00982C89">
        <w:instrText xml:space="preserve">" </w:instrText>
      </w:r>
      <w:r w:rsidR="00982C89">
        <w:rPr>
          <w:i/>
        </w:rPr>
        <w:fldChar w:fldCharType="end"/>
      </w:r>
      <w:r w:rsidR="002A71AE" w:rsidRPr="00273106">
        <w:t xml:space="preserve"> </w:t>
      </w:r>
      <w:r w:rsidR="00281C93">
        <w:t xml:space="preserve">dané </w:t>
      </w:r>
      <w:r w:rsidR="002A71AE" w:rsidRPr="00273106">
        <w:t>v CMDA (</w:t>
      </w:r>
      <w:r w:rsidR="08124F8D">
        <w:t xml:space="preserve">OBJ I, </w:t>
      </w:r>
      <w:r w:rsidR="002A71AE" w:rsidRPr="00273106">
        <w:t xml:space="preserve">kap. 2.4.3). </w:t>
      </w:r>
      <w:r w:rsidR="001A6204">
        <w:t>Možný</w:t>
      </w:r>
      <w:r w:rsidR="005F34AC">
        <w:t xml:space="preserve"> intelekt je </w:t>
      </w:r>
      <w:r w:rsidR="00874074">
        <w:t>neoplatonsk</w:t>
      </w:r>
      <w:r w:rsidR="005F34AC">
        <w:t>á substance daná zvnějšku, která se vnějšně spojuje s jednotlivcem.</w:t>
      </w:r>
      <w:r w:rsidR="085434EA">
        <w:t xml:space="preserve"> Rufus má formálně stejný scénář receptivního kosmického intelektu jako měl David z Dinantu</w:t>
      </w:r>
      <w:r w:rsidR="08BE276F">
        <w:t>, což v Paříži za biskupa Alverna nemohlo mít velký úspěch</w:t>
      </w:r>
      <w:r w:rsidR="085434EA">
        <w:t>.</w:t>
      </w:r>
    </w:p>
    <w:p w14:paraId="2A3C9D20" w14:textId="49DC175A" w:rsidR="002A71AE" w:rsidRPr="00273106" w:rsidRDefault="002A71AE" w:rsidP="002A71AE">
      <w:pPr>
        <w:pStyle w:val="Citace"/>
        <w:rPr>
          <w:noProof/>
          <w:lang w:val="cs-CZ"/>
        </w:rPr>
      </w:pPr>
      <w:r w:rsidRPr="00273106">
        <w:rPr>
          <w:noProof/>
          <w:lang w:val="cs-CZ"/>
        </w:rPr>
        <w:t xml:space="preserve">„Připomeňme, že možný intelekt je dán zvnějšku a je něco božského </w:t>
      </w:r>
      <w:r w:rsidR="08C35694">
        <w:rPr>
          <w:noProof/>
          <w:lang w:val="cs-CZ"/>
        </w:rPr>
        <w:t>(</w:t>
      </w:r>
      <w:r w:rsidR="08C35694" w:rsidRPr="08C35694">
        <w:rPr>
          <w:i/>
        </w:rPr>
        <w:t>intellectus possibilis est ab extra et est quiddam divinum</w:t>
      </w:r>
      <w:r w:rsidR="08C35694">
        <w:rPr>
          <w:noProof/>
          <w:lang w:val="cs-CZ"/>
        </w:rPr>
        <w:t xml:space="preserve">) </w:t>
      </w:r>
      <w:r w:rsidRPr="00273106">
        <w:rPr>
          <w:noProof/>
          <w:lang w:val="cs-CZ"/>
        </w:rPr>
        <w:t xml:space="preserve">a spojuje se s člověkem tím, </w:t>
      </w:r>
      <w:r w:rsidR="00641B3B">
        <w:rPr>
          <w:noProof/>
          <w:lang w:val="cs-CZ"/>
        </w:rPr>
        <w:t xml:space="preserve">že </w:t>
      </w:r>
      <w:r w:rsidR="00AC21C0">
        <w:rPr>
          <w:noProof/>
          <w:lang w:val="cs-CZ"/>
        </w:rPr>
        <w:t>je vložen</w:t>
      </w:r>
      <w:r w:rsidRPr="00273106">
        <w:rPr>
          <w:noProof/>
          <w:lang w:val="cs-CZ"/>
        </w:rPr>
        <w:t xml:space="preserve"> do jeho substance</w:t>
      </w:r>
      <w:r w:rsidR="005F34AC">
        <w:rPr>
          <w:noProof/>
          <w:lang w:val="cs-CZ"/>
        </w:rPr>
        <w:t xml:space="preserve"> (</w:t>
      </w:r>
      <w:r w:rsidR="005F34AC" w:rsidRPr="005F34AC">
        <w:rPr>
          <w:i/>
        </w:rPr>
        <w:t>copulatur cum homine per substantiae infusionem</w:t>
      </w:r>
      <w:r w:rsidR="005F34AC">
        <w:rPr>
          <w:noProof/>
          <w:lang w:val="cs-CZ"/>
        </w:rPr>
        <w:t>)</w:t>
      </w:r>
      <w:r w:rsidR="009D1497">
        <w:rPr>
          <w:noProof/>
          <w:lang w:val="cs-CZ"/>
        </w:rPr>
        <w:t>. Je současně stvořený a vložený</w:t>
      </w:r>
      <w:r w:rsidRPr="00273106">
        <w:rPr>
          <w:noProof/>
          <w:lang w:val="cs-CZ"/>
        </w:rPr>
        <w:t xml:space="preserve">, a takto </w:t>
      </w:r>
      <w:r w:rsidR="009D1497">
        <w:rPr>
          <w:noProof/>
          <w:lang w:val="cs-CZ"/>
        </w:rPr>
        <w:t xml:space="preserve">umístěný v  </w:t>
      </w:r>
      <w:r w:rsidRPr="00273106">
        <w:rPr>
          <w:noProof/>
          <w:lang w:val="cs-CZ"/>
        </w:rPr>
        <w:t>člověk</w:t>
      </w:r>
      <w:r w:rsidR="009D1497">
        <w:rPr>
          <w:noProof/>
          <w:lang w:val="cs-CZ"/>
        </w:rPr>
        <w:t>u</w:t>
      </w:r>
      <w:r w:rsidRPr="00273106">
        <w:rPr>
          <w:noProof/>
          <w:lang w:val="cs-CZ"/>
        </w:rPr>
        <w:t xml:space="preserve"> je již numericky odlišný a individualizovaný </w:t>
      </w:r>
      <w:r w:rsidR="005F34AC">
        <w:rPr>
          <w:noProof/>
          <w:lang w:val="cs-CZ"/>
        </w:rPr>
        <w:t xml:space="preserve">jak ze </w:t>
      </w:r>
      <w:r w:rsidRPr="00273106">
        <w:rPr>
          <w:noProof/>
          <w:lang w:val="cs-CZ"/>
        </w:rPr>
        <w:t>sebe</w:t>
      </w:r>
      <w:r w:rsidR="005F34AC">
        <w:rPr>
          <w:noProof/>
          <w:lang w:val="cs-CZ"/>
        </w:rPr>
        <w:t xml:space="preserve">, tak i </w:t>
      </w:r>
      <w:r w:rsidRPr="00273106">
        <w:rPr>
          <w:noProof/>
          <w:lang w:val="cs-CZ"/>
        </w:rPr>
        <w:t xml:space="preserve">ze své podstaty </w:t>
      </w:r>
      <w:r w:rsidR="005F34AC">
        <w:rPr>
          <w:noProof/>
          <w:lang w:val="cs-CZ"/>
        </w:rPr>
        <w:t xml:space="preserve">dané </w:t>
      </w:r>
      <w:r w:rsidRPr="00273106">
        <w:rPr>
          <w:noProof/>
          <w:lang w:val="cs-CZ"/>
        </w:rPr>
        <w:t>ve všech lidech</w:t>
      </w:r>
      <w:r w:rsidR="000201F1">
        <w:rPr>
          <w:noProof/>
          <w:lang w:val="cs-CZ"/>
        </w:rPr>
        <w:t xml:space="preserve">. </w:t>
      </w:r>
      <w:r w:rsidR="000201F1" w:rsidRPr="000201F1">
        <w:rPr>
          <w:noProof/>
          <w:lang w:val="cs-CZ"/>
        </w:rPr>
        <w:t xml:space="preserve">Tímto způsobem je </w:t>
      </w:r>
      <w:r w:rsidR="000201F1" w:rsidRPr="00273106">
        <w:rPr>
          <w:noProof/>
          <w:lang w:val="cs-CZ"/>
        </w:rPr>
        <w:t xml:space="preserve">možný intelekt </w:t>
      </w:r>
      <w:r w:rsidR="000201F1" w:rsidRPr="000201F1">
        <w:rPr>
          <w:noProof/>
          <w:lang w:val="cs-CZ"/>
        </w:rPr>
        <w:t xml:space="preserve">přítomen ve všech </w:t>
      </w:r>
      <w:r w:rsidR="000201F1">
        <w:rPr>
          <w:noProof/>
          <w:lang w:val="cs-CZ"/>
        </w:rPr>
        <w:t>lidech, proto</w:t>
      </w:r>
      <w:r w:rsidR="00D12CCF">
        <w:rPr>
          <w:noProof/>
          <w:lang w:val="cs-CZ"/>
        </w:rPr>
        <w:t>že je d</w:t>
      </w:r>
      <w:r w:rsidR="000201F1">
        <w:rPr>
          <w:noProof/>
          <w:lang w:val="cs-CZ"/>
        </w:rPr>
        <w:t xml:space="preserve">o nich </w:t>
      </w:r>
      <w:r w:rsidR="00C0712B">
        <w:rPr>
          <w:noProof/>
          <w:lang w:val="cs-CZ"/>
        </w:rPr>
        <w:t xml:space="preserve">takto </w:t>
      </w:r>
      <w:r w:rsidR="000201F1" w:rsidRPr="000201F1">
        <w:rPr>
          <w:noProof/>
          <w:lang w:val="cs-CZ"/>
        </w:rPr>
        <w:t>vložen</w:t>
      </w:r>
      <w:r w:rsidRPr="00273106">
        <w:rPr>
          <w:noProof/>
          <w:lang w:val="cs-CZ"/>
        </w:rPr>
        <w:t xml:space="preserve">.“ </w:t>
      </w:r>
      <w:r w:rsidRPr="00273106">
        <w:rPr>
          <w:rStyle w:val="Znakapoznpodarou"/>
          <w:noProof/>
          <w:lang w:val="cs-CZ"/>
        </w:rPr>
        <w:footnoteReference w:id="451"/>
      </w:r>
    </w:p>
    <w:p w14:paraId="046C93D9" w14:textId="50C1DC89" w:rsidR="00EC6BAB" w:rsidRDefault="002A71AE" w:rsidP="00FE2C72">
      <w:r w:rsidRPr="00273106">
        <w:t xml:space="preserve">Citát shrnuje dvě základní charakteristiky možného intelektu, které budou v další dekádě tvořit jádro sporu </w:t>
      </w:r>
      <w:r w:rsidR="08860F86">
        <w:t xml:space="preserve">o </w:t>
      </w:r>
      <w:r w:rsidR="00D20D35">
        <w:t>averroismus</w:t>
      </w:r>
      <w:r w:rsidR="00F668C0">
        <w:fldChar w:fldCharType="begin"/>
      </w:r>
      <w:r w:rsidR="00F668C0">
        <w:instrText xml:space="preserve"> XE "</w:instrText>
      </w:r>
      <w:r w:rsidR="00F668C0" w:rsidRPr="00F20CB2">
        <w:instrText>averroismus:vznik</w:instrText>
      </w:r>
      <w:r w:rsidR="00F668C0">
        <w:instrText xml:space="preserve">" </w:instrText>
      </w:r>
      <w:r w:rsidR="00F668C0">
        <w:fldChar w:fldCharType="end"/>
      </w:r>
      <w:r w:rsidR="00D20D35">
        <w:t>. R</w:t>
      </w:r>
      <w:r w:rsidRPr="00273106">
        <w:t>eceptivní intelekt je samostatná substance z řádu kosmických inteligencí a přichází k člověku zvnějšku (</w:t>
      </w:r>
      <w:r w:rsidRPr="00273106">
        <w:rPr>
          <w:i/>
        </w:rPr>
        <w:t>intellectus possibilis est ab extra et est quiddam divinum</w:t>
      </w:r>
      <w:r w:rsidR="00D20D35">
        <w:t>). T</w:t>
      </w:r>
      <w:r w:rsidRPr="00273106">
        <w:t xml:space="preserve">akto daný intelekt se spojuje s lidským intelektem tím, že mu předá vlastní hypostázi </w:t>
      </w:r>
      <w:r w:rsidR="08807663">
        <w:t xml:space="preserve">pomocí akademicky pojaté kopulace </w:t>
      </w:r>
      <w:r w:rsidRPr="00273106">
        <w:t>(</w:t>
      </w:r>
      <w:r w:rsidRPr="00273106">
        <w:rPr>
          <w:i/>
        </w:rPr>
        <w:t>copulatur cum homine per substantiae infusionem</w:t>
      </w:r>
      <w:r w:rsidRPr="00273106">
        <w:t xml:space="preserve">). </w:t>
      </w:r>
      <w:r w:rsidR="008F6F2C">
        <w:t>I</w:t>
      </w:r>
      <w:r w:rsidRPr="00273106">
        <w:t xml:space="preserve">ndividuace singulárně-univerzálního </w:t>
      </w:r>
      <w:r w:rsidRPr="00273106">
        <w:rPr>
          <w:i/>
        </w:rPr>
        <w:t xml:space="preserve">intellectus possibilis </w:t>
      </w:r>
      <w:r w:rsidRPr="00273106">
        <w:t>vzniká na základě přijetí exter</w:t>
      </w:r>
      <w:r w:rsidR="001A6204">
        <w:t>ní substance třetího druhu</w:t>
      </w:r>
      <w:r w:rsidR="008F6F2C">
        <w:t xml:space="preserve"> a </w:t>
      </w:r>
      <w:r w:rsidR="001A6204">
        <w:t>je dána aktem</w:t>
      </w:r>
      <w:r w:rsidR="001A6204" w:rsidRPr="00273106">
        <w:t xml:space="preserve"> akcidentální aktualizace této externí aktuální formy v </w:t>
      </w:r>
      <w:r w:rsidR="001A6204">
        <w:t xml:space="preserve">jednotlivci. </w:t>
      </w:r>
      <w:r w:rsidR="00A65DC7">
        <w:t xml:space="preserve">Interakce </w:t>
      </w:r>
      <w:r w:rsidR="00117B6A">
        <w:t xml:space="preserve">kosmické a lidské formy </w:t>
      </w:r>
      <w:r w:rsidR="008F6F2C">
        <w:t xml:space="preserve">vzniká </w:t>
      </w:r>
      <w:r w:rsidR="00A65DC7">
        <w:t xml:space="preserve">vlitím nebo </w:t>
      </w:r>
      <w:r w:rsidR="00116A2A">
        <w:t xml:space="preserve">spojením </w:t>
      </w:r>
      <w:r w:rsidR="00116A2A">
        <w:rPr>
          <w:szCs w:val="24"/>
        </w:rPr>
        <w:t>(</w:t>
      </w:r>
      <w:r w:rsidR="00116A2A" w:rsidRPr="00CE73CA">
        <w:rPr>
          <w:i/>
          <w:szCs w:val="24"/>
        </w:rPr>
        <w:t>copulatio</w:t>
      </w:r>
      <w:r w:rsidR="00116A2A">
        <w:rPr>
          <w:szCs w:val="24"/>
        </w:rPr>
        <w:t>)</w:t>
      </w:r>
      <w:r w:rsidR="00116A2A" w:rsidRPr="00DC6664">
        <w:rPr>
          <w:szCs w:val="24"/>
        </w:rPr>
        <w:t xml:space="preserve"> </w:t>
      </w:r>
      <w:r w:rsidR="00A65DC7">
        <w:t xml:space="preserve">kosmického intelektu </w:t>
      </w:r>
      <w:r w:rsidR="00117B6A">
        <w:t xml:space="preserve">s adaptovanou hypostází danou v </w:t>
      </w:r>
      <w:r w:rsidR="082A103C">
        <w:t xml:space="preserve">lidské </w:t>
      </w:r>
      <w:r w:rsidR="00A65DC7" w:rsidRPr="00A65DC7">
        <w:rPr>
          <w:i/>
        </w:rPr>
        <w:t>anima intellectiva</w:t>
      </w:r>
      <w:r w:rsidR="00A65DC7">
        <w:t>.</w:t>
      </w:r>
      <w:r w:rsidR="002304DE">
        <w:t xml:space="preserve"> </w:t>
      </w:r>
      <w:r w:rsidR="008F6F2C">
        <w:t xml:space="preserve">Substanční jednota receptivního intelektu jako hypostázované kosmické nemateriální substance tak dostává akcidentální </w:t>
      </w:r>
      <w:r w:rsidR="00581CC9">
        <w:t xml:space="preserve">impozici </w:t>
      </w:r>
      <w:r w:rsidR="008F6F2C">
        <w:t>v</w:t>
      </w:r>
      <w:r w:rsidR="00581CC9">
        <w:t xml:space="preserve"> numericky odlišeném </w:t>
      </w:r>
      <w:r w:rsidR="00581CC9" w:rsidRPr="00581CC9">
        <w:rPr>
          <w:i/>
        </w:rPr>
        <w:t>individuum</w:t>
      </w:r>
      <w:r w:rsidR="008F6F2C">
        <w:t xml:space="preserve">. </w:t>
      </w:r>
      <w:r w:rsidRPr="00273106">
        <w:t xml:space="preserve">Specifickou univerzální potenci oddělené a nemateriální schopnosti intelektu musel </w:t>
      </w:r>
      <w:r w:rsidR="08AE4A11">
        <w:t xml:space="preserve">neoplatonik </w:t>
      </w:r>
      <w:r w:rsidRPr="00273106">
        <w:t xml:space="preserve">Rufus dát mimo </w:t>
      </w:r>
      <w:r w:rsidR="005D4E0E">
        <w:t xml:space="preserve">osobní </w:t>
      </w:r>
      <w:r w:rsidRPr="00273106">
        <w:t>duši člověka (</w:t>
      </w:r>
      <w:r w:rsidRPr="00273106">
        <w:rPr>
          <w:i/>
        </w:rPr>
        <w:t>ab extra</w:t>
      </w:r>
      <w:r w:rsidRPr="00273106">
        <w:t xml:space="preserve">). Numerická jednota </w:t>
      </w:r>
      <w:r w:rsidRPr="00273106">
        <w:rPr>
          <w:i/>
        </w:rPr>
        <w:t xml:space="preserve">intellectus possibilis </w:t>
      </w:r>
      <w:r w:rsidRPr="00273106">
        <w:t>je daná v něm samotném (</w:t>
      </w:r>
      <w:r w:rsidRPr="00273106">
        <w:rPr>
          <w:i/>
        </w:rPr>
        <w:t>individuatus ex se</w:t>
      </w:r>
      <w:r w:rsidRPr="00273106">
        <w:t xml:space="preserve">), protože ve své externí podobě mimo jednotlivce existuje jako </w:t>
      </w:r>
      <w:r w:rsidR="08AE4A11">
        <w:t xml:space="preserve">kosmická a božská </w:t>
      </w:r>
      <w:r w:rsidRPr="00273106">
        <w:t>substance třetího druhu (</w:t>
      </w:r>
      <w:r w:rsidRPr="00273106">
        <w:rPr>
          <w:i/>
        </w:rPr>
        <w:t>hoc aliquid</w:t>
      </w:r>
      <w:r w:rsidR="009A43F5">
        <w:rPr>
          <w:i/>
        </w:rPr>
        <w:fldChar w:fldCharType="begin"/>
      </w:r>
      <w:r w:rsidR="009A43F5">
        <w:instrText xml:space="preserve"> XE "</w:instrText>
      </w:r>
      <w:r w:rsidR="00130B2B">
        <w:instrText>intelekt:numericky jednotný</w:instrText>
      </w:r>
      <w:r w:rsidR="009A43F5">
        <w:instrText xml:space="preserve">" </w:instrText>
      </w:r>
      <w:r w:rsidR="009A43F5">
        <w:rPr>
          <w:i/>
        </w:rPr>
        <w:fldChar w:fldCharType="end"/>
      </w:r>
      <w:r w:rsidRPr="00273106">
        <w:t xml:space="preserve">). </w:t>
      </w:r>
      <w:r w:rsidR="001559A1">
        <w:t xml:space="preserve">Touto materiální a tím i numerickou identitou </w:t>
      </w:r>
      <w:r w:rsidR="008F6F2C">
        <w:t>se odlišuje receptivní intelekt od činného, který je čistá aktuální forma</w:t>
      </w:r>
      <w:r w:rsidR="004E351A">
        <w:fldChar w:fldCharType="begin"/>
      </w:r>
      <w:r w:rsidR="004E351A">
        <w:instrText xml:space="preserve"> XE "intele</w:instrText>
      </w:r>
      <w:r w:rsidR="004E351A" w:rsidRPr="009F6AC3">
        <w:instrText>k</w:instrText>
      </w:r>
      <w:r w:rsidR="004E351A">
        <w:instrText>t</w:instrText>
      </w:r>
      <w:r w:rsidR="004E351A" w:rsidRPr="009F6AC3">
        <w:instrText>:</w:instrText>
      </w:r>
      <w:r w:rsidR="004E351A" w:rsidRPr="004E351A">
        <w:rPr>
          <w:i/>
        </w:rPr>
        <w:instrText>ipse</w:instrText>
      </w:r>
      <w:r w:rsidR="004E351A">
        <w:instrText>‒</w:instrText>
      </w:r>
      <w:r w:rsidR="004E351A" w:rsidRPr="004E351A">
        <w:rPr>
          <w:i/>
        </w:rPr>
        <w:instrText>idem</w:instrText>
      </w:r>
      <w:r w:rsidR="004E351A">
        <w:instrText xml:space="preserve">" </w:instrText>
      </w:r>
      <w:r w:rsidR="004E351A">
        <w:fldChar w:fldCharType="end"/>
      </w:r>
      <w:r w:rsidR="00FB6EF9">
        <w:t xml:space="preserve">. </w:t>
      </w:r>
      <w:r w:rsidR="08B764F9">
        <w:t xml:space="preserve">Averroistický spor o numericky individualizovaný </w:t>
      </w:r>
      <w:r w:rsidR="00FB6EF9">
        <w:t>intelekt</w:t>
      </w:r>
      <w:r w:rsidR="00667852">
        <w:t xml:space="preserve"> jako </w:t>
      </w:r>
      <w:r w:rsidR="08B764F9">
        <w:t>hypostázi</w:t>
      </w:r>
      <w:r w:rsidR="00FB6EF9">
        <w:t xml:space="preserve"> j</w:t>
      </w:r>
      <w:r w:rsidR="007F1D9D">
        <w:t>e pro první averroismus totální nesmysl</w:t>
      </w:r>
      <w:r w:rsidR="00FB6EF9">
        <w:t xml:space="preserve">, </w:t>
      </w:r>
      <w:r w:rsidR="081E0919">
        <w:t xml:space="preserve">což </w:t>
      </w:r>
      <w:r w:rsidR="00FB6EF9">
        <w:t>uvidíme u Sigera</w:t>
      </w:r>
      <w:r w:rsidR="003254C8">
        <w:t xml:space="preserve"> (</w:t>
      </w:r>
      <w:r w:rsidR="086D379A">
        <w:t>OBJ III, kap. 4</w:t>
      </w:r>
      <w:r w:rsidR="003254C8">
        <w:t>.4.3)</w:t>
      </w:r>
      <w:r w:rsidR="00FB6EF9">
        <w:t xml:space="preserve">. </w:t>
      </w:r>
      <w:r w:rsidRPr="00273106">
        <w:t xml:space="preserve">V následném kroku </w:t>
      </w:r>
      <w:r w:rsidR="08B764F9">
        <w:t xml:space="preserve">daném </w:t>
      </w:r>
      <w:r w:rsidR="007F1D9D">
        <w:t xml:space="preserve">akademickou </w:t>
      </w:r>
      <w:r w:rsidR="08B764F9">
        <w:t xml:space="preserve">kopulací </w:t>
      </w:r>
      <w:r w:rsidRPr="00273106">
        <w:t xml:space="preserve">tato univerzální substance </w:t>
      </w:r>
      <w:r w:rsidR="00E149A2" w:rsidRPr="00273106">
        <w:t>„exsistuje“</w:t>
      </w:r>
      <w:r w:rsidR="08B764F9">
        <w:t xml:space="preserve"> také v nás. V aktu </w:t>
      </w:r>
      <w:r w:rsidR="007F1D9D">
        <w:t xml:space="preserve">mytologické </w:t>
      </w:r>
      <w:r w:rsidR="08B764F9">
        <w:t xml:space="preserve">kopulace a porretánské </w:t>
      </w:r>
      <w:r w:rsidR="007F1D9D">
        <w:t>non-</w:t>
      </w:r>
      <w:r w:rsidR="08B764F9">
        <w:t xml:space="preserve">existence </w:t>
      </w:r>
      <w:r w:rsidR="007F1D9D">
        <w:t xml:space="preserve">expanduje </w:t>
      </w:r>
      <w:r w:rsidR="08B764F9">
        <w:t xml:space="preserve">kosmický intelekt </w:t>
      </w:r>
      <w:r w:rsidR="007F1D9D">
        <w:t xml:space="preserve">daný </w:t>
      </w:r>
      <w:r w:rsidR="08B764F9">
        <w:t xml:space="preserve">v obou složkách </w:t>
      </w:r>
      <w:r w:rsidRPr="00273106">
        <w:t xml:space="preserve">do výkonu poznání </w:t>
      </w:r>
      <w:r w:rsidR="007F1D9D">
        <w:t xml:space="preserve">v </w:t>
      </w:r>
      <w:r w:rsidRPr="00273106">
        <w:t xml:space="preserve">intelektuální složce </w:t>
      </w:r>
      <w:r w:rsidR="007F1D9D">
        <w:t xml:space="preserve">lidské </w:t>
      </w:r>
      <w:r w:rsidRPr="00273106">
        <w:t xml:space="preserve">duše. Zde se </w:t>
      </w:r>
      <w:r w:rsidR="002A160E">
        <w:t xml:space="preserve">kosmický </w:t>
      </w:r>
      <w:r w:rsidRPr="00273106">
        <w:rPr>
          <w:i/>
        </w:rPr>
        <w:t xml:space="preserve">intellectus possibilis </w:t>
      </w:r>
      <w:r w:rsidRPr="00273106">
        <w:t>reali</w:t>
      </w:r>
      <w:r w:rsidR="002A160E">
        <w:t xml:space="preserve">zuje substanciálně-potenciálně jako konkrétní hypostáze daná v individuální duši, viz schéma </w:t>
      </w:r>
      <w:r w:rsidRPr="00273106">
        <w:rPr>
          <w:i/>
        </w:rPr>
        <w:t>potentia substantialis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rsidR="086D379A">
        <w:t xml:space="preserve"> (kap. 3</w:t>
      </w:r>
      <w:r w:rsidRPr="00273106">
        <w:t xml:space="preserve">.3.1). </w:t>
      </w:r>
      <w:r w:rsidR="001D59B2">
        <w:t xml:space="preserve">Tento přesah </w:t>
      </w:r>
      <w:r w:rsidR="00FF1581" w:rsidRPr="00273106">
        <w:t xml:space="preserve">odděleného intelektu do jednotlivce </w:t>
      </w:r>
      <w:r w:rsidR="084C29E7">
        <w:t>představuje moderní</w:t>
      </w:r>
      <w:r w:rsidR="00FF1581" w:rsidRPr="00273106">
        <w:t xml:space="preserve"> koncept „exsistence“</w:t>
      </w:r>
      <w:r w:rsidR="084C29E7">
        <w:t xml:space="preserve"> </w:t>
      </w:r>
      <w:r w:rsidR="084C29E7" w:rsidRPr="084C29E7">
        <w:rPr>
          <w:i/>
        </w:rPr>
        <w:t>anima intellectiva</w:t>
      </w:r>
      <w:r w:rsidR="00FF1581" w:rsidRPr="00273106">
        <w:t>.</w:t>
      </w:r>
      <w:r w:rsidR="00FF1581">
        <w:t xml:space="preserve"> Vznikem </w:t>
      </w:r>
      <w:r w:rsidR="001D59B2">
        <w:t xml:space="preserve">moderní </w:t>
      </w:r>
      <w:r w:rsidR="00FF1581">
        <w:t xml:space="preserve">formy </w:t>
      </w:r>
      <w:r w:rsidR="00FF1581" w:rsidRPr="00DA51F7">
        <w:rPr>
          <w:i/>
        </w:rPr>
        <w:t>intellectus possibilis</w:t>
      </w:r>
      <w:r w:rsidR="00FF1581">
        <w:t xml:space="preserve"> </w:t>
      </w:r>
      <w:r w:rsidR="001D59B2">
        <w:t xml:space="preserve">ve formě averroistického simulákra začal </w:t>
      </w:r>
      <w:r w:rsidR="00794BB7">
        <w:t xml:space="preserve">dějinně </w:t>
      </w:r>
      <w:r w:rsidR="001D59B2">
        <w:t>existovat i</w:t>
      </w:r>
      <w:r w:rsidR="00FF1581">
        <w:t xml:space="preserve"> moderní subjekt poznání</w:t>
      </w:r>
      <w:r w:rsidR="00794BB7">
        <w:fldChar w:fldCharType="begin"/>
      </w:r>
      <w:r w:rsidR="00794BB7">
        <w:instrText xml:space="preserve"> XE "</w:instrText>
      </w:r>
      <w:r w:rsidR="00794BB7" w:rsidRPr="001B0F0A">
        <w:instrText>subjekt:moderní</w:instrText>
      </w:r>
      <w:r w:rsidR="00794BB7">
        <w:instrText xml:space="preserve">" </w:instrText>
      </w:r>
      <w:r w:rsidR="00794BB7">
        <w:fldChar w:fldCharType="end"/>
      </w:r>
      <w:r w:rsidR="007C0576">
        <w:t xml:space="preserve">. </w:t>
      </w:r>
      <w:r w:rsidR="00DF6F60">
        <w:t xml:space="preserve">Sofistické slovo Rufuse z něj udělalo objektivní </w:t>
      </w:r>
      <w:r w:rsidR="00DF6F60" w:rsidRPr="00DF6F60">
        <w:rPr>
          <w:i/>
        </w:rPr>
        <w:t>scibile</w:t>
      </w:r>
      <w:r w:rsidR="00DF6F60">
        <w:t>, které dodnes přebývá mezi námi</w:t>
      </w:r>
      <w:r w:rsidR="00DF6F60" w:rsidRPr="00DF6F60">
        <w:t xml:space="preserve"> </w:t>
      </w:r>
      <w:r w:rsidR="00EC6BAB">
        <w:t>ve své nihilistické slávě.</w:t>
      </w:r>
    </w:p>
    <w:p w14:paraId="7264967C" w14:textId="44069118" w:rsidR="08CC2AFB" w:rsidRDefault="00EC6BAB" w:rsidP="00EC6BAB">
      <w:pPr>
        <w:ind w:firstLine="397"/>
      </w:pPr>
      <w:r>
        <w:t>Hermeneutická a</w:t>
      </w:r>
      <w:r w:rsidR="006E4EEC">
        <w:t xml:space="preserve">rcheologie </w:t>
      </w:r>
      <w:r w:rsidR="007C0576">
        <w:t xml:space="preserve">vyložila </w:t>
      </w:r>
      <w:r w:rsidR="006E4EEC">
        <w:t xml:space="preserve">vznik moderního subjektu </w:t>
      </w:r>
      <w:r w:rsidR="00794BB7">
        <w:t xml:space="preserve">v modu </w:t>
      </w:r>
      <w:r w:rsidR="007C0576" w:rsidRPr="007C0576">
        <w:rPr>
          <w:i/>
        </w:rPr>
        <w:t>alétheia</w:t>
      </w:r>
      <w:r w:rsidR="00454538">
        <w:t xml:space="preserve">. Jedná se </w:t>
      </w:r>
      <w:r w:rsidR="00794BB7">
        <w:t xml:space="preserve">epochální </w:t>
      </w:r>
      <w:r w:rsidR="00794BB7" w:rsidRPr="00794BB7">
        <w:rPr>
          <w:i/>
        </w:rPr>
        <w:t>Irrtum</w:t>
      </w:r>
      <w:r w:rsidR="00794BB7">
        <w:rPr>
          <w:i/>
        </w:rPr>
        <w:fldChar w:fldCharType="begin"/>
      </w:r>
      <w:r w:rsidR="00794BB7">
        <w:instrText xml:space="preserve"> XE "</w:instrText>
      </w:r>
      <w:r w:rsidR="00794BB7" w:rsidRPr="00504440">
        <w:rPr>
          <w:i/>
        </w:rPr>
        <w:instrText>Irrtum</w:instrText>
      </w:r>
      <w:r w:rsidR="00794BB7">
        <w:instrText xml:space="preserve">" </w:instrText>
      </w:r>
      <w:r w:rsidR="00794BB7">
        <w:rPr>
          <w:i/>
        </w:rPr>
        <w:fldChar w:fldCharType="end"/>
      </w:r>
      <w:r w:rsidR="006E4EEC">
        <w:t xml:space="preserve">, </w:t>
      </w:r>
      <w:r w:rsidR="00454538">
        <w:t xml:space="preserve">kdy se moderní subjekt </w:t>
      </w:r>
      <w:r w:rsidR="006E4EEC">
        <w:t>odděli</w:t>
      </w:r>
      <w:r w:rsidR="00454538">
        <w:t>l</w:t>
      </w:r>
      <w:r w:rsidR="006E4EEC">
        <w:t xml:space="preserve"> od Gross</w:t>
      </w:r>
      <w:r w:rsidR="004B7138">
        <w:t>e</w:t>
      </w:r>
      <w:r w:rsidR="00454538">
        <w:t>testeho výkladu jednotné</w:t>
      </w:r>
      <w:r w:rsidR="006E4EEC">
        <w:t xml:space="preserve"> osoby</w:t>
      </w:r>
      <w:r w:rsidR="00454538">
        <w:t xml:space="preserve"> v Oxfordu kolem roku 1235. </w:t>
      </w:r>
      <w:r w:rsidR="001A55B9">
        <w:t>Bacon jasně doložil, že p</w:t>
      </w:r>
      <w:r w:rsidR="00454538">
        <w:t xml:space="preserve">ůvodní </w:t>
      </w:r>
      <w:r w:rsidR="001A55B9">
        <w:t xml:space="preserve">definice osoby v Oxfordu </w:t>
      </w:r>
      <w:r w:rsidR="00454538">
        <w:t xml:space="preserve">byla </w:t>
      </w:r>
      <w:r w:rsidR="006E4EEC">
        <w:t>založen</w:t>
      </w:r>
      <w:r w:rsidR="00454538">
        <w:t>a</w:t>
      </w:r>
      <w:r w:rsidR="006E4EEC">
        <w:t xml:space="preserve"> pouze na pluralitě forem a </w:t>
      </w:r>
      <w:r w:rsidR="001A55B9">
        <w:t>osoba byla</w:t>
      </w:r>
      <w:r w:rsidR="006E4EEC">
        <w:t xml:space="preserve"> </w:t>
      </w:r>
      <w:r w:rsidR="008C1D0E">
        <w:t xml:space="preserve">jedna </w:t>
      </w:r>
      <w:r w:rsidR="001A55B9">
        <w:t>hylemorfická</w:t>
      </w:r>
      <w:r w:rsidR="006E4EEC">
        <w:t xml:space="preserve"> první substance</w:t>
      </w:r>
      <w:r w:rsidR="08BF10C6">
        <w:t xml:space="preserve"> (kap. 3</w:t>
      </w:r>
      <w:r w:rsidR="08C86490">
        <w:t>.2)</w:t>
      </w:r>
      <w:r w:rsidR="006E4EEC">
        <w:t xml:space="preserve">. </w:t>
      </w:r>
      <w:r w:rsidR="00FE0079" w:rsidRPr="00273106">
        <w:t xml:space="preserve">Představitelé </w:t>
      </w:r>
      <w:r w:rsidR="00FE0079">
        <w:t xml:space="preserve">prvního </w:t>
      </w:r>
      <w:r w:rsidR="00FE0079" w:rsidRPr="00273106">
        <w:t xml:space="preserve">averroismu </w:t>
      </w:r>
      <w:r w:rsidR="08C86490">
        <w:t xml:space="preserve">v Paříži </w:t>
      </w:r>
      <w:r w:rsidR="08B22A5B">
        <w:t xml:space="preserve">a Grosseteste </w:t>
      </w:r>
      <w:r w:rsidR="08C86490">
        <w:t xml:space="preserve">v Oxfordu </w:t>
      </w:r>
      <w:r w:rsidR="00FE0079">
        <w:t xml:space="preserve">marně vysvětlovali latinským </w:t>
      </w:r>
      <w:r w:rsidR="08322750">
        <w:t xml:space="preserve">sofistům </w:t>
      </w:r>
      <w:r w:rsidR="08971E05">
        <w:t>typu Dinanta,</w:t>
      </w:r>
      <w:r w:rsidR="00FE0079">
        <w:t xml:space="preserve"> že receptivní intelekt definovaný jako pseudo-aktuální </w:t>
      </w:r>
      <w:r w:rsidR="00FE0079" w:rsidRPr="00273106">
        <w:t xml:space="preserve">substance </w:t>
      </w:r>
      <w:r w:rsidR="08F81BB8">
        <w:t xml:space="preserve">je nesmysl. To by </w:t>
      </w:r>
      <w:r w:rsidR="00FE0079">
        <w:t xml:space="preserve">nikdy </w:t>
      </w:r>
      <w:r w:rsidR="08F81BB8">
        <w:t>ne</w:t>
      </w:r>
      <w:r w:rsidR="00FE0079">
        <w:t>poz</w:t>
      </w:r>
      <w:r w:rsidR="08F81BB8">
        <w:t>nal</w:t>
      </w:r>
      <w:r w:rsidR="00FE0079">
        <w:t xml:space="preserve"> jinou substanci, protože nemá plnou receptivitu</w:t>
      </w:r>
      <w:r w:rsidR="08A85B1D">
        <w:t xml:space="preserve">, což bylo jádro Averroesovy kritiky konceptu </w:t>
      </w:r>
      <w:r w:rsidR="08A85B1D" w:rsidRPr="08A85B1D">
        <w:rPr>
          <w:i/>
        </w:rPr>
        <w:t>intellectus possibilis</w:t>
      </w:r>
      <w:r w:rsidR="08A85B1D">
        <w:t xml:space="preserve"> Themistia a Alexandra</w:t>
      </w:r>
      <w:r w:rsidR="00FE0079">
        <w:t xml:space="preserve">. </w:t>
      </w:r>
      <w:r w:rsidR="00FE0079" w:rsidRPr="00273106">
        <w:t>Receptivní intelekt funguje individuálně právě proto, že je podle CMDA potenciální poznávací schopností</w:t>
      </w:r>
      <w:r w:rsidR="00FE0079">
        <w:t xml:space="preserve"> a ne individuální substancí</w:t>
      </w:r>
      <w:r w:rsidR="00FE0079" w:rsidRPr="00273106">
        <w:t xml:space="preserve">. </w:t>
      </w:r>
      <w:r w:rsidR="00FE0079">
        <w:t>Proto poznání prob</w:t>
      </w:r>
      <w:r w:rsidR="08E64B00">
        <w:t>íhá skrze existenci hyleformické osoby a to skrze dvojí podob</w:t>
      </w:r>
      <w:r w:rsidR="08EA24DC">
        <w:t>u receptivity a intencionality</w:t>
      </w:r>
      <w:r w:rsidR="08BF10C6">
        <w:t xml:space="preserve"> (smysly a intelekt)</w:t>
      </w:r>
      <w:r w:rsidR="00FE0079">
        <w:t xml:space="preserve">. </w:t>
      </w:r>
      <w:r w:rsidR="00794BB7">
        <w:t xml:space="preserve">Moderní subjekt poznání založený na </w:t>
      </w:r>
      <w:r w:rsidR="007C1A62">
        <w:t xml:space="preserve">hypostázovaném </w:t>
      </w:r>
      <w:r w:rsidR="00794BB7" w:rsidRPr="00794BB7">
        <w:rPr>
          <w:i/>
        </w:rPr>
        <w:t xml:space="preserve">intellectus possibilis </w:t>
      </w:r>
      <w:r w:rsidR="00FF1581">
        <w:t xml:space="preserve">představuje stejné simulákrum, jako jeho </w:t>
      </w:r>
      <w:r w:rsidR="00C54A59">
        <w:t xml:space="preserve">mytologická </w:t>
      </w:r>
      <w:r w:rsidR="00FF1581">
        <w:t xml:space="preserve">poznávací schopnost. </w:t>
      </w:r>
      <w:r w:rsidR="00161C54">
        <w:t xml:space="preserve">Prvním modernistům se osoba rozpadla na tři substance: duše, tělo a hypostázovaný </w:t>
      </w:r>
      <w:r w:rsidR="083F713F">
        <w:t xml:space="preserve">kosmický </w:t>
      </w:r>
      <w:r w:rsidR="00161C54">
        <w:t>intelekt daný ve dvou složkách</w:t>
      </w:r>
      <w:r w:rsidR="083F713F">
        <w:t xml:space="preserve"> (</w:t>
      </w:r>
      <w:r w:rsidR="083F713F" w:rsidRPr="083F713F">
        <w:rPr>
          <w:i/>
        </w:rPr>
        <w:t>materialis</w:t>
      </w:r>
      <w:r w:rsidR="083F713F">
        <w:t xml:space="preserve">, </w:t>
      </w:r>
      <w:r w:rsidR="083F713F" w:rsidRPr="083F713F">
        <w:rPr>
          <w:i/>
        </w:rPr>
        <w:t>agens</w:t>
      </w:r>
      <w:r w:rsidR="083F713F">
        <w:t>)</w:t>
      </w:r>
      <w:r w:rsidR="00161C54">
        <w:t xml:space="preserve">. </w:t>
      </w:r>
      <w:r w:rsidR="08AB64B1">
        <w:t xml:space="preserve">Duše je naše, ale ostatní dvě složky s námi kosmicky kopulují. </w:t>
      </w:r>
      <w:r w:rsidR="00A00ADB" w:rsidRPr="00273106">
        <w:t xml:space="preserve">Tento výklad </w:t>
      </w:r>
      <w:r w:rsidR="00755606" w:rsidRPr="00755606">
        <w:rPr>
          <w:i/>
        </w:rPr>
        <w:t>anima intellectiva</w:t>
      </w:r>
      <w:r w:rsidR="00755606">
        <w:t xml:space="preserve"> složené ze </w:t>
      </w:r>
      <w:r w:rsidR="00A00ADB" w:rsidRPr="00273106">
        <w:t xml:space="preserve">dvou </w:t>
      </w:r>
      <w:r w:rsidR="08437D77">
        <w:t xml:space="preserve">kosmických </w:t>
      </w:r>
      <w:r w:rsidR="00A00ADB" w:rsidRPr="00273106">
        <w:t xml:space="preserve">substancí </w:t>
      </w:r>
      <w:r w:rsidR="00A00ADB">
        <w:t xml:space="preserve">třetího druhu </w:t>
      </w:r>
      <w:r w:rsidR="00A00ADB" w:rsidRPr="00273106">
        <w:t xml:space="preserve">nemá nic společného výkladem </w:t>
      </w:r>
      <w:r w:rsidR="00A00ADB">
        <w:t xml:space="preserve">receptivního intelektu </w:t>
      </w:r>
      <w:r w:rsidR="00A00ADB" w:rsidRPr="00273106">
        <w:t>v CMDA.</w:t>
      </w:r>
      <w:r w:rsidR="00A00ADB">
        <w:t xml:space="preserve"> </w:t>
      </w:r>
      <w:r w:rsidR="080E3B0A">
        <w:t>Pojetí člověka složeného z těchto tří substancí považoval Albert za tak hloupé, že o něm odmítl akademicky diskutovat (</w:t>
      </w:r>
      <w:r w:rsidR="080E3B0A" w:rsidRPr="08E97B81">
        <w:rPr>
          <w:i/>
        </w:rPr>
        <w:t>dicunt quidam, has tres esse substantias in homine</w:t>
      </w:r>
      <w:r w:rsidR="089D3376">
        <w:t>, kap. 2</w:t>
      </w:r>
      <w:r w:rsidR="080E3B0A">
        <w:t xml:space="preserve">.4.3). </w:t>
      </w:r>
      <w:r w:rsidR="001B6882">
        <w:t>M</w:t>
      </w:r>
      <w:r w:rsidR="001B6882" w:rsidRPr="00273106">
        <w:t>odernisté jako Rufus, Bonaventura</w:t>
      </w:r>
      <w:r w:rsidR="001B6882">
        <w:t xml:space="preserve"> a Kilwardby připsali Averroesovi v letech 1235‒50 hypostázovanou formu numericky jednoho </w:t>
      </w:r>
      <w:r w:rsidR="001B6882" w:rsidRPr="001B6882">
        <w:rPr>
          <w:i/>
        </w:rPr>
        <w:t>intellectus possibilis</w:t>
      </w:r>
      <w:r w:rsidR="001B6882">
        <w:t xml:space="preserve"> a tím z něj udělali averroistu. </w:t>
      </w:r>
      <w:r w:rsidR="00A61066">
        <w:t xml:space="preserve">Základní definici možného intelektu jako oddělené substance tematizovala již </w:t>
      </w:r>
      <w:r w:rsidR="00A61066" w:rsidRPr="00615A80">
        <w:rPr>
          <w:i/>
        </w:rPr>
        <w:t>Summa Duacensis</w:t>
      </w:r>
      <w:r w:rsidR="00A61066">
        <w:rPr>
          <w:i/>
        </w:rPr>
        <w:fldChar w:fldCharType="begin"/>
      </w:r>
      <w:r w:rsidR="00A61066">
        <w:instrText xml:space="preserve"> XE "</w:instrText>
      </w:r>
      <w:r w:rsidR="00A61066" w:rsidRPr="000E2AD6">
        <w:rPr>
          <w:i/>
        </w:rPr>
        <w:instrText>Summa Duacensis</w:instrText>
      </w:r>
      <w:r w:rsidR="00A61066">
        <w:instrText xml:space="preserve">" </w:instrText>
      </w:r>
      <w:r w:rsidR="00A61066">
        <w:rPr>
          <w:i/>
        </w:rPr>
        <w:fldChar w:fldCharType="end"/>
      </w:r>
      <w:r w:rsidR="08A611A4">
        <w:t xml:space="preserve"> (kap. 2</w:t>
      </w:r>
      <w:r w:rsidR="00A61066">
        <w:t>.2</w:t>
      </w:r>
      <w:r w:rsidR="085022FC">
        <w:t>.2</w:t>
      </w:r>
      <w:r w:rsidR="00A61066">
        <w:t>)</w:t>
      </w:r>
      <w:r w:rsidR="087C7159">
        <w:t>. A</w:t>
      </w:r>
      <w:r w:rsidR="00690539">
        <w:t>le škola Filipa Kancléře se neodvážila akademicky zaútočit na Komentátora kolem roku 1230</w:t>
      </w:r>
      <w:r w:rsidR="00A61066">
        <w:t xml:space="preserve">. </w:t>
      </w:r>
      <w:r w:rsidR="087C7159">
        <w:t>Oxfordští s</w:t>
      </w:r>
      <w:r w:rsidR="00A61066">
        <w:t xml:space="preserve">ofisté </w:t>
      </w:r>
      <w:r w:rsidR="08AE6549">
        <w:t>byli mnohem odvážnější</w:t>
      </w:r>
      <w:r w:rsidR="08254B18">
        <w:t>, protože se inspirovali aristotelismem Davida z Dinantu podaným v modu univerzálního hylemorfismu</w:t>
      </w:r>
      <w:r w:rsidR="08AE6549">
        <w:t xml:space="preserve">. Moderní </w:t>
      </w:r>
      <w:r w:rsidR="08AE6549" w:rsidRPr="08AE6549">
        <w:rPr>
          <w:i/>
        </w:rPr>
        <w:t>intelligentia spiritualis</w:t>
      </w:r>
      <w:r w:rsidR="08AE6549">
        <w:t xml:space="preserve"> promítla</w:t>
      </w:r>
      <w:r w:rsidR="00A61066">
        <w:t xml:space="preserve"> vlastní omyly a sofismata </w:t>
      </w:r>
      <w:r w:rsidR="08AE6549">
        <w:t xml:space="preserve">do učení </w:t>
      </w:r>
      <w:r w:rsidR="083003EA">
        <w:t xml:space="preserve">Komentátora v modu kosmického nesmyslu, který je </w:t>
      </w:r>
      <w:r w:rsidR="082938A0">
        <w:t xml:space="preserve">univočně </w:t>
      </w:r>
      <w:r w:rsidR="083003EA">
        <w:t xml:space="preserve">společný všem lidem. </w:t>
      </w:r>
      <w:r w:rsidR="08472A50">
        <w:t>Lat</w:t>
      </w:r>
      <w:r w:rsidR="086C29CF">
        <w:t xml:space="preserve">inští sofisté vyrobili </w:t>
      </w:r>
      <w:r w:rsidR="08AC7BE1">
        <w:t xml:space="preserve">dvojníka Averroese </w:t>
      </w:r>
      <w:r w:rsidR="08472A50">
        <w:t xml:space="preserve">pod vlivem analyticky vzdělaných Fúrií </w:t>
      </w:r>
      <w:r w:rsidR="08AC7BE1">
        <w:t xml:space="preserve">a využili k tomu </w:t>
      </w:r>
      <w:r w:rsidR="08B53910">
        <w:t>obrann</w:t>
      </w:r>
      <w:r w:rsidR="08AC7BE1">
        <w:t xml:space="preserve">ý Freudův </w:t>
      </w:r>
      <w:r w:rsidR="08B53910">
        <w:t>mechanismu</w:t>
      </w:r>
      <w:r w:rsidR="08AC7BE1">
        <w:t>s</w:t>
      </w:r>
      <w:r w:rsidR="08B53910">
        <w:t xml:space="preserve"> </w:t>
      </w:r>
      <w:r w:rsidR="08B53910" w:rsidRPr="08B53910">
        <w:rPr>
          <w:i/>
        </w:rPr>
        <w:t>Verkehrung ins Gegenteil</w:t>
      </w:r>
      <w:r w:rsidR="08B53910">
        <w:rPr>
          <w:i/>
        </w:rPr>
        <w:fldChar w:fldCharType="begin"/>
      </w:r>
      <w:r w:rsidR="08B53910">
        <w:instrText xml:space="preserve"> XE "</w:instrText>
      </w:r>
      <w:r w:rsidR="08B53910" w:rsidRPr="08AE07EA">
        <w:rPr>
          <w:i/>
        </w:rPr>
        <w:instrText>Verkehrung ins Gegenteil</w:instrText>
      </w:r>
      <w:r w:rsidR="08B53910">
        <w:instrText xml:space="preserve">" </w:instrText>
      </w:r>
      <w:r w:rsidR="08B53910">
        <w:rPr>
          <w:i/>
        </w:rPr>
        <w:fldChar w:fldCharType="end"/>
      </w:r>
      <w:r w:rsidR="00A61066">
        <w:fldChar w:fldCharType="begin"/>
      </w:r>
      <w:r w:rsidR="00A61066">
        <w:instrText xml:space="preserve"> XE "</w:instrText>
      </w:r>
      <w:r w:rsidR="00A61066" w:rsidRPr="00083E37">
        <w:instrText>averroi</w:instrText>
      </w:r>
      <w:r w:rsidR="00A61066">
        <w:instrText>sm</w:instrText>
      </w:r>
      <w:r w:rsidR="00A61066" w:rsidRPr="00083E37">
        <w:instrText>us:vznik</w:instrText>
      </w:r>
      <w:r w:rsidR="00A61066">
        <w:instrText xml:space="preserve">" </w:instrText>
      </w:r>
      <w:r w:rsidR="00A61066">
        <w:fldChar w:fldCharType="end"/>
      </w:r>
      <w:r w:rsidR="08B53910">
        <w:t xml:space="preserve">. </w:t>
      </w:r>
      <w:r w:rsidR="003705AE" w:rsidRPr="003705AE">
        <w:t>Vlastní metafyzické omyly a filozofické hlouposti přip</w:t>
      </w:r>
      <w:r w:rsidR="003705AE">
        <w:t>sa</w:t>
      </w:r>
      <w:r w:rsidR="003705AE" w:rsidRPr="003705AE">
        <w:t>li zrcadlovému obrazu svého vlastního myšlení (</w:t>
      </w:r>
      <w:r w:rsidR="003705AE" w:rsidRPr="003705AE">
        <w:rPr>
          <w:i/>
        </w:rPr>
        <w:t>speculatio</w:t>
      </w:r>
      <w:r w:rsidR="003705AE">
        <w:t>), kterému říkali „Averroes“</w:t>
      </w:r>
      <w:r w:rsidR="003705AE" w:rsidRPr="003705AE">
        <w:t>.</w:t>
      </w:r>
      <w:r w:rsidR="003705AE">
        <w:t xml:space="preserve"> </w:t>
      </w:r>
      <w:r w:rsidR="08A81F7A">
        <w:t>Vyrobit simulákrum Komentátora pro ně n</w:t>
      </w:r>
      <w:r w:rsidR="086C29CF">
        <w:t xml:space="preserve">ebyl žádný problém, protože první substanci měli zdvojenou už dávno předtím. </w:t>
      </w:r>
      <w:r w:rsidR="08731257">
        <w:t>Uctívaný a zatracovaný idol averroismu</w:t>
      </w:r>
      <w:r w:rsidR="08B53910">
        <w:t xml:space="preserve"> vznikl v Rufusově škole výrobců moderních simuláker (εἰδωλοποιὸν,</w:t>
      </w:r>
      <w:r w:rsidR="08B53910" w:rsidRPr="08B53910">
        <w:rPr>
          <w:i/>
        </w:rPr>
        <w:t xml:space="preserve"> </w:t>
      </w:r>
      <w:r w:rsidR="08B53910" w:rsidRPr="00023492">
        <w:rPr>
          <w:i/>
        </w:rPr>
        <w:t>Soph</w:t>
      </w:r>
      <w:r w:rsidR="08B53910">
        <w:t>. 239d4</w:t>
      </w:r>
      <w:r w:rsidR="08B53910">
        <w:fldChar w:fldCharType="begin"/>
      </w:r>
      <w:r w:rsidR="08B53910">
        <w:instrText xml:space="preserve"> XE "Platon:</w:instrText>
      </w:r>
      <w:r w:rsidR="08B53910" w:rsidRPr="00D751A9">
        <w:rPr>
          <w:i/>
        </w:rPr>
        <w:instrText>Soph</w:instrText>
      </w:r>
      <w:r w:rsidR="08B53910">
        <w:instrText>. 239</w:instrText>
      </w:r>
      <w:r w:rsidR="08B53910" w:rsidRPr="00D751A9">
        <w:instrText>d4</w:instrText>
      </w:r>
      <w:r w:rsidR="08B53910">
        <w:instrText xml:space="preserve">" </w:instrText>
      </w:r>
      <w:r w:rsidR="08B53910">
        <w:fldChar w:fldCharType="end"/>
      </w:r>
      <w:r w:rsidR="08B53910">
        <w:t xml:space="preserve">) podle dialogu </w:t>
      </w:r>
      <w:r w:rsidR="08B53910" w:rsidRPr="08B53910">
        <w:rPr>
          <w:i/>
        </w:rPr>
        <w:t>Sofistes</w:t>
      </w:r>
      <w:r w:rsidR="08643DDE">
        <w:t xml:space="preserve"> a podle moderních sil </w:t>
      </w:r>
      <w:r w:rsidR="00300298">
        <w:t xml:space="preserve">intelektuálního </w:t>
      </w:r>
      <w:r w:rsidR="08643DDE">
        <w:t xml:space="preserve">chaosu. </w:t>
      </w:r>
      <w:r w:rsidR="00A61066" w:rsidRPr="00273106">
        <w:t xml:space="preserve">Skrze </w:t>
      </w:r>
      <w:r w:rsidR="00A61066" w:rsidRPr="00273106">
        <w:rPr>
          <w:i/>
        </w:rPr>
        <w:t>Wirkungsgeschichte</w:t>
      </w:r>
      <w:r w:rsidR="00A61066">
        <w:rPr>
          <w:i/>
        </w:rPr>
        <w:fldChar w:fldCharType="begin"/>
      </w:r>
      <w:r w:rsidR="00A61066">
        <w:instrText xml:space="preserve"> XE "</w:instrText>
      </w:r>
      <w:r w:rsidR="00A61066" w:rsidRPr="000C76F4">
        <w:rPr>
          <w:i/>
        </w:rPr>
        <w:instrText>Wirkungsgeschichte</w:instrText>
      </w:r>
      <w:r w:rsidR="00A61066">
        <w:instrText xml:space="preserve">" </w:instrText>
      </w:r>
      <w:r w:rsidR="00A61066">
        <w:rPr>
          <w:i/>
        </w:rPr>
        <w:fldChar w:fldCharType="end"/>
      </w:r>
      <w:r w:rsidR="00A61066" w:rsidRPr="00273106">
        <w:t xml:space="preserve"> moderny se stal </w:t>
      </w:r>
      <w:r w:rsidR="00A61066">
        <w:t>Averroes</w:t>
      </w:r>
      <w:r w:rsidR="00A61066" w:rsidRPr="00273106">
        <w:t xml:space="preserve"> averroistou a přebývá mezi námi v podobě </w:t>
      </w:r>
      <w:r w:rsidR="00A61066">
        <w:t xml:space="preserve">tohoto </w:t>
      </w:r>
      <w:r w:rsidR="00A61066" w:rsidRPr="00273106">
        <w:t>sofistického simulákra</w:t>
      </w:r>
      <w:r w:rsidR="00A61066">
        <w:fldChar w:fldCharType="begin"/>
      </w:r>
      <w:r w:rsidR="00A61066">
        <w:instrText xml:space="preserve"> XE "</w:instrText>
      </w:r>
      <w:r w:rsidR="00A61066" w:rsidRPr="00C2134D">
        <w:instrText>simulákrum</w:instrText>
      </w:r>
      <w:r w:rsidR="00A61066">
        <w:instrText xml:space="preserve">" </w:instrText>
      </w:r>
      <w:r w:rsidR="00A61066">
        <w:fldChar w:fldCharType="end"/>
      </w:r>
      <w:r w:rsidR="00A61066" w:rsidRPr="00273106">
        <w:t>.</w:t>
      </w:r>
      <w:r w:rsidR="00A61066">
        <w:t xml:space="preserve"> </w:t>
      </w:r>
      <w:r w:rsidR="08B53910">
        <w:t>Škola prvního averroismu tuto moderní idolatrii odmítla</w:t>
      </w:r>
      <w:r w:rsidR="00171531">
        <w:t>, nejprve skrze b</w:t>
      </w:r>
      <w:r w:rsidR="08731257">
        <w:t xml:space="preserve">iskupa a kancléře Alverna. Z </w:t>
      </w:r>
      <w:r w:rsidR="08B53910">
        <w:t xml:space="preserve">tohoto zásadního důvodu dostala Rufusova škola v Paříži čestný titul </w:t>
      </w:r>
      <w:r w:rsidR="00191E9A">
        <w:t>„</w:t>
      </w:r>
      <w:r w:rsidR="08B53910" w:rsidRPr="08B53910">
        <w:rPr>
          <w:i/>
        </w:rPr>
        <w:t>sophistae Latini</w:t>
      </w:r>
      <w:r w:rsidR="00191E9A">
        <w:t>“</w:t>
      </w:r>
      <w:r w:rsidR="08B53910">
        <w:t>.</w:t>
      </w:r>
      <w:r w:rsidR="089C51B2">
        <w:t xml:space="preserve"> </w:t>
      </w:r>
      <w:r w:rsidR="00607E2B" w:rsidRPr="00273106">
        <w:t xml:space="preserve">Všechny </w:t>
      </w:r>
      <w:r w:rsidR="00607E2B">
        <w:t xml:space="preserve">averroistické </w:t>
      </w:r>
      <w:r w:rsidR="00607E2B" w:rsidRPr="00273106">
        <w:t xml:space="preserve">znaky </w:t>
      </w:r>
      <w:r w:rsidR="00607E2B" w:rsidRPr="00273106">
        <w:rPr>
          <w:i/>
        </w:rPr>
        <w:t>intellectus possibilis</w:t>
      </w:r>
      <w:r w:rsidR="00607E2B" w:rsidRPr="00273106">
        <w:t xml:space="preserve"> najdeme v té či oné variantě u následných představitelů druhého averroismu</w:t>
      </w:r>
      <w:r w:rsidR="00856B22">
        <w:t xml:space="preserve"> a semiaverroismu</w:t>
      </w:r>
      <w:r w:rsidR="00607E2B" w:rsidRPr="00273106">
        <w:t xml:space="preserve">, včetně účelového obvinění </w:t>
      </w:r>
      <w:r w:rsidR="00607E2B">
        <w:t>Averroes</w:t>
      </w:r>
      <w:r w:rsidR="00607E2B" w:rsidRPr="00273106">
        <w:t>e</w:t>
      </w:r>
      <w:r w:rsidR="00856B22">
        <w:t xml:space="preserve"> jako autora nauky o numericky jednotném </w:t>
      </w:r>
      <w:r w:rsidR="00856B22" w:rsidRPr="00856B22">
        <w:rPr>
          <w:i/>
        </w:rPr>
        <w:t>intellectus possibilis</w:t>
      </w:r>
      <w:r w:rsidR="00607E2B" w:rsidRPr="00273106">
        <w:t>.</w:t>
      </w:r>
      <w:r w:rsidR="00607E2B">
        <w:t xml:space="preserve"> </w:t>
      </w:r>
      <w:r w:rsidR="00A00ADB">
        <w:t xml:space="preserve">Komentátor údajně hájí </w:t>
      </w:r>
      <w:r w:rsidR="00511E90">
        <w:t xml:space="preserve">numericky </w:t>
      </w:r>
      <w:r w:rsidR="00970919">
        <w:t xml:space="preserve">určený receptivní intelekt. Tento </w:t>
      </w:r>
      <w:r w:rsidR="00511E90">
        <w:t xml:space="preserve">jeden </w:t>
      </w:r>
      <w:r w:rsidR="00A00ADB" w:rsidRPr="00273106">
        <w:t xml:space="preserve">receptivní intelekt </w:t>
      </w:r>
      <w:r w:rsidR="00970919">
        <w:t xml:space="preserve">je dán stejně </w:t>
      </w:r>
      <w:r w:rsidR="00A00ADB" w:rsidRPr="00273106">
        <w:t>pro všechny lidi</w:t>
      </w:r>
      <w:r w:rsidR="00970919">
        <w:t xml:space="preserve"> a zvnějšku s</w:t>
      </w:r>
      <w:r w:rsidR="003E4B14">
        <w:t>e spojuje s</w:t>
      </w:r>
      <w:r w:rsidR="009A4486">
        <w:t xml:space="preserve"> individuální (a ne osobní) </w:t>
      </w:r>
      <w:r w:rsidR="003E4B14">
        <w:t>poznávací schopností</w:t>
      </w:r>
      <w:r w:rsidR="00A00ADB" w:rsidRPr="00273106">
        <w:t xml:space="preserve">. </w:t>
      </w:r>
      <w:r w:rsidR="00A00ADB">
        <w:t>Modern</w:t>
      </w:r>
      <w:r w:rsidR="002E7FDB">
        <w:t xml:space="preserve">isté a jejich nástupci </w:t>
      </w:r>
      <w:r w:rsidR="00A00ADB">
        <w:t xml:space="preserve">pak tento pochybný </w:t>
      </w:r>
      <w:r w:rsidR="00A00ADB" w:rsidRPr="00273106">
        <w:rPr>
          <w:i/>
        </w:rPr>
        <w:t>intellectus possibilis</w:t>
      </w:r>
      <w:r w:rsidR="089A1D89">
        <w:t xml:space="preserve"> odsoudili jako averroismus</w:t>
      </w:r>
      <w:r w:rsidR="00A00ADB" w:rsidRPr="00273106">
        <w:t xml:space="preserve">. </w:t>
      </w:r>
      <w:r w:rsidR="00660397">
        <w:t xml:space="preserve">Averroes </w:t>
      </w:r>
      <w:r w:rsidR="00D01403">
        <w:t>odmítl intelekt jako hypostázi proti neoplatonikům všeho druhu tím, že vytvořil novou verzi receptivního intelektu (</w:t>
      </w:r>
      <w:r w:rsidR="0834268B">
        <w:t xml:space="preserve">OBJ I, </w:t>
      </w:r>
      <w:r w:rsidR="00D01403">
        <w:t xml:space="preserve">kap. 2.4.3). </w:t>
      </w:r>
      <w:r w:rsidR="00BD47DF" w:rsidRPr="00273106">
        <w:t xml:space="preserve">Existence autonomního činného intelektu spadá podle </w:t>
      </w:r>
      <w:r w:rsidR="00BD47DF">
        <w:t xml:space="preserve">CMDA a </w:t>
      </w:r>
      <w:r w:rsidR="00BD47DF" w:rsidRPr="00273106">
        <w:t>Alverna do sféry boha, kosmických inteligencí a andělů (</w:t>
      </w:r>
      <w:r w:rsidR="00BD47DF">
        <w:rPr>
          <w:i/>
        </w:rPr>
        <w:fldChar w:fldCharType="begin"/>
      </w:r>
      <w:r w:rsidR="00BD47DF">
        <w:instrText xml:space="preserve"> XE "</w:instrText>
      </w:r>
      <w:r w:rsidR="00BD47DF" w:rsidRPr="00490D32">
        <w:rPr>
          <w:i/>
        </w:rPr>
        <w:instrText>intellectus agens:</w:instrText>
      </w:r>
      <w:r w:rsidR="00BD47DF">
        <w:instrText xml:space="preserve"> první </w:instrText>
      </w:r>
      <w:r w:rsidR="00BD47DF" w:rsidRPr="005D35D0">
        <w:instrText>averroismus</w:instrText>
      </w:r>
      <w:r w:rsidR="00BD47DF">
        <w:instrText xml:space="preserve">" </w:instrText>
      </w:r>
      <w:r w:rsidR="00BD47DF">
        <w:rPr>
          <w:i/>
        </w:rPr>
        <w:fldChar w:fldCharType="end"/>
      </w:r>
      <w:r w:rsidR="0834268B">
        <w:t>kap. 2</w:t>
      </w:r>
      <w:r w:rsidR="00BD47DF" w:rsidRPr="00273106">
        <w:t xml:space="preserve">.3). </w:t>
      </w:r>
      <w:r w:rsidR="000B7DC4">
        <w:t>Možný intelekt nemůže být hypostází</w:t>
      </w:r>
      <w:r w:rsidR="00165F5E">
        <w:t xml:space="preserve"> nebo substancí</w:t>
      </w:r>
      <w:r w:rsidR="009272C0">
        <w:t xml:space="preserve">, protože nemá jak by mohl </w:t>
      </w:r>
      <w:r w:rsidR="085427FA">
        <w:t xml:space="preserve">existovat </w:t>
      </w:r>
      <w:r w:rsidR="08C70F9F">
        <w:t>v</w:t>
      </w:r>
      <w:r w:rsidR="00F47470">
        <w:t> </w:t>
      </w:r>
      <w:r w:rsidR="08C70F9F">
        <w:t>člověku</w:t>
      </w:r>
      <w:r w:rsidR="00F47470">
        <w:t xml:space="preserve"> v nějaké hyparchické formě</w:t>
      </w:r>
      <w:r w:rsidR="00165F5E">
        <w:t xml:space="preserve">. </w:t>
      </w:r>
      <w:r w:rsidR="08DA192C">
        <w:t xml:space="preserve">Zvířata nemají nemateriální receptivitu a intencionalitu na úrovni </w:t>
      </w:r>
      <w:r w:rsidR="08DA192C" w:rsidRPr="08DA192C">
        <w:rPr>
          <w:i/>
        </w:rPr>
        <w:t>intellectus posibilis</w:t>
      </w:r>
      <w:r w:rsidR="08DA192C">
        <w:t>, protože nejsou sch</w:t>
      </w:r>
      <w:r w:rsidR="08976B93">
        <w:t>opna</w:t>
      </w:r>
      <w:r w:rsidR="08DA192C">
        <w:t xml:space="preserve"> intelektuální abstrakce. K</w:t>
      </w:r>
      <w:r w:rsidR="000B7DC4">
        <w:t xml:space="preserve">osmické inteligence </w:t>
      </w:r>
      <w:r w:rsidR="08DA192C">
        <w:t xml:space="preserve">tento typ intelektu </w:t>
      </w:r>
      <w:r w:rsidR="000B7DC4">
        <w:t>nepotřebují</w:t>
      </w:r>
      <w:r w:rsidR="003B4F74">
        <w:t xml:space="preserve">, protože jejich potence není daná na úrovni materie </w:t>
      </w:r>
      <w:r w:rsidR="000B7DC4">
        <w:t xml:space="preserve">díky plně aktualizovanému </w:t>
      </w:r>
      <w:r w:rsidR="000B7DC4" w:rsidRPr="000B7DC4">
        <w:rPr>
          <w:i/>
        </w:rPr>
        <w:t>intellectus agens</w:t>
      </w:r>
      <w:r w:rsidR="086321E9">
        <w:t>. K</w:t>
      </w:r>
      <w:r w:rsidR="08976B93">
        <w:t xml:space="preserve">osmické inteligibilní substance-formy </w:t>
      </w:r>
      <w:r w:rsidR="086321E9">
        <w:t>se skrze t</w:t>
      </w:r>
      <w:r w:rsidR="000B7DC4">
        <w:t xml:space="preserve">uto </w:t>
      </w:r>
      <w:r w:rsidR="086321E9">
        <w:t>základní metafyzickou diferenci</w:t>
      </w:r>
      <w:r w:rsidR="000B7DC4">
        <w:t xml:space="preserve"> liší od lidské syntetické schopnosti poznání</w:t>
      </w:r>
      <w:r w:rsidR="08FE6FB7">
        <w:t xml:space="preserve"> založené smyslově</w:t>
      </w:r>
      <w:r w:rsidR="000B7DC4">
        <w:t xml:space="preserve">. </w:t>
      </w:r>
      <w:r w:rsidR="08DA192C">
        <w:t xml:space="preserve">Potence aktuálního činného kosmického intelektu se liší jen podle jednotlivých kosmických sfér a jejich rozdílem od Stvořitele. </w:t>
      </w:r>
      <w:r w:rsidR="00165F5E">
        <w:t xml:space="preserve">Příchod modernistů typu Rufuse donutil biskupa </w:t>
      </w:r>
      <w:r w:rsidR="00C275DD">
        <w:t xml:space="preserve">a kancléře </w:t>
      </w:r>
      <w:r w:rsidR="00165F5E">
        <w:t xml:space="preserve">Alverna, aby tezí o metafyzické odlišnosti kosmického činného intelektu zastavil nástup </w:t>
      </w:r>
      <w:r w:rsidR="00C275DD">
        <w:t xml:space="preserve">heretické </w:t>
      </w:r>
      <w:r w:rsidR="00165F5E">
        <w:t>sofistiky na Pařížské univerzitě někdy roku 1240.</w:t>
      </w:r>
      <w:r w:rsidR="00E27514">
        <w:t xml:space="preserve"> Po jeho smrti už všechny zábrany padly a sofistika modernistů se stala akademicky uznanou vědou.</w:t>
      </w:r>
    </w:p>
    <w:p w14:paraId="70F11D67" w14:textId="62F2B25B" w:rsidR="00F85338" w:rsidRDefault="08CC2AFB" w:rsidP="00FE2C72">
      <w:r>
        <w:tab/>
      </w:r>
      <w:r w:rsidR="006B3AE2" w:rsidRPr="00273106">
        <w:t>Bac</w:t>
      </w:r>
      <w:r w:rsidR="00530BFC">
        <w:t xml:space="preserve">on je jedním z velmi důležitých </w:t>
      </w:r>
      <w:r w:rsidR="00B809C0">
        <w:t xml:space="preserve">svědků sporu o </w:t>
      </w:r>
      <w:r w:rsidR="006B3AE2" w:rsidRPr="00273106">
        <w:t>averroisti</w:t>
      </w:r>
      <w:r w:rsidR="004B4E11">
        <w:t>cký statut intelektu na Oxfordu</w:t>
      </w:r>
      <w:r w:rsidR="00EF2C42">
        <w:t>, protože uk</w:t>
      </w:r>
      <w:r w:rsidR="004B4E11">
        <w:t xml:space="preserve">azuje </w:t>
      </w:r>
      <w:r w:rsidR="006B3AE2" w:rsidRPr="00273106">
        <w:t>vznik zmaten</w:t>
      </w:r>
      <w:r w:rsidR="004B4E11">
        <w:t>ého</w:t>
      </w:r>
      <w:r w:rsidR="006B3AE2" w:rsidRPr="00273106">
        <w:t xml:space="preserve"> výklad</w:t>
      </w:r>
      <w:r w:rsidR="004B4E11">
        <w:t>u</w:t>
      </w:r>
      <w:r w:rsidR="006B3AE2" w:rsidRPr="00273106">
        <w:t xml:space="preserve"> </w:t>
      </w:r>
      <w:r w:rsidR="002E3B62">
        <w:t>Averroes</w:t>
      </w:r>
      <w:r w:rsidR="006B3AE2" w:rsidRPr="00273106">
        <w:t>e</w:t>
      </w:r>
      <w:r w:rsidR="00F26B9D">
        <w:t xml:space="preserve"> v paradigmatu Toledské avicennistické školy recipované Rufusem. </w:t>
      </w:r>
      <w:r w:rsidR="00C3537A" w:rsidRPr="00273106">
        <w:t xml:space="preserve">Spor o numerickou jednotu v rámci </w:t>
      </w:r>
      <w:r w:rsidR="00C3537A" w:rsidRPr="00273106">
        <w:rPr>
          <w:i/>
        </w:rPr>
        <w:t>intellectus possibilis</w:t>
      </w:r>
      <w:r w:rsidR="00C3537A" w:rsidRPr="00273106">
        <w:t xml:space="preserve"> se stal jedním ze základních prvků pozděj</w:t>
      </w:r>
      <w:r w:rsidR="00C3537A">
        <w:t xml:space="preserve">šího sporu o falešně pochopený </w:t>
      </w:r>
      <w:r w:rsidR="00C3537A" w:rsidRPr="00273106">
        <w:t>averroismus</w:t>
      </w:r>
      <w:r w:rsidR="00C3537A">
        <w:fldChar w:fldCharType="begin"/>
      </w:r>
      <w:r w:rsidR="00C3537A">
        <w:instrText xml:space="preserve"> XE "</w:instrText>
      </w:r>
      <w:r w:rsidR="00C3537A" w:rsidRPr="00B42B6B">
        <w:instrText>averroismus:vznik</w:instrText>
      </w:r>
      <w:r w:rsidR="00C3537A">
        <w:instrText xml:space="preserve">" </w:instrText>
      </w:r>
      <w:r w:rsidR="00C3537A">
        <w:fldChar w:fldCharType="end"/>
      </w:r>
      <w:r w:rsidR="00C3537A" w:rsidRPr="00273106">
        <w:t>.</w:t>
      </w:r>
      <w:r w:rsidR="00C3537A">
        <w:t xml:space="preserve"> </w:t>
      </w:r>
      <w:r w:rsidR="004548E1">
        <w:t>D</w:t>
      </w:r>
      <w:r w:rsidR="006B3AE2" w:rsidRPr="00273106">
        <w:t xml:space="preserve">ílo </w:t>
      </w:r>
      <w:r w:rsidR="006B3AE2" w:rsidRPr="00273106">
        <w:rPr>
          <w:i/>
        </w:rPr>
        <w:t>Opus tertium</w:t>
      </w:r>
      <w:r w:rsidR="006B3AE2" w:rsidRPr="00273106">
        <w:t xml:space="preserve"> zachycuje v anekdotické zkratce jeden ze sporů mezi prvním a druhým averroismem. Františkán </w:t>
      </w:r>
      <w:r w:rsidR="006B3AE2" w:rsidRPr="00273106">
        <w:rPr>
          <w:bCs/>
        </w:rPr>
        <w:t>Adam Marsh</w:t>
      </w:r>
      <w:r w:rsidR="006B3AE2" w:rsidRPr="00273106">
        <w:t xml:space="preserve"> (</w:t>
      </w:r>
      <w:r w:rsidR="006B3AE2" w:rsidRPr="00273106">
        <w:rPr>
          <w:bCs/>
        </w:rPr>
        <w:t>Adam de Marisco</w:t>
      </w:r>
      <w:r w:rsidR="00FC2D57">
        <w:rPr>
          <w:bCs/>
        </w:rPr>
        <w:fldChar w:fldCharType="begin"/>
      </w:r>
      <w:r w:rsidR="00FC2D57">
        <w:instrText xml:space="preserve"> XE "</w:instrText>
      </w:r>
      <w:r w:rsidR="00FC2D57" w:rsidRPr="00A30AA5">
        <w:rPr>
          <w:bCs/>
        </w:rPr>
        <w:instrText>Adam de Marisco</w:instrText>
      </w:r>
      <w:r w:rsidR="00FC2D57">
        <w:instrText xml:space="preserve">" </w:instrText>
      </w:r>
      <w:r w:rsidR="00FC2D57">
        <w:rPr>
          <w:bCs/>
        </w:rPr>
        <w:fldChar w:fldCharType="end"/>
      </w:r>
      <w:r w:rsidR="006B3AE2" w:rsidRPr="00273106">
        <w:t xml:space="preserve">) se stal </w:t>
      </w:r>
      <w:r w:rsidR="08F2518F">
        <w:t xml:space="preserve">roku </w:t>
      </w:r>
      <w:r w:rsidR="006B3AE2" w:rsidRPr="00273106">
        <w:t xml:space="preserve">1238 lektorem na Oxfordu a hájil </w:t>
      </w:r>
      <w:r w:rsidR="00D93C60">
        <w:t xml:space="preserve">Alvernovu a </w:t>
      </w:r>
      <w:r w:rsidR="006B3AE2" w:rsidRPr="00273106">
        <w:t xml:space="preserve">Grossetesteho linii ohledně odděleného </w:t>
      </w:r>
      <w:r w:rsidR="006B3AE2" w:rsidRPr="00273106">
        <w:rPr>
          <w:i/>
        </w:rPr>
        <w:t>intellectus agens</w:t>
      </w:r>
      <w:r w:rsidR="006B3AE2" w:rsidRPr="00273106">
        <w:t xml:space="preserve"> situovanéh</w:t>
      </w:r>
      <w:r w:rsidR="08DE6CFE">
        <w:t>o jen do kosmických sfér (kap. 3</w:t>
      </w:r>
      <w:r w:rsidR="006B3AE2" w:rsidRPr="00273106">
        <w:t xml:space="preserve">.2). </w:t>
      </w:r>
      <w:r w:rsidR="00AD1188" w:rsidRPr="00273106">
        <w:t xml:space="preserve">Františkánští představitelé školy druhého averroismu doráželi na </w:t>
      </w:r>
      <w:r w:rsidR="00AD1188" w:rsidRPr="00273106">
        <w:rPr>
          <w:bCs/>
        </w:rPr>
        <w:t>Marsh</w:t>
      </w:r>
      <w:r w:rsidR="00AD1188">
        <w:t>e</w:t>
      </w:r>
      <w:r w:rsidR="00AD1188" w:rsidRPr="00273106">
        <w:t>, ab</w:t>
      </w:r>
      <w:r w:rsidR="00AD1188">
        <w:t xml:space="preserve">y jim podal vysvětlení ohledně </w:t>
      </w:r>
      <w:r w:rsidR="00AD1188" w:rsidRPr="00273106">
        <w:rPr>
          <w:i/>
        </w:rPr>
        <w:t>intellectus agens</w:t>
      </w:r>
      <w:r w:rsidR="00AD1188" w:rsidRPr="00273106">
        <w:t>.</w:t>
      </w:r>
      <w:r w:rsidR="00AD1188" w:rsidRPr="00273106">
        <w:rPr>
          <w:rStyle w:val="Znakapoznpodarou"/>
        </w:rPr>
        <w:footnoteReference w:id="452"/>
      </w:r>
      <w:r w:rsidR="00AD1188" w:rsidRPr="00273106">
        <w:t xml:space="preserve"> </w:t>
      </w:r>
      <w:r w:rsidR="00342CBE" w:rsidRPr="00273106">
        <w:t xml:space="preserve">Bacon považuje </w:t>
      </w:r>
      <w:r w:rsidR="00342CBE" w:rsidRPr="00273106">
        <w:rPr>
          <w:bCs/>
        </w:rPr>
        <w:t>Adama Marshe</w:t>
      </w:r>
      <w:r w:rsidR="00342CBE">
        <w:rPr>
          <w:bCs/>
        </w:rPr>
        <w:fldChar w:fldCharType="begin"/>
      </w:r>
      <w:r w:rsidR="00342CBE">
        <w:instrText xml:space="preserve"> XE "</w:instrText>
      </w:r>
      <w:r w:rsidR="00342CBE" w:rsidRPr="00A30AA5">
        <w:rPr>
          <w:bCs/>
        </w:rPr>
        <w:instrText>Adam de Marisco</w:instrText>
      </w:r>
      <w:r w:rsidR="00342CBE">
        <w:instrText xml:space="preserve">" </w:instrText>
      </w:r>
      <w:r w:rsidR="00342CBE">
        <w:rPr>
          <w:bCs/>
        </w:rPr>
        <w:fldChar w:fldCharType="end"/>
      </w:r>
      <w:r w:rsidR="00342CBE" w:rsidRPr="00273106">
        <w:t xml:space="preserve"> za </w:t>
      </w:r>
      <w:r w:rsidR="088800C1">
        <w:t xml:space="preserve">pravdivě myslícího </w:t>
      </w:r>
      <w:r w:rsidR="00342CBE" w:rsidRPr="00273106">
        <w:t>filosofa, na rozdíl od sofistické skupiny františkánů (</w:t>
      </w:r>
      <w:r w:rsidR="00342CBE" w:rsidRPr="00273106">
        <w:rPr>
          <w:i/>
        </w:rPr>
        <w:t>aliqui Minores</w:t>
      </w:r>
      <w:r w:rsidR="00342CBE" w:rsidRPr="00273106">
        <w:t>)</w:t>
      </w:r>
      <w:r w:rsidR="005A64EC">
        <w:t xml:space="preserve">. Ti </w:t>
      </w:r>
      <w:r w:rsidR="00342CBE" w:rsidRPr="00273106">
        <w:t xml:space="preserve">posunuli </w:t>
      </w:r>
      <w:r w:rsidR="005A64EC" w:rsidRPr="00273106">
        <w:t>Grossetesteho výklad intele</w:t>
      </w:r>
      <w:r w:rsidR="005A64EC">
        <w:t xml:space="preserve">ktu směrem k avicennismu, což později dosvědčilo jemu připsané dílo </w:t>
      </w:r>
      <w:r w:rsidR="00342CBE" w:rsidRPr="00273106">
        <w:rPr>
          <w:i/>
        </w:rPr>
        <w:t>Summa philosophiae</w:t>
      </w:r>
      <w:r w:rsidR="00342CBE" w:rsidRPr="00273106">
        <w:t xml:space="preserve"> </w:t>
      </w:r>
      <w:r w:rsidR="08D13CA9">
        <w:t>(kap. 3</w:t>
      </w:r>
      <w:r w:rsidR="00342CBE" w:rsidRPr="00273106">
        <w:t xml:space="preserve">.1.3). </w:t>
      </w:r>
      <w:r w:rsidR="00CB7782" w:rsidRPr="00273106">
        <w:rPr>
          <w:bCs/>
        </w:rPr>
        <w:t>Marsh</w:t>
      </w:r>
      <w:r w:rsidR="00CB7782" w:rsidRPr="00273106">
        <w:t xml:space="preserve"> </w:t>
      </w:r>
      <w:r w:rsidR="00CB7782">
        <w:t xml:space="preserve">jako </w:t>
      </w:r>
      <w:r w:rsidR="08724E08">
        <w:t>m</w:t>
      </w:r>
      <w:r w:rsidR="006B3AE2" w:rsidRPr="00273106">
        <w:t xml:space="preserve">agistr </w:t>
      </w:r>
      <w:r w:rsidR="088D5306">
        <w:t xml:space="preserve">ze školy </w:t>
      </w:r>
      <w:r w:rsidR="08B17C71">
        <w:t xml:space="preserve">prvního averroismu </w:t>
      </w:r>
      <w:r w:rsidR="00265805">
        <w:t>odpověděl</w:t>
      </w:r>
      <w:r w:rsidR="08B17C71">
        <w:t xml:space="preserve"> mladým modernistům</w:t>
      </w:r>
      <w:r w:rsidR="006B3AE2" w:rsidRPr="00273106">
        <w:t>, že jde o Eliášova krkavce</w:t>
      </w:r>
      <w:r w:rsidR="086F3AC2">
        <w:fldChar w:fldCharType="begin"/>
      </w:r>
      <w:r w:rsidR="086F3AC2">
        <w:instrText xml:space="preserve"> XE "</w:instrText>
      </w:r>
      <w:r w:rsidR="086F3AC2" w:rsidRPr="089C2A99">
        <w:instrText>Eliášův krkavec</w:instrText>
      </w:r>
      <w:r w:rsidR="086F3AC2">
        <w:instrText xml:space="preserve">" </w:instrText>
      </w:r>
      <w:r w:rsidR="086F3AC2">
        <w:fldChar w:fldCharType="end"/>
      </w:r>
      <w:r w:rsidR="006B3AE2" w:rsidRPr="00273106">
        <w:t xml:space="preserve"> (1 Král 17:6</w:t>
      </w:r>
      <w:r w:rsidR="00F813A5">
        <w:fldChar w:fldCharType="begin"/>
      </w:r>
      <w:r w:rsidR="00F813A5">
        <w:instrText xml:space="preserve"> XE "Starý zákon:</w:instrText>
      </w:r>
      <w:r w:rsidR="0046213D">
        <w:instrText xml:space="preserve">1 </w:instrText>
      </w:r>
      <w:r w:rsidR="0046213D" w:rsidRPr="0813449D">
        <w:rPr>
          <w:i/>
        </w:rPr>
        <w:instrText>Král</w:instrText>
      </w:r>
      <w:r w:rsidR="0046213D">
        <w:instrText xml:space="preserve"> 17.</w:instrText>
      </w:r>
      <w:r w:rsidR="00F813A5" w:rsidRPr="00676BC3">
        <w:instrText>6</w:instrText>
      </w:r>
      <w:r w:rsidR="00F813A5">
        <w:instrText xml:space="preserve">" </w:instrText>
      </w:r>
      <w:r w:rsidR="00F813A5">
        <w:fldChar w:fldCharType="end"/>
      </w:r>
      <w:r w:rsidR="006B3AE2" w:rsidRPr="00273106">
        <w:t xml:space="preserve">). Tato živá první substance přicházela do Eliášovy jeskyně zvnějšku, aby živila známého proroka. </w:t>
      </w:r>
      <w:r w:rsidR="087336F8">
        <w:t>A</w:t>
      </w:r>
      <w:r w:rsidR="087336F8" w:rsidRPr="00273106">
        <w:t xml:space="preserve">ktualita poznání daná </w:t>
      </w:r>
      <w:r w:rsidR="087336F8" w:rsidRPr="00273106">
        <w:rPr>
          <w:i/>
        </w:rPr>
        <w:t>per se</w:t>
      </w:r>
      <w:r w:rsidR="087336F8" w:rsidRPr="00273106">
        <w:t xml:space="preserve"> </w:t>
      </w:r>
      <w:r w:rsidR="087336F8">
        <w:t xml:space="preserve">v samotném intelektu v aktu denudace a přímého náhledu není schopna </w:t>
      </w:r>
      <w:r w:rsidR="087336F8" w:rsidRPr="00273106">
        <w:t>zajist</w:t>
      </w:r>
      <w:r w:rsidR="087336F8">
        <w:t>it</w:t>
      </w:r>
      <w:r w:rsidR="087336F8" w:rsidRPr="00273106">
        <w:t xml:space="preserve"> </w:t>
      </w:r>
      <w:r w:rsidR="08300FE1">
        <w:t xml:space="preserve">poznání </w:t>
      </w:r>
      <w:r w:rsidR="087336F8">
        <w:t xml:space="preserve">bez Eliášova krkavce. </w:t>
      </w:r>
      <w:r w:rsidR="006B3AE2" w:rsidRPr="00273106">
        <w:t xml:space="preserve">Druhý averroismus žije v jeskyni </w:t>
      </w:r>
      <w:r w:rsidR="00874074">
        <w:t>neoplatonsk</w:t>
      </w:r>
      <w:r w:rsidR="00DF344C">
        <w:t xml:space="preserve">ého dualismu a je oddělený </w:t>
      </w:r>
      <w:r w:rsidR="006B3AE2" w:rsidRPr="00273106">
        <w:t>od smyslové zkušenosti</w:t>
      </w:r>
      <w:r w:rsidR="00DF344C">
        <w:t xml:space="preserve"> světa</w:t>
      </w:r>
      <w:r w:rsidR="006B3AE2" w:rsidRPr="00273106">
        <w:t xml:space="preserve">. Pak </w:t>
      </w:r>
      <w:r w:rsidR="00DF344C">
        <w:t xml:space="preserve">ale </w:t>
      </w:r>
      <w:r w:rsidR="006B3AE2" w:rsidRPr="00273106">
        <w:t xml:space="preserve">potřebuje nějakého posla od externí reality stejně nutně jako Descartes potřebuje </w:t>
      </w:r>
      <w:r w:rsidR="081066F7">
        <w:t xml:space="preserve">moderního </w:t>
      </w:r>
      <w:r w:rsidR="006B3AE2" w:rsidRPr="00273106">
        <w:t xml:space="preserve">boha k pravdivému poznání světa mimo imanentní </w:t>
      </w:r>
      <w:r w:rsidR="006B3AE2" w:rsidRPr="00273106">
        <w:rPr>
          <w:i/>
        </w:rPr>
        <w:t>cogito</w:t>
      </w:r>
      <w:r w:rsidR="00303907">
        <w:rPr>
          <w:i/>
        </w:rPr>
        <w:fldChar w:fldCharType="begin"/>
      </w:r>
      <w:r w:rsidR="00303907">
        <w:instrText xml:space="preserve"> XE "</w:instrText>
      </w:r>
      <w:r w:rsidR="00303907" w:rsidRPr="003D2937">
        <w:rPr>
          <w:i/>
        </w:rPr>
        <w:instrText>cogito</w:instrText>
      </w:r>
      <w:r w:rsidR="00303907">
        <w:instrText xml:space="preserve">" </w:instrText>
      </w:r>
      <w:r w:rsidR="00303907">
        <w:rPr>
          <w:i/>
        </w:rPr>
        <w:fldChar w:fldCharType="end"/>
      </w:r>
      <w:r w:rsidR="006B3AE2" w:rsidRPr="00273106">
        <w:t xml:space="preserve">. </w:t>
      </w:r>
      <w:r w:rsidR="00CB39EA" w:rsidRPr="00273106">
        <w:t>Husserl vytvořil postmoderní jeskyni danou jako imanentní a objektivní vize jsoucna (</w:t>
      </w:r>
      <w:r w:rsidR="00CB39EA" w:rsidRPr="00273106">
        <w:rPr>
          <w:i/>
        </w:rPr>
        <w:t>Gegebenheit meiner lebendig fortlaufenden objektiven Erfahrung</w:t>
      </w:r>
      <w:r w:rsidR="00CB39EA" w:rsidRPr="00273106">
        <w:t>).</w:t>
      </w:r>
      <w:r w:rsidR="08FE15B5" w:rsidRPr="00273106">
        <w:rPr>
          <w:rStyle w:val="Znakapoznpodarou"/>
        </w:rPr>
        <w:footnoteReference w:id="453"/>
      </w:r>
      <w:r w:rsidR="00CB39EA">
        <w:t xml:space="preserve"> </w:t>
      </w:r>
      <w:r w:rsidR="00DF38D5">
        <w:t>K</w:t>
      </w:r>
      <w:r w:rsidR="00DF38D5" w:rsidRPr="00273106">
        <w:t>rkavec do solipsistické zkušenosti absolutního vědomí sice přichází, ale je chápaný pouze z hlediska absolutní egologické zkušenosti (</w:t>
      </w:r>
      <w:r w:rsidR="00DF38D5" w:rsidRPr="00273106">
        <w:rPr>
          <w:i/>
        </w:rPr>
        <w:t>Sinngebung der sekundären objektiven Transzendenz</w:t>
      </w:r>
      <w:r w:rsidR="00DF38D5" w:rsidRPr="00273106">
        <w:t xml:space="preserve">). </w:t>
      </w:r>
      <w:r w:rsidR="086B10FB">
        <w:t xml:space="preserve">Bytí </w:t>
      </w:r>
      <w:r w:rsidR="005606E8">
        <w:t xml:space="preserve">krkavce se objevuje pouze jako samodanost prožitku v imanenci Husserlova čistého vědomí, </w:t>
      </w:r>
      <w:r w:rsidR="086B10FB">
        <w:t>ale v tomto modu vědecké evidence neexistuje vazba na reálnou věc</w:t>
      </w:r>
      <w:r w:rsidR="005606E8">
        <w:t xml:space="preserve">. </w:t>
      </w:r>
      <w:r w:rsidR="08CC6B18">
        <w:t>Husserlovo poje</w:t>
      </w:r>
      <w:r w:rsidR="08240838">
        <w:t xml:space="preserve">tí </w:t>
      </w:r>
      <w:r w:rsidR="08CC6B18">
        <w:t xml:space="preserve">poznání a evidence </w:t>
      </w:r>
      <w:r w:rsidR="08240838">
        <w:t xml:space="preserve">ukazuje následná </w:t>
      </w:r>
      <w:r w:rsidR="08240838">
        <w:rPr>
          <w:rFonts w:cs="TimesNewRomanPSMT"/>
          <w:szCs w:val="24"/>
        </w:rPr>
        <w:t>analýza</w:t>
      </w:r>
      <w:r w:rsidR="00C93DEB">
        <w:rPr>
          <w:rFonts w:cs="TimesNewRomanPSMT"/>
          <w:szCs w:val="24"/>
        </w:rPr>
        <w:t xml:space="preserve"> </w:t>
      </w:r>
      <w:r w:rsidR="00C93DEB">
        <w:t xml:space="preserve">pojmu </w:t>
      </w:r>
      <w:r w:rsidR="00C93DEB" w:rsidRPr="08045F7D">
        <w:rPr>
          <w:i/>
        </w:rPr>
        <w:t>Sich-von-sich-selbst-her-zeigen</w:t>
      </w:r>
      <w:r w:rsidR="00C93DEB">
        <w:t xml:space="preserve"> </w:t>
      </w:r>
      <w:r w:rsidR="00C93DEB">
        <w:rPr>
          <w:rFonts w:cs="TimesNewRomanPSMT"/>
          <w:szCs w:val="24"/>
        </w:rPr>
        <w:t>(</w:t>
      </w:r>
      <w:r w:rsidR="08F01283">
        <w:rPr>
          <w:rFonts w:cs="TimesNewRomanPSMT"/>
          <w:szCs w:val="24"/>
        </w:rPr>
        <w:t>OBJ III, kap. 5</w:t>
      </w:r>
      <w:r w:rsidR="00C93DEB">
        <w:rPr>
          <w:rFonts w:cs="TimesNewRomanPSMT"/>
          <w:szCs w:val="24"/>
        </w:rPr>
        <w:t xml:space="preserve">.3.2). </w:t>
      </w:r>
      <w:r w:rsidR="08CC6B18">
        <w:rPr>
          <w:rFonts w:cs="TimesNewRomanPSMT"/>
          <w:szCs w:val="24"/>
        </w:rPr>
        <w:t xml:space="preserve">Kritický </w:t>
      </w:r>
      <w:r w:rsidR="08ED1AB7">
        <w:t xml:space="preserve">filosof </w:t>
      </w:r>
      <w:r w:rsidR="00CF3327">
        <w:t>n</w:t>
      </w:r>
      <w:r w:rsidR="006B3AE2" w:rsidRPr="00273106">
        <w:t>ežije v </w:t>
      </w:r>
      <w:r w:rsidR="082F02A7">
        <w:t>platonské</w:t>
      </w:r>
      <w:r w:rsidR="00E6463B">
        <w:t xml:space="preserve"> </w:t>
      </w:r>
      <w:r w:rsidR="006B3AE2" w:rsidRPr="00273106">
        <w:t>jeskyni</w:t>
      </w:r>
      <w:r w:rsidR="00E6463B">
        <w:t xml:space="preserve"> nebo v postmoderním kině solipsistického egologického vědomí</w:t>
      </w:r>
      <w:r w:rsidR="002B28DD">
        <w:t>. P</w:t>
      </w:r>
      <w:r w:rsidR="006B3AE2" w:rsidRPr="00273106">
        <w:t xml:space="preserve">roto nepotřebuje </w:t>
      </w:r>
      <w:r w:rsidR="00F973E6">
        <w:t xml:space="preserve">zprostředkujícího </w:t>
      </w:r>
      <w:r w:rsidR="006B3AE2" w:rsidRPr="00273106">
        <w:t xml:space="preserve">posla </w:t>
      </w:r>
      <w:r w:rsidR="08ED1AB7">
        <w:t xml:space="preserve">jako je </w:t>
      </w:r>
      <w:r w:rsidR="006B3AE2" w:rsidRPr="00273106">
        <w:t>Eliáš</w:t>
      </w:r>
      <w:r w:rsidR="08ED1AB7">
        <w:t xml:space="preserve">ův </w:t>
      </w:r>
      <w:r w:rsidR="006B3AE2" w:rsidRPr="00273106">
        <w:t>krkav</w:t>
      </w:r>
      <w:r w:rsidR="08ED1AB7">
        <w:t>ec, Descartova vrozená</w:t>
      </w:r>
      <w:r w:rsidR="006B3AE2" w:rsidRPr="00273106">
        <w:t xml:space="preserve"> id</w:t>
      </w:r>
      <w:r w:rsidR="08ED1AB7">
        <w:t>ea</w:t>
      </w:r>
      <w:r w:rsidR="006B3AE2" w:rsidRPr="00273106">
        <w:t xml:space="preserve"> boha</w:t>
      </w:r>
      <w:r w:rsidR="08ED1AB7">
        <w:t xml:space="preserve">, Husserlova </w:t>
      </w:r>
      <w:r w:rsidR="00B11826">
        <w:t>imanentní transcendence a absolutní samodanosti fenoménu</w:t>
      </w:r>
      <w:r w:rsidR="00917920">
        <w:t xml:space="preserve">. </w:t>
      </w:r>
      <w:r w:rsidR="00917920" w:rsidRPr="00917920">
        <w:t xml:space="preserve">Ve věku filozofického nihilismu přebírá roli zázračného havrana analytická teorie </w:t>
      </w:r>
      <w:r w:rsidR="00681985">
        <w:t xml:space="preserve">tvorby </w:t>
      </w:r>
      <w:r w:rsidR="00917920" w:rsidRPr="00917920">
        <w:rPr>
          <w:i/>
        </w:rPr>
        <w:t>meaning</w:t>
      </w:r>
      <w:r w:rsidR="00917920" w:rsidRPr="00917920">
        <w:t xml:space="preserve">, kdy </w:t>
      </w:r>
      <w:r w:rsidR="00802B47">
        <w:t xml:space="preserve">subjektivní </w:t>
      </w:r>
      <w:r w:rsidR="00917920" w:rsidRPr="00917920">
        <w:rPr>
          <w:i/>
        </w:rPr>
        <w:t>scibile</w:t>
      </w:r>
      <w:r w:rsidR="00917920">
        <w:t xml:space="preserve"> hypostázovaného </w:t>
      </w:r>
      <w:r w:rsidR="00917920" w:rsidRPr="00917920">
        <w:t xml:space="preserve">jazyka vytváří odvážný nový svět </w:t>
      </w:r>
      <w:r w:rsidR="00917920">
        <w:t>podle různých „</w:t>
      </w:r>
      <w:r w:rsidR="00917920" w:rsidRPr="00917920">
        <w:rPr>
          <w:i/>
        </w:rPr>
        <w:t>langua</w:t>
      </w:r>
      <w:r w:rsidR="00917920">
        <w:rPr>
          <w:i/>
        </w:rPr>
        <w:t>g</w:t>
      </w:r>
      <w:r w:rsidR="00917920" w:rsidRPr="00917920">
        <w:rPr>
          <w:i/>
        </w:rPr>
        <w:t>e</w:t>
      </w:r>
      <w:r w:rsidR="00917920">
        <w:t xml:space="preserve"> </w:t>
      </w:r>
      <w:r w:rsidR="00917920" w:rsidRPr="00917920">
        <w:rPr>
          <w:i/>
        </w:rPr>
        <w:t>games</w:t>
      </w:r>
      <w:r w:rsidR="00917920">
        <w:t>“</w:t>
      </w:r>
      <w:r w:rsidR="00917920" w:rsidRPr="00917920">
        <w:t>.</w:t>
      </w:r>
      <w:r w:rsidR="00917920">
        <w:t xml:space="preserve"> </w:t>
      </w:r>
      <w:r w:rsidR="00E03509">
        <w:t>A</w:t>
      </w:r>
      <w:r w:rsidR="082F02A7">
        <w:t>ristotelismu</w:t>
      </w:r>
      <w:r w:rsidR="00E03509">
        <w:t>s</w:t>
      </w:r>
      <w:r w:rsidR="082F02A7">
        <w:t xml:space="preserve"> podle CMDA ne</w:t>
      </w:r>
      <w:r w:rsidR="00E03509">
        <w:t xml:space="preserve">může </w:t>
      </w:r>
      <w:r w:rsidR="082F02A7" w:rsidRPr="00273106">
        <w:t xml:space="preserve">dát činnému intelektu statut </w:t>
      </w:r>
      <w:r w:rsidR="00E03509">
        <w:t xml:space="preserve">hyparchické </w:t>
      </w:r>
      <w:r w:rsidR="082F02A7" w:rsidRPr="00273106">
        <w:t>substance nebo absolutní subjektivity</w:t>
      </w:r>
      <w:r w:rsidR="085E53D9">
        <w:t>. P</w:t>
      </w:r>
      <w:r w:rsidR="082F02A7">
        <w:t>rvní averroismus drží na</w:t>
      </w:r>
      <w:r w:rsidR="085E53D9">
        <w:t>svícení jsoucna zepředu od reál</w:t>
      </w:r>
      <w:r w:rsidR="082F02A7">
        <w:t>n</w:t>
      </w:r>
      <w:r w:rsidR="085E53D9">
        <w:t>ě</w:t>
      </w:r>
      <w:r w:rsidR="082F02A7">
        <w:t xml:space="preserve"> existující první substance</w:t>
      </w:r>
      <w:r w:rsidR="085E53D9">
        <w:t xml:space="preserve"> a tím je také zaji</w:t>
      </w:r>
      <w:r w:rsidR="08DE57C6">
        <w:t>štěna primární impozic</w:t>
      </w:r>
      <w:r w:rsidR="085E53D9">
        <w:t xml:space="preserve">e významu. </w:t>
      </w:r>
      <w:r w:rsidR="006B3AE2" w:rsidRPr="00273106">
        <w:t xml:space="preserve">Spor o oddělený činný intelekt </w:t>
      </w:r>
      <w:r w:rsidR="08E26415">
        <w:t xml:space="preserve">podaný v modu Eliášova krkavce </w:t>
      </w:r>
      <w:r w:rsidR="006B3AE2" w:rsidRPr="00273106">
        <w:t xml:space="preserve">ukazuje zázemí Rufusova výkladu numericky jednotného možného intelektu pro všechny lidi, který připsal </w:t>
      </w:r>
      <w:r w:rsidR="002E3B62">
        <w:t>Averroes</w:t>
      </w:r>
      <w:r w:rsidR="006B3AE2" w:rsidRPr="00273106">
        <w:t>ovi</w:t>
      </w:r>
      <w:r w:rsidR="00DF783A">
        <w:rPr>
          <w:i/>
        </w:rPr>
        <w:fldChar w:fldCharType="begin"/>
      </w:r>
      <w:r w:rsidR="00DF783A">
        <w:instrText xml:space="preserve"> XE "intelekt:numericky jednotný" </w:instrText>
      </w:r>
      <w:r w:rsidR="00DF783A">
        <w:rPr>
          <w:i/>
        </w:rPr>
        <w:fldChar w:fldCharType="end"/>
      </w:r>
      <w:r w:rsidR="00F85338">
        <w:t>.</w:t>
      </w:r>
    </w:p>
    <w:p w14:paraId="0A906EA3" w14:textId="77777777" w:rsidR="00897222" w:rsidRDefault="009102C5" w:rsidP="00E33EF1">
      <w:pPr>
        <w:ind w:firstLine="397"/>
      </w:pPr>
      <w:r w:rsidRPr="00273106">
        <w:t xml:space="preserve">Rufusovo dílo </w:t>
      </w:r>
      <w:r w:rsidRPr="00273106">
        <w:rPr>
          <w:i/>
        </w:rPr>
        <w:t>Contra Averroem</w:t>
      </w:r>
      <w:r w:rsidRPr="00273106">
        <w:t xml:space="preserve"> (kolem 1236) zal</w:t>
      </w:r>
      <w:r>
        <w:t xml:space="preserve">ožilo první explicitní kritiku </w:t>
      </w:r>
      <w:r w:rsidR="08DE57C6">
        <w:t xml:space="preserve">Komentátora </w:t>
      </w:r>
      <w:r w:rsidRPr="00273106">
        <w:t xml:space="preserve">z pozice oxfordských </w:t>
      </w:r>
      <w:r w:rsidRPr="00273106">
        <w:rPr>
          <w:i/>
        </w:rPr>
        <w:t>Modernorum</w:t>
      </w:r>
      <w:r w:rsidRPr="00273106">
        <w:t xml:space="preserve">. Jádrem sporu se stává statut </w:t>
      </w:r>
      <w:r w:rsidRPr="00273106">
        <w:rPr>
          <w:i/>
        </w:rPr>
        <w:t>intellectus possibilis</w:t>
      </w:r>
      <w:r w:rsidRPr="00273106">
        <w:t xml:space="preserve">. </w:t>
      </w:r>
      <w:r w:rsidR="006B3AE2" w:rsidRPr="00273106">
        <w:t xml:space="preserve">Numericky jedné aktivní formě univerzálního </w:t>
      </w:r>
      <w:r w:rsidR="006B3AE2" w:rsidRPr="00273106">
        <w:rPr>
          <w:i/>
        </w:rPr>
        <w:t>intellectus agens</w:t>
      </w:r>
      <w:r w:rsidR="006B3AE2" w:rsidRPr="00273106">
        <w:t xml:space="preserve"> odpovídá u oxfordských porretánů numericky jedna univerzální forma </w:t>
      </w:r>
      <w:r w:rsidR="006B3AE2" w:rsidRPr="00273106">
        <w:rPr>
          <w:i/>
        </w:rPr>
        <w:t>intellectus</w:t>
      </w:r>
      <w:r w:rsidR="080E36A5">
        <w:rPr>
          <w:i/>
        </w:rPr>
        <w:t xml:space="preserve"> materialis</w:t>
      </w:r>
      <w:r w:rsidR="006B3AE2" w:rsidRPr="00273106">
        <w:t>.</w:t>
      </w:r>
      <w:r w:rsidR="00AD3891">
        <w:t xml:space="preserve"> Potenci totiž nelze dále specifikovat na nižší individuum, protože tvoří jednu numericky </w:t>
      </w:r>
      <w:r w:rsidR="00EA07A3">
        <w:t xml:space="preserve">identickou </w:t>
      </w:r>
      <w:r w:rsidR="00AD3891">
        <w:t>hypostázi.</w:t>
      </w:r>
      <w:r w:rsidR="00AD3891" w:rsidRPr="00273106">
        <w:rPr>
          <w:rStyle w:val="Znakapoznpodarou"/>
        </w:rPr>
        <w:footnoteReference w:id="454"/>
      </w:r>
      <w:r w:rsidR="006B3AE2" w:rsidRPr="00273106">
        <w:t xml:space="preserve"> </w:t>
      </w:r>
      <w:r w:rsidR="00183527" w:rsidRPr="00273106">
        <w:t xml:space="preserve">Rufus formálně správně shrnuje výchozí </w:t>
      </w:r>
      <w:r w:rsidR="00183527">
        <w:t>pozici Averroe</w:t>
      </w:r>
      <w:r w:rsidR="00183527" w:rsidRPr="00273106">
        <w:t>se o intelektu</w:t>
      </w:r>
      <w:r w:rsidR="00183527">
        <w:t xml:space="preserve"> jako potenci duše (</w:t>
      </w:r>
      <w:r w:rsidR="00183527" w:rsidRPr="00D01188">
        <w:rPr>
          <w:i/>
        </w:rPr>
        <w:t>sit in potentia ad hominem</w:t>
      </w:r>
      <w:r w:rsidR="00183527">
        <w:t>)</w:t>
      </w:r>
      <w:r w:rsidR="00183527" w:rsidRPr="00273106">
        <w:t xml:space="preserve">. </w:t>
      </w:r>
      <w:r w:rsidR="00EA07A3">
        <w:t>Ale d</w:t>
      </w:r>
      <w:r w:rsidR="00183527" w:rsidRPr="00273106">
        <w:t>ruhý averroismus na úrovni potence nepřipustí jinou individuaci intelektuální formy než pomocí spirituálně pojaté látky</w:t>
      </w:r>
      <w:r w:rsidR="08A516BF">
        <w:rPr>
          <w:i/>
        </w:rPr>
        <w:fldChar w:fldCharType="begin"/>
      </w:r>
      <w:r w:rsidR="08A516BF">
        <w:instrText xml:space="preserve"> XE "</w:instrText>
      </w:r>
      <w:r w:rsidR="08A516BF" w:rsidRPr="08A516BF">
        <w:instrText>materie</w:instrText>
      </w:r>
      <w:r w:rsidR="08A516BF">
        <w:rPr>
          <w:i/>
        </w:rPr>
        <w:instrText xml:space="preserve">:materia </w:instrText>
      </w:r>
      <w:r w:rsidR="08A516BF" w:rsidRPr="00612581">
        <w:rPr>
          <w:i/>
        </w:rPr>
        <w:instrText>spiritualis</w:instrText>
      </w:r>
      <w:r w:rsidR="08A516BF">
        <w:instrText xml:space="preserve">" </w:instrText>
      </w:r>
      <w:r w:rsidR="08A516BF">
        <w:rPr>
          <w:i/>
        </w:rPr>
        <w:fldChar w:fldCharType="end"/>
      </w:r>
      <w:r w:rsidR="00183527" w:rsidRPr="00FD4C64">
        <w:t xml:space="preserve"> </w:t>
      </w:r>
      <w:r w:rsidR="00183527" w:rsidRPr="00273106">
        <w:t>v dualistické koncepci Avicebrona</w:t>
      </w:r>
      <w:r w:rsidR="00183527">
        <w:fldChar w:fldCharType="begin"/>
      </w:r>
      <w:r w:rsidR="00183527">
        <w:instrText xml:space="preserve"> XE "</w:instrText>
      </w:r>
      <w:r w:rsidR="00183527" w:rsidRPr="00BD5AB5">
        <w:instrText>Avicebron</w:instrText>
      </w:r>
      <w:r w:rsidR="00183527">
        <w:instrText xml:space="preserve">" </w:instrText>
      </w:r>
      <w:r w:rsidR="00183527">
        <w:fldChar w:fldCharType="end"/>
      </w:r>
      <w:r w:rsidR="082D1AD1">
        <w:t xml:space="preserve"> (kap. 3</w:t>
      </w:r>
      <w:r w:rsidR="00183527" w:rsidRPr="00273106">
        <w:t xml:space="preserve">.2). </w:t>
      </w:r>
      <w:r w:rsidR="08FC3C58">
        <w:t>Pak platí mytopoetika moderny zajištěná Eliášovým krkavcem. Individualizovaný</w:t>
      </w:r>
      <w:r w:rsidR="08A96E73">
        <w:t xml:space="preserve"> kosmický </w:t>
      </w:r>
      <w:r w:rsidR="08A96E73" w:rsidRPr="08A96E73">
        <w:rPr>
          <w:i/>
        </w:rPr>
        <w:t>intellectus possibilis</w:t>
      </w:r>
      <w:r w:rsidR="08A96E73">
        <w:t xml:space="preserve"> úspěšně kopuluje s naším </w:t>
      </w:r>
      <w:r w:rsidR="08A96E73" w:rsidRPr="08A96E73">
        <w:rPr>
          <w:i/>
        </w:rPr>
        <w:t>intellectus materialis</w:t>
      </w:r>
      <w:r w:rsidR="08A96E73">
        <w:t xml:space="preserve">. Médiem této kopulace je Avicebronova materie třetího druhu, která tvoří </w:t>
      </w:r>
      <w:r w:rsidR="08493083">
        <w:t xml:space="preserve">vlastní </w:t>
      </w:r>
      <w:r w:rsidR="08A96E73">
        <w:t xml:space="preserve">subjekt obou těchto neexistujících jsoucen třetího druhu. </w:t>
      </w:r>
      <w:r w:rsidR="00EA07A3">
        <w:t>I</w:t>
      </w:r>
      <w:r w:rsidR="00183527">
        <w:t xml:space="preserve">ndividuace </w:t>
      </w:r>
      <w:r w:rsidR="08A96E73">
        <w:t xml:space="preserve">kosmické </w:t>
      </w:r>
      <w:r w:rsidR="00183527">
        <w:t xml:space="preserve">hypostáze </w:t>
      </w:r>
      <w:r w:rsidR="08493083">
        <w:t xml:space="preserve">daná skrze Dinantovu </w:t>
      </w:r>
      <w:r w:rsidR="08493083" w:rsidRPr="08493083">
        <w:rPr>
          <w:i/>
        </w:rPr>
        <w:t>materia prima</w:t>
      </w:r>
      <w:r w:rsidR="08493083">
        <w:t xml:space="preserve"> </w:t>
      </w:r>
      <w:r w:rsidR="00183527">
        <w:t xml:space="preserve">vznikne </w:t>
      </w:r>
      <w:r w:rsidR="08A96E73">
        <w:t xml:space="preserve">v člověku </w:t>
      </w:r>
      <w:r w:rsidR="00183527">
        <w:t>kopulací s  materiální složkou intelektu danou v aktu poznání</w:t>
      </w:r>
      <w:r w:rsidR="004B0260">
        <w:t xml:space="preserve"> jednotlivce</w:t>
      </w:r>
      <w:r w:rsidR="00183527">
        <w:t>, která je v</w:t>
      </w:r>
      <w:r w:rsidR="08A96E73">
        <w:t xml:space="preserve">e stejně univočním </w:t>
      </w:r>
      <w:r w:rsidR="00183527">
        <w:t xml:space="preserve">modu </w:t>
      </w:r>
      <w:r w:rsidR="00183527" w:rsidRPr="00183527">
        <w:rPr>
          <w:i/>
        </w:rPr>
        <w:t>materia spiritualis</w:t>
      </w:r>
      <w:r w:rsidR="00183527">
        <w:t xml:space="preserve">. </w:t>
      </w:r>
      <w:r w:rsidR="08E5415E">
        <w:t xml:space="preserve">Obě složky </w:t>
      </w:r>
      <w:r w:rsidR="088B5486">
        <w:t xml:space="preserve">intelektu </w:t>
      </w:r>
      <w:r w:rsidR="08E5415E">
        <w:t>jso</w:t>
      </w:r>
      <w:r w:rsidR="00323DBB">
        <w:t>u individualizované skrze mytologic</w:t>
      </w:r>
      <w:r w:rsidR="08E5415E">
        <w:t>kou materii</w:t>
      </w:r>
      <w:r w:rsidR="00323DBB">
        <w:t xml:space="preserve">. Provozován tímto zázračným způsobem, </w:t>
      </w:r>
      <w:r w:rsidR="08E5415E">
        <w:t xml:space="preserve">akt </w:t>
      </w:r>
      <w:r w:rsidR="082453D7">
        <w:rPr>
          <w:i/>
        </w:rPr>
        <w:t>coniunctio</w:t>
      </w:r>
      <w:r w:rsidR="080A3960">
        <w:t xml:space="preserve"> </w:t>
      </w:r>
      <w:r w:rsidR="00A47C12">
        <w:t xml:space="preserve">proběhne vždy a řádným způsobem. </w:t>
      </w:r>
      <w:r w:rsidR="00A47C12">
        <w:rPr>
          <w:szCs w:val="24"/>
        </w:rPr>
        <w:t xml:space="preserve">Lidský </w:t>
      </w:r>
      <w:r w:rsidR="00A47C12" w:rsidRPr="007224C4">
        <w:rPr>
          <w:i/>
          <w:szCs w:val="24"/>
        </w:rPr>
        <w:t>intellectus materialis</w:t>
      </w:r>
      <w:r w:rsidR="00A47C12">
        <w:rPr>
          <w:szCs w:val="24"/>
        </w:rPr>
        <w:t xml:space="preserve"> se spojuje Dinantovým kosmickým </w:t>
      </w:r>
      <w:r w:rsidR="00A47C12" w:rsidRPr="00DC6664">
        <w:rPr>
          <w:i/>
          <w:szCs w:val="24"/>
        </w:rPr>
        <w:t>intellectus possibilis</w:t>
      </w:r>
      <w:r w:rsidR="00A47C12">
        <w:rPr>
          <w:i/>
          <w:szCs w:val="24"/>
        </w:rPr>
        <w:t>.</w:t>
      </w:r>
      <w:r w:rsidR="00A47C12" w:rsidRPr="00E0273C">
        <w:rPr>
          <w:szCs w:val="24"/>
        </w:rPr>
        <w:t xml:space="preserve"> </w:t>
      </w:r>
      <w:r w:rsidR="00710265">
        <w:t>Z </w:t>
      </w:r>
      <w:r w:rsidR="00710265" w:rsidRPr="00710265">
        <w:t>Komentátor</w:t>
      </w:r>
      <w:r w:rsidR="00710265">
        <w:t xml:space="preserve">a se stal </w:t>
      </w:r>
      <w:r w:rsidR="00F2567A">
        <w:t xml:space="preserve">moderní </w:t>
      </w:r>
      <w:r w:rsidR="00710265">
        <w:t>tran</w:t>
      </w:r>
      <w:r w:rsidR="00F2567A">
        <w:t>s</w:t>
      </w:r>
      <w:r w:rsidR="00710265">
        <w:t>vestita skrytý z</w:t>
      </w:r>
      <w:r w:rsidR="00710265" w:rsidRPr="00710265">
        <w:t xml:space="preserve">a postavou </w:t>
      </w:r>
      <w:r w:rsidR="00710265">
        <w:t xml:space="preserve">heretika </w:t>
      </w:r>
      <w:r w:rsidR="00710265" w:rsidRPr="00710265">
        <w:t xml:space="preserve">Davida </w:t>
      </w:r>
      <w:r w:rsidR="00710265">
        <w:t xml:space="preserve">z </w:t>
      </w:r>
      <w:r w:rsidR="00710265" w:rsidRPr="00710265">
        <w:t>Dinant</w:t>
      </w:r>
      <w:r w:rsidR="00710265">
        <w:t>u</w:t>
      </w:r>
      <w:r w:rsidR="00710265" w:rsidRPr="00710265">
        <w:t>, a od té doby žije mezi námi v tomto sofistikovaném aristotelském převleku.</w:t>
      </w:r>
      <w:r w:rsidR="00710265">
        <w:t xml:space="preserve"> </w:t>
      </w:r>
      <w:r w:rsidR="082C41EB">
        <w:t xml:space="preserve">Nyní je jasné, proč Blundova škola jako jediná </w:t>
      </w:r>
      <w:r w:rsidR="083713D8">
        <w:t xml:space="preserve">v Paříži </w:t>
      </w:r>
      <w:r w:rsidR="082C41EB">
        <w:t xml:space="preserve">byla schopna filosoficky kritizovat </w:t>
      </w:r>
      <w:r w:rsidR="08C844CF">
        <w:t xml:space="preserve">Dinantovy </w:t>
      </w:r>
      <w:r w:rsidR="082C41EB">
        <w:t xml:space="preserve">omyly. </w:t>
      </w:r>
      <w:r w:rsidR="080A3960">
        <w:t xml:space="preserve">Po zatmění první substance došlo dějinně nutně k zatmění </w:t>
      </w:r>
      <w:r w:rsidR="08327C10">
        <w:t xml:space="preserve">toho </w:t>
      </w:r>
      <w:r w:rsidR="080A3960">
        <w:t xml:space="preserve">filosofa, který tento omyl </w:t>
      </w:r>
      <w:r w:rsidR="08327C10">
        <w:t xml:space="preserve">jako jediný zásadně </w:t>
      </w:r>
      <w:r w:rsidR="080A3960">
        <w:t>kritizoval</w:t>
      </w:r>
      <w:r w:rsidR="00897222">
        <w:t>.</w:t>
      </w:r>
    </w:p>
    <w:p w14:paraId="5436579C" w14:textId="3EAC1897" w:rsidR="00961555" w:rsidRDefault="006B3AE2" w:rsidP="00E33EF1">
      <w:pPr>
        <w:ind w:firstLine="397"/>
      </w:pPr>
      <w:r w:rsidRPr="00273106">
        <w:t>Další generace modernistů</w:t>
      </w:r>
      <w:r w:rsidR="00A54DA0">
        <w:t xml:space="preserve"> přebíraly </w:t>
      </w:r>
      <w:r w:rsidRPr="00273106">
        <w:t xml:space="preserve">pojetí </w:t>
      </w:r>
      <w:r w:rsidR="00A54DA0">
        <w:t xml:space="preserve">numericky jednotného </w:t>
      </w:r>
      <w:r w:rsidR="00A54DA0" w:rsidRPr="00A54DA0">
        <w:rPr>
          <w:i/>
        </w:rPr>
        <w:t>intellectus possib</w:t>
      </w:r>
      <w:r w:rsidR="08F01488">
        <w:rPr>
          <w:i/>
        </w:rPr>
        <w:t>i</w:t>
      </w:r>
      <w:r w:rsidR="00A54DA0" w:rsidRPr="00A54DA0">
        <w:rPr>
          <w:i/>
        </w:rPr>
        <w:t>lis</w:t>
      </w:r>
      <w:r w:rsidR="00C92C04">
        <w:t>, který uděla</w:t>
      </w:r>
      <w:r w:rsidR="009E620C">
        <w:t>l</w:t>
      </w:r>
      <w:r w:rsidR="00C92C04">
        <w:t xml:space="preserve"> Rufus. </w:t>
      </w:r>
      <w:r w:rsidR="009E620C">
        <w:t xml:space="preserve">To byl vskutku vynikající výkon nejschopnějšího reprezentanta školy </w:t>
      </w:r>
      <w:r w:rsidR="009E620C" w:rsidRPr="080A3960">
        <w:rPr>
          <w:i/>
        </w:rPr>
        <w:t>sophistae Latini</w:t>
      </w:r>
      <w:r w:rsidR="009E620C">
        <w:t xml:space="preserve">. </w:t>
      </w:r>
      <w:r w:rsidR="00C92C04">
        <w:t xml:space="preserve">Zakladatelé druhého averroismu tento </w:t>
      </w:r>
      <w:r w:rsidR="009E620C">
        <w:t>intelek</w:t>
      </w:r>
      <w:r w:rsidR="00C92C04">
        <w:t xml:space="preserve">tuální zmetek </w:t>
      </w:r>
      <w:r w:rsidR="00A54DA0">
        <w:t>připsa</w:t>
      </w:r>
      <w:r w:rsidR="00C92C04">
        <w:t xml:space="preserve">li </w:t>
      </w:r>
      <w:r w:rsidR="00A54DA0">
        <w:t>Averroesovi</w:t>
      </w:r>
      <w:r w:rsidR="00C92C04">
        <w:t xml:space="preserve">. Hlavními autory této komedie </w:t>
      </w:r>
      <w:r w:rsidR="000E5C80">
        <w:t xml:space="preserve">byli </w:t>
      </w:r>
      <w:r w:rsidRPr="00273106">
        <w:t>Rufus a Bonaventura, kteří vedli mendikantské koleje na Oxfordu a v Paříži</w:t>
      </w:r>
      <w:r w:rsidR="00FE2C72">
        <w:t xml:space="preserve">. </w:t>
      </w:r>
      <w:r w:rsidR="08AA6846" w:rsidRPr="00273106">
        <w:t xml:space="preserve">Zavedením dualismu, který vyloučil adekvační teorii pravdy, vytvořili </w:t>
      </w:r>
      <w:r w:rsidR="089410E2" w:rsidRPr="00273106">
        <w:t xml:space="preserve">sofističtí </w:t>
      </w:r>
      <w:r w:rsidR="08AA6846" w:rsidRPr="00273106">
        <w:rPr>
          <w:i/>
        </w:rPr>
        <w:t>Moderni</w:t>
      </w:r>
      <w:r w:rsidR="00B86F73">
        <w:rPr>
          <w:i/>
        </w:rPr>
        <w:fldChar w:fldCharType="begin"/>
      </w:r>
      <w:r w:rsidR="00B86F73">
        <w:instrText xml:space="preserve"> XE "</w:instrText>
      </w:r>
      <w:r w:rsidR="00B86F73" w:rsidRPr="00B46F32">
        <w:instrText>averroismus:</w:instrText>
      </w:r>
      <w:r w:rsidR="00B86F73" w:rsidRPr="001952EB">
        <w:rPr>
          <w:i/>
        </w:rPr>
        <w:instrText>Moderni</w:instrText>
      </w:r>
      <w:r w:rsidR="00B86F73">
        <w:instrText xml:space="preserve">" </w:instrText>
      </w:r>
      <w:r w:rsidR="00B86F73">
        <w:rPr>
          <w:i/>
        </w:rPr>
        <w:fldChar w:fldCharType="end"/>
      </w:r>
      <w:r w:rsidR="08AA6846" w:rsidRPr="00273106">
        <w:t xml:space="preserve"> </w:t>
      </w:r>
      <w:r w:rsidR="08BD337D" w:rsidRPr="00273106">
        <w:t>následující dilema</w:t>
      </w:r>
      <w:r w:rsidR="08AA6846" w:rsidRPr="00273106">
        <w:t xml:space="preserve"> ohledně receptivního intelektu</w:t>
      </w:r>
      <w:r w:rsidR="08BD337D" w:rsidRPr="00273106">
        <w:t xml:space="preserve">. </w:t>
      </w:r>
      <w:r w:rsidR="004638F6">
        <w:t>B</w:t>
      </w:r>
      <w:r w:rsidR="00441A0E" w:rsidRPr="00273106">
        <w:t xml:space="preserve">uď </w:t>
      </w:r>
      <w:r w:rsidR="00C934F8">
        <w:t xml:space="preserve">je </w:t>
      </w:r>
      <w:r w:rsidR="00441A0E" w:rsidRPr="00273106">
        <w:t>intelekt</w:t>
      </w:r>
      <w:r w:rsidR="00C934F8" w:rsidRPr="00C934F8">
        <w:t xml:space="preserve"> </w:t>
      </w:r>
      <w:r w:rsidR="00C934F8" w:rsidRPr="00273106">
        <w:t>individuální</w:t>
      </w:r>
      <w:r w:rsidR="00441A0E" w:rsidRPr="00273106">
        <w:t xml:space="preserve">, ale pouze hylický, na </w:t>
      </w:r>
      <w:r w:rsidR="08081548">
        <w:t xml:space="preserve">způsob individualizované </w:t>
      </w:r>
      <w:r w:rsidR="08081548" w:rsidRPr="08081548">
        <w:rPr>
          <w:i/>
        </w:rPr>
        <w:t>materia spiritualis</w:t>
      </w:r>
      <w:r w:rsidR="08CA33E3">
        <w:t xml:space="preserve"> dané v těle. </w:t>
      </w:r>
      <w:r w:rsidR="00441A0E" w:rsidRPr="00273106">
        <w:t xml:space="preserve">Proto Albert zásadně kritizoval Rufusovo a Kilwardbyho pojetí </w:t>
      </w:r>
      <w:r w:rsidR="00441A0E" w:rsidRPr="00273106">
        <w:rPr>
          <w:i/>
        </w:rPr>
        <w:t>intellectus materialis</w:t>
      </w:r>
      <w:r w:rsidR="08A5784F">
        <w:t xml:space="preserve"> (kap. 2</w:t>
      </w:r>
      <w:r w:rsidR="00441A0E" w:rsidRPr="00273106">
        <w:t xml:space="preserve">.4.3), které vytvořilo hylický intelekt </w:t>
      </w:r>
      <w:r w:rsidR="000C490F">
        <w:t xml:space="preserve">na způsob </w:t>
      </w:r>
      <w:r w:rsidR="08AD0874">
        <w:t xml:space="preserve">Themistia a </w:t>
      </w:r>
      <w:r w:rsidR="00441A0E" w:rsidRPr="00273106">
        <w:t>Alexandra</w:t>
      </w:r>
      <w:r w:rsidR="00955903">
        <w:fldChar w:fldCharType="begin"/>
      </w:r>
      <w:r w:rsidR="00955903">
        <w:instrText xml:space="preserve"> XE "Alexander, Afrodisias" </w:instrText>
      </w:r>
      <w:r w:rsidR="00955903">
        <w:fldChar w:fldCharType="end"/>
      </w:r>
      <w:r w:rsidR="00441A0E" w:rsidRPr="00273106">
        <w:t xml:space="preserve">. </w:t>
      </w:r>
      <w:r w:rsidR="080279B3">
        <w:t>Averroes</w:t>
      </w:r>
      <w:r w:rsidR="080279B3" w:rsidRPr="00273106">
        <w:t xml:space="preserve"> </w:t>
      </w:r>
      <w:r w:rsidR="080279B3">
        <w:t>integroval nemateriální</w:t>
      </w:r>
      <w:r w:rsidR="080279B3" w:rsidRPr="00273106">
        <w:t xml:space="preserve"> </w:t>
      </w:r>
      <w:r w:rsidR="080279B3" w:rsidRPr="00273106">
        <w:rPr>
          <w:i/>
        </w:rPr>
        <w:t>intellectus possibilis</w:t>
      </w:r>
      <w:r w:rsidR="080279B3">
        <w:rPr>
          <w:i/>
        </w:rPr>
        <w:fldChar w:fldCharType="begin"/>
      </w:r>
      <w:r w:rsidR="080279B3">
        <w:instrText xml:space="preserve"> XE "</w:instrText>
      </w:r>
      <w:r w:rsidR="080279B3" w:rsidRPr="00770D02">
        <w:rPr>
          <w:i/>
        </w:rPr>
        <w:instrText>intellectus possibilis</w:instrText>
      </w:r>
      <w:r w:rsidR="080279B3" w:rsidRPr="007109A6">
        <w:instrText>:</w:instrText>
      </w:r>
      <w:r w:rsidR="080279B3">
        <w:instrText xml:space="preserve">Averroes" </w:instrText>
      </w:r>
      <w:r w:rsidR="080279B3">
        <w:rPr>
          <w:i/>
        </w:rPr>
        <w:fldChar w:fldCharType="end"/>
      </w:r>
      <w:r w:rsidR="080279B3" w:rsidRPr="00273106">
        <w:t xml:space="preserve"> </w:t>
      </w:r>
      <w:r w:rsidR="080279B3">
        <w:t xml:space="preserve"> do </w:t>
      </w:r>
      <w:r w:rsidR="080279B3" w:rsidRPr="00273106">
        <w:t xml:space="preserve">schématu poznání místo </w:t>
      </w:r>
      <w:r w:rsidR="080279B3">
        <w:t xml:space="preserve">čistě materiálního </w:t>
      </w:r>
      <w:r w:rsidR="080279B3" w:rsidRPr="00273106">
        <w:t xml:space="preserve">intelektu, který </w:t>
      </w:r>
      <w:r w:rsidR="080279B3">
        <w:t>Themistius a Alexander chápou</w:t>
      </w:r>
      <w:r w:rsidR="080279B3" w:rsidRPr="00273106">
        <w:t xml:space="preserve"> jako individuální a smyslovou schopnost duše</w:t>
      </w:r>
      <w:r w:rsidR="080279B3">
        <w:t xml:space="preserve"> (kap. 2.4.3)</w:t>
      </w:r>
      <w:r w:rsidR="080279B3" w:rsidRPr="00273106">
        <w:t>.</w:t>
      </w:r>
      <w:r w:rsidR="080279B3">
        <w:t xml:space="preserve"> </w:t>
      </w:r>
      <w:r w:rsidR="08E40D4C">
        <w:rPr>
          <w:rStyle w:val="TextpoznpodarouChar"/>
        </w:rPr>
        <w:t xml:space="preserve">Rufus vzal Themistiův materiální intelekt s habituálně vrozenými principy poznání </w:t>
      </w:r>
      <w:r w:rsidR="08A5784F">
        <w:rPr>
          <w:rStyle w:val="TextpoznpodarouChar"/>
        </w:rPr>
        <w:t xml:space="preserve">(Avicenna) </w:t>
      </w:r>
      <w:r w:rsidR="08E40D4C">
        <w:rPr>
          <w:rStyle w:val="TextpoznpodarouChar"/>
        </w:rPr>
        <w:t>jako novou substanci v</w:t>
      </w:r>
      <w:r w:rsidR="08A5784F">
        <w:rPr>
          <w:rStyle w:val="TextpoznpodarouChar"/>
        </w:rPr>
        <w:t> </w:t>
      </w:r>
      <w:r w:rsidR="08E40D4C">
        <w:rPr>
          <w:rStyle w:val="TextpoznpodarouChar"/>
        </w:rPr>
        <w:t>duši</w:t>
      </w:r>
      <w:r w:rsidR="08A5784F">
        <w:rPr>
          <w:rStyle w:val="TextpoznpodarouChar"/>
        </w:rPr>
        <w:t xml:space="preserve">. </w:t>
      </w:r>
      <w:r w:rsidR="004606CE" w:rsidRPr="004606CE">
        <w:rPr>
          <w:rStyle w:val="TextpoznpodarouChar"/>
        </w:rPr>
        <w:t xml:space="preserve">Po vzoru neoplatoniků a jejich falešné argumentace odhalené v CMDA musel Rufus </w:t>
      </w:r>
      <w:r w:rsidR="002D44A9">
        <w:rPr>
          <w:rStyle w:val="TextpoznpodarouChar"/>
        </w:rPr>
        <w:t>dokázat nemožné. Tento modernista musel s lidským poznáním spojit hypostázovaný aktivní a receptivní intelekt, který přichází zvnějšku (</w:t>
      </w:r>
      <w:r w:rsidR="002D44A9" w:rsidRPr="08E40D4C">
        <w:rPr>
          <w:i/>
        </w:rPr>
        <w:t>opinatus est Themistius quod intellectus qui est in habitu est compositus ex intellectu materiali et agenti</w:t>
      </w:r>
      <w:r w:rsidR="002D44A9">
        <w:rPr>
          <w:rStyle w:val="TextpoznpodarouChar"/>
        </w:rPr>
        <w:t>; OBJ I, kap. 2.4.2). K tomu bylo třeba provést mytologickou kopulaci, která se odehrává v habituálně daném hypostatickém lidském intelektu (</w:t>
      </w:r>
      <w:r w:rsidR="002D44A9">
        <w:rPr>
          <w:i/>
        </w:rPr>
        <w:t>intellectus qui est in habitu</w:t>
      </w:r>
      <w:r w:rsidR="002D44A9">
        <w:rPr>
          <w:rStyle w:val="TextpoznpodarouChar"/>
        </w:rPr>
        <w:t xml:space="preserve">), což je Avicennův </w:t>
      </w:r>
      <w:r w:rsidR="002D44A9" w:rsidRPr="002D44A9">
        <w:rPr>
          <w:rStyle w:val="TextpoznpodarouChar"/>
          <w:i/>
        </w:rPr>
        <w:t>intellectus materialis</w:t>
      </w:r>
      <w:r w:rsidR="00064B11">
        <w:rPr>
          <w:rStyle w:val="TextpoznpodarouChar"/>
        </w:rPr>
        <w:t xml:space="preserve">. </w:t>
      </w:r>
      <w:r w:rsidR="08E40D4C">
        <w:rPr>
          <w:rStyle w:val="TextpoznpodarouChar"/>
        </w:rPr>
        <w:t xml:space="preserve">Tento receptivní intelekt přijímá poznávací formy od kosmického </w:t>
      </w:r>
      <w:r w:rsidR="08E40D4C" w:rsidRPr="08545CEC">
        <w:rPr>
          <w:rStyle w:val="TextpoznpodarouChar"/>
          <w:i/>
        </w:rPr>
        <w:t>intellectus agens</w:t>
      </w:r>
      <w:r w:rsidR="08E40D4C">
        <w:rPr>
          <w:rStyle w:val="TextpoznpodarouChar"/>
        </w:rPr>
        <w:t xml:space="preserve">. Poznání habituálního intelektu je v naší moci, ale je hypostázováno a tento substanční intelekt je napojený na smyslové poznání. </w:t>
      </w:r>
      <w:r w:rsidR="00CB0360">
        <w:rPr>
          <w:rStyle w:val="TextpoznpodarouChar"/>
        </w:rPr>
        <w:t xml:space="preserve">Toto </w:t>
      </w:r>
      <w:r w:rsidR="0808590E">
        <w:t xml:space="preserve">averroistické </w:t>
      </w:r>
      <w:r w:rsidR="00CB0360">
        <w:t xml:space="preserve">řešení předpokládá </w:t>
      </w:r>
      <w:r w:rsidR="00441A0E" w:rsidRPr="00273106">
        <w:t xml:space="preserve"> </w:t>
      </w:r>
      <w:r w:rsidR="084142A8">
        <w:t xml:space="preserve">plně nemateriální a receptivní </w:t>
      </w:r>
      <w:r w:rsidR="00441A0E" w:rsidRPr="00273106">
        <w:rPr>
          <w:i/>
        </w:rPr>
        <w:t>intellectus possibilis</w:t>
      </w:r>
      <w:r w:rsidR="00441A0E" w:rsidRPr="00273106">
        <w:t xml:space="preserve">, </w:t>
      </w:r>
      <w:r w:rsidR="00CB0360">
        <w:t xml:space="preserve">který je </w:t>
      </w:r>
      <w:r w:rsidR="00441A0E" w:rsidRPr="00273106">
        <w:t xml:space="preserve">numericky jeden pro všechny lidi na způsob </w:t>
      </w:r>
      <w:r w:rsidR="08081548">
        <w:t xml:space="preserve">Dinantovy </w:t>
      </w:r>
      <w:r w:rsidR="008B3636">
        <w:t xml:space="preserve">hypostázované </w:t>
      </w:r>
      <w:r w:rsidR="08081548">
        <w:t xml:space="preserve">kosmické </w:t>
      </w:r>
      <w:r w:rsidR="08E61824">
        <w:t>formy</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441A0E" w:rsidRPr="00273106">
        <w:t xml:space="preserve">. </w:t>
      </w:r>
      <w:r w:rsidR="08BE1994">
        <w:t>Oxfordští sofisté neměli s přidáním materie třetího druhu do averroistického receptivního intelektu žádný problém, protože vyznávali univerzální hylemorfismus</w:t>
      </w:r>
      <w:r w:rsidR="084F74CF">
        <w:t xml:space="preserve"> ve třech formách </w:t>
      </w:r>
      <w:r w:rsidR="00747791">
        <w:t xml:space="preserve">materie </w:t>
      </w:r>
      <w:r w:rsidR="084F74CF">
        <w:t>(hylemorfická, spirituální, primární materie)</w:t>
      </w:r>
      <w:r w:rsidR="009F7ECD">
        <w:t xml:space="preserve">. </w:t>
      </w:r>
      <w:r w:rsidR="085E4030">
        <w:t xml:space="preserve">Modernisté </w:t>
      </w:r>
      <w:r w:rsidR="009F7ECD">
        <w:t xml:space="preserve">následovali </w:t>
      </w:r>
      <w:r w:rsidR="082D4D8E">
        <w:t>Dina</w:t>
      </w:r>
      <w:r w:rsidR="0842041C">
        <w:t>n</w:t>
      </w:r>
      <w:r w:rsidR="082D4D8E">
        <w:t xml:space="preserve">ta </w:t>
      </w:r>
      <w:r w:rsidR="009F7ECD">
        <w:t xml:space="preserve">a </w:t>
      </w:r>
      <w:r w:rsidR="08885DFB">
        <w:t>synte</w:t>
      </w:r>
      <w:r w:rsidR="0842041C">
        <w:t xml:space="preserve">tizovali </w:t>
      </w:r>
      <w:r w:rsidR="085E4030" w:rsidRPr="007E5CBB">
        <w:rPr>
          <w:i/>
        </w:rPr>
        <w:t>intel</w:t>
      </w:r>
      <w:r w:rsidR="085E4030">
        <w:rPr>
          <w:i/>
        </w:rPr>
        <w:t>l</w:t>
      </w:r>
      <w:r w:rsidR="085E4030" w:rsidRPr="007E5CBB">
        <w:rPr>
          <w:i/>
        </w:rPr>
        <w:t>ectus possibilis</w:t>
      </w:r>
      <w:r w:rsidR="08ED5988">
        <w:t xml:space="preserve"> podle Themistiovy a Alexa</w:t>
      </w:r>
      <w:r w:rsidR="009F7ECD">
        <w:t>ndrovy smyslové individualizace</w:t>
      </w:r>
      <w:r w:rsidR="009F7ECD" w:rsidRPr="009F7ECD">
        <w:t xml:space="preserve"> dané jako tělesně z</w:t>
      </w:r>
      <w:r w:rsidR="009F7ECD">
        <w:t xml:space="preserve">aložený </w:t>
      </w:r>
      <w:r w:rsidR="009F7ECD" w:rsidRPr="009F7ECD">
        <w:rPr>
          <w:i/>
        </w:rPr>
        <w:t>intellectus materialis</w:t>
      </w:r>
      <w:r w:rsidR="009F7ECD">
        <w:t xml:space="preserve">. Tento intelekt spojili se oddělenou </w:t>
      </w:r>
      <w:r w:rsidR="009F7ECD" w:rsidRPr="009F7ECD">
        <w:t>kosmickou potencí jako Alexandrův a Themist</w:t>
      </w:r>
      <w:r w:rsidR="009F7ECD">
        <w:t>i</w:t>
      </w:r>
      <w:r w:rsidR="009F7ECD" w:rsidRPr="009F7ECD">
        <w:t xml:space="preserve">ův </w:t>
      </w:r>
      <w:r w:rsidR="009F7ECD" w:rsidRPr="009F7ECD">
        <w:rPr>
          <w:i/>
        </w:rPr>
        <w:t>intellectus possibilis</w:t>
      </w:r>
      <w:r w:rsidR="009F7ECD" w:rsidRPr="009F7ECD">
        <w:t xml:space="preserve">. Rufus převzal Alexandrův oddělený </w:t>
      </w:r>
      <w:r w:rsidR="009F7ECD" w:rsidRPr="009F7ECD">
        <w:rPr>
          <w:i/>
        </w:rPr>
        <w:t>intellectus possibilis</w:t>
      </w:r>
      <w:r w:rsidR="009F7ECD" w:rsidRPr="009F7ECD">
        <w:t xml:space="preserve"> a individualizoval </w:t>
      </w:r>
      <w:r w:rsidR="009F7ECD">
        <w:t>jej jako kosmickou hypostá</w:t>
      </w:r>
      <w:r w:rsidR="009F7ECD" w:rsidRPr="009F7ECD">
        <w:t xml:space="preserve">zi prostřednictvím plně receptivní kosmické </w:t>
      </w:r>
      <w:r w:rsidR="009F7ECD" w:rsidRPr="009F7ECD">
        <w:rPr>
          <w:i/>
        </w:rPr>
        <w:t>materia prima</w:t>
      </w:r>
      <w:r w:rsidR="009F7ECD" w:rsidRPr="009F7ECD">
        <w:t xml:space="preserve"> podle Dinanta. Tento intelekt pak zcela averroisticky </w:t>
      </w:r>
      <w:r w:rsidR="009F7ECD">
        <w:t xml:space="preserve">a proto </w:t>
      </w:r>
      <w:r w:rsidR="009F7ECD" w:rsidRPr="009F7ECD">
        <w:t>moderně kopuluje s Themist</w:t>
      </w:r>
      <w:r w:rsidR="009F7ECD">
        <w:t>i</w:t>
      </w:r>
      <w:r w:rsidR="009F7ECD" w:rsidRPr="009F7ECD">
        <w:t xml:space="preserve">ovým habituálním </w:t>
      </w:r>
      <w:r w:rsidR="009F7ECD" w:rsidRPr="009F7ECD">
        <w:rPr>
          <w:i/>
        </w:rPr>
        <w:t>intellectus materialis</w:t>
      </w:r>
      <w:r w:rsidR="009F7ECD" w:rsidRPr="009F7ECD">
        <w:t xml:space="preserve">, který je v člověku dán jako Avicennův </w:t>
      </w:r>
      <w:r w:rsidR="009F7ECD" w:rsidRPr="009F7ECD">
        <w:rPr>
          <w:i/>
        </w:rPr>
        <w:t>intellectus materialis</w:t>
      </w:r>
      <w:r w:rsidR="009F7ECD" w:rsidRPr="009F7ECD">
        <w:t>.</w:t>
      </w:r>
      <w:r w:rsidR="009F7ECD">
        <w:t xml:space="preserve"> </w:t>
      </w:r>
      <w:r w:rsidR="080A1DD0">
        <w:t>Habitualita tohoto intelektu a tím i hypostázovaná schopnost myšlení podle</w:t>
      </w:r>
      <w:r w:rsidR="08372AE8">
        <w:t xml:space="preserve"> Avicenn</w:t>
      </w:r>
      <w:r w:rsidR="080A1DD0">
        <w:t xml:space="preserve">ova </w:t>
      </w:r>
      <w:r w:rsidR="080A1DD0" w:rsidRPr="080A1DD0">
        <w:rPr>
          <w:i/>
        </w:rPr>
        <w:t>intellectus mat</w:t>
      </w:r>
      <w:r w:rsidR="080A1DD0">
        <w:t>erialis je zajištěna skrze hypostázovanou potenci myšlení (</w:t>
      </w:r>
      <w:r w:rsidR="080A1DD0" w:rsidRPr="080A1DD0">
        <w:rPr>
          <w:i/>
        </w:rPr>
        <w:t>potentia substantialis</w:t>
      </w:r>
      <w:r w:rsidR="080279B3">
        <w:t>, kap. 3</w:t>
      </w:r>
      <w:r w:rsidR="080A1DD0">
        <w:t xml:space="preserve">.3.1). Tyto apriorní vrozené principy myšlení přejal Kant a tak božsky schopné Fúrie dostaly Dinantův panteismus až do </w:t>
      </w:r>
      <w:r w:rsidR="08BB485C">
        <w:t xml:space="preserve">plně objektivní </w:t>
      </w:r>
      <w:r w:rsidR="00D14AD3">
        <w:t xml:space="preserve">verse dané v </w:t>
      </w:r>
      <w:r w:rsidR="00961555">
        <w:t>současnosti.</w:t>
      </w:r>
    </w:p>
    <w:p w14:paraId="17EE064A" w14:textId="761BEF4D" w:rsidR="009B067B" w:rsidRPr="00815810" w:rsidRDefault="08372AE8" w:rsidP="00E33EF1">
      <w:pPr>
        <w:ind w:firstLine="397"/>
      </w:pPr>
      <w:r>
        <w:t>Rufus zajis</w:t>
      </w:r>
      <w:r w:rsidR="08822180">
        <w:t>t</w:t>
      </w:r>
      <w:r>
        <w:t>il poznání Moderních skrze kopulaci</w:t>
      </w:r>
      <w:r w:rsidR="08822180">
        <w:t xml:space="preserve"> dvou materiálních intelektů podle dvojího registru </w:t>
      </w:r>
      <w:r w:rsidR="08BB358D">
        <w:t>nume</w:t>
      </w:r>
      <w:r w:rsidR="08AB633A">
        <w:t>rické individuace dané skrze spi</w:t>
      </w:r>
      <w:r w:rsidR="08822180">
        <w:t xml:space="preserve">rituální a </w:t>
      </w:r>
      <w:r w:rsidR="089B3F4E">
        <w:t xml:space="preserve">primární </w:t>
      </w:r>
      <w:r w:rsidR="08AB633A">
        <w:t>materii</w:t>
      </w:r>
      <w:r w:rsidR="08822180">
        <w:t xml:space="preserve">. </w:t>
      </w:r>
      <w:r w:rsidR="08BE1994">
        <w:t xml:space="preserve">První individuace </w:t>
      </w:r>
      <w:r w:rsidR="08BE1994" w:rsidRPr="007E5CBB">
        <w:rPr>
          <w:i/>
        </w:rPr>
        <w:t>intel</w:t>
      </w:r>
      <w:r w:rsidR="08BE1994">
        <w:rPr>
          <w:i/>
        </w:rPr>
        <w:t>l</w:t>
      </w:r>
      <w:r w:rsidR="08BE1994" w:rsidRPr="007E5CBB">
        <w:rPr>
          <w:i/>
        </w:rPr>
        <w:t>ectus possibilis</w:t>
      </w:r>
      <w:r w:rsidR="08BE1994">
        <w:t xml:space="preserve"> běží v kosmu </w:t>
      </w:r>
      <w:r w:rsidR="08F9644C">
        <w:t>a je averro</w:t>
      </w:r>
      <w:r w:rsidR="08BE1994">
        <w:t>i</w:t>
      </w:r>
      <w:r w:rsidR="08F9644C">
        <w:t>s</w:t>
      </w:r>
      <w:r w:rsidR="08BE1994">
        <w:t>tická, druhá individuace běží v porretánském individuu</w:t>
      </w:r>
      <w:r w:rsidR="08F9644C">
        <w:t xml:space="preserve"> a je modernistická</w:t>
      </w:r>
      <w:r w:rsidR="08BE1994">
        <w:t xml:space="preserve">. </w:t>
      </w:r>
      <w:r w:rsidR="00493F57" w:rsidRPr="00493F57">
        <w:t xml:space="preserve">Aby taková absurdní teorie poznání mohla nějak fungovat, musela schizofrenní a paranoidní modernita vytvořit </w:t>
      </w:r>
      <w:r w:rsidR="00B31EB3">
        <w:t xml:space="preserve">objektivní </w:t>
      </w:r>
      <w:r w:rsidR="00493F57">
        <w:t>simulákrum Averroese</w:t>
      </w:r>
      <w:r w:rsidR="00493F57" w:rsidRPr="00493F57">
        <w:t xml:space="preserve">. Modernisté pak </w:t>
      </w:r>
      <w:r w:rsidR="00493F57">
        <w:t xml:space="preserve">tento idol museli </w:t>
      </w:r>
      <w:r w:rsidR="00493F57" w:rsidRPr="00493F57">
        <w:t>permanentně napadat, aby zakryli svou vlastní fil</w:t>
      </w:r>
      <w:r w:rsidR="00493F57">
        <w:t>osofickou hloupost a metafyzické</w:t>
      </w:r>
      <w:r w:rsidR="00493F57" w:rsidRPr="00493F57">
        <w:t xml:space="preserve"> nesmysl</w:t>
      </w:r>
      <w:r w:rsidR="00493F57">
        <w:t>y</w:t>
      </w:r>
      <w:r w:rsidR="00493F57" w:rsidRPr="00493F57">
        <w:t>.</w:t>
      </w:r>
      <w:r w:rsidR="00493F57">
        <w:t xml:space="preserve"> </w:t>
      </w:r>
      <w:r w:rsidR="08395542">
        <w:t>Kontinuální kopul</w:t>
      </w:r>
      <w:r w:rsidR="08781CCD">
        <w:t>ace se simu</w:t>
      </w:r>
      <w:r w:rsidR="08395542">
        <w:t xml:space="preserve">lákrem Averroese zajišťuje </w:t>
      </w:r>
      <w:r w:rsidR="08781CCD">
        <w:t xml:space="preserve">v současné mytopoetice </w:t>
      </w:r>
      <w:r w:rsidR="08395542">
        <w:t xml:space="preserve">intelektuální plodnost postmoderního </w:t>
      </w:r>
      <w:r w:rsidR="08395542" w:rsidRPr="00496049">
        <w:rPr>
          <w:rStyle w:val="Zkladntext184"/>
          <w:rFonts w:ascii="Calibri" w:eastAsia="Times" w:hAnsi="Calibri" w:cs="Times New Roman"/>
          <w:i/>
          <w:color w:val="auto"/>
          <w:spacing w:val="0"/>
          <w:sz w:val="24"/>
          <w:lang w:val="cs-CZ"/>
        </w:rPr>
        <w:t>Mind‒Body Problem</w:t>
      </w:r>
      <w:r w:rsidR="08395542">
        <w:rPr>
          <w:i/>
        </w:rPr>
        <w:fldChar w:fldCharType="begin"/>
      </w:r>
      <w:r w:rsidR="08395542">
        <w:instrText xml:space="preserve"> XE "</w:instrText>
      </w:r>
      <w:r w:rsidR="08395542" w:rsidRPr="00496049">
        <w:rPr>
          <w:rStyle w:val="Zkladntext184"/>
          <w:rFonts w:ascii="Calibri" w:eastAsia="Times" w:hAnsi="Calibri" w:cs="Times New Roman"/>
          <w:i/>
          <w:color w:val="auto"/>
          <w:spacing w:val="0"/>
          <w:sz w:val="24"/>
          <w:lang w:val="cs-CZ"/>
        </w:rPr>
        <w:instrText>Mind‒Body Problem</w:instrText>
      </w:r>
      <w:r w:rsidR="08395542">
        <w:instrText xml:space="preserve">" </w:instrText>
      </w:r>
      <w:r w:rsidR="08395542">
        <w:rPr>
          <w:i/>
        </w:rPr>
        <w:fldChar w:fldCharType="end"/>
      </w:r>
      <w:r w:rsidR="00E33EF1">
        <w:t xml:space="preserve">. </w:t>
      </w:r>
      <w:r w:rsidR="00886D3F" w:rsidRPr="00886D3F">
        <w:t>Je třeba poznamenat, že v sumerském a bab</w:t>
      </w:r>
      <w:r w:rsidR="00886D3F">
        <w:t>ylonském novoročním rituálu (</w:t>
      </w:r>
      <w:r w:rsidR="00886D3F" w:rsidRPr="00886D3F">
        <w:rPr>
          <w:i/>
        </w:rPr>
        <w:t>Enuma eliš</w:t>
      </w:r>
      <w:r w:rsidR="00886D3F" w:rsidRPr="00886D3F">
        <w:t>) stačila pouze jedna mytologická kopulace v roce.</w:t>
      </w:r>
      <w:r w:rsidR="008C6C03">
        <w:t xml:space="preserve"> </w:t>
      </w:r>
      <w:r w:rsidR="008C6C03" w:rsidRPr="0041337C">
        <w:rPr>
          <w:i/>
          <w:szCs w:val="24"/>
        </w:rPr>
        <w:t>Corruptio optimi pessima.</w:t>
      </w:r>
      <w:r w:rsidR="008C6C03">
        <w:t xml:space="preserve"> </w:t>
      </w:r>
      <w:r w:rsidR="08395542">
        <w:t xml:space="preserve">Když </w:t>
      </w:r>
      <w:r w:rsidR="001B5ABF">
        <w:t xml:space="preserve">metafyzickou </w:t>
      </w:r>
      <w:r w:rsidR="08395542">
        <w:t xml:space="preserve">paranoiu </w:t>
      </w:r>
      <w:r w:rsidR="086C20FC">
        <w:t>pod vedením Fúrií</w:t>
      </w:r>
      <w:r w:rsidR="084D6767">
        <w:t xml:space="preserve"> dělají objektivní vědci</w:t>
      </w:r>
      <w:r w:rsidR="08395542">
        <w:t>,</w:t>
      </w:r>
      <w:r w:rsidR="084D6767">
        <w:t xml:space="preserve"> vypadá to jako </w:t>
      </w:r>
      <w:r w:rsidR="08395542">
        <w:t xml:space="preserve">seriózní podnik. </w:t>
      </w:r>
      <w:r w:rsidR="08661050">
        <w:t xml:space="preserve">Produkce </w:t>
      </w:r>
      <w:r w:rsidR="08AE3D4D">
        <w:t xml:space="preserve">jsoucen třetího druhu nepředstavovala </w:t>
      </w:r>
      <w:r w:rsidR="08D3238E">
        <w:t>v</w:t>
      </w:r>
      <w:r w:rsidR="08AE3D4D">
        <w:t xml:space="preserve"> Oxfordu žádný problém. K tomu sloužil nový výklad </w:t>
      </w:r>
      <w:r w:rsidR="08AE3D4D" w:rsidRPr="08AE3D4D">
        <w:rPr>
          <w:i/>
        </w:rPr>
        <w:t>Kategorií</w:t>
      </w:r>
      <w:r w:rsidR="08AE3D4D">
        <w:t xml:space="preserve"> a porretánské vidění světa v matematizovaném modu </w:t>
      </w:r>
      <w:r w:rsidR="08AE3D4D" w:rsidRPr="08AE3D4D">
        <w:rPr>
          <w:i/>
        </w:rPr>
        <w:t>discrete videamus</w:t>
      </w:r>
      <w:r w:rsidR="08AE3D4D">
        <w:t xml:space="preserve">. </w:t>
      </w:r>
      <w:r w:rsidR="08231D48">
        <w:t xml:space="preserve">Nejprve je třeba v novém mýtu moderny vytvořit podsvětí. </w:t>
      </w:r>
      <w:r w:rsidR="00E82FC4">
        <w:t xml:space="preserve">Rufus k separaci smyslů a intelektu </w:t>
      </w:r>
      <w:r w:rsidR="00E82FC4" w:rsidRPr="00273106">
        <w:t>vyu</w:t>
      </w:r>
      <w:r w:rsidR="00142E57">
        <w:t xml:space="preserve">žívá Boethiův komentář k </w:t>
      </w:r>
      <w:r w:rsidR="00142E57" w:rsidRPr="00142E57">
        <w:rPr>
          <w:i/>
        </w:rPr>
        <w:t>Isagoge</w:t>
      </w:r>
      <w:r w:rsidR="00E82FC4" w:rsidRPr="00273106">
        <w:t xml:space="preserve"> a parafrázuje základní rozlišení mezi smyslovým a rozumovým poznáním: „</w:t>
      </w:r>
      <w:r w:rsidR="00E82FC4" w:rsidRPr="00273106">
        <w:rPr>
          <w:i/>
        </w:rPr>
        <w:t>Universale est cum intelligitur, particulare cum sentitur</w:t>
      </w:r>
      <w:r w:rsidR="00E82FC4" w:rsidRPr="00273106">
        <w:t>.“ (</w:t>
      </w:r>
      <w:r w:rsidR="00E82FC4" w:rsidRPr="00273106">
        <w:rPr>
          <w:rStyle w:val="TextpoznpodarouChar"/>
          <w:i/>
        </w:rPr>
        <w:t>Contra Averroem</w:t>
      </w:r>
      <w:r w:rsidR="00E82FC4" w:rsidRPr="00273106">
        <w:rPr>
          <w:rStyle w:val="TextpoznpodarouChar"/>
        </w:rPr>
        <w:t xml:space="preserve"> I.2, p. 2.24‒25</w:t>
      </w:r>
      <w:r w:rsidR="00E82FC4">
        <w:rPr>
          <w:rStyle w:val="TextpoznpodarouChar"/>
        </w:rPr>
        <w:fldChar w:fldCharType="begin"/>
      </w:r>
      <w:r w:rsidR="00E82FC4">
        <w:instrText xml:space="preserve"> XE "Rufus:</w:instrText>
      </w:r>
      <w:r w:rsidR="00E82FC4" w:rsidRPr="00F3013F">
        <w:rPr>
          <w:rStyle w:val="TextpoznpodarouChar"/>
          <w:i/>
        </w:rPr>
        <w:instrText>Contra Averroem</w:instrText>
      </w:r>
      <w:r w:rsidR="00E82FC4">
        <w:rPr>
          <w:rStyle w:val="TextpoznpodarouChar"/>
        </w:rPr>
        <w:instrText xml:space="preserve"> </w:instrText>
      </w:r>
      <w:r w:rsidR="00E82FC4" w:rsidRPr="00F3013F">
        <w:rPr>
          <w:rStyle w:val="TextpoznpodarouChar"/>
        </w:rPr>
        <w:instrText>2.24‒25</w:instrText>
      </w:r>
      <w:r w:rsidR="00E82FC4">
        <w:instrText xml:space="preserve">" </w:instrText>
      </w:r>
      <w:r w:rsidR="00E82FC4">
        <w:rPr>
          <w:rStyle w:val="TextpoznpodarouChar"/>
        </w:rPr>
        <w:fldChar w:fldCharType="end"/>
      </w:r>
      <w:r w:rsidR="00E82FC4" w:rsidRPr="00273106">
        <w:t xml:space="preserve">) </w:t>
      </w:r>
      <w:r w:rsidR="00F74F99">
        <w:t>Toto r</w:t>
      </w:r>
      <w:r w:rsidR="00E82FC4">
        <w:t>ozlišení ovšem u Rufuse znamená úplné oddělení obou složek</w:t>
      </w:r>
      <w:r w:rsidR="00F74F99">
        <w:t xml:space="preserve"> na rozdíl od schématu poznání </w:t>
      </w:r>
      <w:r w:rsidR="088A6C34">
        <w:t xml:space="preserve">v </w:t>
      </w:r>
      <w:r w:rsidR="00F74F99">
        <w:t>CMDA</w:t>
      </w:r>
      <w:r w:rsidR="00E82FC4">
        <w:t xml:space="preserve">. </w:t>
      </w:r>
      <w:r w:rsidR="00FE29B7">
        <w:t>Univerzální hylemorfismus</w:t>
      </w:r>
      <w:r w:rsidR="00FE29B7">
        <w:fldChar w:fldCharType="begin"/>
      </w:r>
      <w:r w:rsidR="00FE29B7">
        <w:instrText xml:space="preserve"> XE "</w:instrText>
      </w:r>
      <w:r w:rsidR="00FE29B7" w:rsidRPr="005619B2">
        <w:instrText>univerzální hylemorfismus</w:instrText>
      </w:r>
      <w:r w:rsidR="00FE29B7">
        <w:instrText xml:space="preserve">" </w:instrText>
      </w:r>
      <w:r w:rsidR="00FE29B7">
        <w:fldChar w:fldCharType="end"/>
      </w:r>
      <w:r w:rsidR="00FE29B7">
        <w:t xml:space="preserve"> </w:t>
      </w:r>
      <w:r w:rsidR="00FE29B7" w:rsidRPr="00273106">
        <w:t xml:space="preserve">vzal materii </w:t>
      </w:r>
      <w:r w:rsidR="00FE29B7">
        <w:t xml:space="preserve">univerzálně </w:t>
      </w:r>
      <w:r w:rsidR="00FE29B7" w:rsidRPr="00273106">
        <w:t>ve smyslu jsoucna třetího druhu podle Avicebrona</w:t>
      </w:r>
      <w:r w:rsidR="08401DED">
        <w:t xml:space="preserve">. Tím sofisticky vytvořil podle Themistia nový mix materiálního intelektu vázaného na smysly a </w:t>
      </w:r>
      <w:r w:rsidR="00FE29B7">
        <w:t>oddělen</w:t>
      </w:r>
      <w:r w:rsidR="08401DED">
        <w:t>ý možný</w:t>
      </w:r>
      <w:r w:rsidR="00FE29B7">
        <w:t xml:space="preserve"> intelekt</w:t>
      </w:r>
      <w:r w:rsidR="00FE29B7">
        <w:fldChar w:fldCharType="begin"/>
      </w:r>
      <w:r w:rsidR="00FE29B7">
        <w:instrText xml:space="preserve"> XE "</w:instrText>
      </w:r>
      <w:r w:rsidR="00FE29B7" w:rsidRPr="002255E5">
        <w:instrText>Themistius</w:instrText>
      </w:r>
      <w:r w:rsidR="00FE29B7">
        <w:instrText xml:space="preserve">" </w:instrText>
      </w:r>
      <w:r w:rsidR="00FE29B7">
        <w:fldChar w:fldCharType="end"/>
      </w:r>
      <w:r w:rsidR="00FE29B7" w:rsidRPr="00273106">
        <w:t xml:space="preserve">. Takto </w:t>
      </w:r>
      <w:r w:rsidR="00FE29B7">
        <w:t xml:space="preserve">pojatý </w:t>
      </w:r>
      <w:r w:rsidR="089F0982" w:rsidRPr="00273106">
        <w:rPr>
          <w:i/>
        </w:rPr>
        <w:t>intellectus possibilis</w:t>
      </w:r>
      <w:r w:rsidR="089F0982" w:rsidRPr="00273106">
        <w:t xml:space="preserve"> </w:t>
      </w:r>
      <w:r w:rsidR="00FE29B7" w:rsidRPr="00273106">
        <w:t xml:space="preserve">je daný jako </w:t>
      </w:r>
      <w:r w:rsidR="08B46608">
        <w:t xml:space="preserve">kosmická </w:t>
      </w:r>
      <w:r w:rsidR="00FE29B7" w:rsidRPr="00273106">
        <w:t>potence v hypostázova</w:t>
      </w:r>
      <w:r w:rsidR="080E091A">
        <w:t>né formě porretánského jsoucna a je individualizovatelný</w:t>
      </w:r>
      <w:r w:rsidR="089F0982">
        <w:t xml:space="preserve"> skrze </w:t>
      </w:r>
      <w:r w:rsidR="089F0982" w:rsidRPr="089F0982">
        <w:rPr>
          <w:i/>
        </w:rPr>
        <w:t>materia prima</w:t>
      </w:r>
      <w:r w:rsidR="080E091A">
        <w:t xml:space="preserve">. </w:t>
      </w:r>
      <w:r w:rsidR="08B46608">
        <w:t>R</w:t>
      </w:r>
      <w:r w:rsidR="00955DF5">
        <w:t>eceptivní i</w:t>
      </w:r>
      <w:r w:rsidR="00175AB3">
        <w:t>ntelekt je z</w:t>
      </w:r>
      <w:r w:rsidR="00955DF5">
        <w:t>e své</w:t>
      </w:r>
      <w:r w:rsidR="00175AB3">
        <w:t> </w:t>
      </w:r>
      <w:r w:rsidR="002346AC">
        <w:t xml:space="preserve">univerzální </w:t>
      </w:r>
      <w:r w:rsidR="00175AB3">
        <w:t xml:space="preserve">podstaty </w:t>
      </w:r>
      <w:r w:rsidR="00872578">
        <w:t>„</w:t>
      </w:r>
      <w:r w:rsidR="00175AB3" w:rsidRPr="00175AB3">
        <w:rPr>
          <w:i/>
        </w:rPr>
        <w:t>inmixtus</w:t>
      </w:r>
      <w:r w:rsidR="00872578">
        <w:t>“</w:t>
      </w:r>
      <w:r w:rsidR="00175AB3">
        <w:t xml:space="preserve">, </w:t>
      </w:r>
      <w:r w:rsidR="00D94AC6">
        <w:t xml:space="preserve">proto </w:t>
      </w:r>
      <w:r w:rsidR="00B01AA2">
        <w:t xml:space="preserve">je dán </w:t>
      </w:r>
      <w:r w:rsidR="00175AB3">
        <w:t>mimo materiální formy.</w:t>
      </w:r>
    </w:p>
    <w:p w14:paraId="21740672" w14:textId="77777777" w:rsidR="009B067B" w:rsidRPr="00273106" w:rsidRDefault="00C37DD8" w:rsidP="009B067B">
      <w:pPr>
        <w:pStyle w:val="Citace"/>
        <w:rPr>
          <w:noProof/>
          <w:lang w:val="cs-CZ"/>
        </w:rPr>
      </w:pPr>
      <w:r w:rsidRPr="00273106">
        <w:rPr>
          <w:noProof/>
          <w:lang w:val="cs-CZ"/>
        </w:rPr>
        <w:t>„</w:t>
      </w:r>
      <w:r w:rsidR="009B067B" w:rsidRPr="00273106">
        <w:rPr>
          <w:noProof/>
          <w:lang w:val="cs-CZ"/>
        </w:rPr>
        <w:t>První materie je určená k tomu, aby přijala individuální formy. Možný intelekt je určen k tomu, aby přijal univerzální formy. První materie je numericky jednotná, a je singulární věcí</w:t>
      </w:r>
      <w:r w:rsidR="00CE5FA8">
        <w:rPr>
          <w:noProof/>
          <w:lang w:val="cs-CZ"/>
        </w:rPr>
        <w:t xml:space="preserve"> (</w:t>
      </w:r>
      <w:r w:rsidR="00CE5FA8" w:rsidRPr="00CE5FA8">
        <w:rPr>
          <w:i/>
        </w:rPr>
        <w:t>una numero est et res singularis</w:t>
      </w:r>
      <w:r w:rsidR="00CE5FA8">
        <w:rPr>
          <w:noProof/>
          <w:lang w:val="cs-CZ"/>
        </w:rPr>
        <w:t>)</w:t>
      </w:r>
      <w:r w:rsidR="00C71909">
        <w:rPr>
          <w:noProof/>
          <w:lang w:val="cs-CZ"/>
        </w:rPr>
        <w:t>, j</w:t>
      </w:r>
      <w:r w:rsidR="009B067B" w:rsidRPr="00273106">
        <w:rPr>
          <w:noProof/>
          <w:lang w:val="cs-CZ"/>
        </w:rPr>
        <w:t xml:space="preserve">inak by nemohla </w:t>
      </w:r>
      <w:r w:rsidR="08315842">
        <w:rPr>
          <w:noProof/>
          <w:lang w:val="cs-CZ"/>
        </w:rPr>
        <w:t>přijmout</w:t>
      </w:r>
      <w:r w:rsidR="009B067B" w:rsidRPr="00273106">
        <w:rPr>
          <w:noProof/>
          <w:lang w:val="cs-CZ"/>
        </w:rPr>
        <w:t xml:space="preserve"> singulární formy. Možný intelekt </w:t>
      </w:r>
      <w:r w:rsidR="08EA4B49">
        <w:rPr>
          <w:noProof/>
          <w:lang w:val="cs-CZ"/>
        </w:rPr>
        <w:t xml:space="preserve">proto </w:t>
      </w:r>
      <w:r w:rsidR="009B067B" w:rsidRPr="00273106">
        <w:rPr>
          <w:noProof/>
          <w:lang w:val="cs-CZ"/>
        </w:rPr>
        <w:t>ne</w:t>
      </w:r>
      <w:r w:rsidR="00B261BC">
        <w:rPr>
          <w:noProof/>
          <w:lang w:val="cs-CZ"/>
        </w:rPr>
        <w:t xml:space="preserve">ní </w:t>
      </w:r>
      <w:r w:rsidR="00F75180" w:rsidRPr="00273106">
        <w:rPr>
          <w:noProof/>
          <w:lang w:val="cs-CZ"/>
        </w:rPr>
        <w:t xml:space="preserve">individuální </w:t>
      </w:r>
      <w:r w:rsidR="009B067B" w:rsidRPr="00273106">
        <w:rPr>
          <w:noProof/>
          <w:lang w:val="cs-CZ"/>
        </w:rPr>
        <w:t>intencí</w:t>
      </w:r>
      <w:r w:rsidR="00671C52" w:rsidRPr="00273106">
        <w:rPr>
          <w:noProof/>
          <w:lang w:val="cs-CZ"/>
        </w:rPr>
        <w:t xml:space="preserve"> v jednotlivcích</w:t>
      </w:r>
      <w:r w:rsidR="009B067B" w:rsidRPr="00273106">
        <w:rPr>
          <w:noProof/>
          <w:lang w:val="cs-CZ"/>
        </w:rPr>
        <w:t xml:space="preserve">, </w:t>
      </w:r>
      <w:r w:rsidR="00671C52" w:rsidRPr="00273106">
        <w:rPr>
          <w:noProof/>
          <w:lang w:val="cs-CZ"/>
        </w:rPr>
        <w:t xml:space="preserve">protože </w:t>
      </w:r>
      <w:r w:rsidR="003B0AE4" w:rsidRPr="00273106">
        <w:rPr>
          <w:noProof/>
          <w:lang w:val="cs-CZ"/>
        </w:rPr>
        <w:t xml:space="preserve">by </w:t>
      </w:r>
      <w:r w:rsidR="009B067B" w:rsidRPr="00273106">
        <w:rPr>
          <w:noProof/>
          <w:lang w:val="cs-CZ"/>
        </w:rPr>
        <w:t xml:space="preserve">nemohl přijímat univerzální formy.“ </w:t>
      </w:r>
      <w:r w:rsidR="009B067B" w:rsidRPr="00273106">
        <w:rPr>
          <w:rStyle w:val="Znakapoznpodarou"/>
          <w:noProof/>
          <w:lang w:val="cs-CZ"/>
        </w:rPr>
        <w:footnoteReference w:id="455"/>
      </w:r>
    </w:p>
    <w:p w14:paraId="7B281AC7" w14:textId="76F937B2" w:rsidR="088A517A" w:rsidRPr="00273106" w:rsidRDefault="007B0C56" w:rsidP="088A517A">
      <w:r w:rsidRPr="00273106">
        <w:t>První m</w:t>
      </w:r>
      <w:r w:rsidR="08070628" w:rsidRPr="00273106">
        <w:t>aterie přijímá singulární určení</w:t>
      </w:r>
      <w:r w:rsidR="08C7416B" w:rsidRPr="00273106">
        <w:t xml:space="preserve"> (</w:t>
      </w:r>
      <w:r w:rsidR="08C7416B" w:rsidRPr="00273106">
        <w:rPr>
          <w:i/>
        </w:rPr>
        <w:t>recipiat formas individuales</w:t>
      </w:r>
      <w:r w:rsidR="08C7416B" w:rsidRPr="00273106">
        <w:t>)</w:t>
      </w:r>
      <w:r w:rsidR="08070628" w:rsidRPr="00273106">
        <w:t xml:space="preserve">, </w:t>
      </w:r>
      <w:r w:rsidR="08C7416B" w:rsidRPr="00273106">
        <w:t>ale recepti</w:t>
      </w:r>
      <w:r w:rsidR="08F764BE" w:rsidRPr="00273106">
        <w:t>v</w:t>
      </w:r>
      <w:r w:rsidR="08C7416B" w:rsidRPr="00273106">
        <w:t>ní intel</w:t>
      </w:r>
      <w:r w:rsidR="08F764BE" w:rsidRPr="00273106">
        <w:t xml:space="preserve">ekt </w:t>
      </w:r>
      <w:r w:rsidRPr="00273106">
        <w:t xml:space="preserve">je vztažen k recepci univerzálních forem. </w:t>
      </w:r>
      <w:r w:rsidR="009A2EB0">
        <w:t xml:space="preserve">Kvůli aktu </w:t>
      </w:r>
      <w:r w:rsidR="00B01AA2">
        <w:t xml:space="preserve">nemateriální </w:t>
      </w:r>
      <w:r w:rsidR="009A2EB0">
        <w:t xml:space="preserve">recepce </w:t>
      </w:r>
      <w:r w:rsidR="08115768" w:rsidRPr="00273106">
        <w:t>je determi</w:t>
      </w:r>
      <w:r w:rsidRPr="00273106">
        <w:t xml:space="preserve">novaný na způsob </w:t>
      </w:r>
      <w:r w:rsidRPr="00273106">
        <w:rPr>
          <w:i/>
        </w:rPr>
        <w:t xml:space="preserve">materia prima </w:t>
      </w:r>
      <w:r w:rsidR="00CB7419" w:rsidRPr="00273106">
        <w:t xml:space="preserve">jako </w:t>
      </w:r>
      <w:r w:rsidRPr="00273106">
        <w:t xml:space="preserve">porretánské hypostáze. </w:t>
      </w:r>
      <w:r w:rsidR="00F86211">
        <w:t xml:space="preserve">Ale protože jeho poznání je univerzální stejně jako </w:t>
      </w:r>
      <w:r w:rsidR="08FD0FBC">
        <w:t xml:space="preserve">Dinantův </w:t>
      </w:r>
      <w:r w:rsidR="00F86211">
        <w:t xml:space="preserve">koncept </w:t>
      </w:r>
      <w:r w:rsidR="08FD0FBC">
        <w:t xml:space="preserve">kosmické </w:t>
      </w:r>
      <w:r w:rsidR="00F86211" w:rsidRPr="00F86211">
        <w:rPr>
          <w:i/>
        </w:rPr>
        <w:t>materia prima</w:t>
      </w:r>
      <w:r w:rsidR="00F86211">
        <w:t>, pak m</w:t>
      </w:r>
      <w:r w:rsidRPr="00273106">
        <w:t xml:space="preserve">usí být </w:t>
      </w:r>
      <w:r w:rsidR="08DE2427" w:rsidRPr="08DE2427">
        <w:rPr>
          <w:i/>
        </w:rPr>
        <w:t>intellectus possibilis</w:t>
      </w:r>
      <w:r w:rsidR="08DE2427">
        <w:t xml:space="preserve"> </w:t>
      </w:r>
      <w:r w:rsidRPr="00273106">
        <w:t>n</w:t>
      </w:r>
      <w:r w:rsidR="009A2EB0">
        <w:t>umericky jeden</w:t>
      </w:r>
      <w:r w:rsidR="00F86211">
        <w:t>. V</w:t>
      </w:r>
      <w:r w:rsidR="009A2EB0">
        <w:t xml:space="preserve">iz výše uvedené pojetí vosku </w:t>
      </w:r>
      <w:r w:rsidR="00F86211">
        <w:t xml:space="preserve">určeného </w:t>
      </w:r>
      <w:r w:rsidR="009A2EB0">
        <w:t xml:space="preserve">pro </w:t>
      </w:r>
      <w:r w:rsidR="00F86211">
        <w:t xml:space="preserve">otisk formy, což provádí </w:t>
      </w:r>
      <w:r w:rsidR="009A2EB0">
        <w:t>činný</w:t>
      </w:r>
      <w:r w:rsidR="00F86211">
        <w:t xml:space="preserve"> intelekt</w:t>
      </w:r>
      <w:r w:rsidR="08F732CF">
        <w:t xml:space="preserve"> do re</w:t>
      </w:r>
      <w:r w:rsidR="084D15A4">
        <w:t>ceptivně-inteligibilní a proto univerzálně-</w:t>
      </w:r>
      <w:r w:rsidR="08F732CF">
        <w:t xml:space="preserve">materiální složky </w:t>
      </w:r>
      <w:r w:rsidR="084D15A4">
        <w:t xml:space="preserve">kosmické a lidské </w:t>
      </w:r>
      <w:r w:rsidR="08F732CF">
        <w:t>duše</w:t>
      </w:r>
      <w:r w:rsidR="009A2EB0">
        <w:t>. Citát definuje první materii</w:t>
      </w:r>
      <w:r w:rsidR="00CB7419" w:rsidRPr="00273106">
        <w:t xml:space="preserve"> </w:t>
      </w:r>
      <w:r w:rsidR="009A2EB0">
        <w:t>jako substanci</w:t>
      </w:r>
      <w:r w:rsidR="005E5120" w:rsidRPr="00273106">
        <w:t xml:space="preserve"> třetí</w:t>
      </w:r>
      <w:r w:rsidRPr="00273106">
        <w:t>ho druhu</w:t>
      </w:r>
      <w:r w:rsidR="009A2EB0">
        <w:t xml:space="preserve"> a stejnou povahu má i možný intelekt</w:t>
      </w:r>
      <w:r w:rsidR="08C113DC">
        <w:t>. V univerzá</w:t>
      </w:r>
      <w:r w:rsidR="080E793E">
        <w:t>l</w:t>
      </w:r>
      <w:r w:rsidR="08C113DC">
        <w:t xml:space="preserve">ním hylemorfismu </w:t>
      </w:r>
      <w:r w:rsidR="00B01AA2">
        <w:t xml:space="preserve">je </w:t>
      </w:r>
      <w:r w:rsidR="08C113DC" w:rsidRPr="08C113DC">
        <w:rPr>
          <w:i/>
        </w:rPr>
        <w:t>intellectus possibilis</w:t>
      </w:r>
      <w:r w:rsidR="08C113DC">
        <w:t xml:space="preserve"> </w:t>
      </w:r>
      <w:r w:rsidR="00B01AA2">
        <w:t>daný nemateriálně</w:t>
      </w:r>
      <w:r w:rsidR="08C113DC">
        <w:t xml:space="preserve"> jako porretánská hypostáze</w:t>
      </w:r>
      <w:r w:rsidRPr="00273106">
        <w:t xml:space="preserve">. </w:t>
      </w:r>
      <w:r w:rsidR="00212BCD" w:rsidRPr="00273106">
        <w:t xml:space="preserve">V této potenci </w:t>
      </w:r>
      <w:r w:rsidR="00B01AA2">
        <w:t xml:space="preserve">dané skrze numerickou identitu </w:t>
      </w:r>
      <w:r w:rsidR="00212BCD" w:rsidRPr="00273106">
        <w:t>může přijímat jen univerzální určení (</w:t>
      </w:r>
      <w:r w:rsidR="00212BCD" w:rsidRPr="00273106">
        <w:rPr>
          <w:i/>
        </w:rPr>
        <w:t>intellectus possibilis natus est ut recipiat formas universales</w:t>
      </w:r>
      <w:r w:rsidR="00212BCD" w:rsidRPr="00273106">
        <w:t>)</w:t>
      </w:r>
      <w:r w:rsidR="00142E57">
        <w:t>, tedy</w:t>
      </w:r>
      <w:r w:rsidR="005F04EC">
        <w:t xml:space="preserve"> </w:t>
      </w:r>
      <w:r w:rsidR="00142E57">
        <w:t xml:space="preserve">porretánských </w:t>
      </w:r>
      <w:r w:rsidR="004B4D52" w:rsidRPr="004B4D52">
        <w:t>species</w:t>
      </w:r>
      <w:r w:rsidR="005F04EC">
        <w:t xml:space="preserve"> jako substancí</w:t>
      </w:r>
      <w:r w:rsidRPr="00273106">
        <w:t xml:space="preserve"> třetího druhu. </w:t>
      </w:r>
      <w:r w:rsidR="08951488">
        <w:t xml:space="preserve">Ale podle Rufusova výkladu CMDA </w:t>
      </w:r>
      <w:r w:rsidR="08115768" w:rsidRPr="00273106">
        <w:t xml:space="preserve">je </w:t>
      </w:r>
      <w:r w:rsidR="00142E57">
        <w:t xml:space="preserve">možný intelekt </w:t>
      </w:r>
      <w:r w:rsidR="08115768" w:rsidRPr="00273106">
        <w:t xml:space="preserve">dán jako </w:t>
      </w:r>
      <w:r w:rsidRPr="00273106">
        <w:t xml:space="preserve">univerzální </w:t>
      </w:r>
      <w:r w:rsidR="08C113DC">
        <w:t xml:space="preserve">substance v modu numericky určeného individua </w:t>
      </w:r>
      <w:r w:rsidRPr="00273106">
        <w:t>(</w:t>
      </w:r>
      <w:r w:rsidRPr="00273106">
        <w:rPr>
          <w:i/>
        </w:rPr>
        <w:t>una numero est et res singularis</w:t>
      </w:r>
      <w:r w:rsidRPr="00273106">
        <w:t>)</w:t>
      </w:r>
      <w:r w:rsidR="08115768" w:rsidRPr="00273106">
        <w:t xml:space="preserve">. </w:t>
      </w:r>
      <w:r w:rsidR="08C7416B" w:rsidRPr="00273106">
        <w:t>P</w:t>
      </w:r>
      <w:r w:rsidR="08070628" w:rsidRPr="00273106">
        <w:t xml:space="preserve">okud je tento intelekt univerzální, jak tvrdí </w:t>
      </w:r>
      <w:r w:rsidR="002E3B62">
        <w:t>Averroes</w:t>
      </w:r>
      <w:r w:rsidR="08070628" w:rsidRPr="00273106">
        <w:t xml:space="preserve">, pak podle Rufuse nemůže být individualizován na úrovni hylemorfické složeniny jedinečné duše a jedinečného materiálního těla. </w:t>
      </w:r>
      <w:r w:rsidR="00ED07E0">
        <w:t>R</w:t>
      </w:r>
      <w:r w:rsidR="005764E8" w:rsidRPr="00273106">
        <w:t xml:space="preserve">eceptivita </w:t>
      </w:r>
      <w:r w:rsidR="00ED07E0">
        <w:t xml:space="preserve">kosmického intelektu </w:t>
      </w:r>
      <w:r w:rsidR="005764E8" w:rsidRPr="00273106">
        <w:t xml:space="preserve">musí jedna a obecná, protože přijímá na způsob </w:t>
      </w:r>
      <w:r w:rsidR="005764E8" w:rsidRPr="00273106">
        <w:rPr>
          <w:i/>
        </w:rPr>
        <w:t>materia prima</w:t>
      </w:r>
      <w:r w:rsidR="00142E57">
        <w:t xml:space="preserve"> všechna</w:t>
      </w:r>
      <w:r w:rsidR="005764E8" w:rsidRPr="00273106">
        <w:t xml:space="preserve"> ostatní </w:t>
      </w:r>
      <w:r w:rsidR="00D2471D">
        <w:t xml:space="preserve">nemateriální </w:t>
      </w:r>
      <w:r w:rsidR="004B4D52" w:rsidRPr="004B4D52">
        <w:t>species</w:t>
      </w:r>
      <w:r w:rsidR="005764E8" w:rsidRPr="00273106">
        <w:t xml:space="preserve">. </w:t>
      </w:r>
      <w:r w:rsidR="08056D97" w:rsidRPr="00273106">
        <w:t xml:space="preserve">Z hlediska CMDA </w:t>
      </w:r>
      <w:r w:rsidR="08357624" w:rsidRPr="00273106">
        <w:t xml:space="preserve">patří </w:t>
      </w:r>
      <w:r w:rsidR="08056D97" w:rsidRPr="00273106">
        <w:t xml:space="preserve">Rufus </w:t>
      </w:r>
      <w:r w:rsidR="08357624" w:rsidRPr="00273106">
        <w:t xml:space="preserve">do kategorie </w:t>
      </w:r>
      <w:r w:rsidR="080E793E">
        <w:t xml:space="preserve">odmítnutých </w:t>
      </w:r>
      <w:r w:rsidR="087E25F2" w:rsidRPr="00273106">
        <w:t>neoplatoniků</w:t>
      </w:r>
      <w:r w:rsidR="08357624" w:rsidRPr="00273106">
        <w:t xml:space="preserve">, protože </w:t>
      </w:r>
      <w:r w:rsidR="0875745B">
        <w:t xml:space="preserve">rozdělil receptivitu na dvě složky. S Themistiem </w:t>
      </w:r>
      <w:r w:rsidR="08357624" w:rsidRPr="00273106">
        <w:t xml:space="preserve">zařadil </w:t>
      </w:r>
      <w:r w:rsidR="087E25F2" w:rsidRPr="00273106">
        <w:rPr>
          <w:i/>
        </w:rPr>
        <w:t>intellectus possibilis</w:t>
      </w:r>
      <w:r w:rsidR="087E25F2" w:rsidRPr="00273106">
        <w:t xml:space="preserve"> </w:t>
      </w:r>
      <w:r w:rsidR="003279E1" w:rsidRPr="00273106">
        <w:t xml:space="preserve">skrze přirovnání k materii </w:t>
      </w:r>
      <w:r w:rsidR="087E25F2" w:rsidRPr="00273106">
        <w:t xml:space="preserve">na smyslovou úroveň </w:t>
      </w:r>
      <w:r w:rsidR="087E25F2" w:rsidRPr="00273106">
        <w:rPr>
          <w:i/>
        </w:rPr>
        <w:t>intellectus materialis</w:t>
      </w:r>
      <w:r w:rsidR="006D2B5F">
        <w:rPr>
          <w:i/>
        </w:rPr>
        <w:fldChar w:fldCharType="begin"/>
      </w:r>
      <w:r w:rsidR="006D2B5F">
        <w:instrText xml:space="preserve"> XE "</w:instrText>
      </w:r>
      <w:r w:rsidR="006D2B5F" w:rsidRPr="00BE489A">
        <w:rPr>
          <w:i/>
        </w:rPr>
        <w:instrText>intellectus materialis:</w:instrText>
      </w:r>
      <w:r w:rsidR="001B599D" w:rsidRPr="001B599D">
        <w:instrText>Rufus</w:instrText>
      </w:r>
      <w:r w:rsidR="006D2B5F">
        <w:instrText xml:space="preserve">" </w:instrText>
      </w:r>
      <w:r w:rsidR="006D2B5F">
        <w:rPr>
          <w:i/>
        </w:rPr>
        <w:fldChar w:fldCharType="end"/>
      </w:r>
      <w:r w:rsidR="004B5599">
        <w:t xml:space="preserve"> v těle. </w:t>
      </w:r>
      <w:r w:rsidR="0875745B">
        <w:t>Ale pak zase s Alexandrem vzal receptivní nematerialitu duše jako oddělenou kosmickou hypostázi</w:t>
      </w:r>
      <w:r w:rsidR="088A517A">
        <w:t xml:space="preserve">, kterou individualizoval skrze Dinantovu primární </w:t>
      </w:r>
      <w:r w:rsidR="004B5599">
        <w:t xml:space="preserve">kosmickou </w:t>
      </w:r>
      <w:r w:rsidR="088A517A">
        <w:t>materii</w:t>
      </w:r>
      <w:r w:rsidR="0875745B">
        <w:t xml:space="preserve">. </w:t>
      </w:r>
      <w:r w:rsidR="004F613C" w:rsidRPr="004F613C">
        <w:t xml:space="preserve">Podle Avicebrona existují dva druhy hmoty, která </w:t>
      </w:r>
      <w:r w:rsidR="004F613C">
        <w:t>přijímá formu</w:t>
      </w:r>
      <w:r w:rsidR="004F613C" w:rsidRPr="004F613C">
        <w:t xml:space="preserve">, takže existují dva druhy receptivního intelektu: jeden je individualizován podle tělesné </w:t>
      </w:r>
      <w:r w:rsidR="004F613C">
        <w:t>materie</w:t>
      </w:r>
      <w:r w:rsidR="004F613C" w:rsidRPr="004F613C">
        <w:t xml:space="preserve">, takže je numericky </w:t>
      </w:r>
      <w:r w:rsidR="004F613C">
        <w:t xml:space="preserve">odlišný </w:t>
      </w:r>
      <w:r w:rsidR="004F613C" w:rsidRPr="004F613C">
        <w:t>u všech lidí (Themist</w:t>
      </w:r>
      <w:r w:rsidR="004F613C">
        <w:t>i</w:t>
      </w:r>
      <w:r w:rsidR="004F613C" w:rsidRPr="004F613C">
        <w:t xml:space="preserve">ův a Avicennův </w:t>
      </w:r>
      <w:r w:rsidR="004F613C" w:rsidRPr="004F613C">
        <w:rPr>
          <w:i/>
        </w:rPr>
        <w:t>intellectus materialis</w:t>
      </w:r>
      <w:r w:rsidR="004F613C" w:rsidRPr="004F613C">
        <w:t xml:space="preserve">); druhý je </w:t>
      </w:r>
      <w:r w:rsidR="004F613C">
        <w:t xml:space="preserve">individualizován podle spirituální materie </w:t>
      </w:r>
      <w:r w:rsidR="004F613C" w:rsidRPr="004F613C">
        <w:t xml:space="preserve">jako Dinantova </w:t>
      </w:r>
      <w:r w:rsidR="004F613C" w:rsidRPr="004F613C">
        <w:rPr>
          <w:i/>
        </w:rPr>
        <w:t>materia prima</w:t>
      </w:r>
      <w:r w:rsidR="004F613C" w:rsidRPr="004F613C">
        <w:t>. Pak je dán jako jediný nehmotný a samostatný exemplář (</w:t>
      </w:r>
      <w:r w:rsidR="004F613C" w:rsidRPr="004F613C">
        <w:rPr>
          <w:i/>
        </w:rPr>
        <w:t>intellectus possibilis</w:t>
      </w:r>
      <w:r w:rsidR="004F613C" w:rsidRPr="004F613C">
        <w:t xml:space="preserve"> </w:t>
      </w:r>
      <w:r w:rsidR="00F70A23">
        <w:t>falešně přičítaný Averroésovi</w:t>
      </w:r>
      <w:r w:rsidR="004F613C" w:rsidRPr="004F613C">
        <w:t>).</w:t>
      </w:r>
      <w:r w:rsidR="004F613C">
        <w:t xml:space="preserve"> </w:t>
      </w:r>
      <w:r w:rsidR="088A517A" w:rsidRPr="00273106">
        <w:t xml:space="preserve">Rufus shrnuje </w:t>
      </w:r>
      <w:r w:rsidR="088A517A">
        <w:t>Averroes</w:t>
      </w:r>
      <w:r w:rsidR="088A517A" w:rsidRPr="00273106">
        <w:t xml:space="preserve">ovo učení o receptivním intelektu do </w:t>
      </w:r>
      <w:r w:rsidR="088A517A">
        <w:t xml:space="preserve">fatální </w:t>
      </w:r>
      <w:r w:rsidR="088A517A" w:rsidRPr="00273106">
        <w:t xml:space="preserve">alternativy, která založila </w:t>
      </w:r>
      <w:r w:rsidR="088A517A">
        <w:t xml:space="preserve">averroistický </w:t>
      </w:r>
      <w:r w:rsidR="088A517A" w:rsidRPr="00273106">
        <w:t xml:space="preserve">spor o numerickou jednotu </w:t>
      </w:r>
      <w:r w:rsidR="088A517A" w:rsidRPr="00273106">
        <w:rPr>
          <w:i/>
        </w:rPr>
        <w:t>intellectus possibilis</w:t>
      </w:r>
      <w:r w:rsidR="088A517A">
        <w:rPr>
          <w:i/>
        </w:rPr>
        <w:fldChar w:fldCharType="begin"/>
      </w:r>
      <w:r w:rsidR="088A517A">
        <w:instrText xml:space="preserve"> XE "intelekt:numericky jednotný" </w:instrText>
      </w:r>
      <w:r w:rsidR="088A517A">
        <w:rPr>
          <w:i/>
        </w:rPr>
        <w:fldChar w:fldCharType="end"/>
      </w:r>
      <w:r w:rsidR="088A517A" w:rsidRPr="00273106">
        <w:t>.</w:t>
      </w:r>
    </w:p>
    <w:p w14:paraId="4C983C8D" w14:textId="018BEDAE" w:rsidR="088A517A" w:rsidRPr="00273106" w:rsidRDefault="088A517A" w:rsidP="088A517A">
      <w:pPr>
        <w:pStyle w:val="Citace"/>
        <w:rPr>
          <w:noProof/>
          <w:lang w:val="cs-CZ"/>
        </w:rPr>
      </w:pPr>
      <w:r w:rsidRPr="00273106">
        <w:rPr>
          <w:noProof/>
          <w:szCs w:val="22"/>
          <w:lang w:val="cs-CZ"/>
        </w:rPr>
        <w:t>„</w:t>
      </w:r>
      <w:r w:rsidR="000D6C97" w:rsidRPr="000D6C97">
        <w:rPr>
          <w:noProof/>
          <w:szCs w:val="22"/>
          <w:lang w:val="cs-CZ"/>
        </w:rPr>
        <w:t xml:space="preserve">Možný intelekt nemůže být dán tím, že je </w:t>
      </w:r>
      <w:r w:rsidR="000D6C97">
        <w:rPr>
          <w:noProof/>
          <w:szCs w:val="22"/>
          <w:lang w:val="cs-CZ"/>
        </w:rPr>
        <w:t xml:space="preserve">odlišný </w:t>
      </w:r>
      <w:r w:rsidR="000D6C97" w:rsidRPr="000D6C97">
        <w:rPr>
          <w:noProof/>
          <w:szCs w:val="22"/>
          <w:lang w:val="cs-CZ"/>
        </w:rPr>
        <w:t>u různých jedinců. Je numericky jeden ve všech individuích a jeho univerzálnost předpokládá pouze jedno individuum. (...) Kdyby se totiž vyskytoval odděleně v numericky různých individuích, byl by form</w:t>
      </w:r>
      <w:r w:rsidR="000D6C97">
        <w:rPr>
          <w:noProof/>
          <w:szCs w:val="22"/>
          <w:lang w:val="cs-CZ"/>
        </w:rPr>
        <w:t>ou těchto individuí. Pak by byl</w:t>
      </w:r>
      <w:r w:rsidR="000D6C97" w:rsidRPr="000D6C97">
        <w:rPr>
          <w:noProof/>
          <w:szCs w:val="22"/>
          <w:lang w:val="cs-CZ"/>
        </w:rPr>
        <w:t xml:space="preserve"> numericky </w:t>
      </w:r>
      <w:r w:rsidR="000D6C97">
        <w:rPr>
          <w:noProof/>
          <w:szCs w:val="22"/>
          <w:lang w:val="cs-CZ"/>
        </w:rPr>
        <w:t xml:space="preserve">mnohý </w:t>
      </w:r>
      <w:r w:rsidR="000D6C97" w:rsidRPr="000D6C97">
        <w:rPr>
          <w:noProof/>
          <w:szCs w:val="22"/>
          <w:lang w:val="cs-CZ"/>
        </w:rPr>
        <w:t xml:space="preserve">a </w:t>
      </w:r>
      <w:r w:rsidR="000D6C97">
        <w:rPr>
          <w:noProof/>
          <w:szCs w:val="22"/>
          <w:lang w:val="cs-CZ"/>
        </w:rPr>
        <w:t>byl by individualizovaný</w:t>
      </w:r>
      <w:r w:rsidR="000D6C97" w:rsidRPr="000D6C97">
        <w:rPr>
          <w:noProof/>
          <w:szCs w:val="22"/>
          <w:lang w:val="cs-CZ"/>
        </w:rPr>
        <w:t xml:space="preserve"> podle</w:t>
      </w:r>
      <w:r w:rsidR="000D6C97">
        <w:rPr>
          <w:noProof/>
          <w:szCs w:val="22"/>
          <w:lang w:val="cs-CZ"/>
        </w:rPr>
        <w:t xml:space="preserve"> materie</w:t>
      </w:r>
      <w:r w:rsidR="000D6C97" w:rsidRPr="000D6C97">
        <w:rPr>
          <w:noProof/>
          <w:szCs w:val="22"/>
          <w:lang w:val="cs-CZ"/>
        </w:rPr>
        <w:t xml:space="preserve"> těchto individuí.</w:t>
      </w:r>
      <w:r w:rsidRPr="00273106">
        <w:rPr>
          <w:noProof/>
          <w:szCs w:val="22"/>
          <w:lang w:val="cs-CZ"/>
        </w:rPr>
        <w:t>“</w:t>
      </w:r>
      <w:r>
        <w:rPr>
          <w:noProof/>
          <w:szCs w:val="22"/>
          <w:lang w:val="cs-CZ"/>
        </w:rPr>
        <w:t> </w:t>
      </w:r>
      <w:r w:rsidRPr="00273106">
        <w:rPr>
          <w:rStyle w:val="Znakapoznpodarou"/>
          <w:noProof/>
          <w:lang w:val="cs-CZ"/>
        </w:rPr>
        <w:footnoteReference w:id="456"/>
      </w:r>
    </w:p>
    <w:p w14:paraId="0757DB99" w14:textId="20B83FAE" w:rsidR="088A517A" w:rsidRPr="00273106" w:rsidRDefault="088A517A" w:rsidP="088A517A">
      <w:r w:rsidRPr="00273106">
        <w:t xml:space="preserve">Pouze </w:t>
      </w:r>
      <w:r>
        <w:t xml:space="preserve">hylicky </w:t>
      </w:r>
      <w:r w:rsidRPr="00273106">
        <w:t xml:space="preserve">založený </w:t>
      </w:r>
      <w:r w:rsidRPr="00273106">
        <w:rPr>
          <w:i/>
        </w:rPr>
        <w:t>intellectus materialis</w:t>
      </w:r>
      <w:r w:rsidRPr="00273106">
        <w:t xml:space="preserve"> může být individuální, protože je dán na úrovni hylemorfického jednotlivce (</w:t>
      </w:r>
      <w:r w:rsidRPr="00273106">
        <w:rPr>
          <w:i/>
        </w:rPr>
        <w:t>numerata secundum multiplicationem et numerationem plurium materierum</w:t>
      </w:r>
      <w:r w:rsidRPr="00273106">
        <w:t>). Individuální je smyslové fantasma, které recipuje individuální věci, proto na smyslové úrovni existuje individualizace intelektu</w:t>
      </w:r>
      <w:r>
        <w:t xml:space="preserve"> daná materiální ipseitou osob jako prvních substancí</w:t>
      </w:r>
      <w:r w:rsidRPr="00273106">
        <w:t xml:space="preserve">. </w:t>
      </w:r>
      <w:r w:rsidR="007F0295" w:rsidRPr="007F0295">
        <w:t xml:space="preserve">Receptivní intelekt </w:t>
      </w:r>
      <w:r w:rsidR="007F0295" w:rsidRPr="007F0295">
        <w:rPr>
          <w:i/>
        </w:rPr>
        <w:t>Modernorum</w:t>
      </w:r>
      <w:r w:rsidR="007F0295" w:rsidRPr="007F0295">
        <w:t xml:space="preserve"> je nehmotný a univerzální; musí se vzdát nároku na jedinečnost </w:t>
      </w:r>
      <w:r w:rsidR="007F0295">
        <w:t xml:space="preserve">v rámci </w:t>
      </w:r>
      <w:r w:rsidR="007F0295" w:rsidRPr="007F0295">
        <w:t xml:space="preserve">osoby. </w:t>
      </w:r>
      <w:r w:rsidR="007F0295">
        <w:t>Proto potřebuje neexistující moderní</w:t>
      </w:r>
      <w:r w:rsidR="007F0295" w:rsidRPr="007F0295">
        <w:t xml:space="preserve"> </w:t>
      </w:r>
      <w:r w:rsidR="007F0295" w:rsidRPr="007F0295">
        <w:rPr>
          <w:i/>
        </w:rPr>
        <w:t>individuum</w:t>
      </w:r>
      <w:r w:rsidR="007F0295">
        <w:t xml:space="preserve"> a k němu </w:t>
      </w:r>
      <w:r w:rsidR="007F0295" w:rsidRPr="007F0295">
        <w:t>se připojuje zvenčí jako hypostatizovaná substance.</w:t>
      </w:r>
      <w:r w:rsidR="007F0295">
        <w:t xml:space="preserve"> </w:t>
      </w:r>
      <w:r>
        <w:t xml:space="preserve">A protože je tato substance nemateriální, pak je jedním </w:t>
      </w:r>
      <w:r w:rsidR="004B4D52" w:rsidRPr="004B4D52">
        <w:t>species</w:t>
      </w:r>
      <w:r>
        <w:t xml:space="preserve"> a tím „exsistuje“ v numericky jediném kosmickém exempláři. </w:t>
      </w:r>
      <w:r w:rsidR="00D91E6B" w:rsidRPr="00D91E6B">
        <w:t xml:space="preserve">Rufus považuje Averroesův status nehmotného a přesto individuálního </w:t>
      </w:r>
      <w:r w:rsidR="00D91E6B">
        <w:rPr>
          <w:i/>
        </w:rPr>
        <w:t xml:space="preserve">intellectus possibilis </w:t>
      </w:r>
      <w:r w:rsidR="00D91E6B" w:rsidRPr="00D91E6B">
        <w:t xml:space="preserve">za rozporuplný. Averroes </w:t>
      </w:r>
      <w:r w:rsidRPr="00273106">
        <w:t xml:space="preserve">nemůže </w:t>
      </w:r>
      <w:r>
        <w:t xml:space="preserve">na úrovni hylemorfické materie spojit </w:t>
      </w:r>
      <w:r w:rsidRPr="00273106">
        <w:t>singularit</w:t>
      </w:r>
      <w:r>
        <w:t>u a univerzalit</w:t>
      </w:r>
      <w:r w:rsidRPr="00273106">
        <w:t>u (</w:t>
      </w:r>
      <w:r w:rsidRPr="00273106">
        <w:rPr>
          <w:i/>
          <w:szCs w:val="22"/>
        </w:rPr>
        <w:t>non est ergo intellectus possibilis alius et alius numero in ipsis individuis</w:t>
      </w:r>
      <w:r w:rsidRPr="00273106">
        <w:t xml:space="preserve">). Rufus vypustil do světa falešnou interpretaci CMDA, kterou připsal samotnému </w:t>
      </w:r>
      <w:r>
        <w:t>Averroes</w:t>
      </w:r>
      <w:r w:rsidRPr="00273106">
        <w:t xml:space="preserve">ovi. Závěr tohoto sofismatu je jasný a později nesčetněkrát opakovaný, ale bez </w:t>
      </w:r>
      <w:r>
        <w:t xml:space="preserve">pravdivého </w:t>
      </w:r>
      <w:r w:rsidRPr="00273106">
        <w:t xml:space="preserve">vztahu k původnímu zdroji tohoto sporu. Rufus </w:t>
      </w:r>
      <w:r>
        <w:t xml:space="preserve">definuje </w:t>
      </w:r>
      <w:r w:rsidRPr="00273106">
        <w:rPr>
          <w:i/>
        </w:rPr>
        <w:t>intellectus possibilis</w:t>
      </w:r>
      <w:r w:rsidRPr="00273106">
        <w:t xml:space="preserve"> j</w:t>
      </w:r>
      <w:r>
        <w:t xml:space="preserve">ako oddělenou pseudo-materiální substanci, aby </w:t>
      </w:r>
      <w:r w:rsidRPr="00273106">
        <w:t xml:space="preserve">pojistil status univerzálního </w:t>
      </w:r>
      <w:r>
        <w:t xml:space="preserve">receptivního </w:t>
      </w:r>
      <w:r w:rsidRPr="00273106">
        <w:t>poznání shodného pro všechny lidi</w:t>
      </w:r>
      <w:r>
        <w:t xml:space="preserve"> podle kanonického vyjádření </w:t>
      </w:r>
      <w:r w:rsidR="00966CF7">
        <w:t>„</w:t>
      </w:r>
      <w:r>
        <w:rPr>
          <w:i/>
        </w:rPr>
        <w:t>anima quodammodo est omnia</w:t>
      </w:r>
      <w:r w:rsidR="00966CF7">
        <w:rPr>
          <w:i/>
        </w:rPr>
        <w:t>“</w:t>
      </w:r>
      <w:r>
        <w:rPr>
          <w:i/>
        </w:rPr>
        <w:t xml:space="preserve"> </w:t>
      </w:r>
      <w:r w:rsidRPr="08C156D8">
        <w:t>(</w:t>
      </w:r>
      <w:r>
        <w:rPr>
          <w:i/>
        </w:rPr>
        <w:t>De anima</w:t>
      </w:r>
      <w:r w:rsidRPr="00273106">
        <w:t xml:space="preserve"> 431b20‒21</w:t>
      </w:r>
      <w:r>
        <w:fldChar w:fldCharType="begin"/>
      </w:r>
      <w:r>
        <w:instrText xml:space="preserve"> XE "Aristoteles:</w:instrText>
      </w:r>
      <w:r w:rsidRPr="00A441E5">
        <w:rPr>
          <w:i/>
        </w:rPr>
        <w:instrText>De anima</w:instrText>
      </w:r>
      <w:r w:rsidRPr="00A441E5">
        <w:instrText xml:space="preserve"> 431b20‒21</w:instrText>
      </w:r>
      <w:r>
        <w:instrText xml:space="preserve">" </w:instrText>
      </w:r>
      <w:r>
        <w:fldChar w:fldCharType="end"/>
      </w:r>
      <w:r w:rsidRPr="00273106">
        <w:t>)</w:t>
      </w:r>
      <w:r w:rsidR="00966CF7">
        <w:t xml:space="preserve">. Ve stejném smyslu platí hlavní věta </w:t>
      </w:r>
      <w:r w:rsidRPr="00273106">
        <w:rPr>
          <w:i/>
          <w:lang w:eastAsia="en-US"/>
        </w:rPr>
        <w:t xml:space="preserve">De intepretatione </w:t>
      </w:r>
      <w:r w:rsidRPr="00273106">
        <w:rPr>
          <w:lang w:eastAsia="en-US"/>
        </w:rPr>
        <w:t>16a3‒8</w:t>
      </w:r>
      <w:r>
        <w:rPr>
          <w:lang w:eastAsia="en-US"/>
        </w:rPr>
        <w:fldChar w:fldCharType="begin"/>
      </w:r>
      <w:r>
        <w:instrText xml:space="preserve"> XE "Aristoteles:</w:instrText>
      </w:r>
      <w:r w:rsidRPr="00047A3A">
        <w:rPr>
          <w:i/>
          <w:lang w:eastAsia="en-US"/>
        </w:rPr>
        <w:instrText xml:space="preserve">De intepretatione </w:instrText>
      </w:r>
      <w:r w:rsidRPr="00047A3A">
        <w:rPr>
          <w:lang w:eastAsia="en-US"/>
        </w:rPr>
        <w:instrText>16a3‒8</w:instrText>
      </w:r>
      <w:r>
        <w:instrText xml:space="preserve">" </w:instrText>
      </w:r>
      <w:r>
        <w:rPr>
          <w:lang w:eastAsia="en-US"/>
        </w:rPr>
        <w:fldChar w:fldCharType="end"/>
      </w:r>
      <w:r w:rsidRPr="00273106">
        <w:t>.</w:t>
      </w:r>
      <w:r>
        <w:t xml:space="preserve"> </w:t>
      </w:r>
      <w:r>
        <w:rPr>
          <w:rStyle w:val="TextpoznpodarouChar"/>
        </w:rPr>
        <w:t>P</w:t>
      </w:r>
      <w:r w:rsidRPr="00273106">
        <w:rPr>
          <w:rStyle w:val="TextpoznpodarouChar"/>
        </w:rPr>
        <w:t xml:space="preserve">rimární znamení </w:t>
      </w:r>
      <w:r>
        <w:rPr>
          <w:rStyle w:val="TextpoznpodarouChar"/>
        </w:rPr>
        <w:t xml:space="preserve">jsou všem společná skrze </w:t>
      </w:r>
      <w:r w:rsidRPr="00273106">
        <w:rPr>
          <w:rStyle w:val="TextpoznpodarouChar"/>
        </w:rPr>
        <w:t xml:space="preserve">duševní prožitky </w:t>
      </w:r>
      <w:r>
        <w:rPr>
          <w:rStyle w:val="TextpoznpodarouChar"/>
        </w:rPr>
        <w:t xml:space="preserve">a tyto </w:t>
      </w:r>
      <w:r w:rsidRPr="00273106">
        <w:rPr>
          <w:rStyle w:val="TextpoznpodarouChar"/>
        </w:rPr>
        <w:t xml:space="preserve">prožitky </w:t>
      </w:r>
      <w:r>
        <w:rPr>
          <w:rStyle w:val="TextpoznpodarouChar"/>
        </w:rPr>
        <w:t xml:space="preserve">jsou </w:t>
      </w:r>
      <w:r w:rsidRPr="00273106">
        <w:rPr>
          <w:rStyle w:val="TextpoznpodarouChar"/>
        </w:rPr>
        <w:t>nápodobou věcí</w:t>
      </w:r>
      <w:r>
        <w:rPr>
          <w:rStyle w:val="TextpoznpodarouChar"/>
        </w:rPr>
        <w:t xml:space="preserve"> </w:t>
      </w:r>
      <w:r w:rsidR="08FF0D0B">
        <w:rPr>
          <w:lang w:eastAsia="en-US"/>
        </w:rPr>
        <w:t>(kap. 1</w:t>
      </w:r>
      <w:r>
        <w:rPr>
          <w:lang w:eastAsia="en-US"/>
        </w:rPr>
        <w:t>.1)</w:t>
      </w:r>
      <w:r>
        <w:rPr>
          <w:rStyle w:val="TextpoznpodarouChar"/>
        </w:rPr>
        <w:t>. Rufus zvolil místo aristotelské adekvace metaforu platonského otisku ideje do duše. Z věci se stala substance třetího druhu</w:t>
      </w:r>
      <w:r w:rsidR="0025190D">
        <w:rPr>
          <w:rStyle w:val="TextpoznpodarouChar"/>
        </w:rPr>
        <w:t xml:space="preserve"> </w:t>
      </w:r>
      <w:r w:rsidR="0025190D">
        <w:rPr>
          <w:szCs w:val="24"/>
        </w:rPr>
        <w:t>(</w:t>
      </w:r>
      <w:r w:rsidR="0025190D" w:rsidRPr="00EB4879">
        <w:rPr>
          <w:i/>
          <w:szCs w:val="24"/>
        </w:rPr>
        <w:t>scibile</w:t>
      </w:r>
      <w:r w:rsidR="0025190D">
        <w:rPr>
          <w:szCs w:val="24"/>
        </w:rPr>
        <w:t xml:space="preserve">). Pak </w:t>
      </w:r>
      <w:r>
        <w:rPr>
          <w:rStyle w:val="TextpoznpodarouChar"/>
        </w:rPr>
        <w:t xml:space="preserve">bylo třeba najít odpovídající intelektuální shodu na úrovni univerzální receptivity v modu platonské </w:t>
      </w:r>
      <w:r w:rsidRPr="08F34AC6">
        <w:rPr>
          <w:rStyle w:val="TextpoznpodarouChar"/>
          <w:i/>
        </w:rPr>
        <w:t>hypodoché</w:t>
      </w:r>
      <w:r>
        <w:rPr>
          <w:rStyle w:val="TextpoznpodarouChar"/>
        </w:rPr>
        <w:t xml:space="preserve"> z dialogu </w:t>
      </w:r>
      <w:r w:rsidRPr="087D5662">
        <w:rPr>
          <w:rStyle w:val="TextpoznpodarouChar"/>
          <w:i/>
        </w:rPr>
        <w:t>Timaios</w:t>
      </w:r>
      <w:r>
        <w:rPr>
          <w:rStyle w:val="TextpoznpodarouChar"/>
        </w:rPr>
        <w:t xml:space="preserve"> (</w:t>
      </w:r>
      <w:r w:rsidR="08FF0D0B">
        <w:rPr>
          <w:rStyle w:val="TextpoznpodarouChar"/>
        </w:rPr>
        <w:t xml:space="preserve">OBJ I, </w:t>
      </w:r>
      <w:r>
        <w:rPr>
          <w:rStyle w:val="TextpoznpodarouChar"/>
        </w:rPr>
        <w:t>kap. 1.3.3). Rufus k tomu p</w:t>
      </w:r>
      <w:r w:rsidR="08BF6973">
        <w:t>oužil</w:t>
      </w:r>
      <w:r>
        <w:t xml:space="preserve"> výroky CMDA ohledně intelektu jako </w:t>
      </w:r>
      <w:r w:rsidRPr="006B1454">
        <w:rPr>
          <w:i/>
        </w:rPr>
        <w:t xml:space="preserve">quartum </w:t>
      </w:r>
      <w:r w:rsidR="00B1298A">
        <w:rPr>
          <w:i/>
        </w:rPr>
        <w:t>genus</w:t>
      </w:r>
      <w:r>
        <w:t xml:space="preserve">. Avicennistický porretán odmítl přijat toto abstrahované </w:t>
      </w:r>
      <w:r w:rsidR="004B4D52" w:rsidRPr="004B4D52">
        <w:t>species</w:t>
      </w:r>
      <w:r>
        <w:t xml:space="preserve"> v původním kontextu aristotelské intencionální mediace a abstrakce, což měl první averroismus. Rufus potřebuje mediaci od smyslů jen akcidentálně</w:t>
      </w:r>
      <w:r w:rsidR="007B0B39">
        <w:t>. Avicennovská</w:t>
      </w:r>
      <w:r>
        <w:t xml:space="preserve"> sebereflex</w:t>
      </w:r>
      <w:r w:rsidR="007B0B39">
        <w:t xml:space="preserve">e v hypostatickém intelektu asimiluje všechna </w:t>
      </w:r>
      <w:r w:rsidR="004B4D52" w:rsidRPr="004B4D52">
        <w:t>species</w:t>
      </w:r>
      <w:r>
        <w:t xml:space="preserve"> </w:t>
      </w:r>
      <w:r w:rsidR="007B0B39">
        <w:t>a pak je usklad</w:t>
      </w:r>
      <w:r>
        <w:t>n</w:t>
      </w:r>
      <w:r w:rsidR="007B0B39">
        <w:t xml:space="preserve">í </w:t>
      </w:r>
      <w:r>
        <w:t>v augustiniánské numerické paměti třetího druhu (</w:t>
      </w:r>
      <w:r w:rsidRPr="08B05161">
        <w:rPr>
          <w:i/>
        </w:rPr>
        <w:t>locus specierum</w:t>
      </w:r>
      <w:r>
        <w:t xml:space="preserve">). Druhý averroismus zná abstrakci pouze jako avicennistickou denudaci již daných a hypostázovaných </w:t>
      </w:r>
      <w:r w:rsidR="004B4D52" w:rsidRPr="004B4D52">
        <w:t>species</w:t>
      </w:r>
      <w:r>
        <w:rPr>
          <w:i/>
        </w:rPr>
        <w:t>-</w:t>
      </w:r>
      <w:r>
        <w:t xml:space="preserve">individuí. Proto musí existovat kosmická forma </w:t>
      </w:r>
      <w:r w:rsidRPr="00273106">
        <w:rPr>
          <w:i/>
        </w:rPr>
        <w:t>intellectus possibilis</w:t>
      </w:r>
      <w:r>
        <w:t xml:space="preserve"> individuálně zhotovená z Dinantovy </w:t>
      </w:r>
      <w:r w:rsidRPr="08BE1B4C">
        <w:rPr>
          <w:i/>
        </w:rPr>
        <w:t>materia prima</w:t>
      </w:r>
      <w:r>
        <w:t xml:space="preserve">. Averroistický výklad Averroese ve škole modernistů vytvořil objektivní podobu intelektu jako jsoucna třetího druhu, kterou sofisticky připsal Komentátorovi. </w:t>
      </w:r>
    </w:p>
    <w:p w14:paraId="50901F0C" w14:textId="77777777" w:rsidR="088A517A" w:rsidRPr="00273106" w:rsidRDefault="088A517A" w:rsidP="088A517A">
      <w:pPr>
        <w:pStyle w:val="Citace"/>
        <w:rPr>
          <w:noProof/>
          <w:lang w:val="cs-CZ"/>
        </w:rPr>
      </w:pPr>
      <w:r w:rsidRPr="00273106">
        <w:rPr>
          <w:noProof/>
          <w:lang w:val="cs-CZ"/>
        </w:rPr>
        <w:t xml:space="preserve">„Tento důvod vedl </w:t>
      </w:r>
      <w:r>
        <w:rPr>
          <w:noProof/>
          <w:lang w:val="cs-CZ"/>
        </w:rPr>
        <w:t>Averroes</w:t>
      </w:r>
      <w:r w:rsidRPr="00273106">
        <w:rPr>
          <w:noProof/>
          <w:lang w:val="cs-CZ"/>
        </w:rPr>
        <w:t>ovo uvažování k tomu, aby dal numericky jeden možný a univerzální intelekt všem lidem</w:t>
      </w:r>
      <w:r>
        <w:rPr>
          <w:noProof/>
          <w:lang w:val="cs-CZ"/>
        </w:rPr>
        <w:t xml:space="preserve"> (</w:t>
      </w:r>
      <w:r w:rsidRPr="00C57080">
        <w:rPr>
          <w:i/>
        </w:rPr>
        <w:t>ponendo intellectum possibilem in nobis omnibus unum et etiam universale</w:t>
      </w:r>
      <w:r>
        <w:rPr>
          <w:noProof/>
          <w:lang w:val="cs-CZ"/>
        </w:rPr>
        <w:t>)</w:t>
      </w:r>
      <w:r w:rsidRPr="00273106">
        <w:rPr>
          <w:noProof/>
          <w:lang w:val="cs-CZ"/>
        </w:rPr>
        <w:t xml:space="preserve">, jak bylo řečeno výše.“ </w:t>
      </w:r>
      <w:r w:rsidRPr="00273106">
        <w:rPr>
          <w:rStyle w:val="Znakapoznpodarou"/>
          <w:noProof/>
          <w:lang w:val="cs-CZ"/>
        </w:rPr>
        <w:footnoteReference w:id="457"/>
      </w:r>
    </w:p>
    <w:p w14:paraId="4403FE7A" w14:textId="1B7A17EE" w:rsidR="088A517A" w:rsidRPr="00273106" w:rsidRDefault="088A517A" w:rsidP="088A517A">
      <w:r w:rsidRPr="00273106">
        <w:t xml:space="preserve">Škola druhého averroismu vzala koncept </w:t>
      </w:r>
      <w:r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Pr="00273106">
        <w:t xml:space="preserve"> jako základ všech formálních určení a přidala k němu univerzální poznání v rámci nemateriálního a odděleného </w:t>
      </w:r>
      <w:r w:rsidRPr="00273106">
        <w:rPr>
          <w:i/>
        </w:rPr>
        <w:t>intellectus possibilis</w:t>
      </w:r>
      <w:r w:rsidRPr="00273106">
        <w:t xml:space="preserve">. </w:t>
      </w:r>
      <w:r>
        <w:t>Tím vznikla averroistic</w:t>
      </w:r>
      <w:r w:rsidR="000A263C">
        <w:t xml:space="preserve">ká verze numericky jednotného </w:t>
      </w:r>
      <w:r w:rsidR="000A263C" w:rsidRPr="08706CBC">
        <w:rPr>
          <w:i/>
        </w:rPr>
        <w:t>intellectus possibilis</w:t>
      </w:r>
      <w:r w:rsidR="000A263C">
        <w:t xml:space="preserve">, který nemůže být diferencovaný materiálně. </w:t>
      </w:r>
      <w:r>
        <w:t xml:space="preserve">Protože tato </w:t>
      </w:r>
      <w:r w:rsidR="004B4D52" w:rsidRPr="004B4D52">
        <w:t>species</w:t>
      </w:r>
      <w:r>
        <w:t xml:space="preserve">-substance je individualizovaná skrze kosmickou </w:t>
      </w:r>
      <w:r w:rsidRPr="08706CBC">
        <w:rPr>
          <w:i/>
        </w:rPr>
        <w:t>materia prima</w:t>
      </w:r>
      <w:r>
        <w:t xml:space="preserve">, tak patří do sféry kosmických intelitegencí. </w:t>
      </w:r>
      <w:r w:rsidRPr="00273106">
        <w:t>Nová hypostáze je definovaná jako numericky jeden receptivní intelekt pro všechny lidi (</w:t>
      </w:r>
      <w:r w:rsidRPr="00273106">
        <w:rPr>
          <w:i/>
        </w:rPr>
        <w:t>unum et etiam universale</w:t>
      </w:r>
      <w:r w:rsidRPr="00273106">
        <w:t xml:space="preserve">). Výše citovaná pasáž spisu </w:t>
      </w:r>
      <w:r w:rsidRPr="00273106">
        <w:rPr>
          <w:i/>
        </w:rPr>
        <w:t>Contra Averroem</w:t>
      </w:r>
      <w:r w:rsidRPr="00273106">
        <w:t xml:space="preserve"> končí sofistickou obžalobou </w:t>
      </w:r>
      <w:r>
        <w:t>Averroes</w:t>
      </w:r>
      <w:r w:rsidRPr="00273106">
        <w:t xml:space="preserve">e, </w:t>
      </w:r>
      <w:r>
        <w:t>jež založila známý spor o averroismus</w:t>
      </w:r>
      <w:r w:rsidRPr="00273106">
        <w:t xml:space="preserve">. Filosofický otec </w:t>
      </w:r>
      <w:r>
        <w:t xml:space="preserve">latinských </w:t>
      </w:r>
      <w:r w:rsidRPr="00273106">
        <w:rPr>
          <w:i/>
        </w:rPr>
        <w:t>Modernorum</w:t>
      </w:r>
      <w:r w:rsidRPr="00273106">
        <w:t xml:space="preserve"> interpretuje </w:t>
      </w:r>
      <w:r>
        <w:t>Averroes</w:t>
      </w:r>
      <w:r w:rsidRPr="00273106">
        <w:t>e skrze Avicennu, místo aby kriticky četl Avicennu jako první averorismus</w:t>
      </w:r>
      <w:r>
        <w:t xml:space="preserve"> Blundovy školy</w:t>
      </w:r>
      <w:r w:rsidRPr="00273106">
        <w:t xml:space="preserve">, tedy skrze </w:t>
      </w:r>
      <w:r>
        <w:t>Averroes</w:t>
      </w:r>
      <w:r w:rsidRPr="00273106">
        <w:t xml:space="preserve">e. Shrňme aporetický výklad </w:t>
      </w:r>
      <w:r w:rsidRPr="00273106">
        <w:rPr>
          <w:i/>
        </w:rPr>
        <w:t>intellectus possibilis</w:t>
      </w:r>
      <w:r w:rsidRPr="00273106">
        <w:t xml:space="preserve">, který Rufus představil </w:t>
      </w:r>
      <w:r>
        <w:t xml:space="preserve">modernímu světu </w:t>
      </w:r>
      <w:r w:rsidRPr="00273106">
        <w:t xml:space="preserve">jako </w:t>
      </w:r>
      <w:r>
        <w:t>Averroesovo dilem</w:t>
      </w:r>
      <w:r w:rsidRPr="00273106">
        <w:t>a.</w:t>
      </w:r>
    </w:p>
    <w:p w14:paraId="68467678" w14:textId="2EC3BFFA" w:rsidR="088A517A" w:rsidRPr="00273106" w:rsidRDefault="088A517A" w:rsidP="088A517A">
      <w:pPr>
        <w:pStyle w:val="Citace"/>
        <w:rPr>
          <w:noProof/>
          <w:lang w:val="cs-CZ"/>
        </w:rPr>
      </w:pPr>
      <w:r w:rsidRPr="00273106">
        <w:rPr>
          <w:noProof/>
          <w:lang w:val="cs-CZ"/>
        </w:rPr>
        <w:t xml:space="preserve">„Takto došlo k tomu, že </w:t>
      </w:r>
      <w:r>
        <w:rPr>
          <w:noProof/>
          <w:lang w:val="cs-CZ"/>
        </w:rPr>
        <w:t>Averroes</w:t>
      </w:r>
      <w:r w:rsidRPr="00273106">
        <w:rPr>
          <w:noProof/>
          <w:lang w:val="cs-CZ"/>
        </w:rPr>
        <w:t xml:space="preserve"> racionálním výkladem dal možný intelekt do všech lidí jako univerzální a numericky jednotný, jak bylo řečeno výše. Postupoval podle výše uvedeného důvodu, protože bylo nutné postulovat numericky jeden možný intelekt, který </w:t>
      </w:r>
      <w:r>
        <w:rPr>
          <w:noProof/>
          <w:lang w:val="cs-CZ"/>
        </w:rPr>
        <w:t xml:space="preserve">by </w:t>
      </w:r>
      <w:r w:rsidRPr="00273106">
        <w:rPr>
          <w:noProof/>
          <w:lang w:val="cs-CZ"/>
        </w:rPr>
        <w:t xml:space="preserve">byl dán ve všech lidech jako univerzálie. Jinak by se lišil v jednotlivcích vzhledem </w:t>
      </w:r>
      <w:r>
        <w:rPr>
          <w:noProof/>
          <w:lang w:val="cs-CZ"/>
        </w:rPr>
        <w:t xml:space="preserve">ke své numerické individuaci, která by byla v rozporu s jeho jednotou jako </w:t>
      </w:r>
      <w:r w:rsidR="004B4D52" w:rsidRPr="004B4D52">
        <w:rPr>
          <w:noProof/>
          <w:lang w:val="cs-CZ"/>
        </w:rPr>
        <w:t>species</w:t>
      </w:r>
      <w:r w:rsidRPr="00273106">
        <w:rPr>
          <w:noProof/>
          <w:lang w:val="cs-CZ"/>
        </w:rPr>
        <w:t xml:space="preserve">. </w:t>
      </w:r>
      <w:r w:rsidR="08FF76D2">
        <w:rPr>
          <w:noProof/>
          <w:lang w:val="cs-CZ"/>
        </w:rPr>
        <w:t xml:space="preserve">Pak by byl tento intelekt </w:t>
      </w:r>
      <w:r w:rsidR="08BD4FC7">
        <w:rPr>
          <w:noProof/>
          <w:lang w:val="cs-CZ"/>
        </w:rPr>
        <w:t xml:space="preserve">dán </w:t>
      </w:r>
      <w:r w:rsidR="08FF76D2">
        <w:rPr>
          <w:noProof/>
          <w:lang w:val="cs-CZ"/>
        </w:rPr>
        <w:t xml:space="preserve">jinak v jednotlivci a jinak jako </w:t>
      </w:r>
      <w:r w:rsidR="004B4D52" w:rsidRPr="004B4D52">
        <w:rPr>
          <w:noProof/>
          <w:lang w:val="cs-CZ"/>
        </w:rPr>
        <w:t>species</w:t>
      </w:r>
      <w:r>
        <w:rPr>
          <w:noProof/>
          <w:lang w:val="cs-CZ"/>
        </w:rPr>
        <w:t>.</w:t>
      </w:r>
      <w:r w:rsidR="00DC14E9">
        <w:rPr>
          <w:noProof/>
          <w:lang w:val="cs-CZ"/>
        </w:rPr>
        <w:t>..</w:t>
      </w:r>
      <w:r w:rsidRPr="00273106">
        <w:rPr>
          <w:noProof/>
          <w:lang w:val="cs-CZ"/>
        </w:rPr>
        <w:t>“ </w:t>
      </w:r>
      <w:r w:rsidRPr="00273106">
        <w:rPr>
          <w:rStyle w:val="Znakapoznpodarou"/>
          <w:noProof/>
          <w:lang w:val="cs-CZ"/>
        </w:rPr>
        <w:footnoteReference w:id="458"/>
      </w:r>
    </w:p>
    <w:p w14:paraId="2A9471C8" w14:textId="76B1F542" w:rsidR="000A4971" w:rsidRDefault="088A517A" w:rsidP="00B0554A">
      <w:r w:rsidRPr="00273106">
        <w:t xml:space="preserve">Rufus nastolil falešné dilema </w:t>
      </w:r>
      <w:r>
        <w:t>numericky jednoho</w:t>
      </w:r>
      <w:r w:rsidRPr="00273106">
        <w:t xml:space="preserve"> </w:t>
      </w:r>
      <w:r>
        <w:t xml:space="preserve">kosmického </w:t>
      </w:r>
      <w:r w:rsidRPr="00273106">
        <w:rPr>
          <w:i/>
        </w:rPr>
        <w:t>intellectus possibilis</w:t>
      </w:r>
      <w:r>
        <w:rPr>
          <w:i/>
        </w:rPr>
        <w:t xml:space="preserve"> </w:t>
      </w:r>
      <w:r>
        <w:t>daného v modu univerzálního hylemorfismu</w:t>
      </w:r>
      <w:r w:rsidR="00F4517A">
        <w:t xml:space="preserve">. Tento moderní intelekt </w:t>
      </w:r>
      <w:r>
        <w:t xml:space="preserve">se v nás </w:t>
      </w:r>
      <w:r w:rsidRPr="00273106">
        <w:t>individualiz</w:t>
      </w:r>
      <w:r>
        <w:t>uje skrze myto</w:t>
      </w:r>
      <w:r w:rsidR="00F4517A">
        <w:t xml:space="preserve">logickou, a tedy plně objektivní </w:t>
      </w:r>
      <w:r>
        <w:t xml:space="preserve">kopulaci. </w:t>
      </w:r>
      <w:r w:rsidRPr="00273106">
        <w:t xml:space="preserve">Jen univerzální druh numericky jednoho intelektu </w:t>
      </w:r>
      <w:r>
        <w:t xml:space="preserve">ve všech lidech </w:t>
      </w:r>
      <w:r w:rsidRPr="00273106">
        <w:t>(</w:t>
      </w:r>
      <w:r w:rsidRPr="00273106">
        <w:rPr>
          <w:i/>
        </w:rPr>
        <w:t>in nobis omnibus unum et etiam universale</w:t>
      </w:r>
      <w:r>
        <w:t xml:space="preserve">) může </w:t>
      </w:r>
      <w:r w:rsidRPr="00273106">
        <w:t xml:space="preserve">podle Rufuse poznávat nemateriální </w:t>
      </w:r>
      <w:r w:rsidR="004B4D52" w:rsidRPr="004B4D52">
        <w:t>species</w:t>
      </w:r>
      <w:r>
        <w:rPr>
          <w:i/>
        </w:rPr>
        <w:fldChar w:fldCharType="begin"/>
      </w:r>
      <w:r>
        <w:instrText xml:space="preserve"> XE "</w:instrText>
      </w:r>
      <w:r w:rsidRPr="00A94442">
        <w:rPr>
          <w:i/>
        </w:rPr>
        <w:instrText>species specialissima</w:instrText>
      </w:r>
      <w:r>
        <w:instrText xml:space="preserve">" </w:instrText>
      </w:r>
      <w:r>
        <w:rPr>
          <w:i/>
        </w:rPr>
        <w:fldChar w:fldCharType="end"/>
      </w:r>
      <w:r w:rsidRPr="00273106">
        <w:t xml:space="preserve">. </w:t>
      </w:r>
      <w:r>
        <w:t>Averroes</w:t>
      </w:r>
      <w:r w:rsidRPr="00273106">
        <w:t xml:space="preserve">ův </w:t>
      </w:r>
      <w:r w:rsidRPr="00273106">
        <w:rPr>
          <w:i/>
        </w:rPr>
        <w:t>intellectus possibilis</w:t>
      </w:r>
      <w:r w:rsidRPr="00273106">
        <w:t xml:space="preserve"> </w:t>
      </w:r>
      <w:r>
        <w:t xml:space="preserve">je ale </w:t>
      </w:r>
      <w:r w:rsidRPr="00273106">
        <w:t xml:space="preserve">podle </w:t>
      </w:r>
      <w:r>
        <w:t>Averroes</w:t>
      </w:r>
      <w:r w:rsidRPr="00273106">
        <w:t>e jak univerzální, tak i individuální</w:t>
      </w:r>
      <w:r>
        <w:t xml:space="preserve">, což jasně dosvědčuje CMDA v modu </w:t>
      </w:r>
      <w:r w:rsidRPr="006914B3">
        <w:rPr>
          <w:i/>
        </w:rPr>
        <w:t>ter</w:t>
      </w:r>
      <w:r>
        <w:rPr>
          <w:i/>
        </w:rPr>
        <w:t>ti</w:t>
      </w:r>
      <w:r w:rsidRPr="006914B3">
        <w:rPr>
          <w:i/>
        </w:rPr>
        <w:t>um</w:t>
      </w:r>
      <w:r>
        <w:t xml:space="preserve"> a </w:t>
      </w:r>
      <w:r w:rsidRPr="006914B3">
        <w:rPr>
          <w:i/>
        </w:rPr>
        <w:t xml:space="preserve">quartum </w:t>
      </w:r>
      <w:r w:rsidR="00B1298A">
        <w:rPr>
          <w:i/>
        </w:rPr>
        <w:t>genus</w:t>
      </w:r>
      <w:r>
        <w:rPr>
          <w:i/>
        </w:rPr>
        <w:fldChar w:fldCharType="begin"/>
      </w:r>
      <w:r>
        <w:instrText xml:space="preserve"> XE "</w:instrText>
      </w:r>
      <w:r w:rsidRPr="00191848">
        <w:rPr>
          <w:i/>
        </w:rPr>
        <w:instrText>quartum genus</w:instrText>
      </w:r>
      <w:r>
        <w:instrText xml:space="preserve">" </w:instrText>
      </w:r>
      <w:r>
        <w:rPr>
          <w:i/>
        </w:rPr>
        <w:fldChar w:fldCharType="end"/>
      </w:r>
      <w:r w:rsidRPr="00273106">
        <w:t>. Obojí podle Rufuse nejde, protože materiální intelekt determinovaný smysly není podle něj schopen recipovat a syntetizovat univerzální pojem.</w:t>
      </w:r>
      <w:r>
        <w:t xml:space="preserve"> Viz výše citované oddělení obou složek poznání s odkazem na Boethia (</w:t>
      </w:r>
      <w:r w:rsidRPr="00273106">
        <w:rPr>
          <w:i/>
        </w:rPr>
        <w:t>universale est cum intelligitur, particulare cum sentitur</w:t>
      </w:r>
      <w:r>
        <w:t>).</w:t>
      </w:r>
      <w:r w:rsidRPr="00273106">
        <w:t xml:space="preserve"> Druhý averroismus odmítnul </w:t>
      </w:r>
      <w:r>
        <w:t xml:space="preserve">definovat </w:t>
      </w:r>
      <w:r w:rsidRPr="00273106">
        <w:t xml:space="preserve">receptivní </w:t>
      </w:r>
      <w:r>
        <w:t xml:space="preserve">nemateriální </w:t>
      </w:r>
      <w:r w:rsidRPr="00273106">
        <w:t xml:space="preserve">intelekt </w:t>
      </w:r>
      <w:r>
        <w:t xml:space="preserve">daný v modu </w:t>
      </w:r>
      <w:r w:rsidRPr="086B0D3C">
        <w:rPr>
          <w:i/>
        </w:rPr>
        <w:t>inmixtus</w:t>
      </w:r>
      <w:r>
        <w:t xml:space="preserve"> jako součást existující osoby</w:t>
      </w:r>
      <w:r w:rsidR="00CA0559">
        <w:t xml:space="preserve">. Ale to </w:t>
      </w:r>
      <w:r>
        <w:t xml:space="preserve">je definice </w:t>
      </w:r>
      <w:r w:rsidRPr="00273106">
        <w:rPr>
          <w:i/>
        </w:rPr>
        <w:t>intellectus possibilis</w:t>
      </w:r>
      <w:r w:rsidRPr="00273106">
        <w:t xml:space="preserve"> </w:t>
      </w:r>
      <w:r>
        <w:t xml:space="preserve">jako </w:t>
      </w:r>
      <w:r w:rsidRPr="00DB673E">
        <w:rPr>
          <w:i/>
        </w:rPr>
        <w:t xml:space="preserve">tertium </w:t>
      </w:r>
      <w:r w:rsidR="00B1298A">
        <w:rPr>
          <w:i/>
        </w:rPr>
        <w:t>genus</w:t>
      </w:r>
      <w:r>
        <w:rPr>
          <w:i/>
        </w:rPr>
        <w:fldChar w:fldCharType="begin"/>
      </w:r>
      <w:r>
        <w:instrText xml:space="preserve"> XE "</w:instrText>
      </w:r>
      <w:r w:rsidRPr="00A86151">
        <w:rPr>
          <w:i/>
        </w:rPr>
        <w:instrText>tertium genus</w:instrText>
      </w:r>
      <w:r>
        <w:instrText xml:space="preserve">" </w:instrText>
      </w:r>
      <w:r>
        <w:rPr>
          <w:i/>
        </w:rPr>
        <w:fldChar w:fldCharType="end"/>
      </w:r>
      <w:r>
        <w:t xml:space="preserve"> podle CMDA</w:t>
      </w:r>
      <w:r w:rsidRPr="00273106">
        <w:t>. Podle Rufuse n</w:t>
      </w:r>
      <w:r>
        <w:t xml:space="preserve">emůže hypostázovaný intelekt jako jedna nemateriální </w:t>
      </w:r>
      <w:r w:rsidR="004B4D52" w:rsidRPr="004B4D52">
        <w:t>species</w:t>
      </w:r>
      <w:r>
        <w:t xml:space="preserve"> existovat ve dvou substančních podobách současně, protože univerzální kosmická substance není totéž jako individuální lidská substance. </w:t>
      </w:r>
      <w:r w:rsidR="00752D61" w:rsidRPr="00273106">
        <w:t>Podle citovaného textu by se lišil</w:t>
      </w:r>
      <w:r w:rsidR="00752D61">
        <w:t>a</w:t>
      </w:r>
      <w:r w:rsidR="00752D61" w:rsidRPr="00273106">
        <w:t xml:space="preserve"> nemateriální </w:t>
      </w:r>
      <w:r w:rsidR="00752D61" w:rsidRPr="004B4D52">
        <w:t>species</w:t>
      </w:r>
      <w:r w:rsidR="00752D61">
        <w:t xml:space="preserve"> od její</w:t>
      </w:r>
      <w:r w:rsidR="00752D61" w:rsidRPr="00273106">
        <w:t xml:space="preserve"> individuální materiální aktualizace (</w:t>
      </w:r>
      <w:r w:rsidR="00752D61" w:rsidRPr="00273106">
        <w:rPr>
          <w:i/>
        </w:rPr>
        <w:t>in singulis diversis individuis numero et specie differre</w:t>
      </w:r>
      <w:r w:rsidR="00752D61" w:rsidRPr="00273106">
        <w:t>).</w:t>
      </w:r>
      <w:r w:rsidR="00752D61">
        <w:t xml:space="preserve"> </w:t>
      </w:r>
      <w:r>
        <w:t xml:space="preserve">Pak platí, že </w:t>
      </w:r>
      <w:r w:rsidRPr="00273106">
        <w:rPr>
          <w:i/>
        </w:rPr>
        <w:t>intellectus possibilis</w:t>
      </w:r>
      <w:r w:rsidRPr="00273106">
        <w:t xml:space="preserve"> </w:t>
      </w:r>
      <w:r>
        <w:t xml:space="preserve">nemůže být současně jako individuální receptivní schopnost hylemorficky založeného </w:t>
      </w:r>
      <w:r w:rsidRPr="00273106">
        <w:t>člověka</w:t>
      </w:r>
      <w:r>
        <w:t xml:space="preserve"> a přitom zajišťovat u</w:t>
      </w:r>
      <w:r w:rsidRPr="00273106">
        <w:t xml:space="preserve">niverzální poznání </w:t>
      </w:r>
      <w:r w:rsidR="00644B2E">
        <w:t xml:space="preserve">nemateriálních forem </w:t>
      </w:r>
      <w:r>
        <w:t>dan</w:t>
      </w:r>
      <w:r w:rsidR="00644B2E">
        <w:t xml:space="preserve">ých </w:t>
      </w:r>
      <w:r>
        <w:t xml:space="preserve">v modu </w:t>
      </w:r>
      <w:r w:rsidRPr="0002381B">
        <w:rPr>
          <w:i/>
        </w:rPr>
        <w:t>inmixtus</w:t>
      </w:r>
      <w:r>
        <w:t xml:space="preserve"> na úrovni kosmické substance. </w:t>
      </w:r>
      <w:r w:rsidRPr="00273106">
        <w:t xml:space="preserve">Zavedení </w:t>
      </w:r>
      <w:r>
        <w:t xml:space="preserve">individuálního </w:t>
      </w:r>
      <w:r w:rsidRPr="00273106">
        <w:rPr>
          <w:i/>
        </w:rPr>
        <w:t xml:space="preserve">intellectus possibilis </w:t>
      </w:r>
      <w:r w:rsidRPr="00273106">
        <w:t xml:space="preserve">by prý způsobilo rozkol v pojetí člověka. Lišil by se hylemorfický statut individua daný materiálně a univerzální </w:t>
      </w:r>
      <w:r>
        <w:t xml:space="preserve">poznání  našich </w:t>
      </w:r>
      <w:r w:rsidR="004B4D52" w:rsidRPr="004B4D52">
        <w:t>species</w:t>
      </w:r>
      <w:r>
        <w:t xml:space="preserve">, které by přestaly být univerzální </w:t>
      </w:r>
      <w:r w:rsidRPr="00273106">
        <w:t>(</w:t>
      </w:r>
      <w:r w:rsidRPr="00273106">
        <w:rPr>
          <w:i/>
        </w:rPr>
        <w:t>essemus et nos specie differentes</w:t>
      </w:r>
      <w:r w:rsidRPr="00273106">
        <w:t xml:space="preserve">). </w:t>
      </w:r>
      <w:r>
        <w:t xml:space="preserve">Rufus odmítl klíčovou část CMDA, tedy existenciální výkon </w:t>
      </w:r>
      <w:r w:rsidRPr="085D5A7F">
        <w:rPr>
          <w:i/>
        </w:rPr>
        <w:t>intellectus possibilis</w:t>
      </w:r>
      <w:r>
        <w:t xml:space="preserve"> daný v osobě.  Místo existence osoby dosadil do schématu averroistickou „exsistenci“ jedné hypostáze, která se skrze univerzální hylemorfismus individualizuje v konkrétním jednotlivci. První averroismus namítl, že neexistuje ani kosmický </w:t>
      </w:r>
      <w:r w:rsidRPr="00273106">
        <w:rPr>
          <w:i/>
        </w:rPr>
        <w:t>intellectus possibilis</w:t>
      </w:r>
      <w:r>
        <w:t>, ani jeho kopulace</w:t>
      </w:r>
      <w:r w:rsidR="00F27A46">
        <w:t xml:space="preserve"> v lidské duši</w:t>
      </w:r>
      <w:r>
        <w:t xml:space="preserve">, ani moderní individuum dané jako </w:t>
      </w:r>
      <w:r w:rsidR="00F27A46">
        <w:t xml:space="preserve">Rufusovo </w:t>
      </w:r>
      <w:r w:rsidRPr="08756619">
        <w:rPr>
          <w:i/>
        </w:rPr>
        <w:t>concretum</w:t>
      </w:r>
      <w:r>
        <w:t>, an</w:t>
      </w:r>
      <w:r w:rsidR="00F27A46">
        <w:t>i poznatek daný jako porretánská</w:t>
      </w:r>
      <w:r>
        <w:t xml:space="preserve"> </w:t>
      </w:r>
      <w:r w:rsidR="004B4D52" w:rsidRPr="004B4D52">
        <w:t>species</w:t>
      </w:r>
      <w:r>
        <w:t xml:space="preserve"> třetího druhu. Prostě a jednoduše: svět Moderních neexistuje, protož</w:t>
      </w:r>
      <w:r w:rsidR="000A4971">
        <w:t>e je to přímo kosmický nesmysl.</w:t>
      </w:r>
    </w:p>
    <w:p w14:paraId="3B990A6F" w14:textId="77777777" w:rsidR="000210B5" w:rsidRDefault="088A517A" w:rsidP="008978EB">
      <w:pPr>
        <w:ind w:firstLine="397"/>
      </w:pPr>
      <w:r>
        <w:t>Proto Bacon prohlásil Rufuse za šíleného myslitele. První modernista kuriózním výkladem změnil Averroese na averroistu.</w:t>
      </w:r>
      <w:r w:rsidR="08613E02">
        <w:t xml:space="preserve"> </w:t>
      </w:r>
      <w:r w:rsidR="0875745B">
        <w:t xml:space="preserve">Rufusův </w:t>
      </w:r>
      <w:r w:rsidR="083229A1">
        <w:t>a</w:t>
      </w:r>
      <w:r w:rsidR="00D42E60">
        <w:t>verroistický Averroes má zásadně dualistický scénář poznání, na rozdíl od litery CMDA.</w:t>
      </w:r>
      <w:r w:rsidR="08956A81">
        <w:t xml:space="preserve"> P</w:t>
      </w:r>
      <w:r w:rsidR="00D42E60">
        <w:t xml:space="preserve">odobný spor o statut lidského intelektu v modu </w:t>
      </w:r>
      <w:r w:rsidR="00D42E60" w:rsidRPr="009C25B2">
        <w:rPr>
          <w:i/>
        </w:rPr>
        <w:t>separatus</w:t>
      </w:r>
      <w:r w:rsidR="00D42E60">
        <w:t xml:space="preserve"> nebo </w:t>
      </w:r>
      <w:r w:rsidR="00D42E60" w:rsidRPr="009C25B2">
        <w:rPr>
          <w:i/>
        </w:rPr>
        <w:t>separabilis</w:t>
      </w:r>
      <w:r w:rsidR="00D42E60">
        <w:t xml:space="preserve"> </w:t>
      </w:r>
      <w:r w:rsidR="00D42E60">
        <w:fldChar w:fldCharType="begin"/>
      </w:r>
      <w:r w:rsidR="00D42E60">
        <w:instrText xml:space="preserve"> XE "intelekt:</w:instrText>
      </w:r>
      <w:r w:rsidR="00D42E60" w:rsidRPr="008E31F8">
        <w:rPr>
          <w:i/>
        </w:rPr>
        <w:instrText>separabilis</w:instrText>
      </w:r>
      <w:r w:rsidR="00D42E60">
        <w:instrText>/</w:instrText>
      </w:r>
      <w:r w:rsidR="00D42E60" w:rsidRPr="008E31F8">
        <w:rPr>
          <w:i/>
        </w:rPr>
        <w:instrText>separatus</w:instrText>
      </w:r>
      <w:r w:rsidR="00D42E60">
        <w:instrText xml:space="preserve">" </w:instrText>
      </w:r>
      <w:r w:rsidR="00D42E60">
        <w:fldChar w:fldCharType="end"/>
      </w:r>
      <w:r w:rsidR="00D42E60">
        <w:t>povede brilantní Siger proti s</w:t>
      </w:r>
      <w:r w:rsidR="08956A81">
        <w:t xml:space="preserve">emiaverroistovi Akvinskému </w:t>
      </w:r>
      <w:r w:rsidR="00D42E60">
        <w:t>v rámci škol</w:t>
      </w:r>
      <w:r w:rsidR="084E026F">
        <w:t>y prvního averroismu (</w:t>
      </w:r>
      <w:r w:rsidR="08BF6973">
        <w:t>OBJ III, kap. 4</w:t>
      </w:r>
      <w:r w:rsidR="084E026F">
        <w:t>.4.2</w:t>
      </w:r>
      <w:r w:rsidR="00D42E60">
        <w:t xml:space="preserve">). </w:t>
      </w:r>
      <w:r w:rsidR="001B599D">
        <w:t>Receptivní intelekt daný jako porretánská substance třetího druhu zůstal univerzálně receptivní pro všechny a pro nikoho</w:t>
      </w:r>
      <w:r w:rsidR="00910BC6">
        <w:t xml:space="preserve">; </w:t>
      </w:r>
      <w:r w:rsidR="001B599D">
        <w:t>je současně materiální i nemateriální</w:t>
      </w:r>
      <w:r w:rsidR="00910BC6">
        <w:t xml:space="preserve">; </w:t>
      </w:r>
      <w:r w:rsidR="001B599D">
        <w:t xml:space="preserve">funguje numericky-univerzálně a porretánsky-individuálně. </w:t>
      </w:r>
      <w:r w:rsidR="00142E57">
        <w:t>Sofisté vytvořili moderní objektivní formu intelektu tím, že oba koncepty spojili do jedné substance třetího druhu, které dali oddělený charakter v substančním modu kosmického intektu (</w:t>
      </w:r>
      <w:r w:rsidR="00142E57" w:rsidRPr="000F4910">
        <w:rPr>
          <w:i/>
        </w:rPr>
        <w:t>inmixtus</w:t>
      </w:r>
      <w:r w:rsidR="00142E57">
        <w:t xml:space="preserve">). </w:t>
      </w:r>
      <w:r w:rsidR="004C49AA">
        <w:t xml:space="preserve">Averroistický scénář moderny </w:t>
      </w:r>
      <w:r w:rsidR="0804227E">
        <w:t xml:space="preserve">musel v </w:t>
      </w:r>
      <w:r w:rsidR="004C49AA">
        <w:t>interpret</w:t>
      </w:r>
      <w:r w:rsidR="0804227E">
        <w:t xml:space="preserve">aci </w:t>
      </w:r>
      <w:r w:rsidR="004C49AA">
        <w:t>akt</w:t>
      </w:r>
      <w:r w:rsidR="0804227E">
        <w:t>u</w:t>
      </w:r>
      <w:r w:rsidR="004C49AA">
        <w:t xml:space="preserve"> poznání po </w:t>
      </w:r>
      <w:r w:rsidR="0804227E">
        <w:t xml:space="preserve">roce </w:t>
      </w:r>
      <w:r w:rsidR="004C49AA">
        <w:t xml:space="preserve">1230 </w:t>
      </w:r>
      <w:r w:rsidR="0804227E">
        <w:t>reagovat na recepci</w:t>
      </w:r>
      <w:r w:rsidR="004C49AA">
        <w:t xml:space="preserve"> CMDA podle Sicilské školy</w:t>
      </w:r>
      <w:r w:rsidR="004C49AA">
        <w:fldChar w:fldCharType="begin"/>
      </w:r>
      <w:r w:rsidR="004C49AA">
        <w:instrText xml:space="preserve"> XE "</w:instrText>
      </w:r>
      <w:r w:rsidR="004A155A">
        <w:instrText>Sicilská škola</w:instrText>
      </w:r>
      <w:r w:rsidR="004C49AA">
        <w:instrText xml:space="preserve">" </w:instrText>
      </w:r>
      <w:r w:rsidR="004C49AA">
        <w:fldChar w:fldCharType="end"/>
      </w:r>
      <w:r w:rsidR="0804227E">
        <w:t>.</w:t>
      </w:r>
      <w:r w:rsidR="004C49AA">
        <w:t xml:space="preserve"> </w:t>
      </w:r>
      <w:r w:rsidR="0804227E">
        <w:t xml:space="preserve">Ta </w:t>
      </w:r>
      <w:r w:rsidR="004C49AA">
        <w:t>přesně oddělila výkon porozumění (</w:t>
      </w:r>
      <w:r w:rsidR="004C49AA" w:rsidRPr="007E383E">
        <w:rPr>
          <w:i/>
        </w:rPr>
        <w:t xml:space="preserve">tertium </w:t>
      </w:r>
      <w:r w:rsidR="00B1298A">
        <w:rPr>
          <w:i/>
        </w:rPr>
        <w:t>genus</w:t>
      </w:r>
      <w:r w:rsidR="004C49AA">
        <w:t>)</w:t>
      </w:r>
      <w:r w:rsidR="004C49AA" w:rsidRPr="007E383E">
        <w:rPr>
          <w:i/>
        </w:rPr>
        <w:t xml:space="preserve"> </w:t>
      </w:r>
      <w:r w:rsidR="004C49AA">
        <w:t>a oddělila jej od intelektu jako abstrahované univerzálie dané jako koncept v mysli (</w:t>
      </w:r>
      <w:r w:rsidR="004C49AA" w:rsidRPr="007E383E">
        <w:rPr>
          <w:i/>
        </w:rPr>
        <w:t xml:space="preserve">quartum </w:t>
      </w:r>
      <w:r w:rsidR="00B1298A">
        <w:rPr>
          <w:i/>
        </w:rPr>
        <w:t>genus</w:t>
      </w:r>
      <w:r w:rsidR="004C49AA">
        <w:rPr>
          <w:i/>
        </w:rPr>
        <w:fldChar w:fldCharType="begin"/>
      </w:r>
      <w:r w:rsidR="004C49AA">
        <w:instrText xml:space="preserve"> XE "</w:instrText>
      </w:r>
      <w:r w:rsidR="004C49AA" w:rsidRPr="00AF011B">
        <w:rPr>
          <w:i/>
        </w:rPr>
        <w:instrText>quartum genus</w:instrText>
      </w:r>
      <w:r w:rsidR="004C49AA">
        <w:instrText xml:space="preserve">" </w:instrText>
      </w:r>
      <w:r w:rsidR="004C49AA">
        <w:rPr>
          <w:i/>
        </w:rPr>
        <w:fldChar w:fldCharType="end"/>
      </w:r>
      <w:r w:rsidR="004C49AA">
        <w:t>). Rufus v odpovědi na Sicilskou školu navrhl kolem roku 1235 spojení obou oddělených hypostází v podobě akcidentálního spojení (</w:t>
      </w:r>
      <w:r w:rsidR="004C49AA" w:rsidRPr="009F63B6">
        <w:rPr>
          <w:i/>
        </w:rPr>
        <w:t>copulatio</w:t>
      </w:r>
      <w:r w:rsidR="004C49AA">
        <w:t>)</w:t>
      </w:r>
      <w:r w:rsidR="0060127D">
        <w:t xml:space="preserve">. </w:t>
      </w:r>
      <w:r w:rsidR="0060127D" w:rsidRPr="0060127D">
        <w:t xml:space="preserve">Samostatný možný intelekt jako kosmická forma byl individualizován Dinantovou kosmickou </w:t>
      </w:r>
      <w:r w:rsidR="0060127D" w:rsidRPr="0060127D">
        <w:rPr>
          <w:i/>
        </w:rPr>
        <w:t>materia prima</w:t>
      </w:r>
      <w:r w:rsidR="0060127D" w:rsidRPr="0060127D">
        <w:t xml:space="preserve">. Připojil se k subjektivní schopnosti intelektuální recepce, která byla individualizována podle Avicebronovy </w:t>
      </w:r>
      <w:r w:rsidR="0060127D" w:rsidRPr="0060127D">
        <w:rPr>
          <w:i/>
        </w:rPr>
        <w:t>materia spiritualis</w:t>
      </w:r>
      <w:r w:rsidR="0060127D" w:rsidRPr="0060127D">
        <w:t>.</w:t>
      </w:r>
      <w:r w:rsidR="0060127D">
        <w:t xml:space="preserve"> </w:t>
      </w:r>
      <w:r w:rsidR="08A57B75">
        <w:t>Poznávací subjekt moderny přestal být hylemorfickou osobu</w:t>
      </w:r>
      <w:r w:rsidR="08755073">
        <w:t xml:space="preserve">, protože jedna část byla z podstaty takto dané kopulace </w:t>
      </w:r>
      <w:r w:rsidR="087E2A15">
        <w:t>dinantovsky-</w:t>
      </w:r>
      <w:r w:rsidR="0060127D">
        <w:t xml:space="preserve">heretická. </w:t>
      </w:r>
      <w:r w:rsidR="08A47DE6">
        <w:t>Moderní paranoia daná vzhledem k rozumové definici čl</w:t>
      </w:r>
      <w:r w:rsidR="00B91D80">
        <w:t xml:space="preserve">ověka dostala doslova kosmický, </w:t>
      </w:r>
      <w:r w:rsidR="08A47DE6">
        <w:t xml:space="preserve">a proto </w:t>
      </w:r>
      <w:r w:rsidR="0060127D">
        <w:t xml:space="preserve">zcela </w:t>
      </w:r>
      <w:r w:rsidR="00B91D80">
        <w:t>tragi</w:t>
      </w:r>
      <w:r w:rsidR="08A47DE6">
        <w:t xml:space="preserve">komický charakter. </w:t>
      </w:r>
      <w:r w:rsidR="08490E26">
        <w:t>A</w:t>
      </w:r>
      <w:r w:rsidR="08613E02" w:rsidRPr="00273106">
        <w:t xml:space="preserve">verroistický </w:t>
      </w:r>
      <w:r w:rsidR="08613E02" w:rsidRPr="00273106">
        <w:rPr>
          <w:i/>
        </w:rPr>
        <w:t>intellectus possibilis</w:t>
      </w:r>
      <w:r w:rsidR="08613E02" w:rsidRPr="00273106">
        <w:t xml:space="preserve"> </w:t>
      </w:r>
      <w:r w:rsidR="08490E26">
        <w:t xml:space="preserve">je </w:t>
      </w:r>
      <w:r w:rsidR="08613E02" w:rsidRPr="00273106">
        <w:t xml:space="preserve">daný jako univoční a univerzální </w:t>
      </w:r>
      <w:r w:rsidR="004B4D52" w:rsidRPr="004B4D52">
        <w:t>species</w:t>
      </w:r>
      <w:r w:rsidR="08490E26">
        <w:t xml:space="preserve">. Tento intelekt </w:t>
      </w:r>
      <w:r w:rsidR="08613E02">
        <w:t xml:space="preserve">poznává </w:t>
      </w:r>
      <w:r w:rsidR="08490E26">
        <w:t>skrze receptivitu</w:t>
      </w:r>
      <w:r w:rsidR="08613E02" w:rsidRPr="00273106">
        <w:t xml:space="preserve"> </w:t>
      </w:r>
      <w:r w:rsidR="08490E26">
        <w:t xml:space="preserve">danou jako konjunkce kosmického </w:t>
      </w:r>
      <w:r w:rsidR="08490E26" w:rsidRPr="00273106">
        <w:rPr>
          <w:i/>
        </w:rPr>
        <w:t>intellectus possibilis</w:t>
      </w:r>
      <w:r w:rsidR="08490E26" w:rsidRPr="00273106">
        <w:t xml:space="preserve"> </w:t>
      </w:r>
      <w:r w:rsidR="08613E02">
        <w:t xml:space="preserve">se stejně danou individuální formou </w:t>
      </w:r>
      <w:r w:rsidR="08613E02" w:rsidRPr="00273106">
        <w:rPr>
          <w:i/>
        </w:rPr>
        <w:t>intellectus</w:t>
      </w:r>
      <w:r w:rsidR="08613E02">
        <w:rPr>
          <w:i/>
        </w:rPr>
        <w:t xml:space="preserve"> materialis</w:t>
      </w:r>
      <w:r w:rsidR="08490E26">
        <w:t xml:space="preserve"> v člověku.</w:t>
      </w:r>
      <w:r w:rsidR="08D97C35">
        <w:t xml:space="preserve"> </w:t>
      </w:r>
      <w:r w:rsidR="08490E26">
        <w:t>I</w:t>
      </w:r>
      <w:r w:rsidR="08613E02">
        <w:t xml:space="preserve">ndividualizace </w:t>
      </w:r>
      <w:r w:rsidR="08490E26">
        <w:t xml:space="preserve">kosmického receptivního intelektu v člověku </w:t>
      </w:r>
      <w:r w:rsidR="08613E02">
        <w:t xml:space="preserve">je dána </w:t>
      </w:r>
      <w:r w:rsidR="08490E26">
        <w:t>skrze spirituální materii</w:t>
      </w:r>
      <w:r w:rsidR="08613E02">
        <w:t xml:space="preserve">, která </w:t>
      </w:r>
      <w:r w:rsidR="005644A0">
        <w:t>se přidala k Themistiově a Avicennově</w:t>
      </w:r>
      <w:r w:rsidR="08613E02">
        <w:t xml:space="preserve"> </w:t>
      </w:r>
      <w:r w:rsidR="005644A0">
        <w:t xml:space="preserve">konceptu </w:t>
      </w:r>
      <w:r w:rsidR="08613E02" w:rsidRPr="089F0982">
        <w:rPr>
          <w:i/>
        </w:rPr>
        <w:t>intellectus materialis</w:t>
      </w:r>
      <w:r w:rsidR="08613E02">
        <w:t xml:space="preserve">. </w:t>
      </w:r>
      <w:r w:rsidR="00A80E84">
        <w:t xml:space="preserve">Po dokonaném aktu mystické konjunkce či akademické kopulace </w:t>
      </w:r>
      <w:r w:rsidR="08613E02">
        <w:t>t</w:t>
      </w:r>
      <w:r w:rsidR="00A80E84">
        <w:t>a</w:t>
      </w:r>
      <w:r w:rsidR="08613E02">
        <w:t xml:space="preserve">to dvě simulákra </w:t>
      </w:r>
      <w:r w:rsidR="08D97C35">
        <w:t xml:space="preserve">možného a materiálního intelektu poznávají </w:t>
      </w:r>
      <w:r w:rsidR="08613E02" w:rsidRPr="00273106">
        <w:t xml:space="preserve">nemateriální subsistentní </w:t>
      </w:r>
      <w:r w:rsidR="004B4D52" w:rsidRPr="004B4D52">
        <w:t>species</w:t>
      </w:r>
      <w:r w:rsidR="08613E02">
        <w:t xml:space="preserve"> daná jako jsoucna třetího druhu</w:t>
      </w:r>
      <w:r w:rsidR="08613E02" w:rsidRPr="00273106">
        <w:t xml:space="preserve">. </w:t>
      </w:r>
      <w:r w:rsidR="08613E02">
        <w:t xml:space="preserve">První modernista definuje numerickou identitu </w:t>
      </w:r>
      <w:r w:rsidR="08613E02" w:rsidRPr="00273106">
        <w:t>r</w:t>
      </w:r>
      <w:r w:rsidR="08613E02">
        <w:t>eceptivního intelektu danou konjunkcí tří neexistujících substancí-</w:t>
      </w:r>
      <w:r w:rsidR="004B4D52" w:rsidRPr="004B4D52">
        <w:t>species</w:t>
      </w:r>
      <w:r w:rsidR="08613E02">
        <w:t xml:space="preserve">. </w:t>
      </w:r>
      <w:r w:rsidR="08ED7B9C">
        <w:t>Tímto způsobem byl znovu obnoven Dinantův pantheismus</w:t>
      </w:r>
      <w:r w:rsidR="08D86417">
        <w:t xml:space="preserve"> </w:t>
      </w:r>
      <w:r w:rsidR="005342B3">
        <w:t xml:space="preserve">jako </w:t>
      </w:r>
      <w:r w:rsidR="08D86417">
        <w:t>averro</w:t>
      </w:r>
      <w:r w:rsidR="08ED7B9C">
        <w:t>i</w:t>
      </w:r>
      <w:r w:rsidR="08D86417">
        <w:t>sti</w:t>
      </w:r>
      <w:r w:rsidR="08ED7B9C">
        <w:t xml:space="preserve">cky pojatý intelekt, což bylo v Paříži absolutně neakceptovatelné. </w:t>
      </w:r>
      <w:r w:rsidR="08613E02">
        <w:t xml:space="preserve">Albert tento nesmysl odmítl komentovat a Bacon považoval Rufuse za akademického šílence. </w:t>
      </w:r>
      <w:r w:rsidR="08DE3597">
        <w:t>A pařížský biskup Alvernus musel zcela oficiálně zakázat nauku o odděleném intelekt</w:t>
      </w:r>
      <w:r w:rsidR="000210B5">
        <w:t>u v člověku na půdě univerzity.</w:t>
      </w:r>
    </w:p>
    <w:p w14:paraId="2F412DCB" w14:textId="339127D7" w:rsidR="001234B6" w:rsidRDefault="08BF38E2" w:rsidP="007C6E7D">
      <w:pPr>
        <w:ind w:firstLine="397"/>
      </w:pPr>
      <w:r>
        <w:t>Ruf</w:t>
      </w:r>
      <w:r w:rsidR="08B61BEA">
        <w:t>us založil dualismus</w:t>
      </w:r>
      <w:r w:rsidR="0883311C">
        <w:t xml:space="preserve"> moderního Individua</w:t>
      </w:r>
      <w:r w:rsidR="08B61BEA">
        <w:t>,</w:t>
      </w:r>
      <w:r w:rsidR="0883311C">
        <w:t xml:space="preserve"> které</w:t>
      </w:r>
      <w:r w:rsidR="08B61BEA">
        <w:t xml:space="preserve"> se skládá se spojení dvou simuláker</w:t>
      </w:r>
      <w:r w:rsidR="084A5526">
        <w:t xml:space="preserve">. Na jedné straně stojí neexistující objektivní mysl a na druhé straně je neexistující moderní tělo. Ilumináti vytvořili nové vidění světa založené na neexistujícím subjektu. Jeho </w:t>
      </w:r>
      <w:r w:rsidR="08B762D8">
        <w:t xml:space="preserve">intelekt </w:t>
      </w:r>
      <w:r w:rsidR="084A5526">
        <w:t>se nachází s avicenistickým „létajícím mužem“ ve sféře</w:t>
      </w:r>
      <w:r w:rsidR="08042EDF">
        <w:t xml:space="preserve"> věčných kosmických intelektů. T</w:t>
      </w:r>
      <w:r w:rsidR="084A5526">
        <w:t xml:space="preserve">ato soběstačná </w:t>
      </w:r>
      <w:r w:rsidR="08B762D8">
        <w:t xml:space="preserve">kosmická inteligence </w:t>
      </w:r>
      <w:r w:rsidR="08652EC6">
        <w:t xml:space="preserve">sestoupí </w:t>
      </w:r>
      <w:r w:rsidR="084A5526">
        <w:t xml:space="preserve">skrze gnoseologickou kopulaci do mytopoetického těla. To přebývá v chaotické sublunární sféře, čili téměř v podsvětí. </w:t>
      </w:r>
      <w:r>
        <w:t xml:space="preserve">Kopulace těchto dvou mytopoetických entit není snadná věc. Dnes zaměstnává spoustu západních akademických institucí, které pod vedením Fúrií úspěšně </w:t>
      </w:r>
      <w:r w:rsidR="08B762D8">
        <w:t xml:space="preserve">participují na </w:t>
      </w:r>
      <w:r>
        <w:t>moderní</w:t>
      </w:r>
      <w:r w:rsidR="007C6E7D">
        <w:t xml:space="preserve"> verzi akademických </w:t>
      </w:r>
      <w:r w:rsidR="08B762D8">
        <w:t>mystéri</w:t>
      </w:r>
      <w:r w:rsidR="007C6E7D">
        <w:t>í</w:t>
      </w:r>
      <w:r w:rsidR="081F3DEC">
        <w:t xml:space="preserve">. Tyto </w:t>
      </w:r>
      <w:r w:rsidR="007C6E7D">
        <w:t xml:space="preserve">hrátky </w:t>
      </w:r>
      <w:r w:rsidR="082937E5">
        <w:t xml:space="preserve">moderního ducha </w:t>
      </w:r>
      <w:r w:rsidR="081F3DEC">
        <w:t>byly p</w:t>
      </w:r>
      <w:r w:rsidR="08B762D8">
        <w:t>oprvé slaven</w:t>
      </w:r>
      <w:r w:rsidR="081F3DEC">
        <w:t xml:space="preserve">y </w:t>
      </w:r>
      <w:r>
        <w:t>v</w:t>
      </w:r>
      <w:r w:rsidR="081F3DEC">
        <w:t> </w:t>
      </w:r>
      <w:r>
        <w:t>Oxfordu</w:t>
      </w:r>
      <w:r w:rsidR="081F3DEC">
        <w:t xml:space="preserve"> a odmítnuty v Paříži</w:t>
      </w:r>
      <w:r>
        <w:t xml:space="preserve">. </w:t>
      </w:r>
      <w:r w:rsidR="084A2CC1">
        <w:t xml:space="preserve">Pod vedením příslušných hierofantů </w:t>
      </w:r>
      <w:r w:rsidR="08494411">
        <w:t xml:space="preserve">po celém světě </w:t>
      </w:r>
      <w:r w:rsidR="084A2CC1">
        <w:t xml:space="preserve">se dnes slaví nižší akademická mystéria </w:t>
      </w:r>
      <w:r w:rsidR="0837201E">
        <w:t>(</w:t>
      </w:r>
      <w:r w:rsidR="0837201E" w:rsidRPr="08C53AEC">
        <w:t>ὄργια</w:t>
      </w:r>
      <w:r w:rsidR="0837201E">
        <w:t xml:space="preserve">, </w:t>
      </w:r>
      <w:r w:rsidR="0837201E" w:rsidRPr="084A2CC1">
        <w:rPr>
          <w:i/>
        </w:rPr>
        <w:t>conferentia</w:t>
      </w:r>
      <w:r w:rsidR="0837201E">
        <w:t xml:space="preserve">) </w:t>
      </w:r>
      <w:r w:rsidR="084A2CC1">
        <w:t>této objektivní mytopoetické a božské komedi</w:t>
      </w:r>
      <w:r w:rsidR="08494411">
        <w:t>e</w:t>
      </w:r>
      <w:r w:rsidR="084A2CC1">
        <w:t xml:space="preserve">. </w:t>
      </w:r>
      <w:r>
        <w:t xml:space="preserve">Epoptickou vizi konjunkce chtónického těla, osvíceného ducha a objektivního diakosmu na této </w:t>
      </w:r>
      <w:r w:rsidRPr="0845569E">
        <w:rPr>
          <w:i/>
        </w:rPr>
        <w:t>alma mater</w:t>
      </w:r>
      <w:r>
        <w:t xml:space="preserve"> modernismu poprvé celebroval objektivní iluminát Rufus. Ale citovaný výklad </w:t>
      </w:r>
      <w:r w:rsidRPr="08644B84">
        <w:rPr>
          <w:i/>
        </w:rPr>
        <w:t>De anima</w:t>
      </w:r>
      <w:r>
        <w:t xml:space="preserve"> a </w:t>
      </w:r>
      <w:r w:rsidR="0009691B">
        <w:t xml:space="preserve">hlavně </w:t>
      </w:r>
      <w:r>
        <w:t xml:space="preserve">spis </w:t>
      </w:r>
      <w:r w:rsidRPr="08644B84">
        <w:rPr>
          <w:i/>
        </w:rPr>
        <w:t>Contra Averroem</w:t>
      </w:r>
      <w:r>
        <w:t xml:space="preserve"> byl asi </w:t>
      </w:r>
      <w:r w:rsidR="0009691B">
        <w:t xml:space="preserve">publikovaný až </w:t>
      </w:r>
      <w:r>
        <w:t>v Paříži</w:t>
      </w:r>
      <w:r w:rsidR="082937E5">
        <w:t xml:space="preserve"> </w:t>
      </w:r>
      <w:r w:rsidR="0009691B">
        <w:t>okolo roku 1240</w:t>
      </w:r>
      <w:r>
        <w:t xml:space="preserve">. </w:t>
      </w:r>
      <w:r w:rsidR="08A424CC">
        <w:t xml:space="preserve">Moderní averroisté koncipovali </w:t>
      </w:r>
      <w:r w:rsidR="08A424CC" w:rsidRPr="00774B95">
        <w:rPr>
          <w:i/>
        </w:rPr>
        <w:t>intellectus possibilis</w:t>
      </w:r>
      <w:r w:rsidR="08A424CC">
        <w:t xml:space="preserve"> jako porretánskou substanci spojenou s hypostázovanou materií podle Avicebrona</w:t>
      </w:r>
      <w:r w:rsidR="08A424CC" w:rsidRPr="00273106">
        <w:t xml:space="preserve">. Rufus </w:t>
      </w:r>
      <w:r w:rsidR="08A424CC">
        <w:t xml:space="preserve">společně s </w:t>
      </w:r>
      <w:r w:rsidR="08A424CC" w:rsidRPr="00273106">
        <w:t>oxfordským magistrem Adamem z Buckfieldu</w:t>
      </w:r>
      <w:r w:rsidR="08A424CC">
        <w:t xml:space="preserve"> zavedli </w:t>
      </w:r>
      <w:r w:rsidR="08A424CC" w:rsidRPr="00273106">
        <w:t>princip plura</w:t>
      </w:r>
      <w:r w:rsidR="082937E5">
        <w:t>lity substancí v člověku (kap. 3</w:t>
      </w:r>
      <w:r w:rsidR="08A424CC" w:rsidRPr="00273106">
        <w:t xml:space="preserve">.2). </w:t>
      </w:r>
      <w:r w:rsidR="00D22136">
        <w:t>Toto řešení považoval první averroismus za naprosto mylné</w:t>
      </w:r>
      <w:r w:rsidR="00880214">
        <w:t xml:space="preserve"> </w:t>
      </w:r>
      <w:r w:rsidR="08980E8D">
        <w:t xml:space="preserve">a směšné </w:t>
      </w:r>
      <w:r w:rsidR="00880214">
        <w:t>(Alvernus, Albert)</w:t>
      </w:r>
      <w:r w:rsidR="089402C0">
        <w:t xml:space="preserve"> nebo přímo </w:t>
      </w:r>
      <w:r w:rsidR="00880214">
        <w:t>šílené a heretické (Bacon)</w:t>
      </w:r>
      <w:r w:rsidR="00627328">
        <w:t xml:space="preserve">. Pak by </w:t>
      </w:r>
      <w:r w:rsidR="005128D3">
        <w:t xml:space="preserve">zmizelo </w:t>
      </w:r>
      <w:r w:rsidR="005B0301">
        <w:t>univerzální</w:t>
      </w:r>
      <w:r w:rsidR="005128D3">
        <w:t xml:space="preserve"> poznání</w:t>
      </w:r>
      <w:r w:rsidR="080207D9" w:rsidRPr="00273106">
        <w:t xml:space="preserve"> </w:t>
      </w:r>
      <w:r w:rsidR="005128D3">
        <w:t xml:space="preserve">boha a světa </w:t>
      </w:r>
      <w:r w:rsidR="080207D9" w:rsidRPr="00273106">
        <w:t>ve smyslu Aristotelem požadové receptivity duše (</w:t>
      </w:r>
      <w:r w:rsidR="080207D9" w:rsidRPr="00273106">
        <w:rPr>
          <w:rStyle w:val="st"/>
          <w:bCs/>
          <w:i/>
        </w:rPr>
        <w:t>anima</w:t>
      </w:r>
      <w:r w:rsidR="080207D9" w:rsidRPr="00273106">
        <w:rPr>
          <w:rStyle w:val="st"/>
          <w:i/>
        </w:rPr>
        <w:t xml:space="preserve"> est </w:t>
      </w:r>
      <w:r w:rsidR="080207D9" w:rsidRPr="00273106">
        <w:rPr>
          <w:rStyle w:val="st"/>
          <w:bCs/>
          <w:i/>
        </w:rPr>
        <w:t>quodammodo omnia</w:t>
      </w:r>
      <w:r w:rsidR="080207D9" w:rsidRPr="00273106">
        <w:t>)</w:t>
      </w:r>
      <w:r w:rsidR="00273A7A">
        <w:t xml:space="preserve"> a člověk by přestal existovat jako morální instance odpovědná bohu za své skutky</w:t>
      </w:r>
      <w:r w:rsidR="00917715" w:rsidRPr="00273106">
        <w:t>.</w:t>
      </w:r>
      <w:r w:rsidR="089B3C65" w:rsidRPr="00273106">
        <w:t xml:space="preserve"> </w:t>
      </w:r>
      <w:r w:rsidR="08270935">
        <w:t>Takovou nauku nemohl připustit ani biskup Alvernus v Paříži ani Grosseteste</w:t>
      </w:r>
      <w:r w:rsidR="085F5D43">
        <w:t xml:space="preserve"> jako biskup </w:t>
      </w:r>
      <w:r w:rsidR="08270935">
        <w:t xml:space="preserve">v Lincolnu. </w:t>
      </w:r>
      <w:r w:rsidR="08F33017">
        <w:t xml:space="preserve">Po </w:t>
      </w:r>
      <w:r w:rsidR="08D7432E">
        <w:t xml:space="preserve">zavedení moderního dualismu do osoby a po </w:t>
      </w:r>
      <w:r w:rsidR="08F33017">
        <w:t xml:space="preserve">smrti </w:t>
      </w:r>
      <w:r w:rsidR="005B0301">
        <w:t xml:space="preserve">moderního boha </w:t>
      </w:r>
      <w:r w:rsidR="08D7432E">
        <w:t>nás tento problém už netrápí. N</w:t>
      </w:r>
      <w:r w:rsidR="005B0301">
        <w:t>ástup totalitní</w:t>
      </w:r>
      <w:r w:rsidR="082B44C3">
        <w:t>ch režimů</w:t>
      </w:r>
      <w:r w:rsidR="0090153C">
        <w:fldChar w:fldCharType="begin"/>
      </w:r>
      <w:r w:rsidR="0090153C">
        <w:instrText xml:space="preserve"> XE "</w:instrText>
      </w:r>
      <w:r w:rsidR="0090153C" w:rsidRPr="00FA5670">
        <w:instrText>Arendt, H.</w:instrText>
      </w:r>
      <w:r w:rsidR="0090153C">
        <w:instrText xml:space="preserve">" </w:instrText>
      </w:r>
      <w:r w:rsidR="0090153C">
        <w:fldChar w:fldCharType="end"/>
      </w:r>
      <w:r w:rsidR="082B44C3">
        <w:t xml:space="preserve"> </w:t>
      </w:r>
      <w:r w:rsidR="08D7432E">
        <w:t xml:space="preserve">pod vedením ideologicky zdatných Fúrií </w:t>
      </w:r>
      <w:r w:rsidR="082B44C3">
        <w:t>v nihilistickém obdob</w:t>
      </w:r>
      <w:r w:rsidR="005B0301">
        <w:t>í metafyziky to jen potvrdil.</w:t>
      </w:r>
      <w:r w:rsidR="084F1BDA">
        <w:rPr>
          <w:rStyle w:val="Znakapoznpodarou"/>
          <w:szCs w:val="24"/>
          <w:lang w:val="de-DE"/>
        </w:rPr>
        <w:footnoteReference w:id="459"/>
      </w:r>
      <w:r w:rsidR="005B0301">
        <w:t xml:space="preserve"> </w:t>
      </w:r>
      <w:r w:rsidR="000D1625">
        <w:t>Ú</w:t>
      </w:r>
      <w:r w:rsidR="08A818CC" w:rsidRPr="00273106">
        <w:t>to</w:t>
      </w:r>
      <w:r w:rsidR="000D1625">
        <w:t xml:space="preserve">k na </w:t>
      </w:r>
      <w:r w:rsidR="002E3B62">
        <w:t>Averroes</w:t>
      </w:r>
      <w:r w:rsidR="000D1625">
        <w:t>e, který vedla škola</w:t>
      </w:r>
      <w:r w:rsidR="00865089">
        <w:t xml:space="preserve"> latinských sofistů formovaná v prostředí </w:t>
      </w:r>
      <w:r w:rsidR="00865089" w:rsidRPr="00865089">
        <w:rPr>
          <w:i/>
        </w:rPr>
        <w:t>Oxfordian Fallacy</w:t>
      </w:r>
      <w:r w:rsidR="000D1625">
        <w:t xml:space="preserve">, </w:t>
      </w:r>
      <w:r w:rsidR="00C93194" w:rsidRPr="00273106">
        <w:t>představoval nevyhn</w:t>
      </w:r>
      <w:r w:rsidR="0034026B">
        <w:t xml:space="preserve">utelný následek mylného pojetí </w:t>
      </w:r>
      <w:r w:rsidR="00774B95">
        <w:t xml:space="preserve">receptivního </w:t>
      </w:r>
      <w:r w:rsidR="0034026B">
        <w:t>intelektu</w:t>
      </w:r>
      <w:r w:rsidR="00774B95">
        <w:t xml:space="preserve">. </w:t>
      </w:r>
      <w:r w:rsidR="08EB4319">
        <w:t xml:space="preserve">Spor o averroistický výklad Averroese vznikl po příchodu oxfordských bakalářů do Paříže kolem roku 1240, což dosvědčují shodně </w:t>
      </w:r>
      <w:r w:rsidR="08FD28E0">
        <w:t xml:space="preserve">Alvernus, </w:t>
      </w:r>
      <w:r w:rsidR="08EB4319">
        <w:t>Albert a především</w:t>
      </w:r>
      <w:r w:rsidR="08FD28E0">
        <w:t xml:space="preserve"> Bacon</w:t>
      </w:r>
      <w:r w:rsidR="08EB4319" w:rsidRPr="00273106">
        <w:t xml:space="preserve">. Správně vyložený spis CMDA všechny aporie </w:t>
      </w:r>
      <w:r w:rsidR="08EB4319">
        <w:t xml:space="preserve">těchto </w:t>
      </w:r>
      <w:r w:rsidR="08EB4319" w:rsidRPr="00273106">
        <w:rPr>
          <w:i/>
        </w:rPr>
        <w:t>Modernorum</w:t>
      </w:r>
      <w:r w:rsidR="08EB4319" w:rsidRPr="00273106">
        <w:t xml:space="preserve"> odstranil, a tím je usvědčil z omylu. </w:t>
      </w:r>
      <w:r w:rsidR="00706404" w:rsidRPr="00273106">
        <w:t xml:space="preserve">Tento </w:t>
      </w:r>
      <w:r w:rsidR="00550ECE">
        <w:t xml:space="preserve">fatální omyl </w:t>
      </w:r>
      <w:r w:rsidR="00706404" w:rsidRPr="00273106">
        <w:t xml:space="preserve">viděli všichni </w:t>
      </w:r>
      <w:r w:rsidR="005E4FA3">
        <w:t xml:space="preserve">vrcholní </w:t>
      </w:r>
      <w:r w:rsidR="00706404" w:rsidRPr="00273106">
        <w:t>představitelé prvního averroismu</w:t>
      </w:r>
      <w:r w:rsidR="007D0F80">
        <w:t xml:space="preserve"> kolem 1235‒</w:t>
      </w:r>
      <w:r w:rsidR="0098485D">
        <w:t>5</w:t>
      </w:r>
      <w:r w:rsidR="005E4FA3">
        <w:t>0</w:t>
      </w:r>
      <w:r w:rsidR="00550ECE">
        <w:t>, ale odmítl jej vidět Akvinský o dekádu později</w:t>
      </w:r>
      <w:r w:rsidR="009459B8">
        <w:t xml:space="preserve"> (</w:t>
      </w:r>
      <w:r w:rsidR="08FA69B5">
        <w:t>OBJ III, kap. 4</w:t>
      </w:r>
      <w:r w:rsidR="009459B8">
        <w:t>.5.1)</w:t>
      </w:r>
      <w:r w:rsidR="0079579E">
        <w:t xml:space="preserve">. </w:t>
      </w:r>
      <w:r w:rsidR="00EF6BE5" w:rsidRPr="00273106">
        <w:t>Pařížští znalci prvního averroismu museli bránit aut</w:t>
      </w:r>
      <w:r w:rsidR="001D0753">
        <w:t xml:space="preserve">entickou </w:t>
      </w:r>
      <w:r w:rsidR="002E3B62">
        <w:t>Averroes</w:t>
      </w:r>
      <w:r w:rsidR="001D0753">
        <w:t>ovu nauku</w:t>
      </w:r>
      <w:r w:rsidR="00EE261A">
        <w:t xml:space="preserve"> o jednotě poznání a osoby</w:t>
      </w:r>
      <w:r w:rsidR="00EA08E0">
        <w:t xml:space="preserve">, protože </w:t>
      </w:r>
      <w:r w:rsidR="00874074">
        <w:t>neoplatonsk</w:t>
      </w:r>
      <w:r w:rsidR="001152F3">
        <w:t xml:space="preserve">ý výklad </w:t>
      </w:r>
      <w:r w:rsidR="00EA08E0">
        <w:t xml:space="preserve">Aristotela </w:t>
      </w:r>
      <w:r w:rsidR="001D4735">
        <w:t xml:space="preserve">podle Avicenny </w:t>
      </w:r>
      <w:r w:rsidR="001152F3">
        <w:t xml:space="preserve">ohrožoval </w:t>
      </w:r>
      <w:r w:rsidR="00EA08E0">
        <w:t xml:space="preserve">samotné </w:t>
      </w:r>
      <w:r w:rsidR="001152F3">
        <w:t>základy křesťanského myšlení</w:t>
      </w:r>
      <w:r w:rsidR="001D0753">
        <w:t xml:space="preserve">. </w:t>
      </w:r>
      <w:r w:rsidR="000430D1" w:rsidRPr="00273106">
        <w:t>Moderní porretáni na Oxford</w:t>
      </w:r>
      <w:r w:rsidR="08052412">
        <w:t xml:space="preserve">u chápali receptivní intelekt </w:t>
      </w:r>
      <w:r w:rsidR="000430D1" w:rsidRPr="00273106">
        <w:rPr>
          <w:i/>
        </w:rPr>
        <w:t>De anima</w:t>
      </w:r>
      <w:r w:rsidR="000430D1" w:rsidRPr="00273106">
        <w:t xml:space="preserve"> podle modu </w:t>
      </w:r>
      <w:r w:rsidR="000430D1" w:rsidRPr="00273106">
        <w:rPr>
          <w:i/>
        </w:rPr>
        <w:t>discrete videamus</w:t>
      </w:r>
      <w:r w:rsidR="000430D1">
        <w:rPr>
          <w:i/>
        </w:rPr>
        <w:fldChar w:fldCharType="begin"/>
      </w:r>
      <w:r w:rsidR="000430D1">
        <w:instrText xml:space="preserve"> XE "</w:instrText>
      </w:r>
      <w:r w:rsidR="000430D1" w:rsidRPr="00E90B20">
        <w:rPr>
          <w:i/>
        </w:rPr>
        <w:instrText>discrete videamus</w:instrText>
      </w:r>
      <w:r w:rsidR="000430D1">
        <w:instrText xml:space="preserve">" </w:instrText>
      </w:r>
      <w:r w:rsidR="000430D1">
        <w:rPr>
          <w:i/>
        </w:rPr>
        <w:fldChar w:fldCharType="end"/>
      </w:r>
      <w:r w:rsidR="000430D1">
        <w:t>, tedy jako separovanou</w:t>
      </w:r>
      <w:r w:rsidR="000430D1" w:rsidRPr="00273106">
        <w:t xml:space="preserve"> nemateriální </w:t>
      </w:r>
      <w:r w:rsidR="004B4D52" w:rsidRPr="004B4D52">
        <w:t>species</w:t>
      </w:r>
      <w:r w:rsidR="000430D1">
        <w:t xml:space="preserve"> oddělenou</w:t>
      </w:r>
      <w:r w:rsidR="000430D1" w:rsidRPr="00273106">
        <w:t xml:space="preserve"> od smys</w:t>
      </w:r>
      <w:r w:rsidR="000430D1">
        <w:t>lově-materiálního poznání</w:t>
      </w:r>
      <w:r w:rsidR="000430D1" w:rsidRPr="00273106">
        <w:t xml:space="preserve">. Esencialismus Rufuse ovlivněného Avicennou a Avicebronem nemůže vidět skutečnou hru poznání, kterou </w:t>
      </w:r>
      <w:r w:rsidR="08277D12">
        <w:t>vyložily</w:t>
      </w:r>
      <w:r w:rsidR="000430D1" w:rsidRPr="00273106">
        <w:t xml:space="preserve"> předešl</w:t>
      </w:r>
      <w:r w:rsidR="08277D12">
        <w:t>é kapitoly</w:t>
      </w:r>
      <w:r w:rsidR="000430D1" w:rsidRPr="00273106">
        <w:t xml:space="preserve"> věnovan</w:t>
      </w:r>
      <w:r w:rsidR="08277D12">
        <w:t>é</w:t>
      </w:r>
      <w:r w:rsidR="000430D1" w:rsidRPr="00273106">
        <w:t xml:space="preserve"> prvnímu averroismu.</w:t>
      </w:r>
      <w:r w:rsidR="000430D1" w:rsidRPr="000430D1">
        <w:t xml:space="preserve"> </w:t>
      </w:r>
      <w:r w:rsidR="000430D1">
        <w:t xml:space="preserve">Spor o objektivní povahu intelektu daného jako </w:t>
      </w:r>
      <w:r w:rsidR="000430D1" w:rsidRPr="00770F6A">
        <w:rPr>
          <w:i/>
        </w:rPr>
        <w:t>tertium ens</w:t>
      </w:r>
      <w:r w:rsidR="000430D1">
        <w:t xml:space="preserve"> nutně rozpoutal</w:t>
      </w:r>
      <w:r w:rsidR="000430D1" w:rsidRPr="00273106">
        <w:t xml:space="preserve"> </w:t>
      </w:r>
      <w:r w:rsidR="000430D1">
        <w:t xml:space="preserve">také první </w:t>
      </w:r>
      <w:r w:rsidR="000430D1" w:rsidRPr="00273106">
        <w:t>kolo sporu</w:t>
      </w:r>
      <w:r w:rsidR="000430D1">
        <w:t xml:space="preserve"> o výklad </w:t>
      </w:r>
      <w:r w:rsidR="000430D1" w:rsidRPr="00522347">
        <w:rPr>
          <w:i/>
        </w:rPr>
        <w:t>De anima</w:t>
      </w:r>
      <w:r w:rsidR="000430D1">
        <w:t xml:space="preserve"> v letech 1240‒50, kterému předsedal </w:t>
      </w:r>
      <w:r w:rsidR="00C22E41">
        <w:t xml:space="preserve">brilantní aristotelik a moudrý </w:t>
      </w:r>
      <w:r w:rsidR="000430D1">
        <w:t>biskup Alvernus.</w:t>
      </w:r>
    </w:p>
    <w:p w14:paraId="282E2048" w14:textId="20113ABE" w:rsidR="0060377A" w:rsidRDefault="00F62F30" w:rsidP="0060377A">
      <w:pPr>
        <w:ind w:firstLine="397"/>
      </w:pPr>
      <w:r w:rsidRPr="00273106">
        <w:t xml:space="preserve">Rufus </w:t>
      </w:r>
      <w:r w:rsidR="0817760B" w:rsidRPr="00273106">
        <w:t xml:space="preserve">vytvořil </w:t>
      </w:r>
      <w:r w:rsidRPr="00273106">
        <w:t>jednostranným komentá</w:t>
      </w:r>
      <w:r w:rsidR="0885723E" w:rsidRPr="00273106">
        <w:t xml:space="preserve">řem plným </w:t>
      </w:r>
      <w:r w:rsidRPr="00273106">
        <w:t>sofist</w:t>
      </w:r>
      <w:r w:rsidR="0885723E" w:rsidRPr="00273106">
        <w:t xml:space="preserve">iky </w:t>
      </w:r>
      <w:r w:rsidR="08105915">
        <w:t>averroistického</w:t>
      </w:r>
      <w:r w:rsidR="009669F9">
        <w:t xml:space="preserve"> </w:t>
      </w:r>
      <w:r w:rsidR="002E3B62">
        <w:t>Averroes</w:t>
      </w:r>
      <w:r w:rsidR="009669F9">
        <w:t xml:space="preserve">e a tím založil </w:t>
      </w:r>
      <w:r w:rsidR="004206E9">
        <w:t xml:space="preserve">pojetí </w:t>
      </w:r>
      <w:r w:rsidR="08B87EB3">
        <w:t xml:space="preserve">objektivního </w:t>
      </w:r>
      <w:r w:rsidR="08B87EB3" w:rsidRPr="00273106">
        <w:rPr>
          <w:i/>
        </w:rPr>
        <w:t>intellectus possibilis</w:t>
      </w:r>
      <w:r w:rsidR="0050014D">
        <w:t>. Tento averroistický intelekt „exsistuje“</w:t>
      </w:r>
      <w:r w:rsidR="00D96A42">
        <w:t xml:space="preserve"> </w:t>
      </w:r>
      <w:r w:rsidR="00E606FD">
        <w:t xml:space="preserve">jako jsoucno třetího druhu </w:t>
      </w:r>
      <w:r w:rsidR="004206E9">
        <w:t>v modu moderního dualismu</w:t>
      </w:r>
      <w:r w:rsidR="005F5276">
        <w:t xml:space="preserve"> mezi smysly a </w:t>
      </w:r>
      <w:r w:rsidR="00071009">
        <w:t xml:space="preserve">mezi </w:t>
      </w:r>
      <w:r w:rsidR="005F5276">
        <w:t xml:space="preserve">substančním intelektem daným jako hypostázovaná porretánská </w:t>
      </w:r>
      <w:r w:rsidR="005F5276" w:rsidRPr="005F5276">
        <w:rPr>
          <w:i/>
        </w:rPr>
        <w:t>res</w:t>
      </w:r>
      <w:r w:rsidR="009669F9">
        <w:t>.</w:t>
      </w:r>
      <w:r w:rsidR="0817760B" w:rsidRPr="00273106">
        <w:t xml:space="preserve"> </w:t>
      </w:r>
      <w:r w:rsidR="003B2FA4">
        <w:t xml:space="preserve">Do </w:t>
      </w:r>
      <w:r w:rsidR="003B2FA4" w:rsidRPr="00273106">
        <w:t xml:space="preserve">dějin myšlení </w:t>
      </w:r>
      <w:r w:rsidR="003B2FA4">
        <w:t xml:space="preserve">přišlo </w:t>
      </w:r>
      <w:r w:rsidR="00BE4B97">
        <w:t xml:space="preserve">nové </w:t>
      </w:r>
      <w:r w:rsidR="003B2FA4" w:rsidRPr="00273106">
        <w:rPr>
          <w:i/>
        </w:rPr>
        <w:t>scibile</w:t>
      </w:r>
      <w:r w:rsidR="003B2FA4" w:rsidRPr="00273106">
        <w:t xml:space="preserve"> moderny ve smyslu </w:t>
      </w:r>
      <w:r w:rsidR="00BE4B97">
        <w:t>p</w:t>
      </w:r>
      <w:r w:rsidR="008E02F5">
        <w:t>laton</w:t>
      </w:r>
      <w:r w:rsidR="003B2FA4" w:rsidRPr="00273106">
        <w:t>ského simulákra</w:t>
      </w:r>
      <w:r w:rsidR="009650A4">
        <w:fldChar w:fldCharType="begin"/>
      </w:r>
      <w:r w:rsidR="009650A4">
        <w:instrText xml:space="preserve"> XE "</w:instrText>
      </w:r>
      <w:r w:rsidR="009650A4" w:rsidRPr="00C2134D">
        <w:instrText>simulákrum</w:instrText>
      </w:r>
      <w:r w:rsidR="009650A4">
        <w:instrText xml:space="preserve">" </w:instrText>
      </w:r>
      <w:r w:rsidR="009650A4">
        <w:fldChar w:fldCharType="end"/>
      </w:r>
      <w:r w:rsidR="00BE4B97">
        <w:t xml:space="preserve"> známého z dialogu </w:t>
      </w:r>
      <w:r w:rsidR="00BE4B97" w:rsidRPr="00BE4B97">
        <w:rPr>
          <w:i/>
        </w:rPr>
        <w:t>Sofiste</w:t>
      </w:r>
      <w:r w:rsidR="003B2FA4" w:rsidRPr="00BE4B97">
        <w:rPr>
          <w:i/>
        </w:rPr>
        <w:t>s</w:t>
      </w:r>
      <w:r w:rsidR="003B2FA4" w:rsidRPr="00273106">
        <w:t>.</w:t>
      </w:r>
      <w:r w:rsidR="003B2FA4">
        <w:t xml:space="preserve"> </w:t>
      </w:r>
      <w:r w:rsidR="002E3B62">
        <w:t>Averroes</w:t>
      </w:r>
      <w:r w:rsidR="00BE4B97">
        <w:t xml:space="preserve"> se stal averroistou</w:t>
      </w:r>
      <w:r w:rsidR="08110399" w:rsidRPr="00273106">
        <w:t>, kterým nikdy nebyl a nemohl být</w:t>
      </w:r>
      <w:r w:rsidR="00D96A42">
        <w:t xml:space="preserve">, protože intelekt jako </w:t>
      </w:r>
      <w:r w:rsidR="00D96A42" w:rsidRPr="00D96A42">
        <w:rPr>
          <w:i/>
        </w:rPr>
        <w:t>tertium</w:t>
      </w:r>
      <w:r w:rsidR="00D96A42">
        <w:t xml:space="preserve"> a </w:t>
      </w:r>
      <w:r w:rsidR="00D96A42" w:rsidRPr="00D96A42">
        <w:rPr>
          <w:i/>
        </w:rPr>
        <w:t xml:space="preserve">quartum </w:t>
      </w:r>
      <w:r w:rsidR="00B1298A">
        <w:rPr>
          <w:i/>
        </w:rPr>
        <w:t>genus</w:t>
      </w:r>
      <w:r w:rsidR="00D96A42">
        <w:t xml:space="preserve"> jso</w:t>
      </w:r>
      <w:r w:rsidR="00D463AC">
        <w:t>u dvě metafyzicky zcela odlišné fenomény dané</w:t>
      </w:r>
      <w:r w:rsidR="00491DA0">
        <w:t xml:space="preserve"> v existenciálně v realitě nebo univerzálně v mysli</w:t>
      </w:r>
      <w:r w:rsidR="08110399" w:rsidRPr="00273106">
        <w:t>.</w:t>
      </w:r>
      <w:r w:rsidR="00A47403">
        <w:t xml:space="preserve"> </w:t>
      </w:r>
      <w:r w:rsidR="006F40C9">
        <w:t>S</w:t>
      </w:r>
      <w:r w:rsidR="006F40C9" w:rsidRPr="00273106">
        <w:t xml:space="preserve">ofisma </w:t>
      </w:r>
      <w:r w:rsidR="08105915">
        <w:t xml:space="preserve">oxfordských modernistů v modu </w:t>
      </w:r>
      <w:r w:rsidR="007B6C6B" w:rsidRPr="009F408F">
        <w:rPr>
          <w:i/>
        </w:rPr>
        <w:t>fallacia secundum quid et simpliciter</w:t>
      </w:r>
      <w:r w:rsidR="007B6C6B">
        <w:rPr>
          <w:i/>
        </w:rPr>
        <w:fldChar w:fldCharType="begin"/>
      </w:r>
      <w:r w:rsidR="007B6C6B">
        <w:instrText xml:space="preserve"> XE "</w:instrText>
      </w:r>
      <w:r w:rsidR="007B6C6B" w:rsidRPr="00027DD3">
        <w:rPr>
          <w:i/>
        </w:rPr>
        <w:instrText>fallacia secundum quid et simpliciter</w:instrText>
      </w:r>
      <w:r w:rsidR="007B6C6B">
        <w:instrText xml:space="preserve">" </w:instrText>
      </w:r>
      <w:r w:rsidR="007B6C6B">
        <w:rPr>
          <w:i/>
        </w:rPr>
        <w:fldChar w:fldCharType="end"/>
      </w:r>
      <w:r w:rsidR="007B6C6B">
        <w:rPr>
          <w:i/>
        </w:rPr>
        <w:t xml:space="preserve"> </w:t>
      </w:r>
      <w:r w:rsidR="00166327">
        <w:t>vyplývá</w:t>
      </w:r>
      <w:r w:rsidR="006F40C9" w:rsidRPr="00273106">
        <w:t xml:space="preserve"> z neznalosti skutečného průběhu poznání</w:t>
      </w:r>
      <w:r w:rsidR="007B6C6B">
        <w:t xml:space="preserve"> podle CMDA</w:t>
      </w:r>
      <w:r w:rsidR="084B7E1C">
        <w:t xml:space="preserve"> </w:t>
      </w:r>
      <w:r w:rsidR="084B7E1C" w:rsidRPr="084B7E1C">
        <w:rPr>
          <w:szCs w:val="24"/>
        </w:rPr>
        <w:t>(</w:t>
      </w:r>
      <w:r w:rsidR="084B7E1C" w:rsidRPr="084B7E1C">
        <w:rPr>
          <w:i/>
          <w:szCs w:val="24"/>
        </w:rPr>
        <w:t>secundum quid</w:t>
      </w:r>
      <w:r w:rsidR="084B7E1C" w:rsidRPr="084B7E1C">
        <w:rPr>
          <w:szCs w:val="24"/>
        </w:rPr>
        <w:t>)</w:t>
      </w:r>
      <w:r w:rsidR="00166327">
        <w:t xml:space="preserve">. Toto sofisma </w:t>
      </w:r>
      <w:r w:rsidR="00175D2D">
        <w:t>založilo epochální spor o averroismus</w:t>
      </w:r>
      <w:r w:rsidR="00166327">
        <w:t xml:space="preserve"> tím, že založilo </w:t>
      </w:r>
      <w:r w:rsidR="00BD1045">
        <w:t xml:space="preserve">první </w:t>
      </w:r>
      <w:r w:rsidR="00166327">
        <w:t>objektivní pojetí poznáva</w:t>
      </w:r>
      <w:r w:rsidR="00BD1045">
        <w:t>jí</w:t>
      </w:r>
      <w:r w:rsidR="00166327">
        <w:t>cího subjektu na latinském Západě</w:t>
      </w:r>
      <w:r w:rsidR="006F40C9" w:rsidRPr="00273106">
        <w:t xml:space="preserve">. </w:t>
      </w:r>
      <w:r w:rsidR="00BD1045">
        <w:t xml:space="preserve">Subjekt přestal být reálná existující osoba a stal se substancí třetího druhu s hypostázovaným receptivním intelektem </w:t>
      </w:r>
      <w:r w:rsidR="00A547C5">
        <w:t xml:space="preserve">třetího druhu </w:t>
      </w:r>
      <w:r w:rsidR="00BD1045">
        <w:t xml:space="preserve">nasvíceným zezadu, skrze oddělený </w:t>
      </w:r>
      <w:r w:rsidR="085B6136" w:rsidRPr="00273106">
        <w:rPr>
          <w:i/>
        </w:rPr>
        <w:t>intellectus possibilis</w:t>
      </w:r>
      <w:r w:rsidR="085B6136">
        <w:rPr>
          <w:i/>
        </w:rPr>
        <w:t xml:space="preserve"> </w:t>
      </w:r>
      <w:r w:rsidR="085B6136" w:rsidRPr="085B6136">
        <w:t>a</w:t>
      </w:r>
      <w:r w:rsidR="085B6136">
        <w:rPr>
          <w:i/>
        </w:rPr>
        <w:t xml:space="preserve"> agens</w:t>
      </w:r>
      <w:r w:rsidR="085B6136">
        <w:t xml:space="preserve"> dané jako kosmické</w:t>
      </w:r>
      <w:r w:rsidR="00A547C5">
        <w:t xml:space="preserve"> substance</w:t>
      </w:r>
      <w:r w:rsidR="085B6136">
        <w:t xml:space="preserve"> a </w:t>
      </w:r>
      <w:r w:rsidR="08762F9C">
        <w:t>odd</w:t>
      </w:r>
      <w:r w:rsidR="085B6136">
        <w:t>ě</w:t>
      </w:r>
      <w:r w:rsidR="08762F9C">
        <w:t>l</w:t>
      </w:r>
      <w:r w:rsidR="085B6136">
        <w:t>ené nemateriální formy</w:t>
      </w:r>
      <w:r w:rsidR="00BD1045">
        <w:t xml:space="preserve">. </w:t>
      </w:r>
      <w:r w:rsidR="007B0ED1">
        <w:t xml:space="preserve">Tento </w:t>
      </w:r>
      <w:r w:rsidR="00A47403" w:rsidRPr="00273106">
        <w:t>zmaten</w:t>
      </w:r>
      <w:r w:rsidR="007B0ED1">
        <w:t xml:space="preserve">ý </w:t>
      </w:r>
      <w:r w:rsidR="00A47403" w:rsidRPr="00273106">
        <w:t>averroistick</w:t>
      </w:r>
      <w:r w:rsidR="007B0ED1">
        <w:t xml:space="preserve">ý </w:t>
      </w:r>
      <w:r w:rsidR="00A47403" w:rsidRPr="00273106">
        <w:t xml:space="preserve">výklad </w:t>
      </w:r>
      <w:r w:rsidR="002E3B62">
        <w:t>Averroes</w:t>
      </w:r>
      <w:r w:rsidR="00753D9B">
        <w:t xml:space="preserve">e </w:t>
      </w:r>
      <w:r w:rsidR="00834C1E">
        <w:t xml:space="preserve">dokončil </w:t>
      </w:r>
      <w:r w:rsidR="00A47403" w:rsidRPr="00273106">
        <w:t>Rufus</w:t>
      </w:r>
      <w:r w:rsidR="007B0ED1">
        <w:t xml:space="preserve"> během svého prvního pobytu v Paříži</w:t>
      </w:r>
      <w:r w:rsidR="00A47403" w:rsidRPr="00273106">
        <w:t>, což dosvědčil a přesně doložil Bacon</w:t>
      </w:r>
      <w:r w:rsidR="00175D2D">
        <w:t xml:space="preserve"> (</w:t>
      </w:r>
      <w:r w:rsidR="00EC69EC" w:rsidRPr="00273106">
        <w:rPr>
          <w:i/>
          <w:szCs w:val="15"/>
        </w:rPr>
        <w:t xml:space="preserve">reprobatus </w:t>
      </w:r>
      <w:r w:rsidR="00EC69EC" w:rsidRPr="00273106">
        <w:rPr>
          <w:i/>
          <w:szCs w:val="14"/>
        </w:rPr>
        <w:t xml:space="preserve">Parisius </w:t>
      </w:r>
      <w:r w:rsidR="00EC69EC" w:rsidRPr="00273106">
        <w:rPr>
          <w:i/>
          <w:szCs w:val="15"/>
        </w:rPr>
        <w:t xml:space="preserve">propter </w:t>
      </w:r>
      <w:r w:rsidR="00EC69EC" w:rsidRPr="00273106">
        <w:rPr>
          <w:i/>
          <w:szCs w:val="14"/>
        </w:rPr>
        <w:t xml:space="preserve">errores </w:t>
      </w:r>
      <w:r w:rsidR="00EC69EC" w:rsidRPr="00273106">
        <w:rPr>
          <w:i/>
          <w:szCs w:val="16"/>
        </w:rPr>
        <w:t xml:space="preserve">quos </w:t>
      </w:r>
      <w:r w:rsidR="00EC69EC" w:rsidRPr="00273106">
        <w:rPr>
          <w:i/>
          <w:szCs w:val="14"/>
        </w:rPr>
        <w:t>invenerat</w:t>
      </w:r>
      <w:r w:rsidR="08FA69B5">
        <w:rPr>
          <w:szCs w:val="14"/>
        </w:rPr>
        <w:t>, kap. 3</w:t>
      </w:r>
      <w:r w:rsidR="00EC69EC" w:rsidRPr="00273106">
        <w:rPr>
          <w:szCs w:val="14"/>
        </w:rPr>
        <w:t>.2</w:t>
      </w:r>
      <w:r w:rsidR="000C2E9D">
        <w:t>)</w:t>
      </w:r>
      <w:r w:rsidR="00A47403" w:rsidRPr="00273106">
        <w:t>.</w:t>
      </w:r>
      <w:r w:rsidR="00A47403">
        <w:t xml:space="preserve"> </w:t>
      </w:r>
      <w:r w:rsidR="00A47403" w:rsidRPr="00273106">
        <w:t xml:space="preserve">Není divu, že známí představitelé prvního averroismu s klasickým filosofickým vzděláním </w:t>
      </w:r>
      <w:r w:rsidR="08105915">
        <w:t xml:space="preserve">v Blundově škole </w:t>
      </w:r>
      <w:r w:rsidR="00A47403" w:rsidRPr="00273106">
        <w:t xml:space="preserve">odmítli diskutovat s </w:t>
      </w:r>
      <w:r w:rsidR="08E97D7F">
        <w:t>těmito šílenými</w:t>
      </w:r>
      <w:r w:rsidR="00FC3B61">
        <w:t xml:space="preserve"> </w:t>
      </w:r>
      <w:r w:rsidR="00FF2A66">
        <w:rPr>
          <w:i/>
        </w:rPr>
        <w:t>d</w:t>
      </w:r>
      <w:r w:rsidR="00A47403" w:rsidRPr="00273106">
        <w:rPr>
          <w:i/>
        </w:rPr>
        <w:t>octores Latin</w:t>
      </w:r>
      <w:r w:rsidR="08AE208B">
        <w:rPr>
          <w:i/>
        </w:rPr>
        <w:t>i</w:t>
      </w:r>
      <w:r w:rsidR="08105915" w:rsidRPr="08105915">
        <w:t>, kteří přišli z Oxfor</w:t>
      </w:r>
      <w:r w:rsidR="08105915">
        <w:t xml:space="preserve">du </w:t>
      </w:r>
      <w:r w:rsidR="085343E4">
        <w:t xml:space="preserve">do Paříže </w:t>
      </w:r>
      <w:r w:rsidR="08105915">
        <w:t xml:space="preserve">někdy </w:t>
      </w:r>
      <w:r w:rsidR="085343E4">
        <w:t xml:space="preserve">okolo </w:t>
      </w:r>
      <w:r w:rsidR="08105915">
        <w:t>roce 1235</w:t>
      </w:r>
      <w:r w:rsidR="00A169B9">
        <w:rPr>
          <w:i/>
        </w:rPr>
        <w:fldChar w:fldCharType="begin"/>
      </w:r>
      <w:r w:rsidR="00A169B9">
        <w:instrText xml:space="preserve"> XE "</w:instrText>
      </w:r>
      <w:r w:rsidR="00646585">
        <w:instrText>druhý averroismus:</w:instrText>
      </w:r>
      <w:r w:rsidR="00A169B9" w:rsidRPr="00BD47F9">
        <w:rPr>
          <w:i/>
        </w:rPr>
        <w:instrText>doctores Latin</w:instrText>
      </w:r>
      <w:r w:rsidR="08AE208B">
        <w:rPr>
          <w:i/>
        </w:rPr>
        <w:instrText>i</w:instrText>
      </w:r>
      <w:r w:rsidR="00A169B9">
        <w:instrText xml:space="preserve">" </w:instrText>
      </w:r>
      <w:r w:rsidR="00A169B9">
        <w:rPr>
          <w:i/>
        </w:rPr>
        <w:fldChar w:fldCharType="end"/>
      </w:r>
      <w:r w:rsidR="080161F1">
        <w:t>.</w:t>
      </w:r>
      <w:r w:rsidR="08631E0B">
        <w:t xml:space="preserve"> </w:t>
      </w:r>
      <w:r w:rsidR="000D4C69">
        <w:t xml:space="preserve">Ve hře byla </w:t>
      </w:r>
      <w:r w:rsidR="000C6F43">
        <w:t xml:space="preserve">akademická </w:t>
      </w:r>
      <w:r w:rsidR="000D4C69">
        <w:t>kredibilita mendikant</w:t>
      </w:r>
      <w:r w:rsidR="000C6F43">
        <w:t>s</w:t>
      </w:r>
      <w:r w:rsidR="000D4C69">
        <w:t xml:space="preserve">ké intelektuální elity, která na Oxfordu vytvořila v prostředí akademických iluminátů první evropskou </w:t>
      </w:r>
      <w:r w:rsidR="000D4C69" w:rsidRPr="000D4C69">
        <w:rPr>
          <w:i/>
        </w:rPr>
        <w:t>intelligentia spiritualis</w:t>
      </w:r>
      <w:r w:rsidR="000D4C69">
        <w:rPr>
          <w:i/>
          <w:iCs/>
        </w:rPr>
        <w:fldChar w:fldCharType="begin"/>
      </w:r>
      <w:r w:rsidR="000D4C69">
        <w:instrText xml:space="preserve"> XE "</w:instrText>
      </w:r>
      <w:r w:rsidR="000D4C69" w:rsidRPr="005E5011">
        <w:rPr>
          <w:i/>
          <w:iCs/>
        </w:rPr>
        <w:instrText>intelligentia spiritualis</w:instrText>
      </w:r>
      <w:r w:rsidR="000D4C69">
        <w:instrText xml:space="preserve">" </w:instrText>
      </w:r>
      <w:r w:rsidR="000D4C69">
        <w:rPr>
          <w:i/>
          <w:iCs/>
        </w:rPr>
        <w:fldChar w:fldCharType="end"/>
      </w:r>
      <w:r w:rsidR="000D4C69">
        <w:rPr>
          <w:iCs/>
        </w:rPr>
        <w:t xml:space="preserve"> </w:t>
      </w:r>
      <w:r w:rsidR="08662AD2">
        <w:rPr>
          <w:iCs/>
        </w:rPr>
        <w:t xml:space="preserve">slavící pod vedením analyticky vzdělaných Fúrií první objektivní </w:t>
      </w:r>
      <w:r w:rsidR="08C90826">
        <w:rPr>
          <w:iCs/>
        </w:rPr>
        <w:t xml:space="preserve">akademická </w:t>
      </w:r>
      <w:r w:rsidR="08662AD2">
        <w:rPr>
          <w:iCs/>
        </w:rPr>
        <w:t>mystéria</w:t>
      </w:r>
      <w:r w:rsidR="000D4C69">
        <w:t xml:space="preserve">. </w:t>
      </w:r>
      <w:r w:rsidR="00D137E7">
        <w:t>T</w:t>
      </w:r>
      <w:r w:rsidR="00A47403" w:rsidRPr="00273106">
        <w:t>i</w:t>
      </w:r>
      <w:r w:rsidR="000450B1">
        <w:t>to moderní vzdělanci</w:t>
      </w:r>
      <w:r w:rsidR="00A47403" w:rsidRPr="00273106">
        <w:t xml:space="preserve"> postupně ovládli akademické instituce i v Paříži po 1250 skrze kolegium pilných kompilátorů sdružených kolem editace </w:t>
      </w:r>
      <w:r w:rsidR="00A47403" w:rsidRPr="00273106">
        <w:rPr>
          <w:i/>
        </w:rPr>
        <w:t>Summa Halensis</w:t>
      </w:r>
      <w:r w:rsidR="000577D3">
        <w:rPr>
          <w:i/>
        </w:rPr>
        <w:fldChar w:fldCharType="begin"/>
      </w:r>
      <w:r w:rsidR="000577D3">
        <w:instrText xml:space="preserve"> XE "</w:instrText>
      </w:r>
      <w:r w:rsidR="000577D3" w:rsidRPr="00F14A6F">
        <w:rPr>
          <w:i/>
        </w:rPr>
        <w:instrText>Summa Halensis</w:instrText>
      </w:r>
      <w:r w:rsidR="000577D3">
        <w:instrText xml:space="preserve">" </w:instrText>
      </w:r>
      <w:r w:rsidR="000577D3">
        <w:rPr>
          <w:i/>
        </w:rPr>
        <w:fldChar w:fldCharType="end"/>
      </w:r>
      <w:r w:rsidR="00A47403" w:rsidRPr="00273106">
        <w:t xml:space="preserve">. </w:t>
      </w:r>
      <w:r w:rsidR="00B0554A" w:rsidRPr="00273106">
        <w:t xml:space="preserve">Učení Stagirity už nemohli představitelé druhého averroismu napadnout přímo, protože filosofická autorita </w:t>
      </w:r>
      <w:r w:rsidR="00B0554A" w:rsidRPr="00273106">
        <w:rPr>
          <w:i/>
        </w:rPr>
        <w:t>Corpus Aristotelicum</w:t>
      </w:r>
      <w:r w:rsidR="001F26D1">
        <w:t xml:space="preserve"> byla </w:t>
      </w:r>
      <w:r w:rsidR="00B0554A" w:rsidRPr="00273106">
        <w:t xml:space="preserve">už nezpochybnitelná. </w:t>
      </w:r>
      <w:r w:rsidR="000432EF">
        <w:t xml:space="preserve">Proto modernisté po </w:t>
      </w:r>
      <w:r w:rsidR="080161F1">
        <w:t xml:space="preserve">roce </w:t>
      </w:r>
      <w:r w:rsidR="000432EF">
        <w:t xml:space="preserve">1235 napadli </w:t>
      </w:r>
      <w:r w:rsidR="00613429">
        <w:t xml:space="preserve">místo Stagirity eminentního arabského </w:t>
      </w:r>
      <w:r w:rsidR="000432EF">
        <w:t>Komentátora</w:t>
      </w:r>
      <w:r w:rsidR="00FC066F">
        <w:t>, kterého Alvernus právem označil za nejvznešenějšího filosofa</w:t>
      </w:r>
      <w:r w:rsidR="00FD622C">
        <w:t xml:space="preserve"> (</w:t>
      </w:r>
      <w:r w:rsidR="00FD622C" w:rsidRPr="00273106">
        <w:rPr>
          <w:i/>
        </w:rPr>
        <w:t>philosophus nobilissimus</w:t>
      </w:r>
      <w:r w:rsidR="08C90826">
        <w:t>, kap. 2</w:t>
      </w:r>
      <w:r w:rsidR="00FD622C" w:rsidRPr="00273106">
        <w:t>.3</w:t>
      </w:r>
      <w:r w:rsidR="00FD622C">
        <w:t>)</w:t>
      </w:r>
      <w:r w:rsidR="000432EF">
        <w:t xml:space="preserve">. </w:t>
      </w:r>
      <w:r w:rsidR="00870E97" w:rsidRPr="00273106">
        <w:t xml:space="preserve">Druhý averroismus pokračoval v </w:t>
      </w:r>
      <w:r w:rsidR="00870E97">
        <w:t>neoplatonsk</w:t>
      </w:r>
      <w:r w:rsidR="00870E97" w:rsidRPr="00273106">
        <w:t>ém výkladu Korpusu skrze augustiniánský avicennismus.</w:t>
      </w:r>
      <w:r w:rsidR="00870E97">
        <w:t xml:space="preserve"> </w:t>
      </w:r>
      <w:r w:rsidR="00FB4BC4">
        <w:t xml:space="preserve">Modernisté </w:t>
      </w:r>
      <w:r w:rsidR="00FB4BC4" w:rsidRPr="00273106">
        <w:t>připsal</w:t>
      </w:r>
      <w:r w:rsidR="00FB4BC4">
        <w:t>i Averoe</w:t>
      </w:r>
      <w:r w:rsidR="00FB4BC4" w:rsidRPr="00273106">
        <w:t xml:space="preserve">sovi vlastní pomýlenou představu subsistentního odděleného a nemateriálního </w:t>
      </w:r>
      <w:r w:rsidR="00FB4BC4" w:rsidRPr="00273106">
        <w:rPr>
          <w:i/>
        </w:rPr>
        <w:t>intellectus possibilis</w:t>
      </w:r>
      <w:r w:rsidR="0816714F">
        <w:rPr>
          <w:i/>
        </w:rPr>
        <w:t xml:space="preserve"> </w:t>
      </w:r>
      <w:r w:rsidR="0816714F">
        <w:t>podle</w:t>
      </w:r>
      <w:r w:rsidR="0816714F" w:rsidRPr="0816714F">
        <w:t xml:space="preserve"> Davida z Dinantu</w:t>
      </w:r>
      <w:r w:rsidR="00FB4BC4" w:rsidRPr="00273106">
        <w:t xml:space="preserve"> a tu pak </w:t>
      </w:r>
      <w:r w:rsidR="00FB4BC4">
        <w:t>odsoudili jako v křivém zrcadle</w:t>
      </w:r>
      <w:r w:rsidR="00FB4BC4" w:rsidRPr="00273106">
        <w:t xml:space="preserve">. </w:t>
      </w:r>
      <w:r w:rsidR="002E3B62">
        <w:t>Averroes</w:t>
      </w:r>
      <w:r w:rsidR="00C63F89">
        <w:t xml:space="preserve"> </w:t>
      </w:r>
      <w:r w:rsidR="00B0554A" w:rsidRPr="00273106">
        <w:t xml:space="preserve">se stal obětním beránkem pomýleného myšlení </w:t>
      </w:r>
      <w:r w:rsidR="00B0554A" w:rsidRPr="00273106">
        <w:rPr>
          <w:i/>
        </w:rPr>
        <w:t>Modernorum</w:t>
      </w:r>
      <w:r w:rsidR="00B0554A" w:rsidRPr="00273106">
        <w:t xml:space="preserve"> a vzal na sebe všechny viny aporetické a sofistické interpretace Aristotela</w:t>
      </w:r>
      <w:r w:rsidR="000F3907">
        <w:t xml:space="preserve">, kterou hájili </w:t>
      </w:r>
      <w:r w:rsidR="00C63F89">
        <w:t xml:space="preserve">a dodnes hájí </w:t>
      </w:r>
      <w:r w:rsidR="000F3907">
        <w:t>moderní sofisté a ilumináti</w:t>
      </w:r>
      <w:r w:rsidR="00E17537">
        <w:t xml:space="preserve"> na latinském Západě</w:t>
      </w:r>
      <w:r w:rsidR="00D96113">
        <w:t>.</w:t>
      </w:r>
      <w:r w:rsidR="0060377A">
        <w:t xml:space="preserve"> Tato bláznivá argumentace založila moderní západní subjekt a jeho paranoické poznání. Moderna dodnes provádí skrze kritiku averroismu objektivní intelektuální exorcismus této nepatřičné části receptivního intelektu. Ten je angažovaný v aktu gnoseologické kopulace s kosmickými silami. Tyto neosobní kosmické (a proto démonické) síly jsou nutně přítomné ve schizofrenické duši moderního ilumináta. Nyní je zřejmé, kde se vzal vědecký základ čarodějnických procesů, které charakterizují vznik moderny (OBJ III, kap. 5.5). Díky Freudovu obrannému mechanismu </w:t>
      </w:r>
      <w:r w:rsidR="0060377A" w:rsidRPr="08B53910">
        <w:rPr>
          <w:i/>
        </w:rPr>
        <w:t>Verkehrung ins Gegenteil</w:t>
      </w:r>
      <w:r w:rsidR="0060377A">
        <w:rPr>
          <w:i/>
        </w:rPr>
        <w:fldChar w:fldCharType="begin"/>
      </w:r>
      <w:r w:rsidR="0060377A">
        <w:instrText xml:space="preserve"> XE "</w:instrText>
      </w:r>
      <w:r w:rsidR="0060377A" w:rsidRPr="08AE07EA">
        <w:rPr>
          <w:i/>
        </w:rPr>
        <w:instrText>Verkehrung ins Gegenteil</w:instrText>
      </w:r>
      <w:r w:rsidR="0060377A">
        <w:instrText xml:space="preserve">" </w:instrText>
      </w:r>
      <w:r w:rsidR="0060377A">
        <w:rPr>
          <w:i/>
        </w:rPr>
        <w:fldChar w:fldCharType="end"/>
      </w:r>
      <w:r w:rsidR="0060377A">
        <w:fldChar w:fldCharType="begin"/>
      </w:r>
      <w:r w:rsidR="0060377A">
        <w:instrText xml:space="preserve"> XE "</w:instrText>
      </w:r>
      <w:r w:rsidR="0060377A" w:rsidRPr="00083E37">
        <w:instrText>averroi</w:instrText>
      </w:r>
      <w:r w:rsidR="0060377A">
        <w:instrText>sm</w:instrText>
      </w:r>
      <w:r w:rsidR="0060377A" w:rsidRPr="00083E37">
        <w:instrText>us:vznik</w:instrText>
      </w:r>
      <w:r w:rsidR="0060377A">
        <w:instrText xml:space="preserve">" </w:instrText>
      </w:r>
      <w:r w:rsidR="0060377A">
        <w:fldChar w:fldCharType="end"/>
      </w:r>
      <w:r w:rsidR="0060377A">
        <w:t xml:space="preserve"> </w:t>
      </w:r>
      <w:r w:rsidR="0060377A" w:rsidRPr="00135F98">
        <w:t xml:space="preserve">dostal tento exorcismus místo Averroese vhodného obětního beránka. Rituál akademického vymítání hříchů probíhá pod vedením novodobých Furií. Síly intelektuálního Chaosu vyhánějí </w:t>
      </w:r>
      <w:r w:rsidR="0060377A">
        <w:t>příslušného k</w:t>
      </w:r>
      <w:r w:rsidR="0060377A" w:rsidRPr="00135F98">
        <w:t>ozla z vědecké obce do pouště moderní vědy (Averroes, Siger, Ockham, čarodějnice).</w:t>
      </w:r>
      <w:r w:rsidR="0060377A">
        <w:t xml:space="preserve"> Výkon existenciálního porozumění osoby byl dán v Komentátorově modu </w:t>
      </w:r>
      <w:r w:rsidR="0060377A" w:rsidRPr="007E383E">
        <w:rPr>
          <w:i/>
        </w:rPr>
        <w:t xml:space="preserve">tertium </w:t>
      </w:r>
      <w:r w:rsidR="0060377A">
        <w:rPr>
          <w:i/>
        </w:rPr>
        <w:t>genus</w:t>
      </w:r>
      <w:r w:rsidR="0060377A">
        <w:t xml:space="preserve">. Rufus jej změnil na akcidentální kopulaci lidského hypostatického intelektu s vnější formou kosmického intelektu. Averroes měl univerzální složku intelektu pouze jako výkon poznání v modu </w:t>
      </w:r>
      <w:r w:rsidR="0060377A" w:rsidRPr="08FD6A9C">
        <w:rPr>
          <w:i/>
        </w:rPr>
        <w:t xml:space="preserve">tertium </w:t>
      </w:r>
      <w:r w:rsidR="0060377A">
        <w:rPr>
          <w:i/>
        </w:rPr>
        <w:t>genus</w:t>
      </w:r>
      <w:r w:rsidR="0060377A">
        <w:t>, které v aktu sebereflexe (</w:t>
      </w:r>
      <w:r w:rsidR="0060377A" w:rsidRPr="08FD6A9C">
        <w:rPr>
          <w:i/>
        </w:rPr>
        <w:t>facere</w:t>
      </w:r>
      <w:r w:rsidR="0060377A">
        <w:t>) produkuje sebepoznání jako univerzálii (</w:t>
      </w:r>
      <w:r w:rsidR="0060377A" w:rsidRPr="007E383E">
        <w:rPr>
          <w:i/>
        </w:rPr>
        <w:t xml:space="preserve">quartum </w:t>
      </w:r>
      <w:r w:rsidR="0060377A">
        <w:rPr>
          <w:i/>
        </w:rPr>
        <w:t>genus</w:t>
      </w:r>
      <w:r w:rsidR="0060377A">
        <w:rPr>
          <w:i/>
        </w:rPr>
        <w:fldChar w:fldCharType="begin"/>
      </w:r>
      <w:r w:rsidR="0060377A">
        <w:instrText xml:space="preserve"> XE "</w:instrText>
      </w:r>
      <w:r w:rsidR="0060377A" w:rsidRPr="00AF011B">
        <w:rPr>
          <w:i/>
        </w:rPr>
        <w:instrText>quartum genus</w:instrText>
      </w:r>
      <w:r w:rsidR="0060377A">
        <w:instrText xml:space="preserve">" </w:instrText>
      </w:r>
      <w:r w:rsidR="0060377A">
        <w:rPr>
          <w:i/>
        </w:rPr>
        <w:fldChar w:fldCharType="end"/>
      </w:r>
      <w:r w:rsidR="0060377A">
        <w:t xml:space="preserve">). Tento čistě abstraktivní koncept </w:t>
      </w:r>
      <w:r w:rsidR="0060377A" w:rsidRPr="08FD6A9C">
        <w:rPr>
          <w:i/>
        </w:rPr>
        <w:t>intellectus possibilis</w:t>
      </w:r>
      <w:r w:rsidR="0060377A">
        <w:t xml:space="preserve"> je v CMDA daný jako </w:t>
      </w:r>
      <w:r w:rsidR="0060377A" w:rsidRPr="08FD6A9C">
        <w:rPr>
          <w:i/>
        </w:rPr>
        <w:t>factum</w:t>
      </w:r>
      <w:r w:rsidR="0060377A">
        <w:t xml:space="preserve"> myšlení, tedy jako koncept. Moderní mytopoetika změnila toto </w:t>
      </w:r>
      <w:r w:rsidR="0060377A" w:rsidRPr="08560E7B">
        <w:rPr>
          <w:i/>
        </w:rPr>
        <w:t>factum</w:t>
      </w:r>
      <w:r w:rsidR="0060377A">
        <w:t xml:space="preserve"> na numericky jednu kosmickou hypostázi, která subsistuje ve formě kosmické substance mimo lidskou mysl. Tento nesmysl je je pak numericky individualizovaný v jednotlivcích skrze spirituální materii. Možný intelekt numericky individualizovaný skrze </w:t>
      </w:r>
      <w:r w:rsidR="0060377A" w:rsidRPr="084744B3">
        <w:rPr>
          <w:i/>
        </w:rPr>
        <w:t>materia spiritualis</w:t>
      </w:r>
      <w:r w:rsidR="0060377A">
        <w:t xml:space="preserve"> se stal univerzálním </w:t>
      </w:r>
      <w:r w:rsidR="0060377A" w:rsidRPr="08560E7B">
        <w:rPr>
          <w:i/>
        </w:rPr>
        <w:t>receptaculum</w:t>
      </w:r>
      <w:r w:rsidR="0060377A">
        <w:t xml:space="preserve"> a voskem pro inteligibilní poznané formy vtiskované od aktivního kosmického intelektu. Tato kopulace už probíhá skrze individualizovaný </w:t>
      </w:r>
      <w:r w:rsidR="0060377A" w:rsidRPr="088F21D4">
        <w:rPr>
          <w:i/>
        </w:rPr>
        <w:t>intellectus possibilis</w:t>
      </w:r>
      <w:r w:rsidR="0060377A">
        <w:t xml:space="preserve"> v člověku, což má opravdu působivý a dramatický charakter. Rufusovo zmatené slovo o averroistickém intelektu se stalo objektivním tělem a dodnes přebývá mezi námi. </w:t>
      </w:r>
      <w:r w:rsidR="0060377A" w:rsidRPr="008978EB">
        <w:t xml:space="preserve">Moderní poznání člověka je stejně démonické jako moderní logika. Místo Antikrista přichází </w:t>
      </w:r>
      <w:r w:rsidR="0060377A">
        <w:t xml:space="preserve">do </w:t>
      </w:r>
      <w:r w:rsidR="0060377A" w:rsidRPr="008978EB">
        <w:rPr>
          <w:i/>
        </w:rPr>
        <w:t>anima intellectiva</w:t>
      </w:r>
      <w:r w:rsidR="0060377A" w:rsidRPr="008978EB">
        <w:t xml:space="preserve"> kosmický nesmysl jako numericky </w:t>
      </w:r>
      <w:r w:rsidR="0060377A" w:rsidRPr="008978EB">
        <w:rPr>
          <w:i/>
        </w:rPr>
        <w:t>intellectus possibilis</w:t>
      </w:r>
      <w:r w:rsidR="0060377A" w:rsidRPr="008978EB">
        <w:t xml:space="preserve">, aby s námi </w:t>
      </w:r>
      <w:r w:rsidR="0060377A">
        <w:t xml:space="preserve">intelektuálně </w:t>
      </w:r>
      <w:r w:rsidR="0060377A" w:rsidRPr="008978EB">
        <w:t xml:space="preserve">kopuloval. </w:t>
      </w:r>
      <w:r w:rsidR="0060377A">
        <w:t>A t</w:t>
      </w:r>
      <w:r w:rsidR="0060377A" w:rsidRPr="008978EB">
        <w:t xml:space="preserve">oto spojení tvoří základ západní objektivní vědy. </w:t>
      </w:r>
      <w:r w:rsidR="0060377A">
        <w:t xml:space="preserve">Gnoseologický narativ </w:t>
      </w:r>
      <w:r w:rsidR="0060377A" w:rsidRPr="008978EB">
        <w:t xml:space="preserve">moderny je </w:t>
      </w:r>
      <w:r w:rsidR="0060377A">
        <w:t>opravdu tragikomický</w:t>
      </w:r>
      <w:r w:rsidR="0060377A" w:rsidRPr="008978EB">
        <w:t xml:space="preserve"> a zcela mytologick</w:t>
      </w:r>
      <w:r w:rsidR="0060377A">
        <w:t>ý</w:t>
      </w:r>
      <w:r w:rsidR="0060377A" w:rsidRPr="008978EB">
        <w:t>.</w:t>
      </w:r>
      <w:r w:rsidR="0060377A">
        <w:t xml:space="preserve"> Další vývoj této schizofrenické psychologie moderního subjektu ukáže vývoj čarodějnictví v moderně, která objektivně správně viděla tuto kopulaci jako démonický problém. Kritická hermeneutika vidí démonickou kopulaci moderny skrze tragický vliv Fúrií, protože spánek rozumu plodí nestvůry </w:t>
      </w:r>
      <w:r w:rsidR="0060377A" w:rsidRPr="08575089">
        <w:rPr>
          <w:szCs w:val="24"/>
        </w:rPr>
        <w:t xml:space="preserve">(OBJ I, kap. 2.4.3). </w:t>
      </w:r>
      <w:r w:rsidR="0060377A">
        <w:t xml:space="preserve">Kritický Bacon a Albert považovali tuto kopulaci za šílený nebo směšný nápad </w:t>
      </w:r>
      <w:r w:rsidR="0060377A" w:rsidRPr="007F3AED">
        <w:rPr>
          <w:i/>
          <w:szCs w:val="24"/>
        </w:rPr>
        <w:t>sophistae Latinorum</w:t>
      </w:r>
      <w:r w:rsidR="0060377A" w:rsidRPr="00B314A5">
        <w:rPr>
          <w:szCs w:val="24"/>
        </w:rPr>
        <w:t xml:space="preserve"> </w:t>
      </w:r>
      <w:r w:rsidR="0060377A">
        <w:t xml:space="preserve">a vyloučili je z kolegia Pařížské univerzity. Toto pojetí </w:t>
      </w:r>
      <w:r w:rsidR="0060377A" w:rsidRPr="08D36594">
        <w:rPr>
          <w:i/>
        </w:rPr>
        <w:t>intellectus possibilis</w:t>
      </w:r>
      <w:r w:rsidR="0060377A">
        <w:t xml:space="preserve"> představovalo pro znalce CMDA přímo kosmický nesmysl. Moderní averroismus připomínal aristotelikům herezi Davida z Dinantu. Rufusovi chyběl k plnosti původního Dinantova bludu už jen božský panteismus</w:t>
      </w:r>
      <w:r w:rsidR="0060377A">
        <w:fldChar w:fldCharType="begin"/>
      </w:r>
      <w:r w:rsidR="0060377A">
        <w:instrText xml:space="preserve"> XE "</w:instrText>
      </w:r>
      <w:r w:rsidR="0060377A" w:rsidRPr="08663E5A">
        <w:instrText>David z Dinantu</w:instrText>
      </w:r>
      <w:r w:rsidR="0060377A">
        <w:instrText xml:space="preserve">" </w:instrText>
      </w:r>
      <w:r w:rsidR="0060377A">
        <w:fldChar w:fldCharType="end"/>
      </w:r>
      <w:r w:rsidR="0060377A">
        <w:t>. Oxfordský sofista dopracoval averroistickou interpretaci během prvního pobytu v Paříži, a proto byl od znalců prvního averroismu považován za blázna (</w:t>
      </w:r>
      <w:r w:rsidR="0060377A" w:rsidRPr="00273106">
        <w:rPr>
          <w:i/>
        </w:rPr>
        <w:t xml:space="preserve">apud </w:t>
      </w:r>
      <w:r w:rsidR="0060377A" w:rsidRPr="00273106">
        <w:rPr>
          <w:i/>
          <w:szCs w:val="14"/>
        </w:rPr>
        <w:t xml:space="preserve">sapientes </w:t>
      </w:r>
      <w:r w:rsidR="0060377A" w:rsidRPr="00273106">
        <w:rPr>
          <w:i/>
          <w:szCs w:val="12"/>
        </w:rPr>
        <w:t xml:space="preserve">fuit </w:t>
      </w:r>
      <w:r w:rsidR="0060377A" w:rsidRPr="00273106">
        <w:rPr>
          <w:i/>
          <w:szCs w:val="14"/>
        </w:rPr>
        <w:t>insanus</w:t>
      </w:r>
      <w:r w:rsidR="0060377A">
        <w:rPr>
          <w:szCs w:val="14"/>
        </w:rPr>
        <w:t>, kap. 3</w:t>
      </w:r>
      <w:r w:rsidR="0060377A" w:rsidRPr="00273106">
        <w:rPr>
          <w:szCs w:val="14"/>
        </w:rPr>
        <w:t>.2</w:t>
      </w:r>
      <w:r w:rsidR="0060377A">
        <w:t xml:space="preserve">). Doba se změnila a moderní subjekt zvítězil a s ním i jeho simulákrum dualistického intelektu, duše a osoby. Po vítězství moderní asimilační teorie pravdy v rámci </w:t>
      </w:r>
      <w:r w:rsidR="0060377A" w:rsidRPr="007005D6">
        <w:rPr>
          <w:i/>
        </w:rPr>
        <w:t>coaequatio</w:t>
      </w:r>
      <w:r w:rsidR="0060377A">
        <w:t xml:space="preserve"> dostala metafyzická a gnoseologická paranoia modernistů globálně-objektivní charakter.</w:t>
      </w:r>
    </w:p>
    <w:p w14:paraId="7CD9804B" w14:textId="77777777" w:rsidR="0060377A" w:rsidRDefault="0060377A" w:rsidP="0060377A"/>
    <w:p w14:paraId="795886B8" w14:textId="535799F2" w:rsidR="006F2FB6" w:rsidRPr="00273106" w:rsidRDefault="00C51568" w:rsidP="086C1F19">
      <w:pPr>
        <w:pStyle w:val="Nadpis3"/>
      </w:pPr>
      <w:bookmarkStart w:id="129" w:name="_Toc487234321"/>
      <w:bookmarkStart w:id="130" w:name="_Toc12558328"/>
      <w:r>
        <w:rPr>
          <w:lang w:val="cs-CZ"/>
        </w:rPr>
        <w:br w:type="page"/>
      </w:r>
      <w:bookmarkStart w:id="131" w:name="_Toc160449341"/>
      <w:r w:rsidR="08D20D28">
        <w:rPr>
          <w:lang w:val="cs-CZ"/>
        </w:rPr>
        <w:t>3</w:t>
      </w:r>
      <w:r w:rsidR="00A16128">
        <w:t>.3</w:t>
      </w:r>
      <w:r w:rsidR="006F2FB6" w:rsidRPr="00273106">
        <w:t>.4 Založení objektivního jsoucna</w:t>
      </w:r>
      <w:bookmarkEnd w:id="129"/>
      <w:bookmarkEnd w:id="130"/>
      <w:bookmarkEnd w:id="131"/>
    </w:p>
    <w:p w14:paraId="543549F6" w14:textId="5E4C8892" w:rsidR="00DA4524" w:rsidRPr="00273106" w:rsidRDefault="08292BC4" w:rsidP="00DA4524">
      <w:r w:rsidRPr="00273106">
        <w:t xml:space="preserve">Soubor tehdejších spisů Aristotela přijatý na latinském Západě od falsafy byl prosycen </w:t>
      </w:r>
      <w:r>
        <w:t>neoplatonsk</w:t>
      </w:r>
      <w:r w:rsidRPr="00273106">
        <w:t>ými interpretacemi</w:t>
      </w:r>
      <w:r>
        <w:t xml:space="preserve">, které nově kodifikovala Toledská škola </w:t>
      </w:r>
      <w:r>
        <w:rPr>
          <w:i/>
        </w:rPr>
        <w:t>ad mentem Averrois</w:t>
      </w:r>
      <w:r>
        <w:rPr>
          <w:i/>
        </w:rPr>
        <w:fldChar w:fldCharType="begin"/>
      </w:r>
      <w:r>
        <w:instrText xml:space="preserve"> XE "</w:instrText>
      </w:r>
      <w:r>
        <w:rPr>
          <w:i/>
        </w:rPr>
        <w:instrText>ad mentem Averrois</w:instrText>
      </w:r>
      <w:r>
        <w:instrText xml:space="preserve">" </w:instrText>
      </w:r>
      <w:r>
        <w:rPr>
          <w:i/>
        </w:rPr>
        <w:fldChar w:fldCharType="end"/>
      </w:r>
      <w:r w:rsidRPr="00273106">
        <w:t xml:space="preserve">. Alvernus byl </w:t>
      </w:r>
      <w:r>
        <w:t>první známý představitel</w:t>
      </w:r>
      <w:r w:rsidRPr="00273106">
        <w:t xml:space="preserve"> </w:t>
      </w:r>
      <w:r w:rsidR="00C62F2F">
        <w:t xml:space="preserve">latinského křesťanství, </w:t>
      </w:r>
      <w:r w:rsidRPr="00273106">
        <w:t xml:space="preserve">který dokázal </w:t>
      </w:r>
      <w:r w:rsidR="00737934">
        <w:t xml:space="preserve">integrálně </w:t>
      </w:r>
      <w:r w:rsidRPr="00273106">
        <w:t xml:space="preserve">oddělit </w:t>
      </w:r>
      <w:r>
        <w:t>neoplatonsk</w:t>
      </w:r>
      <w:r w:rsidRPr="00273106">
        <w:t>é interpretace Aristotela od výkladu</w:t>
      </w:r>
      <w:r>
        <w:t xml:space="preserve"> Komentátora</w:t>
      </w:r>
      <w:r w:rsidRPr="00273106">
        <w:t xml:space="preserve">. Proto odsoudil jak učení </w:t>
      </w:r>
      <w:r>
        <w:t>neoplatonsk</w:t>
      </w:r>
      <w:r w:rsidRPr="00273106">
        <w:t>é falsafy tak i mod</w:t>
      </w:r>
      <w:r w:rsidR="08955404">
        <w:t>erní sofisty typu Rufuse (kap. 2</w:t>
      </w:r>
      <w:r w:rsidRPr="00273106">
        <w:t>.3</w:t>
      </w:r>
      <w:r>
        <w:t>.1</w:t>
      </w:r>
      <w:r w:rsidRPr="00273106">
        <w:t>).</w:t>
      </w:r>
      <w:r>
        <w:t xml:space="preserve"> </w:t>
      </w:r>
      <w:r w:rsidR="006374CA" w:rsidRPr="00273106">
        <w:t xml:space="preserve">Spisy </w:t>
      </w:r>
      <w:r w:rsidR="002E3B62">
        <w:t>Averroes</w:t>
      </w:r>
      <w:r w:rsidR="006374CA" w:rsidRPr="00273106">
        <w:t xml:space="preserve">e dostaly </w:t>
      </w:r>
      <w:r w:rsidR="006374CA">
        <w:t xml:space="preserve">ve škole druhého averroismu </w:t>
      </w:r>
      <w:r w:rsidR="006374CA" w:rsidRPr="00273106">
        <w:t xml:space="preserve">nový </w:t>
      </w:r>
      <w:r w:rsidR="006374CA">
        <w:t>výklad, což ukázala předešlá kapitola</w:t>
      </w:r>
      <w:r w:rsidR="006073A4">
        <w:t xml:space="preserve"> výkladem </w:t>
      </w:r>
      <w:r>
        <w:t xml:space="preserve">Rufusova </w:t>
      </w:r>
      <w:r w:rsidR="006073A4">
        <w:t xml:space="preserve">spisu </w:t>
      </w:r>
      <w:r w:rsidR="006073A4" w:rsidRPr="006073A4">
        <w:rPr>
          <w:i/>
        </w:rPr>
        <w:t>Contra Averroem</w:t>
      </w:r>
      <w:r w:rsidR="00A57E5B">
        <w:rPr>
          <w:i/>
        </w:rPr>
        <w:t xml:space="preserve"> </w:t>
      </w:r>
      <w:r w:rsidR="00A57E5B" w:rsidRPr="00A57E5B">
        <w:t xml:space="preserve">a komentáři k </w:t>
      </w:r>
      <w:r w:rsidR="00A57E5B">
        <w:rPr>
          <w:i/>
        </w:rPr>
        <w:t>De anima</w:t>
      </w:r>
      <w:r w:rsidR="006374CA" w:rsidRPr="00273106">
        <w:t xml:space="preserve">. </w:t>
      </w:r>
      <w:r w:rsidR="007A0432">
        <w:t>Konflikt mezi Rufusem a pařížskými aristoteliky byl nevyhnutelný. Výše v</w:t>
      </w:r>
      <w:r w:rsidR="00206B15">
        <w:t xml:space="preserve">yložené spisy </w:t>
      </w:r>
      <w:r w:rsidR="00206B15" w:rsidRPr="00273106">
        <w:t xml:space="preserve">Alverna, Alberta a </w:t>
      </w:r>
      <w:r w:rsidR="00206B15">
        <w:t xml:space="preserve">Bacona jako eminentních </w:t>
      </w:r>
      <w:r w:rsidR="00206B15" w:rsidRPr="00273106">
        <w:t xml:space="preserve">znalců Komentátora ukázaly, že </w:t>
      </w:r>
      <w:r>
        <w:t xml:space="preserve">moderní </w:t>
      </w:r>
      <w:r w:rsidR="00206B15" w:rsidRPr="00273106">
        <w:t>výklad poznání, pravdy, reality a pojetí člověka byl pro skupinu prvních averroistů naprosto nepřijatelný. Ale další směr myšlení určili františkáni jako Rufus, mimo jiné i sporem o falešně pojatý averroismus. Sebe</w:t>
      </w:r>
      <w:r w:rsidR="00206B15">
        <w:t>vědomí prvních modernistů</w:t>
      </w:r>
      <w:r w:rsidR="08421BF3">
        <w:t xml:space="preserve"> pomohlo</w:t>
      </w:r>
      <w:r w:rsidR="00206B15" w:rsidRPr="00273106">
        <w:t xml:space="preserve"> nahradit jejich chatrné</w:t>
      </w:r>
      <w:r w:rsidR="00206B15">
        <w:t xml:space="preserve"> filosofické znalosti. </w:t>
      </w:r>
      <w:r w:rsidR="08421BF3">
        <w:t>První modernisté na Oxfrodu n</w:t>
      </w:r>
      <w:r w:rsidR="00206B15">
        <w:t xml:space="preserve">avíc </w:t>
      </w:r>
      <w:r w:rsidR="00206B15" w:rsidRPr="00273106">
        <w:t>byli i dobří pedagogové a ovlivnili spoustu žáků, alespoň podle citovaného Bacona</w:t>
      </w:r>
      <w:r w:rsidR="00206B15">
        <w:t xml:space="preserve">. </w:t>
      </w:r>
      <w:r w:rsidR="004A5703">
        <w:t>O</w:t>
      </w:r>
      <w:r w:rsidR="00206B15">
        <w:t xml:space="preserve">dsouzení latinských sofistů jménem </w:t>
      </w:r>
      <w:r w:rsidR="000204EE">
        <w:t xml:space="preserve">osobně </w:t>
      </w:r>
      <w:r w:rsidR="00206B15">
        <w:t xml:space="preserve">pojatého </w:t>
      </w:r>
      <w:r w:rsidR="00206B15" w:rsidRPr="00A3667D">
        <w:rPr>
          <w:i/>
        </w:rPr>
        <w:t>intellectus agens</w:t>
      </w:r>
      <w:r w:rsidR="00206B15">
        <w:t xml:space="preserve"> podle CMDA vyvolalo další kolo gigantomachie o substanci. Klíčový spor o výklad poznání podle </w:t>
      </w:r>
      <w:r w:rsidR="00206B15" w:rsidRPr="00A3667D">
        <w:rPr>
          <w:i/>
        </w:rPr>
        <w:t xml:space="preserve">De anima </w:t>
      </w:r>
      <w:r w:rsidR="00206B15">
        <w:t>se odehrával v letech 1245‒50 v Paříži.</w:t>
      </w:r>
      <w:r w:rsidR="00206B15" w:rsidRPr="008224D4">
        <w:t xml:space="preserve"> </w:t>
      </w:r>
      <w:r w:rsidR="00206B15" w:rsidRPr="00273106">
        <w:t xml:space="preserve">Rufusovo dílo </w:t>
      </w:r>
      <w:r w:rsidR="00206B15" w:rsidRPr="00273106">
        <w:rPr>
          <w:i/>
        </w:rPr>
        <w:t>Speculum animae</w:t>
      </w:r>
      <w:r w:rsidR="00206B15">
        <w:t xml:space="preserve"> psané </w:t>
      </w:r>
      <w:r w:rsidR="08871347">
        <w:t xml:space="preserve">asi </w:t>
      </w:r>
      <w:r w:rsidR="00206B15">
        <w:t xml:space="preserve">roku </w:t>
      </w:r>
      <w:r w:rsidR="00206B15" w:rsidRPr="00273106">
        <w:t xml:space="preserve">1245 reaguje na námitky pařížských znalců </w:t>
      </w:r>
      <w:r w:rsidR="00206B15">
        <w:t>Averroes</w:t>
      </w:r>
      <w:r w:rsidR="00206B15" w:rsidRPr="00273106">
        <w:t xml:space="preserve">e a Aristotela. Spis dokládá polemický střet mezi prvním a druhým averroismem, který vznikl po zveřejnění </w:t>
      </w:r>
      <w:r w:rsidR="00206B15">
        <w:t xml:space="preserve">Rufusových spisů, zejména jeho komentářů k </w:t>
      </w:r>
      <w:r w:rsidR="00206B15" w:rsidRPr="000E050E">
        <w:rPr>
          <w:i/>
        </w:rPr>
        <w:t>De anima</w:t>
      </w:r>
      <w:r w:rsidR="00206B15">
        <w:t xml:space="preserve"> a k</w:t>
      </w:r>
      <w:r w:rsidR="00D16DA7">
        <w:t xml:space="preserve">e </w:t>
      </w:r>
      <w:r w:rsidR="00D16DA7" w:rsidRPr="00D16DA7">
        <w:rPr>
          <w:i/>
        </w:rPr>
        <w:t>Druhým Analytikám</w:t>
      </w:r>
      <w:r w:rsidR="00D16DA7">
        <w:t xml:space="preserve"> </w:t>
      </w:r>
      <w:r w:rsidR="00206B15">
        <w:t xml:space="preserve">psaných </w:t>
      </w:r>
      <w:r w:rsidR="087C493E">
        <w:t xml:space="preserve">buď </w:t>
      </w:r>
      <w:r w:rsidR="00206B15">
        <w:t xml:space="preserve">před </w:t>
      </w:r>
      <w:r w:rsidR="087C493E">
        <w:t xml:space="preserve">odchodem z Oxfordu nebo spíše až </w:t>
      </w:r>
      <w:r w:rsidR="0007680E">
        <w:t xml:space="preserve">během jeho studijního pobytu </w:t>
      </w:r>
      <w:r w:rsidR="087C493E">
        <w:t>v Paříži</w:t>
      </w:r>
      <w:r w:rsidR="00206B15" w:rsidRPr="00273106">
        <w:t>.</w:t>
      </w:r>
      <w:r w:rsidR="00206B15">
        <w:t xml:space="preserve"> </w:t>
      </w:r>
      <w:r w:rsidR="00D16DA7" w:rsidRPr="00D16DA7">
        <w:t xml:space="preserve">Po vydání jeho komentáře k </w:t>
      </w:r>
      <w:r w:rsidR="00D16DA7" w:rsidRPr="00D16DA7">
        <w:rPr>
          <w:i/>
        </w:rPr>
        <w:t>Metafyzice</w:t>
      </w:r>
      <w:r w:rsidR="00D16DA7" w:rsidRPr="00D16DA7">
        <w:t xml:space="preserve">, který pravděpodobně napsal na začátku svého pobytu v Paříži, všichni hlavní představitelé </w:t>
      </w:r>
      <w:r w:rsidR="00D16DA7">
        <w:t xml:space="preserve">prvního </w:t>
      </w:r>
      <w:r w:rsidR="00D16DA7" w:rsidRPr="00D16DA7">
        <w:t xml:space="preserve">averroismu téměř okamžitě napadli Rufovy komentáře </w:t>
      </w:r>
      <w:r w:rsidR="00D16DA7" w:rsidRPr="00D16DA7">
        <w:rPr>
          <w:i/>
        </w:rPr>
        <w:t>Corpus Aristotelicum</w:t>
      </w:r>
      <w:r w:rsidR="00D16DA7" w:rsidRPr="00D16DA7">
        <w:t>.</w:t>
      </w:r>
      <w:r w:rsidR="00D16DA7">
        <w:t xml:space="preserve"> </w:t>
      </w:r>
      <w:r w:rsidR="001C47F4">
        <w:t xml:space="preserve">Po vydání spisu </w:t>
      </w:r>
      <w:r w:rsidR="001C47F4" w:rsidRPr="001C47F4">
        <w:rPr>
          <w:i/>
        </w:rPr>
        <w:t>Contra Averroem</w:t>
      </w:r>
      <w:r w:rsidR="001C47F4">
        <w:t xml:space="preserve"> musel </w:t>
      </w:r>
      <w:r w:rsidR="08DA38F5">
        <w:t xml:space="preserve">první modernista </w:t>
      </w:r>
      <w:r w:rsidR="00244725">
        <w:t xml:space="preserve">tak jako tak </w:t>
      </w:r>
      <w:r w:rsidR="001C47F4">
        <w:t>odejít z</w:t>
      </w:r>
      <w:r w:rsidR="00244725">
        <w:t> </w:t>
      </w:r>
      <w:r w:rsidR="001C47F4">
        <w:t>Oxfordu</w:t>
      </w:r>
      <w:r w:rsidR="00244725">
        <w:t>,</w:t>
      </w:r>
      <w:r w:rsidR="009A6EF9">
        <w:t xml:space="preserve"> pok</w:t>
      </w:r>
      <w:r w:rsidR="00244725">
        <w:t>u</w:t>
      </w:r>
      <w:r w:rsidR="009A6EF9">
        <w:t>d</w:t>
      </w:r>
      <w:r w:rsidR="00244725">
        <w:t xml:space="preserve"> tam ještě byl. </w:t>
      </w:r>
      <w:r w:rsidR="009A6EF9">
        <w:t xml:space="preserve">Hájil </w:t>
      </w:r>
      <w:r w:rsidR="001C47F4">
        <w:t>nauku o pluralitě sub</w:t>
      </w:r>
      <w:r w:rsidR="00244725">
        <w:t xml:space="preserve">stancí v člověku, což bylo v rozporu s Grossetesteho učením podaným v této otázce </w:t>
      </w:r>
      <w:r w:rsidR="082F2D63">
        <w:rPr>
          <w:i/>
        </w:rPr>
        <w:t>ad mentem Averrois</w:t>
      </w:r>
      <w:r w:rsidR="00FC7540">
        <w:rPr>
          <w:i/>
        </w:rPr>
        <w:fldChar w:fldCharType="begin"/>
      </w:r>
      <w:r w:rsidR="00FC7540">
        <w:instrText xml:space="preserve"> XE "</w:instrText>
      </w:r>
      <w:r w:rsidR="082F2D63">
        <w:rPr>
          <w:i/>
        </w:rPr>
        <w:instrText>ad mentem Averrois</w:instrText>
      </w:r>
      <w:r w:rsidR="00FC7540">
        <w:instrText xml:space="preserve">" </w:instrText>
      </w:r>
      <w:r w:rsidR="00FC7540">
        <w:rPr>
          <w:i/>
        </w:rPr>
        <w:fldChar w:fldCharType="end"/>
      </w:r>
      <w:r w:rsidR="001C47F4">
        <w:t xml:space="preserve">. </w:t>
      </w:r>
      <w:r w:rsidR="00F45DBA" w:rsidRPr="00273106">
        <w:t xml:space="preserve">Rufus redukoval problém receptivity poznání na novou </w:t>
      </w:r>
      <w:r w:rsidR="08C23BAB">
        <w:t xml:space="preserve">kosmickou </w:t>
      </w:r>
      <w:r w:rsidR="00F45DBA" w:rsidRPr="00273106">
        <w:t>kvazi-substanci (</w:t>
      </w:r>
      <w:r w:rsidR="00F45DBA" w:rsidRPr="00273106">
        <w:rPr>
          <w:i/>
        </w:rPr>
        <w:t>intellectus possibilis</w:t>
      </w:r>
      <w:r w:rsidR="00F45DBA" w:rsidRPr="00273106">
        <w:t xml:space="preserve">) a toto nové jsoucno třetího druhu </w:t>
      </w:r>
      <w:r w:rsidR="08DA38F5">
        <w:t xml:space="preserve">podal </w:t>
      </w:r>
      <w:r w:rsidR="00F45DBA" w:rsidRPr="00273106">
        <w:t xml:space="preserve">jako autentickou </w:t>
      </w:r>
      <w:r w:rsidR="00F45DBA">
        <w:t>Averroes</w:t>
      </w:r>
      <w:r w:rsidR="00F45DBA" w:rsidRPr="00273106">
        <w:t>ovu nauku.</w:t>
      </w:r>
      <w:r w:rsidR="00F45DBA">
        <w:t xml:space="preserve"> </w:t>
      </w:r>
      <w:r w:rsidR="0094199D">
        <w:t>Rufusův a</w:t>
      </w:r>
      <w:r w:rsidR="0094199D" w:rsidRPr="00273106">
        <w:t>verroismus odmítl</w:t>
      </w:r>
      <w:r w:rsidR="08C055BA">
        <w:t xml:space="preserve">i </w:t>
      </w:r>
      <w:r w:rsidR="08D5530F">
        <w:t xml:space="preserve">aristotelikové </w:t>
      </w:r>
      <w:r w:rsidR="0094199D" w:rsidRPr="00273106">
        <w:t>v Paříži</w:t>
      </w:r>
      <w:r w:rsidR="084C4BC7">
        <w:t xml:space="preserve"> i na Oxfordu</w:t>
      </w:r>
      <w:r w:rsidR="08D5530F">
        <w:t xml:space="preserve">, protože se podobal </w:t>
      </w:r>
      <w:r w:rsidR="086D0EC3">
        <w:t xml:space="preserve">panteismu </w:t>
      </w:r>
      <w:r w:rsidR="08D5530F">
        <w:t>David</w:t>
      </w:r>
      <w:r w:rsidR="086D0EC3">
        <w:t>a</w:t>
      </w:r>
      <w:r w:rsidR="08D5530F">
        <w:t xml:space="preserve"> z Dinantu</w:t>
      </w:r>
      <w:r w:rsidR="0094199D" w:rsidRPr="00273106">
        <w:t xml:space="preserve">. </w:t>
      </w:r>
      <w:r w:rsidR="08D5530F">
        <w:t xml:space="preserve">Spor </w:t>
      </w:r>
      <w:r w:rsidR="0094199D" w:rsidRPr="00273106">
        <w:t xml:space="preserve"> dosvědčil františkán Roger Bacon, </w:t>
      </w:r>
      <w:r w:rsidR="0094199D">
        <w:t xml:space="preserve">který byl </w:t>
      </w:r>
      <w:r w:rsidR="0094199D" w:rsidRPr="00273106">
        <w:t xml:space="preserve">Rufusův současník na Oxfordu a </w:t>
      </w:r>
      <w:r w:rsidR="0094199D">
        <w:t xml:space="preserve">později sledoval Rufusovo druhé působení v </w:t>
      </w:r>
      <w:r w:rsidR="0094199D" w:rsidRPr="00273106">
        <w:t>Paříži</w:t>
      </w:r>
      <w:r w:rsidR="0094199D">
        <w:t xml:space="preserve"> po smrti biskupa Alverna</w:t>
      </w:r>
      <w:r w:rsidR="0094199D" w:rsidRPr="00273106">
        <w:t>.</w:t>
      </w:r>
      <w:r w:rsidR="0094199D">
        <w:t xml:space="preserve"> </w:t>
      </w:r>
      <w:r w:rsidR="00884E38" w:rsidRPr="00273106">
        <w:t xml:space="preserve">Tehdejší znalci </w:t>
      </w:r>
      <w:r w:rsidR="002E3B62">
        <w:t>Averroes</w:t>
      </w:r>
      <w:r w:rsidR="00884E38" w:rsidRPr="00273106">
        <w:t xml:space="preserve">e z první vlny </w:t>
      </w:r>
      <w:r w:rsidR="005F56AE">
        <w:t xml:space="preserve">jako </w:t>
      </w:r>
      <w:r w:rsidR="005466EE">
        <w:t xml:space="preserve">byli žáci Blundovy školy a </w:t>
      </w:r>
      <w:r w:rsidR="005F56AE">
        <w:t>biskup Alvernus</w:t>
      </w:r>
      <w:r w:rsidR="08DA38F5">
        <w:t xml:space="preserve"> </w:t>
      </w:r>
      <w:r w:rsidR="005F56AE">
        <w:t>konstatovali</w:t>
      </w:r>
      <w:r w:rsidR="00884E38" w:rsidRPr="00273106">
        <w:t xml:space="preserve">, že myšlení Rufuse a dalších </w:t>
      </w:r>
      <w:r w:rsidR="006073A4">
        <w:t>modernistů</w:t>
      </w:r>
      <w:r w:rsidR="00C004B2">
        <w:t xml:space="preserve"> </w:t>
      </w:r>
      <w:r w:rsidR="006073A4">
        <w:t xml:space="preserve">ovlivněných </w:t>
      </w:r>
      <w:r w:rsidR="006073A4" w:rsidRPr="006073A4">
        <w:rPr>
          <w:i/>
        </w:rPr>
        <w:t>Oxfordian Fallacy</w:t>
      </w:r>
      <w:r w:rsidR="006073A4">
        <w:t xml:space="preserve"> (</w:t>
      </w:r>
      <w:r w:rsidR="006073A4" w:rsidRPr="006073A4">
        <w:rPr>
          <w:i/>
        </w:rPr>
        <w:t>sophistae Latini</w:t>
      </w:r>
      <w:r w:rsidR="006073A4">
        <w:t xml:space="preserve">) </w:t>
      </w:r>
      <w:r w:rsidR="00884E38" w:rsidRPr="00273106">
        <w:t>navázalo na tradici zanik</w:t>
      </w:r>
      <w:r w:rsidR="00AF7524">
        <w:t>ajících</w:t>
      </w:r>
      <w:r w:rsidR="00884E38" w:rsidRPr="00273106">
        <w:t xml:space="preserve"> škol </w:t>
      </w:r>
      <w:r w:rsidR="00884E38" w:rsidRPr="00273106">
        <w:rPr>
          <w:i/>
        </w:rPr>
        <w:t>Nominales</w:t>
      </w:r>
      <w:r w:rsidR="00884E38" w:rsidRPr="00273106">
        <w:t xml:space="preserve"> </w:t>
      </w:r>
      <w:r w:rsidR="00192A9C">
        <w:t>(</w:t>
      </w:r>
      <w:r w:rsidR="00192A9C" w:rsidRPr="005F56AE">
        <w:rPr>
          <w:i/>
        </w:rPr>
        <w:t xml:space="preserve">sophistae </w:t>
      </w:r>
      <w:r w:rsidR="00192A9C">
        <w:rPr>
          <w:i/>
        </w:rPr>
        <w:t>Italici</w:t>
      </w:r>
      <w:r w:rsidR="00192A9C">
        <w:t xml:space="preserve">) </w:t>
      </w:r>
      <w:r w:rsidR="00884E38" w:rsidRPr="00273106">
        <w:t xml:space="preserve">a </w:t>
      </w:r>
      <w:r w:rsidR="00752DE7">
        <w:t xml:space="preserve">na </w:t>
      </w:r>
      <w:r w:rsidR="00884E38" w:rsidRPr="00273106">
        <w:t>škol</w:t>
      </w:r>
      <w:r w:rsidR="00752DE7">
        <w:t>y</w:t>
      </w:r>
      <w:r w:rsidR="00884E38" w:rsidRPr="00273106">
        <w:t xml:space="preserve"> </w:t>
      </w:r>
      <w:r w:rsidR="00ED2A03">
        <w:rPr>
          <w:i/>
        </w:rPr>
        <w:t>l</w:t>
      </w:r>
      <w:r w:rsidR="00884E38" w:rsidRPr="00273106">
        <w:rPr>
          <w:i/>
        </w:rPr>
        <w:t xml:space="preserve">ogica Modernorum </w:t>
      </w:r>
      <w:r w:rsidR="00884E38" w:rsidRPr="00273106">
        <w:t>ovlivněn</w:t>
      </w:r>
      <w:r w:rsidR="00752DE7">
        <w:t>é</w:t>
      </w:r>
      <w:r w:rsidR="00CE4802">
        <w:t xml:space="preserve"> porretány</w:t>
      </w:r>
      <w:r w:rsidR="005F56AE">
        <w:t xml:space="preserve"> (</w:t>
      </w:r>
      <w:r w:rsidR="00192A9C" w:rsidRPr="00192A9C">
        <w:rPr>
          <w:i/>
        </w:rPr>
        <w:t>Grammatici</w:t>
      </w:r>
      <w:r w:rsidR="005F56AE">
        <w:t>)</w:t>
      </w:r>
      <w:r w:rsidR="00884E38" w:rsidRPr="00273106">
        <w:t xml:space="preserve">. </w:t>
      </w:r>
      <w:r w:rsidR="00DA4524" w:rsidRPr="00273106">
        <w:t xml:space="preserve">Sofistický výklad </w:t>
      </w:r>
      <w:r w:rsidR="002E3B62">
        <w:t>Averroes</w:t>
      </w:r>
      <w:r w:rsidR="00DA4524" w:rsidRPr="00273106">
        <w:t xml:space="preserve">e jistě přispěl k negativnímu hodnocení Rufuse na </w:t>
      </w:r>
      <w:r w:rsidR="00EB38F3" w:rsidRPr="00273106">
        <w:t xml:space="preserve">zdejší </w:t>
      </w:r>
      <w:r w:rsidR="00DA4524" w:rsidRPr="00273106">
        <w:t>univer</w:t>
      </w:r>
      <w:r w:rsidR="00EC69EC">
        <w:t>zitě</w:t>
      </w:r>
      <w:r w:rsidR="00DA4524" w:rsidRPr="00273106">
        <w:t xml:space="preserve">. Bacon v sumě </w:t>
      </w:r>
      <w:r w:rsidR="00DA4524" w:rsidRPr="00273106">
        <w:rPr>
          <w:i/>
        </w:rPr>
        <w:t>Opus maius</w:t>
      </w:r>
      <w:r w:rsidR="00DA4524" w:rsidRPr="00273106">
        <w:t xml:space="preserve"> naráží na </w:t>
      </w:r>
      <w:r w:rsidR="004B2BC8">
        <w:t xml:space="preserve">jeden konkrétní </w:t>
      </w:r>
      <w:r w:rsidR="00DA4524" w:rsidRPr="00273106">
        <w:t xml:space="preserve">spor, který se týkal </w:t>
      </w:r>
      <w:r w:rsidR="00AA4980">
        <w:t xml:space="preserve">skupiny </w:t>
      </w:r>
      <w:r w:rsidR="003367E2">
        <w:t xml:space="preserve">latinských sofistů </w:t>
      </w:r>
      <w:r w:rsidR="00AA4980">
        <w:t xml:space="preserve">kolem </w:t>
      </w:r>
      <w:r w:rsidR="00DA4524" w:rsidRPr="00273106">
        <w:t>Rufuse a biskupa Alverna jako kancléře Pařížské univerzity</w:t>
      </w:r>
      <w:r w:rsidR="006B2795">
        <w:fldChar w:fldCharType="begin"/>
      </w:r>
      <w:r w:rsidR="006B2795">
        <w:instrText xml:space="preserve"> XE "</w:instrText>
      </w:r>
      <w:r w:rsidR="006B2795" w:rsidRPr="00B4442C">
        <w:instrText>druhý averroismus:kritika Bacona</w:instrText>
      </w:r>
      <w:r w:rsidR="006B2795">
        <w:instrText xml:space="preserve">" </w:instrText>
      </w:r>
      <w:r w:rsidR="006B2795">
        <w:fldChar w:fldCharType="end"/>
      </w:r>
      <w:r w:rsidR="00DA4524" w:rsidRPr="00273106">
        <w:t>.</w:t>
      </w:r>
    </w:p>
    <w:p w14:paraId="1B634BCB" w14:textId="471BCA91" w:rsidR="00DA4524" w:rsidRPr="00273106" w:rsidRDefault="00DA4524" w:rsidP="00DA4524">
      <w:pPr>
        <w:pStyle w:val="Citace"/>
        <w:rPr>
          <w:noProof/>
          <w:lang w:val="cs-CZ"/>
        </w:rPr>
      </w:pPr>
      <w:r w:rsidRPr="00273106">
        <w:rPr>
          <w:noProof/>
          <w:lang w:val="cs-CZ"/>
        </w:rPr>
        <w:t xml:space="preserve">„Bylo známo, že </w:t>
      </w:r>
      <w:r w:rsidR="00A73729">
        <w:rPr>
          <w:noProof/>
          <w:lang w:val="cs-CZ"/>
        </w:rPr>
        <w:t xml:space="preserve">za </w:t>
      </w:r>
      <w:r w:rsidRPr="00273106">
        <w:rPr>
          <w:noProof/>
          <w:lang w:val="cs-CZ"/>
        </w:rPr>
        <w:t>doby našich studií v Paříži vznikl spor ohledně Aristotelovy přírodní a metafyzické filosofie</w:t>
      </w:r>
      <w:r w:rsidR="002406BF">
        <w:rPr>
          <w:noProof/>
          <w:lang w:val="cs-CZ"/>
        </w:rPr>
        <w:t xml:space="preserve">. Tyto spisy byla mylně vyloženy </w:t>
      </w:r>
      <w:r w:rsidRPr="00273106">
        <w:rPr>
          <w:noProof/>
          <w:lang w:val="cs-CZ"/>
        </w:rPr>
        <w:t xml:space="preserve">skrze vykladače Avicenny a </w:t>
      </w:r>
      <w:r w:rsidR="002E3B62">
        <w:rPr>
          <w:noProof/>
          <w:lang w:val="cs-CZ"/>
        </w:rPr>
        <w:t>Averroes</w:t>
      </w:r>
      <w:r w:rsidR="008317A1">
        <w:rPr>
          <w:noProof/>
          <w:lang w:val="cs-CZ"/>
        </w:rPr>
        <w:t>e. Kvůli velké</w:t>
      </w:r>
      <w:r w:rsidRPr="00273106">
        <w:rPr>
          <w:noProof/>
          <w:lang w:val="cs-CZ"/>
        </w:rPr>
        <w:t xml:space="preserve"> neznalosti dotyčných byly jejich knihy zakázány, ale přesto se dlouhou dobu užívaly.“ </w:t>
      </w:r>
      <w:r w:rsidRPr="00273106">
        <w:rPr>
          <w:rStyle w:val="Znakapoznpodarou"/>
          <w:noProof/>
          <w:lang w:val="cs-CZ"/>
        </w:rPr>
        <w:footnoteReference w:id="460"/>
      </w:r>
    </w:p>
    <w:p w14:paraId="583723A1" w14:textId="77777777" w:rsidR="0016171E" w:rsidRDefault="00DA4524" w:rsidP="005760BE">
      <w:r w:rsidRPr="00273106">
        <w:t>Spor je lokalizován do doby Baconova studijního pobytu v Paříži kolem 1</w:t>
      </w:r>
      <w:r w:rsidR="08C23BAB">
        <w:t xml:space="preserve">237‒47 a týkal se sofistické </w:t>
      </w:r>
      <w:r w:rsidRPr="00273106">
        <w:t>interpretace Aristotela (</w:t>
      </w:r>
      <w:r w:rsidRPr="00273106">
        <w:rPr>
          <w:i/>
        </w:rPr>
        <w:t>fuit contradictum naturali philosophiae et metaphysicae Aristotelis</w:t>
      </w:r>
      <w:r w:rsidRPr="00273106">
        <w:t xml:space="preserve">) dané skrze chybnou interpetaci Avicenny a </w:t>
      </w:r>
      <w:r w:rsidR="002E3B62">
        <w:t>Averroes</w:t>
      </w:r>
      <w:r w:rsidRPr="00273106">
        <w:t>e (</w:t>
      </w:r>
      <w:r w:rsidRPr="00273106">
        <w:rPr>
          <w:i/>
        </w:rPr>
        <w:t>per Avicennae et Averrois expositores</w:t>
      </w:r>
      <w:r w:rsidRPr="00273106">
        <w:t xml:space="preserve">). </w:t>
      </w:r>
      <w:r w:rsidR="08692AD6">
        <w:t>Připomeňme podobnou formulaci ohledně problematického výkladu stejné kategorie spisů od Davida Dinantu (</w:t>
      </w:r>
      <w:r w:rsidR="08692AD6" w:rsidRPr="08692AD6">
        <w:rPr>
          <w:i/>
        </w:rPr>
        <w:t>libri Aristotelis de methafisica et de naturali philosophia</w:t>
      </w:r>
      <w:r w:rsidR="083447B1">
        <w:t>, kap. 2</w:t>
      </w:r>
      <w:r w:rsidR="08692AD6">
        <w:t>.1.3). C</w:t>
      </w:r>
      <w:r w:rsidR="08573143">
        <w:t>itát ukazuje spor mezi Toledskou a Sicilskou školou</w:t>
      </w:r>
      <w:r w:rsidR="08AB5526">
        <w:fldChar w:fldCharType="begin"/>
      </w:r>
      <w:r w:rsidR="08AB5526">
        <w:instrText xml:space="preserve"> XE "</w:instrText>
      </w:r>
      <w:r w:rsidR="08AB5526" w:rsidRPr="08E61368">
        <w:instrText>Sicilská škola</w:instrText>
      </w:r>
      <w:r w:rsidR="08AB5526">
        <w:instrText xml:space="preserve">" </w:instrText>
      </w:r>
      <w:r w:rsidR="08AB5526">
        <w:fldChar w:fldCharType="end"/>
      </w:r>
      <w:r w:rsidR="08590E13">
        <w:t>, které</w:t>
      </w:r>
      <w:r w:rsidR="08573143">
        <w:t xml:space="preserve"> </w:t>
      </w:r>
      <w:r w:rsidR="08590E13">
        <w:t>rozdílně vyložily</w:t>
      </w:r>
      <w:r w:rsidR="08573143">
        <w:t xml:space="preserve"> Aristotelovy spisy </w:t>
      </w:r>
      <w:r w:rsidR="08F667D4">
        <w:rPr>
          <w:i/>
        </w:rPr>
        <w:t>ad mentem</w:t>
      </w:r>
      <w:r w:rsidR="08573143" w:rsidRPr="08573143">
        <w:rPr>
          <w:i/>
        </w:rPr>
        <w:t xml:space="preserve"> Averrois</w:t>
      </w:r>
      <w:r w:rsidR="08692AD6" w:rsidRPr="08692AD6">
        <w:t xml:space="preserve"> </w:t>
      </w:r>
      <w:r w:rsidR="08692AD6">
        <w:t>po roce 1230</w:t>
      </w:r>
      <w:r w:rsidR="08573143">
        <w:rPr>
          <w:i/>
        </w:rPr>
        <w:fldChar w:fldCharType="begin"/>
      </w:r>
      <w:r w:rsidR="08573143">
        <w:instrText xml:space="preserve"> XE "</w:instrText>
      </w:r>
      <w:r w:rsidR="087667B3">
        <w:rPr>
          <w:i/>
        </w:rPr>
        <w:instrText>ad mentem</w:instrText>
      </w:r>
      <w:r w:rsidR="08573143" w:rsidRPr="08545819">
        <w:rPr>
          <w:i/>
        </w:rPr>
        <w:instrText xml:space="preserve"> Averrois</w:instrText>
      </w:r>
      <w:r w:rsidR="08573143">
        <w:instrText xml:space="preserve">" </w:instrText>
      </w:r>
      <w:r w:rsidR="08573143">
        <w:rPr>
          <w:i/>
        </w:rPr>
        <w:fldChar w:fldCharType="end"/>
      </w:r>
      <w:r w:rsidR="08573143">
        <w:t xml:space="preserve">. </w:t>
      </w:r>
      <w:r w:rsidR="00A429F2" w:rsidRPr="00273106">
        <w:t>K</w:t>
      </w:r>
      <w:r w:rsidRPr="00273106">
        <w:t xml:space="preserve">líčovým představitelem </w:t>
      </w:r>
      <w:r w:rsidR="080B1E4C">
        <w:t xml:space="preserve">nové </w:t>
      </w:r>
      <w:r w:rsidR="00A429F2" w:rsidRPr="00273106">
        <w:t xml:space="preserve">kontroverze </w:t>
      </w:r>
      <w:r w:rsidRPr="00273106">
        <w:t xml:space="preserve">byl Rufus, což Bacon výslovně uvedl v jiných dílech, </w:t>
      </w:r>
      <w:r w:rsidR="009218F1" w:rsidRPr="00273106">
        <w:t xml:space="preserve">navíc </w:t>
      </w:r>
      <w:r w:rsidRPr="00273106">
        <w:t>s přesnou datací sp</w:t>
      </w:r>
      <w:r w:rsidR="083447B1">
        <w:t>oru (kap. 3</w:t>
      </w:r>
      <w:r w:rsidRPr="00273106">
        <w:t xml:space="preserve">.2). Interpretace Aristotela, Avicenny a </w:t>
      </w:r>
      <w:r w:rsidR="002E3B62">
        <w:t>Averroes</w:t>
      </w:r>
      <w:r w:rsidRPr="00273106">
        <w:t xml:space="preserve">e byla kvůli hluboké neznalosti </w:t>
      </w:r>
      <w:r w:rsidR="004218D7">
        <w:t>(</w:t>
      </w:r>
      <w:r w:rsidR="004218D7" w:rsidRPr="00273106">
        <w:rPr>
          <w:i/>
        </w:rPr>
        <w:t>densam ignorantiam</w:t>
      </w:r>
      <w:r w:rsidR="004218D7">
        <w:t xml:space="preserve">) </w:t>
      </w:r>
      <w:r w:rsidRPr="00273106">
        <w:t xml:space="preserve">prvních </w:t>
      </w:r>
      <w:r w:rsidR="00602956">
        <w:t xml:space="preserve">modernistů </w:t>
      </w:r>
      <w:r w:rsidRPr="00273106">
        <w:t>naprosto chybná</w:t>
      </w:r>
      <w:r w:rsidR="007E7483">
        <w:t xml:space="preserve"> a </w:t>
      </w:r>
      <w:r w:rsidR="0053144B">
        <w:t xml:space="preserve">zmatené </w:t>
      </w:r>
      <w:r w:rsidR="007E7483">
        <w:t>spisy této školy byly</w:t>
      </w:r>
      <w:r w:rsidRPr="00273106">
        <w:t xml:space="preserve"> </w:t>
      </w:r>
      <w:r w:rsidR="007E7483">
        <w:t xml:space="preserve">veřejně </w:t>
      </w:r>
      <w:r w:rsidRPr="00273106">
        <w:t>odsou</w:t>
      </w:r>
      <w:r w:rsidR="00745478">
        <w:t>z</w:t>
      </w:r>
      <w:r w:rsidRPr="00273106">
        <w:t>en</w:t>
      </w:r>
      <w:r w:rsidR="007E7483">
        <w:t>y</w:t>
      </w:r>
      <w:r w:rsidRPr="00273106">
        <w:t xml:space="preserve"> </w:t>
      </w:r>
      <w:r w:rsidR="00745478">
        <w:t xml:space="preserve">jako heretické </w:t>
      </w:r>
      <w:r w:rsidRPr="00273106">
        <w:t>(</w:t>
      </w:r>
      <w:r w:rsidRPr="00273106">
        <w:rPr>
          <w:i/>
        </w:rPr>
        <w:t>fuerunt libri eorum excommunicati</w:t>
      </w:r>
      <w:r w:rsidRPr="00273106">
        <w:t xml:space="preserve">). </w:t>
      </w:r>
      <w:r w:rsidR="08AB5526">
        <w:t xml:space="preserve">Tím byl do smrti </w:t>
      </w:r>
      <w:r w:rsidR="080B1E4C">
        <w:t xml:space="preserve">biskupa </w:t>
      </w:r>
      <w:r w:rsidR="08AB5526">
        <w:t xml:space="preserve">Alverna zastaven na Pařížské univerzitě nástup </w:t>
      </w:r>
      <w:r w:rsidR="08A40AEB">
        <w:t xml:space="preserve">modernistů vykládajících </w:t>
      </w:r>
      <w:r w:rsidR="08A40AEB" w:rsidRPr="08A40AEB">
        <w:rPr>
          <w:i/>
        </w:rPr>
        <w:t>Corpus Aristotelicum</w:t>
      </w:r>
      <w:r w:rsidR="08A40AEB">
        <w:t xml:space="preserve"> </w:t>
      </w:r>
      <w:r w:rsidR="08C33111">
        <w:t xml:space="preserve">podle </w:t>
      </w:r>
      <w:r w:rsidR="081456C0">
        <w:t>aristotelismu Davida z Dinantu</w:t>
      </w:r>
      <w:r w:rsidR="08C33111">
        <w:t xml:space="preserve">. </w:t>
      </w:r>
      <w:r w:rsidR="08AB5526">
        <w:fldChar w:fldCharType="begin"/>
      </w:r>
      <w:r w:rsidR="08AB5526">
        <w:instrText xml:space="preserve"> XE "</w:instrText>
      </w:r>
      <w:r w:rsidR="08AB5526" w:rsidRPr="08D939A7">
        <w:instrText>Toledská škola</w:instrText>
      </w:r>
      <w:r w:rsidR="08AB5526">
        <w:instrText xml:space="preserve">" </w:instrText>
      </w:r>
      <w:r w:rsidR="08AB5526">
        <w:fldChar w:fldCharType="end"/>
      </w:r>
      <w:r w:rsidR="08C33111">
        <w:t>A</w:t>
      </w:r>
      <w:r w:rsidR="08AB5526">
        <w:t xml:space="preserve">le jejich činnost pokračovala nerušeně na Oxfordu. </w:t>
      </w:r>
      <w:r w:rsidR="08787D11">
        <w:t>Baconův s</w:t>
      </w:r>
      <w:r w:rsidRPr="00273106">
        <w:t xml:space="preserve">eznam </w:t>
      </w:r>
      <w:r w:rsidR="00346EA3">
        <w:t xml:space="preserve">moderních omylů </w:t>
      </w:r>
      <w:r w:rsidR="08787D11">
        <w:t>se týkal i chybné i</w:t>
      </w:r>
      <w:r w:rsidR="00A923C4">
        <w:t>nte</w:t>
      </w:r>
      <w:r w:rsidR="009F676B">
        <w:t>r</w:t>
      </w:r>
      <w:r w:rsidR="00A923C4">
        <w:t>pretace</w:t>
      </w:r>
      <w:r w:rsidR="00346EA3">
        <w:t xml:space="preserve"> </w:t>
      </w:r>
      <w:r w:rsidR="00A923C4">
        <w:t>Avicenny</w:t>
      </w:r>
      <w:r w:rsidR="00346EA3">
        <w:t xml:space="preserve">, což je také správné. </w:t>
      </w:r>
      <w:r w:rsidR="005C5A8C">
        <w:t>M</w:t>
      </w:r>
      <w:r w:rsidRPr="00273106">
        <w:t xml:space="preserve">atematicky </w:t>
      </w:r>
      <w:r w:rsidR="00243982">
        <w:t xml:space="preserve">založený </w:t>
      </w:r>
      <w:r w:rsidRPr="00273106">
        <w:t xml:space="preserve">Rufus zrušil </w:t>
      </w:r>
      <w:r w:rsidR="009F676B">
        <w:t xml:space="preserve">dokonce i </w:t>
      </w:r>
      <w:r w:rsidRPr="00273106">
        <w:t>metafyzickou abstrakci, která je základem Avicennovy metafyziky</w:t>
      </w:r>
      <w:r w:rsidR="08DE6CFE">
        <w:t xml:space="preserve"> (kap. 3</w:t>
      </w:r>
      <w:r w:rsidR="00EB0DE7">
        <w:t>.3.1)</w:t>
      </w:r>
      <w:r w:rsidRPr="00273106">
        <w:t xml:space="preserve">. Ale </w:t>
      </w:r>
      <w:r w:rsidR="00973610">
        <w:t>v</w:t>
      </w:r>
      <w:r w:rsidRPr="00273106">
        <w:t xml:space="preserve">liv Rufuse </w:t>
      </w:r>
      <w:r w:rsidR="00973610">
        <w:t>přežil zákaz jeho děl v Pa</w:t>
      </w:r>
      <w:r w:rsidR="008B483E">
        <w:t>říži</w:t>
      </w:r>
      <w:r w:rsidR="00973610">
        <w:t>, protože zdejší</w:t>
      </w:r>
      <w:r w:rsidRPr="00273106">
        <w:t xml:space="preserve"> </w:t>
      </w:r>
      <w:r w:rsidR="00973610">
        <w:t xml:space="preserve">studenti </w:t>
      </w:r>
      <w:r w:rsidRPr="00273106">
        <w:t xml:space="preserve">již </w:t>
      </w:r>
      <w:r w:rsidR="00973610">
        <w:t>byli ovlivněni</w:t>
      </w:r>
      <w:r w:rsidRPr="00273106">
        <w:t xml:space="preserve"> druhým averroismem (</w:t>
      </w:r>
      <w:r w:rsidRPr="00273106">
        <w:rPr>
          <w:i/>
        </w:rPr>
        <w:t>utentes eis per tempora satis longa</w:t>
      </w:r>
      <w:r w:rsidRPr="00273106">
        <w:t xml:space="preserve">). Připomeňme roli kritického myslitele </w:t>
      </w:r>
      <w:r w:rsidRPr="00273106">
        <w:rPr>
          <w:bCs/>
        </w:rPr>
        <w:t>Adama Marshe</w:t>
      </w:r>
      <w:r w:rsidRPr="00273106">
        <w:t>, který v otázce intelektu a substanční jednoty osoby</w:t>
      </w:r>
      <w:r w:rsidR="00487305" w:rsidRPr="00273106">
        <w:t xml:space="preserve"> hájil linii Grossetesteho. </w:t>
      </w:r>
      <w:r w:rsidR="00A16879">
        <w:t>S</w:t>
      </w:r>
      <w:r w:rsidR="00487305" w:rsidRPr="00273106">
        <w:t xml:space="preserve">mířlivý </w:t>
      </w:r>
      <w:r w:rsidR="00487305" w:rsidRPr="00273106">
        <w:rPr>
          <w:bCs/>
        </w:rPr>
        <w:t>Marsh</w:t>
      </w:r>
      <w:r w:rsidR="00487305" w:rsidRPr="00273106">
        <w:t xml:space="preserve"> </w:t>
      </w:r>
      <w:r w:rsidR="00FC2D57">
        <w:rPr>
          <w:bCs/>
        </w:rPr>
        <w:fldChar w:fldCharType="begin"/>
      </w:r>
      <w:r w:rsidR="00FC2D57">
        <w:instrText xml:space="preserve"> XE "</w:instrText>
      </w:r>
      <w:r w:rsidR="00FC2D57" w:rsidRPr="00A30AA5">
        <w:rPr>
          <w:bCs/>
        </w:rPr>
        <w:instrText>Adam de Marisco</w:instrText>
      </w:r>
      <w:r w:rsidR="00FC2D57">
        <w:instrText xml:space="preserve">" </w:instrText>
      </w:r>
      <w:r w:rsidR="00FC2D57">
        <w:rPr>
          <w:bCs/>
        </w:rPr>
        <w:fldChar w:fldCharType="end"/>
      </w:r>
      <w:r w:rsidRPr="00273106">
        <w:t>povolil z f</w:t>
      </w:r>
      <w:r w:rsidR="00A16879">
        <w:t>unkce r</w:t>
      </w:r>
      <w:r w:rsidRPr="00273106">
        <w:t xml:space="preserve">ektora na Oxfordu (od 1238) šíření Rufusových textů mezi </w:t>
      </w:r>
      <w:r w:rsidR="00D007D6">
        <w:t xml:space="preserve">tamějšími </w:t>
      </w:r>
      <w:r w:rsidRPr="00273106">
        <w:t>bakaláři.</w:t>
      </w:r>
      <w:r w:rsidRPr="00273106">
        <w:rPr>
          <w:rStyle w:val="Znakapoznpodarou"/>
        </w:rPr>
        <w:footnoteReference w:id="461"/>
      </w:r>
      <w:r w:rsidRPr="00273106">
        <w:t xml:space="preserve"> </w:t>
      </w:r>
      <w:r w:rsidR="0060472B">
        <w:t xml:space="preserve">A někteří z nich </w:t>
      </w:r>
      <w:r w:rsidR="001A0C39">
        <w:t>šli na magisterská studia do Paříže</w:t>
      </w:r>
      <w:r w:rsidR="0060472B">
        <w:t xml:space="preserve">, </w:t>
      </w:r>
      <w:r w:rsidR="00C74E4B">
        <w:t>jako například Duns</w:t>
      </w:r>
      <w:r w:rsidR="0060472B">
        <w:t xml:space="preserve"> Scot</w:t>
      </w:r>
      <w:r w:rsidR="00C74E4B">
        <w:t xml:space="preserve">us působící již v další generaci myslitelů ovlivněných </w:t>
      </w:r>
      <w:r w:rsidR="00C74E4B">
        <w:rPr>
          <w:i/>
        </w:rPr>
        <w:t>Oxf</w:t>
      </w:r>
      <w:r w:rsidR="00C74E4B" w:rsidRPr="00C74E4B">
        <w:rPr>
          <w:i/>
        </w:rPr>
        <w:t>o</w:t>
      </w:r>
      <w:r w:rsidR="00C74E4B">
        <w:rPr>
          <w:i/>
        </w:rPr>
        <w:t>r</w:t>
      </w:r>
      <w:r w:rsidR="00C74E4B" w:rsidRPr="00C74E4B">
        <w:rPr>
          <w:i/>
        </w:rPr>
        <w:t>dian Fallacy</w:t>
      </w:r>
      <w:r w:rsidR="00C74E4B">
        <w:t>.</w:t>
      </w:r>
      <w:r w:rsidR="0060472B">
        <w:t xml:space="preserve"> </w:t>
      </w:r>
      <w:r w:rsidRPr="00273106">
        <w:t>Baconův citát ukazuje jádro konfliktu m</w:t>
      </w:r>
      <w:r w:rsidR="005B0AF7">
        <w:t xml:space="preserve">ezi prvním a druhým averroismem, který se v Paříži rozběhl </w:t>
      </w:r>
      <w:r w:rsidR="08C951E4">
        <w:t>o</w:t>
      </w:r>
      <w:r w:rsidRPr="00273106">
        <w:t>kol</w:t>
      </w:r>
      <w:r w:rsidR="08C951E4">
        <w:t>o roku</w:t>
      </w:r>
      <w:r w:rsidRPr="00273106">
        <w:t xml:space="preserve"> 1240</w:t>
      </w:r>
      <w:r w:rsidR="00790655">
        <w:t xml:space="preserve">. Bacon </w:t>
      </w:r>
      <w:r w:rsidR="00E26E1A" w:rsidRPr="00273106">
        <w:t xml:space="preserve">spolehlivě </w:t>
      </w:r>
      <w:r w:rsidR="00D02D8D">
        <w:t xml:space="preserve">identifikuje skupinu </w:t>
      </w:r>
      <w:r w:rsidRPr="00273106">
        <w:rPr>
          <w:i/>
        </w:rPr>
        <w:t>sophistae Latini</w:t>
      </w:r>
      <w:r w:rsidR="005109BC">
        <w:rPr>
          <w:i/>
        </w:rPr>
        <w:fldChar w:fldCharType="begin"/>
      </w:r>
      <w:r w:rsidR="005109BC">
        <w:instrText xml:space="preserve"> XE "</w:instrText>
      </w:r>
      <w:r w:rsidR="00464507">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016171E">
        <w:t>, o níž mluví Alvernus.</w:t>
      </w:r>
    </w:p>
    <w:p w14:paraId="4B5F7407" w14:textId="5C64DE8C" w:rsidR="0882340F" w:rsidRDefault="08896BF7" w:rsidP="0016171E">
      <w:pPr>
        <w:ind w:firstLine="397"/>
      </w:pPr>
      <w:r>
        <w:t xml:space="preserve">Je dost pravděpodobné, že za této situace </w:t>
      </w:r>
      <w:r w:rsidR="00D85F0D">
        <w:t xml:space="preserve">Rufus </w:t>
      </w:r>
      <w:r>
        <w:t xml:space="preserve">nedostal </w:t>
      </w:r>
      <w:r w:rsidR="00D85F0D">
        <w:t>magisterskou hodnost</w:t>
      </w:r>
      <w:r w:rsidR="08A97DB0">
        <w:t xml:space="preserve"> na Pařížské univerzitě do roku 1250</w:t>
      </w:r>
      <w:r>
        <w:t xml:space="preserve">. Toho dosáhl až později, když </w:t>
      </w:r>
      <w:r w:rsidR="00D85F0D">
        <w:t>mendikantské řády dosta</w:t>
      </w:r>
      <w:r w:rsidR="00B92364">
        <w:t>ly vlastní katedru v roce 1255. Právem lze předpopkládat</w:t>
      </w:r>
      <w:r w:rsidR="00B92364" w:rsidRPr="00B92364">
        <w:t xml:space="preserve">, že Rufus byl jedním z prvních </w:t>
      </w:r>
      <w:r w:rsidR="00B92364">
        <w:t xml:space="preserve">magistrů nově zřízené </w:t>
      </w:r>
      <w:r w:rsidR="00B92364" w:rsidRPr="00B92364">
        <w:t xml:space="preserve">mendikantské fakulty, </w:t>
      </w:r>
      <w:r w:rsidR="00B92364">
        <w:t>což se rovnalo vyhlášení války</w:t>
      </w:r>
      <w:r w:rsidR="00B92364" w:rsidRPr="00B92364">
        <w:t xml:space="preserve"> klasické filozofii.</w:t>
      </w:r>
      <w:r w:rsidR="00B92364">
        <w:t xml:space="preserve"> </w:t>
      </w:r>
      <w:r w:rsidR="00D85F0D">
        <w:t xml:space="preserve">Proto </w:t>
      </w:r>
      <w:r w:rsidR="00B92364">
        <w:t xml:space="preserve">hned v </w:t>
      </w:r>
      <w:r w:rsidR="00D85F0D">
        <w:t xml:space="preserve">roce </w:t>
      </w:r>
      <w:r w:rsidR="00B92364">
        <w:t xml:space="preserve">1255 </w:t>
      </w:r>
      <w:r w:rsidR="00D85F0D">
        <w:t>vypuká zásadní spor mezi akademickými mendikanty a světskými magistry na Pařížské univerzitě, který musí řešit papežové v Římě (</w:t>
      </w:r>
      <w:r w:rsidR="08D47932">
        <w:t xml:space="preserve">OBJ III, </w:t>
      </w:r>
      <w:r w:rsidR="08907952">
        <w:t>kap. 4</w:t>
      </w:r>
      <w:r w:rsidR="00D85F0D">
        <w:t xml:space="preserve">.1.2). </w:t>
      </w:r>
      <w:r w:rsidR="00DA4524" w:rsidRPr="00273106">
        <w:t xml:space="preserve">Intelektuální centrum modernistů na Oxfordu ovlivněných </w:t>
      </w:r>
      <w:r w:rsidR="00F319EC">
        <w:t xml:space="preserve">Grossetesteho verzí </w:t>
      </w:r>
      <w:r w:rsidR="00DA4524" w:rsidRPr="00273106">
        <w:rPr>
          <w:i/>
        </w:rPr>
        <w:t>Oxfordian Fallacy</w:t>
      </w:r>
      <w:r w:rsidR="00924399">
        <w:rPr>
          <w:i/>
        </w:rPr>
        <w:fldChar w:fldCharType="begin"/>
      </w:r>
      <w:r w:rsidR="00924399">
        <w:instrText xml:space="preserve"> XE "</w:instrText>
      </w:r>
      <w:r w:rsidR="00924399" w:rsidRPr="0015798D">
        <w:rPr>
          <w:i/>
        </w:rPr>
        <w:instrText>Oxfordian Fallacy:</w:instrText>
      </w:r>
      <w:r w:rsidR="00883979" w:rsidRPr="00883979">
        <w:instrText>Rufus</w:instrText>
      </w:r>
      <w:r w:rsidR="00924399">
        <w:instrText xml:space="preserve">" </w:instrText>
      </w:r>
      <w:r w:rsidR="00924399">
        <w:rPr>
          <w:i/>
        </w:rPr>
        <w:fldChar w:fldCharType="end"/>
      </w:r>
      <w:r w:rsidR="00DA4524" w:rsidRPr="00273106">
        <w:t xml:space="preserve"> hledělo na </w:t>
      </w:r>
      <w:r w:rsidR="002B429D">
        <w:t xml:space="preserve">Rufusovy </w:t>
      </w:r>
      <w:r w:rsidR="00DA4524" w:rsidRPr="00273106">
        <w:t xml:space="preserve">teorie mnohem smířlivěji. Na seznamu proskribovaných autorů Oxfordu se nakonec ocitl samotný Bacon, což dosvědčuje jeho kritika druhého averroismu </w:t>
      </w:r>
      <w:r w:rsidR="00B00CF3">
        <w:t xml:space="preserve">podaná </w:t>
      </w:r>
      <w:r w:rsidR="00DA4524" w:rsidRPr="00273106">
        <w:t xml:space="preserve">v traktátu </w:t>
      </w:r>
      <w:r w:rsidR="00DA4524" w:rsidRPr="00273106">
        <w:rPr>
          <w:i/>
        </w:rPr>
        <w:t>Opus minus</w:t>
      </w:r>
      <w:r w:rsidR="08907952">
        <w:t xml:space="preserve"> (kap. 3</w:t>
      </w:r>
      <w:r w:rsidR="00DA4524" w:rsidRPr="00273106">
        <w:t xml:space="preserve">.4.3). Rufusova </w:t>
      </w:r>
      <w:r w:rsidR="08D62E9B">
        <w:t xml:space="preserve">sofistická </w:t>
      </w:r>
      <w:r w:rsidR="00DA4524" w:rsidRPr="00273106">
        <w:t xml:space="preserve">interpretace CMDA se stala gnoseologickým krédem následujících generací </w:t>
      </w:r>
      <w:r w:rsidR="00DA4524" w:rsidRPr="00273106">
        <w:rPr>
          <w:i/>
        </w:rPr>
        <w:t>Modernorum</w:t>
      </w:r>
      <w:r w:rsidR="00DA4524" w:rsidRPr="00273106">
        <w:t xml:space="preserve">, kteří </w:t>
      </w:r>
      <w:r w:rsidR="00A12158" w:rsidRPr="00273106">
        <w:t xml:space="preserve">vzali Rufusův </w:t>
      </w:r>
      <w:r w:rsidR="00DA4524" w:rsidRPr="00273106">
        <w:t xml:space="preserve">koncept </w:t>
      </w:r>
      <w:r w:rsidR="000D1943">
        <w:t xml:space="preserve">numericky jednotného </w:t>
      </w:r>
      <w:r w:rsidR="00DA4524" w:rsidRPr="00273106">
        <w:rPr>
          <w:i/>
        </w:rPr>
        <w:t>intellectus possibilis</w:t>
      </w:r>
      <w:r w:rsidR="00DA4524" w:rsidRPr="00273106">
        <w:t xml:space="preserve"> stejně </w:t>
      </w:r>
      <w:r w:rsidR="00E53F8D">
        <w:t xml:space="preserve">nekriticky </w:t>
      </w:r>
      <w:r w:rsidR="00DA4524" w:rsidRPr="00273106">
        <w:t xml:space="preserve">jako odsouzení </w:t>
      </w:r>
      <w:r w:rsidR="002E3B62">
        <w:t>Averroes</w:t>
      </w:r>
      <w:r w:rsidR="00DA4524" w:rsidRPr="00273106">
        <w:t xml:space="preserve">e. </w:t>
      </w:r>
      <w:r w:rsidR="00D74CD8">
        <w:t xml:space="preserve">Masivní útok na Komentátora začal v Bonaventurově škole </w:t>
      </w:r>
      <w:r w:rsidR="00E53F8D">
        <w:t>po smrti biskupa Alverna</w:t>
      </w:r>
      <w:r w:rsidR="081109A7">
        <w:t xml:space="preserve"> v roce 1252</w:t>
      </w:r>
      <w:r w:rsidR="00870FC0" w:rsidRPr="00273106">
        <w:t>.</w:t>
      </w:r>
      <w:r w:rsidR="00625647">
        <w:t xml:space="preserve"> </w:t>
      </w:r>
      <w:r w:rsidR="00E53F8D">
        <w:t>Ale nyní se píše rok 1240</w:t>
      </w:r>
      <w:r w:rsidR="00503DB9">
        <w:t xml:space="preserve"> a </w:t>
      </w:r>
      <w:r w:rsidR="00277522">
        <w:t xml:space="preserve">kritický rozum </w:t>
      </w:r>
      <w:r w:rsidR="003528D6">
        <w:t xml:space="preserve">filosofů </w:t>
      </w:r>
      <w:r w:rsidR="007A056D">
        <w:t xml:space="preserve">ještě </w:t>
      </w:r>
      <w:r w:rsidR="00277522">
        <w:t>pracuje na výbornou</w:t>
      </w:r>
      <w:r w:rsidR="00503DB9">
        <w:t>. M</w:t>
      </w:r>
      <w:r w:rsidR="00277522">
        <w:t xml:space="preserve">odernisté </w:t>
      </w:r>
      <w:r w:rsidR="00503DB9">
        <w:t xml:space="preserve">a latinští sofisté </w:t>
      </w:r>
      <w:r w:rsidR="009B6850">
        <w:t xml:space="preserve">na Pařížské univerzitě vedené </w:t>
      </w:r>
      <w:r w:rsidR="00F74CAC">
        <w:t xml:space="preserve">kancléřem a biskupem </w:t>
      </w:r>
      <w:r w:rsidR="009B6850">
        <w:t xml:space="preserve">Alvernem </w:t>
      </w:r>
      <w:r w:rsidR="00277522">
        <w:t xml:space="preserve">zažívají krušné časy. </w:t>
      </w:r>
      <w:r w:rsidR="00775D7B">
        <w:t>V</w:t>
      </w:r>
      <w:r w:rsidR="00775D7B" w:rsidRPr="00273106">
        <w:t xml:space="preserve"> téže době </w:t>
      </w:r>
      <w:r w:rsidR="00775D7B">
        <w:t xml:space="preserve">zveřejnil </w:t>
      </w:r>
      <w:r w:rsidR="00775D7B" w:rsidRPr="00273106">
        <w:t xml:space="preserve">Albert Veliký </w:t>
      </w:r>
      <w:r w:rsidR="086A0D10">
        <w:t xml:space="preserve">jako </w:t>
      </w:r>
      <w:r w:rsidR="086A0D10" w:rsidRPr="00F10E89">
        <w:rPr>
          <w:i/>
        </w:rPr>
        <w:t>magistr regens</w:t>
      </w:r>
      <w:r w:rsidR="086A0D10">
        <w:t xml:space="preserve"> dominikánské koleje </w:t>
      </w:r>
      <w:r w:rsidR="00775D7B" w:rsidRPr="00273106">
        <w:t xml:space="preserve">v Paříži </w:t>
      </w:r>
      <w:r w:rsidR="00775D7B">
        <w:t xml:space="preserve">první část traktátu </w:t>
      </w:r>
      <w:r w:rsidR="00775D7B" w:rsidRPr="00273106">
        <w:rPr>
          <w:i/>
        </w:rPr>
        <w:t>De homine</w:t>
      </w:r>
      <w:r w:rsidR="00775D7B">
        <w:t>, v níž</w:t>
      </w:r>
      <w:r w:rsidR="00775D7B" w:rsidRPr="00273106">
        <w:t xml:space="preserve"> brání </w:t>
      </w:r>
      <w:r w:rsidR="00775D7B">
        <w:t>Averroes</w:t>
      </w:r>
      <w:r w:rsidR="00775D7B" w:rsidRPr="00273106">
        <w:t xml:space="preserve">ovo pojetí </w:t>
      </w:r>
      <w:r w:rsidR="00775D7B" w:rsidRPr="00273106">
        <w:rPr>
          <w:i/>
        </w:rPr>
        <w:t>intellectus possibilis</w:t>
      </w:r>
      <w:r w:rsidR="00775D7B">
        <w:rPr>
          <w:i/>
        </w:rPr>
        <w:fldChar w:fldCharType="begin"/>
      </w:r>
      <w:r w:rsidR="00775D7B">
        <w:instrText xml:space="preserve"> XE "</w:instrText>
      </w:r>
      <w:r w:rsidR="00775D7B" w:rsidRPr="00770D02">
        <w:rPr>
          <w:i/>
        </w:rPr>
        <w:instrText>intellectus possibilis</w:instrText>
      </w:r>
      <w:r w:rsidR="00775D7B">
        <w:instrText xml:space="preserve">:Albert" </w:instrText>
      </w:r>
      <w:r w:rsidR="00775D7B">
        <w:rPr>
          <w:i/>
        </w:rPr>
        <w:fldChar w:fldCharType="end"/>
      </w:r>
      <w:r w:rsidR="00775D7B" w:rsidRPr="00273106">
        <w:t xml:space="preserve"> a představuje plnou jednotu intelektuálně myslící osoby v modu </w:t>
      </w:r>
      <w:r w:rsidR="00775D7B" w:rsidRPr="00273106">
        <w:rPr>
          <w:i/>
        </w:rPr>
        <w:t>intellectus speculativus</w:t>
      </w:r>
      <w:r w:rsidR="00775D7B">
        <w:rPr>
          <w:i/>
        </w:rPr>
        <w:fldChar w:fldCharType="begin"/>
      </w:r>
      <w:r w:rsidR="00775D7B">
        <w:instrText xml:space="preserve"> XE "</w:instrText>
      </w:r>
      <w:r w:rsidR="00775D7B" w:rsidRPr="00E2134B">
        <w:rPr>
          <w:i/>
        </w:rPr>
        <w:instrText>intellectus speculativus:</w:instrText>
      </w:r>
      <w:r w:rsidR="00775D7B" w:rsidRPr="00E2134B">
        <w:instrText>A</w:instrText>
      </w:r>
      <w:r w:rsidR="00775D7B">
        <w:instrText xml:space="preserve">lbert" </w:instrText>
      </w:r>
      <w:r w:rsidR="00775D7B">
        <w:rPr>
          <w:i/>
        </w:rPr>
        <w:fldChar w:fldCharType="end"/>
      </w:r>
      <w:r w:rsidR="08B05173">
        <w:t xml:space="preserve"> (kap. 2</w:t>
      </w:r>
      <w:r w:rsidR="00775D7B" w:rsidRPr="00273106">
        <w:t xml:space="preserve">.4.2). </w:t>
      </w:r>
      <w:r w:rsidR="08092589">
        <w:t xml:space="preserve">Výsledem </w:t>
      </w:r>
      <w:r w:rsidR="087C100C">
        <w:t xml:space="preserve">Albertova </w:t>
      </w:r>
      <w:r w:rsidR="08092589">
        <w:t xml:space="preserve">podání CMDA v modu Sicilské školy </w:t>
      </w:r>
      <w:r w:rsidR="086B50E3">
        <w:t xml:space="preserve">bylo jednak jeho jmenování </w:t>
      </w:r>
      <w:r w:rsidR="00F51473" w:rsidRPr="00F51473">
        <w:rPr>
          <w:i/>
        </w:rPr>
        <w:t>magister</w:t>
      </w:r>
      <w:r w:rsidR="08817EAB" w:rsidRPr="00F51473">
        <w:rPr>
          <w:i/>
        </w:rPr>
        <w:t xml:space="preserve"> </w:t>
      </w:r>
      <w:r w:rsidR="00F10E89">
        <w:rPr>
          <w:i/>
        </w:rPr>
        <w:t>regens</w:t>
      </w:r>
      <w:r w:rsidR="00F51473" w:rsidRPr="00F51473">
        <w:rPr>
          <w:i/>
        </w:rPr>
        <w:t xml:space="preserve"> </w:t>
      </w:r>
      <w:r w:rsidR="007E64C4">
        <w:t xml:space="preserve">Pařížské university </w:t>
      </w:r>
      <w:r w:rsidR="086B50E3">
        <w:t xml:space="preserve">a jednak </w:t>
      </w:r>
      <w:r w:rsidR="08092589">
        <w:t xml:space="preserve">urychlený odchod Kilwardbyho </w:t>
      </w:r>
      <w:r w:rsidR="00F51473">
        <w:t xml:space="preserve">do Oxfordu roku 1245. Kilwardby se stal magistrem Pařížské univerzity, ale určitě nemohl vyučovat </w:t>
      </w:r>
      <w:r w:rsidR="00ED23D5">
        <w:t xml:space="preserve">jeho </w:t>
      </w:r>
      <w:r w:rsidR="00F51473">
        <w:t xml:space="preserve">modernistické </w:t>
      </w:r>
      <w:r w:rsidR="00ED23D5">
        <w:t xml:space="preserve">omyly </w:t>
      </w:r>
      <w:r w:rsidR="00F51473">
        <w:t xml:space="preserve">na Albertem vedené domikánské koleji v Paříži. </w:t>
      </w:r>
      <w:r w:rsidR="00876FB4">
        <w:t>A ve stejné době psal</w:t>
      </w:r>
      <w:r w:rsidR="00775D7B">
        <w:t xml:space="preserve"> Bacon komentář k </w:t>
      </w:r>
      <w:r w:rsidR="00775D7B" w:rsidRPr="00775D7B">
        <w:rPr>
          <w:i/>
        </w:rPr>
        <w:t>Metafyzice</w:t>
      </w:r>
      <w:r w:rsidR="00775D7B">
        <w:t xml:space="preserve"> ve stejném duchu jako Albertův sp</w:t>
      </w:r>
      <w:r w:rsidR="00DA6B3D">
        <w:t>is. Oba autoři výslovně odsoudili</w:t>
      </w:r>
      <w:r w:rsidR="00775D7B">
        <w:t xml:space="preserve"> sofistiku svých současníků ohledně Averroesovy metafyziky a</w:t>
      </w:r>
      <w:r w:rsidR="00B2598B">
        <w:t xml:space="preserve"> jeich teorii</w:t>
      </w:r>
      <w:r w:rsidR="00775D7B">
        <w:t xml:space="preserve"> poznání.</w:t>
      </w:r>
      <w:r w:rsidR="008E2C44">
        <w:t xml:space="preserve"> </w:t>
      </w:r>
      <w:r w:rsidR="008E2C44" w:rsidRPr="00273106">
        <w:t xml:space="preserve">Rufus odchází po studiích v Paříži (asi 1248) </w:t>
      </w:r>
      <w:r w:rsidR="008E2C44">
        <w:t xml:space="preserve">zpět </w:t>
      </w:r>
      <w:r w:rsidR="008E2C44" w:rsidRPr="00273106">
        <w:t>na Oxford</w:t>
      </w:r>
      <w:r w:rsidR="009938FB">
        <w:t xml:space="preserve">. Tento člen skupiny, kterou Albert nazval </w:t>
      </w:r>
      <w:r w:rsidR="009938FB" w:rsidRPr="009938FB">
        <w:rPr>
          <w:i/>
        </w:rPr>
        <w:t>doctores Latini</w:t>
      </w:r>
      <w:r w:rsidR="009938FB">
        <w:t xml:space="preserve">, </w:t>
      </w:r>
      <w:r w:rsidR="008E2C44" w:rsidRPr="00273106">
        <w:t>byl prvním františkánským bakalářem přednášejícím Sentence</w:t>
      </w:r>
      <w:r w:rsidR="000605CC">
        <w:t xml:space="preserve"> na Oxfordu</w:t>
      </w:r>
      <w:r w:rsidR="008E2C44" w:rsidRPr="00273106">
        <w:t xml:space="preserve">. Thomas z Yorku byl zvolen 1253 jako </w:t>
      </w:r>
      <w:r w:rsidR="008E2C44" w:rsidRPr="005A4EC8">
        <w:rPr>
          <w:i/>
        </w:rPr>
        <w:t>magist</w:t>
      </w:r>
      <w:r w:rsidR="005A4EC8" w:rsidRPr="005A4EC8">
        <w:rPr>
          <w:i/>
        </w:rPr>
        <w:t>e</w:t>
      </w:r>
      <w:r w:rsidR="008E2C44" w:rsidRPr="005A4EC8">
        <w:rPr>
          <w:i/>
        </w:rPr>
        <w:t>r regens</w:t>
      </w:r>
      <w:r w:rsidR="008E2C44" w:rsidRPr="00273106">
        <w:t xml:space="preserve"> františkánské koleje na Oxfordu</w:t>
      </w:r>
      <w:r w:rsidR="005A4EC8">
        <w:t xml:space="preserve">, protože měl na rozdíl od Rufuse plnou </w:t>
      </w:r>
      <w:r w:rsidR="005A4EC8" w:rsidRPr="005A4EC8">
        <w:rPr>
          <w:i/>
        </w:rPr>
        <w:t>licentia docendi</w:t>
      </w:r>
      <w:r w:rsidR="005A4EC8">
        <w:t xml:space="preserve"> i pro teologii. </w:t>
      </w:r>
      <w:r w:rsidR="008E2C44" w:rsidRPr="00273106">
        <w:t xml:space="preserve">Rufus odchází zpět do Paříže, kde v letech 1253‒55 přednáší Sentence jako oficiálně nominovaný nástupce Bonaventury. </w:t>
      </w:r>
      <w:r w:rsidR="008E2C44">
        <w:t xml:space="preserve">Rufus dosáhl magisterského titulu </w:t>
      </w:r>
      <w:r w:rsidR="00A02626">
        <w:t xml:space="preserve">asi </w:t>
      </w:r>
      <w:r w:rsidR="00CE2D55">
        <w:t xml:space="preserve">v roce 1255, až </w:t>
      </w:r>
      <w:r w:rsidR="08A1747C">
        <w:t>po založení mendikantské katedry</w:t>
      </w:r>
      <w:r w:rsidR="00CE2D55">
        <w:t xml:space="preserve">, která spojila všechny </w:t>
      </w:r>
      <w:r w:rsidR="008E2C44">
        <w:t>modernisty</w:t>
      </w:r>
      <w:r w:rsidR="00CE2D55">
        <w:t xml:space="preserve"> v</w:t>
      </w:r>
      <w:r w:rsidR="00986C95">
        <w:t> </w:t>
      </w:r>
      <w:r w:rsidR="00CE2D55">
        <w:t>Paříži</w:t>
      </w:r>
      <w:r w:rsidR="008E2C44">
        <w:t>. A</w:t>
      </w:r>
      <w:r w:rsidR="005734A7">
        <w:t xml:space="preserve"> následujícího roku s</w:t>
      </w:r>
      <w:r w:rsidR="008E2C44">
        <w:t xml:space="preserve">e </w:t>
      </w:r>
      <w:r w:rsidR="08361F7E">
        <w:t xml:space="preserve">otec modernistů </w:t>
      </w:r>
      <w:r w:rsidR="008E2C44" w:rsidRPr="00273106">
        <w:t xml:space="preserve">vrací </w:t>
      </w:r>
      <w:r w:rsidR="00A30D5F">
        <w:t xml:space="preserve">již </w:t>
      </w:r>
      <w:r w:rsidR="008E2C44" w:rsidRPr="00273106">
        <w:t xml:space="preserve">jako magistr </w:t>
      </w:r>
      <w:r w:rsidR="00A964BA">
        <w:t xml:space="preserve">pro studia </w:t>
      </w:r>
      <w:r w:rsidR="008E2C44" w:rsidRPr="00273106">
        <w:t>na Oxford</w:t>
      </w:r>
      <w:r w:rsidR="00A964BA">
        <w:t>u</w:t>
      </w:r>
      <w:r w:rsidR="009D30A7">
        <w:t>, protože Thomas z Yorku odešel</w:t>
      </w:r>
      <w:r w:rsidR="008E2C44" w:rsidRPr="00273106">
        <w:t xml:space="preserve"> na nově založenou kolej v Cambridge.</w:t>
      </w:r>
      <w:r w:rsidR="00A30D5F">
        <w:t xml:space="preserve"> Jmenování Rufuse </w:t>
      </w:r>
      <w:r w:rsidR="00951D3E">
        <w:t xml:space="preserve">do funce </w:t>
      </w:r>
      <w:r w:rsidR="00C00DB6" w:rsidRPr="003A0C7B">
        <w:rPr>
          <w:i/>
        </w:rPr>
        <w:t>magister regens</w:t>
      </w:r>
      <w:r w:rsidR="00C00DB6" w:rsidRPr="00414884">
        <w:t xml:space="preserve"> </w:t>
      </w:r>
      <w:r w:rsidR="00A30D5F">
        <w:t xml:space="preserve">představovalo první akademické vítězství modernistů na Pařížské univerzitě, proti němuž </w:t>
      </w:r>
      <w:r w:rsidR="00767A42">
        <w:t xml:space="preserve">asi </w:t>
      </w:r>
      <w:r w:rsidR="00A30D5F">
        <w:t xml:space="preserve">vehementně a marně protestovali akademičtí představitelé na </w:t>
      </w:r>
      <w:r w:rsidR="087E44B6">
        <w:t>Rue du Fouarre</w:t>
      </w:r>
      <w:r w:rsidR="00A30D5F">
        <w:t xml:space="preserve">. Proto je jen logické, že první obětí </w:t>
      </w:r>
      <w:r w:rsidR="000E4E3D">
        <w:t xml:space="preserve">útoku </w:t>
      </w:r>
      <w:r w:rsidR="00A30D5F">
        <w:t xml:space="preserve">modernistů </w:t>
      </w:r>
      <w:r w:rsidR="005212C7">
        <w:t xml:space="preserve">podpořených papežem Alexandrem IV. </w:t>
      </w:r>
      <w:r w:rsidR="00A30D5F">
        <w:t>byl rektor artistů Guillelmus</w:t>
      </w:r>
      <w:r w:rsidR="00A30D5F" w:rsidRPr="00E735C5">
        <w:t xml:space="preserve"> de </w:t>
      </w:r>
      <w:r w:rsidR="00A30D5F" w:rsidRPr="00E735C5">
        <w:rPr>
          <w:szCs w:val="16"/>
        </w:rPr>
        <w:t xml:space="preserve">Sancto </w:t>
      </w:r>
      <w:r w:rsidR="00A30D5F" w:rsidRPr="00E735C5">
        <w:rPr>
          <w:szCs w:val="19"/>
        </w:rPr>
        <w:t>Amore</w:t>
      </w:r>
      <w:r w:rsidR="00A30D5F">
        <w:rPr>
          <w:szCs w:val="19"/>
        </w:rPr>
        <w:fldChar w:fldCharType="begin"/>
      </w:r>
      <w:r w:rsidR="00A30D5F">
        <w:instrText xml:space="preserve"> XE "</w:instrText>
      </w:r>
      <w:r w:rsidR="00A30D5F" w:rsidRPr="003B256A">
        <w:instrText xml:space="preserve"> </w:instrText>
      </w:r>
      <w:r w:rsidR="00A30D5F">
        <w:instrText>Guillelmus</w:instrText>
      </w:r>
      <w:r w:rsidR="00A30D5F" w:rsidRPr="00E51395">
        <w:instrText xml:space="preserve"> de Sancto Amore</w:instrText>
      </w:r>
      <w:r w:rsidR="00A30D5F">
        <w:instrText xml:space="preserve">" </w:instrText>
      </w:r>
      <w:r w:rsidR="00A30D5F">
        <w:rPr>
          <w:szCs w:val="19"/>
        </w:rPr>
        <w:fldChar w:fldCharType="end"/>
      </w:r>
      <w:r w:rsidR="00A30D5F">
        <w:rPr>
          <w:szCs w:val="19"/>
        </w:rPr>
        <w:t xml:space="preserve"> a</w:t>
      </w:r>
      <w:r w:rsidR="00A30D5F">
        <w:t xml:space="preserve"> jeho </w:t>
      </w:r>
      <w:r w:rsidR="0062178B">
        <w:t xml:space="preserve">dva vynikající </w:t>
      </w:r>
      <w:r w:rsidR="00A30D5F">
        <w:t>žáci Gérard d'Abbeville</w:t>
      </w:r>
      <w:r w:rsidR="00A30D5F">
        <w:fldChar w:fldCharType="begin"/>
      </w:r>
      <w:r w:rsidR="00A30D5F">
        <w:instrText xml:space="preserve"> XE "</w:instrText>
      </w:r>
      <w:r w:rsidR="00A30D5F" w:rsidRPr="00E57453">
        <w:instrText>Gérard d'Abbeville</w:instrText>
      </w:r>
      <w:r w:rsidR="00A30D5F">
        <w:instrText xml:space="preserve">" </w:instrText>
      </w:r>
      <w:r w:rsidR="00A30D5F">
        <w:fldChar w:fldCharType="end"/>
      </w:r>
      <w:r w:rsidR="00A30D5F">
        <w:t xml:space="preserve"> a Nicolas de Lisieux</w:t>
      </w:r>
      <w:r w:rsidR="00A30D5F">
        <w:fldChar w:fldCharType="begin"/>
      </w:r>
      <w:r w:rsidR="00A30D5F">
        <w:instrText xml:space="preserve"> XE "</w:instrText>
      </w:r>
      <w:r w:rsidR="00A30D5F" w:rsidRPr="00256659">
        <w:instrText>Nicolas de Lisieux</w:instrText>
      </w:r>
      <w:r w:rsidR="00A30D5F">
        <w:instrText xml:space="preserve">" </w:instrText>
      </w:r>
      <w:r w:rsidR="00A30D5F">
        <w:fldChar w:fldCharType="end"/>
      </w:r>
      <w:r w:rsidR="00A30D5F">
        <w:t>. Guillelmus byl odvolán z univerzity a z fun</w:t>
      </w:r>
      <w:r w:rsidR="00D1690B">
        <w:t>k</w:t>
      </w:r>
      <w:r w:rsidR="00A30D5F">
        <w:t xml:space="preserve">ce rektora ve stejný rok, kdy </w:t>
      </w:r>
      <w:r w:rsidR="005D376A">
        <w:t xml:space="preserve">učený Latiník </w:t>
      </w:r>
      <w:r w:rsidR="00A30D5F">
        <w:t xml:space="preserve">Rufus dostal </w:t>
      </w:r>
      <w:r w:rsidR="00C8515C">
        <w:t xml:space="preserve">na této </w:t>
      </w:r>
      <w:r w:rsidR="00C8515C" w:rsidRPr="000E4E3D">
        <w:rPr>
          <w:i/>
        </w:rPr>
        <w:t>alma mater</w:t>
      </w:r>
      <w:r w:rsidR="00C8515C">
        <w:t xml:space="preserve"> </w:t>
      </w:r>
      <w:r w:rsidR="00A30D5F">
        <w:t>magisterskou hodnost</w:t>
      </w:r>
      <w:r w:rsidR="008224BC">
        <w:t xml:space="preserve"> (1255)</w:t>
      </w:r>
      <w:r w:rsidR="00A30D5F">
        <w:t xml:space="preserve">. </w:t>
      </w:r>
      <w:r w:rsidR="000F772E" w:rsidRPr="000F772E">
        <w:t xml:space="preserve">Tato čistka na pařížské univerzitě otevřela tragikomedii Západu zvanou </w:t>
      </w:r>
      <w:r w:rsidR="000F772E" w:rsidRPr="000F772E">
        <w:rPr>
          <w:i/>
        </w:rPr>
        <w:t>via Modernorum</w:t>
      </w:r>
      <w:r w:rsidR="000F772E">
        <w:rPr>
          <w:i/>
        </w:rPr>
        <w:fldChar w:fldCharType="begin"/>
      </w:r>
      <w:r w:rsidR="000F772E">
        <w:instrText xml:space="preserve"> XE "</w:instrText>
      </w:r>
      <w:r w:rsidR="000F772E" w:rsidRPr="00D42E15">
        <w:rPr>
          <w:i/>
        </w:rPr>
        <w:instrText>via Modernorum</w:instrText>
      </w:r>
      <w:r w:rsidR="000F772E">
        <w:instrText xml:space="preserve">" </w:instrText>
      </w:r>
      <w:r w:rsidR="000F772E">
        <w:rPr>
          <w:i/>
        </w:rPr>
        <w:fldChar w:fldCharType="end"/>
      </w:r>
      <w:r w:rsidR="000F772E" w:rsidRPr="000F772E">
        <w:t>.</w:t>
      </w:r>
      <w:r w:rsidR="000F772E">
        <w:t xml:space="preserve"> </w:t>
      </w:r>
      <w:r w:rsidR="003B7930">
        <w:t xml:space="preserve">Pro aristoteliky představoval </w:t>
      </w:r>
      <w:r w:rsidR="08757C48">
        <w:t xml:space="preserve">Rufus </w:t>
      </w:r>
      <w:r w:rsidR="003B7930">
        <w:t xml:space="preserve">jasného sofistu, který </w:t>
      </w:r>
      <w:r w:rsidR="08380938">
        <w:t>v</w:t>
      </w:r>
      <w:r w:rsidR="003B7930">
        <w:t xml:space="preserve"> nové </w:t>
      </w:r>
      <w:r w:rsidR="08380938">
        <w:t xml:space="preserve">formě </w:t>
      </w:r>
      <w:r w:rsidR="003B7930">
        <w:t xml:space="preserve">oživil </w:t>
      </w:r>
      <w:r w:rsidR="08757C48">
        <w:t>všechny bludy Davida z</w:t>
      </w:r>
      <w:r w:rsidR="003B7930">
        <w:t> </w:t>
      </w:r>
      <w:r w:rsidR="08757C48">
        <w:t>Dinantu</w:t>
      </w:r>
      <w:r w:rsidR="003B7930">
        <w:t>,</w:t>
      </w:r>
      <w:r w:rsidR="08757C48">
        <w:fldChar w:fldCharType="begin"/>
      </w:r>
      <w:r w:rsidR="08757C48">
        <w:instrText xml:space="preserve"> XE "</w:instrText>
      </w:r>
      <w:r w:rsidR="08757C48" w:rsidRPr="086D6977">
        <w:instrText>David z Dinantu</w:instrText>
      </w:r>
      <w:r w:rsidR="08757C48">
        <w:instrText xml:space="preserve">" </w:instrText>
      </w:r>
      <w:r w:rsidR="08757C48">
        <w:fldChar w:fldCharType="end"/>
      </w:r>
      <w:r w:rsidR="08757C48">
        <w:t xml:space="preserve"> kromě panteismu.</w:t>
      </w:r>
      <w:r w:rsidR="0882340F">
        <w:t xml:space="preserve"> </w:t>
      </w:r>
      <w:r w:rsidR="00E33AD3">
        <w:t>Proto je třeba n</w:t>
      </w:r>
      <w:r w:rsidR="00F41D56">
        <w:t xml:space="preserve">ajít a vyložit argumentaci </w:t>
      </w:r>
      <w:r w:rsidR="00E33AD3">
        <w:t>onoho důležitého filosofického spisu, který byl zcela určitě byl</w:t>
      </w:r>
      <w:r w:rsidR="00F41D56">
        <w:t xml:space="preserve"> postižen akademickým interdiktem, o němž mluvil </w:t>
      </w:r>
      <w:r w:rsidR="087E272B">
        <w:t xml:space="preserve">citovaný </w:t>
      </w:r>
      <w:r w:rsidR="00F41D56">
        <w:t>Bacon.</w:t>
      </w:r>
    </w:p>
    <w:p w14:paraId="410EA397" w14:textId="1AB4FD55" w:rsidR="00FD40CD" w:rsidRDefault="0882340F" w:rsidP="005760BE">
      <w:r>
        <w:tab/>
      </w:r>
      <w:r w:rsidR="00D1690B">
        <w:t xml:space="preserve">Spis </w:t>
      </w:r>
      <w:r w:rsidR="00D1690B" w:rsidRPr="00273106">
        <w:rPr>
          <w:i/>
        </w:rPr>
        <w:t>Speculum animae</w:t>
      </w:r>
      <w:r w:rsidR="00D1690B" w:rsidRPr="00273106">
        <w:t xml:space="preserve"> </w:t>
      </w:r>
      <w:r w:rsidR="00D1690B">
        <w:t xml:space="preserve">představuje Rufusovu obranu a útok současně. </w:t>
      </w:r>
      <w:r w:rsidR="0056746E" w:rsidRPr="00273106">
        <w:t xml:space="preserve">Sofistika použitá v </w:t>
      </w:r>
      <w:r w:rsidR="00D1690B">
        <w:t xml:space="preserve">tomto </w:t>
      </w:r>
      <w:r w:rsidR="0056746E" w:rsidRPr="00273106">
        <w:t xml:space="preserve">díle zakládá </w:t>
      </w:r>
      <w:r w:rsidR="00FC14D6">
        <w:t xml:space="preserve">objektivní </w:t>
      </w:r>
      <w:r w:rsidR="009D5348">
        <w:t xml:space="preserve">cestu moderny </w:t>
      </w:r>
      <w:r w:rsidR="00FC14D6">
        <w:t>na latinském Z</w:t>
      </w:r>
      <w:r w:rsidR="0056746E" w:rsidRPr="00273106">
        <w:t>ápad</w:t>
      </w:r>
      <w:r w:rsidR="00FC14D6">
        <w:t>ě</w:t>
      </w:r>
      <w:r w:rsidR="009D5348">
        <w:t xml:space="preserve"> (</w:t>
      </w:r>
      <w:r w:rsidR="009D5348" w:rsidRPr="009D5348">
        <w:rPr>
          <w:i/>
        </w:rPr>
        <w:t>Irre</w:t>
      </w:r>
      <w:r w:rsidR="009D5348">
        <w:t>)</w:t>
      </w:r>
      <w:r w:rsidR="0056746E" w:rsidRPr="00273106">
        <w:t xml:space="preserve">, proto si zasluhuje vlastní kapitolu. </w:t>
      </w:r>
      <w:r w:rsidR="003D40DB">
        <w:t>Zakladatel moderny</w:t>
      </w:r>
      <w:r w:rsidR="00366F66">
        <w:t xml:space="preserve"> </w:t>
      </w:r>
      <w:r w:rsidR="0885723E" w:rsidRPr="00273106">
        <w:t>p</w:t>
      </w:r>
      <w:r w:rsidR="007673B3" w:rsidRPr="00273106">
        <w:t>oužívá klasickou formu dialogu s fiktivním oponentem</w:t>
      </w:r>
      <w:r w:rsidR="00EC6AFC" w:rsidRPr="00273106">
        <w:t xml:space="preserve"> a </w:t>
      </w:r>
      <w:r w:rsidR="007673B3" w:rsidRPr="00273106">
        <w:t xml:space="preserve">postupně </w:t>
      </w:r>
      <w:r w:rsidR="00EC6AFC" w:rsidRPr="00273106">
        <w:t xml:space="preserve">se </w:t>
      </w:r>
      <w:r w:rsidR="007673B3" w:rsidRPr="00273106">
        <w:t xml:space="preserve">vypořádává s jeho námitkami. Podle struktury předložených námitek </w:t>
      </w:r>
      <w:r w:rsidR="00F043EB">
        <w:t xml:space="preserve">je </w:t>
      </w:r>
      <w:r w:rsidR="007673B3" w:rsidRPr="00273106">
        <w:t>a</w:t>
      </w:r>
      <w:r w:rsidR="00F62F30" w:rsidRPr="00273106">
        <w:t xml:space="preserve">dresátem traktátu biskup </w:t>
      </w:r>
      <w:r w:rsidR="00BB3182" w:rsidRPr="00273106">
        <w:t>Alvernus</w:t>
      </w:r>
      <w:r w:rsidR="08E671BD">
        <w:t xml:space="preserve"> nazvaný uctivým titulem </w:t>
      </w:r>
      <w:r w:rsidR="00F62F30" w:rsidRPr="00273106">
        <w:rPr>
          <w:i/>
        </w:rPr>
        <w:t>Vir Dei</w:t>
      </w:r>
      <w:r w:rsidR="00F62F30" w:rsidRPr="00273106">
        <w:t>.</w:t>
      </w:r>
      <w:r w:rsidR="08A320E0" w:rsidRPr="00273106">
        <w:t xml:space="preserve"> </w:t>
      </w:r>
      <w:r w:rsidR="00D85F0D">
        <w:t>Dalším kandidátem na tento titul je Albert Veliký, který dostal po dosažení magisterské hodnosti v roce 1245 na Pařížské univerzitě katedru</w:t>
      </w:r>
      <w:r w:rsidR="08AA2401">
        <w:t xml:space="preserve"> určenou dominikánům</w:t>
      </w:r>
      <w:r w:rsidR="00D85F0D">
        <w:t xml:space="preserve">. Albert jmenovaný biskupem Alvernem měl akademickou a morální povinnost bránit školu prvního averroismu, což také činil dalších deset let publikací komentářů </w:t>
      </w:r>
      <w:r w:rsidR="00D85F0D" w:rsidRPr="00463DA6">
        <w:rPr>
          <w:i/>
        </w:rPr>
        <w:t>Corpus Aristotelicum</w:t>
      </w:r>
      <w:r w:rsidR="00D85F0D">
        <w:t xml:space="preserve"> proti modernistům. Viz jeho klíčovou větu, že p</w:t>
      </w:r>
      <w:r w:rsidR="00D85F0D" w:rsidRPr="00273106">
        <w:t>ři posuzován</w:t>
      </w:r>
      <w:r w:rsidR="00D85F0D">
        <w:t>í těchto otázek zásadně odmítá</w:t>
      </w:r>
      <w:r w:rsidR="00D85F0D" w:rsidRPr="00273106">
        <w:t xml:space="preserve"> teze</w:t>
      </w:r>
      <w:r w:rsidR="00D85F0D">
        <w:t xml:space="preserve"> </w:t>
      </w:r>
      <w:r w:rsidR="005276FF">
        <w:t xml:space="preserve">sofistických </w:t>
      </w:r>
      <w:r w:rsidR="00D85F0D">
        <w:t>Latiníků</w:t>
      </w:r>
      <w:r w:rsidR="00D85F0D" w:rsidRPr="00273106">
        <w:t xml:space="preserve"> (</w:t>
      </w:r>
      <w:r w:rsidR="00EE6F5A">
        <w:rPr>
          <w:i/>
        </w:rPr>
        <w:t>omnino abhorremus d</w:t>
      </w:r>
      <w:r w:rsidR="00D85F0D" w:rsidRPr="00273106">
        <w:rPr>
          <w:i/>
        </w:rPr>
        <w:t>octorum Latinorum verba</w:t>
      </w:r>
      <w:r w:rsidR="08B05173">
        <w:t>, kap. 2</w:t>
      </w:r>
      <w:r w:rsidR="00D85F0D" w:rsidRPr="00463DA6">
        <w:t>.4.3</w:t>
      </w:r>
      <w:r w:rsidR="00D85F0D" w:rsidRPr="00273106">
        <w:t>).</w:t>
      </w:r>
      <w:r w:rsidR="00D85F0D" w:rsidRPr="00254FD9">
        <w:t xml:space="preserve"> </w:t>
      </w:r>
      <w:r w:rsidR="00D85F0D">
        <w:t xml:space="preserve">Jeho konflikt s Rufusem </w:t>
      </w:r>
      <w:r w:rsidR="08C756ED">
        <w:t xml:space="preserve">a Kilwardbym </w:t>
      </w:r>
      <w:r w:rsidR="00D85F0D">
        <w:t>byl nevyhnutelný</w:t>
      </w:r>
      <w:r w:rsidR="08E46608">
        <w:t xml:space="preserve"> a oba modernisté v něm prohráli</w:t>
      </w:r>
      <w:r w:rsidR="08C756ED">
        <w:t xml:space="preserve">. Bakalář Rufus opouští Paříž </w:t>
      </w:r>
      <w:r w:rsidR="00D85F0D">
        <w:t xml:space="preserve">po roce 1245 a vrací se do Oxfordu bez magisterské hodnosti. </w:t>
      </w:r>
      <w:r w:rsidR="08365604">
        <w:t xml:space="preserve">Kilwardby byl již magistrem asi od roku 1237 a problematickému vysvětlování svých modernistických nauk podaných na způsob Rufuse se vyhnul urychleným odchodem do </w:t>
      </w:r>
      <w:r w:rsidR="08B05173" w:rsidRPr="08B05173">
        <w:rPr>
          <w:i/>
        </w:rPr>
        <w:t>alma mater</w:t>
      </w:r>
      <w:r w:rsidR="08B05173">
        <w:t xml:space="preserve"> v </w:t>
      </w:r>
      <w:r w:rsidR="08365604">
        <w:t>Oxfordu někdy roku 1245. Zde se stal rektorem a později arcibiskupem v</w:t>
      </w:r>
      <w:r w:rsidR="003D0C78">
        <w:t> </w:t>
      </w:r>
      <w:r w:rsidR="08365604">
        <w:t>Canterbury</w:t>
      </w:r>
      <w:r w:rsidR="003D0C78">
        <w:t xml:space="preserve">. </w:t>
      </w:r>
      <w:r w:rsidR="003D0C78" w:rsidRPr="00414884">
        <w:rPr>
          <w:lang w:eastAsia="en-US"/>
        </w:rPr>
        <w:t xml:space="preserve">Kilwardby </w:t>
      </w:r>
      <w:r w:rsidR="08365604">
        <w:t xml:space="preserve">zcela pochopitelně akademicky podpořil sentenciáře Rufuse </w:t>
      </w:r>
      <w:r w:rsidR="00D34715">
        <w:t xml:space="preserve">v Oxfordu, který byl </w:t>
      </w:r>
      <w:r w:rsidR="08365604">
        <w:t>vyhnan</w:t>
      </w:r>
      <w:r w:rsidR="00D34715">
        <w:t xml:space="preserve">ý </w:t>
      </w:r>
      <w:r w:rsidR="08365604">
        <w:t xml:space="preserve">z Paříže ze stejných důvodů. </w:t>
      </w:r>
      <w:r w:rsidR="00EA18E6" w:rsidRPr="00273106">
        <w:t>Rufus na nařčení ze sofistiky odpovídá povinnou sebekritikou o lehkono</w:t>
      </w:r>
      <w:r w:rsidR="00EE5D13" w:rsidRPr="00273106">
        <w:t>ho</w:t>
      </w:r>
      <w:r w:rsidR="00EA18E6" w:rsidRPr="00273106">
        <w:t xml:space="preserve">sti svého intelektu, ale hlavně tím, že obhajuje sporné body </w:t>
      </w:r>
      <w:r w:rsidR="00405A65">
        <w:t xml:space="preserve">svých </w:t>
      </w:r>
      <w:r w:rsidR="00EA18E6" w:rsidRPr="00273106">
        <w:t>univerzitních přednášek.</w:t>
      </w:r>
      <w:r w:rsidR="00EA18E6" w:rsidRPr="00273106">
        <w:rPr>
          <w:rStyle w:val="Znakapoznpodarou"/>
        </w:rPr>
        <w:footnoteReference w:id="462"/>
      </w:r>
      <w:r w:rsidR="00EA18E6" w:rsidRPr="00273106">
        <w:t xml:space="preserve"> </w:t>
      </w:r>
      <w:r w:rsidR="00DD5419" w:rsidRPr="00273106">
        <w:t>K</w:t>
      </w:r>
      <w:r w:rsidR="00EA18E6" w:rsidRPr="00273106">
        <w:t>líčovou otázkou se stal rozdíl</w:t>
      </w:r>
      <w:r w:rsidR="001D3DF3" w:rsidRPr="00273106">
        <w:t>ný</w:t>
      </w:r>
      <w:r w:rsidR="00EA18E6" w:rsidRPr="00273106">
        <w:t xml:space="preserve"> ontologický statut základních pojmů, které ve škole druhého averroismu </w:t>
      </w:r>
      <w:r w:rsidR="003D40DB">
        <w:t xml:space="preserve">ovlivněné porretány </w:t>
      </w:r>
      <w:r w:rsidR="00EA18E6" w:rsidRPr="00273106">
        <w:t xml:space="preserve">dostaly </w:t>
      </w:r>
      <w:r w:rsidR="00405A65">
        <w:t xml:space="preserve">jiný </w:t>
      </w:r>
      <w:r w:rsidR="00EA18E6" w:rsidRPr="00273106">
        <w:t xml:space="preserve">význam než u </w:t>
      </w:r>
      <w:r w:rsidR="003D40DB">
        <w:t xml:space="preserve">klasických </w:t>
      </w:r>
      <w:r w:rsidR="00EA18E6" w:rsidRPr="00273106">
        <w:t>aristoteliků (</w:t>
      </w:r>
      <w:r w:rsidR="00EA18E6" w:rsidRPr="00273106">
        <w:rPr>
          <w:i/>
        </w:rPr>
        <w:t>quid est quod praedicatur et quid est de quo praedicatur</w:t>
      </w:r>
      <w:r w:rsidR="00EA18E6" w:rsidRPr="00273106">
        <w:t xml:space="preserve">). </w:t>
      </w:r>
      <w:r w:rsidR="008A1175">
        <w:t xml:space="preserve">Rufusovo </w:t>
      </w:r>
      <w:r w:rsidR="00753B7D">
        <w:t xml:space="preserve">má </w:t>
      </w:r>
      <w:r w:rsidR="008A1175">
        <w:t>pojetí pravdy jako un</w:t>
      </w:r>
      <w:r w:rsidR="00844764">
        <w:t>i</w:t>
      </w:r>
      <w:r w:rsidR="008A1175">
        <w:t>v</w:t>
      </w:r>
      <w:r w:rsidR="00844764">
        <w:t xml:space="preserve">erzální rovnosti </w:t>
      </w:r>
      <w:r w:rsidR="00753B7D">
        <w:t xml:space="preserve">a nemá </w:t>
      </w:r>
      <w:r w:rsidR="00753B7D" w:rsidRPr="00273106">
        <w:t>intencionální vztah k</w:t>
      </w:r>
      <w:r w:rsidR="00753B7D">
        <w:t> </w:t>
      </w:r>
      <w:r w:rsidR="00753B7D" w:rsidRPr="00273106">
        <w:t>realitě</w:t>
      </w:r>
      <w:r w:rsidR="00753B7D">
        <w:t>. Pak nemá žádnou definici pravdy jako adekvace</w:t>
      </w:r>
      <w:r w:rsidR="00BC0487" w:rsidRPr="00273106">
        <w:t xml:space="preserve">. </w:t>
      </w:r>
      <w:r w:rsidR="00CE3732">
        <w:t>Základní kamenem úrazu se stala otázka významu z hlediska supozice</w:t>
      </w:r>
      <w:r w:rsidR="003D40DB">
        <w:fldChar w:fldCharType="begin"/>
      </w:r>
      <w:r w:rsidR="003D40DB">
        <w:instrText xml:space="preserve"> XE "</w:instrText>
      </w:r>
      <w:r w:rsidR="003D40DB" w:rsidRPr="00657A7B">
        <w:instrText>supozice:Rufus</w:instrText>
      </w:r>
      <w:r w:rsidR="003D40DB">
        <w:instrText xml:space="preserve">" </w:instrText>
      </w:r>
      <w:r w:rsidR="003D40DB">
        <w:fldChar w:fldCharType="end"/>
      </w:r>
      <w:r w:rsidR="00CE3732">
        <w:t xml:space="preserve"> (</w:t>
      </w:r>
      <w:r w:rsidR="00CE3732" w:rsidRPr="003847B4">
        <w:rPr>
          <w:i/>
        </w:rPr>
        <w:t>quod</w:t>
      </w:r>
      <w:r w:rsidR="00CE3732">
        <w:t>) a impozice</w:t>
      </w:r>
      <w:r w:rsidR="003D40DB">
        <w:fldChar w:fldCharType="begin"/>
      </w:r>
      <w:r w:rsidR="003D40DB">
        <w:instrText xml:space="preserve"> XE "impozice</w:instrText>
      </w:r>
      <w:r w:rsidR="003D40DB" w:rsidRPr="00657A7B">
        <w:instrText>:Rufus</w:instrText>
      </w:r>
      <w:r w:rsidR="003D40DB">
        <w:instrText xml:space="preserve">" </w:instrText>
      </w:r>
      <w:r w:rsidR="003D40DB">
        <w:fldChar w:fldCharType="end"/>
      </w:r>
      <w:r w:rsidR="00CE3732">
        <w:t xml:space="preserve"> (</w:t>
      </w:r>
      <w:r w:rsidR="00CE3732" w:rsidRPr="003847B4">
        <w:rPr>
          <w:i/>
        </w:rPr>
        <w:t>de quo</w:t>
      </w:r>
      <w:r w:rsidR="00324D30">
        <w:t>), což Alvernus vyč</w:t>
      </w:r>
      <w:r w:rsidR="08686064">
        <w:t>ítal již škole Gramatiků (kap. 2</w:t>
      </w:r>
      <w:r w:rsidR="00324D30">
        <w:t xml:space="preserve">.3.2). </w:t>
      </w:r>
      <w:r w:rsidR="00050CAC">
        <w:t xml:space="preserve">A filosofický význam pojmů se změnil proto, že Rufus </w:t>
      </w:r>
      <w:r w:rsidR="003743D1">
        <w:t>a latinští sofisté mají</w:t>
      </w:r>
      <w:r w:rsidR="00050CAC">
        <w:t xml:space="preserve"> jiné pojetí poznání a pravdy</w:t>
      </w:r>
      <w:r w:rsidR="003D40DB">
        <w:t>, které z hlediska prvního averroismu patří do kategorie metafyzických omylů</w:t>
      </w:r>
      <w:r w:rsidR="003743D1">
        <w:t xml:space="preserve"> </w:t>
      </w:r>
      <w:r w:rsidR="00AD0A6D">
        <w:t xml:space="preserve">typu </w:t>
      </w:r>
      <w:r w:rsidR="003D40DB" w:rsidRPr="009F408F">
        <w:rPr>
          <w:i/>
        </w:rPr>
        <w:t>fallacia secundum quid et simpliciter</w:t>
      </w:r>
      <w:r w:rsidR="003D40DB">
        <w:rPr>
          <w:i/>
        </w:rPr>
        <w:fldChar w:fldCharType="begin"/>
      </w:r>
      <w:r w:rsidR="003D40DB">
        <w:instrText xml:space="preserve"> XE "</w:instrText>
      </w:r>
      <w:r w:rsidR="003D40DB" w:rsidRPr="00027DD3">
        <w:rPr>
          <w:i/>
        </w:rPr>
        <w:instrText>fallacia secundum quid et simpliciter</w:instrText>
      </w:r>
      <w:r w:rsidR="003D40DB">
        <w:instrText xml:space="preserve">" </w:instrText>
      </w:r>
      <w:r w:rsidR="003D40DB">
        <w:rPr>
          <w:i/>
        </w:rPr>
        <w:fldChar w:fldCharType="end"/>
      </w:r>
      <w:r w:rsidR="00050CAC">
        <w:t xml:space="preserve">. </w:t>
      </w:r>
      <w:r w:rsidR="00D01A76" w:rsidRPr="00D01A76">
        <w:t xml:space="preserve">V této polemice se opakuje spor </w:t>
      </w:r>
      <w:r w:rsidR="00D01A76" w:rsidRPr="00D01A76">
        <w:rPr>
          <w:i/>
        </w:rPr>
        <w:t>Logica Vetus</w:t>
      </w:r>
      <w:r w:rsidR="00D01A76" w:rsidRPr="00D01A76">
        <w:t xml:space="preserve"> s moderní logikou nominalistů. Ti nepochopi</w:t>
      </w:r>
      <w:r w:rsidR="00D01A76">
        <w:t>li roli reálné kauzality v Druhých analytikách</w:t>
      </w:r>
      <w:r w:rsidR="00E30F22">
        <w:t xml:space="preserve">, a navíc totálně </w:t>
      </w:r>
      <w:r w:rsidR="00D01A76" w:rsidRPr="00D01A76">
        <w:t>zpackali metafyzickou a k</w:t>
      </w:r>
      <w:r w:rsidR="00D01A76">
        <w:t>ategoriální predikaci</w:t>
      </w:r>
      <w:r w:rsidR="00D01A76" w:rsidRPr="00D01A76">
        <w:t>.</w:t>
      </w:r>
      <w:r w:rsidR="00D01A76">
        <w:t xml:space="preserve"> </w:t>
      </w:r>
      <w:r w:rsidR="00AD0A6D">
        <w:t>P</w:t>
      </w:r>
      <w:r w:rsidR="0057308D">
        <w:t xml:space="preserve">o vydání </w:t>
      </w:r>
      <w:r w:rsidR="00AD0A6D">
        <w:t xml:space="preserve">Rufusovy </w:t>
      </w:r>
      <w:r w:rsidR="0057308D">
        <w:t xml:space="preserve">filipiky proti </w:t>
      </w:r>
      <w:r w:rsidR="002E3B62">
        <w:t>Averroes</w:t>
      </w:r>
      <w:r w:rsidR="00AD0A6D">
        <w:t xml:space="preserve">ovi, kterou jistě obhajoval v Paříži, se spor </w:t>
      </w:r>
      <w:r w:rsidR="0057308D">
        <w:t xml:space="preserve">týkal </w:t>
      </w:r>
      <w:r w:rsidR="08B16123">
        <w:t xml:space="preserve">jeho </w:t>
      </w:r>
      <w:r w:rsidR="0057308D">
        <w:t xml:space="preserve">modernistické interpretace </w:t>
      </w:r>
      <w:r w:rsidR="00276396">
        <w:t xml:space="preserve">spisu </w:t>
      </w:r>
      <w:r w:rsidR="0057308D" w:rsidRPr="0057308D">
        <w:rPr>
          <w:i/>
        </w:rPr>
        <w:t>De anima</w:t>
      </w:r>
      <w:r w:rsidR="0057308D">
        <w:t xml:space="preserve">. </w:t>
      </w:r>
      <w:r w:rsidR="0095062A" w:rsidRPr="00273106">
        <w:t xml:space="preserve">Rufus </w:t>
      </w:r>
      <w:r w:rsidR="00BC0487" w:rsidRPr="00273106">
        <w:t xml:space="preserve">umístil receptivní složku intelektu do odděleného </w:t>
      </w:r>
      <w:r w:rsidR="00BC0487" w:rsidRPr="00273106">
        <w:rPr>
          <w:i/>
        </w:rPr>
        <w:t>intellectus possibilis</w:t>
      </w:r>
      <w:r w:rsidR="00BC0487" w:rsidRPr="00273106">
        <w:t>, protože vyřešil interpretaci CMDA pomocí nové porretánské hypostáze</w:t>
      </w:r>
      <w:r w:rsidR="00B34B05" w:rsidRPr="00273106">
        <w:t xml:space="preserve">. </w:t>
      </w:r>
      <w:r w:rsidR="007D529C" w:rsidRPr="007D529C">
        <w:t xml:space="preserve">Nová forma intelektu se stala </w:t>
      </w:r>
      <w:r w:rsidR="007D529C">
        <w:t xml:space="preserve">numericky </w:t>
      </w:r>
      <w:r w:rsidR="007D529C" w:rsidRPr="007D529C">
        <w:t xml:space="preserve">jednotnou substancí. Tento možný intelekt, vybavený kosmickou </w:t>
      </w:r>
      <w:r w:rsidR="007D529C" w:rsidRPr="007D529C">
        <w:rPr>
          <w:i/>
        </w:rPr>
        <w:t>materia prima</w:t>
      </w:r>
      <w:r w:rsidR="007D529C">
        <w:t xml:space="preserve"> podle Davida z </w:t>
      </w:r>
      <w:r w:rsidR="007D529C" w:rsidRPr="007D529C">
        <w:t xml:space="preserve">Dinantu, označil Rufus za </w:t>
      </w:r>
      <w:r w:rsidR="007D529C">
        <w:t>nauku K</w:t>
      </w:r>
      <w:r w:rsidR="007D529C" w:rsidRPr="007D529C">
        <w:t>omentátora.</w:t>
      </w:r>
      <w:r w:rsidR="007D529C">
        <w:t xml:space="preserve"> </w:t>
      </w:r>
      <w:r w:rsidR="00AF0F7D" w:rsidRPr="00273106">
        <w:t>Nová forma intelektu musela být plně jedna a plně recepti</w:t>
      </w:r>
      <w:r w:rsidR="005B2623" w:rsidRPr="00273106">
        <w:t xml:space="preserve">vní proto, aby mohla spelulativně zrcadlit ostatní </w:t>
      </w:r>
      <w:r w:rsidR="004B4D52" w:rsidRPr="004B4D52">
        <w:t>species</w:t>
      </w:r>
      <w:r w:rsidR="005B2623" w:rsidRPr="00273106">
        <w:t xml:space="preserve"> v rámci moderního pojetí pravdy jako </w:t>
      </w:r>
      <w:r w:rsidR="005B2623" w:rsidRPr="00273106">
        <w:rPr>
          <w:i/>
        </w:rPr>
        <w:t>coaequatio</w:t>
      </w:r>
      <w:r w:rsidR="00433872">
        <w:rPr>
          <w:i/>
        </w:rPr>
        <w:fldChar w:fldCharType="begin"/>
      </w:r>
      <w:r w:rsidR="00433872">
        <w:instrText xml:space="preserve"> XE "</w:instrText>
      </w:r>
      <w:r w:rsidR="00876D9F">
        <w:instrText>pravda:</w:instrText>
      </w:r>
      <w:r w:rsidR="00433872" w:rsidRPr="00E11E1F">
        <w:rPr>
          <w:i/>
        </w:rPr>
        <w:instrText>coaequatio</w:instrText>
      </w:r>
      <w:r w:rsidR="00433872">
        <w:instrText xml:space="preserve">" </w:instrText>
      </w:r>
      <w:r w:rsidR="00433872">
        <w:rPr>
          <w:i/>
        </w:rPr>
        <w:fldChar w:fldCharType="end"/>
      </w:r>
      <w:r w:rsidR="005B2623" w:rsidRPr="00273106">
        <w:t xml:space="preserve">. </w:t>
      </w:r>
      <w:r w:rsidR="00B34B05" w:rsidRPr="00273106">
        <w:t xml:space="preserve">Proto </w:t>
      </w:r>
      <w:r w:rsidR="00332064" w:rsidRPr="00273106">
        <w:t xml:space="preserve">Rufus </w:t>
      </w:r>
      <w:r w:rsidR="001F5A0D" w:rsidRPr="00273106">
        <w:t>zav</w:t>
      </w:r>
      <w:r w:rsidR="00774872" w:rsidRPr="00273106">
        <w:t>edl</w:t>
      </w:r>
      <w:r w:rsidR="001F5A0D" w:rsidRPr="00273106">
        <w:t xml:space="preserve"> </w:t>
      </w:r>
      <w:r w:rsidR="001F3314">
        <w:t xml:space="preserve">jménem </w:t>
      </w:r>
      <w:r w:rsidR="002E3B62">
        <w:t>Averroes</w:t>
      </w:r>
      <w:r w:rsidR="001F3314">
        <w:t xml:space="preserve">e </w:t>
      </w:r>
      <w:r w:rsidR="001F5A0D" w:rsidRPr="00273106">
        <w:t>teorii jedné</w:t>
      </w:r>
      <w:r w:rsidR="00B34B05" w:rsidRPr="00273106">
        <w:t xml:space="preserve"> </w:t>
      </w:r>
      <w:r w:rsidR="001F5A0D" w:rsidRPr="00273106">
        <w:t>receptivní substance</w:t>
      </w:r>
      <w:r w:rsidR="00A70FA4">
        <w:fldChar w:fldCharType="begin"/>
      </w:r>
      <w:r w:rsidR="00A70FA4">
        <w:instrText xml:space="preserve"> XE "</w:instrText>
      </w:r>
      <w:r w:rsidR="00A70FA4" w:rsidRPr="00DE2A32">
        <w:instrText>substance</w:instrText>
      </w:r>
      <w:r w:rsidR="00876D9F">
        <w:instrText>:intelekt</w:instrText>
      </w:r>
      <w:r w:rsidR="00A70FA4">
        <w:instrText xml:space="preserve">" </w:instrText>
      </w:r>
      <w:r w:rsidR="00A70FA4">
        <w:fldChar w:fldCharType="end"/>
      </w:r>
      <w:r w:rsidR="001F5A0D" w:rsidRPr="00273106">
        <w:t xml:space="preserve"> třetího druhu, která je univočně identická </w:t>
      </w:r>
      <w:r w:rsidR="00FD40CD">
        <w:t>pro všechny lidi.</w:t>
      </w:r>
    </w:p>
    <w:p w14:paraId="27F2FCBF" w14:textId="3941DA03" w:rsidR="005760BE" w:rsidRPr="00273106" w:rsidRDefault="0037361D" w:rsidP="00FD40CD">
      <w:pPr>
        <w:ind w:firstLine="397"/>
      </w:pPr>
      <w:r w:rsidRPr="00273106">
        <w:t>Reakce pařížských magistrů na R</w:t>
      </w:r>
      <w:r w:rsidR="001C7EF6" w:rsidRPr="00273106">
        <w:t xml:space="preserve">ufusův averroismus </w:t>
      </w:r>
      <w:r w:rsidR="08E671BD">
        <w:t xml:space="preserve">v modernizovaném a sofistikovaném modu Davida z Dinantu </w:t>
      </w:r>
      <w:r w:rsidR="001C7EF6" w:rsidRPr="00273106">
        <w:t xml:space="preserve">byla dvojí. </w:t>
      </w:r>
      <w:r w:rsidR="00A57A7F">
        <w:t xml:space="preserve">Biskup </w:t>
      </w:r>
      <w:r w:rsidR="00D126E3" w:rsidRPr="00273106">
        <w:t xml:space="preserve">Alvernus jako rektor </w:t>
      </w:r>
      <w:r w:rsidR="00003CBD">
        <w:t>Pařížské univerzity</w:t>
      </w:r>
      <w:r w:rsidR="00D126E3" w:rsidRPr="00273106">
        <w:t xml:space="preserve"> veřejně před shromážděním celé univerzity (</w:t>
      </w:r>
      <w:r w:rsidR="00D126E3" w:rsidRPr="00273106">
        <w:rPr>
          <w:i/>
        </w:rPr>
        <w:t>universitate Parisiensi convocata</w:t>
      </w:r>
      <w:r w:rsidR="00D126E3" w:rsidRPr="00273106">
        <w:t xml:space="preserve">) odmítl nauku o odděleném </w:t>
      </w:r>
      <w:r w:rsidR="00D126E3" w:rsidRPr="00273106">
        <w:rPr>
          <w:i/>
        </w:rPr>
        <w:t>intellectus agens</w:t>
      </w:r>
      <w:r w:rsidR="00DF1F0F">
        <w:rPr>
          <w:i/>
        </w:rPr>
        <w:fldChar w:fldCharType="begin"/>
      </w:r>
      <w:r w:rsidR="00DF1F0F">
        <w:instrText xml:space="preserve"> XE "</w:instrText>
      </w:r>
      <w:r w:rsidR="00DF1F0F" w:rsidRPr="00490D32">
        <w:rPr>
          <w:i/>
        </w:rPr>
        <w:instrText>intellectus agens:</w:instrText>
      </w:r>
      <w:r w:rsidR="00876D9F" w:rsidRPr="00876D9F">
        <w:instrText>Alvernus</w:instrText>
      </w:r>
      <w:r w:rsidR="00DF1F0F">
        <w:instrText xml:space="preserve">" </w:instrText>
      </w:r>
      <w:r w:rsidR="00DF1F0F">
        <w:rPr>
          <w:i/>
        </w:rPr>
        <w:fldChar w:fldCharType="end"/>
      </w:r>
      <w:r w:rsidR="00D126E3" w:rsidRPr="00273106">
        <w:t xml:space="preserve"> v člověku, protože kosmický intelekt nemůže tvořit součást lidského intelektu (</w:t>
      </w:r>
      <w:r w:rsidR="00D126E3" w:rsidRPr="00273106">
        <w:rPr>
          <w:i/>
        </w:rPr>
        <w:t>intellectus agens non potest esse pars animae</w:t>
      </w:r>
      <w:r w:rsidR="085B3403">
        <w:t>, kap. 2</w:t>
      </w:r>
      <w:r w:rsidR="00D126E3" w:rsidRPr="00273106">
        <w:t xml:space="preserve">.3). </w:t>
      </w:r>
      <w:r w:rsidR="003A7068" w:rsidRPr="003A7068">
        <w:t>Současní postmoderní medievisté navazují na</w:t>
      </w:r>
      <w:r w:rsidR="003A7068">
        <w:t xml:space="preserve"> epochální</w:t>
      </w:r>
      <w:r w:rsidR="003A7068" w:rsidRPr="003A7068">
        <w:t xml:space="preserve"> </w:t>
      </w:r>
      <w:r w:rsidR="003A7068" w:rsidRPr="003A7068">
        <w:rPr>
          <w:i/>
        </w:rPr>
        <w:t>Irre</w:t>
      </w:r>
      <w:r w:rsidR="003A7068" w:rsidRPr="003A7068">
        <w:t xml:space="preserve"> Ruf</w:t>
      </w:r>
      <w:r w:rsidR="003A7068">
        <w:t>use</w:t>
      </w:r>
      <w:r w:rsidR="003A7068" w:rsidRPr="003A7068">
        <w:t xml:space="preserve"> a prohlašují, že Alvernus </w:t>
      </w:r>
      <w:r w:rsidR="00DF2EEB">
        <w:t xml:space="preserve">prý </w:t>
      </w:r>
      <w:r w:rsidR="003A7068" w:rsidRPr="003A7068">
        <w:t>tímto výrokem potvrdil status odděleného intelektu.</w:t>
      </w:r>
      <w:r w:rsidR="003A7068">
        <w:t xml:space="preserve"> </w:t>
      </w:r>
      <w:r w:rsidR="00BF5858">
        <w:t xml:space="preserve">Ve skutečnosti Alvernus </w:t>
      </w:r>
      <w:r w:rsidR="004D6ACD">
        <w:t xml:space="preserve">zrušil Rufusovu teorii averroistického Averroese, protože odmítl neoplatonský scénář nasvícení poznání zezadu. Ale jako kritický filosof a teolog respektující podle litery </w:t>
      </w:r>
      <w:r w:rsidR="004D6ACD" w:rsidRPr="00653687">
        <w:rPr>
          <w:i/>
        </w:rPr>
        <w:t xml:space="preserve">Druhých analytik </w:t>
      </w:r>
      <w:r w:rsidR="004D6ACD">
        <w:t>dvě rodově odlišné sféry poznání</w:t>
      </w:r>
      <w:r w:rsidR="0020424C">
        <w:t xml:space="preserve"> (teologii, filosofii)</w:t>
      </w:r>
      <w:r w:rsidR="008B7073">
        <w:t xml:space="preserve">, </w:t>
      </w:r>
      <w:r w:rsidR="00380098">
        <w:t xml:space="preserve">Alvernus </w:t>
      </w:r>
      <w:r w:rsidR="0020424C">
        <w:t xml:space="preserve">jako </w:t>
      </w:r>
      <w:r w:rsidR="00653687">
        <w:t xml:space="preserve">obránce křesťanské víry </w:t>
      </w:r>
      <w:r w:rsidR="0020424C">
        <w:t xml:space="preserve">odsoudil </w:t>
      </w:r>
      <w:r w:rsidR="00653687">
        <w:t>pou</w:t>
      </w:r>
      <w:r w:rsidR="00EA1438">
        <w:t>ze teologické hereze</w:t>
      </w:r>
      <w:r w:rsidR="00653687">
        <w:t xml:space="preserve"> modernistů</w:t>
      </w:r>
      <w:r w:rsidR="00BF638B">
        <w:t xml:space="preserve">: </w:t>
      </w:r>
      <w:r w:rsidR="00653687">
        <w:t>mnohost substancí v člověku</w:t>
      </w:r>
      <w:r w:rsidR="081571EA">
        <w:t xml:space="preserve"> a přímé působení kosmického intelektu na lidskou duši</w:t>
      </w:r>
      <w:r w:rsidR="00BF638B">
        <w:t xml:space="preserve">. </w:t>
      </w:r>
      <w:r w:rsidR="00BF638B" w:rsidRPr="00BF638B">
        <w:t xml:space="preserve">Alvernus jako filozof nechal modernisty </w:t>
      </w:r>
      <w:r w:rsidR="00BF638B">
        <w:t xml:space="preserve">přemítat jejich </w:t>
      </w:r>
      <w:r w:rsidR="00BF638B" w:rsidRPr="00BF638B">
        <w:t>fantazie a pouze oprav</w:t>
      </w:r>
      <w:r w:rsidR="00BF638B">
        <w:t>il</w:t>
      </w:r>
      <w:r w:rsidR="00BF638B" w:rsidRPr="00BF638B">
        <w:t xml:space="preserve"> jejich křesťanské omyly.</w:t>
      </w:r>
      <w:r w:rsidR="00BF638B">
        <w:t xml:space="preserve"> </w:t>
      </w:r>
      <w:r w:rsidR="08836934">
        <w:t xml:space="preserve">Zcela jistě mezi ně patřilo Rufusovo pojetí kosmické duše a hypostázovaného intelektu v člověku, protože se </w:t>
      </w:r>
      <w:r w:rsidR="085967D5">
        <w:t xml:space="preserve">tato nauka se nebezpečně </w:t>
      </w:r>
      <w:r w:rsidR="08836934">
        <w:t xml:space="preserve">přiblížila </w:t>
      </w:r>
      <w:r w:rsidR="085967D5">
        <w:t xml:space="preserve">aristotelskému </w:t>
      </w:r>
      <w:r w:rsidR="08836934">
        <w:t xml:space="preserve">panteismu </w:t>
      </w:r>
      <w:r w:rsidR="085967D5">
        <w:t xml:space="preserve">posmrtně exkomunikovaného </w:t>
      </w:r>
      <w:r w:rsidR="08836934">
        <w:t xml:space="preserve">Davida z Dinantu. Uvážlivý postoj Alverna </w:t>
      </w:r>
      <w:r w:rsidR="00653687">
        <w:t>se z</w:t>
      </w:r>
      <w:r w:rsidR="004D6ACD">
        <w:t>ás</w:t>
      </w:r>
      <w:r w:rsidR="00653687">
        <w:t>a</w:t>
      </w:r>
      <w:r w:rsidR="004D6ACD">
        <w:t xml:space="preserve">dně lišil od </w:t>
      </w:r>
      <w:r w:rsidR="00653687">
        <w:t>Tempiera, který</w:t>
      </w:r>
      <w:r w:rsidR="004D6ACD">
        <w:t xml:space="preserve"> </w:t>
      </w:r>
      <w:r w:rsidR="089E70D8">
        <w:t xml:space="preserve">postrádal </w:t>
      </w:r>
      <w:r w:rsidR="004D6ACD">
        <w:t xml:space="preserve">schopnost </w:t>
      </w:r>
      <w:r w:rsidR="089E70D8">
        <w:t xml:space="preserve">kritického </w:t>
      </w:r>
      <w:r w:rsidR="004D6ACD">
        <w:t xml:space="preserve">souzení </w:t>
      </w:r>
      <w:r w:rsidR="089E70D8">
        <w:t xml:space="preserve">složitých otázek </w:t>
      </w:r>
      <w:r w:rsidR="004D6ACD">
        <w:t xml:space="preserve">v roce </w:t>
      </w:r>
      <w:r w:rsidR="00A60755">
        <w:t xml:space="preserve">1277. </w:t>
      </w:r>
      <w:r w:rsidR="08DE0431">
        <w:t>Druhou a p</w:t>
      </w:r>
      <w:r w:rsidR="000367BB" w:rsidRPr="00273106">
        <w:t>ozitivní reakci</w:t>
      </w:r>
      <w:r w:rsidRPr="00273106">
        <w:t xml:space="preserve"> </w:t>
      </w:r>
      <w:r w:rsidR="00A4321B" w:rsidRPr="00273106">
        <w:t xml:space="preserve">magistrů </w:t>
      </w:r>
      <w:r w:rsidR="00433029">
        <w:t xml:space="preserve">ze školy prvního averroismu angažovaných ve sporu s moderními mendikanty </w:t>
      </w:r>
      <w:r w:rsidR="087D2EEC">
        <w:t xml:space="preserve">typu Rufuse </w:t>
      </w:r>
      <w:r w:rsidR="088625A8">
        <w:t xml:space="preserve">a Kildwardbyho </w:t>
      </w:r>
      <w:r w:rsidR="000367BB" w:rsidRPr="00273106">
        <w:t>předst</w:t>
      </w:r>
      <w:r w:rsidR="00AF0F7D" w:rsidRPr="00273106">
        <w:t>a</w:t>
      </w:r>
      <w:r w:rsidR="000367BB" w:rsidRPr="00273106">
        <w:t>vovalo nařízení povinné</w:t>
      </w:r>
      <w:r w:rsidR="00A4321B" w:rsidRPr="00273106">
        <w:t xml:space="preserve"> </w:t>
      </w:r>
      <w:r w:rsidR="00493CD6">
        <w:t xml:space="preserve">bakalářské </w:t>
      </w:r>
      <w:r w:rsidR="00A4321B" w:rsidRPr="00273106">
        <w:t>výuk</w:t>
      </w:r>
      <w:r w:rsidR="000367BB" w:rsidRPr="00273106">
        <w:t>y</w:t>
      </w:r>
      <w:r w:rsidR="00A4321B" w:rsidRPr="00273106">
        <w:t xml:space="preserve"> </w:t>
      </w:r>
      <w:r w:rsidRPr="00273106">
        <w:t xml:space="preserve">spisu </w:t>
      </w:r>
      <w:r w:rsidRPr="00273106">
        <w:rPr>
          <w:i/>
        </w:rPr>
        <w:t>De anima</w:t>
      </w:r>
      <w:r w:rsidR="00493CD6">
        <w:t xml:space="preserve"> na</w:t>
      </w:r>
      <w:r w:rsidR="00A36CC7">
        <w:t xml:space="preserve"> artistické fakultě v </w:t>
      </w:r>
      <w:r w:rsidR="087E44B6">
        <w:t>Rue du Fouarre</w:t>
      </w:r>
      <w:r w:rsidR="006B64FA">
        <w:t xml:space="preserve"> </w:t>
      </w:r>
      <w:r w:rsidR="087D2EEC">
        <w:t xml:space="preserve">doložené rokem 1255 </w:t>
      </w:r>
      <w:r w:rsidR="08512DF2">
        <w:t>(kap. 3</w:t>
      </w:r>
      <w:r w:rsidR="006B64FA">
        <w:t>.1.3)</w:t>
      </w:r>
      <w:r w:rsidRPr="00273106">
        <w:t xml:space="preserve">. Dílo </w:t>
      </w:r>
      <w:r w:rsidRPr="00273106">
        <w:rPr>
          <w:i/>
        </w:rPr>
        <w:t>Speculum animae</w:t>
      </w:r>
      <w:r w:rsidR="0045467C" w:rsidRPr="00273106">
        <w:t xml:space="preserve"> dosv</w:t>
      </w:r>
      <w:r w:rsidRPr="00273106">
        <w:t>ědčuje, že h</w:t>
      </w:r>
      <w:r w:rsidR="00506BEC" w:rsidRPr="00273106">
        <w:t xml:space="preserve">lavním předmětem sporu </w:t>
      </w:r>
      <w:r w:rsidR="00A36CC7">
        <w:t xml:space="preserve">kolem </w:t>
      </w:r>
      <w:r w:rsidR="00765EB2">
        <w:t xml:space="preserve">roku </w:t>
      </w:r>
      <w:r w:rsidR="00A36CC7">
        <w:t>1245</w:t>
      </w:r>
      <w:r w:rsidRPr="00273106">
        <w:t xml:space="preserve"> v Paříži </w:t>
      </w:r>
      <w:r w:rsidR="00765EB2">
        <w:t>byl status</w:t>
      </w:r>
      <w:r w:rsidR="00506BEC" w:rsidRPr="00273106">
        <w:t xml:space="preserve"> intelektu daný vzhledem k</w:t>
      </w:r>
      <w:r w:rsidR="00D85F0D">
        <w:t xml:space="preserve"> zásadnímu tvrzení Aristotela: </w:t>
      </w:r>
      <w:r w:rsidR="00506BEC" w:rsidRPr="00273106">
        <w:rPr>
          <w:i/>
        </w:rPr>
        <w:t>Anima quodammodo est omnia</w:t>
      </w:r>
      <w:r w:rsidR="00506BEC" w:rsidRPr="00273106">
        <w:t xml:space="preserve"> (</w:t>
      </w:r>
      <w:r w:rsidR="00B713C5">
        <w:rPr>
          <w:i/>
        </w:rPr>
        <w:t>De anima</w:t>
      </w:r>
      <w:r w:rsidR="00506BEC" w:rsidRPr="00273106">
        <w:t xml:space="preserve"> 431b20‒21</w:t>
      </w:r>
      <w:r w:rsidR="002567D8">
        <w:fldChar w:fldCharType="begin"/>
      </w:r>
      <w:r w:rsidR="002567D8">
        <w:instrText xml:space="preserve"> XE "</w:instrText>
      </w:r>
      <w:r w:rsidR="008E02F5">
        <w:instrText>Aristoteles</w:instrText>
      </w:r>
      <w:r w:rsidR="002567D8">
        <w:instrText>:</w:instrText>
      </w:r>
      <w:r w:rsidR="002567D8" w:rsidRPr="00172808">
        <w:rPr>
          <w:i/>
        </w:rPr>
        <w:instrText>De anima</w:instrText>
      </w:r>
      <w:r w:rsidR="002567D8" w:rsidRPr="00172808">
        <w:instrText xml:space="preserve"> 431b20‒21</w:instrText>
      </w:r>
      <w:r w:rsidR="002567D8">
        <w:instrText xml:space="preserve">" </w:instrText>
      </w:r>
      <w:r w:rsidR="002567D8">
        <w:fldChar w:fldCharType="end"/>
      </w:r>
      <w:r w:rsidR="00506BEC" w:rsidRPr="00273106">
        <w:t xml:space="preserve">). </w:t>
      </w:r>
      <w:r w:rsidR="08626918" w:rsidRPr="00273106">
        <w:t>První modernista nemá pravdu jako adekvaci poznání ke smyslově vnímané věci</w:t>
      </w:r>
      <w:r w:rsidR="08626918">
        <w:t xml:space="preserve"> a </w:t>
      </w:r>
      <w:r w:rsidR="08626918" w:rsidRPr="00273106">
        <w:t>nemá substanční jednotu osoby.</w:t>
      </w:r>
      <w:r w:rsidR="08626918">
        <w:t xml:space="preserve"> </w:t>
      </w:r>
      <w:r w:rsidR="002042B6" w:rsidRPr="00273106">
        <w:t>Mladý akademik</w:t>
      </w:r>
      <w:r w:rsidR="08187B5D">
        <w:t xml:space="preserve"> proto </w:t>
      </w:r>
      <w:r w:rsidR="002042B6" w:rsidRPr="00273106">
        <w:t xml:space="preserve">dostal základní otázku ohledně poznání na úrovni jednoty </w:t>
      </w:r>
      <w:r w:rsidR="007A2E4F">
        <w:t xml:space="preserve">osobního </w:t>
      </w:r>
      <w:r w:rsidR="002042B6" w:rsidRPr="00273106">
        <w:t>intelektu</w:t>
      </w:r>
      <w:r w:rsidR="007A2E4F">
        <w:t>, který působí v jednotné osobě</w:t>
      </w:r>
      <w:r w:rsidR="002042B6" w:rsidRPr="00273106">
        <w:t>.</w:t>
      </w:r>
      <w:r w:rsidR="00B7671F">
        <w:t xml:space="preserve"> </w:t>
      </w:r>
      <w:r w:rsidR="002524C9">
        <w:t>Zástupci prvního averroi</w:t>
      </w:r>
      <w:r w:rsidR="00B94D38">
        <w:t>s</w:t>
      </w:r>
      <w:r w:rsidR="002524C9">
        <w:t>m</w:t>
      </w:r>
      <w:r w:rsidR="00B94D38">
        <w:t>u mu p</w:t>
      </w:r>
      <w:r w:rsidR="00B7671F">
        <w:t>oložili ste</w:t>
      </w:r>
      <w:r w:rsidR="00E16A76">
        <w:t xml:space="preserve">jnou otázku, jakou postavil </w:t>
      </w:r>
      <w:r w:rsidR="002E3B62">
        <w:t>Averroes</w:t>
      </w:r>
      <w:r w:rsidR="00B7671F">
        <w:t xml:space="preserve"> na začátku zkoumání </w:t>
      </w:r>
      <w:r w:rsidR="006D541B" w:rsidRPr="006D541B">
        <w:rPr>
          <w:i/>
        </w:rPr>
        <w:t>De anima</w:t>
      </w:r>
      <w:r w:rsidR="006D541B">
        <w:t xml:space="preserve"> </w:t>
      </w:r>
      <w:r w:rsidR="00B7671F">
        <w:t>pro</w:t>
      </w:r>
      <w:r w:rsidR="00E16A76">
        <w:t>ti</w:t>
      </w:r>
      <w:r w:rsidR="08DE18BB">
        <w:t xml:space="preserve"> a</w:t>
      </w:r>
      <w:r w:rsidR="00B7671F">
        <w:t>lexandrovcům</w:t>
      </w:r>
      <w:r w:rsidR="007B00E5">
        <w:t>: „Jakým způsobem se smysl</w:t>
      </w:r>
      <w:r w:rsidR="00B729DC">
        <w:t>y stávají</w:t>
      </w:r>
      <w:r w:rsidR="007B00E5">
        <w:t xml:space="preserve"> smyslovým poznáním a intelekt intelektuálním</w:t>
      </w:r>
      <w:r w:rsidR="00B729DC">
        <w:t xml:space="preserve"> poznáním</w:t>
      </w:r>
      <w:r w:rsidR="007B00E5">
        <w:t>?“</w:t>
      </w:r>
      <w:r w:rsidR="00DE36BA">
        <w:t> </w:t>
      </w:r>
      <w:r w:rsidR="002042B6" w:rsidRPr="00273106">
        <w:rPr>
          <w:rStyle w:val="Znakapoznpodarou"/>
        </w:rPr>
        <w:footnoteReference w:id="463"/>
      </w:r>
      <w:r w:rsidR="007B00E5">
        <w:t xml:space="preserve"> </w:t>
      </w:r>
      <w:r w:rsidR="00B21EE0">
        <w:t xml:space="preserve">Zdůrazněme fenomenologický význam slovesa </w:t>
      </w:r>
      <w:r w:rsidR="00B21EE0" w:rsidRPr="00B21EE0">
        <w:rPr>
          <w:i/>
        </w:rPr>
        <w:t>fieri</w:t>
      </w:r>
      <w:r w:rsidR="00B21EE0">
        <w:rPr>
          <w:i/>
        </w:rPr>
        <w:t xml:space="preserve"> </w:t>
      </w:r>
      <w:r w:rsidR="00B21EE0">
        <w:t>skrytý</w:t>
      </w:r>
      <w:r w:rsidR="00B21EE0" w:rsidRPr="00B21EE0">
        <w:t xml:space="preserve"> v tranzitivním výz</w:t>
      </w:r>
      <w:r w:rsidR="00B21EE0">
        <w:t xml:space="preserve">namu slovesa </w:t>
      </w:r>
      <w:r w:rsidR="00B21EE0" w:rsidRPr="00B21EE0">
        <w:rPr>
          <w:i/>
        </w:rPr>
        <w:t>esse</w:t>
      </w:r>
      <w:r w:rsidR="00B21EE0">
        <w:t>, které pak vý</w:t>
      </w:r>
      <w:r w:rsidR="00B21EE0" w:rsidRPr="00B21EE0">
        <w:t xml:space="preserve">slovně použije Siger proti </w:t>
      </w:r>
      <w:r w:rsidR="00B21EE0">
        <w:t xml:space="preserve">Albertovi a </w:t>
      </w:r>
      <w:r w:rsidR="00B21EE0" w:rsidRPr="00B21EE0">
        <w:t>Akvinskému</w:t>
      </w:r>
      <w:r w:rsidR="08677DFA">
        <w:t xml:space="preserve"> (OBJ III, kap. </w:t>
      </w:r>
      <w:r w:rsidR="08BB125E">
        <w:t>4.1.2</w:t>
      </w:r>
      <w:r w:rsidR="08677DFA">
        <w:t>)</w:t>
      </w:r>
      <w:r w:rsidR="00B21EE0" w:rsidRPr="00B21EE0">
        <w:t xml:space="preserve">. </w:t>
      </w:r>
      <w:r w:rsidR="005C74B8">
        <w:t>První averro</w:t>
      </w:r>
      <w:r w:rsidR="00B21EE0">
        <w:t>i</w:t>
      </w:r>
      <w:r w:rsidR="005C74B8">
        <w:t>s</w:t>
      </w:r>
      <w:r w:rsidR="08E16BB2">
        <w:t>mus neřeší otázku, co</w:t>
      </w:r>
      <w:r w:rsidR="00B21EE0">
        <w:t xml:space="preserve"> je definice intelektu jako </w:t>
      </w:r>
      <w:r w:rsidR="005C74B8">
        <w:t xml:space="preserve">Rufusovo hypostázované </w:t>
      </w:r>
      <w:r w:rsidR="00B21EE0" w:rsidRPr="00B21EE0">
        <w:rPr>
          <w:i/>
        </w:rPr>
        <w:t>tertium ens</w:t>
      </w:r>
      <w:r w:rsidR="08EB3839">
        <w:t xml:space="preserve">. </w:t>
      </w:r>
      <w:r w:rsidR="08960C70">
        <w:t>Znalce Komentátora zajímá</w:t>
      </w:r>
      <w:r w:rsidR="08BB125E">
        <w:t xml:space="preserve"> hermeneutická otázk</w:t>
      </w:r>
      <w:r w:rsidR="08717E23">
        <w:t>a</w:t>
      </w:r>
      <w:r w:rsidR="08BB125E">
        <w:t xml:space="preserve"> po způsobu, jak </w:t>
      </w:r>
      <w:r w:rsidR="00B21EE0">
        <w:t xml:space="preserve">poznáváme v modu fenomenologického </w:t>
      </w:r>
      <w:r w:rsidR="00B21EE0" w:rsidRPr="00B21EE0">
        <w:rPr>
          <w:i/>
        </w:rPr>
        <w:t>Wie</w:t>
      </w:r>
      <w:r w:rsidR="00B21EE0">
        <w:t xml:space="preserve"> </w:t>
      </w:r>
      <w:r w:rsidR="08717E23">
        <w:t xml:space="preserve">(OBJ I, kap. 1). Stejnou otázku postavil </w:t>
      </w:r>
      <w:r w:rsidR="005C74B8">
        <w:t xml:space="preserve">později </w:t>
      </w:r>
      <w:r w:rsidR="08717E23">
        <w:t>aristotelský</w:t>
      </w:r>
      <w:r w:rsidR="005C74B8">
        <w:t xml:space="preserve"> </w:t>
      </w:r>
      <w:r w:rsidR="00B21EE0">
        <w:t>Heidegger</w:t>
      </w:r>
      <w:r w:rsidR="005C74B8">
        <w:t xml:space="preserve"> proti </w:t>
      </w:r>
      <w:r w:rsidR="08ED1CA0">
        <w:t xml:space="preserve">avicennistickému </w:t>
      </w:r>
      <w:r w:rsidR="005C74B8">
        <w:t>Husserlovi</w:t>
      </w:r>
      <w:r w:rsidR="00B21EE0">
        <w:t xml:space="preserve">. </w:t>
      </w:r>
      <w:r w:rsidR="003B18E7" w:rsidRPr="00273106">
        <w:t>F</w:t>
      </w:r>
      <w:r w:rsidR="00313E48" w:rsidRPr="00273106">
        <w:t xml:space="preserve">rantiškánský </w:t>
      </w:r>
      <w:r w:rsidR="0023793F" w:rsidRPr="00273106">
        <w:t>učenec</w:t>
      </w:r>
      <w:r w:rsidR="003B18E7" w:rsidRPr="00273106">
        <w:t xml:space="preserve"> musí</w:t>
      </w:r>
      <w:r w:rsidR="0023793F" w:rsidRPr="00273106">
        <w:t xml:space="preserve"> </w:t>
      </w:r>
      <w:r w:rsidR="00313E48" w:rsidRPr="00273106">
        <w:t>oba problémy veřejně traktovat na půdě univerzity, nej</w:t>
      </w:r>
      <w:r w:rsidR="005A3017">
        <w:t>s</w:t>
      </w:r>
      <w:r w:rsidR="00313E48" w:rsidRPr="00273106">
        <w:t xml:space="preserve">píše pod tlakem samotného Alverna a dalších představitelů prvního averroismu, jako byl </w:t>
      </w:r>
      <w:r w:rsidR="00BA297A" w:rsidRPr="00273106">
        <w:t xml:space="preserve">Roger </w:t>
      </w:r>
      <w:r w:rsidR="00313E48" w:rsidRPr="00273106">
        <w:t>Bacon a Albert Veliký.</w:t>
      </w:r>
      <w:r w:rsidR="003B18E7" w:rsidRPr="00273106">
        <w:t xml:space="preserve"> </w:t>
      </w:r>
      <w:r w:rsidR="00BA0A87" w:rsidRPr="00273106">
        <w:t>Spor o jednotu intelektu se zásadně týká definice průběhu poznání</w:t>
      </w:r>
      <w:r w:rsidR="00A516F9">
        <w:t>,</w:t>
      </w:r>
      <w:r w:rsidR="00BA0A87" w:rsidRPr="00273106">
        <w:t xml:space="preserve"> a tím i teorie pravdy. </w:t>
      </w:r>
    </w:p>
    <w:p w14:paraId="2FD6FAD0" w14:textId="0F02334C" w:rsidR="007952F1" w:rsidRPr="00273106" w:rsidRDefault="00CC52A9" w:rsidP="007952F1">
      <w:pPr>
        <w:pStyle w:val="Citace"/>
        <w:rPr>
          <w:noProof/>
          <w:lang w:val="cs-CZ"/>
        </w:rPr>
      </w:pPr>
      <w:r w:rsidRPr="00273106">
        <w:rPr>
          <w:noProof/>
          <w:lang w:val="cs-CZ"/>
        </w:rPr>
        <w:t>„</w:t>
      </w:r>
      <w:r w:rsidR="006D541B">
        <w:rPr>
          <w:noProof/>
          <w:lang w:val="cs-CZ"/>
        </w:rPr>
        <w:t>Muži</w:t>
      </w:r>
      <w:r w:rsidR="007952F1" w:rsidRPr="00273106">
        <w:rPr>
          <w:noProof/>
          <w:lang w:val="cs-CZ"/>
        </w:rPr>
        <w:t xml:space="preserve"> boží, vezmi argumenty podle stejného autora a odpověz na mou otázku: jak se smyslový vjem  stává smyslovým poznáním? Odpovíš s F</w:t>
      </w:r>
      <w:r w:rsidR="00BD3410">
        <w:rPr>
          <w:noProof/>
          <w:lang w:val="cs-CZ"/>
        </w:rPr>
        <w:t>ilosofem, že na tento způsob: 'S</w:t>
      </w:r>
      <w:r w:rsidR="007952F1" w:rsidRPr="00273106">
        <w:rPr>
          <w:noProof/>
          <w:lang w:val="cs-CZ"/>
        </w:rPr>
        <w:t xml:space="preserve">mysly jsou v potenci natolik, nakolik </w:t>
      </w:r>
      <w:r w:rsidR="00DB39D8">
        <w:rPr>
          <w:noProof/>
          <w:lang w:val="cs-CZ"/>
        </w:rPr>
        <w:t xml:space="preserve">je předmět smyslů </w:t>
      </w:r>
      <w:r w:rsidR="007952F1" w:rsidRPr="00273106">
        <w:rPr>
          <w:noProof/>
          <w:lang w:val="cs-CZ"/>
        </w:rPr>
        <w:t>v aktu'. A toto se aplikuje na jed</w:t>
      </w:r>
      <w:r w:rsidR="00F01CF1" w:rsidRPr="00273106">
        <w:rPr>
          <w:noProof/>
          <w:lang w:val="cs-CZ"/>
        </w:rPr>
        <w:t>no</w:t>
      </w:r>
      <w:r w:rsidR="007952F1" w:rsidRPr="00273106">
        <w:rPr>
          <w:noProof/>
          <w:lang w:val="cs-CZ"/>
        </w:rPr>
        <w:t>t</w:t>
      </w:r>
      <w:r w:rsidR="00F01CF1" w:rsidRPr="00273106">
        <w:rPr>
          <w:noProof/>
          <w:lang w:val="cs-CZ"/>
        </w:rPr>
        <w:t>l</w:t>
      </w:r>
      <w:r w:rsidR="007952F1" w:rsidRPr="00273106">
        <w:rPr>
          <w:noProof/>
          <w:lang w:val="cs-CZ"/>
        </w:rPr>
        <w:t xml:space="preserve">ivé smysly a </w:t>
      </w:r>
      <w:r w:rsidR="00876346" w:rsidRPr="00273106">
        <w:rPr>
          <w:noProof/>
          <w:lang w:val="cs-CZ"/>
        </w:rPr>
        <w:t xml:space="preserve">na </w:t>
      </w:r>
      <w:r w:rsidR="007952F1" w:rsidRPr="00273106">
        <w:rPr>
          <w:noProof/>
          <w:lang w:val="cs-CZ"/>
        </w:rPr>
        <w:t xml:space="preserve">jejich zkušenost.“ </w:t>
      </w:r>
      <w:r w:rsidR="007952F1" w:rsidRPr="00273106">
        <w:rPr>
          <w:rStyle w:val="Znakapoznpodarou"/>
          <w:noProof/>
          <w:lang w:val="cs-CZ"/>
        </w:rPr>
        <w:footnoteReference w:id="464"/>
      </w:r>
    </w:p>
    <w:p w14:paraId="6560C5B7" w14:textId="4C4E1CAB" w:rsidR="0016362E" w:rsidRPr="00273106" w:rsidRDefault="00A516F9" w:rsidP="00771708">
      <w:r>
        <w:t xml:space="preserve">Argument postavil </w:t>
      </w:r>
      <w:r w:rsidRPr="00273106">
        <w:t xml:space="preserve">individuální </w:t>
      </w:r>
      <w:r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274FA4">
        <w:instrText>:první averroismus</w:instrText>
      </w:r>
      <w:r w:rsidR="009D323B">
        <w:instrText xml:space="preserve">" </w:instrText>
      </w:r>
      <w:r w:rsidR="009D323B">
        <w:rPr>
          <w:i/>
        </w:rPr>
        <w:fldChar w:fldCharType="end"/>
      </w:r>
      <w:r w:rsidRPr="00273106">
        <w:rPr>
          <w:i/>
        </w:rPr>
        <w:t xml:space="preserve"> </w:t>
      </w:r>
      <w:r w:rsidRPr="00273106">
        <w:t>podle</w:t>
      </w:r>
      <w:r w:rsidRPr="00273106">
        <w:rPr>
          <w:i/>
        </w:rPr>
        <w:t xml:space="preserve"> </w:t>
      </w:r>
      <w:r w:rsidRPr="00273106">
        <w:t>prvního averroismu</w:t>
      </w:r>
      <w:r>
        <w:t xml:space="preserve"> daný </w:t>
      </w:r>
      <w:r w:rsidR="007B6733">
        <w:t xml:space="preserve">aktualizací potenciálních </w:t>
      </w:r>
      <w:r>
        <w:t xml:space="preserve">smyslů a </w:t>
      </w:r>
      <w:r w:rsidR="007B6733">
        <w:t xml:space="preserve">potenciálního </w:t>
      </w:r>
      <w:r>
        <w:t xml:space="preserve">intelektu od </w:t>
      </w:r>
      <w:r w:rsidR="007B6733">
        <w:t xml:space="preserve">reálné </w:t>
      </w:r>
      <w:r>
        <w:t>věci (</w:t>
      </w:r>
      <w:r w:rsidRPr="00DB39D8">
        <w:rPr>
          <w:i/>
        </w:rPr>
        <w:t>est in potentia tale quale est ipsum sensibile in actu</w:t>
      </w:r>
      <w:r>
        <w:t>)</w:t>
      </w:r>
      <w:r w:rsidRPr="00273106">
        <w:t>.</w:t>
      </w:r>
      <w:r w:rsidRPr="00A516F9">
        <w:t xml:space="preserve"> </w:t>
      </w:r>
      <w:r>
        <w:t xml:space="preserve">Rufus má vysvětlit </w:t>
      </w:r>
      <w:r w:rsidRPr="00273106">
        <w:t xml:space="preserve">základní schéma spisu </w:t>
      </w:r>
      <w:r>
        <w:rPr>
          <w:i/>
        </w:rPr>
        <w:t>De anima</w:t>
      </w:r>
      <w:r w:rsidRPr="00273106">
        <w:t xml:space="preserve"> o receptivitě intelektu, viz položená otázka o způsobu poznání (</w:t>
      </w:r>
      <w:r w:rsidRPr="00273106">
        <w:rPr>
          <w:i/>
        </w:rPr>
        <w:t>quomodo est ipsum sensibile</w:t>
      </w:r>
      <w:r w:rsidRPr="00273106">
        <w:t>).</w:t>
      </w:r>
      <w:r>
        <w:t xml:space="preserve"> </w:t>
      </w:r>
      <w:r w:rsidR="088C6951">
        <w:t xml:space="preserve">První averroismus chápe způsob bytí </w:t>
      </w:r>
      <w:r w:rsidR="08663B4C">
        <w:t xml:space="preserve">potence </w:t>
      </w:r>
      <w:r w:rsidR="088C6951">
        <w:t>existenciálně-fenome</w:t>
      </w:r>
      <w:r w:rsidR="08211329">
        <w:t>no</w:t>
      </w:r>
      <w:r w:rsidR="088C6951">
        <w:t xml:space="preserve">logicky </w:t>
      </w:r>
      <w:r w:rsidR="00EC7FE5">
        <w:t>v modu dění (</w:t>
      </w:r>
      <w:r w:rsidR="00EC7FE5" w:rsidRPr="00EC7FE5">
        <w:rPr>
          <w:i/>
        </w:rPr>
        <w:t>fieri</w:t>
      </w:r>
      <w:r w:rsidR="00EC7FE5">
        <w:t xml:space="preserve">), a ne v porretánské klasifikaci </w:t>
      </w:r>
      <w:r w:rsidR="00EC7FE5" w:rsidRPr="00EC7FE5">
        <w:rPr>
          <w:i/>
        </w:rPr>
        <w:t>scibile</w:t>
      </w:r>
      <w:r w:rsidR="00EC7FE5">
        <w:t xml:space="preserve"> utříděných v rámci Porfyriova stromu (</w:t>
      </w:r>
      <w:r w:rsidR="00EC7FE5" w:rsidRPr="00EC7FE5">
        <w:rPr>
          <w:i/>
        </w:rPr>
        <w:t>factum</w:t>
      </w:r>
      <w:r w:rsidR="00EC7FE5">
        <w:t xml:space="preserve">). </w:t>
      </w:r>
      <w:r w:rsidR="00967CFC" w:rsidRPr="00967CFC">
        <w:t xml:space="preserve">Ipseita intelektu jako </w:t>
      </w:r>
      <w:r w:rsidR="00967CFC" w:rsidRPr="00967CFC">
        <w:rPr>
          <w:i/>
        </w:rPr>
        <w:t>tertium genus</w:t>
      </w:r>
      <w:r w:rsidR="00967CFC" w:rsidRPr="00967CFC">
        <w:t xml:space="preserve"> je naprosto odlišná od identity intelektu jako </w:t>
      </w:r>
      <w:r w:rsidR="00967CFC" w:rsidRPr="00967CFC">
        <w:rPr>
          <w:i/>
        </w:rPr>
        <w:t>quartum genus</w:t>
      </w:r>
      <w:r w:rsidR="00967CFC" w:rsidRPr="00967CFC">
        <w:t>.</w:t>
      </w:r>
      <w:r w:rsidR="00967CFC">
        <w:t xml:space="preserve"> </w:t>
      </w:r>
      <w:r w:rsidR="00636E30" w:rsidRPr="00273106">
        <w:t xml:space="preserve">Z předešlých kapitol je jasné, že Rufus nemá </w:t>
      </w:r>
      <w:r w:rsidR="00A36CBC">
        <w:t xml:space="preserve">aristotelské </w:t>
      </w:r>
      <w:r w:rsidR="00636E30" w:rsidRPr="00273106">
        <w:t xml:space="preserve">pojetí jednoty vytvářené skrze intencionalitu a skrze spojení </w:t>
      </w:r>
      <w:r w:rsidR="004B4D52" w:rsidRPr="006A0A05">
        <w:rPr>
          <w:i/>
        </w:rPr>
        <w:t>species</w:t>
      </w:r>
      <w:r w:rsidR="00636E30" w:rsidRPr="00273106">
        <w:rPr>
          <w:i/>
        </w:rPr>
        <w:t xml:space="preserve"> sensibilis</w:t>
      </w:r>
      <w:r w:rsidR="008061D5">
        <w:rPr>
          <w:i/>
        </w:rPr>
        <w:fldChar w:fldCharType="begin"/>
      </w:r>
      <w:r w:rsidR="008061D5">
        <w:instrText xml:space="preserve"> XE "</w:instrText>
      </w:r>
      <w:r w:rsidR="008061D5" w:rsidRPr="00374FA1">
        <w:rPr>
          <w:i/>
        </w:rPr>
        <w:instrText>species sensibilis</w:instrText>
      </w:r>
      <w:r w:rsidR="008061D5">
        <w:instrText xml:space="preserve">" </w:instrText>
      </w:r>
      <w:r w:rsidR="008061D5">
        <w:rPr>
          <w:i/>
        </w:rPr>
        <w:fldChar w:fldCharType="end"/>
      </w:r>
      <w:r w:rsidR="00636E30" w:rsidRPr="00273106">
        <w:rPr>
          <w:i/>
        </w:rPr>
        <w:t xml:space="preserve"> a intelligibilis</w:t>
      </w:r>
      <w:r w:rsidR="00636E30" w:rsidRPr="00273106">
        <w:t xml:space="preserve">. </w:t>
      </w:r>
      <w:r w:rsidR="00A22757">
        <w:t xml:space="preserve">Rufus </w:t>
      </w:r>
      <w:r w:rsidR="00A22757" w:rsidRPr="00273106">
        <w:t xml:space="preserve">obhajuje </w:t>
      </w:r>
      <w:r w:rsidR="00A22757">
        <w:t>platonsk</w:t>
      </w:r>
      <w:r w:rsidR="00A22757" w:rsidRPr="00273106">
        <w:t xml:space="preserve">é schéma </w:t>
      </w:r>
      <w:r w:rsidR="00A22757">
        <w:t xml:space="preserve">poznání dané </w:t>
      </w:r>
      <w:r w:rsidR="08E53764">
        <w:t>obtiskem formy do duše skrze nasvícení</w:t>
      </w:r>
      <w:r w:rsidR="00A22757">
        <w:t xml:space="preserve"> zezadu a </w:t>
      </w:r>
      <w:r w:rsidR="00522245">
        <w:t xml:space="preserve">schéma </w:t>
      </w:r>
      <w:r w:rsidR="00B26874">
        <w:t xml:space="preserve">v </w:t>
      </w:r>
      <w:r w:rsidR="00B26874" w:rsidRPr="00B26874">
        <w:rPr>
          <w:i/>
        </w:rPr>
        <w:t>De anima</w:t>
      </w:r>
      <w:r w:rsidR="00B26874">
        <w:t xml:space="preserve"> </w:t>
      </w:r>
      <w:r w:rsidR="00522245">
        <w:t xml:space="preserve">postavil </w:t>
      </w:r>
      <w:r w:rsidR="00150475">
        <w:t xml:space="preserve">úplně </w:t>
      </w:r>
      <w:r w:rsidR="00522245">
        <w:t>na hlavu</w:t>
      </w:r>
      <w:r w:rsidR="00150475">
        <w:t xml:space="preserve">. </w:t>
      </w:r>
      <w:r w:rsidR="00D42F18" w:rsidRPr="00D42F18">
        <w:t xml:space="preserve">Lidské poznání není založeno na </w:t>
      </w:r>
      <w:r w:rsidR="00D42F18">
        <w:t>reálné</w:t>
      </w:r>
      <w:r w:rsidR="00B72C2F">
        <w:t xml:space="preserve"> věci, která </w:t>
      </w:r>
      <w:r w:rsidR="00B72C2F" w:rsidRPr="00D42F18">
        <w:t xml:space="preserve">působí </w:t>
      </w:r>
      <w:r w:rsidR="00D42F18" w:rsidRPr="00D42F18">
        <w:t xml:space="preserve">na potenci v tělesném orgánu poznání. </w:t>
      </w:r>
      <w:r w:rsidR="00D42F18">
        <w:t>Rufus o</w:t>
      </w:r>
      <w:r w:rsidR="00D42F18" w:rsidRPr="00D42F18">
        <w:t xml:space="preserve">peruje </w:t>
      </w:r>
      <w:r w:rsidR="00D42F18">
        <w:t>s již danou hypostá</w:t>
      </w:r>
      <w:r w:rsidR="00D42F18" w:rsidRPr="00D42F18">
        <w:t>zí (</w:t>
      </w:r>
      <w:r w:rsidR="00D42F18" w:rsidRPr="00D42F18">
        <w:rPr>
          <w:i/>
        </w:rPr>
        <w:t>sensibile</w:t>
      </w:r>
      <w:r w:rsidR="00D42F18" w:rsidRPr="00D42F18">
        <w:t>), která je přijímána ve smyslové zkušenosti (</w:t>
      </w:r>
      <w:r w:rsidR="00D42F18" w:rsidRPr="00D42F18">
        <w:rPr>
          <w:i/>
        </w:rPr>
        <w:t>quale est ipsum sensibile in actu</w:t>
      </w:r>
      <w:r w:rsidR="00D42F18">
        <w:t>). Rufusovo „</w:t>
      </w:r>
      <w:r w:rsidR="00D42F18" w:rsidRPr="00D42F18">
        <w:rPr>
          <w:i/>
        </w:rPr>
        <w:t>sensibile</w:t>
      </w:r>
      <w:r w:rsidR="00D42F18">
        <w:t>“ tvoří hypostá</w:t>
      </w:r>
      <w:r w:rsidR="00D42F18" w:rsidRPr="00D42F18">
        <w:t>zi třetího druhu; takový m</w:t>
      </w:r>
      <w:r w:rsidR="00D42F18">
        <w:t>oderní fantom byl pro aristoteliky</w:t>
      </w:r>
      <w:r w:rsidR="00D42F18" w:rsidRPr="00D42F18">
        <w:t xml:space="preserve"> naprosto nepřijatelný.</w:t>
      </w:r>
      <w:r w:rsidR="00D42F18">
        <w:t xml:space="preserve"> </w:t>
      </w:r>
      <w:r w:rsidR="001E747B" w:rsidRPr="00273106">
        <w:t>Místo první substance dan</w:t>
      </w:r>
      <w:r w:rsidR="0892541D">
        <w:t xml:space="preserve">é reálně poznávají modernisté </w:t>
      </w:r>
      <w:r w:rsidR="00C67971">
        <w:t xml:space="preserve">porretánskou </w:t>
      </w:r>
      <w:r w:rsidR="001E747B" w:rsidRPr="00273106">
        <w:t xml:space="preserve">hypostázi, kterou </w:t>
      </w:r>
      <w:r w:rsidR="00845A51">
        <w:t xml:space="preserve">Rufus </w:t>
      </w:r>
      <w:r w:rsidR="001E747B" w:rsidRPr="00273106">
        <w:t>a</w:t>
      </w:r>
      <w:r w:rsidR="0892541D">
        <w:t>simil</w:t>
      </w:r>
      <w:r w:rsidR="00845A51">
        <w:t xml:space="preserve">oval </w:t>
      </w:r>
      <w:r w:rsidR="001E747B" w:rsidRPr="00273106">
        <w:t>v modu</w:t>
      </w:r>
      <w:r w:rsidR="001E747B">
        <w:t xml:space="preserve"> rovnosti</w:t>
      </w:r>
      <w:r w:rsidR="005D6BC8">
        <w:t xml:space="preserve"> do </w:t>
      </w:r>
      <w:r w:rsidR="00F679A7">
        <w:t xml:space="preserve">hypostatického </w:t>
      </w:r>
      <w:r w:rsidR="005D6BC8">
        <w:t xml:space="preserve">intelektu jako </w:t>
      </w:r>
      <w:r w:rsidR="001E747B" w:rsidRPr="00273106">
        <w:rPr>
          <w:i/>
        </w:rPr>
        <w:t>concretum</w:t>
      </w:r>
      <w:r w:rsidR="003330AF">
        <w:rPr>
          <w:i/>
        </w:rPr>
        <w:fldChar w:fldCharType="begin"/>
      </w:r>
      <w:r w:rsidR="003330AF">
        <w:instrText xml:space="preserve"> XE "</w:instrText>
      </w:r>
      <w:r w:rsidR="009430D3">
        <w:instrText>substance:</w:instrText>
      </w:r>
      <w:r w:rsidR="003330AF" w:rsidRPr="00B759F5">
        <w:rPr>
          <w:i/>
        </w:rPr>
        <w:instrText>concretum</w:instrText>
      </w:r>
      <w:r w:rsidR="003330AF">
        <w:instrText xml:space="preserve">" </w:instrText>
      </w:r>
      <w:r w:rsidR="003330AF">
        <w:rPr>
          <w:i/>
        </w:rPr>
        <w:fldChar w:fldCharType="end"/>
      </w:r>
      <w:r w:rsidR="001E747B" w:rsidRPr="00273106">
        <w:t xml:space="preserve">. </w:t>
      </w:r>
      <w:r w:rsidR="00340D9A">
        <w:t xml:space="preserve">Porretánský zázrak </w:t>
      </w:r>
      <w:r w:rsidR="00ED29DB">
        <w:t>„</w:t>
      </w:r>
      <w:r w:rsidR="004B4D52" w:rsidRPr="00ED29DB">
        <w:rPr>
          <w:i/>
        </w:rPr>
        <w:t>species</w:t>
      </w:r>
      <w:r w:rsidR="00ED29DB">
        <w:rPr>
          <w:i/>
        </w:rPr>
        <w:t>–</w:t>
      </w:r>
      <w:r w:rsidR="089443D6">
        <w:rPr>
          <w:i/>
        </w:rPr>
        <w:t>scibile</w:t>
      </w:r>
      <w:r w:rsidR="00ED29DB">
        <w:rPr>
          <w:i/>
        </w:rPr>
        <w:t>–</w:t>
      </w:r>
      <w:r w:rsidR="089202E8">
        <w:rPr>
          <w:i/>
        </w:rPr>
        <w:t>sensibile</w:t>
      </w:r>
      <w:r w:rsidR="00ED29DB">
        <w:t>“</w:t>
      </w:r>
      <w:r w:rsidR="00340D9A">
        <w:t xml:space="preserve"> je dán</w:t>
      </w:r>
      <w:r w:rsidR="089443D6">
        <w:t xml:space="preserve"> mimo smy</w:t>
      </w:r>
      <w:r w:rsidR="005665D3">
        <w:t xml:space="preserve">sly a existuje přímo ve věcech. </w:t>
      </w:r>
      <w:r w:rsidR="005665D3" w:rsidRPr="005665D3">
        <w:t xml:space="preserve">Moderna vytvořila mytologický soubor </w:t>
      </w:r>
      <w:r w:rsidR="005665D3" w:rsidRPr="005665D3">
        <w:rPr>
          <w:i/>
        </w:rPr>
        <w:t>tertium ens</w:t>
      </w:r>
      <w:r w:rsidR="005665D3" w:rsidRPr="005665D3">
        <w:t xml:space="preserve"> na univerzální, </w:t>
      </w:r>
      <w:r w:rsidR="005665D3">
        <w:t>smyslové a inteligibilní ú</w:t>
      </w:r>
      <w:r w:rsidR="005665D3" w:rsidRPr="005665D3">
        <w:t>rovni. Jejich poznání</w:t>
      </w:r>
      <w:r w:rsidR="005665D3">
        <w:t xml:space="preserve"> </w:t>
      </w:r>
      <w:r w:rsidR="006C3C37" w:rsidRPr="006C3C37">
        <w:t xml:space="preserve">v rámci asimilační teorie pravdy </w:t>
      </w:r>
      <w:r w:rsidR="006C3C37">
        <w:t xml:space="preserve">je v rozporu s </w:t>
      </w:r>
      <w:r w:rsidR="006C3C37" w:rsidRPr="006C3C37">
        <w:t>Aristotelov</w:t>
      </w:r>
      <w:r w:rsidR="006C3C37">
        <w:t>ou a Averroe</w:t>
      </w:r>
      <w:r w:rsidR="006C3C37" w:rsidRPr="006C3C37">
        <w:t>sov</w:t>
      </w:r>
      <w:r w:rsidR="006C3C37">
        <w:t>ou definicí pravdy jako korrespondence</w:t>
      </w:r>
      <w:r w:rsidR="006C3C37" w:rsidRPr="006C3C37">
        <w:t>.</w:t>
      </w:r>
      <w:r w:rsidR="006C3C37">
        <w:t xml:space="preserve"> </w:t>
      </w:r>
      <w:r w:rsidR="00444C1E" w:rsidRPr="00444C1E">
        <w:t xml:space="preserve">Rufus tvrdí, že tělesné smysly </w:t>
      </w:r>
      <w:r w:rsidR="000F646E">
        <w:t xml:space="preserve">mohou </w:t>
      </w:r>
      <w:r w:rsidR="00924CA8">
        <w:t xml:space="preserve">přijmout </w:t>
      </w:r>
      <w:r w:rsidR="00444C1E" w:rsidRPr="00444C1E">
        <w:t>ne</w:t>
      </w:r>
      <w:r w:rsidR="00444C1E">
        <w:t>materiální species</w:t>
      </w:r>
      <w:r w:rsidR="00444C1E" w:rsidRPr="00444C1E">
        <w:t xml:space="preserve">, </w:t>
      </w:r>
      <w:r w:rsidR="00444C1E">
        <w:t xml:space="preserve">protože </w:t>
      </w:r>
      <w:r w:rsidR="00444C1E" w:rsidRPr="00444C1E">
        <w:t xml:space="preserve">smysly jsou pro něj hypostatickou potencí </w:t>
      </w:r>
      <w:r w:rsidR="00444C1E">
        <w:t xml:space="preserve">o sobě </w:t>
      </w:r>
      <w:r w:rsidR="00444C1E" w:rsidRPr="00444C1E">
        <w:t>(</w:t>
      </w:r>
      <w:r w:rsidR="00444C1E" w:rsidRPr="00444C1E">
        <w:rPr>
          <w:i/>
        </w:rPr>
        <w:t>sensus est in potentia tale</w:t>
      </w:r>
      <w:r w:rsidR="00444C1E" w:rsidRPr="00444C1E">
        <w:t>).</w:t>
      </w:r>
      <w:r w:rsidR="00444C1E">
        <w:t xml:space="preserve"> </w:t>
      </w:r>
      <w:r w:rsidR="08A42431">
        <w:t xml:space="preserve">Smyslové poznání nenese žádnou aktualitu v rámci moderního </w:t>
      </w:r>
      <w:r w:rsidR="08A42431" w:rsidRPr="005D6BC8">
        <w:rPr>
          <w:i/>
        </w:rPr>
        <w:t>intellectus possibilis</w:t>
      </w:r>
      <w:r w:rsidR="08A42431">
        <w:t>, protože ten je oddělen od aristo</w:t>
      </w:r>
      <w:r w:rsidR="00153980">
        <w:t xml:space="preserve">telského receptivního intelektu. </w:t>
      </w:r>
      <w:r w:rsidR="00153980" w:rsidRPr="00153980">
        <w:t xml:space="preserve">Vysvětlili jsme roli Avicennova </w:t>
      </w:r>
      <w:r w:rsidR="00153980" w:rsidRPr="00153980">
        <w:rPr>
          <w:i/>
        </w:rPr>
        <w:t>intellectus materialis</w:t>
      </w:r>
      <w:r w:rsidR="00153980" w:rsidRPr="00153980">
        <w:t xml:space="preserve"> v modernistickém schématu poznání.</w:t>
      </w:r>
      <w:r w:rsidR="08A42431">
        <w:t xml:space="preserve"> Poznání </w:t>
      </w:r>
      <w:r w:rsidR="004B4D52" w:rsidRPr="004B4D52">
        <w:t>species</w:t>
      </w:r>
      <w:r w:rsidR="08A42431">
        <w:t xml:space="preserve"> třetího druhu je dáno nasvícením zezadu od kosmického </w:t>
      </w:r>
      <w:r w:rsidR="08A42431" w:rsidRPr="00B00E0F">
        <w:rPr>
          <w:i/>
        </w:rPr>
        <w:t>intellectus possibilis</w:t>
      </w:r>
      <w:r w:rsidR="08A42431">
        <w:t xml:space="preserve"> (David z </w:t>
      </w:r>
      <w:r w:rsidR="084F2DAD">
        <w:t>Dinantu</w:t>
      </w:r>
      <w:r w:rsidR="08A42431">
        <w:t>)</w:t>
      </w:r>
      <w:r w:rsidR="084F2DAD">
        <w:t xml:space="preserve">. Rufus </w:t>
      </w:r>
      <w:r w:rsidR="08A42431">
        <w:t xml:space="preserve">nepotřebuje Averroesův scénář aktualizace lidské intencionality smyslů a intelektu skrze reálnou věc. </w:t>
      </w:r>
      <w:r w:rsidR="08CE0DA6">
        <w:t xml:space="preserve">Oxfordský iluminát </w:t>
      </w:r>
      <w:r w:rsidR="005D6BC8">
        <w:t xml:space="preserve">kritizující </w:t>
      </w:r>
      <w:r w:rsidR="002E3B62">
        <w:t>Averroes</w:t>
      </w:r>
      <w:r w:rsidR="00E104C4">
        <w:t>e musí najít</w:t>
      </w:r>
      <w:r w:rsidR="00CD3BD9">
        <w:t xml:space="preserve"> nový způsob individuace možného intelektu</w:t>
      </w:r>
      <w:r w:rsidR="08F1763C">
        <w:t xml:space="preserve">, který nejde </w:t>
      </w:r>
      <w:r w:rsidR="00F46EFD">
        <w:t>od smyslového poznání první substance</w:t>
      </w:r>
      <w:r w:rsidR="00CD3BD9">
        <w:t>.</w:t>
      </w:r>
    </w:p>
    <w:p w14:paraId="4C8DFA9C" w14:textId="0FF63D5A" w:rsidR="00DD633E" w:rsidRPr="00273106" w:rsidRDefault="00B77AA2" w:rsidP="00DD633E">
      <w:pPr>
        <w:pStyle w:val="Citace"/>
        <w:rPr>
          <w:noProof/>
          <w:lang w:val="cs-CZ"/>
        </w:rPr>
      </w:pPr>
      <w:r w:rsidRPr="00273106">
        <w:rPr>
          <w:noProof/>
          <w:lang w:val="cs-CZ"/>
        </w:rPr>
        <w:t>„</w:t>
      </w:r>
      <w:r w:rsidR="00DD633E" w:rsidRPr="00273106">
        <w:rPr>
          <w:noProof/>
          <w:lang w:val="cs-CZ"/>
        </w:rPr>
        <w:t>Pokud jeden a týž mož</w:t>
      </w:r>
      <w:r w:rsidR="08103CE3">
        <w:rPr>
          <w:noProof/>
          <w:lang w:val="cs-CZ"/>
        </w:rPr>
        <w:t>ný intelekt přijímá tak rozličná a mnohá</w:t>
      </w:r>
      <w:r w:rsidR="00DD633E" w:rsidRPr="00273106">
        <w:rPr>
          <w:noProof/>
          <w:lang w:val="cs-CZ"/>
        </w:rPr>
        <w:t xml:space="preserve"> inteligibilní </w:t>
      </w:r>
      <w:r w:rsidR="004B4D52" w:rsidRPr="004B4D52">
        <w:rPr>
          <w:noProof/>
          <w:lang w:val="cs-CZ"/>
        </w:rPr>
        <w:t>species</w:t>
      </w:r>
      <w:r w:rsidR="00DD633E" w:rsidRPr="00273106">
        <w:rPr>
          <w:noProof/>
          <w:lang w:val="cs-CZ"/>
        </w:rPr>
        <w:t xml:space="preserve"> ze substan</w:t>
      </w:r>
      <w:r w:rsidR="00F46EFD">
        <w:rPr>
          <w:noProof/>
          <w:lang w:val="cs-CZ"/>
        </w:rPr>
        <w:t>cí a akcidentů, pak z toho plyne</w:t>
      </w:r>
      <w:r w:rsidR="000C5C2C">
        <w:rPr>
          <w:noProof/>
          <w:lang w:val="cs-CZ"/>
        </w:rPr>
        <w:t>, že pro ně nemůže existovat</w:t>
      </w:r>
      <w:r w:rsidR="00DD633E" w:rsidRPr="00273106">
        <w:rPr>
          <w:noProof/>
          <w:lang w:val="cs-CZ"/>
        </w:rPr>
        <w:t xml:space="preserve"> jedna individuální substanční forma, která by </w:t>
      </w:r>
      <w:r w:rsidR="00B40FE5">
        <w:rPr>
          <w:noProof/>
          <w:lang w:val="cs-CZ"/>
        </w:rPr>
        <w:t xml:space="preserve">je </w:t>
      </w:r>
      <w:r w:rsidR="00DD633E" w:rsidRPr="00273106">
        <w:rPr>
          <w:noProof/>
          <w:lang w:val="cs-CZ"/>
        </w:rPr>
        <w:t xml:space="preserve">determinovala </w:t>
      </w:r>
      <w:r w:rsidR="005B7810" w:rsidRPr="00273106">
        <w:rPr>
          <w:noProof/>
          <w:lang w:val="cs-CZ"/>
        </w:rPr>
        <w:t>jako jedno individuum, jednu</w:t>
      </w:r>
      <w:r w:rsidR="00DD633E" w:rsidRPr="00273106">
        <w:rPr>
          <w:noProof/>
          <w:lang w:val="cs-CZ"/>
        </w:rPr>
        <w:t xml:space="preserve"> substanci a jednu osobu.“ </w:t>
      </w:r>
      <w:r w:rsidR="00DD633E" w:rsidRPr="00273106">
        <w:rPr>
          <w:rStyle w:val="Znakapoznpodarou"/>
          <w:noProof/>
          <w:lang w:val="cs-CZ"/>
        </w:rPr>
        <w:footnoteReference w:id="465"/>
      </w:r>
    </w:p>
    <w:p w14:paraId="363F43B6" w14:textId="77777777" w:rsidR="000277EF" w:rsidRDefault="00661177" w:rsidP="00B672C9">
      <w:r w:rsidRPr="00273106">
        <w:t>Citát zmiňuje r</w:t>
      </w:r>
      <w:r w:rsidR="08727078" w:rsidRPr="00273106">
        <w:t>ecep</w:t>
      </w:r>
      <w:r w:rsidRPr="00273106">
        <w:t xml:space="preserve">ci </w:t>
      </w:r>
      <w:r w:rsidR="00B40FE5">
        <w:t xml:space="preserve">numericky odlišných </w:t>
      </w:r>
      <w:r w:rsidR="004B4D52" w:rsidRPr="004B4D52">
        <w:t>species</w:t>
      </w:r>
      <w:r w:rsidRPr="00273106">
        <w:t xml:space="preserve"> v</w:t>
      </w:r>
      <w:r w:rsidR="088761F9" w:rsidRPr="00273106">
        <w:t xml:space="preserve"> </w:t>
      </w:r>
      <w:r w:rsidR="00724770" w:rsidRPr="00273106">
        <w:t xml:space="preserve">jednom </w:t>
      </w:r>
      <w:r w:rsidR="00B40FE5">
        <w:t xml:space="preserve">a téže </w:t>
      </w:r>
      <w:r w:rsidR="00724770" w:rsidRPr="00273106">
        <w:t xml:space="preserve">receptivním </w:t>
      </w:r>
      <w:r w:rsidR="088761F9" w:rsidRPr="00273106">
        <w:t>intelektu (</w:t>
      </w:r>
      <w:r w:rsidR="088761F9" w:rsidRPr="00273106">
        <w:rPr>
          <w:i/>
        </w:rPr>
        <w:t>in uno et eodem intellectu possibili</w:t>
      </w:r>
      <w:r w:rsidR="088761F9" w:rsidRPr="00273106">
        <w:t xml:space="preserve">). </w:t>
      </w:r>
      <w:r w:rsidR="00A76643" w:rsidRPr="00273106">
        <w:t xml:space="preserve">Tomuto pojetí </w:t>
      </w:r>
      <w:r w:rsidR="00B47385" w:rsidRPr="00273106">
        <w:t xml:space="preserve">prvních modernistů </w:t>
      </w:r>
      <w:r w:rsidR="00A76643" w:rsidRPr="00273106">
        <w:t xml:space="preserve">odpovídá </w:t>
      </w:r>
      <w:r w:rsidR="008D2D8D">
        <w:t xml:space="preserve">termín </w:t>
      </w:r>
      <w:r w:rsidR="088761F9" w:rsidRPr="00273106">
        <w:rPr>
          <w:i/>
        </w:rPr>
        <w:t>collectio</w:t>
      </w:r>
      <w:r w:rsidR="00652149">
        <w:rPr>
          <w:i/>
        </w:rPr>
        <w:fldChar w:fldCharType="begin"/>
      </w:r>
      <w:r w:rsidR="00652149">
        <w:instrText xml:space="preserve"> XE "</w:instrText>
      </w:r>
      <w:r w:rsidR="00652149" w:rsidRPr="003360BC">
        <w:rPr>
          <w:i/>
        </w:rPr>
        <w:instrText>collectio</w:instrText>
      </w:r>
      <w:r w:rsidR="00652149">
        <w:instrText xml:space="preserve">" </w:instrText>
      </w:r>
      <w:r w:rsidR="00652149">
        <w:rPr>
          <w:i/>
        </w:rPr>
        <w:fldChar w:fldCharType="end"/>
      </w:r>
      <w:r w:rsidR="00B47385" w:rsidRPr="00273106">
        <w:t xml:space="preserve"> </w:t>
      </w:r>
      <w:r w:rsidR="088761F9" w:rsidRPr="00273106">
        <w:t xml:space="preserve">inspirovaný Avicennovou denudací. </w:t>
      </w:r>
      <w:r w:rsidR="00467027">
        <w:t>Intelektuální sběr</w:t>
      </w:r>
      <w:r w:rsidR="0813669E">
        <w:t xml:space="preserve"> </w:t>
      </w:r>
      <w:r w:rsidR="00467027">
        <w:t>mytologických u</w:t>
      </w:r>
      <w:r w:rsidR="00300FC2" w:rsidRPr="00273106">
        <w:t xml:space="preserve">niverzálií </w:t>
      </w:r>
      <w:r w:rsidR="00467027">
        <w:t xml:space="preserve">daných </w:t>
      </w:r>
      <w:r w:rsidR="00300FC2" w:rsidRPr="00273106">
        <w:t>ve věcech</w:t>
      </w:r>
      <w:r w:rsidR="00F00DEF">
        <w:t xml:space="preserve"> jako </w:t>
      </w:r>
      <w:r w:rsidR="00F00DEF" w:rsidRPr="00F00DEF">
        <w:rPr>
          <w:i/>
        </w:rPr>
        <w:t>scibilia</w:t>
      </w:r>
      <w:r w:rsidR="00F00DEF">
        <w:t xml:space="preserve"> </w:t>
      </w:r>
      <w:r w:rsidR="08A615FD">
        <w:t xml:space="preserve">zásadně </w:t>
      </w:r>
      <w:r w:rsidR="00081730" w:rsidRPr="00273106">
        <w:t xml:space="preserve">popírá průběh poznání </w:t>
      </w:r>
      <w:r w:rsidR="08154168" w:rsidRPr="00273106">
        <w:t xml:space="preserve">podle </w:t>
      </w:r>
      <w:r w:rsidR="00B713C5">
        <w:rPr>
          <w:i/>
        </w:rPr>
        <w:t>De anima</w:t>
      </w:r>
      <w:r w:rsidR="080973BB" w:rsidRPr="00273106">
        <w:t xml:space="preserve">. Ve schématu </w:t>
      </w:r>
      <w:r w:rsidR="080973BB" w:rsidRPr="00273106">
        <w:rPr>
          <w:i/>
        </w:rPr>
        <w:t>Modernorum</w:t>
      </w:r>
      <w:r w:rsidR="080973BB" w:rsidRPr="00273106">
        <w:t xml:space="preserve"> chybí </w:t>
      </w:r>
      <w:r w:rsidR="08154168" w:rsidRPr="00273106">
        <w:t xml:space="preserve">receptivní </w:t>
      </w:r>
      <w:r w:rsidR="080973BB" w:rsidRPr="00273106">
        <w:t xml:space="preserve">složka </w:t>
      </w:r>
      <w:r w:rsidR="08CA387C">
        <w:t>intelektu daná v existenciálním poznání osoby</w:t>
      </w:r>
      <w:r w:rsidR="00467027">
        <w:t xml:space="preserve"> (</w:t>
      </w:r>
      <w:r w:rsidR="00467027" w:rsidRPr="004E2CCF">
        <w:rPr>
          <w:i/>
        </w:rPr>
        <w:t>tertium genus</w:t>
      </w:r>
      <w:r w:rsidR="00467027">
        <w:t xml:space="preserve">). Rufus </w:t>
      </w:r>
      <w:r w:rsidR="00345DB1">
        <w:t xml:space="preserve">nemá intelekt jako poznání osoby, a </w:t>
      </w:r>
      <w:r w:rsidR="00467027">
        <w:t xml:space="preserve">navíc </w:t>
      </w:r>
      <w:r w:rsidR="008D2D8D">
        <w:t xml:space="preserve">úplně </w:t>
      </w:r>
      <w:r w:rsidR="00300FC2" w:rsidRPr="00273106">
        <w:t xml:space="preserve">oddělil smyslové poznání </w:t>
      </w:r>
      <w:r w:rsidR="00DA69D2" w:rsidRPr="00273106">
        <w:t>od intelektuálního</w:t>
      </w:r>
      <w:r w:rsidR="08154168" w:rsidRPr="00273106">
        <w:t xml:space="preserve">. </w:t>
      </w:r>
      <w:r w:rsidR="00DC1803">
        <w:t xml:space="preserve">V duši </w:t>
      </w:r>
      <w:r w:rsidR="00A21D3F" w:rsidRPr="00273106">
        <w:t xml:space="preserve">nemůže existovat čistě receptivní sféra či </w:t>
      </w:r>
      <w:r w:rsidR="00C01816">
        <w:t xml:space="preserve">individuální </w:t>
      </w:r>
      <w:r w:rsidR="00A21D3F" w:rsidRPr="00273106">
        <w:t xml:space="preserve">schopnost </w:t>
      </w:r>
      <w:r w:rsidR="00C01816">
        <w:t xml:space="preserve">intelektuálního </w:t>
      </w:r>
      <w:r w:rsidR="00A21D3F" w:rsidRPr="00273106">
        <w:t>poznání</w:t>
      </w:r>
      <w:r w:rsidR="008D2D8D">
        <w:t xml:space="preserve"> daného nemateriálně, protože je vyvedena do externí hypostáze averroistického </w:t>
      </w:r>
      <w:r w:rsidR="08F77171" w:rsidRPr="08F77171">
        <w:rPr>
          <w:i/>
          <w:szCs w:val="24"/>
        </w:rPr>
        <w:t>intellectus possibilis</w:t>
      </w:r>
      <w:r w:rsidR="005D11B3">
        <w:rPr>
          <w:szCs w:val="24"/>
        </w:rPr>
        <w:t xml:space="preserve">. </w:t>
      </w:r>
      <w:r w:rsidR="005D11B3" w:rsidRPr="005D11B3">
        <w:rPr>
          <w:szCs w:val="24"/>
        </w:rPr>
        <w:t xml:space="preserve">Receptivita je pojímána jako vnější hypostáze. Je to Dinantův kosmický </w:t>
      </w:r>
      <w:r w:rsidR="005D11B3" w:rsidRPr="005D11B3">
        <w:rPr>
          <w:i/>
          <w:szCs w:val="24"/>
        </w:rPr>
        <w:t xml:space="preserve">intellectus possibilis </w:t>
      </w:r>
      <w:r w:rsidR="005D11B3" w:rsidRPr="005D11B3">
        <w:rPr>
          <w:szCs w:val="24"/>
        </w:rPr>
        <w:t xml:space="preserve">a Averroesův </w:t>
      </w:r>
      <w:r w:rsidR="005D11B3" w:rsidRPr="005D11B3">
        <w:rPr>
          <w:i/>
          <w:szCs w:val="24"/>
        </w:rPr>
        <w:t>intellectus possibilis</w:t>
      </w:r>
      <w:r w:rsidR="005D11B3" w:rsidRPr="005D11B3">
        <w:rPr>
          <w:szCs w:val="24"/>
        </w:rPr>
        <w:t>, který je nesprávně chápán jako numericky jednotná substance, jež má být univerzálně receptivní. Obě koncepce patří do modernistické mytologie</w:t>
      </w:r>
      <w:r w:rsidR="00DF6A05">
        <w:rPr>
          <w:szCs w:val="24"/>
        </w:rPr>
        <w:t xml:space="preserve"> poznání</w:t>
      </w:r>
      <w:r w:rsidR="005D11B3" w:rsidRPr="005D11B3">
        <w:rPr>
          <w:szCs w:val="24"/>
        </w:rPr>
        <w:t>.</w:t>
      </w:r>
      <w:r w:rsidR="005D11B3">
        <w:rPr>
          <w:szCs w:val="24"/>
        </w:rPr>
        <w:t xml:space="preserve"> </w:t>
      </w:r>
      <w:r w:rsidR="00A21D3F" w:rsidRPr="00273106">
        <w:t>Viz přešlé citace ohledně Rufusova aktivního a receptivní</w:t>
      </w:r>
      <w:r w:rsidR="00C57DC9">
        <w:t>ho intelektu jako nemateriální a oddělené substance (</w:t>
      </w:r>
      <w:r w:rsidR="00A21D3F" w:rsidRPr="00273106">
        <w:rPr>
          <w:i/>
        </w:rPr>
        <w:t>hoc aliquid</w:t>
      </w:r>
      <w:r w:rsidR="00C57DC9">
        <w:t>)</w:t>
      </w:r>
      <w:r w:rsidR="00A21D3F" w:rsidRPr="00273106">
        <w:t xml:space="preserve">. </w:t>
      </w:r>
      <w:r w:rsidR="002037B1">
        <w:t xml:space="preserve">Univerzalita poznání </w:t>
      </w:r>
      <w:r w:rsidR="0025747B" w:rsidRPr="00273106">
        <w:t xml:space="preserve">podle definice </w:t>
      </w:r>
      <w:r w:rsidR="002037B1">
        <w:t xml:space="preserve">duše v modu </w:t>
      </w:r>
      <w:r w:rsidR="0025747B" w:rsidRPr="00273106">
        <w:rPr>
          <w:rStyle w:val="st"/>
          <w:bCs/>
          <w:i/>
        </w:rPr>
        <w:t>quodammodo omnia</w:t>
      </w:r>
      <w:r w:rsidR="0025747B" w:rsidRPr="00273106">
        <w:t xml:space="preserve"> je </w:t>
      </w:r>
      <w:r w:rsidR="002037B1" w:rsidRPr="00273106">
        <w:t xml:space="preserve">vyloučena </w:t>
      </w:r>
      <w:r w:rsidR="0025747B" w:rsidRPr="00273106">
        <w:t xml:space="preserve">na </w:t>
      </w:r>
      <w:r w:rsidR="08370AA9">
        <w:t xml:space="preserve">osobní </w:t>
      </w:r>
      <w:r w:rsidR="00D126E3" w:rsidRPr="00273106">
        <w:t>úrovni. Č</w:t>
      </w:r>
      <w:r w:rsidR="0025747B" w:rsidRPr="00273106">
        <w:t xml:space="preserve">lověk jako </w:t>
      </w:r>
      <w:r w:rsidR="00D126E3" w:rsidRPr="00273106">
        <w:t xml:space="preserve">aktuální </w:t>
      </w:r>
      <w:r w:rsidR="0025747B" w:rsidRPr="00273106">
        <w:t xml:space="preserve">myslící substance </w:t>
      </w:r>
      <w:r w:rsidR="00D126E3" w:rsidRPr="00273106">
        <w:t>v těle se stal aktuální kombinací</w:t>
      </w:r>
      <w:r w:rsidR="0025747B" w:rsidRPr="00273106">
        <w:t xml:space="preserve"> dvou substančních </w:t>
      </w:r>
      <w:r w:rsidR="084F1882">
        <w:t xml:space="preserve">kosmických </w:t>
      </w:r>
      <w:r w:rsidR="0025747B" w:rsidRPr="00273106">
        <w:t>intelektů</w:t>
      </w:r>
      <w:r w:rsidR="00D126E3" w:rsidRPr="00273106">
        <w:t>: aktivního a pasivního</w:t>
      </w:r>
      <w:r w:rsidR="00286E29">
        <w:fldChar w:fldCharType="begin"/>
      </w:r>
      <w:r w:rsidR="00286E29">
        <w:instrText xml:space="preserve"> XE "</w:instrText>
      </w:r>
      <w:r w:rsidR="00286E29" w:rsidRPr="00EA098B">
        <w:instrText>osoba:pluralita substancí</w:instrText>
      </w:r>
      <w:r w:rsidR="00286E29">
        <w:instrText xml:space="preserve">" </w:instrText>
      </w:r>
      <w:r w:rsidR="00286E29">
        <w:fldChar w:fldCharType="end"/>
      </w:r>
      <w:r w:rsidR="0025747B" w:rsidRPr="00273106">
        <w:t xml:space="preserve">. </w:t>
      </w:r>
      <w:r w:rsidR="002037B1">
        <w:t>T</w:t>
      </w:r>
      <w:r w:rsidR="00D126E3" w:rsidRPr="00273106">
        <w:t>oto pojetí kritizuje Albert jako nesmyslné, viz jeho zásadní kritiku averroistů typu Rufuse. Mají tři druhy subs</w:t>
      </w:r>
      <w:r w:rsidR="004E1CAD" w:rsidRPr="00273106">
        <w:t>tancí v</w:t>
      </w:r>
      <w:r w:rsidR="002B029E">
        <w:t> </w:t>
      </w:r>
      <w:r w:rsidR="004E1CAD" w:rsidRPr="00273106">
        <w:t>člověku</w:t>
      </w:r>
      <w:r w:rsidR="002B029E">
        <w:t>:</w:t>
      </w:r>
      <w:r w:rsidR="00D07138">
        <w:t xml:space="preserve"> </w:t>
      </w:r>
      <w:r w:rsidR="002B029E">
        <w:t xml:space="preserve">lidský </w:t>
      </w:r>
      <w:r w:rsidR="002B029E" w:rsidRPr="00273106">
        <w:t>intelekt</w:t>
      </w:r>
      <w:r w:rsidR="002B029E">
        <w:t xml:space="preserve"> je oddělená hypostáze a navíc vytváří </w:t>
      </w:r>
      <w:r w:rsidR="00D07138">
        <w:t xml:space="preserve">v duši </w:t>
      </w:r>
      <w:r w:rsidR="002B029E" w:rsidRPr="002B029E">
        <w:t xml:space="preserve">pseudomateriální kopii skutečnosti </w:t>
      </w:r>
      <w:r w:rsidR="002B029E">
        <w:t xml:space="preserve">podle univerzálního </w:t>
      </w:r>
      <w:r w:rsidR="002B029E" w:rsidRPr="002B029E">
        <w:t>hylemofismu (kap. 2.4.3).</w:t>
      </w:r>
      <w:r w:rsidR="002B029E">
        <w:t xml:space="preserve"> </w:t>
      </w:r>
      <w:r w:rsidR="00D126E3" w:rsidRPr="00273106">
        <w:t xml:space="preserve">A to je </w:t>
      </w:r>
      <w:r w:rsidR="002403C5" w:rsidRPr="00273106">
        <w:t>pod</w:t>
      </w:r>
      <w:r w:rsidR="007256CC" w:rsidRPr="00273106">
        <w:t>l</w:t>
      </w:r>
      <w:r w:rsidR="002403C5" w:rsidRPr="00273106">
        <w:t>e</w:t>
      </w:r>
      <w:r w:rsidR="007256CC" w:rsidRPr="00273106">
        <w:t xml:space="preserve"> Alberta i pod</w:t>
      </w:r>
      <w:r w:rsidR="002403C5" w:rsidRPr="00273106">
        <w:t>le</w:t>
      </w:r>
      <w:r w:rsidR="007256CC" w:rsidRPr="00273106">
        <w:t xml:space="preserve"> předložené hermeneutiky </w:t>
      </w:r>
      <w:r w:rsidR="00D126E3" w:rsidRPr="00273106">
        <w:t>cesta</w:t>
      </w:r>
      <w:r w:rsidR="00286E29">
        <w:t xml:space="preserve"> </w:t>
      </w:r>
      <w:r w:rsidR="00D61E51">
        <w:t xml:space="preserve">paranoických </w:t>
      </w:r>
      <w:r w:rsidR="00286E29" w:rsidRPr="00286E29">
        <w:rPr>
          <w:i/>
        </w:rPr>
        <w:t>Modernorum</w:t>
      </w:r>
      <w:r w:rsidR="00D61E51">
        <w:t xml:space="preserve">. Dnes po ní </w:t>
      </w:r>
      <w:r w:rsidR="0024511B" w:rsidRPr="00273106">
        <w:t>kráčej</w:t>
      </w:r>
      <w:r w:rsidR="00D126E3" w:rsidRPr="00273106">
        <w:t xml:space="preserve">í všichni </w:t>
      </w:r>
      <w:r w:rsidR="004E1CAD" w:rsidRPr="00273106">
        <w:t>post</w:t>
      </w:r>
      <w:r w:rsidR="08431F5C">
        <w:t xml:space="preserve">modernisté, protože </w:t>
      </w:r>
      <w:r w:rsidR="003D11D1" w:rsidRPr="00273106">
        <w:t xml:space="preserve">nepochopili </w:t>
      </w:r>
      <w:r w:rsidR="00D126E3" w:rsidRPr="00273106">
        <w:t>nauku klasického aristotelismu</w:t>
      </w:r>
      <w:r w:rsidR="00CE7BC6">
        <w:t xml:space="preserve"> </w:t>
      </w:r>
      <w:r w:rsidR="00A2066C">
        <w:t xml:space="preserve">správně </w:t>
      </w:r>
      <w:r w:rsidR="00CE7BC6">
        <w:t>podle CMDA</w:t>
      </w:r>
      <w:r w:rsidR="003D11D1" w:rsidRPr="00273106">
        <w:t xml:space="preserve">. </w:t>
      </w:r>
      <w:r w:rsidR="08234909">
        <w:t xml:space="preserve">K jejich obhajobě </w:t>
      </w:r>
      <w:r w:rsidR="08C8444A">
        <w:t>je třeba říci, že Averro</w:t>
      </w:r>
      <w:r w:rsidR="08234909">
        <w:t xml:space="preserve">es a všichni klasikové prvního averroismu zdůrazňují, že otázka poznání osoby a jednota intelektu patří k nejobtížnějším částem filosofie vůbec. </w:t>
      </w:r>
      <w:r w:rsidR="00CB0A76" w:rsidRPr="00CB0A76">
        <w:t xml:space="preserve">Moderna </w:t>
      </w:r>
      <w:r w:rsidR="008C3599">
        <w:t xml:space="preserve">založená na metafyzické </w:t>
      </w:r>
      <w:r w:rsidR="008C3599" w:rsidRPr="00440942">
        <w:rPr>
          <w:i/>
        </w:rPr>
        <w:t>apaideusía</w:t>
      </w:r>
      <w:r w:rsidR="008C3599">
        <w:rPr>
          <w:i/>
        </w:rPr>
        <w:t xml:space="preserve"> </w:t>
      </w:r>
      <w:r w:rsidR="00CB0A76" w:rsidRPr="00CB0A76">
        <w:t>se vydala sna</w:t>
      </w:r>
      <w:r w:rsidR="00CB0A76">
        <w:t xml:space="preserve">zší </w:t>
      </w:r>
      <w:r w:rsidR="00067E38">
        <w:t xml:space="preserve">a velmi širokou </w:t>
      </w:r>
      <w:r w:rsidR="00CB0A76">
        <w:t>cestou mytologických fabulací</w:t>
      </w:r>
      <w:r w:rsidR="00CB0A76" w:rsidRPr="00CB0A76">
        <w:t>.</w:t>
      </w:r>
      <w:r w:rsidR="00CB0A76">
        <w:t xml:space="preserve"> </w:t>
      </w:r>
      <w:r w:rsidR="00A8675F">
        <w:t>T</w:t>
      </w:r>
      <w:r w:rsidR="0042761A">
        <w:t xml:space="preserve">yto nesrovnalosti </w:t>
      </w:r>
      <w:r w:rsidR="00CE7BC6">
        <w:t xml:space="preserve">související s výkladem </w:t>
      </w:r>
      <w:r w:rsidR="00CE7BC6" w:rsidRPr="00CE7BC6">
        <w:rPr>
          <w:i/>
        </w:rPr>
        <w:t xml:space="preserve">Oxfordian Fallacy </w:t>
      </w:r>
      <w:r w:rsidR="004D316E">
        <w:t>analyzovala kapitola věnovaná o</w:t>
      </w:r>
      <w:r w:rsidR="0042761A">
        <w:t xml:space="preserve">xfordským pokračovatelům Grossetesteho v díle </w:t>
      </w:r>
      <w:r w:rsidR="0042761A">
        <w:rPr>
          <w:i/>
        </w:rPr>
        <w:t>Sum</w:t>
      </w:r>
      <w:r w:rsidR="0042761A" w:rsidRPr="0042761A">
        <w:rPr>
          <w:i/>
        </w:rPr>
        <w:t>m</w:t>
      </w:r>
      <w:r w:rsidR="0042761A">
        <w:rPr>
          <w:i/>
        </w:rPr>
        <w:t>a</w:t>
      </w:r>
      <w:r w:rsidR="0042761A" w:rsidRPr="0042761A">
        <w:rPr>
          <w:i/>
        </w:rPr>
        <w:t xml:space="preserve"> philosophiae</w:t>
      </w:r>
      <w:r w:rsidR="08C8444A">
        <w:t xml:space="preserve"> (kap. 3</w:t>
      </w:r>
      <w:r w:rsidR="000277EF">
        <w:t>.1.3).</w:t>
      </w:r>
    </w:p>
    <w:p w14:paraId="3B3810FA" w14:textId="40A2524A" w:rsidR="00B672C9" w:rsidRDefault="008A3C97" w:rsidP="000277EF">
      <w:pPr>
        <w:ind w:firstLine="397"/>
      </w:pPr>
      <w:r w:rsidRPr="00273106">
        <w:t xml:space="preserve">Hypostázováním </w:t>
      </w:r>
      <w:r w:rsidR="00967B10"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391760">
        <w:instrText>:Rufus</w:instrText>
      </w:r>
      <w:r w:rsidR="009D323B">
        <w:instrText xml:space="preserve">" </w:instrText>
      </w:r>
      <w:r w:rsidR="009D323B">
        <w:rPr>
          <w:i/>
        </w:rPr>
        <w:fldChar w:fldCharType="end"/>
      </w:r>
      <w:r w:rsidR="00967B10" w:rsidRPr="00273106">
        <w:rPr>
          <w:i/>
        </w:rPr>
        <w:t xml:space="preserve"> </w:t>
      </w:r>
      <w:r w:rsidR="00285356" w:rsidRPr="00273106">
        <w:t xml:space="preserve">jako substance třetího druhu </w:t>
      </w:r>
      <w:r w:rsidRPr="00273106">
        <w:t xml:space="preserve">se Rufus </w:t>
      </w:r>
      <w:r w:rsidR="00413A9D" w:rsidRPr="00273106">
        <w:t>chytil do vlastní pasti</w:t>
      </w:r>
      <w:r w:rsidR="00285356" w:rsidRPr="00273106">
        <w:t>. N</w:t>
      </w:r>
      <w:r w:rsidR="00413A9D" w:rsidRPr="00273106">
        <w:t xml:space="preserve">emůže přijmout do schématu poznání aktuální </w:t>
      </w:r>
      <w:r w:rsidR="088F6740">
        <w:t xml:space="preserve">kauzalitu reálných substancí ve středním členu </w:t>
      </w:r>
      <w:r w:rsidR="088F6740" w:rsidRPr="088F6740">
        <w:rPr>
          <w:i/>
        </w:rPr>
        <w:t>demonstratio</w:t>
      </w:r>
      <w:r w:rsidR="001942BB">
        <w:t xml:space="preserve">, protože jeho hypostázované </w:t>
      </w:r>
      <w:r w:rsidR="001942BB" w:rsidRPr="001942BB">
        <w:rPr>
          <w:i/>
        </w:rPr>
        <w:t>scibile</w:t>
      </w:r>
      <w:r w:rsidR="001942BB">
        <w:t xml:space="preserve"> má vlastní kauzalitu. A navíc nemá </w:t>
      </w:r>
      <w:r w:rsidR="00A8675F">
        <w:t>substanční jednotu osoby</w:t>
      </w:r>
      <w:r w:rsidR="00413A9D" w:rsidRPr="00273106">
        <w:t xml:space="preserve">. Proto vysune čistě receptivní intelekt mimo duši jednotlivce a udělá jej </w:t>
      </w:r>
      <w:r w:rsidR="00FE473D" w:rsidRPr="00273106">
        <w:t xml:space="preserve">společný </w:t>
      </w:r>
      <w:r w:rsidR="00413A9D" w:rsidRPr="00273106">
        <w:t xml:space="preserve">pro všechny </w:t>
      </w:r>
      <w:r w:rsidR="00FE473D">
        <w:t xml:space="preserve">lidi </w:t>
      </w:r>
      <w:r w:rsidR="00413A9D" w:rsidRPr="00273106">
        <w:t>(</w:t>
      </w:r>
      <w:r w:rsidR="004B4D52" w:rsidRPr="00FE473D">
        <w:rPr>
          <w:i/>
        </w:rPr>
        <w:t>species</w:t>
      </w:r>
      <w:r w:rsidR="00413A9D" w:rsidRPr="00273106">
        <w:rPr>
          <w:i/>
        </w:rPr>
        <w:t xml:space="preserve"> intelligibiles recipiantur in uno et eodem intellectu possibili</w:t>
      </w:r>
      <w:r w:rsidR="00413A9D" w:rsidRPr="00273106">
        <w:t xml:space="preserve">). </w:t>
      </w:r>
      <w:r w:rsidR="088F6740">
        <w:t>To je řešení Davida z</w:t>
      </w:r>
      <w:r w:rsidR="00C83CEC">
        <w:t> </w:t>
      </w:r>
      <w:r w:rsidR="088F6740">
        <w:t>Dinantu</w:t>
      </w:r>
      <w:r w:rsidR="00D15EBF">
        <w:fldChar w:fldCharType="begin"/>
      </w:r>
      <w:r w:rsidR="00D15EBF">
        <w:instrText xml:space="preserve"> XE "</w:instrText>
      </w:r>
      <w:r w:rsidR="00D15EBF" w:rsidRPr="003F70A3">
        <w:instrText>David z Dinantu</w:instrText>
      </w:r>
      <w:r w:rsidR="00D15EBF">
        <w:instrText xml:space="preserve">" </w:instrText>
      </w:r>
      <w:r w:rsidR="00D15EBF">
        <w:fldChar w:fldCharType="end"/>
      </w:r>
      <w:r w:rsidR="00C83CEC">
        <w:t xml:space="preserve"> s jeho panteistickým intelektem</w:t>
      </w:r>
      <w:r w:rsidR="088F6740">
        <w:t xml:space="preserve">. </w:t>
      </w:r>
      <w:r w:rsidR="00BE54E9">
        <w:t>J</w:t>
      </w:r>
      <w:r w:rsidR="00413A9D" w:rsidRPr="00273106">
        <w:t>ádr</w:t>
      </w:r>
      <w:r w:rsidR="00BE54E9">
        <w:t>em s</w:t>
      </w:r>
      <w:r w:rsidR="00413A9D" w:rsidRPr="00273106">
        <w:t>poru</w:t>
      </w:r>
      <w:r w:rsidR="00BE54E9">
        <w:t xml:space="preserve"> je </w:t>
      </w:r>
      <w:r w:rsidR="00BE54E9" w:rsidRPr="00273106">
        <w:t xml:space="preserve"> averroismus </w:t>
      </w:r>
      <w:r w:rsidR="00BE54E9">
        <w:t xml:space="preserve">Sicilské školy daný podle CMDA, který bojoval proti </w:t>
      </w:r>
      <w:r w:rsidR="00413A9D" w:rsidRPr="00273106">
        <w:t>druh</w:t>
      </w:r>
      <w:r w:rsidR="00BE54E9">
        <w:t xml:space="preserve">é </w:t>
      </w:r>
      <w:r w:rsidR="00413A9D" w:rsidRPr="00273106">
        <w:t>vln</w:t>
      </w:r>
      <w:r w:rsidR="00BE54E9">
        <w:t>ě</w:t>
      </w:r>
      <w:r w:rsidR="00413A9D" w:rsidRPr="00273106">
        <w:t xml:space="preserve"> vykladačů </w:t>
      </w:r>
      <w:r w:rsidR="002E3B62">
        <w:t>Averroes</w:t>
      </w:r>
      <w:r w:rsidR="00413A9D" w:rsidRPr="00273106">
        <w:t>e</w:t>
      </w:r>
      <w:r w:rsidR="00A640B7">
        <w:t xml:space="preserve"> z Toledské školy</w:t>
      </w:r>
      <w:r w:rsidR="00413A9D" w:rsidRPr="00273106">
        <w:t xml:space="preserve">. </w:t>
      </w:r>
      <w:r w:rsidR="004F281C" w:rsidRPr="00273106">
        <w:t>S</w:t>
      </w:r>
      <w:r w:rsidR="00413A9D" w:rsidRPr="00273106">
        <w:t xml:space="preserve">ofistický františkán nepolemizuje s </w:t>
      </w:r>
      <w:r w:rsidR="002E3B62">
        <w:t>Averroes</w:t>
      </w:r>
      <w:r w:rsidR="00413A9D" w:rsidRPr="00273106">
        <w:t xml:space="preserve">em, ale s jeho simulákrem, které </w:t>
      </w:r>
      <w:r w:rsidR="00D07B1A" w:rsidRPr="00273106">
        <w:t xml:space="preserve">sám </w:t>
      </w:r>
      <w:r w:rsidR="00413A9D" w:rsidRPr="00273106">
        <w:t>vytvořil</w:t>
      </w:r>
      <w:r w:rsidR="00A640B7">
        <w:t xml:space="preserve"> z porretánsky pojatého avicennismu a augustinianismu</w:t>
      </w:r>
      <w:r w:rsidR="00413A9D" w:rsidRPr="00273106">
        <w:t>. To jasně viděli j</w:t>
      </w:r>
      <w:r w:rsidR="00D07B1A" w:rsidRPr="00273106">
        <w:t>ak Albert a Bacon, pr</w:t>
      </w:r>
      <w:r w:rsidR="00EF59E9">
        <w:t xml:space="preserve">oto </w:t>
      </w:r>
      <w:r w:rsidR="00326794">
        <w:t xml:space="preserve">odmítli </w:t>
      </w:r>
      <w:r w:rsidR="00124D07" w:rsidRPr="00273106">
        <w:t>akademicky disk</w:t>
      </w:r>
      <w:r w:rsidR="00D07B1A" w:rsidRPr="00273106">
        <w:t>utovat</w:t>
      </w:r>
      <w:r w:rsidR="004C6185" w:rsidRPr="004C6185">
        <w:t xml:space="preserve"> </w:t>
      </w:r>
      <w:r w:rsidR="004C6185">
        <w:t xml:space="preserve">se </w:t>
      </w:r>
      <w:r w:rsidR="004C6185" w:rsidRPr="00273106">
        <w:t xml:space="preserve">školou </w:t>
      </w:r>
      <w:r w:rsidR="004C6185" w:rsidRPr="00EF59E9">
        <w:rPr>
          <w:i/>
        </w:rPr>
        <w:t>sophistae Latini</w:t>
      </w:r>
      <w:r w:rsidR="00413A9D" w:rsidRPr="00273106">
        <w:t xml:space="preserve">. </w:t>
      </w:r>
      <w:r w:rsidR="084C69BC">
        <w:t xml:space="preserve">Ale </w:t>
      </w:r>
      <w:r w:rsidR="00326794">
        <w:t xml:space="preserve">Alvernus jako rektor a biskup </w:t>
      </w:r>
      <w:r w:rsidR="001738EA">
        <w:t xml:space="preserve">musel diskutovat </w:t>
      </w:r>
      <w:r w:rsidR="00326794">
        <w:t>s</w:t>
      </w:r>
      <w:r w:rsidR="00E12E9F">
        <w:t xml:space="preserve">e všemi druhy moderních sofistů </w:t>
      </w:r>
      <w:r w:rsidR="007E571E">
        <w:t xml:space="preserve">historicky poprvé </w:t>
      </w:r>
      <w:r w:rsidR="00E12E9F">
        <w:t>shromážděných na Pařížské univerzitě</w:t>
      </w:r>
      <w:r w:rsidR="00326794">
        <w:t xml:space="preserve">,  což ukazuje jeho komentář k </w:t>
      </w:r>
      <w:r w:rsidR="00326794" w:rsidRPr="00326794">
        <w:rPr>
          <w:i/>
        </w:rPr>
        <w:t xml:space="preserve">De anima </w:t>
      </w:r>
      <w:r w:rsidR="00326794">
        <w:t xml:space="preserve">psaný někdy kolem roku 1240. </w:t>
      </w:r>
      <w:r w:rsidR="00D9423F">
        <w:t>Jeho komentář odmítl ch</w:t>
      </w:r>
      <w:r w:rsidR="00413A9D" w:rsidRPr="00273106">
        <w:t xml:space="preserve">ybnou interpretaci druhého averroismu </w:t>
      </w:r>
      <w:r w:rsidR="005C7D97" w:rsidRPr="00273106">
        <w:t xml:space="preserve">na základě Blundovy </w:t>
      </w:r>
      <w:r w:rsidR="00D94D1A" w:rsidRPr="00273106">
        <w:t xml:space="preserve">aristotelské </w:t>
      </w:r>
      <w:r w:rsidR="00D9423F">
        <w:t xml:space="preserve">školy a </w:t>
      </w:r>
      <w:r w:rsidR="00413A9D" w:rsidRPr="00273106">
        <w:t xml:space="preserve">brilantně rozlišil </w:t>
      </w:r>
      <w:r w:rsidR="00D9423F">
        <w:t xml:space="preserve">aristotelskou </w:t>
      </w:r>
      <w:r w:rsidR="00413A9D" w:rsidRPr="00273106">
        <w:t xml:space="preserve">a </w:t>
      </w:r>
      <w:r w:rsidR="00874074">
        <w:t>neoplatonsk</w:t>
      </w:r>
      <w:r w:rsidR="084C69BC">
        <w:t>ou verzi aristotelismu p</w:t>
      </w:r>
      <w:r w:rsidR="00D9423F">
        <w:t>odle Sicils</w:t>
      </w:r>
      <w:r w:rsidR="00984DB9">
        <w:t>ké</w:t>
      </w:r>
      <w:r w:rsidR="00422D2F">
        <w:fldChar w:fldCharType="begin"/>
      </w:r>
      <w:r w:rsidR="00422D2F">
        <w:instrText xml:space="preserve"> XE "</w:instrText>
      </w:r>
      <w:r w:rsidR="00422D2F" w:rsidRPr="00C03919">
        <w:instrText>první averroismus: Sicilská škola</w:instrText>
      </w:r>
      <w:r w:rsidR="00422D2F">
        <w:instrText xml:space="preserve">" </w:instrText>
      </w:r>
      <w:r w:rsidR="00422D2F">
        <w:fldChar w:fldCharType="end"/>
      </w:r>
      <w:r w:rsidR="00984DB9">
        <w:t xml:space="preserve"> a Toledské školy.</w:t>
      </w:r>
      <w:r w:rsidR="00D77678">
        <w:t xml:space="preserve"> Rufusova sofistika nemohla obstát před tímto znalcem Averro</w:t>
      </w:r>
      <w:r w:rsidR="084C69BC">
        <w:t>e</w:t>
      </w:r>
      <w:r w:rsidR="00D77678">
        <w:t>se</w:t>
      </w:r>
      <w:r w:rsidR="08CB31E6">
        <w:t xml:space="preserve"> sekundovaným Albertem a Baconem</w:t>
      </w:r>
      <w:r w:rsidR="00D77678">
        <w:t>.</w:t>
      </w:r>
      <w:r w:rsidR="08F304BE">
        <w:t xml:space="preserve"> </w:t>
      </w:r>
      <w:r w:rsidR="00D21F14" w:rsidRPr="00273106">
        <w:t>P</w:t>
      </w:r>
      <w:r w:rsidR="08FC40C5" w:rsidRPr="00273106">
        <w:t xml:space="preserve">odle Rufuse </w:t>
      </w:r>
      <w:r w:rsidR="00D21F14" w:rsidRPr="00273106">
        <w:t xml:space="preserve">vzniká jednota poznání tím, že </w:t>
      </w:r>
      <w:r w:rsidR="08FC40C5" w:rsidRPr="00273106">
        <w:rPr>
          <w:i/>
        </w:rPr>
        <w:t>intellectus agens</w:t>
      </w:r>
      <w:r w:rsidR="08FC40C5" w:rsidRPr="00273106">
        <w:t xml:space="preserve"> </w:t>
      </w:r>
      <w:r w:rsidR="00D21F14" w:rsidRPr="00273106">
        <w:t xml:space="preserve">vtiskuje </w:t>
      </w:r>
      <w:r w:rsidR="002E2E39" w:rsidRPr="00273106">
        <w:t xml:space="preserve">intuitivně nahlédnutá </w:t>
      </w:r>
      <w:r w:rsidR="004B4D52" w:rsidRPr="004B4D52">
        <w:t>species</w:t>
      </w:r>
      <w:r w:rsidR="00D21F14" w:rsidRPr="00273106">
        <w:t xml:space="preserve"> </w:t>
      </w:r>
      <w:r w:rsidR="002F454B" w:rsidRPr="00273106">
        <w:t xml:space="preserve">do </w:t>
      </w:r>
      <w:r w:rsidR="00DD7EF7">
        <w:t xml:space="preserve">univerzálního </w:t>
      </w:r>
      <w:r w:rsidR="002F454B" w:rsidRPr="00273106">
        <w:t xml:space="preserve">nemateriálního </w:t>
      </w:r>
      <w:r w:rsidR="08476B34">
        <w:t>nositel</w:t>
      </w:r>
      <w:r w:rsidR="002F454B" w:rsidRPr="00273106">
        <w:t xml:space="preserve">e </w:t>
      </w:r>
      <w:r w:rsidR="08FC40C5" w:rsidRPr="00273106">
        <w:t xml:space="preserve">daného jako </w:t>
      </w:r>
      <w:r w:rsidR="08FC40C5" w:rsidRPr="00273106">
        <w:rPr>
          <w:i/>
        </w:rPr>
        <w:t>intellectus possibilis</w:t>
      </w:r>
      <w:r w:rsidR="00942562">
        <w:t xml:space="preserve">. Jeho konjunkcí či vlitím do lidského poznání </w:t>
      </w:r>
      <w:r w:rsidR="0041749B" w:rsidRPr="00273106">
        <w:t xml:space="preserve">jsou </w:t>
      </w:r>
      <w:r w:rsidR="00942562">
        <w:t xml:space="preserve">tato </w:t>
      </w:r>
      <w:r w:rsidR="00942562" w:rsidRPr="00942562">
        <w:rPr>
          <w:i/>
        </w:rPr>
        <w:t>scibile</w:t>
      </w:r>
      <w:r w:rsidR="00942562">
        <w:t xml:space="preserve"> </w:t>
      </w:r>
      <w:r w:rsidR="00AA3AA6">
        <w:t>následně uchovávána</w:t>
      </w:r>
      <w:r w:rsidR="004A1D90" w:rsidRPr="00273106">
        <w:t xml:space="preserve"> v modu augustiniánské </w:t>
      </w:r>
      <w:r w:rsidR="004A1D90" w:rsidRPr="00273106">
        <w:rPr>
          <w:i/>
        </w:rPr>
        <w:t>memoria</w:t>
      </w:r>
      <w:r w:rsidR="00E6051F">
        <w:rPr>
          <w:i/>
        </w:rPr>
        <w:fldChar w:fldCharType="begin"/>
      </w:r>
      <w:r w:rsidR="00E6051F">
        <w:instrText xml:space="preserve"> XE "</w:instrText>
      </w:r>
      <w:r w:rsidR="00E6051F" w:rsidRPr="00840D0F">
        <w:rPr>
          <w:i/>
        </w:rPr>
        <w:instrText>memoria:</w:instrText>
      </w:r>
      <w:r w:rsidR="00E6051F" w:rsidRPr="00840D0F">
        <w:instrText>druhý averroismus</w:instrText>
      </w:r>
      <w:r w:rsidR="00E6051F">
        <w:instrText xml:space="preserve">" </w:instrText>
      </w:r>
      <w:r w:rsidR="00E6051F">
        <w:rPr>
          <w:i/>
        </w:rPr>
        <w:fldChar w:fldCharType="end"/>
      </w:r>
      <w:r w:rsidR="0041749B" w:rsidRPr="00273106">
        <w:t xml:space="preserve">. </w:t>
      </w:r>
      <w:r w:rsidR="0056065B">
        <w:t xml:space="preserve">Tento </w:t>
      </w:r>
      <w:r w:rsidR="00942562">
        <w:t xml:space="preserve">receptivní </w:t>
      </w:r>
      <w:r w:rsidR="0056065B">
        <w:t xml:space="preserve">intelekt je nemateriální, </w:t>
      </w:r>
      <w:r w:rsidR="00942562">
        <w:t>proto musí mít status jedné numericky totožné hypostáze</w:t>
      </w:r>
      <w:r w:rsidR="006017AE">
        <w:t xml:space="preserve">. Tento averroistický </w:t>
      </w:r>
      <w:r w:rsidR="006017AE" w:rsidRPr="006017AE">
        <w:rPr>
          <w:i/>
        </w:rPr>
        <w:t>intellectus possib</w:t>
      </w:r>
      <w:r w:rsidR="006017AE">
        <w:rPr>
          <w:i/>
        </w:rPr>
        <w:t>i</w:t>
      </w:r>
      <w:r w:rsidR="006017AE" w:rsidRPr="006017AE">
        <w:rPr>
          <w:i/>
        </w:rPr>
        <w:t>lis</w:t>
      </w:r>
      <w:r w:rsidR="006017AE">
        <w:t xml:space="preserve"> </w:t>
      </w:r>
      <w:r w:rsidR="0056065B">
        <w:t>je pro všechny lidi</w:t>
      </w:r>
      <w:r w:rsidR="006017AE">
        <w:t xml:space="preserve"> jeden a tý</w:t>
      </w:r>
      <w:r w:rsidR="00942562">
        <w:t>ž</w:t>
      </w:r>
      <w:r w:rsidR="006017AE">
        <w:t xml:space="preserve">, aby zajistil </w:t>
      </w:r>
      <w:r w:rsidR="00942562">
        <w:t>identické univerzální poznatky</w:t>
      </w:r>
      <w:r w:rsidR="0056065B">
        <w:t xml:space="preserve">. </w:t>
      </w:r>
      <w:r w:rsidR="084C04F5" w:rsidRPr="00273106">
        <w:t xml:space="preserve">Díky pasivní funkci a nemateriální podstatě </w:t>
      </w:r>
      <w:r w:rsidR="08FC40C5" w:rsidRPr="00273106">
        <w:t xml:space="preserve">musí být </w:t>
      </w:r>
      <w:r w:rsidR="085C5EB3">
        <w:t xml:space="preserve">matrice tohoto platonského receptivního </w:t>
      </w:r>
      <w:r w:rsidR="084C04F5" w:rsidRPr="00273106">
        <w:t>vosku</w:t>
      </w:r>
      <w:r w:rsidR="00CF5138">
        <w:t xml:space="preserve"> v duši</w:t>
      </w:r>
      <w:r w:rsidR="084C04F5" w:rsidRPr="00273106">
        <w:t xml:space="preserve"> </w:t>
      </w:r>
      <w:r w:rsidR="08FC40C5" w:rsidRPr="00273106">
        <w:t>stejná</w:t>
      </w:r>
      <w:r w:rsidR="085023DB" w:rsidRPr="00273106">
        <w:t xml:space="preserve"> pro všechny lidi</w:t>
      </w:r>
      <w:r w:rsidR="085C5EB3" w:rsidRPr="085C5EB3">
        <w:t xml:space="preserve"> </w:t>
      </w:r>
      <w:r w:rsidR="085C5EB3">
        <w:t xml:space="preserve">v rámci </w:t>
      </w:r>
      <w:r w:rsidR="085C5EB3" w:rsidRPr="003B2DD8">
        <w:rPr>
          <w:i/>
        </w:rPr>
        <w:t>potentia substantialis</w:t>
      </w:r>
      <w:r w:rsidR="085C5EB3">
        <w:rPr>
          <w:i/>
        </w:rPr>
        <w:fldChar w:fldCharType="begin"/>
      </w:r>
      <w:r w:rsidR="085C5EB3">
        <w:instrText xml:space="preserve"> XE "</w:instrText>
      </w:r>
      <w:r w:rsidR="085C5EB3" w:rsidRPr="00263A8E">
        <w:rPr>
          <w:i/>
        </w:rPr>
        <w:instrText>potentia substantialis</w:instrText>
      </w:r>
      <w:r w:rsidR="085C5EB3">
        <w:instrText xml:space="preserve">" </w:instrText>
      </w:r>
      <w:r w:rsidR="085C5EB3">
        <w:rPr>
          <w:i/>
        </w:rPr>
        <w:fldChar w:fldCharType="end"/>
      </w:r>
      <w:r w:rsidR="085C5EB3">
        <w:t xml:space="preserve"> </w:t>
      </w:r>
      <w:r w:rsidR="085023DB" w:rsidRPr="00273106">
        <w:t xml:space="preserve">a pak </w:t>
      </w:r>
      <w:r w:rsidR="085C5EB3">
        <w:t xml:space="preserve">je </w:t>
      </w:r>
      <w:r w:rsidR="085023DB" w:rsidRPr="00273106">
        <w:t>akcidentálně aktual</w:t>
      </w:r>
      <w:r w:rsidR="0056065B">
        <w:t xml:space="preserve">izovaná v </w:t>
      </w:r>
      <w:r w:rsidR="00D440CC">
        <w:t xml:space="preserve">numericky odlišných </w:t>
      </w:r>
      <w:r w:rsidR="0056065B">
        <w:t>jednotlivcích</w:t>
      </w:r>
      <w:r w:rsidR="00B672C9">
        <w:t xml:space="preserve">. </w:t>
      </w:r>
      <w:r w:rsidR="00FA07AB">
        <w:t xml:space="preserve">Pak platí, že </w:t>
      </w:r>
      <w:r w:rsidR="00FA07AB" w:rsidRPr="087A1F95">
        <w:rPr>
          <w:i/>
        </w:rPr>
        <w:t>materia spiritualis</w:t>
      </w:r>
      <w:r w:rsidR="00FA07AB">
        <w:t xml:space="preserve"> a individuální </w:t>
      </w:r>
      <w:r w:rsidR="00447722">
        <w:t xml:space="preserve">(a ne osobní) </w:t>
      </w:r>
      <w:r w:rsidR="00FA07AB" w:rsidRPr="087A1F95">
        <w:rPr>
          <w:i/>
        </w:rPr>
        <w:t>intellectus materialis</w:t>
      </w:r>
      <w:r w:rsidR="00B672C9">
        <w:t xml:space="preserve"> </w:t>
      </w:r>
      <w:r w:rsidR="00CA1310">
        <w:t xml:space="preserve">Avicenny (a ne </w:t>
      </w:r>
      <w:r w:rsidR="00CA1310" w:rsidRPr="00CA1310">
        <w:rPr>
          <w:i/>
        </w:rPr>
        <w:t>tertium genus</w:t>
      </w:r>
      <w:r w:rsidR="00CA1310">
        <w:t xml:space="preserve"> Averroese) </w:t>
      </w:r>
      <w:r w:rsidR="00B672C9">
        <w:t xml:space="preserve">jsou nutně </w:t>
      </w:r>
      <w:r w:rsidR="00FA07AB">
        <w:t>třeba k t</w:t>
      </w:r>
      <w:r w:rsidR="00B672C9">
        <w:t>o</w:t>
      </w:r>
      <w:r w:rsidR="00FA07AB">
        <w:t>mu, aby zajistily</w:t>
      </w:r>
      <w:r w:rsidR="00B672C9">
        <w:t xml:space="preserve"> </w:t>
      </w:r>
      <w:r w:rsidR="00FA07AB">
        <w:t>i</w:t>
      </w:r>
      <w:r w:rsidR="087A1F95">
        <w:t>ndividuaci ko</w:t>
      </w:r>
      <w:r w:rsidR="00FA07AB">
        <w:t xml:space="preserve">smického receptivního intelektu </w:t>
      </w:r>
      <w:r w:rsidR="087A1F95">
        <w:t>v</w:t>
      </w:r>
      <w:r w:rsidR="00FA07AB">
        <w:t> tomto moderním Frankensteinovi</w:t>
      </w:r>
      <w:r w:rsidR="00B672C9">
        <w:t>.</w:t>
      </w:r>
    </w:p>
    <w:p w14:paraId="7DD4198C" w14:textId="3407C5CE" w:rsidR="003B2DD8" w:rsidRPr="00B672C9" w:rsidRDefault="003B2DD8" w:rsidP="00B672C9">
      <w:pPr>
        <w:ind w:firstLine="397"/>
      </w:pPr>
      <w:r>
        <w:t xml:space="preserve">Formálně </w:t>
      </w:r>
      <w:r w:rsidR="00153B19">
        <w:t xml:space="preserve">viděno, </w:t>
      </w:r>
      <w:r>
        <w:t>Ru</w:t>
      </w:r>
      <w:r w:rsidR="00D440CC">
        <w:t>fus hájí scénář první</w:t>
      </w:r>
      <w:r w:rsidR="005324AD">
        <w:t>ho</w:t>
      </w:r>
      <w:r w:rsidR="00D440CC">
        <w:t xml:space="preserve"> averroi</w:t>
      </w:r>
      <w:r w:rsidR="004C6225">
        <w:t>s</w:t>
      </w:r>
      <w:r w:rsidR="00D440CC">
        <w:t>mu</w:t>
      </w:r>
      <w:r>
        <w:t>, ale dává mu jiný smysl.</w:t>
      </w:r>
      <w:r w:rsidR="003E4365">
        <w:t xml:space="preserve"> Proto má jiné pojetí možného intelektu než první averroi</w:t>
      </w:r>
      <w:r w:rsidR="004C6225">
        <w:t>s</w:t>
      </w:r>
      <w:r w:rsidR="003E4365">
        <w:t>mus.</w:t>
      </w:r>
      <w:r w:rsidR="0889452A">
        <w:t xml:space="preserve"> Rufus si vypomůže sofistickým trikem použitým už v předešlých výkladech. Individuální receptivitu nechá jako materiální akcident, který se aktualizuje na již dané kosmické substanci </w:t>
      </w:r>
      <w:r w:rsidR="000421D5">
        <w:t>jako Dinantův kosmický</w:t>
      </w:r>
      <w:r w:rsidR="0889452A">
        <w:t xml:space="preserve"> </w:t>
      </w:r>
      <w:r w:rsidR="0889452A" w:rsidRPr="0889452A">
        <w:rPr>
          <w:i/>
        </w:rPr>
        <w:t>intellectus possibilis</w:t>
      </w:r>
      <w:r w:rsidR="000421D5">
        <w:t xml:space="preserve">. Ten </w:t>
      </w:r>
      <w:r w:rsidR="00E33038">
        <w:t xml:space="preserve">se </w:t>
      </w:r>
      <w:r w:rsidR="0889452A">
        <w:t xml:space="preserve">skrze kopulaci </w:t>
      </w:r>
      <w:r w:rsidR="00E33038">
        <w:t xml:space="preserve">spojuje s lidským materiálním intelektem, který </w:t>
      </w:r>
      <w:r w:rsidR="0889452A">
        <w:t xml:space="preserve">funguje v lidské duši jako </w:t>
      </w:r>
      <w:r w:rsidR="00E33038">
        <w:t xml:space="preserve">další </w:t>
      </w:r>
      <w:r w:rsidR="0889452A">
        <w:t xml:space="preserve">substanční hypostáze. Nová apologie starších konceptů </w:t>
      </w:r>
      <w:r w:rsidR="0889452A" w:rsidRPr="0889452A">
        <w:rPr>
          <w:i/>
        </w:rPr>
        <w:t xml:space="preserve">potentia accidentalis </w:t>
      </w:r>
      <w:r w:rsidR="0889452A">
        <w:t xml:space="preserve">a </w:t>
      </w:r>
      <w:r w:rsidR="0889452A" w:rsidRPr="0889452A">
        <w:rPr>
          <w:i/>
        </w:rPr>
        <w:t>substantialis</w:t>
      </w:r>
      <w:r w:rsidR="0889452A">
        <w:t xml:space="preserve"> vypadá následovně. </w:t>
      </w:r>
    </w:p>
    <w:p w14:paraId="4CE4F8C2" w14:textId="0752A012" w:rsidR="003B2DD8" w:rsidRPr="00DD633E" w:rsidRDefault="003B2DD8" w:rsidP="003B2DD8">
      <w:pPr>
        <w:pStyle w:val="Citace"/>
        <w:rPr>
          <w:lang w:val="cs-CZ"/>
        </w:rPr>
      </w:pPr>
      <w:r>
        <w:t>„Externí věc, od níž se abstra</w:t>
      </w:r>
      <w:r w:rsidR="00EE1A0E">
        <w:t xml:space="preserve">huje </w:t>
      </w:r>
      <w:r w:rsidR="004B4D52" w:rsidRPr="004B4D52">
        <w:t>species</w:t>
      </w:r>
      <w:r w:rsidR="00EE1A0E">
        <w:t xml:space="preserve">, se nazývá </w:t>
      </w:r>
      <w:r w:rsidR="0026519C">
        <w:rPr>
          <w:lang w:val="cs-CZ"/>
        </w:rPr>
        <w:t xml:space="preserve">inteligibilní </w:t>
      </w:r>
      <w:r w:rsidR="00EE1A0E">
        <w:t xml:space="preserve">potence </w:t>
      </w:r>
      <w:r w:rsidR="0026519C">
        <w:rPr>
          <w:lang w:val="cs-CZ"/>
        </w:rPr>
        <w:t>(</w:t>
      </w:r>
      <w:r w:rsidR="0026519C" w:rsidRPr="0026519C">
        <w:rPr>
          <w:i/>
        </w:rPr>
        <w:t>potentia intelligibile</w:t>
      </w:r>
      <w:r w:rsidR="0026519C">
        <w:rPr>
          <w:lang w:val="cs-CZ"/>
        </w:rPr>
        <w:t>)</w:t>
      </w:r>
      <w:r>
        <w:t xml:space="preserve">. </w:t>
      </w:r>
      <w:r w:rsidR="009D4344">
        <w:rPr>
          <w:lang w:val="cs-CZ"/>
        </w:rPr>
        <w:t>M</w:t>
      </w:r>
      <w:r>
        <w:t xml:space="preserve">ožný intelekt, který tuto potenci přijímá, je jí podobný. </w:t>
      </w:r>
      <w:r w:rsidR="009D4344">
        <w:rPr>
          <w:lang w:val="cs-CZ"/>
        </w:rPr>
        <w:t xml:space="preserve">V aktu poznání </w:t>
      </w:r>
      <w:r>
        <w:t xml:space="preserve">podržuje </w:t>
      </w:r>
      <w:r w:rsidR="001C3F95">
        <w:rPr>
          <w:lang w:val="cs-CZ"/>
        </w:rPr>
        <w:t xml:space="preserve">to, co bylo </w:t>
      </w:r>
      <w:r w:rsidR="001C3F95">
        <w:t>přijat</w:t>
      </w:r>
      <w:r w:rsidR="001C3F95">
        <w:rPr>
          <w:lang w:val="cs-CZ"/>
        </w:rPr>
        <w:t>o</w:t>
      </w:r>
      <w:r>
        <w:t xml:space="preserve"> (</w:t>
      </w:r>
      <w:r w:rsidRPr="003B2DD8">
        <w:rPr>
          <w:i/>
        </w:rPr>
        <w:t>actu autem habens ipsum receptum</w:t>
      </w:r>
      <w:r>
        <w:t xml:space="preserve">) a </w:t>
      </w:r>
      <w:r w:rsidR="009D4344">
        <w:rPr>
          <w:lang w:val="cs-CZ"/>
        </w:rPr>
        <w:t xml:space="preserve">ve stejném aktu </w:t>
      </w:r>
      <w:r>
        <w:t>vytváří podobnost (</w:t>
      </w:r>
      <w:r w:rsidRPr="003B2DD8">
        <w:rPr>
          <w:i/>
        </w:rPr>
        <w:t>actu efficitur similis</w:t>
      </w:r>
      <w:r>
        <w:t xml:space="preserve">) </w:t>
      </w:r>
      <w:r w:rsidR="08BD4FC7">
        <w:rPr>
          <w:lang w:val="cs-CZ"/>
        </w:rPr>
        <w:t>přijaté</w:t>
      </w:r>
      <w:r w:rsidR="003A5076">
        <w:rPr>
          <w:lang w:val="cs-CZ"/>
        </w:rPr>
        <w:t xml:space="preserve"> </w:t>
      </w:r>
      <w:r w:rsidR="004B4D52" w:rsidRPr="004B4D52">
        <w:t>species</w:t>
      </w:r>
      <w:r w:rsidR="08DD2BC5">
        <w:t xml:space="preserve"> </w:t>
      </w:r>
      <w:r w:rsidR="08BD4FC7">
        <w:t>a projektované</w:t>
      </w:r>
      <w:r>
        <w:t xml:space="preserve"> </w:t>
      </w:r>
      <w:r w:rsidR="003476A3">
        <w:rPr>
          <w:lang w:val="cs-CZ"/>
        </w:rPr>
        <w:t xml:space="preserve">do světa </w:t>
      </w:r>
      <w:r w:rsidR="000F7ECC">
        <w:rPr>
          <w:lang w:val="cs-CZ"/>
        </w:rPr>
        <w:t>(</w:t>
      </w:r>
      <w:r w:rsidR="000F7ECC" w:rsidRPr="000F7ECC">
        <w:rPr>
          <w:i/>
        </w:rPr>
        <w:t>speciei infusae et proicienti extrinseco</w:t>
      </w:r>
      <w:r w:rsidR="000F7ECC">
        <w:rPr>
          <w:lang w:val="cs-CZ"/>
        </w:rPr>
        <w:t>)</w:t>
      </w:r>
      <w:r>
        <w:t>.“ </w:t>
      </w:r>
      <w:r>
        <w:rPr>
          <w:rStyle w:val="Znakapoznpodarou"/>
          <w:lang w:val="cs-CZ"/>
        </w:rPr>
        <w:footnoteReference w:id="466"/>
      </w:r>
    </w:p>
    <w:p w14:paraId="1F60A7C6" w14:textId="77777777" w:rsidR="006A5DA5" w:rsidRDefault="005324AD" w:rsidP="00B0434E">
      <w:r>
        <w:t xml:space="preserve">První věta nemá </w:t>
      </w:r>
      <w:r w:rsidR="004F3AFB">
        <w:t>aristotelskou abstrakci, ale avicennistickou denudaci</w:t>
      </w:r>
      <w:r>
        <w:fldChar w:fldCharType="begin"/>
      </w:r>
      <w:r>
        <w:instrText xml:space="preserve"> XE "</w:instrText>
      </w:r>
      <w:r w:rsidRPr="00042A17">
        <w:instrText>abstrakce:Rufus</w:instrText>
      </w:r>
      <w:r>
        <w:instrText xml:space="preserve">" </w:instrText>
      </w:r>
      <w:r>
        <w:fldChar w:fldCharType="end"/>
      </w:r>
      <w:r w:rsidR="004F3AFB">
        <w:t xml:space="preserve">. </w:t>
      </w:r>
      <w:r w:rsidR="000F7ECC">
        <w:t xml:space="preserve">Rufus drží porretánské pojetí </w:t>
      </w:r>
      <w:r w:rsidR="004B4D52" w:rsidRPr="004B4D52">
        <w:t>species</w:t>
      </w:r>
      <w:r w:rsidR="000F7ECC">
        <w:t xml:space="preserve"> jako automní hypostáze</w:t>
      </w:r>
      <w:r w:rsidR="004C7FC7">
        <w:t xml:space="preserve"> třetího druhu</w:t>
      </w:r>
      <w:r w:rsidR="000F7ECC">
        <w:t>, která univerzálně existuje mimo intelekt</w:t>
      </w:r>
      <w:r w:rsidR="004C7FC7">
        <w:t xml:space="preserve"> </w:t>
      </w:r>
      <w:r w:rsidR="08D123B0">
        <w:t xml:space="preserve">a v reálné </w:t>
      </w:r>
      <w:r w:rsidR="004C7FC7">
        <w:t xml:space="preserve">věci </w:t>
      </w:r>
      <w:r w:rsidR="08D123B0">
        <w:t xml:space="preserve">je dána </w:t>
      </w:r>
      <w:r w:rsidR="004C7FC7">
        <w:t>v modu potenciality</w:t>
      </w:r>
      <w:r w:rsidR="000F7ECC">
        <w:t xml:space="preserve">. </w:t>
      </w:r>
      <w:r w:rsidR="08DD4776">
        <w:t>A</w:t>
      </w:r>
      <w:r w:rsidR="082D2064">
        <w:t xml:space="preserve">dekvace intelektu a reality skrze abstrahované </w:t>
      </w:r>
      <w:r w:rsidR="004B4D52" w:rsidRPr="004B4D52">
        <w:t>species</w:t>
      </w:r>
      <w:r w:rsidR="082D2064" w:rsidRPr="002D1F4C">
        <w:rPr>
          <w:i/>
        </w:rPr>
        <w:t xml:space="preserve"> sensibilis</w:t>
      </w:r>
      <w:r w:rsidR="082D2064">
        <w:t xml:space="preserve"> a </w:t>
      </w:r>
      <w:r w:rsidR="082D2064" w:rsidRPr="002D1F4C">
        <w:rPr>
          <w:i/>
        </w:rPr>
        <w:t>intelligibilis</w:t>
      </w:r>
      <w:r w:rsidR="08DD4776">
        <w:t xml:space="preserve"> není základem pro poznání. Jedná se o </w:t>
      </w:r>
      <w:r w:rsidR="082D2064">
        <w:t>pro</w:t>
      </w:r>
      <w:r w:rsidR="08DD4776">
        <w:t>jekci</w:t>
      </w:r>
      <w:r w:rsidR="082D2064">
        <w:t xml:space="preserve"> předem dané </w:t>
      </w:r>
      <w:r w:rsidR="004B4D52" w:rsidRPr="004B4D52">
        <w:t>species</w:t>
      </w:r>
      <w:r w:rsidR="082D2064">
        <w:t xml:space="preserve"> do reality (</w:t>
      </w:r>
      <w:r w:rsidR="082D2064" w:rsidRPr="000F7ECC">
        <w:rPr>
          <w:i/>
        </w:rPr>
        <w:t>speciei infusae et proicienti extrinseco</w:t>
      </w:r>
      <w:r w:rsidR="082D2064">
        <w:t xml:space="preserve">). </w:t>
      </w:r>
      <w:r w:rsidR="002F49A3">
        <w:t xml:space="preserve">Přijetí </w:t>
      </w:r>
      <w:r w:rsidR="08E57256">
        <w:t xml:space="preserve">těchto univerzálních </w:t>
      </w:r>
      <w:r w:rsidR="004B4D52" w:rsidRPr="004B4D52">
        <w:t>species</w:t>
      </w:r>
      <w:r w:rsidR="082D2064">
        <w:t xml:space="preserve"> </w:t>
      </w:r>
      <w:r w:rsidR="002F49A3">
        <w:t xml:space="preserve">zařizuje </w:t>
      </w:r>
      <w:r w:rsidR="08D61627">
        <w:t xml:space="preserve">oddělený </w:t>
      </w:r>
      <w:r w:rsidR="002F49A3">
        <w:t>činný intelekt</w:t>
      </w:r>
      <w:r w:rsidR="08D61627">
        <w:t xml:space="preserve"> Dinanta</w:t>
      </w:r>
      <w:r w:rsidR="002F49A3">
        <w:t xml:space="preserve">, který provádí aktualizaci </w:t>
      </w:r>
      <w:r w:rsidR="004B4D52" w:rsidRPr="004B4D52">
        <w:t>species</w:t>
      </w:r>
      <w:r w:rsidR="002F49A3">
        <w:t>, které jednak uloží v paměti a jedna</w:t>
      </w:r>
      <w:r w:rsidR="002D1F4C">
        <w:t>k je</w:t>
      </w:r>
      <w:r w:rsidR="002F49A3">
        <w:t xml:space="preserve"> porovnává s již exist</w:t>
      </w:r>
      <w:r w:rsidR="002D1F4C">
        <w:t>ující objektivní formou stejné</w:t>
      </w:r>
      <w:r w:rsidR="002F49A3">
        <w:t xml:space="preserve"> </w:t>
      </w:r>
      <w:r w:rsidR="004B4D52" w:rsidRPr="004B4D52">
        <w:t>species</w:t>
      </w:r>
      <w:r w:rsidR="002F49A3">
        <w:t xml:space="preserve"> v externích prvních substancích. Tento model odpovídá předešlé Rufusově teorii pravdy jako </w:t>
      </w:r>
      <w:r w:rsidR="002F49A3" w:rsidRPr="002F49A3">
        <w:rPr>
          <w:i/>
        </w:rPr>
        <w:t>coaequatio</w:t>
      </w:r>
      <w:r w:rsidR="00433872">
        <w:rPr>
          <w:i/>
        </w:rPr>
        <w:fldChar w:fldCharType="begin"/>
      </w:r>
      <w:r w:rsidR="00433872">
        <w:instrText xml:space="preserve"> XE "</w:instrText>
      </w:r>
      <w:r w:rsidR="00B34975">
        <w:instrText>pravda:</w:instrText>
      </w:r>
      <w:r w:rsidR="00433872" w:rsidRPr="00E11E1F">
        <w:rPr>
          <w:i/>
        </w:rPr>
        <w:instrText>coaequatio</w:instrText>
      </w:r>
      <w:r w:rsidR="00433872">
        <w:instrText xml:space="preserve">" </w:instrText>
      </w:r>
      <w:r w:rsidR="00433872">
        <w:rPr>
          <w:i/>
        </w:rPr>
        <w:fldChar w:fldCharType="end"/>
      </w:r>
      <w:r w:rsidR="00167250">
        <w:t>, protože poznání v externí první substanci jen konstatuje kontigentní v</w:t>
      </w:r>
      <w:r w:rsidR="006A5DA5">
        <w:t>ýskyt věčné nemateriální formy.</w:t>
      </w:r>
    </w:p>
    <w:p w14:paraId="07280FB5" w14:textId="148E05FF" w:rsidR="00825670" w:rsidRPr="00273106" w:rsidRDefault="08E57256" w:rsidP="00E14FCF">
      <w:pPr>
        <w:ind w:firstLine="397"/>
      </w:pPr>
      <w:r>
        <w:t xml:space="preserve">Magistři ze školy </w:t>
      </w:r>
      <w:r w:rsidR="08536426">
        <w:t xml:space="preserve">prvního averroismu pochopili, že mají před sebou další panteistický scénář poznání udělaný podle Davida z Dinantu. Místo boha v něm vystupují dvě kosmické hypostáze, tedy </w:t>
      </w:r>
      <w:r w:rsidR="08536426" w:rsidRPr="084E69F0">
        <w:rPr>
          <w:i/>
        </w:rPr>
        <w:t>intellectus agens</w:t>
      </w:r>
      <w:r w:rsidR="08536426">
        <w:t xml:space="preserve"> a </w:t>
      </w:r>
      <w:r w:rsidR="08536426" w:rsidRPr="08536426">
        <w:rPr>
          <w:i/>
        </w:rPr>
        <w:t>possibilis</w:t>
      </w:r>
      <w:r w:rsidR="084E69F0">
        <w:t xml:space="preserve"> a člověk je složen ze tří substancí. </w:t>
      </w:r>
      <w:r w:rsidR="002F49A3">
        <w:t>D</w:t>
      </w:r>
      <w:r w:rsidR="000F7ECC">
        <w:t xml:space="preserve">alší problém se týká definice receptivního intelektu. </w:t>
      </w:r>
      <w:r w:rsidR="003E7E24">
        <w:t>Modernisté a</w:t>
      </w:r>
      <w:r w:rsidR="009C1EB1">
        <w:t>plikují</w:t>
      </w:r>
      <w:r w:rsidR="00511CD5" w:rsidRPr="00273106">
        <w:t xml:space="preserve"> </w:t>
      </w:r>
      <w:r w:rsidR="0003038F">
        <w:t xml:space="preserve">Avicennovo </w:t>
      </w:r>
      <w:r w:rsidR="082453D7">
        <w:rPr>
          <w:i/>
        </w:rPr>
        <w:t>coniunctio</w:t>
      </w:r>
      <w:r w:rsidR="00604FAF">
        <w:rPr>
          <w:i/>
        </w:rPr>
        <w:fldChar w:fldCharType="begin"/>
      </w:r>
      <w:r w:rsidR="00604FAF">
        <w:instrText xml:space="preserve"> XE "</w:instrText>
      </w:r>
      <w:r w:rsidR="082453D7">
        <w:rPr>
          <w:i/>
        </w:rPr>
        <w:instrText>coniunctio</w:instrText>
      </w:r>
      <w:r w:rsidR="00604FAF" w:rsidRPr="00D0268D">
        <w:rPr>
          <w:i/>
        </w:rPr>
        <w:instrText>:</w:instrText>
      </w:r>
      <w:r w:rsidR="00B34975">
        <w:instrText>Rufus</w:instrText>
      </w:r>
      <w:r w:rsidR="00604FAF">
        <w:instrText xml:space="preserve">" </w:instrText>
      </w:r>
      <w:r w:rsidR="00604FAF">
        <w:rPr>
          <w:i/>
        </w:rPr>
        <w:fldChar w:fldCharType="end"/>
      </w:r>
      <w:r w:rsidR="085023DB" w:rsidRPr="00273106">
        <w:t xml:space="preserve"> (</w:t>
      </w:r>
      <w:r w:rsidR="085023DB" w:rsidRPr="00273106">
        <w:rPr>
          <w:i/>
        </w:rPr>
        <w:t>ittiṣāl</w:t>
      </w:r>
      <w:r w:rsidR="00DD4EDB">
        <w:rPr>
          <w:i/>
        </w:rPr>
        <w:fldChar w:fldCharType="begin"/>
      </w:r>
      <w:r w:rsidR="00DD4EDB">
        <w:instrText xml:space="preserve"> XE "</w:instrText>
      </w:r>
      <w:r w:rsidR="00DD4EDB" w:rsidRPr="00891FAB">
        <w:rPr>
          <w:i/>
        </w:rPr>
        <w:instrText>ittiṣāl</w:instrText>
      </w:r>
      <w:r w:rsidR="00DD4EDB">
        <w:instrText xml:space="preserve">" </w:instrText>
      </w:r>
      <w:r w:rsidR="00DD4EDB">
        <w:rPr>
          <w:i/>
        </w:rPr>
        <w:fldChar w:fldCharType="end"/>
      </w:r>
      <w:r w:rsidR="085023DB" w:rsidRPr="00273106">
        <w:rPr>
          <w:i/>
        </w:rPr>
        <w:t>, ittiḥād</w:t>
      </w:r>
      <w:r w:rsidR="085023DB" w:rsidRPr="00273106">
        <w:t xml:space="preserve">) obou </w:t>
      </w:r>
      <w:r w:rsidR="00685182">
        <w:t xml:space="preserve">oddělených </w:t>
      </w:r>
      <w:r w:rsidR="085023DB" w:rsidRPr="00273106">
        <w:t>intelektů</w:t>
      </w:r>
      <w:r w:rsidR="00685182">
        <w:t xml:space="preserve">-substancí </w:t>
      </w:r>
      <w:r w:rsidR="00511CD5" w:rsidRPr="00273106">
        <w:t xml:space="preserve"> na </w:t>
      </w:r>
      <w:r w:rsidR="002E3B62">
        <w:t>Averroes</w:t>
      </w:r>
      <w:r w:rsidR="00511CD5" w:rsidRPr="00273106">
        <w:t>ův</w:t>
      </w:r>
      <w:r w:rsidR="00A37E66">
        <w:t xml:space="preserve"> zásadně odlišný výklad poznání. </w:t>
      </w:r>
      <w:r w:rsidR="002E3B62">
        <w:t>Averroes</w:t>
      </w:r>
      <w:r w:rsidR="00A73DD0" w:rsidRPr="00273106">
        <w:t xml:space="preserve"> by na adresu Rufuse řekl, že lidský intelekt daný ve výkonu poznání není subsistentní forma, stačilo by si přečíst odpovídající pasáže CMDA vzhledem k možnému intelektu jako </w:t>
      </w:r>
      <w:r w:rsidR="00A73DD0" w:rsidRPr="00273106">
        <w:rPr>
          <w:i/>
        </w:rPr>
        <w:t xml:space="preserve">tertium </w:t>
      </w:r>
      <w:r w:rsidR="00B1298A">
        <w:rPr>
          <w:i/>
        </w:rPr>
        <w:t>genus</w:t>
      </w:r>
      <w:r w:rsidR="00982C89">
        <w:rPr>
          <w:i/>
        </w:rPr>
        <w:fldChar w:fldCharType="begin"/>
      </w:r>
      <w:r w:rsidR="00982C89">
        <w:instrText xml:space="preserve"> XE "</w:instrText>
      </w:r>
      <w:r w:rsidR="00982C89" w:rsidRPr="00D80F84">
        <w:rPr>
          <w:i/>
        </w:rPr>
        <w:instrText>tertium genus</w:instrText>
      </w:r>
      <w:r w:rsidR="00982C89">
        <w:instrText xml:space="preserve">" </w:instrText>
      </w:r>
      <w:r w:rsidR="00982C89">
        <w:rPr>
          <w:i/>
        </w:rPr>
        <w:fldChar w:fldCharType="end"/>
      </w:r>
      <w:r w:rsidR="00A73DD0" w:rsidRPr="00273106">
        <w:t xml:space="preserve">. </w:t>
      </w:r>
      <w:r w:rsidR="002E3B62">
        <w:t>Averroes</w:t>
      </w:r>
      <w:r w:rsidR="00A73DD0" w:rsidRPr="00273106">
        <w:t xml:space="preserve"> drží výkon intelektu výlučně jako schopnost duše</w:t>
      </w:r>
      <w:r w:rsidR="0003038F">
        <w:t xml:space="preserve"> dané v existující osobě</w:t>
      </w:r>
      <w:r w:rsidR="00A73DD0" w:rsidRPr="00273106">
        <w:t xml:space="preserve">. </w:t>
      </w:r>
      <w:r w:rsidR="00645B0E">
        <w:t xml:space="preserve">Intelekt jako univerzální </w:t>
      </w:r>
      <w:r w:rsidR="004B4D52" w:rsidRPr="004B4D52">
        <w:t>species</w:t>
      </w:r>
      <w:r w:rsidR="00A73DD0" w:rsidRPr="00273106">
        <w:t xml:space="preserve"> ve stylu Rufuse představuje </w:t>
      </w:r>
      <w:r w:rsidR="00645B0E">
        <w:t xml:space="preserve">pojem </w:t>
      </w:r>
      <w:r w:rsidR="003D707A">
        <w:t>intelek</w:t>
      </w:r>
      <w:r w:rsidR="00645B0E">
        <w:t>tu</w:t>
      </w:r>
      <w:r w:rsidR="003D707A">
        <w:t xml:space="preserve"> </w:t>
      </w:r>
      <w:r w:rsidR="00A73DD0" w:rsidRPr="00273106">
        <w:t>dan</w:t>
      </w:r>
      <w:r w:rsidR="00645B0E">
        <w:t xml:space="preserve">ý </w:t>
      </w:r>
      <w:r w:rsidR="00A73DD0" w:rsidRPr="00273106">
        <w:t>skrze abstrakci v mysli (</w:t>
      </w:r>
      <w:r w:rsidR="00A73DD0" w:rsidRPr="00273106">
        <w:rPr>
          <w:i/>
        </w:rPr>
        <w:t xml:space="preserve">quartum </w:t>
      </w:r>
      <w:r w:rsidR="00B1298A">
        <w:rPr>
          <w:i/>
        </w:rPr>
        <w:t>genus</w:t>
      </w:r>
      <w:r w:rsidR="00982C89">
        <w:rPr>
          <w:i/>
        </w:rPr>
        <w:fldChar w:fldCharType="begin"/>
      </w:r>
      <w:r w:rsidR="00982C89">
        <w:instrText xml:space="preserve"> XE "</w:instrText>
      </w:r>
      <w:r w:rsidR="00982C89" w:rsidRPr="00191848">
        <w:rPr>
          <w:i/>
        </w:rPr>
        <w:instrText>quartum genus</w:instrText>
      </w:r>
      <w:r w:rsidR="00982C89">
        <w:instrText xml:space="preserve">" </w:instrText>
      </w:r>
      <w:r w:rsidR="00982C89">
        <w:rPr>
          <w:i/>
        </w:rPr>
        <w:fldChar w:fldCharType="end"/>
      </w:r>
      <w:r w:rsidR="00A73DD0" w:rsidRPr="00273106">
        <w:t xml:space="preserve">). </w:t>
      </w:r>
      <w:r w:rsidR="0076217C" w:rsidRPr="0076217C">
        <w:t>Ten</w:t>
      </w:r>
      <w:r w:rsidR="0076217C">
        <w:t>to pojem však nemůže být hypostá</w:t>
      </w:r>
      <w:r w:rsidR="0076217C" w:rsidRPr="0076217C">
        <w:t xml:space="preserve">zí třetího druhu, neboť je pouhým </w:t>
      </w:r>
      <w:r w:rsidR="0076217C">
        <w:t xml:space="preserve">potenciálním </w:t>
      </w:r>
      <w:r w:rsidR="0076217C" w:rsidRPr="0076217C">
        <w:t>významem v lidské mysli.</w:t>
      </w:r>
      <w:r w:rsidR="0076217C">
        <w:t xml:space="preserve"> </w:t>
      </w:r>
      <w:r w:rsidR="08186178">
        <w:t>Rufus c</w:t>
      </w:r>
      <w:r w:rsidR="002B0E67">
        <w:t xml:space="preserve">hápe </w:t>
      </w:r>
      <w:r w:rsidR="0025747B"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B34975">
        <w:instrText>:moderna</w:instrText>
      </w:r>
      <w:r w:rsidR="009D323B">
        <w:instrText xml:space="preserve">" </w:instrText>
      </w:r>
      <w:r w:rsidR="009D323B">
        <w:rPr>
          <w:i/>
        </w:rPr>
        <w:fldChar w:fldCharType="end"/>
      </w:r>
      <w:r w:rsidR="0025747B" w:rsidRPr="00273106">
        <w:t xml:space="preserve"> </w:t>
      </w:r>
      <w:r w:rsidR="002B0E67">
        <w:t xml:space="preserve">na </w:t>
      </w:r>
      <w:r w:rsidR="0025747B" w:rsidRPr="00273106">
        <w:t xml:space="preserve">základě kopulace s aktuální složkou intelektu a skrze asimilaci </w:t>
      </w:r>
      <w:r w:rsidR="00786F21" w:rsidRPr="00273106">
        <w:t xml:space="preserve">hypostázovaných </w:t>
      </w:r>
      <w:r w:rsidR="004B4D52" w:rsidRPr="004B4D52">
        <w:t>species</w:t>
      </w:r>
      <w:r w:rsidR="0025747B" w:rsidRPr="00273106">
        <w:t xml:space="preserve"> daných </w:t>
      </w:r>
      <w:r w:rsidR="00786F21" w:rsidRPr="00273106">
        <w:t xml:space="preserve">univočně </w:t>
      </w:r>
      <w:r w:rsidR="0025747B" w:rsidRPr="00273106">
        <w:t xml:space="preserve">jak v </w:t>
      </w:r>
      <w:r w:rsidR="0025747B" w:rsidRPr="00273106">
        <w:rPr>
          <w:i/>
        </w:rPr>
        <w:t>intellectus agens</w:t>
      </w:r>
      <w:r w:rsidR="0025747B" w:rsidRPr="00273106">
        <w:t>, tak i v</w:t>
      </w:r>
      <w:r w:rsidR="003D23D8">
        <w:t> </w:t>
      </w:r>
      <w:r w:rsidR="0025747B" w:rsidRPr="00273106">
        <w:t>externí</w:t>
      </w:r>
      <w:r w:rsidR="003D23D8">
        <w:t>ch hyparchických substancích</w:t>
      </w:r>
      <w:r w:rsidR="0025747B" w:rsidRPr="00273106">
        <w:t xml:space="preserve">. </w:t>
      </w:r>
      <w:r w:rsidR="087C7AD4" w:rsidRPr="00273106">
        <w:t>První averroismus namítá</w:t>
      </w:r>
      <w:r w:rsidR="00FA599D">
        <w:t xml:space="preserve"> proti Rufusově pojetí </w:t>
      </w:r>
      <w:r w:rsidR="005A4E22">
        <w:t xml:space="preserve">pravdy jako </w:t>
      </w:r>
      <w:r w:rsidR="00FA599D" w:rsidRPr="00FA599D">
        <w:rPr>
          <w:i/>
        </w:rPr>
        <w:t>coaequatio</w:t>
      </w:r>
      <w:r w:rsidR="087C7AD4" w:rsidRPr="00273106">
        <w:t xml:space="preserve">, že </w:t>
      </w:r>
      <w:r w:rsidR="005A4E22" w:rsidRPr="005A4E22">
        <w:t>první substance může aktualizovat mož</w:t>
      </w:r>
      <w:r w:rsidR="005A4E22">
        <w:t xml:space="preserve">ný intelekt na úrovni substančně </w:t>
      </w:r>
      <w:r w:rsidR="005A4E22" w:rsidRPr="005A4E22">
        <w:t xml:space="preserve">odlišných osob. Proto je kosmický a hypostatický </w:t>
      </w:r>
      <w:r w:rsidR="005A4E22" w:rsidRPr="005A4E22">
        <w:rPr>
          <w:i/>
        </w:rPr>
        <w:t>intellectus possibilis</w:t>
      </w:r>
      <w:r w:rsidR="005A4E22" w:rsidRPr="005A4E22">
        <w:t xml:space="preserve"> jako jedna substance pro všechny lidi naprostý nesmysl.</w:t>
      </w:r>
      <w:r w:rsidR="0071407D">
        <w:t xml:space="preserve"> </w:t>
      </w:r>
      <w:r w:rsidR="008702D7">
        <w:rPr>
          <w:i/>
        </w:rPr>
        <w:fldChar w:fldCharType="begin"/>
      </w:r>
      <w:r w:rsidR="008702D7">
        <w:instrText xml:space="preserve"> XE "</w:instrText>
      </w:r>
      <w:r w:rsidR="008702D7" w:rsidRPr="00CE6D17">
        <w:rPr>
          <w:i/>
        </w:rPr>
        <w:instrText>tabula rasa</w:instrText>
      </w:r>
      <w:r w:rsidR="008702D7">
        <w:instrText xml:space="preserve">" </w:instrText>
      </w:r>
      <w:r w:rsidR="008702D7">
        <w:rPr>
          <w:i/>
        </w:rPr>
        <w:fldChar w:fldCharType="end"/>
      </w:r>
      <w:r w:rsidR="00221C29">
        <w:t xml:space="preserve">V člověku, a tím spíše </w:t>
      </w:r>
      <w:r w:rsidR="082F6968" w:rsidRPr="00273106">
        <w:t>v externí subsi</w:t>
      </w:r>
      <w:r w:rsidR="00601D6F">
        <w:t>stentní formě</w:t>
      </w:r>
      <w:r w:rsidR="00221C29">
        <w:t>,</w:t>
      </w:r>
      <w:r w:rsidR="00601D6F">
        <w:t xml:space="preserve"> by takový </w:t>
      </w:r>
      <w:r w:rsidR="00601D6F" w:rsidRPr="00601D6F">
        <w:rPr>
          <w:i/>
        </w:rPr>
        <w:t>intellectus possibilis</w:t>
      </w:r>
      <w:r w:rsidR="082F6968" w:rsidRPr="00273106">
        <w:t xml:space="preserve"> musel být aktualizovaný na způsob Aristotelovy první substance (τόδε τι</w:t>
      </w:r>
      <w:r w:rsidR="08632C9B">
        <w:t xml:space="preserve">, </w:t>
      </w:r>
      <w:r w:rsidR="08632C9B" w:rsidRPr="08632C9B">
        <w:rPr>
          <w:i/>
        </w:rPr>
        <w:t>hoc aliquid</w:t>
      </w:r>
      <w:r w:rsidR="00500B31">
        <w:fldChar w:fldCharType="begin"/>
      </w:r>
      <w:r w:rsidR="00500B31">
        <w:instrText xml:space="preserve"> XE "</w:instrText>
      </w:r>
      <w:r w:rsidR="00500B31" w:rsidRPr="00E373E1">
        <w:instrText>substance:τόδε τι</w:instrText>
      </w:r>
      <w:r w:rsidR="00500B31">
        <w:instrText xml:space="preserve">" </w:instrText>
      </w:r>
      <w:r w:rsidR="00500B31">
        <w:fldChar w:fldCharType="end"/>
      </w:r>
      <w:r w:rsidR="080F7EB9">
        <w:t xml:space="preserve">). </w:t>
      </w:r>
      <w:r w:rsidR="0071407D" w:rsidRPr="0071407D">
        <w:t xml:space="preserve">Pak lidská duše nemůže být univerzální </w:t>
      </w:r>
      <w:r w:rsidR="0071407D">
        <w:t>receptorem v</w:t>
      </w:r>
      <w:r w:rsidR="0071407D" w:rsidRPr="0071407D">
        <w:t>eškerého poznání, protože jedna substance by měla specifický kauzální účinek na jinou substanci.</w:t>
      </w:r>
      <w:r w:rsidR="0071407D">
        <w:t xml:space="preserve"> </w:t>
      </w:r>
      <w:r w:rsidR="080F7EB9">
        <w:t xml:space="preserve">Aristotelská věta </w:t>
      </w:r>
      <w:r w:rsidR="080F7EB9" w:rsidRPr="080F7EB9">
        <w:rPr>
          <w:szCs w:val="24"/>
        </w:rPr>
        <w:t>„</w:t>
      </w:r>
      <w:r w:rsidR="080F7EB9" w:rsidRPr="080F7EB9">
        <w:rPr>
          <w:i/>
          <w:szCs w:val="24"/>
        </w:rPr>
        <w:t>anima quodammodo est omnia</w:t>
      </w:r>
      <w:r w:rsidR="080F7EB9" w:rsidRPr="080F7EB9">
        <w:rPr>
          <w:szCs w:val="24"/>
        </w:rPr>
        <w:t xml:space="preserve">“ by už neměla žádný smysl, protože moderní intelekt je sám o sobě substance a proto nemá čistou </w:t>
      </w:r>
      <w:r w:rsidR="080F7EB9">
        <w:rPr>
          <w:szCs w:val="24"/>
        </w:rPr>
        <w:t xml:space="preserve">a plnou </w:t>
      </w:r>
      <w:r w:rsidR="080F7EB9" w:rsidRPr="080F7EB9">
        <w:rPr>
          <w:szCs w:val="24"/>
        </w:rPr>
        <w:t xml:space="preserve">receptivní schopnost. </w:t>
      </w:r>
      <w:r w:rsidR="080F7EB9">
        <w:rPr>
          <w:szCs w:val="24"/>
        </w:rPr>
        <w:t>Modernisté nemohou poznat reálný svět, protože poznávají na způsob Avicennova „létajícího muže“ jen nemateriání formy. L</w:t>
      </w:r>
      <w:r w:rsidR="0008258E" w:rsidRPr="00273106">
        <w:t xml:space="preserve">idská </w:t>
      </w:r>
      <w:r w:rsidR="008A31FC" w:rsidRPr="00273106">
        <w:t xml:space="preserve">duše </w:t>
      </w:r>
      <w:r w:rsidR="0864775C">
        <w:t xml:space="preserve">pak </w:t>
      </w:r>
      <w:r w:rsidR="008A31FC" w:rsidRPr="00273106">
        <w:t xml:space="preserve">není </w:t>
      </w:r>
      <w:r w:rsidR="0864775C">
        <w:t>univerzálně receptivní,</w:t>
      </w:r>
      <w:r w:rsidR="00245235">
        <w:t xml:space="preserve"> protože by jedna substance </w:t>
      </w:r>
      <w:r w:rsidR="08214189">
        <w:t>(reálná věc, kosmi</w:t>
      </w:r>
      <w:r w:rsidR="00EB499F">
        <w:t>c</w:t>
      </w:r>
      <w:r w:rsidR="08214189">
        <w:t xml:space="preserve">ké formy) </w:t>
      </w:r>
      <w:r w:rsidR="00245235">
        <w:t>kauzálně působila na druhou</w:t>
      </w:r>
      <w:r w:rsidR="009A6C89">
        <w:t xml:space="preserve"> </w:t>
      </w:r>
      <w:r w:rsidR="08214189">
        <w:t>substanci (hypostázovaný intelekt).</w:t>
      </w:r>
      <w:r w:rsidR="009C1EB1">
        <w:t xml:space="preserve"> </w:t>
      </w:r>
      <w:r w:rsidR="080066A8">
        <w:t>A</w:t>
      </w:r>
      <w:r w:rsidR="08660387">
        <w:t xml:space="preserve">le takto schizofrenicky </w:t>
      </w:r>
      <w:r w:rsidR="009C1EB1">
        <w:t xml:space="preserve">poznání </w:t>
      </w:r>
      <w:r w:rsidR="085E7C23">
        <w:t xml:space="preserve">v nás </w:t>
      </w:r>
      <w:r w:rsidR="00245235">
        <w:t>reálně neprožíváme</w:t>
      </w:r>
      <w:r w:rsidR="08204F52">
        <w:t xml:space="preserve">. Poznání </w:t>
      </w:r>
      <w:r w:rsidR="009A6C89">
        <w:t xml:space="preserve">je dáno </w:t>
      </w:r>
      <w:r w:rsidR="009C1EB1">
        <w:t xml:space="preserve">v modu </w:t>
      </w:r>
      <w:r w:rsidR="00AD3A88">
        <w:t>„</w:t>
      </w:r>
      <w:r w:rsidR="009C1EB1" w:rsidRPr="009A6C89">
        <w:rPr>
          <w:i/>
        </w:rPr>
        <w:t>fieri</w:t>
      </w:r>
      <w:r w:rsidR="00AD3A88">
        <w:t>“</w:t>
      </w:r>
      <w:r w:rsidR="009C1EB1" w:rsidRPr="009C1EB1">
        <w:t>, tedy</w:t>
      </w:r>
      <w:r w:rsidR="009C1EB1">
        <w:rPr>
          <w:i/>
        </w:rPr>
        <w:t xml:space="preserve"> </w:t>
      </w:r>
      <w:r w:rsidR="009A6C89">
        <w:t xml:space="preserve">v </w:t>
      </w:r>
      <w:r w:rsidR="009C1EB1">
        <w:t xml:space="preserve">aktu </w:t>
      </w:r>
      <w:r w:rsidR="009A6C89">
        <w:t xml:space="preserve">jednotného existenciálního </w:t>
      </w:r>
      <w:r w:rsidR="009C1EB1">
        <w:t xml:space="preserve">výkonu </w:t>
      </w:r>
      <w:r w:rsidR="089211E7">
        <w:t xml:space="preserve">zde a nyní existující </w:t>
      </w:r>
      <w:r w:rsidR="009C1EB1">
        <w:t xml:space="preserve">osoby </w:t>
      </w:r>
      <w:r w:rsidR="009A6C89">
        <w:t>(</w:t>
      </w:r>
      <w:r w:rsidR="002B1221">
        <w:t xml:space="preserve">Averroésovo </w:t>
      </w:r>
      <w:r w:rsidR="009A6C89" w:rsidRPr="0085212F">
        <w:rPr>
          <w:i/>
        </w:rPr>
        <w:t>ter</w:t>
      </w:r>
      <w:r w:rsidR="0085212F" w:rsidRPr="0085212F">
        <w:rPr>
          <w:i/>
        </w:rPr>
        <w:t>t</w:t>
      </w:r>
      <w:r w:rsidR="009A6C89" w:rsidRPr="0085212F">
        <w:rPr>
          <w:i/>
        </w:rPr>
        <w:t xml:space="preserve">ium </w:t>
      </w:r>
      <w:r w:rsidR="00B1298A">
        <w:rPr>
          <w:i/>
        </w:rPr>
        <w:t>genus</w:t>
      </w:r>
      <w:r w:rsidR="089211E7">
        <w:rPr>
          <w:i/>
        </w:rPr>
        <w:t xml:space="preserve">, </w:t>
      </w:r>
      <w:r w:rsidR="089211E7">
        <w:rPr>
          <w:szCs w:val="24"/>
        </w:rPr>
        <w:t>Heideggerovo</w:t>
      </w:r>
      <w:r w:rsidR="089211E7" w:rsidRPr="089211E7">
        <w:rPr>
          <w:i/>
          <w:szCs w:val="24"/>
        </w:rPr>
        <w:t xml:space="preserve"> Dasein</w:t>
      </w:r>
      <w:r w:rsidR="009A6C89">
        <w:t xml:space="preserve">). </w:t>
      </w:r>
      <w:r w:rsidR="00E14FCF">
        <w:t xml:space="preserve">Poznání funguje jaklo </w:t>
      </w:r>
      <w:r w:rsidR="00E14FCF" w:rsidRPr="00E14FCF">
        <w:t xml:space="preserve">pouhé moderní </w:t>
      </w:r>
      <w:r w:rsidR="00E14FCF" w:rsidRPr="00E14FCF">
        <w:rPr>
          <w:i/>
        </w:rPr>
        <w:t>factum</w:t>
      </w:r>
      <w:r w:rsidR="00E14FCF" w:rsidRPr="00E14FCF">
        <w:t xml:space="preserve">, které vytvořil Rufus a později potvrdil Descartes. Modernita a kartezianismus oslavují toto mytologické tajemství nemožné kopulace </w:t>
      </w:r>
      <w:r w:rsidR="00E14FCF">
        <w:t>během akademických orgií</w:t>
      </w:r>
      <w:r w:rsidR="00E14FCF" w:rsidRPr="00E14FCF">
        <w:t xml:space="preserve">. </w:t>
      </w:r>
      <w:r w:rsidR="00124FB7">
        <w:t xml:space="preserve">Díky </w:t>
      </w:r>
      <w:r w:rsidR="00124FB7" w:rsidRPr="00124FB7">
        <w:t xml:space="preserve">kolektivní </w:t>
      </w:r>
      <w:r w:rsidR="00124FB7">
        <w:t xml:space="preserve">verzi </w:t>
      </w:r>
      <w:r w:rsidR="00124FB7" w:rsidRPr="00124FB7">
        <w:rPr>
          <w:i/>
        </w:rPr>
        <w:t>conferentia</w:t>
      </w:r>
      <w:r w:rsidR="00124FB7" w:rsidRPr="00124FB7">
        <w:t xml:space="preserve"> a </w:t>
      </w:r>
      <w:r w:rsidR="00124FB7" w:rsidRPr="00124FB7">
        <w:rPr>
          <w:i/>
        </w:rPr>
        <w:t>informatio</w:t>
      </w:r>
      <w:r w:rsidR="00124FB7" w:rsidRPr="00124FB7">
        <w:t xml:space="preserve"> vznikla pod vedením moudrých a hravých Múz moderní božská tragikomedie</w:t>
      </w:r>
      <w:r w:rsidR="00124FB7">
        <w:fldChar w:fldCharType="begin"/>
      </w:r>
      <w:r w:rsidR="00124FB7">
        <w:instrText xml:space="preserve"> XE "</w:instrText>
      </w:r>
      <w:r w:rsidR="00124FB7" w:rsidRPr="00F076AE">
        <w:instrText>božská komedie</w:instrText>
      </w:r>
      <w:r w:rsidR="00124FB7">
        <w:instrText xml:space="preserve">" </w:instrText>
      </w:r>
      <w:r w:rsidR="00124FB7">
        <w:fldChar w:fldCharType="end"/>
      </w:r>
      <w:r w:rsidR="00124FB7" w:rsidRPr="00124FB7">
        <w:t xml:space="preserve">. </w:t>
      </w:r>
      <w:r w:rsidR="000368F9" w:rsidRPr="00273106">
        <w:t xml:space="preserve">Předchozí analýzy ukázaly, že </w:t>
      </w:r>
      <w:r w:rsidR="008034C3">
        <w:t>Rufus, Descartes</w:t>
      </w:r>
      <w:r w:rsidR="008034C3">
        <w:fldChar w:fldCharType="begin"/>
      </w:r>
      <w:r w:rsidR="008034C3">
        <w:instrText xml:space="preserve"> XE "</w:instrText>
      </w:r>
      <w:r w:rsidR="008034C3" w:rsidRPr="004146C6">
        <w:rPr>
          <w:rStyle w:val="addmd"/>
        </w:rPr>
        <w:instrText>Descartes, R.</w:instrText>
      </w:r>
      <w:r w:rsidR="008034C3">
        <w:instrText xml:space="preserve">" </w:instrText>
      </w:r>
      <w:r w:rsidR="008034C3">
        <w:fldChar w:fldCharType="end"/>
      </w:r>
      <w:r w:rsidR="008034C3" w:rsidRPr="00273106">
        <w:t xml:space="preserve"> a Husserl</w:t>
      </w:r>
      <w:r w:rsidR="008034C3">
        <w:fldChar w:fldCharType="begin"/>
      </w:r>
      <w:r w:rsidR="008034C3">
        <w:instrText xml:space="preserve"> XE "</w:instrText>
      </w:r>
      <w:r w:rsidR="008034C3" w:rsidRPr="000710C4">
        <w:instrText>Husserl, E.</w:instrText>
      </w:r>
      <w:r w:rsidR="008034C3">
        <w:instrText xml:space="preserve">" </w:instrText>
      </w:r>
      <w:r w:rsidR="008034C3">
        <w:fldChar w:fldCharType="end"/>
      </w:r>
      <w:r w:rsidR="008034C3">
        <w:t xml:space="preserve"> chápou </w:t>
      </w:r>
      <w:r w:rsidR="000368F9" w:rsidRPr="00273106">
        <w:t xml:space="preserve">akt poznání </w:t>
      </w:r>
      <w:r w:rsidR="008034C3">
        <w:t xml:space="preserve">jako dualistickou a hypostatickou substanci </w:t>
      </w:r>
      <w:r w:rsidR="00F07650">
        <w:t xml:space="preserve">odděleného </w:t>
      </w:r>
      <w:r w:rsidR="008034C3">
        <w:t xml:space="preserve">typu </w:t>
      </w:r>
      <w:r w:rsidR="000368F9" w:rsidRPr="00273106">
        <w:rPr>
          <w:i/>
        </w:rPr>
        <w:t>res cogitans</w:t>
      </w:r>
      <w:r w:rsidR="000368F9">
        <w:rPr>
          <w:i/>
        </w:rPr>
        <w:fldChar w:fldCharType="begin"/>
      </w:r>
      <w:r w:rsidR="000368F9">
        <w:instrText xml:space="preserve"> XE "</w:instrText>
      </w:r>
      <w:r w:rsidR="000368F9" w:rsidRPr="003F49D8">
        <w:rPr>
          <w:i/>
        </w:rPr>
        <w:instrText>res cogitans</w:instrText>
      </w:r>
      <w:r w:rsidR="000368F9">
        <w:instrText xml:space="preserve">" </w:instrText>
      </w:r>
      <w:r w:rsidR="000368F9">
        <w:rPr>
          <w:i/>
        </w:rPr>
        <w:fldChar w:fldCharType="end"/>
      </w:r>
      <w:r w:rsidR="000368F9">
        <w:t xml:space="preserve"> a </w:t>
      </w:r>
      <w:r w:rsidR="000368F9" w:rsidRPr="00273106">
        <w:rPr>
          <w:i/>
        </w:rPr>
        <w:t>res extensa</w:t>
      </w:r>
      <w:r w:rsidR="000368F9">
        <w:rPr>
          <w:i/>
        </w:rPr>
        <w:fldChar w:fldCharType="begin"/>
      </w:r>
      <w:r w:rsidR="000368F9">
        <w:instrText xml:space="preserve"> XE "</w:instrText>
      </w:r>
      <w:r w:rsidR="000368F9" w:rsidRPr="00181328">
        <w:rPr>
          <w:i/>
        </w:rPr>
        <w:instrText>res extensa</w:instrText>
      </w:r>
      <w:r w:rsidR="000368F9">
        <w:instrText xml:space="preserve">" </w:instrText>
      </w:r>
      <w:r w:rsidR="000368F9">
        <w:rPr>
          <w:i/>
        </w:rPr>
        <w:fldChar w:fldCharType="end"/>
      </w:r>
      <w:r w:rsidR="000368F9" w:rsidRPr="00273106">
        <w:t xml:space="preserve">. </w:t>
      </w:r>
      <w:r w:rsidR="00CF1BA1" w:rsidRPr="00273106">
        <w:t xml:space="preserve">Omyl moderny spočívá v zavedení plurality substancí třetího druhu do </w:t>
      </w:r>
      <w:r w:rsidR="004C76D3" w:rsidRPr="00273106">
        <w:t xml:space="preserve">definice </w:t>
      </w:r>
      <w:r w:rsidR="00CF1BA1" w:rsidRPr="00273106">
        <w:t>člověka</w:t>
      </w:r>
      <w:r w:rsidR="0006308C">
        <w:t xml:space="preserve">. Takový nesmysl </w:t>
      </w:r>
      <w:r w:rsidR="00D34F67">
        <w:t xml:space="preserve">spis </w:t>
      </w:r>
      <w:r w:rsidR="00352875">
        <w:t>CMDA stritkně odmítl</w:t>
      </w:r>
      <w:r w:rsidR="00045FA5">
        <w:fldChar w:fldCharType="begin"/>
      </w:r>
      <w:r w:rsidR="00045FA5">
        <w:instrText xml:space="preserve"> XE "</w:instrText>
      </w:r>
      <w:r w:rsidR="00045FA5" w:rsidRPr="00765359">
        <w:instrText>osoba:pluralita substancí</w:instrText>
      </w:r>
      <w:r w:rsidR="00045FA5">
        <w:instrText xml:space="preserve">" </w:instrText>
      </w:r>
      <w:r w:rsidR="00045FA5">
        <w:fldChar w:fldCharType="end"/>
      </w:r>
      <w:r w:rsidR="00CF1BA1" w:rsidRPr="00273106">
        <w:t xml:space="preserve">. </w:t>
      </w:r>
      <w:r w:rsidR="005361CC">
        <w:t xml:space="preserve">Oddělený </w:t>
      </w:r>
      <w:r w:rsidR="005361CC" w:rsidRPr="00395172">
        <w:rPr>
          <w:i/>
        </w:rPr>
        <w:t>intellectus agens</w:t>
      </w:r>
      <w:r w:rsidR="005361CC">
        <w:t xml:space="preserve"> a </w:t>
      </w:r>
      <w:r w:rsidR="005361CC" w:rsidRPr="00395172">
        <w:rPr>
          <w:i/>
        </w:rPr>
        <w:t>possibilis</w:t>
      </w:r>
      <w:r w:rsidR="005361CC">
        <w:t xml:space="preserve"> zavedl do myšlení moderny Rufus a jeho škola latinských sofistů za cenu obvinění Averroese jako averroisty. </w:t>
      </w:r>
      <w:r w:rsidR="082F6968" w:rsidRPr="00273106">
        <w:t>Simplikius byl první autor, který změnil první substanci na jsoucno třetího druhu (</w:t>
      </w:r>
      <w:r w:rsidR="08E965FE">
        <w:t xml:space="preserve">OBJ I, </w:t>
      </w:r>
      <w:r w:rsidR="084E7952">
        <w:t>kap. 1.3</w:t>
      </w:r>
      <w:r w:rsidR="082F6968" w:rsidRPr="00273106">
        <w:t xml:space="preserve">.1). </w:t>
      </w:r>
      <w:r w:rsidR="00147013" w:rsidRPr="00273106">
        <w:t xml:space="preserve">Latinský překlad Simplikiova komentáře ke </w:t>
      </w:r>
      <w:r w:rsidR="00147013" w:rsidRPr="08EF28BD">
        <w:rPr>
          <w:i/>
        </w:rPr>
        <w:t>Kategoriím</w:t>
      </w:r>
      <w:r w:rsidR="00147013" w:rsidRPr="00273106">
        <w:t xml:space="preserve"> dokončil William Moerbeke</w:t>
      </w:r>
      <w:r w:rsidR="00372E82">
        <w:fldChar w:fldCharType="begin"/>
      </w:r>
      <w:r w:rsidR="00372E82">
        <w:instrText xml:space="preserve"> XE "</w:instrText>
      </w:r>
      <w:r w:rsidR="00372E82" w:rsidRPr="00753DEE">
        <w:instrText>Moerbeke, W.</w:instrText>
      </w:r>
      <w:r w:rsidR="00372E82">
        <w:instrText xml:space="preserve">" </w:instrText>
      </w:r>
      <w:r w:rsidR="00372E82">
        <w:fldChar w:fldCharType="end"/>
      </w:r>
      <w:r w:rsidR="00147013" w:rsidRPr="00273106">
        <w:t xml:space="preserve"> roku 1266</w:t>
      </w:r>
      <w:r w:rsidR="00BF3FE2" w:rsidRPr="00273106">
        <w:t xml:space="preserve"> (</w:t>
      </w:r>
      <w:r w:rsidR="00BF3FE2" w:rsidRPr="00273106">
        <w:rPr>
          <w:i/>
        </w:rPr>
        <w:t>De praedicamentis</w:t>
      </w:r>
      <w:r w:rsidR="00BF3FE2" w:rsidRPr="00273106">
        <w:t>)</w:t>
      </w:r>
      <w:r w:rsidR="00147013" w:rsidRPr="00273106">
        <w:t xml:space="preserve">. Jeho hodina slávy přijde </w:t>
      </w:r>
      <w:r w:rsidR="0893395B" w:rsidRPr="00273106">
        <w:t xml:space="preserve">kolem 1280, kdy </w:t>
      </w:r>
      <w:r w:rsidR="00850A39" w:rsidRPr="00273106">
        <w:t xml:space="preserve">latinský avicennista </w:t>
      </w:r>
      <w:r w:rsidR="00147013" w:rsidRPr="00273106">
        <w:t>Hen</w:t>
      </w:r>
      <w:r w:rsidR="00AB388F" w:rsidRPr="00273106">
        <w:t xml:space="preserve">ry z Gentu </w:t>
      </w:r>
      <w:r w:rsidR="0893395B" w:rsidRPr="00273106">
        <w:t xml:space="preserve">vytvoří </w:t>
      </w:r>
      <w:r w:rsidR="00850A39" w:rsidRPr="00273106">
        <w:t xml:space="preserve">na základě tohoto komentáře </w:t>
      </w:r>
      <w:r w:rsidR="0893395B" w:rsidRPr="00273106">
        <w:t xml:space="preserve">první </w:t>
      </w:r>
      <w:r w:rsidR="00850A39" w:rsidRPr="00273106">
        <w:t xml:space="preserve">systém predikace </w:t>
      </w:r>
      <w:r w:rsidR="0893395B" w:rsidRPr="00273106">
        <w:t>objektivního jsou</w:t>
      </w:r>
      <w:r w:rsidR="00A25074">
        <w:t>cna (</w:t>
      </w:r>
      <w:r w:rsidR="080F50FC">
        <w:t>OBJ III, kap. 5</w:t>
      </w:r>
      <w:r w:rsidR="00A25074">
        <w:t xml:space="preserve">.2.3). Ale </w:t>
      </w:r>
      <w:r w:rsidR="08EF28BD">
        <w:t xml:space="preserve">v letech </w:t>
      </w:r>
      <w:r w:rsidR="00A25074">
        <w:t>1240</w:t>
      </w:r>
      <w:r w:rsidR="08EF28BD">
        <w:t>‒45</w:t>
      </w:r>
      <w:r w:rsidR="0893395B" w:rsidRPr="00273106">
        <w:t xml:space="preserve"> ještě existovali kompete</w:t>
      </w:r>
      <w:r w:rsidR="00777CFE" w:rsidRPr="00273106">
        <w:t xml:space="preserve">ntní znalci </w:t>
      </w:r>
      <w:r w:rsidR="002E3B62">
        <w:t>Averroes</w:t>
      </w:r>
      <w:r w:rsidR="00E82BC6">
        <w:t xml:space="preserve">ovy filosofie; </w:t>
      </w:r>
      <w:r w:rsidR="0893395B" w:rsidRPr="00273106">
        <w:t>modern</w:t>
      </w:r>
      <w:r w:rsidR="00E82BC6">
        <w:t xml:space="preserve">í sofisté </w:t>
      </w:r>
      <w:r w:rsidR="0893395B" w:rsidRPr="00273106">
        <w:t xml:space="preserve">byli v menšině. </w:t>
      </w:r>
      <w:r w:rsidR="007E068F">
        <w:t>Klasicky vzdělaní</w:t>
      </w:r>
      <w:r w:rsidR="00375BB8" w:rsidRPr="00273106">
        <w:t xml:space="preserve"> </w:t>
      </w:r>
      <w:r w:rsidR="007E068F">
        <w:t xml:space="preserve">akademikové v Paříži </w:t>
      </w:r>
      <w:r w:rsidR="000368F9">
        <w:t xml:space="preserve">proto </w:t>
      </w:r>
      <w:r w:rsidR="007E068F">
        <w:t>dali</w:t>
      </w:r>
      <w:r w:rsidR="00375BB8" w:rsidRPr="00273106">
        <w:t xml:space="preserve"> Rufusův substanční dualismus na index na rozdíl od moderního Oxfordu. </w:t>
      </w:r>
      <w:r w:rsidR="00107D83">
        <w:t>Dilema Rufuse</w:t>
      </w:r>
      <w:r w:rsidR="00107D83" w:rsidRPr="00107D83">
        <w:t xml:space="preserve"> a všech současných kartezián</w:t>
      </w:r>
      <w:r w:rsidR="00107D83">
        <w:t>c</w:t>
      </w:r>
      <w:r w:rsidR="00107D83" w:rsidRPr="00107D83">
        <w:t>ů ohledně sofistiky zvané</w:t>
      </w:r>
      <w:r w:rsidR="00107D83">
        <w:t xml:space="preserve"> </w:t>
      </w:r>
      <w:r w:rsidR="00107D83" w:rsidRPr="00273106">
        <w:rPr>
          <w:i/>
        </w:rPr>
        <w:t>Mind‒Body Problem</w:t>
      </w:r>
      <w:r w:rsidR="00107D83">
        <w:rPr>
          <w:i/>
        </w:rPr>
        <w:fldChar w:fldCharType="begin"/>
      </w:r>
      <w:r w:rsidR="00107D83">
        <w:instrText xml:space="preserve"> XE "</w:instrText>
      </w:r>
      <w:r w:rsidR="00107D83" w:rsidRPr="00496049">
        <w:rPr>
          <w:rStyle w:val="Zkladntext184"/>
          <w:rFonts w:ascii="Calibri" w:eastAsia="Times" w:hAnsi="Calibri" w:cs="Times New Roman"/>
          <w:i/>
          <w:color w:val="auto"/>
          <w:spacing w:val="0"/>
          <w:sz w:val="24"/>
          <w:lang w:val="cs-CZ"/>
        </w:rPr>
        <w:instrText>Mind‒Body Problem</w:instrText>
      </w:r>
      <w:r w:rsidR="00107D83">
        <w:instrText xml:space="preserve">" </w:instrText>
      </w:r>
      <w:r w:rsidR="00107D83">
        <w:rPr>
          <w:i/>
        </w:rPr>
        <w:fldChar w:fldCharType="end"/>
      </w:r>
      <w:r w:rsidR="00107D83">
        <w:t xml:space="preserve"> </w:t>
      </w:r>
      <w:r w:rsidR="00107D83" w:rsidRPr="00273106">
        <w:t>je</w:t>
      </w:r>
      <w:r w:rsidR="00107D83" w:rsidRPr="00107D83">
        <w:t xml:space="preserve"> stále stejné. Hmotné tělo sídlící v podsvětí </w:t>
      </w:r>
      <w:r w:rsidR="00AE6C83">
        <w:t xml:space="preserve">iluminátů </w:t>
      </w:r>
      <w:r w:rsidR="00107D83" w:rsidRPr="00107D83">
        <w:t xml:space="preserve">nemá žádnou podstatnou souvislost s nehmotným myšlením </w:t>
      </w:r>
      <w:r w:rsidR="00AE6C83">
        <w:t xml:space="preserve">týchž </w:t>
      </w:r>
      <w:r w:rsidR="00107D83" w:rsidRPr="00107D83">
        <w:t>iluminátů</w:t>
      </w:r>
      <w:r w:rsidR="00AE6C83">
        <w:t xml:space="preserve">. Ti </w:t>
      </w:r>
      <w:r w:rsidR="00107D83">
        <w:t>jdou moderní</w:t>
      </w:r>
      <w:r w:rsidR="00AE6C83">
        <w:t xml:space="preserve">mi chaotickými cestami jejich </w:t>
      </w:r>
      <w:r w:rsidR="00107D83">
        <w:t xml:space="preserve">vlastního intelektu-slunce. </w:t>
      </w:r>
      <w:r w:rsidR="085E750D">
        <w:t>To se pochopitelně v originálních mystériích nemohlo stát</w:t>
      </w:r>
      <w:r w:rsidR="086A4989">
        <w:t xml:space="preserve">, a tím </w:t>
      </w:r>
      <w:r w:rsidR="085E750D">
        <w:t>a</w:t>
      </w:r>
      <w:r w:rsidR="086A4989">
        <w:t xml:space="preserve">ni v </w:t>
      </w:r>
      <w:r w:rsidR="085E750D">
        <w:t>Parmenid</w:t>
      </w:r>
      <w:r w:rsidR="086A4989">
        <w:t>ově filosofii</w:t>
      </w:r>
      <w:r w:rsidR="085E750D">
        <w:t xml:space="preserve">. </w:t>
      </w:r>
      <w:r w:rsidR="00446011" w:rsidRPr="00446011">
        <w:t xml:space="preserve">Modernost vytvořila simulakrum mystérií předávaných akademicky </w:t>
      </w:r>
      <w:r w:rsidR="00446011">
        <w:t>vzdělanými Fúriemi</w:t>
      </w:r>
      <w:r w:rsidR="00446011" w:rsidRPr="00446011">
        <w:t>. Dnešní ilumináti objektivně vyjmenovávají výdobytky svých intelektuálních orgií a banksteři jako nihilistická božstva dneška je uctívají božským, tedy neoliberálním způsobem. To se dnes stalo pod nihilistickým vlivem Furií, které vytvářejí dnešní digitální chaos</w:t>
      </w:r>
      <w:r w:rsidR="00446011">
        <w:t xml:space="preserve">. </w:t>
      </w:r>
      <w:r w:rsidR="088F5E2E">
        <w:t>Po zatmění sk</w:t>
      </w:r>
      <w:r w:rsidR="081C3CAB">
        <w:t>utečného s</w:t>
      </w:r>
      <w:r w:rsidR="088F5E2E">
        <w:t>lunce v</w:t>
      </w:r>
      <w:r w:rsidR="00190F0E">
        <w:t xml:space="preserve"> moderní filosofii </w:t>
      </w:r>
      <w:r w:rsidR="00511509">
        <w:t>vznikl z</w:t>
      </w:r>
      <w:r w:rsidR="00190F0E">
        <w:t xml:space="preserve">ásadní problém, který spočívá v reálné </w:t>
      </w:r>
      <w:r w:rsidR="00511509">
        <w:t>akademick</w:t>
      </w:r>
      <w:r w:rsidR="00190F0E">
        <w:t>é</w:t>
      </w:r>
      <w:r w:rsidR="08511127">
        <w:t xml:space="preserve"> </w:t>
      </w:r>
      <w:r w:rsidR="088F5E2E">
        <w:t>neplodnost</w:t>
      </w:r>
      <w:r w:rsidR="00190F0E">
        <w:t>i</w:t>
      </w:r>
      <w:r w:rsidR="08F93031">
        <w:t xml:space="preserve">. </w:t>
      </w:r>
      <w:r w:rsidR="00D8176A">
        <w:t>Obě moderní a zcela r</w:t>
      </w:r>
      <w:r w:rsidR="00375BB8" w:rsidRPr="00273106">
        <w:t xml:space="preserve">ozdílné </w:t>
      </w:r>
      <w:r w:rsidR="00D8176A">
        <w:t xml:space="preserve">mytologické </w:t>
      </w:r>
      <w:r w:rsidR="00375BB8" w:rsidRPr="00273106">
        <w:t>substance</w:t>
      </w:r>
      <w:r w:rsidR="088F5E2E">
        <w:t xml:space="preserve"> spolu kopulují vel</w:t>
      </w:r>
      <w:r w:rsidR="08AD748B">
        <w:t>mi problematicky</w:t>
      </w:r>
      <w:r w:rsidR="088F5E2E">
        <w:t xml:space="preserve"> </w:t>
      </w:r>
      <w:r w:rsidR="08AD748B">
        <w:t xml:space="preserve">a hodně chaotickým </w:t>
      </w:r>
      <w:r w:rsidR="088F5E2E">
        <w:t>způsobem</w:t>
      </w:r>
      <w:r w:rsidR="004064F8">
        <w:t xml:space="preserve">. To ukazuje </w:t>
      </w:r>
      <w:r w:rsidR="08866189">
        <w:t>současný stav akademických orgií</w:t>
      </w:r>
      <w:r w:rsidR="004064F8">
        <w:t xml:space="preserve"> postavených pod vládu neoliberalismu</w:t>
      </w:r>
      <w:r w:rsidR="00375BB8" w:rsidRPr="00273106">
        <w:t xml:space="preserve">. </w:t>
      </w:r>
      <w:r w:rsidR="008B1AB4">
        <w:t xml:space="preserve">Připomeňme, že zánik hlavních řeckých svatyní začal podobným způsobem, když jich na začátku 6. stol. př. Kr. zmocnili tyrani řeckých obcí. </w:t>
      </w:r>
      <w:r w:rsidR="00375BB8" w:rsidRPr="00273106">
        <w:t>Smyslová mnohost nemůže podle modernistů nikdy vytvořit univerzální jednotu.</w:t>
      </w:r>
      <w:r w:rsidR="00375BB8">
        <w:t xml:space="preserve"> </w:t>
      </w:r>
      <w:r w:rsidR="0883542E" w:rsidRPr="00273106">
        <w:t>Nyní je jasné, proč Rufus v Paříži prohrál</w:t>
      </w:r>
      <w:r w:rsidR="007D2CAF">
        <w:t xml:space="preserve"> první kolo o zavedení modernismu</w:t>
      </w:r>
      <w:r w:rsidR="002B706F">
        <w:t xml:space="preserve"> a proč tohoto bakaláře </w:t>
      </w:r>
      <w:r w:rsidR="0883542E" w:rsidRPr="00273106">
        <w:t xml:space="preserve">museli </w:t>
      </w:r>
      <w:r w:rsidR="002B706F" w:rsidRPr="00273106">
        <w:t xml:space="preserve">františkáni </w:t>
      </w:r>
      <w:r w:rsidR="0883542E" w:rsidRPr="00273106">
        <w:t xml:space="preserve">stáhnout </w:t>
      </w:r>
      <w:r w:rsidR="00427AD8">
        <w:t xml:space="preserve">nejpozději roku </w:t>
      </w:r>
      <w:r w:rsidR="00AB1710">
        <w:t xml:space="preserve">1250 </w:t>
      </w:r>
      <w:r w:rsidR="0883542E" w:rsidRPr="00273106">
        <w:t>zpět do Oxfordu</w:t>
      </w:r>
      <w:r w:rsidR="084D509B" w:rsidRPr="00273106">
        <w:t xml:space="preserve">. </w:t>
      </w:r>
      <w:r w:rsidR="08974436">
        <w:t>Pařížská univerzit</w:t>
      </w:r>
      <w:r w:rsidR="088525AB">
        <w:t>a okolo roku 1245</w:t>
      </w:r>
      <w:r w:rsidR="08974436">
        <w:t xml:space="preserve"> prostě nebyla na mytopoetiku oxfordských učenců dostatečně zralá. </w:t>
      </w:r>
    </w:p>
    <w:p w14:paraId="26EF5571" w14:textId="3F31FB2D" w:rsidR="00D21084" w:rsidRDefault="000A64E7" w:rsidP="00771708">
      <w:r w:rsidRPr="00273106">
        <w:tab/>
      </w:r>
      <w:r w:rsidR="00E85BA7" w:rsidRPr="00E85BA7">
        <w:t xml:space="preserve">Spor o diaphanum představuje další polemický moment mezi oběma školami, které vedly polemiku o </w:t>
      </w:r>
      <w:r w:rsidR="00E85BA7">
        <w:t xml:space="preserve">dílo </w:t>
      </w:r>
      <w:r w:rsidR="00E85BA7" w:rsidRPr="00E85BA7">
        <w:rPr>
          <w:i/>
        </w:rPr>
        <w:t>Speculum animae</w:t>
      </w:r>
      <w:r w:rsidR="00E85BA7" w:rsidRPr="00E85BA7">
        <w:t>.</w:t>
      </w:r>
      <w:r w:rsidR="00E85BA7">
        <w:t xml:space="preserve"> </w:t>
      </w:r>
      <w:r w:rsidR="08266B3A">
        <w:t>Viz následující citát s námitkou adresovanou Rufusovi, na kterou musel odpovědět (</w:t>
      </w:r>
      <w:r w:rsidR="08266B3A" w:rsidRPr="00273106">
        <w:rPr>
          <w:i/>
        </w:rPr>
        <w:t>lux praesens in diaphono</w:t>
      </w:r>
      <w:r w:rsidR="08266B3A">
        <w:rPr>
          <w:i/>
        </w:rPr>
        <w:t xml:space="preserve">... </w:t>
      </w:r>
      <w:r w:rsidR="08266B3A" w:rsidRPr="00273106">
        <w:rPr>
          <w:i/>
        </w:rPr>
        <w:t>est intentio lucidi</w:t>
      </w:r>
      <w:r w:rsidR="08266B3A" w:rsidRPr="00273106">
        <w:t>)</w:t>
      </w:r>
      <w:r w:rsidR="08266B3A">
        <w:t xml:space="preserve">.  </w:t>
      </w:r>
      <w:r w:rsidR="00B009C3" w:rsidRPr="00273106">
        <w:t xml:space="preserve">Škola prvního averroismu zásadně hájila </w:t>
      </w:r>
      <w:r w:rsidR="002E3B62">
        <w:t>Averroes</w:t>
      </w:r>
      <w:r w:rsidR="00B009C3" w:rsidRPr="00273106">
        <w:t>ův výklad diafanum</w:t>
      </w:r>
      <w:r w:rsidR="00436A53">
        <w:fldChar w:fldCharType="begin"/>
      </w:r>
      <w:r w:rsidR="00436A53">
        <w:instrText xml:space="preserve"> XE "</w:instrText>
      </w:r>
      <w:r w:rsidR="00436A53" w:rsidRPr="00EE7EA8">
        <w:instrText>diafanum:první averroismus</w:instrText>
      </w:r>
      <w:r w:rsidR="00436A53">
        <w:instrText xml:space="preserve">" </w:instrText>
      </w:r>
      <w:r w:rsidR="00436A53">
        <w:fldChar w:fldCharType="end"/>
      </w:r>
      <w:r w:rsidR="00B338E9">
        <w:t xml:space="preserve">, bez něhož </w:t>
      </w:r>
      <w:r w:rsidR="00AB1710">
        <w:t xml:space="preserve">nemůže </w:t>
      </w:r>
      <w:r w:rsidR="00B338E9">
        <w:t>proběhnout mediace smyslového a intelektuálního poznání</w:t>
      </w:r>
      <w:r w:rsidR="00B009C3" w:rsidRPr="00273106">
        <w:t xml:space="preserve">. </w:t>
      </w:r>
      <w:r w:rsidR="082261A2" w:rsidRPr="00273106">
        <w:t xml:space="preserve">Pařížští </w:t>
      </w:r>
      <w:r w:rsidR="002A0B55" w:rsidRPr="00273106">
        <w:t xml:space="preserve">znalci </w:t>
      </w:r>
      <w:r w:rsidR="082261A2" w:rsidRPr="00273106">
        <w:t>p</w:t>
      </w:r>
      <w:r w:rsidR="00881E2F" w:rsidRPr="00273106">
        <w:t>rvní</w:t>
      </w:r>
      <w:r w:rsidR="082261A2" w:rsidRPr="00273106">
        <w:t>ho</w:t>
      </w:r>
      <w:r w:rsidR="00881E2F" w:rsidRPr="00273106">
        <w:t xml:space="preserve"> averroismu</w:t>
      </w:r>
      <w:r w:rsidR="082261A2" w:rsidRPr="00273106">
        <w:t xml:space="preserve"> </w:t>
      </w:r>
      <w:r w:rsidR="002A0B55" w:rsidRPr="00273106">
        <w:t xml:space="preserve">z Blundovy školy </w:t>
      </w:r>
      <w:r w:rsidR="082261A2" w:rsidRPr="00273106">
        <w:t>připomínají</w:t>
      </w:r>
      <w:r w:rsidR="00881E2F" w:rsidRPr="00273106">
        <w:t xml:space="preserve"> </w:t>
      </w:r>
      <w:r w:rsidR="002A0B55" w:rsidRPr="00273106">
        <w:t xml:space="preserve">Rufusovi </w:t>
      </w:r>
      <w:r w:rsidR="001251F6" w:rsidRPr="00273106">
        <w:t>funkc</w:t>
      </w:r>
      <w:r w:rsidR="00881E2F" w:rsidRPr="00273106">
        <w:t>i</w:t>
      </w:r>
      <w:r w:rsidR="004E6930" w:rsidRPr="00273106">
        <w:t xml:space="preserve"> možného intelektu </w:t>
      </w:r>
      <w:r w:rsidR="0876617D" w:rsidRPr="00273106">
        <w:t xml:space="preserve">daného </w:t>
      </w:r>
      <w:r w:rsidR="00881E2F" w:rsidRPr="00273106">
        <w:t xml:space="preserve">v rámci </w:t>
      </w:r>
      <w:r w:rsidR="002E3B62">
        <w:t>Averroes</w:t>
      </w:r>
      <w:r w:rsidR="004E6930" w:rsidRPr="00273106">
        <w:t>ova</w:t>
      </w:r>
      <w:r w:rsidR="001251F6" w:rsidRPr="00273106">
        <w:t xml:space="preserve"> diafanum </w:t>
      </w:r>
      <w:r w:rsidR="00881E2F" w:rsidRPr="00273106">
        <w:t xml:space="preserve">nutného </w:t>
      </w:r>
      <w:r w:rsidR="001251F6" w:rsidRPr="00273106">
        <w:t xml:space="preserve">pro akt </w:t>
      </w:r>
      <w:r w:rsidR="004F7061" w:rsidRPr="00273106">
        <w:t>v</w:t>
      </w:r>
      <w:r w:rsidR="001251F6" w:rsidRPr="00273106">
        <w:t>idění</w:t>
      </w:r>
      <w:r w:rsidR="00D01326">
        <w:t xml:space="preserve"> (</w:t>
      </w:r>
      <w:r w:rsidR="080A1D31">
        <w:t xml:space="preserve">OBJ I, </w:t>
      </w:r>
      <w:r w:rsidR="00D01326">
        <w:t>kap. 2.4.4</w:t>
      </w:r>
      <w:r w:rsidR="08586875" w:rsidRPr="00273106">
        <w:t xml:space="preserve">). </w:t>
      </w:r>
      <w:r w:rsidR="00581C73" w:rsidRPr="00273106">
        <w:t xml:space="preserve">Diafanum ve dvojím provedení zajišťuje adekvaci na úrovni </w:t>
      </w:r>
      <w:r w:rsidR="00864A87" w:rsidRPr="00273106">
        <w:t xml:space="preserve">dvojí </w:t>
      </w:r>
      <w:r w:rsidR="00581C73" w:rsidRPr="00273106">
        <w:t xml:space="preserve">formální kauzality </w:t>
      </w:r>
      <w:r w:rsidR="00864A87" w:rsidRPr="00273106">
        <w:t xml:space="preserve">postulované </w:t>
      </w:r>
      <w:r w:rsidR="009F35D6" w:rsidRPr="00273106">
        <w:t xml:space="preserve">pro </w:t>
      </w:r>
      <w:r w:rsidR="00581C73" w:rsidRPr="00273106">
        <w:t xml:space="preserve">abstrakci smyslových </w:t>
      </w:r>
      <w:r w:rsidR="009F35D6" w:rsidRPr="00273106">
        <w:t xml:space="preserve">a inteligibilních </w:t>
      </w:r>
      <w:r w:rsidR="004B4D52" w:rsidRPr="004B4D52">
        <w:t>species</w:t>
      </w:r>
      <w:r w:rsidR="00581C73" w:rsidRPr="00273106">
        <w:t xml:space="preserve">. </w:t>
      </w:r>
      <w:r w:rsidR="00A7362D">
        <w:t>Alvernus jako autor díla</w:t>
      </w:r>
      <w:r w:rsidR="006701DE" w:rsidRPr="00273106">
        <w:t xml:space="preserve"> </w:t>
      </w:r>
      <w:r w:rsidR="006701DE" w:rsidRPr="00273106">
        <w:rPr>
          <w:i/>
        </w:rPr>
        <w:t>De potenciis animae et obiectis</w:t>
      </w:r>
      <w:r w:rsidR="003815E2" w:rsidRPr="00273106">
        <w:t xml:space="preserve"> </w:t>
      </w:r>
      <w:r w:rsidR="006701DE" w:rsidRPr="00273106">
        <w:t>potřebuje diafanum k tomu, aby popsal</w:t>
      </w:r>
      <w:r w:rsidR="080A1D31">
        <w:t xml:space="preserve"> dva přechody pro vidění (kap. 2</w:t>
      </w:r>
      <w:r w:rsidR="006701DE" w:rsidRPr="00273106">
        <w:t>.2</w:t>
      </w:r>
      <w:r w:rsidR="085022FC">
        <w:t>.2</w:t>
      </w:r>
      <w:r w:rsidR="006701DE" w:rsidRPr="00273106">
        <w:t xml:space="preserve">). Dvojí </w:t>
      </w:r>
      <w:r w:rsidR="0071721E">
        <w:t xml:space="preserve">mediace </w:t>
      </w:r>
      <w:r w:rsidR="006701DE" w:rsidRPr="00273106">
        <w:t xml:space="preserve">produkuje podobnost věci a intelektu skrze proporcionalitu intencionálních předmětů daných smyslově </w:t>
      </w:r>
      <w:r w:rsidR="001D0F27" w:rsidRPr="00273106">
        <w:t xml:space="preserve">a inteligibilně </w:t>
      </w:r>
      <w:r w:rsidR="00D62777" w:rsidRPr="00273106">
        <w:t>v individuálním</w:t>
      </w:r>
      <w:r w:rsidR="00707062" w:rsidRPr="00273106">
        <w:t xml:space="preserve"> tělesném bytí osoby</w:t>
      </w:r>
      <w:r w:rsidR="006701DE" w:rsidRPr="00273106">
        <w:t>.</w:t>
      </w:r>
      <w:r w:rsidR="009A1F29">
        <w:t xml:space="preserve"> Na toto pojetí intencionality navazuje </w:t>
      </w:r>
      <w:r w:rsidR="00CD3E73">
        <w:t xml:space="preserve">kritika </w:t>
      </w:r>
      <w:r w:rsidR="009A1F29">
        <w:t xml:space="preserve">Alverna </w:t>
      </w:r>
      <w:r w:rsidR="00CD3E73">
        <w:t xml:space="preserve">adresovaná </w:t>
      </w:r>
      <w:r w:rsidR="00874074">
        <w:t>neoplatonsk</w:t>
      </w:r>
      <w:r w:rsidR="009A1F29">
        <w:t>ým aristotelikům</w:t>
      </w:r>
      <w:r w:rsidR="00A963D1">
        <w:t xml:space="preserve">. Ti </w:t>
      </w:r>
      <w:r w:rsidR="00AF7DEE">
        <w:t xml:space="preserve">měli nasvícení intelektu nikoliv od smyslů, ale od </w:t>
      </w:r>
      <w:r w:rsidR="00874074">
        <w:t>neoplatonsk</w:t>
      </w:r>
      <w:r w:rsidR="00AF7DEE">
        <w:t>ého intelektu-slunce</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09A1F29">
        <w:t>.</w:t>
      </w:r>
      <w:r w:rsidR="009A1F29" w:rsidRPr="00273106">
        <w:rPr>
          <w:rStyle w:val="Znakapoznpodarou"/>
        </w:rPr>
        <w:footnoteReference w:id="467"/>
      </w:r>
      <w:r w:rsidR="009A1F29">
        <w:t xml:space="preserve"> </w:t>
      </w:r>
      <w:r w:rsidR="00CD3E73">
        <w:t>Z Rufusovy nezn</w:t>
      </w:r>
      <w:r w:rsidR="00613D1E">
        <w:t>alosti skutečné</w:t>
      </w:r>
      <w:r w:rsidR="00CD3E73">
        <w:t xml:space="preserve"> fun</w:t>
      </w:r>
      <w:r w:rsidR="00613D1E">
        <w:t>k</w:t>
      </w:r>
      <w:r w:rsidR="00CD3E73">
        <w:t xml:space="preserve">ce intencionality a funkce diafanum v CMDA je jasné, že </w:t>
      </w:r>
      <w:r w:rsidR="082441A1">
        <w:t xml:space="preserve">kritika Alverna a Alberta </w:t>
      </w:r>
      <w:r w:rsidR="009A1F29">
        <w:t xml:space="preserve">byla adresována na skupinu </w:t>
      </w:r>
      <w:r w:rsidR="009A1F29" w:rsidRPr="08801975">
        <w:rPr>
          <w:i/>
        </w:rPr>
        <w:t>Modernorum</w:t>
      </w:r>
      <w:r w:rsidR="009A1F29">
        <w:t xml:space="preserve"> kolem Rufuse. </w:t>
      </w:r>
      <w:r w:rsidR="005C5D01">
        <w:t>P</w:t>
      </w:r>
      <w:r w:rsidR="00D74149" w:rsidRPr="00273106">
        <w:t>rvní averro</w:t>
      </w:r>
      <w:r w:rsidR="0088398E" w:rsidRPr="00273106">
        <w:t>i</w:t>
      </w:r>
      <w:r w:rsidR="00D74149" w:rsidRPr="00273106">
        <w:t>s</w:t>
      </w:r>
      <w:r w:rsidR="005C5D01">
        <w:t>té</w:t>
      </w:r>
      <w:r w:rsidR="002F473F">
        <w:t xml:space="preserve"> Blundovy školy</w:t>
      </w:r>
      <w:r w:rsidR="005C5D01">
        <w:t xml:space="preserve"> potřebovali </w:t>
      </w:r>
      <w:r w:rsidR="00743588" w:rsidRPr="00273106">
        <w:t>diafanum</w:t>
      </w:r>
      <w:r w:rsidR="00436A53">
        <w:fldChar w:fldCharType="begin"/>
      </w:r>
      <w:r w:rsidR="00436A53">
        <w:instrText xml:space="preserve"> XE "</w:instrText>
      </w:r>
      <w:r w:rsidR="00436A53" w:rsidRPr="00F14930">
        <w:instrText>diafanum:Blund</w:instrText>
      </w:r>
      <w:r w:rsidR="00436A53">
        <w:instrText xml:space="preserve">" </w:instrText>
      </w:r>
      <w:r w:rsidR="00436A53">
        <w:fldChar w:fldCharType="end"/>
      </w:r>
      <w:r w:rsidR="00743588" w:rsidRPr="00273106">
        <w:t xml:space="preserve"> </w:t>
      </w:r>
      <w:r w:rsidR="005C5D01">
        <w:t xml:space="preserve">ze dvou důvodů. Jednak zprostředkovává aktualitu paprsku a dále </w:t>
      </w:r>
      <w:r w:rsidR="00004294" w:rsidRPr="00273106">
        <w:t xml:space="preserve">na smyslové úrovni </w:t>
      </w:r>
      <w:r w:rsidR="005C5D01">
        <w:t xml:space="preserve">mediatizuje v představivosti </w:t>
      </w:r>
      <w:r w:rsidR="0088398E" w:rsidRPr="00273106">
        <w:t>akt inte</w:t>
      </w:r>
      <w:r w:rsidR="00D74149" w:rsidRPr="00273106">
        <w:t>n</w:t>
      </w:r>
      <w:r w:rsidR="0088398E" w:rsidRPr="00273106">
        <w:t>cionality</w:t>
      </w:r>
      <w:r w:rsidR="084B3345">
        <w:t xml:space="preserve">, který dostane další mediaci v prostředí </w:t>
      </w:r>
      <w:r w:rsidR="0088398E" w:rsidRPr="00273106">
        <w:t>receptivního intelektu</w:t>
      </w:r>
      <w:r w:rsidR="08266B3A">
        <w:t>.</w:t>
      </w:r>
      <w:r w:rsidR="00264E52">
        <w:t xml:space="preserve"> </w:t>
      </w:r>
      <w:r w:rsidR="00B21AB4">
        <w:t>Ru</w:t>
      </w:r>
      <w:r w:rsidR="008A6EDF">
        <w:t>fus</w:t>
      </w:r>
      <w:r w:rsidR="00B21AB4">
        <w:t xml:space="preserve">ovo </w:t>
      </w:r>
      <w:r w:rsidR="008A6EDF">
        <w:t xml:space="preserve">pojetí poznání sleduje schéma </w:t>
      </w:r>
      <w:r w:rsidR="00874074">
        <w:t>neoplatonsk</w:t>
      </w:r>
      <w:r w:rsidR="008A6EDF">
        <w:t>ého intelektu-slunce</w:t>
      </w:r>
      <w:r w:rsidR="08D77D4A">
        <w:t xml:space="preserve"> (</w:t>
      </w:r>
      <w:r w:rsidR="08D77D4A" w:rsidRPr="08D77D4A">
        <w:rPr>
          <w:szCs w:val="24"/>
        </w:rPr>
        <w:t>OBJ I, kap. 1.3.2</w:t>
      </w:r>
      <w:r w:rsidR="08D77D4A">
        <w:t>)</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08702D7">
        <w:fldChar w:fldCharType="begin"/>
      </w:r>
      <w:r w:rsidR="008702D7">
        <w:instrText xml:space="preserve"> XE "</w:instrText>
      </w:r>
      <w:r w:rsidR="008702D7" w:rsidRPr="002255E5">
        <w:instrText>Themistius</w:instrText>
      </w:r>
      <w:r w:rsidR="008702D7">
        <w:instrText xml:space="preserve">" </w:instrText>
      </w:r>
      <w:r w:rsidR="008702D7">
        <w:fldChar w:fldCharType="end"/>
      </w:r>
      <w:r w:rsidR="008A6EDF">
        <w:t>.</w:t>
      </w:r>
      <w:r w:rsidR="00BE4DBB" w:rsidRPr="00BE4DBB">
        <w:t xml:space="preserve"> </w:t>
      </w:r>
      <w:r w:rsidR="007514F3">
        <w:t xml:space="preserve">Odpověď </w:t>
      </w:r>
      <w:r w:rsidR="08F6430F">
        <w:t xml:space="preserve">Rufusue </w:t>
      </w:r>
      <w:r w:rsidR="00BE4DBB">
        <w:t>odmítá pojetí diafanum a intencional</w:t>
      </w:r>
      <w:r w:rsidR="009C5925">
        <w:t xml:space="preserve">ity v Blundově škole a zakládá </w:t>
      </w:r>
      <w:r w:rsidR="009C5925" w:rsidRPr="009C5925">
        <w:rPr>
          <w:i/>
        </w:rPr>
        <w:t>Weltansch</w:t>
      </w:r>
      <w:r w:rsidR="009C5925">
        <w:rPr>
          <w:i/>
        </w:rPr>
        <w:t>a</w:t>
      </w:r>
      <w:r w:rsidR="009C5925" w:rsidRPr="009C5925">
        <w:rPr>
          <w:i/>
        </w:rPr>
        <w:t>uung</w:t>
      </w:r>
      <w:r w:rsidR="00ED633A">
        <w:rPr>
          <w:i/>
        </w:rPr>
        <w:fldChar w:fldCharType="begin"/>
      </w:r>
      <w:r w:rsidR="00ED633A">
        <w:instrText xml:space="preserve"> XE "</w:instrText>
      </w:r>
      <w:r w:rsidR="00ED633A" w:rsidRPr="001E5389">
        <w:rPr>
          <w:i/>
        </w:rPr>
        <w:instrText>Weltanschauung</w:instrText>
      </w:r>
      <w:r w:rsidR="00ED633A">
        <w:instrText xml:space="preserve">" </w:instrText>
      </w:r>
      <w:r w:rsidR="00ED633A">
        <w:rPr>
          <w:i/>
        </w:rPr>
        <w:fldChar w:fldCharType="end"/>
      </w:r>
      <w:r w:rsidR="009C5925">
        <w:t xml:space="preserve"> moderny</w:t>
      </w:r>
      <w:r w:rsidR="00715FB8">
        <w:t xml:space="preserve"> odmítající mediaci poznání z reality</w:t>
      </w:r>
      <w:r w:rsidR="009C5925">
        <w:t>.</w:t>
      </w:r>
      <w:r w:rsidR="08586D31">
        <w:t xml:space="preserve"> Rufus zavádí </w:t>
      </w:r>
      <w:r w:rsidR="08502E18">
        <w:t xml:space="preserve">po Dinantovi </w:t>
      </w:r>
      <w:r w:rsidR="08586D31">
        <w:t>pojem diafanum jako materie</w:t>
      </w:r>
      <w:r w:rsidR="08E14B75">
        <w:t xml:space="preserve"> a předs</w:t>
      </w:r>
      <w:r w:rsidR="08502E18">
        <w:t>tavu</w:t>
      </w:r>
      <w:r w:rsidR="08E14B75">
        <w:t>j</w:t>
      </w:r>
      <w:r w:rsidR="08502E18">
        <w:t>e</w:t>
      </w:r>
      <w:r w:rsidR="08E14B75">
        <w:t xml:space="preserve"> první </w:t>
      </w:r>
      <w:r w:rsidR="0856290D">
        <w:t xml:space="preserve">objektivní a mechanistický obraz přenosu světla jako </w:t>
      </w:r>
      <w:r w:rsidR="004B4D52" w:rsidRPr="004B4D52">
        <w:t>species</w:t>
      </w:r>
      <w:r w:rsidR="0856290D">
        <w:t xml:space="preserve"> třetího druhu.</w:t>
      </w:r>
    </w:p>
    <w:p w14:paraId="46AD9CDA" w14:textId="014857A0" w:rsidR="00D21084" w:rsidRDefault="00D21084" w:rsidP="00D21084">
      <w:pPr>
        <w:pStyle w:val="Citace"/>
        <w:rPr>
          <w:lang w:val="cs-CZ"/>
        </w:rPr>
      </w:pPr>
      <w:r w:rsidRPr="00AE1CA3">
        <w:t>„</w:t>
      </w:r>
      <w:r w:rsidR="002A41E7">
        <w:t xml:space="preserve">A ty odpovíš tvrzením, že  </w:t>
      </w:r>
      <w:r w:rsidR="002A41E7">
        <w:rPr>
          <w:rFonts w:cs="Calibri"/>
        </w:rPr>
        <w:t>«</w:t>
      </w:r>
      <w:r w:rsidR="002A41E7">
        <w:rPr>
          <w:rFonts w:cs="Calibri"/>
          <w:lang w:val="cs-CZ"/>
        </w:rPr>
        <w:t> </w:t>
      </w:r>
      <w:r>
        <w:t>světlo je dané v intenci toho, co je nasvíceno, pro</w:t>
      </w:r>
      <w:r w:rsidR="002A41E7">
        <w:t>tože je přítomné skrze diafanum</w:t>
      </w:r>
      <w:r w:rsidR="002A41E7">
        <w:rPr>
          <w:lang w:val="cs-CZ"/>
        </w:rPr>
        <w:t> </w:t>
      </w:r>
      <w:r w:rsidR="002A41E7">
        <w:rPr>
          <w:rFonts w:cs="Calibri"/>
          <w:lang w:val="cs-CZ"/>
        </w:rPr>
        <w:t>»</w:t>
      </w:r>
      <w:r>
        <w:t>. Co</w:t>
      </w:r>
      <w:r w:rsidR="0041684C">
        <w:t xml:space="preserve"> jiného znamená tato věta, než </w:t>
      </w:r>
      <w:r>
        <w:t>že světlo pochází z původního zdroje, tedy ze zářícího tělesa a je přijato v externí materi</w:t>
      </w:r>
      <w:r w:rsidR="00DE4B65">
        <w:rPr>
          <w:lang w:val="cs-CZ"/>
        </w:rPr>
        <w:t>i</w:t>
      </w:r>
      <w:r w:rsidR="08586D31">
        <w:rPr>
          <w:lang w:val="cs-CZ"/>
        </w:rPr>
        <w:t xml:space="preserve"> </w:t>
      </w:r>
      <w:r w:rsidR="08586D31">
        <w:t>(</w:t>
      </w:r>
      <w:r w:rsidR="08586D31" w:rsidRPr="08586D31">
        <w:rPr>
          <w:i/>
        </w:rPr>
        <w:t>in materia extranea</w:t>
      </w:r>
      <w:r w:rsidR="08586D31">
        <w:t>)</w:t>
      </w:r>
      <w:r w:rsidR="00F878DB">
        <w:t>, tedy ve vz</w:t>
      </w:r>
      <w:r w:rsidR="00F878DB">
        <w:rPr>
          <w:lang w:val="cs-CZ"/>
        </w:rPr>
        <w:t xml:space="preserve">duchu jako </w:t>
      </w:r>
      <w:r>
        <w:t>diafanum</w:t>
      </w:r>
      <w:r w:rsidR="087D2BD7">
        <w:rPr>
          <w:lang w:val="cs-CZ"/>
        </w:rPr>
        <w:t xml:space="preserve"> (</w:t>
      </w:r>
      <w:r w:rsidR="087D2BD7" w:rsidRPr="087D2BD7">
        <w:rPr>
          <w:i/>
        </w:rPr>
        <w:t>in aere diaphono</w:t>
      </w:r>
      <w:r w:rsidR="087D2BD7">
        <w:rPr>
          <w:lang w:val="cs-CZ"/>
        </w:rPr>
        <w:t>)</w:t>
      </w:r>
      <w:r>
        <w:t xml:space="preserve">? Proto tvrdím, že </w:t>
      </w:r>
      <w:r w:rsidR="004B59AE">
        <w:rPr>
          <w:lang w:val="cs-CZ"/>
        </w:rPr>
        <w:t xml:space="preserve">světlo </w:t>
      </w:r>
      <w:r>
        <w:t>je tím přijato jak</w:t>
      </w:r>
      <w:r w:rsidR="004B59AE">
        <w:rPr>
          <w:lang w:val="cs-CZ"/>
        </w:rPr>
        <w:t>o</w:t>
      </w:r>
      <w:r>
        <w:t xml:space="preserve"> </w:t>
      </w:r>
      <w:r w:rsidR="004B4D52" w:rsidRPr="004B4D52">
        <w:t>species</w:t>
      </w:r>
      <w:r w:rsidR="004B59AE">
        <w:rPr>
          <w:lang w:val="cs-CZ"/>
        </w:rPr>
        <w:t xml:space="preserve"> a v jeho esenciální </w:t>
      </w:r>
      <w:r>
        <w:t>podobnost</w:t>
      </w:r>
      <w:r w:rsidR="004B59AE">
        <w:rPr>
          <w:lang w:val="cs-CZ"/>
        </w:rPr>
        <w:t>i</w:t>
      </w:r>
      <w:r w:rsidR="006315F8">
        <w:rPr>
          <w:lang w:val="cs-CZ"/>
        </w:rPr>
        <w:t xml:space="preserve"> (</w:t>
      </w:r>
      <w:r w:rsidR="006315F8" w:rsidRPr="006315F8">
        <w:rPr>
          <w:i/>
        </w:rPr>
        <w:t xml:space="preserve">receptum sit </w:t>
      </w:r>
      <w:r w:rsidR="004B4D52" w:rsidRPr="004B4D52">
        <w:t>species</w:t>
      </w:r>
      <w:r w:rsidR="006315F8" w:rsidRPr="006315F8">
        <w:rPr>
          <w:i/>
        </w:rPr>
        <w:t xml:space="preserve"> et similitudo expressa</w:t>
      </w:r>
      <w:r w:rsidR="006315F8">
        <w:rPr>
          <w:lang w:val="cs-CZ"/>
        </w:rPr>
        <w:t>)</w:t>
      </w:r>
      <w:r w:rsidR="00DE4B65">
        <w:rPr>
          <w:lang w:val="cs-CZ"/>
        </w:rPr>
        <w:t xml:space="preserve">. A </w:t>
      </w:r>
      <w:r>
        <w:t xml:space="preserve">to nikoliv prázdná představa daná v nějaké smyslové podobnosti, ale nakolik je možné tuto podobnost přiblížit k původní formě zdroje </w:t>
      </w:r>
      <w:r w:rsidR="00DE4B65">
        <w:rPr>
          <w:lang w:val="cs-CZ"/>
        </w:rPr>
        <w:t xml:space="preserve">tohoto </w:t>
      </w:r>
      <w:r>
        <w:t xml:space="preserve">světla, jak bylo řečeno výše o </w:t>
      </w:r>
      <w:r w:rsidR="004B4D52" w:rsidRPr="004B4D52">
        <w:t>species</w:t>
      </w:r>
      <w:r>
        <w:t xml:space="preserve"> barvy vzaté vzhledem k její původní formě.“</w:t>
      </w:r>
      <w:r>
        <w:rPr>
          <w:lang w:val="cs-CZ"/>
        </w:rPr>
        <w:t> </w:t>
      </w:r>
      <w:r w:rsidR="00677231" w:rsidRPr="00273106">
        <w:rPr>
          <w:rStyle w:val="Znakapoznpodarou"/>
        </w:rPr>
        <w:footnoteReference w:id="468"/>
      </w:r>
    </w:p>
    <w:p w14:paraId="425FD114" w14:textId="77777777" w:rsidR="00677D01" w:rsidRDefault="00D21084" w:rsidP="00771708">
      <w:r>
        <w:t>Rufus n</w:t>
      </w:r>
      <w:r w:rsidR="00EC42AB" w:rsidRPr="00273106">
        <w:t>emá pon</w:t>
      </w:r>
      <w:r w:rsidR="009C6396" w:rsidRPr="00273106">
        <w:t>ětí o skutečné funkci diafanum</w:t>
      </w:r>
      <w:r w:rsidR="00F23038">
        <w:t xml:space="preserve"> podle CMDA</w:t>
      </w:r>
      <w:r w:rsidR="004238A5">
        <w:t>, protože o</w:t>
      </w:r>
      <w:r w:rsidR="009C6396" w:rsidRPr="00273106">
        <w:t xml:space="preserve">dmítá syntézu </w:t>
      </w:r>
      <w:r w:rsidR="004B4D52" w:rsidRPr="004B4D52">
        <w:t>species</w:t>
      </w:r>
      <w:r w:rsidR="009C6396" w:rsidRPr="00273106">
        <w:t xml:space="preserve"> na </w:t>
      </w:r>
      <w:r w:rsidR="007D2C4E" w:rsidRPr="00273106">
        <w:t xml:space="preserve">straně představivosti a </w:t>
      </w:r>
      <w:r w:rsidR="009C6396" w:rsidRPr="00273106">
        <w:t xml:space="preserve">intelektu </w:t>
      </w:r>
      <w:r w:rsidR="00BB7FAE" w:rsidRPr="00273106">
        <w:t>(</w:t>
      </w:r>
      <w:r w:rsidR="00BB7FAE" w:rsidRPr="00273106">
        <w:rPr>
          <w:i/>
        </w:rPr>
        <w:t>non imaginaria similitudo</w:t>
      </w:r>
      <w:r w:rsidR="083D7F5F">
        <w:t>). B</w:t>
      </w:r>
      <w:r w:rsidR="00524E9D">
        <w:t xml:space="preserve">ere poznané formy </w:t>
      </w:r>
      <w:r w:rsidR="009C6396" w:rsidRPr="00273106">
        <w:t>rec</w:t>
      </w:r>
      <w:r w:rsidR="00BB7FAE" w:rsidRPr="00273106">
        <w:t>e</w:t>
      </w:r>
      <w:r w:rsidR="009C6396" w:rsidRPr="00273106">
        <w:t xml:space="preserve">ptivně přímo z věci </w:t>
      </w:r>
      <w:r w:rsidR="00372DA3">
        <w:t xml:space="preserve">ve formě </w:t>
      </w:r>
      <w:r w:rsidR="004B4D52" w:rsidRPr="004B4D52">
        <w:t>species</w:t>
      </w:r>
      <w:r w:rsidR="00372DA3">
        <w:t xml:space="preserve"> třetího druhu </w:t>
      </w:r>
      <w:r w:rsidR="009C6396" w:rsidRPr="00273106">
        <w:t>(</w:t>
      </w:r>
      <w:r w:rsidR="009C6396" w:rsidRPr="00273106">
        <w:rPr>
          <w:i/>
        </w:rPr>
        <w:t xml:space="preserve">receptum sit </w:t>
      </w:r>
      <w:r w:rsidR="004B4D52" w:rsidRPr="004B4D52">
        <w:t>species</w:t>
      </w:r>
      <w:r w:rsidR="009C6396" w:rsidRPr="00273106">
        <w:rPr>
          <w:i/>
        </w:rPr>
        <w:t xml:space="preserve"> et similitudo expressa</w:t>
      </w:r>
      <w:r w:rsidR="00D8681C" w:rsidRPr="00273106">
        <w:t>).</w:t>
      </w:r>
      <w:r w:rsidR="08780923" w:rsidRPr="00273106">
        <w:t xml:space="preserve"> </w:t>
      </w:r>
      <w:r w:rsidR="00FE6DEE">
        <w:t>S</w:t>
      </w:r>
      <w:r w:rsidR="00D8681C" w:rsidRPr="00273106">
        <w:t xml:space="preserve">ingulárně-univerzální </w:t>
      </w:r>
      <w:r w:rsidR="004B4D52" w:rsidRPr="004B4D52">
        <w:t>species</w:t>
      </w:r>
      <w:r w:rsidR="00D8681C" w:rsidRPr="00273106">
        <w:rPr>
          <w:i/>
        </w:rPr>
        <w:t xml:space="preserve"> expressa</w:t>
      </w:r>
      <w:r w:rsidR="00524DCB">
        <w:fldChar w:fldCharType="begin"/>
      </w:r>
      <w:r w:rsidR="00524DCB">
        <w:instrText xml:space="preserve"> XE "</w:instrText>
      </w:r>
      <w:r w:rsidR="00524DCB" w:rsidRPr="007A433A">
        <w:instrText>substance:</w:instrText>
      </w:r>
      <w:r w:rsidR="00524DCB" w:rsidRPr="08CE63C5">
        <w:rPr>
          <w:i/>
        </w:rPr>
        <w:instrText>species</w:instrText>
      </w:r>
      <w:r w:rsidR="00524DCB">
        <w:instrText xml:space="preserve">" </w:instrText>
      </w:r>
      <w:r w:rsidR="00524DCB">
        <w:fldChar w:fldCharType="end"/>
      </w:r>
      <w:r w:rsidR="00D8681C" w:rsidRPr="00273106">
        <w:t xml:space="preserve"> </w:t>
      </w:r>
      <w:r w:rsidR="08E716DD">
        <w:t>převzaté od Anselma (kap. 1</w:t>
      </w:r>
      <w:r w:rsidR="001B156E">
        <w:t>.2</w:t>
      </w:r>
      <w:r w:rsidR="08780923" w:rsidRPr="00273106">
        <w:t xml:space="preserve">) </w:t>
      </w:r>
      <w:r w:rsidR="004924AC" w:rsidRPr="00273106">
        <w:t xml:space="preserve">zakládá </w:t>
      </w:r>
      <w:r w:rsidR="009C6396" w:rsidRPr="00273106">
        <w:t xml:space="preserve">možnost univerzálního poznání </w:t>
      </w:r>
      <w:r w:rsidR="003E3863" w:rsidRPr="00273106">
        <w:t xml:space="preserve">obsaženou </w:t>
      </w:r>
      <w:r w:rsidR="009C6396" w:rsidRPr="00273106">
        <w:t>přímo v</w:t>
      </w:r>
      <w:r w:rsidR="00FE3B23" w:rsidRPr="00273106">
        <w:t xml:space="preserve"> singu</w:t>
      </w:r>
      <w:r w:rsidR="009C6396" w:rsidRPr="00273106">
        <w:t>lární věci (</w:t>
      </w:r>
      <w:r w:rsidR="009C6396" w:rsidRPr="00273106">
        <w:rPr>
          <w:i/>
        </w:rPr>
        <w:t>quantum possibile est accedens secundum identitatem</w:t>
      </w:r>
      <w:r w:rsidR="009C6396" w:rsidRPr="00273106">
        <w:t xml:space="preserve">). </w:t>
      </w:r>
      <w:r w:rsidR="08882ABB">
        <w:t>Obhajoba expresivní</w:t>
      </w:r>
      <w:r w:rsidR="00F74B3F" w:rsidRPr="00273106">
        <w:t xml:space="preserve"> </w:t>
      </w:r>
      <w:r w:rsidR="004B4D52" w:rsidRPr="004B4D52">
        <w:t>species</w:t>
      </w:r>
      <w:r w:rsidR="00F74B3F" w:rsidRPr="00273106">
        <w:t xml:space="preserve"> jako hypostáze třetího druhu </w:t>
      </w:r>
      <w:r w:rsidR="00CB558A">
        <w:t xml:space="preserve">zajišťující identitu poznání a reality </w:t>
      </w:r>
      <w:r w:rsidR="00F74B3F" w:rsidRPr="00273106">
        <w:t xml:space="preserve">zakládá </w:t>
      </w:r>
      <w:r w:rsidR="00413730">
        <w:t xml:space="preserve">nominalistické </w:t>
      </w:r>
      <w:r w:rsidR="00F74B3F" w:rsidRPr="00273106">
        <w:t xml:space="preserve">pojetí </w:t>
      </w:r>
      <w:r w:rsidR="004C6859">
        <w:t xml:space="preserve">poznání </w:t>
      </w:r>
      <w:r w:rsidR="00637DAE" w:rsidRPr="00273106">
        <w:t xml:space="preserve">známé jako </w:t>
      </w:r>
      <w:r w:rsidR="00F74B3F" w:rsidRPr="00273106">
        <w:rPr>
          <w:i/>
        </w:rPr>
        <w:t>universalia in re</w:t>
      </w:r>
      <w:r w:rsidR="00D603BC">
        <w:fldChar w:fldCharType="begin"/>
      </w:r>
      <w:r w:rsidR="00D603BC">
        <w:instrText xml:space="preserve"> XE "</w:instrText>
      </w:r>
      <w:r w:rsidR="00D603BC" w:rsidRPr="00FC7608">
        <w:instrText>spor o univerzália</w:instrText>
      </w:r>
      <w:r w:rsidR="00D603BC">
        <w:instrText xml:space="preserve">" </w:instrText>
      </w:r>
      <w:r w:rsidR="00D603BC">
        <w:fldChar w:fldCharType="end"/>
      </w:r>
      <w:r w:rsidR="00F74B3F" w:rsidRPr="00273106">
        <w:t xml:space="preserve">. </w:t>
      </w:r>
      <w:r w:rsidR="00E84093">
        <w:t>Z</w:t>
      </w:r>
      <w:r w:rsidR="00E30A6E">
        <w:t xml:space="preserve">drojem </w:t>
      </w:r>
      <w:r w:rsidR="004B4D52" w:rsidRPr="004B4D52">
        <w:t>species</w:t>
      </w:r>
      <w:r w:rsidR="00E30A6E">
        <w:t xml:space="preserve"> je oddělený kosmický </w:t>
      </w:r>
      <w:r w:rsidR="00E30A6E" w:rsidRPr="00E30A6E">
        <w:rPr>
          <w:i/>
        </w:rPr>
        <w:t>intellectus agens</w:t>
      </w:r>
      <w:r w:rsidR="00E30A6E">
        <w:t>, který jako Avicennův dárce forem</w:t>
      </w:r>
      <w:r w:rsidR="00524DCB">
        <w:fldChar w:fldCharType="begin"/>
      </w:r>
      <w:r w:rsidR="00524DCB">
        <w:instrText xml:space="preserve"> XE "</w:instrText>
      </w:r>
      <w:r w:rsidR="00524DCB" w:rsidRPr="00BA7E25">
        <w:instrText>intelekt:dárce forem</w:instrText>
      </w:r>
      <w:r w:rsidR="00524DCB">
        <w:instrText xml:space="preserve">" </w:instrText>
      </w:r>
      <w:r w:rsidR="00524DCB">
        <w:fldChar w:fldCharType="end"/>
      </w:r>
      <w:r w:rsidR="00E30A6E">
        <w:t xml:space="preserve"> vysílá do světa proud objektivních</w:t>
      </w:r>
      <w:r w:rsidR="007A489F">
        <w:t xml:space="preserve"> forem</w:t>
      </w:r>
      <w:r w:rsidR="00E30A6E">
        <w:t xml:space="preserve">. </w:t>
      </w:r>
      <w:r w:rsidR="00F27593" w:rsidRPr="00273106">
        <w:t>Z předešlého výkladu je ja</w:t>
      </w:r>
      <w:r w:rsidR="00170693">
        <w:t>sné, že pro první averroismus byla</w:t>
      </w:r>
      <w:r w:rsidR="00F27593" w:rsidRPr="00273106">
        <w:t xml:space="preserve"> tato nauka naprosto nepřijatelná</w:t>
      </w:r>
      <w:r w:rsidR="00C73D97">
        <w:t>. Rufus hájil</w:t>
      </w:r>
      <w:r w:rsidR="087C5686">
        <w:t xml:space="preserve"> emananční scénář </w:t>
      </w:r>
      <w:r w:rsidR="087C5686" w:rsidRPr="087C5686">
        <w:rPr>
          <w:i/>
        </w:rPr>
        <w:t>sequaces Aristotelis</w:t>
      </w:r>
      <w:r w:rsidR="00C73D97">
        <w:t xml:space="preserve"> a měl</w:t>
      </w:r>
      <w:r w:rsidR="082B0125">
        <w:t xml:space="preserve"> podobné panteistické pojetí poznání jako David z Dinantu. </w:t>
      </w:r>
      <w:r w:rsidR="00F27593">
        <w:t>Rufus v Paříži skončil, protože hlásal pojetí pravdy a poznání založené na odděleném kosmickém činném intelektu. To bylo v rozporu s oficiálním statutem Paříž</w:t>
      </w:r>
      <w:r w:rsidR="000505D0">
        <w:t>ské univerzity, který</w:t>
      </w:r>
      <w:r w:rsidR="0050352B">
        <w:t xml:space="preserve"> vyhlásil Alvernus </w:t>
      </w:r>
      <w:r w:rsidR="08AF230F">
        <w:t>(kap. 2</w:t>
      </w:r>
      <w:r w:rsidR="009301FE">
        <w:t>.3).</w:t>
      </w:r>
      <w:r w:rsidR="00F27593">
        <w:t xml:space="preserve"> </w:t>
      </w:r>
      <w:r w:rsidR="00D15A06" w:rsidRPr="00273106">
        <w:t xml:space="preserve">Rufus </w:t>
      </w:r>
      <w:r w:rsidR="004F7061" w:rsidRPr="00273106">
        <w:t xml:space="preserve">se </w:t>
      </w:r>
      <w:r w:rsidR="00D15A06" w:rsidRPr="00273106">
        <w:t xml:space="preserve">k realitě první substance </w:t>
      </w:r>
      <w:r w:rsidR="004F7061" w:rsidRPr="00273106">
        <w:t xml:space="preserve">nemůže dostat, i když to zkouší přes </w:t>
      </w:r>
      <w:r w:rsidR="003D0AE5" w:rsidRPr="00273106">
        <w:t xml:space="preserve">porretánský </w:t>
      </w:r>
      <w:r w:rsidR="004F7061" w:rsidRPr="00273106">
        <w:t xml:space="preserve">koncept </w:t>
      </w:r>
      <w:r w:rsidR="004B4D52" w:rsidRPr="004B4D52">
        <w:t>species</w:t>
      </w:r>
      <w:r w:rsidR="004F7061" w:rsidRPr="00273106">
        <w:rPr>
          <w:i/>
        </w:rPr>
        <w:t xml:space="preserve"> specialissima</w:t>
      </w:r>
      <w:r w:rsidR="00C63957">
        <w:rPr>
          <w:i/>
        </w:rPr>
        <w:fldChar w:fldCharType="begin"/>
      </w:r>
      <w:r w:rsidR="00C63957">
        <w:instrText xml:space="preserve"> XE "</w:instrText>
      </w:r>
      <w:r w:rsidR="00C63957" w:rsidRPr="00A94442">
        <w:rPr>
          <w:i/>
        </w:rPr>
        <w:instrText>species specialissima</w:instrText>
      </w:r>
      <w:r w:rsidR="00C63957">
        <w:instrText xml:space="preserve">" </w:instrText>
      </w:r>
      <w:r w:rsidR="00C63957">
        <w:rPr>
          <w:i/>
        </w:rPr>
        <w:fldChar w:fldCharType="end"/>
      </w:r>
      <w:r w:rsidR="004F7061" w:rsidRPr="00273106">
        <w:t xml:space="preserve"> </w:t>
      </w:r>
      <w:r w:rsidR="08B60463" w:rsidRPr="00273106">
        <w:t>nahrazující druhou substa</w:t>
      </w:r>
      <w:r w:rsidR="08ED5F3C" w:rsidRPr="00273106">
        <w:t xml:space="preserve">nci </w:t>
      </w:r>
      <w:r w:rsidR="004F7061" w:rsidRPr="00273106">
        <w:t>(</w:t>
      </w:r>
      <w:r w:rsidR="00603EAA" w:rsidRPr="00273106">
        <w:rPr>
          <w:i/>
        </w:rPr>
        <w:t>Speculum animae</w:t>
      </w:r>
      <w:r w:rsidR="083E59C3">
        <w:t xml:space="preserve"> </w:t>
      </w:r>
      <w:r w:rsidR="002910E8">
        <w:t>124.207‒</w:t>
      </w:r>
      <w:r w:rsidR="005D357D">
        <w:t>2</w:t>
      </w:r>
      <w:r w:rsidR="004F7061" w:rsidRPr="00273106">
        <w:t>12</w:t>
      </w:r>
      <w:r w:rsidR="002910E8">
        <w:fldChar w:fldCharType="begin"/>
      </w:r>
      <w:r w:rsidR="002910E8">
        <w:instrText xml:space="preserve"> XE "Rufus:</w:instrText>
      </w:r>
      <w:r w:rsidR="002910E8" w:rsidRPr="003F2781">
        <w:rPr>
          <w:i/>
        </w:rPr>
        <w:instrText>Speculum animae</w:instrText>
      </w:r>
      <w:r w:rsidR="002910E8" w:rsidRPr="003F2781">
        <w:instrText xml:space="preserve"> </w:instrText>
      </w:r>
      <w:r w:rsidR="002910E8">
        <w:instrText>124.207‒</w:instrText>
      </w:r>
      <w:r w:rsidR="002910E8" w:rsidRPr="00273106">
        <w:instrText>12</w:instrText>
      </w:r>
      <w:r w:rsidR="002910E8">
        <w:instrText xml:space="preserve">" </w:instrText>
      </w:r>
      <w:r w:rsidR="002910E8">
        <w:fldChar w:fldCharType="end"/>
      </w:r>
      <w:r w:rsidR="004F7061" w:rsidRPr="00273106">
        <w:t xml:space="preserve">). </w:t>
      </w:r>
      <w:r w:rsidR="00F056F2" w:rsidRPr="00273106">
        <w:t>Ale j</w:t>
      </w:r>
      <w:r w:rsidR="00AE1CA3" w:rsidRPr="00273106">
        <w:t xml:space="preserve">ednota mnohého a jednoho </w:t>
      </w:r>
      <w:r w:rsidR="00E270E5" w:rsidRPr="00273106">
        <w:t xml:space="preserve">v lidském poznání </w:t>
      </w:r>
      <w:r w:rsidR="00AE1CA3" w:rsidRPr="00273106">
        <w:t xml:space="preserve">zůstává </w:t>
      </w:r>
      <w:r w:rsidR="00F056F2" w:rsidRPr="00273106">
        <w:t xml:space="preserve">pro </w:t>
      </w:r>
      <w:r w:rsidR="009F57FB">
        <w:t xml:space="preserve">neoplatonika </w:t>
      </w:r>
      <w:r w:rsidR="00F056F2" w:rsidRPr="00273106">
        <w:t xml:space="preserve">Rufuse stejně nedosažitelná jako </w:t>
      </w:r>
      <w:r w:rsidR="00E270E5" w:rsidRPr="00273106">
        <w:t xml:space="preserve">jednota bytí </w:t>
      </w:r>
      <w:r w:rsidR="00426AA5" w:rsidRPr="00273106">
        <w:t>pro účast</w:t>
      </w:r>
      <w:r w:rsidR="00D455FB" w:rsidRPr="00273106">
        <w:t>n</w:t>
      </w:r>
      <w:r w:rsidR="00426AA5" w:rsidRPr="00273106">
        <w:t xml:space="preserve">íky </w:t>
      </w:r>
      <w:r w:rsidR="008E02F5">
        <w:t>Platon</w:t>
      </w:r>
      <w:r w:rsidR="00426AA5" w:rsidRPr="00273106">
        <w:t xml:space="preserve">ova </w:t>
      </w:r>
      <w:r w:rsidR="00AE1CA3" w:rsidRPr="00273106">
        <w:t xml:space="preserve">dialogu </w:t>
      </w:r>
      <w:r w:rsidR="008601F5" w:rsidRPr="008601F5">
        <w:rPr>
          <w:i/>
        </w:rPr>
        <w:t>Parmenide</w:t>
      </w:r>
      <w:r w:rsidR="086E22F3" w:rsidRPr="008601F5">
        <w:rPr>
          <w:i/>
        </w:rPr>
        <w:t>s</w:t>
      </w:r>
      <w:r w:rsidR="084C0EF1">
        <w:t xml:space="preserve"> nebo pro dnešní akademiky</w:t>
      </w:r>
      <w:r w:rsidR="08CF056D">
        <w:t xml:space="preserve"> slavící </w:t>
      </w:r>
      <w:r w:rsidR="084C0EF1">
        <w:t xml:space="preserve">objektivní </w:t>
      </w:r>
      <w:r w:rsidR="08CF056D">
        <w:t xml:space="preserve">mystéria typu </w:t>
      </w:r>
      <w:r w:rsidR="08CF056D" w:rsidRPr="00273106">
        <w:rPr>
          <w:i/>
        </w:rPr>
        <w:t>Mind‒Body Problem</w:t>
      </w:r>
      <w:r w:rsidR="08CF056D">
        <w:rPr>
          <w:i/>
        </w:rPr>
        <w:fldChar w:fldCharType="begin"/>
      </w:r>
      <w:r w:rsidR="08CF056D">
        <w:instrText xml:space="preserve"> XE "</w:instrText>
      </w:r>
      <w:r w:rsidR="08CF056D" w:rsidRPr="00496049">
        <w:rPr>
          <w:rStyle w:val="Zkladntext184"/>
          <w:rFonts w:ascii="Calibri" w:eastAsia="Times" w:hAnsi="Calibri" w:cs="Times New Roman"/>
          <w:i/>
          <w:color w:val="auto"/>
          <w:spacing w:val="0"/>
          <w:sz w:val="24"/>
          <w:lang w:val="cs-CZ"/>
        </w:rPr>
        <w:instrText>Mind‒Body Problem</w:instrText>
      </w:r>
      <w:r w:rsidR="08CF056D">
        <w:instrText xml:space="preserve">" </w:instrText>
      </w:r>
      <w:r w:rsidR="08CF056D">
        <w:rPr>
          <w:i/>
        </w:rPr>
        <w:fldChar w:fldCharType="end"/>
      </w:r>
      <w:r w:rsidR="00677D01">
        <w:t>.</w:t>
      </w:r>
    </w:p>
    <w:p w14:paraId="77370372" w14:textId="68754946" w:rsidR="00E157A0" w:rsidRDefault="00F056F2" w:rsidP="00677D01">
      <w:pPr>
        <w:ind w:firstLine="397"/>
      </w:pPr>
      <w:r w:rsidRPr="00273106">
        <w:t>T</w:t>
      </w:r>
      <w:r w:rsidR="003E25FC" w:rsidRPr="00273106">
        <w:t>o ukazuje</w:t>
      </w:r>
      <w:r w:rsidR="009D52D8" w:rsidRPr="00273106">
        <w:t xml:space="preserve"> poslední část traktátu</w:t>
      </w:r>
      <w:r w:rsidR="00677D01">
        <w:t>, kdy bezradný autor produkoval</w:t>
      </w:r>
      <w:r w:rsidR="009D52D8" w:rsidRPr="00273106">
        <w:t xml:space="preserve"> </w:t>
      </w:r>
      <w:r w:rsidR="009D52D8" w:rsidRPr="00273106">
        <w:rPr>
          <w:i/>
        </w:rPr>
        <w:t>tertium ens</w:t>
      </w:r>
      <w:r w:rsidR="009D5B58" w:rsidRPr="00273106">
        <w:t xml:space="preserve"> všeho druhu. Vzhledem k předchozím výk</w:t>
      </w:r>
      <w:r w:rsidR="008F6F9E" w:rsidRPr="00273106">
        <w:t>ladům habitu je zajímavý termín</w:t>
      </w:r>
      <w:r w:rsidR="009D5B58" w:rsidRPr="00273106">
        <w:t xml:space="preserve"> </w:t>
      </w:r>
      <w:r w:rsidR="081F63B3">
        <w:rPr>
          <w:i/>
        </w:rPr>
        <w:t>forma–</w:t>
      </w:r>
      <w:r w:rsidR="003E25FC" w:rsidRPr="00273106">
        <w:rPr>
          <w:i/>
        </w:rPr>
        <w:t>habitus</w:t>
      </w:r>
      <w:r w:rsidR="009D5B58" w:rsidRPr="00273106">
        <w:t>, který</w:t>
      </w:r>
      <w:r w:rsidR="08887F8F" w:rsidRPr="00273106">
        <w:t xml:space="preserve"> nahrazuje kauzalitu chybějící první substance</w:t>
      </w:r>
      <w:r w:rsidR="008601F5">
        <w:t xml:space="preserve"> skrze porretánskou</w:t>
      </w:r>
      <w:r w:rsidR="00933E65">
        <w:t xml:space="preserve"> </w:t>
      </w:r>
      <w:r w:rsidR="004B4D52" w:rsidRPr="004B4D52">
        <w:t>species</w:t>
      </w:r>
      <w:r w:rsidR="009D52D8" w:rsidRPr="00273106">
        <w:t>.</w:t>
      </w:r>
      <w:r w:rsidR="00933E65" w:rsidRPr="00273106">
        <w:rPr>
          <w:rStyle w:val="Znakapoznpodarou"/>
        </w:rPr>
        <w:footnoteReference w:id="469"/>
      </w:r>
      <w:r w:rsidR="00933E65">
        <w:t xml:space="preserve"> </w:t>
      </w:r>
      <w:r w:rsidR="08CA6E10">
        <w:t xml:space="preserve">Z moderního schématu poznání </w:t>
      </w:r>
      <w:r w:rsidR="08CA6E10" w:rsidRPr="00273106">
        <w:t>zmizela skutečná existence věcí i lidí</w:t>
      </w:r>
      <w:r w:rsidR="08CA6E10">
        <w:t xml:space="preserve">, kterou nahradilo výše analyzované porretánské </w:t>
      </w:r>
      <w:r w:rsidR="08CA6E10" w:rsidRPr="006762E7">
        <w:rPr>
          <w:i/>
        </w:rPr>
        <w:t>individ</w:t>
      </w:r>
      <w:r w:rsidR="08CA6E10">
        <w:rPr>
          <w:i/>
        </w:rPr>
        <w:t>u</w:t>
      </w:r>
      <w:r w:rsidR="08CA6E10" w:rsidRPr="006762E7">
        <w:rPr>
          <w:i/>
        </w:rPr>
        <w:t>um</w:t>
      </w:r>
      <w:r w:rsidR="08CA6E10">
        <w:t xml:space="preserve"> dané jako srostice první a druhé substance (</w:t>
      </w:r>
      <w:r w:rsidR="08CA6E10" w:rsidRPr="00A64735">
        <w:rPr>
          <w:i/>
        </w:rPr>
        <w:t>concretum</w:t>
      </w:r>
      <w:r w:rsidR="08CA6E10">
        <w:rPr>
          <w:i/>
        </w:rPr>
        <w:fldChar w:fldCharType="begin"/>
      </w:r>
      <w:r w:rsidR="08CA6E10">
        <w:instrText xml:space="preserve"> XE "</w:instrText>
      </w:r>
      <w:r w:rsidR="08CA6E10" w:rsidRPr="00B759F5">
        <w:rPr>
          <w:i/>
        </w:rPr>
        <w:instrText>concretum</w:instrText>
      </w:r>
      <w:r w:rsidR="08CA6E10">
        <w:instrText xml:space="preserve">" </w:instrText>
      </w:r>
      <w:r w:rsidR="08CA6E10">
        <w:rPr>
          <w:i/>
        </w:rPr>
        <w:fldChar w:fldCharType="end"/>
      </w:r>
      <w:r w:rsidR="08CA6E10">
        <w:t xml:space="preserve">). </w:t>
      </w:r>
      <w:r w:rsidR="08111A52">
        <w:t xml:space="preserve">Poznávacím subjektem tohoto objektivního simulákra je pochopitelně Themistiův a Avicennův </w:t>
      </w:r>
      <w:r w:rsidR="08111A52" w:rsidRPr="08111A52">
        <w:rPr>
          <w:i/>
        </w:rPr>
        <w:t>intellectus materialis</w:t>
      </w:r>
      <w:r w:rsidR="08111A52">
        <w:t xml:space="preserve">, který má hypostázovaný habituální charakter. </w:t>
      </w:r>
      <w:r w:rsidR="08F505A9" w:rsidRPr="00273106">
        <w:t>K</w:t>
      </w:r>
      <w:r w:rsidR="009F5784" w:rsidRPr="00273106">
        <w:t xml:space="preserve">apitola věnovaná rozboru </w:t>
      </w:r>
      <w:r w:rsidR="009F5784" w:rsidRPr="006C7255">
        <w:rPr>
          <w:i/>
        </w:rPr>
        <w:t>Analytik</w:t>
      </w:r>
      <w:r w:rsidR="009F5784" w:rsidRPr="00273106">
        <w:t xml:space="preserve"> rozebírala </w:t>
      </w:r>
      <w:r w:rsidR="00FB3430">
        <w:t xml:space="preserve">Rufusův </w:t>
      </w:r>
      <w:r w:rsidR="009F5784" w:rsidRPr="00273106">
        <w:t>m</w:t>
      </w:r>
      <w:r w:rsidR="00264E73" w:rsidRPr="00273106">
        <w:t>odu</w:t>
      </w:r>
      <w:r w:rsidR="009F5784" w:rsidRPr="00273106">
        <w:t>s</w:t>
      </w:r>
      <w:r w:rsidR="00264E73" w:rsidRPr="00273106">
        <w:t xml:space="preserve"> konkrétní predikace</w:t>
      </w:r>
      <w:r w:rsidR="00D40590">
        <w:fldChar w:fldCharType="begin"/>
      </w:r>
      <w:r w:rsidR="00D40590">
        <w:instrText xml:space="preserve"> XE "</w:instrText>
      </w:r>
      <w:r w:rsidR="00D40590" w:rsidRPr="00F00127">
        <w:instrText>predikace:konkrétní</w:instrText>
      </w:r>
      <w:r w:rsidR="00D40590">
        <w:instrText xml:space="preserve">" </w:instrText>
      </w:r>
      <w:r w:rsidR="00D40590">
        <w:fldChar w:fldCharType="end"/>
      </w:r>
      <w:r w:rsidR="007E3265" w:rsidRPr="00273106">
        <w:t xml:space="preserve"> </w:t>
      </w:r>
      <w:r w:rsidR="08F90FB7">
        <w:t xml:space="preserve">dané na základě porretánské kolekty </w:t>
      </w:r>
      <w:r w:rsidR="007E3265" w:rsidRPr="00273106">
        <w:t>(</w:t>
      </w:r>
      <w:r w:rsidR="007E3265" w:rsidRPr="00273106">
        <w:rPr>
          <w:i/>
        </w:rPr>
        <w:t>concretive</w:t>
      </w:r>
      <w:r w:rsidR="007E3265" w:rsidRPr="00273106">
        <w:t>)</w:t>
      </w:r>
      <w:r w:rsidR="08AF033E">
        <w:t xml:space="preserve">. V konkrétní predikaci </w:t>
      </w:r>
      <w:r w:rsidR="00264E73" w:rsidRPr="00273106">
        <w:t>z</w:t>
      </w:r>
      <w:r w:rsidR="00D75A2C" w:rsidRPr="00273106">
        <w:t>mizel rozdíl mezi první a druhou substancí</w:t>
      </w:r>
      <w:r w:rsidR="005B151A" w:rsidRPr="00273106">
        <w:t xml:space="preserve"> a </w:t>
      </w:r>
      <w:r w:rsidR="00D75A2C" w:rsidRPr="00273106">
        <w:t>vznik</w:t>
      </w:r>
      <w:r w:rsidR="005B151A" w:rsidRPr="00273106">
        <w:t>lo  univoční pojetí jsoucna</w:t>
      </w:r>
      <w:r w:rsidR="08AF230F">
        <w:t xml:space="preserve"> (kap. 3</w:t>
      </w:r>
      <w:r w:rsidR="007769F2" w:rsidRPr="00273106">
        <w:t>.3.2</w:t>
      </w:r>
      <w:r w:rsidR="08F505A9" w:rsidRPr="00273106">
        <w:t>)</w:t>
      </w:r>
      <w:r w:rsidR="005B151A" w:rsidRPr="00273106">
        <w:t xml:space="preserve">. </w:t>
      </w:r>
      <w:r w:rsidR="00436B71" w:rsidRPr="00273106">
        <w:t xml:space="preserve">Tyto pseudo-kategoriální významy jsou predikovány substancím jako inherentní vlastnosti na úrovni </w:t>
      </w:r>
      <w:r w:rsidR="004B4D52" w:rsidRPr="004B4D52">
        <w:t>species</w:t>
      </w:r>
      <w:r w:rsidR="084B7AF8">
        <w:t>-</w:t>
      </w:r>
      <w:r w:rsidR="00436B71" w:rsidRPr="00273106">
        <w:t>esence.</w:t>
      </w:r>
      <w:r w:rsidR="00436B71">
        <w:t xml:space="preserve"> U</w:t>
      </w:r>
      <w:r w:rsidR="00D40590" w:rsidRPr="00273106">
        <w:t xml:space="preserve">niverzália jsou univočně predikována </w:t>
      </w:r>
      <w:r w:rsidR="003329B2">
        <w:t xml:space="preserve">vzhledem k </w:t>
      </w:r>
      <w:r w:rsidR="00D40590" w:rsidRPr="00273106">
        <w:t>nominalisticky definovaným individuím</w:t>
      </w:r>
      <w:r w:rsidR="003329B2">
        <w:t xml:space="preserve"> jako prvním substancím</w:t>
      </w:r>
      <w:r w:rsidR="08DB44F0">
        <w:t>, což dokazuje i Rufusova apologie</w:t>
      </w:r>
      <w:r w:rsidR="00D40590" w:rsidRPr="00273106">
        <w:t xml:space="preserve"> (</w:t>
      </w:r>
      <w:r w:rsidR="00D40590" w:rsidRPr="00273106">
        <w:rPr>
          <w:i/>
        </w:rPr>
        <w:t>definitum, praedicatur etiam de ipso aggregato definito et individuo</w:t>
      </w:r>
      <w:r w:rsidR="00D40590" w:rsidRPr="00273106">
        <w:t>;</w:t>
      </w:r>
      <w:r w:rsidR="00D40590">
        <w:t xml:space="preserve"> </w:t>
      </w:r>
      <w:r w:rsidR="00D40590" w:rsidRPr="003F2781">
        <w:rPr>
          <w:i/>
        </w:rPr>
        <w:t>Speculum animae</w:t>
      </w:r>
      <w:r w:rsidR="083E59C3">
        <w:t xml:space="preserve"> </w:t>
      </w:r>
      <w:r w:rsidR="00D40590">
        <w:t>128.299‒</w:t>
      </w:r>
      <w:r w:rsidR="00D40590" w:rsidRPr="00273106">
        <w:t>300</w:t>
      </w:r>
      <w:r w:rsidR="00D40590">
        <w:fldChar w:fldCharType="begin"/>
      </w:r>
      <w:r w:rsidR="00D40590">
        <w:instrText xml:space="preserve"> XE "Rufus:</w:instrText>
      </w:r>
      <w:r w:rsidR="00D40590" w:rsidRPr="003F2781">
        <w:rPr>
          <w:i/>
        </w:rPr>
        <w:instrText>Speculum animae</w:instrText>
      </w:r>
      <w:r w:rsidR="00D40590" w:rsidRPr="003F2781">
        <w:instrText xml:space="preserve"> </w:instrText>
      </w:r>
      <w:r w:rsidR="00D40590">
        <w:instrText>128.299‒</w:instrText>
      </w:r>
      <w:r w:rsidR="00D40590" w:rsidRPr="00273106">
        <w:instrText>300</w:instrText>
      </w:r>
      <w:r w:rsidR="00D40590">
        <w:instrText xml:space="preserve">" </w:instrText>
      </w:r>
      <w:r w:rsidR="00D40590">
        <w:fldChar w:fldCharType="end"/>
      </w:r>
      <w:r w:rsidR="00D40590" w:rsidRPr="00273106">
        <w:t>).</w:t>
      </w:r>
      <w:r w:rsidR="00D40590">
        <w:t xml:space="preserve"> </w:t>
      </w:r>
      <w:r w:rsidR="084B7AF8">
        <w:t xml:space="preserve">Oxfordský </w:t>
      </w:r>
      <w:r w:rsidR="084B7AF8" w:rsidRPr="00273106">
        <w:t xml:space="preserve">analytik nerozlišuje mezi </w:t>
      </w:r>
      <w:r w:rsidR="08131347">
        <w:t xml:space="preserve">kategoriální </w:t>
      </w:r>
      <w:r w:rsidR="084B7AF8" w:rsidRPr="00273106">
        <w:t>a nominální inherencí akcidentu v substanci</w:t>
      </w:r>
      <w:r w:rsidR="084B7AF8">
        <w:t xml:space="preserve">. </w:t>
      </w:r>
      <w:r w:rsidR="008C2DA9" w:rsidRPr="00273106">
        <w:t xml:space="preserve">Z tohoto důvodu </w:t>
      </w:r>
      <w:r w:rsidR="00684EB4">
        <w:t xml:space="preserve">porretánský </w:t>
      </w:r>
      <w:r w:rsidR="00617879" w:rsidRPr="00273106">
        <w:t xml:space="preserve">Rufus </w:t>
      </w:r>
      <w:r w:rsidR="00D75A2C" w:rsidRPr="00273106">
        <w:t xml:space="preserve">spadá </w:t>
      </w:r>
      <w:r w:rsidR="006C7255">
        <w:t xml:space="preserve">i </w:t>
      </w:r>
      <w:r w:rsidR="00D75A2C" w:rsidRPr="00273106">
        <w:t xml:space="preserve">do </w:t>
      </w:r>
      <w:r w:rsidR="005E50CC" w:rsidRPr="00273106">
        <w:t xml:space="preserve">výše citované </w:t>
      </w:r>
      <w:r w:rsidR="00D75A2C" w:rsidRPr="00273106">
        <w:t xml:space="preserve">kritiky </w:t>
      </w:r>
      <w:r w:rsidR="00E90BC9" w:rsidRPr="00273106">
        <w:t>Alverna</w:t>
      </w:r>
      <w:r w:rsidR="005E50CC" w:rsidRPr="00273106">
        <w:t xml:space="preserve"> </w:t>
      </w:r>
      <w:r w:rsidR="008F0FC3">
        <w:t xml:space="preserve">vůči škole zvané </w:t>
      </w:r>
      <w:r w:rsidR="005E50CC" w:rsidRPr="00273106">
        <w:rPr>
          <w:i/>
        </w:rPr>
        <w:t>Grammati</w:t>
      </w:r>
      <w:r w:rsidR="008F0FC3">
        <w:rPr>
          <w:i/>
        </w:rPr>
        <w:t>ci</w:t>
      </w:r>
      <w:r w:rsidR="00167726">
        <w:rPr>
          <w:i/>
        </w:rPr>
        <w:fldChar w:fldCharType="begin"/>
      </w:r>
      <w:r w:rsidR="00167726">
        <w:instrText xml:space="preserve"> XE "</w:instrText>
      </w:r>
      <w:r w:rsidR="00167726" w:rsidRPr="00167726">
        <w:instrText>druhý averroismus</w:instrText>
      </w:r>
      <w:r w:rsidR="00167726" w:rsidRPr="00D76325">
        <w:rPr>
          <w:i/>
        </w:rPr>
        <w:instrText>:Grammatici</w:instrText>
      </w:r>
      <w:r w:rsidR="00167726">
        <w:instrText xml:space="preserve">" </w:instrText>
      </w:r>
      <w:r w:rsidR="00167726">
        <w:rPr>
          <w:i/>
        </w:rPr>
        <w:fldChar w:fldCharType="end"/>
      </w:r>
      <w:r w:rsidR="08370EE5">
        <w:t xml:space="preserve"> (kap. 2</w:t>
      </w:r>
      <w:r w:rsidR="008D358E" w:rsidRPr="00273106">
        <w:t>.3</w:t>
      </w:r>
      <w:r w:rsidR="00D548D9">
        <w:t>.2</w:t>
      </w:r>
      <w:r w:rsidR="008D358E" w:rsidRPr="00273106">
        <w:t>)</w:t>
      </w:r>
      <w:r w:rsidR="08CF4483" w:rsidRPr="00273106">
        <w:t>. Ti</w:t>
      </w:r>
      <w:r w:rsidR="08AF7C84" w:rsidRPr="00273106">
        <w:t xml:space="preserve">to sofisté </w:t>
      </w:r>
      <w:r w:rsidR="080460B4" w:rsidRPr="00273106">
        <w:t xml:space="preserve">přestali rozlišovat mezi </w:t>
      </w:r>
      <w:r w:rsidR="08131347">
        <w:t>hyparchi</w:t>
      </w:r>
      <w:r w:rsidR="08E83158">
        <w:t>c</w:t>
      </w:r>
      <w:r w:rsidR="08131347">
        <w:t xml:space="preserve">kou </w:t>
      </w:r>
      <w:r w:rsidR="080460B4" w:rsidRPr="00273106">
        <w:t xml:space="preserve">inherencí </w:t>
      </w:r>
      <w:r w:rsidR="08AD077A" w:rsidRPr="00273106">
        <w:t xml:space="preserve">vlastnosti </w:t>
      </w:r>
      <w:r w:rsidR="08131347">
        <w:t xml:space="preserve">v </w:t>
      </w:r>
      <w:r w:rsidR="08AD077A" w:rsidRPr="00273106">
        <w:t xml:space="preserve">první substanci </w:t>
      </w:r>
      <w:r w:rsidR="008D358E" w:rsidRPr="00273106">
        <w:t>(</w:t>
      </w:r>
      <w:r w:rsidR="008D358E" w:rsidRPr="00273106">
        <w:rPr>
          <w:i/>
        </w:rPr>
        <w:t>esse in subjecto</w:t>
      </w:r>
      <w:r w:rsidR="008D358E" w:rsidRPr="00273106">
        <w:t xml:space="preserve">) </w:t>
      </w:r>
      <w:r w:rsidR="080460B4" w:rsidRPr="00273106">
        <w:t xml:space="preserve">a </w:t>
      </w:r>
      <w:r w:rsidR="08AD077A" w:rsidRPr="00273106">
        <w:t xml:space="preserve">mezi </w:t>
      </w:r>
      <w:r w:rsidR="080460B4" w:rsidRPr="00273106">
        <w:t xml:space="preserve">univerzální predikací </w:t>
      </w:r>
      <w:r w:rsidR="08131347">
        <w:t xml:space="preserve">této vlastnosti ve </w:t>
      </w:r>
      <w:r w:rsidR="08AD077A" w:rsidRPr="00273106">
        <w:t xml:space="preserve">druhé substanci </w:t>
      </w:r>
      <w:r w:rsidR="000C7ED6" w:rsidRPr="00273106">
        <w:t>(</w:t>
      </w:r>
      <w:r w:rsidR="000C7ED6" w:rsidRPr="00273106">
        <w:rPr>
          <w:i/>
        </w:rPr>
        <w:t>inhaerere subjecto</w:t>
      </w:r>
      <w:r w:rsidR="000C7ED6" w:rsidRPr="00273106">
        <w:t>)</w:t>
      </w:r>
      <w:r w:rsidR="00213FE7" w:rsidRPr="00273106">
        <w:t xml:space="preserve">. </w:t>
      </w:r>
      <w:r w:rsidR="00F77652">
        <w:t>S</w:t>
      </w:r>
      <w:r w:rsidR="00A64735">
        <w:t xml:space="preserve">ofista se </w:t>
      </w:r>
      <w:r w:rsidR="004D35EF" w:rsidRPr="00273106">
        <w:t xml:space="preserve">marně </w:t>
      </w:r>
      <w:r w:rsidR="005E467C" w:rsidRPr="00273106">
        <w:t xml:space="preserve">zkouší </w:t>
      </w:r>
      <w:r w:rsidR="08E934ED">
        <w:t xml:space="preserve">predikovat </w:t>
      </w:r>
      <w:r w:rsidR="005E467C" w:rsidRPr="00273106">
        <w:t xml:space="preserve">reálný </w:t>
      </w:r>
      <w:r w:rsidR="005E467C" w:rsidRPr="00273106">
        <w:rPr>
          <w:i/>
        </w:rPr>
        <w:t>actus essendi</w:t>
      </w:r>
      <w:r w:rsidR="000A2302">
        <w:rPr>
          <w:i/>
        </w:rPr>
        <w:fldChar w:fldCharType="begin"/>
      </w:r>
      <w:r w:rsidR="000A2302">
        <w:instrText xml:space="preserve"> XE "</w:instrText>
      </w:r>
      <w:r w:rsidR="000A2302" w:rsidRPr="006D3950">
        <w:rPr>
          <w:i/>
        </w:rPr>
        <w:instrText>actus essendi</w:instrText>
      </w:r>
      <w:r w:rsidR="000A2302">
        <w:instrText xml:space="preserve">" </w:instrText>
      </w:r>
      <w:r w:rsidR="000A2302">
        <w:rPr>
          <w:i/>
        </w:rPr>
        <w:fldChar w:fldCharType="end"/>
      </w:r>
      <w:r w:rsidR="005E467C" w:rsidRPr="00273106">
        <w:t xml:space="preserve"> první substance</w:t>
      </w:r>
      <w:r w:rsidR="00F861AB">
        <w:t xml:space="preserve">. </w:t>
      </w:r>
      <w:r w:rsidR="00865565">
        <w:t xml:space="preserve">Zmizení osoby a její náhrada za sofistické simulákrum </w:t>
      </w:r>
      <w:r w:rsidR="000803A1">
        <w:t xml:space="preserve">jistě </w:t>
      </w:r>
      <w:r w:rsidR="00865565">
        <w:t>nenechala</w:t>
      </w:r>
      <w:r w:rsidR="00F861AB">
        <w:t xml:space="preserve"> </w:t>
      </w:r>
      <w:r w:rsidR="005F0159">
        <w:t xml:space="preserve">křesťanské </w:t>
      </w:r>
      <w:r w:rsidR="00F861AB">
        <w:t>představit</w:t>
      </w:r>
      <w:r w:rsidR="000803A1">
        <w:t>ele Pařížské univerzity v</w:t>
      </w:r>
      <w:r w:rsidR="00865565">
        <w:t>e stoickém</w:t>
      </w:r>
      <w:r w:rsidR="000803A1">
        <w:t xml:space="preserve"> klidu</w:t>
      </w:r>
      <w:r w:rsidR="08E934ED">
        <w:t>, protože se píše rok 1245</w:t>
      </w:r>
      <w:r w:rsidR="000803A1">
        <w:t xml:space="preserve">. </w:t>
      </w:r>
      <w:r w:rsidR="0817138B">
        <w:t xml:space="preserve">Nominalista </w:t>
      </w:r>
      <w:r w:rsidR="00F861AB">
        <w:t xml:space="preserve">Rufus zrušil </w:t>
      </w:r>
      <w:r w:rsidR="0817138B">
        <w:t xml:space="preserve">v kategoriální predikaci hyparchickou </w:t>
      </w:r>
      <w:r w:rsidR="00F861AB">
        <w:t xml:space="preserve">existenci osoby </w:t>
      </w:r>
      <w:r w:rsidR="084A50D0">
        <w:t>(</w:t>
      </w:r>
      <w:r w:rsidR="084A50D0" w:rsidRPr="084A50D0">
        <w:rPr>
          <w:i/>
        </w:rPr>
        <w:t>idem est dictu</w:t>
      </w:r>
      <w:r w:rsidR="084A50D0">
        <w:t xml:space="preserve">) </w:t>
      </w:r>
      <w:r w:rsidR="00F861AB">
        <w:t xml:space="preserve">a </w:t>
      </w:r>
      <w:r w:rsidR="0817138B">
        <w:t xml:space="preserve">bránil </w:t>
      </w:r>
      <w:r w:rsidR="00337EAB" w:rsidRPr="00273106">
        <w:t>definici osoby</w:t>
      </w:r>
      <w:r w:rsidR="00B8058A" w:rsidRPr="00273106">
        <w:t xml:space="preserve"> v </w:t>
      </w:r>
      <w:r w:rsidR="084A50D0">
        <w:t>porretánském m</w:t>
      </w:r>
      <w:r w:rsidR="000803A1">
        <w:t xml:space="preserve">odu </w:t>
      </w:r>
      <w:r w:rsidR="00B8058A" w:rsidRPr="00273106">
        <w:rPr>
          <w:i/>
        </w:rPr>
        <w:t>humanare</w:t>
      </w:r>
      <w:r w:rsidR="006C3C40">
        <w:fldChar w:fldCharType="begin"/>
      </w:r>
      <w:r w:rsidR="006C3C40">
        <w:instrText xml:space="preserve"> XE "</w:instrText>
      </w:r>
      <w:r w:rsidR="006C3C40" w:rsidRPr="00D1348E">
        <w:instrText>osoba:Rufus</w:instrText>
      </w:r>
      <w:r w:rsidR="006C3C40">
        <w:instrText xml:space="preserve">" </w:instrText>
      </w:r>
      <w:r w:rsidR="006C3C40">
        <w:fldChar w:fldCharType="end"/>
      </w:r>
      <w:r w:rsidR="00337EAB" w:rsidRPr="00273106">
        <w:t>.</w:t>
      </w:r>
      <w:r w:rsidR="00B8058A" w:rsidRPr="00273106">
        <w:rPr>
          <w:rStyle w:val="Znakapoznpodarou"/>
        </w:rPr>
        <w:footnoteReference w:id="470"/>
      </w:r>
      <w:r w:rsidR="00B8058A" w:rsidRPr="00273106">
        <w:t xml:space="preserve"> </w:t>
      </w:r>
      <w:r w:rsidR="081F00EA">
        <w:t>Věta o objektivní a zcela konkrétní moderní humanizaci (</w:t>
      </w:r>
      <w:r w:rsidR="081F00EA" w:rsidRPr="081F00EA">
        <w:rPr>
          <w:i/>
        </w:rPr>
        <w:t>hoc verbum ‘</w:t>
      </w:r>
      <w:r w:rsidR="081F00EA">
        <w:rPr>
          <w:i/>
        </w:rPr>
        <w:t>humanatur’, quod concretum est</w:t>
      </w:r>
      <w:r w:rsidR="081F00EA" w:rsidRPr="081F00EA">
        <w:t>)</w:t>
      </w:r>
      <w:r w:rsidR="081F00EA">
        <w:rPr>
          <w:i/>
        </w:rPr>
        <w:t xml:space="preserve"> </w:t>
      </w:r>
      <w:r w:rsidR="081F00EA">
        <w:t>má prorocký charakter. Rufus změnil člověka na neexistující substanci třetího druhu, kterou je možno libovolně manipulovat a abstraktně matematicky kvantifikovat (</w:t>
      </w:r>
      <w:r w:rsidR="081F00EA" w:rsidRPr="081F00EA">
        <w:rPr>
          <w:i/>
        </w:rPr>
        <w:t>intelligatur ipsa forma per modum concretionis et qualificantis</w:t>
      </w:r>
      <w:r w:rsidR="081F00EA">
        <w:t xml:space="preserve">). Toto </w:t>
      </w:r>
      <w:r w:rsidR="00241081" w:rsidRPr="00273106">
        <w:t>nihil</w:t>
      </w:r>
      <w:r w:rsidR="081F00EA">
        <w:t xml:space="preserve">isticky pojaté konkrétno </w:t>
      </w:r>
      <w:r w:rsidR="00241081" w:rsidRPr="00273106">
        <w:t xml:space="preserve">se humanizuje díky </w:t>
      </w:r>
      <w:r w:rsidR="0016576F" w:rsidRPr="00616116">
        <w:rPr>
          <w:i/>
        </w:rPr>
        <w:t>ad hoc</w:t>
      </w:r>
      <w:r w:rsidR="00616116">
        <w:t xml:space="preserve"> přidaných určení</w:t>
      </w:r>
      <w:r w:rsidR="0016576F">
        <w:t xml:space="preserve"> </w:t>
      </w:r>
      <w:r w:rsidR="00616116">
        <w:t xml:space="preserve">skrze konkrétní predikaci </w:t>
      </w:r>
      <w:r w:rsidR="0016576F">
        <w:t>různých hypostází</w:t>
      </w:r>
      <w:r w:rsidR="00241081" w:rsidRPr="00273106">
        <w:t xml:space="preserve">. </w:t>
      </w:r>
      <w:r w:rsidR="086D7778">
        <w:t xml:space="preserve">V posledních časech korporátního kapitalismu </w:t>
      </w:r>
      <w:r w:rsidR="08E17B3D">
        <w:t xml:space="preserve">Rufusovu </w:t>
      </w:r>
      <w:r w:rsidR="086D7778">
        <w:t xml:space="preserve">konkétní definici člověka nahradil nihilistický termín „lidské zdroje“. </w:t>
      </w:r>
      <w:r w:rsidR="00241081" w:rsidRPr="00273106">
        <w:t>Proti tomuto určení moderního humanismu Dante</w:t>
      </w:r>
      <w:r w:rsidR="00DB7D90">
        <w:fldChar w:fldCharType="begin"/>
      </w:r>
      <w:r w:rsidR="00DB7D90">
        <w:instrText xml:space="preserve"> XE "</w:instrText>
      </w:r>
      <w:r w:rsidR="00DB7D90" w:rsidRPr="00E871B9">
        <w:instrText>Dante, A.</w:instrText>
      </w:r>
      <w:r w:rsidR="00DB7D90">
        <w:instrText xml:space="preserve">" </w:instrText>
      </w:r>
      <w:r w:rsidR="00DB7D90">
        <w:fldChar w:fldCharType="end"/>
      </w:r>
      <w:r w:rsidR="00241081" w:rsidRPr="00273106">
        <w:t xml:space="preserve"> postavil v návaznosti na Sigera z Brabantu a na jeho skutečně averroistickou interpretaci </w:t>
      </w:r>
      <w:r w:rsidR="00241081"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16576F">
        <w:instrText>:Dante</w:instrText>
      </w:r>
      <w:r w:rsidR="009D323B">
        <w:instrText xml:space="preserve">" </w:instrText>
      </w:r>
      <w:r w:rsidR="009D323B">
        <w:rPr>
          <w:i/>
        </w:rPr>
        <w:fldChar w:fldCharType="end"/>
      </w:r>
      <w:r w:rsidR="00241081" w:rsidRPr="00273106">
        <w:t xml:space="preserve"> zcela odlišný koncept humanity a j</w:t>
      </w:r>
      <w:r w:rsidR="084E026F">
        <w:t>ednoty lidského rodu (</w:t>
      </w:r>
      <w:r w:rsidR="08370EE5">
        <w:t>OBJ III, kap. 4</w:t>
      </w:r>
      <w:r w:rsidR="084E026F">
        <w:t>.4.3</w:t>
      </w:r>
      <w:r w:rsidR="00241081" w:rsidRPr="00273106">
        <w:t xml:space="preserve">). </w:t>
      </w:r>
      <w:r w:rsidR="08EB16C0" w:rsidRPr="00273106">
        <w:t xml:space="preserve">Rufus tuto </w:t>
      </w:r>
      <w:r w:rsidR="08EB16C0">
        <w:t xml:space="preserve">moderní vizi moderního </w:t>
      </w:r>
      <w:r w:rsidR="08EB16C0" w:rsidRPr="00273106">
        <w:t xml:space="preserve">člověka </w:t>
      </w:r>
      <w:r w:rsidR="08EB16C0">
        <w:t>nazývá po vzoru předešlých spisů termínem „konkrétní predikace“</w:t>
      </w:r>
      <w:r w:rsidR="08EB16C0" w:rsidRPr="00273106">
        <w:t xml:space="preserve"> (</w:t>
      </w:r>
      <w:r w:rsidR="08EB16C0" w:rsidRPr="00273106">
        <w:rPr>
          <w:i/>
        </w:rPr>
        <w:t>concretive praedicatur</w:t>
      </w:r>
      <w:r w:rsidR="08EB16C0" w:rsidRPr="00273106">
        <w:t xml:space="preserve">, </w:t>
      </w:r>
      <w:r w:rsidR="08EB16C0">
        <w:t xml:space="preserve">ibid </w:t>
      </w:r>
      <w:r w:rsidR="08EB16C0" w:rsidRPr="00273106">
        <w:t>129.349</w:t>
      </w:r>
      <w:r w:rsidR="08EB16C0">
        <w:fldChar w:fldCharType="begin"/>
      </w:r>
      <w:r w:rsidR="08EB16C0">
        <w:instrText xml:space="preserve"> XE "Rufus:</w:instrText>
      </w:r>
      <w:r w:rsidR="08EB16C0" w:rsidRPr="00AE4C43">
        <w:rPr>
          <w:i/>
        </w:rPr>
        <w:instrText>Speculum animae</w:instrText>
      </w:r>
      <w:r w:rsidR="08EB16C0">
        <w:rPr>
          <w:i/>
        </w:rPr>
        <w:instrText xml:space="preserve"> </w:instrText>
      </w:r>
      <w:r w:rsidR="08EB16C0" w:rsidRPr="00AE4C43">
        <w:instrText>12</w:instrText>
      </w:r>
      <w:r w:rsidR="08EB16C0">
        <w:instrText>9</w:instrText>
      </w:r>
      <w:r w:rsidR="08EB16C0" w:rsidRPr="00AE4C43">
        <w:instrText>.</w:instrText>
      </w:r>
      <w:r w:rsidR="08EB16C0">
        <w:instrText xml:space="preserve">349" </w:instrText>
      </w:r>
      <w:r w:rsidR="08EB16C0">
        <w:fldChar w:fldCharType="end"/>
      </w:r>
      <w:r w:rsidR="08EB16C0" w:rsidRPr="00273106">
        <w:t>)</w:t>
      </w:r>
      <w:r w:rsidR="08EB16C0">
        <w:t xml:space="preserve">. </w:t>
      </w:r>
      <w:r w:rsidR="08EB16C0" w:rsidRPr="00273106">
        <w:t>T</w:t>
      </w:r>
      <w:r w:rsidR="08EB16C0">
        <w:t>ehdejší skutečné vzdělance Rufus nepřesvědčil, protože ti četli CMDA v duchu aristotelismu a věděli, jak je založena skutečná jednota osoby. Rufus se pokoušel zcela moderně určit, co je člověk jako objektivní nominalistická hypostáz</w:t>
      </w:r>
      <w:r w:rsidR="08AC5CBD">
        <w:t xml:space="preserve">e, a nikoliv jak myslí </w:t>
      </w:r>
      <w:r w:rsidR="08EB16C0">
        <w:t xml:space="preserve">v existenciálním </w:t>
      </w:r>
      <w:r w:rsidR="08EB16C0" w:rsidRPr="088405FA">
        <w:rPr>
          <w:i/>
        </w:rPr>
        <w:t>actus essendi</w:t>
      </w:r>
      <w:r w:rsidR="08EB16C0">
        <w:t xml:space="preserve">. </w:t>
      </w:r>
      <w:r w:rsidR="00EE22E5">
        <w:t xml:space="preserve">Konkrétní predikace </w:t>
      </w:r>
      <w:r w:rsidR="00DB7D90">
        <w:t xml:space="preserve">hájená v díle </w:t>
      </w:r>
      <w:r w:rsidR="00DB7D90" w:rsidRPr="00DB7D90">
        <w:rPr>
          <w:i/>
        </w:rPr>
        <w:t>Speculum animae</w:t>
      </w:r>
      <w:r w:rsidR="00DB7D90">
        <w:t xml:space="preserve"> </w:t>
      </w:r>
      <w:r w:rsidR="00EE22E5">
        <w:t xml:space="preserve">představuje z hlediska </w:t>
      </w:r>
      <w:r w:rsidR="00C7344A">
        <w:t xml:space="preserve">kategoriální </w:t>
      </w:r>
      <w:r w:rsidR="002F5BF3">
        <w:t xml:space="preserve">impozice </w:t>
      </w:r>
      <w:r w:rsidR="00AE44DF">
        <w:t xml:space="preserve">typické sofisma dané mylným přechodem od abstraktní </w:t>
      </w:r>
      <w:r w:rsidR="00860606">
        <w:t xml:space="preserve">logické definice </w:t>
      </w:r>
      <w:r w:rsidR="00AE44DF">
        <w:t>k první substanci (</w:t>
      </w:r>
      <w:r w:rsidR="00AE44DF" w:rsidRPr="00AE44DF">
        <w:rPr>
          <w:i/>
        </w:rPr>
        <w:t>fallacia secundum quid et simplic</w:t>
      </w:r>
      <w:r w:rsidR="000835F7">
        <w:rPr>
          <w:i/>
        </w:rPr>
        <w:t>i</w:t>
      </w:r>
      <w:r w:rsidR="00AE44DF" w:rsidRPr="00AE44DF">
        <w:rPr>
          <w:i/>
        </w:rPr>
        <w:t>ter</w:t>
      </w:r>
      <w:r w:rsidR="00A120B9">
        <w:rPr>
          <w:i/>
        </w:rPr>
        <w:fldChar w:fldCharType="begin"/>
      </w:r>
      <w:r w:rsidR="00A120B9">
        <w:instrText xml:space="preserve"> XE "</w:instrText>
      </w:r>
      <w:r w:rsidR="00A120B9" w:rsidRPr="00027DD3">
        <w:rPr>
          <w:i/>
        </w:rPr>
        <w:instrText>fallacia secundum quid et simpliciter</w:instrText>
      </w:r>
      <w:r w:rsidR="00A120B9">
        <w:instrText xml:space="preserve">" </w:instrText>
      </w:r>
      <w:r w:rsidR="00A120B9">
        <w:rPr>
          <w:i/>
        </w:rPr>
        <w:fldChar w:fldCharType="end"/>
      </w:r>
      <w:r w:rsidR="00AE44DF">
        <w:t>)</w:t>
      </w:r>
      <w:r w:rsidR="003C7220">
        <w:t xml:space="preserve">. </w:t>
      </w:r>
      <w:r w:rsidR="081526B9">
        <w:t xml:space="preserve">Tento omyl </w:t>
      </w:r>
      <w:r w:rsidR="00D52A1E">
        <w:t xml:space="preserve">ukazují </w:t>
      </w:r>
      <w:r w:rsidR="00D52A1E" w:rsidRPr="00273106">
        <w:t>postmoderní analýzy tzv. „</w:t>
      </w:r>
      <w:r w:rsidR="00D52A1E" w:rsidRPr="00273106">
        <w:rPr>
          <w:i/>
        </w:rPr>
        <w:t>instantiation</w:t>
      </w:r>
      <w:r w:rsidR="00D52A1E">
        <w:rPr>
          <w:i/>
        </w:rPr>
        <w:fldChar w:fldCharType="begin"/>
      </w:r>
      <w:r w:rsidR="00D52A1E">
        <w:instrText xml:space="preserve"> XE "</w:instrText>
      </w:r>
      <w:r w:rsidR="00D52A1E" w:rsidRPr="00A46756">
        <w:rPr>
          <w:i/>
        </w:rPr>
        <w:instrText>instantiation</w:instrText>
      </w:r>
      <w:r w:rsidR="00D52A1E">
        <w:instrText xml:space="preserve">" </w:instrText>
      </w:r>
      <w:r w:rsidR="00D52A1E">
        <w:rPr>
          <w:i/>
        </w:rPr>
        <w:fldChar w:fldCharType="end"/>
      </w:r>
      <w:r w:rsidR="00D52A1E" w:rsidRPr="00273106">
        <w:t>“ a „</w:t>
      </w:r>
      <w:r w:rsidR="00D52A1E" w:rsidRPr="00273106">
        <w:rPr>
          <w:i/>
        </w:rPr>
        <w:t>ontology of properties</w:t>
      </w:r>
      <w:r w:rsidR="00D52A1E">
        <w:rPr>
          <w:i/>
        </w:rPr>
        <w:fldChar w:fldCharType="begin"/>
      </w:r>
      <w:r w:rsidR="00D52A1E">
        <w:instrText xml:space="preserve"> XE "</w:instrText>
      </w:r>
      <w:r w:rsidR="00D52A1E" w:rsidRPr="00C228A0">
        <w:rPr>
          <w:i/>
        </w:rPr>
        <w:instrText>ontology of properties</w:instrText>
      </w:r>
      <w:r w:rsidR="00D52A1E">
        <w:instrText xml:space="preserve">" </w:instrText>
      </w:r>
      <w:r w:rsidR="00D52A1E">
        <w:rPr>
          <w:i/>
        </w:rPr>
        <w:fldChar w:fldCharType="end"/>
      </w:r>
      <w:r w:rsidR="00020917">
        <w:t>“, k ní</w:t>
      </w:r>
      <w:r w:rsidR="00D52A1E" w:rsidRPr="00273106">
        <w:t xml:space="preserve">ž je </w:t>
      </w:r>
      <w:r w:rsidR="00AE776C">
        <w:t xml:space="preserve">v analytické filosofii </w:t>
      </w:r>
      <w:r w:rsidR="08821771">
        <w:t xml:space="preserve">univočně přiřazena i </w:t>
      </w:r>
      <w:r w:rsidR="00D52A1E">
        <w:t xml:space="preserve">logicky </w:t>
      </w:r>
      <w:r w:rsidR="00D52A1E" w:rsidRPr="00273106">
        <w:t>pojatá existence.</w:t>
      </w:r>
      <w:r w:rsidR="00D52A1E" w:rsidRPr="00273106">
        <w:rPr>
          <w:rStyle w:val="Znakapoznpodarou"/>
        </w:rPr>
        <w:footnoteReference w:id="471"/>
      </w:r>
      <w:r w:rsidR="00D52A1E">
        <w:t xml:space="preserve"> </w:t>
      </w:r>
      <w:r w:rsidR="004020FC">
        <w:t xml:space="preserve">Rufus by </w:t>
      </w:r>
      <w:r w:rsidR="004020FC" w:rsidRPr="00273106">
        <w:t>v epoše dokonaného nihilismu zcela jistě uspěl</w:t>
      </w:r>
      <w:r w:rsidR="004020FC">
        <w:t xml:space="preserve"> na většině západních univerzit ovládaných analytickou verzí </w:t>
      </w:r>
      <w:r w:rsidR="087749BF">
        <w:rPr>
          <w:i/>
        </w:rPr>
        <w:t>Oxf</w:t>
      </w:r>
      <w:r w:rsidR="004020FC" w:rsidRPr="00BE4ED5">
        <w:rPr>
          <w:i/>
        </w:rPr>
        <w:t>o</w:t>
      </w:r>
      <w:r w:rsidR="087749BF">
        <w:rPr>
          <w:i/>
        </w:rPr>
        <w:t>r</w:t>
      </w:r>
      <w:r w:rsidR="004020FC" w:rsidRPr="00BE4ED5">
        <w:rPr>
          <w:i/>
        </w:rPr>
        <w:t>dian Fallacy</w:t>
      </w:r>
      <w:r w:rsidR="004020FC">
        <w:t xml:space="preserve">, ale nikoliv mezi skutečnými znalci aristotelské metafyziky </w:t>
      </w:r>
      <w:r w:rsidR="087749BF">
        <w:t xml:space="preserve">okolo roku </w:t>
      </w:r>
      <w:r w:rsidR="004020FC">
        <w:t>1245</w:t>
      </w:r>
      <w:r w:rsidR="004020FC" w:rsidRPr="00273106">
        <w:t>.</w:t>
      </w:r>
      <w:bookmarkStart w:id="132" w:name="_Ref396670490"/>
      <w:r w:rsidR="004020FC" w:rsidRPr="00273106">
        <w:t xml:space="preserve"> </w:t>
      </w:r>
      <w:bookmarkEnd w:id="132"/>
      <w:r w:rsidR="002F5BF3">
        <w:t>Logická supozice</w:t>
      </w:r>
      <w:r w:rsidR="00DB7D90">
        <w:fldChar w:fldCharType="begin"/>
      </w:r>
      <w:r w:rsidR="00DB7D90">
        <w:instrText xml:space="preserve"> XE "</w:instrText>
      </w:r>
      <w:r w:rsidR="00DB7D90" w:rsidRPr="0045563A">
        <w:instrText>supozice:Rufus</w:instrText>
      </w:r>
      <w:r w:rsidR="00DB7D90">
        <w:instrText xml:space="preserve">" </w:instrText>
      </w:r>
      <w:r w:rsidR="00DB7D90">
        <w:fldChar w:fldCharType="end"/>
      </w:r>
      <w:r w:rsidR="002F5BF3">
        <w:t xml:space="preserve"> daná v mysli není </w:t>
      </w:r>
      <w:r w:rsidR="00020917">
        <w:t xml:space="preserve">pro kritickou aristotelskou filosofii totéž, co </w:t>
      </w:r>
      <w:r w:rsidR="002F5BF3">
        <w:t xml:space="preserve">impozice kategoriálního metafyzického významu </w:t>
      </w:r>
      <w:r w:rsidR="00020917">
        <w:t xml:space="preserve">vzatého </w:t>
      </w:r>
      <w:r w:rsidR="002F5BF3">
        <w:t xml:space="preserve">z reality. </w:t>
      </w:r>
      <w:r w:rsidR="0037457A">
        <w:t xml:space="preserve">Alvernus </w:t>
      </w:r>
      <w:r w:rsidR="00685484">
        <w:t xml:space="preserve">v linii Abelarda </w:t>
      </w:r>
      <w:r w:rsidR="0037457A">
        <w:t xml:space="preserve">tuto </w:t>
      </w:r>
      <w:r w:rsidR="0037457A" w:rsidRPr="00273106">
        <w:t>predik</w:t>
      </w:r>
      <w:r w:rsidR="0037457A">
        <w:t xml:space="preserve">aci </w:t>
      </w:r>
      <w:r w:rsidR="0037457A" w:rsidRPr="00273106">
        <w:t>hypostází na logický substrát</w:t>
      </w:r>
      <w:r w:rsidR="0037457A">
        <w:t xml:space="preserve"> přímo kritizoval s</w:t>
      </w:r>
      <w:r w:rsidR="00685484">
        <w:t xml:space="preserve">krze termín </w:t>
      </w:r>
      <w:r w:rsidR="0037457A" w:rsidRPr="0037457A">
        <w:rPr>
          <w:i/>
        </w:rPr>
        <w:t>album albet</w:t>
      </w:r>
      <w:r w:rsidR="0037457A">
        <w:t xml:space="preserve"> </w:t>
      </w:r>
      <w:r w:rsidR="0048343F">
        <w:fldChar w:fldCharType="begin"/>
      </w:r>
      <w:r w:rsidR="0048343F">
        <w:instrText xml:space="preserve"> XE "</w:instrText>
      </w:r>
      <w:r w:rsidR="0048343F" w:rsidRPr="00C63DBA">
        <w:instrText>predikace:běloba</w:instrText>
      </w:r>
      <w:r w:rsidR="0048343F">
        <w:instrText xml:space="preserve">" </w:instrText>
      </w:r>
      <w:r w:rsidR="0048343F">
        <w:fldChar w:fldCharType="end"/>
      </w:r>
      <w:r w:rsidR="08A342C1">
        <w:t>(kap. 2</w:t>
      </w:r>
      <w:r w:rsidR="0037457A">
        <w:t>.3</w:t>
      </w:r>
      <w:r w:rsidR="00D548D9">
        <w:t>.2</w:t>
      </w:r>
      <w:r w:rsidR="0037457A">
        <w:t xml:space="preserve">). </w:t>
      </w:r>
      <w:r w:rsidR="003657AC" w:rsidRPr="00273106">
        <w:t xml:space="preserve">Druhý averroismus nemá ani intencionalitu, ani pojetí existence dané aristotelsky, ani pojetí pravdy jako adekvace, </w:t>
      </w:r>
      <w:r w:rsidR="003C4BAD">
        <w:t xml:space="preserve">a navíc </w:t>
      </w:r>
      <w:r w:rsidR="006920F5">
        <w:t>uzávorkoval první substanci.</w:t>
      </w:r>
    </w:p>
    <w:p w14:paraId="0D673802" w14:textId="7F33AD53" w:rsidR="00C86966" w:rsidRPr="00273106" w:rsidRDefault="003657AC" w:rsidP="00E157A0">
      <w:pPr>
        <w:ind w:firstLine="397"/>
      </w:pPr>
      <w:r w:rsidRPr="00273106">
        <w:t xml:space="preserve">Proto musí Rufus v klíčovém sporu s prvním averroismem definovat nové jsoucno třetího druhu, které založilo způsob myšlení známý jako </w:t>
      </w:r>
      <w:r w:rsidR="00651484">
        <w:t>„</w:t>
      </w:r>
      <w:r w:rsidRPr="00273106">
        <w:rPr>
          <w:i/>
        </w:rPr>
        <w:t>via Modernorum</w:t>
      </w:r>
      <w:r w:rsidR="00651484">
        <w:t>“</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Pr="00273106">
        <w:t xml:space="preserve">. K současníkům Rufuse patřil i neznámý autor oxfordské školy druhého averroismu, který pod vlivem Grossetesteho napsal 19. kapitolu díla </w:t>
      </w:r>
      <w:r w:rsidRPr="00273106">
        <w:rPr>
          <w:i/>
        </w:rPr>
        <w:t>Summa philosophiae</w:t>
      </w:r>
      <w:r w:rsidRPr="00273106">
        <w:t>. Postupoval stejným způsobem a také založil objektivní jsoucno třetího druhu (</w:t>
      </w:r>
      <w:r w:rsidRPr="00273106">
        <w:rPr>
          <w:i/>
        </w:rPr>
        <w:t xml:space="preserve">re in pura potentia et actu et forma essentiali eiusdem potentiae perfectiva, </w:t>
      </w:r>
      <w:r w:rsidR="08DE6CFE">
        <w:t>kap. 3</w:t>
      </w:r>
      <w:r w:rsidRPr="00273106">
        <w:t xml:space="preserve">.1.3). </w:t>
      </w:r>
      <w:r w:rsidR="005B3208" w:rsidRPr="00273106">
        <w:t xml:space="preserve">Rufus tuto definici objektivního jsoucna </w:t>
      </w:r>
      <w:r w:rsidRPr="00273106">
        <w:t>předchází o jednu generaci.</w:t>
      </w:r>
      <w:r w:rsidR="08E056F5">
        <w:t xml:space="preserve"> </w:t>
      </w:r>
      <w:r w:rsidR="00933EED">
        <w:t>V</w:t>
      </w:r>
      <w:r w:rsidR="008C2A41" w:rsidRPr="00273106">
        <w:t xml:space="preserve">ěnujme </w:t>
      </w:r>
      <w:r w:rsidR="00933EED">
        <w:t xml:space="preserve">se </w:t>
      </w:r>
      <w:r w:rsidR="008C2A41" w:rsidRPr="00273106">
        <w:t>k</w:t>
      </w:r>
      <w:r w:rsidR="00AB0EC2" w:rsidRPr="00273106">
        <w:t>líčové</w:t>
      </w:r>
      <w:r w:rsidR="00F20611" w:rsidRPr="00273106">
        <w:t xml:space="preserve"> pasáž</w:t>
      </w:r>
      <w:r w:rsidR="008C2A41" w:rsidRPr="00273106">
        <w:t xml:space="preserve">i v díle </w:t>
      </w:r>
      <w:r w:rsidR="008C2A41" w:rsidRPr="00273106">
        <w:rPr>
          <w:i/>
        </w:rPr>
        <w:t>Speculum animae</w:t>
      </w:r>
      <w:r w:rsidR="00F20611" w:rsidRPr="00273106">
        <w:t xml:space="preserve">, </w:t>
      </w:r>
      <w:r w:rsidR="008C2A41" w:rsidRPr="00273106">
        <w:t xml:space="preserve">v níž </w:t>
      </w:r>
      <w:r w:rsidR="00F20611" w:rsidRPr="00273106">
        <w:t xml:space="preserve">vzniká první koncept moderní </w:t>
      </w:r>
      <w:r w:rsidR="00697F27" w:rsidRPr="00273106">
        <w:t>objektiv</w:t>
      </w:r>
      <w:r w:rsidR="00491E69" w:rsidRPr="00273106">
        <w:t>i</w:t>
      </w:r>
      <w:r w:rsidR="00697F27" w:rsidRPr="00273106">
        <w:t>ty</w:t>
      </w:r>
      <w:r w:rsidR="006E6048" w:rsidRPr="00273106">
        <w:t xml:space="preserve"> skrze </w:t>
      </w:r>
      <w:r w:rsidR="008C2A41" w:rsidRPr="00273106">
        <w:t xml:space="preserve">termín </w:t>
      </w:r>
      <w:r w:rsidR="004B4D52" w:rsidRPr="004B4D52">
        <w:t>species</w:t>
      </w:r>
      <w:r w:rsidR="00697F27" w:rsidRPr="00273106">
        <w:rPr>
          <w:i/>
        </w:rPr>
        <w:t xml:space="preserve"> obiecti exsistentis</w:t>
      </w:r>
      <w:r w:rsidR="0091768A">
        <w:rPr>
          <w:i/>
        </w:rPr>
        <w:fldChar w:fldCharType="begin"/>
      </w:r>
      <w:r w:rsidR="0091768A">
        <w:instrText xml:space="preserve"> XE "</w:instrText>
      </w:r>
      <w:r w:rsidR="0091768A" w:rsidRPr="00C05196">
        <w:rPr>
          <w:i/>
        </w:rPr>
        <w:instrText>species</w:instrText>
      </w:r>
      <w:r w:rsidR="0091768A" w:rsidRPr="00C05196">
        <w:instrText xml:space="preserve"> </w:instrText>
      </w:r>
      <w:r w:rsidR="0091768A" w:rsidRPr="00C05196">
        <w:rPr>
          <w:i/>
        </w:rPr>
        <w:instrText>obiecti exsistentis</w:instrText>
      </w:r>
      <w:r w:rsidR="0091768A">
        <w:instrText xml:space="preserve">" </w:instrText>
      </w:r>
      <w:r w:rsidR="0091768A">
        <w:rPr>
          <w:i/>
        </w:rPr>
        <w:fldChar w:fldCharType="end"/>
      </w:r>
      <w:r w:rsidR="08752855" w:rsidRPr="00273106">
        <w:t xml:space="preserve">. </w:t>
      </w:r>
      <w:r w:rsidR="0034302E">
        <w:t>Tu</w:t>
      </w:r>
      <w:r w:rsidR="00EE069F" w:rsidRPr="00273106">
        <w:t>to o</w:t>
      </w:r>
      <w:r w:rsidR="0034302E">
        <w:t>bjektivně danou</w:t>
      </w:r>
      <w:r w:rsidR="00697F27" w:rsidRPr="00273106">
        <w:t xml:space="preserve"> </w:t>
      </w:r>
      <w:r w:rsidR="004B4D52" w:rsidRPr="004B4D52">
        <w:t>species</w:t>
      </w:r>
      <w:r w:rsidR="00AB0EC2" w:rsidRPr="00273106">
        <w:t xml:space="preserve"> </w:t>
      </w:r>
      <w:r w:rsidR="0034302E">
        <w:t xml:space="preserve">transformovala </w:t>
      </w:r>
      <w:r w:rsidR="00AB0EC2" w:rsidRPr="00273106">
        <w:t xml:space="preserve">následující </w:t>
      </w:r>
      <w:r w:rsidR="00AA438E" w:rsidRPr="00273106">
        <w:t>generace modernistů</w:t>
      </w:r>
      <w:r w:rsidR="00972E7C" w:rsidRPr="00273106">
        <w:t xml:space="preserve"> </w:t>
      </w:r>
      <w:r w:rsidR="001B34E0" w:rsidRPr="00273106">
        <w:t xml:space="preserve">do nové ontoteologie (Bonaventura) a </w:t>
      </w:r>
      <w:r w:rsidR="003445AF">
        <w:t xml:space="preserve">nakonec </w:t>
      </w:r>
      <w:r w:rsidR="00CE4253" w:rsidRPr="00273106">
        <w:t>do nové metafyziky</w:t>
      </w:r>
      <w:r w:rsidR="001B34E0" w:rsidRPr="00273106">
        <w:t xml:space="preserve"> (Scotus)</w:t>
      </w:r>
      <w:r w:rsidR="00F20611" w:rsidRPr="00273106">
        <w:t xml:space="preserve">. </w:t>
      </w:r>
      <w:r w:rsidR="00E473F8" w:rsidRPr="00273106">
        <w:t xml:space="preserve">Následující </w:t>
      </w:r>
      <w:r w:rsidR="0871259A" w:rsidRPr="00273106">
        <w:t xml:space="preserve">citát dokládá první formu objektivního </w:t>
      </w:r>
      <w:r w:rsidR="0034302E">
        <w:t xml:space="preserve">jsoucna </w:t>
      </w:r>
      <w:r w:rsidR="08E056F5">
        <w:t xml:space="preserve">na latinském Západě v modu </w:t>
      </w:r>
      <w:r w:rsidR="08E056F5" w:rsidRPr="08E056F5">
        <w:rPr>
          <w:i/>
        </w:rPr>
        <w:t>alétheia</w:t>
      </w:r>
      <w:r w:rsidR="00105B33">
        <w:t xml:space="preserve">, která </w:t>
      </w:r>
      <w:r w:rsidR="08E36AA6">
        <w:t>ukazuj</w:t>
      </w:r>
      <w:r w:rsidR="00105B33">
        <w:t xml:space="preserve">e </w:t>
      </w:r>
      <w:r w:rsidR="084E7E68">
        <w:t xml:space="preserve">původní </w:t>
      </w:r>
      <w:r w:rsidR="08E36AA6">
        <w:t>nepravdu</w:t>
      </w:r>
      <w:r w:rsidR="00105B33">
        <w:t xml:space="preserve"> objektivity</w:t>
      </w:r>
      <w:r w:rsidR="08E36AA6">
        <w:t>.</w:t>
      </w:r>
    </w:p>
    <w:p w14:paraId="4BDC4BEA" w14:textId="5BE9B6A6" w:rsidR="006C3248" w:rsidRDefault="00031B57" w:rsidP="003B6A31">
      <w:pPr>
        <w:pStyle w:val="Citace"/>
        <w:rPr>
          <w:noProof/>
          <w:lang w:val="cs-CZ"/>
        </w:rPr>
      </w:pPr>
      <w:r w:rsidRPr="00273106">
        <w:rPr>
          <w:noProof/>
          <w:lang w:val="cs-CZ"/>
        </w:rPr>
        <w:t>„</w:t>
      </w:r>
      <w:r w:rsidR="006C3248" w:rsidRPr="00273106">
        <w:rPr>
          <w:noProof/>
          <w:lang w:val="cs-CZ"/>
        </w:rPr>
        <w:t xml:space="preserve">Nyní </w:t>
      </w:r>
      <w:r w:rsidR="009E60AC">
        <w:rPr>
          <w:noProof/>
          <w:lang w:val="cs-CZ"/>
        </w:rPr>
        <w:t>se vracím k</w:t>
      </w:r>
      <w:r w:rsidR="006C3248" w:rsidRPr="00273106">
        <w:rPr>
          <w:noProof/>
          <w:lang w:val="cs-CZ"/>
        </w:rPr>
        <w:t xml:space="preserve"> formě, která </w:t>
      </w:r>
      <w:r w:rsidR="008575FD">
        <w:rPr>
          <w:noProof/>
          <w:lang w:val="cs-CZ"/>
        </w:rPr>
        <w:t xml:space="preserve">je </w:t>
      </w:r>
      <w:r w:rsidR="004B4D52" w:rsidRPr="004B4D52">
        <w:rPr>
          <w:noProof/>
          <w:lang w:val="cs-CZ"/>
        </w:rPr>
        <w:t>species</w:t>
      </w:r>
      <w:r w:rsidR="008575FD">
        <w:rPr>
          <w:noProof/>
          <w:lang w:val="cs-CZ"/>
        </w:rPr>
        <w:t xml:space="preserve"> existující</w:t>
      </w:r>
      <w:r w:rsidR="006F5491">
        <w:rPr>
          <w:noProof/>
          <w:lang w:val="cs-CZ"/>
        </w:rPr>
        <w:t>ho</w:t>
      </w:r>
      <w:r w:rsidR="008575FD">
        <w:rPr>
          <w:noProof/>
          <w:lang w:val="cs-CZ"/>
        </w:rPr>
        <w:t xml:space="preserve"> </w:t>
      </w:r>
      <w:r w:rsidR="006C3248" w:rsidRPr="00273106">
        <w:rPr>
          <w:noProof/>
          <w:lang w:val="cs-CZ"/>
        </w:rPr>
        <w:t>objekt</w:t>
      </w:r>
      <w:r w:rsidR="006F5491">
        <w:rPr>
          <w:noProof/>
          <w:lang w:val="cs-CZ"/>
        </w:rPr>
        <w:t>u</w:t>
      </w:r>
      <w:r w:rsidR="006C3248" w:rsidRPr="00273106">
        <w:rPr>
          <w:noProof/>
          <w:lang w:val="cs-CZ"/>
        </w:rPr>
        <w:t xml:space="preserve"> (</w:t>
      </w:r>
      <w:r w:rsidR="004B4D52" w:rsidRPr="004B4D52">
        <w:rPr>
          <w:noProof/>
          <w:lang w:val="cs-CZ"/>
        </w:rPr>
        <w:t>species</w:t>
      </w:r>
      <w:r w:rsidR="006C3248" w:rsidRPr="00273106">
        <w:rPr>
          <w:i/>
          <w:noProof/>
          <w:lang w:val="cs-CZ"/>
        </w:rPr>
        <w:t xml:space="preserve"> obiecti exsistentis</w:t>
      </w:r>
      <w:r w:rsidR="006C3248" w:rsidRPr="00273106">
        <w:rPr>
          <w:noProof/>
          <w:lang w:val="cs-CZ"/>
        </w:rPr>
        <w:t>). Obecně platí</w:t>
      </w:r>
      <w:r w:rsidR="00BE325C">
        <w:rPr>
          <w:noProof/>
          <w:lang w:val="cs-CZ"/>
        </w:rPr>
        <w:t xml:space="preserve">, </w:t>
      </w:r>
      <w:r w:rsidR="009E60AC">
        <w:rPr>
          <w:noProof/>
          <w:lang w:val="cs-CZ"/>
        </w:rPr>
        <w:t>že</w:t>
      </w:r>
      <w:r w:rsidR="006C3248" w:rsidRPr="00273106">
        <w:rPr>
          <w:noProof/>
          <w:lang w:val="cs-CZ"/>
        </w:rPr>
        <w:t xml:space="preserve"> </w:t>
      </w:r>
      <w:r w:rsidR="00BE325C">
        <w:rPr>
          <w:lang w:val="cs-CZ"/>
        </w:rPr>
        <w:t xml:space="preserve">ať </w:t>
      </w:r>
      <w:r w:rsidR="009E60AC">
        <w:rPr>
          <w:lang w:val="cs-CZ"/>
        </w:rPr>
        <w:t>je smyslová nebo inteligibilní</w:t>
      </w:r>
      <w:r w:rsidR="006C3248" w:rsidRPr="00273106">
        <w:rPr>
          <w:noProof/>
          <w:lang w:val="cs-CZ"/>
        </w:rPr>
        <w:t xml:space="preserve"> forma</w:t>
      </w:r>
      <w:r w:rsidR="009E60AC">
        <w:rPr>
          <w:noProof/>
          <w:lang w:val="cs-CZ"/>
        </w:rPr>
        <w:t>,</w:t>
      </w:r>
      <w:r w:rsidR="006C3248" w:rsidRPr="00273106">
        <w:rPr>
          <w:noProof/>
          <w:lang w:val="cs-CZ"/>
        </w:rPr>
        <w:t xml:space="preserve"> dostává v nové materii i </w:t>
      </w:r>
      <w:r w:rsidR="006F5491">
        <w:rPr>
          <w:noProof/>
          <w:lang w:val="cs-CZ"/>
        </w:rPr>
        <w:t>nový druh bytí</w:t>
      </w:r>
      <w:r w:rsidR="08853B14">
        <w:rPr>
          <w:noProof/>
          <w:lang w:val="cs-CZ"/>
        </w:rPr>
        <w:t xml:space="preserve"> (</w:t>
      </w:r>
      <w:r w:rsidR="08853B14" w:rsidRPr="08853B14">
        <w:rPr>
          <w:i/>
        </w:rPr>
        <w:t>de sua materia nova in qua novum esse acquisivit</w:t>
      </w:r>
      <w:r w:rsidR="08853B14">
        <w:rPr>
          <w:noProof/>
          <w:lang w:val="cs-CZ"/>
        </w:rPr>
        <w:t>)</w:t>
      </w:r>
      <w:r w:rsidR="00D87293">
        <w:rPr>
          <w:noProof/>
          <w:lang w:val="cs-CZ"/>
        </w:rPr>
        <w:t xml:space="preserve">; </w:t>
      </w:r>
      <w:r w:rsidR="08853B14">
        <w:rPr>
          <w:noProof/>
          <w:lang w:val="cs-CZ"/>
        </w:rPr>
        <w:t xml:space="preserve">to </w:t>
      </w:r>
      <w:r w:rsidR="00D87293">
        <w:rPr>
          <w:noProof/>
          <w:lang w:val="cs-CZ"/>
        </w:rPr>
        <w:t xml:space="preserve">se děje </w:t>
      </w:r>
      <w:r w:rsidR="006F5491">
        <w:rPr>
          <w:noProof/>
          <w:lang w:val="cs-CZ"/>
        </w:rPr>
        <w:t xml:space="preserve">skrze abstrakci </w:t>
      </w:r>
      <w:r w:rsidR="006C3248" w:rsidRPr="00273106">
        <w:rPr>
          <w:noProof/>
          <w:lang w:val="cs-CZ"/>
        </w:rPr>
        <w:t xml:space="preserve">od vnějšího objektu daného </w:t>
      </w:r>
      <w:r w:rsidR="00051154">
        <w:rPr>
          <w:noProof/>
          <w:lang w:val="cs-CZ"/>
        </w:rPr>
        <w:t xml:space="preserve">jako </w:t>
      </w:r>
      <w:r w:rsidR="00C86D0D">
        <w:rPr>
          <w:noProof/>
          <w:lang w:val="cs-CZ"/>
        </w:rPr>
        <w:t xml:space="preserve">hmotné </w:t>
      </w:r>
      <w:r w:rsidR="006C3248" w:rsidRPr="00273106">
        <w:rPr>
          <w:noProof/>
          <w:lang w:val="cs-CZ"/>
        </w:rPr>
        <w:t>těles</w:t>
      </w:r>
      <w:r w:rsidR="00051154">
        <w:rPr>
          <w:noProof/>
          <w:lang w:val="cs-CZ"/>
        </w:rPr>
        <w:t>o</w:t>
      </w:r>
      <w:r w:rsidR="083A402D">
        <w:rPr>
          <w:noProof/>
          <w:lang w:val="cs-CZ"/>
        </w:rPr>
        <w:t xml:space="preserve">. </w:t>
      </w:r>
      <w:r w:rsidR="006B17EC">
        <w:rPr>
          <w:noProof/>
          <w:lang w:val="cs-CZ"/>
        </w:rPr>
        <w:t>T</w:t>
      </w:r>
      <w:r w:rsidR="08561F4A">
        <w:rPr>
          <w:noProof/>
          <w:lang w:val="cs-CZ"/>
        </w:rPr>
        <w:t xml:space="preserve">uto </w:t>
      </w:r>
      <w:r w:rsidR="00D87293">
        <w:rPr>
          <w:noProof/>
          <w:lang w:val="cs-CZ"/>
        </w:rPr>
        <w:t xml:space="preserve">objektivní </w:t>
      </w:r>
      <w:r w:rsidR="08561F4A">
        <w:rPr>
          <w:noProof/>
          <w:lang w:val="cs-CZ"/>
        </w:rPr>
        <w:t>formu lze</w:t>
      </w:r>
      <w:r w:rsidR="006B17EC">
        <w:rPr>
          <w:noProof/>
          <w:lang w:val="cs-CZ"/>
        </w:rPr>
        <w:t xml:space="preserve"> </w:t>
      </w:r>
      <w:r w:rsidR="08561F4A">
        <w:rPr>
          <w:noProof/>
          <w:lang w:val="cs-CZ"/>
        </w:rPr>
        <w:t>predikovat</w:t>
      </w:r>
      <w:r w:rsidR="006C3248" w:rsidRPr="00273106">
        <w:rPr>
          <w:noProof/>
          <w:lang w:val="cs-CZ"/>
        </w:rPr>
        <w:t xml:space="preserve"> </w:t>
      </w:r>
      <w:r w:rsidR="085976FF">
        <w:rPr>
          <w:noProof/>
          <w:lang w:val="cs-CZ"/>
        </w:rPr>
        <w:t xml:space="preserve">konkrétně </w:t>
      </w:r>
      <w:r w:rsidR="006C3248" w:rsidRPr="00273106">
        <w:rPr>
          <w:noProof/>
          <w:lang w:val="cs-CZ"/>
        </w:rPr>
        <w:t>v modu podobno</w:t>
      </w:r>
      <w:r w:rsidR="08561F4A">
        <w:rPr>
          <w:noProof/>
          <w:lang w:val="cs-CZ"/>
        </w:rPr>
        <w:t>sti a proporcionality</w:t>
      </w:r>
      <w:r w:rsidR="006C3248" w:rsidRPr="00273106">
        <w:rPr>
          <w:noProof/>
          <w:lang w:val="cs-CZ"/>
        </w:rPr>
        <w:t xml:space="preserve"> (</w:t>
      </w:r>
      <w:r w:rsidR="006C3248" w:rsidRPr="00273106">
        <w:rPr>
          <w:i/>
          <w:noProof/>
          <w:lang w:val="cs-CZ"/>
        </w:rPr>
        <w:t>consimiliter, comproportionaliter concretive de sua</w:t>
      </w:r>
      <w:r w:rsidR="006C3248" w:rsidRPr="00273106">
        <w:rPr>
          <w:noProof/>
          <w:lang w:val="cs-CZ"/>
        </w:rPr>
        <w:t>)</w:t>
      </w:r>
      <w:r w:rsidR="08561F4A">
        <w:rPr>
          <w:noProof/>
          <w:lang w:val="cs-CZ"/>
        </w:rPr>
        <w:t xml:space="preserve">. Je daná </w:t>
      </w:r>
      <w:r w:rsidR="006C3248" w:rsidRPr="00273106">
        <w:rPr>
          <w:noProof/>
          <w:lang w:val="cs-CZ"/>
        </w:rPr>
        <w:t>v</w:t>
      </w:r>
      <w:r w:rsidR="006E41AB">
        <w:rPr>
          <w:noProof/>
          <w:lang w:val="cs-CZ"/>
        </w:rPr>
        <w:t>zhledem ke spirituální materii</w:t>
      </w:r>
      <w:r w:rsidR="08561F4A">
        <w:rPr>
          <w:noProof/>
          <w:lang w:val="cs-CZ"/>
        </w:rPr>
        <w:t xml:space="preserve"> (</w:t>
      </w:r>
      <w:r w:rsidR="08561F4A" w:rsidRPr="08561F4A">
        <w:rPr>
          <w:i/>
        </w:rPr>
        <w:t>materia subtiliori</w:t>
      </w:r>
      <w:r w:rsidR="08561F4A">
        <w:rPr>
          <w:noProof/>
          <w:lang w:val="cs-CZ"/>
        </w:rPr>
        <w:t>)</w:t>
      </w:r>
      <w:r w:rsidR="006E41AB">
        <w:rPr>
          <w:noProof/>
          <w:lang w:val="cs-CZ"/>
        </w:rPr>
        <w:t xml:space="preserve"> a tedy </w:t>
      </w:r>
      <w:r w:rsidR="08561F4A">
        <w:rPr>
          <w:noProof/>
          <w:lang w:val="cs-CZ"/>
        </w:rPr>
        <w:t xml:space="preserve">podobně </w:t>
      </w:r>
      <w:r w:rsidR="006C3248" w:rsidRPr="00273106">
        <w:rPr>
          <w:noProof/>
          <w:lang w:val="cs-CZ"/>
        </w:rPr>
        <w:t>jako výše uvedená forma</w:t>
      </w:r>
      <w:r w:rsidR="006D1210">
        <w:rPr>
          <w:noProof/>
          <w:lang w:val="cs-CZ"/>
        </w:rPr>
        <w:t xml:space="preserve"> (</w:t>
      </w:r>
      <w:r w:rsidR="006D1210" w:rsidRPr="006D1210">
        <w:rPr>
          <w:i/>
        </w:rPr>
        <w:t>illa forma obiecta</w:t>
      </w:r>
      <w:r w:rsidR="006D1210">
        <w:rPr>
          <w:noProof/>
          <w:lang w:val="cs-CZ"/>
        </w:rPr>
        <w:t>)</w:t>
      </w:r>
      <w:r w:rsidR="088E5410">
        <w:rPr>
          <w:noProof/>
          <w:lang w:val="cs-CZ"/>
        </w:rPr>
        <w:t xml:space="preserve">, která existuje ve </w:t>
      </w:r>
      <w:r w:rsidR="006C3248" w:rsidRPr="00273106">
        <w:rPr>
          <w:noProof/>
          <w:lang w:val="cs-CZ"/>
        </w:rPr>
        <w:t xml:space="preserve">vnějších </w:t>
      </w:r>
      <w:r w:rsidR="088E5410">
        <w:rPr>
          <w:noProof/>
          <w:lang w:val="cs-CZ"/>
        </w:rPr>
        <w:t xml:space="preserve">materiálních </w:t>
      </w:r>
      <w:r w:rsidR="006C3248" w:rsidRPr="00273106">
        <w:rPr>
          <w:noProof/>
          <w:lang w:val="cs-CZ"/>
        </w:rPr>
        <w:t>tělesech.</w:t>
      </w:r>
      <w:r w:rsidR="003B6A31" w:rsidRPr="00273106">
        <w:rPr>
          <w:noProof/>
          <w:lang w:val="cs-CZ"/>
        </w:rPr>
        <w:t xml:space="preserve">“ </w:t>
      </w:r>
      <w:r w:rsidR="006C3248" w:rsidRPr="00273106">
        <w:rPr>
          <w:rStyle w:val="Znakapoznpodarou"/>
          <w:noProof/>
          <w:lang w:val="cs-CZ"/>
        </w:rPr>
        <w:footnoteReference w:id="472"/>
      </w:r>
    </w:p>
    <w:p w14:paraId="179D4386" w14:textId="77777777" w:rsidR="00EC04B6" w:rsidRDefault="00B6327D" w:rsidP="001B3168">
      <w:r w:rsidRPr="00273106">
        <w:t xml:space="preserve">Citát zmiňuje </w:t>
      </w:r>
      <w:r>
        <w:t>formu</w:t>
      </w:r>
      <w:r w:rsidRPr="00273106">
        <w:t xml:space="preserve"> </w:t>
      </w:r>
      <w:r>
        <w:t>danou</w:t>
      </w:r>
      <w:r w:rsidRPr="00273106">
        <w:t xml:space="preserve"> v podobě </w:t>
      </w:r>
      <w:r>
        <w:t xml:space="preserve">objektivního </w:t>
      </w:r>
      <w:r w:rsidRPr="00273106">
        <w:t>species (</w:t>
      </w:r>
      <w:r w:rsidRPr="00273106">
        <w:rPr>
          <w:i/>
        </w:rPr>
        <w:t xml:space="preserve">formam quae est </w:t>
      </w:r>
      <w:r w:rsidRPr="004B4D52">
        <w:t>species</w:t>
      </w:r>
      <w:r w:rsidRPr="00273106">
        <w:t>)</w:t>
      </w:r>
      <w:r>
        <w:t>. Tato „</w:t>
      </w:r>
      <w:r w:rsidRPr="00B6327D">
        <w:t>f</w:t>
      </w:r>
      <w:r>
        <w:t xml:space="preserve">orma–species“ </w:t>
      </w:r>
      <w:r w:rsidRPr="00B6327D">
        <w:t>dává nějaký zvláštní druh bytí</w:t>
      </w:r>
      <w:r>
        <w:t xml:space="preserve"> </w:t>
      </w:r>
      <w:r w:rsidRPr="00273106">
        <w:t>„ex</w:t>
      </w:r>
      <w:r>
        <w:t>sistujícímu</w:t>
      </w:r>
      <w:r w:rsidRPr="00273106">
        <w:t xml:space="preserve"> objektu“ (</w:t>
      </w:r>
      <w:r w:rsidRPr="00273106">
        <w:rPr>
          <w:i/>
        </w:rPr>
        <w:t>obiecti exsistentis</w:t>
      </w:r>
      <w:r w:rsidRPr="00273106">
        <w:t>)</w:t>
      </w:r>
      <w:r w:rsidR="00196ECD">
        <w:t>.</w:t>
      </w:r>
      <w:r w:rsidR="008C1F1C">
        <w:t xml:space="preserve"> </w:t>
      </w:r>
      <w:r w:rsidR="00C75CF3">
        <w:t xml:space="preserve">Akt zakládání objektivního jsoucna je dán skrze </w:t>
      </w:r>
      <w:r w:rsidR="00C75CF3" w:rsidRPr="00273106">
        <w:t xml:space="preserve">konkretizaci, tedy </w:t>
      </w:r>
      <w:r w:rsidR="00C75CF3">
        <w:t xml:space="preserve">přesahem </w:t>
      </w:r>
      <w:r w:rsidR="00C75CF3" w:rsidRPr="00273106">
        <w:t>(</w:t>
      </w:r>
      <w:r w:rsidR="00C75CF3" w:rsidRPr="00273106">
        <w:rPr>
          <w:i/>
        </w:rPr>
        <w:t>exsistere</w:t>
      </w:r>
      <w:r w:rsidR="00C75CF3">
        <w:rPr>
          <w:i/>
        </w:rPr>
        <w:fldChar w:fldCharType="begin"/>
      </w:r>
      <w:r w:rsidR="00C75CF3">
        <w:instrText xml:space="preserve"> XE "</w:instrText>
      </w:r>
      <w:r w:rsidR="00C75CF3" w:rsidRPr="008E07A9">
        <w:rPr>
          <w:i/>
        </w:rPr>
        <w:instrText>exsistere</w:instrText>
      </w:r>
      <w:r w:rsidR="00C75CF3">
        <w:instrText xml:space="preserve">" </w:instrText>
      </w:r>
      <w:r w:rsidR="00C75CF3">
        <w:rPr>
          <w:i/>
        </w:rPr>
        <w:fldChar w:fldCharType="end"/>
      </w:r>
      <w:r w:rsidR="00C75CF3" w:rsidRPr="00273106">
        <w:t xml:space="preserve">) </w:t>
      </w:r>
      <w:r w:rsidR="00C75CF3">
        <w:t xml:space="preserve">objektivního </w:t>
      </w:r>
      <w:r w:rsidR="00C75CF3" w:rsidRPr="004B4D52">
        <w:t>species</w:t>
      </w:r>
      <w:r w:rsidR="00C75CF3">
        <w:t xml:space="preserve"> </w:t>
      </w:r>
      <w:r w:rsidR="00C75CF3" w:rsidRPr="00273106">
        <w:t xml:space="preserve">do vnější reality. </w:t>
      </w:r>
      <w:r w:rsidR="00196ECD">
        <w:t xml:space="preserve">Gramaticky daný </w:t>
      </w:r>
      <w:r w:rsidR="00196ECD" w:rsidRPr="00196ECD">
        <w:rPr>
          <w:i/>
        </w:rPr>
        <w:t>genitivus obiectivus</w:t>
      </w:r>
      <w:r w:rsidR="00196ECD">
        <w:t xml:space="preserve"> spojený se species </w:t>
      </w:r>
      <w:r w:rsidR="00196ECD" w:rsidRPr="00196ECD">
        <w:t>(</w:t>
      </w:r>
      <w:r w:rsidR="00196ECD" w:rsidRPr="00196ECD">
        <w:rPr>
          <w:i/>
        </w:rPr>
        <w:t>species obiecti</w:t>
      </w:r>
      <w:r w:rsidR="00196ECD" w:rsidRPr="00196ECD">
        <w:t xml:space="preserve">) znamená, že </w:t>
      </w:r>
      <w:r w:rsidR="00C45920">
        <w:t xml:space="preserve">Rufusovo </w:t>
      </w:r>
      <w:r w:rsidR="00196ECD">
        <w:t xml:space="preserve">species je „hyparchicky“ </w:t>
      </w:r>
      <w:r w:rsidR="00196ECD" w:rsidRPr="00196ECD">
        <w:t>spojen</w:t>
      </w:r>
      <w:r w:rsidR="00196ECD">
        <w:t>o s novým druhem „objektu“</w:t>
      </w:r>
      <w:r w:rsidR="00196ECD" w:rsidRPr="00196ECD">
        <w:t>, který vznikl díky univerzálnímu hylemorfismu.</w:t>
      </w:r>
      <w:r w:rsidR="00196ECD">
        <w:t xml:space="preserve"> Tento objekt je </w:t>
      </w:r>
      <w:r>
        <w:t>složen z objektivní formy a spirituální materie (</w:t>
      </w:r>
      <w:r w:rsidRPr="08561F4A">
        <w:rPr>
          <w:i/>
        </w:rPr>
        <w:t>materia subtiliori</w:t>
      </w:r>
      <w:r>
        <w:t xml:space="preserve">). </w:t>
      </w:r>
      <w:r w:rsidR="00614D1C">
        <w:t xml:space="preserve">Nový „objekt“ dostal </w:t>
      </w:r>
      <w:r w:rsidR="00EF2F3D" w:rsidRPr="00273106">
        <w:t xml:space="preserve">v procesu „exsistence“ </w:t>
      </w:r>
      <w:r w:rsidR="00A80494" w:rsidRPr="00273106">
        <w:t>novou materii a novou formu (</w:t>
      </w:r>
      <w:r w:rsidR="00A80494" w:rsidRPr="00273106">
        <w:rPr>
          <w:i/>
        </w:rPr>
        <w:t>de sua materia nova in qua novum esse acquisivit</w:t>
      </w:r>
      <w:r w:rsidR="00A80494" w:rsidRPr="00273106">
        <w:t xml:space="preserve">). </w:t>
      </w:r>
      <w:r w:rsidR="08F53F98">
        <w:t xml:space="preserve">Tato dedukce představuje </w:t>
      </w:r>
      <w:r w:rsidR="000070D8">
        <w:t>typické pojetí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755AF8">
        <w:t xml:space="preserve"> naroubovaného na porretánské pojetí </w:t>
      </w:r>
      <w:r w:rsidR="004B4D52" w:rsidRPr="004B4D52">
        <w:t>species</w:t>
      </w:r>
      <w:r w:rsidR="08F53F98">
        <w:t xml:space="preserve"> </w:t>
      </w:r>
      <w:r w:rsidR="08654B31">
        <w:t>a predik</w:t>
      </w:r>
      <w:r w:rsidR="08444AD3">
        <w:t>o</w:t>
      </w:r>
      <w:r w:rsidR="08654B31">
        <w:t>v</w:t>
      </w:r>
      <w:r w:rsidR="08444AD3">
        <w:t xml:space="preserve">ané </w:t>
      </w:r>
      <w:r w:rsidR="08F53F98">
        <w:t>v modu avicennistické komitace</w:t>
      </w:r>
      <w:r w:rsidR="08F53F98">
        <w:fldChar w:fldCharType="begin"/>
      </w:r>
      <w:r w:rsidR="08F53F98">
        <w:instrText xml:space="preserve"> XE "</w:instrText>
      </w:r>
      <w:r w:rsidR="08F53F98" w:rsidRPr="081336CB">
        <w:instrText>komitace</w:instrText>
      </w:r>
      <w:r w:rsidR="08F53F98">
        <w:instrText xml:space="preserve">" </w:instrText>
      </w:r>
      <w:r w:rsidR="08F53F98">
        <w:fldChar w:fldCharType="end"/>
      </w:r>
      <w:r w:rsidR="08F53F98">
        <w:t xml:space="preserve">. </w:t>
      </w:r>
      <w:r w:rsidR="08A4568B">
        <w:t>Smyslová nebo inteligibilní</w:t>
      </w:r>
      <w:r w:rsidR="08A4568B" w:rsidRPr="00273106">
        <w:t xml:space="preserve"> forma dostává v nové materii i </w:t>
      </w:r>
      <w:r w:rsidR="08A4568B">
        <w:t xml:space="preserve">nový druh bytí skrze abstrakci </w:t>
      </w:r>
      <w:r w:rsidR="08A4568B" w:rsidRPr="00273106">
        <w:t xml:space="preserve">od </w:t>
      </w:r>
      <w:r w:rsidR="08A4568B">
        <w:t xml:space="preserve">reálné substance. Ale toto abstrahované bytí není dáno v mysli jako aristotelské </w:t>
      </w:r>
      <w:r w:rsidR="004B4D52" w:rsidRPr="004B4D52">
        <w:t>species</w:t>
      </w:r>
      <w:r w:rsidR="08A4568B">
        <w:t>, ale jako porretánská hypostáze, k níž Rufus přidal v modu adekvace také univerzální materii (</w:t>
      </w:r>
      <w:r w:rsidR="08A4568B" w:rsidRPr="08A4568B">
        <w:rPr>
          <w:i/>
        </w:rPr>
        <w:t>praedicatur consimiliter, comproportionaliter concretive de sua, scilicet materia subtiliori</w:t>
      </w:r>
      <w:r w:rsidR="00895900">
        <w:t xml:space="preserve">). Rufus nahradil metafyzickou donaci jsoucna skrze </w:t>
      </w:r>
      <w:r w:rsidR="00895900" w:rsidRPr="00895900">
        <w:rPr>
          <w:i/>
        </w:rPr>
        <w:t>dativus metaphysicus</w:t>
      </w:r>
      <w:r w:rsidR="00895900">
        <w:rPr>
          <w:i/>
        </w:rPr>
        <w:fldChar w:fldCharType="begin"/>
      </w:r>
      <w:r w:rsidR="00895900">
        <w:instrText xml:space="preserve"> XE "</w:instrText>
      </w:r>
      <w:r w:rsidR="00895900" w:rsidRPr="00B80E4C">
        <w:rPr>
          <w:i/>
        </w:rPr>
        <w:instrText>dativus metaphysicus</w:instrText>
      </w:r>
      <w:r w:rsidR="00895900">
        <w:instrText xml:space="preserve">" </w:instrText>
      </w:r>
      <w:r w:rsidR="00895900">
        <w:rPr>
          <w:i/>
        </w:rPr>
        <w:fldChar w:fldCharType="end"/>
      </w:r>
      <w:r w:rsidR="00895900" w:rsidRPr="00895900">
        <w:t xml:space="preserve"> moderním druhem </w:t>
      </w:r>
      <w:r w:rsidR="00895900">
        <w:t xml:space="preserve">donace dané skrze </w:t>
      </w:r>
      <w:r w:rsidR="00895900" w:rsidRPr="00895900">
        <w:rPr>
          <w:i/>
        </w:rPr>
        <w:t>genitivus subiectivus</w:t>
      </w:r>
      <w:r w:rsidR="00895900" w:rsidRPr="00895900">
        <w:t xml:space="preserve">. </w:t>
      </w:r>
      <w:r w:rsidR="00895900">
        <w:t>Tím z</w:t>
      </w:r>
      <w:r w:rsidR="00895900" w:rsidRPr="00895900">
        <w:t xml:space="preserve">avedl mytologickou donaci bytí, která vytváří objektivní </w:t>
      </w:r>
      <w:r w:rsidR="00895900" w:rsidRPr="00895900">
        <w:rPr>
          <w:i/>
        </w:rPr>
        <w:t>tertium ens</w:t>
      </w:r>
      <w:r w:rsidR="00895900" w:rsidRPr="00895900">
        <w:t>.</w:t>
      </w:r>
      <w:r w:rsidR="00895900">
        <w:t xml:space="preserve"> </w:t>
      </w:r>
      <w:r w:rsidR="00E62B7A">
        <w:t xml:space="preserve">Tato </w:t>
      </w:r>
      <w:r w:rsidR="00370CDF">
        <w:t xml:space="preserve">moderní </w:t>
      </w:r>
      <w:r w:rsidR="00895900">
        <w:t xml:space="preserve">produkce </w:t>
      </w:r>
      <w:r w:rsidR="00E62B7A">
        <w:t xml:space="preserve">jsoucna v modu </w:t>
      </w:r>
      <w:r w:rsidR="00E62B7A" w:rsidRPr="00755AF8">
        <w:rPr>
          <w:i/>
        </w:rPr>
        <w:t>tertium ens</w:t>
      </w:r>
      <w:r w:rsidR="00E62B7A">
        <w:t xml:space="preserve"> je </w:t>
      </w:r>
      <w:r w:rsidR="00370CDF">
        <w:t xml:space="preserve">pro </w:t>
      </w:r>
      <w:r w:rsidR="00E62B7A">
        <w:t>první averroismu</w:t>
      </w:r>
      <w:r w:rsidR="00370CDF">
        <w:t>s</w:t>
      </w:r>
      <w:r w:rsidR="00E62B7A">
        <w:t xml:space="preserve"> jasným nesmyslem a představuje fatální metafyzický omyl, který zmiňuje Bacon (</w:t>
      </w:r>
      <w:r w:rsidR="00E62B7A" w:rsidRPr="00755AF8">
        <w:rPr>
          <w:i/>
        </w:rPr>
        <w:t>contradictum naturali philosophiae et metaphysicae Aristotelis per Avicennae et Averrois expositores</w:t>
      </w:r>
      <w:r w:rsidR="00E62B7A">
        <w:t>).</w:t>
      </w:r>
      <w:r w:rsidR="08444AD3">
        <w:t xml:space="preserve"> </w:t>
      </w:r>
      <w:r w:rsidR="00291093" w:rsidRPr="00291093">
        <w:t xml:space="preserve">Hermeneutická archeologie sleduje skrytou proměnu metafyzické </w:t>
      </w:r>
      <w:r w:rsidR="00291093" w:rsidRPr="00291093">
        <w:rPr>
          <w:i/>
        </w:rPr>
        <w:t>veritas</w:t>
      </w:r>
      <w:r w:rsidR="00291093" w:rsidRPr="00291093">
        <w:t xml:space="preserve">, která se stala objektivní </w:t>
      </w:r>
      <w:r w:rsidR="00291093" w:rsidRPr="00291093">
        <w:rPr>
          <w:i/>
        </w:rPr>
        <w:t>veritas</w:t>
      </w:r>
      <w:r w:rsidR="00291093" w:rsidRPr="00291093">
        <w:t xml:space="preserve"> díky </w:t>
      </w:r>
      <w:r w:rsidR="00291093" w:rsidRPr="00291093">
        <w:rPr>
          <w:i/>
        </w:rPr>
        <w:t>genitivus subiectivus</w:t>
      </w:r>
      <w:r w:rsidR="00291093">
        <w:t xml:space="preserve"> zavedeného Rufem. Pod vlivem Fúrií, které se staly</w:t>
      </w:r>
      <w:r w:rsidR="00291093" w:rsidRPr="00291093">
        <w:t xml:space="preserve"> subjektivní silou objektivního myšlení, Rufus vytvořil </w:t>
      </w:r>
      <w:r w:rsidR="00291093">
        <w:t>dvojníka reality. Tím z</w:t>
      </w:r>
      <w:r w:rsidR="00291093" w:rsidRPr="00291093">
        <w:t xml:space="preserve">aložil paranoidní metafyziku </w:t>
      </w:r>
      <w:r w:rsidR="00291093">
        <w:t>moderny</w:t>
      </w:r>
      <w:r w:rsidR="00291093" w:rsidRPr="00291093">
        <w:t>.</w:t>
      </w:r>
      <w:r w:rsidR="00291093">
        <w:t xml:space="preserve"> </w:t>
      </w:r>
      <w:r w:rsidR="084768EE" w:rsidRPr="00273106">
        <w:t>Toto zdvojené bytí</w:t>
      </w:r>
      <w:r w:rsidR="084768EE">
        <w:fldChar w:fldCharType="begin"/>
      </w:r>
      <w:r w:rsidR="084768EE">
        <w:instrText xml:space="preserve"> XE "</w:instrText>
      </w:r>
      <w:r w:rsidR="084768EE" w:rsidRPr="000651FC">
        <w:instrText>zdvojení bytí</w:instrText>
      </w:r>
      <w:r w:rsidR="084768EE">
        <w:instrText xml:space="preserve">" </w:instrText>
      </w:r>
      <w:r w:rsidR="084768EE">
        <w:fldChar w:fldCharType="end"/>
      </w:r>
      <w:r w:rsidR="084768EE" w:rsidRPr="00273106">
        <w:t xml:space="preserve"> odsoudil Albert jako typický výplod averroistů (</w:t>
      </w:r>
      <w:r w:rsidR="084768EE" w:rsidRPr="00273106">
        <w:rPr>
          <w:i/>
        </w:rPr>
        <w:t>hoc et hoc esse materiam et formam</w:t>
      </w:r>
      <w:r w:rsidR="08654B31">
        <w:t>, kap. 2</w:t>
      </w:r>
      <w:r w:rsidR="084768EE" w:rsidRPr="00273106">
        <w:t xml:space="preserve">.3.3). Zdvojení reality </w:t>
      </w:r>
      <w:r w:rsidR="084768EE">
        <w:fldChar w:fldCharType="begin"/>
      </w:r>
      <w:r w:rsidR="084768EE">
        <w:instrText xml:space="preserve"> XE "zdvojení</w:instrText>
      </w:r>
      <w:r w:rsidR="084768EE" w:rsidRPr="00554044">
        <w:instrText xml:space="preserve"> bytí</w:instrText>
      </w:r>
      <w:r w:rsidR="084768EE">
        <w:instrText xml:space="preserve">" </w:instrText>
      </w:r>
      <w:r w:rsidR="084768EE">
        <w:fldChar w:fldCharType="end"/>
      </w:r>
      <w:r w:rsidR="085D35C4">
        <w:t xml:space="preserve">považuje za výplod </w:t>
      </w:r>
      <w:r w:rsidR="08A01AF3">
        <w:t xml:space="preserve">modernistických </w:t>
      </w:r>
      <w:r w:rsidR="085D35C4">
        <w:t>škol, které</w:t>
      </w:r>
      <w:r w:rsidR="084768EE" w:rsidRPr="00273106">
        <w:t xml:space="preserve"> </w:t>
      </w:r>
      <w:r w:rsidR="085D35C4">
        <w:t>nepochopily</w:t>
      </w:r>
      <w:r w:rsidR="084768EE" w:rsidRPr="00273106">
        <w:t xml:space="preserve"> Aristotela</w:t>
      </w:r>
      <w:r w:rsidR="084768EE">
        <w:t xml:space="preserve"> a </w:t>
      </w:r>
      <w:r w:rsidR="085D35C4">
        <w:t>vnesly</w:t>
      </w:r>
      <w:r w:rsidR="084768EE">
        <w:t xml:space="preserve"> </w:t>
      </w:r>
      <w:r w:rsidR="084768EE" w:rsidRPr="00273106">
        <w:t>do duše substanční mnoho</w:t>
      </w:r>
      <w:r w:rsidR="084768EE">
        <w:t xml:space="preserve">st. Proto jsou </w:t>
      </w:r>
      <w:r w:rsidR="084768EE" w:rsidRPr="00273106">
        <w:t xml:space="preserve">názory </w:t>
      </w:r>
      <w:r w:rsidR="084768EE">
        <w:t xml:space="preserve">těchto </w:t>
      </w:r>
      <w:r w:rsidR="084768EE">
        <w:rPr>
          <w:i/>
        </w:rPr>
        <w:t>docto</w:t>
      </w:r>
      <w:r w:rsidR="084768EE" w:rsidRPr="004B4483">
        <w:rPr>
          <w:i/>
        </w:rPr>
        <w:t>res Latin</w:t>
      </w:r>
      <w:r w:rsidR="084768EE">
        <w:rPr>
          <w:i/>
        </w:rPr>
        <w:t>i</w:t>
      </w:r>
      <w:r w:rsidR="084768EE">
        <w:rPr>
          <w:i/>
        </w:rPr>
        <w:fldChar w:fldCharType="begin"/>
      </w:r>
      <w:r w:rsidR="084768EE">
        <w:instrText xml:space="preserve"> XE "druhý averroismus:</w:instrText>
      </w:r>
      <w:r w:rsidR="084768EE" w:rsidRPr="08E80388">
        <w:rPr>
          <w:i/>
        </w:rPr>
        <w:instrText>doctores Latini</w:instrText>
      </w:r>
      <w:r w:rsidR="084768EE">
        <w:instrText xml:space="preserve">" </w:instrText>
      </w:r>
      <w:r w:rsidR="084768EE">
        <w:rPr>
          <w:i/>
        </w:rPr>
        <w:fldChar w:fldCharType="end"/>
      </w:r>
      <w:r w:rsidR="084768EE">
        <w:t xml:space="preserve"> podle Alberta </w:t>
      </w:r>
      <w:r w:rsidR="084768EE" w:rsidRPr="00273106">
        <w:t xml:space="preserve">tak směšné, že nemá cenu s nimi polemizovat. Nyní je jasné, proti </w:t>
      </w:r>
      <w:r w:rsidR="084768EE">
        <w:t xml:space="preserve">komu je tato polemika zaměřena, kdy vznikla a proč. </w:t>
      </w:r>
      <w:r w:rsidR="084D1426" w:rsidRPr="00273106">
        <w:t>Vedle reálné věci dané externě vnikla v mysli její objektivní kopie daná kvazi</w:t>
      </w:r>
      <w:r w:rsidR="084D1426" w:rsidRPr="00273106">
        <w:noBreakHyphen/>
        <w:t>hylemorficky v modu Avicebronova</w:t>
      </w:r>
      <w:r w:rsidR="084D1426">
        <w:fldChar w:fldCharType="begin"/>
      </w:r>
      <w:r w:rsidR="084D1426">
        <w:instrText xml:space="preserve"> XE "</w:instrText>
      </w:r>
      <w:r w:rsidR="084D1426" w:rsidRPr="00E1327E">
        <w:instrText>Avicebron</w:instrText>
      </w:r>
      <w:r w:rsidR="084D1426">
        <w:instrText xml:space="preserve">" </w:instrText>
      </w:r>
      <w:r w:rsidR="084D1426">
        <w:fldChar w:fldCharType="end"/>
      </w:r>
      <w:r w:rsidR="084D1426" w:rsidRPr="00273106">
        <w:t xml:space="preserve"> dualismu, který je na Oxfordu doložen </w:t>
      </w:r>
      <w:r w:rsidR="084D1426">
        <w:t>skrze univerzální hylemorfismus</w:t>
      </w:r>
      <w:r w:rsidR="084D1426">
        <w:fldChar w:fldCharType="begin"/>
      </w:r>
      <w:r w:rsidR="084D1426">
        <w:instrText xml:space="preserve"> XE "</w:instrText>
      </w:r>
      <w:r w:rsidR="084D1426" w:rsidRPr="005619B2">
        <w:instrText>univerzální hylemorfismus</w:instrText>
      </w:r>
      <w:r w:rsidR="084D1426">
        <w:instrText xml:space="preserve">" </w:instrText>
      </w:r>
      <w:r w:rsidR="084D1426">
        <w:fldChar w:fldCharType="end"/>
      </w:r>
      <w:r w:rsidR="084D1426">
        <w:t xml:space="preserve"> </w:t>
      </w:r>
      <w:r w:rsidR="08654B31">
        <w:t>(kap. 3</w:t>
      </w:r>
      <w:r w:rsidR="084D1426" w:rsidRPr="00273106">
        <w:t>.2). Vnější těleso dostalo v moderním aktu objektivního tvoření novou, mnohem subtilnější materii třetího druhu (</w:t>
      </w:r>
      <w:r w:rsidR="084D1426" w:rsidRPr="00273106">
        <w:rPr>
          <w:i/>
        </w:rPr>
        <w:t>materia subtiliori</w:t>
      </w:r>
      <w:r w:rsidR="084D1426" w:rsidRPr="00273106">
        <w:t xml:space="preserve">). Objektivní podoba věci v modu asimilace založila epochálně nový </w:t>
      </w:r>
      <w:r w:rsidR="084D1426">
        <w:t xml:space="preserve">způsob objektivně daného </w:t>
      </w:r>
      <w:r w:rsidR="084D1426" w:rsidRPr="00273106">
        <w:t xml:space="preserve">bytí </w:t>
      </w:r>
      <w:r w:rsidR="084D1426">
        <w:t>formy (</w:t>
      </w:r>
      <w:r w:rsidR="084D1426" w:rsidRPr="00273106">
        <w:rPr>
          <w:i/>
        </w:rPr>
        <w:t>illa forma obiecta</w:t>
      </w:r>
      <w:r w:rsidR="084D1426">
        <w:t>)</w:t>
      </w:r>
      <w:r w:rsidR="084D1426" w:rsidRPr="00273106">
        <w:t xml:space="preserve">. </w:t>
      </w:r>
      <w:r w:rsidR="08F976FA">
        <w:t>P</w:t>
      </w:r>
      <w:r w:rsidR="08F976FA" w:rsidRPr="00273106">
        <w:t>oprvé v dějinách Západu</w:t>
      </w:r>
      <w:r w:rsidR="08F976FA">
        <w:t xml:space="preserve"> </w:t>
      </w:r>
      <w:r w:rsidR="08F976FA" w:rsidRPr="00273106">
        <w:t xml:space="preserve">dostává </w:t>
      </w:r>
      <w:r w:rsidR="08F976FA">
        <w:t>poznaný objekt status reálného jsoucna</w:t>
      </w:r>
      <w:r w:rsidR="00B92A14" w:rsidRPr="00273106">
        <w:t>, který je chápaný jako univerzální smysl jsoucího (</w:t>
      </w:r>
      <w:r w:rsidR="00B92A14" w:rsidRPr="00273106">
        <w:rPr>
          <w:i/>
        </w:rPr>
        <w:t>dico communiter, sive sit sensibilis sive intelligibilis</w:t>
      </w:r>
      <w:r w:rsidR="00EC04B6">
        <w:t>).</w:t>
      </w:r>
    </w:p>
    <w:p w14:paraId="5D5929C5" w14:textId="3FD248ED" w:rsidR="001B3168" w:rsidRPr="008C1F1C" w:rsidRDefault="00EC04B6" w:rsidP="00EC04B6">
      <w:pPr>
        <w:ind w:firstLine="397"/>
      </w:pPr>
      <w:r>
        <w:t xml:space="preserve">Podle Rufuse </w:t>
      </w:r>
      <w:r w:rsidRPr="00EC04B6">
        <w:t xml:space="preserve">je </w:t>
      </w:r>
      <w:r>
        <w:t xml:space="preserve">toto </w:t>
      </w:r>
      <w:r w:rsidRPr="00EC04B6">
        <w:t xml:space="preserve">paranoidní </w:t>
      </w:r>
      <w:r w:rsidRPr="00EC04B6">
        <w:rPr>
          <w:i/>
        </w:rPr>
        <w:t>creatio ex nihilo</w:t>
      </w:r>
      <w:r>
        <w:rPr>
          <w:i/>
        </w:rPr>
        <w:fldChar w:fldCharType="begin"/>
      </w:r>
      <w:r>
        <w:instrText xml:space="preserve"> XE "</w:instrText>
      </w:r>
      <w:r w:rsidRPr="00664216">
        <w:rPr>
          <w:i/>
        </w:rPr>
        <w:instrText>creatio ex nihilo</w:instrText>
      </w:r>
      <w:r>
        <w:instrText xml:space="preserve">" </w:instrText>
      </w:r>
      <w:r>
        <w:rPr>
          <w:i/>
        </w:rPr>
        <w:fldChar w:fldCharType="end"/>
      </w:r>
      <w:r w:rsidRPr="00EC04B6">
        <w:rPr>
          <w:i/>
        </w:rPr>
        <w:t xml:space="preserve"> </w:t>
      </w:r>
      <w:r w:rsidRPr="00EC04B6">
        <w:t>slučitelné s procesem abstrakce, který vych</w:t>
      </w:r>
      <w:r>
        <w:t xml:space="preserve">ází z reálného hylemorfního tělesa </w:t>
      </w:r>
      <w:r w:rsidR="00A80494" w:rsidRPr="00273106">
        <w:t>(</w:t>
      </w:r>
      <w:r w:rsidR="08D16854" w:rsidRPr="08D16854">
        <w:rPr>
          <w:i/>
        </w:rPr>
        <w:t>acquisivit per abstractionem</w:t>
      </w:r>
      <w:r w:rsidR="00A80494" w:rsidRPr="00273106">
        <w:t>)</w:t>
      </w:r>
      <w:r w:rsidR="003C22C3" w:rsidRPr="00273106">
        <w:t xml:space="preserve">. </w:t>
      </w:r>
      <w:r w:rsidR="087D37EC">
        <w:t>To je důvod, proč Bacon tohoto modernistu prohlásil za filosofického šílence</w:t>
      </w:r>
      <w:r w:rsidR="08B17321">
        <w:t>, který se schoval za Aristotela ve své mysli vytváří paranoickou kopii reality</w:t>
      </w:r>
      <w:r w:rsidR="0851264C">
        <w:t xml:space="preserve"> (</w:t>
      </w:r>
      <w:r w:rsidR="0851264C" w:rsidRPr="0851264C">
        <w:rPr>
          <w:i/>
        </w:rPr>
        <w:t>apud sapientes fuit insanus</w:t>
      </w:r>
      <w:r w:rsidR="08654B31">
        <w:t>, kap. 3</w:t>
      </w:r>
      <w:r w:rsidR="0851264C">
        <w:t>.2)</w:t>
      </w:r>
      <w:r w:rsidR="087D37EC">
        <w:t xml:space="preserve">. </w:t>
      </w:r>
      <w:r w:rsidR="086E66A0">
        <w:t xml:space="preserve">Citát ukazuje typické pojetí pravdy jako univerzální rovnosti </w:t>
      </w:r>
      <w:r w:rsidR="004B4D52" w:rsidRPr="004B4D52">
        <w:t>species</w:t>
      </w:r>
      <w:r w:rsidR="086E66A0" w:rsidRPr="00AF0DE2">
        <w:rPr>
          <w:i/>
        </w:rPr>
        <w:fldChar w:fldCharType="begin"/>
      </w:r>
      <w:r w:rsidR="086E66A0" w:rsidRPr="00AF0DE2">
        <w:rPr>
          <w:i/>
        </w:rPr>
        <w:instrText xml:space="preserve"> XE "substance:objektivní" </w:instrText>
      </w:r>
      <w:r w:rsidR="086E66A0" w:rsidRPr="00AF0DE2">
        <w:rPr>
          <w:i/>
        </w:rPr>
        <w:fldChar w:fldCharType="end"/>
      </w:r>
      <w:r w:rsidR="00133481">
        <w:t xml:space="preserve">. Ty jsou dané </w:t>
      </w:r>
      <w:r w:rsidR="0872684E">
        <w:t xml:space="preserve">v objektivním diakosmu </w:t>
      </w:r>
      <w:r w:rsidR="086E66A0">
        <w:t xml:space="preserve">a </w:t>
      </w:r>
      <w:r w:rsidR="00133481">
        <w:t xml:space="preserve">pak </w:t>
      </w:r>
      <w:r w:rsidR="086E66A0" w:rsidRPr="00F47484">
        <w:rPr>
          <w:i/>
        </w:rPr>
        <w:t>consimiliter</w:t>
      </w:r>
      <w:r w:rsidR="00133481">
        <w:t xml:space="preserve"> poznány</w:t>
      </w:r>
      <w:r w:rsidR="086E66A0">
        <w:t xml:space="preserve"> v</w:t>
      </w:r>
      <w:r w:rsidR="00133481">
        <w:t xml:space="preserve"> moderním </w:t>
      </w:r>
      <w:r w:rsidR="086E66A0">
        <w:t xml:space="preserve">hypostázovaném intelektu. </w:t>
      </w:r>
      <w:r w:rsidR="00B72405">
        <w:t>Bytí objektu v modu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B72405">
        <w:t xml:space="preserve"> </w:t>
      </w:r>
      <w:r w:rsidR="00F33309">
        <w:t>vyja</w:t>
      </w:r>
      <w:r w:rsidR="00F83CF1">
        <w:t>d</w:t>
      </w:r>
      <w:r w:rsidR="08564305">
        <w:t xml:space="preserve">řuje sloveso </w:t>
      </w:r>
      <w:r w:rsidR="000067C9">
        <w:t>„</w:t>
      </w:r>
      <w:r w:rsidR="00F33309">
        <w:rPr>
          <w:i/>
        </w:rPr>
        <w:t>exsistere</w:t>
      </w:r>
      <w:r w:rsidR="000067C9">
        <w:t>“</w:t>
      </w:r>
      <w:r w:rsidR="00F83CF1">
        <w:t xml:space="preserve"> chápané</w:t>
      </w:r>
      <w:r w:rsidR="00F33309">
        <w:t xml:space="preserve"> v modu porretánské h</w:t>
      </w:r>
      <w:r w:rsidR="00AF0DE2">
        <w:t>ypostáz</w:t>
      </w:r>
      <w:r w:rsidR="00D836E0">
        <w:t>e. Ty</w:t>
      </w:r>
      <w:r w:rsidR="00E24C5C">
        <w:t xml:space="preserve"> </w:t>
      </w:r>
      <w:r w:rsidR="00D836E0">
        <w:t xml:space="preserve">opouštějí </w:t>
      </w:r>
      <w:r w:rsidR="00E24C5C">
        <w:t>(</w:t>
      </w:r>
      <w:r w:rsidR="00F33309" w:rsidRPr="00F33309">
        <w:rPr>
          <w:i/>
        </w:rPr>
        <w:t>exsistit</w:t>
      </w:r>
      <w:r w:rsidR="00F33309">
        <w:t xml:space="preserve">) </w:t>
      </w:r>
      <w:r w:rsidR="00F32D88">
        <w:t xml:space="preserve">objektivní </w:t>
      </w:r>
      <w:r w:rsidR="00D836E0">
        <w:t xml:space="preserve">zásvětí </w:t>
      </w:r>
      <w:r w:rsidR="00E24C5C">
        <w:t>modernistů</w:t>
      </w:r>
      <w:r w:rsidR="00D836E0">
        <w:t xml:space="preserve">, aby přišly </w:t>
      </w:r>
      <w:r w:rsidR="00F33309">
        <w:t xml:space="preserve">do kontingentní formy dané v reálných hylemorfických </w:t>
      </w:r>
      <w:r w:rsidR="00E24C5C">
        <w:t>substancích</w:t>
      </w:r>
      <w:r w:rsidR="00F33309">
        <w:t xml:space="preserve">. </w:t>
      </w:r>
      <w:r w:rsidR="08B778BE">
        <w:t>K</w:t>
      </w:r>
      <w:r w:rsidR="00850B88">
        <w:t xml:space="preserve">ontingentní manifestace </w:t>
      </w:r>
      <w:r w:rsidR="00695FC0">
        <w:t>objek</w:t>
      </w:r>
      <w:r w:rsidR="00F32D88">
        <w:t xml:space="preserve">tivního </w:t>
      </w:r>
      <w:r w:rsidR="00850B88">
        <w:t xml:space="preserve">jsoucna třetího druhu v realitě </w:t>
      </w:r>
      <w:r w:rsidR="00695FC0">
        <w:t>zakládá</w:t>
      </w:r>
      <w:r w:rsidR="00AF043E">
        <w:t xml:space="preserve"> novou událost metafyziky</w:t>
      </w:r>
      <w:r w:rsidR="00193F94" w:rsidRPr="00273106">
        <w:t xml:space="preserve">, </w:t>
      </w:r>
      <w:r w:rsidR="00AF043E">
        <w:t xml:space="preserve">která </w:t>
      </w:r>
      <w:r w:rsidR="00193F94" w:rsidRPr="00273106">
        <w:t>mění smysl jsoucna</w:t>
      </w:r>
      <w:r w:rsidR="008A6512">
        <w:t xml:space="preserve"> (</w:t>
      </w:r>
      <w:r w:rsidR="008A6512" w:rsidRPr="008A6512">
        <w:rPr>
          <w:i/>
        </w:rPr>
        <w:t>Ereignis</w:t>
      </w:r>
      <w:r w:rsidR="003B7894">
        <w:rPr>
          <w:i/>
        </w:rPr>
        <w:fldChar w:fldCharType="begin"/>
      </w:r>
      <w:r w:rsidR="003B7894">
        <w:instrText xml:space="preserve"> XE "</w:instrText>
      </w:r>
      <w:r w:rsidR="003B7894" w:rsidRPr="00120BB2">
        <w:rPr>
          <w:i/>
        </w:rPr>
        <w:instrText>Ereignis</w:instrText>
      </w:r>
      <w:r w:rsidR="003B7894">
        <w:instrText xml:space="preserve">" </w:instrText>
      </w:r>
      <w:r w:rsidR="003B7894">
        <w:rPr>
          <w:i/>
        </w:rPr>
        <w:fldChar w:fldCharType="end"/>
      </w:r>
      <w:r w:rsidR="008A6512">
        <w:t>)</w:t>
      </w:r>
      <w:r w:rsidR="00193F94" w:rsidRPr="00273106">
        <w:t xml:space="preserve">. </w:t>
      </w:r>
      <w:r w:rsidR="0054092A">
        <w:t>P</w:t>
      </w:r>
      <w:r w:rsidR="000E7C0C" w:rsidRPr="00273106">
        <w:t>oznání začalo duplikovat realitu v asimilačním modu pravdy</w:t>
      </w:r>
      <w:r w:rsidR="0823321F">
        <w:t xml:space="preserve"> (</w:t>
      </w:r>
      <w:r w:rsidR="0823321F">
        <w:rPr>
          <w:i/>
        </w:rPr>
        <w:t>co</w:t>
      </w:r>
      <w:r w:rsidR="0823321F" w:rsidRPr="0823321F">
        <w:rPr>
          <w:i/>
        </w:rPr>
        <w:t>a</w:t>
      </w:r>
      <w:r w:rsidR="0823321F">
        <w:rPr>
          <w:i/>
        </w:rPr>
        <w:t>e</w:t>
      </w:r>
      <w:r w:rsidR="0823321F" w:rsidRPr="0823321F">
        <w:rPr>
          <w:i/>
        </w:rPr>
        <w:t>qualiter</w:t>
      </w:r>
      <w:r w:rsidR="0823321F">
        <w:t xml:space="preserve">), ale citát to sofisticky vydává </w:t>
      </w:r>
      <w:r w:rsidR="08564305">
        <w:t xml:space="preserve">za aristotelskou adekvaci </w:t>
      </w:r>
      <w:r w:rsidR="08A57FA0">
        <w:t xml:space="preserve">podle CMDA </w:t>
      </w:r>
      <w:r w:rsidR="08564305">
        <w:t>(</w:t>
      </w:r>
      <w:r w:rsidR="08564305" w:rsidRPr="08A4568B">
        <w:rPr>
          <w:i/>
        </w:rPr>
        <w:t>consimiliter, comproportionaliter</w:t>
      </w:r>
      <w:r w:rsidR="08564305">
        <w:t>)</w:t>
      </w:r>
      <w:r w:rsidR="000E7C0C" w:rsidRPr="00273106">
        <w:t>. Vidění reality dostalo sofistického dvojníka v moderní mysli, která nepoznává realitu první</w:t>
      </w:r>
      <w:r w:rsidR="004D2B99">
        <w:t>ch substancí</w:t>
      </w:r>
      <w:r w:rsidR="08474173">
        <w:t>, ale vlastní simulákrum</w:t>
      </w:r>
      <w:r w:rsidR="000E7C0C" w:rsidRPr="00273106">
        <w:t>. Moderní mysl produkuje noematické simulákrum reality (</w:t>
      </w:r>
      <w:r w:rsidR="000E7C0C" w:rsidRPr="00273106">
        <w:rPr>
          <w:i/>
        </w:rPr>
        <w:t>scibile</w:t>
      </w:r>
      <w:r w:rsidR="003B4FA7">
        <w:rPr>
          <w:i/>
        </w:rPr>
        <w:fldChar w:fldCharType="begin"/>
      </w:r>
      <w:r w:rsidR="003B4FA7">
        <w:instrText xml:space="preserve"> XE "</w:instrText>
      </w:r>
      <w:r w:rsidR="003B4FA7" w:rsidRPr="00AA4F67">
        <w:rPr>
          <w:i/>
        </w:rPr>
        <w:instrText>scibile</w:instrText>
      </w:r>
      <w:r w:rsidR="0054092A">
        <w:rPr>
          <w:i/>
        </w:rPr>
        <w:instrText>:</w:instrText>
      </w:r>
      <w:r w:rsidR="0054092A" w:rsidRPr="0054092A">
        <w:instrText>moderna</w:instrText>
      </w:r>
      <w:r w:rsidR="003B4FA7">
        <w:instrText xml:space="preserve">" </w:instrText>
      </w:r>
      <w:r w:rsidR="003B4FA7">
        <w:rPr>
          <w:i/>
        </w:rPr>
        <w:fldChar w:fldCharType="end"/>
      </w:r>
      <w:r w:rsidR="008B5750">
        <w:t>). S</w:t>
      </w:r>
      <w:r w:rsidR="000E7C0C" w:rsidRPr="00273106">
        <w:t>krze toto simulákrum poz</w:t>
      </w:r>
      <w:r w:rsidR="008B5750">
        <w:t xml:space="preserve">nává </w:t>
      </w:r>
      <w:r w:rsidR="00FA36A0">
        <w:t xml:space="preserve">moderna </w:t>
      </w:r>
      <w:r w:rsidR="008B5750">
        <w:t xml:space="preserve">první substanci tím, že objektivní realitu </w:t>
      </w:r>
      <w:r w:rsidR="000E7C0C" w:rsidRPr="00273106">
        <w:t>vyvádí z</w:t>
      </w:r>
      <w:r w:rsidR="008B5750">
        <w:t xml:space="preserve"> demiurgické </w:t>
      </w:r>
      <w:r w:rsidR="000E7C0C" w:rsidRPr="00273106">
        <w:t xml:space="preserve">mysli ve formě </w:t>
      </w:r>
      <w:r w:rsidR="00E24C5C">
        <w:t xml:space="preserve">objektivní </w:t>
      </w:r>
      <w:r w:rsidR="000E7C0C" w:rsidRPr="00273106">
        <w:t>dedukce (</w:t>
      </w:r>
      <w:r w:rsidR="000E7C0C" w:rsidRPr="00273106">
        <w:rPr>
          <w:i/>
        </w:rPr>
        <w:t>exsistere</w:t>
      </w:r>
      <w:r w:rsidR="00FA36A0">
        <w:t xml:space="preserve">). </w:t>
      </w:r>
      <w:r w:rsidR="001A17AE" w:rsidRPr="001A17AE">
        <w:t xml:space="preserve">Přepracováním termínu </w:t>
      </w:r>
      <w:r w:rsidR="001A17AE">
        <w:t>„</w:t>
      </w:r>
      <w:r w:rsidR="001A17AE" w:rsidRPr="001A17AE">
        <w:rPr>
          <w:i/>
        </w:rPr>
        <w:t>resolutio</w:t>
      </w:r>
      <w:r w:rsidR="001A17AE">
        <w:t xml:space="preserve">“ od Filipa Kancléře, </w:t>
      </w:r>
      <w:r w:rsidR="001A17AE" w:rsidRPr="001A17AE">
        <w:t xml:space="preserve">Rufus </w:t>
      </w:r>
      <w:r w:rsidR="001A17AE">
        <w:t xml:space="preserve">vytvořil </w:t>
      </w:r>
      <w:r w:rsidR="001A17AE" w:rsidRPr="001A17AE">
        <w:t>novou podobu amfibol</w:t>
      </w:r>
      <w:r w:rsidR="001A17AE">
        <w:t xml:space="preserve">ních </w:t>
      </w:r>
      <w:r w:rsidR="001A17AE" w:rsidRPr="001A17AE">
        <w:t>termínů, které napodobují reálný svět.</w:t>
      </w:r>
      <w:r w:rsidR="001A17AE">
        <w:t xml:space="preserve"> </w:t>
      </w:r>
      <w:r w:rsidR="00E221FD">
        <w:t xml:space="preserve">Pokrok moderny daný množením simuláker nelze zastavit. Původní transcendentália Filipa Kancléře byla čtyři </w:t>
      </w:r>
      <w:r w:rsidR="00E221FD" w:rsidRPr="00E221FD">
        <w:t>(</w:t>
      </w:r>
      <w:r w:rsidR="00E221FD" w:rsidRPr="00E221FD">
        <w:rPr>
          <w:i/>
          <w:iCs/>
        </w:rPr>
        <w:t>ens</w:t>
      </w:r>
      <w:r w:rsidR="00E221FD">
        <w:rPr>
          <w:i/>
          <w:iCs/>
        </w:rPr>
        <w:t xml:space="preserve">, </w:t>
      </w:r>
      <w:r w:rsidR="00E221FD" w:rsidRPr="00E221FD">
        <w:rPr>
          <w:i/>
          <w:iCs/>
        </w:rPr>
        <w:t>unum</w:t>
      </w:r>
      <w:r w:rsidR="00E221FD">
        <w:rPr>
          <w:i/>
          <w:iCs/>
        </w:rPr>
        <w:t xml:space="preserve">, </w:t>
      </w:r>
      <w:r w:rsidR="00E221FD" w:rsidRPr="00E221FD">
        <w:rPr>
          <w:i/>
          <w:iCs/>
        </w:rPr>
        <w:t>verum</w:t>
      </w:r>
      <w:r w:rsidR="00E221FD">
        <w:rPr>
          <w:i/>
          <w:iCs/>
        </w:rPr>
        <w:t xml:space="preserve">, </w:t>
      </w:r>
      <w:r w:rsidR="00E221FD" w:rsidRPr="00E221FD">
        <w:rPr>
          <w:i/>
          <w:iCs/>
        </w:rPr>
        <w:t>bonum</w:t>
      </w:r>
      <w:r w:rsidR="00E221FD" w:rsidRPr="00E221FD">
        <w:t>)</w:t>
      </w:r>
      <w:r w:rsidR="00E221FD">
        <w:t xml:space="preserve">. Rufus jich už nekonečně mnoho, protože každé reálné sjoucno dostalo svou objektivní kopii. </w:t>
      </w:r>
      <w:r w:rsidR="084C76BD">
        <w:t xml:space="preserve">Zdrojem </w:t>
      </w:r>
      <w:r w:rsidR="00FA36A0">
        <w:t xml:space="preserve">objektivní dedukce je Avicennův </w:t>
      </w:r>
      <w:r w:rsidR="084C76BD">
        <w:t xml:space="preserve">kosmický </w:t>
      </w:r>
      <w:r w:rsidR="08454986" w:rsidRPr="08454986">
        <w:rPr>
          <w:i/>
        </w:rPr>
        <w:t>intellectus agens</w:t>
      </w:r>
      <w:r w:rsidR="08454986">
        <w:t xml:space="preserve"> </w:t>
      </w:r>
      <w:r w:rsidR="00FA36A0">
        <w:t xml:space="preserve">jako </w:t>
      </w:r>
      <w:r w:rsidR="08454986">
        <w:t xml:space="preserve">dárce forem, </w:t>
      </w:r>
      <w:r w:rsidR="089924EE">
        <w:t>a ne pantei</w:t>
      </w:r>
      <w:r w:rsidR="08FC6955">
        <w:t>s</w:t>
      </w:r>
      <w:r w:rsidR="089924EE">
        <w:t>ti</w:t>
      </w:r>
      <w:r w:rsidR="089924EE" w:rsidRPr="089924EE">
        <w:t>cký bůh Dinanta</w:t>
      </w:r>
      <w:r w:rsidR="00FA36A0" w:rsidRPr="089924EE">
        <w:fldChar w:fldCharType="begin"/>
      </w:r>
      <w:r w:rsidR="00FA36A0" w:rsidRPr="089924EE">
        <w:instrText xml:space="preserve"> XE "Dator formarum" </w:instrText>
      </w:r>
      <w:r w:rsidR="00FA36A0" w:rsidRPr="089924EE">
        <w:fldChar w:fldCharType="end"/>
      </w:r>
      <w:r w:rsidR="00FA36A0" w:rsidRPr="089924EE">
        <w:t>.</w:t>
      </w:r>
      <w:r w:rsidR="00FA36A0">
        <w:t xml:space="preserve"> </w:t>
      </w:r>
      <w:r w:rsidR="080E4D67">
        <w:t xml:space="preserve">Rufus </w:t>
      </w:r>
      <w:r w:rsidR="000E7C0C" w:rsidRPr="00273106">
        <w:t>zakládá nové vidění světa</w:t>
      </w:r>
      <w:r w:rsidR="000E7C0C">
        <w:t xml:space="preserve"> v modu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0E7C0C" w:rsidRPr="00273106">
        <w:t xml:space="preserve">. </w:t>
      </w:r>
      <w:r w:rsidR="001B3168" w:rsidRPr="00273106">
        <w:t xml:space="preserve">Další citát vytyčuje </w:t>
      </w:r>
      <w:r w:rsidR="00CB7871">
        <w:t xml:space="preserve">další </w:t>
      </w:r>
      <w:r w:rsidR="001B3168" w:rsidRPr="00273106">
        <w:t xml:space="preserve">směr myšlení pro </w:t>
      </w:r>
      <w:r w:rsidR="001B3168"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1B3168" w:rsidRPr="00273106">
        <w:t xml:space="preserve">. </w:t>
      </w:r>
      <w:r w:rsidR="009049EE">
        <w:t>Nové zjevová</w:t>
      </w:r>
      <w:r w:rsidR="08157992">
        <w:t xml:space="preserve">ní jsoucna v jeho objektivní </w:t>
      </w:r>
      <w:r w:rsidR="009049EE">
        <w:t>odkrytosti je dáno</w:t>
      </w:r>
      <w:r w:rsidR="00F33168">
        <w:t xml:space="preserve"> v přímém náhledu prvního</w:t>
      </w:r>
      <w:r w:rsidR="009049EE">
        <w:t xml:space="preserve"> moderního ilumináta</w:t>
      </w:r>
      <w:r w:rsidR="00E221FD">
        <w:t xml:space="preserve">. Ale Rufus </w:t>
      </w:r>
      <w:r w:rsidR="0093268D">
        <w:t>konstatoval</w:t>
      </w:r>
      <w:r w:rsidR="00E221FD">
        <w:t>, že p</w:t>
      </w:r>
      <w:r w:rsidR="00F33168">
        <w:t xml:space="preserve">ro toto </w:t>
      </w:r>
      <w:r w:rsidR="00803750">
        <w:t xml:space="preserve">nové </w:t>
      </w:r>
      <w:r w:rsidR="00F33168">
        <w:t>vidění</w:t>
      </w:r>
      <w:r w:rsidR="00803750">
        <w:t xml:space="preserve"> světa</w:t>
      </w:r>
      <w:r w:rsidR="00F33168">
        <w:t xml:space="preserve"> </w:t>
      </w:r>
      <w:r w:rsidR="00E221FD">
        <w:t xml:space="preserve">zatím </w:t>
      </w:r>
      <w:r w:rsidR="009049EE">
        <w:t xml:space="preserve">neexistuje objektivní kategoriální </w:t>
      </w:r>
      <w:r w:rsidR="009049EE" w:rsidRPr="00273106">
        <w:t>predikace</w:t>
      </w:r>
      <w:r w:rsidR="009049EE">
        <w:fldChar w:fldCharType="begin"/>
      </w:r>
      <w:r w:rsidR="009049EE">
        <w:instrText xml:space="preserve"> XE "</w:instrText>
      </w:r>
      <w:r w:rsidR="009049EE" w:rsidRPr="00522BD5">
        <w:instrText>predikace:objektivní</w:instrText>
      </w:r>
      <w:r w:rsidR="009049EE">
        <w:instrText xml:space="preserve">" </w:instrText>
      </w:r>
      <w:r w:rsidR="009049EE">
        <w:fldChar w:fldCharType="end"/>
      </w:r>
      <w:r w:rsidR="009049EE">
        <w:t>.</w:t>
      </w:r>
    </w:p>
    <w:p w14:paraId="40A45BA2" w14:textId="0345F168" w:rsidR="001B3168" w:rsidRPr="00273106" w:rsidRDefault="001B3168" w:rsidP="001B3168">
      <w:pPr>
        <w:pStyle w:val="Citace"/>
        <w:rPr>
          <w:noProof/>
          <w:lang w:val="cs-CZ"/>
        </w:rPr>
      </w:pPr>
      <w:r w:rsidRPr="00273106">
        <w:rPr>
          <w:noProof/>
          <w:lang w:val="cs-CZ"/>
        </w:rPr>
        <w:t xml:space="preserve">„Proto ani skrze abstrakci, ani skrze konkreci </w:t>
      </w:r>
      <w:r w:rsidR="08EB5C88">
        <w:rPr>
          <w:noProof/>
          <w:lang w:val="cs-CZ"/>
        </w:rPr>
        <w:t xml:space="preserve">nemáme slova, kterými označujeme </w:t>
      </w:r>
      <w:r w:rsidR="004B4D52" w:rsidRPr="004B4D52">
        <w:rPr>
          <w:noProof/>
          <w:lang w:val="cs-CZ"/>
        </w:rPr>
        <w:t>species</w:t>
      </w:r>
      <w:r w:rsidRPr="00273106">
        <w:rPr>
          <w:noProof/>
          <w:lang w:val="cs-CZ"/>
        </w:rPr>
        <w:t xml:space="preserve"> smyslových a inteligibilních forem (</w:t>
      </w:r>
      <w:r w:rsidR="004B4D52" w:rsidRPr="004B4D52">
        <w:rPr>
          <w:noProof/>
          <w:lang w:val="cs-CZ"/>
        </w:rPr>
        <w:t>species</w:t>
      </w:r>
      <w:r w:rsidRPr="00273106">
        <w:rPr>
          <w:i/>
          <w:noProof/>
          <w:lang w:val="cs-CZ"/>
        </w:rPr>
        <w:t xml:space="preserve"> formarum sensibilium et intelligibilium</w:t>
      </w:r>
      <w:r w:rsidRPr="00273106">
        <w:rPr>
          <w:noProof/>
          <w:lang w:val="cs-CZ"/>
        </w:rPr>
        <w:t xml:space="preserve">) </w:t>
      </w:r>
      <w:r w:rsidR="08EB5C88">
        <w:rPr>
          <w:noProof/>
          <w:lang w:val="cs-CZ"/>
        </w:rPr>
        <w:t xml:space="preserve">a objektivních </w:t>
      </w:r>
      <w:r w:rsidRPr="00273106">
        <w:rPr>
          <w:noProof/>
          <w:lang w:val="cs-CZ"/>
        </w:rPr>
        <w:t>věcí (</w:t>
      </w:r>
      <w:r w:rsidRPr="00273106">
        <w:rPr>
          <w:i/>
          <w:noProof/>
          <w:lang w:val="cs-CZ"/>
        </w:rPr>
        <w:t>rerum obiectarum</w:t>
      </w:r>
      <w:r w:rsidRPr="00273106">
        <w:rPr>
          <w:noProof/>
          <w:lang w:val="cs-CZ"/>
        </w:rPr>
        <w:t xml:space="preserve">). Tyto věci </w:t>
      </w:r>
      <w:r w:rsidR="086E360C">
        <w:rPr>
          <w:noProof/>
          <w:lang w:val="cs-CZ"/>
        </w:rPr>
        <w:t xml:space="preserve">nějak </w:t>
      </w:r>
      <w:r w:rsidRPr="00273106">
        <w:rPr>
          <w:noProof/>
          <w:lang w:val="cs-CZ"/>
        </w:rPr>
        <w:t>označujeme nepřímým opisem</w:t>
      </w:r>
      <w:r w:rsidR="086E360C">
        <w:rPr>
          <w:noProof/>
          <w:lang w:val="cs-CZ"/>
        </w:rPr>
        <w:t xml:space="preserve"> (</w:t>
      </w:r>
      <w:r w:rsidR="086E360C" w:rsidRPr="086E360C">
        <w:rPr>
          <w:i/>
        </w:rPr>
        <w:t>per circumlocutionem quoquomodo adnotamus eas</w:t>
      </w:r>
      <w:r w:rsidR="086E360C">
        <w:rPr>
          <w:noProof/>
          <w:lang w:val="cs-CZ"/>
        </w:rPr>
        <w:t>)</w:t>
      </w:r>
      <w:r w:rsidRPr="00273106">
        <w:rPr>
          <w:noProof/>
          <w:lang w:val="cs-CZ"/>
        </w:rPr>
        <w:t xml:space="preserve">.“ </w:t>
      </w:r>
      <w:r w:rsidRPr="00273106">
        <w:rPr>
          <w:rStyle w:val="Znakapoznpodarou"/>
          <w:noProof/>
          <w:lang w:val="cs-CZ"/>
        </w:rPr>
        <w:footnoteReference w:id="473"/>
      </w:r>
    </w:p>
    <w:p w14:paraId="01E06C5E" w14:textId="4B70BA12" w:rsidR="007562B4" w:rsidRDefault="001B3168" w:rsidP="00771708">
      <w:r w:rsidRPr="00273106">
        <w:t xml:space="preserve">Předešlá citace vytvořila objektivní jsoucno třetího druhu, které má vlastní materii a formu. </w:t>
      </w:r>
      <w:r w:rsidR="080A581E">
        <w:t xml:space="preserve">Rufus pod vlivem </w:t>
      </w:r>
      <w:r w:rsidR="00753FA0">
        <w:t xml:space="preserve">objektivních </w:t>
      </w:r>
      <w:r w:rsidR="080A581E">
        <w:t xml:space="preserve">Fúrií </w:t>
      </w:r>
      <w:r w:rsidR="00753FA0">
        <w:t xml:space="preserve">už </w:t>
      </w:r>
      <w:r w:rsidR="001A35C0">
        <w:t xml:space="preserve">pozoruje </w:t>
      </w:r>
      <w:r w:rsidR="080A581E">
        <w:t>objektivní Ameriku</w:t>
      </w:r>
      <w:r w:rsidR="00753FA0">
        <w:t>. A</w:t>
      </w:r>
      <w:r w:rsidR="080A581E">
        <w:t xml:space="preserve">le </w:t>
      </w:r>
      <w:r w:rsidR="080A581E" w:rsidRPr="00273106">
        <w:t xml:space="preserve">neví </w:t>
      </w:r>
      <w:r w:rsidR="080A581E">
        <w:t>si</w:t>
      </w:r>
      <w:r w:rsidR="080A581E" w:rsidRPr="00273106">
        <w:t xml:space="preserve"> rady</w:t>
      </w:r>
      <w:r w:rsidR="080A581E">
        <w:t xml:space="preserve"> s tímto </w:t>
      </w:r>
      <w:r w:rsidRPr="00273106">
        <w:t xml:space="preserve">objektivním </w:t>
      </w:r>
      <w:r w:rsidR="00044AF5">
        <w:t>simulákrem reality</w:t>
      </w:r>
      <w:r w:rsidRPr="00273106">
        <w:t>, protože jeho význam není jak predikovat</w:t>
      </w:r>
      <w:r w:rsidR="080A581E">
        <w:t xml:space="preserve">. Aristotelská abstrakce a porretánská srostice nepostihuje plný význam nového paranormálního jevu. </w:t>
      </w:r>
      <w:r w:rsidRPr="00273106">
        <w:t xml:space="preserve">Rufus má zásadní problém, jak toto simulákrum popsat, protože pro právě vzniklou objektivitu zatím neexistují odpovídající kategorie myšlení. Klasická </w:t>
      </w:r>
      <w:r w:rsidR="004B4D52" w:rsidRPr="004B4D52">
        <w:t>species</w:t>
      </w:r>
      <w:r w:rsidRPr="00273106">
        <w:t xml:space="preserve"> obou škol jsou dána buď v rámci aristotelské abstrakce nebo avicennovské denudace, ale v obou případech mimo materii. Rufus po vzoru Avicebrona zavedl spirituální materii do </w:t>
      </w:r>
      <w:r>
        <w:t xml:space="preserve">definice </w:t>
      </w:r>
      <w:r w:rsidRPr="00273106">
        <w:t xml:space="preserve">objektivně daných </w:t>
      </w:r>
      <w:r w:rsidR="004B4D52" w:rsidRPr="004B4D52">
        <w:t>species</w:t>
      </w:r>
      <w:r w:rsidRPr="00273106">
        <w:t>. Pak má problém, jak predikovat význam nového celku objektivně daných věcí (</w:t>
      </w:r>
      <w:r w:rsidRPr="00273106">
        <w:rPr>
          <w:i/>
        </w:rPr>
        <w:t>rerum obiectarum</w:t>
      </w:r>
      <w:r w:rsidRPr="00273106">
        <w:t xml:space="preserve">). Sofistická subtilita tohoto konkrétního objektu vzdoruje klasickým </w:t>
      </w:r>
      <w:r>
        <w:t xml:space="preserve">kategoriím predikace </w:t>
      </w:r>
      <w:r w:rsidR="08681F9D">
        <w:t xml:space="preserve">a dokonce </w:t>
      </w:r>
      <w:r>
        <w:t xml:space="preserve">i porretánským formám signifikace </w:t>
      </w:r>
      <w:r w:rsidRPr="00273106">
        <w:t>(</w:t>
      </w:r>
      <w:r w:rsidRPr="00273106">
        <w:rPr>
          <w:i/>
        </w:rPr>
        <w:t>neque secundum concretionem habentur simplicia vocabula</w:t>
      </w:r>
      <w:r w:rsidRPr="00273106">
        <w:t xml:space="preserve">). Predikace musí </w:t>
      </w:r>
      <w:r w:rsidR="08311B8D">
        <w:t xml:space="preserve">objektivně (tj. ani kategoriálně ani univerzálně) </w:t>
      </w:r>
      <w:r w:rsidRPr="00273106">
        <w:t xml:space="preserve">předat význam nově zavedené konkretizace </w:t>
      </w:r>
      <w:r>
        <w:t>skrze materii třetího druhu</w:t>
      </w:r>
      <w:r w:rsidRPr="00273106">
        <w:t xml:space="preserve">, což klasické aristotelské kategorie neumožňují. </w:t>
      </w:r>
      <w:r>
        <w:t>Kde nestačí mluva, tam je dán aspoň p</w:t>
      </w:r>
      <w:r w:rsidR="009049EE">
        <w:t xml:space="preserve">římý náhled objektivity v modu </w:t>
      </w:r>
      <w:r w:rsidRPr="006E1395">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t xml:space="preserve">. </w:t>
      </w:r>
      <w:r w:rsidR="00885598">
        <w:t xml:space="preserve">V </w:t>
      </w:r>
      <w:r w:rsidRPr="00273106">
        <w:t xml:space="preserve">objektivně daném </w:t>
      </w:r>
      <w:r w:rsidR="00885598">
        <w:t xml:space="preserve">averroistickém </w:t>
      </w:r>
      <w:r w:rsidRPr="00273106">
        <w:t xml:space="preserve">intelektu třetího druhu se jsoucno </w:t>
      </w:r>
      <w:r w:rsidR="00885598">
        <w:t xml:space="preserve">konečně zjevuje v </w:t>
      </w:r>
      <w:r w:rsidR="009049EE">
        <w:t xml:space="preserve">objektivním smyslu a </w:t>
      </w:r>
      <w:r w:rsidR="0034319A">
        <w:t xml:space="preserve">odpovídající </w:t>
      </w:r>
      <w:r w:rsidR="009049EE">
        <w:t xml:space="preserve">pravdě. </w:t>
      </w:r>
      <w:r w:rsidRPr="00273106">
        <w:t>Rufus dal scholastické metafyzice druhý začátek tím</w:t>
      </w:r>
      <w:r w:rsidR="00426492">
        <w:fldChar w:fldCharType="begin"/>
      </w:r>
      <w:r w:rsidR="00426492">
        <w:instrText xml:space="preserve"> XE "</w:instrText>
      </w:r>
      <w:r w:rsidR="00426492" w:rsidRPr="0052040B">
        <w:instrText>scholastika:druhý začátek</w:instrText>
      </w:r>
      <w:r w:rsidR="00426492">
        <w:instrText xml:space="preserve">" </w:instrText>
      </w:r>
      <w:r w:rsidR="00426492">
        <w:fldChar w:fldCharType="end"/>
      </w:r>
      <w:r w:rsidRPr="00273106">
        <w:t xml:space="preserve">, že vytvořil nový subjekt-objektový vztah pro </w:t>
      </w:r>
      <w:r>
        <w:t xml:space="preserve">objektivně nazíraný </w:t>
      </w:r>
      <w:r w:rsidRPr="00273106">
        <w:t>cele</w:t>
      </w:r>
      <w:r w:rsidR="007562B4">
        <w:t>k jsoucna.</w:t>
      </w:r>
    </w:p>
    <w:p w14:paraId="70DCB5FC" w14:textId="30EE36C3" w:rsidR="00534B9B" w:rsidRDefault="007562B4" w:rsidP="00C51765">
      <w:pPr>
        <w:ind w:firstLine="397"/>
      </w:pPr>
      <w:r>
        <w:t xml:space="preserve">Rufusem </w:t>
      </w:r>
      <w:r w:rsidR="00426492">
        <w:t xml:space="preserve">založený systém </w:t>
      </w:r>
      <w:r w:rsidR="001B3168" w:rsidRPr="00273106">
        <w:t>druhého averr</w:t>
      </w:r>
      <w:r w:rsidR="00426492">
        <w:t>oismu</w:t>
      </w:r>
      <w:r w:rsidR="001B3168" w:rsidRPr="00273106">
        <w:t xml:space="preserve"> vytvořil </w:t>
      </w:r>
      <w:r w:rsidR="08372ADD">
        <w:t>okolo roku 1</w:t>
      </w:r>
      <w:r w:rsidR="08BD282E">
        <w:t xml:space="preserve">235 </w:t>
      </w:r>
      <w:r w:rsidR="00426492">
        <w:t xml:space="preserve">objektivní </w:t>
      </w:r>
      <w:r w:rsidR="001B3168" w:rsidRPr="00273106">
        <w:t xml:space="preserve">formu </w:t>
      </w:r>
      <w:r w:rsidR="001B3168"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426492">
        <w:instrText>:Rufus</w:instrText>
      </w:r>
      <w:r w:rsidR="009D323B">
        <w:instrText xml:space="preserve">" </w:instrText>
      </w:r>
      <w:r w:rsidR="009D323B">
        <w:rPr>
          <w:i/>
        </w:rPr>
        <w:fldChar w:fldCharType="end"/>
      </w:r>
      <w:r w:rsidR="001B3168" w:rsidRPr="00273106">
        <w:t xml:space="preserve">, který vidí svět v epochálně novém náhledu. </w:t>
      </w:r>
      <w:r w:rsidR="00A9327C">
        <w:t>K tomuto modernímu</w:t>
      </w:r>
      <w:r w:rsidR="08BD282E">
        <w:t xml:space="preserve"> subjektu </w:t>
      </w:r>
      <w:r w:rsidR="00A9327C">
        <w:t xml:space="preserve">Rufus </w:t>
      </w:r>
      <w:r w:rsidR="08BD282E">
        <w:t xml:space="preserve">přidal okolo roku 1245 také moderní objekt. </w:t>
      </w:r>
      <w:r w:rsidR="001B3168">
        <w:t xml:space="preserve">První modernista </w:t>
      </w:r>
      <w:r w:rsidR="001B3168" w:rsidRPr="00273106">
        <w:t xml:space="preserve">provádí pouze přibližný opis </w:t>
      </w:r>
      <w:r w:rsidR="00CE51E7">
        <w:t>(</w:t>
      </w:r>
      <w:r w:rsidR="00CE51E7" w:rsidRPr="00273106">
        <w:rPr>
          <w:i/>
        </w:rPr>
        <w:t>quoquomodo adnotamus</w:t>
      </w:r>
      <w:r w:rsidR="00CE51E7">
        <w:t>)</w:t>
      </w:r>
      <w:r w:rsidR="00CE51E7" w:rsidRPr="00273106">
        <w:rPr>
          <w:i/>
        </w:rPr>
        <w:t xml:space="preserve"> </w:t>
      </w:r>
      <w:r w:rsidR="001B3168" w:rsidRPr="00273106">
        <w:t xml:space="preserve">této epochálně nové operace mysli </w:t>
      </w:r>
      <w:r w:rsidR="00CE51E7">
        <w:t xml:space="preserve">v modu sofistikované perlokuce </w:t>
      </w:r>
      <w:r w:rsidR="001B3168" w:rsidRPr="00273106">
        <w:t>(</w:t>
      </w:r>
      <w:r w:rsidR="001B3168" w:rsidRPr="00273106">
        <w:rPr>
          <w:i/>
        </w:rPr>
        <w:t>per circumlocutionem</w:t>
      </w:r>
      <w:r w:rsidR="00EB3605">
        <w:t xml:space="preserve">). </w:t>
      </w:r>
      <w:r w:rsidR="087A7891">
        <w:t>Připomeňme skryté působení Boethiovy definice mluvy z</w:t>
      </w:r>
      <w:r w:rsidR="00B64AB7">
        <w:t xml:space="preserve"> jeho překladu díla </w:t>
      </w:r>
      <w:r w:rsidR="087A7891" w:rsidRPr="084C2F00">
        <w:rPr>
          <w:i/>
        </w:rPr>
        <w:t>De interpretatione</w:t>
      </w:r>
      <w:r w:rsidR="087A7891">
        <w:t xml:space="preserve"> (</w:t>
      </w:r>
      <w:r w:rsidR="087A7891" w:rsidRPr="087A7891">
        <w:rPr>
          <w:i/>
        </w:rPr>
        <w:t>notae</w:t>
      </w:r>
      <w:r w:rsidR="08830DF3">
        <w:t>, kap. 1</w:t>
      </w:r>
      <w:r w:rsidR="087A7891">
        <w:t>.1)</w:t>
      </w:r>
      <w:r w:rsidR="00B64AB7">
        <w:t>. Tento pojem nyní dostal</w:t>
      </w:r>
      <w:r w:rsidR="087A7891">
        <w:t xml:space="preserve"> objektivně analytický charakter. </w:t>
      </w:r>
      <w:r w:rsidR="00EB3605">
        <w:t xml:space="preserve">Indikativ </w:t>
      </w:r>
      <w:r w:rsidR="00EA101C">
        <w:t>„</w:t>
      </w:r>
      <w:r w:rsidR="001B3168" w:rsidRPr="00273106">
        <w:rPr>
          <w:i/>
        </w:rPr>
        <w:t>adnotamus</w:t>
      </w:r>
      <w:r w:rsidR="00EA101C">
        <w:t>“</w:t>
      </w:r>
      <w:r w:rsidR="000F336B">
        <w:t xml:space="preserve"> se v následující generaci změnil v epochální imperativ a založil</w:t>
      </w:r>
      <w:r w:rsidR="001B3168" w:rsidRPr="00273106">
        <w:t xml:space="preserve"> novou metafyziku, kterou zač</w:t>
      </w:r>
      <w:r w:rsidR="000F336B">
        <w:t>ala</w:t>
      </w:r>
      <w:r w:rsidR="001B3168" w:rsidRPr="00273106">
        <w:t xml:space="preserve"> </w:t>
      </w:r>
      <w:r w:rsidR="00EB3605">
        <w:t xml:space="preserve">působit </w:t>
      </w:r>
      <w:r w:rsidR="001B3168"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1B3168" w:rsidRPr="00273106">
        <w:t xml:space="preserve"> od Bonaventury přes Henryho z Gentu, až po Scota. Posledně jmenovaný modernista se už nespokojí s pouhým opisem objektivity. Scot</w:t>
      </w:r>
      <w:r w:rsidR="003130F7">
        <w:t xml:space="preserve">us navrhne pro Rufusovo </w:t>
      </w:r>
      <w:r w:rsidR="004B4D52" w:rsidRPr="004B4D52">
        <w:t>species</w:t>
      </w:r>
      <w:r w:rsidR="001B3168" w:rsidRPr="00273106">
        <w:rPr>
          <w:i/>
        </w:rPr>
        <w:t xml:space="preserve"> obiecti exsistentis</w:t>
      </w:r>
      <w:r w:rsidR="0091768A">
        <w:rPr>
          <w:i/>
        </w:rPr>
        <w:fldChar w:fldCharType="begin"/>
      </w:r>
      <w:r w:rsidR="0091768A">
        <w:instrText xml:space="preserve"> XE "</w:instrText>
      </w:r>
      <w:r w:rsidR="0091768A" w:rsidRPr="00C05196">
        <w:rPr>
          <w:i/>
        </w:rPr>
        <w:instrText>species</w:instrText>
      </w:r>
      <w:r w:rsidR="0091768A" w:rsidRPr="00C05196">
        <w:instrText xml:space="preserve"> </w:instrText>
      </w:r>
      <w:r w:rsidR="0091768A" w:rsidRPr="00C05196">
        <w:rPr>
          <w:i/>
        </w:rPr>
        <w:instrText>obiecti exsistentis</w:instrText>
      </w:r>
      <w:r w:rsidR="0091768A">
        <w:instrText xml:space="preserve">" </w:instrText>
      </w:r>
      <w:r w:rsidR="0091768A">
        <w:rPr>
          <w:i/>
        </w:rPr>
        <w:fldChar w:fldCharType="end"/>
      </w:r>
      <w:r w:rsidR="001B3168" w:rsidRPr="00273106">
        <w:t xml:space="preserve"> novou metafyziku.</w:t>
      </w:r>
      <w:r w:rsidR="087F1035">
        <w:t xml:space="preserve"> A</w:t>
      </w:r>
      <w:r w:rsidR="001B3168" w:rsidRPr="00273106">
        <w:t xml:space="preserve">ristotelská hyparchická existence se změnila na akt </w:t>
      </w:r>
      <w:r w:rsidR="001B3168">
        <w:t xml:space="preserve">moderního </w:t>
      </w:r>
      <w:r w:rsidR="001B3168" w:rsidRPr="00273106">
        <w:rPr>
          <w:i/>
        </w:rPr>
        <w:t>exsistere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1B3168" w:rsidRPr="00273106">
        <w:t xml:space="preserve">, které se </w:t>
      </w:r>
      <w:r w:rsidR="001B3168">
        <w:t xml:space="preserve">primárně </w:t>
      </w:r>
      <w:r w:rsidR="001B3168" w:rsidRPr="00273106">
        <w:t xml:space="preserve">týká </w:t>
      </w:r>
      <w:r w:rsidR="001B3168">
        <w:t xml:space="preserve">nikoliv reálné věci, ale </w:t>
      </w:r>
      <w:r w:rsidR="004B4D52" w:rsidRPr="004B4D52">
        <w:t>species</w:t>
      </w:r>
      <w:r w:rsidR="001B3168" w:rsidRPr="00273106">
        <w:rPr>
          <w:i/>
        </w:rPr>
        <w:t xml:space="preserve"> obiecti</w:t>
      </w:r>
      <w:r w:rsidR="001B3168" w:rsidRPr="00273106">
        <w:t xml:space="preserve">. </w:t>
      </w:r>
      <w:r w:rsidR="00004DF8">
        <w:t>Moderní s</w:t>
      </w:r>
      <w:r w:rsidR="001B3168" w:rsidRPr="00273106">
        <w:t xml:space="preserve">ubjekt své </w:t>
      </w:r>
      <w:r w:rsidR="00004DF8">
        <w:t xml:space="preserve">objektivní </w:t>
      </w:r>
      <w:r w:rsidR="001B3168" w:rsidRPr="00273106">
        <w:rPr>
          <w:i/>
        </w:rPr>
        <w:t>scibile</w:t>
      </w:r>
      <w:r w:rsidR="00004DF8">
        <w:rPr>
          <w:i/>
        </w:rPr>
        <w:fldChar w:fldCharType="begin"/>
      </w:r>
      <w:r w:rsidR="00004DF8">
        <w:instrText xml:space="preserve"> XE "</w:instrText>
      </w:r>
      <w:r w:rsidR="00004DF8" w:rsidRPr="008705B6">
        <w:rPr>
          <w:i/>
        </w:rPr>
        <w:instrText>scibile</w:instrText>
      </w:r>
      <w:r w:rsidR="00004DF8" w:rsidRPr="00004DF8">
        <w:instrText>:objektivní</w:instrText>
      </w:r>
      <w:r w:rsidR="00004DF8">
        <w:instrText xml:space="preserve">" </w:instrText>
      </w:r>
      <w:r w:rsidR="00004DF8">
        <w:rPr>
          <w:i/>
        </w:rPr>
        <w:fldChar w:fldCharType="end"/>
      </w:r>
      <w:r w:rsidR="001B3168" w:rsidRPr="00273106">
        <w:t xml:space="preserve"> aktivně konstruuje, místo aby primárně</w:t>
      </w:r>
      <w:r w:rsidR="001B3168" w:rsidRPr="00273106">
        <w:noBreakHyphen/>
        <w:t xml:space="preserve">pasivně poznával první substanci, </w:t>
      </w:r>
      <w:r w:rsidR="001B3168">
        <w:t>abstrahoval její význam v intencionálně zaměřené mysli, a</w:t>
      </w:r>
      <w:r w:rsidR="001B3168" w:rsidRPr="00273106">
        <w:t xml:space="preserve"> pak </w:t>
      </w:r>
      <w:r w:rsidR="001B3168">
        <w:t>t</w:t>
      </w:r>
      <w:r w:rsidR="003130F7">
        <w:t>a</w:t>
      </w:r>
      <w:r w:rsidR="001B3168">
        <w:t xml:space="preserve">to </w:t>
      </w:r>
      <w:r w:rsidR="004B4D52" w:rsidRPr="004B4D52">
        <w:t>species</w:t>
      </w:r>
      <w:r w:rsidR="001B3168">
        <w:t xml:space="preserve"> </w:t>
      </w:r>
      <w:r w:rsidR="08AA6875">
        <w:t>daná</w:t>
      </w:r>
      <w:r w:rsidR="003130F7">
        <w:t xml:space="preserve"> ve formě syntetizovaných univerzálních pojmů </w:t>
      </w:r>
      <w:r w:rsidR="001B3168">
        <w:t xml:space="preserve">pravdivě </w:t>
      </w:r>
      <w:r w:rsidR="001B3168" w:rsidRPr="00273106">
        <w:t xml:space="preserve">predikoval </w:t>
      </w:r>
      <w:r w:rsidR="001B3168">
        <w:t>vzhledem ke kauzálním vztahům prvních substancí</w:t>
      </w:r>
      <w:r w:rsidR="001B3168" w:rsidRPr="00273106">
        <w:t xml:space="preserve">. Jsoucno je nyní v modu </w:t>
      </w:r>
      <w:r w:rsidR="001B3168" w:rsidRPr="00273106">
        <w:rPr>
          <w:i/>
        </w:rPr>
        <w:t>per prius</w:t>
      </w:r>
      <w:r w:rsidR="001B3168" w:rsidRPr="00273106">
        <w:t xml:space="preserve"> nasvíceno zezadu</w:t>
      </w:r>
      <w:r w:rsidR="004556AC">
        <w:fldChar w:fldCharType="begin"/>
      </w:r>
      <w:r w:rsidR="004556AC">
        <w:instrText xml:space="preserve"> XE "</w:instrText>
      </w:r>
      <w:r w:rsidR="004556AC" w:rsidRPr="00514050">
        <w:instrText>zjevování:nasvícení zezadu</w:instrText>
      </w:r>
      <w:r w:rsidR="004556AC">
        <w:instrText xml:space="preserve">" </w:instrText>
      </w:r>
      <w:r w:rsidR="004556AC">
        <w:fldChar w:fldCharType="end"/>
      </w:r>
      <w:r w:rsidR="001B3168" w:rsidRPr="00273106">
        <w:t xml:space="preserve"> od poznávajícího subjektu místo zepředu od aktuální první substance. Nový subjekt konstruuje novou první substanci jako</w:t>
      </w:r>
      <w:r w:rsidR="009B7DBF">
        <w:t xml:space="preserve"> </w:t>
      </w:r>
      <w:r w:rsidR="001B3168" w:rsidRPr="00273106">
        <w:rPr>
          <w:i/>
        </w:rPr>
        <w:t>obiectum</w:t>
      </w:r>
      <w:r w:rsidR="001B3168" w:rsidRPr="00273106">
        <w:t>, které plně vyhovuje jeh</w:t>
      </w:r>
      <w:r w:rsidR="001B3168">
        <w:t>o aktivnímu naturelu</w:t>
      </w:r>
      <w:r w:rsidR="004556AC" w:rsidRPr="004556AC">
        <w:t xml:space="preserve"> </w:t>
      </w:r>
      <w:r w:rsidR="004556AC">
        <w:t>moderního demiurga</w:t>
      </w:r>
      <w:r w:rsidR="001B3168">
        <w:t xml:space="preserve">. </w:t>
      </w:r>
      <w:r w:rsidR="08AD4CC9" w:rsidRPr="00273106">
        <w:t>Heideggerem podaná dráha náhledu na smysl jsoucna (</w:t>
      </w:r>
      <w:r w:rsidR="08AD4CC9" w:rsidRPr="00273106">
        <w:rPr>
          <w:i/>
        </w:rPr>
        <w:t>Vor</w:t>
      </w:r>
      <w:r w:rsidR="08AD4CC9" w:rsidRPr="00273106">
        <w:rPr>
          <w:i/>
        </w:rPr>
        <w:noBreakHyphen/>
        <w:t>blickbahn</w:t>
      </w:r>
      <w:r w:rsidR="08AD4CC9">
        <w:rPr>
          <w:i/>
        </w:rPr>
        <w:fldChar w:fldCharType="begin"/>
      </w:r>
      <w:r w:rsidR="08AD4CC9">
        <w:instrText xml:space="preserve"> XE "</w:instrText>
      </w:r>
      <w:r w:rsidR="08106DC9">
        <w:rPr>
          <w:i/>
        </w:rPr>
        <w:instrText>Vor-</w:instrText>
      </w:r>
      <w:r w:rsidR="08AD4CC9" w:rsidRPr="000C66F2">
        <w:rPr>
          <w:i/>
        </w:rPr>
        <w:instrText>b</w:instrText>
      </w:r>
      <w:r w:rsidR="08AD4CC9" w:rsidRPr="000C66F2">
        <w:rPr>
          <w:i/>
          <w:iCs/>
        </w:rPr>
        <w:instrText>lickbahn</w:instrText>
      </w:r>
      <w:r w:rsidR="08AD4CC9">
        <w:rPr>
          <w:iCs/>
        </w:rPr>
        <w:instrText>:Rufus</w:instrText>
      </w:r>
      <w:r w:rsidR="08AD4CC9">
        <w:instrText xml:space="preserve">" </w:instrText>
      </w:r>
      <w:r w:rsidR="08AD4CC9">
        <w:rPr>
          <w:i/>
        </w:rPr>
        <w:fldChar w:fldCharType="end"/>
      </w:r>
      <w:r w:rsidR="08AD4CC9" w:rsidRPr="00273106">
        <w:t xml:space="preserve">) jde od poznávajícího subjektu </w:t>
      </w:r>
      <w:r w:rsidR="08AD4CC9">
        <w:t xml:space="preserve">k </w:t>
      </w:r>
      <w:r w:rsidR="08AD4CC9" w:rsidRPr="00273106">
        <w:t xml:space="preserve">reálné věci. </w:t>
      </w:r>
      <w:r w:rsidR="0002516A">
        <w:t xml:space="preserve">Mytologický příchod objektivní </w:t>
      </w:r>
      <w:r w:rsidR="00C02DCA">
        <w:t xml:space="preserve">hypostáze </w:t>
      </w:r>
      <w:r w:rsidR="0002516A">
        <w:t xml:space="preserve">vytvořené Rufusem </w:t>
      </w:r>
      <w:r w:rsidR="00C02DCA">
        <w:t xml:space="preserve">do reálné kontigence </w:t>
      </w:r>
      <w:r w:rsidR="0002516A">
        <w:t xml:space="preserve">světa vytvořil </w:t>
      </w:r>
      <w:r w:rsidR="00E96329">
        <w:t xml:space="preserve">první dějinnou manifestaci </w:t>
      </w:r>
      <w:r w:rsidR="00C02DCA">
        <w:t xml:space="preserve">objektivity. </w:t>
      </w:r>
      <w:r w:rsidR="087F1035" w:rsidRPr="00273106">
        <w:t>Bytí objektivity jsoucna bylo dáno v původní skrytosti</w:t>
      </w:r>
      <w:r w:rsidR="087F1035">
        <w:t xml:space="preserve"> a nyní se měnilo</w:t>
      </w:r>
      <w:r w:rsidR="087F1035" w:rsidRPr="00273106">
        <w:t xml:space="preserve"> na zjevnou „exsistenci“ (</w:t>
      </w:r>
      <w:r w:rsidR="004B4D52" w:rsidRPr="00472539">
        <w:rPr>
          <w:i/>
        </w:rPr>
        <w:t>species</w:t>
      </w:r>
      <w:r w:rsidR="087F1035" w:rsidRPr="00273106">
        <w:rPr>
          <w:i/>
        </w:rPr>
        <w:t xml:space="preserve"> obiecti exsistentis</w:t>
      </w:r>
      <w:r w:rsidR="087F1035" w:rsidRPr="00273106">
        <w:t>).</w:t>
      </w:r>
      <w:r w:rsidR="087F1035">
        <w:t xml:space="preserve"> </w:t>
      </w:r>
      <w:r w:rsidR="00502DED" w:rsidRPr="00273106">
        <w:t xml:space="preserve">Tento přechod bytí jsoucna od </w:t>
      </w:r>
      <w:r w:rsidR="00502DED">
        <w:t xml:space="preserve">dějinné </w:t>
      </w:r>
      <w:r w:rsidR="00502DED" w:rsidRPr="00273106">
        <w:t xml:space="preserve">skrytosti do epochální odkrytosti </w:t>
      </w:r>
      <w:r w:rsidR="00502DED">
        <w:t xml:space="preserve">je dán jako událost </w:t>
      </w:r>
      <w:r w:rsidR="08AA7C27">
        <w:t xml:space="preserve">dějinně změněného </w:t>
      </w:r>
      <w:r w:rsidR="00502DED">
        <w:t xml:space="preserve">bytí </w:t>
      </w:r>
      <w:r w:rsidR="00472539">
        <w:t xml:space="preserve">metafyzického </w:t>
      </w:r>
      <w:r w:rsidR="00502DED">
        <w:t>jsoucna (</w:t>
      </w:r>
      <w:r w:rsidR="08AA7C27">
        <w:t xml:space="preserve">Heideggerův </w:t>
      </w:r>
      <w:r w:rsidR="00502DED" w:rsidRPr="00DF0D0A">
        <w:rPr>
          <w:i/>
        </w:rPr>
        <w:t>Ereignis</w:t>
      </w:r>
      <w:r w:rsidR="00502DED">
        <w:t xml:space="preserve">). </w:t>
      </w:r>
      <w:r w:rsidR="087F1035">
        <w:t xml:space="preserve">Hermeneutická pravda objektivity se poprvé manifestuje v poli averroistického intelektu, který tehdejší znalci prohlásili na sofistický výplod nebo za šílenost. </w:t>
      </w:r>
      <w:r w:rsidR="082C0AF7">
        <w:t>Albert v polemice proti těmto pochybným averroistům (</w:t>
      </w:r>
      <w:r w:rsidR="082C0AF7" w:rsidRPr="00991486">
        <w:rPr>
          <w:i/>
        </w:rPr>
        <w:t>Averroistae</w:t>
      </w:r>
      <w:r w:rsidR="082C0AF7">
        <w:t>) kolem Bonaventury a Rufuse jasně obhájil jednotu poznání v osobě podle CMDA (</w:t>
      </w:r>
      <w:r w:rsidR="082C0AF7" w:rsidRPr="00E43645">
        <w:rPr>
          <w:i/>
        </w:rPr>
        <w:t>hac in determinatione convenit nobiscum Averroes</w:t>
      </w:r>
      <w:r w:rsidR="08C603F7">
        <w:t>, kap. 2</w:t>
      </w:r>
      <w:r w:rsidR="082C0AF7">
        <w:t xml:space="preserve">.4.3). </w:t>
      </w:r>
      <w:r w:rsidR="00C02DCA">
        <w:t>Objektivní bytí u Rufuse přesahuje (</w:t>
      </w:r>
      <w:r w:rsidR="00C02DCA" w:rsidRPr="00C02DCA">
        <w:rPr>
          <w:i/>
        </w:rPr>
        <w:t>exsistit</w:t>
      </w:r>
      <w:r w:rsidR="00C02DCA">
        <w:t xml:space="preserve">) </w:t>
      </w:r>
      <w:r w:rsidR="082D43A9">
        <w:t>v ho</w:t>
      </w:r>
      <w:r w:rsidR="087F1035">
        <w:t>d</w:t>
      </w:r>
      <w:r w:rsidR="082D43A9">
        <w:t>i</w:t>
      </w:r>
      <w:r w:rsidR="087F1035">
        <w:t xml:space="preserve">ně své nepravdy </w:t>
      </w:r>
      <w:r w:rsidR="00C02DCA">
        <w:t xml:space="preserve">z dějinně dané </w:t>
      </w:r>
      <w:r w:rsidR="00472539">
        <w:rPr>
          <w:i/>
        </w:rPr>
        <w:t>a</w:t>
      </w:r>
      <w:r w:rsidR="00C02DCA" w:rsidRPr="082D43A9">
        <w:rPr>
          <w:i/>
        </w:rPr>
        <w:t>léth</w:t>
      </w:r>
      <w:r w:rsidR="082D43A9" w:rsidRPr="082D43A9">
        <w:rPr>
          <w:i/>
        </w:rPr>
        <w:t>eia</w:t>
      </w:r>
      <w:r w:rsidR="00C02DCA">
        <w:t xml:space="preserve"> do odkrytých dějin filosofie</w:t>
      </w:r>
      <w:r w:rsidR="00472539">
        <w:t xml:space="preserve"> (</w:t>
      </w:r>
      <w:r w:rsidR="00472539" w:rsidRPr="00472539">
        <w:rPr>
          <w:i/>
        </w:rPr>
        <w:t>veritas</w:t>
      </w:r>
      <w:r w:rsidR="00472539">
        <w:t>)</w:t>
      </w:r>
      <w:r w:rsidR="00C02DCA">
        <w:t xml:space="preserve">. </w:t>
      </w:r>
      <w:r w:rsidR="00DF0D0A">
        <w:t xml:space="preserve">Nová konfigurace </w:t>
      </w:r>
      <w:r w:rsidR="008F76DE">
        <w:t xml:space="preserve">averroistické </w:t>
      </w:r>
      <w:r w:rsidR="00DF0D0A">
        <w:t xml:space="preserve">metafyziky zjevená </w:t>
      </w:r>
      <w:r w:rsidR="004D0E77">
        <w:t xml:space="preserve">skrze </w:t>
      </w:r>
      <w:r w:rsidR="007073BB">
        <w:t xml:space="preserve">metafyzický </w:t>
      </w:r>
      <w:r w:rsidR="00044F26">
        <w:t>omyl (</w:t>
      </w:r>
      <w:r w:rsidR="00044F26" w:rsidRPr="00044F26">
        <w:rPr>
          <w:i/>
        </w:rPr>
        <w:t>Irrtum</w:t>
      </w:r>
      <w:r w:rsidR="003104A5">
        <w:rPr>
          <w:i/>
        </w:rPr>
        <w:fldChar w:fldCharType="begin"/>
      </w:r>
      <w:r w:rsidR="003104A5">
        <w:instrText xml:space="preserve"> XE "</w:instrText>
      </w:r>
      <w:r w:rsidR="003104A5" w:rsidRPr="00B259BA">
        <w:rPr>
          <w:i/>
        </w:rPr>
        <w:instrText>Irrtum</w:instrText>
      </w:r>
      <w:r w:rsidR="003104A5">
        <w:instrText xml:space="preserve">" </w:instrText>
      </w:r>
      <w:r w:rsidR="003104A5">
        <w:rPr>
          <w:i/>
        </w:rPr>
        <w:fldChar w:fldCharType="end"/>
      </w:r>
      <w:r w:rsidR="00044F26">
        <w:t xml:space="preserve">) </w:t>
      </w:r>
      <w:r w:rsidR="00AD4F32">
        <w:t xml:space="preserve">prvního </w:t>
      </w:r>
      <w:r w:rsidR="004D0E77">
        <w:t xml:space="preserve">modernisty </w:t>
      </w:r>
      <w:r w:rsidR="001B3168" w:rsidRPr="00273106">
        <w:t xml:space="preserve">zakládá </w:t>
      </w:r>
      <w:r w:rsidR="081E7D2B">
        <w:t xml:space="preserve">dějiny </w:t>
      </w:r>
      <w:r w:rsidR="004D0E77">
        <w:t>Z</w:t>
      </w:r>
      <w:r w:rsidR="001B3168" w:rsidRPr="00273106">
        <w:t>ápad</w:t>
      </w:r>
      <w:r w:rsidR="004D0E77">
        <w:t xml:space="preserve">u </w:t>
      </w:r>
      <w:r w:rsidR="081E7D2B">
        <w:t xml:space="preserve">v modu </w:t>
      </w:r>
      <w:r w:rsidR="007073BB">
        <w:t xml:space="preserve">objektivní </w:t>
      </w:r>
      <w:r w:rsidR="00044F26">
        <w:t>bloudění rozumu (</w:t>
      </w:r>
      <w:r w:rsidR="081E7D2B" w:rsidRPr="081E7D2B">
        <w:rPr>
          <w:i/>
        </w:rPr>
        <w:t>Irre</w:t>
      </w:r>
      <w:r w:rsidR="081E7D2B">
        <w:rPr>
          <w:i/>
        </w:rPr>
        <w:fldChar w:fldCharType="begin"/>
      </w:r>
      <w:r w:rsidR="081E7D2B">
        <w:instrText xml:space="preserve"> XE "</w:instrText>
      </w:r>
      <w:r w:rsidR="081E7D2B" w:rsidRPr="08A526FC">
        <w:rPr>
          <w:i/>
        </w:rPr>
        <w:instrText>Irre</w:instrText>
      </w:r>
      <w:r w:rsidR="081E7D2B">
        <w:instrText xml:space="preserve">" </w:instrText>
      </w:r>
      <w:r w:rsidR="081E7D2B">
        <w:rPr>
          <w:i/>
        </w:rPr>
        <w:fldChar w:fldCharType="end"/>
      </w:r>
      <w:r w:rsidR="00044F26">
        <w:t>).</w:t>
      </w:r>
      <w:r w:rsidR="00CF2837">
        <w:t xml:space="preserve"> </w:t>
      </w:r>
      <w:r w:rsidR="007279D6">
        <w:t xml:space="preserve">Averroismus </w:t>
      </w:r>
      <w:r w:rsidR="003E5C45">
        <w:t xml:space="preserve">modernistů </w:t>
      </w:r>
      <w:r w:rsidR="081E7D2B">
        <w:t xml:space="preserve">v modu </w:t>
      </w:r>
      <w:r w:rsidR="000C0E4D">
        <w:t xml:space="preserve">logické sofistiky </w:t>
      </w:r>
      <w:r w:rsidR="007279D6">
        <w:t xml:space="preserve">byl pro tehdejší znalce </w:t>
      </w:r>
      <w:r w:rsidR="002E3B62">
        <w:t>Averroes</w:t>
      </w:r>
      <w:r w:rsidR="007279D6">
        <w:t xml:space="preserve">e naprosto nepřijatelný. </w:t>
      </w:r>
      <w:r w:rsidR="081E7D2B">
        <w:t xml:space="preserve">Z toho omylu </w:t>
      </w:r>
      <w:r w:rsidR="00500373">
        <w:t xml:space="preserve">vznikla tradice moderny </w:t>
      </w:r>
      <w:r w:rsidR="00500373">
        <w:rPr>
          <w:szCs w:val="24"/>
        </w:rPr>
        <w:t>(</w:t>
      </w:r>
      <w:r w:rsidR="00500373" w:rsidRPr="005E6BEF">
        <w:rPr>
          <w:i/>
          <w:szCs w:val="24"/>
        </w:rPr>
        <w:t>via Modernorum</w:t>
      </w:r>
      <w:r w:rsidR="00500373">
        <w:rPr>
          <w:szCs w:val="24"/>
        </w:rPr>
        <w:t>)</w:t>
      </w:r>
      <w:r w:rsidR="081E7D2B">
        <w:t xml:space="preserve">. </w:t>
      </w:r>
      <w:r w:rsidR="006B7B1B">
        <w:t xml:space="preserve">Dílo </w:t>
      </w:r>
      <w:r w:rsidR="006B7B1B" w:rsidRPr="006B7B1B">
        <w:rPr>
          <w:i/>
        </w:rPr>
        <w:t>Speculum animae</w:t>
      </w:r>
      <w:r w:rsidR="006B7B1B">
        <w:t xml:space="preserve"> manifestuje o</w:t>
      </w:r>
      <w:r w:rsidR="00CF0F36">
        <w:t xml:space="preserve">bjektivní </w:t>
      </w:r>
      <w:r w:rsidR="08753EF5">
        <w:t xml:space="preserve">jsoucno </w:t>
      </w:r>
      <w:r w:rsidR="00CF0F36">
        <w:t xml:space="preserve">skrze </w:t>
      </w:r>
      <w:r w:rsidR="001E0E1E">
        <w:t>nový začátek metafyziky (</w:t>
      </w:r>
      <w:r w:rsidR="00CF0F36">
        <w:t xml:space="preserve">Heideggerův </w:t>
      </w:r>
      <w:r w:rsidR="001E0E1E" w:rsidRPr="001E0E1E">
        <w:rPr>
          <w:i/>
        </w:rPr>
        <w:t>Beginn</w:t>
      </w:r>
      <w:r w:rsidR="001E0E1E">
        <w:t>)</w:t>
      </w:r>
      <w:r w:rsidR="086C7F72">
        <w:rPr>
          <w:i/>
        </w:rPr>
        <w:fldChar w:fldCharType="begin"/>
      </w:r>
      <w:r w:rsidR="086C7F72">
        <w:instrText xml:space="preserve"> XE "objektivita:</w:instrText>
      </w:r>
      <w:r w:rsidR="086C7F72" w:rsidRPr="00807E55">
        <w:rPr>
          <w:i/>
        </w:rPr>
        <w:instrText>Anfang/Beginn</w:instrText>
      </w:r>
      <w:r w:rsidR="086C7F72">
        <w:instrText xml:space="preserve">" </w:instrText>
      </w:r>
      <w:r w:rsidR="086C7F72">
        <w:rPr>
          <w:i/>
        </w:rPr>
        <w:fldChar w:fldCharType="end"/>
      </w:r>
      <w:r w:rsidR="083818AF">
        <w:t xml:space="preserve">. Z hlediska </w:t>
      </w:r>
      <w:r w:rsidR="0045292B">
        <w:t xml:space="preserve">současné </w:t>
      </w:r>
      <w:r w:rsidR="083818AF">
        <w:t xml:space="preserve">nihilistické fáze </w:t>
      </w:r>
      <w:r w:rsidR="00135062">
        <w:t>post</w:t>
      </w:r>
      <w:r w:rsidR="083818AF">
        <w:t xml:space="preserve">moderní metafyziky představuje Rufusovo objektivní vidění světa </w:t>
      </w:r>
      <w:r w:rsidR="00135062">
        <w:t>epochální odhalení (</w:t>
      </w:r>
      <w:r w:rsidR="00135062" w:rsidRPr="00135062">
        <w:rPr>
          <w:i/>
        </w:rPr>
        <w:t>alétheia</w:t>
      </w:r>
      <w:r w:rsidR="00135062" w:rsidRPr="00135062">
        <w:t xml:space="preserve">) všech dosud skrytých nihilistických možností </w:t>
      </w:r>
      <w:r w:rsidR="00135062" w:rsidRPr="00135062">
        <w:rPr>
          <w:i/>
        </w:rPr>
        <w:t>Modernorum</w:t>
      </w:r>
      <w:r w:rsidR="00135062">
        <w:t xml:space="preserve">. </w:t>
      </w:r>
      <w:r w:rsidR="08CD601E">
        <w:t xml:space="preserve">Kategorizaci těchto epochálních možností moderny ukáží dějinné existenciály </w:t>
      </w:r>
      <w:r w:rsidR="08CD601E" w:rsidRPr="08CD601E">
        <w:rPr>
          <w:i/>
        </w:rPr>
        <w:t>dativus obiectivus</w:t>
      </w:r>
      <w:r w:rsidR="08CD601E">
        <w:rPr>
          <w:i/>
        </w:rPr>
        <w:fldChar w:fldCharType="begin"/>
      </w:r>
      <w:r w:rsidR="08CD601E">
        <w:instrText xml:space="preserve"> XE "</w:instrText>
      </w:r>
      <w:r w:rsidR="08CD601E" w:rsidRPr="082A0591">
        <w:rPr>
          <w:i/>
        </w:rPr>
        <w:instrText>dativus obiectivus</w:instrText>
      </w:r>
      <w:r w:rsidR="08CD601E">
        <w:instrText xml:space="preserve">" </w:instrText>
      </w:r>
      <w:r w:rsidR="08CD601E">
        <w:rPr>
          <w:i/>
        </w:rPr>
        <w:fldChar w:fldCharType="end"/>
      </w:r>
      <w:r w:rsidR="08CD601E">
        <w:t xml:space="preserve"> (</w:t>
      </w:r>
      <w:r w:rsidR="08CA0966">
        <w:t>OBJ III, kap. 4</w:t>
      </w:r>
      <w:r w:rsidR="08CD601E">
        <w:t xml:space="preserve">). </w:t>
      </w:r>
      <w:r w:rsidR="00D90A6D">
        <w:t xml:space="preserve">Oxfordští </w:t>
      </w:r>
      <w:r w:rsidR="086C7F72">
        <w:t xml:space="preserve">učenci </w:t>
      </w:r>
      <w:r w:rsidR="002D1531">
        <w:t>Rufus</w:t>
      </w:r>
      <w:r w:rsidR="086C7F72">
        <w:t xml:space="preserve"> a </w:t>
      </w:r>
      <w:r w:rsidR="002D1531">
        <w:t>Kilward</w:t>
      </w:r>
      <w:r w:rsidR="00CF0F36">
        <w:t>b</w:t>
      </w:r>
      <w:r w:rsidR="002D1531">
        <w:t xml:space="preserve">y </w:t>
      </w:r>
      <w:r w:rsidR="00D90A6D">
        <w:t xml:space="preserve">neprosadili </w:t>
      </w:r>
      <w:r w:rsidR="00675E16">
        <w:t>do roku 1255</w:t>
      </w:r>
      <w:r w:rsidR="08BA7971">
        <w:t xml:space="preserve"> </w:t>
      </w:r>
      <w:r w:rsidR="00D90A6D">
        <w:t>na Pařížské univerzitě modern</w:t>
      </w:r>
      <w:r w:rsidR="00E4576A">
        <w:t>í verzi</w:t>
      </w:r>
      <w:r w:rsidR="00CC6D2B">
        <w:t xml:space="preserve"> nihilistické metafyziky</w:t>
      </w:r>
      <w:r w:rsidR="00E4576A">
        <w:t xml:space="preserve">. </w:t>
      </w:r>
      <w:r w:rsidR="08BA7971">
        <w:t xml:space="preserve">Objektivita vykázaná z akademických </w:t>
      </w:r>
      <w:r w:rsidR="08340580">
        <w:t xml:space="preserve">lavic </w:t>
      </w:r>
      <w:r w:rsidR="08BA7971">
        <w:t xml:space="preserve">klasické filosofie </w:t>
      </w:r>
      <w:r w:rsidR="081E1565">
        <w:t xml:space="preserve">na Rue du Fouarre </w:t>
      </w:r>
      <w:r w:rsidR="08BA7971">
        <w:t>proto nezaložila pozitivní</w:t>
      </w:r>
      <w:r w:rsidR="003451E7">
        <w:t xml:space="preserve"> </w:t>
      </w:r>
      <w:r w:rsidR="08BA7971">
        <w:t>histori</w:t>
      </w:r>
      <w:r w:rsidR="003451E7">
        <w:t>i objektivity (</w:t>
      </w:r>
      <w:r w:rsidR="003451E7" w:rsidRPr="003451E7">
        <w:rPr>
          <w:i/>
        </w:rPr>
        <w:t>Historie</w:t>
      </w:r>
      <w:r w:rsidR="003451E7">
        <w:t xml:space="preserve">), ale pouze její </w:t>
      </w:r>
      <w:r w:rsidR="001A4283">
        <w:t xml:space="preserve">první </w:t>
      </w:r>
      <w:r w:rsidR="003451E7">
        <w:t>dějinné působení (</w:t>
      </w:r>
      <w:r w:rsidR="003451E7" w:rsidRPr="003451E7">
        <w:rPr>
          <w:i/>
        </w:rPr>
        <w:t>Wirkungsgeschichte</w:t>
      </w:r>
      <w:r w:rsidR="003451E7">
        <w:t xml:space="preserve">). </w:t>
      </w:r>
      <w:r w:rsidR="08340580">
        <w:t xml:space="preserve">Ale tento začátek moderní cesty už dvě </w:t>
      </w:r>
      <w:r w:rsidR="08BA7971">
        <w:t>desetilet</w:t>
      </w:r>
      <w:r w:rsidR="08A42ED6">
        <w:t xml:space="preserve">í </w:t>
      </w:r>
      <w:r w:rsidR="08F7394D">
        <w:t xml:space="preserve">trval </w:t>
      </w:r>
      <w:r w:rsidR="08A42ED6">
        <w:t>na Oxfordu, kde se objek</w:t>
      </w:r>
      <w:r w:rsidR="08BA7971">
        <w:t xml:space="preserve">tivní pojetí jsoucna, poznání a osoby stalo skrze </w:t>
      </w:r>
      <w:r w:rsidR="08BA7971" w:rsidRPr="08BA7971">
        <w:rPr>
          <w:i/>
        </w:rPr>
        <w:t>Oxfordian Fallacy</w:t>
      </w:r>
      <w:r w:rsidR="08F7394D">
        <w:t xml:space="preserve"> dějinně účinnou silou</w:t>
      </w:r>
      <w:r w:rsidR="00534B9B">
        <w:t>.</w:t>
      </w:r>
    </w:p>
    <w:p w14:paraId="30E1CAB9" w14:textId="77777777" w:rsidR="00DC4AEC" w:rsidRDefault="0054015B" w:rsidP="003D47F4">
      <w:pPr>
        <w:ind w:firstLine="397"/>
      </w:pPr>
      <w:r>
        <w:t xml:space="preserve">Rufus odešel </w:t>
      </w:r>
      <w:r w:rsidR="00D90A6D">
        <w:t xml:space="preserve">do rodné </w:t>
      </w:r>
      <w:r w:rsidR="00D90A6D" w:rsidRPr="0028379C">
        <w:rPr>
          <w:i/>
        </w:rPr>
        <w:t>alma mater</w:t>
      </w:r>
      <w:r>
        <w:t>, kde začal přednášet Sentence</w:t>
      </w:r>
      <w:r w:rsidR="006E73EE" w:rsidRPr="006E73EE">
        <w:t xml:space="preserve"> </w:t>
      </w:r>
      <w:r w:rsidR="00B402AD">
        <w:t xml:space="preserve">od </w:t>
      </w:r>
      <w:r w:rsidR="006E73EE">
        <w:t>roku 1250</w:t>
      </w:r>
      <w:r w:rsidR="00C14BFB">
        <w:t xml:space="preserve">. Jeho </w:t>
      </w:r>
      <w:r w:rsidR="007A2548">
        <w:t xml:space="preserve">oxfordské </w:t>
      </w:r>
      <w:r w:rsidR="00C14BFB">
        <w:t xml:space="preserve">přednášky </w:t>
      </w:r>
      <w:r w:rsidR="007A2548">
        <w:t xml:space="preserve">zakládající epochu objektivity </w:t>
      </w:r>
      <w:r w:rsidR="00C14BFB">
        <w:t>odmítl již citovaný Bacon</w:t>
      </w:r>
      <w:r w:rsidR="00451D33">
        <w:t xml:space="preserve"> jako šílenost</w:t>
      </w:r>
      <w:r w:rsidR="00C14BFB">
        <w:t xml:space="preserve">. </w:t>
      </w:r>
      <w:r w:rsidR="00D90A6D">
        <w:t xml:space="preserve">První kolo oxfordští modernisté </w:t>
      </w:r>
      <w:r w:rsidR="008E73AB">
        <w:t xml:space="preserve">v Paříži </w:t>
      </w:r>
      <w:r w:rsidR="00D90A6D">
        <w:t xml:space="preserve">prohráli, ale druhé už nikoliv. </w:t>
      </w:r>
      <w:r w:rsidR="089D36EF">
        <w:t xml:space="preserve">Rufus založil pařížskou éru objektivity v roce 1255. </w:t>
      </w:r>
      <w:r w:rsidR="00D90A6D">
        <w:t xml:space="preserve">Do boje </w:t>
      </w:r>
      <w:r w:rsidR="086C35DF">
        <w:t xml:space="preserve">za novou vizi světa </w:t>
      </w:r>
      <w:r w:rsidR="00D90A6D">
        <w:t>nastoupil Bonaven</w:t>
      </w:r>
      <w:r w:rsidR="00451D33">
        <w:t xml:space="preserve">tura a jeho modernistická škola. Ti </w:t>
      </w:r>
      <w:r w:rsidR="00D90A6D">
        <w:t>podporova</w:t>
      </w:r>
      <w:r w:rsidR="00451D33">
        <w:t xml:space="preserve">li </w:t>
      </w:r>
      <w:r w:rsidR="00D90A6D">
        <w:t>Rufuse během jeho druhého pobytu v</w:t>
      </w:r>
      <w:r w:rsidR="00451D33">
        <w:t> </w:t>
      </w:r>
      <w:r w:rsidR="00D90A6D">
        <w:t>Paříži</w:t>
      </w:r>
      <w:r w:rsidR="00451D33">
        <w:t xml:space="preserve">, kdy </w:t>
      </w:r>
      <w:r w:rsidR="009F0DCC">
        <w:t xml:space="preserve">se asi stal </w:t>
      </w:r>
      <w:r w:rsidR="00451D33">
        <w:t>regentem</w:t>
      </w:r>
      <w:r w:rsidR="00EA3E90">
        <w:t xml:space="preserve"> františkánské koleje</w:t>
      </w:r>
      <w:r w:rsidR="00D90A6D">
        <w:t xml:space="preserve">. </w:t>
      </w:r>
      <w:r w:rsidR="00EA701C">
        <w:t xml:space="preserve">Nyní </w:t>
      </w:r>
      <w:r w:rsidR="00E43645">
        <w:t>je jasné</w:t>
      </w:r>
      <w:r w:rsidR="0080430A">
        <w:t>,</w:t>
      </w:r>
      <w:r w:rsidR="00814F27" w:rsidRPr="00814F27">
        <w:t xml:space="preserve"> </w:t>
      </w:r>
      <w:r w:rsidR="00814F27">
        <w:t xml:space="preserve">proč Rufusův sofistický výklad </w:t>
      </w:r>
      <w:r w:rsidR="002E3B62">
        <w:t>Averroes</w:t>
      </w:r>
      <w:r w:rsidR="00814F27">
        <w:t>e (</w:t>
      </w:r>
      <w:r w:rsidR="00814F27" w:rsidRPr="00122493">
        <w:rPr>
          <w:i/>
        </w:rPr>
        <w:t>Contra Averroem</w:t>
      </w:r>
      <w:r w:rsidR="00814F27">
        <w:t xml:space="preserve">, 1236) byl </w:t>
      </w:r>
      <w:r w:rsidR="009F0DCC">
        <w:t>nahrazen dalším přímým útokem na Komentátora, který vedl Bonaventura okolo r</w:t>
      </w:r>
      <w:r w:rsidR="00814F27">
        <w:t xml:space="preserve">oku </w:t>
      </w:r>
      <w:r w:rsidR="00E43645">
        <w:t>1252</w:t>
      </w:r>
      <w:r w:rsidR="009F0DCC">
        <w:t xml:space="preserve">. </w:t>
      </w:r>
      <w:r w:rsidR="00D43255">
        <w:t xml:space="preserve">Serafínský učitel udělal </w:t>
      </w:r>
      <w:r w:rsidR="00814F27">
        <w:t xml:space="preserve">z </w:t>
      </w:r>
      <w:r w:rsidR="002E3B62">
        <w:t>Averroes</w:t>
      </w:r>
      <w:r w:rsidR="00814F27">
        <w:t xml:space="preserve">e </w:t>
      </w:r>
      <w:r w:rsidR="0080430A">
        <w:t xml:space="preserve">nejen chybujícího </w:t>
      </w:r>
      <w:r w:rsidR="00FF7437">
        <w:t xml:space="preserve">a zmateného </w:t>
      </w:r>
      <w:r w:rsidR="0080430A">
        <w:t xml:space="preserve">filosofa (to měl už Rufus), ale i </w:t>
      </w:r>
      <w:r w:rsidR="00E43645">
        <w:t xml:space="preserve">křesťanského heretika. </w:t>
      </w:r>
      <w:r w:rsidR="007F46D4">
        <w:t>Averroe</w:t>
      </w:r>
      <w:r w:rsidR="007F46D4" w:rsidRPr="007F46D4">
        <w:t xml:space="preserve">s se jako zbožný muslim stal démonickou křesťanskou bytostí. Démonickým Averroesem se stal prostřednictvím rituálu akademické nekromancie. Tento novověký </w:t>
      </w:r>
      <w:r w:rsidR="007F46D4">
        <w:t xml:space="preserve">idol </w:t>
      </w:r>
      <w:r w:rsidR="007F46D4" w:rsidRPr="007F46D4">
        <w:t xml:space="preserve">(εἴδωλον ποίησε, </w:t>
      </w:r>
      <w:r w:rsidR="007F46D4" w:rsidRPr="007F46D4">
        <w:rPr>
          <w:i/>
        </w:rPr>
        <w:t>Odys</w:t>
      </w:r>
      <w:r w:rsidR="007F46D4" w:rsidRPr="007F46D4">
        <w:t>. 4.796</w:t>
      </w:r>
      <w:r w:rsidR="007F46D4">
        <w:fldChar w:fldCharType="begin"/>
      </w:r>
      <w:r w:rsidR="007F46D4">
        <w:instrText xml:space="preserve"> XE "Homer:</w:instrText>
      </w:r>
      <w:r w:rsidR="007F46D4" w:rsidRPr="08985A3F">
        <w:rPr>
          <w:i/>
        </w:rPr>
        <w:instrText>Odys</w:instrText>
      </w:r>
      <w:r w:rsidR="007F46D4" w:rsidRPr="08985A3F">
        <w:instrText>. 4.796</w:instrText>
      </w:r>
      <w:r w:rsidR="007F46D4">
        <w:instrText xml:space="preserve">" </w:instrText>
      </w:r>
      <w:r w:rsidR="007F46D4">
        <w:fldChar w:fldCharType="end"/>
      </w:r>
      <w:r w:rsidR="00FA2FB7">
        <w:t>) byl stvořen moderními F</w:t>
      </w:r>
      <w:r w:rsidR="007F46D4" w:rsidRPr="007F46D4">
        <w:t>úriemi a objektivně pochází ze světa mrtvých. Toto nyní křesťanské monstrum musí být z</w:t>
      </w:r>
      <w:r w:rsidR="00ED001D">
        <w:t xml:space="preserve"> moderní </w:t>
      </w:r>
      <w:r w:rsidR="007F46D4" w:rsidRPr="007F46D4">
        <w:t>filosofie vyhnáno, aby byly odčiněny chyby způsobené Davidem z Dinantu a Ruf</w:t>
      </w:r>
      <w:r w:rsidR="00ED001D">
        <w:t>us</w:t>
      </w:r>
      <w:r w:rsidR="007F46D4" w:rsidRPr="007F46D4">
        <w:t xml:space="preserve">em. Rituál nekromantického </w:t>
      </w:r>
      <w:r w:rsidR="00432282">
        <w:t xml:space="preserve">exorcismu </w:t>
      </w:r>
      <w:r w:rsidR="007F46D4" w:rsidRPr="007F46D4">
        <w:t>vyhnání vytváří protějšek již vysvětlené mytologické kopulace kosmických a lidských sil. Každá filosofická orgie nihilistického osvícenství napo</w:t>
      </w:r>
      <w:r w:rsidR="00432282">
        <w:t xml:space="preserve">dobuje babylonskou hostinu </w:t>
      </w:r>
      <w:r w:rsidR="007520A4" w:rsidRPr="008D23D8">
        <w:rPr>
          <w:i/>
        </w:rPr>
        <w:t>Enuma Eliš</w:t>
      </w:r>
      <w:r w:rsidR="007520A4">
        <w:fldChar w:fldCharType="begin"/>
      </w:r>
      <w:r w:rsidR="007520A4">
        <w:instrText xml:space="preserve"> XE "</w:instrText>
      </w:r>
      <w:r w:rsidR="007520A4" w:rsidRPr="008D23D8">
        <w:rPr>
          <w:i/>
        </w:rPr>
        <w:instrText>Enuma Eliš</w:instrText>
      </w:r>
      <w:r w:rsidR="007520A4">
        <w:instrText xml:space="preserve">" </w:instrText>
      </w:r>
      <w:r w:rsidR="007520A4">
        <w:fldChar w:fldCharType="end"/>
      </w:r>
      <w:r w:rsidR="007520A4">
        <w:t>,</w:t>
      </w:r>
      <w:r w:rsidR="007F46D4" w:rsidRPr="007F46D4">
        <w:t xml:space="preserve"> aby vytvořila moderního homunkula, kter</w:t>
      </w:r>
      <w:r w:rsidR="00432282">
        <w:t>ý je poznávajícím subjektem Rufuse</w:t>
      </w:r>
      <w:r w:rsidR="007F46D4" w:rsidRPr="007F46D4">
        <w:t>. Myt</w:t>
      </w:r>
      <w:r w:rsidR="00770875">
        <w:t>ologické síly, dané jako hypostáz</w:t>
      </w:r>
      <w:r w:rsidR="007F46D4" w:rsidRPr="007F46D4">
        <w:t xml:space="preserve">ované intelekty všeho druhu, sestupují z nebe přes </w:t>
      </w:r>
      <w:r w:rsidR="00002ACB">
        <w:t xml:space="preserve">katedry </w:t>
      </w:r>
      <w:r w:rsidR="007F46D4" w:rsidRPr="007F46D4">
        <w:t>analytické filosofie (antický zikkurat) na zem, aby přinesly intelektuální plody.</w:t>
      </w:r>
      <w:r w:rsidR="00015809">
        <w:t xml:space="preserve"> </w:t>
      </w:r>
      <w:r w:rsidR="00015809" w:rsidRPr="00015809">
        <w:t>Stejně objektivn</w:t>
      </w:r>
      <w:r w:rsidR="009B452F">
        <w:t>ě musí být averroistický Averroe</w:t>
      </w:r>
      <w:r w:rsidR="00015809" w:rsidRPr="00015809">
        <w:t>s vy</w:t>
      </w:r>
      <w:r w:rsidR="00015809">
        <w:t xml:space="preserve">volán </w:t>
      </w:r>
      <w:r w:rsidR="00015809" w:rsidRPr="00015809">
        <w:t xml:space="preserve">ze světa mrtvých, aby bylo možné </w:t>
      </w:r>
      <w:r w:rsidR="009B452F">
        <w:t>etablovat moderní filos</w:t>
      </w:r>
      <w:r w:rsidR="00015809" w:rsidRPr="00015809">
        <w:t xml:space="preserve">ofii. Tato démonická bytost se </w:t>
      </w:r>
      <w:r w:rsidR="00015809">
        <w:t xml:space="preserve">objektivně nutně manifestuje </w:t>
      </w:r>
      <w:r w:rsidR="00015809" w:rsidRPr="00015809">
        <w:t>v moderní fi</w:t>
      </w:r>
      <w:r w:rsidR="00466B02">
        <w:t>los</w:t>
      </w:r>
      <w:r w:rsidR="00015809" w:rsidRPr="00015809">
        <w:t>ofii a musí být následně neutralizována vhodným akademickým rituálem. Základe</w:t>
      </w:r>
      <w:r w:rsidR="00015809">
        <w:t>m dvou postupů je údajný Averroe</w:t>
      </w:r>
      <w:r w:rsidR="00015809" w:rsidRPr="00015809">
        <w:t>sův averroismus. Mytologická kopulace kosmických a lidských sil v</w:t>
      </w:r>
      <w:r w:rsidR="00015809">
        <w:t xml:space="preserve"> osvícených </w:t>
      </w:r>
      <w:r w:rsidR="00015809" w:rsidRPr="00015809">
        <w:t xml:space="preserve">myslích neustále znovu uvádí do pohybu objektivní poznání světa. Podobně je třeba </w:t>
      </w:r>
      <w:r w:rsidR="00015809">
        <w:t>vytvořit ritualizovanou</w:t>
      </w:r>
      <w:r w:rsidR="00015809" w:rsidRPr="00015809">
        <w:t xml:space="preserve"> nekromanci</w:t>
      </w:r>
      <w:r w:rsidR="00015809">
        <w:t xml:space="preserve">i, aby se vytvořil </w:t>
      </w:r>
      <w:r w:rsidR="00015809" w:rsidRPr="00015809">
        <w:rPr>
          <w:i/>
        </w:rPr>
        <w:t>eídolon</w:t>
      </w:r>
      <w:r w:rsidR="00015809">
        <w:t xml:space="preserve"> averroismu. </w:t>
      </w:r>
      <w:r w:rsidR="00466B02">
        <w:t>Ten se p</w:t>
      </w:r>
      <w:r w:rsidR="00015809">
        <w:t xml:space="preserve">ak </w:t>
      </w:r>
      <w:r w:rsidR="00466B02">
        <w:t>z</w:t>
      </w:r>
      <w:r w:rsidR="00015809">
        <w:t xml:space="preserve">ažene </w:t>
      </w:r>
      <w:r w:rsidR="00466B02">
        <w:t xml:space="preserve">na poušť, </w:t>
      </w:r>
      <w:r w:rsidR="00015809" w:rsidRPr="00015809">
        <w:t>jako odčinění akademických hříchů (</w:t>
      </w:r>
      <w:r w:rsidR="00015809" w:rsidRPr="00015809">
        <w:rPr>
          <w:i/>
        </w:rPr>
        <w:t>Leviticus</w:t>
      </w:r>
      <w:r w:rsidR="00015809">
        <w:t xml:space="preserve"> 16:</w:t>
      </w:r>
      <w:r w:rsidR="00015809" w:rsidRPr="00015809">
        <w:t>10</w:t>
      </w:r>
      <w:r w:rsidR="00015809" w:rsidRPr="00E944E5">
        <w:fldChar w:fldCharType="begin"/>
      </w:r>
      <w:r w:rsidR="00015809" w:rsidRPr="00E944E5">
        <w:instrText xml:space="preserve"> XE "</w:instrText>
      </w:r>
      <w:r w:rsidR="00015809" w:rsidRPr="00652529">
        <w:rPr>
          <w:i/>
        </w:rPr>
        <w:instrText>Starý zákon</w:instrText>
      </w:r>
      <w:r w:rsidR="00015809" w:rsidRPr="00E944E5">
        <w:instrText xml:space="preserve">:Lv 16.10" </w:instrText>
      </w:r>
      <w:r w:rsidR="00015809" w:rsidRPr="00E944E5">
        <w:fldChar w:fldCharType="end"/>
      </w:r>
      <w:r w:rsidR="00015809" w:rsidRPr="00015809">
        <w:t>). Oba objektivní postupy (mytologická kopulace a mytologická nekromancie</w:t>
      </w:r>
      <w:r w:rsidR="00E40E3C">
        <w:fldChar w:fldCharType="begin"/>
      </w:r>
      <w:r w:rsidR="00E40E3C">
        <w:instrText xml:space="preserve"> XE "</w:instrText>
      </w:r>
      <w:r w:rsidR="00E40E3C" w:rsidRPr="001F16DE">
        <w:instrText>nekromancie</w:instrText>
      </w:r>
      <w:r w:rsidR="00E40E3C">
        <w:instrText xml:space="preserve">" </w:instrText>
      </w:r>
      <w:r w:rsidR="00E40E3C">
        <w:fldChar w:fldCharType="end"/>
      </w:r>
      <w:r w:rsidR="00015809" w:rsidRPr="00015809">
        <w:t xml:space="preserve">) jsou na počátku </w:t>
      </w:r>
      <w:r w:rsidR="00652529">
        <w:t xml:space="preserve">moderny </w:t>
      </w:r>
      <w:r w:rsidR="00015809" w:rsidRPr="00015809">
        <w:t>nezbytné k tomu, aby bylo možné vytvořit objektivní poznání světa.</w:t>
      </w:r>
      <w:r w:rsidR="003D47F4">
        <w:t xml:space="preserve"> </w:t>
      </w:r>
      <w:r w:rsidR="08520333">
        <w:t>Rufusov</w:t>
      </w:r>
      <w:r w:rsidR="0801173F">
        <w:t>o d</w:t>
      </w:r>
      <w:r w:rsidR="00660FB5" w:rsidRPr="00273106">
        <w:t>íl</w:t>
      </w:r>
      <w:r w:rsidR="0801173F">
        <w:t>o</w:t>
      </w:r>
      <w:r w:rsidR="00660FB5" w:rsidRPr="00273106">
        <w:t xml:space="preserve"> </w:t>
      </w:r>
      <w:r w:rsidR="00660FB5" w:rsidRPr="00273106">
        <w:rPr>
          <w:i/>
        </w:rPr>
        <w:t>Speculum animae</w:t>
      </w:r>
      <w:r w:rsidR="0801173F">
        <w:t xml:space="preserve"> </w:t>
      </w:r>
      <w:r w:rsidR="000E561A">
        <w:t xml:space="preserve">uzavírá </w:t>
      </w:r>
      <w:r w:rsidR="00991157">
        <w:t xml:space="preserve">novátorskou </w:t>
      </w:r>
      <w:r w:rsidR="000E561A">
        <w:t>filosofii Rufuse</w:t>
      </w:r>
      <w:r w:rsidR="00497253">
        <w:t xml:space="preserve"> a </w:t>
      </w:r>
      <w:r w:rsidR="0801173F">
        <w:t>myto</w:t>
      </w:r>
      <w:r w:rsidR="00471951">
        <w:t xml:space="preserve">logickou </w:t>
      </w:r>
      <w:r w:rsidR="0801173F">
        <w:t xml:space="preserve">tvorbu </w:t>
      </w:r>
      <w:r w:rsidR="00497253">
        <w:t xml:space="preserve">první vlny oxfordských </w:t>
      </w:r>
      <w:r w:rsidR="00497253" w:rsidRPr="00497253">
        <w:rPr>
          <w:i/>
        </w:rPr>
        <w:t>Modernorum</w:t>
      </w:r>
      <w:r w:rsidR="00A13FAA" w:rsidRPr="00273106">
        <w:t>.</w:t>
      </w:r>
      <w:r w:rsidR="001B3168">
        <w:t xml:space="preserve"> </w:t>
      </w:r>
      <w:r w:rsidR="00775F5E" w:rsidRPr="00273106">
        <w:t xml:space="preserve">Rufus </w:t>
      </w:r>
      <w:r w:rsidR="001B3168">
        <w:t xml:space="preserve">provedl </w:t>
      </w:r>
      <w:r w:rsidR="00775F5E" w:rsidRPr="00273106">
        <w:t xml:space="preserve">epochálně důležitou transformaci jsoucna třetího druhu, které </w:t>
      </w:r>
      <w:r w:rsidR="00874074">
        <w:t>neoplatonsk</w:t>
      </w:r>
      <w:r w:rsidR="00775F5E" w:rsidRPr="00273106">
        <w:t xml:space="preserve">á antika předala avicennovské falsafě a ta zase moderní scholastice. </w:t>
      </w:r>
      <w:r w:rsidR="00E41AF5">
        <w:t xml:space="preserve">Udělal </w:t>
      </w:r>
      <w:r w:rsidR="00E41AF5" w:rsidRPr="00E41AF5">
        <w:t>radikální zatmění první substance (ἐποχή</w:t>
      </w:r>
      <w:r w:rsidR="00E41AF5">
        <w:fldChar w:fldCharType="begin"/>
      </w:r>
      <w:r w:rsidR="00E41AF5">
        <w:instrText xml:space="preserve"> XE "</w:instrText>
      </w:r>
      <w:r w:rsidR="00E41AF5" w:rsidRPr="00E41AF5">
        <w:rPr>
          <w:i/>
        </w:rPr>
        <w:instrText>epoché</w:instrText>
      </w:r>
      <w:r w:rsidR="00E41AF5">
        <w:instrText xml:space="preserve">" </w:instrText>
      </w:r>
      <w:r w:rsidR="00E41AF5">
        <w:fldChar w:fldCharType="end"/>
      </w:r>
      <w:r w:rsidR="00E41AF5" w:rsidRPr="00E41AF5">
        <w:t>) v aristotelské metafyzice</w:t>
      </w:r>
      <w:r w:rsidR="00E41AF5">
        <w:t xml:space="preserve"> a v krátkém období intelektuálního temna (1235–</w:t>
      </w:r>
      <w:r w:rsidR="00E41AF5" w:rsidRPr="00E41AF5">
        <w:t xml:space="preserve">45) nechal zazářit objektivní první substanci jako </w:t>
      </w:r>
      <w:r w:rsidR="00E41AF5" w:rsidRPr="00E41AF5">
        <w:rPr>
          <w:i/>
        </w:rPr>
        <w:t>tertium ens</w:t>
      </w:r>
      <w:r w:rsidR="00E41AF5">
        <w:t xml:space="preserve"> v moderní metafyzice</w:t>
      </w:r>
      <w:r w:rsidR="00E41AF5" w:rsidRPr="00E41AF5">
        <w:t>.</w:t>
      </w:r>
      <w:r w:rsidR="00E41AF5">
        <w:t xml:space="preserve"> Moderna konečně dostala svého sofistického kouzelníka, který ji vytáhl magického objektivního kr</w:t>
      </w:r>
      <w:r w:rsidR="00DC4AEC">
        <w:t>álíka z metafyzického klobouku.</w:t>
      </w:r>
    </w:p>
    <w:p w14:paraId="0EDF5D8E" w14:textId="77777777" w:rsidR="00872299" w:rsidRDefault="00775F5E" w:rsidP="007B65DA">
      <w:pPr>
        <w:ind w:firstLine="397"/>
      </w:pPr>
      <w:r w:rsidRPr="00273106">
        <w:t xml:space="preserve">Nový smysl bytí jsoucna vychází ze </w:t>
      </w:r>
      <w:r w:rsidR="00427CE2">
        <w:t xml:space="preserve">schématu poznání podle </w:t>
      </w:r>
      <w:r w:rsidRPr="00273106">
        <w:rPr>
          <w:i/>
        </w:rPr>
        <w:t>Oxfordian Fallacy</w:t>
      </w:r>
      <w:r w:rsidR="08D00904" w:rsidRPr="08D00904">
        <w:t>, které měl už Grosseteste</w:t>
      </w:r>
      <w:r w:rsidRPr="08D00904">
        <w:t>.</w:t>
      </w:r>
      <w:r w:rsidRPr="00273106">
        <w:t xml:space="preserve"> Rufus změnil bytí středního členu soudu (</w:t>
      </w:r>
      <w:r w:rsidRPr="00273106">
        <w:rPr>
          <w:i/>
        </w:rPr>
        <w:t>medium</w:t>
      </w:r>
      <w:r w:rsidR="00610F15">
        <w:rPr>
          <w:i/>
        </w:rPr>
        <w:fldChar w:fldCharType="begin"/>
      </w:r>
      <w:r w:rsidR="00610F15">
        <w:instrText xml:space="preserve"> XE "</w:instrText>
      </w:r>
      <w:r w:rsidR="00610F15" w:rsidRPr="001618A5">
        <w:rPr>
          <w:i/>
        </w:rPr>
        <w:instrText>medium:</w:instrText>
      </w:r>
      <w:r w:rsidR="00717FF1">
        <w:instrText>Rufus</w:instrText>
      </w:r>
      <w:r w:rsidR="00610F15">
        <w:instrText xml:space="preserve">" </w:instrText>
      </w:r>
      <w:r w:rsidR="00610F15">
        <w:rPr>
          <w:i/>
        </w:rPr>
        <w:fldChar w:fldCharType="end"/>
      </w:r>
      <w:r w:rsidRPr="00273106">
        <w:t>) na objektivně danou hypostázi</w:t>
      </w:r>
      <w:r w:rsidR="003B48EE">
        <w:t xml:space="preserve"> vybavenou materií a formou třetího druhu. Tuto atomární substanci</w:t>
      </w:r>
      <w:r w:rsidRPr="00273106">
        <w:t xml:space="preserve"> začal predikovat vzhledem k novému objektu poznání, který vznikl v novém pojetí </w:t>
      </w:r>
      <w:r w:rsidRPr="00273106">
        <w:rPr>
          <w:i/>
        </w:rPr>
        <w:t>intellectus possibilis</w:t>
      </w:r>
      <w:r w:rsidR="006958F8">
        <w:t xml:space="preserve"> daném jako jedna univerzální averroistická hypostáze. </w:t>
      </w:r>
      <w:r>
        <w:t>Intelekt se změnil na hypostázi</w:t>
      </w:r>
      <w:r w:rsidRPr="00273106">
        <w:t xml:space="preserve"> </w:t>
      </w:r>
      <w:r>
        <w:t>(</w:t>
      </w:r>
      <w:r w:rsidRPr="00DB601B">
        <w:rPr>
          <w:i/>
        </w:rPr>
        <w:t>potentia substantialis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t xml:space="preserve">) </w:t>
      </w:r>
      <w:r w:rsidRPr="00273106">
        <w:t>spoj</w:t>
      </w:r>
      <w:r>
        <w:t>enou</w:t>
      </w:r>
      <w:r w:rsidRPr="00273106">
        <w:t xml:space="preserve"> s individuálním člověkem</w:t>
      </w:r>
      <w:r>
        <w:t xml:space="preserve"> skrze ten či onen kontingentní výkon myšlení (</w:t>
      </w:r>
      <w:r w:rsidR="00843164">
        <w:rPr>
          <w:i/>
        </w:rPr>
        <w:t>potentia accident</w:t>
      </w:r>
      <w:r w:rsidRPr="00DB601B">
        <w:rPr>
          <w:i/>
        </w:rPr>
        <w:t>alis</w:t>
      </w:r>
      <w:r w:rsidR="00505572">
        <w:rPr>
          <w:i/>
        </w:rPr>
        <w:fldChar w:fldCharType="begin"/>
      </w:r>
      <w:r w:rsidR="00505572">
        <w:instrText xml:space="preserve"> XE "</w:instrText>
      </w:r>
      <w:r w:rsidR="00505572" w:rsidRPr="007169BB">
        <w:rPr>
          <w:i/>
        </w:rPr>
        <w:instrText>potentia</w:instrText>
      </w:r>
      <w:r w:rsidR="00505572" w:rsidRPr="007169BB">
        <w:instrText xml:space="preserve"> </w:instrText>
      </w:r>
      <w:r w:rsidR="00843164">
        <w:rPr>
          <w:i/>
        </w:rPr>
        <w:instrText>accidentalis</w:instrText>
      </w:r>
      <w:r w:rsidR="00505572">
        <w:instrText xml:space="preserve">" </w:instrText>
      </w:r>
      <w:r w:rsidR="00505572">
        <w:rPr>
          <w:i/>
        </w:rPr>
        <w:fldChar w:fldCharType="end"/>
      </w:r>
      <w:r>
        <w:t>)</w:t>
      </w:r>
      <w:r w:rsidRPr="00273106">
        <w:t xml:space="preserve">. Receptivní intelekt </w:t>
      </w:r>
      <w:r>
        <w:t xml:space="preserve">Rufuse </w:t>
      </w:r>
      <w:r w:rsidRPr="00273106">
        <w:t xml:space="preserve">je trvalá </w:t>
      </w:r>
      <w:r w:rsidR="006E6D8E">
        <w:t xml:space="preserve">aktuální </w:t>
      </w:r>
      <w:r w:rsidRPr="00273106">
        <w:t>dispozice moderní mysli</w:t>
      </w:r>
      <w:r>
        <w:t xml:space="preserve"> </w:t>
      </w:r>
      <w:r w:rsidR="006E6D8E">
        <w:t>(</w:t>
      </w:r>
      <w:r w:rsidR="006E6D8E" w:rsidRPr="006E6D8E">
        <w:rPr>
          <w:i/>
        </w:rPr>
        <w:t>habitus</w:t>
      </w:r>
      <w:r w:rsidR="006E6D8E">
        <w:t xml:space="preserve">). Proto </w:t>
      </w:r>
      <w:r>
        <w:t xml:space="preserve">může </w:t>
      </w:r>
      <w:r w:rsidR="006E6D8E">
        <w:t>intel</w:t>
      </w:r>
      <w:r w:rsidR="00CE3193">
        <w:t>e</w:t>
      </w:r>
      <w:r w:rsidR="006E6D8E">
        <w:t xml:space="preserve">kt </w:t>
      </w:r>
      <w:r w:rsidRPr="00273106">
        <w:t xml:space="preserve">činit závěry </w:t>
      </w:r>
      <w:r w:rsidR="00155880">
        <w:t xml:space="preserve">sám ze sebe dokonce i </w:t>
      </w:r>
      <w:r>
        <w:t>vzhledem ke kontingentní realitě</w:t>
      </w:r>
      <w:r w:rsidR="00155880">
        <w:t>. P</w:t>
      </w:r>
      <w:r w:rsidRPr="00273106">
        <w:t>řitom má vlastní hypostázi (</w:t>
      </w:r>
      <w:r w:rsidRPr="00273106">
        <w:rPr>
          <w:i/>
        </w:rPr>
        <w:t>esse tale</w:t>
      </w:r>
      <w:r w:rsidRPr="00273106">
        <w:t xml:space="preserve">). Tato akcidentální potence intelektu je hypostázována jako </w:t>
      </w:r>
      <w:r w:rsidR="002E3B62">
        <w:t>Averroes</w:t>
      </w:r>
      <w:r w:rsidRPr="00273106">
        <w:t>ovo simulákrum numericky jednotného možného intelektu</w:t>
      </w:r>
      <w:r w:rsidR="007B65DA">
        <w:t>. Jeho mytologická „kauzalita“</w:t>
      </w:r>
      <w:r w:rsidR="007B65DA" w:rsidRPr="007B65DA">
        <w:t xml:space="preserve"> je použita v deduktivním důkazu pro založení moderní scientologie.</w:t>
      </w:r>
      <w:r w:rsidR="007B65DA">
        <w:t xml:space="preserve"> </w:t>
      </w:r>
      <w:r w:rsidR="00A0364C" w:rsidRPr="00A0364C">
        <w:t xml:space="preserve">Poznání je dáno tím, že oddělený kosmický </w:t>
      </w:r>
      <w:r w:rsidR="00A0364C" w:rsidRPr="00A0364C">
        <w:rPr>
          <w:i/>
        </w:rPr>
        <w:t>intellectus possibilis</w:t>
      </w:r>
      <w:r w:rsidR="00A0364C" w:rsidRPr="00A0364C">
        <w:t xml:space="preserve"> transformuje potenci individuálního </w:t>
      </w:r>
      <w:r w:rsidR="00480D9C">
        <w:t xml:space="preserve">materiálního </w:t>
      </w:r>
      <w:r w:rsidR="00A0364C" w:rsidRPr="00A0364C">
        <w:t>intelektu</w:t>
      </w:r>
      <w:r w:rsidR="00A0364C">
        <w:t xml:space="preserve"> </w:t>
      </w:r>
      <w:r w:rsidR="00196F93">
        <w:t>v</w:t>
      </w:r>
      <w:r w:rsidR="00480D9C">
        <w:t xml:space="preserve"> neexistujícím moderním subjektu </w:t>
      </w:r>
      <w:r w:rsidR="00507F10">
        <w:t>na jeho</w:t>
      </w:r>
      <w:r w:rsidR="00A0364C">
        <w:t xml:space="preserve"> aktualizovanou formu</w:t>
      </w:r>
      <w:r w:rsidR="00507F10">
        <w:t xml:space="preserve"> (Avicennův </w:t>
      </w:r>
      <w:r w:rsidR="00507F10" w:rsidRPr="000F0ACC">
        <w:rPr>
          <w:rFonts w:cs="Calibri"/>
          <w:i/>
          <w:lang w:eastAsia="en-US"/>
        </w:rPr>
        <w:t>intellectus</w:t>
      </w:r>
      <w:r w:rsidR="00507F10">
        <w:rPr>
          <w:rFonts w:cs="Calibri"/>
          <w:lang w:eastAsia="en-US"/>
        </w:rPr>
        <w:t xml:space="preserve"> </w:t>
      </w:r>
      <w:r w:rsidR="00507F10">
        <w:rPr>
          <w:i/>
          <w:lang w:eastAsia="en-US"/>
        </w:rPr>
        <w:t>in effectu</w:t>
      </w:r>
      <w:r w:rsidR="00507F10">
        <w:rPr>
          <w:i/>
          <w:lang w:eastAsia="en-US"/>
        </w:rPr>
        <w:fldChar w:fldCharType="begin"/>
      </w:r>
      <w:r w:rsidR="00507F10">
        <w:instrText xml:space="preserve"> XE "</w:instrText>
      </w:r>
      <w:r w:rsidR="00507F10" w:rsidRPr="00997F0F">
        <w:rPr>
          <w:rFonts w:cs="Calibri"/>
          <w:i/>
          <w:lang w:eastAsia="en-US"/>
        </w:rPr>
        <w:instrText>intellectus</w:instrText>
      </w:r>
      <w:r w:rsidR="00507F10" w:rsidRPr="00997F0F">
        <w:rPr>
          <w:rFonts w:cs="Calibri"/>
          <w:lang w:eastAsia="en-US"/>
        </w:rPr>
        <w:instrText xml:space="preserve"> </w:instrText>
      </w:r>
      <w:r w:rsidR="00507F10" w:rsidRPr="00997F0F">
        <w:rPr>
          <w:i/>
          <w:lang w:eastAsia="en-US"/>
        </w:rPr>
        <w:instrText>in effectu</w:instrText>
      </w:r>
      <w:r w:rsidR="00507F10">
        <w:instrText xml:space="preserve">" </w:instrText>
      </w:r>
      <w:r w:rsidR="00507F10">
        <w:rPr>
          <w:i/>
          <w:lang w:eastAsia="en-US"/>
        </w:rPr>
        <w:fldChar w:fldCharType="end"/>
      </w:r>
      <w:r w:rsidR="00507F10">
        <w:rPr>
          <w:lang w:eastAsia="en-US"/>
        </w:rPr>
        <w:t>)</w:t>
      </w:r>
      <w:r w:rsidR="00A0364C" w:rsidRPr="00A0364C">
        <w:t xml:space="preserve">. </w:t>
      </w:r>
      <w:r w:rsidR="00636E50">
        <w:t xml:space="preserve">Kopulace </w:t>
      </w:r>
      <w:r w:rsidR="00A0364C" w:rsidRPr="00A0364C">
        <w:t xml:space="preserve">obou </w:t>
      </w:r>
      <w:r w:rsidR="00507F10">
        <w:t xml:space="preserve">mytologických </w:t>
      </w:r>
      <w:r w:rsidR="00A0364C" w:rsidRPr="00A0364C">
        <w:t xml:space="preserve">intelektů </w:t>
      </w:r>
      <w:r w:rsidR="00507F10">
        <w:t xml:space="preserve">(kosmický a individuální) vytváří </w:t>
      </w:r>
      <w:r w:rsidR="00A0364C">
        <w:t xml:space="preserve">nový druh </w:t>
      </w:r>
      <w:r w:rsidR="00A0364C" w:rsidRPr="00A0364C">
        <w:t>objektivní</w:t>
      </w:r>
      <w:r w:rsidR="00A0364C">
        <w:t>ho poznatku</w:t>
      </w:r>
      <w:r w:rsidR="00A0364C" w:rsidRPr="00A0364C">
        <w:t>.</w:t>
      </w:r>
      <w:r w:rsidR="00A0364C">
        <w:t xml:space="preserve"> </w:t>
      </w:r>
      <w:r w:rsidR="00363899" w:rsidRPr="00363899">
        <w:t>Substanční jednota člověka se rozpadla, protože přestala existovat metafyzická ipseita osoby. Existence osoby se změnila v pouhou logickou identitu individua</w:t>
      </w:r>
      <w:r w:rsidR="00363899">
        <w:t xml:space="preserve"> </w:t>
      </w:r>
      <w:r w:rsidR="00C01CE8">
        <w:t xml:space="preserve">realizovanou </w:t>
      </w:r>
      <w:r w:rsidR="00311437">
        <w:t>v okamžiku toho či onoho výkonu myšlení</w:t>
      </w:r>
      <w:r w:rsidR="000F6309">
        <w:fldChar w:fldCharType="begin"/>
      </w:r>
      <w:r w:rsidR="000F6309">
        <w:instrText xml:space="preserve"> XE "</w:instrText>
      </w:r>
      <w:r w:rsidR="000F6309" w:rsidRPr="009B63D9">
        <w:instrText>osoba:ipseita</w:instrText>
      </w:r>
      <w:r w:rsidR="000F6309">
        <w:instrText xml:space="preserve">" </w:instrText>
      </w:r>
      <w:r w:rsidR="000F6309">
        <w:fldChar w:fldCharType="end"/>
      </w:r>
      <w:r w:rsidR="00311437">
        <w:t xml:space="preserve">. </w:t>
      </w:r>
      <w:r w:rsidRPr="00273106">
        <w:t>Stejným způsobem jako Rufus argumentuje o něco později neznámý averroista z Grossestesteho školy, když definoval tento intelekt v rámci čisté možnosti substance</w:t>
      </w:r>
      <w:r w:rsidR="00A70FA4">
        <w:fldChar w:fldCharType="begin"/>
      </w:r>
      <w:r w:rsidR="00A70FA4">
        <w:instrText xml:space="preserve"> XE "</w:instrText>
      </w:r>
      <w:r w:rsidR="00A70FA4" w:rsidRPr="00DE2A32">
        <w:instrText>substance</w:instrText>
      </w:r>
      <w:r w:rsidR="000F6309">
        <w:instrText>:intelekt</w:instrText>
      </w:r>
      <w:r w:rsidR="00A70FA4">
        <w:instrText xml:space="preserve">" </w:instrText>
      </w:r>
      <w:r w:rsidR="00A70FA4">
        <w:fldChar w:fldCharType="end"/>
      </w:r>
      <w:r w:rsidRPr="00273106">
        <w:t xml:space="preserve"> jako její </w:t>
      </w:r>
      <w:r w:rsidR="08615ACD">
        <w:t>akcidentální subsistenci (kap. 3</w:t>
      </w:r>
      <w:r w:rsidRPr="00273106">
        <w:t xml:space="preserve">.1.3). </w:t>
      </w:r>
      <w:r w:rsidR="00EA2F50" w:rsidRPr="00EA2F50">
        <w:t>Alvernus, Albert a Bacon jako představitelé prvního averroismu odmítli klíčový moment této m</w:t>
      </w:r>
      <w:r w:rsidR="00EA2F50">
        <w:t>agické proměny: způsob moderní „</w:t>
      </w:r>
      <w:r w:rsidR="00EA2F50" w:rsidRPr="00EA2F50">
        <w:t>ex</w:t>
      </w:r>
      <w:r w:rsidR="00EA2F50">
        <w:t>sistence“</w:t>
      </w:r>
      <w:r w:rsidR="0066229F">
        <w:t>. Jde o manickou formu numericky určeného jsoucna vytvořeného z materie třetího druhu</w:t>
      </w:r>
      <w:r w:rsidR="0066229F">
        <w:fldChar w:fldCharType="begin"/>
      </w:r>
      <w:r w:rsidR="0066229F">
        <w:instrText xml:space="preserve"> XE "</w:instrText>
      </w:r>
      <w:r w:rsidR="0066229F" w:rsidRPr="002E3B5D">
        <w:instrText>materie třetího druhu</w:instrText>
      </w:r>
      <w:r w:rsidR="0066229F">
        <w:instrText xml:space="preserve">" </w:instrText>
      </w:r>
      <w:r w:rsidR="0066229F">
        <w:fldChar w:fldCharType="end"/>
      </w:r>
      <w:r w:rsidR="0066229F">
        <w:t xml:space="preserve">, které </w:t>
      </w:r>
      <w:r w:rsidR="00EA2F50">
        <w:t>zdvoj</w:t>
      </w:r>
      <w:r w:rsidR="0066229F">
        <w:t>uje realitu</w:t>
      </w:r>
      <w:r w:rsidR="00EA2F50" w:rsidRPr="00EA2F50">
        <w:t>.</w:t>
      </w:r>
      <w:r w:rsidR="003C0109">
        <w:rPr>
          <w:rStyle w:val="Znakapoznpodarou"/>
        </w:rPr>
        <w:footnoteReference w:id="474"/>
      </w:r>
      <w:r w:rsidR="00F74D44">
        <w:t xml:space="preserve"> </w:t>
      </w:r>
      <w:r w:rsidR="0098743B" w:rsidRPr="0098743B">
        <w:t>Moderní intelekt jako avice</w:t>
      </w:r>
      <w:r w:rsidR="00442C3A">
        <w:t>n</w:t>
      </w:r>
      <w:r w:rsidR="0098743B" w:rsidRPr="0098743B">
        <w:t xml:space="preserve">nistická hypostáze </w:t>
      </w:r>
      <w:r w:rsidR="0098743B">
        <w:t xml:space="preserve">nebo Rufovo </w:t>
      </w:r>
      <w:r w:rsidR="00C67167">
        <w:t>simulá</w:t>
      </w:r>
      <w:r w:rsidR="00C67167" w:rsidRPr="0098743B">
        <w:t xml:space="preserve">krum </w:t>
      </w:r>
      <w:r w:rsidR="00C67167">
        <w:t>A</w:t>
      </w:r>
      <w:r w:rsidR="0098743B">
        <w:t>verro</w:t>
      </w:r>
      <w:r w:rsidR="00C67167">
        <w:t xml:space="preserve">ése </w:t>
      </w:r>
      <w:r w:rsidR="0098743B" w:rsidRPr="0098743B">
        <w:t>vytváří jakousi objektivní emanaci (</w:t>
      </w:r>
      <w:r w:rsidR="0098743B" w:rsidRPr="0098743B">
        <w:rPr>
          <w:i/>
        </w:rPr>
        <w:t>exsistit</w:t>
      </w:r>
      <w:r w:rsidR="0098743B" w:rsidRPr="0098743B">
        <w:t xml:space="preserve">), která sestupuje do efemérního světa. Tam se </w:t>
      </w:r>
      <w:r w:rsidR="004F52BA">
        <w:t xml:space="preserve">kosmický </w:t>
      </w:r>
      <w:r w:rsidR="0098743B">
        <w:t xml:space="preserve">intelekt </w:t>
      </w:r>
      <w:r w:rsidR="0098743B" w:rsidRPr="0098743B">
        <w:t xml:space="preserve">zapojuje do procesu denudace, aby kontemploval objektivní </w:t>
      </w:r>
      <w:r w:rsidR="0098743B" w:rsidRPr="0098743B">
        <w:rPr>
          <w:i/>
        </w:rPr>
        <w:t>scibilia</w:t>
      </w:r>
      <w:r w:rsidR="0098743B">
        <w:t>. Ta jsou dána v modu „</w:t>
      </w:r>
      <w:r w:rsidR="0098743B" w:rsidRPr="0098743B">
        <w:rPr>
          <w:i/>
        </w:rPr>
        <w:t>semel–semper</w:t>
      </w:r>
      <w:r w:rsidR="0098743B">
        <w:t xml:space="preserve">“, a to </w:t>
      </w:r>
      <w:r w:rsidR="009C015D">
        <w:t>i v hylemorfických prvních substa</w:t>
      </w:r>
      <w:r w:rsidR="08221CDA">
        <w:t>n</w:t>
      </w:r>
      <w:r w:rsidR="009C015D">
        <w:t>cích.</w:t>
      </w:r>
    </w:p>
    <w:p w14:paraId="40F443B5" w14:textId="16425F70" w:rsidR="00BB2B05" w:rsidRDefault="00775F5E" w:rsidP="007B65DA">
      <w:pPr>
        <w:ind w:firstLine="397"/>
      </w:pPr>
      <w:r w:rsidRPr="00273106">
        <w:t xml:space="preserve">Spor mezi prvním a druhým averroismem se nutně vedl o základní princip poznání podle </w:t>
      </w:r>
      <w:r w:rsidRPr="0031247B">
        <w:rPr>
          <w:i/>
        </w:rPr>
        <w:t>Druhých analytik</w:t>
      </w:r>
      <w:r w:rsidR="007421B5">
        <w:t xml:space="preserve">. Šlo </w:t>
      </w:r>
      <w:r w:rsidRPr="00273106">
        <w:t xml:space="preserve">o metafyzický statut </w:t>
      </w:r>
      <w:r>
        <w:t>prvního principu poznání</w:t>
      </w:r>
      <w:r w:rsidR="007421B5">
        <w:t xml:space="preserve">, který je v prvním averroismu </w:t>
      </w:r>
      <w:r>
        <w:t>determinova</w:t>
      </w:r>
      <w:r w:rsidR="007421B5">
        <w:t>ný skrze hyparchickou první substanci</w:t>
      </w:r>
      <w:r>
        <w:t xml:space="preserve"> (</w:t>
      </w:r>
      <w:r w:rsidR="08D91F67">
        <w:rPr>
          <w:i/>
        </w:rPr>
        <w:t>ex in</w:t>
      </w:r>
      <w:r w:rsidR="08D91F67" w:rsidRPr="00141DD1">
        <w:rPr>
          <w:i/>
        </w:rPr>
        <w:t>mediatis</w:t>
      </w:r>
      <w:r>
        <w:t xml:space="preserve">, </w:t>
      </w:r>
      <w:r w:rsidR="08615ACD">
        <w:t>kap. 2</w:t>
      </w:r>
      <w:r w:rsidRPr="00273106">
        <w:t>.4.1</w:t>
      </w:r>
      <w:r w:rsidR="00141DD1">
        <w:fldChar w:fldCharType="begin"/>
      </w:r>
      <w:r w:rsidR="00141DD1">
        <w:instrText xml:space="preserve"> XE "</w:instrText>
      </w:r>
      <w:r w:rsidR="00141DD1" w:rsidRPr="00156596">
        <w:instrText xml:space="preserve">princip </w:instrText>
      </w:r>
      <w:r w:rsidR="08D91F67">
        <w:rPr>
          <w:i/>
        </w:rPr>
        <w:instrText>ex in</w:instrText>
      </w:r>
      <w:r w:rsidR="00141DD1" w:rsidRPr="00141DD1">
        <w:rPr>
          <w:i/>
        </w:rPr>
        <w:instrText>mediatis</w:instrText>
      </w:r>
      <w:r w:rsidR="00141DD1">
        <w:instrText xml:space="preserve">" </w:instrText>
      </w:r>
      <w:r w:rsidR="00141DD1">
        <w:fldChar w:fldCharType="end"/>
      </w:r>
      <w:r w:rsidRPr="00273106">
        <w:t xml:space="preserve">). </w:t>
      </w:r>
      <w:r>
        <w:t xml:space="preserve">Spor </w:t>
      </w:r>
      <w:r w:rsidRPr="00273106">
        <w:t xml:space="preserve">Alberta s Kilwardbym o tento princip poznání ukáže další kapitola. </w:t>
      </w:r>
      <w:r w:rsidR="006C33D5">
        <w:t xml:space="preserve">Grosseteste poprvé změnil tento princip na </w:t>
      </w:r>
      <w:r w:rsidR="00874074">
        <w:t>neoplatonsk</w:t>
      </w:r>
      <w:r w:rsidR="0031247B">
        <w:t xml:space="preserve">é </w:t>
      </w:r>
      <w:r w:rsidR="006C33D5" w:rsidRPr="00E76941">
        <w:rPr>
          <w:i/>
        </w:rPr>
        <w:t>inmediate</w:t>
      </w:r>
      <w:r w:rsidR="006C33D5">
        <w:t xml:space="preserve"> a tím založil </w:t>
      </w:r>
      <w:r w:rsidR="006C33D5" w:rsidRPr="00E76941">
        <w:rPr>
          <w:i/>
        </w:rPr>
        <w:t>Oxfordian Fallacy</w:t>
      </w:r>
      <w:r w:rsidR="006C33D5">
        <w:rPr>
          <w:i/>
        </w:rPr>
        <w:fldChar w:fldCharType="begin"/>
      </w:r>
      <w:r w:rsidR="006C33D5">
        <w:instrText xml:space="preserve"> XE "</w:instrText>
      </w:r>
      <w:r w:rsidR="006C33D5" w:rsidRPr="0015798D">
        <w:rPr>
          <w:i/>
        </w:rPr>
        <w:instrText>Oxfordian Fallacy:</w:instrText>
      </w:r>
      <w:r w:rsidR="006C33D5">
        <w:instrText xml:space="preserve">Grosseteste" </w:instrText>
      </w:r>
      <w:r w:rsidR="006C33D5">
        <w:rPr>
          <w:i/>
        </w:rPr>
        <w:fldChar w:fldCharType="end"/>
      </w:r>
      <w:r w:rsidR="08615ACD">
        <w:t xml:space="preserve"> (kap. 3</w:t>
      </w:r>
      <w:r w:rsidR="006C33D5">
        <w:t xml:space="preserve">.1.1). </w:t>
      </w:r>
      <w:r w:rsidR="00B0688E">
        <w:t xml:space="preserve">Analytický </w:t>
      </w:r>
      <w:r w:rsidR="0031247B">
        <w:t xml:space="preserve">modus </w:t>
      </w:r>
      <w:r w:rsidRPr="00273106">
        <w:rPr>
          <w:i/>
        </w:rPr>
        <w:t>inmediate</w:t>
      </w:r>
      <w:r w:rsidRPr="00273106">
        <w:t xml:space="preserve"> umožnil konjunkci averroistického </w:t>
      </w:r>
      <w:r w:rsidRPr="00273106">
        <w:rPr>
          <w:i/>
        </w:rPr>
        <w:t>intellectus possibilis</w:t>
      </w:r>
      <w:r w:rsidRPr="00273106">
        <w:t xml:space="preserve"> s</w:t>
      </w:r>
      <w:r w:rsidR="00A05379">
        <w:t xml:space="preserve"> moderním </w:t>
      </w:r>
      <w:r w:rsidR="000C5A3C">
        <w:t xml:space="preserve">(a neexistujím) </w:t>
      </w:r>
      <w:r w:rsidR="00A05379">
        <w:t xml:space="preserve">individuem </w:t>
      </w:r>
      <w:r w:rsidRPr="00273106">
        <w:t>a</w:t>
      </w:r>
      <w:r w:rsidR="00935C6E">
        <w:t xml:space="preserve"> </w:t>
      </w:r>
      <w:r w:rsidR="009C2821">
        <w:t xml:space="preserve">tím vznikl </w:t>
      </w:r>
      <w:r w:rsidR="00935C6E">
        <w:t>koncept objektivní „ex</w:t>
      </w:r>
      <w:r w:rsidRPr="00273106">
        <w:t>sistence“</w:t>
      </w:r>
      <w:r>
        <w:t>.</w:t>
      </w:r>
      <w:r w:rsidR="0096283C">
        <w:t xml:space="preserve"> </w:t>
      </w:r>
      <w:r w:rsidR="004F0698" w:rsidRPr="004F0698">
        <w:t>Prvním a ne</w:t>
      </w:r>
      <w:r w:rsidR="004F0698">
        <w:t>jdůležitějším produktem modern</w:t>
      </w:r>
      <w:r w:rsidR="004F0698" w:rsidRPr="004F0698">
        <w:t>y je zhotovení averroistické modly ze skutečného Averroese.</w:t>
      </w:r>
      <w:r w:rsidR="004F0698">
        <w:t xml:space="preserve"> </w:t>
      </w:r>
      <w:r w:rsidR="086D7DA9">
        <w:t>To je první moderní démonická bytost, která zahajuje epochu čarodějnických procesů</w:t>
      </w:r>
      <w:r w:rsidR="003D2F7F">
        <w:t xml:space="preserve"> prováděných objektivně vědecky</w:t>
      </w:r>
      <w:r w:rsidR="086D7DA9">
        <w:t xml:space="preserve">. </w:t>
      </w:r>
      <w:r w:rsidR="086079EE">
        <w:t xml:space="preserve">Produkce tohoto simulákra je dána v modu </w:t>
      </w:r>
      <w:r w:rsidR="086079EE" w:rsidRPr="086079EE">
        <w:rPr>
          <w:i/>
        </w:rPr>
        <w:t>per prius</w:t>
      </w:r>
      <w:r w:rsidR="086079EE">
        <w:t xml:space="preserve">. </w:t>
      </w:r>
      <w:r w:rsidR="00C51276">
        <w:t xml:space="preserve">Moderní bůh jako Dárce forem Avicennny garantuje soudržnost objektivního světa; </w:t>
      </w:r>
      <w:r w:rsidR="00B32B2E" w:rsidRPr="00B32B2E">
        <w:t xml:space="preserve">první modernisté na křesťanských univerzitách by museli každý útok na tuto modlu trestat akademickým </w:t>
      </w:r>
      <w:r w:rsidR="00B32B2E" w:rsidRPr="00B32B2E">
        <w:rPr>
          <w:i/>
        </w:rPr>
        <w:t>damnatio memoriae</w:t>
      </w:r>
      <w:r w:rsidR="00B32B2E">
        <w:rPr>
          <w:i/>
        </w:rPr>
        <w:fldChar w:fldCharType="begin"/>
      </w:r>
      <w:r w:rsidR="00B32B2E">
        <w:instrText xml:space="preserve"> XE "</w:instrText>
      </w:r>
      <w:r w:rsidR="00B32B2E" w:rsidRPr="00287B26">
        <w:rPr>
          <w:i/>
        </w:rPr>
        <w:instrText>damnatio memoriae</w:instrText>
      </w:r>
      <w:r w:rsidR="00B32B2E">
        <w:instrText xml:space="preserve">" </w:instrText>
      </w:r>
      <w:r w:rsidR="00B32B2E">
        <w:rPr>
          <w:i/>
        </w:rPr>
        <w:fldChar w:fldCharType="end"/>
      </w:r>
      <w:r w:rsidR="00B32B2E" w:rsidRPr="00B32B2E">
        <w:t>.</w:t>
      </w:r>
      <w:r w:rsidR="00B32B2E">
        <w:t xml:space="preserve"> </w:t>
      </w:r>
      <w:r w:rsidR="00C51276">
        <w:t>Averroistická modla Averroése garantuje poznání tohoto paranoického světa a stojí u bran podsvětí objektivity jako hlavní strážce modern</w:t>
      </w:r>
      <w:r w:rsidR="0023428C">
        <w:t>y. Parmenidés by se hodně divil, kdo v</w:t>
      </w:r>
      <w:r w:rsidR="00391784">
        <w:t xml:space="preserve"> epoše </w:t>
      </w:r>
      <w:r w:rsidR="0023428C">
        <w:t>modern</w:t>
      </w:r>
      <w:r w:rsidR="00391784">
        <w:t>y</w:t>
      </w:r>
      <w:r w:rsidR="0023428C">
        <w:t xml:space="preserve"> dostal božské klíče od bran Dne i Noci. </w:t>
      </w:r>
      <w:r w:rsidR="00C51276">
        <w:t xml:space="preserve">Tento gnoseologický Kerberos je nutný k tomu, aby i po smrti moderního boha </w:t>
      </w:r>
      <w:r w:rsidR="00736D1C">
        <w:t>blokoval cestu</w:t>
      </w:r>
      <w:r w:rsidR="00C51276">
        <w:t xml:space="preserve"> ke skutečnému vědeckému poznání světa podle aristotelsky vyložených </w:t>
      </w:r>
      <w:r w:rsidR="00C51276" w:rsidRPr="00C51276">
        <w:rPr>
          <w:i/>
        </w:rPr>
        <w:t>Druhých analytik</w:t>
      </w:r>
      <w:r w:rsidR="00211A35">
        <w:t xml:space="preserve"> a </w:t>
      </w:r>
      <w:r w:rsidR="00C51276" w:rsidRPr="00C51276">
        <w:rPr>
          <w:i/>
        </w:rPr>
        <w:t>De anima</w:t>
      </w:r>
      <w:r w:rsidR="00C51276">
        <w:t xml:space="preserve">. </w:t>
      </w:r>
      <w:r w:rsidR="086079EE">
        <w:t>O</w:t>
      </w:r>
      <w:r w:rsidR="08176A46">
        <w:t xml:space="preserve">riginál CMDA usvědčil modernisty z paranoie, viz citovaná svědectví hlavních představitelů prvního averroismu. </w:t>
      </w:r>
      <w:r w:rsidR="00184E45" w:rsidRPr="00184E45">
        <w:t xml:space="preserve">Došlo ke vzniku univerzálně </w:t>
      </w:r>
      <w:r w:rsidR="00184E45">
        <w:t xml:space="preserve">predikovaného objektivného </w:t>
      </w:r>
      <w:r w:rsidR="00184E45" w:rsidRPr="00184E45">
        <w:t>vzt</w:t>
      </w:r>
      <w:r w:rsidR="00184E45">
        <w:t>ahu „subjekt–objekt“</w:t>
      </w:r>
      <w:r w:rsidR="00184E45" w:rsidRPr="00184E45">
        <w:t>, k</w:t>
      </w:r>
      <w:r w:rsidR="00184E45">
        <w:t xml:space="preserve">terý se vztahuje k totalitě jsoucna. Takto došlo k </w:t>
      </w:r>
      <w:r w:rsidR="00184E45" w:rsidRPr="00184E45">
        <w:t xml:space="preserve">zatmění první substance, které inaugurovalo epochu plné objektivity. Zatmění metafyzického a kritického myšlení založeného na zdravém rozumu se </w:t>
      </w:r>
      <w:r w:rsidR="00F11A6F">
        <w:t xml:space="preserve">objektivně nutně </w:t>
      </w:r>
      <w:r w:rsidR="00184E45" w:rsidRPr="00184E45">
        <w:t>uskutečnilo jako důsledek tohoto maniakálního postupu.</w:t>
      </w:r>
      <w:r w:rsidR="00184E45">
        <w:t xml:space="preserve"> </w:t>
      </w:r>
      <w:r w:rsidR="00155CAE" w:rsidRPr="00273106">
        <w:t>Objektivní konkrét</w:t>
      </w:r>
      <w:r w:rsidR="00B23AF2" w:rsidRPr="00273106">
        <w:t>no</w:t>
      </w:r>
      <w:r w:rsidR="00155CAE" w:rsidRPr="00273106">
        <w:t xml:space="preserve"> </w:t>
      </w:r>
      <w:r w:rsidR="00EB7B24" w:rsidRPr="00273106">
        <w:t xml:space="preserve">a jeho poznání spadá v jedno, protože pravda </w:t>
      </w:r>
      <w:r w:rsidR="00EB7B24" w:rsidRPr="00273106">
        <w:rPr>
          <w:i/>
        </w:rPr>
        <w:t>Modernorum</w:t>
      </w:r>
      <w:r w:rsidR="00EB7B24" w:rsidRPr="00273106">
        <w:t xml:space="preserve"> je definována v modu asimilace a </w:t>
      </w:r>
      <w:r w:rsidR="0013435F">
        <w:t xml:space="preserve">rovnosti </w:t>
      </w:r>
      <w:r w:rsidR="003A27C2" w:rsidRPr="00273106">
        <w:t xml:space="preserve">předem daných hypostázovaných forem a </w:t>
      </w:r>
      <w:r w:rsidR="004B4D52" w:rsidRPr="004B4D52">
        <w:t>species</w:t>
      </w:r>
      <w:r w:rsidR="00EB7B24" w:rsidRPr="00273106">
        <w:t xml:space="preserve">. </w:t>
      </w:r>
      <w:r w:rsidR="086B4495" w:rsidRPr="00273106">
        <w:t>Takto daný schizofrenický subjekt Záp</w:t>
      </w:r>
      <w:r w:rsidR="00E80311">
        <w:t>adu pak může skrze postmoderní archeologii vědění</w:t>
      </w:r>
      <w:r w:rsidR="08946A12">
        <w:t xml:space="preserve"> </w:t>
      </w:r>
      <w:r w:rsidR="08946A12" w:rsidRPr="08946A12">
        <w:rPr>
          <w:szCs w:val="24"/>
        </w:rPr>
        <w:t xml:space="preserve">(M. Foucault) </w:t>
      </w:r>
      <w:r w:rsidR="086B4495" w:rsidRPr="00273106">
        <w:t>poznávat sám sebe</w:t>
      </w:r>
      <w:r w:rsidR="00C51765">
        <w:t xml:space="preserve">. Moderní subjekt se </w:t>
      </w:r>
      <w:r w:rsidR="086B4495" w:rsidRPr="00273106">
        <w:t>stal skutečn</w:t>
      </w:r>
      <w:r w:rsidR="080D2BA1" w:rsidRPr="00273106">
        <w:t xml:space="preserve">ým </w:t>
      </w:r>
      <w:r w:rsidR="086B4495" w:rsidRPr="00273106">
        <w:t>počátkem</w:t>
      </w:r>
      <w:r w:rsidR="080D2BA1" w:rsidRPr="00273106">
        <w:t xml:space="preserve"> procesu poznání a pravdy</w:t>
      </w:r>
      <w:r w:rsidR="086B4495" w:rsidRPr="00273106">
        <w:t>, nad nímž má plnou vládu.</w:t>
      </w:r>
      <w:r w:rsidR="088944F4">
        <w:t xml:space="preserve"> </w:t>
      </w:r>
      <w:r w:rsidR="00C51765" w:rsidRPr="00C51765">
        <w:t>Oba významy (počátek i trvalá vláda nad důsledky) tvoří základní význam téhož řeckého slova (ἀρχή). Moderní neexistující subje</w:t>
      </w:r>
      <w:r w:rsidR="00C51765">
        <w:t xml:space="preserve">kt se stal zakládající událostí, která vytváří </w:t>
      </w:r>
      <w:r w:rsidR="00054B7E">
        <w:t>nejlepší ze všech světů. Stal se pokračovatelem nějakého Timaia, což byl první moderní demiurg, kterého mytopoeticky stvořil Platon.</w:t>
      </w:r>
    </w:p>
    <w:p w14:paraId="7C5C335C" w14:textId="624BDA6F" w:rsidR="007B2A19" w:rsidRPr="00273106" w:rsidRDefault="004808D3" w:rsidP="00C51765">
      <w:pPr>
        <w:ind w:firstLine="397"/>
      </w:pPr>
      <w:r w:rsidRPr="00273106">
        <w:t xml:space="preserve">Zrození moderního subjektu, zatím daného jako </w:t>
      </w:r>
      <w:r w:rsidR="00D6263F">
        <w:t xml:space="preserve">averroistická </w:t>
      </w:r>
      <w:r w:rsidRPr="00273106">
        <w:t xml:space="preserve">forma </w:t>
      </w:r>
      <w:r w:rsidRPr="00273106">
        <w:rPr>
          <w:i/>
        </w:rPr>
        <w:t>intellectus possibilis</w:t>
      </w:r>
      <w:r w:rsidRPr="00273106">
        <w:t xml:space="preserve">, najdeme </w:t>
      </w:r>
      <w:r w:rsidR="00B54B75">
        <w:t xml:space="preserve">ve </w:t>
      </w:r>
      <w:r w:rsidR="00B54B75" w:rsidRPr="00B54B75">
        <w:rPr>
          <w:i/>
        </w:rPr>
        <w:t>Speculum animae</w:t>
      </w:r>
      <w:r w:rsidR="00B54B75">
        <w:t xml:space="preserve"> </w:t>
      </w:r>
      <w:r w:rsidRPr="00273106">
        <w:t>hned o pár řádků níže</w:t>
      </w:r>
      <w:r w:rsidR="00D6263F">
        <w:t xml:space="preserve">. Je napojeno na </w:t>
      </w:r>
      <w:r w:rsidRPr="00273106">
        <w:t xml:space="preserve">objektivní pojetí pravdy jako </w:t>
      </w:r>
      <w:r w:rsidR="00482A6B">
        <w:t xml:space="preserve">asimilační rovnosti </w:t>
      </w:r>
      <w:r w:rsidR="00860366" w:rsidRPr="00273106">
        <w:t xml:space="preserve">vzhledem k </w:t>
      </w:r>
      <w:r w:rsidR="089039BB">
        <w:t>objektivnímu jsoucnu</w:t>
      </w:r>
      <w:r w:rsidR="00D6263F">
        <w:rPr>
          <w:i/>
        </w:rPr>
        <w:fldChar w:fldCharType="begin"/>
      </w:r>
      <w:r w:rsidR="00D6263F">
        <w:instrText xml:space="preserve"> XE "</w:instrText>
      </w:r>
      <w:r w:rsidR="00D6263F" w:rsidRPr="009F1BD9">
        <w:instrText>pravda:objektivní</w:instrText>
      </w:r>
      <w:r w:rsidR="00D6263F">
        <w:instrText xml:space="preserve">" </w:instrText>
      </w:r>
      <w:r w:rsidR="00D6263F">
        <w:rPr>
          <w:i/>
        </w:rPr>
        <w:fldChar w:fldCharType="end"/>
      </w:r>
      <w:r w:rsidR="00115645" w:rsidRPr="00273106">
        <w:t>.</w:t>
      </w:r>
      <w:r w:rsidR="000B01C6" w:rsidRPr="00273106">
        <w:t xml:space="preserve"> Citát ukazuje </w:t>
      </w:r>
      <w:r w:rsidR="00833384" w:rsidRPr="00273106">
        <w:t xml:space="preserve">první formu </w:t>
      </w:r>
      <w:r w:rsidR="000B01C6" w:rsidRPr="00273106">
        <w:t>objektivní predikace</w:t>
      </w:r>
      <w:r w:rsidR="00EC1E52" w:rsidRPr="00273106">
        <w:t xml:space="preserve"> vztažené</w:t>
      </w:r>
      <w:r w:rsidR="00833384" w:rsidRPr="00273106">
        <w:t xml:space="preserve"> k </w:t>
      </w:r>
      <w:r w:rsidR="00EC1E52" w:rsidRPr="00273106">
        <w:t xml:space="preserve">univoční a univerzální </w:t>
      </w:r>
      <w:r w:rsidR="00833384" w:rsidRPr="00273106">
        <w:t xml:space="preserve">definici </w:t>
      </w:r>
      <w:r w:rsidR="00833384" w:rsidRPr="00273106">
        <w:rPr>
          <w:i/>
        </w:rPr>
        <w:t>intellectus possibilis</w:t>
      </w:r>
      <w:r w:rsidR="000B01C6" w:rsidRPr="00273106">
        <w:t>.</w:t>
      </w:r>
      <w:r w:rsidR="0018024D" w:rsidRPr="00273106">
        <w:t xml:space="preserve"> </w:t>
      </w:r>
      <w:r w:rsidR="001564C7">
        <w:t>Pro vznik západního subjektu moderny je k</w:t>
      </w:r>
      <w:r w:rsidR="00DD4861" w:rsidRPr="00273106">
        <w:t>líčové tvrzení, že predikace postihuje konkrétní</w:t>
      </w:r>
      <w:r w:rsidR="00DD4861">
        <w:fldChar w:fldCharType="begin"/>
      </w:r>
      <w:r w:rsidR="00DD4861">
        <w:instrText xml:space="preserve"> XE "</w:instrText>
      </w:r>
      <w:r w:rsidR="00DD4861" w:rsidRPr="00815668">
        <w:instrText>predikace:konkrétní</w:instrText>
      </w:r>
      <w:r w:rsidR="00DD4861">
        <w:instrText xml:space="preserve">" </w:instrText>
      </w:r>
      <w:r w:rsidR="00DD4861">
        <w:fldChar w:fldCharType="end"/>
      </w:r>
      <w:r w:rsidR="00DD4861" w:rsidRPr="00273106">
        <w:t xml:space="preserve">, a proto pravdivé určení </w:t>
      </w:r>
      <w:r w:rsidR="00DD4861">
        <w:t xml:space="preserve">možného </w:t>
      </w:r>
      <w:r w:rsidR="00DD4861" w:rsidRPr="00273106">
        <w:t>intelektu (</w:t>
      </w:r>
      <w:r w:rsidR="00DD4861" w:rsidRPr="00273106">
        <w:rPr>
          <w:i/>
        </w:rPr>
        <w:t>ipso intellectu possibili praedicatur concretive et vere</w:t>
      </w:r>
      <w:r w:rsidR="00DD4861" w:rsidRPr="00273106">
        <w:t xml:space="preserve">). </w:t>
      </w:r>
      <w:r w:rsidR="00DD4861">
        <w:t>Intelekt se stává objektivní tím, že je pred</w:t>
      </w:r>
      <w:r w:rsidR="08313474">
        <w:t xml:space="preserve">ikovaný jako konkrétní jsoucno v modu platonského obtisku </w:t>
      </w:r>
      <w:r w:rsidR="00B44260">
        <w:t xml:space="preserve">hypostatické </w:t>
      </w:r>
      <w:r w:rsidR="08313474">
        <w:t xml:space="preserve">formy do </w:t>
      </w:r>
      <w:r w:rsidR="00B44260">
        <w:t xml:space="preserve">materiálního </w:t>
      </w:r>
      <w:r w:rsidR="08313474">
        <w:t xml:space="preserve">substrátu. </w:t>
      </w:r>
      <w:r w:rsidR="0018024D" w:rsidRPr="00273106">
        <w:t xml:space="preserve">Rufusova myslitelská závěť zakládá modernu </w:t>
      </w:r>
      <w:r w:rsidR="00034938">
        <w:t>a její humanismus mrtvoly</w:t>
      </w:r>
      <w:r w:rsidR="00D6263F">
        <w:fldChar w:fldCharType="begin"/>
      </w:r>
      <w:r w:rsidR="00D6263F">
        <w:instrText xml:space="preserve"> XE "</w:instrText>
      </w:r>
      <w:r w:rsidR="00D6263F" w:rsidRPr="004E7AA9">
        <w:instrText>sofisma člověk-mrtvola</w:instrText>
      </w:r>
      <w:r w:rsidR="00D6263F">
        <w:instrText xml:space="preserve">" </w:instrText>
      </w:r>
      <w:r w:rsidR="00D6263F">
        <w:fldChar w:fldCharType="end"/>
      </w:r>
      <w:r w:rsidR="00034938">
        <w:t xml:space="preserve"> </w:t>
      </w:r>
      <w:r w:rsidR="00482A6B">
        <w:t xml:space="preserve">skrze imperativ </w:t>
      </w:r>
      <w:r w:rsidR="00031C68">
        <w:t>„</w:t>
      </w:r>
      <w:r w:rsidR="0018024D" w:rsidRPr="00273106">
        <w:rPr>
          <w:i/>
        </w:rPr>
        <w:t>accipe</w:t>
      </w:r>
      <w:r w:rsidR="00031C68">
        <w:t>“</w:t>
      </w:r>
      <w:r w:rsidR="0018024D" w:rsidRPr="00273106">
        <w:t>.</w:t>
      </w:r>
    </w:p>
    <w:p w14:paraId="782B44A2" w14:textId="08F452B6" w:rsidR="00375E38" w:rsidRPr="00273106" w:rsidRDefault="004808D3" w:rsidP="00B55343">
      <w:pPr>
        <w:pStyle w:val="Citace"/>
        <w:rPr>
          <w:noProof/>
          <w:lang w:val="cs-CZ"/>
        </w:rPr>
      </w:pPr>
      <w:r w:rsidRPr="00273106">
        <w:rPr>
          <w:noProof/>
          <w:lang w:val="cs-CZ"/>
        </w:rPr>
        <w:t>„</w:t>
      </w:r>
      <w:r w:rsidR="00833384" w:rsidRPr="00273106">
        <w:rPr>
          <w:noProof/>
          <w:lang w:val="cs-CZ"/>
        </w:rPr>
        <w:t>V modu objektivní proporcionality (</w:t>
      </w:r>
      <w:r w:rsidR="00833384" w:rsidRPr="00273106">
        <w:rPr>
          <w:i/>
          <w:noProof/>
          <w:lang w:val="cs-CZ"/>
        </w:rPr>
        <w:t>comproportionaliter</w:t>
      </w:r>
      <w:r w:rsidR="0018024D" w:rsidRPr="00273106">
        <w:rPr>
          <w:noProof/>
          <w:lang w:val="cs-CZ"/>
        </w:rPr>
        <w:t>) tedy přijmi</w:t>
      </w:r>
      <w:r w:rsidR="00833384" w:rsidRPr="00273106">
        <w:rPr>
          <w:noProof/>
          <w:lang w:val="cs-CZ"/>
        </w:rPr>
        <w:t xml:space="preserve"> </w:t>
      </w:r>
      <w:r w:rsidR="0025460C">
        <w:rPr>
          <w:noProof/>
          <w:lang w:val="cs-CZ"/>
        </w:rPr>
        <w:t>(</w:t>
      </w:r>
      <w:r w:rsidR="0025460C" w:rsidRPr="0025460C">
        <w:rPr>
          <w:i/>
          <w:noProof/>
          <w:lang w:val="cs-CZ"/>
        </w:rPr>
        <w:t>accipe</w:t>
      </w:r>
      <w:r w:rsidR="0025460C">
        <w:rPr>
          <w:noProof/>
          <w:lang w:val="cs-CZ"/>
        </w:rPr>
        <w:t xml:space="preserve">) </w:t>
      </w:r>
      <w:r w:rsidR="004B4D52" w:rsidRPr="004B4D52">
        <w:rPr>
          <w:noProof/>
          <w:lang w:val="cs-CZ"/>
        </w:rPr>
        <w:t>species</w:t>
      </w:r>
      <w:r w:rsidR="00833384" w:rsidRPr="00273106">
        <w:rPr>
          <w:noProof/>
          <w:lang w:val="cs-CZ"/>
        </w:rPr>
        <w:t xml:space="preserve"> duše, animalitu, humanitu, </w:t>
      </w:r>
      <w:r w:rsidR="004B4D52" w:rsidRPr="004B4D52">
        <w:rPr>
          <w:noProof/>
          <w:lang w:val="cs-CZ"/>
        </w:rPr>
        <w:t>species</w:t>
      </w:r>
      <w:r w:rsidR="00833384" w:rsidRPr="00273106">
        <w:rPr>
          <w:noProof/>
          <w:lang w:val="cs-CZ"/>
        </w:rPr>
        <w:t xml:space="preserve"> kamene a tak dále ‒ tedy inteligibilní </w:t>
      </w:r>
      <w:r w:rsidR="004B4D52" w:rsidRPr="004B4D52">
        <w:rPr>
          <w:noProof/>
          <w:lang w:val="cs-CZ"/>
        </w:rPr>
        <w:t>species</w:t>
      </w:r>
      <w:r w:rsidR="00833384" w:rsidRPr="00273106">
        <w:rPr>
          <w:noProof/>
          <w:lang w:val="cs-CZ"/>
        </w:rPr>
        <w:t>, která jsou abstrahována od všech určení místa a těl</w:t>
      </w:r>
      <w:r w:rsidR="00E56AA0" w:rsidRPr="00273106">
        <w:rPr>
          <w:noProof/>
          <w:lang w:val="cs-CZ"/>
        </w:rPr>
        <w:t>esnosti. O takovém možném intel</w:t>
      </w:r>
      <w:r w:rsidR="00833384" w:rsidRPr="00273106">
        <w:rPr>
          <w:noProof/>
          <w:lang w:val="cs-CZ"/>
        </w:rPr>
        <w:t>ektu lze predikovat konkrétně a pravdivě (</w:t>
      </w:r>
      <w:r w:rsidR="00833384" w:rsidRPr="00273106">
        <w:rPr>
          <w:i/>
          <w:noProof/>
          <w:lang w:val="cs-CZ"/>
        </w:rPr>
        <w:t>de ipso intellectu possibili praedicatur concretive et vere</w:t>
      </w:r>
      <w:r w:rsidR="00833384" w:rsidRPr="00273106">
        <w:rPr>
          <w:noProof/>
          <w:lang w:val="cs-CZ"/>
        </w:rPr>
        <w:t>). Když chce receptivní intelekt rozumět tomu, co je kámen, pak se musí p</w:t>
      </w:r>
      <w:r w:rsidR="00E56AA0" w:rsidRPr="00273106">
        <w:rPr>
          <w:noProof/>
          <w:lang w:val="cs-CZ"/>
        </w:rPr>
        <w:t>ravdivě stát hypostází kamene</w:t>
      </w:r>
      <w:r w:rsidR="00AF653A">
        <w:rPr>
          <w:noProof/>
          <w:lang w:val="cs-CZ"/>
        </w:rPr>
        <w:t xml:space="preserve"> (</w:t>
      </w:r>
      <w:r w:rsidR="00AF653A" w:rsidRPr="00AF653A">
        <w:rPr>
          <w:i/>
        </w:rPr>
        <w:t>intellectus possibilis, cum intelligit lapidem, vere ut lapideitatur</w:t>
      </w:r>
      <w:r w:rsidR="00AF653A">
        <w:rPr>
          <w:noProof/>
          <w:lang w:val="cs-CZ"/>
        </w:rPr>
        <w:t>)</w:t>
      </w:r>
      <w:r w:rsidR="00E56AA0" w:rsidRPr="00273106">
        <w:rPr>
          <w:noProof/>
          <w:lang w:val="cs-CZ"/>
        </w:rPr>
        <w:t>. P</w:t>
      </w:r>
      <w:r w:rsidR="00833384" w:rsidRPr="00273106">
        <w:rPr>
          <w:noProof/>
          <w:lang w:val="cs-CZ"/>
        </w:rPr>
        <w:t>okud chce rozumět člověku, musí se stá</w:t>
      </w:r>
      <w:r w:rsidR="00B55343" w:rsidRPr="00273106">
        <w:rPr>
          <w:noProof/>
          <w:lang w:val="cs-CZ"/>
        </w:rPr>
        <w:t>t pravdivou hypostází lidství</w:t>
      </w:r>
      <w:r w:rsidR="00833384" w:rsidRPr="00273106">
        <w:rPr>
          <w:noProof/>
          <w:lang w:val="cs-CZ"/>
        </w:rPr>
        <w:t xml:space="preserve"> (</w:t>
      </w:r>
      <w:r w:rsidR="00833384" w:rsidRPr="00273106">
        <w:rPr>
          <w:i/>
          <w:noProof/>
          <w:lang w:val="cs-CZ"/>
        </w:rPr>
        <w:t>hominem, vere ut humanatur</w:t>
      </w:r>
      <w:r w:rsidR="00833384" w:rsidRPr="00273106">
        <w:rPr>
          <w:noProof/>
          <w:lang w:val="cs-CZ"/>
        </w:rPr>
        <w:t>). K tomu je třeba říci, že v případě pravdivého provedení nejde o skutečnou formu člověka (</w:t>
      </w:r>
      <w:r w:rsidR="00833384" w:rsidRPr="00273106">
        <w:rPr>
          <w:i/>
          <w:noProof/>
          <w:lang w:val="cs-CZ"/>
        </w:rPr>
        <w:t>non forma hominis</w:t>
      </w:r>
      <w:r w:rsidR="00833384" w:rsidRPr="00273106">
        <w:rPr>
          <w:noProof/>
          <w:lang w:val="cs-CZ"/>
        </w:rPr>
        <w:t>), ale o její objektivně podobnou formu (</w:t>
      </w:r>
      <w:r w:rsidR="00833384" w:rsidRPr="00273106">
        <w:rPr>
          <w:i/>
          <w:noProof/>
          <w:lang w:val="cs-CZ"/>
        </w:rPr>
        <w:t>ut forma hominis</w:t>
      </w:r>
      <w:r w:rsidR="00833384" w:rsidRPr="00273106">
        <w:rPr>
          <w:noProof/>
          <w:lang w:val="cs-CZ"/>
        </w:rPr>
        <w:t xml:space="preserve">).“ </w:t>
      </w:r>
      <w:r w:rsidR="00375E38" w:rsidRPr="00273106">
        <w:rPr>
          <w:rStyle w:val="Znakapoznpodarou"/>
          <w:noProof/>
          <w:lang w:val="cs-CZ"/>
        </w:rPr>
        <w:footnoteReference w:id="475"/>
      </w:r>
    </w:p>
    <w:p w14:paraId="6637764D" w14:textId="5E4E8FC5" w:rsidR="00972450" w:rsidRDefault="004C5329" w:rsidP="00972450">
      <w:r w:rsidRPr="00273106">
        <w:t>Vraťme se k objektivnímu vidění nové hylemorfické substance</w:t>
      </w:r>
      <w:r w:rsidR="00A70FA4">
        <w:fldChar w:fldCharType="begin"/>
      </w:r>
      <w:r w:rsidR="00A70FA4">
        <w:instrText xml:space="preserve"> XE "</w:instrText>
      </w:r>
      <w:r w:rsidR="00A70FA4" w:rsidRPr="00DE2A32">
        <w:instrText>substance</w:instrText>
      </w:r>
      <w:r w:rsidR="00EC256F">
        <w:instrText>:objektivní</w:instrText>
      </w:r>
      <w:r w:rsidR="00A70FA4">
        <w:instrText xml:space="preserve">" </w:instrText>
      </w:r>
      <w:r w:rsidR="00A70FA4">
        <w:fldChar w:fldCharType="end"/>
      </w:r>
      <w:r w:rsidRPr="00273106">
        <w:t xml:space="preserve"> citované výše. </w:t>
      </w:r>
      <w:r w:rsidR="08844F35" w:rsidRPr="00273106">
        <w:t xml:space="preserve">Dané formy a </w:t>
      </w:r>
      <w:r w:rsidR="004B4D52" w:rsidRPr="004B4D52">
        <w:t>species</w:t>
      </w:r>
      <w:r w:rsidR="08844F35" w:rsidRPr="00273106">
        <w:t xml:space="preserve"> pravdivě asimilujeme v rámci substanciálně dané potence intelektu k formě (</w:t>
      </w:r>
      <w:r w:rsidR="08844F35" w:rsidRPr="00273106">
        <w:rPr>
          <w:i/>
        </w:rPr>
        <w:t>quod vere perficitur et formatur</w:t>
      </w:r>
      <w:r w:rsidR="08844F35" w:rsidRPr="00273106">
        <w:t xml:space="preserve">), kterou objektivně receptivní intelekt </w:t>
      </w:r>
      <w:r w:rsidR="08844F35">
        <w:t xml:space="preserve">pojímá každé </w:t>
      </w:r>
      <w:r w:rsidR="08844F35" w:rsidRPr="00DD4861">
        <w:rPr>
          <w:i/>
        </w:rPr>
        <w:t>scibile</w:t>
      </w:r>
      <w:r w:rsidR="08844F35" w:rsidRPr="00273106">
        <w:t xml:space="preserve">. Recepce </w:t>
      </w:r>
      <w:r w:rsidR="08844F35">
        <w:t xml:space="preserve">trvalých </w:t>
      </w:r>
      <w:r w:rsidR="004B4D52" w:rsidRPr="004B4D52">
        <w:t>species</w:t>
      </w:r>
      <w:r w:rsidR="08844F35" w:rsidRPr="00273106">
        <w:t xml:space="preserve"> vytvoří v mysli objektivní formu poznání</w:t>
      </w:r>
      <w:r w:rsidR="081465BF">
        <w:t xml:space="preserve"> tím, že vznikne otisk této objektivně dané formy do vosku daného jako </w:t>
      </w:r>
      <w:r w:rsidR="081465BF" w:rsidRPr="081465BF">
        <w:rPr>
          <w:i/>
        </w:rPr>
        <w:t>intellectus materialis</w:t>
      </w:r>
      <w:r w:rsidR="08844F35" w:rsidRPr="00273106">
        <w:t>. Nová kreace reality je dána tím, že objektivní formy vznikají j</w:t>
      </w:r>
      <w:r w:rsidR="08844F35">
        <w:t xml:space="preserve">ako hypostáze vybavené vlastní formou </w:t>
      </w:r>
      <w:r w:rsidR="08844F35" w:rsidRPr="00273106">
        <w:t>a materií</w:t>
      </w:r>
      <w:r w:rsidR="087027B6">
        <w:t xml:space="preserve">, protože materiální intelekt </w:t>
      </w:r>
      <w:r w:rsidR="088624B2">
        <w:t>funguje v člověku jako další substance</w:t>
      </w:r>
      <w:r w:rsidR="08844F35" w:rsidRPr="00273106">
        <w:t xml:space="preserve">. </w:t>
      </w:r>
      <w:r w:rsidR="08844F35">
        <w:t xml:space="preserve">Toto objektivní </w:t>
      </w:r>
      <w:r w:rsidR="08844F35" w:rsidRPr="00273106">
        <w:rPr>
          <w:i/>
        </w:rPr>
        <w:t>concretum</w:t>
      </w:r>
      <w:r w:rsidR="08844F35" w:rsidRPr="00273106">
        <w:t xml:space="preserve"> možného intelektu ve smyslu konjukce odděleného </w:t>
      </w:r>
      <w:r w:rsidR="084F2D66">
        <w:t xml:space="preserve">kosmického </w:t>
      </w:r>
      <w:r w:rsidR="084F2D66" w:rsidRPr="084F2D66">
        <w:rPr>
          <w:i/>
        </w:rPr>
        <w:t>intellectus possibilis</w:t>
      </w:r>
      <w:r w:rsidR="084F2D66">
        <w:t xml:space="preserve"> </w:t>
      </w:r>
      <w:r w:rsidR="08844F35" w:rsidRPr="00273106">
        <w:t xml:space="preserve">s jeho </w:t>
      </w:r>
      <w:r w:rsidR="08844F35">
        <w:t xml:space="preserve">kontigentní </w:t>
      </w:r>
      <w:r w:rsidR="08844F35" w:rsidRPr="00273106">
        <w:t>lidskou formou je chápáno v modu porretánů</w:t>
      </w:r>
      <w:r w:rsidR="08844F35">
        <w:t>. P</w:t>
      </w:r>
      <w:r w:rsidR="00E56AA0" w:rsidRPr="00273106">
        <w:t xml:space="preserve">redikací </w:t>
      </w:r>
      <w:r w:rsidR="08844F35">
        <w:t xml:space="preserve">univerzálně </w:t>
      </w:r>
      <w:r w:rsidRPr="00273106">
        <w:t>hylemorfické substance</w:t>
      </w:r>
      <w:r w:rsidR="00022826" w:rsidRPr="00273106">
        <w:t xml:space="preserve"> třetího druhu</w:t>
      </w:r>
      <w:r w:rsidR="003E00C6" w:rsidRPr="00273106">
        <w:t xml:space="preserve"> </w:t>
      </w:r>
      <w:r w:rsidR="00F3283E">
        <w:t xml:space="preserve">moderna </w:t>
      </w:r>
      <w:r w:rsidR="00117873" w:rsidRPr="00273106">
        <w:t xml:space="preserve">nevytváří </w:t>
      </w:r>
      <w:r w:rsidR="003E00C6" w:rsidRPr="00273106">
        <w:t>aktuální formy</w:t>
      </w:r>
      <w:r w:rsidR="00AA32DE" w:rsidRPr="00273106">
        <w:t xml:space="preserve"> (</w:t>
      </w:r>
      <w:r w:rsidR="00AA32DE" w:rsidRPr="00273106">
        <w:rPr>
          <w:i/>
        </w:rPr>
        <w:t>non forma hominis</w:t>
      </w:r>
      <w:r w:rsidR="00AA32DE" w:rsidRPr="00273106">
        <w:t>)</w:t>
      </w:r>
      <w:r w:rsidR="00850372" w:rsidRPr="00273106">
        <w:t xml:space="preserve">, ale pouze </w:t>
      </w:r>
      <w:r w:rsidR="00F3283E">
        <w:t>konstatuje</w:t>
      </w:r>
      <w:r w:rsidR="00453C45" w:rsidRPr="00273106">
        <w:t xml:space="preserve"> objektivně danou </w:t>
      </w:r>
      <w:r w:rsidR="00850372" w:rsidRPr="00273106">
        <w:t>podobnost těchto forem</w:t>
      </w:r>
      <w:r w:rsidR="009548C2" w:rsidRPr="00273106">
        <w:t xml:space="preserve"> </w:t>
      </w:r>
      <w:r w:rsidR="0078341F" w:rsidRPr="00273106">
        <w:t>(</w:t>
      </w:r>
      <w:r w:rsidR="0078341F" w:rsidRPr="00273106">
        <w:rPr>
          <w:i/>
        </w:rPr>
        <w:t>ut forma hominis</w:t>
      </w:r>
      <w:r w:rsidR="0078341F" w:rsidRPr="00273106">
        <w:t xml:space="preserve">). </w:t>
      </w:r>
      <w:r w:rsidR="00FA3318" w:rsidRPr="00273106">
        <w:t xml:space="preserve">Aby Rufus nebyl úplně šílený (Bacon </w:t>
      </w:r>
      <w:r w:rsidR="00FA3318" w:rsidRPr="00273106">
        <w:rPr>
          <w:i/>
        </w:rPr>
        <w:t>dixit</w:t>
      </w:r>
      <w:r w:rsidR="00FA3318" w:rsidRPr="00273106">
        <w:t>), přidal na konci upozornění, že nejsme bůh, protože formu člověka ne</w:t>
      </w:r>
      <w:r w:rsidR="000311B8">
        <w:t xml:space="preserve">vytváříme, ale pouze poznáváme. </w:t>
      </w:r>
      <w:r w:rsidR="00FA3318" w:rsidRPr="00273106">
        <w:t xml:space="preserve">Rufusem definovaný </w:t>
      </w:r>
      <w:r w:rsidR="00FA3318" w:rsidRPr="00273106">
        <w:rPr>
          <w:i/>
        </w:rPr>
        <w:t>intellectus possibilis</w:t>
      </w:r>
      <w:r w:rsidR="00FA3318" w:rsidRPr="00273106">
        <w:t xml:space="preserve"> vytváří v mysli objektivního dvojníka reality</w:t>
      </w:r>
      <w:r w:rsidR="00FA3318">
        <w:t xml:space="preserve">, které vybavuje univoční signifikací vzhledem k realitě. </w:t>
      </w:r>
      <w:r w:rsidR="006D3B6E">
        <w:t>P</w:t>
      </w:r>
      <w:r w:rsidR="00050F3D" w:rsidRPr="00273106">
        <w:t xml:space="preserve">odle již mnohokrát citovaného Alverna splývá </w:t>
      </w:r>
      <w:r w:rsidR="006D3B6E">
        <w:t xml:space="preserve">modernistům </w:t>
      </w:r>
      <w:r w:rsidR="00050F3D" w:rsidRPr="00273106">
        <w:t xml:space="preserve">intencionálně dané poznání v subjektu s </w:t>
      </w:r>
      <w:r w:rsidR="00647BE6">
        <w:t>reálnou ex</w:t>
      </w:r>
      <w:r w:rsidR="00050F3D" w:rsidRPr="00273106">
        <w:t>istencí</w:t>
      </w:r>
      <w:r w:rsidR="00647BE6">
        <w:t xml:space="preserve"> první substance</w:t>
      </w:r>
      <w:r w:rsidR="000311B8">
        <w:t xml:space="preserve">. Rufus otevřel Pandořinu skříňku moderny. Dokládají to pozdější redakční úpravy </w:t>
      </w:r>
      <w:r w:rsidR="000311B8" w:rsidRPr="000311B8">
        <w:rPr>
          <w:i/>
        </w:rPr>
        <w:t>Speculum animae</w:t>
      </w:r>
      <w:r w:rsidR="000311B8">
        <w:t xml:space="preserve">. Do upravené pasáže, která byla součástí původního traktátu, je později vloženo odvolání Rufova příliš odvážné argumentace. Kapitola nazvaná </w:t>
      </w:r>
      <w:r w:rsidR="000311B8" w:rsidRPr="000311B8">
        <w:rPr>
          <w:i/>
        </w:rPr>
        <w:t xml:space="preserve">Excursus Assisiensis </w:t>
      </w:r>
      <w:r w:rsidR="000311B8">
        <w:t>(</w:t>
      </w:r>
      <w:r w:rsidR="000311B8" w:rsidRPr="000311B8">
        <w:rPr>
          <w:i/>
        </w:rPr>
        <w:t>Speculum animae</w:t>
      </w:r>
      <w:r w:rsidR="000311B8">
        <w:t>, pp. 132–133</w:t>
      </w:r>
      <w:r w:rsidR="000311B8" w:rsidRPr="00DC6664">
        <w:rPr>
          <w:szCs w:val="24"/>
        </w:rPr>
        <w:fldChar w:fldCharType="begin"/>
      </w:r>
      <w:r w:rsidR="000311B8" w:rsidRPr="00DC6664">
        <w:rPr>
          <w:szCs w:val="24"/>
        </w:rPr>
        <w:instrText xml:space="preserve"> XE "Rufus:</w:instrText>
      </w:r>
      <w:r w:rsidR="000311B8" w:rsidRPr="00DC6664">
        <w:rPr>
          <w:i/>
          <w:szCs w:val="24"/>
        </w:rPr>
        <w:instrText>Speculum animae</w:instrText>
      </w:r>
      <w:r w:rsidR="000311B8" w:rsidRPr="00DC6664">
        <w:rPr>
          <w:szCs w:val="24"/>
        </w:rPr>
        <w:instrText xml:space="preserve"> 132‒133" </w:instrText>
      </w:r>
      <w:r w:rsidR="000311B8" w:rsidRPr="00DC6664">
        <w:rPr>
          <w:szCs w:val="24"/>
        </w:rPr>
        <w:fldChar w:fldCharType="end"/>
      </w:r>
      <w:r w:rsidR="000311B8">
        <w:t xml:space="preserve">) následuje bezprostředně po výkladu o objektivním bytí a intelektu. Rufovi žáci se snažili uvést novou nauku do souladu s teoriemi </w:t>
      </w:r>
      <w:r w:rsidR="000311B8" w:rsidRPr="000311B8">
        <w:rPr>
          <w:i/>
        </w:rPr>
        <w:t>species</w:t>
      </w:r>
      <w:r w:rsidR="000311B8">
        <w:t xml:space="preserve"> a </w:t>
      </w:r>
      <w:r w:rsidR="000311B8" w:rsidRPr="000311B8">
        <w:rPr>
          <w:i/>
        </w:rPr>
        <w:t>intellectus possibilis</w:t>
      </w:r>
      <w:r w:rsidR="000311B8">
        <w:t xml:space="preserve"> vykládanými v pozdější Bonaventurově škole. Modernisté z Rufusovy školy na rozdíl od kritiky prvního a také druhého averroismu zdůrazňovali, že se nejedná o inovaci, ale spíše o klasický přístup v rámci specifické predikace. Rufus se údajně držel klasického přístupu v rámci hypostázované predikace. </w:t>
      </w:r>
      <w:r w:rsidR="00B758FE">
        <w:t>Jeho p</w:t>
      </w:r>
      <w:r w:rsidR="000311B8">
        <w:t xml:space="preserve">ozdější žáci zastřeli objektivní hylemorfní realitu tím, že místo ní </w:t>
      </w:r>
      <w:r w:rsidR="0050028A">
        <w:t>zavedli</w:t>
      </w:r>
      <w:r w:rsidR="000311B8">
        <w:t xml:space="preserve"> univerzální hypostatický význam (</w:t>
      </w:r>
      <w:r w:rsidR="000311B8" w:rsidRPr="000311B8">
        <w:rPr>
          <w:i/>
        </w:rPr>
        <w:t>divido esse speciei contra esse naturae</w:t>
      </w:r>
      <w:r w:rsidR="000311B8">
        <w:t>).</w:t>
      </w:r>
      <w:r w:rsidR="000311B8" w:rsidRPr="00DC6664">
        <w:rPr>
          <w:szCs w:val="24"/>
          <w:vertAlign w:val="superscript"/>
        </w:rPr>
        <w:footnoteReference w:id="476"/>
      </w:r>
      <w:r w:rsidR="000311B8">
        <w:t xml:space="preserve"> Rufusova hylemorfní objektivní predikace daná v rámci aristotelských kategorií se tím vrátila do systému dělení </w:t>
      </w:r>
      <w:r w:rsidR="000311B8" w:rsidRPr="000311B8">
        <w:rPr>
          <w:i/>
        </w:rPr>
        <w:t>Nominales</w:t>
      </w:r>
      <w:r w:rsidR="000311B8">
        <w:t xml:space="preserve"> podle Porfýriova stromu, což bylo tradiční porretánské pojetí. Ruf</w:t>
      </w:r>
      <w:r w:rsidR="00B758FE">
        <w:t>us</w:t>
      </w:r>
      <w:r w:rsidR="000311B8">
        <w:t>ovi žáci museli sofisticky způsobem obejít použití spirituální materie pro možný intelekt (</w:t>
      </w:r>
      <w:r w:rsidR="000311B8" w:rsidRPr="000311B8">
        <w:rPr>
          <w:i/>
        </w:rPr>
        <w:t>ipsa materia forinseca</w:t>
      </w:r>
      <w:r w:rsidR="000311B8">
        <w:t>). Harmonizovali proto Ruf</w:t>
      </w:r>
      <w:r w:rsidR="00182C35">
        <w:t>us</w:t>
      </w:r>
      <w:r w:rsidR="000311B8">
        <w:t xml:space="preserve">ovo učení s klasickým porretánským scénářem tak, aby jeho novátorská sofistika nebyla patrná. Ale </w:t>
      </w:r>
      <w:r w:rsidR="00972450">
        <w:t>toto řešení již sledovalo nově vydlážděnou cestu</w:t>
      </w:r>
      <w:r w:rsidR="000311B8">
        <w:t xml:space="preserve"> </w:t>
      </w:r>
      <w:r w:rsidR="00972450">
        <w:t xml:space="preserve">jsoucna </w:t>
      </w:r>
      <w:r w:rsidR="000311B8">
        <w:t xml:space="preserve">třetího druhu. </w:t>
      </w:r>
      <w:r w:rsidR="00972450">
        <w:t xml:space="preserve">Rufusem založená moderna povolala k životu jednak </w:t>
      </w:r>
      <w:r w:rsidR="000311B8">
        <w:t>falešn</w:t>
      </w:r>
      <w:r w:rsidR="00972450">
        <w:t>ý</w:t>
      </w:r>
      <w:r w:rsidR="000311B8">
        <w:t xml:space="preserve"> problém averroismu </w:t>
      </w:r>
      <w:r w:rsidR="00972450">
        <w:t xml:space="preserve">a jednak </w:t>
      </w:r>
      <w:r w:rsidR="000311B8">
        <w:t>nové pojetí objektivně založeného intelektu a jsoucna.</w:t>
      </w:r>
    </w:p>
    <w:p w14:paraId="7C84123A" w14:textId="78C24B2D" w:rsidR="0066111E" w:rsidRDefault="00050F3D" w:rsidP="00972450">
      <w:pPr>
        <w:ind w:firstLine="397"/>
      </w:pPr>
      <w:r w:rsidRPr="00273106">
        <w:t>Rufusova apologie poskytuje příklad analytické interpretace reality</w:t>
      </w:r>
      <w:r w:rsidR="00FD2FBC">
        <w:t xml:space="preserve"> v modu </w:t>
      </w:r>
      <w:r w:rsidR="00FD2FBC" w:rsidRPr="00FD2FBC">
        <w:rPr>
          <w:i/>
        </w:rPr>
        <w:t xml:space="preserve">Oxfordian </w:t>
      </w:r>
      <w:r w:rsidR="00FD2FBC" w:rsidRPr="00447409">
        <w:rPr>
          <w:i/>
        </w:rPr>
        <w:t>Fallacy</w:t>
      </w:r>
      <w:r w:rsidR="00E45015">
        <w:t>. Konjunkce univerzálních</w:t>
      </w:r>
      <w:r w:rsidRPr="00273106">
        <w:t xml:space="preserve"> </w:t>
      </w:r>
      <w:r w:rsidR="004B4D52" w:rsidRPr="004B4D52">
        <w:t>species</w:t>
      </w:r>
      <w:r w:rsidRPr="00273106">
        <w:t xml:space="preserve"> a lidské individuální receptivity je míněn</w:t>
      </w:r>
      <w:r w:rsidR="00E45015">
        <w:t xml:space="preserve">a v původním latinském významu </w:t>
      </w:r>
      <w:r w:rsidRPr="00273106">
        <w:rPr>
          <w:i/>
        </w:rPr>
        <w:t>exsistere</w:t>
      </w:r>
      <w:r w:rsidR="005A68A7">
        <w:rPr>
          <w:i/>
        </w:rPr>
        <w:fldChar w:fldCharType="begin"/>
      </w:r>
      <w:r w:rsidR="005A68A7">
        <w:instrText xml:space="preserve"> XE "</w:instrText>
      </w:r>
      <w:r w:rsidR="005A68A7" w:rsidRPr="008E07A9">
        <w:rPr>
          <w:i/>
        </w:rPr>
        <w:instrText>exsistere</w:instrText>
      </w:r>
      <w:r w:rsidR="005A68A7">
        <w:instrText xml:space="preserve">" </w:instrText>
      </w:r>
      <w:r w:rsidR="005A68A7">
        <w:rPr>
          <w:i/>
        </w:rPr>
        <w:fldChar w:fldCharType="end"/>
      </w:r>
      <w:r w:rsidR="00D013EB" w:rsidRPr="00273106">
        <w:t xml:space="preserve">. </w:t>
      </w:r>
      <w:r w:rsidR="084F2D66" w:rsidRPr="00273106">
        <w:t xml:space="preserve">Moderní </w:t>
      </w:r>
      <w:r w:rsidR="084F2D66">
        <w:t>humanismus definuje člověka jako substanci</w:t>
      </w:r>
      <w:r w:rsidR="084F2D66" w:rsidRPr="00273106">
        <w:t xml:space="preserve"> třetího druhu</w:t>
      </w:r>
      <w:r w:rsidR="084F2D66">
        <w:t xml:space="preserve">. </w:t>
      </w:r>
      <w:r w:rsidR="002B10C7">
        <w:t xml:space="preserve">Člověk se objektivně manifestuje tím, že trvalá </w:t>
      </w:r>
      <w:r w:rsidR="002B10C7" w:rsidRPr="00273106">
        <w:t>subsistence</w:t>
      </w:r>
      <w:r w:rsidR="00015564">
        <w:fldChar w:fldCharType="begin"/>
      </w:r>
      <w:r w:rsidR="00015564">
        <w:instrText xml:space="preserve"> XE "</w:instrText>
      </w:r>
      <w:r w:rsidR="000000F7">
        <w:instrText>osoba:</w:instrText>
      </w:r>
      <w:r w:rsidR="001A5DE6" w:rsidRPr="001A5DE6">
        <w:rPr>
          <w:i/>
        </w:rPr>
        <w:instrText>concretum</w:instrText>
      </w:r>
      <w:r w:rsidR="00015564">
        <w:instrText xml:space="preserve">" </w:instrText>
      </w:r>
      <w:r w:rsidR="00015564">
        <w:fldChar w:fldCharType="end"/>
      </w:r>
      <w:r w:rsidR="002B10C7">
        <w:t xml:space="preserve"> specifické lidskosti </w:t>
      </w:r>
      <w:r w:rsidR="0091336B">
        <w:t xml:space="preserve">vyjde z boží exemplární mysli, pak </w:t>
      </w:r>
      <w:r w:rsidR="08E227A9">
        <w:t xml:space="preserve">je </w:t>
      </w:r>
      <w:r w:rsidR="002B10C7">
        <w:t>konkré</w:t>
      </w:r>
      <w:r w:rsidR="08E227A9">
        <w:t>tně</w:t>
      </w:r>
      <w:r w:rsidR="002B10C7">
        <w:t xml:space="preserve"> definovaná v </w:t>
      </w:r>
      <w:r w:rsidR="003E24B8">
        <w:t xml:space="preserve">porretánském </w:t>
      </w:r>
      <w:r w:rsidR="002B10C7">
        <w:t>individuu</w:t>
      </w:r>
      <w:r w:rsidR="003E24B8">
        <w:t>. N</w:t>
      </w:r>
      <w:r w:rsidR="002B10C7">
        <w:t xml:space="preserve">ásledně dostane </w:t>
      </w:r>
      <w:r w:rsidR="003E24B8">
        <w:t xml:space="preserve">toto individuum </w:t>
      </w:r>
      <w:r w:rsidR="00447409">
        <w:t>kontigentní</w:t>
      </w:r>
      <w:r w:rsidRPr="00273106">
        <w:t xml:space="preserve"> aktu</w:t>
      </w:r>
      <w:r w:rsidR="002B10C7">
        <w:t xml:space="preserve">alizaci </w:t>
      </w:r>
      <w:r w:rsidRPr="00273106">
        <w:t xml:space="preserve">v </w:t>
      </w:r>
      <w:r w:rsidR="00610B43">
        <w:t xml:space="preserve">jedinečné osobě </w:t>
      </w:r>
      <w:r w:rsidRPr="00273106">
        <w:t xml:space="preserve">jako hylemorfické substanci. </w:t>
      </w:r>
      <w:r w:rsidR="08E227A9">
        <w:t xml:space="preserve">Tím se z konkrétního individua daného v modu </w:t>
      </w:r>
      <w:r w:rsidR="003E24B8" w:rsidRPr="003E24B8">
        <w:rPr>
          <w:i/>
        </w:rPr>
        <w:t>homo humanat</w:t>
      </w:r>
      <w:r w:rsidR="003E24B8">
        <w:t xml:space="preserve"> stane </w:t>
      </w:r>
      <w:r w:rsidR="08E227A9">
        <w:t>v poznání objektivní ekvivalent reálné osoby</w:t>
      </w:r>
      <w:r w:rsidR="003E24B8">
        <w:t xml:space="preserve">. </w:t>
      </w:r>
      <w:r w:rsidR="08BF1152">
        <w:t>V</w:t>
      </w:r>
      <w:r w:rsidR="08674607">
        <w:t xml:space="preserve"> tomto </w:t>
      </w:r>
      <w:r w:rsidR="08AB64BB">
        <w:t xml:space="preserve">moderním humanistickém </w:t>
      </w:r>
      <w:r w:rsidR="08674607">
        <w:t xml:space="preserve">scénáři </w:t>
      </w:r>
      <w:r w:rsidR="08AB64BB">
        <w:t xml:space="preserve">člověka-mrtvoly </w:t>
      </w:r>
      <w:r w:rsidR="08674607">
        <w:t xml:space="preserve">není důležitá osoba jako aktuální a jedinečná hylemorfická substance, ale </w:t>
      </w:r>
      <w:r w:rsidR="00496DEB">
        <w:t xml:space="preserve">mytologický </w:t>
      </w:r>
      <w:r w:rsidR="08674607">
        <w:t xml:space="preserve">proces hypostázování věčné formy do kontingentní reality. </w:t>
      </w:r>
      <w:r w:rsidR="00CF008C" w:rsidRPr="00DB6B35">
        <w:t xml:space="preserve">Z hlediska paranoidní modernity, která si skutečnost </w:t>
      </w:r>
      <w:r w:rsidR="00CF008C">
        <w:t>a její poznání osvojuje v modu „</w:t>
      </w:r>
      <w:r w:rsidR="00CF008C" w:rsidRPr="00DB6B35">
        <w:rPr>
          <w:i/>
        </w:rPr>
        <w:t>exsistere</w:t>
      </w:r>
      <w:r w:rsidR="00CF008C">
        <w:t>“</w:t>
      </w:r>
      <w:r w:rsidR="00CF008C" w:rsidRPr="00DB6B35">
        <w:t>, pak platí, že intelekt je stejně pravdi</w:t>
      </w:r>
      <w:r w:rsidR="00CF008C">
        <w:t xml:space="preserve">vý jako naprosto subjektivní </w:t>
      </w:r>
      <w:r w:rsidR="00CF008C" w:rsidRPr="00DB6B35">
        <w:rPr>
          <w:i/>
        </w:rPr>
        <w:t>factum</w:t>
      </w:r>
      <w:r w:rsidR="00CF008C">
        <w:t xml:space="preserve"> jménem „</w:t>
      </w:r>
      <w:r w:rsidR="00CF008C" w:rsidRPr="00DB6B35">
        <w:rPr>
          <w:i/>
        </w:rPr>
        <w:t>homo humanat</w:t>
      </w:r>
      <w:r w:rsidR="00CF008C">
        <w:t>“</w:t>
      </w:r>
      <w:r w:rsidR="00CF008C" w:rsidRPr="00DB6B35">
        <w:t>. Neexistující moderní subjekt produkuje tento objektivní fakt v</w:t>
      </w:r>
      <w:r w:rsidR="00CF008C">
        <w:t xml:space="preserve"> mytologickém modu ekvivalence „moderní subjekt – moderní objekt“</w:t>
      </w:r>
      <w:r w:rsidR="00CF008C" w:rsidRPr="00DB6B35">
        <w:t>.</w:t>
      </w:r>
      <w:r w:rsidR="00CF008C">
        <w:t xml:space="preserve"> </w:t>
      </w:r>
      <w:r w:rsidR="086B4FD9" w:rsidRPr="00273106">
        <w:t>Pak platí z hlediska paranoické moderny asimiluj</w:t>
      </w:r>
      <w:r w:rsidR="086B4FD9">
        <w:t xml:space="preserve">ící realitu a její poznání v modu </w:t>
      </w:r>
      <w:r w:rsidR="086B4FD9" w:rsidRPr="085F3890">
        <w:rPr>
          <w:i/>
        </w:rPr>
        <w:t>exsistere</w:t>
      </w:r>
      <w:r w:rsidR="086B4FD9">
        <w:t xml:space="preserve">, že </w:t>
      </w:r>
      <w:r w:rsidR="00F336FF">
        <w:t>intellet produkuje pravdivou mytologickou událost, která se jmenuje „</w:t>
      </w:r>
      <w:r w:rsidR="086B4FD9" w:rsidRPr="00273106">
        <w:rPr>
          <w:i/>
        </w:rPr>
        <w:t>homo humanat</w:t>
      </w:r>
      <w:r w:rsidR="00F336FF">
        <w:t>“</w:t>
      </w:r>
      <w:r w:rsidR="086B4FD9" w:rsidRPr="00273106">
        <w:t>.</w:t>
      </w:r>
      <w:r w:rsidR="086B4FD9">
        <w:t xml:space="preserve"> </w:t>
      </w:r>
      <w:r w:rsidR="00C0440A" w:rsidRPr="00273106">
        <w:t xml:space="preserve">Uvedené latinské termíny </w:t>
      </w:r>
      <w:r w:rsidR="08BF1152">
        <w:t xml:space="preserve">školy </w:t>
      </w:r>
      <w:r w:rsidR="08BF1152" w:rsidRPr="08BF1152">
        <w:rPr>
          <w:i/>
        </w:rPr>
        <w:t>Nominales</w:t>
      </w:r>
      <w:r w:rsidR="08BF1152">
        <w:t xml:space="preserve"> </w:t>
      </w:r>
      <w:r w:rsidR="00C0440A" w:rsidRPr="00273106">
        <w:t>jako „humanizace“ „kamenizace“ a „animalizace</w:t>
      </w:r>
      <w:r w:rsidR="00C0440A">
        <w:t>“ ukazují objektivní pojetí „ex</w:t>
      </w:r>
      <w:r w:rsidR="00C0440A" w:rsidRPr="00273106">
        <w:t>sistence“ dané jako kontigentní výskyt univoční</w:t>
      </w:r>
      <w:r w:rsidR="00C0440A">
        <w:t>ch</w:t>
      </w:r>
      <w:r w:rsidR="00C0440A" w:rsidRPr="00273106">
        <w:t xml:space="preserve"> </w:t>
      </w:r>
      <w:r w:rsidR="004B4D52" w:rsidRPr="004B4D52">
        <w:t>species</w:t>
      </w:r>
      <w:r w:rsidR="08A57EE4">
        <w:t xml:space="preserve"> ve vnějším reálném světě.</w:t>
      </w:r>
      <w:r w:rsidR="00DA06CA">
        <w:t xml:space="preserve"> </w:t>
      </w:r>
      <w:r w:rsidR="00F269CF" w:rsidRPr="00273106">
        <w:t xml:space="preserve">Rufusovo univoční pojetí </w:t>
      </w:r>
      <w:r w:rsidR="004B4D52" w:rsidRPr="004B4D52">
        <w:t>species</w:t>
      </w:r>
      <w:r w:rsidR="00F269CF" w:rsidRPr="00273106">
        <w:t xml:space="preserve"> </w:t>
      </w:r>
      <w:r w:rsidR="00DA06CA">
        <w:t>je spojeno s produkcí objektivního jsoucna</w:t>
      </w:r>
      <w:r w:rsidR="00DA06CA" w:rsidRPr="00DA06CA">
        <w:t xml:space="preserve">. </w:t>
      </w:r>
      <w:r w:rsidR="00FD1053">
        <w:t>Tím p</w:t>
      </w:r>
      <w:r w:rsidR="00DA06CA" w:rsidRPr="00DA06CA">
        <w:t xml:space="preserve">adla hranice mezi realitou a jejím poznáním, neboť splynuly v univerzální hylemorfismus. </w:t>
      </w:r>
      <w:r w:rsidR="0066111E" w:rsidRPr="0066111E">
        <w:t>Moderní subjekt se prohlásil za nového demiurga, který začal vytvářet neexistující svět.</w:t>
      </w:r>
    </w:p>
    <w:p w14:paraId="46728EC9" w14:textId="77777777" w:rsidR="00645C1E" w:rsidRDefault="00645C1E" w:rsidP="00645C1E"/>
    <w:p w14:paraId="5879F80B" w14:textId="77777777" w:rsidR="00E94202" w:rsidRPr="00273106" w:rsidRDefault="08626077" w:rsidP="00E94202">
      <w:pPr>
        <w:pStyle w:val="Nadpis2"/>
      </w:pPr>
      <w:bookmarkStart w:id="133" w:name="_Toc487234322"/>
      <w:bookmarkStart w:id="134" w:name="_Toc12558329"/>
      <w:r>
        <w:rPr>
          <w:lang w:val="cs-CZ"/>
        </w:rPr>
        <w:br w:type="page"/>
      </w:r>
      <w:bookmarkStart w:id="135" w:name="_Toc160449342"/>
      <w:r w:rsidR="08D20D28">
        <w:rPr>
          <w:lang w:val="cs-CZ"/>
        </w:rPr>
        <w:t>3</w:t>
      </w:r>
      <w:r w:rsidR="00050538" w:rsidRPr="00273106">
        <w:t>.4</w:t>
      </w:r>
      <w:r w:rsidR="00E94202" w:rsidRPr="00273106">
        <w:t xml:space="preserve"> </w:t>
      </w:r>
      <w:r w:rsidR="005B50FC" w:rsidRPr="00273106">
        <w:t>V</w:t>
      </w:r>
      <w:r w:rsidR="00E94202" w:rsidRPr="00273106">
        <w:t xml:space="preserve">znik </w:t>
      </w:r>
      <w:r w:rsidR="003F337D" w:rsidRPr="00273106">
        <w:t xml:space="preserve">akademického </w:t>
      </w:r>
      <w:r w:rsidR="00E94202" w:rsidRPr="00273106">
        <w:t>averroismu</w:t>
      </w:r>
      <w:r w:rsidR="005B50FC" w:rsidRPr="00273106">
        <w:t xml:space="preserve"> (Robert </w:t>
      </w:r>
      <w:r w:rsidR="001F10A3" w:rsidRPr="00273106">
        <w:t>Kilwardby</w:t>
      </w:r>
      <w:r w:rsidR="005B50FC" w:rsidRPr="00273106">
        <w:t>)</w:t>
      </w:r>
      <w:bookmarkEnd w:id="133"/>
      <w:bookmarkEnd w:id="134"/>
      <w:bookmarkEnd w:id="135"/>
    </w:p>
    <w:p w14:paraId="6403521C" w14:textId="77777777" w:rsidR="006C257F" w:rsidRDefault="00645C1E" w:rsidP="004B1758">
      <w:r w:rsidRPr="00273106">
        <w:t xml:space="preserve">V rámci </w:t>
      </w:r>
      <w:r>
        <w:t>neoplatonsk</w:t>
      </w:r>
      <w:r w:rsidRPr="00273106">
        <w:t xml:space="preserve">y postaveného </w:t>
      </w:r>
      <w:r w:rsidRPr="00273106">
        <w:rPr>
          <w:i/>
        </w:rPr>
        <w:t>intellectus possibilis</w:t>
      </w:r>
      <w:r w:rsidRPr="00273106">
        <w:t xml:space="preserve"> moderních </w:t>
      </w:r>
      <w:r>
        <w:t>oxfordských a pařížských a</w:t>
      </w:r>
      <w:r w:rsidRPr="00273106">
        <w:t>lexandrovců</w:t>
      </w:r>
      <w:r>
        <w:fldChar w:fldCharType="begin"/>
      </w:r>
      <w:r>
        <w:instrText xml:space="preserve"> XE "alexandrovci" </w:instrText>
      </w:r>
      <w:r>
        <w:fldChar w:fldCharType="end"/>
      </w:r>
      <w:r w:rsidRPr="00273106">
        <w:t xml:space="preserve"> vzniká na latinském Západě první </w:t>
      </w:r>
      <w:r>
        <w:t>projekt objektivního jsoucna</w:t>
      </w:r>
      <w:r w:rsidRPr="00273106">
        <w:t xml:space="preserve"> </w:t>
      </w:r>
      <w:r>
        <w:t xml:space="preserve">v letech </w:t>
      </w:r>
      <w:r w:rsidRPr="00273106">
        <w:t xml:space="preserve">1240‒45. </w:t>
      </w:r>
      <w:r>
        <w:t xml:space="preserve">Objektivní určení člověka sestupuje z kosmického intelektu do reálné osoby skrze princip </w:t>
      </w:r>
      <w:r w:rsidRPr="00610B43">
        <w:rPr>
          <w:i/>
        </w:rPr>
        <w:t>modo geometrico</w:t>
      </w:r>
      <w:r>
        <w:rPr>
          <w:i/>
        </w:rPr>
        <w:fldChar w:fldCharType="begin"/>
      </w:r>
      <w:r>
        <w:instrText xml:space="preserve"> XE "</w:instrText>
      </w:r>
      <w:r w:rsidRPr="00E71D05">
        <w:instrText>predikace</w:instrText>
      </w:r>
      <w:r w:rsidRPr="00E71D05">
        <w:rPr>
          <w:i/>
        </w:rPr>
        <w:instrText>:modo geometrico</w:instrText>
      </w:r>
      <w:r>
        <w:instrText xml:space="preserve">" </w:instrText>
      </w:r>
      <w:r>
        <w:rPr>
          <w:i/>
        </w:rPr>
        <w:fldChar w:fldCharType="end"/>
      </w:r>
      <w:r>
        <w:t xml:space="preserve"> daný podle </w:t>
      </w:r>
      <w:r w:rsidRPr="00610B43">
        <w:rPr>
          <w:i/>
        </w:rPr>
        <w:t>Liber de causis</w:t>
      </w:r>
      <w:r>
        <w:rPr>
          <w:i/>
        </w:rPr>
        <w:fldChar w:fldCharType="begin"/>
      </w:r>
      <w:r>
        <w:instrText xml:space="preserve"> XE "</w:instrText>
      </w:r>
      <w:r w:rsidRPr="00C46BD8">
        <w:rPr>
          <w:i/>
        </w:rPr>
        <w:instrText>Liber de causis</w:instrText>
      </w:r>
      <w:r>
        <w:instrText xml:space="preserve">" </w:instrText>
      </w:r>
      <w:r>
        <w:rPr>
          <w:i/>
        </w:rPr>
        <w:fldChar w:fldCharType="end"/>
      </w:r>
      <w:r>
        <w:t xml:space="preserve">. </w:t>
      </w:r>
      <w:r w:rsidRPr="00273106">
        <w:t>Moderní subjekt přidává konkrétní určení k první substanci tak, že spojí její univerzální význam s aktuální substancí (</w:t>
      </w:r>
      <w:r>
        <w:rPr>
          <w:i/>
        </w:rPr>
        <w:t>con</w:t>
      </w:r>
      <w:r w:rsidRPr="00273106">
        <w:rPr>
          <w:i/>
        </w:rPr>
        <w:t>cresco</w:t>
      </w:r>
      <w:r>
        <w:t xml:space="preserve">). Receptivní intelekt se stal </w:t>
      </w:r>
      <w:r w:rsidR="006D01E0">
        <w:t>„konkrétní“ entitou v moderním smyslu. Intelekt s</w:t>
      </w:r>
      <w:r>
        <w:t xml:space="preserve">tvořil v modu </w:t>
      </w:r>
      <w:r w:rsidRPr="00273106">
        <w:rPr>
          <w:i/>
        </w:rPr>
        <w:t>ex nihil</w:t>
      </w:r>
      <w:r>
        <w:rPr>
          <w:i/>
        </w:rPr>
        <w:t>o</w:t>
      </w:r>
      <w:r>
        <w:rPr>
          <w:i/>
        </w:rPr>
        <w:fldChar w:fldCharType="begin"/>
      </w:r>
      <w:r>
        <w:instrText xml:space="preserve"> XE "</w:instrText>
      </w:r>
      <w:r w:rsidRPr="00E03D7C">
        <w:rPr>
          <w:i/>
        </w:rPr>
        <w:instrText>creatio ex nihilo</w:instrText>
      </w:r>
      <w:r>
        <w:instrText xml:space="preserve">" </w:instrText>
      </w:r>
      <w:r>
        <w:rPr>
          <w:i/>
        </w:rPr>
        <w:fldChar w:fldCharType="end"/>
      </w:r>
      <w:r w:rsidR="008A2EBF">
        <w:t xml:space="preserve"> vlastní jsoucno, které</w:t>
      </w:r>
      <w:r w:rsidRPr="00273106">
        <w:t xml:space="preserve"> </w:t>
      </w:r>
      <w:r w:rsidR="008A2EBF">
        <w:t>dostalo</w:t>
      </w:r>
      <w:r w:rsidRPr="00273106">
        <w:t xml:space="preserve"> charakter první substance. A tuto hypostázovanou existenci třetího druhu poznáváme v moderním modu</w:t>
      </w:r>
      <w:r w:rsidRPr="00273106">
        <w:rPr>
          <w:i/>
        </w:rPr>
        <w:t xml:space="preserve"> </w:t>
      </w:r>
      <w:r w:rsidRPr="00273106">
        <w:t xml:space="preserve">pravdy dané </w:t>
      </w:r>
      <w:r w:rsidRPr="00273106">
        <w:rPr>
          <w:i/>
        </w:rPr>
        <w:t>consimiliter</w:t>
      </w:r>
      <w:r w:rsidRPr="08EB5B42">
        <w:t xml:space="preserve"> a</w:t>
      </w:r>
      <w:r>
        <w:rPr>
          <w:i/>
        </w:rPr>
        <w:t xml:space="preserve"> concretive</w:t>
      </w:r>
      <w:r w:rsidRPr="00273106">
        <w:t xml:space="preserve">. </w:t>
      </w:r>
      <w:r>
        <w:t>S</w:t>
      </w:r>
      <w:r w:rsidRPr="00273106">
        <w:t xml:space="preserve">cénář Latiníků </w:t>
      </w:r>
      <w:r>
        <w:t xml:space="preserve">imituje sofistickým způsobem </w:t>
      </w:r>
      <w:r w:rsidRPr="00FC7661">
        <w:rPr>
          <w:szCs w:val="24"/>
        </w:rPr>
        <w:t>(εἰδωλοποιὸν,</w:t>
      </w:r>
      <w:r w:rsidRPr="00FC7661">
        <w:rPr>
          <w:i/>
          <w:szCs w:val="24"/>
        </w:rPr>
        <w:t xml:space="preserve"> Soph</w:t>
      </w:r>
      <w:r w:rsidRPr="00FC7661">
        <w:rPr>
          <w:szCs w:val="24"/>
        </w:rPr>
        <w:t>. 239d4</w:t>
      </w:r>
      <w:r w:rsidRPr="00FC7661">
        <w:rPr>
          <w:szCs w:val="24"/>
        </w:rPr>
        <w:fldChar w:fldCharType="begin"/>
      </w:r>
      <w:r w:rsidRPr="00FC7661">
        <w:rPr>
          <w:szCs w:val="24"/>
        </w:rPr>
        <w:instrText xml:space="preserve"> XE "Platon:</w:instrText>
      </w:r>
      <w:r w:rsidRPr="00FC7661">
        <w:rPr>
          <w:i/>
          <w:szCs w:val="24"/>
        </w:rPr>
        <w:instrText>Soph</w:instrText>
      </w:r>
      <w:r w:rsidRPr="00FC7661">
        <w:rPr>
          <w:szCs w:val="24"/>
        </w:rPr>
        <w:instrText xml:space="preserve">. 239d4" </w:instrText>
      </w:r>
      <w:r w:rsidRPr="00FC7661">
        <w:rPr>
          <w:szCs w:val="24"/>
        </w:rPr>
        <w:fldChar w:fldCharType="end"/>
      </w:r>
      <w:r w:rsidRPr="00FC7661">
        <w:rPr>
          <w:szCs w:val="24"/>
        </w:rPr>
        <w:t xml:space="preserve">) </w:t>
      </w:r>
      <w:r>
        <w:t xml:space="preserve">reálný </w:t>
      </w:r>
      <w:r w:rsidRPr="00273106">
        <w:t>postup poznání v CMDA dan</w:t>
      </w:r>
      <w:r>
        <w:t>ý</w:t>
      </w:r>
      <w:r w:rsidRPr="00273106">
        <w:t xml:space="preserve"> jako </w:t>
      </w:r>
      <w:r w:rsidRPr="00273106">
        <w:rPr>
          <w:i/>
        </w:rPr>
        <w:t xml:space="preserve">proportio </w:t>
      </w:r>
      <w:r w:rsidRPr="00273106">
        <w:t>a</w:t>
      </w:r>
      <w:r w:rsidRPr="00273106">
        <w:rPr>
          <w:i/>
        </w:rPr>
        <w:t xml:space="preserve"> consimilitudo</w:t>
      </w:r>
      <w:r>
        <w:rPr>
          <w:i/>
        </w:rPr>
        <w:fldChar w:fldCharType="begin"/>
      </w:r>
      <w:r>
        <w:instrText xml:space="preserve"> XE "pravda:</w:instrText>
      </w:r>
      <w:r w:rsidRPr="00DE2533">
        <w:rPr>
          <w:i/>
        </w:rPr>
        <w:instrText>consimilitudo</w:instrText>
      </w:r>
      <w:r>
        <w:instrText xml:space="preserve">" </w:instrText>
      </w:r>
      <w:r>
        <w:rPr>
          <w:i/>
        </w:rPr>
        <w:fldChar w:fldCharType="end"/>
      </w:r>
      <w:r w:rsidRPr="00273106">
        <w:t xml:space="preserve">. </w:t>
      </w:r>
      <w:r w:rsidR="00B31E17">
        <w:t xml:space="preserve">Objektivní jednota moderní osoby je dána touto </w:t>
      </w:r>
      <w:r>
        <w:t>kolek</w:t>
      </w:r>
      <w:r w:rsidR="00B31E17">
        <w:t>tou</w:t>
      </w:r>
      <w:r>
        <w:t xml:space="preserve"> absurdních hypostází</w:t>
      </w:r>
      <w:r w:rsidR="00B31E17">
        <w:t>. Tím vznikla</w:t>
      </w:r>
      <w:r>
        <w:t xml:space="preserve"> výsledn</w:t>
      </w:r>
      <w:r w:rsidR="00B31E17">
        <w:t xml:space="preserve">á </w:t>
      </w:r>
      <w:r>
        <w:t xml:space="preserve">jednotu skrze augustiniánskou </w:t>
      </w:r>
      <w:r w:rsidRPr="002B19A3">
        <w:rPr>
          <w:i/>
        </w:rPr>
        <w:t>memoria</w:t>
      </w:r>
      <w:r>
        <w:rPr>
          <w:i/>
        </w:rPr>
        <w:fldChar w:fldCharType="begin"/>
      </w:r>
      <w:r>
        <w:instrText xml:space="preserve"> XE "</w:instrText>
      </w:r>
      <w:r w:rsidRPr="00840D0F">
        <w:rPr>
          <w:i/>
        </w:rPr>
        <w:instrText>memoria:</w:instrText>
      </w:r>
      <w:r w:rsidRPr="00840D0F">
        <w:instrText>druhý averroismus</w:instrText>
      </w:r>
      <w:r>
        <w:instrText xml:space="preserve">" </w:instrText>
      </w:r>
      <w:r>
        <w:rPr>
          <w:i/>
        </w:rPr>
        <w:fldChar w:fldCharType="end"/>
      </w:r>
      <w:r>
        <w:t xml:space="preserve"> funguj</w:t>
      </w:r>
      <w:r w:rsidR="00B31E17">
        <w:t>ící v objektivním diakosmu</w:t>
      </w:r>
      <w:r>
        <w:t xml:space="preserve">. Moderní identitární paměť konkrétního individua a celé západní civilizace je dána jako mytický </w:t>
      </w:r>
      <w:r w:rsidRPr="00DC6664">
        <w:rPr>
          <w:i/>
          <w:szCs w:val="24"/>
        </w:rPr>
        <w:t>locus</w:t>
      </w:r>
      <w:r w:rsidRPr="00DC6664">
        <w:rPr>
          <w:szCs w:val="24"/>
        </w:rPr>
        <w:t xml:space="preserve"> </w:t>
      </w:r>
      <w:r w:rsidRPr="00E02AE3">
        <w:rPr>
          <w:i/>
          <w:szCs w:val="24"/>
        </w:rPr>
        <w:t>specierum</w:t>
      </w:r>
      <w:r w:rsidR="00B2122C">
        <w:rPr>
          <w:i/>
          <w:szCs w:val="24"/>
        </w:rPr>
        <w:fldChar w:fldCharType="begin"/>
      </w:r>
      <w:r w:rsidR="00B2122C">
        <w:instrText xml:space="preserve"> XE "</w:instrText>
      </w:r>
      <w:r w:rsidR="00B2122C" w:rsidRPr="00452678">
        <w:rPr>
          <w:i/>
          <w:szCs w:val="24"/>
        </w:rPr>
        <w:instrText>locus</w:instrText>
      </w:r>
      <w:r w:rsidR="00B2122C" w:rsidRPr="00452678">
        <w:rPr>
          <w:szCs w:val="24"/>
        </w:rPr>
        <w:instrText xml:space="preserve"> </w:instrText>
      </w:r>
      <w:r w:rsidR="00B2122C" w:rsidRPr="00452678">
        <w:rPr>
          <w:i/>
          <w:szCs w:val="24"/>
        </w:rPr>
        <w:instrText>specierum</w:instrText>
      </w:r>
      <w:r w:rsidR="00B2122C">
        <w:instrText xml:space="preserve">" </w:instrText>
      </w:r>
      <w:r w:rsidR="00B2122C">
        <w:rPr>
          <w:i/>
          <w:szCs w:val="24"/>
        </w:rPr>
        <w:fldChar w:fldCharType="end"/>
      </w:r>
      <w:r>
        <w:rPr>
          <w:szCs w:val="24"/>
        </w:rPr>
        <w:t xml:space="preserve"> </w:t>
      </w:r>
      <w:r>
        <w:t xml:space="preserve">porretánského objektivního </w:t>
      </w:r>
      <w:r w:rsidRPr="08987BF9">
        <w:rPr>
          <w:i/>
        </w:rPr>
        <w:t>informatio</w:t>
      </w:r>
      <w:r w:rsidR="00B2122C">
        <w:rPr>
          <w:i/>
        </w:rPr>
        <w:fldChar w:fldCharType="begin"/>
      </w:r>
      <w:r w:rsidR="00B2122C">
        <w:instrText xml:space="preserve"> XE "</w:instrText>
      </w:r>
      <w:r w:rsidR="00B2122C" w:rsidRPr="005E22B0">
        <w:rPr>
          <w:i/>
        </w:rPr>
        <w:instrText>informatio</w:instrText>
      </w:r>
      <w:r w:rsidR="00B2122C">
        <w:instrText xml:space="preserve">" </w:instrText>
      </w:r>
      <w:r w:rsidR="00B2122C">
        <w:rPr>
          <w:i/>
        </w:rPr>
        <w:fldChar w:fldCharType="end"/>
      </w:r>
      <w:r>
        <w:t xml:space="preserve">, které dostalo kauzální charakter prvních substancí. Tento thesaurus hypostází třetího druhu určuje poznání postmoderny, proto se současný svět bez tohoto pokladu nemůže obejít. Proto jej ve věku nihilistického </w:t>
      </w:r>
      <w:r w:rsidRPr="00CE272F">
        <w:rPr>
          <w:i/>
        </w:rPr>
        <w:t>informatio</w:t>
      </w:r>
      <w:r>
        <w:t xml:space="preserve"> dala dnešní doba do planetárního oblaku informací daných konkrétně a individuálně v cloudových databázích. Pokud člověk ve věku nihilisticky dokonané moderny ztratí tuto specifickou paměť (jak </w:t>
      </w:r>
      <w:r w:rsidR="003209BB">
        <w:t xml:space="preserve">onu </w:t>
      </w:r>
      <w:r>
        <w:t xml:space="preserve">individuální tak </w:t>
      </w:r>
      <w:r w:rsidR="003209BB">
        <w:t xml:space="preserve">tu v </w:t>
      </w:r>
      <w:r>
        <w:t xml:space="preserve">cloudu), pak přestane být svéprávnou osobou a stane se objektivní nicotou. Stejně tak se rozpadne po zániku cloudových aplikací a databází celý objektivní informační systém poznání globálně kolportující všechna </w:t>
      </w:r>
      <w:r w:rsidRPr="009131CD">
        <w:rPr>
          <w:i/>
        </w:rPr>
        <w:t>scibile</w:t>
      </w:r>
      <w:r>
        <w:rPr>
          <w:i/>
        </w:rPr>
        <w:fldChar w:fldCharType="begin"/>
      </w:r>
      <w:r>
        <w:instrText xml:space="preserve"> XE "</w:instrText>
      </w:r>
      <w:r w:rsidRPr="00AA4F67">
        <w:rPr>
          <w:i/>
        </w:rPr>
        <w:instrText>scibile</w:instrText>
      </w:r>
      <w:r>
        <w:rPr>
          <w:i/>
        </w:rPr>
        <w:instrText>:</w:instrText>
      </w:r>
      <w:r w:rsidRPr="00DF43BC">
        <w:instrText>postmoderna</w:instrText>
      </w:r>
      <w:r>
        <w:instrText xml:space="preserve">" </w:instrText>
      </w:r>
      <w:r>
        <w:rPr>
          <w:i/>
        </w:rPr>
        <w:fldChar w:fldCharType="end"/>
      </w:r>
      <w:r>
        <w:rPr>
          <w:i/>
        </w:rPr>
        <w:t xml:space="preserve"> </w:t>
      </w:r>
      <w:r w:rsidRPr="00F56FEA">
        <w:t>západní civilizace</w:t>
      </w:r>
      <w:r>
        <w:t xml:space="preserve">. Základem všech těchto epochálních změn je nové postavení intelektu daného v modu Rufusova </w:t>
      </w:r>
      <w:r w:rsidRPr="00AE6957">
        <w:rPr>
          <w:i/>
        </w:rPr>
        <w:t>informatio</w:t>
      </w:r>
      <w:r>
        <w:rPr>
          <w:i/>
        </w:rPr>
        <w:fldChar w:fldCharType="begin"/>
      </w:r>
      <w:r>
        <w:instrText xml:space="preserve"> XE "</w:instrText>
      </w:r>
      <w:r w:rsidRPr="00CA6E1B">
        <w:rPr>
          <w:i/>
        </w:rPr>
        <w:instrText>informatio</w:instrText>
      </w:r>
      <w:r>
        <w:instrText xml:space="preserve">" </w:instrText>
      </w:r>
      <w:r>
        <w:rPr>
          <w:i/>
        </w:rPr>
        <w:fldChar w:fldCharType="end"/>
      </w:r>
      <w:r>
        <w:t xml:space="preserve">. Koncept </w:t>
      </w:r>
      <w:r w:rsidR="00186375">
        <w:t>„</w:t>
      </w:r>
      <w:r w:rsidRPr="00186375">
        <w:rPr>
          <w:i/>
        </w:rPr>
        <w:t>species</w:t>
      </w:r>
      <w:r w:rsidRPr="00273106">
        <w:rPr>
          <w:i/>
        </w:rPr>
        <w:t xml:space="preserve"> obiecti exsistentis</w:t>
      </w:r>
      <w:r w:rsidR="00186375">
        <w:rPr>
          <w:i/>
        </w:rPr>
        <w:t>I“</w:t>
      </w:r>
      <w:r>
        <w:rPr>
          <w:i/>
        </w:rPr>
        <w:fldChar w:fldCharType="begin"/>
      </w:r>
      <w:r>
        <w:instrText xml:space="preserve"> XE "</w:instrText>
      </w:r>
      <w:r w:rsidRPr="00C05196">
        <w:rPr>
          <w:i/>
        </w:rPr>
        <w:instrText>species</w:instrText>
      </w:r>
      <w:r w:rsidRPr="00C05196">
        <w:instrText xml:space="preserve"> </w:instrText>
      </w:r>
      <w:r w:rsidRPr="00C05196">
        <w:rPr>
          <w:i/>
        </w:rPr>
        <w:instrText>obiecti exsistentis</w:instrText>
      </w:r>
      <w:r>
        <w:instrText xml:space="preserve">" </w:instrText>
      </w:r>
      <w:r>
        <w:rPr>
          <w:i/>
        </w:rPr>
        <w:fldChar w:fldCharType="end"/>
      </w:r>
      <w:r w:rsidRPr="00273106">
        <w:t xml:space="preserve"> </w:t>
      </w:r>
      <w:r w:rsidR="004B1758">
        <w:t xml:space="preserve">je </w:t>
      </w:r>
      <w:r w:rsidRPr="00273106">
        <w:t>napojený na nové pojetí receptivního intelektu a na nové pojetí pravdy</w:t>
      </w:r>
      <w:r w:rsidR="004B1758">
        <w:t xml:space="preserve">. </w:t>
      </w:r>
      <w:r w:rsidR="00E94258">
        <w:t>M</w:t>
      </w:r>
      <w:r w:rsidR="08F50345">
        <w:t>odernisté</w:t>
      </w:r>
      <w:r w:rsidR="00E94258">
        <w:t xml:space="preserve"> osmyslnil</w:t>
      </w:r>
      <w:r w:rsidR="08F50345">
        <w:t>i</w:t>
      </w:r>
      <w:r w:rsidR="00E94258" w:rsidRPr="00273106">
        <w:t xml:space="preserve"> </w:t>
      </w:r>
      <w:r w:rsidR="00E94258">
        <w:t>jsoucno jako objektivní ent</w:t>
      </w:r>
      <w:r w:rsidR="08F50345">
        <w:t>itu</w:t>
      </w:r>
      <w:r w:rsidR="00612569">
        <w:t>,</w:t>
      </w:r>
      <w:r w:rsidR="08F50345">
        <w:t xml:space="preserve"> a tím založili</w:t>
      </w:r>
      <w:r w:rsidR="00E94258">
        <w:t xml:space="preserve"> nové vidění světa. </w:t>
      </w:r>
      <w:r w:rsidR="00C34C34" w:rsidRPr="00273106">
        <w:t xml:space="preserve">Klíčovým faktorem vzniku </w:t>
      </w:r>
      <w:r w:rsidR="00EF11A7">
        <w:t xml:space="preserve">objektivní </w:t>
      </w:r>
      <w:r w:rsidR="00C34C34" w:rsidRPr="00273106">
        <w:t>moderny se stalo spojení univerzálního hylemorfismu v dualistické koncepci Avicebrona s porretánským systémem hypostází</w:t>
      </w:r>
      <w:r w:rsidR="00912F6E">
        <w:t xml:space="preserve"> na</w:t>
      </w:r>
      <w:r w:rsidR="00EF11A7">
        <w:t xml:space="preserve">roubovaných na systém dělení a třídění </w:t>
      </w:r>
      <w:r w:rsidR="00912F6E">
        <w:t xml:space="preserve">tohoto </w:t>
      </w:r>
      <w:r w:rsidR="00912F6E">
        <w:rPr>
          <w:i/>
        </w:rPr>
        <w:t>tertium</w:t>
      </w:r>
      <w:r w:rsidR="00912F6E" w:rsidRPr="00912F6E">
        <w:rPr>
          <w:i/>
        </w:rPr>
        <w:t xml:space="preserve"> ens</w:t>
      </w:r>
      <w:r w:rsidR="00912F6E">
        <w:t xml:space="preserve"> </w:t>
      </w:r>
      <w:r w:rsidR="00EF11A7">
        <w:t xml:space="preserve">v rámci </w:t>
      </w:r>
      <w:r w:rsidR="00BB45B1">
        <w:t>Porfyri</w:t>
      </w:r>
      <w:r w:rsidR="00EF11A7">
        <w:t>ova stromu</w:t>
      </w:r>
      <w:r w:rsidR="00C34C34" w:rsidRPr="00273106">
        <w:t xml:space="preserve">. Rozhodující impulz </w:t>
      </w:r>
      <w:r w:rsidR="002F17A8">
        <w:t xml:space="preserve">k vývoji moderny </w:t>
      </w:r>
      <w:r w:rsidR="00C34C34" w:rsidRPr="00273106">
        <w:t xml:space="preserve">dala analytická interpretace </w:t>
      </w:r>
      <w:r w:rsidR="00C34C34" w:rsidRPr="00F57F44">
        <w:rPr>
          <w:i/>
        </w:rPr>
        <w:t>Druhých analytik</w:t>
      </w:r>
      <w:r w:rsidR="00C34C34" w:rsidRPr="00273106">
        <w:t>, kterou na Oxf</w:t>
      </w:r>
      <w:r w:rsidR="083C7147">
        <w:t>ordu provedl Grosseteste (kap. 3</w:t>
      </w:r>
      <w:r w:rsidR="00C34C34" w:rsidRPr="00273106">
        <w:t>.1.1)</w:t>
      </w:r>
      <w:r w:rsidR="083C7147">
        <w:t xml:space="preserve"> a po něm Rufus (kap. 3</w:t>
      </w:r>
      <w:r w:rsidR="00C34C34">
        <w:t>.3.1)</w:t>
      </w:r>
      <w:r w:rsidR="00C34C34" w:rsidRPr="00273106">
        <w:t xml:space="preserve">. </w:t>
      </w:r>
      <w:r w:rsidR="00F57F44" w:rsidRPr="00273106">
        <w:t xml:space="preserve">Toto jsoucno třetího druhu vybavené vlastní pseudo-materií začal Rufus predikovat jako </w:t>
      </w:r>
      <w:r w:rsidR="08EB5CF9">
        <w:t xml:space="preserve">individuální </w:t>
      </w:r>
      <w:r w:rsidR="00F57F44" w:rsidRPr="002362D6">
        <w:rPr>
          <w:i/>
        </w:rPr>
        <w:t>concretum</w:t>
      </w:r>
      <w:r w:rsidR="00F57F44">
        <w:t xml:space="preserve"> </w:t>
      </w:r>
      <w:r w:rsidR="00F57F44" w:rsidRPr="00273106">
        <w:t xml:space="preserve">v rámci analytického výkladu </w:t>
      </w:r>
      <w:r w:rsidR="08EB5CF9" w:rsidRPr="08EB5CF9">
        <w:rPr>
          <w:i/>
        </w:rPr>
        <w:t>Druhých a</w:t>
      </w:r>
      <w:r w:rsidR="00F57F44" w:rsidRPr="08EB5CF9">
        <w:rPr>
          <w:i/>
        </w:rPr>
        <w:t>nalytik</w:t>
      </w:r>
      <w:r w:rsidR="00F57F44" w:rsidRPr="00273106">
        <w:t xml:space="preserve"> a současně jako univerzálii v novém </w:t>
      </w:r>
      <w:r w:rsidR="00F57F44" w:rsidRPr="00273106">
        <w:rPr>
          <w:i/>
        </w:rPr>
        <w:t>resolutio</w:t>
      </w:r>
      <w:r w:rsidR="00F57F44">
        <w:rPr>
          <w:i/>
        </w:rPr>
        <w:fldChar w:fldCharType="begin"/>
      </w:r>
      <w:r w:rsidR="00F57F44">
        <w:instrText xml:space="preserve"> XE "</w:instrText>
      </w:r>
      <w:r w:rsidR="00F57F44" w:rsidRPr="00111E9E">
        <w:rPr>
          <w:i/>
        </w:rPr>
        <w:instrText>resolutio</w:instrText>
      </w:r>
      <w:r w:rsidR="00F57F44">
        <w:rPr>
          <w:i/>
        </w:rPr>
        <w:instrText>:</w:instrText>
      </w:r>
      <w:r w:rsidR="00F57F44" w:rsidRPr="007D3515">
        <w:instrText>Rufus</w:instrText>
      </w:r>
      <w:r w:rsidR="00F57F44">
        <w:instrText xml:space="preserve">" </w:instrText>
      </w:r>
      <w:r w:rsidR="00F57F44">
        <w:rPr>
          <w:i/>
        </w:rPr>
        <w:fldChar w:fldCharType="end"/>
      </w:r>
      <w:r w:rsidR="00F57F44" w:rsidRPr="00273106">
        <w:t xml:space="preserve"> moderny daném podle avicennovského aristotelismu</w:t>
      </w:r>
      <w:r w:rsidR="006C257F">
        <w:t>.</w:t>
      </w:r>
    </w:p>
    <w:p w14:paraId="5A2DA060" w14:textId="19C053C0" w:rsidR="0810744C" w:rsidRPr="00273106" w:rsidRDefault="00C34C34" w:rsidP="006C257F">
      <w:pPr>
        <w:ind w:firstLine="397"/>
      </w:pPr>
      <w:r w:rsidRPr="00273106">
        <w:t>Tím vzniklo nové jsoucno třetího druhu spojené s novým typem poznání</w:t>
      </w:r>
      <w:r w:rsidR="00F57F44">
        <w:t>, a tím i s novým nositelem tohoto poznání</w:t>
      </w:r>
      <w:r w:rsidRPr="00273106">
        <w:t xml:space="preserve">. Subjekt-objektový vztah kvazi-materiálních a hypostázovaných substancí a </w:t>
      </w:r>
      <w:r w:rsidR="004B4D52" w:rsidRPr="004B4D52">
        <w:t>species</w:t>
      </w:r>
      <w:r w:rsidRPr="00273106">
        <w:t xml:space="preserve"> založil první objektivní vizi reality, kterou přineslo </w:t>
      </w:r>
      <w:r w:rsidR="00CF1EDE">
        <w:t xml:space="preserve">Rufusovo </w:t>
      </w:r>
      <w:r w:rsidRPr="00273106">
        <w:t xml:space="preserve">dílo </w:t>
      </w:r>
      <w:r w:rsidRPr="00273106">
        <w:rPr>
          <w:i/>
        </w:rPr>
        <w:t>Speculum animae</w:t>
      </w:r>
      <w:r w:rsidRPr="00273106">
        <w:t xml:space="preserve">. Kauzalita univerzálně pojatého </w:t>
      </w:r>
      <w:r w:rsidRPr="00273106">
        <w:rPr>
          <w:i/>
        </w:rPr>
        <w:t>medium</w:t>
      </w:r>
      <w:r w:rsidR="00610F15">
        <w:rPr>
          <w:i/>
        </w:rPr>
        <w:fldChar w:fldCharType="begin"/>
      </w:r>
      <w:r w:rsidR="00610F15">
        <w:instrText xml:space="preserve"> XE "</w:instrText>
      </w:r>
      <w:r w:rsidR="00610F15" w:rsidRPr="001618A5">
        <w:rPr>
          <w:i/>
        </w:rPr>
        <w:instrText>medium:</w:instrText>
      </w:r>
      <w:r w:rsidR="00400A47" w:rsidRPr="00400A47">
        <w:instrText>Rufus</w:instrText>
      </w:r>
      <w:r w:rsidR="00610F15">
        <w:instrText xml:space="preserve">" </w:instrText>
      </w:r>
      <w:r w:rsidR="00610F15">
        <w:rPr>
          <w:i/>
        </w:rPr>
        <w:fldChar w:fldCharType="end"/>
      </w:r>
      <w:r w:rsidRPr="00273106">
        <w:t xml:space="preserve"> byla zajištěna pasivním a aktivním intelektem latinských averroistů</w:t>
      </w:r>
      <w:r>
        <w:t xml:space="preserve">, který se stal hypostázovanou substancí. Tato </w:t>
      </w:r>
      <w:r w:rsidRPr="00273106">
        <w:t>substance</w:t>
      </w:r>
      <w:r w:rsidR="00A70FA4">
        <w:fldChar w:fldCharType="begin"/>
      </w:r>
      <w:r w:rsidR="00A70FA4">
        <w:instrText xml:space="preserve"> XE "</w:instrText>
      </w:r>
      <w:r w:rsidR="00A70FA4" w:rsidRPr="00DE2A32">
        <w:instrText>substance</w:instrText>
      </w:r>
      <w:r w:rsidR="00400A47">
        <w:instrText>:Rufus</w:instrText>
      </w:r>
      <w:r w:rsidR="00A70FA4">
        <w:instrText xml:space="preserve">" </w:instrText>
      </w:r>
      <w:r w:rsidR="00A70FA4">
        <w:fldChar w:fldCharType="end"/>
      </w:r>
      <w:r w:rsidRPr="00273106">
        <w:t xml:space="preserve"> třetího druhu vytvořila nový subjekt a jemu odpovídající objektivní pojetí jsoucna </w:t>
      </w:r>
      <w:r>
        <w:t xml:space="preserve">v modu </w:t>
      </w:r>
      <w:r w:rsidR="085C2F34">
        <w:t xml:space="preserve">subjektivního a </w:t>
      </w:r>
      <w:r>
        <w:t xml:space="preserve">objektivního genitivu </w:t>
      </w:r>
      <w:r w:rsidRPr="00273106">
        <w:t>(</w:t>
      </w:r>
      <w:r w:rsidR="004B4D52" w:rsidRPr="004B4D52">
        <w:t>species</w:t>
      </w:r>
      <w:r w:rsidRPr="00273106">
        <w:rPr>
          <w:i/>
        </w:rPr>
        <w:t xml:space="preserve"> obiecti exsistentis</w:t>
      </w:r>
      <w:r w:rsidR="0091768A">
        <w:rPr>
          <w:i/>
        </w:rPr>
        <w:fldChar w:fldCharType="begin"/>
      </w:r>
      <w:r w:rsidR="0091768A">
        <w:instrText xml:space="preserve"> XE "</w:instrText>
      </w:r>
      <w:r w:rsidR="0091768A" w:rsidRPr="00C05196">
        <w:rPr>
          <w:i/>
        </w:rPr>
        <w:instrText>species</w:instrText>
      </w:r>
      <w:r w:rsidR="0091768A" w:rsidRPr="00C05196">
        <w:instrText xml:space="preserve"> </w:instrText>
      </w:r>
      <w:r w:rsidR="0091768A" w:rsidRPr="00C05196">
        <w:rPr>
          <w:i/>
        </w:rPr>
        <w:instrText>obiecti exsistentis</w:instrText>
      </w:r>
      <w:r w:rsidR="0091768A">
        <w:instrText xml:space="preserve">" </w:instrText>
      </w:r>
      <w:r w:rsidR="0091768A">
        <w:rPr>
          <w:i/>
        </w:rPr>
        <w:fldChar w:fldCharType="end"/>
      </w:r>
      <w:r w:rsidRPr="00273106">
        <w:t xml:space="preserve">). </w:t>
      </w:r>
      <w:r w:rsidR="08D57CA7">
        <w:t xml:space="preserve">Školy porretánů a </w:t>
      </w:r>
      <w:r w:rsidR="08D57CA7" w:rsidRPr="00CF492B">
        <w:rPr>
          <w:i/>
        </w:rPr>
        <w:t>Nominales</w:t>
      </w:r>
      <w:r w:rsidR="08D57CA7">
        <w:t xml:space="preserve"> definitivně zanikly v moderním </w:t>
      </w:r>
      <w:r w:rsidR="08D57CA7" w:rsidRPr="002F17A8">
        <w:rPr>
          <w:i/>
        </w:rPr>
        <w:t>Aufhebung</w:t>
      </w:r>
      <w:r w:rsidR="08D57CA7">
        <w:rPr>
          <w:i/>
        </w:rPr>
        <w:fldChar w:fldCharType="begin"/>
      </w:r>
      <w:r w:rsidR="08D57CA7">
        <w:instrText xml:space="preserve"> XE "</w:instrText>
      </w:r>
      <w:r w:rsidR="08D57CA7" w:rsidRPr="00E57B11">
        <w:rPr>
          <w:i/>
        </w:rPr>
        <w:instrText>Aufhebung</w:instrText>
      </w:r>
      <w:r w:rsidR="08D57CA7">
        <w:instrText xml:space="preserve">" </w:instrText>
      </w:r>
      <w:r w:rsidR="08D57CA7">
        <w:rPr>
          <w:i/>
        </w:rPr>
        <w:fldChar w:fldCharType="end"/>
      </w:r>
      <w:r w:rsidR="08D57CA7">
        <w:t xml:space="preserve"> analyticky pojaté filosofie dané pod egidou </w:t>
      </w:r>
      <w:r w:rsidR="08D57CA7" w:rsidRPr="00E76043">
        <w:rPr>
          <w:i/>
        </w:rPr>
        <w:t>Oxfordian Fallacy</w:t>
      </w:r>
      <w:r w:rsidR="08D57CA7">
        <w:t xml:space="preserve"> a přešly na Rufusem otevřenou </w:t>
      </w:r>
      <w:r w:rsidR="08D57CA7" w:rsidRPr="002F17A8">
        <w:rPr>
          <w:i/>
        </w:rPr>
        <w:t>via Modernorum</w:t>
      </w:r>
      <w:r w:rsidR="08D57CA7">
        <w:rPr>
          <w:i/>
        </w:rPr>
        <w:fldChar w:fldCharType="begin"/>
      </w:r>
      <w:r w:rsidR="08D57CA7">
        <w:instrText xml:space="preserve"> XE "</w:instrText>
      </w:r>
      <w:r w:rsidR="08D57CA7" w:rsidRPr="00ED0748">
        <w:rPr>
          <w:i/>
        </w:rPr>
        <w:instrText>via Modernorum</w:instrText>
      </w:r>
      <w:r w:rsidR="08D57CA7">
        <w:instrText xml:space="preserve">" </w:instrText>
      </w:r>
      <w:r w:rsidR="08D57CA7">
        <w:rPr>
          <w:i/>
        </w:rPr>
        <w:fldChar w:fldCharType="end"/>
      </w:r>
      <w:r w:rsidR="08D57CA7">
        <w:t xml:space="preserve">. </w:t>
      </w:r>
      <w:r w:rsidR="0020046A" w:rsidRPr="00273106">
        <w:t xml:space="preserve">Filosofické kutilství Rufuse </w:t>
      </w:r>
      <w:r w:rsidR="084173D2">
        <w:t xml:space="preserve">jednoznačně </w:t>
      </w:r>
      <w:r w:rsidR="0020046A" w:rsidRPr="00273106">
        <w:t xml:space="preserve">odmítli všichni tehdejší znalci prvního averroismu, což přivedlo školu prvních </w:t>
      </w:r>
      <w:r w:rsidR="0020046A" w:rsidRPr="00273106">
        <w:rPr>
          <w:i/>
        </w:rPr>
        <w:t>Modernorum</w:t>
      </w:r>
      <w:r w:rsidR="0020046A" w:rsidRPr="00273106">
        <w:t xml:space="preserve"> do zásadní krize. Po prohrané bitvě na Pařížské univerzitě zůstala </w:t>
      </w:r>
      <w:r w:rsidR="00C7047D">
        <w:rPr>
          <w:lang w:eastAsia="en-US"/>
        </w:rPr>
        <w:t xml:space="preserve">Rufusovi and Kilwardbymu </w:t>
      </w:r>
      <w:r w:rsidR="0020046A" w:rsidRPr="00273106">
        <w:t>otevřená Oxfordská univerzita</w:t>
      </w:r>
      <w:r w:rsidR="00343320" w:rsidRPr="00273106">
        <w:t xml:space="preserve"> </w:t>
      </w:r>
      <w:r w:rsidR="00434A91" w:rsidRPr="00273106">
        <w:t xml:space="preserve">ovlivněná </w:t>
      </w:r>
      <w:r w:rsidR="00343320" w:rsidRPr="00273106">
        <w:t xml:space="preserve">dvojím </w:t>
      </w:r>
      <w:r w:rsidR="00434A91" w:rsidRPr="00273106">
        <w:t xml:space="preserve">pojetím </w:t>
      </w:r>
      <w:r w:rsidR="00CD241C" w:rsidRPr="00273106">
        <w:rPr>
          <w:i/>
        </w:rPr>
        <w:t>Oxfordian Fallacy</w:t>
      </w:r>
      <w:r w:rsidR="006D6D3B">
        <w:t xml:space="preserve"> </w:t>
      </w:r>
      <w:r w:rsidR="00847CCE">
        <w:t xml:space="preserve">na základě Grossestestova </w:t>
      </w:r>
      <w:r w:rsidR="00343320" w:rsidRPr="00273106">
        <w:t>i Rufusova</w:t>
      </w:r>
      <w:r w:rsidR="00CD241C" w:rsidRPr="00273106">
        <w:t xml:space="preserve"> výklad</w:t>
      </w:r>
      <w:r w:rsidR="00343320" w:rsidRPr="00273106">
        <w:t>u</w:t>
      </w:r>
      <w:r w:rsidR="00CD241C" w:rsidRPr="00273106">
        <w:t xml:space="preserve"> </w:t>
      </w:r>
      <w:r w:rsidR="00CD241C" w:rsidRPr="007F5D08">
        <w:rPr>
          <w:i/>
        </w:rPr>
        <w:t>Druhých analytik</w:t>
      </w:r>
      <w:r w:rsidR="00CD241C" w:rsidRPr="00273106">
        <w:t xml:space="preserve">. </w:t>
      </w:r>
      <w:r w:rsidR="00434A91" w:rsidRPr="00273106">
        <w:t xml:space="preserve">Zavedením jsoucna a kauzality třetího druhu do definice poznání </w:t>
      </w:r>
      <w:r w:rsidR="00110F3D">
        <w:t xml:space="preserve">v rámci </w:t>
      </w:r>
      <w:r w:rsidR="00110F3D" w:rsidRPr="00110F3D">
        <w:rPr>
          <w:i/>
        </w:rPr>
        <w:t>Oxfordian Fallacy</w:t>
      </w:r>
      <w:r w:rsidR="00110F3D">
        <w:t xml:space="preserve"> </w:t>
      </w:r>
      <w:r w:rsidR="00434A91" w:rsidRPr="00273106">
        <w:t xml:space="preserve">dostala </w:t>
      </w:r>
      <w:r w:rsidR="000B44BA">
        <w:t>poznávaná</w:t>
      </w:r>
      <w:r w:rsidR="00110F3D">
        <w:t xml:space="preserve"> </w:t>
      </w:r>
      <w:r w:rsidR="00434A91" w:rsidRPr="00273106">
        <w:t xml:space="preserve">realita </w:t>
      </w:r>
      <w:r w:rsidR="006E5B00">
        <w:t xml:space="preserve">charakter </w:t>
      </w:r>
      <w:r w:rsidR="0041574C">
        <w:t xml:space="preserve">sofistického </w:t>
      </w:r>
      <w:r w:rsidR="006E5B00">
        <w:t>simulákra</w:t>
      </w:r>
      <w:r w:rsidR="009650A4">
        <w:fldChar w:fldCharType="begin"/>
      </w:r>
      <w:r w:rsidR="009650A4">
        <w:instrText xml:space="preserve"> XE "</w:instrText>
      </w:r>
      <w:r w:rsidR="009650A4" w:rsidRPr="00C2134D">
        <w:instrText>simulákrum</w:instrText>
      </w:r>
      <w:r w:rsidR="009650A4">
        <w:instrText xml:space="preserve">" </w:instrText>
      </w:r>
      <w:r w:rsidR="009650A4">
        <w:fldChar w:fldCharType="end"/>
      </w:r>
      <w:r w:rsidR="00BC4C51">
        <w:t xml:space="preserve">. Nové jsoucno třetího druhu vytvořené Rufusem zdvojilo realitu </w:t>
      </w:r>
      <w:r w:rsidR="00D460B3">
        <w:t>a modelu univerzálního hylemorfismu vytvořilo novou první substanci. P</w:t>
      </w:r>
      <w:r w:rsidR="006E5B00">
        <w:t>aranoidní mysl</w:t>
      </w:r>
      <w:r w:rsidR="00D460B3">
        <w:t xml:space="preserve"> </w:t>
      </w:r>
      <w:r w:rsidR="00D460B3" w:rsidRPr="00D460B3">
        <w:rPr>
          <w:i/>
        </w:rPr>
        <w:t>Modernorum</w:t>
      </w:r>
      <w:r w:rsidR="006E5B00">
        <w:t xml:space="preserve">, která </w:t>
      </w:r>
      <w:r w:rsidR="00D460B3">
        <w:t xml:space="preserve">toto </w:t>
      </w:r>
      <w:r w:rsidR="00D460B3" w:rsidRPr="00D460B3">
        <w:rPr>
          <w:i/>
        </w:rPr>
        <w:t>creatio ex nihilo</w:t>
      </w:r>
      <w:r w:rsidR="00D460B3">
        <w:t xml:space="preserve"> provedla</w:t>
      </w:r>
      <w:r w:rsidR="0041574C">
        <w:t>,</w:t>
      </w:r>
      <w:r w:rsidR="00D460B3">
        <w:t xml:space="preserve"> navíc </w:t>
      </w:r>
      <w:r w:rsidR="082406B4">
        <w:t>dostala novou „exsistenci</w:t>
      </w:r>
      <w:r w:rsidR="00D460B3">
        <w:t xml:space="preserve">“ </w:t>
      </w:r>
      <w:r w:rsidR="085B7B24">
        <w:t xml:space="preserve">jako kvazi-substance a vnesla do definice člověka </w:t>
      </w:r>
      <w:r w:rsidR="0041574C">
        <w:t>pluralit</w:t>
      </w:r>
      <w:r w:rsidR="085B7B24">
        <w:t>u substancí</w:t>
      </w:r>
      <w:r w:rsidR="006E5B00">
        <w:t xml:space="preserve">. </w:t>
      </w:r>
      <w:r w:rsidR="00B11CB4">
        <w:t>Aby tyto ne</w:t>
      </w:r>
      <w:r w:rsidR="003569EB">
        <w:t>s</w:t>
      </w:r>
      <w:r w:rsidR="00B11CB4">
        <w:t xml:space="preserve">mysly dostaly akademický charakter, museli první </w:t>
      </w:r>
      <w:r w:rsidR="00B11CB4" w:rsidRPr="00B11CB4">
        <w:rPr>
          <w:i/>
        </w:rPr>
        <w:t>Moderni</w:t>
      </w:r>
      <w:r w:rsidR="00B11CB4">
        <w:t xml:space="preserve"> zaútočit v Oxfordu </w:t>
      </w:r>
      <w:r w:rsidR="0838606C">
        <w:t xml:space="preserve">nejprve </w:t>
      </w:r>
      <w:r w:rsidR="00B11CB4">
        <w:t xml:space="preserve">na Aristotela a </w:t>
      </w:r>
      <w:r w:rsidR="0838606C">
        <w:t xml:space="preserve">pak </w:t>
      </w:r>
      <w:r w:rsidR="00B11CB4">
        <w:t>na Komentátora,</w:t>
      </w:r>
      <w:r w:rsidR="004B59EB">
        <w:t xml:space="preserve"> který byl </w:t>
      </w:r>
      <w:r w:rsidR="004840E7">
        <w:t>odsou</w:t>
      </w:r>
      <w:r w:rsidR="004B59EB">
        <w:t xml:space="preserve">zen </w:t>
      </w:r>
      <w:r w:rsidR="004840E7">
        <w:t>ja</w:t>
      </w:r>
      <w:r w:rsidR="004B59EB">
        <w:t>ko heretik</w:t>
      </w:r>
      <w:r w:rsidR="004840E7">
        <w:t xml:space="preserve">. </w:t>
      </w:r>
      <w:r w:rsidR="004840E7" w:rsidRPr="004840E7">
        <w:t xml:space="preserve">Grosseteste jako klasický filozof odmítl podivné myšlenky sofistů a averroistů </w:t>
      </w:r>
      <w:r w:rsidR="004840E7" w:rsidRPr="004840E7">
        <w:rPr>
          <w:i/>
        </w:rPr>
        <w:t>Modernorum</w:t>
      </w:r>
      <w:r w:rsidR="004840E7" w:rsidRPr="004840E7">
        <w:t xml:space="preserve"> v Oxfordu. Když přišli do Paříže, Alvernus a po nich Albert a Bacon učinili totéž.</w:t>
      </w:r>
      <w:r w:rsidR="004840E7">
        <w:t xml:space="preserve"> </w:t>
      </w:r>
      <w:r w:rsidR="00C441F7">
        <w:t>P</w:t>
      </w:r>
      <w:r w:rsidR="00C441F7" w:rsidRPr="00273106">
        <w:t>ředchozí</w:t>
      </w:r>
      <w:r w:rsidR="00C441F7">
        <w:t xml:space="preserve"> kapitoly </w:t>
      </w:r>
      <w:r w:rsidR="00434A91" w:rsidRPr="00273106">
        <w:t>citova</w:t>
      </w:r>
      <w:r w:rsidR="00C441F7">
        <w:t xml:space="preserve">ly a </w:t>
      </w:r>
      <w:r w:rsidR="00434A91" w:rsidRPr="00273106">
        <w:t>komentova</w:t>
      </w:r>
      <w:r w:rsidR="00C441F7">
        <w:t xml:space="preserve">ly kritické </w:t>
      </w:r>
      <w:r w:rsidR="00434A91" w:rsidRPr="00273106">
        <w:t xml:space="preserve">pasáže </w:t>
      </w:r>
      <w:r w:rsidR="00C441F7">
        <w:t>polemik s druhým averroismem</w:t>
      </w:r>
      <w:r w:rsidR="00434A91" w:rsidRPr="00273106">
        <w:t xml:space="preserve">. </w:t>
      </w:r>
      <w:r w:rsidR="00CD241C" w:rsidRPr="00273106">
        <w:t xml:space="preserve">Ve druhém kole </w:t>
      </w:r>
      <w:r w:rsidR="00345A86" w:rsidRPr="00273106">
        <w:t xml:space="preserve">přistoupila škola moderních porretánů na Oxfordu k výkladu </w:t>
      </w:r>
      <w:r w:rsidR="00345A86" w:rsidRPr="00273106">
        <w:rPr>
          <w:i/>
        </w:rPr>
        <w:t>De anima</w:t>
      </w:r>
      <w:r w:rsidR="00345A86" w:rsidRPr="00273106">
        <w:t xml:space="preserve">, v němž se </w:t>
      </w:r>
      <w:r w:rsidR="00CD241C" w:rsidRPr="00273106">
        <w:t xml:space="preserve">univoční pojetí </w:t>
      </w:r>
      <w:r w:rsidR="00345A86" w:rsidRPr="00273106">
        <w:t xml:space="preserve">jsoucna vztáhlo </w:t>
      </w:r>
      <w:r w:rsidR="00CD241C" w:rsidRPr="00273106">
        <w:t>i na lidské poznání v rámci</w:t>
      </w:r>
      <w:r w:rsidR="00BB6F5E" w:rsidRPr="00273106">
        <w:t xml:space="preserve"> hypostázovaného </w:t>
      </w:r>
      <w:r w:rsidR="00BB6F5E" w:rsidRPr="00273106">
        <w:rPr>
          <w:i/>
        </w:rPr>
        <w:t>intellectus possibilis</w:t>
      </w:r>
      <w:r w:rsidR="009D323B">
        <w:rPr>
          <w:i/>
        </w:rPr>
        <w:fldChar w:fldCharType="begin"/>
      </w:r>
      <w:r w:rsidR="009D323B">
        <w:instrText xml:space="preserve"> XE "</w:instrText>
      </w:r>
      <w:r w:rsidR="009D323B" w:rsidRPr="00770D02">
        <w:rPr>
          <w:i/>
        </w:rPr>
        <w:instrText>intellectus possibilis</w:instrText>
      </w:r>
      <w:r w:rsidR="00884824">
        <w:instrText>:druhý averroismus</w:instrText>
      </w:r>
      <w:r w:rsidR="009D323B">
        <w:instrText xml:space="preserve">" </w:instrText>
      </w:r>
      <w:r w:rsidR="009D323B">
        <w:rPr>
          <w:i/>
        </w:rPr>
        <w:fldChar w:fldCharType="end"/>
      </w:r>
      <w:r w:rsidR="00BB6F5E" w:rsidRPr="00273106">
        <w:t xml:space="preserve">. </w:t>
      </w:r>
      <w:r w:rsidR="000D3A6D" w:rsidRPr="00273106">
        <w:t xml:space="preserve">Rufus utvořil </w:t>
      </w:r>
      <w:r w:rsidR="000D3A6D" w:rsidRPr="00273106">
        <w:rPr>
          <w:i/>
        </w:rPr>
        <w:t>intellectus possibilis</w:t>
      </w:r>
      <w:r w:rsidR="000D3A6D" w:rsidRPr="00273106">
        <w:t xml:space="preserve"> jako fundamentální simulákrum moderny, které sofisticky </w:t>
      </w:r>
      <w:r w:rsidR="00ED2C27" w:rsidRPr="00273106">
        <w:t xml:space="preserve">připsal </w:t>
      </w:r>
      <w:r w:rsidR="002E3B62">
        <w:t>Averroes</w:t>
      </w:r>
      <w:r w:rsidR="00ED2C27" w:rsidRPr="00273106">
        <w:t xml:space="preserve">ovi. </w:t>
      </w:r>
      <w:r w:rsidR="00B54CAC">
        <w:t>N</w:t>
      </w:r>
      <w:r w:rsidR="00860602" w:rsidRPr="00273106">
        <w:t xml:space="preserve">ositel tohoto pochybného </w:t>
      </w:r>
      <w:r w:rsidR="00B54CAC" w:rsidRPr="00273106">
        <w:rPr>
          <w:i/>
        </w:rPr>
        <w:t>intellectus possibilis</w:t>
      </w:r>
      <w:r w:rsidR="00B54CAC" w:rsidRPr="00273106">
        <w:t xml:space="preserve"> </w:t>
      </w:r>
      <w:r w:rsidR="00860602" w:rsidRPr="00273106">
        <w:t>se stal novým subjektem Západu</w:t>
      </w:r>
      <w:r w:rsidR="00755962">
        <w:t xml:space="preserve">. </w:t>
      </w:r>
      <w:r w:rsidR="00755962" w:rsidRPr="00755962">
        <w:t xml:space="preserve">Všechny tyto proměny moderního myšlení vedly k </w:t>
      </w:r>
      <w:r w:rsidR="00755962" w:rsidRPr="00273106">
        <w:t>zatmění první substance</w:t>
      </w:r>
      <w:r w:rsidR="00755962" w:rsidRPr="00755962">
        <w:t xml:space="preserve">. V Paříži druhý averroismus nejprve prohrál bitvu, v Oxfordu se však stal základní silou díky pevně zakotvenému učení založenému na </w:t>
      </w:r>
      <w:r w:rsidR="00755962" w:rsidRPr="00273106">
        <w:rPr>
          <w:i/>
        </w:rPr>
        <w:t>Oxfordian Fallacy</w:t>
      </w:r>
      <w:r w:rsidR="00755962" w:rsidRPr="00273106">
        <w:t>.</w:t>
      </w:r>
      <w:r w:rsidR="00755962" w:rsidRPr="00755962">
        <w:t xml:space="preserve"> Rozhodující roli při obraně první moderny v Oxfordu sehrál Robert Kilwardb</w:t>
      </w:r>
      <w:r w:rsidR="009B2B72">
        <w:t xml:space="preserve">y, který s Rufusem sdílel </w:t>
      </w:r>
      <w:r w:rsidR="0828488D">
        <w:t xml:space="preserve">stejný osud </w:t>
      </w:r>
      <w:r w:rsidR="00FC5D0B">
        <w:t xml:space="preserve">modernistického </w:t>
      </w:r>
      <w:r w:rsidR="0828488D">
        <w:t>vyhnance</w:t>
      </w:r>
      <w:r w:rsidR="009B2B72">
        <w:t xml:space="preserve"> </w:t>
      </w:r>
      <w:r w:rsidR="08C25F4D">
        <w:t>v Paříži</w:t>
      </w:r>
      <w:r w:rsidR="0828488D">
        <w:t xml:space="preserve">. </w:t>
      </w:r>
    </w:p>
    <w:p w14:paraId="236E6FAC" w14:textId="62B9C2C9" w:rsidR="086F7847" w:rsidRPr="00273106" w:rsidRDefault="00C51568" w:rsidP="086C1F19">
      <w:pPr>
        <w:pStyle w:val="Nadpis3"/>
      </w:pPr>
      <w:bookmarkStart w:id="136" w:name="_Toc487234323"/>
      <w:bookmarkStart w:id="137" w:name="_Toc12558330"/>
      <w:r>
        <w:rPr>
          <w:lang w:val="cs-CZ"/>
        </w:rPr>
        <w:br w:type="page"/>
      </w:r>
      <w:bookmarkStart w:id="138" w:name="_Toc160449343"/>
      <w:r w:rsidR="08D20D28">
        <w:rPr>
          <w:lang w:val="cs-CZ"/>
        </w:rPr>
        <w:t>3</w:t>
      </w:r>
      <w:r w:rsidR="008D7513" w:rsidRPr="00273106">
        <w:t xml:space="preserve">.4.1 </w:t>
      </w:r>
      <w:r w:rsidR="088F5948">
        <w:t xml:space="preserve">Objektivní </w:t>
      </w:r>
      <w:r w:rsidR="00B72DBF">
        <w:t xml:space="preserve">výklad </w:t>
      </w:r>
      <w:r w:rsidR="086F7847" w:rsidRPr="080919C4">
        <w:rPr>
          <w:i/>
        </w:rPr>
        <w:t>Druhých Analytik</w:t>
      </w:r>
      <w:bookmarkEnd w:id="136"/>
      <w:bookmarkEnd w:id="137"/>
      <w:bookmarkEnd w:id="138"/>
    </w:p>
    <w:p w14:paraId="5EBEE96E" w14:textId="24552072" w:rsidR="08684C6F" w:rsidRPr="00273106" w:rsidRDefault="08EE4B94" w:rsidP="0810744C">
      <w:r>
        <w:t xml:space="preserve">Filosofie </w:t>
      </w:r>
      <w:r w:rsidRPr="00273106">
        <w:rPr>
          <w:i/>
        </w:rPr>
        <w:t>Modernorum</w:t>
      </w:r>
      <w:r w:rsidR="003E4CED">
        <w:t xml:space="preserve"> vznikla</w:t>
      </w:r>
      <w:r w:rsidRPr="00273106">
        <w:t xml:space="preserve"> </w:t>
      </w:r>
      <w:r w:rsidR="003E4CED">
        <w:t xml:space="preserve">v letech </w:t>
      </w:r>
      <w:r w:rsidRPr="00273106">
        <w:t>1235‒45</w:t>
      </w:r>
      <w:r w:rsidR="009F3967">
        <w:t>, když filosofové</w:t>
      </w:r>
      <w:r w:rsidRPr="00273106">
        <w:t xml:space="preserve"> jako byl Rufu</w:t>
      </w:r>
      <w:r>
        <w:t>s, Kil</w:t>
      </w:r>
      <w:r w:rsidRPr="00273106">
        <w:t>wardby a</w:t>
      </w:r>
      <w:r>
        <w:t xml:space="preserve"> Bonaventura</w:t>
      </w:r>
      <w:r w:rsidR="009F3967">
        <w:t xml:space="preserve"> absolvovali studia v Paříži</w:t>
      </w:r>
      <w:r w:rsidR="003E4CED">
        <w:t xml:space="preserve">. Moderna </w:t>
      </w:r>
      <w:r>
        <w:t>změnila</w:t>
      </w:r>
      <w:r w:rsidRPr="00273106">
        <w:t xml:space="preserve"> pojetí</w:t>
      </w:r>
      <w:r>
        <w:t xml:space="preserve"> jsoucna</w:t>
      </w:r>
      <w:r w:rsidRPr="00273106">
        <w:t xml:space="preserve">, první substance, pravdy i existence. </w:t>
      </w:r>
      <w:r w:rsidR="00DE6633">
        <w:t>V</w:t>
      </w:r>
      <w:r w:rsidR="00DE6633" w:rsidRPr="00273106">
        <w:t xml:space="preserve">ýznamným představitelem druhého averroismu se stal dominikán Robert Kilwardby (†1279). </w:t>
      </w:r>
      <w:r w:rsidR="087D4423">
        <w:t>Předešlé kapitoly ukázaly, proč se stal r</w:t>
      </w:r>
      <w:r w:rsidR="00DE6633" w:rsidRPr="00273106">
        <w:t>egentem na koleji v Oxf</w:t>
      </w:r>
      <w:r w:rsidR="00DE6633">
        <w:t xml:space="preserve">ordu </w:t>
      </w:r>
      <w:r w:rsidR="087D4423">
        <w:t>už v roce 1245. N</w:t>
      </w:r>
      <w:r w:rsidR="00DE6633" w:rsidRPr="00273106">
        <w:t>avrátilec Rufus</w:t>
      </w:r>
      <w:r w:rsidR="08FA7BC0">
        <w:t xml:space="preserve"> </w:t>
      </w:r>
      <w:r w:rsidR="00DE6633">
        <w:t xml:space="preserve">akademicky otřesený </w:t>
      </w:r>
      <w:r w:rsidR="00DE6633" w:rsidRPr="00273106">
        <w:t xml:space="preserve">po sporech v Paříži v něm </w:t>
      </w:r>
      <w:r w:rsidR="00DE6633">
        <w:t xml:space="preserve">jistě </w:t>
      </w:r>
      <w:r w:rsidR="00DE6633" w:rsidRPr="00273106">
        <w:t>našel filosofického zastánce.</w:t>
      </w:r>
      <w:r w:rsidR="00DE6633">
        <w:t xml:space="preserve"> Rufus získal na své </w:t>
      </w:r>
      <w:r w:rsidR="00DE6633" w:rsidRPr="00116EE3">
        <w:rPr>
          <w:i/>
        </w:rPr>
        <w:t>alma mater</w:t>
      </w:r>
      <w:r w:rsidR="00DE6633">
        <w:t xml:space="preserve"> pevné akademické zázemí</w:t>
      </w:r>
      <w:r w:rsidR="08077456">
        <w:t xml:space="preserve"> pod vedením </w:t>
      </w:r>
      <w:r w:rsidR="08077456" w:rsidRPr="00273106">
        <w:t>Kilwardby</w:t>
      </w:r>
      <w:r w:rsidR="08077456">
        <w:t>ho.</w:t>
      </w:r>
      <w:r w:rsidR="00DE6633">
        <w:t xml:space="preserve"> Díky svému sebevědomí a charismatu byl </w:t>
      </w:r>
      <w:r w:rsidR="08077456">
        <w:t xml:space="preserve">Rufus </w:t>
      </w:r>
      <w:r w:rsidR="00DE6633">
        <w:t>úspěšný pedagog a myslitelsky ovlivnil další generaci</w:t>
      </w:r>
      <w:r w:rsidR="009D731D">
        <w:t xml:space="preserve"> zdejších bakalářů</w:t>
      </w:r>
      <w:r w:rsidR="00DE6633">
        <w:t>. Po smrti biskupa Alverna vyrazil do Paříže podruhé a</w:t>
      </w:r>
      <w:r w:rsidR="009D731D">
        <w:t xml:space="preserve"> po dosažení magisterské hodnosti </w:t>
      </w:r>
      <w:r w:rsidR="00DE6633">
        <w:t>společně s Bonaventurou úspěšně prorazil cestu modernistů</w:t>
      </w:r>
      <w:r w:rsidR="00C5708D">
        <w:t>m, která vedla</w:t>
      </w:r>
      <w:r w:rsidR="00DE6633">
        <w:t xml:space="preserve"> až k současnému objektivně danému nihilismu. </w:t>
      </w:r>
      <w:r w:rsidR="00A2606F" w:rsidRPr="00273106">
        <w:t xml:space="preserve">Kilwardbyho neúplný komentář ke </w:t>
      </w:r>
      <w:r w:rsidR="00A2606F" w:rsidRPr="005E642B">
        <w:rPr>
          <w:i/>
        </w:rPr>
        <w:t>Druhým analytikám</w:t>
      </w:r>
      <w:r w:rsidR="00A2606F" w:rsidRPr="00273106">
        <w:t xml:space="preserve"> se v zásadě shoduje s uvedeným poj</w:t>
      </w:r>
      <w:r w:rsidR="000471DD" w:rsidRPr="00273106">
        <w:t>etím Grossestesteho a Rufuse</w:t>
      </w:r>
      <w:r w:rsidR="005E642B">
        <w:t>. D</w:t>
      </w:r>
      <w:r w:rsidR="00A2606F" w:rsidRPr="00273106">
        <w:t xml:space="preserve">ílo </w:t>
      </w:r>
      <w:r w:rsidR="005E642B" w:rsidRPr="00273106">
        <w:rPr>
          <w:i/>
          <w:iCs/>
        </w:rPr>
        <w:t>Notule Libri Posteriorum</w:t>
      </w:r>
      <w:r w:rsidR="005E642B" w:rsidRPr="00273106">
        <w:t xml:space="preserve"> </w:t>
      </w:r>
      <w:r w:rsidR="00A2606F" w:rsidRPr="00273106">
        <w:t xml:space="preserve">vzniklo </w:t>
      </w:r>
      <w:r w:rsidR="005E46EB">
        <w:t xml:space="preserve">v letech </w:t>
      </w:r>
      <w:r w:rsidR="00A2606F" w:rsidRPr="00273106">
        <w:t>12</w:t>
      </w:r>
      <w:r w:rsidR="00CF6425" w:rsidRPr="00273106">
        <w:t xml:space="preserve">37‒47, kdy </w:t>
      </w:r>
      <w:r w:rsidR="00157CD9">
        <w:t xml:space="preserve">dominikán </w:t>
      </w:r>
      <w:r w:rsidR="00CF6425" w:rsidRPr="00273106">
        <w:t xml:space="preserve">Kilwardby studoval </w:t>
      </w:r>
      <w:r w:rsidR="00A2606F" w:rsidRPr="00273106">
        <w:t xml:space="preserve">v Paříži </w:t>
      </w:r>
      <w:r w:rsidR="00157CD9">
        <w:t xml:space="preserve">společně s Albertem Velikým </w:t>
      </w:r>
      <w:r w:rsidR="00A2606F" w:rsidRPr="00273106">
        <w:t xml:space="preserve">a učil zde logiku a filosofii. </w:t>
      </w:r>
      <w:r w:rsidR="0832058F">
        <w:t xml:space="preserve">Kilwardby pravděpodobně získal magisterskou hodnost kolem roku 1237 </w:t>
      </w:r>
      <w:r w:rsidR="08594EA4">
        <w:t>a svá studia zahájil</w:t>
      </w:r>
      <w:r w:rsidR="0832058F">
        <w:t xml:space="preserve"> </w:t>
      </w:r>
      <w:r w:rsidR="085D0F27">
        <w:t xml:space="preserve">v Paříži asi roku 1231. Pravděpodobně se stal </w:t>
      </w:r>
      <w:r w:rsidR="0832058F">
        <w:t xml:space="preserve">magistrem </w:t>
      </w:r>
      <w:r w:rsidR="085D0F27">
        <w:t>zhruba ve stejné době</w:t>
      </w:r>
      <w:r w:rsidR="0832058F">
        <w:t xml:space="preserve">, </w:t>
      </w:r>
      <w:r w:rsidR="085D0F27">
        <w:t xml:space="preserve">kdy </w:t>
      </w:r>
      <w:r w:rsidR="0832058F">
        <w:t xml:space="preserve">přijal Rufusův modernistický výklad vědy a metafyziky. </w:t>
      </w:r>
      <w:r w:rsidR="0880587C">
        <w:t xml:space="preserve">Analytický </w:t>
      </w:r>
      <w:r w:rsidR="08684C6F" w:rsidRPr="00273106">
        <w:t xml:space="preserve">výklad </w:t>
      </w:r>
      <w:r w:rsidR="0880587C">
        <w:t xml:space="preserve">středního členu vědeckého soudu </w:t>
      </w:r>
      <w:r w:rsidR="00610F15">
        <w:rPr>
          <w:i/>
        </w:rPr>
        <w:fldChar w:fldCharType="begin"/>
      </w:r>
      <w:r w:rsidR="00610F15">
        <w:instrText xml:space="preserve"> XE "</w:instrText>
      </w:r>
      <w:r w:rsidR="00610F15" w:rsidRPr="001618A5">
        <w:rPr>
          <w:i/>
        </w:rPr>
        <w:instrText>medium:</w:instrText>
      </w:r>
      <w:r w:rsidR="003433C0" w:rsidRPr="003433C0">
        <w:instrText>Kilwardby</w:instrText>
      </w:r>
      <w:r w:rsidR="00610F15">
        <w:instrText xml:space="preserve">" </w:instrText>
      </w:r>
      <w:r w:rsidR="00610F15">
        <w:rPr>
          <w:i/>
        </w:rPr>
        <w:fldChar w:fldCharType="end"/>
      </w:r>
      <w:r w:rsidR="08684C6F" w:rsidRPr="00273106">
        <w:t xml:space="preserve">podle </w:t>
      </w:r>
      <w:r w:rsidR="08684C6F" w:rsidRPr="086E591A">
        <w:rPr>
          <w:i/>
        </w:rPr>
        <w:t>Druhých analytik</w:t>
      </w:r>
      <w:r w:rsidR="08684C6F" w:rsidRPr="00273106">
        <w:t xml:space="preserve"> </w:t>
      </w:r>
      <w:r w:rsidR="00CC296E" w:rsidRPr="00273106">
        <w:t xml:space="preserve">v modu </w:t>
      </w:r>
      <w:r w:rsidR="00B35AAE" w:rsidRPr="00273106">
        <w:rPr>
          <w:i/>
        </w:rPr>
        <w:t>secundum-quod-ipsum-est</w:t>
      </w:r>
      <w:r w:rsidR="00B35AAE" w:rsidRPr="00273106">
        <w:t xml:space="preserve"> (</w:t>
      </w:r>
      <w:r w:rsidR="00B35AAE" w:rsidRPr="00273106">
        <w:rPr>
          <w:i/>
        </w:rPr>
        <w:t>Anal. Post</w:t>
      </w:r>
      <w:r w:rsidR="00B35AAE" w:rsidRPr="00273106">
        <w:t>. 73b27</w:t>
      </w:r>
      <w:r w:rsidR="003433C0">
        <w:fldChar w:fldCharType="begin"/>
      </w:r>
      <w:r w:rsidR="003433C0">
        <w:instrText xml:space="preserve"> XE "</w:instrText>
      </w:r>
      <w:r w:rsidR="008E02F5">
        <w:instrText>Aristoteles</w:instrText>
      </w:r>
      <w:r w:rsidR="003433C0">
        <w:instrText>:</w:instrText>
      </w:r>
      <w:r w:rsidR="003433C0" w:rsidRPr="00C82D22">
        <w:rPr>
          <w:i/>
        </w:rPr>
        <w:instrText>Anal. Post</w:instrText>
      </w:r>
      <w:r w:rsidR="003433C0" w:rsidRPr="00C82D22">
        <w:instrText>. 73b27</w:instrText>
      </w:r>
      <w:r w:rsidR="003433C0">
        <w:instrText xml:space="preserve">" </w:instrText>
      </w:r>
      <w:r w:rsidR="003433C0">
        <w:fldChar w:fldCharType="end"/>
      </w:r>
      <w:r w:rsidR="00B35AAE" w:rsidRPr="00273106">
        <w:t xml:space="preserve">) se stal </w:t>
      </w:r>
      <w:r w:rsidR="00801527" w:rsidRPr="00273106">
        <w:t xml:space="preserve">pro další modernisty </w:t>
      </w:r>
      <w:r w:rsidR="009C0FD1" w:rsidRPr="00273106">
        <w:t xml:space="preserve">základním </w:t>
      </w:r>
      <w:r w:rsidR="00B35AAE" w:rsidRPr="00273106">
        <w:t xml:space="preserve">modelem </w:t>
      </w:r>
      <w:r w:rsidR="0825513B">
        <w:t xml:space="preserve">myšlení </w:t>
      </w:r>
      <w:r w:rsidR="00491F25">
        <w:fldChar w:fldCharType="begin"/>
      </w:r>
      <w:r w:rsidR="00491F25">
        <w:instrText xml:space="preserve"> XE "</w:instrText>
      </w:r>
      <w:r w:rsidR="00491F25" w:rsidRPr="007765BD">
        <w:instrText>nutnost:</w:instrText>
      </w:r>
      <w:r w:rsidR="00491F25" w:rsidRPr="00491F25">
        <w:rPr>
          <w:i/>
        </w:rPr>
        <w:instrText>per se</w:instrText>
      </w:r>
      <w:r w:rsidR="00491F25">
        <w:instrText xml:space="preserve">" </w:instrText>
      </w:r>
      <w:r w:rsidR="00491F25">
        <w:fldChar w:fldCharType="end"/>
      </w:r>
      <w:r w:rsidR="08C14D96">
        <w:t>(kap. 3</w:t>
      </w:r>
      <w:r w:rsidR="00443642" w:rsidRPr="00273106">
        <w:t>.3.1)</w:t>
      </w:r>
      <w:r w:rsidR="08684C6F" w:rsidRPr="00273106">
        <w:t>.</w:t>
      </w:r>
      <w:r w:rsidR="00DA490C" w:rsidRPr="00273106">
        <w:t xml:space="preserve"> Klíčový citát z Rufusova výkladu (</w:t>
      </w:r>
      <w:r w:rsidR="00DA490C" w:rsidRPr="00273106">
        <w:rPr>
          <w:i/>
        </w:rPr>
        <w:t xml:space="preserve">In APos </w:t>
      </w:r>
      <w:r w:rsidR="00DA490C" w:rsidRPr="00273106">
        <w:t>1.2.S8.2</w:t>
      </w:r>
      <w:r w:rsidR="003433C0">
        <w:fldChar w:fldCharType="begin"/>
      </w:r>
      <w:r w:rsidR="003433C0">
        <w:instrText xml:space="preserve"> XE "Rufus:</w:instrText>
      </w:r>
      <w:r w:rsidR="003433C0" w:rsidRPr="00315F29">
        <w:rPr>
          <w:i/>
        </w:rPr>
        <w:instrText xml:space="preserve">In APos </w:instrText>
      </w:r>
      <w:r w:rsidR="003433C0" w:rsidRPr="00315F29">
        <w:instrText>1.2.S8.2</w:instrText>
      </w:r>
      <w:r w:rsidR="003433C0">
        <w:instrText xml:space="preserve">" </w:instrText>
      </w:r>
      <w:r w:rsidR="003433C0">
        <w:fldChar w:fldCharType="end"/>
      </w:r>
      <w:r w:rsidR="00DA490C" w:rsidRPr="00273106">
        <w:t xml:space="preserve">) spojuje do jednoho univočního určení </w:t>
      </w:r>
      <w:r w:rsidR="0877479B">
        <w:t xml:space="preserve">hyparchické bytí </w:t>
      </w:r>
      <w:r w:rsidR="00DA490C" w:rsidRPr="00273106">
        <w:t>první substance</w:t>
      </w:r>
      <w:r w:rsidR="002B7DCE" w:rsidRPr="00273106">
        <w:t xml:space="preserve"> a její hypostázovanou esenci. </w:t>
      </w:r>
      <w:r w:rsidR="00472375">
        <w:t>A</w:t>
      </w:r>
      <w:r w:rsidR="00472375" w:rsidRPr="00273106">
        <w:t xml:space="preserve">nalyticky vyložený střední člen vědeckého důkazu </w:t>
      </w:r>
      <w:r w:rsidR="00472375">
        <w:t>dokonal z</w:t>
      </w:r>
      <w:r w:rsidR="00472375" w:rsidRPr="00273106">
        <w:t>atmění první substance</w:t>
      </w:r>
      <w:r w:rsidR="00472375">
        <w:fldChar w:fldCharType="begin"/>
      </w:r>
      <w:r w:rsidR="00472375">
        <w:instrText xml:space="preserve"> XE "</w:instrText>
      </w:r>
      <w:r w:rsidR="00472375" w:rsidRPr="00DE2A32">
        <w:instrText>substance</w:instrText>
      </w:r>
      <w:r w:rsidR="00472375">
        <w:instrText>:</w:instrText>
      </w:r>
      <w:r w:rsidR="00472375" w:rsidRPr="003433C0">
        <w:instrText>Kilwardby</w:instrText>
      </w:r>
      <w:r w:rsidR="00472375">
        <w:instrText xml:space="preserve">" </w:instrText>
      </w:r>
      <w:r w:rsidR="00472375">
        <w:fldChar w:fldCharType="end"/>
      </w:r>
      <w:r w:rsidR="00472375" w:rsidRPr="00273106">
        <w:t xml:space="preserve">. </w:t>
      </w:r>
      <w:r w:rsidR="00555945">
        <w:t xml:space="preserve">Matematická </w:t>
      </w:r>
      <w:r w:rsidR="00DA490C" w:rsidRPr="00273106">
        <w:t>nutnost je podle Aristotela dána pouze v mysli, tedy v nutnosti generované logickými závěry</w:t>
      </w:r>
      <w:r w:rsidR="001C599D">
        <w:t xml:space="preserve">. </w:t>
      </w:r>
      <w:r w:rsidR="002B7DCE" w:rsidRPr="00273106">
        <w:t>Rufus odmítl vzít na vědomí</w:t>
      </w:r>
      <w:r w:rsidR="001C599D">
        <w:t xml:space="preserve"> aristotelský zákaz </w:t>
      </w:r>
      <w:r w:rsidR="08247C92">
        <w:t xml:space="preserve">univoční predikace obecnosti a </w:t>
      </w:r>
      <w:r w:rsidR="001C599D">
        <w:t>nutnosti na děje predikované v rámci kauzality reálných prvních substancí</w:t>
      </w:r>
      <w:r w:rsidR="00DA490C" w:rsidRPr="00273106">
        <w:t xml:space="preserve">. </w:t>
      </w:r>
      <w:r w:rsidR="006E1E22">
        <w:t xml:space="preserve">Rufusova </w:t>
      </w:r>
      <w:r w:rsidR="001C599D">
        <w:t xml:space="preserve">verze </w:t>
      </w:r>
      <w:r w:rsidR="001C599D" w:rsidRPr="001C599D">
        <w:rPr>
          <w:i/>
        </w:rPr>
        <w:t>Oxfordian Fallacy</w:t>
      </w:r>
      <w:r w:rsidR="001C599D">
        <w:t xml:space="preserve"> vedla od zatmění </w:t>
      </w:r>
      <w:r w:rsidR="004B7DE4">
        <w:t>měsíc</w:t>
      </w:r>
      <w:r w:rsidR="001C599D">
        <w:t xml:space="preserve">e k zatmění první substance ve vědeckém poznání. </w:t>
      </w:r>
      <w:r w:rsidR="08684C6F" w:rsidRPr="00273106">
        <w:t xml:space="preserve">Kilwardbyho parafráze vzniklá </w:t>
      </w:r>
      <w:r w:rsidR="0017508A" w:rsidRPr="00273106">
        <w:t xml:space="preserve">o několik let později </w:t>
      </w:r>
      <w:r w:rsidR="0898713D" w:rsidRPr="00273106">
        <w:t xml:space="preserve">a </w:t>
      </w:r>
      <w:r w:rsidR="08684C6F" w:rsidRPr="00273106">
        <w:t>předklá</w:t>
      </w:r>
      <w:r w:rsidR="0869516B" w:rsidRPr="00273106">
        <w:t>d</w:t>
      </w:r>
      <w:r w:rsidR="08684C6F" w:rsidRPr="00273106">
        <w:t>á podo</w:t>
      </w:r>
      <w:r w:rsidR="0869516B" w:rsidRPr="00273106">
        <w:t>bný</w:t>
      </w:r>
      <w:r w:rsidR="08684C6F" w:rsidRPr="00273106">
        <w:t xml:space="preserve"> výklad</w:t>
      </w:r>
      <w:r w:rsidR="0898713D" w:rsidRPr="00273106">
        <w:t xml:space="preserve"> </w:t>
      </w:r>
      <w:r w:rsidR="00555945" w:rsidRPr="00045D3D">
        <w:rPr>
          <w:i/>
        </w:rPr>
        <w:t>Druhých analytik</w:t>
      </w:r>
      <w:r w:rsidR="00555945">
        <w:t xml:space="preserve"> </w:t>
      </w:r>
      <w:r w:rsidR="0898713D" w:rsidRPr="00273106">
        <w:t>jako Rufusův komentář</w:t>
      </w:r>
      <w:r w:rsidR="08684C6F" w:rsidRPr="00273106">
        <w:t>.</w:t>
      </w:r>
      <w:r w:rsidR="08A60939" w:rsidRPr="00273106">
        <w:t xml:space="preserve"> </w:t>
      </w:r>
      <w:r w:rsidR="00E54FB4" w:rsidRPr="00273106">
        <w:t xml:space="preserve">Spis </w:t>
      </w:r>
      <w:r w:rsidR="00E7648C" w:rsidRPr="00273106">
        <w:rPr>
          <w:i/>
        </w:rPr>
        <w:t>Notul</w:t>
      </w:r>
      <w:r w:rsidR="00E54FB4" w:rsidRPr="00273106">
        <w:rPr>
          <w:i/>
        </w:rPr>
        <w:t>e</w:t>
      </w:r>
      <w:r w:rsidR="00E54FB4" w:rsidRPr="00273106">
        <w:t xml:space="preserve"> </w:t>
      </w:r>
      <w:r w:rsidR="08A60939" w:rsidRPr="00273106">
        <w:t xml:space="preserve">cituje výše uvedenou klíčovou část </w:t>
      </w:r>
      <w:r w:rsidR="08A60939" w:rsidRPr="004A7A49">
        <w:rPr>
          <w:i/>
        </w:rPr>
        <w:t>Analytik</w:t>
      </w:r>
      <w:r w:rsidR="08A60939" w:rsidRPr="00273106">
        <w:t xml:space="preserve"> (</w:t>
      </w:r>
      <w:r w:rsidR="08F248E3" w:rsidRPr="00273106">
        <w:t>καθ' αὑτὸ καὶ ᾗ αὐ</w:t>
      </w:r>
      <w:r w:rsidR="08F248E3">
        <w:t xml:space="preserve">τό, </w:t>
      </w:r>
      <w:r w:rsidR="08F248E3" w:rsidRPr="08E00F8B">
        <w:rPr>
          <w:i/>
        </w:rPr>
        <w:t>Anal. Post</w:t>
      </w:r>
      <w:r w:rsidR="08F248E3">
        <w:t>. 73b27</w:t>
      </w:r>
      <w:r w:rsidR="08F248E3">
        <w:fldChar w:fldCharType="begin"/>
      </w:r>
      <w:r w:rsidR="08F248E3">
        <w:instrText xml:space="preserve"> XE "Aristoteles:</w:instrText>
      </w:r>
      <w:r w:rsidR="08F248E3" w:rsidRPr="001B2AC8">
        <w:rPr>
          <w:i/>
        </w:rPr>
        <w:instrText>Anal. Post</w:instrText>
      </w:r>
      <w:r w:rsidR="08F248E3" w:rsidRPr="001B2AC8">
        <w:instrText>. 73b27</w:instrText>
      </w:r>
      <w:r w:rsidR="08F248E3">
        <w:instrText xml:space="preserve">" </w:instrText>
      </w:r>
      <w:r w:rsidR="08F248E3">
        <w:fldChar w:fldCharType="end"/>
      </w:r>
      <w:r w:rsidR="006E1E22">
        <w:fldChar w:fldCharType="begin"/>
      </w:r>
      <w:r w:rsidR="006E1E22">
        <w:instrText xml:space="preserve"> XE "</w:instrText>
      </w:r>
      <w:r w:rsidR="008E02F5">
        <w:instrText>Aristoteles</w:instrText>
      </w:r>
      <w:r w:rsidR="006E1E22">
        <w:instrText>:</w:instrText>
      </w:r>
      <w:r w:rsidR="006E1E22" w:rsidRPr="00E67F38">
        <w:rPr>
          <w:i/>
        </w:rPr>
        <w:instrText>Anal. Post</w:instrText>
      </w:r>
      <w:r w:rsidR="006E1E22" w:rsidRPr="00E67F38">
        <w:instrText>. 73b25‒27</w:instrText>
      </w:r>
      <w:r w:rsidR="006E1E22">
        <w:instrText xml:space="preserve">" </w:instrText>
      </w:r>
      <w:r w:rsidR="006E1E22">
        <w:fldChar w:fldCharType="end"/>
      </w:r>
      <w:r w:rsidR="08A60939" w:rsidRPr="00273106">
        <w:t>) následovně.</w:t>
      </w:r>
    </w:p>
    <w:p w14:paraId="5D0E19E5" w14:textId="10DABB7D" w:rsidR="00D411B1" w:rsidRPr="00063495" w:rsidRDefault="0869516B" w:rsidP="00063495">
      <w:pPr>
        <w:pStyle w:val="Citace"/>
        <w:rPr>
          <w:noProof/>
          <w:lang w:val="cs-CZ"/>
        </w:rPr>
      </w:pPr>
      <w:r w:rsidRPr="00273106">
        <w:rPr>
          <w:noProof/>
          <w:lang w:val="cs-CZ"/>
        </w:rPr>
        <w:t>„</w:t>
      </w:r>
      <w:r w:rsidR="00F33124" w:rsidRPr="00273106">
        <w:rPr>
          <w:noProof/>
          <w:lang w:val="cs-CZ"/>
        </w:rPr>
        <w:t xml:space="preserve">K plnému poznání </w:t>
      </w:r>
      <w:r w:rsidR="08F248E3">
        <w:rPr>
          <w:noProof/>
          <w:lang w:val="cs-CZ"/>
        </w:rPr>
        <w:t xml:space="preserve">univerzality </w:t>
      </w:r>
      <w:r w:rsidR="00F33124" w:rsidRPr="00273106">
        <w:rPr>
          <w:noProof/>
          <w:lang w:val="cs-CZ"/>
        </w:rPr>
        <w:t xml:space="preserve">patří určení dané </w:t>
      </w:r>
      <w:r w:rsidR="083C52D8">
        <w:rPr>
          <w:noProof/>
          <w:lang w:val="cs-CZ"/>
        </w:rPr>
        <w:t xml:space="preserve">ve formulaci </w:t>
      </w:r>
      <w:r w:rsidR="083C52D8">
        <w:rPr>
          <w:rFonts w:cs="Calibri"/>
          <w:noProof/>
          <w:lang w:val="cs-CZ"/>
        </w:rPr>
        <w:t>'</w:t>
      </w:r>
      <w:r w:rsidR="083243D6">
        <w:rPr>
          <w:rFonts w:cs="Calibri"/>
          <w:noProof/>
          <w:lang w:val="cs-CZ"/>
        </w:rPr>
        <w:t>podle vlastní ipseity</w:t>
      </w:r>
      <w:r w:rsidR="083C52D8">
        <w:rPr>
          <w:rFonts w:cs="Calibri"/>
          <w:noProof/>
          <w:lang w:val="cs-CZ"/>
        </w:rPr>
        <w:t>'</w:t>
      </w:r>
      <w:r w:rsidR="00F33124" w:rsidRPr="00273106">
        <w:rPr>
          <w:noProof/>
          <w:lang w:val="cs-CZ"/>
        </w:rPr>
        <w:t xml:space="preserve"> (</w:t>
      </w:r>
      <w:r w:rsidR="08F248E3">
        <w:rPr>
          <w:i/>
          <w:noProof/>
          <w:lang w:val="cs-CZ"/>
        </w:rPr>
        <w:t>secundum-quod-ipsum-est</w:t>
      </w:r>
      <w:r w:rsidR="0030071F">
        <w:rPr>
          <w:noProof/>
          <w:lang w:val="cs-CZ"/>
        </w:rPr>
        <w:t xml:space="preserve">) a určení, která </w:t>
      </w:r>
      <w:r w:rsidR="00F33124" w:rsidRPr="00273106">
        <w:rPr>
          <w:noProof/>
          <w:lang w:val="cs-CZ"/>
        </w:rPr>
        <w:t>vycház</w:t>
      </w:r>
      <w:r w:rsidR="00D411B1">
        <w:rPr>
          <w:noProof/>
          <w:lang w:val="cs-CZ"/>
        </w:rPr>
        <w:t xml:space="preserve">í </w:t>
      </w:r>
      <w:r w:rsidR="0030071F">
        <w:rPr>
          <w:noProof/>
          <w:lang w:val="cs-CZ"/>
        </w:rPr>
        <w:t xml:space="preserve">z </w:t>
      </w:r>
      <w:r w:rsidR="00D411B1">
        <w:rPr>
          <w:noProof/>
          <w:lang w:val="cs-CZ"/>
        </w:rPr>
        <w:t xml:space="preserve">nutnosti dané </w:t>
      </w:r>
      <w:r w:rsidR="083C52D8">
        <w:rPr>
          <w:rFonts w:cs="Calibri"/>
          <w:noProof/>
          <w:lang w:val="cs-CZ"/>
        </w:rPr>
        <w:t>'</w:t>
      </w:r>
      <w:r w:rsidR="00D411B1">
        <w:rPr>
          <w:noProof/>
          <w:lang w:val="cs-CZ"/>
        </w:rPr>
        <w:t>skrze sebe</w:t>
      </w:r>
      <w:r w:rsidR="083C52D8">
        <w:rPr>
          <w:rFonts w:cs="Calibri"/>
          <w:noProof/>
          <w:lang w:val="cs-CZ"/>
        </w:rPr>
        <w:t>'</w:t>
      </w:r>
      <w:r w:rsidR="00D411B1">
        <w:rPr>
          <w:noProof/>
          <w:lang w:val="cs-CZ"/>
        </w:rPr>
        <w:t xml:space="preserve"> </w:t>
      </w:r>
      <w:r w:rsidR="00F33124" w:rsidRPr="00273106">
        <w:rPr>
          <w:noProof/>
          <w:lang w:val="cs-CZ"/>
        </w:rPr>
        <w:t>(</w:t>
      </w:r>
      <w:r w:rsidR="00F33124" w:rsidRPr="00273106">
        <w:rPr>
          <w:i/>
          <w:noProof/>
          <w:lang w:val="cs-CZ"/>
        </w:rPr>
        <w:t>quid addat supra 'per se'</w:t>
      </w:r>
      <w:r w:rsidR="00B43B9D">
        <w:rPr>
          <w:noProof/>
          <w:lang w:val="cs-CZ"/>
        </w:rPr>
        <w:t>). Připomeňme, že v obou</w:t>
      </w:r>
      <w:r w:rsidR="00F33124" w:rsidRPr="00273106">
        <w:rPr>
          <w:noProof/>
          <w:lang w:val="cs-CZ"/>
        </w:rPr>
        <w:t xml:space="preserve"> mod</w:t>
      </w:r>
      <w:r w:rsidR="00B43B9D">
        <w:rPr>
          <w:noProof/>
          <w:lang w:val="cs-CZ"/>
        </w:rPr>
        <w:t xml:space="preserve">ech </w:t>
      </w:r>
      <w:r w:rsidR="00F33124" w:rsidRPr="00273106">
        <w:rPr>
          <w:noProof/>
          <w:lang w:val="cs-CZ"/>
        </w:rPr>
        <w:t>bytí je nutnost dána dvojím způsobem (</w:t>
      </w:r>
      <w:r w:rsidR="00F33124" w:rsidRPr="00273106">
        <w:rPr>
          <w:i/>
          <w:noProof/>
          <w:lang w:val="cs-CZ"/>
        </w:rPr>
        <w:t>per se dupliciter est</w:t>
      </w:r>
      <w:r w:rsidR="00F33124" w:rsidRPr="00273106">
        <w:rPr>
          <w:noProof/>
          <w:lang w:val="cs-CZ"/>
        </w:rPr>
        <w:t xml:space="preserve">). Ale vzhledem k sobě navzájem se </w:t>
      </w:r>
      <w:r w:rsidR="00A056A8" w:rsidRPr="00273106">
        <w:rPr>
          <w:noProof/>
          <w:lang w:val="cs-CZ"/>
        </w:rPr>
        <w:t xml:space="preserve">obě nutnosti </w:t>
      </w:r>
      <w:r w:rsidR="00F33124" w:rsidRPr="00273106">
        <w:rPr>
          <w:noProof/>
          <w:lang w:val="cs-CZ"/>
        </w:rPr>
        <w:t>mají tak, že z nutnosti v rámci hypostázované esence vychází nutnost esence dané reálně (</w:t>
      </w:r>
      <w:r w:rsidR="00F33124" w:rsidRPr="00273106">
        <w:rPr>
          <w:i/>
          <w:noProof/>
          <w:lang w:val="cs-CZ"/>
        </w:rPr>
        <w:t>a quiditate unius egrediatur quiditas alterius</w:t>
      </w:r>
      <w:r w:rsidR="00F33124" w:rsidRPr="00273106">
        <w:rPr>
          <w:noProof/>
          <w:lang w:val="cs-CZ"/>
        </w:rPr>
        <w:t xml:space="preserve">). Proto není k tomuto vztahu obou nutností přidáno nic dalšího, co by fungovalo jako příčina nebo účinek vzhledem k jednomu nebo druhému tak, že by k jedné nebo druhé nutnosti bylo přidáno něco navíc.“ </w:t>
      </w:r>
      <w:r w:rsidR="00E54FB4" w:rsidRPr="00273106">
        <w:rPr>
          <w:rStyle w:val="Znakapoznpodarou"/>
          <w:noProof/>
          <w:lang w:val="cs-CZ"/>
        </w:rPr>
        <w:footnoteReference w:id="477"/>
      </w:r>
    </w:p>
    <w:p w14:paraId="67E32411" w14:textId="533A067D" w:rsidR="005352C0" w:rsidRDefault="08B661EC" w:rsidP="00CF6425">
      <w:r>
        <w:t xml:space="preserve">Zásadní rozdíl proti Rufusovi je dán ve výslovném rozlišení metafyzické a logické predikace podle dvojí univerzality </w:t>
      </w:r>
      <w:r w:rsidRPr="00273106">
        <w:t>(καθ' αὑτὰ δὲ διττῶς</w:t>
      </w:r>
      <w:r>
        <w:t xml:space="preserve">, </w:t>
      </w:r>
      <w:r w:rsidRPr="009B084A">
        <w:rPr>
          <w:i/>
        </w:rPr>
        <w:t>Anal</w:t>
      </w:r>
      <w:r>
        <w:t xml:space="preserve">. </w:t>
      </w:r>
      <w:r w:rsidRPr="009B084A">
        <w:rPr>
          <w:i/>
        </w:rPr>
        <w:t>Post</w:t>
      </w:r>
      <w:r>
        <w:t>. 84a12</w:t>
      </w:r>
      <w:r>
        <w:fldChar w:fldCharType="begin"/>
      </w:r>
      <w:r>
        <w:instrText xml:space="preserve"> XE "Aristoteles:</w:instrText>
      </w:r>
      <w:r w:rsidRPr="00BF0563">
        <w:rPr>
          <w:i/>
        </w:rPr>
        <w:instrText>Anal</w:instrText>
      </w:r>
      <w:r w:rsidRPr="00BF0563">
        <w:instrText xml:space="preserve">. </w:instrText>
      </w:r>
      <w:r w:rsidRPr="00BF0563">
        <w:rPr>
          <w:i/>
        </w:rPr>
        <w:instrText>Post</w:instrText>
      </w:r>
      <w:r w:rsidRPr="00BF0563">
        <w:instrText>. 84a12</w:instrText>
      </w:r>
      <w:r>
        <w:instrText xml:space="preserve">" </w:instrText>
      </w:r>
      <w:r>
        <w:fldChar w:fldCharType="end"/>
      </w:r>
      <w:r w:rsidRPr="00273106">
        <w:t>)</w:t>
      </w:r>
      <w:r>
        <w:t>, což Rufus neměl</w:t>
      </w:r>
      <w:r w:rsidR="082B78FA">
        <w:t xml:space="preserve"> (</w:t>
      </w:r>
      <w:r w:rsidR="082B78FA" w:rsidRPr="082B78FA">
        <w:rPr>
          <w:i/>
        </w:rPr>
        <w:t>uterque modorum inherendi per se dupliciter est</w:t>
      </w:r>
      <w:r w:rsidR="082B78FA">
        <w:t>)</w:t>
      </w:r>
      <w:r>
        <w:t xml:space="preserve">. Ale citát jasně ukazuje, že redukce </w:t>
      </w:r>
      <w:r w:rsidR="00A71FEC">
        <w:t xml:space="preserve">první </w:t>
      </w:r>
      <w:r>
        <w:t xml:space="preserve">triády axiomů na </w:t>
      </w:r>
      <w:r w:rsidR="00A71FEC">
        <w:t xml:space="preserve">druhou </w:t>
      </w:r>
      <w:r>
        <w:t xml:space="preserve">je provedena podle </w:t>
      </w:r>
      <w:r w:rsidRPr="08B661EC">
        <w:rPr>
          <w:i/>
        </w:rPr>
        <w:t>Oxfordian Fallacy</w:t>
      </w:r>
      <w:r>
        <w:t xml:space="preserve">. </w:t>
      </w:r>
      <w:r w:rsidR="00B65774">
        <w:t>Metafyzická n</w:t>
      </w:r>
      <w:r w:rsidR="004A7A49">
        <w:t xml:space="preserve">utnost daná </w:t>
      </w:r>
      <w:r w:rsidR="08D115E8" w:rsidRPr="00273106">
        <w:rPr>
          <w:i/>
        </w:rPr>
        <w:t>per se</w:t>
      </w:r>
      <w:r w:rsidR="08D115E8" w:rsidRPr="00273106">
        <w:t xml:space="preserve"> </w:t>
      </w:r>
      <w:r w:rsidR="08111B6F" w:rsidRPr="00273106">
        <w:t xml:space="preserve">ztratila </w:t>
      </w:r>
      <w:r w:rsidR="00AD756B">
        <w:t xml:space="preserve">hyparchickou </w:t>
      </w:r>
      <w:r w:rsidR="08111B6F" w:rsidRPr="00273106">
        <w:t>vazb</w:t>
      </w:r>
      <w:r w:rsidR="086D1AC0" w:rsidRPr="00273106">
        <w:t xml:space="preserve">u na </w:t>
      </w:r>
      <w:r w:rsidR="00AD756B">
        <w:t xml:space="preserve">druhou </w:t>
      </w:r>
      <w:r w:rsidR="08D115E8" w:rsidRPr="00273106">
        <w:t>substanci</w:t>
      </w:r>
      <w:r w:rsidR="004124E5">
        <w:t xml:space="preserve"> danou v rámci impozice kategoriálního významu</w:t>
      </w:r>
      <w:r w:rsidR="00AD756B">
        <w:t xml:space="preserve"> od první substance</w:t>
      </w:r>
      <w:r w:rsidR="08D115E8" w:rsidRPr="00273106">
        <w:t xml:space="preserve">. </w:t>
      </w:r>
      <w:r w:rsidR="08BA34B0">
        <w:t>Určení nutnos</w:t>
      </w:r>
      <w:r w:rsidR="08701E3F">
        <w:t>ti a univerzality v rámci logické abstrakce</w:t>
      </w:r>
      <w:r w:rsidR="08BA34B0">
        <w:t xml:space="preserve"> </w:t>
      </w:r>
      <w:r w:rsidR="08460002">
        <w:t xml:space="preserve">a esence </w:t>
      </w:r>
      <w:r w:rsidR="00B26E3B">
        <w:fldChar w:fldCharType="begin"/>
      </w:r>
      <w:r w:rsidR="00B26E3B">
        <w:instrText xml:space="preserve"> XE "</w:instrText>
      </w:r>
      <w:r w:rsidR="008E02F5">
        <w:instrText>Aristoteles</w:instrText>
      </w:r>
      <w:r w:rsidR="00B26E3B">
        <w:instrText>:</w:instrText>
      </w:r>
      <w:r w:rsidR="00B26E3B" w:rsidRPr="00B26E3B">
        <w:rPr>
          <w:i/>
        </w:rPr>
        <w:instrText>Anal</w:instrText>
      </w:r>
      <w:r w:rsidR="00B26E3B" w:rsidRPr="0091125C">
        <w:instrText xml:space="preserve">. </w:instrText>
      </w:r>
      <w:r w:rsidR="00B26E3B" w:rsidRPr="00B26E3B">
        <w:rPr>
          <w:i/>
        </w:rPr>
        <w:instrText>Post</w:instrText>
      </w:r>
      <w:r w:rsidR="00B26E3B" w:rsidRPr="0091125C">
        <w:instrText>. 73b27</w:instrText>
      </w:r>
      <w:r w:rsidR="00B26E3B">
        <w:instrText xml:space="preserve">" </w:instrText>
      </w:r>
      <w:r w:rsidR="00B26E3B">
        <w:fldChar w:fldCharType="end"/>
      </w:r>
      <w:r w:rsidR="08D115E8" w:rsidRPr="00273106">
        <w:t>předcház</w:t>
      </w:r>
      <w:r w:rsidR="08BA34B0">
        <w:t xml:space="preserve">í </w:t>
      </w:r>
      <w:r w:rsidR="08D115E8" w:rsidRPr="00273106">
        <w:t xml:space="preserve">určení </w:t>
      </w:r>
      <w:r w:rsidR="00A75F8D">
        <w:t xml:space="preserve">metafyzické </w:t>
      </w:r>
      <w:r w:rsidR="004A7A49">
        <w:t xml:space="preserve">nutnosti v modu </w:t>
      </w:r>
      <w:r w:rsidR="08D115E8" w:rsidRPr="00273106">
        <w:rPr>
          <w:i/>
        </w:rPr>
        <w:t>per se</w:t>
      </w:r>
      <w:r w:rsidR="00642F57">
        <w:t xml:space="preserve"> </w:t>
      </w:r>
      <w:r w:rsidR="00B26E3B">
        <w:fldChar w:fldCharType="begin"/>
      </w:r>
      <w:r w:rsidR="00B26E3B">
        <w:instrText xml:space="preserve"> XE "</w:instrText>
      </w:r>
      <w:r w:rsidR="00B26E3B" w:rsidRPr="007765BD">
        <w:instrText>nutnost:</w:instrText>
      </w:r>
      <w:r w:rsidR="00B26E3B" w:rsidRPr="00491F25">
        <w:rPr>
          <w:i/>
        </w:rPr>
        <w:instrText>per se</w:instrText>
      </w:r>
      <w:r w:rsidR="00B26E3B">
        <w:instrText xml:space="preserve">" </w:instrText>
      </w:r>
      <w:r w:rsidR="00B26E3B">
        <w:fldChar w:fldCharType="end"/>
      </w:r>
      <w:r w:rsidR="00642F57">
        <w:t>vzatém z kauzálního působení věcí ve světě</w:t>
      </w:r>
      <w:r w:rsidR="08D115E8" w:rsidRPr="00273106">
        <w:t xml:space="preserve">. </w:t>
      </w:r>
      <w:r w:rsidR="08AC683F" w:rsidRPr="00273106">
        <w:t>Z hlediska Aristot</w:t>
      </w:r>
      <w:r w:rsidR="08AC683F">
        <w:t xml:space="preserve">ela </w:t>
      </w:r>
      <w:r w:rsidR="00125F83">
        <w:t xml:space="preserve">tím </w:t>
      </w:r>
      <w:r w:rsidR="08AC683F">
        <w:t xml:space="preserve">zmizelo hyparchické určení </w:t>
      </w:r>
      <w:r w:rsidR="08AC683F" w:rsidRPr="08B338E3">
        <w:rPr>
          <w:i/>
        </w:rPr>
        <w:t>Druhých analytik</w:t>
      </w:r>
      <w:r w:rsidR="08AC683F">
        <w:t xml:space="preserve"> v modu </w:t>
      </w:r>
      <w:r w:rsidR="00125F83">
        <w:t>„</w:t>
      </w:r>
      <w:r w:rsidR="002719DA">
        <w:rPr>
          <w:i/>
        </w:rPr>
        <w:t>ex in</w:t>
      </w:r>
      <w:r w:rsidR="08AC683F" w:rsidRPr="082031CB">
        <w:rPr>
          <w:i/>
        </w:rPr>
        <w:t>meditatis</w:t>
      </w:r>
      <w:r w:rsidR="00125F83">
        <w:t>“</w:t>
      </w:r>
      <w:r w:rsidR="08AC683F">
        <w:t xml:space="preserve"> (</w:t>
      </w:r>
      <w:r w:rsidR="00CF50E5" w:rsidRPr="004079C4">
        <w:rPr>
          <w:lang w:eastAsia="en-US"/>
        </w:rPr>
        <w:t>ἐνυπάρχει ἐν τῷ τί ἐστι, 84a13</w:t>
      </w:r>
      <w:r w:rsidR="08AC683F">
        <w:fldChar w:fldCharType="begin"/>
      </w:r>
      <w:r w:rsidR="08AC683F">
        <w:instrText xml:space="preserve"> XE "Aristoteles:</w:instrText>
      </w:r>
      <w:r w:rsidR="08AC683F" w:rsidRPr="00273106">
        <w:rPr>
          <w:i/>
        </w:rPr>
        <w:instrText>Anal. Post</w:instrText>
      </w:r>
      <w:r w:rsidR="08AC683F">
        <w:instrText>. 84a</w:instrText>
      </w:r>
      <w:r w:rsidR="00CF50E5">
        <w:instrText>13</w:instrText>
      </w:r>
      <w:r w:rsidR="08AC683F">
        <w:instrText xml:space="preserve">" </w:instrText>
      </w:r>
      <w:r w:rsidR="08AC683F">
        <w:fldChar w:fldCharType="end"/>
      </w:r>
      <w:r w:rsidR="08AC683F">
        <w:t xml:space="preserve">). </w:t>
      </w:r>
      <w:r w:rsidR="08111B6F" w:rsidRPr="00273106">
        <w:t>Pak následuje rozhodující část citátu, která zakládá formu analyti</w:t>
      </w:r>
      <w:r w:rsidR="009E1309">
        <w:t xml:space="preserve">cké dedukce v rámci univočního </w:t>
      </w:r>
      <w:r w:rsidR="08111B6F" w:rsidRPr="00273106">
        <w:rPr>
          <w:i/>
        </w:rPr>
        <w:t>inesse</w:t>
      </w:r>
      <w:r w:rsidR="00CF4ADF">
        <w:rPr>
          <w:i/>
        </w:rPr>
        <w:fldChar w:fldCharType="begin"/>
      </w:r>
      <w:r w:rsidR="00CF4ADF">
        <w:instrText xml:space="preserve"> XE "esence:</w:instrText>
      </w:r>
      <w:r w:rsidR="00CF4ADF" w:rsidRPr="00CF4ADF">
        <w:rPr>
          <w:i/>
        </w:rPr>
        <w:instrText>inesse</w:instrText>
      </w:r>
      <w:r w:rsidR="00CF4ADF">
        <w:instrText xml:space="preserve">" </w:instrText>
      </w:r>
      <w:r w:rsidR="00CF4ADF">
        <w:rPr>
          <w:i/>
        </w:rPr>
        <w:fldChar w:fldCharType="end"/>
      </w:r>
      <w:r w:rsidR="08111B6F" w:rsidRPr="00273106">
        <w:t xml:space="preserve"> charakteristického pro </w:t>
      </w:r>
      <w:r w:rsidR="08111B6F" w:rsidRPr="00273106">
        <w:rPr>
          <w:i/>
        </w:rPr>
        <w:t>Oxfordian Fallacy</w:t>
      </w:r>
      <w:r w:rsidR="08111B6F" w:rsidRPr="00273106">
        <w:t xml:space="preserve">. </w:t>
      </w:r>
      <w:r w:rsidR="00EC7EDC" w:rsidRPr="00273106">
        <w:t xml:space="preserve">Díky univočně pojaté nutnosti lze libovolně zaměňovat nutnost danou na úrovni kategoriálně predikované druhé substance a na úrovni esence pojaté v aktu </w:t>
      </w:r>
      <w:r w:rsidR="006F0108">
        <w:t xml:space="preserve">logické </w:t>
      </w:r>
      <w:r w:rsidR="00EC7EDC" w:rsidRPr="00273106">
        <w:t>abstrakce</w:t>
      </w:r>
      <w:r w:rsidR="00EB4045">
        <w:fldChar w:fldCharType="begin"/>
      </w:r>
      <w:r w:rsidR="00EB4045">
        <w:instrText xml:space="preserve"> XE "</w:instrText>
      </w:r>
      <w:r w:rsidR="00EB4045" w:rsidRPr="00A824F0">
        <w:instrText>abstrakce:</w:instrText>
      </w:r>
      <w:r w:rsidR="006F0108">
        <w:instrText>logická</w:instrText>
      </w:r>
      <w:r w:rsidR="00EB4045">
        <w:instrText xml:space="preserve">" </w:instrText>
      </w:r>
      <w:r w:rsidR="00EB4045">
        <w:fldChar w:fldCharType="end"/>
      </w:r>
      <w:r w:rsidR="00EC7EDC" w:rsidRPr="00273106">
        <w:t xml:space="preserve"> (</w:t>
      </w:r>
      <w:r w:rsidR="00EC7EDC" w:rsidRPr="00273106">
        <w:rPr>
          <w:i/>
        </w:rPr>
        <w:t>a quiditate unius egrediatur quiditas alterius</w:t>
      </w:r>
      <w:r w:rsidR="00EC7EDC" w:rsidRPr="00273106">
        <w:t xml:space="preserve">). </w:t>
      </w:r>
      <w:r w:rsidR="00A156CF">
        <w:t>Z</w:t>
      </w:r>
      <w:r w:rsidR="00A156CF" w:rsidRPr="00273106">
        <w:t xml:space="preserve">dvojení </w:t>
      </w:r>
      <w:r w:rsidR="00A156CF" w:rsidRPr="00945D7E">
        <w:rPr>
          <w:i/>
        </w:rPr>
        <w:t>quidditas</w:t>
      </w:r>
      <w:r w:rsidR="00A156CF">
        <w:rPr>
          <w:i/>
        </w:rPr>
        <w:fldChar w:fldCharType="begin"/>
      </w:r>
      <w:r w:rsidR="00A156CF">
        <w:instrText xml:space="preserve"> XE "</w:instrText>
      </w:r>
      <w:r w:rsidR="00A156CF" w:rsidRPr="0865651F">
        <w:rPr>
          <w:i/>
        </w:rPr>
        <w:instrText>quidditas</w:instrText>
      </w:r>
      <w:r w:rsidR="00A156CF">
        <w:instrText xml:space="preserve">" </w:instrText>
      </w:r>
      <w:r w:rsidR="00A156CF">
        <w:rPr>
          <w:i/>
        </w:rPr>
        <w:fldChar w:fldCharType="end"/>
      </w:r>
      <w:r w:rsidR="00A156CF" w:rsidRPr="00273106">
        <w:t xml:space="preserve"> </w:t>
      </w:r>
      <w:r w:rsidR="00A156CF">
        <w:t xml:space="preserve">v identické supozici </w:t>
      </w:r>
      <w:r w:rsidR="08A12D34" w:rsidRPr="00273106">
        <w:t xml:space="preserve">je pro </w:t>
      </w:r>
      <w:r w:rsidR="08A12D34">
        <w:t>analytickou školu druhého averroismu</w:t>
      </w:r>
      <w:r w:rsidR="08A12D34" w:rsidRPr="00273106">
        <w:t xml:space="preserve"> </w:t>
      </w:r>
      <w:r w:rsidR="08A12D34">
        <w:t xml:space="preserve">zcela </w:t>
      </w:r>
      <w:r w:rsidR="00A156CF">
        <w:t>charakteristické</w:t>
      </w:r>
      <w:r w:rsidR="08A12D34" w:rsidRPr="00273106">
        <w:t xml:space="preserve">. </w:t>
      </w:r>
      <w:r w:rsidR="08A12D34">
        <w:t xml:space="preserve">Opět platí jako u Rufuse, že </w:t>
      </w:r>
      <w:r w:rsidR="00E661AD">
        <w:t>objektivita</w:t>
      </w:r>
      <w:r w:rsidR="08A12D34">
        <w:t xml:space="preserve"> je bezprostře</w:t>
      </w:r>
      <w:r w:rsidR="08484FB4">
        <w:t>dně dána v mysli ilumináta, pro</w:t>
      </w:r>
      <w:r w:rsidR="08A12D34">
        <w:t>t</w:t>
      </w:r>
      <w:r w:rsidR="08484FB4">
        <w:t>o</w:t>
      </w:r>
      <w:r w:rsidR="08A12D34">
        <w:t>že zmizel minulostní ráz kauzálně působící reálné substance (</w:t>
      </w:r>
      <w:r w:rsidR="08A12D34" w:rsidRPr="08364F97">
        <w:t>τό τί ἦν εἶναι</w:t>
      </w:r>
      <w:r w:rsidR="08A12D34">
        <w:fldChar w:fldCharType="begin"/>
      </w:r>
      <w:r w:rsidR="08A12D34">
        <w:instrText xml:space="preserve"> XE "</w:instrText>
      </w:r>
      <w:r w:rsidR="08A12D34" w:rsidRPr="08D57ABC">
        <w:instrText>τό τί ἦν εἶναι</w:instrText>
      </w:r>
      <w:r w:rsidR="08A12D34">
        <w:instrText xml:space="preserve">" </w:instrText>
      </w:r>
      <w:r w:rsidR="08A12D34">
        <w:fldChar w:fldCharType="end"/>
      </w:r>
      <w:r w:rsidR="08571E0D">
        <w:t>)</w:t>
      </w:r>
      <w:r w:rsidR="08A12D34">
        <w:t xml:space="preserve">. </w:t>
      </w:r>
      <w:r w:rsidR="08484FB4">
        <w:t xml:space="preserve">Akt původní donace </w:t>
      </w:r>
      <w:r w:rsidR="00791956">
        <w:t>jsoucna dané</w:t>
      </w:r>
      <w:r w:rsidR="08484FB4">
        <w:t xml:space="preserve"> v</w:t>
      </w:r>
      <w:r w:rsidR="082A724F">
        <w:t xml:space="preserve"> metafyzickém </w:t>
      </w:r>
      <w:r w:rsidR="08484FB4">
        <w:t>dativu</w:t>
      </w:r>
      <w:r w:rsidR="082F0E13">
        <w:rPr>
          <w:i/>
        </w:rPr>
        <w:fldChar w:fldCharType="begin"/>
      </w:r>
      <w:r w:rsidR="082F0E13">
        <w:instrText xml:space="preserve"> XE "</w:instrText>
      </w:r>
      <w:r w:rsidR="082A724F">
        <w:rPr>
          <w:i/>
        </w:rPr>
        <w:instrText>dativus metaphysi</w:instrText>
      </w:r>
      <w:r w:rsidR="082F0E13" w:rsidRPr="082F5A4B">
        <w:rPr>
          <w:i/>
        </w:rPr>
        <w:instrText>cus</w:instrText>
      </w:r>
      <w:r w:rsidR="082F0E13">
        <w:instrText xml:space="preserve">" </w:instrText>
      </w:r>
      <w:r w:rsidR="082F0E13">
        <w:rPr>
          <w:i/>
        </w:rPr>
        <w:fldChar w:fldCharType="end"/>
      </w:r>
      <w:r w:rsidR="08484FB4">
        <w:t xml:space="preserve"> se změnil na objektivní donaci smyslu jsoucna (</w:t>
      </w:r>
      <w:r w:rsidR="08484FB4" w:rsidRPr="08484FB4">
        <w:rPr>
          <w:i/>
        </w:rPr>
        <w:t>dativus obiectivus</w:t>
      </w:r>
      <w:r w:rsidR="083C1BB9">
        <w:t>; OBJ III, kap. 4</w:t>
      </w:r>
      <w:r w:rsidR="08484FB4">
        <w:t xml:space="preserve">). </w:t>
      </w:r>
      <w:r w:rsidR="00EC7EDC" w:rsidRPr="00273106">
        <w:t xml:space="preserve">Tím vznikl </w:t>
      </w:r>
      <w:r w:rsidR="00D50454">
        <w:t xml:space="preserve">po Grossetestem a po Rufusovi </w:t>
      </w:r>
      <w:r w:rsidR="00BA5A6C">
        <w:t xml:space="preserve">další </w:t>
      </w:r>
      <w:r w:rsidR="00EC7EDC" w:rsidRPr="00273106">
        <w:t xml:space="preserve">analytický výklad </w:t>
      </w:r>
      <w:r w:rsidR="00EC7EDC" w:rsidRPr="009E1309">
        <w:rPr>
          <w:i/>
        </w:rPr>
        <w:t>Druhých analytik</w:t>
      </w:r>
      <w:r w:rsidR="00EC7EDC" w:rsidRPr="00273106">
        <w:t xml:space="preserve">, </w:t>
      </w:r>
      <w:r w:rsidR="00BA5A6C">
        <w:t xml:space="preserve">v němž </w:t>
      </w:r>
      <w:r w:rsidR="00EC7EDC" w:rsidRPr="00273106">
        <w:t>je možné univočně zaměňovat první triádu principů poznání za druhou</w:t>
      </w:r>
      <w:r w:rsidR="006E1E22">
        <w:fldChar w:fldCharType="begin"/>
      </w:r>
      <w:r w:rsidR="006E1E22">
        <w:instrText xml:space="preserve"> XE "</w:instrText>
      </w:r>
      <w:r w:rsidR="006E1E22" w:rsidRPr="000636A1">
        <w:instrText xml:space="preserve">princip </w:instrText>
      </w:r>
      <w:r w:rsidR="08D91F67">
        <w:rPr>
          <w:i/>
        </w:rPr>
        <w:instrText>ex in</w:instrText>
      </w:r>
      <w:r w:rsidR="006E1E22" w:rsidRPr="006E1E22">
        <w:rPr>
          <w:i/>
        </w:rPr>
        <w:instrText>mediatis</w:instrText>
      </w:r>
      <w:r w:rsidR="006E1E22">
        <w:instrText xml:space="preserve">" </w:instrText>
      </w:r>
      <w:r w:rsidR="006E1E22">
        <w:fldChar w:fldCharType="end"/>
      </w:r>
      <w:r w:rsidR="00EC7EDC" w:rsidRPr="00273106">
        <w:t xml:space="preserve">. Komentář redukuje vztah k reálné substanci na pouhou logickou inherenci a </w:t>
      </w:r>
      <w:r w:rsidR="082637BA">
        <w:t xml:space="preserve">zrušil </w:t>
      </w:r>
      <w:r w:rsidR="00EC7EDC" w:rsidRPr="00273106">
        <w:t xml:space="preserve">první trio klíčových axiomů poznání jako zbytečné. Redukcí šesti axiomů </w:t>
      </w:r>
      <w:r w:rsidR="00EC7EDC" w:rsidRPr="003829B6">
        <w:rPr>
          <w:i/>
        </w:rPr>
        <w:t>Druhých analytik</w:t>
      </w:r>
      <w:r w:rsidR="00EC7EDC" w:rsidRPr="00273106">
        <w:t xml:space="preserve"> na </w:t>
      </w:r>
      <w:r w:rsidR="005B7B50">
        <w:t>tři vznikla</w:t>
      </w:r>
      <w:r w:rsidR="00EC7EDC" w:rsidRPr="00273106">
        <w:t xml:space="preserve"> podobná struktura </w:t>
      </w:r>
      <w:r w:rsidR="086D19E8">
        <w:t xml:space="preserve">vědeckého důkazu </w:t>
      </w:r>
      <w:r w:rsidR="00EC7EDC" w:rsidRPr="00273106">
        <w:t xml:space="preserve">jako měl Grosseteste </w:t>
      </w:r>
      <w:r w:rsidR="00483599" w:rsidRPr="00273106">
        <w:t>a Rufus</w:t>
      </w:r>
      <w:r w:rsidR="00EC7EDC" w:rsidRPr="00273106">
        <w:t xml:space="preserve">. </w:t>
      </w:r>
      <w:r w:rsidR="005B7B50">
        <w:t>S</w:t>
      </w:r>
      <w:r w:rsidR="008B3074" w:rsidRPr="00273106">
        <w:t xml:space="preserve">vět </w:t>
      </w:r>
      <w:r w:rsidR="00FD553D" w:rsidRPr="00273106">
        <w:t xml:space="preserve">porretánů </w:t>
      </w:r>
      <w:r w:rsidR="00747134" w:rsidRPr="00273106">
        <w:t xml:space="preserve">obsahuje </w:t>
      </w:r>
      <w:r w:rsidR="00505DA2">
        <w:t>jednu</w:t>
      </w:r>
      <w:r w:rsidR="00FD553D" w:rsidRPr="00273106">
        <w:t xml:space="preserve"> univoční </w:t>
      </w:r>
      <w:r w:rsidR="004B4D52" w:rsidRPr="004B4D52">
        <w:t>species</w:t>
      </w:r>
      <w:r w:rsidR="00FD553D" w:rsidRPr="00273106">
        <w:t xml:space="preserve"> pro realitu i pro poznání. </w:t>
      </w:r>
      <w:r w:rsidR="001700CA" w:rsidRPr="00273106">
        <w:t xml:space="preserve">Díky </w:t>
      </w:r>
      <w:r w:rsidR="005B7B50">
        <w:t xml:space="preserve">logické </w:t>
      </w:r>
      <w:r w:rsidR="001700CA" w:rsidRPr="00273106">
        <w:t>definici esence má pojem kauzality čistě esenciální význam na úrovni univerzálního konceptu (</w:t>
      </w:r>
      <w:r w:rsidR="001700CA" w:rsidRPr="00273106">
        <w:rPr>
          <w:i/>
        </w:rPr>
        <w:t>causa uel ut causatum respectu alterius</w:t>
      </w:r>
      <w:r w:rsidR="001700CA" w:rsidRPr="00273106">
        <w:t xml:space="preserve">). Zaměnitelnost obou druhů </w:t>
      </w:r>
      <w:r w:rsidR="08682D0C">
        <w:t xml:space="preserve">univerzality </w:t>
      </w:r>
      <w:r w:rsidR="001700CA" w:rsidRPr="00273106">
        <w:t>způsobuje, že kauzalita definovaná v modu univoční nutnosti už nepotřebuje nic jiného, co by ji dále determinovalo (</w:t>
      </w:r>
      <w:r w:rsidR="001700CA" w:rsidRPr="00273106">
        <w:rPr>
          <w:i/>
        </w:rPr>
        <w:t>quod alteri aliquid tale superadditur</w:t>
      </w:r>
      <w:r w:rsidR="001700CA">
        <w:t>)</w:t>
      </w:r>
      <w:r w:rsidR="001700CA" w:rsidRPr="00273106">
        <w:t xml:space="preserve">. Poslední věta potvrzuje, že </w:t>
      </w:r>
      <w:r w:rsidR="001700CA" w:rsidRPr="00273106">
        <w:rPr>
          <w:i/>
        </w:rPr>
        <w:t>Notule</w:t>
      </w:r>
      <w:r w:rsidR="001700CA" w:rsidRPr="00273106">
        <w:t xml:space="preserve"> mají stejné pojetí kauzality třetího druhu, jako měl Rufusův výklad. </w:t>
      </w:r>
      <w:r w:rsidR="0036204E" w:rsidRPr="00273106">
        <w:t xml:space="preserve">Po </w:t>
      </w:r>
      <w:r w:rsidR="00747134" w:rsidRPr="00273106">
        <w:t xml:space="preserve">zdvojení </w:t>
      </w:r>
      <w:r w:rsidR="00505DA2">
        <w:t xml:space="preserve">hypostázovaných </w:t>
      </w:r>
      <w:r w:rsidR="00747134" w:rsidRPr="00273106">
        <w:t xml:space="preserve">esencí </w:t>
      </w:r>
      <w:r w:rsidR="00505DA2">
        <w:t xml:space="preserve">třetího druhu daných univočně </w:t>
      </w:r>
      <w:r w:rsidR="00747134" w:rsidRPr="00273106">
        <w:t xml:space="preserve">v poznání a v realitě a po jejich ekvivalenci </w:t>
      </w:r>
      <w:r w:rsidR="00505DA2">
        <w:t xml:space="preserve">dojde k zásadní </w:t>
      </w:r>
      <w:r w:rsidR="001E2C55" w:rsidRPr="00273106">
        <w:t xml:space="preserve">deformaci </w:t>
      </w:r>
      <w:r w:rsidR="006B0E19">
        <w:t xml:space="preserve">kauzality ve vědeckém </w:t>
      </w:r>
      <w:r w:rsidR="0036204E" w:rsidRPr="00273106">
        <w:t xml:space="preserve">soudu. </w:t>
      </w:r>
      <w:r w:rsidR="006B67C1" w:rsidRPr="00273106">
        <w:t xml:space="preserve">Konverze </w:t>
      </w:r>
      <w:r w:rsidR="00505DA2">
        <w:t xml:space="preserve">vytvořila typ </w:t>
      </w:r>
      <w:r w:rsidR="006B67C1" w:rsidRPr="00273106">
        <w:t>kauzality</w:t>
      </w:r>
      <w:r w:rsidR="00505DA2">
        <w:t xml:space="preserve"> třetího druhu</w:t>
      </w:r>
      <w:r w:rsidR="006B67C1" w:rsidRPr="00273106">
        <w:t xml:space="preserve">, která je vinou logicky pojatého středního členu soudu </w:t>
      </w:r>
      <w:r w:rsidR="00505DA2">
        <w:t xml:space="preserve">postavena </w:t>
      </w:r>
      <w:r w:rsidR="006B67C1" w:rsidRPr="00273106">
        <w:t xml:space="preserve">mimo </w:t>
      </w:r>
      <w:r w:rsidR="00080158">
        <w:t xml:space="preserve">reálné působení </w:t>
      </w:r>
      <w:r w:rsidR="006B67C1" w:rsidRPr="00273106">
        <w:t>první</w:t>
      </w:r>
      <w:r w:rsidR="00080158">
        <w:t>ch substancí</w:t>
      </w:r>
      <w:r w:rsidR="006B67C1" w:rsidRPr="00273106">
        <w:t>.</w:t>
      </w:r>
      <w:r w:rsidR="006B67C1">
        <w:t xml:space="preserve"> </w:t>
      </w:r>
      <w:r w:rsidR="00643F18" w:rsidRPr="00273106">
        <w:t xml:space="preserve">Analytické poznání reality redukuje druhou substanci na esenci postavenou mimo reálnou kauzalitu první substance, což ve stejné době provedl skrze moderní </w:t>
      </w:r>
      <w:r w:rsidR="00643F18" w:rsidRPr="00273106">
        <w:rPr>
          <w:i/>
        </w:rPr>
        <w:t>inesse</w:t>
      </w:r>
      <w:r w:rsidR="00643F18">
        <w:rPr>
          <w:i/>
        </w:rPr>
        <w:fldChar w:fldCharType="begin"/>
      </w:r>
      <w:r w:rsidR="00643F18">
        <w:instrText xml:space="preserve"> XE "esence:</w:instrText>
      </w:r>
      <w:r w:rsidR="00643F18" w:rsidRPr="00CF4ADF">
        <w:rPr>
          <w:i/>
        </w:rPr>
        <w:instrText>inesse</w:instrText>
      </w:r>
      <w:r w:rsidR="00643F18">
        <w:instrText xml:space="preserve">" </w:instrText>
      </w:r>
      <w:r w:rsidR="00643F18">
        <w:rPr>
          <w:i/>
        </w:rPr>
        <w:fldChar w:fldCharType="end"/>
      </w:r>
      <w:r w:rsidR="00643F18" w:rsidRPr="00273106">
        <w:t xml:space="preserve"> také Rufusův výklad </w:t>
      </w:r>
      <w:r w:rsidR="00643F18" w:rsidRPr="00643F18">
        <w:rPr>
          <w:i/>
        </w:rPr>
        <w:t>Druhých analytik</w:t>
      </w:r>
      <w:r w:rsidR="001700CA">
        <w:t>.</w:t>
      </w:r>
      <w:r w:rsidR="00EC154F">
        <w:t xml:space="preserve"> </w:t>
      </w:r>
      <w:r w:rsidR="0851711C">
        <w:t>Vinou tohoto chybného pojetí inherence Kilwardby patřil k pařížskému proudu gramatiků a latinských sofistů, které kritizoval Alvernus (</w:t>
      </w:r>
      <w:r w:rsidR="0851711C">
        <w:fldChar w:fldCharType="begin"/>
      </w:r>
      <w:r w:rsidR="0851711C">
        <w:instrText xml:space="preserve"> XE "</w:instrText>
      </w:r>
      <w:r w:rsidR="0851711C" w:rsidRPr="0041203D">
        <w:instrText>druhý averroismus:</w:instrText>
      </w:r>
      <w:r w:rsidR="0851711C" w:rsidRPr="00726077">
        <w:rPr>
          <w:i/>
        </w:rPr>
        <w:instrText>Grammatici</w:instrText>
      </w:r>
      <w:r w:rsidR="0851711C">
        <w:instrText xml:space="preserve">" </w:instrText>
      </w:r>
      <w:r w:rsidR="0851711C">
        <w:fldChar w:fldCharType="end"/>
      </w:r>
      <w:r w:rsidR="087949BD">
        <w:t>kap. 2</w:t>
      </w:r>
      <w:r w:rsidR="005352C0">
        <w:t>.3.2).</w:t>
      </w:r>
    </w:p>
    <w:p w14:paraId="0104467A" w14:textId="0FEB913F" w:rsidR="00CF6425" w:rsidRPr="00273106" w:rsidRDefault="004665EA" w:rsidP="005352C0">
      <w:pPr>
        <w:ind w:firstLine="397"/>
      </w:pPr>
      <w:r w:rsidRPr="00273106">
        <w:t xml:space="preserve">Kilwardby </w:t>
      </w:r>
      <w:r w:rsidR="00F75582">
        <w:t xml:space="preserve">začal vědecké poznání </w:t>
      </w:r>
      <w:r w:rsidRPr="00273106">
        <w:t xml:space="preserve">deduktivně </w:t>
      </w:r>
      <w:r w:rsidR="001F01B2" w:rsidRPr="00273106">
        <w:t>od univerzálií</w:t>
      </w:r>
      <w:r w:rsidRPr="00273106">
        <w:t xml:space="preserve"> směrem k</w:t>
      </w:r>
      <w:r w:rsidR="00570A6B" w:rsidRPr="00273106">
        <w:t>e</w:t>
      </w:r>
      <w:r w:rsidRPr="00273106">
        <w:t xml:space="preserve"> </w:t>
      </w:r>
      <w:r w:rsidR="00570A6B" w:rsidRPr="00273106">
        <w:t xml:space="preserve">kontingentně </w:t>
      </w:r>
      <w:r w:rsidRPr="00273106">
        <w:t xml:space="preserve">dané </w:t>
      </w:r>
      <w:r w:rsidR="00BE1133" w:rsidRPr="00273106">
        <w:t xml:space="preserve">první </w:t>
      </w:r>
      <w:r w:rsidRPr="00273106">
        <w:t>substanci</w:t>
      </w:r>
      <w:r w:rsidR="00BE1133" w:rsidRPr="00273106">
        <w:t xml:space="preserve"> působící kauzálně</w:t>
      </w:r>
      <w:r w:rsidR="00704D5C">
        <w:fldChar w:fldCharType="begin"/>
      </w:r>
      <w:r w:rsidR="00704D5C">
        <w:instrText xml:space="preserve"> XE "</w:instrText>
      </w:r>
      <w:r w:rsidR="00704D5C" w:rsidRPr="00954ED1">
        <w:instrText>kauzalita:Kilwardby</w:instrText>
      </w:r>
      <w:r w:rsidR="00704D5C">
        <w:instrText xml:space="preserve">" </w:instrText>
      </w:r>
      <w:r w:rsidR="00704D5C">
        <w:fldChar w:fldCharType="end"/>
      </w:r>
      <w:r w:rsidRPr="00273106">
        <w:t xml:space="preserve">. </w:t>
      </w:r>
      <w:r w:rsidR="00151FAC" w:rsidRPr="00273106">
        <w:t>Kauzalita na úrovni prvních substancí (</w:t>
      </w:r>
      <w:r w:rsidR="00151FAC" w:rsidRPr="00273106">
        <w:rPr>
          <w:i/>
        </w:rPr>
        <w:t>passio</w:t>
      </w:r>
      <w:r w:rsidR="00151FAC" w:rsidRPr="00273106">
        <w:t>) je převedena na úroveň logické nutnosti</w:t>
      </w:r>
      <w:r w:rsidR="085115BA">
        <w:t>, i když Kilwardby verbálně uznává, že existuje dvojí forma kategoriální vědecké predikace unvierzality</w:t>
      </w:r>
      <w:r w:rsidR="00151FAC" w:rsidRPr="00273106">
        <w:t>.</w:t>
      </w:r>
      <w:r w:rsidR="00151FAC">
        <w:t xml:space="preserve"> </w:t>
      </w:r>
      <w:r w:rsidR="00045D3D">
        <w:t>Univoční r</w:t>
      </w:r>
      <w:r w:rsidR="00045D3D" w:rsidRPr="00273106">
        <w:t xml:space="preserve">edukci reality na koncept provádějí </w:t>
      </w:r>
      <w:r w:rsidR="00045D3D" w:rsidRPr="00273106">
        <w:rPr>
          <w:i/>
        </w:rPr>
        <w:t>Notule</w:t>
      </w:r>
      <w:r w:rsidR="00045D3D" w:rsidRPr="00273106">
        <w:t xml:space="preserve"> tím, že změnily kauzalitu ve středním členu soudu (</w:t>
      </w:r>
      <w:r w:rsidR="00045D3D" w:rsidRPr="00273106">
        <w:rPr>
          <w:i/>
        </w:rPr>
        <w:t>ex necessitate inesse</w:t>
      </w:r>
      <w:r w:rsidR="00045D3D" w:rsidRPr="00273106">
        <w:t xml:space="preserve">) na </w:t>
      </w:r>
      <w:r w:rsidR="086F55A5">
        <w:t xml:space="preserve">trvalou </w:t>
      </w:r>
      <w:r w:rsidR="00045D3D" w:rsidRPr="00273106">
        <w:t>esenciální vlastnost danou mimo první substanci</w:t>
      </w:r>
      <w:r w:rsidR="00045D3D">
        <w:t xml:space="preserve"> </w:t>
      </w:r>
      <w:r w:rsidR="00045D3D" w:rsidRPr="00273106">
        <w:t>(</w:t>
      </w:r>
      <w:r w:rsidR="00045D3D" w:rsidRPr="00273106">
        <w:rPr>
          <w:i/>
        </w:rPr>
        <w:t>semper inest ei cui inest, non tamen posset non inesse</w:t>
      </w:r>
      <w:r w:rsidR="00045D3D" w:rsidRPr="00273106">
        <w:t>, ibid. p. 119.86‒88</w:t>
      </w:r>
      <w:r w:rsidR="00D974D2" w:rsidRPr="0010152F">
        <w:fldChar w:fldCharType="begin"/>
      </w:r>
      <w:r w:rsidR="00D974D2" w:rsidRPr="0010152F">
        <w:instrText xml:space="preserve"> XE "Kilwardby:</w:instrText>
      </w:r>
      <w:r w:rsidR="00D974D2" w:rsidRPr="08E279D1">
        <w:rPr>
          <w:i/>
          <w:iCs/>
        </w:rPr>
        <w:instrText>Notule Libri Posteriorum</w:instrText>
      </w:r>
      <w:r w:rsidR="00D974D2" w:rsidRPr="0010152F">
        <w:instrText xml:space="preserve"> </w:instrText>
      </w:r>
      <w:r w:rsidR="00D974D2">
        <w:instrText>119.86</w:instrText>
      </w:r>
      <w:r w:rsidR="00D974D2" w:rsidRPr="0010152F">
        <w:instrText>‒</w:instrText>
      </w:r>
      <w:r w:rsidR="00D974D2">
        <w:instrText>8</w:instrText>
      </w:r>
      <w:r w:rsidR="00D974D2" w:rsidRPr="0010152F">
        <w:instrText xml:space="preserve">8" </w:instrText>
      </w:r>
      <w:r w:rsidR="00D974D2" w:rsidRPr="0010152F">
        <w:fldChar w:fldCharType="end"/>
      </w:r>
      <w:r w:rsidR="00045D3D" w:rsidRPr="00273106">
        <w:t>).</w:t>
      </w:r>
      <w:r w:rsidR="00045D3D">
        <w:t xml:space="preserve"> </w:t>
      </w:r>
      <w:r w:rsidR="002C799F" w:rsidRPr="00273106">
        <w:t>Realita je pro moderní ilumináty vcelku zbytečná věc</w:t>
      </w:r>
      <w:r w:rsidR="002C799F">
        <w:t>,</w:t>
      </w:r>
      <w:r w:rsidR="002C799F" w:rsidRPr="00273106">
        <w:t xml:space="preserve"> </w:t>
      </w:r>
      <w:r w:rsidR="001700CA">
        <w:t xml:space="preserve">protože </w:t>
      </w:r>
      <w:r w:rsidR="002C799F" w:rsidRPr="00273106">
        <w:t>dokonalost čistého myšlení</w:t>
      </w:r>
      <w:r w:rsidR="002C799F">
        <w:t xml:space="preserve"> </w:t>
      </w:r>
      <w:r w:rsidR="001700CA">
        <w:t xml:space="preserve">potřebuje </w:t>
      </w:r>
      <w:r w:rsidR="002C799F">
        <w:t>ma</w:t>
      </w:r>
      <w:r w:rsidR="001700CA">
        <w:t>teriálně danou kontingenci pouze akciden</w:t>
      </w:r>
      <w:r w:rsidR="007F0800">
        <w:t>t</w:t>
      </w:r>
      <w:r w:rsidR="001700CA">
        <w:t>álně</w:t>
      </w:r>
      <w:r w:rsidR="002C799F" w:rsidRPr="00273106">
        <w:t>.</w:t>
      </w:r>
      <w:r w:rsidR="002C799F">
        <w:t xml:space="preserve"> </w:t>
      </w:r>
      <w:r w:rsidR="00D66DEC" w:rsidRPr="00273106">
        <w:t xml:space="preserve">Moderní pojetí vědy </w:t>
      </w:r>
      <w:r w:rsidR="007F0800">
        <w:t xml:space="preserve">zakládá </w:t>
      </w:r>
      <w:r w:rsidR="00D66DEC" w:rsidRPr="00273106">
        <w:t xml:space="preserve">redukce šesti axiomů </w:t>
      </w:r>
      <w:r w:rsidR="00D66DEC" w:rsidRPr="007F0800">
        <w:rPr>
          <w:i/>
        </w:rPr>
        <w:t>Druhých analytik</w:t>
      </w:r>
      <w:r w:rsidR="00D66DEC" w:rsidRPr="00273106">
        <w:t xml:space="preserve"> na tři</w:t>
      </w:r>
      <w:r w:rsidR="007F0800">
        <w:t xml:space="preserve"> logické principy ze druhé triády. Kilwardbyho </w:t>
      </w:r>
      <w:r w:rsidR="00957F4B" w:rsidRPr="00957F4B">
        <w:rPr>
          <w:i/>
        </w:rPr>
        <w:t>resolutio</w:t>
      </w:r>
      <w:r w:rsidR="005A68A7" w:rsidRPr="00A45AB0">
        <w:fldChar w:fldCharType="begin"/>
      </w:r>
      <w:r w:rsidR="005A68A7" w:rsidRPr="00A45AB0">
        <w:instrText xml:space="preserve"> XE "</w:instrText>
      </w:r>
      <w:r w:rsidR="005A68A7" w:rsidRPr="00274E9F">
        <w:rPr>
          <w:i/>
        </w:rPr>
        <w:instrText>resolutio</w:instrText>
      </w:r>
      <w:r w:rsidR="007D3515">
        <w:rPr>
          <w:i/>
        </w:rPr>
        <w:instrText>:</w:instrText>
      </w:r>
      <w:r w:rsidR="007D3515">
        <w:instrText>Kilwardby</w:instrText>
      </w:r>
      <w:r w:rsidR="005A68A7" w:rsidRPr="00A45AB0">
        <w:instrText xml:space="preserve">" </w:instrText>
      </w:r>
      <w:r w:rsidR="005A68A7" w:rsidRPr="00A45AB0">
        <w:fldChar w:fldCharType="end"/>
      </w:r>
      <w:r w:rsidR="007F0800">
        <w:t xml:space="preserve"> </w:t>
      </w:r>
      <w:r w:rsidR="00A45AB0" w:rsidRPr="00A45AB0">
        <w:t>zavádí plný model analytické filosofie</w:t>
      </w:r>
      <w:r w:rsidR="00D66DEC" w:rsidRPr="00A45AB0">
        <w:t>.</w:t>
      </w:r>
    </w:p>
    <w:p w14:paraId="1C107975" w14:textId="77777777" w:rsidR="0039071D" w:rsidRPr="00273106" w:rsidRDefault="00395EE5" w:rsidP="00CF6425">
      <w:pPr>
        <w:pStyle w:val="Citace"/>
        <w:rPr>
          <w:noProof/>
          <w:lang w:val="cs-CZ"/>
        </w:rPr>
      </w:pPr>
      <w:r w:rsidRPr="00273106">
        <w:rPr>
          <w:noProof/>
          <w:lang w:val="cs-CZ"/>
        </w:rPr>
        <w:t>„</w:t>
      </w:r>
      <w:r w:rsidR="009F5DD1" w:rsidRPr="00273106">
        <w:rPr>
          <w:noProof/>
          <w:lang w:val="cs-CZ"/>
        </w:rPr>
        <w:t xml:space="preserve">Pokud je dokazováno </w:t>
      </w:r>
      <w:r w:rsidR="00F30853">
        <w:rPr>
          <w:noProof/>
          <w:lang w:val="cs-CZ"/>
        </w:rPr>
        <w:t xml:space="preserve">reálné </w:t>
      </w:r>
      <w:r w:rsidR="009F5DD1" w:rsidRPr="00273106">
        <w:rPr>
          <w:noProof/>
          <w:lang w:val="cs-CZ"/>
        </w:rPr>
        <w:t>p</w:t>
      </w:r>
      <w:r w:rsidR="0039071D" w:rsidRPr="00273106">
        <w:rPr>
          <w:noProof/>
          <w:lang w:val="cs-CZ"/>
        </w:rPr>
        <w:t>ůsobení prvních substancí (</w:t>
      </w:r>
      <w:r w:rsidR="0039071D" w:rsidRPr="00273106">
        <w:rPr>
          <w:i/>
          <w:noProof/>
          <w:lang w:val="cs-CZ"/>
        </w:rPr>
        <w:t>passio</w:t>
      </w:r>
      <w:r w:rsidR="0039071D" w:rsidRPr="00273106">
        <w:rPr>
          <w:noProof/>
          <w:lang w:val="cs-CZ"/>
        </w:rPr>
        <w:t xml:space="preserve">), pak </w:t>
      </w:r>
      <w:r w:rsidR="0877663E">
        <w:rPr>
          <w:noProof/>
          <w:lang w:val="cs-CZ"/>
        </w:rPr>
        <w:t xml:space="preserve">druhá </w:t>
      </w:r>
      <w:r w:rsidR="0039071D" w:rsidRPr="00273106">
        <w:rPr>
          <w:noProof/>
          <w:lang w:val="cs-CZ"/>
        </w:rPr>
        <w:t xml:space="preserve">návěst soudu </w:t>
      </w:r>
      <w:r w:rsidR="009F5DD1" w:rsidRPr="00273106">
        <w:rPr>
          <w:noProof/>
          <w:lang w:val="cs-CZ"/>
        </w:rPr>
        <w:t>principiálně obsahuje obě formy nutnosti (</w:t>
      </w:r>
      <w:r w:rsidR="084165F8">
        <w:rPr>
          <w:i/>
          <w:noProof/>
          <w:lang w:val="cs-CZ"/>
        </w:rPr>
        <w:t>minor resolv</w:t>
      </w:r>
      <w:r w:rsidR="009F5DD1" w:rsidRPr="00273106">
        <w:rPr>
          <w:i/>
          <w:noProof/>
          <w:lang w:val="cs-CZ"/>
        </w:rPr>
        <w:t>itur proprie in duos modos per se</w:t>
      </w:r>
      <w:r w:rsidR="009F5DD1" w:rsidRPr="00273106">
        <w:rPr>
          <w:noProof/>
          <w:lang w:val="cs-CZ"/>
        </w:rPr>
        <w:t xml:space="preserve">), tedy </w:t>
      </w:r>
      <w:r w:rsidR="009C4A5B" w:rsidRPr="00273106">
        <w:rPr>
          <w:noProof/>
          <w:lang w:val="cs-CZ"/>
        </w:rPr>
        <w:t xml:space="preserve">nutnost v </w:t>
      </w:r>
      <w:r w:rsidR="009F5DD1" w:rsidRPr="00273106">
        <w:rPr>
          <w:noProof/>
          <w:lang w:val="cs-CZ"/>
        </w:rPr>
        <w:t>první</w:t>
      </w:r>
      <w:r w:rsidR="009C4A5B" w:rsidRPr="00273106">
        <w:rPr>
          <w:noProof/>
          <w:lang w:val="cs-CZ"/>
        </w:rPr>
        <w:t xml:space="preserve">m a ve </w:t>
      </w:r>
      <w:r w:rsidR="009F5DD1" w:rsidRPr="00273106">
        <w:rPr>
          <w:noProof/>
          <w:lang w:val="cs-CZ"/>
        </w:rPr>
        <w:t xml:space="preserve">druhém principu poznání, nebo </w:t>
      </w:r>
      <w:r w:rsidR="009C4A5B" w:rsidRPr="00273106">
        <w:rPr>
          <w:noProof/>
          <w:lang w:val="cs-CZ"/>
        </w:rPr>
        <w:t xml:space="preserve">nutnost </w:t>
      </w:r>
      <w:r w:rsidR="009F5DD1" w:rsidRPr="00273106">
        <w:rPr>
          <w:noProof/>
          <w:lang w:val="cs-CZ"/>
        </w:rPr>
        <w:t xml:space="preserve">ve třetím a ve čtvrtém principu poznání.“ </w:t>
      </w:r>
      <w:r w:rsidR="0039071D" w:rsidRPr="00273106">
        <w:rPr>
          <w:rStyle w:val="Znakapoznpodarou"/>
          <w:noProof/>
          <w:lang w:val="cs-CZ"/>
        </w:rPr>
        <w:footnoteReference w:id="478"/>
      </w:r>
    </w:p>
    <w:p w14:paraId="3F104DC1" w14:textId="6AF3509D" w:rsidR="00EC154F" w:rsidRPr="00273106" w:rsidRDefault="00234E45" w:rsidP="00EC154F">
      <w:r w:rsidRPr="00273106">
        <w:t>Znovu je vidět analytické pojetí středního členu soudu, kde došlo k fatální záměně nutnosti dané na úrovni kauzali</w:t>
      </w:r>
      <w:r w:rsidR="00C419BD" w:rsidRPr="00273106">
        <w:t>t</w:t>
      </w:r>
      <w:r w:rsidRPr="00273106">
        <w:t xml:space="preserve">y prvních substancí a nutnosti dané logickou inferencí. </w:t>
      </w:r>
      <w:r w:rsidR="00884BC9">
        <w:t>Logická nutnost daná supozicí</w:t>
      </w:r>
      <w:r w:rsidR="00DA1C40">
        <w:t xml:space="preserve"> z e</w:t>
      </w:r>
      <w:r w:rsidR="006A3D0A" w:rsidRPr="00273106">
        <w:t xml:space="preserve">sence </w:t>
      </w:r>
      <w:r w:rsidR="005C2C17">
        <w:t>je ve středním</w:t>
      </w:r>
      <w:r w:rsidR="006A3D0A" w:rsidRPr="00273106">
        <w:t xml:space="preserve"> členu </w:t>
      </w:r>
      <w:r w:rsidR="080647D8">
        <w:t xml:space="preserve">soudu </w:t>
      </w:r>
      <w:r w:rsidR="00C75463" w:rsidRPr="00273106">
        <w:t>je konvertibilní s</w:t>
      </w:r>
      <w:r w:rsidR="007A5E85">
        <w:t xml:space="preserve"> metafyzickou nutností danou </w:t>
      </w:r>
      <w:r w:rsidR="00DA1C40">
        <w:t>impozicí z reálné</w:t>
      </w:r>
      <w:r w:rsidR="006A3D0A" w:rsidRPr="00273106">
        <w:t xml:space="preserve"> první substance</w:t>
      </w:r>
      <w:r w:rsidR="080647D8">
        <w:t xml:space="preserve"> </w:t>
      </w:r>
      <w:r w:rsidR="080647D8" w:rsidRPr="00273106">
        <w:t>(</w:t>
      </w:r>
      <w:r w:rsidR="080647D8">
        <w:rPr>
          <w:i/>
        </w:rPr>
        <w:t>minor resolv</w:t>
      </w:r>
      <w:r w:rsidR="080647D8" w:rsidRPr="00273106">
        <w:rPr>
          <w:i/>
        </w:rPr>
        <w:t>itur proprie in duos modos per se</w:t>
      </w:r>
      <w:r w:rsidR="080647D8" w:rsidRPr="00273106">
        <w:t>)</w:t>
      </w:r>
      <w:r w:rsidR="00A70FA4">
        <w:fldChar w:fldCharType="begin"/>
      </w:r>
      <w:r w:rsidR="00A70FA4">
        <w:instrText xml:space="preserve"> XE "</w:instrText>
      </w:r>
      <w:r w:rsidR="00274E9F">
        <w:instrText xml:space="preserve">princip </w:instrText>
      </w:r>
      <w:r w:rsidR="08D91F67">
        <w:rPr>
          <w:i/>
        </w:rPr>
        <w:instrText>ex in</w:instrText>
      </w:r>
      <w:r w:rsidR="00274E9F" w:rsidRPr="00274E9F">
        <w:rPr>
          <w:i/>
        </w:rPr>
        <w:instrText>mediatis</w:instrText>
      </w:r>
      <w:r w:rsidR="00A70FA4">
        <w:instrText xml:space="preserve">" </w:instrText>
      </w:r>
      <w:r w:rsidR="00A70FA4">
        <w:fldChar w:fldCharType="end"/>
      </w:r>
      <w:r w:rsidR="00C75463" w:rsidRPr="00273106">
        <w:t xml:space="preserve">. </w:t>
      </w:r>
      <w:r w:rsidR="00190C17" w:rsidRPr="00273106">
        <w:t>V modu vzájemné zaměnitelnosti může být k</w:t>
      </w:r>
      <w:r w:rsidR="006A3D0A" w:rsidRPr="00273106">
        <w:t xml:space="preserve">auzalita </w:t>
      </w:r>
      <w:r w:rsidR="00190C17" w:rsidRPr="00273106">
        <w:t xml:space="preserve">nerozlišeně dána v modu </w:t>
      </w:r>
      <w:r w:rsidR="00190C17" w:rsidRPr="00273106">
        <w:rPr>
          <w:i/>
        </w:rPr>
        <w:t xml:space="preserve">per </w:t>
      </w:r>
      <w:r w:rsidR="08F9654A">
        <w:rPr>
          <w:i/>
        </w:rPr>
        <w:t xml:space="preserve">se </w:t>
      </w:r>
      <w:r w:rsidR="00190C17" w:rsidRPr="00273106">
        <w:t>jak z existující věci</w:t>
      </w:r>
      <w:r w:rsidR="006A3D0A" w:rsidRPr="00273106">
        <w:t xml:space="preserve">, </w:t>
      </w:r>
      <w:r w:rsidR="00190C17" w:rsidRPr="00273106">
        <w:t xml:space="preserve">tak </w:t>
      </w:r>
      <w:r w:rsidR="08F9654A">
        <w:t>z esence</w:t>
      </w:r>
      <w:r w:rsidR="006A3D0A" w:rsidRPr="00273106">
        <w:t xml:space="preserve">. </w:t>
      </w:r>
      <w:r w:rsidR="004F7DFC">
        <w:t xml:space="preserve">Oxfordští analytikové </w:t>
      </w:r>
      <w:r w:rsidR="08397D0A">
        <w:t xml:space="preserve">jako byl Rufus a Kilwardby </w:t>
      </w:r>
      <w:r w:rsidR="004F7DFC">
        <w:t>chápou n</w:t>
      </w:r>
      <w:r w:rsidR="08FF50CF" w:rsidRPr="00273106">
        <w:t>utnos</w:t>
      </w:r>
      <w:r w:rsidR="086D0ED2" w:rsidRPr="00273106">
        <w:t>t</w:t>
      </w:r>
      <w:r w:rsidR="08FF50CF" w:rsidRPr="00273106">
        <w:t xml:space="preserve"> univočně</w:t>
      </w:r>
      <w:r w:rsidR="00324B4A">
        <w:t xml:space="preserve"> p</w:t>
      </w:r>
      <w:r w:rsidR="08397D0A">
        <w:t>ro metafyziku i pro matematiku</w:t>
      </w:r>
      <w:r w:rsidR="00F351D8">
        <w:t xml:space="preserve"> a logiku. Škola </w:t>
      </w:r>
      <w:r w:rsidR="00324B4A" w:rsidRPr="00324B4A">
        <w:rPr>
          <w:i/>
        </w:rPr>
        <w:t>Oxfordian Fallacy</w:t>
      </w:r>
      <w:r w:rsidR="004B0D06">
        <w:t xml:space="preserve"> převedla</w:t>
      </w:r>
      <w:r w:rsidR="00324B4A">
        <w:t xml:space="preserve"> </w:t>
      </w:r>
      <w:r w:rsidR="0044598C" w:rsidRPr="00273106">
        <w:t xml:space="preserve">kategoriální </w:t>
      </w:r>
      <w:r w:rsidR="08FF50CF" w:rsidRPr="00273106">
        <w:t>nutnost na esenciální</w:t>
      </w:r>
      <w:r w:rsidR="0044598C" w:rsidRPr="00273106">
        <w:t xml:space="preserve"> logickou dedukci</w:t>
      </w:r>
      <w:r w:rsidR="0035282C">
        <w:fldChar w:fldCharType="begin"/>
      </w:r>
      <w:r w:rsidR="0035282C">
        <w:instrText xml:space="preserve"> XE "</w:instrText>
      </w:r>
      <w:r w:rsidR="0035282C" w:rsidRPr="00F30507">
        <w:instrText>nutnost:Kilwardby</w:instrText>
      </w:r>
      <w:r w:rsidR="0035282C">
        <w:instrText xml:space="preserve">" </w:instrText>
      </w:r>
      <w:r w:rsidR="0035282C">
        <w:fldChar w:fldCharType="end"/>
      </w:r>
      <w:r w:rsidR="08FF50CF" w:rsidRPr="00273106">
        <w:t xml:space="preserve">. </w:t>
      </w:r>
      <w:r w:rsidR="006C4A11">
        <w:t>Existuje pouze f</w:t>
      </w:r>
      <w:r w:rsidR="08D3313F">
        <w:t>ormální rozdíl mezi Kildwardbym a Rufusem</w:t>
      </w:r>
      <w:r w:rsidR="006C4A11">
        <w:t xml:space="preserve">. Kildwardby </w:t>
      </w:r>
      <w:r w:rsidR="08D3313F">
        <w:t xml:space="preserve">ví, že </w:t>
      </w:r>
      <w:r w:rsidR="002A22D9">
        <w:t xml:space="preserve">dvojitou hyparchickou nutnost </w:t>
      </w:r>
      <w:r w:rsidR="08D3313F">
        <w:t xml:space="preserve">nejde </w:t>
      </w:r>
      <w:r w:rsidR="002A22D9">
        <w:t xml:space="preserve">zredukovat na </w:t>
      </w:r>
      <w:r w:rsidR="08D3313F">
        <w:t>logicko-matematickou predikaci univerzality a nutnosti</w:t>
      </w:r>
      <w:r w:rsidR="0857386C">
        <w:t xml:space="preserve">. Citát má </w:t>
      </w:r>
      <w:r w:rsidR="00DF6255">
        <w:t>ber</w:t>
      </w:r>
      <w:r w:rsidR="0002579D">
        <w:t>e logickou uni</w:t>
      </w:r>
      <w:r w:rsidR="00DD6130">
        <w:t>verzalitu v metafyzickém smyslu. Je pouze jedna nutnost daná</w:t>
      </w:r>
      <w:r w:rsidR="08D3313F">
        <w:t xml:space="preserve"> </w:t>
      </w:r>
      <w:r w:rsidR="005C34E4">
        <w:t xml:space="preserve">hyparchicky </w:t>
      </w:r>
      <w:r w:rsidR="08D3313F" w:rsidRPr="085737E8">
        <w:rPr>
          <w:i/>
        </w:rPr>
        <w:t xml:space="preserve">per </w:t>
      </w:r>
      <w:r w:rsidR="08D3313F" w:rsidRPr="085A7F75">
        <w:t>se</w:t>
      </w:r>
      <w:r w:rsidR="08D3313F">
        <w:t xml:space="preserve"> </w:t>
      </w:r>
      <w:r w:rsidR="08D3313F" w:rsidRPr="00273106">
        <w:t>(ἐνυπάρχει ἐν τῷ τί ἐστι</w:t>
      </w:r>
      <w:r w:rsidR="08D3313F">
        <w:t xml:space="preserve">, </w:t>
      </w:r>
      <w:r w:rsidR="08D3313F" w:rsidRPr="08D3313F">
        <w:rPr>
          <w:i/>
        </w:rPr>
        <w:t>Anal. Post.</w:t>
      </w:r>
      <w:r w:rsidR="08D3313F">
        <w:t xml:space="preserve"> 84a13</w:t>
      </w:r>
      <w:r w:rsidR="08D3313F">
        <w:fldChar w:fldCharType="begin"/>
      </w:r>
      <w:r w:rsidR="08D3313F">
        <w:instrText xml:space="preserve"> XE "Aristoteles:</w:instrText>
      </w:r>
      <w:r w:rsidR="08D3313F" w:rsidRPr="08FB7F27">
        <w:rPr>
          <w:i/>
        </w:rPr>
        <w:instrText>Anal. Post.</w:instrText>
      </w:r>
      <w:r w:rsidR="08D3313F" w:rsidRPr="08FB7F27">
        <w:instrText xml:space="preserve"> 84a13</w:instrText>
      </w:r>
      <w:r w:rsidR="08D3313F">
        <w:instrText xml:space="preserve">" </w:instrText>
      </w:r>
      <w:r w:rsidR="08D3313F">
        <w:fldChar w:fldCharType="end"/>
      </w:r>
      <w:r w:rsidR="08D3313F">
        <w:t xml:space="preserve">). </w:t>
      </w:r>
      <w:r w:rsidR="084E14D0">
        <w:t xml:space="preserve">Kildwardbyho esenciální predikace </w:t>
      </w:r>
      <w:r w:rsidR="084E14D0" w:rsidRPr="084E14D0">
        <w:rPr>
          <w:i/>
        </w:rPr>
        <w:t>Analytik</w:t>
      </w:r>
      <w:r w:rsidR="084E14D0">
        <w:t xml:space="preserve"> zakládá metafyzický </w:t>
      </w:r>
      <w:r w:rsidR="084E14D0" w:rsidRPr="00273106">
        <w:t>univerzální charakter predikace o jsoucnu jako jsoucím</w:t>
      </w:r>
      <w:r w:rsidR="084E14D0">
        <w:t xml:space="preserve">. Tím se </w:t>
      </w:r>
      <w:r w:rsidR="002255AA">
        <w:t xml:space="preserve">jeho definice </w:t>
      </w:r>
      <w:r w:rsidR="084E14D0">
        <w:t>liší od Rufusovy čistě logické predikace v modu univerzálně pojaké predikaci geometrie (</w:t>
      </w:r>
      <w:r w:rsidR="084E14D0" w:rsidRPr="08A41502">
        <w:t>κατὰ παντός τε ὑπάρχῃ</w:t>
      </w:r>
      <w:r w:rsidR="084E14D0">
        <w:t xml:space="preserve">, </w:t>
      </w:r>
      <w:r w:rsidR="084E14D0">
        <w:rPr>
          <w:i/>
        </w:rPr>
        <w:t>Anal. P</w:t>
      </w:r>
      <w:r w:rsidR="084E14D0" w:rsidRPr="08292C65">
        <w:rPr>
          <w:i/>
        </w:rPr>
        <w:t>ost</w:t>
      </w:r>
      <w:r w:rsidR="084E14D0">
        <w:t>. 73</w:t>
      </w:r>
      <w:r w:rsidR="084E14D0" w:rsidRPr="083955D8">
        <w:t>b26‒27</w:t>
      </w:r>
      <w:r w:rsidR="084E14D0">
        <w:fldChar w:fldCharType="begin"/>
      </w:r>
      <w:r w:rsidR="084E14D0">
        <w:instrText xml:space="preserve"> XE "Aristoteles:</w:instrText>
      </w:r>
      <w:r w:rsidR="084E14D0" w:rsidRPr="00032AA2">
        <w:rPr>
          <w:i/>
        </w:rPr>
        <w:instrText>Anal. Post</w:instrText>
      </w:r>
      <w:r w:rsidR="084E14D0">
        <w:instrText xml:space="preserve">. 73b26‒27" </w:instrText>
      </w:r>
      <w:r w:rsidR="084E14D0">
        <w:fldChar w:fldCharType="end"/>
      </w:r>
      <w:r w:rsidR="084E14D0">
        <w:t>)</w:t>
      </w:r>
      <w:r w:rsidR="084E14D0" w:rsidRPr="00273106">
        <w:t>.</w:t>
      </w:r>
      <w:r w:rsidR="084E14D0">
        <w:t xml:space="preserve"> Ale tento rozdíl </w:t>
      </w:r>
      <w:r w:rsidR="088C62D0">
        <w:t xml:space="preserve">je jen kosmetický, protože vinou </w:t>
      </w:r>
      <w:r w:rsidR="08B676AA">
        <w:t xml:space="preserve">oxfrodského </w:t>
      </w:r>
      <w:r w:rsidR="088C62D0">
        <w:t xml:space="preserve">sofismatu </w:t>
      </w:r>
      <w:r w:rsidR="004B0D06">
        <w:t>vznikla</w:t>
      </w:r>
      <w:r w:rsidR="086D0ED2" w:rsidRPr="00273106">
        <w:t xml:space="preserve"> zaměnitelnost dv</w:t>
      </w:r>
      <w:r w:rsidR="004B0D06">
        <w:t xml:space="preserve">ou typů nutnosti nutnosti dané </w:t>
      </w:r>
      <w:r w:rsidR="086D0ED2" w:rsidRPr="00273106">
        <w:rPr>
          <w:i/>
        </w:rPr>
        <w:t>per se</w:t>
      </w:r>
      <w:r w:rsidR="088C62D0">
        <w:t>. Oba mody predikace jsou</w:t>
      </w:r>
      <w:r w:rsidR="004B0D06">
        <w:t xml:space="preserve"> v rámci analytického </w:t>
      </w:r>
      <w:r w:rsidR="086D0ED2" w:rsidRPr="00273106">
        <w:rPr>
          <w:i/>
        </w:rPr>
        <w:t>resolutio</w:t>
      </w:r>
      <w:r w:rsidR="007D3515" w:rsidRPr="00A45AB0">
        <w:fldChar w:fldCharType="begin"/>
      </w:r>
      <w:r w:rsidR="007D3515" w:rsidRPr="00A45AB0">
        <w:instrText xml:space="preserve"> XE "</w:instrText>
      </w:r>
      <w:r w:rsidR="007D3515" w:rsidRPr="00274E9F">
        <w:rPr>
          <w:i/>
        </w:rPr>
        <w:instrText>resolutio</w:instrText>
      </w:r>
      <w:r w:rsidR="007D3515">
        <w:rPr>
          <w:i/>
        </w:rPr>
        <w:instrText>:</w:instrText>
      </w:r>
      <w:r w:rsidR="007D3515">
        <w:instrText>Kilwardby</w:instrText>
      </w:r>
      <w:r w:rsidR="007D3515" w:rsidRPr="00A45AB0">
        <w:instrText xml:space="preserve">" </w:instrText>
      </w:r>
      <w:r w:rsidR="007D3515" w:rsidRPr="00A45AB0">
        <w:fldChar w:fldCharType="end"/>
      </w:r>
      <w:r w:rsidR="086D0ED2" w:rsidRPr="00273106">
        <w:t xml:space="preserve"> vzájemně konvertibilní </w:t>
      </w:r>
      <w:r w:rsidR="003F2017">
        <w:t>v modu esenciální predikace</w:t>
      </w:r>
      <w:r w:rsidR="086D0ED2" w:rsidRPr="00273106">
        <w:t xml:space="preserve">. </w:t>
      </w:r>
      <w:r w:rsidR="084C433F" w:rsidRPr="00273106">
        <w:t>P</w:t>
      </w:r>
      <w:r w:rsidR="086D0ED2" w:rsidRPr="00273106">
        <w:t xml:space="preserve">oslední úroveň poznání kategoriální nutnosti </w:t>
      </w:r>
      <w:r w:rsidR="084C433F" w:rsidRPr="00273106">
        <w:t xml:space="preserve">je dána </w:t>
      </w:r>
      <w:r w:rsidR="086D0ED2" w:rsidRPr="00273106">
        <w:t>v rámci druhé trojice axiomů poznání (</w:t>
      </w:r>
      <w:r w:rsidR="086D0ED2" w:rsidRPr="00273106">
        <w:rPr>
          <w:i/>
        </w:rPr>
        <w:t>tertium et quartum</w:t>
      </w:r>
      <w:r w:rsidR="086D0ED2" w:rsidRPr="00273106">
        <w:t xml:space="preserve">), která je převoditelná na </w:t>
      </w:r>
      <w:r w:rsidR="007A415B" w:rsidRPr="00273106">
        <w:t xml:space="preserve">hyparchickou </w:t>
      </w:r>
      <w:r w:rsidR="086D0ED2" w:rsidRPr="00273106">
        <w:t>nutnost, kterou definuje první triáda axiomů (</w:t>
      </w:r>
      <w:r w:rsidR="086D0ED2" w:rsidRPr="00273106">
        <w:rPr>
          <w:i/>
        </w:rPr>
        <w:t>secundum et primum</w:t>
      </w:r>
      <w:r w:rsidR="086D0ED2" w:rsidRPr="00273106">
        <w:t xml:space="preserve">). </w:t>
      </w:r>
      <w:r w:rsidR="08623CD2" w:rsidRPr="00273106">
        <w:t xml:space="preserve">Stejné pojetí má i Rufusův výklad </w:t>
      </w:r>
      <w:r w:rsidR="08623CD2" w:rsidRPr="00890B01">
        <w:rPr>
          <w:i/>
        </w:rPr>
        <w:t>Druhých analytik</w:t>
      </w:r>
      <w:r w:rsidR="0865566E">
        <w:t xml:space="preserve"> (kap. 3</w:t>
      </w:r>
      <w:r w:rsidR="08623CD2" w:rsidRPr="00273106">
        <w:t xml:space="preserve">.3.1). Univerzální esence je v případě definice trojúhelníka totožná s hyparchickou esencí trojúhelníka. Rufus z toho vyvozuje mylný závěr, že je možné </w:t>
      </w:r>
      <w:r w:rsidR="00455BBA" w:rsidRPr="00273106">
        <w:t xml:space="preserve">univerzální matematickou esenci </w:t>
      </w:r>
      <w:r w:rsidR="00F33A49">
        <w:t>predik</w:t>
      </w:r>
      <w:r w:rsidR="00455BBA">
        <w:t>o</w:t>
      </w:r>
      <w:r w:rsidR="00F33A49">
        <w:t>v</w:t>
      </w:r>
      <w:r w:rsidR="00455BBA">
        <w:t xml:space="preserve">at také </w:t>
      </w:r>
      <w:r w:rsidR="003439BC" w:rsidRPr="00273106">
        <w:t xml:space="preserve">v rámci </w:t>
      </w:r>
      <w:r w:rsidR="00944453" w:rsidRPr="00273106">
        <w:t xml:space="preserve">fyzikální </w:t>
      </w:r>
      <w:r w:rsidR="00455BBA">
        <w:t>kauzality</w:t>
      </w:r>
      <w:r w:rsidR="08623CD2" w:rsidRPr="00273106">
        <w:t xml:space="preserve">. </w:t>
      </w:r>
      <w:r w:rsidR="00890B01" w:rsidRPr="00273106">
        <w:t xml:space="preserve">Zdvojení kauzality kopíruje </w:t>
      </w:r>
      <w:r w:rsidR="00890B01">
        <w:t>Porfyri</w:t>
      </w:r>
      <w:r w:rsidR="00890B01" w:rsidRPr="00273106">
        <w:t xml:space="preserve">ovo </w:t>
      </w:r>
      <w:r w:rsidR="00890B01">
        <w:t xml:space="preserve">neoplatonské </w:t>
      </w:r>
      <w:r w:rsidR="00890B01" w:rsidRPr="00273106">
        <w:t>zdvojení bytí (</w:t>
      </w:r>
      <w:r w:rsidR="0865566E">
        <w:t xml:space="preserve">OBJ I, </w:t>
      </w:r>
      <w:r w:rsidR="084E7952">
        <w:t>kap. 1.3</w:t>
      </w:r>
      <w:r w:rsidR="00890B01" w:rsidRPr="00273106">
        <w:t xml:space="preserve">.1). Kauzalita v rámci </w:t>
      </w:r>
      <w:r w:rsidR="00890B01" w:rsidRPr="00273106">
        <w:rPr>
          <w:i/>
        </w:rPr>
        <w:t>Oxfordian Fallacy</w:t>
      </w:r>
      <w:r w:rsidR="00890B01" w:rsidRPr="00273106">
        <w:t xml:space="preserve"> je determinovaná v modu </w:t>
      </w:r>
      <w:r w:rsidR="00890B01" w:rsidRPr="00273106">
        <w:rPr>
          <w:i/>
        </w:rPr>
        <w:t>per prius</w:t>
      </w:r>
      <w:r w:rsidR="00890B01" w:rsidRPr="00273106">
        <w:t xml:space="preserve"> od esence a dodatečně je nalezena v akcidentálně daném modu </w:t>
      </w:r>
      <w:r w:rsidR="00890B01" w:rsidRPr="00273106">
        <w:rPr>
          <w:i/>
        </w:rPr>
        <w:t>per posterius</w:t>
      </w:r>
      <w:r w:rsidR="00890B01">
        <w:rPr>
          <w:i/>
        </w:rPr>
        <w:fldChar w:fldCharType="begin"/>
      </w:r>
      <w:r w:rsidR="00890B01">
        <w:instrText xml:space="preserve"> XE "predikace:</w:instrText>
      </w:r>
      <w:r w:rsidR="00890B01" w:rsidRPr="00723E51">
        <w:rPr>
          <w:i/>
        </w:rPr>
        <w:instrText>per p</w:instrText>
      </w:r>
      <w:r w:rsidR="00890B01">
        <w:rPr>
          <w:i/>
        </w:rPr>
        <w:instrText>oste</w:instrText>
      </w:r>
      <w:r w:rsidR="00890B01" w:rsidRPr="00723E51">
        <w:rPr>
          <w:i/>
        </w:rPr>
        <w:instrText>rius</w:instrText>
      </w:r>
      <w:r w:rsidR="00890B01">
        <w:instrText xml:space="preserve">" </w:instrText>
      </w:r>
      <w:r w:rsidR="00890B01">
        <w:rPr>
          <w:i/>
        </w:rPr>
        <w:fldChar w:fldCharType="end"/>
      </w:r>
      <w:r w:rsidR="00890B01" w:rsidRPr="00273106">
        <w:t xml:space="preserve"> na reálné substanci.</w:t>
      </w:r>
      <w:r w:rsidR="08397D0A">
        <w:t xml:space="preserve"> </w:t>
      </w:r>
      <w:r w:rsidR="00D007FF">
        <w:t>Záměna první triády principů za druhou vytvořila nové pojetí metafyziky</w:t>
      </w:r>
      <w:r w:rsidR="005E0A54">
        <w:t xml:space="preserve"> podle Avicenny</w:t>
      </w:r>
      <w:r w:rsidR="08A9270D">
        <w:t xml:space="preserve"> v modu bezprostřední parousie</w:t>
      </w:r>
      <w:r w:rsidR="08137E6F">
        <w:fldChar w:fldCharType="begin"/>
      </w:r>
      <w:r w:rsidR="08137E6F">
        <w:instrText xml:space="preserve"> XE "</w:instrText>
      </w:r>
      <w:r w:rsidR="08137E6F" w:rsidRPr="086C6058">
        <w:instrText>parousie</w:instrText>
      </w:r>
      <w:r w:rsidR="08137E6F">
        <w:instrText xml:space="preserve">" </w:instrText>
      </w:r>
      <w:r w:rsidR="08137E6F">
        <w:fldChar w:fldCharType="end"/>
      </w:r>
      <w:r w:rsidR="08A9270D">
        <w:t xml:space="preserve"> objektivity. </w:t>
      </w:r>
      <w:r w:rsidR="00EC154F">
        <w:t>Kilwardbyho k</w:t>
      </w:r>
      <w:r w:rsidR="00EC154F" w:rsidRPr="00273106">
        <w:t xml:space="preserve">omentář určuje bytí jsoucna pro kategoriální predikaci v modu </w:t>
      </w:r>
      <w:r w:rsidR="00EC154F" w:rsidRPr="00273106">
        <w:rPr>
          <w:i/>
        </w:rPr>
        <w:t>per se</w:t>
      </w:r>
      <w:r w:rsidR="00EC154F" w:rsidRPr="00273106">
        <w:t xml:space="preserve"> vzhledem k esenci (</w:t>
      </w:r>
      <w:r w:rsidR="00EC154F" w:rsidRPr="00273106">
        <w:rPr>
          <w:i/>
        </w:rPr>
        <w:t>quod est</w:t>
      </w:r>
      <w:r w:rsidR="00EC154F" w:rsidRPr="00273106">
        <w:t>)</w:t>
      </w:r>
      <w:r w:rsidR="00EC154F">
        <w:t xml:space="preserve"> </w:t>
      </w:r>
      <w:r w:rsidR="00EC154F" w:rsidRPr="00273106">
        <w:t xml:space="preserve">a </w:t>
      </w:r>
      <w:r w:rsidR="00EC154F">
        <w:t>z</w:t>
      </w:r>
      <w:r w:rsidR="00EC154F" w:rsidRPr="00273106">
        <w:t>rušil primát hyparchické nutnosti dané jako akt reálného bytí (</w:t>
      </w:r>
      <w:r w:rsidR="00EC154F" w:rsidRPr="00273106">
        <w:rPr>
          <w:i/>
        </w:rPr>
        <w:t>quo est</w:t>
      </w:r>
      <w:r w:rsidR="00EC154F">
        <w:rPr>
          <w:i/>
        </w:rPr>
        <w:fldChar w:fldCharType="begin"/>
      </w:r>
      <w:r w:rsidR="00EC154F">
        <w:instrText xml:space="preserve"> XE "</w:instrText>
      </w:r>
      <w:r w:rsidR="00EC154F" w:rsidRPr="003C4F2E">
        <w:rPr>
          <w:i/>
        </w:rPr>
        <w:instrText>quo est</w:instrText>
      </w:r>
      <w:r w:rsidR="00EC154F">
        <w:instrText xml:space="preserve">" </w:instrText>
      </w:r>
      <w:r w:rsidR="00EC154F">
        <w:rPr>
          <w:i/>
        </w:rPr>
        <w:fldChar w:fldCharType="end"/>
      </w:r>
      <w:r w:rsidR="00EC154F" w:rsidRPr="00273106">
        <w:t>).</w:t>
      </w:r>
    </w:p>
    <w:p w14:paraId="6F83B8B1" w14:textId="536D85C5" w:rsidR="00EC154F" w:rsidRPr="00273106" w:rsidRDefault="00EC154F" w:rsidP="00EC154F">
      <w:pPr>
        <w:pStyle w:val="Citace"/>
        <w:rPr>
          <w:noProof/>
          <w:lang w:val="cs-CZ"/>
        </w:rPr>
      </w:pPr>
      <w:r w:rsidRPr="00273106">
        <w:rPr>
          <w:noProof/>
          <w:lang w:val="cs-CZ"/>
        </w:rPr>
        <w:t>„</w:t>
      </w:r>
      <w:r>
        <w:rPr>
          <w:lang w:val="cs-CZ"/>
        </w:rPr>
        <w:t xml:space="preserve">Počet druhů nutnosti je dán takto: v určení přirozenosti věci jsou jen tyto tři druhy, </w:t>
      </w:r>
      <w:r w:rsidRPr="00273106">
        <w:rPr>
          <w:noProof/>
          <w:lang w:val="cs-CZ"/>
        </w:rPr>
        <w:t>totiž esence (</w:t>
      </w:r>
      <w:r w:rsidRPr="00273106">
        <w:rPr>
          <w:i/>
          <w:noProof/>
          <w:lang w:val="cs-CZ"/>
        </w:rPr>
        <w:t>quod est</w:t>
      </w:r>
      <w:r w:rsidRPr="00273106">
        <w:rPr>
          <w:noProof/>
          <w:lang w:val="cs-CZ"/>
        </w:rPr>
        <w:t xml:space="preserve">), </w:t>
      </w:r>
      <w:r w:rsidR="00D6521F">
        <w:rPr>
          <w:noProof/>
          <w:lang w:val="cs-CZ"/>
        </w:rPr>
        <w:t xml:space="preserve">objektivní </w:t>
      </w:r>
      <w:r w:rsidRPr="00273106">
        <w:rPr>
          <w:noProof/>
          <w:lang w:val="cs-CZ"/>
        </w:rPr>
        <w:t>existence (</w:t>
      </w:r>
      <w:r w:rsidRPr="00273106">
        <w:rPr>
          <w:i/>
          <w:noProof/>
          <w:lang w:val="cs-CZ"/>
        </w:rPr>
        <w:t>quod inest</w:t>
      </w:r>
      <w:r w:rsidRPr="00273106">
        <w:rPr>
          <w:noProof/>
          <w:lang w:val="cs-CZ"/>
        </w:rPr>
        <w:t xml:space="preserve">) a příčina této </w:t>
      </w:r>
      <w:r w:rsidR="00D6521F">
        <w:rPr>
          <w:noProof/>
          <w:lang w:val="cs-CZ"/>
        </w:rPr>
        <w:t xml:space="preserve">objektivní </w:t>
      </w:r>
      <w:r w:rsidRPr="00273106">
        <w:rPr>
          <w:noProof/>
          <w:lang w:val="cs-CZ"/>
        </w:rPr>
        <w:t>existence (</w:t>
      </w:r>
      <w:r w:rsidRPr="00273106">
        <w:rPr>
          <w:i/>
          <w:noProof/>
          <w:lang w:val="cs-CZ"/>
        </w:rPr>
        <w:t>causa propter quam inest</w:t>
      </w:r>
      <w:r w:rsidRPr="00273106">
        <w:rPr>
          <w:noProof/>
          <w:lang w:val="cs-CZ"/>
        </w:rPr>
        <w:t xml:space="preserve">).“ </w:t>
      </w:r>
      <w:r w:rsidRPr="00273106">
        <w:rPr>
          <w:rStyle w:val="Znakapoznpodarou"/>
          <w:noProof/>
          <w:lang w:val="cs-CZ"/>
        </w:rPr>
        <w:footnoteReference w:id="479"/>
      </w:r>
    </w:p>
    <w:p w14:paraId="1CC6E5DD" w14:textId="54C6202B" w:rsidR="001E68AB" w:rsidRDefault="00D6521F" w:rsidP="08F12BEE">
      <w:r w:rsidRPr="00D6521F">
        <w:t xml:space="preserve">Klíčový je nový koncept </w:t>
      </w:r>
      <w:r w:rsidRPr="00EE2EA2">
        <w:rPr>
          <w:i/>
        </w:rPr>
        <w:t>inesse</w:t>
      </w:r>
      <w:r w:rsidR="00A14DB5" w:rsidRPr="00A14DB5">
        <w:fldChar w:fldCharType="begin"/>
      </w:r>
      <w:r w:rsidR="00A14DB5" w:rsidRPr="00A14DB5">
        <w:instrText xml:space="preserve"> XE "esence:</w:instrText>
      </w:r>
      <w:r w:rsidR="00A14DB5" w:rsidRPr="00A14DB5">
        <w:rPr>
          <w:i/>
        </w:rPr>
        <w:instrText>inesse</w:instrText>
      </w:r>
      <w:r w:rsidR="00A14DB5" w:rsidRPr="00A14DB5">
        <w:instrText xml:space="preserve">" </w:instrText>
      </w:r>
      <w:r w:rsidR="00A14DB5" w:rsidRPr="00A14DB5">
        <w:fldChar w:fldCharType="end"/>
      </w:r>
      <w:r w:rsidRPr="00D6521F">
        <w:t xml:space="preserve">, který </w:t>
      </w:r>
      <w:r>
        <w:t>je koncipován v režimu „exsistence“</w:t>
      </w:r>
      <w:r w:rsidRPr="00D6521F">
        <w:t xml:space="preserve"> </w:t>
      </w:r>
      <w:r>
        <w:t>podle Rufuse</w:t>
      </w:r>
      <w:r w:rsidRPr="00D6521F">
        <w:t xml:space="preserve"> (kap. 3.3.2). Objektivní existence (</w:t>
      </w:r>
      <w:r w:rsidRPr="00D6521F">
        <w:rPr>
          <w:i/>
        </w:rPr>
        <w:t>quod interest</w:t>
      </w:r>
      <w:r w:rsidRPr="00D6521F">
        <w:t xml:space="preserve">) se zásadně liší od klasického aktu bytí jako </w:t>
      </w:r>
      <w:r w:rsidRPr="00D6521F">
        <w:rPr>
          <w:i/>
        </w:rPr>
        <w:t>actus essendi</w:t>
      </w:r>
      <w:r w:rsidR="0010042D">
        <w:rPr>
          <w:i/>
        </w:rPr>
        <w:fldChar w:fldCharType="begin"/>
      </w:r>
      <w:r w:rsidR="0010042D">
        <w:instrText xml:space="preserve"> XE "</w:instrText>
      </w:r>
      <w:r w:rsidR="0010042D" w:rsidRPr="006478F7">
        <w:rPr>
          <w:i/>
        </w:rPr>
        <w:instrText>actus essendi</w:instrText>
      </w:r>
      <w:r w:rsidR="0010042D">
        <w:instrText xml:space="preserve">" </w:instrText>
      </w:r>
      <w:r w:rsidR="0010042D">
        <w:rPr>
          <w:i/>
        </w:rPr>
        <w:fldChar w:fldCharType="end"/>
      </w:r>
      <w:r w:rsidRPr="00D6521F">
        <w:t xml:space="preserve"> (</w:t>
      </w:r>
      <w:r w:rsidRPr="00D6521F">
        <w:rPr>
          <w:i/>
        </w:rPr>
        <w:t>quo est</w:t>
      </w:r>
      <w:r w:rsidRPr="00D6521F">
        <w:t>). Neexistuje metafyzika ve smyslu Averroes</w:t>
      </w:r>
      <w:r>
        <w:t>e</w:t>
      </w:r>
      <w:r w:rsidRPr="00D6521F">
        <w:t xml:space="preserve">, která </w:t>
      </w:r>
      <w:r>
        <w:t>by zkoumala jednotu bytí jako „</w:t>
      </w:r>
      <w:r w:rsidRPr="00D6521F">
        <w:t xml:space="preserve">substance </w:t>
      </w:r>
      <w:r w:rsidRPr="00D6521F">
        <w:rPr>
          <w:i/>
        </w:rPr>
        <w:t>qua</w:t>
      </w:r>
      <w:r>
        <w:t xml:space="preserve"> substance</w:t>
      </w:r>
      <w:r w:rsidR="0010042D">
        <w:fldChar w:fldCharType="begin"/>
      </w:r>
      <w:r w:rsidR="0010042D">
        <w:instrText xml:space="preserve"> XE "</w:instrText>
      </w:r>
      <w:r w:rsidR="0010042D" w:rsidRPr="00BA2F60">
        <w:instrText xml:space="preserve">substance </w:instrText>
      </w:r>
      <w:r w:rsidR="0010042D" w:rsidRPr="00BA2F60">
        <w:rPr>
          <w:i/>
        </w:rPr>
        <w:instrText>qua</w:instrText>
      </w:r>
      <w:r w:rsidR="0010042D" w:rsidRPr="00BA2F60">
        <w:instrText xml:space="preserve"> substance</w:instrText>
      </w:r>
      <w:r w:rsidR="0010042D">
        <w:instrText xml:space="preserve">" </w:instrText>
      </w:r>
      <w:r w:rsidR="0010042D">
        <w:fldChar w:fldCharType="end"/>
      </w:r>
      <w:r>
        <w:t>“.</w:t>
      </w:r>
      <w:r w:rsidR="0010042D">
        <w:t xml:space="preserve"> </w:t>
      </w:r>
      <w:r w:rsidR="00EC154F" w:rsidRPr="00A14DB5">
        <w:t>Komentář</w:t>
      </w:r>
      <w:r w:rsidR="00EC154F" w:rsidRPr="00273106">
        <w:t xml:space="preserve"> determinuje existenci reálné věci skrze formálně de</w:t>
      </w:r>
      <w:r w:rsidR="08D41E95">
        <w:t>finovanou esenci</w:t>
      </w:r>
      <w:r w:rsidR="009406C6">
        <w:t xml:space="preserve">. Akt porretánského </w:t>
      </w:r>
      <w:r w:rsidR="00EC154F" w:rsidRPr="00273106">
        <w:rPr>
          <w:i/>
        </w:rPr>
        <w:t>exsistere</w:t>
      </w:r>
      <w:r w:rsidR="00EC154F">
        <w:rPr>
          <w:i/>
        </w:rPr>
        <w:fldChar w:fldCharType="begin"/>
      </w:r>
      <w:r w:rsidR="00EC154F">
        <w:instrText xml:space="preserve"> XE "</w:instrText>
      </w:r>
      <w:r w:rsidR="00EC154F" w:rsidRPr="008E07A9">
        <w:rPr>
          <w:i/>
        </w:rPr>
        <w:instrText>exsistere</w:instrText>
      </w:r>
      <w:r w:rsidR="00EC154F">
        <w:instrText xml:space="preserve">" </w:instrText>
      </w:r>
      <w:r w:rsidR="00EC154F">
        <w:rPr>
          <w:i/>
        </w:rPr>
        <w:fldChar w:fldCharType="end"/>
      </w:r>
      <w:r w:rsidR="009406C6">
        <w:t xml:space="preserve"> převede věčnou esenci</w:t>
      </w:r>
      <w:r w:rsidR="009406C6" w:rsidRPr="00273106">
        <w:t xml:space="preserve"> </w:t>
      </w:r>
      <w:r w:rsidR="009406C6">
        <w:t xml:space="preserve">do </w:t>
      </w:r>
      <w:r w:rsidR="00EC154F" w:rsidRPr="00273106">
        <w:t>kontingentní aktualizac</w:t>
      </w:r>
      <w:r w:rsidR="009406C6">
        <w:t xml:space="preserve">e </w:t>
      </w:r>
      <w:r w:rsidR="00EC154F" w:rsidRPr="00273106">
        <w:t>v reálu</w:t>
      </w:r>
      <w:r w:rsidR="009406C6">
        <w:t xml:space="preserve"> v </w:t>
      </w:r>
      <w:r w:rsidR="00EC154F">
        <w:t xml:space="preserve">nominalistickém modu </w:t>
      </w:r>
      <w:r w:rsidR="00EC154F" w:rsidRPr="00252562">
        <w:rPr>
          <w:i/>
        </w:rPr>
        <w:t>semel</w:t>
      </w:r>
      <w:r w:rsidR="00EC154F">
        <w:t>‒</w:t>
      </w:r>
      <w:r w:rsidR="00EC154F" w:rsidRPr="00252562">
        <w:rPr>
          <w:i/>
        </w:rPr>
        <w:t>semper</w:t>
      </w:r>
      <w:r w:rsidR="00EC154F">
        <w:fldChar w:fldCharType="begin"/>
      </w:r>
      <w:r w:rsidR="00EC154F">
        <w:instrText xml:space="preserve"> XE "predikace:</w:instrText>
      </w:r>
      <w:r w:rsidR="00EC154F">
        <w:rPr>
          <w:i/>
        </w:rPr>
        <w:instrText>semel‒semper</w:instrText>
      </w:r>
      <w:r w:rsidR="00EC154F">
        <w:instrText xml:space="preserve">" </w:instrText>
      </w:r>
      <w:r w:rsidR="00EC154F">
        <w:fldChar w:fldCharType="end"/>
      </w:r>
      <w:r w:rsidR="00EC154F">
        <w:t xml:space="preserve">. </w:t>
      </w:r>
      <w:r w:rsidR="005E0A54">
        <w:t xml:space="preserve">Citát chápe kauzalitu univočně v realitě i v logickém soudu, což Bacon odmítl jako kardinální filosofický omyl </w:t>
      </w:r>
      <w:r w:rsidR="086351A2">
        <w:t xml:space="preserve">moderny </w:t>
      </w:r>
      <w:r w:rsidR="005E0A54">
        <w:t>(</w:t>
      </w:r>
      <w:r w:rsidR="0857696F">
        <w:t>kap. 3</w:t>
      </w:r>
      <w:r w:rsidR="005E0A54" w:rsidRPr="006F012F">
        <w:t>.2</w:t>
      </w:r>
      <w:r w:rsidR="005E0A54">
        <w:t xml:space="preserve">). </w:t>
      </w:r>
      <w:r w:rsidR="00EC154F" w:rsidRPr="00273106">
        <w:t xml:space="preserve">První dominikánský modernista </w:t>
      </w:r>
      <w:r w:rsidR="00EC154F">
        <w:t xml:space="preserve">stejně jako františkánský Rufus zrušil </w:t>
      </w:r>
      <w:r w:rsidR="00EC154F" w:rsidRPr="00273106">
        <w:t xml:space="preserve">první tři předpoklady kompletního vědeckého </w:t>
      </w:r>
      <w:r w:rsidR="00EC154F" w:rsidRPr="00273106">
        <w:rPr>
          <w:i/>
        </w:rPr>
        <w:t>demonstratio</w:t>
      </w:r>
      <w:r w:rsidR="00EC154F">
        <w:rPr>
          <w:i/>
        </w:rPr>
        <w:fldChar w:fldCharType="begin"/>
      </w:r>
      <w:r w:rsidR="00EC154F">
        <w:instrText xml:space="preserve"> XE "</w:instrText>
      </w:r>
      <w:r w:rsidR="00EC154F" w:rsidRPr="004E6075">
        <w:rPr>
          <w:i/>
        </w:rPr>
        <w:instrText>demonstratio:</w:instrText>
      </w:r>
      <w:r w:rsidR="00EC154F">
        <w:instrText xml:space="preserve">Kilwardby" </w:instrText>
      </w:r>
      <w:r w:rsidR="00EC154F">
        <w:rPr>
          <w:i/>
        </w:rPr>
        <w:fldChar w:fldCharType="end"/>
      </w:r>
      <w:r w:rsidR="00EC154F" w:rsidRPr="00273106">
        <w:t>, které se týkaly bytí první substance (</w:t>
      </w:r>
      <w:r w:rsidR="08D91F67">
        <w:rPr>
          <w:i/>
        </w:rPr>
        <w:t>ex veris, et primis et in</w:t>
      </w:r>
      <w:r w:rsidR="00EC154F" w:rsidRPr="00273106">
        <w:rPr>
          <w:i/>
        </w:rPr>
        <w:t>mediatis</w:t>
      </w:r>
      <w:r w:rsidR="00EC154F">
        <w:fldChar w:fldCharType="begin"/>
      </w:r>
      <w:r w:rsidR="00EC154F">
        <w:instrText xml:space="preserve"> XE "princip </w:instrText>
      </w:r>
      <w:r w:rsidR="08D91F67">
        <w:rPr>
          <w:i/>
        </w:rPr>
        <w:instrText>ex in</w:instrText>
      </w:r>
      <w:r w:rsidR="00EC154F" w:rsidRPr="00347A8E">
        <w:rPr>
          <w:i/>
        </w:rPr>
        <w:instrText>mediatis</w:instrText>
      </w:r>
      <w:r w:rsidR="00EC154F">
        <w:instrText xml:space="preserve">" </w:instrText>
      </w:r>
      <w:r w:rsidR="00EC154F">
        <w:fldChar w:fldCharType="end"/>
      </w:r>
      <w:r w:rsidR="00EC154F" w:rsidRPr="00273106">
        <w:t xml:space="preserve">). </w:t>
      </w:r>
      <w:r w:rsidR="00EC154F">
        <w:t>Kilwardby r</w:t>
      </w:r>
      <w:r w:rsidR="00EC154F" w:rsidRPr="00273106">
        <w:t xml:space="preserve">adikálně změnil výklad </w:t>
      </w:r>
      <w:r w:rsidR="005E0A54" w:rsidRPr="005E0A54">
        <w:rPr>
          <w:i/>
        </w:rPr>
        <w:t>Druhých a</w:t>
      </w:r>
      <w:r w:rsidR="00EC154F" w:rsidRPr="005E0A54">
        <w:rPr>
          <w:i/>
        </w:rPr>
        <w:t>nalytik</w:t>
      </w:r>
      <w:r w:rsidR="00EC154F" w:rsidRPr="00273106">
        <w:t xml:space="preserve"> tím, že zredukoval šest základních principů poznání na pouhé tři, čehož si všimli i někteří současní komentátoři.</w:t>
      </w:r>
      <w:r w:rsidR="00EC154F" w:rsidRPr="00273106">
        <w:rPr>
          <w:rStyle w:val="Znakapoznpodarou"/>
        </w:rPr>
        <w:footnoteReference w:id="480"/>
      </w:r>
      <w:r w:rsidR="00EC154F" w:rsidRPr="00273106">
        <w:t xml:space="preserve"> </w:t>
      </w:r>
      <w:r w:rsidR="005E0A54">
        <w:t xml:space="preserve">Tento zásadní </w:t>
      </w:r>
      <w:r w:rsidR="08D41E95">
        <w:t xml:space="preserve">metafyzický </w:t>
      </w:r>
      <w:r w:rsidR="08D41E95" w:rsidRPr="08D41E95">
        <w:rPr>
          <w:i/>
        </w:rPr>
        <w:t>Irrtum</w:t>
      </w:r>
      <w:r w:rsidR="08D41E95">
        <w:t xml:space="preserve"> oxfordských analytiků </w:t>
      </w:r>
      <w:r w:rsidR="00EC154F" w:rsidRPr="00273106">
        <w:t>kritizoval Albert Veliký, který v téže době dokončoval studia v Paříži a s Kilwardbym nejspíš bydlel na dominikánské koleji v klášteře svatého Jakuba.</w:t>
      </w:r>
      <w:r w:rsidR="00EC154F" w:rsidRPr="00273106">
        <w:rPr>
          <w:rStyle w:val="Znakapoznpodarou"/>
        </w:rPr>
        <w:footnoteReference w:id="481"/>
      </w:r>
      <w:r w:rsidR="00EC154F" w:rsidRPr="00273106">
        <w:t xml:space="preserve"> </w:t>
      </w:r>
      <w:r w:rsidR="00EC154F">
        <w:t>Modernista Kilwardby provedl po Rufusovi vskutku jakobínskou revoluci v metafyzickém myšlení, kterou prosadil na Oxfordu</w:t>
      </w:r>
      <w:r w:rsidR="00EC154F" w:rsidRPr="00625824">
        <w:t xml:space="preserve"> </w:t>
      </w:r>
      <w:r w:rsidR="00EC154F">
        <w:t>běhe</w:t>
      </w:r>
      <w:r w:rsidR="08A93AE5">
        <w:t xml:space="preserve">m </w:t>
      </w:r>
      <w:r w:rsidR="08300BB9">
        <w:t xml:space="preserve">svého rektorátu </w:t>
      </w:r>
      <w:r w:rsidR="08A93AE5">
        <w:t xml:space="preserve">po </w:t>
      </w:r>
      <w:r w:rsidR="08300BB9">
        <w:t xml:space="preserve">roce </w:t>
      </w:r>
      <w:r w:rsidR="08A93AE5">
        <w:t xml:space="preserve">1245. Cestu moderny dále </w:t>
      </w:r>
      <w:r w:rsidR="00EC154F">
        <w:t xml:space="preserve">mocensky kontroloval </w:t>
      </w:r>
      <w:r w:rsidR="08A93AE5">
        <w:t xml:space="preserve">a střežil </w:t>
      </w:r>
      <w:r w:rsidR="00EC154F">
        <w:t xml:space="preserve">jako arcibiskup v Canterbury až do své smrti. Po něm dělal totéž a ve stejné </w:t>
      </w:r>
      <w:r w:rsidR="086351A2">
        <w:t xml:space="preserve">dvojí </w:t>
      </w:r>
      <w:r w:rsidR="00EC154F">
        <w:t>funkci modernistický františkán Pecham.</w:t>
      </w:r>
      <w:r w:rsidR="005E0A54">
        <w:t xml:space="preserve"> </w:t>
      </w:r>
      <w:r w:rsidR="000819CE">
        <w:t>Analy</w:t>
      </w:r>
      <w:r w:rsidR="005E0A54">
        <w:t xml:space="preserve">tický výklad </w:t>
      </w:r>
      <w:r w:rsidR="0081135F" w:rsidRPr="00273106">
        <w:t xml:space="preserve">chápe smysl </w:t>
      </w:r>
      <w:r w:rsidR="00785C69" w:rsidRPr="006E2B61">
        <w:rPr>
          <w:i/>
        </w:rPr>
        <w:t>Druhých analy</w:t>
      </w:r>
      <w:r w:rsidR="00954985" w:rsidRPr="006E2B61">
        <w:rPr>
          <w:i/>
        </w:rPr>
        <w:t>tik</w:t>
      </w:r>
      <w:r w:rsidR="00954985" w:rsidRPr="00273106">
        <w:t xml:space="preserve"> ohledně deduktivního charakteru vědeckého soudu</w:t>
      </w:r>
      <w:r w:rsidR="081F1869" w:rsidRPr="00273106">
        <w:t xml:space="preserve"> </w:t>
      </w:r>
      <w:r w:rsidR="003C2FCF" w:rsidRPr="00273106">
        <w:t xml:space="preserve">už jen </w:t>
      </w:r>
      <w:r w:rsidR="081F1869" w:rsidRPr="00273106">
        <w:t>čistě formálně</w:t>
      </w:r>
      <w:r w:rsidR="003C2FCF" w:rsidRPr="00273106">
        <w:t xml:space="preserve"> v modu moderní univocity jsoucna</w:t>
      </w:r>
      <w:r w:rsidR="086155F2" w:rsidRPr="00273106">
        <w:t>.</w:t>
      </w:r>
      <w:r w:rsidR="006E2B61">
        <w:t xml:space="preserve"> Závěry determinované formální triádou principů zaměnily metafyzikou nutnost reálně dané kauzality za logickou nutnost (</w:t>
      </w:r>
      <w:r w:rsidR="006E2B61" w:rsidRPr="00407959">
        <w:rPr>
          <w:i/>
        </w:rPr>
        <w:t>que</w:t>
      </w:r>
      <w:r w:rsidR="006E2B61" w:rsidRPr="00954985">
        <w:t xml:space="preserve"> </w:t>
      </w:r>
      <w:r w:rsidR="006E2B61" w:rsidRPr="00785C69">
        <w:rPr>
          <w:i/>
        </w:rPr>
        <w:t>insunt ex necessitate</w:t>
      </w:r>
      <w:r w:rsidR="006E2B61">
        <w:t>).</w:t>
      </w:r>
      <w:r w:rsidR="00545F44" w:rsidRPr="00273106">
        <w:rPr>
          <w:rStyle w:val="Znakapoznpodarou"/>
        </w:rPr>
        <w:footnoteReference w:id="482"/>
      </w:r>
      <w:r w:rsidR="00545F44" w:rsidRPr="00273106">
        <w:t xml:space="preserve"> </w:t>
      </w:r>
      <w:r w:rsidR="082E5E19" w:rsidRPr="00273106">
        <w:t>U</w:t>
      </w:r>
      <w:r w:rsidR="00890B01">
        <w:t xml:space="preserve">rčení </w:t>
      </w:r>
      <w:r w:rsidR="0039428E" w:rsidRPr="00273106">
        <w:rPr>
          <w:i/>
        </w:rPr>
        <w:t>ex necessitate</w:t>
      </w:r>
      <w:r w:rsidR="0039428E" w:rsidRPr="00273106">
        <w:t xml:space="preserve"> má </w:t>
      </w:r>
      <w:r w:rsidR="001A39EF">
        <w:t xml:space="preserve">v moderně </w:t>
      </w:r>
      <w:r w:rsidR="082E5E19" w:rsidRPr="00273106">
        <w:t xml:space="preserve">zcela </w:t>
      </w:r>
      <w:r w:rsidR="00B3771A" w:rsidRPr="00273106">
        <w:t xml:space="preserve">ekvivalentní </w:t>
      </w:r>
      <w:r w:rsidR="0857696F">
        <w:t xml:space="preserve">a ambivalentní </w:t>
      </w:r>
      <w:r w:rsidR="0039428E" w:rsidRPr="00273106">
        <w:t>charakter</w:t>
      </w:r>
      <w:r w:rsidR="084C01A8">
        <w:t>. Objektivní sofistika zrušila</w:t>
      </w:r>
      <w:r w:rsidR="08E92405">
        <w:t xml:space="preserve"> kritické distince dané ve </w:t>
      </w:r>
      <w:r w:rsidR="08E92405" w:rsidRPr="08E92405">
        <w:rPr>
          <w:i/>
        </w:rPr>
        <w:t>Druhých analytikách</w:t>
      </w:r>
      <w:r w:rsidR="00D300C5" w:rsidRPr="00273106">
        <w:t xml:space="preserve">. </w:t>
      </w:r>
      <w:r w:rsidR="00363DA5">
        <w:t xml:space="preserve">Zmíněné </w:t>
      </w:r>
      <w:r w:rsidR="001A39EF" w:rsidRPr="00273106">
        <w:rPr>
          <w:i/>
        </w:rPr>
        <w:t>inesse</w:t>
      </w:r>
      <w:r w:rsidR="00CF4ADF">
        <w:rPr>
          <w:i/>
        </w:rPr>
        <w:fldChar w:fldCharType="begin"/>
      </w:r>
      <w:r w:rsidR="00CF4ADF">
        <w:instrText xml:space="preserve"> XE "esence:</w:instrText>
      </w:r>
      <w:r w:rsidR="00CF4ADF" w:rsidRPr="00CF4ADF">
        <w:rPr>
          <w:i/>
        </w:rPr>
        <w:instrText>inesse</w:instrText>
      </w:r>
      <w:r w:rsidR="00CF4ADF">
        <w:instrText xml:space="preserve">" </w:instrText>
      </w:r>
      <w:r w:rsidR="00CF4ADF">
        <w:rPr>
          <w:i/>
        </w:rPr>
        <w:fldChar w:fldCharType="end"/>
      </w:r>
      <w:r w:rsidR="001A39EF" w:rsidRPr="00273106">
        <w:t xml:space="preserve"> není v modu </w:t>
      </w:r>
      <w:r w:rsidR="001A39EF" w:rsidRPr="00273106">
        <w:rPr>
          <w:i/>
        </w:rPr>
        <w:t>per prius</w:t>
      </w:r>
      <w:r w:rsidR="001A39EF" w:rsidRPr="00273106">
        <w:t xml:space="preserve"> determinováno reálnou existencí </w:t>
      </w:r>
      <w:r w:rsidR="000819CE">
        <w:t>první substance</w:t>
      </w:r>
      <w:r w:rsidR="081D6BD7">
        <w:t xml:space="preserve">. Její existence je dána v autentickém aristotelismu jako </w:t>
      </w:r>
      <w:r w:rsidR="000819CE">
        <w:t xml:space="preserve">první </w:t>
      </w:r>
      <w:r w:rsidR="00363DA5">
        <w:t>princip</w:t>
      </w:r>
      <w:r w:rsidR="000819CE">
        <w:t xml:space="preserve"> </w:t>
      </w:r>
      <w:r w:rsidR="081D6BD7">
        <w:t>skrze i</w:t>
      </w:r>
      <w:r w:rsidR="000819CE">
        <w:t>mp</w:t>
      </w:r>
      <w:r w:rsidR="08861E67">
        <w:t>o</w:t>
      </w:r>
      <w:r w:rsidR="081D6BD7">
        <w:t>zici</w:t>
      </w:r>
      <w:r w:rsidR="000819CE">
        <w:t xml:space="preserve"> kauzality od první substance (</w:t>
      </w:r>
      <w:r w:rsidR="00010B8E">
        <w:rPr>
          <w:i/>
        </w:rPr>
        <w:t>inmediate</w:t>
      </w:r>
      <w:r w:rsidR="001A39EF" w:rsidRPr="00273106">
        <w:t>)</w:t>
      </w:r>
      <w:r w:rsidR="000819CE">
        <w:t xml:space="preserve">. Vědecké vidění reality řídí </w:t>
      </w:r>
      <w:r w:rsidR="001A39EF" w:rsidRPr="00273106">
        <w:t>univoční</w:t>
      </w:r>
      <w:r w:rsidR="000819CE">
        <w:t xml:space="preserve"> charakter</w:t>
      </w:r>
      <w:r w:rsidR="001A39EF" w:rsidRPr="00273106">
        <w:t xml:space="preserve"> logické a matematické nutnosti</w:t>
      </w:r>
      <w:r w:rsidR="000819CE">
        <w:t xml:space="preserve"> ovládaný </w:t>
      </w:r>
      <w:r w:rsidR="089B3EDF">
        <w:t xml:space="preserve">Grossetesteho </w:t>
      </w:r>
      <w:r w:rsidR="000819CE">
        <w:t xml:space="preserve">analytickým principem </w:t>
      </w:r>
      <w:r w:rsidR="000819CE">
        <w:rPr>
          <w:i/>
        </w:rPr>
        <w:t>in</w:t>
      </w:r>
      <w:r w:rsidR="000819CE" w:rsidRPr="00273106">
        <w:rPr>
          <w:i/>
        </w:rPr>
        <w:t>mediate</w:t>
      </w:r>
      <w:r w:rsidR="089B3EDF">
        <w:t xml:space="preserve"> </w:t>
      </w:r>
      <w:r w:rsidR="08737DD4">
        <w:t>(kap. 3</w:t>
      </w:r>
      <w:r w:rsidR="089B3EDF" w:rsidRPr="00273106">
        <w:t>.1.1)</w:t>
      </w:r>
      <w:r w:rsidR="001A39EF" w:rsidRPr="00273106">
        <w:t>.</w:t>
      </w:r>
      <w:r w:rsidR="001A39EF">
        <w:t xml:space="preserve"> Univoční forma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1A39EF">
        <w:t xml:space="preserve"> s</w:t>
      </w:r>
      <w:r w:rsidR="001B71B4" w:rsidRPr="00273106">
        <w:t>pojuje jak logickou nutnost, tak i působení na úrovni reálných prvních substancí</w:t>
      </w:r>
      <w:r w:rsidR="00D205D7">
        <w:fldChar w:fldCharType="begin"/>
      </w:r>
      <w:r w:rsidR="00D205D7">
        <w:instrText xml:space="preserve"> XE "</w:instrText>
      </w:r>
      <w:r w:rsidR="00D205D7" w:rsidRPr="008B40D0">
        <w:instrText>nutnost:</w:instrText>
      </w:r>
      <w:r w:rsidR="00D205D7" w:rsidRPr="00D205D7">
        <w:rPr>
          <w:i/>
        </w:rPr>
        <w:instrText>per se</w:instrText>
      </w:r>
      <w:r w:rsidR="00D205D7">
        <w:instrText xml:space="preserve">" </w:instrText>
      </w:r>
      <w:r w:rsidR="00D205D7">
        <w:fldChar w:fldCharType="end"/>
      </w:r>
      <w:r w:rsidR="00B3771A" w:rsidRPr="00273106">
        <w:t xml:space="preserve">. </w:t>
      </w:r>
      <w:r w:rsidR="0097329F">
        <w:t>Z hlediska prvního averroismu a Abelardovy logické školy dané od Boethia jd</w:t>
      </w:r>
      <w:r w:rsidR="00363DA5">
        <w:t xml:space="preserve">e </w:t>
      </w:r>
      <w:r w:rsidR="001B76F8">
        <w:t xml:space="preserve">v případě učených Latiníků </w:t>
      </w:r>
      <w:r w:rsidR="00363DA5">
        <w:t xml:space="preserve">o typickou ukázku omylu typu </w:t>
      </w:r>
      <w:r w:rsidR="006B6F9D">
        <w:t>„</w:t>
      </w:r>
      <w:r w:rsidR="0097329F">
        <w:rPr>
          <w:i/>
        </w:rPr>
        <w:t>fallac</w:t>
      </w:r>
      <w:r w:rsidR="0097329F" w:rsidRPr="009F589E">
        <w:rPr>
          <w:i/>
        </w:rPr>
        <w:t>ia</w:t>
      </w:r>
      <w:r w:rsidR="0097329F">
        <w:t xml:space="preserve"> </w:t>
      </w:r>
      <w:r w:rsidR="0097329F" w:rsidRPr="00D82095">
        <w:rPr>
          <w:i/>
        </w:rPr>
        <w:t>a dicto simpliciter ad dictum secundum quid</w:t>
      </w:r>
      <w:r w:rsidR="006B6F9D">
        <w:t>“</w:t>
      </w:r>
      <w:r w:rsidR="00977108">
        <w:rPr>
          <w:i/>
        </w:rPr>
        <w:fldChar w:fldCharType="begin"/>
      </w:r>
      <w:r w:rsidR="00977108">
        <w:instrText xml:space="preserve"> XE "</w:instrText>
      </w:r>
      <w:r w:rsidR="00977108" w:rsidRPr="000C3F37">
        <w:rPr>
          <w:i/>
        </w:rPr>
        <w:instrText>fallacia</w:instrText>
      </w:r>
      <w:r w:rsidR="00977108" w:rsidRPr="000C3F37">
        <w:instrText xml:space="preserve"> </w:instrText>
      </w:r>
      <w:r w:rsidR="00977108" w:rsidRPr="000C3F37">
        <w:rPr>
          <w:i/>
        </w:rPr>
        <w:instrText>a dicto simpliciter ad dictum secundum quid</w:instrText>
      </w:r>
      <w:r w:rsidR="00977108">
        <w:instrText xml:space="preserve">" </w:instrText>
      </w:r>
      <w:r w:rsidR="00977108">
        <w:rPr>
          <w:i/>
        </w:rPr>
        <w:fldChar w:fldCharType="end"/>
      </w:r>
      <w:r w:rsidR="0097329F">
        <w:t xml:space="preserve">. </w:t>
      </w:r>
      <w:r w:rsidR="00977108">
        <w:t xml:space="preserve">Skrze tento metafyzický omyl </w:t>
      </w:r>
      <w:r w:rsidR="08F31574">
        <w:t xml:space="preserve">objektivně </w:t>
      </w:r>
      <w:r w:rsidR="00977108">
        <w:t xml:space="preserve">konstituovaný v prostředí </w:t>
      </w:r>
      <w:r w:rsidR="00977108" w:rsidRPr="00977108">
        <w:rPr>
          <w:i/>
        </w:rPr>
        <w:t xml:space="preserve">Oxfordian </w:t>
      </w:r>
      <w:r w:rsidR="00977108" w:rsidRPr="00C81CCE">
        <w:rPr>
          <w:i/>
        </w:rPr>
        <w:t>Fallacy</w:t>
      </w:r>
      <w:r w:rsidR="00977108">
        <w:t xml:space="preserve"> přešly zaniklé logické školy porretánů a </w:t>
      </w:r>
      <w:r w:rsidR="00977108" w:rsidRPr="00977108">
        <w:rPr>
          <w:i/>
        </w:rPr>
        <w:t>Nominales</w:t>
      </w:r>
      <w:r w:rsidR="00977108">
        <w:t xml:space="preserve"> do myšlení analytické moderny</w:t>
      </w:r>
      <w:r w:rsidR="08F31574">
        <w:t xml:space="preserve">. Přechod moderních logiky na moderní metafyziku usnadnil </w:t>
      </w:r>
      <w:r w:rsidR="08A940DD">
        <w:t>porretánský</w:t>
      </w:r>
      <w:r w:rsidR="08F31574">
        <w:t xml:space="preserve"> </w:t>
      </w:r>
      <w:r w:rsidR="0018224A">
        <w:t xml:space="preserve">výklad </w:t>
      </w:r>
      <w:r w:rsidR="0018224A" w:rsidRPr="00363DA5">
        <w:rPr>
          <w:i/>
        </w:rPr>
        <w:t>Druhých analytik</w:t>
      </w:r>
      <w:r w:rsidR="08A940DD">
        <w:rPr>
          <w:i/>
        </w:rPr>
        <w:t xml:space="preserve"> </w:t>
      </w:r>
      <w:r w:rsidR="08A940DD" w:rsidRPr="08A940DD">
        <w:t>v rámci</w:t>
      </w:r>
      <w:r w:rsidR="08A940DD">
        <w:rPr>
          <w:i/>
        </w:rPr>
        <w:t xml:space="preserve"> </w:t>
      </w:r>
      <w:r w:rsidR="08A940DD">
        <w:t>avicennistické metafyziky</w:t>
      </w:r>
      <w:r w:rsidR="00563DFE">
        <w:t xml:space="preserve">. </w:t>
      </w:r>
      <w:r w:rsidR="00936812" w:rsidRPr="00936812">
        <w:t xml:space="preserve">Komitace </w:t>
      </w:r>
      <w:r w:rsidR="00936812">
        <w:t>porretánských hypostází, jako Filipova transcendentá</w:t>
      </w:r>
      <w:r w:rsidR="00936812" w:rsidRPr="00936812">
        <w:t>lia (</w:t>
      </w:r>
      <w:r w:rsidR="00936812" w:rsidRPr="00936812">
        <w:rPr>
          <w:i/>
        </w:rPr>
        <w:t xml:space="preserve">bonum, unum, </w:t>
      </w:r>
      <w:r w:rsidR="00CE06EF">
        <w:rPr>
          <w:i/>
        </w:rPr>
        <w:t xml:space="preserve">verum, </w:t>
      </w:r>
      <w:r w:rsidR="00936812" w:rsidRPr="00936812">
        <w:rPr>
          <w:i/>
        </w:rPr>
        <w:t>ens</w:t>
      </w:r>
      <w:r w:rsidR="00936812" w:rsidRPr="00936812">
        <w:t xml:space="preserve">), se připojila k Avicennově formalizaci vytvořené jako </w:t>
      </w:r>
      <w:r w:rsidR="00496603">
        <w:t>„</w:t>
      </w:r>
      <w:r w:rsidR="00936812" w:rsidRPr="00936812">
        <w:rPr>
          <w:i/>
        </w:rPr>
        <w:t>ens inquantum ens</w:t>
      </w:r>
      <w:r w:rsidR="00496603">
        <w:t>“</w:t>
      </w:r>
      <w:r w:rsidR="000943E9">
        <w:rPr>
          <w:i/>
        </w:rPr>
        <w:fldChar w:fldCharType="begin"/>
      </w:r>
      <w:r w:rsidR="000943E9">
        <w:instrText xml:space="preserve"> XE "</w:instrText>
      </w:r>
      <w:r w:rsidR="000943E9" w:rsidRPr="00334ECA">
        <w:rPr>
          <w:i/>
        </w:rPr>
        <w:instrText>ens inquantum ens</w:instrText>
      </w:r>
      <w:r w:rsidR="000943E9">
        <w:instrText xml:space="preserve">" </w:instrText>
      </w:r>
      <w:r w:rsidR="000943E9">
        <w:rPr>
          <w:i/>
        </w:rPr>
        <w:fldChar w:fldCharType="end"/>
      </w:r>
      <w:r w:rsidR="00936812">
        <w:t>. T</w:t>
      </w:r>
      <w:r w:rsidR="00936812" w:rsidRPr="00936812">
        <w:t>ato nová p</w:t>
      </w:r>
      <w:r w:rsidR="00936812">
        <w:t xml:space="preserve">redikace se zrodila ve školách </w:t>
      </w:r>
      <w:r w:rsidR="00936812" w:rsidRPr="00936812">
        <w:rPr>
          <w:i/>
        </w:rPr>
        <w:t>logica Modernorum</w:t>
      </w:r>
      <w:r w:rsidR="00936812" w:rsidRPr="00936812">
        <w:t xml:space="preserve"> podle </w:t>
      </w:r>
      <w:r w:rsidR="00936812">
        <w:t xml:space="preserve">metafyziky škol </w:t>
      </w:r>
      <w:r w:rsidR="00936812" w:rsidRPr="00936812">
        <w:rPr>
          <w:i/>
        </w:rPr>
        <w:t>Nominales</w:t>
      </w:r>
      <w:r w:rsidR="00936812" w:rsidRPr="00936812">
        <w:t>.</w:t>
      </w:r>
      <w:r w:rsidR="0073276D">
        <w:t xml:space="preserve"> </w:t>
      </w:r>
      <w:r w:rsidR="00494C8A">
        <w:t xml:space="preserve">Tato změna proběhla nejprve na Oxfordu kolem roku 1235 </w:t>
      </w:r>
      <w:r w:rsidR="00563DFE">
        <w:t xml:space="preserve">skrze Grosstesteho úpravu formální logiky </w:t>
      </w:r>
      <w:r w:rsidR="08D41BD7">
        <w:t>(kap. 3</w:t>
      </w:r>
      <w:r w:rsidR="008D3524">
        <w:t xml:space="preserve">.1.2) </w:t>
      </w:r>
      <w:r w:rsidR="00494C8A">
        <w:t>a poté i Paříži</w:t>
      </w:r>
      <w:r w:rsidR="00862392">
        <w:t xml:space="preserve">, kdy zde působili první moderní ilumináti </w:t>
      </w:r>
      <w:r w:rsidR="08D41BD7">
        <w:t>jako Rufus</w:t>
      </w:r>
      <w:r w:rsidR="00494C8A">
        <w:t xml:space="preserve">. </w:t>
      </w:r>
      <w:r w:rsidR="00FC3C04">
        <w:t xml:space="preserve">Citované spisy Bacona a Alberta dokazují, </w:t>
      </w:r>
      <w:r w:rsidR="00563DFE">
        <w:t xml:space="preserve">že </w:t>
      </w:r>
      <w:r w:rsidR="00FC3C04">
        <w:t xml:space="preserve">škola Gramatiků kritizovaná Alvernem přešla na model analytické filosofie v modu </w:t>
      </w:r>
      <w:r w:rsidR="00FC3C04" w:rsidRPr="00FC3C04">
        <w:rPr>
          <w:i/>
        </w:rPr>
        <w:t>Oxfordian Fallacy</w:t>
      </w:r>
      <w:r w:rsidR="00CA21CC">
        <w:t xml:space="preserve"> </w:t>
      </w:r>
      <w:r w:rsidR="089169EF">
        <w:t xml:space="preserve">zhruba </w:t>
      </w:r>
      <w:r w:rsidR="00CA21CC">
        <w:t>po roce 1240</w:t>
      </w:r>
      <w:r w:rsidR="00FC3C04">
        <w:t xml:space="preserve">. </w:t>
      </w:r>
      <w:r w:rsidR="007870D2">
        <w:t xml:space="preserve">Termín </w:t>
      </w:r>
      <w:r w:rsidR="0097329F" w:rsidRPr="00273106">
        <w:rPr>
          <w:i/>
        </w:rPr>
        <w:t>resolutio</w:t>
      </w:r>
      <w:r w:rsidR="0097329F" w:rsidRPr="00273106">
        <w:t xml:space="preserve"> </w:t>
      </w:r>
      <w:r w:rsidR="002759EF">
        <w:t xml:space="preserve">byl </w:t>
      </w:r>
      <w:r w:rsidR="007870D2">
        <w:t>upravený ve škole Filipa Kancléře do konverze transcende</w:t>
      </w:r>
      <w:r w:rsidR="00CA21CC">
        <w:t>n</w:t>
      </w:r>
      <w:r w:rsidR="007870D2">
        <w:t xml:space="preserve">tálií </w:t>
      </w:r>
      <w:r w:rsidR="08B55C79">
        <w:t>(kap. 2</w:t>
      </w:r>
      <w:r w:rsidR="002759EF">
        <w:t xml:space="preserve">.3.2). Tato konverze </w:t>
      </w:r>
      <w:r w:rsidR="0097329F" w:rsidRPr="00273106">
        <w:t xml:space="preserve">hraje </w:t>
      </w:r>
      <w:r w:rsidR="00CA21CC" w:rsidRPr="00273106">
        <w:t>klíčovou roli</w:t>
      </w:r>
      <w:r w:rsidR="00CA21CC">
        <w:t xml:space="preserve"> </w:t>
      </w:r>
      <w:r w:rsidR="0097329F" w:rsidRPr="00273106">
        <w:t xml:space="preserve">v </w:t>
      </w:r>
      <w:r w:rsidR="00CA21CC">
        <w:t>tran</w:t>
      </w:r>
      <w:r w:rsidR="001B17DD">
        <w:t>s</w:t>
      </w:r>
      <w:r w:rsidR="00CA21CC">
        <w:t>formaci vědy z aristotelského přírodního bádaní na analytickou spekulaci</w:t>
      </w:r>
      <w:r w:rsidR="007870D2">
        <w:t xml:space="preserve">. Redukce bytí jsoucna na nejvyšší rody </w:t>
      </w:r>
      <w:r w:rsidR="00B01B23">
        <w:t>se sloučila s porretánskou a analytickou dedukcí</w:t>
      </w:r>
      <w:r w:rsidR="0097329F" w:rsidRPr="00273106">
        <w:t xml:space="preserve"> významů v rámci </w:t>
      </w:r>
      <w:r w:rsidR="00BB45B1">
        <w:t>Porfyri</w:t>
      </w:r>
      <w:r w:rsidR="0097329F" w:rsidRPr="00273106">
        <w:t>ova stromu</w:t>
      </w:r>
      <w:r w:rsidR="00C252F6">
        <w:t xml:space="preserve">. Dialektická spekulace porretánů třídila simulákrum reality podle platonské </w:t>
      </w:r>
      <w:r w:rsidR="002E0A34">
        <w:t>„</w:t>
      </w:r>
      <w:r w:rsidR="00C252F6">
        <w:rPr>
          <w:rStyle w:val="st"/>
        </w:rPr>
        <w:t>διαίρεσις</w:t>
      </w:r>
      <w:r w:rsidR="002E0A34">
        <w:rPr>
          <w:rStyle w:val="st"/>
        </w:rPr>
        <w:t>“</w:t>
      </w:r>
      <w:r w:rsidR="00C252F6">
        <w:rPr>
          <w:rStyle w:val="st"/>
        </w:rPr>
        <w:t xml:space="preserve"> převzané z </w:t>
      </w:r>
      <w:r w:rsidR="00C252F6">
        <w:t xml:space="preserve">dialogu </w:t>
      </w:r>
      <w:r w:rsidR="00C252F6" w:rsidRPr="00C252F6">
        <w:rPr>
          <w:i/>
        </w:rPr>
        <w:t>Sofistes</w:t>
      </w:r>
      <w:r w:rsidR="00C252F6">
        <w:t xml:space="preserve"> a naroubované na porretánský augustinianismus tehdy zanikajích škol </w:t>
      </w:r>
      <w:r w:rsidR="00C252F6" w:rsidRPr="00C252F6">
        <w:rPr>
          <w:i/>
        </w:rPr>
        <w:t>Nominales</w:t>
      </w:r>
      <w:r w:rsidR="00C252F6">
        <w:t>. Moderní</w:t>
      </w:r>
      <w:r w:rsidR="00B01B23">
        <w:t xml:space="preserve"> </w:t>
      </w:r>
      <w:r w:rsidR="00B01B23" w:rsidRPr="00B01B23">
        <w:rPr>
          <w:i/>
        </w:rPr>
        <w:t>resolutio</w:t>
      </w:r>
      <w:r w:rsidR="00B01B23">
        <w:t xml:space="preserve"> </w:t>
      </w:r>
      <w:r w:rsidR="00C252F6">
        <w:t xml:space="preserve">šlo </w:t>
      </w:r>
      <w:r w:rsidR="0097329F">
        <w:t xml:space="preserve">od rodu </w:t>
      </w:r>
      <w:r w:rsidR="0097329F" w:rsidRPr="00273106">
        <w:t>k individuu</w:t>
      </w:r>
      <w:r w:rsidR="00C252F6">
        <w:t xml:space="preserve"> a použilo k tomu hypostázovanou predikaci </w:t>
      </w:r>
      <w:r w:rsidR="00C252F6" w:rsidRPr="00C252F6">
        <w:rPr>
          <w:i/>
        </w:rPr>
        <w:t>Kategorií</w:t>
      </w:r>
      <w:r w:rsidR="00C252F6">
        <w:t xml:space="preserve"> známou od roku 1230</w:t>
      </w:r>
      <w:r w:rsidR="001E68AB">
        <w:t>.</w:t>
      </w:r>
    </w:p>
    <w:p w14:paraId="2B516313" w14:textId="156CFDAB" w:rsidR="08F12BEE" w:rsidRPr="00273106" w:rsidRDefault="08BF3E2B" w:rsidP="001E68AB">
      <w:pPr>
        <w:ind w:firstLine="397"/>
      </w:pPr>
      <w:r>
        <w:t xml:space="preserve">Kilwardby </w:t>
      </w:r>
      <w:r w:rsidR="00A522B5" w:rsidRPr="00273106">
        <w:t xml:space="preserve">v raném díle o </w:t>
      </w:r>
      <w:r w:rsidR="00A522B5" w:rsidRPr="00A522B5">
        <w:rPr>
          <w:i/>
        </w:rPr>
        <w:t>Kategoriích</w:t>
      </w:r>
      <w:r w:rsidR="00A522B5" w:rsidRPr="00273106">
        <w:t xml:space="preserve"> pojímá proces dělení univerzálií až k nedělitelné části významu (</w:t>
      </w:r>
      <w:r w:rsidR="00A522B5" w:rsidRPr="00273106">
        <w:rPr>
          <w:i/>
        </w:rPr>
        <w:t>individuum</w:t>
      </w:r>
      <w:r w:rsidR="00A522B5" w:rsidRPr="00273106">
        <w:t>)</w:t>
      </w:r>
      <w:r w:rsidR="00A522B5">
        <w:t xml:space="preserve"> </w:t>
      </w:r>
      <w:r w:rsidR="00D17CF5">
        <w:t>skrze hypostázované poje</w:t>
      </w:r>
      <w:r w:rsidR="00E93365">
        <w:t>tí materie (</w:t>
      </w:r>
      <w:r w:rsidR="00E93365" w:rsidRPr="00E93365">
        <w:rPr>
          <w:i/>
        </w:rPr>
        <w:t>materia habet divisionem in possibilem et est dicibile simpliciter</w:t>
      </w:r>
      <w:r w:rsidR="00E93365">
        <w:t>).</w:t>
      </w:r>
      <w:r w:rsidR="00E93365" w:rsidRPr="00273106">
        <w:rPr>
          <w:rStyle w:val="Znakapoznpodarou"/>
        </w:rPr>
        <w:footnoteReference w:id="483"/>
      </w:r>
      <w:r w:rsidR="00E93365">
        <w:t xml:space="preserve"> První substance se zavedením univerzálního hylemorfismu redukuje </w:t>
      </w:r>
      <w:r w:rsidR="001A6D3C" w:rsidRPr="00273106">
        <w:t>na univerzální rod a její kauz</w:t>
      </w:r>
      <w:r w:rsidR="001A6D3C">
        <w:t>ální působení na pouhý akcident.</w:t>
      </w:r>
      <w:r w:rsidR="001A6D3C" w:rsidRPr="00273106">
        <w:t xml:space="preserve"> </w:t>
      </w:r>
      <w:r w:rsidR="001A6D3C">
        <w:t>T</w:t>
      </w:r>
      <w:r w:rsidR="001A6D3C" w:rsidRPr="00273106">
        <w:t xml:space="preserve">ento postup je zcela v souladu s avicennovskou linií výkladu </w:t>
      </w:r>
      <w:r w:rsidR="001A6D3C" w:rsidRPr="001A6D3C">
        <w:rPr>
          <w:i/>
        </w:rPr>
        <w:t>Kategorií</w:t>
      </w:r>
      <w:r w:rsidR="001A6D3C" w:rsidRPr="00273106">
        <w:t xml:space="preserve"> ja</w:t>
      </w:r>
      <w:r w:rsidR="001A6D3C">
        <w:t>ko logického spisu</w:t>
      </w:r>
      <w:r w:rsidR="001A6D3C" w:rsidRPr="00273106">
        <w:t>. John Pagus</w:t>
      </w:r>
      <w:r w:rsidR="001A6D3C">
        <w:fldChar w:fldCharType="begin"/>
      </w:r>
      <w:r w:rsidR="001A6D3C">
        <w:instrText xml:space="preserve"> XE "</w:instrText>
      </w:r>
      <w:r w:rsidR="001A6D3C" w:rsidRPr="00774D07">
        <w:instrText>Pagus, John</w:instrText>
      </w:r>
      <w:r w:rsidR="001A6D3C">
        <w:instrText xml:space="preserve">" </w:instrText>
      </w:r>
      <w:r w:rsidR="001A6D3C">
        <w:fldChar w:fldCharType="end"/>
      </w:r>
      <w:r w:rsidR="001A6D3C" w:rsidRPr="00273106">
        <w:t xml:space="preserve"> již kolem 1230 chápe termín „kategorie</w:t>
      </w:r>
      <w:r w:rsidR="001A6D3C">
        <w:t xml:space="preserve">“ v univoční relaci s termínem </w:t>
      </w:r>
      <w:r w:rsidR="00B1298A">
        <w:rPr>
          <w:i/>
        </w:rPr>
        <w:t>genus</w:t>
      </w:r>
      <w:r w:rsidR="001A6D3C" w:rsidRPr="00273106">
        <w:t xml:space="preserve"> a v rámci dedukce podle </w:t>
      </w:r>
      <w:r w:rsidR="001A6D3C">
        <w:t>Porfyri</w:t>
      </w:r>
      <w:r w:rsidR="001A6D3C" w:rsidRPr="00273106">
        <w:t>ova stromu postupuje v kategorální predikaci od nejvyššího rodu k nižším jednotkám univerzálního významu</w:t>
      </w:r>
      <w:r w:rsidR="08B55C79">
        <w:t xml:space="preserve"> (kap. 3</w:t>
      </w:r>
      <w:r w:rsidR="001A6D3C">
        <w:t>.1.2</w:t>
      </w:r>
      <w:r w:rsidR="001A6D3C" w:rsidRPr="00273106">
        <w:t>).</w:t>
      </w:r>
      <w:r w:rsidR="001A6D3C">
        <w:t xml:space="preserve"> </w:t>
      </w:r>
      <w:r w:rsidR="00B01B23">
        <w:t>Opačný postup pomocí p</w:t>
      </w:r>
      <w:r w:rsidR="003E1399">
        <w:t>redikace hypostází všeho druhu</w:t>
      </w:r>
      <w:r w:rsidR="00B01B23">
        <w:t xml:space="preserve"> </w:t>
      </w:r>
      <w:r w:rsidR="001A6D3C">
        <w:t>(</w:t>
      </w:r>
      <w:r w:rsidR="001A6D3C" w:rsidRPr="00B01B23">
        <w:rPr>
          <w:i/>
        </w:rPr>
        <w:t>collectio</w:t>
      </w:r>
      <w:r w:rsidR="08686C88">
        <w:rPr>
          <w:i/>
        </w:rPr>
        <w:t>, collecta</w:t>
      </w:r>
      <w:r w:rsidR="001A6D3C">
        <w:t xml:space="preserve">) </w:t>
      </w:r>
      <w:r w:rsidR="00B01B23">
        <w:t>zase budoval novou vědu latinských sofistů od individua k nejvyšším rodům</w:t>
      </w:r>
      <w:r w:rsidR="004D2675">
        <w:t xml:space="preserve"> jsoucna</w:t>
      </w:r>
      <w:r w:rsidR="00B01B23">
        <w:t xml:space="preserve">. </w:t>
      </w:r>
      <w:r w:rsidR="008A1D31">
        <w:t xml:space="preserve">Dělení bylo nahrazeno </w:t>
      </w:r>
      <w:r w:rsidR="00FF49DB">
        <w:t xml:space="preserve">porretánskou </w:t>
      </w:r>
      <w:r w:rsidR="008A1D31">
        <w:t xml:space="preserve">kolektou opět predikovanou v </w:t>
      </w:r>
      <w:r w:rsidR="003808A2">
        <w:t xml:space="preserve">novém pojetí </w:t>
      </w:r>
      <w:r w:rsidR="008A1D31" w:rsidRPr="008A1D31">
        <w:rPr>
          <w:i/>
        </w:rPr>
        <w:t>Kategorií</w:t>
      </w:r>
      <w:r w:rsidR="003808A2">
        <w:t xml:space="preserve"> chápaném jako logický spis v modu avicennovské komitace</w:t>
      </w:r>
      <w:r w:rsidR="00FF49DB">
        <w:t xml:space="preserve"> hypostází</w:t>
      </w:r>
      <w:r w:rsidR="003808A2">
        <w:t xml:space="preserve">. </w:t>
      </w:r>
      <w:r w:rsidR="0097329F">
        <w:t>P</w:t>
      </w:r>
      <w:r w:rsidR="0097329F" w:rsidRPr="00273106">
        <w:t xml:space="preserve">redikace </w:t>
      </w:r>
      <w:r w:rsidR="0097329F">
        <w:t xml:space="preserve">středního členu soudu ve formě hypostázované kauzální esence predikované jako porretánské </w:t>
      </w:r>
      <w:r w:rsidR="0097329F" w:rsidRPr="0083362F">
        <w:rPr>
          <w:i/>
        </w:rPr>
        <w:t>individuum</w:t>
      </w:r>
      <w:r w:rsidR="0097329F">
        <w:t xml:space="preserve"> </w:t>
      </w:r>
      <w:r w:rsidR="003A51B2">
        <w:t xml:space="preserve">vytěsnila </w:t>
      </w:r>
      <w:r w:rsidR="0097329F" w:rsidRPr="00273106">
        <w:t>hyparchickou stavbu vědeckého důkazu danou</w:t>
      </w:r>
      <w:r w:rsidR="0097329F">
        <w:t xml:space="preserve"> principem reálné kauzality</w:t>
      </w:r>
      <w:r w:rsidR="00C81CCE">
        <w:fldChar w:fldCharType="begin"/>
      </w:r>
      <w:r w:rsidR="00C81CCE">
        <w:instrText xml:space="preserve"> XE "</w:instrText>
      </w:r>
      <w:r w:rsidR="00C81CCE" w:rsidRPr="00A01625">
        <w:instrText>zatmění</w:instrText>
      </w:r>
      <w:r w:rsidR="00C81CCE" w:rsidRPr="082526E0">
        <w:rPr>
          <w:i/>
        </w:rPr>
        <w:instrText>:Druhé analytiky</w:instrText>
      </w:r>
      <w:r w:rsidR="00C81CCE">
        <w:instrText xml:space="preserve">" </w:instrText>
      </w:r>
      <w:r w:rsidR="00C81CCE">
        <w:fldChar w:fldCharType="end"/>
      </w:r>
      <w:r w:rsidR="0097329F">
        <w:t xml:space="preserve">. </w:t>
      </w:r>
      <w:r w:rsidR="004D2675">
        <w:t xml:space="preserve">Viz Rufusovu tezi </w:t>
      </w:r>
      <w:r w:rsidR="004D2675" w:rsidRPr="00B01B23">
        <w:rPr>
          <w:i/>
        </w:rPr>
        <w:t>homo humanat</w:t>
      </w:r>
      <w:r w:rsidR="004D2675">
        <w:rPr>
          <w:i/>
        </w:rPr>
        <w:t xml:space="preserve"> </w:t>
      </w:r>
      <w:r w:rsidR="08824B56">
        <w:t>(kap. 3</w:t>
      </w:r>
      <w:r w:rsidR="004D2675">
        <w:t>.3.4), která vedla k jeho neslavnému odchodu z Pařížské univerzity</w:t>
      </w:r>
      <w:r w:rsidR="009D2396">
        <w:t>, kde tehdy vládla poslední generace kritického</w:t>
      </w:r>
      <w:r w:rsidR="08277FE0">
        <w:t>,</w:t>
      </w:r>
      <w:r w:rsidR="009D2396">
        <w:t xml:space="preserve"> a tudíž zcela nemoderního myšlení</w:t>
      </w:r>
      <w:r w:rsidR="004D2675">
        <w:t xml:space="preserve">. </w:t>
      </w:r>
      <w:r w:rsidR="00F01B34" w:rsidRPr="00273106">
        <w:t>Z vědeckého poznání vypadl primát aktuální první substance, která je u Aristotela díky aktuální existen</w:t>
      </w:r>
      <w:r w:rsidR="005C7D07">
        <w:t xml:space="preserve">ci primárně daná </w:t>
      </w:r>
      <w:r w:rsidR="00F01B34" w:rsidRPr="00273106">
        <w:rPr>
          <w:i/>
        </w:rPr>
        <w:t>per se</w:t>
      </w:r>
      <w:r w:rsidR="005C7D07">
        <w:t xml:space="preserve"> a </w:t>
      </w:r>
      <w:r w:rsidR="00F01B34" w:rsidRPr="00273106">
        <w:rPr>
          <w:i/>
        </w:rPr>
        <w:t>simpliciter</w:t>
      </w:r>
      <w:r w:rsidR="00F01B34" w:rsidRPr="00273106">
        <w:t xml:space="preserve">. </w:t>
      </w:r>
      <w:r w:rsidR="0020345C">
        <w:t>Znovu platí diference mezi a</w:t>
      </w:r>
      <w:r w:rsidR="00E47521">
        <w:t xml:space="preserve">ristotelským výkladem principu </w:t>
      </w:r>
      <w:r w:rsidR="00010B8E">
        <w:rPr>
          <w:i/>
        </w:rPr>
        <w:t>inmediate</w:t>
      </w:r>
      <w:r w:rsidR="00E47521">
        <w:t xml:space="preserve"> podle Alberta a avicennovským </w:t>
      </w:r>
      <w:r w:rsidR="0020345C" w:rsidRPr="0020345C">
        <w:rPr>
          <w:i/>
        </w:rPr>
        <w:t>inmediate</w:t>
      </w:r>
      <w:r w:rsidR="0020345C">
        <w:t>, kt</w:t>
      </w:r>
      <w:r w:rsidR="00602C36">
        <w:t>erý zavedl Grossete</w:t>
      </w:r>
      <w:r w:rsidR="0020345C">
        <w:t>s</w:t>
      </w:r>
      <w:r w:rsidR="00602C36">
        <w:t>t</w:t>
      </w:r>
      <w:r w:rsidR="0020345C">
        <w:t xml:space="preserve">e. </w:t>
      </w:r>
      <w:r w:rsidR="00930CA5">
        <w:t xml:space="preserve">Rufus je zakladatelem moderny, ale nikoliv její </w:t>
      </w:r>
      <w:r w:rsidR="00930CA5" w:rsidRPr="00975622">
        <w:rPr>
          <w:i/>
        </w:rPr>
        <w:t>spiritus movens</w:t>
      </w:r>
      <w:r w:rsidR="00930CA5">
        <w:t>, kterým se stal dominikán Kilwardby</w:t>
      </w:r>
      <w:r w:rsidR="006E158E">
        <w:t xml:space="preserve"> </w:t>
      </w:r>
      <w:r w:rsidR="00906999">
        <w:t xml:space="preserve">v Oxfordu </w:t>
      </w:r>
      <w:r w:rsidR="006E158E">
        <w:t>a františkán Bonaventura</w:t>
      </w:r>
      <w:r w:rsidR="00906999">
        <w:t xml:space="preserve"> v Paříži</w:t>
      </w:r>
      <w:r w:rsidR="00930CA5">
        <w:t xml:space="preserve">. </w:t>
      </w:r>
      <w:r w:rsidR="00205719" w:rsidRPr="00273106">
        <w:t xml:space="preserve">Vyložili jsme v úvodu prvního averroismu Albertovu polemiku s Kilwardbym v díle </w:t>
      </w:r>
      <w:r w:rsidR="00205719" w:rsidRPr="00273106">
        <w:rPr>
          <w:i/>
        </w:rPr>
        <w:t>De homine</w:t>
      </w:r>
      <w:r w:rsidR="00205719" w:rsidRPr="00273106">
        <w:t>, které začín</w:t>
      </w:r>
      <w:r w:rsidR="00B46406">
        <w:t xml:space="preserve">á první kvestii odmítnutím </w:t>
      </w:r>
      <w:r w:rsidR="08CF4000">
        <w:t xml:space="preserve">Kilwardbyho </w:t>
      </w:r>
      <w:r w:rsidR="08824B56">
        <w:t>analytické sofistiky (kap. 2</w:t>
      </w:r>
      <w:r w:rsidR="00205719" w:rsidRPr="00273106">
        <w:t xml:space="preserve">.4.1). </w:t>
      </w:r>
      <w:r w:rsidR="08A84251">
        <w:t xml:space="preserve">Dominikánskému modernistovi </w:t>
      </w:r>
      <w:r w:rsidR="00205719" w:rsidRPr="00273106">
        <w:t>z</w:t>
      </w:r>
      <w:r w:rsidR="08B83C05" w:rsidRPr="00273106">
        <w:t>ůstaly pouze formální principy týkajíc</w:t>
      </w:r>
      <w:r w:rsidR="001E5C43">
        <w:t>í se vlastností premis v soudu: p</w:t>
      </w:r>
      <w:r w:rsidR="00EE2D72">
        <w:t xml:space="preserve">remisy </w:t>
      </w:r>
      <w:r w:rsidR="08B83C05" w:rsidRPr="00273106">
        <w:t xml:space="preserve">přechází závěr, jsou lépe známé než závěr </w:t>
      </w:r>
      <w:r w:rsidR="001E5C43">
        <w:t>a musí být poznané jako příčiny</w:t>
      </w:r>
      <w:r w:rsidR="08B83C05" w:rsidRPr="00273106">
        <w:t xml:space="preserve">. </w:t>
      </w:r>
      <w:r w:rsidR="087D071A" w:rsidRPr="00273106">
        <w:t xml:space="preserve">Kauzalita </w:t>
      </w:r>
      <w:r w:rsidR="085C3E53">
        <w:t xml:space="preserve">reálné </w:t>
      </w:r>
      <w:r w:rsidR="087D071A" w:rsidRPr="00273106">
        <w:t>první substance spadla</w:t>
      </w:r>
      <w:r w:rsidR="08F12BEE" w:rsidRPr="00273106">
        <w:t xml:space="preserve"> do esenciální definice</w:t>
      </w:r>
      <w:r w:rsidR="08246A22" w:rsidRPr="00273106">
        <w:t xml:space="preserve"> jako její </w:t>
      </w:r>
      <w:r w:rsidR="001E5C43">
        <w:t xml:space="preserve">formální </w:t>
      </w:r>
      <w:r w:rsidR="08246A22" w:rsidRPr="00273106">
        <w:t>reduplikace</w:t>
      </w:r>
      <w:r w:rsidR="003E360D">
        <w:fldChar w:fldCharType="begin"/>
      </w:r>
      <w:r w:rsidR="003E360D">
        <w:instrText xml:space="preserve"> XE "</w:instrText>
      </w:r>
      <w:r w:rsidR="003E360D" w:rsidRPr="0051225E">
        <w:instrText>substance:zatmění</w:instrText>
      </w:r>
      <w:r w:rsidR="003E360D">
        <w:instrText xml:space="preserve">" </w:instrText>
      </w:r>
      <w:r w:rsidR="003E360D">
        <w:fldChar w:fldCharType="end"/>
      </w:r>
      <w:r w:rsidR="087415B6" w:rsidRPr="00273106">
        <w:t xml:space="preserve">. </w:t>
      </w:r>
      <w:r w:rsidR="08E64705" w:rsidRPr="00273106">
        <w:t xml:space="preserve">Pořadí šesti principů poznání </w:t>
      </w:r>
      <w:r w:rsidR="002E4E02" w:rsidRPr="00273106">
        <w:t xml:space="preserve">podle </w:t>
      </w:r>
      <w:r w:rsidR="084C6CF0">
        <w:t xml:space="preserve">jeho </w:t>
      </w:r>
      <w:r w:rsidR="002E4E02" w:rsidRPr="00273106">
        <w:t xml:space="preserve">analytického výkladu </w:t>
      </w:r>
      <w:r w:rsidR="08E64705" w:rsidRPr="00E60150">
        <w:rPr>
          <w:i/>
        </w:rPr>
        <w:t>Druhých analytik</w:t>
      </w:r>
      <w:r w:rsidR="08E64705" w:rsidRPr="00273106">
        <w:t xml:space="preserve"> vypadá následovně.</w:t>
      </w:r>
    </w:p>
    <w:p w14:paraId="6C52A4A5" w14:textId="77777777" w:rsidR="00AB0DF2" w:rsidRDefault="08E64705" w:rsidP="0015010A">
      <w:pPr>
        <w:pStyle w:val="Citace"/>
        <w:rPr>
          <w:noProof/>
          <w:lang w:val="cs-CZ"/>
        </w:rPr>
      </w:pPr>
      <w:r w:rsidRPr="00273106">
        <w:rPr>
          <w:noProof/>
          <w:lang w:val="cs-CZ"/>
        </w:rPr>
        <w:t>„</w:t>
      </w:r>
      <w:r w:rsidR="0015010A" w:rsidRPr="00273106">
        <w:rPr>
          <w:noProof/>
          <w:lang w:val="cs-CZ"/>
        </w:rPr>
        <w:t>Pořadí pricipů platí, protože první tři jsou pojaté odděleně (</w:t>
      </w:r>
      <w:r w:rsidR="0015010A" w:rsidRPr="00273106">
        <w:rPr>
          <w:i/>
          <w:noProof/>
          <w:lang w:val="cs-CZ"/>
        </w:rPr>
        <w:t>tres primi sumuntur absolute</w:t>
      </w:r>
      <w:r w:rsidR="0015010A" w:rsidRPr="00273106">
        <w:rPr>
          <w:noProof/>
          <w:lang w:val="cs-CZ"/>
        </w:rPr>
        <w:t>) a čtvrtý je dán zdvojením kauzy</w:t>
      </w:r>
      <w:r w:rsidR="00E10B69" w:rsidRPr="00273106">
        <w:rPr>
          <w:noProof/>
          <w:lang w:val="cs-CZ"/>
        </w:rPr>
        <w:t xml:space="preserve"> (</w:t>
      </w:r>
      <w:r w:rsidR="00E10B69" w:rsidRPr="00273106">
        <w:rPr>
          <w:i/>
          <w:noProof/>
          <w:lang w:val="cs-CZ"/>
        </w:rPr>
        <w:t>reduplicatione caus</w:t>
      </w:r>
      <w:r w:rsidR="08D116D3">
        <w:rPr>
          <w:i/>
          <w:noProof/>
          <w:lang w:val="cs-CZ"/>
        </w:rPr>
        <w:t>a</w:t>
      </w:r>
      <w:r w:rsidR="00E10B69" w:rsidRPr="00273106">
        <w:rPr>
          <w:i/>
          <w:noProof/>
          <w:lang w:val="cs-CZ"/>
        </w:rPr>
        <w:t>e</w:t>
      </w:r>
      <w:r w:rsidR="00E10B69" w:rsidRPr="00273106">
        <w:rPr>
          <w:noProof/>
          <w:lang w:val="cs-CZ"/>
        </w:rPr>
        <w:t>)</w:t>
      </w:r>
      <w:r w:rsidR="0015010A" w:rsidRPr="00273106">
        <w:rPr>
          <w:noProof/>
          <w:lang w:val="cs-CZ"/>
        </w:rPr>
        <w:t>. Pak první dva principy principiálně patří do deduktivního soudu a padají do kategorie univerzálně poznaného (</w:t>
      </w:r>
      <w:r w:rsidR="0015010A" w:rsidRPr="00273106">
        <w:rPr>
          <w:i/>
          <w:noProof/>
          <w:lang w:val="cs-CZ"/>
        </w:rPr>
        <w:t>cadunt in simpliciter scibilibus</w:t>
      </w:r>
      <w:r w:rsidR="0015010A" w:rsidRPr="00273106">
        <w:rPr>
          <w:noProof/>
          <w:lang w:val="cs-CZ"/>
        </w:rPr>
        <w:t>), ale třetí princip nikoliv. Pak platí, že první princip je esenciálnější než druhý</w:t>
      </w:r>
      <w:r w:rsidR="008D1631" w:rsidRPr="00273106">
        <w:rPr>
          <w:noProof/>
          <w:lang w:val="cs-CZ"/>
        </w:rPr>
        <w:t xml:space="preserve"> (</w:t>
      </w:r>
      <w:r w:rsidR="008D1631" w:rsidRPr="00273106">
        <w:rPr>
          <w:i/>
          <w:noProof/>
          <w:lang w:val="cs-CZ"/>
        </w:rPr>
        <w:t>primus est essentialior quam secundus</w:t>
      </w:r>
      <w:r w:rsidR="008D1631" w:rsidRPr="00273106">
        <w:rPr>
          <w:noProof/>
          <w:lang w:val="cs-CZ"/>
        </w:rPr>
        <w:t>)</w:t>
      </w:r>
      <w:r w:rsidR="0015010A" w:rsidRPr="00273106">
        <w:rPr>
          <w:noProof/>
          <w:lang w:val="cs-CZ"/>
        </w:rPr>
        <w:t xml:space="preserve">, a takto jsou vztaženy jeden ke druhému.“ </w:t>
      </w:r>
      <w:r w:rsidR="00AB0DF2" w:rsidRPr="00273106">
        <w:rPr>
          <w:rStyle w:val="Znakapoznpodarou"/>
          <w:noProof/>
          <w:lang w:val="cs-CZ"/>
        </w:rPr>
        <w:footnoteReference w:id="484"/>
      </w:r>
    </w:p>
    <w:p w14:paraId="471828AD" w14:textId="77777777" w:rsidR="00852A8D" w:rsidRDefault="081F7A90" w:rsidP="00270CCD">
      <w:r w:rsidRPr="00273106">
        <w:t xml:space="preserve">První tři principy poznání </w:t>
      </w:r>
      <w:r w:rsidR="00591A32" w:rsidRPr="00273106">
        <w:t xml:space="preserve">zmíněné v textu </w:t>
      </w:r>
      <w:r w:rsidRPr="00273106">
        <w:t>jsou dané odděleně (</w:t>
      </w:r>
      <w:r w:rsidRPr="00273106">
        <w:rPr>
          <w:i/>
        </w:rPr>
        <w:t>absolute</w:t>
      </w:r>
      <w:r w:rsidRPr="00273106">
        <w:t>) od druhé dvojice</w:t>
      </w:r>
      <w:r w:rsidR="00EE26FE" w:rsidRPr="00273106">
        <w:t>, která je vztažena</w:t>
      </w:r>
      <w:r w:rsidRPr="00273106">
        <w:t xml:space="preserve"> k reálné kauzalitě prvních substancí. </w:t>
      </w:r>
      <w:r w:rsidR="08A81367">
        <w:t xml:space="preserve">Základní omyl je dán ve tvrzení, že princip </w:t>
      </w:r>
      <w:r w:rsidR="08D91F67">
        <w:rPr>
          <w:i/>
        </w:rPr>
        <w:t>ex in</w:t>
      </w:r>
      <w:r w:rsidR="08A81367" w:rsidRPr="08A81367">
        <w:rPr>
          <w:i/>
        </w:rPr>
        <w:t>mediatis</w:t>
      </w:r>
      <w:r w:rsidR="08A81367">
        <w:t xml:space="preserve"> daný reálnou kauzalitou lze duplikovat </w:t>
      </w:r>
      <w:r w:rsidR="08A81367" w:rsidRPr="00273106">
        <w:t>zdvojením kauzy</w:t>
      </w:r>
      <w:r w:rsidR="086502F1">
        <w:t xml:space="preserve"> v deduktivním soudu </w:t>
      </w:r>
      <w:r w:rsidR="08A81367" w:rsidRPr="00273106">
        <w:t xml:space="preserve"> (</w:t>
      </w:r>
      <w:r w:rsidR="08A81367" w:rsidRPr="00273106">
        <w:rPr>
          <w:i/>
        </w:rPr>
        <w:t>reduplicatione caus</w:t>
      </w:r>
      <w:r w:rsidR="08A81367">
        <w:rPr>
          <w:i/>
        </w:rPr>
        <w:t>a</w:t>
      </w:r>
      <w:r w:rsidR="08A81367" w:rsidRPr="00273106">
        <w:rPr>
          <w:i/>
        </w:rPr>
        <w:t>e</w:t>
      </w:r>
      <w:r w:rsidR="08A81367" w:rsidRPr="00273106">
        <w:t>).</w:t>
      </w:r>
      <w:r w:rsidR="083577FF">
        <w:t xml:space="preserve"> Tuto verzi </w:t>
      </w:r>
      <w:r w:rsidR="083577FF" w:rsidRPr="083577FF">
        <w:rPr>
          <w:i/>
        </w:rPr>
        <w:t>Oxfordian Fallacy</w:t>
      </w:r>
      <w:r w:rsidR="083577FF">
        <w:t xml:space="preserve"> zavedl Grosseteste a potvrdil </w:t>
      </w:r>
      <w:r w:rsidR="08A81367">
        <w:t xml:space="preserve"> Rufus (</w:t>
      </w:r>
      <w:r w:rsidR="08A81367" w:rsidRPr="00381F06">
        <w:rPr>
          <w:i/>
        </w:rPr>
        <w:t>medium et causa idem</w:t>
      </w:r>
      <w:r w:rsidR="08FB47EF">
        <w:t>, kap. 3</w:t>
      </w:r>
      <w:r w:rsidR="08A81367">
        <w:t>.3.1)</w:t>
      </w:r>
      <w:r w:rsidR="08A81367" w:rsidRPr="00273106">
        <w:t>.</w:t>
      </w:r>
      <w:r w:rsidR="08A81367">
        <w:t xml:space="preserve"> </w:t>
      </w:r>
      <w:r w:rsidR="00DF68BE" w:rsidRPr="00273106">
        <w:t>Realita první substance</w:t>
      </w:r>
      <w:r w:rsidR="00A70FA4">
        <w:fldChar w:fldCharType="begin"/>
      </w:r>
      <w:r w:rsidR="00A70FA4">
        <w:instrText xml:space="preserve"> XE "</w:instrText>
      </w:r>
      <w:r w:rsidR="00A70FA4" w:rsidRPr="00DE2A32">
        <w:instrText>substance</w:instrText>
      </w:r>
      <w:r w:rsidR="003E360D">
        <w:instrText>:Kilwardby</w:instrText>
      </w:r>
      <w:r w:rsidR="00A70FA4">
        <w:instrText xml:space="preserve">" </w:instrText>
      </w:r>
      <w:r w:rsidR="00A70FA4">
        <w:fldChar w:fldCharType="end"/>
      </w:r>
      <w:r w:rsidR="00E60150">
        <w:t xml:space="preserve"> byla </w:t>
      </w:r>
      <w:r w:rsidR="08815021">
        <w:t xml:space="preserve">sofisticky zahrnuta do </w:t>
      </w:r>
      <w:r w:rsidR="00DF68BE" w:rsidRPr="00273106">
        <w:t>vědeckého výkladu</w:t>
      </w:r>
      <w:r w:rsidR="00D6692B" w:rsidRPr="00273106">
        <w:t>, což je z hlediska první</w:t>
      </w:r>
      <w:r w:rsidR="00F46E05">
        <w:t xml:space="preserve">ho averroismu </w:t>
      </w:r>
      <w:r w:rsidR="001B6948">
        <w:t xml:space="preserve">zásadní </w:t>
      </w:r>
      <w:r w:rsidR="00F46E05">
        <w:t xml:space="preserve">nepochopení </w:t>
      </w:r>
      <w:r w:rsidR="001B6948">
        <w:t xml:space="preserve">stavby </w:t>
      </w:r>
      <w:r w:rsidR="00F46E05">
        <w:t xml:space="preserve">vědeckého důkazu podle </w:t>
      </w:r>
      <w:r w:rsidR="00F46E05" w:rsidRPr="00E60150">
        <w:rPr>
          <w:i/>
        </w:rPr>
        <w:t>Druhých a</w:t>
      </w:r>
      <w:r w:rsidR="00BC121C" w:rsidRPr="00E60150">
        <w:rPr>
          <w:i/>
        </w:rPr>
        <w:t>na</w:t>
      </w:r>
      <w:r w:rsidR="00F46E05" w:rsidRPr="00E60150">
        <w:rPr>
          <w:i/>
        </w:rPr>
        <w:t>lytik</w:t>
      </w:r>
      <w:r w:rsidR="00DF68BE" w:rsidRPr="00273106">
        <w:t xml:space="preserve">. </w:t>
      </w:r>
      <w:r w:rsidR="08B229A3">
        <w:t xml:space="preserve">Kauzalitu nelze zdvojit, protože je daná hyparchicky v realitě, ale lze ji adekvátně predikovat. </w:t>
      </w:r>
      <w:r w:rsidR="08DA0823">
        <w:t>Univočně pojatá v</w:t>
      </w:r>
      <w:r w:rsidR="00E60150">
        <w:t>ěda dostala absolutní charakter a stala se novou modlou latinského Západu</w:t>
      </w:r>
      <w:r w:rsidR="00852A8D">
        <w:t xml:space="preserve"> v modu sofistického simulákra.</w:t>
      </w:r>
    </w:p>
    <w:p w14:paraId="3983387D" w14:textId="2640956A" w:rsidR="00270CCD" w:rsidRPr="00273106" w:rsidRDefault="005576CB" w:rsidP="00852A8D">
      <w:pPr>
        <w:ind w:firstLine="397"/>
      </w:pPr>
      <w:r>
        <w:t xml:space="preserve">Klíčové je postavení principu </w:t>
      </w:r>
      <w:r w:rsidR="00852A8D">
        <w:t>„</w:t>
      </w:r>
      <w:r w:rsidR="00010B8E">
        <w:rPr>
          <w:i/>
        </w:rPr>
        <w:t>inmediate</w:t>
      </w:r>
      <w:r w:rsidR="00852A8D">
        <w:t>“, který se vztahuje k</w:t>
      </w:r>
      <w:r w:rsidR="007D0817">
        <w:t xml:space="preserve"> bytí první substance v reálu</w:t>
      </w:r>
      <w:r w:rsidR="081F7A90" w:rsidRPr="00273106">
        <w:t xml:space="preserve">. </w:t>
      </w:r>
      <w:r w:rsidR="007A12D1" w:rsidRPr="00273106">
        <w:t>Kil</w:t>
      </w:r>
      <w:r w:rsidR="00102E96" w:rsidRPr="00273106">
        <w:t>war</w:t>
      </w:r>
      <w:r w:rsidR="007A12D1" w:rsidRPr="00273106">
        <w:t>d</w:t>
      </w:r>
      <w:r w:rsidR="00102E96" w:rsidRPr="00273106">
        <w:t xml:space="preserve">byho </w:t>
      </w:r>
      <w:r w:rsidR="081F7A90" w:rsidRPr="00273106">
        <w:t xml:space="preserve">čtvrtý princip poznání je vlastně zbytečný, protože jen kontingentně </w:t>
      </w:r>
      <w:r w:rsidR="00DD4D3F" w:rsidRPr="00273106">
        <w:t xml:space="preserve">duplikuje </w:t>
      </w:r>
      <w:r>
        <w:t xml:space="preserve">univerzálně danou nutnost </w:t>
      </w:r>
      <w:r w:rsidR="081F7A90" w:rsidRPr="00273106">
        <w:rPr>
          <w:i/>
        </w:rPr>
        <w:t>per se</w:t>
      </w:r>
      <w:r w:rsidR="081F7A90" w:rsidRPr="00273106">
        <w:t xml:space="preserve"> v uni</w:t>
      </w:r>
      <w:r w:rsidR="001256CB" w:rsidRPr="00273106">
        <w:t>vočním modu</w:t>
      </w:r>
      <w:r w:rsidR="00DD4D3F" w:rsidRPr="00273106">
        <w:t xml:space="preserve"> (</w:t>
      </w:r>
      <w:r w:rsidR="00DD4D3F" w:rsidRPr="00273106">
        <w:rPr>
          <w:i/>
        </w:rPr>
        <w:t>quartus cum reduplicatione caus</w:t>
      </w:r>
      <w:r w:rsidR="00BC121C">
        <w:rPr>
          <w:i/>
        </w:rPr>
        <w:t>a</w:t>
      </w:r>
      <w:r w:rsidR="00DD4D3F" w:rsidRPr="00273106">
        <w:rPr>
          <w:i/>
        </w:rPr>
        <w:t>e</w:t>
      </w:r>
      <w:r w:rsidR="00DD4D3F" w:rsidRPr="00273106">
        <w:t>)</w:t>
      </w:r>
      <w:r w:rsidR="081F7A90" w:rsidRPr="00273106">
        <w:t xml:space="preserve">. Další věta jasně odděluje první </w:t>
      </w:r>
      <w:r w:rsidR="086C3699" w:rsidRPr="00273106">
        <w:t>dva principy od třetího</w:t>
      </w:r>
      <w:r w:rsidR="081F7A90" w:rsidRPr="00273106">
        <w:t xml:space="preserve"> (</w:t>
      </w:r>
      <w:r w:rsidR="081F7A90" w:rsidRPr="00273106">
        <w:rPr>
          <w:i/>
        </w:rPr>
        <w:t>tertius autem non sic</w:t>
      </w:r>
      <w:r w:rsidR="081F7A90" w:rsidRPr="00273106">
        <w:t xml:space="preserve">). </w:t>
      </w:r>
      <w:r w:rsidR="086C3699" w:rsidRPr="00273106">
        <w:t xml:space="preserve">Důvod </w:t>
      </w:r>
      <w:r w:rsidR="00423D2C">
        <w:t>od</w:t>
      </w:r>
      <w:r w:rsidR="086C3699" w:rsidRPr="00273106">
        <w:t xml:space="preserve">dělení </w:t>
      </w:r>
      <w:r w:rsidR="08362A22" w:rsidRPr="00273106">
        <w:t xml:space="preserve">první triády </w:t>
      </w:r>
      <w:r w:rsidR="00423D2C">
        <w:t xml:space="preserve">od druhé </w:t>
      </w:r>
      <w:r w:rsidR="002B2BA9">
        <w:t xml:space="preserve">jsme komentovali u </w:t>
      </w:r>
      <w:r w:rsidR="086C3699" w:rsidRPr="00273106">
        <w:t>Grossetesteho</w:t>
      </w:r>
      <w:r w:rsidR="002B2BA9">
        <w:t xml:space="preserve"> verze </w:t>
      </w:r>
      <w:r w:rsidR="002B2BA9" w:rsidRPr="002B2BA9">
        <w:rPr>
          <w:i/>
        </w:rPr>
        <w:t>Oxfordian Fallacy</w:t>
      </w:r>
      <w:r w:rsidR="08FA7457">
        <w:t xml:space="preserve"> (kap. 3</w:t>
      </w:r>
      <w:r w:rsidR="00423D2C">
        <w:t>.1.1)</w:t>
      </w:r>
      <w:r w:rsidR="086C3699" w:rsidRPr="00273106">
        <w:t xml:space="preserve">. </w:t>
      </w:r>
      <w:r w:rsidR="00423D2C">
        <w:t>Kilwardby už radikalizuje Grosssetesteho</w:t>
      </w:r>
      <w:r w:rsidR="00A7314F">
        <w:t xml:space="preserve"> verzi </w:t>
      </w:r>
      <w:r w:rsidR="00A7314F" w:rsidRPr="00423D2C">
        <w:rPr>
          <w:i/>
        </w:rPr>
        <w:t>Oxfordian Fallacy</w:t>
      </w:r>
      <w:r w:rsidR="00A7314F">
        <w:rPr>
          <w:i/>
        </w:rPr>
        <w:t xml:space="preserve"> </w:t>
      </w:r>
      <w:r w:rsidR="00A7314F">
        <w:t xml:space="preserve">tím, že vzal pojetí </w:t>
      </w:r>
      <w:r w:rsidR="00423D2C">
        <w:t>Rufus</w:t>
      </w:r>
      <w:r w:rsidR="00A7314F">
        <w:t xml:space="preserve">e. Opět spojil </w:t>
      </w:r>
      <w:r w:rsidR="00A56AC5">
        <w:t xml:space="preserve">logickou kauzalitu se středním členem soudu. </w:t>
      </w:r>
      <w:r w:rsidR="08D51F40">
        <w:t>P</w:t>
      </w:r>
      <w:r w:rsidR="08D51F40" w:rsidRPr="00273106">
        <w:t xml:space="preserve">římý náhled do prvních principů </w:t>
      </w:r>
      <w:r w:rsidR="08D51F40">
        <w:t>daný esenciálně ve druhé triádě determinuje p</w:t>
      </w:r>
      <w:r w:rsidR="00A56AC5" w:rsidRPr="00273106">
        <w:t>rvní dva principy poznání</w:t>
      </w:r>
      <w:r w:rsidR="08D51F40">
        <w:t xml:space="preserve"> v první triádě</w:t>
      </w:r>
      <w:r w:rsidR="00A56AC5" w:rsidRPr="00273106">
        <w:t xml:space="preserve"> (</w:t>
      </w:r>
      <w:r w:rsidR="00A56AC5" w:rsidRPr="00273106">
        <w:rPr>
          <w:i/>
        </w:rPr>
        <w:t>cadunt in simpliciter scibilibus</w:t>
      </w:r>
      <w:r w:rsidR="00A56AC5" w:rsidRPr="00273106">
        <w:t xml:space="preserve">). </w:t>
      </w:r>
      <w:r w:rsidR="00A56AC5">
        <w:t xml:space="preserve">Kilwardby </w:t>
      </w:r>
      <w:r w:rsidR="0878433B">
        <w:t>první triádu úplně zrušil a nahradil</w:t>
      </w:r>
      <w:r w:rsidR="00423D2C">
        <w:t xml:space="preserve"> druhou, což </w:t>
      </w:r>
      <w:r w:rsidR="00A56AC5">
        <w:t>poprvé provedl Rufus</w:t>
      </w:r>
      <w:r w:rsidR="00423D2C">
        <w:t xml:space="preserve">. </w:t>
      </w:r>
      <w:r w:rsidR="00A56AC5">
        <w:t xml:space="preserve">Připomeňme změněné postavení </w:t>
      </w:r>
      <w:r w:rsidR="001256CB" w:rsidRPr="00273106">
        <w:rPr>
          <w:i/>
        </w:rPr>
        <w:t>scibile</w:t>
      </w:r>
      <w:r w:rsidR="003B4FA7">
        <w:rPr>
          <w:i/>
        </w:rPr>
        <w:fldChar w:fldCharType="begin"/>
      </w:r>
      <w:r w:rsidR="003B4FA7">
        <w:instrText xml:space="preserve"> XE "</w:instrText>
      </w:r>
      <w:r w:rsidR="003B4FA7" w:rsidRPr="00AA4F67">
        <w:rPr>
          <w:i/>
        </w:rPr>
        <w:instrText>scibile</w:instrText>
      </w:r>
      <w:r w:rsidR="003E360D">
        <w:rPr>
          <w:i/>
        </w:rPr>
        <w:instrText>:</w:instrText>
      </w:r>
      <w:r w:rsidR="003E360D" w:rsidRPr="003E360D">
        <w:instrText>Rufus</w:instrText>
      </w:r>
      <w:r w:rsidR="003B4FA7">
        <w:instrText xml:space="preserve">" </w:instrText>
      </w:r>
      <w:r w:rsidR="003B4FA7">
        <w:rPr>
          <w:i/>
        </w:rPr>
        <w:fldChar w:fldCharType="end"/>
      </w:r>
      <w:r w:rsidR="00E81146" w:rsidRPr="00273106">
        <w:t xml:space="preserve"> u Rufuse, které </w:t>
      </w:r>
      <w:r w:rsidR="08FA63B8">
        <w:t>skrze konkrétní predikaci</w:t>
      </w:r>
      <w:r w:rsidR="001256CB" w:rsidRPr="00273106">
        <w:t xml:space="preserve"> zakládá první objektivní jsoucno (kap. </w:t>
      </w:r>
      <w:r w:rsidR="089472DF">
        <w:t>3</w:t>
      </w:r>
      <w:r w:rsidR="001256CB" w:rsidRPr="00273106">
        <w:t xml:space="preserve">.3.4). </w:t>
      </w:r>
      <w:r w:rsidR="00DA51FB" w:rsidRPr="00273106">
        <w:t>Nutnost v rámci vědeckého soudu</w:t>
      </w:r>
      <w:r w:rsidR="082A7897">
        <w:t xml:space="preserve"> (</w:t>
      </w:r>
      <w:r w:rsidR="00057DD7">
        <w:rPr>
          <w:i/>
        </w:rPr>
        <w:t>ex inmediatis</w:t>
      </w:r>
      <w:r w:rsidR="082A7897">
        <w:t>)</w:t>
      </w:r>
      <w:r w:rsidR="00DA51FB" w:rsidRPr="00273106">
        <w:t xml:space="preserve"> </w:t>
      </w:r>
      <w:r w:rsidR="00C84FB2">
        <w:t xml:space="preserve">určeného impozicí z reality </w:t>
      </w:r>
      <w:r w:rsidR="00DA51FB" w:rsidRPr="00273106">
        <w:t xml:space="preserve">je dána </w:t>
      </w:r>
      <w:r w:rsidR="082A7897">
        <w:t xml:space="preserve">pouze </w:t>
      </w:r>
      <w:r w:rsidR="00DA51FB" w:rsidRPr="00273106">
        <w:t xml:space="preserve">v modu </w:t>
      </w:r>
      <w:r w:rsidR="00DA51FB" w:rsidRPr="00273106">
        <w:rPr>
          <w:i/>
        </w:rPr>
        <w:t>per posterius</w:t>
      </w:r>
      <w:r w:rsidR="00DA51FB" w:rsidRPr="00273106">
        <w:t xml:space="preserve"> vzhledem k esenciální formě nutnosti dané v prioritním modu (</w:t>
      </w:r>
      <w:r w:rsidR="00DA51FB" w:rsidRPr="00273106">
        <w:rPr>
          <w:i/>
        </w:rPr>
        <w:t>primus est essentialior quam secundus</w:t>
      </w:r>
      <w:r w:rsidR="00DA51FB" w:rsidRPr="00273106">
        <w:t>). Celkovo</w:t>
      </w:r>
      <w:r w:rsidR="00A56AC5">
        <w:t xml:space="preserve">u architekturu </w:t>
      </w:r>
      <w:r w:rsidR="00DA51FB" w:rsidRPr="00273106">
        <w:t xml:space="preserve">analytické nutnosti </w:t>
      </w:r>
      <w:r w:rsidR="00AD644C">
        <w:t>v modu moderní</w:t>
      </w:r>
      <w:r w:rsidR="00A56AC5">
        <w:t xml:space="preserve">ho </w:t>
      </w:r>
      <w:r w:rsidR="00A56AC5" w:rsidRPr="00273106">
        <w:rPr>
          <w:i/>
        </w:rPr>
        <w:t>ordinatio</w:t>
      </w:r>
      <w:r w:rsidR="00A56AC5" w:rsidRPr="00273106">
        <w:t xml:space="preserve"> </w:t>
      </w:r>
      <w:r w:rsidR="00DA51FB" w:rsidRPr="00273106">
        <w:t>(</w:t>
      </w:r>
      <w:r w:rsidR="087D4C37">
        <w:rPr>
          <w:i/>
        </w:rPr>
        <w:t>sic ordinantur ad inv</w:t>
      </w:r>
      <w:r w:rsidR="00DA51FB" w:rsidRPr="00273106">
        <w:rPr>
          <w:i/>
        </w:rPr>
        <w:t>icem</w:t>
      </w:r>
      <w:r w:rsidR="00DA51FB" w:rsidRPr="00273106">
        <w:t>) pak dokončí Scotův systém objek</w:t>
      </w:r>
      <w:r w:rsidR="00A56AC5">
        <w:t xml:space="preserve">tivní metafyziky, který si dal </w:t>
      </w:r>
      <w:r w:rsidR="00DA51FB" w:rsidRPr="00273106">
        <w:rPr>
          <w:i/>
        </w:rPr>
        <w:t>Ordinatio</w:t>
      </w:r>
      <w:r w:rsidR="00A56AC5">
        <w:t xml:space="preserve"> </w:t>
      </w:r>
      <w:r w:rsidR="00DA51FB" w:rsidRPr="00273106">
        <w:t>přímo do názvu (</w:t>
      </w:r>
      <w:r w:rsidR="089472DF">
        <w:t>OBJ III, kap. 5</w:t>
      </w:r>
      <w:r w:rsidR="00DA51FB" w:rsidRPr="00273106">
        <w:t xml:space="preserve">.3.3). </w:t>
      </w:r>
      <w:r w:rsidR="086C3699" w:rsidRPr="00273106">
        <w:t xml:space="preserve">Třetí princip </w:t>
      </w:r>
      <w:r w:rsidR="08FA63B8">
        <w:t>determinuje poznání na úrovni empirické</w:t>
      </w:r>
      <w:r w:rsidR="00DB77D2" w:rsidRPr="00273106">
        <w:t xml:space="preserve"> </w:t>
      </w:r>
      <w:r w:rsidR="001D0986">
        <w:t>„</w:t>
      </w:r>
      <w:r w:rsidR="00DB77D2" w:rsidRPr="00273106">
        <w:rPr>
          <w:i/>
        </w:rPr>
        <w:t>scientia</w:t>
      </w:r>
      <w:r w:rsidR="001D0986">
        <w:t>“</w:t>
      </w:r>
      <w:r w:rsidR="08FA63B8">
        <w:t xml:space="preserve">. Ale hledání </w:t>
      </w:r>
      <w:r w:rsidR="00C23DB9" w:rsidRPr="00273106">
        <w:t xml:space="preserve">kontingentní </w:t>
      </w:r>
      <w:r w:rsidR="086C3699" w:rsidRPr="00273106">
        <w:t xml:space="preserve">nutnosti v </w:t>
      </w:r>
      <w:r w:rsidR="08362A22" w:rsidRPr="00273106">
        <w:t xml:space="preserve">rámci </w:t>
      </w:r>
      <w:r w:rsidR="086C3699" w:rsidRPr="00273106">
        <w:t xml:space="preserve">deduktivního soudu </w:t>
      </w:r>
      <w:r w:rsidR="00C23DB9" w:rsidRPr="00273106">
        <w:t xml:space="preserve">vztaženého ke kauzálnímu působení reálných substancí </w:t>
      </w:r>
      <w:r w:rsidR="086C3699" w:rsidRPr="00273106">
        <w:t xml:space="preserve">dělá </w:t>
      </w:r>
      <w:r w:rsidR="00D65D37" w:rsidRPr="00273106">
        <w:t xml:space="preserve">pouze </w:t>
      </w:r>
      <w:r w:rsidR="000E5BBD" w:rsidRPr="00273106">
        <w:t xml:space="preserve">Grossetesteho </w:t>
      </w:r>
      <w:r w:rsidR="000E5BBD">
        <w:t xml:space="preserve">slabý </w:t>
      </w:r>
      <w:r w:rsidR="086C3699" w:rsidRPr="00273106">
        <w:t>intelekt (</w:t>
      </w:r>
      <w:r w:rsidR="086C3699" w:rsidRPr="00273106">
        <w:rPr>
          <w:i/>
        </w:rPr>
        <w:t>intellectus debilis</w:t>
      </w:r>
      <w:r w:rsidR="081B5393">
        <w:rPr>
          <w:i/>
        </w:rPr>
        <w:fldChar w:fldCharType="begin"/>
      </w:r>
      <w:r w:rsidR="081B5393">
        <w:instrText xml:space="preserve"> XE "</w:instrText>
      </w:r>
      <w:r w:rsidR="081B5393" w:rsidRPr="08BB1AD9">
        <w:rPr>
          <w:i/>
        </w:rPr>
        <w:instrText>intellectus debilis</w:instrText>
      </w:r>
      <w:r w:rsidR="081B5393">
        <w:instrText xml:space="preserve">" </w:instrText>
      </w:r>
      <w:r w:rsidR="081B5393">
        <w:rPr>
          <w:i/>
        </w:rPr>
        <w:fldChar w:fldCharType="end"/>
      </w:r>
      <w:r w:rsidR="08544C91">
        <w:t>, kap. 3</w:t>
      </w:r>
      <w:r w:rsidR="08CD41E3">
        <w:t>.1.2</w:t>
      </w:r>
      <w:r w:rsidR="00EB307C" w:rsidRPr="00273106">
        <w:t xml:space="preserve">). </w:t>
      </w:r>
      <w:r w:rsidR="087D4C37">
        <w:t xml:space="preserve">Silný intelekt </w:t>
      </w:r>
      <w:r w:rsidR="085D601B">
        <w:t xml:space="preserve">moderní </w:t>
      </w:r>
      <w:r w:rsidR="085D601B" w:rsidRPr="085D601B">
        <w:rPr>
          <w:i/>
        </w:rPr>
        <w:t>intelligentia spiritualis</w:t>
      </w:r>
      <w:r w:rsidR="085D601B">
        <w:rPr>
          <w:i/>
        </w:rPr>
        <w:fldChar w:fldCharType="begin"/>
      </w:r>
      <w:r w:rsidR="085D601B">
        <w:instrText xml:space="preserve"> XE "</w:instrText>
      </w:r>
      <w:r w:rsidR="085D601B" w:rsidRPr="08D75143">
        <w:rPr>
          <w:i/>
        </w:rPr>
        <w:instrText>intelligentia spiritualis</w:instrText>
      </w:r>
      <w:r w:rsidR="085D601B">
        <w:instrText xml:space="preserve">" </w:instrText>
      </w:r>
      <w:r w:rsidR="085D601B">
        <w:rPr>
          <w:i/>
        </w:rPr>
        <w:fldChar w:fldCharType="end"/>
      </w:r>
      <w:r w:rsidR="085D601B">
        <w:t xml:space="preserve"> </w:t>
      </w:r>
      <w:r w:rsidR="087D4C37">
        <w:t xml:space="preserve">se vyhřívá na slunci-intelektu v přítomnosti objektivní parousie jsoucna. </w:t>
      </w:r>
      <w:r w:rsidR="004C5B1A">
        <w:t>Akademičtí i</w:t>
      </w:r>
      <w:r w:rsidR="00AC432D">
        <w:t xml:space="preserve">lumináti jako </w:t>
      </w:r>
      <w:r w:rsidR="00EB307C" w:rsidRPr="00273106">
        <w:t xml:space="preserve">Kilwardby </w:t>
      </w:r>
      <w:r w:rsidR="00AC432D">
        <w:t>a po něm Bonaventura přebírají</w:t>
      </w:r>
      <w:r w:rsidR="00FB7F60" w:rsidRPr="00273106">
        <w:t xml:space="preserve"> dvojstupňové pojetí vědy, které zásadně napadl Albert </w:t>
      </w:r>
      <w:r w:rsidR="00690B41">
        <w:t xml:space="preserve">obhajobou skutečného </w:t>
      </w:r>
      <w:r w:rsidR="0078208E">
        <w:t>„</w:t>
      </w:r>
      <w:r w:rsidR="00FB7F60" w:rsidRPr="00273106">
        <w:rPr>
          <w:i/>
        </w:rPr>
        <w:t>esse ratum</w:t>
      </w:r>
      <w:r w:rsidR="0078208E">
        <w:t>“</w:t>
      </w:r>
      <w:r w:rsidR="00D90B42">
        <w:rPr>
          <w:i/>
        </w:rPr>
        <w:fldChar w:fldCharType="begin"/>
      </w:r>
      <w:r w:rsidR="00D90B42">
        <w:instrText xml:space="preserve"> XE "</w:instrText>
      </w:r>
      <w:r w:rsidR="00D90B42" w:rsidRPr="00AD770D">
        <w:rPr>
          <w:i/>
        </w:rPr>
        <w:instrText>esse ratum</w:instrText>
      </w:r>
      <w:r w:rsidR="00D90B42">
        <w:instrText xml:space="preserve">" </w:instrText>
      </w:r>
      <w:r w:rsidR="00D90B42">
        <w:rPr>
          <w:i/>
        </w:rPr>
        <w:fldChar w:fldCharType="end"/>
      </w:r>
      <w:r w:rsidR="00690B41">
        <w:t xml:space="preserve"> proti</w:t>
      </w:r>
      <w:r w:rsidR="0078208E">
        <w:t xml:space="preserve"> universálnímu „</w:t>
      </w:r>
      <w:r w:rsidR="00FB7F60" w:rsidRPr="00273106">
        <w:rPr>
          <w:i/>
        </w:rPr>
        <w:t>esse debilis</w:t>
      </w:r>
      <w:r w:rsidR="0078208E">
        <w:t>“</w:t>
      </w:r>
      <w:r w:rsidR="00A433E5">
        <w:rPr>
          <w:i/>
        </w:rPr>
        <w:fldChar w:fldCharType="begin"/>
      </w:r>
      <w:r w:rsidR="00A433E5">
        <w:instrText xml:space="preserve"> XE "</w:instrText>
      </w:r>
      <w:r w:rsidR="00C77A94">
        <w:rPr>
          <w:i/>
        </w:rPr>
        <w:instrText>esse debile</w:instrText>
      </w:r>
      <w:r w:rsidR="00A433E5">
        <w:instrText xml:space="preserve">" </w:instrText>
      </w:r>
      <w:r w:rsidR="00A433E5">
        <w:rPr>
          <w:i/>
        </w:rPr>
        <w:fldChar w:fldCharType="end"/>
      </w:r>
      <w:r w:rsidR="085F6FB7">
        <w:t xml:space="preserve"> (kap. 2</w:t>
      </w:r>
      <w:r w:rsidR="00FB7F60" w:rsidRPr="00273106">
        <w:t xml:space="preserve">.4.3). Kilwardby po Rufusovi </w:t>
      </w:r>
      <w:r w:rsidR="002B2C80">
        <w:t>radikalizoval</w:t>
      </w:r>
      <w:r w:rsidR="00EB307C" w:rsidRPr="00273106">
        <w:t xml:space="preserve"> zatmění reálné substance</w:t>
      </w:r>
      <w:r w:rsidR="005A3717">
        <w:t xml:space="preserve"> a vytvořil </w:t>
      </w:r>
      <w:r w:rsidR="000C3AFD" w:rsidRPr="00273106">
        <w:t>z</w:t>
      </w:r>
      <w:r w:rsidR="00E93996">
        <w:t xml:space="preserve"> této </w:t>
      </w:r>
      <w:r w:rsidR="0013717F">
        <w:t xml:space="preserve">epochální </w:t>
      </w:r>
      <w:r w:rsidR="00E93996">
        <w:t xml:space="preserve">chyby teoretický </w:t>
      </w:r>
      <w:r w:rsidR="000C3AFD" w:rsidRPr="00273106">
        <w:t>systém</w:t>
      </w:r>
      <w:r w:rsidR="00B1330C" w:rsidRPr="00273106">
        <w:t>.</w:t>
      </w:r>
      <w:r w:rsidR="004A3264">
        <w:t xml:space="preserve"> </w:t>
      </w:r>
      <w:r w:rsidR="00C9323B" w:rsidRPr="00273106">
        <w:t xml:space="preserve"> Zavedení porretánských hypostází do schématu </w:t>
      </w:r>
      <w:r w:rsidR="00F07F32">
        <w:t xml:space="preserve">vědeckého </w:t>
      </w:r>
      <w:r w:rsidR="00C9323B" w:rsidRPr="00273106">
        <w:t xml:space="preserve">poznání </w:t>
      </w:r>
      <w:r w:rsidR="00F07F32">
        <w:t xml:space="preserve">završilo </w:t>
      </w:r>
      <w:r w:rsidR="08737781">
        <w:t xml:space="preserve">nasvícení jsoucna zezadu a zavedlo vědeckou dedukci </w:t>
      </w:r>
      <w:r w:rsidR="08F12BEE" w:rsidRPr="00273106">
        <w:t>od trvalé esence</w:t>
      </w:r>
      <w:r w:rsidR="00A433E5">
        <w:fldChar w:fldCharType="begin"/>
      </w:r>
      <w:r w:rsidR="00A433E5">
        <w:instrText xml:space="preserve"> XE "</w:instrText>
      </w:r>
      <w:r w:rsidR="00A433E5" w:rsidRPr="00D12B27">
        <w:instrText>zjevování:nasvícení zezadu</w:instrText>
      </w:r>
      <w:r w:rsidR="00A433E5">
        <w:instrText xml:space="preserve">" </w:instrText>
      </w:r>
      <w:r w:rsidR="00A433E5">
        <w:fldChar w:fldCharType="end"/>
      </w:r>
      <w:r w:rsidR="08F12BEE" w:rsidRPr="00273106">
        <w:t xml:space="preserve">. </w:t>
      </w:r>
      <w:r w:rsidR="006F5ADC">
        <w:t xml:space="preserve">Reduplikace kauzality a </w:t>
      </w:r>
      <w:r w:rsidR="006F5ADC" w:rsidRPr="00273106">
        <w:t xml:space="preserve">esence </w:t>
      </w:r>
      <w:r w:rsidR="006F5ADC">
        <w:t xml:space="preserve">v modu logické univocity </w:t>
      </w:r>
      <w:r w:rsidR="006F5ADC" w:rsidRPr="00273106">
        <w:t>různých druhů nutnosti má pro hermeneutiku objektivity klíčový význam.</w:t>
      </w:r>
      <w:r w:rsidR="006F5ADC">
        <w:t xml:space="preserve"> </w:t>
      </w:r>
      <w:r w:rsidR="00270CCD" w:rsidRPr="00273106">
        <w:t xml:space="preserve">Podívejme se na celkovou stavbu vědeckého poznání, jak ji podávají </w:t>
      </w:r>
      <w:r w:rsidR="00270CCD" w:rsidRPr="00273106">
        <w:rPr>
          <w:i/>
        </w:rPr>
        <w:t>Notule</w:t>
      </w:r>
      <w:r w:rsidR="00270CCD" w:rsidRPr="00273106">
        <w:t>.</w:t>
      </w:r>
    </w:p>
    <w:p w14:paraId="7A1AF8A3" w14:textId="22F3B119" w:rsidR="00270CCD" w:rsidRDefault="00270CCD" w:rsidP="00270CCD">
      <w:pPr>
        <w:pStyle w:val="Citace"/>
        <w:rPr>
          <w:noProof/>
          <w:lang w:val="cs-CZ"/>
        </w:rPr>
      </w:pPr>
      <w:r w:rsidRPr="00273106">
        <w:rPr>
          <w:noProof/>
          <w:lang w:val="cs-CZ"/>
        </w:rPr>
        <w:t xml:space="preserve">„V premisách deduktivního vědeckého soudu se konstatuje účinek v poznávaném subjektu, pokud definice tohoto působení je dána ve středním členu soudu a pokud </w:t>
      </w:r>
      <w:r w:rsidR="00B1330C" w:rsidRPr="00273106">
        <w:rPr>
          <w:noProof/>
          <w:lang w:val="cs-CZ"/>
        </w:rPr>
        <w:t xml:space="preserve">střední člen </w:t>
      </w:r>
      <w:r w:rsidRPr="00273106">
        <w:rPr>
          <w:noProof/>
          <w:lang w:val="cs-CZ"/>
        </w:rPr>
        <w:t>vyjadř</w:t>
      </w:r>
      <w:r w:rsidR="00AC28BE">
        <w:rPr>
          <w:noProof/>
          <w:lang w:val="cs-CZ"/>
        </w:rPr>
        <w:t xml:space="preserve">uje </w:t>
      </w:r>
      <w:r w:rsidR="00CA026E">
        <w:rPr>
          <w:noProof/>
          <w:lang w:val="cs-CZ"/>
        </w:rPr>
        <w:t xml:space="preserve">reálnou </w:t>
      </w:r>
      <w:r w:rsidR="00AC28BE">
        <w:rPr>
          <w:noProof/>
          <w:lang w:val="cs-CZ"/>
        </w:rPr>
        <w:t>příčinu tohoto účinku. T</w:t>
      </w:r>
      <w:r w:rsidRPr="00273106">
        <w:rPr>
          <w:noProof/>
          <w:lang w:val="cs-CZ"/>
        </w:rPr>
        <w:t xml:space="preserve">vrdím, že v </w:t>
      </w:r>
      <w:r w:rsidR="003A5737">
        <w:rPr>
          <w:noProof/>
          <w:lang w:val="cs-CZ"/>
        </w:rPr>
        <w:t xml:space="preserve">obecné </w:t>
      </w:r>
      <w:r w:rsidRPr="00273106">
        <w:rPr>
          <w:noProof/>
          <w:lang w:val="cs-CZ"/>
        </w:rPr>
        <w:t xml:space="preserve">návěsti je obsažen čtvrtý princip poznání, protože porovnává příčinu </w:t>
      </w:r>
      <w:r w:rsidR="00B72201">
        <w:rPr>
          <w:noProof/>
          <w:lang w:val="cs-CZ"/>
        </w:rPr>
        <w:t xml:space="preserve">a její účinek </w:t>
      </w:r>
      <w:r w:rsidR="08904C9F">
        <w:rPr>
          <w:noProof/>
          <w:lang w:val="cs-CZ"/>
        </w:rPr>
        <w:t>(</w:t>
      </w:r>
      <w:r w:rsidR="08904C9F" w:rsidRPr="08904C9F">
        <w:rPr>
          <w:i/>
        </w:rPr>
        <w:t>comparat causam ad causatum</w:t>
      </w:r>
      <w:r w:rsidR="08904C9F">
        <w:rPr>
          <w:noProof/>
          <w:lang w:val="cs-CZ"/>
        </w:rPr>
        <w:t>)</w:t>
      </w:r>
      <w:r w:rsidRPr="00273106">
        <w:rPr>
          <w:noProof/>
          <w:lang w:val="cs-CZ"/>
        </w:rPr>
        <w:t>, což je zaměnitelné s prvním principem poznání (</w:t>
      </w:r>
      <w:r w:rsidR="005E24B1">
        <w:rPr>
          <w:i/>
          <w:noProof/>
          <w:lang w:val="cs-CZ"/>
        </w:rPr>
        <w:t>modus primus conv</w:t>
      </w:r>
      <w:r w:rsidRPr="00273106">
        <w:rPr>
          <w:i/>
          <w:noProof/>
          <w:lang w:val="cs-CZ"/>
        </w:rPr>
        <w:t>ersus</w:t>
      </w:r>
      <w:r w:rsidRPr="00273106">
        <w:rPr>
          <w:noProof/>
          <w:lang w:val="cs-CZ"/>
        </w:rPr>
        <w:t xml:space="preserve">). V </w:t>
      </w:r>
      <w:r w:rsidR="003A5737">
        <w:rPr>
          <w:noProof/>
          <w:lang w:val="cs-CZ"/>
        </w:rPr>
        <w:t xml:space="preserve">partikulární </w:t>
      </w:r>
      <w:r w:rsidRPr="00273106">
        <w:rPr>
          <w:noProof/>
          <w:lang w:val="cs-CZ"/>
        </w:rPr>
        <w:t>návěsti je kauzalita dána dvojím způsobem. Příčina reálného působení je vyjádřena středním členem soudu (</w:t>
      </w:r>
      <w:r w:rsidRPr="00273106">
        <w:rPr>
          <w:i/>
          <w:noProof/>
          <w:lang w:val="cs-CZ"/>
        </w:rPr>
        <w:t>causa enim passionis per medium expressa</w:t>
      </w:r>
      <w:r w:rsidRPr="00273106">
        <w:rPr>
          <w:noProof/>
          <w:lang w:val="cs-CZ"/>
        </w:rPr>
        <w:t>), nebo je dána v subjektu (</w:t>
      </w:r>
      <w:r w:rsidR="005E24B1">
        <w:rPr>
          <w:i/>
          <w:noProof/>
          <w:lang w:val="cs-CZ"/>
        </w:rPr>
        <w:t>v</w:t>
      </w:r>
      <w:r w:rsidRPr="00273106">
        <w:rPr>
          <w:i/>
          <w:noProof/>
          <w:lang w:val="cs-CZ"/>
        </w:rPr>
        <w:t>el est aliquid subiecti</w:t>
      </w:r>
      <w:r w:rsidRPr="00273106">
        <w:rPr>
          <w:noProof/>
          <w:lang w:val="cs-CZ"/>
        </w:rPr>
        <w:t xml:space="preserve">). </w:t>
      </w:r>
      <w:r w:rsidR="08731EC1">
        <w:rPr>
          <w:noProof/>
          <w:lang w:val="cs-CZ"/>
        </w:rPr>
        <w:t>Pokud je kauzalita dána v subjektu, p</w:t>
      </w:r>
      <w:r w:rsidRPr="00273106">
        <w:rPr>
          <w:noProof/>
          <w:lang w:val="cs-CZ"/>
        </w:rPr>
        <w:t xml:space="preserve">ak je </w:t>
      </w:r>
      <w:r w:rsidR="08C444AA">
        <w:rPr>
          <w:noProof/>
          <w:lang w:val="cs-CZ"/>
        </w:rPr>
        <w:t xml:space="preserve">v </w:t>
      </w:r>
      <w:r w:rsidR="003A5737">
        <w:rPr>
          <w:noProof/>
          <w:lang w:val="cs-CZ"/>
        </w:rPr>
        <w:t xml:space="preserve">partikulární </w:t>
      </w:r>
      <w:r w:rsidRPr="00273106">
        <w:rPr>
          <w:noProof/>
          <w:lang w:val="cs-CZ"/>
        </w:rPr>
        <w:t xml:space="preserve">návěsti obsažena i </w:t>
      </w:r>
      <w:r w:rsidR="003A5737">
        <w:rPr>
          <w:noProof/>
          <w:lang w:val="cs-CZ"/>
        </w:rPr>
        <w:t xml:space="preserve">obecná </w:t>
      </w:r>
      <w:r w:rsidRPr="00273106">
        <w:rPr>
          <w:noProof/>
          <w:lang w:val="cs-CZ"/>
        </w:rPr>
        <w:t xml:space="preserve">návěst. Nebo je </w:t>
      </w:r>
      <w:r w:rsidR="08095977">
        <w:rPr>
          <w:noProof/>
          <w:lang w:val="cs-CZ"/>
        </w:rPr>
        <w:t xml:space="preserve">návěst </w:t>
      </w:r>
      <w:r w:rsidRPr="00273106">
        <w:rPr>
          <w:noProof/>
          <w:lang w:val="cs-CZ"/>
        </w:rPr>
        <w:t xml:space="preserve">dána jako následek reálného </w:t>
      </w:r>
      <w:r w:rsidR="08155A1E">
        <w:rPr>
          <w:noProof/>
          <w:lang w:val="cs-CZ"/>
        </w:rPr>
        <w:t xml:space="preserve">kauzálního </w:t>
      </w:r>
      <w:r w:rsidRPr="00273106">
        <w:rPr>
          <w:noProof/>
          <w:lang w:val="cs-CZ"/>
        </w:rPr>
        <w:t>působení, a pak jde o druhý způsob.“</w:t>
      </w:r>
      <w:r w:rsidR="08B229A3">
        <w:rPr>
          <w:noProof/>
          <w:lang w:val="cs-CZ"/>
        </w:rPr>
        <w:t> </w:t>
      </w:r>
      <w:r w:rsidRPr="00273106">
        <w:rPr>
          <w:rStyle w:val="Znakapoznpodarou"/>
          <w:noProof/>
          <w:lang w:val="cs-CZ"/>
        </w:rPr>
        <w:footnoteReference w:id="485"/>
      </w:r>
    </w:p>
    <w:p w14:paraId="272CA146" w14:textId="77777777" w:rsidR="00492E59" w:rsidRDefault="00270CCD" w:rsidP="00990831">
      <w:r w:rsidRPr="00273106">
        <w:t xml:space="preserve">Střední člen </w:t>
      </w:r>
      <w:r w:rsidR="00E72E23">
        <w:t xml:space="preserve">deduktivního důkazu </w:t>
      </w:r>
      <w:r w:rsidRPr="00273106">
        <w:t xml:space="preserve">je dán ve dvou modech, které jsou postaveny do nové logiky poznání podle esence dané </w:t>
      </w:r>
      <w:r w:rsidRPr="00273106">
        <w:rPr>
          <w:i/>
        </w:rPr>
        <w:t>per prius</w:t>
      </w:r>
      <w:r w:rsidRPr="00273106">
        <w:t>. Příčina je dána obecně a na této úrovni kauzality se definuje první a univerzální rovina dedukce, tedy Grossetesteho poznání náhledem do prvních principů (</w:t>
      </w:r>
      <w:r w:rsidRPr="00273106">
        <w:rPr>
          <w:i/>
        </w:rPr>
        <w:t>intellectus</w:t>
      </w:r>
      <w:r w:rsidRPr="00273106">
        <w:t>). Toto poznání má hyparchickou funkci</w:t>
      </w:r>
      <w:r w:rsidR="000737DA">
        <w:t xml:space="preserve"> </w:t>
      </w:r>
      <w:r w:rsidR="0820555A">
        <w:t>v modu Avicennovy metafyziky esence</w:t>
      </w:r>
      <w:r w:rsidR="086952D1">
        <w:t xml:space="preserve">. Nová metafyzika </w:t>
      </w:r>
      <w:r w:rsidR="0820555A">
        <w:t>nahradila</w:t>
      </w:r>
      <w:r w:rsidRPr="00273106">
        <w:t xml:space="preserve"> </w:t>
      </w:r>
      <w:r w:rsidR="086952D1">
        <w:t xml:space="preserve">první vědu </w:t>
      </w:r>
      <w:r w:rsidR="0820555A">
        <w:t>Komentátora</w:t>
      </w:r>
      <w:r w:rsidR="086952D1">
        <w:t>, která byla zaměřena na primát první reálné substance</w:t>
      </w:r>
      <w:r w:rsidR="0820555A">
        <w:t>.</w:t>
      </w:r>
      <w:r w:rsidR="08904C9F">
        <w:t xml:space="preserve"> Klíčové sofisma se skrývá v tezi, která </w:t>
      </w:r>
      <w:r w:rsidR="08904C9F" w:rsidRPr="00273106">
        <w:t>porovnává příčinu a to, co způsobuje</w:t>
      </w:r>
      <w:r w:rsidR="08904C9F">
        <w:t xml:space="preserve"> (</w:t>
      </w:r>
      <w:r w:rsidR="08904C9F" w:rsidRPr="08904C9F">
        <w:rPr>
          <w:i/>
        </w:rPr>
        <w:t>comparat causam ad causatum</w:t>
      </w:r>
      <w:r w:rsidR="08904C9F">
        <w:t>). Termín „</w:t>
      </w:r>
      <w:r w:rsidR="08904C9F" w:rsidRPr="00591DFC">
        <w:rPr>
          <w:i/>
        </w:rPr>
        <w:t>causatum</w:t>
      </w:r>
      <w:r w:rsidR="08904C9F">
        <w:t>“ už nevyjadřuje univoční vztah k hyparchické první substanci a její kauzalitě. Generický význam esence nahradil jedinečnou kauzalitu</w:t>
      </w:r>
      <w:r w:rsidR="002F0AF8">
        <w:t xml:space="preserve"> danou reálu. </w:t>
      </w:r>
      <w:r w:rsidR="002F0AF8" w:rsidRPr="002F0AF8">
        <w:t xml:space="preserve">Obecný význam </w:t>
      </w:r>
      <w:r w:rsidR="002F0AF8">
        <w:t xml:space="preserve">esence </w:t>
      </w:r>
      <w:r w:rsidR="002F0AF8" w:rsidRPr="002F0AF8">
        <w:t xml:space="preserve">nahradil jedinečnou kauzalitu, která je dána ve skutečnosti. Naproti tomu </w:t>
      </w:r>
      <w:r w:rsidR="002F0AF8">
        <w:t xml:space="preserve">originál </w:t>
      </w:r>
      <w:r w:rsidR="002F0AF8" w:rsidRPr="08904C9F">
        <w:rPr>
          <w:i/>
        </w:rPr>
        <w:t>Druhých analytik</w:t>
      </w:r>
      <w:r w:rsidR="002F0AF8">
        <w:t xml:space="preserve"> </w:t>
      </w:r>
      <w:r w:rsidR="002F0AF8" w:rsidRPr="002F0AF8">
        <w:t>formuluje vědecký</w:t>
      </w:r>
      <w:r w:rsidR="002F0AF8">
        <w:t xml:space="preserve"> důkaz podle skutečného dění</w:t>
      </w:r>
      <w:r w:rsidR="002F0AF8" w:rsidRPr="002F0AF8">
        <w:t>. Musíme se řídit pořadím principů, které je stanoveno metafyzickým dativem</w:t>
      </w:r>
      <w:r w:rsidR="002F0AF8">
        <w:rPr>
          <w:szCs w:val="24"/>
        </w:rPr>
        <w:fldChar w:fldCharType="begin"/>
      </w:r>
      <w:r w:rsidR="002F0AF8">
        <w:instrText xml:space="preserve"> XE "</w:instrText>
      </w:r>
      <w:r w:rsidR="002F0AF8" w:rsidRPr="009A65A8">
        <w:rPr>
          <w:i/>
          <w:szCs w:val="24"/>
        </w:rPr>
        <w:instrText>dativus metaphysicus</w:instrText>
      </w:r>
      <w:r w:rsidR="002F0AF8">
        <w:instrText xml:space="preserve">" </w:instrText>
      </w:r>
      <w:r w:rsidR="002F0AF8">
        <w:rPr>
          <w:szCs w:val="24"/>
        </w:rPr>
        <w:fldChar w:fldCharType="end"/>
      </w:r>
      <w:r w:rsidR="002F0AF8" w:rsidRPr="002F0AF8">
        <w:t xml:space="preserve">, tedy </w:t>
      </w:r>
      <w:r w:rsidR="002F0AF8">
        <w:t xml:space="preserve">přechodem </w:t>
      </w:r>
      <w:r w:rsidR="002F0AF8" w:rsidRPr="002F0AF8">
        <w:t xml:space="preserve">od první triády principů k druhé. V tomto případě se nutnost daná </w:t>
      </w:r>
      <w:r w:rsidR="002F0AF8" w:rsidRPr="002F0AF8">
        <w:rPr>
          <w:i/>
        </w:rPr>
        <w:t>per se</w:t>
      </w:r>
      <w:r w:rsidR="002F0AF8" w:rsidRPr="002F0AF8">
        <w:t xml:space="preserve"> stává jedinečnou, neboť se odpovídajícím způsobem přesouvá od skutečnosti k deduktivnímu sylogismu (</w:t>
      </w:r>
      <w:r w:rsidR="002F0AF8" w:rsidRPr="002F0AF8">
        <w:rPr>
          <w:i/>
        </w:rPr>
        <w:t>demonstratio</w:t>
      </w:r>
      <w:r w:rsidR="002F0AF8">
        <w:rPr>
          <w:i/>
        </w:rPr>
        <w:fldChar w:fldCharType="begin"/>
      </w:r>
      <w:r w:rsidR="002F0AF8">
        <w:instrText xml:space="preserve"> XE "</w:instrText>
      </w:r>
      <w:r w:rsidR="002F0AF8" w:rsidRPr="008E6A59">
        <w:rPr>
          <w:i/>
        </w:rPr>
        <w:instrText>demonstratio</w:instrText>
      </w:r>
      <w:r w:rsidR="002F0AF8">
        <w:instrText xml:space="preserve">" </w:instrText>
      </w:r>
      <w:r w:rsidR="002F0AF8">
        <w:rPr>
          <w:i/>
        </w:rPr>
        <w:fldChar w:fldCharType="end"/>
      </w:r>
      <w:r w:rsidR="002F0AF8" w:rsidRPr="002F0AF8">
        <w:t xml:space="preserve">). Nejprve je třeba sledovat metafyzickou a jednoznačnou </w:t>
      </w:r>
      <w:r w:rsidR="002F0AF8">
        <w:t xml:space="preserve">impozici </w:t>
      </w:r>
      <w:r w:rsidR="002F0AF8" w:rsidRPr="002F0AF8">
        <w:t>(</w:t>
      </w:r>
      <w:r w:rsidR="002F0AF8" w:rsidRPr="002F0AF8">
        <w:rPr>
          <w:i/>
        </w:rPr>
        <w:t>Anal. Post</w:t>
      </w:r>
      <w:r w:rsidR="002F0AF8" w:rsidRPr="002F0AF8">
        <w:t>. 84a13), aby se posléze dospělo k univerzální a logicky jednoznačné supozici (</w:t>
      </w:r>
      <w:r w:rsidR="002F0AF8" w:rsidRPr="002F0AF8">
        <w:rPr>
          <w:i/>
        </w:rPr>
        <w:t>Anal. Post</w:t>
      </w:r>
      <w:r w:rsidR="002F0AF8" w:rsidRPr="002F0AF8">
        <w:t>. 84a14</w:t>
      </w:r>
      <w:r w:rsidR="002F0AF8">
        <w:fldChar w:fldCharType="begin"/>
      </w:r>
      <w:r w:rsidR="002F0AF8">
        <w:instrText xml:space="preserve"> XE "Aristoteles:</w:instrText>
      </w:r>
      <w:r w:rsidR="002F0AF8" w:rsidRPr="00273106">
        <w:rPr>
          <w:i/>
        </w:rPr>
        <w:instrText>Anal. Post</w:instrText>
      </w:r>
      <w:r w:rsidR="002F0AF8">
        <w:instrText>. 84a13</w:instrText>
      </w:r>
      <w:r w:rsidR="002F0AF8">
        <w:rPr>
          <w:rFonts w:cs="Calibri"/>
        </w:rPr>
        <w:instrText>–</w:instrText>
      </w:r>
      <w:r w:rsidR="002F0AF8" w:rsidRPr="00273106">
        <w:instrText>14</w:instrText>
      </w:r>
      <w:r w:rsidR="002F0AF8">
        <w:instrText xml:space="preserve">" </w:instrText>
      </w:r>
      <w:r w:rsidR="002F0AF8">
        <w:fldChar w:fldCharType="end"/>
      </w:r>
      <w:r w:rsidR="002F0AF8">
        <w:t xml:space="preserve">). </w:t>
      </w:r>
      <w:r w:rsidR="00091A89">
        <w:t>K</w:t>
      </w:r>
      <w:r w:rsidR="00591DFC">
        <w:t>il</w:t>
      </w:r>
      <w:r w:rsidR="00091A89">
        <w:t>war</w:t>
      </w:r>
      <w:r w:rsidR="00591DFC">
        <w:t>d</w:t>
      </w:r>
      <w:r w:rsidR="00091A89">
        <w:t xml:space="preserve">by otočil schéma vědeckého důkazu. </w:t>
      </w:r>
      <w:r w:rsidR="08904C9F">
        <w:t xml:space="preserve">Opět platí </w:t>
      </w:r>
      <w:r w:rsidR="08904C9F" w:rsidRPr="00273106">
        <w:t>Godfreyho</w:t>
      </w:r>
      <w:r w:rsidR="08904C9F">
        <w:t xml:space="preserve"> epigram o nominalistech, kteří do světa projektují generické</w:t>
      </w:r>
      <w:r w:rsidR="08904C9F" w:rsidRPr="00273106">
        <w:t xml:space="preserve"> výplody </w:t>
      </w:r>
      <w:r w:rsidR="08904C9F">
        <w:t xml:space="preserve">vlastní </w:t>
      </w:r>
      <w:r w:rsidR="08904C9F" w:rsidRPr="00273106">
        <w:t>mysli (</w:t>
      </w:r>
      <w:r w:rsidR="08904C9F" w:rsidRPr="00273106">
        <w:rPr>
          <w:i/>
        </w:rPr>
        <w:t>cum sit tot generibus rerum mundus plenus</w:t>
      </w:r>
      <w:r w:rsidR="08904C9F">
        <w:rPr>
          <w:i/>
        </w:rPr>
        <w:t xml:space="preserve">, </w:t>
      </w:r>
      <w:r w:rsidR="08904C9F" w:rsidRPr="08904C9F">
        <w:t>kap.</w:t>
      </w:r>
      <w:r w:rsidR="087425BC">
        <w:t xml:space="preserve"> 1</w:t>
      </w:r>
      <w:r w:rsidR="08904C9F">
        <w:t>.6</w:t>
      </w:r>
      <w:r w:rsidR="08904C9F" w:rsidRPr="00273106">
        <w:t xml:space="preserve">). </w:t>
      </w:r>
      <w:r w:rsidRPr="00273106">
        <w:t xml:space="preserve">Čtvrtý </w:t>
      </w:r>
      <w:r w:rsidR="00BC5979">
        <w:t xml:space="preserve">princip poznání v modu </w:t>
      </w:r>
      <w:r w:rsidR="00010B8E">
        <w:rPr>
          <w:i/>
        </w:rPr>
        <w:t>inmediate</w:t>
      </w:r>
      <w:r w:rsidRPr="00273106">
        <w:t xml:space="preserve"> je </w:t>
      </w:r>
      <w:r w:rsidR="00424C15">
        <w:t xml:space="preserve">proto </w:t>
      </w:r>
      <w:r w:rsidRPr="00273106">
        <w:t xml:space="preserve">zbytečný </w:t>
      </w:r>
      <w:r w:rsidR="00BC5979">
        <w:t xml:space="preserve">a je zahrnutý do první univerzální návěsti </w:t>
      </w:r>
      <w:r w:rsidRPr="00273106">
        <w:t>(</w:t>
      </w:r>
      <w:r w:rsidRPr="00273106">
        <w:rPr>
          <w:i/>
        </w:rPr>
        <w:t>in maiori propositione est quartus modus</w:t>
      </w:r>
      <w:r w:rsidR="00424C15">
        <w:t xml:space="preserve">). Působení první substance </w:t>
      </w:r>
      <w:r w:rsidRPr="00273106">
        <w:t xml:space="preserve">jen kontingentně </w:t>
      </w:r>
      <w:r w:rsidR="00255F4A">
        <w:t xml:space="preserve">a sekundárně </w:t>
      </w:r>
      <w:r w:rsidRPr="00273106">
        <w:t>potvr</w:t>
      </w:r>
      <w:r w:rsidR="000E63D9">
        <w:t xml:space="preserve">zuje univerzálně danou nutnost </w:t>
      </w:r>
      <w:r w:rsidRPr="00273106">
        <w:rPr>
          <w:i/>
        </w:rPr>
        <w:t>per se</w:t>
      </w:r>
      <w:r w:rsidR="08BE01C7">
        <w:t xml:space="preserve"> predikovanou vzhledem k porretánské esenci. </w:t>
      </w:r>
      <w:r w:rsidR="000E63D9">
        <w:t xml:space="preserve">Základní aristotelský princip </w:t>
      </w:r>
      <w:r w:rsidR="00010B8E">
        <w:rPr>
          <w:i/>
        </w:rPr>
        <w:t>inmediate</w:t>
      </w:r>
      <w:r w:rsidR="00113B5C">
        <w:t xml:space="preserve"> </w:t>
      </w:r>
      <w:r w:rsidR="087A7A91">
        <w:t xml:space="preserve">změněn na Grossessteho analytický princip </w:t>
      </w:r>
      <w:r w:rsidR="087A7A91" w:rsidRPr="087A7A91">
        <w:rPr>
          <w:i/>
        </w:rPr>
        <w:t>inmediate</w:t>
      </w:r>
      <w:r w:rsidR="087A7A91">
        <w:t xml:space="preserve"> a </w:t>
      </w:r>
      <w:r w:rsidRPr="00273106">
        <w:t xml:space="preserve">je </w:t>
      </w:r>
      <w:r w:rsidR="00113B5C">
        <w:t xml:space="preserve">determinován zezadu, od </w:t>
      </w:r>
      <w:r w:rsidRPr="00273106">
        <w:t>obecně pojaté kauzality (</w:t>
      </w:r>
      <w:r w:rsidRPr="00273106">
        <w:rPr>
          <w:i/>
        </w:rPr>
        <w:t>comparat causam ad causatum</w:t>
      </w:r>
      <w:r w:rsidRPr="00273106">
        <w:t>)</w:t>
      </w:r>
      <w:r w:rsidR="00113B5C">
        <w:t xml:space="preserve">. </w:t>
      </w:r>
      <w:r w:rsidR="08DC5CF9">
        <w:t xml:space="preserve">Termín </w:t>
      </w:r>
      <w:r w:rsidR="08DC5CF9" w:rsidRPr="08DC5CF9">
        <w:rPr>
          <w:i/>
        </w:rPr>
        <w:t>causatum</w:t>
      </w:r>
      <w:r w:rsidR="08DC5CF9">
        <w:t xml:space="preserve"> je pojat v </w:t>
      </w:r>
      <w:r w:rsidR="082433F1">
        <w:t xml:space="preserve">transcendentálním pojetí </w:t>
      </w:r>
      <w:r w:rsidR="08DC5CF9">
        <w:t>neoplatonismu</w:t>
      </w:r>
      <w:r w:rsidR="082433F1" w:rsidRPr="082433F1">
        <w:t xml:space="preserve"> </w:t>
      </w:r>
      <w:r w:rsidR="082433F1">
        <w:t xml:space="preserve">v univočním modu </w:t>
      </w:r>
      <w:r w:rsidR="082433F1" w:rsidRPr="00C83D43">
        <w:rPr>
          <w:rStyle w:val="TextpoznpodarouChar"/>
          <w:i/>
        </w:rPr>
        <w:t>esse ad</w:t>
      </w:r>
      <w:r w:rsidR="08DC5CF9">
        <w:t xml:space="preserve">, který jsme vyložili u Simplikiova pojetí </w:t>
      </w:r>
      <w:r w:rsidR="08CE194E">
        <w:t xml:space="preserve">vztahu a </w:t>
      </w:r>
      <w:r w:rsidR="08DC5CF9">
        <w:t>habitu</w:t>
      </w:r>
      <w:r w:rsidR="08CE194E">
        <w:t xml:space="preserve">. Kategoriální význam se přesunul na esenci v modu </w:t>
      </w:r>
      <w:r w:rsidR="08CE194E">
        <w:rPr>
          <w:i/>
        </w:rPr>
        <w:t xml:space="preserve">simpliciter </w:t>
      </w:r>
      <w:r w:rsidR="08CE194E">
        <w:t>(</w:t>
      </w:r>
      <w:r w:rsidR="08CE194E" w:rsidRPr="004C6AC0">
        <w:t>πρός τι τὸ ἁπλῶς</w:t>
      </w:r>
      <w:r w:rsidR="08296916">
        <w:t xml:space="preserve">; OBJ I, </w:t>
      </w:r>
      <w:r w:rsidR="084E7952">
        <w:t>kap. 1.3</w:t>
      </w:r>
      <w:r w:rsidR="08CE194E">
        <w:t xml:space="preserve">.2). </w:t>
      </w:r>
      <w:r w:rsidR="00113B5C">
        <w:t xml:space="preserve">Kauzalita reálného zatmění a abstraktní matematiky </w:t>
      </w:r>
      <w:r w:rsidR="08AF7535">
        <w:t xml:space="preserve">platí </w:t>
      </w:r>
      <w:r w:rsidR="08AF7535" w:rsidRPr="00273106">
        <w:t>univočně</w:t>
      </w:r>
      <w:r w:rsidR="08AF7535">
        <w:t xml:space="preserve"> </w:t>
      </w:r>
      <w:r w:rsidR="08B47F22">
        <w:t xml:space="preserve">skrze termín </w:t>
      </w:r>
      <w:r w:rsidR="08B47F22" w:rsidRPr="08B47F22">
        <w:rPr>
          <w:i/>
        </w:rPr>
        <w:t>causatum</w:t>
      </w:r>
      <w:r w:rsidR="00113B5C">
        <w:t xml:space="preserve">. Opět jde o typické schéma </w:t>
      </w:r>
      <w:r w:rsidR="00113B5C" w:rsidRPr="00113B5C">
        <w:rPr>
          <w:i/>
        </w:rPr>
        <w:t>Oxfordian Fallacy</w:t>
      </w:r>
      <w:r w:rsidR="000E63D9">
        <w:t xml:space="preserve">, které zrušilo hyparchickou funkci první substance a kategoriální impozici kauzality z pozorované reality </w:t>
      </w:r>
      <w:r w:rsidR="08766028">
        <w:t xml:space="preserve">skutečných </w:t>
      </w:r>
      <w:r w:rsidR="00492E59">
        <w:t>prvních substancí.</w:t>
      </w:r>
    </w:p>
    <w:p w14:paraId="77C16E43" w14:textId="7633BFAA" w:rsidR="005C0451" w:rsidRPr="00273106" w:rsidRDefault="08300BB9" w:rsidP="00492E59">
      <w:pPr>
        <w:ind w:firstLine="397"/>
      </w:pPr>
      <w:r>
        <w:t xml:space="preserve">Moderna nepotřebuje </w:t>
      </w:r>
      <w:r w:rsidR="082A724F">
        <w:t xml:space="preserve">metafyzický </w:t>
      </w:r>
      <w:r>
        <w:t>dativ</w:t>
      </w:r>
      <w:r>
        <w:fldChar w:fldCharType="begin"/>
      </w:r>
      <w:r>
        <w:instrText xml:space="preserve"> XE "</w:instrText>
      </w:r>
      <w:r w:rsidR="082A724F">
        <w:rPr>
          <w:i/>
        </w:rPr>
        <w:instrText>dativus metaphysi</w:instrText>
      </w:r>
      <w:r w:rsidRPr="08300BB9">
        <w:rPr>
          <w:i/>
        </w:rPr>
        <w:instrText>cus</w:instrText>
      </w:r>
      <w:r>
        <w:instrText xml:space="preserve">" </w:instrText>
      </w:r>
      <w:r>
        <w:fldChar w:fldCharType="end"/>
      </w:r>
      <w:r w:rsidR="00591DFC">
        <w:t xml:space="preserve">, protože </w:t>
      </w:r>
      <w:r w:rsidR="08C136FC">
        <w:t>s</w:t>
      </w:r>
      <w:r>
        <w:t>m</w:t>
      </w:r>
      <w:r w:rsidR="08C136FC">
        <w:t>y</w:t>
      </w:r>
      <w:r w:rsidR="087F1B24">
        <w:t>sl jso</w:t>
      </w:r>
      <w:r>
        <w:t>u</w:t>
      </w:r>
      <w:r w:rsidR="087F1B24">
        <w:t>c</w:t>
      </w:r>
      <w:r>
        <w:t xml:space="preserve">na </w:t>
      </w:r>
      <w:r w:rsidR="00591DFC">
        <w:t>jde od poznávajícího subjektu</w:t>
      </w:r>
      <w:r>
        <w:t xml:space="preserve">. </w:t>
      </w:r>
      <w:r w:rsidR="00E22C51">
        <w:t>Aristoteles výslovně zmiňuje</w:t>
      </w:r>
      <w:r w:rsidR="00E22C51" w:rsidRPr="00273106">
        <w:t xml:space="preserve"> odlišnou danost </w:t>
      </w:r>
      <w:r w:rsidR="086A3B98">
        <w:t>nutnosti v realitě</w:t>
      </w:r>
      <w:r w:rsidR="00E22C51" w:rsidRPr="00273106">
        <w:t xml:space="preserve"> </w:t>
      </w:r>
      <w:r w:rsidR="08AD3664">
        <w:t xml:space="preserve">a logickém soudu </w:t>
      </w:r>
      <w:r w:rsidR="00E22C51" w:rsidRPr="00273106">
        <w:t xml:space="preserve">(ἅλλον τρόπον, </w:t>
      </w:r>
      <w:r w:rsidR="00E22C51" w:rsidRPr="00DF2984">
        <w:rPr>
          <w:i/>
        </w:rPr>
        <w:t>Anal. Post</w:t>
      </w:r>
      <w:r w:rsidR="00E22C51" w:rsidRPr="00273106">
        <w:t>. 73b10</w:t>
      </w:r>
      <w:r w:rsidR="00E22C51">
        <w:fldChar w:fldCharType="begin"/>
      </w:r>
      <w:r w:rsidR="00E22C51">
        <w:instrText xml:space="preserve"> XE "Aristoteles:</w:instrText>
      </w:r>
      <w:r w:rsidR="00E22C51" w:rsidRPr="00F421F5">
        <w:rPr>
          <w:i/>
        </w:rPr>
        <w:instrText>Anal. Post</w:instrText>
      </w:r>
      <w:r w:rsidR="00E22C51" w:rsidRPr="00F421F5">
        <w:instrText>. 73b10</w:instrText>
      </w:r>
      <w:r w:rsidR="00E22C51">
        <w:instrText xml:space="preserve">" </w:instrText>
      </w:r>
      <w:r w:rsidR="00E22C51">
        <w:fldChar w:fldCharType="end"/>
      </w:r>
      <w:r w:rsidR="086A3B98">
        <w:t>). Pokud se zvířeti podřeže krk</w:t>
      </w:r>
      <w:r w:rsidR="00E22C51" w:rsidRPr="00273106">
        <w:t xml:space="preserve">, </w:t>
      </w:r>
      <w:r w:rsidR="086A3B98">
        <w:t xml:space="preserve">pak </w:t>
      </w:r>
      <w:r w:rsidR="00E22C51" w:rsidRPr="00273106">
        <w:t xml:space="preserve">nutně následuje smrt, </w:t>
      </w:r>
      <w:r w:rsidR="086A3B98">
        <w:t>kterou následně konstatuje</w:t>
      </w:r>
      <w:r w:rsidR="00E22C51" w:rsidRPr="00273106">
        <w:t xml:space="preserve"> </w:t>
      </w:r>
      <w:r w:rsidR="086A3B98">
        <w:t xml:space="preserve"> obecný </w:t>
      </w:r>
      <w:r w:rsidR="00B226B5">
        <w:t>metafyzický, tj. deduktivně-vědecký</w:t>
      </w:r>
      <w:r w:rsidR="08AD3664">
        <w:t xml:space="preserve"> </w:t>
      </w:r>
      <w:r w:rsidR="086A3B98">
        <w:t>soud</w:t>
      </w:r>
      <w:r w:rsidR="00E22C51" w:rsidRPr="00273106">
        <w:t xml:space="preserve">. </w:t>
      </w:r>
      <w:r w:rsidR="088C7F42">
        <w:t xml:space="preserve">Vědecké vysvětlení existuje proto, že existuje zatmění reálného Slunce nebo Měsíce jako fyzikálních těles. </w:t>
      </w:r>
      <w:r w:rsidR="00E22C51" w:rsidRPr="00273106">
        <w:t xml:space="preserve">Moderní sofistika toto rozlišení mezi jedinečnou realitou a univerzální </w:t>
      </w:r>
      <w:r w:rsidR="0836753C">
        <w:t xml:space="preserve">logickou </w:t>
      </w:r>
      <w:r w:rsidR="00E22C51" w:rsidRPr="00273106">
        <w:t xml:space="preserve">predikací velkoryse pominula. </w:t>
      </w:r>
      <w:r w:rsidR="00010B8E" w:rsidRPr="00010B8E">
        <w:t>Mrtvola je specifická entita z</w:t>
      </w:r>
      <w:r w:rsidR="00010B8E">
        <w:t> </w:t>
      </w:r>
      <w:r w:rsidR="00010B8E" w:rsidRPr="00010B8E">
        <w:t>po</w:t>
      </w:r>
      <w:r w:rsidR="00010B8E">
        <w:t xml:space="preserve">rretánského </w:t>
      </w:r>
      <w:r w:rsidR="00010B8E" w:rsidRPr="00010B8E">
        <w:t xml:space="preserve">hlediska, je to </w:t>
      </w:r>
      <w:r w:rsidR="00010B8E">
        <w:t xml:space="preserve">tedy </w:t>
      </w:r>
      <w:r w:rsidR="00010B8E" w:rsidRPr="00010B8E">
        <w:t>stejná lidská bytost jako hyparchická živá osoba.</w:t>
      </w:r>
      <w:r w:rsidR="00010B8E">
        <w:t xml:space="preserve"> </w:t>
      </w:r>
      <w:r w:rsidR="00450891">
        <w:t>P</w:t>
      </w:r>
      <w:r w:rsidR="000E63D9">
        <w:t xml:space="preserve">rincip </w:t>
      </w:r>
      <w:r w:rsidR="00FC68C7">
        <w:t>„</w:t>
      </w:r>
      <w:r w:rsidR="00010B8E">
        <w:rPr>
          <w:i/>
        </w:rPr>
        <w:t>inmediate</w:t>
      </w:r>
      <w:r w:rsidR="00FC68C7">
        <w:t>“</w:t>
      </w:r>
      <w:r w:rsidR="00450891">
        <w:t xml:space="preserve"> zajišťuje pravdu jako adekvaci reality a intelektu v modu nasvícení zepředu. </w:t>
      </w:r>
      <w:r w:rsidR="000E63D9">
        <w:t xml:space="preserve">Analytický výklad říká, že proces zatmění určuje v primárním modu teoretická věda a jeho výskyt v realitě tvoří pouze kontigentní a tudíž málo významný případek teoretické spekulace. </w:t>
      </w:r>
      <w:r w:rsidR="00113B5C">
        <w:t xml:space="preserve">Věda </w:t>
      </w:r>
      <w:r w:rsidR="00270CCD" w:rsidRPr="00273106">
        <w:t xml:space="preserve">není </w:t>
      </w:r>
      <w:r w:rsidR="000E63D9">
        <w:t xml:space="preserve">v modu </w:t>
      </w:r>
      <w:r w:rsidR="000E63D9" w:rsidRPr="000E63D9">
        <w:rPr>
          <w:i/>
        </w:rPr>
        <w:t>per prius</w:t>
      </w:r>
      <w:r w:rsidR="000E63D9">
        <w:t xml:space="preserve"> </w:t>
      </w:r>
      <w:r w:rsidR="00270CCD" w:rsidRPr="00273106">
        <w:t xml:space="preserve">vázaná na hyparchickou funkci první substance a </w:t>
      </w:r>
      <w:r w:rsidR="0044715D" w:rsidRPr="00273106">
        <w:t xml:space="preserve">na </w:t>
      </w:r>
      <w:r w:rsidR="00270CCD" w:rsidRPr="00273106">
        <w:t xml:space="preserve">její kauzální a aktuální působení dané </w:t>
      </w:r>
      <w:r w:rsidR="00113B5C">
        <w:t>v realitě.</w:t>
      </w:r>
      <w:r w:rsidR="00270CCD" w:rsidRPr="00273106">
        <w:t xml:space="preserve"> Ale střední člen soudu na nižší rovině empirické </w:t>
      </w:r>
      <w:r w:rsidR="00270CCD" w:rsidRPr="00273106">
        <w:rPr>
          <w:i/>
        </w:rPr>
        <w:t>scientia</w:t>
      </w:r>
      <w:r w:rsidR="00270CCD" w:rsidRPr="00273106">
        <w:t xml:space="preserve"> zahrnuje i </w:t>
      </w:r>
      <w:r w:rsidR="00327F10">
        <w:t>kauzalitu reálných substancí. T</w:t>
      </w:r>
      <w:r w:rsidR="00270CCD" w:rsidRPr="00273106">
        <w:t xml:space="preserve">ento druhý způsob poznání </w:t>
      </w:r>
      <w:r w:rsidR="00206E59">
        <w:t>(</w:t>
      </w:r>
      <w:r w:rsidR="00206E59" w:rsidRPr="00754C55">
        <w:rPr>
          <w:i/>
        </w:rPr>
        <w:t>secundus modus</w:t>
      </w:r>
      <w:r w:rsidR="00206E59">
        <w:t xml:space="preserve">) </w:t>
      </w:r>
      <w:r w:rsidR="00270CCD" w:rsidRPr="00273106">
        <w:t xml:space="preserve">má </w:t>
      </w:r>
      <w:r w:rsidR="00327F10">
        <w:t xml:space="preserve">také </w:t>
      </w:r>
      <w:r w:rsidR="00270CCD" w:rsidRPr="00273106">
        <w:t>vědeckou platnost</w:t>
      </w:r>
      <w:r w:rsidR="00067899">
        <w:t>, i když omezenou</w:t>
      </w:r>
      <w:r w:rsidR="08A36E00">
        <w:t xml:space="preserve"> na </w:t>
      </w:r>
      <w:r w:rsidR="085A0EA5">
        <w:t xml:space="preserve">empiricky poznávající </w:t>
      </w:r>
      <w:r w:rsidR="08A36E00">
        <w:t>intelekt</w:t>
      </w:r>
      <w:r w:rsidR="085A0EA5">
        <w:t xml:space="preserve"> v modu aristotelské abstrakce</w:t>
      </w:r>
      <w:r w:rsidR="00754C55">
        <w:t xml:space="preserve">. </w:t>
      </w:r>
      <w:r w:rsidR="00067899">
        <w:t xml:space="preserve">Pak platí </w:t>
      </w:r>
      <w:r w:rsidR="00067899" w:rsidRPr="00067899">
        <w:rPr>
          <w:i/>
        </w:rPr>
        <w:t>demonst</w:t>
      </w:r>
      <w:r w:rsidR="00067899">
        <w:rPr>
          <w:i/>
        </w:rPr>
        <w:t>r</w:t>
      </w:r>
      <w:r w:rsidR="00067899" w:rsidRPr="00067899">
        <w:rPr>
          <w:i/>
        </w:rPr>
        <w:t>atio</w:t>
      </w:r>
      <w:r w:rsidR="007A6052">
        <w:rPr>
          <w:i/>
        </w:rPr>
        <w:fldChar w:fldCharType="begin"/>
      </w:r>
      <w:r w:rsidR="007A6052">
        <w:instrText xml:space="preserve"> XE "</w:instrText>
      </w:r>
      <w:r w:rsidR="007A6052" w:rsidRPr="004E6075">
        <w:rPr>
          <w:i/>
        </w:rPr>
        <w:instrText>demonstratio:</w:instrText>
      </w:r>
      <w:r w:rsidR="00753875" w:rsidRPr="00753875">
        <w:instrText>Kilwardby</w:instrText>
      </w:r>
      <w:r w:rsidR="007A6052">
        <w:instrText xml:space="preserve">" </w:instrText>
      </w:r>
      <w:r w:rsidR="007A6052">
        <w:rPr>
          <w:i/>
        </w:rPr>
        <w:fldChar w:fldCharType="end"/>
      </w:r>
      <w:r w:rsidR="00067899">
        <w:t xml:space="preserve"> </w:t>
      </w:r>
      <w:r w:rsidR="00754C55">
        <w:t>v rá</w:t>
      </w:r>
      <w:r w:rsidR="08256A66">
        <w:t>mci kontigentního poznání, kterému</w:t>
      </w:r>
      <w:r w:rsidR="00754C55">
        <w:t xml:space="preserve"> odpovídá Grossetesteho </w:t>
      </w:r>
      <w:r w:rsidR="00754C55" w:rsidRPr="00754C55">
        <w:rPr>
          <w:i/>
        </w:rPr>
        <w:t>scientia</w:t>
      </w:r>
      <w:r w:rsidR="00270CCD" w:rsidRPr="00273106">
        <w:t xml:space="preserve">. </w:t>
      </w:r>
      <w:r w:rsidR="00F27D1A">
        <w:t>Oba mody</w:t>
      </w:r>
      <w:r w:rsidR="006F65A6">
        <w:t xml:space="preserve"> poznání spojuje </w:t>
      </w:r>
      <w:r w:rsidR="00270CCD" w:rsidRPr="00273106">
        <w:t>analyticky pojatá nutnost</w:t>
      </w:r>
      <w:r w:rsidR="00F908B4">
        <w:t xml:space="preserve">, která </w:t>
      </w:r>
      <w:r w:rsidR="002853A5">
        <w:fldChar w:fldCharType="begin"/>
      </w:r>
      <w:r w:rsidR="002853A5">
        <w:instrText xml:space="preserve"> XE "</w:instrText>
      </w:r>
      <w:r w:rsidR="002853A5" w:rsidRPr="000A51ED">
        <w:instrText>nutnost:objektivní</w:instrText>
      </w:r>
      <w:r w:rsidR="002853A5">
        <w:instrText xml:space="preserve">" </w:instrText>
      </w:r>
      <w:r w:rsidR="002853A5">
        <w:fldChar w:fldCharType="end"/>
      </w:r>
      <w:r w:rsidR="00F908B4">
        <w:t xml:space="preserve">je </w:t>
      </w:r>
      <w:r w:rsidR="00270CCD" w:rsidRPr="00273106">
        <w:t xml:space="preserve">vzata </w:t>
      </w:r>
      <w:r w:rsidR="006F65A6" w:rsidRPr="00273106">
        <w:t xml:space="preserve">univočně </w:t>
      </w:r>
      <w:r w:rsidR="006F65A6">
        <w:t>podle moderního</w:t>
      </w:r>
      <w:r w:rsidR="00F908B4">
        <w:t xml:space="preserve"> </w:t>
      </w:r>
      <w:r w:rsidR="00270CCD" w:rsidRPr="00273106">
        <w:rPr>
          <w:i/>
        </w:rPr>
        <w:t>resolutio</w:t>
      </w:r>
      <w:r w:rsidR="007D3515" w:rsidRPr="00A45AB0">
        <w:fldChar w:fldCharType="begin"/>
      </w:r>
      <w:r w:rsidR="007D3515" w:rsidRPr="00A45AB0">
        <w:instrText xml:space="preserve"> XE "</w:instrText>
      </w:r>
      <w:r w:rsidR="007D3515" w:rsidRPr="00274E9F">
        <w:rPr>
          <w:i/>
        </w:rPr>
        <w:instrText>resolutio</w:instrText>
      </w:r>
      <w:r w:rsidR="007D3515">
        <w:rPr>
          <w:i/>
        </w:rPr>
        <w:instrText>:</w:instrText>
      </w:r>
      <w:r w:rsidR="007D3515">
        <w:instrText>Kilwardby</w:instrText>
      </w:r>
      <w:r w:rsidR="007D3515" w:rsidRPr="00A45AB0">
        <w:instrText xml:space="preserve">" </w:instrText>
      </w:r>
      <w:r w:rsidR="007D3515" w:rsidRPr="00A45AB0">
        <w:fldChar w:fldCharType="end"/>
      </w:r>
      <w:r w:rsidR="00F908B4">
        <w:t xml:space="preserve"> spojujícího první triádu principů poznání se druhou. N</w:t>
      </w:r>
      <w:r w:rsidR="00990831">
        <w:t xml:space="preserve">ositelem poznání není </w:t>
      </w:r>
      <w:r w:rsidR="00595EDB">
        <w:t xml:space="preserve">reálná </w:t>
      </w:r>
      <w:r w:rsidR="00990831">
        <w:t xml:space="preserve">první substance, ale </w:t>
      </w:r>
      <w:r w:rsidR="00595EDB">
        <w:t xml:space="preserve">porretánská </w:t>
      </w:r>
      <w:r w:rsidR="00990831">
        <w:t xml:space="preserve">esence </w:t>
      </w:r>
      <w:r w:rsidR="00595EDB">
        <w:t xml:space="preserve">definovaná </w:t>
      </w:r>
      <w:r w:rsidR="00990831">
        <w:t xml:space="preserve">jako </w:t>
      </w:r>
      <w:r w:rsidR="00763F4D">
        <w:t xml:space="preserve">jsoucno třetího druhu </w:t>
      </w:r>
      <w:r w:rsidR="00270CCD" w:rsidRPr="00273106">
        <w:t>(</w:t>
      </w:r>
      <w:r w:rsidR="00270CCD" w:rsidRPr="00273106">
        <w:rPr>
          <w:i/>
        </w:rPr>
        <w:t>aliquid subiecti</w:t>
      </w:r>
      <w:r w:rsidR="00E22C51">
        <w:t xml:space="preserve">). </w:t>
      </w:r>
      <w:r w:rsidR="005C0451" w:rsidRPr="00273106">
        <w:t xml:space="preserve">Spis </w:t>
      </w:r>
      <w:r w:rsidR="005C0451" w:rsidRPr="00273106">
        <w:rPr>
          <w:i/>
        </w:rPr>
        <w:t>Notule</w:t>
      </w:r>
      <w:r w:rsidR="005C0451" w:rsidRPr="00273106">
        <w:t xml:space="preserve"> potvrzuje </w:t>
      </w:r>
      <w:r w:rsidR="00F67B87">
        <w:t xml:space="preserve">analytický výklad </w:t>
      </w:r>
      <w:r w:rsidR="005C0451" w:rsidRPr="00273106">
        <w:t xml:space="preserve">citací a výkladem klíčové části </w:t>
      </w:r>
      <w:r w:rsidR="005C0451" w:rsidRPr="00E22C51">
        <w:rPr>
          <w:i/>
        </w:rPr>
        <w:t>Druhých analytik</w:t>
      </w:r>
      <w:r w:rsidR="005C0451" w:rsidRPr="00273106">
        <w:t xml:space="preserve"> dané vzhledem k </w:t>
      </w:r>
      <w:r w:rsidR="00E22C51">
        <w:t>astronomickému zatmění</w:t>
      </w:r>
      <w:r w:rsidR="00DF2984">
        <w:fldChar w:fldCharType="begin"/>
      </w:r>
      <w:r w:rsidR="00DF2984">
        <w:instrText xml:space="preserve"> XE "</w:instrText>
      </w:r>
      <w:r w:rsidR="00DF2984" w:rsidRPr="00F50E3D">
        <w:instrText>zatmění</w:instrText>
      </w:r>
      <w:r w:rsidR="00DF2984" w:rsidRPr="082526E0">
        <w:rPr>
          <w:i/>
        </w:rPr>
        <w:instrText>:Druhé analytiky</w:instrText>
      </w:r>
      <w:r w:rsidR="00DF2984">
        <w:instrText xml:space="preserve">" </w:instrText>
      </w:r>
      <w:r w:rsidR="00DF2984">
        <w:fldChar w:fldCharType="end"/>
      </w:r>
      <w:r w:rsidR="00A21CBD" w:rsidRPr="00273106">
        <w:t xml:space="preserve">. </w:t>
      </w:r>
      <w:r w:rsidR="00F27D1A">
        <w:t xml:space="preserve">Následující citát ukazuje kompletní verzi </w:t>
      </w:r>
      <w:r w:rsidR="00A21CBD" w:rsidRPr="00273106">
        <w:t xml:space="preserve">analytického výkladu </w:t>
      </w:r>
      <w:r w:rsidR="00A21CBD" w:rsidRPr="00500509">
        <w:rPr>
          <w:i/>
        </w:rPr>
        <w:t>Druhých analytik</w:t>
      </w:r>
      <w:r w:rsidR="00500509">
        <w:t xml:space="preserve"> </w:t>
      </w:r>
      <w:r w:rsidR="00500509" w:rsidRPr="00500509">
        <w:t>danou</w:t>
      </w:r>
      <w:r w:rsidR="00500509">
        <w:t xml:space="preserve"> </w:t>
      </w:r>
      <w:r w:rsidR="088A6099">
        <w:t xml:space="preserve">okolo </w:t>
      </w:r>
      <w:r w:rsidR="00500509">
        <w:t>roku 1245.</w:t>
      </w:r>
    </w:p>
    <w:p w14:paraId="52AFF3A7" w14:textId="77777777" w:rsidR="005C0451" w:rsidRPr="00273106" w:rsidRDefault="005C0451" w:rsidP="003D147D">
      <w:pPr>
        <w:pStyle w:val="Citace"/>
        <w:rPr>
          <w:noProof/>
          <w:lang w:val="cs-CZ"/>
        </w:rPr>
      </w:pPr>
      <w:r w:rsidRPr="00273106">
        <w:rPr>
          <w:noProof/>
          <w:lang w:val="cs-CZ"/>
        </w:rPr>
        <w:t>„</w:t>
      </w:r>
      <w:r w:rsidR="003D147D" w:rsidRPr="00273106">
        <w:rPr>
          <w:noProof/>
          <w:lang w:val="cs-CZ"/>
        </w:rPr>
        <w:t>Je-li ve vědeckém důkazu, který zavr</w:t>
      </w:r>
      <w:r w:rsidR="00D72152" w:rsidRPr="00273106">
        <w:rPr>
          <w:noProof/>
          <w:lang w:val="cs-CZ"/>
        </w:rPr>
        <w:t>šuje reálnou kauzalitu, obsažena</w:t>
      </w:r>
      <w:r w:rsidR="003D147D" w:rsidRPr="00273106">
        <w:rPr>
          <w:noProof/>
          <w:lang w:val="cs-CZ"/>
        </w:rPr>
        <w:t xml:space="preserve"> </w:t>
      </w:r>
      <w:r w:rsidR="08B229A3" w:rsidRPr="00273106">
        <w:rPr>
          <w:noProof/>
          <w:lang w:val="cs-CZ"/>
        </w:rPr>
        <w:t>formální definice subjektu (</w:t>
      </w:r>
      <w:r w:rsidR="08B229A3" w:rsidRPr="00273106">
        <w:rPr>
          <w:i/>
          <w:noProof/>
          <w:lang w:val="cs-CZ"/>
        </w:rPr>
        <w:t>diffinitio formalis subiecti medium</w:t>
      </w:r>
      <w:r w:rsidR="08B229A3" w:rsidRPr="00273106">
        <w:rPr>
          <w:noProof/>
          <w:lang w:val="cs-CZ"/>
        </w:rPr>
        <w:t>)</w:t>
      </w:r>
      <w:r w:rsidR="08B229A3">
        <w:rPr>
          <w:noProof/>
          <w:lang w:val="cs-CZ"/>
        </w:rPr>
        <w:t xml:space="preserve"> i ve středním členu</w:t>
      </w:r>
      <w:r w:rsidR="003D147D" w:rsidRPr="00273106">
        <w:rPr>
          <w:noProof/>
          <w:lang w:val="cs-CZ"/>
        </w:rPr>
        <w:t>, jak někteří tvrdili</w:t>
      </w:r>
      <w:r w:rsidR="00AF62F7">
        <w:rPr>
          <w:noProof/>
          <w:lang w:val="cs-CZ"/>
        </w:rPr>
        <w:t xml:space="preserve"> (</w:t>
      </w:r>
      <w:r w:rsidR="00AF62F7" w:rsidRPr="00AF62F7">
        <w:rPr>
          <w:i/>
        </w:rPr>
        <w:t>sicut putant quidam</w:t>
      </w:r>
      <w:r w:rsidR="00AF62F7">
        <w:rPr>
          <w:noProof/>
          <w:lang w:val="cs-CZ"/>
        </w:rPr>
        <w:t>)</w:t>
      </w:r>
      <w:r w:rsidR="00321A2E">
        <w:rPr>
          <w:noProof/>
          <w:lang w:val="cs-CZ"/>
        </w:rPr>
        <w:t xml:space="preserve">, </w:t>
      </w:r>
      <w:r w:rsidR="003D147D" w:rsidRPr="00273106">
        <w:rPr>
          <w:noProof/>
          <w:lang w:val="cs-CZ"/>
        </w:rPr>
        <w:t>pak je ve druhé návěsti také dán</w:t>
      </w:r>
      <w:r w:rsidR="00AF62F7">
        <w:rPr>
          <w:noProof/>
          <w:lang w:val="cs-CZ"/>
        </w:rPr>
        <w:t xml:space="preserve"> druhý modus</w:t>
      </w:r>
      <w:r w:rsidR="08FA3E70">
        <w:rPr>
          <w:noProof/>
          <w:lang w:val="cs-CZ"/>
        </w:rPr>
        <w:t xml:space="preserve"> vědecké predikace</w:t>
      </w:r>
      <w:r w:rsidR="00AF62F7">
        <w:rPr>
          <w:noProof/>
          <w:lang w:val="cs-CZ"/>
        </w:rPr>
        <w:t>. R</w:t>
      </w:r>
      <w:r w:rsidR="003D147D" w:rsidRPr="00273106">
        <w:rPr>
          <w:noProof/>
          <w:lang w:val="cs-CZ"/>
        </w:rPr>
        <w:t xml:space="preserve">eálná kauzalita se </w:t>
      </w:r>
      <w:r w:rsidR="00AF62F7">
        <w:rPr>
          <w:noProof/>
          <w:lang w:val="cs-CZ"/>
        </w:rPr>
        <w:t xml:space="preserve">tím </w:t>
      </w:r>
      <w:r w:rsidR="003D147D" w:rsidRPr="00273106">
        <w:rPr>
          <w:noProof/>
          <w:lang w:val="cs-CZ"/>
        </w:rPr>
        <w:t>predikuje vzhledem k definici subjektu</w:t>
      </w:r>
      <w:r w:rsidR="08FA3E70">
        <w:rPr>
          <w:noProof/>
          <w:lang w:val="cs-CZ"/>
        </w:rPr>
        <w:t xml:space="preserve"> (</w:t>
      </w:r>
      <w:r w:rsidR="08FA3E70" w:rsidRPr="08FA3E70">
        <w:rPr>
          <w:i/>
        </w:rPr>
        <w:t>predicatur passio de diffinitione subiecti</w:t>
      </w:r>
      <w:r w:rsidR="08FA3E70">
        <w:rPr>
          <w:noProof/>
          <w:lang w:val="cs-CZ"/>
        </w:rPr>
        <w:t>)</w:t>
      </w:r>
      <w:r w:rsidR="003D147D" w:rsidRPr="00273106">
        <w:rPr>
          <w:noProof/>
          <w:lang w:val="cs-CZ"/>
        </w:rPr>
        <w:t>. Pak je totéž porovnání kauzality vzhledem k reálnému subjektu a vzhledem definici tohoto subjektu</w:t>
      </w:r>
      <w:r w:rsidR="00271CD3">
        <w:rPr>
          <w:noProof/>
          <w:lang w:val="cs-CZ"/>
        </w:rPr>
        <w:t xml:space="preserve"> (</w:t>
      </w:r>
      <w:r w:rsidR="00271CD3" w:rsidRPr="00271CD3">
        <w:rPr>
          <w:i/>
        </w:rPr>
        <w:t>eadem est comparatio passionis ad subiectum et ad subiecti diffinitionem</w:t>
      </w:r>
      <w:r w:rsidR="00271CD3">
        <w:rPr>
          <w:noProof/>
          <w:lang w:val="cs-CZ"/>
        </w:rPr>
        <w:t>)</w:t>
      </w:r>
      <w:r w:rsidR="003D147D" w:rsidRPr="00273106">
        <w:rPr>
          <w:noProof/>
          <w:lang w:val="cs-CZ"/>
        </w:rPr>
        <w:t xml:space="preserve">.“ </w:t>
      </w:r>
      <w:r w:rsidRPr="00273106">
        <w:rPr>
          <w:rStyle w:val="Znakapoznpodarou"/>
          <w:noProof/>
          <w:lang w:val="cs-CZ"/>
        </w:rPr>
        <w:footnoteReference w:id="486"/>
      </w:r>
    </w:p>
    <w:p w14:paraId="21201853" w14:textId="28AAA410" w:rsidR="00027005" w:rsidRDefault="005C0451" w:rsidP="00321A2E">
      <w:r w:rsidRPr="00273106">
        <w:t xml:space="preserve">Citát </w:t>
      </w:r>
      <w:r w:rsidR="08A66F23">
        <w:t>potvrzuje, že před ním už někdo</w:t>
      </w:r>
      <w:r w:rsidR="08F12BEE" w:rsidRPr="00273106">
        <w:t xml:space="preserve"> </w:t>
      </w:r>
      <w:r w:rsidR="00226ECF">
        <w:t>(</w:t>
      </w:r>
      <w:r w:rsidR="00226ECF" w:rsidRPr="00AF62F7">
        <w:rPr>
          <w:i/>
        </w:rPr>
        <w:t>quidam</w:t>
      </w:r>
      <w:r w:rsidR="00226ECF">
        <w:t xml:space="preserve">) </w:t>
      </w:r>
      <w:r w:rsidR="08F12BEE" w:rsidRPr="00273106">
        <w:t xml:space="preserve">provedl redukci </w:t>
      </w:r>
      <w:r w:rsidR="085D314C">
        <w:t>středního členu</w:t>
      </w:r>
      <w:r w:rsidR="087F582D">
        <w:fldChar w:fldCharType="begin"/>
      </w:r>
      <w:r w:rsidR="087F582D">
        <w:instrText xml:space="preserve"> XE "</w:instrText>
      </w:r>
      <w:r w:rsidR="087F582D" w:rsidRPr="001618A5">
        <w:rPr>
          <w:i/>
        </w:rPr>
        <w:instrText>medium:</w:instrText>
      </w:r>
      <w:r w:rsidR="087F582D" w:rsidRPr="00574809">
        <w:instrText>Kilwardby</w:instrText>
      </w:r>
      <w:r w:rsidR="087F582D">
        <w:instrText xml:space="preserve">" </w:instrText>
      </w:r>
      <w:r w:rsidR="087F582D">
        <w:fldChar w:fldCharType="end"/>
      </w:r>
      <w:r w:rsidR="085D314C">
        <w:t xml:space="preserve"> </w:t>
      </w:r>
      <w:r w:rsidR="087F582D">
        <w:t xml:space="preserve">vědeckého </w:t>
      </w:r>
      <w:r w:rsidR="085D314C">
        <w:t xml:space="preserve">soudu </w:t>
      </w:r>
      <w:r w:rsidR="08F12BEE" w:rsidRPr="00273106">
        <w:t>na pouhý esenciální výměr (</w:t>
      </w:r>
      <w:r w:rsidR="08F12BEE" w:rsidRPr="00273106">
        <w:rPr>
          <w:i/>
        </w:rPr>
        <w:t>diffinitio formalis subiecti medium</w:t>
      </w:r>
      <w:r w:rsidR="08F12BEE" w:rsidRPr="00273106">
        <w:t>).</w:t>
      </w:r>
      <w:r w:rsidR="089D7660" w:rsidRPr="00273106">
        <w:t xml:space="preserve"> Hermeneutika ukázala, že to byli </w:t>
      </w:r>
      <w:r w:rsidR="00DC2082" w:rsidRPr="00273106">
        <w:t xml:space="preserve">Grosseteste </w:t>
      </w:r>
      <w:r w:rsidR="089D7660" w:rsidRPr="00273106">
        <w:t xml:space="preserve">a Rufus. </w:t>
      </w:r>
      <w:r w:rsidR="005229FB" w:rsidRPr="005229FB">
        <w:t>Namísto kauzálně působící první substan</w:t>
      </w:r>
      <w:r w:rsidR="005229FB">
        <w:t>ce se základem stala kauzalita „účinné“ logické essence</w:t>
      </w:r>
      <w:r w:rsidR="005229FB" w:rsidRPr="005229FB">
        <w:t>, která získala</w:t>
      </w:r>
      <w:r w:rsidR="005229FB">
        <w:t xml:space="preserve"> </w:t>
      </w:r>
      <w:r w:rsidR="008920B5">
        <w:t xml:space="preserve">univoční </w:t>
      </w:r>
      <w:r w:rsidR="005229FB">
        <w:t xml:space="preserve">hyparchický status </w:t>
      </w:r>
      <w:r w:rsidR="089D7660" w:rsidRPr="00273106">
        <w:t>(</w:t>
      </w:r>
      <w:r w:rsidR="081035C5" w:rsidRPr="00273106">
        <w:rPr>
          <w:i/>
        </w:rPr>
        <w:t>ipsum medium</w:t>
      </w:r>
      <w:r w:rsidR="089D7660" w:rsidRPr="00273106">
        <w:t>)</w:t>
      </w:r>
      <w:r w:rsidR="08A66F23">
        <w:t>.</w:t>
      </w:r>
      <w:r w:rsidR="08A66F23" w:rsidRPr="00273106">
        <w:rPr>
          <w:rStyle w:val="Znakapoznpodarou"/>
        </w:rPr>
        <w:footnoteReference w:id="487"/>
      </w:r>
      <w:r w:rsidR="089D7660" w:rsidRPr="00273106">
        <w:t xml:space="preserve"> </w:t>
      </w:r>
      <w:r w:rsidR="087E187B" w:rsidRPr="00273106">
        <w:t xml:space="preserve">Záměna existence za esenci a zdvojení kauzality </w:t>
      </w:r>
      <w:r w:rsidR="084236B4">
        <w:t xml:space="preserve">v predikaci </w:t>
      </w:r>
      <w:r w:rsidR="0011293A">
        <w:t>založily</w:t>
      </w:r>
      <w:r w:rsidR="087E187B" w:rsidRPr="00273106">
        <w:t xml:space="preserve"> </w:t>
      </w:r>
      <w:r w:rsidR="00B85EDA">
        <w:t xml:space="preserve">výše uvedené </w:t>
      </w:r>
      <w:r w:rsidR="00615075">
        <w:t>„</w:t>
      </w:r>
      <w:r w:rsidR="08F12BEE" w:rsidRPr="00273106">
        <w:rPr>
          <w:i/>
        </w:rPr>
        <w:t>opinio Latinorum</w:t>
      </w:r>
      <w:r w:rsidR="00615075">
        <w:t>“</w:t>
      </w:r>
      <w:r w:rsidR="00387D0A">
        <w:rPr>
          <w:i/>
        </w:rPr>
        <w:fldChar w:fldCharType="begin"/>
      </w:r>
      <w:r w:rsidR="00387D0A">
        <w:instrText xml:space="preserve"> XE "druhý averroismus:</w:instrText>
      </w:r>
      <w:r w:rsidR="00387D0A" w:rsidRPr="00894CD6">
        <w:rPr>
          <w:i/>
        </w:rPr>
        <w:instrText>opinio Latinorum</w:instrText>
      </w:r>
      <w:r w:rsidR="00387D0A">
        <w:instrText xml:space="preserve">" </w:instrText>
      </w:r>
      <w:r w:rsidR="00387D0A">
        <w:rPr>
          <w:i/>
        </w:rPr>
        <w:fldChar w:fldCharType="end"/>
      </w:r>
      <w:r w:rsidR="08F12BEE" w:rsidRPr="00273106">
        <w:t>, které zásad</w:t>
      </w:r>
      <w:r w:rsidR="00D0273B" w:rsidRPr="00273106">
        <w:t>ně kritizovali Albert a Bacon</w:t>
      </w:r>
      <w:r w:rsidR="002E4E02" w:rsidRPr="00273106">
        <w:t xml:space="preserve">. </w:t>
      </w:r>
      <w:r w:rsidR="08F12BEE" w:rsidRPr="00273106">
        <w:t xml:space="preserve">Představitelům prvního averroismu bylo jasné, že </w:t>
      </w:r>
      <w:r w:rsidR="00817FF7" w:rsidRPr="00273106">
        <w:t xml:space="preserve">sofističtí </w:t>
      </w:r>
      <w:r w:rsidR="00373B4E">
        <w:t xml:space="preserve">Latiníci </w:t>
      </w:r>
      <w:r w:rsidR="08F12BEE" w:rsidRPr="00273106">
        <w:t xml:space="preserve">typu Rufuse a Kilwardbyho </w:t>
      </w:r>
      <w:r w:rsidR="086818AD">
        <w:t xml:space="preserve">už </w:t>
      </w:r>
      <w:r w:rsidR="08F12BEE" w:rsidRPr="00273106">
        <w:t>nepotřebují realitu první substance pro vědecký důkaz. Kauzalita je dedukována z univerzálně daných vlastností esence</w:t>
      </w:r>
      <w:r w:rsidR="007D23E3">
        <w:t xml:space="preserve"> </w:t>
      </w:r>
      <w:r w:rsidR="00500C4C">
        <w:t>nahlížené</w:t>
      </w:r>
      <w:r w:rsidR="00373B4E">
        <w:t xml:space="preserve"> v modu analytické logiky</w:t>
      </w:r>
      <w:r w:rsidR="007562CF">
        <w:t xml:space="preserve">, kterou vyvinula moderní </w:t>
      </w:r>
      <w:r w:rsidR="007562CF" w:rsidRPr="007562CF">
        <w:rPr>
          <w:i/>
        </w:rPr>
        <w:t>intelligentia spiritualis</w:t>
      </w:r>
      <w:r w:rsidR="007562CF">
        <w:t xml:space="preserve"> akademicky vládnoucí na Oxfordu</w:t>
      </w:r>
      <w:r w:rsidR="00932668">
        <w:t>. P</w:t>
      </w:r>
      <w:r w:rsidR="087C1BCF">
        <w:t>ro</w:t>
      </w:r>
      <w:r w:rsidR="007562CF">
        <w:t xml:space="preserve"> tyto ilumináty </w:t>
      </w:r>
      <w:r w:rsidR="00932668">
        <w:t xml:space="preserve">platí, že </w:t>
      </w:r>
      <w:r w:rsidR="00C549FE">
        <w:t xml:space="preserve">základní impozici </w:t>
      </w:r>
      <w:r w:rsidR="005020CE">
        <w:t xml:space="preserve">nutnou pro vědecký důkaz </w:t>
      </w:r>
      <w:r w:rsidR="00932668">
        <w:t>predikuje p</w:t>
      </w:r>
      <w:r w:rsidR="084E1C98" w:rsidRPr="00273106">
        <w:t xml:space="preserve">rvní </w:t>
      </w:r>
      <w:r w:rsidR="00932668">
        <w:t xml:space="preserve">univerzální </w:t>
      </w:r>
      <w:r w:rsidR="084E1C98" w:rsidRPr="00273106">
        <w:t>návěst soudu</w:t>
      </w:r>
      <w:r w:rsidR="00560095">
        <w:t>. Tato „impozice“ obsahuje</w:t>
      </w:r>
      <w:r w:rsidR="005020CE">
        <w:t xml:space="preserve"> v modu </w:t>
      </w:r>
      <w:r w:rsidR="005020CE" w:rsidRPr="005020CE">
        <w:rPr>
          <w:i/>
        </w:rPr>
        <w:t>per se</w:t>
      </w:r>
      <w:r w:rsidR="005020CE">
        <w:t xml:space="preserve"> imanentní formu </w:t>
      </w:r>
      <w:r w:rsidR="00932668">
        <w:t>kauzalit</w:t>
      </w:r>
      <w:r w:rsidR="005020CE">
        <w:t>y</w:t>
      </w:r>
      <w:r w:rsidR="08B8211A">
        <w:t xml:space="preserve"> </w:t>
      </w:r>
      <w:r w:rsidR="00560095">
        <w:t xml:space="preserve">danou jako </w:t>
      </w:r>
      <w:r w:rsidR="00DD1D59">
        <w:t>„</w:t>
      </w:r>
      <w:r w:rsidR="08B8211A" w:rsidRPr="08B8211A">
        <w:rPr>
          <w:i/>
        </w:rPr>
        <w:t>causatum</w:t>
      </w:r>
      <w:r w:rsidR="00DD1D59">
        <w:t>“</w:t>
      </w:r>
      <w:r w:rsidR="00997419">
        <w:fldChar w:fldCharType="begin"/>
      </w:r>
      <w:r w:rsidR="00997419">
        <w:instrText xml:space="preserve"> XE "</w:instrText>
      </w:r>
      <w:r w:rsidR="00997419" w:rsidRPr="00611160">
        <w:instrText>supozice:Kilwardby</w:instrText>
      </w:r>
      <w:r w:rsidR="00997419">
        <w:instrText xml:space="preserve">" </w:instrText>
      </w:r>
      <w:r w:rsidR="00997419">
        <w:fldChar w:fldCharType="end"/>
      </w:r>
      <w:r w:rsidR="084E1C98" w:rsidRPr="00273106">
        <w:t>.</w:t>
      </w:r>
      <w:r w:rsidR="08E8513C" w:rsidRPr="00273106">
        <w:t xml:space="preserve"> </w:t>
      </w:r>
      <w:r w:rsidR="00DD1D59">
        <w:t>Pak ale i</w:t>
      </w:r>
      <w:r w:rsidR="0096680D">
        <w:t xml:space="preserve">mpozice z reality </w:t>
      </w:r>
      <w:r w:rsidR="08B8211A">
        <w:t>je nutná j</w:t>
      </w:r>
      <w:r w:rsidR="005020CE">
        <w:t>en akcidentálně</w:t>
      </w:r>
      <w:r w:rsidR="0096680D">
        <w:t>, protože d</w:t>
      </w:r>
      <w:r w:rsidR="08E8513C" w:rsidRPr="00273106">
        <w:t xml:space="preserve">ruhá návěst </w:t>
      </w:r>
      <w:r w:rsidR="005020CE">
        <w:t xml:space="preserve">v modu kontingence </w:t>
      </w:r>
      <w:r w:rsidR="08E8513C" w:rsidRPr="00273106">
        <w:t xml:space="preserve">potvrzuje </w:t>
      </w:r>
      <w:r w:rsidR="08D44DE2" w:rsidRPr="00273106">
        <w:t xml:space="preserve">již daný </w:t>
      </w:r>
      <w:r w:rsidR="003006D2">
        <w:t>analytický</w:t>
      </w:r>
      <w:r w:rsidR="003006D2" w:rsidRPr="00273106">
        <w:t xml:space="preserve"> </w:t>
      </w:r>
      <w:r w:rsidR="08D44DE2" w:rsidRPr="00273106">
        <w:t xml:space="preserve">náhled </w:t>
      </w:r>
      <w:r w:rsidR="0096680D">
        <w:t xml:space="preserve">do čistých esencí. Empirická věda daná impozicí </w:t>
      </w:r>
      <w:r w:rsidR="08E8513C" w:rsidRPr="00273106">
        <w:t xml:space="preserve">proto patří do </w:t>
      </w:r>
      <w:r w:rsidR="00B71CA5">
        <w:t xml:space="preserve">nižší </w:t>
      </w:r>
      <w:r w:rsidR="088A1739" w:rsidRPr="00273106">
        <w:t>části věd</w:t>
      </w:r>
      <w:r w:rsidR="084B4AC6" w:rsidRPr="00273106">
        <w:t>ecké racionality</w:t>
      </w:r>
      <w:r w:rsidR="00B71CA5">
        <w:t xml:space="preserve"> (</w:t>
      </w:r>
      <w:r w:rsidR="00B71CA5" w:rsidRPr="00B71CA5">
        <w:rPr>
          <w:i/>
        </w:rPr>
        <w:t>scientia</w:t>
      </w:r>
      <w:r w:rsidR="004A5D33">
        <w:rPr>
          <w:i/>
        </w:rPr>
        <w:fldChar w:fldCharType="begin"/>
      </w:r>
      <w:r w:rsidR="004A5D33">
        <w:instrText xml:space="preserve"> XE "</w:instrText>
      </w:r>
      <w:r w:rsidR="004A5D33" w:rsidRPr="002D2B36">
        <w:rPr>
          <w:i/>
        </w:rPr>
        <w:instrText>scientia/intellectus</w:instrText>
      </w:r>
      <w:r w:rsidR="004A5D33">
        <w:instrText xml:space="preserve">" </w:instrText>
      </w:r>
      <w:r w:rsidR="004A5D33">
        <w:rPr>
          <w:i/>
        </w:rPr>
        <w:fldChar w:fldCharType="end"/>
      </w:r>
      <w:r w:rsidR="00B71CA5">
        <w:t xml:space="preserve">), kterou </w:t>
      </w:r>
      <w:r w:rsidR="00B84808">
        <w:t xml:space="preserve">se </w:t>
      </w:r>
      <w:r w:rsidR="087C1BCF">
        <w:t>řídí slabý</w:t>
      </w:r>
      <w:r w:rsidR="00B71CA5">
        <w:t xml:space="preserve"> (</w:t>
      </w:r>
      <w:r w:rsidR="00B71CA5" w:rsidRPr="00B71CA5">
        <w:rPr>
          <w:i/>
        </w:rPr>
        <w:t>debilis</w:t>
      </w:r>
      <w:r w:rsidR="00B71CA5">
        <w:t>) rozum aristoteliků</w:t>
      </w:r>
      <w:r w:rsidR="08E8513C" w:rsidRPr="00273106">
        <w:t>.</w:t>
      </w:r>
      <w:r w:rsidR="002C06BA" w:rsidRPr="00273106">
        <w:t xml:space="preserve"> </w:t>
      </w:r>
      <w:r w:rsidR="004426ED">
        <w:t xml:space="preserve">Nyní je zřejmé, proč oxfordští ilumináti </w:t>
      </w:r>
      <w:r w:rsidR="0028361F">
        <w:t xml:space="preserve">z řad zdejších františkánů a dominikánů </w:t>
      </w:r>
      <w:r w:rsidR="004426ED">
        <w:t xml:space="preserve">nepotřebovali </w:t>
      </w:r>
      <w:r w:rsidR="000938E4">
        <w:t xml:space="preserve">pro analytickou formu vědy onu </w:t>
      </w:r>
      <w:r w:rsidR="004426ED">
        <w:t>„debilní“ formu klasické „meta</w:t>
      </w:r>
      <w:r w:rsidR="004426ED">
        <w:noBreakHyphen/>
        <w:t xml:space="preserve">fyziky“ Aristotela a </w:t>
      </w:r>
      <w:r w:rsidR="002E3B62">
        <w:t>Averroes</w:t>
      </w:r>
      <w:r w:rsidR="004426ED">
        <w:t xml:space="preserve">e. </w:t>
      </w:r>
      <w:r w:rsidR="00363CC2" w:rsidRPr="00363CC2">
        <w:t>Gros</w:t>
      </w:r>
      <w:r w:rsidR="00363CC2">
        <w:t xml:space="preserve">seteste byl zděšen, protože jím vychovaní </w:t>
      </w:r>
      <w:r w:rsidR="00363CC2" w:rsidRPr="00363CC2">
        <w:t>moder</w:t>
      </w:r>
      <w:r w:rsidR="00363CC2">
        <w:t>nisté chápali Aristotela skrze „pozoruhodnou slepotu a aroganci“</w:t>
      </w:r>
      <w:r w:rsidR="00363CC2" w:rsidRPr="00363CC2">
        <w:t xml:space="preserve"> (</w:t>
      </w:r>
      <w:r w:rsidR="00363CC2" w:rsidRPr="00363CC2">
        <w:rPr>
          <w:i/>
        </w:rPr>
        <w:t>mira cecitate et presumcione</w:t>
      </w:r>
      <w:r w:rsidR="00363CC2" w:rsidRPr="00363CC2">
        <w:t xml:space="preserve">), </w:t>
      </w:r>
      <w:r w:rsidR="00363CC2">
        <w:t xml:space="preserve">a to </w:t>
      </w:r>
      <w:r w:rsidR="00363CC2" w:rsidRPr="00363CC2">
        <w:t xml:space="preserve">zejména </w:t>
      </w:r>
      <w:r w:rsidR="00363CC2">
        <w:t xml:space="preserve">spis </w:t>
      </w:r>
      <w:r w:rsidR="00363CC2" w:rsidRPr="00363CC2">
        <w:rPr>
          <w:i/>
        </w:rPr>
        <w:t>Druhé analytiky</w:t>
      </w:r>
      <w:r w:rsidR="00363CC2" w:rsidRPr="00363CC2">
        <w:t>.</w:t>
      </w:r>
      <w:r w:rsidR="00363CC2">
        <w:t xml:space="preserve"> </w:t>
      </w:r>
      <w:r w:rsidR="00FD0357" w:rsidRPr="00FD0357">
        <w:t xml:space="preserve">Moderní sofistika překroutila význam </w:t>
      </w:r>
      <w:r w:rsidR="00FD0357" w:rsidRPr="00FD0357">
        <w:rPr>
          <w:i/>
        </w:rPr>
        <w:t>Corpus Aristotelicum</w:t>
      </w:r>
      <w:r w:rsidR="00FD0357" w:rsidRPr="00FD0357">
        <w:t xml:space="preserve"> </w:t>
      </w:r>
      <w:r w:rsidR="00FD0357">
        <w:t xml:space="preserve">převzatý </w:t>
      </w:r>
      <w:r w:rsidR="00FD0357" w:rsidRPr="00FD0357">
        <w:t>z pochybných latinských překladů.</w:t>
      </w:r>
      <w:r w:rsidR="00FD0357">
        <w:t xml:space="preserve"> </w:t>
      </w:r>
      <w:r w:rsidR="08235E1B">
        <w:t>Tent</w:t>
      </w:r>
      <w:r w:rsidR="00FD0357">
        <w:t>o</w:t>
      </w:r>
      <w:r w:rsidR="08235E1B">
        <w:t xml:space="preserve"> postup kritizuje </w:t>
      </w:r>
      <w:r w:rsidR="00FE6DF2">
        <w:t>Gross</w:t>
      </w:r>
      <w:r w:rsidR="004675E5">
        <w:t>e</w:t>
      </w:r>
      <w:r w:rsidR="00FE6DF2">
        <w:t>te</w:t>
      </w:r>
      <w:r w:rsidR="004675E5">
        <w:t xml:space="preserve">ste </w:t>
      </w:r>
      <w:r w:rsidR="00FE6DF2">
        <w:t>v uvedeném citátu (</w:t>
      </w:r>
      <w:r w:rsidR="00923314" w:rsidRPr="00923314">
        <w:rPr>
          <w:i/>
        </w:rPr>
        <w:t>putantes se limpidius intelligere et verius interpretare Aristotilem ex litera latina corrupta</w:t>
      </w:r>
      <w:r w:rsidR="00923314">
        <w:t xml:space="preserve">, </w:t>
      </w:r>
      <w:r w:rsidR="082622C2">
        <w:t>kap. 3</w:t>
      </w:r>
      <w:r w:rsidR="00FE6DF2">
        <w:t xml:space="preserve">.1.2). </w:t>
      </w:r>
      <w:r w:rsidR="00A6523B">
        <w:t xml:space="preserve">Třeba se jednou najde původní </w:t>
      </w:r>
      <w:r w:rsidR="00792039">
        <w:t xml:space="preserve">verze latinského překladu </w:t>
      </w:r>
      <w:r w:rsidR="00A6523B" w:rsidRPr="00BC0C9B">
        <w:rPr>
          <w:i/>
        </w:rPr>
        <w:t>Druhých analytik</w:t>
      </w:r>
      <w:r w:rsidR="00A6523B">
        <w:t xml:space="preserve">, z níž Rufus a Kilwardby zavedli plnou verzi </w:t>
      </w:r>
      <w:r w:rsidR="00A6523B" w:rsidRPr="00A6523B">
        <w:rPr>
          <w:i/>
        </w:rPr>
        <w:t>Oxfordian Fallacy</w:t>
      </w:r>
      <w:r w:rsidR="00924399">
        <w:rPr>
          <w:i/>
        </w:rPr>
        <w:fldChar w:fldCharType="begin"/>
      </w:r>
      <w:r w:rsidR="00924399">
        <w:instrText xml:space="preserve"> XE "</w:instrText>
      </w:r>
      <w:r w:rsidR="00924399" w:rsidRPr="0015798D">
        <w:rPr>
          <w:i/>
        </w:rPr>
        <w:instrText>Oxfordian Fallacy:</w:instrText>
      </w:r>
      <w:r w:rsidR="00924399" w:rsidRPr="0015798D">
        <w:instrText>původ</w:instrText>
      </w:r>
      <w:r w:rsidR="00924399">
        <w:instrText xml:space="preserve">" </w:instrText>
      </w:r>
      <w:r w:rsidR="00924399">
        <w:rPr>
          <w:i/>
        </w:rPr>
        <w:fldChar w:fldCharType="end"/>
      </w:r>
      <w:r w:rsidR="00953957">
        <w:t xml:space="preserve"> odmítnutou Grossetestem. </w:t>
      </w:r>
      <w:r w:rsidR="00F32DC7" w:rsidRPr="00273106">
        <w:t xml:space="preserve">Spis </w:t>
      </w:r>
      <w:r w:rsidR="00F32DC7" w:rsidRPr="00273106">
        <w:rPr>
          <w:i/>
        </w:rPr>
        <w:t>Notule</w:t>
      </w:r>
      <w:r w:rsidR="001A7A9B" w:rsidRPr="00273106">
        <w:t xml:space="preserve"> chápe </w:t>
      </w:r>
      <w:r w:rsidR="00F32DC7" w:rsidRPr="00273106">
        <w:t>základní principy poznání</w:t>
      </w:r>
      <w:r w:rsidR="001A7A9B" w:rsidRPr="00273106">
        <w:t xml:space="preserve"> v modu ekvivoční univerzality</w:t>
      </w:r>
      <w:r w:rsidR="00F32DC7" w:rsidRPr="00273106">
        <w:t xml:space="preserve">. </w:t>
      </w:r>
      <w:r w:rsidR="00B84808">
        <w:t xml:space="preserve">Tím se zrušil základní rozvrh </w:t>
      </w:r>
      <w:r w:rsidR="00B84808" w:rsidRPr="00BC0C9B">
        <w:rPr>
          <w:i/>
        </w:rPr>
        <w:t>Druhých analytik</w:t>
      </w:r>
      <w:r w:rsidR="00500C4C">
        <w:t xml:space="preserve"> odlišující vědu </w:t>
      </w:r>
      <w:r w:rsidR="004E567F">
        <w:t>danou vztahem k realitě</w:t>
      </w:r>
      <w:r w:rsidR="00500C4C">
        <w:t xml:space="preserve"> a </w:t>
      </w:r>
      <w:r w:rsidR="004E567F">
        <w:t>vědu danou vztahem k matematické abstrakci</w:t>
      </w:r>
      <w:r w:rsidR="00B84808">
        <w:t xml:space="preserve">. </w:t>
      </w:r>
      <w:r w:rsidR="00F32DC7" w:rsidRPr="00273106">
        <w:t xml:space="preserve">Kilwardby </w:t>
      </w:r>
      <w:r w:rsidR="00884B73">
        <w:t xml:space="preserve">oba </w:t>
      </w:r>
      <w:r w:rsidR="00F32DC7" w:rsidRPr="00273106">
        <w:t xml:space="preserve">mody univerzality </w:t>
      </w:r>
      <w:r w:rsidR="00381D3D">
        <w:t xml:space="preserve">citované pasáže </w:t>
      </w:r>
      <w:r w:rsidR="00F32DC7" w:rsidRPr="00273106">
        <w:t>redukuje na univoční charakter nutnosti st</w:t>
      </w:r>
      <w:r w:rsidR="082622C2">
        <w:t>ejně jako před ním Rufus (kap. 3</w:t>
      </w:r>
      <w:r w:rsidR="00027005">
        <w:t>.3.1).</w:t>
      </w:r>
    </w:p>
    <w:p w14:paraId="43233C7D" w14:textId="3C7E6CA9" w:rsidR="00321A2E" w:rsidRDefault="00B21190" w:rsidP="00027005">
      <w:pPr>
        <w:ind w:firstLine="397"/>
      </w:pPr>
      <w:r w:rsidRPr="00273106">
        <w:t xml:space="preserve">Spis </w:t>
      </w:r>
      <w:r w:rsidRPr="00273106">
        <w:rPr>
          <w:i/>
        </w:rPr>
        <w:t>Notule</w:t>
      </w:r>
      <w:r w:rsidRPr="00273106">
        <w:t xml:space="preserve"> ukazuje </w:t>
      </w:r>
      <w:r w:rsidR="00F32DC7" w:rsidRPr="00273106">
        <w:t>analytický způsob prvních ox</w:t>
      </w:r>
      <w:r w:rsidR="00C710A0" w:rsidRPr="00273106">
        <w:t>fordských modernistů</w:t>
      </w:r>
      <w:r w:rsidR="088E77AC">
        <w:t>, kteří</w:t>
      </w:r>
      <w:r w:rsidR="00157746">
        <w:t xml:space="preserve"> nutnost </w:t>
      </w:r>
      <w:r w:rsidR="00F32DC7" w:rsidRPr="00273106">
        <w:rPr>
          <w:i/>
        </w:rPr>
        <w:t>per se</w:t>
      </w:r>
      <w:r w:rsidR="00F32DC7" w:rsidRPr="00273106">
        <w:t xml:space="preserve"> </w:t>
      </w:r>
      <w:r w:rsidR="00F1575C" w:rsidRPr="08E06D54">
        <w:fldChar w:fldCharType="begin"/>
      </w:r>
      <w:r w:rsidR="00F1575C" w:rsidRPr="08E06D54">
        <w:instrText xml:space="preserve"> XE "nutnost:per se" </w:instrText>
      </w:r>
      <w:r w:rsidR="00F1575C" w:rsidRPr="08E06D54">
        <w:fldChar w:fldCharType="end"/>
      </w:r>
      <w:r w:rsidR="08E06D54" w:rsidRPr="08E06D54">
        <w:t>ekvivočně</w:t>
      </w:r>
      <w:r w:rsidR="08E06D54">
        <w:rPr>
          <w:i/>
        </w:rPr>
        <w:t xml:space="preserve"> </w:t>
      </w:r>
      <w:r w:rsidR="088E77AC">
        <w:t>vztáhli</w:t>
      </w:r>
      <w:r w:rsidR="00F32DC7" w:rsidRPr="00273106">
        <w:t xml:space="preserve"> na </w:t>
      </w:r>
      <w:r w:rsidR="08C72DD5">
        <w:t xml:space="preserve">tři </w:t>
      </w:r>
      <w:r w:rsidR="089A5001">
        <w:t xml:space="preserve">odlišné </w:t>
      </w:r>
      <w:r w:rsidR="08C72DD5">
        <w:t xml:space="preserve">druhy </w:t>
      </w:r>
      <w:r w:rsidR="088E77AC">
        <w:t>nutnosti</w:t>
      </w:r>
      <w:r w:rsidR="007C044C">
        <w:t xml:space="preserve"> </w:t>
      </w:r>
      <w:r w:rsidR="007C044C">
        <w:rPr>
          <w:lang w:eastAsia="en-US"/>
        </w:rPr>
        <w:t>(realita, impozice, suppozice)</w:t>
      </w:r>
      <w:r w:rsidR="088E77AC">
        <w:t xml:space="preserve">. </w:t>
      </w:r>
      <w:r w:rsidR="008E02F5">
        <w:t>Aristoteles</w:t>
      </w:r>
      <w:r w:rsidR="00F32DC7" w:rsidRPr="00273106">
        <w:t xml:space="preserve"> </w:t>
      </w:r>
      <w:r w:rsidR="088E77AC">
        <w:t xml:space="preserve">tyto druhy nutnosti </w:t>
      </w:r>
      <w:r w:rsidR="00F32DC7" w:rsidRPr="00273106">
        <w:t>jasně rozlišil</w:t>
      </w:r>
      <w:r w:rsidR="08C72DD5">
        <w:t xml:space="preserve"> podle citované pasáže </w:t>
      </w:r>
      <w:r w:rsidR="08BB51A1">
        <w:t>na logickou, esenciální a existenciální predikaci (</w:t>
      </w:r>
      <w:r w:rsidR="08C72DD5" w:rsidRPr="00273106">
        <w:rPr>
          <w:i/>
        </w:rPr>
        <w:t>Anal. Post</w:t>
      </w:r>
      <w:r w:rsidR="08C72DD5" w:rsidRPr="00273106">
        <w:t>. 84a11‒14</w:t>
      </w:r>
      <w:r w:rsidR="08BB51A1">
        <w:t>)</w:t>
      </w:r>
      <w:r w:rsidR="08C72DD5">
        <w:fldChar w:fldCharType="begin"/>
      </w:r>
      <w:r w:rsidR="08C72DD5">
        <w:instrText xml:space="preserve"> XE "Aristoteles:</w:instrText>
      </w:r>
      <w:r w:rsidR="08C72DD5" w:rsidRPr="00273106">
        <w:rPr>
          <w:i/>
        </w:rPr>
        <w:instrText>Anal. Post</w:instrText>
      </w:r>
      <w:r w:rsidR="08C72DD5" w:rsidRPr="00273106">
        <w:instrText>. 84a11‒14</w:instrText>
      </w:r>
      <w:r w:rsidR="08C72DD5">
        <w:instrText xml:space="preserve">" </w:instrText>
      </w:r>
      <w:r w:rsidR="08C72DD5">
        <w:fldChar w:fldCharType="end"/>
      </w:r>
      <w:r w:rsidR="00F32DC7" w:rsidRPr="00273106">
        <w:t>.</w:t>
      </w:r>
      <w:r w:rsidR="00EA1346">
        <w:t xml:space="preserve"> </w:t>
      </w:r>
      <w:r w:rsidR="00667A01" w:rsidRPr="00667A01">
        <w:t xml:space="preserve">Moderní doba tento základní rozdíl jednoduše přešla. </w:t>
      </w:r>
      <w:r w:rsidR="00667A01">
        <w:t>Jenže tento model v</w:t>
      </w:r>
      <w:r w:rsidR="00667A01" w:rsidRPr="00667A01">
        <w:t>ytváří základ pravdy jako korespondence. Modernisté sloučili metafyzickou a logickou nutnost do objektivní predikace</w:t>
      </w:r>
      <w:r w:rsidR="00E922B6">
        <w:t xml:space="preserve">. Ve druhém kroku </w:t>
      </w:r>
      <w:r w:rsidR="00667A01" w:rsidRPr="00667A01">
        <w:t xml:space="preserve">zavedli paranoidní model pravdy jako asimilace, </w:t>
      </w:r>
      <w:r w:rsidR="00667A01">
        <w:t xml:space="preserve">která manipuluje </w:t>
      </w:r>
      <w:r w:rsidR="00667A01" w:rsidRPr="00667A01">
        <w:t>různ</w:t>
      </w:r>
      <w:r w:rsidR="00667A01">
        <w:t xml:space="preserve">é </w:t>
      </w:r>
      <w:r w:rsidR="00667A01" w:rsidRPr="00667A01">
        <w:t xml:space="preserve">druhy </w:t>
      </w:r>
      <w:r w:rsidR="00667A01" w:rsidRPr="00667A01">
        <w:rPr>
          <w:i/>
        </w:rPr>
        <w:t>tertium ens</w:t>
      </w:r>
      <w:r w:rsidR="00667A01" w:rsidRPr="00667A01">
        <w:t>.</w:t>
      </w:r>
      <w:r w:rsidR="00667A01">
        <w:t xml:space="preserve"> </w:t>
      </w:r>
      <w:r w:rsidR="080009F5">
        <w:t>Analytická jednota</w:t>
      </w:r>
      <w:r w:rsidR="00D93497" w:rsidRPr="00273106">
        <w:t xml:space="preserve"> jsoucna odpovídá </w:t>
      </w:r>
      <w:r w:rsidR="00D93497">
        <w:t>neoplatonskému</w:t>
      </w:r>
      <w:r w:rsidR="00D93497" w:rsidRPr="00273106">
        <w:t xml:space="preserve"> </w:t>
      </w:r>
      <w:r w:rsidR="00D93497" w:rsidRPr="00273106">
        <w:rPr>
          <w:rStyle w:val="linemarker-marked-line"/>
        </w:rPr>
        <w:t>pojetí Pagusova</w:t>
      </w:r>
      <w:r w:rsidR="00D93497">
        <w:rPr>
          <w:rStyle w:val="linemarker-marked-line"/>
        </w:rPr>
        <w:fldChar w:fldCharType="begin"/>
      </w:r>
      <w:r w:rsidR="00D93497">
        <w:instrText xml:space="preserve"> XE "</w:instrText>
      </w:r>
      <w:r w:rsidR="00D93497" w:rsidRPr="00D7222B">
        <w:rPr>
          <w:rStyle w:val="linemarker-marked-line"/>
        </w:rPr>
        <w:instrText>Pagus, John</w:instrText>
      </w:r>
      <w:r w:rsidR="00D93497">
        <w:instrText xml:space="preserve">" </w:instrText>
      </w:r>
      <w:r w:rsidR="00D93497">
        <w:rPr>
          <w:rStyle w:val="linemarker-marked-line"/>
        </w:rPr>
        <w:fldChar w:fldCharType="end"/>
      </w:r>
      <w:r w:rsidR="00D93497" w:rsidRPr="00273106">
        <w:rPr>
          <w:rStyle w:val="linemarker-marked-line"/>
        </w:rPr>
        <w:t xml:space="preserve"> komentáře </w:t>
      </w:r>
      <w:r w:rsidR="00D93497" w:rsidRPr="0848097C">
        <w:rPr>
          <w:rStyle w:val="linemarker-marked-line"/>
          <w:i/>
        </w:rPr>
        <w:t>Kategorií</w:t>
      </w:r>
      <w:r w:rsidR="00D93497" w:rsidRPr="00273106">
        <w:rPr>
          <w:rStyle w:val="linemarker-marked-line"/>
        </w:rPr>
        <w:t xml:space="preserve"> </w:t>
      </w:r>
      <w:r w:rsidR="08AE1AF0">
        <w:t>(kap. 3</w:t>
      </w:r>
      <w:r w:rsidR="00D93497" w:rsidRPr="00273106">
        <w:t xml:space="preserve">.1.2). </w:t>
      </w:r>
      <w:r w:rsidR="00667A01">
        <w:t>Empirické</w:t>
      </w:r>
      <w:r w:rsidR="00D93497">
        <w:t xml:space="preserve"> </w:t>
      </w:r>
      <w:r w:rsidR="00667A01">
        <w:t>poznání dané</w:t>
      </w:r>
      <w:r w:rsidR="00D93497" w:rsidRPr="00273106">
        <w:t xml:space="preserve"> </w:t>
      </w:r>
      <w:r w:rsidR="00D93497" w:rsidRPr="00273106">
        <w:rPr>
          <w:i/>
        </w:rPr>
        <w:t>per posterius</w:t>
      </w:r>
      <w:r w:rsidR="00D93497" w:rsidRPr="00273106">
        <w:t xml:space="preserve"> nemá v neoplatonismu stejnou hodnotu jako </w:t>
      </w:r>
      <w:r w:rsidR="00667A01">
        <w:t xml:space="preserve">působení </w:t>
      </w:r>
      <w:r w:rsidR="00D93497" w:rsidRPr="00273106">
        <w:t>forem dan</w:t>
      </w:r>
      <w:r w:rsidR="00667A01">
        <w:t xml:space="preserve">ých skrze iluminaci </w:t>
      </w:r>
      <w:r w:rsidR="0848097C">
        <w:t xml:space="preserve">v modu </w:t>
      </w:r>
      <w:r w:rsidR="00D93497" w:rsidRPr="00273106">
        <w:rPr>
          <w:i/>
        </w:rPr>
        <w:t>per prius</w:t>
      </w:r>
      <w:r w:rsidR="00D93497" w:rsidRPr="00273106">
        <w:t>.</w:t>
      </w:r>
    </w:p>
    <w:p w14:paraId="39D453B0" w14:textId="77777777" w:rsidR="00F32DC7" w:rsidRPr="00273106" w:rsidRDefault="00F32DC7" w:rsidP="00321A2E">
      <w:pPr>
        <w:pStyle w:val="Citace"/>
        <w:rPr>
          <w:noProof/>
        </w:rPr>
      </w:pPr>
      <w:r w:rsidRPr="00273106">
        <w:rPr>
          <w:noProof/>
        </w:rPr>
        <w:t>„Všechny části a celek jsou</w:t>
      </w:r>
      <w:r w:rsidR="00884B73">
        <w:rPr>
          <w:noProof/>
        </w:rPr>
        <w:t xml:space="preserve"> </w:t>
      </w:r>
      <w:r w:rsidR="00912684">
        <w:rPr>
          <w:noProof/>
          <w:lang w:val="cs-CZ"/>
        </w:rPr>
        <w:t>platné</w:t>
      </w:r>
      <w:r w:rsidR="00884B73">
        <w:rPr>
          <w:noProof/>
        </w:rPr>
        <w:t>, protože princip 'skrze sebe'</w:t>
      </w:r>
      <w:r w:rsidRPr="00273106">
        <w:rPr>
          <w:noProof/>
        </w:rPr>
        <w:t xml:space="preserve"> </w:t>
      </w:r>
      <w:r w:rsidR="00884B73">
        <w:rPr>
          <w:noProof/>
        </w:rPr>
        <w:t xml:space="preserve">platí také v </w:t>
      </w:r>
      <w:r w:rsidRPr="00273106">
        <w:rPr>
          <w:noProof/>
        </w:rPr>
        <w:t xml:space="preserve">predikaci  </w:t>
      </w:r>
      <w:r w:rsidR="00884B73">
        <w:rPr>
          <w:noProof/>
        </w:rPr>
        <w:t>'</w:t>
      </w:r>
      <w:r w:rsidRPr="00273106">
        <w:rPr>
          <w:noProof/>
        </w:rPr>
        <w:t>o vše</w:t>
      </w:r>
      <w:r w:rsidR="00884B73">
        <w:rPr>
          <w:noProof/>
        </w:rPr>
        <w:t>ch' a 'univerzálně'</w:t>
      </w:r>
      <w:r w:rsidR="00175EA7">
        <w:rPr>
          <w:noProof/>
          <w:lang w:val="cs-CZ"/>
        </w:rPr>
        <w:t xml:space="preserve"> a také 'skrze sebe'</w:t>
      </w:r>
      <w:r w:rsidRPr="00273106">
        <w:rPr>
          <w:noProof/>
        </w:rPr>
        <w:t xml:space="preserve">. A protože univerzální forma predikace </w:t>
      </w:r>
      <w:r w:rsidR="00884B73">
        <w:rPr>
          <w:noProof/>
        </w:rPr>
        <w:t>'o všech' a 'skrze sebe'</w:t>
      </w:r>
      <w:r w:rsidRPr="00273106">
        <w:rPr>
          <w:noProof/>
        </w:rPr>
        <w:t xml:space="preserve"> patří do obecné definice, pak je determinována v řádu </w:t>
      </w:r>
      <w:r w:rsidRPr="00273106">
        <w:rPr>
          <w:i/>
          <w:noProof/>
        </w:rPr>
        <w:t>per prius</w:t>
      </w:r>
      <w:r w:rsidRPr="00273106">
        <w:rPr>
          <w:noProof/>
        </w:rPr>
        <w:t xml:space="preserve">.“ </w:t>
      </w:r>
      <w:r w:rsidRPr="00273106">
        <w:rPr>
          <w:rStyle w:val="Znakapoznpodarou"/>
          <w:noProof/>
          <w:lang w:val="cs-CZ"/>
        </w:rPr>
        <w:footnoteReference w:id="488"/>
      </w:r>
    </w:p>
    <w:p w14:paraId="07C761B6" w14:textId="4131C4C8" w:rsidR="00565C35" w:rsidRDefault="00F32DC7" w:rsidP="00565C35">
      <w:r w:rsidRPr="00273106">
        <w:t>Nutnost je univočně pojata oběma směry</w:t>
      </w:r>
      <w:r w:rsidR="00FC2AC5">
        <w:t xml:space="preserve"> dokazování</w:t>
      </w:r>
      <w:r w:rsidR="00D91BAF">
        <w:t>, ale řídí ji nasvícení smyslu j</w:t>
      </w:r>
      <w:r w:rsidR="002D025F">
        <w:t>s</w:t>
      </w:r>
      <w:r w:rsidR="00D91BAF">
        <w:t xml:space="preserve">oucna zezadu od </w:t>
      </w:r>
      <w:r w:rsidR="08D543C2">
        <w:t xml:space="preserve">diakosmu </w:t>
      </w:r>
      <w:r w:rsidR="087F2696">
        <w:t xml:space="preserve">subsistentních </w:t>
      </w:r>
      <w:r w:rsidR="00D91BAF">
        <w:t>forem</w:t>
      </w:r>
      <w:r w:rsidR="00F1575C">
        <w:fldChar w:fldCharType="begin"/>
      </w:r>
      <w:r w:rsidR="00F1575C">
        <w:instrText xml:space="preserve"> XE "</w:instrText>
      </w:r>
      <w:r w:rsidR="00F1575C" w:rsidRPr="006F74D6">
        <w:instrText>zjevování:nasvícení zezadu</w:instrText>
      </w:r>
      <w:r w:rsidR="00F1575C">
        <w:instrText xml:space="preserve">" </w:instrText>
      </w:r>
      <w:r w:rsidR="00F1575C">
        <w:fldChar w:fldCharType="end"/>
      </w:r>
      <w:r w:rsidRPr="00273106">
        <w:t xml:space="preserve">. První </w:t>
      </w:r>
      <w:r w:rsidR="00730AD0" w:rsidRPr="00273106">
        <w:t>roz</w:t>
      </w:r>
      <w:r w:rsidRPr="00273106">
        <w:t xml:space="preserve">běh </w:t>
      </w:r>
      <w:r w:rsidR="00730AD0" w:rsidRPr="00273106">
        <w:t xml:space="preserve">myšlení </w:t>
      </w:r>
      <w:r w:rsidRPr="00273106">
        <w:t xml:space="preserve">spojí v modu </w:t>
      </w:r>
      <w:r w:rsidR="00874074">
        <w:t>neoplatonsk</w:t>
      </w:r>
      <w:r w:rsidRPr="00273106">
        <w:t xml:space="preserve">é </w:t>
      </w:r>
      <w:r w:rsidR="00311CCC">
        <w:t>kat</w:t>
      </w:r>
      <w:r w:rsidRPr="00273106">
        <w:t>abáze nutnost danou v realitě s vyšší formou nutnosti danou skrze druhou triádu principů formálně určujících logický závěr vědeckého soudu (</w:t>
      </w:r>
      <w:r w:rsidRPr="00273106">
        <w:rPr>
          <w:i/>
        </w:rPr>
        <w:t>'per se' addit supra 'de omni' et 'universale'</w:t>
      </w:r>
      <w:r w:rsidR="00311CCC">
        <w:t xml:space="preserve">). </w:t>
      </w:r>
      <w:r w:rsidR="002D025F" w:rsidRPr="00273106">
        <w:t>Univerzální triáda principů (</w:t>
      </w:r>
      <w:r w:rsidR="00FC2AC5">
        <w:rPr>
          <w:i/>
        </w:rPr>
        <w:t>in diffinitione univ</w:t>
      </w:r>
      <w:r w:rsidR="002D025F" w:rsidRPr="00273106">
        <w:rPr>
          <w:i/>
        </w:rPr>
        <w:t>ersalis</w:t>
      </w:r>
      <w:r w:rsidR="002D025F" w:rsidRPr="00273106">
        <w:t xml:space="preserve">) postupuje od vyšší nutnosti k nižší, protože je dána v modu predikace </w:t>
      </w:r>
      <w:r w:rsidR="002D025F" w:rsidRPr="00273106">
        <w:rPr>
          <w:i/>
        </w:rPr>
        <w:t>per prius</w:t>
      </w:r>
      <w:r w:rsidR="00F1575C">
        <w:rPr>
          <w:i/>
        </w:rPr>
        <w:fldChar w:fldCharType="begin"/>
      </w:r>
      <w:r w:rsidR="00F1575C">
        <w:instrText xml:space="preserve"> XE "</w:instrText>
      </w:r>
      <w:r w:rsidR="00F1575C" w:rsidRPr="00645054">
        <w:instrText xml:space="preserve">princip </w:instrText>
      </w:r>
      <w:r w:rsidR="00F1575C" w:rsidRPr="00F1575C">
        <w:rPr>
          <w:i/>
        </w:rPr>
        <w:instrText>ex immeditatis</w:instrText>
      </w:r>
      <w:r w:rsidR="00F1575C">
        <w:instrText xml:space="preserve">" </w:instrText>
      </w:r>
      <w:r w:rsidR="00F1575C">
        <w:rPr>
          <w:i/>
        </w:rPr>
        <w:fldChar w:fldCharType="end"/>
      </w:r>
      <w:r w:rsidR="002D025F" w:rsidRPr="00273106">
        <w:t xml:space="preserve">. </w:t>
      </w:r>
      <w:r w:rsidRPr="00273106">
        <w:t xml:space="preserve">Esenciální definice nutnosti v modu </w:t>
      </w:r>
      <w:r w:rsidR="087F2696" w:rsidRPr="087F2696">
        <w:rPr>
          <w:i/>
        </w:rPr>
        <w:t>semel</w:t>
      </w:r>
      <w:r w:rsidR="087F2696" w:rsidRPr="0899106B">
        <w:rPr>
          <w:rStyle w:val="Zvraznn"/>
          <w:i w:val="0"/>
          <w:iCs w:val="0"/>
        </w:rPr>
        <w:t>‒</w:t>
      </w:r>
      <w:r w:rsidR="087F2696" w:rsidRPr="087F2696">
        <w:rPr>
          <w:rStyle w:val="Zvraznn"/>
          <w:iCs w:val="0"/>
        </w:rPr>
        <w:t>semper</w:t>
      </w:r>
      <w:r w:rsidR="087F2696">
        <w:rPr>
          <w:rStyle w:val="Zvraznn"/>
          <w:i w:val="0"/>
          <w:iCs w:val="0"/>
        </w:rPr>
        <w:t xml:space="preserve"> </w:t>
      </w:r>
      <w:r w:rsidRPr="00273106">
        <w:t>primárně a fundamentálně určuje všechny ostatní formy nutnosti (</w:t>
      </w:r>
      <w:r w:rsidRPr="00273106">
        <w:rPr>
          <w:i/>
        </w:rPr>
        <w:t>prius determinantur</w:t>
      </w:r>
      <w:r w:rsidRPr="00273106">
        <w:t>). Gross</w:t>
      </w:r>
      <w:r w:rsidR="00A6367C">
        <w:t>etesteho metafyzická nejasnost</w:t>
      </w:r>
      <w:r w:rsidRPr="00273106">
        <w:t xml:space="preserve"> (</w:t>
      </w:r>
      <w:r w:rsidRPr="00273106">
        <w:rPr>
          <w:i/>
        </w:rPr>
        <w:t>aliquantulum obscura</w:t>
      </w:r>
      <w:r w:rsidR="08957B99">
        <w:rPr>
          <w:i/>
        </w:rPr>
        <w:t xml:space="preserve">, </w:t>
      </w:r>
      <w:r w:rsidR="08AE1AF0">
        <w:t>kap. 3</w:t>
      </w:r>
      <w:r w:rsidR="08957B99" w:rsidRPr="00273106">
        <w:t>.1.1</w:t>
      </w:r>
      <w:r w:rsidRPr="00273106">
        <w:t>)</w:t>
      </w:r>
      <w:r w:rsidR="00D81444">
        <w:t xml:space="preserve"> stále ještě rozlišovala</w:t>
      </w:r>
      <w:r w:rsidRPr="00273106">
        <w:t xml:space="preserve"> kategoriální a matematickou nutnost díky odlišení první </w:t>
      </w:r>
      <w:r w:rsidR="00D81444">
        <w:t>a druhé triády principů poznání. Toto váhání zcela zmizelo v sofistice R</w:t>
      </w:r>
      <w:r w:rsidR="08957B99">
        <w:t>ufuse a Kilwardbyho</w:t>
      </w:r>
      <w:r w:rsidRPr="00273106">
        <w:t xml:space="preserve">. Oxfordští ilumináti prozářili původní nejasnost </w:t>
      </w:r>
      <w:r w:rsidR="001F02AC">
        <w:t xml:space="preserve">impozice od první substance </w:t>
      </w:r>
      <w:r w:rsidRPr="00273106">
        <w:t>světlem moder</w:t>
      </w:r>
      <w:r w:rsidR="005C5939">
        <w:t>ního intelektu</w:t>
      </w:r>
      <w:r w:rsidR="003241D3">
        <w:t>-slunce</w:t>
      </w:r>
      <w:r w:rsidR="00A6367C">
        <w:t xml:space="preserve"> danému podle Toledské školy, který syntetizovala neoplatonský výklad Avicenny a Averroese</w:t>
      </w:r>
      <w:r w:rsidR="003241D3">
        <w:fldChar w:fldCharType="begin"/>
      </w:r>
      <w:r w:rsidR="003241D3">
        <w:instrText xml:space="preserve"> XE "intelekt-slunce" </w:instrText>
      </w:r>
      <w:r w:rsidR="003241D3">
        <w:fldChar w:fldCharType="end"/>
      </w:r>
      <w:r w:rsidR="005C5939">
        <w:t xml:space="preserve">. Zatmění první substance provedli </w:t>
      </w:r>
      <w:r w:rsidR="005A2F3B">
        <w:t xml:space="preserve">první modernisté </w:t>
      </w:r>
      <w:r w:rsidR="005C5939">
        <w:t>tím, že n</w:t>
      </w:r>
      <w:r w:rsidRPr="00273106">
        <w:t xml:space="preserve">ahradili </w:t>
      </w:r>
      <w:r w:rsidR="005C5939">
        <w:t>hypar</w:t>
      </w:r>
      <w:r w:rsidR="005A2F3B">
        <w:t xml:space="preserve">chickou funkci danou principem </w:t>
      </w:r>
      <w:r w:rsidR="00010B8E">
        <w:rPr>
          <w:i/>
        </w:rPr>
        <w:t>inmediate</w:t>
      </w:r>
      <w:r w:rsidR="005C5939">
        <w:t xml:space="preserve"> </w:t>
      </w:r>
      <w:r w:rsidRPr="00273106">
        <w:t>plnou univoční konvertibilitou me</w:t>
      </w:r>
      <w:r w:rsidR="005A2F3B">
        <w:t xml:space="preserve">zi různými druhy nutnosti dané </w:t>
      </w:r>
      <w:r w:rsidRPr="00273106">
        <w:rPr>
          <w:i/>
        </w:rPr>
        <w:t>per se</w:t>
      </w:r>
      <w:r w:rsidR="00265178">
        <w:fldChar w:fldCharType="begin"/>
      </w:r>
      <w:r w:rsidR="00265178">
        <w:instrText xml:space="preserve"> XE "</w:instrText>
      </w:r>
      <w:r w:rsidR="00265178" w:rsidRPr="00386714">
        <w:instrText>substance:zatmění</w:instrText>
      </w:r>
      <w:r w:rsidR="00265178">
        <w:instrText xml:space="preserve">" </w:instrText>
      </w:r>
      <w:r w:rsidR="00265178">
        <w:fldChar w:fldCharType="end"/>
      </w:r>
      <w:r w:rsidR="005D4FA1">
        <w:t xml:space="preserve">. </w:t>
      </w:r>
      <w:r w:rsidR="00565C35">
        <w:t>Nutnost zahrnuje chaos nediferencovaných významů:</w:t>
      </w:r>
    </w:p>
    <w:p w14:paraId="06FC3732" w14:textId="251837F3" w:rsidR="00565C35" w:rsidRDefault="00565C35" w:rsidP="00565C35">
      <w:pPr>
        <w:numPr>
          <w:ilvl w:val="0"/>
          <w:numId w:val="12"/>
        </w:numPr>
      </w:pPr>
      <w:r>
        <w:t>existující vnější první substance;</w:t>
      </w:r>
    </w:p>
    <w:p w14:paraId="14DE35DC" w14:textId="50AE652A" w:rsidR="00565C35" w:rsidRDefault="00565C35" w:rsidP="00565C35">
      <w:pPr>
        <w:numPr>
          <w:ilvl w:val="0"/>
          <w:numId w:val="12"/>
        </w:numPr>
      </w:pPr>
      <w:r>
        <w:t xml:space="preserve">impozice reálné kauzality, která je rozpoznávána prostřednictvím tělesných smyslů a je predikována skrze </w:t>
      </w:r>
      <w:r w:rsidRPr="00565C35">
        <w:rPr>
          <w:i/>
        </w:rPr>
        <w:t>medium</w:t>
      </w:r>
      <w:r>
        <w:rPr>
          <w:i/>
        </w:rPr>
        <w:fldChar w:fldCharType="begin"/>
      </w:r>
      <w:r>
        <w:instrText xml:space="preserve"> XE "</w:instrText>
      </w:r>
      <w:r w:rsidRPr="001618A5">
        <w:rPr>
          <w:i/>
        </w:rPr>
        <w:instrText>medium:</w:instrText>
      </w:r>
      <w:r w:rsidRPr="00265178">
        <w:instrText>druhý averroismus</w:instrText>
      </w:r>
      <w:r>
        <w:instrText xml:space="preserve">" </w:instrText>
      </w:r>
      <w:r>
        <w:rPr>
          <w:i/>
        </w:rPr>
        <w:fldChar w:fldCharType="end"/>
      </w:r>
      <w:r>
        <w:t xml:space="preserve"> vědeckého důkazu;</w:t>
      </w:r>
    </w:p>
    <w:p w14:paraId="2BC4F158" w14:textId="4F7921B5" w:rsidR="00565C35" w:rsidRDefault="00565C35" w:rsidP="00565C35">
      <w:pPr>
        <w:numPr>
          <w:ilvl w:val="0"/>
          <w:numId w:val="12"/>
        </w:numPr>
      </w:pPr>
      <w:r>
        <w:t>metafyzickou predikaci hyparchické první substance, která se provádí skrze druhou kategorickou substanci;</w:t>
      </w:r>
    </w:p>
    <w:p w14:paraId="29C08D8B" w14:textId="2D848A0B" w:rsidR="00565C35" w:rsidRDefault="00565C35" w:rsidP="00565C35">
      <w:pPr>
        <w:numPr>
          <w:ilvl w:val="0"/>
          <w:numId w:val="12"/>
        </w:numPr>
      </w:pPr>
      <w:r>
        <w:t>logickou a matematickou dedukci významu založenou na esenci.</w:t>
      </w:r>
    </w:p>
    <w:p w14:paraId="542AB979" w14:textId="5A0B59B8" w:rsidR="00C60B3A" w:rsidRDefault="00F32DC7" w:rsidP="002C06BA">
      <w:r w:rsidRPr="00273106">
        <w:t xml:space="preserve">Všechny tyto druhy </w:t>
      </w:r>
      <w:r w:rsidR="00580844" w:rsidRPr="00273106">
        <w:t xml:space="preserve">nutnosti </w:t>
      </w:r>
      <w:r w:rsidRPr="00273106">
        <w:t xml:space="preserve">jsou </w:t>
      </w:r>
      <w:r w:rsidR="00660DB4">
        <w:t>v moderně dané univočně</w:t>
      </w:r>
      <w:r w:rsidRPr="00273106">
        <w:t xml:space="preserve"> </w:t>
      </w:r>
      <w:r w:rsidR="08E82345">
        <w:t xml:space="preserve">skrze náhled </w:t>
      </w:r>
      <w:r w:rsidR="0832713C">
        <w:t>obj</w:t>
      </w:r>
      <w:r w:rsidR="08E82345">
        <w:t>ektivní</w:t>
      </w:r>
      <w:r w:rsidR="08FE5134">
        <w:t xml:space="preserve"> </w:t>
      </w:r>
      <w:r w:rsidR="08E82345">
        <w:t xml:space="preserve">nutnosti </w:t>
      </w:r>
      <w:r w:rsidR="08FE5134">
        <w:t>v mysli.</w:t>
      </w:r>
      <w:r w:rsidRPr="00273106">
        <w:t xml:space="preserve"> </w:t>
      </w:r>
      <w:r w:rsidR="00580844" w:rsidRPr="00273106">
        <w:t xml:space="preserve">Tuto sofistiku kritizoval Bacon </w:t>
      </w:r>
      <w:r w:rsidR="001008AA" w:rsidRPr="00273106">
        <w:t xml:space="preserve">okamžitě po jejím vzniku, viz citovaný komentář k </w:t>
      </w:r>
      <w:r w:rsidR="001008AA" w:rsidRPr="00DA2034">
        <w:rPr>
          <w:i/>
        </w:rPr>
        <w:t>Metafy</w:t>
      </w:r>
      <w:r w:rsidR="00950344">
        <w:rPr>
          <w:i/>
        </w:rPr>
        <w:t>z</w:t>
      </w:r>
      <w:r w:rsidR="001008AA" w:rsidRPr="00DA2034">
        <w:rPr>
          <w:i/>
        </w:rPr>
        <w:t>ice</w:t>
      </w:r>
      <w:r w:rsidR="001008AA" w:rsidRPr="00273106">
        <w:t xml:space="preserve"> </w:t>
      </w:r>
      <w:r w:rsidR="0893058D">
        <w:t xml:space="preserve">psaný někdy roku </w:t>
      </w:r>
      <w:r w:rsidR="001008AA" w:rsidRPr="00273106">
        <w:t xml:space="preserve">1245. </w:t>
      </w:r>
      <w:r w:rsidR="00950344" w:rsidRPr="00950344">
        <w:t xml:space="preserve">Formální nutnost logiky a matematiky </w:t>
      </w:r>
      <w:r w:rsidR="00950344">
        <w:t xml:space="preserve">není </w:t>
      </w:r>
      <w:r w:rsidR="0048280F">
        <w:t xml:space="preserve">stejná jako </w:t>
      </w:r>
      <w:r w:rsidR="00950344">
        <w:t>nutnost singulárních externích substancí</w:t>
      </w:r>
      <w:r w:rsidR="00950344" w:rsidRPr="00950344">
        <w:t>.</w:t>
      </w:r>
      <w:r w:rsidR="00950344">
        <w:t xml:space="preserve"> Bacon modernistům marně vysvětloval, že reálné </w:t>
      </w:r>
      <w:r w:rsidR="00430D41">
        <w:t xml:space="preserve">působení </w:t>
      </w:r>
      <w:r w:rsidR="00623B7A">
        <w:t>hyparchic</w:t>
      </w:r>
      <w:r w:rsidR="00950344">
        <w:t xml:space="preserve">kých substancí </w:t>
      </w:r>
      <w:r w:rsidR="001C6EA8">
        <w:t xml:space="preserve">musí být reflektováno v modu pravdy jako adekvace </w:t>
      </w:r>
      <w:r w:rsidR="00623B7A">
        <w:t xml:space="preserve">mysli a </w:t>
      </w:r>
      <w:r w:rsidR="001C6EA8">
        <w:t>reálné kauzality</w:t>
      </w:r>
      <w:r w:rsidR="00950344">
        <w:t xml:space="preserve">. Ta je pak </w:t>
      </w:r>
      <w:r w:rsidR="00430D41">
        <w:t>zachycen</w:t>
      </w:r>
      <w:r w:rsidR="00950344">
        <w:t>a</w:t>
      </w:r>
      <w:r w:rsidR="00430D41">
        <w:t xml:space="preserve"> v univerzální </w:t>
      </w:r>
      <w:r w:rsidR="001C6EA8">
        <w:t xml:space="preserve">výpovědi středního členu deduktivního soudu </w:t>
      </w:r>
      <w:r w:rsidR="00580844" w:rsidRPr="00273106">
        <w:t>(</w:t>
      </w:r>
      <w:r w:rsidR="00580844" w:rsidRPr="00273106">
        <w:rPr>
          <w:i/>
        </w:rPr>
        <w:t>hoc est universale per causalitatem</w:t>
      </w:r>
      <w:r w:rsidR="08926BC1">
        <w:t>, kap. 3</w:t>
      </w:r>
      <w:r w:rsidR="00797B9E" w:rsidRPr="00797B9E">
        <w:t>.2</w:t>
      </w:r>
      <w:r w:rsidR="00580844" w:rsidRPr="00273106">
        <w:t xml:space="preserve">). </w:t>
      </w:r>
      <w:r w:rsidR="00623B7A" w:rsidRPr="00623B7A">
        <w:t xml:space="preserve">Kauzalita působí </w:t>
      </w:r>
      <w:r w:rsidR="00623B7A">
        <w:t xml:space="preserve">nejprve </w:t>
      </w:r>
      <w:r w:rsidR="00623B7A" w:rsidRPr="00623B7A">
        <w:t xml:space="preserve">na úrovni prvních substancí, logická predikace na ni navazuje na úrovni esenciálních a univerzálních propozic. Podle Bacona musí být reálná kauzalita konstatována jako metafyzická a kategorická nutnost, protože </w:t>
      </w:r>
      <w:r w:rsidR="00623B7A">
        <w:t xml:space="preserve">ta </w:t>
      </w:r>
      <w:r w:rsidR="00623B7A" w:rsidRPr="00623B7A">
        <w:t>zakládá vědecký důkaz.</w:t>
      </w:r>
      <w:r w:rsidR="00623B7A">
        <w:t xml:space="preserve"> </w:t>
      </w:r>
      <w:r w:rsidR="00854070" w:rsidRPr="00854070">
        <w:t>Latinští sofisté a představitelé současné analytické filosofie si nevšímají</w:t>
      </w:r>
      <w:r w:rsidR="00854070">
        <w:t xml:space="preserve"> r</w:t>
      </w:r>
      <w:r w:rsidR="00854070" w:rsidRPr="00854070">
        <w:t xml:space="preserve">ozdílů, které </w:t>
      </w:r>
      <w:r w:rsidR="00854070">
        <w:t xml:space="preserve">určují </w:t>
      </w:r>
      <w:r w:rsidR="00854070" w:rsidRPr="00854070">
        <w:t>různé</w:t>
      </w:r>
      <w:r w:rsidR="00854070">
        <w:t xml:space="preserve"> druhy univerzality a nutnosti</w:t>
      </w:r>
      <w:r w:rsidR="00854070" w:rsidRPr="00854070">
        <w:t>.</w:t>
      </w:r>
    </w:p>
    <w:p w14:paraId="219B5D55" w14:textId="6D1980CC" w:rsidR="002C06BA" w:rsidRPr="00273106" w:rsidRDefault="0872746E" w:rsidP="00C60B3A">
      <w:pPr>
        <w:ind w:firstLine="397"/>
      </w:pPr>
      <w:r>
        <w:t>Kilwardby z</w:t>
      </w:r>
      <w:r w:rsidR="00A63E36">
        <w:t>avedl plnou</w:t>
      </w:r>
      <w:r w:rsidR="00580844" w:rsidRPr="00273106">
        <w:t xml:space="preserve"> </w:t>
      </w:r>
      <w:r w:rsidR="00A63E36">
        <w:t>analytickou</w:t>
      </w:r>
      <w:r w:rsidR="00DA6314">
        <w:t xml:space="preserve"> </w:t>
      </w:r>
      <w:r w:rsidR="00A63E36">
        <w:t>verzi</w:t>
      </w:r>
      <w:r w:rsidR="00580844" w:rsidRPr="00273106">
        <w:t xml:space="preserve"> </w:t>
      </w:r>
      <w:r w:rsidR="00580844" w:rsidRPr="00273106">
        <w:rPr>
          <w:i/>
        </w:rPr>
        <w:t>Oxfordian Fallacy</w:t>
      </w:r>
      <w:r>
        <w:t xml:space="preserve"> </w:t>
      </w:r>
      <w:r w:rsidR="00A63E36">
        <w:t xml:space="preserve">a tím </w:t>
      </w:r>
      <w:r>
        <w:t xml:space="preserve">založil s Rufusem </w:t>
      </w:r>
      <w:r w:rsidR="00854070">
        <w:t>epochu</w:t>
      </w:r>
      <w:r w:rsidR="08926BC1">
        <w:t xml:space="preserve"> moderny</w:t>
      </w:r>
      <w:r>
        <w:t xml:space="preserve"> a postm</w:t>
      </w:r>
      <w:r w:rsidR="08926BC1">
        <w:t>oderny</w:t>
      </w:r>
      <w:r w:rsidR="00580844" w:rsidRPr="00273106">
        <w:t xml:space="preserve">. </w:t>
      </w:r>
      <w:r w:rsidR="006C0033">
        <w:t xml:space="preserve">Zatměním astronomického zatmění </w:t>
      </w:r>
      <w:r w:rsidR="00DA6314">
        <w:fldChar w:fldCharType="begin"/>
      </w:r>
      <w:r w:rsidR="00DA6314">
        <w:instrText xml:space="preserve"> XE "</w:instrText>
      </w:r>
      <w:r w:rsidR="00DA6314" w:rsidRPr="00526014">
        <w:instrText>zatmění</w:instrText>
      </w:r>
      <w:r w:rsidR="00DA6314" w:rsidRPr="082526E0">
        <w:rPr>
          <w:i/>
        </w:rPr>
        <w:instrText>:Druhé analytiky</w:instrText>
      </w:r>
      <w:r w:rsidR="00DA6314">
        <w:instrText xml:space="preserve">" </w:instrText>
      </w:r>
      <w:r w:rsidR="00DA6314">
        <w:fldChar w:fldCharType="end"/>
      </w:r>
      <w:r w:rsidR="006C0033">
        <w:t xml:space="preserve">byla </w:t>
      </w:r>
      <w:r w:rsidR="00580844" w:rsidRPr="00273106">
        <w:t xml:space="preserve">dokonána </w:t>
      </w:r>
      <w:r w:rsidR="006C0033">
        <w:t xml:space="preserve">moderní </w:t>
      </w:r>
      <w:r w:rsidR="00580844" w:rsidRPr="00273106">
        <w:t>destrukce první substance</w:t>
      </w:r>
      <w:r w:rsidR="00E0488D">
        <w:t xml:space="preserve"> na epochálně nový způsob. H</w:t>
      </w:r>
      <w:r w:rsidR="00580844" w:rsidRPr="00273106">
        <w:t xml:space="preserve">yparchické určení </w:t>
      </w:r>
      <w:r w:rsidR="00E0488D">
        <w:t xml:space="preserve">astronomického zatmění dané ve </w:t>
      </w:r>
      <w:r w:rsidR="00E0488D" w:rsidRPr="00E0488D">
        <w:rPr>
          <w:i/>
        </w:rPr>
        <w:t>Druhých analytikách</w:t>
      </w:r>
      <w:r w:rsidR="00E0488D">
        <w:t xml:space="preserve"> </w:t>
      </w:r>
      <w:r w:rsidR="00580844" w:rsidRPr="00273106">
        <w:t>zcela zmizelo</w:t>
      </w:r>
      <w:r w:rsidR="00E0488D">
        <w:t xml:space="preserve">, protože </w:t>
      </w:r>
      <w:r w:rsidR="00800F6F">
        <w:t xml:space="preserve">impozice </w:t>
      </w:r>
      <w:r w:rsidR="00E0488D">
        <w:t xml:space="preserve">nutnosti </w:t>
      </w:r>
      <w:r w:rsidR="08A016E5">
        <w:t xml:space="preserve">z reality </w:t>
      </w:r>
      <w:r w:rsidR="00800F6F">
        <w:t>byla nahrazena supozicí</w:t>
      </w:r>
      <w:r w:rsidR="08A016E5">
        <w:t xml:space="preserve"> </w:t>
      </w:r>
      <w:r w:rsidR="00E0488D">
        <w:t>nutnosti danou v </w:t>
      </w:r>
      <w:r w:rsidR="08A016E5">
        <w:t>mysli</w:t>
      </w:r>
      <w:r w:rsidR="00E0488D">
        <w:t xml:space="preserve"> iluminátů</w:t>
      </w:r>
      <w:r w:rsidR="00580844" w:rsidRPr="00273106">
        <w:t xml:space="preserve">. </w:t>
      </w:r>
      <w:r w:rsidR="00902BEF">
        <w:t>Univoční predikace</w:t>
      </w:r>
      <w:r w:rsidR="00902BEF" w:rsidRPr="00273106">
        <w:t xml:space="preserve"> </w:t>
      </w:r>
      <w:r w:rsidR="00902BEF">
        <w:t xml:space="preserve">jsoucna </w:t>
      </w:r>
      <w:r w:rsidR="00902BEF" w:rsidRPr="00902BEF">
        <w:t>zavedla soubor akcidentů a substancí (</w:t>
      </w:r>
      <w:r w:rsidR="00902BEF" w:rsidRPr="00902BEF">
        <w:rPr>
          <w:i/>
        </w:rPr>
        <w:t>collectio</w:t>
      </w:r>
      <w:r w:rsidR="00902BEF">
        <w:rPr>
          <w:i/>
        </w:rPr>
        <w:fldChar w:fldCharType="begin"/>
      </w:r>
      <w:r w:rsidR="00902BEF">
        <w:instrText xml:space="preserve"> XE "</w:instrText>
      </w:r>
      <w:r w:rsidR="00902BEF" w:rsidRPr="003360BC">
        <w:rPr>
          <w:i/>
        </w:rPr>
        <w:instrText>collectio</w:instrText>
      </w:r>
      <w:r w:rsidR="00902BEF">
        <w:instrText xml:space="preserve">" </w:instrText>
      </w:r>
      <w:r w:rsidR="00902BEF">
        <w:rPr>
          <w:i/>
        </w:rPr>
        <w:fldChar w:fldCharType="end"/>
      </w:r>
      <w:r w:rsidR="00902BEF" w:rsidRPr="00902BEF">
        <w:t>) jako náhradu původní jednoty bytí. Modernisté začali odvozovat původní status světa z</w:t>
      </w:r>
      <w:r w:rsidR="006C5FD6">
        <w:t xml:space="preserve"> universálních </w:t>
      </w:r>
      <w:r w:rsidR="00902BEF" w:rsidRPr="00902BEF">
        <w:t>principů poznání (</w:t>
      </w:r>
      <w:r w:rsidR="00902BEF" w:rsidRPr="00902BEF">
        <w:rPr>
          <w:i/>
        </w:rPr>
        <w:t>resolutio</w:t>
      </w:r>
      <w:r w:rsidR="00902BEF" w:rsidRPr="00A45AB0">
        <w:fldChar w:fldCharType="begin"/>
      </w:r>
      <w:r w:rsidR="00902BEF" w:rsidRPr="00A45AB0">
        <w:instrText xml:space="preserve"> XE "</w:instrText>
      </w:r>
      <w:r w:rsidR="00902BEF" w:rsidRPr="00274E9F">
        <w:rPr>
          <w:i/>
        </w:rPr>
        <w:instrText>resolutio</w:instrText>
      </w:r>
      <w:r w:rsidR="00902BEF">
        <w:rPr>
          <w:i/>
        </w:rPr>
        <w:instrText>:</w:instrText>
      </w:r>
      <w:r w:rsidR="00902BEF">
        <w:instrText>Kilwardby</w:instrText>
      </w:r>
      <w:r w:rsidR="00902BEF" w:rsidRPr="00A45AB0">
        <w:instrText xml:space="preserve">" </w:instrText>
      </w:r>
      <w:r w:rsidR="00902BEF" w:rsidRPr="00A45AB0">
        <w:fldChar w:fldCharType="end"/>
      </w:r>
      <w:r w:rsidR="00902BEF" w:rsidRPr="00902BEF">
        <w:t xml:space="preserve">), které </w:t>
      </w:r>
      <w:r w:rsidR="00902BEF">
        <w:t>obsahují hypostá</w:t>
      </w:r>
      <w:r w:rsidR="00902BEF" w:rsidRPr="00902BEF">
        <w:t xml:space="preserve">zované formy </w:t>
      </w:r>
      <w:r w:rsidR="00902BEF">
        <w:t xml:space="preserve">reality </w:t>
      </w:r>
      <w:r w:rsidR="00902BEF" w:rsidRPr="00902BEF">
        <w:t>(</w:t>
      </w:r>
      <w:r w:rsidR="00902BEF" w:rsidRPr="00902BEF">
        <w:rPr>
          <w:i/>
        </w:rPr>
        <w:t>scibile</w:t>
      </w:r>
      <w:r w:rsidR="00440460">
        <w:rPr>
          <w:i/>
        </w:rPr>
        <w:fldChar w:fldCharType="begin"/>
      </w:r>
      <w:r w:rsidR="00440460">
        <w:instrText xml:space="preserve"> XE "</w:instrText>
      </w:r>
      <w:r w:rsidR="00440460" w:rsidRPr="00A532B2">
        <w:rPr>
          <w:i/>
        </w:rPr>
        <w:instrText>scibile</w:instrText>
      </w:r>
      <w:r w:rsidR="00440460">
        <w:instrText xml:space="preserve">" </w:instrText>
      </w:r>
      <w:r w:rsidR="00440460">
        <w:rPr>
          <w:i/>
        </w:rPr>
        <w:fldChar w:fldCharType="end"/>
      </w:r>
      <w:r w:rsidR="00902BEF" w:rsidRPr="00902BEF">
        <w:t>).</w:t>
      </w:r>
      <w:r w:rsidR="00902BEF">
        <w:t xml:space="preserve"> </w:t>
      </w:r>
      <w:r w:rsidR="00F32DC7" w:rsidRPr="00273106">
        <w:t xml:space="preserve">Tímto </w:t>
      </w:r>
      <w:r w:rsidR="08946BD1">
        <w:t>mytopoetickým</w:t>
      </w:r>
      <w:r w:rsidR="08946BD1">
        <w:fldChar w:fldCharType="begin"/>
      </w:r>
      <w:r w:rsidR="08946BD1">
        <w:instrText xml:space="preserve"> XE "</w:instrText>
      </w:r>
      <w:r w:rsidR="08946BD1" w:rsidRPr="087229A3">
        <w:instrText>mytopoesis</w:instrText>
      </w:r>
      <w:r w:rsidR="08946BD1">
        <w:instrText xml:space="preserve">" </w:instrText>
      </w:r>
      <w:r w:rsidR="08946BD1">
        <w:fldChar w:fldCharType="end"/>
      </w:r>
      <w:r w:rsidR="08946BD1">
        <w:t xml:space="preserve"> </w:t>
      </w:r>
      <w:r w:rsidR="00F32DC7" w:rsidRPr="00273106">
        <w:t xml:space="preserve">potvrzením jednoty jsoucna a převedením všech principů na společný základ vědění je dán základ budoucí </w:t>
      </w:r>
      <w:r w:rsidR="00F32DC7" w:rsidRPr="00273106">
        <w:rPr>
          <w:i/>
        </w:rPr>
        <w:t>metaphysica generalis</w:t>
      </w:r>
      <w:r w:rsidR="009B350B">
        <w:rPr>
          <w:i/>
        </w:rPr>
        <w:fldChar w:fldCharType="begin"/>
      </w:r>
      <w:r w:rsidR="009B350B">
        <w:instrText xml:space="preserve"> XE "</w:instrText>
      </w:r>
      <w:r w:rsidR="009B350B" w:rsidRPr="007E3962">
        <w:rPr>
          <w:i/>
        </w:rPr>
        <w:instrText>metaphysica generalis</w:instrText>
      </w:r>
      <w:r w:rsidR="009B350B">
        <w:instrText xml:space="preserve">" </w:instrText>
      </w:r>
      <w:r w:rsidR="009B350B">
        <w:rPr>
          <w:i/>
        </w:rPr>
        <w:fldChar w:fldCharType="end"/>
      </w:r>
      <w:r w:rsidR="0052341F">
        <w:t xml:space="preserve"> determinující současné vědění Západu. </w:t>
      </w:r>
      <w:r w:rsidR="001263FB">
        <w:t>Osvícená mysl moderních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1263FB">
        <w:t xml:space="preserve"> </w:t>
      </w:r>
      <w:r w:rsidR="08804F54">
        <w:t>šplhá</w:t>
      </w:r>
      <w:r w:rsidR="001263FB">
        <w:t xml:space="preserve"> po mystickém Jakubově žebříku</w:t>
      </w:r>
      <w:r w:rsidR="00DA6314">
        <w:fldChar w:fldCharType="begin"/>
      </w:r>
      <w:r w:rsidR="00DA6314">
        <w:instrText xml:space="preserve"> XE "</w:instrText>
      </w:r>
      <w:r w:rsidR="00DA6314" w:rsidRPr="009377F4">
        <w:instrText>Jakubův žebřík</w:instrText>
      </w:r>
      <w:r w:rsidR="00DA6314">
        <w:instrText xml:space="preserve">" </w:instrText>
      </w:r>
      <w:r w:rsidR="00DA6314">
        <w:fldChar w:fldCharType="end"/>
      </w:r>
      <w:r w:rsidR="001263FB">
        <w:t xml:space="preserve"> jsoucen nahoru a dolů v modu </w:t>
      </w:r>
      <w:r w:rsidR="00874074">
        <w:t>neoplatonsk</w:t>
      </w:r>
      <w:r w:rsidR="001263FB">
        <w:t xml:space="preserve">é katabáze a anabáze. </w:t>
      </w:r>
      <w:r w:rsidR="002C06BA" w:rsidRPr="00273106">
        <w:t xml:space="preserve">Typickou ukázku vědecké sofistiky </w:t>
      </w:r>
      <w:r w:rsidR="00F32DC7" w:rsidRPr="00273106">
        <w:t xml:space="preserve">založené na univoční formě nutnosti </w:t>
      </w:r>
      <w:r w:rsidR="00852CEE">
        <w:t xml:space="preserve">představuje </w:t>
      </w:r>
      <w:r w:rsidR="009E0C02">
        <w:t xml:space="preserve">tento </w:t>
      </w:r>
      <w:r w:rsidR="00852CEE">
        <w:t xml:space="preserve">citát z </w:t>
      </w:r>
      <w:r w:rsidR="08CD6220">
        <w:rPr>
          <w:i/>
        </w:rPr>
        <w:t>Notule</w:t>
      </w:r>
      <w:r w:rsidR="00852CEE">
        <w:t>, který</w:t>
      </w:r>
      <w:r w:rsidR="002C06BA" w:rsidRPr="00273106">
        <w:t xml:space="preserve"> zavádí moderní analytickou verzi </w:t>
      </w:r>
      <w:r w:rsidR="009E0C02" w:rsidRPr="00273106">
        <w:t>důkaz</w:t>
      </w:r>
      <w:r w:rsidR="009E0C02">
        <w:t>u</w:t>
      </w:r>
      <w:r w:rsidR="009E0C02" w:rsidRPr="00273106">
        <w:t xml:space="preserve"> z bezprostředně daných </w:t>
      </w:r>
      <w:r w:rsidR="009E0C02">
        <w:t>příčin</w:t>
      </w:r>
      <w:r w:rsidR="009E0C02" w:rsidRPr="00273106">
        <w:t xml:space="preserve"> (</w:t>
      </w:r>
      <w:r w:rsidR="009E0C02" w:rsidRPr="00273106">
        <w:rPr>
          <w:i/>
        </w:rPr>
        <w:t>demonstratio ex inmediatis</w:t>
      </w:r>
      <w:r w:rsidR="00DB2D8F">
        <w:rPr>
          <w:i/>
        </w:rPr>
        <w:fldChar w:fldCharType="begin"/>
      </w:r>
      <w:r w:rsidR="00DB2D8F">
        <w:instrText xml:space="preserve"> XE "</w:instrText>
      </w:r>
      <w:r w:rsidR="00DB2D8F" w:rsidRPr="005204DC">
        <w:instrText xml:space="preserve">princip </w:instrText>
      </w:r>
      <w:r w:rsidR="08D91F67">
        <w:rPr>
          <w:i/>
        </w:rPr>
        <w:instrText>ex in</w:instrText>
      </w:r>
      <w:r w:rsidR="00DB2D8F" w:rsidRPr="00DA6314">
        <w:rPr>
          <w:i/>
        </w:rPr>
        <w:instrText>mediatis</w:instrText>
      </w:r>
      <w:r w:rsidR="00DB2D8F">
        <w:instrText xml:space="preserve">" </w:instrText>
      </w:r>
      <w:r w:rsidR="00DB2D8F">
        <w:rPr>
          <w:i/>
        </w:rPr>
        <w:fldChar w:fldCharType="end"/>
      </w:r>
      <w:r w:rsidR="009E0C02" w:rsidRPr="00273106">
        <w:t>).</w:t>
      </w:r>
      <w:r w:rsidR="009E0C02">
        <w:t xml:space="preserve"> Podívejme se na pr</w:t>
      </w:r>
      <w:r w:rsidR="00400267">
        <w:t>v</w:t>
      </w:r>
      <w:r w:rsidR="009E0C02">
        <w:t>ní ukázku moderního myšlení, které jde „k věcem samým“</w:t>
      </w:r>
      <w:r w:rsidR="007A5F0D">
        <w:t xml:space="preserve"> na způsob Husserl</w:t>
      </w:r>
      <w:r w:rsidR="00D76AEB">
        <w:t>ov</w:t>
      </w:r>
      <w:r w:rsidR="007A5F0D">
        <w:t>a</w:t>
      </w:r>
      <w:r w:rsidR="00D76AEB">
        <w:fldChar w:fldCharType="begin"/>
      </w:r>
      <w:r w:rsidR="00D76AEB">
        <w:instrText xml:space="preserve"> XE "</w:instrText>
      </w:r>
      <w:r w:rsidR="00D76AEB" w:rsidRPr="000710C4">
        <w:instrText>Husserl, E.</w:instrText>
      </w:r>
      <w:r w:rsidR="00D76AEB">
        <w:instrText xml:space="preserve">" </w:instrText>
      </w:r>
      <w:r w:rsidR="00D76AEB">
        <w:fldChar w:fldCharType="end"/>
      </w:r>
      <w:r w:rsidR="00D76AEB">
        <w:t xml:space="preserve"> výroku</w:t>
      </w:r>
      <w:r w:rsidR="009E0C02">
        <w:t>.</w:t>
      </w:r>
    </w:p>
    <w:p w14:paraId="605849EA" w14:textId="77777777" w:rsidR="002C06BA" w:rsidRDefault="002C06BA" w:rsidP="002C06BA">
      <w:pPr>
        <w:pStyle w:val="Citace"/>
        <w:rPr>
          <w:noProof/>
          <w:lang w:val="cs-CZ"/>
        </w:rPr>
      </w:pPr>
      <w:r w:rsidRPr="00273106">
        <w:rPr>
          <w:noProof/>
          <w:lang w:val="cs-CZ"/>
        </w:rPr>
        <w:t>„Pokud se hledá, jak tento modus řeší vědecké poznání, je třeba říci, že vždy patří do hlavní návěsti soudu</w:t>
      </w:r>
      <w:r w:rsidR="08C75CD5">
        <w:rPr>
          <w:noProof/>
          <w:lang w:val="cs-CZ"/>
        </w:rPr>
        <w:t xml:space="preserve">; ať se řeší </w:t>
      </w:r>
      <w:r w:rsidRPr="00273106">
        <w:rPr>
          <w:noProof/>
          <w:lang w:val="cs-CZ"/>
        </w:rPr>
        <w:t>poznání reálné kauzality v</w:t>
      </w:r>
      <w:r w:rsidR="08C75CD5">
        <w:rPr>
          <w:noProof/>
          <w:lang w:val="cs-CZ"/>
        </w:rPr>
        <w:t xml:space="preserve"> subjektu poznání, nebo definice</w:t>
      </w:r>
      <w:r w:rsidRPr="00273106">
        <w:rPr>
          <w:noProof/>
          <w:lang w:val="cs-CZ"/>
        </w:rPr>
        <w:t xml:space="preserve"> </w:t>
      </w:r>
      <w:r w:rsidR="009E0C02" w:rsidRPr="00273106">
        <w:rPr>
          <w:noProof/>
          <w:lang w:val="cs-CZ"/>
        </w:rPr>
        <w:t>materiální</w:t>
      </w:r>
      <w:r w:rsidR="009E0C02">
        <w:rPr>
          <w:noProof/>
          <w:lang w:val="cs-CZ"/>
        </w:rPr>
        <w:t xml:space="preserve"> věci</w:t>
      </w:r>
      <w:r w:rsidR="009E0C02" w:rsidRPr="00273106">
        <w:rPr>
          <w:noProof/>
          <w:lang w:val="cs-CZ"/>
        </w:rPr>
        <w:t xml:space="preserve"> </w:t>
      </w:r>
      <w:r w:rsidRPr="00273106">
        <w:rPr>
          <w:noProof/>
          <w:lang w:val="cs-CZ"/>
        </w:rPr>
        <w:t>skrze formální</w:t>
      </w:r>
      <w:r w:rsidR="009E0C02">
        <w:rPr>
          <w:noProof/>
          <w:lang w:val="cs-CZ"/>
        </w:rPr>
        <w:t xml:space="preserve"> určení</w:t>
      </w:r>
      <w:r w:rsidRPr="00273106">
        <w:rPr>
          <w:noProof/>
          <w:lang w:val="cs-CZ"/>
        </w:rPr>
        <w:t>. Je tomu tak proto, že v hlavní návěsti je vzhledem k soudu vždy predikována kauza odděleně a bezprostředně (</w:t>
      </w:r>
      <w:r w:rsidRPr="00273106">
        <w:rPr>
          <w:i/>
          <w:noProof/>
          <w:lang w:val="cs-CZ"/>
        </w:rPr>
        <w:t>semper est subiectum precisa et inmediata causa predicati</w:t>
      </w:r>
      <w:r w:rsidR="08CD6220">
        <w:rPr>
          <w:noProof/>
          <w:lang w:val="cs-CZ"/>
        </w:rPr>
        <w:t xml:space="preserve">). Proto tento postup nazývám </w:t>
      </w:r>
      <w:r w:rsidR="08CD6220">
        <w:rPr>
          <w:rFonts w:cs="Calibri"/>
          <w:noProof/>
          <w:lang w:val="cs-CZ"/>
        </w:rPr>
        <w:t>'</w:t>
      </w:r>
      <w:r w:rsidRPr="00273106">
        <w:rPr>
          <w:noProof/>
          <w:lang w:val="cs-CZ"/>
        </w:rPr>
        <w:t>důka</w:t>
      </w:r>
      <w:r w:rsidR="08CD6220">
        <w:rPr>
          <w:noProof/>
          <w:lang w:val="cs-CZ"/>
        </w:rPr>
        <w:t>z z bezprostředně daných příčin</w:t>
      </w:r>
      <w:r w:rsidR="08CD6220">
        <w:rPr>
          <w:rFonts w:cs="Calibri"/>
          <w:noProof/>
          <w:lang w:val="cs-CZ"/>
        </w:rPr>
        <w:t>'</w:t>
      </w:r>
      <w:r w:rsidRPr="00273106">
        <w:rPr>
          <w:noProof/>
          <w:lang w:val="cs-CZ"/>
        </w:rPr>
        <w:t xml:space="preserve"> (</w:t>
      </w:r>
      <w:r w:rsidRPr="00273106">
        <w:rPr>
          <w:i/>
          <w:noProof/>
          <w:lang w:val="cs-CZ"/>
        </w:rPr>
        <w:t>demonstratio ex inmediatis</w:t>
      </w:r>
      <w:r w:rsidRPr="00273106">
        <w:rPr>
          <w:noProof/>
          <w:lang w:val="cs-CZ"/>
        </w:rPr>
        <w:t>). První i druhý modus jsou vždy obsaženy v závěru. Kde je materiální subjekt dedukován v soudu skrze formu, tam je obsa</w:t>
      </w:r>
      <w:r w:rsidR="00BC0516">
        <w:rPr>
          <w:noProof/>
          <w:lang w:val="cs-CZ"/>
        </w:rPr>
        <w:t xml:space="preserve">žen v závěru podle prvního </w:t>
      </w:r>
      <w:r w:rsidRPr="00273106">
        <w:rPr>
          <w:noProof/>
          <w:lang w:val="cs-CZ"/>
        </w:rPr>
        <w:t>modu. Kde je dedukován podle účinků reálné substa</w:t>
      </w:r>
      <w:r w:rsidR="00BC0516">
        <w:rPr>
          <w:noProof/>
          <w:lang w:val="cs-CZ"/>
        </w:rPr>
        <w:t xml:space="preserve">nce, tak dán podle druhého </w:t>
      </w:r>
      <w:r w:rsidRPr="00273106">
        <w:rPr>
          <w:noProof/>
          <w:lang w:val="cs-CZ"/>
        </w:rPr>
        <w:t xml:space="preserve">modu. Jednotlivé příklady jsou dané až sekundárně.“ </w:t>
      </w:r>
      <w:r w:rsidRPr="00273106">
        <w:rPr>
          <w:rStyle w:val="Znakapoznpodarou"/>
          <w:noProof/>
          <w:lang w:val="cs-CZ"/>
        </w:rPr>
        <w:footnoteReference w:id="489"/>
      </w:r>
    </w:p>
    <w:p w14:paraId="16F1D386" w14:textId="2B86FC78" w:rsidR="008F2F70" w:rsidRDefault="002C06BA" w:rsidP="00AE37BB">
      <w:r w:rsidRPr="00273106">
        <w:t>V univerzální návěsti (</w:t>
      </w:r>
      <w:r w:rsidRPr="00273106">
        <w:rPr>
          <w:i/>
        </w:rPr>
        <w:t>in maiori propositione</w:t>
      </w:r>
      <w:r w:rsidRPr="00273106">
        <w:t>) je obsažena materialita substance zahrnutá do formální definice (</w:t>
      </w:r>
      <w:r w:rsidRPr="00273106">
        <w:rPr>
          <w:i/>
        </w:rPr>
        <w:t>diffinitio materialis per formalem</w:t>
      </w:r>
      <w:r w:rsidRPr="00273106">
        <w:t xml:space="preserve">). Tento subjekt </w:t>
      </w:r>
      <w:r w:rsidR="00400267">
        <w:rPr>
          <w:i/>
        </w:rPr>
        <w:fldChar w:fldCharType="begin"/>
      </w:r>
      <w:r w:rsidR="00400267">
        <w:instrText xml:space="preserve"> XE "</w:instrText>
      </w:r>
      <w:r w:rsidR="00400267" w:rsidRPr="00360013">
        <w:rPr>
          <w:i/>
        </w:rPr>
        <w:instrText>subiectum:</w:instrText>
      </w:r>
      <w:r w:rsidR="00400267" w:rsidRPr="00400267">
        <w:instrText>Kilwardby</w:instrText>
      </w:r>
      <w:r w:rsidR="00400267">
        <w:instrText xml:space="preserve">" </w:instrText>
      </w:r>
      <w:r w:rsidR="00400267">
        <w:rPr>
          <w:i/>
        </w:rPr>
        <w:fldChar w:fldCharType="end"/>
      </w:r>
      <w:r w:rsidRPr="00273106">
        <w:t xml:space="preserve">je vzat </w:t>
      </w:r>
      <w:r w:rsidR="00331AAE">
        <w:t xml:space="preserve">z hledia kauzality zcela </w:t>
      </w:r>
      <w:r w:rsidRPr="00273106">
        <w:t>odděleně (</w:t>
      </w:r>
      <w:r w:rsidRPr="00273106">
        <w:rPr>
          <w:i/>
        </w:rPr>
        <w:t>precisa</w:t>
      </w:r>
      <w:r w:rsidR="00331AAE">
        <w:rPr>
          <w:i/>
        </w:rPr>
        <w:t xml:space="preserve"> causa</w:t>
      </w:r>
      <w:r w:rsidRPr="00273106">
        <w:t>) od reálné substance působící kauzálně (</w:t>
      </w:r>
      <w:r w:rsidRPr="00273106">
        <w:rPr>
          <w:i/>
        </w:rPr>
        <w:t>subiectum precisa et inmediata causa predicati</w:t>
      </w:r>
      <w:r w:rsidRPr="00273106">
        <w:t xml:space="preserve">). </w:t>
      </w:r>
      <w:r w:rsidR="088031EE">
        <w:t xml:space="preserve">Kilwardby naprosto precizním způsobem zrušil význam </w:t>
      </w:r>
      <w:r w:rsidR="082A724F">
        <w:t xml:space="preserve">metafyzického </w:t>
      </w:r>
      <w:r w:rsidR="088031EE">
        <w:t>dativu. P</w:t>
      </w:r>
      <w:r w:rsidRPr="00273106">
        <w:t>ůsobení reálné substance skrze střední člen soudu (</w:t>
      </w:r>
      <w:r w:rsidR="00F06596" w:rsidRPr="00273106">
        <w:rPr>
          <w:i/>
        </w:rPr>
        <w:t>passio de subiecto</w:t>
      </w:r>
      <w:r w:rsidRPr="00273106">
        <w:t>) představuje jen speciální případ obecného pravidla (</w:t>
      </w:r>
      <w:r w:rsidRPr="00273106">
        <w:rPr>
          <w:i/>
        </w:rPr>
        <w:t>cadit in conclusione secundus modus</w:t>
      </w:r>
      <w:r w:rsidRPr="00273106">
        <w:t xml:space="preserve">). Stejným způsobem </w:t>
      </w:r>
      <w:r w:rsidRPr="00273106">
        <w:rPr>
          <w:i/>
        </w:rPr>
        <w:t>Nominales</w:t>
      </w:r>
      <w:r w:rsidRPr="00273106">
        <w:t xml:space="preserve"> zahrnují </w:t>
      </w:r>
      <w:r w:rsidR="001C0668">
        <w:t xml:space="preserve">hypostázovaná </w:t>
      </w:r>
      <w:r w:rsidR="004B4D52" w:rsidRPr="004B4D52">
        <w:t>species</w:t>
      </w:r>
      <w:r w:rsidRPr="00273106">
        <w:t xml:space="preserve"> pod univoční charakter rodu v rámci </w:t>
      </w:r>
      <w:r w:rsidR="00BB45B1">
        <w:t>Porfyri</w:t>
      </w:r>
      <w:r w:rsidRPr="00273106">
        <w:t xml:space="preserve">ova dělení univerzálií. Působení </w:t>
      </w:r>
      <w:r w:rsidR="00794A1E">
        <w:t xml:space="preserve">reálné </w:t>
      </w:r>
      <w:r w:rsidRPr="00273106">
        <w:t>substance</w:t>
      </w:r>
      <w:r w:rsidR="00794A1E">
        <w:fldChar w:fldCharType="begin"/>
      </w:r>
      <w:r w:rsidR="00794A1E">
        <w:instrText xml:space="preserve"> XE "</w:instrText>
      </w:r>
      <w:r w:rsidR="00794A1E" w:rsidRPr="00E6462B">
        <w:instrText>substance:první</w:instrText>
      </w:r>
      <w:r w:rsidR="00794A1E">
        <w:instrText xml:space="preserve">" </w:instrText>
      </w:r>
      <w:r w:rsidR="00794A1E">
        <w:fldChar w:fldCharType="end"/>
      </w:r>
      <w:r w:rsidRPr="00273106">
        <w:t xml:space="preserve"> je redukováno na pouhý příklad obecného pravidla (</w:t>
      </w:r>
      <w:r w:rsidRPr="00273106">
        <w:rPr>
          <w:i/>
        </w:rPr>
        <w:t>exempla ponentur post</w:t>
      </w:r>
      <w:r w:rsidRPr="00273106">
        <w:t xml:space="preserve">). </w:t>
      </w:r>
      <w:r w:rsidR="001C0668">
        <w:t xml:space="preserve">Pak nastupuje </w:t>
      </w:r>
      <w:r w:rsidR="00724400">
        <w:t>Avicennova</w:t>
      </w:r>
      <w:r w:rsidR="001C0668">
        <w:t xml:space="preserve"> komitace </w:t>
      </w:r>
      <w:r w:rsidR="00724400">
        <w:t xml:space="preserve">hypostází použitá </w:t>
      </w:r>
      <w:r w:rsidR="001C0668">
        <w:t xml:space="preserve">v rámci aristotelské predikace demonstrativního soudu vědy. </w:t>
      </w:r>
      <w:r w:rsidR="00E52120">
        <w:t>Střední člen zajišťuje dedukci primárně podle univerzálií (</w:t>
      </w:r>
      <w:r w:rsidR="00E52120" w:rsidRPr="00E52120">
        <w:rPr>
          <w:i/>
        </w:rPr>
        <w:t>incidit in conclusione primus modus</w:t>
      </w:r>
      <w:r w:rsidR="00E52120">
        <w:t>) a teprve sekundárně podle reálné kauzality (</w:t>
      </w:r>
      <w:r w:rsidR="00E52120" w:rsidRPr="00E52120">
        <w:rPr>
          <w:i/>
        </w:rPr>
        <w:t>secundus modus</w:t>
      </w:r>
      <w:r w:rsidR="00E52120">
        <w:t xml:space="preserve">). </w:t>
      </w:r>
      <w:r w:rsidRPr="00273106">
        <w:t xml:space="preserve">Rufus provedl stejnou redukci první substance na </w:t>
      </w:r>
      <w:r w:rsidR="004B4D52" w:rsidRPr="004B4D52">
        <w:t>species</w:t>
      </w:r>
      <w:r w:rsidRPr="00273106">
        <w:t xml:space="preserve"> a </w:t>
      </w:r>
      <w:r w:rsidR="00722132">
        <w:t>měl stejné p</w:t>
      </w:r>
      <w:r w:rsidR="08CC0D12">
        <w:t>ojetí vědeckého důkazu (kap. 3</w:t>
      </w:r>
      <w:r w:rsidRPr="00273106">
        <w:t xml:space="preserve">.3.2). Analytické filosofii </w:t>
      </w:r>
      <w:r w:rsidRPr="00273106">
        <w:rPr>
          <w:i/>
        </w:rPr>
        <w:t>Modernorum</w:t>
      </w:r>
      <w:r w:rsidRPr="00273106">
        <w:t xml:space="preserve"> v konečném důsledku stačí pro </w:t>
      </w:r>
      <w:r w:rsidR="00200BAC">
        <w:t>vědecké</w:t>
      </w:r>
      <w:r w:rsidR="00200BAC" w:rsidRPr="00273106">
        <w:t xml:space="preserve"> </w:t>
      </w:r>
      <w:r w:rsidRPr="00273106">
        <w:t>poznání pouze náhled na univočně pojatou esenci</w:t>
      </w:r>
      <w:r w:rsidR="005254A8">
        <w:t>, z ní</w:t>
      </w:r>
      <w:r w:rsidR="00794A1E">
        <w:t>ž</w:t>
      </w:r>
      <w:r w:rsidR="005254A8">
        <w:t xml:space="preserve"> pak dedukují moderní „</w:t>
      </w:r>
      <w:r w:rsidR="008205E2">
        <w:t>exsistenci“ reálné věci a její kauzální</w:t>
      </w:r>
      <w:r w:rsidR="005254A8">
        <w:t xml:space="preserve"> působení</w:t>
      </w:r>
      <w:r w:rsidR="00320807">
        <w:fldChar w:fldCharType="begin"/>
      </w:r>
      <w:r w:rsidR="00320807">
        <w:instrText xml:space="preserve"> XE "</w:instrText>
      </w:r>
      <w:r w:rsidR="00320807" w:rsidRPr="00571664">
        <w:instrText>druhý averroismus:esence</w:instrText>
      </w:r>
      <w:r w:rsidR="00320807">
        <w:instrText xml:space="preserve">" </w:instrText>
      </w:r>
      <w:r w:rsidR="00320807">
        <w:fldChar w:fldCharType="end"/>
      </w:r>
      <w:r w:rsidRPr="00273106">
        <w:t>.</w:t>
      </w:r>
      <w:r w:rsidR="08397822">
        <w:t xml:space="preserve"> </w:t>
      </w:r>
      <w:r w:rsidR="00CC049C">
        <w:t>Kil</w:t>
      </w:r>
      <w:r w:rsidR="001A7A9B" w:rsidRPr="00273106">
        <w:t xml:space="preserve">wardby stejně jako Rufus uzávorkoval existenci vnějšího světa v kompletní formě analytické </w:t>
      </w:r>
      <w:r w:rsidR="001A7A9B" w:rsidRPr="00F33081">
        <w:rPr>
          <w:i/>
        </w:rPr>
        <w:t>epoché</w:t>
      </w:r>
      <w:r w:rsidR="00B85E85">
        <w:fldChar w:fldCharType="begin"/>
      </w:r>
      <w:r w:rsidR="00B85E85">
        <w:instrText xml:space="preserve"> XE "</w:instrText>
      </w:r>
      <w:r w:rsidR="00B85E85" w:rsidRPr="001B0D03">
        <w:rPr>
          <w:i/>
        </w:rPr>
        <w:instrText>epoché</w:instrText>
      </w:r>
      <w:r w:rsidR="00B85E85">
        <w:instrText xml:space="preserve">" </w:instrText>
      </w:r>
      <w:r w:rsidR="00B85E85">
        <w:fldChar w:fldCharType="end"/>
      </w:r>
      <w:r w:rsidR="001A7A9B" w:rsidRPr="00273106">
        <w:t>. Oba modernisté zrušili jedinečnost kategoriální predikace danou vzhledem k reálnému kauzálnímu působení prvních s</w:t>
      </w:r>
      <w:r w:rsidR="0052383C">
        <w:t>ubstancí</w:t>
      </w:r>
      <w:r w:rsidR="08DC3493">
        <w:t xml:space="preserve">. To odmítl udělat </w:t>
      </w:r>
      <w:r w:rsidR="00320807" w:rsidRPr="00273106">
        <w:t>Grosstesteste</w:t>
      </w:r>
      <w:r w:rsidR="00320807">
        <w:t xml:space="preserve"> </w:t>
      </w:r>
      <w:r w:rsidR="0052383C">
        <w:t>o dekádu předtím</w:t>
      </w:r>
      <w:r w:rsidR="00320807">
        <w:t xml:space="preserve"> </w:t>
      </w:r>
      <w:r w:rsidR="001A7A9B" w:rsidRPr="00273106">
        <w:t>vzhlede</w:t>
      </w:r>
      <w:r w:rsidR="00F33081">
        <w:t>m k určité nejasnosti</w:t>
      </w:r>
      <w:r w:rsidR="001A7A9B" w:rsidRPr="00273106">
        <w:t xml:space="preserve"> (</w:t>
      </w:r>
      <w:r w:rsidR="001A7A9B" w:rsidRPr="00273106">
        <w:rPr>
          <w:i/>
        </w:rPr>
        <w:t>aliquantulum obscura</w:t>
      </w:r>
      <w:r w:rsidR="001A7A9B" w:rsidRPr="00273106">
        <w:t>)</w:t>
      </w:r>
      <w:r w:rsidR="00194C18">
        <w:t xml:space="preserve"> dané v aristotelském výkladu </w:t>
      </w:r>
      <w:r w:rsidR="00194C18" w:rsidRPr="00F33081">
        <w:rPr>
          <w:i/>
        </w:rPr>
        <w:t>Kategorií</w:t>
      </w:r>
      <w:r w:rsidR="00194C18">
        <w:t xml:space="preserve"> a </w:t>
      </w:r>
      <w:r w:rsidR="00F33081" w:rsidRPr="00F33081">
        <w:rPr>
          <w:i/>
        </w:rPr>
        <w:t>Druhých</w:t>
      </w:r>
      <w:r w:rsidR="00F33081">
        <w:t xml:space="preserve"> </w:t>
      </w:r>
      <w:r w:rsidR="00F33081">
        <w:rPr>
          <w:i/>
        </w:rPr>
        <w:t>a</w:t>
      </w:r>
      <w:r w:rsidR="00194C18" w:rsidRPr="00F33081">
        <w:rPr>
          <w:i/>
        </w:rPr>
        <w:t>nalytik</w:t>
      </w:r>
      <w:r w:rsidR="000E72AB">
        <w:fldChar w:fldCharType="begin"/>
      </w:r>
      <w:r w:rsidR="000E72AB">
        <w:instrText xml:space="preserve"> XE "</w:instrText>
      </w:r>
      <w:r w:rsidR="000E72AB" w:rsidRPr="009614B9">
        <w:instrText>zatmění:substance</w:instrText>
      </w:r>
      <w:r w:rsidR="000E72AB">
        <w:instrText xml:space="preserve">" </w:instrText>
      </w:r>
      <w:r w:rsidR="000E72AB">
        <w:fldChar w:fldCharType="end"/>
      </w:r>
      <w:r w:rsidR="001A7A9B" w:rsidRPr="00273106">
        <w:t xml:space="preserve">. </w:t>
      </w:r>
      <w:r w:rsidR="008F2F70" w:rsidRPr="008F2F70">
        <w:t xml:space="preserve">Další vlna představitelů školy druhého averroismu </w:t>
      </w:r>
      <w:r w:rsidR="008F2F70">
        <w:t xml:space="preserve">vytvořila </w:t>
      </w:r>
      <w:r w:rsidR="009945DC">
        <w:t>plnou verzi</w:t>
      </w:r>
      <w:r w:rsidR="008F2F70">
        <w:t xml:space="preserve"> Oxfordského omylu</w:t>
      </w:r>
      <w:r w:rsidR="008F2F70" w:rsidRPr="008F2F70">
        <w:t xml:space="preserve">. Kilwardby </w:t>
      </w:r>
      <w:r w:rsidR="007C35FA">
        <w:t xml:space="preserve">založil </w:t>
      </w:r>
      <w:r w:rsidR="008F2F70" w:rsidRPr="008F2F70">
        <w:t>akademick</w:t>
      </w:r>
      <w:r w:rsidR="007C35FA">
        <w:t xml:space="preserve">ý </w:t>
      </w:r>
      <w:r w:rsidR="008F2F70" w:rsidRPr="008F2F70">
        <w:t xml:space="preserve"> modernismu</w:t>
      </w:r>
      <w:r w:rsidR="007C35FA">
        <w:t>s</w:t>
      </w:r>
      <w:r w:rsidR="008F2F70" w:rsidRPr="008F2F70">
        <w:t xml:space="preserve"> tím, že </w:t>
      </w:r>
      <w:r w:rsidR="007C35FA">
        <w:t xml:space="preserve">upravil </w:t>
      </w:r>
      <w:r w:rsidR="008F2F70">
        <w:t>Rufusovu nauku</w:t>
      </w:r>
      <w:r w:rsidR="007C35FA">
        <w:t xml:space="preserve"> tak, aby vypadala jako </w:t>
      </w:r>
      <w:r w:rsidR="009C4344">
        <w:t xml:space="preserve">skutečná </w:t>
      </w:r>
      <w:r w:rsidR="007C35FA">
        <w:t>metafyzika</w:t>
      </w:r>
      <w:r w:rsidR="008F2F70" w:rsidRPr="008F2F70">
        <w:t>. Oba modernisté nerozlišovali mezi různými typy nutnosti</w:t>
      </w:r>
      <w:r w:rsidR="007C35FA">
        <w:t>, což byl fatální omyl</w:t>
      </w:r>
      <w:r w:rsidR="008F2F70" w:rsidRPr="008F2F70">
        <w:t xml:space="preserve">. Spis </w:t>
      </w:r>
      <w:r w:rsidR="008F2F70" w:rsidRPr="008F2F70">
        <w:rPr>
          <w:i/>
        </w:rPr>
        <w:t>Druhé analytiky</w:t>
      </w:r>
      <w:r w:rsidR="008F2F70" w:rsidRPr="008F2F70">
        <w:t xml:space="preserve"> postuluje rozdíl mezi </w:t>
      </w:r>
      <w:r w:rsidR="008F2F70">
        <w:t>impozicí a supozicí j</w:t>
      </w:r>
      <w:r w:rsidR="008F2F70" w:rsidRPr="008F2F70">
        <w:t xml:space="preserve">ako zásadní </w:t>
      </w:r>
      <w:r w:rsidR="008F2F70">
        <w:t xml:space="preserve">předpoklad </w:t>
      </w:r>
      <w:r w:rsidR="008F2F70" w:rsidRPr="008F2F70">
        <w:t>vědecké</w:t>
      </w:r>
      <w:r w:rsidR="008F2F70">
        <w:t>ho</w:t>
      </w:r>
      <w:r w:rsidR="008F2F70" w:rsidRPr="008F2F70">
        <w:t xml:space="preserve"> poznání, které zkoumá </w:t>
      </w:r>
      <w:r w:rsidR="00C8131D">
        <w:t>reálné dění</w:t>
      </w:r>
      <w:r w:rsidR="008F2F70" w:rsidRPr="008F2F70">
        <w:t xml:space="preserve">. Descartes a Husserl zopakovali </w:t>
      </w:r>
      <w:r w:rsidR="00C8131D">
        <w:t xml:space="preserve">uzávorkování </w:t>
      </w:r>
      <w:r w:rsidR="008F2F70" w:rsidRPr="008F2F70">
        <w:t xml:space="preserve">prvních substancí a vytvořili postmoderní verzi výše zmíněné filosofie </w:t>
      </w:r>
      <w:r w:rsidR="008F2F70" w:rsidRPr="00C8131D">
        <w:rPr>
          <w:i/>
        </w:rPr>
        <w:t>Modernorum</w:t>
      </w:r>
      <w:r w:rsidR="008F2F70" w:rsidRPr="008F2F70">
        <w:t>.</w:t>
      </w:r>
    </w:p>
    <w:p w14:paraId="7C22C5B3" w14:textId="00CB12FD" w:rsidR="00BC524D" w:rsidRDefault="08397822" w:rsidP="00AE37BB">
      <w:r>
        <w:tab/>
        <w:t xml:space="preserve">Shrňme vývoj první fáze </w:t>
      </w:r>
      <w:r w:rsidRPr="08DC3493">
        <w:rPr>
          <w:i/>
        </w:rPr>
        <w:t>Oxfordian Fallacy</w:t>
      </w:r>
      <w:r>
        <w:t xml:space="preserve">. </w:t>
      </w:r>
      <w:r w:rsidRPr="00273106">
        <w:t xml:space="preserve">Moderní výklad poznání </w:t>
      </w:r>
      <w:r>
        <w:t xml:space="preserve">a vědy </w:t>
      </w:r>
      <w:r w:rsidRPr="00273106">
        <w:t xml:space="preserve">je explicitně podán v prvních třech komentářích </w:t>
      </w:r>
      <w:r w:rsidRPr="00F33081">
        <w:rPr>
          <w:i/>
        </w:rPr>
        <w:t>Druhých analytik</w:t>
      </w:r>
      <w:r>
        <w:t xml:space="preserve"> v letech 1230‒45</w:t>
      </w:r>
      <w:r w:rsidRPr="00273106">
        <w:t xml:space="preserve"> (Gross</w:t>
      </w:r>
      <w:r w:rsidR="00890215">
        <w:t xml:space="preserve">eteste, Rufus, Kilwardby). </w:t>
      </w:r>
      <w:r w:rsidR="00890215" w:rsidRPr="00890215">
        <w:t xml:space="preserve">Všichni </w:t>
      </w:r>
      <w:r w:rsidR="00890215">
        <w:t xml:space="preserve">tři </w:t>
      </w:r>
      <w:r w:rsidR="00890215" w:rsidRPr="00890215">
        <w:t>představitelé modernismu vytvořili vědeckou dedukci, která nepotřebovala vnější realitu jako základ poznání.</w:t>
      </w:r>
      <w:r w:rsidR="00890215">
        <w:t xml:space="preserve"> </w:t>
      </w:r>
      <w:r w:rsidR="08FD636B" w:rsidRPr="00273106">
        <w:t>M</w:t>
      </w:r>
      <w:r w:rsidR="08F12BEE" w:rsidRPr="00273106">
        <w:t xml:space="preserve">ysl prvních </w:t>
      </w:r>
      <w:r w:rsidR="08F12BEE" w:rsidRPr="00273106">
        <w:rPr>
          <w:i/>
        </w:rPr>
        <w:t>Modernorum</w:t>
      </w:r>
      <w:r w:rsidR="00C3728A">
        <w:t xml:space="preserve"> konstruuje</w:t>
      </w:r>
      <w:r w:rsidR="08357994">
        <w:t xml:space="preserve"> skrze predikaci </w:t>
      </w:r>
      <w:r w:rsidR="08357994" w:rsidRPr="08357994">
        <w:rPr>
          <w:i/>
        </w:rPr>
        <w:t>in artificialibus</w:t>
      </w:r>
      <w:r w:rsidR="08357994">
        <w:rPr>
          <w:i/>
        </w:rPr>
        <w:fldChar w:fldCharType="begin"/>
      </w:r>
      <w:r w:rsidR="08357994">
        <w:instrText xml:space="preserve"> XE "</w:instrText>
      </w:r>
      <w:r w:rsidR="08357994" w:rsidRPr="082538B7">
        <w:instrText>predikaci:</w:instrText>
      </w:r>
      <w:r w:rsidR="08357994" w:rsidRPr="082538B7">
        <w:rPr>
          <w:i/>
        </w:rPr>
        <w:instrText>in artificialibus</w:instrText>
      </w:r>
      <w:r w:rsidR="08357994">
        <w:instrText xml:space="preserve">" </w:instrText>
      </w:r>
      <w:r w:rsidR="08357994">
        <w:rPr>
          <w:i/>
        </w:rPr>
        <w:fldChar w:fldCharType="end"/>
      </w:r>
      <w:r w:rsidR="08357994">
        <w:t xml:space="preserve"> </w:t>
      </w:r>
      <w:r w:rsidR="00C3728A">
        <w:t xml:space="preserve">reálné děje </w:t>
      </w:r>
      <w:r w:rsidR="08357994">
        <w:t xml:space="preserve">v modu </w:t>
      </w:r>
      <w:r w:rsidR="00C3728A">
        <w:t xml:space="preserve">evidentní logické jistoty, místo aby svět primárně </w:t>
      </w:r>
      <w:r w:rsidR="08F12BEE" w:rsidRPr="00273106">
        <w:t>poznávala</w:t>
      </w:r>
      <w:r w:rsidR="00C3728A">
        <w:t xml:space="preserve"> v modu pravdy jako adekvace</w:t>
      </w:r>
      <w:r w:rsidR="0035154D">
        <w:t xml:space="preserve">. </w:t>
      </w:r>
      <w:r w:rsidR="08873502">
        <w:t>M</w:t>
      </w:r>
      <w:r w:rsidR="08631AA1">
        <w:t xml:space="preserve">odernisté </w:t>
      </w:r>
      <w:r w:rsidR="086F6C0F">
        <w:t>v modu uni</w:t>
      </w:r>
      <w:r w:rsidR="08631AA1">
        <w:t>verzálního hylemorfismu vybavují</w:t>
      </w:r>
      <w:r w:rsidR="086F6C0F">
        <w:t xml:space="preserve"> tato jsoucna třetího druhu objektivní formou hylemorfické jsoucno</w:t>
      </w:r>
      <w:r w:rsidR="08631AA1">
        <w:t xml:space="preserve">sti a tím ve své </w:t>
      </w:r>
      <w:r w:rsidR="006769A9">
        <w:t xml:space="preserve">paranoické </w:t>
      </w:r>
      <w:r w:rsidR="08631AA1">
        <w:t>mysli vytvořili</w:t>
      </w:r>
      <w:r w:rsidR="086F6C0F">
        <w:t xml:space="preserve"> dvojníka reality. </w:t>
      </w:r>
      <w:r w:rsidR="002C06BA" w:rsidRPr="00273106">
        <w:t xml:space="preserve">Není divu, že </w:t>
      </w:r>
      <w:r w:rsidR="009D7F7F">
        <w:t xml:space="preserve">kritický aristotelik </w:t>
      </w:r>
      <w:r w:rsidR="002C06BA" w:rsidRPr="00273106">
        <w:t xml:space="preserve">Bacon považoval myšlení </w:t>
      </w:r>
      <w:r w:rsidR="004858CB">
        <w:t xml:space="preserve">jeho </w:t>
      </w:r>
      <w:r w:rsidR="002C06BA" w:rsidRPr="00273106">
        <w:t xml:space="preserve">současníků na Oxfordu za šílené. </w:t>
      </w:r>
      <w:r w:rsidR="0035154D">
        <w:t xml:space="preserve">Moderna </w:t>
      </w:r>
      <w:r w:rsidR="00A63A41">
        <w:t xml:space="preserve">ale dobře ví, že pravda neurčuje běh </w:t>
      </w:r>
      <w:r w:rsidR="005711CF">
        <w:t xml:space="preserve">současného </w:t>
      </w:r>
      <w:r w:rsidR="00A63A41">
        <w:t xml:space="preserve">Západu, ale </w:t>
      </w:r>
      <w:r w:rsidR="0035154D">
        <w:t xml:space="preserve">nezadržitelný </w:t>
      </w:r>
      <w:r w:rsidR="00A63A41">
        <w:t xml:space="preserve">pokrok daný jako kompletní asimilace reality. </w:t>
      </w:r>
      <w:r w:rsidR="001345BA">
        <w:t xml:space="preserve">Proto bylo třeba rozšířit toto vidění světa do </w:t>
      </w:r>
      <w:r w:rsidR="08873502">
        <w:t xml:space="preserve">dnešní </w:t>
      </w:r>
      <w:r w:rsidR="004A6978">
        <w:t>f</w:t>
      </w:r>
      <w:r w:rsidR="005711CF">
        <w:t>ormy</w:t>
      </w:r>
      <w:r w:rsidR="004A6978">
        <w:t xml:space="preserve"> určené jako </w:t>
      </w:r>
      <w:r w:rsidR="001345BA" w:rsidRPr="001345BA">
        <w:rPr>
          <w:i/>
        </w:rPr>
        <w:t>metaphysica generalis</w:t>
      </w:r>
      <w:r w:rsidR="009B350B">
        <w:rPr>
          <w:i/>
        </w:rPr>
        <w:fldChar w:fldCharType="begin"/>
      </w:r>
      <w:r w:rsidR="009B350B">
        <w:instrText xml:space="preserve"> XE "</w:instrText>
      </w:r>
      <w:r w:rsidR="009B350B" w:rsidRPr="007E3962">
        <w:rPr>
          <w:i/>
        </w:rPr>
        <w:instrText>metaphysica generalis</w:instrText>
      </w:r>
      <w:r w:rsidR="009B350B">
        <w:instrText xml:space="preserve">" </w:instrText>
      </w:r>
      <w:r w:rsidR="009B350B">
        <w:rPr>
          <w:i/>
        </w:rPr>
        <w:fldChar w:fldCharType="end"/>
      </w:r>
      <w:r w:rsidR="00157B87">
        <w:t xml:space="preserve">. </w:t>
      </w:r>
      <w:r w:rsidR="005A100E">
        <w:t xml:space="preserve">Univerzální </w:t>
      </w:r>
      <w:r w:rsidR="004A6978">
        <w:t xml:space="preserve">paranoia </w:t>
      </w:r>
      <w:r w:rsidR="005A100E">
        <w:t>modernistů s</w:t>
      </w:r>
      <w:r w:rsidR="004A6978">
        <w:t>e stala normálním myšlením</w:t>
      </w:r>
      <w:r w:rsidR="0035154D">
        <w:t>, protože klasický zdravý</w:t>
      </w:r>
      <w:r w:rsidR="004A6978">
        <w:t xml:space="preserve"> rozum přestal určovat moderní spekulaci. M</w:t>
      </w:r>
      <w:r w:rsidR="00701D4D">
        <w:t xml:space="preserve">oderní verze pravdy </w:t>
      </w:r>
      <w:r w:rsidR="086D4121">
        <w:t xml:space="preserve">globálně </w:t>
      </w:r>
      <w:r w:rsidR="004A6978">
        <w:t xml:space="preserve">asimilovala v modu </w:t>
      </w:r>
      <w:r w:rsidR="00305358" w:rsidRPr="00305358">
        <w:rPr>
          <w:i/>
        </w:rPr>
        <w:t>semel</w:t>
      </w:r>
      <w:r w:rsidR="00305358">
        <w:t>‒</w:t>
      </w:r>
      <w:r w:rsidR="00305358" w:rsidRPr="00305358">
        <w:rPr>
          <w:i/>
        </w:rPr>
        <w:t>semper</w:t>
      </w:r>
      <w:r w:rsidR="00764F15">
        <w:rPr>
          <w:i/>
        </w:rPr>
        <w:fldChar w:fldCharType="begin"/>
      </w:r>
      <w:r w:rsidR="00764F15">
        <w:instrText xml:space="preserve"> XE "</w:instrText>
      </w:r>
      <w:r w:rsidR="00CD3C9E">
        <w:instrText>pravda</w:instrText>
      </w:r>
      <w:r w:rsidR="00764F15" w:rsidRPr="004A2E91">
        <w:rPr>
          <w:i/>
        </w:rPr>
        <w:instrText>:semel</w:instrText>
      </w:r>
      <w:r w:rsidR="00764F15" w:rsidRPr="004A2E91">
        <w:instrText>‒</w:instrText>
      </w:r>
      <w:r w:rsidR="00764F15" w:rsidRPr="004A2E91">
        <w:rPr>
          <w:i/>
        </w:rPr>
        <w:instrText>semper</w:instrText>
      </w:r>
      <w:r w:rsidR="00764F15">
        <w:instrText xml:space="preserve">" </w:instrText>
      </w:r>
      <w:r w:rsidR="00764F15">
        <w:rPr>
          <w:i/>
        </w:rPr>
        <w:fldChar w:fldCharType="end"/>
      </w:r>
      <w:r w:rsidR="00305358">
        <w:t xml:space="preserve"> </w:t>
      </w:r>
      <w:r w:rsidR="004A6978">
        <w:t xml:space="preserve">celou nauku tak zvané „filosofie“ </w:t>
      </w:r>
      <w:r w:rsidR="086D4121">
        <w:t>v</w:t>
      </w:r>
      <w:r w:rsidR="001345BA">
        <w:t xml:space="preserve"> </w:t>
      </w:r>
      <w:r w:rsidR="008510AE">
        <w:t xml:space="preserve">objektivním </w:t>
      </w:r>
      <w:r w:rsidR="001345BA">
        <w:t xml:space="preserve">modu </w:t>
      </w:r>
      <w:r w:rsidR="001345BA" w:rsidRPr="001345BA">
        <w:rPr>
          <w:i/>
        </w:rPr>
        <w:t>rectitudo</w:t>
      </w:r>
      <w:r w:rsidR="001345BA">
        <w:t xml:space="preserve"> a </w:t>
      </w:r>
      <w:r w:rsidR="001345BA" w:rsidRPr="001345BA">
        <w:rPr>
          <w:i/>
        </w:rPr>
        <w:t>certitudo</w:t>
      </w:r>
      <w:r w:rsidR="00DE7FB3">
        <w:rPr>
          <w:i/>
        </w:rPr>
        <w:fldChar w:fldCharType="begin"/>
      </w:r>
      <w:r w:rsidR="00DE7FB3">
        <w:instrText xml:space="preserve"> XE "pravda:</w:instrText>
      </w:r>
      <w:r w:rsidR="00DE7FB3" w:rsidRPr="0009417E">
        <w:rPr>
          <w:i/>
        </w:rPr>
        <w:instrText>certitudo</w:instrText>
      </w:r>
      <w:r w:rsidR="00DE7FB3">
        <w:instrText xml:space="preserve">" </w:instrText>
      </w:r>
      <w:r w:rsidR="00DE7FB3">
        <w:rPr>
          <w:i/>
        </w:rPr>
        <w:fldChar w:fldCharType="end"/>
      </w:r>
      <w:r w:rsidR="00D50C3B">
        <w:t>.</w:t>
      </w:r>
      <w:r w:rsidR="000420D6">
        <w:t xml:space="preserve"> </w:t>
      </w:r>
      <w:r w:rsidR="00AC379A">
        <w:t xml:space="preserve">Ilumináti založili </w:t>
      </w:r>
      <w:r w:rsidR="002A22FC" w:rsidRPr="00E16ACB">
        <w:rPr>
          <w:i/>
        </w:rPr>
        <w:t>New Age</w:t>
      </w:r>
      <w:r w:rsidR="002A22FC">
        <w:t xml:space="preserve"> moderního ducha. V posledních časech je myšlení objektivně završeno skrze </w:t>
      </w:r>
      <w:r w:rsidR="003A75D2">
        <w:t xml:space="preserve">absolutní </w:t>
      </w:r>
      <w:r w:rsidR="00DE7FB3">
        <w:t xml:space="preserve">vědění </w:t>
      </w:r>
      <w:r w:rsidR="000420D6">
        <w:t>Hegel</w:t>
      </w:r>
      <w:r w:rsidR="00DE7FB3">
        <w:t>a</w:t>
      </w:r>
      <w:r w:rsidR="08EF299B">
        <w:t>,</w:t>
      </w:r>
      <w:r w:rsidR="00DE7FB3">
        <w:fldChar w:fldCharType="begin"/>
      </w:r>
      <w:r w:rsidR="00DE7FB3">
        <w:instrText xml:space="preserve"> XE "</w:instrText>
      </w:r>
      <w:r w:rsidR="00DE7FB3" w:rsidRPr="002F7336">
        <w:instrText>Hegel, G. W.</w:instrText>
      </w:r>
      <w:r w:rsidR="00DE7FB3">
        <w:instrText xml:space="preserve">" </w:instrText>
      </w:r>
      <w:r w:rsidR="00DE7FB3">
        <w:fldChar w:fldCharType="end"/>
      </w:r>
      <w:r w:rsidR="000420D6">
        <w:t xml:space="preserve"> </w:t>
      </w:r>
      <w:r w:rsidR="003A75D2">
        <w:t xml:space="preserve">evidentní </w:t>
      </w:r>
      <w:r w:rsidR="00DE7FB3">
        <w:t>fenomenologi</w:t>
      </w:r>
      <w:r w:rsidR="002A22FC">
        <w:t>i</w:t>
      </w:r>
      <w:r w:rsidR="00DE7FB3">
        <w:t xml:space="preserve"> </w:t>
      </w:r>
      <w:r w:rsidR="000420D6">
        <w:t>Husserl</w:t>
      </w:r>
      <w:r w:rsidR="00DE7FB3">
        <w:t>a</w:t>
      </w:r>
      <w:r w:rsidR="08EF299B">
        <w:t xml:space="preserve"> a </w:t>
      </w:r>
      <w:r w:rsidR="002A22FC">
        <w:t>nihilistickou</w:t>
      </w:r>
      <w:r w:rsidR="08474A41">
        <w:t xml:space="preserve"> </w:t>
      </w:r>
      <w:r w:rsidR="002A22FC">
        <w:t>vládu</w:t>
      </w:r>
      <w:r w:rsidR="08EF299B">
        <w:t xml:space="preserve"> dnešních banksterů</w:t>
      </w:r>
      <w:r w:rsidR="085B6857">
        <w:rPr>
          <w:i/>
        </w:rPr>
        <w:fldChar w:fldCharType="begin"/>
      </w:r>
      <w:r w:rsidR="085B6857">
        <w:instrText xml:space="preserve"> XE "</w:instrText>
      </w:r>
      <w:r w:rsidR="085B6857">
        <w:rPr>
          <w:i/>
        </w:rPr>
        <w:instrText>banksters</w:instrText>
      </w:r>
      <w:r w:rsidR="085B6857">
        <w:instrText xml:space="preserve">" </w:instrText>
      </w:r>
      <w:r w:rsidR="085B6857">
        <w:rPr>
          <w:i/>
        </w:rPr>
        <w:fldChar w:fldCharType="end"/>
      </w:r>
      <w:r w:rsidR="000420D6">
        <w:t>.</w:t>
      </w:r>
      <w:r w:rsidR="08DC3493">
        <w:t xml:space="preserve"> Kilwardby </w:t>
      </w:r>
      <w:r w:rsidR="005955DB">
        <w:t>zahájil m</w:t>
      </w:r>
      <w:r w:rsidR="00DE7FB3">
        <w:t xml:space="preserve">oderní </w:t>
      </w:r>
      <w:r w:rsidR="0829769D">
        <w:t xml:space="preserve">vědeckou </w:t>
      </w:r>
      <w:r w:rsidR="00DE7FB3">
        <w:t xml:space="preserve">revoluci ve stejné době, kdy </w:t>
      </w:r>
      <w:r w:rsidR="00340784" w:rsidRPr="00273106">
        <w:t>Rufus hájí</w:t>
      </w:r>
      <w:r w:rsidR="0829769D">
        <w:t xml:space="preserve"> v Paříži svůj výklad </w:t>
      </w:r>
      <w:r w:rsidR="0829769D" w:rsidRPr="0829769D">
        <w:rPr>
          <w:i/>
        </w:rPr>
        <w:t>De anima</w:t>
      </w:r>
      <w:r w:rsidR="08873502">
        <w:t xml:space="preserve"> (kap. 3</w:t>
      </w:r>
      <w:r w:rsidR="0829769D">
        <w:t>.3.4)</w:t>
      </w:r>
      <w:r w:rsidR="00340784" w:rsidRPr="00273106">
        <w:t>.</w:t>
      </w:r>
      <w:r w:rsidR="00D32312">
        <w:t xml:space="preserve"> </w:t>
      </w:r>
      <w:r w:rsidR="08DC3493">
        <w:t>Oba tito představitelé inkasovali</w:t>
      </w:r>
      <w:r w:rsidR="005955DB">
        <w:t xml:space="preserve"> kritiku biskupa Alverna a mladých představitelů prvního averroismu Sicilské školy</w:t>
      </w:r>
      <w:r w:rsidR="08ED18B9">
        <w:t xml:space="preserve"> (Albert, Bacon)</w:t>
      </w:r>
      <w:r w:rsidR="00616D18">
        <w:t>, kteří je zesměšnili na Pařížské univerzitě</w:t>
      </w:r>
      <w:r w:rsidR="005955DB">
        <w:t xml:space="preserve">. Rufusovo dílo </w:t>
      </w:r>
      <w:r w:rsidR="005955DB" w:rsidRPr="005955DB">
        <w:rPr>
          <w:i/>
        </w:rPr>
        <w:t>Speculum animae</w:t>
      </w:r>
      <w:r w:rsidR="005955DB">
        <w:t xml:space="preserve"> </w:t>
      </w:r>
      <w:r w:rsidR="08B06E8F">
        <w:t xml:space="preserve">(1245) </w:t>
      </w:r>
      <w:r w:rsidR="005955DB">
        <w:t xml:space="preserve">představuje kolektivní obranu celé </w:t>
      </w:r>
      <w:r w:rsidR="007C05AC">
        <w:t xml:space="preserve">Oxfordské </w:t>
      </w:r>
      <w:r w:rsidR="005955DB">
        <w:t>školy</w:t>
      </w:r>
      <w:r w:rsidR="007C05AC">
        <w:t xml:space="preserve"> modernistů, kteří museli</w:t>
      </w:r>
      <w:r w:rsidR="08B06E8F">
        <w:t xml:space="preserve"> z Paříže odejít</w:t>
      </w:r>
      <w:r w:rsidR="00BC524D">
        <w:t>.</w:t>
      </w:r>
    </w:p>
    <w:p w14:paraId="62202E28" w14:textId="4D9700CC" w:rsidR="00782346" w:rsidRPr="00273106" w:rsidRDefault="00F736AC" w:rsidP="00ED3B5A">
      <w:pPr>
        <w:ind w:firstLine="397"/>
      </w:pPr>
      <w:r w:rsidRPr="00273106">
        <w:t>S</w:t>
      </w:r>
      <w:r w:rsidR="006A270D" w:rsidRPr="00273106">
        <w:t xml:space="preserve">ofistika </w:t>
      </w:r>
      <w:r w:rsidRPr="00273106">
        <w:t xml:space="preserve">obou </w:t>
      </w:r>
      <w:r w:rsidR="00D36DF0">
        <w:t xml:space="preserve">protagonistů </w:t>
      </w:r>
      <w:r w:rsidR="00D36DF0" w:rsidRPr="00D36DF0">
        <w:rPr>
          <w:i/>
        </w:rPr>
        <w:t>Oxfordian Fallacy</w:t>
      </w:r>
      <w:r w:rsidR="00D36DF0">
        <w:t xml:space="preserve"> </w:t>
      </w:r>
      <w:r w:rsidR="00534164">
        <w:rPr>
          <w:lang w:eastAsia="en-US"/>
        </w:rPr>
        <w:t xml:space="preserve">(Rufus, Kilwardby) </w:t>
      </w:r>
      <w:r w:rsidR="006A270D" w:rsidRPr="00273106">
        <w:t>běží ve dvou krocích. U</w:t>
      </w:r>
      <w:r w:rsidR="00620001" w:rsidRPr="00273106">
        <w:t xml:space="preserve">niverzália </w:t>
      </w:r>
      <w:r w:rsidR="008D070F">
        <w:t xml:space="preserve">typu </w:t>
      </w:r>
      <w:r w:rsidR="0027518B" w:rsidRPr="00273106">
        <w:rPr>
          <w:i/>
        </w:rPr>
        <w:t>homo</w:t>
      </w:r>
      <w:r w:rsidR="0027518B" w:rsidRPr="00273106">
        <w:t xml:space="preserve"> jsou pouze v mysli</w:t>
      </w:r>
      <w:r w:rsidR="00A42F5B" w:rsidRPr="00273106">
        <w:t xml:space="preserve">, v tom mají </w:t>
      </w:r>
      <w:r w:rsidR="008E02F5">
        <w:t>Aristoteles</w:t>
      </w:r>
      <w:r w:rsidR="00A42F5B" w:rsidRPr="00273106">
        <w:t xml:space="preserve"> a </w:t>
      </w:r>
      <w:r w:rsidR="002E3B62">
        <w:t>Averroes</w:t>
      </w:r>
      <w:r w:rsidR="00A42F5B" w:rsidRPr="00273106">
        <w:t xml:space="preserve"> pravdu</w:t>
      </w:r>
      <w:r w:rsidR="00620001" w:rsidRPr="00273106">
        <w:t xml:space="preserve">. Ale existuje </w:t>
      </w:r>
      <w:r w:rsidR="00CC48CD" w:rsidRPr="00273106">
        <w:t>nazír</w:t>
      </w:r>
      <w:r w:rsidR="00CC48CD">
        <w:t xml:space="preserve">ání esencí podle </w:t>
      </w:r>
      <w:r w:rsidR="002857B2" w:rsidRPr="00273106">
        <w:t>Avicenn</w:t>
      </w:r>
      <w:r w:rsidR="00CC48CD">
        <w:t>y</w:t>
      </w:r>
      <w:r w:rsidR="00D32312">
        <w:t xml:space="preserve"> a </w:t>
      </w:r>
      <w:r w:rsidR="002857B2" w:rsidRPr="00273106">
        <w:t>Grossetesteho</w:t>
      </w:r>
      <w:r w:rsidR="00CC48CD">
        <w:t xml:space="preserve">, kteří je vidí v jejich </w:t>
      </w:r>
      <w:r w:rsidR="08B06E8F">
        <w:t xml:space="preserve">eidetické </w:t>
      </w:r>
      <w:r w:rsidR="001A6A61" w:rsidRPr="00273106">
        <w:t>individualitě</w:t>
      </w:r>
      <w:r w:rsidR="00620001" w:rsidRPr="00273106">
        <w:t xml:space="preserve">. </w:t>
      </w:r>
      <w:r w:rsidR="002857B2" w:rsidRPr="00273106">
        <w:t>Rufus a Kilwardby přiznávají</w:t>
      </w:r>
      <w:r w:rsidR="00BF0FC7" w:rsidRPr="00273106">
        <w:t xml:space="preserve"> tomuto druhému náhledu univerzality </w:t>
      </w:r>
      <w:r w:rsidR="00620001" w:rsidRPr="00273106">
        <w:t>univoční kauzální působnost</w:t>
      </w:r>
      <w:r w:rsidR="08B06E8F">
        <w:t xml:space="preserve"> v esenciálním modu </w:t>
      </w:r>
      <w:r w:rsidR="08DA298C">
        <w:t>(</w:t>
      </w:r>
      <w:r w:rsidR="08B06E8F" w:rsidRPr="08B06E8F">
        <w:rPr>
          <w:i/>
        </w:rPr>
        <w:t>causatum</w:t>
      </w:r>
      <w:r w:rsidR="08DA298C">
        <w:t>)</w:t>
      </w:r>
      <w:r w:rsidR="00D07DD4">
        <w:t xml:space="preserve">. Kauzalita univerzální esence </w:t>
      </w:r>
      <w:r w:rsidR="08B06E8F">
        <w:t xml:space="preserve">podle Avicenny </w:t>
      </w:r>
      <w:r w:rsidR="00D07DD4">
        <w:t xml:space="preserve">se dostala </w:t>
      </w:r>
      <w:r w:rsidR="00556F33">
        <w:t>na úrov</w:t>
      </w:r>
      <w:r w:rsidR="00D07DD4">
        <w:t>eň</w:t>
      </w:r>
      <w:r w:rsidR="00556F33">
        <w:t xml:space="preserve"> vědeckého soudu ve </w:t>
      </w:r>
      <w:r w:rsidR="00556F33" w:rsidRPr="008D070F">
        <w:rPr>
          <w:i/>
        </w:rPr>
        <w:t>Druhých analytikách</w:t>
      </w:r>
      <w:r w:rsidR="00CF41D1">
        <w:t xml:space="preserve">. Předtím byla </w:t>
      </w:r>
      <w:r w:rsidR="00730AAE">
        <w:t xml:space="preserve">dána </w:t>
      </w:r>
      <w:r w:rsidR="00CF41D1">
        <w:t xml:space="preserve">pouze reálná kauzalita prvních substancí v hyparchickém modu </w:t>
      </w:r>
      <w:r w:rsidR="00CF41D1" w:rsidRPr="00556F33">
        <w:rPr>
          <w:i/>
        </w:rPr>
        <w:t>per prius</w:t>
      </w:r>
      <w:r w:rsidR="00D9016F">
        <w:t xml:space="preserve">. </w:t>
      </w:r>
      <w:r w:rsidR="00D07DD4">
        <w:t xml:space="preserve">Protože nejprve existuje reálné zatmění Slunce a Měsíce jako astronomických těles, tak můžeme </w:t>
      </w:r>
      <w:r w:rsidR="00D07DD4" w:rsidRPr="00D07DD4">
        <w:rPr>
          <w:i/>
        </w:rPr>
        <w:t>per posterius</w:t>
      </w:r>
      <w:r w:rsidR="00D07DD4">
        <w:rPr>
          <w:i/>
        </w:rPr>
        <w:fldChar w:fldCharType="begin"/>
      </w:r>
      <w:r w:rsidR="00D07DD4">
        <w:instrText xml:space="preserve"> XE "predikace:</w:instrText>
      </w:r>
      <w:r w:rsidR="00D07DD4" w:rsidRPr="003228D0">
        <w:rPr>
          <w:i/>
        </w:rPr>
        <w:instrText>per posterius</w:instrText>
      </w:r>
      <w:r w:rsidR="00D07DD4">
        <w:instrText xml:space="preserve">" </w:instrText>
      </w:r>
      <w:r w:rsidR="00D07DD4">
        <w:rPr>
          <w:i/>
        </w:rPr>
        <w:fldChar w:fldCharType="end"/>
      </w:r>
      <w:r w:rsidR="00D07DD4">
        <w:t xml:space="preserve"> vytvořit univerzální deduktivní soud. </w:t>
      </w:r>
      <w:r w:rsidR="008E02F5">
        <w:t>Aristoteles</w:t>
      </w:r>
      <w:r w:rsidR="00D07DD4">
        <w:t xml:space="preserve">, </w:t>
      </w:r>
      <w:r w:rsidR="002E3B62">
        <w:t>Averroes</w:t>
      </w:r>
      <w:r w:rsidR="00CF516E">
        <w:t xml:space="preserve"> a první averorismus dobře věděl</w:t>
      </w:r>
      <w:r w:rsidR="00D07DD4">
        <w:t xml:space="preserve">, že mysl netvoří realitu, ale pouze ji </w:t>
      </w:r>
      <w:r w:rsidR="008D070F">
        <w:t xml:space="preserve">univerzálně </w:t>
      </w:r>
      <w:r w:rsidR="00D07DD4">
        <w:t xml:space="preserve">signifikuje a </w:t>
      </w:r>
      <w:r w:rsidR="008D070F">
        <w:t xml:space="preserve">vědecky pravdivě </w:t>
      </w:r>
      <w:r w:rsidR="00D07DD4">
        <w:t xml:space="preserve">predikuje. </w:t>
      </w:r>
      <w:r w:rsidR="0025323D">
        <w:t>Š</w:t>
      </w:r>
      <w:r w:rsidR="00650325">
        <w:t>kola druhé</w:t>
      </w:r>
      <w:r w:rsidR="0025323D">
        <w:t>ho</w:t>
      </w:r>
      <w:r w:rsidR="00650325">
        <w:t xml:space="preserve"> averroismu </w:t>
      </w:r>
      <w:r w:rsidR="00CF516E">
        <w:t>změnila</w:t>
      </w:r>
      <w:r w:rsidR="0025323D">
        <w:t xml:space="preserve"> </w:t>
      </w:r>
      <w:r w:rsidR="00CA5618">
        <w:t>inte</w:t>
      </w:r>
      <w:r w:rsidR="009A5768">
        <w:t>r</w:t>
      </w:r>
      <w:r w:rsidR="00CA5618">
        <w:t xml:space="preserve">pretaci </w:t>
      </w:r>
      <w:r w:rsidR="00CA5618" w:rsidRPr="0025323D">
        <w:rPr>
          <w:i/>
        </w:rPr>
        <w:t>Druhých analytik</w:t>
      </w:r>
      <w:r w:rsidR="00633EF9">
        <w:t>, které zásadně rozlišují</w:t>
      </w:r>
      <w:r w:rsidR="009A5768">
        <w:t xml:space="preserve"> různé mody nutnosti a univerzality</w:t>
      </w:r>
      <w:r w:rsidR="00834936">
        <w:t xml:space="preserve"> pro metafyziku a matematiku</w:t>
      </w:r>
      <w:r w:rsidR="00C326BD" w:rsidRPr="00273106">
        <w:t xml:space="preserve">. </w:t>
      </w:r>
      <w:r w:rsidR="00731DC2">
        <w:t>K</w:t>
      </w:r>
      <w:r w:rsidR="00AC55BF">
        <w:t xml:space="preserve">ategoriální predikace </w:t>
      </w:r>
      <w:r w:rsidR="00731DC2">
        <w:t xml:space="preserve">vztažená k hypachickému postavení první substance </w:t>
      </w:r>
      <w:r w:rsidR="00AC55BF">
        <w:t>nemá stejný druh nut</w:t>
      </w:r>
      <w:r w:rsidR="00731DC2">
        <w:t xml:space="preserve">nosti jako </w:t>
      </w:r>
      <w:r w:rsidR="08225C9A">
        <w:t xml:space="preserve">esenciální predikace nebo </w:t>
      </w:r>
      <w:r w:rsidR="00731DC2">
        <w:t>geome</w:t>
      </w:r>
      <w:r w:rsidR="00AC55BF">
        <w:t xml:space="preserve">trie nebo </w:t>
      </w:r>
      <w:r w:rsidR="002209C7">
        <w:t>matematika</w:t>
      </w:r>
      <w:r w:rsidR="08225C9A">
        <w:t xml:space="preserve">. Tyto mody predikace </w:t>
      </w:r>
      <w:r w:rsidR="002209C7">
        <w:t xml:space="preserve">jsou díky formální </w:t>
      </w:r>
      <w:r w:rsidR="08225C9A">
        <w:t xml:space="preserve">a logické </w:t>
      </w:r>
      <w:r w:rsidR="00AC55BF">
        <w:t xml:space="preserve">abstrakci </w:t>
      </w:r>
      <w:r w:rsidR="002209C7">
        <w:t xml:space="preserve">oddělené </w:t>
      </w:r>
      <w:r w:rsidR="00AC55BF">
        <w:t xml:space="preserve">od světa prvních substancí. </w:t>
      </w:r>
      <w:r w:rsidR="00C87DD0">
        <w:t xml:space="preserve">Podle Aristotela a </w:t>
      </w:r>
      <w:r w:rsidR="00C5585A">
        <w:t xml:space="preserve">podle </w:t>
      </w:r>
      <w:r w:rsidR="00C87DD0">
        <w:t xml:space="preserve">prvního averroismu se logika </w:t>
      </w:r>
      <w:r w:rsidR="00834936">
        <w:t xml:space="preserve">musí </w:t>
      </w:r>
      <w:r w:rsidR="00811EA4">
        <w:t xml:space="preserve">podřídit metafyzice, protože </w:t>
      </w:r>
      <w:r w:rsidR="00834936">
        <w:t>budoucí námořní bitva</w:t>
      </w:r>
      <w:r w:rsidR="00E55440">
        <w:fldChar w:fldCharType="begin"/>
      </w:r>
      <w:r w:rsidR="00E55440">
        <w:instrText xml:space="preserve"> XE "</w:instrText>
      </w:r>
      <w:r w:rsidR="00E55440" w:rsidRPr="00AB0E2A">
        <w:instrText>námořní bitva</w:instrText>
      </w:r>
      <w:r w:rsidR="00E55440">
        <w:instrText xml:space="preserve">" </w:instrText>
      </w:r>
      <w:r w:rsidR="00E55440">
        <w:fldChar w:fldCharType="end"/>
      </w:r>
      <w:r w:rsidR="00834936">
        <w:t xml:space="preserve"> </w:t>
      </w:r>
      <w:r w:rsidR="00811EA4">
        <w:t xml:space="preserve">je </w:t>
      </w:r>
      <w:r w:rsidR="00834936">
        <w:t xml:space="preserve">pravdivostně neurčitelná. </w:t>
      </w:r>
      <w:r w:rsidR="00653FCC">
        <w:t>Tyto axiomy částečně změnil už Grosset</w:t>
      </w:r>
      <w:r w:rsidR="087B1CD4">
        <w:t>e</w:t>
      </w:r>
      <w:r w:rsidR="00653FCC">
        <w:t xml:space="preserve">ste a po něm analytická škola </w:t>
      </w:r>
      <w:r w:rsidR="00D1701B">
        <w:t>augu</w:t>
      </w:r>
      <w:r w:rsidR="00653FCC">
        <w:t>stiniánských avicennistů, filosoficky inspi</w:t>
      </w:r>
      <w:r w:rsidR="003E27D0">
        <w:t xml:space="preserve">rovaná porretány a </w:t>
      </w:r>
      <w:r w:rsidR="00C5585A">
        <w:t xml:space="preserve">logickými školami </w:t>
      </w:r>
      <w:r w:rsidR="003E27D0" w:rsidRPr="00000A80">
        <w:rPr>
          <w:i/>
        </w:rPr>
        <w:t>Nominales</w:t>
      </w:r>
      <w:r w:rsidR="003E27D0">
        <w:t>.</w:t>
      </w:r>
      <w:r w:rsidR="00886131">
        <w:t xml:space="preserve"> </w:t>
      </w:r>
      <w:r w:rsidR="084D71E7" w:rsidRPr="00273106">
        <w:t xml:space="preserve">Kilwardby považuje tři základní principy týkající se poznání kauzality </w:t>
      </w:r>
      <w:r w:rsidR="00B9184C" w:rsidRPr="00273106">
        <w:t xml:space="preserve">hyparchicky dané </w:t>
      </w:r>
      <w:r w:rsidR="084D71E7" w:rsidRPr="00273106">
        <w:t>první substance (</w:t>
      </w:r>
      <w:r w:rsidR="00CA7D36">
        <w:rPr>
          <w:i/>
        </w:rPr>
        <w:t>ex primis et veris et in</w:t>
      </w:r>
      <w:r w:rsidR="084D71E7" w:rsidRPr="00273106">
        <w:rPr>
          <w:i/>
        </w:rPr>
        <w:t>mediatis</w:t>
      </w:r>
      <w:r w:rsidR="00DB2D8F">
        <w:rPr>
          <w:i/>
        </w:rPr>
        <w:fldChar w:fldCharType="begin"/>
      </w:r>
      <w:r w:rsidR="00DB2D8F">
        <w:instrText xml:space="preserve"> XE "</w:instrText>
      </w:r>
      <w:r w:rsidR="00DB2D8F" w:rsidRPr="005204DC">
        <w:instrText xml:space="preserve">princip </w:instrText>
      </w:r>
      <w:r w:rsidR="08D91F67">
        <w:rPr>
          <w:i/>
        </w:rPr>
        <w:instrText>ex in</w:instrText>
      </w:r>
      <w:r w:rsidR="00DB2D8F" w:rsidRPr="00AC6E92">
        <w:rPr>
          <w:i/>
        </w:rPr>
        <w:instrText>mediatis</w:instrText>
      </w:r>
      <w:r w:rsidR="00DB2D8F">
        <w:instrText xml:space="preserve">" </w:instrText>
      </w:r>
      <w:r w:rsidR="00DB2D8F">
        <w:rPr>
          <w:i/>
        </w:rPr>
        <w:fldChar w:fldCharType="end"/>
      </w:r>
      <w:r w:rsidR="088B624F">
        <w:t>) za univočně dané</w:t>
      </w:r>
      <w:r w:rsidR="084D71E7" w:rsidRPr="00273106">
        <w:t xml:space="preserve"> vzhledem k ostatním třem principům</w:t>
      </w:r>
      <w:r w:rsidR="001926DD">
        <w:t>. D</w:t>
      </w:r>
      <w:r w:rsidR="001926DD" w:rsidRPr="001926DD">
        <w:t xml:space="preserve">ruhá triáda principů vychází z logických esencí, které vyplývají z nutnosti dané </w:t>
      </w:r>
      <w:r w:rsidR="001926DD" w:rsidRPr="001926DD">
        <w:rPr>
          <w:i/>
        </w:rPr>
        <w:t>per se</w:t>
      </w:r>
      <w:r w:rsidR="001926DD" w:rsidRPr="001926DD">
        <w:t>.</w:t>
      </w:r>
      <w:r w:rsidR="001926DD">
        <w:t xml:space="preserve"> </w:t>
      </w:r>
      <w:r w:rsidR="08543ED6">
        <w:t xml:space="preserve">První triáda axiomů </w:t>
      </w:r>
      <w:r w:rsidR="001926DD">
        <w:t xml:space="preserve">určujících </w:t>
      </w:r>
      <w:r w:rsidR="08543ED6">
        <w:t>pozná</w:t>
      </w:r>
      <w:r w:rsidR="001926DD">
        <w:t>n</w:t>
      </w:r>
      <w:r w:rsidR="08543ED6">
        <w:t>í z reality byla zrušena</w:t>
      </w:r>
      <w:r w:rsidR="00131096">
        <w:t xml:space="preserve">. Patří totiž </w:t>
      </w:r>
      <w:r w:rsidR="08543ED6">
        <w:t xml:space="preserve">do empirické </w:t>
      </w:r>
      <w:r w:rsidR="08543ED6" w:rsidRPr="08543ED6">
        <w:rPr>
          <w:i/>
        </w:rPr>
        <w:t>scientia</w:t>
      </w:r>
      <w:r w:rsidR="08543ED6">
        <w:t xml:space="preserve"> nehodné vyšší vědy analytických iluminátů</w:t>
      </w:r>
      <w:r w:rsidR="00F76449">
        <w:t xml:space="preserve">, kteří ji založili </w:t>
      </w:r>
      <w:r w:rsidR="08CA130A">
        <w:t>v Oxfordu po roce 1245</w:t>
      </w:r>
      <w:r w:rsidR="08543ED6">
        <w:t xml:space="preserve">. </w:t>
      </w:r>
      <w:r w:rsidR="008A4DC1" w:rsidRPr="00273106">
        <w:t xml:space="preserve">Tento fatální </w:t>
      </w:r>
      <w:r w:rsidR="008A4DC1" w:rsidRPr="00273106">
        <w:rPr>
          <w:i/>
        </w:rPr>
        <w:t>Ereignis</w:t>
      </w:r>
      <w:r w:rsidR="003B7894">
        <w:rPr>
          <w:i/>
        </w:rPr>
        <w:fldChar w:fldCharType="begin"/>
      </w:r>
      <w:r w:rsidR="003B7894">
        <w:instrText xml:space="preserve"> XE "</w:instrText>
      </w:r>
      <w:r w:rsidR="003B7894" w:rsidRPr="00120BB2">
        <w:rPr>
          <w:i/>
        </w:rPr>
        <w:instrText>Ereignis</w:instrText>
      </w:r>
      <w:r w:rsidR="003B7894">
        <w:instrText xml:space="preserve">" </w:instrText>
      </w:r>
      <w:r w:rsidR="003B7894">
        <w:rPr>
          <w:i/>
        </w:rPr>
        <w:fldChar w:fldCharType="end"/>
      </w:r>
      <w:r w:rsidR="008A4DC1" w:rsidRPr="00273106">
        <w:t xml:space="preserve"> myšlení </w:t>
      </w:r>
      <w:r w:rsidR="006E1BF3">
        <w:t xml:space="preserve">nově </w:t>
      </w:r>
      <w:r w:rsidR="00DF6CF7">
        <w:t>definova</w:t>
      </w:r>
      <w:r w:rsidR="006E1BF3">
        <w:t xml:space="preserve">l </w:t>
      </w:r>
      <w:r w:rsidR="001D33FC" w:rsidRPr="00273106">
        <w:t>bytí jsoucího</w:t>
      </w:r>
      <w:r w:rsidR="006E1BF3">
        <w:t>. U</w:t>
      </w:r>
      <w:r w:rsidR="00DF6CF7">
        <w:t>niverzální hylemorfismu</w:t>
      </w:r>
      <w:r w:rsidR="006E1BF3">
        <w:t>s</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DF6CF7">
        <w:t xml:space="preserve"> </w:t>
      </w:r>
      <w:r w:rsidR="006E1BF3">
        <w:t xml:space="preserve">školy </w:t>
      </w:r>
      <w:r w:rsidR="006E1BF3" w:rsidRPr="006E1BF3">
        <w:rPr>
          <w:i/>
        </w:rPr>
        <w:t>sophistate L</w:t>
      </w:r>
      <w:r w:rsidR="006E1BF3">
        <w:rPr>
          <w:i/>
        </w:rPr>
        <w:t>ati</w:t>
      </w:r>
      <w:r w:rsidR="006E1BF3" w:rsidRPr="006E1BF3">
        <w:rPr>
          <w:i/>
        </w:rPr>
        <w:t>ni</w:t>
      </w:r>
      <w:r w:rsidR="006E1BF3">
        <w:rPr>
          <w:i/>
        </w:rPr>
        <w:fldChar w:fldCharType="begin"/>
      </w:r>
      <w:r w:rsidR="006E1BF3">
        <w:instrText xml:space="preserve"> XE "</w:instrText>
      </w:r>
      <w:r w:rsidR="006E1BF3" w:rsidRPr="005473A7">
        <w:rPr>
          <w:i/>
        </w:rPr>
        <w:instrText>sophistate Latini</w:instrText>
      </w:r>
      <w:r w:rsidR="006E1BF3">
        <w:instrText xml:space="preserve">" </w:instrText>
      </w:r>
      <w:r w:rsidR="006E1BF3">
        <w:rPr>
          <w:i/>
        </w:rPr>
        <w:fldChar w:fldCharType="end"/>
      </w:r>
      <w:r w:rsidR="006E1BF3">
        <w:t xml:space="preserve"> v Oxfordu </w:t>
      </w:r>
      <w:r w:rsidR="008A4DC1" w:rsidRPr="00273106">
        <w:t>stál u zrodu nihilistické metafyziky moderního Západu</w:t>
      </w:r>
      <w:r w:rsidR="00451C0D">
        <w:t xml:space="preserve">. </w:t>
      </w:r>
      <w:r w:rsidR="0000657D">
        <w:t xml:space="preserve">Nové </w:t>
      </w:r>
      <w:r w:rsidR="0000657D" w:rsidRPr="0000657D">
        <w:rPr>
          <w:i/>
        </w:rPr>
        <w:t>Lichtung</w:t>
      </w:r>
      <w:r w:rsidR="0000657D">
        <w:t xml:space="preserve"> </w:t>
      </w:r>
      <w:r w:rsidR="08FB46DF">
        <w:t xml:space="preserve">pravdy a nepravdy </w:t>
      </w:r>
      <w:r w:rsidR="00EF73E2">
        <w:t>západní vědy</w:t>
      </w:r>
      <w:r w:rsidR="08FB46DF">
        <w:t xml:space="preserve"> vzniklo</w:t>
      </w:r>
      <w:r w:rsidR="0000657D">
        <w:t xml:space="preserve"> tím, že ilumináti mají</w:t>
      </w:r>
      <w:r w:rsidR="084D71E7" w:rsidRPr="00273106">
        <w:t xml:space="preserve"> bezprostře</w:t>
      </w:r>
      <w:r w:rsidR="0000657D">
        <w:t>dní náhled do prvních principů</w:t>
      </w:r>
      <w:r w:rsidR="00451C0D">
        <w:t xml:space="preserve"> daných hypostaticky</w:t>
      </w:r>
      <w:r w:rsidR="0000657D">
        <w:t xml:space="preserve">. </w:t>
      </w:r>
      <w:r w:rsidR="08987B27">
        <w:t>Podle prvního averro</w:t>
      </w:r>
      <w:r w:rsidR="00451C0D">
        <w:t>i</w:t>
      </w:r>
      <w:r w:rsidR="08987B27">
        <w:t>sm</w:t>
      </w:r>
      <w:r w:rsidR="00451C0D">
        <w:t xml:space="preserve">u mají náhled </w:t>
      </w:r>
      <w:r w:rsidR="00A90FE5">
        <w:t xml:space="preserve">čistých hypotsatických forem </w:t>
      </w:r>
      <w:r w:rsidR="00451C0D">
        <w:t xml:space="preserve">pouze subjekty vybavené substanční formou </w:t>
      </w:r>
      <w:r w:rsidR="00451C0D" w:rsidRPr="009725DB">
        <w:rPr>
          <w:i/>
        </w:rPr>
        <w:t>intellectus agens</w:t>
      </w:r>
      <w:r w:rsidR="00451C0D">
        <w:t xml:space="preserve">, což jsou andělé a kosmické inteligence. Moderní ilumináti udělali z člověka padlého anděla, který se </w:t>
      </w:r>
      <w:r w:rsidR="08FB46DF">
        <w:t xml:space="preserve">stal o pár století později totalitním zvířetem </w:t>
      </w:r>
      <w:r w:rsidR="00451C0D">
        <w:t xml:space="preserve">v řádu dějinné nutnosti </w:t>
      </w:r>
      <w:r w:rsidR="009725DB">
        <w:t>nast</w:t>
      </w:r>
      <w:r w:rsidR="00451C0D">
        <w:t>o</w:t>
      </w:r>
      <w:r w:rsidR="009725DB">
        <w:t>le</w:t>
      </w:r>
      <w:r w:rsidR="00451C0D">
        <w:t xml:space="preserve">né skrze tento metafyzický </w:t>
      </w:r>
      <w:r w:rsidR="00451C0D" w:rsidRPr="00451C0D">
        <w:rPr>
          <w:i/>
        </w:rPr>
        <w:t>Irrtum</w:t>
      </w:r>
      <w:r w:rsidR="00451C0D">
        <w:t xml:space="preserve">. </w:t>
      </w:r>
      <w:r w:rsidR="009725DB">
        <w:t xml:space="preserve">Biskup Alvernus proti této doketistické a gnostické úchylce </w:t>
      </w:r>
      <w:r w:rsidR="009725DB" w:rsidRPr="009725DB">
        <w:rPr>
          <w:i/>
        </w:rPr>
        <w:t>Modernorum</w:t>
      </w:r>
      <w:r w:rsidR="009725DB">
        <w:t xml:space="preserve"> rázně zakročil, protože stejně jako </w:t>
      </w:r>
      <w:r w:rsidR="004D683F" w:rsidRPr="004D683F">
        <w:rPr>
          <w:i/>
        </w:rPr>
        <w:t>philosophus nobilissimus</w:t>
      </w:r>
      <w:r w:rsidR="004D683F">
        <w:t xml:space="preserve"> </w:t>
      </w:r>
      <w:r w:rsidR="009725DB">
        <w:t xml:space="preserve"> hájil zásadní jednotu osoby dané jak</w:t>
      </w:r>
      <w:r w:rsidR="08B86DD9">
        <w:t xml:space="preserve">o hylemorfická první substance, jejíž poznání je determinováno hyparchickou existencí kauzálně působící první substance. </w:t>
      </w:r>
      <w:r w:rsidR="08C61214">
        <w:t>M</w:t>
      </w:r>
      <w:r w:rsidR="0000657D">
        <w:t xml:space="preserve">oderní vyznavači </w:t>
      </w:r>
      <w:r w:rsidR="00874074">
        <w:t>neoplatonsk</w:t>
      </w:r>
      <w:r w:rsidR="0000657D">
        <w:t>ého intelektu-slunce</w:t>
      </w:r>
      <w:r w:rsidR="006E5172">
        <w:fldChar w:fldCharType="begin"/>
      </w:r>
      <w:r w:rsidR="006E5172">
        <w:instrText xml:space="preserve"> XE "</w:instrText>
      </w:r>
      <w:r w:rsidR="006E5172" w:rsidRPr="008844E7">
        <w:instrText>intelekt-slunce</w:instrText>
      </w:r>
      <w:r w:rsidR="006E5172">
        <w:instrText xml:space="preserve">" </w:instrText>
      </w:r>
      <w:r w:rsidR="006E5172">
        <w:fldChar w:fldCharType="end"/>
      </w:r>
      <w:r w:rsidR="0000657D">
        <w:t xml:space="preserve"> založili </w:t>
      </w:r>
      <w:r w:rsidR="00ED3B5A">
        <w:rPr>
          <w:szCs w:val="24"/>
        </w:rPr>
        <w:t>„</w:t>
      </w:r>
      <w:r w:rsidR="00ED3B5A" w:rsidRPr="00567DF3">
        <w:rPr>
          <w:i/>
          <w:szCs w:val="24"/>
        </w:rPr>
        <w:t>mythe fondateur</w:t>
      </w:r>
      <w:r w:rsidR="00ED3B5A">
        <w:rPr>
          <w:szCs w:val="24"/>
        </w:rPr>
        <w:t>“</w:t>
      </w:r>
      <w:r w:rsidR="0000657D">
        <w:t xml:space="preserve">, na němž stojí moderna a postmoderna. Nově koncipovaný </w:t>
      </w:r>
      <w:r w:rsidR="000019D3">
        <w:t xml:space="preserve">intelekt </w:t>
      </w:r>
      <w:r w:rsidR="009C0EC8">
        <w:t xml:space="preserve">daný jako samostatná substance v člověku </w:t>
      </w:r>
      <w:r w:rsidR="000019D3">
        <w:t xml:space="preserve">odpovídá </w:t>
      </w:r>
      <w:r w:rsidR="084D71E7" w:rsidRPr="00273106">
        <w:t>přímo, bezprostředně a uni</w:t>
      </w:r>
      <w:r w:rsidR="004D683F">
        <w:t xml:space="preserve">vočně pravdivě tomu, </w:t>
      </w:r>
      <w:r w:rsidR="084D71E7" w:rsidRPr="00273106">
        <w:t xml:space="preserve">co jest a co není. </w:t>
      </w:r>
      <w:r w:rsidR="002D4EC4">
        <w:t xml:space="preserve">Moderní intelekt nahlíží tento celek jsoucna přímo a univerzálně. Pak jej dělí a skládá na jednotlivé </w:t>
      </w:r>
      <w:r w:rsidR="002D4EC4" w:rsidRPr="002D4EC4">
        <w:rPr>
          <w:i/>
        </w:rPr>
        <w:t>scibile</w:t>
      </w:r>
      <w:r w:rsidR="003B4FA7">
        <w:rPr>
          <w:i/>
        </w:rPr>
        <w:fldChar w:fldCharType="begin"/>
      </w:r>
      <w:r w:rsidR="003B4FA7">
        <w:instrText xml:space="preserve"> XE "</w:instrText>
      </w:r>
      <w:r w:rsidR="003B4FA7" w:rsidRPr="00AA4F67">
        <w:rPr>
          <w:i/>
        </w:rPr>
        <w:instrText>scibile</w:instrText>
      </w:r>
      <w:r w:rsidR="002F5EF0">
        <w:rPr>
          <w:i/>
        </w:rPr>
        <w:instrText>:</w:instrText>
      </w:r>
      <w:r w:rsidR="002F5EF0">
        <w:instrText>moderna</w:instrText>
      </w:r>
      <w:r w:rsidR="003B4FA7">
        <w:instrText xml:space="preserve">" </w:instrText>
      </w:r>
      <w:r w:rsidR="003B4FA7">
        <w:rPr>
          <w:i/>
        </w:rPr>
        <w:fldChar w:fldCharType="end"/>
      </w:r>
      <w:r w:rsidR="002D4EC4">
        <w:t xml:space="preserve"> </w:t>
      </w:r>
      <w:r w:rsidR="007B5D9F">
        <w:t xml:space="preserve">speciálních věd </w:t>
      </w:r>
      <w:r w:rsidR="002D4EC4">
        <w:t>podle té či oné formy diference</w:t>
      </w:r>
      <w:r w:rsidR="008B1B54">
        <w:t xml:space="preserve">. </w:t>
      </w:r>
      <w:r w:rsidR="008B1B54" w:rsidRPr="008B1B54">
        <w:t xml:space="preserve">Takový druh </w:t>
      </w:r>
      <w:r w:rsidR="008B1B54" w:rsidRPr="008B1B54">
        <w:rPr>
          <w:i/>
        </w:rPr>
        <w:t>resolutio</w:t>
      </w:r>
      <w:r w:rsidR="008B1B54" w:rsidRPr="008B1B54">
        <w:t xml:space="preserve"> a </w:t>
      </w:r>
      <w:r w:rsidR="008B1B54" w:rsidRPr="008B1B54">
        <w:rPr>
          <w:i/>
        </w:rPr>
        <w:t>collectio</w:t>
      </w:r>
      <w:r w:rsidR="008B1B54" w:rsidRPr="008B1B54">
        <w:t xml:space="preserve"> založil nihilistickou epochu metafyziky založenou na tanci strukturálních rozdílů, které nerozlišují mezi sl</w:t>
      </w:r>
      <w:r w:rsidR="008B1B54">
        <w:t xml:space="preserve">ovy a věcmi </w:t>
      </w:r>
      <w:r w:rsidR="00320DE0">
        <w:t>(Foucault</w:t>
      </w:r>
      <w:r w:rsidR="08544DBE">
        <w:t>, Derrida</w:t>
      </w:r>
      <w:r w:rsidR="00320DE0">
        <w:fldChar w:fldCharType="begin"/>
      </w:r>
      <w:r w:rsidR="00320DE0">
        <w:instrText xml:space="preserve"> XE "</w:instrText>
      </w:r>
      <w:r w:rsidR="00320DE0" w:rsidRPr="009A20D5">
        <w:instrText>Foucault, M.</w:instrText>
      </w:r>
      <w:r w:rsidR="00320DE0">
        <w:instrText xml:space="preserve">" </w:instrText>
      </w:r>
      <w:r w:rsidR="00320DE0">
        <w:fldChar w:fldCharType="end"/>
      </w:r>
      <w:r w:rsidR="00320DE0">
        <w:t>)</w:t>
      </w:r>
      <w:r w:rsidR="002D4EC4">
        <w:t xml:space="preserve">. </w:t>
      </w:r>
      <w:r w:rsidR="002067D6">
        <w:t xml:space="preserve">V epoše nihilistické formy </w:t>
      </w:r>
      <w:r w:rsidR="085E73FC">
        <w:t xml:space="preserve">eidetického a analytického </w:t>
      </w:r>
      <w:r w:rsidR="002067D6">
        <w:t xml:space="preserve">vědění </w:t>
      </w:r>
      <w:r w:rsidR="007B5D9F">
        <w:t xml:space="preserve">se stala zbytečnou </w:t>
      </w:r>
      <w:r w:rsidR="00055C85">
        <w:t>Aristotelova</w:t>
      </w:r>
      <w:r w:rsidR="00FD7092">
        <w:t xml:space="preserve"> definice pravdy. Není </w:t>
      </w:r>
      <w:r w:rsidR="00055C85">
        <w:t>mediace</w:t>
      </w:r>
      <w:r w:rsidR="007B5D9F">
        <w:t xml:space="preserve"> mezi individuální věcí v realitě a naším univerzálním poznáním v mysli. Tato mediace se </w:t>
      </w:r>
      <w:r w:rsidR="00055C85">
        <w:t>kategoriálně predikuje</w:t>
      </w:r>
      <w:r w:rsidR="00055C85" w:rsidRPr="00273106">
        <w:t xml:space="preserve"> </w:t>
      </w:r>
      <w:r w:rsidR="00055C85">
        <w:t xml:space="preserve">v modu </w:t>
      </w:r>
      <w:r w:rsidR="00AA01BC">
        <w:t xml:space="preserve">univerzální </w:t>
      </w:r>
      <w:r w:rsidR="00055C85">
        <w:t xml:space="preserve">adekvace </w:t>
      </w:r>
      <w:r w:rsidR="00055C85" w:rsidRPr="00273106">
        <w:t>o tom</w:t>
      </w:r>
      <w:r w:rsidR="00055C85">
        <w:t xml:space="preserve">, co </w:t>
      </w:r>
      <w:r w:rsidR="089915DA">
        <w:t xml:space="preserve">hyparchicky </w:t>
      </w:r>
      <w:r w:rsidR="00055C85">
        <w:t xml:space="preserve">jest, že to jest, a o tom, co </w:t>
      </w:r>
      <w:r w:rsidR="089915DA">
        <w:t xml:space="preserve">hyparchicky </w:t>
      </w:r>
      <w:r w:rsidR="00055C85">
        <w:t xml:space="preserve">není, že to není. </w:t>
      </w:r>
      <w:r w:rsidR="00410A56">
        <w:t>R</w:t>
      </w:r>
      <w:r w:rsidR="084D71E7" w:rsidRPr="00273106">
        <w:t xml:space="preserve">ozum </w:t>
      </w:r>
      <w:r w:rsidR="084D71E7" w:rsidRPr="00273106">
        <w:rPr>
          <w:i/>
        </w:rPr>
        <w:t>Modernorum</w:t>
      </w:r>
      <w:r w:rsidR="006227F2" w:rsidRPr="00273106">
        <w:t xml:space="preserve"> </w:t>
      </w:r>
      <w:r w:rsidR="00410A56" w:rsidRPr="00273106">
        <w:t xml:space="preserve">potřebuje </w:t>
      </w:r>
      <w:r w:rsidR="00410A56">
        <w:t xml:space="preserve">realitu </w:t>
      </w:r>
      <w:r w:rsidR="00E74B91" w:rsidRPr="00273106">
        <w:t>jen kontin</w:t>
      </w:r>
      <w:r w:rsidR="00E74B91">
        <w:t>gentně, jako dodatečné potvrzení předem známé</w:t>
      </w:r>
      <w:r w:rsidR="00286181">
        <w:t>ho</w:t>
      </w:r>
      <w:r w:rsidR="00E74B91">
        <w:t xml:space="preserve"> vědění</w:t>
      </w:r>
      <w:r w:rsidR="08681931">
        <w:t xml:space="preserve">. Realita poskytuje akcidentální potvrzení </w:t>
      </w:r>
      <w:r w:rsidR="008A3F62">
        <w:t xml:space="preserve">věčné </w:t>
      </w:r>
      <w:r w:rsidR="007C10E8" w:rsidRPr="00273106">
        <w:t xml:space="preserve">správnosti </w:t>
      </w:r>
      <w:r w:rsidR="00C506BC">
        <w:t>a</w:t>
      </w:r>
      <w:r w:rsidR="007C10E8" w:rsidRPr="00273106">
        <w:t xml:space="preserve"> věrohodnosti (</w:t>
      </w:r>
      <w:r w:rsidR="007C10E8" w:rsidRPr="00273106">
        <w:rPr>
          <w:i/>
        </w:rPr>
        <w:t>rectitudo</w:t>
      </w:r>
      <w:r w:rsidR="007C10E8" w:rsidRPr="00273106">
        <w:t xml:space="preserve">) </w:t>
      </w:r>
      <w:r w:rsidR="08C61214">
        <w:t>objek</w:t>
      </w:r>
      <w:r w:rsidR="000F7AAA">
        <w:t xml:space="preserve">tivních pravd nazřených </w:t>
      </w:r>
      <w:r w:rsidR="008A3F62">
        <w:t xml:space="preserve">skrze evidentní </w:t>
      </w:r>
      <w:r w:rsidR="00FF6E42">
        <w:t xml:space="preserve">objektivní </w:t>
      </w:r>
      <w:r w:rsidR="008A3F62">
        <w:t>dedukci</w:t>
      </w:r>
      <w:r w:rsidR="003A1CBC">
        <w:t xml:space="preserve"> </w:t>
      </w:r>
      <w:r w:rsidR="008A3F62">
        <w:t>(</w:t>
      </w:r>
      <w:r w:rsidR="008A3F62" w:rsidRPr="008A3F62">
        <w:rPr>
          <w:i/>
        </w:rPr>
        <w:t>certitudo</w:t>
      </w:r>
      <w:r w:rsidR="008A3F62">
        <w:t>)</w:t>
      </w:r>
      <w:r w:rsidR="08681931">
        <w:t xml:space="preserve">. Pravda iluminátů </w:t>
      </w:r>
      <w:r w:rsidR="008A3F62">
        <w:t xml:space="preserve">je založena </w:t>
      </w:r>
      <w:r w:rsidR="000140BE">
        <w:t xml:space="preserve">na </w:t>
      </w:r>
      <w:r w:rsidR="08FB4D35">
        <w:t xml:space="preserve">spekulativním zrcadlení </w:t>
      </w:r>
      <w:r w:rsidR="004B4D52" w:rsidRPr="004B4D52">
        <w:t>species</w:t>
      </w:r>
      <w:r w:rsidR="08FB4D35">
        <w:t xml:space="preserve"> asimilovaných v jejich </w:t>
      </w:r>
      <w:r w:rsidR="003A1CBC">
        <w:t>univerzální rovnosti (</w:t>
      </w:r>
      <w:r w:rsidR="003A1CBC" w:rsidRPr="003A1CBC">
        <w:rPr>
          <w:i/>
        </w:rPr>
        <w:t>coaequatio</w:t>
      </w:r>
      <w:r w:rsidR="00433872">
        <w:rPr>
          <w:i/>
        </w:rPr>
        <w:fldChar w:fldCharType="begin"/>
      </w:r>
      <w:r w:rsidR="00433872">
        <w:instrText xml:space="preserve"> XE "</w:instrText>
      </w:r>
      <w:r w:rsidR="00410A56">
        <w:instrText>pravda:</w:instrText>
      </w:r>
      <w:r w:rsidR="00433872" w:rsidRPr="00E11E1F">
        <w:rPr>
          <w:i/>
        </w:rPr>
        <w:instrText>coaequatio</w:instrText>
      </w:r>
      <w:r w:rsidR="00433872">
        <w:instrText xml:space="preserve">" </w:instrText>
      </w:r>
      <w:r w:rsidR="00433872">
        <w:rPr>
          <w:i/>
        </w:rPr>
        <w:fldChar w:fldCharType="end"/>
      </w:r>
      <w:r w:rsidR="003A1CBC">
        <w:t>)</w:t>
      </w:r>
      <w:r w:rsidR="08FB4D35">
        <w:t>.</w:t>
      </w:r>
      <w:r w:rsidR="00032180">
        <w:t xml:space="preserve"> </w:t>
      </w:r>
      <w:r w:rsidR="00922956" w:rsidRPr="00273106">
        <w:t>Rufus a Kilwardby</w:t>
      </w:r>
      <w:r w:rsidR="00D82CE2">
        <w:t xml:space="preserve"> zakložili</w:t>
      </w:r>
      <w:r w:rsidR="00922956">
        <w:t xml:space="preserve"> u</w:t>
      </w:r>
      <w:r w:rsidR="00FF6E42">
        <w:t xml:space="preserve">nivoční </w:t>
      </w:r>
      <w:r w:rsidR="003A1CBC">
        <w:t>n</w:t>
      </w:r>
      <w:r w:rsidR="006227F2" w:rsidRPr="00273106">
        <w:t xml:space="preserve">utnost </w:t>
      </w:r>
      <w:r w:rsidR="00922956">
        <w:t xml:space="preserve">v modu </w:t>
      </w:r>
      <w:r w:rsidR="00FF6E42" w:rsidRPr="00FF6E42">
        <w:rPr>
          <w:i/>
        </w:rPr>
        <w:t>per se</w:t>
      </w:r>
      <w:r w:rsidR="00FF6E42">
        <w:rPr>
          <w:i/>
        </w:rPr>
        <w:fldChar w:fldCharType="begin"/>
      </w:r>
      <w:r w:rsidR="00FF6E42">
        <w:instrText xml:space="preserve"> XE "</w:instrText>
      </w:r>
      <w:r w:rsidR="00FF6E42" w:rsidRPr="00B81299">
        <w:instrText>nutnost:</w:instrText>
      </w:r>
      <w:r w:rsidR="00FF6E42" w:rsidRPr="00B81299">
        <w:rPr>
          <w:i/>
        </w:rPr>
        <w:instrText>per se</w:instrText>
      </w:r>
      <w:r w:rsidR="00FF6E42">
        <w:instrText xml:space="preserve">" </w:instrText>
      </w:r>
      <w:r w:rsidR="00FF6E42">
        <w:rPr>
          <w:i/>
        </w:rPr>
        <w:fldChar w:fldCharType="end"/>
      </w:r>
      <w:r w:rsidR="00922956">
        <w:t xml:space="preserve">, která je </w:t>
      </w:r>
      <w:r w:rsidR="006227F2" w:rsidRPr="00273106">
        <w:t xml:space="preserve">dána </w:t>
      </w:r>
      <w:r w:rsidR="006227F2" w:rsidRPr="00273106">
        <w:rPr>
          <w:i/>
        </w:rPr>
        <w:t>absolute</w:t>
      </w:r>
      <w:r w:rsidR="006227F2" w:rsidRPr="00273106">
        <w:t xml:space="preserve">, tedy odděleně od sekundárního modu dokazování </w:t>
      </w:r>
      <w:r w:rsidR="00ED782D">
        <w:t xml:space="preserve">daného </w:t>
      </w:r>
      <w:r w:rsidR="006227F2" w:rsidRPr="00273106">
        <w:t>podle empirické reality</w:t>
      </w:r>
      <w:r w:rsidR="00587DA9" w:rsidRPr="00273106">
        <w:t>.</w:t>
      </w:r>
      <w:r w:rsidR="00C16D55" w:rsidRPr="00273106">
        <w:t xml:space="preserve"> </w:t>
      </w:r>
      <w:r w:rsidR="00D94E85">
        <w:t>Objektivní m</w:t>
      </w:r>
      <w:r w:rsidR="08814FD3">
        <w:t xml:space="preserve">odernisté působili </w:t>
      </w:r>
      <w:r w:rsidR="00325E90">
        <w:t xml:space="preserve">na akademické půdě </w:t>
      </w:r>
      <w:r w:rsidR="08814FD3">
        <w:t xml:space="preserve">do roku 1250 pouze v Oxfordu. Zde </w:t>
      </w:r>
      <w:r w:rsidR="00C16D55" w:rsidRPr="00273106">
        <w:t>byly dány základní pře</w:t>
      </w:r>
      <w:r w:rsidR="089E332E">
        <w:t>d</w:t>
      </w:r>
      <w:r w:rsidR="00C16D55" w:rsidRPr="00273106">
        <w:t xml:space="preserve">poklady pro vznik </w:t>
      </w:r>
      <w:r w:rsidR="003A1CBC" w:rsidRPr="003A1CBC">
        <w:rPr>
          <w:i/>
        </w:rPr>
        <w:t>mathesis universalis</w:t>
      </w:r>
      <w:r w:rsidR="00924399">
        <w:rPr>
          <w:i/>
        </w:rPr>
        <w:fldChar w:fldCharType="begin"/>
      </w:r>
      <w:r w:rsidR="00924399">
        <w:instrText xml:space="preserve"> XE "</w:instrText>
      </w:r>
      <w:r w:rsidR="00924399" w:rsidRPr="00212B09">
        <w:rPr>
          <w:i/>
        </w:rPr>
        <w:instrText>mathesis universalis</w:instrText>
      </w:r>
      <w:r w:rsidR="00924399">
        <w:instrText xml:space="preserve">" </w:instrText>
      </w:r>
      <w:r w:rsidR="00924399">
        <w:rPr>
          <w:i/>
        </w:rPr>
        <w:fldChar w:fldCharType="end"/>
      </w:r>
      <w:r w:rsidR="003A1CBC">
        <w:t xml:space="preserve"> v modu </w:t>
      </w:r>
      <w:r w:rsidR="08F27316">
        <w:t xml:space="preserve">moderního </w:t>
      </w:r>
      <w:r w:rsidR="003A1CBC">
        <w:t xml:space="preserve">metafyzického </w:t>
      </w:r>
      <w:r w:rsidR="003A1CBC" w:rsidRPr="003A1CBC">
        <w:rPr>
          <w:i/>
        </w:rPr>
        <w:t>Irrtum</w:t>
      </w:r>
      <w:r w:rsidR="08F27316">
        <w:t>, které charakterizuje současnou západní vědu.</w:t>
      </w:r>
    </w:p>
    <w:p w14:paraId="0797AF31" w14:textId="463C2F77" w:rsidR="086F7847" w:rsidRPr="00273106" w:rsidRDefault="00C51568" w:rsidP="086C1F19">
      <w:pPr>
        <w:pStyle w:val="Nadpis3"/>
      </w:pPr>
      <w:bookmarkStart w:id="139" w:name="_Toc487234324"/>
      <w:bookmarkStart w:id="140" w:name="_Toc12558331"/>
      <w:r>
        <w:rPr>
          <w:lang w:val="cs-CZ"/>
        </w:rPr>
        <w:br w:type="page"/>
      </w:r>
      <w:bookmarkStart w:id="141" w:name="_Toc160449344"/>
      <w:r w:rsidR="08D20D28">
        <w:rPr>
          <w:lang w:val="cs-CZ"/>
        </w:rPr>
        <w:t>3</w:t>
      </w:r>
      <w:r w:rsidR="086F7847" w:rsidRPr="00273106">
        <w:t xml:space="preserve">.4.2 </w:t>
      </w:r>
      <w:r w:rsidR="004123AE">
        <w:rPr>
          <w:lang w:val="cs-CZ"/>
        </w:rPr>
        <w:t xml:space="preserve">Teorie </w:t>
      </w:r>
      <w:r w:rsidR="005337AF" w:rsidRPr="00273106">
        <w:t>moderní vědy</w:t>
      </w:r>
      <w:bookmarkEnd w:id="139"/>
      <w:bookmarkEnd w:id="140"/>
      <w:bookmarkEnd w:id="141"/>
      <w:r w:rsidR="086E0555">
        <w:t xml:space="preserve"> </w:t>
      </w:r>
    </w:p>
    <w:p w14:paraId="27850488" w14:textId="093CAA21" w:rsidR="00DA159C" w:rsidRDefault="00597C5F" w:rsidP="00F87FDF">
      <w:r w:rsidRPr="00273106">
        <w:t xml:space="preserve">Hermeneutika považuje redukci reálné existence na evidentní náhled univerzální esence </w:t>
      </w:r>
      <w:r>
        <w:t xml:space="preserve">v hypostázovaném intelektu </w:t>
      </w:r>
      <w:r w:rsidRPr="00273106">
        <w:t>za základní znak moderny a pos</w:t>
      </w:r>
      <w:r w:rsidR="00592BF5">
        <w:t>tmoderny</w:t>
      </w:r>
      <w:r w:rsidRPr="00273106">
        <w:t xml:space="preserve">. </w:t>
      </w:r>
      <w:r>
        <w:t xml:space="preserve">Vztah k hyparchické realitě se nahradil druhou trojicí principů daných formálně. </w:t>
      </w:r>
      <w:r w:rsidR="08DE2024" w:rsidRPr="00273106">
        <w:t>Kilwardby vyvedl moderní vědu z</w:t>
      </w:r>
      <w:r w:rsidR="009701D1">
        <w:t xml:space="preserve"> metafyzicko-teologického limbu</w:t>
      </w:r>
      <w:r w:rsidR="08DE2024" w:rsidRPr="00273106">
        <w:t xml:space="preserve">, kde trpělivě čekala na dějinnou manifestaci (kap. </w:t>
      </w:r>
      <w:r w:rsidR="08816E01">
        <w:t>1</w:t>
      </w:r>
      <w:r w:rsidR="08DE2024" w:rsidRPr="00273106">
        <w:t xml:space="preserve">.6). Bonaventura dá nové </w:t>
      </w:r>
      <w:r w:rsidR="08DE2024">
        <w:t xml:space="preserve">objektivní </w:t>
      </w:r>
      <w:r w:rsidR="08DE2024" w:rsidRPr="00273106">
        <w:t xml:space="preserve">vědě čestné místo v </w:t>
      </w:r>
      <w:r w:rsidR="08DE2024">
        <w:t>biblické ontote</w:t>
      </w:r>
      <w:r w:rsidR="08DE2024" w:rsidRPr="00273106">
        <w:t>ologii</w:t>
      </w:r>
      <w:r w:rsidR="00F87FDF">
        <w:t xml:space="preserve">. </w:t>
      </w:r>
      <w:r w:rsidR="00F87FDF" w:rsidRPr="00F87FDF">
        <w:t xml:space="preserve">Kilwardby </w:t>
      </w:r>
      <w:r w:rsidR="00F87FDF">
        <w:t xml:space="preserve">vysadil kritické myšlení a stal se dalším </w:t>
      </w:r>
      <w:r w:rsidR="009701D1">
        <w:t>latinským sofistou v O</w:t>
      </w:r>
      <w:r w:rsidR="00F87FDF">
        <w:t>xford</w:t>
      </w:r>
      <w:r w:rsidR="009701D1">
        <w:t>u,</w:t>
      </w:r>
      <w:r w:rsidR="00F87FDF">
        <w:t xml:space="preserve"> což neušlo jeho dominikánským kolegům. </w:t>
      </w:r>
      <w:r w:rsidR="08DE2024">
        <w:t xml:space="preserve">Albert a Akvinský zásadně bránili metafyzickou abstrakci proti modernistům </w:t>
      </w:r>
      <w:r w:rsidR="08006DD1">
        <w:t>jako byl Kilwardby a Pecham</w:t>
      </w:r>
      <w:r w:rsidR="08DE2024">
        <w:t>, protože by tím padla jednota první vědy na úrovni reálných prvních substancí. Nevyhnutelným důsledkem tohoto postoje byla smrt moderního boha</w:t>
      </w:r>
      <w:r w:rsidR="08DE2024">
        <w:fldChar w:fldCharType="begin"/>
      </w:r>
      <w:r w:rsidR="08DE2024">
        <w:instrText xml:space="preserve"> XE "</w:instrText>
      </w:r>
      <w:r w:rsidR="08DE2024" w:rsidRPr="08A4065F">
        <w:instrText>smrt boha</w:instrText>
      </w:r>
      <w:r w:rsidR="08DE2024">
        <w:instrText xml:space="preserve">" </w:instrText>
      </w:r>
      <w:r w:rsidR="08DE2024">
        <w:fldChar w:fldCharType="end"/>
      </w:r>
      <w:r w:rsidR="08DE2024">
        <w:t xml:space="preserve"> a nástup humanismu</w:t>
      </w:r>
      <w:r w:rsidR="00441954">
        <w:t xml:space="preserve">, který neměl </w:t>
      </w:r>
      <w:r w:rsidR="0022083C">
        <w:t xml:space="preserve">metafyzický </w:t>
      </w:r>
      <w:r w:rsidR="00441954">
        <w:t xml:space="preserve">rozdíl mezi živou osobou a mrtvolou. Tato ekvivalence zásadně vadila </w:t>
      </w:r>
      <w:r w:rsidR="08DE2024">
        <w:t>křesťanským myslitelům ze školy prvního aver</w:t>
      </w:r>
      <w:r w:rsidR="00DA159C">
        <w:t>roismu hned při vzniku moderny.</w:t>
      </w:r>
    </w:p>
    <w:p w14:paraId="5A4D4243" w14:textId="4EB798E9" w:rsidR="007A07C5" w:rsidRDefault="08DE2024" w:rsidP="00DA159C">
      <w:pPr>
        <w:ind w:firstLine="397"/>
      </w:pPr>
      <w:r>
        <w:t>Rozhodující boj uvnitř řádu Kazatelů probíhal na Pařížské univerzitě</w:t>
      </w:r>
      <w:r w:rsidR="00B355B6">
        <w:t xml:space="preserve">. Jakmile se </w:t>
      </w:r>
      <w:r>
        <w:t>Albert</w:t>
      </w:r>
      <w:r w:rsidR="00B355B6">
        <w:t xml:space="preserve"> stal </w:t>
      </w:r>
      <w:r w:rsidR="00B355B6" w:rsidRPr="008346A2">
        <w:rPr>
          <w:i/>
        </w:rPr>
        <w:t>magistr regens</w:t>
      </w:r>
      <w:r w:rsidR="00B355B6">
        <w:t xml:space="preserve"> na </w:t>
      </w:r>
      <w:r w:rsidR="003D2975">
        <w:t>Pařížské u</w:t>
      </w:r>
      <w:r w:rsidR="00B355B6">
        <w:t>niver</w:t>
      </w:r>
      <w:r w:rsidR="003D2975">
        <w:t>z</w:t>
      </w:r>
      <w:r w:rsidR="00B355B6">
        <w:t xml:space="preserve">itě, Kilwardby musel </w:t>
      </w:r>
      <w:r>
        <w:t xml:space="preserve">odejít </w:t>
      </w:r>
      <w:r w:rsidR="008B25CA">
        <w:t xml:space="preserve">zpět </w:t>
      </w:r>
      <w:r>
        <w:t>do Oxfordu</w:t>
      </w:r>
      <w:r w:rsidR="00B355B6">
        <w:t xml:space="preserve"> </w:t>
      </w:r>
      <w:r>
        <w:t xml:space="preserve">(1245). Za druhého pobytu Akvinského v Paříži se vrátil do bašty analytického modernismu </w:t>
      </w:r>
      <w:r w:rsidR="00156E32">
        <w:t>Pecham jako Kilwardby</w:t>
      </w:r>
      <w:r w:rsidR="00156E32">
        <w:rPr>
          <w:rFonts w:cs="Calibri"/>
        </w:rPr>
        <w:t xml:space="preserve">ho nástupce </w:t>
      </w:r>
      <w:r>
        <w:t xml:space="preserve">(1271). </w:t>
      </w:r>
      <w:r w:rsidR="007943F9" w:rsidRPr="007943F9">
        <w:t>Převedení objektivity do ontoteologické struktury metafyziky nahradilo klasickou metafyziku vědeckou logikou.</w:t>
      </w:r>
      <w:r w:rsidR="007943F9">
        <w:t xml:space="preserve"> Rufusova objektivní sofistika </w:t>
      </w:r>
      <w:r>
        <w:t>a K</w:t>
      </w:r>
      <w:r w:rsidR="007943F9">
        <w:t xml:space="preserve">ilwardbyho objektivní metafyzika se staly </w:t>
      </w:r>
      <w:r w:rsidR="00E134F2">
        <w:t>hybnou silou</w:t>
      </w:r>
      <w:r w:rsidRPr="00273106">
        <w:t xml:space="preserve"> </w:t>
      </w:r>
      <w:r>
        <w:t xml:space="preserve">latinského </w:t>
      </w:r>
      <w:r w:rsidRPr="00273106">
        <w:t>Západu.</w:t>
      </w:r>
      <w:r>
        <w:t xml:space="preserve"> </w:t>
      </w:r>
      <w:r w:rsidR="006D66E5">
        <w:t xml:space="preserve">Moderní mysl přímo nahlíží esence </w:t>
      </w:r>
      <w:r w:rsidR="006D66E5">
        <w:rPr>
          <w:i/>
        </w:rPr>
        <w:fldChar w:fldCharType="begin"/>
      </w:r>
      <w:r w:rsidR="006D66E5">
        <w:instrText xml:space="preserve"> XE "</w:instrText>
      </w:r>
      <w:r w:rsidR="006D66E5" w:rsidRPr="0015798D">
        <w:rPr>
          <w:i/>
        </w:rPr>
        <w:instrText>Oxfordian Fallacy:</w:instrText>
      </w:r>
      <w:r w:rsidR="006D66E5">
        <w:instrText xml:space="preserve">esence" </w:instrText>
      </w:r>
      <w:r w:rsidR="006D66E5">
        <w:rPr>
          <w:i/>
        </w:rPr>
        <w:fldChar w:fldCharType="end"/>
      </w:r>
      <w:r w:rsidR="006D66E5">
        <w:t xml:space="preserve">jako </w:t>
      </w:r>
      <w:r w:rsidR="006D66E5" w:rsidRPr="0810744C">
        <w:rPr>
          <w:i/>
        </w:rPr>
        <w:t>medium</w:t>
      </w:r>
      <w:r w:rsidR="006D66E5" w:rsidRPr="00273106">
        <w:t xml:space="preserve"> demonstrativního soudu</w:t>
      </w:r>
      <w:r w:rsidR="006D66E5">
        <w:t>. Hypostáz</w:t>
      </w:r>
      <w:r w:rsidR="006D66E5" w:rsidRPr="006D66E5">
        <w:t xml:space="preserve">ovaná kauzalita logických esencí </w:t>
      </w:r>
      <w:r w:rsidR="006D66E5">
        <w:t xml:space="preserve">zakládá </w:t>
      </w:r>
      <w:r w:rsidR="006D66E5" w:rsidRPr="006D66E5">
        <w:t xml:space="preserve">fundament deduktivního důkazu. Rufus dal matematiku na </w:t>
      </w:r>
      <w:r w:rsidR="006D66E5">
        <w:t>úroveň jednajících prvních substancí</w:t>
      </w:r>
      <w:r w:rsidR="006D66E5" w:rsidRPr="006D66E5">
        <w:t>, které vytvářejí skutečnou kauzalitu</w:t>
      </w:r>
      <w:r w:rsidR="006D66E5">
        <w:t xml:space="preserve"> ve světě</w:t>
      </w:r>
      <w:r w:rsidR="006D66E5" w:rsidRPr="006D66E5">
        <w:t>.</w:t>
      </w:r>
      <w:r w:rsidR="006D66E5">
        <w:t xml:space="preserve"> </w:t>
      </w:r>
      <w:r w:rsidR="0810744C">
        <w:t xml:space="preserve">Metafyzický omyl typu </w:t>
      </w:r>
      <w:r w:rsidR="0810744C" w:rsidRPr="00273106">
        <w:rPr>
          <w:i/>
        </w:rPr>
        <w:t>petitio principii</w:t>
      </w:r>
      <w:r w:rsidR="0810744C">
        <w:t xml:space="preserve"> spočívá v tom, že oxfordští analytikové neviděli</w:t>
      </w:r>
      <w:r w:rsidR="0810744C" w:rsidRPr="00273106">
        <w:t xml:space="preserve"> žádný rozdíl mezi vyvozováním závěrů v rámci logické dedukce a mezi predikací kauzálního působení prvních substancí</w:t>
      </w:r>
      <w:r w:rsidR="0810744C">
        <w:t>. Z</w:t>
      </w:r>
      <w:r w:rsidR="0810744C" w:rsidRPr="00273106">
        <w:t>áměna mezi kategoriální a logickou nutností znejasn</w:t>
      </w:r>
      <w:r w:rsidR="0810744C">
        <w:t xml:space="preserve">ila </w:t>
      </w:r>
      <w:r w:rsidR="0810744C" w:rsidRPr="00273106">
        <w:t xml:space="preserve">střední člen </w:t>
      </w:r>
      <w:r w:rsidR="00C857E1">
        <w:t>(</w:t>
      </w:r>
      <w:r w:rsidR="00C857E1" w:rsidRPr="00C857E1">
        <w:rPr>
          <w:i/>
        </w:rPr>
        <w:t>medium</w:t>
      </w:r>
      <w:r w:rsidR="00C857E1">
        <w:t xml:space="preserve">) </w:t>
      </w:r>
      <w:r w:rsidR="0810744C" w:rsidRPr="00273106">
        <w:t>vědeckého důkazu</w:t>
      </w:r>
      <w:r w:rsidR="00A938AE">
        <w:t xml:space="preserve">. Univocita daná skrze impozice </w:t>
      </w:r>
      <w:r w:rsidR="0810744C">
        <w:t xml:space="preserve">změnila na analogickou podobnost všeho se vším danou </w:t>
      </w:r>
      <w:r w:rsidR="00A938AE">
        <w:t>skrze logickou supozici. Pak je zdrojem poznání pouze osvícená mysl iluminátů, kteří asimilují, porovnávají, třídí a ukládají</w:t>
      </w:r>
      <w:r w:rsidR="08FC29CF">
        <w:t xml:space="preserve"> poznaná jsoucna třetího druhu</w:t>
      </w:r>
      <w:r w:rsidR="0810744C" w:rsidRPr="00273106">
        <w:t xml:space="preserve">. K tomu je třeba připočíst </w:t>
      </w:r>
      <w:r w:rsidR="0810744C">
        <w:t>neoplatonsk</w:t>
      </w:r>
      <w:r w:rsidR="0810744C" w:rsidRPr="00273106">
        <w:t xml:space="preserve">ý výklad </w:t>
      </w:r>
      <w:r w:rsidR="0810744C" w:rsidRPr="004F3F75">
        <w:rPr>
          <w:i/>
        </w:rPr>
        <w:t>Kategorií</w:t>
      </w:r>
      <w:r w:rsidR="0810744C" w:rsidRPr="00273106">
        <w:t xml:space="preserve"> podle </w:t>
      </w:r>
      <w:r w:rsidR="0810744C" w:rsidRPr="00273106">
        <w:rPr>
          <w:i/>
        </w:rPr>
        <w:t>Nominales</w:t>
      </w:r>
      <w:r w:rsidR="0810744C" w:rsidRPr="00273106">
        <w:t xml:space="preserve"> působících na Oxfordu</w:t>
      </w:r>
      <w:r w:rsidR="0810744C">
        <w:t xml:space="preserve"> (John Pagus</w:t>
      </w:r>
      <w:r w:rsidR="0810744C">
        <w:fldChar w:fldCharType="begin"/>
      </w:r>
      <w:r w:rsidR="0810744C">
        <w:instrText xml:space="preserve"> XE "</w:instrText>
      </w:r>
      <w:r w:rsidR="0810744C" w:rsidRPr="00596F1A">
        <w:instrText>John Pagus</w:instrText>
      </w:r>
      <w:r w:rsidR="0810744C">
        <w:instrText xml:space="preserve">" </w:instrText>
      </w:r>
      <w:r w:rsidR="0810744C">
        <w:fldChar w:fldCharType="end"/>
      </w:r>
      <w:r w:rsidR="0810744C">
        <w:t>)</w:t>
      </w:r>
      <w:r w:rsidR="0810744C" w:rsidRPr="00273106">
        <w:t xml:space="preserve"> </w:t>
      </w:r>
      <w:r w:rsidR="0810744C">
        <w:t>a v Paříži (Nicolas z Paříže</w:t>
      </w:r>
      <w:r w:rsidR="0810744C">
        <w:fldChar w:fldCharType="begin"/>
      </w:r>
      <w:r w:rsidR="0810744C">
        <w:instrText xml:space="preserve"> XE "</w:instrText>
      </w:r>
      <w:r w:rsidR="0810744C" w:rsidRPr="00CB44E0">
        <w:instrText>Nicolas z Paříže</w:instrText>
      </w:r>
      <w:r w:rsidR="0810744C">
        <w:instrText xml:space="preserve">" </w:instrText>
      </w:r>
      <w:r w:rsidR="0810744C">
        <w:fldChar w:fldCharType="end"/>
      </w:r>
      <w:r w:rsidR="0810744C">
        <w:t xml:space="preserve">) </w:t>
      </w:r>
      <w:r w:rsidR="0810744C" w:rsidRPr="00273106">
        <w:t xml:space="preserve">v rámci </w:t>
      </w:r>
      <w:r w:rsidR="0810744C">
        <w:t>škol</w:t>
      </w:r>
      <w:r w:rsidR="0810744C" w:rsidRPr="00273106">
        <w:t xml:space="preserve"> </w:t>
      </w:r>
      <w:r w:rsidR="0810744C">
        <w:rPr>
          <w:i/>
        </w:rPr>
        <w:t>l</w:t>
      </w:r>
      <w:r w:rsidR="0810744C" w:rsidRPr="00273106">
        <w:rPr>
          <w:i/>
        </w:rPr>
        <w:t>ogica Modernorum</w:t>
      </w:r>
      <w:r w:rsidR="0810744C" w:rsidRPr="00273106">
        <w:t xml:space="preserve">. Modernisté vybavení analytickou filosofií a transcendentální kategoriální predikací se dali širokou a pohodlnou cestou moderní </w:t>
      </w:r>
      <w:r w:rsidR="0846690F">
        <w:t xml:space="preserve">metafyziky </w:t>
      </w:r>
      <w:r w:rsidR="0810744C">
        <w:t xml:space="preserve">postavené </w:t>
      </w:r>
      <w:r w:rsidR="0810744C" w:rsidRPr="00273106">
        <w:t>na</w:t>
      </w:r>
      <w:r w:rsidR="0810744C">
        <w:t xml:space="preserve"> avicennovské univocitě jsoucna. K</w:t>
      </w:r>
      <w:r w:rsidR="0810744C" w:rsidRPr="00273106">
        <w:t>ategoriální výpovědi na úrovni druhé substanci</w:t>
      </w:r>
      <w:r w:rsidR="0810744C">
        <w:t xml:space="preserve"> dostaly nový význam</w:t>
      </w:r>
      <w:r w:rsidR="00523482">
        <w:t>. V</w:t>
      </w:r>
      <w:r w:rsidR="0810744C">
        <w:t>ýpovědi o hypost</w:t>
      </w:r>
      <w:r w:rsidR="085B060B">
        <w:t>ázovaných jsoucnech a vlastnoste</w:t>
      </w:r>
      <w:r w:rsidR="0810744C">
        <w:t>ch</w:t>
      </w:r>
      <w:r w:rsidR="00523482">
        <w:t xml:space="preserve"> se staly součástí hyparchické reality</w:t>
      </w:r>
      <w:r w:rsidR="0810744C">
        <w:t xml:space="preserve">. Klasický aristotelismus je predikoval jako akcidenty (habitus, </w:t>
      </w:r>
      <w:r w:rsidR="006B0AD0">
        <w:t xml:space="preserve">kvantita, </w:t>
      </w:r>
      <w:r w:rsidR="0810744C">
        <w:t>rozsažnost) nebo s nimi pracoval v rodově odlišné kategorii log</w:t>
      </w:r>
      <w:r w:rsidR="006B0AD0">
        <w:t xml:space="preserve">ických a matematických operací zakložených na logické </w:t>
      </w:r>
      <w:r w:rsidR="0810744C">
        <w:t>nutnost</w:t>
      </w:r>
      <w:r w:rsidR="006B0AD0">
        <w:t>i a abstrakci</w:t>
      </w:r>
      <w:r w:rsidR="0810744C">
        <w:t xml:space="preserve">. </w:t>
      </w:r>
      <w:r w:rsidR="08A208C1">
        <w:t xml:space="preserve">Rozdíly mezi oběma školami </w:t>
      </w:r>
      <w:r w:rsidR="08D81192">
        <w:t>ukáže spor o dvojí pravdu substance</w:t>
      </w:r>
      <w:r w:rsidR="08D81192">
        <w:fldChar w:fldCharType="begin"/>
      </w:r>
      <w:r w:rsidR="08D81192">
        <w:instrText xml:space="preserve"> XE "</w:instrText>
      </w:r>
      <w:r w:rsidR="08D81192" w:rsidRPr="00F50036">
        <w:instrText>teorie dvojí pravdy</w:instrText>
      </w:r>
      <w:r w:rsidR="08D81192">
        <w:instrText xml:space="preserve">" </w:instrText>
      </w:r>
      <w:r w:rsidR="08D81192">
        <w:fldChar w:fldCharType="end"/>
      </w:r>
      <w:r w:rsidR="08D81192">
        <w:t xml:space="preserve"> mezi Baconem a Kilwardbym na Oxfordu </w:t>
      </w:r>
      <w:r w:rsidR="08C452A7">
        <w:t>po 1250 (kap. 3</w:t>
      </w:r>
      <w:r w:rsidR="08D81192">
        <w:t xml:space="preserve">.4.3). </w:t>
      </w:r>
      <w:r w:rsidR="00645BAF">
        <w:t>Rufus a Kilwardby jako tv</w:t>
      </w:r>
      <w:r w:rsidR="0030786C" w:rsidRPr="00273106">
        <w:t xml:space="preserve">ůrci </w:t>
      </w:r>
      <w:r w:rsidR="00645BAF">
        <w:t xml:space="preserve">plnokrevné </w:t>
      </w:r>
      <w:r w:rsidR="00C66FF4">
        <w:t xml:space="preserve">analytické </w:t>
      </w:r>
      <w:r w:rsidR="00645BAF">
        <w:t xml:space="preserve">verze </w:t>
      </w:r>
      <w:r w:rsidR="0030786C" w:rsidRPr="00273106">
        <w:rPr>
          <w:i/>
        </w:rPr>
        <w:t>Oxfordian Fallacy</w:t>
      </w:r>
      <w:r w:rsidR="0030786C" w:rsidRPr="00273106">
        <w:t xml:space="preserve"> </w:t>
      </w:r>
      <w:r w:rsidR="00D021FD">
        <w:t xml:space="preserve">začali rozvíjet epochální </w:t>
      </w:r>
      <w:r w:rsidR="0030786C" w:rsidRPr="00273106">
        <w:t xml:space="preserve">možnosti </w:t>
      </w:r>
      <w:r w:rsidR="00391A0C">
        <w:t>redukcionistického</w:t>
      </w:r>
      <w:r w:rsidR="0030786C" w:rsidRPr="00273106">
        <w:t xml:space="preserve"> výklad</w:t>
      </w:r>
      <w:r w:rsidR="00391A0C">
        <w:t>u</w:t>
      </w:r>
      <w:r w:rsidR="0030786C" w:rsidRPr="00273106">
        <w:t xml:space="preserve"> </w:t>
      </w:r>
      <w:r w:rsidR="0030786C" w:rsidRPr="00C265E3">
        <w:rPr>
          <w:i/>
        </w:rPr>
        <w:t>Druhých analytik</w:t>
      </w:r>
      <w:r w:rsidR="0030786C" w:rsidRPr="00273106">
        <w:t xml:space="preserve">. </w:t>
      </w:r>
      <w:r w:rsidR="08A208C1">
        <w:t>O</w:t>
      </w:r>
      <w:r w:rsidR="00C265E3">
        <w:t xml:space="preserve">ba učení Latiníci </w:t>
      </w:r>
      <w:r w:rsidR="08A208C1">
        <w:t xml:space="preserve">museli </w:t>
      </w:r>
      <w:r w:rsidR="00C265E3">
        <w:t xml:space="preserve">odejít z </w:t>
      </w:r>
      <w:r w:rsidR="00CC049C">
        <w:t>Paříže po roce 1245, kdy Kil</w:t>
      </w:r>
      <w:r w:rsidR="00C265E3">
        <w:t xml:space="preserve">wardby </w:t>
      </w:r>
      <w:r w:rsidR="007A07C5">
        <w:t xml:space="preserve">začíná jako magistr učit </w:t>
      </w:r>
      <w:r w:rsidR="00C265E3">
        <w:t>na Oxfordu</w:t>
      </w:r>
      <w:r w:rsidR="00873398">
        <w:t>.</w:t>
      </w:r>
      <w:r w:rsidR="00762B66">
        <w:t xml:space="preserve"> </w:t>
      </w:r>
      <w:r w:rsidR="00A076CC">
        <w:t>Š</w:t>
      </w:r>
      <w:r w:rsidR="00261791">
        <w:t xml:space="preserve">kola druhého averroismu v něm získala cenného příznivce, což dokázala jeho aktivní role v odsouzení prvního averroismu na Oxfordu v dubnu 1277. </w:t>
      </w:r>
      <w:r w:rsidR="002A24F7" w:rsidRPr="00273106">
        <w:t xml:space="preserve">Škola druhého averroismu na Oxfordu </w:t>
      </w:r>
      <w:r w:rsidR="08A208C1">
        <w:t xml:space="preserve">oficiálně </w:t>
      </w:r>
      <w:r w:rsidR="002A24F7" w:rsidRPr="00273106">
        <w:t xml:space="preserve">vznikla </w:t>
      </w:r>
      <w:r w:rsidR="002A24F7">
        <w:t xml:space="preserve">za Kilwardbyho působení od roku 1245. </w:t>
      </w:r>
      <w:r w:rsidR="0006224A">
        <w:t xml:space="preserve">Během jeho působení </w:t>
      </w:r>
      <w:r w:rsidR="00072347">
        <w:t xml:space="preserve">se vrací </w:t>
      </w:r>
      <w:r w:rsidR="00555881">
        <w:t xml:space="preserve">na Oxford </w:t>
      </w:r>
      <w:r w:rsidR="00072347">
        <w:t xml:space="preserve">i </w:t>
      </w:r>
      <w:r w:rsidR="00873398">
        <w:t xml:space="preserve">modernista </w:t>
      </w:r>
      <w:r w:rsidR="00072347">
        <w:t>Rufus, jehož první přednášky začínají v roce 1250</w:t>
      </w:r>
      <w:r w:rsidR="00C265E3">
        <w:t>.</w:t>
      </w:r>
      <w:r w:rsidR="007A07C5">
        <w:t xml:space="preserve"> Mezi léty 1245–50 je tedy oficiálně ustavena moder</w:t>
      </w:r>
      <w:r w:rsidR="00BD1543">
        <w:t>nistická škola na Oxfordské uni</w:t>
      </w:r>
      <w:r w:rsidR="007A07C5">
        <w:t>verzitě</w:t>
      </w:r>
      <w:r w:rsidR="00FA0AC4">
        <w:t xml:space="preserve">. </w:t>
      </w:r>
      <w:r w:rsidR="007A07C5">
        <w:t>Pařížstří magistři ji ve téže době považovali za naprostý debakl rozumu.</w:t>
      </w:r>
    </w:p>
    <w:p w14:paraId="6128AB8A" w14:textId="7168557E" w:rsidR="085F0339" w:rsidRPr="00F87FDF" w:rsidRDefault="002A24F7" w:rsidP="00B456E7">
      <w:pPr>
        <w:ind w:firstLine="397"/>
      </w:pPr>
      <w:r>
        <w:t>B</w:t>
      </w:r>
      <w:r w:rsidR="0030786C" w:rsidRPr="00273106">
        <w:t>ezprostředně nahlížená esence už</w:t>
      </w:r>
      <w:r w:rsidR="00C82E84">
        <w:t xml:space="preserve"> nepotřebuje dodatečné </w:t>
      </w:r>
      <w:r w:rsidR="0030786C" w:rsidRPr="00273106">
        <w:t>poznání skrze aristot</w:t>
      </w:r>
      <w:r w:rsidR="004721EC" w:rsidRPr="00273106">
        <w:t>elskou abstrakci od reálné věci</w:t>
      </w:r>
      <w:r w:rsidR="00476D75">
        <w:t xml:space="preserve"> a skrze predikaci kauzality dané reálnými prvními substancemi</w:t>
      </w:r>
      <w:r w:rsidR="00785E44" w:rsidRPr="00273106">
        <w:t xml:space="preserve">. </w:t>
      </w:r>
      <w:r w:rsidR="0030786C" w:rsidRPr="00273106">
        <w:t xml:space="preserve">Proto nebyly třeba ani ony tři Aristotelem výslovně zdůrazněné principy pro </w:t>
      </w:r>
      <w:r w:rsidR="00DB7A93">
        <w:t xml:space="preserve">deduktivní důkaz </w:t>
      </w:r>
      <w:r w:rsidR="00770CDE" w:rsidRPr="00273106">
        <w:t xml:space="preserve">ve </w:t>
      </w:r>
      <w:r w:rsidR="00770CDE" w:rsidRPr="00555881">
        <w:rPr>
          <w:i/>
        </w:rPr>
        <w:t>Druhých analytikách</w:t>
      </w:r>
      <w:r w:rsidR="00770CDE">
        <w:rPr>
          <w:i/>
        </w:rPr>
        <w:t xml:space="preserve">, </w:t>
      </w:r>
      <w:r w:rsidR="00770CDE">
        <w:t xml:space="preserve">který implikuje </w:t>
      </w:r>
      <w:r w:rsidR="0030786C" w:rsidRPr="00273106">
        <w:t>první</w:t>
      </w:r>
      <w:r w:rsidR="00DB7A93">
        <w:t xml:space="preserve"> substanc</w:t>
      </w:r>
      <w:r w:rsidR="00770CDE">
        <w:t>e</w:t>
      </w:r>
      <w:r w:rsidR="00A70FA4">
        <w:fldChar w:fldCharType="begin"/>
      </w:r>
      <w:r w:rsidR="00A70FA4">
        <w:instrText xml:space="preserve"> XE "</w:instrText>
      </w:r>
      <w:r w:rsidR="00A70FA4" w:rsidRPr="00DE2A32">
        <w:instrText>substance</w:instrText>
      </w:r>
      <w:r w:rsidR="00A42858">
        <w:instrText>:zatmění</w:instrText>
      </w:r>
      <w:r w:rsidR="00A70FA4">
        <w:instrText xml:space="preserve">" </w:instrText>
      </w:r>
      <w:r w:rsidR="00A70FA4">
        <w:fldChar w:fldCharType="end"/>
      </w:r>
      <w:r w:rsidR="004721EC" w:rsidRPr="00273106">
        <w:t xml:space="preserve"> </w:t>
      </w:r>
      <w:r w:rsidR="0030786C" w:rsidRPr="00273106">
        <w:t xml:space="preserve">. </w:t>
      </w:r>
      <w:r w:rsidR="00D13872" w:rsidRPr="00273106">
        <w:t xml:space="preserve">Realita je </w:t>
      </w:r>
      <w:r w:rsidR="00433718" w:rsidRPr="00273106">
        <w:t>poznaná mimo první substanci tím, že existence se univočně redu</w:t>
      </w:r>
      <w:r w:rsidR="005C779B">
        <w:t>ku</w:t>
      </w:r>
      <w:r w:rsidR="00433718" w:rsidRPr="00273106">
        <w:t xml:space="preserve">je na </w:t>
      </w:r>
      <w:r w:rsidR="00207B2D" w:rsidRPr="00273106">
        <w:t xml:space="preserve">univerzální </w:t>
      </w:r>
      <w:r w:rsidR="00433718" w:rsidRPr="00273106">
        <w:t xml:space="preserve">esenci. </w:t>
      </w:r>
      <w:r w:rsidR="0030786C" w:rsidRPr="00273106">
        <w:t>V tomto eidetickém náhledu moderny koinciduje bytí jsoucna s jeho primární a bezprostřední evidencí, což je pozdější premisa Descarta</w:t>
      </w:r>
      <w:r w:rsidR="006E6202">
        <w:fldChar w:fldCharType="begin"/>
      </w:r>
      <w:r w:rsidR="006E6202">
        <w:instrText xml:space="preserve"> XE "</w:instrText>
      </w:r>
      <w:r w:rsidR="006E6202" w:rsidRPr="004146C6">
        <w:rPr>
          <w:rStyle w:val="addmd"/>
        </w:rPr>
        <w:instrText>Descartes, R.</w:instrText>
      </w:r>
      <w:r w:rsidR="006E6202">
        <w:instrText xml:space="preserve">" </w:instrText>
      </w:r>
      <w:r w:rsidR="006E6202">
        <w:fldChar w:fldCharType="end"/>
      </w:r>
      <w:r w:rsidR="0030786C" w:rsidRPr="00273106">
        <w:t xml:space="preserve"> a Husserla</w:t>
      </w:r>
      <w:r w:rsidR="00E75B24">
        <w:fldChar w:fldCharType="begin"/>
      </w:r>
      <w:r w:rsidR="00E75B24">
        <w:instrText xml:space="preserve"> XE "</w:instrText>
      </w:r>
      <w:r w:rsidR="00E75B24" w:rsidRPr="000710C4">
        <w:instrText>Husserl, E.</w:instrText>
      </w:r>
      <w:r w:rsidR="00E75B24">
        <w:instrText xml:space="preserve">" </w:instrText>
      </w:r>
      <w:r w:rsidR="00E75B24">
        <w:fldChar w:fldCharType="end"/>
      </w:r>
      <w:r w:rsidR="0030786C" w:rsidRPr="00273106">
        <w:t xml:space="preserve"> nutná pro postulaci </w:t>
      </w:r>
      <w:r w:rsidR="0030786C" w:rsidRPr="00273106">
        <w:rPr>
          <w:i/>
        </w:rPr>
        <w:t>philosophia prima</w:t>
      </w:r>
      <w:r w:rsidR="0030786C" w:rsidRPr="00273106">
        <w:t xml:space="preserve"> v rámci evidence</w:t>
      </w:r>
      <w:r w:rsidR="00433872">
        <w:fldChar w:fldCharType="begin"/>
      </w:r>
      <w:r w:rsidR="00433872">
        <w:instrText xml:space="preserve"> XE "</w:instrText>
      </w:r>
      <w:r w:rsidR="00433872" w:rsidRPr="004D79A7">
        <w:instrText>evidence:</w:instrText>
      </w:r>
      <w:r w:rsidR="00CC6A13">
        <w:instrText>moderna</w:instrText>
      </w:r>
      <w:r w:rsidR="00433872">
        <w:instrText xml:space="preserve">" </w:instrText>
      </w:r>
      <w:r w:rsidR="00433872">
        <w:fldChar w:fldCharType="end"/>
      </w:r>
      <w:r w:rsidR="0030786C" w:rsidRPr="00273106">
        <w:t xml:space="preserve"> čistého </w:t>
      </w:r>
      <w:r w:rsidR="0030786C" w:rsidRPr="00273106">
        <w:rPr>
          <w:i/>
        </w:rPr>
        <w:t>cogito</w:t>
      </w:r>
      <w:r w:rsidR="0030786C" w:rsidRPr="00273106">
        <w:t xml:space="preserve">. </w:t>
      </w:r>
      <w:r w:rsidR="00435CD2" w:rsidRPr="00273106">
        <w:t xml:space="preserve">Postmoderna završila Grossetestův </w:t>
      </w:r>
      <w:r w:rsidR="000F53CD" w:rsidRPr="00273106">
        <w:t xml:space="preserve">původní </w:t>
      </w:r>
      <w:r w:rsidR="00435CD2" w:rsidRPr="00273106">
        <w:t xml:space="preserve">náhled na bytí jsoucna v pojmu </w:t>
      </w:r>
      <w:r w:rsidR="00991828" w:rsidRPr="00273106">
        <w:t xml:space="preserve">osvíceného intelektu </w:t>
      </w:r>
      <w:r w:rsidR="00435CD2" w:rsidRPr="00273106">
        <w:t>(</w:t>
      </w:r>
      <w:r w:rsidR="00435CD2" w:rsidRPr="00273106">
        <w:rPr>
          <w:i/>
        </w:rPr>
        <w:t>in</w:t>
      </w:r>
      <w:r w:rsidR="00DB617C">
        <w:rPr>
          <w:i/>
        </w:rPr>
        <w:t>tellectus purus potest in his de</w:t>
      </w:r>
      <w:r w:rsidR="00435CD2" w:rsidRPr="00273106">
        <w:rPr>
          <w:i/>
        </w:rPr>
        <w:t>figere intuitum</w:t>
      </w:r>
      <w:r w:rsidR="08C452A7">
        <w:t>, kap. 3</w:t>
      </w:r>
      <w:r w:rsidR="00435CD2" w:rsidRPr="00273106">
        <w:t xml:space="preserve">.1.1). </w:t>
      </w:r>
      <w:r w:rsidR="00207B2D" w:rsidRPr="00273106">
        <w:t xml:space="preserve">Náhled na čistou esenci jako hypostázi potvrdil </w:t>
      </w:r>
      <w:r w:rsidR="00CB4A7F" w:rsidRPr="00273106">
        <w:t xml:space="preserve">asimilační </w:t>
      </w:r>
      <w:r w:rsidR="00207B2D" w:rsidRPr="00273106">
        <w:t>pojetí pravdy dané Rufusem</w:t>
      </w:r>
      <w:r w:rsidR="08454B55">
        <w:t xml:space="preserve"> dané v objektivním a subjektivním genitivu</w:t>
      </w:r>
      <w:r w:rsidR="00F56E98" w:rsidRPr="00273106">
        <w:t>. P</w:t>
      </w:r>
      <w:r w:rsidR="00D36191">
        <w:t>ravda obsahuje esenci věcí, které reflektuje náhled</w:t>
      </w:r>
      <w:r w:rsidR="00207B2D" w:rsidRPr="00273106">
        <w:t xml:space="preserve"> </w:t>
      </w:r>
      <w:r w:rsidR="00D36191">
        <w:t xml:space="preserve">hypostatického </w:t>
      </w:r>
      <w:r w:rsidR="00207B2D" w:rsidRPr="00273106">
        <w:t>intelektu (</w:t>
      </w:r>
      <w:r w:rsidR="00207B2D" w:rsidRPr="00273106">
        <w:rPr>
          <w:rStyle w:val="linemarker-marked-line"/>
          <w:i/>
        </w:rPr>
        <w:t>ver</w:t>
      </w:r>
      <w:r w:rsidR="00207B2D" w:rsidRPr="00273106">
        <w:rPr>
          <w:i/>
        </w:rPr>
        <w:t xml:space="preserve">itas est rerum et </w:t>
      </w:r>
      <w:r w:rsidR="00207B2D" w:rsidRPr="00273106">
        <w:rPr>
          <w:rStyle w:val="linemarker-marked-line"/>
          <w:i/>
        </w:rPr>
        <w:t>intellectuum</w:t>
      </w:r>
      <w:r w:rsidR="08C452A7">
        <w:rPr>
          <w:rStyle w:val="linemarker-marked-line"/>
        </w:rPr>
        <w:t>, kap. 3</w:t>
      </w:r>
      <w:r w:rsidR="00CB4A7F" w:rsidRPr="00273106">
        <w:rPr>
          <w:rStyle w:val="linemarker-marked-line"/>
        </w:rPr>
        <w:t>.3.2</w:t>
      </w:r>
      <w:r w:rsidR="00207B2D" w:rsidRPr="00273106">
        <w:t xml:space="preserve">). </w:t>
      </w:r>
      <w:r w:rsidR="006A3D02" w:rsidRPr="006A3D02">
        <w:t xml:space="preserve">Plná analytická </w:t>
      </w:r>
      <w:r w:rsidR="006A3D02">
        <w:t xml:space="preserve">odkrytost </w:t>
      </w:r>
      <w:r w:rsidR="006A3D02" w:rsidRPr="006A3D02">
        <w:t>(</w:t>
      </w:r>
      <w:r w:rsidR="006A3D02" w:rsidRPr="006A3D02">
        <w:rPr>
          <w:i/>
        </w:rPr>
        <w:t>alētheia</w:t>
      </w:r>
      <w:r w:rsidR="00E25E24">
        <w:t>) objektivního bytí se odehrává</w:t>
      </w:r>
      <w:r w:rsidR="006A3D02" w:rsidRPr="006A3D02">
        <w:t xml:space="preserve"> v osvíceném vědomí</w:t>
      </w:r>
      <w:r w:rsidR="006A3D02">
        <w:fldChar w:fldCharType="begin"/>
      </w:r>
      <w:r w:rsidR="006A3D02">
        <w:instrText xml:space="preserve"> XE "</w:instrText>
      </w:r>
      <w:r w:rsidR="006A3D02" w:rsidRPr="00975992">
        <w:instrText>vidění:eidetické</w:instrText>
      </w:r>
      <w:r w:rsidR="006A3D02">
        <w:instrText xml:space="preserve">" </w:instrText>
      </w:r>
      <w:r w:rsidR="006A3D02">
        <w:fldChar w:fldCharType="end"/>
      </w:r>
      <w:r w:rsidR="006A3D02" w:rsidRPr="006A3D02">
        <w:t xml:space="preserve"> akademických Iluminátů.</w:t>
      </w:r>
      <w:r w:rsidR="006A3D02">
        <w:t xml:space="preserve"> </w:t>
      </w:r>
      <w:r w:rsidR="0076615C">
        <w:t>M</w:t>
      </w:r>
      <w:r w:rsidR="0030786C" w:rsidRPr="00273106">
        <w:t xml:space="preserve">oderní </w:t>
      </w:r>
      <w:r w:rsidR="0030786C" w:rsidRPr="00273106">
        <w:rPr>
          <w:i/>
        </w:rPr>
        <w:t>veritas</w:t>
      </w:r>
      <w:r w:rsidR="00162EF8">
        <w:rPr>
          <w:i/>
        </w:rPr>
        <w:fldChar w:fldCharType="begin"/>
      </w:r>
      <w:r w:rsidR="00162EF8">
        <w:instrText xml:space="preserve"> XE "pravda:</w:instrText>
      </w:r>
      <w:r w:rsidR="00162EF8" w:rsidRPr="006B7FF6">
        <w:rPr>
          <w:i/>
        </w:rPr>
        <w:instrText>veritas</w:instrText>
      </w:r>
      <w:r w:rsidR="00162EF8">
        <w:instrText xml:space="preserve">" </w:instrText>
      </w:r>
      <w:r w:rsidR="00162EF8">
        <w:rPr>
          <w:i/>
        </w:rPr>
        <w:fldChar w:fldCharType="end"/>
      </w:r>
      <w:r w:rsidR="0030786C" w:rsidRPr="00273106">
        <w:t xml:space="preserve"> </w:t>
      </w:r>
      <w:r w:rsidR="0076615C">
        <w:t>je dána</w:t>
      </w:r>
      <w:r w:rsidR="0030786C" w:rsidRPr="00273106">
        <w:t xml:space="preserve"> v rámci</w:t>
      </w:r>
      <w:r w:rsidR="008C0C8A">
        <w:t xml:space="preserve"> </w:t>
      </w:r>
      <w:r w:rsidR="008C0C8A" w:rsidRPr="008C0C8A">
        <w:rPr>
          <w:i/>
        </w:rPr>
        <w:t>Oxfordian Fallacy</w:t>
      </w:r>
      <w:r w:rsidR="0076615C">
        <w:t>, kdy po zatmění první substance vznikla univerzální rovnost všech objektivně poznávaných obsahů mysli</w:t>
      </w:r>
      <w:r w:rsidR="00BA1718">
        <w:t xml:space="preserve"> (</w:t>
      </w:r>
      <w:r w:rsidR="00BA1718" w:rsidRPr="00BA1718">
        <w:rPr>
          <w:i/>
        </w:rPr>
        <w:t>scibile</w:t>
      </w:r>
      <w:r w:rsidR="00AD4474">
        <w:rPr>
          <w:i/>
        </w:rPr>
        <w:fldChar w:fldCharType="begin"/>
      </w:r>
      <w:r w:rsidR="00AD4474">
        <w:instrText xml:space="preserve"> XE "objektivita:</w:instrText>
      </w:r>
      <w:r w:rsidR="00AD4474" w:rsidRPr="009347B5">
        <w:rPr>
          <w:i/>
        </w:rPr>
        <w:instrText>scibile</w:instrText>
      </w:r>
      <w:r w:rsidR="00AD4474">
        <w:instrText xml:space="preserve">" </w:instrText>
      </w:r>
      <w:r w:rsidR="00AD4474">
        <w:rPr>
          <w:i/>
        </w:rPr>
        <w:fldChar w:fldCharType="end"/>
      </w:r>
      <w:r w:rsidR="00BA1718">
        <w:t>)</w:t>
      </w:r>
      <w:r w:rsidR="0030786C" w:rsidRPr="00273106">
        <w:t xml:space="preserve">. </w:t>
      </w:r>
      <w:r w:rsidR="00FD6936">
        <w:t xml:space="preserve">Poznání v modu </w:t>
      </w:r>
      <w:r w:rsidR="00FD6936" w:rsidRPr="004D6206">
        <w:rPr>
          <w:i/>
        </w:rPr>
        <w:t>Oxfordian Fallacy</w:t>
      </w:r>
      <w:r w:rsidR="00FD6936">
        <w:t xml:space="preserve"> není z reálného světa, ale z univerzálního diakosmu jsoucen třetího druhu, jejichž vztahy určuje matematická a formální úměra. </w:t>
      </w:r>
      <w:r w:rsidR="006D0425">
        <w:t xml:space="preserve">Moderní specifická forma </w:t>
      </w:r>
      <w:r w:rsidR="006D0425" w:rsidRPr="00BD1B1C">
        <w:rPr>
          <w:i/>
        </w:rPr>
        <w:t>memoria</w:t>
      </w:r>
      <w:r w:rsidR="006D0425">
        <w:rPr>
          <w:i/>
        </w:rPr>
        <w:fldChar w:fldCharType="begin"/>
      </w:r>
      <w:r w:rsidR="006D0425">
        <w:instrText xml:space="preserve"> XE "</w:instrText>
      </w:r>
      <w:r w:rsidR="006D0425" w:rsidRPr="00840D0F">
        <w:rPr>
          <w:i/>
        </w:rPr>
        <w:instrText>memoria:</w:instrText>
      </w:r>
      <w:r w:rsidR="006D0425" w:rsidRPr="00840D0F">
        <w:instrText>druhý averroismus</w:instrText>
      </w:r>
      <w:r w:rsidR="006D0425">
        <w:instrText xml:space="preserve">" </w:instrText>
      </w:r>
      <w:r w:rsidR="006D0425">
        <w:rPr>
          <w:i/>
        </w:rPr>
        <w:fldChar w:fldCharType="end"/>
      </w:r>
      <w:r w:rsidR="006D0425">
        <w:t xml:space="preserve"> nahradila poznání reality a toto specifické vědění uložené v paměti </w:t>
      </w:r>
      <w:r w:rsidR="006D0425" w:rsidRPr="003C7E3C">
        <w:rPr>
          <w:i/>
        </w:rPr>
        <w:t>Modernorum</w:t>
      </w:r>
      <w:r w:rsidR="006D0425">
        <w:t xml:space="preserve"> vytvořilo objektivní zásvětí konkrétna a individuí všeho druhu. Modernista jako zakládající m</w:t>
      </w:r>
      <w:r w:rsidR="00311827">
        <w:t xml:space="preserve">oderní individuum se stal metafyzickým bezdomovcem v říši stínů. </w:t>
      </w:r>
      <w:r w:rsidR="001A2911">
        <w:t xml:space="preserve">Tento </w:t>
      </w:r>
      <w:r w:rsidR="00BA1718">
        <w:t xml:space="preserve">nashromážděný </w:t>
      </w:r>
      <w:r w:rsidR="001A2911">
        <w:t xml:space="preserve">poklad </w:t>
      </w:r>
      <w:r w:rsidR="00EF6A6A">
        <w:t xml:space="preserve">pravdy a vědění </w:t>
      </w:r>
      <w:r w:rsidR="001A2911">
        <w:t xml:space="preserve">je třeba uchovat v moderní verzi informačně dané paměti </w:t>
      </w:r>
      <w:r w:rsidR="00BA1718">
        <w:t>(</w:t>
      </w:r>
      <w:r w:rsidR="001A2911" w:rsidRPr="001A2911">
        <w:rPr>
          <w:i/>
        </w:rPr>
        <w:t>locus specierum</w:t>
      </w:r>
      <w:r w:rsidR="00CC2962">
        <w:rPr>
          <w:i/>
        </w:rPr>
        <w:fldChar w:fldCharType="begin"/>
      </w:r>
      <w:r w:rsidR="00CC2962">
        <w:instrText xml:space="preserve"> XE "</w:instrText>
      </w:r>
      <w:r w:rsidR="00CC2962" w:rsidRPr="009E5259">
        <w:rPr>
          <w:i/>
        </w:rPr>
        <w:instrText>locus specierum</w:instrText>
      </w:r>
      <w:r w:rsidR="00CC2962">
        <w:instrText xml:space="preserve">" </w:instrText>
      </w:r>
      <w:r w:rsidR="00CC2962">
        <w:rPr>
          <w:i/>
        </w:rPr>
        <w:fldChar w:fldCharType="end"/>
      </w:r>
      <w:r w:rsidR="00BA1718">
        <w:t>)</w:t>
      </w:r>
      <w:r w:rsidR="001A2911">
        <w:t xml:space="preserve">. </w:t>
      </w:r>
      <w:r w:rsidR="00655D2F" w:rsidRPr="00655D2F">
        <w:t>Moderní paměť je nejcennějším nástrojem</w:t>
      </w:r>
      <w:r w:rsidR="00655D2F">
        <w:t xml:space="preserve">, protože </w:t>
      </w:r>
      <w:r w:rsidR="00655D2F" w:rsidRPr="00655D2F">
        <w:t xml:space="preserve">myšlení </w:t>
      </w:r>
      <w:r w:rsidR="00655D2F" w:rsidRPr="00655D2F">
        <w:rPr>
          <w:i/>
        </w:rPr>
        <w:t>Modernorum</w:t>
      </w:r>
      <w:r w:rsidR="00655D2F" w:rsidRPr="00655D2F">
        <w:t xml:space="preserve"> nepotřebuje </w:t>
      </w:r>
      <w:r w:rsidR="00311827">
        <w:t>realit</w:t>
      </w:r>
      <w:r w:rsidR="00655D2F" w:rsidRPr="00655D2F">
        <w:t>u, aby nastolilo pravé poznání.</w:t>
      </w:r>
      <w:r w:rsidR="001C1718">
        <w:t xml:space="preserve"> </w:t>
      </w:r>
      <w:r w:rsidR="00831C74">
        <w:t xml:space="preserve">Moderní subjekt </w:t>
      </w:r>
      <w:r w:rsidR="00366685">
        <w:t xml:space="preserve">má </w:t>
      </w:r>
      <w:r w:rsidR="00FC5663">
        <w:t xml:space="preserve">jen sama sebe </w:t>
      </w:r>
      <w:r w:rsidR="00402B73">
        <w:t xml:space="preserve">a vlastní </w:t>
      </w:r>
      <w:r w:rsidR="00831C74">
        <w:t xml:space="preserve">habituální </w:t>
      </w:r>
      <w:r w:rsidR="00402B73">
        <w:t xml:space="preserve">vědění </w:t>
      </w:r>
      <w:r w:rsidR="00FC5663">
        <w:t>v</w:t>
      </w:r>
      <w:r w:rsidR="00402B73">
        <w:t xml:space="preserve">e stoickém </w:t>
      </w:r>
      <w:r w:rsidR="00B85C3C">
        <w:t xml:space="preserve">modu </w:t>
      </w:r>
      <w:r w:rsidR="00FC5663" w:rsidRPr="00FC5663">
        <w:rPr>
          <w:i/>
        </w:rPr>
        <w:t>omnia mea mecum porto</w:t>
      </w:r>
      <w:r w:rsidR="006C35D3">
        <w:fldChar w:fldCharType="begin"/>
      </w:r>
      <w:r w:rsidR="006C35D3">
        <w:instrText xml:space="preserve"> XE "</w:instrText>
      </w:r>
      <w:r w:rsidR="006C35D3" w:rsidRPr="008710E1">
        <w:instrText>osoba:individuum</w:instrText>
      </w:r>
      <w:r w:rsidR="006C35D3">
        <w:instrText xml:space="preserve">" </w:instrText>
      </w:r>
      <w:r w:rsidR="006C35D3">
        <w:fldChar w:fldCharType="end"/>
      </w:r>
      <w:r w:rsidR="00F50629">
        <w:t>. Iluminát o</w:t>
      </w:r>
      <w:r w:rsidR="08EC4917">
        <w:t xml:space="preserve">perující v modu </w:t>
      </w:r>
      <w:r w:rsidR="001C1718" w:rsidRPr="001C1718">
        <w:rPr>
          <w:i/>
        </w:rPr>
        <w:t>semel</w:t>
      </w:r>
      <w:r w:rsidR="001C1718">
        <w:t>‒</w:t>
      </w:r>
      <w:r w:rsidR="001C1718" w:rsidRPr="001C1718">
        <w:rPr>
          <w:i/>
        </w:rPr>
        <w:t>semper</w:t>
      </w:r>
      <w:r w:rsidR="00435093">
        <w:rPr>
          <w:i/>
        </w:rPr>
        <w:fldChar w:fldCharType="begin"/>
      </w:r>
      <w:r w:rsidR="00435093">
        <w:instrText xml:space="preserve"> XE "predikace:</w:instrText>
      </w:r>
      <w:r w:rsidR="006F1348">
        <w:rPr>
          <w:i/>
        </w:rPr>
        <w:instrText>semel‒semper</w:instrText>
      </w:r>
      <w:r w:rsidR="00435093">
        <w:instrText xml:space="preserve">" </w:instrText>
      </w:r>
      <w:r w:rsidR="00435093">
        <w:rPr>
          <w:i/>
        </w:rPr>
        <w:fldChar w:fldCharType="end"/>
      </w:r>
      <w:r w:rsidR="001C1718">
        <w:t xml:space="preserve"> </w:t>
      </w:r>
      <w:r w:rsidR="00B43F6B">
        <w:t xml:space="preserve">dobře ví, že </w:t>
      </w:r>
      <w:r w:rsidR="00D30A7D">
        <w:t>každé specifické jsoucno třetího druhu</w:t>
      </w:r>
      <w:r w:rsidR="00B85C3C">
        <w:t xml:space="preserve"> je velmi křehká věc. Jakmile </w:t>
      </w:r>
      <w:r w:rsidR="0099239C" w:rsidRPr="00562218">
        <w:rPr>
          <w:i/>
        </w:rPr>
        <w:t>tertium ens</w:t>
      </w:r>
      <w:r w:rsidR="0099239C">
        <w:t xml:space="preserve"> </w:t>
      </w:r>
      <w:r w:rsidR="00B43F6B">
        <w:t xml:space="preserve">zmizí z </w:t>
      </w:r>
      <w:r w:rsidR="00B85C3C">
        <w:t xml:space="preserve">moderní paměti </w:t>
      </w:r>
      <w:r w:rsidR="081E237B">
        <w:t xml:space="preserve">a databází </w:t>
      </w:r>
      <w:r w:rsidR="00B85C3C">
        <w:t xml:space="preserve">fungující jako </w:t>
      </w:r>
      <w:r w:rsidR="00B43F6B" w:rsidRPr="00B43F6B">
        <w:rPr>
          <w:i/>
        </w:rPr>
        <w:t>locus specierum</w:t>
      </w:r>
      <w:r w:rsidR="00B43F6B">
        <w:t xml:space="preserve">, </w:t>
      </w:r>
      <w:r w:rsidR="00D30A7D">
        <w:t xml:space="preserve">pak </w:t>
      </w:r>
      <w:r w:rsidR="00B43F6B">
        <w:t xml:space="preserve">je nenávratně ztraceno, </w:t>
      </w:r>
      <w:r w:rsidR="00D30A7D">
        <w:t xml:space="preserve">protože </w:t>
      </w:r>
      <w:r w:rsidR="00B43F6B">
        <w:t>přestane „exsistovat“</w:t>
      </w:r>
      <w:r w:rsidR="08EC4917">
        <w:t xml:space="preserve"> ve své kontigentní hypostatické unii se subjektem poznání</w:t>
      </w:r>
      <w:r w:rsidR="00B43F6B">
        <w:t xml:space="preserve">. </w:t>
      </w:r>
      <w:r w:rsidR="006D0425">
        <w:t xml:space="preserve">Konec této metafyziky přivodil </w:t>
      </w:r>
      <w:r w:rsidR="00B456E7">
        <w:t>Nietzsche</w:t>
      </w:r>
      <w:r w:rsidR="006D0425">
        <w:fldChar w:fldCharType="begin"/>
      </w:r>
      <w:r w:rsidR="006D0425">
        <w:instrText xml:space="preserve"> XE "</w:instrText>
      </w:r>
      <w:r w:rsidR="006D0425" w:rsidRPr="00376100">
        <w:instrText>Nietzsche, F.</w:instrText>
      </w:r>
      <w:r w:rsidR="006D0425">
        <w:instrText xml:space="preserve">" </w:instrText>
      </w:r>
      <w:r w:rsidR="006D0425">
        <w:fldChar w:fldCharType="end"/>
      </w:r>
      <w:r w:rsidR="00B456E7">
        <w:t xml:space="preserve">. </w:t>
      </w:r>
      <w:r w:rsidR="0030786C" w:rsidRPr="00273106">
        <w:t xml:space="preserve">Modernisté postavili na trůn vědy porretánsky pojatou matematiku umožňující dělení a třídění poznatků moderní vědy </w:t>
      </w:r>
      <w:r w:rsidR="00FB4B4F">
        <w:t>v no</w:t>
      </w:r>
      <w:r w:rsidR="003C7E3C">
        <w:t>minal</w:t>
      </w:r>
      <w:r w:rsidR="00FB4B4F">
        <w:t>is</w:t>
      </w:r>
      <w:r w:rsidR="004972AE">
        <w:t xml:space="preserve">tickém modu </w:t>
      </w:r>
      <w:r w:rsidR="0030786C" w:rsidRPr="00273106">
        <w:rPr>
          <w:i/>
        </w:rPr>
        <w:t>discrete videamus</w:t>
      </w:r>
      <w:r w:rsidR="00240AC9">
        <w:rPr>
          <w:i/>
        </w:rPr>
        <w:fldChar w:fldCharType="begin"/>
      </w:r>
      <w:r w:rsidR="00240AC9">
        <w:instrText xml:space="preserve"> XE "</w:instrText>
      </w:r>
      <w:r w:rsidR="00240AC9" w:rsidRPr="00E90B20">
        <w:rPr>
          <w:i/>
        </w:rPr>
        <w:instrText>discrete videamus</w:instrText>
      </w:r>
      <w:r w:rsidR="00240AC9">
        <w:instrText xml:space="preserve">" </w:instrText>
      </w:r>
      <w:r w:rsidR="00240AC9">
        <w:rPr>
          <w:i/>
        </w:rPr>
        <w:fldChar w:fldCharType="end"/>
      </w:r>
      <w:r w:rsidR="003C7E3C">
        <w:rPr>
          <w:i/>
        </w:rPr>
        <w:t xml:space="preserve"> </w:t>
      </w:r>
      <w:r w:rsidR="003C7E3C" w:rsidRPr="003C7E3C">
        <w:t>(</w:t>
      </w:r>
      <w:r w:rsidR="08B54209">
        <w:t>kap. 1</w:t>
      </w:r>
      <w:r w:rsidR="0030786C" w:rsidRPr="00273106">
        <w:t xml:space="preserve">.4). </w:t>
      </w:r>
      <w:r w:rsidR="00CC736B" w:rsidRPr="00273106">
        <w:t>Č</w:t>
      </w:r>
      <w:r w:rsidR="0030786C" w:rsidRPr="00273106">
        <w:t>ísl</w:t>
      </w:r>
      <w:r w:rsidR="00CC736B" w:rsidRPr="00273106">
        <w:t xml:space="preserve">o napojené na analogii v rámci aritmetiky začalo hrát roli </w:t>
      </w:r>
      <w:r w:rsidR="0030786C" w:rsidRPr="00273106">
        <w:t xml:space="preserve">moderního </w:t>
      </w:r>
      <w:r w:rsidR="0075116D">
        <w:t xml:space="preserve">individua. </w:t>
      </w:r>
      <w:r w:rsidR="00CC736B" w:rsidRPr="00273106">
        <w:t xml:space="preserve">Rufus </w:t>
      </w:r>
      <w:r w:rsidR="00FB5649">
        <w:t>vytvořil šílenou</w:t>
      </w:r>
      <w:r w:rsidR="00B04209">
        <w:t xml:space="preserve"> formu kategoriální impozice</w:t>
      </w:r>
      <w:r w:rsidR="00177931">
        <w:t xml:space="preserve"> </w:t>
      </w:r>
      <w:r w:rsidR="00177931" w:rsidRPr="00177931">
        <w:rPr>
          <w:i/>
        </w:rPr>
        <w:t>a priori</w:t>
      </w:r>
      <w:r w:rsidR="00FB5649">
        <w:t xml:space="preserve">, která dala </w:t>
      </w:r>
      <w:r w:rsidR="00177931">
        <w:t>reálnou kauzalitu</w:t>
      </w:r>
      <w:r w:rsidR="00177931" w:rsidRPr="00273106">
        <w:t xml:space="preserve"> </w:t>
      </w:r>
      <w:r w:rsidR="00CC736B" w:rsidRPr="00273106">
        <w:t>mate</w:t>
      </w:r>
      <w:r w:rsidR="00FB5649">
        <w:t>maticky definované jednotlivině</w:t>
      </w:r>
      <w:r w:rsidR="08F57391">
        <w:t xml:space="preserve"> </w:t>
      </w:r>
      <w:r w:rsidR="0030786C" w:rsidRPr="00273106">
        <w:t>(</w:t>
      </w:r>
      <w:r w:rsidR="0030786C" w:rsidRPr="00273106">
        <w:rPr>
          <w:rStyle w:val="linemarker-marked-line"/>
          <w:i/>
        </w:rPr>
        <w:t>numerus a priori secundum naturam causatur</w:t>
      </w:r>
      <w:r w:rsidR="08B54209">
        <w:rPr>
          <w:rStyle w:val="linemarker-marked-line"/>
        </w:rPr>
        <w:t>, kap. 3</w:t>
      </w:r>
      <w:r w:rsidR="0030786C" w:rsidRPr="00273106">
        <w:rPr>
          <w:rStyle w:val="linemarker-marked-line"/>
        </w:rPr>
        <w:t>.3.2</w:t>
      </w:r>
      <w:r w:rsidR="0030786C" w:rsidRPr="00273106">
        <w:t xml:space="preserve">). </w:t>
      </w:r>
      <w:r w:rsidR="00E57754">
        <w:t xml:space="preserve">Tím vznikla </w:t>
      </w:r>
      <w:r w:rsidR="00FB4B4F">
        <w:t xml:space="preserve">nová </w:t>
      </w:r>
      <w:r w:rsidR="00E57754">
        <w:t>subjekt-objektová</w:t>
      </w:r>
      <w:r w:rsidR="00F75756" w:rsidRPr="00273106">
        <w:t xml:space="preserve"> re</w:t>
      </w:r>
      <w:r w:rsidR="00E57754">
        <w:t>prezentace</w:t>
      </w:r>
      <w:r w:rsidR="00FB4B4F">
        <w:t xml:space="preserve"> jsoucna v modu univerzálního hylemorfismu</w:t>
      </w:r>
      <w:r w:rsidR="006B2D12">
        <w:t xml:space="preserve">, </w:t>
      </w:r>
      <w:r w:rsidR="00E57754">
        <w:t xml:space="preserve">čili zdvojení </w:t>
      </w:r>
      <w:r w:rsidR="00F75756" w:rsidRPr="00273106">
        <w:t>světa v modu objektivity</w:t>
      </w:r>
      <w:r w:rsidR="00FB4B4F">
        <w:t xml:space="preserve"> (</w:t>
      </w:r>
      <w:r w:rsidR="004B4D52" w:rsidRPr="004B4D52">
        <w:t>species</w:t>
      </w:r>
      <w:r w:rsidR="08330CAD">
        <w:rPr>
          <w:i/>
        </w:rPr>
        <w:t xml:space="preserve"> obiecti exsistentis</w:t>
      </w:r>
      <w:r w:rsidR="00FB4B4F">
        <w:rPr>
          <w:i/>
        </w:rPr>
        <w:fldChar w:fldCharType="begin"/>
      </w:r>
      <w:r w:rsidR="00FB4B4F">
        <w:instrText xml:space="preserve"> XE "</w:instrText>
      </w:r>
      <w:r w:rsidR="08330CAD">
        <w:rPr>
          <w:i/>
        </w:rPr>
        <w:instrText>species obiecti exsistentis</w:instrText>
      </w:r>
      <w:r w:rsidR="00FB4B4F">
        <w:instrText xml:space="preserve">" </w:instrText>
      </w:r>
      <w:r w:rsidR="00FB4B4F">
        <w:rPr>
          <w:i/>
        </w:rPr>
        <w:fldChar w:fldCharType="end"/>
      </w:r>
      <w:r w:rsidR="00A16128">
        <w:t>, kap.</w:t>
      </w:r>
      <w:r w:rsidR="08B54209">
        <w:t xml:space="preserve"> 3</w:t>
      </w:r>
      <w:r w:rsidR="00A16128">
        <w:t>.3</w:t>
      </w:r>
      <w:r w:rsidR="00FB4B4F">
        <w:t>.4)</w:t>
      </w:r>
      <w:r w:rsidR="00E57754">
        <w:t xml:space="preserve">. </w:t>
      </w:r>
      <w:r w:rsidR="085C6A4D">
        <w:t>Paranoická mysl moderních iluminátů se postavila mimo reálný svět</w:t>
      </w:r>
      <w:r w:rsidR="0073657B">
        <w:t xml:space="preserve">. M odernisté si vytvořili jejich </w:t>
      </w:r>
      <w:r w:rsidR="088C0996">
        <w:t>vlastní sluneční mýtus</w:t>
      </w:r>
      <w:r w:rsidR="0073657B">
        <w:t>, který řídí odyseu m</w:t>
      </w:r>
      <w:r w:rsidR="088C0996">
        <w:t>odern</w:t>
      </w:r>
      <w:r w:rsidR="0073657B">
        <w:t>y</w:t>
      </w:r>
      <w:r w:rsidR="08452A87">
        <w:t>. Spirituální</w:t>
      </w:r>
      <w:r w:rsidR="085C6A4D">
        <w:t xml:space="preserve"> inteligence Západu zatím shromážděná pouze v jedné moderní akademické instituci začala </w:t>
      </w:r>
      <w:r w:rsidR="08452A87">
        <w:t xml:space="preserve">žít </w:t>
      </w:r>
      <w:r w:rsidR="085C6A4D">
        <w:t xml:space="preserve">v objektivním diakosmu, který převzala od antických neoplatoniků a z Platonovy filosofické pohádky </w:t>
      </w:r>
      <w:r w:rsidR="085C6A4D" w:rsidRPr="085C6A4D">
        <w:rPr>
          <w:i/>
        </w:rPr>
        <w:t>Timaios</w:t>
      </w:r>
      <w:r w:rsidR="085C6A4D">
        <w:t xml:space="preserve">. </w:t>
      </w:r>
      <w:r w:rsidR="00051453" w:rsidRPr="00273106">
        <w:t xml:space="preserve">Gigantomachie </w:t>
      </w:r>
      <w:r w:rsidR="008E02F5">
        <w:t>Platon</w:t>
      </w:r>
      <w:r w:rsidR="00051453" w:rsidRPr="00273106">
        <w:t xml:space="preserve">a a Aristotela, </w:t>
      </w:r>
      <w:r w:rsidR="00577522">
        <w:t xml:space="preserve">a po nich </w:t>
      </w:r>
      <w:r w:rsidR="00051453" w:rsidRPr="00273106">
        <w:t xml:space="preserve">Avicenny a </w:t>
      </w:r>
      <w:r w:rsidR="002E3B62">
        <w:t>Averroes</w:t>
      </w:r>
      <w:r w:rsidR="00051453" w:rsidRPr="00273106">
        <w:t>e</w:t>
      </w:r>
      <w:r w:rsidR="00577522">
        <w:t>,</w:t>
      </w:r>
      <w:r w:rsidR="00051453" w:rsidRPr="00273106">
        <w:t xml:space="preserve"> se dala </w:t>
      </w:r>
      <w:r w:rsidR="00577522">
        <w:t xml:space="preserve">znovu </w:t>
      </w:r>
      <w:r w:rsidR="00051453" w:rsidRPr="00273106">
        <w:t>do pohybu, protože pojetí druhého averroismu zásadně</w:t>
      </w:r>
      <w:r w:rsidR="009407FE">
        <w:t xml:space="preserve"> napadli skuteční znalci </w:t>
      </w:r>
      <w:r w:rsidR="002E3B62">
        <w:t>Averroes</w:t>
      </w:r>
      <w:r w:rsidR="00051453" w:rsidRPr="00273106">
        <w:t>e</w:t>
      </w:r>
      <w:r w:rsidR="009407FE">
        <w:fldChar w:fldCharType="begin"/>
      </w:r>
      <w:r w:rsidR="009407FE">
        <w:instrText xml:space="preserve"> XE "</w:instrText>
      </w:r>
      <w:r w:rsidR="009407FE" w:rsidRPr="00464410">
        <w:instrText>substance:gigantomachie</w:instrText>
      </w:r>
      <w:r w:rsidR="009407FE">
        <w:instrText xml:space="preserve">" </w:instrText>
      </w:r>
      <w:r w:rsidR="009407FE">
        <w:fldChar w:fldCharType="end"/>
      </w:r>
      <w:r w:rsidR="00051453" w:rsidRPr="00273106">
        <w:t>.</w:t>
      </w:r>
      <w:r w:rsidR="088F1CDE" w:rsidRPr="088F1CDE">
        <w:t xml:space="preserve"> </w:t>
      </w:r>
      <w:r w:rsidR="088F1CDE" w:rsidRPr="00273106">
        <w:t>Spor o zařazen</w:t>
      </w:r>
      <w:r w:rsidR="088F1CDE">
        <w:t xml:space="preserve">í moderně pojatých věd v rámci </w:t>
      </w:r>
      <w:r w:rsidR="088F1CDE" w:rsidRPr="004972AE">
        <w:rPr>
          <w:i/>
        </w:rPr>
        <w:t>Metafyziky</w:t>
      </w:r>
      <w:r w:rsidR="088F1CDE" w:rsidRPr="00273106">
        <w:t xml:space="preserve"> se před</w:t>
      </w:r>
      <w:r w:rsidR="088F1CDE">
        <w:t xml:space="preserve">evším týká filosofického duelu mezi Rufusem a </w:t>
      </w:r>
      <w:r w:rsidR="088F1CDE" w:rsidRPr="00273106">
        <w:t>Bacon</w:t>
      </w:r>
      <w:r w:rsidR="088F1CDE">
        <w:t>em</w:t>
      </w:r>
      <w:r w:rsidR="088F1CDE" w:rsidRPr="00273106">
        <w:t>.</w:t>
      </w:r>
      <w:r w:rsidR="088F1CDE">
        <w:t xml:space="preserve"> Spor mezi </w:t>
      </w:r>
      <w:r w:rsidR="088F1CDE" w:rsidRPr="00273106">
        <w:t>Kilwardby</w:t>
      </w:r>
      <w:r w:rsidR="088F1CDE">
        <w:t xml:space="preserve">m a </w:t>
      </w:r>
      <w:r w:rsidR="088F1CDE" w:rsidRPr="00273106">
        <w:t>Albert</w:t>
      </w:r>
      <w:r w:rsidR="088F1CDE">
        <w:t xml:space="preserve">em se týkal </w:t>
      </w:r>
      <w:r w:rsidR="088F1CDE" w:rsidRPr="00273106">
        <w:t xml:space="preserve">výkladu </w:t>
      </w:r>
      <w:r w:rsidR="088F1CDE" w:rsidRPr="004972AE">
        <w:rPr>
          <w:i/>
        </w:rPr>
        <w:t>Druhých analytik</w:t>
      </w:r>
      <w:r w:rsidR="088F1CDE">
        <w:t xml:space="preserve"> a </w:t>
      </w:r>
      <w:r w:rsidR="088F1CDE" w:rsidRPr="004972AE">
        <w:rPr>
          <w:i/>
        </w:rPr>
        <w:t>De anima</w:t>
      </w:r>
      <w:r w:rsidR="088F1CDE">
        <w:t>.</w:t>
      </w:r>
      <w:r w:rsidR="085F0339">
        <w:t xml:space="preserve"> Translací myto</w:t>
      </w:r>
      <w:r w:rsidR="00A13E03">
        <w:t>l</w:t>
      </w:r>
      <w:r w:rsidR="00E618DE">
        <w:t>og</w:t>
      </w:r>
      <w:r w:rsidR="00A13E03">
        <w:t>ické m</w:t>
      </w:r>
      <w:r w:rsidR="085F0339">
        <w:t xml:space="preserve">etafyziky do </w:t>
      </w:r>
      <w:r w:rsidR="0018064E">
        <w:t xml:space="preserve">moderní </w:t>
      </w:r>
      <w:r w:rsidR="085F0339">
        <w:t xml:space="preserve">fyziky vzniklo nové </w:t>
      </w:r>
      <w:r w:rsidR="08645BEA">
        <w:t>místo věd (</w:t>
      </w:r>
      <w:r w:rsidR="085F0339" w:rsidRPr="081B030C">
        <w:rPr>
          <w:i/>
        </w:rPr>
        <w:t>ortus scientiarum</w:t>
      </w:r>
      <w:r w:rsidR="003A24F5">
        <w:rPr>
          <w:i/>
        </w:rPr>
        <w:fldChar w:fldCharType="begin"/>
      </w:r>
      <w:r w:rsidR="003A24F5">
        <w:instrText xml:space="preserve"> XE "</w:instrText>
      </w:r>
      <w:r w:rsidR="003A24F5" w:rsidRPr="00666E2C">
        <w:rPr>
          <w:i/>
        </w:rPr>
        <w:instrText>ortus scientiarum</w:instrText>
      </w:r>
      <w:r w:rsidR="003A24F5">
        <w:instrText xml:space="preserve">" </w:instrText>
      </w:r>
      <w:r w:rsidR="003A24F5">
        <w:rPr>
          <w:i/>
        </w:rPr>
        <w:fldChar w:fldCharType="end"/>
      </w:r>
      <w:r w:rsidR="006867D0">
        <w:t xml:space="preserve">). Nový počátek věd určuje </w:t>
      </w:r>
      <w:r w:rsidR="00A13E03">
        <w:t xml:space="preserve">v modu </w:t>
      </w:r>
      <w:r w:rsidR="00A13E03" w:rsidRPr="00A13E03">
        <w:rPr>
          <w:i/>
        </w:rPr>
        <w:t>Lichtung</w:t>
      </w:r>
      <w:r w:rsidR="00976D6C">
        <w:rPr>
          <w:i/>
        </w:rPr>
        <w:fldChar w:fldCharType="begin"/>
      </w:r>
      <w:r w:rsidR="00976D6C">
        <w:instrText xml:space="preserve"> XE "</w:instrText>
      </w:r>
      <w:r w:rsidR="00976D6C" w:rsidRPr="0064592A">
        <w:rPr>
          <w:i/>
        </w:rPr>
        <w:instrText>Lichtung</w:instrText>
      </w:r>
      <w:r w:rsidR="00976D6C">
        <w:instrText xml:space="preserve">" </w:instrText>
      </w:r>
      <w:r w:rsidR="00976D6C">
        <w:rPr>
          <w:i/>
        </w:rPr>
        <w:fldChar w:fldCharType="end"/>
      </w:r>
      <w:r w:rsidR="00A13E03">
        <w:t xml:space="preserve"> pravdu a nepravdu </w:t>
      </w:r>
      <w:r w:rsidR="085F0339">
        <w:t>dnešní formy objektivního vědění</w:t>
      </w:r>
      <w:r w:rsidR="006867D0">
        <w:t>, které je</w:t>
      </w:r>
      <w:r w:rsidR="085F0339">
        <w:t xml:space="preserve"> dané v modu metafyzického </w:t>
      </w:r>
      <w:r w:rsidR="085F0339" w:rsidRPr="082C2445">
        <w:rPr>
          <w:i/>
        </w:rPr>
        <w:t>Irrtum</w:t>
      </w:r>
      <w:r w:rsidR="00976D6C">
        <w:rPr>
          <w:i/>
        </w:rPr>
        <w:fldChar w:fldCharType="begin"/>
      </w:r>
      <w:r w:rsidR="00976D6C">
        <w:instrText xml:space="preserve"> XE "</w:instrText>
      </w:r>
      <w:r w:rsidR="00976D6C" w:rsidRPr="00657505">
        <w:rPr>
          <w:i/>
        </w:rPr>
        <w:instrText>Irrtum</w:instrText>
      </w:r>
      <w:r w:rsidR="00976D6C">
        <w:instrText xml:space="preserve">" </w:instrText>
      </w:r>
      <w:r w:rsidR="00976D6C">
        <w:rPr>
          <w:i/>
        </w:rPr>
        <w:fldChar w:fldCharType="end"/>
      </w:r>
      <w:r w:rsidR="085F0339">
        <w:t xml:space="preserve">. </w:t>
      </w:r>
    </w:p>
    <w:p w14:paraId="7049A492" w14:textId="419B59AC" w:rsidR="000407B3" w:rsidRPr="00273106" w:rsidRDefault="0024288C" w:rsidP="000407B3">
      <w:r w:rsidRPr="00273106">
        <w:tab/>
      </w:r>
      <w:r w:rsidR="08645BEA">
        <w:t xml:space="preserve">Moderní založení vědy provádí </w:t>
      </w:r>
      <w:r w:rsidR="0851126F">
        <w:t xml:space="preserve">Kilwardbyho </w:t>
      </w:r>
      <w:r w:rsidR="006F0EEA" w:rsidRPr="00273106">
        <w:t>díl</w:t>
      </w:r>
      <w:r w:rsidR="007E5DE3" w:rsidRPr="00273106">
        <w:t>o</w:t>
      </w:r>
      <w:r w:rsidR="006F0EEA" w:rsidRPr="00273106">
        <w:t xml:space="preserve"> </w:t>
      </w:r>
      <w:r w:rsidR="006F0EEA" w:rsidRPr="00273106">
        <w:rPr>
          <w:i/>
        </w:rPr>
        <w:t>De ortu scientiarum</w:t>
      </w:r>
      <w:r w:rsidR="003A353A" w:rsidRPr="00273106">
        <w:t xml:space="preserve"> (asi 1250)</w:t>
      </w:r>
      <w:r w:rsidR="08804277" w:rsidRPr="00273106">
        <w:t>, které řeší statut substance v rámci metafyzické a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8804277" w:rsidRPr="00273106">
        <w:t xml:space="preserve">. </w:t>
      </w:r>
      <w:r w:rsidR="08F57391" w:rsidRPr="00273106">
        <w:t xml:space="preserve">Druhý averroismus změnil statut substance, což znamená, že další konflikty obou škol se nutně týkají </w:t>
      </w:r>
      <w:r w:rsidR="08F57391">
        <w:t xml:space="preserve">i </w:t>
      </w:r>
      <w:r w:rsidR="08F57391" w:rsidRPr="00273106">
        <w:t>pojetí metafyziky</w:t>
      </w:r>
      <w:r w:rsidR="08F57391">
        <w:t xml:space="preserve"> jako první vědy o nejobecnějších určeních jsoucna</w:t>
      </w:r>
      <w:r w:rsidR="08F57391" w:rsidRPr="00273106">
        <w:t xml:space="preserve">. </w:t>
      </w:r>
      <w:r w:rsidR="00F34287" w:rsidRPr="00273106">
        <w:t>T</w:t>
      </w:r>
      <w:r w:rsidR="00DC5486" w:rsidRPr="00273106">
        <w:t xml:space="preserve">raktát ukazuje </w:t>
      </w:r>
      <w:r w:rsidR="00A535A8">
        <w:t xml:space="preserve">nové </w:t>
      </w:r>
      <w:r w:rsidR="00DC5486" w:rsidRPr="00273106">
        <w:t xml:space="preserve">místo věd v systému moderního vidění světa. </w:t>
      </w:r>
      <w:r w:rsidR="00252753">
        <w:t>Svět je zezadu osvětlován hypostatickým intelektem. Ten prostřednictvím formální intuice reflektuje společné principy poznání a singulárně-univerzální formy (</w:t>
      </w:r>
      <w:r w:rsidR="00252753" w:rsidRPr="00252753">
        <w:rPr>
          <w:i/>
        </w:rPr>
        <w:t>scibile</w:t>
      </w:r>
      <w:r w:rsidR="00252753">
        <w:t xml:space="preserve">). Oba druhy </w:t>
      </w:r>
      <w:r w:rsidR="00252753" w:rsidRPr="00252753">
        <w:rPr>
          <w:i/>
        </w:rPr>
        <w:t>tertium ens</w:t>
      </w:r>
      <w:r w:rsidR="00252753">
        <w:t xml:space="preserve"> jsou v intelektu a také ve vědách dány jednoznačně. Vezměme příklad sekundárních fyzikálních určení. Aristoteles a první averroismus je pojímali pouze jako predikace dané skrze impozici, </w:t>
      </w:r>
      <w:r w:rsidR="008E7597">
        <w:t xml:space="preserve">která se vztahuje k </w:t>
      </w:r>
      <w:r w:rsidR="00252753">
        <w:t>reálně existující</w:t>
      </w:r>
      <w:r w:rsidR="008E7597">
        <w:t>m</w:t>
      </w:r>
      <w:r w:rsidR="00252753">
        <w:t xml:space="preserve"> fyzikální</w:t>
      </w:r>
      <w:r w:rsidR="008E7597">
        <w:t>m</w:t>
      </w:r>
      <w:r w:rsidR="00252753">
        <w:t xml:space="preserve"> těles</w:t>
      </w:r>
      <w:r w:rsidR="008E7597">
        <w:t>ům</w:t>
      </w:r>
      <w:r w:rsidR="00252753">
        <w:t xml:space="preserve">. Kilwardby navázal na vědu neoplatoniků. </w:t>
      </w:r>
      <w:r w:rsidR="007B2603">
        <w:t xml:space="preserve">Kvantitu </w:t>
      </w:r>
      <w:r w:rsidR="00252753">
        <w:t xml:space="preserve">považuje za stejný předmět </w:t>
      </w:r>
      <w:r w:rsidR="007B2603">
        <w:t xml:space="preserve">poznání </w:t>
      </w:r>
      <w:r w:rsidR="00252753">
        <w:t xml:space="preserve">metafyziky i aritmetiky: </w:t>
      </w:r>
      <w:r w:rsidR="006F0EEA" w:rsidRPr="00273106">
        <w:t>„</w:t>
      </w:r>
      <w:r w:rsidR="000D794E" w:rsidRPr="00273106">
        <w:t>Metafyzika a matematika</w:t>
      </w:r>
      <w:r w:rsidR="00E67D4E">
        <w:fldChar w:fldCharType="begin"/>
      </w:r>
      <w:r w:rsidR="00E67D4E">
        <w:instrText xml:space="preserve"> XE "</w:instrText>
      </w:r>
      <w:r w:rsidR="00E67D4E" w:rsidRPr="00DC040D">
        <w:instrText>matematika</w:instrText>
      </w:r>
      <w:r w:rsidR="00E67D4E">
        <w:instrText xml:space="preserve">" </w:instrText>
      </w:r>
      <w:r w:rsidR="00E67D4E">
        <w:fldChar w:fldCharType="end"/>
      </w:r>
      <w:r w:rsidR="000D794E" w:rsidRPr="00273106">
        <w:t xml:space="preserve"> se shodují v tom, že obě musí </w:t>
      </w:r>
      <w:r w:rsidR="00820411" w:rsidRPr="00273106">
        <w:t xml:space="preserve">tematizovat </w:t>
      </w:r>
      <w:r w:rsidR="000D794E" w:rsidRPr="00273106">
        <w:t>kvantitu.“</w:t>
      </w:r>
      <w:r w:rsidR="00C54184">
        <w:t> </w:t>
      </w:r>
      <w:r w:rsidR="000D794E" w:rsidRPr="00273106">
        <w:rPr>
          <w:rStyle w:val="Znakapoznpodarou"/>
        </w:rPr>
        <w:footnoteReference w:id="490"/>
      </w:r>
      <w:r w:rsidR="000D794E" w:rsidRPr="00273106">
        <w:t xml:space="preserve"> </w:t>
      </w:r>
      <w:r w:rsidR="008C0FDB">
        <w:t>M</w:t>
      </w:r>
      <w:r w:rsidR="000407B3" w:rsidRPr="00273106">
        <w:t>etafyzik</w:t>
      </w:r>
      <w:r w:rsidR="008C0FDB">
        <w:t xml:space="preserve"> </w:t>
      </w:r>
      <w:r w:rsidR="006118E7">
        <w:t>nazírá</w:t>
      </w:r>
      <w:r w:rsidR="00E9533A" w:rsidRPr="00273106">
        <w:t xml:space="preserve"> kvantitu jako jsoucno třetího druhu </w:t>
      </w:r>
      <w:r w:rsidR="00336617" w:rsidRPr="00273106">
        <w:t>(</w:t>
      </w:r>
      <w:r w:rsidR="00336617" w:rsidRPr="00273106">
        <w:rPr>
          <w:i/>
        </w:rPr>
        <w:t>metaphysicus habet considerare quantitatem ipsa sit aliquod ens</w:t>
      </w:r>
      <w:r w:rsidR="00336617" w:rsidRPr="00273106">
        <w:t xml:space="preserve">) a </w:t>
      </w:r>
      <w:r w:rsidR="006118E7">
        <w:t>chápe ji</w:t>
      </w:r>
      <w:r w:rsidR="00336617" w:rsidRPr="00273106">
        <w:t xml:space="preserve"> jako inherentní vlastnost </w:t>
      </w:r>
      <w:r w:rsidR="00E9533A" w:rsidRPr="00273106">
        <w:t xml:space="preserve">substance </w:t>
      </w:r>
      <w:r w:rsidR="000407B3" w:rsidRPr="00273106">
        <w:t>(</w:t>
      </w:r>
      <w:r w:rsidR="00B07ACF" w:rsidRPr="00273106">
        <w:rPr>
          <w:i/>
        </w:rPr>
        <w:t>et cum sit in substantia</w:t>
      </w:r>
      <w:r w:rsidR="08483E4C">
        <w:t>;</w:t>
      </w:r>
      <w:r w:rsidR="000407B3" w:rsidRPr="00273106">
        <w:t xml:space="preserve"> ibid, </w:t>
      </w:r>
      <w:r w:rsidR="006A488D" w:rsidRPr="00273106">
        <w:t xml:space="preserve">p. </w:t>
      </w:r>
      <w:r w:rsidR="000407B3" w:rsidRPr="00273106">
        <w:t>90.10‒11</w:t>
      </w:r>
      <w:r w:rsidR="08AA64AF">
        <w:fldChar w:fldCharType="begin"/>
      </w:r>
      <w:r w:rsidR="08AA64AF">
        <w:instrText xml:space="preserve"> XE "Kilwardby:</w:instrText>
      </w:r>
      <w:r w:rsidR="08AA64AF" w:rsidRPr="00F529DF">
        <w:rPr>
          <w:i/>
        </w:rPr>
        <w:instrText>De ortu scientiarum</w:instrText>
      </w:r>
      <w:r w:rsidR="08AA64AF" w:rsidRPr="00F529DF">
        <w:instrText xml:space="preserve"> </w:instrText>
      </w:r>
      <w:r w:rsidR="08AA64AF" w:rsidRPr="00273106">
        <w:instrText>90.10‒11</w:instrText>
      </w:r>
      <w:r w:rsidR="08AA64AF">
        <w:instrText xml:space="preserve">" </w:instrText>
      </w:r>
      <w:r w:rsidR="08AA64AF">
        <w:fldChar w:fldCharType="end"/>
      </w:r>
      <w:r w:rsidR="000407B3" w:rsidRPr="00273106">
        <w:t>).</w:t>
      </w:r>
      <w:r w:rsidR="00B07ACF" w:rsidRPr="00273106">
        <w:t xml:space="preserve"> Pojetí substance </w:t>
      </w:r>
      <w:r w:rsidR="00C00B66" w:rsidRPr="00273106">
        <w:t xml:space="preserve">třetího druhu </w:t>
      </w:r>
      <w:r w:rsidR="00E9002C" w:rsidRPr="00273106">
        <w:t xml:space="preserve">odvozeno od </w:t>
      </w:r>
      <w:r w:rsidR="00A52A72">
        <w:t xml:space="preserve">hypostázovqné </w:t>
      </w:r>
      <w:r w:rsidR="00E9002C" w:rsidRPr="00273106">
        <w:t>kvantity pojat</w:t>
      </w:r>
      <w:r w:rsidR="00EE49A8" w:rsidRPr="00273106">
        <w:t>é</w:t>
      </w:r>
      <w:r w:rsidR="00E9002C" w:rsidRPr="00273106">
        <w:t xml:space="preserve"> v modu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A52A72">
        <w:t>, což zavedly</w:t>
      </w:r>
      <w:r w:rsidR="00C00B66" w:rsidRPr="00273106">
        <w:t xml:space="preserve"> </w:t>
      </w:r>
      <w:r w:rsidR="00A52A72">
        <w:t>porretánské</w:t>
      </w:r>
      <w:r w:rsidR="00F34287" w:rsidRPr="00273106">
        <w:t xml:space="preserve"> </w:t>
      </w:r>
      <w:r w:rsidR="00A52A72">
        <w:t>školy</w:t>
      </w:r>
      <w:r w:rsidR="08483E4C">
        <w:t xml:space="preserve"> (kap. 1</w:t>
      </w:r>
      <w:r w:rsidR="00C00B66" w:rsidRPr="00273106">
        <w:t>.5)</w:t>
      </w:r>
      <w:r w:rsidR="006C104D" w:rsidRPr="00273106">
        <w:t xml:space="preserve">. Matematika </w:t>
      </w:r>
      <w:r w:rsidR="00FC4D47" w:rsidRPr="00273106">
        <w:t xml:space="preserve">ale není vzata </w:t>
      </w:r>
      <w:r w:rsidR="00EC3E36" w:rsidRPr="00273106">
        <w:t xml:space="preserve">úplně </w:t>
      </w:r>
      <w:r w:rsidR="00FC4D47" w:rsidRPr="00273106">
        <w:t xml:space="preserve">univočně </w:t>
      </w:r>
      <w:r w:rsidR="00E9002C" w:rsidRPr="00273106">
        <w:t>s metafyzickým pojetím jsoucna</w:t>
      </w:r>
      <w:r w:rsidR="00B96F92" w:rsidRPr="00273106">
        <w:t>, což měl radikální Rufus</w:t>
      </w:r>
      <w:r w:rsidR="00B07ACF" w:rsidRPr="00273106">
        <w:t xml:space="preserve">. </w:t>
      </w:r>
      <w:r w:rsidR="001F10A3" w:rsidRPr="00273106">
        <w:t>Kil</w:t>
      </w:r>
      <w:r w:rsidR="006F25B2" w:rsidRPr="00273106">
        <w:t>wardby</w:t>
      </w:r>
      <w:r w:rsidR="00EE49A8" w:rsidRPr="00273106">
        <w:t xml:space="preserve"> </w:t>
      </w:r>
      <w:r w:rsidR="08EC4D55">
        <w:t>respektuje metafyzickou abstrakci</w:t>
      </w:r>
      <w:r w:rsidR="08EC4D55" w:rsidRPr="08EC4D55">
        <w:t xml:space="preserve"> </w:t>
      </w:r>
      <w:r w:rsidR="08EC4D55">
        <w:t xml:space="preserve">podle </w:t>
      </w:r>
      <w:r w:rsidR="08EC4D55" w:rsidRPr="00273106">
        <w:t>Avicenn</w:t>
      </w:r>
      <w:r w:rsidR="08EC4D55">
        <w:t>y. Toletáni po</w:t>
      </w:r>
      <w:r w:rsidR="006F25B2" w:rsidRPr="00273106">
        <w:t>jednáv</w:t>
      </w:r>
      <w:r w:rsidR="08EC4D55">
        <w:t>ají</w:t>
      </w:r>
      <w:r w:rsidR="006F25B2" w:rsidRPr="00273106">
        <w:t xml:space="preserve"> jsoucno </w:t>
      </w:r>
      <w:r w:rsidR="08EC4D55">
        <w:t xml:space="preserve">v modu </w:t>
      </w:r>
      <w:r w:rsidR="006F25B2" w:rsidRPr="00273106">
        <w:rPr>
          <w:i/>
        </w:rPr>
        <w:t>ens inquantum ens</w:t>
      </w:r>
      <w:r w:rsidR="00160B80">
        <w:rPr>
          <w:i/>
        </w:rPr>
        <w:fldChar w:fldCharType="begin"/>
      </w:r>
      <w:r w:rsidR="00160B80">
        <w:instrText xml:space="preserve"> XE "</w:instrText>
      </w:r>
      <w:r w:rsidR="00160B80" w:rsidRPr="005424E2">
        <w:rPr>
          <w:i/>
        </w:rPr>
        <w:instrText>ens inquantum ens</w:instrText>
      </w:r>
      <w:r w:rsidR="00160B80">
        <w:instrText xml:space="preserve">" </w:instrText>
      </w:r>
      <w:r w:rsidR="00160B80">
        <w:rPr>
          <w:i/>
        </w:rPr>
        <w:fldChar w:fldCharType="end"/>
      </w:r>
      <w:r w:rsidR="006F25B2" w:rsidRPr="00273106">
        <w:t xml:space="preserve"> a </w:t>
      </w:r>
      <w:r w:rsidR="088C34C8">
        <w:t xml:space="preserve">tato esenciální predikace </w:t>
      </w:r>
      <w:r w:rsidR="006F25B2" w:rsidRPr="00273106">
        <w:t>se liší od matematické abstr</w:t>
      </w:r>
      <w:r w:rsidR="00FC4D47" w:rsidRPr="00273106">
        <w:t>akce</w:t>
      </w:r>
      <w:r w:rsidR="0053705D">
        <w:t xml:space="preserve"> postavené na abstrahovaném číselném počtu</w:t>
      </w:r>
      <w:r w:rsidR="00974DBC">
        <w:t xml:space="preserve"> (</w:t>
      </w:r>
      <w:r w:rsidR="00974DBC" w:rsidRPr="00974DBC">
        <w:rPr>
          <w:i/>
        </w:rPr>
        <w:t>numerus</w:t>
      </w:r>
      <w:r w:rsidR="00974DBC">
        <w:t>)</w:t>
      </w:r>
      <w:r w:rsidR="006F25B2" w:rsidRPr="00273106">
        <w:t>.</w:t>
      </w:r>
      <w:r w:rsidR="00B96F92" w:rsidRPr="00273106">
        <w:t xml:space="preserve"> </w:t>
      </w:r>
      <w:r w:rsidR="004A29CC">
        <w:t>K</w:t>
      </w:r>
      <w:r w:rsidR="00AB7146">
        <w:t>il</w:t>
      </w:r>
      <w:r w:rsidR="004A29CC">
        <w:t>ward</w:t>
      </w:r>
      <w:r w:rsidR="00AB7146">
        <w:t>b</w:t>
      </w:r>
      <w:r w:rsidR="004A29CC">
        <w:t xml:space="preserve">y patřil </w:t>
      </w:r>
      <w:r w:rsidR="00AB7146">
        <w:t xml:space="preserve">po svém příchodu do Paříže </w:t>
      </w:r>
      <w:r w:rsidR="004A29CC">
        <w:t>ke škole Fili</w:t>
      </w:r>
      <w:r w:rsidR="006C6ADD">
        <w:t>pa Kancléře, což je vidět na</w:t>
      </w:r>
      <w:r w:rsidR="004A29CC">
        <w:t xml:space="preserve"> avicennovských určení nejvyšších rodů jsoucna</w:t>
      </w:r>
      <w:r w:rsidR="006C6ADD">
        <w:t>, které se shodují s učením této školy</w:t>
      </w:r>
      <w:r w:rsidR="004A29CC">
        <w:t xml:space="preserve">. </w:t>
      </w:r>
      <w:r w:rsidR="08813326">
        <w:t xml:space="preserve">Ale tento modernista </w:t>
      </w:r>
      <w:r w:rsidR="08616BEE">
        <w:t>nechtěl</w:t>
      </w:r>
      <w:r w:rsidR="009978B7" w:rsidRPr="00273106">
        <w:t xml:space="preserve"> opustit nové v</w:t>
      </w:r>
      <w:r w:rsidR="003431D8" w:rsidRPr="00273106">
        <w:t>idění světa, které otevřela</w:t>
      </w:r>
      <w:r w:rsidR="0076548B" w:rsidRPr="00273106">
        <w:t xml:space="preserve"> </w:t>
      </w:r>
      <w:r w:rsidR="00C063E0">
        <w:t xml:space="preserve">Rufusova </w:t>
      </w:r>
      <w:r w:rsidR="00974DBC">
        <w:t>matematicko-</w:t>
      </w:r>
      <w:r w:rsidR="00C063E0">
        <w:t xml:space="preserve">analytická verze </w:t>
      </w:r>
      <w:r w:rsidR="0076548B" w:rsidRPr="00273106">
        <w:rPr>
          <w:i/>
        </w:rPr>
        <w:t>Oxfordian Fallacy</w:t>
      </w:r>
      <w:r w:rsidR="00924399">
        <w:rPr>
          <w:i/>
        </w:rPr>
        <w:fldChar w:fldCharType="begin"/>
      </w:r>
      <w:r w:rsidR="00924399">
        <w:instrText xml:space="preserve"> XE "</w:instrText>
      </w:r>
      <w:r w:rsidR="00924399" w:rsidRPr="0015798D">
        <w:rPr>
          <w:i/>
        </w:rPr>
        <w:instrText>Oxfordian Fallacy:</w:instrText>
      </w:r>
      <w:r w:rsidR="00974DBC" w:rsidRPr="00974DBC">
        <w:instrText>Rufus</w:instrText>
      </w:r>
      <w:r w:rsidR="00924399">
        <w:instrText xml:space="preserve">" </w:instrText>
      </w:r>
      <w:r w:rsidR="00924399">
        <w:rPr>
          <w:i/>
        </w:rPr>
        <w:fldChar w:fldCharType="end"/>
      </w:r>
      <w:r w:rsidR="08616BEE">
        <w:t xml:space="preserve">. </w:t>
      </w:r>
      <w:r w:rsidR="08616BEE" w:rsidRPr="00273106">
        <w:t xml:space="preserve">Kilwardby </w:t>
      </w:r>
      <w:r w:rsidR="08616BEE">
        <w:t>p</w:t>
      </w:r>
      <w:r w:rsidR="087425B2">
        <w:t xml:space="preserve">oznal </w:t>
      </w:r>
      <w:r w:rsidR="08616BEE">
        <w:t xml:space="preserve">Rufusovo myšlení </w:t>
      </w:r>
      <w:r w:rsidR="087425B2">
        <w:t xml:space="preserve">v Paříži </w:t>
      </w:r>
      <w:r w:rsidR="08616BEE">
        <w:t xml:space="preserve">nejpozději </w:t>
      </w:r>
      <w:r w:rsidR="005D7774">
        <w:t xml:space="preserve">po roce 1235. </w:t>
      </w:r>
      <w:r w:rsidR="005D7774" w:rsidRPr="005D7774">
        <w:t>Přechod od analytické logiky k nové metafyzice probíhá na způsob por</w:t>
      </w:r>
      <w:r w:rsidR="005D7774">
        <w:t xml:space="preserve">etánského </w:t>
      </w:r>
      <w:r w:rsidR="005D7774" w:rsidRPr="005D7774">
        <w:t>a avicenistické</w:t>
      </w:r>
      <w:r w:rsidR="005D7774">
        <w:t xml:space="preserve">ho náhledu na bytí jsoucna </w:t>
      </w:r>
      <w:r w:rsidR="005D7774" w:rsidRPr="005D7774">
        <w:t>(</w:t>
      </w:r>
      <w:r w:rsidR="005D7774" w:rsidRPr="005D7774">
        <w:rPr>
          <w:i/>
        </w:rPr>
        <w:t>ratio entis</w:t>
      </w:r>
      <w:r w:rsidR="005D7774" w:rsidRPr="005D7774">
        <w:t>). Následující c</w:t>
      </w:r>
      <w:r w:rsidR="005D7774">
        <w:t>itát otevřel cestu moderní vědě</w:t>
      </w:r>
      <w:r w:rsidR="00B96F92" w:rsidRPr="00273106">
        <w:t>.</w:t>
      </w:r>
    </w:p>
    <w:p w14:paraId="543B7444" w14:textId="0CF6A99C" w:rsidR="00B96F92" w:rsidRPr="00273106" w:rsidRDefault="006F25B2" w:rsidP="0028312C">
      <w:pPr>
        <w:pStyle w:val="Citace"/>
      </w:pPr>
      <w:r w:rsidRPr="00273106">
        <w:rPr>
          <w:noProof/>
        </w:rPr>
        <w:t>„</w:t>
      </w:r>
      <w:r w:rsidR="00B702DA">
        <w:t>Je tedy zřejmé, že metafyzik</w:t>
      </w:r>
      <w:r w:rsidR="00F71D5A" w:rsidRPr="00273106">
        <w:rPr>
          <w:noProof/>
        </w:rPr>
        <w:t xml:space="preserve"> a matematik se shodnou v tom, že oba řeší kvantitu. Ale odlišují se tím, že matematik pojímá kvantitu na </w:t>
      </w:r>
      <w:r w:rsidR="00242706">
        <w:rPr>
          <w:noProof/>
        </w:rPr>
        <w:t xml:space="preserve">určeném </w:t>
      </w:r>
      <w:r w:rsidR="00F71D5A" w:rsidRPr="00273106">
        <w:rPr>
          <w:noProof/>
        </w:rPr>
        <w:t>subjektu (</w:t>
      </w:r>
      <w:r w:rsidR="00F71D5A" w:rsidRPr="00273106">
        <w:rPr>
          <w:i/>
          <w:noProof/>
        </w:rPr>
        <w:t>quantitatem ponit subiectum ubique</w:t>
      </w:r>
      <w:r w:rsidR="00F71D5A" w:rsidRPr="00273106">
        <w:rPr>
          <w:noProof/>
        </w:rPr>
        <w:t xml:space="preserve">) a vzhledem k takto dané kvantitě určuje její vlastnosti a akcidenty. Metafyzik </w:t>
      </w:r>
      <w:r w:rsidR="08130B22">
        <w:rPr>
          <w:noProof/>
          <w:lang w:val="cs-CZ"/>
        </w:rPr>
        <w:t xml:space="preserve">ale </w:t>
      </w:r>
      <w:r w:rsidR="00F71D5A" w:rsidRPr="00273106">
        <w:rPr>
          <w:noProof/>
        </w:rPr>
        <w:t>chápe kvantitu v pojetí jsoucího jako jsoucího (</w:t>
      </w:r>
      <w:r w:rsidR="00F71D5A" w:rsidRPr="00273106">
        <w:rPr>
          <w:i/>
          <w:noProof/>
        </w:rPr>
        <w:t>in quantum ens est</w:t>
      </w:r>
      <w:r w:rsidR="00F71D5A" w:rsidRPr="00273106">
        <w:rPr>
          <w:noProof/>
        </w:rPr>
        <w:t>) a vyvozuje její obecné vlastnosti (</w:t>
      </w:r>
      <w:r w:rsidR="00F71D5A" w:rsidRPr="00273106">
        <w:rPr>
          <w:i/>
          <w:noProof/>
        </w:rPr>
        <w:t>proprietates eius communes</w:t>
      </w:r>
      <w:r w:rsidR="00F71D5A" w:rsidRPr="00273106">
        <w:rPr>
          <w:noProof/>
        </w:rPr>
        <w:t>) jako důsledky takto daného určení jsoucna (</w:t>
      </w:r>
      <w:r w:rsidR="00F71D5A" w:rsidRPr="00273106">
        <w:rPr>
          <w:i/>
          <w:noProof/>
        </w:rPr>
        <w:t>quae rationem entitatis eius consequuntur</w:t>
      </w:r>
      <w:r w:rsidR="00F71D5A" w:rsidRPr="00273106">
        <w:rPr>
          <w:noProof/>
        </w:rPr>
        <w:t>).</w:t>
      </w:r>
      <w:r w:rsidR="007F16D7" w:rsidRPr="00273106">
        <w:rPr>
          <w:noProof/>
        </w:rPr>
        <w:t xml:space="preserve"> </w:t>
      </w:r>
      <w:r w:rsidR="00E34AEB" w:rsidRPr="00E34AEB">
        <w:rPr>
          <w:noProof/>
        </w:rPr>
        <w:t xml:space="preserve">Kvantita je tedy jsoucno, které je určeno bytím jako čistá </w:t>
      </w:r>
      <w:r w:rsidR="00E34AEB">
        <w:rPr>
          <w:noProof/>
          <w:lang w:val="cs-CZ"/>
        </w:rPr>
        <w:t xml:space="preserve">esence </w:t>
      </w:r>
      <w:r w:rsidR="00E34AEB" w:rsidRPr="00E34AEB">
        <w:rPr>
          <w:noProof/>
        </w:rPr>
        <w:t>(</w:t>
      </w:r>
      <w:r w:rsidR="00E34AEB" w:rsidRPr="00E34AEB">
        <w:rPr>
          <w:i/>
          <w:noProof/>
        </w:rPr>
        <w:t>quantitas ens sit</w:t>
      </w:r>
      <w:r w:rsidR="00E34AEB" w:rsidRPr="00E34AEB">
        <w:rPr>
          <w:noProof/>
        </w:rPr>
        <w:t xml:space="preserve">), a jsoucno, které je určeno kvantifikací </w:t>
      </w:r>
      <w:r w:rsidR="0031755C">
        <w:rPr>
          <w:noProof/>
          <w:lang w:val="cs-CZ"/>
        </w:rPr>
        <w:t xml:space="preserve">vztaženou k esenci </w:t>
      </w:r>
      <w:r w:rsidR="00E34AEB" w:rsidRPr="00E34AEB">
        <w:rPr>
          <w:noProof/>
        </w:rPr>
        <w:t>(</w:t>
      </w:r>
      <w:r w:rsidR="00E34AEB" w:rsidRPr="00E34AEB">
        <w:rPr>
          <w:i/>
          <w:noProof/>
        </w:rPr>
        <w:t>ens tale</w:t>
      </w:r>
      <w:r w:rsidR="00E34AEB" w:rsidRPr="00E34AEB">
        <w:rPr>
          <w:noProof/>
        </w:rPr>
        <w:t>).</w:t>
      </w:r>
      <w:r w:rsidR="00E34AEB">
        <w:rPr>
          <w:noProof/>
          <w:lang w:val="cs-CZ"/>
        </w:rPr>
        <w:t xml:space="preserve"> </w:t>
      </w:r>
      <w:r w:rsidR="007B4249">
        <w:rPr>
          <w:noProof/>
          <w:lang w:val="cs-CZ"/>
        </w:rPr>
        <w:t>M</w:t>
      </w:r>
      <w:r w:rsidR="00371FDE" w:rsidRPr="00273106">
        <w:rPr>
          <w:noProof/>
        </w:rPr>
        <w:t>etafyzik řeší to, co spadá do oblasti určení jsoucna jako jsoucna (</w:t>
      </w:r>
      <w:r w:rsidR="00371FDE" w:rsidRPr="00273106">
        <w:rPr>
          <w:i/>
          <w:noProof/>
        </w:rPr>
        <w:t>quod entis est</w:t>
      </w:r>
      <w:r w:rsidR="00371FDE" w:rsidRPr="00273106">
        <w:rPr>
          <w:noProof/>
        </w:rPr>
        <w:t>)</w:t>
      </w:r>
      <w:r w:rsidR="0012105D">
        <w:rPr>
          <w:noProof/>
          <w:lang w:val="cs-CZ"/>
        </w:rPr>
        <w:t>;</w:t>
      </w:r>
      <w:r w:rsidR="00371FDE" w:rsidRPr="00273106">
        <w:rPr>
          <w:noProof/>
        </w:rPr>
        <w:t xml:space="preserve"> matematik řeší to, co spadá do určení jsoucna v jeho </w:t>
      </w:r>
      <w:r w:rsidR="08130B22">
        <w:rPr>
          <w:noProof/>
          <w:lang w:val="cs-CZ"/>
        </w:rPr>
        <w:t>individualitě</w:t>
      </w:r>
      <w:r w:rsidR="00371FDE" w:rsidRPr="00273106">
        <w:rPr>
          <w:noProof/>
        </w:rPr>
        <w:t xml:space="preserve"> (</w:t>
      </w:r>
      <w:r w:rsidR="00371FDE" w:rsidRPr="00273106">
        <w:rPr>
          <w:i/>
          <w:noProof/>
        </w:rPr>
        <w:t>quod talis entis</w:t>
      </w:r>
      <w:r w:rsidR="00371FDE" w:rsidRPr="00273106">
        <w:rPr>
          <w:noProof/>
        </w:rPr>
        <w:t>).</w:t>
      </w:r>
      <w:r w:rsidR="0093494E" w:rsidRPr="00273106">
        <w:rPr>
          <w:noProof/>
        </w:rPr>
        <w:t>“</w:t>
      </w:r>
      <w:r w:rsidR="00371FDE" w:rsidRPr="00273106">
        <w:rPr>
          <w:noProof/>
        </w:rPr>
        <w:t xml:space="preserve"> </w:t>
      </w:r>
      <w:r w:rsidR="00B96F92" w:rsidRPr="00273106">
        <w:rPr>
          <w:rStyle w:val="Znakapoznpodarou"/>
          <w:noProof/>
          <w:lang w:val="cs-CZ"/>
        </w:rPr>
        <w:footnoteReference w:id="491"/>
      </w:r>
    </w:p>
    <w:p w14:paraId="07E83F08" w14:textId="3FF13336" w:rsidR="0855110D" w:rsidRDefault="00DB5137" w:rsidP="00516AB3">
      <w:r w:rsidRPr="00273106">
        <w:t xml:space="preserve">Citát </w:t>
      </w:r>
      <w:r w:rsidR="001A6F8B" w:rsidRPr="00273106">
        <w:t xml:space="preserve">sice </w:t>
      </w:r>
      <w:r w:rsidRPr="00273106">
        <w:t>odděluje</w:t>
      </w:r>
      <w:r w:rsidR="080803EB">
        <w:t xml:space="preserve"> matematiku a metafyziku</w:t>
      </w:r>
      <w:r w:rsidRPr="00273106">
        <w:t xml:space="preserve">, ale </w:t>
      </w:r>
      <w:r w:rsidR="0031755C">
        <w:t>obě determinace vztahuje k bytí pojatém jako moderní esence. S</w:t>
      </w:r>
      <w:r w:rsidR="00D834B1" w:rsidRPr="00273106">
        <w:t>ofisma je skryto ve výroku přisuzují</w:t>
      </w:r>
      <w:r w:rsidR="005A1C7D" w:rsidRPr="00273106">
        <w:t>cí</w:t>
      </w:r>
      <w:r w:rsidR="00D834B1" w:rsidRPr="00273106">
        <w:t xml:space="preserve">mu kvantitě </w:t>
      </w:r>
      <w:r w:rsidR="085A50FD">
        <w:t xml:space="preserve">metafyzický </w:t>
      </w:r>
      <w:r w:rsidR="00D834B1" w:rsidRPr="00273106">
        <w:t>status substance</w:t>
      </w:r>
      <w:r w:rsidR="00A70FA4">
        <w:fldChar w:fldCharType="begin"/>
      </w:r>
      <w:r w:rsidR="00A70FA4">
        <w:instrText xml:space="preserve"> XE "</w:instrText>
      </w:r>
      <w:r w:rsidR="00974DBC">
        <w:instrText>kvantita</w:instrText>
      </w:r>
      <w:r w:rsidR="00A70FA4">
        <w:instrText xml:space="preserve">" </w:instrText>
      </w:r>
      <w:r w:rsidR="00A70FA4">
        <w:fldChar w:fldCharType="end"/>
      </w:r>
      <w:r w:rsidR="00254930" w:rsidRPr="00273106">
        <w:t xml:space="preserve"> třetího druhu</w:t>
      </w:r>
      <w:r w:rsidR="089F35DF" w:rsidRPr="00273106">
        <w:t xml:space="preserve">. Z kvantity se stal zvláštní druh jsoucna </w:t>
      </w:r>
      <w:r w:rsidR="000C082D" w:rsidRPr="00273106">
        <w:t>(</w:t>
      </w:r>
      <w:r w:rsidR="000C082D" w:rsidRPr="00273106">
        <w:rPr>
          <w:i/>
        </w:rPr>
        <w:t>quantitas ens sit</w:t>
      </w:r>
      <w:r w:rsidR="000C082D" w:rsidRPr="00273106">
        <w:t xml:space="preserve">) </w:t>
      </w:r>
      <w:r w:rsidR="00D834B1" w:rsidRPr="00273106">
        <w:t>a to</w:t>
      </w:r>
      <w:r w:rsidR="001C45C0" w:rsidRPr="00273106">
        <w:t xml:space="preserve">to </w:t>
      </w:r>
      <w:r w:rsidR="00F53C2C" w:rsidRPr="00273106">
        <w:t xml:space="preserve">metafyzicky </w:t>
      </w:r>
      <w:r w:rsidR="001C45C0" w:rsidRPr="00273106">
        <w:t xml:space="preserve">kvantifikované jsoucno </w:t>
      </w:r>
      <w:r w:rsidR="00D834B1" w:rsidRPr="00273106">
        <w:t>je vzato ze dvou pohledů</w:t>
      </w:r>
      <w:r w:rsidR="00041174" w:rsidRPr="00273106">
        <w:t>. M</w:t>
      </w:r>
      <w:r w:rsidR="08BD033F">
        <w:t xml:space="preserve">atematik </w:t>
      </w:r>
      <w:r w:rsidR="00D834B1" w:rsidRPr="00273106">
        <w:t xml:space="preserve">chápe </w:t>
      </w:r>
      <w:r w:rsidR="08BD033F">
        <w:t xml:space="preserve">kvantitu </w:t>
      </w:r>
      <w:r w:rsidR="00D834B1" w:rsidRPr="00273106">
        <w:t xml:space="preserve">z hlediska nižší abstrakce </w:t>
      </w:r>
      <w:r w:rsidR="008C365F" w:rsidRPr="00273106">
        <w:t>vztažené</w:t>
      </w:r>
      <w:r w:rsidR="00595A65" w:rsidRPr="00273106">
        <w:t xml:space="preserve"> k </w:t>
      </w:r>
      <w:r w:rsidR="008C365F" w:rsidRPr="00273106">
        <w:t xml:space="preserve">formálně určenému </w:t>
      </w:r>
      <w:r w:rsidR="00595A65" w:rsidRPr="00273106">
        <w:t xml:space="preserve">tělesu </w:t>
      </w:r>
      <w:r w:rsidR="00D834B1" w:rsidRPr="00273106">
        <w:t>(</w:t>
      </w:r>
      <w:r w:rsidR="00D834B1" w:rsidRPr="00273106">
        <w:rPr>
          <w:i/>
          <w:szCs w:val="21"/>
        </w:rPr>
        <w:t>quod talis entis</w:t>
      </w:r>
      <w:r w:rsidR="00550D46">
        <w:t>). M</w:t>
      </w:r>
      <w:r w:rsidR="00D834B1" w:rsidRPr="00273106">
        <w:t xml:space="preserve">etafyzik </w:t>
      </w:r>
      <w:r w:rsidR="00595A65" w:rsidRPr="00273106">
        <w:t xml:space="preserve">toto těleso bere </w:t>
      </w:r>
      <w:r w:rsidR="00D834B1" w:rsidRPr="00273106">
        <w:t xml:space="preserve">z hlediska jeho </w:t>
      </w:r>
      <w:r w:rsidR="08BD033F">
        <w:t xml:space="preserve">bytnosti nazírané skrze objektivní parousii čisté eidetické jsoucnosti </w:t>
      </w:r>
      <w:r w:rsidR="00D834B1" w:rsidRPr="00273106">
        <w:t>(</w:t>
      </w:r>
      <w:r w:rsidR="00D834B1" w:rsidRPr="00273106">
        <w:rPr>
          <w:i/>
          <w:szCs w:val="21"/>
        </w:rPr>
        <w:t>quod entis est</w:t>
      </w:r>
      <w:r w:rsidR="00D834B1" w:rsidRPr="00273106">
        <w:t>).</w:t>
      </w:r>
      <w:r w:rsidR="08D33350">
        <w:t xml:space="preserve"> </w:t>
      </w:r>
      <w:r w:rsidR="087E3EAB">
        <w:t xml:space="preserve">Zavedením univerzální esence jsoucnosti dané jako </w:t>
      </w:r>
      <w:r w:rsidR="00B1298A">
        <w:rPr>
          <w:i/>
        </w:rPr>
        <w:t>genus</w:t>
      </w:r>
      <w:r w:rsidR="087E3EAB">
        <w:t xml:space="preserve"> </w:t>
      </w:r>
      <w:r w:rsidR="08D33350" w:rsidRPr="00273106">
        <w:t>přestala platit</w:t>
      </w:r>
      <w:r w:rsidR="08D33350">
        <w:t xml:space="preserve"> klasická nauka </w:t>
      </w:r>
      <w:r w:rsidR="08D33350" w:rsidRPr="08D33350">
        <w:rPr>
          <w:i/>
        </w:rPr>
        <w:t>K</w:t>
      </w:r>
      <w:r w:rsidR="00391F23" w:rsidRPr="08D33350">
        <w:rPr>
          <w:i/>
        </w:rPr>
        <w:t>ategorií</w:t>
      </w:r>
      <w:r w:rsidR="00391F23" w:rsidRPr="00273106">
        <w:t xml:space="preserve"> o jedné substanci a jejích akcidentál</w:t>
      </w:r>
      <w:r w:rsidR="00D243C6" w:rsidRPr="00273106">
        <w:t xml:space="preserve">ních modech. </w:t>
      </w:r>
      <w:r w:rsidR="00CB4601" w:rsidRPr="00273106">
        <w:t>Kvantita se přesunula od akcident</w:t>
      </w:r>
      <w:r w:rsidR="00CB4601">
        <w:t xml:space="preserve">u na úroveň objektivní esence predikované jako druhá substance. </w:t>
      </w:r>
      <w:r w:rsidR="000162D9" w:rsidRPr="000162D9">
        <w:t xml:space="preserve">Bohužel tato univerzálnost je založena na logické nutnosti </w:t>
      </w:r>
      <w:r w:rsidR="000162D9">
        <w:t>dané jako supozice</w:t>
      </w:r>
      <w:r w:rsidR="000162D9" w:rsidRPr="000162D9">
        <w:t xml:space="preserve">, a nikoli na metafyzické nutnosti </w:t>
      </w:r>
      <w:r w:rsidR="000162D9">
        <w:t>dané skrze impozici</w:t>
      </w:r>
      <w:r w:rsidR="000162D9" w:rsidRPr="000162D9">
        <w:t>. Zánikem impozice se druhá aristotelská substance proměnila v porret</w:t>
      </w:r>
      <w:r w:rsidR="000162D9">
        <w:t>án</w:t>
      </w:r>
      <w:r w:rsidR="000162D9" w:rsidRPr="000162D9">
        <w:t xml:space="preserve">ské </w:t>
      </w:r>
      <w:r w:rsidR="000162D9" w:rsidRPr="000162D9">
        <w:rPr>
          <w:i/>
        </w:rPr>
        <w:t>individuum</w:t>
      </w:r>
      <w:r w:rsidR="000162D9">
        <w:t>. Kvantita přestala být akcident</w:t>
      </w:r>
      <w:r w:rsidR="000162D9" w:rsidRPr="000162D9">
        <w:t>, neboť nabyla univerzální analogické hodnoty na st</w:t>
      </w:r>
      <w:r w:rsidR="000162D9">
        <w:t>ejné úrovni jako moderní druhá „substance“</w:t>
      </w:r>
      <w:r w:rsidR="000162D9" w:rsidRPr="000162D9">
        <w:t>. Kvantita se posunula na úroveň objektivních esencí, které jsou predikovány jako druhé substance.</w:t>
      </w:r>
      <w:r w:rsidR="000162D9">
        <w:t xml:space="preserve"> </w:t>
      </w:r>
      <w:r w:rsidR="00CB4601" w:rsidRPr="00273106">
        <w:t xml:space="preserve">Z kvantity se stala univerzální hypostáze a je predikovaná v rámci kategoriální univerzální predikace. </w:t>
      </w:r>
      <w:r w:rsidR="00CB4601">
        <w:t>L</w:t>
      </w:r>
      <w:r w:rsidR="00CB4601" w:rsidRPr="00CB4601">
        <w:t xml:space="preserve">ogická </w:t>
      </w:r>
      <w:r w:rsidR="00CB4601">
        <w:t xml:space="preserve">supozice stojí na prvním místě a </w:t>
      </w:r>
      <w:r w:rsidR="00CB4601" w:rsidRPr="00CB4601">
        <w:t>řídí</w:t>
      </w:r>
      <w:r w:rsidR="00CB4601">
        <w:t xml:space="preserve"> se</w:t>
      </w:r>
      <w:r w:rsidR="00CB4601" w:rsidRPr="00CB4601">
        <w:t xml:space="preserve"> druhou triádou poznávacích principů podle </w:t>
      </w:r>
      <w:r w:rsidR="00CB4601">
        <w:t>Oxfordského bludu</w:t>
      </w:r>
      <w:r w:rsidR="00CB4601" w:rsidRPr="00CB4601">
        <w:t xml:space="preserve">. </w:t>
      </w:r>
      <w:r w:rsidR="00CB4601">
        <w:t xml:space="preserve">Impozice </w:t>
      </w:r>
      <w:r w:rsidR="00CB4601" w:rsidRPr="00CB4601">
        <w:t>kvantity v klasické kategorické predi</w:t>
      </w:r>
      <w:r w:rsidR="00D95EC7">
        <w:t>kaci následuje jako druhý krok, až po zjistění existence a kauzality hyparch</w:t>
      </w:r>
      <w:r w:rsidR="004A5D33">
        <w:t>ických</w:t>
      </w:r>
      <w:r w:rsidR="00D95EC7">
        <w:t xml:space="preserve"> první</w:t>
      </w:r>
      <w:r w:rsidR="004A5D33">
        <w:t>ch substancí</w:t>
      </w:r>
      <w:r w:rsidR="00D95EC7">
        <w:t>. Kilwardby ji má jako první krok, protože p</w:t>
      </w:r>
      <w:r w:rsidR="00CB4601" w:rsidRPr="00CB4601">
        <w:t xml:space="preserve">rvní triáda </w:t>
      </w:r>
      <w:r w:rsidR="00D95EC7">
        <w:t xml:space="preserve">kognitivních principů </w:t>
      </w:r>
      <w:r w:rsidR="00CB4601" w:rsidRPr="00CB4601">
        <w:t xml:space="preserve">přestala tvořit základ moderní vědy. Jde o typické schéma Grossetesteova dualismu mezi vědou jako </w:t>
      </w:r>
      <w:r w:rsidR="00CB4601" w:rsidRPr="00CB4601">
        <w:rPr>
          <w:i/>
        </w:rPr>
        <w:t>intellectus</w:t>
      </w:r>
      <w:r w:rsidR="00CB4601" w:rsidRPr="00CB4601">
        <w:t xml:space="preserve"> a </w:t>
      </w:r>
      <w:r w:rsidR="00CB4601" w:rsidRPr="00CB4601">
        <w:rPr>
          <w:i/>
        </w:rPr>
        <w:t>scientia</w:t>
      </w:r>
      <w:r w:rsidR="004A5D33">
        <w:rPr>
          <w:i/>
        </w:rPr>
        <w:fldChar w:fldCharType="begin"/>
      </w:r>
      <w:r w:rsidR="004A5D33">
        <w:instrText xml:space="preserve"> XE "</w:instrText>
      </w:r>
      <w:r w:rsidR="004A5D33" w:rsidRPr="002D2B36">
        <w:rPr>
          <w:i/>
        </w:rPr>
        <w:instrText>scientia/intellectus</w:instrText>
      </w:r>
      <w:r w:rsidR="004A5D33">
        <w:instrText xml:space="preserve">" </w:instrText>
      </w:r>
      <w:r w:rsidR="004A5D33">
        <w:rPr>
          <w:i/>
        </w:rPr>
        <w:fldChar w:fldCharType="end"/>
      </w:r>
      <w:r w:rsidR="00CB4601" w:rsidRPr="00CB4601">
        <w:t>.</w:t>
      </w:r>
      <w:r w:rsidR="00CB4601">
        <w:t xml:space="preserve"> D</w:t>
      </w:r>
      <w:r w:rsidR="08D33350">
        <w:t>ruhá s</w:t>
      </w:r>
      <w:r w:rsidR="00996D53" w:rsidRPr="00273106">
        <w:t xml:space="preserve">ubstance </w:t>
      </w:r>
      <w:r w:rsidR="0006437C">
        <w:t>vytvořená moderními</w:t>
      </w:r>
      <w:r w:rsidR="009064D6" w:rsidRPr="00273106">
        <w:t xml:space="preserve"> porr</w:t>
      </w:r>
      <w:r w:rsidR="0006437C">
        <w:t>etány</w:t>
      </w:r>
      <w:r w:rsidR="009064D6" w:rsidRPr="00273106">
        <w:t xml:space="preserve"> na Oxfordu </w:t>
      </w:r>
      <w:r w:rsidR="08D33350">
        <w:t xml:space="preserve">dostala </w:t>
      </w:r>
      <w:r w:rsidR="009064D6" w:rsidRPr="00273106">
        <w:t>po zavedení unive</w:t>
      </w:r>
      <w:r w:rsidR="00182E9D" w:rsidRPr="00273106">
        <w:t>r</w:t>
      </w:r>
      <w:r w:rsidR="009064D6" w:rsidRPr="00273106">
        <w:t>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9064D6" w:rsidRPr="00273106">
        <w:t xml:space="preserve"> nejen charakter hypostáze, ale i </w:t>
      </w:r>
      <w:r w:rsidR="00996D53" w:rsidRPr="00273106">
        <w:t>hylemorfický charakter</w:t>
      </w:r>
      <w:r w:rsidR="00927288" w:rsidRPr="00273106">
        <w:t xml:space="preserve"> první substance. </w:t>
      </w:r>
      <w:r w:rsidR="00406AA3" w:rsidRPr="00273106">
        <w:t xml:space="preserve">Kilwardby komponuje </w:t>
      </w:r>
      <w:r w:rsidR="00AB6F62">
        <w:t>o</w:t>
      </w:r>
      <w:r w:rsidR="00AB6F62" w:rsidRPr="00273106">
        <w:t xml:space="preserve">bjektivní substanci </w:t>
      </w:r>
      <w:r w:rsidR="00406AA3" w:rsidRPr="00273106">
        <w:t xml:space="preserve">stejně jako Rufus </w:t>
      </w:r>
      <w:r w:rsidR="086E6A4F">
        <w:t xml:space="preserve"> (</w:t>
      </w:r>
      <w:r w:rsidR="004B4D52" w:rsidRPr="004B4D52">
        <w:t>species</w:t>
      </w:r>
      <w:r w:rsidR="086E6A4F" w:rsidRPr="00273106">
        <w:rPr>
          <w:i/>
        </w:rPr>
        <w:t xml:space="preserve"> obiecti exsistentis</w:t>
      </w:r>
      <w:r w:rsidR="081231C7">
        <w:t>, kap. 3</w:t>
      </w:r>
      <w:r w:rsidR="086E6A4F">
        <w:t xml:space="preserve">.3.4) </w:t>
      </w:r>
      <w:r w:rsidR="00406AA3" w:rsidRPr="00273106">
        <w:t xml:space="preserve">nebo Grossetesteho škola v díle </w:t>
      </w:r>
      <w:r w:rsidR="00406AA3" w:rsidRPr="00273106">
        <w:rPr>
          <w:i/>
        </w:rPr>
        <w:t>Summa philosophiae</w:t>
      </w:r>
      <w:r w:rsidR="00406AA3" w:rsidRPr="00273106">
        <w:t xml:space="preserve"> (</w:t>
      </w:r>
      <w:r w:rsidR="0857024A" w:rsidRPr="00273106">
        <w:rPr>
          <w:i/>
        </w:rPr>
        <w:t>re in pura potentia et actu et forma essential</w:t>
      </w:r>
      <w:r w:rsidR="0857024A">
        <w:rPr>
          <w:i/>
        </w:rPr>
        <w:t xml:space="preserve">i eiusdem potentiae perfectiva, </w:t>
      </w:r>
      <w:r w:rsidR="081231C7">
        <w:t>kap. 3</w:t>
      </w:r>
      <w:r w:rsidR="00406AA3" w:rsidRPr="00273106">
        <w:t xml:space="preserve">.1.3). </w:t>
      </w:r>
      <w:r w:rsidR="08E51590">
        <w:t xml:space="preserve">Citát </w:t>
      </w:r>
      <w:r w:rsidR="080320F7">
        <w:t xml:space="preserve">sofisticky </w:t>
      </w:r>
      <w:r w:rsidR="00232AA2">
        <w:t xml:space="preserve">provádí </w:t>
      </w:r>
      <w:r w:rsidR="00F25351" w:rsidRPr="00273106">
        <w:t xml:space="preserve">kompozici </w:t>
      </w:r>
      <w:r w:rsidR="080320F7">
        <w:t xml:space="preserve">metafyzického </w:t>
      </w:r>
      <w:r w:rsidR="00F25351" w:rsidRPr="00273106">
        <w:t>individua</w:t>
      </w:r>
      <w:r w:rsidR="080320F7">
        <w:t xml:space="preserve">, </w:t>
      </w:r>
      <w:r w:rsidR="00C60A82">
        <w:t xml:space="preserve">které je ve skutečnosti stejné jako </w:t>
      </w:r>
      <w:r w:rsidR="00F25351" w:rsidRPr="00273106">
        <w:t xml:space="preserve"> </w:t>
      </w:r>
      <w:r w:rsidR="00C60A82">
        <w:t xml:space="preserve">Rufusem determinované matematické </w:t>
      </w:r>
      <w:r w:rsidR="00C60A82" w:rsidRPr="00C60A82">
        <w:rPr>
          <w:i/>
        </w:rPr>
        <w:t>individuum</w:t>
      </w:r>
      <w:r w:rsidR="00C60A82">
        <w:t xml:space="preserve">, </w:t>
      </w:r>
      <w:r w:rsidR="00C60A82" w:rsidRPr="00C60A82">
        <w:rPr>
          <w:i/>
        </w:rPr>
        <w:t>concretum</w:t>
      </w:r>
      <w:r w:rsidR="00C60A82">
        <w:t xml:space="preserve"> nebo </w:t>
      </w:r>
      <w:r w:rsidR="00C60A82" w:rsidRPr="00C60A82">
        <w:rPr>
          <w:i/>
        </w:rPr>
        <w:t>scibile</w:t>
      </w:r>
      <w:r w:rsidR="00F25351" w:rsidRPr="00273106">
        <w:t xml:space="preserve">. </w:t>
      </w:r>
      <w:r w:rsidR="08E51590">
        <w:t xml:space="preserve">Kilwardby </w:t>
      </w:r>
      <w:r w:rsidR="0855110D">
        <w:t>zavedl</w:t>
      </w:r>
      <w:r w:rsidR="08E51590" w:rsidRPr="00273106">
        <w:t xml:space="preserve"> </w:t>
      </w:r>
      <w:r w:rsidR="00F25351" w:rsidRPr="00273106">
        <w:t xml:space="preserve">po vzoru Rufuse Avicebronovu </w:t>
      </w:r>
      <w:r w:rsidR="00773B9D">
        <w:t xml:space="preserve">mytologickou </w:t>
      </w:r>
      <w:r w:rsidR="00F25351" w:rsidRPr="00273106">
        <w:t xml:space="preserve">materii jako </w:t>
      </w:r>
      <w:r w:rsidR="00F25351" w:rsidRPr="00273106">
        <w:rPr>
          <w:i/>
        </w:rPr>
        <w:t>tertium ens</w:t>
      </w:r>
      <w:r w:rsidR="003F16A5">
        <w:rPr>
          <w:i/>
        </w:rPr>
        <w:fldChar w:fldCharType="begin"/>
      </w:r>
      <w:r w:rsidR="003F16A5">
        <w:instrText xml:space="preserve"> XE "</w:instrText>
      </w:r>
      <w:r w:rsidR="003F16A5" w:rsidRPr="002F10B4">
        <w:rPr>
          <w:rStyle w:val="Zvraznn"/>
        </w:rPr>
        <w:instrText>tertium ens</w:instrText>
      </w:r>
      <w:r w:rsidR="00AB6F62">
        <w:rPr>
          <w:rStyle w:val="Zvraznn"/>
        </w:rPr>
        <w:instrText>:</w:instrText>
      </w:r>
      <w:r w:rsidR="00AB6F62" w:rsidRPr="00AB6F62">
        <w:rPr>
          <w:rStyle w:val="Zvraznn"/>
          <w:i w:val="0"/>
        </w:rPr>
        <w:instrText>Avicebron</w:instrText>
      </w:r>
      <w:r w:rsidR="003F16A5">
        <w:instrText xml:space="preserve">" </w:instrText>
      </w:r>
      <w:r w:rsidR="003F16A5">
        <w:rPr>
          <w:i/>
        </w:rPr>
        <w:fldChar w:fldCharType="end"/>
      </w:r>
      <w:r w:rsidR="0855110D">
        <w:t xml:space="preserve"> přímo do matematiky.</w:t>
      </w:r>
    </w:p>
    <w:p w14:paraId="73C6BFB7" w14:textId="77777777" w:rsidR="0855110D" w:rsidRDefault="00F25351" w:rsidP="08E530A6">
      <w:pPr>
        <w:pStyle w:val="Citace"/>
      </w:pPr>
      <w:r w:rsidRPr="00273106">
        <w:t>„</w:t>
      </w:r>
      <w:r w:rsidRPr="0855110D">
        <w:rPr>
          <w:rStyle w:val="CitaceChar"/>
        </w:rPr>
        <w:t>Takto substance abstrahuje od kvantity a tím ji způsobuje, proto se nazývá matematická materie.“ </w:t>
      </w:r>
      <w:r w:rsidRPr="08860479">
        <w:rPr>
          <w:rStyle w:val="Znakapoznpodarou"/>
        </w:rPr>
        <w:footnoteReference w:id="492"/>
      </w:r>
      <w:r w:rsidR="0855110D">
        <w:t xml:space="preserve"> </w:t>
      </w:r>
    </w:p>
    <w:p w14:paraId="390B0CA2" w14:textId="77777777" w:rsidR="00E553A5" w:rsidRDefault="00AF3148" w:rsidP="00516AB3">
      <w:r w:rsidRPr="00273106">
        <w:t>Matematika vytváří kvantitu jako novou formu látky</w:t>
      </w:r>
      <w:r w:rsidR="00AB6F62">
        <w:fldChar w:fldCharType="begin"/>
      </w:r>
      <w:r w:rsidR="00AB6F62">
        <w:instrText xml:space="preserve"> XE "</w:instrText>
      </w:r>
      <w:r w:rsidR="00AB6F62" w:rsidRPr="00225168">
        <w:instrText>materie:objektivní</w:instrText>
      </w:r>
      <w:r w:rsidR="00AB6F62">
        <w:instrText xml:space="preserve">" </w:instrText>
      </w:r>
      <w:r w:rsidR="00AB6F62">
        <w:fldChar w:fldCharType="end"/>
      </w:r>
      <w:r w:rsidRPr="00273106">
        <w:t xml:space="preserve">. </w:t>
      </w:r>
      <w:r w:rsidR="001D4EBD" w:rsidRPr="00273106">
        <w:t xml:space="preserve">Tato materie třetího druhu </w:t>
      </w:r>
      <w:r w:rsidR="0000252C" w:rsidRPr="00273106">
        <w:t xml:space="preserve">existuje v podobě </w:t>
      </w:r>
      <w:r w:rsidR="00666262" w:rsidRPr="00273106">
        <w:t>matematicky určené rozsažnosti, což poprvé z</w:t>
      </w:r>
      <w:r w:rsidR="008E5CD8">
        <w:t>avedl neoplatonismus (</w:t>
      </w:r>
      <w:r w:rsidR="08E530A6">
        <w:t xml:space="preserve">OBJ I, </w:t>
      </w:r>
      <w:r w:rsidR="084E7952">
        <w:t>kap. 1.3</w:t>
      </w:r>
      <w:r w:rsidR="008E5CD8">
        <w:t>.3</w:t>
      </w:r>
      <w:r w:rsidR="00666262" w:rsidRPr="00273106">
        <w:t xml:space="preserve">). </w:t>
      </w:r>
      <w:r w:rsidR="00232AA2" w:rsidRPr="00273106">
        <w:t>Základem nové metafyziky se stává matematika</w:t>
      </w:r>
      <w:r w:rsidR="00E67D4E">
        <w:fldChar w:fldCharType="begin"/>
      </w:r>
      <w:r w:rsidR="00E67D4E">
        <w:instrText xml:space="preserve"> XE "</w:instrText>
      </w:r>
      <w:r w:rsidR="00E67D4E" w:rsidRPr="00DC040D">
        <w:instrText>matematika</w:instrText>
      </w:r>
      <w:r w:rsidR="00E67D4E">
        <w:instrText xml:space="preserve">" </w:instrText>
      </w:r>
      <w:r w:rsidR="00E67D4E">
        <w:fldChar w:fldCharType="end"/>
      </w:r>
      <w:r w:rsidR="00232AA2" w:rsidRPr="00273106">
        <w:t xml:space="preserve">, protože číslo je poslední porretánské individuum </w:t>
      </w:r>
      <w:r w:rsidR="00537D81">
        <w:t>v řadě dělení</w:t>
      </w:r>
      <w:r w:rsidR="00232AA2" w:rsidRPr="00273106">
        <w:t xml:space="preserve"> </w:t>
      </w:r>
      <w:r w:rsidR="00537D81">
        <w:t>matematických</w:t>
      </w:r>
      <w:r w:rsidR="00232AA2" w:rsidRPr="00273106">
        <w:t xml:space="preserve"> </w:t>
      </w:r>
      <w:r w:rsidR="004B4D52" w:rsidRPr="004B4D52">
        <w:t>species</w:t>
      </w:r>
      <w:r w:rsidR="00537D81">
        <w:t>. Toto dělení je v linii univerzálního hylemorfismu</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537D81">
        <w:t xml:space="preserve"> aplikované na obě formy materie, fyzikální i matematickou</w:t>
      </w:r>
      <w:r w:rsidR="00232AA2" w:rsidRPr="00273106">
        <w:t>: „</w:t>
      </w:r>
      <w:r w:rsidR="00232AA2" w:rsidRPr="00273106">
        <w:rPr>
          <w:i/>
        </w:rPr>
        <w:t>Unde materia mathematica involuta est intra physicam</w:t>
      </w:r>
      <w:r w:rsidR="00232AA2" w:rsidRPr="00273106">
        <w:t>.“ (ibid, p. 94.5</w:t>
      </w:r>
      <w:r w:rsidR="00AB6F62">
        <w:fldChar w:fldCharType="begin"/>
      </w:r>
      <w:r w:rsidR="00AB6F62">
        <w:instrText xml:space="preserve"> XE "Kilwardby:</w:instrText>
      </w:r>
      <w:r w:rsidR="00AB6F62" w:rsidRPr="00F529DF">
        <w:rPr>
          <w:i/>
        </w:rPr>
        <w:instrText>De ortu scientiarum</w:instrText>
      </w:r>
      <w:r w:rsidR="00AB6F62" w:rsidRPr="00F529DF">
        <w:instrText xml:space="preserve"> </w:instrText>
      </w:r>
      <w:r w:rsidR="00AB6F62">
        <w:instrText xml:space="preserve">94.5" </w:instrText>
      </w:r>
      <w:r w:rsidR="00AB6F62">
        <w:fldChar w:fldCharType="end"/>
      </w:r>
      <w:r w:rsidR="00232AA2" w:rsidRPr="00273106">
        <w:t>)</w:t>
      </w:r>
      <w:r w:rsidR="00232AA2">
        <w:t xml:space="preserve"> </w:t>
      </w:r>
      <w:r w:rsidR="00E42A38" w:rsidRPr="00273106">
        <w:t xml:space="preserve">Nové pojetí </w:t>
      </w:r>
      <w:r w:rsidR="002D77C2">
        <w:t>„</w:t>
      </w:r>
      <w:r w:rsidR="08D35B94">
        <w:t xml:space="preserve">involučního </w:t>
      </w:r>
      <w:r w:rsidR="00E42A38" w:rsidRPr="00273106">
        <w:t>tělesa</w:t>
      </w:r>
      <w:r w:rsidR="002D77C2">
        <w:t>“</w:t>
      </w:r>
      <w:r w:rsidR="00E42A38" w:rsidRPr="00273106">
        <w:t xml:space="preserve"> </w:t>
      </w:r>
      <w:r w:rsidR="002D77C2">
        <w:t xml:space="preserve">jako jsoucna </w:t>
      </w:r>
      <w:r w:rsidR="08D35B94">
        <w:t xml:space="preserve">třetího druhu </w:t>
      </w:r>
      <w:r w:rsidR="00E42A38" w:rsidRPr="00273106">
        <w:t>vytěsnilo primát</w:t>
      </w:r>
      <w:r w:rsidR="087239DB">
        <w:t xml:space="preserve"> aktuálně dané první substance ať už materiální či nemateriální</w:t>
      </w:r>
      <w:r w:rsidR="00E42A38" w:rsidRPr="00273106">
        <w:t xml:space="preserve">, </w:t>
      </w:r>
      <w:r w:rsidR="087239DB">
        <w:t>jež byla v</w:t>
      </w:r>
      <w:r w:rsidR="00FF55CC">
        <w:t xml:space="preserve"> prvním averroismu </w:t>
      </w:r>
      <w:r w:rsidR="087239DB">
        <w:t>nezbytná</w:t>
      </w:r>
      <w:r w:rsidR="00E42A38" w:rsidRPr="00273106">
        <w:t xml:space="preserve"> pro </w:t>
      </w:r>
      <w:r w:rsidR="087239DB">
        <w:t>založení první vědy</w:t>
      </w:r>
      <w:r w:rsidR="00E42A38" w:rsidRPr="00273106">
        <w:t xml:space="preserve"> za fyzikou. </w:t>
      </w:r>
      <w:r w:rsidR="08707DE5">
        <w:t>Totéž provedl Rufus kvantovým</w:t>
      </w:r>
      <w:r w:rsidR="00F25351" w:rsidRPr="00273106">
        <w:t xml:space="preserve"> pojetím matematiky </w:t>
      </w:r>
      <w:r w:rsidR="086C479C">
        <w:t>dané ja</w:t>
      </w:r>
      <w:r w:rsidR="08707DE5">
        <w:t xml:space="preserve">ko diskrétní díl hypostázované potence </w:t>
      </w:r>
      <w:r w:rsidR="00F25351" w:rsidRPr="00273106">
        <w:t>(</w:t>
      </w:r>
      <w:r w:rsidR="00F25351" w:rsidRPr="00273106">
        <w:rPr>
          <w:i/>
        </w:rPr>
        <w:t>mensura...quantum in potentia</w:t>
      </w:r>
      <w:r w:rsidR="08ED10F5">
        <w:t>, kap. 3</w:t>
      </w:r>
      <w:r w:rsidR="00F25351" w:rsidRPr="00273106">
        <w:t xml:space="preserve">.3.2). </w:t>
      </w:r>
      <w:r w:rsidR="00021D0E">
        <w:t xml:space="preserve">Moderní </w:t>
      </w:r>
      <w:r w:rsidR="00570780" w:rsidRPr="00273106">
        <w:rPr>
          <w:i/>
        </w:rPr>
        <w:t>resolutio</w:t>
      </w:r>
      <w:r w:rsidR="007D3515" w:rsidRPr="00A45AB0">
        <w:fldChar w:fldCharType="begin"/>
      </w:r>
      <w:r w:rsidR="007D3515" w:rsidRPr="00A45AB0">
        <w:instrText xml:space="preserve"> XE "</w:instrText>
      </w:r>
      <w:r w:rsidR="007D3515" w:rsidRPr="00274E9F">
        <w:rPr>
          <w:i/>
        </w:rPr>
        <w:instrText>resolutio</w:instrText>
      </w:r>
      <w:r w:rsidR="007D3515">
        <w:rPr>
          <w:i/>
        </w:rPr>
        <w:instrText>:</w:instrText>
      </w:r>
      <w:r w:rsidR="007D3515">
        <w:instrText>Kilwardby</w:instrText>
      </w:r>
      <w:r w:rsidR="007D3515" w:rsidRPr="00A45AB0">
        <w:instrText xml:space="preserve">" </w:instrText>
      </w:r>
      <w:r w:rsidR="007D3515" w:rsidRPr="00A45AB0">
        <w:fldChar w:fldCharType="end"/>
      </w:r>
      <w:r w:rsidR="00021D0E">
        <w:t xml:space="preserve"> </w:t>
      </w:r>
      <w:r w:rsidR="005E1678">
        <w:t xml:space="preserve">bylo </w:t>
      </w:r>
      <w:r w:rsidR="00570780" w:rsidRPr="00273106">
        <w:t>založené na primátu numerické individuace a univerzálního hylemorfismu</w:t>
      </w:r>
      <w:r w:rsidR="005E1678">
        <w:t xml:space="preserve">. Tent nesmysl </w:t>
      </w:r>
      <w:r w:rsidR="001507D0">
        <w:fldChar w:fldCharType="begin"/>
      </w:r>
      <w:r w:rsidR="001507D0">
        <w:instrText xml:space="preserve"> XE "</w:instrText>
      </w:r>
      <w:r w:rsidR="001507D0" w:rsidRPr="00423560">
        <w:instrText>univerzální hylemorfismus</w:instrText>
      </w:r>
      <w:r w:rsidR="001507D0">
        <w:instrText xml:space="preserve">" </w:instrText>
      </w:r>
      <w:r w:rsidR="001507D0">
        <w:fldChar w:fldCharType="end"/>
      </w:r>
      <w:r w:rsidR="00570780" w:rsidRPr="00273106">
        <w:t xml:space="preserve"> zač</w:t>
      </w:r>
      <w:r w:rsidR="005E1678">
        <w:t xml:space="preserve">al </w:t>
      </w:r>
      <w:r w:rsidR="00570780" w:rsidRPr="00273106">
        <w:t xml:space="preserve">utvářet základy nové metafyziky </w:t>
      </w:r>
      <w:r w:rsidR="005E1678">
        <w:t xml:space="preserve">a moderní vědy </w:t>
      </w:r>
      <w:r w:rsidR="000B6B5F">
        <w:t xml:space="preserve">od </w:t>
      </w:r>
      <w:r w:rsidR="08DA3324">
        <w:t xml:space="preserve">roku </w:t>
      </w:r>
      <w:r w:rsidR="00570780" w:rsidRPr="00273106">
        <w:t xml:space="preserve">1250. </w:t>
      </w:r>
      <w:r w:rsidR="08DA3324">
        <w:t>Kilwardby určí místo</w:t>
      </w:r>
      <w:r w:rsidR="00BE1071" w:rsidRPr="00273106">
        <w:t xml:space="preserve"> (</w:t>
      </w:r>
      <w:r w:rsidR="00BE1071" w:rsidRPr="00273106">
        <w:rPr>
          <w:i/>
        </w:rPr>
        <w:t>ortus</w:t>
      </w:r>
      <w:r w:rsidR="00BE1071" w:rsidRPr="00273106">
        <w:t>) objektivního jsoucna jako základu věd (</w:t>
      </w:r>
      <w:r w:rsidR="00BE1071" w:rsidRPr="00273106">
        <w:rPr>
          <w:i/>
        </w:rPr>
        <w:t>scientiarum</w:t>
      </w:r>
      <w:r w:rsidR="00AB6F62">
        <w:rPr>
          <w:i/>
        </w:rPr>
        <w:fldChar w:fldCharType="begin"/>
      </w:r>
      <w:r w:rsidR="00AB6F62">
        <w:instrText xml:space="preserve"> XE "</w:instrText>
      </w:r>
      <w:r w:rsidR="00AB6F62" w:rsidRPr="00AB6F62">
        <w:rPr>
          <w:i/>
        </w:rPr>
        <w:instrText>Oxfordian Fallacy</w:instrText>
      </w:r>
      <w:r w:rsidR="00AB6F62" w:rsidRPr="00AB09D4">
        <w:instrText>:</w:instrText>
      </w:r>
      <w:r w:rsidR="00AB6F62" w:rsidRPr="00AB6F62">
        <w:rPr>
          <w:i/>
        </w:rPr>
        <w:instrText>scientia</w:instrText>
      </w:r>
      <w:r w:rsidR="00AB6F62">
        <w:instrText xml:space="preserve">" </w:instrText>
      </w:r>
      <w:r w:rsidR="00AB6F62">
        <w:rPr>
          <w:i/>
        </w:rPr>
        <w:fldChar w:fldCharType="end"/>
      </w:r>
      <w:r w:rsidR="00BE1071" w:rsidRPr="00273106">
        <w:t xml:space="preserve">) ve smyslu Heideggerova metafyzického </w:t>
      </w:r>
      <w:r w:rsidR="00BE1071" w:rsidRPr="00273106">
        <w:rPr>
          <w:i/>
        </w:rPr>
        <w:t>Gründung</w:t>
      </w:r>
      <w:r w:rsidR="00BE1071" w:rsidRPr="00273106">
        <w:t xml:space="preserve"> </w:t>
      </w:r>
      <w:r w:rsidR="00AB6F62">
        <w:rPr>
          <w:i/>
        </w:rPr>
        <w:fldChar w:fldCharType="begin"/>
      </w:r>
      <w:r w:rsidR="00AB6F62">
        <w:instrText xml:space="preserve"> XE "metafyzika:</w:instrText>
      </w:r>
      <w:r w:rsidR="00AB6F62" w:rsidRPr="00F1306C">
        <w:rPr>
          <w:i/>
        </w:rPr>
        <w:instrText>Gründung</w:instrText>
      </w:r>
      <w:r w:rsidR="00AB6F62">
        <w:instrText xml:space="preserve">" </w:instrText>
      </w:r>
      <w:r w:rsidR="00AB6F62">
        <w:rPr>
          <w:i/>
        </w:rPr>
        <w:fldChar w:fldCharType="end"/>
      </w:r>
      <w:r w:rsidR="00AB6F62" w:rsidRPr="00273106">
        <w:t xml:space="preserve"> </w:t>
      </w:r>
      <w:r w:rsidR="084E7952">
        <w:t>(</w:t>
      </w:r>
      <w:r w:rsidR="08ED10F5">
        <w:t xml:space="preserve">OBJ I, </w:t>
      </w:r>
      <w:r w:rsidR="084E7952">
        <w:t>kap. 1.2</w:t>
      </w:r>
      <w:r w:rsidR="00BE1071" w:rsidRPr="00273106">
        <w:t xml:space="preserve">). </w:t>
      </w:r>
      <w:r w:rsidR="08DA3324">
        <w:t>Od jsoucího jako jsoucího v modu Avicennova</w:t>
      </w:r>
      <w:r w:rsidR="001A3A30">
        <w:t xml:space="preserve"> </w:t>
      </w:r>
      <w:r w:rsidR="00660FB4" w:rsidRPr="001A3A30">
        <w:rPr>
          <w:i/>
        </w:rPr>
        <w:t>resolutio</w:t>
      </w:r>
      <w:r w:rsidR="001A3A30">
        <w:rPr>
          <w:i/>
        </w:rPr>
        <w:t xml:space="preserve"> </w:t>
      </w:r>
      <w:r w:rsidR="001A3A30" w:rsidRPr="001A3A30">
        <w:t>podle Filipa Kancléře</w:t>
      </w:r>
      <w:r w:rsidR="007E35B5">
        <w:t xml:space="preserve"> se přechází na </w:t>
      </w:r>
      <w:r w:rsidR="00660FB4">
        <w:t>analogický obraz světa v rámci teoretických věd</w:t>
      </w:r>
      <w:r w:rsidR="08DA3324">
        <w:t xml:space="preserve"> do </w:t>
      </w:r>
      <w:r w:rsidR="086C479C">
        <w:t xml:space="preserve">matematického </w:t>
      </w:r>
      <w:r w:rsidR="08DA3324">
        <w:t>modu Rufusova</w:t>
      </w:r>
      <w:r w:rsidR="001A3A30">
        <w:t xml:space="preserve"> </w:t>
      </w:r>
      <w:r w:rsidR="00AE6990">
        <w:rPr>
          <w:i/>
        </w:rPr>
        <w:t>scibile</w:t>
      </w:r>
      <w:r w:rsidR="003B4FA7">
        <w:rPr>
          <w:i/>
        </w:rPr>
        <w:fldChar w:fldCharType="begin"/>
      </w:r>
      <w:r w:rsidR="003B4FA7">
        <w:instrText xml:space="preserve"> XE "</w:instrText>
      </w:r>
      <w:r w:rsidR="003B4FA7" w:rsidRPr="00AA4F67">
        <w:rPr>
          <w:i/>
        </w:rPr>
        <w:instrText>scibile</w:instrText>
      </w:r>
      <w:r w:rsidR="00AB6F62">
        <w:instrText>:Kilwardby</w:instrText>
      </w:r>
      <w:r w:rsidR="003B4FA7">
        <w:instrText xml:space="preserve">" </w:instrText>
      </w:r>
      <w:r w:rsidR="003B4FA7">
        <w:rPr>
          <w:i/>
        </w:rPr>
        <w:fldChar w:fldCharType="end"/>
      </w:r>
      <w:r w:rsidR="08DA3324">
        <w:rPr>
          <w:i/>
        </w:rPr>
        <w:t xml:space="preserve"> </w:t>
      </w:r>
      <w:r w:rsidR="08DA3324" w:rsidRPr="08DA3324">
        <w:t xml:space="preserve">a </w:t>
      </w:r>
      <w:r w:rsidR="00AE6990">
        <w:rPr>
          <w:i/>
        </w:rPr>
        <w:t>concretum</w:t>
      </w:r>
      <w:r w:rsidR="003330AF">
        <w:rPr>
          <w:i/>
        </w:rPr>
        <w:fldChar w:fldCharType="begin"/>
      </w:r>
      <w:r w:rsidR="003330AF">
        <w:instrText xml:space="preserve"> XE "</w:instrText>
      </w:r>
      <w:r w:rsidR="003330AF" w:rsidRPr="00B759F5">
        <w:rPr>
          <w:i/>
        </w:rPr>
        <w:instrText>concretum</w:instrText>
      </w:r>
      <w:r w:rsidR="00AB6F62">
        <w:instrText>:Kilwardby</w:instrText>
      </w:r>
      <w:r w:rsidR="003330AF">
        <w:instrText xml:space="preserve">" </w:instrText>
      </w:r>
      <w:r w:rsidR="003330AF">
        <w:rPr>
          <w:i/>
        </w:rPr>
        <w:fldChar w:fldCharType="end"/>
      </w:r>
      <w:r w:rsidR="00660FB4">
        <w:t>. Třetí forma predikace</w:t>
      </w:r>
      <w:r w:rsidR="084A40AD">
        <w:t xml:space="preserve"> pak jde až do reálu</w:t>
      </w:r>
      <w:r w:rsidR="085D5FA9">
        <w:t xml:space="preserve"> v modu vědy jako Gross</w:t>
      </w:r>
      <w:r w:rsidR="081A64E7">
        <w:t>e</w:t>
      </w:r>
      <w:r w:rsidR="085D5FA9">
        <w:t xml:space="preserve">testeho </w:t>
      </w:r>
      <w:r w:rsidR="085D5FA9" w:rsidRPr="085D5FA9">
        <w:rPr>
          <w:i/>
        </w:rPr>
        <w:t>scientia</w:t>
      </w:r>
      <w:r w:rsidR="084A40AD">
        <w:t>, ale to už není pro fundamentální určení věd nutné</w:t>
      </w:r>
      <w:r w:rsidR="00E553A5">
        <w:t>.</w:t>
      </w:r>
    </w:p>
    <w:p w14:paraId="2AB5B6F5" w14:textId="69DC65DB" w:rsidR="00516AB3" w:rsidRPr="00273106" w:rsidRDefault="00E93E69" w:rsidP="00E553A5">
      <w:pPr>
        <w:ind w:firstLine="397"/>
      </w:pPr>
      <w:r w:rsidRPr="00E93E69">
        <w:t>Hermeneutická archeologie poukazuje na rostoucí význam matematické abstrakce</w:t>
      </w:r>
      <w:r>
        <w:fldChar w:fldCharType="begin"/>
      </w:r>
      <w:r>
        <w:instrText xml:space="preserve"> XE "</w:instrText>
      </w:r>
      <w:r w:rsidRPr="00A824F0">
        <w:instrText>abstrakce:matematická</w:instrText>
      </w:r>
      <w:r>
        <w:instrText xml:space="preserve">" </w:instrText>
      </w:r>
      <w:r>
        <w:fldChar w:fldCharType="end"/>
      </w:r>
      <w:r w:rsidRPr="00E93E69">
        <w:t xml:space="preserve"> v Kilwardbyho verzi </w:t>
      </w:r>
      <w:r w:rsidRPr="0093167C">
        <w:rPr>
          <w:i/>
        </w:rPr>
        <w:t>Oxfordian Fallacy</w:t>
      </w:r>
      <w:r w:rsidRPr="00E93E69">
        <w:t xml:space="preserve">. Avicenistickou analytiku </w:t>
      </w:r>
      <w:r>
        <w:t xml:space="preserve">jsoucna změnil </w:t>
      </w:r>
      <w:r w:rsidRPr="00E93E69">
        <w:t>tím, že do schématu metafyzické</w:t>
      </w:r>
      <w:r>
        <w:t xml:space="preserve">ho </w:t>
      </w:r>
      <w:r w:rsidRPr="00E93E69">
        <w:rPr>
          <w:i/>
        </w:rPr>
        <w:t>resolutio</w:t>
      </w:r>
      <w:r>
        <w:t xml:space="preserve"> </w:t>
      </w:r>
      <w:r w:rsidRPr="00E93E69">
        <w:t xml:space="preserve">vložil matematické </w:t>
      </w:r>
      <w:r>
        <w:t xml:space="preserve">jsoucno </w:t>
      </w:r>
      <w:r w:rsidRPr="00E93E69">
        <w:t>porretánů.</w:t>
      </w:r>
      <w:r>
        <w:t xml:space="preserve"> </w:t>
      </w:r>
      <w:r w:rsidR="007C1367">
        <w:t>D</w:t>
      </w:r>
      <w:r w:rsidR="089C63A3" w:rsidRPr="00273106">
        <w:t>ruh</w:t>
      </w:r>
      <w:r w:rsidR="007C1367">
        <w:t xml:space="preserve">ý </w:t>
      </w:r>
      <w:r w:rsidR="089C63A3" w:rsidRPr="00273106">
        <w:t>averroismu</w:t>
      </w:r>
      <w:r w:rsidR="007C1367">
        <w:t>s</w:t>
      </w:r>
      <w:r w:rsidR="089C63A3" w:rsidRPr="00273106">
        <w:t xml:space="preserve"> s</w:t>
      </w:r>
      <w:r w:rsidR="007C1367">
        <w:t xml:space="preserve">pojil </w:t>
      </w:r>
      <w:r w:rsidR="089C63A3" w:rsidRPr="00273106">
        <w:t xml:space="preserve">matematiku, fyziku a metafyziku </w:t>
      </w:r>
      <w:r w:rsidR="007C1367">
        <w:t xml:space="preserve">do moderní formy metafyziky. Proti ní </w:t>
      </w:r>
      <w:r w:rsidR="089C63A3" w:rsidRPr="00273106">
        <w:t xml:space="preserve">postavil Akvinský </w:t>
      </w:r>
      <w:r w:rsidR="089C63A3" w:rsidRPr="00273106">
        <w:rPr>
          <w:i/>
        </w:rPr>
        <w:t>separatio</w:t>
      </w:r>
      <w:r w:rsidR="089C63A3" w:rsidRPr="00273106">
        <w:t xml:space="preserve"> matematiky a metafyziky v komen</w:t>
      </w:r>
      <w:r w:rsidR="089C63A3">
        <w:t>táři Boethiovy filosofie (</w:t>
      </w:r>
      <w:r w:rsidR="08B260C0">
        <w:t>OBJ III, kap. 4</w:t>
      </w:r>
      <w:r w:rsidR="089C63A3">
        <w:t>.5.1</w:t>
      </w:r>
      <w:r w:rsidR="089C63A3" w:rsidRPr="00273106">
        <w:t>).</w:t>
      </w:r>
      <w:r w:rsidR="089C63A3">
        <w:t xml:space="preserve"> </w:t>
      </w:r>
      <w:r w:rsidR="00AB015D">
        <w:t xml:space="preserve">Nová nauka jsoucího jako matematicky jsoucího vytlačila původní metafyzickou </w:t>
      </w:r>
      <w:r w:rsidR="00AB015D" w:rsidRPr="00273106">
        <w:t>jednot</w:t>
      </w:r>
      <w:r w:rsidR="00AB015D">
        <w:t>u</w:t>
      </w:r>
      <w:r w:rsidR="00AB015D" w:rsidRPr="00273106">
        <w:t xml:space="preserve"> jsoucího </w:t>
      </w:r>
      <w:r w:rsidR="00AB015D">
        <w:t xml:space="preserve">danou </w:t>
      </w:r>
      <w:r w:rsidR="00AB015D" w:rsidRPr="00273106">
        <w:t xml:space="preserve">rozdílem mezi matematickým </w:t>
      </w:r>
      <w:r w:rsidR="00AB015D" w:rsidRPr="00273106">
        <w:rPr>
          <w:i/>
        </w:rPr>
        <w:t>abstractio</w:t>
      </w:r>
      <w:r w:rsidR="00AB015D" w:rsidRPr="00273106">
        <w:t xml:space="preserve"> a metafyzickým </w:t>
      </w:r>
      <w:r w:rsidR="00AB015D" w:rsidRPr="00273106">
        <w:rPr>
          <w:i/>
        </w:rPr>
        <w:t>separatio</w:t>
      </w:r>
      <w:r w:rsidR="00AB015D" w:rsidRPr="00273106">
        <w:t xml:space="preserve">. </w:t>
      </w:r>
      <w:r w:rsidR="084252DC">
        <w:t xml:space="preserve">Podívejme na způsob, jak </w:t>
      </w:r>
      <w:r w:rsidR="00E553A5">
        <w:t>o</w:t>
      </w:r>
      <w:r w:rsidR="084252DC">
        <w:t>xford</w:t>
      </w:r>
      <w:r w:rsidR="00E553A5">
        <w:t xml:space="preserve">ští sofisté založili </w:t>
      </w:r>
      <w:r w:rsidR="084252DC">
        <w:t xml:space="preserve">moderní fyziku. </w:t>
      </w:r>
      <w:r w:rsidR="00830ACF" w:rsidRPr="00273106">
        <w:t>Kil</w:t>
      </w:r>
      <w:r w:rsidR="00A67D99">
        <w:t xml:space="preserve">wardbyho verze </w:t>
      </w:r>
      <w:r w:rsidR="08356E51">
        <w:t xml:space="preserve">mytopoetické </w:t>
      </w:r>
      <w:r w:rsidR="00A67D99">
        <w:t xml:space="preserve">metafyziky </w:t>
      </w:r>
      <w:r w:rsidR="00D47D3A" w:rsidRPr="00273106">
        <w:t>mění kvalitativní</w:t>
      </w:r>
      <w:r w:rsidR="00830ACF" w:rsidRPr="00273106">
        <w:t xml:space="preserve"> matematiku Rufuse na </w:t>
      </w:r>
      <w:r w:rsidR="00D01725">
        <w:t xml:space="preserve">nový druh </w:t>
      </w:r>
      <w:r w:rsidR="00A7145A">
        <w:t xml:space="preserve">spekulativní </w:t>
      </w:r>
      <w:r w:rsidR="00D01725">
        <w:t>fyziky</w:t>
      </w:r>
      <w:r w:rsidR="00AB6F62">
        <w:fldChar w:fldCharType="begin"/>
      </w:r>
      <w:r w:rsidR="00AB6F62">
        <w:instrText xml:space="preserve"> XE "</w:instrText>
      </w:r>
      <w:r w:rsidR="00AB6F62" w:rsidRPr="00AD5E06">
        <w:instrText>objektivita:moderní fyzika</w:instrText>
      </w:r>
      <w:r w:rsidR="00AB6F62">
        <w:instrText xml:space="preserve">" </w:instrText>
      </w:r>
      <w:r w:rsidR="00AB6F62">
        <w:fldChar w:fldCharType="end"/>
      </w:r>
      <w:r w:rsidR="000431D2" w:rsidRPr="00273106">
        <w:t xml:space="preserve">. </w:t>
      </w:r>
    </w:p>
    <w:p w14:paraId="1838A900" w14:textId="2F2B3ECD" w:rsidR="00830ACF" w:rsidRPr="00273106" w:rsidRDefault="00191D54" w:rsidP="00F00602">
      <w:pPr>
        <w:pStyle w:val="Citace"/>
        <w:rPr>
          <w:noProof/>
          <w:szCs w:val="22"/>
          <w:lang w:val="cs-CZ"/>
        </w:rPr>
      </w:pPr>
      <w:r w:rsidRPr="00273106">
        <w:rPr>
          <w:noProof/>
          <w:lang w:val="cs-CZ"/>
        </w:rPr>
        <w:t>„</w:t>
      </w:r>
      <w:r w:rsidR="000431D2" w:rsidRPr="00273106">
        <w:rPr>
          <w:noProof/>
          <w:lang w:val="cs-CZ"/>
        </w:rPr>
        <w:t>A tak ve třetím stupni abstrakce nutně přijímá tato matematická materie i specifická určení tělesnosti, tedy kruhovitost, pravoúhlost a podobné. Tyto specifické diference totiž přijímá i modu aktivní a pasivní kvantity</w:t>
      </w:r>
      <w:r w:rsidR="00F00602" w:rsidRPr="00273106">
        <w:rPr>
          <w:noProof/>
          <w:lang w:val="cs-CZ"/>
        </w:rPr>
        <w:t xml:space="preserve"> (</w:t>
      </w:r>
      <w:r w:rsidR="00F00602" w:rsidRPr="00273106">
        <w:rPr>
          <w:i/>
          <w:noProof/>
          <w:lang w:val="cs-CZ"/>
        </w:rPr>
        <w:t>qualitates activas et passivas</w:t>
      </w:r>
      <w:r w:rsidR="00F00602" w:rsidRPr="00273106">
        <w:rPr>
          <w:noProof/>
          <w:lang w:val="cs-CZ"/>
        </w:rPr>
        <w:t>)</w:t>
      </w:r>
      <w:r w:rsidR="000431D2" w:rsidRPr="00273106">
        <w:rPr>
          <w:noProof/>
          <w:lang w:val="cs-CZ"/>
        </w:rPr>
        <w:t xml:space="preserve">. </w:t>
      </w:r>
      <w:r w:rsidR="00F00602" w:rsidRPr="00273106">
        <w:rPr>
          <w:noProof/>
          <w:lang w:val="cs-CZ"/>
        </w:rPr>
        <w:t>A tato specifická tělesa fyziky (</w:t>
      </w:r>
      <w:r w:rsidR="00F00602" w:rsidRPr="00273106">
        <w:rPr>
          <w:i/>
          <w:noProof/>
          <w:lang w:val="cs-CZ"/>
        </w:rPr>
        <w:t>corpora specialia physica</w:t>
      </w:r>
      <w:r w:rsidR="00F00602" w:rsidRPr="00273106">
        <w:rPr>
          <w:noProof/>
          <w:lang w:val="cs-CZ"/>
        </w:rPr>
        <w:t xml:space="preserve">) jsou predikovatelná proto, že spadají do kategorie </w:t>
      </w:r>
      <w:r w:rsidR="00D41C1C">
        <w:rPr>
          <w:noProof/>
          <w:lang w:val="cs-CZ"/>
        </w:rPr>
        <w:t xml:space="preserve">essencí </w:t>
      </w:r>
      <w:r w:rsidR="00211623" w:rsidRPr="00273106">
        <w:rPr>
          <w:noProof/>
          <w:lang w:val="cs-CZ"/>
        </w:rPr>
        <w:t xml:space="preserve">v rámci </w:t>
      </w:r>
      <w:r w:rsidR="00F00602" w:rsidRPr="00273106">
        <w:rPr>
          <w:noProof/>
          <w:lang w:val="cs-CZ"/>
        </w:rPr>
        <w:t>fyziky (</w:t>
      </w:r>
      <w:r w:rsidR="00F00602" w:rsidRPr="00273106">
        <w:rPr>
          <w:i/>
          <w:noProof/>
          <w:lang w:val="cs-CZ"/>
        </w:rPr>
        <w:t>incohatur physica speculatio</w:t>
      </w:r>
      <w:r w:rsidR="00F00602" w:rsidRPr="00273106">
        <w:rPr>
          <w:noProof/>
          <w:lang w:val="cs-CZ"/>
        </w:rPr>
        <w:t xml:space="preserve">).“ </w:t>
      </w:r>
      <w:r w:rsidR="00830ACF" w:rsidRPr="00273106">
        <w:rPr>
          <w:rStyle w:val="Znakapoznpodarou"/>
          <w:noProof/>
          <w:szCs w:val="22"/>
          <w:lang w:val="cs-CZ"/>
        </w:rPr>
        <w:footnoteReference w:id="493"/>
      </w:r>
    </w:p>
    <w:p w14:paraId="20A8A420" w14:textId="77777777" w:rsidR="008174C4" w:rsidRDefault="008B12D2" w:rsidP="00EB2E04">
      <w:pPr>
        <w:rPr>
          <w:szCs w:val="22"/>
        </w:rPr>
      </w:pPr>
      <w:r>
        <w:rPr>
          <w:szCs w:val="22"/>
        </w:rPr>
        <w:t>Neoplatonsk</w:t>
      </w:r>
      <w:r w:rsidR="000F55F5" w:rsidRPr="00273106">
        <w:rPr>
          <w:szCs w:val="22"/>
        </w:rPr>
        <w:t>á forma matematizované materie na sebe vezme poslední určení v rámci abstraktně definovaných jednotlivin třetího druhu (</w:t>
      </w:r>
      <w:r w:rsidR="000F55F5" w:rsidRPr="00273106">
        <w:rPr>
          <w:i/>
        </w:rPr>
        <w:t>differentias speciales corporum</w:t>
      </w:r>
      <w:r w:rsidR="000F55F5" w:rsidRPr="00273106">
        <w:rPr>
          <w:szCs w:val="22"/>
        </w:rPr>
        <w:t xml:space="preserve">). </w:t>
      </w:r>
      <w:r w:rsidR="00850B9A">
        <w:rPr>
          <w:szCs w:val="22"/>
        </w:rPr>
        <w:t>Diference založila</w:t>
      </w:r>
      <w:r w:rsidR="00E4668E" w:rsidRPr="00273106">
        <w:rPr>
          <w:szCs w:val="22"/>
        </w:rPr>
        <w:t xml:space="preserve"> substanci</w:t>
      </w:r>
      <w:r w:rsidR="000D753A" w:rsidRPr="00273106">
        <w:rPr>
          <w:szCs w:val="22"/>
        </w:rPr>
        <w:t>-</w:t>
      </w:r>
      <w:r w:rsidR="004B4D52" w:rsidRPr="004B4D52">
        <w:rPr>
          <w:szCs w:val="22"/>
        </w:rPr>
        <w:t>species</w:t>
      </w:r>
      <w:r w:rsidR="000D753A" w:rsidRPr="00273106">
        <w:rPr>
          <w:szCs w:val="22"/>
        </w:rPr>
        <w:t xml:space="preserve"> </w:t>
      </w:r>
      <w:r w:rsidR="00E4668E" w:rsidRPr="00273106">
        <w:rPr>
          <w:szCs w:val="22"/>
        </w:rPr>
        <w:t>třetího druhu a novou</w:t>
      </w:r>
      <w:r w:rsidR="008C66E9" w:rsidRPr="00273106">
        <w:rPr>
          <w:szCs w:val="22"/>
        </w:rPr>
        <w:t xml:space="preserve"> kategoriální predikaci </w:t>
      </w:r>
      <w:r w:rsidR="000D753A" w:rsidRPr="00273106">
        <w:rPr>
          <w:szCs w:val="22"/>
        </w:rPr>
        <w:t>(</w:t>
      </w:r>
      <w:r w:rsidR="000D753A" w:rsidRPr="00273106">
        <w:rPr>
          <w:i/>
        </w:rPr>
        <w:t>ista corpora specialia physica dicuntur</w:t>
      </w:r>
      <w:r w:rsidR="08962FED">
        <w:rPr>
          <w:szCs w:val="22"/>
        </w:rPr>
        <w:t>). S</w:t>
      </w:r>
      <w:r w:rsidR="08CB1B6D">
        <w:rPr>
          <w:szCs w:val="22"/>
        </w:rPr>
        <w:t>pecifická</w:t>
      </w:r>
      <w:r w:rsidR="00B74F4D">
        <w:rPr>
          <w:szCs w:val="22"/>
        </w:rPr>
        <w:t xml:space="preserve"> jednota </w:t>
      </w:r>
      <w:r w:rsidR="08962FED">
        <w:rPr>
          <w:szCs w:val="22"/>
        </w:rPr>
        <w:t xml:space="preserve">mytopoetické </w:t>
      </w:r>
      <w:r w:rsidR="00E4668E" w:rsidRPr="00273106">
        <w:rPr>
          <w:szCs w:val="22"/>
        </w:rPr>
        <w:t xml:space="preserve">fyziky </w:t>
      </w:r>
      <w:r w:rsidR="08BA4FCA">
        <w:rPr>
          <w:szCs w:val="22"/>
        </w:rPr>
        <w:t xml:space="preserve">dané v diakosmu </w:t>
      </w:r>
      <w:r w:rsidR="08E5065B">
        <w:rPr>
          <w:szCs w:val="22"/>
        </w:rPr>
        <w:t xml:space="preserve">podle dialogu </w:t>
      </w:r>
      <w:r w:rsidR="08E5065B" w:rsidRPr="08E5065B">
        <w:rPr>
          <w:i/>
          <w:szCs w:val="22"/>
        </w:rPr>
        <w:t>Timaios</w:t>
      </w:r>
      <w:r w:rsidR="08E5065B">
        <w:rPr>
          <w:szCs w:val="22"/>
        </w:rPr>
        <w:t xml:space="preserve"> </w:t>
      </w:r>
      <w:r w:rsidR="00E4668E" w:rsidRPr="00273106">
        <w:rPr>
          <w:szCs w:val="22"/>
        </w:rPr>
        <w:t xml:space="preserve">vytěsnila bývalou první substanci a její kauzalitu danou v Aristotelově </w:t>
      </w:r>
      <w:r w:rsidR="00E4668E" w:rsidRPr="00B74F4D">
        <w:rPr>
          <w:i/>
          <w:szCs w:val="22"/>
        </w:rPr>
        <w:t>Fyzice</w:t>
      </w:r>
      <w:r w:rsidR="00E4668E" w:rsidRPr="00273106">
        <w:rPr>
          <w:szCs w:val="22"/>
        </w:rPr>
        <w:t xml:space="preserve">. </w:t>
      </w:r>
      <w:r w:rsidR="08986C6E">
        <w:rPr>
          <w:szCs w:val="22"/>
        </w:rPr>
        <w:t xml:space="preserve">Věda </w:t>
      </w:r>
      <w:r w:rsidR="00C07BB7" w:rsidRPr="00273106">
        <w:rPr>
          <w:i/>
          <w:szCs w:val="22"/>
        </w:rPr>
        <w:t>Modernorum</w:t>
      </w:r>
      <w:r w:rsidR="00C07BB7" w:rsidRPr="00273106">
        <w:rPr>
          <w:szCs w:val="22"/>
        </w:rPr>
        <w:t xml:space="preserve"> nahlíží těleso již zcela objektivně, tedy v jeho pseudo-materii a pseudo-formě. </w:t>
      </w:r>
      <w:r w:rsidR="00E4668E" w:rsidRPr="00273106">
        <w:rPr>
          <w:szCs w:val="22"/>
        </w:rPr>
        <w:t>Uvedenou sofistikou vznikla</w:t>
      </w:r>
      <w:r w:rsidR="08CB1B6D">
        <w:rPr>
          <w:szCs w:val="22"/>
        </w:rPr>
        <w:t xml:space="preserve"> nová forma </w:t>
      </w:r>
      <w:r w:rsidR="000D753A" w:rsidRPr="00273106">
        <w:rPr>
          <w:szCs w:val="22"/>
        </w:rPr>
        <w:t>teoretické</w:t>
      </w:r>
      <w:r w:rsidR="08CB1B6D">
        <w:rPr>
          <w:szCs w:val="22"/>
        </w:rPr>
        <w:t xml:space="preserve"> či spekulativní</w:t>
      </w:r>
      <w:r w:rsidR="008C66E9" w:rsidRPr="00273106">
        <w:rPr>
          <w:szCs w:val="22"/>
        </w:rPr>
        <w:t xml:space="preserve"> fyziky</w:t>
      </w:r>
      <w:r w:rsidR="000D753A" w:rsidRPr="00273106">
        <w:rPr>
          <w:szCs w:val="22"/>
        </w:rPr>
        <w:t xml:space="preserve"> (</w:t>
      </w:r>
      <w:r w:rsidR="000D753A" w:rsidRPr="00273106">
        <w:rPr>
          <w:i/>
        </w:rPr>
        <w:t>speculatio</w:t>
      </w:r>
      <w:r w:rsidR="003E4664" w:rsidRPr="003E4664">
        <w:rPr>
          <w:i/>
        </w:rPr>
        <w:t xml:space="preserve"> </w:t>
      </w:r>
      <w:r w:rsidR="003E4664" w:rsidRPr="00273106">
        <w:rPr>
          <w:i/>
        </w:rPr>
        <w:t>physica</w:t>
      </w:r>
      <w:r w:rsidR="089B2626" w:rsidRPr="00273106">
        <w:rPr>
          <w:szCs w:val="22"/>
        </w:rPr>
        <w:t xml:space="preserve">). </w:t>
      </w:r>
      <w:r w:rsidR="007A36C7" w:rsidRPr="00273106">
        <w:rPr>
          <w:szCs w:val="22"/>
        </w:rPr>
        <w:t xml:space="preserve">Z hlediska Aristotelovy </w:t>
      </w:r>
      <w:r w:rsidR="007A36C7" w:rsidRPr="0038301A">
        <w:rPr>
          <w:i/>
          <w:szCs w:val="22"/>
        </w:rPr>
        <w:t>Fyziky</w:t>
      </w:r>
      <w:r w:rsidR="007A36C7" w:rsidRPr="00273106">
        <w:rPr>
          <w:szCs w:val="22"/>
        </w:rPr>
        <w:t xml:space="preserve"> j</w:t>
      </w:r>
      <w:r w:rsidR="009F391D">
        <w:rPr>
          <w:szCs w:val="22"/>
        </w:rPr>
        <w:t xml:space="preserve">e to </w:t>
      </w:r>
      <w:r w:rsidR="007A36C7" w:rsidRPr="00273106">
        <w:rPr>
          <w:szCs w:val="22"/>
        </w:rPr>
        <w:t xml:space="preserve">naprostý nesmysl, </w:t>
      </w:r>
      <w:r w:rsidR="00CB65FC" w:rsidRPr="00273106">
        <w:rPr>
          <w:szCs w:val="22"/>
        </w:rPr>
        <w:t>viz kr</w:t>
      </w:r>
      <w:r w:rsidR="0038301A">
        <w:rPr>
          <w:szCs w:val="22"/>
        </w:rPr>
        <w:t>itiku</w:t>
      </w:r>
      <w:r w:rsidR="00CB65FC" w:rsidRPr="00273106">
        <w:rPr>
          <w:szCs w:val="22"/>
        </w:rPr>
        <w:t xml:space="preserve"> </w:t>
      </w:r>
      <w:r w:rsidR="007A36C7" w:rsidRPr="00273106">
        <w:rPr>
          <w:szCs w:val="22"/>
        </w:rPr>
        <w:t>Bacon</w:t>
      </w:r>
      <w:r w:rsidR="00CB65FC" w:rsidRPr="00273106">
        <w:rPr>
          <w:szCs w:val="22"/>
        </w:rPr>
        <w:t>a</w:t>
      </w:r>
      <w:r w:rsidR="00C07BB7" w:rsidRPr="00273106">
        <w:rPr>
          <w:szCs w:val="22"/>
        </w:rPr>
        <w:t xml:space="preserve">, </w:t>
      </w:r>
      <w:r w:rsidR="007A36C7" w:rsidRPr="00273106">
        <w:rPr>
          <w:szCs w:val="22"/>
        </w:rPr>
        <w:t>Albert</w:t>
      </w:r>
      <w:r w:rsidR="00CB65FC" w:rsidRPr="00273106">
        <w:rPr>
          <w:szCs w:val="22"/>
        </w:rPr>
        <w:t>a</w:t>
      </w:r>
      <w:r w:rsidR="00C07BB7" w:rsidRPr="00273106">
        <w:rPr>
          <w:szCs w:val="22"/>
        </w:rPr>
        <w:t xml:space="preserve"> a </w:t>
      </w:r>
      <w:r w:rsidR="0038301A">
        <w:rPr>
          <w:szCs w:val="22"/>
        </w:rPr>
        <w:t xml:space="preserve">později </w:t>
      </w:r>
      <w:r w:rsidR="00C07BB7" w:rsidRPr="00273106">
        <w:rPr>
          <w:szCs w:val="22"/>
        </w:rPr>
        <w:t>Akvinského</w:t>
      </w:r>
      <w:r w:rsidR="007A36C7" w:rsidRPr="00273106">
        <w:rPr>
          <w:szCs w:val="22"/>
        </w:rPr>
        <w:t xml:space="preserve">. </w:t>
      </w:r>
      <w:r w:rsidR="00A86B37" w:rsidRPr="00273106">
        <w:rPr>
          <w:szCs w:val="22"/>
        </w:rPr>
        <w:t xml:space="preserve">Nová spekulace opřená o abstraktní pojetí tělesa jako </w:t>
      </w:r>
      <w:r w:rsidR="00A86B37" w:rsidRPr="00273106">
        <w:rPr>
          <w:i/>
          <w:szCs w:val="22"/>
        </w:rPr>
        <w:t>tert</w:t>
      </w:r>
      <w:r w:rsidR="00445BDF" w:rsidRPr="00273106">
        <w:rPr>
          <w:i/>
          <w:szCs w:val="22"/>
        </w:rPr>
        <w:t>i</w:t>
      </w:r>
      <w:r w:rsidR="00A86B37" w:rsidRPr="00273106">
        <w:rPr>
          <w:i/>
          <w:szCs w:val="22"/>
        </w:rPr>
        <w:t>um ens</w:t>
      </w:r>
      <w:r w:rsidR="003F16A5">
        <w:rPr>
          <w:i/>
          <w:szCs w:val="22"/>
        </w:rPr>
        <w:fldChar w:fldCharType="begin"/>
      </w:r>
      <w:r w:rsidR="003F16A5">
        <w:instrText xml:space="preserve"> XE "</w:instrText>
      </w:r>
      <w:r w:rsidR="003F16A5" w:rsidRPr="002F10B4">
        <w:rPr>
          <w:rStyle w:val="Zvraznn"/>
        </w:rPr>
        <w:instrText>tertium ens</w:instrText>
      </w:r>
      <w:r w:rsidR="003F16A5">
        <w:instrText xml:space="preserve">" </w:instrText>
      </w:r>
      <w:r w:rsidR="003F16A5">
        <w:rPr>
          <w:i/>
          <w:szCs w:val="22"/>
        </w:rPr>
        <w:fldChar w:fldCharType="end"/>
      </w:r>
      <w:r w:rsidR="00A86B37" w:rsidRPr="00273106">
        <w:rPr>
          <w:szCs w:val="22"/>
        </w:rPr>
        <w:t xml:space="preserve"> </w:t>
      </w:r>
      <w:r w:rsidR="000D753A" w:rsidRPr="00273106">
        <w:rPr>
          <w:szCs w:val="22"/>
        </w:rPr>
        <w:t xml:space="preserve">už nepotřebuje </w:t>
      </w:r>
      <w:r w:rsidR="0043016C" w:rsidRPr="00273106">
        <w:rPr>
          <w:szCs w:val="22"/>
        </w:rPr>
        <w:t xml:space="preserve">reálnou věc </w:t>
      </w:r>
      <w:r w:rsidR="00445BDF" w:rsidRPr="00273106">
        <w:rPr>
          <w:szCs w:val="22"/>
        </w:rPr>
        <w:t>pro výkon poznání, protože si zkon</w:t>
      </w:r>
      <w:r w:rsidR="005904A9" w:rsidRPr="00273106">
        <w:rPr>
          <w:szCs w:val="22"/>
        </w:rPr>
        <w:t>struovala vlastní substanci třetího druhu</w:t>
      </w:r>
      <w:r w:rsidR="000D753A" w:rsidRPr="00273106">
        <w:rPr>
          <w:szCs w:val="22"/>
        </w:rPr>
        <w:t>.</w:t>
      </w:r>
    </w:p>
    <w:p w14:paraId="145E97AE" w14:textId="17470680" w:rsidR="00EB2E04" w:rsidRDefault="080D1766" w:rsidP="00D42CEC">
      <w:pPr>
        <w:ind w:firstLine="397"/>
      </w:pPr>
      <w:r w:rsidRPr="00273106">
        <w:t xml:space="preserve">Dílo </w:t>
      </w:r>
      <w:r w:rsidRPr="00273106">
        <w:rPr>
          <w:i/>
        </w:rPr>
        <w:t>De ortu scientiarum</w:t>
      </w:r>
      <w:r w:rsidRPr="00273106">
        <w:t xml:space="preserve"> ukazuje, jak se </w:t>
      </w:r>
      <w:r>
        <w:t xml:space="preserve">objektivní </w:t>
      </w:r>
      <w:r w:rsidRPr="00273106">
        <w:t>náhled světa stal systematickým sofistickým věděním</w:t>
      </w:r>
      <w:r>
        <w:t xml:space="preserve">. Ilumináti na Oxfordu vytváří </w:t>
      </w:r>
      <w:r w:rsidRPr="00273106">
        <w:t xml:space="preserve">první </w:t>
      </w:r>
      <w:r>
        <w:t xml:space="preserve">fyzikálně-matematickou </w:t>
      </w:r>
      <w:r w:rsidRPr="00273106">
        <w:t xml:space="preserve">asimilaci světa v pojetí moderní pravdy jako Anselmovo </w:t>
      </w:r>
      <w:r w:rsidRPr="00273106">
        <w:rPr>
          <w:i/>
        </w:rPr>
        <w:t xml:space="preserve">rectitudo </w:t>
      </w:r>
      <w:r w:rsidRPr="00273106">
        <w:t>a</w:t>
      </w:r>
      <w:r w:rsidRPr="00273106">
        <w:rPr>
          <w:i/>
        </w:rPr>
        <w:t xml:space="preserve"> </w:t>
      </w:r>
      <w:r w:rsidRPr="00273106">
        <w:t xml:space="preserve">Rufusovo </w:t>
      </w:r>
      <w:r w:rsidRPr="00273106">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Pr="00273106">
        <w:t xml:space="preserve">. </w:t>
      </w:r>
      <w:r w:rsidR="00017198" w:rsidRPr="00017198">
        <w:t xml:space="preserve">Pravda jako asimilace všeho možného se ve školách </w:t>
      </w:r>
      <w:r w:rsidR="00017198" w:rsidRPr="00017198">
        <w:rPr>
          <w:i/>
        </w:rPr>
        <w:t>Modernorum</w:t>
      </w:r>
      <w:r w:rsidR="00017198" w:rsidRPr="00017198">
        <w:t xml:space="preserve"> stala nezbytným a neza</w:t>
      </w:r>
      <w:r w:rsidR="00017198">
        <w:t xml:space="preserve">držitelným </w:t>
      </w:r>
      <w:r w:rsidR="00017198" w:rsidRPr="00017198">
        <w:t xml:space="preserve">procesem. Moderní verze </w:t>
      </w:r>
      <w:r w:rsidR="00017198" w:rsidRPr="00017198">
        <w:rPr>
          <w:i/>
        </w:rPr>
        <w:t>Ge-Stell</w:t>
      </w:r>
      <w:r w:rsidR="0021573B">
        <w:rPr>
          <w:i/>
        </w:rPr>
        <w:fldChar w:fldCharType="begin"/>
      </w:r>
      <w:r w:rsidR="0021573B">
        <w:instrText xml:space="preserve"> XE "</w:instrText>
      </w:r>
      <w:r w:rsidR="0021573B" w:rsidRPr="00664C1F">
        <w:rPr>
          <w:i/>
        </w:rPr>
        <w:instrText>Ge-Stell</w:instrText>
      </w:r>
      <w:r w:rsidR="0021573B">
        <w:instrText xml:space="preserve">" </w:instrText>
      </w:r>
      <w:r w:rsidR="0021573B">
        <w:rPr>
          <w:i/>
        </w:rPr>
        <w:fldChar w:fldCharType="end"/>
      </w:r>
      <w:r w:rsidR="00017198" w:rsidRPr="00017198">
        <w:t xml:space="preserve"> vytvořila avice</w:t>
      </w:r>
      <w:r w:rsidR="00017198">
        <w:t>nnistickou modlu „</w:t>
      </w:r>
      <w:r w:rsidR="00017198" w:rsidRPr="00017198">
        <w:t>meta</w:t>
      </w:r>
      <w:r w:rsidR="00017198">
        <w:noBreakHyphen/>
        <w:t>fyziky“</w:t>
      </w:r>
      <w:r w:rsidR="00017198" w:rsidRPr="00017198">
        <w:t xml:space="preserve">, kterou vytvořil Averroes. Proto bylo </w:t>
      </w:r>
      <w:r w:rsidR="00017198">
        <w:t xml:space="preserve">stále nutnější </w:t>
      </w:r>
      <w:r w:rsidR="00017198" w:rsidRPr="00017198">
        <w:t>vyhnat toto filosofické monstrum do akademické poušt</w:t>
      </w:r>
      <w:r w:rsidR="00017198">
        <w:t>ě jako obětního beránka</w:t>
      </w:r>
      <w:r w:rsidR="00FD7A80">
        <w:t xml:space="preserve"> za nesmysly všech moderních sofistů</w:t>
      </w:r>
      <w:r w:rsidR="00017198">
        <w:t xml:space="preserve">. </w:t>
      </w:r>
      <w:r w:rsidR="00BB2FAA">
        <w:t xml:space="preserve">Objektivně </w:t>
      </w:r>
      <w:r w:rsidR="00017198" w:rsidRPr="00017198">
        <w:t>vzdělan</w:t>
      </w:r>
      <w:r w:rsidR="00017198">
        <w:t xml:space="preserve">é Furie </w:t>
      </w:r>
      <w:r w:rsidR="00017198" w:rsidRPr="00017198">
        <w:t>založil</w:t>
      </w:r>
      <w:r w:rsidR="00017198">
        <w:t>y</w:t>
      </w:r>
      <w:r w:rsidR="00017198" w:rsidRPr="00017198">
        <w:t xml:space="preserve"> v Oxfordu paranoidní nepravdu moderní </w:t>
      </w:r>
      <w:r w:rsidR="00017198">
        <w:t>fyziky tím, že zcela zamaskovaly</w:t>
      </w:r>
      <w:r w:rsidR="00017198" w:rsidRPr="00017198">
        <w:t xml:space="preserve"> klasickou aristotelskou fyziku, kterou Komentátor převedl do západní metafyziky.</w:t>
      </w:r>
      <w:r w:rsidR="00017198">
        <w:t xml:space="preserve"> </w:t>
      </w:r>
      <w:r>
        <w:t xml:space="preserve">Nová fyzika se </w:t>
      </w:r>
      <w:r w:rsidRPr="00273106">
        <w:t>reflektuje</w:t>
      </w:r>
      <w:r>
        <w:t xml:space="preserve"> v modu </w:t>
      </w:r>
      <w:r w:rsidRPr="08CE3A07">
        <w:rPr>
          <w:i/>
        </w:rPr>
        <w:t>certitudo</w:t>
      </w:r>
      <w:r w:rsidRPr="00273106">
        <w:t xml:space="preserve"> </w:t>
      </w:r>
      <w:r>
        <w:t xml:space="preserve">a je onteoteologicky </w:t>
      </w:r>
      <w:r w:rsidRPr="00273106">
        <w:t xml:space="preserve">zcela </w:t>
      </w:r>
      <w:r>
        <w:t xml:space="preserve">oprávněná v modu </w:t>
      </w:r>
      <w:r w:rsidRPr="08CE3A07">
        <w:rPr>
          <w:i/>
        </w:rPr>
        <w:t>rectitudo</w:t>
      </w:r>
      <w:r>
        <w:t>, protože náhled ilumináta na mytopoetický celek jsoucna je osvícený s</w:t>
      </w:r>
      <w:r w:rsidRPr="00273106">
        <w:t>h</w:t>
      </w:r>
      <w:r>
        <w:t xml:space="preserve">ůry. Z reality to nejde, to je jasné, protože jsoucno třetího druhu neexistuje. </w:t>
      </w:r>
      <w:r w:rsidR="00AA1583" w:rsidRPr="00273106">
        <w:t>Vznik matematické metafyziky umožnilo změněné pojetí nutnosti z</w:t>
      </w:r>
      <w:r w:rsidR="08577A36">
        <w:t>avedené Grossetestem (kap. 3</w:t>
      </w:r>
      <w:r w:rsidR="00266868">
        <w:t>.1.2</w:t>
      </w:r>
      <w:r w:rsidR="00AA1583" w:rsidRPr="00273106">
        <w:t xml:space="preserve">). Logická varianta nutnosti univočně </w:t>
      </w:r>
      <w:r w:rsidR="002F776C">
        <w:t xml:space="preserve">nahradila </w:t>
      </w:r>
      <w:r w:rsidR="00AA1583" w:rsidRPr="00273106">
        <w:t xml:space="preserve">nutnost na úrovni kauzality reálných prvních substancí.  Grosseteste podržel v definici </w:t>
      </w:r>
      <w:r w:rsidR="00AA1583" w:rsidRPr="00273106">
        <w:rPr>
          <w:i/>
        </w:rPr>
        <w:t>demonstratio</w:t>
      </w:r>
      <w:r w:rsidR="007A6052">
        <w:rPr>
          <w:i/>
        </w:rPr>
        <w:fldChar w:fldCharType="begin"/>
      </w:r>
      <w:r w:rsidR="007A6052">
        <w:instrText xml:space="preserve"> XE "</w:instrText>
      </w:r>
      <w:r w:rsidR="007A6052" w:rsidRPr="004E6075">
        <w:rPr>
          <w:i/>
        </w:rPr>
        <w:instrText>demonstratio:</w:instrText>
      </w:r>
      <w:r w:rsidR="002E3B62">
        <w:instrText>Averroes</w:instrText>
      </w:r>
      <w:r w:rsidR="007A6052">
        <w:instrText xml:space="preserve">" </w:instrText>
      </w:r>
      <w:r w:rsidR="007A6052">
        <w:rPr>
          <w:i/>
        </w:rPr>
        <w:fldChar w:fldCharType="end"/>
      </w:r>
      <w:r w:rsidR="00AA1583" w:rsidRPr="00273106">
        <w:t xml:space="preserve"> rozdíl mezi oběma druhy </w:t>
      </w:r>
      <w:r w:rsidR="08F347C8">
        <w:t xml:space="preserve">metafyzické </w:t>
      </w:r>
      <w:r w:rsidR="00AA1583" w:rsidRPr="00273106">
        <w:t>nutnosti</w:t>
      </w:r>
      <w:r w:rsidR="08F347C8">
        <w:t xml:space="preserve"> podle </w:t>
      </w:r>
      <w:r w:rsidR="08F347C8" w:rsidRPr="08F347C8">
        <w:rPr>
          <w:i/>
        </w:rPr>
        <w:t>Druhých analytik</w:t>
      </w:r>
      <w:r w:rsidR="00AA1583" w:rsidRPr="00273106">
        <w:t xml:space="preserve">, ale </w:t>
      </w:r>
      <w:r w:rsidR="007317BB">
        <w:t xml:space="preserve">už je </w:t>
      </w:r>
      <w:r w:rsidR="08D70AC5">
        <w:t>c</w:t>
      </w:r>
      <w:r w:rsidR="00AA1583" w:rsidRPr="00273106">
        <w:t>hápal jako nejasné (</w:t>
      </w:r>
      <w:r w:rsidR="00AA1583" w:rsidRPr="00273106">
        <w:rPr>
          <w:i/>
        </w:rPr>
        <w:t>aliquantulum obscura</w:t>
      </w:r>
      <w:r w:rsidR="08577A36">
        <w:t>, kap. 3</w:t>
      </w:r>
      <w:r w:rsidR="00AA1583" w:rsidRPr="00273106">
        <w:t xml:space="preserve">.1.1). Kilwardby tuto nejasnost překonal logickou jasností. </w:t>
      </w:r>
      <w:r w:rsidR="007E6268" w:rsidRPr="00273106">
        <w:t xml:space="preserve">Nové místo věd dosvědčuje transformaci Rufusovy </w:t>
      </w:r>
      <w:r w:rsidR="00AA1583">
        <w:t xml:space="preserve">matematické </w:t>
      </w:r>
      <w:r w:rsidR="007E6268" w:rsidRPr="00273106">
        <w:t xml:space="preserve">objektivity do nové formy </w:t>
      </w:r>
      <w:r w:rsidR="00501B95">
        <w:t xml:space="preserve">avicennovské </w:t>
      </w:r>
      <w:r w:rsidR="007E6268" w:rsidRPr="00273106">
        <w:t>metafyziky</w:t>
      </w:r>
      <w:r w:rsidR="08F8170B">
        <w:t xml:space="preserve">. </w:t>
      </w:r>
      <w:r w:rsidR="00BB1F9E" w:rsidRPr="00BB1F9E">
        <w:t xml:space="preserve">Nové místo vědy </w:t>
      </w:r>
      <w:r w:rsidR="0047195E">
        <w:t>pot</w:t>
      </w:r>
      <w:r w:rsidR="00900063">
        <w:t>vrzuje</w:t>
      </w:r>
      <w:r w:rsidR="00FA3BB5">
        <w:t xml:space="preserve"> </w:t>
      </w:r>
      <w:r w:rsidR="00BB1F9E" w:rsidRPr="00BB1F9E">
        <w:t>transformac</w:t>
      </w:r>
      <w:r w:rsidR="00BB1F9E">
        <w:t>i</w:t>
      </w:r>
      <w:r w:rsidR="00BB1F9E" w:rsidRPr="00BB1F9E">
        <w:t xml:space="preserve"> Rufusovy matematické objektivity </w:t>
      </w:r>
      <w:r w:rsidR="00BB1F9E">
        <w:t xml:space="preserve">na </w:t>
      </w:r>
      <w:r w:rsidR="00BB1F9E" w:rsidRPr="00BB1F9E">
        <w:t>novou formu avicen</w:t>
      </w:r>
      <w:r w:rsidR="00BB1F9E">
        <w:t>n</w:t>
      </w:r>
      <w:r w:rsidR="00BB1F9E" w:rsidRPr="00BB1F9E">
        <w:t xml:space="preserve">istické metafyziky. </w:t>
      </w:r>
      <w:r w:rsidR="00D42CEC">
        <w:t xml:space="preserve">Moderní subjekt </w:t>
      </w:r>
      <w:r w:rsidR="00935AE7">
        <w:t xml:space="preserve">takto založeného </w:t>
      </w:r>
      <w:r w:rsidR="00D42CEC" w:rsidRPr="00D42CEC">
        <w:t>poznání tvoří základ nové vědy. Teorie pravdy jako asimilace esencí tvoří zá</w:t>
      </w:r>
      <w:r w:rsidR="00D42CEC">
        <w:t>klad spekulativní fyziky. Tato „fyzika“</w:t>
      </w:r>
      <w:r w:rsidR="00D42CEC" w:rsidRPr="00D42CEC">
        <w:t xml:space="preserve"> vytváří zrcadlo, v němž moderní a současné nihilistické myšlení kontempluje samo sebe prostřednictvím jazykových her </w:t>
      </w:r>
      <w:r w:rsidR="00D42CEC">
        <w:t>(</w:t>
      </w:r>
      <w:r w:rsidR="00D42CEC" w:rsidRPr="00DE4500">
        <w:rPr>
          <w:i/>
        </w:rPr>
        <w:t>language games</w:t>
      </w:r>
      <w:r w:rsidR="00D42CEC">
        <w:fldChar w:fldCharType="begin"/>
      </w:r>
      <w:r w:rsidR="00D42CEC">
        <w:instrText xml:space="preserve"> XE "</w:instrText>
      </w:r>
      <w:r w:rsidR="00D42CEC" w:rsidRPr="00DE4500">
        <w:rPr>
          <w:i/>
          <w:lang w:eastAsia="x-none"/>
        </w:rPr>
        <w:instrText>language games</w:instrText>
      </w:r>
      <w:r w:rsidR="00D42CEC">
        <w:instrText xml:space="preserve">" </w:instrText>
      </w:r>
      <w:r w:rsidR="00D42CEC">
        <w:fldChar w:fldCharType="end"/>
      </w:r>
      <w:r w:rsidR="00D42CEC">
        <w:t>) všeho druhu</w:t>
      </w:r>
      <w:r w:rsidR="00FA3BB5" w:rsidRPr="00FA3BB5">
        <w:t>.</w:t>
      </w:r>
      <w:r w:rsidR="00FA3BB5">
        <w:rPr>
          <w:rStyle w:val="Znakapoznpodarou"/>
        </w:rPr>
        <w:footnoteReference w:id="494"/>
      </w:r>
      <w:r w:rsidR="00FA3BB5" w:rsidRPr="00FA3BB5">
        <w:t xml:space="preserve"> </w:t>
      </w:r>
      <w:r w:rsidR="00FA3BB5" w:rsidRPr="00BB1F9E">
        <w:t xml:space="preserve">Tento druh objektivního narcismu vytvořil další verzi </w:t>
      </w:r>
      <w:r w:rsidR="00FA3BB5">
        <w:t>O</w:t>
      </w:r>
      <w:r w:rsidR="00FA3BB5" w:rsidRPr="00BB1F9E">
        <w:t>xfordského bludu.</w:t>
      </w:r>
      <w:r w:rsidR="00FA3BB5">
        <w:t xml:space="preserve"> </w:t>
      </w:r>
      <w:r w:rsidR="00CC38EF" w:rsidRPr="00273106">
        <w:t>As</w:t>
      </w:r>
      <w:r w:rsidR="089E38AF">
        <w:t xml:space="preserve">imilační teorie pravdy </w:t>
      </w:r>
      <w:r w:rsidR="006C1A9E" w:rsidRPr="00273106">
        <w:t>založila moderní západní vědu a techniku</w:t>
      </w:r>
      <w:r w:rsidR="001B24F2">
        <w:t xml:space="preserve"> skrze matematizaci </w:t>
      </w:r>
      <w:r w:rsidR="00433E3C">
        <w:t>fyziky jako první formy spekula</w:t>
      </w:r>
      <w:r w:rsidR="001B24F2">
        <w:t>t</w:t>
      </w:r>
      <w:r w:rsidR="00433E3C">
        <w:t>i</w:t>
      </w:r>
      <w:r w:rsidR="001B24F2">
        <w:t>vní přírodní vědy</w:t>
      </w:r>
      <w:r w:rsidR="00CC38EF" w:rsidRPr="00273106">
        <w:t>.</w:t>
      </w:r>
      <w:r w:rsidR="001B24F2">
        <w:t xml:space="preserve"> </w:t>
      </w:r>
      <w:r w:rsidR="08BE0DDA" w:rsidRPr="00273106">
        <w:t xml:space="preserve">Kilwardby dal Rufusovo </w:t>
      </w:r>
      <w:r w:rsidR="08BE0DDA" w:rsidRPr="00273106">
        <w:rPr>
          <w:i/>
        </w:rPr>
        <w:t>scibile</w:t>
      </w:r>
      <w:r w:rsidR="08BE0DDA">
        <w:rPr>
          <w:i/>
        </w:rPr>
        <w:fldChar w:fldCharType="begin"/>
      </w:r>
      <w:r w:rsidR="08BE0DDA">
        <w:instrText xml:space="preserve"> XE "</w:instrText>
      </w:r>
      <w:r w:rsidR="08BE0DDA" w:rsidRPr="00AA4F67">
        <w:rPr>
          <w:i/>
        </w:rPr>
        <w:instrText>scibile</w:instrText>
      </w:r>
      <w:r w:rsidR="08BE0DDA">
        <w:instrText xml:space="preserve">:Kilwardby" </w:instrText>
      </w:r>
      <w:r w:rsidR="08BE0DDA">
        <w:rPr>
          <w:i/>
        </w:rPr>
        <w:fldChar w:fldCharType="end"/>
      </w:r>
      <w:r w:rsidR="08BE0DDA" w:rsidRPr="00273106">
        <w:t xml:space="preserve"> za základ moderní vědy skrze matematické individuum. Objektivní jsoucno třetího druhu založené Rufusem tak vstoupilo do nové hry třídění a dělení významů </w:t>
      </w:r>
      <w:r w:rsidR="002D1118">
        <w:t xml:space="preserve">jako </w:t>
      </w:r>
      <w:r w:rsidR="08BE0DDA" w:rsidRPr="00273106">
        <w:t xml:space="preserve">porretánské dělení univerzálií ve schématu </w:t>
      </w:r>
      <w:r w:rsidR="08BE0DDA">
        <w:t>Porfyri</w:t>
      </w:r>
      <w:r w:rsidR="002D1118">
        <w:t xml:space="preserve">ova stromu. </w:t>
      </w:r>
      <w:r w:rsidR="002D1118" w:rsidRPr="002D1118">
        <w:t>Mytologická filozofie přešla od analyticky pojaté metafyziky k epistemologii speciálních věd.</w:t>
      </w:r>
      <w:r w:rsidR="002D1118">
        <w:t xml:space="preserve"> </w:t>
      </w:r>
      <w:r w:rsidR="00EB2E04">
        <w:t>Dobývání světa začalo Oxfordským bludem, aby se posléze ubíralo směrem britského koloniálního impéria a globálního korporátního kapitalismu.</w:t>
      </w:r>
    </w:p>
    <w:p w14:paraId="0DC9C81B" w14:textId="5A041FF4" w:rsidR="00CD4DE9" w:rsidRDefault="00EB2E04" w:rsidP="002B720D">
      <w:pPr>
        <w:ind w:firstLine="397"/>
      </w:pPr>
      <w:r>
        <w:t xml:space="preserve">Na této </w:t>
      </w:r>
      <w:r w:rsidR="00DA04F7">
        <w:t xml:space="preserve">blahodárné </w:t>
      </w:r>
      <w:r>
        <w:t xml:space="preserve">cestě stála zásadní překážka, a to Averroesova metafyzika jakožto významného vykladače Aristotela. </w:t>
      </w:r>
      <w:r w:rsidR="00FA4B29" w:rsidRPr="00273106">
        <w:t xml:space="preserve">Co nemůže asimilační teorie pravdy </w:t>
      </w:r>
      <w:r w:rsidR="00C95009">
        <w:t xml:space="preserve">podle latinských sofistů </w:t>
      </w:r>
      <w:r w:rsidR="00F0447C">
        <w:t>a iluminátů</w:t>
      </w:r>
      <w:r w:rsidR="00640BE5">
        <w:fldChar w:fldCharType="begin"/>
      </w:r>
      <w:r w:rsidR="00640BE5">
        <w:instrText xml:space="preserve"> XE "</w:instrText>
      </w:r>
      <w:r w:rsidR="00640BE5" w:rsidRPr="00BD65D1">
        <w:instrText>ilumináti</w:instrText>
      </w:r>
      <w:r w:rsidR="00640BE5">
        <w:instrText xml:space="preserve">" </w:instrText>
      </w:r>
      <w:r w:rsidR="00640BE5">
        <w:fldChar w:fldCharType="end"/>
      </w:r>
      <w:r w:rsidR="00F0447C">
        <w:t xml:space="preserve"> </w:t>
      </w:r>
      <w:r w:rsidR="00C95009">
        <w:t xml:space="preserve">univočně </w:t>
      </w:r>
      <w:r w:rsidR="00FA4B29" w:rsidRPr="00273106">
        <w:t xml:space="preserve">pojmout, to musí </w:t>
      </w:r>
      <w:r w:rsidR="00D47CD9" w:rsidRPr="00273106">
        <w:t xml:space="preserve">mocensky a dogmaticky </w:t>
      </w:r>
      <w:r w:rsidR="08075766">
        <w:t xml:space="preserve">odsoudit </w:t>
      </w:r>
      <w:r w:rsidR="00F0447C">
        <w:t xml:space="preserve">v modu </w:t>
      </w:r>
      <w:r w:rsidR="08DE1E99" w:rsidRPr="08DE1E99">
        <w:rPr>
          <w:i/>
        </w:rPr>
        <w:t>Verkehrung ins Gegenteil</w:t>
      </w:r>
      <w:r w:rsidR="08DE1E99">
        <w:t xml:space="preserve"> </w:t>
      </w:r>
      <w:r w:rsidR="008B5CA7">
        <w:t xml:space="preserve">a </w:t>
      </w:r>
      <w:r w:rsidR="08075766">
        <w:t xml:space="preserve">pak vytěsnit </w:t>
      </w:r>
      <w:r w:rsidR="08DE1E99">
        <w:t xml:space="preserve">skrze </w:t>
      </w:r>
      <w:r w:rsidR="00093ECD">
        <w:t xml:space="preserve">sofistické </w:t>
      </w:r>
      <w:r w:rsidR="08DE1E99">
        <w:t>akademické formy</w:t>
      </w:r>
      <w:r w:rsidR="008B5CA7">
        <w:t xml:space="preserve"> </w:t>
      </w:r>
      <w:r w:rsidR="008B5CA7" w:rsidRPr="008B5CA7">
        <w:rPr>
          <w:i/>
        </w:rPr>
        <w:t>damnatio memoriae</w:t>
      </w:r>
      <w:r w:rsidR="008B5CA7">
        <w:rPr>
          <w:i/>
        </w:rPr>
        <w:fldChar w:fldCharType="begin"/>
      </w:r>
      <w:r w:rsidR="008B5CA7">
        <w:instrText xml:space="preserve"> XE "</w:instrText>
      </w:r>
      <w:r w:rsidR="008B5CA7" w:rsidRPr="00491BFB">
        <w:rPr>
          <w:i/>
        </w:rPr>
        <w:instrText>damnatio memoriae</w:instrText>
      </w:r>
      <w:r w:rsidR="008B5CA7">
        <w:instrText xml:space="preserve">" </w:instrText>
      </w:r>
      <w:r w:rsidR="008B5CA7">
        <w:rPr>
          <w:i/>
        </w:rPr>
        <w:fldChar w:fldCharType="end"/>
      </w:r>
      <w:r w:rsidR="00230A4D">
        <w:t xml:space="preserve">. </w:t>
      </w:r>
      <w:r w:rsidR="00477094" w:rsidRPr="00273106">
        <w:t xml:space="preserve">Kilwardby </w:t>
      </w:r>
      <w:r w:rsidR="00E13CBC">
        <w:t xml:space="preserve">přesměroval </w:t>
      </w:r>
      <w:r w:rsidR="00477094" w:rsidRPr="00273106">
        <w:t xml:space="preserve">útok oxfordských modernistů </w:t>
      </w:r>
      <w:r w:rsidR="00E13CBC">
        <w:t xml:space="preserve">nikoliv </w:t>
      </w:r>
      <w:r w:rsidR="00477094" w:rsidRPr="00273106">
        <w:t>proti Aristotelovi</w:t>
      </w:r>
      <w:r w:rsidR="00E13CBC">
        <w:t xml:space="preserve">, ale </w:t>
      </w:r>
      <w:r w:rsidR="00477094" w:rsidRPr="00273106">
        <w:t xml:space="preserve">proti </w:t>
      </w:r>
      <w:r w:rsidR="002E3B62">
        <w:t>Averroes</w:t>
      </w:r>
      <w:r w:rsidR="00477094" w:rsidRPr="00273106">
        <w:t xml:space="preserve">ovi jako eminentnímu expozitorovi </w:t>
      </w:r>
      <w:r w:rsidR="0822345D" w:rsidRPr="0822345D">
        <w:rPr>
          <w:i/>
        </w:rPr>
        <w:t>Corpus Aristotelicum</w:t>
      </w:r>
      <w:r w:rsidR="00477094" w:rsidRPr="00273106">
        <w:t xml:space="preserve">. </w:t>
      </w:r>
      <w:r w:rsidR="00B36829" w:rsidRPr="00273106">
        <w:t>Představitelé prvního averroism</w:t>
      </w:r>
      <w:r w:rsidR="00D907F9" w:rsidRPr="00273106">
        <w:t xml:space="preserve">u </w:t>
      </w:r>
      <w:r w:rsidR="00B36829" w:rsidRPr="00273106">
        <w:t>z tohoto zásadního důvodu označovali sk</w:t>
      </w:r>
      <w:r w:rsidR="002D5EE7">
        <w:t xml:space="preserve">upinu kolem Rufuse </w:t>
      </w:r>
      <w:r w:rsidR="00877C0F">
        <w:t xml:space="preserve">a Kilwardbyho </w:t>
      </w:r>
      <w:r w:rsidR="002D5EE7">
        <w:t>z</w:t>
      </w:r>
      <w:r w:rsidR="08CF4554">
        <w:t>a sofisty</w:t>
      </w:r>
      <w:r w:rsidR="00B36829" w:rsidRPr="00273106">
        <w:t xml:space="preserve">. Na Pařížské univerzitě </w:t>
      </w:r>
      <w:r w:rsidR="00BF256B">
        <w:t xml:space="preserve">určené myšlením Blundovy školy </w:t>
      </w:r>
      <w:r w:rsidR="002D3D4C">
        <w:t>bylo</w:t>
      </w:r>
      <w:r w:rsidR="00B36829" w:rsidRPr="00273106">
        <w:t xml:space="preserve"> </w:t>
      </w:r>
      <w:r w:rsidR="002D3D4C">
        <w:t xml:space="preserve">provozování této </w:t>
      </w:r>
      <w:r w:rsidR="00F45E50">
        <w:t>sofistiky</w:t>
      </w:r>
      <w:r w:rsidR="00B36829" w:rsidRPr="00273106">
        <w:t xml:space="preserve"> d</w:t>
      </w:r>
      <w:r w:rsidR="00A45884">
        <w:t xml:space="preserve">o </w:t>
      </w:r>
      <w:r w:rsidR="004921DC">
        <w:t xml:space="preserve">smrti biskupa Alverna </w:t>
      </w:r>
      <w:r w:rsidR="08452F55">
        <w:t>prakticky nemožné</w:t>
      </w:r>
      <w:r w:rsidR="00B36829" w:rsidRPr="00273106">
        <w:t xml:space="preserve">. </w:t>
      </w:r>
      <w:r w:rsidR="08586DDB">
        <w:t>Pařížští m</w:t>
      </w:r>
      <w:r w:rsidR="002D3D4C">
        <w:t xml:space="preserve">odernisté mohli za </w:t>
      </w:r>
      <w:r w:rsidR="004921DC">
        <w:t xml:space="preserve">jeho působení </w:t>
      </w:r>
      <w:r w:rsidR="002D3D4C">
        <w:t xml:space="preserve">provozovat </w:t>
      </w:r>
      <w:r w:rsidR="00A45884">
        <w:t xml:space="preserve">moderní </w:t>
      </w:r>
      <w:r w:rsidR="002D3D4C">
        <w:t>sofistiku jen úrovni vyučování logických hádanek a příkladů chybného myšlení (</w:t>
      </w:r>
      <w:r w:rsidR="002D3D4C" w:rsidRPr="002D3D4C">
        <w:rPr>
          <w:i/>
        </w:rPr>
        <w:t>fallacia</w:t>
      </w:r>
      <w:r w:rsidR="002D3D4C">
        <w:t xml:space="preserve">, </w:t>
      </w:r>
      <w:r w:rsidR="002D3D4C" w:rsidRPr="002D3D4C">
        <w:rPr>
          <w:i/>
        </w:rPr>
        <w:t>insolubilia</w:t>
      </w:r>
      <w:r w:rsidR="002D3D4C">
        <w:t xml:space="preserve">) pro začínají studenty. Odtud také plynula jejich obliba mezi </w:t>
      </w:r>
      <w:r w:rsidR="00F16A8F">
        <w:t xml:space="preserve">bakaláři </w:t>
      </w:r>
      <w:r w:rsidR="002D3D4C">
        <w:t>artistických věd</w:t>
      </w:r>
      <w:r w:rsidR="00091328">
        <w:t>, z nichž</w:t>
      </w:r>
      <w:r w:rsidR="002D3D4C">
        <w:t xml:space="preserve"> se v další dekádě stali přesvědčení modernisté. O implantaci latinských sofistů od </w:t>
      </w:r>
      <w:r w:rsidR="084726E1">
        <w:t xml:space="preserve">roku </w:t>
      </w:r>
      <w:r w:rsidR="002D3D4C">
        <w:t xml:space="preserve">1240 na artistických fakultách svědčí rozladění vzdělaných metafyziků jako Bacon nad Rufusovým úspěchem </w:t>
      </w:r>
      <w:r w:rsidR="00D10B87">
        <w:t xml:space="preserve">u nevzdělaných filosofických začátečníků </w:t>
      </w:r>
      <w:r w:rsidR="002D3D4C">
        <w:t>(</w:t>
      </w:r>
      <w:r w:rsidR="00D10B87" w:rsidRPr="00273106">
        <w:rPr>
          <w:i/>
        </w:rPr>
        <w:t xml:space="preserve">apud </w:t>
      </w:r>
      <w:r w:rsidR="00D10B87" w:rsidRPr="00273106">
        <w:rPr>
          <w:i/>
          <w:szCs w:val="15"/>
        </w:rPr>
        <w:t xml:space="preserve">stultam </w:t>
      </w:r>
      <w:r w:rsidR="00D10B87" w:rsidRPr="00273106">
        <w:rPr>
          <w:i/>
          <w:szCs w:val="16"/>
        </w:rPr>
        <w:t>multitudinem</w:t>
      </w:r>
      <w:r w:rsidR="00D10B87">
        <w:t xml:space="preserve">, </w:t>
      </w:r>
      <w:r w:rsidR="08463624">
        <w:t>kap. 3</w:t>
      </w:r>
      <w:r w:rsidR="002D3D4C">
        <w:t>.2)</w:t>
      </w:r>
      <w:r w:rsidR="002D3D4C">
        <w:rPr>
          <w:szCs w:val="16"/>
        </w:rPr>
        <w:t xml:space="preserve">. </w:t>
      </w:r>
      <w:r w:rsidR="00091328">
        <w:rPr>
          <w:szCs w:val="16"/>
        </w:rPr>
        <w:t xml:space="preserve">Tato skupina </w:t>
      </w:r>
      <w:r w:rsidR="00476CEC">
        <w:rPr>
          <w:szCs w:val="16"/>
        </w:rPr>
        <w:t>„</w:t>
      </w:r>
      <w:r w:rsidR="00091328">
        <w:rPr>
          <w:szCs w:val="16"/>
        </w:rPr>
        <w:t>analytických</w:t>
      </w:r>
      <w:r w:rsidR="00476CEC">
        <w:rPr>
          <w:szCs w:val="16"/>
        </w:rPr>
        <w:t xml:space="preserve">“ studentů </w:t>
      </w:r>
      <w:r w:rsidR="00040915">
        <w:rPr>
          <w:szCs w:val="16"/>
        </w:rPr>
        <w:t xml:space="preserve">propadlých avicennismu a porretánské logice </w:t>
      </w:r>
      <w:r w:rsidR="00091328">
        <w:rPr>
          <w:szCs w:val="16"/>
        </w:rPr>
        <w:t xml:space="preserve">už nemohla </w:t>
      </w:r>
      <w:r w:rsidR="0069736F">
        <w:rPr>
          <w:szCs w:val="16"/>
        </w:rPr>
        <w:t xml:space="preserve">správně </w:t>
      </w:r>
      <w:r w:rsidR="00091328">
        <w:rPr>
          <w:szCs w:val="16"/>
        </w:rPr>
        <w:t xml:space="preserve">rozumět </w:t>
      </w:r>
      <w:r w:rsidR="002E3B62">
        <w:rPr>
          <w:szCs w:val="16"/>
        </w:rPr>
        <w:t>Averroes</w:t>
      </w:r>
      <w:r w:rsidR="00091328">
        <w:rPr>
          <w:szCs w:val="16"/>
        </w:rPr>
        <w:t xml:space="preserve">ově metafyzice a výkladu poznání podle CMDA. </w:t>
      </w:r>
      <w:r w:rsidR="00BA2469" w:rsidRPr="00273106">
        <w:t>Oxford</w:t>
      </w:r>
      <w:r w:rsidR="000A4972">
        <w:t xml:space="preserve"> </w:t>
      </w:r>
      <w:r w:rsidR="00821111">
        <w:t xml:space="preserve">ovládaný akademickými ilumináty </w:t>
      </w:r>
      <w:r w:rsidR="000A4972">
        <w:t xml:space="preserve">byl </w:t>
      </w:r>
      <w:r w:rsidR="004C4513">
        <w:t xml:space="preserve">na rozdíl od Paříže </w:t>
      </w:r>
      <w:r w:rsidR="000A4972">
        <w:t xml:space="preserve">už </w:t>
      </w:r>
      <w:r w:rsidR="00CB4F1D">
        <w:t xml:space="preserve">po </w:t>
      </w:r>
      <w:r w:rsidR="00AC1FB4" w:rsidRPr="00273106">
        <w:t xml:space="preserve">celou generaci </w:t>
      </w:r>
      <w:r w:rsidR="000A4972">
        <w:t xml:space="preserve">ovládaný </w:t>
      </w:r>
      <w:r w:rsidR="009453E5">
        <w:t xml:space="preserve">analytickým </w:t>
      </w:r>
      <w:r w:rsidR="00B36829" w:rsidRPr="00273106">
        <w:t xml:space="preserve">výkladem </w:t>
      </w:r>
      <w:r w:rsidR="00B36829" w:rsidRPr="00D10B87">
        <w:rPr>
          <w:i/>
        </w:rPr>
        <w:t>Druhých analyt</w:t>
      </w:r>
      <w:r w:rsidR="0051431F" w:rsidRPr="00D10B87">
        <w:rPr>
          <w:i/>
        </w:rPr>
        <w:t>ik</w:t>
      </w:r>
      <w:r w:rsidR="0051431F">
        <w:t xml:space="preserve">, </w:t>
      </w:r>
      <w:r w:rsidR="0051431F" w:rsidRPr="00D10B87">
        <w:rPr>
          <w:i/>
        </w:rPr>
        <w:t>Kategorií</w:t>
      </w:r>
      <w:r w:rsidR="0051431F">
        <w:t xml:space="preserve"> a logi</w:t>
      </w:r>
      <w:r w:rsidR="0028611F">
        <w:t xml:space="preserve">ckých spisů. </w:t>
      </w:r>
      <w:r w:rsidR="00D10B87">
        <w:t>V</w:t>
      </w:r>
      <w:r w:rsidR="0028611F">
        <w:t xml:space="preserve"> této baště modernismu </w:t>
      </w:r>
      <w:r w:rsidR="00BA2469" w:rsidRPr="00273106">
        <w:t xml:space="preserve">začíná </w:t>
      </w:r>
      <w:r w:rsidR="0051431F">
        <w:t xml:space="preserve">první </w:t>
      </w:r>
      <w:r w:rsidR="00BA2469" w:rsidRPr="00273106">
        <w:t xml:space="preserve">oficiální útok </w:t>
      </w:r>
      <w:r w:rsidR="00276C0D" w:rsidRPr="00273106">
        <w:rPr>
          <w:i/>
        </w:rPr>
        <w:t>Modernorum</w:t>
      </w:r>
      <w:r w:rsidR="00276C0D" w:rsidRPr="00273106">
        <w:t xml:space="preserve"> </w:t>
      </w:r>
      <w:r w:rsidR="00BA2469" w:rsidRPr="00273106">
        <w:t xml:space="preserve">na </w:t>
      </w:r>
      <w:r w:rsidR="002E3B62">
        <w:t>Averroes</w:t>
      </w:r>
      <w:r w:rsidR="00F15DA8">
        <w:t>ovu metafyziku</w:t>
      </w:r>
      <w:r w:rsidR="00BA2469" w:rsidRPr="00273106">
        <w:t xml:space="preserve">. </w:t>
      </w:r>
      <w:r w:rsidR="006666AD">
        <w:t xml:space="preserve">Tento útok vystřídal předešlou filipiku </w:t>
      </w:r>
      <w:r w:rsidR="00874074">
        <w:t>neoplatonsk</w:t>
      </w:r>
      <w:r w:rsidR="006666AD">
        <w:t>ých logiků proti Aristote</w:t>
      </w:r>
      <w:r w:rsidR="00D41D52">
        <w:t xml:space="preserve">lově verzi fyziky a metafyziky. První sofistický útok na Averroese asi </w:t>
      </w:r>
      <w:r w:rsidR="00876135">
        <w:t xml:space="preserve">ještě </w:t>
      </w:r>
      <w:r w:rsidR="006666AD">
        <w:t>odsoudil Grosseste</w:t>
      </w:r>
      <w:r w:rsidR="00CB4F1D">
        <w:t>s</w:t>
      </w:r>
      <w:r w:rsidR="006666AD">
        <w:t>te</w:t>
      </w:r>
      <w:r w:rsidR="006C1361">
        <w:t xml:space="preserve"> v době, kdy </w:t>
      </w:r>
      <w:r w:rsidR="00876135">
        <w:t>se stal biskupem v Lincolnu (1236)</w:t>
      </w:r>
      <w:r w:rsidR="002B720D">
        <w:t xml:space="preserve">. Ve hře byla substanciální jednota osoby podle CMDA. </w:t>
      </w:r>
      <w:r w:rsidR="08B2249A">
        <w:t xml:space="preserve">Rufus </w:t>
      </w:r>
      <w:r w:rsidR="00D41D52">
        <w:t>odešel pod záštitou františkánů studovat do Paříže</w:t>
      </w:r>
      <w:r w:rsidR="006666AD">
        <w:t xml:space="preserve">. </w:t>
      </w:r>
      <w:r w:rsidR="0072391A">
        <w:t>Kilwardbyho d</w:t>
      </w:r>
      <w:r w:rsidR="00FD1454" w:rsidRPr="00273106">
        <w:t xml:space="preserve">ílo </w:t>
      </w:r>
      <w:r w:rsidR="00FD1454" w:rsidRPr="00273106">
        <w:rPr>
          <w:i/>
        </w:rPr>
        <w:t xml:space="preserve">De ortu scientiarum </w:t>
      </w:r>
      <w:r w:rsidR="00CE1995" w:rsidRPr="00273106">
        <w:t xml:space="preserve">zahajuje oficiální </w:t>
      </w:r>
      <w:r w:rsidR="000A4972">
        <w:t xml:space="preserve">kritiku </w:t>
      </w:r>
      <w:r w:rsidR="002E3B62">
        <w:t>Averroes</w:t>
      </w:r>
      <w:r w:rsidR="000A4972">
        <w:t xml:space="preserve">e v </w:t>
      </w:r>
      <w:r w:rsidR="00CE1995" w:rsidRPr="00273106">
        <w:t>Oxfordu</w:t>
      </w:r>
      <w:r w:rsidR="00C139C4">
        <w:t xml:space="preserve"> </w:t>
      </w:r>
      <w:r w:rsidR="00C139C4" w:rsidRPr="00273106">
        <w:t>ve spojení s novým projektem metafyziky</w:t>
      </w:r>
      <w:r w:rsidR="008D4BFA">
        <w:t xml:space="preserve"> přinesené Rufusem z Paříže</w:t>
      </w:r>
      <w:r w:rsidR="08307F66">
        <w:t xml:space="preserve">. </w:t>
      </w:r>
      <w:r w:rsidR="08F536E0">
        <w:t>Jeho m</w:t>
      </w:r>
      <w:r w:rsidR="08307F66">
        <w:t xml:space="preserve">oderní verze metafyziky se </w:t>
      </w:r>
      <w:r w:rsidR="000066F1">
        <w:t>popr</w:t>
      </w:r>
      <w:r w:rsidR="08307F66">
        <w:t>vé přednášela</w:t>
      </w:r>
      <w:r w:rsidR="000066F1">
        <w:t xml:space="preserve"> na Oxfordu </w:t>
      </w:r>
      <w:r w:rsidR="00CC6FC4">
        <w:t xml:space="preserve">v roce 1250, alespoň </w:t>
      </w:r>
      <w:r w:rsidR="000066F1">
        <w:t>podle svědectví Bacona</w:t>
      </w:r>
      <w:r w:rsidR="00CE1995" w:rsidRPr="00273106">
        <w:t xml:space="preserve">. </w:t>
      </w:r>
      <w:r w:rsidR="00BA7D5E">
        <w:t>P</w:t>
      </w:r>
      <w:r w:rsidR="003B169D" w:rsidRPr="00273106">
        <w:t>olemik</w:t>
      </w:r>
      <w:r w:rsidR="00BA7D5E">
        <w:t>a</w:t>
      </w:r>
      <w:r w:rsidR="003B169D" w:rsidRPr="00273106">
        <w:t xml:space="preserve"> s </w:t>
      </w:r>
      <w:r w:rsidR="002E3B62">
        <w:t>Averroes</w:t>
      </w:r>
      <w:r w:rsidR="003B169D" w:rsidRPr="00273106">
        <w:t xml:space="preserve">em ukazuje </w:t>
      </w:r>
      <w:r w:rsidR="080F05AB">
        <w:t xml:space="preserve">vřazení </w:t>
      </w:r>
      <w:r w:rsidR="00F06B1D" w:rsidRPr="00273106">
        <w:t>un</w:t>
      </w:r>
      <w:r w:rsidR="002B3FEE">
        <w:t>iverzálního hylem</w:t>
      </w:r>
      <w:r w:rsidR="00F06B1D">
        <w:t>orfismu do matematiky, fyziky a metafyziky</w:t>
      </w:r>
      <w:r w:rsidR="08213D00">
        <w:t xml:space="preserve">. Moderna </w:t>
      </w:r>
      <w:r w:rsidR="003B169D" w:rsidRPr="00273106">
        <w:t>začal</w:t>
      </w:r>
      <w:r w:rsidR="08213D00">
        <w:t>a</w:t>
      </w:r>
      <w:r w:rsidR="003B169D" w:rsidRPr="00273106">
        <w:t xml:space="preserve"> tvořit věci </w:t>
      </w:r>
      <w:r w:rsidR="003B169D" w:rsidRPr="00273106">
        <w:rPr>
          <w:i/>
        </w:rPr>
        <w:t>ex nihilo</w:t>
      </w:r>
      <w:r w:rsidR="00095CA5">
        <w:rPr>
          <w:i/>
        </w:rPr>
        <w:fldChar w:fldCharType="begin"/>
      </w:r>
      <w:r w:rsidR="00095CA5">
        <w:instrText xml:space="preserve"> XE "</w:instrText>
      </w:r>
      <w:r w:rsidR="00095CA5" w:rsidRPr="00F60034">
        <w:rPr>
          <w:i/>
        </w:rPr>
        <w:instrText>creatio ex nihilo</w:instrText>
      </w:r>
      <w:r w:rsidR="00095CA5">
        <w:instrText xml:space="preserve">" </w:instrText>
      </w:r>
      <w:r w:rsidR="00095CA5">
        <w:rPr>
          <w:i/>
        </w:rPr>
        <w:fldChar w:fldCharType="end"/>
      </w:r>
      <w:r w:rsidR="085A6044">
        <w:t xml:space="preserve"> a řadil</w:t>
      </w:r>
      <w:r w:rsidR="08213D00">
        <w:t>a</w:t>
      </w:r>
      <w:r w:rsidR="085A6044">
        <w:t xml:space="preserve"> je do paralelního diakosmu</w:t>
      </w:r>
      <w:r w:rsidR="00A850CF">
        <w:t>.</w:t>
      </w:r>
      <w:r w:rsidR="0064396E">
        <w:t xml:space="preserve"> </w:t>
      </w:r>
      <w:r w:rsidR="00A850CF">
        <w:t xml:space="preserve">Akademičtí ilumináti </w:t>
      </w:r>
      <w:r w:rsidR="00145CA0">
        <w:t xml:space="preserve">se </w:t>
      </w:r>
      <w:r w:rsidR="00A850CF">
        <w:t xml:space="preserve">stali novým </w:t>
      </w:r>
      <w:r w:rsidR="0064396E">
        <w:t xml:space="preserve">strážným </w:t>
      </w:r>
      <w:r w:rsidR="00A850CF">
        <w:t xml:space="preserve">basiliškem v objektivní zahradě Hesperidek (Kildwardbyho </w:t>
      </w:r>
      <w:r w:rsidR="00A850CF" w:rsidRPr="00A850CF">
        <w:rPr>
          <w:i/>
        </w:rPr>
        <w:t>ortus scientiarum</w:t>
      </w:r>
      <w:r w:rsidR="00A850CF">
        <w:t xml:space="preserve">). </w:t>
      </w:r>
      <w:r w:rsidR="0088168A">
        <w:t xml:space="preserve">Múzy inscenovaly tuto tragikomedii v modu archaické </w:t>
      </w:r>
      <w:r w:rsidR="0088168A" w:rsidRPr="00A850CF">
        <w:rPr>
          <w:i/>
        </w:rPr>
        <w:t>a/léth</w:t>
      </w:r>
      <w:r w:rsidR="0088168A">
        <w:rPr>
          <w:i/>
        </w:rPr>
        <w:t>e</w:t>
      </w:r>
      <w:r w:rsidR="0088168A" w:rsidRPr="00A850CF">
        <w:rPr>
          <w:i/>
        </w:rPr>
        <w:t>ia</w:t>
      </w:r>
      <w:r w:rsidR="0088168A">
        <w:t>. M</w:t>
      </w:r>
      <w:r w:rsidR="00A850CF">
        <w:t xml:space="preserve">odernisté </w:t>
      </w:r>
      <w:r w:rsidR="0088168A">
        <w:t>dostali dějinně určený mytologický úkol</w:t>
      </w:r>
      <w:r w:rsidR="00A850CF">
        <w:t>, že mají takto založenou „vědu“ vytvářet, katalogizovat, a hlavně střežit před útokem zdravého rozumu.</w:t>
      </w:r>
      <w:r w:rsidR="0064396E">
        <w:t xml:space="preserve"> </w:t>
      </w:r>
      <w:r w:rsidR="002E3B62">
        <w:t>Averroes</w:t>
      </w:r>
      <w:r w:rsidR="003B169D">
        <w:t xml:space="preserve">ova metafyzika </w:t>
      </w:r>
      <w:r w:rsidR="00F53962">
        <w:t xml:space="preserve">výslovně zakazuje </w:t>
      </w:r>
      <w:r w:rsidR="003B169D">
        <w:t xml:space="preserve">vznik </w:t>
      </w:r>
      <w:r w:rsidR="00F53962">
        <w:t xml:space="preserve">intelektuálních </w:t>
      </w:r>
      <w:r w:rsidR="003B169D">
        <w:t>simuláker</w:t>
      </w:r>
      <w:r w:rsidR="00B40981">
        <w:fldChar w:fldCharType="begin"/>
      </w:r>
      <w:r w:rsidR="00B40981">
        <w:instrText xml:space="preserve"> XE "</w:instrText>
      </w:r>
      <w:r w:rsidR="002E709C">
        <w:instrText>simulákrum</w:instrText>
      </w:r>
      <w:r w:rsidR="00B40981">
        <w:instrText xml:space="preserve">" </w:instrText>
      </w:r>
      <w:r w:rsidR="00B40981">
        <w:fldChar w:fldCharType="end"/>
      </w:r>
      <w:r w:rsidR="00424259">
        <w:t xml:space="preserve">. V </w:t>
      </w:r>
      <w:r w:rsidR="00095CA5">
        <w:t xml:space="preserve">systému </w:t>
      </w:r>
      <w:r w:rsidR="00D35C16">
        <w:t xml:space="preserve">klasické </w:t>
      </w:r>
      <w:r w:rsidR="00095CA5">
        <w:t>„meta</w:t>
      </w:r>
      <w:r w:rsidR="00095CA5">
        <w:noBreakHyphen/>
        <w:t xml:space="preserve">fyziky“ </w:t>
      </w:r>
      <w:r w:rsidR="00D35C16">
        <w:t xml:space="preserve">dané vědou o </w:t>
      </w:r>
      <w:r w:rsidR="00F509CE">
        <w:t>„</w:t>
      </w:r>
      <w:r w:rsidR="00D35C16">
        <w:t xml:space="preserve">substanci </w:t>
      </w:r>
      <w:r w:rsidR="00D35C16" w:rsidRPr="00D35C16">
        <w:rPr>
          <w:i/>
        </w:rPr>
        <w:t>qua</w:t>
      </w:r>
      <w:r w:rsidR="00D35C16">
        <w:t xml:space="preserve"> substanci</w:t>
      </w:r>
      <w:r w:rsidR="00F509CE">
        <w:t>“</w:t>
      </w:r>
      <w:r w:rsidR="00D35C16">
        <w:t xml:space="preserve"> </w:t>
      </w:r>
      <w:r w:rsidR="003B169D">
        <w:t xml:space="preserve">nemají </w:t>
      </w:r>
      <w:r w:rsidR="00424259">
        <w:t>jsoucna třetí</w:t>
      </w:r>
      <w:r w:rsidR="00D35C16">
        <w:t>ho druhu žádný způsob, jak</w:t>
      </w:r>
      <w:r w:rsidR="00095CA5">
        <w:t xml:space="preserve"> by mohla</w:t>
      </w:r>
      <w:r w:rsidR="003B169D">
        <w:t xml:space="preserve"> existovat. V realitě nejsou vůbec a v mysli také ne, protože CMDA vylučuje </w:t>
      </w:r>
      <w:r w:rsidR="00424259">
        <w:t xml:space="preserve">tvorbu </w:t>
      </w:r>
      <w:r w:rsidR="00111D6F" w:rsidRPr="00A24D91">
        <w:rPr>
          <w:i/>
        </w:rPr>
        <w:t>tertium ens</w:t>
      </w:r>
      <w:r w:rsidR="003B169D">
        <w:t xml:space="preserve">. </w:t>
      </w:r>
      <w:r w:rsidR="00DD4CBE">
        <w:t xml:space="preserve">Buď věc existuje v realitě nebo v mysli. </w:t>
      </w:r>
      <w:r w:rsidR="003B169D">
        <w:t xml:space="preserve">Pro skutečné znalce </w:t>
      </w:r>
      <w:r w:rsidR="002E3B62">
        <w:t>Averroes</w:t>
      </w:r>
      <w:r w:rsidR="003B169D">
        <w:t xml:space="preserve">e jako Grosseteste, Alvernus, Albert a Bacon byla sofistika </w:t>
      </w:r>
      <w:r w:rsidR="0819185C" w:rsidRPr="0819185C">
        <w:rPr>
          <w:i/>
        </w:rPr>
        <w:t>Modernorum</w:t>
      </w:r>
      <w:r w:rsidR="0819185C">
        <w:t xml:space="preserve"> </w:t>
      </w:r>
      <w:r w:rsidR="003B169D">
        <w:t xml:space="preserve">naprosto nepřijatelná. Její protagonisty nepovažovali za skutečné filosofy, ale za špatně vyučené logiky, kteří </w:t>
      </w:r>
      <w:r w:rsidR="0090551F">
        <w:t>mají pouze na to, aby učili</w:t>
      </w:r>
      <w:r w:rsidR="003B169D">
        <w:t xml:space="preserve"> </w:t>
      </w:r>
      <w:r w:rsidR="007223F3">
        <w:t>filosofické začátečníky</w:t>
      </w:r>
      <w:r w:rsidR="003B169D">
        <w:t xml:space="preserve">. Viz Akvinského výpad </w:t>
      </w:r>
      <w:r w:rsidR="004C5EFC">
        <w:t xml:space="preserve">na konci díla </w:t>
      </w:r>
      <w:r w:rsidR="004C5EFC" w:rsidRPr="004C5EFC">
        <w:rPr>
          <w:i/>
        </w:rPr>
        <w:t>De unitate intellectus</w:t>
      </w:r>
      <w:r w:rsidR="004C5EFC">
        <w:t xml:space="preserve"> (1270) </w:t>
      </w:r>
      <w:r w:rsidR="003B169D">
        <w:t>proti škole</w:t>
      </w:r>
      <w:r w:rsidR="00A74ACC">
        <w:t xml:space="preserve"> </w:t>
      </w:r>
      <w:r w:rsidR="00F22B21">
        <w:t xml:space="preserve">druhého averroismu </w:t>
      </w:r>
      <w:r w:rsidR="00A74ACC">
        <w:t xml:space="preserve">působící </w:t>
      </w:r>
      <w:r w:rsidR="006D2919">
        <w:t xml:space="preserve">v Paříži </w:t>
      </w:r>
      <w:r w:rsidR="00A74ACC">
        <w:t xml:space="preserve">pod vedením </w:t>
      </w:r>
      <w:r w:rsidR="00F22B21">
        <w:t>Pechama</w:t>
      </w:r>
      <w:r w:rsidR="08B33D13">
        <w:t xml:space="preserve"> (OBJ III, kap. 4</w:t>
      </w:r>
      <w:r w:rsidR="08EB6461">
        <w:t>.6)</w:t>
      </w:r>
      <w:r w:rsidR="003B169D">
        <w:t xml:space="preserve">. </w:t>
      </w:r>
      <w:r w:rsidR="00FA06C9">
        <w:t xml:space="preserve">Připomeňme, že Pecham musel Pařížskou univerzitu opustit </w:t>
      </w:r>
      <w:r w:rsidR="08684D3B">
        <w:t xml:space="preserve">v roce 1271 </w:t>
      </w:r>
      <w:r w:rsidR="00FA06C9">
        <w:t>stejně neslavně jako Rufus</w:t>
      </w:r>
      <w:r w:rsidR="08265EC8">
        <w:t xml:space="preserve"> a Kilwardby</w:t>
      </w:r>
      <w:r w:rsidR="00FA06C9">
        <w:t xml:space="preserve">. </w:t>
      </w:r>
      <w:r w:rsidR="00476FBA">
        <w:t xml:space="preserve">Latinští sofisté </w:t>
      </w:r>
      <w:r w:rsidR="081D3E49">
        <w:t xml:space="preserve">vytvořili averroistického Averroese, </w:t>
      </w:r>
      <w:r w:rsidR="08A94729">
        <w:t>kterého upravovali podle vlastních proměnlivých potřeb</w:t>
      </w:r>
      <w:r w:rsidR="08F40EC7">
        <w:t xml:space="preserve"> daných v řádu nového scientologického diskurzu</w:t>
      </w:r>
      <w:r w:rsidR="08A94729">
        <w:t xml:space="preserve">. Jednou se na něj </w:t>
      </w:r>
      <w:r w:rsidR="081D3E49">
        <w:t xml:space="preserve">odvolávali jako na Komentátora a jindy jej hanili jako heretika. </w:t>
      </w:r>
      <w:r w:rsidR="08A73B6C">
        <w:t>To vyplývá z podstaty averroistické interpretace Komentátora, která obsahuje modernizovaný pan</w:t>
      </w:r>
      <w:r w:rsidR="08AD5A2C">
        <w:t>teismus Davida z Dinantu (kap. 3</w:t>
      </w:r>
      <w:r w:rsidR="00CD4DE9">
        <w:t>.3.3).</w:t>
      </w:r>
    </w:p>
    <w:p w14:paraId="73CF118B" w14:textId="08D297B3" w:rsidR="007A012E" w:rsidRDefault="00B31D7D" w:rsidP="00CD4DE9">
      <w:pPr>
        <w:ind w:firstLine="397"/>
      </w:pPr>
      <w:r>
        <w:t xml:space="preserve">Falešná gigantomachie </w:t>
      </w:r>
      <w:r w:rsidR="08272816">
        <w:t xml:space="preserve">prvních </w:t>
      </w:r>
      <w:r w:rsidR="00C94D6D">
        <w:t xml:space="preserve">modernistů </w:t>
      </w:r>
      <w:r w:rsidR="00AC4AB4">
        <w:t xml:space="preserve">s </w:t>
      </w:r>
      <w:r w:rsidR="002E3B62">
        <w:t>Averroes</w:t>
      </w:r>
      <w:r w:rsidR="00AC4AB4">
        <w:t xml:space="preserve">em </w:t>
      </w:r>
      <w:r w:rsidR="00C94D6D">
        <w:t>se týkal</w:t>
      </w:r>
      <w:r w:rsidR="009A009E">
        <w:t>a</w:t>
      </w:r>
      <w:r w:rsidR="00C94D6D">
        <w:t xml:space="preserve"> problému individuace a kvantity</w:t>
      </w:r>
      <w:r w:rsidR="084E2073">
        <w:t xml:space="preserve"> dané objektivním pojetím materie</w:t>
      </w:r>
      <w:r w:rsidR="00CD4DE9">
        <w:t xml:space="preserve">. </w:t>
      </w:r>
      <w:r w:rsidR="00893F0E" w:rsidRPr="00893F0E">
        <w:t xml:space="preserve">Zavedením hypostatické povahy kvantity </w:t>
      </w:r>
      <w:r w:rsidR="004F0D9D" w:rsidRPr="00893F0E">
        <w:t>v návaznosti na neoplatonismus</w:t>
      </w:r>
      <w:r w:rsidR="004F0D9D">
        <w:t xml:space="preserve">, </w:t>
      </w:r>
      <w:r w:rsidR="004F0D9D" w:rsidRPr="00893F0E">
        <w:t xml:space="preserve">modernisté </w:t>
      </w:r>
      <w:r w:rsidR="00893F0E" w:rsidRPr="00893F0E">
        <w:t xml:space="preserve">pojali </w:t>
      </w:r>
      <w:r w:rsidR="004F0D9D">
        <w:t>smysl jsoucna</w:t>
      </w:r>
      <w:r w:rsidR="00893F0E">
        <w:t xml:space="preserve"> </w:t>
      </w:r>
      <w:r w:rsidR="00893F0E" w:rsidRPr="00893F0E">
        <w:t>zezadu podl</w:t>
      </w:r>
      <w:r w:rsidR="00893F0E">
        <w:t>e T</w:t>
      </w:r>
      <w:r w:rsidR="00893F0E" w:rsidRPr="00893F0E">
        <w:t>oledské školy, místo</w:t>
      </w:r>
      <w:r w:rsidR="00893F0E">
        <w:t xml:space="preserve"> aby ho pojímali zepředu podle S</w:t>
      </w:r>
      <w:r w:rsidR="00893F0E" w:rsidRPr="00893F0E">
        <w:t xml:space="preserve">icilské školy. </w:t>
      </w:r>
      <w:r w:rsidR="00FC5AC9">
        <w:t xml:space="preserve">Tím vznikl </w:t>
      </w:r>
      <w:r w:rsidR="00893F0E" w:rsidRPr="00893F0E">
        <w:t xml:space="preserve">výklad metafyziky </w:t>
      </w:r>
      <w:r w:rsidR="00893F0E">
        <w:t xml:space="preserve">podané </w:t>
      </w:r>
      <w:r w:rsidR="00FC5AC9">
        <w:t xml:space="preserve">podle první verse modernismu. Averroismus toletánů jako </w:t>
      </w:r>
      <w:r w:rsidR="007B4E56">
        <w:t>pokračovatelů neoplatonského Aristotela (</w:t>
      </w:r>
      <w:r w:rsidR="00FC5AC9" w:rsidRPr="00FC5AC9">
        <w:rPr>
          <w:i/>
        </w:rPr>
        <w:t>sequaces Aristotelis</w:t>
      </w:r>
      <w:r w:rsidR="007B4E56">
        <w:t xml:space="preserve">) </w:t>
      </w:r>
      <w:r w:rsidR="00FC5AC9">
        <w:t xml:space="preserve">nebyl tolerovaný v Paříži. Ale </w:t>
      </w:r>
      <w:r w:rsidR="003442F2">
        <w:t xml:space="preserve">Grosseteste na Oxfordu </w:t>
      </w:r>
      <w:r w:rsidR="00FC5AC9">
        <w:t xml:space="preserve">ho </w:t>
      </w:r>
      <w:r w:rsidR="003442F2">
        <w:t>jistě toleroval</w:t>
      </w:r>
      <w:r w:rsidR="00972A05">
        <w:t>, pokud</w:t>
      </w:r>
      <w:r w:rsidR="008B0BF3">
        <w:t xml:space="preserve"> taková interpretace </w:t>
      </w:r>
      <w:r w:rsidR="00972A05">
        <w:t>nerušil</w:t>
      </w:r>
      <w:r w:rsidR="008B0BF3">
        <w:t>a</w:t>
      </w:r>
      <w:r w:rsidR="00972A05">
        <w:t xml:space="preserve"> substanční jednotu osoby</w:t>
      </w:r>
      <w:r w:rsidR="003442F2">
        <w:t xml:space="preserve">. Frontální útok na Komentátora </w:t>
      </w:r>
      <w:r w:rsidR="006C40BE">
        <w:t xml:space="preserve">jako špatného metafyzika a heretika </w:t>
      </w:r>
      <w:r w:rsidR="003442F2">
        <w:t>začal v mom</w:t>
      </w:r>
      <w:r w:rsidR="006C40BE">
        <w:t xml:space="preserve">entu, kdy byla jeho metafyzika </w:t>
      </w:r>
      <w:r w:rsidR="00972A05">
        <w:t>konfrontován</w:t>
      </w:r>
      <w:r w:rsidR="006C40BE">
        <w:t>a</w:t>
      </w:r>
      <w:r w:rsidR="003442F2">
        <w:t xml:space="preserve"> s novou metafyzikou</w:t>
      </w:r>
      <w:r w:rsidR="007F69BE" w:rsidRPr="007F69BE">
        <w:t xml:space="preserve"> </w:t>
      </w:r>
      <w:r w:rsidR="007F69BE">
        <w:t xml:space="preserve">modernistů vzniklou v </w:t>
      </w:r>
      <w:r w:rsidR="08116D99">
        <w:t xml:space="preserve">Rufusově </w:t>
      </w:r>
      <w:r w:rsidR="007F69BE">
        <w:t xml:space="preserve">díle </w:t>
      </w:r>
      <w:r w:rsidR="007F69BE" w:rsidRPr="007F69BE">
        <w:rPr>
          <w:i/>
        </w:rPr>
        <w:t>Speculum animae</w:t>
      </w:r>
      <w:r w:rsidR="003442F2">
        <w:t xml:space="preserve">. Zavedením univerzálního hylemorfismu </w:t>
      </w:r>
      <w:r w:rsidR="004F552A">
        <w:t xml:space="preserve">do metafyziky </w:t>
      </w:r>
      <w:r w:rsidR="003442F2">
        <w:t xml:space="preserve">v modu objektivního jsoucna podle Rufusova </w:t>
      </w:r>
      <w:r w:rsidR="004B4D52" w:rsidRPr="004B4D52">
        <w:t>species</w:t>
      </w:r>
      <w:r w:rsidR="08330CAD">
        <w:rPr>
          <w:i/>
        </w:rPr>
        <w:t xml:space="preserve"> obiecti exsistentis</w:t>
      </w:r>
      <w:r w:rsidR="00F31014">
        <w:rPr>
          <w:i/>
        </w:rPr>
        <w:fldChar w:fldCharType="begin"/>
      </w:r>
      <w:r w:rsidR="00F31014">
        <w:instrText xml:space="preserve"> XE "</w:instrText>
      </w:r>
      <w:r w:rsidR="08330CAD">
        <w:rPr>
          <w:i/>
        </w:rPr>
        <w:instrText>species obiecti exsistentis</w:instrText>
      </w:r>
      <w:r w:rsidR="00F31014">
        <w:instrText xml:space="preserve">" </w:instrText>
      </w:r>
      <w:r w:rsidR="00F31014">
        <w:rPr>
          <w:i/>
        </w:rPr>
        <w:fldChar w:fldCharType="end"/>
      </w:r>
      <w:r w:rsidR="003442F2">
        <w:t xml:space="preserve"> </w:t>
      </w:r>
      <w:r w:rsidR="00A040FF">
        <w:t xml:space="preserve">vznikl zásadní konflikt mezi metafyzikou modernistů a </w:t>
      </w:r>
      <w:r w:rsidR="002E3B62">
        <w:t>Averroes</w:t>
      </w:r>
      <w:r w:rsidR="08CF554A">
        <w:t xml:space="preserve">ovými komentáři </w:t>
      </w:r>
      <w:r w:rsidR="08CF554A" w:rsidRPr="08CF554A">
        <w:rPr>
          <w:i/>
        </w:rPr>
        <w:t>M</w:t>
      </w:r>
      <w:r w:rsidR="007A0B3E" w:rsidRPr="08CF554A">
        <w:rPr>
          <w:i/>
        </w:rPr>
        <w:t>etafyziky</w:t>
      </w:r>
      <w:r w:rsidR="08CF554A">
        <w:t xml:space="preserve"> a </w:t>
      </w:r>
      <w:r w:rsidR="08CF554A" w:rsidRPr="08CF554A">
        <w:rPr>
          <w:i/>
        </w:rPr>
        <w:t>F</w:t>
      </w:r>
      <w:r w:rsidR="007A0B3E" w:rsidRPr="08CF554A">
        <w:rPr>
          <w:i/>
        </w:rPr>
        <w:t>yziky</w:t>
      </w:r>
      <w:r w:rsidR="08D438A3">
        <w:t xml:space="preserve">, které se v Paříži </w:t>
      </w:r>
      <w:r w:rsidR="08CF554A">
        <w:t>četly v paradigmatu Sicilské školy</w:t>
      </w:r>
      <w:r w:rsidR="08CF554A">
        <w:fldChar w:fldCharType="begin"/>
      </w:r>
      <w:r w:rsidR="08CF554A">
        <w:instrText xml:space="preserve"> XE "</w:instrText>
      </w:r>
      <w:r w:rsidR="08CF554A" w:rsidRPr="08880F2E">
        <w:instrText>Sicilská škola</w:instrText>
      </w:r>
      <w:r w:rsidR="08CF554A">
        <w:instrText xml:space="preserve">" </w:instrText>
      </w:r>
      <w:r w:rsidR="08CF554A">
        <w:fldChar w:fldCharType="end"/>
      </w:r>
      <w:r w:rsidR="08CF554A">
        <w:t xml:space="preserve">. Tento </w:t>
      </w:r>
      <w:r w:rsidR="00A040FF">
        <w:t xml:space="preserve">projekt </w:t>
      </w:r>
      <w:r w:rsidR="08CF554A">
        <w:t xml:space="preserve">první vědy </w:t>
      </w:r>
      <w:r w:rsidR="00435CB1">
        <w:t xml:space="preserve">modernisté </w:t>
      </w:r>
      <w:r w:rsidR="007A0B3E">
        <w:t>znali</w:t>
      </w:r>
      <w:r w:rsidR="008C2F17">
        <w:t xml:space="preserve"> </w:t>
      </w:r>
      <w:r w:rsidR="08A016D7">
        <w:t xml:space="preserve">od artistů z Rue du Fouarre </w:t>
      </w:r>
      <w:r w:rsidR="08D438A3">
        <w:t xml:space="preserve">jako bašty </w:t>
      </w:r>
      <w:r w:rsidR="008C2F17">
        <w:t>první</w:t>
      </w:r>
      <w:r w:rsidR="08D438A3">
        <w:t>ho</w:t>
      </w:r>
      <w:r w:rsidR="008C2F17">
        <w:t xml:space="preserve"> averroism</w:t>
      </w:r>
      <w:r w:rsidR="08D438A3">
        <w:t>u</w:t>
      </w:r>
      <w:r w:rsidR="007A0B3E" w:rsidRPr="00273106">
        <w:t>.</w:t>
      </w:r>
      <w:r w:rsidR="00807C5B">
        <w:t xml:space="preserve"> Kilwardby stejně jako Rufus dobře </w:t>
      </w:r>
      <w:r w:rsidR="08F411E5">
        <w:t xml:space="preserve">věděl, jaká je </w:t>
      </w:r>
      <w:r w:rsidR="00807C5B">
        <w:t>pozic</w:t>
      </w:r>
      <w:r w:rsidR="08F411E5">
        <w:t>e</w:t>
      </w:r>
      <w:r w:rsidR="00807C5B">
        <w:t xml:space="preserve"> Aristotela a Averroese ohledně kvantity.</w:t>
      </w:r>
      <w:r w:rsidR="007A0B3E" w:rsidRPr="00273106">
        <w:rPr>
          <w:rStyle w:val="Znakapoznpodarou"/>
        </w:rPr>
        <w:footnoteReference w:id="495"/>
      </w:r>
      <w:r w:rsidR="007A0B3E" w:rsidRPr="00273106">
        <w:t xml:space="preserve"> </w:t>
      </w:r>
      <w:r w:rsidR="00A040FF">
        <w:t xml:space="preserve">Proto musel Kilwardby na Oxfordu nově určit pojetí věd v rámci nové metafyziky již dané podle Avicenny. </w:t>
      </w:r>
      <w:r w:rsidR="08C236E7" w:rsidRPr="00273106">
        <w:t xml:space="preserve">Traktát </w:t>
      </w:r>
      <w:r w:rsidR="08C236E7" w:rsidRPr="00273106">
        <w:rPr>
          <w:i/>
        </w:rPr>
        <w:t xml:space="preserve">De ortu scientiarum </w:t>
      </w:r>
      <w:r w:rsidR="08C236E7" w:rsidRPr="00273106">
        <w:t>podává kladnou recepci Aristotela do avicennovské metafyziky a do systému porretánských hypostází daných matematicky</w:t>
      </w:r>
      <w:r w:rsidR="00322E9B">
        <w:t xml:space="preserve">. </w:t>
      </w:r>
      <w:r w:rsidR="00322E9B" w:rsidRPr="00322E9B">
        <w:t>Poté oxfordští averroisté zahájili první útok na Averroese. Kilwardby dokončil spis v době prvních sporů o status nové metafyziky. Bacon tento první spor zcela správně datoval do doby Rufusových přednášek v Oxfordu, které se konaly v roce 1250.</w:t>
      </w:r>
      <w:r w:rsidR="00322E9B">
        <w:t xml:space="preserve"> </w:t>
      </w:r>
      <w:r w:rsidR="08AD5A2C">
        <w:t xml:space="preserve">První moderna </w:t>
      </w:r>
      <w:r w:rsidR="08AD5A2C" w:rsidRPr="00273106">
        <w:t xml:space="preserve">začala </w:t>
      </w:r>
      <w:r w:rsidR="08AD5A2C">
        <w:t xml:space="preserve"> </w:t>
      </w:r>
      <w:r w:rsidR="007A0B3E" w:rsidRPr="00273106">
        <w:t xml:space="preserve">Aristotela oficiálně bránit, protože jej vyložila podle </w:t>
      </w:r>
      <w:r w:rsidR="00874074">
        <w:t>neoplatonsk</w:t>
      </w:r>
      <w:r w:rsidR="007A0B3E" w:rsidRPr="00273106">
        <w:t xml:space="preserve">ého modelu Avicenny a </w:t>
      </w:r>
      <w:r w:rsidR="08811C58">
        <w:t xml:space="preserve">podle </w:t>
      </w:r>
      <w:r w:rsidR="007A0B3E" w:rsidRPr="00273106">
        <w:t>porretánů</w:t>
      </w:r>
      <w:r w:rsidR="08362C9F">
        <w:t xml:space="preserve"> typu Rufuse</w:t>
      </w:r>
      <w:r w:rsidR="007A0B3E" w:rsidRPr="00273106">
        <w:t>.</w:t>
      </w:r>
      <w:r w:rsidR="007A0B3E">
        <w:t xml:space="preserve"> </w:t>
      </w:r>
      <w:r w:rsidR="08362C9F">
        <w:t>Proto od roku 1250 za</w:t>
      </w:r>
      <w:r w:rsidR="08A15D5B">
        <w:t>číná ofic</w:t>
      </w:r>
      <w:r w:rsidR="08A40881">
        <w:t>i</w:t>
      </w:r>
      <w:r w:rsidR="08A15D5B">
        <w:t>ální útok mode</w:t>
      </w:r>
      <w:r w:rsidR="08362C9F">
        <w:t>r</w:t>
      </w:r>
      <w:r w:rsidR="08811C58">
        <w:t xml:space="preserve">nistů na Komentátora </w:t>
      </w:r>
      <w:r w:rsidR="08A15D5B">
        <w:t>nejprve v Oxfordu. O</w:t>
      </w:r>
      <w:r w:rsidR="08362C9F">
        <w:t>pakování předešlého útok</w:t>
      </w:r>
      <w:r w:rsidR="08044B14">
        <w:t>u</w:t>
      </w:r>
      <w:r w:rsidR="08362C9F">
        <w:t xml:space="preserve"> oxfordských iluminátů na </w:t>
      </w:r>
      <w:r w:rsidR="08301BFB">
        <w:t xml:space="preserve">Aristotela </w:t>
      </w:r>
      <w:r w:rsidR="08362C9F">
        <w:t>by je vystavilo dalšímu akademickému posměchu. Biskup Gross</w:t>
      </w:r>
      <w:r w:rsidR="08A15D5B">
        <w:t>e</w:t>
      </w:r>
      <w:r w:rsidR="08362C9F">
        <w:t>teste z Lincolnu jako supervizor uni</w:t>
      </w:r>
      <w:r w:rsidR="08970E38">
        <w:t xml:space="preserve">verzity </w:t>
      </w:r>
      <w:r w:rsidR="08362C9F">
        <w:t xml:space="preserve">mohl žádat u papeže církevní tresty pro tuto pochybnou skupinu </w:t>
      </w:r>
      <w:r w:rsidR="08362C9F">
        <w:rPr>
          <w:i/>
        </w:rPr>
        <w:t>doctores Latini</w:t>
      </w:r>
      <w:r w:rsidR="08362C9F">
        <w:t xml:space="preserve">, které kritizoval </w:t>
      </w:r>
      <w:r w:rsidR="08044B14">
        <w:t xml:space="preserve">za jejich anti-aristotelismus hned </w:t>
      </w:r>
      <w:r w:rsidR="08362C9F">
        <w:t>při jejich vzniku</w:t>
      </w:r>
      <w:r w:rsidR="08044B14">
        <w:t xml:space="preserve"> okolu roku 1235</w:t>
      </w:r>
      <w:r w:rsidR="08362C9F">
        <w:t xml:space="preserve">. </w:t>
      </w:r>
      <w:r w:rsidR="08970E38">
        <w:t xml:space="preserve">Útok na Aristotela už byl zbytečný, ale útok na Komentátora rozhodoval </w:t>
      </w:r>
      <w:r w:rsidR="087C775D">
        <w:t>v letech 1250‒55 o bytí a nebytí modernismu</w:t>
      </w:r>
      <w:r w:rsidR="088676DD">
        <w:t xml:space="preserve"> ve sty</w:t>
      </w:r>
      <w:r w:rsidR="087C775D">
        <w:t>lu v</w:t>
      </w:r>
      <w:r w:rsidR="00272988">
        <w:t xml:space="preserve">yloučeného třetího. Pokud platil </w:t>
      </w:r>
      <w:r w:rsidR="088676DD">
        <w:t xml:space="preserve">výklad </w:t>
      </w:r>
      <w:r w:rsidR="08795F89">
        <w:t xml:space="preserve">Korpusu </w:t>
      </w:r>
      <w:r w:rsidR="08A12F5C">
        <w:t xml:space="preserve">a metafyziky </w:t>
      </w:r>
      <w:r w:rsidR="08795F89">
        <w:t xml:space="preserve">podle Komentátora a zejména </w:t>
      </w:r>
      <w:r w:rsidR="00272988">
        <w:t xml:space="preserve">jeho brilantní </w:t>
      </w:r>
      <w:r w:rsidR="08795F89">
        <w:t xml:space="preserve">exegeze </w:t>
      </w:r>
      <w:r w:rsidR="08795F89" w:rsidRPr="08795F89">
        <w:rPr>
          <w:i/>
        </w:rPr>
        <w:t>De anima</w:t>
      </w:r>
      <w:r w:rsidR="08795F89">
        <w:t xml:space="preserve"> podle </w:t>
      </w:r>
      <w:r w:rsidR="087C775D">
        <w:t>CMDA, pak nem</w:t>
      </w:r>
      <w:r w:rsidR="00272988">
        <w:t xml:space="preserve">ohla </w:t>
      </w:r>
      <w:r w:rsidR="087C775D">
        <w:t>platit sofistika moderny. P</w:t>
      </w:r>
      <w:r w:rsidR="08970E38">
        <w:t>roto měla obvinění Averro</w:t>
      </w:r>
      <w:r w:rsidR="088676DD">
        <w:t>e</w:t>
      </w:r>
      <w:r w:rsidR="08970E38">
        <w:t>se z averroismu ve škole modernistů naprosto vylhaný charakter daný tvrdou dehonestací</w:t>
      </w:r>
      <w:r w:rsidR="08DB0039">
        <w:t>, což plně ukáže Aegidius Romanus v další generaci (</w:t>
      </w:r>
      <w:r w:rsidR="08E659F8">
        <w:t>OBJ III, kap. 4</w:t>
      </w:r>
      <w:r w:rsidR="08DB0039">
        <w:t>.3.2)</w:t>
      </w:r>
      <w:r w:rsidR="08970E38">
        <w:t xml:space="preserve">. </w:t>
      </w:r>
      <w:r w:rsidR="08D576B0">
        <w:t xml:space="preserve">Kilwardby </w:t>
      </w:r>
      <w:r w:rsidR="00F1536E" w:rsidRPr="00273106">
        <w:t>stejně jako Rufus vyčítá Komentátorovi vlastní aporie a omyly a</w:t>
      </w:r>
      <w:r w:rsidR="00B40791" w:rsidRPr="00273106">
        <w:t xml:space="preserve"> pak jej kritizuje za to, že </w:t>
      </w:r>
      <w:r w:rsidR="00F1536E" w:rsidRPr="00273106">
        <w:t xml:space="preserve">není schopný </w:t>
      </w:r>
      <w:r w:rsidR="00E35282" w:rsidRPr="00273106">
        <w:t>řešit</w:t>
      </w:r>
      <w:r w:rsidR="00E35282">
        <w:t xml:space="preserve"> </w:t>
      </w:r>
      <w:r w:rsidR="005B25F7">
        <w:t xml:space="preserve">hloupá </w:t>
      </w:r>
      <w:r w:rsidR="00B40791" w:rsidRPr="00273106">
        <w:t xml:space="preserve">sofismata </w:t>
      </w:r>
      <w:r w:rsidR="00E35282">
        <w:t>modernistů</w:t>
      </w:r>
      <w:r w:rsidR="007A012E">
        <w:t>.</w:t>
      </w:r>
    </w:p>
    <w:p w14:paraId="50B8303A" w14:textId="69E0F3FC" w:rsidR="00237FF4" w:rsidRPr="00A040FF" w:rsidRDefault="00356BEB" w:rsidP="00CD4DE9">
      <w:pPr>
        <w:ind w:firstLine="397"/>
      </w:pPr>
      <w:r w:rsidRPr="00273106">
        <w:t>Podívejme se na několik příkladů, které indikují založení moderní vědy</w:t>
      </w:r>
      <w:r w:rsidR="00852FC6" w:rsidRPr="00273106">
        <w:t xml:space="preserve"> v rozporu </w:t>
      </w:r>
      <w:r w:rsidR="002E3B62">
        <w:t>Averroes</w:t>
      </w:r>
      <w:r w:rsidR="00852FC6" w:rsidRPr="00273106">
        <w:t xml:space="preserve">ovým komentářem Aristotelovy </w:t>
      </w:r>
      <w:r w:rsidR="00852FC6" w:rsidRPr="008D27E8">
        <w:rPr>
          <w:i/>
        </w:rPr>
        <w:t>Metafyziky</w:t>
      </w:r>
      <w:r w:rsidR="00852FC6" w:rsidRPr="00273106">
        <w:t xml:space="preserve"> a </w:t>
      </w:r>
      <w:r w:rsidR="00852FC6" w:rsidRPr="008D27E8">
        <w:rPr>
          <w:i/>
        </w:rPr>
        <w:t>Fyziky</w:t>
      </w:r>
      <w:r w:rsidRPr="00273106">
        <w:t xml:space="preserve">. </w:t>
      </w:r>
      <w:r w:rsidR="000E4A9B" w:rsidRPr="00273106">
        <w:t xml:space="preserve">Moderna </w:t>
      </w:r>
      <w:r w:rsidR="0027675E" w:rsidRPr="00273106">
        <w:t>vyznávají</w:t>
      </w:r>
      <w:r w:rsidR="004D3422" w:rsidRPr="00273106">
        <w:t>cí</w:t>
      </w:r>
      <w:r w:rsidR="0027675E" w:rsidRPr="00273106">
        <w:t xml:space="preserve"> univerzální hylemorfismus</w:t>
      </w:r>
      <w:r w:rsidR="004C27BA">
        <w:fldChar w:fldCharType="begin"/>
      </w:r>
      <w:r w:rsidR="004C27BA">
        <w:instrText xml:space="preserve"> XE "</w:instrText>
      </w:r>
      <w:r w:rsidR="004C27BA" w:rsidRPr="005619B2">
        <w:instrText>univerzální hylemorfismus</w:instrText>
      </w:r>
      <w:r w:rsidR="004C27BA">
        <w:instrText xml:space="preserve">" </w:instrText>
      </w:r>
      <w:r w:rsidR="004C27BA">
        <w:fldChar w:fldCharType="end"/>
      </w:r>
      <w:r w:rsidR="0027675E" w:rsidRPr="00273106">
        <w:t xml:space="preserve"> </w:t>
      </w:r>
      <w:r w:rsidR="00992B49" w:rsidRPr="00273106">
        <w:t xml:space="preserve">kritizuje </w:t>
      </w:r>
      <w:r w:rsidR="002E3B62">
        <w:t>Averroes</w:t>
      </w:r>
      <w:r w:rsidR="0051543F" w:rsidRPr="00273106">
        <w:t xml:space="preserve">e za špatně uchopenou </w:t>
      </w:r>
      <w:r w:rsidR="00992B49" w:rsidRPr="00273106">
        <w:rPr>
          <w:i/>
        </w:rPr>
        <w:t>materia prima</w:t>
      </w:r>
      <w:r w:rsidR="08D704BF">
        <w:rPr>
          <w:i/>
        </w:rPr>
        <w:fldChar w:fldCharType="begin"/>
      </w:r>
      <w:r w:rsidR="08D704BF">
        <w:instrText xml:space="preserve"> XE "</w:instrText>
      </w:r>
      <w:r w:rsidR="08D704BF" w:rsidRPr="08D704BF">
        <w:instrText>materie</w:instrText>
      </w:r>
      <w:r w:rsidR="08D704BF">
        <w:rPr>
          <w:i/>
        </w:rPr>
        <w:instrText xml:space="preserve">:materia </w:instrText>
      </w:r>
      <w:r w:rsidR="08D704BF" w:rsidRPr="006D194D">
        <w:rPr>
          <w:i/>
        </w:rPr>
        <w:instrText>prima</w:instrText>
      </w:r>
      <w:r w:rsidR="08D704BF">
        <w:instrText xml:space="preserve">" </w:instrText>
      </w:r>
      <w:r w:rsidR="08D704BF">
        <w:rPr>
          <w:i/>
        </w:rPr>
        <w:fldChar w:fldCharType="end"/>
      </w:r>
      <w:r w:rsidR="00193A00" w:rsidRPr="00273106">
        <w:t xml:space="preserve">. </w:t>
      </w:r>
      <w:r w:rsidR="084B6164">
        <w:t>A</w:t>
      </w:r>
      <w:r w:rsidR="08020E78">
        <w:t>verroismu</w:t>
      </w:r>
      <w:r w:rsidR="081910C9">
        <w:t>s</w:t>
      </w:r>
      <w:r w:rsidR="08020E78">
        <w:t xml:space="preserve"> podle Davida z Dinantu </w:t>
      </w:r>
      <w:r w:rsidR="08970FD5">
        <w:t xml:space="preserve">a Rufuse </w:t>
      </w:r>
      <w:r w:rsidR="08020E78">
        <w:t>má toto pojetí materie v základu svého inteligibilního panteismu</w:t>
      </w:r>
      <w:r w:rsidR="08970FD5">
        <w:t>, popřípadě v averroistické konstrukci intelektu</w:t>
      </w:r>
      <w:r w:rsidR="08020E78">
        <w:t xml:space="preserve">. </w:t>
      </w:r>
      <w:r w:rsidR="081910C9">
        <w:t xml:space="preserve">Komentátor definuje </w:t>
      </w:r>
      <w:r w:rsidR="081910C9" w:rsidRPr="00273106">
        <w:rPr>
          <w:i/>
        </w:rPr>
        <w:t>materia prima</w:t>
      </w:r>
      <w:r w:rsidR="081910C9" w:rsidRPr="00273106">
        <w:t xml:space="preserve"> </w:t>
      </w:r>
      <w:r w:rsidR="00992B49" w:rsidRPr="00273106">
        <w:t xml:space="preserve">pouze </w:t>
      </w:r>
      <w:r w:rsidR="00856BE4" w:rsidRPr="00273106">
        <w:t xml:space="preserve">v </w:t>
      </w:r>
      <w:r w:rsidR="00992B49" w:rsidRPr="00273106">
        <w:t xml:space="preserve">privativním modu, </w:t>
      </w:r>
      <w:r w:rsidR="0051543F" w:rsidRPr="00273106">
        <w:t xml:space="preserve">což </w:t>
      </w:r>
      <w:r w:rsidR="00992B49" w:rsidRPr="00273106">
        <w:t>nedovoluje vytvořit numericky odlišná individua</w:t>
      </w:r>
      <w:r w:rsidR="00AE5826">
        <w:t xml:space="preserve"> jako </w:t>
      </w:r>
      <w:r w:rsidR="00AE5826" w:rsidRPr="00F0533F">
        <w:rPr>
          <w:i/>
        </w:rPr>
        <w:t>tertium ens</w:t>
      </w:r>
      <w:r w:rsidR="00992B49" w:rsidRPr="00273106">
        <w:t xml:space="preserve">. </w:t>
      </w:r>
      <w:r w:rsidR="00915204" w:rsidRPr="00915204">
        <w:t xml:space="preserve">Kilwardby nabízí zcela chybnou definici </w:t>
      </w:r>
      <w:r w:rsidR="00915204" w:rsidRPr="00915204">
        <w:rPr>
          <w:i/>
        </w:rPr>
        <w:t>materia prima</w:t>
      </w:r>
      <w:r w:rsidR="00915204" w:rsidRPr="00915204">
        <w:t xml:space="preserve">, která založila nechvalně proslulou definici </w:t>
      </w:r>
      <w:r w:rsidR="00915204">
        <w:t>k</w:t>
      </w:r>
      <w:r w:rsidR="00915204" w:rsidRPr="00915204">
        <w:t>osmic</w:t>
      </w:r>
      <w:r w:rsidR="00915204">
        <w:t>kého</w:t>
      </w:r>
      <w:r w:rsidR="00915204" w:rsidRPr="00915204">
        <w:t xml:space="preserve"> </w:t>
      </w:r>
      <w:r w:rsidR="00915204" w:rsidRPr="00915204">
        <w:rPr>
          <w:i/>
        </w:rPr>
        <w:t>intellectus possib</w:t>
      </w:r>
      <w:r w:rsidR="00915204">
        <w:rPr>
          <w:i/>
        </w:rPr>
        <w:t>i</w:t>
      </w:r>
      <w:r w:rsidR="00915204" w:rsidRPr="00915204">
        <w:rPr>
          <w:i/>
        </w:rPr>
        <w:t>lis</w:t>
      </w:r>
      <w:r w:rsidR="00915204" w:rsidRPr="00915204">
        <w:t xml:space="preserve"> </w:t>
      </w:r>
      <w:r w:rsidR="008F08CA">
        <w:t>po</w:t>
      </w:r>
      <w:r w:rsidR="00915204">
        <w:t xml:space="preserve">danou </w:t>
      </w:r>
      <w:r w:rsidR="00915204" w:rsidRPr="00915204">
        <w:t>Dinant</w:t>
      </w:r>
      <w:r w:rsidR="00915204">
        <w:t>em a Rufusem</w:t>
      </w:r>
      <w:r w:rsidR="00915204" w:rsidRPr="00915204">
        <w:t>.</w:t>
      </w:r>
    </w:p>
    <w:p w14:paraId="451F08FF" w14:textId="77777777" w:rsidR="007B6394" w:rsidRPr="00273106" w:rsidRDefault="007B6394" w:rsidP="007B6394">
      <w:pPr>
        <w:pStyle w:val="Citace"/>
        <w:rPr>
          <w:noProof/>
          <w:lang w:val="cs-CZ"/>
        </w:rPr>
      </w:pPr>
      <w:r w:rsidRPr="00273106">
        <w:rPr>
          <w:noProof/>
          <w:lang w:val="cs-CZ"/>
        </w:rPr>
        <w:t>„Komentátor se zmýlil tím, že určil prvotní materii jako numericky jednotnou pro všechny</w:t>
      </w:r>
      <w:r w:rsidR="002B4ADC">
        <w:rPr>
          <w:noProof/>
          <w:lang w:val="cs-CZ"/>
        </w:rPr>
        <w:t xml:space="preserve"> (</w:t>
      </w:r>
      <w:r w:rsidR="002B4ADC" w:rsidRPr="002B4ADC">
        <w:rPr>
          <w:i/>
        </w:rPr>
        <w:t>materiam primam omnium unam numero</w:t>
      </w:r>
      <w:r w:rsidR="002B4ADC">
        <w:rPr>
          <w:noProof/>
          <w:lang w:val="cs-CZ"/>
        </w:rPr>
        <w:t>)</w:t>
      </w:r>
      <w:r w:rsidRPr="00273106">
        <w:rPr>
          <w:noProof/>
          <w:lang w:val="cs-CZ"/>
        </w:rPr>
        <w:t xml:space="preserve">. Tímto určením nemyslel pozitivní danost látky, ale pouze privaci, tedy nedostatek mnohosti individuálních forem a nerozlišenost forem.“ </w:t>
      </w:r>
      <w:r w:rsidRPr="00273106">
        <w:rPr>
          <w:rStyle w:val="Znakapoznpodarou"/>
          <w:noProof/>
          <w:lang w:val="cs-CZ"/>
        </w:rPr>
        <w:footnoteReference w:id="496"/>
      </w:r>
    </w:p>
    <w:p w14:paraId="20109AA0" w14:textId="77777777" w:rsidR="00E133A1" w:rsidRDefault="00E133A1" w:rsidP="0068558B"/>
    <w:p w14:paraId="52A8F601" w14:textId="44B48902" w:rsidR="00237FF4" w:rsidRDefault="00E133A1" w:rsidP="0068558B">
      <w:r>
        <w:t>Podle této citace považoval K</w:t>
      </w:r>
      <w:r w:rsidRPr="00E133A1">
        <w:t xml:space="preserve">omentátor </w:t>
      </w:r>
      <w:r>
        <w:t xml:space="preserve">první materii </w:t>
      </w:r>
      <w:r w:rsidRPr="00E133A1">
        <w:t xml:space="preserve">za </w:t>
      </w:r>
      <w:r>
        <w:t xml:space="preserve">numericky </w:t>
      </w:r>
      <w:r w:rsidRPr="00E133A1">
        <w:t>odliš</w:t>
      </w:r>
      <w:r>
        <w:t>e</w:t>
      </w:r>
      <w:r w:rsidRPr="00E133A1">
        <w:t xml:space="preserve">nou látku. Jedná se o averroistický výklad, který rozvíjeli Rufus a David z Dinantu. Jednota je založena na univerzálním hylemorfismu v podobě čisté </w:t>
      </w:r>
      <w:r>
        <w:t xml:space="preserve">zbavenosti </w:t>
      </w:r>
      <w:r w:rsidRPr="00E133A1">
        <w:t>(</w:t>
      </w:r>
      <w:r w:rsidRPr="00E133A1">
        <w:rPr>
          <w:i/>
        </w:rPr>
        <w:t>solum privativum</w:t>
      </w:r>
      <w:r w:rsidRPr="00E133A1">
        <w:t>), která nepřipouští žádnou další diferenciaci (</w:t>
      </w:r>
      <w:r w:rsidRPr="00E133A1">
        <w:rPr>
          <w:i/>
        </w:rPr>
        <w:t>carentiam pluralitatis formarum individualium</w:t>
      </w:r>
      <w:r w:rsidRPr="00E133A1">
        <w:t xml:space="preserve">). To je dvojí nesmysl. </w:t>
      </w:r>
      <w:r>
        <w:t>Primární materie je považována za moderní „</w:t>
      </w:r>
      <w:r w:rsidRPr="00E133A1">
        <w:t>substanci</w:t>
      </w:r>
      <w:r>
        <w:t>–esenci“</w:t>
      </w:r>
      <w:r w:rsidRPr="00E133A1">
        <w:t>; v druhém kroku je prohlášena</w:t>
      </w:r>
      <w:r>
        <w:t xml:space="preserve"> za moderní „</w:t>
      </w:r>
      <w:r w:rsidRPr="00E133A1">
        <w:rPr>
          <w:i/>
        </w:rPr>
        <w:t>individuum</w:t>
      </w:r>
      <w:r>
        <w:t>“, které je zbaveno všech „substanciálních“</w:t>
      </w:r>
      <w:r w:rsidRPr="00E133A1">
        <w:t xml:space="preserve"> určení. </w:t>
      </w:r>
      <w:r>
        <w:t>Primární materia je doslova „</w:t>
      </w:r>
      <w:r w:rsidRPr="00E133A1">
        <w:t>nul</w:t>
      </w:r>
      <w:r>
        <w:t>itní substancí“</w:t>
      </w:r>
      <w:r w:rsidRPr="00E133A1">
        <w:t xml:space="preserve"> (</w:t>
      </w:r>
      <w:r w:rsidRPr="00E133A1">
        <w:rPr>
          <w:i/>
        </w:rPr>
        <w:t>solum privativum</w:t>
      </w:r>
      <w:r w:rsidRPr="00E133A1">
        <w:t>).</w:t>
      </w:r>
      <w:r>
        <w:t xml:space="preserve"> </w:t>
      </w:r>
      <w:r w:rsidR="00194447" w:rsidRPr="00194447">
        <w:t xml:space="preserve">Averroes definoval </w:t>
      </w:r>
      <w:r w:rsidR="00194447" w:rsidRPr="00194447">
        <w:rPr>
          <w:i/>
        </w:rPr>
        <w:t>materia prima</w:t>
      </w:r>
      <w:r w:rsidR="00194447" w:rsidRPr="00194447">
        <w:t xml:space="preserve"> jako čistý pojem v mysli a tato potencialita nemá vůbec žádnou aktualizovanou vnější formu.</w:t>
      </w:r>
      <w:r w:rsidR="00194447">
        <w:t xml:space="preserve"> </w:t>
      </w:r>
      <w:r w:rsidR="082B0D3A">
        <w:t xml:space="preserve">Čistou potenci nelze podle aristotelismu hypostázovat, ani určit </w:t>
      </w:r>
      <w:r w:rsidR="00712C7C">
        <w:t xml:space="preserve">jako </w:t>
      </w:r>
      <w:r w:rsidR="082B0D3A">
        <w:t>numericky</w:t>
      </w:r>
      <w:r w:rsidR="00712C7C">
        <w:t xml:space="preserve"> individualizovanou </w:t>
      </w:r>
      <w:r w:rsidR="008258D6">
        <w:t xml:space="preserve">materiální </w:t>
      </w:r>
      <w:r w:rsidR="00712C7C">
        <w:t>věc</w:t>
      </w:r>
      <w:r w:rsidR="00662B85">
        <w:t xml:space="preserve"> v realitě</w:t>
      </w:r>
      <w:r w:rsidR="082B0D3A">
        <w:t xml:space="preserve">. </w:t>
      </w:r>
      <w:r w:rsidR="0068558B" w:rsidRPr="0068558B">
        <w:t xml:space="preserve">Kilwardby obhajuje oba druhy závažných metafyzických omylů. Forma a substance tvoří jsoucno třetího druhu, které </w:t>
      </w:r>
      <w:r w:rsidR="0068558B">
        <w:t>„</w:t>
      </w:r>
      <w:r w:rsidR="0068558B" w:rsidRPr="0068558B">
        <w:t>ex</w:t>
      </w:r>
      <w:r w:rsidR="0068558B">
        <w:t>sistují“</w:t>
      </w:r>
      <w:r w:rsidR="0068558B" w:rsidRPr="0068558B">
        <w:t xml:space="preserve"> nějakým univerzálním a singulárním způsobem přímo ve skutečnosti jako porret</w:t>
      </w:r>
      <w:r w:rsidR="0068558B">
        <w:t>áns</w:t>
      </w:r>
      <w:r w:rsidR="0068558B" w:rsidRPr="0068558B">
        <w:t>ké hypostáze.</w:t>
      </w:r>
      <w:r w:rsidR="0068558B">
        <w:t xml:space="preserve"> </w:t>
      </w:r>
      <w:r w:rsidR="000979D0" w:rsidRPr="00273106">
        <w:t xml:space="preserve">Takové pojetí </w:t>
      </w:r>
      <w:r w:rsidR="000979D0" w:rsidRPr="00273106">
        <w:rPr>
          <w:i/>
        </w:rPr>
        <w:t>materia prima</w:t>
      </w:r>
      <w:r w:rsidR="000979D0" w:rsidRPr="00273106">
        <w:t xml:space="preserve"> </w:t>
      </w:r>
      <w:r w:rsidR="00270BC3" w:rsidRPr="00273106">
        <w:t xml:space="preserve">pochopitelně </w:t>
      </w:r>
      <w:r w:rsidR="002E3B62">
        <w:t>Averroes</w:t>
      </w:r>
      <w:r w:rsidR="00235017">
        <w:t>ov</w:t>
      </w:r>
      <w:r w:rsidR="00820634">
        <w:t>a</w:t>
      </w:r>
      <w:r w:rsidR="00235017">
        <w:t xml:space="preserve"> kosmologie</w:t>
      </w:r>
      <w:r w:rsidR="00270BC3" w:rsidRPr="00273106">
        <w:t xml:space="preserve"> nemá</w:t>
      </w:r>
      <w:r w:rsidR="006E50C3">
        <w:t xml:space="preserve">. </w:t>
      </w:r>
      <w:r w:rsidR="006E50C3" w:rsidRPr="006E50C3">
        <w:t>Kilwardby však Averroesovi vytýká tento druh dvojí sofistiky.</w:t>
      </w:r>
      <w:r w:rsidR="006E50C3">
        <w:t xml:space="preserve"> P</w:t>
      </w:r>
      <w:r w:rsidR="00FB74D0" w:rsidRPr="00273106">
        <w:t xml:space="preserve">rvní materie podle </w:t>
      </w:r>
      <w:r w:rsidR="002E3B62">
        <w:t>Averroes</w:t>
      </w:r>
      <w:r w:rsidR="00FB74D0" w:rsidRPr="00273106">
        <w:t xml:space="preserve">e nemůže numericky determinovat první substanci existující reálně v modu </w:t>
      </w:r>
      <w:r w:rsidR="00FB74D0" w:rsidRPr="00273106">
        <w:rPr>
          <w:i/>
        </w:rPr>
        <w:t>simpliciter</w:t>
      </w:r>
      <w:r w:rsidR="00FB74D0" w:rsidRPr="00273106">
        <w:t>, protože to nedovoluje</w:t>
      </w:r>
      <w:r w:rsidR="00F36F81" w:rsidRPr="00273106">
        <w:t xml:space="preserve"> jej</w:t>
      </w:r>
      <w:r w:rsidR="000979D0" w:rsidRPr="00273106">
        <w:t xml:space="preserve">í statut čisté potenciality. </w:t>
      </w:r>
      <w:r w:rsidR="00924F48">
        <w:t>Z této potenciality nelze dělat nějako</w:t>
      </w:r>
      <w:r w:rsidR="00A522B5">
        <w:t xml:space="preserve">u hypostázovanou </w:t>
      </w:r>
      <w:r w:rsidR="00924F48" w:rsidRPr="00924F48">
        <w:rPr>
          <w:i/>
        </w:rPr>
        <w:t>potentia substa</w:t>
      </w:r>
      <w:r w:rsidR="00924F48">
        <w:rPr>
          <w:i/>
        </w:rPr>
        <w:t>n</w:t>
      </w:r>
      <w:r w:rsidR="00924F48" w:rsidRPr="00924F48">
        <w:rPr>
          <w:i/>
        </w:rPr>
        <w:t>tialis</w:t>
      </w:r>
      <w:r w:rsidR="00505572">
        <w:rPr>
          <w:i/>
        </w:rPr>
        <w:fldChar w:fldCharType="begin"/>
      </w:r>
      <w:r w:rsidR="00505572">
        <w:instrText xml:space="preserve"> XE "</w:instrText>
      </w:r>
      <w:r w:rsidR="00505572" w:rsidRPr="00263A8E">
        <w:rPr>
          <w:i/>
        </w:rPr>
        <w:instrText>potentia substantialis</w:instrText>
      </w:r>
      <w:r w:rsidR="00505572">
        <w:instrText xml:space="preserve">" </w:instrText>
      </w:r>
      <w:r w:rsidR="00505572">
        <w:rPr>
          <w:i/>
        </w:rPr>
        <w:fldChar w:fldCharType="end"/>
      </w:r>
      <w:r w:rsidR="00924F48">
        <w:t xml:space="preserve"> jako to má porretánský Rufus a Kilwardby. </w:t>
      </w:r>
      <w:r w:rsidR="000979D0" w:rsidRPr="00273106">
        <w:t>T</w:t>
      </w:r>
      <w:r w:rsidR="00F36F81" w:rsidRPr="00273106">
        <w:t xml:space="preserve">aké číslo jako univerzálie </w:t>
      </w:r>
      <w:r w:rsidR="000979D0" w:rsidRPr="00273106">
        <w:t xml:space="preserve">existuje pouze potenciálně, protože je dáno </w:t>
      </w:r>
      <w:r w:rsidR="08676009">
        <w:t xml:space="preserve">pouze </w:t>
      </w:r>
      <w:r w:rsidR="000979D0" w:rsidRPr="00273106">
        <w:t>v intelektu skrze abstrakci</w:t>
      </w:r>
      <w:r w:rsidR="00F36F81" w:rsidRPr="00273106">
        <w:t>.</w:t>
      </w:r>
      <w:r w:rsidR="00FB74D0" w:rsidRPr="00273106">
        <w:t xml:space="preserve"> </w:t>
      </w:r>
      <w:r w:rsidR="00A449EC">
        <w:t>Materie se nemůže individualizovat sk</w:t>
      </w:r>
      <w:r w:rsidR="00306876">
        <w:t>r</w:t>
      </w:r>
      <w:r w:rsidR="00A449EC">
        <w:t xml:space="preserve">ze matematiku, což má poprvé Rufus v kvantovém a kauzálním matematickém modelu. </w:t>
      </w:r>
      <w:r w:rsidR="00932E62" w:rsidRPr="00932E62">
        <w:t>Existující první substance</w:t>
      </w:r>
      <w:r w:rsidR="00932E62">
        <w:fldChar w:fldCharType="begin"/>
      </w:r>
      <w:r w:rsidR="00932E62">
        <w:instrText xml:space="preserve"> XE "</w:instrText>
      </w:r>
      <w:r w:rsidR="00932E62" w:rsidRPr="00DE2A32">
        <w:instrText>substance</w:instrText>
      </w:r>
      <w:r w:rsidR="00932E62">
        <w:instrText xml:space="preserve">:první" </w:instrText>
      </w:r>
      <w:r w:rsidR="00932E62">
        <w:fldChar w:fldCharType="end"/>
      </w:r>
      <w:r w:rsidR="00932E62" w:rsidRPr="00932E62">
        <w:t xml:space="preserve">, která je ve svém aktualizovaném stavu mimo lidskou mysl, určuje proces poznání v hyparchickém modu </w:t>
      </w:r>
      <w:r w:rsidR="00932E62" w:rsidRPr="00932E62">
        <w:rPr>
          <w:i/>
        </w:rPr>
        <w:t>per prius</w:t>
      </w:r>
      <w:r w:rsidR="00932E62" w:rsidRPr="00932E62">
        <w:t xml:space="preserve">. </w:t>
      </w:r>
      <w:r w:rsidR="00721CCC">
        <w:t>A</w:t>
      </w:r>
      <w:r w:rsidR="00932E62" w:rsidRPr="00932E62">
        <w:t xml:space="preserve">bstraktní forma vymyšlená modernisty to nedokáže. Kilwardby a Rufus promítají do Averroesovy filosofie svou vlastní doktrínu podle </w:t>
      </w:r>
      <w:r w:rsidR="00932E62" w:rsidRPr="00324747">
        <w:rPr>
          <w:i/>
        </w:rPr>
        <w:t>Modernorum</w:t>
      </w:r>
      <w:r w:rsidR="00324747">
        <w:t xml:space="preserve">. </w:t>
      </w:r>
      <w:r w:rsidR="00721CCC">
        <w:t>Jejich moderní věda je vskutku „spekulativní“</w:t>
      </w:r>
      <w:r w:rsidR="00CF57E6">
        <w:t>. A</w:t>
      </w:r>
      <w:r w:rsidR="00721CCC">
        <w:t xml:space="preserve">verroistický </w:t>
      </w:r>
      <w:r w:rsidR="00721CCC" w:rsidRPr="00721CCC">
        <w:t>Averro</w:t>
      </w:r>
      <w:r w:rsidR="00721CCC">
        <w:t>é</w:t>
      </w:r>
      <w:r w:rsidR="00721CCC" w:rsidRPr="00721CCC">
        <w:t>s vytvořil falešné zrcadlo (</w:t>
      </w:r>
      <w:r w:rsidR="00721CCC" w:rsidRPr="00721CCC">
        <w:rPr>
          <w:i/>
        </w:rPr>
        <w:t>speculum</w:t>
      </w:r>
      <w:r w:rsidR="00721CCC" w:rsidRPr="00721CCC">
        <w:t>)</w:t>
      </w:r>
      <w:r w:rsidR="00E05CB5">
        <w:t xml:space="preserve"> </w:t>
      </w:r>
      <w:r w:rsidR="00CF57E6">
        <w:t xml:space="preserve">a tím zustavil základní místo vzniku </w:t>
      </w:r>
      <w:r w:rsidR="00E05CB5">
        <w:t>moderních věd</w:t>
      </w:r>
      <w:r w:rsidR="00A67F5D">
        <w:t xml:space="preserve"> (</w:t>
      </w:r>
      <w:r w:rsidR="00A67F5D" w:rsidRPr="00A67F5D">
        <w:rPr>
          <w:i/>
        </w:rPr>
        <w:t>ortus scientiarum</w:t>
      </w:r>
      <w:r w:rsidR="00A67F5D">
        <w:rPr>
          <w:i/>
        </w:rPr>
        <w:fldChar w:fldCharType="begin"/>
      </w:r>
      <w:r w:rsidR="00A67F5D">
        <w:instrText xml:space="preserve"> XE "</w:instrText>
      </w:r>
      <w:r w:rsidR="00A67F5D" w:rsidRPr="00C94DF1">
        <w:rPr>
          <w:i/>
        </w:rPr>
        <w:instrText>ortus scientiarum</w:instrText>
      </w:r>
      <w:r w:rsidR="00A67F5D">
        <w:instrText xml:space="preserve">" </w:instrText>
      </w:r>
      <w:r w:rsidR="00A67F5D">
        <w:rPr>
          <w:i/>
        </w:rPr>
        <w:fldChar w:fldCharType="end"/>
      </w:r>
      <w:r w:rsidR="00A67F5D">
        <w:t>)</w:t>
      </w:r>
      <w:r w:rsidR="00D664C5">
        <w:t xml:space="preserve">. </w:t>
      </w:r>
      <w:r w:rsidR="00D664C5" w:rsidRPr="00D664C5">
        <w:t xml:space="preserve">Modernisté </w:t>
      </w:r>
      <w:r w:rsidR="00D664C5">
        <w:t xml:space="preserve">pozorují </w:t>
      </w:r>
      <w:r w:rsidR="00D664C5" w:rsidRPr="00D664C5">
        <w:t>tohoto ďábelské stvoření a pak jsou zděšeni vlastní metafyzickou hloupostí.</w:t>
      </w:r>
      <w:r w:rsidR="00D664C5">
        <w:t xml:space="preserve"> </w:t>
      </w:r>
      <w:r w:rsidR="00324747">
        <w:t>Hypostá</w:t>
      </w:r>
      <w:r w:rsidR="00932E62" w:rsidRPr="00932E62">
        <w:t xml:space="preserve">zovaná </w:t>
      </w:r>
      <w:r w:rsidR="00932E62" w:rsidRPr="00324747">
        <w:rPr>
          <w:i/>
        </w:rPr>
        <w:t>materia prima</w:t>
      </w:r>
      <w:r w:rsidR="00932E62" w:rsidRPr="00932E62">
        <w:t xml:space="preserve"> tvoří potenciální kvazi</w:t>
      </w:r>
      <w:r w:rsidR="00324747">
        <w:t>–</w:t>
      </w:r>
      <w:r w:rsidR="00932E62" w:rsidRPr="00932E62">
        <w:t>substanci, která je následně determinována vnější autonomní formou, nebo je determinována matematicky prostřednictvím hypostatické</w:t>
      </w:r>
      <w:r w:rsidR="00324747">
        <w:t>ho a kauzálně působícího Rufusova aritmetického počtu</w:t>
      </w:r>
      <w:r w:rsidR="00932E62" w:rsidRPr="00932E62">
        <w:t>.</w:t>
      </w:r>
      <w:r w:rsidR="00324747">
        <w:t xml:space="preserve"> </w:t>
      </w:r>
      <w:r w:rsidR="00015CDF">
        <w:t xml:space="preserve">To dokazuje </w:t>
      </w:r>
      <w:r w:rsidR="00875359" w:rsidRPr="00273106">
        <w:t xml:space="preserve">pasáž v </w:t>
      </w:r>
      <w:r w:rsidR="00875359" w:rsidRPr="00273106">
        <w:rPr>
          <w:i/>
        </w:rPr>
        <w:t>De ortu scientiarum</w:t>
      </w:r>
      <w:r w:rsidR="00015CDF">
        <w:t xml:space="preserve"> věnovaná</w:t>
      </w:r>
      <w:r w:rsidR="00875359" w:rsidRPr="00273106">
        <w:t xml:space="preserve"> nemožnosti regresu genericky pojaté rozsažnosti </w:t>
      </w:r>
      <w:r w:rsidR="00342E66">
        <w:fldChar w:fldCharType="begin"/>
      </w:r>
      <w:r w:rsidR="00342E66">
        <w:instrText xml:space="preserve"> XE "</w:instrText>
      </w:r>
      <w:r w:rsidR="00337960">
        <w:instrText>rozsažnost</w:instrText>
      </w:r>
      <w:r w:rsidR="00342E66">
        <w:instrText xml:space="preserve">" </w:instrText>
      </w:r>
      <w:r w:rsidR="00342E66">
        <w:fldChar w:fldCharType="end"/>
      </w:r>
      <w:r w:rsidR="00875359" w:rsidRPr="00273106">
        <w:t xml:space="preserve">(ibid, pp. 71‒72). Tuto nemožnost ovšem moderní nominalista chápe v perspektivě dělení univerzálií daných v rámci </w:t>
      </w:r>
      <w:r w:rsidR="00BB45B1">
        <w:t>Porfyri</w:t>
      </w:r>
      <w:r w:rsidR="00875359" w:rsidRPr="00273106">
        <w:t>ova stromu</w:t>
      </w:r>
      <w:r w:rsidR="007E097C" w:rsidRPr="00273106">
        <w:t>, nikoliv vůči první substanci dané reálně</w:t>
      </w:r>
      <w:r w:rsidR="00B666DF" w:rsidRPr="00273106">
        <w:t xml:space="preserve">. </w:t>
      </w:r>
      <w:r w:rsidR="00AD39A8" w:rsidRPr="00AD39A8">
        <w:t xml:space="preserve">Falešný spor o Averroese se ve skutečnosti týká imaginárního světa hypostatických porretánských forem, které jsou individualizovány mytologickým druhem </w:t>
      </w:r>
      <w:r w:rsidR="00AD39A8" w:rsidRPr="00AD39A8">
        <w:rPr>
          <w:i/>
        </w:rPr>
        <w:t>materia prima</w:t>
      </w:r>
      <w:r w:rsidR="00AD39A8" w:rsidRPr="00AD39A8">
        <w:t>.</w:t>
      </w:r>
      <w:r w:rsidR="00AD39A8">
        <w:t xml:space="preserve"> </w:t>
      </w:r>
      <w:r w:rsidR="082447CD">
        <w:t>T</w:t>
      </w:r>
      <w:r w:rsidR="08DF3CC8">
        <w:t xml:space="preserve">o je </w:t>
      </w:r>
      <w:r w:rsidR="08CA0451">
        <w:t xml:space="preserve">typický univerzální hylemorfismus </w:t>
      </w:r>
      <w:r w:rsidR="08DF3CC8">
        <w:t xml:space="preserve">Rufuse a Davida z Dinantu. </w:t>
      </w:r>
      <w:r w:rsidR="006F599E">
        <w:t>Část věnovaná numerické individualizaci nejprv</w:t>
      </w:r>
      <w:r w:rsidR="00D313B3">
        <w:t>e definuje materiálně určenou s</w:t>
      </w:r>
      <w:r w:rsidR="006F599E">
        <w:t xml:space="preserve">ubstaci v realitě, kde numerickou jednotu vytváří klasická materie. Pak je numerická individuace jen akcident reálné jednoty existující věci. Druhá forma numerické individuace ale má úplně jiný charakter. </w:t>
      </w:r>
      <w:r w:rsidR="006F599E" w:rsidRPr="00273106">
        <w:t xml:space="preserve">Následující pasáž ukazuje averroistický výklad </w:t>
      </w:r>
      <w:r w:rsidR="006F599E">
        <w:t>Averroes</w:t>
      </w:r>
      <w:r w:rsidR="006F599E" w:rsidRPr="00273106">
        <w:t xml:space="preserve">e vzhledem k </w:t>
      </w:r>
      <w:r w:rsidR="006F599E" w:rsidRPr="00273106">
        <w:rPr>
          <w:i/>
        </w:rPr>
        <w:t>materia prima</w:t>
      </w:r>
      <w:r w:rsidR="006F599E">
        <w:rPr>
          <w:i/>
        </w:rPr>
        <w:fldChar w:fldCharType="begin"/>
      </w:r>
      <w:r w:rsidR="006F599E">
        <w:instrText xml:space="preserve"> XE "</w:instrText>
      </w:r>
      <w:r w:rsidR="006F599E" w:rsidRPr="08D704BF">
        <w:instrText>materie</w:instrText>
      </w:r>
      <w:r w:rsidR="006F599E">
        <w:rPr>
          <w:i/>
        </w:rPr>
        <w:instrText xml:space="preserve">:materia </w:instrText>
      </w:r>
      <w:r w:rsidR="006F599E" w:rsidRPr="006D194D">
        <w:rPr>
          <w:i/>
        </w:rPr>
        <w:instrText>prima</w:instrText>
      </w:r>
      <w:r w:rsidR="006F599E">
        <w:instrText xml:space="preserve">" </w:instrText>
      </w:r>
      <w:r w:rsidR="006F599E">
        <w:rPr>
          <w:i/>
        </w:rPr>
        <w:fldChar w:fldCharType="end"/>
      </w:r>
      <w:r w:rsidR="006F599E" w:rsidRPr="00273106">
        <w:t xml:space="preserve">, </w:t>
      </w:r>
      <w:r w:rsidR="007A60EC">
        <w:t>která startuje p</w:t>
      </w:r>
      <w:r w:rsidR="006F599E" w:rsidRPr="00273106">
        <w:t xml:space="preserve">roces </w:t>
      </w:r>
      <w:r w:rsidR="006F599E">
        <w:t>myto</w:t>
      </w:r>
      <w:r w:rsidR="007A60EC">
        <w:t xml:space="preserve">logické </w:t>
      </w:r>
      <w:r w:rsidR="006F599E" w:rsidRPr="00273106">
        <w:t>individuace.</w:t>
      </w:r>
    </w:p>
    <w:p w14:paraId="36F25643" w14:textId="117683C3" w:rsidR="005B2D70" w:rsidRDefault="00FF1478" w:rsidP="005D42B5">
      <w:pPr>
        <w:pStyle w:val="Citace"/>
        <w:rPr>
          <w:rStyle w:val="Zkladntextdkovn0pt"/>
          <w:rFonts w:ascii="Calibri" w:eastAsia="Times" w:hAnsi="Calibri" w:cs="Times New Roman"/>
          <w:noProof/>
          <w:spacing w:val="0"/>
          <w:sz w:val="22"/>
          <w:u w:val="none"/>
          <w:lang w:val="cs-CZ"/>
        </w:rPr>
      </w:pPr>
      <w:r w:rsidRPr="00273106">
        <w:rPr>
          <w:noProof/>
          <w:lang w:val="cs-CZ"/>
        </w:rPr>
        <w:t>„</w:t>
      </w:r>
      <w:r w:rsidR="004075BB">
        <w:rPr>
          <w:noProof/>
          <w:lang w:val="cs-CZ"/>
        </w:rPr>
        <w:t xml:space="preserve">Ale primárně je numericky jednotná </w:t>
      </w:r>
      <w:r w:rsidR="00B21666" w:rsidRPr="00273106">
        <w:rPr>
          <w:noProof/>
          <w:lang w:val="cs-CZ"/>
        </w:rPr>
        <w:t>pouze věc, která je v čisté potenci</w:t>
      </w:r>
      <w:r w:rsidR="008127B5" w:rsidRPr="00273106">
        <w:rPr>
          <w:noProof/>
          <w:lang w:val="cs-CZ"/>
        </w:rPr>
        <w:t>,</w:t>
      </w:r>
      <w:r w:rsidR="00B21666" w:rsidRPr="00273106">
        <w:rPr>
          <w:noProof/>
          <w:lang w:val="cs-CZ"/>
        </w:rPr>
        <w:t xml:space="preserve"> a nikoliv v aktu. Forma, kterou </w:t>
      </w:r>
      <w:r w:rsidR="004075BB">
        <w:rPr>
          <w:noProof/>
          <w:lang w:val="cs-CZ"/>
        </w:rPr>
        <w:t xml:space="preserve">tato </w:t>
      </w:r>
      <w:r w:rsidR="08D46D67" w:rsidRPr="00273106">
        <w:rPr>
          <w:noProof/>
          <w:lang w:val="cs-CZ"/>
        </w:rPr>
        <w:t>numericky</w:t>
      </w:r>
      <w:r w:rsidR="08D46D67">
        <w:rPr>
          <w:noProof/>
          <w:lang w:val="cs-CZ"/>
        </w:rPr>
        <w:t xml:space="preserve"> jednotná věc </w:t>
      </w:r>
      <w:r w:rsidR="08211B61">
        <w:rPr>
          <w:noProof/>
          <w:lang w:val="cs-CZ"/>
        </w:rPr>
        <w:t xml:space="preserve">přijímá </w:t>
      </w:r>
      <w:r w:rsidR="00B21666" w:rsidRPr="00273106">
        <w:rPr>
          <w:noProof/>
          <w:lang w:val="cs-CZ"/>
        </w:rPr>
        <w:t>(</w:t>
      </w:r>
      <w:r w:rsidR="00B21666" w:rsidRPr="00273106">
        <w:rPr>
          <w:i/>
          <w:noProof/>
          <w:lang w:val="cs-CZ"/>
        </w:rPr>
        <w:t>formam quam in se recipit</w:t>
      </w:r>
      <w:r w:rsidR="08211B61">
        <w:rPr>
          <w:noProof/>
          <w:lang w:val="cs-CZ"/>
        </w:rPr>
        <w:t xml:space="preserve">), </w:t>
      </w:r>
      <w:r w:rsidR="004075BB">
        <w:rPr>
          <w:noProof/>
          <w:lang w:val="cs-CZ"/>
        </w:rPr>
        <w:t xml:space="preserve">ta </w:t>
      </w:r>
      <w:r w:rsidR="08211B61">
        <w:rPr>
          <w:noProof/>
          <w:lang w:val="cs-CZ"/>
        </w:rPr>
        <w:t xml:space="preserve">nezakládá skutečnou </w:t>
      </w:r>
      <w:r w:rsidR="00B21666" w:rsidRPr="00273106">
        <w:rPr>
          <w:noProof/>
          <w:lang w:val="cs-CZ"/>
        </w:rPr>
        <w:t xml:space="preserve">individualizaci. </w:t>
      </w:r>
      <w:r w:rsidR="082E3C56">
        <w:rPr>
          <w:noProof/>
          <w:lang w:val="cs-CZ"/>
        </w:rPr>
        <w:t>U</w:t>
      </w:r>
      <w:r w:rsidR="00B21666" w:rsidRPr="00273106">
        <w:rPr>
          <w:noProof/>
          <w:lang w:val="cs-CZ"/>
        </w:rPr>
        <w:t>niverzální forma, k</w:t>
      </w:r>
      <w:r w:rsidR="00513378" w:rsidRPr="00273106">
        <w:rPr>
          <w:noProof/>
          <w:lang w:val="cs-CZ"/>
        </w:rPr>
        <w:t xml:space="preserve">terá je </w:t>
      </w:r>
      <w:r w:rsidR="08A57651">
        <w:rPr>
          <w:noProof/>
          <w:lang w:val="cs-CZ"/>
        </w:rPr>
        <w:t>jsoucí věc</w:t>
      </w:r>
      <w:r w:rsidR="00B21666" w:rsidRPr="00273106">
        <w:rPr>
          <w:noProof/>
          <w:lang w:val="cs-CZ"/>
        </w:rPr>
        <w:t xml:space="preserve"> v potenci</w:t>
      </w:r>
      <w:r w:rsidR="0038438E" w:rsidRPr="00273106">
        <w:rPr>
          <w:noProof/>
          <w:lang w:val="cs-CZ"/>
        </w:rPr>
        <w:t xml:space="preserve"> (</w:t>
      </w:r>
      <w:r w:rsidR="0038438E" w:rsidRPr="00273106">
        <w:rPr>
          <w:i/>
          <w:noProof/>
          <w:lang w:val="cs-CZ"/>
        </w:rPr>
        <w:t>res ens in potentia</w:t>
      </w:r>
      <w:r w:rsidR="0038438E" w:rsidRPr="00273106">
        <w:rPr>
          <w:noProof/>
          <w:lang w:val="cs-CZ"/>
        </w:rPr>
        <w:t>)</w:t>
      </w:r>
      <w:r w:rsidR="00B21666" w:rsidRPr="00273106">
        <w:rPr>
          <w:noProof/>
          <w:lang w:val="cs-CZ"/>
        </w:rPr>
        <w:t xml:space="preserve">, jak říká </w:t>
      </w:r>
      <w:r w:rsidR="002E3B62">
        <w:rPr>
          <w:noProof/>
          <w:lang w:val="cs-CZ"/>
        </w:rPr>
        <w:t>Averroes</w:t>
      </w:r>
      <w:r w:rsidR="00B21666" w:rsidRPr="00273106">
        <w:rPr>
          <w:noProof/>
          <w:lang w:val="cs-CZ"/>
        </w:rPr>
        <w:t xml:space="preserve"> v XI. knize </w:t>
      </w:r>
      <w:r w:rsidR="00B21666" w:rsidRPr="001A2EB5">
        <w:rPr>
          <w:i/>
          <w:noProof/>
          <w:lang w:val="cs-CZ"/>
        </w:rPr>
        <w:t>Metafyziky</w:t>
      </w:r>
      <w:r w:rsidR="00B21666" w:rsidRPr="00273106">
        <w:rPr>
          <w:noProof/>
          <w:lang w:val="cs-CZ"/>
        </w:rPr>
        <w:t xml:space="preserve">, </w:t>
      </w:r>
      <w:r w:rsidR="082E3C56">
        <w:rPr>
          <w:noProof/>
          <w:lang w:val="cs-CZ"/>
        </w:rPr>
        <w:t>p</w:t>
      </w:r>
      <w:r w:rsidR="082E3C56" w:rsidRPr="00273106">
        <w:rPr>
          <w:noProof/>
          <w:lang w:val="cs-CZ"/>
        </w:rPr>
        <w:t xml:space="preserve">roto </w:t>
      </w:r>
      <w:r w:rsidR="00B21666" w:rsidRPr="00273106">
        <w:rPr>
          <w:noProof/>
          <w:lang w:val="cs-CZ"/>
        </w:rPr>
        <w:t xml:space="preserve">může </w:t>
      </w:r>
      <w:r w:rsidR="004075BB">
        <w:rPr>
          <w:noProof/>
          <w:lang w:val="cs-CZ"/>
        </w:rPr>
        <w:t xml:space="preserve">v </w:t>
      </w:r>
      <w:r w:rsidR="00B21666" w:rsidRPr="00273106">
        <w:rPr>
          <w:noProof/>
          <w:lang w:val="cs-CZ"/>
        </w:rPr>
        <w:t>primární materi</w:t>
      </w:r>
      <w:r w:rsidR="004075BB">
        <w:rPr>
          <w:noProof/>
          <w:lang w:val="cs-CZ"/>
        </w:rPr>
        <w:t xml:space="preserve">i vytvořit pouze </w:t>
      </w:r>
      <w:r w:rsidR="00B21666" w:rsidRPr="00273106">
        <w:rPr>
          <w:noProof/>
          <w:lang w:val="cs-CZ"/>
        </w:rPr>
        <w:t>numerick</w:t>
      </w:r>
      <w:r w:rsidR="004075BB">
        <w:rPr>
          <w:noProof/>
          <w:lang w:val="cs-CZ"/>
        </w:rPr>
        <w:t xml:space="preserve">y jednu </w:t>
      </w:r>
      <w:r w:rsidR="00513378" w:rsidRPr="00273106">
        <w:rPr>
          <w:noProof/>
          <w:lang w:val="cs-CZ"/>
        </w:rPr>
        <w:t>esenci</w:t>
      </w:r>
      <w:r w:rsidR="004075BB">
        <w:rPr>
          <w:noProof/>
          <w:lang w:val="cs-CZ"/>
        </w:rPr>
        <w:t xml:space="preserve"> (</w:t>
      </w:r>
      <w:r w:rsidR="004075BB" w:rsidRPr="004075BB">
        <w:rPr>
          <w:i/>
        </w:rPr>
        <w:t>una numero unitate essentiali tantum</w:t>
      </w:r>
      <w:r w:rsidR="004075BB">
        <w:rPr>
          <w:noProof/>
          <w:lang w:val="cs-CZ"/>
        </w:rPr>
        <w:t>)</w:t>
      </w:r>
      <w:r w:rsidR="000E73E6" w:rsidRPr="00273106">
        <w:rPr>
          <w:noProof/>
          <w:lang w:val="cs-CZ"/>
        </w:rPr>
        <w:t>,</w:t>
      </w:r>
      <w:r w:rsidR="00513378" w:rsidRPr="00273106">
        <w:rPr>
          <w:noProof/>
          <w:lang w:val="cs-CZ"/>
        </w:rPr>
        <w:t xml:space="preserve"> a tak </w:t>
      </w:r>
      <w:r w:rsidR="00B21666" w:rsidRPr="00273106">
        <w:rPr>
          <w:noProof/>
          <w:lang w:val="cs-CZ"/>
        </w:rPr>
        <w:t xml:space="preserve">zůstává univerzální. </w:t>
      </w:r>
      <w:r w:rsidR="082E3C56">
        <w:rPr>
          <w:noProof/>
          <w:lang w:val="cs-CZ"/>
        </w:rPr>
        <w:t xml:space="preserve">Tím </w:t>
      </w:r>
      <w:r w:rsidR="00B21666" w:rsidRPr="00273106">
        <w:rPr>
          <w:noProof/>
          <w:lang w:val="cs-CZ"/>
        </w:rPr>
        <w:t xml:space="preserve">naše vědění není jen o </w:t>
      </w:r>
      <w:r w:rsidR="00413FF8">
        <w:rPr>
          <w:noProof/>
          <w:lang w:val="cs-CZ"/>
        </w:rPr>
        <w:t xml:space="preserve">interních </w:t>
      </w:r>
      <w:r w:rsidR="08736B60">
        <w:rPr>
          <w:noProof/>
          <w:lang w:val="cs-CZ"/>
        </w:rPr>
        <w:t xml:space="preserve">předmětech </w:t>
      </w:r>
      <w:r w:rsidR="08D159E3">
        <w:rPr>
          <w:noProof/>
          <w:lang w:val="cs-CZ"/>
        </w:rPr>
        <w:t xml:space="preserve">naší vlastní </w:t>
      </w:r>
      <w:r w:rsidR="00B21666" w:rsidRPr="00273106">
        <w:rPr>
          <w:noProof/>
          <w:lang w:val="cs-CZ"/>
        </w:rPr>
        <w:t>mysli (</w:t>
      </w:r>
      <w:r w:rsidR="00B21666" w:rsidRPr="00273106">
        <w:rPr>
          <w:i/>
          <w:noProof/>
          <w:lang w:val="cs-CZ"/>
        </w:rPr>
        <w:t>scientia nostra non est animae figmentum</w:t>
      </w:r>
      <w:r w:rsidR="000E73E6" w:rsidRPr="00273106">
        <w:rPr>
          <w:noProof/>
          <w:lang w:val="cs-CZ"/>
        </w:rPr>
        <w:t xml:space="preserve">), jako je tomu v případě </w:t>
      </w:r>
      <w:r w:rsidR="00B21666" w:rsidRPr="00273106">
        <w:rPr>
          <w:noProof/>
          <w:lang w:val="cs-CZ"/>
        </w:rPr>
        <w:t>univerzálií.</w:t>
      </w:r>
      <w:r w:rsidR="00513378" w:rsidRPr="00273106">
        <w:rPr>
          <w:noProof/>
          <w:lang w:val="cs-CZ"/>
        </w:rPr>
        <w:t>“</w:t>
      </w:r>
      <w:r w:rsidR="00B21666" w:rsidRPr="00273106">
        <w:rPr>
          <w:rStyle w:val="Zkladntextdkovn0pt"/>
          <w:rFonts w:ascii="Calibri" w:eastAsia="Times" w:hAnsi="Calibri" w:cs="Times New Roman"/>
          <w:noProof/>
          <w:spacing w:val="0"/>
          <w:sz w:val="22"/>
          <w:u w:val="none"/>
          <w:lang w:val="cs-CZ"/>
        </w:rPr>
        <w:t xml:space="preserve"> </w:t>
      </w:r>
      <w:r w:rsidR="005B2D70" w:rsidRPr="00273106">
        <w:rPr>
          <w:rStyle w:val="Znakapoznpodarou"/>
          <w:noProof/>
          <w:lang w:val="cs-CZ"/>
        </w:rPr>
        <w:footnoteReference w:id="497"/>
      </w:r>
    </w:p>
    <w:p w14:paraId="548D682F" w14:textId="1CA5BBAA" w:rsidR="002D7E4E" w:rsidRDefault="0866439C" w:rsidP="00FE5792">
      <w:r w:rsidRPr="00273106">
        <w:t xml:space="preserve">Citát </w:t>
      </w:r>
      <w:r w:rsidR="00A21284" w:rsidRPr="00273106">
        <w:t xml:space="preserve">tvrdí s odvoláním na </w:t>
      </w:r>
      <w:r w:rsidR="00E66E8D">
        <w:t xml:space="preserve">modernizovaného </w:t>
      </w:r>
      <w:r w:rsidR="002E3B62">
        <w:t>Averroes</w:t>
      </w:r>
      <w:r w:rsidR="00A21284" w:rsidRPr="00273106">
        <w:t xml:space="preserve">e, že existuje </w:t>
      </w:r>
      <w:r w:rsidR="00E56AE0" w:rsidRPr="00273106">
        <w:t xml:space="preserve">individuum jako </w:t>
      </w:r>
      <w:r w:rsidR="00A21284" w:rsidRPr="00273106">
        <w:t>substance třetího</w:t>
      </w:r>
      <w:r w:rsidR="00E56AE0" w:rsidRPr="00273106">
        <w:t xml:space="preserve"> druhu</w:t>
      </w:r>
      <w:r w:rsidR="000E73E6" w:rsidRPr="00273106">
        <w:t xml:space="preserve"> </w:t>
      </w:r>
      <w:r w:rsidR="008F1C9A" w:rsidRPr="00273106">
        <w:t xml:space="preserve">daná v potenci </w:t>
      </w:r>
      <w:r w:rsidR="000E73E6" w:rsidRPr="00273106">
        <w:t>(</w:t>
      </w:r>
      <w:r w:rsidR="0003649A" w:rsidRPr="00A71965">
        <w:rPr>
          <w:i/>
        </w:rPr>
        <w:t>est</w:t>
      </w:r>
      <w:r w:rsidR="0003649A">
        <w:t xml:space="preserve"> </w:t>
      </w:r>
      <w:r w:rsidR="000E73E6" w:rsidRPr="00273106">
        <w:rPr>
          <w:i/>
        </w:rPr>
        <w:t>res ens in potentia</w:t>
      </w:r>
      <w:r w:rsidR="000E73E6" w:rsidRPr="00273106">
        <w:t>)</w:t>
      </w:r>
      <w:r w:rsidRPr="00273106">
        <w:t xml:space="preserve">. </w:t>
      </w:r>
      <w:r w:rsidR="00FC3050">
        <w:t xml:space="preserve">Numericky jednotná esence vzniká modernistickým tvořením </w:t>
      </w:r>
      <w:r w:rsidR="00FC3050" w:rsidRPr="00FC3050">
        <w:rPr>
          <w:i/>
        </w:rPr>
        <w:t>ex nihilo</w:t>
      </w:r>
      <w:r w:rsidR="00FC3050">
        <w:rPr>
          <w:i/>
        </w:rPr>
        <w:fldChar w:fldCharType="begin"/>
      </w:r>
      <w:r w:rsidR="00FC3050">
        <w:instrText xml:space="preserve"> XE "</w:instrText>
      </w:r>
      <w:r w:rsidR="00FC3050" w:rsidRPr="0029118D">
        <w:rPr>
          <w:i/>
        </w:rPr>
        <w:instrText>creatio ex nihilo</w:instrText>
      </w:r>
      <w:r w:rsidR="00FC3050">
        <w:instrText xml:space="preserve">" </w:instrText>
      </w:r>
      <w:r w:rsidR="00FC3050">
        <w:rPr>
          <w:i/>
        </w:rPr>
        <w:fldChar w:fldCharType="end"/>
      </w:r>
      <w:r w:rsidR="00FC3050">
        <w:t xml:space="preserve">. Primární materie dostala hypostázovaný charakter a do ní se neoplatonsky vtiskuje stejně hypostatická „forma–essence“. Kilwardby chce dělat moderní metafyziku, a ne mytologii. Na rozdíl od Rufuse v jeho schématu nefunguje Avicebronova </w:t>
      </w:r>
      <w:r w:rsidR="00FC3050" w:rsidRPr="00FC3050">
        <w:rPr>
          <w:i/>
        </w:rPr>
        <w:t>materia spiritualis</w:t>
      </w:r>
      <w:r w:rsidR="00DB4C31">
        <w:rPr>
          <w:i/>
        </w:rPr>
        <w:fldChar w:fldCharType="begin"/>
      </w:r>
      <w:r w:rsidR="00DB4C31">
        <w:instrText xml:space="preserve"> XE "</w:instrText>
      </w:r>
      <w:r w:rsidR="00DB4C31" w:rsidRPr="00FC4F86">
        <w:rPr>
          <w:i/>
        </w:rPr>
        <w:instrText>materia spiritualis</w:instrText>
      </w:r>
      <w:r w:rsidR="00DB4C31">
        <w:instrText xml:space="preserve">" </w:instrText>
      </w:r>
      <w:r w:rsidR="00DB4C31">
        <w:rPr>
          <w:i/>
        </w:rPr>
        <w:fldChar w:fldCharType="end"/>
      </w:r>
      <w:r w:rsidR="00FC3050">
        <w:t xml:space="preserve">, ale Aristotelova </w:t>
      </w:r>
      <w:r w:rsidR="00FC3050" w:rsidRPr="00FC3050">
        <w:rPr>
          <w:i/>
        </w:rPr>
        <w:t>materia prima</w:t>
      </w:r>
      <w:r w:rsidR="00FC3050">
        <w:t xml:space="preserve">. Ale její pojetí je stejně mytologické jako </w:t>
      </w:r>
      <w:r w:rsidR="009860CF">
        <w:t xml:space="preserve">bylu použití </w:t>
      </w:r>
      <w:r w:rsidR="00FC3050">
        <w:t xml:space="preserve">materie </w:t>
      </w:r>
      <w:r w:rsidR="009860CF">
        <w:t xml:space="preserve">v případě </w:t>
      </w:r>
      <w:r w:rsidR="00FC3050">
        <w:t>univerzálního hylemorfismu. Numericky individualizovaná esence (</w:t>
      </w:r>
      <w:r w:rsidR="00FC3050">
        <w:rPr>
          <w:i/>
        </w:rPr>
        <w:t>una numero unitate essentiali</w:t>
      </w:r>
      <w:r w:rsidR="00FC3050">
        <w:t>) se chová jako porretánská substance třetího druhu</w:t>
      </w:r>
      <w:r w:rsidR="00AB336D">
        <w:t xml:space="preserve">. Tato nemožná kopulace mytologické formy a materie </w:t>
      </w:r>
      <w:r w:rsidR="00FC3050">
        <w:t>zakládá modernistický kosmos individualizovaných esencí</w:t>
      </w:r>
      <w:r w:rsidR="00822CFE">
        <w:t xml:space="preserve"> jako nový</w:t>
      </w:r>
      <w:r w:rsidR="00A4479D">
        <w:t xml:space="preserve"> vědecký obraz světa (</w:t>
      </w:r>
      <w:r w:rsidR="00A4479D" w:rsidRPr="00DB351C">
        <w:rPr>
          <w:i/>
        </w:rPr>
        <w:t>ita scientia nostra</w:t>
      </w:r>
      <w:r w:rsidR="00A4479D">
        <w:t>)</w:t>
      </w:r>
      <w:r w:rsidR="00FC3050">
        <w:t>.</w:t>
      </w:r>
      <w:r w:rsidR="00AB336D">
        <w:t xml:space="preserve"> </w:t>
      </w:r>
      <w:r w:rsidRPr="00273106">
        <w:t xml:space="preserve">Citát definuje </w:t>
      </w:r>
      <w:r w:rsidR="00810E0B" w:rsidRPr="00273106">
        <w:t xml:space="preserve">toto jsoucno třetího druhu </w:t>
      </w:r>
      <w:r w:rsidRPr="00273106">
        <w:t>v podobě univerzální formy dané jako individuální věc (</w:t>
      </w:r>
      <w:r w:rsidRPr="00273106">
        <w:rPr>
          <w:i/>
        </w:rPr>
        <w:t>forma universalis quae est res</w:t>
      </w:r>
      <w:r w:rsidRPr="00273106">
        <w:t>)</w:t>
      </w:r>
      <w:r w:rsidR="006979B5">
        <w:t xml:space="preserve">. Ale tato „věc“ </w:t>
      </w:r>
      <w:r w:rsidRPr="00273106">
        <w:t xml:space="preserve">je z </w:t>
      </w:r>
      <w:r w:rsidR="002E3B62">
        <w:t>Averroes</w:t>
      </w:r>
      <w:r w:rsidR="00132337">
        <w:t xml:space="preserve">ova </w:t>
      </w:r>
      <w:r w:rsidRPr="00273106">
        <w:t>hlediska pouhá potencialita</w:t>
      </w:r>
      <w:r w:rsidR="0017745F">
        <w:t xml:space="preserve"> poznání v intelektu</w:t>
      </w:r>
      <w:r w:rsidRPr="00273106">
        <w:t xml:space="preserve">. </w:t>
      </w:r>
      <w:r w:rsidR="08C74740">
        <w:t>Sofistika ohledně Averroese se týká ontologického určení věci (</w:t>
      </w:r>
      <w:r w:rsidR="08C74740" w:rsidRPr="08C74740">
        <w:rPr>
          <w:i/>
        </w:rPr>
        <w:t>res</w:t>
      </w:r>
      <w:r w:rsidR="08C74740">
        <w:t xml:space="preserve">) jako jsoucna třetího druhu. </w:t>
      </w:r>
      <w:r w:rsidR="086D37DD">
        <w:t xml:space="preserve">V </w:t>
      </w:r>
      <w:r w:rsidR="08DD271E">
        <w:t xml:space="preserve">intelektu nejsou </w:t>
      </w:r>
      <w:r w:rsidR="08C74740">
        <w:t>„</w:t>
      </w:r>
      <w:r w:rsidR="08DD271E">
        <w:t>věci</w:t>
      </w:r>
      <w:r w:rsidR="08C74740">
        <w:t>“</w:t>
      </w:r>
      <w:r w:rsidR="08390ECF">
        <w:t xml:space="preserve"> (</w:t>
      </w:r>
      <w:r w:rsidR="08390ECF" w:rsidRPr="00273106">
        <w:rPr>
          <w:i/>
        </w:rPr>
        <w:t>res ens in potentia</w:t>
      </w:r>
      <w:r w:rsidR="08390ECF">
        <w:t>)</w:t>
      </w:r>
      <w:r w:rsidR="08C74740">
        <w:t>, jak tvrdí modernisté</w:t>
      </w:r>
      <w:r w:rsidR="086D37DD">
        <w:t xml:space="preserve"> s odvoláním na </w:t>
      </w:r>
      <w:r w:rsidR="006979B5">
        <w:t xml:space="preserve">modernistického </w:t>
      </w:r>
      <w:r w:rsidR="086D37DD">
        <w:t>A</w:t>
      </w:r>
      <w:r w:rsidR="006979B5">
        <w:t>ristotela</w:t>
      </w:r>
      <w:r w:rsidR="08C74740">
        <w:t xml:space="preserve">, </w:t>
      </w:r>
      <w:r w:rsidR="0854610E">
        <w:t xml:space="preserve">ale </w:t>
      </w:r>
      <w:r w:rsidR="08DD271E">
        <w:t xml:space="preserve">pouze poznání věcí </w:t>
      </w:r>
      <w:r w:rsidR="087D1212">
        <w:t xml:space="preserve">skrze </w:t>
      </w:r>
      <w:r w:rsidR="08DD271E">
        <w:t>univerzální pojm</w:t>
      </w:r>
      <w:r w:rsidR="087D1212">
        <w:t>y</w:t>
      </w:r>
      <w:r w:rsidR="002D7E4E">
        <w:t xml:space="preserve">. </w:t>
      </w:r>
      <w:r w:rsidR="00CD2817">
        <w:t xml:space="preserve">Analýza konceptu </w:t>
      </w:r>
      <w:r w:rsidR="00CD2817" w:rsidRPr="00CD2817">
        <w:rPr>
          <w:i/>
        </w:rPr>
        <w:t xml:space="preserve">materia prima </w:t>
      </w:r>
      <w:r w:rsidR="00CD2817">
        <w:t>v Averroesově kosmologii by vyžadovala samo</w:t>
      </w:r>
      <w:r w:rsidR="00766FD6">
        <w:t>s</w:t>
      </w:r>
      <w:r w:rsidR="00CD2817">
        <w:t xml:space="preserve">tatnou kapitolu. V našem kontextu je </w:t>
      </w:r>
      <w:r w:rsidR="00D24800">
        <w:t xml:space="preserve">ale </w:t>
      </w:r>
      <w:r w:rsidR="00CD2817">
        <w:t xml:space="preserve">zcela zřejmý </w:t>
      </w:r>
      <w:r w:rsidR="00D24800">
        <w:t xml:space="preserve">základní </w:t>
      </w:r>
      <w:r w:rsidR="00CD2817">
        <w:t xml:space="preserve">fakt, že existuje modernististický výklad </w:t>
      </w:r>
      <w:r w:rsidR="00CD2817" w:rsidRPr="00CD2817">
        <w:rPr>
          <w:i/>
        </w:rPr>
        <w:t>Metafyziky</w:t>
      </w:r>
      <w:r w:rsidR="00766FD6">
        <w:t xml:space="preserve">, </w:t>
      </w:r>
      <w:r w:rsidR="00CD2817">
        <w:t>a tím i Aristotela</w:t>
      </w:r>
      <w:r w:rsidR="00766FD6">
        <w:t>. Ten</w:t>
      </w:r>
      <w:r w:rsidR="008E7328">
        <w:t>to vysoce problematický výklad z</w:t>
      </w:r>
      <w:r w:rsidR="00766FD6">
        <w:t xml:space="preserve">akládá </w:t>
      </w:r>
      <w:r w:rsidR="00CD2817">
        <w:t>modernistic</w:t>
      </w:r>
      <w:r w:rsidR="00766FD6">
        <w:t>kou mytologickou vědu (</w:t>
      </w:r>
      <w:r w:rsidR="00766FD6" w:rsidRPr="00766FD6">
        <w:rPr>
          <w:i/>
        </w:rPr>
        <w:t>ortus scientiarum</w:t>
      </w:r>
      <w:r w:rsidR="00766FD6">
        <w:t>)</w:t>
      </w:r>
      <w:r w:rsidR="00CD2817">
        <w:t>, která stojí na Avicennově metafyzice „</w:t>
      </w:r>
      <w:r w:rsidR="00CD2817" w:rsidRPr="00CD2817">
        <w:rPr>
          <w:i/>
        </w:rPr>
        <w:t>ens inquantum ens</w:t>
      </w:r>
      <w:r w:rsidR="00CD2817">
        <w:rPr>
          <w:i/>
        </w:rPr>
        <w:fldChar w:fldCharType="begin"/>
      </w:r>
      <w:r w:rsidR="00CD2817">
        <w:instrText xml:space="preserve"> XE "</w:instrText>
      </w:r>
      <w:r w:rsidR="00CD2817" w:rsidRPr="0037537C">
        <w:rPr>
          <w:i/>
        </w:rPr>
        <w:instrText>ens inquantum ens</w:instrText>
      </w:r>
      <w:r w:rsidR="00CD2817">
        <w:instrText xml:space="preserve">" </w:instrText>
      </w:r>
      <w:r w:rsidR="00CD2817">
        <w:rPr>
          <w:i/>
        </w:rPr>
        <w:fldChar w:fldCharType="end"/>
      </w:r>
      <w:r w:rsidR="00CD2817">
        <w:t xml:space="preserve">“. Proti </w:t>
      </w:r>
      <w:r w:rsidR="00766FD6">
        <w:t xml:space="preserve">modernistickému diakosmu stvořenému </w:t>
      </w:r>
      <w:r w:rsidR="00766FD6" w:rsidRPr="00766FD6">
        <w:rPr>
          <w:i/>
        </w:rPr>
        <w:t>ex nihilo</w:t>
      </w:r>
      <w:r w:rsidR="00766FD6">
        <w:t xml:space="preserve"> </w:t>
      </w:r>
      <w:r w:rsidR="00CD2817">
        <w:t xml:space="preserve">stojí výklad téže </w:t>
      </w:r>
      <w:r w:rsidR="00CD2817" w:rsidRPr="00CD2817">
        <w:rPr>
          <w:i/>
        </w:rPr>
        <w:t>Metafyziky</w:t>
      </w:r>
      <w:r w:rsidR="00CD2817">
        <w:t xml:space="preserve"> provedený </w:t>
      </w:r>
      <w:r w:rsidR="00CD2817" w:rsidRPr="00CD2817">
        <w:rPr>
          <w:i/>
        </w:rPr>
        <w:t>ad mentem Averrois</w:t>
      </w:r>
      <w:r w:rsidR="00734411">
        <w:rPr>
          <w:i/>
        </w:rPr>
        <w:fldChar w:fldCharType="begin"/>
      </w:r>
      <w:r w:rsidR="00734411">
        <w:instrText xml:space="preserve"> XE "</w:instrText>
      </w:r>
      <w:r w:rsidR="00734411" w:rsidRPr="00A70E5D">
        <w:rPr>
          <w:i/>
        </w:rPr>
        <w:instrText>ad mentem Averrois</w:instrText>
      </w:r>
      <w:r w:rsidR="00734411">
        <w:instrText xml:space="preserve">" </w:instrText>
      </w:r>
      <w:r w:rsidR="00734411">
        <w:rPr>
          <w:i/>
        </w:rPr>
        <w:fldChar w:fldCharType="end"/>
      </w:r>
      <w:r w:rsidR="00CD2817">
        <w:t>, který analyzuje „meta-fyziku</w:t>
      </w:r>
      <w:r w:rsidR="00CD2817">
        <w:fldChar w:fldCharType="begin"/>
      </w:r>
      <w:r w:rsidR="00CD2817">
        <w:instrText xml:space="preserve"> XE "</w:instrText>
      </w:r>
      <w:r w:rsidR="00CD2817" w:rsidRPr="00131670">
        <w:instrText>meta-fyzika</w:instrText>
      </w:r>
      <w:r w:rsidR="00CD2817">
        <w:instrText xml:space="preserve">" </w:instrText>
      </w:r>
      <w:r w:rsidR="00CD2817">
        <w:fldChar w:fldCharType="end"/>
      </w:r>
      <w:r w:rsidR="00CD2817">
        <w:t xml:space="preserve">“ skrze „substaci </w:t>
      </w:r>
      <w:r w:rsidR="00CD2817" w:rsidRPr="00CD2817">
        <w:rPr>
          <w:i/>
        </w:rPr>
        <w:t>qua</w:t>
      </w:r>
      <w:r w:rsidR="00CD2817">
        <w:t xml:space="preserve"> substanci</w:t>
      </w:r>
      <w:r w:rsidR="00CD2817">
        <w:fldChar w:fldCharType="begin"/>
      </w:r>
      <w:r w:rsidR="00CD2817">
        <w:instrText xml:space="preserve"> XE "</w:instrText>
      </w:r>
      <w:r w:rsidR="00CD2817" w:rsidRPr="00F63BC8">
        <w:instrText xml:space="preserve">substace </w:instrText>
      </w:r>
      <w:r w:rsidR="00CD2817" w:rsidRPr="00F63BC8">
        <w:rPr>
          <w:i/>
        </w:rPr>
        <w:instrText>qua</w:instrText>
      </w:r>
      <w:r w:rsidR="00CD2817" w:rsidRPr="00F63BC8">
        <w:instrText xml:space="preserve"> substance</w:instrText>
      </w:r>
      <w:r w:rsidR="00CD2817">
        <w:instrText xml:space="preserve">" </w:instrText>
      </w:r>
      <w:r w:rsidR="00CD2817">
        <w:fldChar w:fldCharType="end"/>
      </w:r>
      <w:r w:rsidR="00CD2817">
        <w:t>“.</w:t>
      </w:r>
      <w:r w:rsidR="00766FD6">
        <w:t xml:space="preserve"> </w:t>
      </w:r>
      <w:r w:rsidR="00D24800">
        <w:t>Útok na Averroé</w:t>
      </w:r>
      <w:r w:rsidR="00766FD6">
        <w:t>se byl tedy od roku 1250 nevyhnutelný, protože oba koncepty vědy jsou zcela proti</w:t>
      </w:r>
      <w:r w:rsidR="002D7E4E">
        <w:t>kladné.</w:t>
      </w:r>
    </w:p>
    <w:p w14:paraId="113C2498" w14:textId="5A97173A" w:rsidR="00C054E7" w:rsidRDefault="087F673F" w:rsidP="002D7E4E">
      <w:pPr>
        <w:ind w:firstLine="397"/>
      </w:pPr>
      <w:r>
        <w:t xml:space="preserve">Kildwardby </w:t>
      </w:r>
      <w:r w:rsidR="00B852F0">
        <w:t xml:space="preserve">zavedl avicennovskou konverzi transcendentálií do výkladu </w:t>
      </w:r>
      <w:r w:rsidR="00B852F0" w:rsidRPr="087F673F">
        <w:rPr>
          <w:i/>
        </w:rPr>
        <w:t>Metafyziky</w:t>
      </w:r>
      <w:r w:rsidR="00B852F0">
        <w:t>. P</w:t>
      </w:r>
      <w:r>
        <w:t>racuje s transcendentálním určením jsoucna jako „</w:t>
      </w:r>
      <w:r w:rsidRPr="087F673F">
        <w:rPr>
          <w:i/>
        </w:rPr>
        <w:t>res</w:t>
      </w:r>
      <w:r>
        <w:t>“ podle Kancléře Filipa (kap. 2.3.3)</w:t>
      </w:r>
      <w:r w:rsidR="00B852F0">
        <w:t xml:space="preserve">. </w:t>
      </w:r>
      <w:r w:rsidR="0800643A">
        <w:t>Komentátor ale považuje Avicen</w:t>
      </w:r>
      <w:r w:rsidR="002D7E4E">
        <w:t xml:space="preserve">nův výklad </w:t>
      </w:r>
      <w:r w:rsidR="002D7E4E" w:rsidRPr="002D7E4E">
        <w:rPr>
          <w:i/>
        </w:rPr>
        <w:t>M</w:t>
      </w:r>
      <w:r w:rsidR="0800643A" w:rsidRPr="002D7E4E">
        <w:rPr>
          <w:i/>
        </w:rPr>
        <w:t>etafyziky</w:t>
      </w:r>
      <w:r w:rsidR="0800643A">
        <w:t xml:space="preserve"> v modu </w:t>
      </w:r>
      <w:r w:rsidR="00413242">
        <w:t>„</w:t>
      </w:r>
      <w:r w:rsidR="0800643A" w:rsidRPr="0800643A">
        <w:rPr>
          <w:i/>
        </w:rPr>
        <w:t>ens inquantum ens</w:t>
      </w:r>
      <w:r w:rsidR="00413242">
        <w:t>“</w:t>
      </w:r>
      <w:r w:rsidR="000943E9">
        <w:rPr>
          <w:i/>
        </w:rPr>
        <w:fldChar w:fldCharType="begin"/>
      </w:r>
      <w:r w:rsidR="000943E9">
        <w:instrText xml:space="preserve"> XE "</w:instrText>
      </w:r>
      <w:r w:rsidR="000943E9" w:rsidRPr="00334ECA">
        <w:rPr>
          <w:i/>
        </w:rPr>
        <w:instrText>ens inquantum ens</w:instrText>
      </w:r>
      <w:r w:rsidR="000943E9">
        <w:instrText xml:space="preserve">" </w:instrText>
      </w:r>
      <w:r w:rsidR="000943E9">
        <w:rPr>
          <w:i/>
        </w:rPr>
        <w:fldChar w:fldCharType="end"/>
      </w:r>
      <w:r w:rsidR="0800643A">
        <w:t xml:space="preserve"> za tragický omyl</w:t>
      </w:r>
      <w:r w:rsidR="081C10EA">
        <w:t xml:space="preserve"> (OBJ I, kap. 2.4.1)</w:t>
      </w:r>
      <w:r w:rsidR="0800643A">
        <w:t xml:space="preserve">. </w:t>
      </w:r>
      <w:r w:rsidR="08B45290">
        <w:t xml:space="preserve">Opět je vidět působení </w:t>
      </w:r>
      <w:r w:rsidR="08B45290" w:rsidRPr="08B45290">
        <w:rPr>
          <w:i/>
        </w:rPr>
        <w:t>Oxfordian Fallacy</w:t>
      </w:r>
      <w:r w:rsidR="08B45290">
        <w:t xml:space="preserve">, která vytěsnila hyparchickou metafyzickou predikaci </w:t>
      </w:r>
      <w:r w:rsidR="08B45290" w:rsidRPr="08B45290">
        <w:rPr>
          <w:i/>
        </w:rPr>
        <w:t>Druhých analytik</w:t>
      </w:r>
      <w:r w:rsidR="08B45290">
        <w:t>. P</w:t>
      </w:r>
      <w:r w:rsidR="0866439C" w:rsidRPr="00273106">
        <w:t xml:space="preserve">otenciální věc </w:t>
      </w:r>
      <w:r w:rsidR="00E56AE0" w:rsidRPr="00273106">
        <w:t xml:space="preserve">je </w:t>
      </w:r>
      <w:r w:rsidR="004151F3" w:rsidRPr="00273106">
        <w:t>individualizovaná skrze abstraktně danou první materii (</w:t>
      </w:r>
      <w:r w:rsidR="004151F3" w:rsidRPr="00273106">
        <w:rPr>
          <w:rStyle w:val="Zkladntextdkovn0pt"/>
          <w:rFonts w:ascii="Calibri" w:eastAsia="Times" w:hAnsi="Calibri" w:cs="Times New Roman"/>
          <w:i/>
          <w:color w:val="auto"/>
          <w:spacing w:val="0"/>
          <w:sz w:val="24"/>
          <w:u w:val="none"/>
          <w:lang w:val="cs-CZ"/>
        </w:rPr>
        <w:t>suscipitur in materia prima una numero</w:t>
      </w:r>
      <w:r w:rsidR="004151F3" w:rsidRPr="00273106">
        <w:t>)</w:t>
      </w:r>
      <w:r w:rsidR="00E14C47" w:rsidRPr="00273106">
        <w:t xml:space="preserve">. </w:t>
      </w:r>
      <w:r w:rsidR="00621708" w:rsidRPr="00273106">
        <w:t xml:space="preserve">Potence se stala věcí a skrze proces moderní </w:t>
      </w:r>
      <w:r w:rsidR="00E14C47" w:rsidRPr="00273106">
        <w:t xml:space="preserve">individualizace </w:t>
      </w:r>
      <w:r w:rsidR="00621708" w:rsidRPr="00273106">
        <w:t xml:space="preserve">dostala </w:t>
      </w:r>
      <w:r w:rsidR="004151F3" w:rsidRPr="00273106">
        <w:t xml:space="preserve">esenci </w:t>
      </w:r>
      <w:r w:rsidR="00621708" w:rsidRPr="00273106">
        <w:t xml:space="preserve">na způsob Avicenny </w:t>
      </w:r>
      <w:r w:rsidR="004151F3" w:rsidRPr="00273106">
        <w:t>(</w:t>
      </w:r>
      <w:r w:rsidR="004151F3" w:rsidRPr="00273106">
        <w:rPr>
          <w:rStyle w:val="Zkladntextdkovn0pt"/>
          <w:rFonts w:ascii="Calibri" w:eastAsia="Times" w:hAnsi="Calibri" w:cs="Times New Roman"/>
          <w:i/>
          <w:color w:val="auto"/>
          <w:spacing w:val="0"/>
          <w:sz w:val="24"/>
          <w:u w:val="none"/>
          <w:lang w:val="cs-CZ"/>
        </w:rPr>
        <w:t>unitate essentiali tantum</w:t>
      </w:r>
      <w:r w:rsidR="004151F3" w:rsidRPr="00273106">
        <w:t>)</w:t>
      </w:r>
      <w:r w:rsidR="002921B6" w:rsidRPr="00273106">
        <w:t xml:space="preserve">. </w:t>
      </w:r>
      <w:r w:rsidR="00461A1C">
        <w:t>Averroes by zásadně odmítl p</w:t>
      </w:r>
      <w:r w:rsidR="00F91BBF">
        <w:t>roces a</w:t>
      </w:r>
      <w:r w:rsidR="008D3491">
        <w:t xml:space="preserve">ktuální </w:t>
      </w:r>
      <w:r w:rsidR="00A137C2">
        <w:t xml:space="preserve">numerické </w:t>
      </w:r>
      <w:r w:rsidR="008D3491">
        <w:t>individuac</w:t>
      </w:r>
      <w:r w:rsidR="00F91BBF">
        <w:t>e</w:t>
      </w:r>
      <w:r w:rsidR="008D3491">
        <w:t xml:space="preserve"> </w:t>
      </w:r>
      <w:r w:rsidR="00A137C2">
        <w:t xml:space="preserve">věci daný </w:t>
      </w:r>
      <w:r w:rsidR="008D3491">
        <w:t xml:space="preserve">mimo </w:t>
      </w:r>
      <w:r w:rsidR="0085757B">
        <w:t xml:space="preserve">hylemorficky určenou </w:t>
      </w:r>
      <w:r w:rsidR="008D3491">
        <w:t>látk</w:t>
      </w:r>
      <w:r w:rsidR="00461A1C">
        <w:t>u</w:t>
      </w:r>
      <w:r w:rsidR="008D3491">
        <w:t xml:space="preserve">. </w:t>
      </w:r>
      <w:r w:rsidR="088B6226">
        <w:t xml:space="preserve">V hylemorfické realitě představuje individuace přes univerzární hylemofismus a matematiku nesmysl založený na fiktivním jsoucnu třetího druhu. Kosmické formy žádnou materii nemají, tak ani nemohou být individua, protože </w:t>
      </w:r>
      <w:r w:rsidR="085C1BDD">
        <w:t xml:space="preserve">to </w:t>
      </w:r>
      <w:r w:rsidR="088B6226">
        <w:t xml:space="preserve">jsou </w:t>
      </w:r>
      <w:r w:rsidR="085C1BDD">
        <w:t xml:space="preserve">reálné nemateriální </w:t>
      </w:r>
      <w:r w:rsidR="088B6226">
        <w:t>substance</w:t>
      </w:r>
      <w:r w:rsidR="085C1BDD">
        <w:t xml:space="preserve"> existují plně </w:t>
      </w:r>
      <w:r w:rsidR="085C1BDD" w:rsidRPr="085C1BDD">
        <w:rPr>
          <w:i/>
        </w:rPr>
        <w:t>simpliciter</w:t>
      </w:r>
      <w:r w:rsidR="085C1BDD">
        <w:t xml:space="preserve"> a </w:t>
      </w:r>
      <w:r w:rsidR="085C1BDD" w:rsidRPr="085C1BDD">
        <w:rPr>
          <w:i/>
        </w:rPr>
        <w:t>per se</w:t>
      </w:r>
      <w:r w:rsidR="083B785B">
        <w:rPr>
          <w:i/>
        </w:rPr>
        <w:t xml:space="preserve">, </w:t>
      </w:r>
      <w:r w:rsidR="083B785B" w:rsidRPr="083B785B">
        <w:t xml:space="preserve">tj. </w:t>
      </w:r>
      <w:r w:rsidR="084E1FFC" w:rsidRPr="084E1FFC">
        <w:t>pouze jako jedine</w:t>
      </w:r>
      <w:r w:rsidR="084E1FFC">
        <w:t>č</w:t>
      </w:r>
      <w:r w:rsidR="084E1FFC" w:rsidRPr="084E1FFC">
        <w:t xml:space="preserve">ná </w:t>
      </w:r>
      <w:r w:rsidR="004B4D52" w:rsidRPr="004B4D52">
        <w:t>species</w:t>
      </w:r>
      <w:r w:rsidR="084E1FFC">
        <w:rPr>
          <w:i/>
        </w:rPr>
        <w:t xml:space="preserve"> </w:t>
      </w:r>
      <w:r w:rsidR="084E1FFC" w:rsidRPr="084E1FFC">
        <w:t>v jedno</w:t>
      </w:r>
      <w:r w:rsidR="084E1FFC">
        <w:t>m</w:t>
      </w:r>
      <w:r w:rsidR="084E1FFC" w:rsidRPr="084E1FFC">
        <w:t xml:space="preserve"> exempláři</w:t>
      </w:r>
      <w:r w:rsidR="088B6226">
        <w:t xml:space="preserve">. </w:t>
      </w:r>
      <w:r w:rsidR="08EB4EB4">
        <w:t>K</w:t>
      </w:r>
      <w:r w:rsidR="08E5603F">
        <w:t xml:space="preserve">osmické formy </w:t>
      </w:r>
      <w:r w:rsidR="08EB4EB4">
        <w:t xml:space="preserve">nejsou </w:t>
      </w:r>
      <w:r w:rsidR="083B785B">
        <w:t xml:space="preserve">materiální a numericky jednotná </w:t>
      </w:r>
      <w:r w:rsidR="004B4D52" w:rsidRPr="004B4D52">
        <w:t>species</w:t>
      </w:r>
      <w:r w:rsidR="08EB4EB4">
        <w:t>. V</w:t>
      </w:r>
      <w:r w:rsidR="083B785B">
        <w:t xml:space="preserve">šechna </w:t>
      </w:r>
      <w:r w:rsidR="004B4D52" w:rsidRPr="004B4D52">
        <w:t>species</w:t>
      </w:r>
      <w:r w:rsidR="083B785B">
        <w:t xml:space="preserve"> mimo </w:t>
      </w:r>
      <w:r w:rsidR="08EB4EB4">
        <w:t xml:space="preserve">nemateriální </w:t>
      </w:r>
      <w:r w:rsidR="083B785B">
        <w:t xml:space="preserve">kosmické formy </w:t>
      </w:r>
      <w:r w:rsidR="08EB4EB4">
        <w:t xml:space="preserve">jsou </w:t>
      </w:r>
      <w:r w:rsidR="08E5603F">
        <w:t xml:space="preserve">dána </w:t>
      </w:r>
      <w:r w:rsidR="08EB4EB4">
        <w:t xml:space="preserve">pouze </w:t>
      </w:r>
      <w:r w:rsidR="08E5603F">
        <w:t xml:space="preserve">jako abstrakce v našem procesu poznání. </w:t>
      </w:r>
      <w:r w:rsidR="084F61C3">
        <w:t>A dělit kosmické inteligence na individua podle Porfýriova stromu by znamenalo, že se pojednávají pouze v rámci logické abstrakce</w:t>
      </w:r>
      <w:r w:rsidR="08F6272B">
        <w:t>,</w:t>
      </w:r>
      <w:r w:rsidR="084F61C3">
        <w:t xml:space="preserve"> a ne </w:t>
      </w:r>
      <w:r w:rsidR="0086466D">
        <w:t xml:space="preserve">podle </w:t>
      </w:r>
      <w:r w:rsidR="084F61C3">
        <w:t xml:space="preserve">metafyzického náhledu daného </w:t>
      </w:r>
      <w:r w:rsidR="0086466D">
        <w:t xml:space="preserve">impozicí od reálné </w:t>
      </w:r>
      <w:r w:rsidR="084F61C3">
        <w:t xml:space="preserve">první substance. </w:t>
      </w:r>
      <w:r w:rsidR="00B822EC" w:rsidRPr="00B822EC">
        <w:t>Takto sofisticky provedený citát přisu</w:t>
      </w:r>
      <w:r w:rsidR="00B822EC">
        <w:t xml:space="preserve">zuje Komentátorovi, že </w:t>
      </w:r>
      <w:r w:rsidR="00E84ED9">
        <w:t xml:space="preserve">vzal </w:t>
      </w:r>
      <w:r w:rsidR="00B822EC">
        <w:t>„pravdivou“</w:t>
      </w:r>
      <w:r w:rsidR="00B822EC" w:rsidRPr="00B822EC">
        <w:t xml:space="preserve"> por</w:t>
      </w:r>
      <w:r w:rsidR="00B822EC">
        <w:t xml:space="preserve">retánskou </w:t>
      </w:r>
      <w:r w:rsidR="00B822EC" w:rsidRPr="00B822EC">
        <w:t>metafyziku spojenou s univerzálním hylemorfismem</w:t>
      </w:r>
      <w:r w:rsidR="00B822EC">
        <w:t xml:space="preserve"> </w:t>
      </w:r>
      <w:r w:rsidR="00E84ED9">
        <w:t>a dal ji do n</w:t>
      </w:r>
      <w:r w:rsidR="00B822EC">
        <w:t>ějaké zmatené podoby</w:t>
      </w:r>
      <w:r w:rsidR="00B822EC" w:rsidRPr="00B822EC">
        <w:t>.</w:t>
      </w:r>
      <w:r w:rsidR="00B822EC">
        <w:t xml:space="preserve"> Tato paranoi</w:t>
      </w:r>
      <w:r w:rsidR="00B07DC9">
        <w:t xml:space="preserve">cká metafyzika založená na sofistice </w:t>
      </w:r>
      <w:r w:rsidR="00B07DC9" w:rsidRPr="00B07DC9">
        <w:rPr>
          <w:i/>
        </w:rPr>
        <w:t>ad mentem Averrois</w:t>
      </w:r>
      <w:r w:rsidR="00B07DC9">
        <w:t xml:space="preserve"> </w:t>
      </w:r>
      <w:r w:rsidR="00B822EC">
        <w:t>ustavila počátek moderní vědy</w:t>
      </w:r>
      <w:r w:rsidR="00C054E7">
        <w:t>.</w:t>
      </w:r>
    </w:p>
    <w:p w14:paraId="09E41046" w14:textId="15728841" w:rsidR="08DE2024" w:rsidRDefault="00A719B0" w:rsidP="00A719B0">
      <w:pPr>
        <w:ind w:firstLine="397"/>
      </w:pPr>
      <w:r w:rsidRPr="00A719B0">
        <w:t>Takt</w:t>
      </w:r>
      <w:r>
        <w:t>o vytvořené averroistické simulá</w:t>
      </w:r>
      <w:r w:rsidRPr="00A719B0">
        <w:t xml:space="preserve">krum Averroese se stalo prvním druhem objektivního </w:t>
      </w:r>
      <w:r w:rsidR="000A2732">
        <w:t>jsoucna na latinském Západě</w:t>
      </w:r>
      <w:r>
        <w:t xml:space="preserve">. </w:t>
      </w:r>
      <w:r w:rsidR="00C621F3">
        <w:t>Tent</w:t>
      </w:r>
      <w:r>
        <w:t>o druh šílené „exsistence“</w:t>
      </w:r>
      <w:r w:rsidRPr="00A719B0">
        <w:t xml:space="preserve"> </w:t>
      </w:r>
      <w:r>
        <w:t xml:space="preserve">vznikl </w:t>
      </w:r>
      <w:r w:rsidRPr="00A719B0">
        <w:t>v prostředí latinských sofistů v Oxfordu kolem roku 1235.</w:t>
      </w:r>
      <w:r>
        <w:t xml:space="preserve"> S</w:t>
      </w:r>
      <w:r w:rsidR="08223352">
        <w:t xml:space="preserve"> jeho vznikem stojí a padá </w:t>
      </w:r>
      <w:r w:rsidR="08223352" w:rsidRPr="08223352">
        <w:rPr>
          <w:i/>
        </w:rPr>
        <w:t>genius loci</w:t>
      </w:r>
      <w:r w:rsidR="08223352">
        <w:t xml:space="preserve"> oxfordské moderny, protože její </w:t>
      </w:r>
      <w:r w:rsidR="08223352" w:rsidRPr="08223352">
        <w:rPr>
          <w:i/>
        </w:rPr>
        <w:t>raison d'être</w:t>
      </w:r>
      <w:r w:rsidR="08533273">
        <w:t xml:space="preserve"> stojí na </w:t>
      </w:r>
      <w:r w:rsidR="08223352">
        <w:t>sofistick</w:t>
      </w:r>
      <w:r w:rsidR="08533273">
        <w:t>ém vytěsnění</w:t>
      </w:r>
      <w:r w:rsidR="08223352">
        <w:t xml:space="preserve"> metafyzické abstrakce za </w:t>
      </w:r>
      <w:r w:rsidR="08533273">
        <w:t xml:space="preserve">esenciální, </w:t>
      </w:r>
      <w:r w:rsidR="08223352">
        <w:t>logickou a matematickou</w:t>
      </w:r>
      <w:r w:rsidR="087E637A">
        <w:t xml:space="preserve"> abstrakci</w:t>
      </w:r>
      <w:r w:rsidR="08223352">
        <w:t xml:space="preserve">. </w:t>
      </w:r>
      <w:r w:rsidR="00DA27E1" w:rsidRPr="00273106">
        <w:t xml:space="preserve">Předchozí citáty ukázaly, že matematická materie </w:t>
      </w:r>
      <w:r w:rsidR="003B169D">
        <w:t xml:space="preserve">u Rufuse </w:t>
      </w:r>
      <w:r w:rsidR="08C665AA">
        <w:t xml:space="preserve">nahradila hylemorfickou první substanci a její reálnou kauzalitu. Tím se stala </w:t>
      </w:r>
      <w:r w:rsidR="08E91E32">
        <w:t xml:space="preserve">klasická aristotelská </w:t>
      </w:r>
      <w:r w:rsidR="08C665AA">
        <w:t xml:space="preserve">metafyzika </w:t>
      </w:r>
      <w:r w:rsidR="08E91E32">
        <w:t>okolo rok</w:t>
      </w:r>
      <w:r w:rsidR="08C665AA">
        <w:t xml:space="preserve">u 1250 </w:t>
      </w:r>
      <w:r w:rsidR="08E8711C">
        <w:t xml:space="preserve">zcela </w:t>
      </w:r>
      <w:r w:rsidR="08C665AA">
        <w:t xml:space="preserve">zbytečná. V moderně a zejména postmoderně zcela propadlé logické abstrakci je </w:t>
      </w:r>
      <w:r w:rsidR="08E91E32">
        <w:t>metafyzický náhled na jednotu prvních substancí</w:t>
      </w:r>
      <w:r w:rsidR="08C665AA">
        <w:t xml:space="preserve"> postupně nahrazen různými objektivními </w:t>
      </w:r>
      <w:r w:rsidR="08E91E32">
        <w:t xml:space="preserve">scientistickými </w:t>
      </w:r>
      <w:r w:rsidR="08C665AA">
        <w:t xml:space="preserve">klony, které tento název používají pouze metaforicky. </w:t>
      </w:r>
      <w:r w:rsidR="081939B3">
        <w:t>T</w:t>
      </w:r>
      <w:r w:rsidR="003B169D">
        <w:t xml:space="preserve">ezi </w:t>
      </w:r>
      <w:r w:rsidR="081939B3">
        <w:t xml:space="preserve">o konci metafyziky Kilwardby prakticky uskutečňuje </w:t>
      </w:r>
      <w:r w:rsidR="003027A7">
        <w:t xml:space="preserve">tím, že zavádí </w:t>
      </w:r>
      <w:r w:rsidR="00B645FF">
        <w:t xml:space="preserve">kolem roku 1250 </w:t>
      </w:r>
      <w:r w:rsidR="003027A7">
        <w:t>novou verzi metafyzického averroismu</w:t>
      </w:r>
      <w:r w:rsidR="003B169D">
        <w:t>. O</w:t>
      </w:r>
      <w:r w:rsidR="00CA702B" w:rsidRPr="00273106">
        <w:t xml:space="preserve">bjektivní </w:t>
      </w:r>
      <w:r w:rsidR="00A17D5C" w:rsidRPr="00273106">
        <w:t xml:space="preserve">jsoucno třetího druhu je vytvořené </w:t>
      </w:r>
      <w:r w:rsidR="008F5322">
        <w:t>(</w:t>
      </w:r>
      <w:r w:rsidR="008F5322" w:rsidRPr="000A4DFA">
        <w:rPr>
          <w:i/>
        </w:rPr>
        <w:t>existit</w:t>
      </w:r>
      <w:r w:rsidR="008F5322">
        <w:t xml:space="preserve">) </w:t>
      </w:r>
      <w:r w:rsidR="00A17D5C" w:rsidRPr="00273106">
        <w:t xml:space="preserve">z matematicky kvantifikované </w:t>
      </w:r>
      <w:r w:rsidR="00A17D5C" w:rsidRPr="00273106">
        <w:rPr>
          <w:i/>
        </w:rPr>
        <w:t>materia prima</w:t>
      </w:r>
      <w:r w:rsidR="00684257">
        <w:rPr>
          <w:i/>
        </w:rPr>
        <w:fldChar w:fldCharType="begin"/>
      </w:r>
      <w:r w:rsidR="00684257">
        <w:instrText xml:space="preserve"> XE "</w:instrText>
      </w:r>
      <w:r w:rsidR="001F19A1" w:rsidRPr="001F19A1">
        <w:instrText>materie</w:instrText>
      </w:r>
      <w:r w:rsidR="00684257" w:rsidRPr="001B0A79">
        <w:rPr>
          <w:i/>
        </w:rPr>
        <w:instrText>:</w:instrText>
      </w:r>
      <w:r w:rsidR="001F19A1">
        <w:instrText>matematická</w:instrText>
      </w:r>
      <w:r w:rsidR="00684257">
        <w:instrText xml:space="preserve">" </w:instrText>
      </w:r>
      <w:r w:rsidR="00684257">
        <w:rPr>
          <w:i/>
        </w:rPr>
        <w:fldChar w:fldCharType="end"/>
      </w:r>
      <w:r w:rsidR="082847D5">
        <w:t>. Zavedením materie třetího druhu těleso ztratilo status</w:t>
      </w:r>
      <w:r w:rsidR="00A17D5C" w:rsidRPr="00273106">
        <w:t xml:space="preserve"> čistě my</w:t>
      </w:r>
      <w:r w:rsidR="00901038" w:rsidRPr="00273106">
        <w:t xml:space="preserve">šleného univerzálního předmětu. </w:t>
      </w:r>
      <w:r w:rsidR="0035687C">
        <w:t xml:space="preserve">Objektivně </w:t>
      </w:r>
      <w:r w:rsidR="08BD0BBE">
        <w:t xml:space="preserve">myšlená věc </w:t>
      </w:r>
      <w:r w:rsidR="0035687C">
        <w:t>ne</w:t>
      </w:r>
      <w:r w:rsidR="00B44637">
        <w:t>existuje</w:t>
      </w:r>
      <w:r w:rsidR="00A17D5C" w:rsidRPr="00273106">
        <w:t xml:space="preserve"> </w:t>
      </w:r>
      <w:r w:rsidR="0035687C">
        <w:t xml:space="preserve">pouze v imaginaci, </w:t>
      </w:r>
      <w:r w:rsidR="00A17D5C" w:rsidRPr="00273106">
        <w:t>jako chiméra</w:t>
      </w:r>
      <w:r w:rsidR="00B2610C">
        <w:fldChar w:fldCharType="begin"/>
      </w:r>
      <w:r w:rsidR="00B2610C">
        <w:instrText xml:space="preserve"> XE "</w:instrText>
      </w:r>
      <w:r w:rsidR="00B2610C" w:rsidRPr="009316B3">
        <w:instrText>chiméra</w:instrText>
      </w:r>
      <w:r w:rsidR="00B2610C">
        <w:instrText xml:space="preserve">" </w:instrText>
      </w:r>
      <w:r w:rsidR="00B2610C">
        <w:fldChar w:fldCharType="end"/>
      </w:r>
      <w:r w:rsidR="00A17D5C" w:rsidRPr="00273106">
        <w:t xml:space="preserve"> (</w:t>
      </w:r>
      <w:r w:rsidR="00A17D5C" w:rsidRPr="00273106">
        <w:rPr>
          <w:rStyle w:val="Zkladntextdkovn0pt"/>
          <w:rFonts w:ascii="Calibri" w:eastAsia="Times" w:hAnsi="Calibri" w:cs="Times New Roman"/>
          <w:i/>
          <w:color w:val="auto"/>
          <w:spacing w:val="0"/>
          <w:sz w:val="24"/>
          <w:u w:val="none"/>
          <w:lang w:val="cs-CZ"/>
        </w:rPr>
        <w:t>non est animae figmentum cum sit de universali</w:t>
      </w:r>
      <w:r w:rsidR="00A17D5C" w:rsidRPr="00273106">
        <w:t xml:space="preserve">). </w:t>
      </w:r>
      <w:r w:rsidR="00221098" w:rsidRPr="00273106">
        <w:t xml:space="preserve">Citát ukazuje, že </w:t>
      </w:r>
      <w:r w:rsidR="002D239F">
        <w:t>skrze hypostázovanou formu a materii</w:t>
      </w:r>
      <w:r w:rsidR="00221098" w:rsidRPr="00273106">
        <w:t xml:space="preserve"> </w:t>
      </w:r>
      <w:r w:rsidR="08832942">
        <w:t>(</w:t>
      </w:r>
      <w:r w:rsidR="08832942" w:rsidRPr="00273106">
        <w:rPr>
          <w:rStyle w:val="Zkladntextdkovn0pt"/>
          <w:rFonts w:ascii="Calibri" w:eastAsia="Times" w:hAnsi="Calibri" w:cs="Times New Roman"/>
          <w:i/>
          <w:color w:val="auto"/>
          <w:spacing w:val="0"/>
          <w:sz w:val="24"/>
          <w:u w:val="none"/>
          <w:lang w:val="cs-CZ"/>
        </w:rPr>
        <w:t>suscipitur in materia prima</w:t>
      </w:r>
      <w:r w:rsidR="08832942">
        <w:t xml:space="preserve">) </w:t>
      </w:r>
      <w:r w:rsidR="00221098" w:rsidRPr="00273106">
        <w:t>vznikne zvláštní substance třetího druhu</w:t>
      </w:r>
      <w:r w:rsidR="08832942">
        <w:t xml:space="preserve">. Ta </w:t>
      </w:r>
      <w:r w:rsidR="00221098" w:rsidRPr="00273106">
        <w:t>má singulárně-univerzální charakter (</w:t>
      </w:r>
      <w:r w:rsidR="00221098" w:rsidRPr="00273106">
        <w:rPr>
          <w:rStyle w:val="Zkladntextdkovn0pt"/>
          <w:rFonts w:ascii="Calibri" w:eastAsia="Times" w:hAnsi="Calibri" w:cs="Times New Roman"/>
          <w:i/>
          <w:color w:val="auto"/>
          <w:spacing w:val="0"/>
          <w:sz w:val="24"/>
          <w:u w:val="none"/>
          <w:lang w:val="cs-CZ"/>
        </w:rPr>
        <w:t>una numero unitate essentiali tantum</w:t>
      </w:r>
      <w:r w:rsidR="00221098" w:rsidRPr="00273106">
        <w:t>)</w:t>
      </w:r>
      <w:r w:rsidR="08832942">
        <w:t xml:space="preserve"> a přitom zůstává univerzální (</w:t>
      </w:r>
      <w:r w:rsidR="08832942" w:rsidRPr="00273106">
        <w:rPr>
          <w:rStyle w:val="Zkladntextdkovn0pt"/>
          <w:rFonts w:ascii="Calibri" w:eastAsia="Times" w:hAnsi="Calibri" w:cs="Times New Roman"/>
          <w:i/>
          <w:color w:val="auto"/>
          <w:spacing w:val="0"/>
          <w:sz w:val="24"/>
          <w:u w:val="none"/>
          <w:lang w:val="cs-CZ"/>
        </w:rPr>
        <w:t>manens universalis</w:t>
      </w:r>
      <w:r w:rsidR="08832942">
        <w:t>)</w:t>
      </w:r>
      <w:r w:rsidR="00221098" w:rsidRPr="00273106">
        <w:t xml:space="preserve">. </w:t>
      </w:r>
      <w:r w:rsidR="00043B91" w:rsidRPr="00273106">
        <w:t xml:space="preserve">Univerzalita a singularita čísla dovoluje skrze abstraktní rozsažnost realizovat proces individuace až na úroveň </w:t>
      </w:r>
      <w:r w:rsidR="0849626D">
        <w:t xml:space="preserve">konkrétního </w:t>
      </w:r>
      <w:r w:rsidR="00043B91" w:rsidRPr="00273106">
        <w:t>individua</w:t>
      </w:r>
      <w:r w:rsidR="0849626D">
        <w:t xml:space="preserve"> definovaného Rufusem</w:t>
      </w:r>
      <w:r w:rsidR="00837AF1">
        <w:fldChar w:fldCharType="begin"/>
      </w:r>
      <w:r w:rsidR="00837AF1">
        <w:instrText xml:space="preserve"> XE "</w:instrText>
      </w:r>
      <w:r w:rsidR="00837AF1" w:rsidRPr="006207E6">
        <w:instrText>substance:Kilwardby</w:instrText>
      </w:r>
      <w:r w:rsidR="00837AF1">
        <w:instrText xml:space="preserve">" </w:instrText>
      </w:r>
      <w:r w:rsidR="00837AF1">
        <w:fldChar w:fldCharType="end"/>
      </w:r>
      <w:r w:rsidR="00043B91" w:rsidRPr="00273106">
        <w:t xml:space="preserve">. Poslední věta citátu ukazuje vznik nové </w:t>
      </w:r>
      <w:r w:rsidR="009415E1">
        <w:t xml:space="preserve">matematizované </w:t>
      </w:r>
      <w:r w:rsidR="00043B91" w:rsidRPr="00273106">
        <w:t xml:space="preserve">reality dané mezi myslí </w:t>
      </w:r>
      <w:r w:rsidR="00CC20DE">
        <w:t xml:space="preserve">a </w:t>
      </w:r>
      <w:r w:rsidR="00043B91" w:rsidRPr="00273106">
        <w:t>světem na způsob bývalého neoplatonismu a falsafy (Jamblichův διάκοσμος</w:t>
      </w:r>
      <w:r w:rsidR="00640BE5">
        <w:fldChar w:fldCharType="begin"/>
      </w:r>
      <w:r w:rsidR="00640BE5">
        <w:instrText xml:space="preserve"> XE "</w:instrText>
      </w:r>
      <w:r w:rsidR="00640BE5" w:rsidRPr="00E4022D">
        <w:instrText>diakosmos</w:instrText>
      </w:r>
      <w:r w:rsidR="00640BE5">
        <w:instrText xml:space="preserve">" </w:instrText>
      </w:r>
      <w:r w:rsidR="00640BE5">
        <w:fldChar w:fldCharType="end"/>
      </w:r>
      <w:r w:rsidR="00043B91" w:rsidRPr="00273106">
        <w:t>, mezisvět-</w:t>
      </w:r>
      <w:r w:rsidR="00043B91" w:rsidRPr="00273106">
        <w:rPr>
          <w:i/>
        </w:rPr>
        <w:t>barzach</w:t>
      </w:r>
      <w:r w:rsidR="00043B91" w:rsidRPr="00273106">
        <w:t xml:space="preserve"> v Korán</w:t>
      </w:r>
      <w:r w:rsidR="00837AF1">
        <w:t>u</w:t>
      </w:r>
      <w:r w:rsidR="00837AF1">
        <w:fldChar w:fldCharType="begin"/>
      </w:r>
      <w:r w:rsidR="00837AF1">
        <w:instrText xml:space="preserve"> XE "</w:instrText>
      </w:r>
      <w:r w:rsidR="00837AF1" w:rsidRPr="009C3FDD">
        <w:instrText>Korán</w:instrText>
      </w:r>
      <w:r w:rsidR="00837AF1">
        <w:instrText xml:space="preserve">" </w:instrText>
      </w:r>
      <w:r w:rsidR="00837AF1">
        <w:fldChar w:fldCharType="end"/>
      </w:r>
      <w:r w:rsidR="00043B91" w:rsidRPr="00273106">
        <w:t>, středověké</w:t>
      </w:r>
      <w:r w:rsidR="00043B91" w:rsidRPr="00273106">
        <w:rPr>
          <w:i/>
        </w:rPr>
        <w:t xml:space="preserve"> purgatorium</w:t>
      </w:r>
      <w:r w:rsidR="084556B7">
        <w:rPr>
          <w:i/>
        </w:rPr>
        <w:fldChar w:fldCharType="begin"/>
      </w:r>
      <w:r w:rsidR="084556B7">
        <w:instrText xml:space="preserve"> XE "</w:instrText>
      </w:r>
      <w:r w:rsidR="084556B7" w:rsidRPr="08E56D54">
        <w:instrText>očistec</w:instrText>
      </w:r>
      <w:r w:rsidR="084556B7">
        <w:instrText xml:space="preserve">" </w:instrText>
      </w:r>
      <w:r w:rsidR="084556B7">
        <w:rPr>
          <w:i/>
        </w:rPr>
        <w:fldChar w:fldCharType="end"/>
      </w:r>
      <w:r w:rsidR="00043B91" w:rsidRPr="00273106">
        <w:t xml:space="preserve">). </w:t>
      </w:r>
      <w:r w:rsidR="00A33A19" w:rsidRPr="00273106">
        <w:t xml:space="preserve">Podle </w:t>
      </w:r>
      <w:r w:rsidR="002E3B62">
        <w:t>Averroes</w:t>
      </w:r>
      <w:r w:rsidR="00A33A19" w:rsidRPr="00273106">
        <w:t xml:space="preserve">e jsou </w:t>
      </w:r>
      <w:r w:rsidR="08886340">
        <w:t xml:space="preserve">aktuální </w:t>
      </w:r>
      <w:r w:rsidR="00166FD7" w:rsidRPr="00273106">
        <w:t>po</w:t>
      </w:r>
      <w:r w:rsidR="08275787">
        <w:t xml:space="preserve">uze první substance: </w:t>
      </w:r>
      <w:r w:rsidR="00166FD7" w:rsidRPr="00273106">
        <w:t>hylem</w:t>
      </w:r>
      <w:r w:rsidR="00933C20" w:rsidRPr="00273106">
        <w:t>orfická tělesa, hvězd</w:t>
      </w:r>
      <w:r w:rsidR="00CE0EE2" w:rsidRPr="00273106">
        <w:t>n</w:t>
      </w:r>
      <w:r w:rsidR="00933C20" w:rsidRPr="00273106">
        <w:t>á sféra</w:t>
      </w:r>
      <w:r w:rsidR="009908D6" w:rsidRPr="00273106">
        <w:t xml:space="preserve"> a </w:t>
      </w:r>
      <w:r w:rsidR="009E0019" w:rsidRPr="00273106">
        <w:t>nemateriální kosmické inteligence</w:t>
      </w:r>
      <w:r w:rsidR="087505ED">
        <w:t xml:space="preserve">, bůh jako oddělená </w:t>
      </w:r>
      <w:r w:rsidR="087505ED" w:rsidRPr="087505ED">
        <w:rPr>
          <w:i/>
        </w:rPr>
        <w:t>causa prima</w:t>
      </w:r>
      <w:r w:rsidR="009E0019" w:rsidRPr="00273106">
        <w:t xml:space="preserve">. </w:t>
      </w:r>
      <w:r w:rsidR="008E2636" w:rsidRPr="00273106">
        <w:t>Kil</w:t>
      </w:r>
      <w:r w:rsidR="00DA27E1" w:rsidRPr="00273106">
        <w:t xml:space="preserve">wardby už má </w:t>
      </w:r>
      <w:r w:rsidR="08886340">
        <w:t>aktua</w:t>
      </w:r>
      <w:r w:rsidR="088C5918">
        <w:t>litu danou mimo první substanci, protože přijal Rufusovo pojetí indi</w:t>
      </w:r>
      <w:r w:rsidR="08886340">
        <w:t>viduace</w:t>
      </w:r>
      <w:r w:rsidR="00DA27E1" w:rsidRPr="00273106">
        <w:t xml:space="preserve"> </w:t>
      </w:r>
      <w:r w:rsidR="08886340">
        <w:t xml:space="preserve">zasazené do stavby </w:t>
      </w:r>
      <w:r w:rsidR="00DA27E1" w:rsidRPr="00273106">
        <w:t>obje</w:t>
      </w:r>
      <w:r w:rsidR="005E7AA5" w:rsidRPr="00273106">
        <w:t>k</w:t>
      </w:r>
      <w:r w:rsidR="00DA27E1" w:rsidRPr="00273106">
        <w:t>tivního poje</w:t>
      </w:r>
      <w:r w:rsidR="005E7AA5" w:rsidRPr="00273106">
        <w:t xml:space="preserve">tí </w:t>
      </w:r>
      <w:r w:rsidR="088C5918">
        <w:t>jsoucna</w:t>
      </w:r>
      <w:r w:rsidR="00DA27E1" w:rsidRPr="00273106">
        <w:t xml:space="preserve">. </w:t>
      </w:r>
      <w:r w:rsidR="007F545B">
        <w:t xml:space="preserve">Moderní </w:t>
      </w:r>
      <w:r w:rsidR="009D20B0" w:rsidRPr="00273106">
        <w:rPr>
          <w:i/>
        </w:rPr>
        <w:t>hoc esse tantum</w:t>
      </w:r>
      <w:r w:rsidR="00C63957">
        <w:rPr>
          <w:i/>
        </w:rPr>
        <w:fldChar w:fldCharType="begin"/>
      </w:r>
      <w:r w:rsidR="00C63957">
        <w:instrText xml:space="preserve"> XE "</w:instrText>
      </w:r>
      <w:r w:rsidR="00C63957" w:rsidRPr="005A071C">
        <w:rPr>
          <w:i/>
          <w:lang w:eastAsia="en-US"/>
        </w:rPr>
        <w:instrText>hoc esse tantum</w:instrText>
      </w:r>
      <w:r w:rsidR="00C63957">
        <w:instrText xml:space="preserve">" </w:instrText>
      </w:r>
      <w:r w:rsidR="00C63957">
        <w:rPr>
          <w:i/>
        </w:rPr>
        <w:fldChar w:fldCharType="end"/>
      </w:r>
      <w:r w:rsidR="00801537" w:rsidRPr="00273106">
        <w:t xml:space="preserve"> převzaté od Avicenny (</w:t>
      </w:r>
      <w:r w:rsidR="08BD0BBE">
        <w:t xml:space="preserve">OBJ I, </w:t>
      </w:r>
      <w:r w:rsidR="00801537" w:rsidRPr="00273106">
        <w:t xml:space="preserve">kap. 2.3.2) </w:t>
      </w:r>
      <w:r w:rsidR="00606E07" w:rsidRPr="00273106">
        <w:t xml:space="preserve">se </w:t>
      </w:r>
      <w:r w:rsidR="00E02311" w:rsidRPr="00273106">
        <w:t xml:space="preserve">po přijetí materie třetího druhu </w:t>
      </w:r>
      <w:r w:rsidR="009D20B0" w:rsidRPr="00273106">
        <w:t xml:space="preserve">chová jako </w:t>
      </w:r>
      <w:r w:rsidR="00606E07" w:rsidRPr="00273106">
        <w:t xml:space="preserve">první </w:t>
      </w:r>
      <w:r w:rsidR="009D20B0" w:rsidRPr="00273106">
        <w:t>substance</w:t>
      </w:r>
      <w:r w:rsidR="08DE584F">
        <w:t xml:space="preserve"> (</w:t>
      </w:r>
      <w:r w:rsidR="08DE584F" w:rsidRPr="08DE584F">
        <w:rPr>
          <w:i/>
        </w:rPr>
        <w:t>res, scibile, concretum</w:t>
      </w:r>
      <w:r w:rsidR="08DE584F">
        <w:t>)</w:t>
      </w:r>
      <w:r w:rsidR="00691965">
        <w:fldChar w:fldCharType="begin"/>
      </w:r>
      <w:r w:rsidR="00691965">
        <w:instrText xml:space="preserve"> XE "</w:instrText>
      </w:r>
      <w:r w:rsidR="00691965" w:rsidRPr="00006A8E">
        <w:instrText>substance:objektivní</w:instrText>
      </w:r>
      <w:r w:rsidR="00691965">
        <w:instrText xml:space="preserve">" </w:instrText>
      </w:r>
      <w:r w:rsidR="00691965">
        <w:fldChar w:fldCharType="end"/>
      </w:r>
      <w:r w:rsidR="009D20B0" w:rsidRPr="00273106">
        <w:t xml:space="preserve">. </w:t>
      </w:r>
      <w:r w:rsidR="00AA2FE5" w:rsidRPr="00273106">
        <w:t>Individuum v rámci univerzálně hylemorfické substance na způsob Avicebrona je vzato univočně pro fyziku, matematiku a metafyziku.</w:t>
      </w:r>
      <w:r w:rsidR="00037AF2">
        <w:t xml:space="preserve"> Tento příklad sofistické argumentace ukazuje </w:t>
      </w:r>
      <w:r w:rsidR="00037AF2" w:rsidRPr="00737442">
        <w:rPr>
          <w:i/>
        </w:rPr>
        <w:t>De ortu scientiarum</w:t>
      </w:r>
      <w:r w:rsidR="08ED52A5">
        <w:t>, k</w:t>
      </w:r>
      <w:r w:rsidR="00037AF2">
        <w:t xml:space="preserve">ap. 24 (ed. Judy, </w:t>
      </w:r>
      <w:r w:rsidR="00037AF2" w:rsidRPr="005B2D70">
        <w:t>p</w:t>
      </w:r>
      <w:r w:rsidR="00037AF2">
        <w:t>p</w:t>
      </w:r>
      <w:r w:rsidR="00037AF2" w:rsidRPr="005B2D70">
        <w:t xml:space="preserve">. </w:t>
      </w:r>
      <w:r w:rsidR="00037AF2">
        <w:t>65‒75</w:t>
      </w:r>
      <w:r w:rsidR="00691965">
        <w:fldChar w:fldCharType="begin"/>
      </w:r>
      <w:r w:rsidR="00691965">
        <w:instrText xml:space="preserve"> XE "Kilwardby:</w:instrText>
      </w:r>
      <w:r w:rsidR="00691965" w:rsidRPr="000B7252">
        <w:rPr>
          <w:i/>
        </w:rPr>
        <w:instrText>De ortu scientiarum</w:instrText>
      </w:r>
      <w:r w:rsidR="00691965">
        <w:instrText xml:space="preserve"> </w:instrText>
      </w:r>
      <w:r w:rsidR="00691965" w:rsidRPr="000B7252">
        <w:instrText>6</w:instrText>
      </w:r>
      <w:r w:rsidR="00691965">
        <w:instrText>5</w:instrText>
      </w:r>
      <w:r w:rsidR="00691965" w:rsidRPr="000B7252">
        <w:instrText>‒</w:instrText>
      </w:r>
      <w:r w:rsidR="00691965">
        <w:instrText xml:space="preserve">75" </w:instrText>
      </w:r>
      <w:r w:rsidR="00691965">
        <w:fldChar w:fldCharType="end"/>
      </w:r>
      <w:r w:rsidR="00CC049C">
        <w:t>). Kil</w:t>
      </w:r>
      <w:r w:rsidR="00037AF2">
        <w:t xml:space="preserve">wardby přesně ví, jaká je originální pozice Aristotela a </w:t>
      </w:r>
      <w:r w:rsidR="002E3B62">
        <w:t>Averroes</w:t>
      </w:r>
      <w:r w:rsidR="00037AF2">
        <w:t>e ohledně matematicky pojaté abstrakce a fyzikálně dané rozsažn</w:t>
      </w:r>
      <w:r w:rsidR="00B5697E">
        <w:t xml:space="preserve">osti těles a správně ji shrne </w:t>
      </w:r>
      <w:r w:rsidR="00037AF2">
        <w:t>(</w:t>
      </w:r>
      <w:r w:rsidR="00B5697E">
        <w:rPr>
          <w:i/>
        </w:rPr>
        <w:t>h</w:t>
      </w:r>
      <w:r w:rsidR="00B5697E" w:rsidRPr="00BC4A30">
        <w:rPr>
          <w:i/>
        </w:rPr>
        <w:t>oc videtur esse sententia Aristotelis et Averrois</w:t>
      </w:r>
      <w:r w:rsidR="00037AF2">
        <w:t>, p. 65.32</w:t>
      </w:r>
      <w:r w:rsidR="00691965">
        <w:fldChar w:fldCharType="begin"/>
      </w:r>
      <w:r w:rsidR="00691965">
        <w:instrText xml:space="preserve"> XE "Kilwardby:</w:instrText>
      </w:r>
      <w:r w:rsidR="00691965" w:rsidRPr="000B7252">
        <w:rPr>
          <w:i/>
        </w:rPr>
        <w:instrText>De ortu scientiarum</w:instrText>
      </w:r>
      <w:r w:rsidR="00691965">
        <w:instrText xml:space="preserve"> 65</w:instrText>
      </w:r>
      <w:r w:rsidR="00691965" w:rsidRPr="000B7252">
        <w:instrText>.</w:instrText>
      </w:r>
      <w:r w:rsidR="00691965">
        <w:instrText xml:space="preserve">32" </w:instrText>
      </w:r>
      <w:r w:rsidR="00691965">
        <w:fldChar w:fldCharType="end"/>
      </w:r>
      <w:r w:rsidR="00037AF2">
        <w:t>)</w:t>
      </w:r>
      <w:r w:rsidR="00B5697E">
        <w:t>.</w:t>
      </w:r>
      <w:r w:rsidR="00037AF2">
        <w:t xml:space="preserve"> Ale pak celou argumentaci napadne jménem </w:t>
      </w:r>
      <w:r w:rsidR="005C1918">
        <w:t xml:space="preserve">oxfordské </w:t>
      </w:r>
      <w:r w:rsidR="00037AF2">
        <w:t xml:space="preserve">moderny. </w:t>
      </w:r>
      <w:r w:rsidR="00166FD7" w:rsidRPr="00273106">
        <w:t xml:space="preserve">Zástupce druhého averroismu pláče na nepravém hrobě a </w:t>
      </w:r>
      <w:r w:rsidR="00F37BA3">
        <w:t xml:space="preserve">sofisticky </w:t>
      </w:r>
      <w:r w:rsidR="00166FD7" w:rsidRPr="00273106">
        <w:t xml:space="preserve">kritizuje </w:t>
      </w:r>
      <w:r w:rsidR="000C3BD9">
        <w:t>averroistického</w:t>
      </w:r>
      <w:r w:rsidR="00166FD7" w:rsidRPr="00273106">
        <w:t xml:space="preserve"> </w:t>
      </w:r>
      <w:r w:rsidR="002E3B62">
        <w:t>Averroes</w:t>
      </w:r>
      <w:r w:rsidR="00166FD7" w:rsidRPr="00273106">
        <w:t>e</w:t>
      </w:r>
      <w:r w:rsidR="00B07893" w:rsidRPr="00273106">
        <w:t>, nikoliv jeho skutečnou filosofii</w:t>
      </w:r>
      <w:r w:rsidR="08DE2024">
        <w:t>.</w:t>
      </w:r>
    </w:p>
    <w:p w14:paraId="0D510F4C" w14:textId="77777777" w:rsidR="00684D7B" w:rsidRPr="080B0837" w:rsidRDefault="08DE2024" w:rsidP="00FE5792">
      <w:pPr>
        <w:rPr>
          <w:i/>
        </w:rPr>
      </w:pPr>
      <w:r>
        <w:tab/>
      </w:r>
      <w:r w:rsidR="00AD1AB8" w:rsidRPr="00273106">
        <w:t xml:space="preserve">Další sofistika se týká </w:t>
      </w:r>
      <w:r w:rsidR="00874074">
        <w:t>neoplatonsk</w:t>
      </w:r>
      <w:r w:rsidR="000C3BD9">
        <w:t xml:space="preserve">ého </w:t>
      </w:r>
      <w:r w:rsidR="00AD1AB8" w:rsidRPr="00273106">
        <w:rPr>
          <w:i/>
        </w:rPr>
        <w:t>resolutio</w:t>
      </w:r>
      <w:r w:rsidR="007D3515" w:rsidRPr="00A45AB0">
        <w:fldChar w:fldCharType="begin"/>
      </w:r>
      <w:r w:rsidR="007D3515" w:rsidRPr="00A45AB0">
        <w:instrText xml:space="preserve"> XE "</w:instrText>
      </w:r>
      <w:r w:rsidR="007D3515" w:rsidRPr="00274E9F">
        <w:rPr>
          <w:i/>
        </w:rPr>
        <w:instrText>resolutio</w:instrText>
      </w:r>
      <w:r w:rsidR="007D3515">
        <w:rPr>
          <w:i/>
        </w:rPr>
        <w:instrText>:</w:instrText>
      </w:r>
      <w:r w:rsidR="007D3515">
        <w:instrText>Kilwardby</w:instrText>
      </w:r>
      <w:r w:rsidR="007D3515" w:rsidRPr="00A45AB0">
        <w:instrText xml:space="preserve">" </w:instrText>
      </w:r>
      <w:r w:rsidR="007D3515" w:rsidRPr="00A45AB0">
        <w:fldChar w:fldCharType="end"/>
      </w:r>
      <w:r w:rsidR="00AD1AB8" w:rsidRPr="00273106">
        <w:t xml:space="preserve">, které </w:t>
      </w:r>
      <w:r w:rsidR="008538AA" w:rsidRPr="00273106">
        <w:t xml:space="preserve">Kilwardby vzal z </w:t>
      </w:r>
      <w:r w:rsidR="002E3B62">
        <w:t>Averroes</w:t>
      </w:r>
      <w:r w:rsidR="008538AA" w:rsidRPr="00273106">
        <w:t>ova</w:t>
      </w:r>
      <w:r w:rsidR="00AD1AB8" w:rsidRPr="00273106">
        <w:t xml:space="preserve"> </w:t>
      </w:r>
      <w:r w:rsidR="08485460">
        <w:t xml:space="preserve">komentáře </w:t>
      </w:r>
      <w:r w:rsidR="00AD1AB8" w:rsidRPr="000C3BD9">
        <w:rPr>
          <w:i/>
        </w:rPr>
        <w:t>Metafyziky</w:t>
      </w:r>
      <w:r w:rsidR="00AD1AB8" w:rsidRPr="00273106">
        <w:t xml:space="preserve"> a </w:t>
      </w:r>
      <w:r w:rsidR="008538AA" w:rsidRPr="00273106">
        <w:t xml:space="preserve">převedl </w:t>
      </w:r>
      <w:r w:rsidR="00AD1AB8" w:rsidRPr="00273106">
        <w:t xml:space="preserve">do </w:t>
      </w:r>
      <w:r w:rsidR="000C3BD9">
        <w:t xml:space="preserve">vlastního </w:t>
      </w:r>
      <w:r w:rsidR="00AD1AB8" w:rsidRPr="00273106">
        <w:t xml:space="preserve">výkladu. </w:t>
      </w:r>
      <w:r w:rsidR="000037C2" w:rsidRPr="00273106">
        <w:t>V</w:t>
      </w:r>
      <w:r w:rsidR="008538AA" w:rsidRPr="00273106">
        <w:t>zkříšení neoplatonismu v moderním averroismu</w:t>
      </w:r>
      <w:r w:rsidR="000037C2" w:rsidRPr="00273106">
        <w:t xml:space="preserve"> zakládá </w:t>
      </w:r>
      <w:r w:rsidR="08AD5AC4">
        <w:t xml:space="preserve">univoční a amfibolní </w:t>
      </w:r>
      <w:r w:rsidR="000037C2" w:rsidRPr="00273106">
        <w:t>jednotu</w:t>
      </w:r>
      <w:r w:rsidR="005F53E8" w:rsidRPr="00273106">
        <w:t xml:space="preserve"> jsoucna a </w:t>
      </w:r>
      <w:r w:rsidR="08AD5AC4">
        <w:t xml:space="preserve">tím i </w:t>
      </w:r>
      <w:r w:rsidR="000037C2" w:rsidRPr="00273106">
        <w:t xml:space="preserve">univerzální celek </w:t>
      </w:r>
      <w:r w:rsidR="005F53E8" w:rsidRPr="00273106">
        <w:t>věd</w:t>
      </w:r>
      <w:r w:rsidR="08AD5AC4">
        <w:t xml:space="preserve"> v modu jedné pravdy</w:t>
      </w:r>
      <w:r w:rsidR="080B0837">
        <w:fldChar w:fldCharType="begin"/>
      </w:r>
      <w:r w:rsidR="080B0837">
        <w:instrText xml:space="preserve"> XE "</w:instrText>
      </w:r>
      <w:r w:rsidR="080B0837" w:rsidRPr="00E9472B">
        <w:instrText>objektivita:moderní vědy</w:instrText>
      </w:r>
      <w:r w:rsidR="080B0837">
        <w:instrText xml:space="preserve">" </w:instrText>
      </w:r>
      <w:r w:rsidR="080B0837">
        <w:fldChar w:fldCharType="end"/>
      </w:r>
      <w:r w:rsidR="08AD5AC4">
        <w:t xml:space="preserve">. Tato sofistika </w:t>
      </w:r>
      <w:r w:rsidR="085D1C40">
        <w:t xml:space="preserve">destruující klasický výklad </w:t>
      </w:r>
      <w:r w:rsidR="085D1C40" w:rsidRPr="085D1C40">
        <w:rPr>
          <w:i/>
        </w:rPr>
        <w:t>Druhých analytik</w:t>
      </w:r>
      <w:r w:rsidR="085D1C40">
        <w:t xml:space="preserve"> </w:t>
      </w:r>
      <w:r w:rsidR="08AD5AC4">
        <w:t xml:space="preserve">se opět děje </w:t>
      </w:r>
      <w:r w:rsidR="000037C2" w:rsidRPr="00273106">
        <w:t xml:space="preserve">s </w:t>
      </w:r>
      <w:r w:rsidR="005F53E8" w:rsidRPr="00273106">
        <w:t xml:space="preserve">výslovným odvoláním na </w:t>
      </w:r>
      <w:r w:rsidR="002E3B62">
        <w:t>Averroes</w:t>
      </w:r>
      <w:r w:rsidR="005F53E8" w:rsidRPr="00273106">
        <w:t xml:space="preserve">e. </w:t>
      </w:r>
      <w:r w:rsidR="00251D75">
        <w:t xml:space="preserve">Kilwardby </w:t>
      </w:r>
      <w:r w:rsidR="00AB0BE1" w:rsidRPr="00273106">
        <w:t>našel novou univoci</w:t>
      </w:r>
      <w:r w:rsidR="000D4904" w:rsidRPr="00273106">
        <w:t>tu jsoucna v pojetí dobra, které</w:t>
      </w:r>
      <w:r w:rsidR="00AB0BE1" w:rsidRPr="00273106">
        <w:t xml:space="preserve"> vzal v modu porretán</w:t>
      </w:r>
      <w:r w:rsidR="000D4904" w:rsidRPr="00273106">
        <w:t>s</w:t>
      </w:r>
      <w:r w:rsidR="00AB0BE1" w:rsidRPr="00273106">
        <w:t xml:space="preserve">ké hypostáze a začal </w:t>
      </w:r>
      <w:r w:rsidR="000D4904" w:rsidRPr="00273106">
        <w:t xml:space="preserve">toto hypostázované dobro </w:t>
      </w:r>
      <w:r w:rsidR="00AB0BE1" w:rsidRPr="00273106">
        <w:t>predikovat transcendentálně</w:t>
      </w:r>
      <w:r w:rsidR="000C3BD9">
        <w:t xml:space="preserve"> podle školy Filipa Kancléře</w:t>
      </w:r>
      <w:r w:rsidR="00AB0BE1" w:rsidRPr="00273106">
        <w:t xml:space="preserve">. </w:t>
      </w:r>
      <w:r w:rsidR="005F53E8" w:rsidRPr="00273106">
        <w:t>Jednota věd je dedukována</w:t>
      </w:r>
      <w:r w:rsidR="00903CCD" w:rsidRPr="00273106">
        <w:t xml:space="preserve"> podle </w:t>
      </w:r>
      <w:r w:rsidR="00684D7B" w:rsidRPr="00273106">
        <w:t>avice</w:t>
      </w:r>
      <w:r w:rsidR="00903CCD" w:rsidRPr="00273106">
        <w:t>nnovské</w:t>
      </w:r>
      <w:r w:rsidR="00684D7B" w:rsidRPr="00273106">
        <w:t xml:space="preserve"> definic</w:t>
      </w:r>
      <w:r w:rsidR="00903CCD" w:rsidRPr="00273106">
        <w:t>e</w:t>
      </w:r>
      <w:r w:rsidR="00684D7B" w:rsidRPr="00273106">
        <w:t xml:space="preserve"> první vědy </w:t>
      </w:r>
      <w:r w:rsidR="00903CCD" w:rsidRPr="00273106">
        <w:t xml:space="preserve">dané </w:t>
      </w:r>
      <w:r w:rsidR="00684D7B" w:rsidRPr="00273106">
        <w:t xml:space="preserve">podle rostoucí míry abstrakce a pravdy jako </w:t>
      </w:r>
      <w:r w:rsidR="00684D7B" w:rsidRPr="00273106">
        <w:rPr>
          <w:i/>
        </w:rPr>
        <w:t>certitudo</w:t>
      </w:r>
      <w:r w:rsidR="00691965">
        <w:rPr>
          <w:i/>
        </w:rPr>
        <w:fldChar w:fldCharType="begin"/>
      </w:r>
      <w:r w:rsidR="00691965">
        <w:instrText xml:space="preserve"> XE "pravda:</w:instrText>
      </w:r>
      <w:r w:rsidR="00691965" w:rsidRPr="00A131A4">
        <w:rPr>
          <w:i/>
        </w:rPr>
        <w:instrText>certitudo</w:instrText>
      </w:r>
      <w:r w:rsidR="00691965">
        <w:instrText xml:space="preserve">" </w:instrText>
      </w:r>
      <w:r w:rsidR="00691965">
        <w:rPr>
          <w:i/>
        </w:rPr>
        <w:fldChar w:fldCharType="end"/>
      </w:r>
      <w:r w:rsidR="00292218" w:rsidRPr="00273106">
        <w:t xml:space="preserve">. Stejnou architekturu poznání </w:t>
      </w:r>
      <w:r w:rsidR="00684D7B" w:rsidRPr="00273106">
        <w:t xml:space="preserve">má </w:t>
      </w:r>
      <w:r w:rsidR="00874074">
        <w:t>neoplatonsk</w:t>
      </w:r>
      <w:r w:rsidR="00292218" w:rsidRPr="00273106">
        <w:t xml:space="preserve">á </w:t>
      </w:r>
      <w:r w:rsidR="00292218" w:rsidRPr="00273106">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292218" w:rsidRPr="00273106">
        <w:t xml:space="preserve">, pak </w:t>
      </w:r>
      <w:r w:rsidR="00684D7B" w:rsidRPr="00273106">
        <w:t>Gross</w:t>
      </w:r>
      <w:r w:rsidR="00A1418B" w:rsidRPr="00273106">
        <w:t>e</w:t>
      </w:r>
      <w:r w:rsidR="00684D7B" w:rsidRPr="00273106">
        <w:t>teste</w:t>
      </w:r>
      <w:r w:rsidR="00292218" w:rsidRPr="00273106">
        <w:t xml:space="preserve"> a </w:t>
      </w:r>
      <w:r w:rsidR="00684D7B" w:rsidRPr="00273106">
        <w:t>Rufus.</w:t>
      </w:r>
      <w:r w:rsidR="00A90C66" w:rsidRPr="00273106">
        <w:t xml:space="preserve"> Sofistika </w:t>
      </w:r>
      <w:r w:rsidR="006C7225">
        <w:t xml:space="preserve">modernistů </w:t>
      </w:r>
      <w:r w:rsidR="00A90C66" w:rsidRPr="00273106">
        <w:t xml:space="preserve">spojila </w:t>
      </w:r>
      <w:r w:rsidR="002E3B62">
        <w:t>Averroes</w:t>
      </w:r>
      <w:r w:rsidR="00A90C66" w:rsidRPr="00273106">
        <w:t>e s Avi</w:t>
      </w:r>
      <w:r w:rsidR="002B5E08" w:rsidRPr="00273106">
        <w:t>cennou</w:t>
      </w:r>
      <w:r w:rsidR="00BD14BF">
        <w:t xml:space="preserve"> skrze finální kauzalitu</w:t>
      </w:r>
      <w:r w:rsidR="002B5E08" w:rsidRPr="00273106">
        <w:t xml:space="preserve"> </w:t>
      </w:r>
      <w:r w:rsidR="08130B22">
        <w:t xml:space="preserve">dobra místo reality první substance, </w:t>
      </w:r>
      <w:r w:rsidR="002B5E08" w:rsidRPr="00273106">
        <w:t xml:space="preserve">a </w:t>
      </w:r>
      <w:r w:rsidR="00F200FD">
        <w:t xml:space="preserve">tím </w:t>
      </w:r>
      <w:r w:rsidR="002B5E08" w:rsidRPr="00273106">
        <w:t>založila moderní jednotu věd</w:t>
      </w:r>
      <w:r w:rsidR="080B0837">
        <w:t xml:space="preserve"> v analytickém modu </w:t>
      </w:r>
      <w:r w:rsidR="080B0837" w:rsidRPr="080B0837">
        <w:rPr>
          <w:i/>
        </w:rPr>
        <w:t>Unified Science</w:t>
      </w:r>
      <w:r w:rsidR="080B0837">
        <w:rPr>
          <w:i/>
        </w:rPr>
        <w:fldChar w:fldCharType="begin"/>
      </w:r>
      <w:r w:rsidR="080B0837">
        <w:instrText xml:space="preserve"> XE "</w:instrText>
      </w:r>
      <w:r w:rsidR="080B0837" w:rsidRPr="08325B75">
        <w:rPr>
          <w:i/>
        </w:rPr>
        <w:instrText>Unified Science</w:instrText>
      </w:r>
      <w:r w:rsidR="080B0837">
        <w:instrText xml:space="preserve">" </w:instrText>
      </w:r>
      <w:r w:rsidR="080B0837">
        <w:rPr>
          <w:i/>
        </w:rPr>
        <w:fldChar w:fldCharType="end"/>
      </w:r>
      <w:r w:rsidR="002B5E08" w:rsidRPr="00273106">
        <w:t>.</w:t>
      </w:r>
    </w:p>
    <w:p w14:paraId="79C47D1F" w14:textId="2A842A82" w:rsidR="00A1418B" w:rsidRPr="002B771A" w:rsidRDefault="00684D7B" w:rsidP="002B771A">
      <w:pPr>
        <w:pStyle w:val="Citace"/>
      </w:pPr>
      <w:r w:rsidRPr="002B771A">
        <w:rPr>
          <w:rStyle w:val="Zkladntext31dkovn0pt"/>
          <w:rFonts w:ascii="Calibri" w:eastAsia="Times" w:hAnsi="Calibri" w:cs="Times New Roman"/>
          <w:spacing w:val="0"/>
          <w:sz w:val="22"/>
        </w:rPr>
        <w:t>„</w:t>
      </w:r>
      <w:r w:rsidR="002E3B62">
        <w:rPr>
          <w:rStyle w:val="Zkladntext31dkovn0pt"/>
          <w:rFonts w:ascii="Calibri" w:eastAsia="Times" w:hAnsi="Calibri" w:cs="Times New Roman"/>
          <w:spacing w:val="0"/>
          <w:sz w:val="22"/>
        </w:rPr>
        <w:t>Averroes</w:t>
      </w:r>
      <w:r w:rsidR="00AB0BE1" w:rsidRPr="002B771A">
        <w:rPr>
          <w:rStyle w:val="Zkladntext31dkovn0pt"/>
          <w:rFonts w:ascii="Calibri" w:eastAsia="Times" w:hAnsi="Calibri" w:cs="Times New Roman"/>
          <w:spacing w:val="0"/>
          <w:sz w:val="22"/>
        </w:rPr>
        <w:t xml:space="preserve"> ve III. knize </w:t>
      </w:r>
      <w:r w:rsidR="00AB0BE1" w:rsidRPr="00F07F21">
        <w:rPr>
          <w:rStyle w:val="Zkladntext31dkovn0pt"/>
          <w:rFonts w:ascii="Calibri" w:eastAsia="Times" w:hAnsi="Calibri" w:cs="Times New Roman"/>
          <w:i/>
          <w:spacing w:val="0"/>
          <w:sz w:val="22"/>
        </w:rPr>
        <w:t>Metafyziky</w:t>
      </w:r>
      <w:r w:rsidR="00AB0BE1" w:rsidRPr="002B771A">
        <w:rPr>
          <w:rStyle w:val="Zkladntext31dkovn0pt"/>
          <w:rFonts w:ascii="Calibri" w:eastAsia="Times" w:hAnsi="Calibri" w:cs="Times New Roman"/>
          <w:spacing w:val="0"/>
          <w:sz w:val="22"/>
        </w:rPr>
        <w:t xml:space="preserve"> </w:t>
      </w:r>
      <w:r w:rsidR="08130B22" w:rsidRPr="00AD1AB8">
        <w:t>[</w:t>
      </w:r>
      <w:r w:rsidR="004A4A6F">
        <w:rPr>
          <w:lang w:val="cs-CZ"/>
        </w:rPr>
        <w:t xml:space="preserve">viz </w:t>
      </w:r>
      <w:r w:rsidR="08130B22" w:rsidRPr="004A4A6F">
        <w:rPr>
          <w:i/>
          <w:szCs w:val="18"/>
        </w:rPr>
        <w:t xml:space="preserve">In Metaph. </w:t>
      </w:r>
      <w:r w:rsidR="08130B22" w:rsidRPr="004A4A6F">
        <w:rPr>
          <w:i/>
          <w:szCs w:val="18"/>
          <w:lang w:val="cs-CZ"/>
        </w:rPr>
        <w:t>III.</w:t>
      </w:r>
      <w:r w:rsidR="00DD5A29">
        <w:rPr>
          <w:i/>
          <w:szCs w:val="18"/>
        </w:rPr>
        <w:t>2, text 3</w:t>
      </w:r>
      <w:r w:rsidR="00DD5A29">
        <w:rPr>
          <w:i/>
          <w:szCs w:val="18"/>
          <w:lang w:val="cs-CZ"/>
        </w:rPr>
        <w:t xml:space="preserve"> </w:t>
      </w:r>
      <w:r w:rsidR="00DD5A29" w:rsidRPr="000953D1">
        <w:rPr>
          <w:szCs w:val="18"/>
          <w:lang w:val="cs-CZ"/>
        </w:rPr>
        <w:t>(</w:t>
      </w:r>
      <w:r w:rsidR="08130B22" w:rsidRPr="000953D1">
        <w:rPr>
          <w:szCs w:val="18"/>
        </w:rPr>
        <w:t>Ven</w:t>
      </w:r>
      <w:r w:rsidR="08130B22" w:rsidRPr="000953D1">
        <w:rPr>
          <w:szCs w:val="18"/>
          <w:lang w:val="cs-CZ"/>
        </w:rPr>
        <w:t>etii 1</w:t>
      </w:r>
      <w:r w:rsidR="08130B22" w:rsidRPr="000953D1">
        <w:rPr>
          <w:szCs w:val="18"/>
        </w:rPr>
        <w:t>574, fol. 41D</w:t>
      </w:r>
      <w:r w:rsidR="00DD5A29" w:rsidRPr="000953D1">
        <w:rPr>
          <w:szCs w:val="18"/>
          <w:lang w:val="cs-CZ"/>
        </w:rPr>
        <w:t>)</w:t>
      </w:r>
      <w:r w:rsidR="08130B22" w:rsidRPr="004A4A6F">
        <w:rPr>
          <w:i/>
          <w:szCs w:val="18"/>
        </w:rPr>
        <w:fldChar w:fldCharType="begin"/>
      </w:r>
      <w:r w:rsidR="08130B22" w:rsidRPr="004A4A6F">
        <w:rPr>
          <w:i/>
        </w:rPr>
        <w:instrText xml:space="preserve"> XE "</w:instrText>
      </w:r>
      <w:r w:rsidR="08130B22" w:rsidRPr="004A4A6F">
        <w:rPr>
          <w:i/>
          <w:lang w:val="cs-CZ"/>
        </w:rPr>
        <w:instrText>Averroes:</w:instrText>
      </w:r>
      <w:r w:rsidR="08130B22" w:rsidRPr="004A4A6F">
        <w:rPr>
          <w:i/>
          <w:szCs w:val="18"/>
        </w:rPr>
        <w:instrText>In Metaph. 41D</w:instrText>
      </w:r>
      <w:r w:rsidR="08130B22" w:rsidRPr="004A4A6F">
        <w:rPr>
          <w:i/>
        </w:rPr>
        <w:instrText xml:space="preserve">" </w:instrText>
      </w:r>
      <w:r w:rsidR="08130B22" w:rsidRPr="004A4A6F">
        <w:rPr>
          <w:i/>
          <w:szCs w:val="18"/>
        </w:rPr>
        <w:fldChar w:fldCharType="end"/>
      </w:r>
      <w:r w:rsidR="08130B22" w:rsidRPr="004A4A6F">
        <w:rPr>
          <w:i/>
          <w:szCs w:val="18"/>
          <w:lang w:val="cs-CZ"/>
        </w:rPr>
        <w:t xml:space="preserve">; </w:t>
      </w:r>
      <w:r w:rsidR="08130B22" w:rsidRPr="004A4A6F">
        <w:rPr>
          <w:i/>
          <w:szCs w:val="18"/>
        </w:rPr>
        <w:t xml:space="preserve">ad </w:t>
      </w:r>
      <w:r w:rsidR="08130B22" w:rsidRPr="004A4A6F">
        <w:rPr>
          <w:i/>
          <w:szCs w:val="18"/>
          <w:lang w:val="cs-CZ"/>
        </w:rPr>
        <w:t xml:space="preserve">Met. </w:t>
      </w:r>
      <w:r w:rsidR="08130B22" w:rsidRPr="004A4A6F">
        <w:rPr>
          <w:i/>
          <w:szCs w:val="18"/>
        </w:rPr>
        <w:t>996a28</w:t>
      </w:r>
      <w:r w:rsidR="08130B22">
        <w:rPr>
          <w:szCs w:val="18"/>
        </w:rPr>
        <w:fldChar w:fldCharType="begin"/>
      </w:r>
      <w:r w:rsidR="08130B22">
        <w:instrText xml:space="preserve"> XE "</w:instrText>
      </w:r>
      <w:r w:rsidR="08130B22">
        <w:rPr>
          <w:lang w:val="cs-CZ"/>
        </w:rPr>
        <w:instrText>Aristoteles:</w:instrText>
      </w:r>
      <w:r w:rsidR="08130B22" w:rsidRPr="00BF2D40">
        <w:rPr>
          <w:i/>
          <w:szCs w:val="18"/>
          <w:lang w:val="cs-CZ"/>
        </w:rPr>
        <w:instrText>Met</w:instrText>
      </w:r>
      <w:r w:rsidR="08130B22" w:rsidRPr="00BF2D40">
        <w:rPr>
          <w:szCs w:val="18"/>
          <w:lang w:val="cs-CZ"/>
        </w:rPr>
        <w:instrText xml:space="preserve">. </w:instrText>
      </w:r>
      <w:r w:rsidR="08130B22" w:rsidRPr="00BF2D40">
        <w:rPr>
          <w:szCs w:val="18"/>
        </w:rPr>
        <w:instrText>996a28</w:instrText>
      </w:r>
      <w:r w:rsidR="08130B22">
        <w:instrText xml:space="preserve">" </w:instrText>
      </w:r>
      <w:r w:rsidR="08130B22">
        <w:rPr>
          <w:szCs w:val="18"/>
        </w:rPr>
        <w:fldChar w:fldCharType="end"/>
      </w:r>
      <w:r w:rsidR="08130B22" w:rsidRPr="00AD1AB8">
        <w:t xml:space="preserve">] </w:t>
      </w:r>
      <w:r w:rsidR="00AB0BE1" w:rsidRPr="002B771A">
        <w:rPr>
          <w:rStyle w:val="Zkladntext31dkovn0pt"/>
          <w:rFonts w:ascii="Calibri" w:eastAsia="Times" w:hAnsi="Calibri" w:cs="Times New Roman"/>
          <w:spacing w:val="0"/>
          <w:sz w:val="22"/>
        </w:rPr>
        <w:t xml:space="preserve">praví, že 'vše, co je determinováno skrze </w:t>
      </w:r>
      <w:r w:rsidR="08D905ED">
        <w:rPr>
          <w:rStyle w:val="Zkladntext31dkovn0pt"/>
          <w:rFonts w:ascii="Calibri" w:eastAsia="Times" w:hAnsi="Calibri" w:cs="Times New Roman"/>
          <w:spacing w:val="0"/>
          <w:sz w:val="22"/>
        </w:rPr>
        <w:t xml:space="preserve">dobro, je finální kauza'.  </w:t>
      </w:r>
      <w:r w:rsidR="08D905ED">
        <w:rPr>
          <w:rStyle w:val="Zkladntext31dkovn0pt"/>
          <w:rFonts w:ascii="Calibri" w:eastAsia="Times" w:hAnsi="Calibri" w:cs="Times New Roman"/>
          <w:spacing w:val="0"/>
          <w:sz w:val="22"/>
          <w:lang w:val="cs-CZ"/>
        </w:rPr>
        <w:t>C</w:t>
      </w:r>
      <w:r w:rsidR="00AB0BE1" w:rsidRPr="002B771A">
        <w:rPr>
          <w:rStyle w:val="Zkladntext31dkovn0pt"/>
          <w:rFonts w:ascii="Calibri" w:eastAsia="Times" w:hAnsi="Calibri" w:cs="Times New Roman"/>
          <w:spacing w:val="0"/>
          <w:sz w:val="22"/>
        </w:rPr>
        <w:t>elkový řád vědě</w:t>
      </w:r>
      <w:r w:rsidR="00BE02C7" w:rsidRPr="002B771A">
        <w:rPr>
          <w:rStyle w:val="Zkladntext31dkovn0pt"/>
          <w:rFonts w:ascii="Calibri" w:eastAsia="Times" w:hAnsi="Calibri" w:cs="Times New Roman"/>
          <w:spacing w:val="0"/>
          <w:sz w:val="22"/>
        </w:rPr>
        <w:t xml:space="preserve">ní daný skrze </w:t>
      </w:r>
      <w:r w:rsidR="00B74EFA" w:rsidRPr="002B771A">
        <w:rPr>
          <w:rStyle w:val="Zkladntext31dkovn0pt"/>
          <w:rFonts w:ascii="Calibri" w:eastAsia="Times" w:hAnsi="Calibri" w:cs="Times New Roman"/>
          <w:spacing w:val="0"/>
          <w:sz w:val="22"/>
        </w:rPr>
        <w:t xml:space="preserve">tuto </w:t>
      </w:r>
      <w:r w:rsidR="08D905ED">
        <w:rPr>
          <w:rStyle w:val="Zkladntext31dkovn0pt"/>
          <w:rFonts w:ascii="Calibri" w:eastAsia="Times" w:hAnsi="Calibri" w:cs="Times New Roman"/>
          <w:spacing w:val="0"/>
          <w:sz w:val="22"/>
        </w:rPr>
        <w:t xml:space="preserve">finalitu </w:t>
      </w:r>
      <w:r w:rsidR="08D905ED">
        <w:rPr>
          <w:rStyle w:val="Zkladntext31dkovn0pt"/>
          <w:rFonts w:ascii="Calibri" w:eastAsia="Times" w:hAnsi="Calibri" w:cs="Times New Roman"/>
          <w:spacing w:val="0"/>
          <w:sz w:val="22"/>
          <w:lang w:val="cs-CZ"/>
        </w:rPr>
        <w:t>se pak</w:t>
      </w:r>
      <w:r w:rsidR="00BE02C7" w:rsidRPr="002B771A">
        <w:rPr>
          <w:rStyle w:val="Zkladntext31dkovn0pt"/>
          <w:rFonts w:ascii="Calibri" w:eastAsia="Times" w:hAnsi="Calibri" w:cs="Times New Roman"/>
          <w:spacing w:val="0"/>
          <w:sz w:val="22"/>
        </w:rPr>
        <w:t xml:space="preserve"> vzta</w:t>
      </w:r>
      <w:r w:rsidR="08D905ED">
        <w:rPr>
          <w:rStyle w:val="Zkladntext31dkovn0pt"/>
          <w:rFonts w:ascii="Calibri" w:eastAsia="Times" w:hAnsi="Calibri" w:cs="Times New Roman"/>
          <w:spacing w:val="0"/>
          <w:sz w:val="22"/>
          <w:lang w:val="cs-CZ"/>
        </w:rPr>
        <w:t xml:space="preserve">huje </w:t>
      </w:r>
      <w:r w:rsidR="00BE02C7" w:rsidRPr="002B771A">
        <w:rPr>
          <w:rStyle w:val="Zkladntext31dkovn0pt"/>
          <w:rFonts w:ascii="Calibri" w:eastAsia="Times" w:hAnsi="Calibri" w:cs="Times New Roman"/>
          <w:spacing w:val="0"/>
          <w:sz w:val="22"/>
        </w:rPr>
        <w:t xml:space="preserve">k dobru konečných jsoucen. </w:t>
      </w:r>
      <w:r w:rsidR="00A1418B" w:rsidRPr="002B771A">
        <w:rPr>
          <w:rStyle w:val="Zkladntext31dkovn0pt"/>
          <w:rFonts w:ascii="Calibri" w:eastAsia="Times" w:hAnsi="Calibri" w:cs="Times New Roman"/>
          <w:spacing w:val="0"/>
          <w:sz w:val="22"/>
        </w:rPr>
        <w:t>V oboru teoretických věd je nazíra</w:t>
      </w:r>
      <w:r w:rsidR="00F07F21">
        <w:rPr>
          <w:rStyle w:val="Zkladntext31dkovn0pt"/>
          <w:rFonts w:ascii="Calibri" w:eastAsia="Times" w:hAnsi="Calibri" w:cs="Times New Roman"/>
          <w:spacing w:val="0"/>
          <w:sz w:val="22"/>
        </w:rPr>
        <w:t>ná pravda o to vyšší, oč je sam</w:t>
      </w:r>
      <w:r w:rsidR="00F07F21">
        <w:rPr>
          <w:rStyle w:val="Zkladntext31dkovn0pt"/>
          <w:rFonts w:ascii="Calibri" w:eastAsia="Times" w:hAnsi="Calibri" w:cs="Times New Roman"/>
          <w:spacing w:val="0"/>
          <w:sz w:val="22"/>
          <w:lang w:val="cs-CZ"/>
        </w:rPr>
        <w:t>a</w:t>
      </w:r>
      <w:r w:rsidR="00A1418B" w:rsidRPr="002B771A">
        <w:rPr>
          <w:rStyle w:val="Zkladntext31dkovn0pt"/>
          <w:rFonts w:ascii="Calibri" w:eastAsia="Times" w:hAnsi="Calibri" w:cs="Times New Roman"/>
          <w:spacing w:val="0"/>
          <w:sz w:val="22"/>
        </w:rPr>
        <w:t xml:space="preserve"> jistější a oč je dána o jistějších věcech. Pravda je jistější a o jistějším předmětu, pokud je jistá vzhledem </w:t>
      </w:r>
      <w:r w:rsidR="00F07F21">
        <w:rPr>
          <w:rStyle w:val="Zkladntext31dkovn0pt"/>
          <w:rFonts w:ascii="Calibri" w:eastAsia="Times" w:hAnsi="Calibri" w:cs="Times New Roman"/>
          <w:spacing w:val="0"/>
          <w:sz w:val="22"/>
          <w:lang w:val="cs-CZ"/>
        </w:rPr>
        <w:t xml:space="preserve">k </w:t>
      </w:r>
      <w:r w:rsidR="00A1418B" w:rsidRPr="002B771A">
        <w:rPr>
          <w:rStyle w:val="Zkladntext31dkovn0pt"/>
          <w:rFonts w:ascii="Calibri" w:eastAsia="Times" w:hAnsi="Calibri" w:cs="Times New Roman"/>
          <w:spacing w:val="0"/>
          <w:sz w:val="22"/>
        </w:rPr>
        <w:t xml:space="preserve">tomu, co je jednodušší, primárnější a abstraktnější. </w:t>
      </w:r>
      <w:r w:rsidR="00DF769E" w:rsidRPr="002B771A">
        <w:rPr>
          <w:rStyle w:val="Zkladntext31dkovn0pt"/>
          <w:rFonts w:ascii="Calibri" w:eastAsia="Times" w:hAnsi="Calibri" w:cs="Times New Roman"/>
          <w:spacing w:val="0"/>
          <w:sz w:val="22"/>
        </w:rPr>
        <w:t xml:space="preserve">Proto </w:t>
      </w:r>
      <w:r w:rsidR="00A1418B" w:rsidRPr="002B771A">
        <w:rPr>
          <w:rStyle w:val="Zkladntext31dkovn0pt"/>
          <w:rFonts w:ascii="Calibri" w:eastAsia="Times" w:hAnsi="Calibri" w:cs="Times New Roman"/>
          <w:spacing w:val="0"/>
          <w:sz w:val="22"/>
        </w:rPr>
        <w:t>spekulativní vě</w:t>
      </w:r>
      <w:r w:rsidR="003C5702">
        <w:rPr>
          <w:rStyle w:val="Zkladntext31dkovn0pt"/>
          <w:rFonts w:ascii="Calibri" w:eastAsia="Times" w:hAnsi="Calibri" w:cs="Times New Roman"/>
          <w:spacing w:val="0"/>
          <w:sz w:val="22"/>
        </w:rPr>
        <w:t xml:space="preserve">dy v řádu konečných cílů </w:t>
      </w:r>
      <w:r w:rsidR="003C5702">
        <w:rPr>
          <w:rStyle w:val="Zkladntext31dkovn0pt"/>
          <w:rFonts w:ascii="Calibri" w:eastAsia="Times" w:hAnsi="Calibri" w:cs="Times New Roman"/>
          <w:spacing w:val="0"/>
          <w:sz w:val="22"/>
          <w:lang w:val="cs-CZ"/>
        </w:rPr>
        <w:t xml:space="preserve">sledují právě </w:t>
      </w:r>
      <w:r w:rsidR="003C5702">
        <w:rPr>
          <w:rStyle w:val="Zkladntext31dkovn0pt"/>
          <w:rFonts w:ascii="Calibri" w:eastAsia="Times" w:hAnsi="Calibri" w:cs="Times New Roman"/>
          <w:spacing w:val="0"/>
          <w:sz w:val="22"/>
        </w:rPr>
        <w:t>t</w:t>
      </w:r>
      <w:r w:rsidR="003C5702">
        <w:rPr>
          <w:rStyle w:val="Zkladntext31dkovn0pt"/>
          <w:rFonts w:ascii="Calibri" w:eastAsia="Times" w:hAnsi="Calibri" w:cs="Times New Roman"/>
          <w:spacing w:val="0"/>
          <w:sz w:val="22"/>
          <w:lang w:val="cs-CZ"/>
        </w:rPr>
        <w:t xml:space="preserve">ento </w:t>
      </w:r>
      <w:r w:rsidR="003C5702">
        <w:rPr>
          <w:rStyle w:val="Zkladntext31dkovn0pt"/>
          <w:rFonts w:ascii="Calibri" w:eastAsia="Times" w:hAnsi="Calibri" w:cs="Times New Roman"/>
          <w:spacing w:val="0"/>
          <w:sz w:val="22"/>
        </w:rPr>
        <w:t>řád</w:t>
      </w:r>
      <w:r w:rsidR="00A1418B" w:rsidRPr="002B771A">
        <w:rPr>
          <w:rStyle w:val="Zkladntext31dkovn0pt"/>
          <w:rFonts w:ascii="Calibri" w:eastAsia="Times" w:hAnsi="Calibri" w:cs="Times New Roman"/>
          <w:spacing w:val="0"/>
          <w:sz w:val="22"/>
        </w:rPr>
        <w:t xml:space="preserve"> </w:t>
      </w:r>
      <w:r w:rsidR="00DF769E" w:rsidRPr="002B771A">
        <w:rPr>
          <w:rStyle w:val="Zkladntext31dkovn0pt"/>
          <w:rFonts w:ascii="Calibri" w:eastAsia="Times" w:hAnsi="Calibri" w:cs="Times New Roman"/>
          <w:spacing w:val="0"/>
          <w:sz w:val="22"/>
        </w:rPr>
        <w:t>bytí</w:t>
      </w:r>
      <w:r w:rsidR="00A1418B" w:rsidRPr="002B771A">
        <w:rPr>
          <w:rStyle w:val="Zkladntext31dkovn0pt"/>
          <w:rFonts w:ascii="Calibri" w:eastAsia="Times" w:hAnsi="Calibri" w:cs="Times New Roman"/>
          <w:spacing w:val="0"/>
          <w:sz w:val="22"/>
        </w:rPr>
        <w:t xml:space="preserve">, jak bylo řečeno výše.“ </w:t>
      </w:r>
      <w:r w:rsidR="00A1418B" w:rsidRPr="002B771A">
        <w:rPr>
          <w:rStyle w:val="Znakapoznpodarou"/>
        </w:rPr>
        <w:footnoteReference w:id="498"/>
      </w:r>
    </w:p>
    <w:p w14:paraId="0200F60B" w14:textId="0F44F9B4" w:rsidR="009B4486" w:rsidRPr="00273106" w:rsidRDefault="00B87D02" w:rsidP="009B4486">
      <w:r w:rsidRPr="00273106">
        <w:t xml:space="preserve">Avicennova finalita daná v rámci </w:t>
      </w:r>
      <w:r w:rsidRPr="00273106">
        <w:rPr>
          <w:i/>
        </w:rPr>
        <w:t>processio</w:t>
      </w:r>
      <w:r w:rsidRPr="00273106">
        <w:t xml:space="preserve"> </w:t>
      </w:r>
      <w:r w:rsidR="00874074">
        <w:t>neoplatonsk</w:t>
      </w:r>
      <w:r w:rsidRPr="00273106">
        <w:t xml:space="preserve">ých forem z díla </w:t>
      </w:r>
      <w:r w:rsidRPr="00273106">
        <w:rPr>
          <w:i/>
        </w:rPr>
        <w:t>Liber de causis</w:t>
      </w:r>
      <w:r w:rsidR="00274A40">
        <w:rPr>
          <w:i/>
        </w:rPr>
        <w:fldChar w:fldCharType="begin"/>
      </w:r>
      <w:r w:rsidR="00274A40">
        <w:instrText xml:space="preserve"> XE "</w:instrText>
      </w:r>
      <w:r w:rsidR="00274A40" w:rsidRPr="00C46BD8">
        <w:rPr>
          <w:i/>
        </w:rPr>
        <w:instrText>Liber de causis</w:instrText>
      </w:r>
      <w:r w:rsidR="00274A40">
        <w:instrText xml:space="preserve">" </w:instrText>
      </w:r>
      <w:r w:rsidR="00274A40">
        <w:rPr>
          <w:i/>
        </w:rPr>
        <w:fldChar w:fldCharType="end"/>
      </w:r>
      <w:r w:rsidR="005A0932" w:rsidRPr="00273106">
        <w:t xml:space="preserve"> je </w:t>
      </w:r>
      <w:r w:rsidR="00727102" w:rsidRPr="00273106">
        <w:t xml:space="preserve">podána </w:t>
      </w:r>
      <w:r w:rsidR="005A0932" w:rsidRPr="00273106">
        <w:t xml:space="preserve">jako </w:t>
      </w:r>
      <w:r w:rsidR="002E3B62">
        <w:t>Averroes</w:t>
      </w:r>
      <w:r w:rsidR="005A0932" w:rsidRPr="00273106">
        <w:t>ovo učení</w:t>
      </w:r>
      <w:r w:rsidRPr="00273106">
        <w:t xml:space="preserve">. </w:t>
      </w:r>
      <w:r w:rsidR="08751021" w:rsidRPr="00273106">
        <w:t>Jistota pravdy roste s mírou univerzalizace (</w:t>
      </w:r>
      <w:r w:rsidR="08751021" w:rsidRPr="00273106">
        <w:rPr>
          <w:i/>
        </w:rPr>
        <w:t>certa est de simpliciori et priori et abstractiori</w:t>
      </w:r>
      <w:r w:rsidR="08751021" w:rsidRPr="00273106">
        <w:t xml:space="preserve">). </w:t>
      </w:r>
      <w:r w:rsidR="005A0932" w:rsidRPr="00273106">
        <w:t xml:space="preserve">Pojetí adekvace nejde k reálné substanci jako u </w:t>
      </w:r>
      <w:r w:rsidR="002E3B62">
        <w:t>Averroes</w:t>
      </w:r>
      <w:r w:rsidR="005A0932" w:rsidRPr="00273106">
        <w:t xml:space="preserve">e, ale k nazírání čistých forem v modu </w:t>
      </w:r>
      <w:r w:rsidR="00E62A38" w:rsidRPr="00273106">
        <w:t xml:space="preserve">pravdy jako </w:t>
      </w:r>
      <w:r w:rsidR="00CD155A" w:rsidRPr="00273106">
        <w:t xml:space="preserve">avicennovské </w:t>
      </w:r>
      <w:r w:rsidR="005A0932" w:rsidRPr="00273106">
        <w:t>evidence</w:t>
      </w:r>
      <w:r w:rsidR="00433872">
        <w:fldChar w:fldCharType="begin"/>
      </w:r>
      <w:r w:rsidR="00433872">
        <w:instrText xml:space="preserve"> XE "</w:instrText>
      </w:r>
      <w:r w:rsidR="00433872" w:rsidRPr="004D79A7">
        <w:instrText>evidence:Avicenna</w:instrText>
      </w:r>
      <w:r w:rsidR="00433872">
        <w:instrText xml:space="preserve">" </w:instrText>
      </w:r>
      <w:r w:rsidR="00433872">
        <w:fldChar w:fldCharType="end"/>
      </w:r>
      <w:r w:rsidR="005A0932" w:rsidRPr="00273106">
        <w:t xml:space="preserve"> (</w:t>
      </w:r>
      <w:r w:rsidR="00E62A38" w:rsidRPr="00273106">
        <w:rPr>
          <w:i/>
        </w:rPr>
        <w:t>veritas</w:t>
      </w:r>
      <w:r w:rsidR="00E62A38" w:rsidRPr="00273106">
        <w:t>...</w:t>
      </w:r>
      <w:r w:rsidR="005A0932" w:rsidRPr="00273106">
        <w:rPr>
          <w:i/>
        </w:rPr>
        <w:t>certior est et de certiori</w:t>
      </w:r>
      <w:r w:rsidR="005A0932" w:rsidRPr="00273106">
        <w:t xml:space="preserve">). </w:t>
      </w:r>
      <w:r w:rsidR="008E7222" w:rsidRPr="00273106">
        <w:t>Citát</w:t>
      </w:r>
      <w:r w:rsidR="00AF053A" w:rsidRPr="00273106">
        <w:t xml:space="preserve"> potvrdil </w:t>
      </w:r>
      <w:r w:rsidR="00A5723B" w:rsidRPr="00273106">
        <w:t xml:space="preserve">vládu </w:t>
      </w:r>
      <w:r w:rsidR="004B3D53" w:rsidRPr="00273106">
        <w:t xml:space="preserve">moderního subjektu </w:t>
      </w:r>
      <w:r w:rsidR="00A5723B" w:rsidRPr="00273106">
        <w:t xml:space="preserve">nad realitou </w:t>
      </w:r>
      <w:r w:rsidR="004B3D53" w:rsidRPr="00273106">
        <w:t>tím, že po</w:t>
      </w:r>
      <w:r w:rsidR="00AF053A" w:rsidRPr="00273106">
        <w:t>stavil novou jednotu vědění danou v mo</w:t>
      </w:r>
      <w:r w:rsidR="004B3D53" w:rsidRPr="00273106">
        <w:t xml:space="preserve">du pravdy jako </w:t>
      </w:r>
      <w:r w:rsidR="000F4848">
        <w:t xml:space="preserve">Rufusovy </w:t>
      </w:r>
      <w:r w:rsidR="004B3D53" w:rsidRPr="00273106">
        <w:t>asimilace</w:t>
      </w:r>
      <w:r w:rsidR="087E0148">
        <w:t xml:space="preserve"> (kap. 3</w:t>
      </w:r>
      <w:r w:rsidR="000F4848">
        <w:t>.3.2)</w:t>
      </w:r>
      <w:r w:rsidR="004B3D53" w:rsidRPr="00273106">
        <w:t xml:space="preserve">. </w:t>
      </w:r>
      <w:r w:rsidR="00740B70" w:rsidRPr="00273106">
        <w:t>Nakolik je moderní subj</w:t>
      </w:r>
      <w:r w:rsidR="008569F5" w:rsidRPr="00273106">
        <w:t>ekt jistý svou pravdou nazí</w:t>
      </w:r>
      <w:r w:rsidR="00740B70" w:rsidRPr="00273106">
        <w:t xml:space="preserve">ranou v modu moderního osvícení, natolik může </w:t>
      </w:r>
      <w:r w:rsidR="008569F5" w:rsidRPr="00273106">
        <w:t>po zatmění první substance</w:t>
      </w:r>
      <w:r w:rsidR="00504F8A">
        <w:t xml:space="preserve"> </w:t>
      </w:r>
      <w:r w:rsidR="00740B70" w:rsidRPr="00273106">
        <w:t>manipulovat svět kolem sebe</w:t>
      </w:r>
      <w:r w:rsidR="00504F8A">
        <w:fldChar w:fldCharType="begin"/>
      </w:r>
      <w:r w:rsidR="00504F8A">
        <w:instrText xml:space="preserve"> XE "</w:instrText>
      </w:r>
      <w:r w:rsidR="00504F8A" w:rsidRPr="00972B2F">
        <w:instrText>demiurg</w:instrText>
      </w:r>
      <w:r w:rsidR="00504F8A">
        <w:instrText xml:space="preserve">" </w:instrText>
      </w:r>
      <w:r w:rsidR="00504F8A">
        <w:fldChar w:fldCharType="end"/>
      </w:r>
      <w:r w:rsidR="00740B70" w:rsidRPr="00273106">
        <w:t>.</w:t>
      </w:r>
      <w:r w:rsidR="00FA3927" w:rsidRPr="00273106">
        <w:t xml:space="preserve"> </w:t>
      </w:r>
      <w:r w:rsidR="00B85AFC" w:rsidRPr="00273106">
        <w:t>M</w:t>
      </w:r>
      <w:r w:rsidR="00AF053A" w:rsidRPr="00273106">
        <w:t xml:space="preserve">oderna </w:t>
      </w:r>
      <w:r w:rsidR="004B3D53" w:rsidRPr="00273106">
        <w:t>založila</w:t>
      </w:r>
      <w:r w:rsidR="00AF053A" w:rsidRPr="00273106">
        <w:t xml:space="preserve"> možnost expanze vědy </w:t>
      </w:r>
      <w:r w:rsidR="009A4E79" w:rsidRPr="00273106">
        <w:t xml:space="preserve">a techniky </w:t>
      </w:r>
      <w:r w:rsidR="00AF053A" w:rsidRPr="00273106">
        <w:t xml:space="preserve">kolonizující celý svět </w:t>
      </w:r>
      <w:r w:rsidR="003231EA" w:rsidRPr="00273106">
        <w:t>skrze vědení dané jako moc moderního</w:t>
      </w:r>
      <w:r w:rsidR="08D808C4">
        <w:t xml:space="preserve"> subjektu</w:t>
      </w:r>
      <w:r w:rsidR="00FA3927" w:rsidRPr="00273106">
        <w:t>.</w:t>
      </w:r>
      <w:r w:rsidR="009A4E79" w:rsidRPr="00273106">
        <w:t xml:space="preserve"> Skrze Kilwardbyho </w:t>
      </w:r>
      <w:r w:rsidR="001E26BB">
        <w:t xml:space="preserve">syntézu obou metafyzik falsafy </w:t>
      </w:r>
      <w:r w:rsidR="009A4E79" w:rsidRPr="00273106">
        <w:t xml:space="preserve">se paranoický rozum latinských sofistů stal </w:t>
      </w:r>
      <w:r w:rsidR="00AC11AE" w:rsidRPr="00273106">
        <w:t xml:space="preserve">západní </w:t>
      </w:r>
      <w:r w:rsidR="009A4E79" w:rsidRPr="00273106">
        <w:t>vědou.</w:t>
      </w:r>
      <w:r w:rsidR="001E26BB">
        <w:t xml:space="preserve"> </w:t>
      </w:r>
      <w:r w:rsidR="009B4486" w:rsidRPr="00273106">
        <w:t xml:space="preserve">Proti modernímu výkladu </w:t>
      </w:r>
      <w:r w:rsidR="00EB191A" w:rsidRPr="00EB191A">
        <w:rPr>
          <w:i/>
        </w:rPr>
        <w:t>Druhých a</w:t>
      </w:r>
      <w:r w:rsidR="009B4486" w:rsidRPr="00EB191A">
        <w:rPr>
          <w:i/>
        </w:rPr>
        <w:t>nalytik</w:t>
      </w:r>
      <w:r w:rsidR="009B4486" w:rsidRPr="00273106">
        <w:t xml:space="preserve"> a </w:t>
      </w:r>
      <w:r w:rsidR="009B4486" w:rsidRPr="00EB191A">
        <w:rPr>
          <w:i/>
        </w:rPr>
        <w:t>Metafyziky</w:t>
      </w:r>
      <w:r w:rsidR="009B4486" w:rsidRPr="00273106">
        <w:t xml:space="preserve"> staví Bacon v téže době realistický výklad první vědy na základě </w:t>
      </w:r>
      <w:r w:rsidR="00EB191A">
        <w:t xml:space="preserve">první vědy o substanci vyložené </w:t>
      </w:r>
      <w:r w:rsidR="082F2D63">
        <w:rPr>
          <w:i/>
        </w:rPr>
        <w:t>ad mentem Averrois</w:t>
      </w:r>
      <w:r w:rsidR="00EB191A">
        <w:rPr>
          <w:i/>
        </w:rPr>
        <w:fldChar w:fldCharType="begin"/>
      </w:r>
      <w:r w:rsidR="00EB191A">
        <w:instrText xml:space="preserve"> XE "</w:instrText>
      </w:r>
      <w:r w:rsidR="082F2D63">
        <w:rPr>
          <w:i/>
        </w:rPr>
        <w:instrText>ad mentem Averrois</w:instrText>
      </w:r>
      <w:r w:rsidR="00EB191A">
        <w:instrText xml:space="preserve">" </w:instrText>
      </w:r>
      <w:r w:rsidR="00EB191A">
        <w:rPr>
          <w:i/>
        </w:rPr>
        <w:fldChar w:fldCharType="end"/>
      </w:r>
      <w:r w:rsidR="009B4486" w:rsidRPr="00273106">
        <w:t xml:space="preserve">. </w:t>
      </w:r>
      <w:r w:rsidR="004759F1" w:rsidRPr="004759F1">
        <w:t>Tomáš Akvinský byl svým způsobem avice</w:t>
      </w:r>
      <w:r w:rsidR="004759F1">
        <w:t>n</w:t>
      </w:r>
      <w:r w:rsidR="004759F1" w:rsidRPr="004759F1">
        <w:t>nista a odmítal Averroesovu metafyziku</w:t>
      </w:r>
      <w:r w:rsidR="004759F1">
        <w:t>;</w:t>
      </w:r>
      <w:r w:rsidR="004759F1" w:rsidRPr="004759F1">
        <w:t xml:space="preserve"> nicméně o deset let později s odkazem na Boethia obhajoval zdravý rozum stejně jako Bacon.</w:t>
      </w:r>
      <w:r w:rsidR="004759F1">
        <w:t xml:space="preserve"> Ten reagoval na vznik </w:t>
      </w:r>
      <w:r w:rsidR="08533462">
        <w:t xml:space="preserve">objektivní </w:t>
      </w:r>
      <w:r w:rsidR="082B67C4">
        <w:t xml:space="preserve">jednoty věd prakticky okamžitě. Jeho </w:t>
      </w:r>
      <w:r w:rsidR="00093259">
        <w:t xml:space="preserve">komentář ke čtvrté knize </w:t>
      </w:r>
      <w:r w:rsidR="00093259" w:rsidRPr="00093259">
        <w:rPr>
          <w:i/>
        </w:rPr>
        <w:t>Met</w:t>
      </w:r>
      <w:r w:rsidR="00093259">
        <w:rPr>
          <w:i/>
        </w:rPr>
        <w:t>afyziky</w:t>
      </w:r>
      <w:r w:rsidR="00093259">
        <w:t xml:space="preserve"> psaný asi roku </w:t>
      </w:r>
      <w:r w:rsidR="009B4486" w:rsidRPr="00273106">
        <w:t xml:space="preserve">1245 odmítá univoční pojetí </w:t>
      </w:r>
      <w:r w:rsidR="00093259">
        <w:t xml:space="preserve">jsoucna </w:t>
      </w:r>
      <w:r w:rsidR="009B4486" w:rsidRPr="00273106">
        <w:t>založené na matematické rozsažnosti.</w:t>
      </w:r>
    </w:p>
    <w:p w14:paraId="79EBA722" w14:textId="77777777" w:rsidR="009B4486" w:rsidRPr="00273106" w:rsidRDefault="009B4486" w:rsidP="009B4486">
      <w:pPr>
        <w:pStyle w:val="Citace"/>
        <w:rPr>
          <w:noProof/>
          <w:lang w:val="cs-CZ"/>
        </w:rPr>
      </w:pPr>
      <w:r w:rsidRPr="00273106">
        <w:rPr>
          <w:noProof/>
          <w:szCs w:val="29"/>
          <w:lang w:val="cs-CZ"/>
        </w:rPr>
        <w:t>„O kva</w:t>
      </w:r>
      <w:r w:rsidR="08876CC1">
        <w:rPr>
          <w:noProof/>
          <w:szCs w:val="29"/>
          <w:lang w:val="cs-CZ"/>
        </w:rPr>
        <w:t>nti</w:t>
      </w:r>
      <w:r w:rsidRPr="00273106">
        <w:rPr>
          <w:noProof/>
          <w:szCs w:val="29"/>
          <w:lang w:val="cs-CZ"/>
        </w:rPr>
        <w:t xml:space="preserve">tě není jednotné vědění, ale o jsoucnu je jedna věda. Důvod rozdílu je v tom, že kvantita se dělí podle jednotlivých jsoucen, jejichž jednotu nelze redukovat ani na jednu esenci, ani na jednu kauzu.  Ale jsoucno se </w:t>
      </w:r>
      <w:r w:rsidR="0016750E">
        <w:rPr>
          <w:noProof/>
          <w:szCs w:val="29"/>
          <w:lang w:val="cs-CZ"/>
        </w:rPr>
        <w:t xml:space="preserve">určuje </w:t>
      </w:r>
      <w:r w:rsidRPr="00273106">
        <w:rPr>
          <w:noProof/>
          <w:szCs w:val="29"/>
          <w:lang w:val="cs-CZ"/>
        </w:rPr>
        <w:t xml:space="preserve">vzhledem k jiným jsoucnům, i když nikoliv vždy esenciálně, ale </w:t>
      </w:r>
      <w:r w:rsidR="084E72A6">
        <w:rPr>
          <w:noProof/>
          <w:szCs w:val="29"/>
          <w:lang w:val="cs-CZ"/>
        </w:rPr>
        <w:t xml:space="preserve">přesto </w:t>
      </w:r>
      <w:r w:rsidRPr="00273106">
        <w:rPr>
          <w:noProof/>
          <w:szCs w:val="29"/>
          <w:lang w:val="cs-CZ"/>
        </w:rPr>
        <w:t>kauzálně</w:t>
      </w:r>
      <w:r w:rsidR="00995F37">
        <w:rPr>
          <w:noProof/>
          <w:szCs w:val="29"/>
          <w:lang w:val="cs-CZ"/>
        </w:rPr>
        <w:t xml:space="preserve"> (</w:t>
      </w:r>
      <w:r w:rsidR="00995F37" w:rsidRPr="00995F37">
        <w:rPr>
          <w:i/>
          <w:szCs w:val="13"/>
        </w:rPr>
        <w:t xml:space="preserve">si </w:t>
      </w:r>
      <w:r w:rsidR="00995F37" w:rsidRPr="00995F37">
        <w:rPr>
          <w:i/>
          <w:szCs w:val="22"/>
        </w:rPr>
        <w:t xml:space="preserve">non </w:t>
      </w:r>
      <w:r w:rsidR="00995F37" w:rsidRPr="00995F37">
        <w:rPr>
          <w:i/>
          <w:szCs w:val="16"/>
        </w:rPr>
        <w:t xml:space="preserve">essentialiter, </w:t>
      </w:r>
      <w:r w:rsidR="00995F37" w:rsidRPr="00995F37">
        <w:rPr>
          <w:i/>
          <w:szCs w:val="22"/>
        </w:rPr>
        <w:t xml:space="preserve">tamen </w:t>
      </w:r>
      <w:r w:rsidR="00995F37" w:rsidRPr="00995F37">
        <w:rPr>
          <w:i/>
          <w:szCs w:val="17"/>
        </w:rPr>
        <w:t>causaliter</w:t>
      </w:r>
      <w:r w:rsidR="00995F37">
        <w:rPr>
          <w:noProof/>
          <w:szCs w:val="29"/>
          <w:lang w:val="cs-CZ"/>
        </w:rPr>
        <w:t>)</w:t>
      </w:r>
      <w:r w:rsidRPr="00273106">
        <w:rPr>
          <w:noProof/>
          <w:szCs w:val="29"/>
          <w:lang w:val="cs-CZ"/>
        </w:rPr>
        <w:t>, proto</w:t>
      </w:r>
      <w:r w:rsidR="005B3A74">
        <w:rPr>
          <w:noProof/>
          <w:szCs w:val="29"/>
          <w:lang w:val="cs-CZ"/>
        </w:rPr>
        <w:t>že je převoditelné na akcident vzhledem k</w:t>
      </w:r>
      <w:r w:rsidRPr="00273106">
        <w:rPr>
          <w:noProof/>
          <w:szCs w:val="29"/>
          <w:lang w:val="cs-CZ"/>
        </w:rPr>
        <w:t xml:space="preserve"> substanci.“ </w:t>
      </w:r>
      <w:r w:rsidRPr="00273106">
        <w:rPr>
          <w:rStyle w:val="Znakapoznpodarou"/>
          <w:noProof/>
          <w:lang w:val="cs-CZ"/>
        </w:rPr>
        <w:footnoteReference w:id="499"/>
      </w:r>
    </w:p>
    <w:p w14:paraId="6077CAD3" w14:textId="0E3FD2CA" w:rsidR="009B4486" w:rsidRPr="00273106" w:rsidRDefault="009B4486" w:rsidP="009B4486">
      <w:pPr>
        <w:rPr>
          <w:szCs w:val="29"/>
        </w:rPr>
      </w:pPr>
      <w:r w:rsidRPr="00273106">
        <w:t>Na úrovni abstrakce dané matematickou rozsažností nemůže vzniknout první věda</w:t>
      </w:r>
      <w:r w:rsidR="00546ABB">
        <w:fldChar w:fldCharType="begin"/>
      </w:r>
      <w:r w:rsidR="00546ABB">
        <w:instrText xml:space="preserve"> XE "</w:instrText>
      </w:r>
      <w:r w:rsidR="00546ABB" w:rsidRPr="0072342F">
        <w:instrText>metafyzika:první věda</w:instrText>
      </w:r>
      <w:r w:rsidR="00546ABB">
        <w:instrText xml:space="preserve">" </w:instrText>
      </w:r>
      <w:r w:rsidR="00546ABB">
        <w:fldChar w:fldCharType="end"/>
      </w:r>
      <w:r w:rsidRPr="00273106">
        <w:t xml:space="preserve"> o jsoucnu (</w:t>
      </w:r>
      <w:r w:rsidRPr="00273106">
        <w:rPr>
          <w:i/>
          <w:szCs w:val="21"/>
        </w:rPr>
        <w:t xml:space="preserve">de </w:t>
      </w:r>
      <w:r w:rsidRPr="00273106">
        <w:rPr>
          <w:i/>
        </w:rPr>
        <w:t xml:space="preserve">quantitate </w:t>
      </w:r>
      <w:r w:rsidRPr="00273106">
        <w:rPr>
          <w:i/>
          <w:szCs w:val="23"/>
        </w:rPr>
        <w:t xml:space="preserve">non </w:t>
      </w:r>
      <w:r w:rsidRPr="00273106">
        <w:rPr>
          <w:i/>
          <w:szCs w:val="17"/>
        </w:rPr>
        <w:t xml:space="preserve">est </w:t>
      </w:r>
      <w:r w:rsidRPr="00273106">
        <w:rPr>
          <w:i/>
          <w:szCs w:val="22"/>
        </w:rPr>
        <w:t xml:space="preserve">una </w:t>
      </w:r>
      <w:r w:rsidRPr="00273106">
        <w:rPr>
          <w:i/>
          <w:szCs w:val="16"/>
        </w:rPr>
        <w:t>scientia</w:t>
      </w:r>
      <w:r w:rsidRPr="00273106">
        <w:t>). Nemáme původní jednotu jsoucího, protože věci v r</w:t>
      </w:r>
      <w:r w:rsidR="003B0EE0" w:rsidRPr="00273106">
        <w:t>e</w:t>
      </w:r>
      <w:r w:rsidRPr="00273106">
        <w:t xml:space="preserve">álu jsou určené kvantitativně </w:t>
      </w:r>
      <w:r w:rsidR="003B0EE0" w:rsidRPr="00273106">
        <w:t xml:space="preserve">jako jednotliviny </w:t>
      </w:r>
      <w:r w:rsidRPr="00273106">
        <w:t>(</w:t>
      </w:r>
      <w:r w:rsidRPr="00273106">
        <w:rPr>
          <w:i/>
        </w:rPr>
        <w:t xml:space="preserve">quia quantitas </w:t>
      </w:r>
      <w:r w:rsidRPr="00273106">
        <w:rPr>
          <w:i/>
          <w:szCs w:val="18"/>
        </w:rPr>
        <w:t xml:space="preserve">dividitur </w:t>
      </w:r>
      <w:r w:rsidRPr="00273106">
        <w:rPr>
          <w:i/>
          <w:szCs w:val="21"/>
        </w:rPr>
        <w:t xml:space="preserve">per </w:t>
      </w:r>
      <w:r w:rsidRPr="00273106">
        <w:rPr>
          <w:i/>
          <w:szCs w:val="16"/>
        </w:rPr>
        <w:t>talia</w:t>
      </w:r>
      <w:r w:rsidRPr="00273106">
        <w:t xml:space="preserve">). Pro realistického Bacona je důležité, že v pojetí vědy </w:t>
      </w:r>
      <w:r w:rsidR="004E7905" w:rsidRPr="00273106">
        <w:t xml:space="preserve">dané matematickou </w:t>
      </w:r>
      <w:r w:rsidR="004E7905">
        <w:t xml:space="preserve">abstrakcí (natož rozsažností třetího druhu!) </w:t>
      </w:r>
      <w:r w:rsidRPr="00273106">
        <w:t>nemůže existovat skutečná kauzalita (</w:t>
      </w:r>
      <w:r w:rsidRPr="00273106">
        <w:rPr>
          <w:i/>
          <w:szCs w:val="26"/>
        </w:rPr>
        <w:t xml:space="preserve">unum </w:t>
      </w:r>
      <w:r w:rsidRPr="00273106">
        <w:rPr>
          <w:i/>
          <w:szCs w:val="22"/>
        </w:rPr>
        <w:t xml:space="preserve">ad </w:t>
      </w:r>
      <w:r w:rsidRPr="00273106">
        <w:rPr>
          <w:i/>
        </w:rPr>
        <w:t xml:space="preserve">alterum nec </w:t>
      </w:r>
      <w:r w:rsidRPr="00273106">
        <w:rPr>
          <w:i/>
          <w:szCs w:val="17"/>
        </w:rPr>
        <w:t xml:space="preserve">essentialiter </w:t>
      </w:r>
      <w:r w:rsidRPr="00273106">
        <w:rPr>
          <w:i/>
        </w:rPr>
        <w:t xml:space="preserve">nec </w:t>
      </w:r>
      <w:r w:rsidRPr="00273106">
        <w:rPr>
          <w:i/>
          <w:szCs w:val="18"/>
        </w:rPr>
        <w:t xml:space="preserve">causaliter </w:t>
      </w:r>
      <w:r w:rsidRPr="00273106">
        <w:rPr>
          <w:i/>
        </w:rPr>
        <w:t>reducitur</w:t>
      </w:r>
      <w:r w:rsidRPr="00273106">
        <w:t>). Kauzalita je daná pouze na úrovni první</w:t>
      </w:r>
      <w:r w:rsidR="00512ADE">
        <w:t>ch</w:t>
      </w:r>
      <w:r w:rsidR="08EC1914">
        <w:t xml:space="preserve"> substancí a jejich adekvátní metafyzické predikace založené na buď </w:t>
      </w:r>
      <w:r w:rsidR="0080185F">
        <w:t xml:space="preserve">přímo </w:t>
      </w:r>
      <w:r w:rsidR="08EC1914">
        <w:t xml:space="preserve">na </w:t>
      </w:r>
      <w:r w:rsidR="0080185F">
        <w:t xml:space="preserve">reálných substancích, </w:t>
      </w:r>
      <w:r w:rsidR="08EC1914">
        <w:t xml:space="preserve">nebo </w:t>
      </w:r>
      <w:r w:rsidR="0080185F">
        <w:t>alespoň n</w:t>
      </w:r>
      <w:r w:rsidR="08EC1914">
        <w:t xml:space="preserve">a reálné kauzalitě </w:t>
      </w:r>
      <w:r w:rsidRPr="00273106">
        <w:t>(</w:t>
      </w:r>
      <w:r w:rsidRPr="00273106">
        <w:rPr>
          <w:i/>
          <w:szCs w:val="13"/>
        </w:rPr>
        <w:t xml:space="preserve">si </w:t>
      </w:r>
      <w:r w:rsidRPr="00273106">
        <w:rPr>
          <w:i/>
          <w:szCs w:val="22"/>
        </w:rPr>
        <w:t xml:space="preserve">non </w:t>
      </w:r>
      <w:r w:rsidRPr="00273106">
        <w:rPr>
          <w:i/>
          <w:szCs w:val="16"/>
        </w:rPr>
        <w:t xml:space="preserve">essentialiter, </w:t>
      </w:r>
      <w:r w:rsidRPr="00273106">
        <w:rPr>
          <w:i/>
          <w:szCs w:val="22"/>
        </w:rPr>
        <w:t xml:space="preserve">tamen </w:t>
      </w:r>
      <w:r w:rsidRPr="00273106">
        <w:rPr>
          <w:i/>
          <w:szCs w:val="17"/>
        </w:rPr>
        <w:t>causaliter</w:t>
      </w:r>
      <w:r w:rsidRPr="00273106">
        <w:t xml:space="preserve">). Kategoriální predikace vytváří </w:t>
      </w:r>
      <w:r w:rsidR="087C395C">
        <w:t xml:space="preserve">univoční </w:t>
      </w:r>
      <w:r w:rsidR="005C0C15">
        <w:t>jednotu, tím</w:t>
      </w:r>
      <w:r w:rsidRPr="00273106">
        <w:t xml:space="preserve">, že </w:t>
      </w:r>
      <w:r w:rsidR="005C0C15">
        <w:t xml:space="preserve">určuje </w:t>
      </w:r>
      <w:r w:rsidRPr="00273106">
        <w:t xml:space="preserve">kauzální vztah </w:t>
      </w:r>
      <w:r w:rsidR="00512ADE">
        <w:t xml:space="preserve">na úrovni </w:t>
      </w:r>
      <w:r w:rsidR="005C0C15">
        <w:t xml:space="preserve">druhé </w:t>
      </w:r>
      <w:r w:rsidRPr="00273106">
        <w:t>substance</w:t>
      </w:r>
      <w:r w:rsidR="00512ADE">
        <w:t xml:space="preserve"> vzhledem </w:t>
      </w:r>
      <w:r w:rsidRPr="00273106">
        <w:t>akcident</w:t>
      </w:r>
      <w:r w:rsidR="00512ADE">
        <w:t>u</w:t>
      </w:r>
      <w:r w:rsidRPr="00273106">
        <w:t xml:space="preserve"> (</w:t>
      </w:r>
      <w:r w:rsidRPr="00273106">
        <w:rPr>
          <w:i/>
        </w:rPr>
        <w:t xml:space="preserve">reducitur ut accidens </w:t>
      </w:r>
      <w:r w:rsidRPr="00273106">
        <w:rPr>
          <w:i/>
          <w:szCs w:val="22"/>
        </w:rPr>
        <w:t xml:space="preserve">ad </w:t>
      </w:r>
      <w:r w:rsidRPr="00273106">
        <w:rPr>
          <w:i/>
        </w:rPr>
        <w:t>substantiam</w:t>
      </w:r>
      <w:r w:rsidRPr="00273106">
        <w:t>). Hypostázo</w:t>
      </w:r>
      <w:r w:rsidR="00702908" w:rsidRPr="00273106">
        <w:t xml:space="preserve">vat </w:t>
      </w:r>
      <w:r w:rsidR="00B46550" w:rsidRPr="00273106">
        <w:t>akcident</w:t>
      </w:r>
      <w:r w:rsidR="00E20658">
        <w:t>y</w:t>
      </w:r>
      <w:r w:rsidR="00B46550" w:rsidRPr="00273106">
        <w:t xml:space="preserve"> jako </w:t>
      </w:r>
      <w:r w:rsidR="00702908" w:rsidRPr="00273106">
        <w:t>rozsažnost</w:t>
      </w:r>
      <w:r w:rsidR="084D76A5">
        <w:t xml:space="preserve"> nebo numericky určenou kvantitu </w:t>
      </w:r>
      <w:r w:rsidR="00702908" w:rsidRPr="00273106">
        <w:t xml:space="preserve">považuje první averroismus za naprostý nesmysl. </w:t>
      </w:r>
      <w:r w:rsidR="00294BBB">
        <w:t>Vědecky založená</w:t>
      </w:r>
      <w:r w:rsidR="00702908" w:rsidRPr="00273106">
        <w:t xml:space="preserve"> p</w:t>
      </w:r>
      <w:r w:rsidRPr="00273106">
        <w:t>redikace existuje p</w:t>
      </w:r>
      <w:r w:rsidR="00702908" w:rsidRPr="00273106">
        <w:t>r</w:t>
      </w:r>
      <w:r w:rsidRPr="00273106">
        <w:t xml:space="preserve">oto, že </w:t>
      </w:r>
      <w:r w:rsidR="00702908" w:rsidRPr="00273106">
        <w:rPr>
          <w:i/>
        </w:rPr>
        <w:t>demonstratio</w:t>
      </w:r>
      <w:r w:rsidR="00702908" w:rsidRPr="00273106">
        <w:t xml:space="preserve"> univerzalizuje působení zapříčiněné prvními substancemi v reálu</w:t>
      </w:r>
      <w:r w:rsidRPr="00273106">
        <w:t xml:space="preserve">. </w:t>
      </w:r>
      <w:r w:rsidR="004E182D" w:rsidRPr="00273106">
        <w:t xml:space="preserve">Modernisté </w:t>
      </w:r>
      <w:r w:rsidRPr="00273106">
        <w:t xml:space="preserve">nemohou mít podle Bacona skutečnou vědu tematizovanou ve </w:t>
      </w:r>
      <w:r w:rsidRPr="00E13852">
        <w:rPr>
          <w:i/>
        </w:rPr>
        <w:t>Druhých analytikách</w:t>
      </w:r>
      <w:r w:rsidR="087B5441">
        <w:t xml:space="preserve">. Důvod je </w:t>
      </w:r>
      <w:r w:rsidRPr="00273106">
        <w:t xml:space="preserve">mimo jiné i </w:t>
      </w:r>
      <w:r w:rsidR="087B5441">
        <w:t xml:space="preserve">v tom, </w:t>
      </w:r>
      <w:r w:rsidRPr="00273106">
        <w:t xml:space="preserve"> že ne</w:t>
      </w:r>
      <w:r w:rsidR="08A57AC5">
        <w:t>mají metafyzickou formu abstrakce odvozenou</w:t>
      </w:r>
      <w:r w:rsidR="00E13852">
        <w:t xml:space="preserve"> z adekvace smyslů a mysli k realitě</w:t>
      </w:r>
      <w:r w:rsidR="00FA0AD9">
        <w:fldChar w:fldCharType="begin"/>
      </w:r>
      <w:r w:rsidR="00FA0AD9">
        <w:instrText xml:space="preserve"> XE "</w:instrText>
      </w:r>
      <w:r w:rsidR="00FA0AD9" w:rsidRPr="005E02A0">
        <w:instrText>druhý averroismus:kritika Bacon</w:instrText>
      </w:r>
      <w:r w:rsidR="00FA0AD9">
        <w:instrText xml:space="preserve">a" </w:instrText>
      </w:r>
      <w:r w:rsidR="00FA0AD9">
        <w:fldChar w:fldCharType="end"/>
      </w:r>
      <w:r w:rsidRPr="00273106">
        <w:t xml:space="preserve">. Formální určení dané kvantitou neodpovídá skutečnému pojetí abstrakce, která vzniká nasvícením poznání směrem od smyslově </w:t>
      </w:r>
      <w:r w:rsidR="003C2EE1" w:rsidRPr="00273106">
        <w:t xml:space="preserve">dané věci, jež jako jediná hyparchicky obsahuje kauzalitu. </w:t>
      </w:r>
      <w:r w:rsidRPr="00273106">
        <w:t>Spojit metafyziku a matemati</w:t>
      </w:r>
      <w:r w:rsidR="003C2EE1" w:rsidRPr="00273106">
        <w:t xml:space="preserve">ku do univočního pojetí jsoucna a navíc </w:t>
      </w:r>
      <w:r w:rsidR="08904DC3">
        <w:t xml:space="preserve">predikovaného </w:t>
      </w:r>
      <w:r w:rsidR="003C2EE1" w:rsidRPr="00273106">
        <w:t xml:space="preserve">kauzálně, </w:t>
      </w:r>
      <w:r w:rsidR="08904DC3">
        <w:t xml:space="preserve">to </w:t>
      </w:r>
      <w:r w:rsidRPr="00273106">
        <w:t xml:space="preserve">je podle Bacona filosofický nesmysl. Takové řešení odporuje fundamentálnímu pojetí první filosofie danému vzhledem k metafyzicky nahlížené </w:t>
      </w:r>
      <w:r w:rsidR="08E655F4">
        <w:t xml:space="preserve">univerzální </w:t>
      </w:r>
      <w:r w:rsidRPr="00273106">
        <w:t xml:space="preserve">jednotě jsoucího, a to jak podle Avicenny, tak i podle </w:t>
      </w:r>
      <w:r w:rsidR="002E3B62">
        <w:t>Averroes</w:t>
      </w:r>
      <w:r w:rsidRPr="00273106">
        <w:t>e (</w:t>
      </w:r>
      <w:r w:rsidRPr="00273106">
        <w:rPr>
          <w:i/>
        </w:rPr>
        <w:t>ut dicunt Averrois et Avicenna, ergo de ente, in quantum commune est, erit una scientia prima</w:t>
      </w:r>
      <w:r w:rsidRPr="00273106">
        <w:t>, ibid, p. 89.9‒10</w:t>
      </w:r>
      <w:r w:rsidR="005937E2">
        <w:fldChar w:fldCharType="begin"/>
      </w:r>
      <w:r w:rsidR="005937E2">
        <w:instrText xml:space="preserve"> XE "Bacon:</w:instrText>
      </w:r>
      <w:r w:rsidR="00A046FB">
        <w:rPr>
          <w:i/>
        </w:rPr>
        <w:instrText>Quaestiones</w:instrText>
      </w:r>
      <w:r w:rsidR="005937E2" w:rsidRPr="00C91D0D">
        <w:rPr>
          <w:i/>
        </w:rPr>
        <w:instrText xml:space="preserve"> </w:instrText>
      </w:r>
      <w:r w:rsidR="005937E2" w:rsidRPr="00C91D0D">
        <w:rPr>
          <w:bCs/>
          <w:i/>
        </w:rPr>
        <w:instrText>altere</w:instrText>
      </w:r>
      <w:r w:rsidR="005937E2">
        <w:rPr>
          <w:bCs/>
          <w:i/>
        </w:rPr>
        <w:instrText xml:space="preserve"> supra Met. IV</w:instrText>
      </w:r>
      <w:r w:rsidR="005937E2">
        <w:rPr>
          <w:i/>
        </w:rPr>
        <w:instrText xml:space="preserve"> </w:instrText>
      </w:r>
      <w:r w:rsidR="005937E2">
        <w:rPr>
          <w:szCs w:val="14"/>
        </w:rPr>
        <w:instrText>89.9‒10</w:instrText>
      </w:r>
      <w:r w:rsidR="005937E2">
        <w:instrText xml:space="preserve">" </w:instrText>
      </w:r>
      <w:r w:rsidR="005937E2">
        <w:fldChar w:fldCharType="end"/>
      </w:r>
      <w:r w:rsidRPr="00273106">
        <w:t>)</w:t>
      </w:r>
      <w:r w:rsidR="00B95FA2">
        <w:t>.</w:t>
      </w:r>
      <w:r w:rsidRPr="00273106">
        <w:t xml:space="preserve"> Baconova kritika druhého averroismu</w:t>
      </w:r>
      <w:r w:rsidR="00CA6C83">
        <w:t xml:space="preserve"> </w:t>
      </w:r>
      <w:r w:rsidRPr="00273106">
        <w:t xml:space="preserve">byla </w:t>
      </w:r>
      <w:r w:rsidR="00CA6C83">
        <w:t xml:space="preserve">na </w:t>
      </w:r>
      <w:r w:rsidR="08044686">
        <w:t xml:space="preserve">moderním </w:t>
      </w:r>
      <w:r w:rsidR="00CA6C83">
        <w:t xml:space="preserve">Oxfordu </w:t>
      </w:r>
      <w:r w:rsidRPr="00273106">
        <w:t>hlasem volajícího na poušti</w:t>
      </w:r>
      <w:r w:rsidR="00577BB1">
        <w:t>, který bylo třeba mocensky umlčet</w:t>
      </w:r>
      <w:r w:rsidRPr="00273106">
        <w:t xml:space="preserve">. </w:t>
      </w:r>
      <w:r w:rsidR="00BC26A1">
        <w:t>M</w:t>
      </w:r>
      <w:r w:rsidRPr="00273106">
        <w:t xml:space="preserve">oderní </w:t>
      </w:r>
      <w:r w:rsidR="00577BB1">
        <w:t xml:space="preserve">substance daná v modu Rufusova </w:t>
      </w:r>
      <w:r w:rsidRPr="00273106">
        <w:rPr>
          <w:i/>
        </w:rPr>
        <w:t>concretum</w:t>
      </w:r>
      <w:r w:rsidR="003330AF">
        <w:rPr>
          <w:i/>
        </w:rPr>
        <w:fldChar w:fldCharType="begin"/>
      </w:r>
      <w:r w:rsidR="003330AF">
        <w:instrText xml:space="preserve"> XE "</w:instrText>
      </w:r>
      <w:r w:rsidR="00FA0AD9">
        <w:instrText>substance:</w:instrText>
      </w:r>
      <w:r w:rsidR="003330AF" w:rsidRPr="00B759F5">
        <w:rPr>
          <w:i/>
        </w:rPr>
        <w:instrText>concretum</w:instrText>
      </w:r>
      <w:r w:rsidR="003330AF">
        <w:instrText xml:space="preserve">" </w:instrText>
      </w:r>
      <w:r w:rsidR="003330AF">
        <w:rPr>
          <w:i/>
        </w:rPr>
        <w:fldChar w:fldCharType="end"/>
      </w:r>
      <w:r w:rsidRPr="00273106">
        <w:t xml:space="preserve"> postupně vytěsnila reálnou věc, což dosvědčuje celý vývoj moderny. Citujme </w:t>
      </w:r>
      <w:r w:rsidR="08901318">
        <w:t xml:space="preserve">klíčovou </w:t>
      </w:r>
      <w:r w:rsidRPr="00273106">
        <w:t xml:space="preserve">pasáž </w:t>
      </w:r>
      <w:r w:rsidRPr="00577BB1">
        <w:rPr>
          <w:i/>
        </w:rPr>
        <w:t>Kompendia</w:t>
      </w:r>
      <w:r w:rsidRPr="00273106">
        <w:t xml:space="preserve">, </w:t>
      </w:r>
      <w:r w:rsidR="084D75B2">
        <w:t xml:space="preserve">protože v této myslitelské závěti </w:t>
      </w:r>
      <w:r w:rsidRPr="00273106">
        <w:t xml:space="preserve">Bacon </w:t>
      </w:r>
      <w:r w:rsidR="08A1104C">
        <w:t xml:space="preserve">naposledy </w:t>
      </w:r>
      <w:r w:rsidRPr="00273106">
        <w:t xml:space="preserve">odsoudil filosofii </w:t>
      </w:r>
      <w:r w:rsidRPr="00273106">
        <w:rPr>
          <w:i/>
        </w:rPr>
        <w:t>Modernorum</w:t>
      </w:r>
      <w:r w:rsidR="082579FE">
        <w:t xml:space="preserve"> (kap. 3</w:t>
      </w:r>
      <w:r w:rsidR="08011E41">
        <w:t>.2). Kritika šíleného myšlení</w:t>
      </w:r>
      <w:r w:rsidRPr="00273106">
        <w:t xml:space="preserve"> myslitelů typu Rufuse a Kilwardbyho (</w:t>
      </w:r>
      <w:r w:rsidRPr="00273106">
        <w:rPr>
          <w:i/>
          <w:szCs w:val="15"/>
        </w:rPr>
        <w:t>insaniunt contra veritatem</w:t>
      </w:r>
      <w:r w:rsidR="00A16549">
        <w:rPr>
          <w:i/>
        </w:rPr>
        <w:fldChar w:fldCharType="begin"/>
      </w:r>
      <w:r w:rsidR="00A16549">
        <w:instrText xml:space="preserve"> XE "druhý</w:instrText>
      </w:r>
      <w:r w:rsidR="00A16549" w:rsidRPr="005B7E92">
        <w:instrText xml:space="preserve"> averroismu</w:instrText>
      </w:r>
      <w:r w:rsidR="00A16549">
        <w:instrText xml:space="preserve">s:kritika Bacona" </w:instrText>
      </w:r>
      <w:r w:rsidR="00A16549">
        <w:rPr>
          <w:i/>
        </w:rPr>
        <w:fldChar w:fldCharType="end"/>
      </w:r>
      <w:r w:rsidRPr="00273106">
        <w:t>) přesně shrnuje podstatu druhého averroismu s jeh</w:t>
      </w:r>
      <w:r w:rsidR="08D4140C">
        <w:t xml:space="preserve">o univočním pojetím jsoucna a </w:t>
      </w:r>
      <w:r w:rsidRPr="00273106">
        <w:t xml:space="preserve">novým pojetím pravdy.  </w:t>
      </w:r>
    </w:p>
    <w:p w14:paraId="6EACDACA" w14:textId="77777777" w:rsidR="009B4486" w:rsidRPr="00273106" w:rsidRDefault="009B4486" w:rsidP="009B4486">
      <w:pPr>
        <w:pStyle w:val="Citace"/>
        <w:rPr>
          <w:noProof/>
          <w:szCs w:val="17"/>
          <w:lang w:val="cs-CZ"/>
        </w:rPr>
      </w:pPr>
      <w:r w:rsidRPr="00273106">
        <w:rPr>
          <w:noProof/>
          <w:szCs w:val="17"/>
          <w:lang w:val="cs-CZ"/>
        </w:rPr>
        <w:t>„V tomto šílí proti pravdě</w:t>
      </w:r>
      <w:r w:rsidR="006216B2" w:rsidRPr="00273106">
        <w:rPr>
          <w:noProof/>
          <w:szCs w:val="17"/>
          <w:lang w:val="cs-CZ"/>
        </w:rPr>
        <w:t xml:space="preserve"> (</w:t>
      </w:r>
      <w:r w:rsidR="006216B2" w:rsidRPr="00273106">
        <w:rPr>
          <w:i/>
          <w:noProof/>
          <w:szCs w:val="15"/>
          <w:lang w:val="cs-CZ"/>
        </w:rPr>
        <w:t>insaniunt contra veritatem</w:t>
      </w:r>
      <w:r w:rsidR="006216B2" w:rsidRPr="00273106">
        <w:rPr>
          <w:noProof/>
          <w:szCs w:val="17"/>
          <w:lang w:val="cs-CZ"/>
        </w:rPr>
        <w:t>)</w:t>
      </w:r>
      <w:r w:rsidRPr="00273106">
        <w:rPr>
          <w:noProof/>
          <w:szCs w:val="17"/>
          <w:lang w:val="cs-CZ"/>
        </w:rPr>
        <w:t xml:space="preserve">, když tvrdí, že jsoucno </w:t>
      </w:r>
      <w:r w:rsidR="00A1024B">
        <w:rPr>
          <w:noProof/>
          <w:szCs w:val="17"/>
          <w:lang w:val="cs-CZ"/>
        </w:rPr>
        <w:t xml:space="preserve">jako hypostázovaná kvantita </w:t>
      </w:r>
      <w:r w:rsidRPr="00273106">
        <w:rPr>
          <w:noProof/>
          <w:szCs w:val="17"/>
          <w:lang w:val="cs-CZ"/>
        </w:rPr>
        <w:t>signifikuje reálnou věc (</w:t>
      </w:r>
      <w:r w:rsidRPr="00273106">
        <w:rPr>
          <w:i/>
          <w:noProof/>
          <w:szCs w:val="15"/>
          <w:lang w:val="cs-CZ"/>
        </w:rPr>
        <w:t xml:space="preserve">ens per </w:t>
      </w:r>
      <w:r w:rsidRPr="00273106">
        <w:rPr>
          <w:i/>
          <w:noProof/>
          <w:szCs w:val="16"/>
          <w:lang w:val="cs-CZ"/>
        </w:rPr>
        <w:t xml:space="preserve">quantumlibet </w:t>
      </w:r>
      <w:r w:rsidRPr="00273106">
        <w:rPr>
          <w:i/>
          <w:noProof/>
          <w:szCs w:val="13"/>
          <w:lang w:val="cs-CZ"/>
        </w:rPr>
        <w:t xml:space="preserve">significet </w:t>
      </w:r>
      <w:r w:rsidRPr="00273106">
        <w:rPr>
          <w:i/>
          <w:noProof/>
          <w:szCs w:val="14"/>
          <w:lang w:val="cs-CZ"/>
        </w:rPr>
        <w:t xml:space="preserve">esse </w:t>
      </w:r>
      <w:r w:rsidRPr="00273106">
        <w:rPr>
          <w:i/>
          <w:noProof/>
          <w:szCs w:val="15"/>
          <w:lang w:val="cs-CZ"/>
        </w:rPr>
        <w:t>presens</w:t>
      </w:r>
      <w:r w:rsidRPr="00273106">
        <w:rPr>
          <w:noProof/>
          <w:szCs w:val="17"/>
          <w:lang w:val="cs-CZ"/>
        </w:rPr>
        <w:t xml:space="preserve">) a také věc danou v minulosti.  Jsoucno </w:t>
      </w:r>
      <w:r w:rsidR="08FB2466">
        <w:rPr>
          <w:noProof/>
          <w:szCs w:val="17"/>
          <w:lang w:val="cs-CZ"/>
        </w:rPr>
        <w:t xml:space="preserve">dané nominálně </w:t>
      </w:r>
      <w:r w:rsidRPr="00273106">
        <w:rPr>
          <w:noProof/>
          <w:szCs w:val="17"/>
          <w:lang w:val="cs-CZ"/>
        </w:rPr>
        <w:t>přece signifikuje věc abstrahov</w:t>
      </w:r>
      <w:r w:rsidR="008B03F6" w:rsidRPr="00273106">
        <w:rPr>
          <w:noProof/>
          <w:szCs w:val="17"/>
          <w:lang w:val="cs-CZ"/>
        </w:rPr>
        <w:t>anou od aktuálního bytí věci</w:t>
      </w:r>
      <w:r w:rsidR="0060611A">
        <w:rPr>
          <w:noProof/>
          <w:szCs w:val="17"/>
          <w:lang w:val="cs-CZ"/>
        </w:rPr>
        <w:t xml:space="preserve"> (</w:t>
      </w:r>
      <w:r w:rsidR="0060611A" w:rsidRPr="0060611A">
        <w:rPr>
          <w:i/>
          <w:szCs w:val="15"/>
        </w:rPr>
        <w:t xml:space="preserve">ens </w:t>
      </w:r>
      <w:r w:rsidR="0060611A" w:rsidRPr="0060611A">
        <w:rPr>
          <w:i/>
          <w:szCs w:val="19"/>
        </w:rPr>
        <w:t xml:space="preserve">nomen </w:t>
      </w:r>
      <w:r w:rsidR="0060611A" w:rsidRPr="0060611A">
        <w:rPr>
          <w:i/>
          <w:szCs w:val="13"/>
        </w:rPr>
        <w:t xml:space="preserve">significat </w:t>
      </w:r>
      <w:r w:rsidR="0060611A" w:rsidRPr="0060611A">
        <w:rPr>
          <w:i/>
          <w:szCs w:val="14"/>
        </w:rPr>
        <w:t xml:space="preserve">abstracte </w:t>
      </w:r>
      <w:r w:rsidR="0060611A" w:rsidRPr="0060611A">
        <w:rPr>
          <w:i/>
        </w:rPr>
        <w:t xml:space="preserve">ab </w:t>
      </w:r>
      <w:r w:rsidR="0060611A" w:rsidRPr="0060611A">
        <w:rPr>
          <w:i/>
          <w:szCs w:val="14"/>
        </w:rPr>
        <w:t xml:space="preserve">esse </w:t>
      </w:r>
      <w:r w:rsidR="0060611A" w:rsidRPr="0060611A">
        <w:rPr>
          <w:i/>
          <w:szCs w:val="13"/>
        </w:rPr>
        <w:t>actuali</w:t>
      </w:r>
      <w:r w:rsidR="0060611A">
        <w:rPr>
          <w:noProof/>
          <w:szCs w:val="17"/>
          <w:lang w:val="cs-CZ"/>
        </w:rPr>
        <w:t>)</w:t>
      </w:r>
      <w:r w:rsidR="008B03F6" w:rsidRPr="00273106">
        <w:rPr>
          <w:noProof/>
          <w:szCs w:val="17"/>
          <w:lang w:val="cs-CZ"/>
        </w:rPr>
        <w:t>. V</w:t>
      </w:r>
      <w:r w:rsidRPr="00273106">
        <w:rPr>
          <w:noProof/>
          <w:szCs w:val="17"/>
          <w:lang w:val="cs-CZ"/>
        </w:rPr>
        <w:t xml:space="preserve">zhledem k jednotě bytí je dáno pouze v rámci </w:t>
      </w:r>
      <w:r w:rsidR="0060611A">
        <w:rPr>
          <w:noProof/>
          <w:szCs w:val="17"/>
          <w:lang w:val="cs-CZ"/>
        </w:rPr>
        <w:t xml:space="preserve">určité </w:t>
      </w:r>
      <w:r w:rsidRPr="00273106">
        <w:rPr>
          <w:noProof/>
          <w:szCs w:val="17"/>
          <w:lang w:val="cs-CZ"/>
        </w:rPr>
        <w:t>obecnosti</w:t>
      </w:r>
      <w:r w:rsidR="0060611A">
        <w:rPr>
          <w:noProof/>
          <w:szCs w:val="17"/>
          <w:lang w:val="cs-CZ"/>
        </w:rPr>
        <w:t xml:space="preserve"> (</w:t>
      </w:r>
      <w:r w:rsidR="0060611A" w:rsidRPr="0060611A">
        <w:rPr>
          <w:i/>
          <w:szCs w:val="17"/>
        </w:rPr>
        <w:t xml:space="preserve">communitate </w:t>
      </w:r>
      <w:r w:rsidR="0060611A" w:rsidRPr="0060611A">
        <w:rPr>
          <w:i/>
          <w:szCs w:val="19"/>
        </w:rPr>
        <w:t xml:space="preserve">quadam </w:t>
      </w:r>
      <w:r w:rsidR="0060611A" w:rsidRPr="0060611A">
        <w:rPr>
          <w:i/>
          <w:szCs w:val="17"/>
        </w:rPr>
        <w:t xml:space="preserve">ad </w:t>
      </w:r>
      <w:r w:rsidR="0060611A" w:rsidRPr="0060611A">
        <w:rPr>
          <w:i/>
          <w:szCs w:val="15"/>
        </w:rPr>
        <w:t>ens</w:t>
      </w:r>
      <w:r w:rsidR="0060611A">
        <w:rPr>
          <w:noProof/>
          <w:szCs w:val="17"/>
          <w:lang w:val="cs-CZ"/>
        </w:rPr>
        <w:t>)</w:t>
      </w:r>
      <w:r w:rsidRPr="00273106">
        <w:rPr>
          <w:noProof/>
          <w:szCs w:val="17"/>
          <w:lang w:val="cs-CZ"/>
        </w:rPr>
        <w:t>, nikoliv jako aktuální jsoucno</w:t>
      </w:r>
      <w:r w:rsidR="0060611A">
        <w:rPr>
          <w:noProof/>
          <w:szCs w:val="17"/>
          <w:lang w:val="cs-CZ"/>
        </w:rPr>
        <w:t xml:space="preserve"> (</w:t>
      </w:r>
      <w:r w:rsidR="0060611A" w:rsidRPr="00D16A2D">
        <w:rPr>
          <w:i/>
          <w:szCs w:val="18"/>
        </w:rPr>
        <w:t xml:space="preserve">non </w:t>
      </w:r>
      <w:r w:rsidR="0060611A" w:rsidRPr="00D16A2D">
        <w:rPr>
          <w:i/>
          <w:szCs w:val="15"/>
        </w:rPr>
        <w:t xml:space="preserve">ens </w:t>
      </w:r>
      <w:r w:rsidR="0060611A" w:rsidRPr="00D16A2D">
        <w:rPr>
          <w:i/>
          <w:szCs w:val="14"/>
        </w:rPr>
        <w:t>actu</w:t>
      </w:r>
      <w:r w:rsidR="0060611A">
        <w:rPr>
          <w:noProof/>
          <w:szCs w:val="17"/>
          <w:lang w:val="cs-CZ"/>
        </w:rPr>
        <w:t>)</w:t>
      </w:r>
      <w:r w:rsidRPr="00273106">
        <w:rPr>
          <w:noProof/>
          <w:szCs w:val="17"/>
          <w:lang w:val="cs-CZ"/>
        </w:rPr>
        <w:t xml:space="preserve">.“ </w:t>
      </w:r>
      <w:r w:rsidRPr="00273106">
        <w:rPr>
          <w:rStyle w:val="Znakapoznpodarou"/>
          <w:noProof/>
          <w:lang w:val="cs-CZ"/>
        </w:rPr>
        <w:footnoteReference w:id="500"/>
      </w:r>
    </w:p>
    <w:p w14:paraId="7474797D" w14:textId="77777777" w:rsidR="00F103D2" w:rsidRDefault="009B4486" w:rsidP="00913539">
      <w:r w:rsidRPr="00273106">
        <w:t xml:space="preserve">První věta postihuje problém supozice </w:t>
      </w:r>
      <w:r w:rsidRPr="00273106">
        <w:rPr>
          <w:i/>
        </w:rPr>
        <w:t>Nominales</w:t>
      </w:r>
      <w:r w:rsidRPr="00273106">
        <w:t xml:space="preserve"> dané v</w:t>
      </w:r>
      <w:r w:rsidR="087517C1">
        <w:t xml:space="preserve"> rámci trvalé</w:t>
      </w:r>
      <w:r w:rsidRPr="00273106">
        <w:t xml:space="preserve"> </w:t>
      </w:r>
      <w:r w:rsidR="004B4D52" w:rsidRPr="004B4D52">
        <w:t>species</w:t>
      </w:r>
      <w:r w:rsidR="006E5E3B" w:rsidRPr="00273106">
        <w:t xml:space="preserve"> (</w:t>
      </w:r>
      <w:r w:rsidR="006E5E3B" w:rsidRPr="00273106">
        <w:rPr>
          <w:i/>
          <w:szCs w:val="15"/>
        </w:rPr>
        <w:t xml:space="preserve">ens per </w:t>
      </w:r>
      <w:r w:rsidR="006E5E3B" w:rsidRPr="00273106">
        <w:rPr>
          <w:i/>
          <w:szCs w:val="16"/>
        </w:rPr>
        <w:t>quantumlibet</w:t>
      </w:r>
      <w:r w:rsidR="006E5E3B" w:rsidRPr="00273106">
        <w:t>)</w:t>
      </w:r>
      <w:r w:rsidRPr="00273106">
        <w:t xml:space="preserve">, které platí v minulosti nebo v přítomnosti bez ohledu na </w:t>
      </w:r>
      <w:r w:rsidR="00972272" w:rsidRPr="00273106">
        <w:t xml:space="preserve">existenci </w:t>
      </w:r>
      <w:r w:rsidRPr="00273106">
        <w:t>první substance (</w:t>
      </w:r>
      <w:r w:rsidRPr="00273106">
        <w:rPr>
          <w:i/>
          <w:szCs w:val="13"/>
        </w:rPr>
        <w:t xml:space="preserve">significet </w:t>
      </w:r>
      <w:r w:rsidRPr="00273106">
        <w:rPr>
          <w:i/>
          <w:szCs w:val="14"/>
        </w:rPr>
        <w:t xml:space="preserve">esse </w:t>
      </w:r>
      <w:r w:rsidRPr="00273106">
        <w:rPr>
          <w:i/>
          <w:szCs w:val="15"/>
        </w:rPr>
        <w:t xml:space="preserve">presens </w:t>
      </w:r>
      <w:r w:rsidRPr="00273106">
        <w:rPr>
          <w:i/>
          <w:szCs w:val="13"/>
        </w:rPr>
        <w:t xml:space="preserve">et </w:t>
      </w:r>
      <w:r w:rsidRPr="00273106">
        <w:rPr>
          <w:i/>
          <w:szCs w:val="14"/>
        </w:rPr>
        <w:t xml:space="preserve">esse actuale </w:t>
      </w:r>
      <w:r w:rsidRPr="00273106">
        <w:rPr>
          <w:i/>
          <w:szCs w:val="13"/>
        </w:rPr>
        <w:t xml:space="preserve">in </w:t>
      </w:r>
      <w:r w:rsidRPr="00273106">
        <w:rPr>
          <w:i/>
          <w:szCs w:val="14"/>
        </w:rPr>
        <w:t>pre</w:t>
      </w:r>
      <w:r w:rsidRPr="00273106">
        <w:rPr>
          <w:i/>
          <w:szCs w:val="12"/>
        </w:rPr>
        <w:t>terito</w:t>
      </w:r>
      <w:r w:rsidRPr="00273106">
        <w:t xml:space="preserve">). A navíc toto pojetí signifikace vzniká </w:t>
      </w:r>
      <w:r w:rsidRPr="00273106">
        <w:rPr>
          <w:i/>
        </w:rPr>
        <w:t>ex nihilo</w:t>
      </w:r>
      <w:r w:rsidRPr="00273106">
        <w:t xml:space="preserve">, protože není vázané na proces </w:t>
      </w:r>
      <w:r w:rsidR="00972272" w:rsidRPr="00273106">
        <w:t xml:space="preserve">aristotelské </w:t>
      </w:r>
      <w:r w:rsidRPr="00273106">
        <w:t xml:space="preserve">abstrakce </w:t>
      </w:r>
      <w:r w:rsidR="00972272" w:rsidRPr="00273106">
        <w:t>(</w:t>
      </w:r>
      <w:r w:rsidR="00972272" w:rsidRPr="00273106">
        <w:rPr>
          <w:i/>
          <w:szCs w:val="15"/>
        </w:rPr>
        <w:t xml:space="preserve">ens </w:t>
      </w:r>
      <w:r w:rsidR="00972272" w:rsidRPr="00273106">
        <w:rPr>
          <w:i/>
          <w:szCs w:val="19"/>
        </w:rPr>
        <w:t xml:space="preserve">nomen </w:t>
      </w:r>
      <w:r w:rsidR="00972272" w:rsidRPr="00273106">
        <w:rPr>
          <w:i/>
          <w:szCs w:val="13"/>
        </w:rPr>
        <w:t>significat</w:t>
      </w:r>
      <w:r w:rsidR="00972272" w:rsidRPr="00273106">
        <w:t>) determinované aktuální existencí</w:t>
      </w:r>
      <w:r w:rsidRPr="00273106">
        <w:t xml:space="preserve"> věci (</w:t>
      </w:r>
      <w:r w:rsidRPr="00273106">
        <w:rPr>
          <w:i/>
          <w:szCs w:val="14"/>
        </w:rPr>
        <w:t xml:space="preserve">abstracte </w:t>
      </w:r>
      <w:r w:rsidRPr="00273106">
        <w:rPr>
          <w:i/>
          <w:szCs w:val="16"/>
        </w:rPr>
        <w:t xml:space="preserve">ab </w:t>
      </w:r>
      <w:r w:rsidRPr="00273106">
        <w:rPr>
          <w:i/>
          <w:szCs w:val="14"/>
        </w:rPr>
        <w:t xml:space="preserve">esse </w:t>
      </w:r>
      <w:r w:rsidRPr="00273106">
        <w:rPr>
          <w:i/>
          <w:szCs w:val="13"/>
        </w:rPr>
        <w:t>actuali</w:t>
      </w:r>
      <w:r w:rsidRPr="00273106">
        <w:t>). Klíčová je poslední věta, která určuje rozdíl mezi univerzální predikací v rámci kategorií (</w:t>
      </w:r>
      <w:r w:rsidRPr="00273106">
        <w:rPr>
          <w:i/>
          <w:szCs w:val="17"/>
        </w:rPr>
        <w:t xml:space="preserve">communitate </w:t>
      </w:r>
      <w:r w:rsidRPr="00273106">
        <w:rPr>
          <w:i/>
          <w:szCs w:val="19"/>
        </w:rPr>
        <w:t xml:space="preserve">quadam </w:t>
      </w:r>
      <w:r w:rsidRPr="00273106">
        <w:rPr>
          <w:i/>
          <w:szCs w:val="17"/>
        </w:rPr>
        <w:t xml:space="preserve">ad </w:t>
      </w:r>
      <w:r w:rsidRPr="00273106">
        <w:rPr>
          <w:i/>
          <w:szCs w:val="15"/>
        </w:rPr>
        <w:t>ens</w:t>
      </w:r>
      <w:r w:rsidRPr="00273106">
        <w:t>) a mezi hyparchickou subsistencí aktuální jednotliviny (</w:t>
      </w:r>
      <w:r w:rsidRPr="00273106">
        <w:rPr>
          <w:i/>
          <w:szCs w:val="14"/>
        </w:rPr>
        <w:t xml:space="preserve">et </w:t>
      </w:r>
      <w:r w:rsidRPr="00273106">
        <w:rPr>
          <w:i/>
          <w:szCs w:val="18"/>
        </w:rPr>
        <w:t xml:space="preserve">non </w:t>
      </w:r>
      <w:r w:rsidRPr="00273106">
        <w:rPr>
          <w:i/>
          <w:szCs w:val="15"/>
        </w:rPr>
        <w:t xml:space="preserve">ens </w:t>
      </w:r>
      <w:r w:rsidRPr="00273106">
        <w:rPr>
          <w:i/>
          <w:szCs w:val="14"/>
        </w:rPr>
        <w:t>actu</w:t>
      </w:r>
      <w:r w:rsidRPr="00273106">
        <w:t xml:space="preserve">). Spor „šílených“ představitelů </w:t>
      </w:r>
      <w:r w:rsidRPr="00273106">
        <w:rPr>
          <w:i/>
        </w:rPr>
        <w:t>Oxfordian Fallacy</w:t>
      </w:r>
      <w:r w:rsidRPr="00273106">
        <w:t xml:space="preserve"> s Baconem byl </w:t>
      </w:r>
      <w:r w:rsidR="00A50238" w:rsidRPr="00273106">
        <w:t xml:space="preserve">po vydání </w:t>
      </w:r>
      <w:r w:rsidR="00914B15">
        <w:t xml:space="preserve">Kilwardbyho </w:t>
      </w:r>
      <w:r w:rsidR="00A50238" w:rsidRPr="00273106">
        <w:rPr>
          <w:i/>
        </w:rPr>
        <w:t>De ortu scientiarum</w:t>
      </w:r>
      <w:r w:rsidR="00A50238" w:rsidRPr="00273106">
        <w:t xml:space="preserve"> </w:t>
      </w:r>
      <w:r w:rsidRPr="00273106">
        <w:t>nevyhnutelný</w:t>
      </w:r>
      <w:r w:rsidR="009D4971" w:rsidRPr="00273106">
        <w:t xml:space="preserve">. </w:t>
      </w:r>
      <w:r w:rsidR="00A50238" w:rsidRPr="00273106">
        <w:t xml:space="preserve">Výklad </w:t>
      </w:r>
      <w:r w:rsidR="002E3B62">
        <w:t>Averroes</w:t>
      </w:r>
      <w:r w:rsidR="00A50238" w:rsidRPr="00273106">
        <w:t xml:space="preserve">e v obou školách od sebe oddělovala </w:t>
      </w:r>
      <w:r w:rsidR="009D4971" w:rsidRPr="00273106">
        <w:t xml:space="preserve">od 1250 </w:t>
      </w:r>
      <w:r w:rsidR="00A50238" w:rsidRPr="00273106">
        <w:t xml:space="preserve">adekvační a </w:t>
      </w:r>
      <w:r w:rsidR="00AE23D4">
        <w:t xml:space="preserve">asimilační </w:t>
      </w:r>
      <w:r w:rsidR="00A50238" w:rsidRPr="00273106">
        <w:t>teorie</w:t>
      </w:r>
      <w:r w:rsidRPr="00273106">
        <w:t xml:space="preserve"> pravdy</w:t>
      </w:r>
      <w:r w:rsidR="08134882">
        <w:t xml:space="preserve"> a dvojí podoba metafyziky</w:t>
      </w:r>
      <w:r w:rsidR="006B3960">
        <w:fldChar w:fldCharType="begin"/>
      </w:r>
      <w:r w:rsidR="006B3960">
        <w:instrText xml:space="preserve"> XE "</w:instrText>
      </w:r>
      <w:r w:rsidR="006B3960" w:rsidRPr="00F572F8">
        <w:instrText>teorie dvojí pravdy</w:instrText>
      </w:r>
      <w:r w:rsidR="006B3960">
        <w:instrText xml:space="preserve">" </w:instrText>
      </w:r>
      <w:r w:rsidR="006B3960">
        <w:fldChar w:fldCharType="end"/>
      </w:r>
      <w:r w:rsidRPr="00273106">
        <w:t xml:space="preserve">. Kilwardby nemůže </w:t>
      </w:r>
      <w:r w:rsidR="08315842">
        <w:t>přijmout</w:t>
      </w:r>
      <w:r w:rsidRPr="00273106">
        <w:t xml:space="preserve"> </w:t>
      </w:r>
      <w:r w:rsidR="00D8702C">
        <w:t>autentickou interpretaci Averroe</w:t>
      </w:r>
      <w:r w:rsidRPr="00273106">
        <w:t>se, kterou předložil první</w:t>
      </w:r>
      <w:r w:rsidR="00D8702C">
        <w:t xml:space="preserve"> averroismus v rámci hledaného </w:t>
      </w:r>
      <w:r w:rsidRPr="00273106">
        <w:rPr>
          <w:i/>
        </w:rPr>
        <w:t>proportio</w:t>
      </w:r>
      <w:r w:rsidR="006B3960">
        <w:rPr>
          <w:i/>
        </w:rPr>
        <w:fldChar w:fldCharType="begin"/>
      </w:r>
      <w:r w:rsidR="006B3960">
        <w:instrText xml:space="preserve"> XE "pravda:</w:instrText>
      </w:r>
      <w:r w:rsidR="006B3960" w:rsidRPr="00D60DA5">
        <w:rPr>
          <w:i/>
        </w:rPr>
        <w:instrText>proportio</w:instrText>
      </w:r>
      <w:r w:rsidR="006B3960">
        <w:instrText xml:space="preserve">" </w:instrText>
      </w:r>
      <w:r w:rsidR="006B3960">
        <w:rPr>
          <w:i/>
        </w:rPr>
        <w:fldChar w:fldCharType="end"/>
      </w:r>
      <w:r w:rsidRPr="00273106">
        <w:t xml:space="preserve"> mezi reálnou věcí a jejím poznáním. </w:t>
      </w:r>
      <w:r w:rsidR="004C5F7A" w:rsidRPr="00273106">
        <w:t>Druhý averroismus hájí univocit</w:t>
      </w:r>
      <w:r w:rsidR="009F461C">
        <w:t>u</w:t>
      </w:r>
      <w:r w:rsidR="004C5F7A" w:rsidRPr="00273106">
        <w:t xml:space="preserve"> </w:t>
      </w:r>
      <w:r w:rsidR="009F461C">
        <w:t>reálných substancí a univerzálií, p</w:t>
      </w:r>
      <w:r w:rsidR="004C5F7A" w:rsidRPr="00273106">
        <w:t xml:space="preserve">roto má jen jednu pravdu danou v rámci modernistického </w:t>
      </w:r>
      <w:r w:rsidR="08A352AC" w:rsidRPr="08A352AC">
        <w:rPr>
          <w:i/>
        </w:rPr>
        <w:t>certitudo</w:t>
      </w:r>
      <w:r w:rsidR="08A352AC">
        <w:t xml:space="preserve"> a </w:t>
      </w:r>
      <w:r w:rsidR="004C5F7A" w:rsidRPr="00273106">
        <w:rPr>
          <w:i/>
        </w:rPr>
        <w:t>rectitudo</w:t>
      </w:r>
      <w:r w:rsidR="004C5F7A" w:rsidRPr="00273106">
        <w:t xml:space="preserve">. </w:t>
      </w:r>
      <w:r w:rsidRPr="00273106">
        <w:t>Hermeneutický výklad druhého averroismu ukázal, že Rufus</w:t>
      </w:r>
      <w:r w:rsidR="00D8702C">
        <w:t xml:space="preserve">ova a Kilwardbyho interpretace </w:t>
      </w:r>
      <w:r w:rsidR="08DE0C21">
        <w:t xml:space="preserve">Komentátora </w:t>
      </w:r>
      <w:r w:rsidRPr="00273106">
        <w:t xml:space="preserve">byla </w:t>
      </w:r>
      <w:r w:rsidR="006B4933" w:rsidRPr="00273106">
        <w:t xml:space="preserve">univočně </w:t>
      </w:r>
      <w:r w:rsidR="00D8702C">
        <w:t>sofistická, tedy averroistická</w:t>
      </w:r>
      <w:r w:rsidRPr="00273106">
        <w:t xml:space="preserve">. </w:t>
      </w:r>
      <w:r w:rsidR="08A352AC">
        <w:t xml:space="preserve">Jenže </w:t>
      </w:r>
      <w:r w:rsidR="002E3B62">
        <w:t>Averroes</w:t>
      </w:r>
      <w:r w:rsidR="00F103D2">
        <w:t xml:space="preserve"> nebyl averroistou.</w:t>
      </w:r>
    </w:p>
    <w:p w14:paraId="785264ED" w14:textId="6671372B" w:rsidR="00BD6312" w:rsidRPr="00273106" w:rsidRDefault="009B4486" w:rsidP="00F103D2">
      <w:pPr>
        <w:ind w:firstLine="397"/>
      </w:pPr>
      <w:r w:rsidRPr="00273106">
        <w:t xml:space="preserve">Komentáře k </w:t>
      </w:r>
      <w:r w:rsidRPr="002169B1">
        <w:rPr>
          <w:i/>
        </w:rPr>
        <w:t>Metafyzice</w:t>
      </w:r>
      <w:r w:rsidRPr="00273106">
        <w:t xml:space="preserve"> napsané Rufusem a Kilwardbym dávají vhled do již citovaného sporu </w:t>
      </w:r>
      <w:r w:rsidR="008F04CC">
        <w:t xml:space="preserve">Alverna </w:t>
      </w:r>
      <w:r w:rsidR="002169B1">
        <w:t xml:space="preserve">se skupinou, kterou nazval </w:t>
      </w:r>
      <w:r w:rsidRPr="00273106">
        <w:rPr>
          <w:i/>
        </w:rPr>
        <w:t>sophistae Latini</w:t>
      </w:r>
      <w:r w:rsidR="005109BC">
        <w:rPr>
          <w:i/>
        </w:rPr>
        <w:fldChar w:fldCharType="begin"/>
      </w:r>
      <w:r w:rsidR="005109BC">
        <w:instrText xml:space="preserve"> XE "</w:instrText>
      </w:r>
      <w:r w:rsidR="006B3960">
        <w:instrText>druhý averroismus:</w:instrText>
      </w:r>
      <w:r w:rsidR="005109BC" w:rsidRPr="00EC0AF4">
        <w:rPr>
          <w:i/>
          <w:lang w:eastAsia="en-US"/>
        </w:rPr>
        <w:instrText>sophistae Latini</w:instrText>
      </w:r>
      <w:r w:rsidR="005109BC">
        <w:instrText xml:space="preserve">" </w:instrText>
      </w:r>
      <w:r w:rsidR="005109BC">
        <w:rPr>
          <w:i/>
        </w:rPr>
        <w:fldChar w:fldCharType="end"/>
      </w:r>
      <w:r w:rsidRPr="00273106">
        <w:t>. Bacon zastával stejnou pozici</w:t>
      </w:r>
      <w:r w:rsidR="000C0BDA" w:rsidRPr="00273106">
        <w:t>, proto měl stejné filosofické protivníky</w:t>
      </w:r>
      <w:r w:rsidRPr="00273106">
        <w:t xml:space="preserve">. </w:t>
      </w:r>
      <w:r w:rsidR="00587FF1">
        <w:t xml:space="preserve">Hlavním terčem kritiky byl pochopitelně Rufus a jeho sofistický spis </w:t>
      </w:r>
      <w:r w:rsidR="00587FF1" w:rsidRPr="00587FF1">
        <w:rPr>
          <w:i/>
        </w:rPr>
        <w:t>Contra Averroem</w:t>
      </w:r>
      <w:r w:rsidR="082579FE">
        <w:t xml:space="preserve"> (kap. 3</w:t>
      </w:r>
      <w:r w:rsidR="00587FF1">
        <w:t xml:space="preserve">.3.3). </w:t>
      </w:r>
      <w:r w:rsidR="08C030A7">
        <w:t xml:space="preserve">Po Baconově vstupu do františkánského řádu </w:t>
      </w:r>
      <w:r w:rsidR="084E663F">
        <w:t xml:space="preserve">a </w:t>
      </w:r>
      <w:r w:rsidR="083B7414">
        <w:t>jeho odsunu do Pař</w:t>
      </w:r>
      <w:r w:rsidR="084E663F">
        <w:t xml:space="preserve">íže </w:t>
      </w:r>
      <w:r w:rsidR="08C030A7">
        <w:t xml:space="preserve">se stal </w:t>
      </w:r>
      <w:r w:rsidR="08EC55F6">
        <w:t xml:space="preserve">Baconovým </w:t>
      </w:r>
      <w:r w:rsidR="08C030A7">
        <w:t>protivníkem Bonaventura</w:t>
      </w:r>
      <w:r w:rsidR="084E663F">
        <w:t xml:space="preserve">, který prosadil </w:t>
      </w:r>
      <w:r w:rsidR="08EC55F6">
        <w:t xml:space="preserve">školu modernistů </w:t>
      </w:r>
      <w:r w:rsidR="084E663F">
        <w:t>na Pařížské univerzitě</w:t>
      </w:r>
      <w:r w:rsidR="08C030A7">
        <w:t xml:space="preserve">. </w:t>
      </w:r>
      <w:r w:rsidR="000C0BDA" w:rsidRPr="00273106">
        <w:t xml:space="preserve">Citát </w:t>
      </w:r>
      <w:r w:rsidRPr="00273106">
        <w:t xml:space="preserve">tvrdí s odvoláním na </w:t>
      </w:r>
      <w:r w:rsidR="002E3B62">
        <w:t>Averroes</w:t>
      </w:r>
      <w:r w:rsidRPr="00273106">
        <w:t>e</w:t>
      </w:r>
      <w:r w:rsidR="00C72955">
        <w:rPr>
          <w:i/>
        </w:rPr>
        <w:fldChar w:fldCharType="begin"/>
      </w:r>
      <w:r w:rsidR="00C72955">
        <w:instrText xml:space="preserve"> XE "</w:instrText>
      </w:r>
      <w:r w:rsidR="00C72955" w:rsidRPr="00490D32">
        <w:rPr>
          <w:i/>
        </w:rPr>
        <w:instrText>intellectus agens:</w:instrText>
      </w:r>
      <w:r w:rsidR="00C72955" w:rsidRPr="00C72955">
        <w:instrText>Bacon</w:instrText>
      </w:r>
      <w:r w:rsidR="00C72955">
        <w:instrText xml:space="preserve"> " </w:instrText>
      </w:r>
      <w:r w:rsidR="00C72955">
        <w:rPr>
          <w:i/>
        </w:rPr>
        <w:fldChar w:fldCharType="end"/>
      </w:r>
      <w:r w:rsidRPr="00273106">
        <w:t>, že činný intelekt tvoří část lidské duše (</w:t>
      </w:r>
      <w:r w:rsidRPr="00273106">
        <w:rPr>
          <w:i/>
        </w:rPr>
        <w:t>intellectus agens secundum Commentatorem est pars anime</w:t>
      </w:r>
      <w:r w:rsidR="08F948E7">
        <w:rPr>
          <w:i/>
        </w:rPr>
        <w:t xml:space="preserve">, </w:t>
      </w:r>
      <w:r w:rsidR="082579FE">
        <w:t>kap. 2</w:t>
      </w:r>
      <w:r w:rsidR="08F948E7" w:rsidRPr="08D70F36">
        <w:t>.3</w:t>
      </w:r>
      <w:r w:rsidRPr="00273106">
        <w:t xml:space="preserve">). Bacon dobře ví, že </w:t>
      </w:r>
      <w:r w:rsidR="000C0BDA" w:rsidRPr="00273106">
        <w:t xml:space="preserve">toto je originální pozice </w:t>
      </w:r>
      <w:r w:rsidR="002E3B62">
        <w:t>Averroes</w:t>
      </w:r>
      <w:r w:rsidR="00634575">
        <w:t>e. P</w:t>
      </w:r>
      <w:r w:rsidRPr="00273106">
        <w:t xml:space="preserve">roto </w:t>
      </w:r>
      <w:r w:rsidR="00634575" w:rsidRPr="00273106">
        <w:t xml:space="preserve">dává </w:t>
      </w:r>
      <w:r w:rsidRPr="00273106">
        <w:t>na druhou stranu fronty jak samotného Aristotela, tak i arabské vykladače (</w:t>
      </w:r>
      <w:r w:rsidRPr="00273106">
        <w:rPr>
          <w:i/>
        </w:rPr>
        <w:t>secundum Alpharabium et secundum Aristotelem et Avicennam</w:t>
      </w:r>
      <w:r w:rsidRPr="00273106">
        <w:t xml:space="preserve">). </w:t>
      </w:r>
      <w:r w:rsidR="080E6FAA">
        <w:t>Přesně tuto pozici zastával Alvernus, který postavil Averroese proti neoplatonským vykladačům Aristotela (</w:t>
      </w:r>
      <w:r w:rsidR="080E6FAA" w:rsidRPr="080E6FAA">
        <w:rPr>
          <w:i/>
        </w:rPr>
        <w:t>philosophus nobilissimus</w:t>
      </w:r>
      <w:r w:rsidR="080E6FAA">
        <w:t xml:space="preserve">, kap. 2.3). </w:t>
      </w:r>
      <w:r w:rsidRPr="00273106">
        <w:t>Bacon potvrzuje Albertův</w:t>
      </w:r>
      <w:r w:rsidR="08DA4C16">
        <w:t xml:space="preserve"> </w:t>
      </w:r>
      <w:r w:rsidR="001F3BDC">
        <w:t xml:space="preserve">výklad jednoty myšlení v rámci </w:t>
      </w:r>
      <w:r w:rsidRPr="00273106">
        <w:rPr>
          <w:i/>
        </w:rPr>
        <w:t>intellectus speculativus</w:t>
      </w:r>
      <w:r w:rsidR="00DF1B39">
        <w:rPr>
          <w:i/>
        </w:rPr>
        <w:fldChar w:fldCharType="begin"/>
      </w:r>
      <w:r w:rsidR="00DF1B39">
        <w:instrText xml:space="preserve"> XE "</w:instrText>
      </w:r>
      <w:r w:rsidR="00DF1B39" w:rsidRPr="00E2134B">
        <w:rPr>
          <w:i/>
        </w:rPr>
        <w:instrText>intellectus speculativus:</w:instrText>
      </w:r>
      <w:r w:rsidR="00865E79">
        <w:instrText>Bacon</w:instrText>
      </w:r>
      <w:r w:rsidR="00DF1B39">
        <w:instrText xml:space="preserve">" </w:instrText>
      </w:r>
      <w:r w:rsidR="00DF1B39">
        <w:rPr>
          <w:i/>
        </w:rPr>
        <w:fldChar w:fldCharType="end"/>
      </w:r>
      <w:r w:rsidRPr="00273106">
        <w:t xml:space="preserve"> jako součás</w:t>
      </w:r>
      <w:r w:rsidR="00E90C8F">
        <w:t>t interpretace podle CMDA (</w:t>
      </w:r>
      <w:r w:rsidR="082579FE">
        <w:t>kap. 2</w:t>
      </w:r>
      <w:r w:rsidRPr="00273106">
        <w:t>.4.2). Ostatní peripatetikové brání činný intelekt jako samostatnou oddělenou substanci (</w:t>
      </w:r>
      <w:r w:rsidRPr="00273106">
        <w:rPr>
          <w:i/>
        </w:rPr>
        <w:t>est aliquid aliud</w:t>
      </w:r>
      <w:r w:rsidRPr="00273106">
        <w:t xml:space="preserve">). Tím se znovu potvrzuje původní roztržka mezi prvním a druhým averroismem kolem 1240‒45 na půdě </w:t>
      </w:r>
      <w:r w:rsidR="00003CBD">
        <w:t>Pařížské univerzity</w:t>
      </w:r>
      <w:r w:rsidRPr="00273106">
        <w:t xml:space="preserve">, kterou dosvědčuje jak </w:t>
      </w:r>
      <w:r w:rsidR="00CC0CBF">
        <w:t xml:space="preserve">Bacon, tak </w:t>
      </w:r>
      <w:r w:rsidRPr="00273106">
        <w:t xml:space="preserve">Albert Veliký, tak i Alvernus. </w:t>
      </w:r>
      <w:r w:rsidR="001F3BDC">
        <w:t xml:space="preserve">Spor pokračoval rozchodem </w:t>
      </w:r>
      <w:r w:rsidR="00F0102D">
        <w:t xml:space="preserve">obou škol </w:t>
      </w:r>
      <w:r w:rsidR="0888021C">
        <w:t xml:space="preserve">ohledně Komentátorova výkladu </w:t>
      </w:r>
      <w:r w:rsidR="0888021C" w:rsidRPr="0888021C">
        <w:rPr>
          <w:i/>
        </w:rPr>
        <w:t>M</w:t>
      </w:r>
      <w:r w:rsidR="00F0102D" w:rsidRPr="0888021C">
        <w:rPr>
          <w:i/>
        </w:rPr>
        <w:t>etafyziky</w:t>
      </w:r>
      <w:r w:rsidR="00F0102D">
        <w:t xml:space="preserve">. Útok </w:t>
      </w:r>
      <w:r w:rsidR="08E728DE">
        <w:t xml:space="preserve">modernistů </w:t>
      </w:r>
      <w:r w:rsidR="00F0102D">
        <w:t xml:space="preserve">spustilo </w:t>
      </w:r>
      <w:r w:rsidR="008154B2">
        <w:t>úmrtí biskupa Alver</w:t>
      </w:r>
      <w:r w:rsidR="00F0102D">
        <w:t xml:space="preserve">na (1249), kdy na Pařížské univerzitě vznikla nová situace. </w:t>
      </w:r>
      <w:r w:rsidR="00427F37">
        <w:t xml:space="preserve">Po příchodu averroisty Rufuse do Oxfordu (1250), </w:t>
      </w:r>
      <w:r w:rsidR="001F3BDC">
        <w:t>Kilward</w:t>
      </w:r>
      <w:r w:rsidR="008154B2">
        <w:t xml:space="preserve">by </w:t>
      </w:r>
      <w:r w:rsidR="00427F37">
        <w:t xml:space="preserve">v Oxfrodu a </w:t>
      </w:r>
      <w:r w:rsidR="001F3BDC">
        <w:t xml:space="preserve">Bonaventura </w:t>
      </w:r>
      <w:r w:rsidR="087E4410">
        <w:t xml:space="preserve">v Paříži </w:t>
      </w:r>
      <w:r w:rsidR="001F3BDC">
        <w:t>zahajují frontální útok na Averroese</w:t>
      </w:r>
      <w:r w:rsidR="08EB1640">
        <w:t xml:space="preserve"> jako heretika</w:t>
      </w:r>
      <w:r w:rsidR="087E4410">
        <w:t>. Bonaventurův komentář ke druhé knize Sen</w:t>
      </w:r>
      <w:r w:rsidR="083A03C4">
        <w:t>tencí (</w:t>
      </w:r>
      <w:r w:rsidR="087E4410">
        <w:t xml:space="preserve">1252) označuje Komentátorovu </w:t>
      </w:r>
      <w:r w:rsidR="08EB1640">
        <w:t>filosofi</w:t>
      </w:r>
      <w:r w:rsidR="087E4410">
        <w:t>i</w:t>
      </w:r>
      <w:r w:rsidR="08EB1640">
        <w:t xml:space="preserve"> jako </w:t>
      </w:r>
      <w:r w:rsidR="08EB1640" w:rsidRPr="00273106">
        <w:rPr>
          <w:i/>
        </w:rPr>
        <w:t>pessima, heretica, contra christianam religionem</w:t>
      </w:r>
      <w:r w:rsidR="08EB1640">
        <w:rPr>
          <w:i/>
        </w:rPr>
        <w:t xml:space="preserve"> </w:t>
      </w:r>
      <w:r w:rsidR="08EB1640" w:rsidRPr="08EB1640">
        <w:t>(</w:t>
      </w:r>
      <w:r w:rsidR="083D37AE">
        <w:t>OBJ III, kap. 4</w:t>
      </w:r>
      <w:r w:rsidR="08EB1640">
        <w:t>.1.2)</w:t>
      </w:r>
      <w:r w:rsidR="001F3BDC">
        <w:t xml:space="preserve">. </w:t>
      </w:r>
      <w:r w:rsidRPr="00273106">
        <w:t xml:space="preserve">Pozice Bacona </w:t>
      </w:r>
      <w:r w:rsidR="002F1276">
        <w:t>jasně ukazuje, že první averro</w:t>
      </w:r>
      <w:r w:rsidRPr="00273106">
        <w:t>ismus musel bránit auten</w:t>
      </w:r>
      <w:r w:rsidR="002F1276">
        <w:t xml:space="preserve">tické učení </w:t>
      </w:r>
      <w:r w:rsidR="002E3B62">
        <w:t>Averroes</w:t>
      </w:r>
      <w:r w:rsidRPr="00273106">
        <w:t xml:space="preserve">e, protože dalo jako jediné zásadně pozitivní odpověď na filosofické aporie druhého averroismu spojeného s neoplatonismem a s Avicennou. </w:t>
      </w:r>
      <w:r w:rsidR="006A4DF5" w:rsidRPr="00273106">
        <w:t>První averroismus jasně viděl, že pouze CMDA posky</w:t>
      </w:r>
      <w:r w:rsidR="00D055D3" w:rsidRPr="00273106">
        <w:t>t</w:t>
      </w:r>
      <w:r w:rsidR="006A4DF5" w:rsidRPr="00273106">
        <w:t xml:space="preserve">l </w:t>
      </w:r>
      <w:r w:rsidR="00D055D3" w:rsidRPr="00273106">
        <w:t xml:space="preserve">vyčerpávající </w:t>
      </w:r>
      <w:r w:rsidR="006A4DF5" w:rsidRPr="00273106">
        <w:t xml:space="preserve">odpověď na aporie spisu </w:t>
      </w:r>
      <w:r w:rsidR="006A4DF5" w:rsidRPr="00273106">
        <w:rPr>
          <w:i/>
        </w:rPr>
        <w:t>De anima</w:t>
      </w:r>
      <w:r w:rsidR="006A4DF5" w:rsidRPr="00273106">
        <w:t xml:space="preserve"> ohledně jednoty poznání a individuální osoby. </w:t>
      </w:r>
      <w:r w:rsidR="08D504F9">
        <w:t xml:space="preserve">Správné poznání umožnilo postavit správnou „meta-fyziku“ jako první vědu o substanci </w:t>
      </w:r>
      <w:r w:rsidR="08D504F9" w:rsidRPr="08D504F9">
        <w:rPr>
          <w:i/>
        </w:rPr>
        <w:t>qua</w:t>
      </w:r>
      <w:r w:rsidR="08D504F9">
        <w:t xml:space="preserve"> substanci. </w:t>
      </w:r>
      <w:r w:rsidR="08D504F9" w:rsidRPr="00273106">
        <w:t xml:space="preserve">Rozbor druhého averroismu ukázal, že kategoriální predikace daná skrze hypostáze typu kvantity a čísla dostala v rámci </w:t>
      </w:r>
      <w:r w:rsidR="08D504F9" w:rsidRPr="00273106">
        <w:rPr>
          <w:i/>
        </w:rPr>
        <w:t>Oxfordian Fallacy</w:t>
      </w:r>
      <w:r w:rsidR="08D504F9">
        <w:rPr>
          <w:i/>
        </w:rPr>
        <w:fldChar w:fldCharType="begin"/>
      </w:r>
      <w:r w:rsidR="08D504F9">
        <w:instrText xml:space="preserve"> XE "</w:instrText>
      </w:r>
      <w:r w:rsidR="08D504F9" w:rsidRPr="0015798D">
        <w:rPr>
          <w:i/>
        </w:rPr>
        <w:instrText>Oxfordian Fallacy:</w:instrText>
      </w:r>
      <w:r w:rsidR="08D504F9" w:rsidRPr="007D1242">
        <w:instrText>substance</w:instrText>
      </w:r>
      <w:r w:rsidR="08D504F9">
        <w:instrText xml:space="preserve">" </w:instrText>
      </w:r>
      <w:r w:rsidR="08D504F9">
        <w:rPr>
          <w:i/>
        </w:rPr>
        <w:fldChar w:fldCharType="end"/>
      </w:r>
      <w:r w:rsidR="08D504F9" w:rsidRPr="00273106">
        <w:t xml:space="preserve"> nový vědecký statut, což potvrdila i následná logická škol</w:t>
      </w:r>
      <w:r w:rsidR="08D504F9">
        <w:t>a ovlivněná Kil</w:t>
      </w:r>
      <w:r w:rsidR="08D504F9" w:rsidRPr="00273106">
        <w:t xml:space="preserve">wardbym. </w:t>
      </w:r>
      <w:r w:rsidR="08D504F9">
        <w:t xml:space="preserve">V </w:t>
      </w:r>
      <w:r w:rsidR="08D504F9" w:rsidRPr="00273106">
        <w:t>díle Ki</w:t>
      </w:r>
      <w:r w:rsidR="08D504F9">
        <w:t xml:space="preserve">lwardbyho pokračuje oxfordská škola analytických logiků činných v době Dunse Scota </w:t>
      </w:r>
      <w:r w:rsidR="08D504F9" w:rsidRPr="00273106">
        <w:rPr>
          <w:szCs w:val="18"/>
        </w:rPr>
        <w:t>(</w:t>
      </w:r>
      <w:r w:rsidR="08D504F9" w:rsidRPr="00273106">
        <w:t>Guillaume de Walcote</w:t>
      </w:r>
      <w:r w:rsidR="08D504F9">
        <w:fldChar w:fldCharType="begin"/>
      </w:r>
      <w:r w:rsidR="08D504F9">
        <w:instrText xml:space="preserve"> XE "</w:instrText>
      </w:r>
      <w:r w:rsidR="08D504F9" w:rsidRPr="0083535F">
        <w:instrText>Guillaume de Walcote</w:instrText>
      </w:r>
      <w:r w:rsidR="08D504F9">
        <w:instrText xml:space="preserve">" </w:instrText>
      </w:r>
      <w:r w:rsidR="08D504F9">
        <w:fldChar w:fldCharType="end"/>
      </w:r>
      <w:r w:rsidR="08D504F9" w:rsidRPr="00273106">
        <w:t>, Guillaume de Bonkes</w:t>
      </w:r>
      <w:r w:rsidR="08D504F9">
        <w:fldChar w:fldCharType="begin"/>
      </w:r>
      <w:r w:rsidR="08D504F9">
        <w:instrText xml:space="preserve"> XE "</w:instrText>
      </w:r>
      <w:r w:rsidR="08D504F9" w:rsidRPr="00560DA8">
        <w:instrText>Guillaume de Bonkes</w:instrText>
      </w:r>
      <w:r w:rsidR="08D504F9">
        <w:instrText xml:space="preserve">" </w:instrText>
      </w:r>
      <w:r w:rsidR="08D504F9">
        <w:fldChar w:fldCharType="end"/>
      </w:r>
      <w:r w:rsidR="08D504F9" w:rsidRPr="00273106">
        <w:rPr>
          <w:szCs w:val="18"/>
        </w:rPr>
        <w:t>)</w:t>
      </w:r>
      <w:r w:rsidR="08D504F9" w:rsidRPr="00273106">
        <w:t>. Ki</w:t>
      </w:r>
      <w:r w:rsidR="08D504F9">
        <w:t xml:space="preserve">lwardbyho žáci sloučili druhý averroismus vzniklý v Paříži s teorií univerzálního hylemorfismu podle Rufusem zavedené </w:t>
      </w:r>
      <w:r w:rsidR="08D504F9" w:rsidRPr="000D2FA9">
        <w:rPr>
          <w:i/>
        </w:rPr>
        <w:t>Oxfordian Fallacy</w:t>
      </w:r>
      <w:r w:rsidR="00977F17">
        <w:t>. K</w:t>
      </w:r>
      <w:r w:rsidR="08D504F9">
        <w:t xml:space="preserve">auzálně pojatá porretánská </w:t>
      </w:r>
      <w:r w:rsidR="004B4D52" w:rsidRPr="004B4D52">
        <w:t>species</w:t>
      </w:r>
      <w:r w:rsidR="08D504F9">
        <w:t xml:space="preserve"> a matematická abstrakce</w:t>
      </w:r>
      <w:r w:rsidR="00977F17">
        <w:t xml:space="preserve"> určovaly novou teorii vědy</w:t>
      </w:r>
      <w:r w:rsidR="08D504F9">
        <w:t>. Sloučením všech těchto sofismat vznikla po roce 1250 kompletní figura analytické metafyziky, která už má plně karteziánský charakter.</w:t>
      </w:r>
    </w:p>
    <w:p w14:paraId="0BF6C785" w14:textId="21217ED7" w:rsidR="08EC7A48" w:rsidRPr="00273106" w:rsidRDefault="00C51568" w:rsidP="086C1F19">
      <w:pPr>
        <w:pStyle w:val="Nadpis3"/>
      </w:pPr>
      <w:bookmarkStart w:id="142" w:name="_Toc487234325"/>
      <w:bookmarkStart w:id="143" w:name="_Toc12558332"/>
      <w:r>
        <w:rPr>
          <w:lang w:val="cs-CZ"/>
        </w:rPr>
        <w:br w:type="page"/>
      </w:r>
      <w:bookmarkStart w:id="144" w:name="_Toc160449345"/>
      <w:r w:rsidR="08D20D28">
        <w:rPr>
          <w:lang w:val="cs-CZ"/>
        </w:rPr>
        <w:t>3</w:t>
      </w:r>
      <w:r w:rsidR="08EC7A48" w:rsidRPr="00273106">
        <w:t xml:space="preserve">.4.3 </w:t>
      </w:r>
      <w:r w:rsidR="00FE74D3">
        <w:rPr>
          <w:lang w:val="cs-CZ"/>
        </w:rPr>
        <w:t>P</w:t>
      </w:r>
      <w:r w:rsidR="00FE74D3">
        <w:t>ravd</w:t>
      </w:r>
      <w:r w:rsidR="00FE74D3">
        <w:rPr>
          <w:lang w:val="cs-CZ"/>
        </w:rPr>
        <w:t>a objektivní</w:t>
      </w:r>
      <w:r w:rsidR="00B7112E" w:rsidRPr="00273106">
        <w:t xml:space="preserve"> substance</w:t>
      </w:r>
      <w:bookmarkEnd w:id="142"/>
      <w:bookmarkEnd w:id="143"/>
      <w:bookmarkEnd w:id="144"/>
    </w:p>
    <w:p w14:paraId="0A1485B0" w14:textId="3731B451" w:rsidR="00306201" w:rsidRDefault="000D4068" w:rsidP="000F5261">
      <w:r w:rsidRPr="000D4068">
        <w:t xml:space="preserve">Kilwardby učinil rozhodující krok v sofistice </w:t>
      </w:r>
      <w:r w:rsidRPr="000D4068">
        <w:rPr>
          <w:i/>
        </w:rPr>
        <w:t>Modernorum</w:t>
      </w:r>
      <w:r>
        <w:t>.</w:t>
      </w:r>
      <w:r w:rsidRPr="000D4068">
        <w:t xml:space="preserve"> Vybudoval jednotnou vědu založenou na mytologické sféře </w:t>
      </w:r>
      <w:r w:rsidRPr="000D4068">
        <w:rPr>
          <w:i/>
        </w:rPr>
        <w:t>tertium ens</w:t>
      </w:r>
      <w:r w:rsidRPr="000D4068">
        <w:t xml:space="preserve">. Scotus </w:t>
      </w:r>
      <w:r>
        <w:t xml:space="preserve">završil tento </w:t>
      </w:r>
      <w:r w:rsidRPr="000D4068">
        <w:t xml:space="preserve">úkol </w:t>
      </w:r>
      <w:r>
        <w:t>tím, že opravil nejhorší chyby O</w:t>
      </w:r>
      <w:r w:rsidRPr="000D4068">
        <w:t xml:space="preserve">xfordského bludu tak, aby metafyzika avicennismu vypadala jako aristotelská </w:t>
      </w:r>
      <w:r w:rsidR="0061292C">
        <w:t xml:space="preserve">první </w:t>
      </w:r>
      <w:r w:rsidRPr="000D4068">
        <w:t>věda.</w:t>
      </w:r>
      <w:r>
        <w:t xml:space="preserve"> </w:t>
      </w:r>
      <w:r w:rsidR="087916EB">
        <w:t xml:space="preserve">Podívejme se na jeden důležitý spor, který ukazuje akademické etablování analytické filosofie na Oxfordu po roce 1250. </w:t>
      </w:r>
      <w:r w:rsidR="08D212CC">
        <w:t>P</w:t>
      </w:r>
      <w:r w:rsidR="08D212CC" w:rsidRPr="00273106">
        <w:t>ůvodní spor</w:t>
      </w:r>
      <w:r w:rsidR="08D212CC">
        <w:t xml:space="preserve"> člověka-mrtvoly</w:t>
      </w:r>
      <w:r w:rsidR="08D212CC">
        <w:fldChar w:fldCharType="begin"/>
      </w:r>
      <w:r w:rsidR="08D212CC">
        <w:instrText xml:space="preserve"> XE "</w:instrText>
      </w:r>
      <w:r w:rsidR="08D212CC" w:rsidRPr="002F72AD">
        <w:instrText>sofisma člověk-mrtvola</w:instrText>
      </w:r>
      <w:r w:rsidR="08D212CC">
        <w:instrText xml:space="preserve">" </w:instrText>
      </w:r>
      <w:r w:rsidR="08D212CC">
        <w:fldChar w:fldCharType="end"/>
      </w:r>
      <w:r w:rsidR="08D212CC" w:rsidRPr="00273106">
        <w:t xml:space="preserve"> </w:t>
      </w:r>
      <w:r w:rsidR="00F86A06">
        <w:t xml:space="preserve">je </w:t>
      </w:r>
      <w:r w:rsidR="08D212CC">
        <w:t xml:space="preserve">známý z </w:t>
      </w:r>
      <w:r w:rsidR="08D212CC" w:rsidRPr="00273106">
        <w:rPr>
          <w:i/>
        </w:rPr>
        <w:t>logica Modernorum</w:t>
      </w:r>
      <w:r w:rsidR="08D212CC">
        <w:rPr>
          <w:i/>
        </w:rPr>
        <w:fldChar w:fldCharType="begin"/>
      </w:r>
      <w:r w:rsidR="08D212CC">
        <w:instrText xml:space="preserve"> XE "</w:instrText>
      </w:r>
      <w:r w:rsidR="08D212CC" w:rsidRPr="001100BE">
        <w:rPr>
          <w:i/>
        </w:rPr>
        <w:instrText>logica Modernorum</w:instrText>
      </w:r>
      <w:r w:rsidR="08D212CC">
        <w:instrText xml:space="preserve">" </w:instrText>
      </w:r>
      <w:r w:rsidR="08D212CC">
        <w:rPr>
          <w:i/>
        </w:rPr>
        <w:fldChar w:fldCharType="end"/>
      </w:r>
      <w:r w:rsidR="00F86A06">
        <w:t xml:space="preserve">. Pak </w:t>
      </w:r>
      <w:r w:rsidR="08D212CC" w:rsidRPr="00273106">
        <w:t xml:space="preserve">přešel do škol moderních </w:t>
      </w:r>
      <w:r w:rsidR="08D212CC" w:rsidRPr="00273106">
        <w:rPr>
          <w:i/>
        </w:rPr>
        <w:t>Nominales</w:t>
      </w:r>
      <w:r w:rsidR="00F86A06">
        <w:t xml:space="preserve">, které </w:t>
      </w:r>
      <w:r w:rsidR="08D212CC" w:rsidRPr="00273106">
        <w:t>Blundov</w:t>
      </w:r>
      <w:r w:rsidR="00F86A06">
        <w:t>a</w:t>
      </w:r>
      <w:r w:rsidR="08D212CC" w:rsidRPr="00273106">
        <w:t xml:space="preserve"> škol</w:t>
      </w:r>
      <w:r w:rsidR="00F86A06">
        <w:t xml:space="preserve">a </w:t>
      </w:r>
      <w:r w:rsidR="00C94129">
        <w:t xml:space="preserve">a </w:t>
      </w:r>
      <w:r w:rsidR="08D212CC" w:rsidRPr="00273106">
        <w:t>první averrois</w:t>
      </w:r>
      <w:r w:rsidR="00B85115">
        <w:t>mus</w:t>
      </w:r>
      <w:r w:rsidR="00C94129">
        <w:t xml:space="preserve"> poslaly</w:t>
      </w:r>
      <w:r w:rsidR="00F86A06">
        <w:t xml:space="preserve"> do filosofického očistce</w:t>
      </w:r>
      <w:r w:rsidR="08D212CC">
        <w:t xml:space="preserve">. </w:t>
      </w:r>
      <w:r w:rsidR="08593E46">
        <w:t xml:space="preserve">Logický </w:t>
      </w:r>
      <w:r w:rsidR="08593E46" w:rsidRPr="00273106">
        <w:t>formalismus</w:t>
      </w:r>
      <w:r w:rsidR="08593E46">
        <w:t xml:space="preserve"> spojený s metafyzikou </w:t>
      </w:r>
      <w:r w:rsidR="08593E46" w:rsidRPr="080B3827">
        <w:rPr>
          <w:i/>
        </w:rPr>
        <w:t>Modernorum</w:t>
      </w:r>
      <w:r w:rsidR="08593E46">
        <w:t xml:space="preserve"> hájil </w:t>
      </w:r>
      <w:r w:rsidR="08593E46" w:rsidRPr="00273106">
        <w:t xml:space="preserve"> </w:t>
      </w:r>
      <w:r w:rsidR="08593E46">
        <w:t xml:space="preserve">kolem roku 1250 na Oxfordu především Willliam ze </w:t>
      </w:r>
      <w:r w:rsidR="08593E46" w:rsidRPr="00273106">
        <w:t>Sherwood</w:t>
      </w:r>
      <w:r w:rsidR="08593E46">
        <w:t>u (Guillelmus de Shyreswood</w:t>
      </w:r>
      <w:r w:rsidR="082B3E1A">
        <w:t>, †1272</w:t>
      </w:r>
      <w:r w:rsidR="08593E46">
        <w:t xml:space="preserve">). </w:t>
      </w:r>
      <w:r w:rsidR="0010449B">
        <w:t>M</w:t>
      </w:r>
      <w:r w:rsidR="08530D06" w:rsidRPr="00273106">
        <w:t>oderna nepotřebuje existenci první substance pro zajištění predikace v rámci deduktivního soudu</w:t>
      </w:r>
      <w:r w:rsidR="08530D06">
        <w:t xml:space="preserve"> a zrušila metafyziku jako zbytečnou</w:t>
      </w:r>
      <w:r w:rsidR="08530D06" w:rsidRPr="00273106">
        <w:t>.</w:t>
      </w:r>
      <w:r w:rsidR="08530D06">
        <w:t xml:space="preserve"> </w:t>
      </w:r>
      <w:r w:rsidR="00905CEC">
        <w:t>Sherwood odmítl</w:t>
      </w:r>
      <w:r w:rsidR="08530D06" w:rsidRPr="00273106">
        <w:t xml:space="preserve"> požad</w:t>
      </w:r>
      <w:r w:rsidR="08530D06">
        <w:t xml:space="preserve">avek klasické logiky, že výrok </w:t>
      </w:r>
      <w:r w:rsidR="00905CEC">
        <w:t>„</w:t>
      </w:r>
      <w:r w:rsidR="08530D06" w:rsidRPr="0028756E">
        <w:rPr>
          <w:i/>
        </w:rPr>
        <w:t>homo est</w:t>
      </w:r>
      <w:r w:rsidR="00905CEC">
        <w:t>“</w:t>
      </w:r>
      <w:r w:rsidR="08530D06">
        <w:t xml:space="preserve"> a </w:t>
      </w:r>
      <w:r w:rsidR="00905CEC">
        <w:t>„</w:t>
      </w:r>
      <w:r w:rsidR="08530D06" w:rsidRPr="0028756E">
        <w:rPr>
          <w:i/>
        </w:rPr>
        <w:t>homo est animal</w:t>
      </w:r>
      <w:r w:rsidR="00905CEC">
        <w:t>“</w:t>
      </w:r>
      <w:r w:rsidR="08530D06">
        <w:t xml:space="preserve"> platí pouze ekvivočně. Kopula </w:t>
      </w:r>
      <w:r w:rsidR="00C26BDA">
        <w:t>„</w:t>
      </w:r>
      <w:r w:rsidR="08530D06" w:rsidRPr="000512F6">
        <w:rPr>
          <w:i/>
        </w:rPr>
        <w:t>est</w:t>
      </w:r>
      <w:r w:rsidR="00C26BDA">
        <w:t>“</w:t>
      </w:r>
      <w:r w:rsidR="08530D06" w:rsidRPr="00273106">
        <w:t xml:space="preserve"> pod</w:t>
      </w:r>
      <w:r w:rsidR="08530D06">
        <w:t xml:space="preserve">le něj identifikuje predikát </w:t>
      </w:r>
      <w:r w:rsidR="00C26BDA">
        <w:t>„</w:t>
      </w:r>
      <w:r w:rsidR="08530D06" w:rsidRPr="00273106">
        <w:rPr>
          <w:i/>
        </w:rPr>
        <w:t>animal ens</w:t>
      </w:r>
      <w:r w:rsidR="00C26BDA">
        <w:t>“</w:t>
      </w:r>
      <w:r w:rsidR="08530D06">
        <w:t xml:space="preserve"> jako tzv. </w:t>
      </w:r>
      <w:r w:rsidR="08530D06" w:rsidRPr="00273106">
        <w:rPr>
          <w:i/>
        </w:rPr>
        <w:t>specificatum</w:t>
      </w:r>
      <w:r w:rsidR="08530D06">
        <w:t xml:space="preserve">. </w:t>
      </w:r>
      <w:r w:rsidR="08593E46" w:rsidRPr="00273106">
        <w:t>Tento náhle</w:t>
      </w:r>
      <w:r w:rsidR="08593E46">
        <w:t xml:space="preserve">d na realitu ukazuje Sherwoodova logika skrze spor o predikaci </w:t>
      </w:r>
      <w:r w:rsidR="000F2336">
        <w:t>„</w:t>
      </w:r>
      <w:r w:rsidR="08593E46" w:rsidRPr="00273106">
        <w:rPr>
          <w:i/>
        </w:rPr>
        <w:t>secundum et</w:t>
      </w:r>
      <w:r w:rsidR="08593E46" w:rsidRPr="00273106">
        <w:t xml:space="preserve"> </w:t>
      </w:r>
      <w:r w:rsidR="08593E46" w:rsidRPr="00273106">
        <w:rPr>
          <w:i/>
        </w:rPr>
        <w:t>tertium adicens</w:t>
      </w:r>
      <w:r w:rsidR="000F2336">
        <w:t>“</w:t>
      </w:r>
      <w:r w:rsidR="08593E46" w:rsidRPr="00273106">
        <w:t xml:space="preserve"> (</w:t>
      </w:r>
      <w:r w:rsidR="08593E46">
        <w:t>Sherwood 2008, 440‒</w:t>
      </w:r>
      <w:r w:rsidR="08593E46" w:rsidRPr="00273106">
        <w:t>47).</w:t>
      </w:r>
      <w:r w:rsidR="08593E46">
        <w:t xml:space="preserve"> Citovaná </w:t>
      </w:r>
      <w:r w:rsidR="08D504F9" w:rsidRPr="00273106">
        <w:t>pasáž ukazuje</w:t>
      </w:r>
      <w:r w:rsidR="08D504F9">
        <w:t xml:space="preserve"> objektivní formalizaci kopuly </w:t>
      </w:r>
      <w:r w:rsidR="00DA1783">
        <w:t>„</w:t>
      </w:r>
      <w:r w:rsidR="08D504F9" w:rsidRPr="00273106">
        <w:rPr>
          <w:i/>
        </w:rPr>
        <w:t>est</w:t>
      </w:r>
      <w:r w:rsidR="00DA1783">
        <w:t>“</w:t>
      </w:r>
      <w:r w:rsidR="08D504F9" w:rsidRPr="00273106">
        <w:t xml:space="preserve"> kolem </w:t>
      </w:r>
      <w:r w:rsidR="08D504F9">
        <w:t xml:space="preserve">roku </w:t>
      </w:r>
      <w:r w:rsidR="08D504F9" w:rsidRPr="00273106">
        <w:t xml:space="preserve">1250. Sherwood vztáhl význam kopuly k Anselmově signifikaci postavené za rámec klasického </w:t>
      </w:r>
      <w:r w:rsidR="08D504F9" w:rsidRPr="00273106">
        <w:rPr>
          <w:i/>
        </w:rPr>
        <w:t>enuntiatio</w:t>
      </w:r>
      <w:r w:rsidR="08D504F9">
        <w:rPr>
          <w:i/>
        </w:rPr>
        <w:fldChar w:fldCharType="begin"/>
      </w:r>
      <w:r w:rsidR="08D504F9">
        <w:instrText xml:space="preserve"> XE "</w:instrText>
      </w:r>
      <w:r w:rsidR="08D504F9" w:rsidRPr="0038128E">
        <w:rPr>
          <w:i/>
        </w:rPr>
        <w:instrText>enuntiatio:</w:instrText>
      </w:r>
      <w:r w:rsidR="08D504F9" w:rsidRPr="00273106">
        <w:instrText>Sherwood</w:instrText>
      </w:r>
      <w:r w:rsidR="08D504F9">
        <w:instrText xml:space="preserve">" </w:instrText>
      </w:r>
      <w:r w:rsidR="08D504F9">
        <w:rPr>
          <w:i/>
        </w:rPr>
        <w:fldChar w:fldCharType="end"/>
      </w:r>
      <w:r w:rsidR="08D504F9" w:rsidRPr="00273106">
        <w:t xml:space="preserve"> daného ve </w:t>
      </w:r>
      <w:r w:rsidR="08D504F9" w:rsidRPr="00174A0B">
        <w:rPr>
          <w:i/>
        </w:rPr>
        <w:t>Druhých analytikách</w:t>
      </w:r>
      <w:r w:rsidR="08D504F9" w:rsidRPr="00273106">
        <w:t xml:space="preserve">. </w:t>
      </w:r>
      <w:r w:rsidR="08D504F9">
        <w:t>Ta</w:t>
      </w:r>
      <w:r w:rsidR="08D504F9" w:rsidRPr="00273106">
        <w:t xml:space="preserve">to </w:t>
      </w:r>
      <w:r w:rsidR="004B4D52" w:rsidRPr="004B4D52">
        <w:t>species</w:t>
      </w:r>
      <w:r w:rsidR="08D504F9" w:rsidRPr="00273106">
        <w:t xml:space="preserve"> </w:t>
      </w:r>
      <w:r w:rsidR="08D504F9">
        <w:t xml:space="preserve">na úrovni poslední determinace </w:t>
      </w:r>
      <w:r w:rsidR="004B4D52" w:rsidRPr="002C0DD4">
        <w:rPr>
          <w:i/>
        </w:rPr>
        <w:t>species</w:t>
      </w:r>
      <w:r w:rsidR="08D504F9" w:rsidRPr="00273106">
        <w:rPr>
          <w:i/>
        </w:rPr>
        <w:t xml:space="preserve"> specialisssima</w:t>
      </w:r>
      <w:r w:rsidR="08D504F9" w:rsidRPr="00273106">
        <w:t xml:space="preserve"> signifikuje univočně danou</w:t>
      </w:r>
      <w:r w:rsidR="08D504F9">
        <w:t xml:space="preserve"> </w:t>
      </w:r>
      <w:r w:rsidR="002C0DD4">
        <w:t>„</w:t>
      </w:r>
      <w:r w:rsidR="08D504F9" w:rsidRPr="00273106">
        <w:rPr>
          <w:i/>
        </w:rPr>
        <w:t>res</w:t>
      </w:r>
      <w:r w:rsidR="002C0DD4">
        <w:t>“</w:t>
      </w:r>
      <w:r w:rsidR="08D504F9" w:rsidRPr="00273106">
        <w:t xml:space="preserve"> a </w:t>
      </w:r>
      <w:r w:rsidR="08D504F9">
        <w:t xml:space="preserve">vzhledem k výroku </w:t>
      </w:r>
      <w:r w:rsidR="002C0DD4">
        <w:t>„</w:t>
      </w:r>
      <w:r w:rsidR="08D504F9" w:rsidRPr="00273106">
        <w:rPr>
          <w:i/>
        </w:rPr>
        <w:t>homo est</w:t>
      </w:r>
      <w:r w:rsidR="002C0DD4">
        <w:t>“</w:t>
      </w:r>
      <w:r w:rsidR="08D504F9" w:rsidRPr="00273106">
        <w:t xml:space="preserve"> signifikuje současně existenci první substance (ibid, p. 444). </w:t>
      </w:r>
      <w:r w:rsidR="08D504F9">
        <w:t xml:space="preserve">Konsignifikace v rámci slovesa </w:t>
      </w:r>
      <w:r w:rsidR="002C0DD4">
        <w:t>„</w:t>
      </w:r>
      <w:r w:rsidR="08D504F9" w:rsidRPr="0028756E">
        <w:rPr>
          <w:i/>
        </w:rPr>
        <w:t>est</w:t>
      </w:r>
      <w:r w:rsidR="002C0DD4">
        <w:t>“</w:t>
      </w:r>
      <w:r w:rsidR="08D504F9" w:rsidRPr="00273106">
        <w:t xml:space="preserve"> dostala univoční význam vzhledem ke kopule, zatímco </w:t>
      </w:r>
      <w:r w:rsidR="00CB3E4F">
        <w:t>Abélard</w:t>
      </w:r>
      <w:r w:rsidR="08D504F9" w:rsidRPr="00273106">
        <w:t xml:space="preserve"> a Bacon ji chápali proti </w:t>
      </w:r>
      <w:r w:rsidR="08D504F9" w:rsidRPr="00273106">
        <w:rPr>
          <w:i/>
        </w:rPr>
        <w:t>Modernorum</w:t>
      </w:r>
      <w:r w:rsidR="08D504F9" w:rsidRPr="00273106">
        <w:t xml:space="preserve"> str</w:t>
      </w:r>
      <w:r w:rsidR="08D504F9">
        <w:t>iktně ekvivočně (ibid, pp. 441‒</w:t>
      </w:r>
      <w:r w:rsidR="08D504F9" w:rsidRPr="00273106">
        <w:t xml:space="preserve">42). </w:t>
      </w:r>
      <w:r w:rsidR="08D504F9">
        <w:t>Opět je vidět</w:t>
      </w:r>
      <w:r w:rsidR="002C0DD4">
        <w:t xml:space="preserve">, co udělalo </w:t>
      </w:r>
      <w:r w:rsidR="08D504F9">
        <w:t xml:space="preserve">zmizení metafyzické abstrakce z analytického myšlení </w:t>
      </w:r>
      <w:r w:rsidR="002C0DD4">
        <w:t xml:space="preserve">ovlivněného </w:t>
      </w:r>
      <w:r w:rsidR="08D504F9" w:rsidRPr="08CD6609">
        <w:rPr>
          <w:i/>
        </w:rPr>
        <w:t>Oxfordian Fallacy</w:t>
      </w:r>
      <w:r w:rsidR="08D504F9">
        <w:t>. Logická k</w:t>
      </w:r>
      <w:r w:rsidR="08D504F9" w:rsidRPr="00273106">
        <w:t xml:space="preserve">opula jako </w:t>
      </w:r>
      <w:r w:rsidR="002C0DD4">
        <w:t>„</w:t>
      </w:r>
      <w:r w:rsidR="08D504F9" w:rsidRPr="00273106">
        <w:rPr>
          <w:i/>
        </w:rPr>
        <w:t>tertium adiacens</w:t>
      </w:r>
      <w:r w:rsidR="002C0DD4">
        <w:t>“</w:t>
      </w:r>
      <w:r w:rsidR="08D504F9" w:rsidRPr="00273106">
        <w:t xml:space="preserve"> </w:t>
      </w:r>
      <w:r w:rsidR="002C0DD4">
        <w:t xml:space="preserve">následuje </w:t>
      </w:r>
      <w:r w:rsidR="08D504F9" w:rsidRPr="00273106">
        <w:t xml:space="preserve">dělení </w:t>
      </w:r>
      <w:r w:rsidR="08D504F9" w:rsidRPr="00273106">
        <w:rPr>
          <w:i/>
        </w:rPr>
        <w:t>Nominales</w:t>
      </w:r>
      <w:r w:rsidR="08D504F9" w:rsidRPr="00273106">
        <w:t xml:space="preserve"> v rámci </w:t>
      </w:r>
      <w:r w:rsidR="08D504F9">
        <w:t>Porfyri</w:t>
      </w:r>
      <w:r w:rsidR="08D504F9" w:rsidRPr="00273106">
        <w:t>ova stromu. Esencial</w:t>
      </w:r>
      <w:r w:rsidR="002C0DD4">
        <w:t>istická logika Sherwooda vzala</w:t>
      </w:r>
      <w:r w:rsidR="08D504F9">
        <w:t xml:space="preserve"> </w:t>
      </w:r>
      <w:r w:rsidR="002C0DD4">
        <w:t>„</w:t>
      </w:r>
      <w:r w:rsidR="08D504F9" w:rsidRPr="00273106">
        <w:rPr>
          <w:i/>
        </w:rPr>
        <w:t>animal</w:t>
      </w:r>
      <w:r w:rsidR="002C0DD4">
        <w:t>“</w:t>
      </w:r>
      <w:r w:rsidR="08D504F9" w:rsidRPr="00273106">
        <w:t xml:space="preserve"> jako </w:t>
      </w:r>
      <w:r w:rsidR="004B4D52" w:rsidRPr="004B4D52">
        <w:t>species</w:t>
      </w:r>
      <w:r w:rsidR="08D504F9">
        <w:t xml:space="preserve">, tj. v jeho </w:t>
      </w:r>
      <w:r w:rsidR="002C0DD4">
        <w:t>„</w:t>
      </w:r>
      <w:r w:rsidR="08D504F9" w:rsidRPr="00273106">
        <w:rPr>
          <w:i/>
        </w:rPr>
        <w:t>esse habituale</w:t>
      </w:r>
      <w:r w:rsidR="002C0DD4">
        <w:t xml:space="preserve">“ a pak </w:t>
      </w:r>
      <w:r w:rsidR="00891FBE">
        <w:t xml:space="preserve">tento hypostázovaný habitus univočně predikuje </w:t>
      </w:r>
      <w:r w:rsidR="08D504F9" w:rsidRPr="00273106">
        <w:t>směrem dolů</w:t>
      </w:r>
      <w:r w:rsidR="00891FBE">
        <w:t>,</w:t>
      </w:r>
      <w:r w:rsidR="08D504F9" w:rsidRPr="00273106">
        <w:t xml:space="preserve"> ke kontingentn</w:t>
      </w:r>
      <w:r w:rsidR="08D504F9">
        <w:t xml:space="preserve">í substanci dané jako </w:t>
      </w:r>
      <w:r w:rsidR="002C0DD4">
        <w:t>„</w:t>
      </w:r>
      <w:r w:rsidR="08D504F9" w:rsidRPr="00273106">
        <w:rPr>
          <w:i/>
        </w:rPr>
        <w:t>esse actuale</w:t>
      </w:r>
      <w:r w:rsidR="002C0DD4">
        <w:t>“</w:t>
      </w:r>
      <w:r w:rsidR="08D504F9">
        <w:t xml:space="preserve"> (</w:t>
      </w:r>
      <w:r w:rsidR="08D504F9" w:rsidRPr="00273106">
        <w:rPr>
          <w:i/>
        </w:rPr>
        <w:t>praedicatio superioris de inferioris</w:t>
      </w:r>
      <w:r w:rsidR="08D504F9" w:rsidRPr="00273106">
        <w:t>; ibid,</w:t>
      </w:r>
      <w:r w:rsidR="08D504F9">
        <w:t xml:space="preserve"> p. 444). To je možné na základě Rufusova pojetí materiálního intelektu jako trv</w:t>
      </w:r>
      <w:r w:rsidR="08E12EF7">
        <w:t>alého zdroje habituality (kap. 3</w:t>
      </w:r>
      <w:r w:rsidR="08D504F9">
        <w:t xml:space="preserve">.3.3). Existenciální význam </w:t>
      </w:r>
      <w:r w:rsidR="005B7814">
        <w:t>„</w:t>
      </w:r>
      <w:r w:rsidR="08D504F9" w:rsidRPr="00273106">
        <w:rPr>
          <w:i/>
        </w:rPr>
        <w:t>est</w:t>
      </w:r>
      <w:r w:rsidR="005B7814">
        <w:t>“</w:t>
      </w:r>
      <w:r w:rsidR="08D504F9" w:rsidRPr="00273106">
        <w:t xml:space="preserve"> vztažený k bytí první substance se stal v moderní logice zcela zbytečným. </w:t>
      </w:r>
      <w:r w:rsidR="08D504F9">
        <w:t>P</w:t>
      </w:r>
      <w:r w:rsidR="08D504F9" w:rsidRPr="00273106">
        <w:t>redikáty určují subje</w:t>
      </w:r>
      <w:r w:rsidR="08D504F9">
        <w:t xml:space="preserve">kt v souladu s avicennovským a porretánským </w:t>
      </w:r>
      <w:r w:rsidR="08D504F9" w:rsidRPr="00273106">
        <w:rPr>
          <w:i/>
        </w:rPr>
        <w:t>exsistere</w:t>
      </w:r>
      <w:r w:rsidR="08D504F9">
        <w:rPr>
          <w:i/>
        </w:rPr>
        <w:fldChar w:fldCharType="begin"/>
      </w:r>
      <w:r w:rsidR="08D504F9">
        <w:instrText xml:space="preserve"> XE "</w:instrText>
      </w:r>
      <w:r w:rsidR="08D504F9" w:rsidRPr="008E07A9">
        <w:rPr>
          <w:i/>
        </w:rPr>
        <w:instrText>exsistere</w:instrText>
      </w:r>
      <w:r w:rsidR="08D504F9">
        <w:instrText xml:space="preserve">" </w:instrText>
      </w:r>
      <w:r w:rsidR="08D504F9">
        <w:rPr>
          <w:i/>
        </w:rPr>
        <w:fldChar w:fldCharType="end"/>
      </w:r>
      <w:r w:rsidR="08D504F9">
        <w:t xml:space="preserve">, kdy vyšší forma přechází na nižší. </w:t>
      </w:r>
      <w:r w:rsidR="08D504F9" w:rsidRPr="00273106">
        <w:t>Esencial</w:t>
      </w:r>
      <w:r w:rsidR="08D504F9">
        <w:t xml:space="preserve">istická logika Sherwooda už pracuje s novým pojetím analytické vědy, který zavedl Rufus a jeho nástupci. </w:t>
      </w:r>
      <w:r w:rsidR="087671E5" w:rsidRPr="00273106">
        <w:t xml:space="preserve">Supozice </w:t>
      </w:r>
      <w:r w:rsidR="087671E5" w:rsidRPr="00273106">
        <w:rPr>
          <w:i/>
        </w:rPr>
        <w:t>Nominales</w:t>
      </w:r>
      <w:r w:rsidR="087671E5" w:rsidRPr="00273106">
        <w:t xml:space="preserve"> v modu </w:t>
      </w:r>
      <w:r w:rsidR="087671E5" w:rsidRPr="00273106">
        <w:rPr>
          <w:i/>
        </w:rPr>
        <w:t>simpliciter</w:t>
      </w:r>
      <w:r w:rsidR="087671E5" w:rsidRPr="00273106">
        <w:t xml:space="preserve"> je daná v modu pravdy </w:t>
      </w:r>
      <w:r w:rsidR="087671E5" w:rsidRPr="08FF3E00">
        <w:rPr>
          <w:i/>
        </w:rPr>
        <w:t>semel</w:t>
      </w:r>
      <w:r w:rsidR="087671E5">
        <w:t>‒</w:t>
      </w:r>
      <w:r w:rsidR="087671E5" w:rsidRPr="08FF3E00">
        <w:rPr>
          <w:i/>
        </w:rPr>
        <w:t>semper</w:t>
      </w:r>
      <w:r w:rsidR="087671E5">
        <w:t xml:space="preserve"> </w:t>
      </w:r>
      <w:r w:rsidR="087671E5">
        <w:fldChar w:fldCharType="begin"/>
      </w:r>
      <w:r w:rsidR="087671E5">
        <w:instrText xml:space="preserve"> XE "predikace:</w:instrText>
      </w:r>
      <w:r w:rsidR="087671E5">
        <w:rPr>
          <w:i/>
        </w:rPr>
        <w:instrText>semel‒semper</w:instrText>
      </w:r>
      <w:r w:rsidR="087671E5">
        <w:instrText xml:space="preserve">" </w:instrText>
      </w:r>
      <w:r w:rsidR="087671E5">
        <w:fldChar w:fldCharType="end"/>
      </w:r>
      <w:r w:rsidR="087671E5">
        <w:t xml:space="preserve"> (</w:t>
      </w:r>
      <w:r w:rsidR="08CE2384">
        <w:t>kap. 1</w:t>
      </w:r>
      <w:r w:rsidR="087671E5" w:rsidRPr="00273106">
        <w:t xml:space="preserve">.4) a existuje nezávisle na reálném výskytu první substance. Tento druh supozice musel na Oxfordu vzniknout </w:t>
      </w:r>
      <w:r w:rsidR="087671E5">
        <w:t xml:space="preserve">celkem </w:t>
      </w:r>
      <w:r w:rsidR="087671E5" w:rsidRPr="00273106">
        <w:t xml:space="preserve">zákonitě po </w:t>
      </w:r>
      <w:r w:rsidR="087671E5">
        <w:t xml:space="preserve">roce </w:t>
      </w:r>
      <w:r w:rsidR="087671E5" w:rsidRPr="00273106">
        <w:t xml:space="preserve">1240. Postarala se o to </w:t>
      </w:r>
      <w:r w:rsidR="087671E5" w:rsidRPr="00273106">
        <w:rPr>
          <w:i/>
        </w:rPr>
        <w:t>Oxfordian Fallacy</w:t>
      </w:r>
      <w:r w:rsidR="087671E5" w:rsidRPr="00273106">
        <w:t xml:space="preserve"> a její statut </w:t>
      </w:r>
      <w:r w:rsidR="087671E5">
        <w:t xml:space="preserve">univoční nutnosti dané </w:t>
      </w:r>
      <w:r w:rsidR="087671E5" w:rsidRPr="00273106">
        <w:rPr>
          <w:i/>
        </w:rPr>
        <w:t>per se</w:t>
      </w:r>
      <w:r w:rsidR="087671E5">
        <w:fldChar w:fldCharType="begin"/>
      </w:r>
      <w:r w:rsidR="087671E5">
        <w:instrText xml:space="preserve"> XE "</w:instrText>
      </w:r>
      <w:r w:rsidR="087671E5" w:rsidRPr="004643AF">
        <w:instrText>nutnost:</w:instrText>
      </w:r>
      <w:r w:rsidR="087671E5" w:rsidRPr="002F1276">
        <w:rPr>
          <w:i/>
        </w:rPr>
        <w:instrText>per se</w:instrText>
      </w:r>
      <w:r w:rsidR="087671E5">
        <w:instrText xml:space="preserve">" </w:instrText>
      </w:r>
      <w:r w:rsidR="087671E5">
        <w:fldChar w:fldCharType="end"/>
      </w:r>
      <w:r w:rsidR="087671E5" w:rsidRPr="00273106">
        <w:t xml:space="preserve"> vzhledem k </w:t>
      </w:r>
      <w:r w:rsidR="087671E5">
        <w:t xml:space="preserve">analyticky </w:t>
      </w:r>
      <w:r w:rsidR="087671E5" w:rsidRPr="00273106">
        <w:t>pojatému střednímu členu soudu.</w:t>
      </w:r>
      <w:r w:rsidR="087671E5">
        <w:t xml:space="preserve"> </w:t>
      </w:r>
      <w:r w:rsidR="002A7BC1" w:rsidRPr="00273106">
        <w:t xml:space="preserve">Sherwood </w:t>
      </w:r>
      <w:r w:rsidR="002A7BC1">
        <w:fldChar w:fldCharType="begin"/>
      </w:r>
      <w:r w:rsidR="002A7BC1">
        <w:instrText xml:space="preserve"> XE "</w:instrText>
      </w:r>
      <w:r w:rsidR="002A7BC1" w:rsidRPr="00180D7D">
        <w:instrText>Sherwood, W.</w:instrText>
      </w:r>
      <w:r w:rsidR="002A7BC1">
        <w:instrText xml:space="preserve">" </w:instrText>
      </w:r>
      <w:r w:rsidR="002A7BC1">
        <w:fldChar w:fldCharType="end"/>
      </w:r>
      <w:r w:rsidR="002A7BC1" w:rsidRPr="00273106">
        <w:t>zařadil materiální supozici pouze do protikladu k formální supozici (</w:t>
      </w:r>
      <w:r w:rsidR="002A7BC1" w:rsidRPr="00273106">
        <w:rPr>
          <w:i/>
        </w:rPr>
        <w:t>suppositio formalis</w:t>
      </w:r>
      <w:r w:rsidR="002A7BC1">
        <w:rPr>
          <w:i/>
        </w:rPr>
        <w:fldChar w:fldCharType="begin"/>
      </w:r>
      <w:r w:rsidR="002A7BC1">
        <w:instrText xml:space="preserve"> XE "supozice:</w:instrText>
      </w:r>
      <w:r w:rsidR="002A7BC1" w:rsidRPr="00433AC4">
        <w:rPr>
          <w:i/>
        </w:rPr>
        <w:instrText>suppositio formalis</w:instrText>
      </w:r>
      <w:r w:rsidR="002A7BC1">
        <w:instrText xml:space="preserve">" </w:instrText>
      </w:r>
      <w:r w:rsidR="002A7BC1">
        <w:rPr>
          <w:i/>
        </w:rPr>
        <w:fldChar w:fldCharType="end"/>
      </w:r>
      <w:r w:rsidR="002A7BC1" w:rsidRPr="00273106">
        <w:t>)</w:t>
      </w:r>
      <w:r w:rsidR="00312502">
        <w:t xml:space="preserve">. </w:t>
      </w:r>
      <w:r w:rsidR="00312502" w:rsidRPr="00312502">
        <w:t>Tento druh redukce zrušil vztah k první substanci, kter</w:t>
      </w:r>
      <w:r w:rsidR="00312502">
        <w:t>ý vytvářela metafyzická impozice významu</w:t>
      </w:r>
      <w:r w:rsidR="00312502" w:rsidRPr="00312502">
        <w:t>.</w:t>
      </w:r>
      <w:r w:rsidR="00312502">
        <w:t xml:space="preserve"> </w:t>
      </w:r>
      <w:r w:rsidR="0056233E">
        <w:t>Výpovědi vztažené</w:t>
      </w:r>
      <w:r w:rsidR="002A7BC1">
        <w:t xml:space="preserve"> k jedinečným věcem a osobám (</w:t>
      </w:r>
      <w:r w:rsidR="002A7BC1" w:rsidRPr="00273106">
        <w:rPr>
          <w:i/>
        </w:rPr>
        <w:t>suppositio personalis</w:t>
      </w:r>
      <w:r w:rsidR="002A7BC1">
        <w:t>)</w:t>
      </w:r>
      <w:r w:rsidR="002A7BC1" w:rsidRPr="00273106">
        <w:t xml:space="preserve"> </w:t>
      </w:r>
      <w:r w:rsidR="002A7BC1">
        <w:t>byl</w:t>
      </w:r>
      <w:r w:rsidR="0056233E">
        <w:t>y podřízeny</w:t>
      </w:r>
      <w:r w:rsidR="002A7BC1">
        <w:t xml:space="preserve"> nové</w:t>
      </w:r>
      <w:r w:rsidR="0056233E">
        <w:t xml:space="preserve"> verzi </w:t>
      </w:r>
      <w:r w:rsidR="002A7BC1" w:rsidRPr="00273106">
        <w:rPr>
          <w:i/>
        </w:rPr>
        <w:t>suppositio formalis</w:t>
      </w:r>
      <w:r w:rsidR="002A7BC1" w:rsidRPr="00273106">
        <w:t xml:space="preserve"> (</w:t>
      </w:r>
      <w:r w:rsidR="083D6324">
        <w:t xml:space="preserve">Sherwood </w:t>
      </w:r>
      <w:r w:rsidR="002A7BC1" w:rsidRPr="00273106">
        <w:t xml:space="preserve">2008, 198). Logikové jako Sherwood zavedli </w:t>
      </w:r>
      <w:r w:rsidR="002A7BC1" w:rsidRPr="00273106">
        <w:rPr>
          <w:i/>
        </w:rPr>
        <w:t>Oxfordian Fallacy</w:t>
      </w:r>
      <w:r w:rsidR="002A7BC1">
        <w:rPr>
          <w:i/>
        </w:rPr>
        <w:fldChar w:fldCharType="begin"/>
      </w:r>
      <w:r w:rsidR="002A7BC1">
        <w:instrText xml:space="preserve"> XE "</w:instrText>
      </w:r>
      <w:r w:rsidR="002A7BC1" w:rsidRPr="0015798D">
        <w:rPr>
          <w:i/>
        </w:rPr>
        <w:instrText>Oxfordian Fallacy:</w:instrText>
      </w:r>
      <w:r w:rsidR="002A7BC1" w:rsidRPr="0015798D">
        <w:instrText>původ</w:instrText>
      </w:r>
      <w:r w:rsidR="002A7BC1">
        <w:instrText xml:space="preserve">" </w:instrText>
      </w:r>
      <w:r w:rsidR="002A7BC1">
        <w:rPr>
          <w:i/>
        </w:rPr>
        <w:fldChar w:fldCharType="end"/>
      </w:r>
      <w:r w:rsidR="002A7BC1" w:rsidRPr="00273106">
        <w:t xml:space="preserve"> do rámce univoční predikace tím, že do kategoriální predikace převedli Grossetesteho logickou determinaci  ko</w:t>
      </w:r>
      <w:r w:rsidR="08E009A7">
        <w:t>ntingentních futurábilií (kap. 3</w:t>
      </w:r>
      <w:r w:rsidR="002A7BC1" w:rsidRPr="00273106">
        <w:t>.1.2).</w:t>
      </w:r>
      <w:r w:rsidR="002A7BC1">
        <w:t xml:space="preserve"> </w:t>
      </w:r>
      <w:r w:rsidR="002A7BC1" w:rsidRPr="00273106">
        <w:t>Pak výrok typu „</w:t>
      </w:r>
      <w:r w:rsidR="002A7BC1" w:rsidRPr="00273106">
        <w:rPr>
          <w:i/>
        </w:rPr>
        <w:t>Socrates currit</w:t>
      </w:r>
      <w:r w:rsidR="002A7BC1" w:rsidRPr="00273106">
        <w:t>“ dostal na rozdíl od formální supozice determinovaný charakter, a to nezávisle na aktuálním stavu reality</w:t>
      </w:r>
      <w:r w:rsidR="002A7BC1">
        <w:t xml:space="preserve"> </w:t>
      </w:r>
      <w:r w:rsidR="002A7BC1" w:rsidRPr="00273106">
        <w:t>(</w:t>
      </w:r>
      <w:r w:rsidR="002A7BC1" w:rsidRPr="00273106">
        <w:rPr>
          <w:i/>
        </w:rPr>
        <w:t>suppositio discreta</w:t>
      </w:r>
      <w:r w:rsidR="08626A3C">
        <w:t xml:space="preserve">). </w:t>
      </w:r>
      <w:r w:rsidR="08626A3C" w:rsidRPr="00273106">
        <w:t xml:space="preserve">Nástup moderního vidění světa vzhledem k univoční signifikaci a klasifikaci světa ukazuje expanze </w:t>
      </w:r>
      <w:r w:rsidR="08626A3C">
        <w:t>univočně pojaté supozice chápané po roce 1250 už zcela objektivně a čistě analyticky (</w:t>
      </w:r>
      <w:r w:rsidR="08626A3C" w:rsidRPr="00273106">
        <w:rPr>
          <w:i/>
        </w:rPr>
        <w:t>suppositio simplex</w:t>
      </w:r>
      <w:r w:rsidR="08626A3C">
        <w:t>)</w:t>
      </w:r>
      <w:r w:rsidR="08626A3C">
        <w:rPr>
          <w:i/>
        </w:rPr>
        <w:fldChar w:fldCharType="begin"/>
      </w:r>
      <w:r w:rsidR="08626A3C">
        <w:instrText xml:space="preserve"> XE "supozice:</w:instrText>
      </w:r>
      <w:r w:rsidR="08626A3C" w:rsidRPr="00E876C2">
        <w:rPr>
          <w:i/>
        </w:rPr>
        <w:instrText>suppositio simplex</w:instrText>
      </w:r>
      <w:r w:rsidR="08626A3C">
        <w:instrText xml:space="preserve">" </w:instrText>
      </w:r>
      <w:r w:rsidR="08626A3C">
        <w:rPr>
          <w:i/>
        </w:rPr>
        <w:fldChar w:fldCharType="end"/>
      </w:r>
      <w:r w:rsidR="08626A3C" w:rsidRPr="00273106">
        <w:t>.</w:t>
      </w:r>
      <w:r w:rsidR="08626A3C">
        <w:t xml:space="preserve"> </w:t>
      </w:r>
      <w:r w:rsidR="08626A3C" w:rsidRPr="00273106">
        <w:t>Jejím původním zdrojem je Anselm</w:t>
      </w:r>
      <w:r w:rsidR="08AF4FD7">
        <w:t>ovo pojetí signifikace (kap. 1</w:t>
      </w:r>
      <w:r w:rsidR="08626A3C">
        <w:t>.2</w:t>
      </w:r>
      <w:r w:rsidR="08626A3C" w:rsidRPr="00273106">
        <w:t xml:space="preserve">), které odmítl </w:t>
      </w:r>
      <w:r w:rsidR="00CB3E4F">
        <w:t>Abélard</w:t>
      </w:r>
      <w:r w:rsidR="08626A3C" w:rsidRPr="00273106">
        <w:t>.</w:t>
      </w:r>
      <w:r w:rsidR="08626A3C">
        <w:t xml:space="preserve"> </w:t>
      </w:r>
      <w:r w:rsidR="00511121">
        <w:t xml:space="preserve">Sherwoodova </w:t>
      </w:r>
      <w:r w:rsidR="08445A4E">
        <w:t xml:space="preserve">adekvace věci a rozumu </w:t>
      </w:r>
      <w:r w:rsidR="00511121" w:rsidRPr="00273106">
        <w:t xml:space="preserve">redukovala </w:t>
      </w:r>
      <w:r w:rsidR="08445A4E">
        <w:t xml:space="preserve">hyparchický význam první substance </w:t>
      </w:r>
      <w:r w:rsidR="00511121" w:rsidRPr="00273106">
        <w:t>na logickou inherenc</w:t>
      </w:r>
      <w:r w:rsidR="00511121">
        <w:t>i</w:t>
      </w:r>
      <w:r w:rsidR="00911A51">
        <w:t xml:space="preserve"> podle</w:t>
      </w:r>
      <w:r w:rsidR="00FF7AA4">
        <w:t xml:space="preserve"> školy</w:t>
      </w:r>
      <w:r w:rsidR="00911A51">
        <w:t xml:space="preserve"> Gramatiků</w:t>
      </w:r>
      <w:r w:rsidR="08445A4E" w:rsidRPr="08445A4E">
        <w:t xml:space="preserve"> </w:t>
      </w:r>
      <w:r w:rsidR="08445A4E">
        <w:t>odmítnutých</w:t>
      </w:r>
      <w:r w:rsidR="08445A4E" w:rsidRPr="08445A4E">
        <w:t xml:space="preserve"> </w:t>
      </w:r>
      <w:r w:rsidR="08445A4E">
        <w:t>Alvernem</w:t>
      </w:r>
      <w:r w:rsidR="00511121">
        <w:t xml:space="preserve">. </w:t>
      </w:r>
      <w:r w:rsidR="00AB3304" w:rsidRPr="00AB3304">
        <w:t>Zk</w:t>
      </w:r>
      <w:r w:rsidR="00AB3304">
        <w:t>oumali jsme použití formálního „</w:t>
      </w:r>
      <w:r w:rsidR="00AB3304" w:rsidRPr="00AB3304">
        <w:rPr>
          <w:i/>
        </w:rPr>
        <w:t>inesse</w:t>
      </w:r>
      <w:r w:rsidR="00AB3304">
        <w:rPr>
          <w:i/>
        </w:rPr>
        <w:fldChar w:fldCharType="begin"/>
      </w:r>
      <w:r w:rsidR="00AB3304">
        <w:instrText xml:space="preserve"> XE "esence:</w:instrText>
      </w:r>
      <w:r w:rsidR="00AB3304" w:rsidRPr="00CF4ADF">
        <w:rPr>
          <w:i/>
        </w:rPr>
        <w:instrText>inesse</w:instrText>
      </w:r>
      <w:r w:rsidR="00AB3304">
        <w:instrText xml:space="preserve">" </w:instrText>
      </w:r>
      <w:r w:rsidR="00AB3304">
        <w:rPr>
          <w:i/>
        </w:rPr>
        <w:fldChar w:fldCharType="end"/>
      </w:r>
      <w:r w:rsidR="00AB3304">
        <w:t>“</w:t>
      </w:r>
      <w:r w:rsidR="00AB3304" w:rsidRPr="00AB3304">
        <w:t xml:space="preserve"> v Kilwardbyho díle </w:t>
      </w:r>
      <w:r w:rsidR="00AB3304" w:rsidRPr="00AB3304">
        <w:rPr>
          <w:i/>
        </w:rPr>
        <w:t>Notule</w:t>
      </w:r>
      <w:r w:rsidR="00AB3304" w:rsidRPr="00AB3304">
        <w:t>; před ní</w:t>
      </w:r>
      <w:r w:rsidR="00AB3304">
        <w:t xml:space="preserve">m to byla pozice </w:t>
      </w:r>
      <w:r w:rsidR="00AB3304" w:rsidRPr="00AB3304">
        <w:rPr>
          <w:i/>
        </w:rPr>
        <w:t>medium</w:t>
      </w:r>
      <w:r w:rsidR="00AB3304">
        <w:t xml:space="preserve"> </w:t>
      </w:r>
      <w:r w:rsidR="00AB3304" w:rsidRPr="00AB3304">
        <w:t>v</w:t>
      </w:r>
      <w:r w:rsidR="0034010B">
        <w:t xml:space="preserve"> metafyzicky </w:t>
      </w:r>
      <w:r w:rsidR="00AB3304" w:rsidRPr="00AB3304">
        <w:t>neprav</w:t>
      </w:r>
      <w:r w:rsidR="00AB3304">
        <w:t xml:space="preserve">divém </w:t>
      </w:r>
      <w:r w:rsidR="00AB3304" w:rsidRPr="00AB3304">
        <w:t>druhu deduktivních sylogismů, které vytvořili Grosseteste a Rufus.</w:t>
      </w:r>
      <w:r w:rsidR="00AB3304">
        <w:t xml:space="preserve"> </w:t>
      </w:r>
      <w:r w:rsidR="00511121" w:rsidRPr="00273106">
        <w:t xml:space="preserve">Analytický koncept existence zakládá zcela odlišný smysl jsoucna, než Baconem obhajovaná existence v rámci </w:t>
      </w:r>
      <w:r w:rsidR="00511121" w:rsidRPr="00273106">
        <w:rPr>
          <w:i/>
        </w:rPr>
        <w:t>actus essendi</w:t>
      </w:r>
      <w:r w:rsidR="00511121">
        <w:rPr>
          <w:i/>
        </w:rPr>
        <w:fldChar w:fldCharType="begin"/>
      </w:r>
      <w:r w:rsidR="00511121">
        <w:instrText xml:space="preserve"> XE "</w:instrText>
      </w:r>
      <w:r w:rsidR="00511121" w:rsidRPr="006D3950">
        <w:rPr>
          <w:i/>
        </w:rPr>
        <w:instrText>actus essendi</w:instrText>
      </w:r>
      <w:r w:rsidR="00511121">
        <w:instrText xml:space="preserve">" </w:instrText>
      </w:r>
      <w:r w:rsidR="00511121">
        <w:rPr>
          <w:i/>
        </w:rPr>
        <w:fldChar w:fldCharType="end"/>
      </w:r>
      <w:r w:rsidR="08AF4FD7">
        <w:t xml:space="preserve"> první substance (kap. 3</w:t>
      </w:r>
      <w:r w:rsidR="00511121" w:rsidRPr="00273106">
        <w:t>.2). Stabilita moderní „exsistence“ je zajistěna odkazem na boží mysl jako ultimativní zdroj forem</w:t>
      </w:r>
      <w:r w:rsidR="00511121">
        <w:t>, v</w:t>
      </w:r>
      <w:r w:rsidR="00511121" w:rsidRPr="00273106">
        <w:t>iz Avicenovu koncepci této ontoteologie ve falsafě (</w:t>
      </w:r>
      <w:r w:rsidR="08AF4FD7">
        <w:t xml:space="preserve">OBJ I, </w:t>
      </w:r>
      <w:r w:rsidR="00511121" w:rsidRPr="00273106">
        <w:t>kap. 2.3.3).</w:t>
      </w:r>
      <w:r w:rsidR="00BB0062">
        <w:t xml:space="preserve"> Moderna určila </w:t>
      </w:r>
      <w:r w:rsidR="00B42B34">
        <w:t xml:space="preserve">smysl reálné </w:t>
      </w:r>
      <w:r w:rsidR="00BB0062">
        <w:t>první substance na absolutně nemožný způsob.</w:t>
      </w:r>
    </w:p>
    <w:p w14:paraId="1550F0B1" w14:textId="50596BD5" w:rsidR="000F5261" w:rsidRPr="00273106" w:rsidRDefault="00F35BD9" w:rsidP="00306201">
      <w:pPr>
        <w:ind w:firstLine="397"/>
      </w:pPr>
      <w:r>
        <w:t>Základní s</w:t>
      </w:r>
      <w:r w:rsidR="00AC2DF4" w:rsidRPr="00273106">
        <w:t xml:space="preserve">por </w:t>
      </w:r>
      <w:r>
        <w:t>o status</w:t>
      </w:r>
      <w:r w:rsidR="00FF11C5">
        <w:t xml:space="preserve"> impozice </w:t>
      </w:r>
      <w:r>
        <w:t xml:space="preserve">daný od první substance </w:t>
      </w:r>
      <w:r w:rsidR="00AC2DF4" w:rsidRPr="00273106">
        <w:t>ukaz</w:t>
      </w:r>
      <w:r w:rsidR="00FF11C5">
        <w:t xml:space="preserve">uje spis </w:t>
      </w:r>
      <w:r w:rsidR="00AC2DF4" w:rsidRPr="00273106">
        <w:rPr>
          <w:i/>
          <w:szCs w:val="18"/>
        </w:rPr>
        <w:t>Anonymus Erfordensis</w:t>
      </w:r>
      <w:r w:rsidR="007D1242">
        <w:rPr>
          <w:i/>
          <w:szCs w:val="18"/>
        </w:rPr>
        <w:fldChar w:fldCharType="begin"/>
      </w:r>
      <w:r w:rsidR="007D1242">
        <w:instrText xml:space="preserve"> XE "</w:instrText>
      </w:r>
      <w:r w:rsidR="007D1242" w:rsidRPr="00F8633A">
        <w:rPr>
          <w:i/>
          <w:szCs w:val="18"/>
        </w:rPr>
        <w:instrText>Anonymus Erfordensis</w:instrText>
      </w:r>
      <w:r w:rsidR="007D1242">
        <w:instrText xml:space="preserve">" </w:instrText>
      </w:r>
      <w:r w:rsidR="007D1242">
        <w:rPr>
          <w:i/>
          <w:szCs w:val="18"/>
        </w:rPr>
        <w:fldChar w:fldCharType="end"/>
      </w:r>
      <w:r w:rsidR="000F5261" w:rsidRPr="00273106">
        <w:t>.</w:t>
      </w:r>
      <w:r w:rsidR="00AC2DF4" w:rsidRPr="00273106">
        <w:t xml:space="preserve"> </w:t>
      </w:r>
      <w:r w:rsidR="00D03637" w:rsidRPr="00273106">
        <w:t>T</w:t>
      </w:r>
      <w:r w:rsidR="000F5261" w:rsidRPr="00273106">
        <w:t>raktát pocház</w:t>
      </w:r>
      <w:r w:rsidR="00263220" w:rsidRPr="00273106">
        <w:t>í z prostředí Kil</w:t>
      </w:r>
      <w:r w:rsidR="00D03637" w:rsidRPr="00273106">
        <w:t>wardbyho školy</w:t>
      </w:r>
      <w:r w:rsidR="00911A51">
        <w:t xml:space="preserve"> a </w:t>
      </w:r>
      <w:r w:rsidR="007D1242">
        <w:fldChar w:fldCharType="begin"/>
      </w:r>
      <w:r w:rsidR="007D1242">
        <w:instrText xml:space="preserve"> XE "</w:instrText>
      </w:r>
      <w:r w:rsidR="007D1242" w:rsidRPr="00180D7D">
        <w:instrText>Sherwood, W.</w:instrText>
      </w:r>
      <w:r w:rsidR="007D1242">
        <w:instrText xml:space="preserve">" </w:instrText>
      </w:r>
      <w:r w:rsidR="007D1242">
        <w:fldChar w:fldCharType="end"/>
      </w:r>
      <w:r w:rsidR="00476EEF" w:rsidRPr="00273106">
        <w:t>ukazuje postupnou ztrátu reprezentační funkce jazyka vzhledem k externí reali</w:t>
      </w:r>
      <w:r w:rsidR="00476EEF">
        <w:t>tě.</w:t>
      </w:r>
    </w:p>
    <w:p w14:paraId="5D2E72B1" w14:textId="6FE0AB69" w:rsidR="00F2264B" w:rsidRPr="00273106" w:rsidRDefault="009B4486" w:rsidP="000F5261">
      <w:pPr>
        <w:pStyle w:val="Citace"/>
        <w:rPr>
          <w:noProof/>
          <w:lang w:val="cs-CZ"/>
        </w:rPr>
      </w:pPr>
      <w:r w:rsidRPr="00273106">
        <w:rPr>
          <w:noProof/>
          <w:lang w:val="cs-CZ"/>
        </w:rPr>
        <w:t>„P</w:t>
      </w:r>
      <w:r w:rsidR="00F2264B" w:rsidRPr="00273106">
        <w:rPr>
          <w:noProof/>
          <w:lang w:val="cs-CZ"/>
        </w:rPr>
        <w:t>ropozice «každý člověk je nutně živočich» a «člověk je živočich»</w:t>
      </w:r>
      <w:r w:rsidRPr="00273106">
        <w:rPr>
          <w:noProof/>
          <w:lang w:val="cs-CZ"/>
        </w:rPr>
        <w:t xml:space="preserve"> je </w:t>
      </w:r>
      <w:r w:rsidR="00F2264B" w:rsidRPr="00273106">
        <w:rPr>
          <w:noProof/>
          <w:lang w:val="cs-CZ"/>
        </w:rPr>
        <w:t xml:space="preserve">pravdivá, i kdyby žádný jednotlivý člověk </w:t>
      </w:r>
      <w:r w:rsidR="005245CF">
        <w:rPr>
          <w:noProof/>
          <w:lang w:val="cs-CZ"/>
        </w:rPr>
        <w:t xml:space="preserve">reálně </w:t>
      </w:r>
      <w:r w:rsidR="00F2264B" w:rsidRPr="00273106">
        <w:rPr>
          <w:noProof/>
          <w:lang w:val="cs-CZ"/>
        </w:rPr>
        <w:t>neexistoval</w:t>
      </w:r>
      <w:r w:rsidR="00582C0D">
        <w:rPr>
          <w:noProof/>
          <w:lang w:val="cs-CZ"/>
        </w:rPr>
        <w:t xml:space="preserve">; </w:t>
      </w:r>
      <w:r w:rsidR="00582C0D" w:rsidRPr="00582C0D">
        <w:rPr>
          <w:noProof/>
          <w:lang w:val="cs-CZ"/>
        </w:rPr>
        <w:t xml:space="preserve">důvod </w:t>
      </w:r>
      <w:r w:rsidR="005245CF">
        <w:rPr>
          <w:noProof/>
          <w:lang w:val="cs-CZ"/>
        </w:rPr>
        <w:t xml:space="preserve">je v tom, že </w:t>
      </w:r>
      <w:r w:rsidR="00582C0D" w:rsidRPr="00582C0D">
        <w:rPr>
          <w:noProof/>
          <w:lang w:val="cs-CZ"/>
        </w:rPr>
        <w:t>pravdivost této věty je dána v materiální realitě i bez aktualizované existence obou členů sylogismu</w:t>
      </w:r>
      <w:r w:rsidR="00FF11C5">
        <w:rPr>
          <w:noProof/>
          <w:lang w:val="cs-CZ"/>
        </w:rPr>
        <w:t xml:space="preserve"> (</w:t>
      </w:r>
      <w:r w:rsidR="00FF11C5" w:rsidRPr="00FF11C5">
        <w:rPr>
          <w:i/>
        </w:rPr>
        <w:t>non exigitur existentia extremorum actu</w:t>
      </w:r>
      <w:r w:rsidR="00FF11C5">
        <w:rPr>
          <w:noProof/>
          <w:lang w:val="cs-CZ"/>
        </w:rPr>
        <w:t>)</w:t>
      </w:r>
      <w:r w:rsidR="00F2264B" w:rsidRPr="00273106">
        <w:rPr>
          <w:noProof/>
          <w:lang w:val="cs-CZ"/>
        </w:rPr>
        <w:t xml:space="preserve">.“ </w:t>
      </w:r>
      <w:r w:rsidR="00F2264B" w:rsidRPr="00273106">
        <w:rPr>
          <w:rStyle w:val="Znakapoznpodarou"/>
          <w:noProof/>
          <w:szCs w:val="18"/>
          <w:lang w:val="cs-CZ"/>
        </w:rPr>
        <w:footnoteReference w:id="501"/>
      </w:r>
    </w:p>
    <w:p w14:paraId="7554D17F" w14:textId="1C5B105E" w:rsidR="00DF39FE" w:rsidRDefault="006130E1" w:rsidP="00D44A51">
      <w:r w:rsidRPr="006130E1">
        <w:t xml:space="preserve">Citovaná pasáž tvrdí, že </w:t>
      </w:r>
      <w:r w:rsidR="00400EE9">
        <w:t xml:space="preserve">dané </w:t>
      </w:r>
      <w:r w:rsidRPr="006130E1">
        <w:t>výrok</w:t>
      </w:r>
      <w:r w:rsidR="00400EE9">
        <w:t>y</w:t>
      </w:r>
      <w:r w:rsidRPr="006130E1">
        <w:t xml:space="preserve">, </w:t>
      </w:r>
      <w:r w:rsidR="00400EE9">
        <w:t>jsou smysluplné a dokonce i pravdivé</w:t>
      </w:r>
      <w:r w:rsidRPr="006130E1">
        <w:t xml:space="preserve">, </w:t>
      </w:r>
      <w:r w:rsidR="00400EE9">
        <w:t>aniž by potřebovaly</w:t>
      </w:r>
      <w:r>
        <w:t xml:space="preserve"> impozici ze skutečných prvních substancí</w:t>
      </w:r>
      <w:r w:rsidRPr="006130E1">
        <w:t>.</w:t>
      </w:r>
      <w:r>
        <w:t xml:space="preserve"> </w:t>
      </w:r>
      <w:r w:rsidR="005C7920" w:rsidRPr="00273106">
        <w:t>Modernisté vytvořili nový druh ontologické ekvivalence, který zrušil adekvaci mezi první a</w:t>
      </w:r>
      <w:r w:rsidR="000146B0">
        <w:t xml:space="preserve"> druhou substan</w:t>
      </w:r>
      <w:r w:rsidR="00511121">
        <w:t xml:space="preserve">cí. </w:t>
      </w:r>
      <w:r w:rsidR="00707528">
        <w:t xml:space="preserve">Moderna vytěsnila impozici významu od reality první substance. </w:t>
      </w:r>
      <w:r w:rsidR="005C7920" w:rsidRPr="00273106">
        <w:t xml:space="preserve">V citovaném úryvku anonyma z Erfurtu je vidět </w:t>
      </w:r>
      <w:r w:rsidR="00EB2921" w:rsidRPr="00273106">
        <w:t>příklad drastické redukce</w:t>
      </w:r>
      <w:r w:rsidR="00707528">
        <w:t xml:space="preserve"> </w:t>
      </w:r>
      <w:r w:rsidR="005C7920" w:rsidRPr="00273106">
        <w:rPr>
          <w:i/>
        </w:rPr>
        <w:t>suppositio materialis</w:t>
      </w:r>
      <w:r w:rsidR="005C7920" w:rsidRPr="00273106">
        <w:t xml:space="preserve">, kterou se proslaví </w:t>
      </w:r>
      <w:r w:rsidR="005C7920" w:rsidRPr="00273106">
        <w:rPr>
          <w:i/>
        </w:rPr>
        <w:t>via Modernorum</w:t>
      </w:r>
      <w:r w:rsidR="000B4C6F">
        <w:rPr>
          <w:i/>
        </w:rPr>
        <w:fldChar w:fldCharType="begin"/>
      </w:r>
      <w:r w:rsidR="000B4C6F">
        <w:instrText xml:space="preserve"> XE "</w:instrText>
      </w:r>
      <w:r w:rsidR="000B4C6F" w:rsidRPr="00ED0748">
        <w:rPr>
          <w:i/>
        </w:rPr>
        <w:instrText>via Modernorum</w:instrText>
      </w:r>
      <w:r w:rsidR="000B4C6F">
        <w:instrText xml:space="preserve">" </w:instrText>
      </w:r>
      <w:r w:rsidR="000B4C6F">
        <w:rPr>
          <w:i/>
        </w:rPr>
        <w:fldChar w:fldCharType="end"/>
      </w:r>
      <w:r w:rsidR="005C7920" w:rsidRPr="00273106">
        <w:t xml:space="preserve"> v podání Scota a dalších logiků</w:t>
      </w:r>
      <w:r w:rsidR="08A22E30">
        <w:t xml:space="preserve">. </w:t>
      </w:r>
      <w:r w:rsidR="00B809FE">
        <w:t xml:space="preserve">Spis </w:t>
      </w:r>
      <w:r w:rsidR="00B809FE" w:rsidRPr="00B809FE">
        <w:t>pseudo-Kilwardbyho čerpá inspiraci z</w:t>
      </w:r>
      <w:r w:rsidR="00B809FE">
        <w:t> univoční n</w:t>
      </w:r>
      <w:r w:rsidR="00B809FE" w:rsidRPr="00B809FE">
        <w:t xml:space="preserve">utnosti a esence </w:t>
      </w:r>
      <w:r w:rsidR="00B809FE">
        <w:t>daných v modu „</w:t>
      </w:r>
      <w:r w:rsidR="00B809FE" w:rsidRPr="00B809FE">
        <w:rPr>
          <w:i/>
        </w:rPr>
        <w:t>semel–semper</w:t>
      </w:r>
      <w:r w:rsidR="00B809FE">
        <w:t>“</w:t>
      </w:r>
      <w:r w:rsidR="00B809FE" w:rsidRPr="00B809FE">
        <w:t xml:space="preserve"> podle </w:t>
      </w:r>
      <w:r w:rsidR="00B809FE">
        <w:t xml:space="preserve">učení </w:t>
      </w:r>
      <w:r w:rsidR="00B809FE" w:rsidRPr="00B809FE">
        <w:rPr>
          <w:i/>
        </w:rPr>
        <w:t>Nominales</w:t>
      </w:r>
      <w:r w:rsidR="00B809FE" w:rsidRPr="00B809FE">
        <w:t xml:space="preserve"> v</w:t>
      </w:r>
      <w:r w:rsidR="00B41517">
        <w:t>e</w:t>
      </w:r>
      <w:r w:rsidR="00B809FE" w:rsidRPr="00B809FE">
        <w:t xml:space="preserve"> škole </w:t>
      </w:r>
      <w:r w:rsidR="00B809FE">
        <w:t xml:space="preserve">nazvané </w:t>
      </w:r>
      <w:r w:rsidR="00B809FE" w:rsidRPr="00B809FE">
        <w:rPr>
          <w:i/>
        </w:rPr>
        <w:t>sophistae Italici</w:t>
      </w:r>
      <w:r w:rsidR="00946990">
        <w:rPr>
          <w:i/>
        </w:rPr>
        <w:fldChar w:fldCharType="begin"/>
      </w:r>
      <w:r w:rsidR="00946990">
        <w:instrText xml:space="preserve"> XE "</w:instrText>
      </w:r>
      <w:r w:rsidR="00946990" w:rsidRPr="00085499">
        <w:rPr>
          <w:i/>
        </w:rPr>
        <w:instrText>sophistae Italici</w:instrText>
      </w:r>
      <w:r w:rsidR="00946990">
        <w:instrText xml:space="preserve">" </w:instrText>
      </w:r>
      <w:r w:rsidR="00946990">
        <w:rPr>
          <w:i/>
        </w:rPr>
        <w:fldChar w:fldCharType="end"/>
      </w:r>
      <w:r w:rsidR="00B809FE">
        <w:t xml:space="preserve"> (kap. 2.3.1).</w:t>
      </w:r>
      <w:r w:rsidR="002B0354" w:rsidRPr="00273106">
        <w:rPr>
          <w:rStyle w:val="Znakapoznpodarou"/>
        </w:rPr>
        <w:footnoteReference w:id="502"/>
      </w:r>
      <w:r w:rsidR="00454BB3">
        <w:t xml:space="preserve"> Diskrétní jednotka</w:t>
      </w:r>
      <w:r w:rsidR="005C7920" w:rsidRPr="00273106">
        <w:t xml:space="preserve"> významu </w:t>
      </w:r>
      <w:r w:rsidR="00454BB3" w:rsidRPr="00273106">
        <w:t>(</w:t>
      </w:r>
      <w:r w:rsidR="00454BB3" w:rsidRPr="00273106">
        <w:rPr>
          <w:i/>
        </w:rPr>
        <w:t>individuum</w:t>
      </w:r>
      <w:r w:rsidR="00454BB3">
        <w:t>) pojatého zcela univočně pro metafyziku i pro logiku vytěsnila</w:t>
      </w:r>
      <w:r w:rsidR="005C7920" w:rsidRPr="00273106">
        <w:t xml:space="preserve"> reálnou první substanci. </w:t>
      </w:r>
      <w:r w:rsidR="088D52F8" w:rsidRPr="00273106">
        <w:t xml:space="preserve">Znovu se tím ukazuje vliv Rufusova výkladu </w:t>
      </w:r>
      <w:r w:rsidR="088D52F8" w:rsidRPr="00174A0B">
        <w:rPr>
          <w:i/>
        </w:rPr>
        <w:t>Druhých analytik</w:t>
      </w:r>
      <w:r w:rsidR="00D44A51">
        <w:t>, kde p</w:t>
      </w:r>
      <w:r w:rsidR="00D44A51" w:rsidRPr="00D44A51">
        <w:t>oprvé sofisticky zaměnil skutečnou kauzalitu, metafyzickou, esenciální a logickou nutnost.</w:t>
      </w:r>
      <w:r w:rsidR="00D44A51">
        <w:t xml:space="preserve"> </w:t>
      </w:r>
      <w:r w:rsidR="088D52F8" w:rsidRPr="00273106">
        <w:t xml:space="preserve">Pojetí abstrakce jako </w:t>
      </w:r>
      <w:r w:rsidR="088D52F8" w:rsidRPr="00273106">
        <w:rPr>
          <w:i/>
        </w:rPr>
        <w:t>denudatio</w:t>
      </w:r>
      <w:r w:rsidR="088D52F8">
        <w:rPr>
          <w:i/>
        </w:rPr>
        <w:fldChar w:fldCharType="begin"/>
      </w:r>
      <w:r w:rsidR="088D52F8">
        <w:instrText xml:space="preserve"> XE "</w:instrText>
      </w:r>
      <w:r w:rsidR="088D52F8" w:rsidRPr="00C23100">
        <w:rPr>
          <w:i/>
        </w:rPr>
        <w:instrText>denudatio</w:instrText>
      </w:r>
      <w:r w:rsidR="088D52F8">
        <w:instrText xml:space="preserve">:druhý averroismus" </w:instrText>
      </w:r>
      <w:r w:rsidR="088D52F8">
        <w:rPr>
          <w:i/>
        </w:rPr>
        <w:fldChar w:fldCharType="end"/>
      </w:r>
      <w:r w:rsidR="088D52F8" w:rsidRPr="00273106">
        <w:t xml:space="preserve"> ve druhém averroismu zcela pominulo roli </w:t>
      </w:r>
      <w:r w:rsidR="088D52F8" w:rsidRPr="00273106">
        <w:rPr>
          <w:i/>
        </w:rPr>
        <w:t>intellectus possibilis</w:t>
      </w:r>
      <w:r w:rsidR="088D52F8" w:rsidRPr="00273106">
        <w:t xml:space="preserve"> a </w:t>
      </w:r>
      <w:r w:rsidR="004B4D52" w:rsidRPr="004B4D52">
        <w:t>species</w:t>
      </w:r>
      <w:r w:rsidR="088D52F8" w:rsidRPr="00273106">
        <w:rPr>
          <w:i/>
        </w:rPr>
        <w:t xml:space="preserve"> intelligibilis</w:t>
      </w:r>
      <w:r w:rsidR="088D52F8">
        <w:rPr>
          <w:i/>
        </w:rPr>
        <w:fldChar w:fldCharType="begin"/>
      </w:r>
      <w:r w:rsidR="088D52F8">
        <w:instrText xml:space="preserve"> XE "</w:instrText>
      </w:r>
      <w:r w:rsidR="088D52F8" w:rsidRPr="00DD403C">
        <w:rPr>
          <w:i/>
        </w:rPr>
        <w:instrText>species intelligibilis:</w:instrText>
      </w:r>
      <w:r w:rsidR="088D52F8" w:rsidRPr="0078513B">
        <w:instrText>první averroismus</w:instrText>
      </w:r>
      <w:r w:rsidR="088D52F8">
        <w:instrText xml:space="preserve"> " </w:instrText>
      </w:r>
      <w:r w:rsidR="088D52F8">
        <w:rPr>
          <w:i/>
        </w:rPr>
        <w:fldChar w:fldCharType="end"/>
      </w:r>
      <w:r w:rsidR="088D52F8" w:rsidRPr="00273106">
        <w:t xml:space="preserve"> </w:t>
      </w:r>
      <w:r w:rsidR="088D52F8">
        <w:t xml:space="preserve">definovaných </w:t>
      </w:r>
      <w:r w:rsidR="088D52F8" w:rsidRPr="00273106">
        <w:t>v prvním averroismu.</w:t>
      </w:r>
      <w:r w:rsidR="088D52F8">
        <w:t xml:space="preserve"> </w:t>
      </w:r>
      <w:r w:rsidR="008321FA" w:rsidRPr="008321FA">
        <w:t xml:space="preserve">Erfurtský anonym potvrzuje, že vědy dostaly nový základ, který vypracovali Rufus a </w:t>
      </w:r>
      <w:r w:rsidR="008321FA">
        <w:t>Kilwardby v systematickým způsobem</w:t>
      </w:r>
      <w:r w:rsidR="008321FA" w:rsidRPr="008321FA">
        <w:t>.</w:t>
      </w:r>
      <w:r w:rsidR="008321FA">
        <w:t xml:space="preserve"> </w:t>
      </w:r>
      <w:r w:rsidR="005C7920" w:rsidRPr="00273106">
        <w:t>Materiální supozice dosta</w:t>
      </w:r>
      <w:r w:rsidR="081D2F1F">
        <w:t>la čistě nominální charakter</w:t>
      </w:r>
      <w:r w:rsidR="08E237BB">
        <w:t xml:space="preserve"> v modu </w:t>
      </w:r>
      <w:r w:rsidR="08E237BB" w:rsidRPr="08E237BB">
        <w:rPr>
          <w:i/>
        </w:rPr>
        <w:t>simplex</w:t>
      </w:r>
      <w:r w:rsidR="081D2F1F">
        <w:t>. F</w:t>
      </w:r>
      <w:r w:rsidR="005C7920" w:rsidRPr="00273106">
        <w:t>ormální supozice už nemá rozlišení univocity</w:t>
      </w:r>
      <w:r w:rsidR="00C16B07">
        <w:t xml:space="preserve"> a modality per se </w:t>
      </w:r>
      <w:r w:rsidR="005C7920" w:rsidRPr="00273106">
        <w:t xml:space="preserve">dané rozdílem </w:t>
      </w:r>
      <w:r w:rsidR="00C16B07" w:rsidRPr="00C16B07">
        <w:t>mezi metafyzickou a logickou abstrakcí</w:t>
      </w:r>
      <w:r w:rsidR="005C7920" w:rsidRPr="00273106">
        <w:t xml:space="preserve">. Formalizací supozice přestala existovat v logice moderních </w:t>
      </w:r>
      <w:r w:rsidR="005C7920" w:rsidRPr="00273106">
        <w:rPr>
          <w:i/>
        </w:rPr>
        <w:t>Nominales</w:t>
      </w:r>
      <w:r w:rsidR="005C7920" w:rsidRPr="00273106">
        <w:t xml:space="preserve"> </w:t>
      </w:r>
      <w:r w:rsidR="00FB6399">
        <w:t xml:space="preserve">kategoriální </w:t>
      </w:r>
      <w:r w:rsidR="089F4178">
        <w:t xml:space="preserve">vazba na </w:t>
      </w:r>
      <w:r w:rsidR="00021F24">
        <w:t xml:space="preserve">hyparchickou </w:t>
      </w:r>
      <w:r w:rsidR="089F4178">
        <w:t>první substanci.</w:t>
      </w:r>
      <w:r w:rsidR="08744ADB">
        <w:t xml:space="preserve"> </w:t>
      </w:r>
      <w:r w:rsidR="00FF6B22">
        <w:t xml:space="preserve">Erfurtský anonymem přebral </w:t>
      </w:r>
      <w:r w:rsidR="08D34A2C">
        <w:t xml:space="preserve">Kilwardbyho výklad subjektu </w:t>
      </w:r>
      <w:r w:rsidR="00FF6B22">
        <w:t xml:space="preserve">jako privilegovaného zdroje poznání. To </w:t>
      </w:r>
      <w:r w:rsidR="08D34A2C">
        <w:t>představuje typickou ukázku druhého avicennismu ovlivněného porretánským určením hy</w:t>
      </w:r>
      <w:r w:rsidR="00DF39FE">
        <w:t>postázované esence a existence.</w:t>
      </w:r>
    </w:p>
    <w:p w14:paraId="59F2D993" w14:textId="3DD3E929" w:rsidR="08140703" w:rsidRPr="00273106" w:rsidRDefault="08D34A2C" w:rsidP="00DF39FE">
      <w:pPr>
        <w:ind w:firstLine="397"/>
      </w:pPr>
      <w:r w:rsidRPr="00273106">
        <w:t xml:space="preserve">Erfurtský traktát ukazuje dominaci </w:t>
      </w:r>
      <w:r>
        <w:t xml:space="preserve">školy </w:t>
      </w:r>
      <w:r w:rsidRPr="00273106">
        <w:rPr>
          <w:i/>
        </w:rPr>
        <w:t>Modernorum</w:t>
      </w:r>
      <w:r w:rsidRPr="00273106">
        <w:t xml:space="preserve"> na Oxfordu a současně dává nahlédnout do podstaty </w:t>
      </w:r>
      <w:r>
        <w:t xml:space="preserve">konfliktu </w:t>
      </w:r>
      <w:r w:rsidRPr="00273106">
        <w:t xml:space="preserve">mezi Baconem a Kilwardbym. </w:t>
      </w:r>
      <w:r w:rsidR="08AB6827" w:rsidRPr="00273106">
        <w:t xml:space="preserve">Anonym z </w:t>
      </w:r>
      <w:r w:rsidR="08AB6827">
        <w:t xml:space="preserve">Erfurtu </w:t>
      </w:r>
      <w:r w:rsidR="08AB6827" w:rsidRPr="00273106">
        <w:t>má pořadí šestice principů poznání po</w:t>
      </w:r>
      <w:r w:rsidR="08567127">
        <w:t>dle Kilwardbyho a Rufuse (kap. 3</w:t>
      </w:r>
      <w:r w:rsidR="08AB6827" w:rsidRPr="00273106">
        <w:t xml:space="preserve">.4.1). </w:t>
      </w:r>
      <w:r>
        <w:t>S</w:t>
      </w:r>
      <w:r w:rsidRPr="00273106">
        <w:t xml:space="preserve">por se týkal 6. teze dané ve skupině </w:t>
      </w:r>
      <w:r>
        <w:t xml:space="preserve">omylů </w:t>
      </w:r>
      <w:r w:rsidRPr="00273106">
        <w:rPr>
          <w:i/>
        </w:rPr>
        <w:t>In logicalibus</w:t>
      </w:r>
      <w:r w:rsidRPr="00273106">
        <w:t xml:space="preserve"> odsouzené v Oxfordu 18. března 1277: „</w:t>
      </w:r>
      <w:r w:rsidRPr="00273106">
        <w:rPr>
          <w:i/>
        </w:rPr>
        <w:t>Veritas cum necessitate tantum est cum constantia subiecti</w:t>
      </w:r>
      <w:r w:rsidRPr="00273106">
        <w:t>.“ (</w:t>
      </w:r>
      <w:r w:rsidRPr="00273106">
        <w:rPr>
          <w:i/>
        </w:rPr>
        <w:t>Chartularium</w:t>
      </w:r>
      <w:r w:rsidRPr="00273106">
        <w:t xml:space="preserve"> I, no. 474</w:t>
      </w:r>
      <w:r>
        <w:fldChar w:fldCharType="begin"/>
      </w:r>
      <w:r>
        <w:instrText xml:space="preserve"> XE "</w:instrText>
      </w:r>
      <w:r w:rsidRPr="00BF763E">
        <w:rPr>
          <w:i/>
        </w:rPr>
        <w:instrText>Chartularium</w:instrText>
      </w:r>
      <w:r w:rsidR="086376A4">
        <w:instrText xml:space="preserve"> I, no. </w:instrText>
      </w:r>
      <w:r w:rsidRPr="00BF763E">
        <w:instrText>474</w:instrText>
      </w:r>
      <w:r w:rsidR="086376A4">
        <w:instrText>, p. 558</w:instrText>
      </w:r>
      <w:r>
        <w:instrText xml:space="preserve">" </w:instrText>
      </w:r>
      <w:r>
        <w:fldChar w:fldCharType="end"/>
      </w:r>
      <w:r w:rsidRPr="00273106">
        <w:t>).</w:t>
      </w:r>
      <w:r w:rsidR="002B0CA1">
        <w:t xml:space="preserve"> Je třeba přesně analyzovat </w:t>
      </w:r>
      <w:r>
        <w:t xml:space="preserve">rozdíl v termínech </w:t>
      </w:r>
      <w:r>
        <w:rPr>
          <w:i/>
          <w:szCs w:val="16"/>
        </w:rPr>
        <w:t>existentia</w:t>
      </w:r>
      <w:r w:rsidRPr="009A2605">
        <w:rPr>
          <w:i/>
          <w:szCs w:val="16"/>
        </w:rPr>
        <w:t xml:space="preserve"> subiecti</w:t>
      </w:r>
      <w:r>
        <w:t xml:space="preserve"> (Bacon) a </w:t>
      </w:r>
      <w:r w:rsidRPr="005540E6">
        <w:rPr>
          <w:i/>
          <w:szCs w:val="16"/>
        </w:rPr>
        <w:t>constantia subiecti</w:t>
      </w:r>
      <w:r>
        <w:t xml:space="preserve"> </w:t>
      </w:r>
      <w:r>
        <w:rPr>
          <w:i/>
        </w:rPr>
        <w:fldChar w:fldCharType="begin"/>
      </w:r>
      <w:r>
        <w:instrText xml:space="preserve"> XE "supozice:</w:instrText>
      </w:r>
      <w:r w:rsidRPr="00CA73EE">
        <w:rPr>
          <w:i/>
        </w:rPr>
        <w:instrText>constantia subiecti</w:instrText>
      </w:r>
      <w:r>
        <w:instrText xml:space="preserve">" </w:instrText>
      </w:r>
      <w:r>
        <w:rPr>
          <w:i/>
        </w:rPr>
        <w:fldChar w:fldCharType="end"/>
      </w:r>
      <w:r>
        <w:t xml:space="preserve"> (Kilwardby).</w:t>
      </w:r>
      <w:r w:rsidRPr="00273106">
        <w:rPr>
          <w:rStyle w:val="Znakapoznpodarou"/>
        </w:rPr>
        <w:footnoteReference w:id="503"/>
      </w:r>
      <w:r w:rsidRPr="00273106">
        <w:t xml:space="preserve"> </w:t>
      </w:r>
      <w:r w:rsidR="08522513" w:rsidRPr="00273106">
        <w:t xml:space="preserve">Subjekt daný jako moderní </w:t>
      </w:r>
      <w:r w:rsidR="08522513" w:rsidRPr="00273106">
        <w:rPr>
          <w:i/>
        </w:rPr>
        <w:t>scibile</w:t>
      </w:r>
      <w:r w:rsidR="08522513" w:rsidRPr="00273106">
        <w:t xml:space="preserve"> dostává </w:t>
      </w:r>
      <w:r w:rsidR="08522513">
        <w:t xml:space="preserve">v pojetí Kilwardbyho </w:t>
      </w:r>
      <w:r w:rsidR="08522513" w:rsidRPr="00273106">
        <w:t>odlišnou ontologickou konsistenci (</w:t>
      </w:r>
      <w:r w:rsidR="08522513" w:rsidRPr="00273106">
        <w:rPr>
          <w:i/>
        </w:rPr>
        <w:t>constantia subiecti</w:t>
      </w:r>
      <w:r w:rsidR="08522513" w:rsidRPr="00273106">
        <w:t>) než v prvním averroismu</w:t>
      </w:r>
      <w:r w:rsidR="00861A17">
        <w:t xml:space="preserve">. Ten určuje </w:t>
      </w:r>
      <w:r w:rsidR="08522513" w:rsidRPr="00273106">
        <w:t>výpověď hyparchickým postavením externí první substance</w:t>
      </w:r>
      <w:r w:rsidR="08522513">
        <w:t xml:space="preserve"> (</w:t>
      </w:r>
      <w:r w:rsidR="08522513">
        <w:rPr>
          <w:i/>
          <w:szCs w:val="16"/>
        </w:rPr>
        <w:t>existentia</w:t>
      </w:r>
      <w:r w:rsidR="08522513" w:rsidRPr="009A2605">
        <w:rPr>
          <w:i/>
          <w:szCs w:val="16"/>
        </w:rPr>
        <w:t xml:space="preserve"> subiecti</w:t>
      </w:r>
      <w:r w:rsidR="08522513">
        <w:t>)</w:t>
      </w:r>
      <w:r w:rsidR="08522513" w:rsidRPr="00273106">
        <w:t xml:space="preserve">. </w:t>
      </w:r>
      <w:r w:rsidR="004F7CFC" w:rsidRPr="00273106">
        <w:t xml:space="preserve">Vidění světa </w:t>
      </w:r>
      <w:r w:rsidR="004F7CFC">
        <w:t xml:space="preserve">v rámci moderního </w:t>
      </w:r>
      <w:r w:rsidR="004F7CFC" w:rsidRPr="00273106">
        <w:rPr>
          <w:i/>
        </w:rPr>
        <w:t>constantia subiecti</w:t>
      </w:r>
      <w:r w:rsidR="004F7CFC" w:rsidRPr="00273106">
        <w:t xml:space="preserve"> </w:t>
      </w:r>
      <w:r w:rsidR="004F7CFC">
        <w:rPr>
          <w:i/>
        </w:rPr>
        <w:fldChar w:fldCharType="begin"/>
      </w:r>
      <w:r w:rsidR="004F7CFC">
        <w:instrText xml:space="preserve"> XE "supozice:</w:instrText>
      </w:r>
      <w:r w:rsidR="004F7CFC" w:rsidRPr="00CA73EE">
        <w:rPr>
          <w:i/>
        </w:rPr>
        <w:instrText>constantia subiecti</w:instrText>
      </w:r>
      <w:r w:rsidR="004F7CFC">
        <w:instrText xml:space="preserve">" </w:instrText>
      </w:r>
      <w:r w:rsidR="004F7CFC">
        <w:rPr>
          <w:i/>
        </w:rPr>
        <w:fldChar w:fldCharType="end"/>
      </w:r>
      <w:r w:rsidR="004F7CFC" w:rsidRPr="00273106">
        <w:t xml:space="preserve">zavádí jistotu </w:t>
      </w:r>
      <w:r w:rsidR="00BF1AD4">
        <w:t xml:space="preserve">poznání danou </w:t>
      </w:r>
      <w:r w:rsidR="004F7CFC" w:rsidRPr="00273106">
        <w:t>primárn</w:t>
      </w:r>
      <w:r w:rsidR="00BF1AD4">
        <w:t xml:space="preserve">ě </w:t>
      </w:r>
      <w:r w:rsidR="004F7CFC" w:rsidRPr="00273106">
        <w:t xml:space="preserve">v poznávajícím intelektu. </w:t>
      </w:r>
      <w:r w:rsidR="00BF1AD4">
        <w:t>Tím vznikla nová metafyzika</w:t>
      </w:r>
      <w:r w:rsidR="00844B73">
        <w:t>, jejímž základem není realita, ale poznávací subjekt</w:t>
      </w:r>
      <w:r w:rsidR="00BF1AD4">
        <w:t xml:space="preserve">. </w:t>
      </w:r>
      <w:r w:rsidR="08140703">
        <w:t>Porretánské trvání subjektu (</w:t>
      </w:r>
      <w:r w:rsidR="08140703" w:rsidRPr="00273106">
        <w:rPr>
          <w:i/>
        </w:rPr>
        <w:t>constantia</w:t>
      </w:r>
      <w:r w:rsidR="08140703" w:rsidRPr="00273106">
        <w:t xml:space="preserve"> </w:t>
      </w:r>
      <w:r w:rsidR="08140703" w:rsidRPr="00273106">
        <w:rPr>
          <w:i/>
        </w:rPr>
        <w:t>subiecti</w:t>
      </w:r>
      <w:r w:rsidR="08140703">
        <w:t xml:space="preserve">) v porretánském modu </w:t>
      </w:r>
      <w:r w:rsidR="08140703" w:rsidRPr="00273106">
        <w:rPr>
          <w:i/>
        </w:rPr>
        <w:t>semel</w:t>
      </w:r>
      <w:r w:rsidR="08140703" w:rsidRPr="00273106">
        <w:t>‒</w:t>
      </w:r>
      <w:r w:rsidR="08140703" w:rsidRPr="00273106">
        <w:rPr>
          <w:i/>
        </w:rPr>
        <w:t>semper</w:t>
      </w:r>
      <w:r w:rsidR="08140703">
        <w:rPr>
          <w:i/>
        </w:rPr>
        <w:fldChar w:fldCharType="begin"/>
      </w:r>
      <w:r w:rsidR="08140703">
        <w:instrText xml:space="preserve"> XE "predikace:</w:instrText>
      </w:r>
      <w:r w:rsidR="08140703" w:rsidRPr="006F1348">
        <w:rPr>
          <w:i/>
        </w:rPr>
        <w:instrText>semel‒semper</w:instrText>
      </w:r>
      <w:r w:rsidR="08140703">
        <w:instrText xml:space="preserve">" </w:instrText>
      </w:r>
      <w:r w:rsidR="08140703">
        <w:rPr>
          <w:i/>
        </w:rPr>
        <w:fldChar w:fldCharType="end"/>
      </w:r>
      <w:r w:rsidR="08140703" w:rsidRPr="00273106">
        <w:t xml:space="preserve"> </w:t>
      </w:r>
      <w:r w:rsidR="08140703">
        <w:t>vyjadřuje toto tvrzení.</w:t>
      </w:r>
    </w:p>
    <w:p w14:paraId="5491BE1C" w14:textId="0DE2569C" w:rsidR="08140703" w:rsidRPr="00273106" w:rsidRDefault="08140703" w:rsidP="08140703">
      <w:pPr>
        <w:pStyle w:val="Citace"/>
        <w:rPr>
          <w:noProof/>
          <w:lang w:val="cs-CZ"/>
        </w:rPr>
      </w:pPr>
      <w:r w:rsidRPr="00273106">
        <w:rPr>
          <w:noProof/>
          <w:lang w:val="cs-CZ"/>
        </w:rPr>
        <w:t>„</w:t>
      </w:r>
      <w:r>
        <w:rPr>
          <w:noProof/>
          <w:lang w:val="cs-CZ"/>
        </w:rPr>
        <w:t>Důkaz, že platí teze '</w:t>
      </w:r>
      <w:r w:rsidRPr="00273106">
        <w:rPr>
          <w:noProof/>
          <w:lang w:val="cs-CZ"/>
        </w:rPr>
        <w:t>č</w:t>
      </w:r>
      <w:r>
        <w:rPr>
          <w:noProof/>
          <w:lang w:val="cs-CZ"/>
        </w:rPr>
        <w:t>lověk je substance, a tudíž je</w:t>
      </w:r>
      <w:r w:rsidRPr="00273106">
        <w:rPr>
          <w:noProof/>
          <w:lang w:val="cs-CZ"/>
        </w:rPr>
        <w:t xml:space="preserve"> jsou</w:t>
      </w:r>
      <w:r>
        <w:rPr>
          <w:noProof/>
          <w:lang w:val="cs-CZ"/>
        </w:rPr>
        <w:t>cnem', je nás</w:t>
      </w:r>
      <w:r w:rsidR="08FB2466">
        <w:rPr>
          <w:noProof/>
          <w:lang w:val="cs-CZ"/>
        </w:rPr>
        <w:t>ledující. Sloveso 'je</w:t>
      </w:r>
      <w:r>
        <w:rPr>
          <w:noProof/>
          <w:lang w:val="cs-CZ"/>
        </w:rPr>
        <w:t>'</w:t>
      </w:r>
      <w:r w:rsidRPr="00273106">
        <w:rPr>
          <w:noProof/>
          <w:lang w:val="cs-CZ"/>
        </w:rPr>
        <w:t xml:space="preserve"> (</w:t>
      </w:r>
      <w:r w:rsidRPr="00273106">
        <w:rPr>
          <w:i/>
          <w:noProof/>
          <w:lang w:val="cs-CZ"/>
        </w:rPr>
        <w:t>est</w:t>
      </w:r>
      <w:r w:rsidRPr="00273106">
        <w:rPr>
          <w:noProof/>
          <w:lang w:val="cs-CZ"/>
        </w:rPr>
        <w:t>) se má k signifikované věci v aktu</w:t>
      </w:r>
      <w:r>
        <w:rPr>
          <w:noProof/>
          <w:lang w:val="cs-CZ"/>
        </w:rPr>
        <w:t>álním modu, a stejně tak se má 'jsoucno'</w:t>
      </w:r>
      <w:r w:rsidRPr="00273106">
        <w:rPr>
          <w:noProof/>
          <w:lang w:val="cs-CZ"/>
        </w:rPr>
        <w:t xml:space="preserve"> (</w:t>
      </w:r>
      <w:r w:rsidRPr="00273106">
        <w:rPr>
          <w:i/>
          <w:noProof/>
          <w:lang w:val="cs-CZ"/>
        </w:rPr>
        <w:t>ens</w:t>
      </w:r>
      <w:r w:rsidRPr="00273106">
        <w:rPr>
          <w:noProof/>
          <w:lang w:val="cs-CZ"/>
        </w:rPr>
        <w:t>) k signifi</w:t>
      </w:r>
      <w:r>
        <w:rPr>
          <w:noProof/>
          <w:lang w:val="cs-CZ"/>
        </w:rPr>
        <w:t>kované věci ve formě habitu</w:t>
      </w:r>
      <w:r w:rsidR="08FB2466">
        <w:rPr>
          <w:noProof/>
          <w:lang w:val="cs-CZ"/>
        </w:rPr>
        <w:t xml:space="preserve"> a jsoucnost slovesa 'jest' se chápe </w:t>
      </w:r>
      <w:r>
        <w:rPr>
          <w:noProof/>
          <w:lang w:val="cs-CZ"/>
        </w:rPr>
        <w:t>v každém slovese</w:t>
      </w:r>
      <w:r w:rsidRPr="00273106">
        <w:rPr>
          <w:noProof/>
          <w:lang w:val="cs-CZ"/>
        </w:rPr>
        <w:t>. (...) Pak</w:t>
      </w:r>
      <w:r w:rsidR="00E8104E">
        <w:rPr>
          <w:noProof/>
          <w:lang w:val="cs-CZ"/>
        </w:rPr>
        <w:t xml:space="preserve"> platí, že </w:t>
      </w:r>
      <w:r w:rsidRPr="00273106">
        <w:rPr>
          <w:noProof/>
          <w:lang w:val="cs-CZ"/>
        </w:rPr>
        <w:t>v jakémkoliv slově predikovaném v habit</w:t>
      </w:r>
      <w:r>
        <w:rPr>
          <w:noProof/>
          <w:lang w:val="cs-CZ"/>
        </w:rPr>
        <w:t>uálním modu je zahrnut i pojem '</w:t>
      </w:r>
      <w:r w:rsidRPr="00273106">
        <w:rPr>
          <w:noProof/>
          <w:lang w:val="cs-CZ"/>
        </w:rPr>
        <w:t>jso</w:t>
      </w:r>
      <w:r>
        <w:rPr>
          <w:noProof/>
          <w:lang w:val="cs-CZ"/>
        </w:rPr>
        <w:t>ucno'</w:t>
      </w:r>
      <w:r w:rsidR="08567529">
        <w:rPr>
          <w:noProof/>
          <w:lang w:val="cs-CZ"/>
        </w:rPr>
        <w:t>. P</w:t>
      </w:r>
      <w:r w:rsidRPr="00273106">
        <w:rPr>
          <w:noProof/>
          <w:lang w:val="cs-CZ"/>
        </w:rPr>
        <w:t>roto</w:t>
      </w:r>
      <w:r w:rsidR="08567529">
        <w:rPr>
          <w:noProof/>
          <w:lang w:val="cs-CZ"/>
        </w:rPr>
        <w:t xml:space="preserve"> je substance jménem a </w:t>
      </w:r>
      <w:r w:rsidR="003D00D0">
        <w:rPr>
          <w:noProof/>
          <w:lang w:val="cs-CZ"/>
        </w:rPr>
        <w:t xml:space="preserve">tím </w:t>
      </w:r>
      <w:r w:rsidR="00E8104E">
        <w:rPr>
          <w:noProof/>
          <w:lang w:val="cs-CZ"/>
        </w:rPr>
        <w:t xml:space="preserve">je </w:t>
      </w:r>
      <w:r w:rsidR="08567529">
        <w:rPr>
          <w:noProof/>
          <w:lang w:val="cs-CZ"/>
        </w:rPr>
        <w:t xml:space="preserve">také </w:t>
      </w:r>
      <w:r w:rsidR="003D00D0">
        <w:rPr>
          <w:noProof/>
          <w:lang w:val="cs-CZ"/>
        </w:rPr>
        <w:t>uchopena v reálné substanci</w:t>
      </w:r>
      <w:r w:rsidRPr="00273106">
        <w:rPr>
          <w:noProof/>
          <w:lang w:val="cs-CZ"/>
        </w:rPr>
        <w:t xml:space="preserve">.“ </w:t>
      </w:r>
      <w:r w:rsidRPr="00273106">
        <w:rPr>
          <w:rStyle w:val="Znakapoznpodarou"/>
          <w:noProof/>
          <w:lang w:val="cs-CZ"/>
        </w:rPr>
        <w:footnoteReference w:id="504"/>
      </w:r>
    </w:p>
    <w:p w14:paraId="4C21FC9E" w14:textId="2076725D" w:rsidR="002A3404" w:rsidRDefault="08140703" w:rsidP="00D10D45">
      <w:r>
        <w:t xml:space="preserve">Moderní analytické </w:t>
      </w:r>
      <w:r w:rsidRPr="00273106">
        <w:t>porozumění významu „jsoucí“ (</w:t>
      </w:r>
      <w:r w:rsidRPr="00273106">
        <w:rPr>
          <w:i/>
        </w:rPr>
        <w:t>intelligitur «est»</w:t>
      </w:r>
      <w:r w:rsidRPr="00273106">
        <w:t xml:space="preserve">) vzato úplně homonymicky </w:t>
      </w:r>
      <w:r w:rsidR="00DD0CF4">
        <w:t xml:space="preserve">ve </w:t>
      </w:r>
      <w:r w:rsidRPr="00273106">
        <w:t>různý</w:t>
      </w:r>
      <w:r w:rsidR="00DD0CF4">
        <w:t xml:space="preserve">ch kategoriích významu: jako </w:t>
      </w:r>
      <w:r w:rsidRPr="00273106">
        <w:t>substanc</w:t>
      </w:r>
      <w:r w:rsidR="00DD0CF4">
        <w:t>e</w:t>
      </w:r>
      <w:r w:rsidRPr="00273106">
        <w:t xml:space="preserve"> (</w:t>
      </w:r>
      <w:r w:rsidRPr="00273106">
        <w:rPr>
          <w:i/>
        </w:rPr>
        <w:t>homo est substantia</w:t>
      </w:r>
      <w:r w:rsidRPr="00273106">
        <w:t>)</w:t>
      </w:r>
      <w:r w:rsidR="00DD0CF4">
        <w:t xml:space="preserve">; jako </w:t>
      </w:r>
      <w:r w:rsidRPr="00273106">
        <w:t>akt její existence v reálu (</w:t>
      </w:r>
      <w:r w:rsidRPr="00273106">
        <w:rPr>
          <w:i/>
        </w:rPr>
        <w:t>per modum actus</w:t>
      </w:r>
      <w:r>
        <w:t>)</w:t>
      </w:r>
      <w:r w:rsidR="00DD0CF4">
        <w:t xml:space="preserve">; jako </w:t>
      </w:r>
      <w:r>
        <w:t xml:space="preserve">habituální poznání </w:t>
      </w:r>
      <w:r w:rsidRPr="00273106">
        <w:t>v intelektu (</w:t>
      </w:r>
      <w:r w:rsidRPr="00273106">
        <w:rPr>
          <w:i/>
        </w:rPr>
        <w:t>per modum habitus</w:t>
      </w:r>
      <w:r w:rsidRPr="00273106">
        <w:t>)</w:t>
      </w:r>
      <w:r w:rsidR="00DD0CF4">
        <w:t xml:space="preserve">; jako </w:t>
      </w:r>
      <w:r w:rsidRPr="00273106">
        <w:t>apelativní vyjádření významu v běžné mluvě (</w:t>
      </w:r>
      <w:r w:rsidRPr="00273106">
        <w:rPr>
          <w:i/>
        </w:rPr>
        <w:t>in quolibet verbo</w:t>
      </w:r>
      <w:r w:rsidRPr="00273106">
        <w:t>). A nakonec vznikne ekvivalence mezi pojmenováním věci a jejím esenciálním aktem bytí (</w:t>
      </w:r>
      <w:r w:rsidRPr="00273106">
        <w:rPr>
          <w:i/>
        </w:rPr>
        <w:t>ergo substantia sit nomen</w:t>
      </w:r>
      <w:r w:rsidRPr="00273106">
        <w:t>).</w:t>
      </w:r>
      <w:r>
        <w:t xml:space="preserve"> </w:t>
      </w:r>
      <w:r w:rsidR="004F7CFC" w:rsidRPr="00273106">
        <w:t>Nová věda je daná skrze nominalistick</w:t>
      </w:r>
      <w:r w:rsidR="00FE4942">
        <w:t>y pojatá</w:t>
      </w:r>
      <w:r w:rsidR="004F7CFC" w:rsidRPr="00273106">
        <w:t xml:space="preserve"> </w:t>
      </w:r>
      <w:r w:rsidR="004B4D52" w:rsidRPr="004B4D52">
        <w:t>species</w:t>
      </w:r>
      <w:r w:rsidR="00FE4942">
        <w:t xml:space="preserve"> a individua</w:t>
      </w:r>
      <w:r w:rsidR="004F7CFC" w:rsidRPr="00273106">
        <w:t xml:space="preserve">, protože </w:t>
      </w:r>
      <w:r w:rsidR="00FE4942">
        <w:t>ta tvoří nový základ m</w:t>
      </w:r>
      <w:r w:rsidR="004F7CFC" w:rsidRPr="00273106">
        <w:t xml:space="preserve">oderní </w:t>
      </w:r>
      <w:r w:rsidR="00FE4942">
        <w:t>predikace</w:t>
      </w:r>
      <w:r w:rsidR="004F7CFC" w:rsidRPr="00273106">
        <w:t>.</w:t>
      </w:r>
      <w:r w:rsidR="00320EB1">
        <w:t xml:space="preserve"> J</w:t>
      </w:r>
      <w:r w:rsidR="00ED6245">
        <w:t>ejich nos</w:t>
      </w:r>
      <w:r w:rsidR="00320EB1">
        <w:t>i</w:t>
      </w:r>
      <w:r w:rsidR="00ED6245">
        <w:t>t</w:t>
      </w:r>
      <w:r w:rsidR="00320EB1">
        <w:t>elem je pouze moderní subjekt, protože jsoucno třetího druhu</w:t>
      </w:r>
      <w:r w:rsidR="08A83077" w:rsidRPr="08A83077">
        <w:t xml:space="preserve"> </w:t>
      </w:r>
      <w:r w:rsidR="08A83077">
        <w:t>jinde neexistuje</w:t>
      </w:r>
      <w:r w:rsidR="00320EB1">
        <w:t>.</w:t>
      </w:r>
      <w:r w:rsidR="08EA715E">
        <w:t xml:space="preserve"> </w:t>
      </w:r>
      <w:r w:rsidR="008460DA">
        <w:t xml:space="preserve">Termín </w:t>
      </w:r>
      <w:r w:rsidR="008460DA" w:rsidRPr="00273106">
        <w:rPr>
          <w:i/>
        </w:rPr>
        <w:t>constantia</w:t>
      </w:r>
      <w:r w:rsidR="008460DA" w:rsidRPr="00273106">
        <w:t xml:space="preserve"> vázaný na mimočaso</w:t>
      </w:r>
      <w:r w:rsidR="008460DA">
        <w:t xml:space="preserve">vou esenci v porretánském modu </w:t>
      </w:r>
      <w:r w:rsidR="008460DA" w:rsidRPr="00273106">
        <w:rPr>
          <w:i/>
        </w:rPr>
        <w:t>semel‒semper</w:t>
      </w:r>
      <w:r w:rsidR="008460DA">
        <w:rPr>
          <w:i/>
        </w:rPr>
        <w:fldChar w:fldCharType="begin"/>
      </w:r>
      <w:r w:rsidR="008460DA">
        <w:instrText xml:space="preserve"> XE "pravda:</w:instrText>
      </w:r>
      <w:r w:rsidR="008460DA" w:rsidRPr="004A2E91">
        <w:rPr>
          <w:i/>
        </w:rPr>
        <w:instrText>semel</w:instrText>
      </w:r>
      <w:r w:rsidR="008460DA" w:rsidRPr="004A2E91">
        <w:instrText>‒</w:instrText>
      </w:r>
      <w:r w:rsidR="008460DA" w:rsidRPr="004A2E91">
        <w:rPr>
          <w:i/>
        </w:rPr>
        <w:instrText>semper</w:instrText>
      </w:r>
      <w:r w:rsidR="008460DA">
        <w:instrText xml:space="preserve">" </w:instrText>
      </w:r>
      <w:r w:rsidR="008460DA">
        <w:rPr>
          <w:i/>
        </w:rPr>
        <w:fldChar w:fldCharType="end"/>
      </w:r>
      <w:r w:rsidR="008460DA" w:rsidRPr="00273106">
        <w:t xml:space="preserve"> nemá stejný význam</w:t>
      </w:r>
      <w:r w:rsidR="008460DA">
        <w:t xml:space="preserve"> jako Baconova </w:t>
      </w:r>
      <w:r w:rsidR="008460DA" w:rsidRPr="00273106">
        <w:rPr>
          <w:i/>
        </w:rPr>
        <w:t>existentia</w:t>
      </w:r>
      <w:r w:rsidR="008460DA" w:rsidRPr="00273106">
        <w:t xml:space="preserve"> vázaná </w:t>
      </w:r>
      <w:r w:rsidR="008460DA">
        <w:t xml:space="preserve">díky impozici </w:t>
      </w:r>
      <w:r w:rsidR="008460DA" w:rsidRPr="00273106">
        <w:t xml:space="preserve">na </w:t>
      </w:r>
      <w:r w:rsidR="08CB1832">
        <w:t xml:space="preserve">hyparchické </w:t>
      </w:r>
      <w:r w:rsidR="008460DA" w:rsidRPr="00273106">
        <w:t xml:space="preserve">bytí první substance. </w:t>
      </w:r>
      <w:r w:rsidR="008460DA">
        <w:t xml:space="preserve">Rozdíl mezi Baconovou </w:t>
      </w:r>
      <w:r w:rsidR="008460DA" w:rsidRPr="008E5A9D">
        <w:rPr>
          <w:i/>
          <w:szCs w:val="16"/>
        </w:rPr>
        <w:t>existentia</w:t>
      </w:r>
      <w:r w:rsidR="008460DA" w:rsidRPr="009A2605">
        <w:rPr>
          <w:i/>
          <w:szCs w:val="16"/>
        </w:rPr>
        <w:t xml:space="preserve"> subiecti</w:t>
      </w:r>
      <w:r w:rsidR="008460DA">
        <w:rPr>
          <w:szCs w:val="16"/>
        </w:rPr>
        <w:t xml:space="preserve"> a Kilwardbyho </w:t>
      </w:r>
      <w:r w:rsidR="008460DA" w:rsidRPr="00273106">
        <w:rPr>
          <w:i/>
        </w:rPr>
        <w:t>constantia</w:t>
      </w:r>
      <w:r w:rsidR="008460DA" w:rsidRPr="00273106">
        <w:t xml:space="preserve"> </w:t>
      </w:r>
      <w:r w:rsidR="008460DA" w:rsidRPr="00273106">
        <w:rPr>
          <w:i/>
        </w:rPr>
        <w:t>subiecti</w:t>
      </w:r>
      <w:r w:rsidR="008460DA" w:rsidRPr="00273106">
        <w:t xml:space="preserve"> </w:t>
      </w:r>
      <w:r w:rsidR="008460DA">
        <w:rPr>
          <w:i/>
        </w:rPr>
        <w:fldChar w:fldCharType="begin"/>
      </w:r>
      <w:r w:rsidR="008460DA">
        <w:instrText xml:space="preserve"> XE "supozice:</w:instrText>
      </w:r>
      <w:r w:rsidR="008460DA" w:rsidRPr="00CA73EE">
        <w:rPr>
          <w:i/>
        </w:rPr>
        <w:instrText>constantia subiecti</w:instrText>
      </w:r>
      <w:r w:rsidR="008460DA">
        <w:instrText xml:space="preserve">" </w:instrText>
      </w:r>
      <w:r w:rsidR="008460DA">
        <w:rPr>
          <w:i/>
        </w:rPr>
        <w:fldChar w:fldCharType="end"/>
      </w:r>
      <w:r w:rsidR="008460DA">
        <w:t xml:space="preserve">ukazuje zásadní diferenci mezi porretánskou „exsistencí“ a </w:t>
      </w:r>
      <w:r w:rsidR="009F1687">
        <w:t xml:space="preserve">aristotelským </w:t>
      </w:r>
      <w:r w:rsidR="009F1687">
        <w:rPr>
          <w:i/>
          <w:szCs w:val="24"/>
        </w:rPr>
        <w:t>actus e</w:t>
      </w:r>
      <w:r w:rsidR="009F1687" w:rsidRPr="00EC1DEF">
        <w:rPr>
          <w:i/>
          <w:szCs w:val="24"/>
        </w:rPr>
        <w:t>ssendi</w:t>
      </w:r>
      <w:r w:rsidR="009F1687">
        <w:rPr>
          <w:i/>
          <w:szCs w:val="24"/>
        </w:rPr>
        <w:fldChar w:fldCharType="begin"/>
      </w:r>
      <w:r w:rsidR="009F1687">
        <w:instrText xml:space="preserve"> XE "</w:instrText>
      </w:r>
      <w:r w:rsidR="009F1687" w:rsidRPr="00D3344C">
        <w:rPr>
          <w:i/>
          <w:szCs w:val="24"/>
        </w:rPr>
        <w:instrText>actus essendi</w:instrText>
      </w:r>
      <w:r w:rsidR="009F1687">
        <w:instrText xml:space="preserve">" </w:instrText>
      </w:r>
      <w:r w:rsidR="009F1687">
        <w:rPr>
          <w:i/>
          <w:szCs w:val="24"/>
        </w:rPr>
        <w:fldChar w:fldCharType="end"/>
      </w:r>
      <w:r w:rsidR="008460DA">
        <w:t>.</w:t>
      </w:r>
      <w:r w:rsidR="008460DA">
        <w:rPr>
          <w:rStyle w:val="Znakapoznpodarou"/>
        </w:rPr>
        <w:footnoteReference w:id="505"/>
      </w:r>
      <w:r w:rsidR="008460DA">
        <w:t xml:space="preserve"> </w:t>
      </w:r>
      <w:r w:rsidR="08DD560B">
        <w:t xml:space="preserve">Termín </w:t>
      </w:r>
      <w:r w:rsidR="00C60E82">
        <w:t xml:space="preserve">„existence“ </w:t>
      </w:r>
      <w:r w:rsidR="08DD560B">
        <w:rPr>
          <w:i/>
        </w:rPr>
        <w:fldChar w:fldCharType="begin"/>
      </w:r>
      <w:r w:rsidR="08DD560B">
        <w:instrText xml:space="preserve"> XE "supozice:</w:instrText>
      </w:r>
      <w:r w:rsidR="08DD560B" w:rsidRPr="00CA73EE">
        <w:rPr>
          <w:i/>
        </w:rPr>
        <w:instrText>constantia subiecti</w:instrText>
      </w:r>
      <w:r w:rsidR="08DD560B">
        <w:instrText xml:space="preserve">" </w:instrText>
      </w:r>
      <w:r w:rsidR="08DD560B">
        <w:rPr>
          <w:i/>
        </w:rPr>
        <w:fldChar w:fldCharType="end"/>
      </w:r>
      <w:r w:rsidR="08DD560B" w:rsidRPr="00273106">
        <w:t xml:space="preserve">měl pro Bacona jiný </w:t>
      </w:r>
      <w:r w:rsidR="08DD560B">
        <w:t xml:space="preserve">metafyzický </w:t>
      </w:r>
      <w:r w:rsidR="08DD560B" w:rsidRPr="00273106">
        <w:t xml:space="preserve">význam </w:t>
      </w:r>
      <w:r w:rsidR="08DD560B">
        <w:t>než pro druhý averroismus</w:t>
      </w:r>
      <w:r w:rsidR="08DD560B" w:rsidRPr="00273106">
        <w:t>.</w:t>
      </w:r>
      <w:r w:rsidR="08DD560B">
        <w:t xml:space="preserve"> </w:t>
      </w:r>
      <w:r w:rsidR="08BF3567">
        <w:rPr>
          <w:rFonts w:cs="S60-RomanA"/>
        </w:rPr>
        <w:t xml:space="preserve">Okolo roku </w:t>
      </w:r>
      <w:r w:rsidR="0096246B">
        <w:rPr>
          <w:rFonts w:cs="S60-RomanA"/>
        </w:rPr>
        <w:t>1250 byl</w:t>
      </w:r>
      <w:r w:rsidR="00D82E10">
        <w:rPr>
          <w:rFonts w:cs="S60-RomanA"/>
        </w:rPr>
        <w:t>o</w:t>
      </w:r>
      <w:r w:rsidR="0096246B">
        <w:rPr>
          <w:rFonts w:cs="S60-RomanA"/>
        </w:rPr>
        <w:t xml:space="preserve"> bytí pr</w:t>
      </w:r>
      <w:r w:rsidR="08464336">
        <w:rPr>
          <w:rFonts w:cs="S60-RomanA"/>
        </w:rPr>
        <w:t xml:space="preserve">vní substance </w:t>
      </w:r>
      <w:r w:rsidR="00D82E10">
        <w:rPr>
          <w:rFonts w:cs="S60-RomanA"/>
        </w:rPr>
        <w:t xml:space="preserve">zcela kontradiktorní, protože bylo </w:t>
      </w:r>
      <w:r w:rsidR="08464336">
        <w:rPr>
          <w:rFonts w:cs="S60-RomanA"/>
        </w:rPr>
        <w:t>nahlížen</w:t>
      </w:r>
      <w:r w:rsidR="00D82E10">
        <w:rPr>
          <w:rFonts w:cs="S60-RomanA"/>
        </w:rPr>
        <w:t>o</w:t>
      </w:r>
      <w:r w:rsidR="08464336">
        <w:rPr>
          <w:rFonts w:cs="S60-RomanA"/>
        </w:rPr>
        <w:t xml:space="preserve"> v rámci dvojí pravdy</w:t>
      </w:r>
      <w:r w:rsidR="0096246B">
        <w:rPr>
          <w:rFonts w:cs="S60-RomanA"/>
        </w:rPr>
        <w:t xml:space="preserve"> dané odlišně ve škole prvního a druhého averroismu. </w:t>
      </w:r>
      <w:r>
        <w:rPr>
          <w:rFonts w:cs="S60-RomanA"/>
        </w:rPr>
        <w:t>C</w:t>
      </w:r>
      <w:r w:rsidR="00064BD6">
        <w:t>itát m</w:t>
      </w:r>
      <w:r w:rsidR="002F1AB6" w:rsidRPr="00273106">
        <w:t>anifestuje původní</w:t>
      </w:r>
      <w:r w:rsidR="00430DB1">
        <w:t xml:space="preserve"> myšlení </w:t>
      </w:r>
      <w:r w:rsidR="0023218B">
        <w:rPr>
          <w:i/>
        </w:rPr>
        <w:t>Oxf</w:t>
      </w:r>
      <w:r w:rsidR="00430DB1" w:rsidRPr="00430DB1">
        <w:rPr>
          <w:i/>
        </w:rPr>
        <w:t>o</w:t>
      </w:r>
      <w:r w:rsidR="0023218B">
        <w:rPr>
          <w:i/>
        </w:rPr>
        <w:t>r</w:t>
      </w:r>
      <w:r w:rsidR="00430DB1" w:rsidRPr="00430DB1">
        <w:rPr>
          <w:i/>
        </w:rPr>
        <w:t>dian Fallacy</w:t>
      </w:r>
      <w:r w:rsidR="002F1AB6" w:rsidRPr="00273106">
        <w:t xml:space="preserve">, z něhož vyšel </w:t>
      </w:r>
      <w:r w:rsidR="00F84DB5" w:rsidRPr="00273106">
        <w:t xml:space="preserve">fundamentální </w:t>
      </w:r>
      <w:r w:rsidR="002F1AB6" w:rsidRPr="00273106">
        <w:rPr>
          <w:i/>
        </w:rPr>
        <w:t>Irrtum</w:t>
      </w:r>
      <w:r w:rsidR="00D01690">
        <w:rPr>
          <w:i/>
        </w:rPr>
        <w:fldChar w:fldCharType="begin"/>
      </w:r>
      <w:r w:rsidR="00D01690">
        <w:instrText xml:space="preserve"> XE "</w:instrText>
      </w:r>
      <w:r w:rsidR="00D01690" w:rsidRPr="00453B3F">
        <w:rPr>
          <w:i/>
        </w:rPr>
        <w:instrText>Irrtum</w:instrText>
      </w:r>
      <w:r w:rsidR="00D01690">
        <w:instrText xml:space="preserve">:analytická filosofie" </w:instrText>
      </w:r>
      <w:r w:rsidR="00D01690">
        <w:rPr>
          <w:i/>
        </w:rPr>
        <w:fldChar w:fldCharType="end"/>
      </w:r>
      <w:r w:rsidR="002F1AB6" w:rsidRPr="00273106">
        <w:t xml:space="preserve"> </w:t>
      </w:r>
      <w:r w:rsidR="002458AC">
        <w:t xml:space="preserve">filosofie jazyka. </w:t>
      </w:r>
      <w:r w:rsidR="002458AC" w:rsidRPr="002458AC">
        <w:t>Jazykové hry analytick</w:t>
      </w:r>
      <w:r w:rsidR="002458AC">
        <w:t>ých sofistů následují logickou s</w:t>
      </w:r>
      <w:r w:rsidR="002458AC" w:rsidRPr="002458AC">
        <w:t>up</w:t>
      </w:r>
      <w:r w:rsidR="002458AC">
        <w:t>posici jako „</w:t>
      </w:r>
      <w:r w:rsidR="002458AC" w:rsidRPr="002458AC">
        <w:rPr>
          <w:i/>
        </w:rPr>
        <w:t>suppositio simplex</w:t>
      </w:r>
      <w:r w:rsidR="002458AC">
        <w:t>“</w:t>
      </w:r>
      <w:r w:rsidR="002458AC" w:rsidRPr="002458AC">
        <w:t xml:space="preserve">, která </w:t>
      </w:r>
      <w:r w:rsidR="002458AC">
        <w:t>je založena na kompletní univocitě významu</w:t>
      </w:r>
      <w:r w:rsidR="002458AC" w:rsidRPr="002458AC">
        <w:t xml:space="preserve">. </w:t>
      </w:r>
      <w:r w:rsidR="002458AC">
        <w:t>M</w:t>
      </w:r>
      <w:r w:rsidR="002458AC" w:rsidRPr="002458AC">
        <w:t xml:space="preserve">ytologické </w:t>
      </w:r>
      <w:r w:rsidR="002458AC" w:rsidRPr="002458AC">
        <w:rPr>
          <w:i/>
        </w:rPr>
        <w:t>tertium ens</w:t>
      </w:r>
      <w:r w:rsidR="002458AC">
        <w:rPr>
          <w:i/>
        </w:rPr>
        <w:t xml:space="preserve"> </w:t>
      </w:r>
      <w:r w:rsidR="002458AC">
        <w:t>oxfordských modernistů lze bez problémů zaměnit za současnou analytickou verzi „</w:t>
      </w:r>
      <w:r w:rsidR="002458AC" w:rsidRPr="002458AC">
        <w:rPr>
          <w:i/>
        </w:rPr>
        <w:t>constantia subiecti</w:t>
      </w:r>
      <w:r w:rsidR="002458AC">
        <w:t xml:space="preserve">“. Jazyk snese všechno, i logickou existenci chiméry. Taková filosofie bez impozice však není schopna najít jednoznačný vztah k realitě, což </w:t>
      </w:r>
      <w:r w:rsidR="002458AC" w:rsidRPr="002458AC">
        <w:t xml:space="preserve">jasně ukazuje současná nihilistická </w:t>
      </w:r>
      <w:r w:rsidR="002458AC">
        <w:t>f</w:t>
      </w:r>
      <w:r w:rsidR="002458AC" w:rsidRPr="002458AC">
        <w:t>áze filozofie jazyka.</w:t>
      </w:r>
      <w:r w:rsidR="00AA420C">
        <w:t xml:space="preserve"> </w:t>
      </w:r>
      <w:r w:rsidR="00AC2DF4" w:rsidRPr="00273106">
        <w:t xml:space="preserve">Kritičtí myslitelé jako Bacon </w:t>
      </w:r>
      <w:r w:rsidR="002230D1">
        <w:t>považovali</w:t>
      </w:r>
      <w:r w:rsidR="00AC2DF4" w:rsidRPr="00273106">
        <w:t xml:space="preserve"> </w:t>
      </w:r>
      <w:r w:rsidR="0869548A">
        <w:t xml:space="preserve">logicko-analytickou </w:t>
      </w:r>
      <w:r w:rsidR="00AC2DF4" w:rsidRPr="00273106">
        <w:t xml:space="preserve">univocitu jsoucího </w:t>
      </w:r>
      <w:r w:rsidR="00E743B0">
        <w:t xml:space="preserve">v modu čistého nominalismu </w:t>
      </w:r>
      <w:r w:rsidR="00AC2DF4" w:rsidRPr="00273106">
        <w:t>za sebevraždu filosofického myšlení</w:t>
      </w:r>
      <w:r w:rsidR="006A78FF">
        <w:t xml:space="preserve"> a také to </w:t>
      </w:r>
      <w:r w:rsidR="00736617">
        <w:t xml:space="preserve">veřejně </w:t>
      </w:r>
      <w:r w:rsidR="08A12ACB">
        <w:t>prohlašovali</w:t>
      </w:r>
      <w:r w:rsidR="006A78FF">
        <w:t xml:space="preserve">. </w:t>
      </w:r>
      <w:r w:rsidR="00336A19">
        <w:t>V epoše</w:t>
      </w:r>
      <w:r w:rsidR="080D4D09">
        <w:t xml:space="preserve"> vlády metafory a mediálních simuláker v modu </w:t>
      </w:r>
      <w:r w:rsidR="080D4D09" w:rsidRPr="080D4D09">
        <w:rPr>
          <w:i/>
        </w:rPr>
        <w:t>post-truths</w:t>
      </w:r>
      <w:r w:rsidR="080D4D09">
        <w:rPr>
          <w:i/>
        </w:rPr>
        <w:fldChar w:fldCharType="begin"/>
      </w:r>
      <w:r w:rsidR="080D4D09">
        <w:instrText xml:space="preserve"> XE "</w:instrText>
      </w:r>
      <w:r w:rsidR="080D4D09" w:rsidRPr="082208BE">
        <w:rPr>
          <w:i/>
        </w:rPr>
        <w:instrText>post-truths</w:instrText>
      </w:r>
      <w:r w:rsidR="080D4D09">
        <w:instrText xml:space="preserve">" </w:instrText>
      </w:r>
      <w:r w:rsidR="080D4D09">
        <w:rPr>
          <w:i/>
        </w:rPr>
        <w:fldChar w:fldCharType="end"/>
      </w:r>
      <w:r w:rsidR="00336A19">
        <w:t xml:space="preserve">, kdy je </w:t>
      </w:r>
      <w:r w:rsidR="08B32871">
        <w:t xml:space="preserve">navíc </w:t>
      </w:r>
      <w:r w:rsidR="00336A19">
        <w:t>mrtev i moderní bůh</w:t>
      </w:r>
      <w:r w:rsidR="08B32871">
        <w:t xml:space="preserve"> jako poslední garant objektivity</w:t>
      </w:r>
      <w:r w:rsidR="002A3404">
        <w:t>, to už nikomu nevadí</w:t>
      </w:r>
      <w:r w:rsidR="00A16BB6">
        <w:t>.</w:t>
      </w:r>
    </w:p>
    <w:p w14:paraId="76370C9D" w14:textId="3907A2B7" w:rsidR="00AC2DF4" w:rsidRPr="00273106" w:rsidRDefault="0011079C" w:rsidP="002A3404">
      <w:pPr>
        <w:ind w:firstLine="397"/>
      </w:pPr>
      <w:r w:rsidRPr="00273106">
        <w:t>P</w:t>
      </w:r>
      <w:r w:rsidR="00D40AD7" w:rsidRPr="00273106">
        <w:t xml:space="preserve">olemika </w:t>
      </w:r>
      <w:r w:rsidR="00AF1172" w:rsidRPr="00073AD6">
        <w:rPr>
          <w:i/>
          <w:szCs w:val="18"/>
        </w:rPr>
        <w:t>Anonymus Erfordensis</w:t>
      </w:r>
      <w:r w:rsidR="00AF1172">
        <w:rPr>
          <w:i/>
          <w:szCs w:val="18"/>
        </w:rPr>
        <w:t xml:space="preserve"> </w:t>
      </w:r>
      <w:r w:rsidR="00D40AD7" w:rsidRPr="00273106">
        <w:t xml:space="preserve">s Baconem </w:t>
      </w:r>
      <w:r w:rsidR="004A7522" w:rsidRPr="00273106">
        <w:t xml:space="preserve">a Albertem </w:t>
      </w:r>
      <w:r w:rsidR="001B2528">
        <w:t>o</w:t>
      </w:r>
      <w:r w:rsidR="00562869">
        <w:t xml:space="preserve"> statut impozice a supozice </w:t>
      </w:r>
      <w:r w:rsidR="00322472">
        <w:fldChar w:fldCharType="begin"/>
      </w:r>
      <w:r w:rsidR="00322472">
        <w:instrText xml:space="preserve"> XE "</w:instrText>
      </w:r>
      <w:r w:rsidR="00322472" w:rsidRPr="00D3456D">
        <w:instrText>impozice:druhý averroismus</w:instrText>
      </w:r>
      <w:r w:rsidR="00322472">
        <w:instrText xml:space="preserve">" </w:instrText>
      </w:r>
      <w:r w:rsidR="00322472">
        <w:fldChar w:fldCharType="end"/>
      </w:r>
      <w:r w:rsidR="0004623B">
        <w:t xml:space="preserve">razila </w:t>
      </w:r>
      <w:r w:rsidR="00C56560" w:rsidRPr="00273106">
        <w:t>cestu postmodernímu Descartovi</w:t>
      </w:r>
      <w:r w:rsidR="000A7C21">
        <w:rPr>
          <w:szCs w:val="24"/>
        </w:rPr>
        <w:fldChar w:fldCharType="begin"/>
      </w:r>
      <w:r w:rsidR="000A7C21">
        <w:instrText xml:space="preserve"> XE "</w:instrText>
      </w:r>
      <w:r w:rsidR="000A7C21" w:rsidRPr="0068171B">
        <w:rPr>
          <w:szCs w:val="24"/>
        </w:rPr>
        <w:instrText>Descartes, R</w:instrText>
      </w:r>
      <w:r w:rsidR="000A7C21">
        <w:rPr>
          <w:szCs w:val="24"/>
        </w:rPr>
        <w:instrText>.</w:instrText>
      </w:r>
      <w:r w:rsidR="000A7C21">
        <w:instrText xml:space="preserve">" </w:instrText>
      </w:r>
      <w:r w:rsidR="000A7C21">
        <w:rPr>
          <w:szCs w:val="24"/>
        </w:rPr>
        <w:fldChar w:fldCharType="end"/>
      </w:r>
      <w:r w:rsidR="00C56560" w:rsidRPr="00273106">
        <w:t>.</w:t>
      </w:r>
      <w:r w:rsidR="00393B73" w:rsidRPr="00393B73">
        <w:t xml:space="preserve"> </w:t>
      </w:r>
      <w:r w:rsidR="00393B73" w:rsidRPr="00273106">
        <w:t>Citát ukazuje, že hypostázovaná existence se stala kamenem úrazu mezi Baconem a Kilwardbyho školou</w:t>
      </w:r>
      <w:r w:rsidR="08D96F67">
        <w:t xml:space="preserve">. Ta </w:t>
      </w:r>
      <w:r w:rsidR="00393B73">
        <w:t xml:space="preserve">hájí verzi </w:t>
      </w:r>
      <w:r w:rsidR="00393B73" w:rsidRPr="001B402B">
        <w:rPr>
          <w:i/>
        </w:rPr>
        <w:t>Oxfordian Fallacy</w:t>
      </w:r>
      <w:r w:rsidR="086D504B" w:rsidRPr="086D504B">
        <w:t xml:space="preserve"> v modu </w:t>
      </w:r>
      <w:r w:rsidR="0828705D">
        <w:t xml:space="preserve">historicky první </w:t>
      </w:r>
      <w:r w:rsidR="08D96F67">
        <w:t xml:space="preserve">akademické </w:t>
      </w:r>
      <w:r w:rsidR="0828705D">
        <w:t xml:space="preserve">školy </w:t>
      </w:r>
      <w:r w:rsidR="086D504B" w:rsidRPr="086D504B">
        <w:t>analytické logiky</w:t>
      </w:r>
      <w:r w:rsidR="08D96F67">
        <w:t xml:space="preserve"> dané </w:t>
      </w:r>
      <w:r w:rsidR="08724FDF">
        <w:t xml:space="preserve">okolo </w:t>
      </w:r>
      <w:r w:rsidR="08D96F67">
        <w:t xml:space="preserve">roku 1250 </w:t>
      </w:r>
      <w:r w:rsidR="08A119F7">
        <w:t>v</w:t>
      </w:r>
      <w:r w:rsidR="08D96F67">
        <w:t xml:space="preserve"> Oxfordu</w:t>
      </w:r>
      <w:r w:rsidR="00393B73" w:rsidRPr="00273106">
        <w:t>.</w:t>
      </w:r>
      <w:r w:rsidR="008578A2">
        <w:t xml:space="preserve"> </w:t>
      </w:r>
      <w:r w:rsidR="08140703">
        <w:t xml:space="preserve">Termín </w:t>
      </w:r>
      <w:r w:rsidR="08140703" w:rsidRPr="00273106">
        <w:rPr>
          <w:i/>
        </w:rPr>
        <w:t>constantia subiecti</w:t>
      </w:r>
      <w:r w:rsidR="08140703">
        <w:t xml:space="preserve"> indikuje vznik moderního karteziánského subjektu v jeho původní </w:t>
      </w:r>
      <w:r w:rsidR="08140703" w:rsidRPr="08EA715E">
        <w:rPr>
          <w:i/>
        </w:rPr>
        <w:t>alétheia</w:t>
      </w:r>
      <w:r w:rsidR="08140703">
        <w:t xml:space="preserve">. </w:t>
      </w:r>
      <w:r w:rsidR="008578A2">
        <w:t xml:space="preserve">Autor napadá školu prvního averroismu </w:t>
      </w:r>
      <w:r w:rsidR="089C5A60">
        <w:t>reprezentovanou Baconem</w:t>
      </w:r>
      <w:r w:rsidR="008578A2">
        <w:t xml:space="preserve">. </w:t>
      </w:r>
    </w:p>
    <w:p w14:paraId="38EBD813" w14:textId="77777777" w:rsidR="00AC2DF4" w:rsidRPr="00273106" w:rsidRDefault="00083D2B" w:rsidP="00AC2DF4">
      <w:pPr>
        <w:pStyle w:val="Citace"/>
        <w:rPr>
          <w:noProof/>
          <w:lang w:val="cs-CZ"/>
        </w:rPr>
      </w:pPr>
      <w:r>
        <w:rPr>
          <w:noProof/>
          <w:lang w:val="cs-CZ"/>
        </w:rPr>
        <w:t xml:space="preserve"> „Pokud pravíš, že '</w:t>
      </w:r>
      <w:r w:rsidR="00AC2DF4" w:rsidRPr="00273106">
        <w:rPr>
          <w:noProof/>
          <w:lang w:val="cs-CZ"/>
        </w:rPr>
        <w:t>otázka po esenci předp</w:t>
      </w:r>
      <w:r>
        <w:rPr>
          <w:noProof/>
          <w:lang w:val="cs-CZ"/>
        </w:rPr>
        <w:t>okládá otázku po existenci věci'</w:t>
      </w:r>
      <w:r w:rsidR="00AC2DF4" w:rsidRPr="00273106">
        <w:rPr>
          <w:noProof/>
          <w:lang w:val="cs-CZ"/>
        </w:rPr>
        <w:t xml:space="preserve">, pak pravím, že otázka po esenci předpokládá </w:t>
      </w:r>
      <w:r w:rsidR="001B2528">
        <w:rPr>
          <w:noProof/>
          <w:lang w:val="cs-CZ"/>
        </w:rPr>
        <w:t>(</w:t>
      </w:r>
      <w:r w:rsidR="001B2528" w:rsidRPr="001B2528">
        <w:rPr>
          <w:i/>
          <w:noProof/>
          <w:lang w:val="cs-CZ"/>
        </w:rPr>
        <w:t>supponit</w:t>
      </w:r>
      <w:r w:rsidR="001B2528">
        <w:rPr>
          <w:noProof/>
          <w:lang w:val="cs-CZ"/>
        </w:rPr>
        <w:t xml:space="preserve">) </w:t>
      </w:r>
      <w:r w:rsidR="00AC2DF4" w:rsidRPr="00273106">
        <w:rPr>
          <w:noProof/>
          <w:lang w:val="cs-CZ"/>
        </w:rPr>
        <w:t xml:space="preserve">otázku, zda je věc a </w:t>
      </w:r>
      <w:r w:rsidR="08567529">
        <w:rPr>
          <w:noProof/>
          <w:lang w:val="cs-CZ"/>
        </w:rPr>
        <w:t xml:space="preserve">také </w:t>
      </w:r>
      <w:r w:rsidR="00AC2DF4" w:rsidRPr="00273106">
        <w:rPr>
          <w:noProof/>
          <w:lang w:val="cs-CZ"/>
        </w:rPr>
        <w:t>zda je intelekt (</w:t>
      </w:r>
      <w:r w:rsidR="00AC2DF4" w:rsidRPr="00273106">
        <w:rPr>
          <w:i/>
          <w:noProof/>
          <w:lang w:val="cs-CZ"/>
        </w:rPr>
        <w:t>si est res et etiam si est intellectus</w:t>
      </w:r>
      <w:r w:rsidR="00AC2DF4" w:rsidRPr="00273106">
        <w:rPr>
          <w:noProof/>
          <w:lang w:val="cs-CZ"/>
        </w:rPr>
        <w:t xml:space="preserve">). Ale otázka, zda je intelekt, už nepotřebuje </w:t>
      </w:r>
      <w:r w:rsidR="001B2528">
        <w:rPr>
          <w:noProof/>
          <w:lang w:val="cs-CZ"/>
        </w:rPr>
        <w:t>(</w:t>
      </w:r>
      <w:r w:rsidR="001B2528">
        <w:rPr>
          <w:i/>
          <w:noProof/>
          <w:lang w:val="cs-CZ"/>
        </w:rPr>
        <w:t>non su</w:t>
      </w:r>
      <w:r w:rsidR="001B2528" w:rsidRPr="001B2528">
        <w:rPr>
          <w:i/>
          <w:noProof/>
          <w:lang w:val="cs-CZ"/>
        </w:rPr>
        <w:t>pponit</w:t>
      </w:r>
      <w:r w:rsidR="001B2528">
        <w:rPr>
          <w:noProof/>
          <w:lang w:val="cs-CZ"/>
        </w:rPr>
        <w:t xml:space="preserve">) </w:t>
      </w:r>
      <w:r w:rsidR="00AC2DF4" w:rsidRPr="00273106">
        <w:rPr>
          <w:noProof/>
          <w:lang w:val="cs-CZ"/>
        </w:rPr>
        <w:t>otázku, zda je věc, ale pouze, zda je intelekt</w:t>
      </w:r>
      <w:r w:rsidR="00CD51A1" w:rsidRPr="00273106">
        <w:rPr>
          <w:noProof/>
          <w:lang w:val="cs-CZ"/>
        </w:rPr>
        <w:t xml:space="preserve"> (</w:t>
      </w:r>
      <w:r w:rsidR="00CD51A1" w:rsidRPr="00273106">
        <w:rPr>
          <w:i/>
          <w:noProof/>
          <w:lang w:val="cs-CZ"/>
        </w:rPr>
        <w:t>si est intellectus</w:t>
      </w:r>
      <w:r w:rsidR="00CD51A1" w:rsidRPr="00273106">
        <w:rPr>
          <w:noProof/>
          <w:lang w:val="cs-CZ"/>
        </w:rPr>
        <w:t>)</w:t>
      </w:r>
      <w:r>
        <w:rPr>
          <w:noProof/>
          <w:lang w:val="cs-CZ"/>
        </w:rPr>
        <w:t>. A problém 'člověk je živočich'</w:t>
      </w:r>
      <w:r w:rsidR="00AC2DF4" w:rsidRPr="00273106">
        <w:rPr>
          <w:noProof/>
          <w:lang w:val="cs-CZ"/>
        </w:rPr>
        <w:t xml:space="preserve"> daný mimo existenci jakéhokoliv člověka je zahrnut do otázky, zda je intelekt, a nikoliv zda existuje daná věc</w:t>
      </w:r>
      <w:r w:rsidR="00944A11">
        <w:rPr>
          <w:noProof/>
          <w:lang w:val="cs-CZ"/>
        </w:rPr>
        <w:t xml:space="preserve"> (</w:t>
      </w:r>
      <w:r w:rsidR="00944A11" w:rsidRPr="00944A11">
        <w:rPr>
          <w:i/>
        </w:rPr>
        <w:t>si est intellectus et non si est res</w:t>
      </w:r>
      <w:r w:rsidR="00944A11">
        <w:rPr>
          <w:noProof/>
          <w:lang w:val="cs-CZ"/>
        </w:rPr>
        <w:t>)</w:t>
      </w:r>
      <w:r w:rsidR="00AC2DF4" w:rsidRPr="00273106">
        <w:rPr>
          <w:noProof/>
          <w:lang w:val="cs-CZ"/>
        </w:rPr>
        <w:t xml:space="preserve">.“ </w:t>
      </w:r>
      <w:r w:rsidR="00AC2DF4" w:rsidRPr="00273106">
        <w:rPr>
          <w:rStyle w:val="Znakapoznpodarou"/>
          <w:noProof/>
          <w:lang w:val="cs-CZ"/>
        </w:rPr>
        <w:footnoteReference w:id="506"/>
      </w:r>
    </w:p>
    <w:p w14:paraId="77581854" w14:textId="3DDDC842" w:rsidR="00BB4D95" w:rsidRDefault="00AC2DF4" w:rsidP="00767A2B">
      <w:r w:rsidRPr="00273106">
        <w:t xml:space="preserve">První krok ještě zajišťuje </w:t>
      </w:r>
      <w:r w:rsidR="00E7272C">
        <w:t xml:space="preserve">v modu </w:t>
      </w:r>
      <w:r w:rsidR="088A6CCE">
        <w:t xml:space="preserve">moderní analytické </w:t>
      </w:r>
      <w:r w:rsidR="00E7272C">
        <w:t xml:space="preserve">supozice </w:t>
      </w:r>
      <w:r w:rsidRPr="00273106">
        <w:t xml:space="preserve">vazbu poznání na </w:t>
      </w:r>
      <w:r w:rsidR="08B67236">
        <w:t>existenci reálné</w:t>
      </w:r>
      <w:r w:rsidRPr="00273106">
        <w:t xml:space="preserve"> věc</w:t>
      </w:r>
      <w:r w:rsidR="08B67236">
        <w:t xml:space="preserve">, kterou váže na existenci intelektu </w:t>
      </w:r>
      <w:r w:rsidRPr="00273106">
        <w:t>(</w:t>
      </w:r>
      <w:r w:rsidR="08B67236" w:rsidRPr="08B67236">
        <w:rPr>
          <w:i/>
        </w:rPr>
        <w:t>quaestio quid est res supponit quaestionem si est res et etiam si est intellectus</w:t>
      </w:r>
      <w:r w:rsidRPr="00273106">
        <w:t xml:space="preserve">). </w:t>
      </w:r>
      <w:r w:rsidR="08A7385A">
        <w:t>Klíčová věta nově vzniklé moderny tvrdí, že hypostázovaný i</w:t>
      </w:r>
      <w:r w:rsidR="08A7385A" w:rsidRPr="00273106">
        <w:t xml:space="preserve">ntelekt </w:t>
      </w:r>
      <w:r w:rsidR="08A7385A">
        <w:t xml:space="preserve">daný jako karteziánská substance třetího druhu </w:t>
      </w:r>
      <w:r w:rsidR="08A7385A" w:rsidRPr="00273106">
        <w:t>nepotřebuje k produkci poznání existe</w:t>
      </w:r>
      <w:r w:rsidR="08A7385A">
        <w:t xml:space="preserve">nci reálné věci </w:t>
      </w:r>
      <w:r w:rsidR="08A7385A" w:rsidRPr="00273106">
        <w:t>(</w:t>
      </w:r>
      <w:r w:rsidR="08A7385A" w:rsidRPr="08CE14DF">
        <w:rPr>
          <w:i/>
        </w:rPr>
        <w:t>quid est intellectus non supponit quaestionem si est res</w:t>
      </w:r>
      <w:r w:rsidR="08A7385A" w:rsidRPr="00273106">
        <w:t>)</w:t>
      </w:r>
      <w:r w:rsidR="08A7385A">
        <w:t xml:space="preserve">. K produkci poznání a pravdy intelekt potřebuje </w:t>
      </w:r>
      <w:r w:rsidR="08A7385A" w:rsidRPr="00273106">
        <w:t>pouze vlastní realitu</w:t>
      </w:r>
      <w:r w:rsidR="08A7385A">
        <w:t>, protože existuje jako samostatná substance</w:t>
      </w:r>
      <w:r w:rsidR="08A7385A" w:rsidRPr="00273106">
        <w:t>.</w:t>
      </w:r>
      <w:r w:rsidR="00CE4492">
        <w:t xml:space="preserve"> V důsledku toho metafyzický d</w:t>
      </w:r>
      <w:r w:rsidR="00CE4492" w:rsidRPr="00CE4492">
        <w:t xml:space="preserve">ativ zmizel z moderní filozofie. Skutečný pohyb Slunce na obloze kategoricky určoval intelekt podle deduktivního důkazu </w:t>
      </w:r>
      <w:r w:rsidR="00CE4492" w:rsidRPr="00CE4492">
        <w:rPr>
          <w:i/>
        </w:rPr>
        <w:t>Druhých analytik</w:t>
      </w:r>
      <w:r w:rsidR="00CE4492" w:rsidRPr="00CE4492">
        <w:t>.</w:t>
      </w:r>
      <w:r w:rsidR="00CE4492">
        <w:t xml:space="preserve"> </w:t>
      </w:r>
      <w:r w:rsidR="088530D0">
        <w:t>Zatmění první substance určilo nové e</w:t>
      </w:r>
      <w:r w:rsidR="08B67236">
        <w:t>pochální post</w:t>
      </w:r>
      <w:r w:rsidR="08CC43F9">
        <w:t>avení intelektu</w:t>
      </w:r>
      <w:r w:rsidR="007D71B0">
        <w:t xml:space="preserve"> v modu moderního </w:t>
      </w:r>
      <w:r w:rsidR="007D71B0" w:rsidRPr="007D71B0">
        <w:rPr>
          <w:i/>
        </w:rPr>
        <w:t>Ge-Stell</w:t>
      </w:r>
      <w:r w:rsidR="007D71B0">
        <w:rPr>
          <w:i/>
        </w:rPr>
        <w:fldChar w:fldCharType="begin"/>
      </w:r>
      <w:r w:rsidR="007D71B0">
        <w:instrText xml:space="preserve"> XE "</w:instrText>
      </w:r>
      <w:r w:rsidR="007D71B0" w:rsidRPr="000E186D">
        <w:rPr>
          <w:i/>
        </w:rPr>
        <w:instrText>Ge-Stell</w:instrText>
      </w:r>
      <w:r w:rsidR="007D71B0">
        <w:instrText xml:space="preserve">" </w:instrText>
      </w:r>
      <w:r w:rsidR="007D71B0">
        <w:rPr>
          <w:i/>
        </w:rPr>
        <w:fldChar w:fldCharType="end"/>
      </w:r>
      <w:r w:rsidR="007D71B0">
        <w:t xml:space="preserve">. Přísun jsoucnosti je určen nikoliv impozicí z reality, ale pseudo-platonskou participací každé věci na nejvyšší ideji Dobra, kterou se stal mytologický moderní intelekt jako neexistující </w:t>
      </w:r>
      <w:r w:rsidR="007D71B0" w:rsidRPr="007D71B0">
        <w:rPr>
          <w:i/>
        </w:rPr>
        <w:t>tertium ens</w:t>
      </w:r>
      <w:r w:rsidR="007D71B0">
        <w:t xml:space="preserve">. </w:t>
      </w:r>
      <w:r w:rsidR="088530D0">
        <w:t>P</w:t>
      </w:r>
      <w:r w:rsidR="08B67236">
        <w:t>arousi</w:t>
      </w:r>
      <w:r w:rsidR="088530D0">
        <w:t>e</w:t>
      </w:r>
      <w:r w:rsidR="08CC43F9">
        <w:fldChar w:fldCharType="begin"/>
      </w:r>
      <w:r w:rsidR="08CC43F9">
        <w:instrText xml:space="preserve"> XE "</w:instrText>
      </w:r>
      <w:r w:rsidR="08CC43F9" w:rsidRPr="08E9387D">
        <w:instrText>parousie</w:instrText>
      </w:r>
      <w:r w:rsidR="08CC43F9">
        <w:instrText xml:space="preserve">" </w:instrText>
      </w:r>
      <w:r w:rsidR="08CC43F9">
        <w:fldChar w:fldCharType="end"/>
      </w:r>
      <w:r w:rsidR="08B67236">
        <w:t xml:space="preserve"> smyslu jsoucna v mysli ilumináta </w:t>
      </w:r>
      <w:r w:rsidR="088530D0">
        <w:t xml:space="preserve">se dostala </w:t>
      </w:r>
      <w:r w:rsidR="08B67236">
        <w:t>na stejnou rovinu jako realit</w:t>
      </w:r>
      <w:r w:rsidR="088530D0">
        <w:t>a</w:t>
      </w:r>
      <w:r w:rsidR="08B67236">
        <w:t xml:space="preserve"> první substance. </w:t>
      </w:r>
      <w:r w:rsidR="00FD3FFA">
        <w:t>Anonymní a</w:t>
      </w:r>
      <w:r w:rsidR="08B67236">
        <w:t xml:space="preserve">utor sleduje logický výklad </w:t>
      </w:r>
      <w:r w:rsidR="08B67236" w:rsidRPr="08B67236">
        <w:rPr>
          <w:i/>
        </w:rPr>
        <w:t>Druhých analytik</w:t>
      </w:r>
      <w:r w:rsidR="08B67236">
        <w:t xml:space="preserve"> v modu </w:t>
      </w:r>
      <w:r w:rsidR="08B67236" w:rsidRPr="08B67236">
        <w:rPr>
          <w:i/>
        </w:rPr>
        <w:t>Oxfordian Fallacy</w:t>
      </w:r>
      <w:r w:rsidR="08B67236">
        <w:t>, v němž zmizela hyparchická predikace (</w:t>
      </w:r>
      <w:r w:rsidR="08B67236" w:rsidRPr="08B67236">
        <w:rPr>
          <w:i/>
        </w:rPr>
        <w:t>Anal. Post</w:t>
      </w:r>
      <w:r w:rsidR="08B67236">
        <w:t>. 84a</w:t>
      </w:r>
      <w:r w:rsidR="00A9165B">
        <w:t>13–</w:t>
      </w:r>
      <w:r w:rsidR="08B67236">
        <w:t>14</w:t>
      </w:r>
      <w:r w:rsidR="00A9165B">
        <w:fldChar w:fldCharType="begin"/>
      </w:r>
      <w:r w:rsidR="00A9165B">
        <w:instrText xml:space="preserve"> XE "Aristoteles:</w:instrText>
      </w:r>
      <w:r w:rsidR="00A9165B" w:rsidRPr="002B209D">
        <w:rPr>
          <w:i/>
        </w:rPr>
        <w:instrText>Anal. Post</w:instrText>
      </w:r>
      <w:r w:rsidR="00A9165B" w:rsidRPr="002B209D">
        <w:instrText>. 84a13–14</w:instrText>
      </w:r>
      <w:r w:rsidR="00A9165B">
        <w:instrText xml:space="preserve">" </w:instrText>
      </w:r>
      <w:r w:rsidR="00A9165B">
        <w:fldChar w:fldCharType="end"/>
      </w:r>
      <w:r w:rsidR="08B67236">
        <w:t xml:space="preserve">). Pak je jasné, že </w:t>
      </w:r>
      <w:r w:rsidR="085251C5">
        <w:t xml:space="preserve">termín </w:t>
      </w:r>
      <w:r w:rsidR="00014536">
        <w:t>„</w:t>
      </w:r>
      <w:r w:rsidR="085251C5" w:rsidRPr="085251C5">
        <w:rPr>
          <w:i/>
        </w:rPr>
        <w:t>res</w:t>
      </w:r>
      <w:r w:rsidR="00014536">
        <w:t>“</w:t>
      </w:r>
      <w:r w:rsidR="085251C5">
        <w:t xml:space="preserve"> už nemá stejný význam jako ve škole prvního averroismu, protože nyní funguje v modu analytické univoční predikace. </w:t>
      </w:r>
      <w:r w:rsidR="08732D10">
        <w:t>S</w:t>
      </w:r>
      <w:r w:rsidRPr="00273106">
        <w:t xml:space="preserve">ubstanciální významy dané pro Aristotela v rámci </w:t>
      </w:r>
      <w:r w:rsidR="001178DD">
        <w:t xml:space="preserve">rodu </w:t>
      </w:r>
      <w:r w:rsidRPr="00273106">
        <w:t>(</w:t>
      </w:r>
      <w:r w:rsidRPr="00273106">
        <w:rPr>
          <w:i/>
        </w:rPr>
        <w:t>homo est animal</w:t>
      </w:r>
      <w:r w:rsidRPr="00273106">
        <w:t xml:space="preserve">) už nepotřebují </w:t>
      </w:r>
      <w:r w:rsidR="00C71AF6">
        <w:t xml:space="preserve">podle anonyma </w:t>
      </w:r>
      <w:r w:rsidR="08CA73C3">
        <w:t xml:space="preserve">determinaci významu od </w:t>
      </w:r>
      <w:r w:rsidRPr="00273106">
        <w:t>reáln</w:t>
      </w:r>
      <w:r w:rsidR="08CA73C3">
        <w:t xml:space="preserve">é </w:t>
      </w:r>
      <w:r w:rsidRPr="00273106">
        <w:t>věc</w:t>
      </w:r>
      <w:r w:rsidR="08CA73C3">
        <w:t>i</w:t>
      </w:r>
      <w:r w:rsidR="08732D10">
        <w:t xml:space="preserve">, </w:t>
      </w:r>
      <w:r w:rsidR="08CA73C3">
        <w:t xml:space="preserve">protože </w:t>
      </w:r>
      <w:r w:rsidR="08732D10">
        <w:t xml:space="preserve">esenciální </w:t>
      </w:r>
      <w:r w:rsidR="08CA73C3">
        <w:t xml:space="preserve">významy </w:t>
      </w:r>
      <w:r w:rsidR="08732D10">
        <w:t>typu aritmetiky nebo defin</w:t>
      </w:r>
      <w:r w:rsidR="08E377DF">
        <w:t>i</w:t>
      </w:r>
      <w:r w:rsidR="08732D10">
        <w:t xml:space="preserve">ce trojúhelníka přece </w:t>
      </w:r>
      <w:r w:rsidR="08CA73C3">
        <w:t xml:space="preserve">určuje na úrovni </w:t>
      </w:r>
      <w:r w:rsidR="08CA73C3" w:rsidRPr="08CA73C3">
        <w:rPr>
          <w:i/>
        </w:rPr>
        <w:t>per prius</w:t>
      </w:r>
      <w:r w:rsidR="08CA73C3">
        <w:t xml:space="preserve"> p</w:t>
      </w:r>
      <w:r w:rsidRPr="00273106">
        <w:t>ouze intelekt (</w:t>
      </w:r>
      <w:r w:rsidRPr="00273106">
        <w:rPr>
          <w:i/>
        </w:rPr>
        <w:t>est sumpta a quaestione si est intellectus</w:t>
      </w:r>
      <w:r w:rsidRPr="00273106">
        <w:t xml:space="preserve">). </w:t>
      </w:r>
      <w:r w:rsidR="00F6253F" w:rsidRPr="00F6253F">
        <w:t>Podle Alberta a Bacona je to</w:t>
      </w:r>
      <w:r w:rsidR="00F6253F">
        <w:t xml:space="preserve"> druh šíleného myšlení. Taková „</w:t>
      </w:r>
      <w:r w:rsidR="004F5EBB">
        <w:t>filos</w:t>
      </w:r>
      <w:r w:rsidR="00F6253F">
        <w:t xml:space="preserve">ofie“ </w:t>
      </w:r>
      <w:r w:rsidR="00F6253F" w:rsidRPr="00F6253F">
        <w:t>se zrušila jako lidská moudrost, která zkoumá pravdu světa.</w:t>
      </w:r>
      <w:r w:rsidR="00F6253F">
        <w:t xml:space="preserve"> </w:t>
      </w:r>
      <w:r w:rsidRPr="00273106">
        <w:t>Citát doložil karte</w:t>
      </w:r>
      <w:r w:rsidR="00C71AF6">
        <w:t>ziánskou soběstačnost intelektu</w:t>
      </w:r>
      <w:r w:rsidR="009A4B36">
        <w:t>, který absolutizuje supozici</w:t>
      </w:r>
      <w:r w:rsidR="00C71AF6">
        <w:t xml:space="preserve"> mimo reálnou existenci věci</w:t>
      </w:r>
      <w:r w:rsidR="00523501">
        <w:t xml:space="preserve"> (</w:t>
      </w:r>
      <w:r w:rsidR="00523501" w:rsidRPr="00273106">
        <w:rPr>
          <w:i/>
        </w:rPr>
        <w:t>non supponit quaestionem si est res</w:t>
      </w:r>
      <w:r w:rsidR="00523501">
        <w:t>)</w:t>
      </w:r>
      <w:r w:rsidRPr="00273106">
        <w:t>. Existence a esence splynuly do jedné supozice</w:t>
      </w:r>
      <w:r w:rsidR="00322472">
        <w:fldChar w:fldCharType="begin"/>
      </w:r>
      <w:r w:rsidR="00322472">
        <w:instrText xml:space="preserve"> XE "</w:instrText>
      </w:r>
      <w:r w:rsidR="00322472" w:rsidRPr="006B78A4">
        <w:instrText>supozice:porretáni</w:instrText>
      </w:r>
      <w:r w:rsidR="00322472">
        <w:instrText xml:space="preserve">" </w:instrText>
      </w:r>
      <w:r w:rsidR="00322472">
        <w:fldChar w:fldCharType="end"/>
      </w:r>
      <w:r w:rsidRPr="00273106">
        <w:t xml:space="preserve">, což byl typický postup </w:t>
      </w:r>
      <w:r w:rsidR="007218EA">
        <w:t xml:space="preserve">Gilberta </w:t>
      </w:r>
      <w:r w:rsidR="00707D39">
        <w:t xml:space="preserve">Porretana </w:t>
      </w:r>
      <w:r w:rsidR="007218EA">
        <w:t>(kap</w:t>
      </w:r>
      <w:r w:rsidRPr="00273106">
        <w:t>.</w:t>
      </w:r>
      <w:r w:rsidR="082478CC">
        <w:t xml:space="preserve"> 1</w:t>
      </w:r>
      <w:r w:rsidR="007218EA">
        <w:t>.4).</w:t>
      </w:r>
      <w:r w:rsidRPr="00273106">
        <w:t xml:space="preserve"> </w:t>
      </w:r>
      <w:r w:rsidR="08075274">
        <w:t xml:space="preserve">Ilumináti spoléhají na paranoický intelekt produkující v modu </w:t>
      </w:r>
      <w:r w:rsidR="08075274" w:rsidRPr="00835005">
        <w:rPr>
          <w:i/>
        </w:rPr>
        <w:t>ex nihilo</w:t>
      </w:r>
      <w:r w:rsidR="08075274">
        <w:t xml:space="preserve"> významy typu </w:t>
      </w:r>
      <w:r w:rsidR="08075274" w:rsidRPr="00835005">
        <w:rPr>
          <w:i/>
        </w:rPr>
        <w:t>esse ratum</w:t>
      </w:r>
      <w:r w:rsidR="08075274">
        <w:t xml:space="preserve">, které jim nahradí poznání z reality. Viz spor o status </w:t>
      </w:r>
      <w:r w:rsidR="08075274" w:rsidRPr="00273106">
        <w:rPr>
          <w:i/>
        </w:rPr>
        <w:t>esse ratum</w:t>
      </w:r>
      <w:r w:rsidR="08075274">
        <w:rPr>
          <w:i/>
        </w:rPr>
        <w:fldChar w:fldCharType="begin"/>
      </w:r>
      <w:r w:rsidR="08075274">
        <w:instrText xml:space="preserve"> XE "</w:instrText>
      </w:r>
      <w:r w:rsidR="08075274" w:rsidRPr="00AD770D">
        <w:rPr>
          <w:i/>
        </w:rPr>
        <w:instrText>esse ratum</w:instrText>
      </w:r>
      <w:r w:rsidR="08075274">
        <w:instrText xml:space="preserve">" </w:instrText>
      </w:r>
      <w:r w:rsidR="08075274">
        <w:rPr>
          <w:i/>
        </w:rPr>
        <w:fldChar w:fldCharType="end"/>
      </w:r>
      <w:r w:rsidR="08075274">
        <w:t xml:space="preserve"> proti </w:t>
      </w:r>
      <w:r w:rsidR="08075274" w:rsidRPr="00273106">
        <w:rPr>
          <w:i/>
        </w:rPr>
        <w:t>esse debilis</w:t>
      </w:r>
      <w:r w:rsidR="08075274">
        <w:rPr>
          <w:i/>
        </w:rPr>
        <w:fldChar w:fldCharType="begin"/>
      </w:r>
      <w:r w:rsidR="08075274">
        <w:instrText xml:space="preserve"> XE "</w:instrText>
      </w:r>
      <w:r w:rsidR="08075274">
        <w:rPr>
          <w:i/>
        </w:rPr>
        <w:instrText>esse debile</w:instrText>
      </w:r>
      <w:r w:rsidR="08075274">
        <w:instrText xml:space="preserve">" </w:instrText>
      </w:r>
      <w:r w:rsidR="08075274">
        <w:rPr>
          <w:i/>
        </w:rPr>
        <w:fldChar w:fldCharType="end"/>
      </w:r>
      <w:r w:rsidR="08075274">
        <w:rPr>
          <w:i/>
        </w:rPr>
        <w:t xml:space="preserve"> </w:t>
      </w:r>
      <w:r w:rsidR="08075274">
        <w:t>mezi Albertem</w:t>
      </w:r>
      <w:r w:rsidR="08075274" w:rsidRPr="00273106">
        <w:t xml:space="preserve"> </w:t>
      </w:r>
      <w:r w:rsidR="08075274">
        <w:t xml:space="preserve">a školou druhého averroismu </w:t>
      </w:r>
      <w:r w:rsidR="082478CC">
        <w:t>(kap. 2</w:t>
      </w:r>
      <w:r w:rsidR="08075274" w:rsidRPr="00273106">
        <w:t>.4.3)</w:t>
      </w:r>
      <w:r w:rsidR="08075274">
        <w:t xml:space="preserve">. </w:t>
      </w:r>
      <w:r w:rsidR="089A49FA" w:rsidRPr="00273106">
        <w:t xml:space="preserve">Pokud připustíme Rufusovu, Descartovu a Husselovu </w:t>
      </w:r>
      <w:r w:rsidR="089A49FA">
        <w:t xml:space="preserve">reflexivní </w:t>
      </w:r>
      <w:r w:rsidR="089A49FA" w:rsidRPr="00273106">
        <w:t xml:space="preserve">autoaktivaci intelektu v modu Avicennova </w:t>
      </w:r>
      <w:r w:rsidR="089A49FA" w:rsidRPr="00273106">
        <w:rPr>
          <w:i/>
        </w:rPr>
        <w:t>certitudo</w:t>
      </w:r>
      <w:r w:rsidR="089A49FA" w:rsidRPr="00273106">
        <w:t>, pak je odkaz na realitu věci již zbytečný. Transcendentní význam externí reality dané kontingentně se vynoří v imanenci intelektu dané nutně. Moderní subjek</w:t>
      </w:r>
      <w:r w:rsidR="089A49FA">
        <w:t xml:space="preserve">t sám v sobě nazírá objektivní </w:t>
      </w:r>
      <w:r w:rsidR="089A49FA" w:rsidRPr="00273106">
        <w:rPr>
          <w:i/>
        </w:rPr>
        <w:t>scibile</w:t>
      </w:r>
      <w:r w:rsidR="089A49FA">
        <w:rPr>
          <w:i/>
        </w:rPr>
        <w:fldChar w:fldCharType="begin"/>
      </w:r>
      <w:r w:rsidR="089A49FA">
        <w:instrText xml:space="preserve"> XE "</w:instrText>
      </w:r>
      <w:r w:rsidR="089A49FA" w:rsidRPr="00AA4F67">
        <w:rPr>
          <w:i/>
        </w:rPr>
        <w:instrText>scibile</w:instrText>
      </w:r>
      <w:r w:rsidR="089A49FA">
        <w:instrText xml:space="preserve">:objetivní" </w:instrText>
      </w:r>
      <w:r w:rsidR="089A49FA">
        <w:rPr>
          <w:i/>
        </w:rPr>
        <w:fldChar w:fldCharType="end"/>
      </w:r>
      <w:r w:rsidR="089A49FA" w:rsidRPr="00273106">
        <w:t>,</w:t>
      </w:r>
      <w:r w:rsidR="081B2C4F">
        <w:t xml:space="preserve"> a navíc zcela evidentně (kap. 3</w:t>
      </w:r>
      <w:r w:rsidR="089A49FA" w:rsidRPr="00273106">
        <w:t>.3.3).</w:t>
      </w:r>
      <w:r w:rsidR="089A49FA">
        <w:t xml:space="preserve"> </w:t>
      </w:r>
      <w:r w:rsidR="00B05622" w:rsidRPr="00273106">
        <w:t xml:space="preserve">Bacon vázal deduktivní </w:t>
      </w:r>
      <w:r w:rsidR="00B05622">
        <w:t>sylo</w:t>
      </w:r>
      <w:r w:rsidR="00B05622" w:rsidRPr="00273106">
        <w:t xml:space="preserve">gismus na bytí reálné substance, stejně jako </w:t>
      </w:r>
      <w:r w:rsidR="00B05622">
        <w:t>A</w:t>
      </w:r>
      <w:r w:rsidR="007A5362">
        <w:t>lbert</w:t>
      </w:r>
      <w:r w:rsidR="00BB4D95">
        <w:t xml:space="preserve">. Oba </w:t>
      </w:r>
      <w:r w:rsidR="08744ADB">
        <w:t>h</w:t>
      </w:r>
      <w:r w:rsidR="08744ADB" w:rsidRPr="00273106">
        <w:t>ájil</w:t>
      </w:r>
      <w:r w:rsidR="00BB4D95">
        <w:t>i</w:t>
      </w:r>
      <w:r w:rsidR="08744ADB" w:rsidRPr="00273106">
        <w:t xml:space="preserve"> pravdu vázanou na ontologický primát první substance po celou dobu</w:t>
      </w:r>
      <w:r w:rsidR="00BB4D95">
        <w:t>.</w:t>
      </w:r>
    </w:p>
    <w:p w14:paraId="6CFA88B5" w14:textId="7EC8B6BF" w:rsidR="00767A2B" w:rsidRDefault="00BB4D95" w:rsidP="00BB4D95">
      <w:pPr>
        <w:ind w:firstLine="397"/>
      </w:pPr>
      <w:r w:rsidRPr="00273106">
        <w:t>Bacon</w:t>
      </w:r>
      <w:r>
        <w:t xml:space="preserve">ovo </w:t>
      </w:r>
      <w:r w:rsidR="08744ADB" w:rsidRPr="00273106">
        <w:t>rané logické díl</w:t>
      </w:r>
      <w:r>
        <w:t>o</w:t>
      </w:r>
      <w:r w:rsidR="08744ADB" w:rsidRPr="00273106">
        <w:t xml:space="preserve"> </w:t>
      </w:r>
      <w:r w:rsidR="08744ADB" w:rsidRPr="00273106">
        <w:rPr>
          <w:i/>
        </w:rPr>
        <w:t>Summulae dialectices</w:t>
      </w:r>
      <w:r w:rsidR="08744ADB" w:rsidRPr="00273106">
        <w:t xml:space="preserve"> (kolem 1245‒50) rozlišuje mezi univoční vazbou kategoriální signifikace na první substanci (</w:t>
      </w:r>
      <w:r w:rsidR="08744ADB" w:rsidRPr="00273106">
        <w:rPr>
          <w:i/>
        </w:rPr>
        <w:t>proprietas termini</w:t>
      </w:r>
      <w:r w:rsidR="08744ADB" w:rsidRPr="00273106">
        <w:t>) a mezi ekvivočním významem daným v logické či matematické abstrakci (</w:t>
      </w:r>
      <w:r w:rsidR="08744ADB" w:rsidRPr="00273106">
        <w:rPr>
          <w:i/>
        </w:rPr>
        <w:t>suppositio simplex</w:t>
      </w:r>
      <w:r w:rsidR="08744ADB">
        <w:rPr>
          <w:i/>
        </w:rPr>
        <w:fldChar w:fldCharType="begin"/>
      </w:r>
      <w:r w:rsidR="08744ADB">
        <w:instrText xml:space="preserve"> XE "supozice:</w:instrText>
      </w:r>
      <w:r w:rsidR="08744ADB" w:rsidRPr="003276C0">
        <w:rPr>
          <w:i/>
        </w:rPr>
        <w:instrText>suppositio simplex</w:instrText>
      </w:r>
      <w:r w:rsidR="08744ADB">
        <w:instrText xml:space="preserve">" </w:instrText>
      </w:r>
      <w:r w:rsidR="08744ADB">
        <w:rPr>
          <w:i/>
        </w:rPr>
        <w:fldChar w:fldCharType="end"/>
      </w:r>
      <w:r w:rsidR="08744ADB" w:rsidRPr="00273106">
        <w:t xml:space="preserve">). Determinace středního členu soudu podle Aristotela a </w:t>
      </w:r>
      <w:r w:rsidR="08744ADB">
        <w:t xml:space="preserve">Averroese je dána podle principu </w:t>
      </w:r>
      <w:r w:rsidR="00010B8E">
        <w:rPr>
          <w:i/>
        </w:rPr>
        <w:t>inmediate</w:t>
      </w:r>
      <w:r w:rsidR="08744ADB">
        <w:t xml:space="preserve"> vzhledem k první substanci, kterou musíme následně správně poznat a pak vědecky predikovat vzhledem k její kauzalitě. </w:t>
      </w:r>
      <w:r w:rsidR="08744ADB" w:rsidRPr="00273106">
        <w:t xml:space="preserve">Vědění </w:t>
      </w:r>
      <w:r w:rsidR="08744ADB">
        <w:t>pod</w:t>
      </w:r>
      <w:r w:rsidR="08744ADB" w:rsidRPr="00273106">
        <w:t>l</w:t>
      </w:r>
      <w:r w:rsidR="08744ADB">
        <w:t>e</w:t>
      </w:r>
      <w:r w:rsidR="08744ADB" w:rsidRPr="00273106">
        <w:t xml:space="preserve"> </w:t>
      </w:r>
      <w:r w:rsidR="08744ADB" w:rsidRPr="00106DE5">
        <w:rPr>
          <w:i/>
        </w:rPr>
        <w:t>Druhých analytik</w:t>
      </w:r>
      <w:r w:rsidR="08744ADB" w:rsidRPr="00273106">
        <w:t xml:space="preserve"> potřebuje nejprve aktuální existenci věci (</w:t>
      </w:r>
      <w:r w:rsidR="08744ADB" w:rsidRPr="00273106">
        <w:rPr>
          <w:i/>
        </w:rPr>
        <w:t>an sit</w:t>
      </w:r>
      <w:r w:rsidR="08744ADB" w:rsidRPr="00273106">
        <w:t xml:space="preserve">, λόγος τοῦ τί ἐστι; </w:t>
      </w:r>
      <w:r w:rsidR="08744ADB" w:rsidRPr="00273106">
        <w:rPr>
          <w:i/>
        </w:rPr>
        <w:t>Anal. Post</w:t>
      </w:r>
      <w:r w:rsidR="08744ADB" w:rsidRPr="00273106">
        <w:t>. 93b29</w:t>
      </w:r>
      <w:r w:rsidR="08744ADB">
        <w:fldChar w:fldCharType="begin"/>
      </w:r>
      <w:r w:rsidR="08744ADB">
        <w:instrText xml:space="preserve"> XE "Aristoteles:</w:instrText>
      </w:r>
      <w:r w:rsidR="08744ADB" w:rsidRPr="00AB40A8">
        <w:rPr>
          <w:i/>
        </w:rPr>
        <w:instrText>Anal. Post</w:instrText>
      </w:r>
      <w:r w:rsidR="08744ADB" w:rsidRPr="00AB40A8">
        <w:instrText>. 93b29</w:instrText>
      </w:r>
      <w:r w:rsidR="08744ADB">
        <w:instrText xml:space="preserve">" </w:instrText>
      </w:r>
      <w:r w:rsidR="08744ADB">
        <w:fldChar w:fldCharType="end"/>
      </w:r>
      <w:r w:rsidR="08744ADB" w:rsidRPr="00273106">
        <w:t xml:space="preserve">). Otázka po esenci se dává až </w:t>
      </w:r>
      <w:r w:rsidR="08744ADB" w:rsidRPr="00273106">
        <w:rPr>
          <w:i/>
        </w:rPr>
        <w:t>per posterius</w:t>
      </w:r>
      <w:r w:rsidR="08744ADB" w:rsidRPr="00273106">
        <w:t xml:space="preserve">, protože věc musí nejprve existovat (ὅπερ ἔχοντες ὅτι ἔστι, ζητοῦμεν διὰ τί ἔστιν, </w:t>
      </w:r>
      <w:r w:rsidR="08744ADB" w:rsidRPr="00273106">
        <w:rPr>
          <w:i/>
        </w:rPr>
        <w:t>Anal. Post</w:t>
      </w:r>
      <w:r w:rsidR="08744ADB" w:rsidRPr="00273106">
        <w:t>. 93b32</w:t>
      </w:r>
      <w:r w:rsidR="08744ADB">
        <w:fldChar w:fldCharType="begin"/>
      </w:r>
      <w:r w:rsidR="08744ADB">
        <w:instrText xml:space="preserve"> XE "Aristoteles:</w:instrText>
      </w:r>
      <w:r w:rsidR="08744ADB" w:rsidRPr="00AB40A8">
        <w:rPr>
          <w:i/>
        </w:rPr>
        <w:instrText>Anal. Post</w:instrText>
      </w:r>
      <w:r w:rsidR="08744ADB">
        <w:instrText xml:space="preserve">. 93b32" </w:instrText>
      </w:r>
      <w:r w:rsidR="08744ADB">
        <w:fldChar w:fldCharType="end"/>
      </w:r>
      <w:r w:rsidR="08744ADB" w:rsidRPr="00273106">
        <w:t xml:space="preserve">). </w:t>
      </w:r>
      <w:r w:rsidR="08E61AD7">
        <w:t xml:space="preserve">Bacon podle </w:t>
      </w:r>
      <w:r w:rsidR="082A724F">
        <w:t xml:space="preserve">metafyzického </w:t>
      </w:r>
      <w:r w:rsidR="08744ADB">
        <w:t xml:space="preserve">dativu </w:t>
      </w:r>
      <w:r w:rsidR="08E61AD7">
        <w:t>jasně rozlišil</w:t>
      </w:r>
      <w:r w:rsidR="08744ADB">
        <w:t xml:space="preserve"> kategoriální predikaci vztaženou k hyparchicky danému dění ve světě </w:t>
      </w:r>
      <w:r w:rsidR="08744ADB" w:rsidRPr="00273106">
        <w:t>(</w:t>
      </w:r>
      <w:r w:rsidR="08744ADB" w:rsidRPr="00273106">
        <w:rPr>
          <w:i/>
        </w:rPr>
        <w:t>proprietas termini</w:t>
      </w:r>
      <w:r w:rsidR="08744ADB" w:rsidRPr="00273106">
        <w:t>) a mezi ekvivočním významem daným v logické či matematické abstrakci (</w:t>
      </w:r>
      <w:r w:rsidR="08744ADB" w:rsidRPr="00273106">
        <w:rPr>
          <w:i/>
        </w:rPr>
        <w:t>suppositio simplex</w:t>
      </w:r>
      <w:r w:rsidR="08744ADB">
        <w:rPr>
          <w:i/>
        </w:rPr>
        <w:fldChar w:fldCharType="begin"/>
      </w:r>
      <w:r w:rsidR="08744ADB">
        <w:instrText xml:space="preserve"> XE "supozice:</w:instrText>
      </w:r>
      <w:r w:rsidR="08744ADB" w:rsidRPr="003276C0">
        <w:rPr>
          <w:i/>
        </w:rPr>
        <w:instrText>suppositio simplex</w:instrText>
      </w:r>
      <w:r w:rsidR="08744ADB">
        <w:instrText xml:space="preserve">" </w:instrText>
      </w:r>
      <w:r w:rsidR="08744ADB">
        <w:rPr>
          <w:i/>
        </w:rPr>
        <w:fldChar w:fldCharType="end"/>
      </w:r>
      <w:r w:rsidR="08744ADB" w:rsidRPr="00273106">
        <w:t>).</w:t>
      </w:r>
      <w:r w:rsidR="08744ADB">
        <w:t xml:space="preserve"> </w:t>
      </w:r>
      <w:r w:rsidR="08E61AD7" w:rsidRPr="00273106">
        <w:t>Baconova kategoriální signifikace určená vzhledem k první substanci (</w:t>
      </w:r>
      <w:r w:rsidR="08E61AD7" w:rsidRPr="00273106">
        <w:rPr>
          <w:i/>
        </w:rPr>
        <w:t>proprietas termini</w:t>
      </w:r>
      <w:r w:rsidR="08E61AD7" w:rsidRPr="00273106">
        <w:t xml:space="preserve">) přestane hrát determinující roli pro učení univocity. </w:t>
      </w:r>
      <w:r w:rsidR="08E61AD7">
        <w:t xml:space="preserve">V nové podobě gigantomachie </w:t>
      </w:r>
      <w:r w:rsidR="08E61AD7" w:rsidRPr="00273106">
        <w:t xml:space="preserve">jde o </w:t>
      </w:r>
      <w:r w:rsidR="08E61AD7">
        <w:t xml:space="preserve">starý </w:t>
      </w:r>
      <w:r w:rsidR="08E61AD7" w:rsidRPr="00273106">
        <w:t>spor</w:t>
      </w:r>
      <w:r w:rsidR="08E61AD7">
        <w:t xml:space="preserve"> obou logických škol</w:t>
      </w:r>
      <w:r w:rsidR="08E61AD7" w:rsidRPr="00273106">
        <w:t>: „</w:t>
      </w:r>
      <w:r w:rsidR="08E61AD7" w:rsidRPr="00273106">
        <w:rPr>
          <w:i/>
        </w:rPr>
        <w:t>Omnis homo de necessitate est animal, nullo homine existente</w:t>
      </w:r>
      <w:r w:rsidR="08E61AD7" w:rsidRPr="00273106">
        <w:t>“ (</w:t>
      </w:r>
      <w:r w:rsidR="08BA0819">
        <w:t>kap. 1</w:t>
      </w:r>
      <w:r w:rsidR="08E61AD7">
        <w:t>.6</w:t>
      </w:r>
      <w:r w:rsidR="08E61AD7" w:rsidRPr="00273106">
        <w:t>). Teze obhajovaná v úvodní citaci Erfurtského anonyma</w:t>
      </w:r>
      <w:r w:rsidR="08E61AD7">
        <w:t>:</w:t>
      </w:r>
      <w:r w:rsidR="08E61AD7" w:rsidRPr="00273106">
        <w:t xml:space="preserve"> „</w:t>
      </w:r>
      <w:r w:rsidR="08E61AD7" w:rsidRPr="00273106">
        <w:rPr>
          <w:i/>
        </w:rPr>
        <w:t>Homo est animal, nullo homine existente</w:t>
      </w:r>
      <w:r w:rsidR="08E61AD7" w:rsidRPr="00273106">
        <w:t>“, je podle Bacona naprostý nesmysl. Logický význam a pojem vědy nemůže vzniknout bez první substance a jí dané kauzality. Poznání by nikdy nedospělo k univocitě v řádu kategoriální signifikace, která je nut</w:t>
      </w:r>
      <w:r w:rsidR="08E61AD7">
        <w:t xml:space="preserve">ná k vyjádření kauzálního spojení </w:t>
      </w:r>
      <w:r w:rsidR="08E61AD7" w:rsidRPr="00273106">
        <w:t xml:space="preserve">mezi </w:t>
      </w:r>
      <w:r w:rsidR="08E61AD7">
        <w:t xml:space="preserve">intelektem a reálnými </w:t>
      </w:r>
      <w:r w:rsidR="08E61AD7" w:rsidRPr="00273106">
        <w:t xml:space="preserve">prvními substancemi. Bacon v </w:t>
      </w:r>
      <w:r w:rsidR="08E61AD7" w:rsidRPr="00273106">
        <w:rPr>
          <w:i/>
        </w:rPr>
        <w:t xml:space="preserve">Summulae dialectices </w:t>
      </w:r>
      <w:r w:rsidR="08E61AD7" w:rsidRPr="00273106">
        <w:t>a později i v</w:t>
      </w:r>
      <w:r w:rsidR="08E61AD7" w:rsidRPr="00273106">
        <w:rPr>
          <w:i/>
        </w:rPr>
        <w:t xml:space="preserve"> </w:t>
      </w:r>
      <w:r w:rsidR="08E61AD7" w:rsidRPr="00273106">
        <w:rPr>
          <w:i/>
          <w:iCs/>
        </w:rPr>
        <w:t>Compendium</w:t>
      </w:r>
      <w:r w:rsidR="08E61AD7">
        <w:rPr>
          <w:i/>
          <w:iCs/>
        </w:rPr>
        <w:t xml:space="preserve"> s</w:t>
      </w:r>
      <w:r w:rsidR="08E61AD7" w:rsidRPr="00273106">
        <w:rPr>
          <w:i/>
          <w:iCs/>
        </w:rPr>
        <w:t>tudii theologiae</w:t>
      </w:r>
      <w:r w:rsidR="08E61AD7" w:rsidRPr="00273106">
        <w:t xml:space="preserve"> kritizuje Rufuse z Cornwallu jako jednoho ze zdrojů této pochybené formulace (Pelster 1949, 275‒79).</w:t>
      </w:r>
      <w:r w:rsidR="08E61AD7">
        <w:t xml:space="preserve"> </w:t>
      </w:r>
      <w:r w:rsidR="00052318">
        <w:t>Metafyzickou p</w:t>
      </w:r>
      <w:r w:rsidR="08E61AD7" w:rsidRPr="00273106">
        <w:t xml:space="preserve">redikaci </w:t>
      </w:r>
      <w:r w:rsidR="007C386B">
        <w:t xml:space="preserve">kategoriálních </w:t>
      </w:r>
      <w:r w:rsidR="08E61AD7" w:rsidRPr="00273106">
        <w:t xml:space="preserve">termínů determinuje </w:t>
      </w:r>
      <w:r w:rsidR="08E61AD7">
        <w:t xml:space="preserve">hyparchicky daná </w:t>
      </w:r>
      <w:r w:rsidR="08E61AD7" w:rsidRPr="00273106">
        <w:t>reálná věc a tím určuje i subjekt predikace, tedy druhou substanci. Ta je determinovaná v rámci univocity středního členu vědeckého důkazu. Střední člen univočně vyjadřuje vztah k první reálné substanci.</w:t>
      </w:r>
      <w:r w:rsidR="08E61AD7">
        <w:t xml:space="preserve"> </w:t>
      </w:r>
      <w:r w:rsidR="08E61AD7" w:rsidRPr="00273106">
        <w:t xml:space="preserve">Tuto vazbu </w:t>
      </w:r>
      <w:r w:rsidR="08E61AD7">
        <w:t xml:space="preserve">danou už u Abelarda </w:t>
      </w:r>
      <w:r w:rsidR="00183957">
        <w:t>obnovili aristotelští m</w:t>
      </w:r>
      <w:r w:rsidR="08E61AD7" w:rsidRPr="00273106">
        <w:t>odisté</w:t>
      </w:r>
      <w:r w:rsidR="08E61AD7">
        <w:fldChar w:fldCharType="begin"/>
      </w:r>
      <w:r w:rsidR="08E61AD7">
        <w:instrText xml:space="preserve"> XE "</w:instrText>
      </w:r>
      <w:r w:rsidR="08E61AD7" w:rsidRPr="00006C8B">
        <w:instrText>Modisté</w:instrText>
      </w:r>
      <w:r w:rsidR="08E61AD7">
        <w:instrText xml:space="preserve">" </w:instrText>
      </w:r>
      <w:r w:rsidR="08E61AD7">
        <w:fldChar w:fldCharType="end"/>
      </w:r>
      <w:r w:rsidR="08E61AD7" w:rsidRPr="00273106">
        <w:t xml:space="preserve"> </w:t>
      </w:r>
      <w:r w:rsidR="00D66470">
        <w:t>(</w:t>
      </w:r>
      <w:r w:rsidR="00D66470" w:rsidRPr="002E386D">
        <w:rPr>
          <w:i/>
        </w:rPr>
        <w:t>Modistae</w:t>
      </w:r>
      <w:r w:rsidR="00D66470">
        <w:t xml:space="preserve">) </w:t>
      </w:r>
      <w:r w:rsidR="08E61AD7">
        <w:t>na artistické fakultě Rue du Fouarre v dekádě po roce 1250 proti mendikantské škole druhého averroismu.</w:t>
      </w:r>
      <w:r w:rsidR="08E61AD7" w:rsidRPr="08D94AED">
        <w:t xml:space="preserve"> </w:t>
      </w:r>
      <w:r w:rsidR="08E61AD7">
        <w:t xml:space="preserve">Po vyhozených sekulárních magistrech, kteří byli donuceni odejít z artistické fakulty po hádce s mendikaty v roce 1255, toto učení kodifikovali </w:t>
      </w:r>
      <w:r w:rsidR="08E61AD7" w:rsidRPr="00273106">
        <w:t>Boethius</w:t>
      </w:r>
      <w:r w:rsidR="08E61AD7">
        <w:fldChar w:fldCharType="begin"/>
      </w:r>
      <w:r w:rsidR="08E61AD7">
        <w:instrText xml:space="preserve"> XE "</w:instrText>
      </w:r>
      <w:r w:rsidR="08E61AD7" w:rsidRPr="00521677">
        <w:rPr>
          <w:lang w:eastAsia="en-US"/>
        </w:rPr>
        <w:instrText>Boethius</w:instrText>
      </w:r>
      <w:r w:rsidR="08E61AD7">
        <w:rPr>
          <w:lang w:eastAsia="en-US"/>
        </w:rPr>
        <w:instrText xml:space="preserve"> z Dácie</w:instrText>
      </w:r>
      <w:r w:rsidR="08E61AD7">
        <w:instrText xml:space="preserve">" </w:instrText>
      </w:r>
      <w:r w:rsidR="08E61AD7">
        <w:fldChar w:fldCharType="end"/>
      </w:r>
      <w:r w:rsidR="08E61AD7" w:rsidRPr="00273106">
        <w:t xml:space="preserve"> z Dácie, To</w:t>
      </w:r>
      <w:r w:rsidR="08E61AD7">
        <w:t xml:space="preserve">máš Akvinský a Siger z Brabantu v pojetí trojího řádu daného od </w:t>
      </w:r>
      <w:r w:rsidR="08E61AD7" w:rsidRPr="00035C5F">
        <w:rPr>
          <w:i/>
        </w:rPr>
        <w:t>Druhých analytik</w:t>
      </w:r>
      <w:r w:rsidR="08E61AD7">
        <w:t xml:space="preserve"> přes </w:t>
      </w:r>
      <w:r w:rsidR="08E61AD7" w:rsidRPr="00035C5F">
        <w:rPr>
          <w:i/>
        </w:rPr>
        <w:t>De anima</w:t>
      </w:r>
      <w:r w:rsidR="08E61AD7">
        <w:t xml:space="preserve"> až k </w:t>
      </w:r>
      <w:r w:rsidR="08E61AD7" w:rsidRPr="00035C5F">
        <w:rPr>
          <w:i/>
        </w:rPr>
        <w:t>De inte</w:t>
      </w:r>
      <w:r w:rsidR="08E61AD7">
        <w:rPr>
          <w:i/>
        </w:rPr>
        <w:t>r</w:t>
      </w:r>
      <w:r w:rsidR="08E61AD7" w:rsidRPr="00035C5F">
        <w:rPr>
          <w:i/>
        </w:rPr>
        <w:t>pretatione</w:t>
      </w:r>
      <w:r w:rsidR="08E61AD7">
        <w:t xml:space="preserve"> (</w:t>
      </w:r>
      <w:r w:rsidR="08E61AD7" w:rsidRPr="00035C5F">
        <w:rPr>
          <w:i/>
        </w:rPr>
        <w:t>ordo essendi</w:t>
      </w:r>
      <w:r w:rsidR="08E61AD7">
        <w:t xml:space="preserve">, </w:t>
      </w:r>
      <w:r w:rsidR="08E61AD7" w:rsidRPr="00035C5F">
        <w:rPr>
          <w:i/>
        </w:rPr>
        <w:t>cognoscendi</w:t>
      </w:r>
      <w:r w:rsidR="08E61AD7">
        <w:t xml:space="preserve">, </w:t>
      </w:r>
      <w:r w:rsidR="08E61AD7" w:rsidRPr="00035C5F">
        <w:rPr>
          <w:i/>
        </w:rPr>
        <w:t>significandi</w:t>
      </w:r>
      <w:r w:rsidR="08E61AD7">
        <w:t xml:space="preserve">). </w:t>
      </w:r>
      <w:r w:rsidR="08744ADB" w:rsidRPr="00273106">
        <w:rPr>
          <w:rFonts w:cs="S60-RomanA"/>
        </w:rPr>
        <w:t>D</w:t>
      </w:r>
      <w:r w:rsidR="08744ADB" w:rsidRPr="00273106">
        <w:t>ruhý averroismus predikoval</w:t>
      </w:r>
      <w:r w:rsidR="08744ADB">
        <w:t xml:space="preserve"> </w:t>
      </w:r>
      <w:r w:rsidR="08E61AD7">
        <w:t xml:space="preserve">supozici </w:t>
      </w:r>
      <w:r w:rsidR="00AE0999">
        <w:t xml:space="preserve">a impozici </w:t>
      </w:r>
      <w:r w:rsidR="08744ADB">
        <w:t xml:space="preserve">v porretánském modu </w:t>
      </w:r>
      <w:r w:rsidR="08744ADB" w:rsidRPr="00273106">
        <w:rPr>
          <w:i/>
        </w:rPr>
        <w:t>semel</w:t>
      </w:r>
      <w:r w:rsidR="08744ADB" w:rsidRPr="00273106">
        <w:t>‒</w:t>
      </w:r>
      <w:r w:rsidR="08744ADB" w:rsidRPr="00273106">
        <w:rPr>
          <w:i/>
        </w:rPr>
        <w:t>semper</w:t>
      </w:r>
      <w:r w:rsidR="08744ADB">
        <w:rPr>
          <w:i/>
        </w:rPr>
        <w:fldChar w:fldCharType="begin"/>
      </w:r>
      <w:r w:rsidR="08744ADB">
        <w:instrText xml:space="preserve"> XE "predikace:</w:instrText>
      </w:r>
      <w:r w:rsidR="08744ADB" w:rsidRPr="006F1348">
        <w:rPr>
          <w:i/>
        </w:rPr>
        <w:instrText>semel‒semper</w:instrText>
      </w:r>
      <w:r w:rsidR="08744ADB">
        <w:instrText xml:space="preserve">" </w:instrText>
      </w:r>
      <w:r w:rsidR="08744ADB">
        <w:rPr>
          <w:i/>
        </w:rPr>
        <w:fldChar w:fldCharType="end"/>
      </w:r>
      <w:r w:rsidR="08E61AD7">
        <w:t>. Tím vznikla univocita</w:t>
      </w:r>
      <w:r w:rsidR="08744ADB" w:rsidRPr="00273106">
        <w:t xml:space="preserve"> obou termínů v modu subsistentní esence jako porretánské hypostáze</w:t>
      </w:r>
      <w:r w:rsidR="08744ADB">
        <w:t xml:space="preserve">. Její kauzalitu určuje modernistický princip </w:t>
      </w:r>
      <w:r w:rsidR="08744ADB" w:rsidRPr="003220C8">
        <w:rPr>
          <w:i/>
        </w:rPr>
        <w:t>inmediate</w:t>
      </w:r>
      <w:r w:rsidR="08744ADB">
        <w:t>, který</w:t>
      </w:r>
      <w:r w:rsidR="08744ADB" w:rsidRPr="00273106">
        <w:t xml:space="preserve"> je predikova</w:t>
      </w:r>
      <w:r w:rsidR="08744ADB">
        <w:t>ný</w:t>
      </w:r>
      <w:r w:rsidR="08744ADB" w:rsidRPr="00273106">
        <w:t xml:space="preserve"> v rámci logické nutnosti. </w:t>
      </w:r>
      <w:r w:rsidR="08744ADB">
        <w:t xml:space="preserve">Záměnou impozice od první substance za univerzální supozici </w:t>
      </w:r>
      <w:r w:rsidR="00386AAF">
        <w:t xml:space="preserve">určenou skrze </w:t>
      </w:r>
      <w:r w:rsidR="08744ADB">
        <w:t xml:space="preserve">moderní subjekt poznání </w:t>
      </w:r>
      <w:r w:rsidR="08744ADB" w:rsidRPr="00273106">
        <w:t xml:space="preserve">vznikla </w:t>
      </w:r>
      <w:r w:rsidR="08744ADB">
        <w:t>nová gigantomachie</w:t>
      </w:r>
      <w:r w:rsidR="08744ADB" w:rsidRPr="00273106">
        <w:t xml:space="preserve"> o substanci</w:t>
      </w:r>
      <w:r w:rsidR="00767A2B">
        <w:t xml:space="preserve">. Tím </w:t>
      </w:r>
      <w:r w:rsidR="08E61AD7">
        <w:t xml:space="preserve">přestala platit výstavba klasické metafyziky daná </w:t>
      </w:r>
      <w:r w:rsidR="08E61AD7">
        <w:rPr>
          <w:i/>
        </w:rPr>
        <w:t>ad mentem Averrois</w:t>
      </w:r>
      <w:r w:rsidR="08E61AD7">
        <w:rPr>
          <w:i/>
        </w:rPr>
        <w:fldChar w:fldCharType="begin"/>
      </w:r>
      <w:r w:rsidR="08E61AD7">
        <w:instrText xml:space="preserve"> XE "</w:instrText>
      </w:r>
      <w:r w:rsidR="08E61AD7">
        <w:rPr>
          <w:i/>
        </w:rPr>
        <w:instrText>ad mentem Averrois</w:instrText>
      </w:r>
      <w:r w:rsidR="08E61AD7">
        <w:instrText xml:space="preserve">" </w:instrText>
      </w:r>
      <w:r w:rsidR="08E61AD7">
        <w:rPr>
          <w:i/>
        </w:rPr>
        <w:fldChar w:fldCharType="end"/>
      </w:r>
      <w:r w:rsidR="00767A2B">
        <w:t>.</w:t>
      </w:r>
    </w:p>
    <w:p w14:paraId="4ACD2040" w14:textId="3EB72001" w:rsidR="00967488" w:rsidRDefault="08744ADB" w:rsidP="00C75B6E">
      <w:pPr>
        <w:ind w:firstLine="397"/>
      </w:pPr>
      <w:r w:rsidRPr="00273106">
        <w:t xml:space="preserve">Predikace substance dostala odlišný metafyzický statut, protože supozitum výpovědi </w:t>
      </w:r>
      <w:r>
        <w:t xml:space="preserve">už </w:t>
      </w:r>
      <w:r w:rsidRPr="00273106">
        <w:t xml:space="preserve">nebylo stejné pro první a pro druhý averroismus. Anonym z </w:t>
      </w:r>
      <w:r>
        <w:t xml:space="preserve">Erfurtu polemizuje s principem </w:t>
      </w:r>
      <w:r w:rsidR="005B4F2A">
        <w:rPr>
          <w:i/>
        </w:rPr>
        <w:t>ex inmediatis</w:t>
      </w:r>
      <w:r w:rsidRPr="00273106">
        <w:t xml:space="preserve"> podle </w:t>
      </w:r>
      <w:r w:rsidRPr="00106DE5">
        <w:rPr>
          <w:i/>
        </w:rPr>
        <w:t>Druhých analytik</w:t>
      </w:r>
      <w:r w:rsidRPr="00273106">
        <w:t xml:space="preserve"> a zavádí po vzoru Kilwardbyho plně univoční pojetí substance</w:t>
      </w:r>
      <w:r>
        <w:fldChar w:fldCharType="begin"/>
      </w:r>
      <w:r>
        <w:instrText xml:space="preserve"> XE "</w:instrText>
      </w:r>
      <w:r w:rsidRPr="00342C7E">
        <w:instrText xml:space="preserve">princip </w:instrText>
      </w:r>
      <w:r w:rsidR="08D91F67">
        <w:rPr>
          <w:i/>
        </w:rPr>
        <w:instrText>ex in</w:instrText>
      </w:r>
      <w:r w:rsidRPr="007D1242">
        <w:rPr>
          <w:i/>
        </w:rPr>
        <w:instrText>mediatis</w:instrText>
      </w:r>
      <w:r>
        <w:instrText xml:space="preserve">" </w:instrText>
      </w:r>
      <w:r>
        <w:fldChar w:fldCharType="end"/>
      </w:r>
      <w:r w:rsidRPr="00273106">
        <w:t>. Podle Bacona zmiz</w:t>
      </w:r>
      <w:r>
        <w:t>ela</w:t>
      </w:r>
      <w:r w:rsidRPr="00273106">
        <w:t xml:space="preserve"> hyparchická vazba na první substanci (</w:t>
      </w:r>
      <w:r w:rsidRPr="00273106">
        <w:rPr>
          <w:i/>
        </w:rPr>
        <w:t>proprietas termini</w:t>
      </w:r>
      <w:r w:rsidRPr="00273106">
        <w:t xml:space="preserve">), protože </w:t>
      </w:r>
      <w:r w:rsidR="00E22E37">
        <w:t xml:space="preserve">modernisté ji nahradili </w:t>
      </w:r>
      <w:r w:rsidRPr="00273106">
        <w:t>logick</w:t>
      </w:r>
      <w:r w:rsidR="00E22E37">
        <w:t>ou či matematickou abstrakcí</w:t>
      </w:r>
      <w:r w:rsidRPr="00273106">
        <w:t xml:space="preserve"> (</w:t>
      </w:r>
      <w:r w:rsidRPr="00273106">
        <w:rPr>
          <w:i/>
        </w:rPr>
        <w:t>suppositio simplex</w:t>
      </w:r>
      <w:r>
        <w:t xml:space="preserve">). </w:t>
      </w:r>
      <w:r>
        <w:rPr>
          <w:rFonts w:cs="S60-RomanA"/>
        </w:rPr>
        <w:t xml:space="preserve">Substance ztratila v obou školách stejný kategoriální statut a nastal rozchod v metafyzice podle </w:t>
      </w:r>
      <w:r w:rsidRPr="004C2A09">
        <w:rPr>
          <w:rFonts w:cs="S60-RomanA"/>
          <w:i/>
        </w:rPr>
        <w:t>via Antiquorum</w:t>
      </w:r>
      <w:r>
        <w:rPr>
          <w:rFonts w:cs="S60-RomanA"/>
        </w:rPr>
        <w:t xml:space="preserve"> a </w:t>
      </w:r>
      <w:r w:rsidRPr="004C2A09">
        <w:rPr>
          <w:rFonts w:cs="S60-RomanA"/>
          <w:i/>
        </w:rPr>
        <w:t>Modernorum</w:t>
      </w:r>
      <w:r>
        <w:rPr>
          <w:rFonts w:cs="S60-RomanA"/>
        </w:rPr>
        <w:t>.</w:t>
      </w:r>
      <w:r>
        <w:t xml:space="preserve"> </w:t>
      </w:r>
      <w:r w:rsidR="08862903">
        <w:t xml:space="preserve">Pro Bacona a Alberta </w:t>
      </w:r>
      <w:r w:rsidR="086A4388">
        <w:t>byla podobná věda</w:t>
      </w:r>
      <w:r w:rsidR="08862903">
        <w:t xml:space="preserve"> šílenstvím proti pravdě definované jako aristotelská adekvace intelektu a reálné věci. V této době byla ještě rozhodující část akademické filosofie vedená kritickým myšlením podaným </w:t>
      </w:r>
      <w:r w:rsidR="08F667D4">
        <w:rPr>
          <w:i/>
        </w:rPr>
        <w:t>ad mentem</w:t>
      </w:r>
      <w:r w:rsidR="08862903" w:rsidRPr="085E5872">
        <w:rPr>
          <w:i/>
        </w:rPr>
        <w:t xml:space="preserve"> Averrois</w:t>
      </w:r>
      <w:r w:rsidR="08167701">
        <w:rPr>
          <w:i/>
        </w:rPr>
        <w:fldChar w:fldCharType="begin"/>
      </w:r>
      <w:r w:rsidR="08167701">
        <w:instrText xml:space="preserve"> XE "</w:instrText>
      </w:r>
      <w:r w:rsidR="087667B3">
        <w:rPr>
          <w:i/>
        </w:rPr>
        <w:instrText>ad mentem</w:instrText>
      </w:r>
      <w:r w:rsidR="08167701" w:rsidRPr="08BB70B5">
        <w:rPr>
          <w:i/>
        </w:rPr>
        <w:instrText xml:space="preserve"> Averrois</w:instrText>
      </w:r>
      <w:r w:rsidR="08167701">
        <w:instrText xml:space="preserve">" </w:instrText>
      </w:r>
      <w:r w:rsidR="08167701">
        <w:rPr>
          <w:i/>
        </w:rPr>
        <w:fldChar w:fldCharType="end"/>
      </w:r>
      <w:r w:rsidR="08862903">
        <w:t>. Tito myslitelé hájili důstojnost první vědy v její původní pravdě a moudrosti.</w:t>
      </w:r>
      <w:r w:rsidR="00C75B6E">
        <w:t xml:space="preserve"> Proto odmítli A</w:t>
      </w:r>
      <w:r w:rsidR="0046280A">
        <w:t>vicennovu filozofii „</w:t>
      </w:r>
      <w:r w:rsidR="00C75B6E" w:rsidRPr="00C75B6E">
        <w:t>lét</w:t>
      </w:r>
      <w:r w:rsidR="0046280A">
        <w:t>ajícího muže“</w:t>
      </w:r>
      <w:r w:rsidR="00C75B6E" w:rsidRPr="00C75B6E">
        <w:t xml:space="preserve">, která byla aktualizována v současné verzi nazvané </w:t>
      </w:r>
      <w:r w:rsidR="00C75B6E">
        <w:t>„mozek ve vatě“ (</w:t>
      </w:r>
      <w:r w:rsidR="00C75B6E">
        <w:rPr>
          <w:i/>
        </w:rPr>
        <w:t>Brain in a V</w:t>
      </w:r>
      <w:r w:rsidR="00C75B6E" w:rsidRPr="080E0B8D">
        <w:rPr>
          <w:i/>
        </w:rPr>
        <w:t>at</w:t>
      </w:r>
      <w:r w:rsidR="00C75B6E">
        <w:rPr>
          <w:i/>
        </w:rPr>
        <w:fldChar w:fldCharType="begin"/>
      </w:r>
      <w:r w:rsidR="00C75B6E">
        <w:instrText xml:space="preserve"> XE "</w:instrText>
      </w:r>
      <w:r w:rsidR="00C75B6E" w:rsidRPr="08E7732C">
        <w:rPr>
          <w:i/>
        </w:rPr>
        <w:instrText>Brain in a Vat</w:instrText>
      </w:r>
      <w:r w:rsidR="00C75B6E">
        <w:instrText xml:space="preserve">" </w:instrText>
      </w:r>
      <w:r w:rsidR="00C75B6E">
        <w:rPr>
          <w:i/>
        </w:rPr>
        <w:fldChar w:fldCharType="end"/>
      </w:r>
      <w:r w:rsidR="00C75B6E">
        <w:t xml:space="preserve">) a podané v rámci matrixového světa. Tyto fikce </w:t>
      </w:r>
      <w:r w:rsidR="08862903">
        <w:t xml:space="preserve">poprvé zavedli </w:t>
      </w:r>
      <w:r w:rsidR="08F803BD">
        <w:t xml:space="preserve">citovaní </w:t>
      </w:r>
      <w:r w:rsidR="08862903">
        <w:t xml:space="preserve">autoři první logicko-analytické </w:t>
      </w:r>
      <w:r w:rsidR="08862903" w:rsidRPr="08C1175C">
        <w:rPr>
          <w:i/>
        </w:rPr>
        <w:t>science-fiction</w:t>
      </w:r>
      <w:r w:rsidR="08862903">
        <w:rPr>
          <w:i/>
        </w:rPr>
        <w:fldChar w:fldCharType="begin"/>
      </w:r>
      <w:r w:rsidR="08862903">
        <w:instrText xml:space="preserve"> XE "</w:instrText>
      </w:r>
      <w:r w:rsidR="08862903" w:rsidRPr="08714BAC">
        <w:rPr>
          <w:i/>
        </w:rPr>
        <w:instrText>science-fiction</w:instrText>
      </w:r>
      <w:r w:rsidR="08862903">
        <w:instrText xml:space="preserve">" </w:instrText>
      </w:r>
      <w:r w:rsidR="08862903">
        <w:rPr>
          <w:i/>
        </w:rPr>
        <w:fldChar w:fldCharType="end"/>
      </w:r>
      <w:r w:rsidR="08862903">
        <w:t xml:space="preserve"> v Oxfordu. </w:t>
      </w:r>
      <w:r w:rsidR="08E829EB">
        <w:t>První averroismus nebyl pod vl</w:t>
      </w:r>
      <w:r w:rsidR="08584771">
        <w:t xml:space="preserve">ivem </w:t>
      </w:r>
      <w:r w:rsidR="00464C41">
        <w:t xml:space="preserve">objektivně myslících </w:t>
      </w:r>
      <w:r w:rsidR="08584771">
        <w:t>Fúrií</w:t>
      </w:r>
      <w:r w:rsidR="00464C41">
        <w:t xml:space="preserve">; </w:t>
      </w:r>
      <w:r w:rsidR="08E829EB">
        <w:t>proto nemohl zrušit</w:t>
      </w:r>
      <w:r w:rsidR="00B31BC5">
        <w:t xml:space="preserve"> impozici </w:t>
      </w:r>
      <w:r w:rsidR="00464C41">
        <w:t xml:space="preserve">významu </w:t>
      </w:r>
      <w:r w:rsidR="00B31BC5">
        <w:t>z reality</w:t>
      </w:r>
      <w:r w:rsidR="08E829EB">
        <w:t>. Moderna začala tvořit</w:t>
      </w:r>
      <w:r w:rsidR="00643D76">
        <w:t xml:space="preserve"> filosofické a vědecké významy jsoucna </w:t>
      </w:r>
      <w:r w:rsidR="00643D76" w:rsidRPr="00643D76">
        <w:rPr>
          <w:i/>
        </w:rPr>
        <w:t>ex nihilo</w:t>
      </w:r>
      <w:r w:rsidR="0046614F">
        <w:t xml:space="preserve">, tj. pouze z faktu, že existuje hypostázovaný intelekt jako </w:t>
      </w:r>
      <w:r w:rsidR="0046614F" w:rsidRPr="0046614F">
        <w:rPr>
          <w:i/>
        </w:rPr>
        <w:t>res cogitans</w:t>
      </w:r>
      <w:r w:rsidR="009A1BD1">
        <w:rPr>
          <w:i/>
        </w:rPr>
        <w:fldChar w:fldCharType="begin"/>
      </w:r>
      <w:r w:rsidR="009A1BD1">
        <w:instrText xml:space="preserve"> XE "</w:instrText>
      </w:r>
      <w:r w:rsidR="009A1BD1" w:rsidRPr="003F49D8">
        <w:rPr>
          <w:i/>
        </w:rPr>
        <w:instrText>res cogitans</w:instrText>
      </w:r>
      <w:r w:rsidR="009A1BD1">
        <w:instrText xml:space="preserve">" </w:instrText>
      </w:r>
      <w:r w:rsidR="009A1BD1">
        <w:rPr>
          <w:i/>
        </w:rPr>
        <w:fldChar w:fldCharType="end"/>
      </w:r>
      <w:r w:rsidR="00B31BC5">
        <w:t xml:space="preserve">. </w:t>
      </w:r>
      <w:r w:rsidR="000319DD" w:rsidRPr="00273106">
        <w:t xml:space="preserve">Předešlá kapitola ukázala, jak tento intelekt u Kilwardbyho produkuje matematickou materii a jak zakládá </w:t>
      </w:r>
      <w:r w:rsidR="000C6A09">
        <w:t xml:space="preserve">novou </w:t>
      </w:r>
      <w:r w:rsidR="000319DD" w:rsidRPr="00273106">
        <w:t>stavbu věd skrze teoretickou fyziku</w:t>
      </w:r>
      <w:r w:rsidR="00302EEC">
        <w:t xml:space="preserve"> založenou na predikaci jsoucna třetího druhu</w:t>
      </w:r>
      <w:r w:rsidR="000319DD" w:rsidRPr="00273106">
        <w:t xml:space="preserve">. </w:t>
      </w:r>
      <w:r w:rsidR="00AC2DF4" w:rsidRPr="00273106">
        <w:t xml:space="preserve">Postup argumentace ukazuje, že analytický výklad </w:t>
      </w:r>
      <w:r w:rsidR="00AC2DF4" w:rsidRPr="00B31BC5">
        <w:rPr>
          <w:i/>
        </w:rPr>
        <w:t>Druhých anal</w:t>
      </w:r>
      <w:r w:rsidR="00E909CD" w:rsidRPr="00B31BC5">
        <w:rPr>
          <w:i/>
        </w:rPr>
        <w:t>ytik</w:t>
      </w:r>
      <w:r w:rsidR="00E909CD" w:rsidRPr="00273106">
        <w:t xml:space="preserve"> získal rozhodující vliv </w:t>
      </w:r>
      <w:r w:rsidR="00F97FD7">
        <w:t xml:space="preserve">v Oxfordu </w:t>
      </w:r>
      <w:r w:rsidR="00AC2DF4" w:rsidRPr="00273106">
        <w:t xml:space="preserve">hned v následující dekádě po </w:t>
      </w:r>
      <w:r w:rsidR="00216895">
        <w:t xml:space="preserve">příchodu </w:t>
      </w:r>
      <w:r w:rsidR="00AC2DF4" w:rsidRPr="00273106">
        <w:t>Rufus</w:t>
      </w:r>
      <w:r w:rsidR="00216895">
        <w:t>e</w:t>
      </w:r>
      <w:r w:rsidR="00AC2DF4" w:rsidRPr="00273106">
        <w:t xml:space="preserve"> a Kilwa</w:t>
      </w:r>
      <w:r w:rsidR="00216895">
        <w:t>rdbyho (1245–50)</w:t>
      </w:r>
      <w:r w:rsidR="00AC2DF4" w:rsidRPr="00273106">
        <w:t>. Soběstačnost intelektu</w:t>
      </w:r>
      <w:r w:rsidR="08947FE1">
        <w:t xml:space="preserve"> se stala hlavním tématem </w:t>
      </w:r>
      <w:r w:rsidR="00AC2DF4" w:rsidRPr="00273106">
        <w:t xml:space="preserve">sporu mezi Baconem </w:t>
      </w:r>
      <w:r w:rsidR="004F3BA3">
        <w:t>a prvními modernisty na Oxfordu</w:t>
      </w:r>
      <w:r w:rsidR="00AC2DF4" w:rsidRPr="00273106">
        <w:t xml:space="preserve">. </w:t>
      </w:r>
      <w:r w:rsidR="003C541A" w:rsidRPr="00273106">
        <w:t xml:space="preserve">Univocita jsoucna koncipovaného v modu matematické analogie a </w:t>
      </w:r>
      <w:r w:rsidR="00376D53">
        <w:t xml:space="preserve">moderní logiky </w:t>
      </w:r>
      <w:r w:rsidR="003C541A" w:rsidRPr="00273106">
        <w:t>se s</w:t>
      </w:r>
      <w:r w:rsidR="00C05138">
        <w:t xml:space="preserve">tala na Oxfordu od 1250 uznanou naukou podanou skrze </w:t>
      </w:r>
      <w:r w:rsidR="006C6176">
        <w:t xml:space="preserve">Rufuse, </w:t>
      </w:r>
      <w:r w:rsidR="00B31BC5">
        <w:t xml:space="preserve">Kilwardbyho, </w:t>
      </w:r>
      <w:r w:rsidR="00B31BC5" w:rsidRPr="00273106">
        <w:t xml:space="preserve">Sherwooda </w:t>
      </w:r>
      <w:r w:rsidR="003C541A" w:rsidRPr="00273106">
        <w:t>a dalších</w:t>
      </w:r>
      <w:r w:rsidR="007172E0">
        <w:t xml:space="preserve"> modernistů</w:t>
      </w:r>
      <w:r w:rsidR="003C541A" w:rsidRPr="00273106">
        <w:t xml:space="preserve">. Jiná situace </w:t>
      </w:r>
      <w:r w:rsidR="000C6F42">
        <w:t>vlád</w:t>
      </w:r>
      <w:r w:rsidR="00B05622">
        <w:t>la</w:t>
      </w:r>
      <w:r w:rsidR="003C541A" w:rsidRPr="00273106">
        <w:t xml:space="preserve"> </w:t>
      </w:r>
      <w:r w:rsidR="00622468">
        <w:t xml:space="preserve">v </w:t>
      </w:r>
      <w:r w:rsidR="003C541A" w:rsidRPr="00273106">
        <w:t xml:space="preserve">Paříži </w:t>
      </w:r>
      <w:r w:rsidR="00B40F6A">
        <w:t>po</w:t>
      </w:r>
      <w:r w:rsidR="00E32FAB">
        <w:t xml:space="preserve"> skonu kancléře Alverna</w:t>
      </w:r>
      <w:r w:rsidR="00FE4183">
        <w:t>, kde běžel tvrdý spor mezi oběma školami</w:t>
      </w:r>
      <w:r w:rsidR="00E32FAB">
        <w:t xml:space="preserve">. A </w:t>
      </w:r>
      <w:r w:rsidR="002A73EB" w:rsidRPr="00273106">
        <w:t xml:space="preserve">plně </w:t>
      </w:r>
      <w:r w:rsidR="003C541A" w:rsidRPr="00273106">
        <w:t xml:space="preserve">jiná </w:t>
      </w:r>
      <w:r w:rsidR="000C6F42">
        <w:t xml:space="preserve">situace byla </w:t>
      </w:r>
      <w:r w:rsidR="003C541A" w:rsidRPr="00273106">
        <w:t>v</w:t>
      </w:r>
      <w:r w:rsidR="08BB39A6">
        <w:t xml:space="preserve"> řádovém učilišti dominikánů v </w:t>
      </w:r>
      <w:r w:rsidR="003C541A" w:rsidRPr="00273106">
        <w:t xml:space="preserve">Kolíně, kde </w:t>
      </w:r>
      <w:r w:rsidR="0040216A">
        <w:t xml:space="preserve">o jednu dekádu později </w:t>
      </w:r>
      <w:r w:rsidR="003C541A" w:rsidRPr="00273106">
        <w:t>působil</w:t>
      </w:r>
      <w:r w:rsidR="0040216A">
        <w:t>i</w:t>
      </w:r>
      <w:r w:rsidR="003C541A" w:rsidRPr="00273106">
        <w:t xml:space="preserve"> Albert Veliký a Tomáš Akvinský.</w:t>
      </w:r>
    </w:p>
    <w:p w14:paraId="3A5B1ECD" w14:textId="08166A87" w:rsidR="08D3080C" w:rsidRDefault="00967488" w:rsidP="085319B2">
      <w:r>
        <w:tab/>
      </w:r>
      <w:r w:rsidR="0855768D">
        <w:t xml:space="preserve">Spor mezi aristotelskými existencialisty v Paříži a moderními </w:t>
      </w:r>
      <w:r w:rsidR="00C64130" w:rsidRPr="00273106">
        <w:t>esencialisty</w:t>
      </w:r>
      <w:r w:rsidR="0855768D">
        <w:t xml:space="preserve"> </w:t>
      </w:r>
      <w:r w:rsidR="00C64130" w:rsidRPr="00273106">
        <w:t>v Oxfordu měl jasný teologický podtext</w:t>
      </w:r>
      <w:r w:rsidR="086E59DD">
        <w:t>, což plat</w:t>
      </w:r>
      <w:r w:rsidR="08A04DF4">
        <w:t>ilo už v době Abelardova sporu s</w:t>
      </w:r>
      <w:r w:rsidR="086E59DD">
        <w:t xml:space="preserve"> prvními modernisty</w:t>
      </w:r>
      <w:r w:rsidR="08B04799">
        <w:t xml:space="preserve">. Oxfordští analytikové jako Kilwardby a nominalističtí logikové jako Sherwood tvrdí, že Baconovo pojetí vědy postihuje pouze kontigentní kauzalitu </w:t>
      </w:r>
      <w:r w:rsidR="08B04799" w:rsidRPr="00273106">
        <w:t>první substance dané v reálu.</w:t>
      </w:r>
      <w:r w:rsidR="08B04799">
        <w:t xml:space="preserve"> </w:t>
      </w:r>
      <w:r w:rsidR="08B04799" w:rsidRPr="00273106">
        <w:t>Z hlediska K</w:t>
      </w:r>
      <w:r w:rsidR="08B04799">
        <w:t xml:space="preserve">ilwardbyho měl Bacon v termínu </w:t>
      </w:r>
      <w:r w:rsidR="08B04799" w:rsidRPr="00273106">
        <w:rPr>
          <w:i/>
        </w:rPr>
        <w:t>constantia subiecti</w:t>
      </w:r>
      <w:r w:rsidR="08B04799">
        <w:rPr>
          <w:i/>
        </w:rPr>
        <w:fldChar w:fldCharType="begin"/>
      </w:r>
      <w:r w:rsidR="08B04799">
        <w:instrText xml:space="preserve"> XE "supozice:</w:instrText>
      </w:r>
      <w:r w:rsidR="08B04799" w:rsidRPr="00CA73EE">
        <w:rPr>
          <w:i/>
        </w:rPr>
        <w:instrText>constantia subiecti</w:instrText>
      </w:r>
      <w:r w:rsidR="08B04799">
        <w:instrText xml:space="preserve">" </w:instrText>
      </w:r>
      <w:r w:rsidR="08B04799">
        <w:rPr>
          <w:i/>
        </w:rPr>
        <w:fldChar w:fldCharType="end"/>
      </w:r>
      <w:r w:rsidR="08B04799" w:rsidRPr="00273106">
        <w:t xml:space="preserve"> nedostatečně </w:t>
      </w:r>
      <w:r w:rsidR="08B04799">
        <w:t xml:space="preserve">pevně </w:t>
      </w:r>
      <w:r w:rsidR="08B04799" w:rsidRPr="00273106">
        <w:t>definova</w:t>
      </w:r>
      <w:r w:rsidR="08B04799">
        <w:t xml:space="preserve">ný střední člen soudu. </w:t>
      </w:r>
      <w:r w:rsidR="0046280A">
        <w:t xml:space="preserve">Subjekt v realitě je daný pouze kontingentně. </w:t>
      </w:r>
      <w:r w:rsidR="088F49FD">
        <w:t>Analytičtí modernisté tvrdili, že v</w:t>
      </w:r>
      <w:r w:rsidR="082B16BC" w:rsidRPr="00273106">
        <w:t xml:space="preserve">azbou </w:t>
      </w:r>
      <w:r w:rsidR="0042664A">
        <w:t xml:space="preserve">aristotelské </w:t>
      </w:r>
      <w:r w:rsidR="082B16BC" w:rsidRPr="00273106">
        <w:t xml:space="preserve">vědy na </w:t>
      </w:r>
      <w:r w:rsidR="0042664A">
        <w:t xml:space="preserve">kontingentně </w:t>
      </w:r>
      <w:r w:rsidR="082B16BC" w:rsidRPr="00273106">
        <w:t xml:space="preserve">danou první substanci přestaly platit věčné teologické pravdy. Grosseteste </w:t>
      </w:r>
      <w:r w:rsidR="005F761F">
        <w:t xml:space="preserve">proto </w:t>
      </w:r>
      <w:r w:rsidR="082B16BC" w:rsidRPr="00273106">
        <w:t xml:space="preserve">rozšířil </w:t>
      </w:r>
      <w:r w:rsidR="005F761F">
        <w:t xml:space="preserve">vliv moderní logiky </w:t>
      </w:r>
      <w:r w:rsidR="082B16BC" w:rsidRPr="00273106">
        <w:t xml:space="preserve">až do kontingentních budoucích událostí </w:t>
      </w:r>
      <w:r w:rsidR="08AF0E06">
        <w:t xml:space="preserve">typu Antikristova příchodu </w:t>
      </w:r>
      <w:r w:rsidR="08AF0E06" w:rsidRPr="00273106">
        <w:t>(kap</w:t>
      </w:r>
      <w:r w:rsidR="08BF5358">
        <w:t>. 3</w:t>
      </w:r>
      <w:r w:rsidR="08AF0E06" w:rsidRPr="00273106">
        <w:t>.1.2)</w:t>
      </w:r>
      <w:r w:rsidR="08AF0E06">
        <w:t xml:space="preserve">. </w:t>
      </w:r>
      <w:r w:rsidR="00EC3FB3">
        <w:t xml:space="preserve">Došlo k paradoxní situaci, kdy </w:t>
      </w:r>
      <w:r w:rsidR="00EF4E79">
        <w:t xml:space="preserve">genericky odlišné </w:t>
      </w:r>
      <w:r w:rsidR="00EC3FB3">
        <w:t xml:space="preserve">pravdy </w:t>
      </w:r>
      <w:r w:rsidR="08AF0E06">
        <w:t xml:space="preserve">dogmatiky </w:t>
      </w:r>
      <w:r w:rsidR="00EC3FB3">
        <w:t xml:space="preserve">(příchod Antikrista) začaly měnit </w:t>
      </w:r>
      <w:r w:rsidR="0030792E">
        <w:t>z</w:t>
      </w:r>
      <w:r w:rsidR="00EC3FB3">
        <w:t>áklady logiky a metafyziky</w:t>
      </w:r>
      <w:r w:rsidR="08AF0E06">
        <w:t xml:space="preserve">. </w:t>
      </w:r>
      <w:r w:rsidR="089B2FD5">
        <w:t xml:space="preserve">Zavedením filosofie jako služky teologie </w:t>
      </w:r>
      <w:r w:rsidR="08AF0E06">
        <w:t>vznikla ontoteologická struktura moderní metafyziky</w:t>
      </w:r>
      <w:r w:rsidR="0030792E">
        <w:t xml:space="preserve">. Tento </w:t>
      </w:r>
      <w:r w:rsidR="08AF0E06">
        <w:t>modu</w:t>
      </w:r>
      <w:r w:rsidR="0030792E">
        <w:t>s</w:t>
      </w:r>
      <w:r w:rsidR="08AF0E06">
        <w:t xml:space="preserve"> jedné </w:t>
      </w:r>
      <w:r w:rsidR="08B04858">
        <w:t>sofisti</w:t>
      </w:r>
      <w:r w:rsidR="0030792E">
        <w:t xml:space="preserve">cké </w:t>
      </w:r>
      <w:r w:rsidR="08AF0E06">
        <w:t>pravdy</w:t>
      </w:r>
      <w:r w:rsidR="0030792E">
        <w:t xml:space="preserve"> </w:t>
      </w:r>
      <w:r w:rsidR="08AF0E06">
        <w:t xml:space="preserve">hájil modernistický </w:t>
      </w:r>
      <w:r w:rsidR="08881A4F">
        <w:t xml:space="preserve">Tempierův a Kilwardbyho </w:t>
      </w:r>
      <w:r w:rsidR="08AF0E06">
        <w:t xml:space="preserve">dekret z března 1277. </w:t>
      </w:r>
      <w:r w:rsidR="082B16BC" w:rsidRPr="00273106">
        <w:t xml:space="preserve">Spor </w:t>
      </w:r>
      <w:r w:rsidR="000738AE" w:rsidRPr="00273106">
        <w:t xml:space="preserve">mezi oběma školami </w:t>
      </w:r>
      <w:r w:rsidR="082B16BC" w:rsidRPr="00273106">
        <w:t xml:space="preserve">dosvědčuje změněné </w:t>
      </w:r>
      <w:r w:rsidR="082B16BC" w:rsidRPr="00273106">
        <w:rPr>
          <w:i/>
        </w:rPr>
        <w:t>Weltanschauung</w:t>
      </w:r>
      <w:r w:rsidR="00ED633A">
        <w:rPr>
          <w:i/>
        </w:rPr>
        <w:fldChar w:fldCharType="begin"/>
      </w:r>
      <w:r w:rsidR="00ED633A">
        <w:instrText xml:space="preserve"> XE "</w:instrText>
      </w:r>
      <w:r w:rsidR="00ED633A" w:rsidRPr="001E5389">
        <w:rPr>
          <w:i/>
        </w:rPr>
        <w:instrText>Weltanschauung</w:instrText>
      </w:r>
      <w:r w:rsidR="00ED633A">
        <w:instrText xml:space="preserve">" </w:instrText>
      </w:r>
      <w:r w:rsidR="00ED633A">
        <w:rPr>
          <w:i/>
        </w:rPr>
        <w:fldChar w:fldCharType="end"/>
      </w:r>
      <w:r w:rsidR="009A46B0">
        <w:t>. E</w:t>
      </w:r>
      <w:r w:rsidR="082B16BC" w:rsidRPr="00273106">
        <w:t xml:space="preserve">tablovaná </w:t>
      </w:r>
      <w:r w:rsidR="000738AE" w:rsidRPr="00273106">
        <w:t xml:space="preserve">skupina </w:t>
      </w:r>
      <w:r w:rsidR="082B16BC" w:rsidRPr="00273106">
        <w:t xml:space="preserve">modernistů na Oxfordu </w:t>
      </w:r>
      <w:r w:rsidR="00ED67B7">
        <w:t xml:space="preserve">vytvořila </w:t>
      </w:r>
      <w:r w:rsidR="082B16BC" w:rsidRPr="00273106">
        <w:t xml:space="preserve">koncept moderní vědy, </w:t>
      </w:r>
      <w:r w:rsidR="00ED3054" w:rsidRPr="00273106">
        <w:t xml:space="preserve">v níž </w:t>
      </w:r>
      <w:r w:rsidR="082B16BC" w:rsidRPr="00273106">
        <w:t>realitu nahradila spekulativní a mystická ontoteologie.</w:t>
      </w:r>
      <w:r w:rsidR="00C64130">
        <w:t xml:space="preserve"> </w:t>
      </w:r>
      <w:r w:rsidR="005E1452" w:rsidRPr="00273106">
        <w:t>Komplikovanost postojů ilustruje spor o náhled do</w:t>
      </w:r>
      <w:r w:rsidR="0039532A">
        <w:t xml:space="preserve"> boží podstaty (Hoye 1976, 270‒</w:t>
      </w:r>
      <w:r w:rsidR="005E1452" w:rsidRPr="00273106">
        <w:t>71). Biskup Alvernus v roce 1241 prohlašuje ja</w:t>
      </w:r>
      <w:r w:rsidR="00C5455A">
        <w:t>ko heretickou tezi</w:t>
      </w:r>
      <w:r w:rsidR="00127A93">
        <w:t>, že boží esence vzatá sama o sobě není nahlédnutelná andělem nebo člověkem.</w:t>
      </w:r>
      <w:r w:rsidR="00127A93">
        <w:rPr>
          <w:rStyle w:val="Znakapoznpodarou"/>
        </w:rPr>
        <w:footnoteReference w:id="507"/>
      </w:r>
      <w:r w:rsidR="00127A93">
        <w:t xml:space="preserve"> </w:t>
      </w:r>
      <w:r w:rsidR="005E1452" w:rsidRPr="00273106">
        <w:t xml:space="preserve">Potvrzením přímého náhledu na boží podstatu byl ukončen spor o zjevování boha. Neoplatonismus považoval přímé zjevení boha podle odděleného principu Jednoho a po vzoru Starého zákona za </w:t>
      </w:r>
      <w:r w:rsidR="00AD25CE">
        <w:t xml:space="preserve">prakticky </w:t>
      </w:r>
      <w:r w:rsidR="005E1452" w:rsidRPr="00273106">
        <w:t xml:space="preserve">nemožné, proto </w:t>
      </w:r>
      <w:r w:rsidR="00AD25CE">
        <w:t xml:space="preserve">postuloval </w:t>
      </w:r>
      <w:r w:rsidR="005E1452" w:rsidRPr="00273106">
        <w:t xml:space="preserve">zástupné zjevování boha člověku ve formě theofanií (Dionysius Areopagita, Jan Chrysostomus, Jan Damascénský, Scotus Eurigena). </w:t>
      </w:r>
      <w:r w:rsidR="08651A4F">
        <w:t xml:space="preserve">Tyto teofanie demiurgických hypostází se </w:t>
      </w:r>
      <w:r w:rsidR="087168C7">
        <w:t>ve druhé polovině 12</w:t>
      </w:r>
      <w:r w:rsidR="08651A4F">
        <w:t xml:space="preserve">. století spojily s Avicennovou metafyzikou </w:t>
      </w:r>
      <w:r w:rsidR="087168C7">
        <w:t xml:space="preserve">a po roce 1230 začaly být predikovány v modu porretánsky vykládaného spisu </w:t>
      </w:r>
      <w:r w:rsidR="087168C7">
        <w:rPr>
          <w:i/>
        </w:rPr>
        <w:t>Kategorie</w:t>
      </w:r>
      <w:r w:rsidR="087168C7">
        <w:t xml:space="preserve">. Tím se plně přizpůsobily </w:t>
      </w:r>
      <w:r w:rsidR="08651A4F">
        <w:t>emanační</w:t>
      </w:r>
      <w:r w:rsidR="087168C7">
        <w:t>mu</w:t>
      </w:r>
      <w:r w:rsidR="08651A4F">
        <w:t xml:space="preserve"> a komitační</w:t>
      </w:r>
      <w:r w:rsidR="087168C7">
        <w:t>mu</w:t>
      </w:r>
      <w:r w:rsidR="08651A4F">
        <w:t xml:space="preserve"> scénář</w:t>
      </w:r>
      <w:r w:rsidR="087168C7">
        <w:t>i</w:t>
      </w:r>
      <w:r w:rsidR="08651A4F">
        <w:t xml:space="preserve"> </w:t>
      </w:r>
      <w:r w:rsidR="08651A4F" w:rsidRPr="08651A4F">
        <w:rPr>
          <w:i/>
        </w:rPr>
        <w:t>sequaces Aristotelis</w:t>
      </w:r>
      <w:r w:rsidR="087168C7">
        <w:t xml:space="preserve"> danému neoplatonsky. </w:t>
      </w:r>
      <w:r w:rsidR="08AF5D47">
        <w:t>Latinská scholasti</w:t>
      </w:r>
      <w:r w:rsidR="08DB2024">
        <w:t>cká teologie</w:t>
      </w:r>
      <w:r w:rsidR="005E1452" w:rsidRPr="00273106">
        <w:t xml:space="preserve"> </w:t>
      </w:r>
      <w:r w:rsidR="00AD25CE">
        <w:t xml:space="preserve">ovlivněná aristotelskou falsafou </w:t>
      </w:r>
      <w:r w:rsidR="005E1452" w:rsidRPr="00273106">
        <w:t xml:space="preserve">tvrdí, že bůh je ve své podstatě poznatelný přímo, protože se takto dává poznat v dějinách spásy, například skrze svého Syna a skrze působení </w:t>
      </w:r>
      <w:r w:rsidR="009F4167">
        <w:t xml:space="preserve">Boží </w:t>
      </w:r>
      <w:r w:rsidR="005E1452" w:rsidRPr="00273106">
        <w:t xml:space="preserve">Trojice. </w:t>
      </w:r>
      <w:r w:rsidR="08DB2024">
        <w:t xml:space="preserve">Totéž platí pro křesťansky pojatou filosofii boha danou v pojetí </w:t>
      </w:r>
      <w:r w:rsidR="08DB2024" w:rsidRPr="08DB2024">
        <w:rPr>
          <w:i/>
        </w:rPr>
        <w:t>Druhých analytik</w:t>
      </w:r>
      <w:r w:rsidR="08DB2024">
        <w:t xml:space="preserve">, protože bůh jako </w:t>
      </w:r>
      <w:r w:rsidR="08DB2024" w:rsidRPr="08DB2024">
        <w:rPr>
          <w:i/>
        </w:rPr>
        <w:t>causa prima</w:t>
      </w:r>
      <w:r w:rsidR="08DB2024">
        <w:t xml:space="preserve"> se dá </w:t>
      </w:r>
      <w:r w:rsidR="08DA4A2F">
        <w:t xml:space="preserve">vědecky </w:t>
      </w:r>
      <w:r w:rsidR="08DB2024">
        <w:t>poznat přímo. Ale filosofie nemůže přímo poznat jeho esenci, to patří do oblasti zjeven</w:t>
      </w:r>
      <w:r w:rsidR="08DA4A2F">
        <w:t>ý</w:t>
      </w:r>
      <w:r w:rsidR="08DB2024">
        <w:t xml:space="preserve">ch pravd teologie. </w:t>
      </w:r>
      <w:r w:rsidR="00795C6C">
        <w:t xml:space="preserve">Alvernus hájí v tomto sporu stanovisko prvního averoismu a jeho výklad </w:t>
      </w:r>
      <w:r w:rsidR="00795C6C" w:rsidRPr="00795C6C">
        <w:rPr>
          <w:i/>
        </w:rPr>
        <w:t>Druhých analytik</w:t>
      </w:r>
      <w:r w:rsidR="00E326FC">
        <w:t>. Protože b</w:t>
      </w:r>
      <w:r w:rsidR="00E326FC" w:rsidRPr="00E326FC">
        <w:t xml:space="preserve">ůh je svou povahou jednajícím Stvořitelem v řádu kauzality, jeho </w:t>
      </w:r>
      <w:r w:rsidR="00E326FC">
        <w:t>poznání je možné v ř</w:t>
      </w:r>
      <w:r w:rsidR="00E326FC" w:rsidRPr="00E326FC">
        <w:t>ád vědecké</w:t>
      </w:r>
      <w:r w:rsidR="00E326FC">
        <w:t>ho důkazu</w:t>
      </w:r>
      <w:r w:rsidR="00E326FC" w:rsidRPr="00E326FC">
        <w:t xml:space="preserve">. Střední článek deduktivního důkazu je založen na </w:t>
      </w:r>
      <w:r w:rsidR="00E326FC">
        <w:t xml:space="preserve">impozici </w:t>
      </w:r>
      <w:r w:rsidR="00E326FC" w:rsidRPr="00E326FC">
        <w:t xml:space="preserve">účinků způsobených </w:t>
      </w:r>
      <w:r w:rsidR="00E326FC">
        <w:t xml:space="preserve">reálnou božskou kauzalitou. </w:t>
      </w:r>
      <w:r w:rsidR="00795C6C">
        <w:t>Totéž tvrdil Komentátor v podobě poznatelných cest k bohu daných skrze kauzalitu prvních substancí (</w:t>
      </w:r>
      <w:r w:rsidR="00795C6C" w:rsidRPr="00273106">
        <w:rPr>
          <w:rStyle w:val="ZkladntextKurzvadkovn0pt"/>
          <w:rFonts w:ascii="Calibri" w:eastAsia="Times" w:hAnsi="Calibri"/>
          <w:iCs w:val="0"/>
          <w:color w:val="auto"/>
          <w:spacing w:val="0"/>
          <w:sz w:val="24"/>
          <w:u w:val="none"/>
          <w:lang w:val="cs-CZ"/>
        </w:rPr>
        <w:t>dalā'il</w:t>
      </w:r>
      <w:r w:rsidR="00795C6C">
        <w:rPr>
          <w:rStyle w:val="ZkladntextKurzvadkovn0pt"/>
          <w:rFonts w:ascii="Calibri" w:eastAsia="Times" w:hAnsi="Calibri"/>
          <w:iCs w:val="0"/>
          <w:color w:val="auto"/>
          <w:spacing w:val="0"/>
          <w:sz w:val="24"/>
          <w:u w:val="none"/>
          <w:lang w:val="cs-CZ"/>
        </w:rPr>
        <w:fldChar w:fldCharType="begin"/>
      </w:r>
      <w:r w:rsidR="00795C6C">
        <w:instrText xml:space="preserve"> XE "</w:instrText>
      </w:r>
      <w:r w:rsidR="00795C6C" w:rsidRPr="009965D3">
        <w:rPr>
          <w:rStyle w:val="ZkladntextKurzvadkovn0pt"/>
          <w:rFonts w:ascii="Calibri" w:eastAsia="Times" w:hAnsi="Calibri"/>
          <w:iCs w:val="0"/>
          <w:color w:val="auto"/>
          <w:spacing w:val="0"/>
          <w:sz w:val="24"/>
          <w:u w:val="none"/>
          <w:lang w:val="cs-CZ"/>
        </w:rPr>
        <w:instrText>dalā'il</w:instrText>
      </w:r>
      <w:r w:rsidR="00795C6C">
        <w:instrText xml:space="preserve">" </w:instrText>
      </w:r>
      <w:r w:rsidR="00795C6C">
        <w:rPr>
          <w:rStyle w:val="ZkladntextKurzvadkovn0pt"/>
          <w:rFonts w:ascii="Calibri" w:eastAsia="Times" w:hAnsi="Calibri"/>
          <w:iCs w:val="0"/>
          <w:color w:val="auto"/>
          <w:spacing w:val="0"/>
          <w:sz w:val="24"/>
          <w:u w:val="none"/>
          <w:lang w:val="cs-CZ"/>
        </w:rPr>
        <w:fldChar w:fldCharType="end"/>
      </w:r>
      <w:r w:rsidR="08BF5358">
        <w:t xml:space="preserve">; OBJ I, </w:t>
      </w:r>
      <w:r w:rsidR="00795C6C">
        <w:t xml:space="preserve">kap. 2.4.3). </w:t>
      </w:r>
      <w:r w:rsidR="005E1452" w:rsidRPr="00273106">
        <w:t xml:space="preserve">Spor mezi prvním a druhým averroismem ukázal, že když dva vidí totéž, není to totéž, což platí dvojnásobně pro </w:t>
      </w:r>
      <w:r w:rsidR="00DA2DDA">
        <w:t>definici pojmů jako „</w:t>
      </w:r>
      <w:r w:rsidR="005E1452" w:rsidRPr="00273106">
        <w:rPr>
          <w:i/>
        </w:rPr>
        <w:t>essentia divina</w:t>
      </w:r>
      <w:r w:rsidR="00DA2DDA">
        <w:t>“</w:t>
      </w:r>
      <w:r w:rsidR="005E1452" w:rsidRPr="00273106">
        <w:t xml:space="preserve">. </w:t>
      </w:r>
      <w:r w:rsidR="000B3AD4" w:rsidRPr="00273106">
        <w:t xml:space="preserve">Druhý averroismus nazírá univoční </w:t>
      </w:r>
      <w:r w:rsidR="000B3AD4">
        <w:t>neoplatonsk</w:t>
      </w:r>
      <w:r w:rsidR="000B3AD4" w:rsidRPr="00273106">
        <w:t xml:space="preserve">ou formu v rámci </w:t>
      </w:r>
      <w:r w:rsidR="004B4D52" w:rsidRPr="004B4D52">
        <w:t>species</w:t>
      </w:r>
      <w:r w:rsidR="000B3AD4">
        <w:t xml:space="preserve"> dané</w:t>
      </w:r>
      <w:r w:rsidR="000B3AD4" w:rsidRPr="00273106">
        <w:t xml:space="preserve"> v podobě </w:t>
      </w:r>
      <w:r w:rsidR="000B3AD4" w:rsidRPr="00273106">
        <w:rPr>
          <w:i/>
        </w:rPr>
        <w:t>tertium ens</w:t>
      </w:r>
      <w:r w:rsidR="000B3AD4" w:rsidRPr="00273106">
        <w:t>, proto hájí přímý a nekomplikovaný náhled na jakoukoliv esenci</w:t>
      </w:r>
      <w:r w:rsidR="000B3AD4">
        <w:rPr>
          <w:i/>
        </w:rPr>
        <w:fldChar w:fldCharType="begin"/>
      </w:r>
      <w:r w:rsidR="000B3AD4">
        <w:instrText xml:space="preserve"> XE "vidění:eidetické" </w:instrText>
      </w:r>
      <w:r w:rsidR="000B3AD4">
        <w:rPr>
          <w:i/>
        </w:rPr>
        <w:fldChar w:fldCharType="end"/>
      </w:r>
      <w:r w:rsidR="000B3AD4" w:rsidRPr="00273106">
        <w:t xml:space="preserve">. </w:t>
      </w:r>
      <w:r w:rsidR="005E1452" w:rsidRPr="00273106">
        <w:t>Bonaventurův kom</w:t>
      </w:r>
      <w:r w:rsidR="000B3AD4">
        <w:t>entář k Sentencím cituje Alvern</w:t>
      </w:r>
      <w:r w:rsidR="005E1452" w:rsidRPr="00273106">
        <w:t xml:space="preserve">ův </w:t>
      </w:r>
      <w:r w:rsidR="00DA2DDA">
        <w:t xml:space="preserve">výrok </w:t>
      </w:r>
      <w:r w:rsidR="005E1452" w:rsidRPr="00273106">
        <w:t>a potv</w:t>
      </w:r>
      <w:r w:rsidR="00D81640">
        <w:t xml:space="preserve">rzuje, že bůh je nahlédnutelný </w:t>
      </w:r>
      <w:r w:rsidR="00DA2DDA">
        <w:t>„</w:t>
      </w:r>
      <w:r w:rsidR="005E1452" w:rsidRPr="00273106">
        <w:rPr>
          <w:i/>
        </w:rPr>
        <w:t>in gloria sua substantia</w:t>
      </w:r>
      <w:r w:rsidR="00DA2DDA" w:rsidRPr="00DA2DDA">
        <w:t>“</w:t>
      </w:r>
      <w:r w:rsidR="005E1452" w:rsidRPr="00273106">
        <w:t>, protože opak je heretický podle výše uvedeného prvního artikulu Pařížské univerzity (</w:t>
      </w:r>
      <w:r w:rsidR="005E1452" w:rsidRPr="00273106">
        <w:rPr>
          <w:i/>
        </w:rPr>
        <w:t>In II Sent</w:t>
      </w:r>
      <w:r w:rsidR="005E1452" w:rsidRPr="00273106">
        <w:t xml:space="preserve">., d. 23, a. 2, q. 3, ad 7; </w:t>
      </w:r>
      <w:r w:rsidR="005E1452" w:rsidRPr="00DA2DDA">
        <w:rPr>
          <w:i/>
        </w:rPr>
        <w:t>Opera omnia</w:t>
      </w:r>
      <w:r w:rsidR="005E1452" w:rsidRPr="00273106">
        <w:t xml:space="preserve"> II, ed. Quaracchi, p. 547</w:t>
      </w:r>
      <w:r w:rsidR="00E17982">
        <w:t>b</w:t>
      </w:r>
      <w:r w:rsidR="0061315F">
        <w:fldChar w:fldCharType="begin"/>
      </w:r>
      <w:r w:rsidR="0061315F">
        <w:instrText xml:space="preserve"> XE "Bonaventura:</w:instrText>
      </w:r>
      <w:r w:rsidR="0061315F" w:rsidRPr="00DD24CF">
        <w:rPr>
          <w:i/>
        </w:rPr>
        <w:instrText>In II Sent</w:instrText>
      </w:r>
      <w:r w:rsidR="0061315F" w:rsidRPr="00DD24CF">
        <w:instrText>.</w:instrText>
      </w:r>
      <w:r w:rsidR="0061315F">
        <w:instrText xml:space="preserve"> </w:instrText>
      </w:r>
      <w:r w:rsidR="0061315F" w:rsidRPr="00DD24CF">
        <w:instrText>547b</w:instrText>
      </w:r>
      <w:r w:rsidR="0061315F">
        <w:instrText xml:space="preserve">" </w:instrText>
      </w:r>
      <w:r w:rsidR="0061315F">
        <w:fldChar w:fldCharType="end"/>
      </w:r>
      <w:r w:rsidR="005E1452" w:rsidRPr="00273106">
        <w:t xml:space="preserve">). </w:t>
      </w:r>
      <w:r w:rsidR="08973BDC">
        <w:t>To je ale úplně jiné vidění</w:t>
      </w:r>
      <w:r w:rsidR="00264F4C">
        <w:t xml:space="preserve"> boží esence, než jaké měl na mysli Alvernus ze školy prvního averroismu. </w:t>
      </w:r>
      <w:r w:rsidR="005E1452" w:rsidRPr="00273106">
        <w:t>První averroismu</w:t>
      </w:r>
      <w:r w:rsidR="00497606">
        <w:t>s</w:t>
      </w:r>
      <w:r w:rsidR="005E1452" w:rsidRPr="00273106">
        <w:t xml:space="preserve"> vidí aristotelskou substanci intendovanou v rámci </w:t>
      </w:r>
      <w:r w:rsidR="004B4D52" w:rsidRPr="004B4D52">
        <w:t>species</w:t>
      </w:r>
      <w:r w:rsidR="005E1452" w:rsidRPr="00273106">
        <w:rPr>
          <w:i/>
        </w:rPr>
        <w:t xml:space="preserve"> intelligibilis</w:t>
      </w:r>
      <w:r w:rsidR="00B75E9E">
        <w:t>, protože nemá avicennovskou denudaci, ale aristotelskou abstrakci. P</w:t>
      </w:r>
      <w:r w:rsidR="005E1452" w:rsidRPr="00273106">
        <w:t xml:space="preserve">odle Akvinského díla </w:t>
      </w:r>
      <w:r w:rsidR="005E1452" w:rsidRPr="00273106">
        <w:rPr>
          <w:i/>
        </w:rPr>
        <w:t>De veritate</w:t>
      </w:r>
      <w:r w:rsidR="005E1452" w:rsidRPr="00273106">
        <w:t xml:space="preserve"> nemůže</w:t>
      </w:r>
      <w:r w:rsidR="001C0A98">
        <w:t>me</w:t>
      </w:r>
      <w:r w:rsidR="005E1452" w:rsidRPr="00273106">
        <w:t xml:space="preserve"> vidět boží </w:t>
      </w:r>
      <w:r w:rsidR="006745F2">
        <w:t xml:space="preserve">bytí </w:t>
      </w:r>
      <w:r w:rsidR="001C0A98">
        <w:t xml:space="preserve">v přímém náhledu </w:t>
      </w:r>
      <w:r w:rsidR="005E1452" w:rsidRPr="00273106">
        <w:t>(</w:t>
      </w:r>
      <w:r w:rsidR="005E1452" w:rsidRPr="00273106">
        <w:rPr>
          <w:i/>
        </w:rPr>
        <w:t>non potest visio Dei per essentiam secundum primum modum</w:t>
      </w:r>
      <w:r w:rsidR="005E1452" w:rsidRPr="00273106">
        <w:t>).</w:t>
      </w:r>
      <w:r w:rsidR="005E1452" w:rsidRPr="00273106">
        <w:rPr>
          <w:rStyle w:val="Znakapoznpodarou"/>
        </w:rPr>
        <w:footnoteReference w:id="508"/>
      </w:r>
      <w:r w:rsidR="005E1452" w:rsidRPr="00273106">
        <w:t xml:space="preserve"> Citace ukazuje, že lidsky daný modus poznání pracuje s koncepty </w:t>
      </w:r>
      <w:r w:rsidR="005E1452" w:rsidRPr="00273106">
        <w:rPr>
          <w:i/>
        </w:rPr>
        <w:t>ens</w:t>
      </w:r>
      <w:r w:rsidR="005E1452" w:rsidRPr="00273106">
        <w:t xml:space="preserve"> a </w:t>
      </w:r>
      <w:r w:rsidR="005E1452" w:rsidRPr="00273106">
        <w:rPr>
          <w:i/>
        </w:rPr>
        <w:t>verum</w:t>
      </w:r>
      <w:r w:rsidR="005E1452" w:rsidRPr="00273106">
        <w:t xml:space="preserve">, které skrze abstrakci a predikaci </w:t>
      </w:r>
      <w:r w:rsidR="003E21CE">
        <w:t xml:space="preserve">vztahuje </w:t>
      </w:r>
      <w:r w:rsidR="08873440">
        <w:t>k boží pravdě a bytí</w:t>
      </w:r>
      <w:r w:rsidR="08873440" w:rsidRPr="00273106">
        <w:t xml:space="preserve"> </w:t>
      </w:r>
      <w:r w:rsidR="005E1452" w:rsidRPr="00273106">
        <w:t>až druhotně</w:t>
      </w:r>
      <w:r w:rsidR="00A40944">
        <w:t xml:space="preserve">. Poznáváme </w:t>
      </w:r>
      <w:r w:rsidR="003E21CE">
        <w:t>nasvícením zepředu od smyslových</w:t>
      </w:r>
      <w:r w:rsidR="00A40944">
        <w:t xml:space="preserve"> </w:t>
      </w:r>
      <w:r w:rsidR="004B4D52" w:rsidRPr="004B4D52">
        <w:t>species</w:t>
      </w:r>
      <w:r w:rsidR="00BC3CFD">
        <w:t xml:space="preserve"> (</w:t>
      </w:r>
      <w:r w:rsidR="00BC3CFD" w:rsidRPr="00273106">
        <w:rPr>
          <w:i/>
        </w:rPr>
        <w:t>mens enim nostra naturali cognitione phantasmata respicit quasi obiecta</w:t>
      </w:r>
      <w:r w:rsidR="00BC3CFD">
        <w:t>)</w:t>
      </w:r>
      <w:r w:rsidR="003E21CE">
        <w:t>, která</w:t>
      </w:r>
      <w:r w:rsidR="00A40944">
        <w:t xml:space="preserve"> se </w:t>
      </w:r>
      <w:r w:rsidR="00BC3CFD">
        <w:t xml:space="preserve">díky intencionalitě receptivního intelektu </w:t>
      </w:r>
      <w:r w:rsidR="00A40944">
        <w:t xml:space="preserve">mění na inteligibilní </w:t>
      </w:r>
      <w:r w:rsidR="005E1452" w:rsidRPr="00273106">
        <w:t>(</w:t>
      </w:r>
      <w:r w:rsidR="005E1452" w:rsidRPr="00273106">
        <w:rPr>
          <w:i/>
        </w:rPr>
        <w:t xml:space="preserve">a quibus </w:t>
      </w:r>
      <w:r w:rsidR="004B4D52" w:rsidRPr="004B4D52">
        <w:t>species</w:t>
      </w:r>
      <w:r w:rsidR="005E1452" w:rsidRPr="00273106">
        <w:rPr>
          <w:i/>
        </w:rPr>
        <w:t xml:space="preserve"> intelligibiles accipit</w:t>
      </w:r>
      <w:r w:rsidR="005E1452" w:rsidRPr="00273106">
        <w:t>). Pak dobře míněná Bonaventurova slova o přímém vidění boží substance</w:t>
      </w:r>
      <w:r w:rsidR="00A70FA4">
        <w:fldChar w:fldCharType="begin"/>
      </w:r>
      <w:r w:rsidR="00A70FA4">
        <w:instrText xml:space="preserve"> XE "</w:instrText>
      </w:r>
      <w:r w:rsidR="00A70FA4" w:rsidRPr="00DE2A32">
        <w:instrText>substance</w:instrText>
      </w:r>
      <w:r w:rsidR="00932EDB">
        <w:instrText>:boží</w:instrText>
      </w:r>
      <w:r w:rsidR="00A70FA4">
        <w:instrText xml:space="preserve">" </w:instrText>
      </w:r>
      <w:r w:rsidR="00A70FA4">
        <w:fldChar w:fldCharType="end"/>
      </w:r>
      <w:r w:rsidR="005E1452" w:rsidRPr="00273106">
        <w:t xml:space="preserve"> dané nikoliv kompletně, ale přece celostně (</w:t>
      </w:r>
      <w:r w:rsidR="005E1452" w:rsidRPr="00273106">
        <w:rPr>
          <w:i/>
        </w:rPr>
        <w:t>totus sed non totaliter</w:t>
      </w:r>
      <w:r w:rsidR="005E1452" w:rsidRPr="00273106">
        <w:t xml:space="preserve">), nebude mít stejný význam v obou školách myšlení. Duns Scotus v linii Bonaventury vyčítá Akvinskému omezení lidského poznání na pouze empirické skutečnosti, což prý vylučuje přímé poznání boží esence (Hoye 1976, 283). Spor o náhled do boží esence ukazuje na zásadní rozdíl v rámci toho či onoho </w:t>
      </w:r>
      <w:r w:rsidR="005E1452" w:rsidRPr="00273106">
        <w:rPr>
          <w:i/>
        </w:rPr>
        <w:t>obiectum</w:t>
      </w:r>
      <w:r w:rsidR="005E1452" w:rsidRPr="00273106">
        <w:t xml:space="preserve"> teologického a filosofického poznání. </w:t>
      </w:r>
      <w:r w:rsidR="08C15DFB">
        <w:t xml:space="preserve">První averroismus nemohl tolerovat ve filosofii přímý náhled do boží esence, protože takový náhled existuje pouze v prorocké nebo mystické zkušenosti. </w:t>
      </w:r>
      <w:r w:rsidR="005E1452" w:rsidRPr="00273106">
        <w:t>Oba směry měly ro</w:t>
      </w:r>
      <w:r w:rsidR="00CD0FC6">
        <w:t>zdílné pojetí pravdy, poznání, smyslu jsoucna</w:t>
      </w:r>
      <w:r w:rsidR="00932EDB">
        <w:fldChar w:fldCharType="begin"/>
      </w:r>
      <w:r w:rsidR="00932EDB">
        <w:instrText xml:space="preserve"> XE "</w:instrText>
      </w:r>
      <w:r w:rsidR="00932EDB" w:rsidRPr="0095448B">
        <w:instrText>teorie dvojí pravdy</w:instrText>
      </w:r>
      <w:r w:rsidR="00932EDB">
        <w:instrText xml:space="preserve">" </w:instrText>
      </w:r>
      <w:r w:rsidR="00932EDB">
        <w:fldChar w:fldCharType="end"/>
      </w:r>
      <w:r w:rsidR="00F35519">
        <w:t xml:space="preserve">. Představitelé obou škol </w:t>
      </w:r>
      <w:r w:rsidR="00CD0FC6">
        <w:t xml:space="preserve">neviděli stejným způsobem boží podstatu, což </w:t>
      </w:r>
      <w:r w:rsidR="00F35519">
        <w:t xml:space="preserve">představovalo pro církevní hierarchii </w:t>
      </w:r>
      <w:r w:rsidR="00CD0FC6">
        <w:t>kardinální problém</w:t>
      </w:r>
      <w:r w:rsidR="00733D06">
        <w:t xml:space="preserve"> po </w:t>
      </w:r>
      <w:r w:rsidR="00F35519">
        <w:t xml:space="preserve">roce </w:t>
      </w:r>
      <w:r w:rsidR="00733D06">
        <w:t>1270</w:t>
      </w:r>
      <w:r w:rsidR="00F53982">
        <w:t>.</w:t>
      </w:r>
    </w:p>
    <w:p w14:paraId="2EF8CBCC" w14:textId="77777777" w:rsidR="004B7455" w:rsidRDefault="08D3080C" w:rsidP="08762E26">
      <w:r>
        <w:tab/>
      </w:r>
      <w:r w:rsidR="000738AE" w:rsidRPr="00273106">
        <w:t>Hermeneutika objektivity ukazuje vznik averroismu konfliktním vztahem prvního a druhého averroismu</w:t>
      </w:r>
      <w:r w:rsidR="00E44602">
        <w:t xml:space="preserve"> do </w:t>
      </w:r>
      <w:r w:rsidR="00FD28D9">
        <w:t xml:space="preserve">roku </w:t>
      </w:r>
      <w:r w:rsidR="000738AE" w:rsidRPr="00273106">
        <w:t>1250</w:t>
      </w:r>
      <w:r w:rsidR="00E44602">
        <w:t>. Kontroverze se j</w:t>
      </w:r>
      <w:r w:rsidR="000738AE" w:rsidRPr="00273106">
        <w:t>inak odvíjel</w:t>
      </w:r>
      <w:r w:rsidR="00E44602">
        <w:t>y</w:t>
      </w:r>
      <w:r w:rsidR="000738AE" w:rsidRPr="00273106">
        <w:t xml:space="preserve"> v Oxfordu a jinak v Paříži.</w:t>
      </w:r>
      <w:r w:rsidR="007E4CB7">
        <w:t xml:space="preserve"> </w:t>
      </w:r>
      <w:r w:rsidR="00C16D55" w:rsidRPr="00273106">
        <w:t xml:space="preserve">Kilwardby i </w:t>
      </w:r>
      <w:r w:rsidR="0060686B">
        <w:t>Rufus společně studovali</w:t>
      </w:r>
      <w:r w:rsidR="00C16D55" w:rsidRPr="00273106">
        <w:t xml:space="preserve"> </w:t>
      </w:r>
      <w:r w:rsidR="003E6137">
        <w:t xml:space="preserve">několik let </w:t>
      </w:r>
      <w:r w:rsidR="00C16D55" w:rsidRPr="00273106">
        <w:t>v Paříži, kde do smrti kancléře Alverna vládl první averroismus</w:t>
      </w:r>
      <w:r w:rsidR="003E6137">
        <w:t>, ale oba museli tuto školu za působ</w:t>
      </w:r>
      <w:r w:rsidR="002235C0">
        <w:t xml:space="preserve">ení biskupa Alverna s velkou pravděpodobností opustit. </w:t>
      </w:r>
      <w:r w:rsidR="002235C0" w:rsidRPr="00273106">
        <w:t xml:space="preserve">Moderní sofismata </w:t>
      </w:r>
      <w:r w:rsidR="00E44602">
        <w:t xml:space="preserve">byla </w:t>
      </w:r>
      <w:r w:rsidR="002235C0" w:rsidRPr="00273106">
        <w:t xml:space="preserve">ve zřejmém rozporu s textem </w:t>
      </w:r>
      <w:r w:rsidR="002235C0" w:rsidRPr="003E6137">
        <w:rPr>
          <w:i/>
        </w:rPr>
        <w:t>Druhých analytik</w:t>
      </w:r>
      <w:r w:rsidR="002235C0" w:rsidRPr="00273106">
        <w:t xml:space="preserve"> a </w:t>
      </w:r>
      <w:r w:rsidR="002235C0" w:rsidRPr="00273106">
        <w:rPr>
          <w:i/>
        </w:rPr>
        <w:t>De anima</w:t>
      </w:r>
      <w:r w:rsidR="00394321">
        <w:t>. Tyto nauky byly</w:t>
      </w:r>
      <w:r w:rsidR="00E44602">
        <w:t xml:space="preserve"> </w:t>
      </w:r>
      <w:r w:rsidR="002235C0">
        <w:t>zásadně odmít</w:t>
      </w:r>
      <w:r w:rsidR="00E44602">
        <w:t xml:space="preserve">nuty </w:t>
      </w:r>
      <w:r w:rsidR="002235C0" w:rsidRPr="00273106">
        <w:t xml:space="preserve">na zdejší </w:t>
      </w:r>
      <w:r w:rsidR="002235C0" w:rsidRPr="00273106">
        <w:rPr>
          <w:i/>
        </w:rPr>
        <w:t>alma mater</w:t>
      </w:r>
      <w:r w:rsidR="002235C0" w:rsidRPr="00273106">
        <w:t xml:space="preserve"> do </w:t>
      </w:r>
      <w:r w:rsidR="085A2DA8">
        <w:t xml:space="preserve">roku </w:t>
      </w:r>
      <w:r w:rsidR="002235C0" w:rsidRPr="00273106">
        <w:t xml:space="preserve">1250. </w:t>
      </w:r>
      <w:r w:rsidR="0089292F">
        <w:t xml:space="preserve">Po smrti biskupa Alverna nastala jiná situace a přišla hvězdná hodina Bonaventurovy modernistické školy, která vyšla z akademického podzemí do plné dějinné působnosti. Hlavní překážkou modernismu bylo odsouzení </w:t>
      </w:r>
      <w:r w:rsidR="00C16D55" w:rsidRPr="00273106">
        <w:t xml:space="preserve">odděleného </w:t>
      </w:r>
      <w:r w:rsidR="009016A9" w:rsidRPr="00273106">
        <w:rPr>
          <w:i/>
        </w:rPr>
        <w:t>intellectus agens</w:t>
      </w:r>
      <w:r w:rsidR="009016A9" w:rsidRPr="00273106">
        <w:t xml:space="preserve"> působícího externě na člověka</w:t>
      </w:r>
      <w:r w:rsidR="00E534FF">
        <w:t xml:space="preserve">. </w:t>
      </w:r>
      <w:r w:rsidR="002143AB">
        <w:t>N</w:t>
      </w:r>
      <w:r w:rsidR="002143AB" w:rsidRPr="00273106">
        <w:t>a akademickém shromáždění Pařížské univerzity</w:t>
      </w:r>
      <w:r w:rsidR="002143AB">
        <w:t xml:space="preserve"> Alvernus t</w:t>
      </w:r>
      <w:r w:rsidR="004B154F" w:rsidRPr="00273106">
        <w:t>uto na</w:t>
      </w:r>
      <w:r w:rsidR="00E720A1">
        <w:t xml:space="preserve">uku </w:t>
      </w:r>
      <w:r w:rsidR="0089292F">
        <w:t>odmítl jako heretickou</w:t>
      </w:r>
      <w:r w:rsidR="00C16D55" w:rsidRPr="00273106">
        <w:t xml:space="preserve">. </w:t>
      </w:r>
      <w:r w:rsidR="00E66C0A" w:rsidRPr="00E66C0A">
        <w:t>Proto byl Averroes obviněn z vnějšího vlivu kosmického intelektu</w:t>
      </w:r>
      <w:r w:rsidR="00E66C0A">
        <w:t xml:space="preserve"> na lidský intelekt. Jeho simulák</w:t>
      </w:r>
      <w:r w:rsidR="00E66C0A" w:rsidRPr="00E66C0A">
        <w:t xml:space="preserve">rum se stalo akademickým obětním beránkem, který na sebe vzal všechny hříchy a omyly </w:t>
      </w:r>
      <w:r w:rsidR="00E66C0A" w:rsidRPr="00E66C0A">
        <w:rPr>
          <w:i/>
        </w:rPr>
        <w:t>Modernorum</w:t>
      </w:r>
      <w:r w:rsidR="00E66C0A" w:rsidRPr="00E66C0A">
        <w:t xml:space="preserve"> a nese je dodnes.</w:t>
      </w:r>
      <w:r w:rsidR="00E66C0A">
        <w:t xml:space="preserve"> </w:t>
      </w:r>
      <w:r w:rsidR="0082476A">
        <w:t xml:space="preserve">Napadat arabského Komentátora jako křesťanského heretika bylo </w:t>
      </w:r>
      <w:r w:rsidR="009B05B2">
        <w:t xml:space="preserve">v Paříži </w:t>
      </w:r>
      <w:r w:rsidR="0082476A">
        <w:t xml:space="preserve">nemyslitelné </w:t>
      </w:r>
      <w:r w:rsidR="009B05B2">
        <w:t xml:space="preserve">až </w:t>
      </w:r>
      <w:r w:rsidR="0089292F">
        <w:t>do roku 1250</w:t>
      </w:r>
      <w:r w:rsidR="009B05B2">
        <w:t>, protože univerzitu</w:t>
      </w:r>
      <w:r w:rsidR="0089292F">
        <w:t xml:space="preserve"> ovláda</w:t>
      </w:r>
      <w:r w:rsidR="009B05B2">
        <w:t xml:space="preserve">lo </w:t>
      </w:r>
      <w:r w:rsidR="0089292F">
        <w:t>kritick</w:t>
      </w:r>
      <w:r w:rsidR="009B05B2">
        <w:t xml:space="preserve">é </w:t>
      </w:r>
      <w:r w:rsidR="0089292F">
        <w:t>myšlení</w:t>
      </w:r>
      <w:r w:rsidR="009B05B2">
        <w:t xml:space="preserve"> dané</w:t>
      </w:r>
      <w:r w:rsidR="0089292F">
        <w:t xml:space="preserve"> </w:t>
      </w:r>
      <w:r w:rsidR="082F2D63">
        <w:rPr>
          <w:i/>
        </w:rPr>
        <w:t>ad mentem Averrois</w:t>
      </w:r>
      <w:r w:rsidR="082515AA">
        <w:rPr>
          <w:i/>
        </w:rPr>
        <w:fldChar w:fldCharType="begin"/>
      </w:r>
      <w:r w:rsidR="082515AA">
        <w:instrText xml:space="preserve"> XE "</w:instrText>
      </w:r>
      <w:r w:rsidR="082F2D63">
        <w:rPr>
          <w:i/>
        </w:rPr>
        <w:instrText>ad mentem Averrois</w:instrText>
      </w:r>
      <w:r w:rsidR="082515AA">
        <w:instrText xml:space="preserve">" </w:instrText>
      </w:r>
      <w:r w:rsidR="082515AA">
        <w:rPr>
          <w:i/>
        </w:rPr>
        <w:fldChar w:fldCharType="end"/>
      </w:r>
      <w:r w:rsidR="0089292F">
        <w:t xml:space="preserve"> podle Sicilské školy</w:t>
      </w:r>
      <w:r w:rsidR="0089292F">
        <w:fldChar w:fldCharType="begin"/>
      </w:r>
      <w:r w:rsidR="0089292F">
        <w:instrText xml:space="preserve"> XE "</w:instrText>
      </w:r>
      <w:r w:rsidR="004A155A">
        <w:instrText>Sicilská škola</w:instrText>
      </w:r>
      <w:r w:rsidR="0089292F">
        <w:instrText xml:space="preserve">" </w:instrText>
      </w:r>
      <w:r w:rsidR="0089292F">
        <w:fldChar w:fldCharType="end"/>
      </w:r>
      <w:r w:rsidR="00D243A2">
        <w:t>. Averro</w:t>
      </w:r>
      <w:r w:rsidR="0089292F">
        <w:t xml:space="preserve">isté jako Rufus a Kilwardby museli odejít </w:t>
      </w:r>
      <w:r w:rsidR="00D243A2">
        <w:t xml:space="preserve">z Pařížské univerzity </w:t>
      </w:r>
      <w:r w:rsidR="0089292F">
        <w:t>zpět do Oxfordu</w:t>
      </w:r>
      <w:r w:rsidR="00D243A2">
        <w:t>, kde vítězně dokončili svou kariéru</w:t>
      </w:r>
      <w:r w:rsidR="001A3A32">
        <w:t xml:space="preserve"> v akademických a církevních funkcích</w:t>
      </w:r>
      <w:r w:rsidR="0089292F">
        <w:t xml:space="preserve">. </w:t>
      </w:r>
      <w:r w:rsidR="08B21815">
        <w:t>Po nich se totéž stalo i Pechamovi, který roku 1271 neustál kritiku Akvinského a Sigera</w:t>
      </w:r>
      <w:r w:rsidR="08B21815" w:rsidRPr="00273106">
        <w:t xml:space="preserve">. </w:t>
      </w:r>
      <w:r w:rsidR="08B21815">
        <w:t xml:space="preserve">A nakonec odchází </w:t>
      </w:r>
      <w:r w:rsidR="00F91DF6">
        <w:t>o rok později z</w:t>
      </w:r>
      <w:r w:rsidR="08B21815">
        <w:t xml:space="preserve"> Paříže i Akvinský, který neustál kritiku Sigerovců na Rue du Fouarre a </w:t>
      </w:r>
      <w:r w:rsidR="006E6155">
        <w:t xml:space="preserve">mendikantských </w:t>
      </w:r>
      <w:r w:rsidR="08B21815">
        <w:t>modernistů</w:t>
      </w:r>
      <w:r w:rsidR="00756D10">
        <w:t xml:space="preserve"> okolo Pechama</w:t>
      </w:r>
      <w:r w:rsidR="006E6155">
        <w:t xml:space="preserve">. </w:t>
      </w:r>
      <w:r w:rsidR="00BC375D">
        <w:t xml:space="preserve">Obě skupiny </w:t>
      </w:r>
      <w:r w:rsidR="08B21815">
        <w:t>odm</w:t>
      </w:r>
      <w:r w:rsidR="00BC375D">
        <w:t>ítly</w:t>
      </w:r>
      <w:r w:rsidR="005024F0">
        <w:t xml:space="preserve"> jeho </w:t>
      </w:r>
      <w:r w:rsidR="08B21815">
        <w:t>semiaverroismus z pozice prvního a druhého averroismu (</w:t>
      </w:r>
      <w:r w:rsidR="088C014F">
        <w:t>OBJ III, kap. 4</w:t>
      </w:r>
      <w:r w:rsidR="08B21815">
        <w:t xml:space="preserve">.4.3). </w:t>
      </w:r>
      <w:r w:rsidR="004B154F" w:rsidRPr="00273106">
        <w:t xml:space="preserve">Je třeba zdůraznit, že smířlivý William z Auvergne odsouzení </w:t>
      </w:r>
      <w:r w:rsidR="0087441C">
        <w:t xml:space="preserve">modernistů </w:t>
      </w:r>
      <w:r w:rsidR="08682800">
        <w:t>nepojal nijak radikálně</w:t>
      </w:r>
      <w:r w:rsidR="004B154F" w:rsidRPr="00273106">
        <w:t xml:space="preserve">, což bylo pro začínající druhý averroismus </w:t>
      </w:r>
      <w:r w:rsidR="004F2598">
        <w:t xml:space="preserve">klíčové </w:t>
      </w:r>
      <w:r w:rsidR="00AA1BEE">
        <w:t xml:space="preserve">(a zcela osudové) </w:t>
      </w:r>
      <w:r w:rsidR="004B154F" w:rsidRPr="00273106">
        <w:t xml:space="preserve">rozhodnutí. </w:t>
      </w:r>
      <w:r w:rsidR="08FF1654">
        <w:t xml:space="preserve">Alvernus respektoval jako </w:t>
      </w:r>
      <w:r w:rsidR="0800093B">
        <w:t xml:space="preserve">znalec </w:t>
      </w:r>
      <w:r w:rsidR="0800093B" w:rsidRPr="0800093B">
        <w:rPr>
          <w:i/>
        </w:rPr>
        <w:t>Druhých analytik</w:t>
      </w:r>
      <w:r w:rsidR="0800093B">
        <w:t xml:space="preserve"> </w:t>
      </w:r>
      <w:r w:rsidR="08FF1654">
        <w:t xml:space="preserve">dvojí cestu  k pravdě </w:t>
      </w:r>
      <w:r w:rsidR="0800093B">
        <w:t xml:space="preserve">danou generickou odlišností teologie a filosofie. Proto </w:t>
      </w:r>
      <w:r w:rsidR="08FF1654">
        <w:t xml:space="preserve">odmítl </w:t>
      </w:r>
      <w:r w:rsidR="08BB5D0C">
        <w:t xml:space="preserve">v biskupské a kancléřské funkci </w:t>
      </w:r>
      <w:r w:rsidR="08FF1654">
        <w:t xml:space="preserve">pouze ty nauky </w:t>
      </w:r>
      <w:r w:rsidR="08FF1654" w:rsidRPr="08FF1654">
        <w:rPr>
          <w:i/>
        </w:rPr>
        <w:t>Modernorum</w:t>
      </w:r>
      <w:r w:rsidR="08FF1654">
        <w:t xml:space="preserve">, které přímo hrožovaly křesťanské pojetí boha a člověka. </w:t>
      </w:r>
      <w:r w:rsidR="00C16D55" w:rsidRPr="00273106">
        <w:t xml:space="preserve">Zlatá doba moderny začíná až po návratu </w:t>
      </w:r>
      <w:r w:rsidR="002174E5" w:rsidRPr="00273106">
        <w:t xml:space="preserve">obou latinských sofistů </w:t>
      </w:r>
      <w:r w:rsidR="00C16D55" w:rsidRPr="00273106">
        <w:t xml:space="preserve">na Oxford, což popsal Bacon v případě </w:t>
      </w:r>
      <w:r w:rsidR="088C014F">
        <w:t>Rufuse (kap. 3</w:t>
      </w:r>
      <w:r w:rsidR="00C16D55" w:rsidRPr="00273106">
        <w:t xml:space="preserve">.2). </w:t>
      </w:r>
      <w:r w:rsidR="00BA34AC" w:rsidRPr="00273106">
        <w:t xml:space="preserve">Rufus začal na Oxfordu přednášet </w:t>
      </w:r>
      <w:r w:rsidR="00341857" w:rsidRPr="00273106">
        <w:t>podle svědectví Bacona od 1250</w:t>
      </w:r>
      <w:r w:rsidR="005C18D0">
        <w:t>. V</w:t>
      </w:r>
      <w:r w:rsidR="0087441C">
        <w:t xml:space="preserve"> též</w:t>
      </w:r>
      <w:r w:rsidR="005C18D0">
        <w:t>e době zde Kilwardby představil</w:t>
      </w:r>
      <w:r w:rsidR="0087441C">
        <w:t xml:space="preserve"> nové místo věd podle upravené metafyziky </w:t>
      </w:r>
      <w:r w:rsidR="0087441C" w:rsidRPr="0087441C">
        <w:rPr>
          <w:i/>
        </w:rPr>
        <w:t>Modernorum</w:t>
      </w:r>
      <w:r w:rsidR="00341857" w:rsidRPr="00273106">
        <w:t xml:space="preserve">. </w:t>
      </w:r>
      <w:r w:rsidR="0087441C">
        <w:t xml:space="preserve">Po smrti </w:t>
      </w:r>
      <w:r w:rsidR="0087441C" w:rsidRPr="00273106">
        <w:t>biskup</w:t>
      </w:r>
      <w:r w:rsidR="0087441C">
        <w:t>a</w:t>
      </w:r>
      <w:r w:rsidR="0087441C" w:rsidRPr="00273106">
        <w:t xml:space="preserve"> Alvern</w:t>
      </w:r>
      <w:r w:rsidR="0087441C">
        <w:t xml:space="preserve">a </w:t>
      </w:r>
      <w:r w:rsidR="00BA34AC" w:rsidRPr="00273106">
        <w:t xml:space="preserve">začalo vítězné tažení </w:t>
      </w:r>
      <w:r w:rsidR="00BA34AC" w:rsidRPr="00273106">
        <w:rPr>
          <w:i/>
        </w:rPr>
        <w:t>Modernorum</w:t>
      </w:r>
      <w:r w:rsidR="00BA34AC" w:rsidRPr="00273106">
        <w:t xml:space="preserve"> </w:t>
      </w:r>
      <w:r w:rsidR="0087441C">
        <w:t xml:space="preserve">i v </w:t>
      </w:r>
      <w:r w:rsidR="00BA34AC" w:rsidRPr="00273106">
        <w:t>Paříž</w:t>
      </w:r>
      <w:r w:rsidR="0087441C">
        <w:t>i</w:t>
      </w:r>
      <w:r w:rsidR="00452EBC">
        <w:t xml:space="preserve">. </w:t>
      </w:r>
      <w:r w:rsidR="00D95BEA" w:rsidRPr="00273106">
        <w:t xml:space="preserve">Druhý averroismus pokračoval v Paříži skrze Bonaventurovu školu redakci </w:t>
      </w:r>
      <w:r w:rsidR="00D95BEA" w:rsidRPr="00273106">
        <w:rPr>
          <w:i/>
        </w:rPr>
        <w:t>Summa Halensis</w:t>
      </w:r>
      <w:r w:rsidR="00D95BEA">
        <w:rPr>
          <w:i/>
        </w:rPr>
        <w:fldChar w:fldCharType="begin"/>
      </w:r>
      <w:r w:rsidR="00D95BEA">
        <w:instrText xml:space="preserve"> XE "</w:instrText>
      </w:r>
      <w:r w:rsidR="00D95BEA" w:rsidRPr="00F14A6F">
        <w:rPr>
          <w:i/>
        </w:rPr>
        <w:instrText>Summa Halensis</w:instrText>
      </w:r>
      <w:r w:rsidR="00D95BEA">
        <w:instrText xml:space="preserve">" </w:instrText>
      </w:r>
      <w:r w:rsidR="00D95BEA">
        <w:rPr>
          <w:i/>
        </w:rPr>
        <w:fldChar w:fldCharType="end"/>
      </w:r>
      <w:r w:rsidR="00D95BEA" w:rsidRPr="00273106">
        <w:t xml:space="preserve"> (1240‒56). Zde došlo k rozhodující fůzi mezi oxfordskými modernisty a pařížskými averroisty v době, kdy zde Rufus působil jako regent františkánských bakalářů a přednášel své Sentence, které vypracováv</w:t>
      </w:r>
      <w:r w:rsidR="00EC2FA9">
        <w:t>al společně s Bonaventurou (</w:t>
      </w:r>
      <w:r w:rsidR="00D95BEA" w:rsidRPr="00273106">
        <w:t xml:space="preserve">1253‒56). </w:t>
      </w:r>
      <w:r w:rsidR="082E51A3">
        <w:t xml:space="preserve">Oxfordští modernisté se spojili s Bonaventurovou školou založenou Alexandrem Halským, která vyšla z babylonského zajetí kritické filosofie a konečně se osvobodila od akademického poručníkování prvního averroismu. </w:t>
      </w:r>
      <w:r w:rsidR="008549C4" w:rsidRPr="008549C4">
        <w:t>Pařížský útok Bonaventury na Averroesovu metafyziku následoval předchozí útoky Rufuse a Kilwardbyho, ke kterým došlo v Oxfordu.</w:t>
      </w:r>
      <w:r w:rsidR="008549C4">
        <w:t xml:space="preserve"> </w:t>
      </w:r>
      <w:r w:rsidR="008B66BE" w:rsidRPr="008B66BE">
        <w:t xml:space="preserve">Druhý averroismus se stal samostatnou školou, když se pařížští sofisté pod vedením Bonaventury připojili ke svým oxfordským kolegům. Oba </w:t>
      </w:r>
      <w:r w:rsidR="008B66BE">
        <w:t>směry přijaly</w:t>
      </w:r>
      <w:r w:rsidR="008B66BE" w:rsidRPr="008B66BE">
        <w:t xml:space="preserve"> analytickou filozofii Ruf</w:t>
      </w:r>
      <w:r w:rsidR="008B66BE">
        <w:t>use</w:t>
      </w:r>
      <w:r w:rsidR="008B66BE" w:rsidRPr="008B66BE">
        <w:t xml:space="preserve"> a Kilwardbyho.</w:t>
      </w:r>
      <w:r w:rsidR="008B66BE">
        <w:t xml:space="preserve"> Tato </w:t>
      </w:r>
      <w:r w:rsidR="00C16D55" w:rsidRPr="00273106">
        <w:t>fůze je datovatelná vznikem komentáře k Sentencím jak Rufuse tak Bonaventury během jejich magisterských studií v Paříži</w:t>
      </w:r>
      <w:r w:rsidR="00D24AC4">
        <w:t xml:space="preserve"> v letech </w:t>
      </w:r>
      <w:r w:rsidR="004B7455">
        <w:t>1252‒56.</w:t>
      </w:r>
    </w:p>
    <w:p w14:paraId="420A043B" w14:textId="2C770C47" w:rsidR="00EA5ED4" w:rsidRDefault="004B7455" w:rsidP="004B7455">
      <w:pPr>
        <w:ind w:firstLine="397"/>
      </w:pPr>
      <w:r>
        <w:t xml:space="preserve">Nyní je zcela pochopitelné, proč právě v této době vypukl </w:t>
      </w:r>
      <w:r w:rsidR="08160AD6">
        <w:t xml:space="preserve">tvrdý konflikt akademických mendikantů a sekulárních magistrů na Pařížské univerzitě. </w:t>
      </w:r>
      <w:r w:rsidR="00C43D0E" w:rsidRPr="00273106">
        <w:t>Centrem začínající moderny se stala katedra mendikantských řádů, která byla zřízen</w:t>
      </w:r>
      <w:r w:rsidR="087932B5">
        <w:t xml:space="preserve">a na Pařížské univerzitě bulou </w:t>
      </w:r>
      <w:r w:rsidR="00C43D0E" w:rsidRPr="00273106">
        <w:rPr>
          <w:i/>
        </w:rPr>
        <w:t>Quasi lignum vitae</w:t>
      </w:r>
      <w:r w:rsidR="00C43D0E" w:rsidRPr="00273106">
        <w:t xml:space="preserve"> od papeže Alexandra IV. (1255). Tímto datem oficiálně vznikla moderna na akademické půdě v Paříži. </w:t>
      </w:r>
      <w:r w:rsidR="00C43D0E">
        <w:t>Magistr Guillelmus</w:t>
      </w:r>
      <w:r w:rsidR="00C43D0E" w:rsidRPr="00E735C5">
        <w:t xml:space="preserve"> de </w:t>
      </w:r>
      <w:r w:rsidR="00C43D0E" w:rsidRPr="00E735C5">
        <w:rPr>
          <w:szCs w:val="16"/>
        </w:rPr>
        <w:t xml:space="preserve">Sancto </w:t>
      </w:r>
      <w:r w:rsidR="00C43D0E" w:rsidRPr="00E735C5">
        <w:rPr>
          <w:szCs w:val="19"/>
        </w:rPr>
        <w:t>Amore</w:t>
      </w:r>
      <w:r w:rsidR="00C43D0E">
        <w:rPr>
          <w:szCs w:val="19"/>
        </w:rPr>
        <w:fldChar w:fldCharType="begin"/>
      </w:r>
      <w:r w:rsidR="00C43D0E">
        <w:instrText xml:space="preserve"> XE "</w:instrText>
      </w:r>
      <w:r w:rsidR="00C43D0E" w:rsidRPr="003B256A">
        <w:instrText xml:space="preserve"> </w:instrText>
      </w:r>
      <w:r w:rsidR="00C43D0E">
        <w:instrText>Guillelmus</w:instrText>
      </w:r>
      <w:r w:rsidR="00C43D0E" w:rsidRPr="00E51395">
        <w:instrText xml:space="preserve"> de Sancto Amore</w:instrText>
      </w:r>
      <w:r w:rsidR="00C43D0E">
        <w:instrText xml:space="preserve">" </w:instrText>
      </w:r>
      <w:r w:rsidR="00C43D0E">
        <w:rPr>
          <w:szCs w:val="19"/>
        </w:rPr>
        <w:fldChar w:fldCharType="end"/>
      </w:r>
      <w:r w:rsidR="00C43D0E">
        <w:rPr>
          <w:szCs w:val="19"/>
        </w:rPr>
        <w:t xml:space="preserve"> </w:t>
      </w:r>
      <w:r w:rsidR="00C43D0E">
        <w:t xml:space="preserve">byl </w:t>
      </w:r>
      <w:r w:rsidR="00C43D0E">
        <w:fldChar w:fldCharType="begin"/>
      </w:r>
      <w:r w:rsidR="00C43D0E">
        <w:instrText xml:space="preserve"> XE "</w:instrText>
      </w:r>
      <w:r w:rsidR="00C43D0E" w:rsidRPr="00256659">
        <w:instrText>Nicolas de Lisieux</w:instrText>
      </w:r>
      <w:r w:rsidR="00C43D0E">
        <w:instrText xml:space="preserve">" </w:instrText>
      </w:r>
      <w:r w:rsidR="00C43D0E">
        <w:fldChar w:fldCharType="end"/>
      </w:r>
      <w:r w:rsidR="00C43D0E">
        <w:t xml:space="preserve">odvolán z univerzity a z funkce rektora v době, kdy modernista Rufus dostal na této </w:t>
      </w:r>
      <w:r w:rsidR="00C43D0E" w:rsidRPr="000E4E3D">
        <w:rPr>
          <w:i/>
        </w:rPr>
        <w:t>alma mater</w:t>
      </w:r>
      <w:r w:rsidR="082E51A3">
        <w:t xml:space="preserve"> magisterskou hodnost</w:t>
      </w:r>
      <w:r w:rsidR="00C43D0E">
        <w:t xml:space="preserve">. </w:t>
      </w:r>
      <w:r w:rsidR="087A45D0" w:rsidRPr="00273106">
        <w:t xml:space="preserve">Rufus se stává magistrem teologie </w:t>
      </w:r>
      <w:r w:rsidR="087A45D0">
        <w:t xml:space="preserve">asi roku </w:t>
      </w:r>
      <w:r w:rsidR="087A45D0" w:rsidRPr="00273106">
        <w:t xml:space="preserve">1256 a Bonaventura </w:t>
      </w:r>
      <w:r w:rsidR="087A45D0">
        <w:t xml:space="preserve">roku 1257. </w:t>
      </w:r>
      <w:r w:rsidR="08901C2D">
        <w:t xml:space="preserve">Oba františkánští modernisté dostávají plnou </w:t>
      </w:r>
      <w:r w:rsidR="08901C2D" w:rsidRPr="00273106">
        <w:rPr>
          <w:i/>
        </w:rPr>
        <w:t>licentia docendi</w:t>
      </w:r>
      <w:r w:rsidR="08901C2D" w:rsidRPr="00273106">
        <w:t xml:space="preserve"> </w:t>
      </w:r>
      <w:r w:rsidR="08901C2D">
        <w:t xml:space="preserve">a oba působí </w:t>
      </w:r>
      <w:r w:rsidR="08901C2D" w:rsidRPr="00273106">
        <w:t>v</w:t>
      </w:r>
      <w:r w:rsidR="08901C2D">
        <w:t> </w:t>
      </w:r>
      <w:r w:rsidR="08901C2D" w:rsidRPr="00273106">
        <w:t>Paříži</w:t>
      </w:r>
      <w:r w:rsidR="08901C2D">
        <w:t xml:space="preserve"> na nově vzniklé baště modernistů</w:t>
      </w:r>
      <w:r w:rsidR="08901C2D" w:rsidRPr="00273106">
        <w:t xml:space="preserve">. </w:t>
      </w:r>
      <w:r w:rsidR="08DF4C57">
        <w:t xml:space="preserve">Není náhodou, že hlavní krize mezi mendikanty sekulárními magistry vypukla právě v této době. </w:t>
      </w:r>
      <w:r w:rsidR="08D3080C">
        <w:t>Nejpozději r</w:t>
      </w:r>
      <w:r w:rsidR="083113E5">
        <w:t xml:space="preserve">oku 1255 nařídili aristotelští magistři na Rue du Fouarre povinné studium spisu </w:t>
      </w:r>
      <w:r w:rsidR="083113E5" w:rsidRPr="00E702A7">
        <w:rPr>
          <w:i/>
        </w:rPr>
        <w:t>De anima</w:t>
      </w:r>
      <w:r w:rsidR="083113E5">
        <w:t xml:space="preserve">, který se dostal na závazné kurikulum artistické fakulty. </w:t>
      </w:r>
      <w:r w:rsidR="084145FE">
        <w:t xml:space="preserve">Magistři z Rue du Fouarre pozitivně odpověděli zavedením výkladu </w:t>
      </w:r>
      <w:r w:rsidR="084145FE" w:rsidRPr="00086BFE">
        <w:rPr>
          <w:i/>
        </w:rPr>
        <w:t xml:space="preserve">De anima </w:t>
      </w:r>
      <w:r w:rsidR="084145FE">
        <w:t xml:space="preserve">na sofistiku učených Latiníků ze školy druhého averroismu. </w:t>
      </w:r>
      <w:r w:rsidR="08C71F3F">
        <w:t xml:space="preserve">Boj za pravdivý výklad </w:t>
      </w:r>
      <w:r w:rsidR="08C71F3F" w:rsidRPr="002C6F9E">
        <w:rPr>
          <w:i/>
        </w:rPr>
        <w:t>De anima</w:t>
      </w:r>
      <w:r w:rsidR="08C71F3F">
        <w:t xml:space="preserve"> v linii biskupa Alverna bylo asi poslední rozhodnutí Guillelma</w:t>
      </w:r>
      <w:r w:rsidR="08C71F3F" w:rsidRPr="00E735C5">
        <w:t xml:space="preserve"> de </w:t>
      </w:r>
      <w:r w:rsidR="08C71F3F" w:rsidRPr="00E735C5">
        <w:rPr>
          <w:szCs w:val="16"/>
        </w:rPr>
        <w:t xml:space="preserve">Sancto </w:t>
      </w:r>
      <w:r w:rsidR="08C71F3F" w:rsidRPr="00E735C5">
        <w:rPr>
          <w:szCs w:val="19"/>
        </w:rPr>
        <w:t>Amore</w:t>
      </w:r>
      <w:r w:rsidR="00180A87">
        <w:rPr>
          <w:szCs w:val="19"/>
        </w:rPr>
        <w:t xml:space="preserve"> </w:t>
      </w:r>
      <w:r w:rsidR="00180A87" w:rsidRPr="00180A87">
        <w:rPr>
          <w:szCs w:val="19"/>
        </w:rPr>
        <w:t>jako rektora univerzity. Siger z Brabantu jak</w:t>
      </w:r>
      <w:r w:rsidR="00180A87">
        <w:rPr>
          <w:szCs w:val="19"/>
        </w:rPr>
        <w:t>o poslední aristotelský rektor P</w:t>
      </w:r>
      <w:r w:rsidR="00180A87" w:rsidRPr="00180A87">
        <w:rPr>
          <w:szCs w:val="19"/>
        </w:rPr>
        <w:t xml:space="preserve">ařížské univerzity následoval kroky svých předchůdců a </w:t>
      </w:r>
      <w:r w:rsidR="00180A87">
        <w:rPr>
          <w:szCs w:val="19"/>
        </w:rPr>
        <w:t>brilantně nap</w:t>
      </w:r>
      <w:r w:rsidR="00180A87" w:rsidRPr="00180A87">
        <w:rPr>
          <w:szCs w:val="19"/>
        </w:rPr>
        <w:t xml:space="preserve">lnil </w:t>
      </w:r>
      <w:r w:rsidR="00180A87">
        <w:rPr>
          <w:szCs w:val="19"/>
        </w:rPr>
        <w:t xml:space="preserve">smysl klasické </w:t>
      </w:r>
      <w:r w:rsidR="00180A87" w:rsidRPr="00180A87">
        <w:rPr>
          <w:szCs w:val="19"/>
        </w:rPr>
        <w:t xml:space="preserve">filosofie </w:t>
      </w:r>
      <w:r w:rsidR="00180A87" w:rsidRPr="00180A87">
        <w:rPr>
          <w:i/>
          <w:szCs w:val="19"/>
        </w:rPr>
        <w:t>ad mentem Averrois</w:t>
      </w:r>
      <w:r w:rsidR="00180A87" w:rsidRPr="00180A87">
        <w:rPr>
          <w:szCs w:val="19"/>
        </w:rPr>
        <w:t>.</w:t>
      </w:r>
      <w:r w:rsidR="00180A87">
        <w:rPr>
          <w:szCs w:val="19"/>
        </w:rPr>
        <w:t xml:space="preserve"> S </w:t>
      </w:r>
      <w:r w:rsidR="08920021">
        <w:t xml:space="preserve">rektorem </w:t>
      </w:r>
      <w:r w:rsidR="082E2434">
        <w:t>W</w:t>
      </w:r>
      <w:r w:rsidR="08E03372">
        <w:t xml:space="preserve">ilhelmem </w:t>
      </w:r>
      <w:r w:rsidR="08920021">
        <w:t>asi odešli dříve nebo později i jeho žáci Gérard d'Abbeville</w:t>
      </w:r>
      <w:r w:rsidR="08920021">
        <w:fldChar w:fldCharType="begin"/>
      </w:r>
      <w:r w:rsidR="08920021">
        <w:instrText xml:space="preserve"> XE "</w:instrText>
      </w:r>
      <w:r w:rsidR="08920021" w:rsidRPr="00E57453">
        <w:instrText>Gérard d'Abbeville</w:instrText>
      </w:r>
      <w:r w:rsidR="08920021">
        <w:instrText xml:space="preserve">" </w:instrText>
      </w:r>
      <w:r w:rsidR="08920021">
        <w:fldChar w:fldCharType="end"/>
      </w:r>
      <w:r w:rsidR="08920021">
        <w:t xml:space="preserve"> a Nicolas de Lisieux</w:t>
      </w:r>
      <w:r w:rsidR="08D33130">
        <w:fldChar w:fldCharType="begin"/>
      </w:r>
      <w:r w:rsidR="08D33130">
        <w:instrText xml:space="preserve"> XE "</w:instrText>
      </w:r>
      <w:r w:rsidR="08D33130" w:rsidRPr="080B0652">
        <w:instrText>Nicolas de Lisieux</w:instrText>
      </w:r>
      <w:r w:rsidR="08D33130">
        <w:instrText xml:space="preserve">" </w:instrText>
      </w:r>
      <w:r w:rsidR="08D33130">
        <w:fldChar w:fldCharType="end"/>
      </w:r>
      <w:r w:rsidR="08920021">
        <w:t xml:space="preserve">. </w:t>
      </w:r>
      <w:r w:rsidR="082E51A3">
        <w:t xml:space="preserve">V roce 1255 poprvé prohrává první averroismus mocenskou bitvu odchodem magistrů a rektora napadených mendikantskými modernisty, kteří dostali ve stejném roce vlastní katedru na zdejší univerzitě. </w:t>
      </w:r>
      <w:r w:rsidR="089C4185">
        <w:t>V</w:t>
      </w:r>
      <w:r w:rsidR="083C1231">
        <w:t xml:space="preserve"> této době odchází z Pařížské univerzity Rufus jako zakladatel modernismu</w:t>
      </w:r>
      <w:r w:rsidR="083C1231" w:rsidRPr="083C1231">
        <w:t xml:space="preserve"> </w:t>
      </w:r>
      <w:r w:rsidR="083C1231">
        <w:t xml:space="preserve">zpět na Oxford. Jeho extrémistická </w:t>
      </w:r>
      <w:r w:rsidR="08CC7375">
        <w:t>pozice byla neudržitelná po sou</w:t>
      </w:r>
      <w:r w:rsidR="083C1231">
        <w:t>s</w:t>
      </w:r>
      <w:r w:rsidR="08CC7375">
        <w:t>t</w:t>
      </w:r>
      <w:r w:rsidR="083C1231">
        <w:t>ředěném útoku sekulárních magistrů na Rue du Fouarre, Albert</w:t>
      </w:r>
      <w:r w:rsidR="08CC7375">
        <w:t xml:space="preserve">a a </w:t>
      </w:r>
      <w:r w:rsidR="08967538">
        <w:t xml:space="preserve">nově přišlého </w:t>
      </w:r>
      <w:r w:rsidR="08CC7375">
        <w:t xml:space="preserve">Akvinského. </w:t>
      </w:r>
      <w:r w:rsidR="083C1231">
        <w:t xml:space="preserve">Ale </w:t>
      </w:r>
      <w:r w:rsidR="089B6DEC">
        <w:t xml:space="preserve">oxfordským analytikům činným v Paříži už nehrozilo </w:t>
      </w:r>
      <w:r w:rsidR="083C1231">
        <w:t>nic závažného</w:t>
      </w:r>
      <w:r w:rsidR="089B6DEC">
        <w:t xml:space="preserve">. Rufusovu </w:t>
      </w:r>
      <w:r w:rsidR="083C1231">
        <w:t xml:space="preserve">modernistickou linii opatruje </w:t>
      </w:r>
      <w:r w:rsidR="089B6DEC">
        <w:t xml:space="preserve">na Pařížské fakultě </w:t>
      </w:r>
      <w:r w:rsidR="083C1231">
        <w:t xml:space="preserve">jeho žák Bonaventura, který jako </w:t>
      </w:r>
      <w:r w:rsidR="08575841">
        <w:t xml:space="preserve">právě jmenovaný </w:t>
      </w:r>
      <w:r w:rsidR="083C1231">
        <w:t xml:space="preserve">magistr zakládá novou katedru mendikantských řádů a pokračuje v modernizaci metafyziky. </w:t>
      </w:r>
      <w:r w:rsidR="082E51A3" w:rsidRPr="00273106">
        <w:t xml:space="preserve">Rufus </w:t>
      </w:r>
      <w:r w:rsidR="08CC7375">
        <w:t>pravděpodobně jako první magistr získává v Paříži tuto hodnost na nově založené mendikantsk</w:t>
      </w:r>
      <w:r w:rsidR="089E10D4">
        <w:t>é faku</w:t>
      </w:r>
      <w:r w:rsidR="08262BA8">
        <w:t>ltě. P</w:t>
      </w:r>
      <w:r w:rsidR="08CC7375">
        <w:t xml:space="preserve">ak </w:t>
      </w:r>
      <w:r w:rsidR="082E51A3" w:rsidRPr="00273106">
        <w:t xml:space="preserve">odchází </w:t>
      </w:r>
      <w:r>
        <w:t xml:space="preserve">podruhé </w:t>
      </w:r>
      <w:r w:rsidR="082E51A3" w:rsidRPr="00273106">
        <w:t xml:space="preserve">zpět na Oxford, kde umírá kolem 1260 ve funkci magistra regens františkánské koleje. </w:t>
      </w:r>
      <w:r w:rsidR="08460CD0">
        <w:t>Tím se stal Oxford definitivně baštou modernismu</w:t>
      </w:r>
      <w:r w:rsidR="08E674D4">
        <w:t xml:space="preserve"> v modu Oxfordian Fallacy, což </w:t>
      </w:r>
      <w:r w:rsidR="08460CD0">
        <w:t xml:space="preserve">tvoří jeho </w:t>
      </w:r>
      <w:r w:rsidR="08460CD0" w:rsidRPr="08460CD0">
        <w:rPr>
          <w:i/>
        </w:rPr>
        <w:t>raison d'être</w:t>
      </w:r>
      <w:r w:rsidR="08460CD0">
        <w:t>.</w:t>
      </w:r>
    </w:p>
    <w:p w14:paraId="7D9F5D82" w14:textId="49C716CA" w:rsidR="001F4BE1" w:rsidRDefault="00637F2D" w:rsidP="00EA5ED4">
      <w:pPr>
        <w:ind w:firstLine="397"/>
      </w:pPr>
      <w:r w:rsidRPr="00273106">
        <w:t>Zápas prvního a druhého averroismu také věrohodně v</w:t>
      </w:r>
      <w:r w:rsidR="008B53B7" w:rsidRPr="00273106">
        <w:t xml:space="preserve">ysvětluje pohnuté osudy </w:t>
      </w:r>
      <w:r w:rsidR="00FB1F92">
        <w:t xml:space="preserve">Rogera </w:t>
      </w:r>
      <w:r w:rsidR="008B53B7" w:rsidRPr="00273106">
        <w:t xml:space="preserve">Bacona. </w:t>
      </w:r>
      <w:r w:rsidR="003103EA">
        <w:t>Když se Baconův přítel Fulqu</w:t>
      </w:r>
      <w:r w:rsidR="00C93A97">
        <w:t xml:space="preserve">ode stal </w:t>
      </w:r>
      <w:r w:rsidR="083005CF">
        <w:t xml:space="preserve">roku </w:t>
      </w:r>
      <w:r w:rsidR="00C93A97">
        <w:t>12</w:t>
      </w:r>
      <w:r w:rsidR="00B051A2">
        <w:t>6</w:t>
      </w:r>
      <w:r w:rsidR="00C93A97">
        <w:t>5</w:t>
      </w:r>
      <w:r w:rsidR="00B051A2">
        <w:t xml:space="preserve"> papežem </w:t>
      </w:r>
      <w:r w:rsidR="00902CD8">
        <w:t>(</w:t>
      </w:r>
      <w:r w:rsidR="00B051A2">
        <w:t xml:space="preserve">Clement </w:t>
      </w:r>
      <w:r w:rsidR="003103EA" w:rsidRPr="00273106">
        <w:t>IV.</w:t>
      </w:r>
      <w:r w:rsidR="00902CD8">
        <w:t>)</w:t>
      </w:r>
      <w:r w:rsidR="003103EA" w:rsidRPr="00273106">
        <w:t xml:space="preserve">, hned následující rok si osobně vyžádal Baconovo dílo známé jako </w:t>
      </w:r>
      <w:r w:rsidR="003103EA" w:rsidRPr="00273106">
        <w:rPr>
          <w:i/>
        </w:rPr>
        <w:t>Opus maius</w:t>
      </w:r>
      <w:r w:rsidR="003103EA" w:rsidRPr="00273106">
        <w:t>, které vzniklo navzdory nepřátelství oxfordských františkánů</w:t>
      </w:r>
      <w:r w:rsidR="003103EA">
        <w:t xml:space="preserve"> </w:t>
      </w:r>
      <w:r w:rsidR="003103EA" w:rsidRPr="00273106">
        <w:t xml:space="preserve">(Bérubé 1969). </w:t>
      </w:r>
      <w:r w:rsidR="008B53B7" w:rsidRPr="00273106">
        <w:t>Ani výuka na Ox</w:t>
      </w:r>
      <w:r w:rsidR="00B051A2">
        <w:t xml:space="preserve">fordu, ani přátelství s papežem </w:t>
      </w:r>
      <w:r w:rsidR="008B53B7" w:rsidRPr="00273106">
        <w:t>neuchránilo tohoto představitele prvního averroismu od mocenských postihů</w:t>
      </w:r>
      <w:r w:rsidR="00075122">
        <w:t xml:space="preserve">. Jeho akademický konflikt s </w:t>
      </w:r>
      <w:r w:rsidR="008B53B7" w:rsidRPr="00273106">
        <w:t xml:space="preserve">Kilwardbym </w:t>
      </w:r>
      <w:r w:rsidR="00D0094B" w:rsidRPr="00273106">
        <w:t>a Bonaventurou</w:t>
      </w:r>
      <w:r w:rsidR="00075122">
        <w:t xml:space="preserve"> byl naprosto nevyhnutelný</w:t>
      </w:r>
      <w:r w:rsidR="008B53B7" w:rsidRPr="00273106">
        <w:t xml:space="preserve">. </w:t>
      </w:r>
      <w:r w:rsidR="001F7524" w:rsidRPr="00273106">
        <w:t>Bacon považuje myšlení modernistů za čisté šílenství (</w:t>
      </w:r>
      <w:r w:rsidR="001F7524" w:rsidRPr="00273106">
        <w:rPr>
          <w:i/>
        </w:rPr>
        <w:t>insaniunt contra veritatem</w:t>
      </w:r>
      <w:r w:rsidR="001F7524">
        <w:rPr>
          <w:i/>
        </w:rPr>
        <w:fldChar w:fldCharType="begin"/>
      </w:r>
      <w:r w:rsidR="001F7524">
        <w:instrText xml:space="preserve"> XE "druhý</w:instrText>
      </w:r>
      <w:r w:rsidR="001F7524" w:rsidRPr="005B7E92">
        <w:instrText xml:space="preserve"> averroismu</w:instrText>
      </w:r>
      <w:r w:rsidR="001F7524">
        <w:instrText xml:space="preserve">s:kritika Bacona" </w:instrText>
      </w:r>
      <w:r w:rsidR="001F7524">
        <w:rPr>
          <w:i/>
        </w:rPr>
        <w:fldChar w:fldCharType="end"/>
      </w:r>
      <w:r w:rsidR="088C014F">
        <w:t>, kap. 3</w:t>
      </w:r>
      <w:r w:rsidR="001F7524" w:rsidRPr="00CF1C28">
        <w:t>.4.2</w:t>
      </w:r>
      <w:r w:rsidR="001F7524" w:rsidRPr="00273106">
        <w:t>)</w:t>
      </w:r>
      <w:r w:rsidR="001F7524">
        <w:t xml:space="preserve"> a jeho p</w:t>
      </w:r>
      <w:r w:rsidR="001F7524" w:rsidRPr="00273106">
        <w:t>ersekuce</w:t>
      </w:r>
      <w:r w:rsidR="001F7524">
        <w:t xml:space="preserve"> trvala celé desetiletí</w:t>
      </w:r>
      <w:r w:rsidR="001F7524" w:rsidRPr="00273106">
        <w:t xml:space="preserve">. </w:t>
      </w:r>
      <w:r w:rsidR="001F7524">
        <w:t xml:space="preserve">Pronásledování Bacona </w:t>
      </w:r>
      <w:r w:rsidR="000F03F8" w:rsidRPr="00273106">
        <w:t xml:space="preserve">koresponduje s </w:t>
      </w:r>
      <w:r w:rsidR="001F7524">
        <w:t xml:space="preserve">jeho </w:t>
      </w:r>
      <w:r w:rsidR="000F03F8" w:rsidRPr="00273106">
        <w:t>druhým pobytem v Paříži</w:t>
      </w:r>
      <w:r w:rsidR="007B7008">
        <w:t xml:space="preserve"> (</w:t>
      </w:r>
      <w:r w:rsidR="085319B2">
        <w:t xml:space="preserve">asi </w:t>
      </w:r>
      <w:r w:rsidR="007B7008">
        <w:t>1256‒80)</w:t>
      </w:r>
      <w:r w:rsidR="000F03F8" w:rsidRPr="00273106">
        <w:t>, kdy druhý averroismus zahájil po d</w:t>
      </w:r>
      <w:r w:rsidR="001F7524">
        <w:t xml:space="preserve">obytém Oxfordu vítězné tažení </w:t>
      </w:r>
      <w:r w:rsidR="000F03F8" w:rsidRPr="00273106">
        <w:t xml:space="preserve">na zdejší </w:t>
      </w:r>
      <w:r w:rsidR="000F03F8" w:rsidRPr="00273106">
        <w:rPr>
          <w:i/>
        </w:rPr>
        <w:t>alma mater</w:t>
      </w:r>
      <w:r w:rsidR="001F7524">
        <w:rPr>
          <w:i/>
        </w:rPr>
        <w:t xml:space="preserve"> </w:t>
      </w:r>
      <w:r w:rsidR="001F7524" w:rsidRPr="001F7524">
        <w:t xml:space="preserve">po roce 1255. </w:t>
      </w:r>
      <w:r w:rsidR="08E22F5F">
        <w:t>O</w:t>
      </w:r>
      <w:r w:rsidR="08E22F5F" w:rsidRPr="00273106">
        <w:t xml:space="preserve">ba uvedené spisy </w:t>
      </w:r>
      <w:r w:rsidR="08E22F5F" w:rsidRPr="00273106">
        <w:rPr>
          <w:i/>
        </w:rPr>
        <w:t>Opus maius</w:t>
      </w:r>
      <w:r w:rsidR="08E22F5F" w:rsidRPr="00273106">
        <w:t xml:space="preserve"> a </w:t>
      </w:r>
      <w:r w:rsidR="08E22F5F" w:rsidRPr="00273106">
        <w:rPr>
          <w:i/>
        </w:rPr>
        <w:t xml:space="preserve">Opus minus </w:t>
      </w:r>
      <w:r w:rsidR="08E22F5F" w:rsidRPr="00273106">
        <w:t xml:space="preserve">(kolem 1267) zakládají aristotelský obraz světa a poznání proti modernistům. Bacon dělá skrze </w:t>
      </w:r>
      <w:r w:rsidR="08E22F5F" w:rsidRPr="00273106">
        <w:rPr>
          <w:i/>
        </w:rPr>
        <w:t>Opus maius</w:t>
      </w:r>
      <w:r w:rsidR="08E22F5F" w:rsidRPr="00273106">
        <w:t xml:space="preserve"> stejné osvícenské dílo jako Albert Veliký, který ve stejné dekádě dokončuje integrální komentář</w:t>
      </w:r>
      <w:r w:rsidR="085F6FB7">
        <w:t>e k aristotelským spisům (kap. 2</w:t>
      </w:r>
      <w:r w:rsidR="08E22F5F" w:rsidRPr="00273106">
        <w:t xml:space="preserve">.4.3). </w:t>
      </w:r>
      <w:r w:rsidR="00186472">
        <w:t xml:space="preserve">Akademická persekuce </w:t>
      </w:r>
      <w:r w:rsidR="00D4029C" w:rsidRPr="00273106">
        <w:t xml:space="preserve">kulminovala </w:t>
      </w:r>
      <w:r w:rsidR="00D4029C">
        <w:t xml:space="preserve">internací </w:t>
      </w:r>
      <w:r w:rsidR="00D4029C" w:rsidRPr="00273106">
        <w:t xml:space="preserve">tohoto terciáře ve františkánské koleji </w:t>
      </w:r>
      <w:r w:rsidR="00D4029C">
        <w:t xml:space="preserve">v Paříži </w:t>
      </w:r>
      <w:r w:rsidR="00D4029C" w:rsidRPr="00273106">
        <w:t>kolem 1277‒79</w:t>
      </w:r>
      <w:r w:rsidR="005A3010">
        <w:t xml:space="preserve">. </w:t>
      </w:r>
      <w:r w:rsidR="08033CAD" w:rsidRPr="00273106">
        <w:t xml:space="preserve">Zákaz vyučovat </w:t>
      </w:r>
      <w:r w:rsidR="08033CAD">
        <w:t xml:space="preserve">spojený s omezením </w:t>
      </w:r>
      <w:r w:rsidR="08033CAD" w:rsidRPr="00273106">
        <w:t xml:space="preserve">publikovat </w:t>
      </w:r>
      <w:r w:rsidR="08033CAD">
        <w:t xml:space="preserve">byl </w:t>
      </w:r>
      <w:r w:rsidR="08033CAD" w:rsidRPr="00273106">
        <w:t xml:space="preserve">proveden </w:t>
      </w:r>
      <w:r w:rsidR="08033CAD">
        <w:t>v roce 1277, což jasně označuje Bacona jako přívržence školy prvního averroismu</w:t>
      </w:r>
      <w:r w:rsidR="08033CAD" w:rsidRPr="00273106">
        <w:t xml:space="preserve">. </w:t>
      </w:r>
      <w:r w:rsidR="081E7ABF">
        <w:t>Generál řádu Jérôme d'Ascoli (</w:t>
      </w:r>
      <w:r w:rsidR="081E7ABF">
        <w:rPr>
          <w:rStyle w:val="st"/>
        </w:rPr>
        <w:t>Girolamo Masci</w:t>
      </w:r>
      <w:r w:rsidR="081E7ABF">
        <w:t xml:space="preserve">), který byl </w:t>
      </w:r>
      <w:r w:rsidR="08594864">
        <w:t xml:space="preserve">později </w:t>
      </w:r>
      <w:r w:rsidR="081E7ABF">
        <w:t xml:space="preserve">zvolen za papeže (Nicolas IV.), zakázal </w:t>
      </w:r>
      <w:r w:rsidR="08647970">
        <w:t>i</w:t>
      </w:r>
      <w:r w:rsidR="081E7ABF">
        <w:t>hned po odsouzení 1277 šíření Baconových děl mezi f</w:t>
      </w:r>
      <w:r w:rsidR="08594864">
        <w:t>r</w:t>
      </w:r>
      <w:r w:rsidR="081E7ABF">
        <w:t xml:space="preserve">antiškány. </w:t>
      </w:r>
      <w:r w:rsidR="00593077">
        <w:t>Toto o</w:t>
      </w:r>
      <w:r w:rsidR="08256DE0">
        <w:t xml:space="preserve">dsouzení </w:t>
      </w:r>
      <w:r w:rsidR="00593077">
        <w:t xml:space="preserve">nepřímo </w:t>
      </w:r>
      <w:r w:rsidR="00C21DB7">
        <w:t xml:space="preserve">potvrdilo </w:t>
      </w:r>
      <w:r w:rsidR="08256DE0">
        <w:t>spor Bacona s</w:t>
      </w:r>
      <w:r w:rsidR="082D1B57">
        <w:t xml:space="preserve"> předešlým generálním představeným františkánů, tedy s </w:t>
      </w:r>
      <w:r w:rsidR="08256DE0">
        <w:t xml:space="preserve">Bonaventurou. </w:t>
      </w:r>
      <w:r w:rsidR="084204B6">
        <w:t>Jeho d</w:t>
      </w:r>
      <w:r w:rsidR="082D1B57">
        <w:t>ílo</w:t>
      </w:r>
      <w:r w:rsidR="08B07C64" w:rsidRPr="00273106">
        <w:t xml:space="preserve"> </w:t>
      </w:r>
      <w:r w:rsidR="08B07C64" w:rsidRPr="00273106">
        <w:rPr>
          <w:i/>
        </w:rPr>
        <w:t>Collationes in Hexaëmeron</w:t>
      </w:r>
      <w:r w:rsidR="08B07C64" w:rsidRPr="00273106">
        <w:t xml:space="preserve"> (1273) nepřímo kritizuje Baconův edukativní projekt výuky filosofie. Bacon zase v díle </w:t>
      </w:r>
      <w:r w:rsidR="08B07C64" w:rsidRPr="00273106">
        <w:rPr>
          <w:i/>
        </w:rPr>
        <w:t>Opus minus</w:t>
      </w:r>
      <w:r w:rsidR="08B07C64" w:rsidRPr="00273106">
        <w:rPr>
          <w:rFonts w:ascii="Times New Roman" w:eastAsia="Times New Roman" w:hAnsi="Times New Roman"/>
          <w:i/>
          <w:iCs/>
          <w:sz w:val="20"/>
        </w:rPr>
        <w:t xml:space="preserve"> </w:t>
      </w:r>
      <w:r w:rsidR="08B07C64" w:rsidRPr="00273106">
        <w:t>kriticky hodnotí činnost nejmenovaného magistra Halského školy, který zneužívá titulu magistra teologie a jehož spisy jsou plné omylů.</w:t>
      </w:r>
      <w:r w:rsidR="08B07C64" w:rsidRPr="00273106">
        <w:rPr>
          <w:rStyle w:val="Znakapoznpodarou"/>
        </w:rPr>
        <w:footnoteReference w:id="509"/>
      </w:r>
      <w:r w:rsidR="08B07C64" w:rsidRPr="00273106">
        <w:t xml:space="preserve"> Pro</w:t>
      </w:r>
      <w:r w:rsidR="00182103">
        <w:t xml:space="preserve"> Bonaventuru platí specifikace </w:t>
      </w:r>
      <w:r w:rsidR="08B07C64" w:rsidRPr="00273106">
        <w:rPr>
          <w:i/>
        </w:rPr>
        <w:t>intravit ordinem Fratrum puerulus</w:t>
      </w:r>
      <w:r w:rsidR="08B07C64" w:rsidRPr="00273106">
        <w:t>, ale nikoliv další určení (</w:t>
      </w:r>
      <w:r w:rsidR="08B07C64" w:rsidRPr="00273106">
        <w:rPr>
          <w:i/>
        </w:rPr>
        <w:t>nec unquam legit philosophiam, nec audivit eam in scholis</w:t>
      </w:r>
      <w:r w:rsidR="00F7363C" w:rsidRPr="00273106">
        <w:t xml:space="preserve">; ibid, </w:t>
      </w:r>
      <w:r w:rsidR="08B07C64" w:rsidRPr="00273106">
        <w:t>p. 327</w:t>
      </w:r>
      <w:r w:rsidR="00790845">
        <w:fldChar w:fldCharType="begin"/>
      </w:r>
      <w:r w:rsidR="00790845">
        <w:instrText xml:space="preserve"> XE "Bacon:</w:instrText>
      </w:r>
      <w:r w:rsidR="00790845" w:rsidRPr="004E091A">
        <w:rPr>
          <w:i/>
        </w:rPr>
        <w:instrText>Opus minus</w:instrText>
      </w:r>
      <w:r w:rsidR="00790845" w:rsidRPr="004E091A">
        <w:instrText xml:space="preserve"> </w:instrText>
      </w:r>
      <w:r w:rsidR="00790845">
        <w:instrText xml:space="preserve">327" </w:instrText>
      </w:r>
      <w:r w:rsidR="00790845">
        <w:fldChar w:fldCharType="end"/>
      </w:r>
      <w:r w:rsidR="08B07C64" w:rsidRPr="00273106">
        <w:t>).</w:t>
      </w:r>
      <w:r w:rsidR="008C2943">
        <w:t xml:space="preserve"> </w:t>
      </w:r>
      <w:r w:rsidR="08D01577" w:rsidRPr="00273106">
        <w:t>V</w:t>
      </w:r>
      <w:r w:rsidR="08B07C64" w:rsidRPr="00273106">
        <w:t xml:space="preserve">ezmeme-li </w:t>
      </w:r>
      <w:r w:rsidR="00D70319">
        <w:t xml:space="preserve">ovšem </w:t>
      </w:r>
      <w:r w:rsidR="08B07C64" w:rsidRPr="00273106">
        <w:t xml:space="preserve">kritiku kolektivního díla </w:t>
      </w:r>
      <w:r w:rsidR="08B07C64" w:rsidRPr="00273106">
        <w:rPr>
          <w:i/>
        </w:rPr>
        <w:t>Summa Halensis</w:t>
      </w:r>
      <w:r w:rsidR="08B07C64" w:rsidRPr="00273106">
        <w:t xml:space="preserve"> stejně tvrdě a ironicky jako Bacon, pak zmíněná neznalost filosofie</w:t>
      </w:r>
      <w:r w:rsidR="00D05C82">
        <w:t xml:space="preserve"> zásadně platí i </w:t>
      </w:r>
      <w:r w:rsidR="00BE3ADD">
        <w:t>pro Bonaventuru.</w:t>
      </w:r>
      <w:r w:rsidR="08BC41C8">
        <w:rPr>
          <w:rStyle w:val="Znakapoznpodarou"/>
        </w:rPr>
        <w:footnoteReference w:id="510"/>
      </w:r>
      <w:r w:rsidR="00BE3ADD">
        <w:t xml:space="preserve"> </w:t>
      </w:r>
      <w:r w:rsidR="088F4F84">
        <w:t xml:space="preserve">Bonaventura </w:t>
      </w:r>
      <w:r w:rsidR="088F4F84" w:rsidRPr="00273106">
        <w:t>patřil k př</w:t>
      </w:r>
      <w:r w:rsidR="088F4F84">
        <w:t xml:space="preserve">edním stoupencům Halského školy, kterou Bacon z již vyložených důvodů nepovažoval za autentickou filosofii, ale za sbírku moderních sofismat. Bacon </w:t>
      </w:r>
      <w:r w:rsidR="088F4F84" w:rsidRPr="00273106">
        <w:t xml:space="preserve">nazývá </w:t>
      </w:r>
      <w:r w:rsidR="088F4F84">
        <w:t>s</w:t>
      </w:r>
      <w:r w:rsidR="088F4F84" w:rsidRPr="00273106">
        <w:t xml:space="preserve">kupinu druhých averroistů </w:t>
      </w:r>
      <w:r w:rsidR="088F4F84">
        <w:t>podřadnými filosofy, a vůbec ne teology (</w:t>
      </w:r>
      <w:r w:rsidR="088F4F84" w:rsidRPr="00273106">
        <w:rPr>
          <w:i/>
        </w:rPr>
        <w:t>vulgus philosophorum quam theologorum</w:t>
      </w:r>
      <w:r w:rsidR="088F4F84">
        <w:t xml:space="preserve">; </w:t>
      </w:r>
      <w:r w:rsidR="088F4F84" w:rsidRPr="00273106">
        <w:rPr>
          <w:i/>
        </w:rPr>
        <w:t>Opus minus</w:t>
      </w:r>
      <w:r w:rsidR="088F4F84" w:rsidRPr="00273106">
        <w:t>, p. 360</w:t>
      </w:r>
      <w:r w:rsidR="088F4F84">
        <w:fldChar w:fldCharType="begin"/>
      </w:r>
      <w:r w:rsidR="088F4F84">
        <w:instrText xml:space="preserve"> XE "Bacon:</w:instrText>
      </w:r>
      <w:r w:rsidR="088F4F84" w:rsidRPr="004E091A">
        <w:rPr>
          <w:i/>
        </w:rPr>
        <w:instrText>Opus minus</w:instrText>
      </w:r>
      <w:r w:rsidR="088F4F84" w:rsidRPr="004E091A">
        <w:instrText xml:space="preserve"> 360</w:instrText>
      </w:r>
      <w:r w:rsidR="088F4F84">
        <w:instrText xml:space="preserve">" </w:instrText>
      </w:r>
      <w:r w:rsidR="088F4F84">
        <w:fldChar w:fldCharType="end"/>
      </w:r>
      <w:r w:rsidR="088F4F84" w:rsidRPr="00273106">
        <w:t xml:space="preserve">). </w:t>
      </w:r>
      <w:r w:rsidR="08B07C64" w:rsidRPr="00273106">
        <w:t>Baconova kritika připomíná citovanou pasáž Alberta o směšnosti (</w:t>
      </w:r>
      <w:r w:rsidR="08B07C64" w:rsidRPr="00273106">
        <w:rPr>
          <w:i/>
        </w:rPr>
        <w:t>ridiculum</w:t>
      </w:r>
      <w:r w:rsidR="08B07C64" w:rsidRPr="00273106">
        <w:t xml:space="preserve">) nauk oněch pseudo-učených </w:t>
      </w:r>
      <w:r w:rsidR="08B07C64" w:rsidRPr="00273106">
        <w:rPr>
          <w:i/>
        </w:rPr>
        <w:t>Latinorum</w:t>
      </w:r>
      <w:r w:rsidR="08B07C64" w:rsidRPr="00273106">
        <w:t xml:space="preserve">, s nimiž nemá smysl debatovat </w:t>
      </w:r>
      <w:r w:rsidR="08E85768">
        <w:t>(kap. 2</w:t>
      </w:r>
      <w:r w:rsidR="08B07C64" w:rsidRPr="00273106">
        <w:t xml:space="preserve">.4.3). </w:t>
      </w:r>
      <w:r w:rsidR="088F4F84" w:rsidRPr="00273106">
        <w:t xml:space="preserve">Bacon tvrdě ironizuje skupinu druhých averroistů, která vznikla kolem redakce </w:t>
      </w:r>
      <w:r w:rsidR="088F4F84" w:rsidRPr="00273106">
        <w:rPr>
          <w:i/>
        </w:rPr>
        <w:t>Summa Halensis</w:t>
      </w:r>
      <w:r w:rsidR="088F4F84">
        <w:t>: „Tento nejmenovaný františkánský magistr prý sepsal onu velkou summu, těžkou jako kůň. A navíc ji nenapsal sám, ale jiní.“ (</w:t>
      </w:r>
      <w:r w:rsidR="088F4F84" w:rsidRPr="00881C5D">
        <w:rPr>
          <w:i/>
        </w:rPr>
        <w:t>Opus minus</w:t>
      </w:r>
      <w:r w:rsidR="088F4F84" w:rsidRPr="00881C5D">
        <w:t xml:space="preserve">, </w:t>
      </w:r>
      <w:r w:rsidR="088F4F84" w:rsidRPr="002423F5">
        <w:t>p. 326</w:t>
      </w:r>
      <w:r w:rsidR="088F4F84">
        <w:fldChar w:fldCharType="begin"/>
      </w:r>
      <w:r w:rsidR="088F4F84">
        <w:instrText xml:space="preserve"> XE "Bacon:</w:instrText>
      </w:r>
      <w:r w:rsidR="088F4F84" w:rsidRPr="004E091A">
        <w:rPr>
          <w:i/>
        </w:rPr>
        <w:instrText>Opus minus</w:instrText>
      </w:r>
      <w:r w:rsidR="088F4F84">
        <w:instrText xml:space="preserve"> 326" </w:instrText>
      </w:r>
      <w:r w:rsidR="088F4F84">
        <w:fldChar w:fldCharType="end"/>
      </w:r>
      <w:r w:rsidR="088F4F84" w:rsidRPr="002423F5">
        <w:t>)</w:t>
      </w:r>
      <w:r w:rsidR="088F4F84">
        <w:t xml:space="preserve">. </w:t>
      </w:r>
      <w:r w:rsidR="08AE125C" w:rsidRPr="00273106">
        <w:t>Předešlá matrice ukázala, že stejnou skupinu kritizova</w:t>
      </w:r>
      <w:r w:rsidR="00DB1005">
        <w:t xml:space="preserve">l biskup Alvernus pojmenováním </w:t>
      </w:r>
      <w:r w:rsidR="08AE125C" w:rsidRPr="00273106">
        <w:rPr>
          <w:i/>
        </w:rPr>
        <w:t>sophistae Latini</w:t>
      </w:r>
      <w:r w:rsidR="005109BC">
        <w:rPr>
          <w:i/>
        </w:rPr>
        <w:fldChar w:fldCharType="begin"/>
      </w:r>
      <w:r w:rsidR="005109BC">
        <w:instrText xml:space="preserve"> XE "</w:instrText>
      </w:r>
      <w:r w:rsidR="003C58EA">
        <w:instrText>druhý averroismus:</w:instrText>
      </w:r>
      <w:r w:rsidR="005109BC" w:rsidRPr="00EC0AF4">
        <w:rPr>
          <w:i/>
          <w:lang w:eastAsia="en-US"/>
        </w:rPr>
        <w:instrText>sophistae Latini</w:instrText>
      </w:r>
      <w:r w:rsidR="005109BC">
        <w:instrText xml:space="preserve">" </w:instrText>
      </w:r>
      <w:r w:rsidR="005109BC">
        <w:rPr>
          <w:i/>
        </w:rPr>
        <w:fldChar w:fldCharType="end"/>
      </w:r>
      <w:r w:rsidR="08E85768">
        <w:t xml:space="preserve"> (kap. 2</w:t>
      </w:r>
      <w:r w:rsidR="08AE125C" w:rsidRPr="00273106">
        <w:t>.3</w:t>
      </w:r>
      <w:r w:rsidR="00D548D9">
        <w:t>.1</w:t>
      </w:r>
      <w:r w:rsidR="08AE125C" w:rsidRPr="00273106">
        <w:t xml:space="preserve">). </w:t>
      </w:r>
      <w:r w:rsidR="0061141B" w:rsidRPr="00273106">
        <w:t xml:space="preserve">Spor prvního a druhého averroismu </w:t>
      </w:r>
      <w:r w:rsidR="003C002A">
        <w:t xml:space="preserve">po </w:t>
      </w:r>
      <w:r w:rsidR="08E22F5F">
        <w:t xml:space="preserve">roce </w:t>
      </w:r>
      <w:r w:rsidR="0061141B" w:rsidRPr="00273106">
        <w:t xml:space="preserve">1250 </w:t>
      </w:r>
      <w:r w:rsidR="005671CC">
        <w:t xml:space="preserve">přestal být </w:t>
      </w:r>
      <w:r w:rsidR="003C002A">
        <w:t>čistě filosofickou záležitostí</w:t>
      </w:r>
      <w:r w:rsidR="08E22F5F">
        <w:t xml:space="preserve">. To </w:t>
      </w:r>
      <w:r w:rsidR="001F4BE1">
        <w:t xml:space="preserve">ještě </w:t>
      </w:r>
      <w:r w:rsidR="08E22F5F">
        <w:t xml:space="preserve">platilo okolo roku </w:t>
      </w:r>
      <w:r w:rsidR="005671CC">
        <w:t xml:space="preserve">1240, kdy se řešilo </w:t>
      </w:r>
      <w:r w:rsidR="0061141B" w:rsidRPr="00273106">
        <w:t xml:space="preserve">pojetí vědy </w:t>
      </w:r>
      <w:r w:rsidR="005671CC">
        <w:t xml:space="preserve">podle </w:t>
      </w:r>
      <w:r w:rsidR="0061141B" w:rsidRPr="00273106">
        <w:t xml:space="preserve">dvojího výkladu </w:t>
      </w:r>
      <w:r w:rsidR="00DB1005" w:rsidRPr="00DB1005">
        <w:rPr>
          <w:i/>
        </w:rPr>
        <w:t>Druhých</w:t>
      </w:r>
      <w:r w:rsidR="00DB1005">
        <w:t xml:space="preserve"> </w:t>
      </w:r>
      <w:r w:rsidR="00DB1005">
        <w:rPr>
          <w:i/>
        </w:rPr>
        <w:t>a</w:t>
      </w:r>
      <w:r w:rsidR="0061141B" w:rsidRPr="00DB1005">
        <w:rPr>
          <w:i/>
        </w:rPr>
        <w:t>nalytik</w:t>
      </w:r>
      <w:r w:rsidR="001F4BE1">
        <w:t>.</w:t>
      </w:r>
    </w:p>
    <w:p w14:paraId="1F2393A4" w14:textId="65D345B3" w:rsidR="0097740B" w:rsidRPr="00180A87" w:rsidRDefault="08A65C8B" w:rsidP="001F4BE1">
      <w:pPr>
        <w:ind w:firstLine="397"/>
        <w:rPr>
          <w:szCs w:val="19"/>
        </w:rPr>
      </w:pPr>
      <w:r>
        <w:t>Po zave</w:t>
      </w:r>
      <w:r w:rsidR="00DB1005">
        <w:t xml:space="preserve">dení </w:t>
      </w:r>
      <w:r w:rsidR="00736EA0">
        <w:t>dvojí</w:t>
      </w:r>
      <w:r w:rsidR="00DB1005">
        <w:t>ho</w:t>
      </w:r>
      <w:r w:rsidR="00736EA0">
        <w:t xml:space="preserve"> p</w:t>
      </w:r>
      <w:r w:rsidR="00DB1005">
        <w:t>ojetí m</w:t>
      </w:r>
      <w:r w:rsidR="0061141B" w:rsidRPr="00273106">
        <w:t>etafyziky</w:t>
      </w:r>
      <w:r w:rsidR="00DB1005">
        <w:t xml:space="preserve"> </w:t>
      </w:r>
      <w:r w:rsidR="004873A6">
        <w:t xml:space="preserve">podle </w:t>
      </w:r>
      <w:r w:rsidR="004873A6" w:rsidRPr="004873A6">
        <w:rPr>
          <w:i/>
        </w:rPr>
        <w:t>Modernorum</w:t>
      </w:r>
      <w:r w:rsidR="004873A6">
        <w:t xml:space="preserve"> a </w:t>
      </w:r>
      <w:r w:rsidR="004873A6" w:rsidRPr="004873A6">
        <w:rPr>
          <w:i/>
        </w:rPr>
        <w:t>Antiquorum</w:t>
      </w:r>
      <w:r w:rsidR="004873A6">
        <w:t xml:space="preserve"> </w:t>
      </w:r>
      <w:r w:rsidR="00DB1005">
        <w:t>už došlo k frontálnímu rozkolu</w:t>
      </w:r>
      <w:r w:rsidR="00736EA0">
        <w:t xml:space="preserve">. </w:t>
      </w:r>
      <w:r w:rsidR="00AA1EAA">
        <w:t>O</w:t>
      </w:r>
      <w:r w:rsidR="0061141B" w:rsidRPr="00273106">
        <w:t>tázk</w:t>
      </w:r>
      <w:r w:rsidR="00AA1EAA">
        <w:t>a</w:t>
      </w:r>
      <w:r w:rsidR="0061141B" w:rsidRPr="00273106">
        <w:t xml:space="preserve"> po subjektu první vědy</w:t>
      </w:r>
      <w:r w:rsidR="00AA1EAA">
        <w:t xml:space="preserve"> měla </w:t>
      </w:r>
      <w:r w:rsidR="0061141B" w:rsidRPr="00273106">
        <w:t xml:space="preserve">dva konkurenční projekty: Avicennův a </w:t>
      </w:r>
      <w:r w:rsidR="002E3B62">
        <w:t>Averroes</w:t>
      </w:r>
      <w:r w:rsidR="08324611">
        <w:t>ův. Spor o tuto dvojí pravdu</w:t>
      </w:r>
      <w:r w:rsidR="008E02F5" w:rsidRPr="008E02F5">
        <w:t xml:space="preserve"> </w:t>
      </w:r>
      <w:r w:rsidR="008E02F5">
        <w:fldChar w:fldCharType="begin"/>
      </w:r>
      <w:r w:rsidR="008E02F5">
        <w:instrText xml:space="preserve"> XE "</w:instrText>
      </w:r>
      <w:r w:rsidR="008E02F5" w:rsidRPr="00F50036">
        <w:instrText>teorie dvojí pravdy</w:instrText>
      </w:r>
      <w:r w:rsidR="008E02F5">
        <w:instrText xml:space="preserve">" </w:instrText>
      </w:r>
      <w:r w:rsidR="008E02F5">
        <w:fldChar w:fldCharType="end"/>
      </w:r>
      <w:r w:rsidR="0061141B" w:rsidRPr="00273106">
        <w:t xml:space="preserve"> </w:t>
      </w:r>
      <w:r w:rsidR="08324611">
        <w:t xml:space="preserve">metafyziky </w:t>
      </w:r>
      <w:r w:rsidR="0061141B" w:rsidRPr="00273106">
        <w:t xml:space="preserve">preferoval ten či onen výklad Aristotela jako podmínku </w:t>
      </w:r>
      <w:r w:rsidR="0061141B" w:rsidRPr="00273106">
        <w:rPr>
          <w:i/>
        </w:rPr>
        <w:t>sine qua non</w:t>
      </w:r>
      <w:r w:rsidR="0061141B" w:rsidRPr="00273106">
        <w:t xml:space="preserve"> smysluplného filosofického diskurzu. Z</w:t>
      </w:r>
      <w:r w:rsidR="08B07C64" w:rsidRPr="00273106">
        <w:t>ákladním znakem druhého averroismu byl ek</w:t>
      </w:r>
      <w:r w:rsidR="00912F89" w:rsidRPr="00273106">
        <w:t>lekticimus všeho druhu produkova</w:t>
      </w:r>
      <w:r w:rsidR="08324611">
        <w:t>ný v pojetí jedné pravdy</w:t>
      </w:r>
      <w:r w:rsidR="00912F89" w:rsidRPr="00273106">
        <w:t xml:space="preserve"> dané ontoteologicky. Filosofické termíny dostaly teologický význam a naopak. </w:t>
      </w:r>
      <w:r w:rsidR="08324611" w:rsidRPr="00273106">
        <w:t xml:space="preserve">Pro hermeneutiku objektivity je důležitá doba, kdy došlo k prvnímu oficiálnímu útoku na </w:t>
      </w:r>
      <w:r w:rsidR="08324611">
        <w:t>Averroes</w:t>
      </w:r>
      <w:r w:rsidR="08324611" w:rsidRPr="00273106">
        <w:t xml:space="preserve">e. Druhý averroismus se mohl pustit do otevřeného konfliktu s prvním averroismem v Paříži až po </w:t>
      </w:r>
      <w:r w:rsidR="08324611">
        <w:t xml:space="preserve">sofistické </w:t>
      </w:r>
      <w:r w:rsidR="08324611" w:rsidRPr="00273106">
        <w:t xml:space="preserve">kritice </w:t>
      </w:r>
      <w:r w:rsidR="08324611">
        <w:t>Averroes</w:t>
      </w:r>
      <w:r w:rsidR="08324611" w:rsidRPr="00273106">
        <w:t xml:space="preserve">e jako heretika. </w:t>
      </w:r>
      <w:r w:rsidR="08324611">
        <w:t xml:space="preserve">Heretickou a veřejně odsouzenou tezi o odděleném kosmickém intelektu bylo třeba přehrát na Averroese, z něhož se stal </w:t>
      </w:r>
      <w:r w:rsidR="08E56AA3">
        <w:t>averroista.</w:t>
      </w:r>
      <w:r>
        <w:t xml:space="preserve"> </w:t>
      </w:r>
      <w:r w:rsidR="08E84DE4">
        <w:t xml:space="preserve">Proto od roku 1250 začíná škola </w:t>
      </w:r>
      <w:r w:rsidR="08E84DE4" w:rsidRPr="00991ACA">
        <w:rPr>
          <w:i/>
        </w:rPr>
        <w:t>Modernorum</w:t>
      </w:r>
      <w:r w:rsidR="08E84DE4">
        <w:t xml:space="preserve"> nový spor o Averroese, který nekomentuje impozantní postavu filosofického Komentátora, ale odsuzuje jej jako náboženského heretika. </w:t>
      </w:r>
      <w:r w:rsidR="08324611" w:rsidRPr="00273106">
        <w:t xml:space="preserve">Útok mendikantských </w:t>
      </w:r>
      <w:r w:rsidR="08324611" w:rsidRPr="00273106">
        <w:rPr>
          <w:i/>
        </w:rPr>
        <w:t>Modernorum</w:t>
      </w:r>
      <w:r w:rsidR="08324611" w:rsidRPr="00273106">
        <w:t xml:space="preserve"> na </w:t>
      </w:r>
      <w:r w:rsidR="08324611">
        <w:t>Averroes</w:t>
      </w:r>
      <w:r w:rsidR="08324611" w:rsidRPr="00273106">
        <w:t xml:space="preserve">e představuje základní </w:t>
      </w:r>
      <w:r w:rsidR="08324611" w:rsidRPr="00273106">
        <w:rPr>
          <w:i/>
        </w:rPr>
        <w:t>terminus post quem</w:t>
      </w:r>
      <w:r w:rsidR="08324611" w:rsidRPr="00273106">
        <w:t xml:space="preserve"> vzniku moderny</w:t>
      </w:r>
      <w:r w:rsidR="08324611">
        <w:fldChar w:fldCharType="begin"/>
      </w:r>
      <w:r w:rsidR="08324611">
        <w:instrText xml:space="preserve"> XE "</w:instrText>
      </w:r>
      <w:r w:rsidR="08324611" w:rsidRPr="00DF6D7A">
        <w:instrText>objektivita:vznik</w:instrText>
      </w:r>
      <w:r w:rsidR="08324611">
        <w:instrText xml:space="preserve">" </w:instrText>
      </w:r>
      <w:r w:rsidR="08324611">
        <w:fldChar w:fldCharType="end"/>
      </w:r>
      <w:r w:rsidR="08324611" w:rsidRPr="00273106">
        <w:t xml:space="preserve">. Tuto filosofickou Bastillu bylo nutno dobýt </w:t>
      </w:r>
      <w:r w:rsidR="08324611">
        <w:t xml:space="preserve">nikoliv na Oxfordu, jako to udělal Kilwardby už kolem 1250, ale </w:t>
      </w:r>
      <w:r w:rsidR="08324611" w:rsidRPr="00273106">
        <w:t xml:space="preserve">v Paříži, kde bylo centrum tehdejší univerzitní vzdělanosti a také centrum prvního averroismu. První útok </w:t>
      </w:r>
      <w:r w:rsidR="08324611">
        <w:t xml:space="preserve">v Paříži </w:t>
      </w:r>
      <w:r w:rsidR="080F3674">
        <w:t xml:space="preserve">začal asi roku </w:t>
      </w:r>
      <w:r w:rsidR="08324611" w:rsidRPr="00273106">
        <w:t xml:space="preserve">1252, tedy velmi brzy po smrti biskupa Alverna. Bonaventura publikuje komentář ke Druhé knize Sentencí a navazuje na Rufusovu </w:t>
      </w:r>
      <w:r w:rsidR="08324611">
        <w:t xml:space="preserve">a Kilwardbyho </w:t>
      </w:r>
      <w:r w:rsidR="08324611" w:rsidRPr="00273106">
        <w:t xml:space="preserve">filipiku proti </w:t>
      </w:r>
      <w:r w:rsidR="08324611">
        <w:t>Averroes</w:t>
      </w:r>
      <w:r w:rsidR="08324611" w:rsidRPr="00273106">
        <w:t>ovi (</w:t>
      </w:r>
      <w:r w:rsidR="08324611" w:rsidRPr="00273106">
        <w:rPr>
          <w:rStyle w:val="CittHTML"/>
          <w:iCs w:val="0"/>
        </w:rPr>
        <w:t xml:space="preserve">positio Commentatoris super librum de Anima... </w:t>
      </w:r>
      <w:r w:rsidR="08324611" w:rsidRPr="00273106">
        <w:rPr>
          <w:i/>
        </w:rPr>
        <w:t>pessima est et haeretica</w:t>
      </w:r>
      <w:r w:rsidR="08BF421B">
        <w:t xml:space="preserve">; OBJ III, </w:t>
      </w:r>
      <w:r w:rsidR="08324611" w:rsidRPr="00273106">
        <w:t>k</w:t>
      </w:r>
      <w:r w:rsidR="08BF421B">
        <w:t>ap. 4</w:t>
      </w:r>
      <w:r w:rsidR="08324611" w:rsidRPr="00273106">
        <w:t xml:space="preserve">.1.3). Bonaventura stejně jako Kilwardby a Rufus </w:t>
      </w:r>
      <w:r w:rsidR="08324611">
        <w:t xml:space="preserve">vědomě a sofisticky </w:t>
      </w:r>
      <w:r w:rsidR="08324611" w:rsidRPr="00273106">
        <w:t xml:space="preserve">desinterpretuje </w:t>
      </w:r>
      <w:r w:rsidR="08324611">
        <w:t>Averroes</w:t>
      </w:r>
      <w:r w:rsidR="08324611" w:rsidRPr="00273106">
        <w:t xml:space="preserve">e. Proto musí tohoto islámského filosofa označit ve stylu oxfordských </w:t>
      </w:r>
      <w:r w:rsidR="08324611" w:rsidRPr="00273106">
        <w:rPr>
          <w:i/>
        </w:rPr>
        <w:t>Modernorum</w:t>
      </w:r>
      <w:r w:rsidR="08324611" w:rsidRPr="00273106">
        <w:t xml:space="preserve"> za křesťanského heretika, aby spor převedl z věcné filosofické diskuze na mocenský a dogmatický diskurz. Ve stejném duchu pak pokračuje v další generaci Aegidius Romanus</w:t>
      </w:r>
      <w:r w:rsidR="08324611">
        <w:fldChar w:fldCharType="begin"/>
      </w:r>
      <w:r w:rsidR="08324611">
        <w:instrText xml:space="preserve"> XE "</w:instrText>
      </w:r>
      <w:r w:rsidR="08324611" w:rsidRPr="00B54432">
        <w:instrText>Aegidius Romanus</w:instrText>
      </w:r>
      <w:r w:rsidR="08324611">
        <w:instrText xml:space="preserve">" </w:instrText>
      </w:r>
      <w:r w:rsidR="08324611">
        <w:fldChar w:fldCharType="end"/>
      </w:r>
      <w:r w:rsidR="08324611" w:rsidRPr="00273106">
        <w:t xml:space="preserve">, který v díle </w:t>
      </w:r>
      <w:r w:rsidR="08324611">
        <w:rPr>
          <w:i/>
        </w:rPr>
        <w:t>De erroribus P</w:t>
      </w:r>
      <w:r w:rsidR="08324611" w:rsidRPr="00273106">
        <w:rPr>
          <w:i/>
        </w:rPr>
        <w:t>hilosophorum</w:t>
      </w:r>
      <w:r>
        <w:t xml:space="preserve"> (asi 1270</w:t>
      </w:r>
      <w:r w:rsidR="00E9141F">
        <w:t xml:space="preserve">) sofisticky doložil </w:t>
      </w:r>
      <w:r w:rsidR="08324611">
        <w:t>Averroes</w:t>
      </w:r>
      <w:r w:rsidR="08324611" w:rsidRPr="00273106">
        <w:t xml:space="preserve">ovu „herezi“ </w:t>
      </w:r>
      <w:r w:rsidR="08324611" w:rsidRPr="00273106">
        <w:rPr>
          <w:i/>
        </w:rPr>
        <w:t>ad hoc</w:t>
      </w:r>
      <w:r w:rsidR="08324611" w:rsidRPr="00273106">
        <w:t xml:space="preserve"> sestavenými teologickými citáty.</w:t>
      </w:r>
      <w:r w:rsidR="08324611" w:rsidRPr="00273106">
        <w:rPr>
          <w:rStyle w:val="Znakapoznpodarou"/>
        </w:rPr>
        <w:footnoteReference w:id="511"/>
      </w:r>
      <w:r w:rsidR="08324611" w:rsidRPr="00273106">
        <w:t xml:space="preserve"> Tuto sofistiku </w:t>
      </w:r>
      <w:r w:rsidR="00E9141F">
        <w:t>pak převzal</w:t>
      </w:r>
      <w:r w:rsidR="08324611" w:rsidRPr="00273106">
        <w:t xml:space="preserve"> </w:t>
      </w:r>
      <w:r w:rsidR="08324611">
        <w:t xml:space="preserve">Ernst </w:t>
      </w:r>
      <w:r w:rsidR="08324611" w:rsidRPr="00273106">
        <w:t>Renan</w:t>
      </w:r>
      <w:r w:rsidR="08324611">
        <w:fldChar w:fldCharType="begin"/>
      </w:r>
      <w:r w:rsidR="08324611">
        <w:instrText xml:space="preserve"> XE "</w:instrText>
      </w:r>
      <w:r w:rsidR="08324611" w:rsidRPr="0033182D">
        <w:instrText>Renan, E.</w:instrText>
      </w:r>
      <w:r w:rsidR="08324611">
        <w:instrText xml:space="preserve">" </w:instrText>
      </w:r>
      <w:r w:rsidR="08324611">
        <w:fldChar w:fldCharType="end"/>
      </w:r>
      <w:r w:rsidR="08324611" w:rsidRPr="00273106">
        <w:t xml:space="preserve"> a vytvo</w:t>
      </w:r>
      <w:r w:rsidR="00E9141F">
        <w:t>řil</w:t>
      </w:r>
      <w:r w:rsidR="08324611" w:rsidRPr="00273106">
        <w:t xml:space="preserve"> pro postmodernu </w:t>
      </w:r>
      <w:r w:rsidR="08324611">
        <w:t xml:space="preserve">objektivní </w:t>
      </w:r>
      <w:r w:rsidR="08831BA6">
        <w:t xml:space="preserve">nauku </w:t>
      </w:r>
      <w:r w:rsidR="08324611" w:rsidRPr="00273106">
        <w:t>o</w:t>
      </w:r>
      <w:r w:rsidR="085D0C29">
        <w:t xml:space="preserve"> západním averroismu.</w:t>
      </w:r>
    </w:p>
    <w:p w14:paraId="54B9795C" w14:textId="55A01F0D" w:rsidR="003779A9" w:rsidRPr="00273106" w:rsidRDefault="0892580F" w:rsidP="0097740B">
      <w:pPr>
        <w:ind w:firstLine="397"/>
      </w:pPr>
      <w:r>
        <w:t>J</w:t>
      </w:r>
      <w:r w:rsidR="00E04D6D">
        <w:t xml:space="preserve">ádrem sporu </w:t>
      </w:r>
      <w:r w:rsidR="085D0C29">
        <w:t xml:space="preserve">mezi oběma školami od roku 1250 </w:t>
      </w:r>
      <w:r w:rsidR="00E04D6D">
        <w:t>se stalo postavení teologie a filosofie</w:t>
      </w:r>
      <w:r w:rsidR="00595EEC">
        <w:fldChar w:fldCharType="begin"/>
      </w:r>
      <w:r w:rsidR="00595EEC">
        <w:instrText xml:space="preserve"> XE "</w:instrText>
      </w:r>
      <w:r w:rsidR="00595EEC" w:rsidRPr="00D2546E">
        <w:instrText>teorie dvojí pravdy</w:instrText>
      </w:r>
      <w:r w:rsidR="00595EEC">
        <w:instrText xml:space="preserve">" </w:instrText>
      </w:r>
      <w:r w:rsidR="00595EEC">
        <w:fldChar w:fldCharType="end"/>
      </w:r>
      <w:r w:rsidR="00E04D6D">
        <w:t xml:space="preserve">. </w:t>
      </w:r>
      <w:r w:rsidR="00912F89" w:rsidRPr="00273106">
        <w:t>V</w:t>
      </w:r>
      <w:r w:rsidR="08B07C64" w:rsidRPr="00273106">
        <w:t xml:space="preserve"> této zásadní věci </w:t>
      </w:r>
      <w:r w:rsidR="00912F89" w:rsidRPr="00273106">
        <w:t xml:space="preserve">rodového oddělení obou věd postulovaného </w:t>
      </w:r>
      <w:r w:rsidR="00912F89" w:rsidRPr="008B1D2B">
        <w:rPr>
          <w:i/>
        </w:rPr>
        <w:t>Druhými analytikami</w:t>
      </w:r>
      <w:r w:rsidR="00912F89" w:rsidRPr="00273106">
        <w:t xml:space="preserve"> </w:t>
      </w:r>
      <w:r w:rsidR="08B07C64" w:rsidRPr="00273106">
        <w:t xml:space="preserve">vznikl spor mezi Baconem a Bonaventurou, který není na první pohled vidět. </w:t>
      </w:r>
      <w:r w:rsidR="004D0CBF">
        <w:t>Bonaventura kritizuje studium filosofických děl, které mate teology.</w:t>
      </w:r>
      <w:r w:rsidR="004D0CBF" w:rsidRPr="00273106">
        <w:rPr>
          <w:rStyle w:val="Znakapoznpodarou"/>
        </w:rPr>
        <w:footnoteReference w:id="512"/>
      </w:r>
      <w:r w:rsidR="004D0CBF" w:rsidRPr="00273106">
        <w:t xml:space="preserve"> </w:t>
      </w:r>
      <w:r w:rsidR="004D0CBF">
        <w:t>Podobně</w:t>
      </w:r>
      <w:r w:rsidR="004D0CBF" w:rsidRPr="00C74FFA">
        <w:t xml:space="preserve"> negativně vidí </w:t>
      </w:r>
      <w:r w:rsidR="007E47CA">
        <w:t>„</w:t>
      </w:r>
      <w:r w:rsidR="004D0CBF" w:rsidRPr="00C74FFA">
        <w:rPr>
          <w:i/>
        </w:rPr>
        <w:t>curiositas</w:t>
      </w:r>
      <w:r w:rsidR="007E47CA">
        <w:t>“</w:t>
      </w:r>
      <w:r w:rsidR="004D0CBF" w:rsidRPr="00C74FFA">
        <w:t xml:space="preserve"> filosofie </w:t>
      </w:r>
      <w:r w:rsidR="004D0CBF">
        <w:t xml:space="preserve">dílo </w:t>
      </w:r>
      <w:r w:rsidR="004D0CBF" w:rsidRPr="00C74FFA">
        <w:rPr>
          <w:i/>
        </w:rPr>
        <w:t>Collationes de donis Spiritus sancti</w:t>
      </w:r>
      <w:r w:rsidR="004D0CBF">
        <w:t>.</w:t>
      </w:r>
      <w:r w:rsidR="004D0CBF">
        <w:rPr>
          <w:rStyle w:val="Znakapoznpodarou"/>
        </w:rPr>
        <w:footnoteReference w:id="513"/>
      </w:r>
      <w:r w:rsidR="004D0CBF">
        <w:t xml:space="preserve"> </w:t>
      </w:r>
      <w:r w:rsidR="08B07C64" w:rsidRPr="00273106">
        <w:t xml:space="preserve">Baconův </w:t>
      </w:r>
      <w:r w:rsidR="08B07C64" w:rsidRPr="00273106">
        <w:rPr>
          <w:i/>
        </w:rPr>
        <w:t xml:space="preserve">Opus minus </w:t>
      </w:r>
      <w:r w:rsidR="008B1D2B">
        <w:t xml:space="preserve"> </w:t>
      </w:r>
      <w:r w:rsidR="00261F7B">
        <w:t xml:space="preserve">zase </w:t>
      </w:r>
      <w:r w:rsidR="008B1D2B">
        <w:t xml:space="preserve">zásadně polemizoval s </w:t>
      </w:r>
      <w:r w:rsidR="08B07C64" w:rsidRPr="00273106">
        <w:t>centrální část</w:t>
      </w:r>
      <w:r w:rsidR="008B1D2B">
        <w:t>í</w:t>
      </w:r>
      <w:r w:rsidR="08B07C64" w:rsidRPr="00273106">
        <w:t xml:space="preserve"> Bonaventurovy nauky</w:t>
      </w:r>
      <w:r w:rsidR="00261F7B">
        <w:t xml:space="preserve">, která požadovala </w:t>
      </w:r>
      <w:r w:rsidR="08B07C64" w:rsidRPr="00273106">
        <w:t xml:space="preserve">nezávislost </w:t>
      </w:r>
      <w:r w:rsidR="008B1D2B">
        <w:t xml:space="preserve">nové </w:t>
      </w:r>
      <w:r w:rsidR="08B07C64" w:rsidRPr="00273106">
        <w:t xml:space="preserve">teologie na </w:t>
      </w:r>
      <w:r w:rsidR="008B1D2B">
        <w:t xml:space="preserve">klasické aristotelské </w:t>
      </w:r>
      <w:r w:rsidR="08B07C64" w:rsidRPr="00273106">
        <w:t>filosofii</w:t>
      </w:r>
      <w:r w:rsidR="008B1D2B">
        <w:t xml:space="preserve"> podané </w:t>
      </w:r>
      <w:r w:rsidR="082F2D63">
        <w:rPr>
          <w:i/>
        </w:rPr>
        <w:t>ad mentem Averrois</w:t>
      </w:r>
      <w:r w:rsidR="082515AA">
        <w:rPr>
          <w:i/>
        </w:rPr>
        <w:fldChar w:fldCharType="begin"/>
      </w:r>
      <w:r w:rsidR="082515AA">
        <w:instrText xml:space="preserve"> XE "</w:instrText>
      </w:r>
      <w:r w:rsidR="082F2D63">
        <w:rPr>
          <w:i/>
        </w:rPr>
        <w:instrText>ad mentem Averrois</w:instrText>
      </w:r>
      <w:r w:rsidR="082515AA">
        <w:instrText xml:space="preserve">" </w:instrText>
      </w:r>
      <w:r w:rsidR="082515AA">
        <w:rPr>
          <w:i/>
        </w:rPr>
        <w:fldChar w:fldCharType="end"/>
      </w:r>
      <w:r w:rsidR="08B07C64" w:rsidRPr="00273106">
        <w:t>.</w:t>
      </w:r>
      <w:r w:rsidR="00166FB2">
        <w:t xml:space="preserve"> </w:t>
      </w:r>
      <w:r w:rsidR="08B07C64" w:rsidRPr="00273106">
        <w:t xml:space="preserve">Bacon odmítl tezi, že by </w:t>
      </w:r>
      <w:r w:rsidR="00F43CB8">
        <w:t xml:space="preserve">chybná </w:t>
      </w:r>
      <w:r w:rsidR="08B07C64" w:rsidRPr="00273106">
        <w:t xml:space="preserve">filosofie </w:t>
      </w:r>
      <w:r w:rsidR="00166FB2">
        <w:t xml:space="preserve">modernistů </w:t>
      </w:r>
      <w:r w:rsidR="08B07C64" w:rsidRPr="00273106">
        <w:t>měla ovládat teologii (</w:t>
      </w:r>
      <w:r w:rsidR="08B07C64" w:rsidRPr="00273106">
        <w:rPr>
          <w:i/>
        </w:rPr>
        <w:t>philosophia dominatur in usu theologiam</w:t>
      </w:r>
      <w:r w:rsidR="08B07C64" w:rsidRPr="00273106">
        <w:t>).</w:t>
      </w:r>
      <w:r w:rsidR="00637691" w:rsidRPr="00273106">
        <w:rPr>
          <w:rStyle w:val="Znakapoznpodarou"/>
        </w:rPr>
        <w:footnoteReference w:id="514"/>
      </w:r>
      <w:r w:rsidR="000D3029" w:rsidRPr="00273106">
        <w:t xml:space="preserve"> </w:t>
      </w:r>
      <w:r w:rsidR="08B07C64" w:rsidRPr="00273106">
        <w:t xml:space="preserve">Bacon hájí </w:t>
      </w:r>
      <w:r w:rsidR="08DD5086">
        <w:t xml:space="preserve">teorii </w:t>
      </w:r>
      <w:r w:rsidR="002A6C71">
        <w:t>dvojí</w:t>
      </w:r>
      <w:r w:rsidR="08DD5086">
        <w:t xml:space="preserve"> cesty k pravdě </w:t>
      </w:r>
      <w:r w:rsidR="08B07C64" w:rsidRPr="00273106">
        <w:t>ve smyslu vlastní důstojnosti jak teologie, tak i filosofie (</w:t>
      </w:r>
      <w:r w:rsidR="08B07C64" w:rsidRPr="00273106">
        <w:rPr>
          <w:i/>
        </w:rPr>
        <w:t>dignitatis philosophia</w:t>
      </w:r>
      <w:r w:rsidR="08B07C64" w:rsidRPr="00273106">
        <w:t>). Každá věda má vlastní obor zkoumání a pravdivosti, proto žádný druh vědění nesmí zvnějšku determinovat jiný druh vědy (</w:t>
      </w:r>
      <w:r w:rsidR="08B07C64" w:rsidRPr="00273106">
        <w:rPr>
          <w:i/>
        </w:rPr>
        <w:t>nulla facultate extranea debet dominari</w:t>
      </w:r>
      <w:r w:rsidR="08B07C64" w:rsidRPr="00273106">
        <w:t xml:space="preserve">). </w:t>
      </w:r>
      <w:r w:rsidR="08D85052">
        <w:t xml:space="preserve">Magistři </w:t>
      </w:r>
      <w:r w:rsidR="08B50FD8">
        <w:t xml:space="preserve">na Rue du Fouarre </w:t>
      </w:r>
      <w:r w:rsidR="08D85052">
        <w:t xml:space="preserve">chránící kritické pojetí vědy </w:t>
      </w:r>
      <w:r w:rsidR="08BE7BAB">
        <w:t>proti</w:t>
      </w:r>
      <w:r w:rsidR="08D85052">
        <w:t xml:space="preserve"> modernistům všeho druhu zásadně upozornili na platnost </w:t>
      </w:r>
      <w:r w:rsidR="08B07C64" w:rsidRPr="00166FB2">
        <w:rPr>
          <w:i/>
        </w:rPr>
        <w:t>Druhých analytik</w:t>
      </w:r>
      <w:r w:rsidR="08B07C64" w:rsidRPr="00273106">
        <w:t xml:space="preserve"> o nemožnosti přechodu z jednoho rodu na druhý</w:t>
      </w:r>
      <w:r w:rsidR="08B07C64" w:rsidRPr="00273106">
        <w:rPr>
          <w:i/>
        </w:rPr>
        <w:t xml:space="preserve"> </w:t>
      </w:r>
      <w:r w:rsidR="08B07C64" w:rsidRPr="00273106">
        <w:t>v rámci jednoho</w:t>
      </w:r>
      <w:r w:rsidR="08B07C64" w:rsidRPr="00273106">
        <w:rPr>
          <w:i/>
        </w:rPr>
        <w:t xml:space="preserve"> demonstratio</w:t>
      </w:r>
      <w:r w:rsidR="007A6052">
        <w:rPr>
          <w:i/>
        </w:rPr>
        <w:fldChar w:fldCharType="begin"/>
      </w:r>
      <w:r w:rsidR="007A6052">
        <w:instrText xml:space="preserve"> XE "</w:instrText>
      </w:r>
      <w:r w:rsidR="007A6052" w:rsidRPr="004E6075">
        <w:rPr>
          <w:i/>
        </w:rPr>
        <w:instrText>demonstratio:</w:instrText>
      </w:r>
      <w:r w:rsidR="008E02F5">
        <w:instrText>Aristoteles</w:instrText>
      </w:r>
      <w:r w:rsidR="007A6052">
        <w:instrText xml:space="preserve">" </w:instrText>
      </w:r>
      <w:r w:rsidR="007A6052">
        <w:rPr>
          <w:i/>
        </w:rPr>
        <w:fldChar w:fldCharType="end"/>
      </w:r>
      <w:r w:rsidR="08B07C64" w:rsidRPr="00273106">
        <w:t xml:space="preserve">. </w:t>
      </w:r>
      <w:r w:rsidR="08943530">
        <w:t>T</w:t>
      </w:r>
      <w:r w:rsidR="00DB371F">
        <w:t xml:space="preserve">oto stanovisko hájili v prohlášení Pařížské univerzity z 1. dubna </w:t>
      </w:r>
      <w:r w:rsidR="00DB371F" w:rsidRPr="00273106">
        <w:t>1272</w:t>
      </w:r>
      <w:r w:rsidR="00DB371F">
        <w:rPr>
          <w:szCs w:val="24"/>
        </w:rPr>
        <w:fldChar w:fldCharType="begin"/>
      </w:r>
      <w:r w:rsidR="00DB371F">
        <w:instrText xml:space="preserve"> XE "</w:instrText>
      </w:r>
      <w:r w:rsidR="00DB371F" w:rsidRPr="00FD37CA">
        <w:rPr>
          <w:szCs w:val="24"/>
        </w:rPr>
        <w:instrText>dekret artistů 1272</w:instrText>
      </w:r>
      <w:r w:rsidR="00DB371F">
        <w:instrText xml:space="preserve">" </w:instrText>
      </w:r>
      <w:r w:rsidR="00DB371F">
        <w:rPr>
          <w:szCs w:val="24"/>
        </w:rPr>
        <w:fldChar w:fldCharType="end"/>
      </w:r>
      <w:r w:rsidR="00DB371F">
        <w:rPr>
          <w:szCs w:val="24"/>
        </w:rPr>
        <w:t xml:space="preserve"> (</w:t>
      </w:r>
      <w:r w:rsidR="082922C4">
        <w:rPr>
          <w:szCs w:val="24"/>
        </w:rPr>
        <w:t>OBJ III, kap. 4</w:t>
      </w:r>
      <w:r w:rsidR="00DB371F">
        <w:rPr>
          <w:szCs w:val="24"/>
        </w:rPr>
        <w:t xml:space="preserve">.1.2). </w:t>
      </w:r>
      <w:r w:rsidR="08943530">
        <w:rPr>
          <w:szCs w:val="24"/>
        </w:rPr>
        <w:t>A to byl důvod odchodu Akvinského</w:t>
      </w:r>
      <w:r w:rsidR="08BE7BAB">
        <w:rPr>
          <w:szCs w:val="24"/>
        </w:rPr>
        <w:t xml:space="preserve"> z Paříže</w:t>
      </w:r>
      <w:r w:rsidR="08741901">
        <w:rPr>
          <w:szCs w:val="24"/>
        </w:rPr>
        <w:t xml:space="preserve"> na konci dubna 1272</w:t>
      </w:r>
      <w:r w:rsidR="08943530">
        <w:rPr>
          <w:szCs w:val="24"/>
        </w:rPr>
        <w:t xml:space="preserve">, </w:t>
      </w:r>
      <w:r w:rsidR="08BE7BAB">
        <w:rPr>
          <w:szCs w:val="24"/>
        </w:rPr>
        <w:t xml:space="preserve">protože tento teolog </w:t>
      </w:r>
      <w:r w:rsidR="08943530">
        <w:rPr>
          <w:szCs w:val="24"/>
        </w:rPr>
        <w:t xml:space="preserve">nebyl ochoten </w:t>
      </w:r>
      <w:r w:rsidR="08BE7BAB">
        <w:rPr>
          <w:szCs w:val="24"/>
        </w:rPr>
        <w:t xml:space="preserve">uznat tuto </w:t>
      </w:r>
      <w:r w:rsidR="08943530">
        <w:rPr>
          <w:szCs w:val="24"/>
        </w:rPr>
        <w:t xml:space="preserve">dvojí </w:t>
      </w:r>
      <w:r w:rsidR="08BE7BAB">
        <w:rPr>
          <w:szCs w:val="24"/>
        </w:rPr>
        <w:t xml:space="preserve">cestu </w:t>
      </w:r>
      <w:r w:rsidR="08167D87">
        <w:rPr>
          <w:szCs w:val="24"/>
        </w:rPr>
        <w:t xml:space="preserve">vědeckého zkoumání </w:t>
      </w:r>
      <w:r w:rsidR="08BE7BAB">
        <w:rPr>
          <w:szCs w:val="24"/>
        </w:rPr>
        <w:t>podle vý</w:t>
      </w:r>
      <w:r w:rsidR="08943530">
        <w:rPr>
          <w:szCs w:val="24"/>
        </w:rPr>
        <w:t xml:space="preserve">kladu </w:t>
      </w:r>
      <w:r w:rsidR="08943530" w:rsidRPr="08BE7BAB">
        <w:rPr>
          <w:i/>
          <w:szCs w:val="24"/>
        </w:rPr>
        <w:t>Druhýc</w:t>
      </w:r>
      <w:r w:rsidR="08BE7BAB" w:rsidRPr="08BE7BAB">
        <w:rPr>
          <w:i/>
          <w:szCs w:val="24"/>
        </w:rPr>
        <w:t>h</w:t>
      </w:r>
      <w:r w:rsidR="08943530" w:rsidRPr="08BE7BAB">
        <w:rPr>
          <w:i/>
          <w:szCs w:val="24"/>
        </w:rPr>
        <w:t xml:space="preserve"> analytik</w:t>
      </w:r>
      <w:r w:rsidR="08BE7BAB">
        <w:rPr>
          <w:szCs w:val="24"/>
        </w:rPr>
        <w:t xml:space="preserve"> </w:t>
      </w:r>
      <w:r w:rsidR="08167D87">
        <w:rPr>
          <w:szCs w:val="24"/>
        </w:rPr>
        <w:t>po</w:t>
      </w:r>
      <w:r w:rsidR="08BE7BAB">
        <w:rPr>
          <w:szCs w:val="24"/>
        </w:rPr>
        <w:t>daného</w:t>
      </w:r>
      <w:r w:rsidR="08BE7BAB" w:rsidRPr="08BE7BAB">
        <w:rPr>
          <w:i/>
          <w:szCs w:val="24"/>
        </w:rPr>
        <w:t xml:space="preserve"> ad mentem Averrois</w:t>
      </w:r>
      <w:r w:rsidR="08943530">
        <w:rPr>
          <w:szCs w:val="24"/>
        </w:rPr>
        <w:t xml:space="preserve">. </w:t>
      </w:r>
      <w:r w:rsidR="0827686E" w:rsidRPr="00273106">
        <w:t xml:space="preserve">Předešlé kapitoly </w:t>
      </w:r>
      <w:r w:rsidR="0018216E">
        <w:t xml:space="preserve">a Erfurtský anonym </w:t>
      </w:r>
      <w:r w:rsidR="0827686E" w:rsidRPr="00273106">
        <w:t>ukázaly</w:t>
      </w:r>
      <w:r w:rsidR="08B07C64" w:rsidRPr="00273106">
        <w:t>, že druhý averroi</w:t>
      </w:r>
      <w:r w:rsidR="00DA6E0E">
        <w:t>s</w:t>
      </w:r>
      <w:r w:rsidR="08B07C64" w:rsidRPr="00273106">
        <w:t xml:space="preserve">mus </w:t>
      </w:r>
      <w:r w:rsidR="000B52C2" w:rsidRPr="00273106">
        <w:t xml:space="preserve">zrušil </w:t>
      </w:r>
      <w:r w:rsidR="08B07C64" w:rsidRPr="00273106">
        <w:t xml:space="preserve">tezi </w:t>
      </w:r>
      <w:r w:rsidR="000B52C2">
        <w:t xml:space="preserve">rodové odlišnosti věd </w:t>
      </w:r>
      <w:r w:rsidR="08B07C64" w:rsidRPr="00273106">
        <w:t>ve prospěch nového druhu univoční predikace jsoucna</w:t>
      </w:r>
      <w:r w:rsidR="00B155E2">
        <w:t xml:space="preserve"> dané v rámci univerzální supozice</w:t>
      </w:r>
      <w:r w:rsidR="08167D87">
        <w:t xml:space="preserve">. </w:t>
      </w:r>
      <w:r w:rsidR="0061141B" w:rsidRPr="00273106">
        <w:t xml:space="preserve">Útok druhého averroismu na </w:t>
      </w:r>
      <w:r w:rsidR="00BD7973" w:rsidRPr="00273106">
        <w:t xml:space="preserve">aristotelskou </w:t>
      </w:r>
      <w:r w:rsidR="0061141B" w:rsidRPr="00273106">
        <w:t>filosofi</w:t>
      </w:r>
      <w:r w:rsidR="00BD7973" w:rsidRPr="00273106">
        <w:t xml:space="preserve">i se vede </w:t>
      </w:r>
      <w:r w:rsidR="00DA6E0E">
        <w:t xml:space="preserve">od roku 1250 </w:t>
      </w:r>
      <w:r w:rsidR="0061141B" w:rsidRPr="00273106">
        <w:t xml:space="preserve">z pozice chybně postavené unitární ontoteologie </w:t>
      </w:r>
      <w:r w:rsidR="0061141B" w:rsidRPr="00273106">
        <w:rPr>
          <w:i/>
        </w:rPr>
        <w:t>Modernorum</w:t>
      </w:r>
      <w:r w:rsidR="00D471D6">
        <w:t>.</w:t>
      </w:r>
      <w:r w:rsidR="087629CB">
        <w:t xml:space="preserve"> </w:t>
      </w:r>
      <w:r w:rsidR="00435191">
        <w:t xml:space="preserve">Moderní ilumináti </w:t>
      </w:r>
      <w:r w:rsidR="0013081D" w:rsidRPr="00273106">
        <w:t xml:space="preserve">nemusí pracně hledat adekvaci myšlení s realitou, protože mají absolutní, tedy zcela oddělenou jistotu svého dogmaticky a objektivně daného </w:t>
      </w:r>
      <w:r w:rsidR="0013081D" w:rsidRPr="00273106">
        <w:rPr>
          <w:i/>
        </w:rPr>
        <w:t>rectitudo</w:t>
      </w:r>
      <w:r w:rsidR="0013081D" w:rsidRPr="00273106">
        <w:t xml:space="preserve">. </w:t>
      </w:r>
      <w:r w:rsidR="00066956">
        <w:t>A</w:t>
      </w:r>
      <w:r w:rsidR="00B766D0" w:rsidRPr="00273106">
        <w:t>ristotelikové se stali akademickými diside</w:t>
      </w:r>
      <w:r w:rsidR="00497DDB">
        <w:t xml:space="preserve">nty v Paříži až kolem 1270. Ale </w:t>
      </w:r>
      <w:r w:rsidR="00C3742B" w:rsidRPr="00273106">
        <w:t xml:space="preserve">Bacon byl </w:t>
      </w:r>
      <w:r w:rsidR="00B766D0" w:rsidRPr="00273106">
        <w:t xml:space="preserve">filosofickým disidentem už po </w:t>
      </w:r>
      <w:r w:rsidR="00275C66">
        <w:t xml:space="preserve">roce </w:t>
      </w:r>
      <w:r w:rsidR="00B766D0" w:rsidRPr="00273106">
        <w:t xml:space="preserve">1245 </w:t>
      </w:r>
      <w:r w:rsidR="00497DDB">
        <w:t xml:space="preserve">za Kilwardbyho rektorování </w:t>
      </w:r>
      <w:r w:rsidR="00C3742B" w:rsidRPr="00273106">
        <w:t xml:space="preserve">na Oxfordu </w:t>
      </w:r>
      <w:r w:rsidR="00C3742B">
        <w:t xml:space="preserve">a později v Paříži </w:t>
      </w:r>
      <w:r w:rsidR="00B766D0" w:rsidRPr="00273106">
        <w:t xml:space="preserve">až do své smrti. Na univerzitě v Paříži ovládané Bonaventurou a školou druhého averroismu se Baconovu osudu vyhnul </w:t>
      </w:r>
      <w:r w:rsidR="00606152">
        <w:t>dominikán</w:t>
      </w:r>
      <w:r w:rsidR="08A2247B">
        <w:t xml:space="preserve"> </w:t>
      </w:r>
      <w:r w:rsidR="00606152">
        <w:t xml:space="preserve">a semiaverroista </w:t>
      </w:r>
      <w:r w:rsidR="00B766D0" w:rsidRPr="00273106">
        <w:t>Tomáš Akvinský, ale nikoliv sekulární magistr Siger z Brabantu</w:t>
      </w:r>
      <w:r w:rsidR="00606152">
        <w:t xml:space="preserve"> jako brilantní znalec Averroese a aristotelské metafyziky</w:t>
      </w:r>
      <w:r w:rsidR="00B766D0" w:rsidRPr="00273106">
        <w:t xml:space="preserve">. Za </w:t>
      </w:r>
      <w:r w:rsidR="0021111F">
        <w:t xml:space="preserve">tímto magistrem a rektorem artistů </w:t>
      </w:r>
      <w:r w:rsidR="00B766D0" w:rsidRPr="00273106">
        <w:t>nestála autorita žádné řádové školy, ale pouze jeho vlastní genialita a intelektuální poctivost</w:t>
      </w:r>
      <w:r w:rsidR="00435A96">
        <w:t xml:space="preserve"> spojená s obranou akademických svobod proti dogmatickým modernistům hájícím moc jedné pravdy</w:t>
      </w:r>
      <w:r w:rsidR="081C3110">
        <w:t>.</w:t>
      </w:r>
      <w:r w:rsidR="08CE7DA3">
        <w:t xml:space="preserve"> </w:t>
      </w:r>
      <w:r w:rsidR="08B07C64" w:rsidRPr="00273106">
        <w:t xml:space="preserve">Všechny tyto základní změny určují postup hermeneutiky při zkoumání </w:t>
      </w:r>
      <w:r w:rsidR="00100828">
        <w:t xml:space="preserve">následující </w:t>
      </w:r>
      <w:r w:rsidR="08B07C64" w:rsidRPr="00273106">
        <w:t>matr</w:t>
      </w:r>
      <w:r w:rsidR="00D31830">
        <w:t xml:space="preserve">ice objektivity </w:t>
      </w:r>
      <w:r w:rsidR="00100828">
        <w:t>1250</w:t>
      </w:r>
      <w:r w:rsidR="00D31830">
        <w:t>‒</w:t>
      </w:r>
      <w:r w:rsidR="00141053">
        <w:t>7</w:t>
      </w:r>
      <w:r w:rsidR="00100828">
        <w:t>7</w:t>
      </w:r>
      <w:r w:rsidR="08B07C64" w:rsidRPr="00273106">
        <w:t xml:space="preserve">. Spor mezi Bonaventurou, Kilwardbym, </w:t>
      </w:r>
      <w:r w:rsidR="004F3E0F">
        <w:t>Pecham</w:t>
      </w:r>
      <w:r w:rsidR="08B07C64" w:rsidRPr="00273106">
        <w:t>em na jedné straně, a mezi Baconem, Sigerem, Akvinským, Albertem a na straně druhé, má charakter zásad</w:t>
      </w:r>
      <w:r w:rsidR="00BC597E" w:rsidRPr="00273106">
        <w:t>ního střetu dvou škol myšlení. Konflikt mezi o</w:t>
      </w:r>
      <w:r w:rsidR="0047148F" w:rsidRPr="00273106">
        <w:t>b</w:t>
      </w:r>
      <w:r w:rsidR="00BC597E" w:rsidRPr="00273106">
        <w:t>ěma školami vypukl naplno v Paříži po 125</w:t>
      </w:r>
      <w:r w:rsidR="00F2595C" w:rsidRPr="00273106">
        <w:t xml:space="preserve">0 </w:t>
      </w:r>
      <w:r w:rsidR="00BC597E" w:rsidRPr="00273106">
        <w:t xml:space="preserve">a </w:t>
      </w:r>
      <w:r w:rsidR="08B07C64" w:rsidRPr="00273106">
        <w:t>posunul spor averroism</w:t>
      </w:r>
      <w:r w:rsidR="00B47DB8">
        <w:t>us</w:t>
      </w:r>
      <w:r w:rsidR="08B07C64" w:rsidRPr="00273106">
        <w:t xml:space="preserve"> do další etapy. Po tomto datu </w:t>
      </w:r>
      <w:r w:rsidR="0037314C" w:rsidRPr="00273106">
        <w:t xml:space="preserve">opustilo </w:t>
      </w:r>
      <w:r w:rsidR="08B07C64" w:rsidRPr="00273106">
        <w:t>objektivní vidění světa uzavřené prostředí artistických fakult Paříže a Oxfordu a začalo epochální působení na celém latinském Západě.</w:t>
      </w:r>
      <w:r w:rsidR="081B0EDB" w:rsidRPr="00273106">
        <w:t xml:space="preserve"> </w:t>
      </w:r>
    </w:p>
    <w:p w14:paraId="6A71A4EC" w14:textId="77777777" w:rsidR="00023636" w:rsidRPr="00273106" w:rsidRDefault="08626077" w:rsidP="00751462">
      <w:pPr>
        <w:pStyle w:val="Nadpis2"/>
      </w:pPr>
      <w:bookmarkStart w:id="145" w:name="_Toc487234326"/>
      <w:bookmarkStart w:id="146" w:name="_Toc12558333"/>
      <w:r>
        <w:rPr>
          <w:lang w:val="cs-CZ"/>
        </w:rPr>
        <w:br w:type="page"/>
      </w:r>
      <w:bookmarkStart w:id="147" w:name="_Toc160449346"/>
      <w:r w:rsidR="08D20D28">
        <w:rPr>
          <w:lang w:val="cs-CZ"/>
        </w:rPr>
        <w:t>3</w:t>
      </w:r>
      <w:r w:rsidR="00050538" w:rsidRPr="00273106">
        <w:t>.5</w:t>
      </w:r>
      <w:r w:rsidR="00751462" w:rsidRPr="00273106">
        <w:t xml:space="preserve"> </w:t>
      </w:r>
      <w:r w:rsidR="08B84E88">
        <w:rPr>
          <w:lang w:val="cs-CZ"/>
        </w:rPr>
        <w:t>Modernizace avicennismu</w:t>
      </w:r>
      <w:bookmarkEnd w:id="145"/>
      <w:bookmarkEnd w:id="146"/>
      <w:bookmarkEnd w:id="147"/>
    </w:p>
    <w:p w14:paraId="1AFA584D" w14:textId="36809646" w:rsidR="00CE66C0" w:rsidRDefault="089F00B5" w:rsidP="00C252C8">
      <w:r>
        <w:rPr>
          <w:rStyle w:val="st"/>
        </w:rPr>
        <w:t xml:space="preserve">Hermeneutická archeologie pomocí triády dějinnosti, dějin a historie určila způsob a místo vzniku </w:t>
      </w:r>
      <w:r w:rsidRPr="00273106">
        <w:rPr>
          <w:rStyle w:val="st"/>
        </w:rPr>
        <w:t>moderní vědy</w:t>
      </w:r>
      <w:r>
        <w:rPr>
          <w:rStyle w:val="st"/>
        </w:rPr>
        <w:t xml:space="preserve"> </w:t>
      </w:r>
      <w:r w:rsidR="082F1027">
        <w:rPr>
          <w:rStyle w:val="st"/>
        </w:rPr>
        <w:t>(</w:t>
      </w:r>
      <w:r w:rsidR="082F1027" w:rsidRPr="082F1027">
        <w:rPr>
          <w:rStyle w:val="st"/>
          <w:i/>
        </w:rPr>
        <w:t>ortus scientiarum</w:t>
      </w:r>
      <w:r w:rsidR="082F1027">
        <w:rPr>
          <w:rStyle w:val="st"/>
          <w:i/>
        </w:rPr>
        <w:fldChar w:fldCharType="begin"/>
      </w:r>
      <w:r w:rsidR="082F1027">
        <w:instrText xml:space="preserve"> XE "</w:instrText>
      </w:r>
      <w:r w:rsidR="082F1027" w:rsidRPr="08472F12">
        <w:rPr>
          <w:rStyle w:val="st"/>
          <w:i/>
        </w:rPr>
        <w:instrText>ortus scientiarum</w:instrText>
      </w:r>
      <w:r w:rsidR="082F1027">
        <w:instrText xml:space="preserve">" </w:instrText>
      </w:r>
      <w:r w:rsidR="082F1027">
        <w:rPr>
          <w:rStyle w:val="st"/>
          <w:i/>
        </w:rPr>
        <w:fldChar w:fldCharType="end"/>
      </w:r>
      <w:r w:rsidR="082F1027">
        <w:rPr>
          <w:rStyle w:val="st"/>
        </w:rPr>
        <w:t>)</w:t>
      </w:r>
      <w:r w:rsidR="00B5518A">
        <w:rPr>
          <w:rStyle w:val="st"/>
        </w:rPr>
        <w:t xml:space="preserve">. </w:t>
      </w:r>
      <w:r w:rsidR="00B5518A" w:rsidRPr="00273106">
        <w:t xml:space="preserve">Myšlená existence věci se stala </w:t>
      </w:r>
      <w:r w:rsidR="00B5518A">
        <w:t xml:space="preserve">objektivním </w:t>
      </w:r>
      <w:r w:rsidR="00B5518A" w:rsidRPr="00273106">
        <w:t xml:space="preserve">tělem jako u </w:t>
      </w:r>
      <w:r w:rsidR="00B5518A" w:rsidRPr="00273106">
        <w:rPr>
          <w:i/>
        </w:rPr>
        <w:t>Nominales</w:t>
      </w:r>
      <w:r w:rsidR="00B5518A">
        <w:t xml:space="preserve"> (kap. 1.6). Tato pseudo-věc (</w:t>
      </w:r>
      <w:r w:rsidR="00B5518A" w:rsidRPr="003F48C0">
        <w:rPr>
          <w:i/>
        </w:rPr>
        <w:t>res</w:t>
      </w:r>
      <w:r w:rsidR="00B5518A">
        <w:t xml:space="preserve">) přišla do světa a do moderního myšlení jako do toho, co její epochálně vlastní </w:t>
      </w:r>
      <w:r w:rsidR="00344195">
        <w:t>(</w:t>
      </w:r>
      <w:r w:rsidR="00344195" w:rsidRPr="00230060">
        <w:rPr>
          <w:i/>
        </w:rPr>
        <w:t xml:space="preserve">eís </w:t>
      </w:r>
      <w:r w:rsidR="00344195" w:rsidRPr="00344195">
        <w:rPr>
          <w:i/>
        </w:rPr>
        <w:t>ídion</w:t>
      </w:r>
      <w:r w:rsidR="00344195">
        <w:t xml:space="preserve">) </w:t>
      </w:r>
      <w:r w:rsidR="00B5518A" w:rsidRPr="00344195">
        <w:t>a</w:t>
      </w:r>
      <w:r w:rsidR="00B5518A">
        <w:t xml:space="preserve"> co je nutné k jejímu dějinnému pobytu </w:t>
      </w:r>
      <w:r w:rsidR="00344195">
        <w:t xml:space="preserve">v takto určené epoše </w:t>
      </w:r>
      <w:r w:rsidR="00B5518A">
        <w:t>(</w:t>
      </w:r>
      <w:r w:rsidR="00B5518A">
        <w:rPr>
          <w:i/>
        </w:rPr>
        <w:t>Ereignen</w:t>
      </w:r>
      <w:r w:rsidR="00B5518A">
        <w:rPr>
          <w:i/>
        </w:rPr>
        <w:fldChar w:fldCharType="begin"/>
      </w:r>
      <w:r w:rsidR="00B5518A">
        <w:instrText xml:space="preserve"> XE "</w:instrText>
      </w:r>
      <w:r w:rsidR="00B5518A" w:rsidRPr="00DC10D0">
        <w:rPr>
          <w:i/>
        </w:rPr>
        <w:instrText>Ereignen</w:instrText>
      </w:r>
      <w:r w:rsidR="00B5518A">
        <w:instrText xml:space="preserve">" </w:instrText>
      </w:r>
      <w:r w:rsidR="00B5518A">
        <w:rPr>
          <w:i/>
        </w:rPr>
        <w:fldChar w:fldCharType="end"/>
      </w:r>
      <w:r w:rsidR="00B5518A">
        <w:t xml:space="preserve">). </w:t>
      </w:r>
      <w:r w:rsidR="00A3479D" w:rsidRPr="00A3479D">
        <w:t xml:space="preserve">Od dob učených </w:t>
      </w:r>
      <w:r w:rsidR="00A3479D" w:rsidRPr="00A3479D">
        <w:rPr>
          <w:i/>
        </w:rPr>
        <w:t>Latinorum</w:t>
      </w:r>
      <w:r w:rsidR="00A3479D" w:rsidRPr="00A3479D">
        <w:t xml:space="preserve"> toto </w:t>
      </w:r>
      <w:r w:rsidR="00A3479D" w:rsidRPr="00A3479D">
        <w:rPr>
          <w:i/>
        </w:rPr>
        <w:t>tertium ens</w:t>
      </w:r>
      <w:r w:rsidR="00A3479D" w:rsidRPr="00A3479D">
        <w:t xml:space="preserve"> přebývá mezi všemi vzdělanými </w:t>
      </w:r>
      <w:r w:rsidR="00A3479D">
        <w:t>lidmi v podobě objektivního jsoucna</w:t>
      </w:r>
      <w:r w:rsidR="00A3479D" w:rsidRPr="00A3479D">
        <w:t xml:space="preserve">. Západní ilumináti přijali toto </w:t>
      </w:r>
      <w:r w:rsidR="00A3479D" w:rsidRPr="00A3479D">
        <w:rPr>
          <w:i/>
        </w:rPr>
        <w:t>tertium ens</w:t>
      </w:r>
      <w:r w:rsidR="00A3479D" w:rsidRPr="00A3479D">
        <w:t xml:space="preserve"> jako svou vlastní věc </w:t>
      </w:r>
      <w:r w:rsidR="00A3479D">
        <w:t xml:space="preserve">myšlení </w:t>
      </w:r>
      <w:r w:rsidR="00A3479D" w:rsidRPr="00A3479D">
        <w:t>(</w:t>
      </w:r>
      <w:r w:rsidR="00A3479D" w:rsidRPr="00A3479D">
        <w:rPr>
          <w:i/>
        </w:rPr>
        <w:t>idiotés</w:t>
      </w:r>
      <w:r w:rsidR="00A3479D" w:rsidRPr="00A3479D">
        <w:t>). S</w:t>
      </w:r>
      <w:r w:rsidR="00A3479D">
        <w:t xml:space="preserve">krze takto dějinně určený </w:t>
      </w:r>
      <w:r w:rsidR="00A3479D" w:rsidRPr="00A3479D">
        <w:rPr>
          <w:i/>
        </w:rPr>
        <w:t xml:space="preserve">genitivus subiectivus </w:t>
      </w:r>
      <w:r w:rsidR="00A3479D" w:rsidRPr="00A3479D">
        <w:t>a</w:t>
      </w:r>
      <w:r w:rsidR="00A3479D" w:rsidRPr="00A3479D">
        <w:rPr>
          <w:i/>
        </w:rPr>
        <w:t xml:space="preserve"> obiectivus</w:t>
      </w:r>
      <w:r w:rsidR="00A3479D" w:rsidRPr="00A3479D">
        <w:t xml:space="preserve"> modern</w:t>
      </w:r>
      <w:r w:rsidR="00A3479D">
        <w:t>y</w:t>
      </w:r>
      <w:r w:rsidR="00A3479D" w:rsidRPr="00A3479D">
        <w:t xml:space="preserve"> nabývá toto idiotské </w:t>
      </w:r>
      <w:r w:rsidR="00A3479D" w:rsidRPr="00A3479D">
        <w:rPr>
          <w:i/>
        </w:rPr>
        <w:t>tertium ens</w:t>
      </w:r>
      <w:r w:rsidR="00A3479D" w:rsidRPr="00A3479D">
        <w:t xml:space="preserve"> v</w:t>
      </w:r>
      <w:r w:rsidR="00A3479D">
        <w:t xml:space="preserve"> průběhu </w:t>
      </w:r>
      <w:r w:rsidR="00A3479D" w:rsidRPr="00A3479D">
        <w:t xml:space="preserve">západních dějin </w:t>
      </w:r>
      <w:r w:rsidR="00A3479D">
        <w:t xml:space="preserve">stále více </w:t>
      </w:r>
      <w:r w:rsidR="00A3479D" w:rsidRPr="00A3479D">
        <w:t>vlastní po</w:t>
      </w:r>
      <w:r w:rsidR="00A3479D">
        <w:t xml:space="preserve">dstatu </w:t>
      </w:r>
      <w:r w:rsidR="00A3479D" w:rsidRPr="00A3479D">
        <w:t>(</w:t>
      </w:r>
      <w:r w:rsidR="00A3479D" w:rsidRPr="00A3479D">
        <w:rPr>
          <w:i/>
        </w:rPr>
        <w:t>ereignet sich</w:t>
      </w:r>
      <w:r w:rsidR="00A3479D" w:rsidRPr="00A3479D">
        <w:t>). Oslovuje učence, aby je deportoval</w:t>
      </w:r>
      <w:r w:rsidR="00A3479D">
        <w:t>o</w:t>
      </w:r>
      <w:r w:rsidR="00A3479D" w:rsidRPr="00A3479D">
        <w:t xml:space="preserve"> (</w:t>
      </w:r>
      <w:r w:rsidR="00A3479D" w:rsidRPr="00A3479D">
        <w:rPr>
          <w:i/>
        </w:rPr>
        <w:t>Ge-Stell</w:t>
      </w:r>
      <w:r w:rsidR="00A3479D">
        <w:rPr>
          <w:i/>
        </w:rPr>
        <w:fldChar w:fldCharType="begin"/>
      </w:r>
      <w:r w:rsidR="00A3479D">
        <w:instrText xml:space="preserve"> XE "</w:instrText>
      </w:r>
      <w:r w:rsidR="00A3479D" w:rsidRPr="00BD7C28">
        <w:rPr>
          <w:i/>
        </w:rPr>
        <w:instrText>Ge-Stell</w:instrText>
      </w:r>
      <w:r w:rsidR="00A3479D">
        <w:instrText xml:space="preserve">" </w:instrText>
      </w:r>
      <w:r w:rsidR="00A3479D">
        <w:rPr>
          <w:i/>
        </w:rPr>
        <w:fldChar w:fldCharType="end"/>
      </w:r>
      <w:r w:rsidR="00A3479D" w:rsidRPr="00A3479D">
        <w:t>) do sféry objektivní vědy</w:t>
      </w:r>
      <w:r w:rsidR="00A3479D">
        <w:t xml:space="preserve">. Tím se uskutečňuje tragikomická </w:t>
      </w:r>
      <w:r w:rsidR="00A3479D" w:rsidRPr="00A3479D">
        <w:rPr>
          <w:i/>
        </w:rPr>
        <w:t>a/létheia</w:t>
      </w:r>
      <w:r w:rsidR="00A3479D">
        <w:rPr>
          <w:i/>
        </w:rPr>
        <w:fldChar w:fldCharType="begin"/>
      </w:r>
      <w:r w:rsidR="00A3479D">
        <w:instrText xml:space="preserve"> XE "</w:instrText>
      </w:r>
      <w:r w:rsidR="00A3479D" w:rsidRPr="00D0085F">
        <w:rPr>
          <w:i/>
        </w:rPr>
        <w:instrText>a/létheia</w:instrText>
      </w:r>
      <w:r w:rsidR="00A3479D">
        <w:instrText xml:space="preserve">" </w:instrText>
      </w:r>
      <w:r w:rsidR="00A3479D">
        <w:rPr>
          <w:i/>
        </w:rPr>
        <w:fldChar w:fldCharType="end"/>
      </w:r>
      <w:r w:rsidR="00A3479D" w:rsidRPr="00A3479D">
        <w:t xml:space="preserve"> bož</w:t>
      </w:r>
      <w:r w:rsidR="00A3479D">
        <w:t>ských M</w:t>
      </w:r>
      <w:r w:rsidR="00A3479D" w:rsidRPr="00A3479D">
        <w:t>úz.</w:t>
      </w:r>
      <w:r w:rsidR="00B5518A">
        <w:t xml:space="preserve"> </w:t>
      </w:r>
      <w:r w:rsidR="00B5518A" w:rsidRPr="00A00D74">
        <w:t>Od slavné přednášky Maxe Webera (</w:t>
      </w:r>
      <w:r w:rsidR="00B5518A" w:rsidRPr="008F0454">
        <w:rPr>
          <w:i/>
          <w:lang w:eastAsia="x-none"/>
        </w:rPr>
        <w:t>Wissenschaft als Beruf</w:t>
      </w:r>
      <w:r w:rsidR="00B5518A" w:rsidRPr="006F1B19">
        <w:rPr>
          <w:lang w:eastAsia="x-none"/>
        </w:rPr>
        <w:t xml:space="preserve">, </w:t>
      </w:r>
      <w:r w:rsidR="00B5518A">
        <w:t>1917) je věda objektivním povoláním</w:t>
      </w:r>
      <w:r w:rsidR="00B5518A" w:rsidRPr="00A00D74">
        <w:t>.</w:t>
      </w:r>
      <w:r w:rsidR="00C252C8">
        <w:t xml:space="preserve"> </w:t>
      </w:r>
      <w:r w:rsidR="00C252C8">
        <w:rPr>
          <w:rStyle w:val="st"/>
        </w:rPr>
        <w:t xml:space="preserve">Vznik moderní vědy lze datovat </w:t>
      </w:r>
      <w:r w:rsidR="00E5121E">
        <w:t>střet</w:t>
      </w:r>
      <w:r w:rsidR="00C252C8">
        <w:t>em</w:t>
      </w:r>
      <w:r w:rsidR="00E5121E">
        <w:t xml:space="preserve"> klasického a moderního výkladu metafyziky</w:t>
      </w:r>
      <w:r w:rsidR="00C252C8">
        <w:t xml:space="preserve">, který </w:t>
      </w:r>
      <w:r w:rsidR="00E5121E">
        <w:t xml:space="preserve">proběhl v letech 1230‒50. </w:t>
      </w:r>
      <w:r w:rsidR="00B5518A">
        <w:t>Od vzniku objektivity je třeba oddělit zrození moderního subjektu.</w:t>
      </w:r>
      <w:r w:rsidR="00B5518A">
        <w:rPr>
          <w:rStyle w:val="Znakapoznpodarou"/>
        </w:rPr>
        <w:footnoteReference w:id="515"/>
      </w:r>
      <w:r w:rsidR="00B5518A" w:rsidRPr="00273106">
        <w:t xml:space="preserve"> </w:t>
      </w:r>
      <w:r>
        <w:t xml:space="preserve">Tento konflikt představuje </w:t>
      </w:r>
      <w:r w:rsidRPr="00273106">
        <w:t>z hlediska dějin</w:t>
      </w:r>
      <w:r w:rsidR="00DD6EE3">
        <w:t xml:space="preserve"> filosofie (</w:t>
      </w:r>
      <w:r w:rsidR="00DD6EE3" w:rsidRPr="0003498B">
        <w:rPr>
          <w:i/>
        </w:rPr>
        <w:t>Geschichte der Philosophie</w:t>
      </w:r>
      <w:r w:rsidR="00DD6EE3">
        <w:t>)</w:t>
      </w:r>
      <w:r w:rsidRPr="00273106">
        <w:t xml:space="preserve"> rozhodující událost vzniku objektivity.</w:t>
      </w:r>
      <w:r w:rsidR="085770C2">
        <w:t xml:space="preserve"> </w:t>
      </w:r>
      <w:r w:rsidR="085F16A6" w:rsidRPr="00273106">
        <w:t>Spor porretánů s</w:t>
      </w:r>
      <w:r w:rsidR="08F66655">
        <w:t> </w:t>
      </w:r>
      <w:r w:rsidR="085F16A6" w:rsidRPr="00273106">
        <w:t xml:space="preserve">aristoteliky začal v Paříži </w:t>
      </w:r>
      <w:r w:rsidR="085F16A6">
        <w:t>už okolo</w:t>
      </w:r>
      <w:r w:rsidR="085F16A6" w:rsidRPr="00273106">
        <w:t xml:space="preserve"> </w:t>
      </w:r>
      <w:r w:rsidR="085F16A6">
        <w:t xml:space="preserve">roku 1200, o čemž svědčí Blundův komentář </w:t>
      </w:r>
      <w:r w:rsidR="085F16A6" w:rsidRPr="00273106">
        <w:rPr>
          <w:i/>
        </w:rPr>
        <w:t>De anima</w:t>
      </w:r>
      <w:r w:rsidR="085F16A6" w:rsidRPr="00273106">
        <w:t xml:space="preserve">. </w:t>
      </w:r>
      <w:r w:rsidR="08C028B1">
        <w:t>Jeho škola navazuje na spor</w:t>
      </w:r>
      <w:r w:rsidR="081656CB">
        <w:t xml:space="preserve"> Abelarda s</w:t>
      </w:r>
      <w:r w:rsidR="08592AF0">
        <w:t xml:space="preserve"> nominalistickými </w:t>
      </w:r>
      <w:r w:rsidR="081656CB">
        <w:t xml:space="preserve">modernisty </w:t>
      </w:r>
      <w:r w:rsidR="08450AF8">
        <w:t xml:space="preserve">sídlícími v </w:t>
      </w:r>
      <w:r w:rsidR="081656CB">
        <w:t>opatství</w:t>
      </w:r>
      <w:r w:rsidR="08450AF8">
        <w:t xml:space="preserve"> svatého Viktora, které </w:t>
      </w:r>
      <w:r w:rsidR="08FC76F2">
        <w:t xml:space="preserve">založil neoplatonik </w:t>
      </w:r>
      <w:r w:rsidR="081656CB" w:rsidRPr="08931CA3">
        <w:t>Guillaume de Champeaux</w:t>
      </w:r>
      <w:r w:rsidR="081656CB">
        <w:fldChar w:fldCharType="begin"/>
      </w:r>
      <w:r w:rsidR="081656CB">
        <w:instrText xml:space="preserve"> XE "</w:instrText>
      </w:r>
      <w:r w:rsidR="081656CB" w:rsidRPr="08023008">
        <w:instrText>Guillaume de Champeaux</w:instrText>
      </w:r>
      <w:r w:rsidR="081656CB">
        <w:instrText xml:space="preserve">" </w:instrText>
      </w:r>
      <w:r w:rsidR="081656CB">
        <w:fldChar w:fldCharType="end"/>
      </w:r>
      <w:r w:rsidR="081656CB">
        <w:t xml:space="preserve"> (kap. 1.6). </w:t>
      </w:r>
      <w:r w:rsidR="085F16A6">
        <w:t>K</w:t>
      </w:r>
      <w:r w:rsidR="085F16A6" w:rsidRPr="00273106">
        <w:t>la</w:t>
      </w:r>
      <w:r w:rsidR="085F16A6">
        <w:t xml:space="preserve">sická metafyzika definovala </w:t>
      </w:r>
      <w:r w:rsidR="085F16A6" w:rsidRPr="00273106">
        <w:t xml:space="preserve">pravdivé poznání </w:t>
      </w:r>
      <w:r w:rsidR="085F16A6">
        <w:t xml:space="preserve">jako </w:t>
      </w:r>
      <w:r w:rsidR="085F16A6" w:rsidRPr="00273106">
        <w:t>akcident etablov</w:t>
      </w:r>
      <w:r w:rsidR="085F16A6">
        <w:t>an</w:t>
      </w:r>
      <w:r w:rsidR="0871168E">
        <w:t xml:space="preserve">ý univerzálně v intelektu, který adekvátně vypovídá o </w:t>
      </w:r>
      <w:r w:rsidR="085F16A6">
        <w:t>reálné</w:t>
      </w:r>
      <w:r w:rsidR="0871168E">
        <w:t>m</w:t>
      </w:r>
      <w:r w:rsidR="085F16A6">
        <w:t xml:space="preserve"> bytí první substance</w:t>
      </w:r>
      <w:r w:rsidR="085F16A6" w:rsidRPr="00273106">
        <w:t>.</w:t>
      </w:r>
      <w:r w:rsidR="085F16A6">
        <w:t xml:space="preserve"> </w:t>
      </w:r>
      <w:r w:rsidR="085F16A6" w:rsidRPr="00273106">
        <w:t>Klíčový je zejm</w:t>
      </w:r>
      <w:r w:rsidR="085F16A6">
        <w:t>éna Blundův rozdíl mezi interní</w:t>
      </w:r>
      <w:r w:rsidR="085F16A6" w:rsidRPr="00273106">
        <w:t xml:space="preserve"> </w:t>
      </w:r>
      <w:r w:rsidR="004B4D52" w:rsidRPr="004B4D52">
        <w:t>species</w:t>
      </w:r>
      <w:r w:rsidR="085F16A6" w:rsidRPr="00273106">
        <w:t xml:space="preserve"> poznání a externí formou věci, který umožnil etablovat pojetí pravdy jako skutečnou podobnost mezi věcí, smysly a intelektem. </w:t>
      </w:r>
      <w:r w:rsidR="00735B03">
        <w:t>N</w:t>
      </w:r>
      <w:r w:rsidR="085F16A6">
        <w:rPr>
          <w:rStyle w:val="Zkladntext158dkovn0pt"/>
          <w:color w:val="auto"/>
          <w:spacing w:val="0"/>
          <w:sz w:val="24"/>
          <w:lang w:val="cs-CZ"/>
        </w:rPr>
        <w:t>oví a</w:t>
      </w:r>
      <w:r w:rsidR="085F16A6" w:rsidRPr="00273106">
        <w:rPr>
          <w:rStyle w:val="Zkladntext158dkovn0pt"/>
          <w:color w:val="auto"/>
          <w:spacing w:val="0"/>
          <w:sz w:val="24"/>
          <w:lang w:val="cs-CZ"/>
        </w:rPr>
        <w:t>lexandrovci</w:t>
      </w:r>
      <w:r w:rsidR="085F16A6">
        <w:rPr>
          <w:rStyle w:val="Zkladntext158dkovn0pt"/>
          <w:color w:val="auto"/>
          <w:spacing w:val="0"/>
          <w:sz w:val="24"/>
          <w:lang w:val="cs-CZ"/>
        </w:rPr>
        <w:fldChar w:fldCharType="begin"/>
      </w:r>
      <w:r w:rsidR="085F16A6">
        <w:instrText xml:space="preserve"> XE "alexandrovci" </w:instrText>
      </w:r>
      <w:r w:rsidR="085F16A6">
        <w:rPr>
          <w:rStyle w:val="Zkladntext158dkovn0pt"/>
          <w:color w:val="auto"/>
          <w:spacing w:val="0"/>
          <w:sz w:val="24"/>
          <w:lang w:val="cs-CZ"/>
        </w:rPr>
        <w:fldChar w:fldCharType="end"/>
      </w:r>
      <w:r w:rsidR="00735B03">
        <w:rPr>
          <w:rStyle w:val="Zkladntext158dkovn0pt"/>
          <w:color w:val="auto"/>
          <w:spacing w:val="0"/>
          <w:sz w:val="24"/>
          <w:lang w:val="cs-CZ"/>
        </w:rPr>
        <w:t xml:space="preserve"> na Oxfordu a v Paříži </w:t>
      </w:r>
      <w:r w:rsidR="085F16A6" w:rsidRPr="00273106">
        <w:rPr>
          <w:rStyle w:val="Zkladntext158dkovn0pt"/>
          <w:color w:val="auto"/>
          <w:spacing w:val="0"/>
          <w:sz w:val="24"/>
          <w:lang w:val="cs-CZ"/>
        </w:rPr>
        <w:t xml:space="preserve">vytvářejí další dějinnou analogii k </w:t>
      </w:r>
      <w:r w:rsidR="085F16A6">
        <w:rPr>
          <w:rStyle w:val="Zkladntext158dkovn0pt"/>
          <w:color w:val="auto"/>
          <w:spacing w:val="0"/>
          <w:sz w:val="24"/>
          <w:lang w:val="cs-CZ"/>
        </w:rPr>
        <w:t xml:space="preserve">Averroesovým současníkům </w:t>
      </w:r>
      <w:r w:rsidR="085F16A6">
        <w:rPr>
          <w:rStyle w:val="Zkladntext158dkovn0pt"/>
          <w:i/>
          <w:color w:val="auto"/>
          <w:spacing w:val="0"/>
          <w:sz w:val="24"/>
          <w:lang w:val="cs-CZ"/>
        </w:rPr>
        <w:fldChar w:fldCharType="begin"/>
      </w:r>
      <w:r w:rsidR="085F16A6">
        <w:instrText xml:space="preserve"> XE "</w:instrText>
      </w:r>
      <w:r w:rsidR="085F16A6" w:rsidRPr="00B46F32">
        <w:instrText>averroismus:</w:instrText>
      </w:r>
      <w:r w:rsidR="085F16A6" w:rsidRPr="00335215">
        <w:rPr>
          <w:i/>
        </w:rPr>
        <w:instrText>Moderni</w:instrText>
      </w:r>
      <w:r w:rsidR="085F16A6">
        <w:instrText xml:space="preserve">" </w:instrText>
      </w:r>
      <w:r w:rsidR="085F16A6">
        <w:rPr>
          <w:rStyle w:val="Zkladntext158dkovn0pt"/>
          <w:i/>
          <w:color w:val="auto"/>
          <w:spacing w:val="0"/>
          <w:sz w:val="24"/>
          <w:lang w:val="cs-CZ"/>
        </w:rPr>
        <w:fldChar w:fldCharType="end"/>
      </w:r>
      <w:r w:rsidR="085F16A6" w:rsidRPr="00273106">
        <w:rPr>
          <w:rStyle w:val="Zkladntext158dkovn0pt"/>
          <w:color w:val="auto"/>
          <w:spacing w:val="0"/>
          <w:sz w:val="24"/>
          <w:lang w:val="cs-CZ"/>
        </w:rPr>
        <w:t>(</w:t>
      </w:r>
      <w:r w:rsidR="085923BF">
        <w:rPr>
          <w:rStyle w:val="Zkladntext158dkovn0pt"/>
          <w:color w:val="auto"/>
          <w:spacing w:val="0"/>
          <w:sz w:val="24"/>
          <w:lang w:val="cs-CZ"/>
        </w:rPr>
        <w:t xml:space="preserve">OBJ I, </w:t>
      </w:r>
      <w:r w:rsidR="085F16A6" w:rsidRPr="00273106">
        <w:rPr>
          <w:rStyle w:val="Zkladntext158dkovn0pt"/>
          <w:color w:val="auto"/>
          <w:spacing w:val="0"/>
          <w:sz w:val="24"/>
          <w:lang w:val="cs-CZ"/>
        </w:rPr>
        <w:t>kap. 2.4.2).</w:t>
      </w:r>
      <w:r w:rsidR="085F16A6">
        <w:rPr>
          <w:rStyle w:val="Zkladntext158dkovn0pt"/>
          <w:color w:val="auto"/>
          <w:spacing w:val="0"/>
          <w:sz w:val="24"/>
          <w:lang w:val="cs-CZ"/>
        </w:rPr>
        <w:t xml:space="preserve"> </w:t>
      </w:r>
      <w:r w:rsidR="085F16A6" w:rsidRPr="00273106">
        <w:t xml:space="preserve">První moderní komentáře k </w:t>
      </w:r>
      <w:r w:rsidR="085F16A6" w:rsidRPr="009F6F37">
        <w:rPr>
          <w:i/>
        </w:rPr>
        <w:t>Druhým analytikám</w:t>
      </w:r>
      <w:r w:rsidR="085F16A6" w:rsidRPr="00273106">
        <w:t xml:space="preserve"> (Grosseteste, Rufus, Kilwardby) ukázaly proměnu poznání ve škole druhého averroismu. </w:t>
      </w:r>
      <w:r w:rsidR="08DC2C98">
        <w:t>Její prvn</w:t>
      </w:r>
      <w:r w:rsidR="00C168C1">
        <w:t>í dějinně účinnou podobu zavedl</w:t>
      </w:r>
      <w:r w:rsidR="08DC2C98">
        <w:t xml:space="preserve"> do filosofie Grossete</w:t>
      </w:r>
      <w:r w:rsidR="00C168C1">
        <w:t xml:space="preserve"> a potvrdili ji oba nejdůležitější Grossetesteho nástupci</w:t>
      </w:r>
      <w:r w:rsidR="00E07EC5">
        <w:t>. F</w:t>
      </w:r>
      <w:r w:rsidR="08DC2C98">
        <w:t>rantiškán Rufus a dominikán Kilwardby</w:t>
      </w:r>
      <w:r w:rsidR="00E07EC5">
        <w:t xml:space="preserve"> ustavili první dějinně účinnou formu moderny ve filosofii </w:t>
      </w:r>
      <w:r w:rsidR="009C1CF3">
        <w:t>školy zvané „</w:t>
      </w:r>
      <w:r w:rsidR="00E07EC5" w:rsidRPr="00A96145">
        <w:rPr>
          <w:i/>
          <w:lang w:eastAsia="en-US"/>
        </w:rPr>
        <w:t>sophistae Latin</w:t>
      </w:r>
      <w:r w:rsidR="00E07EC5">
        <w:rPr>
          <w:i/>
          <w:lang w:eastAsia="en-US"/>
        </w:rPr>
        <w:t>i</w:t>
      </w:r>
      <w:r w:rsidR="009C1CF3">
        <w:rPr>
          <w:lang w:eastAsia="en-US"/>
        </w:rPr>
        <w:t>“</w:t>
      </w:r>
      <w:r w:rsidR="00E07EC5" w:rsidRPr="00E07EC5">
        <w:rPr>
          <w:lang w:eastAsia="en-US"/>
        </w:rPr>
        <w:t>.</w:t>
      </w:r>
      <w:r w:rsidR="00E07EC5">
        <w:t xml:space="preserve"> </w:t>
      </w:r>
      <w:r w:rsidR="08DC2C98">
        <w:t>Místem vzniku objektivního určení jsoucna se stala františkánská komunita oxfordských iluminátů v letech 1230</w:t>
      </w:r>
      <w:r w:rsidR="08DC2C98">
        <w:rPr>
          <w:rFonts w:cs="Calibri"/>
        </w:rPr>
        <w:t>─</w:t>
      </w:r>
      <w:r w:rsidR="08DC2C98">
        <w:t xml:space="preserve">35. Zde měl hlavní slovo charismatický modernista Rufus z Cornawallu, který se stal vůdcem nové </w:t>
      </w:r>
      <w:r w:rsidR="08DC2C98" w:rsidRPr="08C667BE">
        <w:rPr>
          <w:i/>
        </w:rPr>
        <w:t>intelligentia spiritualis</w:t>
      </w:r>
      <w:r w:rsidR="08DC2C98">
        <w:rPr>
          <w:i/>
        </w:rPr>
        <w:fldChar w:fldCharType="begin"/>
      </w:r>
      <w:r w:rsidR="08DC2C98">
        <w:instrText xml:space="preserve"> XE "</w:instrText>
      </w:r>
      <w:r w:rsidR="08DC2C98" w:rsidRPr="08562D68">
        <w:rPr>
          <w:i/>
        </w:rPr>
        <w:instrText>intelligentia spiritualis</w:instrText>
      </w:r>
      <w:r w:rsidR="08DC2C98">
        <w:instrText xml:space="preserve">" </w:instrText>
      </w:r>
      <w:r w:rsidR="08DC2C98">
        <w:rPr>
          <w:i/>
        </w:rPr>
        <w:fldChar w:fldCharType="end"/>
      </w:r>
      <w:r w:rsidR="08DC2C98">
        <w:t>. A</w:t>
      </w:r>
      <w:r w:rsidR="085F16A6" w:rsidRPr="00273106">
        <w:t>nalytick</w:t>
      </w:r>
      <w:r w:rsidR="00814962">
        <w:t xml:space="preserve">á „filosofie“ </w:t>
      </w:r>
      <w:r w:rsidR="08DC2C98">
        <w:t xml:space="preserve">této školy </w:t>
      </w:r>
      <w:r w:rsidR="00814962">
        <w:t>založila</w:t>
      </w:r>
      <w:r w:rsidR="085F16A6" w:rsidRPr="00273106">
        <w:t xml:space="preserve"> </w:t>
      </w:r>
      <w:r w:rsidR="08532EEE">
        <w:t xml:space="preserve">nové </w:t>
      </w:r>
      <w:r w:rsidR="085F16A6" w:rsidRPr="00273106">
        <w:t xml:space="preserve">pojetí vědy skrze přímou intuici esenciálně pojatých forem. </w:t>
      </w:r>
      <w:r w:rsidR="08EA7D7E">
        <w:t xml:space="preserve">Vědu zakládá dedukce významů z logicky pojaté druhé substance, která je omylem vydávána za první substanci. </w:t>
      </w:r>
      <w:r w:rsidR="085F16A6" w:rsidRPr="00273106">
        <w:t xml:space="preserve">Jistota je dána v primární dedukci významů z esence </w:t>
      </w:r>
      <w:r w:rsidR="085F16A6">
        <w:t xml:space="preserve">dané v modu </w:t>
      </w:r>
      <w:r w:rsidR="085F16A6" w:rsidRPr="009F6F37">
        <w:rPr>
          <w:i/>
        </w:rPr>
        <w:t>semel</w:t>
      </w:r>
      <w:r w:rsidR="085F16A6">
        <w:t>‒</w:t>
      </w:r>
      <w:r w:rsidR="085F16A6" w:rsidRPr="009F6F37">
        <w:rPr>
          <w:i/>
        </w:rPr>
        <w:t>semper</w:t>
      </w:r>
      <w:r w:rsidR="08D34416">
        <w:t xml:space="preserve">. </w:t>
      </w:r>
      <w:r w:rsidR="00E04397">
        <w:t xml:space="preserve">Zmizení </w:t>
      </w:r>
      <w:r w:rsidR="0808075E">
        <w:t xml:space="preserve">první </w:t>
      </w:r>
      <w:r w:rsidR="00E04397">
        <w:t>s</w:t>
      </w:r>
      <w:r w:rsidR="0808075E">
        <w:t>ubstance v</w:t>
      </w:r>
      <w:r w:rsidR="00E04397">
        <w:t xml:space="preserve"> systému </w:t>
      </w:r>
      <w:r w:rsidR="0808075E" w:rsidRPr="0808075E">
        <w:rPr>
          <w:i/>
        </w:rPr>
        <w:t>Oxfordian Fallacy</w:t>
      </w:r>
      <w:r w:rsidR="0808075E">
        <w:t xml:space="preserve"> </w:t>
      </w:r>
      <w:r w:rsidR="00E04397">
        <w:t>bylo</w:t>
      </w:r>
      <w:r w:rsidR="089402CE">
        <w:t xml:space="preserve"> možn</w:t>
      </w:r>
      <w:r w:rsidR="00E04397">
        <w:t>é</w:t>
      </w:r>
      <w:r w:rsidR="089402CE">
        <w:t xml:space="preserve"> skrze nově utvořený střední člen </w:t>
      </w:r>
      <w:r w:rsidR="08846489">
        <w:t xml:space="preserve">deduktivního soudu. Aristotelský </w:t>
      </w:r>
      <w:r w:rsidR="086A31B2">
        <w:t xml:space="preserve">princip </w:t>
      </w:r>
      <w:r w:rsidR="08D91F67">
        <w:rPr>
          <w:i/>
        </w:rPr>
        <w:t>ex in</w:t>
      </w:r>
      <w:r w:rsidR="086A31B2" w:rsidRPr="086A31B2">
        <w:rPr>
          <w:i/>
        </w:rPr>
        <w:t>mediatis</w:t>
      </w:r>
      <w:r w:rsidR="08CD2A55">
        <w:rPr>
          <w:i/>
        </w:rPr>
        <w:fldChar w:fldCharType="begin"/>
      </w:r>
      <w:r w:rsidR="08CD2A55">
        <w:instrText xml:space="preserve"> XE "</w:instrText>
      </w:r>
      <w:r w:rsidR="08CD2A55" w:rsidRPr="086B44D6">
        <w:instrText>princ</w:instrText>
      </w:r>
      <w:r w:rsidR="08CD2A55">
        <w:instrText xml:space="preserve">ip </w:instrText>
      </w:r>
      <w:r w:rsidR="08D91F67">
        <w:rPr>
          <w:i/>
        </w:rPr>
        <w:instrText>ex in</w:instrText>
      </w:r>
      <w:r w:rsidR="08CD2A55" w:rsidRPr="086B44D6">
        <w:rPr>
          <w:i/>
        </w:rPr>
        <w:instrText>mediatis</w:instrText>
      </w:r>
      <w:r w:rsidR="08CD2A55">
        <w:instrText xml:space="preserve">" </w:instrText>
      </w:r>
      <w:r w:rsidR="08CD2A55">
        <w:rPr>
          <w:i/>
        </w:rPr>
        <w:fldChar w:fldCharType="end"/>
      </w:r>
      <w:r w:rsidR="08846489">
        <w:t xml:space="preserve"> daný nutností </w:t>
      </w:r>
      <w:r w:rsidR="082A724F">
        <w:t xml:space="preserve">metafyzického </w:t>
      </w:r>
      <w:r w:rsidR="08FA3700">
        <w:t>dativu byl modernizován do podoby logické</w:t>
      </w:r>
      <w:r w:rsidR="08846489">
        <w:t xml:space="preserve"> nutnost</w:t>
      </w:r>
      <w:r w:rsidR="08234496">
        <w:t xml:space="preserve">i. </w:t>
      </w:r>
      <w:r w:rsidR="00E75A15">
        <w:t xml:space="preserve">Pak platí teorie pravdy jako </w:t>
      </w:r>
      <w:r w:rsidR="00CD23E8">
        <w:t>korelace (</w:t>
      </w:r>
      <w:r w:rsidR="00CD23E8" w:rsidRPr="00CD23E8">
        <w:rPr>
          <w:i/>
        </w:rPr>
        <w:t>coaequatio</w:t>
      </w:r>
      <w:r w:rsidR="00CD23E8">
        <w:t xml:space="preserve">) </w:t>
      </w:r>
      <w:r w:rsidR="00E75A15">
        <w:t xml:space="preserve">dvou forem </w:t>
      </w:r>
      <w:r w:rsidR="00E75A15" w:rsidRPr="00E75A15">
        <w:rPr>
          <w:i/>
        </w:rPr>
        <w:t>tertium ens</w:t>
      </w:r>
      <w:r w:rsidR="00E75A15">
        <w:t xml:space="preserve">: jedno jsoucno třetího druhu je dáno jako nadřazená věčná forma a druhé je dáno v kontingentně dané věci jako zvláštní forma univerzálie existující mimo lidskou mysl. </w:t>
      </w:r>
      <w:r w:rsidR="089824D4">
        <w:t xml:space="preserve">Metafyzickou </w:t>
      </w:r>
      <w:r w:rsidR="08A423DA">
        <w:t xml:space="preserve">abstrakci a dedukci danou jako základ </w:t>
      </w:r>
      <w:r w:rsidR="089824D4">
        <w:t xml:space="preserve">aristotelsky pojaté </w:t>
      </w:r>
      <w:r w:rsidR="08A423DA">
        <w:t xml:space="preserve">vědy nahradilo její moderní simulákrum, tedy logická abstrakce a dedukce. </w:t>
      </w:r>
      <w:r w:rsidR="08762E26" w:rsidRPr="00273106">
        <w:t>Univocita jsoucího založená v soběstačném a kvazi</w:t>
      </w:r>
      <w:r w:rsidR="08762E26" w:rsidRPr="00273106">
        <w:noBreakHyphen/>
        <w:t xml:space="preserve">substanciálním intelektu </w:t>
      </w:r>
      <w:r w:rsidR="08762E26" w:rsidRPr="00273106">
        <w:rPr>
          <w:i/>
        </w:rPr>
        <w:t>Modernorum</w:t>
      </w:r>
      <w:r w:rsidR="08762E26" w:rsidRPr="00273106">
        <w:t xml:space="preserve"> vyvolala zásadní</w:t>
      </w:r>
      <w:r w:rsidR="00CE66C0">
        <w:t xml:space="preserve"> konflikt </w:t>
      </w:r>
      <w:r w:rsidR="007E7152">
        <w:t xml:space="preserve">modernistů </w:t>
      </w:r>
      <w:r w:rsidR="00CE66C0">
        <w:t>s prvním averroismem.</w:t>
      </w:r>
    </w:p>
    <w:p w14:paraId="24D0DE28" w14:textId="1C4E2E8C" w:rsidR="08762E26" w:rsidRPr="00273106" w:rsidRDefault="007E7152" w:rsidP="00CE66C0">
      <w:pPr>
        <w:ind w:firstLine="360"/>
        <w:rPr>
          <w:lang w:eastAsia="en-US"/>
        </w:rPr>
      </w:pPr>
      <w:r>
        <w:rPr>
          <w:lang w:eastAsia="en-US"/>
        </w:rPr>
        <w:t xml:space="preserve">Nové kolo gigantomachie </w:t>
      </w:r>
      <w:r w:rsidR="08CD2A55" w:rsidRPr="00273106">
        <w:rPr>
          <w:lang w:eastAsia="en-US"/>
        </w:rPr>
        <w:t xml:space="preserve">mezi </w:t>
      </w:r>
      <w:r>
        <w:rPr>
          <w:lang w:eastAsia="en-US"/>
        </w:rPr>
        <w:t xml:space="preserve">neoplatoniky </w:t>
      </w:r>
      <w:r w:rsidR="08CD2A55" w:rsidRPr="00273106">
        <w:rPr>
          <w:lang w:eastAsia="en-US"/>
        </w:rPr>
        <w:t xml:space="preserve">a </w:t>
      </w:r>
      <w:r w:rsidR="08CD2A55">
        <w:rPr>
          <w:lang w:eastAsia="en-US"/>
        </w:rPr>
        <w:t>aristotel</w:t>
      </w:r>
      <w:r>
        <w:rPr>
          <w:lang w:eastAsia="en-US"/>
        </w:rPr>
        <w:t xml:space="preserve">iky bylo vyvoláno </w:t>
      </w:r>
      <w:r w:rsidR="08CD2A55" w:rsidRPr="00273106">
        <w:rPr>
          <w:lang w:eastAsia="en-US"/>
        </w:rPr>
        <w:t xml:space="preserve">recepcí </w:t>
      </w:r>
      <w:r w:rsidR="08CD2A55">
        <w:rPr>
          <w:lang w:eastAsia="en-US"/>
        </w:rPr>
        <w:t>Averroes</w:t>
      </w:r>
      <w:r w:rsidR="08CD2A55" w:rsidRPr="00273106">
        <w:rPr>
          <w:lang w:eastAsia="en-US"/>
        </w:rPr>
        <w:t xml:space="preserve">e </w:t>
      </w:r>
      <w:r w:rsidR="08003789">
        <w:rPr>
          <w:lang w:eastAsia="en-US"/>
        </w:rPr>
        <w:t xml:space="preserve">na latinském Západě </w:t>
      </w:r>
      <w:r w:rsidR="08CD2A55">
        <w:rPr>
          <w:lang w:eastAsia="en-US"/>
        </w:rPr>
        <w:t>od roku 122</w:t>
      </w:r>
      <w:r w:rsidR="08CD2A55" w:rsidRPr="00273106">
        <w:rPr>
          <w:lang w:eastAsia="en-US"/>
        </w:rPr>
        <w:t>0</w:t>
      </w:r>
      <w:r w:rsidR="08CD2A55">
        <w:rPr>
          <w:lang w:eastAsia="en-US"/>
        </w:rPr>
        <w:t xml:space="preserve">. </w:t>
      </w:r>
      <w:r w:rsidR="08AE5EE7">
        <w:rPr>
          <w:lang w:eastAsia="en-US"/>
        </w:rPr>
        <w:t>Tehdy vznikla nová událost</w:t>
      </w:r>
      <w:r w:rsidR="08822840">
        <w:rPr>
          <w:lang w:eastAsia="en-US"/>
        </w:rPr>
        <w:t xml:space="preserve"> m</w:t>
      </w:r>
      <w:r w:rsidR="00CD23E8">
        <w:rPr>
          <w:lang w:eastAsia="en-US"/>
        </w:rPr>
        <w:t>yšlení, která překonala horizon</w:t>
      </w:r>
      <w:r w:rsidR="08822840">
        <w:rPr>
          <w:lang w:eastAsia="en-US"/>
        </w:rPr>
        <w:t xml:space="preserve">t </w:t>
      </w:r>
      <w:r w:rsidR="08AE5EE7">
        <w:rPr>
          <w:lang w:eastAsia="en-US"/>
        </w:rPr>
        <w:t xml:space="preserve">falsafy. </w:t>
      </w:r>
      <w:r w:rsidR="08CD2A55">
        <w:rPr>
          <w:lang w:eastAsia="en-US"/>
        </w:rPr>
        <w:t>Tato událost napojená na vznik druhého averroismu způsobila, že š</w:t>
      </w:r>
      <w:r w:rsidR="08627AAC">
        <w:t>kola</w:t>
      </w:r>
      <w:r w:rsidR="08CD2A55" w:rsidRPr="00273106">
        <w:t xml:space="preserve"> </w:t>
      </w:r>
      <w:r w:rsidR="08CD2A55" w:rsidRPr="00273106">
        <w:rPr>
          <w:i/>
        </w:rPr>
        <w:t>Nominales</w:t>
      </w:r>
      <w:r w:rsidR="08CD2A55" w:rsidRPr="00273106">
        <w:t xml:space="preserve"> definitivně</w:t>
      </w:r>
      <w:r w:rsidR="08627AAC">
        <w:t xml:space="preserve"> zanikla. </w:t>
      </w:r>
      <w:r w:rsidR="08F52567">
        <w:t xml:space="preserve">Nominalistické </w:t>
      </w:r>
      <w:r w:rsidR="08627AAC">
        <w:t>l</w:t>
      </w:r>
      <w:r w:rsidR="08CD2A55">
        <w:t>ogické školy působící</w:t>
      </w:r>
      <w:r w:rsidR="08CD2A55" w:rsidRPr="00273106">
        <w:t xml:space="preserve"> v rámci </w:t>
      </w:r>
      <w:r w:rsidR="08CD2A55" w:rsidRPr="00273106">
        <w:rPr>
          <w:i/>
        </w:rPr>
        <w:t>logica Modernorum</w:t>
      </w:r>
      <w:r w:rsidR="08CD2A55">
        <w:rPr>
          <w:i/>
        </w:rPr>
        <w:fldChar w:fldCharType="begin"/>
      </w:r>
      <w:r w:rsidR="08CD2A55">
        <w:instrText xml:space="preserve"> XE "</w:instrText>
      </w:r>
      <w:r w:rsidR="08CD2A55" w:rsidRPr="001100BE">
        <w:rPr>
          <w:i/>
        </w:rPr>
        <w:instrText>logica Modernorum</w:instrText>
      </w:r>
      <w:r w:rsidR="08CD2A55">
        <w:instrText xml:space="preserve">" </w:instrText>
      </w:r>
      <w:r w:rsidR="08CD2A55">
        <w:rPr>
          <w:i/>
        </w:rPr>
        <w:fldChar w:fldCharType="end"/>
      </w:r>
      <w:r w:rsidR="08CD2A55">
        <w:t xml:space="preserve"> se integrovaly do proudu druhého averroismu. </w:t>
      </w:r>
      <w:r w:rsidR="087C5063">
        <w:rPr>
          <w:lang w:eastAsia="en-US"/>
        </w:rPr>
        <w:t xml:space="preserve">Klíčovou událostí, která rozpoutala </w:t>
      </w:r>
      <w:r w:rsidR="0006224F">
        <w:rPr>
          <w:lang w:eastAsia="en-US"/>
        </w:rPr>
        <w:t xml:space="preserve">vznik nové metafyziky, </w:t>
      </w:r>
      <w:r w:rsidR="08CD2A55">
        <w:rPr>
          <w:lang w:eastAsia="en-US"/>
        </w:rPr>
        <w:t xml:space="preserve">byl Scotův výklad Komentátora </w:t>
      </w:r>
      <w:r w:rsidR="0006224F">
        <w:rPr>
          <w:lang w:eastAsia="en-US"/>
        </w:rPr>
        <w:t xml:space="preserve">provedený </w:t>
      </w:r>
      <w:r w:rsidR="08CD2A55">
        <w:rPr>
          <w:lang w:eastAsia="en-US"/>
        </w:rPr>
        <w:t>v linii prvního averroismu Sicilské školy</w:t>
      </w:r>
      <w:r w:rsidR="08436409">
        <w:rPr>
          <w:lang w:eastAsia="en-US"/>
        </w:rPr>
        <w:t xml:space="preserve">. Jeho přednášky </w:t>
      </w:r>
      <w:r w:rsidR="08165593">
        <w:rPr>
          <w:lang w:eastAsia="en-US"/>
        </w:rPr>
        <w:t>probíhal</w:t>
      </w:r>
      <w:r w:rsidR="08436409">
        <w:rPr>
          <w:lang w:eastAsia="en-US"/>
        </w:rPr>
        <w:t>y</w:t>
      </w:r>
      <w:r w:rsidR="08165593">
        <w:rPr>
          <w:lang w:eastAsia="en-US"/>
        </w:rPr>
        <w:t xml:space="preserve"> </w:t>
      </w:r>
      <w:r w:rsidR="08CD2A55">
        <w:rPr>
          <w:lang w:eastAsia="en-US"/>
        </w:rPr>
        <w:t>na Paříž</w:t>
      </w:r>
      <w:r w:rsidR="088D5636">
        <w:rPr>
          <w:lang w:eastAsia="en-US"/>
        </w:rPr>
        <w:t xml:space="preserve">ské univerzitě okolo roku 1230. </w:t>
      </w:r>
      <w:r w:rsidR="00133173" w:rsidRPr="00133173">
        <w:rPr>
          <w:lang w:eastAsia="en-US"/>
        </w:rPr>
        <w:t>V té době Grosseteste odešel z Pařížské univerzity do Oxfordu. Rozšířil františkánskou kolej v Oxfordu, aby se stala základem univerzity ovládané por</w:t>
      </w:r>
      <w:r w:rsidR="00133173">
        <w:rPr>
          <w:lang w:eastAsia="en-US"/>
        </w:rPr>
        <w:t xml:space="preserve">retánskými </w:t>
      </w:r>
      <w:r w:rsidR="00133173" w:rsidRPr="00133173">
        <w:rPr>
          <w:lang w:eastAsia="en-US"/>
        </w:rPr>
        <w:t xml:space="preserve">logiky a avicenisty ze školy </w:t>
      </w:r>
      <w:r w:rsidR="00133173" w:rsidRPr="00133173">
        <w:rPr>
          <w:i/>
          <w:lang w:eastAsia="en-US"/>
        </w:rPr>
        <w:t>Nominales</w:t>
      </w:r>
      <w:r w:rsidR="00133173" w:rsidRPr="00133173">
        <w:rPr>
          <w:lang w:eastAsia="en-US"/>
        </w:rPr>
        <w:t>.</w:t>
      </w:r>
      <w:r w:rsidR="00133173">
        <w:rPr>
          <w:lang w:eastAsia="en-US"/>
        </w:rPr>
        <w:t xml:space="preserve"> </w:t>
      </w:r>
      <w:r w:rsidR="08CD2A55" w:rsidRPr="00273106">
        <w:t xml:space="preserve">Klasická škola vykladačů Aristotela sledující linii Boethia a Abelarda </w:t>
      </w:r>
      <w:r w:rsidR="088E077B">
        <w:t xml:space="preserve">na tehdy vzniklé Pařížské univerzitě </w:t>
      </w:r>
      <w:r w:rsidR="08CD2A55" w:rsidRPr="00273106">
        <w:t>byla nejlépe d</w:t>
      </w:r>
      <w:r w:rsidR="08CD2A55">
        <w:t>isponovaná k tomu, aby ocenila Scotův výklad</w:t>
      </w:r>
      <w:r w:rsidR="08A70010">
        <w:t xml:space="preserve"> přinesený ze Sicílie</w:t>
      </w:r>
      <w:r w:rsidR="08CD2A55" w:rsidRPr="00273106">
        <w:t xml:space="preserve">. </w:t>
      </w:r>
      <w:r w:rsidR="08CD2A55">
        <w:t>Averroes</w:t>
      </w:r>
      <w:r w:rsidR="08CD2A55" w:rsidRPr="00273106">
        <w:t xml:space="preserve">ovo </w:t>
      </w:r>
      <w:r w:rsidR="08CD2A55" w:rsidRPr="00273106">
        <w:rPr>
          <w:i/>
        </w:rPr>
        <w:t>proportio</w:t>
      </w:r>
      <w:r w:rsidR="08CD2A55" w:rsidRPr="00273106">
        <w:t xml:space="preserve"> garantovalo v prvním averroismu </w:t>
      </w:r>
      <w:r w:rsidR="08CD2A55">
        <w:t xml:space="preserve">Blundovy školy </w:t>
      </w:r>
      <w:r w:rsidR="08CD2A55" w:rsidRPr="00273106">
        <w:t>adekvátní vztah mezi pr</w:t>
      </w:r>
      <w:r w:rsidR="08CD2A55">
        <w:t>vní a druhou substancí. Takto daná u</w:t>
      </w:r>
      <w:r w:rsidR="08CD2A55" w:rsidRPr="00273106">
        <w:t>nivoční predikace</w:t>
      </w:r>
      <w:r w:rsidR="08CD2A55">
        <w:t xml:space="preserve"> determinuje </w:t>
      </w:r>
      <w:r w:rsidR="08CD2A55" w:rsidRPr="00273106">
        <w:t>pravdivost vědeckého poznání v rámci deduktivního sylogismu</w:t>
      </w:r>
      <w:r w:rsidR="08CD2A55">
        <w:t xml:space="preserve"> </w:t>
      </w:r>
      <w:r w:rsidR="08CD2A55" w:rsidRPr="08B817CF">
        <w:rPr>
          <w:i/>
        </w:rPr>
        <w:t>Druhých analytik</w:t>
      </w:r>
      <w:r w:rsidR="08CD2A55" w:rsidRPr="00273106">
        <w:t xml:space="preserve">. </w:t>
      </w:r>
      <w:r w:rsidR="08762E26" w:rsidRPr="00273106">
        <w:t xml:space="preserve">Představitelé prvního averroismu drželi jak </w:t>
      </w:r>
      <w:r w:rsidR="08762E26">
        <w:t>Averroes</w:t>
      </w:r>
      <w:r w:rsidR="08762E26" w:rsidRPr="00273106">
        <w:t xml:space="preserve">ův </w:t>
      </w:r>
      <w:r w:rsidR="08762E26" w:rsidRPr="00273106">
        <w:rPr>
          <w:i/>
        </w:rPr>
        <w:t>intellectus possibilis</w:t>
      </w:r>
      <w:r w:rsidR="08762E26" w:rsidRPr="00273106">
        <w:t>, tak i klasické aristotelské pojetí pravdy jako adekvac</w:t>
      </w:r>
      <w:r w:rsidR="08F957E5">
        <w:t xml:space="preserve">e intelektu k reálné substanci. </w:t>
      </w:r>
      <w:r w:rsidR="08762E26" w:rsidRPr="00273106">
        <w:t xml:space="preserve">Filosofický spor se stal sporem ideologickým a mocenským. </w:t>
      </w:r>
      <w:r w:rsidR="08F957E5" w:rsidRPr="00273106">
        <w:t>Kilwardby hájil druhý averroismus i mocensky, což ukázal jeho spor s</w:t>
      </w:r>
      <w:r w:rsidR="08C04114">
        <w:t xml:space="preserve"> Baconem a s Tomášem Akvinským </w:t>
      </w:r>
      <w:r w:rsidR="08F957E5" w:rsidRPr="00273106">
        <w:t xml:space="preserve">(Destrez 1930). Hermeneutika objektivity konstatuje, že skrze tohoto rektora koleje Oxfordu a pozdějšího arcibiskupa z Canterbury (jmenován </w:t>
      </w:r>
      <w:r w:rsidR="08F957E5">
        <w:t xml:space="preserve">roku </w:t>
      </w:r>
      <w:r w:rsidR="08F957E5" w:rsidRPr="00273106">
        <w:t>1272) existuje přímá vazba druhého averroismu hájeného v Oxfordu na všechny klíčové otázky pr</w:t>
      </w:r>
      <w:r w:rsidR="08F957E5">
        <w:t>obírané ve sporech kolem 1270‒</w:t>
      </w:r>
      <w:r w:rsidR="08F957E5" w:rsidRPr="00273106">
        <w:t>77.</w:t>
      </w:r>
      <w:r w:rsidR="08F957E5">
        <w:t xml:space="preserve"> </w:t>
      </w:r>
      <w:r w:rsidR="089334C6">
        <w:t>V</w:t>
      </w:r>
      <w:r w:rsidR="084D11AB">
        <w:t>ůbec není náhoda, že prohlášení</w:t>
      </w:r>
      <w:r w:rsidR="08CD4527">
        <w:rPr>
          <w:szCs w:val="24"/>
        </w:rPr>
        <w:fldChar w:fldCharType="begin"/>
      </w:r>
      <w:r w:rsidR="08CD4527">
        <w:instrText xml:space="preserve"> XE "</w:instrText>
      </w:r>
      <w:r w:rsidR="08CD4527" w:rsidRPr="00FD37CA">
        <w:rPr>
          <w:szCs w:val="24"/>
        </w:rPr>
        <w:instrText>dekret artistů 1272</w:instrText>
      </w:r>
      <w:r w:rsidR="08CD4527">
        <w:instrText xml:space="preserve">" </w:instrText>
      </w:r>
      <w:r w:rsidR="08CD4527">
        <w:rPr>
          <w:szCs w:val="24"/>
        </w:rPr>
        <w:fldChar w:fldCharType="end"/>
      </w:r>
      <w:r w:rsidR="084D11AB">
        <w:t xml:space="preserve"> magistrů v Rue de Fouarre hájící autonomii teologie a filosofie vychází ve stejném roce</w:t>
      </w:r>
      <w:r w:rsidR="00B01D4F">
        <w:t xml:space="preserve"> 1272</w:t>
      </w:r>
      <w:r w:rsidR="084D11AB">
        <w:t xml:space="preserve">, kdy je tento modernista jmenován arcibiskupem </w:t>
      </w:r>
      <w:r w:rsidR="08051EC4">
        <w:t xml:space="preserve">v Cantenbury </w:t>
      </w:r>
      <w:r w:rsidR="084D11AB">
        <w:t xml:space="preserve">a </w:t>
      </w:r>
      <w:r w:rsidR="087D79AF">
        <w:t xml:space="preserve">kdy </w:t>
      </w:r>
      <w:r w:rsidR="08865EBC">
        <w:t xml:space="preserve">působil jako </w:t>
      </w:r>
      <w:r w:rsidR="084D11AB">
        <w:t xml:space="preserve">kancléř univerzity v Oxfordu. </w:t>
      </w:r>
      <w:r w:rsidR="085F27AC">
        <w:t xml:space="preserve">Představitelé druhého averroismu provedli první čistku aristoteliků na Rue du Fouarre v roce 1256. </w:t>
      </w:r>
      <w:r w:rsidR="08762E26" w:rsidRPr="00273106">
        <w:t xml:space="preserve">Rozdíl mezi prvním a druhým averroismem </w:t>
      </w:r>
      <w:r w:rsidR="08762E26">
        <w:t xml:space="preserve">po roce </w:t>
      </w:r>
      <w:r w:rsidR="08762E26" w:rsidRPr="00273106">
        <w:t xml:space="preserve">1250 </w:t>
      </w:r>
      <w:r w:rsidR="08762E26">
        <w:t>lze manifestovat především na těchto kontroverzních bodech a naukách</w:t>
      </w:r>
      <w:r w:rsidR="08762E26">
        <w:fldChar w:fldCharType="begin"/>
      </w:r>
      <w:r w:rsidR="08762E26">
        <w:instrText xml:space="preserve"> XE "</w:instrText>
      </w:r>
      <w:r w:rsidR="08762E26" w:rsidRPr="00FB0451">
        <w:instrText>teorie dvojí pravdy</w:instrText>
      </w:r>
      <w:r w:rsidR="08762E26">
        <w:instrText xml:space="preserve">" </w:instrText>
      </w:r>
      <w:r w:rsidR="08762E26">
        <w:fldChar w:fldCharType="end"/>
      </w:r>
      <w:r w:rsidR="08762E26">
        <w:t>.</w:t>
      </w:r>
    </w:p>
    <w:p w14:paraId="7BE777FF" w14:textId="77777777" w:rsidR="08762E26" w:rsidRPr="00273106" w:rsidRDefault="08762E26" w:rsidP="00565C35">
      <w:pPr>
        <w:numPr>
          <w:ilvl w:val="0"/>
          <w:numId w:val="5"/>
        </w:numPr>
      </w:pPr>
      <w:r>
        <w:t xml:space="preserve">Spor o </w:t>
      </w:r>
      <w:r w:rsidRPr="00273106">
        <w:t>od</w:t>
      </w:r>
      <w:r>
        <w:t xml:space="preserve">souzení </w:t>
      </w:r>
      <w:r w:rsidR="08DE5238">
        <w:t>tzv. „</w:t>
      </w:r>
      <w:r>
        <w:t>averroismu</w:t>
      </w:r>
      <w:r w:rsidR="08DE5238">
        <w:t>“</w:t>
      </w:r>
      <w:r>
        <w:t xml:space="preserve">, kdy stál proti sobě </w:t>
      </w:r>
      <w:r w:rsidRPr="00273106">
        <w:t xml:space="preserve">první averroismus aristoteliků versus druhý averroismus </w:t>
      </w:r>
      <w:r w:rsidRPr="00273106">
        <w:rPr>
          <w:i/>
        </w:rPr>
        <w:t>Modernorum</w:t>
      </w:r>
      <w:r>
        <w:t>.</w:t>
      </w:r>
    </w:p>
    <w:p w14:paraId="79F37F2C" w14:textId="77777777" w:rsidR="08762E26" w:rsidRPr="00273106" w:rsidRDefault="08762E26" w:rsidP="00565C35">
      <w:pPr>
        <w:numPr>
          <w:ilvl w:val="0"/>
          <w:numId w:val="5"/>
        </w:numPr>
      </w:pPr>
      <w:r>
        <w:t>Spor o dvojí pravdu, kdy bylo ve hře Averroes</w:t>
      </w:r>
      <w:r w:rsidRPr="00273106">
        <w:t xml:space="preserve">ovo </w:t>
      </w:r>
      <w:r w:rsidRPr="00273106">
        <w:rPr>
          <w:i/>
        </w:rPr>
        <w:t>proportio</w:t>
      </w:r>
      <w:r w:rsidRPr="00273106">
        <w:t xml:space="preserve"> </w:t>
      </w:r>
      <w:r>
        <w:t xml:space="preserve">ve škole prvního averroismu </w:t>
      </w:r>
      <w:r w:rsidRPr="00273106">
        <w:t xml:space="preserve">versus </w:t>
      </w:r>
      <w:r>
        <w:t xml:space="preserve">neoplatonské </w:t>
      </w:r>
      <w:r w:rsidRPr="00273106">
        <w:rPr>
          <w:i/>
        </w:rPr>
        <w:t>rectitudo</w:t>
      </w:r>
      <w:r>
        <w:t xml:space="preserve"> a </w:t>
      </w:r>
      <w:r w:rsidRPr="00E91A92">
        <w:rPr>
          <w:i/>
        </w:rPr>
        <w:t>certitudo</w:t>
      </w:r>
      <w:r>
        <w:t xml:space="preserve"> ve škole druhého averroismu.</w:t>
      </w:r>
    </w:p>
    <w:p w14:paraId="0D62BFD6" w14:textId="77777777" w:rsidR="08CA55FA" w:rsidRPr="00273106" w:rsidRDefault="08762E26" w:rsidP="00565C35">
      <w:pPr>
        <w:numPr>
          <w:ilvl w:val="0"/>
          <w:numId w:val="5"/>
        </w:numPr>
      </w:pPr>
      <w:r>
        <w:t>S</w:t>
      </w:r>
      <w:r w:rsidRPr="00273106">
        <w:t xml:space="preserve">por o </w:t>
      </w:r>
      <w:r w:rsidR="08CA55FA">
        <w:t xml:space="preserve">existenciální jednotu osoby a </w:t>
      </w:r>
      <w:r>
        <w:t xml:space="preserve">numerickou </w:t>
      </w:r>
      <w:r w:rsidRPr="00273106">
        <w:t>jednotu intelektu</w:t>
      </w:r>
      <w:r w:rsidR="08CA55FA">
        <w:t xml:space="preserve">. Proti receptivnímu </w:t>
      </w:r>
      <w:r w:rsidR="08CA55FA" w:rsidRPr="08CA55FA">
        <w:rPr>
          <w:i/>
          <w:szCs w:val="24"/>
        </w:rPr>
        <w:t xml:space="preserve">intellectus possibilis </w:t>
      </w:r>
      <w:r w:rsidR="08CA55FA">
        <w:t xml:space="preserve">danému jako jednota duševních schopností podle CMDA stojí </w:t>
      </w:r>
      <w:r w:rsidR="08F84ECB">
        <w:t>objektivně hylemor</w:t>
      </w:r>
      <w:r w:rsidR="08CA55FA">
        <w:t>f</w:t>
      </w:r>
      <w:r w:rsidR="08F84ECB">
        <w:t xml:space="preserve">ický </w:t>
      </w:r>
      <w:r w:rsidRPr="089C5F47">
        <w:rPr>
          <w:i/>
        </w:rPr>
        <w:t>intellectus materialis</w:t>
      </w:r>
      <w:r>
        <w:t xml:space="preserve"> napojený na </w:t>
      </w:r>
      <w:r w:rsidR="08F84ECB">
        <w:t xml:space="preserve">kosmický </w:t>
      </w:r>
      <w:r w:rsidRPr="08235B0A">
        <w:rPr>
          <w:i/>
        </w:rPr>
        <w:t>intellectus</w:t>
      </w:r>
      <w:r w:rsidRPr="00273106">
        <w:rPr>
          <w:i/>
        </w:rPr>
        <w:t xml:space="preserve"> agens </w:t>
      </w:r>
      <w:r>
        <w:t xml:space="preserve">daný </w:t>
      </w:r>
      <w:r w:rsidRPr="00273106">
        <w:t>substančně a odděleně</w:t>
      </w:r>
      <w:r>
        <w:t>.</w:t>
      </w:r>
    </w:p>
    <w:p w14:paraId="20662A2B" w14:textId="0AE37FAA" w:rsidR="08762E26" w:rsidRDefault="08762E26" w:rsidP="00565C35">
      <w:pPr>
        <w:numPr>
          <w:ilvl w:val="0"/>
          <w:numId w:val="5"/>
        </w:numPr>
      </w:pPr>
      <w:r>
        <w:t>S</w:t>
      </w:r>
      <w:r w:rsidRPr="00273106">
        <w:t xml:space="preserve">por o statut </w:t>
      </w:r>
      <w:r w:rsidR="004B4D52" w:rsidRPr="004B4D52">
        <w:t>species</w:t>
      </w:r>
      <w:r>
        <w:t>, kdy proti sobě stála Averroes</w:t>
      </w:r>
      <w:r w:rsidRPr="00273106">
        <w:t>o</w:t>
      </w:r>
      <w:r>
        <w:t>va</w:t>
      </w:r>
      <w:r w:rsidRPr="00273106">
        <w:t xml:space="preserve"> </w:t>
      </w:r>
      <w:r w:rsidR="004B4D52" w:rsidRPr="004B4D52">
        <w:t>species</w:t>
      </w:r>
      <w:r w:rsidRPr="00273106">
        <w:rPr>
          <w:i/>
        </w:rPr>
        <w:t xml:space="preserve"> intelligibilis</w:t>
      </w:r>
      <w:r w:rsidRPr="00273106">
        <w:t xml:space="preserve"> </w:t>
      </w:r>
      <w:r>
        <w:t xml:space="preserve">versus </w:t>
      </w:r>
      <w:r w:rsidR="00540D44">
        <w:t xml:space="preserve">modernistická </w:t>
      </w:r>
      <w:r w:rsidR="004B4D52" w:rsidRPr="004B4D52">
        <w:t>species</w:t>
      </w:r>
      <w:r>
        <w:rPr>
          <w:i/>
        </w:rPr>
        <w:t xml:space="preserve"> </w:t>
      </w:r>
      <w:r>
        <w:t>daná v modu věčné esence</w:t>
      </w:r>
      <w:r w:rsidRPr="00273106">
        <w:t>.</w:t>
      </w:r>
    </w:p>
    <w:p w14:paraId="0A6C7AA8" w14:textId="77777777" w:rsidR="08221B54" w:rsidRDefault="08221B54" w:rsidP="00565C35">
      <w:pPr>
        <w:numPr>
          <w:ilvl w:val="0"/>
          <w:numId w:val="5"/>
        </w:numPr>
      </w:pPr>
      <w:r>
        <w:t xml:space="preserve">Spor o věčnost světa, kde </w:t>
      </w:r>
      <w:r w:rsidR="081676DA">
        <w:t xml:space="preserve">na jedné straně </w:t>
      </w:r>
      <w:r>
        <w:t xml:space="preserve">stála hypotetická </w:t>
      </w:r>
      <w:r w:rsidR="087F2354">
        <w:t xml:space="preserve">propozice </w:t>
      </w:r>
      <w:r>
        <w:t xml:space="preserve">aristotelské filosofie </w:t>
      </w:r>
      <w:r w:rsidR="081676DA">
        <w:t xml:space="preserve">neutrálně pojednávající jak věčnost světa, tak stvoření světa první příčinou. Na druhé straně stála </w:t>
      </w:r>
      <w:r>
        <w:t>unifikovaná ontoteologie dogmatických modernistů</w:t>
      </w:r>
      <w:r w:rsidR="081676DA">
        <w:t>, kteří vidí do božího intelektu před začátkem stvoření</w:t>
      </w:r>
      <w:r>
        <w:t xml:space="preserve">. </w:t>
      </w:r>
    </w:p>
    <w:p w14:paraId="7EAA39FF" w14:textId="596DD268" w:rsidR="0859305D" w:rsidRPr="0859305D" w:rsidRDefault="08762E26" w:rsidP="00565C35">
      <w:pPr>
        <w:numPr>
          <w:ilvl w:val="0"/>
          <w:numId w:val="5"/>
        </w:numPr>
        <w:rPr>
          <w:szCs w:val="27"/>
          <w:shd w:val="clear" w:color="auto" w:fill="FFFFFF"/>
        </w:rPr>
      </w:pPr>
      <w:r>
        <w:t xml:space="preserve">Spor o náhled </w:t>
      </w:r>
      <w:r w:rsidR="081618F3">
        <w:t xml:space="preserve">do </w:t>
      </w:r>
      <w:r>
        <w:t xml:space="preserve">boží esence, v němž druhý averroimus viděl boží </w:t>
      </w:r>
      <w:r w:rsidR="004B4D52" w:rsidRPr="004B4D52">
        <w:t>species</w:t>
      </w:r>
      <w:r w:rsidR="088D2A9F">
        <w:t xml:space="preserve"> mysticky </w:t>
      </w:r>
      <w:r w:rsidR="08F038CF">
        <w:t>a v přímém náhledu</w:t>
      </w:r>
      <w:r w:rsidR="088D2A9F">
        <w:t>. P</w:t>
      </w:r>
      <w:r>
        <w:t xml:space="preserve">rvní averroismus bránil vědecké poznání boha </w:t>
      </w:r>
      <w:r w:rsidR="00E5456C">
        <w:t>v modu „</w:t>
      </w:r>
      <w:r w:rsidRPr="0859305D">
        <w:rPr>
          <w:i/>
        </w:rPr>
        <w:t>quoad nos</w:t>
      </w:r>
      <w:r w:rsidR="00E5456C">
        <w:rPr>
          <w:i/>
        </w:rPr>
        <w:t>“</w:t>
      </w:r>
      <w:r>
        <w:t xml:space="preserve"> </w:t>
      </w:r>
      <w:r w:rsidR="00E5456C">
        <w:t xml:space="preserve">určeného v </w:t>
      </w:r>
      <w:r>
        <w:t xml:space="preserve">rámci školy Modistů </w:t>
      </w:r>
      <w:r w:rsidR="00E5456C">
        <w:t xml:space="preserve">a </w:t>
      </w:r>
      <w:r>
        <w:t>dané podle CMDA.</w:t>
      </w:r>
      <w:r w:rsidR="0859305D">
        <w:t xml:space="preserve"> </w:t>
      </w:r>
      <w:r w:rsidR="082A7E3A">
        <w:t>Mystický náhled do boží</w:t>
      </w:r>
      <w:r w:rsidR="0859305D">
        <w:t xml:space="preserve"> </w:t>
      </w:r>
      <w:r w:rsidR="082A7E3A">
        <w:t xml:space="preserve">podstaty </w:t>
      </w:r>
      <w:r w:rsidR="000C051B">
        <w:t>a filosofické poznání boha</w:t>
      </w:r>
      <w:r w:rsidR="082A7E3A">
        <w:t xml:space="preserve"> jako </w:t>
      </w:r>
      <w:r w:rsidR="000C051B">
        <w:t>první příčiny</w:t>
      </w:r>
      <w:r w:rsidR="082A7E3A">
        <w:t xml:space="preserve"> jsou rodově odli</w:t>
      </w:r>
      <w:r w:rsidR="0859305D">
        <w:t xml:space="preserve">šeny. </w:t>
      </w:r>
    </w:p>
    <w:p w14:paraId="002DC95B" w14:textId="77777777" w:rsidR="00723E83" w:rsidRDefault="08762E26" w:rsidP="08B478F6">
      <w:r>
        <w:t>Pro myslitele prvního averroismu v paradigmatu Sicilské školy</w:t>
      </w:r>
      <w:r w:rsidRPr="08170CD0">
        <w:t xml:space="preserve"> </w:t>
      </w:r>
      <w:r w:rsidRPr="00273106">
        <w:t xml:space="preserve">nebyl </w:t>
      </w:r>
      <w:r>
        <w:t>Averroes</w:t>
      </w:r>
      <w:r w:rsidRPr="00273106">
        <w:t xml:space="preserve"> averroistou</w:t>
      </w:r>
      <w:r>
        <w:t xml:space="preserve"> a ani </w:t>
      </w:r>
      <w:r w:rsidR="082A7E3A">
        <w:t xml:space="preserve">jím </w:t>
      </w:r>
      <w:r>
        <w:t xml:space="preserve">nemohl být. </w:t>
      </w:r>
      <w:r w:rsidR="0891416A">
        <w:t xml:space="preserve">Škola druhého averroismu považovala Komentátora za heretika a za chybujícího filosofa. V další generaci se k nim přidali </w:t>
      </w:r>
      <w:r w:rsidR="087D29AE">
        <w:t>s</w:t>
      </w:r>
      <w:r>
        <w:t>emiaverroisté a teologové ovlivnění avicennismem Toledské škol</w:t>
      </w:r>
      <w:r w:rsidR="087D29AE">
        <w:t>y (Akvinský, Aegidius Romanus)</w:t>
      </w:r>
      <w:r>
        <w:t xml:space="preserve">. </w:t>
      </w:r>
    </w:p>
    <w:p w14:paraId="0C588FF0" w14:textId="029E1E23" w:rsidR="000D1E8D" w:rsidRDefault="00723E83" w:rsidP="000D1E8D">
      <w:pPr>
        <w:ind w:firstLine="397"/>
      </w:pPr>
      <w:r w:rsidRPr="00273106">
        <w:t>Zatmění první substance</w:t>
      </w:r>
      <w:r>
        <w:fldChar w:fldCharType="begin"/>
      </w:r>
      <w:r>
        <w:instrText xml:space="preserve"> XE "zatmění:</w:instrText>
      </w:r>
      <w:r w:rsidRPr="00DE2A32">
        <w:instrText>substance</w:instrText>
      </w:r>
      <w:r>
        <w:instrText xml:space="preserve">" </w:instrText>
      </w:r>
      <w:r>
        <w:fldChar w:fldCharType="end"/>
      </w:r>
      <w:r w:rsidRPr="00273106">
        <w:t xml:space="preserve"> dané kolem 1230 skrze </w:t>
      </w:r>
      <w:r>
        <w:t xml:space="preserve">Grossetesteho výklad </w:t>
      </w:r>
      <w:r w:rsidRPr="00CA790E">
        <w:rPr>
          <w:i/>
        </w:rPr>
        <w:t>Druhých analytik</w:t>
      </w:r>
      <w:r>
        <w:t xml:space="preserve"> </w:t>
      </w:r>
      <w:r w:rsidRPr="00273106">
        <w:t xml:space="preserve">otevřelo </w:t>
      </w:r>
      <w:r>
        <w:t xml:space="preserve">oči mladým </w:t>
      </w:r>
      <w:r w:rsidRPr="00273106">
        <w:t>učeným Latiníkům studujících na Oxfordu</w:t>
      </w:r>
      <w:r>
        <w:t xml:space="preserve"> kolem roku 1235 a p</w:t>
      </w:r>
      <w:r w:rsidRPr="000360FE">
        <w:t>oté přijeli do Paříže na magisterské studium. Recep</w:t>
      </w:r>
      <w:r>
        <w:t>ce Avicennova korpusu ve verzi T</w:t>
      </w:r>
      <w:r w:rsidRPr="000360FE">
        <w:t xml:space="preserve">oledské </w:t>
      </w:r>
      <w:r>
        <w:t xml:space="preserve">školy ovlivnila výklad </w:t>
      </w:r>
      <w:r w:rsidRPr="00A009CB">
        <w:rPr>
          <w:i/>
          <w:szCs w:val="24"/>
        </w:rPr>
        <w:t>Corpus Aristotelicum</w:t>
      </w:r>
      <w:r>
        <w:rPr>
          <w:szCs w:val="24"/>
        </w:rPr>
        <w:t xml:space="preserve"> </w:t>
      </w:r>
      <w:r w:rsidRPr="000360FE">
        <w:t>v</w:t>
      </w:r>
      <w:r>
        <w:t> </w:t>
      </w:r>
      <w:r w:rsidRPr="000360FE">
        <w:t>Oxfordu</w:t>
      </w:r>
      <w:r>
        <w:t xml:space="preserve"> a p</w:t>
      </w:r>
      <w:r w:rsidRPr="000360FE">
        <w:t xml:space="preserve">řispěla ke vzniku moderny kolem roku 1240 v Paříži. Oxfordští </w:t>
      </w:r>
      <w:r w:rsidR="00B63804">
        <w:t xml:space="preserve">sofisté </w:t>
      </w:r>
      <w:r w:rsidRPr="000360FE">
        <w:t>spojili novou inte</w:t>
      </w:r>
      <w:r>
        <w:t>rpretaci „vědy“</w:t>
      </w:r>
      <w:r w:rsidRPr="000360FE">
        <w:t xml:space="preserve"> v paradigmatu </w:t>
      </w:r>
      <w:r w:rsidRPr="000360FE">
        <w:rPr>
          <w:i/>
        </w:rPr>
        <w:t>Oxfordian Fallacy</w:t>
      </w:r>
      <w:r>
        <w:t xml:space="preserve"> </w:t>
      </w:r>
      <w:r w:rsidRPr="000360FE">
        <w:t xml:space="preserve">se změněným statutem </w:t>
      </w:r>
      <w:r w:rsidRPr="000360FE">
        <w:rPr>
          <w:i/>
        </w:rPr>
        <w:t>Kategorií</w:t>
      </w:r>
      <w:r w:rsidRPr="000360FE">
        <w:t xml:space="preserve"> v logick</w:t>
      </w:r>
      <w:r>
        <w:t xml:space="preserve">ých školách Porretanů, </w:t>
      </w:r>
      <w:r w:rsidRPr="000360FE">
        <w:rPr>
          <w:i/>
        </w:rPr>
        <w:t>Gram</w:t>
      </w:r>
      <w:r>
        <w:rPr>
          <w:i/>
        </w:rPr>
        <w:t>matici</w:t>
      </w:r>
      <w:r w:rsidRPr="000360FE">
        <w:t xml:space="preserve"> a </w:t>
      </w:r>
      <w:r w:rsidRPr="000360FE">
        <w:rPr>
          <w:i/>
        </w:rPr>
        <w:t>sequaces Aristotelis</w:t>
      </w:r>
      <w:r w:rsidRPr="000360FE">
        <w:t>.</w:t>
      </w:r>
      <w:r>
        <w:t xml:space="preserve"> Albe</w:t>
      </w:r>
      <w:r w:rsidR="003C50AF">
        <w:t>r</w:t>
      </w:r>
      <w:r>
        <w:t xml:space="preserve">t, Bacon a další kritičtí </w:t>
      </w:r>
      <w:r w:rsidR="00F377EE">
        <w:t xml:space="preserve">myslitelé </w:t>
      </w:r>
      <w:r>
        <w:t>odmít</w:t>
      </w:r>
      <w:r w:rsidRPr="00273106">
        <w:t>l</w:t>
      </w:r>
      <w:r>
        <w:t>i</w:t>
      </w:r>
      <w:r w:rsidRPr="00273106">
        <w:t xml:space="preserve"> oxfordskou </w:t>
      </w:r>
      <w:r>
        <w:t xml:space="preserve">školu jménem prvního averroismu. Jejich </w:t>
      </w:r>
      <w:r w:rsidRPr="00273106">
        <w:t xml:space="preserve">výklad </w:t>
      </w:r>
      <w:r>
        <w:t>a</w:t>
      </w:r>
      <w:r w:rsidRPr="00273106">
        <w:t>ristotelsk</w:t>
      </w:r>
      <w:r>
        <w:t>ého Korpusu sledoval Averroesovu linii v paradigmatu Sicilské školy</w:t>
      </w:r>
      <w:r w:rsidRPr="00273106">
        <w:t xml:space="preserve">. </w:t>
      </w:r>
      <w:r>
        <w:t xml:space="preserve">Na </w:t>
      </w:r>
      <w:r w:rsidR="003C50AF">
        <w:t xml:space="preserve">sofisty </w:t>
      </w:r>
      <w:r w:rsidRPr="00273106">
        <w:t xml:space="preserve">z Oxfordu platí </w:t>
      </w:r>
      <w:r>
        <w:t>Averroes</w:t>
      </w:r>
      <w:r w:rsidRPr="00273106">
        <w:t xml:space="preserve">ova kritika </w:t>
      </w:r>
      <w:r>
        <w:t xml:space="preserve">tehdejších </w:t>
      </w:r>
      <w:r w:rsidRPr="00273106">
        <w:t xml:space="preserve">avicennistů </w:t>
      </w:r>
      <w:r>
        <w:t>(</w:t>
      </w:r>
      <w:r w:rsidRPr="00BF7998">
        <w:rPr>
          <w:i/>
        </w:rPr>
        <w:t>hoc contrarium est ei quod contingit Modernis</w:t>
      </w:r>
      <w:r>
        <w:rPr>
          <w:i/>
        </w:rPr>
        <w:t>;</w:t>
      </w:r>
      <w:r w:rsidRPr="08C916CE">
        <w:t xml:space="preserve"> OBJ I,</w:t>
      </w:r>
      <w:r>
        <w:rPr>
          <w:i/>
        </w:rPr>
        <w:t xml:space="preserve"> </w:t>
      </w:r>
      <w:r>
        <w:t>kap. 2.4)</w:t>
      </w:r>
      <w:r w:rsidRPr="00273106">
        <w:t xml:space="preserve">. </w:t>
      </w:r>
      <w:r>
        <w:t xml:space="preserve">Ani tehdy ani dnes </w:t>
      </w:r>
      <w:r w:rsidRPr="00273106">
        <w:t>nikdo není v</w:t>
      </w:r>
      <w:r>
        <w:t>zdělaný a dokonalý, pokud není alexandrovcem</w:t>
      </w:r>
      <w:r>
        <w:fldChar w:fldCharType="begin"/>
      </w:r>
      <w:r>
        <w:instrText xml:space="preserve"> XE "alexandrovci" </w:instrText>
      </w:r>
      <w:r>
        <w:fldChar w:fldCharType="end"/>
      </w:r>
      <w:r w:rsidRPr="00273106">
        <w:t xml:space="preserve">, čili </w:t>
      </w:r>
      <w:r>
        <w:t xml:space="preserve">avicennistickým </w:t>
      </w:r>
      <w:r w:rsidRPr="00273106">
        <w:t>modernistou (</w:t>
      </w:r>
      <w:r w:rsidRPr="00273106">
        <w:rPr>
          <w:i/>
        </w:rPr>
        <w:t>nullus enim est sciens et perfectus apud eos nisi qui est Alexandreus</w:t>
      </w:r>
      <w:r w:rsidRPr="00273106">
        <w:t>).</w:t>
      </w:r>
      <w:r>
        <w:t xml:space="preserve"> Recepce Komentátora na Oxfordu pouze znamenala, že neoplatonský Avicenna dostal aristotelský kabát, který nosí dodnes. P</w:t>
      </w:r>
      <w:r w:rsidRPr="00273106">
        <w:t xml:space="preserve">rvní modernista </w:t>
      </w:r>
      <w:r w:rsidRPr="08EB171F">
        <w:rPr>
          <w:szCs w:val="24"/>
        </w:rPr>
        <w:t xml:space="preserve">Grosseteste </w:t>
      </w:r>
      <w:r w:rsidRPr="00273106">
        <w:t xml:space="preserve">však byl ještě </w:t>
      </w:r>
      <w:r>
        <w:t xml:space="preserve">výborný </w:t>
      </w:r>
      <w:r w:rsidRPr="00273106">
        <w:t>aristotelik</w:t>
      </w:r>
      <w:r>
        <w:t xml:space="preserve">. Proto si </w:t>
      </w:r>
      <w:r w:rsidRPr="00273106">
        <w:t xml:space="preserve">byl vědom určitého problému daného v jeho pojetí univoční konverze principů poznání. </w:t>
      </w:r>
      <w:r>
        <w:t>Viděl určitou nejasnost (</w:t>
      </w:r>
      <w:r w:rsidRPr="00273106">
        <w:rPr>
          <w:i/>
        </w:rPr>
        <w:t>aliquantulum obscura</w:t>
      </w:r>
      <w:r>
        <w:t xml:space="preserve">) ve schématu, v němž zmizela impozice od první substance. </w:t>
      </w:r>
      <w:r w:rsidRPr="00273106">
        <w:t>V tom se lišil od Filipa Kancléře na Pařížské univerzitě, který ve stejné době provedl plnou kon</w:t>
      </w:r>
      <w:r>
        <w:t xml:space="preserve">verzi transcendentálií v pojmu </w:t>
      </w:r>
      <w:r w:rsidRPr="00273106">
        <w:rPr>
          <w:i/>
        </w:rPr>
        <w:t>resolutio</w:t>
      </w:r>
      <w:r>
        <w:rPr>
          <w:i/>
        </w:rPr>
        <w:fldChar w:fldCharType="begin"/>
      </w:r>
      <w:r>
        <w:instrText xml:space="preserve"> XE "</w:instrText>
      </w:r>
      <w:r w:rsidRPr="00111E9E">
        <w:rPr>
          <w:i/>
        </w:rPr>
        <w:instrText>resolutio</w:instrText>
      </w:r>
      <w:r>
        <w:rPr>
          <w:i/>
        </w:rPr>
        <w:instrText>:</w:instrText>
      </w:r>
      <w:r w:rsidRPr="007D3515">
        <w:instrText>Filip</w:instrText>
      </w:r>
      <w:r w:rsidRPr="00273106">
        <w:instrText xml:space="preserve"> </w:instrText>
      </w:r>
      <w:r>
        <w:instrText xml:space="preserve">Kancléř" </w:instrText>
      </w:r>
      <w:r>
        <w:rPr>
          <w:i/>
        </w:rPr>
        <w:fldChar w:fldCharType="end"/>
      </w:r>
      <w:r w:rsidRPr="00273106">
        <w:t xml:space="preserve">. Z </w:t>
      </w:r>
      <w:r>
        <w:t>platon</w:t>
      </w:r>
      <w:r w:rsidRPr="00273106">
        <w:t>ských nejvyšších rodů bytí sjednocených pod ideou Dobra se staly prvky aristotelsk</w:t>
      </w:r>
      <w:r>
        <w:t>é kategoriální predikace (kap. 2</w:t>
      </w:r>
      <w:r w:rsidRPr="00273106">
        <w:t>.3</w:t>
      </w:r>
      <w:r>
        <w:t>.2</w:t>
      </w:r>
      <w:r w:rsidR="00597F45">
        <w:t>). Grosseteste provedl</w:t>
      </w:r>
      <w:r w:rsidRPr="00273106">
        <w:t xml:space="preserve"> formálně stejnou </w:t>
      </w:r>
      <w:r>
        <w:t>neoplatonsk</w:t>
      </w:r>
      <w:r w:rsidRPr="00273106">
        <w:t xml:space="preserve">ou konverzi </w:t>
      </w:r>
      <w:r w:rsidR="00597F45">
        <w:t xml:space="preserve">kognitivních principů </w:t>
      </w:r>
      <w:r w:rsidRPr="00273106">
        <w:t>na dále neredukovatelný formální základ</w:t>
      </w:r>
      <w:r>
        <w:t xml:space="preserve">. </w:t>
      </w:r>
      <w:r w:rsidR="00E728E1" w:rsidRPr="00273106">
        <w:t xml:space="preserve">Konverze prvních principů poznání provedená na Oxfordu </w:t>
      </w:r>
      <w:r w:rsidR="00E728E1">
        <w:t xml:space="preserve">někdy roku </w:t>
      </w:r>
      <w:r w:rsidR="00E728E1" w:rsidRPr="00273106">
        <w:t xml:space="preserve">1230 plynule navázala na </w:t>
      </w:r>
      <w:r w:rsidR="00E728E1">
        <w:t>neoplatonsk</w:t>
      </w:r>
      <w:r w:rsidR="00E728E1" w:rsidRPr="00273106">
        <w:t xml:space="preserve">ou konverzi transcendentálií, kterou ve stejné době zavedl Filip Kancléř v Paříži. </w:t>
      </w:r>
      <w:r>
        <w:t xml:space="preserve">Ale </w:t>
      </w:r>
      <w:r w:rsidR="00E728E1">
        <w:t xml:space="preserve">Grosseteste </w:t>
      </w:r>
      <w:r>
        <w:t xml:space="preserve">zůstal </w:t>
      </w:r>
      <w:r w:rsidRPr="00273106">
        <w:t>kritický</w:t>
      </w:r>
      <w:r>
        <w:t>m</w:t>
      </w:r>
      <w:r w:rsidRPr="00273106">
        <w:t xml:space="preserve"> aristotelik</w:t>
      </w:r>
      <w:r>
        <w:t>em</w:t>
      </w:r>
      <w:r w:rsidRPr="00273106">
        <w:t xml:space="preserve"> </w:t>
      </w:r>
      <w:r>
        <w:t xml:space="preserve">Blundovy školy a stále </w:t>
      </w:r>
      <w:r w:rsidRPr="00273106">
        <w:t xml:space="preserve">ještě viděl </w:t>
      </w:r>
      <w:r>
        <w:t xml:space="preserve">určitý </w:t>
      </w:r>
      <w:r w:rsidRPr="00273106">
        <w:t xml:space="preserve">problém v konverzi mezi první a druhou trojicí principů poznání. Grosseteste je první </w:t>
      </w:r>
      <w:r w:rsidR="00432A4C">
        <w:t xml:space="preserve">latinský </w:t>
      </w:r>
      <w:r w:rsidRPr="00273106">
        <w:t>modernista</w:t>
      </w:r>
      <w:r w:rsidRPr="00E84A46">
        <w:t xml:space="preserve">, neboť jako poslední představitel klasické metafyziky v nově se rodící modernitě ještě reflektoval účinek </w:t>
      </w:r>
      <w:r w:rsidRPr="00E84A46">
        <w:rPr>
          <w:i/>
        </w:rPr>
        <w:t>a/lētheia</w:t>
      </w:r>
      <w:r w:rsidRPr="00DC6FB5">
        <w:rPr>
          <w:i/>
          <w:szCs w:val="24"/>
        </w:rPr>
        <w:fldChar w:fldCharType="begin"/>
      </w:r>
      <w:r w:rsidRPr="00DC6FB5">
        <w:rPr>
          <w:szCs w:val="24"/>
        </w:rPr>
        <w:instrText xml:space="preserve"> XE "</w:instrText>
      </w:r>
      <w:r w:rsidRPr="00DC6FB5">
        <w:rPr>
          <w:i/>
          <w:szCs w:val="24"/>
        </w:rPr>
        <w:instrText>a/létheia:</w:instrText>
      </w:r>
      <w:r w:rsidRPr="00DC6FB5">
        <w:rPr>
          <w:szCs w:val="24"/>
        </w:rPr>
        <w:instrText xml:space="preserve">Grosseteste" </w:instrText>
      </w:r>
      <w:r w:rsidRPr="00DC6FB5">
        <w:rPr>
          <w:i/>
          <w:szCs w:val="24"/>
        </w:rPr>
        <w:fldChar w:fldCharType="end"/>
      </w:r>
      <w:r w:rsidRPr="00E84A46">
        <w:t xml:space="preserve"> zatmění první substance.</w:t>
      </w:r>
      <w:r>
        <w:t xml:space="preserve"> Jeho termín „</w:t>
      </w:r>
      <w:r w:rsidRPr="00273106">
        <w:rPr>
          <w:i/>
        </w:rPr>
        <w:t>aliquantulum obscura</w:t>
      </w:r>
      <w:r>
        <w:t xml:space="preserve">“ naposledy reflektuje pravdu a nepravdu moderní vědy, která nepotřebuje realitu první substance k provedení deduktivního důkazu. </w:t>
      </w:r>
      <w:r w:rsidRPr="00694FDF">
        <w:t>Tato epochální událost (</w:t>
      </w:r>
      <w:r w:rsidRPr="00694FDF">
        <w:rPr>
          <w:i/>
        </w:rPr>
        <w:t>Ereignis</w:t>
      </w:r>
      <w:r w:rsidRPr="00694FDF">
        <w:t xml:space="preserve">) zahájila zatmění skutečnosti a </w:t>
      </w:r>
      <w:r>
        <w:t xml:space="preserve">nastartovala </w:t>
      </w:r>
      <w:r w:rsidRPr="00694FDF">
        <w:t>objektivní výklad skutečných událostí jako zatmění Slunc</w:t>
      </w:r>
      <w:r>
        <w:t xml:space="preserve">e pomocí falešného výkladu </w:t>
      </w:r>
      <w:r w:rsidRPr="00694FDF">
        <w:rPr>
          <w:i/>
        </w:rPr>
        <w:t>Druhých Analytik</w:t>
      </w:r>
      <w:r w:rsidRPr="00694FDF">
        <w:t>.</w:t>
      </w:r>
      <w:r>
        <w:t xml:space="preserve"> Dvojí negace (tedy reálného slunce a metafyzické první substance) dává v latině klad. Skrze zhuštění sofistické temnoty zazářilo oxfordským iluminátům světlo moderního rozumu podle metafyzické </w:t>
      </w:r>
      <w:r w:rsidRPr="08C944BE">
        <w:rPr>
          <w:i/>
        </w:rPr>
        <w:t>obscurity</w:t>
      </w:r>
      <w:r>
        <w:t>, kterou Averroés našel u Avicenny.</w:t>
      </w:r>
      <w:r w:rsidR="000D1E8D">
        <w:t xml:space="preserve"> </w:t>
      </w:r>
      <w:r w:rsidR="003B51CD" w:rsidRPr="00273106">
        <w:t xml:space="preserve">Tuto </w:t>
      </w:r>
      <w:r w:rsidR="003B51CD">
        <w:t xml:space="preserve">nejasnost </w:t>
      </w:r>
      <w:r w:rsidR="003B51CD" w:rsidRPr="00273106">
        <w:t xml:space="preserve">už neviděli mladí oxfordští bakaláři </w:t>
      </w:r>
      <w:r w:rsidR="003B51CD">
        <w:t>přišlí do Paříže okolo roku 1235</w:t>
      </w:r>
      <w:r w:rsidR="003B51CD" w:rsidRPr="00273106">
        <w:t xml:space="preserve">. </w:t>
      </w:r>
      <w:r w:rsidR="003B51CD">
        <w:t>První modernisté přišlí z Oxfordu našli magistrální učitele ve škole Alexandra Halese a Filipa Kancléře</w:t>
      </w:r>
      <w:r w:rsidR="00997F05">
        <w:t xml:space="preserve">. Tito modernisté odmítli </w:t>
      </w:r>
      <w:r w:rsidR="003B51CD">
        <w:t>škol</w:t>
      </w:r>
      <w:r w:rsidR="00997F05">
        <w:t>u Blundových nástupců, kterou</w:t>
      </w:r>
      <w:r w:rsidR="003B51CD">
        <w:t xml:space="preserve"> vedl biskup Alvernus a kam patřil Albert Veliký. Tím je také vysvětleno, proč aristotelská metafyzika daná </w:t>
      </w:r>
      <w:r w:rsidR="003B51CD">
        <w:rPr>
          <w:i/>
        </w:rPr>
        <w:t>ad mentem Averrois</w:t>
      </w:r>
      <w:r w:rsidR="003B51CD">
        <w:rPr>
          <w:i/>
        </w:rPr>
        <w:fldChar w:fldCharType="begin"/>
      </w:r>
      <w:r w:rsidR="003B51CD">
        <w:instrText xml:space="preserve"> XE "</w:instrText>
      </w:r>
      <w:r w:rsidR="003B51CD">
        <w:rPr>
          <w:i/>
        </w:rPr>
        <w:instrText>ad mentem Averrois</w:instrText>
      </w:r>
      <w:r w:rsidR="003B51CD">
        <w:instrText xml:space="preserve">" </w:instrText>
      </w:r>
      <w:r w:rsidR="003B51CD">
        <w:rPr>
          <w:i/>
        </w:rPr>
        <w:fldChar w:fldCharType="end"/>
      </w:r>
      <w:r w:rsidR="003B51CD">
        <w:t xml:space="preserve"> dostala od počátku dva zcela odlišné výklady podle Sicilské a podle Toledské školy. V</w:t>
      </w:r>
      <w:r w:rsidR="000D1E8D" w:rsidRPr="00273106">
        <w:t xml:space="preserve">znik </w:t>
      </w:r>
      <w:r w:rsidR="000D1E8D">
        <w:t xml:space="preserve">nové </w:t>
      </w:r>
      <w:r w:rsidR="000D1E8D" w:rsidRPr="00273106">
        <w:t xml:space="preserve">interpretace </w:t>
      </w:r>
      <w:r w:rsidR="000D1E8D" w:rsidRPr="008C2ADA">
        <w:rPr>
          <w:i/>
        </w:rPr>
        <w:t>Druhých analytik</w:t>
      </w:r>
      <w:r w:rsidR="000D1E8D" w:rsidRPr="00273106">
        <w:t xml:space="preserve"> </w:t>
      </w:r>
      <w:r w:rsidR="003B51CD">
        <w:t xml:space="preserve">je třeba vidět </w:t>
      </w:r>
      <w:r w:rsidR="000D1E8D" w:rsidRPr="00273106">
        <w:t>z hled</w:t>
      </w:r>
      <w:r w:rsidR="000D1E8D">
        <w:t xml:space="preserve">iska předloženého trojúhelníku </w:t>
      </w:r>
      <w:r w:rsidR="000D1E8D" w:rsidRPr="00273106">
        <w:t>dějinnost</w:t>
      </w:r>
      <w:r w:rsidR="000D1E8D">
        <w:t>i, dějiny a historie</w:t>
      </w:r>
      <w:r w:rsidR="000D1E8D">
        <w:fldChar w:fldCharType="begin"/>
      </w:r>
      <w:r w:rsidR="000D1E8D">
        <w:instrText xml:space="preserve"> XE "</w:instrText>
      </w:r>
      <w:r w:rsidR="000D1E8D" w:rsidRPr="006F60BA">
        <w:instrText>hermeneutická triáda</w:instrText>
      </w:r>
      <w:r w:rsidR="000D1E8D">
        <w:instrText xml:space="preserve">" </w:instrText>
      </w:r>
      <w:r w:rsidR="000D1E8D">
        <w:fldChar w:fldCharType="end"/>
      </w:r>
      <w:r w:rsidR="000D1E8D" w:rsidRPr="00273106">
        <w:t>.</w:t>
      </w:r>
      <w:r w:rsidR="000D1E8D">
        <w:t xml:space="preserve"> Pravda daná skrze </w:t>
      </w:r>
      <w:r w:rsidR="000D1E8D" w:rsidRPr="00273106">
        <w:t>intuitivní a mystick</w:t>
      </w:r>
      <w:r w:rsidR="000D1E8D">
        <w:t xml:space="preserve">ý </w:t>
      </w:r>
      <w:r w:rsidR="000D1E8D" w:rsidRPr="00273106">
        <w:t xml:space="preserve">náhled </w:t>
      </w:r>
      <w:r w:rsidR="000D1E8D">
        <w:t xml:space="preserve">ovlivnila </w:t>
      </w:r>
      <w:r w:rsidR="000D1E8D" w:rsidRPr="00273106">
        <w:t xml:space="preserve">následné komentáře této školy ke spisu </w:t>
      </w:r>
      <w:r w:rsidR="000D1E8D">
        <w:rPr>
          <w:i/>
        </w:rPr>
        <w:t>De anima</w:t>
      </w:r>
      <w:r w:rsidR="000D1E8D" w:rsidRPr="00273106">
        <w:t>, čí</w:t>
      </w:r>
      <w:r w:rsidR="000D1E8D">
        <w:t xml:space="preserve">mž začíná skutečný spor o averroismus. Moderna postavená na metafyzických omylech se musela v první fázi svého dějinného působení prosadit hlavně mocensky. Epochální působení </w:t>
      </w:r>
      <w:r w:rsidR="000D1E8D">
        <w:rPr>
          <w:i/>
        </w:rPr>
        <w:t>Oxf</w:t>
      </w:r>
      <w:r w:rsidR="000D1E8D" w:rsidRPr="003A6B57">
        <w:rPr>
          <w:i/>
        </w:rPr>
        <w:t>o</w:t>
      </w:r>
      <w:r w:rsidR="000D1E8D">
        <w:rPr>
          <w:i/>
        </w:rPr>
        <w:t>r</w:t>
      </w:r>
      <w:r w:rsidR="000D1E8D" w:rsidRPr="003A6B57">
        <w:rPr>
          <w:i/>
        </w:rPr>
        <w:t>dian Fallacy</w:t>
      </w:r>
      <w:r w:rsidR="000D1E8D">
        <w:rPr>
          <w:i/>
        </w:rPr>
        <w:fldChar w:fldCharType="begin"/>
      </w:r>
      <w:r w:rsidR="000D1E8D">
        <w:instrText xml:space="preserve"> XE "</w:instrText>
      </w:r>
      <w:r w:rsidR="000D1E8D" w:rsidRPr="0015798D">
        <w:rPr>
          <w:i/>
        </w:rPr>
        <w:instrText>Oxfordian Fallacy:</w:instrText>
      </w:r>
      <w:r w:rsidR="000D1E8D" w:rsidRPr="0015798D">
        <w:instrText>pů</w:instrText>
      </w:r>
      <w:r w:rsidR="000D1E8D">
        <w:instrText xml:space="preserve">sobení" </w:instrText>
      </w:r>
      <w:r w:rsidR="000D1E8D">
        <w:rPr>
          <w:i/>
        </w:rPr>
        <w:fldChar w:fldCharType="end"/>
      </w:r>
      <w:r w:rsidR="000D1E8D">
        <w:rPr>
          <w:i/>
        </w:rPr>
        <w:t xml:space="preserve"> </w:t>
      </w:r>
      <w:r w:rsidR="000D1E8D" w:rsidRPr="089F595A">
        <w:t>prosadilo</w:t>
      </w:r>
      <w:r w:rsidR="000D1E8D">
        <w:rPr>
          <w:i/>
        </w:rPr>
        <w:t xml:space="preserve"> </w:t>
      </w:r>
      <w:r w:rsidR="000D1E8D">
        <w:t xml:space="preserve">myšlení latinských sofistů skrze moc arbiskupského stolce v Canterbury (Anselm, Kilwardby, Pecham), který chránil říši sofismat vzniklých v Oxfordu. Stejný vývoj nastal v Paříži po roce 1277. </w:t>
      </w:r>
      <w:r w:rsidR="000D1E8D" w:rsidRPr="00273106">
        <w:t xml:space="preserve">Původní místo </w:t>
      </w:r>
      <w:r w:rsidR="000D1E8D">
        <w:t xml:space="preserve">analytického </w:t>
      </w:r>
      <w:r w:rsidR="000D1E8D" w:rsidRPr="00273106">
        <w:t xml:space="preserve">vidění </w:t>
      </w:r>
      <w:r w:rsidR="000D1E8D">
        <w:t xml:space="preserve">moderny </w:t>
      </w:r>
      <w:r w:rsidR="000D1E8D" w:rsidRPr="00273106">
        <w:t>analyzovala předešl</w:t>
      </w:r>
      <w:r w:rsidR="000D1E8D">
        <w:t>á matrice v porretánském pojmu „</w:t>
      </w:r>
      <w:r w:rsidR="000D1E8D" w:rsidRPr="00273106">
        <w:rPr>
          <w:i/>
        </w:rPr>
        <w:t>discrete videamus</w:t>
      </w:r>
      <w:r w:rsidR="000D1E8D">
        <w:t>“</w:t>
      </w:r>
      <w:r w:rsidR="000D1E8D">
        <w:rPr>
          <w:i/>
        </w:rPr>
        <w:fldChar w:fldCharType="begin"/>
      </w:r>
      <w:r w:rsidR="000D1E8D">
        <w:instrText xml:space="preserve"> XE "</w:instrText>
      </w:r>
      <w:r w:rsidR="000D1E8D" w:rsidRPr="00E90B20">
        <w:rPr>
          <w:i/>
        </w:rPr>
        <w:instrText>discrete videamus</w:instrText>
      </w:r>
      <w:r w:rsidR="000D1E8D">
        <w:instrText xml:space="preserve">" </w:instrText>
      </w:r>
      <w:r w:rsidR="000D1E8D">
        <w:rPr>
          <w:i/>
        </w:rPr>
        <w:fldChar w:fldCharType="end"/>
      </w:r>
      <w:r w:rsidR="000D1E8D">
        <w:t xml:space="preserve"> (kap. 1</w:t>
      </w:r>
      <w:r w:rsidR="000D1E8D" w:rsidRPr="00273106">
        <w:t xml:space="preserve">.4). Tato událost </w:t>
      </w:r>
      <w:r w:rsidR="000D1E8D">
        <w:t xml:space="preserve">mytologického </w:t>
      </w:r>
      <w:r w:rsidR="000D1E8D" w:rsidRPr="00273106">
        <w:t>myšlení (</w:t>
      </w:r>
      <w:r w:rsidR="000D1E8D" w:rsidRPr="00273106">
        <w:rPr>
          <w:i/>
        </w:rPr>
        <w:t>Ereignis</w:t>
      </w:r>
      <w:r w:rsidR="000D1E8D">
        <w:rPr>
          <w:i/>
        </w:rPr>
        <w:fldChar w:fldCharType="begin"/>
      </w:r>
      <w:r w:rsidR="000D1E8D">
        <w:instrText xml:space="preserve"> XE "</w:instrText>
      </w:r>
      <w:r w:rsidR="000D1E8D" w:rsidRPr="00120BB2">
        <w:rPr>
          <w:i/>
        </w:rPr>
        <w:instrText>Ereignis</w:instrText>
      </w:r>
      <w:r w:rsidR="000D1E8D">
        <w:instrText xml:space="preserve">" </w:instrText>
      </w:r>
      <w:r w:rsidR="000D1E8D">
        <w:rPr>
          <w:i/>
        </w:rPr>
        <w:fldChar w:fldCharType="end"/>
      </w:r>
      <w:r w:rsidR="000D1E8D" w:rsidRPr="00273106">
        <w:t xml:space="preserve">) zahájila vědecké zkoumání </w:t>
      </w:r>
      <w:r w:rsidR="000D1E8D">
        <w:t xml:space="preserve">neexistujícího diakosmu </w:t>
      </w:r>
      <w:r w:rsidR="000D1E8D" w:rsidRPr="00273106">
        <w:rPr>
          <w:i/>
        </w:rPr>
        <w:t>Nominales</w:t>
      </w:r>
      <w:r w:rsidR="000D1E8D">
        <w:t xml:space="preserve"> </w:t>
      </w:r>
      <w:r w:rsidR="000D1E8D" w:rsidRPr="00273106">
        <w:t xml:space="preserve">a </w:t>
      </w:r>
      <w:r w:rsidR="000D1E8D">
        <w:t xml:space="preserve">tím </w:t>
      </w:r>
      <w:r w:rsidR="000D1E8D" w:rsidRPr="00273106">
        <w:t xml:space="preserve">ustavila epochální </w:t>
      </w:r>
      <w:r w:rsidR="000D1E8D" w:rsidRPr="00273106">
        <w:rPr>
          <w:i/>
        </w:rPr>
        <w:t>Irrtum</w:t>
      </w:r>
      <w:r w:rsidR="00FA0644">
        <w:rPr>
          <w:i/>
        </w:rPr>
        <w:fldChar w:fldCharType="begin"/>
      </w:r>
      <w:r w:rsidR="00FA0644">
        <w:instrText xml:space="preserve"> XE "</w:instrText>
      </w:r>
      <w:r w:rsidR="00FA0644" w:rsidRPr="0063297F">
        <w:rPr>
          <w:i/>
        </w:rPr>
        <w:instrText>Irrtum</w:instrText>
      </w:r>
      <w:r w:rsidR="00FA0644">
        <w:instrText xml:space="preserve">" </w:instrText>
      </w:r>
      <w:r w:rsidR="00FA0644">
        <w:rPr>
          <w:i/>
        </w:rPr>
        <w:fldChar w:fldCharType="end"/>
      </w:r>
      <w:r w:rsidR="000D1E8D" w:rsidRPr="00273106">
        <w:t xml:space="preserve"> moderny.</w:t>
      </w:r>
      <w:r w:rsidR="00623136">
        <w:t xml:space="preserve"> </w:t>
      </w:r>
      <w:r w:rsidR="00623136" w:rsidRPr="000F11D4">
        <w:t xml:space="preserve">Nebeská mystika a církevní moc moderních iluminátů </w:t>
      </w:r>
      <w:r w:rsidR="00623136">
        <w:t xml:space="preserve">šly </w:t>
      </w:r>
      <w:r w:rsidR="00623136" w:rsidRPr="000F11D4">
        <w:t xml:space="preserve">ruku v ruce. Toto posvátné pouto moderny se v současné době změnilo </w:t>
      </w:r>
      <w:r w:rsidR="00623136">
        <w:t>na spojení nihilistických ideologií všeho druhu, které prosazuje politická</w:t>
      </w:r>
      <w:r w:rsidR="00623136" w:rsidRPr="000F11D4">
        <w:t xml:space="preserve"> moc </w:t>
      </w:r>
      <w:r w:rsidR="00623136">
        <w:t>v rámci „</w:t>
      </w:r>
      <w:r w:rsidR="00623136" w:rsidRPr="000F11D4">
        <w:rPr>
          <w:i/>
        </w:rPr>
        <w:t>Deep state</w:t>
      </w:r>
      <w:r w:rsidR="00CA031E">
        <w:rPr>
          <w:i/>
        </w:rPr>
        <w:fldChar w:fldCharType="begin"/>
      </w:r>
      <w:r w:rsidR="00CA031E">
        <w:instrText xml:space="preserve"> XE "</w:instrText>
      </w:r>
      <w:r w:rsidR="00CA031E" w:rsidRPr="00ED089D">
        <w:rPr>
          <w:i/>
        </w:rPr>
        <w:instrText>Deep state</w:instrText>
      </w:r>
      <w:r w:rsidR="00CA031E">
        <w:instrText xml:space="preserve">" </w:instrText>
      </w:r>
      <w:r w:rsidR="00CA031E">
        <w:rPr>
          <w:i/>
        </w:rPr>
        <w:fldChar w:fldCharType="end"/>
      </w:r>
      <w:r w:rsidR="00623136">
        <w:t xml:space="preserve">“ </w:t>
      </w:r>
      <w:r w:rsidR="00623136" w:rsidRPr="000F11D4">
        <w:t xml:space="preserve">a </w:t>
      </w:r>
      <w:r w:rsidR="00623136">
        <w:t xml:space="preserve">nadnárodních </w:t>
      </w:r>
      <w:r w:rsidR="00623136" w:rsidRPr="000F11D4">
        <w:t>korporací.</w:t>
      </w:r>
    </w:p>
    <w:p w14:paraId="3C96A0F6" w14:textId="77777777" w:rsidR="000D1E8D" w:rsidRDefault="000D1E8D" w:rsidP="000D1E8D">
      <w:pPr>
        <w:ind w:firstLine="397"/>
      </w:pPr>
    </w:p>
    <w:p w14:paraId="5799A439" w14:textId="7B34CF2C" w:rsidR="00723E83" w:rsidRDefault="00723E83" w:rsidP="00723E83">
      <w:pPr>
        <w:ind w:firstLine="397"/>
      </w:pPr>
      <w:r>
        <w:t>Vraťme se k působení metafyzického dativu</w:t>
      </w:r>
      <w:r>
        <w:fldChar w:fldCharType="begin"/>
      </w:r>
      <w:r>
        <w:instrText xml:space="preserve"> XE "</w:instrText>
      </w:r>
      <w:r>
        <w:rPr>
          <w:i/>
        </w:rPr>
        <w:instrText>dativus metaphysi</w:instrText>
      </w:r>
      <w:r w:rsidRPr="084E4B59">
        <w:rPr>
          <w:i/>
        </w:rPr>
        <w:instrText>cus</w:instrText>
      </w:r>
      <w:r>
        <w:instrText xml:space="preserve">" </w:instrText>
      </w:r>
      <w:r>
        <w:fldChar w:fldCharType="end"/>
      </w:r>
      <w:r w:rsidR="002D5672">
        <w:t xml:space="preserve">. </w:t>
      </w:r>
      <w:r>
        <w:t xml:space="preserve">Albert </w:t>
      </w:r>
      <w:r w:rsidR="002D5672">
        <w:t xml:space="preserve">hájil princip reality </w:t>
      </w:r>
      <w:r>
        <w:t xml:space="preserve">proti škole oxfordských modernistů přišlých do Paříže po roce 1235 (kap. 2.4.1). </w:t>
      </w:r>
      <w:r w:rsidRPr="00F91E0A">
        <w:t xml:space="preserve">Událost minulého darování bytí </w:t>
      </w:r>
      <w:r>
        <w:t>(</w:t>
      </w:r>
      <w:r w:rsidRPr="08364F97">
        <w:t>τό τί ἦν εἶναι</w:t>
      </w:r>
      <w:r>
        <w:fldChar w:fldCharType="begin"/>
      </w:r>
      <w:r>
        <w:instrText xml:space="preserve"> XE "</w:instrText>
      </w:r>
      <w:r w:rsidRPr="08D57ABC">
        <w:instrText>τό τί ἦν εἶναι</w:instrText>
      </w:r>
      <w:r>
        <w:instrText xml:space="preserve">" </w:instrText>
      </w:r>
      <w:r>
        <w:fldChar w:fldCharType="end"/>
      </w:r>
      <w:r>
        <w:t xml:space="preserve">, </w:t>
      </w:r>
      <w:r w:rsidRPr="089A44F0">
        <w:rPr>
          <w:i/>
        </w:rPr>
        <w:t>quidditas</w:t>
      </w:r>
      <w:r>
        <w:rPr>
          <w:i/>
        </w:rPr>
        <w:fldChar w:fldCharType="begin"/>
      </w:r>
      <w:r>
        <w:instrText xml:space="preserve"> XE "</w:instrText>
      </w:r>
      <w:r w:rsidRPr="08815EE8">
        <w:rPr>
          <w:i/>
        </w:rPr>
        <w:instrText>quidditas</w:instrText>
      </w:r>
      <w:r>
        <w:instrText xml:space="preserve">" </w:instrText>
      </w:r>
      <w:r>
        <w:rPr>
          <w:i/>
        </w:rPr>
        <w:fldChar w:fldCharType="end"/>
      </w:r>
      <w:r>
        <w:t xml:space="preserve">) </w:t>
      </w:r>
      <w:r w:rsidRPr="00F91E0A">
        <w:t>určuje prav</w:t>
      </w:r>
      <w:r>
        <w:t>div</w:t>
      </w:r>
      <w:r w:rsidRPr="00F91E0A">
        <w:t>é poznání první substance.</w:t>
      </w:r>
      <w:r>
        <w:t xml:space="preserve"> Původní akt bytí zakládající jsoucno jako zde a nyní jsoucí substanci (</w:t>
      </w:r>
      <w:r w:rsidRPr="08365F9E">
        <w:t>οὐσία</w:t>
      </w:r>
      <w:r>
        <w:t xml:space="preserve">, </w:t>
      </w:r>
      <w:r w:rsidRPr="00273106">
        <w:t>τόδε τι</w:t>
      </w:r>
      <w:r>
        <w:t xml:space="preserve">) působí ve vědeckém soudu </w:t>
      </w:r>
      <w:r>
        <w:rPr>
          <w:i/>
        </w:rPr>
        <w:t>ex in</w:t>
      </w:r>
      <w:r w:rsidRPr="08A7297C">
        <w:rPr>
          <w:i/>
        </w:rPr>
        <w:t>mediatis</w:t>
      </w:r>
      <w:r>
        <w:t xml:space="preserve"> a tím kauzálně zakládá sekundární poznání této jsoucnosti dané v mysli a pouze v univerzálním modu. Analytické přehození první trády principů poznání za druhou přineslo změnu ve vidění světa směrem k antropocénu. Parousie první reálné substance dříve daná jako donace bytí jsoucna se nyní dostala do manipulativní moci subjektu (</w:t>
      </w:r>
      <w:r>
        <w:rPr>
          <w:i/>
        </w:rPr>
        <w:t>Ge-Stell</w:t>
      </w:r>
      <w:r>
        <w:rPr>
          <w:i/>
        </w:rPr>
        <w:fldChar w:fldCharType="begin"/>
      </w:r>
      <w:r>
        <w:instrText xml:space="preserve"> XE "</w:instrText>
      </w:r>
      <w:r>
        <w:rPr>
          <w:i/>
        </w:rPr>
        <w:instrText>Ge-Stell</w:instrText>
      </w:r>
      <w:r>
        <w:instrText xml:space="preserve">" </w:instrText>
      </w:r>
      <w:r>
        <w:rPr>
          <w:i/>
        </w:rPr>
        <w:fldChar w:fldCharType="end"/>
      </w:r>
      <w:r>
        <w:t xml:space="preserve">; OBJ I, kap. 1.2). Toto pojetí jsoucna je zásadně paranoické, protože smrtelník svým myšlením věci netvoří, jen poznává. Pomsta Múz na sebe dala čekat jen několik staletí a měla tragicky božský charakter. Oxford se stal po zániku Pařížské univerzity v dokonaném věku osvícentví hlavním centrem objektivní moderní vzdělanosti. Grossetesteho váhání ve stylu </w:t>
      </w:r>
      <w:r w:rsidRPr="00273106">
        <w:rPr>
          <w:i/>
        </w:rPr>
        <w:t>aliquantulum obscura</w:t>
      </w:r>
      <w:r>
        <w:t xml:space="preserve"> zmizelo v modernitě. Bylo nahrazeno tragicky šílenou epochou (</w:t>
      </w:r>
      <w:r>
        <w:rPr>
          <w:i/>
        </w:rPr>
        <w:t>Irre</w:t>
      </w:r>
      <w:r>
        <w:rPr>
          <w:i/>
        </w:rPr>
        <w:fldChar w:fldCharType="begin"/>
      </w:r>
      <w:r>
        <w:instrText xml:space="preserve"> XE "</w:instrText>
      </w:r>
      <w:r>
        <w:rPr>
          <w:i/>
        </w:rPr>
        <w:instrText>Irre</w:instrText>
      </w:r>
      <w:r>
        <w:instrText xml:space="preserve">" </w:instrText>
      </w:r>
      <w:r>
        <w:rPr>
          <w:i/>
        </w:rPr>
        <w:fldChar w:fldCharType="end"/>
      </w:r>
      <w:r>
        <w:t xml:space="preserve">) vítězné objektivity. </w:t>
      </w:r>
      <w:r w:rsidRPr="00273106">
        <w:t>Vol</w:t>
      </w:r>
      <w:r>
        <w:t>ba pro analytickou determinaci „</w:t>
      </w:r>
      <w:r w:rsidRPr="00273106">
        <w:rPr>
          <w:i/>
        </w:rPr>
        <w:t>inesse</w:t>
      </w:r>
      <w:r>
        <w:t>“</w:t>
      </w:r>
      <w:r>
        <w:rPr>
          <w:i/>
        </w:rPr>
        <w:fldChar w:fldCharType="begin"/>
      </w:r>
      <w:r>
        <w:instrText xml:space="preserve"> XE "esence:</w:instrText>
      </w:r>
      <w:r w:rsidRPr="00CF4ADF">
        <w:rPr>
          <w:i/>
        </w:rPr>
        <w:instrText>inesse</w:instrText>
      </w:r>
      <w:r>
        <w:instrText xml:space="preserve">" </w:instrText>
      </w:r>
      <w:r>
        <w:rPr>
          <w:i/>
        </w:rPr>
        <w:fldChar w:fldCharType="end"/>
      </w:r>
      <w:r w:rsidRPr="00273106">
        <w:t xml:space="preserve"> </w:t>
      </w:r>
      <w:r>
        <w:t xml:space="preserve">ve středním členu vědeckého soudu </w:t>
      </w:r>
      <w:r w:rsidRPr="00273106">
        <w:t xml:space="preserve">byla fatálně jednoduchá a podle </w:t>
      </w:r>
      <w:r>
        <w:t xml:space="preserve">oxfordského </w:t>
      </w:r>
      <w:r w:rsidRPr="00273106">
        <w:t xml:space="preserve">Bacona </w:t>
      </w:r>
      <w:r>
        <w:t xml:space="preserve">také </w:t>
      </w:r>
      <w:r w:rsidRPr="00273106">
        <w:t xml:space="preserve">fatálně mylná. </w:t>
      </w:r>
      <w:r>
        <w:t xml:space="preserve">Smíšení dvou typů univerzality </w:t>
      </w:r>
      <w:r w:rsidRPr="00316DF0">
        <w:t>dan</w:t>
      </w:r>
      <w:r>
        <w:t xml:space="preserve">é </w:t>
      </w:r>
      <w:r w:rsidRPr="00316DF0">
        <w:rPr>
          <w:i/>
        </w:rPr>
        <w:t>per se</w:t>
      </w:r>
      <w:r>
        <w:t xml:space="preserve"> způsobilo</w:t>
      </w:r>
      <w:r w:rsidRPr="00316DF0">
        <w:t>, že z moderní metafyziky zmizela první hyparchická substance. Skutečná kauzalita a nutnost založená faktem existence světa (</w:t>
      </w:r>
      <w:r w:rsidRPr="00316DF0">
        <w:rPr>
          <w:i/>
        </w:rPr>
        <w:t>actus essendi</w:t>
      </w:r>
      <w:r>
        <w:rPr>
          <w:i/>
        </w:rPr>
        <w:fldChar w:fldCharType="begin"/>
      </w:r>
      <w:r>
        <w:instrText xml:space="preserve"> XE "</w:instrText>
      </w:r>
      <w:r w:rsidRPr="00B2126F">
        <w:rPr>
          <w:i/>
        </w:rPr>
        <w:instrText>actus essendi</w:instrText>
      </w:r>
      <w:r>
        <w:instrText xml:space="preserve">" </w:instrText>
      </w:r>
      <w:r>
        <w:rPr>
          <w:i/>
        </w:rPr>
        <w:fldChar w:fldCharType="end"/>
      </w:r>
      <w:r w:rsidRPr="00316DF0">
        <w:t>) již nehrály ve schématu poznání rozhodující roli.</w:t>
      </w:r>
      <w:r>
        <w:t xml:space="preserve"> G</w:t>
      </w:r>
      <w:r w:rsidRPr="00273106">
        <w:t xml:space="preserve">enerace </w:t>
      </w:r>
      <w:r>
        <w:t xml:space="preserve">modernistů přišlá z analyticky myslícího Oxfordu na magisterská studia do Paříže </w:t>
      </w:r>
      <w:r w:rsidRPr="00273106">
        <w:t xml:space="preserve">měla v otázce vědeckého poznání reality </w:t>
      </w:r>
      <w:r>
        <w:t xml:space="preserve">už </w:t>
      </w:r>
      <w:r w:rsidRPr="00273106">
        <w:t>naprosto jasno</w:t>
      </w:r>
      <w:r>
        <w:t>. Tuto změnu provedl Rufus (kap. 3.3.1) a Kilwardby (kap. 3</w:t>
      </w:r>
      <w:r w:rsidRPr="00273106">
        <w:t xml:space="preserve">.4.1) během magisterských studií v Paříži </w:t>
      </w:r>
      <w:r>
        <w:t xml:space="preserve">v letech </w:t>
      </w:r>
      <w:r w:rsidRPr="00273106">
        <w:t xml:space="preserve">1235‒40. </w:t>
      </w:r>
      <w:r>
        <w:t>Mendikantští ilumináti</w:t>
      </w:r>
      <w:r>
        <w:fldChar w:fldCharType="begin"/>
      </w:r>
      <w:r>
        <w:instrText xml:space="preserve"> XE "</w:instrText>
      </w:r>
      <w:r w:rsidRPr="00EF0AD6">
        <w:instrText>ilumináti</w:instrText>
      </w:r>
      <w:r>
        <w:instrText xml:space="preserve">" </w:instrText>
      </w:r>
      <w:r>
        <w:fldChar w:fldCharType="end"/>
      </w:r>
      <w:r>
        <w:t xml:space="preserve"> z Oxfordu skvěle doplnili zdejší osvícence ze školy </w:t>
      </w:r>
      <w:r>
        <w:rPr>
          <w:i/>
        </w:rPr>
        <w:t>sophista</w:t>
      </w:r>
      <w:r w:rsidRPr="003B4BCB">
        <w:rPr>
          <w:i/>
        </w:rPr>
        <w:t>e Latini</w:t>
      </w:r>
      <w:r>
        <w:rPr>
          <w:i/>
        </w:rPr>
        <w:fldChar w:fldCharType="begin"/>
      </w:r>
      <w:r>
        <w:instrText xml:space="preserve"> XE "druhý averroismus:</w:instrText>
      </w:r>
      <w:r w:rsidRPr="00EC0AF4">
        <w:rPr>
          <w:i/>
          <w:lang w:eastAsia="en-US"/>
        </w:rPr>
        <w:instrText>sophistae Latini</w:instrText>
      </w:r>
      <w:r>
        <w:instrText xml:space="preserve">" </w:instrText>
      </w:r>
      <w:r>
        <w:rPr>
          <w:i/>
        </w:rPr>
        <w:fldChar w:fldCharType="end"/>
      </w:r>
      <w:r>
        <w:t xml:space="preserve">, kteří okolo roku 1235 začali kompilovat celek díla </w:t>
      </w:r>
      <w:r w:rsidRPr="002220A4">
        <w:rPr>
          <w:i/>
        </w:rPr>
        <w:t>Summa Halensis</w:t>
      </w:r>
      <w:r>
        <w:rPr>
          <w:i/>
        </w:rPr>
        <w:t xml:space="preserve"> </w:t>
      </w:r>
      <w:r w:rsidRPr="00D21F79">
        <w:t xml:space="preserve">pod vedením </w:t>
      </w:r>
      <w:r>
        <w:t xml:space="preserve">Rupelly a pak </w:t>
      </w:r>
      <w:r w:rsidRPr="00D21F79">
        <w:t>Bonaventury</w:t>
      </w:r>
      <w:r>
        <w:rPr>
          <w:i/>
        </w:rPr>
        <w:fldChar w:fldCharType="begin"/>
      </w:r>
      <w:r>
        <w:instrText xml:space="preserve"> XE "</w:instrText>
      </w:r>
      <w:r w:rsidRPr="00F14A6F">
        <w:rPr>
          <w:i/>
        </w:rPr>
        <w:instrText>Summa Halensis</w:instrText>
      </w:r>
      <w:r>
        <w:instrText xml:space="preserve">" </w:instrText>
      </w:r>
      <w:r>
        <w:rPr>
          <w:i/>
        </w:rPr>
        <w:fldChar w:fldCharType="end"/>
      </w:r>
      <w:r w:rsidRPr="00273106">
        <w:t xml:space="preserve">. Pravda </w:t>
      </w:r>
      <w:r>
        <w:t xml:space="preserve">objektivity v její </w:t>
      </w:r>
      <w:r w:rsidRPr="00273106">
        <w:rPr>
          <w:i/>
        </w:rPr>
        <w:t>a/létheia</w:t>
      </w:r>
      <w:r>
        <w:rPr>
          <w:i/>
        </w:rPr>
        <w:fldChar w:fldCharType="begin"/>
      </w:r>
      <w:r>
        <w:instrText xml:space="preserve"> XE "</w:instrText>
      </w:r>
      <w:r w:rsidRPr="000D7652">
        <w:rPr>
          <w:i/>
        </w:rPr>
        <w:instrText>a/létheia:</w:instrText>
      </w:r>
      <w:r w:rsidRPr="000D7652">
        <w:instrText>druhý averroismus</w:instrText>
      </w:r>
      <w:r>
        <w:instrText xml:space="preserve">" </w:instrText>
      </w:r>
      <w:r>
        <w:rPr>
          <w:i/>
        </w:rPr>
        <w:fldChar w:fldCharType="end"/>
      </w:r>
      <w:r w:rsidRPr="00273106">
        <w:t xml:space="preserve"> </w:t>
      </w:r>
      <w:r>
        <w:t xml:space="preserve">dané u Grossetesteho přešla v této škole prvních modernistů </w:t>
      </w:r>
      <w:r w:rsidRPr="00273106">
        <w:t xml:space="preserve">do </w:t>
      </w:r>
      <w:r>
        <w:t xml:space="preserve">plné odkrytosti </w:t>
      </w:r>
      <w:r w:rsidRPr="00273106">
        <w:rPr>
          <w:i/>
        </w:rPr>
        <w:t>veritas</w:t>
      </w:r>
      <w:r w:rsidRPr="00273106">
        <w:t xml:space="preserve"> dané jako epochální </w:t>
      </w:r>
      <w:r>
        <w:t>metafyzické pochybení Západu.</w:t>
      </w:r>
      <w:r w:rsidRPr="00273106">
        <w:t xml:space="preserve"> </w:t>
      </w:r>
      <w:r>
        <w:t xml:space="preserve">Tím také došlo k zásadnímu </w:t>
      </w:r>
      <w:r w:rsidRPr="00C4422D">
        <w:rPr>
          <w:i/>
        </w:rPr>
        <w:t>Aufhebung</w:t>
      </w:r>
      <w:r>
        <w:rPr>
          <w:i/>
        </w:rPr>
        <w:fldChar w:fldCharType="begin"/>
      </w:r>
      <w:r>
        <w:instrText xml:space="preserve"> XE "</w:instrText>
      </w:r>
      <w:r w:rsidRPr="00793D2A">
        <w:rPr>
          <w:i/>
        </w:rPr>
        <w:instrText>Aufhebung</w:instrText>
      </w:r>
      <w:r>
        <w:instrText xml:space="preserve">" </w:instrText>
      </w:r>
      <w:r>
        <w:rPr>
          <w:i/>
        </w:rPr>
        <w:fldChar w:fldCharType="end"/>
      </w:r>
      <w:r>
        <w:t xml:space="preserve"> škol porretánské logiky, které skrze moderní výklad </w:t>
      </w:r>
      <w:r w:rsidRPr="00263963">
        <w:rPr>
          <w:i/>
        </w:rPr>
        <w:t>Kategorií</w:t>
      </w:r>
      <w:r>
        <w:t xml:space="preserve"> a </w:t>
      </w:r>
      <w:r w:rsidRPr="086F256F">
        <w:rPr>
          <w:i/>
        </w:rPr>
        <w:t>Druhých analytik</w:t>
      </w:r>
      <w:r>
        <w:t xml:space="preserve"> organizovaně přešly do nového proudu analytické moderny. </w:t>
      </w:r>
      <w:r w:rsidRPr="00273106">
        <w:t xml:space="preserve">Sebevědomí a učení sofisté na Oxfordu </w:t>
      </w:r>
      <w:r>
        <w:t xml:space="preserve">a v Paříži pak v dalších generacích </w:t>
      </w:r>
      <w:r w:rsidRPr="00273106">
        <w:t xml:space="preserve">pilně produkovali další verze </w:t>
      </w:r>
      <w:r w:rsidRPr="00273106">
        <w:rPr>
          <w:i/>
        </w:rPr>
        <w:t>Oxfordian Fallacy</w:t>
      </w:r>
      <w:r>
        <w:rPr>
          <w:i/>
        </w:rPr>
        <w:fldChar w:fldCharType="begin"/>
      </w:r>
      <w:r>
        <w:instrText xml:space="preserve"> XE "</w:instrText>
      </w:r>
      <w:r w:rsidRPr="00A02A4E">
        <w:rPr>
          <w:i/>
        </w:rPr>
        <w:instrText>Oxfordian Fallacy:</w:instrText>
      </w:r>
      <w:r w:rsidRPr="00A02A4E">
        <w:instrText>druhý averroismus</w:instrText>
      </w:r>
      <w:r>
        <w:instrText xml:space="preserve">" </w:instrText>
      </w:r>
      <w:r>
        <w:rPr>
          <w:i/>
        </w:rPr>
        <w:fldChar w:fldCharType="end"/>
      </w:r>
      <w:r>
        <w:t xml:space="preserve">. </w:t>
      </w:r>
      <w:r w:rsidRPr="00273106">
        <w:t xml:space="preserve">Připomeňme, že ve stejné době v Paříži kancléř univerzity Alvernus </w:t>
      </w:r>
      <w:r>
        <w:t>kritizoval neoplatonsk</w:t>
      </w:r>
      <w:r w:rsidRPr="00273106">
        <w:t xml:space="preserve">ou falsafu a Avicennu jako </w:t>
      </w:r>
      <w:r>
        <w:t xml:space="preserve">problematické </w:t>
      </w:r>
      <w:r w:rsidRPr="00273106">
        <w:t>nástupce Aristotela (</w:t>
      </w:r>
      <w:r w:rsidRPr="00273106">
        <w:rPr>
          <w:i/>
        </w:rPr>
        <w:t>sequaces Aristotelis</w:t>
      </w:r>
      <w:r>
        <w:rPr>
          <w:i/>
        </w:rPr>
        <w:fldChar w:fldCharType="begin"/>
      </w:r>
      <w:r>
        <w:instrText xml:space="preserve"> XE "druhý averroismus:</w:instrText>
      </w:r>
      <w:r w:rsidRPr="00B81DDF">
        <w:rPr>
          <w:i/>
        </w:rPr>
        <w:instrText>sequaces Aristotelis</w:instrText>
      </w:r>
      <w:r>
        <w:instrText xml:space="preserve">" </w:instrText>
      </w:r>
      <w:r>
        <w:rPr>
          <w:i/>
        </w:rPr>
        <w:fldChar w:fldCharType="end"/>
      </w:r>
      <w:r w:rsidRPr="00273106">
        <w:t xml:space="preserve">), a naopak chválil excelentní výklad </w:t>
      </w:r>
      <w:r>
        <w:t>Averroes</w:t>
      </w:r>
      <w:r w:rsidRPr="00273106">
        <w:t>e (</w:t>
      </w:r>
      <w:r w:rsidRPr="00273106">
        <w:rPr>
          <w:i/>
        </w:rPr>
        <w:t>philosophus nobilissimus</w:t>
      </w:r>
      <w:r>
        <w:t>, kap. 2</w:t>
      </w:r>
      <w:r w:rsidRPr="00273106">
        <w:t>.3). Deformace poznání vzhledem k</w:t>
      </w:r>
      <w:r>
        <w:t xml:space="preserve"> essenci </w:t>
      </w:r>
      <w:r w:rsidRPr="00273106">
        <w:t xml:space="preserve">a jejího působení potvrzuje nový výklad Aristotelova díla, zejména </w:t>
      </w:r>
      <w:r w:rsidRPr="000003EF">
        <w:rPr>
          <w:i/>
        </w:rPr>
        <w:t>Kategorií</w:t>
      </w:r>
      <w:r w:rsidRPr="00273106">
        <w:t xml:space="preserve">, </w:t>
      </w:r>
      <w:r w:rsidRPr="000003EF">
        <w:rPr>
          <w:i/>
        </w:rPr>
        <w:t>Metafyziky</w:t>
      </w:r>
      <w:r w:rsidRPr="00273106">
        <w:t xml:space="preserve"> a </w:t>
      </w:r>
      <w:r w:rsidRPr="000003EF">
        <w:rPr>
          <w:i/>
        </w:rPr>
        <w:t>Fyziky</w:t>
      </w:r>
      <w:r w:rsidRPr="00273106">
        <w:t>. Výklad těchto Aristotelových děl se stane základem budoucích sporů</w:t>
      </w:r>
      <w:r>
        <w:t xml:space="preserve"> scholastiky, která znovu zavedla</w:t>
      </w:r>
      <w:r w:rsidRPr="00273106">
        <w:t xml:space="preserve"> gigantomachii falsafy mezi Avicennou a </w:t>
      </w:r>
      <w:r>
        <w:t>Averroes</w:t>
      </w:r>
      <w:r w:rsidRPr="00273106">
        <w:t>em.</w:t>
      </w:r>
      <w:r>
        <w:t xml:space="preserve"> Historie </w:t>
      </w:r>
      <w:r w:rsidRPr="00273106">
        <w:t xml:space="preserve">Západu </w:t>
      </w:r>
      <w:r>
        <w:t>potvrdila</w:t>
      </w:r>
      <w:r w:rsidRPr="00273106">
        <w:t xml:space="preserve">, že spekulativní ilumináti druhého averroismu </w:t>
      </w:r>
      <w:r>
        <w:t>vytvořili radostnou mytopoetickou</w:t>
      </w:r>
      <w:r>
        <w:fldChar w:fldCharType="begin"/>
      </w:r>
      <w:r>
        <w:instrText xml:space="preserve"> XE "mytopoiesis" </w:instrText>
      </w:r>
      <w:r>
        <w:fldChar w:fldCharType="end"/>
      </w:r>
      <w:r>
        <w:t xml:space="preserve"> vědu moderny a silou sofistikované múzičnosti </w:t>
      </w:r>
      <w:r w:rsidRPr="00273106">
        <w:t xml:space="preserve">porazili pojetí </w:t>
      </w:r>
      <w:r>
        <w:t>„</w:t>
      </w:r>
      <w:r w:rsidRPr="00273106">
        <w:t>slabé</w:t>
      </w:r>
      <w:r>
        <w:t>ho“</w:t>
      </w:r>
      <w:r w:rsidRPr="00273106">
        <w:t xml:space="preserve"> intelektu dané</w:t>
      </w:r>
      <w:r>
        <w:t>ho</w:t>
      </w:r>
      <w:r w:rsidRPr="00273106">
        <w:t xml:space="preserve"> v prvním averroismu</w:t>
      </w:r>
      <w:r>
        <w:t xml:space="preserve">. </w:t>
      </w:r>
      <w:r w:rsidRPr="00E96EF5">
        <w:t xml:space="preserve">Poznání na základě </w:t>
      </w:r>
      <w:r>
        <w:t>moderní a „silné“</w:t>
      </w:r>
      <w:r w:rsidRPr="00E96EF5">
        <w:t xml:space="preserve"> mysli může vytvořit svět matematiky, ale v žádném případě ne metafyziku, která zkoumá skutečné první substance.</w:t>
      </w:r>
    </w:p>
    <w:p w14:paraId="637FE9F7" w14:textId="065D3B55" w:rsidR="087676BB" w:rsidRPr="00654AC2" w:rsidRDefault="08762E26" w:rsidP="00723E83">
      <w:pPr>
        <w:ind w:firstLine="397"/>
        <w:rPr>
          <w:rStyle w:val="Zkladntext158dkovn0pt"/>
          <w:color w:val="auto"/>
          <w:spacing w:val="0"/>
          <w:sz w:val="24"/>
          <w:szCs w:val="20"/>
          <w:shd w:val="clear" w:color="auto" w:fill="auto"/>
          <w:lang w:val="cs-CZ"/>
        </w:rPr>
      </w:pPr>
      <w:r>
        <w:t xml:space="preserve">Tím </w:t>
      </w:r>
      <w:r w:rsidRPr="00273106">
        <w:t xml:space="preserve">bylo ve filosofii od </w:t>
      </w:r>
      <w:r>
        <w:t xml:space="preserve">roku </w:t>
      </w:r>
      <w:r w:rsidRPr="00273106">
        <w:t xml:space="preserve">1250 zaděláno na zásadní spor ohledně </w:t>
      </w:r>
      <w:r w:rsidR="0025311F">
        <w:t xml:space="preserve">těchto hlavních bodů: </w:t>
      </w:r>
      <w:r w:rsidRPr="00273106">
        <w:t>statut lidského poznání</w:t>
      </w:r>
      <w:r w:rsidR="0025311F">
        <w:t>;</w:t>
      </w:r>
      <w:r w:rsidRPr="00273106">
        <w:t xml:space="preserve"> </w:t>
      </w:r>
      <w:r w:rsidR="0025311F">
        <w:t xml:space="preserve">teorie </w:t>
      </w:r>
      <w:r w:rsidRPr="00273106">
        <w:t>pravdy</w:t>
      </w:r>
      <w:r w:rsidR="0025311F">
        <w:t xml:space="preserve">; </w:t>
      </w:r>
      <w:r w:rsidRPr="00273106">
        <w:t>jednot</w:t>
      </w:r>
      <w:r w:rsidR="0025311F">
        <w:t>a</w:t>
      </w:r>
      <w:r w:rsidRPr="00273106">
        <w:t xml:space="preserve"> jsoucího</w:t>
      </w:r>
      <w:r w:rsidR="0025311F">
        <w:t>; p</w:t>
      </w:r>
      <w:r>
        <w:t xml:space="preserve">ostavení boha </w:t>
      </w:r>
      <w:r w:rsidRPr="00273106">
        <w:t xml:space="preserve">v metafyzice. Druhý averroismus radikálně </w:t>
      </w:r>
      <w:r w:rsidR="00035616">
        <w:t>des</w:t>
      </w:r>
      <w:r w:rsidRPr="00273106">
        <w:t xml:space="preserve">interpretoval </w:t>
      </w:r>
      <w:r w:rsidR="00035616">
        <w:t xml:space="preserve">oba hlavní zdroje klasické metafyziky: </w:t>
      </w:r>
      <w:r w:rsidRPr="00273106">
        <w:t xml:space="preserve">jak nauku Aristotela, tak i následný výklad Komentátora. </w:t>
      </w:r>
      <w:r>
        <w:t xml:space="preserve">Modernisté </w:t>
      </w:r>
      <w:r w:rsidRPr="00273106">
        <w:t xml:space="preserve">ustavili novou formu </w:t>
      </w:r>
      <w:r>
        <w:t xml:space="preserve">metafyziky </w:t>
      </w:r>
      <w:r w:rsidRPr="00273106">
        <w:t>dějinně nutnou pro vytvoření matrice objektivity determinující novou cestu myšlení. Mezi léty 1</w:t>
      </w:r>
      <w:r>
        <w:t>230‒</w:t>
      </w:r>
      <w:r w:rsidR="085B3268">
        <w:t>50</w:t>
      </w:r>
      <w:r w:rsidRPr="00273106">
        <w:t xml:space="preserve"> se Grossetestemu, Rufusovi a Kilwardbymu podařilo něco jako boží dílo naruby</w:t>
      </w:r>
      <w:r w:rsidR="087D29AE">
        <w:t xml:space="preserve">. První generace modernistů </w:t>
      </w:r>
      <w:r w:rsidRPr="00273106">
        <w:t>stvořil</w:t>
      </w:r>
      <w:r w:rsidR="087D29AE">
        <w:t>a</w:t>
      </w:r>
      <w:r w:rsidRPr="00273106">
        <w:t xml:space="preserve"> hylemorfickou substanci třetího druhu. Toto </w:t>
      </w:r>
      <w:r>
        <w:t>neoplatonsk</w:t>
      </w:r>
      <w:r w:rsidRPr="00273106">
        <w:t xml:space="preserve">é zdvojení reality vzbudilo zásadní odpor averroistů první vlny jako byl pařížský biskup Alvernus, Roger Bacon, Albert Veliký </w:t>
      </w:r>
      <w:r w:rsidR="08BE237E">
        <w:t>a jejich</w:t>
      </w:r>
      <w:r w:rsidRPr="00273106">
        <w:t xml:space="preserve"> </w:t>
      </w:r>
      <w:r w:rsidR="08BE3FD0">
        <w:t xml:space="preserve">filosofičtí </w:t>
      </w:r>
      <w:r w:rsidRPr="00273106">
        <w:t>následovníci</w:t>
      </w:r>
      <w:r w:rsidR="08BE237E">
        <w:t xml:space="preserve"> na Rue du Fouarre</w:t>
      </w:r>
      <w:r w:rsidRPr="00273106">
        <w:t xml:space="preserve">. Kritický Bacon zažil začátky </w:t>
      </w:r>
      <w:r w:rsidRPr="0859305D">
        <w:rPr>
          <w:i/>
        </w:rPr>
        <w:t>Modernorum</w:t>
      </w:r>
      <w:r w:rsidRPr="00273106">
        <w:t xml:space="preserve"> přímo v Paříži, protože zde získal hodnost magistra </w:t>
      </w:r>
      <w:r>
        <w:t>někdy</w:t>
      </w:r>
      <w:r w:rsidRPr="00273106">
        <w:t xml:space="preserve"> </w:t>
      </w:r>
      <w:r w:rsidR="08CA1C51">
        <w:t xml:space="preserve">okolo </w:t>
      </w:r>
      <w:r>
        <w:t xml:space="preserve">roku </w:t>
      </w:r>
      <w:r w:rsidRPr="00273106">
        <w:t>1240. Zavedení autentické četby Aristotela představ</w:t>
      </w:r>
      <w:r>
        <w:t xml:space="preserve">ovalo podle jeho slov epochální úkol typu </w:t>
      </w:r>
      <w:r w:rsidRPr="0859305D">
        <w:rPr>
          <w:i/>
        </w:rPr>
        <w:t>horribilis difficultas</w:t>
      </w:r>
      <w:r w:rsidRPr="00273106">
        <w:t xml:space="preserve"> (Wéber 1991, 74). Stejný úkol si dává o </w:t>
      </w:r>
      <w:r w:rsidR="08E502E7">
        <w:t xml:space="preserve">dekádu později i Albert, který </w:t>
      </w:r>
      <w:r w:rsidRPr="00273106">
        <w:t>argumentuje proti skupině moderních sofistů. Albert ve spisech po roce 1256 věnovaných jednotě intelektu shr</w:t>
      </w:r>
      <w:r>
        <w:t xml:space="preserve">nul nauku této školy v termínu </w:t>
      </w:r>
      <w:r w:rsidRPr="0859305D">
        <w:rPr>
          <w:i/>
        </w:rPr>
        <w:t>opinio Latinorum</w:t>
      </w:r>
      <w:r w:rsidRPr="0859305D">
        <w:rPr>
          <w:i/>
        </w:rPr>
        <w:fldChar w:fldCharType="begin"/>
      </w:r>
      <w:r>
        <w:instrText xml:space="preserve"> XE "druhý averroismus:</w:instrText>
      </w:r>
      <w:r w:rsidRPr="0859305D">
        <w:rPr>
          <w:i/>
        </w:rPr>
        <w:instrText>opinio Latinorum</w:instrText>
      </w:r>
      <w:r>
        <w:instrText xml:space="preserve">" </w:instrText>
      </w:r>
      <w:r w:rsidRPr="0859305D">
        <w:rPr>
          <w:i/>
        </w:rPr>
        <w:fldChar w:fldCharType="end"/>
      </w:r>
      <w:r w:rsidR="08DA346C">
        <w:t xml:space="preserve"> </w:t>
      </w:r>
      <w:r w:rsidR="082A7E3A">
        <w:t>(kap. 2</w:t>
      </w:r>
      <w:r w:rsidRPr="00273106">
        <w:t xml:space="preserve">.4.3). </w:t>
      </w:r>
      <w:r>
        <w:t>Bacon, Alvernus, Albert a částečně Grosseteste odmítli</w:t>
      </w:r>
      <w:r w:rsidRPr="00273106">
        <w:t xml:space="preserve"> nový způsob v</w:t>
      </w:r>
      <w:r w:rsidR="086478B7">
        <w:t>idění reality vzniklé kolem 1235</w:t>
      </w:r>
      <w:r w:rsidRPr="0859305D">
        <w:rPr>
          <w:rFonts w:ascii="Arial" w:hAnsi="Arial" w:cs="Arial"/>
        </w:rPr>
        <w:t>‒</w:t>
      </w:r>
      <w:r w:rsidRPr="00273106">
        <w:t xml:space="preserve">45. Kritikové </w:t>
      </w:r>
      <w:r w:rsidRPr="0859305D">
        <w:rPr>
          <w:i/>
        </w:rPr>
        <w:t>Modernorum</w:t>
      </w:r>
      <w:r w:rsidRPr="00273106">
        <w:t xml:space="preserve"> z řad prvního averroismu pochopili, že jde o radikální změnu v pojetí smyslu jsoucího</w:t>
      </w:r>
      <w:r w:rsidR="006128B4">
        <w:t>. No</w:t>
      </w:r>
      <w:r w:rsidR="00750358">
        <w:t>v</w:t>
      </w:r>
      <w:r w:rsidR="006128B4">
        <w:t xml:space="preserve">á metafyzika </w:t>
      </w:r>
      <w:r w:rsidR="00750358">
        <w:t>se odvolává</w:t>
      </w:r>
      <w:r w:rsidRPr="00273106">
        <w:t xml:space="preserve"> na</w:t>
      </w:r>
      <w:r w:rsidR="005C12C3">
        <w:t xml:space="preserve"> Aristotela a </w:t>
      </w:r>
      <w:r w:rsidRPr="00273106">
        <w:t xml:space="preserve"> </w:t>
      </w:r>
      <w:r>
        <w:t>Averroes</w:t>
      </w:r>
      <w:r w:rsidRPr="00273106">
        <w:t>e pouze for</w:t>
      </w:r>
      <w:r w:rsidR="005C12C3">
        <w:t>málně a bez hlubší znalosti jejich</w:t>
      </w:r>
      <w:r w:rsidRPr="00273106">
        <w:t xml:space="preserve"> díla. Rufus z Cornwallu se stal zakladatelem objektivního vztahu</w:t>
      </w:r>
      <w:r>
        <w:t xml:space="preserve"> k realitě a také </w:t>
      </w:r>
      <w:r w:rsidR="08C87E9A">
        <w:t xml:space="preserve">založil </w:t>
      </w:r>
      <w:r>
        <w:t xml:space="preserve">spor o </w:t>
      </w:r>
      <w:r w:rsidR="08C87E9A">
        <w:t xml:space="preserve">údajný </w:t>
      </w:r>
      <w:r>
        <w:t>averroismus</w:t>
      </w:r>
      <w:r w:rsidR="08C87E9A">
        <w:t xml:space="preserve"> Komentátora. </w:t>
      </w:r>
      <w:r w:rsidR="00654AC2" w:rsidRPr="00654AC2">
        <w:t>První generace modernistů studovala sbírky hypoteti</w:t>
      </w:r>
      <w:r w:rsidR="00654AC2">
        <w:t>ckých příkladů moderní logiky (</w:t>
      </w:r>
      <w:r w:rsidR="00654AC2" w:rsidRPr="00654AC2">
        <w:rPr>
          <w:i/>
        </w:rPr>
        <w:t>Sophistaria</w:t>
      </w:r>
      <w:r w:rsidR="00654AC2" w:rsidRPr="00654AC2">
        <w:t xml:space="preserve">); v následujícím desetiletí se stali magistry s plným titulem </w:t>
      </w:r>
      <w:r w:rsidR="00654AC2" w:rsidRPr="00654AC2">
        <w:rPr>
          <w:i/>
        </w:rPr>
        <w:t>licentia docendi</w:t>
      </w:r>
      <w:r w:rsidR="00654AC2" w:rsidRPr="00654AC2">
        <w:t>.</w:t>
      </w:r>
      <w:r w:rsidR="00654AC2">
        <w:t xml:space="preserve"> </w:t>
      </w:r>
      <w:r w:rsidR="000958BA">
        <w:t>Z</w:t>
      </w:r>
      <w:r w:rsidR="087D6ED2">
        <w:t xml:space="preserve">hruba od roku 1240 </w:t>
      </w:r>
      <w:r w:rsidR="000958BA">
        <w:t xml:space="preserve">lze datovat založení školy </w:t>
      </w:r>
      <w:r w:rsidR="08D1028B">
        <w:t>druhého averroismu</w:t>
      </w:r>
      <w:r w:rsidR="000958BA">
        <w:t>. Došlo k p</w:t>
      </w:r>
      <w:r w:rsidR="082F398E">
        <w:t>řechod</w:t>
      </w:r>
      <w:r w:rsidR="000958BA">
        <w:t xml:space="preserve">u </w:t>
      </w:r>
      <w:r w:rsidR="082F398E">
        <w:t xml:space="preserve">od Alvernova termínu </w:t>
      </w:r>
      <w:r w:rsidR="000958BA">
        <w:t>„</w:t>
      </w:r>
      <w:r w:rsidR="082F398E">
        <w:t>sofistických Latiníků</w:t>
      </w:r>
      <w:r w:rsidR="000958BA">
        <w:t>“</w:t>
      </w:r>
      <w:r w:rsidR="082F398E">
        <w:t xml:space="preserve"> (</w:t>
      </w:r>
      <w:r w:rsidR="082F398E" w:rsidRPr="0859305D">
        <w:rPr>
          <w:i/>
        </w:rPr>
        <w:t>sophistae Latini</w:t>
      </w:r>
      <w:r w:rsidR="082F398E">
        <w:t xml:space="preserve">) k Albertovu </w:t>
      </w:r>
      <w:r w:rsidR="088E4D50">
        <w:t xml:space="preserve">ironickému </w:t>
      </w:r>
      <w:r w:rsidR="082F398E">
        <w:t xml:space="preserve">pojmenování této skupiny jako </w:t>
      </w:r>
      <w:r w:rsidR="000958BA">
        <w:t>„</w:t>
      </w:r>
      <w:r w:rsidR="082F398E">
        <w:t>učených Latiníků</w:t>
      </w:r>
      <w:r w:rsidR="000958BA">
        <w:t>“</w:t>
      </w:r>
      <w:r w:rsidR="082F398E">
        <w:t xml:space="preserve"> (</w:t>
      </w:r>
      <w:r w:rsidR="082F398E" w:rsidRPr="0859305D">
        <w:rPr>
          <w:i/>
        </w:rPr>
        <w:t>doctores Latini</w:t>
      </w:r>
      <w:r w:rsidR="082F398E">
        <w:t>). Noví magistři (Kilwardby, Rufus, Bonaventura) z</w:t>
      </w:r>
      <w:r w:rsidR="084C199F">
        <w:t xml:space="preserve">ačali formovat </w:t>
      </w:r>
      <w:r w:rsidR="082F398E">
        <w:t xml:space="preserve">další </w:t>
      </w:r>
      <w:r w:rsidR="084C199F">
        <w:t>generaci filosofů a teologů na mendikantských řádových školách. Po roce 1255 vznik</w:t>
      </w:r>
      <w:r w:rsidR="08E92229">
        <w:t>l</w:t>
      </w:r>
      <w:r w:rsidR="084C199F">
        <w:t xml:space="preserve"> na katedře mendikantů v Paříži nový typ západního sofisty v převleku univerzitního akademika</w:t>
      </w:r>
      <w:r w:rsidR="087E771D">
        <w:t xml:space="preserve">. </w:t>
      </w:r>
      <w:r w:rsidR="08CD6058">
        <w:t>Vznik moderního intelektuála-sofisty na nové katedře mendika</w:t>
      </w:r>
      <w:r w:rsidR="087676BB">
        <w:t>n</w:t>
      </w:r>
      <w:r w:rsidR="08CD6058">
        <w:t xml:space="preserve">tů </w:t>
      </w:r>
      <w:r w:rsidR="084C199F">
        <w:t>kritizoval především Guillelm</w:t>
      </w:r>
      <w:r w:rsidR="084C199F" w:rsidRPr="00E735C5">
        <w:t xml:space="preserve"> de </w:t>
      </w:r>
      <w:r w:rsidR="084C199F" w:rsidRPr="0859305D">
        <w:rPr>
          <w:szCs w:val="16"/>
        </w:rPr>
        <w:t xml:space="preserve">Sancto </w:t>
      </w:r>
      <w:r w:rsidR="084C199F" w:rsidRPr="0859305D">
        <w:rPr>
          <w:szCs w:val="19"/>
        </w:rPr>
        <w:t>Amore</w:t>
      </w:r>
      <w:r w:rsidR="080E32B1" w:rsidRPr="0859305D">
        <w:rPr>
          <w:szCs w:val="19"/>
        </w:rPr>
        <w:fldChar w:fldCharType="begin"/>
      </w:r>
      <w:r w:rsidR="080E32B1">
        <w:instrText xml:space="preserve"> XE "</w:instrText>
      </w:r>
      <w:r w:rsidR="080E32B1" w:rsidRPr="003B256A">
        <w:instrText xml:space="preserve"> </w:instrText>
      </w:r>
      <w:r w:rsidR="080E32B1">
        <w:instrText>Guillelmus</w:instrText>
      </w:r>
      <w:r w:rsidR="080E32B1" w:rsidRPr="00E51395">
        <w:instrText xml:space="preserve"> de Sancto Amore</w:instrText>
      </w:r>
      <w:r w:rsidR="080E32B1">
        <w:instrText xml:space="preserve">" </w:instrText>
      </w:r>
      <w:r w:rsidR="080E32B1" w:rsidRPr="0859305D">
        <w:rPr>
          <w:szCs w:val="19"/>
        </w:rPr>
        <w:fldChar w:fldCharType="end"/>
      </w:r>
      <w:r w:rsidR="084C199F" w:rsidRPr="0859305D">
        <w:rPr>
          <w:szCs w:val="19"/>
        </w:rPr>
        <w:t xml:space="preserve"> ze sekulární artistické fakulty v Rue du Fouarre. </w:t>
      </w:r>
      <w:r w:rsidR="084C199F" w:rsidRPr="0859305D">
        <w:rPr>
          <w:rStyle w:val="Zkladntext158dkovn0pt"/>
          <w:color w:val="auto"/>
          <w:spacing w:val="0"/>
          <w:sz w:val="24"/>
          <w:lang w:val="cs-CZ"/>
        </w:rPr>
        <w:t xml:space="preserve">Moderna vytvořila nový kosmogonický mýtus zajišťující pod vedením Fúrií její vlastní intelektuální reprodukci v modu kulturní hegemonie </w:t>
      </w:r>
      <w:r w:rsidR="084C199F">
        <w:fldChar w:fldCharType="begin"/>
      </w:r>
      <w:r w:rsidR="084C199F">
        <w:instrText xml:space="preserve"> XE "</w:instrText>
      </w:r>
      <w:r w:rsidR="084C199F" w:rsidRPr="085233AE">
        <w:instrText>kulturní hegemonie</w:instrText>
      </w:r>
      <w:r w:rsidR="084C199F">
        <w:instrText xml:space="preserve">" </w:instrText>
      </w:r>
      <w:r w:rsidR="084C199F">
        <w:fldChar w:fldCharType="end"/>
      </w:r>
      <w:r w:rsidR="084C199F" w:rsidRPr="0859305D">
        <w:rPr>
          <w:rStyle w:val="Zkladntext158dkovn0pt"/>
          <w:color w:val="auto"/>
          <w:spacing w:val="0"/>
          <w:sz w:val="24"/>
          <w:lang w:val="cs-CZ"/>
        </w:rPr>
        <w:t xml:space="preserve"> (</w:t>
      </w:r>
      <w:r w:rsidR="087014E0" w:rsidRPr="0859305D">
        <w:rPr>
          <w:rStyle w:val="Zkladntext158dkovn0pt"/>
          <w:color w:val="auto"/>
          <w:spacing w:val="0"/>
          <w:sz w:val="24"/>
          <w:lang w:val="cs-CZ"/>
        </w:rPr>
        <w:t>OBJ III, kap. 4</w:t>
      </w:r>
      <w:r w:rsidR="084C199F" w:rsidRPr="0859305D">
        <w:rPr>
          <w:rStyle w:val="Zkladntext158dkovn0pt"/>
          <w:color w:val="auto"/>
          <w:spacing w:val="0"/>
          <w:sz w:val="24"/>
          <w:lang w:val="cs-CZ"/>
        </w:rPr>
        <w:t xml:space="preserve">.6). Této objektivní mytologii se skvěle daří i dnes, čemuž odpovídá i frenetická </w:t>
      </w:r>
      <w:r w:rsidR="087676BB" w:rsidRPr="0859305D">
        <w:rPr>
          <w:rStyle w:val="Zkladntext158dkovn0pt"/>
          <w:color w:val="auto"/>
          <w:spacing w:val="0"/>
          <w:sz w:val="24"/>
          <w:lang w:val="cs-CZ"/>
        </w:rPr>
        <w:t>produkce jsoucen třetího druhu.</w:t>
      </w:r>
      <w:r w:rsidR="00B71F93">
        <w:rPr>
          <w:rStyle w:val="Zkladntext158dkovn0pt"/>
          <w:color w:val="auto"/>
          <w:spacing w:val="0"/>
          <w:sz w:val="24"/>
          <w:lang w:val="cs-CZ"/>
        </w:rPr>
        <w:t xml:space="preserve"> </w:t>
      </w:r>
      <w:r w:rsidR="00B71F93" w:rsidRPr="00B71F93">
        <w:rPr>
          <w:rStyle w:val="Zkladntext158dkovn0pt"/>
          <w:color w:val="auto"/>
          <w:spacing w:val="0"/>
          <w:sz w:val="24"/>
          <w:lang w:val="cs-CZ"/>
        </w:rPr>
        <w:t>Moderna nahradila hledání p</w:t>
      </w:r>
      <w:r w:rsidR="00B71F93">
        <w:rPr>
          <w:rStyle w:val="Zkladntext158dkovn0pt"/>
          <w:color w:val="auto"/>
          <w:spacing w:val="0"/>
          <w:sz w:val="24"/>
          <w:lang w:val="cs-CZ"/>
        </w:rPr>
        <w:t>ravdy neomezenou produkcí simuláker, která</w:t>
      </w:r>
      <w:r w:rsidR="00B71F93" w:rsidRPr="00B71F93">
        <w:rPr>
          <w:rStyle w:val="Zkladntext158dkovn0pt"/>
          <w:color w:val="auto"/>
          <w:spacing w:val="0"/>
          <w:sz w:val="24"/>
          <w:lang w:val="cs-CZ"/>
        </w:rPr>
        <w:t xml:space="preserve"> dok</w:t>
      </w:r>
      <w:r w:rsidR="00B71F93">
        <w:rPr>
          <w:rStyle w:val="Zkladntext158dkovn0pt"/>
          <w:color w:val="auto"/>
          <w:spacing w:val="0"/>
          <w:sz w:val="24"/>
          <w:lang w:val="cs-CZ"/>
        </w:rPr>
        <w:t>ládají moc moderního subjektu („vědění je moc“). Čím více simulá</w:t>
      </w:r>
      <w:r w:rsidR="00B71F93" w:rsidRPr="00B71F93">
        <w:rPr>
          <w:rStyle w:val="Zkladntext158dkovn0pt"/>
          <w:color w:val="auto"/>
          <w:spacing w:val="0"/>
          <w:sz w:val="24"/>
          <w:lang w:val="cs-CZ"/>
        </w:rPr>
        <w:t>ker moderní paranoidní subjekt shromažďuje</w:t>
      </w:r>
      <w:r w:rsidR="00B71F93">
        <w:rPr>
          <w:rStyle w:val="Zkladntext158dkovn0pt"/>
          <w:color w:val="auto"/>
          <w:spacing w:val="0"/>
          <w:sz w:val="24"/>
          <w:lang w:val="cs-CZ"/>
        </w:rPr>
        <w:t xml:space="preserve"> </w:t>
      </w:r>
      <w:r w:rsidR="00B71F93" w:rsidRPr="00B71F93">
        <w:rPr>
          <w:rStyle w:val="Zkladntext158dkovn0pt"/>
          <w:color w:val="auto"/>
          <w:spacing w:val="0"/>
          <w:sz w:val="24"/>
          <w:lang w:val="cs-CZ"/>
        </w:rPr>
        <w:t>v</w:t>
      </w:r>
      <w:r w:rsidR="00B71F93">
        <w:rPr>
          <w:rStyle w:val="Zkladntext158dkovn0pt"/>
          <w:color w:val="auto"/>
          <w:spacing w:val="0"/>
          <w:sz w:val="24"/>
          <w:lang w:val="cs-CZ"/>
        </w:rPr>
        <w:t xml:space="preserve"> rámci asimilační teorie pravdy</w:t>
      </w:r>
      <w:r w:rsidR="00B71F93" w:rsidRPr="00B71F93">
        <w:rPr>
          <w:rStyle w:val="Zkladntext158dkovn0pt"/>
          <w:color w:val="auto"/>
          <w:spacing w:val="0"/>
          <w:sz w:val="24"/>
          <w:lang w:val="cs-CZ"/>
        </w:rPr>
        <w:t>, tím větší část reality ovládá.</w:t>
      </w:r>
    </w:p>
    <w:p w14:paraId="004DE343" w14:textId="7840514A" w:rsidR="004C4796" w:rsidRDefault="081349A1" w:rsidP="00514066">
      <w:pPr>
        <w:ind w:firstLine="397"/>
      </w:pPr>
      <w:r>
        <w:t xml:space="preserve">Spor mezi oběma školami se dostal po roce 1250 do dramatické a konfrontační fáze. </w:t>
      </w:r>
      <w:r w:rsidR="085B63F6">
        <w:rPr>
          <w:rStyle w:val="Zkladntext158dkovn0pt"/>
          <w:color w:val="auto"/>
          <w:spacing w:val="0"/>
          <w:sz w:val="24"/>
          <w:lang w:val="cs-CZ"/>
        </w:rPr>
        <w:t>D</w:t>
      </w:r>
      <w:r w:rsidR="084C199F">
        <w:t>vojí pravda</w:t>
      </w:r>
      <w:r w:rsidR="084C199F" w:rsidRPr="00273106">
        <w:t xml:space="preserve"> ohledně substance</w:t>
      </w:r>
      <w:r w:rsidR="085B63F6">
        <w:t xml:space="preserve"> z</w:t>
      </w:r>
      <w:r w:rsidR="084C199F" w:rsidRPr="00273106">
        <w:t>ásadně změnil</w:t>
      </w:r>
      <w:r w:rsidR="087676BB">
        <w:t>a</w:t>
      </w:r>
      <w:r w:rsidR="084C199F" w:rsidRPr="00273106">
        <w:t xml:space="preserve"> smysl toho, čím je věc (</w:t>
      </w:r>
      <w:r w:rsidR="084C199F" w:rsidRPr="00273106">
        <w:rPr>
          <w:i/>
        </w:rPr>
        <w:t>res</w:t>
      </w:r>
      <w:r w:rsidR="084C199F" w:rsidRPr="00273106">
        <w:t xml:space="preserve">) z hlediska metafyziky. </w:t>
      </w:r>
      <w:r w:rsidR="084C199F">
        <w:t xml:space="preserve">První averroismus nemohl mít pojetí dvojí pravdy proto, že měl první substanci danou hyparchicky a šel cestou impozice kategoriálního významu směrem od reality. Bůh nebo </w:t>
      </w:r>
      <w:r w:rsidR="0801519C">
        <w:t xml:space="preserve">jakákoliv </w:t>
      </w:r>
      <w:r w:rsidR="084C199F">
        <w:t xml:space="preserve">první substance je </w:t>
      </w:r>
      <w:r w:rsidR="08CC3A74">
        <w:t xml:space="preserve">v reálu </w:t>
      </w:r>
      <w:r w:rsidR="084C199F">
        <w:t>jen jedna</w:t>
      </w:r>
      <w:r w:rsidR="08CC3A74">
        <w:t>, existuje aktuálně a sama o sobě</w:t>
      </w:r>
      <w:r w:rsidR="084C199F">
        <w:t xml:space="preserve">. </w:t>
      </w:r>
      <w:r w:rsidR="002F277F" w:rsidRPr="002F277F">
        <w:t xml:space="preserve">Musíme přesně popsat, jak takové skutečné věci poznáváme: zda </w:t>
      </w:r>
      <w:r w:rsidR="00DD27C9">
        <w:t xml:space="preserve">rozumem </w:t>
      </w:r>
      <w:r w:rsidR="002F277F" w:rsidRPr="002F277F">
        <w:t>na základě metaf</w:t>
      </w:r>
      <w:r w:rsidR="002F277F">
        <w:t xml:space="preserve">yziky, nebo </w:t>
      </w:r>
      <w:r w:rsidR="00DD27C9">
        <w:t xml:space="preserve">božím zjevením na základě </w:t>
      </w:r>
      <w:r w:rsidR="002F277F">
        <w:t>teologie</w:t>
      </w:r>
      <w:r w:rsidR="002F277F" w:rsidRPr="002F277F">
        <w:t>. V prvním averroismu</w:t>
      </w:r>
      <w:r w:rsidR="002F277F">
        <w:t xml:space="preserve"> tato </w:t>
      </w:r>
      <w:r w:rsidR="002F277F" w:rsidRPr="002F277F">
        <w:t>teze předpokládá dva způsoby poznání, které se týkají jediné pravdy, nebo zkoumá dvojí cestu k jediné pravdě. J</w:t>
      </w:r>
      <w:r w:rsidR="002F277F">
        <w:t xml:space="preserve">de o typický scénář </w:t>
      </w:r>
      <w:r w:rsidR="002F277F" w:rsidRPr="002F277F">
        <w:rPr>
          <w:i/>
        </w:rPr>
        <w:t xml:space="preserve">Druhých </w:t>
      </w:r>
      <w:r w:rsidR="002F277F">
        <w:rPr>
          <w:i/>
        </w:rPr>
        <w:t>a</w:t>
      </w:r>
      <w:r w:rsidR="002F277F" w:rsidRPr="002F277F">
        <w:rPr>
          <w:i/>
        </w:rPr>
        <w:t>nalytik</w:t>
      </w:r>
      <w:r w:rsidR="002F277F" w:rsidRPr="002F277F">
        <w:t>.</w:t>
      </w:r>
      <w:r w:rsidR="00F950C5">
        <w:t xml:space="preserve"> </w:t>
      </w:r>
      <w:r w:rsidR="0830562E">
        <w:t>Rodově od</w:t>
      </w:r>
      <w:r w:rsidR="08566B3D">
        <w:t>lišné vědy nemají stejnou metodu</w:t>
      </w:r>
      <w:r w:rsidR="0830562E">
        <w:t xml:space="preserve"> zkoumání, ale jejich vědění určuje </w:t>
      </w:r>
      <w:r w:rsidR="082A724F">
        <w:t xml:space="preserve">metafyzický </w:t>
      </w:r>
      <w:r w:rsidR="006A60F9">
        <w:t>dativ vztažený k reálným</w:t>
      </w:r>
      <w:r w:rsidR="0830562E">
        <w:t xml:space="preserve"> první</w:t>
      </w:r>
      <w:r w:rsidR="006A60F9">
        <w:t>m substancím</w:t>
      </w:r>
      <w:r w:rsidR="0830562E">
        <w:t xml:space="preserve">. </w:t>
      </w:r>
      <w:r w:rsidR="084C199F">
        <w:t xml:space="preserve">Aristoteles a Komentátor definují poslední rovinu univocity </w:t>
      </w:r>
      <w:r w:rsidR="08BD46F7">
        <w:t xml:space="preserve">filosofie v rámci rodového významu daného impozicí </w:t>
      </w:r>
      <w:r w:rsidR="08771BD0">
        <w:t xml:space="preserve">významu </w:t>
      </w:r>
      <w:r w:rsidR="08BD46F7">
        <w:t>skrze druhou</w:t>
      </w:r>
      <w:r w:rsidR="084C199F">
        <w:t xml:space="preserve"> substanci. Tato predikace je daná adekvátně vzhledem k realitě, proto zakládá univočně definovanou </w:t>
      </w:r>
      <w:r w:rsidR="08F34AA7">
        <w:t xml:space="preserve">první </w:t>
      </w:r>
      <w:r w:rsidR="084C199F">
        <w:t>vědu. Věda klasického aristotelismu není objektivní, ale pravdivá</w:t>
      </w:r>
      <w:r w:rsidR="0842150F">
        <w:t xml:space="preserve">. První averroismus bránil </w:t>
      </w:r>
      <w:r w:rsidR="084C199F">
        <w:t>adekvac</w:t>
      </w:r>
      <w:r w:rsidR="0842150F">
        <w:t xml:space="preserve">i reality a intelektu na základě </w:t>
      </w:r>
      <w:r w:rsidR="084C199F">
        <w:t xml:space="preserve">kauzality prvních substancí a </w:t>
      </w:r>
      <w:r w:rsidR="08F61EAF">
        <w:t xml:space="preserve">deduktivní </w:t>
      </w:r>
      <w:r w:rsidR="084C199F">
        <w:t>kategoriální výpovědi</w:t>
      </w:r>
      <w:r w:rsidR="089A1A74">
        <w:rPr>
          <w:i/>
        </w:rPr>
        <w:fldChar w:fldCharType="begin"/>
      </w:r>
      <w:r w:rsidR="089A1A74">
        <w:instrText xml:space="preserve"> XE "</w:instrText>
      </w:r>
      <w:r w:rsidR="089A1A74" w:rsidRPr="004E6075">
        <w:rPr>
          <w:i/>
        </w:rPr>
        <w:instrText>demonstratio:</w:instrText>
      </w:r>
      <w:r w:rsidR="089A1A74">
        <w:instrText xml:space="preserve">Aristoteles" </w:instrText>
      </w:r>
      <w:r w:rsidR="089A1A74">
        <w:rPr>
          <w:i/>
        </w:rPr>
        <w:fldChar w:fldCharType="end"/>
      </w:r>
      <w:r w:rsidR="084C199F">
        <w:t>. Poznání druhé substance není převod</w:t>
      </w:r>
      <w:r w:rsidR="089A1A74">
        <w:t xml:space="preserve">itelné z jednoho rodu na druhý. </w:t>
      </w:r>
      <w:r w:rsidR="08C27CC0">
        <w:t>Například teologie a filosofie poznávají reálnou kauzalitu boha jako první substance. Ale s</w:t>
      </w:r>
      <w:r w:rsidR="089A1A74">
        <w:t xml:space="preserve">třední člen </w:t>
      </w:r>
      <w:r w:rsidR="084C199F">
        <w:t>vědeckého soudu</w:t>
      </w:r>
      <w:r w:rsidR="089A1A74">
        <w:t xml:space="preserve"> (</w:t>
      </w:r>
      <w:r w:rsidR="089A1A74" w:rsidRPr="00890D62">
        <w:rPr>
          <w:i/>
        </w:rPr>
        <w:t>medium</w:t>
      </w:r>
      <w:r w:rsidR="089A1A74">
        <w:rPr>
          <w:i/>
        </w:rPr>
        <w:fldChar w:fldCharType="begin"/>
      </w:r>
      <w:r w:rsidR="089A1A74">
        <w:instrText xml:space="preserve"> XE "</w:instrText>
      </w:r>
      <w:r w:rsidR="089A1A74" w:rsidRPr="001618A5">
        <w:rPr>
          <w:i/>
        </w:rPr>
        <w:instrText>medium:</w:instrText>
      </w:r>
      <w:r w:rsidR="089A1A74">
        <w:instrText xml:space="preserve">Aristoteles" </w:instrText>
      </w:r>
      <w:r w:rsidR="089A1A74">
        <w:rPr>
          <w:i/>
        </w:rPr>
        <w:fldChar w:fldCharType="end"/>
      </w:r>
      <w:r w:rsidR="089A1A74">
        <w:t xml:space="preserve">) </w:t>
      </w:r>
      <w:r w:rsidR="08C27CC0">
        <w:t xml:space="preserve">každé z těchto věd </w:t>
      </w:r>
      <w:r w:rsidR="089A1A74">
        <w:t>je determinován</w:t>
      </w:r>
      <w:r w:rsidR="08C27CC0">
        <w:t xml:space="preserve"> jiným pojetím, boha jako druhé substance. </w:t>
      </w:r>
      <w:r w:rsidR="089A58C1">
        <w:t>G</w:t>
      </w:r>
      <w:r w:rsidR="08C27CC0">
        <w:t>enerická jednota významu daná na kategoriáln</w:t>
      </w:r>
      <w:r w:rsidR="089C1E6A">
        <w:t>í úrovni druhé substance (bůh</w:t>
      </w:r>
      <w:r w:rsidR="08C27CC0">
        <w:t xml:space="preserve"> v teologickém zjevení Bible, bůh jako filosofická </w:t>
      </w:r>
      <w:r w:rsidR="08C27CC0" w:rsidRPr="08C27CC0">
        <w:rPr>
          <w:i/>
        </w:rPr>
        <w:t>causa prima</w:t>
      </w:r>
      <w:r w:rsidR="089C1E6A">
        <w:rPr>
          <w:i/>
        </w:rPr>
        <w:fldChar w:fldCharType="begin"/>
      </w:r>
      <w:r w:rsidR="089C1E6A">
        <w:instrText xml:space="preserve"> XE "</w:instrText>
      </w:r>
      <w:r w:rsidR="089C1E6A" w:rsidRPr="08994664">
        <w:rPr>
          <w:i/>
        </w:rPr>
        <w:instrText>causa prima</w:instrText>
      </w:r>
      <w:r w:rsidR="089C1E6A">
        <w:instrText xml:space="preserve">" </w:instrText>
      </w:r>
      <w:r w:rsidR="089C1E6A">
        <w:rPr>
          <w:i/>
        </w:rPr>
        <w:fldChar w:fldCharType="end"/>
      </w:r>
      <w:r w:rsidR="08C27CC0">
        <w:t xml:space="preserve">) </w:t>
      </w:r>
      <w:r w:rsidR="089C1E6A">
        <w:t>není převoditelná</w:t>
      </w:r>
      <w:r w:rsidR="08C27CC0">
        <w:t xml:space="preserve"> z jedné vědy na druhou. Ale k</w:t>
      </w:r>
      <w:r w:rsidR="084C199F">
        <w:t xml:space="preserve">onečným cílem různorodého poznání </w:t>
      </w:r>
      <w:r w:rsidR="088C616A">
        <w:t xml:space="preserve">všech věd </w:t>
      </w:r>
      <w:r w:rsidR="084C199F">
        <w:t xml:space="preserve">je ta či ona reálně existující substance. </w:t>
      </w:r>
      <w:r w:rsidR="08011F36">
        <w:t>Podle aristoteliků ze školy prvního averroismu je jasné, že m</w:t>
      </w:r>
      <w:r w:rsidR="084C199F" w:rsidRPr="00273106">
        <w:t xml:space="preserve">odernisté chápou </w:t>
      </w:r>
      <w:r w:rsidR="08413B83" w:rsidRPr="00273106">
        <w:t>bytí jsoucna v čisté homonymii</w:t>
      </w:r>
      <w:r w:rsidR="08413B83">
        <w:t xml:space="preserve">, protože </w:t>
      </w:r>
      <w:r w:rsidR="08812924">
        <w:t xml:space="preserve">zrušili </w:t>
      </w:r>
      <w:r w:rsidR="08413B83">
        <w:t>impozic</w:t>
      </w:r>
      <w:r w:rsidR="08661F62">
        <w:t xml:space="preserve">i </w:t>
      </w:r>
      <w:r w:rsidR="0821336C">
        <w:t xml:space="preserve">metafyzického významu </w:t>
      </w:r>
      <w:r w:rsidR="08661F62">
        <w:t xml:space="preserve">z první substance. Moderna destruovala </w:t>
      </w:r>
      <w:r w:rsidR="08413B83">
        <w:t xml:space="preserve">základní zaměření </w:t>
      </w:r>
      <w:r w:rsidR="08E80193">
        <w:t xml:space="preserve">Aristotelovy </w:t>
      </w:r>
      <w:r w:rsidR="08413B83">
        <w:t>metafyziky jako první vědy</w:t>
      </w:r>
      <w:r w:rsidR="08661F62">
        <w:t xml:space="preserve"> o </w:t>
      </w:r>
      <w:r w:rsidR="00364BA6">
        <w:t>hyparchických</w:t>
      </w:r>
      <w:r w:rsidR="00A41D05">
        <w:t xml:space="preserve"> </w:t>
      </w:r>
      <w:r w:rsidR="08661F62">
        <w:t>substanc</w:t>
      </w:r>
      <w:r w:rsidR="00364BA6">
        <w:t>ích</w:t>
      </w:r>
      <w:r w:rsidR="00A41D05">
        <w:t xml:space="preserve"> existující</w:t>
      </w:r>
      <w:r w:rsidR="00364BA6">
        <w:t>ch</w:t>
      </w:r>
      <w:r w:rsidR="00A41D05">
        <w:t xml:space="preserve"> mimo nás</w:t>
      </w:r>
      <w:r w:rsidR="08650A95">
        <w:t xml:space="preserve">. </w:t>
      </w:r>
      <w:r w:rsidR="00113360">
        <w:t>Moderna nahradila existenci</w:t>
      </w:r>
      <w:r w:rsidR="08740E5F" w:rsidRPr="00273106">
        <w:t xml:space="preserve"> </w:t>
      </w:r>
      <w:r w:rsidR="08740E5F">
        <w:t xml:space="preserve">první substance aktem formálního </w:t>
      </w:r>
      <w:r w:rsidR="08740E5F" w:rsidRPr="00273106">
        <w:rPr>
          <w:i/>
        </w:rPr>
        <w:t>exsistere</w:t>
      </w:r>
      <w:r w:rsidR="08740E5F">
        <w:rPr>
          <w:i/>
        </w:rPr>
        <w:fldChar w:fldCharType="begin"/>
      </w:r>
      <w:r w:rsidR="08740E5F">
        <w:instrText xml:space="preserve"> XE "</w:instrText>
      </w:r>
      <w:r w:rsidR="08740E5F" w:rsidRPr="008E07A9">
        <w:rPr>
          <w:i/>
        </w:rPr>
        <w:instrText>exsistere</w:instrText>
      </w:r>
      <w:r w:rsidR="08740E5F">
        <w:instrText xml:space="preserve">" </w:instrText>
      </w:r>
      <w:r w:rsidR="08740E5F">
        <w:rPr>
          <w:i/>
        </w:rPr>
        <w:fldChar w:fldCharType="end"/>
      </w:r>
      <w:r w:rsidR="08182971">
        <w:t xml:space="preserve"> vztaženého k esenci.</w:t>
      </w:r>
      <w:r w:rsidR="00514066">
        <w:t xml:space="preserve"> </w:t>
      </w:r>
      <w:r w:rsidR="00514066" w:rsidRPr="00514066">
        <w:t xml:space="preserve">V logickém modu </w:t>
      </w:r>
      <w:r w:rsidR="00514066" w:rsidRPr="08182971">
        <w:rPr>
          <w:i/>
        </w:rPr>
        <w:t>semel</w:t>
      </w:r>
      <w:r w:rsidR="00514066" w:rsidRPr="08182971">
        <w:rPr>
          <w:rFonts w:cs="Calibri"/>
          <w:i/>
        </w:rPr>
        <w:t>─</w:t>
      </w:r>
      <w:r w:rsidR="00514066" w:rsidRPr="08182971">
        <w:rPr>
          <w:i/>
        </w:rPr>
        <w:t>semper</w:t>
      </w:r>
      <w:r w:rsidR="00514066" w:rsidRPr="00514066">
        <w:t xml:space="preserve"> pak v</w:t>
      </w:r>
      <w:r w:rsidR="00514066">
        <w:t>ždy platí, že v intelektuálním ná</w:t>
      </w:r>
      <w:r w:rsidR="00514066" w:rsidRPr="00514066">
        <w:t xml:space="preserve">hledu parousie a osvícení je dána trvalá forma. </w:t>
      </w:r>
      <w:r w:rsidR="00514066">
        <w:t xml:space="preserve">Ta pak </w:t>
      </w:r>
      <w:r w:rsidR="00514066" w:rsidRPr="00514066">
        <w:t>prochází kontingentní aktualizací v</w:t>
      </w:r>
      <w:r w:rsidR="00514066">
        <w:t xml:space="preserve"> realitě </w:t>
      </w:r>
      <w:r w:rsidR="00514066" w:rsidRPr="00514066">
        <w:t>prostřednictvím různých forem Avicennovy komitace.</w:t>
      </w:r>
      <w:r w:rsidR="00514066">
        <w:t xml:space="preserve"> </w:t>
      </w:r>
      <w:r w:rsidR="08740E5F">
        <w:t>P</w:t>
      </w:r>
      <w:r w:rsidR="08740E5F" w:rsidRPr="00273106">
        <w:t>rvní substance přestává kolem roku 1</w:t>
      </w:r>
      <w:r w:rsidR="08740E5F">
        <w:t xml:space="preserve">240 determinovat poznání </w:t>
      </w:r>
      <w:r w:rsidR="0823114C">
        <w:t xml:space="preserve">kvůli </w:t>
      </w:r>
      <w:r w:rsidR="08ED5BD6">
        <w:t>„</w:t>
      </w:r>
      <w:r w:rsidR="08740E5F">
        <w:t>neposlušnosti materie</w:t>
      </w:r>
      <w:r w:rsidR="08ED5BD6">
        <w:t>“</w:t>
      </w:r>
      <w:r w:rsidR="08116AF1">
        <w:t xml:space="preserve"> (</w:t>
      </w:r>
      <w:r w:rsidR="08116AF1" w:rsidRPr="00273106">
        <w:rPr>
          <w:i/>
        </w:rPr>
        <w:t>inoboedientiam materiae</w:t>
      </w:r>
      <w:r w:rsidR="08116AF1">
        <w:t>, kap. 3.3.2)</w:t>
      </w:r>
      <w:r w:rsidR="08740E5F" w:rsidRPr="00273106">
        <w:t>.</w:t>
      </w:r>
      <w:r w:rsidR="08740E5F">
        <w:t xml:space="preserve"> </w:t>
      </w:r>
      <w:r w:rsidR="00AD11D8">
        <w:t xml:space="preserve">Tento intelektuální doketismus začal určovat moderní </w:t>
      </w:r>
      <w:r w:rsidR="00D20749">
        <w:t>vědu</w:t>
      </w:r>
      <w:r w:rsidR="00AD11D8">
        <w:t>. I</w:t>
      </w:r>
      <w:r w:rsidR="084C199F">
        <w:t xml:space="preserve">lumináti v Oxfordu stvořili okolo roku 1235 v modu univerzálního hylemorfismu novou materii třetího druhu, která vyniká matematickou a logickou poslušností. </w:t>
      </w:r>
      <w:r w:rsidR="084C199F" w:rsidRPr="00273106">
        <w:t xml:space="preserve">Tím vzniklo nové vidění reality, v němž klasické pojmy metafyziky přestaly mít </w:t>
      </w:r>
      <w:r w:rsidR="084C199F">
        <w:t xml:space="preserve">původní </w:t>
      </w:r>
      <w:r w:rsidR="084C199F" w:rsidRPr="00273106">
        <w:t xml:space="preserve">význam. </w:t>
      </w:r>
      <w:r w:rsidR="084C199F">
        <w:t xml:space="preserve">Pařížská univerzita za pontifikátu biskupa Alverna se stala historicky prvním místem tohoto zásadního sporu obou metafyzik </w:t>
      </w:r>
      <w:r w:rsidR="08DF2C8E">
        <w:t xml:space="preserve">okolo </w:t>
      </w:r>
      <w:r w:rsidR="084C199F">
        <w:t xml:space="preserve">roku 1240. </w:t>
      </w:r>
      <w:r w:rsidR="084C199F" w:rsidRPr="00273106">
        <w:t xml:space="preserve">Základem metafyziky </w:t>
      </w:r>
      <w:r w:rsidR="084C199F" w:rsidRPr="00273106">
        <w:rPr>
          <w:i/>
        </w:rPr>
        <w:t>Modernorum</w:t>
      </w:r>
      <w:r w:rsidR="084C199F" w:rsidRPr="00273106">
        <w:t xml:space="preserve"> už není </w:t>
      </w:r>
      <w:r w:rsidR="084C199F">
        <w:t>Averroes</w:t>
      </w:r>
      <w:r w:rsidR="084C199F" w:rsidRPr="00273106">
        <w:t xml:space="preserve">ova či Aristotelova první substance, ale jistota </w:t>
      </w:r>
      <w:r w:rsidR="00333F9D">
        <w:t xml:space="preserve">moderního </w:t>
      </w:r>
      <w:r w:rsidR="084C199F" w:rsidRPr="00273106">
        <w:t>subjektu</w:t>
      </w:r>
      <w:r w:rsidR="00333F9D">
        <w:t xml:space="preserve">. Moderní bůh je </w:t>
      </w:r>
      <w:r w:rsidR="084C199F" w:rsidRPr="00273106">
        <w:t xml:space="preserve">první </w:t>
      </w:r>
      <w:r w:rsidR="081265D0">
        <w:t xml:space="preserve">intelektuální </w:t>
      </w:r>
      <w:r w:rsidR="00333F9D">
        <w:t xml:space="preserve">příčina </w:t>
      </w:r>
      <w:r w:rsidR="084C199F" w:rsidRPr="00273106">
        <w:t xml:space="preserve">produkující realitu nejprve v božské mysli a pak </w:t>
      </w:r>
      <w:r w:rsidR="083449FD">
        <w:t>ve stvoření</w:t>
      </w:r>
      <w:r w:rsidR="084C199F">
        <w:fldChar w:fldCharType="begin"/>
      </w:r>
      <w:r w:rsidR="084C199F">
        <w:instrText xml:space="preserve"> XE "</w:instrText>
      </w:r>
      <w:r w:rsidR="084C199F" w:rsidRPr="00DA6A4F">
        <w:instrText>ontoteologie:moderna</w:instrText>
      </w:r>
      <w:r w:rsidR="084C199F">
        <w:instrText xml:space="preserve">" </w:instrText>
      </w:r>
      <w:r w:rsidR="084C199F">
        <w:fldChar w:fldCharType="end"/>
      </w:r>
      <w:r w:rsidR="084C199F" w:rsidRPr="00273106">
        <w:t xml:space="preserve">. První averroismus nechal </w:t>
      </w:r>
      <w:r w:rsidR="084C199F">
        <w:t>moudře st</w:t>
      </w:r>
      <w:r w:rsidR="084C199F" w:rsidRPr="00273106">
        <w:t xml:space="preserve">voření bohu </w:t>
      </w:r>
      <w:r w:rsidR="084C199F">
        <w:t xml:space="preserve">a jeho nevyzpytatelným úradkům. Proto se zabýval </w:t>
      </w:r>
      <w:r w:rsidR="084C199F" w:rsidRPr="00273106">
        <w:t>poznáním již existující první substance</w:t>
      </w:r>
      <w:r w:rsidR="084C199F">
        <w:t xml:space="preserve"> a boha chápal jako </w:t>
      </w:r>
      <w:r w:rsidR="084C199F" w:rsidRPr="088F155C">
        <w:rPr>
          <w:i/>
        </w:rPr>
        <w:t>causa prima</w:t>
      </w:r>
      <w:r w:rsidR="00DD595D">
        <w:rPr>
          <w:i/>
        </w:rPr>
        <w:fldChar w:fldCharType="begin"/>
      </w:r>
      <w:r w:rsidR="00DD595D">
        <w:instrText xml:space="preserve"> XE "</w:instrText>
      </w:r>
      <w:r w:rsidR="00DD595D" w:rsidRPr="00C74254">
        <w:rPr>
          <w:i/>
        </w:rPr>
        <w:instrText>causa prima</w:instrText>
      </w:r>
      <w:r w:rsidR="00DD595D">
        <w:instrText xml:space="preserve">" </w:instrText>
      </w:r>
      <w:r w:rsidR="00DD595D">
        <w:rPr>
          <w:i/>
        </w:rPr>
        <w:fldChar w:fldCharType="end"/>
      </w:r>
      <w:r w:rsidR="084C199F">
        <w:t xml:space="preserve"> </w:t>
      </w:r>
      <w:r w:rsidR="080C3B74">
        <w:t>v</w:t>
      </w:r>
      <w:r w:rsidR="082A724F">
        <w:t xml:space="preserve"> metafyzickém </w:t>
      </w:r>
      <w:r w:rsidR="080C3B74">
        <w:t>dativu a v minulostním rázu prv</w:t>
      </w:r>
      <w:r w:rsidR="08313A0C">
        <w:t>ní substance. Z</w:t>
      </w:r>
      <w:r w:rsidR="080C3B74">
        <w:t xml:space="preserve">cela oddělené bytí </w:t>
      </w:r>
      <w:r w:rsidR="00DD595D">
        <w:t xml:space="preserve">antimoderního </w:t>
      </w:r>
      <w:r w:rsidR="08313A0C">
        <w:t xml:space="preserve">boha </w:t>
      </w:r>
      <w:r w:rsidR="080C3B74">
        <w:t xml:space="preserve">bylo predikováno </w:t>
      </w:r>
      <w:r w:rsidR="084C199F">
        <w:t>skrze vědecky vykazatelnou kauzalitu reálných jsoucen</w:t>
      </w:r>
      <w:r w:rsidR="084C199F" w:rsidRPr="00273106">
        <w:t xml:space="preserve">. </w:t>
      </w:r>
      <w:r w:rsidR="08313A0C">
        <w:t>Mystičtí ilumináti chtějí</w:t>
      </w:r>
      <w:r w:rsidR="00626872">
        <w:t xml:space="preserve"> vědět mnohem více</w:t>
      </w:r>
      <w:r w:rsidR="00CA38D3">
        <w:t>, protože b</w:t>
      </w:r>
      <w:r w:rsidR="00CA38D3" w:rsidRPr="00CA38D3">
        <w:t xml:space="preserve">oha </w:t>
      </w:r>
      <w:r w:rsidR="00CA38D3">
        <w:t>asimilovali do jejich o</w:t>
      </w:r>
      <w:r w:rsidR="00CA38D3" w:rsidRPr="00CA38D3">
        <w:t>ntoteologické teorii pravdy.</w:t>
      </w:r>
      <w:r w:rsidR="00CA38D3">
        <w:t xml:space="preserve"> P</w:t>
      </w:r>
      <w:r w:rsidR="00626872">
        <w:t xml:space="preserve">roto stvořili moderního </w:t>
      </w:r>
      <w:r w:rsidR="00CA38D3">
        <w:t xml:space="preserve">boha jako mytologickou bytost </w:t>
      </w:r>
      <w:r w:rsidR="00626872">
        <w:t xml:space="preserve">a začali </w:t>
      </w:r>
      <w:r w:rsidR="00F7139E">
        <w:t xml:space="preserve">paranoicky </w:t>
      </w:r>
      <w:r w:rsidR="08C054D6">
        <w:t>nahlíže</w:t>
      </w:r>
      <w:r w:rsidR="00626872">
        <w:t>t</w:t>
      </w:r>
      <w:r w:rsidR="08C054D6">
        <w:t xml:space="preserve"> do jeho mysli a do jeho stvoř</w:t>
      </w:r>
      <w:r w:rsidR="0852758C">
        <w:t>itelské</w:t>
      </w:r>
      <w:r w:rsidR="08C054D6">
        <w:t xml:space="preserve"> intencionali</w:t>
      </w:r>
      <w:r w:rsidR="0852758C">
        <w:t>ty</w:t>
      </w:r>
      <w:r w:rsidR="007C795C">
        <w:t>.</w:t>
      </w:r>
      <w:r w:rsidR="004C4796">
        <w:t xml:space="preserve"> Manipulativní moc modern</w:t>
      </w:r>
      <w:r w:rsidR="004C4796" w:rsidRPr="004C4796">
        <w:t>y založená</w:t>
      </w:r>
      <w:r w:rsidR="004C4796">
        <w:t xml:space="preserve"> na moderním b</w:t>
      </w:r>
      <w:r w:rsidR="004C4796" w:rsidRPr="004C4796">
        <w:t>ohu jako onto-teologickém základu objektivní metafyziky se stala opiem imperialistického myšlení</w:t>
      </w:r>
      <w:r w:rsidR="004C4796">
        <w:t xml:space="preserve"> Z</w:t>
      </w:r>
      <w:r w:rsidR="004C4796" w:rsidRPr="004C4796">
        <w:t>ápad</w:t>
      </w:r>
      <w:r w:rsidR="004C4796">
        <w:t>u.</w:t>
      </w:r>
    </w:p>
    <w:p w14:paraId="0DCD49B2" w14:textId="77777777" w:rsidR="00CA3D96" w:rsidRDefault="00E52817" w:rsidP="00CA3D96">
      <w:pPr>
        <w:ind w:firstLine="397"/>
      </w:pPr>
      <w:r>
        <w:t xml:space="preserve">Jako síly trestající spravedlnosti, </w:t>
      </w:r>
      <w:r w:rsidR="08C054D6">
        <w:t xml:space="preserve">Fúrie potrestaly </w:t>
      </w:r>
      <w:r w:rsidR="0852758C">
        <w:t xml:space="preserve">modernisty </w:t>
      </w:r>
      <w:r w:rsidR="08C054D6">
        <w:t xml:space="preserve">za tuto </w:t>
      </w:r>
      <w:r w:rsidR="08C054D6" w:rsidRPr="08C054D6">
        <w:rPr>
          <w:i/>
        </w:rPr>
        <w:t>hýbris</w:t>
      </w:r>
      <w:r w:rsidR="08C054D6">
        <w:t xml:space="preserve"> </w:t>
      </w:r>
      <w:r w:rsidR="0852758C">
        <w:t xml:space="preserve">produkcí </w:t>
      </w:r>
      <w:r w:rsidR="080C365B">
        <w:t>metafyzického</w:t>
      </w:r>
      <w:r w:rsidR="08C054D6">
        <w:t xml:space="preserve"> chaos</w:t>
      </w:r>
      <w:r w:rsidR="0852758C">
        <w:t>u</w:t>
      </w:r>
      <w:r w:rsidR="00EB403D">
        <w:t xml:space="preserve"> a démonické logiky</w:t>
      </w:r>
      <w:r w:rsidR="0852758C">
        <w:t xml:space="preserve">. </w:t>
      </w:r>
      <w:r w:rsidR="08CC40A5">
        <w:t xml:space="preserve">Tím se změnilo nejen pojetí pravdy, ale vznikla i nová logika s novým pojetím pravdivosti. </w:t>
      </w:r>
      <w:r w:rsidR="08E0408E" w:rsidRPr="00273106">
        <w:t>Rozbor logiky u Grossetesteho ukázal, že nasví</w:t>
      </w:r>
      <w:r w:rsidR="08E0408E">
        <w:t xml:space="preserve">cení jsoucna zezadu vytvořilo platnost logické </w:t>
      </w:r>
      <w:r w:rsidR="08E0408E" w:rsidRPr="00273106">
        <w:t>p</w:t>
      </w:r>
      <w:r w:rsidR="08E0408E">
        <w:t>redikace z boží pozice (kap. 3</w:t>
      </w:r>
      <w:r w:rsidR="08E0408E" w:rsidRPr="00273106">
        <w:t>.1.3).</w:t>
      </w:r>
      <w:r w:rsidR="08E0408E">
        <w:t xml:space="preserve"> </w:t>
      </w:r>
      <w:r w:rsidR="08FB3DBE">
        <w:t>Pravdivostní hodnota e</w:t>
      </w:r>
      <w:r w:rsidR="0893386A">
        <w:t>schatologické</w:t>
      </w:r>
      <w:r w:rsidR="084C199F" w:rsidRPr="00273106">
        <w:t xml:space="preserve"> událost</w:t>
      </w:r>
      <w:r w:rsidR="08FB3DBE">
        <w:t>i</w:t>
      </w:r>
      <w:r w:rsidR="084C199F" w:rsidRPr="00273106">
        <w:t xml:space="preserve"> v budoucnosti je</w:t>
      </w:r>
      <w:r w:rsidR="082E6DFA">
        <w:t xml:space="preserve"> určitelná, což je v klasickém aristotelismu vyloučeno</w:t>
      </w:r>
      <w:r w:rsidR="00524F92">
        <w:t xml:space="preserve">. Být moderní a logický znamená, že každé aktualizované nebo i jen potenciální bytí je funkcí eschatologicky dané nutnosti. Není to Francouzská revoluce, která změnila směr moderny do budoucnosti; to učinila démonická moderní logika založená na příchodu Antikrista. </w:t>
      </w:r>
      <w:r w:rsidR="08191F12">
        <w:t xml:space="preserve">Hodnota každé logické </w:t>
      </w:r>
      <w:r w:rsidR="084C199F" w:rsidRPr="00273106">
        <w:t>pravdivosti je dán</w:t>
      </w:r>
      <w:r w:rsidR="08191F12">
        <w:t>a</w:t>
      </w:r>
      <w:r w:rsidR="084C199F" w:rsidRPr="00273106">
        <w:t xml:space="preserve"> </w:t>
      </w:r>
      <w:r w:rsidR="084C199F" w:rsidRPr="00273106">
        <w:rPr>
          <w:i/>
        </w:rPr>
        <w:t>absolute</w:t>
      </w:r>
      <w:r w:rsidR="084C199F" w:rsidRPr="00273106">
        <w:t xml:space="preserve"> v dějinách spásy</w:t>
      </w:r>
      <w:r w:rsidR="08E52B4B">
        <w:t xml:space="preserve"> a ve věčném božím úradku. Nová forma logiky se oddělila </w:t>
      </w:r>
      <w:r w:rsidR="084C199F" w:rsidRPr="00273106">
        <w:t xml:space="preserve">od </w:t>
      </w:r>
      <w:r w:rsidR="08E52B4B">
        <w:t xml:space="preserve">aktuálního poznání </w:t>
      </w:r>
      <w:r w:rsidR="084C199F" w:rsidRPr="00273106">
        <w:t>reality</w:t>
      </w:r>
      <w:r w:rsidR="08084D05">
        <w:t xml:space="preserve">, v níž </w:t>
      </w:r>
      <w:r w:rsidR="08C64CFE">
        <w:t xml:space="preserve">je </w:t>
      </w:r>
      <w:r w:rsidR="08084D05">
        <w:t>nutnost navázána na existenci reálné první substance</w:t>
      </w:r>
      <w:r w:rsidR="08C64CFE" w:rsidRPr="08C64CFE">
        <w:t xml:space="preserve"> </w:t>
      </w:r>
      <w:r w:rsidR="08C64CFE">
        <w:t xml:space="preserve">skrze </w:t>
      </w:r>
      <w:r w:rsidR="082A724F">
        <w:t xml:space="preserve">metafyzický </w:t>
      </w:r>
      <w:r w:rsidR="08C64CFE">
        <w:t>dativ</w:t>
      </w:r>
      <w:r w:rsidR="08A9244A">
        <w:fldChar w:fldCharType="begin"/>
      </w:r>
      <w:r w:rsidR="08A9244A">
        <w:instrText xml:space="preserve"> XE "</w:instrText>
      </w:r>
      <w:r w:rsidR="08752753">
        <w:instrText>logika:</w:instrText>
      </w:r>
      <w:r w:rsidR="082A724F">
        <w:rPr>
          <w:i/>
        </w:rPr>
        <w:instrText>dativus metaphysi</w:instrText>
      </w:r>
      <w:r w:rsidR="08A9244A" w:rsidRPr="08A9244A">
        <w:rPr>
          <w:i/>
        </w:rPr>
        <w:instrText>cus</w:instrText>
      </w:r>
      <w:r w:rsidR="08A9244A">
        <w:instrText xml:space="preserve">" </w:instrText>
      </w:r>
      <w:r w:rsidR="08A9244A">
        <w:fldChar w:fldCharType="end"/>
      </w:r>
      <w:r w:rsidR="084C199F" w:rsidRPr="00273106">
        <w:t xml:space="preserve">. Eschatologičtí ilumináti na Oxfordu založili moderní logiku danou v rámci nové ontoteologie. </w:t>
      </w:r>
      <w:r w:rsidR="082A7535">
        <w:t xml:space="preserve">Pravdivost logické funkce zvané „Antikrist“ je dána v modu </w:t>
      </w:r>
      <w:r w:rsidR="082A7535" w:rsidRPr="088E09D7">
        <w:rPr>
          <w:i/>
        </w:rPr>
        <w:t>semel</w:t>
      </w:r>
      <w:r w:rsidR="082A7535">
        <w:t>‒</w:t>
      </w:r>
      <w:r w:rsidR="082A7535" w:rsidRPr="088E09D7">
        <w:rPr>
          <w:i/>
        </w:rPr>
        <w:t>semper</w:t>
      </w:r>
      <w:r w:rsidR="082A7535">
        <w:t xml:space="preserve"> v neměnné boží mysli</w:t>
      </w:r>
      <w:r w:rsidR="082A7535" w:rsidRPr="00273106">
        <w:t xml:space="preserve">. </w:t>
      </w:r>
      <w:r w:rsidR="005E220A" w:rsidRPr="005E220A">
        <w:t>Jediné, co je proměnlivé, je jeho příchod sem a teď; věčně určená základní hodnota Antikrista jako eschatologické substa</w:t>
      </w:r>
      <w:r w:rsidR="005E220A">
        <w:t xml:space="preserve">nce je dána v modalitě </w:t>
      </w:r>
      <w:r w:rsidR="005E220A" w:rsidRPr="005E220A">
        <w:rPr>
          <w:i/>
        </w:rPr>
        <w:t>absolute</w:t>
      </w:r>
      <w:r w:rsidR="005E220A">
        <w:t xml:space="preserve">, tedy jako </w:t>
      </w:r>
      <w:r w:rsidR="005E220A" w:rsidRPr="005E220A">
        <w:t>zcela opr</w:t>
      </w:r>
      <w:r w:rsidR="005E220A">
        <w:t>oštěná</w:t>
      </w:r>
      <w:r w:rsidR="005E220A" w:rsidRPr="005E220A">
        <w:t xml:space="preserve"> od reality.</w:t>
      </w:r>
      <w:r w:rsidR="005E220A">
        <w:t xml:space="preserve"> </w:t>
      </w:r>
      <w:r w:rsidR="082A7535">
        <w:t xml:space="preserve">Antikristův příchod </w:t>
      </w:r>
      <w:r w:rsidR="082A7535" w:rsidRPr="00273106">
        <w:t>hraje roli moderní matematické funkce, k níž je přiřazena příslušná proměnná</w:t>
      </w:r>
      <w:r w:rsidR="0828796F">
        <w:t xml:space="preserve"> (</w:t>
      </w:r>
      <w:r w:rsidR="08E71192">
        <w:t xml:space="preserve">objektivně pravdivý </w:t>
      </w:r>
      <w:r w:rsidR="0828796F">
        <w:t xml:space="preserve">Antikrist přijde nebo </w:t>
      </w:r>
      <w:r w:rsidR="082A7535">
        <w:t>nepřijde)</w:t>
      </w:r>
      <w:r w:rsidR="082A7535" w:rsidRPr="00273106">
        <w:t>.</w:t>
      </w:r>
      <w:r w:rsidR="082A7535">
        <w:t xml:space="preserve"> </w:t>
      </w:r>
      <w:r w:rsidR="001C3DD2">
        <w:t xml:space="preserve">Nejvyšší jistotu </w:t>
      </w:r>
      <w:r w:rsidR="082A7535" w:rsidRPr="00273106">
        <w:t>ohledně příchodu Antikrista</w:t>
      </w:r>
      <w:r w:rsidR="082A7535">
        <w:fldChar w:fldCharType="begin"/>
      </w:r>
      <w:r w:rsidR="082A7535">
        <w:instrText xml:space="preserve"> XE "</w:instrText>
      </w:r>
      <w:r w:rsidR="082A7535" w:rsidRPr="0096335E">
        <w:instrText>Antikrist</w:instrText>
      </w:r>
      <w:r w:rsidR="082A7535">
        <w:instrText xml:space="preserve">" </w:instrText>
      </w:r>
      <w:r w:rsidR="082A7535">
        <w:fldChar w:fldCharType="end"/>
      </w:r>
      <w:r w:rsidR="082A7535" w:rsidRPr="00273106">
        <w:t xml:space="preserve"> je možné přiřadit k</w:t>
      </w:r>
      <w:r w:rsidR="082A7535">
        <w:t> ontoteologicky a mysticky determinovanému procesu</w:t>
      </w:r>
      <w:r w:rsidR="08801456">
        <w:t xml:space="preserve"> jeho příchodu v</w:t>
      </w:r>
      <w:r w:rsidR="08C86C34">
        <w:t xml:space="preserve"> bohem </w:t>
      </w:r>
      <w:r w:rsidR="001C3DD2">
        <w:t xml:space="preserve">již </w:t>
      </w:r>
      <w:r w:rsidR="08C86C34">
        <w:t xml:space="preserve">určené </w:t>
      </w:r>
      <w:r w:rsidR="08801456">
        <w:t>budoucnosti</w:t>
      </w:r>
      <w:r w:rsidR="082A7535">
        <w:t xml:space="preserve">. </w:t>
      </w:r>
      <w:r w:rsidR="082A7535" w:rsidRPr="00273106">
        <w:t xml:space="preserve">Nahraďme proměnnou o budoucím příchodu Antiktista již danou přítomností jeho příchodu. Formální nutnost se dostane z </w:t>
      </w:r>
      <w:r w:rsidR="082A7535">
        <w:t xml:space="preserve">možného </w:t>
      </w:r>
      <w:r w:rsidR="082A7535" w:rsidRPr="00273106">
        <w:t xml:space="preserve">modu </w:t>
      </w:r>
      <w:r w:rsidR="082A7535" w:rsidRPr="00273106">
        <w:rPr>
          <w:i/>
        </w:rPr>
        <w:t>non sequitur</w:t>
      </w:r>
      <w:r w:rsidR="082A7535" w:rsidRPr="00273106">
        <w:t xml:space="preserve"> do </w:t>
      </w:r>
      <w:r w:rsidR="082A7535">
        <w:t xml:space="preserve">reálného </w:t>
      </w:r>
      <w:r w:rsidR="082A7535" w:rsidRPr="00273106">
        <w:t xml:space="preserve">modu </w:t>
      </w:r>
      <w:r w:rsidR="082A7535" w:rsidRPr="00273106">
        <w:rPr>
          <w:i/>
        </w:rPr>
        <w:t>sequitur</w:t>
      </w:r>
      <w:r w:rsidR="082A7535">
        <w:t>. P</w:t>
      </w:r>
      <w:r w:rsidR="082A7535" w:rsidRPr="00273106">
        <w:t>ůvodní neurčené (ale již bivalenčně dané) bytí věci nebo události se změní na</w:t>
      </w:r>
      <w:r w:rsidR="082A7535" w:rsidRPr="00273106">
        <w:rPr>
          <w:i/>
        </w:rPr>
        <w:t xml:space="preserve"> </w:t>
      </w:r>
      <w:r w:rsidR="082A7535" w:rsidRPr="00273106">
        <w:t>aktuálně</w:t>
      </w:r>
      <w:r w:rsidR="082A7535" w:rsidRPr="00273106">
        <w:rPr>
          <w:i/>
        </w:rPr>
        <w:t xml:space="preserve"> </w:t>
      </w:r>
      <w:r w:rsidR="082A7535" w:rsidRPr="00273106">
        <w:t xml:space="preserve">daný </w:t>
      </w:r>
      <w:r w:rsidR="081E25DB">
        <w:t xml:space="preserve">a tím i pravdivý nebo nepravdivý </w:t>
      </w:r>
      <w:r w:rsidR="082A7535" w:rsidRPr="00273106">
        <w:t>stav.</w:t>
      </w:r>
      <w:r w:rsidR="082A7535">
        <w:t xml:space="preserve"> </w:t>
      </w:r>
      <w:r w:rsidR="08C54553" w:rsidRPr="00273106">
        <w:t>Zámě</w:t>
      </w:r>
      <w:r w:rsidR="08C54553">
        <w:t xml:space="preserve">na první substance za neurčité </w:t>
      </w:r>
      <w:r w:rsidR="08C54553" w:rsidRPr="00273106">
        <w:rPr>
          <w:i/>
        </w:rPr>
        <w:t>esse incompletum et indeterminatum</w:t>
      </w:r>
      <w:r w:rsidR="08C54553" w:rsidRPr="00273106">
        <w:t xml:space="preserve"> umožnila vznik formalizované </w:t>
      </w:r>
      <w:r w:rsidR="08C54553">
        <w:t xml:space="preserve">logické </w:t>
      </w:r>
      <w:r w:rsidR="08C54553" w:rsidRPr="00273106">
        <w:t xml:space="preserve">funkce typu </w:t>
      </w:r>
      <w:r w:rsidR="08C54553" w:rsidRPr="08D65394">
        <w:rPr>
          <w:rStyle w:val="inline-math"/>
          <w:i/>
          <w:iCs/>
        </w:rPr>
        <w:t>f</w:t>
      </w:r>
      <w:r w:rsidR="08C54553" w:rsidRPr="08D65394">
        <w:rPr>
          <w:rStyle w:val="inline-math"/>
          <w:i/>
        </w:rPr>
        <w:t>(</w:t>
      </w:r>
      <w:r w:rsidR="08C54553" w:rsidRPr="08D65394">
        <w:rPr>
          <w:rStyle w:val="inline-math"/>
          <w:i/>
          <w:iCs/>
        </w:rPr>
        <w:t>x</w:t>
      </w:r>
      <w:r w:rsidR="08C54553" w:rsidRPr="08D65394">
        <w:rPr>
          <w:rStyle w:val="inline-math"/>
          <w:i/>
        </w:rPr>
        <w:t>)</w:t>
      </w:r>
      <w:r w:rsidR="08C54553">
        <w:t xml:space="preserve">. Každý děj </w:t>
      </w:r>
      <w:r w:rsidR="08C54553">
        <w:rPr>
          <w:i/>
        </w:rPr>
        <w:t>x</w:t>
      </w:r>
      <w:r w:rsidR="08C54553">
        <w:t xml:space="preserve">, který </w:t>
      </w:r>
      <w:r w:rsidR="08277D00">
        <w:t>logicky přísluší k původní</w:t>
      </w:r>
      <w:r w:rsidR="08C54553">
        <w:t xml:space="preserve"> </w:t>
      </w:r>
      <w:r w:rsidR="08277D00">
        <w:t xml:space="preserve">eschatologické a ontoteologické funkci </w:t>
      </w:r>
      <w:r w:rsidR="08C54553" w:rsidRPr="08CE08EB">
        <w:rPr>
          <w:i/>
        </w:rPr>
        <w:t>f</w:t>
      </w:r>
      <w:r w:rsidR="08C54553">
        <w:t xml:space="preserve">, </w:t>
      </w:r>
      <w:r w:rsidR="08C54553" w:rsidRPr="00273106">
        <w:t xml:space="preserve">představuje </w:t>
      </w:r>
      <w:r w:rsidR="08C54553">
        <w:t>příslušnou proměnnou</w:t>
      </w:r>
      <w:r w:rsidR="08C54553">
        <w:fldChar w:fldCharType="begin"/>
      </w:r>
      <w:r w:rsidR="08C54553">
        <w:instrText xml:space="preserve"> XE "</w:instrText>
      </w:r>
      <w:r w:rsidR="08C54553" w:rsidRPr="00A239E3">
        <w:rPr>
          <w:i/>
        </w:rPr>
        <w:instrText>logica Modernorum</w:instrText>
      </w:r>
      <w:r w:rsidR="08C54553">
        <w:instrText xml:space="preserve">" </w:instrText>
      </w:r>
      <w:r w:rsidR="08C54553">
        <w:fldChar w:fldCharType="end"/>
      </w:r>
      <w:r w:rsidR="08CB595A">
        <w:t xml:space="preserve"> ve </w:t>
      </w:r>
      <w:r w:rsidR="081D31DD">
        <w:t xml:space="preserve">formální </w:t>
      </w:r>
      <w:r w:rsidR="08CB595A">
        <w:t xml:space="preserve">výpovědi typu </w:t>
      </w:r>
      <w:r w:rsidR="08CB595A" w:rsidRPr="08CB595A">
        <w:rPr>
          <w:rStyle w:val="inline-math"/>
          <w:i/>
          <w:iCs/>
        </w:rPr>
        <w:t>f</w:t>
      </w:r>
      <w:r w:rsidR="08CB595A" w:rsidRPr="08CB595A">
        <w:rPr>
          <w:rStyle w:val="inline-math"/>
          <w:i/>
        </w:rPr>
        <w:t>(</w:t>
      </w:r>
      <w:r w:rsidR="08CB595A" w:rsidRPr="08CB595A">
        <w:rPr>
          <w:rStyle w:val="inline-math"/>
          <w:i/>
          <w:iCs/>
        </w:rPr>
        <w:t>x</w:t>
      </w:r>
      <w:r w:rsidR="08CB595A" w:rsidRPr="08CB595A">
        <w:rPr>
          <w:rStyle w:val="inline-math"/>
          <w:i/>
        </w:rPr>
        <w:t>)</w:t>
      </w:r>
      <w:r w:rsidR="08C54553">
        <w:t xml:space="preserve">. </w:t>
      </w:r>
      <w:r w:rsidR="0806549A">
        <w:t xml:space="preserve">Moderní logiku </w:t>
      </w:r>
      <w:r w:rsidR="08EC24D5">
        <w:t xml:space="preserve">přestal </w:t>
      </w:r>
      <w:r w:rsidR="0806549A">
        <w:t>ur</w:t>
      </w:r>
      <w:r w:rsidR="08EC24D5">
        <w:t>čovat</w:t>
      </w:r>
      <w:r w:rsidR="0806549A">
        <w:t xml:space="preserve"> zdravý aristotelský rozum</w:t>
      </w:r>
      <w:r w:rsidR="08F6445B">
        <w:t xml:space="preserve">. Její moderní větev </w:t>
      </w:r>
      <w:r w:rsidR="08EC24D5">
        <w:t>přešla do mytopoetiky dané eschatologií</w:t>
      </w:r>
      <w:r w:rsidR="0806549A">
        <w:t xml:space="preserve"> </w:t>
      </w:r>
      <w:r w:rsidR="08EC24D5">
        <w:t xml:space="preserve">františkánských oxfordských </w:t>
      </w:r>
      <w:r w:rsidR="0806549A">
        <w:t>iluminátů</w:t>
      </w:r>
      <w:r w:rsidR="08EC24D5">
        <w:t xml:space="preserve"> pod vedením Grossetesteho</w:t>
      </w:r>
      <w:r w:rsidR="00D06646">
        <w:t xml:space="preserve"> a především Rufuse</w:t>
      </w:r>
      <w:r w:rsidR="0806549A">
        <w:t xml:space="preserve">. </w:t>
      </w:r>
      <w:r w:rsidR="08EA3896">
        <w:t>Mysti</w:t>
      </w:r>
      <w:r w:rsidR="08EB0970">
        <w:t>c</w:t>
      </w:r>
      <w:r w:rsidR="08EA3896">
        <w:t xml:space="preserve">ká realita </w:t>
      </w:r>
      <w:r w:rsidR="007D0A21">
        <w:t xml:space="preserve">byla </w:t>
      </w:r>
      <w:r w:rsidR="08EA3896">
        <w:t>determinovaná</w:t>
      </w:r>
      <w:r w:rsidR="084C199F" w:rsidRPr="00273106">
        <w:t xml:space="preserve"> knihou </w:t>
      </w:r>
      <w:r w:rsidR="084C199F" w:rsidRPr="007D0A21">
        <w:rPr>
          <w:i/>
        </w:rPr>
        <w:t>Zjevení</w:t>
      </w:r>
      <w:r w:rsidR="084C199F" w:rsidRPr="00273106">
        <w:t xml:space="preserve"> a výklad</w:t>
      </w:r>
      <w:r w:rsidR="007D0A21">
        <w:t>y</w:t>
      </w:r>
      <w:r w:rsidR="084C199F" w:rsidRPr="00273106">
        <w:t xml:space="preserve"> Joachima z</w:t>
      </w:r>
      <w:r w:rsidR="007D0A21">
        <w:t> </w:t>
      </w:r>
      <w:r w:rsidR="084C199F" w:rsidRPr="00273106">
        <w:t>Fiore</w:t>
      </w:r>
      <w:r w:rsidR="007D0A21">
        <w:t xml:space="preserve">. Tyto „události“ </w:t>
      </w:r>
      <w:r w:rsidR="084C199F">
        <w:fldChar w:fldCharType="begin"/>
      </w:r>
      <w:r w:rsidR="084C199F">
        <w:instrText xml:space="preserve"> XE "</w:instrText>
      </w:r>
      <w:r w:rsidR="084C199F" w:rsidRPr="002C61C7">
        <w:instrText>Joachim z Fiore</w:instrText>
      </w:r>
      <w:r w:rsidR="084C199F">
        <w:instrText xml:space="preserve">" </w:instrText>
      </w:r>
      <w:r w:rsidR="084C199F">
        <w:fldChar w:fldCharType="end"/>
      </w:r>
      <w:r w:rsidR="084C199F" w:rsidRPr="00273106">
        <w:t>m</w:t>
      </w:r>
      <w:r w:rsidR="007D0A21">
        <w:t>ěly</w:t>
      </w:r>
      <w:r w:rsidR="084C199F" w:rsidRPr="00273106">
        <w:t xml:space="preserve"> pro oxfordské františkánské učence kosmicky nutný charakter</w:t>
      </w:r>
      <w:r w:rsidR="088D4DC7">
        <w:t xml:space="preserve">. Tento </w:t>
      </w:r>
      <w:r w:rsidR="08745A3E">
        <w:t xml:space="preserve">mystický </w:t>
      </w:r>
      <w:r w:rsidR="088D4DC7">
        <w:t xml:space="preserve">diakosmos moderního ducha mytopoeticky </w:t>
      </w:r>
      <w:r w:rsidR="08101799">
        <w:t>nahradil neposlušnou a proměnlivou první substanci vnímanou pouze smysly</w:t>
      </w:r>
      <w:r w:rsidR="084C199F" w:rsidRPr="00273106">
        <w:t xml:space="preserve">. </w:t>
      </w:r>
      <w:r w:rsidR="08487EE0">
        <w:t xml:space="preserve">Mystická numerologie </w:t>
      </w:r>
      <w:r w:rsidR="084C199F" w:rsidRPr="00273106">
        <w:t xml:space="preserve">a </w:t>
      </w:r>
      <w:r w:rsidR="08487EE0">
        <w:t xml:space="preserve">moderní </w:t>
      </w:r>
      <w:r w:rsidR="080F0B6A">
        <w:t xml:space="preserve">logika se dostaly skrze </w:t>
      </w:r>
      <w:r w:rsidR="084C199F" w:rsidRPr="00273106">
        <w:rPr>
          <w:i/>
        </w:rPr>
        <w:t>Oxfordian Fallacy</w:t>
      </w:r>
      <w:r w:rsidR="080F0B6A">
        <w:t xml:space="preserve"> až do metafyziky</w:t>
      </w:r>
      <w:r w:rsidR="08904402">
        <w:t>.</w:t>
      </w:r>
      <w:r w:rsidR="00CA3D96">
        <w:t xml:space="preserve"> </w:t>
      </w:r>
      <w:r w:rsidR="00D405B0" w:rsidRPr="00D405B0">
        <w:t>V prvním kroku</w:t>
      </w:r>
      <w:r w:rsidR="00D405B0">
        <w:t xml:space="preserve"> modernita vytvořila moderního b</w:t>
      </w:r>
      <w:r w:rsidR="00D405B0" w:rsidRPr="00D405B0">
        <w:t>oha, ve druhém kroku vynalezla objektivního Antikrista a nakonec zkonstruovala schizofrenního Adama.</w:t>
      </w:r>
      <w:r w:rsidR="00D405B0">
        <w:t xml:space="preserve"> </w:t>
      </w:r>
      <w:r w:rsidR="006F4F3E">
        <w:t xml:space="preserve">Moderní </w:t>
      </w:r>
      <w:r w:rsidR="00D405B0">
        <w:t xml:space="preserve">subjekt tvoří </w:t>
      </w:r>
      <w:r w:rsidR="001B5E5B">
        <w:t>chaotickou sbírku nesourodých substancí a hypostází, kterou iluminát</w:t>
      </w:r>
      <w:r w:rsidR="00D405B0">
        <w:t xml:space="preserve">i kladou vzhledem k sobě samým </w:t>
      </w:r>
      <w:r w:rsidR="001B5E5B">
        <w:t xml:space="preserve">jako </w:t>
      </w:r>
      <w:r w:rsidR="00D405B0">
        <w:t>základ</w:t>
      </w:r>
      <w:r w:rsidR="001B5E5B" w:rsidRPr="00273106">
        <w:t xml:space="preserve"> poznání (</w:t>
      </w:r>
      <w:r w:rsidR="001B5E5B" w:rsidRPr="00273106">
        <w:rPr>
          <w:i/>
        </w:rPr>
        <w:t>subiectum</w:t>
      </w:r>
      <w:r w:rsidR="001B5E5B">
        <w:rPr>
          <w:i/>
        </w:rPr>
        <w:fldChar w:fldCharType="begin"/>
      </w:r>
      <w:r w:rsidR="001B5E5B">
        <w:instrText xml:space="preserve"> XE "</w:instrText>
      </w:r>
      <w:r w:rsidR="001B5E5B" w:rsidRPr="00360013">
        <w:rPr>
          <w:i/>
        </w:rPr>
        <w:instrText>subiectum:</w:instrText>
      </w:r>
      <w:r w:rsidR="001B5E5B" w:rsidRPr="00360013">
        <w:instrText>třetího druhu</w:instrText>
      </w:r>
      <w:r w:rsidR="001B5E5B">
        <w:instrText xml:space="preserve">" </w:instrText>
      </w:r>
      <w:r w:rsidR="001B5E5B">
        <w:rPr>
          <w:i/>
        </w:rPr>
        <w:fldChar w:fldCharType="end"/>
      </w:r>
      <w:r w:rsidR="001B5E5B">
        <w:t xml:space="preserve">). </w:t>
      </w:r>
      <w:r w:rsidR="0089712D">
        <w:t>Tento subjekt si vytváří „svou“</w:t>
      </w:r>
      <w:r w:rsidR="0089712D" w:rsidRPr="0089712D">
        <w:t xml:space="preserve"> vědu jako objektivní podobnost bytí třetího druhu, které považuje za jednoznačné </w:t>
      </w:r>
      <w:r w:rsidR="0089712D">
        <w:t xml:space="preserve">dané </w:t>
      </w:r>
      <w:r w:rsidR="0089712D" w:rsidRPr="0089712D">
        <w:t>v sobě i mimo sebe.</w:t>
      </w:r>
      <w:r w:rsidR="0089712D">
        <w:t xml:space="preserve"> </w:t>
      </w:r>
      <w:r w:rsidR="00A25EE1" w:rsidRPr="00A25EE1">
        <w:t>Základním úkolem moderní vědy je poznání jako nihilistická moc nad moderním Bohem, nad moderním člověkem a nad objektivním světem.</w:t>
      </w:r>
      <w:r w:rsidR="00A25EE1">
        <w:t xml:space="preserve"> </w:t>
      </w:r>
      <w:r w:rsidR="001B5E5B">
        <w:t>První modla již zemřela</w:t>
      </w:r>
      <w:r w:rsidR="00A25EE1">
        <w:t>;</w:t>
      </w:r>
      <w:r w:rsidR="001B5E5B">
        <w:t xml:space="preserve"> druhá tvoří neexistující </w:t>
      </w:r>
      <w:r w:rsidR="001B5E5B" w:rsidRPr="08F772EF">
        <w:rPr>
          <w:i/>
        </w:rPr>
        <w:t>individu</w:t>
      </w:r>
      <w:r w:rsidR="001B5E5B">
        <w:rPr>
          <w:i/>
        </w:rPr>
        <w:t>u</w:t>
      </w:r>
      <w:r w:rsidR="001B5E5B" w:rsidRPr="08F772EF">
        <w:rPr>
          <w:i/>
        </w:rPr>
        <w:t>m</w:t>
      </w:r>
      <w:r w:rsidR="001B5E5B">
        <w:t xml:space="preserve"> a </w:t>
      </w:r>
      <w:r w:rsidR="001B5E5B" w:rsidRPr="08F772EF">
        <w:rPr>
          <w:i/>
        </w:rPr>
        <w:t>concretum</w:t>
      </w:r>
      <w:r w:rsidR="001B5E5B">
        <w:t xml:space="preserve"> koncentračních a pracovních táborů XX. a XXI.</w:t>
      </w:r>
      <w:r w:rsidR="00175E77">
        <w:t xml:space="preserve"> století. Třetí modla se právě dostala do finálního stádia své nihilistické existence, objektivně zvané „antropocén“</w:t>
      </w:r>
      <w:r w:rsidR="00CA3D96">
        <w:t>.</w:t>
      </w:r>
    </w:p>
    <w:p w14:paraId="3D3F8C29" w14:textId="55A602EB" w:rsidR="081B47C8" w:rsidRDefault="001B5E5B" w:rsidP="00CA3D96">
      <w:pPr>
        <w:ind w:firstLine="397"/>
      </w:pPr>
      <w:r>
        <w:t xml:space="preserve">Moderní subjekt </w:t>
      </w:r>
      <w:r w:rsidRPr="00273106">
        <w:t xml:space="preserve">tvoří </w:t>
      </w:r>
      <w:r>
        <w:t xml:space="preserve">vědu jako </w:t>
      </w:r>
      <w:r w:rsidRPr="00273106">
        <w:t xml:space="preserve">objektivní </w:t>
      </w:r>
      <w:r w:rsidRPr="00273106">
        <w:rPr>
          <w:i/>
        </w:rPr>
        <w:t>similitudo</w:t>
      </w:r>
      <w:r>
        <w:t xml:space="preserve"> jsoucen třetího druhu, které univočně nazírá v sobě a mimo sebe. </w:t>
      </w:r>
      <w:r w:rsidR="00EB3600">
        <w:t>J</w:t>
      </w:r>
      <w:r w:rsidR="00EB3600" w:rsidRPr="00273106">
        <w:t xml:space="preserve">istota moderního subjektu </w:t>
      </w:r>
      <w:r w:rsidR="00EB3600">
        <w:t xml:space="preserve">vyplynula z </w:t>
      </w:r>
      <w:r w:rsidR="084C199F" w:rsidRPr="00273106">
        <w:t xml:space="preserve">eschatologicky založeného vidění světa </w:t>
      </w:r>
      <w:r w:rsidR="084C199F">
        <w:t>prvních iluminátů</w:t>
      </w:r>
      <w:r w:rsidR="008135BE">
        <w:t>,</w:t>
      </w:r>
      <w:r w:rsidR="084C199F">
        <w:t xml:space="preserve"> </w:t>
      </w:r>
      <w:r w:rsidR="00EB3600">
        <w:t>a tím založila věk</w:t>
      </w:r>
      <w:r w:rsidR="084C199F">
        <w:t xml:space="preserve"> informatiky</w:t>
      </w:r>
      <w:r w:rsidR="084C199F">
        <w:fldChar w:fldCharType="begin"/>
      </w:r>
      <w:r w:rsidR="084C199F">
        <w:instrText xml:space="preserve"> XE "</w:instrText>
      </w:r>
      <w:r w:rsidR="084C199F" w:rsidRPr="00215217">
        <w:instrText>informatika</w:instrText>
      </w:r>
      <w:r w:rsidR="084C199F">
        <w:instrText xml:space="preserve">" </w:instrText>
      </w:r>
      <w:r w:rsidR="084C199F">
        <w:fldChar w:fldCharType="end"/>
      </w:r>
      <w:r w:rsidR="084C199F" w:rsidRPr="00273106">
        <w:t>.</w:t>
      </w:r>
      <w:r w:rsidR="081752C4">
        <w:t xml:space="preserve"> Rufusova mytopoetická verze </w:t>
      </w:r>
      <w:r w:rsidR="084C199F" w:rsidRPr="081752C4">
        <w:rPr>
          <w:i/>
        </w:rPr>
        <w:t>informati</w:t>
      </w:r>
      <w:r w:rsidR="081752C4" w:rsidRPr="081752C4">
        <w:rPr>
          <w:i/>
        </w:rPr>
        <w:t>o</w:t>
      </w:r>
      <w:r w:rsidR="081752C4">
        <w:t xml:space="preserve"> je založena</w:t>
      </w:r>
      <w:r w:rsidR="084C199F">
        <w:t xml:space="preserve"> na </w:t>
      </w:r>
      <w:r w:rsidR="00AB5F17">
        <w:t xml:space="preserve">nutném </w:t>
      </w:r>
      <w:r w:rsidR="081752C4">
        <w:t>příchodu Antikrista</w:t>
      </w:r>
      <w:r w:rsidR="00AB5F17">
        <w:t xml:space="preserve">, který vypracoval Grossetesteho. Jeho idea </w:t>
      </w:r>
      <w:r w:rsidR="084C199F">
        <w:t xml:space="preserve">přešla do digitální epochy. </w:t>
      </w:r>
      <w:r w:rsidR="08925E23">
        <w:t xml:space="preserve">Příchod Antikrista se digitalizoval tím, že toto jsoucno třetího druhu dostalo binární význam v eschalotologické logice </w:t>
      </w:r>
      <w:r w:rsidR="08925E23" w:rsidRPr="08444C0E">
        <w:rPr>
          <w:i/>
        </w:rPr>
        <w:t>modus ponens</w:t>
      </w:r>
      <w:r w:rsidR="08925E23">
        <w:rPr>
          <w:i/>
        </w:rPr>
        <w:fldChar w:fldCharType="begin"/>
      </w:r>
      <w:r w:rsidR="08925E23">
        <w:instrText xml:space="preserve"> XE "</w:instrText>
      </w:r>
      <w:r w:rsidR="08925E23" w:rsidRPr="08347E67">
        <w:rPr>
          <w:i/>
        </w:rPr>
        <w:instrText>modus ponens</w:instrText>
      </w:r>
      <w:r w:rsidR="08925E23">
        <w:instrText xml:space="preserve">" </w:instrText>
      </w:r>
      <w:r w:rsidR="08925E23">
        <w:rPr>
          <w:i/>
        </w:rPr>
        <w:fldChar w:fldCharType="end"/>
      </w:r>
      <w:r w:rsidR="08925E23">
        <w:t xml:space="preserve">. Tato objektivně důležitá leč reálně neexistující substance založila binární informatiku. </w:t>
      </w:r>
      <w:r w:rsidR="084C199F">
        <w:t>Informatika byla založena tím, že místo Antikrista přijde nebo nepřijde emitovaný elektron. Objev tranzistorového jevu</w:t>
      </w:r>
      <w:r w:rsidR="084C199F">
        <w:fldChar w:fldCharType="begin"/>
      </w:r>
      <w:r w:rsidR="084C199F">
        <w:instrText xml:space="preserve"> XE "</w:instrText>
      </w:r>
      <w:r w:rsidR="084C199F" w:rsidRPr="00513018">
        <w:instrText>tranzistorový jev</w:instrText>
      </w:r>
      <w:r w:rsidR="084C199F">
        <w:instrText xml:space="preserve">" </w:instrText>
      </w:r>
      <w:r w:rsidR="084C199F">
        <w:fldChar w:fldCharType="end"/>
      </w:r>
      <w:r w:rsidR="084C199F">
        <w:t xml:space="preserve"> (1947) založil strukturu bipolárního transistoru (typ NPN nebo PNP). Vyslání či nevyslání elektrického impulzu z emitoru (E) jde do báze (B)</w:t>
      </w:r>
      <w:r w:rsidR="0040763A">
        <w:t xml:space="preserve">. Ta reaguje na příchod elektronu exponenciálním </w:t>
      </w:r>
      <w:r w:rsidR="084C199F">
        <w:t>nárůstem fyzikálně dané aktivity v kolektoru (C)</w:t>
      </w:r>
      <w:r w:rsidR="08A839E8">
        <w:t xml:space="preserve">. </w:t>
      </w:r>
      <w:r w:rsidR="007140EB">
        <w:t>Po příchodu elektronu platí, že f</w:t>
      </w:r>
      <w:r w:rsidR="0040763A">
        <w:t xml:space="preserve">yzikální subjekt daný na úrovni tranzistorové báze (B) vytvoří řádově vyšší elektrické napětí v kolektoru. </w:t>
      </w:r>
      <w:r w:rsidR="00234522">
        <w:t xml:space="preserve">Frenetickou aktivitu moderního subjektu </w:t>
      </w:r>
      <w:r w:rsidR="00070202">
        <w:t xml:space="preserve">(C) </w:t>
      </w:r>
      <w:r w:rsidR="00234522">
        <w:t xml:space="preserve">očekávajícího příchod Antikrista </w:t>
      </w:r>
      <w:r w:rsidR="00070202">
        <w:t xml:space="preserve">(E) </w:t>
      </w:r>
      <w:r w:rsidR="00234522">
        <w:t xml:space="preserve">ukazuje vznik nové </w:t>
      </w:r>
      <w:r w:rsidR="00234522" w:rsidRPr="001106CE">
        <w:rPr>
          <w:i/>
        </w:rPr>
        <w:t>intelligentia spiritualis</w:t>
      </w:r>
      <w:r w:rsidR="00234522">
        <w:rPr>
          <w:i/>
        </w:rPr>
        <w:fldChar w:fldCharType="begin"/>
      </w:r>
      <w:r w:rsidR="00234522">
        <w:instrText xml:space="preserve"> XE "</w:instrText>
      </w:r>
      <w:r w:rsidR="00234522" w:rsidRPr="00F35B6F">
        <w:rPr>
          <w:i/>
        </w:rPr>
        <w:instrText>intelligentia spiritualis</w:instrText>
      </w:r>
      <w:r w:rsidR="00234522">
        <w:instrText xml:space="preserve">" </w:instrText>
      </w:r>
      <w:r w:rsidR="00234522">
        <w:rPr>
          <w:i/>
        </w:rPr>
        <w:fldChar w:fldCharType="end"/>
      </w:r>
      <w:r w:rsidR="00234522">
        <w:t xml:space="preserve"> na Oxfordu po roce 1235</w:t>
      </w:r>
      <w:r w:rsidR="00070202">
        <w:t xml:space="preserve"> (B)</w:t>
      </w:r>
      <w:r w:rsidR="00234522">
        <w:t xml:space="preserve">. </w:t>
      </w:r>
      <w:r w:rsidR="08A839E8">
        <w:t xml:space="preserve">Když Antikrist či elektron </w:t>
      </w:r>
      <w:r w:rsidR="084C199F">
        <w:t>přijde, pak se aktivita lidského nebo fyzik</w:t>
      </w:r>
      <w:r w:rsidR="08A839E8">
        <w:t xml:space="preserve">álního </w:t>
      </w:r>
      <w:r w:rsidR="00E32219">
        <w:t xml:space="preserve">subjektu </w:t>
      </w:r>
      <w:r w:rsidR="08A839E8">
        <w:t xml:space="preserve">mnohonásobně </w:t>
      </w:r>
      <w:r w:rsidR="084C199F">
        <w:t xml:space="preserve">zvýší. </w:t>
      </w:r>
      <w:r w:rsidR="00234522">
        <w:t xml:space="preserve">Tímto spojením klasické fyziky a moderní logiky vznikla informatika. </w:t>
      </w:r>
      <w:r w:rsidR="084F13C7">
        <w:t>Fyzikální kauzalita daná v rámci emitace elektronu</w:t>
      </w:r>
      <w:r w:rsidR="08E04E49">
        <w:t xml:space="preserve"> nese objektivně-logickou a tedy „informatickou“ </w:t>
      </w:r>
      <w:r w:rsidR="004309FF">
        <w:t xml:space="preserve">událost </w:t>
      </w:r>
      <w:r w:rsidR="08E04E49">
        <w:t xml:space="preserve">původně danou jako Rufusovo </w:t>
      </w:r>
      <w:r w:rsidR="08E04E49" w:rsidRPr="08E04E49">
        <w:rPr>
          <w:i/>
        </w:rPr>
        <w:t>informatio</w:t>
      </w:r>
      <w:r w:rsidR="08E04E49">
        <w:t>.</w:t>
      </w:r>
      <w:r w:rsidR="004309FF">
        <w:t xml:space="preserve"> </w:t>
      </w:r>
      <w:r w:rsidR="00EC057A" w:rsidRPr="00273106">
        <w:t xml:space="preserve">Zavedením </w:t>
      </w:r>
      <w:r w:rsidR="00EC057A">
        <w:t xml:space="preserve">ontoteologické produkce jsoucna třetího druhu </w:t>
      </w:r>
      <w:r w:rsidR="00EC057A" w:rsidRPr="00273106">
        <w:t>vznikl h</w:t>
      </w:r>
      <w:r w:rsidR="00EC057A">
        <w:t xml:space="preserve">omogenní svět moderní fyzikální abstrakce daný měřitelnými vstupy a výstupy. Pro moderní vědu je důležitý matematicky indexovatelný výstup. Ten je manifestovaný jako objektivní </w:t>
      </w:r>
      <w:r w:rsidR="00EC057A" w:rsidRPr="00655E92">
        <w:rPr>
          <w:i/>
        </w:rPr>
        <w:t>concretum</w:t>
      </w:r>
      <w:r w:rsidR="00C911AA">
        <w:rPr>
          <w:i/>
        </w:rPr>
        <w:fldChar w:fldCharType="begin"/>
      </w:r>
      <w:r w:rsidR="00C911AA">
        <w:instrText xml:space="preserve"> XE "</w:instrText>
      </w:r>
      <w:r w:rsidR="00C911AA" w:rsidRPr="00AA323D">
        <w:rPr>
          <w:i/>
        </w:rPr>
        <w:instrText>concretum</w:instrText>
      </w:r>
      <w:r w:rsidR="00C911AA">
        <w:instrText xml:space="preserve">" </w:instrText>
      </w:r>
      <w:r w:rsidR="00C911AA">
        <w:rPr>
          <w:i/>
        </w:rPr>
        <w:fldChar w:fldCharType="end"/>
      </w:r>
      <w:r w:rsidR="00EC057A" w:rsidRPr="00273106">
        <w:t xml:space="preserve"> dané syntézou </w:t>
      </w:r>
      <w:r w:rsidR="00EC057A">
        <w:t xml:space="preserve">modernisty vytvořených </w:t>
      </w:r>
      <w:r w:rsidR="00EC057A" w:rsidRPr="00273106">
        <w:t>akcidentů</w:t>
      </w:r>
      <w:r w:rsidR="00EC057A">
        <w:t xml:space="preserve"> (</w:t>
      </w:r>
      <w:r w:rsidR="00EC057A" w:rsidRPr="00AB239B">
        <w:rPr>
          <w:i/>
        </w:rPr>
        <w:t>facta</w:t>
      </w:r>
      <w:r w:rsidR="00EC057A">
        <w:t>)</w:t>
      </w:r>
      <w:r w:rsidR="00EC057A" w:rsidRPr="00273106">
        <w:t xml:space="preserve"> spojenýc</w:t>
      </w:r>
      <w:r w:rsidR="004309FF">
        <w:t xml:space="preserve">h v rámci matematické analogie. </w:t>
      </w:r>
      <w:r w:rsidR="08AF2E25">
        <w:t xml:space="preserve">Moderní metafyzika se </w:t>
      </w:r>
      <w:r w:rsidR="08AF2E25" w:rsidRPr="00273106">
        <w:t>nemusí starat o poznání reálné sub</w:t>
      </w:r>
      <w:r w:rsidR="08AF2E25">
        <w:t>stance. Jakákoliv individuální jednotka významu představuje objektivní vstup do hypostázovaného myšlení ilumináta</w:t>
      </w:r>
      <w:r w:rsidR="081B4DCE">
        <w:t xml:space="preserve">. Toto </w:t>
      </w:r>
      <w:r w:rsidR="081B4DCE" w:rsidRPr="081B4DCE">
        <w:rPr>
          <w:i/>
        </w:rPr>
        <w:t>subiectum</w:t>
      </w:r>
      <w:r w:rsidR="081B4DCE">
        <w:t xml:space="preserve"> </w:t>
      </w:r>
      <w:r w:rsidR="08AF2E25">
        <w:t xml:space="preserve">funguje jako univerzální </w:t>
      </w:r>
      <w:r w:rsidR="081B4DCE">
        <w:t>data</w:t>
      </w:r>
      <w:r w:rsidR="08AF2E25">
        <w:t>báze pro všechna jsoucna třetího druhu (</w:t>
      </w:r>
      <w:r w:rsidR="08AF2E25" w:rsidRPr="08A530BD">
        <w:rPr>
          <w:i/>
        </w:rPr>
        <w:t>locus specierum</w:t>
      </w:r>
      <w:r w:rsidR="00C911AA">
        <w:rPr>
          <w:i/>
        </w:rPr>
        <w:fldChar w:fldCharType="begin"/>
      </w:r>
      <w:r w:rsidR="00C911AA">
        <w:instrText xml:space="preserve"> XE "</w:instrText>
      </w:r>
      <w:r w:rsidR="00C911AA" w:rsidRPr="00305AE2">
        <w:rPr>
          <w:i/>
        </w:rPr>
        <w:instrText>locus specierum</w:instrText>
      </w:r>
      <w:r w:rsidR="00C911AA">
        <w:instrText xml:space="preserve">" </w:instrText>
      </w:r>
      <w:r w:rsidR="00C911AA">
        <w:rPr>
          <w:i/>
        </w:rPr>
        <w:fldChar w:fldCharType="end"/>
      </w:r>
      <w:r w:rsidR="08AF2E25">
        <w:t xml:space="preserve">). </w:t>
      </w:r>
      <w:r w:rsidR="08F03432">
        <w:t xml:space="preserve">Síla logické iluze ustavené akademickými Fúriemi skrze Grossetesteho a jeho analytickou školu </w:t>
      </w:r>
      <w:r w:rsidR="08606C85">
        <w:t xml:space="preserve">na Oxfordu má globální </w:t>
      </w:r>
      <w:r w:rsidR="08F03432">
        <w:t>charakter. Moderní bůh už dávno umřel, ale zato žije impérium finančních derivátů založené na reálně neexistu</w:t>
      </w:r>
      <w:r w:rsidR="0032486C">
        <w:t xml:space="preserve">jícím příchodu Antikrista. </w:t>
      </w:r>
      <w:r w:rsidR="00B160F1">
        <w:t xml:space="preserve">Finanční deriváty jako </w:t>
      </w:r>
      <w:r w:rsidR="08F03432">
        <w:t>simulákrum bují v posledních časech ner</w:t>
      </w:r>
      <w:r w:rsidR="00B160F1">
        <w:t>ozumu jako rakovina, metastázují</w:t>
      </w:r>
      <w:r w:rsidR="08F03432">
        <w:t xml:space="preserve"> </w:t>
      </w:r>
      <w:r w:rsidR="00B160F1">
        <w:t>do finančních bublin, ožebračují</w:t>
      </w:r>
      <w:r w:rsidR="08F03432">
        <w:t xml:space="preserve"> </w:t>
      </w:r>
      <w:r w:rsidR="00B160F1">
        <w:t>milióny lidí a způsobují</w:t>
      </w:r>
      <w:r w:rsidR="08F03432">
        <w:t xml:space="preserve"> hybridní války. </w:t>
      </w:r>
      <w:r w:rsidR="006A62A0" w:rsidRPr="0047729B">
        <w:t xml:space="preserve">Moderní </w:t>
      </w:r>
      <w:r w:rsidR="006A62A0">
        <w:t>poznání není pravdivé, ale účinné</w:t>
      </w:r>
      <w:r w:rsidR="006A62A0" w:rsidRPr="0047729B">
        <w:t>. Od 19. století používají různí autoři (Francis Bacon, Thomas Jef</w:t>
      </w:r>
      <w:r w:rsidR="00FD0D78">
        <w:t>ferson) přísloví „</w:t>
      </w:r>
      <w:r w:rsidR="006A62A0" w:rsidRPr="0047729B">
        <w:rPr>
          <w:i/>
        </w:rPr>
        <w:t>knowledge is power</w:t>
      </w:r>
      <w:r w:rsidR="00FD0D78">
        <w:t>“</w:t>
      </w:r>
      <w:r w:rsidR="006A62A0" w:rsidRPr="0047729B">
        <w:t>. Moderní vědění je v</w:t>
      </w:r>
      <w:r w:rsidR="00D53865">
        <w:t xml:space="preserve">e metafyzické </w:t>
      </w:r>
      <w:r w:rsidR="006A62A0" w:rsidRPr="0047729B">
        <w:t>podstatě paranoidní</w:t>
      </w:r>
      <w:r w:rsidR="004A199F">
        <w:t>. K</w:t>
      </w:r>
      <w:r w:rsidR="006A62A0" w:rsidRPr="0047729B">
        <w:t xml:space="preserve">vůli této zásadní nepravdě si musí podmanit celý skutečný, a tedy pravdivý svět. </w:t>
      </w:r>
      <w:r w:rsidR="006A62A0" w:rsidRPr="0047729B">
        <w:rPr>
          <w:i/>
        </w:rPr>
        <w:t>Fiat iustitia Modernorum, et pereat mundus Antiquorum</w:t>
      </w:r>
      <w:r w:rsidR="006A62A0" w:rsidRPr="0047729B">
        <w:t>. No</w:t>
      </w:r>
      <w:r w:rsidR="00351BCD">
        <w:t xml:space="preserve">vému světu </w:t>
      </w:r>
      <w:r w:rsidR="006A62A0">
        <w:t>vládnou moderní F</w:t>
      </w:r>
      <w:r w:rsidR="006A62A0" w:rsidRPr="0047729B">
        <w:t xml:space="preserve">úrie jako </w:t>
      </w:r>
      <w:r w:rsidR="006A62A0">
        <w:t>síly subjekt-objektového</w:t>
      </w:r>
      <w:r w:rsidR="006A62A0" w:rsidRPr="0047729B">
        <w:t xml:space="preserve"> chaosu</w:t>
      </w:r>
      <w:r w:rsidR="00351BCD">
        <w:t xml:space="preserve">. Proto se nacházíme </w:t>
      </w:r>
      <w:r w:rsidR="006A62A0" w:rsidRPr="0047729B">
        <w:t>v nihi</w:t>
      </w:r>
      <w:r w:rsidR="006A62A0">
        <w:t>listické epoše právem nazývané „antropocén“</w:t>
      </w:r>
      <w:r w:rsidR="006A62A0" w:rsidRPr="0047729B">
        <w:t>.</w:t>
      </w:r>
      <w:r w:rsidR="006A62A0">
        <w:t xml:space="preserve"> Subjekt této epochy už není člověk jako osoba, ale jako moderní konkrétní individuum určené statutem </w:t>
      </w:r>
      <w:r w:rsidR="00D679BA">
        <w:t>„člověka–</w:t>
      </w:r>
      <w:r w:rsidR="006A62A0">
        <w:t>mrtvoly</w:t>
      </w:r>
      <w:r w:rsidR="00D679BA">
        <w:t>“</w:t>
      </w:r>
      <w:r w:rsidR="006A62A0">
        <w:t>.</w:t>
      </w:r>
    </w:p>
    <w:p w14:paraId="4658C833" w14:textId="34AD0639" w:rsidR="009A04F9" w:rsidRDefault="00B96B65" w:rsidP="086E0F6E">
      <w:pPr>
        <w:ind w:firstLine="397"/>
      </w:pPr>
      <w:r>
        <w:t>M</w:t>
      </w:r>
      <w:r w:rsidRPr="00273106">
        <w:t>o</w:t>
      </w:r>
      <w:r>
        <w:t>derní filosofie jedné mytopoetické pravdy v</w:t>
      </w:r>
      <w:r w:rsidRPr="00273106">
        <w:t>znikla v prostředí druhého averroismu</w:t>
      </w:r>
      <w:r>
        <w:t xml:space="preserve"> a</w:t>
      </w:r>
      <w:r w:rsidR="084C199F">
        <w:t xml:space="preserve">bsolutizací </w:t>
      </w:r>
      <w:r>
        <w:t xml:space="preserve">logické </w:t>
      </w:r>
      <w:r w:rsidR="084C199F">
        <w:t xml:space="preserve">supozice. </w:t>
      </w:r>
      <w:r w:rsidR="08B22620" w:rsidRPr="00273106">
        <w:t xml:space="preserve">Moderna převedla poznání reality </w:t>
      </w:r>
      <w:r w:rsidR="08B22620">
        <w:t xml:space="preserve">na objektivně-logickou abstrakci danou </w:t>
      </w:r>
      <w:r w:rsidR="00D74EE2">
        <w:t xml:space="preserve">skrze </w:t>
      </w:r>
      <w:r w:rsidR="08B22620">
        <w:t xml:space="preserve">Avicennovo </w:t>
      </w:r>
      <w:r w:rsidR="08B22620" w:rsidRPr="08A92C46">
        <w:rPr>
          <w:i/>
        </w:rPr>
        <w:t>denudatio</w:t>
      </w:r>
      <w:r w:rsidR="08B22620">
        <w:rPr>
          <w:i/>
        </w:rPr>
        <w:fldChar w:fldCharType="begin"/>
      </w:r>
      <w:r w:rsidR="08B22620">
        <w:instrText xml:space="preserve"> XE "</w:instrText>
      </w:r>
      <w:r w:rsidR="08B22620" w:rsidRPr="08C82889">
        <w:rPr>
          <w:i/>
        </w:rPr>
        <w:instrText>denudatio</w:instrText>
      </w:r>
      <w:r w:rsidR="08B22620">
        <w:instrText xml:space="preserve">" </w:instrText>
      </w:r>
      <w:r w:rsidR="08B22620">
        <w:rPr>
          <w:i/>
        </w:rPr>
        <w:fldChar w:fldCharType="end"/>
      </w:r>
      <w:r w:rsidR="08B22620">
        <w:t xml:space="preserve">. Svět prvních substancí se změnil na diakosmos objektivních esencí </w:t>
      </w:r>
      <w:r w:rsidR="08B22620" w:rsidRPr="00273106">
        <w:t>dan</w:t>
      </w:r>
      <w:r w:rsidR="08B22620">
        <w:t xml:space="preserve">ých </w:t>
      </w:r>
      <w:r w:rsidR="08B22620" w:rsidRPr="00273106">
        <w:t xml:space="preserve">v rámci univoční </w:t>
      </w:r>
      <w:r w:rsidR="00524A52">
        <w:t xml:space="preserve">neoplatonsky pojaté </w:t>
      </w:r>
      <w:r w:rsidR="08B22620" w:rsidRPr="00273106">
        <w:t xml:space="preserve">analogie. </w:t>
      </w:r>
      <w:r w:rsidR="08B22620">
        <w:t xml:space="preserve">Rufus dal </w:t>
      </w:r>
      <w:r w:rsidR="008A6887">
        <w:t xml:space="preserve">dokonce i </w:t>
      </w:r>
      <w:r w:rsidR="08B22620">
        <w:t>číselnému počtu (</w:t>
      </w:r>
      <w:r w:rsidR="08B22620" w:rsidRPr="083D13AF">
        <w:rPr>
          <w:i/>
        </w:rPr>
        <w:t>numerus</w:t>
      </w:r>
      <w:r w:rsidR="08B22620">
        <w:t>) individualitu a kauzalitu</w:t>
      </w:r>
      <w:r w:rsidR="009C56B4">
        <w:t>,</w:t>
      </w:r>
      <w:r w:rsidR="08B22620">
        <w:t xml:space="preserve"> a tím založil moderní matematiku. </w:t>
      </w:r>
      <w:r w:rsidR="008267FE" w:rsidRPr="00273106">
        <w:t>Smysl jsoucna je vyváděn od nejmenší abstraktní jednotky významu (</w:t>
      </w:r>
      <w:r w:rsidR="008267FE" w:rsidRPr="00273106">
        <w:rPr>
          <w:i/>
        </w:rPr>
        <w:t>numerus</w:t>
      </w:r>
      <w:r w:rsidR="008267FE" w:rsidRPr="00273106">
        <w:t>), která je již dále nedělitelná (</w:t>
      </w:r>
      <w:r w:rsidR="008267FE" w:rsidRPr="00273106">
        <w:rPr>
          <w:i/>
        </w:rPr>
        <w:t>individuum</w:t>
      </w:r>
      <w:r w:rsidR="008267FE">
        <w:rPr>
          <w:i/>
        </w:rPr>
        <w:fldChar w:fldCharType="begin"/>
      </w:r>
      <w:r w:rsidR="008267FE">
        <w:instrText xml:space="preserve"> XE "substance:</w:instrText>
      </w:r>
      <w:r w:rsidR="008267FE" w:rsidRPr="00A239E3">
        <w:instrText>individuum</w:instrText>
      </w:r>
      <w:r w:rsidR="008267FE">
        <w:instrText xml:space="preserve">" </w:instrText>
      </w:r>
      <w:r w:rsidR="008267FE">
        <w:rPr>
          <w:i/>
        </w:rPr>
        <w:fldChar w:fldCharType="end"/>
      </w:r>
      <w:r w:rsidR="008267FE" w:rsidRPr="00273106">
        <w:t xml:space="preserve">). </w:t>
      </w:r>
      <w:r w:rsidR="084C199F" w:rsidRPr="00273106">
        <w:t xml:space="preserve">Rozsažnost </w:t>
      </w:r>
      <w:r w:rsidR="084C199F">
        <w:t xml:space="preserve">tohoto individua </w:t>
      </w:r>
      <w:r w:rsidR="084C199F" w:rsidRPr="00273106">
        <w:t>se stala matematicky definovatelnou v rámci analogické podobnosti s číslem</w:t>
      </w:r>
      <w:r w:rsidR="084C199F">
        <w:t xml:space="preserve">, které definuje individuum v kauzálním modu </w:t>
      </w:r>
      <w:r w:rsidR="084C199F" w:rsidRPr="00C162D7">
        <w:rPr>
          <w:i/>
        </w:rPr>
        <w:t>per prius</w:t>
      </w:r>
      <w:r w:rsidR="084C199F" w:rsidRPr="00273106">
        <w:t xml:space="preserve">. </w:t>
      </w:r>
      <w:r w:rsidR="004E580E" w:rsidRPr="00273106">
        <w:t>Rufus</w:t>
      </w:r>
      <w:r w:rsidR="004E580E">
        <w:t xml:space="preserve"> definoval metafyziku</w:t>
      </w:r>
      <w:r w:rsidR="004E580E" w:rsidRPr="00273106">
        <w:t xml:space="preserve"> v modu </w:t>
      </w:r>
      <w:r w:rsidR="004E580E">
        <w:t xml:space="preserve">avicennovské </w:t>
      </w:r>
      <w:r w:rsidR="004E580E" w:rsidRPr="00273106">
        <w:t xml:space="preserve">jistoty. </w:t>
      </w:r>
      <w:r w:rsidR="084C199F" w:rsidRPr="00273106">
        <w:t xml:space="preserve">Jistota poznávacího subjektu je rozšířena směrem k nutně a univerzálně danému </w:t>
      </w:r>
      <w:r w:rsidR="084C199F" w:rsidRPr="00273106">
        <w:rPr>
          <w:i/>
        </w:rPr>
        <w:t>coaequatio</w:t>
      </w:r>
      <w:r w:rsidR="084C199F" w:rsidRPr="00273106">
        <w:t>, jež je založeno na matematické abstrakci</w:t>
      </w:r>
      <w:r w:rsidR="084C199F">
        <w:t xml:space="preserve"> a numerické analogii</w:t>
      </w:r>
      <w:r w:rsidR="08E71269">
        <w:t>.</w:t>
      </w:r>
      <w:r w:rsidR="0887406C">
        <w:t xml:space="preserve"> </w:t>
      </w:r>
      <w:r w:rsidR="008267FE" w:rsidRPr="00273106">
        <w:t xml:space="preserve">Moderní pojetí pravdy jako </w:t>
      </w:r>
      <w:r w:rsidR="008267FE" w:rsidRPr="00273106">
        <w:rPr>
          <w:i/>
        </w:rPr>
        <w:t>coaequatio</w:t>
      </w:r>
      <w:r w:rsidR="008267FE">
        <w:rPr>
          <w:i/>
        </w:rPr>
        <w:fldChar w:fldCharType="begin"/>
      </w:r>
      <w:r w:rsidR="008267FE">
        <w:instrText xml:space="preserve"> XE "pravda:</w:instrText>
      </w:r>
      <w:r w:rsidR="008267FE" w:rsidRPr="00E11E1F">
        <w:rPr>
          <w:i/>
        </w:rPr>
        <w:instrText>coaequatio</w:instrText>
      </w:r>
      <w:r w:rsidR="008267FE">
        <w:instrText xml:space="preserve">" </w:instrText>
      </w:r>
      <w:r w:rsidR="008267FE">
        <w:rPr>
          <w:i/>
        </w:rPr>
        <w:fldChar w:fldCharType="end"/>
      </w:r>
      <w:r w:rsidR="008267FE" w:rsidRPr="00273106">
        <w:t xml:space="preserve"> a </w:t>
      </w:r>
      <w:r w:rsidR="008267FE" w:rsidRPr="00273106">
        <w:rPr>
          <w:i/>
        </w:rPr>
        <w:t>certitudo</w:t>
      </w:r>
      <w:r w:rsidR="008267FE" w:rsidRPr="00273106">
        <w:t xml:space="preserve"> napojené na matematicky pojatou metafyziku jako </w:t>
      </w:r>
      <w:r w:rsidR="008267FE" w:rsidRPr="00273106">
        <w:rPr>
          <w:i/>
        </w:rPr>
        <w:t>causa certissima</w:t>
      </w:r>
      <w:r w:rsidR="008267FE" w:rsidRPr="00273106">
        <w:t xml:space="preserve"> změnilo statut metafyziky. </w:t>
      </w:r>
      <w:r w:rsidR="006D4C12">
        <w:t xml:space="preserve">Náhled </w:t>
      </w:r>
      <w:r w:rsidR="008267FE" w:rsidRPr="00273106">
        <w:t xml:space="preserve">čistých forem </w:t>
      </w:r>
      <w:r w:rsidR="006D4C12">
        <w:t xml:space="preserve">zakládá </w:t>
      </w:r>
      <w:r w:rsidR="008267FE">
        <w:t>produkci</w:t>
      </w:r>
      <w:r w:rsidR="008267FE" w:rsidRPr="00273106">
        <w:t xml:space="preserve"> smyslu daného matematicky. </w:t>
      </w:r>
      <w:r w:rsidR="08E71269">
        <w:t xml:space="preserve">Matematizace světa </w:t>
      </w:r>
      <w:r w:rsidR="0887406C">
        <w:t xml:space="preserve">ve druhém averroismu </w:t>
      </w:r>
      <w:r w:rsidR="08E71269">
        <w:t>navázala</w:t>
      </w:r>
      <w:r w:rsidR="084C199F" w:rsidRPr="00273106">
        <w:t xml:space="preserve"> na dědictví zaniklých škol </w:t>
      </w:r>
      <w:r w:rsidR="084C199F" w:rsidRPr="00273106">
        <w:rPr>
          <w:i/>
        </w:rPr>
        <w:t>Nominales</w:t>
      </w:r>
      <w:r w:rsidR="084C199F" w:rsidRPr="00273106">
        <w:t xml:space="preserve">. </w:t>
      </w:r>
      <w:r w:rsidR="00354706">
        <w:t xml:space="preserve">Nominální jednota </w:t>
      </w:r>
      <w:r w:rsidR="084C199F" w:rsidRPr="00273106">
        <w:t>matematiky a metafyziky byla posílena četbou Avicebronova</w:t>
      </w:r>
      <w:r w:rsidR="084C199F">
        <w:fldChar w:fldCharType="begin"/>
      </w:r>
      <w:r w:rsidR="084C199F">
        <w:instrText xml:space="preserve"> XE "</w:instrText>
      </w:r>
      <w:r w:rsidR="084C199F" w:rsidRPr="00E1327E">
        <w:instrText>Avicebron</w:instrText>
      </w:r>
      <w:r w:rsidR="084C199F">
        <w:instrText xml:space="preserve">" </w:instrText>
      </w:r>
      <w:r w:rsidR="084C199F">
        <w:fldChar w:fldCharType="end"/>
      </w:r>
      <w:r w:rsidR="084C199F" w:rsidRPr="00273106">
        <w:t xml:space="preserve"> díla </w:t>
      </w:r>
      <w:r w:rsidR="084C199F" w:rsidRPr="00273106">
        <w:rPr>
          <w:i/>
        </w:rPr>
        <w:t>Fons vitae</w:t>
      </w:r>
      <w:r w:rsidR="084C199F" w:rsidRPr="00273106">
        <w:t>. Příchod nové materie třetího druhu umožnil Rufusovi</w:t>
      </w:r>
      <w:r w:rsidR="08CB5581">
        <w:t xml:space="preserve"> a</w:t>
      </w:r>
      <w:r w:rsidR="084C199F" w:rsidRPr="00273106">
        <w:t xml:space="preserve"> Kilwardbymu radik</w:t>
      </w:r>
      <w:r w:rsidR="083710C9">
        <w:t xml:space="preserve">alizovat pojetí vědy v </w:t>
      </w:r>
      <w:r w:rsidR="084C199F">
        <w:t xml:space="preserve">prvních </w:t>
      </w:r>
      <w:r w:rsidR="084C199F" w:rsidRPr="00273106">
        <w:t xml:space="preserve">analytických komentářích </w:t>
      </w:r>
      <w:r w:rsidR="084C199F" w:rsidRPr="00273106">
        <w:rPr>
          <w:i/>
        </w:rPr>
        <w:t>Analytica Posteriora</w:t>
      </w:r>
      <w:r w:rsidR="084C199F" w:rsidRPr="00273106">
        <w:t xml:space="preserve"> </w:t>
      </w:r>
      <w:r w:rsidR="084C199F">
        <w:t xml:space="preserve">daných v letech </w:t>
      </w:r>
      <w:r w:rsidR="084C199F" w:rsidRPr="00273106">
        <w:t>123</w:t>
      </w:r>
      <w:r w:rsidR="084119A5">
        <w:t>5</w:t>
      </w:r>
      <w:r w:rsidR="084C199F">
        <w:t>‒</w:t>
      </w:r>
      <w:r w:rsidR="084119A5">
        <w:t>40</w:t>
      </w:r>
      <w:r w:rsidR="084C199F" w:rsidRPr="00273106">
        <w:t xml:space="preserve">. </w:t>
      </w:r>
      <w:r w:rsidR="083117F6" w:rsidRPr="00273106">
        <w:t xml:space="preserve">Rufus dal </w:t>
      </w:r>
      <w:r w:rsidR="083117F6">
        <w:t xml:space="preserve">analytickému výkladu reality akademicku formu. </w:t>
      </w:r>
      <w:r w:rsidR="08C94975">
        <w:t xml:space="preserve">Nové pojetí ontoteologie dané v prostředí </w:t>
      </w:r>
      <w:r w:rsidR="08C94975" w:rsidRPr="006957EF">
        <w:rPr>
          <w:i/>
        </w:rPr>
        <w:t>Oxfordian Fallacy</w:t>
      </w:r>
      <w:r w:rsidR="08C94975">
        <w:rPr>
          <w:i/>
        </w:rPr>
        <w:fldChar w:fldCharType="begin"/>
      </w:r>
      <w:r w:rsidR="08C94975">
        <w:instrText xml:space="preserve"> XE "</w:instrText>
      </w:r>
      <w:r w:rsidR="08C94975" w:rsidRPr="0015798D">
        <w:rPr>
          <w:i/>
        </w:rPr>
        <w:instrText>Oxfordian Fallacy:</w:instrText>
      </w:r>
      <w:r w:rsidR="08C94975">
        <w:instrText xml:space="preserve">moderní věda" </w:instrText>
      </w:r>
      <w:r w:rsidR="08C94975">
        <w:rPr>
          <w:i/>
        </w:rPr>
        <w:fldChar w:fldCharType="end"/>
      </w:r>
      <w:r w:rsidR="08C94975">
        <w:t xml:space="preserve"> založilo kolem roku 1250 </w:t>
      </w:r>
      <w:r w:rsidR="08C94975" w:rsidRPr="00273106">
        <w:t>epochální místo</w:t>
      </w:r>
      <w:r w:rsidR="08C94975">
        <w:t xml:space="preserve"> analyticky založených věd v Kilwardbyho díle </w:t>
      </w:r>
      <w:r w:rsidR="08C94975" w:rsidRPr="005507A7">
        <w:rPr>
          <w:i/>
        </w:rPr>
        <w:t>De</w:t>
      </w:r>
      <w:r w:rsidR="08C94975">
        <w:t xml:space="preserve"> </w:t>
      </w:r>
      <w:r w:rsidR="08C94975" w:rsidRPr="00310943">
        <w:rPr>
          <w:i/>
        </w:rPr>
        <w:t>ortu scientiarum</w:t>
      </w:r>
      <w:r w:rsidR="08C94975">
        <w:t xml:space="preserve">. </w:t>
      </w:r>
      <w:r w:rsidR="084C199F" w:rsidRPr="00273106">
        <w:t xml:space="preserve">Kilwardby v mocenské roli pegadoga a </w:t>
      </w:r>
      <w:r w:rsidR="084C199F">
        <w:t xml:space="preserve">nejdůležitějšího </w:t>
      </w:r>
      <w:r w:rsidR="084C199F" w:rsidRPr="00273106">
        <w:t xml:space="preserve">církevního hodnostáře </w:t>
      </w:r>
      <w:r w:rsidR="084C199F">
        <w:t xml:space="preserve">v Anglii </w:t>
      </w:r>
      <w:r w:rsidR="084C199F" w:rsidRPr="00273106">
        <w:t xml:space="preserve">uvedl </w:t>
      </w:r>
      <w:r w:rsidR="08582819">
        <w:t xml:space="preserve">metafyziku </w:t>
      </w:r>
      <w:r w:rsidR="08582819" w:rsidRPr="08582819">
        <w:rPr>
          <w:i/>
        </w:rPr>
        <w:t>Modernorum</w:t>
      </w:r>
      <w:r w:rsidR="08582819">
        <w:t xml:space="preserve"> </w:t>
      </w:r>
      <w:r w:rsidR="084C199F" w:rsidRPr="00273106">
        <w:t xml:space="preserve">jako oficiální akademickou nauku na Oxfordu. </w:t>
      </w:r>
      <w:r w:rsidR="0851333A">
        <w:t xml:space="preserve">Bacon, který reprezentoval v této fázi školu </w:t>
      </w:r>
      <w:r w:rsidR="084C199F" w:rsidRPr="00273106">
        <w:t>prvníh</w:t>
      </w:r>
      <w:r w:rsidR="084C199F">
        <w:t xml:space="preserve">o averroismu </w:t>
      </w:r>
      <w:r w:rsidR="0851333A">
        <w:t xml:space="preserve">na Oxfordu, prohlásil tuto nauku za </w:t>
      </w:r>
      <w:r w:rsidR="084C199F">
        <w:t>fatální omyl</w:t>
      </w:r>
      <w:r w:rsidR="0851333A">
        <w:t xml:space="preserve"> a šílenství proti pravdě</w:t>
      </w:r>
      <w:r w:rsidR="084C199F" w:rsidRPr="00273106">
        <w:t>. Za působení Kilwardbyho jako rektora ovládl druhý averroismus Oxford</w:t>
      </w:r>
      <w:r w:rsidR="08E778F7">
        <w:t>skou univerzitu</w:t>
      </w:r>
      <w:r w:rsidR="084C199F" w:rsidRPr="00273106">
        <w:t>, co</w:t>
      </w:r>
      <w:r w:rsidR="084C199F">
        <w:t xml:space="preserve">ž se Bonaventurově škole podařilo </w:t>
      </w:r>
      <w:r w:rsidR="089A5185">
        <w:t>na Pařížské univerzitě</w:t>
      </w:r>
      <w:r w:rsidR="084C199F" w:rsidRPr="00273106">
        <w:t xml:space="preserve"> </w:t>
      </w:r>
      <w:r w:rsidR="084C199F">
        <w:t xml:space="preserve">až </w:t>
      </w:r>
      <w:r w:rsidR="084C199F" w:rsidRPr="00273106">
        <w:t xml:space="preserve">o dekádu později </w:t>
      </w:r>
      <w:r w:rsidR="084C199F">
        <w:t>a jen částečně</w:t>
      </w:r>
      <w:r w:rsidR="084C199F" w:rsidRPr="00273106">
        <w:t xml:space="preserve">. V Paříži </w:t>
      </w:r>
      <w:r w:rsidR="003A7D99">
        <w:t xml:space="preserve">se škola založená na </w:t>
      </w:r>
      <w:r w:rsidR="084C199F" w:rsidRPr="00273106">
        <w:rPr>
          <w:i/>
        </w:rPr>
        <w:t>Oxfordian Fallacy</w:t>
      </w:r>
      <w:r w:rsidR="084C199F" w:rsidRPr="00273106">
        <w:t xml:space="preserve"> </w:t>
      </w:r>
      <w:r w:rsidR="003A7D99">
        <w:t>prosadil</w:t>
      </w:r>
      <w:r w:rsidR="00320447">
        <w:t>a</w:t>
      </w:r>
      <w:r w:rsidR="003A7D99">
        <w:t xml:space="preserve"> až </w:t>
      </w:r>
      <w:r w:rsidR="084C199F">
        <w:t>od druhého působení Rufuse</w:t>
      </w:r>
      <w:r w:rsidR="003A7D99">
        <w:t xml:space="preserve">, kdy zde vznikla </w:t>
      </w:r>
      <w:r w:rsidR="084C199F">
        <w:t xml:space="preserve">akademicky silná škola </w:t>
      </w:r>
      <w:r w:rsidR="084C199F" w:rsidRPr="00273106">
        <w:t>druhého averroismu</w:t>
      </w:r>
      <w:r w:rsidR="003A7D99">
        <w:t xml:space="preserve">. Plné vítězství dosáhli zdejší modernisté </w:t>
      </w:r>
      <w:r w:rsidR="084C199F">
        <w:t xml:space="preserve">až </w:t>
      </w:r>
      <w:r w:rsidR="003A7D99">
        <w:t xml:space="preserve">po vydání </w:t>
      </w:r>
      <w:r w:rsidR="0808573B">
        <w:t xml:space="preserve">Étiennova </w:t>
      </w:r>
      <w:r w:rsidR="08623677">
        <w:t>dekretu v</w:t>
      </w:r>
      <w:r w:rsidR="08491774">
        <w:t xml:space="preserve"> roce </w:t>
      </w:r>
      <w:r w:rsidR="08623677">
        <w:t>12</w:t>
      </w:r>
      <w:r w:rsidR="084C199F">
        <w:t>77</w:t>
      </w:r>
      <w:r w:rsidR="003A7D99">
        <w:t>, kdy mocensky zlikvidovali školu prvního averroismu i v Paříži</w:t>
      </w:r>
      <w:r w:rsidR="084C199F" w:rsidRPr="00273106">
        <w:t>.</w:t>
      </w:r>
      <w:r w:rsidR="084C199F">
        <w:t xml:space="preserve"> </w:t>
      </w:r>
      <w:r w:rsidR="086E0F6E">
        <w:t xml:space="preserve">Historické simulákrum tzv. „dvojí pravdy“ </w:t>
      </w:r>
      <w:r w:rsidR="008D1723">
        <w:t xml:space="preserve">bylo </w:t>
      </w:r>
      <w:r w:rsidR="086E0F6E">
        <w:t>skryté v rámci jiného simulákra zvaného „</w:t>
      </w:r>
      <w:r w:rsidR="084C199F">
        <w:t>averroismus</w:t>
      </w:r>
      <w:r w:rsidR="086E0F6E">
        <w:t>“</w:t>
      </w:r>
      <w:r w:rsidR="008D1723">
        <w:t xml:space="preserve">. Tato dvojitá sofistika </w:t>
      </w:r>
      <w:r w:rsidR="086E0F6E">
        <w:t xml:space="preserve">spolehlivě </w:t>
      </w:r>
      <w:r w:rsidR="084C199F" w:rsidRPr="00273106">
        <w:t>vytěsnil</w:t>
      </w:r>
      <w:r w:rsidR="008D1723">
        <w:t>a</w:t>
      </w:r>
      <w:r w:rsidR="086E0F6E">
        <w:t xml:space="preserve"> reálný filosofický </w:t>
      </w:r>
      <w:r w:rsidR="084C199F" w:rsidRPr="00273106">
        <w:t>spor mezi oběma školami</w:t>
      </w:r>
      <w:r w:rsidR="086E0F6E">
        <w:t>. Půs</w:t>
      </w:r>
      <w:r w:rsidR="084E46BF">
        <w:t xml:space="preserve">obení </w:t>
      </w:r>
      <w:r w:rsidR="008D1723">
        <w:t xml:space="preserve">modernisticky založených </w:t>
      </w:r>
      <w:r w:rsidR="084E46BF">
        <w:t>Fúrií v Oxfordu a v Paříži</w:t>
      </w:r>
      <w:r w:rsidR="086E0F6E">
        <w:t xml:space="preserve"> tak </w:t>
      </w:r>
      <w:r w:rsidR="084C199F">
        <w:t xml:space="preserve">objektivně </w:t>
      </w:r>
      <w:r w:rsidR="084C199F" w:rsidRPr="00273106">
        <w:t>skryl</w:t>
      </w:r>
      <w:r w:rsidR="086E0F6E">
        <w:t>o</w:t>
      </w:r>
      <w:r w:rsidR="084C199F" w:rsidRPr="00273106">
        <w:t xml:space="preserve"> nové </w:t>
      </w:r>
      <w:r w:rsidR="009A04F9">
        <w:t>kolo gigantomachie o substanci.</w:t>
      </w:r>
    </w:p>
    <w:p w14:paraId="49F0DC28" w14:textId="1EDF8937" w:rsidR="08040EA1" w:rsidRDefault="084C199F" w:rsidP="00214720">
      <w:pPr>
        <w:ind w:firstLine="397"/>
      </w:pPr>
      <w:r>
        <w:t xml:space="preserve">První averroismus </w:t>
      </w:r>
      <w:r w:rsidR="08BC7E70">
        <w:t xml:space="preserve">odmítl </w:t>
      </w:r>
      <w:r w:rsidR="086649A2">
        <w:t>základní metafyzické</w:t>
      </w:r>
      <w:r>
        <w:t xml:space="preserve"> omyl</w:t>
      </w:r>
      <w:r w:rsidR="086649A2">
        <w:t>y</w:t>
      </w:r>
      <w:r>
        <w:t xml:space="preserve"> </w:t>
      </w:r>
      <w:r w:rsidRPr="00273106">
        <w:t>moderny</w:t>
      </w:r>
      <w:r w:rsidR="086649A2">
        <w:t xml:space="preserve">, která se akademicky etablovala nejprve </w:t>
      </w:r>
      <w:r>
        <w:t xml:space="preserve">v Oxfordu a </w:t>
      </w:r>
      <w:r w:rsidR="086649A2">
        <w:t xml:space="preserve">pak </w:t>
      </w:r>
      <w:r>
        <w:t>v Paříži zřízením mendikantské fakulty</w:t>
      </w:r>
      <w:r w:rsidRPr="00273106">
        <w:t>.</w:t>
      </w:r>
      <w:r w:rsidRPr="0030332F">
        <w:t xml:space="preserve"> </w:t>
      </w:r>
      <w:r w:rsidR="00415B5D">
        <w:t xml:space="preserve">Albert a další odmítli </w:t>
      </w:r>
      <w:r>
        <w:t xml:space="preserve">dvojí pojetí vědy </w:t>
      </w:r>
      <w:r w:rsidR="00415B5D">
        <w:t xml:space="preserve">dané na základě chybně vyloženého schématu poznání </w:t>
      </w:r>
      <w:r w:rsidRPr="00273106">
        <w:t>(</w:t>
      </w:r>
      <w:r w:rsidRPr="00273106">
        <w:rPr>
          <w:i/>
        </w:rPr>
        <w:t>duplex scientia</w:t>
      </w:r>
      <w:r>
        <w:rPr>
          <w:i/>
        </w:rPr>
        <w:t xml:space="preserve"> ex phantasmate</w:t>
      </w:r>
      <w:r w:rsidR="08491774">
        <w:t>, kap. 2</w:t>
      </w:r>
      <w:r w:rsidRPr="08F36C22">
        <w:t>.4.3</w:t>
      </w:r>
      <w:r>
        <w:t>)</w:t>
      </w:r>
      <w:r w:rsidR="08091FAA">
        <w:t>. A</w:t>
      </w:r>
      <w:r w:rsidR="08D97C18">
        <w:t xml:space="preserve">ristotelská </w:t>
      </w:r>
      <w:r w:rsidR="08680907">
        <w:t xml:space="preserve">logika sleduje metafyzický logos </w:t>
      </w:r>
      <w:r w:rsidR="082A724F">
        <w:t xml:space="preserve">metafyzického </w:t>
      </w:r>
      <w:r w:rsidR="08680907">
        <w:t>dativu</w:t>
      </w:r>
      <w:r w:rsidR="00415B5D">
        <w:t>. P</w:t>
      </w:r>
      <w:r w:rsidR="08091FAA">
        <w:t xml:space="preserve">roto platí, že </w:t>
      </w:r>
      <w:r w:rsidR="00415B5D">
        <w:t xml:space="preserve">reálná existence </w:t>
      </w:r>
      <w:r w:rsidR="08091FAA">
        <w:t xml:space="preserve">zakládá </w:t>
      </w:r>
      <w:r w:rsidR="00415B5D">
        <w:t xml:space="preserve">intelektuální esenci, a ne </w:t>
      </w:r>
      <w:r w:rsidR="08C22B55">
        <w:t>naopak</w:t>
      </w:r>
      <w:r w:rsidR="08D43AC6">
        <w:t xml:space="preserve">. </w:t>
      </w:r>
      <w:r w:rsidR="08055F9C">
        <w:t>Č</w:t>
      </w:r>
      <w:r w:rsidR="08006A72">
        <w:t xml:space="preserve">istá budoucí potence nebo substance třetího druhu nemůže založit žádnou logickou výpověď, </w:t>
      </w:r>
      <w:r w:rsidR="00C27095">
        <w:t xml:space="preserve">dokonce ani tu </w:t>
      </w:r>
      <w:r w:rsidR="08006A72">
        <w:t xml:space="preserve">nepravdivou. </w:t>
      </w:r>
      <w:r w:rsidR="00AC6C18" w:rsidRPr="00AC6C18">
        <w:t>Moderní věda se pohybuje v mystickém a logickém rámci</w:t>
      </w:r>
      <w:r w:rsidR="00ED7259">
        <w:t>. Modernisté odmítali takzvané „</w:t>
      </w:r>
      <w:r w:rsidR="00ED7259" w:rsidRPr="00ED7259">
        <w:t>kontingentní události</w:t>
      </w:r>
      <w:r w:rsidR="00ED7259">
        <w:t>“ dané reálně jako fundament</w:t>
      </w:r>
      <w:r w:rsidR="00ED7259" w:rsidRPr="00ED7259">
        <w:t xml:space="preserve"> </w:t>
      </w:r>
      <w:r w:rsidR="00ED7259">
        <w:t xml:space="preserve">jejich </w:t>
      </w:r>
      <w:r w:rsidR="00ED7259" w:rsidRPr="00ED7259">
        <w:t>metafyziky.</w:t>
      </w:r>
      <w:r w:rsidR="00ED7259">
        <w:t xml:space="preserve"> </w:t>
      </w:r>
      <w:r w:rsidR="00AC6C18">
        <w:t xml:space="preserve">Absurdní věda </w:t>
      </w:r>
      <w:r w:rsidR="009133E3">
        <w:t xml:space="preserve">byla </w:t>
      </w:r>
      <w:r w:rsidR="00AC6C18">
        <w:t xml:space="preserve">postavená na manipulaci s různými druhy </w:t>
      </w:r>
      <w:r w:rsidR="00AC6C18" w:rsidRPr="00AC6C18">
        <w:rPr>
          <w:i/>
        </w:rPr>
        <w:t>tertium ens</w:t>
      </w:r>
      <w:r w:rsidR="009133E3">
        <w:t xml:space="preserve"> a na démonické moderní logice. Tato kombinace </w:t>
      </w:r>
      <w:r w:rsidR="00AC6C18">
        <w:t xml:space="preserve">musela v další </w:t>
      </w:r>
      <w:r w:rsidRPr="00273106">
        <w:t xml:space="preserve"> generace oxfordských a p</w:t>
      </w:r>
      <w:r>
        <w:t xml:space="preserve">ařížských sofistů </w:t>
      </w:r>
      <w:r w:rsidR="00AC6C18">
        <w:t xml:space="preserve">vytvořit </w:t>
      </w:r>
      <w:r>
        <w:t xml:space="preserve">pojetí </w:t>
      </w:r>
      <w:r w:rsidR="00DB2E68">
        <w:t>tzv. „</w:t>
      </w:r>
      <w:r>
        <w:t>dvojí pravdy</w:t>
      </w:r>
      <w:r w:rsidR="00DB2E68">
        <w:t>“</w:t>
      </w:r>
      <w:r>
        <w:rPr>
          <w:i/>
        </w:rPr>
        <w:fldChar w:fldCharType="begin"/>
      </w:r>
      <w:r>
        <w:instrText xml:space="preserve"> XE "</w:instrText>
      </w:r>
      <w:r w:rsidRPr="004131D9">
        <w:instrText>teorie dvojí pravdy</w:instrText>
      </w:r>
      <w:r>
        <w:instrText xml:space="preserve">" </w:instrText>
      </w:r>
      <w:r>
        <w:rPr>
          <w:i/>
        </w:rPr>
        <w:fldChar w:fldCharType="end"/>
      </w:r>
      <w:r>
        <w:t xml:space="preserve">. </w:t>
      </w:r>
      <w:r w:rsidR="00AC6C18" w:rsidRPr="00AC6C18">
        <w:t>Mode</w:t>
      </w:r>
      <w:r w:rsidR="00AC6C18">
        <w:t>rnisté, zmanipulovaní božskými F</w:t>
      </w:r>
      <w:r w:rsidR="00AC6C18" w:rsidRPr="00AC6C18">
        <w:t>úriemi, se náležitě řídili Freudovou teorií z</w:t>
      </w:r>
      <w:r w:rsidR="00AC6C18">
        <w:t>vanou „</w:t>
      </w:r>
      <w:r w:rsidR="00AC6C18" w:rsidRPr="00AC6C18">
        <w:rPr>
          <w:i/>
        </w:rPr>
        <w:t>Verkehrung ins Gegenteil</w:t>
      </w:r>
      <w:r w:rsidR="00AC6C18">
        <w:t>“</w:t>
      </w:r>
      <w:r w:rsidR="00AC6C18" w:rsidRPr="00AC6C18">
        <w:t>, aby sofi</w:t>
      </w:r>
      <w:r w:rsidR="00AC6C18">
        <w:t>sticky p</w:t>
      </w:r>
      <w:r w:rsidR="00AC6C18" w:rsidRPr="00AC6C18">
        <w:t xml:space="preserve">řisoudili </w:t>
      </w:r>
      <w:r w:rsidR="00AC6C18">
        <w:t>v</w:t>
      </w:r>
      <w:r w:rsidR="00AC6C18" w:rsidRPr="00AC6C18">
        <w:t xml:space="preserve">lastní </w:t>
      </w:r>
      <w:r w:rsidR="00AC6C18">
        <w:t>intelektuální nesmysly škole prvnímu averroismu, kterou p</w:t>
      </w:r>
      <w:r w:rsidR="00AC6C18" w:rsidRPr="00AC6C18">
        <w:t xml:space="preserve">ak autoritativně zničili </w:t>
      </w:r>
      <w:r w:rsidR="00AC6C18">
        <w:t xml:space="preserve">současně v Paříři i v Oxfordu </w:t>
      </w:r>
      <w:r w:rsidR="00AC6C18" w:rsidRPr="00AC6C18">
        <w:t>v roce 1277.</w:t>
      </w:r>
      <w:r w:rsidR="00392C82">
        <w:t xml:space="preserve"> </w:t>
      </w:r>
      <w:r w:rsidR="00E330EA" w:rsidRPr="00E330EA">
        <w:t>Zapomenutí první substance způsobilo ztrátu reality v moderní metafyzice.</w:t>
      </w:r>
      <w:r w:rsidR="00E330EA">
        <w:t xml:space="preserve"> </w:t>
      </w:r>
      <w:r w:rsidR="00364F6B" w:rsidRPr="00364F6B">
        <w:t>Tato epochálně významná aktivita modernistů (</w:t>
      </w:r>
      <w:r w:rsidR="00364F6B" w:rsidRPr="00364F6B">
        <w:rPr>
          <w:i/>
        </w:rPr>
        <w:t>factum</w:t>
      </w:r>
      <w:r w:rsidR="00364F6B">
        <w:t xml:space="preserve">) se </w:t>
      </w:r>
      <w:r w:rsidR="00364F6B" w:rsidRPr="00364F6B">
        <w:t xml:space="preserve">promítla </w:t>
      </w:r>
      <w:r w:rsidR="00364F6B">
        <w:t>do Averroesova</w:t>
      </w:r>
      <w:r w:rsidR="00364F6B" w:rsidRPr="00364F6B">
        <w:t xml:space="preserve"> učení pomocí inverze do opaku</w:t>
      </w:r>
      <w:r w:rsidR="00364F6B">
        <w:t xml:space="preserve"> (</w:t>
      </w:r>
      <w:r w:rsidR="00364F6B" w:rsidRPr="08F36C22">
        <w:rPr>
          <w:i/>
        </w:rPr>
        <w:t>Verkehrung ins Gegenteil</w:t>
      </w:r>
      <w:r w:rsidR="00364F6B">
        <w:rPr>
          <w:i/>
        </w:rPr>
        <w:fldChar w:fldCharType="begin"/>
      </w:r>
      <w:r w:rsidR="00364F6B">
        <w:instrText xml:space="preserve"> XE "</w:instrText>
      </w:r>
      <w:r w:rsidR="00364F6B" w:rsidRPr="084D1991">
        <w:rPr>
          <w:i/>
        </w:rPr>
        <w:instrText>Verkehrung ins Gegenteil</w:instrText>
      </w:r>
      <w:r w:rsidR="00364F6B">
        <w:instrText xml:space="preserve">" </w:instrText>
      </w:r>
      <w:r w:rsidR="00364F6B">
        <w:rPr>
          <w:i/>
        </w:rPr>
        <w:fldChar w:fldCharType="end"/>
      </w:r>
      <w:r w:rsidR="00364F6B">
        <w:t>).</w:t>
      </w:r>
      <w:r w:rsidR="00364F6B" w:rsidRPr="00364F6B">
        <w:t xml:space="preserve"> Tímto způsobem byl</w:t>
      </w:r>
      <w:r w:rsidR="00364F6B">
        <w:t xml:space="preserve">o založeno metafyzické bloudění </w:t>
      </w:r>
      <w:r w:rsidR="00364F6B" w:rsidRPr="00364F6B">
        <w:t>moderny (</w:t>
      </w:r>
      <w:r w:rsidR="00364F6B" w:rsidRPr="00364F6B">
        <w:rPr>
          <w:i/>
        </w:rPr>
        <w:t>Irre</w:t>
      </w:r>
      <w:r w:rsidR="00364F6B">
        <w:rPr>
          <w:i/>
        </w:rPr>
        <w:fldChar w:fldCharType="begin"/>
      </w:r>
      <w:r w:rsidR="00364F6B">
        <w:instrText xml:space="preserve"> XE "</w:instrText>
      </w:r>
      <w:r w:rsidR="00364F6B" w:rsidRPr="009F6E6E">
        <w:rPr>
          <w:i/>
        </w:rPr>
        <w:instrText>Irre</w:instrText>
      </w:r>
      <w:r w:rsidR="00364F6B">
        <w:instrText xml:space="preserve">" </w:instrText>
      </w:r>
      <w:r w:rsidR="00364F6B">
        <w:rPr>
          <w:i/>
        </w:rPr>
        <w:fldChar w:fldCharType="end"/>
      </w:r>
      <w:r w:rsidR="00364F6B" w:rsidRPr="00364F6B">
        <w:t>). Činí spravedlnost božskou povinností a/lētheia střeženou Múzami.</w:t>
      </w:r>
      <w:r w:rsidR="00214720">
        <w:t xml:space="preserve"> </w:t>
      </w:r>
      <w:r w:rsidR="008C3700">
        <w:t>Moderna se tak p</w:t>
      </w:r>
      <w:r w:rsidR="00392C82" w:rsidRPr="00392C82">
        <w:t>lně vyrovnal</w:t>
      </w:r>
      <w:r w:rsidR="008C3700">
        <w:t xml:space="preserve">a s božskou povinností </w:t>
      </w:r>
      <w:r w:rsidR="008C3700" w:rsidRPr="008C3700">
        <w:rPr>
          <w:i/>
        </w:rPr>
        <w:t>a/lé</w:t>
      </w:r>
      <w:r w:rsidR="00392C82" w:rsidRPr="008C3700">
        <w:rPr>
          <w:i/>
        </w:rPr>
        <w:t>theia</w:t>
      </w:r>
      <w:r w:rsidR="00CF5453">
        <w:rPr>
          <w:i/>
        </w:rPr>
        <w:fldChar w:fldCharType="begin"/>
      </w:r>
      <w:r w:rsidR="00CF5453">
        <w:instrText xml:space="preserve"> XE "</w:instrText>
      </w:r>
      <w:r w:rsidR="00CF5453" w:rsidRPr="009E4425">
        <w:rPr>
          <w:i/>
        </w:rPr>
        <w:instrText>a/létheia</w:instrText>
      </w:r>
      <w:r w:rsidR="00CF5453">
        <w:instrText xml:space="preserve">" </w:instrText>
      </w:r>
      <w:r w:rsidR="00CF5453">
        <w:rPr>
          <w:i/>
        </w:rPr>
        <w:fldChar w:fldCharType="end"/>
      </w:r>
      <w:r w:rsidR="00392C82" w:rsidRPr="00392C82">
        <w:t>, kterou střeží Múzy.</w:t>
      </w:r>
      <w:r w:rsidR="008C3700">
        <w:t xml:space="preserve"> </w:t>
      </w:r>
      <w:r w:rsidR="08F7491F">
        <w:t>Zbožní ilumináti pa</w:t>
      </w:r>
      <w:r w:rsidR="002D2302">
        <w:t>k simulákrum Komentátora vyhnali</w:t>
      </w:r>
      <w:r w:rsidR="08F7491F">
        <w:t xml:space="preserve"> jako </w:t>
      </w:r>
      <w:r>
        <w:t xml:space="preserve">obětního kozla na poušť akademického </w:t>
      </w:r>
      <w:r w:rsidRPr="00275B7F">
        <w:rPr>
          <w:i/>
        </w:rPr>
        <w:t>damnatio memoriae</w:t>
      </w:r>
      <w:r>
        <w:rPr>
          <w:i/>
        </w:rPr>
        <w:fldChar w:fldCharType="begin"/>
      </w:r>
      <w:r>
        <w:instrText xml:space="preserve"> XE "</w:instrText>
      </w:r>
      <w:r w:rsidRPr="00EA4C13">
        <w:rPr>
          <w:i/>
        </w:rPr>
        <w:instrText>damnatio memoriae</w:instrText>
      </w:r>
      <w:r>
        <w:instrText xml:space="preserve">" </w:instrText>
      </w:r>
      <w:r>
        <w:rPr>
          <w:i/>
        </w:rPr>
        <w:fldChar w:fldCharType="end"/>
      </w:r>
      <w:r w:rsidR="00F64AFE">
        <w:t xml:space="preserve">. </w:t>
      </w:r>
      <w:r w:rsidR="00F64AFE" w:rsidRPr="00F64AFE">
        <w:t xml:space="preserve">Z pohledu logiky založené na metafyzice se </w:t>
      </w:r>
      <w:r w:rsidR="00F64AFE">
        <w:t>skutečná postava Averroe</w:t>
      </w:r>
      <w:r w:rsidR="00F64AFE" w:rsidRPr="00F64AFE">
        <w:t>se stala prvním akademickým démonem</w:t>
      </w:r>
      <w:r w:rsidR="00A6566C">
        <w:t xml:space="preserve"> moderny</w:t>
      </w:r>
      <w:r w:rsidR="00F64AFE" w:rsidRPr="00F64AFE">
        <w:t xml:space="preserve">. Sofisté vždy vytvářejí dvojníka skutečnosti, </w:t>
      </w:r>
      <w:r w:rsidR="00F64AFE">
        <w:t xml:space="preserve">už od dob </w:t>
      </w:r>
      <w:r w:rsidR="00F64AFE" w:rsidRPr="00F64AFE">
        <w:t>dialog</w:t>
      </w:r>
      <w:r w:rsidR="00F64AFE">
        <w:t xml:space="preserve">u </w:t>
      </w:r>
      <w:r w:rsidR="00F64AFE">
        <w:rPr>
          <w:i/>
        </w:rPr>
        <w:t>Sofistés</w:t>
      </w:r>
      <w:r w:rsidR="00F64AFE" w:rsidRPr="00F64AFE">
        <w:t xml:space="preserve">. Pak je jasné, že </w:t>
      </w:r>
      <w:r w:rsidR="00482751">
        <w:t>akademikové</w:t>
      </w:r>
      <w:r w:rsidR="00482751" w:rsidRPr="00F64AFE">
        <w:t xml:space="preserve"> </w:t>
      </w:r>
      <w:r w:rsidR="00482751">
        <w:t xml:space="preserve">odborně vedli </w:t>
      </w:r>
      <w:r w:rsidR="00482751" w:rsidRPr="00F64AFE">
        <w:t xml:space="preserve">a </w:t>
      </w:r>
      <w:r w:rsidR="00482751">
        <w:t>intelektuálně iniciovali</w:t>
      </w:r>
      <w:r w:rsidR="00482751" w:rsidRPr="00F64AFE">
        <w:t xml:space="preserve"> </w:t>
      </w:r>
      <w:r w:rsidR="0096334B">
        <w:t>čarodějnické procesy od 14</w:t>
      </w:r>
      <w:r w:rsidR="00F64AFE" w:rsidRPr="00F64AFE">
        <w:t>. století (OBJ III, kap. 5.5).</w:t>
      </w:r>
      <w:r w:rsidR="00D57541">
        <w:t xml:space="preserve"> </w:t>
      </w:r>
      <w:r w:rsidR="00580C76">
        <w:t>Averroes jako p</w:t>
      </w:r>
      <w:r>
        <w:t xml:space="preserve">ravdivý filosof falsafy </w:t>
      </w:r>
      <w:r w:rsidR="00D537AB">
        <w:t>vešel d</w:t>
      </w:r>
      <w:r w:rsidR="00B812F1">
        <w:t xml:space="preserve">o moderní </w:t>
      </w:r>
      <w:r w:rsidR="080B54C6">
        <w:t>tragiko</w:t>
      </w:r>
      <w:r w:rsidR="00B812F1">
        <w:t xml:space="preserve">medie a </w:t>
      </w:r>
      <w:r>
        <w:t>nese dějinný trest za metafyzic</w:t>
      </w:r>
      <w:r w:rsidR="00E14A2F">
        <w:t xml:space="preserve">kou paranoiu </w:t>
      </w:r>
      <w:r w:rsidR="080B54C6">
        <w:t>křesťanské moderny</w:t>
      </w:r>
      <w:r>
        <w:t xml:space="preserve">. Stejný osud </w:t>
      </w:r>
      <w:r w:rsidR="08B8634F">
        <w:t xml:space="preserve">sdílel </w:t>
      </w:r>
      <w:r>
        <w:t>nejmoudřejší ze všech lidí odsouzený athénskými sofisty. Tento mechanismus akademického násilí se opakuje v případě Abelarda, Bacona, Guillelma</w:t>
      </w:r>
      <w:r w:rsidRPr="00E735C5">
        <w:t xml:space="preserve"> de </w:t>
      </w:r>
      <w:r w:rsidRPr="00E735C5">
        <w:rPr>
          <w:szCs w:val="16"/>
        </w:rPr>
        <w:t xml:space="preserve">Sancto </w:t>
      </w:r>
      <w:r w:rsidRPr="00E735C5">
        <w:rPr>
          <w:szCs w:val="19"/>
        </w:rPr>
        <w:t>Amore</w:t>
      </w:r>
      <w:r>
        <w:rPr>
          <w:szCs w:val="19"/>
        </w:rPr>
        <w:fldChar w:fldCharType="begin"/>
      </w:r>
      <w:r>
        <w:instrText xml:space="preserve"> XE "</w:instrText>
      </w:r>
      <w:r w:rsidRPr="003B256A">
        <w:instrText xml:space="preserve"> </w:instrText>
      </w:r>
      <w:r>
        <w:instrText>Guillelmus</w:instrText>
      </w:r>
      <w:r w:rsidRPr="00E51395">
        <w:instrText xml:space="preserve"> de Sancto Amore</w:instrText>
      </w:r>
      <w:r>
        <w:instrText xml:space="preserve">" </w:instrText>
      </w:r>
      <w:r>
        <w:rPr>
          <w:szCs w:val="19"/>
        </w:rPr>
        <w:fldChar w:fldCharType="end"/>
      </w:r>
      <w:r>
        <w:rPr>
          <w:szCs w:val="19"/>
        </w:rPr>
        <w:t>, Sigera z Brabantu a Williama Ockhama. Modernisté mohou sofisticky namítnout, že jejich akademické oběti za moderně pojatou pravdu mají jména Rufus, Kilwa</w:t>
      </w:r>
      <w:r w:rsidR="08FB2BE6">
        <w:rPr>
          <w:szCs w:val="19"/>
        </w:rPr>
        <w:t>rdby</w:t>
      </w:r>
      <w:r w:rsidR="004E340D">
        <w:rPr>
          <w:szCs w:val="19"/>
        </w:rPr>
        <w:t xml:space="preserve"> a </w:t>
      </w:r>
      <w:r w:rsidR="08FB2BE6">
        <w:rPr>
          <w:szCs w:val="19"/>
        </w:rPr>
        <w:t xml:space="preserve">Pecham. </w:t>
      </w:r>
      <w:r w:rsidR="00D037FE">
        <w:rPr>
          <w:szCs w:val="19"/>
        </w:rPr>
        <w:t xml:space="preserve">Pochopitelně, moderní pravda má dvojitý charakter. </w:t>
      </w:r>
      <w:r w:rsidR="08FB2BE6">
        <w:rPr>
          <w:szCs w:val="19"/>
        </w:rPr>
        <w:t>K</w:t>
      </w:r>
      <w:r>
        <w:rPr>
          <w:szCs w:val="19"/>
        </w:rPr>
        <w:t xml:space="preserve">olem roku 1255 </w:t>
      </w:r>
      <w:r w:rsidR="08FB2BE6">
        <w:rPr>
          <w:szCs w:val="19"/>
        </w:rPr>
        <w:t xml:space="preserve">je </w:t>
      </w:r>
      <w:r>
        <w:rPr>
          <w:szCs w:val="19"/>
        </w:rPr>
        <w:t xml:space="preserve">dokonáno hlavní dějství božské </w:t>
      </w:r>
      <w:r w:rsidR="08E5508D">
        <w:rPr>
          <w:szCs w:val="19"/>
        </w:rPr>
        <w:t>tragi</w:t>
      </w:r>
      <w:r>
        <w:rPr>
          <w:szCs w:val="19"/>
        </w:rPr>
        <w:t xml:space="preserve">komedie, která objektivně řídí západní racionalitu. A vůbec </w:t>
      </w:r>
      <w:r w:rsidR="00A16366">
        <w:rPr>
          <w:szCs w:val="19"/>
        </w:rPr>
        <w:t xml:space="preserve">není náhodou, že všechny důležité metafyzické spisy </w:t>
      </w:r>
      <w:r>
        <w:rPr>
          <w:szCs w:val="19"/>
        </w:rPr>
        <w:t xml:space="preserve">Bacona, Alberta a magistrů v Rue du Fouarre </w:t>
      </w:r>
      <w:r w:rsidR="00A16366">
        <w:rPr>
          <w:szCs w:val="19"/>
        </w:rPr>
        <w:t xml:space="preserve">napsané v letech </w:t>
      </w:r>
      <w:r w:rsidR="00A16366">
        <w:rPr>
          <w:lang w:eastAsia="en-US"/>
        </w:rPr>
        <w:t xml:space="preserve">1245–70 jsou namířeny </w:t>
      </w:r>
      <w:r>
        <w:rPr>
          <w:szCs w:val="19"/>
        </w:rPr>
        <w:t>proti druhému averroismu.</w:t>
      </w:r>
    </w:p>
    <w:p w14:paraId="383ACD83" w14:textId="4505D1FD" w:rsidR="085626D0" w:rsidRDefault="00B77E6C" w:rsidP="00B77E6C">
      <w:pPr>
        <w:ind w:firstLine="397"/>
      </w:pPr>
      <w:r>
        <w:rPr>
          <w:rStyle w:val="st"/>
        </w:rPr>
        <w:t xml:space="preserve">Oxfordští modernisté jako Rufus a </w:t>
      </w:r>
      <w:r w:rsidRPr="00273106">
        <w:t>Kilwardby v tažení proti artistické fakultě v Paříži získal</w:t>
      </w:r>
      <w:r>
        <w:t>i</w:t>
      </w:r>
      <w:r w:rsidRPr="00273106">
        <w:t xml:space="preserve"> po </w:t>
      </w:r>
      <w:r>
        <w:t xml:space="preserve">roce </w:t>
      </w:r>
      <w:r w:rsidRPr="00273106">
        <w:t xml:space="preserve">1250 nové zastánce. </w:t>
      </w:r>
      <w:r w:rsidRPr="00D71C30">
        <w:t xml:space="preserve">Noví františkánští magistři, jako byl Bonaventura, vyrostli ve školách druhého averroismu. Byli kompilátory </w:t>
      </w:r>
      <w:r>
        <w:t xml:space="preserve">díla </w:t>
      </w:r>
      <w:r w:rsidRPr="00D71C30">
        <w:rPr>
          <w:i/>
        </w:rPr>
        <w:t>Summa Halensis</w:t>
      </w:r>
      <w:r w:rsidRPr="00D71C30">
        <w:t xml:space="preserve"> a zapojili se do sporů s aristotelskými magistry v Rue du Fouarre.</w:t>
      </w:r>
      <w:r>
        <w:t xml:space="preserve"> Bonaventura </w:t>
      </w:r>
      <w:r w:rsidRPr="00273106">
        <w:t xml:space="preserve">vedl spor se školou prvního averroismu </w:t>
      </w:r>
      <w:r>
        <w:t xml:space="preserve">na Pařížské univerzitě </w:t>
      </w:r>
      <w:r w:rsidRPr="00273106">
        <w:t xml:space="preserve">až do své smrti </w:t>
      </w:r>
      <w:r>
        <w:t>(</w:t>
      </w:r>
      <w:r>
        <w:rPr>
          <w:rFonts w:cs="Calibri"/>
        </w:rPr>
        <w:t>†</w:t>
      </w:r>
      <w:r w:rsidRPr="00273106">
        <w:t>1274</w:t>
      </w:r>
      <w:r>
        <w:t>)</w:t>
      </w:r>
      <w:r w:rsidRPr="00273106">
        <w:t xml:space="preserve"> a jeho filosofie posunula vývoj objektivity do fáze</w:t>
      </w:r>
      <w:r>
        <w:t xml:space="preserve"> plného dějinného působení</w:t>
      </w:r>
      <w:r w:rsidRPr="00273106">
        <w:t>.</w:t>
      </w:r>
      <w:r>
        <w:t xml:space="preserve"> Moderna zásadně změnila</w:t>
      </w:r>
      <w:r w:rsidRPr="00273106">
        <w:t xml:space="preserve"> </w:t>
      </w:r>
      <w:r>
        <w:t xml:space="preserve">adekvační </w:t>
      </w:r>
      <w:r w:rsidRPr="00273106">
        <w:t xml:space="preserve">pojetí pravdy a </w:t>
      </w:r>
      <w:r>
        <w:t xml:space="preserve">hyparchické </w:t>
      </w:r>
      <w:r w:rsidRPr="00273106">
        <w:t>pojetí existence</w:t>
      </w:r>
      <w:r>
        <w:t xml:space="preserve"> dané v </w:t>
      </w:r>
      <w:r w:rsidRPr="009F6F37">
        <w:rPr>
          <w:i/>
        </w:rPr>
        <w:t>Kategoriích</w:t>
      </w:r>
      <w:r>
        <w:t xml:space="preserve"> a ve </w:t>
      </w:r>
      <w:r w:rsidRPr="009F6F37">
        <w:rPr>
          <w:i/>
        </w:rPr>
        <w:t>Druhých analytikách</w:t>
      </w:r>
      <w:r w:rsidRPr="00273106">
        <w:t xml:space="preserve">. </w:t>
      </w:r>
      <w:r>
        <w:t xml:space="preserve">Latinští sofisté </w:t>
      </w:r>
      <w:r w:rsidRPr="00273106">
        <w:t xml:space="preserve">se odvolávali při </w:t>
      </w:r>
      <w:r>
        <w:t xml:space="preserve">zavedení </w:t>
      </w:r>
      <w:r w:rsidRPr="00273106">
        <w:t xml:space="preserve">esence jako první kategorie predikace na </w:t>
      </w:r>
      <w:r>
        <w:t>Averroes</w:t>
      </w:r>
      <w:r w:rsidRPr="00273106">
        <w:t xml:space="preserve">ovu metafyziku. </w:t>
      </w:r>
      <w:r>
        <w:t xml:space="preserve">Archeologie objektivity </w:t>
      </w:r>
      <w:r w:rsidRPr="00273106">
        <w:t xml:space="preserve">ukázala, že </w:t>
      </w:r>
      <w:r w:rsidR="000663F4">
        <w:t xml:space="preserve">sofistické </w:t>
      </w:r>
      <w:r w:rsidRPr="00273106">
        <w:t xml:space="preserve">odvolávky </w:t>
      </w:r>
      <w:r w:rsidRPr="001445F8">
        <w:rPr>
          <w:i/>
        </w:rPr>
        <w:t>Modernorum</w:t>
      </w:r>
      <w:r>
        <w:t xml:space="preserve"> </w:t>
      </w:r>
      <w:r w:rsidRPr="00273106">
        <w:t xml:space="preserve">na </w:t>
      </w:r>
      <w:r>
        <w:t>Averroes</w:t>
      </w:r>
      <w:r w:rsidRPr="00273106">
        <w:t xml:space="preserve">e vztažené k otázce kvantity, </w:t>
      </w:r>
      <w:r w:rsidRPr="004B4D52">
        <w:t>species</w:t>
      </w:r>
      <w:r w:rsidRPr="00273106">
        <w:t xml:space="preserve">, rodu, </w:t>
      </w:r>
      <w:r w:rsidRPr="009F6F37">
        <w:rPr>
          <w:i/>
        </w:rPr>
        <w:t>materia prima</w:t>
      </w:r>
      <w:r w:rsidRPr="00273106">
        <w:t>, nemateriálních kosmických těles, kauzality atd. jsou ve skutečnosti v zás</w:t>
      </w:r>
      <w:r>
        <w:t xml:space="preserve">adním rozporu s jeho filosofií, protože vycházejí z Avicennovy metafyziky. </w:t>
      </w:r>
      <w:r w:rsidRPr="00273106">
        <w:t xml:space="preserve">Druhý averroismus ztratil první substanci </w:t>
      </w:r>
      <w:r>
        <w:t>tematizovanou v</w:t>
      </w:r>
      <w:r w:rsidRPr="00273106">
        <w:t xml:space="preserve">e spisu </w:t>
      </w:r>
      <w:r w:rsidRPr="009F6F37">
        <w:rPr>
          <w:i/>
        </w:rPr>
        <w:t>Kategorie</w:t>
      </w:r>
      <w:r w:rsidRPr="00273106">
        <w:t xml:space="preserve"> a redukoval ji na nesourodou sbírku akcidentů a různých transcendentálií vytvořených </w:t>
      </w:r>
      <w:r w:rsidRPr="00273106">
        <w:rPr>
          <w:i/>
        </w:rPr>
        <w:t>ad hoc</w:t>
      </w:r>
      <w:r w:rsidRPr="00273106">
        <w:t xml:space="preserve">. </w:t>
      </w:r>
      <w:r>
        <w:t xml:space="preserve">Moderna ztratila kategoriální impozici, která skrze </w:t>
      </w:r>
      <w:r w:rsidRPr="08911DF0">
        <w:rPr>
          <w:i/>
        </w:rPr>
        <w:t>quidditas</w:t>
      </w:r>
      <w:r>
        <w:rPr>
          <w:i/>
        </w:rPr>
        <w:fldChar w:fldCharType="begin"/>
      </w:r>
      <w:r>
        <w:instrText xml:space="preserve"> XE "</w:instrText>
      </w:r>
      <w:r w:rsidRPr="086C3820">
        <w:rPr>
          <w:i/>
        </w:rPr>
        <w:instrText>quidditas</w:instrText>
      </w:r>
      <w:r>
        <w:instrText xml:space="preserve">" </w:instrText>
      </w:r>
      <w:r>
        <w:rPr>
          <w:i/>
        </w:rPr>
        <w:fldChar w:fldCharType="end"/>
      </w:r>
      <w:r>
        <w:t xml:space="preserve"> danou ve středním členu vědeckého soudu pravdivě signifikuje hyparchicky danou první substanci</w:t>
      </w:r>
      <w:r w:rsidRPr="00273106">
        <w:t xml:space="preserve">. Poznání </w:t>
      </w:r>
      <w:r>
        <w:t xml:space="preserve">reálné první </w:t>
      </w:r>
      <w:r w:rsidRPr="00273106">
        <w:t xml:space="preserve">substance </w:t>
      </w:r>
      <w:r>
        <w:t xml:space="preserve">a její kategoriální predikace už </w:t>
      </w:r>
      <w:r w:rsidRPr="00273106">
        <w:t>není primárním východiskem poznání</w:t>
      </w:r>
      <w:r>
        <w:t xml:space="preserve"> moderny.</w:t>
      </w:r>
      <w:r w:rsidRPr="0086441C">
        <w:t xml:space="preserve"> </w:t>
      </w:r>
      <w:r>
        <w:t>I</w:t>
      </w:r>
      <w:r w:rsidRPr="00273106">
        <w:t xml:space="preserve">ntelekt </w:t>
      </w:r>
      <w:r>
        <w:t xml:space="preserve">iluminátů </w:t>
      </w:r>
      <w:r w:rsidRPr="00273106">
        <w:t>ze sebe vyvede (</w:t>
      </w:r>
      <w:r w:rsidRPr="00273106">
        <w:rPr>
          <w:i/>
        </w:rPr>
        <w:t>producere</w:t>
      </w:r>
      <w:r w:rsidRPr="00273106">
        <w:t xml:space="preserve">) supozici evidentně daného významu věci (Avicennovo </w:t>
      </w:r>
      <w:r w:rsidRPr="00273106">
        <w:rPr>
          <w:i/>
        </w:rPr>
        <w:t>intellectio</w:t>
      </w:r>
      <w:r w:rsidRPr="00273106">
        <w:t xml:space="preserve">, Anselmovo </w:t>
      </w:r>
      <w:r w:rsidRPr="00273106">
        <w:rPr>
          <w:i/>
        </w:rPr>
        <w:t>rectitudo</w:t>
      </w:r>
      <w:r w:rsidRPr="00273106">
        <w:t xml:space="preserve">, Grossetesteho </w:t>
      </w:r>
      <w:r w:rsidRPr="00273106">
        <w:rPr>
          <w:i/>
        </w:rPr>
        <w:t>intellectus</w:t>
      </w:r>
      <w:r w:rsidRPr="00273106">
        <w:t xml:space="preserve">, Rufusovo </w:t>
      </w:r>
      <w:r w:rsidRPr="00273106">
        <w:rPr>
          <w:i/>
        </w:rPr>
        <w:t>scibile</w:t>
      </w:r>
      <w:r>
        <w:rPr>
          <w:i/>
        </w:rPr>
        <w:fldChar w:fldCharType="begin"/>
      </w:r>
      <w:r>
        <w:instrText xml:space="preserve"> XE "</w:instrText>
      </w:r>
      <w:r w:rsidRPr="00AA4F67">
        <w:rPr>
          <w:i/>
        </w:rPr>
        <w:instrText>scibile</w:instrText>
      </w:r>
      <w:r>
        <w:instrText xml:space="preserve">" </w:instrText>
      </w:r>
      <w:r>
        <w:rPr>
          <w:i/>
        </w:rPr>
        <w:fldChar w:fldCharType="end"/>
      </w:r>
      <w:r w:rsidRPr="00273106">
        <w:t>)</w:t>
      </w:r>
      <w:r>
        <w:t xml:space="preserve">. Modernisté pak </w:t>
      </w:r>
      <w:r w:rsidRPr="00273106">
        <w:t>s deduktivní jistotou Grossetesteho</w:t>
      </w:r>
      <w:r>
        <w:t xml:space="preserve">, </w:t>
      </w:r>
      <w:r w:rsidRPr="00273106">
        <w:t>Rufusova</w:t>
      </w:r>
      <w:r>
        <w:t xml:space="preserve"> či </w:t>
      </w:r>
      <w:r>
        <w:rPr>
          <w:lang w:eastAsia="en-US"/>
        </w:rPr>
        <w:t>Kildwardbyho</w:t>
      </w:r>
      <w:r w:rsidRPr="00273106">
        <w:t xml:space="preserve"> </w:t>
      </w:r>
      <w:r w:rsidRPr="00273106">
        <w:rPr>
          <w:i/>
        </w:rPr>
        <w:t>demonstratio</w:t>
      </w:r>
      <w:r w:rsidRPr="00273106">
        <w:t xml:space="preserve"> </w:t>
      </w:r>
      <w:r>
        <w:t xml:space="preserve">potvrdí kontingentní existenci reálné věci. </w:t>
      </w:r>
      <w:r w:rsidRPr="00273106">
        <w:t>Produkce supozice v čistém intelektuálním náhledu se stala základem moderní produkce smyslu jsoucího jako jsoucího (</w:t>
      </w:r>
      <w:r w:rsidRPr="00273106">
        <w:rPr>
          <w:i/>
        </w:rPr>
        <w:t>ens inquantum ens</w:t>
      </w:r>
      <w:r>
        <w:rPr>
          <w:i/>
        </w:rPr>
        <w:fldChar w:fldCharType="begin"/>
      </w:r>
      <w:r>
        <w:instrText xml:space="preserve"> XE "</w:instrText>
      </w:r>
      <w:r w:rsidRPr="005424E2">
        <w:rPr>
          <w:i/>
        </w:rPr>
        <w:instrText>ens inquantum ens</w:instrText>
      </w:r>
      <w:r>
        <w:instrText xml:space="preserve">" </w:instrText>
      </w:r>
      <w:r>
        <w:rPr>
          <w:i/>
        </w:rPr>
        <w:fldChar w:fldCharType="end"/>
      </w:r>
      <w:r w:rsidRPr="00273106">
        <w:t xml:space="preserve">). </w:t>
      </w:r>
      <w:r>
        <w:t xml:space="preserve">Původními tvůrci této objektivní mytopoetiky jsou akademičtí ilumináti vedení </w:t>
      </w:r>
      <w:r w:rsidRPr="00273106">
        <w:t>Rufus</w:t>
      </w:r>
      <w:r>
        <w:t xml:space="preserve">em. </w:t>
      </w:r>
      <w:r w:rsidRPr="00273106">
        <w:t xml:space="preserve">Rufus všechny tyto </w:t>
      </w:r>
      <w:r>
        <w:t xml:space="preserve">současné zápasy o substanci </w:t>
      </w:r>
      <w:r w:rsidRPr="00273106">
        <w:t>otevírá skrz</w:t>
      </w:r>
      <w:r>
        <w:t>e analytické pojetí existence (</w:t>
      </w:r>
      <w:r w:rsidRPr="00273106">
        <w:rPr>
          <w:i/>
        </w:rPr>
        <w:t>exsistere</w:t>
      </w:r>
      <w:r>
        <w:rPr>
          <w:i/>
        </w:rPr>
        <w:fldChar w:fldCharType="begin"/>
      </w:r>
      <w:r>
        <w:instrText xml:space="preserve"> XE "</w:instrText>
      </w:r>
      <w:r w:rsidRPr="008E07A9">
        <w:rPr>
          <w:i/>
        </w:rPr>
        <w:instrText>exsistere</w:instrText>
      </w:r>
      <w:r>
        <w:instrText xml:space="preserve">" </w:instrText>
      </w:r>
      <w:r>
        <w:rPr>
          <w:i/>
        </w:rPr>
        <w:fldChar w:fldCharType="end"/>
      </w:r>
      <w:r w:rsidRPr="00273106">
        <w:t xml:space="preserve">), která tvoří pouhý atribut esence. </w:t>
      </w:r>
      <w:r>
        <w:t xml:space="preserve">Původní příčinou spouštějící poznání </w:t>
      </w:r>
      <w:r w:rsidRPr="00273106">
        <w:t xml:space="preserve">už není první substance v realitě, ale </w:t>
      </w:r>
      <w:r>
        <w:t xml:space="preserve">formálně daná </w:t>
      </w:r>
      <w:r w:rsidRPr="00273106">
        <w:t xml:space="preserve">jistota poznání v člověku. Rufus vědomě mění </w:t>
      </w:r>
      <w:r>
        <w:t>Averroes</w:t>
      </w:r>
      <w:r w:rsidRPr="00273106">
        <w:t xml:space="preserve">ovo pojetí pravdy jako </w:t>
      </w:r>
      <w:r w:rsidRPr="00273106">
        <w:rPr>
          <w:i/>
        </w:rPr>
        <w:t>proportio</w:t>
      </w:r>
      <w:r w:rsidRPr="00273106">
        <w:t xml:space="preserve"> a </w:t>
      </w:r>
      <w:r w:rsidRPr="00273106">
        <w:rPr>
          <w:i/>
        </w:rPr>
        <w:t>similitudo</w:t>
      </w:r>
      <w:r w:rsidRPr="00273106">
        <w:t xml:space="preserve"> intele</w:t>
      </w:r>
      <w:r>
        <w:t xml:space="preserve">ktu a reálně existující věci. Nová adekvace mezi logicky definovanými esencemi je dána </w:t>
      </w:r>
      <w:r w:rsidRPr="00273106">
        <w:t>jako</w:t>
      </w:r>
      <w:r>
        <w:t xml:space="preserve"> </w:t>
      </w:r>
      <w:r w:rsidRPr="00287147">
        <w:rPr>
          <w:i/>
        </w:rPr>
        <w:t>coaequatio</w:t>
      </w:r>
      <w:r>
        <w:rPr>
          <w:i/>
        </w:rPr>
        <w:fldChar w:fldCharType="begin"/>
      </w:r>
      <w:r>
        <w:instrText xml:space="preserve"> XE "pravda:</w:instrText>
      </w:r>
      <w:r w:rsidRPr="00E11E1F">
        <w:rPr>
          <w:i/>
        </w:rPr>
        <w:instrText>coaequatio</w:instrText>
      </w:r>
      <w:r>
        <w:instrText xml:space="preserve">" </w:instrText>
      </w:r>
      <w:r>
        <w:rPr>
          <w:i/>
        </w:rPr>
        <w:fldChar w:fldCharType="end"/>
      </w:r>
      <w:r w:rsidRPr="00273106">
        <w:t>, které</w:t>
      </w:r>
      <w:r>
        <w:t xml:space="preserve"> si Rufus vypůjčil od porretánů a od </w:t>
      </w:r>
      <w:r w:rsidRPr="00273106">
        <w:t xml:space="preserve">Anselma. </w:t>
      </w:r>
      <w:r>
        <w:t>Neoplatonsk</w:t>
      </w:r>
      <w:r w:rsidRPr="00273106">
        <w:t xml:space="preserve">ou </w:t>
      </w:r>
      <w:r>
        <w:t xml:space="preserve">jistotu náhledu do forem Rufus </w:t>
      </w:r>
      <w:r w:rsidRPr="00273106">
        <w:t>doplnil o analogickou podobnost světa v rámci porretánských hypostází</w:t>
      </w:r>
      <w:r>
        <w:t xml:space="preserve">. Jejich posledním základem je </w:t>
      </w:r>
      <w:r w:rsidRPr="00273106">
        <w:t xml:space="preserve">individuum </w:t>
      </w:r>
      <w:r>
        <w:t xml:space="preserve">dané </w:t>
      </w:r>
      <w:r w:rsidRPr="00273106">
        <w:t xml:space="preserve">v podobě matematicky určeného počtu. </w:t>
      </w:r>
      <w:r>
        <w:t xml:space="preserve">Reálně neexistující moderní individuum schizofrenicky rozložené do neexistujících substancí se </w:t>
      </w:r>
      <w:r w:rsidRPr="00273106">
        <w:t>sta</w:t>
      </w:r>
      <w:r>
        <w:t xml:space="preserve">lo absolutním </w:t>
      </w:r>
      <w:r w:rsidRPr="00273106">
        <w:t>posuzovatele</w:t>
      </w:r>
      <w:r>
        <w:t>m</w:t>
      </w:r>
      <w:r w:rsidRPr="00273106">
        <w:t xml:space="preserve"> nároku jsoucna na bytí </w:t>
      </w:r>
      <w:r>
        <w:t>v objektivním deontologickém modu pravdy (</w:t>
      </w:r>
      <w:r w:rsidRPr="00011532">
        <w:rPr>
          <w:i/>
        </w:rPr>
        <w:t>debet esse</w:t>
      </w:r>
      <w:r>
        <w:t>). Ilumináti začali pozitivně a veritativně zjišťovat v modu subjektivně zajištěného jsoucna (</w:t>
      </w:r>
      <w:r w:rsidRPr="08807B43">
        <w:rPr>
          <w:i/>
        </w:rPr>
        <w:t>esse ratum</w:t>
      </w:r>
      <w:r>
        <w:t>), zda má reálná první substance vůbec nějaké právo na slabou a debilní realitu</w:t>
      </w:r>
      <w:r w:rsidRPr="00F05CF2">
        <w:t xml:space="preserve"> </w:t>
      </w:r>
      <w:r>
        <w:t xml:space="preserve">a odkud se právo první substance na existenci vlastně bere. </w:t>
      </w:r>
      <w:r w:rsidR="00CE0867" w:rsidRPr="00CE0867">
        <w:t xml:space="preserve">Hermeneutika </w:t>
      </w:r>
      <w:r w:rsidR="00CE0867">
        <w:t>popsala za</w:t>
      </w:r>
      <w:r w:rsidR="00CE0867" w:rsidRPr="00CE0867">
        <w:t xml:space="preserve">čátek cesty zvané </w:t>
      </w:r>
      <w:r w:rsidR="00CE0867" w:rsidRPr="00CE0867">
        <w:rPr>
          <w:i/>
        </w:rPr>
        <w:t>via Modernorum</w:t>
      </w:r>
      <w:r w:rsidR="00CE0867" w:rsidRPr="00CE0867">
        <w:t xml:space="preserve">, která </w:t>
      </w:r>
      <w:r w:rsidR="002F3414">
        <w:t xml:space="preserve">nově založila </w:t>
      </w:r>
      <w:r w:rsidR="00CE0867">
        <w:t>vědu v letech 1230–</w:t>
      </w:r>
      <w:r w:rsidR="00CE0867" w:rsidRPr="00CE0867">
        <w:t xml:space="preserve">50. </w:t>
      </w:r>
      <w:r w:rsidR="00CE0867">
        <w:t>Modernisté a</w:t>
      </w:r>
      <w:r w:rsidR="00CE0867" w:rsidRPr="00CE0867">
        <w:t>ktualizovali skrytý potenci</w:t>
      </w:r>
      <w:r w:rsidR="00CE0867">
        <w:t xml:space="preserve">ál Anselmova pojetí pravdy jako </w:t>
      </w:r>
      <w:r w:rsidR="082260FE" w:rsidRPr="00273106">
        <w:rPr>
          <w:i/>
        </w:rPr>
        <w:t>rectitudo</w:t>
      </w:r>
      <w:r w:rsidR="082260FE" w:rsidRPr="00273106">
        <w:t xml:space="preserve">. </w:t>
      </w:r>
      <w:r w:rsidR="084C199F" w:rsidRPr="00273106">
        <w:t>Druhý averroismus nastupuje cestu moderny realizovanou pod heslem: „Pryč od první substance</w:t>
      </w:r>
      <w:r w:rsidR="084C199F">
        <w:fldChar w:fldCharType="begin"/>
      </w:r>
      <w:r w:rsidR="084C199F">
        <w:instrText xml:space="preserve"> XE "</w:instrText>
      </w:r>
      <w:r w:rsidR="084C199F" w:rsidRPr="00DE2A32">
        <w:instrText>substance</w:instrText>
      </w:r>
      <w:r w:rsidR="084C199F">
        <w:instrText xml:space="preserve">:první" </w:instrText>
      </w:r>
      <w:r w:rsidR="084C199F">
        <w:fldChar w:fldCharType="end"/>
      </w:r>
      <w:r w:rsidR="08CA59D2">
        <w:t xml:space="preserve">.“ </w:t>
      </w:r>
      <w:r w:rsidR="08A2317B">
        <w:t xml:space="preserve">V nihilistické epoše </w:t>
      </w:r>
      <w:r w:rsidR="084C199F">
        <w:t xml:space="preserve">zatmění první substance změní </w:t>
      </w:r>
      <w:r w:rsidR="08A2317B">
        <w:t xml:space="preserve">Husserl </w:t>
      </w:r>
      <w:r w:rsidR="08CA59D2">
        <w:t xml:space="preserve">toto heslo </w:t>
      </w:r>
      <w:r w:rsidR="084C199F">
        <w:t>na návrat k</w:t>
      </w:r>
      <w:r w:rsidR="00523835">
        <w:t xml:space="preserve">e ztracené </w:t>
      </w:r>
      <w:r w:rsidR="084C199F">
        <w:t xml:space="preserve">substanci třetího druhu. </w:t>
      </w:r>
      <w:r w:rsidR="006D73FA" w:rsidRPr="006D73FA">
        <w:t>Hermeneutika zkoumá</w:t>
      </w:r>
      <w:r w:rsidR="004E4213">
        <w:t xml:space="preserve"> po vzoru Parmenida a Sokrata</w:t>
      </w:r>
      <w:r w:rsidR="006D73FA" w:rsidRPr="006D73FA">
        <w:t xml:space="preserve">, jak se </w:t>
      </w:r>
      <w:r w:rsidR="004E4213">
        <w:t xml:space="preserve">božská </w:t>
      </w:r>
      <w:r w:rsidR="006D73FA">
        <w:t xml:space="preserve">dějinnost </w:t>
      </w:r>
      <w:r w:rsidR="006D73FA" w:rsidRPr="006D73FA">
        <w:t xml:space="preserve">projevuje v dějinách </w:t>
      </w:r>
      <w:r w:rsidR="004E4213">
        <w:t xml:space="preserve">filosofického </w:t>
      </w:r>
      <w:r w:rsidR="006D73FA" w:rsidRPr="006D73FA">
        <w:t xml:space="preserve">myšlení. V poslední době iracionálního </w:t>
      </w:r>
      <w:r w:rsidR="006D73FA">
        <w:t xml:space="preserve">myšlení </w:t>
      </w:r>
      <w:r w:rsidR="006D73FA" w:rsidRPr="006D73FA">
        <w:t>(</w:t>
      </w:r>
      <w:r w:rsidR="006D73FA" w:rsidRPr="006D73FA">
        <w:rPr>
          <w:i/>
        </w:rPr>
        <w:t>novissimum</w:t>
      </w:r>
      <w:r w:rsidR="006D73FA" w:rsidRPr="006D73FA">
        <w:t xml:space="preserve">) </w:t>
      </w:r>
      <w:r w:rsidR="006D73FA">
        <w:t xml:space="preserve">moderna </w:t>
      </w:r>
      <w:r w:rsidR="006D73FA" w:rsidRPr="006D73FA">
        <w:t>vytvořila zásadní obrat (ἐποχή</w:t>
      </w:r>
      <w:r w:rsidR="006D73FA">
        <w:fldChar w:fldCharType="begin"/>
      </w:r>
      <w:r w:rsidR="006D73FA">
        <w:instrText xml:space="preserve"> XE "</w:instrText>
      </w:r>
      <w:r w:rsidR="006D73FA" w:rsidRPr="001B0D03">
        <w:rPr>
          <w:i/>
        </w:rPr>
        <w:instrText>epoché</w:instrText>
      </w:r>
      <w:r w:rsidR="006D73FA">
        <w:instrText xml:space="preserve">" </w:instrText>
      </w:r>
      <w:r w:rsidR="006D73FA">
        <w:fldChar w:fldCharType="end"/>
      </w:r>
      <w:r w:rsidR="006D73FA" w:rsidRPr="006D73FA">
        <w:t>), který se vyznačuje zatměním první substance.</w:t>
      </w:r>
      <w:r w:rsidR="006D73FA">
        <w:t xml:space="preserve"> </w:t>
      </w:r>
      <w:r w:rsidR="084C199F">
        <w:t xml:space="preserve">Původní význam </w:t>
      </w:r>
      <w:r w:rsidR="084C199F" w:rsidRPr="00CD6717">
        <w:rPr>
          <w:i/>
        </w:rPr>
        <w:t>epoché</w:t>
      </w:r>
      <w:r w:rsidR="084C199F">
        <w:t xml:space="preserve"> </w:t>
      </w:r>
      <w:r w:rsidR="084C199F" w:rsidRPr="00273106">
        <w:t xml:space="preserve">symbolizoval ponoření světa do původního chaosu při </w:t>
      </w:r>
      <w:r w:rsidR="084C199F">
        <w:t>plném zatmění slunce</w:t>
      </w:r>
      <w:r w:rsidR="084C199F" w:rsidRPr="00273106">
        <w:t xml:space="preserve">. Nová epocha začala zatměním </w:t>
      </w:r>
      <w:r w:rsidR="084C199F">
        <w:t>kritického rozumu</w:t>
      </w:r>
      <w:r w:rsidR="084C199F" w:rsidRPr="00273106">
        <w:t xml:space="preserve">, </w:t>
      </w:r>
      <w:r w:rsidR="084C199F">
        <w:t>který přestal rozlišovat mezi metafyzickou a logickou rovinou abstrakce při zkoumá</w:t>
      </w:r>
      <w:r w:rsidR="08F42978">
        <w:t>ní astronomického jevu zatmění s</w:t>
      </w:r>
      <w:r w:rsidR="084C199F">
        <w:t>lunce</w:t>
      </w:r>
      <w:r w:rsidR="084C199F">
        <w:fldChar w:fldCharType="begin"/>
      </w:r>
      <w:r w:rsidR="084C199F">
        <w:instrText xml:space="preserve"> XE "</w:instrText>
      </w:r>
      <w:r w:rsidR="084C199F" w:rsidRPr="00DE6899">
        <w:instrText>zatmění</w:instrText>
      </w:r>
      <w:r w:rsidR="084C199F" w:rsidRPr="082526E0">
        <w:rPr>
          <w:i/>
        </w:rPr>
        <w:instrText>:Druhé analytiky</w:instrText>
      </w:r>
      <w:r w:rsidR="084C199F">
        <w:instrText xml:space="preserve">" </w:instrText>
      </w:r>
      <w:r w:rsidR="084C199F">
        <w:fldChar w:fldCharType="end"/>
      </w:r>
      <w:r w:rsidR="084C199F">
        <w:t xml:space="preserve">. </w:t>
      </w:r>
      <w:r w:rsidR="006C313E">
        <w:t xml:space="preserve">Studie </w:t>
      </w:r>
      <w:r w:rsidR="006C313E" w:rsidRPr="006C313E">
        <w:t>as</w:t>
      </w:r>
      <w:r w:rsidR="006C313E">
        <w:t>tronomického</w:t>
      </w:r>
      <w:r w:rsidR="006C313E" w:rsidRPr="006C313E">
        <w:t xml:space="preserve"> zatmění</w:t>
      </w:r>
      <w:r w:rsidR="006C313E">
        <w:t xml:space="preserve"> ve </w:t>
      </w:r>
      <w:r w:rsidR="006C313E" w:rsidRPr="006C313E">
        <w:rPr>
          <w:i/>
        </w:rPr>
        <w:t xml:space="preserve">Druhých analytikách </w:t>
      </w:r>
      <w:r w:rsidR="006C313E" w:rsidRPr="006C313E">
        <w:t>poskytuje vynikající příklad chybných postupů modernistů.</w:t>
      </w:r>
      <w:r w:rsidR="000A0F2E">
        <w:t xml:space="preserve"> </w:t>
      </w:r>
      <w:r w:rsidR="084C199F">
        <w:t xml:space="preserve">Myšlení </w:t>
      </w:r>
      <w:r w:rsidR="084C199F" w:rsidRPr="00273106">
        <w:rPr>
          <w:i/>
        </w:rPr>
        <w:t>Oxfordian Fallacy</w:t>
      </w:r>
      <w:r w:rsidR="084C199F">
        <w:rPr>
          <w:i/>
        </w:rPr>
        <w:t xml:space="preserve"> </w:t>
      </w:r>
      <w:r w:rsidR="084C199F">
        <w:t>vytěsnilo</w:t>
      </w:r>
      <w:r w:rsidR="084C199F" w:rsidRPr="00273106">
        <w:t xml:space="preserve"> hyparchický vý</w:t>
      </w:r>
      <w:r w:rsidR="084C199F">
        <w:t>znam první substance a nahradilo</w:t>
      </w:r>
      <w:r w:rsidR="084C199F" w:rsidRPr="00273106">
        <w:t xml:space="preserve"> jej poznávajícím subjektem moderny.</w:t>
      </w:r>
      <w:r w:rsidR="084C199F">
        <w:t xml:space="preserve"> </w:t>
      </w:r>
      <w:r w:rsidR="00363F5F">
        <w:t xml:space="preserve">Impozice významu od </w:t>
      </w:r>
      <w:r w:rsidR="084C199F" w:rsidRPr="00273106">
        <w:t>první substance přestala determinovat myšlení</w:t>
      </w:r>
      <w:r w:rsidR="00363F5F">
        <w:t xml:space="preserve">, protože byla </w:t>
      </w:r>
      <w:r w:rsidR="084C199F">
        <w:t>b</w:t>
      </w:r>
      <w:r w:rsidR="08870A38">
        <w:t xml:space="preserve">yla sofisticky nahrazena </w:t>
      </w:r>
      <w:r w:rsidR="00363F5F">
        <w:t>supozicí danou od esence</w:t>
      </w:r>
      <w:r w:rsidR="08870A38">
        <w:t xml:space="preserve">. Logicky určená esence hraje roli metafyzické </w:t>
      </w:r>
      <w:r w:rsidR="08870A38" w:rsidRPr="08870A38">
        <w:rPr>
          <w:i/>
        </w:rPr>
        <w:t>quidditas</w:t>
      </w:r>
      <w:r w:rsidR="08870A38">
        <w:rPr>
          <w:i/>
        </w:rPr>
        <w:fldChar w:fldCharType="begin"/>
      </w:r>
      <w:r w:rsidR="08870A38">
        <w:instrText xml:space="preserve"> XE "</w:instrText>
      </w:r>
      <w:r w:rsidR="08870A38" w:rsidRPr="08EC0612">
        <w:rPr>
          <w:i/>
        </w:rPr>
        <w:instrText>quidditas</w:instrText>
      </w:r>
      <w:r w:rsidR="08870A38">
        <w:instrText xml:space="preserve">" </w:instrText>
      </w:r>
      <w:r w:rsidR="08870A38">
        <w:rPr>
          <w:i/>
        </w:rPr>
        <w:fldChar w:fldCharType="end"/>
      </w:r>
      <w:r w:rsidR="08870A38">
        <w:t xml:space="preserve"> a tím funguje jako simulákru</w:t>
      </w:r>
      <w:r w:rsidR="084C199F">
        <w:t>m první substance</w:t>
      </w:r>
      <w:r w:rsidR="084C199F" w:rsidRPr="00273106">
        <w:t>.</w:t>
      </w:r>
      <w:r w:rsidR="08861A94">
        <w:t xml:space="preserve"> Zavedením esence do demonstrativního soudu </w:t>
      </w:r>
      <w:r w:rsidR="084C199F">
        <w:t xml:space="preserve">došlo k potlačení </w:t>
      </w:r>
      <w:r w:rsidR="082A724F">
        <w:t xml:space="preserve">metafyzického </w:t>
      </w:r>
      <w:r w:rsidR="084C199F">
        <w:t>dativu</w:t>
      </w:r>
      <w:r w:rsidR="084C199F">
        <w:fldChar w:fldCharType="begin"/>
      </w:r>
      <w:r w:rsidR="084C199F">
        <w:instrText xml:space="preserve"> XE "</w:instrText>
      </w:r>
      <w:r w:rsidR="084C199F" w:rsidRPr="083C375A">
        <w:rPr>
          <w:i/>
        </w:rPr>
        <w:instrText>dativu</w:instrText>
      </w:r>
      <w:r w:rsidR="082A724F">
        <w:rPr>
          <w:i/>
        </w:rPr>
        <w:instrText>s metaphysi</w:instrText>
      </w:r>
      <w:r w:rsidR="084C199F" w:rsidRPr="083C375A">
        <w:rPr>
          <w:i/>
        </w:rPr>
        <w:instrText>cus</w:instrText>
      </w:r>
      <w:r w:rsidR="084C199F">
        <w:instrText xml:space="preserve">" </w:instrText>
      </w:r>
      <w:r w:rsidR="084C199F">
        <w:fldChar w:fldCharType="end"/>
      </w:r>
      <w:r w:rsidR="08861A94">
        <w:t>. A</w:t>
      </w:r>
      <w:r w:rsidR="084C199F">
        <w:t xml:space="preserve">ristotelská </w:t>
      </w:r>
      <w:r w:rsidR="083840F2">
        <w:t xml:space="preserve">reálná </w:t>
      </w:r>
      <w:r w:rsidR="084C199F" w:rsidRPr="08153293">
        <w:rPr>
          <w:i/>
        </w:rPr>
        <w:t>ousía</w:t>
      </w:r>
      <w:r w:rsidR="084C199F">
        <w:t xml:space="preserve"> se změnila na </w:t>
      </w:r>
      <w:r w:rsidR="08EB5F4F">
        <w:t>objek</w:t>
      </w:r>
      <w:r w:rsidR="083840F2">
        <w:t xml:space="preserve">tivní </w:t>
      </w:r>
      <w:r w:rsidR="084C199F" w:rsidRPr="08153293">
        <w:rPr>
          <w:i/>
        </w:rPr>
        <w:t>parousía</w:t>
      </w:r>
      <w:r w:rsidR="084C199F">
        <w:rPr>
          <w:i/>
        </w:rPr>
        <w:fldChar w:fldCharType="begin"/>
      </w:r>
      <w:r w:rsidR="084C199F">
        <w:instrText xml:space="preserve"> XE "</w:instrText>
      </w:r>
      <w:r w:rsidR="084C199F" w:rsidRPr="08EC3E03">
        <w:instrText>parousie</w:instrText>
      </w:r>
      <w:r w:rsidR="084C199F">
        <w:instrText xml:space="preserve">" </w:instrText>
      </w:r>
      <w:r w:rsidR="084C199F">
        <w:rPr>
          <w:i/>
        </w:rPr>
        <w:fldChar w:fldCharType="end"/>
      </w:r>
      <w:r w:rsidR="08147A73">
        <w:t xml:space="preserve"> v</w:t>
      </w:r>
      <w:r w:rsidR="00D06A9A">
        <w:t> </w:t>
      </w:r>
      <w:r w:rsidR="08147A73">
        <w:t>mysli</w:t>
      </w:r>
      <w:r w:rsidR="00D06A9A">
        <w:t xml:space="preserve"> vítězných iluminátů</w:t>
      </w:r>
      <w:r w:rsidR="08147A73">
        <w:t xml:space="preserve">. </w:t>
      </w:r>
      <w:r w:rsidR="083840F2">
        <w:t xml:space="preserve">Kauzální danost predikované první substance přešla do </w:t>
      </w:r>
      <w:r w:rsidR="084C199F">
        <w:t xml:space="preserve">objektivního smyslu jsoucna. </w:t>
      </w:r>
      <w:r w:rsidR="0004477F" w:rsidRPr="0004477F">
        <w:t xml:space="preserve">Toto moderní </w:t>
      </w:r>
      <w:r w:rsidR="0004477F">
        <w:t xml:space="preserve">vidění reality </w:t>
      </w:r>
      <w:r w:rsidR="0004477F" w:rsidRPr="0004477F">
        <w:t xml:space="preserve">jako </w:t>
      </w:r>
      <w:r w:rsidR="0004477F">
        <w:t>objektivního simulá</w:t>
      </w:r>
      <w:r w:rsidR="0004477F" w:rsidRPr="0004477F">
        <w:t>kra je trag</w:t>
      </w:r>
      <w:r w:rsidR="00404BC8">
        <w:t>ická a archaická událost bytí</w:t>
      </w:r>
      <w:r w:rsidR="0004477F" w:rsidRPr="0004477F">
        <w:t>, protože</w:t>
      </w:r>
      <w:r w:rsidR="00404BC8">
        <w:t xml:space="preserve"> je řízena</w:t>
      </w:r>
      <w:r w:rsidR="0004477F">
        <w:t xml:space="preserve"> božskými silami filos</w:t>
      </w:r>
      <w:r w:rsidR="0004477F" w:rsidRPr="0004477F">
        <w:t xml:space="preserve">ofické Pomsty. Jejich subjektivní </w:t>
      </w:r>
      <w:r w:rsidR="0004477F">
        <w:t>povaha je zcela viditelná</w:t>
      </w:r>
      <w:r w:rsidR="0004477F" w:rsidRPr="0004477F">
        <w:t xml:space="preserve">, neboť pomstychtiví modernisté se této božské role </w:t>
      </w:r>
      <w:r w:rsidR="0004477F">
        <w:t xml:space="preserve">dobrovolně </w:t>
      </w:r>
      <w:r w:rsidR="0004477F" w:rsidRPr="0004477F">
        <w:t>u</w:t>
      </w:r>
      <w:r w:rsidR="0004477F">
        <w:t xml:space="preserve">jali proti prvnímu averroismu. </w:t>
      </w:r>
      <w:r w:rsidR="00F57908" w:rsidRPr="00F57908">
        <w:t xml:space="preserve">Považovali se za trestající síly dějin, aby se metafyzika dostala na </w:t>
      </w:r>
      <w:r w:rsidR="00F57908">
        <w:t xml:space="preserve">správnou cestu </w:t>
      </w:r>
      <w:r w:rsidR="00F57908" w:rsidRPr="00F57908">
        <w:rPr>
          <w:i/>
        </w:rPr>
        <w:t>via Modernorum</w:t>
      </w:r>
      <w:r w:rsidR="00F57908" w:rsidRPr="00F57908">
        <w:t>.</w:t>
      </w:r>
      <w:r w:rsidR="00F57908">
        <w:t xml:space="preserve"> </w:t>
      </w:r>
      <w:r w:rsidR="0004477F" w:rsidRPr="0004477F">
        <w:t xml:space="preserve">Poté se tragédie moderny </w:t>
      </w:r>
      <w:r w:rsidR="0004477F">
        <w:t xml:space="preserve">daná </w:t>
      </w:r>
      <w:r w:rsidR="0004477F" w:rsidRPr="0004477F">
        <w:t xml:space="preserve">v antice změnila v moderní tragikomedii </w:t>
      </w:r>
      <w:r w:rsidR="0004477F">
        <w:t xml:space="preserve">danou </w:t>
      </w:r>
      <w:r w:rsidR="0004477F" w:rsidRPr="0004477F">
        <w:t>v</w:t>
      </w:r>
      <w:r w:rsidR="004F3FB0">
        <w:t> </w:t>
      </w:r>
      <w:r w:rsidR="0004477F" w:rsidRPr="0004477F">
        <w:t>křesťanství</w:t>
      </w:r>
      <w:r w:rsidR="004F3FB0">
        <w:t xml:space="preserve">. </w:t>
      </w:r>
      <w:r w:rsidR="004F3FB0" w:rsidRPr="004F3FB0">
        <w:t xml:space="preserve">Školu </w:t>
      </w:r>
      <w:r w:rsidR="004F3FB0" w:rsidRPr="004F3FB0">
        <w:rPr>
          <w:i/>
        </w:rPr>
        <w:t>sophistae Latini</w:t>
      </w:r>
      <w:r w:rsidR="004F3FB0">
        <w:t xml:space="preserve"> založili </w:t>
      </w:r>
      <w:r w:rsidR="004F3FB0" w:rsidRPr="004F3FB0">
        <w:t xml:space="preserve">smrtelníci, kteří vytvořili </w:t>
      </w:r>
      <w:r w:rsidR="000B7312">
        <w:t xml:space="preserve">hodně </w:t>
      </w:r>
      <w:r w:rsidR="004F3FB0" w:rsidRPr="004F3FB0">
        <w:t>šílenou teorii pravdy</w:t>
      </w:r>
      <w:r w:rsidR="00DC0FC4">
        <w:t xml:space="preserve"> </w:t>
      </w:r>
      <w:r w:rsidR="00DC0FC4" w:rsidRPr="004F3FB0">
        <w:t>(</w:t>
      </w:r>
      <w:r w:rsidR="00DC0FC4" w:rsidRPr="004F3FB0">
        <w:rPr>
          <w:i/>
        </w:rPr>
        <w:t>insaniunt contra veritatem</w:t>
      </w:r>
      <w:r w:rsidR="00DC0FC4" w:rsidRPr="004F3FB0">
        <w:t>)</w:t>
      </w:r>
      <w:r w:rsidR="004F3FB0" w:rsidRPr="004F3FB0">
        <w:t xml:space="preserve"> </w:t>
      </w:r>
      <w:r w:rsidR="00DC0FC4">
        <w:t>jako asimilaci</w:t>
      </w:r>
      <w:r w:rsidR="00537E1F">
        <w:t xml:space="preserve"> neexistujících </w:t>
      </w:r>
      <w:r w:rsidR="00537E1F" w:rsidRPr="00537E1F">
        <w:rPr>
          <w:i/>
        </w:rPr>
        <w:t>tertium ens</w:t>
      </w:r>
      <w:r w:rsidR="004F3FB0" w:rsidRPr="004F3FB0">
        <w:t>.</w:t>
      </w:r>
      <w:r w:rsidR="004F3FB0">
        <w:t xml:space="preserve"> </w:t>
      </w:r>
      <w:r w:rsidR="0004477F" w:rsidRPr="0004477F">
        <w:t xml:space="preserve">Od té doby </w:t>
      </w:r>
      <w:r w:rsidR="0004477F">
        <w:t xml:space="preserve">moderní </w:t>
      </w:r>
      <w:r w:rsidR="0004477F" w:rsidRPr="0004477F">
        <w:t xml:space="preserve">ilumináti certifikují, indexují a digitalizují různé objektivní sbírky </w:t>
      </w:r>
      <w:r w:rsidR="0004477F" w:rsidRPr="0004477F">
        <w:rPr>
          <w:i/>
        </w:rPr>
        <w:t>tertium ens</w:t>
      </w:r>
      <w:r w:rsidR="0004477F" w:rsidRPr="0004477F">
        <w:t>, které sami vytvořili.</w:t>
      </w:r>
      <w:r w:rsidR="0004477F">
        <w:t xml:space="preserve"> </w:t>
      </w:r>
      <w:r w:rsidR="084C199F" w:rsidRPr="00273106">
        <w:t>Prostor zjevování bytí jsoucna v moderně (</w:t>
      </w:r>
      <w:r w:rsidR="084C199F" w:rsidRPr="00273106">
        <w:rPr>
          <w:i/>
        </w:rPr>
        <w:t>Lichtung</w:t>
      </w:r>
      <w:r w:rsidR="084C199F">
        <w:rPr>
          <w:i/>
        </w:rPr>
        <w:fldChar w:fldCharType="begin"/>
      </w:r>
      <w:r w:rsidR="084C199F">
        <w:instrText xml:space="preserve"> XE "</w:instrText>
      </w:r>
      <w:r w:rsidR="084C199F" w:rsidRPr="001C5F67">
        <w:rPr>
          <w:i/>
        </w:rPr>
        <w:instrText>Lichtung:</w:instrText>
      </w:r>
      <w:r w:rsidR="084C199F" w:rsidRPr="001C5F67">
        <w:instrText>moderna</w:instrText>
      </w:r>
      <w:r w:rsidR="084C199F">
        <w:instrText xml:space="preserve">" </w:instrText>
      </w:r>
      <w:r w:rsidR="084C199F">
        <w:rPr>
          <w:i/>
        </w:rPr>
        <w:fldChar w:fldCharType="end"/>
      </w:r>
      <w:r w:rsidR="084C199F" w:rsidRPr="00273106">
        <w:t>) je dán skrze metaforu Avicennova aktivního intelektu-slunce</w:t>
      </w:r>
      <w:r w:rsidR="084C199F">
        <w:fldChar w:fldCharType="begin"/>
      </w:r>
      <w:r w:rsidR="084C199F">
        <w:instrText xml:space="preserve"> XE "</w:instrText>
      </w:r>
      <w:r w:rsidR="084C199F" w:rsidRPr="008844E7">
        <w:instrText>intelekt-slunce</w:instrText>
      </w:r>
      <w:r w:rsidR="084C199F">
        <w:instrText xml:space="preserve">" </w:instrText>
      </w:r>
      <w:r w:rsidR="084C199F">
        <w:fldChar w:fldCharType="end"/>
      </w:r>
      <w:r w:rsidR="084C199F" w:rsidRPr="00273106">
        <w:t xml:space="preserve">. </w:t>
      </w:r>
      <w:r w:rsidR="084C199F">
        <w:t>Averroes</w:t>
      </w:r>
      <w:r w:rsidR="084C199F" w:rsidRPr="00273106">
        <w:t xml:space="preserve"> prohlásil Avicennovo světlo za temnotu</w:t>
      </w:r>
      <w:r w:rsidR="009201B0">
        <w:t xml:space="preserve"> rozumu</w:t>
      </w:r>
      <w:r w:rsidR="00C50727">
        <w:t xml:space="preserve">. </w:t>
      </w:r>
      <w:r w:rsidR="00C50727" w:rsidRPr="00C50727">
        <w:t xml:space="preserve">Největší vykladač Aristotela všech dob nahradil neoplatónské schéma ve svém výkladu </w:t>
      </w:r>
      <w:r w:rsidR="00C50727" w:rsidRPr="00C50727">
        <w:rPr>
          <w:i/>
        </w:rPr>
        <w:t>De anima</w:t>
      </w:r>
      <w:r w:rsidR="00C50727" w:rsidRPr="00C50727">
        <w:t xml:space="preserve"> osobním poznáním založeným na receptivních a syntetických schopnostech, které sledují existenciální nutnost první</w:t>
      </w:r>
      <w:r w:rsidR="004F170C">
        <w:t>ch substancí</w:t>
      </w:r>
      <w:r w:rsidR="00C50727" w:rsidRPr="00C50727">
        <w:t>.</w:t>
      </w:r>
      <w:r w:rsidR="00C50727">
        <w:t xml:space="preserve"> </w:t>
      </w:r>
      <w:r w:rsidR="00A65203">
        <w:t>Metafyzika druhého za</w:t>
      </w:r>
      <w:r w:rsidR="084C199F" w:rsidRPr="00273106">
        <w:t xml:space="preserve">čátku scholastiky </w:t>
      </w:r>
      <w:r w:rsidR="00A65203">
        <w:t xml:space="preserve">je dána </w:t>
      </w:r>
      <w:r w:rsidR="084C199F" w:rsidRPr="00273106">
        <w:t xml:space="preserve">v tomto </w:t>
      </w:r>
      <w:r w:rsidR="084C199F">
        <w:t xml:space="preserve">epochálním </w:t>
      </w:r>
      <w:r w:rsidR="084C199F" w:rsidRPr="00273106">
        <w:rPr>
          <w:i/>
        </w:rPr>
        <w:t>Lichtung</w:t>
      </w:r>
      <w:r w:rsidR="00000041">
        <w:t xml:space="preserve">. To </w:t>
      </w:r>
      <w:r w:rsidR="00A65203">
        <w:t xml:space="preserve">určilo </w:t>
      </w:r>
      <w:r w:rsidR="00DA283A">
        <w:t xml:space="preserve">avicennovskou </w:t>
      </w:r>
      <w:r w:rsidR="00000041">
        <w:t xml:space="preserve">nepravdu, která zatemnila smysl první substance. </w:t>
      </w:r>
      <w:r w:rsidR="00B963E1">
        <w:t>T</w:t>
      </w:r>
      <w:r w:rsidR="00B963E1" w:rsidRPr="00273106">
        <w:t xml:space="preserve">emnota </w:t>
      </w:r>
      <w:r w:rsidR="00B963E1">
        <w:t xml:space="preserve">avicennovské metafyziky </w:t>
      </w:r>
      <w:r w:rsidR="00B963E1" w:rsidRPr="00273106">
        <w:t>se prohl</w:t>
      </w:r>
      <w:r w:rsidR="00B963E1">
        <w:t>oubila zavedením Grossetesteho „</w:t>
      </w:r>
      <w:r w:rsidR="00B963E1" w:rsidRPr="00273106">
        <w:rPr>
          <w:i/>
        </w:rPr>
        <w:t>aliquantulum obscura</w:t>
      </w:r>
      <w:r w:rsidR="00B963E1">
        <w:t>“ (kap. 3</w:t>
      </w:r>
      <w:r w:rsidR="00B963E1" w:rsidRPr="00273106">
        <w:t>.1.1)</w:t>
      </w:r>
      <w:r w:rsidR="00B963E1">
        <w:t xml:space="preserve">. </w:t>
      </w:r>
      <w:r w:rsidR="084C199F">
        <w:t xml:space="preserve">Grosseteste ještě vidí zapomenutí první substance a </w:t>
      </w:r>
      <w:r w:rsidR="08E7156B">
        <w:t xml:space="preserve">potlačení </w:t>
      </w:r>
      <w:r w:rsidR="084C199F">
        <w:t xml:space="preserve">principu </w:t>
      </w:r>
      <w:r w:rsidR="08D91F67">
        <w:rPr>
          <w:i/>
        </w:rPr>
        <w:t>ex in</w:t>
      </w:r>
      <w:r w:rsidR="084C199F" w:rsidRPr="08A911A6">
        <w:rPr>
          <w:i/>
        </w:rPr>
        <w:t>mediatis</w:t>
      </w:r>
      <w:r w:rsidR="084C199F">
        <w:t xml:space="preserve"> jako problém. Pozdější moderna a postmoderna je už k realitě první substance slepá, protože vidí jen objektivní simulákrum.</w:t>
      </w:r>
      <w:r w:rsidR="00DA7EC2">
        <w:t xml:space="preserve"> </w:t>
      </w:r>
      <w:r w:rsidR="00275083">
        <w:t>Mylná intepretace z</w:t>
      </w:r>
      <w:r w:rsidR="00275083" w:rsidRPr="00273106">
        <w:t xml:space="preserve">atmění </w:t>
      </w:r>
      <w:r w:rsidR="00275083">
        <w:t xml:space="preserve">slunce </w:t>
      </w:r>
      <w:r w:rsidR="00275083" w:rsidRPr="00273106">
        <w:t xml:space="preserve">ve </w:t>
      </w:r>
      <w:r w:rsidR="00275083" w:rsidRPr="00267724">
        <w:rPr>
          <w:i/>
        </w:rPr>
        <w:t>Druhých analytikách</w:t>
      </w:r>
      <w:r w:rsidR="00275083" w:rsidRPr="00273106">
        <w:t xml:space="preserve"> </w:t>
      </w:r>
      <w:r w:rsidR="00275083">
        <w:t xml:space="preserve">vedla k </w:t>
      </w:r>
      <w:r w:rsidR="00275083" w:rsidRPr="00273106">
        <w:t>plné</w:t>
      </w:r>
      <w:r w:rsidR="00275083">
        <w:t>mu</w:t>
      </w:r>
      <w:r w:rsidR="00275083" w:rsidRPr="00273106">
        <w:t xml:space="preserve"> zatmění</w:t>
      </w:r>
      <w:r w:rsidR="00275083">
        <w:t xml:space="preserve"> první substance v modu </w:t>
      </w:r>
      <w:r w:rsidR="00275083">
        <w:rPr>
          <w:i/>
        </w:rPr>
        <w:t>Oxfordian F</w:t>
      </w:r>
      <w:r w:rsidR="00275083" w:rsidRPr="08271028">
        <w:rPr>
          <w:i/>
        </w:rPr>
        <w:t>allacy</w:t>
      </w:r>
      <w:r w:rsidR="00275083" w:rsidRPr="00273106">
        <w:t xml:space="preserve">. </w:t>
      </w:r>
      <w:r w:rsidR="00B8461A">
        <w:t>Metafyzický nihilismus realizuje poznání skrze vlastní světlo hypostázovaného intelektu. Rufusova k</w:t>
      </w:r>
      <w:r w:rsidR="00B8461A" w:rsidRPr="00273106">
        <w:t xml:space="preserve">onkrétní predikace napojená na </w:t>
      </w:r>
      <w:r w:rsidR="00B8461A">
        <w:t xml:space="preserve">Grossetesteho </w:t>
      </w:r>
      <w:r w:rsidR="00B8461A" w:rsidRPr="00273106">
        <w:rPr>
          <w:i/>
        </w:rPr>
        <w:t>Oxfordian Fallacy</w:t>
      </w:r>
      <w:r w:rsidR="00B8461A">
        <w:rPr>
          <w:i/>
        </w:rPr>
        <w:fldChar w:fldCharType="begin"/>
      </w:r>
      <w:r w:rsidR="00B8461A">
        <w:instrText xml:space="preserve"> XE "</w:instrText>
      </w:r>
      <w:r w:rsidR="00B8461A" w:rsidRPr="0015798D">
        <w:rPr>
          <w:i/>
        </w:rPr>
        <w:instrText>Oxfordian Fallacy:</w:instrText>
      </w:r>
      <w:r w:rsidR="00B8461A" w:rsidRPr="0015798D">
        <w:instrText>původ</w:instrText>
      </w:r>
      <w:r w:rsidR="00B8461A">
        <w:instrText xml:space="preserve">" </w:instrText>
      </w:r>
      <w:r w:rsidR="00B8461A">
        <w:rPr>
          <w:i/>
        </w:rPr>
        <w:fldChar w:fldCharType="end"/>
      </w:r>
      <w:r w:rsidR="00B8461A" w:rsidRPr="00273106">
        <w:rPr>
          <w:i/>
        </w:rPr>
        <w:t xml:space="preserve"> </w:t>
      </w:r>
      <w:r w:rsidR="00B8461A" w:rsidRPr="00273106">
        <w:t>ukazuje místo, kde vzniká</w:t>
      </w:r>
      <w:r w:rsidR="00B8461A">
        <w:t xml:space="preserve"> v letech 1235‒45 první objektivní určení jsoucna na latinském Západě</w:t>
      </w:r>
      <w:r w:rsidR="00B8461A" w:rsidRPr="00273106">
        <w:t>.</w:t>
      </w:r>
      <w:r w:rsidR="00B8461A">
        <w:t xml:space="preserve"> </w:t>
      </w:r>
      <w:r w:rsidR="00B8461A" w:rsidRPr="00273106">
        <w:t>Původní hylemorfická substance (</w:t>
      </w:r>
      <w:r w:rsidR="00B8461A" w:rsidRPr="00273106">
        <w:rPr>
          <w:i/>
        </w:rPr>
        <w:t>compositum</w:t>
      </w:r>
      <w:r w:rsidR="00B8461A">
        <w:t xml:space="preserve">) se v moderním pojetí stala objektivním kompozitem první a druhé substance </w:t>
      </w:r>
      <w:r w:rsidR="00B8461A" w:rsidRPr="00273106">
        <w:t>(</w:t>
      </w:r>
      <w:r w:rsidR="00B8461A" w:rsidRPr="00273106">
        <w:rPr>
          <w:i/>
        </w:rPr>
        <w:t>concretum</w:t>
      </w:r>
      <w:r w:rsidR="00B8461A">
        <w:rPr>
          <w:i/>
        </w:rPr>
        <w:fldChar w:fldCharType="begin"/>
      </w:r>
      <w:r w:rsidR="00B8461A">
        <w:instrText xml:space="preserve"> XE "</w:instrText>
      </w:r>
      <w:r w:rsidR="00B8461A" w:rsidRPr="00B759F5">
        <w:rPr>
          <w:i/>
        </w:rPr>
        <w:instrText>concretum</w:instrText>
      </w:r>
      <w:r w:rsidR="00B8461A">
        <w:instrText xml:space="preserve">" </w:instrText>
      </w:r>
      <w:r w:rsidR="00B8461A">
        <w:rPr>
          <w:i/>
        </w:rPr>
        <w:fldChar w:fldCharType="end"/>
      </w:r>
      <w:r w:rsidR="00B8461A" w:rsidRPr="00273106">
        <w:t>).</w:t>
      </w:r>
      <w:r w:rsidR="00B8461A">
        <w:t xml:space="preserve"> Zavedení pojmu „k</w:t>
      </w:r>
      <w:r w:rsidR="00B8461A" w:rsidRPr="00273106">
        <w:t>onkrétnost</w:t>
      </w:r>
      <w:r w:rsidR="00B8461A">
        <w:t>“ vytvořilo novou kategorii amfibolií (OBJ I, kap. 2.1.2)</w:t>
      </w:r>
      <w:r w:rsidR="00B8461A">
        <w:fldChar w:fldCharType="begin"/>
      </w:r>
      <w:r w:rsidR="00B8461A">
        <w:instrText xml:space="preserve"> XE "</w:instrText>
      </w:r>
      <w:r w:rsidR="00B8461A" w:rsidRPr="085F1CCB">
        <w:instrText>amfibolia</w:instrText>
      </w:r>
      <w:r w:rsidR="00B8461A">
        <w:instrText xml:space="preserve">" </w:instrText>
      </w:r>
      <w:r w:rsidR="00B8461A">
        <w:fldChar w:fldCharType="end"/>
      </w:r>
      <w:r w:rsidR="00B8461A">
        <w:t xml:space="preserve">. </w:t>
      </w:r>
      <w:r w:rsidR="001736BB" w:rsidRPr="001736BB">
        <w:t xml:space="preserve">Základem vědy se stalo objektivně dané </w:t>
      </w:r>
      <w:r w:rsidR="001736BB" w:rsidRPr="001736BB">
        <w:rPr>
          <w:i/>
        </w:rPr>
        <w:t>positum</w:t>
      </w:r>
      <w:r w:rsidR="001736BB">
        <w:rPr>
          <w:rStyle w:val="st"/>
          <w:i/>
        </w:rPr>
        <w:fldChar w:fldCharType="begin"/>
      </w:r>
      <w:r w:rsidR="001736BB">
        <w:instrText xml:space="preserve"> XE "</w:instrText>
      </w:r>
      <w:r w:rsidR="001736BB" w:rsidRPr="00AE0AA5">
        <w:rPr>
          <w:rStyle w:val="st"/>
          <w:i/>
        </w:rPr>
        <w:instrText>positum</w:instrText>
      </w:r>
      <w:r w:rsidR="001736BB">
        <w:instrText xml:space="preserve">" </w:instrText>
      </w:r>
      <w:r w:rsidR="001736BB">
        <w:rPr>
          <w:rStyle w:val="st"/>
          <w:i/>
        </w:rPr>
        <w:fldChar w:fldCharType="end"/>
      </w:r>
      <w:r w:rsidR="001736BB" w:rsidRPr="001736BB">
        <w:t xml:space="preserve">, které vycházelo ze sofistické formy objektivní metafyziky </w:t>
      </w:r>
      <w:r w:rsidR="001736BB">
        <w:t xml:space="preserve">podané </w:t>
      </w:r>
      <w:r w:rsidR="001736BB" w:rsidRPr="001736BB">
        <w:t>Rufusem.</w:t>
      </w:r>
      <w:r w:rsidR="001736BB">
        <w:t xml:space="preserve"> </w:t>
      </w:r>
      <w:r w:rsidR="084C7BE8">
        <w:rPr>
          <w:rStyle w:val="st"/>
        </w:rPr>
        <w:t>Tím se zásadně změnila předchůdná dráha náhledu na smysl jsoucna (</w:t>
      </w:r>
      <w:r w:rsidR="084C7BE8" w:rsidRPr="086347CE">
        <w:rPr>
          <w:rStyle w:val="st"/>
          <w:i/>
        </w:rPr>
        <w:t>Vor-blickbahn</w:t>
      </w:r>
      <w:r w:rsidR="084C7BE8">
        <w:rPr>
          <w:rStyle w:val="st"/>
          <w:i/>
        </w:rPr>
        <w:fldChar w:fldCharType="begin"/>
      </w:r>
      <w:r w:rsidR="084C7BE8">
        <w:instrText xml:space="preserve"> XE "</w:instrText>
      </w:r>
      <w:r w:rsidR="084C7BE8">
        <w:rPr>
          <w:i/>
        </w:rPr>
        <w:instrText>Vor-</w:instrText>
      </w:r>
      <w:r w:rsidR="084C7BE8" w:rsidRPr="000C66F2">
        <w:rPr>
          <w:i/>
        </w:rPr>
        <w:instrText>b</w:instrText>
      </w:r>
      <w:r w:rsidR="084C7BE8" w:rsidRPr="000C66F2">
        <w:rPr>
          <w:i/>
          <w:iCs/>
        </w:rPr>
        <w:instrText>lickbahn</w:instrText>
      </w:r>
      <w:r w:rsidR="084C7BE8">
        <w:rPr>
          <w:i/>
          <w:iCs/>
        </w:rPr>
        <w:instrText>:</w:instrText>
      </w:r>
      <w:r w:rsidR="084C7BE8" w:rsidRPr="00335215">
        <w:rPr>
          <w:iCs/>
        </w:rPr>
        <w:instrText>moderna</w:instrText>
      </w:r>
      <w:r w:rsidR="084C7BE8">
        <w:instrText xml:space="preserve">" </w:instrText>
      </w:r>
      <w:r w:rsidR="084C7BE8">
        <w:rPr>
          <w:rStyle w:val="st"/>
          <w:i/>
        </w:rPr>
        <w:fldChar w:fldCharType="end"/>
      </w:r>
      <w:r w:rsidR="084C7BE8">
        <w:rPr>
          <w:rStyle w:val="st"/>
        </w:rPr>
        <w:t xml:space="preserve">). </w:t>
      </w:r>
      <w:r w:rsidR="084C7BE8">
        <w:t xml:space="preserve">Nová dráha </w:t>
      </w:r>
      <w:r w:rsidR="084C7BE8">
        <w:rPr>
          <w:rStyle w:val="st"/>
        </w:rPr>
        <w:t xml:space="preserve">náhledu na jsoucno vznikla epochálním zatměním první substance. </w:t>
      </w:r>
      <w:r w:rsidR="08032856">
        <w:t>Objektivní individualita nahradila reálné bytí první substance</w:t>
      </w:r>
      <w:r w:rsidR="08032856" w:rsidRPr="00273106">
        <w:t>.</w:t>
      </w:r>
      <w:r w:rsidR="08032856">
        <w:t xml:space="preserve"> </w:t>
      </w:r>
      <w:r w:rsidR="082260FE">
        <w:t xml:space="preserve">Ilumináti potřebují první substanci pouze k získání dodatečné jistoty již evidovaného objektivního </w:t>
      </w:r>
      <w:r w:rsidR="082260FE" w:rsidRPr="00BF0BBB">
        <w:rPr>
          <w:i/>
        </w:rPr>
        <w:t>scibile</w:t>
      </w:r>
      <w:r w:rsidR="082260FE">
        <w:t xml:space="preserve">. </w:t>
      </w:r>
      <w:r w:rsidR="00DA7EC2" w:rsidRPr="001736BB">
        <w:t xml:space="preserve">Kilwardby založil moderní vědu </w:t>
      </w:r>
      <w:r w:rsidR="00DA7EC2">
        <w:t>skrze nihilistickou událost myšlení (</w:t>
      </w:r>
      <w:r w:rsidR="00DA7EC2" w:rsidRPr="001736BB">
        <w:rPr>
          <w:i/>
        </w:rPr>
        <w:t>Ereignis</w:t>
      </w:r>
      <w:r w:rsidR="00DA7EC2">
        <w:rPr>
          <w:i/>
        </w:rPr>
        <w:fldChar w:fldCharType="begin"/>
      </w:r>
      <w:r w:rsidR="00DA7EC2">
        <w:instrText xml:space="preserve"> XE "</w:instrText>
      </w:r>
      <w:r w:rsidR="00DA7EC2" w:rsidRPr="00D31765">
        <w:rPr>
          <w:i/>
        </w:rPr>
        <w:instrText>Ereignis</w:instrText>
      </w:r>
      <w:r w:rsidR="00DA7EC2">
        <w:instrText xml:space="preserve">" </w:instrText>
      </w:r>
      <w:r w:rsidR="00DA7EC2">
        <w:rPr>
          <w:i/>
        </w:rPr>
        <w:fldChar w:fldCharType="end"/>
      </w:r>
      <w:r w:rsidR="00DA7EC2">
        <w:t>), která</w:t>
      </w:r>
      <w:r w:rsidR="00DA7EC2" w:rsidRPr="001736BB">
        <w:t xml:space="preserve"> </w:t>
      </w:r>
      <w:r w:rsidR="00DA7EC2">
        <w:t xml:space="preserve">začala </w:t>
      </w:r>
      <w:r w:rsidR="00DA7EC2" w:rsidRPr="001736BB">
        <w:t xml:space="preserve">v Oxfordu. </w:t>
      </w:r>
      <w:r w:rsidR="08C94975">
        <w:t>Š</w:t>
      </w:r>
      <w:r w:rsidR="08167983">
        <w:t xml:space="preserve">kola druhého averroimu </w:t>
      </w:r>
      <w:r w:rsidR="08104C4B">
        <w:t xml:space="preserve">pod vedením Rufuse a Kilwardbyho </w:t>
      </w:r>
      <w:r w:rsidR="08167983">
        <w:t>našla nové místo vědy</w:t>
      </w:r>
      <w:r w:rsidR="00A44110">
        <w:t xml:space="preserve"> </w:t>
      </w:r>
      <w:r w:rsidR="08167983">
        <w:t xml:space="preserve">mimo kauzalitu první substance. </w:t>
      </w:r>
      <w:r w:rsidR="082C1C73" w:rsidRPr="00273106">
        <w:t>Hermeneutika traktovala místo vzniku moderní vědy</w:t>
      </w:r>
      <w:r w:rsidR="009B5724">
        <w:t xml:space="preserve"> (</w:t>
      </w:r>
      <w:r w:rsidR="009B5724" w:rsidRPr="00E93388">
        <w:rPr>
          <w:i/>
        </w:rPr>
        <w:t>ortus scientiarum</w:t>
      </w:r>
      <w:r w:rsidR="009B5724">
        <w:rPr>
          <w:i/>
        </w:rPr>
        <w:fldChar w:fldCharType="begin"/>
      </w:r>
      <w:r w:rsidR="009B5724">
        <w:instrText xml:space="preserve"> XE "</w:instrText>
      </w:r>
      <w:r w:rsidR="009B5724" w:rsidRPr="00511AF1">
        <w:rPr>
          <w:i/>
        </w:rPr>
        <w:instrText>ortus scientiarum</w:instrText>
      </w:r>
      <w:r w:rsidR="009B5724">
        <w:instrText xml:space="preserve">" </w:instrText>
      </w:r>
      <w:r w:rsidR="009B5724">
        <w:rPr>
          <w:i/>
        </w:rPr>
        <w:fldChar w:fldCharType="end"/>
      </w:r>
      <w:r w:rsidR="009B5724">
        <w:t xml:space="preserve">) </w:t>
      </w:r>
      <w:r w:rsidR="082C1C73" w:rsidRPr="00273106">
        <w:t xml:space="preserve">přechodem od Rufusovy </w:t>
      </w:r>
      <w:r w:rsidR="082C1C73">
        <w:t>matematické objektivizace</w:t>
      </w:r>
      <w:r w:rsidR="082C1C73" w:rsidRPr="00273106">
        <w:t xml:space="preserve"> ke Kilwardbyho </w:t>
      </w:r>
      <w:r w:rsidR="082C1C73">
        <w:t>spekulativní meta</w:t>
      </w:r>
      <w:r w:rsidR="082C1C73" w:rsidRPr="00273106">
        <w:t xml:space="preserve">fyzice. </w:t>
      </w:r>
      <w:r w:rsidR="082C1C73">
        <w:t xml:space="preserve">V této době oba modernisté působili v Paříži. </w:t>
      </w:r>
      <w:r w:rsidR="00FE1E64">
        <w:t xml:space="preserve">Z univerzity </w:t>
      </w:r>
      <w:r w:rsidR="082C1C73">
        <w:t>museli odejít okolo roku 12</w:t>
      </w:r>
      <w:r w:rsidR="00246907">
        <w:t>45–</w:t>
      </w:r>
      <w:r w:rsidR="082C1C73">
        <w:t>50 po kritice biskupa Alverna a dalších magistrů ze školy prvního averroismu</w:t>
      </w:r>
      <w:r w:rsidR="00246907">
        <w:t>,</w:t>
      </w:r>
      <w:r w:rsidR="082C1C73">
        <w:t xml:space="preserve"> jako byl Albert a Bacon.</w:t>
      </w:r>
    </w:p>
    <w:p w14:paraId="03FCF59E" w14:textId="77777777" w:rsidR="001873EA" w:rsidRDefault="00032A01" w:rsidP="001873EA">
      <w:pPr>
        <w:ind w:firstLine="397"/>
      </w:pPr>
      <w:r>
        <w:t xml:space="preserve">Projděme jen stručně konec božské komedie, poprvé inscenované Múzami okolo roku 1230. Po zániku metafyziky v pozdní scholastice přešla objektivita do poslední fáze metafyzického nihilismu. </w:t>
      </w:r>
      <w:r w:rsidR="000E3F0B" w:rsidRPr="000E3F0B">
        <w:t xml:space="preserve">Moderní univocita bytí následovala esenciální substanci třetího druhu. Tento druh </w:t>
      </w:r>
      <w:r w:rsidR="000E3F0B">
        <w:t>esenciálního jsoucna převzal renesanční</w:t>
      </w:r>
      <w:r w:rsidR="000E3F0B" w:rsidRPr="000E3F0B">
        <w:t xml:space="preserve"> averroismus. Alessandro Achillini</w:t>
      </w:r>
      <w:r w:rsidR="000E3F0B">
        <w:fldChar w:fldCharType="begin"/>
      </w:r>
      <w:r w:rsidR="000E3F0B">
        <w:instrText xml:space="preserve"> XE "</w:instrText>
      </w:r>
      <w:r w:rsidR="000E3F0B" w:rsidRPr="00315DA7">
        <w:instrText>Achillini</w:instrText>
      </w:r>
      <w:r w:rsidR="000E3F0B">
        <w:instrText xml:space="preserve">, A." </w:instrText>
      </w:r>
      <w:r w:rsidR="000E3F0B">
        <w:fldChar w:fldCharType="end"/>
      </w:r>
      <w:r w:rsidR="000E3F0B" w:rsidRPr="000E3F0B">
        <w:t xml:space="preserve"> (†1512) je prvním předchůdcem postmodernismu, protože zavedl pojem Dobra jako individuálně dané objektivní </w:t>
      </w:r>
      <w:r w:rsidR="000E3F0B">
        <w:t>esence</w:t>
      </w:r>
      <w:r w:rsidR="000E3F0B" w:rsidRPr="000E3F0B">
        <w:t xml:space="preserve">. </w:t>
      </w:r>
      <w:r w:rsidR="00D1796F" w:rsidRPr="00C5305C">
        <w:t xml:space="preserve">Tato třetí, zcela postmoderní recepce </w:t>
      </w:r>
      <w:r w:rsidR="00D1796F">
        <w:t>dalšího simulákra</w:t>
      </w:r>
      <w:r w:rsidR="00D1796F" w:rsidRPr="00C5305C">
        <w:t xml:space="preserve"> Averro</w:t>
      </w:r>
      <w:r w:rsidR="00D1796F">
        <w:t xml:space="preserve">ese </w:t>
      </w:r>
      <w:r w:rsidR="00D1796F" w:rsidRPr="00C5305C">
        <w:t>je přímým předchůdcem karteziánského postmodernismu.</w:t>
      </w:r>
      <w:r w:rsidR="00D1796F">
        <w:t xml:space="preserve"> </w:t>
      </w:r>
      <w:r w:rsidR="00225A5C">
        <w:t>D</w:t>
      </w:r>
      <w:r w:rsidR="000E3F0B" w:rsidRPr="000E3F0B">
        <w:t xml:space="preserve">ílo </w:t>
      </w:r>
      <w:r w:rsidR="000E3F0B" w:rsidRPr="000E3F0B">
        <w:rPr>
          <w:i/>
        </w:rPr>
        <w:t>De dictintionibus</w:t>
      </w:r>
      <w:r w:rsidR="000E3F0B" w:rsidRPr="000E3F0B">
        <w:t xml:space="preserve"> umožnilo recepci latinské mode</w:t>
      </w:r>
      <w:r w:rsidR="000E3F0B">
        <w:t>rny založené na neoplatonské</w:t>
      </w:r>
      <w:r w:rsidR="000E3F0B" w:rsidRPr="000E3F0B">
        <w:t xml:space="preserve"> povaze univerzálií. Esence Dobra vystupuje jako konečná př</w:t>
      </w:r>
      <w:r w:rsidR="000E3F0B">
        <w:t>íčina v objektivním modu univo</w:t>
      </w:r>
      <w:r w:rsidR="000E3F0B" w:rsidRPr="000E3F0B">
        <w:t xml:space="preserve">ční nutnosti </w:t>
      </w:r>
      <w:r w:rsidR="000E3F0B" w:rsidRPr="000E3F0B">
        <w:rPr>
          <w:i/>
        </w:rPr>
        <w:t>per se</w:t>
      </w:r>
      <w:r w:rsidR="089647CA">
        <w:t>.</w:t>
      </w:r>
      <w:r w:rsidR="089647CA" w:rsidRPr="00273106">
        <w:rPr>
          <w:rStyle w:val="Znakapoznpodarou"/>
        </w:rPr>
        <w:footnoteReference w:id="516"/>
      </w:r>
      <w:r w:rsidR="089647CA">
        <w:t xml:space="preserve"> </w:t>
      </w:r>
      <w:r w:rsidR="08FE5AC4">
        <w:t xml:space="preserve">Spis </w:t>
      </w:r>
      <w:r w:rsidR="000E3F0B">
        <w:t xml:space="preserve">cituje Averroesovu pasáž </w:t>
      </w:r>
      <w:r w:rsidR="084C199F" w:rsidRPr="00BE508D">
        <w:rPr>
          <w:i/>
        </w:rPr>
        <w:t>In III Metaphysicae</w:t>
      </w:r>
      <w:r w:rsidR="084C199F">
        <w:rPr>
          <w:rStyle w:val="ZkladntextKurzvadkovn0pt"/>
          <w:rFonts w:ascii="Calibri" w:eastAsia="Times" w:hAnsi="Calibri"/>
          <w:i w:val="0"/>
          <w:iCs w:val="0"/>
          <w:color w:val="auto"/>
          <w:spacing w:val="0"/>
          <w:sz w:val="20"/>
          <w:u w:val="none"/>
          <w:lang w:val="cs-CZ"/>
        </w:rPr>
        <w:t>,</w:t>
      </w:r>
      <w:r w:rsidR="084C199F">
        <w:t xml:space="preserve"> </w:t>
      </w:r>
      <w:r w:rsidR="084C199F" w:rsidRPr="001E6747">
        <w:rPr>
          <w:i/>
        </w:rPr>
        <w:t>commento 3</w:t>
      </w:r>
      <w:r w:rsidR="084C199F">
        <w:t xml:space="preserve"> (</w:t>
      </w:r>
      <w:r w:rsidR="084C199F" w:rsidRPr="006C1789">
        <w:rPr>
          <w:i/>
        </w:rPr>
        <w:t>Met</w:t>
      </w:r>
      <w:r w:rsidR="084C199F">
        <w:t>. 996a27‒28</w:t>
      </w:r>
      <w:r w:rsidR="084C199F">
        <w:fldChar w:fldCharType="begin"/>
      </w:r>
      <w:r w:rsidR="084C199F">
        <w:instrText xml:space="preserve"> XE "Aristoteles:</w:instrText>
      </w:r>
      <w:r w:rsidR="084C199F" w:rsidRPr="00504F8A">
        <w:rPr>
          <w:i/>
        </w:rPr>
        <w:instrText>Met</w:instrText>
      </w:r>
      <w:r w:rsidR="084C199F">
        <w:instrText xml:space="preserve">. </w:instrText>
      </w:r>
      <w:r w:rsidR="084C199F" w:rsidRPr="000F1565">
        <w:instrText>996a27‒28</w:instrText>
      </w:r>
      <w:r w:rsidR="084C199F">
        <w:instrText xml:space="preserve">" </w:instrText>
      </w:r>
      <w:r w:rsidR="084C199F">
        <w:fldChar w:fldCharType="end"/>
      </w:r>
      <w:r w:rsidR="084C199F">
        <w:t>)</w:t>
      </w:r>
      <w:r w:rsidR="08FE5AC4">
        <w:t xml:space="preserve"> v prvním postmoderním významu kauzálně dané objektivity. </w:t>
      </w:r>
      <w:r w:rsidR="080C6F93">
        <w:t xml:space="preserve">Achillini přebral moderní pojetí esence dané kauzálně, což měl Rufus a Kilwardby. </w:t>
      </w:r>
      <w:r w:rsidR="08BD6759">
        <w:t>Definice univerzálií-substancí podle Porfyriova stromu jde až k dále nedělitelnému individuu (</w:t>
      </w:r>
      <w:r w:rsidR="08BD6759" w:rsidRPr="002C7819">
        <w:rPr>
          <w:i/>
        </w:rPr>
        <w:t>per indivisibilitatem</w:t>
      </w:r>
      <w:r w:rsidR="08BD6759">
        <w:t xml:space="preserve">; </w:t>
      </w:r>
      <w:r w:rsidR="08BD6759">
        <w:rPr>
          <w:rStyle w:val="addmd"/>
        </w:rPr>
        <w:t>Matsen 1974, 268</w:t>
      </w:r>
      <w:r w:rsidR="08AF66B6">
        <w:t xml:space="preserve">). </w:t>
      </w:r>
      <w:r w:rsidR="00C5305C" w:rsidRPr="00C5305C">
        <w:t xml:space="preserve">Již zaniklý druhý averroismus žije v renesančním averroismu tím, že předkládá nové dělení objektivní reality. </w:t>
      </w:r>
      <w:r w:rsidR="084C199F">
        <w:t>Pak už není problém utvořit postmoderní dělení věd</w:t>
      </w:r>
      <w:r w:rsidR="08F568C8">
        <w:t xml:space="preserve">, které </w:t>
      </w:r>
      <w:r w:rsidR="0852001F">
        <w:t>zahájila škola Filipa Kancléře</w:t>
      </w:r>
      <w:r w:rsidR="00315444">
        <w:t xml:space="preserve">. </w:t>
      </w:r>
      <w:r w:rsidR="00315444" w:rsidRPr="00315444">
        <w:t>Foucault</w:t>
      </w:r>
      <w:r w:rsidR="00315444">
        <w:fldChar w:fldCharType="begin"/>
      </w:r>
      <w:r w:rsidR="00315444">
        <w:instrText xml:space="preserve"> XE "</w:instrText>
      </w:r>
      <w:r w:rsidR="00315444" w:rsidRPr="004532E0">
        <w:instrText>Foucault, M.</w:instrText>
      </w:r>
      <w:r w:rsidR="00315444">
        <w:instrText xml:space="preserve">" </w:instrText>
      </w:r>
      <w:r w:rsidR="00315444">
        <w:fldChar w:fldCharType="end"/>
      </w:r>
      <w:r w:rsidR="00315444">
        <w:t xml:space="preserve"> toto </w:t>
      </w:r>
      <w:r w:rsidR="00315444" w:rsidRPr="00315444">
        <w:t xml:space="preserve">dělení věd nihilisticky </w:t>
      </w:r>
      <w:r w:rsidR="00315444">
        <w:t xml:space="preserve">završuje </w:t>
      </w:r>
      <w:r w:rsidR="00315444" w:rsidRPr="00315444">
        <w:t>na konci metafyziky.</w:t>
      </w:r>
      <w:r w:rsidR="00315444">
        <w:t xml:space="preserve"> </w:t>
      </w:r>
      <w:r w:rsidR="00545E86">
        <w:t>První averroismus našel</w:t>
      </w:r>
      <w:r w:rsidR="084C199F">
        <w:t xml:space="preserve"> své pokračovatele díky vzkříšenému autentickému prvnímu averroismu na Padovské univerzitě</w:t>
      </w:r>
      <w:r w:rsidR="0028619A">
        <w:t xml:space="preserve">. </w:t>
      </w:r>
      <w:r w:rsidR="0028619A" w:rsidRPr="0028619A">
        <w:t>Jejím nejlepším představitelem byl Galileo Galilei</w:t>
      </w:r>
      <w:r w:rsidR="0028619A">
        <w:fldChar w:fldCharType="begin"/>
      </w:r>
      <w:r w:rsidR="0028619A">
        <w:instrText xml:space="preserve"> XE "</w:instrText>
      </w:r>
      <w:r w:rsidR="0028619A" w:rsidRPr="007E3EE9">
        <w:instrText>Galileo Galilei</w:instrText>
      </w:r>
      <w:r w:rsidR="0028619A">
        <w:instrText xml:space="preserve">" </w:instrText>
      </w:r>
      <w:r w:rsidR="0028619A">
        <w:fldChar w:fldCharType="end"/>
      </w:r>
      <w:r w:rsidR="0028619A" w:rsidRPr="0028619A">
        <w:t>, zakladatel antimoderní, tj. empirické fyziky, která vycházela z první triády poznávacích principů (</w:t>
      </w:r>
      <w:r w:rsidR="0028619A" w:rsidRPr="0028619A">
        <w:rPr>
          <w:i/>
        </w:rPr>
        <w:t>ex primis et veris et inmediatis</w:t>
      </w:r>
      <w:r w:rsidR="0028619A" w:rsidRPr="0028619A">
        <w:t>).</w:t>
      </w:r>
      <w:r w:rsidR="0028619A">
        <w:t xml:space="preserve"> </w:t>
      </w:r>
      <w:r w:rsidR="084C199F">
        <w:t>Renesanční škola averroismu pokračuje ve sporu Toledské a Sicilské školy</w:t>
      </w:r>
      <w:r w:rsidR="084C199F">
        <w:fldChar w:fldCharType="begin"/>
      </w:r>
      <w:r w:rsidR="084C199F">
        <w:instrText xml:space="preserve"> XE "</w:instrText>
      </w:r>
      <w:r w:rsidR="084C199F" w:rsidRPr="006E5B7C">
        <w:instrText>Sicilská škola</w:instrText>
      </w:r>
      <w:r w:rsidR="084C199F">
        <w:instrText xml:space="preserve">" </w:instrText>
      </w:r>
      <w:r w:rsidR="084C199F">
        <w:fldChar w:fldCharType="end"/>
      </w:r>
      <w:r w:rsidR="084C199F">
        <w:t xml:space="preserve"> a výsledem tohoto zápasu je Galileiho pojetí experimentální vědy podle </w:t>
      </w:r>
      <w:r w:rsidR="084C199F" w:rsidRPr="004A155A">
        <w:rPr>
          <w:i/>
        </w:rPr>
        <w:t>Druhých analytik</w:t>
      </w:r>
      <w:r w:rsidR="084C199F">
        <w:t xml:space="preserve">. Celé drama poznání se znovu opakuje v osvícenské postmoderně. </w:t>
      </w:r>
      <w:r w:rsidR="004864E9" w:rsidRPr="004864E9">
        <w:t>Kant</w:t>
      </w:r>
      <w:r w:rsidR="004864E9">
        <w:fldChar w:fldCharType="begin"/>
      </w:r>
      <w:r w:rsidR="004864E9">
        <w:instrText xml:space="preserve"> XE "</w:instrText>
      </w:r>
      <w:r w:rsidR="004864E9" w:rsidRPr="00613D41">
        <w:instrText>Kant</w:instrText>
      </w:r>
      <w:r w:rsidR="004864E9">
        <w:instrText xml:space="preserve">, </w:instrText>
      </w:r>
      <w:r w:rsidR="004864E9" w:rsidRPr="00613D41">
        <w:instrText>I.</w:instrText>
      </w:r>
      <w:r w:rsidR="004864E9">
        <w:instrText xml:space="preserve">" </w:instrText>
      </w:r>
      <w:r w:rsidR="004864E9">
        <w:fldChar w:fldCharType="end"/>
      </w:r>
      <w:r w:rsidR="004864E9" w:rsidRPr="004864E9">
        <w:t xml:space="preserve"> pracuje s nominálně danou </w:t>
      </w:r>
      <w:r w:rsidR="004864E9">
        <w:t xml:space="preserve">danou </w:t>
      </w:r>
      <w:r w:rsidR="004864E9" w:rsidRPr="00D74947">
        <w:rPr>
          <w:i/>
        </w:rPr>
        <w:t>Ding an sich</w:t>
      </w:r>
      <w:r w:rsidR="004864E9">
        <w:t xml:space="preserve">, což je definováno jako </w:t>
      </w:r>
      <w:r w:rsidR="004864E9" w:rsidRPr="004864E9">
        <w:t xml:space="preserve">tzv. </w:t>
      </w:r>
      <w:r w:rsidR="004864E9" w:rsidRPr="00417326">
        <w:rPr>
          <w:i/>
        </w:rPr>
        <w:t>Phenomenon</w:t>
      </w:r>
      <w:r w:rsidR="004864E9" w:rsidRPr="004864E9">
        <w:t xml:space="preserve">. </w:t>
      </w:r>
      <w:r w:rsidR="004864E9">
        <w:t xml:space="preserve">Fenomenalita světa ve vědomí poznávacího subjektu je oddělena od </w:t>
      </w:r>
      <w:r w:rsidR="004864E9" w:rsidRPr="004864E9">
        <w:rPr>
          <w:i/>
        </w:rPr>
        <w:t>Noumenon</w:t>
      </w:r>
      <w:r w:rsidR="004864E9" w:rsidRPr="004864E9">
        <w:t xml:space="preserve">, tedy </w:t>
      </w:r>
      <w:r w:rsidR="004864E9">
        <w:t xml:space="preserve">od skutečné první substance. Kant nemá přímé spojení s reálným světem dané skrze impozici. Jeho teorie poznání pracuje pouze se supozičně daným </w:t>
      </w:r>
      <w:r w:rsidR="004864E9" w:rsidRPr="004864E9">
        <w:rPr>
          <w:i/>
        </w:rPr>
        <w:t>scibile</w:t>
      </w:r>
      <w:r w:rsidR="004864E9">
        <w:t>, které je syntetizováno ve vědomí subjektu.</w:t>
      </w:r>
      <w:r w:rsidR="004864E9" w:rsidRPr="004864E9">
        <w:t xml:space="preserve"> </w:t>
      </w:r>
      <w:r w:rsidR="004864E9">
        <w:t xml:space="preserve">Proto u něj není pravda jako korespondence podle Averroesova pojetí pravdy jako </w:t>
      </w:r>
      <w:r w:rsidR="004864E9" w:rsidRPr="004864E9">
        <w:rPr>
          <w:i/>
        </w:rPr>
        <w:t>proportio</w:t>
      </w:r>
      <w:r w:rsidR="004864E9" w:rsidRPr="004864E9">
        <w:t>.</w:t>
      </w:r>
      <w:r w:rsidR="004864E9">
        <w:t xml:space="preserve"> </w:t>
      </w:r>
      <w:r w:rsidR="084C199F">
        <w:t xml:space="preserve">Kant je </w:t>
      </w:r>
      <w:r w:rsidR="000B3358">
        <w:t>post</w:t>
      </w:r>
      <w:r w:rsidR="084C199F">
        <w:t xml:space="preserve">modernista ve stylu Descarta a </w:t>
      </w:r>
      <w:r w:rsidR="08133D0B">
        <w:t xml:space="preserve">nasvítil jsoucno zezadu. </w:t>
      </w:r>
      <w:r w:rsidR="08D45074">
        <w:t xml:space="preserve">Dílo </w:t>
      </w:r>
      <w:r w:rsidR="08D45074" w:rsidRPr="08D45074">
        <w:rPr>
          <w:i/>
        </w:rPr>
        <w:t>K</w:t>
      </w:r>
      <w:r w:rsidR="08133D0B" w:rsidRPr="08D45074">
        <w:rPr>
          <w:i/>
        </w:rPr>
        <w:t xml:space="preserve">ritika </w:t>
      </w:r>
      <w:r w:rsidR="08D45074" w:rsidRPr="08D45074">
        <w:rPr>
          <w:i/>
        </w:rPr>
        <w:t xml:space="preserve">čistého rozumu </w:t>
      </w:r>
      <w:r w:rsidR="084C199F">
        <w:t>vytvořil</w:t>
      </w:r>
      <w:r w:rsidR="08D45074">
        <w:t>o</w:t>
      </w:r>
      <w:r w:rsidR="084C199F">
        <w:t xml:space="preserve"> dvě patra vrozených principů daných smyslově a inteligibilně. </w:t>
      </w:r>
      <w:r w:rsidR="00EC7651" w:rsidRPr="00EC7651">
        <w:t>Kant se tímto marným způsobem snažil zrušit neoplatonickou teorii poznání založenou na porret</w:t>
      </w:r>
      <w:r w:rsidR="00EC7651">
        <w:t>ánských hypostá</w:t>
      </w:r>
      <w:r w:rsidR="00EC7651" w:rsidRPr="00EC7651">
        <w:t xml:space="preserve">zích, kterou vytvořili Locke a Berkeley a která využívala Leibnizovu kauzalitu </w:t>
      </w:r>
      <w:r w:rsidR="00EC7651">
        <w:t>skrze matematické</w:t>
      </w:r>
      <w:r w:rsidR="00EC7651" w:rsidRPr="00EC7651">
        <w:t xml:space="preserve"> </w:t>
      </w:r>
      <w:r w:rsidR="00EC7651" w:rsidRPr="00EC7651">
        <w:rPr>
          <w:i/>
        </w:rPr>
        <w:t>scibile</w:t>
      </w:r>
      <w:r w:rsidR="00EC7651" w:rsidRPr="00EC7651">
        <w:t>.</w:t>
      </w:r>
      <w:r w:rsidR="00EC7651">
        <w:t xml:space="preserve"> </w:t>
      </w:r>
      <w:r w:rsidR="08765CB7">
        <w:t xml:space="preserve">Proto </w:t>
      </w:r>
      <w:r w:rsidR="084C199F">
        <w:t xml:space="preserve">vytvořil dvojí objektivitu </w:t>
      </w:r>
      <w:r w:rsidR="084C199F" w:rsidRPr="003E7092">
        <w:rPr>
          <w:i/>
        </w:rPr>
        <w:t>a priori</w:t>
      </w:r>
      <w:r w:rsidR="08765CB7">
        <w:t xml:space="preserve">, kterou </w:t>
      </w:r>
      <w:r w:rsidR="084C199F">
        <w:t>definova</w:t>
      </w:r>
      <w:r w:rsidR="08765CB7">
        <w:t>l</w:t>
      </w:r>
      <w:r w:rsidR="084C199F">
        <w:t xml:space="preserve"> čistě formálně v modu Rufusovy </w:t>
      </w:r>
      <w:r w:rsidR="084C199F" w:rsidRPr="08283929">
        <w:rPr>
          <w:i/>
        </w:rPr>
        <w:t>pote</w:t>
      </w:r>
      <w:r w:rsidR="084C199F">
        <w:rPr>
          <w:i/>
        </w:rPr>
        <w:t>n</w:t>
      </w:r>
      <w:r w:rsidR="084C199F" w:rsidRPr="08283929">
        <w:rPr>
          <w:i/>
        </w:rPr>
        <w:t>tia substantialis</w:t>
      </w:r>
      <w:r w:rsidR="085437E7">
        <w:rPr>
          <w:i/>
        </w:rPr>
        <w:fldChar w:fldCharType="begin"/>
      </w:r>
      <w:r w:rsidR="085437E7">
        <w:instrText xml:space="preserve"> XE "</w:instrText>
      </w:r>
      <w:r w:rsidR="085437E7" w:rsidRPr="080D5CE6">
        <w:rPr>
          <w:i/>
        </w:rPr>
        <w:instrText>potentia substantialis</w:instrText>
      </w:r>
      <w:r w:rsidR="085437E7">
        <w:instrText xml:space="preserve">" </w:instrText>
      </w:r>
      <w:r w:rsidR="085437E7">
        <w:rPr>
          <w:i/>
        </w:rPr>
        <w:fldChar w:fldCharType="end"/>
      </w:r>
      <w:r w:rsidR="084C199F">
        <w:t>. Kant hypostázuje poznávací formy jako Rufus a staví tyto apriorní formy empiricky determinovaného rozumu (</w:t>
      </w:r>
      <w:r w:rsidR="084C199F" w:rsidRPr="08596030">
        <w:rPr>
          <w:i/>
        </w:rPr>
        <w:t>Verstand</w:t>
      </w:r>
      <w:r w:rsidR="084C199F">
        <w:t xml:space="preserve">) proti porretánským hypostázím Locka a Berkelyho a proti Leibnizově kauzalitě z čistého matematického </w:t>
      </w:r>
      <w:r w:rsidR="084C199F" w:rsidRPr="08222EFA">
        <w:rPr>
          <w:i/>
        </w:rPr>
        <w:t>scibile</w:t>
      </w:r>
      <w:r w:rsidR="084C199F">
        <w:t xml:space="preserve">. Čistá forma smyslového názoru daná jako prostor a čas </w:t>
      </w:r>
      <w:r w:rsidR="084C199F" w:rsidRPr="007B7F30">
        <w:rPr>
          <w:i/>
        </w:rPr>
        <w:t>a priori</w:t>
      </w:r>
      <w:r w:rsidR="084C199F">
        <w:t xml:space="preserve"> vytvořila první inteligibilní hypostázi pro smyslová </w:t>
      </w:r>
      <w:r w:rsidR="004B4D52" w:rsidRPr="004B4D52">
        <w:t>species</w:t>
      </w:r>
      <w:r w:rsidR="084C199F">
        <w:t xml:space="preserve"> </w:t>
      </w:r>
      <w:r w:rsidR="084C199F" w:rsidRPr="003E7092">
        <w:t>(</w:t>
      </w:r>
      <w:r w:rsidR="084C199F" w:rsidRPr="003E7092">
        <w:rPr>
          <w:i/>
        </w:rPr>
        <w:t>reine Anschauungsformen</w:t>
      </w:r>
      <w:r w:rsidR="084C199F" w:rsidRPr="003E7092">
        <w:t>)</w:t>
      </w:r>
      <w:r w:rsidR="084C199F">
        <w:t>. Ale proti zcela objektivistickému Lockovi a Leibnizovi nechal Kant jako objektivní aristotelik tyto apriorní struktury aktualizovat pouze smyslovým poznáním kauzálně daným od reality první substance</w:t>
      </w:r>
      <w:r w:rsidR="08017A37">
        <w:t xml:space="preserve"> (</w:t>
      </w:r>
      <w:r w:rsidR="08017A37" w:rsidRPr="08017A37">
        <w:rPr>
          <w:i/>
        </w:rPr>
        <w:t>Analogie</w:t>
      </w:r>
      <w:r w:rsidR="08017A37">
        <w:rPr>
          <w:i/>
        </w:rPr>
        <w:t>n</w:t>
      </w:r>
      <w:r w:rsidR="08017A37" w:rsidRPr="08017A37">
        <w:rPr>
          <w:i/>
        </w:rPr>
        <w:t xml:space="preserve"> der Erfahrung</w:t>
      </w:r>
      <w:r w:rsidR="08017A37">
        <w:t>)</w:t>
      </w:r>
      <w:r w:rsidR="084C199F">
        <w:t xml:space="preserve">. Takto aktualizované smyslové poznatky </w:t>
      </w:r>
      <w:r w:rsidR="085437E7">
        <w:t xml:space="preserve">dané v modu </w:t>
      </w:r>
      <w:r w:rsidR="085437E7" w:rsidRPr="08283929">
        <w:rPr>
          <w:i/>
        </w:rPr>
        <w:t>pote</w:t>
      </w:r>
      <w:r w:rsidR="085437E7">
        <w:rPr>
          <w:i/>
        </w:rPr>
        <w:t>n</w:t>
      </w:r>
      <w:r w:rsidR="085437E7" w:rsidRPr="08283929">
        <w:rPr>
          <w:i/>
        </w:rPr>
        <w:t xml:space="preserve">tia </w:t>
      </w:r>
      <w:r w:rsidR="085437E7">
        <w:rPr>
          <w:i/>
        </w:rPr>
        <w:t>accidentalis</w:t>
      </w:r>
      <w:r w:rsidR="085437E7">
        <w:rPr>
          <w:i/>
        </w:rPr>
        <w:fldChar w:fldCharType="begin"/>
      </w:r>
      <w:r w:rsidR="085437E7">
        <w:instrText xml:space="preserve"> XE "</w:instrText>
      </w:r>
      <w:r w:rsidR="085437E7" w:rsidRPr="087060AE">
        <w:rPr>
          <w:i/>
        </w:rPr>
        <w:instrText>potentia accidentalis</w:instrText>
      </w:r>
      <w:r w:rsidR="085437E7">
        <w:instrText xml:space="preserve">" </w:instrText>
      </w:r>
      <w:r w:rsidR="085437E7">
        <w:rPr>
          <w:i/>
        </w:rPr>
        <w:fldChar w:fldCharType="end"/>
      </w:r>
      <w:r w:rsidR="085437E7">
        <w:rPr>
          <w:i/>
        </w:rPr>
        <w:t xml:space="preserve"> </w:t>
      </w:r>
      <w:r w:rsidR="084C199F">
        <w:t xml:space="preserve">napojil </w:t>
      </w:r>
      <w:r w:rsidR="082223A3">
        <w:t xml:space="preserve">Kant </w:t>
      </w:r>
      <w:r w:rsidR="084C199F">
        <w:t xml:space="preserve">na druhém patře vrozených principů na </w:t>
      </w:r>
      <w:r w:rsidR="087E0438">
        <w:t xml:space="preserve">hypostázované </w:t>
      </w:r>
      <w:r w:rsidR="084C199F">
        <w:t xml:space="preserve">inteligibilní formy </w:t>
      </w:r>
      <w:r w:rsidR="08A611CA">
        <w:t>(</w:t>
      </w:r>
      <w:r w:rsidR="08A611CA">
        <w:rPr>
          <w:i/>
        </w:rPr>
        <w:t>reine</w:t>
      </w:r>
      <w:r w:rsidR="08A611CA" w:rsidRPr="00355FE6">
        <w:rPr>
          <w:i/>
        </w:rPr>
        <w:t xml:space="preserve"> Verstandesbegriffe</w:t>
      </w:r>
      <w:r w:rsidR="08A611CA">
        <w:t xml:space="preserve">). Nová kategorizace </w:t>
      </w:r>
      <w:r w:rsidR="087E0438">
        <w:t xml:space="preserve">logických vztahů daných </w:t>
      </w:r>
      <w:r w:rsidR="087E0438" w:rsidRPr="003E7092">
        <w:rPr>
          <w:i/>
        </w:rPr>
        <w:t>a priori</w:t>
      </w:r>
      <w:r w:rsidR="087E0438">
        <w:t xml:space="preserve"> </w:t>
      </w:r>
      <w:r w:rsidR="08A611CA">
        <w:t xml:space="preserve">nahradila po </w:t>
      </w:r>
      <w:r w:rsidR="084C199F">
        <w:t>vzoru porretánů Aristotelovu tabulku kategorií. Výsledkem bylo vytvoření dvojího patra vrozených principů, které řídí syntézu postmoderní objektivity z titulu nezbytných podmínek</w:t>
      </w:r>
      <w:r w:rsidR="08080236">
        <w:t xml:space="preserve"> </w:t>
      </w:r>
      <w:r w:rsidR="08080236" w:rsidRPr="08846580">
        <w:rPr>
          <w:i/>
        </w:rPr>
        <w:t>a</w:t>
      </w:r>
      <w:r w:rsidR="08846580" w:rsidRPr="08846580">
        <w:rPr>
          <w:i/>
        </w:rPr>
        <w:t xml:space="preserve"> </w:t>
      </w:r>
      <w:r w:rsidR="08080236" w:rsidRPr="08846580">
        <w:rPr>
          <w:i/>
        </w:rPr>
        <w:t>priori</w:t>
      </w:r>
      <w:r w:rsidR="084C199F">
        <w:t xml:space="preserve">. První patro </w:t>
      </w:r>
      <w:r w:rsidR="082E57CC">
        <w:t xml:space="preserve">poznávacích </w:t>
      </w:r>
      <w:r w:rsidR="084C199F">
        <w:t xml:space="preserve">principů </w:t>
      </w:r>
      <w:r w:rsidR="084C199F" w:rsidRPr="08E1764C">
        <w:rPr>
          <w:i/>
        </w:rPr>
        <w:t>a</w:t>
      </w:r>
      <w:r w:rsidR="08E1764C" w:rsidRPr="08E1764C">
        <w:rPr>
          <w:i/>
        </w:rPr>
        <w:t xml:space="preserve"> </w:t>
      </w:r>
      <w:r w:rsidR="084C199F" w:rsidRPr="08E1764C">
        <w:rPr>
          <w:i/>
        </w:rPr>
        <w:t>priori</w:t>
      </w:r>
      <w:r w:rsidR="084C199F">
        <w:t xml:space="preserve"> (</w:t>
      </w:r>
      <w:r w:rsidR="084C199F" w:rsidRPr="08C03775">
        <w:rPr>
          <w:i/>
        </w:rPr>
        <w:t>reine Anscha</w:t>
      </w:r>
      <w:r w:rsidR="084C199F">
        <w:rPr>
          <w:i/>
        </w:rPr>
        <w:t>u</w:t>
      </w:r>
      <w:r w:rsidR="084C199F" w:rsidRPr="08C03775">
        <w:rPr>
          <w:i/>
        </w:rPr>
        <w:t>ung</w:t>
      </w:r>
      <w:r w:rsidR="084C199F">
        <w:t xml:space="preserve">) je vzato podle hypostázovaného </w:t>
      </w:r>
      <w:r w:rsidR="084C199F" w:rsidRPr="088C5033">
        <w:rPr>
          <w:i/>
        </w:rPr>
        <w:t>intellectus materialis</w:t>
      </w:r>
      <w:r w:rsidR="084C199F">
        <w:t xml:space="preserve"> Themistia a Avicenny. Protože existuje čas a prostor v apriorní formě, tak je možná čistá matematika. Druhé patro inteligibilních principů a kategorií má charakter porretánské</w:t>
      </w:r>
      <w:r w:rsidR="00685CF3">
        <w:t>ho</w:t>
      </w:r>
      <w:r w:rsidR="084C199F">
        <w:t xml:space="preserve"> </w:t>
      </w:r>
      <w:r w:rsidR="00685CF3" w:rsidRPr="088C5033">
        <w:rPr>
          <w:i/>
        </w:rPr>
        <w:t>intell</w:t>
      </w:r>
      <w:r w:rsidR="00685CF3">
        <w:rPr>
          <w:i/>
        </w:rPr>
        <w:t>e</w:t>
      </w:r>
      <w:r w:rsidR="00685CF3" w:rsidRPr="088C5033">
        <w:rPr>
          <w:i/>
        </w:rPr>
        <w:t>ctus agens</w:t>
      </w:r>
      <w:r w:rsidR="00685CF3">
        <w:rPr>
          <w:i/>
        </w:rPr>
        <w:t xml:space="preserve"> </w:t>
      </w:r>
      <w:r w:rsidR="00685CF3">
        <w:t xml:space="preserve">jako hypostáze. Tento </w:t>
      </w:r>
      <w:r w:rsidR="00275E9A">
        <w:t xml:space="preserve">aktivní </w:t>
      </w:r>
      <w:r w:rsidR="00685CF3">
        <w:t xml:space="preserve">intelekt </w:t>
      </w:r>
      <w:r w:rsidR="084C199F">
        <w:t>tvoří základní subst</w:t>
      </w:r>
      <w:r w:rsidR="00D7078C">
        <w:t>rát pro syntézu pojmů</w:t>
      </w:r>
      <w:r w:rsidR="084C199F">
        <w:t xml:space="preserve"> postavenou mimo empirickou materii a zkušenost (</w:t>
      </w:r>
      <w:r w:rsidR="084C199F" w:rsidRPr="08A11CF0">
        <w:rPr>
          <w:rStyle w:val="mw-headline"/>
          <w:i/>
        </w:rPr>
        <w:t>transzendentale Logik</w:t>
      </w:r>
      <w:r w:rsidR="084C199F">
        <w:t xml:space="preserve">). </w:t>
      </w:r>
      <w:r w:rsidR="084C199F" w:rsidRPr="00273106">
        <w:t xml:space="preserve">Karteziánská </w:t>
      </w:r>
      <w:r w:rsidR="084C199F">
        <w:t>post</w:t>
      </w:r>
      <w:r w:rsidR="084C199F" w:rsidRPr="00273106">
        <w:t>moderna radikalizovaná Kant</w:t>
      </w:r>
      <w:r w:rsidR="000506AE">
        <w:t>em vyměnila</w:t>
      </w:r>
      <w:r w:rsidR="084C199F" w:rsidRPr="00273106">
        <w:t xml:space="preserve"> produkci exemplarů od </w:t>
      </w:r>
      <w:r w:rsidR="00D15389">
        <w:t xml:space="preserve">moderního boha </w:t>
      </w:r>
      <w:r w:rsidR="000506AE" w:rsidRPr="000506AE">
        <w:t>za produkci aprio</w:t>
      </w:r>
      <w:r w:rsidR="000506AE">
        <w:t>rně daného postmoderního smyslu</w:t>
      </w:r>
      <w:r w:rsidR="000506AE" w:rsidRPr="000506AE">
        <w:t>, který produkuje výhradně lidský subjekt.</w:t>
      </w:r>
      <w:r w:rsidR="00AE71E1">
        <w:t xml:space="preserve"> </w:t>
      </w:r>
      <w:r w:rsidR="00002869">
        <w:t xml:space="preserve">Postmoderna jde podobně radikálním způsobem k objektivně dané věci </w:t>
      </w:r>
      <w:r w:rsidR="00002869" w:rsidRPr="00273106">
        <w:t>(</w:t>
      </w:r>
      <w:r w:rsidR="00002869" w:rsidRPr="00273106">
        <w:rPr>
          <w:rStyle w:val="st"/>
          <w:i/>
        </w:rPr>
        <w:t>auf die Sachen selbst zurückgehen</w:t>
      </w:r>
      <w:r w:rsidR="00002869" w:rsidRPr="00273106">
        <w:t>) skrze Husserlovu eidetickou evidenci</w:t>
      </w:r>
      <w:r w:rsidR="00002869">
        <w:rPr>
          <w:i/>
        </w:rPr>
        <w:fldChar w:fldCharType="begin"/>
      </w:r>
      <w:r w:rsidR="00002869">
        <w:instrText xml:space="preserve"> XE "vidění:eidetické" </w:instrText>
      </w:r>
      <w:r w:rsidR="00002869">
        <w:rPr>
          <w:i/>
        </w:rPr>
        <w:fldChar w:fldCharType="end"/>
      </w:r>
      <w:r w:rsidR="00002869">
        <w:t>, která tvoří „</w:t>
      </w:r>
      <w:r w:rsidR="00002869" w:rsidRPr="00273106">
        <w:rPr>
          <w:i/>
        </w:rPr>
        <w:t>das Prinzip aller Prinzipien</w:t>
      </w:r>
      <w:r w:rsidR="00002869">
        <w:t>“</w:t>
      </w:r>
      <w:r w:rsidR="00002869" w:rsidRPr="00273106">
        <w:t xml:space="preserve"> (</w:t>
      </w:r>
      <w:r w:rsidR="00002869" w:rsidRPr="00273106">
        <w:rPr>
          <w:i/>
        </w:rPr>
        <w:t>Ideen</w:t>
      </w:r>
      <w:r w:rsidR="00002869" w:rsidRPr="00273106">
        <w:t xml:space="preserve"> I, § 24). </w:t>
      </w:r>
      <w:r w:rsidR="00002869">
        <w:t xml:space="preserve">Husserlova </w:t>
      </w:r>
      <w:r w:rsidR="00002869" w:rsidRPr="00273106">
        <w:t>ex</w:t>
      </w:r>
      <w:r w:rsidR="00002869">
        <w:t xml:space="preserve">istence </w:t>
      </w:r>
      <w:r w:rsidR="00002869" w:rsidRPr="00273106">
        <w:t>jsoucna jako noematu věd</w:t>
      </w:r>
      <w:r w:rsidR="00002869">
        <w:t>omí není nic jiného, než supozice produkovaná</w:t>
      </w:r>
      <w:r w:rsidR="00002869" w:rsidRPr="00273106">
        <w:t xml:space="preserve"> subjek</w:t>
      </w:r>
      <w:r w:rsidR="00002869">
        <w:t xml:space="preserve">tem v rámci objektivního </w:t>
      </w:r>
      <w:r w:rsidR="00002869" w:rsidRPr="00273106">
        <w:rPr>
          <w:i/>
        </w:rPr>
        <w:t>scibile</w:t>
      </w:r>
      <w:r w:rsidR="00002869">
        <w:rPr>
          <w:i/>
        </w:rPr>
        <w:fldChar w:fldCharType="begin"/>
      </w:r>
      <w:r w:rsidR="00002869">
        <w:instrText xml:space="preserve"> XE "</w:instrText>
      </w:r>
      <w:r w:rsidR="00002869" w:rsidRPr="0063038E">
        <w:rPr>
          <w:i/>
        </w:rPr>
        <w:instrText>scibile:</w:instrText>
      </w:r>
      <w:r w:rsidR="00002869" w:rsidRPr="0063038E">
        <w:instrText>Husserl</w:instrText>
      </w:r>
      <w:r w:rsidR="00002869">
        <w:instrText xml:space="preserve">" </w:instrText>
      </w:r>
      <w:r w:rsidR="00002869">
        <w:rPr>
          <w:i/>
        </w:rPr>
        <w:fldChar w:fldCharType="end"/>
      </w:r>
      <w:r w:rsidR="00002869">
        <w:t xml:space="preserve">. </w:t>
      </w:r>
      <w:r w:rsidR="00002869" w:rsidRPr="00273106">
        <w:t>Husserlův problematický vztah k otázce po bytí viděl Heidegger hned na začátku své myslitelské</w:t>
      </w:r>
      <w:r w:rsidR="00002869">
        <w:t xml:space="preserve"> cesty dané směrem k původní dějinnosti bytí</w:t>
      </w:r>
      <w:r w:rsidR="00002869" w:rsidRPr="00273106">
        <w:t xml:space="preserve">. </w:t>
      </w:r>
      <w:r w:rsidR="00002869">
        <w:t>K</w:t>
      </w:r>
      <w:r w:rsidR="00002869" w:rsidRPr="00273106">
        <w:t xml:space="preserve">arteziánské pojetí existence </w:t>
      </w:r>
      <w:r w:rsidR="00002869">
        <w:t>jako „</w:t>
      </w:r>
      <w:r w:rsidR="00002869" w:rsidRPr="00333D49">
        <w:rPr>
          <w:i/>
        </w:rPr>
        <w:t>ego sum</w:t>
      </w:r>
      <w:r w:rsidR="00002869">
        <w:t xml:space="preserve">“ </w:t>
      </w:r>
      <w:r w:rsidR="00002869" w:rsidRPr="00273106">
        <w:t>ne</w:t>
      </w:r>
      <w:r w:rsidR="00002869">
        <w:t xml:space="preserve">ní </w:t>
      </w:r>
      <w:r w:rsidR="00002869" w:rsidRPr="00273106">
        <w:t xml:space="preserve">primárně dáno z otázky po bytí, ale ze sekundární  otázky po evidenci poznání v </w:t>
      </w:r>
      <w:r w:rsidR="00002869">
        <w:t xml:space="preserve">reflektujícím </w:t>
      </w:r>
      <w:r w:rsidR="00002869" w:rsidRPr="00273106">
        <w:t>subjektu.</w:t>
      </w:r>
      <w:r w:rsidR="00002869" w:rsidRPr="00273106">
        <w:rPr>
          <w:rStyle w:val="Znakapoznpodarou"/>
        </w:rPr>
        <w:footnoteReference w:id="517"/>
      </w:r>
      <w:r w:rsidR="00002869" w:rsidRPr="00273106">
        <w:t xml:space="preserve"> </w:t>
      </w:r>
      <w:r w:rsidR="00002869">
        <w:t>F</w:t>
      </w:r>
      <w:r w:rsidR="00002869" w:rsidRPr="00273106">
        <w:t xml:space="preserve">enomenologie musí být </w:t>
      </w:r>
      <w:r w:rsidR="00002869">
        <w:t>podle Heideggera dána jako hermeneutika</w:t>
      </w:r>
      <w:r w:rsidR="00002869">
        <w:fldChar w:fldCharType="begin"/>
      </w:r>
      <w:r w:rsidR="00002869">
        <w:instrText xml:space="preserve"> XE "</w:instrText>
      </w:r>
      <w:r w:rsidR="00002869" w:rsidRPr="00F92799">
        <w:instrText>hermeneutika:Heidegger</w:instrText>
      </w:r>
      <w:r w:rsidR="00002869">
        <w:instrText xml:space="preserve">" </w:instrText>
      </w:r>
      <w:r w:rsidR="00002869">
        <w:fldChar w:fldCharType="end"/>
      </w:r>
      <w:r w:rsidR="00002869">
        <w:t xml:space="preserve"> založená na existenciální analytice</w:t>
      </w:r>
      <w:r w:rsidR="00002869" w:rsidRPr="00273106">
        <w:t xml:space="preserve"> </w:t>
      </w:r>
      <w:r w:rsidR="00002869" w:rsidRPr="00273106">
        <w:rPr>
          <w:i/>
        </w:rPr>
        <w:t>Dasein</w:t>
      </w:r>
      <w:r w:rsidR="00002869" w:rsidRPr="00273106">
        <w:t xml:space="preserve"> konfrontovaného přímo a bezprostředně s otázkou po smyslu bytí.</w:t>
      </w:r>
      <w:r w:rsidR="00002869">
        <w:t xml:space="preserve"> E</w:t>
      </w:r>
      <w:r w:rsidR="00002869" w:rsidRPr="00273106">
        <w:t xml:space="preserve">xistenciální aristotelik Heidegger </w:t>
      </w:r>
      <w:r w:rsidR="00002869">
        <w:t xml:space="preserve">se rozešel </w:t>
      </w:r>
      <w:r w:rsidR="00002869" w:rsidRPr="00273106">
        <w:t xml:space="preserve">po četbě </w:t>
      </w:r>
      <w:r w:rsidR="00002869" w:rsidRPr="00C87312">
        <w:rPr>
          <w:i/>
        </w:rPr>
        <w:t>Etiky Nikomachovy</w:t>
      </w:r>
      <w:r w:rsidR="00002869" w:rsidRPr="00273106">
        <w:t xml:space="preserve"> </w:t>
      </w:r>
      <w:r w:rsidR="00AB16E4">
        <w:t>s avicennismem</w:t>
      </w:r>
      <w:r w:rsidR="00002869">
        <w:t xml:space="preserve"> Husserl</w:t>
      </w:r>
      <w:r w:rsidR="00AB16E4">
        <w:t>a</w:t>
      </w:r>
      <w:r w:rsidR="00002869">
        <w:t xml:space="preserve">. Pozdější výklad epochálního smyslu bytí jako </w:t>
      </w:r>
      <w:r w:rsidR="00002869" w:rsidRPr="007666C5">
        <w:rPr>
          <w:i/>
        </w:rPr>
        <w:t>Ereignis</w:t>
      </w:r>
      <w:r w:rsidR="00002869">
        <w:t xml:space="preserve"> po známém „obratu myšlení“ (</w:t>
      </w:r>
      <w:r w:rsidR="00002869" w:rsidRPr="085000CE">
        <w:rPr>
          <w:i/>
        </w:rPr>
        <w:t>Kehre</w:t>
      </w:r>
      <w:r w:rsidR="00002869">
        <w:t xml:space="preserve">) navíc zcela zcela zrušil antropologickou a transcendentální rovinu </w:t>
      </w:r>
      <w:r w:rsidR="00002869" w:rsidRPr="084114B8">
        <w:rPr>
          <w:i/>
        </w:rPr>
        <w:t>Dasein</w:t>
      </w:r>
      <w:r w:rsidR="00002869">
        <w:t xml:space="preserve"> v novém pojmu </w:t>
      </w:r>
      <w:r w:rsidR="00002869" w:rsidRPr="085000CE">
        <w:rPr>
          <w:i/>
        </w:rPr>
        <w:t>Da-sein</w:t>
      </w:r>
      <w:r w:rsidR="00002869">
        <w:rPr>
          <w:i/>
        </w:rPr>
        <w:fldChar w:fldCharType="begin"/>
      </w:r>
      <w:r w:rsidR="00002869">
        <w:instrText xml:space="preserve"> XE "</w:instrText>
      </w:r>
      <w:r w:rsidR="00002869" w:rsidRPr="004874B3">
        <w:rPr>
          <w:i/>
        </w:rPr>
        <w:instrText>Da-sein</w:instrText>
      </w:r>
      <w:r w:rsidR="00002869">
        <w:instrText xml:space="preserve">" </w:instrText>
      </w:r>
      <w:r w:rsidR="00002869">
        <w:rPr>
          <w:i/>
        </w:rPr>
        <w:fldChar w:fldCharType="end"/>
      </w:r>
      <w:r w:rsidR="00002869">
        <w:t xml:space="preserve">. A stejně </w:t>
      </w:r>
      <w:r w:rsidR="00002869" w:rsidRPr="00273106">
        <w:t>fatálně</w:t>
      </w:r>
      <w:r w:rsidR="00002869">
        <w:t xml:space="preserve"> se </w:t>
      </w:r>
      <w:r w:rsidR="00002869" w:rsidRPr="00273106">
        <w:t>Husserl rozešel s aristotelikem Brentanem</w:t>
      </w:r>
      <w:r w:rsidR="00002869">
        <w:fldChar w:fldCharType="begin"/>
      </w:r>
      <w:r w:rsidR="00002869">
        <w:instrText xml:space="preserve"> XE "</w:instrText>
      </w:r>
      <w:r w:rsidR="00002869" w:rsidRPr="006F64C3">
        <w:instrText>Brentano, F.</w:instrText>
      </w:r>
      <w:r w:rsidR="00002869">
        <w:instrText xml:space="preserve">" </w:instrText>
      </w:r>
      <w:r w:rsidR="00002869">
        <w:fldChar w:fldCharType="end"/>
      </w:r>
      <w:r w:rsidR="00002869" w:rsidRPr="00273106">
        <w:t xml:space="preserve"> na začátku </w:t>
      </w:r>
      <w:r w:rsidR="00002869">
        <w:t xml:space="preserve">své </w:t>
      </w:r>
      <w:r w:rsidR="00002869" w:rsidRPr="00273106">
        <w:t>cesty k po</w:t>
      </w:r>
      <w:r w:rsidR="00002869">
        <w:t>stkarteziánské první filosofii.</w:t>
      </w:r>
      <w:r>
        <w:t xml:space="preserve"> </w:t>
      </w:r>
      <w:r w:rsidR="00AA6333">
        <w:t>Husserlovy</w:t>
      </w:r>
      <w:r w:rsidR="00AA6333">
        <w:fldChar w:fldCharType="begin"/>
      </w:r>
      <w:r w:rsidR="00AA6333">
        <w:instrText xml:space="preserve"> XE "</w:instrText>
      </w:r>
      <w:r w:rsidR="00AA6333" w:rsidRPr="002F3DCF">
        <w:instrText>Husserl, E.</w:instrText>
      </w:r>
      <w:r w:rsidR="00AA6333">
        <w:instrText xml:space="preserve">" </w:instrText>
      </w:r>
      <w:r w:rsidR="00AA6333">
        <w:fldChar w:fldCharType="end"/>
      </w:r>
      <w:r w:rsidR="00AA6333" w:rsidRPr="00273106">
        <w:t xml:space="preserve"> </w:t>
      </w:r>
      <w:r w:rsidR="00AA6333" w:rsidRPr="00273106">
        <w:rPr>
          <w:i/>
        </w:rPr>
        <w:t>Pariser Vorträge</w:t>
      </w:r>
      <w:r w:rsidR="00AA6333">
        <w:t xml:space="preserve"> (1929) doplnily Kartéziovy postmoderní </w:t>
      </w:r>
      <w:r w:rsidR="00AA6333" w:rsidRPr="009C17D2">
        <w:rPr>
          <w:i/>
        </w:rPr>
        <w:t>Meditationes de prima philosophia</w:t>
      </w:r>
      <w:r w:rsidR="00AA6333">
        <w:t xml:space="preserve"> (1641). Husserlova verze </w:t>
      </w:r>
      <w:r w:rsidR="00AA6333" w:rsidRPr="088B14AF">
        <w:rPr>
          <w:i/>
        </w:rPr>
        <w:t>Oxfordian Fallacy</w:t>
      </w:r>
      <w:r w:rsidR="00AA6333">
        <w:t xml:space="preserve"> stojí na</w:t>
      </w:r>
      <w:r w:rsidR="00AA6333">
        <w:fldChar w:fldCharType="begin"/>
      </w:r>
      <w:r w:rsidR="00AA6333">
        <w:instrText xml:space="preserve"> XE "</w:instrText>
      </w:r>
      <w:r w:rsidR="00AA6333" w:rsidRPr="007340A1">
        <w:instrText>Meinong, A.</w:instrText>
      </w:r>
      <w:r w:rsidR="00AA6333">
        <w:instrText xml:space="preserve">" </w:instrText>
      </w:r>
      <w:r w:rsidR="00AA6333">
        <w:fldChar w:fldCharType="end"/>
      </w:r>
      <w:r w:rsidR="00AA6333">
        <w:t xml:space="preserve"> pojmu „</w:t>
      </w:r>
      <w:r w:rsidR="00AA6333">
        <w:rPr>
          <w:i/>
        </w:rPr>
        <w:t>Fundierung</w:t>
      </w:r>
      <w:r w:rsidR="00AA6333" w:rsidRPr="006111BF">
        <w:t>“</w:t>
      </w:r>
      <w:r w:rsidR="00AA6333">
        <w:t xml:space="preserve">, který navrhnul </w:t>
      </w:r>
      <w:r w:rsidR="00AA6333">
        <w:rPr>
          <w:szCs w:val="24"/>
        </w:rPr>
        <w:t>Alexius Meinong</w:t>
      </w:r>
      <w:r w:rsidR="00AA6333" w:rsidRPr="00DC6664">
        <w:rPr>
          <w:szCs w:val="24"/>
        </w:rPr>
        <w:fldChar w:fldCharType="begin"/>
      </w:r>
      <w:r w:rsidR="00AA6333" w:rsidRPr="00DC6664">
        <w:rPr>
          <w:szCs w:val="24"/>
        </w:rPr>
        <w:instrText xml:space="preserve"> XE "Meinong, A." </w:instrText>
      </w:r>
      <w:r w:rsidR="00AA6333" w:rsidRPr="00DC6664">
        <w:rPr>
          <w:szCs w:val="24"/>
        </w:rPr>
        <w:fldChar w:fldCharType="end"/>
      </w:r>
      <w:r w:rsidR="00AA6333">
        <w:rPr>
          <w:szCs w:val="24"/>
        </w:rPr>
        <w:t xml:space="preserve"> (</w:t>
      </w:r>
      <w:r w:rsidR="00AA6333">
        <w:rPr>
          <w:rFonts w:cs="Calibri"/>
          <w:szCs w:val="24"/>
        </w:rPr>
        <w:t>†</w:t>
      </w:r>
      <w:r w:rsidR="00AA6333">
        <w:rPr>
          <w:szCs w:val="24"/>
        </w:rPr>
        <w:t>1920)</w:t>
      </w:r>
      <w:r w:rsidR="00AA6333">
        <w:t>.</w:t>
      </w:r>
      <w:r w:rsidR="00AA6333">
        <w:rPr>
          <w:rStyle w:val="Znakapoznpodarou"/>
        </w:rPr>
        <w:footnoteReference w:id="518"/>
      </w:r>
      <w:r w:rsidR="00AA6333">
        <w:t xml:space="preserve"> Meinong založil nihilistickou verzi </w:t>
      </w:r>
      <w:r w:rsidR="00AA6333" w:rsidRPr="007A4DB5">
        <w:rPr>
          <w:i/>
        </w:rPr>
        <w:t>Oxfordian Fallacy</w:t>
      </w:r>
      <w:r w:rsidR="00AA6333">
        <w:rPr>
          <w:i/>
        </w:rPr>
        <w:fldChar w:fldCharType="begin"/>
      </w:r>
      <w:r w:rsidR="00AA6333">
        <w:instrText xml:space="preserve"> XE "</w:instrText>
      </w:r>
      <w:r w:rsidR="00AA6333" w:rsidRPr="0015798D">
        <w:rPr>
          <w:i/>
        </w:rPr>
        <w:instrText>Oxfordian Fallacy:</w:instrText>
      </w:r>
      <w:r w:rsidR="00AA6333">
        <w:instrText xml:space="preserve">nihilismus" </w:instrText>
      </w:r>
      <w:r w:rsidR="00AA6333">
        <w:rPr>
          <w:i/>
        </w:rPr>
        <w:fldChar w:fldCharType="end"/>
      </w:r>
      <w:r w:rsidR="00AA6333">
        <w:rPr>
          <w:i/>
        </w:rPr>
        <w:t xml:space="preserve"> </w:t>
      </w:r>
      <w:r w:rsidR="00AA6333">
        <w:t>nasvícením smyslu jsoucna zezadu. Fundace významu ve vědomí (</w:t>
      </w:r>
      <w:r w:rsidR="00AA6333" w:rsidRPr="08043CAD">
        <w:rPr>
          <w:rStyle w:val="Zvraznn"/>
          <w:iCs w:val="0"/>
        </w:rPr>
        <w:t>Fundierung</w:t>
      </w:r>
      <w:r w:rsidR="00AA6333">
        <w:t>) zajišťuje identitu smyslového poznání (</w:t>
      </w:r>
      <w:r w:rsidR="00AA6333" w:rsidRPr="08784A61">
        <w:rPr>
          <w:rStyle w:val="Zvraznn"/>
          <w:iCs w:val="0"/>
        </w:rPr>
        <w:t>Vorstellungen realer Gegenstände</w:t>
      </w:r>
      <w:r w:rsidR="00AA6333">
        <w:t>) a eidetické imaginace (</w:t>
      </w:r>
      <w:r w:rsidR="00AA6333" w:rsidRPr="08784A61">
        <w:rPr>
          <w:rStyle w:val="Zvraznn"/>
          <w:iCs w:val="0"/>
        </w:rPr>
        <w:t>Vorstellungen idealer Gegenstände</w:t>
      </w:r>
      <w:r w:rsidR="00AA6333">
        <w:t xml:space="preserve">). </w:t>
      </w:r>
      <w:r w:rsidR="00AA6333">
        <w:rPr>
          <w:rStyle w:val="Zvraznn"/>
          <w:i w:val="0"/>
          <w:iCs w:val="0"/>
        </w:rPr>
        <w:t xml:space="preserve">Synkretismus smyslové a univerzální zkušenosti založil </w:t>
      </w:r>
      <w:r w:rsidR="00AA6333">
        <w:rPr>
          <w:rStyle w:val="Zvraznn"/>
          <w:i w:val="0"/>
          <w:iCs w:val="0"/>
        </w:rPr>
        <w:fldChar w:fldCharType="begin"/>
      </w:r>
      <w:r w:rsidR="00AA6333">
        <w:instrText xml:space="preserve"> XE "</w:instrText>
      </w:r>
      <w:r w:rsidR="00AA6333" w:rsidRPr="000710C4">
        <w:instrText>Husserl, E.</w:instrText>
      </w:r>
      <w:r w:rsidR="00AA6333">
        <w:instrText xml:space="preserve">" </w:instrText>
      </w:r>
      <w:r w:rsidR="00AA6333">
        <w:rPr>
          <w:rStyle w:val="Zvraznn"/>
          <w:i w:val="0"/>
          <w:iCs w:val="0"/>
        </w:rPr>
        <w:fldChar w:fldCharType="end"/>
      </w:r>
      <w:r w:rsidR="00AA6333">
        <w:rPr>
          <w:rStyle w:val="Zvraznn"/>
          <w:i w:val="0"/>
          <w:iCs w:val="0"/>
        </w:rPr>
        <w:t xml:space="preserve"> okolo roku 1900 </w:t>
      </w:r>
      <w:r w:rsidR="00AA6333">
        <w:t xml:space="preserve">jsoucno třetího druhu na způsob Rufusova </w:t>
      </w:r>
      <w:r w:rsidR="00AA6333" w:rsidRPr="008B042D">
        <w:rPr>
          <w:i/>
        </w:rPr>
        <w:t>scibile</w:t>
      </w:r>
      <w:r w:rsidR="00AA6333">
        <w:rPr>
          <w:i/>
        </w:rPr>
        <w:fldChar w:fldCharType="begin"/>
      </w:r>
      <w:r w:rsidR="00AA6333">
        <w:instrText xml:space="preserve"> XE "</w:instrText>
      </w:r>
      <w:r w:rsidR="00AA6333" w:rsidRPr="00AA4F67">
        <w:rPr>
          <w:i/>
        </w:rPr>
        <w:instrText>scibile</w:instrText>
      </w:r>
      <w:r w:rsidR="00AA6333">
        <w:rPr>
          <w:i/>
        </w:rPr>
        <w:instrText>:</w:instrText>
      </w:r>
      <w:r w:rsidR="00AA6333" w:rsidRPr="00FE333D">
        <w:instrText>Carnap</w:instrText>
      </w:r>
      <w:r w:rsidR="00AA6333">
        <w:instrText xml:space="preserve">" </w:instrText>
      </w:r>
      <w:r w:rsidR="00AA6333">
        <w:rPr>
          <w:i/>
        </w:rPr>
        <w:fldChar w:fldCharType="end"/>
      </w:r>
      <w:r w:rsidR="00AA6333">
        <w:t xml:space="preserve"> (kap. 3.1.3). Následná nihilistická epocha metafyziky potvrdí primát logické a matematické abstrakce</w:t>
      </w:r>
      <w:r w:rsidR="00AA6333">
        <w:fldChar w:fldCharType="begin"/>
      </w:r>
      <w:r w:rsidR="00AA6333">
        <w:instrText xml:space="preserve"> XE "</w:instrText>
      </w:r>
      <w:r w:rsidR="00AA6333" w:rsidRPr="00A824F0">
        <w:instrText>abstrakce:matematická</w:instrText>
      </w:r>
      <w:r w:rsidR="00AA6333">
        <w:instrText xml:space="preserve">" </w:instrText>
      </w:r>
      <w:r w:rsidR="00AA6333">
        <w:fldChar w:fldCharType="end"/>
      </w:r>
      <w:r w:rsidR="00AA6333">
        <w:t xml:space="preserve"> v neopozitivismu skrze nový intelektuální náhled do reality. </w:t>
      </w:r>
      <w:r w:rsidR="00AA6333" w:rsidRPr="00E73079">
        <w:t>Husserl musel kolem roku 1900 překonat Meinongův objektivní psychologismus tím, že přepracoval Meinongem navržený synkretismus smyslové a univerzální zkušenosti.</w:t>
      </w:r>
      <w:r w:rsidR="00AA6333">
        <w:t xml:space="preserve"> Husserlovy </w:t>
      </w:r>
      <w:r w:rsidR="00AA6333">
        <w:fldChar w:fldCharType="begin"/>
      </w:r>
      <w:r w:rsidR="00AA6333">
        <w:instrText xml:space="preserve"> XE "</w:instrText>
      </w:r>
      <w:r w:rsidR="00AA6333" w:rsidRPr="000710C4">
        <w:instrText>Husserl, E.</w:instrText>
      </w:r>
      <w:r w:rsidR="00AA6333">
        <w:instrText xml:space="preserve">" </w:instrText>
      </w:r>
      <w:r w:rsidR="00AA6333">
        <w:fldChar w:fldCharType="end"/>
      </w:r>
      <w:r w:rsidR="00AA6333">
        <w:t>přednášky ze zimního semestru 1887/88 doplňují výše uvedený Meinongův pojem</w:t>
      </w:r>
      <w:r w:rsidR="00AA6333">
        <w:fldChar w:fldCharType="begin"/>
      </w:r>
      <w:r w:rsidR="00AA6333">
        <w:instrText xml:space="preserve"> XE "</w:instrText>
      </w:r>
      <w:r w:rsidR="00AA6333" w:rsidRPr="00664093">
        <w:instrText>Meinong, A.</w:instrText>
      </w:r>
      <w:r w:rsidR="00AA6333">
        <w:instrText xml:space="preserve">" </w:instrText>
      </w:r>
      <w:r w:rsidR="00AA6333">
        <w:fldChar w:fldCharType="end"/>
      </w:r>
      <w:r w:rsidR="00AA6333">
        <w:t xml:space="preserve"> </w:t>
      </w:r>
      <w:r w:rsidR="00AA6333" w:rsidRPr="00067A17">
        <w:rPr>
          <w:i/>
        </w:rPr>
        <w:t>Fundierung</w:t>
      </w:r>
      <w:r w:rsidR="00AA6333">
        <w:t>.</w:t>
      </w:r>
      <w:r w:rsidR="00AA6333">
        <w:rPr>
          <w:rStyle w:val="Znakapoznpodarou"/>
        </w:rPr>
        <w:footnoteReference w:id="519"/>
      </w:r>
      <w:r w:rsidR="00AA6333">
        <w:t xml:space="preserve"> </w:t>
      </w:r>
      <w:r w:rsidR="00AA6333">
        <w:rPr>
          <w:szCs w:val="24"/>
        </w:rPr>
        <w:t xml:space="preserve">První fenomenologická podoba Husserlova </w:t>
      </w:r>
      <w:r w:rsidR="00AA6333" w:rsidRPr="00D4620D">
        <w:rPr>
          <w:i/>
          <w:szCs w:val="24"/>
        </w:rPr>
        <w:t>Fundirung</w:t>
      </w:r>
      <w:r w:rsidR="00AA6333">
        <w:rPr>
          <w:szCs w:val="24"/>
        </w:rPr>
        <w:t xml:space="preserve"> je dána </w:t>
      </w:r>
      <w:r w:rsidR="00AA6333" w:rsidRPr="00D4620D">
        <w:rPr>
          <w:i/>
          <w:szCs w:val="24"/>
        </w:rPr>
        <w:t>v Logische Untersuchungen</w:t>
      </w:r>
      <w:r w:rsidR="00AA6333">
        <w:rPr>
          <w:szCs w:val="24"/>
        </w:rPr>
        <w:t xml:space="preserve"> </w:t>
      </w:r>
      <w:r w:rsidR="00AA6333" w:rsidRPr="008C581E">
        <w:rPr>
          <w:i/>
          <w:szCs w:val="24"/>
        </w:rPr>
        <w:t>I</w:t>
      </w:r>
      <w:r w:rsidR="00AA6333">
        <w:rPr>
          <w:szCs w:val="24"/>
        </w:rPr>
        <w:t xml:space="preserve"> (1900), kdy je </w:t>
      </w:r>
      <w:r w:rsidR="00AA6333" w:rsidRPr="0051213A">
        <w:rPr>
          <w:i/>
          <w:szCs w:val="24"/>
        </w:rPr>
        <w:t>reine Logik</w:t>
      </w:r>
      <w:r w:rsidR="00AA6333">
        <w:rPr>
          <w:szCs w:val="24"/>
        </w:rPr>
        <w:t xml:space="preserve"> oddělena od psychologického pojetí.</w:t>
      </w:r>
      <w:r w:rsidR="00AA6333">
        <w:rPr>
          <w:rStyle w:val="Znakapoznpodarou"/>
          <w:szCs w:val="24"/>
        </w:rPr>
        <w:footnoteReference w:id="520"/>
      </w:r>
      <w:r w:rsidR="00AA6333">
        <w:rPr>
          <w:szCs w:val="24"/>
        </w:rPr>
        <w:t xml:space="preserve"> </w:t>
      </w:r>
      <w:r w:rsidR="00AA6333" w:rsidRPr="00273106">
        <w:t xml:space="preserve">Oba </w:t>
      </w:r>
      <w:r w:rsidR="00AA6333">
        <w:t xml:space="preserve">uvedení </w:t>
      </w:r>
      <w:r w:rsidR="00AA6333" w:rsidRPr="00273106">
        <w:t xml:space="preserve">postmodernisté </w:t>
      </w:r>
      <w:r w:rsidR="00AA6333">
        <w:rPr>
          <w:szCs w:val="24"/>
        </w:rPr>
        <w:t xml:space="preserve">(Meinong, Husserl) </w:t>
      </w:r>
      <w:r w:rsidR="00AA6333" w:rsidRPr="00273106">
        <w:t>provedli po Grossetesteho zatmění první substance</w:t>
      </w:r>
      <w:r w:rsidR="00AA6333">
        <w:fldChar w:fldCharType="begin"/>
      </w:r>
      <w:r w:rsidR="00AA6333">
        <w:instrText xml:space="preserve"> XE "</w:instrText>
      </w:r>
      <w:r w:rsidR="00AA6333" w:rsidRPr="00C27681">
        <w:instrText>zatmění</w:instrText>
      </w:r>
      <w:r w:rsidR="00AA6333">
        <w:instrText>:</w:instrText>
      </w:r>
      <w:r w:rsidR="00AA6333" w:rsidRPr="00C27681">
        <w:instrText>substance</w:instrText>
      </w:r>
      <w:r w:rsidR="00AA6333">
        <w:instrText xml:space="preserve">" </w:instrText>
      </w:r>
      <w:r w:rsidR="00AA6333">
        <w:fldChar w:fldCharType="end"/>
      </w:r>
      <w:r w:rsidR="00AA6333" w:rsidRPr="00273106">
        <w:t xml:space="preserve"> další </w:t>
      </w:r>
      <w:r w:rsidR="00AA6333" w:rsidRPr="00273106">
        <w:rPr>
          <w:i/>
        </w:rPr>
        <w:t>epoché</w:t>
      </w:r>
      <w:r w:rsidR="00AA6333">
        <w:rPr>
          <w:i/>
        </w:rPr>
        <w:fldChar w:fldCharType="begin"/>
      </w:r>
      <w:r w:rsidR="00AA6333">
        <w:instrText xml:space="preserve"> XE "</w:instrText>
      </w:r>
      <w:r w:rsidR="00AA6333" w:rsidRPr="001B0D03">
        <w:rPr>
          <w:i/>
        </w:rPr>
        <w:instrText>epoché</w:instrText>
      </w:r>
      <w:r w:rsidR="00AA6333">
        <w:instrText xml:space="preserve">" </w:instrText>
      </w:r>
      <w:r w:rsidR="00AA6333">
        <w:rPr>
          <w:i/>
        </w:rPr>
        <w:fldChar w:fldCharType="end"/>
      </w:r>
      <w:r w:rsidR="00AA6333" w:rsidRPr="00273106">
        <w:t xml:space="preserve"> od reality ve prospěch eidetického </w:t>
      </w:r>
      <w:r w:rsidR="00AA6333">
        <w:t>náhledu nových jsoucen třetího druhu. Postmoderní psychologizací danou pouze ve vědomí poznávajícího vzniklo dvojité zatmění první substance, které charakterizuje poslední, již zcela nihilistickou etapu západního myšlení.</w:t>
      </w:r>
      <w:r w:rsidR="00AA6333" w:rsidRPr="081E07EB">
        <w:t xml:space="preserve"> </w:t>
      </w:r>
      <w:r w:rsidR="00AA6333">
        <w:t xml:space="preserve">Predikace </w:t>
      </w:r>
      <w:r w:rsidR="00AA6333" w:rsidRPr="00F761F2">
        <w:rPr>
          <w:i/>
        </w:rPr>
        <w:t>per prius</w:t>
      </w:r>
      <w:r w:rsidR="00AA6333">
        <w:t xml:space="preserve"> vzhledem k reálné kauzalitě věcí ve světě přestala určovat poznání světa, boha a člověka. Spor mezi kritickým objektivismem Poppera a Vídeňským neopozitivismem o statut deduktivního důkazu ukazuje novou konstelaci </w:t>
      </w:r>
      <w:r w:rsidR="00AA6333" w:rsidRPr="00266C98">
        <w:rPr>
          <w:i/>
        </w:rPr>
        <w:t>Oxfordian Fallacy</w:t>
      </w:r>
      <w:r w:rsidR="00AA6333">
        <w:t xml:space="preserve"> ve věku metafyzického nihilismu. Současné formy </w:t>
      </w:r>
      <w:r w:rsidR="00AA6333" w:rsidRPr="00A33E6D">
        <w:rPr>
          <w:i/>
        </w:rPr>
        <w:t>tertium ens</w:t>
      </w:r>
      <w:r w:rsidR="00AA6333">
        <w:rPr>
          <w:i/>
        </w:rPr>
        <w:fldChar w:fldCharType="begin"/>
      </w:r>
      <w:r w:rsidR="00AA6333">
        <w:instrText xml:space="preserve"> XE "</w:instrText>
      </w:r>
      <w:r w:rsidR="00AA6333" w:rsidRPr="002F10B4">
        <w:rPr>
          <w:rStyle w:val="Zvraznn"/>
        </w:rPr>
        <w:instrText>tertium ens</w:instrText>
      </w:r>
      <w:r w:rsidR="00AA6333" w:rsidRPr="00FE333D">
        <w:rPr>
          <w:rStyle w:val="Zvraznn"/>
          <w:i w:val="0"/>
        </w:rPr>
        <w:instrText>:nihilismus</w:instrText>
      </w:r>
      <w:r w:rsidR="00AA6333">
        <w:instrText xml:space="preserve">" </w:instrText>
      </w:r>
      <w:r w:rsidR="00AA6333">
        <w:rPr>
          <w:i/>
        </w:rPr>
        <w:fldChar w:fldCharType="end"/>
      </w:r>
      <w:r w:rsidR="00AA6333">
        <w:t xml:space="preserve"> dané eidetickým náhledem po fenomenologické či analytické redukci už popírají i objektivismus původní scholastické moderny. Proto se stal specifickou mrtvolou nejprve moderní člověk a pak i moderní bůh. </w:t>
      </w:r>
      <w:r w:rsidR="00AA6333" w:rsidRPr="00ED2AC0">
        <w:t xml:space="preserve">Subjekt médií, politiky a bank vytvořil armádu inteligentních otroků, kteří vytvářejí nepřetržité </w:t>
      </w:r>
      <w:r w:rsidR="00AA6333">
        <w:t xml:space="preserve">simulakrum takzvaných </w:t>
      </w:r>
      <w:r w:rsidR="00AA6333" w:rsidRPr="08FF78A1">
        <w:rPr>
          <w:i/>
        </w:rPr>
        <w:t>post-truths</w:t>
      </w:r>
      <w:r w:rsidR="00AA6333">
        <w:rPr>
          <w:i/>
        </w:rPr>
        <w:fldChar w:fldCharType="begin"/>
      </w:r>
      <w:r w:rsidR="00AA6333">
        <w:instrText xml:space="preserve"> XE "</w:instrText>
      </w:r>
      <w:r w:rsidR="00AA6333" w:rsidRPr="08D863AA">
        <w:rPr>
          <w:i/>
        </w:rPr>
        <w:instrText>post-truths</w:instrText>
      </w:r>
      <w:r w:rsidR="00AA6333">
        <w:instrText xml:space="preserve">" </w:instrText>
      </w:r>
      <w:r w:rsidR="00AA6333">
        <w:rPr>
          <w:i/>
        </w:rPr>
        <w:fldChar w:fldCharType="end"/>
      </w:r>
      <w:r w:rsidR="00AA6333">
        <w:t xml:space="preserve">. </w:t>
      </w:r>
      <w:r w:rsidR="005F687B" w:rsidRPr="005F687B">
        <w:t>Potěmkinova ves</w:t>
      </w:r>
      <w:r w:rsidR="005F687B">
        <w:t>nice současného myšlení v tzv. „humanitních vědách“</w:t>
      </w:r>
      <w:r w:rsidR="005F687B" w:rsidRPr="005F687B">
        <w:t xml:space="preserve"> zakrývá skutečný svět. Akademické mytologické příběhy slouží nihilistickým zájmům jednoho procenta korporací, které tvoří globální třídu současných iluminátů.</w:t>
      </w:r>
      <w:r w:rsidR="005F687B">
        <w:t xml:space="preserve"> Ti </w:t>
      </w:r>
      <w:r w:rsidR="00AA6333">
        <w:t xml:space="preserve">jsou napojeni na </w:t>
      </w:r>
      <w:r w:rsidR="00AA6333" w:rsidRPr="00EA32F3">
        <w:rPr>
          <w:i/>
        </w:rPr>
        <w:t>species</w:t>
      </w:r>
      <w:r w:rsidR="00AA6333" w:rsidRPr="08A5229B">
        <w:rPr>
          <w:i/>
        </w:rPr>
        <w:t xml:space="preserve"> specialissima</w:t>
      </w:r>
      <w:r w:rsidR="00AA6333">
        <w:t xml:space="preserve"> jednoho promile banksterů</w:t>
      </w:r>
      <w:r w:rsidR="00AA6333">
        <w:rPr>
          <w:i/>
        </w:rPr>
        <w:fldChar w:fldCharType="begin"/>
      </w:r>
      <w:r w:rsidR="00AA6333">
        <w:instrText xml:space="preserve"> XE "</w:instrText>
      </w:r>
      <w:r w:rsidR="00AA6333">
        <w:rPr>
          <w:i/>
        </w:rPr>
        <w:instrText>banksters</w:instrText>
      </w:r>
      <w:r w:rsidR="00AA6333">
        <w:instrText xml:space="preserve">" </w:instrText>
      </w:r>
      <w:r w:rsidR="00AA6333">
        <w:rPr>
          <w:i/>
        </w:rPr>
        <w:fldChar w:fldCharType="end"/>
      </w:r>
      <w:r w:rsidR="00AA6333">
        <w:t>. Společně produkují mytologii finančních derivátů</w:t>
      </w:r>
      <w:r w:rsidR="005F687B">
        <w:t xml:space="preserve"> a globálních virtuálních dluhů</w:t>
      </w:r>
      <w:r w:rsidR="00AA6333">
        <w:t xml:space="preserve">. </w:t>
      </w:r>
      <w:r w:rsidR="00AA6333" w:rsidRPr="001F049D">
        <w:t xml:space="preserve">Tato </w:t>
      </w:r>
      <w:r w:rsidR="005F687B">
        <w:t>objektivní démonologie t</w:t>
      </w:r>
      <w:r w:rsidR="00AA6333" w:rsidRPr="001F049D">
        <w:t>voří poslední epochu</w:t>
      </w:r>
      <w:r w:rsidR="00AA6333">
        <w:t xml:space="preserve"> nihilistické objektivity </w:t>
      </w:r>
      <w:r w:rsidR="00AA6333" w:rsidRPr="001F049D">
        <w:t>(</w:t>
      </w:r>
      <w:r w:rsidR="00AA6333" w:rsidRPr="001F049D">
        <w:rPr>
          <w:i/>
        </w:rPr>
        <w:t>novissimum</w:t>
      </w:r>
      <w:r w:rsidR="00AA6333" w:rsidRPr="001F049D">
        <w:t xml:space="preserve">), </w:t>
      </w:r>
      <w:r w:rsidR="00AA6333">
        <w:t>která dala</w:t>
      </w:r>
      <w:r w:rsidR="00AA6333" w:rsidRPr="001F049D">
        <w:t xml:space="preserve"> vzniknout </w:t>
      </w:r>
      <w:r w:rsidR="005F687B">
        <w:t>současné f</w:t>
      </w:r>
      <w:r w:rsidR="00AA6333">
        <w:t xml:space="preserve">ormě korporátního </w:t>
      </w:r>
      <w:r w:rsidR="00AA6333" w:rsidRPr="001F049D">
        <w:t>fašismu.</w:t>
      </w:r>
    </w:p>
    <w:p w14:paraId="256B687B" w14:textId="34F9BBDB" w:rsidR="001873EA" w:rsidRDefault="006E39C8" w:rsidP="001873EA">
      <w:pPr>
        <w:ind w:firstLine="397"/>
      </w:pPr>
      <w:r w:rsidRPr="006E39C8">
        <w:t xml:space="preserve">Poté, co z moderní metafyziky zmizely první substance a zdravý rozum, archaické síly intelektuální Pomsty dovršily zmatek </w:t>
      </w:r>
      <w:r w:rsidR="006A4476">
        <w:t>tím, že založily novou</w:t>
      </w:r>
      <w:r w:rsidRPr="006E39C8">
        <w:t xml:space="preserve"> </w:t>
      </w:r>
      <w:r>
        <w:t>podstat</w:t>
      </w:r>
      <w:r w:rsidR="006A4476">
        <w:t>u</w:t>
      </w:r>
      <w:r>
        <w:t xml:space="preserve"> </w:t>
      </w:r>
      <w:r w:rsidRPr="006E39C8">
        <w:t>západního subjektu.</w:t>
      </w:r>
      <w:r>
        <w:t xml:space="preserve"> </w:t>
      </w:r>
      <w:r w:rsidR="08E649ED" w:rsidRPr="00273106">
        <w:t>Descart</w:t>
      </w:r>
      <w:r w:rsidR="00002869">
        <w:t>es</w:t>
      </w:r>
      <w:r w:rsidR="00E473C6">
        <w:t xml:space="preserve"> definoval </w:t>
      </w:r>
      <w:r w:rsidR="08E649ED" w:rsidRPr="00273106">
        <w:t xml:space="preserve">v šesté části </w:t>
      </w:r>
      <w:r w:rsidR="08E649ED" w:rsidRPr="00273106">
        <w:rPr>
          <w:i/>
        </w:rPr>
        <w:t>Rozpravě o metodě</w:t>
      </w:r>
      <w:r w:rsidR="08E649ED" w:rsidRPr="00273106">
        <w:t xml:space="preserve"> (</w:t>
      </w:r>
      <w:r w:rsidR="08E649ED" w:rsidRPr="00273106">
        <w:rPr>
          <w:rStyle w:val="citation"/>
          <w:bCs/>
        </w:rPr>
        <w:t xml:space="preserve">1637) ultimativního garanta deontologické pravdy </w:t>
      </w:r>
      <w:r w:rsidR="08E649ED" w:rsidRPr="00273106">
        <w:rPr>
          <w:rStyle w:val="citation"/>
          <w:bCs/>
          <w:i/>
        </w:rPr>
        <w:t>Modernorum</w:t>
      </w:r>
      <w:r w:rsidR="08E649ED" w:rsidRPr="00273106">
        <w:rPr>
          <w:rStyle w:val="citation"/>
          <w:bCs/>
        </w:rPr>
        <w:t xml:space="preserve"> </w:t>
      </w:r>
      <w:r w:rsidR="00E473C6">
        <w:rPr>
          <w:rStyle w:val="citation"/>
          <w:bCs/>
        </w:rPr>
        <w:t xml:space="preserve">jako </w:t>
      </w:r>
      <w:r w:rsidR="08E649ED" w:rsidRPr="00273106">
        <w:rPr>
          <w:rStyle w:val="citation"/>
          <w:bCs/>
        </w:rPr>
        <w:t>nové</w:t>
      </w:r>
      <w:r w:rsidR="00E473C6">
        <w:rPr>
          <w:rStyle w:val="citation"/>
          <w:bCs/>
        </w:rPr>
        <w:t>ho</w:t>
      </w:r>
      <w:r w:rsidR="08E649ED" w:rsidRPr="00273106">
        <w:rPr>
          <w:rStyle w:val="citation"/>
          <w:bCs/>
        </w:rPr>
        <w:t xml:space="preserve"> demiurg</w:t>
      </w:r>
      <w:r w:rsidR="00E473C6">
        <w:rPr>
          <w:rStyle w:val="citation"/>
          <w:bCs/>
        </w:rPr>
        <w:t xml:space="preserve">a </w:t>
      </w:r>
      <w:r w:rsidR="08E649ED">
        <w:rPr>
          <w:rStyle w:val="citation"/>
          <w:bCs/>
        </w:rPr>
        <w:fldChar w:fldCharType="begin"/>
      </w:r>
      <w:r w:rsidR="08E649ED">
        <w:instrText xml:space="preserve"> XE "</w:instrText>
      </w:r>
      <w:r w:rsidR="08E649ED" w:rsidRPr="00F93DBE">
        <w:rPr>
          <w:rStyle w:val="citation"/>
          <w:bCs/>
        </w:rPr>
        <w:instrText>demiurg</w:instrText>
      </w:r>
      <w:r w:rsidR="08E649ED">
        <w:instrText xml:space="preserve">" </w:instrText>
      </w:r>
      <w:r w:rsidR="08E649ED">
        <w:rPr>
          <w:rStyle w:val="citation"/>
          <w:bCs/>
        </w:rPr>
        <w:fldChar w:fldCharType="end"/>
      </w:r>
      <w:r w:rsidR="08E649ED" w:rsidRPr="00273106">
        <w:rPr>
          <w:rStyle w:val="citation"/>
          <w:bCs/>
        </w:rPr>
        <w:t>(</w:t>
      </w:r>
      <w:r w:rsidR="08E649ED" w:rsidRPr="00273106">
        <w:rPr>
          <w:rStyle w:val="citation"/>
          <w:bCs/>
          <w:i/>
        </w:rPr>
        <w:t>maîtres et possesseurs de la nature</w:t>
      </w:r>
      <w:r w:rsidR="08E649ED" w:rsidRPr="00273106">
        <w:rPr>
          <w:rStyle w:val="citation"/>
          <w:bCs/>
        </w:rPr>
        <w:t xml:space="preserve">). Nový </w:t>
      </w:r>
      <w:r w:rsidR="08E649ED" w:rsidRPr="00273106">
        <w:t>pán přírody vybavuje bytí jsoucna subjekti</w:t>
      </w:r>
      <w:r w:rsidR="08E649ED">
        <w:t>vně daným dostatečným důvodem odvozeným z jeho smrtelnosti</w:t>
      </w:r>
      <w:r w:rsidR="08E649ED" w:rsidRPr="00273106">
        <w:t xml:space="preserve">. Tento </w:t>
      </w:r>
      <w:r w:rsidR="08E649ED">
        <w:t xml:space="preserve">nihilistický </w:t>
      </w:r>
      <w:r w:rsidR="08E649ED" w:rsidRPr="00273106">
        <w:t xml:space="preserve">nárok </w:t>
      </w:r>
      <w:r w:rsidR="08E649ED">
        <w:t xml:space="preserve">moderního subjektu na zakládání smyslu světa pak absolutizoval </w:t>
      </w:r>
      <w:r w:rsidR="08E649ED" w:rsidRPr="00273106">
        <w:t>Leibniz</w:t>
      </w:r>
      <w:r w:rsidR="08E649ED">
        <w:fldChar w:fldCharType="begin"/>
      </w:r>
      <w:r w:rsidR="08E649ED">
        <w:instrText xml:space="preserve"> XE "</w:instrText>
      </w:r>
      <w:r w:rsidR="08E649ED" w:rsidRPr="00A97662">
        <w:instrText>Leibniz, G. W.</w:instrText>
      </w:r>
      <w:r w:rsidR="08E649ED">
        <w:instrText xml:space="preserve">" </w:instrText>
      </w:r>
      <w:r w:rsidR="08E649ED">
        <w:fldChar w:fldCharType="end"/>
      </w:r>
      <w:r w:rsidR="08E649ED" w:rsidRPr="00273106">
        <w:t xml:space="preserve"> v princ</w:t>
      </w:r>
      <w:r w:rsidR="08E649ED">
        <w:t xml:space="preserve">ipu </w:t>
      </w:r>
      <w:r w:rsidR="08E649ED" w:rsidRPr="00273106">
        <w:t>dostatečného důvodu</w:t>
      </w:r>
      <w:r w:rsidR="08E649ED">
        <w:fldChar w:fldCharType="begin"/>
      </w:r>
      <w:r w:rsidR="08E649ED">
        <w:instrText xml:space="preserve"> XE "</w:instrText>
      </w:r>
      <w:r w:rsidR="08E649ED" w:rsidRPr="009A7B5A">
        <w:instrText>princip dostatečného důvodu</w:instrText>
      </w:r>
      <w:r w:rsidR="08E649ED">
        <w:instrText xml:space="preserve">" </w:instrText>
      </w:r>
      <w:r w:rsidR="08E649ED">
        <w:fldChar w:fldCharType="end"/>
      </w:r>
      <w:r w:rsidR="08E649ED" w:rsidRPr="00273106">
        <w:t xml:space="preserve"> (</w:t>
      </w:r>
      <w:r w:rsidR="08E649ED" w:rsidRPr="00273106">
        <w:rPr>
          <w:rStyle w:val="st"/>
          <w:bCs/>
          <w:i/>
        </w:rPr>
        <w:t>principium reddendae rationis sufficientis</w:t>
      </w:r>
      <w:r w:rsidR="08E649ED" w:rsidRPr="00273106">
        <w:t>)</w:t>
      </w:r>
      <w:r w:rsidR="08E649ED">
        <w:t xml:space="preserve">. </w:t>
      </w:r>
      <w:r w:rsidR="08E649ED" w:rsidRPr="00273106">
        <w:t xml:space="preserve">Heidegger </w:t>
      </w:r>
      <w:r w:rsidR="08D262FE">
        <w:t>jasně ukázal</w:t>
      </w:r>
      <w:r w:rsidR="08E649ED" w:rsidRPr="00273106">
        <w:t xml:space="preserve">, že klíčová část </w:t>
      </w:r>
      <w:r w:rsidR="08E649ED">
        <w:t>Leibnizova pr</w:t>
      </w:r>
      <w:r w:rsidR="00E34D69">
        <w:t xml:space="preserve">incipu se skrývá v ontologické povaze </w:t>
      </w:r>
      <w:r w:rsidR="08E649ED" w:rsidRPr="00273106">
        <w:t xml:space="preserve">onoho </w:t>
      </w:r>
      <w:r w:rsidR="00E34D69">
        <w:t>„</w:t>
      </w:r>
      <w:r w:rsidR="08E649ED" w:rsidRPr="00273106">
        <w:rPr>
          <w:rStyle w:val="st"/>
          <w:bCs/>
          <w:i/>
        </w:rPr>
        <w:t>reddendae</w:t>
      </w:r>
      <w:r w:rsidR="00E34D69">
        <w:rPr>
          <w:rStyle w:val="st"/>
          <w:bCs/>
        </w:rPr>
        <w:t>“, které tvoří moderní formu</w:t>
      </w:r>
      <w:r w:rsidR="08E649ED">
        <w:rPr>
          <w:rStyle w:val="st"/>
          <w:bCs/>
        </w:rPr>
        <w:t xml:space="preserve"> </w:t>
      </w:r>
      <w:r w:rsidR="00E34D69">
        <w:rPr>
          <w:rStyle w:val="st"/>
          <w:bCs/>
        </w:rPr>
        <w:t>„</w:t>
      </w:r>
      <w:r w:rsidR="08E649ED" w:rsidRPr="089F2181">
        <w:rPr>
          <w:i/>
        </w:rPr>
        <w:t>re-praesentatio</w:t>
      </w:r>
      <w:r w:rsidR="00E34D69">
        <w:t>“</w:t>
      </w:r>
      <w:r w:rsidR="08E649ED">
        <w:t>.</w:t>
      </w:r>
      <w:r w:rsidR="08E649ED" w:rsidRPr="00273106">
        <w:rPr>
          <w:rStyle w:val="Znakapoznpodarou"/>
        </w:rPr>
        <w:footnoteReference w:id="521"/>
      </w:r>
      <w:r w:rsidR="08E649ED">
        <w:t xml:space="preserve"> </w:t>
      </w:r>
      <w:r w:rsidR="00EF195C">
        <w:t xml:space="preserve">Realita musí dostat v modu </w:t>
      </w:r>
      <w:r w:rsidR="00EF195C" w:rsidRPr="089F2181">
        <w:rPr>
          <w:i/>
        </w:rPr>
        <w:t>debet esse</w:t>
      </w:r>
      <w:r w:rsidR="00EF195C">
        <w:t xml:space="preserve"> dodatečnou evidentní reprezentaci, která ospravedlní kontingentní existenci reálné první substance. </w:t>
      </w:r>
      <w:r w:rsidR="08E649ED">
        <w:t xml:space="preserve">Objektivita dostala v postmoderně tak silné zdání pravdy, že reálná jsoucna se jí mají omlouvat za to, že </w:t>
      </w:r>
      <w:r w:rsidR="08AE3877">
        <w:t xml:space="preserve">vůbec </w:t>
      </w:r>
      <w:r w:rsidR="08E649ED">
        <w:t xml:space="preserve">existují. </w:t>
      </w:r>
      <w:r w:rsidR="084D692F">
        <w:t xml:space="preserve">Pokud je realita plně objektivní, tak je i moderně a vědecky pravdivá. </w:t>
      </w:r>
      <w:r w:rsidR="08A05AED" w:rsidRPr="00273106">
        <w:t>Leibniz</w:t>
      </w:r>
      <w:r w:rsidR="008D04C0">
        <w:t xml:space="preserve"> </w:t>
      </w:r>
      <w:r w:rsidR="004B4250">
        <w:t xml:space="preserve">završil </w:t>
      </w:r>
      <w:r w:rsidR="08A05AED" w:rsidRPr="00273106">
        <w:t>postmod</w:t>
      </w:r>
      <w:r w:rsidR="08A05AED">
        <w:t xml:space="preserve">erní </w:t>
      </w:r>
      <w:r w:rsidR="008D04C0">
        <w:t>smysl</w:t>
      </w:r>
      <w:r w:rsidR="08A05AED">
        <w:t xml:space="preserve"> jsouc</w:t>
      </w:r>
      <w:r w:rsidR="008D04C0">
        <w:t>na tím, že založil nihilisti</w:t>
      </w:r>
      <w:r w:rsidR="00D30677">
        <w:t>c</w:t>
      </w:r>
      <w:r w:rsidR="008D04C0">
        <w:t xml:space="preserve">kou </w:t>
      </w:r>
      <w:r w:rsidR="004B4250">
        <w:t xml:space="preserve">metafyziku na primátu </w:t>
      </w:r>
      <w:r w:rsidR="08A05AED">
        <w:t>poznávajícího subjektu</w:t>
      </w:r>
      <w:r w:rsidR="08A05AED">
        <w:fldChar w:fldCharType="begin"/>
      </w:r>
      <w:r w:rsidR="08A05AED">
        <w:instrText xml:space="preserve"> XE "</w:instrText>
      </w:r>
      <w:r w:rsidR="08A05AED" w:rsidRPr="00E879C6">
        <w:instrText>metafyzika:Leibniz</w:instrText>
      </w:r>
      <w:r w:rsidR="08A05AED">
        <w:instrText xml:space="preserve">" </w:instrText>
      </w:r>
      <w:r w:rsidR="08A05AED">
        <w:fldChar w:fldCharType="end"/>
      </w:r>
      <w:r w:rsidR="08A05AED" w:rsidRPr="00273106">
        <w:t xml:space="preserve">. </w:t>
      </w:r>
      <w:r w:rsidR="08A05AED">
        <w:t xml:space="preserve">Jeho </w:t>
      </w:r>
      <w:r w:rsidR="08E649ED" w:rsidRPr="00273106">
        <w:t xml:space="preserve">cesta k deontologické pravdě postmoderny je </w:t>
      </w:r>
      <w:r w:rsidR="083D6815">
        <w:t xml:space="preserve">formálně </w:t>
      </w:r>
      <w:r w:rsidR="08E649ED" w:rsidRPr="00273106">
        <w:t xml:space="preserve">stejná jako u </w:t>
      </w:r>
      <w:r w:rsidR="08E649ED">
        <w:t xml:space="preserve">prvních oxfordských </w:t>
      </w:r>
      <w:r w:rsidR="08E649ED" w:rsidRPr="00273106">
        <w:rPr>
          <w:i/>
        </w:rPr>
        <w:t>Modernorum</w:t>
      </w:r>
      <w:r w:rsidR="08E649ED">
        <w:rPr>
          <w:i/>
        </w:rPr>
        <w:t xml:space="preserve"> </w:t>
      </w:r>
      <w:r w:rsidR="08E649ED" w:rsidRPr="00CF702F">
        <w:t xml:space="preserve">kolem </w:t>
      </w:r>
      <w:r w:rsidR="08E649ED">
        <w:t xml:space="preserve">roku </w:t>
      </w:r>
      <w:r w:rsidR="08E649ED" w:rsidRPr="00CF702F">
        <w:t>1235.</w:t>
      </w:r>
      <w:r w:rsidR="08E649ED" w:rsidRPr="00273106">
        <w:t xml:space="preserve"> Kompletní postup dedukce čili vyve</w:t>
      </w:r>
      <w:r w:rsidR="08E649ED">
        <w:t xml:space="preserve">dení existence </w:t>
      </w:r>
      <w:r w:rsidR="08E649ED" w:rsidRPr="00273106">
        <w:t xml:space="preserve">po vzoru Rufuse najdeme v pojednání </w:t>
      </w:r>
      <w:r w:rsidR="08E649ED" w:rsidRPr="00D43F60">
        <w:rPr>
          <w:i/>
        </w:rPr>
        <w:t>Principes de la nature et de la grâce fondés en raison</w:t>
      </w:r>
      <w:r w:rsidR="08E649ED" w:rsidRPr="00273106">
        <w:t xml:space="preserve"> (1714). Leibniz </w:t>
      </w:r>
      <w:r w:rsidR="08E649ED">
        <w:t xml:space="preserve">v postmoderní verzi </w:t>
      </w:r>
      <w:r w:rsidR="00FE175D">
        <w:t xml:space="preserve">Kilwardbyho </w:t>
      </w:r>
      <w:r w:rsidR="08E649ED">
        <w:rPr>
          <w:i/>
        </w:rPr>
        <w:t>D</w:t>
      </w:r>
      <w:r w:rsidR="08E649ED" w:rsidRPr="006F2E3B">
        <w:rPr>
          <w:i/>
        </w:rPr>
        <w:t>e ortu scientiarum</w:t>
      </w:r>
      <w:r w:rsidR="08E649ED">
        <w:t xml:space="preserve"> </w:t>
      </w:r>
      <w:r w:rsidR="08E649ED" w:rsidRPr="00273106">
        <w:t xml:space="preserve">jde k základu prvních, věčných a nutných principů reality daných metafyzicky a odvozuje </w:t>
      </w:r>
      <w:r w:rsidR="08E649ED">
        <w:t>od nich aktuální bytí kontingen</w:t>
      </w:r>
      <w:r w:rsidR="08E649ED" w:rsidRPr="00273106">
        <w:t>t</w:t>
      </w:r>
      <w:r w:rsidR="08E649ED">
        <w:t>n</w:t>
      </w:r>
      <w:r w:rsidR="08E649ED" w:rsidRPr="00273106">
        <w:t>í první substance.</w:t>
      </w:r>
      <w:r w:rsidR="08E649ED" w:rsidRPr="00273106">
        <w:rPr>
          <w:rStyle w:val="Znakapoznpodarou"/>
        </w:rPr>
        <w:footnoteReference w:id="522"/>
      </w:r>
      <w:r w:rsidR="08E649ED" w:rsidRPr="00273106">
        <w:t xml:space="preserve"> </w:t>
      </w:r>
      <w:r w:rsidR="08E649ED">
        <w:t xml:space="preserve">Leibniz začíná určením jsoucna odděleného pouze od nicoty, přidá mu v modu </w:t>
      </w:r>
      <w:r w:rsidR="08E649ED" w:rsidRPr="0093263F">
        <w:rPr>
          <w:i/>
        </w:rPr>
        <w:t>debet esse</w:t>
      </w:r>
      <w:r w:rsidR="08E649ED">
        <w:t xml:space="preserve"> subjektivně daný princip </w:t>
      </w:r>
      <w:r w:rsidR="000E0339">
        <w:t>existujících věcí</w:t>
      </w:r>
      <w:r w:rsidR="08E649ED">
        <w:t xml:space="preserve"> (</w:t>
      </w:r>
      <w:r w:rsidR="08E649ED" w:rsidRPr="00D84F03">
        <w:rPr>
          <w:i/>
        </w:rPr>
        <w:t>elles</w:t>
      </w:r>
      <w:r w:rsidR="08E649ED">
        <w:t xml:space="preserve"> </w:t>
      </w:r>
      <w:r w:rsidR="08E649ED" w:rsidRPr="08966992">
        <w:rPr>
          <w:i/>
        </w:rPr>
        <w:t>doivent exister ainsi</w:t>
      </w:r>
      <w:r w:rsidR="08E649ED">
        <w:t xml:space="preserve">). Takto zajištěnou první substanci v modu primární objektivity pak vyvede do světa v nové formě porretánské dedukce. Každé jsoucno má </w:t>
      </w:r>
      <w:r w:rsidR="004635AB">
        <w:t xml:space="preserve">subjektivní </w:t>
      </w:r>
      <w:r w:rsidR="08E649ED">
        <w:t xml:space="preserve">právo na </w:t>
      </w:r>
      <w:r w:rsidR="004635AB">
        <w:t>objeitivní existenci danou</w:t>
      </w:r>
      <w:r w:rsidR="08E649ED">
        <w:t xml:space="preserve"> pomocí univočně pojatého modu </w:t>
      </w:r>
      <w:r w:rsidR="08E649ED" w:rsidRPr="00F610D3">
        <w:rPr>
          <w:i/>
        </w:rPr>
        <w:t>simpliciter</w:t>
      </w:r>
      <w:r w:rsidR="08E649ED">
        <w:t xml:space="preserve"> a </w:t>
      </w:r>
      <w:r w:rsidR="08E649ED" w:rsidRPr="00F610D3">
        <w:rPr>
          <w:i/>
        </w:rPr>
        <w:t>per se</w:t>
      </w:r>
      <w:r w:rsidR="004635AB">
        <w:t xml:space="preserve">. Toto paranoické „právo na reálnou existenci“ je pojato </w:t>
      </w:r>
      <w:r w:rsidR="08E649ED">
        <w:t xml:space="preserve">nerozlišeně logicky a metafyzicky v modu Rufusova </w:t>
      </w:r>
      <w:r w:rsidR="08E649ED" w:rsidRPr="08F601D2">
        <w:rPr>
          <w:i/>
        </w:rPr>
        <w:t>scibile</w:t>
      </w:r>
      <w:r w:rsidR="08E649ED">
        <w:t xml:space="preserve"> (</w:t>
      </w:r>
      <w:r w:rsidR="08E649ED" w:rsidRPr="00F610D3">
        <w:rPr>
          <w:i/>
        </w:rPr>
        <w:t>rien est plus simple et plus facile que quelque chose</w:t>
      </w:r>
      <w:r w:rsidR="08E649ED">
        <w:t xml:space="preserve">). </w:t>
      </w:r>
      <w:r w:rsidR="004635AB">
        <w:t>Je dobré vědět, odkud berou všechna postmoderní liberální práva svůj metafyzický počátek</w:t>
      </w:r>
      <w:r w:rsidR="00652FE6">
        <w:t xml:space="preserve">, tedy ve formě </w:t>
      </w:r>
      <w:r w:rsidR="00652FE6">
        <w:rPr>
          <w:lang w:eastAsia="en-US"/>
        </w:rPr>
        <w:t>« </w:t>
      </w:r>
      <w:r w:rsidR="00652FE6" w:rsidRPr="004675F5">
        <w:rPr>
          <w:i/>
          <w:lang w:eastAsia="en-US"/>
        </w:rPr>
        <w:t>debet esse</w:t>
      </w:r>
      <w:r w:rsidR="00652FE6">
        <w:rPr>
          <w:lang w:eastAsia="en-US"/>
        </w:rPr>
        <w:t> » vypracované Leibnizem</w:t>
      </w:r>
      <w:r w:rsidR="004635AB">
        <w:t xml:space="preserve">. </w:t>
      </w:r>
      <w:r w:rsidR="004354AA">
        <w:t xml:space="preserve">Následně </w:t>
      </w:r>
      <w:r w:rsidR="004354AA" w:rsidRPr="00273106">
        <w:t>získ</w:t>
      </w:r>
      <w:r w:rsidR="004354AA">
        <w:t>ala</w:t>
      </w:r>
      <w:r w:rsidR="004354AA" w:rsidRPr="00273106">
        <w:t xml:space="preserve"> </w:t>
      </w:r>
      <w:r w:rsidR="004354AA">
        <w:t>p</w:t>
      </w:r>
      <w:r w:rsidR="001873EA">
        <w:t>ostm</w:t>
      </w:r>
      <w:r w:rsidR="001873EA" w:rsidRPr="00273106">
        <w:t xml:space="preserve">oderní věda </w:t>
      </w:r>
      <w:r w:rsidR="001873EA">
        <w:t xml:space="preserve">skrze Kanta transcendentální </w:t>
      </w:r>
      <w:r w:rsidR="001873EA" w:rsidRPr="00273106">
        <w:t>oprávnění pravdivě asimilovat veškeré dostupné jsoucno k obrazu osvíceného demiurga</w:t>
      </w:r>
      <w:r w:rsidR="001873EA">
        <w:fldChar w:fldCharType="begin"/>
      </w:r>
      <w:r w:rsidR="001873EA">
        <w:instrText xml:space="preserve"> XE "</w:instrText>
      </w:r>
      <w:r w:rsidR="001873EA" w:rsidRPr="005C2F4A">
        <w:rPr>
          <w:rStyle w:val="addmd"/>
        </w:rPr>
        <w:instrText>demiurg</w:instrText>
      </w:r>
      <w:r w:rsidR="001873EA">
        <w:instrText xml:space="preserve">" </w:instrText>
      </w:r>
      <w:r w:rsidR="001873EA">
        <w:fldChar w:fldCharType="end"/>
      </w:r>
      <w:r w:rsidR="001873EA">
        <w:t xml:space="preserve">. Kantovo dílo </w:t>
      </w:r>
      <w:r w:rsidR="001873EA" w:rsidRPr="00734C05">
        <w:rPr>
          <w:i/>
          <w:iCs/>
        </w:rPr>
        <w:t>Idee zu einer allgemeinen Geschichte in weltbürgerlicher Absicht</w:t>
      </w:r>
      <w:r w:rsidR="001873EA">
        <w:t xml:space="preserve"> (1784) dosvědčuje, že č</w:t>
      </w:r>
      <w:r w:rsidR="001873EA" w:rsidRPr="00273106">
        <w:t>lověk dostává na rozdíl od nerozumné přírody epochální úkol produkovat smysl bytí pouze sám ze sebe (</w:t>
      </w:r>
      <w:r w:rsidR="001873EA" w:rsidRPr="00273106">
        <w:rPr>
          <w:i/>
          <w:iCs/>
        </w:rPr>
        <w:t>er sollte vielmehr alles aus sich selbst herausbringen</w:t>
      </w:r>
      <w:r w:rsidR="001873EA" w:rsidRPr="00273106">
        <w:rPr>
          <w:iCs/>
        </w:rPr>
        <w:t>)</w:t>
      </w:r>
      <w:r w:rsidR="001873EA" w:rsidRPr="00273106">
        <w:t>.</w:t>
      </w:r>
      <w:r w:rsidR="001873EA" w:rsidRPr="00273106">
        <w:rPr>
          <w:rStyle w:val="Znakapoznpodarou"/>
        </w:rPr>
        <w:footnoteReference w:id="523"/>
      </w:r>
      <w:r w:rsidR="001873EA" w:rsidRPr="00273106">
        <w:t xml:space="preserve"> </w:t>
      </w:r>
      <w:r w:rsidR="001873EA">
        <w:rPr>
          <w:szCs w:val="22"/>
        </w:rPr>
        <w:t>Tento text považuje hermeneutika dějinnosti za základní určení osvícenské moderny (Umlauf 2010, 262‒65). Kantův i</w:t>
      </w:r>
      <w:r w:rsidR="001873EA">
        <w:t>mperativ (</w:t>
      </w:r>
      <w:r w:rsidR="001873EA" w:rsidRPr="009509B4">
        <w:rPr>
          <w:i/>
        </w:rPr>
        <w:t>sollen</w:t>
      </w:r>
      <w:r w:rsidR="001873EA" w:rsidRPr="08082EB4">
        <w:t>) m</w:t>
      </w:r>
      <w:r w:rsidR="001873EA">
        <w:t>á dějinný charakter, protože stanovuje pravdu-</w:t>
      </w:r>
      <w:r w:rsidR="001873EA" w:rsidRPr="00124F77">
        <w:rPr>
          <w:i/>
        </w:rPr>
        <w:t>rectitudo</w:t>
      </w:r>
      <w:r w:rsidR="001873EA">
        <w:t xml:space="preserve"> osvícenské epochy v Anselmově modu (</w:t>
      </w:r>
      <w:r w:rsidR="001873EA" w:rsidRPr="00273106">
        <w:rPr>
          <w:i/>
        </w:rPr>
        <w:t>quod debet esse, recte est</w:t>
      </w:r>
      <w:r w:rsidR="001873EA">
        <w:rPr>
          <w:i/>
        </w:rPr>
        <w:t xml:space="preserve">; </w:t>
      </w:r>
      <w:r w:rsidR="001873EA">
        <w:t xml:space="preserve">kap. 1.2). Vůle k moci se v moderně prosadila skrze deontologický přístup k realitě. </w:t>
      </w:r>
      <w:r w:rsidR="001873EA" w:rsidRPr="00273106">
        <w:t xml:space="preserve">Věci jsou povolány do bytí vůlí stvořitele, což tvoří </w:t>
      </w:r>
      <w:r w:rsidR="001873EA">
        <w:t xml:space="preserve">podle Anselma </w:t>
      </w:r>
      <w:r w:rsidR="001873EA" w:rsidRPr="00273106">
        <w:t xml:space="preserve">jejich pravdu </w:t>
      </w:r>
      <w:r w:rsidR="001873EA">
        <w:t xml:space="preserve">danou </w:t>
      </w:r>
      <w:r w:rsidR="001873EA" w:rsidRPr="00273106">
        <w:t xml:space="preserve">jako </w:t>
      </w:r>
      <w:r w:rsidR="001873EA">
        <w:t xml:space="preserve">vyšší deontologické </w:t>
      </w:r>
      <w:r w:rsidR="001873EA" w:rsidRPr="00273106">
        <w:t xml:space="preserve">oprávnění </w:t>
      </w:r>
      <w:r w:rsidR="001873EA">
        <w:t xml:space="preserve">poskytnuté reálné </w:t>
      </w:r>
      <w:r w:rsidR="001873EA" w:rsidRPr="00273106">
        <w:t>e</w:t>
      </w:r>
      <w:r w:rsidR="001873EA">
        <w:t>xistenci jsoucna</w:t>
      </w:r>
      <w:r w:rsidR="001873EA" w:rsidRPr="00273106">
        <w:t xml:space="preserve">. </w:t>
      </w:r>
      <w:r w:rsidR="001873EA">
        <w:t xml:space="preserve">Svět musí být tím, čím je demiurgické myšlení moderního boha. Po smrti boha moderny </w:t>
      </w:r>
      <w:r w:rsidR="001873EA">
        <w:rPr>
          <w:color w:val="000000"/>
        </w:rPr>
        <w:fldChar w:fldCharType="begin"/>
      </w:r>
      <w:r w:rsidR="001873EA">
        <w:instrText xml:space="preserve"> XE "smrt boha" </w:instrText>
      </w:r>
      <w:r w:rsidR="001873EA">
        <w:rPr>
          <w:color w:val="000000"/>
        </w:rPr>
        <w:fldChar w:fldCharType="end"/>
      </w:r>
      <w:r w:rsidR="001873EA">
        <w:t xml:space="preserve">tvoří deontologický základ postmoderní metafyziky už jen myšlení člověka. </w:t>
      </w:r>
      <w:r w:rsidR="001873EA" w:rsidRPr="00273106">
        <w:t>Neposlušnou reali</w:t>
      </w:r>
      <w:r w:rsidR="001873EA">
        <w:t xml:space="preserve">tu </w:t>
      </w:r>
      <w:r w:rsidR="001873EA" w:rsidRPr="00273106">
        <w:t>bylo třeba definovat a manipulovat</w:t>
      </w:r>
      <w:r w:rsidR="001873EA">
        <w:t xml:space="preserve"> stejně jako lidské</w:t>
      </w:r>
      <w:r w:rsidR="001873EA" w:rsidRPr="00273106">
        <w:t xml:space="preserve"> individuum</w:t>
      </w:r>
      <w:r w:rsidR="001873EA">
        <w:t xml:space="preserve">, které tvoří specificky určenou mrtvolu. </w:t>
      </w:r>
      <w:r w:rsidR="001873EA" w:rsidRPr="00273106">
        <w:t xml:space="preserve">Systém daný abstraktním pohybem </w:t>
      </w:r>
      <w:r w:rsidR="001873EA">
        <w:t xml:space="preserve">vědení a </w:t>
      </w:r>
      <w:r w:rsidR="001873EA" w:rsidRPr="00273106">
        <w:t xml:space="preserve">kapitálu zajistil klasifikaci a třídění každého individuálního </w:t>
      </w:r>
      <w:r w:rsidR="001873EA" w:rsidRPr="00273106">
        <w:rPr>
          <w:i/>
        </w:rPr>
        <w:t>scibile</w:t>
      </w:r>
      <w:r w:rsidR="001873EA">
        <w:rPr>
          <w:i/>
        </w:rPr>
        <w:fldChar w:fldCharType="begin"/>
      </w:r>
      <w:r w:rsidR="001873EA">
        <w:instrText xml:space="preserve"> XE "</w:instrText>
      </w:r>
      <w:r w:rsidR="001873EA" w:rsidRPr="00AA4F67">
        <w:rPr>
          <w:i/>
        </w:rPr>
        <w:instrText>scibile</w:instrText>
      </w:r>
      <w:r w:rsidR="001873EA">
        <w:rPr>
          <w:i/>
        </w:rPr>
        <w:instrText>:</w:instrText>
      </w:r>
      <w:r w:rsidR="001873EA" w:rsidRPr="005507A7">
        <w:instrText>kapitalismus</w:instrText>
      </w:r>
      <w:r w:rsidR="001873EA">
        <w:instrText xml:space="preserve">" </w:instrText>
      </w:r>
      <w:r w:rsidR="001873EA">
        <w:rPr>
          <w:i/>
        </w:rPr>
        <w:fldChar w:fldCharType="end"/>
      </w:r>
      <w:r w:rsidR="001873EA" w:rsidRPr="00273106">
        <w:t xml:space="preserve"> v modu ekonomicky kvantifikovaného</w:t>
      </w:r>
      <w:r w:rsidR="001873EA">
        <w:t xml:space="preserve"> </w:t>
      </w:r>
      <w:r w:rsidR="001873EA" w:rsidRPr="00273106">
        <w:t xml:space="preserve">poznání. Koloniální a imperialistická asimilace lidských a surovinových </w:t>
      </w:r>
      <w:r w:rsidR="001873EA">
        <w:t>zdrojů představovala epochální břímě britského a později i amerického bílého muže</w:t>
      </w:r>
      <w:r w:rsidR="001873EA">
        <w:fldChar w:fldCharType="begin"/>
      </w:r>
      <w:r w:rsidR="001873EA">
        <w:instrText xml:space="preserve"> XE "</w:instrText>
      </w:r>
      <w:r w:rsidR="001873EA" w:rsidRPr="00F96DBF">
        <w:rPr>
          <w:i/>
        </w:rPr>
        <w:instrText>White Man's Burden</w:instrText>
      </w:r>
      <w:r w:rsidR="001873EA">
        <w:instrText xml:space="preserve">" </w:instrText>
      </w:r>
      <w:r w:rsidR="001873EA">
        <w:fldChar w:fldCharType="end"/>
      </w:r>
      <w:r w:rsidR="001873EA">
        <w:t xml:space="preserve"> triumfálně </w:t>
      </w:r>
      <w:r w:rsidR="001873EA" w:rsidRPr="00273106">
        <w:t xml:space="preserve">nesené v asimilačním modu kapitalizované pravdy Západu. </w:t>
      </w:r>
      <w:r w:rsidR="001873EA">
        <w:t xml:space="preserve">Britský spisovatel </w:t>
      </w:r>
      <w:r w:rsidR="001873EA" w:rsidRPr="009956F9">
        <w:t>Joseph Rudyard</w:t>
      </w:r>
      <w:r w:rsidR="001873EA">
        <w:rPr>
          <w:b/>
          <w:bCs/>
        </w:rPr>
        <w:t xml:space="preserve"> </w:t>
      </w:r>
      <w:r w:rsidR="001873EA">
        <w:t xml:space="preserve">Kipling </w:t>
      </w:r>
      <w:r w:rsidR="001873EA">
        <w:fldChar w:fldCharType="begin"/>
      </w:r>
      <w:r w:rsidR="001873EA">
        <w:instrText xml:space="preserve"> XE "Kip</w:instrText>
      </w:r>
      <w:r w:rsidR="001873EA" w:rsidRPr="00780E30">
        <w:instrText>ling, R.</w:instrText>
      </w:r>
      <w:r w:rsidR="001873EA">
        <w:instrText xml:space="preserve">" </w:instrText>
      </w:r>
      <w:r w:rsidR="001873EA">
        <w:fldChar w:fldCharType="end"/>
      </w:r>
      <w:r w:rsidR="001873EA">
        <w:t xml:space="preserve"> podpořil americký koloniální nárok na španělské Filipíny tím, že poeticky oslavil zotročení démonického tvora, který je napůl ďáblem a napůl dítětem (</w:t>
      </w:r>
      <w:r w:rsidR="001873EA" w:rsidRPr="00D92016">
        <w:rPr>
          <w:i/>
        </w:rPr>
        <w:t>half-devil and half-child</w:t>
      </w:r>
      <w:r w:rsidR="001873EA">
        <w:t>).</w:t>
      </w:r>
      <w:r w:rsidR="00C8481E">
        <w:rPr>
          <w:rStyle w:val="Znakapoznpodarou"/>
        </w:rPr>
        <w:footnoteReference w:id="524"/>
      </w:r>
      <w:r w:rsidR="001873EA">
        <w:t xml:space="preserve"> K objektivnímu poznání a krocení konkrétního individuálního divocha či Kiplingova</w:t>
      </w:r>
      <w:r w:rsidR="001873EA">
        <w:fldChar w:fldCharType="begin"/>
      </w:r>
      <w:r w:rsidR="001873EA">
        <w:instrText xml:space="preserve"> XE "Kip</w:instrText>
      </w:r>
      <w:r w:rsidR="001873EA" w:rsidRPr="00780E30">
        <w:instrText>ling, R.</w:instrText>
      </w:r>
      <w:r w:rsidR="001873EA">
        <w:instrText xml:space="preserve">" </w:instrText>
      </w:r>
      <w:r w:rsidR="001873EA">
        <w:fldChar w:fldCharType="end"/>
      </w:r>
      <w:r w:rsidR="001873EA">
        <w:t xml:space="preserve"> démonického jsoucna třetího druhu sloužily nejprve </w:t>
      </w:r>
      <w:r w:rsidR="001873EA" w:rsidRPr="00273106">
        <w:t xml:space="preserve">lidské zoologické zahrady </w:t>
      </w:r>
      <w:r w:rsidR="001873EA">
        <w:fldChar w:fldCharType="begin"/>
      </w:r>
      <w:r w:rsidR="001873EA">
        <w:instrText xml:space="preserve"> XE "</w:instrText>
      </w:r>
      <w:r w:rsidR="001873EA" w:rsidRPr="08B44324">
        <w:instrText>lidské zoologické zahrady</w:instrText>
      </w:r>
      <w:r w:rsidR="001873EA">
        <w:instrText xml:space="preserve">" </w:instrText>
      </w:r>
      <w:r w:rsidR="001873EA">
        <w:fldChar w:fldCharType="end"/>
      </w:r>
      <w:r w:rsidR="001873EA" w:rsidRPr="00273106">
        <w:t>na konci 19. století</w:t>
      </w:r>
      <w:r w:rsidR="001873EA">
        <w:t xml:space="preserve"> (OBJ III, kap. 5.5). Osoba přestala existovat v objektivních humanitních vědách, protože se změnila na objektivní „exsistenci“ toho či onoho </w:t>
      </w:r>
      <w:r w:rsidR="001873EA" w:rsidRPr="0034191B">
        <w:rPr>
          <w:i/>
        </w:rPr>
        <w:t>scibile</w:t>
      </w:r>
      <w:r w:rsidR="001873EA">
        <w:t xml:space="preserve">. Následující století nahradilo lidské zologické zahrady </w:t>
      </w:r>
      <w:r w:rsidR="001873EA" w:rsidRPr="00273106">
        <w:t>vyhlazovací</w:t>
      </w:r>
      <w:r w:rsidR="001873EA">
        <w:t>mi koncentráky a dvěma světovými válkami. Koncentrační tábory se ve T</w:t>
      </w:r>
      <w:r w:rsidR="001873EA" w:rsidRPr="00514BB5">
        <w:t>řetím světě změnily v korporátní pracovní tábory, které připomínají Dantův první kruh pekla vytvořený v éře korporátního kapitalismu.</w:t>
      </w:r>
    </w:p>
    <w:p w14:paraId="4A625520" w14:textId="7D61A1C9" w:rsidR="086B78D0" w:rsidRDefault="08661A4E" w:rsidP="001873EA">
      <w:pPr>
        <w:ind w:firstLine="397"/>
      </w:pPr>
      <w:r>
        <w:t>Aristotelova u</w:t>
      </w:r>
      <w:r w:rsidR="00C77D2A">
        <w:t xml:space="preserve">niverzální </w:t>
      </w:r>
      <w:r w:rsidR="004B4D52" w:rsidRPr="004B4D52">
        <w:t>species</w:t>
      </w:r>
      <w:r w:rsidR="00C77D2A">
        <w:t xml:space="preserve"> stala</w:t>
      </w:r>
      <w:r w:rsidR="08B5142B">
        <w:t xml:space="preserve"> </w:t>
      </w:r>
      <w:r w:rsidR="08AD5FC8">
        <w:t xml:space="preserve">gnostickým </w:t>
      </w:r>
      <w:r w:rsidR="08B5142B">
        <w:t>tělem</w:t>
      </w:r>
      <w:r w:rsidR="007244C0">
        <w:t xml:space="preserve"> třetího druhu </w:t>
      </w:r>
      <w:r w:rsidR="08B5142B">
        <w:t>a</w:t>
      </w:r>
      <w:r w:rsidR="0064514E">
        <w:t xml:space="preserve"> přebývá</w:t>
      </w:r>
      <w:r w:rsidR="00966242" w:rsidRPr="00273106">
        <w:t xml:space="preserve"> </w:t>
      </w:r>
      <w:r w:rsidR="0064514E">
        <w:t>uprostřed akademiků</w:t>
      </w:r>
      <w:r w:rsidR="08F278EF">
        <w:t xml:space="preserve"> </w:t>
      </w:r>
      <w:r w:rsidR="00966242" w:rsidRPr="00273106">
        <w:t xml:space="preserve">ve formě vědecky poznaného </w:t>
      </w:r>
      <w:r w:rsidR="00966242" w:rsidRPr="00273106">
        <w:rPr>
          <w:i/>
        </w:rPr>
        <w:t>scibile</w:t>
      </w:r>
      <w:r w:rsidR="00966242" w:rsidRPr="00273106">
        <w:t xml:space="preserve">. </w:t>
      </w:r>
      <w:r w:rsidR="002E5F07">
        <w:t>A</w:t>
      </w:r>
      <w:r w:rsidR="006E1C9B" w:rsidRPr="00273106">
        <w:t xml:space="preserve">similační </w:t>
      </w:r>
      <w:r w:rsidR="002E5F07">
        <w:t xml:space="preserve">a rovnostářské </w:t>
      </w:r>
      <w:r w:rsidR="006E1C9B" w:rsidRPr="00273106">
        <w:t xml:space="preserve">pojetí pravdy </w:t>
      </w:r>
      <w:r w:rsidR="003C1FE2" w:rsidRPr="00273106">
        <w:t>položil</w:t>
      </w:r>
      <w:r w:rsidR="006E1C9B" w:rsidRPr="00273106">
        <w:t>o</w:t>
      </w:r>
      <w:r w:rsidR="003C1FE2" w:rsidRPr="00273106">
        <w:t xml:space="preserve"> základ </w:t>
      </w:r>
      <w:r w:rsidR="00966242" w:rsidRPr="00273106">
        <w:t>objektivní soustavy poznatků</w:t>
      </w:r>
      <w:r w:rsidR="00E22200" w:rsidRPr="00273106">
        <w:t xml:space="preserve"> a jí odpovídající </w:t>
      </w:r>
      <w:r w:rsidR="00610B83">
        <w:t xml:space="preserve">objektivní </w:t>
      </w:r>
      <w:r w:rsidR="08D30A13">
        <w:t xml:space="preserve">reality. </w:t>
      </w:r>
      <w:r w:rsidR="004E5104">
        <w:t>P</w:t>
      </w:r>
      <w:r w:rsidR="004E5104" w:rsidRPr="00273106">
        <w:t xml:space="preserve">orretáni zahájili </w:t>
      </w:r>
      <w:r w:rsidR="004E5104">
        <w:t>d</w:t>
      </w:r>
      <w:r w:rsidR="08D30A13">
        <w:t xml:space="preserve">ialektické </w:t>
      </w:r>
      <w:r w:rsidR="00E22200" w:rsidRPr="00273106">
        <w:t xml:space="preserve">třídění </w:t>
      </w:r>
      <w:r w:rsidR="00F815B3">
        <w:t xml:space="preserve">a dělení hypostází </w:t>
      </w:r>
      <w:r w:rsidR="003C1FE2" w:rsidRPr="00273106">
        <w:t xml:space="preserve">v rámci </w:t>
      </w:r>
      <w:r w:rsidR="00123002">
        <w:rPr>
          <w:i/>
        </w:rPr>
        <w:t>Arbor Porphyriana</w:t>
      </w:r>
      <w:r w:rsidR="00B65DFD">
        <w:rPr>
          <w:i/>
        </w:rPr>
        <w:fldChar w:fldCharType="begin"/>
      </w:r>
      <w:r w:rsidR="00B65DFD">
        <w:instrText xml:space="preserve"> XE "</w:instrText>
      </w:r>
      <w:r w:rsidR="00B65DFD" w:rsidRPr="00227C7B">
        <w:rPr>
          <w:i/>
        </w:rPr>
        <w:instrText>Arbor Porphyriana</w:instrText>
      </w:r>
      <w:r w:rsidR="00B65DFD">
        <w:instrText xml:space="preserve">" </w:instrText>
      </w:r>
      <w:r w:rsidR="00B65DFD">
        <w:rPr>
          <w:i/>
        </w:rPr>
        <w:fldChar w:fldCharType="end"/>
      </w:r>
      <w:r w:rsidR="00873BA9">
        <w:t>. Vytvořili p</w:t>
      </w:r>
      <w:r w:rsidR="00873BA9" w:rsidRPr="00873BA9">
        <w:t>rvní moderní kontinuum mytologického světa v modu univerzálního hylemorfismu a matematicky určené kvantity.</w:t>
      </w:r>
      <w:r w:rsidR="00873BA9">
        <w:t xml:space="preserve"> </w:t>
      </w:r>
      <w:r w:rsidR="00B04140">
        <w:t xml:space="preserve">Tato hypostázovaná kvantita se změnila na pouhou formální diferenci od nicoty. Poslední diference od nicoty jako nemožnost dalšího dělení zakládá v </w:t>
      </w:r>
      <w:r w:rsidR="00B04140" w:rsidRPr="085319D9">
        <w:rPr>
          <w:i/>
        </w:rPr>
        <w:t>Isagoge</w:t>
      </w:r>
      <w:r w:rsidR="00B04140">
        <w:t xml:space="preserve"> atomární význam individua (OBJ I, kap. 1.3). Bonaventura a Olivi již brali tuto nedělitelnost ontologicky pozitivně jako druhou substanci </w:t>
      </w:r>
      <w:r w:rsidR="00D31F8C">
        <w:t>v modu pozitivního nihilismu (</w:t>
      </w:r>
      <w:r w:rsidR="00D31F8C" w:rsidRPr="004D42A1">
        <w:rPr>
          <w:i/>
        </w:rPr>
        <w:t>non repugnat esse</w:t>
      </w:r>
      <w:r w:rsidR="00D31F8C">
        <w:rPr>
          <w:i/>
        </w:rPr>
        <w:fldChar w:fldCharType="begin"/>
      </w:r>
      <w:r w:rsidR="00D31F8C">
        <w:instrText xml:space="preserve"> XE "</w:instrText>
      </w:r>
      <w:r w:rsidR="00D31F8C" w:rsidRPr="00D44ACB">
        <w:rPr>
          <w:i/>
        </w:rPr>
        <w:instrText>non repugnat esse</w:instrText>
      </w:r>
      <w:r w:rsidR="00D31F8C">
        <w:instrText xml:space="preserve">" </w:instrText>
      </w:r>
      <w:r w:rsidR="00D31F8C">
        <w:rPr>
          <w:i/>
        </w:rPr>
        <w:fldChar w:fldCharType="end"/>
      </w:r>
      <w:r w:rsidR="00D31F8C">
        <w:t xml:space="preserve">; OBJ III, kap. 5.1.1). Tím </w:t>
      </w:r>
      <w:r w:rsidR="009B470D">
        <w:t xml:space="preserve">v moderní metafyzice </w:t>
      </w:r>
      <w:r w:rsidR="00D31F8C">
        <w:t xml:space="preserve">vzniklo čistě nihilistické jsoucno </w:t>
      </w:r>
      <w:r w:rsidR="00B04140">
        <w:t xml:space="preserve">třetího druhu. Tato formálně určená diference pak </w:t>
      </w:r>
      <w:r w:rsidR="00B04140" w:rsidRPr="00273106">
        <w:t xml:space="preserve">v matematice od 17. století </w:t>
      </w:r>
      <w:r w:rsidR="00B04140">
        <w:t xml:space="preserve">založila </w:t>
      </w:r>
      <w:r w:rsidR="00B04140" w:rsidRPr="00273106">
        <w:t>integrální a diferenciální počet</w:t>
      </w:r>
      <w:r w:rsidR="00B04140">
        <w:t>. Nakonec se toto o</w:t>
      </w:r>
      <w:r w:rsidR="003C1FE2" w:rsidRPr="00273106">
        <w:t xml:space="preserve">bjektivní </w:t>
      </w:r>
      <w:r w:rsidR="003C1FE2" w:rsidRPr="00273106">
        <w:rPr>
          <w:i/>
        </w:rPr>
        <w:t>scibile</w:t>
      </w:r>
      <w:r w:rsidR="00B04140">
        <w:t xml:space="preserve"> modernistů </w:t>
      </w:r>
      <w:r w:rsidR="003C1FE2" w:rsidRPr="00273106">
        <w:t xml:space="preserve">stalo </w:t>
      </w:r>
      <w:r w:rsidR="00FA3815" w:rsidRPr="00273106">
        <w:t xml:space="preserve">ve věku metafyzického nihilismu pouhou diferencí v </w:t>
      </w:r>
      <w:r w:rsidR="00C837FC">
        <w:t xml:space="preserve">rámci libovolně dané struktury </w:t>
      </w:r>
      <w:r w:rsidR="00B04140">
        <w:t>na základě lingvistického modelu (</w:t>
      </w:r>
      <w:r w:rsidR="00B04140" w:rsidRPr="00B04140">
        <w:rPr>
          <w:i/>
        </w:rPr>
        <w:t>valeur</w:t>
      </w:r>
      <w:r w:rsidR="00B04140">
        <w:t>)</w:t>
      </w:r>
      <w:r w:rsidR="00B67733">
        <w:fldChar w:fldCharType="begin"/>
      </w:r>
      <w:r w:rsidR="00B67733">
        <w:instrText xml:space="preserve"> XE "</w:instrText>
      </w:r>
      <w:r w:rsidR="00B67733" w:rsidRPr="003D26E5">
        <w:instrText>matematika</w:instrText>
      </w:r>
      <w:r w:rsidR="00B67733">
        <w:instrText xml:space="preserve">" </w:instrText>
      </w:r>
      <w:r w:rsidR="00B67733">
        <w:fldChar w:fldCharType="end"/>
      </w:r>
      <w:r w:rsidR="00FA3815" w:rsidRPr="00273106">
        <w:t>. S</w:t>
      </w:r>
      <w:r w:rsidR="003C1FE2" w:rsidRPr="00273106">
        <w:t xml:space="preserve">vět je viděn z hlediska </w:t>
      </w:r>
      <w:r w:rsidR="00A835F1">
        <w:t>formální reprezentace</w:t>
      </w:r>
      <w:r w:rsidR="003C1FE2" w:rsidRPr="00273106">
        <w:t xml:space="preserve">, která </w:t>
      </w:r>
      <w:r w:rsidR="00400A72" w:rsidRPr="00273106">
        <w:t>na úrovni matematické abstrakce</w:t>
      </w:r>
      <w:r w:rsidR="00EB4045">
        <w:fldChar w:fldCharType="begin"/>
      </w:r>
      <w:r w:rsidR="00EB4045">
        <w:instrText xml:space="preserve"> XE "</w:instrText>
      </w:r>
      <w:r w:rsidR="00EB4045" w:rsidRPr="00A824F0">
        <w:instrText>abstrakce:matematická</w:instrText>
      </w:r>
      <w:r w:rsidR="00EB4045">
        <w:instrText xml:space="preserve">" </w:instrText>
      </w:r>
      <w:r w:rsidR="00EB4045">
        <w:fldChar w:fldCharType="end"/>
      </w:r>
      <w:r w:rsidR="00400A72" w:rsidRPr="00273106">
        <w:t xml:space="preserve"> </w:t>
      </w:r>
      <w:r w:rsidR="003C1FE2" w:rsidRPr="00273106">
        <w:t>stojí</w:t>
      </w:r>
      <w:r w:rsidR="00400A72" w:rsidRPr="00273106">
        <w:t xml:space="preserve"> mimo realitu první substance. </w:t>
      </w:r>
      <w:r w:rsidR="00A265A5">
        <w:t>T</w:t>
      </w:r>
      <w:r w:rsidR="08E4089C">
        <w:t xml:space="preserve">řídění věd v rámci </w:t>
      </w:r>
      <w:r w:rsidR="00A265A5">
        <w:t xml:space="preserve">postmoderní </w:t>
      </w:r>
      <w:r w:rsidR="08E4089C">
        <w:t>ontologi</w:t>
      </w:r>
      <w:r w:rsidR="00A265A5">
        <w:t xml:space="preserve">e </w:t>
      </w:r>
      <w:r w:rsidR="08E4089C">
        <w:t>zahájilo Gocleniovo</w:t>
      </w:r>
      <w:r w:rsidR="08E4089C">
        <w:fldChar w:fldCharType="begin"/>
      </w:r>
      <w:r w:rsidR="08E4089C">
        <w:instrText xml:space="preserve"> XE "</w:instrText>
      </w:r>
      <w:r w:rsidR="08E4089C" w:rsidRPr="00BC546C">
        <w:instrText>Goclenius, R.</w:instrText>
      </w:r>
      <w:r w:rsidR="08E4089C">
        <w:instrText xml:space="preserve">" </w:instrText>
      </w:r>
      <w:r w:rsidR="08E4089C">
        <w:fldChar w:fldCharType="end"/>
      </w:r>
      <w:r w:rsidR="08E4089C">
        <w:t xml:space="preserve"> dílo </w:t>
      </w:r>
      <w:r w:rsidR="08E4089C" w:rsidRPr="003B2B14">
        <w:rPr>
          <w:i/>
        </w:rPr>
        <w:t>Lexicon Philosophicum</w:t>
      </w:r>
      <w:r w:rsidR="08E4089C">
        <w:t xml:space="preserve"> (1590). Přírodovědecké třídění moderních </w:t>
      </w:r>
      <w:r w:rsidR="08E4089C" w:rsidRPr="009D1166">
        <w:rPr>
          <w:i/>
        </w:rPr>
        <w:t>scibile</w:t>
      </w:r>
      <w:r w:rsidR="08E4089C">
        <w:rPr>
          <w:i/>
        </w:rPr>
        <w:fldChar w:fldCharType="begin"/>
      </w:r>
      <w:r w:rsidR="08E4089C">
        <w:instrText xml:space="preserve"> XE "</w:instrText>
      </w:r>
      <w:r w:rsidR="08E4089C" w:rsidRPr="00AA4F67">
        <w:rPr>
          <w:i/>
        </w:rPr>
        <w:instrText>scibile</w:instrText>
      </w:r>
      <w:r w:rsidR="08E4089C">
        <w:instrText xml:space="preserve">" </w:instrText>
      </w:r>
      <w:r w:rsidR="08E4089C">
        <w:rPr>
          <w:i/>
        </w:rPr>
        <w:fldChar w:fldCharType="end"/>
      </w:r>
      <w:r w:rsidR="08E4089C">
        <w:t xml:space="preserve"> zavedl do biologie Carl Linné</w:t>
      </w:r>
      <w:r w:rsidR="08E4089C">
        <w:fldChar w:fldCharType="begin"/>
      </w:r>
      <w:r w:rsidR="08E4089C">
        <w:instrText xml:space="preserve"> XE "</w:instrText>
      </w:r>
      <w:r w:rsidR="08E4089C" w:rsidRPr="0000379A">
        <w:instrText>Linné, C.</w:instrText>
      </w:r>
      <w:r w:rsidR="08E4089C">
        <w:instrText xml:space="preserve">" </w:instrText>
      </w:r>
      <w:r w:rsidR="08E4089C">
        <w:fldChar w:fldCharType="end"/>
      </w:r>
      <w:r w:rsidR="08E4089C">
        <w:t xml:space="preserve"> (</w:t>
      </w:r>
      <w:r w:rsidR="08E4089C">
        <w:rPr>
          <w:i/>
          <w:iCs/>
        </w:rPr>
        <w:t>Systema naturae</w:t>
      </w:r>
      <w:r w:rsidR="08E4089C" w:rsidRPr="00C56B18">
        <w:rPr>
          <w:iCs/>
        </w:rPr>
        <w:t>, 1735</w:t>
      </w:r>
      <w:r w:rsidR="08E4089C">
        <w:t>) a jeho význam pro rozvoj humanistických věd ve věku nihilismu završil post</w:t>
      </w:r>
      <w:r w:rsidR="08E4089C">
        <w:noBreakHyphen/>
        <w:t>strukturalista Foucault</w:t>
      </w:r>
      <w:r w:rsidR="08E4089C">
        <w:fldChar w:fldCharType="begin"/>
      </w:r>
      <w:r w:rsidR="08E4089C">
        <w:instrText xml:space="preserve"> XE "</w:instrText>
      </w:r>
      <w:r w:rsidR="08E4089C" w:rsidRPr="00B2688B">
        <w:instrText>Foucault, M.</w:instrText>
      </w:r>
      <w:r w:rsidR="08E4089C">
        <w:instrText xml:space="preserve">" </w:instrText>
      </w:r>
      <w:r w:rsidR="08E4089C">
        <w:fldChar w:fldCharType="end"/>
      </w:r>
      <w:r w:rsidR="08E4089C" w:rsidRPr="00273106">
        <w:t>.</w:t>
      </w:r>
      <w:r w:rsidR="08E4089C">
        <w:t xml:space="preserve"> Jeho dílo </w:t>
      </w:r>
      <w:r w:rsidR="0812582D" w:rsidRPr="0812582D">
        <w:rPr>
          <w:i/>
        </w:rPr>
        <w:t xml:space="preserve">Les </w:t>
      </w:r>
      <w:r w:rsidR="08667155">
        <w:rPr>
          <w:i/>
        </w:rPr>
        <w:t>m</w:t>
      </w:r>
      <w:r w:rsidR="0812582D" w:rsidRPr="0812582D">
        <w:rPr>
          <w:i/>
        </w:rPr>
        <w:t>ots et les choses</w:t>
      </w:r>
      <w:r w:rsidR="0812582D">
        <w:t xml:space="preserve"> </w:t>
      </w:r>
      <w:r w:rsidR="00A14AB0">
        <w:t xml:space="preserve">(kap. X) </w:t>
      </w:r>
      <w:r w:rsidR="08E4089C">
        <w:t xml:space="preserve">vytvořilo </w:t>
      </w:r>
      <w:r w:rsidR="007B4288">
        <w:t>n</w:t>
      </w:r>
      <w:r w:rsidR="00F95A49" w:rsidRPr="00273106">
        <w:t xml:space="preserve">ový </w:t>
      </w:r>
      <w:r w:rsidR="00BB45B1">
        <w:t>Porfyri</w:t>
      </w:r>
      <w:r w:rsidR="00A14AB0">
        <w:t xml:space="preserve">ův strom </w:t>
      </w:r>
      <w:r w:rsidR="00F95A49" w:rsidRPr="00273106">
        <w:t>umožňující třídění reality v postmoderně</w:t>
      </w:r>
      <w:r w:rsidR="00A14AB0">
        <w:t xml:space="preserve"> na základě moderních produktivních věd (biologie, ekonomie, lingvistika</w:t>
      </w:r>
      <w:r w:rsidR="081725EB">
        <w:t xml:space="preserve">). </w:t>
      </w:r>
      <w:r w:rsidR="08E468C3">
        <w:t xml:space="preserve">Humanitní vědy v epoše metafyzického nihilismu zrušily samy sebe. Foucaultem </w:t>
      </w:r>
      <w:r w:rsidR="00A14AB0">
        <w:t xml:space="preserve">vytvořená produktivní </w:t>
      </w:r>
      <w:r w:rsidR="007D423F" w:rsidRPr="006A0EAD">
        <w:rPr>
          <w:i/>
        </w:rPr>
        <w:t>epistémé</w:t>
      </w:r>
      <w:r w:rsidR="007059AE">
        <w:rPr>
          <w:i/>
        </w:rPr>
        <w:fldChar w:fldCharType="begin"/>
      </w:r>
      <w:r w:rsidR="007059AE">
        <w:instrText xml:space="preserve"> XE "</w:instrText>
      </w:r>
      <w:r w:rsidR="007059AE" w:rsidRPr="005B05F0">
        <w:rPr>
          <w:i/>
        </w:rPr>
        <w:instrText>epistémé</w:instrText>
      </w:r>
      <w:r w:rsidR="007059AE">
        <w:instrText xml:space="preserve">" </w:instrText>
      </w:r>
      <w:r w:rsidR="007059AE">
        <w:rPr>
          <w:i/>
        </w:rPr>
        <w:fldChar w:fldCharType="end"/>
      </w:r>
      <w:r w:rsidR="007D423F">
        <w:t xml:space="preserve"> </w:t>
      </w:r>
      <w:r w:rsidR="085F756B">
        <w:t>postuluje i možný zá</w:t>
      </w:r>
      <w:r w:rsidR="007D423F">
        <w:t xml:space="preserve">nik </w:t>
      </w:r>
      <w:r w:rsidR="08862FB9">
        <w:t xml:space="preserve">tohoto </w:t>
      </w:r>
      <w:r w:rsidR="007D423F" w:rsidRPr="007D423F">
        <w:rPr>
          <w:i/>
        </w:rPr>
        <w:t>scibile</w:t>
      </w:r>
      <w:r w:rsidR="08862FB9">
        <w:rPr>
          <w:i/>
        </w:rPr>
        <w:t xml:space="preserve"> </w:t>
      </w:r>
      <w:r w:rsidR="08862FB9">
        <w:t xml:space="preserve">metaforicky </w:t>
      </w:r>
      <w:r w:rsidR="08862FB9" w:rsidRPr="08862FB9">
        <w:t>zvané</w:t>
      </w:r>
      <w:r w:rsidR="00FA6EF4">
        <w:t>ho „člověk“</w:t>
      </w:r>
      <w:r w:rsidR="00886738">
        <w:rPr>
          <w:i/>
        </w:rPr>
        <w:fldChar w:fldCharType="begin"/>
      </w:r>
      <w:r w:rsidR="00886738">
        <w:instrText xml:space="preserve"> XE "osoba:</w:instrText>
      </w:r>
      <w:r w:rsidR="00886738" w:rsidRPr="00740B77">
        <w:rPr>
          <w:i/>
        </w:rPr>
        <w:instrText>scibile</w:instrText>
      </w:r>
      <w:r w:rsidR="00886738">
        <w:instrText xml:space="preserve">" </w:instrText>
      </w:r>
      <w:r w:rsidR="00886738">
        <w:rPr>
          <w:i/>
        </w:rPr>
        <w:fldChar w:fldCharType="end"/>
      </w:r>
      <w:r w:rsidR="007D423F">
        <w:t>.</w:t>
      </w:r>
      <w:r w:rsidR="00FA6EF4">
        <w:rPr>
          <w:rStyle w:val="Znakapoznpodarou"/>
          <w:szCs w:val="24"/>
        </w:rPr>
        <w:footnoteReference w:id="525"/>
      </w:r>
      <w:r w:rsidR="00F95A49" w:rsidRPr="00273106">
        <w:t xml:space="preserve"> </w:t>
      </w:r>
      <w:r w:rsidR="08496456" w:rsidRPr="00A81CE2">
        <w:t xml:space="preserve">Člověk je objevem, jehož nedávný původ ukazuje </w:t>
      </w:r>
      <w:r w:rsidR="08496456">
        <w:t xml:space="preserve">Foucaultova </w:t>
      </w:r>
      <w:r w:rsidR="08496456" w:rsidRPr="00A81CE2">
        <w:t>archeologie vědění</w:t>
      </w:r>
      <w:r w:rsidR="08496456">
        <w:t xml:space="preserve"> ve věku dokonaného metafyzického nihilimu. </w:t>
      </w:r>
      <w:r w:rsidR="08322E34">
        <w:t xml:space="preserve">Humanismus Foucaulta následoval tento dějinný vývoj a změnil definici člověka na iracionální hru diferencí. </w:t>
      </w:r>
      <w:r w:rsidR="008D5E48" w:rsidRPr="008D5E48">
        <w:t xml:space="preserve">V nihilistickém věku dokončené </w:t>
      </w:r>
      <w:r w:rsidR="008D5E48" w:rsidRPr="007B7FDE">
        <w:rPr>
          <w:i/>
        </w:rPr>
        <w:t>via Modernorum</w:t>
      </w:r>
      <w:r w:rsidR="008D5E48">
        <w:t xml:space="preserve"> dokonaly analytické Fúrie nutně smrt moderního b</w:t>
      </w:r>
      <w:r w:rsidR="008D5E48" w:rsidRPr="008D5E48">
        <w:t>oha a konec objektivně pojatého humanismu.</w:t>
      </w:r>
      <w:r w:rsidR="007B7FDE">
        <w:t xml:space="preserve"> Nyní vstupujeme do fáze antropocénu, kdy je na řadě zničení života na celé Zemi.</w:t>
      </w:r>
      <w:r w:rsidR="00740440">
        <w:t xml:space="preserve"> </w:t>
      </w:r>
      <w:r w:rsidR="00AB0241">
        <w:t>P</w:t>
      </w:r>
      <w:r w:rsidR="00C636A7">
        <w:t xml:space="preserve">očátek myšlení </w:t>
      </w:r>
      <w:r w:rsidR="00C636A7" w:rsidRPr="00C636A7">
        <w:rPr>
          <w:i/>
        </w:rPr>
        <w:t>Modernorum</w:t>
      </w:r>
      <w:r w:rsidR="00C636A7">
        <w:t xml:space="preserve"> </w:t>
      </w:r>
      <w:r w:rsidR="00F21FA2">
        <w:t xml:space="preserve">je </w:t>
      </w:r>
      <w:r w:rsidR="00AB0241">
        <w:t>ustavený s</w:t>
      </w:r>
      <w:r w:rsidR="00C636A7">
        <w:t xml:space="preserve">krze </w:t>
      </w:r>
      <w:r w:rsidR="00AB0241">
        <w:t>specifikum člověka-mrtvoly</w:t>
      </w:r>
      <w:r w:rsidR="00F21FA2">
        <w:t xml:space="preserve">. Tento moderní subjekt zakládá nový smysl jsoucna, který plně </w:t>
      </w:r>
      <w:r w:rsidR="00AB0241">
        <w:t xml:space="preserve">vládne </w:t>
      </w:r>
      <w:r w:rsidR="00F21FA2">
        <w:t xml:space="preserve">v </w:t>
      </w:r>
      <w:r w:rsidR="00C636A7">
        <w:t>epoše vědecko-technického nihilismu.</w:t>
      </w:r>
      <w:r w:rsidR="08EC576F">
        <w:t xml:space="preserve"> Mytopoetický tanec Šivy nebo Fúrií dal tomuto postmodernímu simulákru současných humanitních věd </w:t>
      </w:r>
      <w:r w:rsidR="08BC0E8D">
        <w:t xml:space="preserve">ve 13. století </w:t>
      </w:r>
      <w:r w:rsidR="08EC576F">
        <w:t xml:space="preserve">vzniknout a </w:t>
      </w:r>
      <w:r w:rsidR="08BC0E8D">
        <w:t xml:space="preserve">ve 20. století také </w:t>
      </w:r>
      <w:r w:rsidR="08EC576F">
        <w:t>zaniknout. V</w:t>
      </w:r>
      <w:r w:rsidR="08EC576F" w:rsidRPr="00273106">
        <w:t xml:space="preserve">ědění </w:t>
      </w:r>
      <w:r w:rsidR="08EC576F">
        <w:t xml:space="preserve">v rámci </w:t>
      </w:r>
      <w:r w:rsidR="08EC576F" w:rsidRPr="007F0573">
        <w:rPr>
          <w:i/>
        </w:rPr>
        <w:t>Oxfordian Fallacy</w:t>
      </w:r>
      <w:r w:rsidR="08EC576F">
        <w:t xml:space="preserve"> dobylo </w:t>
      </w:r>
      <w:r w:rsidR="08EC576F" w:rsidRPr="00273106">
        <w:t xml:space="preserve">neposlušnou materii, čili objektivně </w:t>
      </w:r>
      <w:r w:rsidR="00CB717B">
        <w:t xml:space="preserve">asimilovaný </w:t>
      </w:r>
      <w:r w:rsidR="08EC576F" w:rsidRPr="00273106">
        <w:t>svět</w:t>
      </w:r>
      <w:r w:rsidR="00CB717B">
        <w:t xml:space="preserve">. To se stalo </w:t>
      </w:r>
      <w:r w:rsidR="08EC576F">
        <w:t xml:space="preserve">nejprve </w:t>
      </w:r>
      <w:r w:rsidR="08EC576F" w:rsidRPr="00273106">
        <w:t>skrze Britské impérium a pak skrze korporátní</w:t>
      </w:r>
      <w:r w:rsidR="088F0106">
        <w:t xml:space="preserve"> fašismus válečného 20. a 21</w:t>
      </w:r>
      <w:r w:rsidR="08EC576F" w:rsidRPr="00273106">
        <w:t xml:space="preserve">. století. V době nihilismu prosazovaného korporátně-globálně </w:t>
      </w:r>
      <w:r w:rsidR="08EC576F">
        <w:t xml:space="preserve">už je v sázce osud celé </w:t>
      </w:r>
      <w:r w:rsidR="08EC576F" w:rsidRPr="00273106">
        <w:t>planet</w:t>
      </w:r>
      <w:r w:rsidR="08EC576F">
        <w:t>y</w:t>
      </w:r>
      <w:r w:rsidR="00D0755E">
        <w:t xml:space="preserve">. Země </w:t>
      </w:r>
      <w:r w:rsidR="08EC576F">
        <w:t>se stala v epoše antropocénu</w:t>
      </w:r>
      <w:r w:rsidR="08EC576F">
        <w:fldChar w:fldCharType="begin"/>
      </w:r>
      <w:r w:rsidR="08EC576F">
        <w:instrText xml:space="preserve"> XE "</w:instrText>
      </w:r>
      <w:r w:rsidR="08EC576F" w:rsidRPr="00E9587D">
        <w:instrText>antropocén</w:instrText>
      </w:r>
      <w:r w:rsidR="08EC576F">
        <w:instrText xml:space="preserve">" </w:instrText>
      </w:r>
      <w:r w:rsidR="08EC576F">
        <w:fldChar w:fldCharType="end"/>
      </w:r>
      <w:r w:rsidR="08EC576F">
        <w:t xml:space="preserve"> specifickým, individuálním a konkrétním jsoucnem třetího druhu</w:t>
      </w:r>
      <w:r w:rsidR="08EC576F" w:rsidRPr="00273106">
        <w:t>.</w:t>
      </w:r>
    </w:p>
    <w:p w14:paraId="39688232" w14:textId="77777777" w:rsidR="086E6BFB" w:rsidRPr="00273106" w:rsidRDefault="086B78D0" w:rsidP="086E6BFB">
      <w:pPr>
        <w:pStyle w:val="Nadpis3"/>
      </w:pPr>
      <w:r>
        <w:br w:type="page"/>
      </w:r>
      <w:bookmarkStart w:id="149" w:name="_Toc12558334"/>
      <w:bookmarkStart w:id="150" w:name="_Toc160449347"/>
      <w:r w:rsidR="086E6BFB" w:rsidRPr="00273106">
        <w:t>Použité zkratky</w:t>
      </w:r>
      <w:bookmarkEnd w:id="149"/>
      <w:bookmarkEnd w:id="150"/>
    </w:p>
    <w:p w14:paraId="79577C45" w14:textId="77777777" w:rsidR="086E6BFB" w:rsidRDefault="086E6BFB" w:rsidP="086E6BFB">
      <w:pPr>
        <w:pStyle w:val="Literatura"/>
        <w:rPr>
          <w:b/>
        </w:rPr>
      </w:pPr>
    </w:p>
    <w:p w14:paraId="2C47678B" w14:textId="77777777" w:rsidR="086E6BFB" w:rsidRPr="00273106" w:rsidRDefault="086E6BFB" w:rsidP="086E6BFB">
      <w:pPr>
        <w:pStyle w:val="Literatura"/>
        <w:rPr>
          <w:b/>
          <w:lang w:eastAsia="en-US"/>
        </w:rPr>
      </w:pPr>
      <w:r w:rsidRPr="00273106">
        <w:rPr>
          <w:b/>
        </w:rPr>
        <w:t>ABMA</w:t>
      </w:r>
      <w:r w:rsidRPr="00273106">
        <w:t xml:space="preserve"> </w:t>
      </w:r>
      <w:r w:rsidRPr="00273106">
        <w:tab/>
      </w:r>
      <w:r w:rsidRPr="00273106">
        <w:tab/>
      </w:r>
      <w:r w:rsidRPr="00273106">
        <w:rPr>
          <w:i/>
        </w:rPr>
        <w:t xml:space="preserve">William of Ockham: Dialogus. Latin Text and English Translation. Edited by John Kilcullen, John </w:t>
      </w:r>
      <w:r w:rsidRPr="00273106">
        <w:rPr>
          <w:i/>
        </w:rPr>
        <w:tab/>
      </w:r>
      <w:r w:rsidRPr="00273106">
        <w:rPr>
          <w:i/>
        </w:rPr>
        <w:tab/>
      </w:r>
      <w:r w:rsidRPr="00273106">
        <w:rPr>
          <w:i/>
        </w:rPr>
        <w:tab/>
        <w:t>Scott, George Knysh, Volker Leppin, Jan Ballweg, Karl Ubl, Semih Heinen</w:t>
      </w:r>
      <w:r w:rsidRPr="00273106">
        <w:t xml:space="preserve">. Dílo </w:t>
      </w:r>
      <w:r w:rsidRPr="00273106">
        <w:rPr>
          <w:i/>
        </w:rPr>
        <w:t>Dialogus</w:t>
      </w:r>
      <w:r w:rsidRPr="00273106">
        <w:t xml:space="preserve"> citujeme </w:t>
      </w:r>
      <w:r w:rsidRPr="00273106">
        <w:tab/>
      </w:r>
      <w:r w:rsidRPr="00273106">
        <w:tab/>
      </w:r>
      <w:r w:rsidRPr="00273106">
        <w:tab/>
        <w:t xml:space="preserve">podle kritické edice </w:t>
      </w:r>
      <w:r w:rsidRPr="00273106">
        <w:rPr>
          <w:i/>
        </w:rPr>
        <w:t xml:space="preserve">Auctores Britannici Medii Aevi </w:t>
      </w:r>
      <w:r w:rsidRPr="00273106">
        <w:t xml:space="preserve">průběžně vydávané v digitální formě </w:t>
      </w:r>
      <w:r w:rsidRPr="00273106">
        <w:tab/>
      </w:r>
      <w:r w:rsidRPr="00273106">
        <w:tab/>
      </w:r>
      <w:r w:rsidRPr="00273106">
        <w:tab/>
      </w:r>
      <w:r w:rsidRPr="00273106">
        <w:tab/>
      </w:r>
      <w:r w:rsidRPr="00273106">
        <w:tab/>
        <w:t>(www.britac.ac.uk/pubs/dialogus/).</w:t>
      </w:r>
    </w:p>
    <w:p w14:paraId="4A5BF85E" w14:textId="77777777" w:rsidR="086E6BFB" w:rsidRDefault="086E6BFB" w:rsidP="086E6BFB">
      <w:pPr>
        <w:pStyle w:val="Literatura"/>
        <w:rPr>
          <w:b/>
          <w:lang w:eastAsia="en-US"/>
        </w:rPr>
      </w:pPr>
      <w:r>
        <w:rPr>
          <w:b/>
          <w:lang w:eastAsia="en-US"/>
        </w:rPr>
        <w:t>CCSL</w:t>
      </w:r>
      <w:r>
        <w:rPr>
          <w:b/>
          <w:lang w:eastAsia="en-US"/>
        </w:rPr>
        <w:tab/>
      </w:r>
      <w:r>
        <w:rPr>
          <w:b/>
          <w:lang w:eastAsia="en-US"/>
        </w:rPr>
        <w:tab/>
      </w:r>
      <w:r>
        <w:rPr>
          <w:b/>
          <w:lang w:eastAsia="en-US"/>
        </w:rPr>
        <w:tab/>
      </w:r>
      <w:r w:rsidRPr="00726DE1">
        <w:rPr>
          <w:i/>
        </w:rPr>
        <w:t>Corpus Christianorum Series Latina</w:t>
      </w:r>
      <w:r w:rsidRPr="080C3BA1">
        <w:t>, ed. Brepols, 1953‒.</w:t>
      </w:r>
    </w:p>
    <w:p w14:paraId="455402D1" w14:textId="77777777" w:rsidR="086E6BFB" w:rsidRDefault="086E6BFB" w:rsidP="086E6BFB">
      <w:pPr>
        <w:pStyle w:val="Literatura"/>
      </w:pPr>
      <w:r w:rsidRPr="00273106">
        <w:rPr>
          <w:b/>
          <w:lang w:eastAsia="en-US"/>
        </w:rPr>
        <w:t>CMDA</w:t>
      </w:r>
      <w:r w:rsidRPr="00273106">
        <w:rPr>
          <w:lang w:eastAsia="en-US"/>
        </w:rPr>
        <w:tab/>
      </w:r>
      <w:r w:rsidRPr="00273106">
        <w:rPr>
          <w:lang w:eastAsia="en-US"/>
        </w:rPr>
        <w:tab/>
      </w:r>
      <w:r w:rsidRPr="00273106">
        <w:rPr>
          <w:i/>
        </w:rPr>
        <w:t xml:space="preserve">Averrois Cordubensis Commentarium Magnum in Aristotelis </w:t>
      </w:r>
      <w:r>
        <w:rPr>
          <w:i/>
        </w:rPr>
        <w:t>De anima</w:t>
      </w:r>
      <w:r w:rsidRPr="00273106">
        <w:rPr>
          <w:i/>
        </w:rPr>
        <w:t xml:space="preserve"> Libros</w:t>
      </w:r>
      <w:r w:rsidRPr="00273106">
        <w:t xml:space="preserve">. F. Stuart Crawford </w:t>
      </w:r>
      <w:r w:rsidRPr="00273106">
        <w:tab/>
      </w:r>
      <w:r w:rsidRPr="00273106">
        <w:tab/>
      </w:r>
      <w:r w:rsidRPr="00273106">
        <w:tab/>
        <w:t>(ed.)., Cambridge: Mediaeval Academy of America, 1953.</w:t>
      </w:r>
    </w:p>
    <w:p w14:paraId="42FCEF81" w14:textId="77777777" w:rsidR="086E6BFB" w:rsidRDefault="00581485" w:rsidP="086E6BFB">
      <w:pPr>
        <w:pStyle w:val="Literatura"/>
        <w:ind w:left="1185" w:hanging="1185"/>
      </w:pPr>
      <w:r w:rsidRPr="00581485">
        <w:rPr>
          <w:b/>
        </w:rPr>
        <w:t>DK</w:t>
      </w:r>
      <w:r w:rsidR="086E6BFB">
        <w:tab/>
      </w:r>
      <w:r w:rsidR="086E6BFB">
        <w:tab/>
      </w:r>
      <w:r w:rsidR="086E6BFB">
        <w:rPr>
          <w:i/>
          <w:iCs/>
        </w:rPr>
        <w:t>Die Fragmente der Vorsokratiker</w:t>
      </w:r>
      <w:r w:rsidR="086E6BFB">
        <w:t xml:space="preserve"> </w:t>
      </w:r>
      <w:r w:rsidR="086E6BFB" w:rsidRPr="08635380">
        <w:rPr>
          <w:i/>
        </w:rPr>
        <w:t>I</w:t>
      </w:r>
      <w:r w:rsidR="086E6BFB" w:rsidRPr="08635380">
        <w:rPr>
          <w:rFonts w:cs="Calibri"/>
          <w:i/>
        </w:rPr>
        <w:t>−</w:t>
      </w:r>
      <w:r w:rsidR="086E6BFB" w:rsidRPr="08635380">
        <w:rPr>
          <w:i/>
        </w:rPr>
        <w:t>III</w:t>
      </w:r>
      <w:r w:rsidR="086E6BFB">
        <w:t xml:space="preserve">. Herausgegeben von </w:t>
      </w:r>
      <w:r>
        <w:t xml:space="preserve">Hermann Diels und </w:t>
      </w:r>
      <w:r w:rsidR="086E6BFB">
        <w:t>Walter Kranz. Curych: Weidmann 1952.</w:t>
      </w:r>
    </w:p>
    <w:p w14:paraId="7C7D110F" w14:textId="77777777" w:rsidR="086E6BFB" w:rsidRPr="00273106" w:rsidRDefault="086E6BFB" w:rsidP="086E6BFB">
      <w:pPr>
        <w:pStyle w:val="Literatura"/>
      </w:pPr>
      <w:r w:rsidRPr="00273106">
        <w:rPr>
          <w:b/>
          <w:bCs/>
        </w:rPr>
        <w:t>GA</w:t>
      </w:r>
      <w:r w:rsidRPr="00273106">
        <w:tab/>
      </w:r>
      <w:r w:rsidRPr="00273106">
        <w:tab/>
      </w:r>
      <w:r w:rsidRPr="00273106">
        <w:tab/>
        <w:t>Martin Heidegger</w:t>
      </w:r>
      <w:r w:rsidRPr="00273106">
        <w:rPr>
          <w:smallCaps/>
        </w:rPr>
        <w:t xml:space="preserve">. </w:t>
      </w:r>
      <w:r w:rsidRPr="00273106">
        <w:rPr>
          <w:i/>
          <w:iCs/>
        </w:rPr>
        <w:t>Gesamtausgabe</w:t>
      </w:r>
      <w:r w:rsidRPr="00273106">
        <w:t>, Vittorio Klostermann, Frankfurt am Main (1975‒).</w:t>
      </w:r>
    </w:p>
    <w:p w14:paraId="65046D8C" w14:textId="77777777" w:rsidR="08D41343" w:rsidRDefault="086E6BFB" w:rsidP="08E20145">
      <w:pPr>
        <w:pStyle w:val="Literatura"/>
      </w:pPr>
      <w:r w:rsidRPr="00273106">
        <w:rPr>
          <w:b/>
          <w:bCs/>
        </w:rPr>
        <w:t>Hegel</w:t>
      </w:r>
      <w:r w:rsidRPr="00273106">
        <w:tab/>
      </w:r>
      <w:r w:rsidRPr="00273106">
        <w:tab/>
        <w:t xml:space="preserve">Hegel, Georg Wilhelm Friedrich. </w:t>
      </w:r>
      <w:r w:rsidRPr="00273106">
        <w:rPr>
          <w:i/>
          <w:iCs/>
        </w:rPr>
        <w:t>Werke in zwanzig Bänden</w:t>
      </w:r>
      <w:r w:rsidRPr="00273106">
        <w:t>, Frankfurt am Main: Suhrkamp, 1969-</w:t>
      </w:r>
      <w:r w:rsidRPr="00273106">
        <w:tab/>
      </w:r>
      <w:r w:rsidRPr="00273106">
        <w:tab/>
      </w:r>
      <w:r w:rsidRPr="00273106">
        <w:tab/>
        <w:t>1971 (Theorie-Werkausgabe).</w:t>
      </w:r>
    </w:p>
    <w:p w14:paraId="75EB92DC" w14:textId="77777777" w:rsidR="08E20145" w:rsidRPr="08E20145" w:rsidRDefault="08D41343" w:rsidP="08D41343">
      <w:pPr>
        <w:pStyle w:val="Literatura"/>
        <w:ind w:left="794" w:firstLine="397"/>
      </w:pPr>
      <w:r>
        <w:t xml:space="preserve">– </w:t>
      </w:r>
      <w:r w:rsidR="086C2843">
        <w:t xml:space="preserve">Band 3: </w:t>
      </w:r>
      <w:r w:rsidR="08E20145" w:rsidRPr="08E20145">
        <w:rPr>
          <w:i/>
        </w:rPr>
        <w:t>Phänomenologie des Geistes</w:t>
      </w:r>
      <w:r w:rsidR="08E20145">
        <w:t>, 1986.</w:t>
      </w:r>
    </w:p>
    <w:p w14:paraId="696DFD8D" w14:textId="77777777" w:rsidR="086E6BFB" w:rsidRPr="00273106" w:rsidRDefault="086E6BFB" w:rsidP="086E6BFB">
      <w:pPr>
        <w:pStyle w:val="Literatura"/>
      </w:pPr>
      <w:r w:rsidRPr="00273106">
        <w:rPr>
          <w:b/>
        </w:rPr>
        <w:t>KdRV</w:t>
      </w:r>
      <w:r w:rsidRPr="00273106">
        <w:tab/>
      </w:r>
      <w:r w:rsidRPr="00273106">
        <w:tab/>
        <w:t xml:space="preserve">Kant, Immanuel. </w:t>
      </w:r>
      <w:r w:rsidRPr="00273106">
        <w:rPr>
          <w:i/>
          <w:iCs/>
        </w:rPr>
        <w:t>Kritik der reinen Vernunft</w:t>
      </w:r>
      <w:r w:rsidRPr="00273106">
        <w:t xml:space="preserve"> podle prvního vydání 1781 (Berlin: Akademieausgabe, </w:t>
      </w:r>
      <w:r w:rsidRPr="00273106">
        <w:tab/>
      </w:r>
      <w:r w:rsidRPr="00273106">
        <w:tab/>
      </w:r>
      <w:r w:rsidRPr="00273106">
        <w:tab/>
        <w:t xml:space="preserve">1904, Band IV.) citováno pod značkou „A“. Druhé vydání 1787 (Berlin: Akademieausgabe, 1911, </w:t>
      </w:r>
      <w:r w:rsidRPr="00273106">
        <w:tab/>
      </w:r>
      <w:r w:rsidRPr="00273106">
        <w:tab/>
      </w:r>
      <w:r w:rsidRPr="00273106">
        <w:tab/>
        <w:t>Band III) je citováno pod značkou „B“.</w:t>
      </w:r>
    </w:p>
    <w:p w14:paraId="3BA4FF56" w14:textId="77777777" w:rsidR="086E6BFB" w:rsidRPr="00273106" w:rsidRDefault="086E6BFB" w:rsidP="086E6BFB">
      <w:pPr>
        <w:pStyle w:val="Literatura"/>
      </w:pPr>
      <w:r w:rsidRPr="00273106">
        <w:rPr>
          <w:b/>
        </w:rPr>
        <w:t>KdPV</w:t>
      </w:r>
      <w:r w:rsidRPr="00273106">
        <w:rPr>
          <w:b/>
        </w:rPr>
        <w:tab/>
      </w:r>
      <w:r w:rsidRPr="00273106">
        <w:rPr>
          <w:b/>
        </w:rPr>
        <w:tab/>
      </w:r>
      <w:r w:rsidRPr="00273106">
        <w:t xml:space="preserve">Kant, Immanuel. </w:t>
      </w:r>
      <w:r w:rsidRPr="00273106">
        <w:rPr>
          <w:i/>
          <w:iCs/>
        </w:rPr>
        <w:t>Kritik der praktischen Vernunft</w:t>
      </w:r>
      <w:r w:rsidRPr="00273106">
        <w:rPr>
          <w:iCs/>
        </w:rPr>
        <w:t xml:space="preserve">. Berlin: </w:t>
      </w:r>
      <w:r w:rsidRPr="00273106">
        <w:t>Akademieausgabe 1913, Band V, 1–163.</w:t>
      </w:r>
    </w:p>
    <w:p w14:paraId="43E45C69" w14:textId="77777777" w:rsidR="086E6BFB" w:rsidRPr="00273106" w:rsidRDefault="086E6BFB" w:rsidP="086E6BFB">
      <w:pPr>
        <w:pStyle w:val="Literatura"/>
        <w:rPr>
          <w:b/>
        </w:rPr>
      </w:pPr>
      <w:r w:rsidRPr="00273106">
        <w:rPr>
          <w:b/>
        </w:rPr>
        <w:t>KdU</w:t>
      </w:r>
      <w:r w:rsidRPr="00273106">
        <w:tab/>
      </w:r>
      <w:r w:rsidRPr="00273106">
        <w:tab/>
      </w:r>
      <w:r w:rsidRPr="00273106">
        <w:tab/>
        <w:t xml:space="preserve">Kant, Immanuel. </w:t>
      </w:r>
      <w:r w:rsidRPr="00273106">
        <w:rPr>
          <w:i/>
          <w:iCs/>
        </w:rPr>
        <w:t>Kritik der Urteilskraft</w:t>
      </w:r>
      <w:r w:rsidRPr="00273106">
        <w:rPr>
          <w:iCs/>
        </w:rPr>
        <w:t xml:space="preserve">. Berlin: </w:t>
      </w:r>
      <w:r w:rsidRPr="00273106">
        <w:t>Akademieausgabe 1913, Band V, 165–485.</w:t>
      </w:r>
    </w:p>
    <w:p w14:paraId="2AB9FDA4" w14:textId="77777777" w:rsidR="086E6BFB" w:rsidRDefault="086E6BFB" w:rsidP="086E6BFB">
      <w:pPr>
        <w:pStyle w:val="Literatura"/>
      </w:pPr>
      <w:r w:rsidRPr="00273106">
        <w:rPr>
          <w:b/>
        </w:rPr>
        <w:t>KSA</w:t>
      </w:r>
      <w:r w:rsidRPr="00273106">
        <w:tab/>
      </w:r>
      <w:r w:rsidRPr="00273106">
        <w:tab/>
      </w:r>
      <w:r w:rsidRPr="00273106">
        <w:tab/>
        <w:t>Nietzsche, Friedrich</w:t>
      </w:r>
      <w:r w:rsidRPr="00273106">
        <w:rPr>
          <w:i/>
          <w:iCs/>
        </w:rPr>
        <w:t xml:space="preserve">. </w:t>
      </w:r>
      <w:r w:rsidRPr="007E6441">
        <w:rPr>
          <w:i/>
        </w:rPr>
        <w:t>Sämtliche Werke. Kritische Studienausgabe in 15 Bänden</w:t>
      </w:r>
      <w:r>
        <w:t xml:space="preserve">. Hg. von Giorgio </w:t>
      </w:r>
      <w:r>
        <w:tab/>
      </w:r>
      <w:r>
        <w:tab/>
      </w:r>
      <w:r>
        <w:tab/>
        <w:t>Colli und Mazzino Montinari. München und New York 1980.</w:t>
      </w:r>
    </w:p>
    <w:p w14:paraId="3C4439B8" w14:textId="77777777" w:rsidR="086E6BFB" w:rsidRPr="00273106" w:rsidRDefault="086E6BFB" w:rsidP="086E6BFB">
      <w:pPr>
        <w:pStyle w:val="Literatura"/>
        <w:rPr>
          <w:b/>
        </w:rPr>
      </w:pPr>
      <w:r w:rsidRPr="00273106">
        <w:rPr>
          <w:b/>
        </w:rPr>
        <w:t>LCDA</w:t>
      </w:r>
      <w:r w:rsidRPr="00273106">
        <w:rPr>
          <w:b/>
        </w:rPr>
        <w:tab/>
      </w:r>
      <w:r w:rsidRPr="00273106">
        <w:rPr>
          <w:b/>
        </w:rPr>
        <w:tab/>
      </w:r>
      <w:r w:rsidRPr="00273106">
        <w:t xml:space="preserve">Averroes (Ibn Rushd) of Cordoba. </w:t>
      </w:r>
      <w:r w:rsidRPr="00273106">
        <w:rPr>
          <w:i/>
        </w:rPr>
        <w:t xml:space="preserve">Long Commentary on the </w:t>
      </w:r>
      <w:r>
        <w:rPr>
          <w:i/>
        </w:rPr>
        <w:t>De anima</w:t>
      </w:r>
      <w:r w:rsidRPr="00273106">
        <w:rPr>
          <w:i/>
        </w:rPr>
        <w:t xml:space="preserve"> of Aristotle. Translated </w:t>
      </w:r>
      <w:r w:rsidRPr="00273106">
        <w:rPr>
          <w:i/>
        </w:rPr>
        <w:tab/>
      </w:r>
      <w:r w:rsidRPr="00273106">
        <w:rPr>
          <w:i/>
        </w:rPr>
        <w:tab/>
      </w:r>
      <w:r w:rsidRPr="00273106">
        <w:rPr>
          <w:i/>
        </w:rPr>
        <w:tab/>
        <w:t>and with introduction and notes by Richard C. Taylor with Therese-Anne Druart, subeditor</w:t>
      </w:r>
      <w:r w:rsidRPr="00273106">
        <w:t xml:space="preserve">. New </w:t>
      </w:r>
      <w:r w:rsidRPr="00273106">
        <w:tab/>
      </w:r>
      <w:r w:rsidRPr="00273106">
        <w:tab/>
      </w:r>
      <w:r w:rsidRPr="00273106">
        <w:tab/>
        <w:t>Haven &amp; London: Yale University Press, 2009.</w:t>
      </w:r>
    </w:p>
    <w:p w14:paraId="20672A14" w14:textId="77777777" w:rsidR="086E6BFB" w:rsidRPr="08E13DAE" w:rsidRDefault="086E6BFB" w:rsidP="086E6BFB">
      <w:pPr>
        <w:pStyle w:val="Literatura"/>
        <w:rPr>
          <w:b/>
        </w:rPr>
      </w:pPr>
      <w:r w:rsidRPr="08E13DAE">
        <w:rPr>
          <w:b/>
        </w:rPr>
        <w:t>OBJ</w:t>
      </w:r>
      <w:r>
        <w:rPr>
          <w:b/>
        </w:rPr>
        <w:tab/>
      </w:r>
      <w:r>
        <w:rPr>
          <w:b/>
        </w:rPr>
        <w:tab/>
      </w:r>
      <w:r>
        <w:rPr>
          <w:b/>
        </w:rPr>
        <w:tab/>
      </w:r>
      <w:r w:rsidRPr="08E13DAE">
        <w:rPr>
          <w:i/>
        </w:rPr>
        <w:t>Hermeneutika objektivity</w:t>
      </w:r>
      <w:r>
        <w:rPr>
          <w:i/>
        </w:rPr>
        <w:t xml:space="preserve"> I, </w:t>
      </w:r>
      <w:r w:rsidRPr="08E13DAE">
        <w:rPr>
          <w:i/>
        </w:rPr>
        <w:t>II</w:t>
      </w:r>
      <w:r>
        <w:rPr>
          <w:i/>
        </w:rPr>
        <w:t>, III</w:t>
      </w:r>
      <w:r w:rsidRPr="08E13DAE">
        <w:t>. V textu je citován příslušný díl a kapitola.</w:t>
      </w:r>
    </w:p>
    <w:p w14:paraId="30C5F9C3" w14:textId="77777777" w:rsidR="086E6BFB" w:rsidRPr="00273106" w:rsidRDefault="086E6BFB" w:rsidP="086E6BFB">
      <w:pPr>
        <w:pStyle w:val="Literatura"/>
      </w:pPr>
      <w:r w:rsidRPr="00273106">
        <w:rPr>
          <w:b/>
          <w:bCs/>
        </w:rPr>
        <w:t>PL</w:t>
      </w:r>
      <w:r w:rsidRPr="00273106">
        <w:tab/>
      </w:r>
      <w:r w:rsidRPr="00273106">
        <w:tab/>
      </w:r>
      <w:r w:rsidRPr="00273106">
        <w:tab/>
      </w:r>
      <w:r w:rsidRPr="00273106">
        <w:rPr>
          <w:i/>
          <w:iCs/>
        </w:rPr>
        <w:t>Patrologiae latinae cursus completus</w:t>
      </w:r>
      <w:r w:rsidRPr="00273106">
        <w:t>, ed. Migne, 1844‒1864.</w:t>
      </w:r>
    </w:p>
    <w:p w14:paraId="360B8608" w14:textId="77777777" w:rsidR="086E6BFB" w:rsidRPr="00273106" w:rsidRDefault="086E6BFB" w:rsidP="086E6BFB">
      <w:pPr>
        <w:pStyle w:val="Literatura"/>
        <w:rPr>
          <w:rStyle w:val="TextpoznpodarouChar"/>
        </w:rPr>
      </w:pPr>
      <w:r w:rsidRPr="00273106">
        <w:rPr>
          <w:b/>
          <w:bCs/>
        </w:rPr>
        <w:t>RRP</w:t>
      </w:r>
      <w:r w:rsidRPr="00273106">
        <w:rPr>
          <w:b/>
          <w:bCs/>
        </w:rPr>
        <w:tab/>
      </w:r>
      <w:r w:rsidRPr="00273106">
        <w:rPr>
          <w:b/>
          <w:bCs/>
        </w:rPr>
        <w:tab/>
      </w:r>
      <w:r w:rsidRPr="00273106">
        <w:rPr>
          <w:b/>
          <w:bCs/>
        </w:rPr>
        <w:tab/>
      </w:r>
      <w:r w:rsidRPr="00273106">
        <w:rPr>
          <w:rStyle w:val="TextpoznpodarouChar"/>
        </w:rPr>
        <w:t xml:space="preserve">Edice </w:t>
      </w:r>
      <w:r w:rsidRPr="00273106">
        <w:rPr>
          <w:rStyle w:val="TextpoznpodarouChar"/>
          <w:i/>
        </w:rPr>
        <w:t>The Richard Rufus of Cornwall Project</w:t>
      </w:r>
      <w:r w:rsidRPr="00273106">
        <w:rPr>
          <w:rStyle w:val="TextpoznpodarouChar"/>
        </w:rPr>
        <w:t>,</w:t>
      </w:r>
      <w:r>
        <w:rPr>
          <w:rStyle w:val="TextpoznpodarouChar"/>
        </w:rPr>
        <w:t xml:space="preserve"> University of Stanford </w:t>
      </w:r>
      <w:r w:rsidRPr="00273106">
        <w:rPr>
          <w:rStyle w:val="TextpoznpodarouChar"/>
        </w:rPr>
        <w:t xml:space="preserve">(http://rrp.stanford.edu). </w:t>
      </w:r>
      <w:r w:rsidRPr="00273106">
        <w:rPr>
          <w:rStyle w:val="TextpoznpodarouChar"/>
        </w:rPr>
        <w:tab/>
      </w:r>
      <w:r w:rsidRPr="00273106">
        <w:rPr>
          <w:rStyle w:val="TextpoznpodarouChar"/>
        </w:rPr>
        <w:tab/>
      </w:r>
      <w:r w:rsidRPr="00273106">
        <w:rPr>
          <w:rStyle w:val="TextpoznpodarouChar"/>
        </w:rPr>
        <w:tab/>
      </w:r>
      <w:r w:rsidRPr="00273106">
        <w:rPr>
          <w:bCs/>
        </w:rPr>
        <w:t>Richard Rufus of Cornwall.</w:t>
      </w:r>
      <w:r w:rsidRPr="00273106">
        <w:rPr>
          <w:b/>
          <w:bCs/>
        </w:rPr>
        <w:t xml:space="preserve"> </w:t>
      </w:r>
      <w:r w:rsidRPr="00273106">
        <w:rPr>
          <w:rStyle w:val="TextpoznpodarouChar"/>
          <w:i/>
        </w:rPr>
        <w:t>In Aristoteli Analytica posteriora</w:t>
      </w:r>
      <w:r w:rsidRPr="00273106">
        <w:rPr>
          <w:rStyle w:val="TextpoznpodarouChar"/>
        </w:rPr>
        <w:t xml:space="preserve"> (ed. Rega Wood); </w:t>
      </w:r>
      <w:r w:rsidRPr="00273106">
        <w:rPr>
          <w:rStyle w:val="TextpoznpodarouChar"/>
          <w:i/>
        </w:rPr>
        <w:t xml:space="preserve">Memoriale in </w:t>
      </w:r>
      <w:r w:rsidRPr="00273106">
        <w:rPr>
          <w:rStyle w:val="TextpoznpodarouChar"/>
          <w:i/>
        </w:rPr>
        <w:tab/>
      </w:r>
      <w:r w:rsidRPr="00273106">
        <w:rPr>
          <w:rStyle w:val="TextpoznpodarouChar"/>
          <w:i/>
        </w:rPr>
        <w:tab/>
      </w:r>
      <w:r w:rsidRPr="00273106">
        <w:rPr>
          <w:rStyle w:val="TextpoznpodarouChar"/>
          <w:i/>
        </w:rPr>
        <w:tab/>
      </w:r>
      <w:r w:rsidRPr="00273106">
        <w:rPr>
          <w:rStyle w:val="TextpoznpodarouChar"/>
          <w:i/>
        </w:rPr>
        <w:tab/>
        <w:t>Metaphysicam Aristotelis</w:t>
      </w:r>
      <w:r w:rsidRPr="00273106">
        <w:rPr>
          <w:rStyle w:val="TextpoznpodarouChar"/>
        </w:rPr>
        <w:t xml:space="preserve"> (eds. Rega Wood &amp; Neil Lewis, 2013); </w:t>
      </w:r>
      <w:r w:rsidRPr="00273106">
        <w:rPr>
          <w:rStyle w:val="TextpoznpodarouChar"/>
          <w:i/>
        </w:rPr>
        <w:t xml:space="preserve">In Aristotelis De anima. Redactio </w:t>
      </w:r>
      <w:r w:rsidRPr="00273106">
        <w:rPr>
          <w:rStyle w:val="TextpoznpodarouChar"/>
          <w:i/>
        </w:rPr>
        <w:tab/>
      </w:r>
      <w:r w:rsidRPr="00273106">
        <w:rPr>
          <w:rStyle w:val="TextpoznpodarouChar"/>
          <w:i/>
        </w:rPr>
        <w:tab/>
      </w:r>
      <w:r w:rsidRPr="00273106">
        <w:rPr>
          <w:rStyle w:val="TextpoznpodarouChar"/>
          <w:i/>
        </w:rPr>
        <w:tab/>
        <w:t>brevior. Liber 1–3</w:t>
      </w:r>
      <w:r w:rsidRPr="00273106">
        <w:rPr>
          <w:rStyle w:val="TextpoznpodarouChar"/>
        </w:rPr>
        <w:t xml:space="preserve">. (Eds. Christopher J. Martin, Neil Lewis, Rega Wood 2007). </w:t>
      </w:r>
    </w:p>
    <w:p w14:paraId="7321B2BA" w14:textId="77777777" w:rsidR="086E6BFB" w:rsidRPr="00273106" w:rsidRDefault="086E6BFB" w:rsidP="086E6BFB">
      <w:pPr>
        <w:pStyle w:val="Literatura"/>
        <w:ind w:left="705" w:hanging="705"/>
      </w:pPr>
      <w:r w:rsidRPr="00273106">
        <w:rPr>
          <w:b/>
          <w:bCs/>
        </w:rPr>
        <w:t>SZ</w:t>
      </w:r>
      <w:r w:rsidRPr="00273106">
        <w:tab/>
      </w:r>
      <w:r w:rsidRPr="00273106">
        <w:tab/>
      </w:r>
      <w:r w:rsidRPr="00273106">
        <w:tab/>
        <w:t xml:space="preserve">Heidegger, Martin. </w:t>
      </w:r>
      <w:r w:rsidRPr="00273106">
        <w:rPr>
          <w:i/>
          <w:iCs/>
        </w:rPr>
        <w:t>Sein und Zeit</w:t>
      </w:r>
      <w:r w:rsidRPr="00273106">
        <w:t xml:space="preserve">. Tübingen: Max Niemeyer Verlag, </w:t>
      </w:r>
      <w:r w:rsidRPr="00273106">
        <w:rPr>
          <w:vertAlign w:val="superscript"/>
        </w:rPr>
        <w:t>17</w:t>
      </w:r>
      <w:r w:rsidRPr="00273106">
        <w:t>1993.</w:t>
      </w:r>
    </w:p>
    <w:p w14:paraId="6ED270E5" w14:textId="77777777" w:rsidR="086E6BFB" w:rsidRPr="00273106" w:rsidRDefault="086E6BFB" w:rsidP="086E6BFB">
      <w:pPr>
        <w:pStyle w:val="Literatura"/>
      </w:pPr>
      <w:r w:rsidRPr="00273106">
        <w:rPr>
          <w:b/>
        </w:rPr>
        <w:t>WA</w:t>
      </w:r>
      <w:r w:rsidRPr="00273106">
        <w:rPr>
          <w:b/>
        </w:rPr>
        <w:tab/>
      </w:r>
      <w:r w:rsidRPr="00273106">
        <w:tab/>
      </w:r>
      <w:r w:rsidRPr="00273106">
        <w:tab/>
      </w:r>
      <w:r w:rsidRPr="00273106">
        <w:rPr>
          <w:rStyle w:val="st"/>
          <w:i/>
        </w:rPr>
        <w:t>The Works of Aristotle I-XII</w:t>
      </w:r>
      <w:r w:rsidRPr="00273106">
        <w:rPr>
          <w:rStyle w:val="st"/>
        </w:rPr>
        <w:t xml:space="preserve">, ed. W. D. Ross. </w:t>
      </w:r>
      <w:r w:rsidRPr="00273106">
        <w:t>Oxford, 1908‒52.</w:t>
      </w:r>
    </w:p>
    <w:p w14:paraId="1A41ED9E" w14:textId="77777777" w:rsidR="086E6BFB" w:rsidRPr="00273106" w:rsidRDefault="086E6BFB" w:rsidP="086E6BFB">
      <w:pPr>
        <w:pStyle w:val="Literatura"/>
      </w:pPr>
    </w:p>
    <w:p w14:paraId="6E457394" w14:textId="77777777" w:rsidR="086E6BFB" w:rsidRPr="00273106" w:rsidRDefault="086E6BFB" w:rsidP="086E6BFB">
      <w:pPr>
        <w:pStyle w:val="Literatura"/>
        <w:ind w:left="705" w:hanging="705"/>
      </w:pPr>
    </w:p>
    <w:p w14:paraId="796FE2E8" w14:textId="77777777" w:rsidR="086E6BFB" w:rsidRPr="00273106" w:rsidRDefault="086E6BFB" w:rsidP="086E6BFB">
      <w:pPr>
        <w:pStyle w:val="Literatura"/>
        <w:ind w:left="705" w:hanging="705"/>
      </w:pPr>
    </w:p>
    <w:p w14:paraId="5460DF15" w14:textId="77777777" w:rsidR="086E6BFB" w:rsidRPr="00273106" w:rsidRDefault="086E6BFB" w:rsidP="086E6BFB">
      <w:pPr>
        <w:pStyle w:val="Literatura"/>
      </w:pPr>
    </w:p>
    <w:p w14:paraId="235B0BC3" w14:textId="77777777" w:rsidR="086E6BFB" w:rsidRPr="00273106" w:rsidRDefault="086E6BFB" w:rsidP="086E6BFB">
      <w:pPr>
        <w:pStyle w:val="Literatura"/>
      </w:pPr>
    </w:p>
    <w:p w14:paraId="76DEF73A" w14:textId="77777777" w:rsidR="086E6BFB" w:rsidRPr="00273106" w:rsidRDefault="086E6BFB" w:rsidP="086E6BFB">
      <w:pPr>
        <w:pStyle w:val="Literatura"/>
      </w:pPr>
    </w:p>
    <w:p w14:paraId="62BF5F88" w14:textId="77777777" w:rsidR="086E6BFB" w:rsidRPr="086C1F19" w:rsidRDefault="086E6BFB" w:rsidP="086E6BFB">
      <w:pPr>
        <w:pStyle w:val="Nadpis3"/>
      </w:pPr>
      <w:r w:rsidRPr="00273106">
        <w:br w:type="page"/>
      </w:r>
      <w:bookmarkStart w:id="151" w:name="_Toc12558335"/>
      <w:bookmarkStart w:id="152" w:name="_Toc160449348"/>
      <w:r w:rsidRPr="086C1F19">
        <w:t>Index locorum</w:t>
      </w:r>
      <w:bookmarkEnd w:id="151"/>
      <w:bookmarkEnd w:id="152"/>
    </w:p>
    <w:p w14:paraId="62C0E129" w14:textId="77777777" w:rsidR="086E6BFB" w:rsidRDefault="086E6BFB" w:rsidP="086E6BFB">
      <w:pPr>
        <w:pStyle w:val="Literatura"/>
      </w:pPr>
      <w:r>
        <w:t>Citováno je dílo (popř. svazek díla a kvestie), stránka, řádka kritického vydání, které j</w:t>
      </w:r>
      <w:r w:rsidR="081276E7">
        <w:t>e uvedeno v bibliografii</w:t>
      </w:r>
      <w:r>
        <w:t>.</w:t>
      </w:r>
    </w:p>
    <w:p w14:paraId="1C8ACC4C" w14:textId="77777777" w:rsidR="08BA72FD" w:rsidRDefault="08BA72FD" w:rsidP="08BA72FD">
      <w:pPr>
        <w:pStyle w:val="Literatura"/>
      </w:pPr>
    </w:p>
    <w:p w14:paraId="13CC3064" w14:textId="77777777" w:rsidR="08BA72FD" w:rsidRDefault="08BA72FD" w:rsidP="08BA72FD">
      <w:pPr>
        <w:spacing w:line="240" w:lineRule="auto"/>
        <w:contextualSpacing/>
        <w:jc w:val="left"/>
        <w:rPr>
          <w:rFonts w:cs="Calibri"/>
          <w:b/>
          <w:sz w:val="20"/>
          <w:lang w:eastAsia="en-US"/>
        </w:rPr>
        <w:sectPr w:rsidR="08BA72FD" w:rsidSect="086E6BFB">
          <w:footerReference w:type="default" r:id="rId12"/>
          <w:type w:val="continuous"/>
          <w:pgSz w:w="11905" w:h="16837"/>
          <w:pgMar w:top="1417" w:right="1417" w:bottom="1417" w:left="1417" w:header="708" w:footer="720" w:gutter="0"/>
          <w:cols w:space="708"/>
          <w:docGrid w:linePitch="360"/>
        </w:sectPr>
      </w:pPr>
    </w:p>
    <w:p w14:paraId="1B692953" w14:textId="2AE6AE19" w:rsidR="08BA72FD" w:rsidRPr="088B4AA9" w:rsidRDefault="00CB3E4F" w:rsidP="08BA72FD">
      <w:pPr>
        <w:spacing w:line="240" w:lineRule="auto"/>
        <w:contextualSpacing/>
        <w:jc w:val="left"/>
        <w:rPr>
          <w:b/>
          <w:sz w:val="18"/>
          <w:szCs w:val="18"/>
        </w:rPr>
      </w:pPr>
      <w:r>
        <w:rPr>
          <w:b/>
          <w:sz w:val="18"/>
          <w:szCs w:val="18"/>
        </w:rPr>
        <w:t>Abélard</w:t>
      </w:r>
    </w:p>
    <w:p w14:paraId="2C630316" w14:textId="77777777" w:rsidR="08BA72FD" w:rsidRDefault="08BA72FD" w:rsidP="08BA72FD">
      <w:pPr>
        <w:pStyle w:val="Rejstk2"/>
        <w:tabs>
          <w:tab w:val="right" w:leader="dot" w:pos="4171"/>
        </w:tabs>
        <w:spacing w:line="240" w:lineRule="auto"/>
        <w:ind w:left="240"/>
      </w:pPr>
      <w:r w:rsidRPr="001F5DB8">
        <w:rPr>
          <w:i/>
        </w:rPr>
        <w:t>Dialectica</w:t>
      </w:r>
      <w:r>
        <w:t xml:space="preserve"> 163.34‒164.4</w:t>
      </w:r>
      <w:r>
        <w:tab/>
        <w:t>59</w:t>
      </w:r>
    </w:p>
    <w:p w14:paraId="6D7A23BA" w14:textId="77777777" w:rsidR="08BA72FD" w:rsidRDefault="08BA72FD" w:rsidP="08BA72FD">
      <w:pPr>
        <w:pStyle w:val="Rejstk2"/>
        <w:tabs>
          <w:tab w:val="right" w:leader="dot" w:pos="4171"/>
        </w:tabs>
        <w:spacing w:line="240" w:lineRule="auto"/>
        <w:ind w:left="240"/>
      </w:pPr>
      <w:r w:rsidRPr="001F5DB8">
        <w:rPr>
          <w:i/>
        </w:rPr>
        <w:t xml:space="preserve">Dialectica </w:t>
      </w:r>
      <w:r>
        <w:t>167.30‒36</w:t>
      </w:r>
      <w:r>
        <w:tab/>
        <w:t>36</w:t>
      </w:r>
    </w:p>
    <w:p w14:paraId="01B99461" w14:textId="77777777" w:rsidR="08BA72FD" w:rsidRDefault="08BA72FD" w:rsidP="08BA72FD">
      <w:pPr>
        <w:pStyle w:val="Rejstk2"/>
        <w:tabs>
          <w:tab w:val="right" w:leader="dot" w:pos="4171"/>
        </w:tabs>
        <w:spacing w:line="240" w:lineRule="auto"/>
        <w:ind w:left="240"/>
      </w:pPr>
      <w:r w:rsidRPr="001F5DB8">
        <w:rPr>
          <w:i/>
        </w:rPr>
        <w:t>Dialectica</w:t>
      </w:r>
      <w:r>
        <w:t xml:space="preserve"> 215.19‒23</w:t>
      </w:r>
      <w:r>
        <w:tab/>
        <w:t>33</w:t>
      </w:r>
    </w:p>
    <w:p w14:paraId="477DFFD1" w14:textId="77777777" w:rsidR="08BA72FD" w:rsidRDefault="08BA72FD" w:rsidP="08BA72FD">
      <w:pPr>
        <w:pStyle w:val="Rejstk2"/>
        <w:tabs>
          <w:tab w:val="right" w:leader="dot" w:pos="4171"/>
        </w:tabs>
        <w:spacing w:line="240" w:lineRule="auto"/>
        <w:ind w:left="240"/>
      </w:pPr>
      <w:r w:rsidRPr="001F5DB8">
        <w:rPr>
          <w:i/>
        </w:rPr>
        <w:t xml:space="preserve">Dialectica </w:t>
      </w:r>
      <w:r>
        <w:t>221.14‒20</w:t>
      </w:r>
      <w:r>
        <w:tab/>
        <w:t>43</w:t>
      </w:r>
    </w:p>
    <w:p w14:paraId="47CBBFB5" w14:textId="77777777" w:rsidR="08BA72FD" w:rsidRDefault="08BA72FD" w:rsidP="08BA72FD">
      <w:pPr>
        <w:pStyle w:val="Rejstk2"/>
        <w:tabs>
          <w:tab w:val="right" w:leader="dot" w:pos="4171"/>
        </w:tabs>
        <w:spacing w:line="240" w:lineRule="auto"/>
        <w:ind w:left="240"/>
      </w:pPr>
      <w:r w:rsidRPr="001F5DB8">
        <w:rPr>
          <w:i/>
        </w:rPr>
        <w:t xml:space="preserve">Dialectica </w:t>
      </w:r>
      <w:r>
        <w:t>221.3‒9</w:t>
      </w:r>
      <w:r>
        <w:tab/>
        <w:t>42</w:t>
      </w:r>
    </w:p>
    <w:p w14:paraId="6E8657DF" w14:textId="77777777" w:rsidR="08BA72FD" w:rsidRDefault="08BA72FD" w:rsidP="08BA72FD">
      <w:pPr>
        <w:pStyle w:val="Rejstk2"/>
        <w:tabs>
          <w:tab w:val="right" w:leader="dot" w:pos="4171"/>
        </w:tabs>
        <w:spacing w:line="240" w:lineRule="auto"/>
        <w:ind w:left="240"/>
      </w:pPr>
      <w:r w:rsidRPr="001F5DB8">
        <w:rPr>
          <w:i/>
        </w:rPr>
        <w:t>Dialectica</w:t>
      </w:r>
      <w:r>
        <w:t xml:space="preserve"> 51.24‒26</w:t>
      </w:r>
      <w:r>
        <w:tab/>
        <w:t>34</w:t>
      </w:r>
    </w:p>
    <w:p w14:paraId="32E5ED0A" w14:textId="77777777" w:rsidR="08BA72FD" w:rsidRDefault="08BA72FD" w:rsidP="08BA72FD">
      <w:pPr>
        <w:pStyle w:val="Rejstk2"/>
        <w:tabs>
          <w:tab w:val="right" w:leader="dot" w:pos="4171"/>
        </w:tabs>
        <w:spacing w:line="240" w:lineRule="auto"/>
        <w:ind w:left="240"/>
      </w:pPr>
      <w:r w:rsidRPr="001F5DB8">
        <w:rPr>
          <w:i/>
        </w:rPr>
        <w:t>Dialectica</w:t>
      </w:r>
      <w:r>
        <w:t xml:space="preserve"> 546.22‒28</w:t>
      </w:r>
      <w:r>
        <w:tab/>
        <w:t>32</w:t>
      </w:r>
    </w:p>
    <w:p w14:paraId="39C3692E" w14:textId="77777777" w:rsidR="08BA72FD" w:rsidRDefault="08BA72FD" w:rsidP="08BA72FD">
      <w:pPr>
        <w:pStyle w:val="Rejstk2"/>
        <w:tabs>
          <w:tab w:val="right" w:leader="dot" w:pos="4171"/>
        </w:tabs>
        <w:spacing w:line="240" w:lineRule="auto"/>
        <w:ind w:left="240"/>
      </w:pPr>
      <w:r w:rsidRPr="001F5DB8">
        <w:rPr>
          <w:i/>
        </w:rPr>
        <w:t xml:space="preserve">Dialectica </w:t>
      </w:r>
      <w:r>
        <w:t>558.9‒14</w:t>
      </w:r>
      <w:r>
        <w:tab/>
        <w:t>43</w:t>
      </w:r>
    </w:p>
    <w:p w14:paraId="18A6EDAB" w14:textId="77777777" w:rsidR="08BA72FD" w:rsidRDefault="08BA72FD" w:rsidP="08BA72FD">
      <w:pPr>
        <w:pStyle w:val="Rejstk2"/>
        <w:tabs>
          <w:tab w:val="right" w:leader="dot" w:pos="4171"/>
        </w:tabs>
        <w:spacing w:line="240" w:lineRule="auto"/>
        <w:ind w:left="240"/>
      </w:pPr>
      <w:r w:rsidRPr="001F5DB8">
        <w:rPr>
          <w:i/>
        </w:rPr>
        <w:t>Dialectica</w:t>
      </w:r>
      <w:r>
        <w:t xml:space="preserve"> 562.20‒25</w:t>
      </w:r>
      <w:r>
        <w:tab/>
        <w:t>34</w:t>
      </w:r>
    </w:p>
    <w:p w14:paraId="56F8786F" w14:textId="77777777" w:rsidR="08BA72FD" w:rsidRDefault="08BA72FD" w:rsidP="08BA72FD">
      <w:pPr>
        <w:pStyle w:val="Rejstk2"/>
        <w:tabs>
          <w:tab w:val="right" w:leader="dot" w:pos="4171"/>
        </w:tabs>
        <w:spacing w:line="240" w:lineRule="auto"/>
        <w:ind w:left="240"/>
      </w:pPr>
      <w:r w:rsidRPr="001F5DB8">
        <w:rPr>
          <w:i/>
        </w:rPr>
        <w:t>Dialectica</w:t>
      </w:r>
      <w:r>
        <w:t xml:space="preserve"> 562.28‒33</w:t>
      </w:r>
      <w:r>
        <w:tab/>
        <w:t>38</w:t>
      </w:r>
    </w:p>
    <w:p w14:paraId="153126D3" w14:textId="77777777" w:rsidR="08BA72FD" w:rsidRDefault="08BA72FD" w:rsidP="08BA72FD">
      <w:pPr>
        <w:pStyle w:val="Rejstk2"/>
        <w:tabs>
          <w:tab w:val="right" w:leader="dot" w:pos="4171"/>
        </w:tabs>
        <w:spacing w:line="240" w:lineRule="auto"/>
        <w:ind w:left="240"/>
      </w:pPr>
      <w:r w:rsidRPr="001F5DB8">
        <w:rPr>
          <w:i/>
        </w:rPr>
        <w:t xml:space="preserve">Dialectica </w:t>
      </w:r>
      <w:r>
        <w:t>63.30‒37</w:t>
      </w:r>
      <w:r>
        <w:tab/>
        <w:t>160</w:t>
      </w:r>
    </w:p>
    <w:p w14:paraId="19AB20BB" w14:textId="77777777" w:rsidR="08BA72FD" w:rsidRDefault="08BA72FD" w:rsidP="08BA72FD">
      <w:pPr>
        <w:pStyle w:val="Rejstk2"/>
        <w:tabs>
          <w:tab w:val="right" w:leader="dot" w:pos="4171"/>
        </w:tabs>
        <w:spacing w:line="240" w:lineRule="auto"/>
        <w:ind w:left="240"/>
      </w:pPr>
      <w:r w:rsidRPr="001F5DB8">
        <w:rPr>
          <w:i/>
        </w:rPr>
        <w:t xml:space="preserve">Dialectica </w:t>
      </w:r>
      <w:r>
        <w:t>88.32‒34</w:t>
      </w:r>
      <w:r>
        <w:tab/>
        <w:t>42</w:t>
      </w:r>
    </w:p>
    <w:p w14:paraId="551362A0" w14:textId="77777777" w:rsidR="08BA72FD" w:rsidRDefault="08BA72FD" w:rsidP="08BA72FD">
      <w:pPr>
        <w:pStyle w:val="Rejstk2"/>
        <w:tabs>
          <w:tab w:val="right" w:leader="dot" w:pos="4171"/>
        </w:tabs>
        <w:spacing w:line="240" w:lineRule="auto"/>
        <w:ind w:left="240"/>
      </w:pPr>
      <w:r w:rsidRPr="001F5DB8">
        <w:rPr>
          <w:i/>
        </w:rPr>
        <w:t>Dialectica</w:t>
      </w:r>
      <w:r>
        <w:t xml:space="preserve"> 90.13‒17</w:t>
      </w:r>
      <w:r>
        <w:tab/>
        <w:t>46</w:t>
      </w:r>
    </w:p>
    <w:p w14:paraId="63BB72E8" w14:textId="77777777" w:rsidR="08BA72FD" w:rsidRDefault="08BA72FD" w:rsidP="08BA72FD">
      <w:pPr>
        <w:pStyle w:val="Rejstk2"/>
        <w:tabs>
          <w:tab w:val="right" w:leader="dot" w:pos="4171"/>
        </w:tabs>
        <w:spacing w:line="240" w:lineRule="auto"/>
        <w:ind w:left="240"/>
      </w:pPr>
      <w:r w:rsidRPr="001F5DB8">
        <w:rPr>
          <w:i/>
        </w:rPr>
        <w:t>Dialectica</w:t>
      </w:r>
      <w:r>
        <w:t xml:space="preserve"> 90.5‒10</w:t>
      </w:r>
      <w:r>
        <w:tab/>
        <w:t>31</w:t>
      </w:r>
    </w:p>
    <w:p w14:paraId="293425DE" w14:textId="77777777" w:rsidR="08BA72FD" w:rsidRDefault="08BA72FD" w:rsidP="08BA72FD">
      <w:pPr>
        <w:pStyle w:val="Rejstk2"/>
        <w:tabs>
          <w:tab w:val="right" w:leader="dot" w:pos="4171"/>
        </w:tabs>
        <w:spacing w:line="240" w:lineRule="auto"/>
        <w:ind w:left="240"/>
      </w:pPr>
      <w:r w:rsidRPr="001F5DB8">
        <w:rPr>
          <w:i/>
        </w:rPr>
        <w:t xml:space="preserve">Dialectica </w:t>
      </w:r>
      <w:r>
        <w:t>92.35‒93.4</w:t>
      </w:r>
      <w:r>
        <w:tab/>
        <w:t>42</w:t>
      </w:r>
    </w:p>
    <w:p w14:paraId="509D8B97" w14:textId="77777777" w:rsidR="08BA72FD" w:rsidRDefault="08BA72FD" w:rsidP="08BA72FD">
      <w:pPr>
        <w:pStyle w:val="Rejstk2"/>
        <w:tabs>
          <w:tab w:val="right" w:leader="dot" w:pos="4171"/>
        </w:tabs>
        <w:spacing w:line="240" w:lineRule="auto"/>
        <w:ind w:left="240"/>
      </w:pPr>
      <w:r w:rsidRPr="001F5DB8">
        <w:rPr>
          <w:bCs/>
          <w:i/>
        </w:rPr>
        <w:t>Dialogus inter Philosophum Judaeum et Christianum</w:t>
      </w:r>
      <w:r>
        <w:t xml:space="preserve"> PL 178, 1619 B</w:t>
      </w:r>
      <w:r>
        <w:tab/>
        <w:t>45</w:t>
      </w:r>
    </w:p>
    <w:p w14:paraId="470106CF" w14:textId="77777777" w:rsidR="08BA72FD" w:rsidRDefault="08BA72FD" w:rsidP="08BA72FD">
      <w:pPr>
        <w:pStyle w:val="Rejstk2"/>
        <w:tabs>
          <w:tab w:val="right" w:leader="dot" w:pos="4171"/>
        </w:tabs>
        <w:spacing w:line="240" w:lineRule="auto"/>
        <w:ind w:left="240"/>
      </w:pPr>
      <w:r w:rsidRPr="001F5DB8">
        <w:rPr>
          <w:bCs/>
          <w:i/>
        </w:rPr>
        <w:t>Historia calamitatum</w:t>
      </w:r>
      <w:r w:rsidRPr="001F5DB8">
        <w:rPr>
          <w:bCs/>
        </w:rPr>
        <w:t xml:space="preserve"> 125C</w:t>
      </w:r>
      <w:r>
        <w:tab/>
        <w:t>45</w:t>
      </w:r>
    </w:p>
    <w:p w14:paraId="0D6EFCB5" w14:textId="77777777" w:rsidR="08BA72FD" w:rsidRDefault="08BA72FD" w:rsidP="08BA72FD">
      <w:pPr>
        <w:pStyle w:val="Rejstk2"/>
        <w:tabs>
          <w:tab w:val="right" w:leader="dot" w:pos="4171"/>
        </w:tabs>
        <w:spacing w:line="240" w:lineRule="auto"/>
        <w:ind w:left="240"/>
      </w:pPr>
      <w:r w:rsidRPr="001F5DB8">
        <w:rPr>
          <w:i/>
        </w:rPr>
        <w:t xml:space="preserve">Logica Ingredientibus </w:t>
      </w:r>
      <w:r>
        <w:t>137.15</w:t>
      </w:r>
      <w:r>
        <w:tab/>
        <w:t>34</w:t>
      </w:r>
    </w:p>
    <w:p w14:paraId="75E1667F" w14:textId="77777777" w:rsidR="08BA72FD" w:rsidRDefault="08BA72FD" w:rsidP="08BA72FD">
      <w:pPr>
        <w:pStyle w:val="Rejstk2"/>
        <w:tabs>
          <w:tab w:val="right" w:leader="dot" w:pos="4171"/>
        </w:tabs>
        <w:spacing w:line="240" w:lineRule="auto"/>
        <w:ind w:left="240"/>
      </w:pPr>
      <w:r w:rsidRPr="001F5DB8">
        <w:rPr>
          <w:i/>
        </w:rPr>
        <w:t>Logica Ingredientibus</w:t>
      </w:r>
      <w:r>
        <w:t xml:space="preserve"> 137.9‒14</w:t>
      </w:r>
      <w:r>
        <w:tab/>
        <w:t>37</w:t>
      </w:r>
    </w:p>
    <w:p w14:paraId="6325FF8F" w14:textId="77777777" w:rsidR="08BA72FD" w:rsidRDefault="08BA72FD" w:rsidP="08BA72FD">
      <w:pPr>
        <w:pStyle w:val="Rejstk2"/>
        <w:tabs>
          <w:tab w:val="right" w:leader="dot" w:pos="4171"/>
        </w:tabs>
        <w:spacing w:line="240" w:lineRule="auto"/>
        <w:ind w:left="240"/>
      </w:pPr>
      <w:r w:rsidRPr="001F5DB8">
        <w:rPr>
          <w:i/>
        </w:rPr>
        <w:t>Logica Ingredientibus</w:t>
      </w:r>
      <w:r>
        <w:t xml:space="preserve"> 309.26‒28</w:t>
      </w:r>
      <w:r>
        <w:tab/>
        <w:t>40</w:t>
      </w:r>
    </w:p>
    <w:p w14:paraId="43CA00AB" w14:textId="77777777" w:rsidR="08BA72FD" w:rsidRDefault="08BA72FD" w:rsidP="08BA72FD">
      <w:pPr>
        <w:spacing w:line="240" w:lineRule="auto"/>
        <w:contextualSpacing/>
        <w:jc w:val="left"/>
        <w:rPr>
          <w:sz w:val="20"/>
        </w:rPr>
      </w:pPr>
    </w:p>
    <w:p w14:paraId="3788734B" w14:textId="77777777" w:rsidR="08BA72FD" w:rsidRPr="088B4AA9" w:rsidRDefault="08BA72FD" w:rsidP="08BA72FD">
      <w:pPr>
        <w:pStyle w:val="Rejstk1"/>
        <w:tabs>
          <w:tab w:val="right" w:leader="dot" w:pos="4171"/>
        </w:tabs>
        <w:spacing w:line="240" w:lineRule="auto"/>
        <w:rPr>
          <w:b/>
        </w:rPr>
      </w:pPr>
      <w:r w:rsidRPr="088B4AA9">
        <w:rPr>
          <w:b/>
        </w:rPr>
        <w:t>Adam de Buckfield</w:t>
      </w:r>
    </w:p>
    <w:p w14:paraId="08BBCF8D" w14:textId="77777777" w:rsidR="08BA72FD" w:rsidRDefault="08BA72FD" w:rsidP="08BA72FD">
      <w:pPr>
        <w:pStyle w:val="Rejstk2"/>
        <w:tabs>
          <w:tab w:val="right" w:leader="dot" w:pos="4171"/>
        </w:tabs>
        <w:spacing w:line="240" w:lineRule="auto"/>
        <w:ind w:left="240"/>
      </w:pPr>
      <w:r w:rsidRPr="001F5DB8">
        <w:rPr>
          <w:i/>
        </w:rPr>
        <w:t>Sentencia super librum de Anima</w:t>
      </w:r>
      <w:r>
        <w:t xml:space="preserve"> 435.59‒436.66</w:t>
      </w:r>
      <w:r>
        <w:tab/>
        <w:t>480</w:t>
      </w:r>
    </w:p>
    <w:p w14:paraId="28161CC1" w14:textId="77777777" w:rsidR="08BA72FD" w:rsidRDefault="08BA72FD" w:rsidP="08BA72FD">
      <w:pPr>
        <w:pStyle w:val="Rejstk2"/>
        <w:tabs>
          <w:tab w:val="right" w:leader="dot" w:pos="4171"/>
        </w:tabs>
        <w:spacing w:line="240" w:lineRule="auto"/>
        <w:ind w:left="240"/>
      </w:pPr>
      <w:r w:rsidRPr="001F5DB8">
        <w:rPr>
          <w:i/>
        </w:rPr>
        <w:t xml:space="preserve">Sentencia super librum de Anima </w:t>
      </w:r>
      <w:r>
        <w:t>438.134‒141</w:t>
      </w:r>
      <w:r>
        <w:tab/>
        <w:t>461</w:t>
      </w:r>
    </w:p>
    <w:p w14:paraId="7359EB5B" w14:textId="77777777" w:rsidR="08BA72FD" w:rsidRDefault="08BA72FD" w:rsidP="08BA72FD">
      <w:pPr>
        <w:pStyle w:val="Rejstk2"/>
        <w:tabs>
          <w:tab w:val="right" w:leader="dot" w:pos="4171"/>
        </w:tabs>
        <w:spacing w:line="240" w:lineRule="auto"/>
        <w:ind w:left="240"/>
      </w:pPr>
      <w:r w:rsidRPr="001F5DB8">
        <w:rPr>
          <w:i/>
        </w:rPr>
        <w:t xml:space="preserve">Sentencia super librum de Anima </w:t>
      </w:r>
      <w:r>
        <w:t>438.149‒153</w:t>
      </w:r>
      <w:r>
        <w:tab/>
        <w:t>462</w:t>
      </w:r>
    </w:p>
    <w:p w14:paraId="5BA6FAB1" w14:textId="77777777" w:rsidR="08BA72FD" w:rsidRDefault="08BA72FD" w:rsidP="08BA72FD">
      <w:pPr>
        <w:pStyle w:val="Rejstk2"/>
        <w:tabs>
          <w:tab w:val="right" w:leader="dot" w:pos="4171"/>
        </w:tabs>
        <w:spacing w:line="240" w:lineRule="auto"/>
        <w:ind w:left="240"/>
      </w:pPr>
      <w:r w:rsidRPr="001F5DB8">
        <w:rPr>
          <w:i/>
        </w:rPr>
        <w:t xml:space="preserve">Sentencia super librum de Anima </w:t>
      </w:r>
      <w:r>
        <w:t>438.9‒13</w:t>
      </w:r>
      <w:r>
        <w:tab/>
        <w:t>463</w:t>
      </w:r>
    </w:p>
    <w:p w14:paraId="2FEC433A" w14:textId="77777777" w:rsidR="08BA72FD" w:rsidRDefault="08BA72FD" w:rsidP="08BA72FD">
      <w:pPr>
        <w:pStyle w:val="Rejstk2"/>
        <w:tabs>
          <w:tab w:val="right" w:leader="dot" w:pos="4171"/>
        </w:tabs>
        <w:spacing w:line="240" w:lineRule="auto"/>
        <w:ind w:left="240"/>
      </w:pPr>
      <w:r w:rsidRPr="001F5DB8">
        <w:rPr>
          <w:i/>
        </w:rPr>
        <w:t>Sentencia super librum de Anima</w:t>
      </w:r>
      <w:r>
        <w:t xml:space="preserve"> 441.100‒104</w:t>
      </w:r>
      <w:r>
        <w:tab/>
        <w:t>320</w:t>
      </w:r>
    </w:p>
    <w:p w14:paraId="15DBC344" w14:textId="77777777" w:rsidR="08BA72FD" w:rsidRDefault="08BA72FD" w:rsidP="08BA72FD">
      <w:pPr>
        <w:pStyle w:val="Rejstk2"/>
        <w:tabs>
          <w:tab w:val="right" w:leader="dot" w:pos="4171"/>
        </w:tabs>
        <w:spacing w:line="240" w:lineRule="auto"/>
        <w:ind w:left="240"/>
      </w:pPr>
      <w:r w:rsidRPr="001F5DB8">
        <w:rPr>
          <w:i/>
        </w:rPr>
        <w:t xml:space="preserve">Sentencia super librum de Anima </w:t>
      </w:r>
      <w:r>
        <w:t>443.157‒62</w:t>
      </w:r>
      <w:r>
        <w:tab/>
        <w:t>464</w:t>
      </w:r>
    </w:p>
    <w:p w14:paraId="2ADECE36" w14:textId="77777777" w:rsidR="08BA72FD" w:rsidRDefault="08BA72FD" w:rsidP="08BA72FD">
      <w:pPr>
        <w:spacing w:line="240" w:lineRule="auto"/>
        <w:contextualSpacing/>
        <w:jc w:val="left"/>
        <w:rPr>
          <w:sz w:val="20"/>
        </w:rPr>
      </w:pPr>
    </w:p>
    <w:p w14:paraId="4099C489" w14:textId="77777777" w:rsidR="08BA72FD" w:rsidRPr="08CB53C2" w:rsidRDefault="08BA72FD" w:rsidP="08BA72FD">
      <w:pPr>
        <w:pStyle w:val="Rejstk1"/>
        <w:tabs>
          <w:tab w:val="right" w:leader="dot" w:pos="4171"/>
        </w:tabs>
        <w:spacing w:line="240" w:lineRule="auto"/>
        <w:rPr>
          <w:b/>
        </w:rPr>
      </w:pPr>
      <w:r w:rsidRPr="08CB53C2">
        <w:rPr>
          <w:b/>
        </w:rPr>
        <w:t>Aegidius Romanus</w:t>
      </w:r>
    </w:p>
    <w:p w14:paraId="66158A38" w14:textId="77777777" w:rsidR="08BA72FD" w:rsidRDefault="08BA72FD" w:rsidP="08BA72FD">
      <w:pPr>
        <w:pStyle w:val="Rejstk1"/>
        <w:tabs>
          <w:tab w:val="right" w:leader="dot" w:pos="4171"/>
        </w:tabs>
        <w:spacing w:line="240" w:lineRule="auto"/>
      </w:pPr>
      <w:r w:rsidRPr="001F5DB8">
        <w:rPr>
          <w:i/>
        </w:rPr>
        <w:t xml:space="preserve">De erroribus Philosophorum </w:t>
      </w:r>
      <w:r>
        <w:t>9.23‒26</w:t>
      </w:r>
      <w:r>
        <w:tab/>
        <w:t>685</w:t>
      </w:r>
    </w:p>
    <w:p w14:paraId="63646700" w14:textId="77777777" w:rsidR="08BA72FD" w:rsidRDefault="08BA72FD" w:rsidP="08BA72FD">
      <w:pPr>
        <w:pStyle w:val="Rejstk1"/>
        <w:tabs>
          <w:tab w:val="right" w:leader="dot" w:pos="4171"/>
        </w:tabs>
        <w:spacing w:line="240" w:lineRule="auto"/>
        <w:rPr>
          <w:b/>
        </w:rPr>
      </w:pPr>
    </w:p>
    <w:p w14:paraId="1DD050FB" w14:textId="77777777" w:rsidR="08BA72FD" w:rsidRPr="08CB53C2" w:rsidRDefault="08BA72FD" w:rsidP="08BA72FD">
      <w:pPr>
        <w:pStyle w:val="Rejstk1"/>
        <w:tabs>
          <w:tab w:val="right" w:leader="dot" w:pos="4171"/>
        </w:tabs>
        <w:spacing w:line="240" w:lineRule="auto"/>
        <w:rPr>
          <w:b/>
        </w:rPr>
      </w:pPr>
      <w:r w:rsidRPr="08CB53C2">
        <w:rPr>
          <w:b/>
        </w:rPr>
        <w:t>Alessandro Achillini</w:t>
      </w:r>
    </w:p>
    <w:p w14:paraId="5BBF68D3" w14:textId="77777777" w:rsidR="08BA72FD" w:rsidRDefault="08BA72FD" w:rsidP="08BA72FD">
      <w:pPr>
        <w:pStyle w:val="Rejstk2"/>
        <w:tabs>
          <w:tab w:val="right" w:leader="dot" w:pos="4171"/>
        </w:tabs>
        <w:spacing w:line="240" w:lineRule="auto"/>
        <w:ind w:left="240"/>
      </w:pPr>
      <w:r w:rsidRPr="001F5DB8">
        <w:rPr>
          <w:i/>
        </w:rPr>
        <w:t xml:space="preserve">De dictinctionibus, </w:t>
      </w:r>
      <w:r>
        <w:t>fol. 164</w:t>
      </w:r>
      <w:r>
        <w:tab/>
        <w:t>697</w:t>
      </w:r>
    </w:p>
    <w:p w14:paraId="592556F8" w14:textId="77777777" w:rsidR="08BA72FD" w:rsidRDefault="08BA72FD" w:rsidP="08BA72FD">
      <w:pPr>
        <w:pStyle w:val="Rejstk1"/>
        <w:tabs>
          <w:tab w:val="right" w:leader="dot" w:pos="4171"/>
        </w:tabs>
        <w:spacing w:line="240" w:lineRule="auto"/>
        <w:rPr>
          <w:b/>
        </w:rPr>
      </w:pPr>
    </w:p>
    <w:p w14:paraId="08864CA7" w14:textId="77777777" w:rsidR="08BA72FD" w:rsidRPr="08124464" w:rsidRDefault="08BA72FD" w:rsidP="08BA72FD">
      <w:pPr>
        <w:pStyle w:val="Rejstk1"/>
        <w:tabs>
          <w:tab w:val="right" w:leader="dot" w:pos="4171"/>
        </w:tabs>
        <w:spacing w:line="240" w:lineRule="auto"/>
        <w:rPr>
          <w:b/>
        </w:rPr>
      </w:pPr>
      <w:r w:rsidRPr="08124464">
        <w:rPr>
          <w:b/>
        </w:rPr>
        <w:t>Tomáš Akvinský</w:t>
      </w:r>
    </w:p>
    <w:p w14:paraId="23374D01" w14:textId="77777777" w:rsidR="08BA72FD" w:rsidRDefault="08BA72FD" w:rsidP="08BA72FD">
      <w:pPr>
        <w:pStyle w:val="Rejstk2"/>
        <w:tabs>
          <w:tab w:val="right" w:leader="dot" w:pos="4171"/>
        </w:tabs>
        <w:spacing w:line="240" w:lineRule="auto"/>
        <w:ind w:left="240"/>
      </w:pPr>
      <w:r w:rsidRPr="001F5DB8">
        <w:rPr>
          <w:i/>
        </w:rPr>
        <w:t xml:space="preserve">De unitate intellectus </w:t>
      </w:r>
      <w:r>
        <w:t>314.436</w:t>
      </w:r>
      <w:r>
        <w:tab/>
        <w:t>485</w:t>
      </w:r>
    </w:p>
    <w:p w14:paraId="1B91EAE5" w14:textId="77777777" w:rsidR="08BA72FD" w:rsidRDefault="08BA72FD" w:rsidP="08BA72FD">
      <w:pPr>
        <w:pStyle w:val="Rejstk2"/>
        <w:tabs>
          <w:tab w:val="right" w:leader="dot" w:pos="4171"/>
        </w:tabs>
        <w:spacing w:line="240" w:lineRule="auto"/>
        <w:ind w:left="240"/>
      </w:pPr>
      <w:r w:rsidRPr="001F5DB8">
        <w:rPr>
          <w:i/>
        </w:rPr>
        <w:t>De veritate</w:t>
      </w:r>
      <w:r>
        <w:t xml:space="preserve"> 336.157‒67</w:t>
      </w:r>
      <w:r>
        <w:tab/>
        <w:t>680</w:t>
      </w:r>
    </w:p>
    <w:p w14:paraId="47ED0A43" w14:textId="77777777" w:rsidR="08BA72FD" w:rsidRDefault="08BA72FD" w:rsidP="08BA72FD">
      <w:pPr>
        <w:pStyle w:val="Rejstk2"/>
        <w:tabs>
          <w:tab w:val="right" w:leader="dot" w:pos="4171"/>
        </w:tabs>
        <w:spacing w:line="240" w:lineRule="auto"/>
        <w:ind w:left="240"/>
      </w:pPr>
      <w:r w:rsidRPr="001F5DB8">
        <w:rPr>
          <w:i/>
        </w:rPr>
        <w:t>Summa contra Gentiles</w:t>
      </w:r>
      <w:r>
        <w:t xml:space="preserve"> II.43</w:t>
      </w:r>
      <w:r>
        <w:tab/>
        <w:t>313</w:t>
      </w:r>
    </w:p>
    <w:p w14:paraId="6BAF9995" w14:textId="77777777" w:rsidR="08BA72FD" w:rsidRDefault="08BA72FD" w:rsidP="08BA72FD">
      <w:pPr>
        <w:pStyle w:val="Rejstk2"/>
        <w:tabs>
          <w:tab w:val="right" w:leader="dot" w:pos="4171"/>
        </w:tabs>
        <w:spacing w:line="240" w:lineRule="auto"/>
        <w:ind w:left="240"/>
      </w:pPr>
      <w:r w:rsidRPr="001F5DB8">
        <w:rPr>
          <w:i/>
        </w:rPr>
        <w:t xml:space="preserve">Super De Trinitate </w:t>
      </w:r>
      <w:r>
        <w:t>154</w:t>
      </w:r>
      <w:r>
        <w:tab/>
        <w:t>408</w:t>
      </w:r>
    </w:p>
    <w:p w14:paraId="4AA3E2E3" w14:textId="7B9F31E5" w:rsidR="08BA72FD" w:rsidRDefault="08BA72FD" w:rsidP="08BA72FD">
      <w:pPr>
        <w:pStyle w:val="Rejstk2"/>
        <w:tabs>
          <w:tab w:val="right" w:leader="dot" w:pos="4171"/>
        </w:tabs>
        <w:spacing w:line="240" w:lineRule="auto"/>
        <w:ind w:left="240"/>
      </w:pPr>
      <w:r w:rsidRPr="001F5DB8">
        <w:rPr>
          <w:i/>
        </w:rPr>
        <w:t>Super II Sent</w:t>
      </w:r>
      <w:r>
        <w:t>.</w:t>
      </w:r>
      <w:r w:rsidR="00601815">
        <w:t xml:space="preserve"> 944</w:t>
      </w:r>
      <w:r>
        <w:tab/>
        <w:t>290</w:t>
      </w:r>
    </w:p>
    <w:p w14:paraId="0C43FEC0" w14:textId="77777777" w:rsidR="08BA72FD" w:rsidRDefault="08BA72FD" w:rsidP="08BA72FD">
      <w:pPr>
        <w:pStyle w:val="Rejstk1"/>
        <w:tabs>
          <w:tab w:val="right" w:leader="dot" w:pos="4171"/>
        </w:tabs>
        <w:spacing w:line="240" w:lineRule="auto"/>
        <w:rPr>
          <w:b/>
        </w:rPr>
      </w:pPr>
    </w:p>
    <w:p w14:paraId="2790CEE3" w14:textId="77777777" w:rsidR="08BA72FD" w:rsidRPr="08124464" w:rsidRDefault="08BA72FD" w:rsidP="08BA72FD">
      <w:pPr>
        <w:pStyle w:val="Rejstk1"/>
        <w:tabs>
          <w:tab w:val="right" w:leader="dot" w:pos="4171"/>
        </w:tabs>
        <w:spacing w:line="240" w:lineRule="auto"/>
        <w:rPr>
          <w:b/>
        </w:rPr>
      </w:pPr>
      <w:r w:rsidRPr="08124464">
        <w:rPr>
          <w:b/>
        </w:rPr>
        <w:t>Albert</w:t>
      </w:r>
      <w:r>
        <w:rPr>
          <w:b/>
        </w:rPr>
        <w:t xml:space="preserve"> </w:t>
      </w:r>
      <w:r w:rsidRPr="08124464">
        <w:rPr>
          <w:b/>
        </w:rPr>
        <w:t>Veliký</w:t>
      </w:r>
    </w:p>
    <w:p w14:paraId="795DAAB6" w14:textId="77777777" w:rsidR="08BA72FD" w:rsidRDefault="08BA72FD" w:rsidP="08BA72FD">
      <w:pPr>
        <w:pStyle w:val="Rejstk2"/>
        <w:tabs>
          <w:tab w:val="right" w:leader="dot" w:pos="4171"/>
        </w:tabs>
        <w:spacing w:line="240" w:lineRule="auto"/>
        <w:ind w:left="240"/>
      </w:pPr>
      <w:r w:rsidRPr="001F5DB8">
        <w:rPr>
          <w:i/>
        </w:rPr>
        <w:t>Analytica Posteriora</w:t>
      </w:r>
      <w:r>
        <w:t xml:space="preserve"> 10a</w:t>
      </w:r>
      <w:r>
        <w:tab/>
        <w:t>258</w:t>
      </w:r>
    </w:p>
    <w:p w14:paraId="196AF690" w14:textId="77777777" w:rsidR="08BA72FD" w:rsidRDefault="08BA72FD" w:rsidP="08BA72FD">
      <w:pPr>
        <w:pStyle w:val="Rejstk2"/>
        <w:tabs>
          <w:tab w:val="right" w:leader="dot" w:pos="4171"/>
        </w:tabs>
        <w:spacing w:line="240" w:lineRule="auto"/>
        <w:ind w:left="240"/>
      </w:pPr>
      <w:r w:rsidRPr="001F5DB8">
        <w:rPr>
          <w:i/>
        </w:rPr>
        <w:t>Analytica Posteriora</w:t>
      </w:r>
      <w:r>
        <w:t xml:space="preserve"> 10a</w:t>
      </w:r>
      <w:r>
        <w:tab/>
        <w:t>268</w:t>
      </w:r>
    </w:p>
    <w:p w14:paraId="3781C243" w14:textId="77777777" w:rsidR="08BA72FD" w:rsidRDefault="08BA72FD" w:rsidP="08BA72FD">
      <w:pPr>
        <w:pStyle w:val="Rejstk2"/>
        <w:tabs>
          <w:tab w:val="right" w:leader="dot" w:pos="4171"/>
        </w:tabs>
        <w:spacing w:line="240" w:lineRule="auto"/>
        <w:ind w:left="240"/>
      </w:pPr>
      <w:r w:rsidRPr="001F5DB8">
        <w:rPr>
          <w:i/>
        </w:rPr>
        <w:t>Analytica Posteriora</w:t>
      </w:r>
      <w:r>
        <w:t xml:space="preserve"> 10b</w:t>
      </w:r>
      <w:r>
        <w:tab/>
        <w:t>257</w:t>
      </w:r>
    </w:p>
    <w:p w14:paraId="080656EA" w14:textId="77777777" w:rsidR="08BA72FD" w:rsidRDefault="08BA72FD" w:rsidP="08BA72FD">
      <w:pPr>
        <w:pStyle w:val="Rejstk2"/>
        <w:tabs>
          <w:tab w:val="right" w:leader="dot" w:pos="4171"/>
        </w:tabs>
        <w:spacing w:line="240" w:lineRule="auto"/>
        <w:ind w:left="240"/>
      </w:pPr>
      <w:r w:rsidRPr="001F5DB8">
        <w:rPr>
          <w:i/>
        </w:rPr>
        <w:t>Analytica Posteriora</w:t>
      </w:r>
      <w:r>
        <w:t xml:space="preserve"> 2, 25b</w:t>
      </w:r>
      <w:r>
        <w:tab/>
        <w:t>249</w:t>
      </w:r>
    </w:p>
    <w:p w14:paraId="764108ED" w14:textId="77777777" w:rsidR="08BA72FD" w:rsidRDefault="08BA72FD" w:rsidP="08BA72FD">
      <w:pPr>
        <w:pStyle w:val="Rejstk2"/>
        <w:tabs>
          <w:tab w:val="right" w:leader="dot" w:pos="4171"/>
        </w:tabs>
        <w:spacing w:line="240" w:lineRule="auto"/>
        <w:ind w:left="240"/>
      </w:pPr>
      <w:r w:rsidRPr="001F5DB8">
        <w:rPr>
          <w:i/>
        </w:rPr>
        <w:t>Analytica Posteriora</w:t>
      </w:r>
      <w:r>
        <w:t xml:space="preserve"> 25a</w:t>
      </w:r>
      <w:r>
        <w:tab/>
        <w:t>248</w:t>
      </w:r>
    </w:p>
    <w:p w14:paraId="38005599" w14:textId="77777777" w:rsidR="08BA72FD" w:rsidRDefault="08BA72FD" w:rsidP="08BA72FD">
      <w:pPr>
        <w:pStyle w:val="Rejstk2"/>
        <w:tabs>
          <w:tab w:val="right" w:leader="dot" w:pos="4171"/>
        </w:tabs>
        <w:spacing w:line="240" w:lineRule="auto"/>
        <w:ind w:left="240"/>
      </w:pPr>
      <w:r w:rsidRPr="001F5DB8">
        <w:rPr>
          <w:i/>
        </w:rPr>
        <w:t>Analytica Posteriora</w:t>
      </w:r>
      <w:r>
        <w:t xml:space="preserve"> 25a</w:t>
      </w:r>
      <w:r>
        <w:tab/>
        <w:t>262</w:t>
      </w:r>
    </w:p>
    <w:p w14:paraId="7FE09ED4" w14:textId="77777777" w:rsidR="08BA72FD" w:rsidRDefault="08BA72FD" w:rsidP="08BA72FD">
      <w:pPr>
        <w:pStyle w:val="Rejstk2"/>
        <w:tabs>
          <w:tab w:val="right" w:leader="dot" w:pos="4171"/>
        </w:tabs>
        <w:spacing w:line="240" w:lineRule="auto"/>
        <w:ind w:left="240"/>
      </w:pPr>
      <w:r w:rsidRPr="001F5DB8">
        <w:rPr>
          <w:i/>
        </w:rPr>
        <w:t>Analytica Posteriora</w:t>
      </w:r>
      <w:r>
        <w:t xml:space="preserve"> 25b</w:t>
      </w:r>
      <w:r>
        <w:tab/>
        <w:t>248</w:t>
      </w:r>
    </w:p>
    <w:p w14:paraId="673A1975" w14:textId="77777777" w:rsidR="08BA72FD" w:rsidRDefault="08BA72FD" w:rsidP="08BA72FD">
      <w:pPr>
        <w:pStyle w:val="Rejstk2"/>
        <w:tabs>
          <w:tab w:val="right" w:leader="dot" w:pos="4171"/>
        </w:tabs>
        <w:spacing w:line="240" w:lineRule="auto"/>
        <w:ind w:left="240"/>
      </w:pPr>
      <w:r w:rsidRPr="001F5DB8">
        <w:rPr>
          <w:i/>
        </w:rPr>
        <w:t>Analytica Posteriora</w:t>
      </w:r>
      <w:r>
        <w:t xml:space="preserve"> 26a</w:t>
      </w:r>
      <w:r>
        <w:tab/>
        <w:t>249</w:t>
      </w:r>
    </w:p>
    <w:p w14:paraId="3AEF93D1" w14:textId="77777777" w:rsidR="08BA72FD" w:rsidRDefault="08BA72FD" w:rsidP="08BA72FD">
      <w:pPr>
        <w:pStyle w:val="Rejstk2"/>
        <w:tabs>
          <w:tab w:val="right" w:leader="dot" w:pos="4171"/>
        </w:tabs>
        <w:spacing w:line="240" w:lineRule="auto"/>
        <w:ind w:left="240"/>
      </w:pPr>
      <w:r w:rsidRPr="001F5DB8">
        <w:rPr>
          <w:i/>
        </w:rPr>
        <w:t>Analytica Posteriora</w:t>
      </w:r>
      <w:r>
        <w:t xml:space="preserve"> 27a</w:t>
      </w:r>
      <w:r>
        <w:tab/>
        <w:t>261</w:t>
      </w:r>
    </w:p>
    <w:p w14:paraId="14068B80" w14:textId="77777777" w:rsidR="08BA72FD" w:rsidRDefault="08BA72FD" w:rsidP="08BA72FD">
      <w:pPr>
        <w:pStyle w:val="Rejstk2"/>
        <w:tabs>
          <w:tab w:val="right" w:leader="dot" w:pos="4171"/>
        </w:tabs>
        <w:spacing w:line="240" w:lineRule="auto"/>
        <w:ind w:left="240"/>
      </w:pPr>
      <w:r w:rsidRPr="001F5DB8">
        <w:rPr>
          <w:i/>
        </w:rPr>
        <w:t>Analytica Posteriora</w:t>
      </w:r>
      <w:r>
        <w:t xml:space="preserve"> 64b</w:t>
      </w:r>
      <w:r>
        <w:tab/>
        <w:t>250</w:t>
      </w:r>
    </w:p>
    <w:p w14:paraId="5A22676B" w14:textId="77777777" w:rsidR="08BA72FD" w:rsidRDefault="08BA72FD" w:rsidP="08BA72FD">
      <w:pPr>
        <w:pStyle w:val="Rejstk2"/>
        <w:tabs>
          <w:tab w:val="right" w:leader="dot" w:pos="4171"/>
        </w:tabs>
        <w:spacing w:line="240" w:lineRule="auto"/>
        <w:ind w:left="240"/>
      </w:pPr>
      <w:r w:rsidRPr="001F5DB8">
        <w:rPr>
          <w:i/>
        </w:rPr>
        <w:t>De homine</w:t>
      </w:r>
      <w:r>
        <w:t xml:space="preserve"> 12a,b</w:t>
      </w:r>
      <w:r>
        <w:tab/>
        <w:t>263</w:t>
      </w:r>
    </w:p>
    <w:p w14:paraId="74E65D5E" w14:textId="77777777" w:rsidR="08BA72FD" w:rsidRDefault="08BA72FD" w:rsidP="08BA72FD">
      <w:pPr>
        <w:pStyle w:val="Rejstk2"/>
        <w:tabs>
          <w:tab w:val="right" w:leader="dot" w:pos="4171"/>
        </w:tabs>
        <w:spacing w:line="240" w:lineRule="auto"/>
        <w:ind w:left="240"/>
      </w:pPr>
      <w:r w:rsidRPr="001F5DB8">
        <w:rPr>
          <w:i/>
        </w:rPr>
        <w:t>De homine</w:t>
      </w:r>
      <w:r>
        <w:t xml:space="preserve"> 12b</w:t>
      </w:r>
      <w:r>
        <w:tab/>
        <w:t>262</w:t>
      </w:r>
    </w:p>
    <w:p w14:paraId="4498D5C3" w14:textId="77777777" w:rsidR="08BA72FD" w:rsidRDefault="08BA72FD" w:rsidP="08BA72FD">
      <w:pPr>
        <w:pStyle w:val="Rejstk2"/>
        <w:tabs>
          <w:tab w:val="right" w:leader="dot" w:pos="4171"/>
        </w:tabs>
        <w:spacing w:line="240" w:lineRule="auto"/>
        <w:ind w:left="240"/>
      </w:pPr>
      <w:r w:rsidRPr="001F5DB8">
        <w:rPr>
          <w:i/>
        </w:rPr>
        <w:t>De homine</w:t>
      </w:r>
      <w:r>
        <w:t xml:space="preserve"> 43b</w:t>
      </w:r>
      <w:r>
        <w:tab/>
        <w:t>259</w:t>
      </w:r>
    </w:p>
    <w:p w14:paraId="364D61FF" w14:textId="77777777" w:rsidR="08BA72FD" w:rsidRDefault="08BA72FD" w:rsidP="08BA72FD">
      <w:pPr>
        <w:pStyle w:val="Rejstk2"/>
        <w:tabs>
          <w:tab w:val="right" w:leader="dot" w:pos="4171"/>
        </w:tabs>
        <w:spacing w:line="240" w:lineRule="auto"/>
        <w:ind w:left="240"/>
      </w:pPr>
      <w:r w:rsidRPr="001F5DB8">
        <w:rPr>
          <w:i/>
        </w:rPr>
        <w:t>De homine</w:t>
      </w:r>
      <w:r>
        <w:t xml:space="preserve"> 449a</w:t>
      </w:r>
      <w:r>
        <w:tab/>
        <w:t>265</w:t>
      </w:r>
    </w:p>
    <w:p w14:paraId="51B54A67" w14:textId="77777777" w:rsidR="08BA72FD" w:rsidRDefault="08BA72FD" w:rsidP="08BA72FD">
      <w:pPr>
        <w:pStyle w:val="Rejstk2"/>
        <w:tabs>
          <w:tab w:val="right" w:leader="dot" w:pos="4171"/>
        </w:tabs>
        <w:spacing w:line="240" w:lineRule="auto"/>
        <w:ind w:left="240"/>
      </w:pPr>
      <w:r w:rsidRPr="001F5DB8">
        <w:rPr>
          <w:i/>
        </w:rPr>
        <w:t>De homine</w:t>
      </w:r>
      <w:r>
        <w:t xml:space="preserve"> 450a</w:t>
      </w:r>
      <w:r>
        <w:tab/>
        <w:t>266, 267</w:t>
      </w:r>
    </w:p>
    <w:p w14:paraId="32F4384C" w14:textId="77777777" w:rsidR="08BA72FD" w:rsidRDefault="08BA72FD" w:rsidP="08BA72FD">
      <w:pPr>
        <w:pStyle w:val="Rejstk2"/>
        <w:tabs>
          <w:tab w:val="right" w:leader="dot" w:pos="4171"/>
        </w:tabs>
        <w:spacing w:line="240" w:lineRule="auto"/>
        <w:ind w:left="240"/>
      </w:pPr>
      <w:r w:rsidRPr="001F5DB8">
        <w:rPr>
          <w:i/>
        </w:rPr>
        <w:t>De homine</w:t>
      </w:r>
      <w:r>
        <w:t xml:space="preserve"> 450b</w:t>
      </w:r>
      <w:r>
        <w:tab/>
        <w:t>265</w:t>
      </w:r>
    </w:p>
    <w:p w14:paraId="5E207E25" w14:textId="77777777" w:rsidR="08BA72FD" w:rsidRDefault="08BA72FD" w:rsidP="08BA72FD">
      <w:pPr>
        <w:pStyle w:val="Rejstk2"/>
        <w:tabs>
          <w:tab w:val="right" w:leader="dot" w:pos="4171"/>
        </w:tabs>
        <w:spacing w:line="240" w:lineRule="auto"/>
        <w:ind w:left="240"/>
      </w:pPr>
      <w:r w:rsidRPr="001F5DB8">
        <w:rPr>
          <w:i/>
        </w:rPr>
        <w:t xml:space="preserve">De homine </w:t>
      </w:r>
      <w:r>
        <w:t>466b</w:t>
      </w:r>
      <w:r>
        <w:tab/>
        <w:t>270, 271</w:t>
      </w:r>
    </w:p>
    <w:p w14:paraId="1F9436AC" w14:textId="77777777" w:rsidR="08BA72FD" w:rsidRDefault="08BA72FD" w:rsidP="08BA72FD">
      <w:pPr>
        <w:pStyle w:val="Rejstk2"/>
        <w:tabs>
          <w:tab w:val="right" w:leader="dot" w:pos="4171"/>
        </w:tabs>
        <w:spacing w:line="240" w:lineRule="auto"/>
        <w:ind w:left="240"/>
      </w:pPr>
      <w:r w:rsidRPr="001F5DB8">
        <w:rPr>
          <w:i/>
        </w:rPr>
        <w:t xml:space="preserve">De homine </w:t>
      </w:r>
      <w:r>
        <w:t>475b</w:t>
      </w:r>
      <w:r>
        <w:tab/>
        <w:t>271</w:t>
      </w:r>
    </w:p>
    <w:p w14:paraId="1402272C" w14:textId="77777777" w:rsidR="08BA72FD" w:rsidRDefault="08BA72FD" w:rsidP="08BA72FD">
      <w:pPr>
        <w:pStyle w:val="Rejstk2"/>
        <w:tabs>
          <w:tab w:val="right" w:leader="dot" w:pos="4171"/>
        </w:tabs>
        <w:spacing w:line="240" w:lineRule="auto"/>
        <w:ind w:left="240"/>
      </w:pPr>
      <w:r w:rsidRPr="001F5DB8">
        <w:rPr>
          <w:i/>
        </w:rPr>
        <w:t xml:space="preserve">De homine </w:t>
      </w:r>
      <w:r>
        <w:t>476a</w:t>
      </w:r>
      <w:r>
        <w:tab/>
        <w:t>272</w:t>
      </w:r>
    </w:p>
    <w:p w14:paraId="31A58FC9" w14:textId="77777777" w:rsidR="08BA72FD" w:rsidRDefault="08BA72FD" w:rsidP="08BA72FD">
      <w:pPr>
        <w:pStyle w:val="Rejstk2"/>
        <w:tabs>
          <w:tab w:val="right" w:leader="dot" w:pos="4171"/>
        </w:tabs>
        <w:spacing w:line="240" w:lineRule="auto"/>
        <w:ind w:left="240"/>
      </w:pPr>
      <w:r w:rsidRPr="001F5DB8">
        <w:rPr>
          <w:i/>
        </w:rPr>
        <w:t xml:space="preserve">De homine </w:t>
      </w:r>
      <w:r>
        <w:t>476b</w:t>
      </w:r>
      <w:r>
        <w:tab/>
        <w:t>276</w:t>
      </w:r>
    </w:p>
    <w:p w14:paraId="3789F2D4" w14:textId="77777777" w:rsidR="08BA72FD" w:rsidRDefault="08BA72FD" w:rsidP="08BA72FD">
      <w:pPr>
        <w:pStyle w:val="Rejstk2"/>
        <w:tabs>
          <w:tab w:val="right" w:leader="dot" w:pos="4171"/>
        </w:tabs>
        <w:spacing w:line="240" w:lineRule="auto"/>
        <w:ind w:left="240"/>
      </w:pPr>
      <w:r w:rsidRPr="001F5DB8">
        <w:rPr>
          <w:i/>
        </w:rPr>
        <w:t xml:space="preserve">De homine </w:t>
      </w:r>
      <w:r>
        <w:t>483b</w:t>
      </w:r>
      <w:r>
        <w:tab/>
        <w:t>272</w:t>
      </w:r>
    </w:p>
    <w:p w14:paraId="42357C91" w14:textId="77777777" w:rsidR="08BA72FD" w:rsidRDefault="08BA72FD" w:rsidP="08BA72FD">
      <w:pPr>
        <w:pStyle w:val="Rejstk2"/>
        <w:tabs>
          <w:tab w:val="right" w:leader="dot" w:pos="4171"/>
        </w:tabs>
        <w:spacing w:line="240" w:lineRule="auto"/>
        <w:ind w:left="240"/>
      </w:pPr>
      <w:r w:rsidRPr="001F5DB8">
        <w:rPr>
          <w:i/>
        </w:rPr>
        <w:t xml:space="preserve">De homine </w:t>
      </w:r>
      <w:r>
        <w:t>484a</w:t>
      </w:r>
      <w:r>
        <w:tab/>
        <w:t>276</w:t>
      </w:r>
    </w:p>
    <w:p w14:paraId="18F8A071" w14:textId="77777777" w:rsidR="08BA72FD" w:rsidRDefault="08BA72FD" w:rsidP="08BA72FD">
      <w:pPr>
        <w:pStyle w:val="Rejstk2"/>
        <w:tabs>
          <w:tab w:val="right" w:leader="dot" w:pos="4171"/>
        </w:tabs>
        <w:spacing w:line="240" w:lineRule="auto"/>
        <w:ind w:left="240"/>
      </w:pPr>
      <w:r w:rsidRPr="001F5DB8">
        <w:rPr>
          <w:i/>
        </w:rPr>
        <w:t xml:space="preserve">De homine </w:t>
      </w:r>
      <w:r>
        <w:t>492b</w:t>
      </w:r>
      <w:r>
        <w:tab/>
        <w:t>274</w:t>
      </w:r>
    </w:p>
    <w:p w14:paraId="152FD9C2" w14:textId="77777777" w:rsidR="08BA72FD" w:rsidRDefault="08BA72FD" w:rsidP="08BA72FD">
      <w:pPr>
        <w:pStyle w:val="Rejstk2"/>
        <w:tabs>
          <w:tab w:val="right" w:leader="dot" w:pos="4171"/>
        </w:tabs>
        <w:spacing w:line="240" w:lineRule="auto"/>
        <w:ind w:left="240"/>
      </w:pPr>
      <w:r w:rsidRPr="001F5DB8">
        <w:rPr>
          <w:i/>
        </w:rPr>
        <w:t>De homine</w:t>
      </w:r>
      <w:r>
        <w:t xml:space="preserve"> 493b</w:t>
      </w:r>
      <w:r>
        <w:tab/>
        <w:t>268, 273</w:t>
      </w:r>
    </w:p>
    <w:p w14:paraId="67C19E9F" w14:textId="77777777" w:rsidR="08BA72FD" w:rsidRDefault="08BA72FD" w:rsidP="08BA72FD">
      <w:pPr>
        <w:pStyle w:val="Rejstk2"/>
        <w:tabs>
          <w:tab w:val="right" w:leader="dot" w:pos="4171"/>
        </w:tabs>
        <w:spacing w:line="240" w:lineRule="auto"/>
        <w:ind w:left="240"/>
      </w:pPr>
      <w:r w:rsidRPr="001F5DB8">
        <w:rPr>
          <w:i/>
        </w:rPr>
        <w:t>De homine</w:t>
      </w:r>
      <w:r>
        <w:t xml:space="preserve"> 494a</w:t>
      </w:r>
      <w:r>
        <w:tab/>
        <w:t>269</w:t>
      </w:r>
    </w:p>
    <w:p w14:paraId="09EF2DFB" w14:textId="77777777" w:rsidR="08BA72FD" w:rsidRDefault="08BA72FD" w:rsidP="08BA72FD">
      <w:pPr>
        <w:pStyle w:val="Rejstk2"/>
        <w:tabs>
          <w:tab w:val="right" w:leader="dot" w:pos="4171"/>
        </w:tabs>
        <w:spacing w:line="240" w:lineRule="auto"/>
        <w:ind w:left="240"/>
      </w:pPr>
      <w:r w:rsidRPr="001F5DB8">
        <w:rPr>
          <w:i/>
        </w:rPr>
        <w:t>De homine</w:t>
      </w:r>
      <w:r>
        <w:t xml:space="preserve"> 4a</w:t>
      </w:r>
      <w:r>
        <w:tab/>
        <w:t>251</w:t>
      </w:r>
    </w:p>
    <w:p w14:paraId="37C39F18" w14:textId="77777777" w:rsidR="08BA72FD" w:rsidRDefault="08BA72FD" w:rsidP="08BA72FD">
      <w:pPr>
        <w:pStyle w:val="Rejstk2"/>
        <w:tabs>
          <w:tab w:val="right" w:leader="dot" w:pos="4171"/>
        </w:tabs>
        <w:spacing w:line="240" w:lineRule="auto"/>
        <w:ind w:left="240"/>
      </w:pPr>
      <w:r w:rsidRPr="001F5DB8">
        <w:rPr>
          <w:i/>
        </w:rPr>
        <w:t>De homine</w:t>
      </w:r>
      <w:r>
        <w:t xml:space="preserve"> 4b</w:t>
      </w:r>
      <w:r>
        <w:tab/>
        <w:t>253</w:t>
      </w:r>
    </w:p>
    <w:p w14:paraId="66BB3C4D" w14:textId="77777777" w:rsidR="08BA72FD" w:rsidRDefault="08BA72FD" w:rsidP="08BA72FD">
      <w:pPr>
        <w:pStyle w:val="Rejstk2"/>
        <w:tabs>
          <w:tab w:val="right" w:leader="dot" w:pos="4171"/>
        </w:tabs>
        <w:spacing w:line="240" w:lineRule="auto"/>
        <w:ind w:left="240"/>
      </w:pPr>
      <w:r w:rsidRPr="001F5DB8">
        <w:rPr>
          <w:i/>
        </w:rPr>
        <w:t xml:space="preserve">De homine </w:t>
      </w:r>
      <w:r>
        <w:t>523b</w:t>
      </w:r>
      <w:r>
        <w:tab/>
        <w:t>275</w:t>
      </w:r>
    </w:p>
    <w:p w14:paraId="380534FC" w14:textId="77777777" w:rsidR="08BA72FD" w:rsidRDefault="08BA72FD" w:rsidP="08BA72FD">
      <w:pPr>
        <w:pStyle w:val="Rejstk2"/>
        <w:tabs>
          <w:tab w:val="right" w:leader="dot" w:pos="4171"/>
        </w:tabs>
        <w:spacing w:line="240" w:lineRule="auto"/>
        <w:ind w:left="240"/>
      </w:pPr>
      <w:r w:rsidRPr="001F5DB8">
        <w:rPr>
          <w:i/>
        </w:rPr>
        <w:t>De homine</w:t>
      </w:r>
      <w:r>
        <w:t xml:space="preserve"> 5b</w:t>
      </w:r>
      <w:r>
        <w:tab/>
        <w:t>254</w:t>
      </w:r>
    </w:p>
    <w:p w14:paraId="3ACE6750" w14:textId="77777777" w:rsidR="08BA72FD" w:rsidRDefault="08BA72FD" w:rsidP="08BA72FD">
      <w:pPr>
        <w:pStyle w:val="Rejstk2"/>
        <w:tabs>
          <w:tab w:val="right" w:leader="dot" w:pos="4171"/>
        </w:tabs>
        <w:spacing w:line="240" w:lineRule="auto"/>
        <w:ind w:left="240"/>
      </w:pPr>
      <w:r w:rsidRPr="001F5DB8">
        <w:rPr>
          <w:i/>
        </w:rPr>
        <w:t xml:space="preserve">De intellectu et intelligibili </w:t>
      </w:r>
      <w:r>
        <w:t>493a</w:t>
      </w:r>
      <w:r>
        <w:tab/>
        <w:t>321</w:t>
      </w:r>
    </w:p>
    <w:p w14:paraId="1B5E31A5"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439b</w:t>
      </w:r>
      <w:r>
        <w:tab/>
        <w:t>311, 312</w:t>
      </w:r>
    </w:p>
    <w:p w14:paraId="07A348A8"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440a</w:t>
      </w:r>
      <w:r>
        <w:tab/>
        <w:t>313</w:t>
      </w:r>
    </w:p>
    <w:p w14:paraId="1E2713F9" w14:textId="77777777" w:rsidR="08BA72FD" w:rsidRDefault="08BA72FD" w:rsidP="08BA72FD">
      <w:pPr>
        <w:pStyle w:val="Rejstk2"/>
        <w:tabs>
          <w:tab w:val="right" w:leader="dot" w:pos="4171"/>
        </w:tabs>
        <w:spacing w:line="240" w:lineRule="auto"/>
        <w:ind w:left="240"/>
      </w:pPr>
      <w:r w:rsidRPr="001F5DB8">
        <w:rPr>
          <w:i/>
        </w:rPr>
        <w:t xml:space="preserve">De unitate intellectus </w:t>
      </w:r>
      <w:r>
        <w:t>440b</w:t>
      </w:r>
      <w:r>
        <w:tab/>
        <w:t>287</w:t>
      </w:r>
    </w:p>
    <w:p w14:paraId="5C36011C"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443a</w:t>
      </w:r>
      <w:r>
        <w:tab/>
        <w:t>314</w:t>
      </w:r>
    </w:p>
    <w:p w14:paraId="1ED57E38"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444a</w:t>
      </w:r>
      <w:r>
        <w:tab/>
        <w:t>315</w:t>
      </w:r>
    </w:p>
    <w:p w14:paraId="7F57E529"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450b</w:t>
      </w:r>
      <w:r>
        <w:tab/>
        <w:t>317</w:t>
      </w:r>
    </w:p>
    <w:p w14:paraId="69FF4649"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453b</w:t>
      </w:r>
      <w:r>
        <w:tab/>
        <w:t>320</w:t>
      </w:r>
    </w:p>
    <w:p w14:paraId="01384A0C"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454a</w:t>
      </w:r>
      <w:r>
        <w:tab/>
        <w:t>319</w:t>
      </w:r>
    </w:p>
    <w:p w14:paraId="677D5492"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455b</w:t>
      </w:r>
      <w:r>
        <w:tab/>
        <w:t>320</w:t>
      </w:r>
    </w:p>
    <w:p w14:paraId="4E22574E"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461a</w:t>
      </w:r>
      <w:r>
        <w:tab/>
        <w:t>317</w:t>
      </w:r>
    </w:p>
    <w:p w14:paraId="167C30B7"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470b</w:t>
      </w:r>
      <w:r>
        <w:tab/>
        <w:t>318</w:t>
      </w:r>
    </w:p>
    <w:p w14:paraId="3565AD1B" w14:textId="77777777" w:rsidR="08BA72FD" w:rsidRDefault="08BA72FD" w:rsidP="08BA72FD">
      <w:pPr>
        <w:pStyle w:val="Rejstk2"/>
        <w:tabs>
          <w:tab w:val="right" w:leader="dot" w:pos="4171"/>
        </w:tabs>
        <w:spacing w:line="240" w:lineRule="auto"/>
        <w:ind w:left="240"/>
      </w:pPr>
      <w:r w:rsidRPr="001F5DB8">
        <w:rPr>
          <w:i/>
        </w:rPr>
        <w:t>De unitate intellectus</w:t>
      </w:r>
      <w:r>
        <w:t xml:space="preserve"> 471b</w:t>
      </w:r>
      <w:r>
        <w:tab/>
        <w:t>309</w:t>
      </w:r>
    </w:p>
    <w:p w14:paraId="18AEA95F" w14:textId="77777777" w:rsidR="08BA72FD" w:rsidRDefault="08BA72FD" w:rsidP="08BA72FD">
      <w:pPr>
        <w:pStyle w:val="Rejstk2"/>
        <w:tabs>
          <w:tab w:val="right" w:leader="dot" w:pos="4171"/>
        </w:tabs>
        <w:spacing w:line="240" w:lineRule="auto"/>
        <w:ind w:left="240"/>
      </w:pPr>
      <w:r w:rsidRPr="001F5DB8">
        <w:rPr>
          <w:i/>
        </w:rPr>
        <w:t>Liber III De anima</w:t>
      </w:r>
      <w:r>
        <w:t xml:space="preserve"> 330a</w:t>
      </w:r>
      <w:r>
        <w:tab/>
        <w:t>285</w:t>
      </w:r>
    </w:p>
    <w:p w14:paraId="7FA45CB4" w14:textId="77777777" w:rsidR="08BA72FD" w:rsidRDefault="08BA72FD" w:rsidP="08BA72FD">
      <w:pPr>
        <w:pStyle w:val="Rejstk2"/>
        <w:tabs>
          <w:tab w:val="right" w:leader="dot" w:pos="4171"/>
        </w:tabs>
        <w:spacing w:line="240" w:lineRule="auto"/>
        <w:ind w:left="240"/>
      </w:pPr>
      <w:r w:rsidRPr="001F5DB8">
        <w:rPr>
          <w:i/>
        </w:rPr>
        <w:t xml:space="preserve">Liber III De anima </w:t>
      </w:r>
      <w:r>
        <w:t>344b</w:t>
      </w:r>
      <w:r>
        <w:tab/>
        <w:t>286</w:t>
      </w:r>
    </w:p>
    <w:p w14:paraId="5F855243" w14:textId="77777777" w:rsidR="08BA72FD" w:rsidRDefault="08BA72FD" w:rsidP="08BA72FD">
      <w:pPr>
        <w:pStyle w:val="Rejstk2"/>
        <w:tabs>
          <w:tab w:val="right" w:leader="dot" w:pos="4171"/>
        </w:tabs>
        <w:spacing w:line="240" w:lineRule="auto"/>
        <w:ind w:left="240"/>
      </w:pPr>
      <w:r w:rsidRPr="001F5DB8">
        <w:rPr>
          <w:i/>
        </w:rPr>
        <w:t>Liber III De anima</w:t>
      </w:r>
      <w:r>
        <w:t xml:space="preserve"> 347b</w:t>
      </w:r>
      <w:r>
        <w:tab/>
        <w:t>276</w:t>
      </w:r>
    </w:p>
    <w:p w14:paraId="18B1AB56" w14:textId="77777777" w:rsidR="08BA72FD" w:rsidRDefault="08BA72FD" w:rsidP="08BA72FD">
      <w:pPr>
        <w:pStyle w:val="Rejstk2"/>
        <w:tabs>
          <w:tab w:val="right" w:leader="dot" w:pos="4171"/>
        </w:tabs>
        <w:spacing w:line="240" w:lineRule="auto"/>
        <w:ind w:left="240"/>
      </w:pPr>
      <w:r w:rsidRPr="001F5DB8">
        <w:rPr>
          <w:i/>
        </w:rPr>
        <w:t>Liber III De anima</w:t>
      </w:r>
      <w:r>
        <w:t xml:space="preserve"> 347b‒348a</w:t>
      </w:r>
      <w:r>
        <w:tab/>
        <w:t>277</w:t>
      </w:r>
    </w:p>
    <w:p w14:paraId="7306B14B" w14:textId="77777777" w:rsidR="08BA72FD" w:rsidRDefault="08BA72FD" w:rsidP="08BA72FD">
      <w:pPr>
        <w:pStyle w:val="Rejstk2"/>
        <w:tabs>
          <w:tab w:val="right" w:leader="dot" w:pos="4171"/>
        </w:tabs>
        <w:spacing w:line="240" w:lineRule="auto"/>
        <w:ind w:left="240"/>
      </w:pPr>
      <w:r w:rsidRPr="001F5DB8">
        <w:rPr>
          <w:i/>
        </w:rPr>
        <w:t>Liber III De anima</w:t>
      </w:r>
      <w:r>
        <w:t xml:space="preserve"> 348a</w:t>
      </w:r>
      <w:r>
        <w:tab/>
        <w:t>278, 291</w:t>
      </w:r>
    </w:p>
    <w:p w14:paraId="62CC8D25" w14:textId="77777777" w:rsidR="08BA72FD" w:rsidRDefault="08BA72FD" w:rsidP="08BA72FD">
      <w:pPr>
        <w:pStyle w:val="Rejstk2"/>
        <w:tabs>
          <w:tab w:val="right" w:leader="dot" w:pos="4171"/>
        </w:tabs>
        <w:spacing w:line="240" w:lineRule="auto"/>
        <w:ind w:left="240"/>
      </w:pPr>
      <w:r w:rsidRPr="001F5DB8">
        <w:rPr>
          <w:i/>
        </w:rPr>
        <w:t>Liber III De anima</w:t>
      </w:r>
      <w:r>
        <w:t xml:space="preserve"> 348b</w:t>
      </w:r>
      <w:r>
        <w:tab/>
        <w:t>288, 294</w:t>
      </w:r>
    </w:p>
    <w:p w14:paraId="5C4FAADE" w14:textId="77777777" w:rsidR="08BA72FD" w:rsidRDefault="08BA72FD" w:rsidP="08BA72FD">
      <w:pPr>
        <w:pStyle w:val="Rejstk2"/>
        <w:tabs>
          <w:tab w:val="right" w:leader="dot" w:pos="4171"/>
        </w:tabs>
        <w:spacing w:line="240" w:lineRule="auto"/>
        <w:ind w:left="240"/>
      </w:pPr>
      <w:r w:rsidRPr="001F5DB8">
        <w:rPr>
          <w:i/>
        </w:rPr>
        <w:t>Liber III De anima</w:t>
      </w:r>
      <w:r>
        <w:t xml:space="preserve"> 349a</w:t>
      </w:r>
      <w:r>
        <w:tab/>
        <w:t>297</w:t>
      </w:r>
    </w:p>
    <w:p w14:paraId="775AEC19" w14:textId="77777777" w:rsidR="08BA72FD" w:rsidRDefault="08BA72FD" w:rsidP="08BA72FD">
      <w:pPr>
        <w:pStyle w:val="Rejstk2"/>
        <w:tabs>
          <w:tab w:val="right" w:leader="dot" w:pos="4171"/>
        </w:tabs>
        <w:spacing w:line="240" w:lineRule="auto"/>
        <w:ind w:left="240"/>
      </w:pPr>
      <w:r w:rsidRPr="001F5DB8">
        <w:rPr>
          <w:i/>
        </w:rPr>
        <w:t>Liber III De anima</w:t>
      </w:r>
      <w:r>
        <w:t xml:space="preserve"> 349b</w:t>
      </w:r>
      <w:r>
        <w:tab/>
        <w:t>276</w:t>
      </w:r>
    </w:p>
    <w:p w14:paraId="76207909" w14:textId="77777777" w:rsidR="08BA72FD" w:rsidRDefault="08BA72FD" w:rsidP="08BA72FD">
      <w:pPr>
        <w:pStyle w:val="Rejstk2"/>
        <w:tabs>
          <w:tab w:val="right" w:leader="dot" w:pos="4171"/>
        </w:tabs>
        <w:spacing w:line="240" w:lineRule="auto"/>
        <w:ind w:left="240"/>
      </w:pPr>
      <w:r w:rsidRPr="001F5DB8">
        <w:rPr>
          <w:i/>
        </w:rPr>
        <w:t>Liber III De anima</w:t>
      </w:r>
      <w:r>
        <w:t xml:space="preserve"> 353b</w:t>
      </w:r>
      <w:r>
        <w:tab/>
        <w:t>298</w:t>
      </w:r>
    </w:p>
    <w:p w14:paraId="56D03525" w14:textId="77777777" w:rsidR="08BA72FD" w:rsidRDefault="08BA72FD" w:rsidP="08BA72FD">
      <w:pPr>
        <w:pStyle w:val="Rejstk2"/>
        <w:tabs>
          <w:tab w:val="right" w:leader="dot" w:pos="4171"/>
        </w:tabs>
        <w:spacing w:line="240" w:lineRule="auto"/>
        <w:ind w:left="240"/>
      </w:pPr>
      <w:r w:rsidRPr="001F5DB8">
        <w:rPr>
          <w:i/>
        </w:rPr>
        <w:t>Liber III De anima</w:t>
      </w:r>
      <w:r>
        <w:t xml:space="preserve"> 381b</w:t>
      </w:r>
      <w:r>
        <w:tab/>
        <w:t>493</w:t>
      </w:r>
    </w:p>
    <w:p w14:paraId="0C93B56B" w14:textId="77777777" w:rsidR="08BA72FD" w:rsidRDefault="08BA72FD" w:rsidP="08BA72FD">
      <w:pPr>
        <w:pStyle w:val="Rejstk2"/>
        <w:tabs>
          <w:tab w:val="right" w:leader="dot" w:pos="4171"/>
        </w:tabs>
        <w:spacing w:line="240" w:lineRule="auto"/>
        <w:ind w:left="240"/>
      </w:pPr>
      <w:r w:rsidRPr="001F5DB8">
        <w:rPr>
          <w:i/>
        </w:rPr>
        <w:t>Liber III De anima</w:t>
      </w:r>
      <w:r>
        <w:t xml:space="preserve"> 382b</w:t>
      </w:r>
      <w:r>
        <w:tab/>
        <w:t>307</w:t>
      </w:r>
    </w:p>
    <w:p w14:paraId="19A38FB5" w14:textId="77777777" w:rsidR="08BA72FD" w:rsidRDefault="08BA72FD" w:rsidP="08BA72FD">
      <w:pPr>
        <w:pStyle w:val="Rejstk2"/>
        <w:tabs>
          <w:tab w:val="right" w:leader="dot" w:pos="4171"/>
        </w:tabs>
        <w:spacing w:line="240" w:lineRule="auto"/>
        <w:ind w:left="240"/>
      </w:pPr>
      <w:r w:rsidRPr="001F5DB8">
        <w:rPr>
          <w:i/>
        </w:rPr>
        <w:t>Liber III De anima</w:t>
      </w:r>
      <w:r>
        <w:t xml:space="preserve"> 383b</w:t>
      </w:r>
      <w:r>
        <w:tab/>
        <w:t>300</w:t>
      </w:r>
    </w:p>
    <w:p w14:paraId="32CCD152" w14:textId="77777777" w:rsidR="08BA72FD" w:rsidRDefault="08BA72FD" w:rsidP="08BA72FD">
      <w:pPr>
        <w:pStyle w:val="Rejstk2"/>
        <w:tabs>
          <w:tab w:val="right" w:leader="dot" w:pos="4171"/>
        </w:tabs>
        <w:spacing w:line="240" w:lineRule="auto"/>
        <w:ind w:left="240"/>
      </w:pPr>
      <w:r w:rsidRPr="001F5DB8">
        <w:rPr>
          <w:i/>
        </w:rPr>
        <w:t>Liber III De anima</w:t>
      </w:r>
      <w:r>
        <w:t xml:space="preserve"> 384a</w:t>
      </w:r>
      <w:r>
        <w:tab/>
        <w:t>300</w:t>
      </w:r>
    </w:p>
    <w:p w14:paraId="768703F6" w14:textId="77777777" w:rsidR="08BA72FD" w:rsidRDefault="08BA72FD" w:rsidP="08BA72FD">
      <w:pPr>
        <w:pStyle w:val="Rejstk2"/>
        <w:tabs>
          <w:tab w:val="right" w:leader="dot" w:pos="4171"/>
        </w:tabs>
        <w:spacing w:line="240" w:lineRule="auto"/>
        <w:ind w:left="240"/>
      </w:pPr>
      <w:r w:rsidRPr="001F5DB8">
        <w:rPr>
          <w:i/>
        </w:rPr>
        <w:t xml:space="preserve">Liber III De anima </w:t>
      </w:r>
      <w:r>
        <w:t>384b‒385a</w:t>
      </w:r>
      <w:r>
        <w:tab/>
        <w:t>304</w:t>
      </w:r>
    </w:p>
    <w:p w14:paraId="34AFF804" w14:textId="77777777" w:rsidR="08BA72FD" w:rsidRDefault="08BA72FD" w:rsidP="08BA72FD">
      <w:pPr>
        <w:pStyle w:val="Rejstk2"/>
        <w:tabs>
          <w:tab w:val="right" w:leader="dot" w:pos="4171"/>
        </w:tabs>
        <w:spacing w:line="240" w:lineRule="auto"/>
        <w:ind w:left="240"/>
      </w:pPr>
      <w:r w:rsidRPr="001F5DB8">
        <w:rPr>
          <w:i/>
        </w:rPr>
        <w:t>Liber III De anima</w:t>
      </w:r>
      <w:r>
        <w:t xml:space="preserve"> 385a</w:t>
      </w:r>
      <w:r>
        <w:tab/>
        <w:t>306</w:t>
      </w:r>
    </w:p>
    <w:p w14:paraId="764C6855" w14:textId="758BD1F2" w:rsidR="003C6581" w:rsidRDefault="003C6581" w:rsidP="003C6581">
      <w:pPr>
        <w:pStyle w:val="Rejstk2"/>
        <w:tabs>
          <w:tab w:val="right" w:leader="dot" w:pos="4171"/>
        </w:tabs>
        <w:spacing w:line="240" w:lineRule="auto"/>
        <w:ind w:left="240"/>
      </w:pPr>
      <w:r w:rsidRPr="001F5DB8">
        <w:rPr>
          <w:i/>
        </w:rPr>
        <w:t>Liber III De anima</w:t>
      </w:r>
      <w:r>
        <w:t xml:space="preserve"> 385b</w:t>
      </w:r>
      <w:r>
        <w:tab/>
        <w:t>345</w:t>
      </w:r>
    </w:p>
    <w:p w14:paraId="65FF5FD5" w14:textId="77777777" w:rsidR="00FD2B38" w:rsidRDefault="00FD2B38" w:rsidP="00FD2B38">
      <w:pPr>
        <w:pStyle w:val="Rejstk2"/>
        <w:tabs>
          <w:tab w:val="right" w:leader="dot" w:pos="4171"/>
        </w:tabs>
        <w:spacing w:line="240" w:lineRule="auto"/>
        <w:ind w:left="238" w:hanging="238"/>
        <w:rPr>
          <w:sz w:val="20"/>
          <w:szCs w:val="20"/>
        </w:rPr>
      </w:pPr>
      <w:r w:rsidRPr="00DC6664">
        <w:rPr>
          <w:i/>
          <w:sz w:val="20"/>
          <w:szCs w:val="20"/>
        </w:rPr>
        <w:t>Liber III De anima</w:t>
      </w:r>
      <w:r>
        <w:rPr>
          <w:sz w:val="20"/>
          <w:szCs w:val="20"/>
        </w:rPr>
        <w:t xml:space="preserve"> 418b</w:t>
      </w:r>
      <w:r>
        <w:rPr>
          <w:sz w:val="20"/>
          <w:szCs w:val="20"/>
        </w:rPr>
        <w:tab/>
        <w:t>389</w:t>
      </w:r>
    </w:p>
    <w:p w14:paraId="5DCA90D6" w14:textId="110C4BAB" w:rsidR="08BA72FD" w:rsidRPr="00FD2B38" w:rsidRDefault="08BA72FD" w:rsidP="00FD2B38">
      <w:pPr>
        <w:pStyle w:val="Rejstk2"/>
        <w:tabs>
          <w:tab w:val="right" w:leader="dot" w:pos="4171"/>
        </w:tabs>
        <w:spacing w:line="240" w:lineRule="auto"/>
        <w:ind w:left="238" w:hanging="238"/>
        <w:rPr>
          <w:sz w:val="20"/>
          <w:szCs w:val="20"/>
        </w:rPr>
      </w:pPr>
      <w:r w:rsidRPr="001F5DB8">
        <w:rPr>
          <w:i/>
        </w:rPr>
        <w:t xml:space="preserve">Summa Theologiae </w:t>
      </w:r>
      <w:r>
        <w:t>I, 140a</w:t>
      </w:r>
      <w:r>
        <w:tab/>
        <w:t>148</w:t>
      </w:r>
    </w:p>
    <w:p w14:paraId="3F234459" w14:textId="77777777" w:rsidR="08BA72FD" w:rsidRDefault="08BA72FD" w:rsidP="00FD2B38">
      <w:pPr>
        <w:pStyle w:val="Rejstk2"/>
        <w:tabs>
          <w:tab w:val="right" w:leader="dot" w:pos="4171"/>
        </w:tabs>
        <w:spacing w:line="240" w:lineRule="auto"/>
        <w:ind w:left="240" w:hanging="238"/>
      </w:pPr>
      <w:r w:rsidRPr="001F5DB8">
        <w:rPr>
          <w:i/>
        </w:rPr>
        <w:t xml:space="preserve">Summa Theologiae </w:t>
      </w:r>
      <w:r>
        <w:t>I, 140a-b</w:t>
      </w:r>
      <w:r>
        <w:tab/>
        <w:t>148</w:t>
      </w:r>
    </w:p>
    <w:p w14:paraId="4701E5AB" w14:textId="77777777" w:rsidR="08BA72FD" w:rsidRDefault="08BA72FD" w:rsidP="08BA72FD"/>
    <w:p w14:paraId="2ED4BB12" w14:textId="77777777" w:rsidR="08BA72FD" w:rsidRPr="08D81E08" w:rsidRDefault="08BA72FD" w:rsidP="08BA72FD">
      <w:pPr>
        <w:pStyle w:val="Rejstk1"/>
        <w:tabs>
          <w:tab w:val="right" w:leader="dot" w:pos="4171"/>
        </w:tabs>
        <w:spacing w:line="240" w:lineRule="auto"/>
        <w:rPr>
          <w:b/>
        </w:rPr>
      </w:pPr>
      <w:r w:rsidRPr="08D81E08">
        <w:rPr>
          <w:b/>
        </w:rPr>
        <w:t>Alexander Halský</w:t>
      </w:r>
    </w:p>
    <w:p w14:paraId="3219753C" w14:textId="77777777" w:rsidR="08BA72FD" w:rsidRDefault="08BA72FD" w:rsidP="08BA72FD">
      <w:pPr>
        <w:pStyle w:val="Rejstk2"/>
        <w:tabs>
          <w:tab w:val="right" w:leader="dot" w:pos="4171"/>
        </w:tabs>
        <w:spacing w:line="240" w:lineRule="auto"/>
        <w:ind w:left="240"/>
      </w:pPr>
      <w:r w:rsidRPr="001F5DB8">
        <w:rPr>
          <w:i/>
        </w:rPr>
        <w:t>Summa theologica</w:t>
      </w:r>
      <w:r>
        <w:t xml:space="preserve"> 2.3</w:t>
      </w:r>
      <w:r>
        <w:tab/>
        <w:t>401</w:t>
      </w:r>
    </w:p>
    <w:p w14:paraId="15B35485" w14:textId="77777777" w:rsidR="08BA72FD" w:rsidRPr="08124464" w:rsidRDefault="08BA72FD" w:rsidP="08BA72FD"/>
    <w:p w14:paraId="1BBE1E01" w14:textId="77777777" w:rsidR="08BA72FD" w:rsidRPr="08D81E08" w:rsidRDefault="08BA72FD" w:rsidP="08BA72FD">
      <w:pPr>
        <w:pStyle w:val="Rejstk1"/>
        <w:tabs>
          <w:tab w:val="right" w:leader="dot" w:pos="4171"/>
        </w:tabs>
        <w:spacing w:line="240" w:lineRule="auto"/>
        <w:rPr>
          <w:b/>
        </w:rPr>
      </w:pPr>
      <w:r w:rsidRPr="08D81E08">
        <w:rPr>
          <w:b/>
        </w:rPr>
        <w:t>Al-Fárábí</w:t>
      </w:r>
    </w:p>
    <w:p w14:paraId="6791BBDE" w14:textId="77777777" w:rsidR="08BA72FD" w:rsidRDefault="08BA72FD" w:rsidP="08BA72FD">
      <w:pPr>
        <w:pStyle w:val="Rejstk2"/>
        <w:tabs>
          <w:tab w:val="right" w:leader="dot" w:pos="4171"/>
        </w:tabs>
        <w:spacing w:line="240" w:lineRule="auto"/>
        <w:ind w:left="240"/>
      </w:pPr>
      <w:r w:rsidRPr="001F5DB8">
        <w:rPr>
          <w:i/>
        </w:rPr>
        <w:t>De intellectu</w:t>
      </w:r>
      <w:r>
        <w:t xml:space="preserve"> 74.22‒30</w:t>
      </w:r>
      <w:r>
        <w:tab/>
        <w:t>119</w:t>
      </w:r>
    </w:p>
    <w:p w14:paraId="5CE113A1" w14:textId="77777777" w:rsidR="08BA72FD" w:rsidRDefault="08BA72FD" w:rsidP="08BA72FD"/>
    <w:p w14:paraId="41BAFB7A" w14:textId="77777777" w:rsidR="08BA72FD" w:rsidRPr="08D81E08" w:rsidRDefault="08BA72FD" w:rsidP="08BA72FD">
      <w:pPr>
        <w:pStyle w:val="Rejstk1"/>
        <w:tabs>
          <w:tab w:val="right" w:leader="dot" w:pos="4171"/>
        </w:tabs>
        <w:spacing w:line="240" w:lineRule="auto"/>
        <w:rPr>
          <w:b/>
        </w:rPr>
      </w:pPr>
      <w:r w:rsidRPr="08D81E08">
        <w:rPr>
          <w:b/>
        </w:rPr>
        <w:t>William z Auvergne (Alvernus)</w:t>
      </w:r>
    </w:p>
    <w:p w14:paraId="3D4E580E" w14:textId="77777777" w:rsidR="08BA72FD" w:rsidRDefault="08BA72FD" w:rsidP="08BA72FD">
      <w:pPr>
        <w:pStyle w:val="Rejstk2"/>
        <w:tabs>
          <w:tab w:val="right" w:leader="dot" w:pos="4171"/>
        </w:tabs>
        <w:spacing w:line="240" w:lineRule="auto"/>
        <w:ind w:left="240"/>
      </w:pPr>
      <w:r w:rsidRPr="001F5DB8">
        <w:rPr>
          <w:i/>
        </w:rPr>
        <w:t>De trinitate</w:t>
      </w:r>
      <w:r>
        <w:t xml:space="preserve"> 21.56‒62</w:t>
      </w:r>
      <w:r>
        <w:tab/>
        <w:t>207</w:t>
      </w:r>
    </w:p>
    <w:p w14:paraId="0194D7AC" w14:textId="77777777" w:rsidR="08BA72FD" w:rsidRDefault="08BA72FD" w:rsidP="08BA72FD">
      <w:pPr>
        <w:pStyle w:val="Rejstk2"/>
        <w:tabs>
          <w:tab w:val="right" w:leader="dot" w:pos="4171"/>
        </w:tabs>
        <w:spacing w:line="240" w:lineRule="auto"/>
        <w:ind w:left="240"/>
      </w:pPr>
      <w:r w:rsidRPr="001F5DB8">
        <w:rPr>
          <w:i/>
        </w:rPr>
        <w:t>De Universo</w:t>
      </w:r>
      <w:r>
        <w:t xml:space="preserve"> 797C</w:t>
      </w:r>
      <w:r>
        <w:tab/>
        <w:t>211</w:t>
      </w:r>
    </w:p>
    <w:p w14:paraId="46229902" w14:textId="77777777" w:rsidR="08BA72FD" w:rsidRDefault="08BA72FD" w:rsidP="08BA72FD">
      <w:pPr>
        <w:pStyle w:val="Rejstk2"/>
        <w:tabs>
          <w:tab w:val="right" w:leader="dot" w:pos="4171"/>
        </w:tabs>
        <w:spacing w:line="240" w:lineRule="auto"/>
        <w:ind w:left="240"/>
      </w:pPr>
      <w:r w:rsidRPr="001F5DB8">
        <w:rPr>
          <w:i/>
        </w:rPr>
        <w:t>De universo</w:t>
      </w:r>
      <w:r>
        <w:t xml:space="preserve"> 821B‒C</w:t>
      </w:r>
      <w:r>
        <w:tab/>
        <w:t>209</w:t>
      </w:r>
    </w:p>
    <w:p w14:paraId="3854AC0F" w14:textId="77777777" w:rsidR="08BA72FD" w:rsidRDefault="08BA72FD" w:rsidP="08BA72FD">
      <w:pPr>
        <w:pStyle w:val="Rejstk2"/>
        <w:tabs>
          <w:tab w:val="right" w:leader="dot" w:pos="4171"/>
        </w:tabs>
        <w:spacing w:line="240" w:lineRule="auto"/>
        <w:ind w:left="240"/>
      </w:pPr>
      <w:r w:rsidRPr="001F5DB8">
        <w:rPr>
          <w:i/>
        </w:rPr>
        <w:t>De universo</w:t>
      </w:r>
      <w:r>
        <w:t xml:space="preserve"> 821C</w:t>
      </w:r>
      <w:r>
        <w:tab/>
        <w:t>209</w:t>
      </w:r>
    </w:p>
    <w:p w14:paraId="23598196" w14:textId="77777777" w:rsidR="08BA72FD" w:rsidRDefault="08BA72FD" w:rsidP="08BA72FD">
      <w:pPr>
        <w:pStyle w:val="Rejstk2"/>
        <w:tabs>
          <w:tab w:val="right" w:leader="dot" w:pos="4171"/>
        </w:tabs>
        <w:spacing w:line="240" w:lineRule="auto"/>
        <w:ind w:left="240"/>
      </w:pPr>
      <w:r w:rsidRPr="001F5DB8">
        <w:rPr>
          <w:i/>
        </w:rPr>
        <w:t xml:space="preserve">De universo </w:t>
      </w:r>
      <w:r>
        <w:t>822F</w:t>
      </w:r>
      <w:r>
        <w:tab/>
        <w:t>199, 205, 624</w:t>
      </w:r>
    </w:p>
    <w:p w14:paraId="3BCD0B91" w14:textId="77777777" w:rsidR="08BA72FD" w:rsidRDefault="08BA72FD" w:rsidP="08BA72FD">
      <w:pPr>
        <w:pStyle w:val="Rejstk2"/>
        <w:tabs>
          <w:tab w:val="right" w:leader="dot" w:pos="4171"/>
        </w:tabs>
        <w:spacing w:line="240" w:lineRule="auto"/>
        <w:ind w:left="240"/>
      </w:pPr>
      <w:r w:rsidRPr="001F5DB8">
        <w:rPr>
          <w:i/>
        </w:rPr>
        <w:t>De universo</w:t>
      </w:r>
      <w:r>
        <w:t xml:space="preserve"> 825A</w:t>
      </w:r>
      <w:r>
        <w:tab/>
        <w:t>204</w:t>
      </w:r>
    </w:p>
    <w:p w14:paraId="44419CBB" w14:textId="77777777" w:rsidR="08BA72FD" w:rsidRDefault="08BA72FD" w:rsidP="08BA72FD">
      <w:pPr>
        <w:pStyle w:val="Rejstk2"/>
        <w:tabs>
          <w:tab w:val="right" w:leader="dot" w:pos="4171"/>
        </w:tabs>
        <w:spacing w:line="240" w:lineRule="auto"/>
        <w:ind w:left="240"/>
      </w:pPr>
      <w:r w:rsidRPr="001F5DB8">
        <w:rPr>
          <w:i/>
        </w:rPr>
        <w:t>De universo</w:t>
      </w:r>
      <w:r w:rsidRPr="001F5DB8">
        <w:rPr>
          <w:rFonts w:ascii="AJensonPro-It" w:hAnsi="AJensonPro-It" w:cs="AJensonPro-It"/>
          <w:i/>
          <w:iCs/>
        </w:rPr>
        <w:t xml:space="preserve"> </w:t>
      </w:r>
      <w:r w:rsidRPr="001F5DB8">
        <w:rPr>
          <w:rFonts w:cs="AJensonPro-Regular"/>
        </w:rPr>
        <w:t>IIa-Iae, cap. 8</w:t>
      </w:r>
      <w:r>
        <w:tab/>
        <w:t>196</w:t>
      </w:r>
    </w:p>
    <w:p w14:paraId="242690B8" w14:textId="77777777" w:rsidR="08BA72FD" w:rsidRDefault="08BA72FD" w:rsidP="08BA72FD">
      <w:pPr>
        <w:pStyle w:val="Rejstk2"/>
        <w:tabs>
          <w:tab w:val="right" w:leader="dot" w:pos="4171"/>
        </w:tabs>
        <w:spacing w:line="240" w:lineRule="auto"/>
        <w:ind w:left="240"/>
      </w:pPr>
      <w:r w:rsidRPr="001F5DB8">
        <w:rPr>
          <w:i/>
        </w:rPr>
        <w:t>Guilielmi De anima</w:t>
      </w:r>
      <w:r>
        <w:t xml:space="preserve"> 101</w:t>
      </w:r>
      <w:r>
        <w:tab/>
        <w:t>196</w:t>
      </w:r>
    </w:p>
    <w:p w14:paraId="768AB410" w14:textId="77777777" w:rsidR="08BA72FD" w:rsidRDefault="08BA72FD" w:rsidP="08BA72FD">
      <w:pPr>
        <w:pStyle w:val="Rejstk2"/>
        <w:tabs>
          <w:tab w:val="right" w:leader="dot" w:pos="4171"/>
        </w:tabs>
        <w:spacing w:line="240" w:lineRule="auto"/>
        <w:ind w:left="240"/>
      </w:pPr>
      <w:r w:rsidRPr="001F5DB8">
        <w:rPr>
          <w:i/>
        </w:rPr>
        <w:t>Guilielmi De anima</w:t>
      </w:r>
      <w:r>
        <w:t xml:space="preserve"> 103</w:t>
      </w:r>
      <w:r>
        <w:tab/>
        <w:t>222</w:t>
      </w:r>
    </w:p>
    <w:p w14:paraId="422AC61E" w14:textId="77777777" w:rsidR="08BA72FD" w:rsidRDefault="08BA72FD" w:rsidP="08BA72FD">
      <w:pPr>
        <w:pStyle w:val="Rejstk2"/>
        <w:tabs>
          <w:tab w:val="right" w:leader="dot" w:pos="4171"/>
        </w:tabs>
        <w:spacing w:line="240" w:lineRule="auto"/>
        <w:ind w:left="240"/>
      </w:pPr>
      <w:r w:rsidRPr="001F5DB8">
        <w:rPr>
          <w:i/>
        </w:rPr>
        <w:t>Guilielmi De anima</w:t>
      </w:r>
      <w:r>
        <w:t xml:space="preserve"> 107</w:t>
      </w:r>
      <w:r>
        <w:tab/>
        <w:t>224</w:t>
      </w:r>
    </w:p>
    <w:p w14:paraId="7DFF53EC" w14:textId="77777777" w:rsidR="08BA72FD" w:rsidRDefault="08BA72FD" w:rsidP="08BA72FD">
      <w:pPr>
        <w:pStyle w:val="Rejstk2"/>
        <w:tabs>
          <w:tab w:val="right" w:leader="dot" w:pos="4171"/>
        </w:tabs>
        <w:spacing w:line="240" w:lineRule="auto"/>
        <w:ind w:left="240"/>
      </w:pPr>
      <w:r w:rsidRPr="001F5DB8">
        <w:rPr>
          <w:i/>
        </w:rPr>
        <w:t>Guilielmi De anima</w:t>
      </w:r>
      <w:r>
        <w:t xml:space="preserve"> 108</w:t>
      </w:r>
      <w:r>
        <w:tab/>
        <w:t>210</w:t>
      </w:r>
    </w:p>
    <w:p w14:paraId="47437B92" w14:textId="77777777" w:rsidR="08BA72FD" w:rsidRDefault="08BA72FD" w:rsidP="08BA72FD">
      <w:pPr>
        <w:pStyle w:val="Rejstk2"/>
        <w:tabs>
          <w:tab w:val="right" w:leader="dot" w:pos="4171"/>
        </w:tabs>
        <w:spacing w:line="240" w:lineRule="auto"/>
        <w:ind w:left="240"/>
      </w:pPr>
      <w:r w:rsidRPr="001F5DB8">
        <w:rPr>
          <w:i/>
        </w:rPr>
        <w:t>Guilielmi De anima</w:t>
      </w:r>
      <w:r>
        <w:t xml:space="preserve"> 109</w:t>
      </w:r>
      <w:r>
        <w:tab/>
        <w:t>231</w:t>
      </w:r>
    </w:p>
    <w:p w14:paraId="02E86D2E" w14:textId="77777777" w:rsidR="08BA72FD" w:rsidRDefault="08BA72FD" w:rsidP="08BA72FD">
      <w:pPr>
        <w:pStyle w:val="Rejstk2"/>
        <w:tabs>
          <w:tab w:val="right" w:leader="dot" w:pos="4171"/>
        </w:tabs>
        <w:spacing w:line="240" w:lineRule="auto"/>
        <w:ind w:left="240"/>
      </w:pPr>
      <w:r w:rsidRPr="001F5DB8">
        <w:rPr>
          <w:i/>
        </w:rPr>
        <w:t>Guilielmi De anima</w:t>
      </w:r>
      <w:r>
        <w:t xml:space="preserve"> 112</w:t>
      </w:r>
      <w:r>
        <w:tab/>
        <w:t>196</w:t>
      </w:r>
    </w:p>
    <w:p w14:paraId="29B128B9" w14:textId="77777777" w:rsidR="08BA72FD" w:rsidRDefault="08BA72FD" w:rsidP="08BA72FD">
      <w:pPr>
        <w:pStyle w:val="Rejstk2"/>
        <w:tabs>
          <w:tab w:val="right" w:leader="dot" w:pos="4171"/>
        </w:tabs>
        <w:spacing w:line="240" w:lineRule="auto"/>
        <w:ind w:left="240"/>
      </w:pPr>
      <w:r w:rsidRPr="001F5DB8">
        <w:rPr>
          <w:i/>
        </w:rPr>
        <w:t>Guilielmi De anima</w:t>
      </w:r>
      <w:r>
        <w:t xml:space="preserve"> 113</w:t>
      </w:r>
      <w:r>
        <w:tab/>
        <w:t>195</w:t>
      </w:r>
    </w:p>
    <w:p w14:paraId="0C73FEBB" w14:textId="77777777" w:rsidR="08BA72FD" w:rsidRDefault="08BA72FD" w:rsidP="08BA72FD">
      <w:pPr>
        <w:pStyle w:val="Rejstk2"/>
        <w:tabs>
          <w:tab w:val="right" w:leader="dot" w:pos="4171"/>
        </w:tabs>
        <w:spacing w:line="240" w:lineRule="auto"/>
        <w:ind w:left="240"/>
      </w:pPr>
      <w:r w:rsidRPr="001F5DB8">
        <w:rPr>
          <w:i/>
        </w:rPr>
        <w:t>Guilielmi De anima</w:t>
      </w:r>
      <w:r>
        <w:t xml:space="preserve"> 123</w:t>
      </w:r>
      <w:r>
        <w:tab/>
        <w:t>203, 208</w:t>
      </w:r>
    </w:p>
    <w:p w14:paraId="58FFF4EB" w14:textId="77777777" w:rsidR="08BA72FD" w:rsidRDefault="08BA72FD" w:rsidP="08BA72FD">
      <w:pPr>
        <w:pStyle w:val="Rejstk2"/>
        <w:tabs>
          <w:tab w:val="right" w:leader="dot" w:pos="4171"/>
        </w:tabs>
        <w:spacing w:line="240" w:lineRule="auto"/>
        <w:ind w:left="240"/>
      </w:pPr>
      <w:r w:rsidRPr="001F5DB8">
        <w:rPr>
          <w:i/>
        </w:rPr>
        <w:t>Guilielmi De anima</w:t>
      </w:r>
      <w:r>
        <w:t xml:space="preserve"> 205</w:t>
      </w:r>
      <w:r>
        <w:tab/>
        <w:t>208, 217</w:t>
      </w:r>
    </w:p>
    <w:p w14:paraId="6E63C2EB" w14:textId="77777777" w:rsidR="08BA72FD" w:rsidRDefault="08BA72FD" w:rsidP="08BA72FD">
      <w:pPr>
        <w:pStyle w:val="Rejstk2"/>
        <w:tabs>
          <w:tab w:val="right" w:leader="dot" w:pos="4171"/>
        </w:tabs>
        <w:spacing w:line="240" w:lineRule="auto"/>
        <w:ind w:left="240"/>
      </w:pPr>
      <w:r w:rsidRPr="001F5DB8">
        <w:rPr>
          <w:i/>
        </w:rPr>
        <w:t>Guilielmi De anima</w:t>
      </w:r>
      <w:r>
        <w:t xml:space="preserve"> 207</w:t>
      </w:r>
      <w:r>
        <w:tab/>
        <w:t>207, 212</w:t>
      </w:r>
    </w:p>
    <w:p w14:paraId="0439B2A0" w14:textId="77777777" w:rsidR="08BA72FD" w:rsidRDefault="08BA72FD" w:rsidP="08BA72FD">
      <w:pPr>
        <w:pStyle w:val="Rejstk2"/>
        <w:tabs>
          <w:tab w:val="right" w:leader="dot" w:pos="4171"/>
        </w:tabs>
        <w:spacing w:line="240" w:lineRule="auto"/>
        <w:ind w:left="240"/>
      </w:pPr>
      <w:r w:rsidRPr="001F5DB8">
        <w:rPr>
          <w:i/>
        </w:rPr>
        <w:t>Guilielmi De anima</w:t>
      </w:r>
      <w:r>
        <w:t xml:space="preserve"> 208</w:t>
      </w:r>
      <w:r>
        <w:tab/>
        <w:t>212</w:t>
      </w:r>
    </w:p>
    <w:p w14:paraId="34866457" w14:textId="77777777" w:rsidR="08BA72FD" w:rsidRDefault="08BA72FD" w:rsidP="08BA72FD">
      <w:pPr>
        <w:pStyle w:val="Rejstk2"/>
        <w:tabs>
          <w:tab w:val="right" w:leader="dot" w:pos="4171"/>
        </w:tabs>
        <w:spacing w:line="240" w:lineRule="auto"/>
        <w:ind w:left="240"/>
      </w:pPr>
      <w:r w:rsidRPr="001F5DB8">
        <w:rPr>
          <w:i/>
        </w:rPr>
        <w:t>Guilielmi De anima</w:t>
      </w:r>
      <w:r>
        <w:t xml:space="preserve"> 209</w:t>
      </w:r>
      <w:r>
        <w:tab/>
        <w:t>214</w:t>
      </w:r>
    </w:p>
    <w:p w14:paraId="22C42AA2" w14:textId="77777777" w:rsidR="08BA72FD" w:rsidRDefault="08BA72FD" w:rsidP="08BA72FD">
      <w:pPr>
        <w:pStyle w:val="Rejstk2"/>
        <w:tabs>
          <w:tab w:val="right" w:leader="dot" w:pos="4171"/>
        </w:tabs>
        <w:spacing w:line="240" w:lineRule="auto"/>
        <w:ind w:left="240"/>
      </w:pPr>
      <w:r w:rsidRPr="001F5DB8">
        <w:rPr>
          <w:i/>
        </w:rPr>
        <w:t>Guilielmi De anima</w:t>
      </w:r>
      <w:r>
        <w:t xml:space="preserve"> 210</w:t>
      </w:r>
      <w:r>
        <w:tab/>
        <w:t>197</w:t>
      </w:r>
    </w:p>
    <w:p w14:paraId="5AA45833" w14:textId="77777777" w:rsidR="08BA72FD" w:rsidRDefault="08BA72FD" w:rsidP="08BA72FD">
      <w:pPr>
        <w:pStyle w:val="Rejstk2"/>
        <w:tabs>
          <w:tab w:val="right" w:leader="dot" w:pos="4171"/>
        </w:tabs>
        <w:spacing w:line="240" w:lineRule="auto"/>
        <w:ind w:left="240"/>
      </w:pPr>
      <w:r w:rsidRPr="001F5DB8">
        <w:rPr>
          <w:i/>
        </w:rPr>
        <w:t>Guilielmi De anima</w:t>
      </w:r>
      <w:r>
        <w:t xml:space="preserve"> 211</w:t>
      </w:r>
      <w:r>
        <w:tab/>
        <w:t>207</w:t>
      </w:r>
    </w:p>
    <w:p w14:paraId="6DD88413" w14:textId="77777777" w:rsidR="08BA72FD" w:rsidRDefault="08BA72FD" w:rsidP="08BA72FD">
      <w:pPr>
        <w:pStyle w:val="Rejstk2"/>
        <w:tabs>
          <w:tab w:val="right" w:leader="dot" w:pos="4171"/>
        </w:tabs>
        <w:spacing w:line="240" w:lineRule="auto"/>
        <w:ind w:left="240"/>
      </w:pPr>
      <w:r w:rsidRPr="001F5DB8">
        <w:rPr>
          <w:i/>
        </w:rPr>
        <w:t>Guilielmi De anima</w:t>
      </w:r>
      <w:r>
        <w:t xml:space="preserve"> 216</w:t>
      </w:r>
      <w:r>
        <w:tab/>
        <w:t>204, 235</w:t>
      </w:r>
    </w:p>
    <w:p w14:paraId="264FCE28" w14:textId="77777777" w:rsidR="08BA72FD" w:rsidRDefault="08BA72FD" w:rsidP="08BA72FD">
      <w:pPr>
        <w:pStyle w:val="Rejstk2"/>
        <w:tabs>
          <w:tab w:val="right" w:leader="dot" w:pos="4171"/>
        </w:tabs>
        <w:spacing w:line="240" w:lineRule="auto"/>
        <w:ind w:left="240"/>
      </w:pPr>
      <w:r w:rsidRPr="001F5DB8">
        <w:rPr>
          <w:i/>
        </w:rPr>
        <w:t>Guilielmi De anima</w:t>
      </w:r>
      <w:r>
        <w:t xml:space="preserve"> 219</w:t>
      </w:r>
      <w:r>
        <w:tab/>
        <w:t>233</w:t>
      </w:r>
    </w:p>
    <w:p w14:paraId="5EA494BE" w14:textId="77777777" w:rsidR="08BA72FD" w:rsidRDefault="08BA72FD" w:rsidP="08BA72FD">
      <w:pPr>
        <w:pStyle w:val="Rejstk2"/>
        <w:tabs>
          <w:tab w:val="right" w:leader="dot" w:pos="4171"/>
        </w:tabs>
        <w:spacing w:line="240" w:lineRule="auto"/>
        <w:ind w:left="240"/>
      </w:pPr>
      <w:r w:rsidRPr="001F5DB8">
        <w:rPr>
          <w:i/>
        </w:rPr>
        <w:t>Guilielmi De anima</w:t>
      </w:r>
      <w:r>
        <w:t xml:space="preserve"> 66</w:t>
      </w:r>
      <w:r>
        <w:tab/>
        <w:t>211</w:t>
      </w:r>
    </w:p>
    <w:p w14:paraId="6AEB3069" w14:textId="77777777" w:rsidR="08BA72FD" w:rsidRDefault="08BA72FD" w:rsidP="08BA72FD">
      <w:pPr>
        <w:pStyle w:val="Rejstk2"/>
        <w:tabs>
          <w:tab w:val="right" w:leader="dot" w:pos="4171"/>
        </w:tabs>
        <w:spacing w:line="240" w:lineRule="auto"/>
        <w:ind w:left="240"/>
      </w:pPr>
      <w:r w:rsidRPr="001F5DB8">
        <w:rPr>
          <w:i/>
        </w:rPr>
        <w:t>Guilielmi De anima</w:t>
      </w:r>
      <w:r>
        <w:t xml:space="preserve"> 71</w:t>
      </w:r>
      <w:r>
        <w:tab/>
        <w:t>218</w:t>
      </w:r>
    </w:p>
    <w:p w14:paraId="5BAD21DB" w14:textId="77777777" w:rsidR="08BA72FD" w:rsidRDefault="08BA72FD" w:rsidP="08BA72FD">
      <w:pPr>
        <w:pStyle w:val="Rejstk2"/>
        <w:tabs>
          <w:tab w:val="right" w:leader="dot" w:pos="4171"/>
        </w:tabs>
        <w:spacing w:line="240" w:lineRule="auto"/>
        <w:ind w:left="240"/>
      </w:pPr>
      <w:r w:rsidRPr="001F5DB8">
        <w:rPr>
          <w:i/>
        </w:rPr>
        <w:t>Guilielmi De anima</w:t>
      </w:r>
      <w:r>
        <w:t xml:space="preserve"> 88</w:t>
      </w:r>
      <w:r>
        <w:tab/>
        <w:t>217</w:t>
      </w:r>
    </w:p>
    <w:p w14:paraId="1BF8B630" w14:textId="77777777" w:rsidR="08BA72FD" w:rsidRDefault="08BA72FD" w:rsidP="08BA72FD">
      <w:pPr>
        <w:pStyle w:val="Rejstk2"/>
        <w:tabs>
          <w:tab w:val="right" w:leader="dot" w:pos="4171"/>
        </w:tabs>
        <w:spacing w:line="240" w:lineRule="auto"/>
        <w:ind w:left="240"/>
      </w:pPr>
      <w:r w:rsidRPr="001F5DB8">
        <w:rPr>
          <w:i/>
        </w:rPr>
        <w:t>Guilielmi De anima</w:t>
      </w:r>
      <w:r>
        <w:t xml:space="preserve"> 89</w:t>
      </w:r>
      <w:r>
        <w:tab/>
        <w:t>220</w:t>
      </w:r>
    </w:p>
    <w:p w14:paraId="2F720AEF" w14:textId="77777777" w:rsidR="08BA72FD" w:rsidRDefault="08BA72FD" w:rsidP="08BA72FD">
      <w:pPr>
        <w:pStyle w:val="Rejstk2"/>
        <w:tabs>
          <w:tab w:val="right" w:leader="dot" w:pos="4171"/>
        </w:tabs>
        <w:spacing w:line="240" w:lineRule="auto"/>
        <w:ind w:left="240"/>
      </w:pPr>
      <w:r w:rsidRPr="001F5DB8">
        <w:rPr>
          <w:i/>
        </w:rPr>
        <w:t>Guilielmi De anima</w:t>
      </w:r>
      <w:r>
        <w:t xml:space="preserve"> 95</w:t>
      </w:r>
      <w:r>
        <w:tab/>
        <w:t>234</w:t>
      </w:r>
    </w:p>
    <w:p w14:paraId="451A2ED8" w14:textId="77777777" w:rsidR="08BA72FD" w:rsidRDefault="08BA72FD" w:rsidP="08BA72FD">
      <w:pPr>
        <w:pStyle w:val="Rejstk2"/>
        <w:tabs>
          <w:tab w:val="right" w:leader="dot" w:pos="4171"/>
        </w:tabs>
        <w:spacing w:line="240" w:lineRule="auto"/>
        <w:ind w:left="240"/>
      </w:pPr>
      <w:r w:rsidRPr="001F5DB8">
        <w:rPr>
          <w:i/>
        </w:rPr>
        <w:t>Guilielmi De anima</w:t>
      </w:r>
      <w:r>
        <w:t xml:space="preserve"> 98</w:t>
      </w:r>
      <w:r>
        <w:tab/>
        <w:t>230</w:t>
      </w:r>
    </w:p>
    <w:p w14:paraId="1883DAE7" w14:textId="77777777" w:rsidR="08BA72FD" w:rsidRDefault="08BA72FD" w:rsidP="08BA72FD"/>
    <w:p w14:paraId="15719FDF" w14:textId="77777777" w:rsidR="08BA72FD" w:rsidRPr="08FB0F07" w:rsidRDefault="08BA72FD" w:rsidP="08BA72FD">
      <w:pPr>
        <w:pStyle w:val="Rejstk2"/>
        <w:tabs>
          <w:tab w:val="right" w:leader="dot" w:pos="4171"/>
        </w:tabs>
        <w:spacing w:line="240" w:lineRule="auto"/>
        <w:ind w:left="240"/>
        <w:rPr>
          <w:b/>
          <w:i/>
        </w:rPr>
      </w:pPr>
      <w:r w:rsidRPr="08FB0F07">
        <w:rPr>
          <w:b/>
          <w:i/>
        </w:rPr>
        <w:t xml:space="preserve">Anonymus Erfordensis </w:t>
      </w:r>
    </w:p>
    <w:p w14:paraId="430EDA38" w14:textId="77777777" w:rsidR="08BA72FD" w:rsidRDefault="08BA72FD" w:rsidP="08BA72FD">
      <w:pPr>
        <w:pStyle w:val="Rejstk1"/>
        <w:tabs>
          <w:tab w:val="right" w:leader="dot" w:pos="4171"/>
        </w:tabs>
        <w:spacing w:line="240" w:lineRule="auto"/>
      </w:pPr>
      <w:r w:rsidRPr="001F5DB8">
        <w:rPr>
          <w:i/>
        </w:rPr>
        <w:t xml:space="preserve">Anonymus Erfordensis </w:t>
      </w:r>
      <w:r>
        <w:t>fol. 10rb</w:t>
      </w:r>
      <w:r>
        <w:tab/>
        <w:t>676</w:t>
      </w:r>
    </w:p>
    <w:p w14:paraId="2BD676A1" w14:textId="77777777" w:rsidR="08BA72FD" w:rsidRDefault="08BA72FD" w:rsidP="08BA72FD">
      <w:pPr>
        <w:pStyle w:val="Rejstk1"/>
        <w:tabs>
          <w:tab w:val="right" w:leader="dot" w:pos="4171"/>
        </w:tabs>
        <w:spacing w:line="240" w:lineRule="auto"/>
      </w:pPr>
      <w:r w:rsidRPr="001F5DB8">
        <w:rPr>
          <w:i/>
        </w:rPr>
        <w:t xml:space="preserve">Anonymus Erfordensis </w:t>
      </w:r>
      <w:r>
        <w:t>fol. 7vb</w:t>
      </w:r>
      <w:r>
        <w:tab/>
        <w:t>673</w:t>
      </w:r>
    </w:p>
    <w:p w14:paraId="5D91C19F" w14:textId="77777777" w:rsidR="08BA72FD" w:rsidRDefault="08BA72FD" w:rsidP="08BA72FD">
      <w:pPr>
        <w:pStyle w:val="Rejstk1"/>
        <w:tabs>
          <w:tab w:val="right" w:leader="dot" w:pos="4171"/>
        </w:tabs>
        <w:spacing w:line="240" w:lineRule="auto"/>
      </w:pPr>
      <w:r w:rsidRPr="001F5DB8">
        <w:rPr>
          <w:i/>
        </w:rPr>
        <w:t xml:space="preserve">Anonymus Erfordensis </w:t>
      </w:r>
      <w:r>
        <w:t>fol. 8va</w:t>
      </w:r>
      <w:r>
        <w:tab/>
        <w:t>674</w:t>
      </w:r>
    </w:p>
    <w:p w14:paraId="3BBDE760" w14:textId="77777777" w:rsidR="08BA72FD" w:rsidRDefault="08BA72FD" w:rsidP="08BA72FD">
      <w:pPr>
        <w:pStyle w:val="Rejstk1"/>
        <w:tabs>
          <w:tab w:val="right" w:leader="dot" w:pos="4171"/>
        </w:tabs>
        <w:spacing w:line="240" w:lineRule="auto"/>
      </w:pPr>
      <w:r w:rsidRPr="001F5DB8">
        <w:rPr>
          <w:i/>
        </w:rPr>
        <w:t xml:space="preserve">Anonymus Erfordensis </w:t>
      </w:r>
      <w:r>
        <w:t>fol. 9rb</w:t>
      </w:r>
      <w:r>
        <w:tab/>
        <w:t>673</w:t>
      </w:r>
    </w:p>
    <w:p w14:paraId="7F6215F4" w14:textId="77777777" w:rsidR="08BA72FD" w:rsidRDefault="08BA72FD" w:rsidP="08BA72FD"/>
    <w:p w14:paraId="70F127CD" w14:textId="77777777" w:rsidR="08BA72FD" w:rsidRPr="08FB0F07" w:rsidRDefault="08BA72FD" w:rsidP="08BA72FD">
      <w:pPr>
        <w:pStyle w:val="Rejstk1"/>
        <w:tabs>
          <w:tab w:val="right" w:leader="dot" w:pos="4171"/>
        </w:tabs>
        <w:spacing w:line="240" w:lineRule="auto"/>
        <w:rPr>
          <w:b/>
        </w:rPr>
      </w:pPr>
      <w:r w:rsidRPr="08FB0F07">
        <w:rPr>
          <w:b/>
        </w:rPr>
        <w:t>Anselm z Canterbury</w:t>
      </w:r>
    </w:p>
    <w:p w14:paraId="6E90CE8B" w14:textId="77777777" w:rsidR="08BA72FD" w:rsidRDefault="08BA72FD" w:rsidP="08BA72FD">
      <w:pPr>
        <w:pStyle w:val="Rejstk2"/>
        <w:tabs>
          <w:tab w:val="right" w:leader="dot" w:pos="4171"/>
        </w:tabs>
        <w:spacing w:line="240" w:lineRule="auto"/>
        <w:ind w:left="240"/>
      </w:pPr>
      <w:r w:rsidRPr="001F5DB8">
        <w:rPr>
          <w:i/>
        </w:rPr>
        <w:t>De divinitatis essentia Monologium</w:t>
      </w:r>
      <w:r>
        <w:t xml:space="preserve"> PL 158, 211D‒212A</w:t>
      </w:r>
      <w:r>
        <w:tab/>
        <w:t>25</w:t>
      </w:r>
    </w:p>
    <w:p w14:paraId="44509A10" w14:textId="77777777" w:rsidR="08BA72FD" w:rsidRDefault="08BA72FD" w:rsidP="08BA72FD">
      <w:pPr>
        <w:pStyle w:val="Rejstk2"/>
        <w:tabs>
          <w:tab w:val="right" w:leader="dot" w:pos="4171"/>
        </w:tabs>
        <w:spacing w:line="240" w:lineRule="auto"/>
        <w:ind w:left="240"/>
      </w:pPr>
      <w:r w:rsidRPr="001F5DB8">
        <w:rPr>
          <w:i/>
        </w:rPr>
        <w:t>Dialogus de libero arbitrio</w:t>
      </w:r>
      <w:r>
        <w:t xml:space="preserve"> PL 158, 494B</w:t>
      </w:r>
      <w:r>
        <w:tab/>
        <w:t>28</w:t>
      </w:r>
    </w:p>
    <w:p w14:paraId="6333437C" w14:textId="77777777" w:rsidR="08BA72FD" w:rsidRDefault="08BA72FD" w:rsidP="08BA72FD">
      <w:pPr>
        <w:pStyle w:val="Rejstk2"/>
        <w:tabs>
          <w:tab w:val="right" w:leader="dot" w:pos="4171"/>
        </w:tabs>
        <w:spacing w:line="240" w:lineRule="auto"/>
        <w:ind w:left="240"/>
      </w:pPr>
      <w:r w:rsidRPr="001F5DB8">
        <w:rPr>
          <w:i/>
        </w:rPr>
        <w:t>Dialogus de Veritate</w:t>
      </w:r>
      <w:r>
        <w:t xml:space="preserve"> 486C</w:t>
      </w:r>
      <w:r>
        <w:tab/>
        <w:t>24</w:t>
      </w:r>
    </w:p>
    <w:p w14:paraId="40B0C68F" w14:textId="77777777" w:rsidR="08BA72FD" w:rsidRDefault="08BA72FD" w:rsidP="08BA72FD">
      <w:pPr>
        <w:pStyle w:val="Rejstk2"/>
        <w:tabs>
          <w:tab w:val="right" w:leader="dot" w:pos="4171"/>
        </w:tabs>
        <w:spacing w:line="240" w:lineRule="auto"/>
        <w:ind w:left="240"/>
      </w:pPr>
      <w:r w:rsidRPr="001F5DB8">
        <w:rPr>
          <w:i/>
        </w:rPr>
        <w:t xml:space="preserve">Dialogus de Veritate </w:t>
      </w:r>
      <w:r>
        <w:t>PL 158, 470 C‒D</w:t>
      </w:r>
      <w:r>
        <w:tab/>
        <w:t>23</w:t>
      </w:r>
    </w:p>
    <w:p w14:paraId="58BE45F9" w14:textId="77777777" w:rsidR="08BA72FD" w:rsidRDefault="08BA72FD" w:rsidP="08BA72FD">
      <w:pPr>
        <w:pStyle w:val="Rejstk2"/>
        <w:tabs>
          <w:tab w:val="right" w:leader="dot" w:pos="4171"/>
        </w:tabs>
        <w:spacing w:line="240" w:lineRule="auto"/>
        <w:ind w:left="240"/>
      </w:pPr>
      <w:r w:rsidRPr="001F5DB8">
        <w:rPr>
          <w:i/>
        </w:rPr>
        <w:t xml:space="preserve">Dialogus de Veritate </w:t>
      </w:r>
      <w:r>
        <w:t>PL 158, 475C</w:t>
      </w:r>
      <w:r>
        <w:tab/>
        <w:t>22</w:t>
      </w:r>
    </w:p>
    <w:p w14:paraId="168F3C20" w14:textId="77777777" w:rsidR="08BA72FD" w:rsidRDefault="08BA72FD" w:rsidP="08BA72FD">
      <w:pPr>
        <w:pStyle w:val="Rejstk2"/>
        <w:tabs>
          <w:tab w:val="right" w:leader="dot" w:pos="4171"/>
        </w:tabs>
        <w:spacing w:line="240" w:lineRule="auto"/>
        <w:ind w:left="240"/>
      </w:pPr>
      <w:r w:rsidRPr="001F5DB8">
        <w:rPr>
          <w:i/>
        </w:rPr>
        <w:t>Dialogus de Veritate</w:t>
      </w:r>
      <w:r>
        <w:t xml:space="preserve"> PL 158, 485B</w:t>
      </w:r>
      <w:r>
        <w:tab/>
        <w:t>24</w:t>
      </w:r>
    </w:p>
    <w:p w14:paraId="100242DD" w14:textId="77777777" w:rsidR="08BA72FD" w:rsidRDefault="08BA72FD" w:rsidP="08BA72FD"/>
    <w:p w14:paraId="41CBC458" w14:textId="77777777" w:rsidR="08BA72FD" w:rsidRPr="08D9783D" w:rsidRDefault="08BA72FD" w:rsidP="08BA72FD">
      <w:pPr>
        <w:pStyle w:val="Rejstk1"/>
        <w:tabs>
          <w:tab w:val="right" w:leader="dot" w:pos="4171"/>
        </w:tabs>
        <w:spacing w:line="240" w:lineRule="auto"/>
        <w:rPr>
          <w:b/>
        </w:rPr>
      </w:pPr>
      <w:r w:rsidRPr="08D9783D">
        <w:rPr>
          <w:b/>
        </w:rPr>
        <w:t>Aristoteles</w:t>
      </w:r>
    </w:p>
    <w:p w14:paraId="41383651" w14:textId="77777777" w:rsidR="08BA72FD" w:rsidRDefault="08BA72FD" w:rsidP="08BA72FD">
      <w:pPr>
        <w:pStyle w:val="Rejstk2"/>
        <w:tabs>
          <w:tab w:val="right" w:leader="dot" w:pos="4171"/>
        </w:tabs>
        <w:spacing w:line="240" w:lineRule="auto"/>
        <w:ind w:left="240"/>
      </w:pPr>
      <w:r w:rsidRPr="001F5DB8">
        <w:rPr>
          <w:i/>
        </w:rPr>
        <w:t>Anal. Post</w:t>
      </w:r>
      <w:r>
        <w:t>. 71b10‒11</w:t>
      </w:r>
      <w:r>
        <w:tab/>
        <w:t>365</w:t>
      </w:r>
    </w:p>
    <w:p w14:paraId="24888CCE" w14:textId="77777777" w:rsidR="08BA72FD" w:rsidRDefault="08BA72FD" w:rsidP="08BA72FD">
      <w:pPr>
        <w:pStyle w:val="Rejstk2"/>
        <w:tabs>
          <w:tab w:val="right" w:leader="dot" w:pos="4171"/>
        </w:tabs>
        <w:spacing w:line="240" w:lineRule="auto"/>
        <w:ind w:left="240"/>
      </w:pPr>
      <w:r w:rsidRPr="001F5DB8">
        <w:rPr>
          <w:i/>
        </w:rPr>
        <w:t>Anal. Post</w:t>
      </w:r>
      <w:r>
        <w:t>. 71b25</w:t>
      </w:r>
      <w:r>
        <w:tab/>
        <w:t>509</w:t>
      </w:r>
    </w:p>
    <w:p w14:paraId="258E8A56" w14:textId="77777777" w:rsidR="08BA72FD" w:rsidRDefault="08BA72FD" w:rsidP="08BA72FD">
      <w:pPr>
        <w:pStyle w:val="Rejstk2"/>
        <w:tabs>
          <w:tab w:val="right" w:leader="dot" w:pos="4171"/>
        </w:tabs>
        <w:spacing w:line="240" w:lineRule="auto"/>
        <w:ind w:left="240"/>
      </w:pPr>
      <w:r w:rsidRPr="001F5DB8">
        <w:rPr>
          <w:i/>
        </w:rPr>
        <w:t>Anal. Post</w:t>
      </w:r>
      <w:r>
        <w:t>. 71b26</w:t>
      </w:r>
      <w:r>
        <w:tab/>
        <w:t>510</w:t>
      </w:r>
    </w:p>
    <w:p w14:paraId="685DD45D" w14:textId="77777777" w:rsidR="08BA72FD" w:rsidRDefault="08BA72FD" w:rsidP="08BA72FD">
      <w:pPr>
        <w:pStyle w:val="Rejstk2"/>
        <w:tabs>
          <w:tab w:val="right" w:leader="dot" w:pos="4171"/>
        </w:tabs>
        <w:spacing w:line="240" w:lineRule="auto"/>
        <w:ind w:left="240"/>
      </w:pPr>
      <w:r w:rsidRPr="001F5DB8">
        <w:rPr>
          <w:i/>
        </w:rPr>
        <w:t>Anal. Post</w:t>
      </w:r>
      <w:r>
        <w:t>. 71b26‒27</w:t>
      </w:r>
      <w:r>
        <w:tab/>
        <w:t>508, 510</w:t>
      </w:r>
    </w:p>
    <w:p w14:paraId="72A8ECCB" w14:textId="77777777" w:rsidR="08BA72FD" w:rsidRDefault="08BA72FD" w:rsidP="08BA72FD">
      <w:pPr>
        <w:pStyle w:val="Rejstk2"/>
        <w:tabs>
          <w:tab w:val="right" w:leader="dot" w:pos="4171"/>
        </w:tabs>
        <w:spacing w:line="240" w:lineRule="auto"/>
        <w:ind w:left="240"/>
      </w:pPr>
      <w:r w:rsidRPr="001F5DB8">
        <w:rPr>
          <w:i/>
        </w:rPr>
        <w:t>Anal. Post</w:t>
      </w:r>
      <w:r>
        <w:t>. 71b30‒33</w:t>
      </w:r>
      <w:r>
        <w:tab/>
        <w:t>246</w:t>
      </w:r>
    </w:p>
    <w:p w14:paraId="55910EFF" w14:textId="77777777" w:rsidR="08BA72FD" w:rsidRDefault="08BA72FD" w:rsidP="08BA72FD">
      <w:pPr>
        <w:pStyle w:val="Rejstk2"/>
        <w:tabs>
          <w:tab w:val="right" w:leader="dot" w:pos="4171"/>
        </w:tabs>
        <w:spacing w:line="240" w:lineRule="auto"/>
        <w:ind w:left="240"/>
      </w:pPr>
      <w:r w:rsidRPr="001F5DB8">
        <w:rPr>
          <w:i/>
        </w:rPr>
        <w:t>Anal. Post</w:t>
      </w:r>
      <w:r>
        <w:t>. 73a21</w:t>
      </w:r>
      <w:r>
        <w:tab/>
        <w:t>505</w:t>
      </w:r>
    </w:p>
    <w:p w14:paraId="38F9322A" w14:textId="77777777" w:rsidR="08BA72FD" w:rsidRDefault="08BA72FD" w:rsidP="08BA72FD">
      <w:pPr>
        <w:pStyle w:val="Rejstk2"/>
        <w:tabs>
          <w:tab w:val="right" w:leader="dot" w:pos="4171"/>
        </w:tabs>
        <w:spacing w:line="240" w:lineRule="auto"/>
        <w:ind w:left="240"/>
      </w:pPr>
      <w:r w:rsidRPr="001F5DB8">
        <w:rPr>
          <w:i/>
        </w:rPr>
        <w:t>Anal. Post</w:t>
      </w:r>
      <w:r>
        <w:t>. 73a35‒36</w:t>
      </w:r>
      <w:r>
        <w:tab/>
        <w:t>517</w:t>
      </w:r>
    </w:p>
    <w:p w14:paraId="4B0653D1" w14:textId="77777777" w:rsidR="08BA72FD" w:rsidRDefault="08BA72FD" w:rsidP="08BA72FD">
      <w:pPr>
        <w:pStyle w:val="Rejstk2"/>
        <w:tabs>
          <w:tab w:val="right" w:leader="dot" w:pos="4171"/>
        </w:tabs>
        <w:spacing w:line="240" w:lineRule="auto"/>
        <w:ind w:left="240"/>
      </w:pPr>
      <w:r w:rsidRPr="001F5DB8">
        <w:rPr>
          <w:i/>
        </w:rPr>
        <w:t>Anal. Post</w:t>
      </w:r>
      <w:r>
        <w:t>. 73b10</w:t>
      </w:r>
      <w:r>
        <w:tab/>
        <w:t>647</w:t>
      </w:r>
    </w:p>
    <w:p w14:paraId="4CCA5B9B" w14:textId="77777777" w:rsidR="08BA72FD" w:rsidRDefault="08BA72FD" w:rsidP="08BA72FD">
      <w:pPr>
        <w:pStyle w:val="Rejstk2"/>
        <w:tabs>
          <w:tab w:val="right" w:leader="dot" w:pos="4171"/>
        </w:tabs>
        <w:spacing w:line="240" w:lineRule="auto"/>
        <w:ind w:left="240"/>
      </w:pPr>
      <w:r w:rsidRPr="001F5DB8">
        <w:rPr>
          <w:i/>
        </w:rPr>
        <w:t>Anal. Post</w:t>
      </w:r>
      <w:r>
        <w:t>. 73b25–27</w:t>
      </w:r>
      <w:r>
        <w:tab/>
        <w:t>523</w:t>
      </w:r>
    </w:p>
    <w:p w14:paraId="0A292B9E" w14:textId="77777777" w:rsidR="08BA72FD" w:rsidRDefault="08BA72FD" w:rsidP="08BA72FD">
      <w:pPr>
        <w:pStyle w:val="Rejstk2"/>
        <w:tabs>
          <w:tab w:val="right" w:leader="dot" w:pos="4171"/>
        </w:tabs>
        <w:spacing w:line="240" w:lineRule="auto"/>
        <w:ind w:left="240"/>
      </w:pPr>
      <w:r w:rsidRPr="001F5DB8">
        <w:rPr>
          <w:i/>
        </w:rPr>
        <w:t>Anal. Post</w:t>
      </w:r>
      <w:r>
        <w:t>. 73b25‒27</w:t>
      </w:r>
      <w:r>
        <w:tab/>
        <w:t>518, 639</w:t>
      </w:r>
    </w:p>
    <w:p w14:paraId="687B0BDC" w14:textId="77777777" w:rsidR="08BA72FD" w:rsidRDefault="08BA72FD" w:rsidP="08BA72FD">
      <w:pPr>
        <w:pStyle w:val="Rejstk2"/>
        <w:tabs>
          <w:tab w:val="right" w:leader="dot" w:pos="4171"/>
        </w:tabs>
        <w:spacing w:line="240" w:lineRule="auto"/>
        <w:ind w:left="240"/>
      </w:pPr>
      <w:r w:rsidRPr="001F5DB8">
        <w:rPr>
          <w:i/>
        </w:rPr>
        <w:t>Anal. Post</w:t>
      </w:r>
      <w:r>
        <w:t>. 73b26–27</w:t>
      </w:r>
      <w:r>
        <w:tab/>
        <w:t>517</w:t>
      </w:r>
    </w:p>
    <w:p w14:paraId="5382F15B" w14:textId="77777777" w:rsidR="08BA72FD" w:rsidRDefault="08BA72FD" w:rsidP="08BA72FD">
      <w:pPr>
        <w:pStyle w:val="Rejstk2"/>
        <w:tabs>
          <w:tab w:val="right" w:leader="dot" w:pos="4171"/>
        </w:tabs>
        <w:spacing w:line="240" w:lineRule="auto"/>
        <w:ind w:left="240"/>
      </w:pPr>
      <w:r w:rsidRPr="001F5DB8">
        <w:rPr>
          <w:i/>
        </w:rPr>
        <w:t>Anal. Post</w:t>
      </w:r>
      <w:r>
        <w:t>. 73b26‒27</w:t>
      </w:r>
      <w:r>
        <w:tab/>
        <w:t>358, 514, 517, 641</w:t>
      </w:r>
    </w:p>
    <w:p w14:paraId="61720241" w14:textId="77777777" w:rsidR="08BA72FD" w:rsidRDefault="08BA72FD" w:rsidP="08BA72FD">
      <w:pPr>
        <w:pStyle w:val="Rejstk2"/>
        <w:tabs>
          <w:tab w:val="right" w:leader="dot" w:pos="4171"/>
        </w:tabs>
        <w:spacing w:line="240" w:lineRule="auto"/>
        <w:ind w:left="240"/>
      </w:pPr>
      <w:r w:rsidRPr="001F5DB8">
        <w:rPr>
          <w:i/>
        </w:rPr>
        <w:t>Anal. Post</w:t>
      </w:r>
      <w:r>
        <w:t>. 73b27</w:t>
      </w:r>
      <w:r>
        <w:tab/>
        <w:t>252, 519, 638, 639</w:t>
      </w:r>
    </w:p>
    <w:p w14:paraId="6DCD5B6A" w14:textId="77777777" w:rsidR="08BA72FD" w:rsidRDefault="08BA72FD" w:rsidP="08BA72FD">
      <w:pPr>
        <w:pStyle w:val="Rejstk2"/>
        <w:tabs>
          <w:tab w:val="right" w:leader="dot" w:pos="4171"/>
        </w:tabs>
        <w:spacing w:line="240" w:lineRule="auto"/>
        <w:ind w:left="240"/>
      </w:pPr>
      <w:r w:rsidRPr="001F5DB8">
        <w:rPr>
          <w:i/>
        </w:rPr>
        <w:t>Anal. Post</w:t>
      </w:r>
      <w:r>
        <w:t>. 73b28</w:t>
      </w:r>
      <w:r>
        <w:tab/>
        <w:t>358, 421</w:t>
      </w:r>
    </w:p>
    <w:p w14:paraId="7A38EF9C" w14:textId="77777777" w:rsidR="08BA72FD" w:rsidRDefault="08BA72FD" w:rsidP="08BA72FD">
      <w:pPr>
        <w:pStyle w:val="Rejstk2"/>
        <w:tabs>
          <w:tab w:val="right" w:leader="dot" w:pos="4171"/>
        </w:tabs>
        <w:spacing w:line="240" w:lineRule="auto"/>
        <w:ind w:left="240"/>
      </w:pPr>
      <w:r w:rsidRPr="001F5DB8">
        <w:rPr>
          <w:i/>
        </w:rPr>
        <w:t>Anal. Post</w:t>
      </w:r>
      <w:r>
        <w:t>. 73b30‒31</w:t>
      </w:r>
      <w:r>
        <w:tab/>
        <w:t>358</w:t>
      </w:r>
    </w:p>
    <w:p w14:paraId="754D287B" w14:textId="77777777" w:rsidR="08BA72FD" w:rsidRDefault="08BA72FD" w:rsidP="08BA72FD">
      <w:pPr>
        <w:pStyle w:val="Rejstk2"/>
        <w:tabs>
          <w:tab w:val="right" w:leader="dot" w:pos="4171"/>
        </w:tabs>
        <w:spacing w:line="240" w:lineRule="auto"/>
        <w:ind w:left="240"/>
      </w:pPr>
      <w:r w:rsidRPr="001F5DB8">
        <w:rPr>
          <w:i/>
        </w:rPr>
        <w:t>Anal. Post</w:t>
      </w:r>
      <w:r>
        <w:t>. 75a38</w:t>
      </w:r>
      <w:r>
        <w:tab/>
        <w:t>371</w:t>
      </w:r>
    </w:p>
    <w:p w14:paraId="2C16FDC8" w14:textId="77777777" w:rsidR="08BA72FD" w:rsidRDefault="08BA72FD" w:rsidP="08BA72FD">
      <w:pPr>
        <w:pStyle w:val="Rejstk2"/>
        <w:tabs>
          <w:tab w:val="right" w:leader="dot" w:pos="4171"/>
        </w:tabs>
        <w:spacing w:line="240" w:lineRule="auto"/>
        <w:ind w:left="240"/>
      </w:pPr>
      <w:r w:rsidRPr="001F5DB8">
        <w:rPr>
          <w:i/>
        </w:rPr>
        <w:t>Anal. Post</w:t>
      </w:r>
      <w:r>
        <w:t>. 75a38–39</w:t>
      </w:r>
      <w:r>
        <w:tab/>
        <w:t>516</w:t>
      </w:r>
    </w:p>
    <w:p w14:paraId="0912A851" w14:textId="77777777" w:rsidR="08BA72FD" w:rsidRDefault="08BA72FD" w:rsidP="08BA72FD">
      <w:pPr>
        <w:pStyle w:val="Rejstk2"/>
        <w:tabs>
          <w:tab w:val="right" w:leader="dot" w:pos="4171"/>
        </w:tabs>
        <w:spacing w:line="240" w:lineRule="auto"/>
        <w:ind w:left="240"/>
      </w:pPr>
      <w:r w:rsidRPr="001F5DB8">
        <w:rPr>
          <w:i/>
        </w:rPr>
        <w:t>Anal. Post</w:t>
      </w:r>
      <w:r>
        <w:t>. 75b3</w:t>
      </w:r>
      <w:r w:rsidRPr="001F5DB8">
        <w:rPr>
          <w:rFonts w:ascii="Georgia" w:hAnsi="Georgia"/>
        </w:rPr>
        <w:t>–</w:t>
      </w:r>
      <w:r>
        <w:t>6</w:t>
      </w:r>
      <w:r>
        <w:tab/>
        <w:t>554</w:t>
      </w:r>
    </w:p>
    <w:p w14:paraId="2BCFE9EB" w14:textId="77777777" w:rsidR="08BA72FD" w:rsidRDefault="08BA72FD" w:rsidP="08BA72FD">
      <w:pPr>
        <w:pStyle w:val="Rejstk2"/>
        <w:tabs>
          <w:tab w:val="right" w:leader="dot" w:pos="4171"/>
        </w:tabs>
        <w:spacing w:line="240" w:lineRule="auto"/>
        <w:ind w:left="240"/>
      </w:pPr>
      <w:r w:rsidRPr="001F5DB8">
        <w:rPr>
          <w:i/>
        </w:rPr>
        <w:t>Anal. Post</w:t>
      </w:r>
      <w:r>
        <w:t>. 76a38‒39</w:t>
      </w:r>
      <w:r>
        <w:tab/>
        <w:t>530</w:t>
      </w:r>
    </w:p>
    <w:p w14:paraId="624DA294" w14:textId="77777777" w:rsidR="08BA72FD" w:rsidRDefault="08BA72FD" w:rsidP="08BA72FD">
      <w:pPr>
        <w:pStyle w:val="Rejstk2"/>
        <w:tabs>
          <w:tab w:val="right" w:leader="dot" w:pos="4171"/>
        </w:tabs>
        <w:spacing w:line="240" w:lineRule="auto"/>
        <w:ind w:left="240"/>
      </w:pPr>
      <w:r w:rsidRPr="001F5DB8">
        <w:rPr>
          <w:i/>
        </w:rPr>
        <w:t>Anal. Post</w:t>
      </w:r>
      <w:r>
        <w:t>. 76b11‒22</w:t>
      </w:r>
      <w:r>
        <w:tab/>
        <w:t>381</w:t>
      </w:r>
    </w:p>
    <w:p w14:paraId="5762E92C" w14:textId="77777777" w:rsidR="08BA72FD" w:rsidRDefault="08BA72FD" w:rsidP="08BA72FD">
      <w:pPr>
        <w:pStyle w:val="Rejstk2"/>
        <w:tabs>
          <w:tab w:val="right" w:leader="dot" w:pos="4171"/>
        </w:tabs>
        <w:spacing w:line="240" w:lineRule="auto"/>
        <w:ind w:left="240"/>
      </w:pPr>
      <w:r w:rsidRPr="001F5DB8">
        <w:rPr>
          <w:i/>
        </w:rPr>
        <w:t>Anal. Post</w:t>
      </w:r>
      <w:r>
        <w:t>. 79a7‒8</w:t>
      </w:r>
      <w:r>
        <w:tab/>
        <w:t>96</w:t>
      </w:r>
    </w:p>
    <w:p w14:paraId="08981BEC" w14:textId="77777777" w:rsidR="08BA72FD" w:rsidRDefault="08BA72FD" w:rsidP="08BA72FD">
      <w:pPr>
        <w:pStyle w:val="Rejstk2"/>
        <w:tabs>
          <w:tab w:val="right" w:leader="dot" w:pos="4171"/>
        </w:tabs>
        <w:spacing w:line="240" w:lineRule="auto"/>
        <w:ind w:left="240"/>
      </w:pPr>
      <w:r w:rsidRPr="001F5DB8">
        <w:rPr>
          <w:i/>
        </w:rPr>
        <w:t>Anal. Post</w:t>
      </w:r>
      <w:r>
        <w:t>. 84a11‒12</w:t>
      </w:r>
      <w:r>
        <w:tab/>
        <w:t>377</w:t>
      </w:r>
    </w:p>
    <w:p w14:paraId="4E73E588" w14:textId="77777777" w:rsidR="08BA72FD" w:rsidRDefault="08BA72FD" w:rsidP="08BA72FD">
      <w:pPr>
        <w:pStyle w:val="Rejstk2"/>
        <w:tabs>
          <w:tab w:val="right" w:leader="dot" w:pos="4171"/>
        </w:tabs>
        <w:spacing w:line="240" w:lineRule="auto"/>
        <w:ind w:left="240"/>
      </w:pPr>
      <w:r w:rsidRPr="001F5DB8">
        <w:rPr>
          <w:i/>
        </w:rPr>
        <w:t>Anal. Post</w:t>
      </w:r>
      <w:r>
        <w:t>. 84a11‒14</w:t>
      </w:r>
      <w:r>
        <w:tab/>
        <w:t>356, 370, 392, 474, 514, 515, 542, 551, 649</w:t>
      </w:r>
    </w:p>
    <w:p w14:paraId="4F39601B" w14:textId="77777777" w:rsidR="08BA72FD" w:rsidRDefault="08BA72FD" w:rsidP="08BA72FD">
      <w:pPr>
        <w:pStyle w:val="Rejstk2"/>
        <w:tabs>
          <w:tab w:val="right" w:leader="dot" w:pos="4171"/>
        </w:tabs>
        <w:spacing w:line="240" w:lineRule="auto"/>
        <w:ind w:left="240"/>
      </w:pPr>
      <w:r w:rsidRPr="001F5DB8">
        <w:rPr>
          <w:i/>
        </w:rPr>
        <w:t>Anal</w:t>
      </w:r>
      <w:r>
        <w:t xml:space="preserve">. </w:t>
      </w:r>
      <w:r w:rsidRPr="001F5DB8">
        <w:rPr>
          <w:i/>
        </w:rPr>
        <w:t>Post</w:t>
      </w:r>
      <w:r>
        <w:t>. 84a12</w:t>
      </w:r>
      <w:r>
        <w:tab/>
        <w:t>356, 360, 370, 378, 386, 392, 420, 509, 518, 519, 542, 639</w:t>
      </w:r>
    </w:p>
    <w:p w14:paraId="6728D382" w14:textId="77777777" w:rsidR="08BA72FD" w:rsidRDefault="08BA72FD" w:rsidP="08BA72FD">
      <w:pPr>
        <w:pStyle w:val="Rejstk2"/>
        <w:tabs>
          <w:tab w:val="right" w:leader="dot" w:pos="4171"/>
        </w:tabs>
        <w:spacing w:line="240" w:lineRule="auto"/>
        <w:ind w:left="240"/>
      </w:pPr>
      <w:r w:rsidRPr="001F5DB8">
        <w:rPr>
          <w:i/>
        </w:rPr>
        <w:t>Anal. Post</w:t>
      </w:r>
      <w:r>
        <w:t>. 84a13</w:t>
      </w:r>
      <w:r>
        <w:tab/>
        <w:t>356, 369, 382, 489, 513, 520, 641</w:t>
      </w:r>
    </w:p>
    <w:p w14:paraId="24470B0E" w14:textId="77777777" w:rsidR="08BA72FD" w:rsidRDefault="08BA72FD" w:rsidP="08BA72FD">
      <w:pPr>
        <w:pStyle w:val="Rejstk2"/>
        <w:tabs>
          <w:tab w:val="right" w:leader="dot" w:pos="4171"/>
        </w:tabs>
        <w:spacing w:line="240" w:lineRule="auto"/>
        <w:ind w:left="240"/>
      </w:pPr>
      <w:r w:rsidRPr="001F5DB8">
        <w:rPr>
          <w:i/>
        </w:rPr>
        <w:t>Anal. Post</w:t>
      </w:r>
      <w:r>
        <w:t>. 84a13‒14</w:t>
      </w:r>
      <w:r>
        <w:tab/>
        <w:t>515</w:t>
      </w:r>
    </w:p>
    <w:p w14:paraId="547FCFFB" w14:textId="77777777" w:rsidR="08BA72FD" w:rsidRDefault="08BA72FD" w:rsidP="08BA72FD">
      <w:pPr>
        <w:pStyle w:val="Rejstk2"/>
        <w:tabs>
          <w:tab w:val="right" w:leader="dot" w:pos="4171"/>
        </w:tabs>
        <w:spacing w:line="240" w:lineRule="auto"/>
        <w:ind w:left="240"/>
      </w:pPr>
      <w:r w:rsidRPr="001F5DB8">
        <w:rPr>
          <w:i/>
        </w:rPr>
        <w:t>Anal. Post</w:t>
      </w:r>
      <w:r>
        <w:t>. 84a14</w:t>
      </w:r>
      <w:r>
        <w:tab/>
        <w:t>356, 368, 489, 506, 521, 545, 573, 639, 647</w:t>
      </w:r>
    </w:p>
    <w:p w14:paraId="465ABD5B" w14:textId="77777777" w:rsidR="08BA72FD" w:rsidRDefault="08BA72FD" w:rsidP="08BA72FD">
      <w:pPr>
        <w:pStyle w:val="Rejstk2"/>
        <w:tabs>
          <w:tab w:val="right" w:leader="dot" w:pos="4171"/>
        </w:tabs>
        <w:spacing w:line="240" w:lineRule="auto"/>
        <w:ind w:left="240"/>
      </w:pPr>
      <w:r w:rsidRPr="001F5DB8">
        <w:rPr>
          <w:i/>
        </w:rPr>
        <w:t>Anal. Post</w:t>
      </w:r>
      <w:r>
        <w:t>. 85a31</w:t>
      </w:r>
      <w:r>
        <w:tab/>
        <w:t>403</w:t>
      </w:r>
    </w:p>
    <w:p w14:paraId="221F187D" w14:textId="77777777" w:rsidR="08BA72FD" w:rsidRDefault="08BA72FD" w:rsidP="08BA72FD">
      <w:pPr>
        <w:pStyle w:val="Rejstk2"/>
        <w:tabs>
          <w:tab w:val="right" w:leader="dot" w:pos="4171"/>
        </w:tabs>
        <w:spacing w:line="240" w:lineRule="auto"/>
        <w:ind w:left="240"/>
      </w:pPr>
      <w:r w:rsidRPr="001F5DB8">
        <w:rPr>
          <w:i/>
        </w:rPr>
        <w:t>Anal. Post.</w:t>
      </w:r>
      <w:r>
        <w:t xml:space="preserve"> 87b32</w:t>
      </w:r>
      <w:r>
        <w:tab/>
        <w:t>391</w:t>
      </w:r>
    </w:p>
    <w:p w14:paraId="1DFB3161" w14:textId="77777777" w:rsidR="08BA72FD" w:rsidRDefault="08BA72FD" w:rsidP="08BA72FD">
      <w:pPr>
        <w:pStyle w:val="Rejstk2"/>
        <w:tabs>
          <w:tab w:val="right" w:leader="dot" w:pos="4171"/>
        </w:tabs>
        <w:spacing w:line="240" w:lineRule="auto"/>
        <w:ind w:left="240"/>
      </w:pPr>
      <w:r w:rsidRPr="001F5DB8">
        <w:rPr>
          <w:i/>
        </w:rPr>
        <w:t>Anal. Post</w:t>
      </w:r>
      <w:r>
        <w:t>. 88b37</w:t>
      </w:r>
      <w:r>
        <w:tab/>
        <w:t>376</w:t>
      </w:r>
    </w:p>
    <w:p w14:paraId="48A21208" w14:textId="77777777" w:rsidR="08BA72FD" w:rsidRDefault="08BA72FD" w:rsidP="08BA72FD">
      <w:pPr>
        <w:pStyle w:val="Rejstk2"/>
        <w:tabs>
          <w:tab w:val="right" w:leader="dot" w:pos="4171"/>
        </w:tabs>
        <w:spacing w:line="240" w:lineRule="auto"/>
        <w:ind w:left="240"/>
      </w:pPr>
      <w:r w:rsidRPr="001F5DB8">
        <w:rPr>
          <w:i/>
        </w:rPr>
        <w:t>Anal. Post</w:t>
      </w:r>
      <w:r>
        <w:t>. 89b10‒11</w:t>
      </w:r>
      <w:r>
        <w:tab/>
        <w:t>376</w:t>
      </w:r>
    </w:p>
    <w:p w14:paraId="0C9A94CD" w14:textId="77777777" w:rsidR="08BA72FD" w:rsidRDefault="08BA72FD" w:rsidP="08BA72FD">
      <w:pPr>
        <w:pStyle w:val="Rejstk2"/>
        <w:tabs>
          <w:tab w:val="right" w:leader="dot" w:pos="4171"/>
        </w:tabs>
        <w:spacing w:line="240" w:lineRule="auto"/>
        <w:ind w:left="240"/>
      </w:pPr>
      <w:r w:rsidRPr="001F5DB8">
        <w:rPr>
          <w:i/>
        </w:rPr>
        <w:t>Anal. post</w:t>
      </w:r>
      <w:r>
        <w:t>. 89b24‒25</w:t>
      </w:r>
      <w:r>
        <w:tab/>
        <w:t>246</w:t>
      </w:r>
    </w:p>
    <w:p w14:paraId="214B326C" w14:textId="77777777" w:rsidR="08BA72FD" w:rsidRDefault="08BA72FD" w:rsidP="08BA72FD">
      <w:pPr>
        <w:pStyle w:val="Rejstk2"/>
        <w:tabs>
          <w:tab w:val="right" w:leader="dot" w:pos="4171"/>
        </w:tabs>
        <w:spacing w:line="240" w:lineRule="auto"/>
        <w:ind w:left="240"/>
      </w:pPr>
      <w:r w:rsidRPr="001F5DB8">
        <w:rPr>
          <w:i/>
        </w:rPr>
        <w:t>Anal. Post</w:t>
      </w:r>
      <w:r>
        <w:t>. 89b24‒25</w:t>
      </w:r>
      <w:r>
        <w:tab/>
        <w:t>364, 393</w:t>
      </w:r>
    </w:p>
    <w:p w14:paraId="5CDA2AAE" w14:textId="77777777" w:rsidR="08BA72FD" w:rsidRDefault="08BA72FD" w:rsidP="08BA72FD">
      <w:pPr>
        <w:pStyle w:val="Rejstk2"/>
        <w:tabs>
          <w:tab w:val="right" w:leader="dot" w:pos="4171"/>
        </w:tabs>
        <w:spacing w:line="240" w:lineRule="auto"/>
        <w:ind w:left="240"/>
      </w:pPr>
      <w:r w:rsidRPr="001F5DB8">
        <w:rPr>
          <w:i/>
        </w:rPr>
        <w:t>Anal. Post</w:t>
      </w:r>
      <w:r>
        <w:t>. 89b27</w:t>
      </w:r>
      <w:r>
        <w:tab/>
        <w:t>506</w:t>
      </w:r>
    </w:p>
    <w:p w14:paraId="38A4400F" w14:textId="77777777" w:rsidR="08BA72FD" w:rsidRDefault="08BA72FD" w:rsidP="08BA72FD">
      <w:pPr>
        <w:pStyle w:val="Rejstk2"/>
        <w:tabs>
          <w:tab w:val="right" w:leader="dot" w:pos="4171"/>
        </w:tabs>
        <w:spacing w:line="240" w:lineRule="auto"/>
        <w:ind w:left="240"/>
      </w:pPr>
      <w:r w:rsidRPr="001F5DB8">
        <w:rPr>
          <w:i/>
        </w:rPr>
        <w:t>Anal. Post</w:t>
      </w:r>
      <w:r>
        <w:t>. 89b29</w:t>
      </w:r>
      <w:r>
        <w:tab/>
        <w:t>506</w:t>
      </w:r>
    </w:p>
    <w:p w14:paraId="103A5A0A" w14:textId="77777777" w:rsidR="08BA72FD" w:rsidRDefault="08BA72FD" w:rsidP="08BA72FD">
      <w:pPr>
        <w:pStyle w:val="Rejstk2"/>
        <w:tabs>
          <w:tab w:val="right" w:leader="dot" w:pos="4171"/>
        </w:tabs>
        <w:spacing w:line="240" w:lineRule="auto"/>
        <w:ind w:left="240"/>
      </w:pPr>
      <w:r w:rsidRPr="001F5DB8">
        <w:rPr>
          <w:i/>
        </w:rPr>
        <w:t>Anal. post</w:t>
      </w:r>
      <w:r>
        <w:t>. 89b34</w:t>
      </w:r>
      <w:r>
        <w:tab/>
        <w:t>247</w:t>
      </w:r>
    </w:p>
    <w:p w14:paraId="299CFC43" w14:textId="77777777" w:rsidR="08BA72FD" w:rsidRDefault="08BA72FD" w:rsidP="08BA72FD">
      <w:pPr>
        <w:pStyle w:val="Rejstk2"/>
        <w:tabs>
          <w:tab w:val="right" w:leader="dot" w:pos="4171"/>
        </w:tabs>
        <w:spacing w:line="240" w:lineRule="auto"/>
        <w:ind w:left="240"/>
      </w:pPr>
      <w:r w:rsidRPr="001F5DB8">
        <w:rPr>
          <w:i/>
        </w:rPr>
        <w:t>Anal. post</w:t>
      </w:r>
      <w:r>
        <w:t>. 89b38</w:t>
      </w:r>
      <w:r>
        <w:tab/>
        <w:t>247</w:t>
      </w:r>
    </w:p>
    <w:p w14:paraId="06866CE3" w14:textId="77777777" w:rsidR="08BA72FD" w:rsidRDefault="08BA72FD" w:rsidP="08BA72FD">
      <w:pPr>
        <w:pStyle w:val="Rejstk2"/>
        <w:tabs>
          <w:tab w:val="right" w:leader="dot" w:pos="4171"/>
        </w:tabs>
        <w:spacing w:line="240" w:lineRule="auto"/>
        <w:ind w:left="240"/>
      </w:pPr>
      <w:r w:rsidRPr="001F5DB8">
        <w:rPr>
          <w:i/>
        </w:rPr>
        <w:t>Anal. Post</w:t>
      </w:r>
      <w:r>
        <w:t>. 89b38</w:t>
      </w:r>
      <w:r>
        <w:tab/>
        <w:t>247</w:t>
      </w:r>
    </w:p>
    <w:p w14:paraId="6E0BEC12" w14:textId="77777777" w:rsidR="08BA72FD" w:rsidRDefault="08BA72FD" w:rsidP="08BA72FD">
      <w:pPr>
        <w:pStyle w:val="Rejstk2"/>
        <w:tabs>
          <w:tab w:val="right" w:leader="dot" w:pos="4171"/>
        </w:tabs>
        <w:spacing w:line="240" w:lineRule="auto"/>
        <w:ind w:left="240"/>
      </w:pPr>
      <w:r w:rsidRPr="001F5DB8">
        <w:rPr>
          <w:i/>
        </w:rPr>
        <w:t>Anal. Post</w:t>
      </w:r>
      <w:r>
        <w:t>. 89b39</w:t>
      </w:r>
      <w:r>
        <w:tab/>
        <w:t>40, 247</w:t>
      </w:r>
    </w:p>
    <w:p w14:paraId="5A6C63CD" w14:textId="77777777" w:rsidR="08BA72FD" w:rsidRDefault="08BA72FD" w:rsidP="08BA72FD">
      <w:pPr>
        <w:pStyle w:val="Rejstk2"/>
        <w:tabs>
          <w:tab w:val="right" w:leader="dot" w:pos="4171"/>
        </w:tabs>
        <w:spacing w:line="240" w:lineRule="auto"/>
        <w:ind w:left="240"/>
      </w:pPr>
      <w:r w:rsidRPr="001F5DB8">
        <w:rPr>
          <w:i/>
        </w:rPr>
        <w:t>Anal. post</w:t>
      </w:r>
      <w:r>
        <w:t>. 90a1</w:t>
      </w:r>
      <w:r>
        <w:tab/>
        <w:t>245</w:t>
      </w:r>
    </w:p>
    <w:p w14:paraId="0B3D93A8" w14:textId="77777777" w:rsidR="08BA72FD" w:rsidRDefault="08BA72FD" w:rsidP="08BA72FD">
      <w:pPr>
        <w:pStyle w:val="Rejstk2"/>
        <w:tabs>
          <w:tab w:val="right" w:leader="dot" w:pos="4171"/>
        </w:tabs>
        <w:spacing w:line="240" w:lineRule="auto"/>
        <w:ind w:left="240"/>
      </w:pPr>
      <w:r w:rsidRPr="001F5DB8">
        <w:rPr>
          <w:i/>
        </w:rPr>
        <w:t>Anal. Post</w:t>
      </w:r>
      <w:r>
        <w:t>. 90a10</w:t>
      </w:r>
      <w:r>
        <w:tab/>
        <w:t>508, 517</w:t>
      </w:r>
    </w:p>
    <w:p w14:paraId="545641E3" w14:textId="77777777" w:rsidR="08BA72FD" w:rsidRDefault="08BA72FD" w:rsidP="08BA72FD">
      <w:pPr>
        <w:pStyle w:val="Rejstk2"/>
        <w:tabs>
          <w:tab w:val="right" w:leader="dot" w:pos="4171"/>
        </w:tabs>
        <w:spacing w:line="240" w:lineRule="auto"/>
        <w:ind w:left="240"/>
      </w:pPr>
      <w:r w:rsidRPr="001F5DB8">
        <w:rPr>
          <w:i/>
        </w:rPr>
        <w:t>Anal. post</w:t>
      </w:r>
      <w:r>
        <w:t>. 90a31‒32</w:t>
      </w:r>
      <w:r>
        <w:tab/>
        <w:t>345</w:t>
      </w:r>
    </w:p>
    <w:p w14:paraId="0C2A819A" w14:textId="77777777" w:rsidR="08BA72FD" w:rsidRDefault="08BA72FD" w:rsidP="08BA72FD">
      <w:pPr>
        <w:pStyle w:val="Rejstk2"/>
        <w:tabs>
          <w:tab w:val="right" w:leader="dot" w:pos="4171"/>
        </w:tabs>
        <w:spacing w:line="240" w:lineRule="auto"/>
        <w:ind w:left="240"/>
      </w:pPr>
      <w:r w:rsidRPr="001F5DB8">
        <w:rPr>
          <w:i/>
        </w:rPr>
        <w:t>Anal. Post</w:t>
      </w:r>
      <w:r>
        <w:t>. 90a6‒7</w:t>
      </w:r>
      <w:r>
        <w:tab/>
        <w:t>507</w:t>
      </w:r>
    </w:p>
    <w:p w14:paraId="55BAA625" w14:textId="77777777" w:rsidR="08BA72FD" w:rsidRDefault="08BA72FD" w:rsidP="08BA72FD">
      <w:pPr>
        <w:pStyle w:val="Rejstk2"/>
        <w:tabs>
          <w:tab w:val="right" w:leader="dot" w:pos="4171"/>
        </w:tabs>
        <w:spacing w:line="240" w:lineRule="auto"/>
        <w:ind w:left="240"/>
      </w:pPr>
      <w:r w:rsidRPr="001F5DB8">
        <w:rPr>
          <w:i/>
        </w:rPr>
        <w:t>Anal. Post</w:t>
      </w:r>
      <w:r>
        <w:t>. 93a29‒31</w:t>
      </w:r>
      <w:r>
        <w:tab/>
        <w:t>367</w:t>
      </w:r>
    </w:p>
    <w:p w14:paraId="7484B1EE" w14:textId="77777777" w:rsidR="08BA72FD" w:rsidRDefault="08BA72FD" w:rsidP="08BA72FD">
      <w:pPr>
        <w:pStyle w:val="Rejstk2"/>
        <w:tabs>
          <w:tab w:val="right" w:leader="dot" w:pos="4171"/>
        </w:tabs>
        <w:spacing w:line="240" w:lineRule="auto"/>
        <w:ind w:left="240"/>
      </w:pPr>
      <w:r w:rsidRPr="001F5DB8">
        <w:rPr>
          <w:i/>
        </w:rPr>
        <w:t>Anal. Post</w:t>
      </w:r>
      <w:r>
        <w:t>. 93a36</w:t>
      </w:r>
      <w:r>
        <w:tab/>
        <w:t>380, 551</w:t>
      </w:r>
    </w:p>
    <w:p w14:paraId="21AAE528" w14:textId="77777777" w:rsidR="08BA72FD" w:rsidRDefault="08BA72FD" w:rsidP="08BA72FD">
      <w:pPr>
        <w:pStyle w:val="Rejstk2"/>
        <w:tabs>
          <w:tab w:val="right" w:leader="dot" w:pos="4171"/>
        </w:tabs>
        <w:spacing w:line="240" w:lineRule="auto"/>
        <w:ind w:left="240"/>
      </w:pPr>
      <w:r w:rsidRPr="001F5DB8">
        <w:rPr>
          <w:i/>
        </w:rPr>
        <w:t>Anal. Post</w:t>
      </w:r>
      <w:r>
        <w:t>. 93a36‒b3</w:t>
      </w:r>
      <w:r>
        <w:tab/>
        <w:t>367</w:t>
      </w:r>
    </w:p>
    <w:p w14:paraId="34260660" w14:textId="77777777" w:rsidR="08BA72FD" w:rsidRDefault="08BA72FD" w:rsidP="08BA72FD">
      <w:pPr>
        <w:pStyle w:val="Rejstk2"/>
        <w:tabs>
          <w:tab w:val="right" w:leader="dot" w:pos="4171"/>
        </w:tabs>
        <w:spacing w:line="240" w:lineRule="auto"/>
        <w:ind w:left="240"/>
      </w:pPr>
      <w:r w:rsidRPr="001F5DB8">
        <w:rPr>
          <w:i/>
        </w:rPr>
        <w:t>Anal. Post</w:t>
      </w:r>
      <w:r>
        <w:t>. 93b29</w:t>
      </w:r>
      <w:r>
        <w:tab/>
        <w:t>365, 445, 677</w:t>
      </w:r>
    </w:p>
    <w:p w14:paraId="31CF585C" w14:textId="77777777" w:rsidR="08BA72FD" w:rsidRDefault="08BA72FD" w:rsidP="08BA72FD">
      <w:pPr>
        <w:pStyle w:val="Rejstk2"/>
        <w:tabs>
          <w:tab w:val="right" w:leader="dot" w:pos="4171"/>
        </w:tabs>
        <w:spacing w:line="240" w:lineRule="auto"/>
        <w:ind w:left="240"/>
      </w:pPr>
      <w:r w:rsidRPr="001F5DB8">
        <w:rPr>
          <w:i/>
        </w:rPr>
        <w:t>Anal. Post</w:t>
      </w:r>
      <w:r>
        <w:t>. 93b32</w:t>
      </w:r>
      <w:r>
        <w:tab/>
        <w:t>365, 677</w:t>
      </w:r>
    </w:p>
    <w:p w14:paraId="7A7D7FD5" w14:textId="77777777" w:rsidR="08BA72FD" w:rsidRDefault="08BA72FD" w:rsidP="08BA72FD">
      <w:pPr>
        <w:pStyle w:val="Rejstk2"/>
        <w:tabs>
          <w:tab w:val="right" w:leader="dot" w:pos="4171"/>
        </w:tabs>
        <w:spacing w:line="240" w:lineRule="auto"/>
        <w:ind w:left="240"/>
      </w:pPr>
      <w:r w:rsidRPr="001F5DB8">
        <w:rPr>
          <w:i/>
        </w:rPr>
        <w:t>Anal. Post</w:t>
      </w:r>
      <w:r>
        <w:t>. 96b2‒4</w:t>
      </w:r>
      <w:r>
        <w:tab/>
        <w:t>517</w:t>
      </w:r>
    </w:p>
    <w:p w14:paraId="3B9E1A58" w14:textId="77777777" w:rsidR="08BA72FD" w:rsidRDefault="08BA72FD" w:rsidP="08BA72FD">
      <w:pPr>
        <w:pStyle w:val="Rejstk2"/>
        <w:tabs>
          <w:tab w:val="right" w:leader="dot" w:pos="4171"/>
        </w:tabs>
        <w:spacing w:line="240" w:lineRule="auto"/>
        <w:ind w:left="240"/>
      </w:pPr>
      <w:r w:rsidRPr="001F5DB8">
        <w:rPr>
          <w:i/>
        </w:rPr>
        <w:t>Cat</w:t>
      </w:r>
      <w:r>
        <w:t>. 2a11</w:t>
      </w:r>
      <w:r>
        <w:tab/>
        <w:t>50, 364</w:t>
      </w:r>
    </w:p>
    <w:p w14:paraId="3B65877F" w14:textId="77777777" w:rsidR="08BA72FD" w:rsidRDefault="08BA72FD" w:rsidP="08BA72FD">
      <w:pPr>
        <w:pStyle w:val="Rejstk2"/>
        <w:tabs>
          <w:tab w:val="right" w:leader="dot" w:pos="4171"/>
        </w:tabs>
        <w:spacing w:line="240" w:lineRule="auto"/>
        <w:ind w:left="240"/>
      </w:pPr>
      <w:r w:rsidRPr="001F5DB8">
        <w:rPr>
          <w:i/>
        </w:rPr>
        <w:t>Cat</w:t>
      </w:r>
      <w:r>
        <w:t>. 2a11–16</w:t>
      </w:r>
      <w:r>
        <w:tab/>
        <w:t>96, 218, 275, 354, 406</w:t>
      </w:r>
    </w:p>
    <w:p w14:paraId="410BF1B2" w14:textId="77777777" w:rsidR="08BA72FD" w:rsidRDefault="08BA72FD" w:rsidP="08BA72FD">
      <w:pPr>
        <w:pStyle w:val="Rejstk2"/>
        <w:tabs>
          <w:tab w:val="right" w:leader="dot" w:pos="4171"/>
        </w:tabs>
        <w:spacing w:line="240" w:lineRule="auto"/>
        <w:ind w:left="240"/>
      </w:pPr>
      <w:r w:rsidRPr="001F5DB8">
        <w:rPr>
          <w:i/>
        </w:rPr>
        <w:t>Cat</w:t>
      </w:r>
      <w:r>
        <w:t>. 2a14–15</w:t>
      </w:r>
      <w:r>
        <w:tab/>
        <w:t>34, 35, 357</w:t>
      </w:r>
    </w:p>
    <w:p w14:paraId="02441C59" w14:textId="77777777" w:rsidR="08BA72FD" w:rsidRDefault="08BA72FD" w:rsidP="08BA72FD">
      <w:pPr>
        <w:pStyle w:val="Rejstk2"/>
        <w:tabs>
          <w:tab w:val="right" w:leader="dot" w:pos="4171"/>
        </w:tabs>
        <w:spacing w:line="240" w:lineRule="auto"/>
        <w:ind w:left="240"/>
      </w:pPr>
      <w:r w:rsidRPr="001F5DB8">
        <w:rPr>
          <w:i/>
        </w:rPr>
        <w:t>Cat</w:t>
      </w:r>
      <w:r>
        <w:t>. 2a14‒16</w:t>
      </w:r>
      <w:r>
        <w:tab/>
        <w:t>249, 515, 523</w:t>
      </w:r>
    </w:p>
    <w:p w14:paraId="0A003E47" w14:textId="77777777" w:rsidR="08BA72FD" w:rsidRDefault="08BA72FD" w:rsidP="08BA72FD">
      <w:pPr>
        <w:pStyle w:val="Rejstk2"/>
        <w:tabs>
          <w:tab w:val="right" w:leader="dot" w:pos="4171"/>
        </w:tabs>
        <w:spacing w:line="240" w:lineRule="auto"/>
        <w:ind w:left="240"/>
      </w:pPr>
      <w:r w:rsidRPr="001F5DB8">
        <w:rPr>
          <w:i/>
        </w:rPr>
        <w:t>Cat</w:t>
      </w:r>
      <w:r>
        <w:t>. 2a15‒16</w:t>
      </w:r>
      <w:r>
        <w:tab/>
        <w:t>251, 365</w:t>
      </w:r>
    </w:p>
    <w:p w14:paraId="4661E942" w14:textId="77777777" w:rsidR="08BA72FD" w:rsidRDefault="08BA72FD" w:rsidP="08BA72FD">
      <w:pPr>
        <w:pStyle w:val="Rejstk2"/>
        <w:tabs>
          <w:tab w:val="right" w:leader="dot" w:pos="4171"/>
        </w:tabs>
        <w:spacing w:line="240" w:lineRule="auto"/>
        <w:ind w:left="240"/>
      </w:pPr>
      <w:r w:rsidRPr="001F5DB8">
        <w:rPr>
          <w:i/>
        </w:rPr>
        <w:t xml:space="preserve">Cat. </w:t>
      </w:r>
      <w:r>
        <w:t>3b19</w:t>
      </w:r>
      <w:r>
        <w:tab/>
        <w:t>21</w:t>
      </w:r>
    </w:p>
    <w:p w14:paraId="353E740A" w14:textId="77777777" w:rsidR="08BA72FD" w:rsidRDefault="08BA72FD" w:rsidP="08BA72FD">
      <w:pPr>
        <w:pStyle w:val="Rejstk2"/>
        <w:tabs>
          <w:tab w:val="right" w:leader="dot" w:pos="4171"/>
        </w:tabs>
        <w:spacing w:line="240" w:lineRule="auto"/>
        <w:ind w:left="240"/>
      </w:pPr>
      <w:r w:rsidRPr="001F5DB8">
        <w:rPr>
          <w:i/>
        </w:rPr>
        <w:t>Cat</w:t>
      </w:r>
      <w:r>
        <w:t>. 6a36</w:t>
      </w:r>
      <w:r>
        <w:tab/>
        <w:t>55</w:t>
      </w:r>
    </w:p>
    <w:p w14:paraId="37F683D7" w14:textId="77777777" w:rsidR="08BA72FD" w:rsidRDefault="08BA72FD" w:rsidP="08BA72FD">
      <w:pPr>
        <w:pStyle w:val="Rejstk2"/>
        <w:tabs>
          <w:tab w:val="right" w:leader="dot" w:pos="4171"/>
        </w:tabs>
        <w:spacing w:line="240" w:lineRule="auto"/>
        <w:ind w:left="240"/>
      </w:pPr>
      <w:r w:rsidRPr="001F5DB8">
        <w:rPr>
          <w:i/>
        </w:rPr>
        <w:t>De anima</w:t>
      </w:r>
      <w:r>
        <w:t xml:space="preserve"> 413a4‒10</w:t>
      </w:r>
      <w:r>
        <w:tab/>
        <w:t>463</w:t>
      </w:r>
    </w:p>
    <w:p w14:paraId="072CB1A4" w14:textId="77777777" w:rsidR="08BA72FD" w:rsidRDefault="08BA72FD" w:rsidP="08BA72FD">
      <w:pPr>
        <w:pStyle w:val="Rejstk2"/>
        <w:tabs>
          <w:tab w:val="right" w:leader="dot" w:pos="4171"/>
        </w:tabs>
        <w:spacing w:line="240" w:lineRule="auto"/>
        <w:ind w:left="240"/>
      </w:pPr>
      <w:r w:rsidRPr="001F5DB8">
        <w:rPr>
          <w:i/>
        </w:rPr>
        <w:t>De anima</w:t>
      </w:r>
      <w:r>
        <w:t xml:space="preserve"> 413b23‒24</w:t>
      </w:r>
      <w:r>
        <w:tab/>
        <w:t>126</w:t>
      </w:r>
    </w:p>
    <w:p w14:paraId="58A78E95" w14:textId="77777777" w:rsidR="08BA72FD" w:rsidRDefault="08BA72FD" w:rsidP="08BA72FD">
      <w:pPr>
        <w:pStyle w:val="Rejstk2"/>
        <w:tabs>
          <w:tab w:val="right" w:leader="dot" w:pos="4171"/>
        </w:tabs>
        <w:spacing w:line="240" w:lineRule="auto"/>
        <w:ind w:left="240"/>
      </w:pPr>
      <w:r w:rsidRPr="001F5DB8">
        <w:rPr>
          <w:i/>
        </w:rPr>
        <w:t>De anima</w:t>
      </w:r>
      <w:r>
        <w:t xml:space="preserve"> 417b22‒25</w:t>
      </w:r>
      <w:r>
        <w:tab/>
        <w:t>294</w:t>
      </w:r>
    </w:p>
    <w:p w14:paraId="2F15D833" w14:textId="77777777" w:rsidR="08BA72FD" w:rsidRDefault="08BA72FD" w:rsidP="08BA72FD">
      <w:pPr>
        <w:pStyle w:val="Rejstk2"/>
        <w:tabs>
          <w:tab w:val="right" w:leader="dot" w:pos="4171"/>
        </w:tabs>
        <w:spacing w:line="240" w:lineRule="auto"/>
        <w:ind w:left="240"/>
      </w:pPr>
      <w:r w:rsidRPr="001F5DB8">
        <w:rPr>
          <w:i/>
        </w:rPr>
        <w:t>De anima</w:t>
      </w:r>
      <w:r>
        <w:t xml:space="preserve"> 429a17‒18</w:t>
      </w:r>
      <w:r>
        <w:tab/>
        <w:t>317</w:t>
      </w:r>
    </w:p>
    <w:p w14:paraId="7413EFD8" w14:textId="77777777" w:rsidR="08BA72FD" w:rsidRDefault="08BA72FD" w:rsidP="08BA72FD">
      <w:pPr>
        <w:pStyle w:val="Rejstk2"/>
        <w:tabs>
          <w:tab w:val="right" w:leader="dot" w:pos="4171"/>
        </w:tabs>
        <w:spacing w:line="240" w:lineRule="auto"/>
        <w:ind w:left="240"/>
      </w:pPr>
      <w:r w:rsidRPr="001F5DB8">
        <w:rPr>
          <w:i/>
        </w:rPr>
        <w:t>De anima</w:t>
      </w:r>
      <w:r>
        <w:t xml:space="preserve"> 430a14–15</w:t>
      </w:r>
      <w:r>
        <w:tab/>
        <w:t>118, 135, 267</w:t>
      </w:r>
    </w:p>
    <w:p w14:paraId="3BE53112" w14:textId="77777777" w:rsidR="08BA72FD" w:rsidRDefault="08BA72FD" w:rsidP="08BA72FD">
      <w:pPr>
        <w:pStyle w:val="Rejstk2"/>
        <w:tabs>
          <w:tab w:val="right" w:leader="dot" w:pos="4171"/>
        </w:tabs>
        <w:spacing w:line="240" w:lineRule="auto"/>
        <w:ind w:left="240"/>
      </w:pPr>
      <w:r w:rsidRPr="001F5DB8">
        <w:rPr>
          <w:i/>
        </w:rPr>
        <w:t>De anima</w:t>
      </w:r>
      <w:r>
        <w:t xml:space="preserve"> 430a20–25</w:t>
      </w:r>
      <w:r>
        <w:tab/>
        <w:t>128</w:t>
      </w:r>
    </w:p>
    <w:p w14:paraId="62986644" w14:textId="77777777" w:rsidR="08BA72FD" w:rsidRDefault="08BA72FD" w:rsidP="08BA72FD">
      <w:pPr>
        <w:pStyle w:val="Rejstk2"/>
        <w:tabs>
          <w:tab w:val="right" w:leader="dot" w:pos="4171"/>
        </w:tabs>
        <w:spacing w:line="240" w:lineRule="auto"/>
        <w:ind w:left="240"/>
      </w:pPr>
      <w:r w:rsidRPr="001F5DB8">
        <w:rPr>
          <w:i/>
        </w:rPr>
        <w:t>De anima</w:t>
      </w:r>
      <w:r>
        <w:t xml:space="preserve"> 430a21‒23</w:t>
      </w:r>
      <w:r>
        <w:tab/>
        <w:t>130, 135, 149, 169</w:t>
      </w:r>
    </w:p>
    <w:p w14:paraId="0B9819AB" w14:textId="77777777" w:rsidR="08BA72FD" w:rsidRDefault="08BA72FD" w:rsidP="08BA72FD">
      <w:pPr>
        <w:pStyle w:val="Rejstk2"/>
        <w:tabs>
          <w:tab w:val="right" w:leader="dot" w:pos="4171"/>
        </w:tabs>
        <w:spacing w:line="240" w:lineRule="auto"/>
        <w:ind w:left="240"/>
      </w:pPr>
      <w:r w:rsidRPr="001F5DB8">
        <w:rPr>
          <w:i/>
        </w:rPr>
        <w:t>De anima</w:t>
      </w:r>
      <w:r>
        <w:t xml:space="preserve"> 431b20‒21</w:t>
      </w:r>
      <w:r>
        <w:tab/>
        <w:t>134, 445, 606, 618</w:t>
      </w:r>
    </w:p>
    <w:p w14:paraId="651D7C3A" w14:textId="77777777" w:rsidR="08BA72FD" w:rsidRDefault="08BA72FD" w:rsidP="08BA72FD">
      <w:pPr>
        <w:pStyle w:val="Rejstk2"/>
        <w:tabs>
          <w:tab w:val="right" w:leader="dot" w:pos="4171"/>
        </w:tabs>
        <w:spacing w:line="240" w:lineRule="auto"/>
        <w:ind w:left="240"/>
      </w:pPr>
      <w:r w:rsidRPr="001F5DB8">
        <w:rPr>
          <w:i/>
        </w:rPr>
        <w:t>De anima</w:t>
      </w:r>
      <w:r>
        <w:t xml:space="preserve"> </w:t>
      </w:r>
      <w:r w:rsidRPr="001F5DB8">
        <w:t>431b21</w:t>
      </w:r>
      <w:r>
        <w:tab/>
        <w:t>116, 413, 435, 505</w:t>
      </w:r>
    </w:p>
    <w:p w14:paraId="3733A55F" w14:textId="77777777" w:rsidR="08BA72FD" w:rsidRDefault="08BA72FD" w:rsidP="08BA72FD">
      <w:pPr>
        <w:pStyle w:val="Rejstk2"/>
        <w:tabs>
          <w:tab w:val="right" w:leader="dot" w:pos="4171"/>
        </w:tabs>
        <w:spacing w:line="240" w:lineRule="auto"/>
        <w:ind w:left="240"/>
      </w:pPr>
      <w:r w:rsidRPr="001F5DB8">
        <w:rPr>
          <w:i/>
        </w:rPr>
        <w:t xml:space="preserve">De Int. </w:t>
      </w:r>
      <w:r>
        <w:t>16a3–8</w:t>
      </w:r>
      <w:r>
        <w:tab/>
        <w:t>324</w:t>
      </w:r>
    </w:p>
    <w:p w14:paraId="535C015B" w14:textId="77777777" w:rsidR="08BA72FD" w:rsidRDefault="08BA72FD" w:rsidP="08BA72FD">
      <w:pPr>
        <w:pStyle w:val="Rejstk2"/>
        <w:tabs>
          <w:tab w:val="right" w:leader="dot" w:pos="4171"/>
        </w:tabs>
        <w:spacing w:line="240" w:lineRule="auto"/>
        <w:ind w:left="240"/>
      </w:pPr>
      <w:r w:rsidRPr="001F5DB8">
        <w:rPr>
          <w:i/>
          <w:lang w:eastAsia="en-US"/>
        </w:rPr>
        <w:t xml:space="preserve">De intepretatione </w:t>
      </w:r>
      <w:r>
        <w:rPr>
          <w:lang w:eastAsia="en-US"/>
        </w:rPr>
        <w:t>16a3‒8</w:t>
      </w:r>
      <w:r>
        <w:tab/>
        <w:t>606</w:t>
      </w:r>
    </w:p>
    <w:p w14:paraId="0BACE3B7" w14:textId="77777777" w:rsidR="08BA72FD" w:rsidRDefault="08BA72FD" w:rsidP="08BA72FD">
      <w:pPr>
        <w:pStyle w:val="Rejstk2"/>
        <w:tabs>
          <w:tab w:val="right" w:leader="dot" w:pos="4171"/>
        </w:tabs>
        <w:spacing w:line="240" w:lineRule="auto"/>
        <w:ind w:left="240"/>
      </w:pPr>
      <w:r w:rsidRPr="001F5DB8">
        <w:rPr>
          <w:i/>
          <w:lang w:eastAsia="en-US"/>
        </w:rPr>
        <w:t xml:space="preserve">De interpretatione </w:t>
      </w:r>
      <w:r>
        <w:rPr>
          <w:lang w:eastAsia="en-US"/>
        </w:rPr>
        <w:t>16a3‒8</w:t>
      </w:r>
      <w:r>
        <w:tab/>
        <w:t>16, 17, 19</w:t>
      </w:r>
    </w:p>
    <w:p w14:paraId="02A8AD4A" w14:textId="77777777" w:rsidR="08BA72FD" w:rsidRDefault="08BA72FD" w:rsidP="08BA72FD">
      <w:pPr>
        <w:pStyle w:val="Rejstk2"/>
        <w:tabs>
          <w:tab w:val="right" w:leader="dot" w:pos="4171"/>
        </w:tabs>
        <w:spacing w:line="240" w:lineRule="auto"/>
        <w:ind w:left="240"/>
      </w:pPr>
      <w:r w:rsidRPr="001F5DB8">
        <w:rPr>
          <w:i/>
        </w:rPr>
        <w:t xml:space="preserve">De Interpretatione </w:t>
      </w:r>
      <w:r>
        <w:t>16a3–8</w:t>
      </w:r>
      <w:r>
        <w:tab/>
        <w:t>38, 40, 222</w:t>
      </w:r>
    </w:p>
    <w:p w14:paraId="1C0CA024" w14:textId="77777777" w:rsidR="08BA72FD" w:rsidRDefault="08BA72FD" w:rsidP="08BA72FD">
      <w:pPr>
        <w:pStyle w:val="Rejstk2"/>
        <w:tabs>
          <w:tab w:val="right" w:leader="dot" w:pos="4171"/>
        </w:tabs>
        <w:spacing w:line="240" w:lineRule="auto"/>
        <w:ind w:left="240"/>
      </w:pPr>
      <w:r w:rsidRPr="001F5DB8">
        <w:rPr>
          <w:i/>
        </w:rPr>
        <w:t>De interpretatione</w:t>
      </w:r>
      <w:r>
        <w:t xml:space="preserve"> 16a7</w:t>
      </w:r>
      <w:r>
        <w:tab/>
        <w:t>327</w:t>
      </w:r>
    </w:p>
    <w:p w14:paraId="2B6837A9" w14:textId="77777777" w:rsidR="08BA72FD" w:rsidRDefault="08BA72FD" w:rsidP="08BA72FD">
      <w:pPr>
        <w:pStyle w:val="Rejstk2"/>
        <w:tabs>
          <w:tab w:val="right" w:leader="dot" w:pos="4171"/>
        </w:tabs>
        <w:spacing w:line="240" w:lineRule="auto"/>
        <w:ind w:left="240"/>
      </w:pPr>
      <w:r w:rsidRPr="001F5DB8">
        <w:rPr>
          <w:i/>
          <w:lang w:eastAsia="en-US"/>
        </w:rPr>
        <w:t xml:space="preserve">De interpretatione </w:t>
      </w:r>
      <w:r>
        <w:rPr>
          <w:lang w:eastAsia="en-US"/>
        </w:rPr>
        <w:t>16a9</w:t>
      </w:r>
      <w:r>
        <w:tab/>
        <w:t>19</w:t>
      </w:r>
    </w:p>
    <w:p w14:paraId="582C09D0" w14:textId="77777777" w:rsidR="08BA72FD" w:rsidRDefault="08BA72FD" w:rsidP="08BA72FD">
      <w:pPr>
        <w:pStyle w:val="Rejstk2"/>
        <w:tabs>
          <w:tab w:val="right" w:leader="dot" w:pos="4171"/>
        </w:tabs>
        <w:spacing w:line="240" w:lineRule="auto"/>
        <w:ind w:left="240"/>
      </w:pPr>
      <w:r w:rsidRPr="001F5DB8">
        <w:rPr>
          <w:i/>
        </w:rPr>
        <w:t>De Interpretatione</w:t>
      </w:r>
      <w:r>
        <w:t xml:space="preserve"> 19a25–26</w:t>
      </w:r>
      <w:r>
        <w:tab/>
        <w:t>421</w:t>
      </w:r>
    </w:p>
    <w:p w14:paraId="2C814BFA" w14:textId="77777777" w:rsidR="08BA72FD" w:rsidRDefault="08BA72FD" w:rsidP="08BA72FD">
      <w:pPr>
        <w:pStyle w:val="Rejstk2"/>
        <w:tabs>
          <w:tab w:val="right" w:leader="dot" w:pos="4171"/>
        </w:tabs>
        <w:spacing w:line="240" w:lineRule="auto"/>
        <w:ind w:left="240"/>
      </w:pPr>
      <w:r w:rsidRPr="001F5DB8">
        <w:rPr>
          <w:i/>
        </w:rPr>
        <w:t>De Interpretatione</w:t>
      </w:r>
      <w:r>
        <w:t xml:space="preserve"> 19a26</w:t>
      </w:r>
      <w:r>
        <w:tab/>
        <w:t>422</w:t>
      </w:r>
    </w:p>
    <w:p w14:paraId="774C805F" w14:textId="77777777" w:rsidR="08BA72FD" w:rsidRDefault="08BA72FD" w:rsidP="08BA72FD">
      <w:pPr>
        <w:pStyle w:val="Rejstk2"/>
        <w:tabs>
          <w:tab w:val="right" w:leader="dot" w:pos="4171"/>
        </w:tabs>
        <w:spacing w:line="240" w:lineRule="auto"/>
        <w:ind w:left="240"/>
      </w:pPr>
      <w:r w:rsidRPr="001F5DB8">
        <w:rPr>
          <w:i/>
        </w:rPr>
        <w:t>De interpretiatione</w:t>
      </w:r>
      <w:r>
        <w:t xml:space="preserve"> </w:t>
      </w:r>
      <w:r>
        <w:rPr>
          <w:lang w:eastAsia="en-US"/>
        </w:rPr>
        <w:t>16a3‒8</w:t>
      </w:r>
      <w:r>
        <w:tab/>
        <w:t>33</w:t>
      </w:r>
    </w:p>
    <w:p w14:paraId="4CE5B273" w14:textId="77777777" w:rsidR="08BA72FD" w:rsidRDefault="08BA72FD" w:rsidP="08BA72FD">
      <w:pPr>
        <w:pStyle w:val="Rejstk2"/>
        <w:tabs>
          <w:tab w:val="right" w:leader="dot" w:pos="4171"/>
        </w:tabs>
        <w:spacing w:line="240" w:lineRule="auto"/>
        <w:ind w:left="240"/>
      </w:pPr>
      <w:r>
        <w:t>E.N. 1131a31‒32</w:t>
      </w:r>
      <w:r>
        <w:tab/>
        <w:t>557</w:t>
      </w:r>
    </w:p>
    <w:p w14:paraId="22FBBC06" w14:textId="77777777" w:rsidR="08BA72FD" w:rsidRDefault="08BA72FD" w:rsidP="08BA72FD">
      <w:pPr>
        <w:pStyle w:val="Rejstk2"/>
        <w:tabs>
          <w:tab w:val="right" w:leader="dot" w:pos="4171"/>
        </w:tabs>
        <w:spacing w:line="240" w:lineRule="auto"/>
        <w:ind w:left="240"/>
      </w:pPr>
      <w:r>
        <w:t>E.N. 1140b5</w:t>
      </w:r>
      <w:r>
        <w:tab/>
        <w:t>27</w:t>
      </w:r>
    </w:p>
    <w:p w14:paraId="2E68E848" w14:textId="77777777" w:rsidR="08BA72FD" w:rsidRDefault="08BA72FD" w:rsidP="08BA72FD">
      <w:pPr>
        <w:pStyle w:val="Rejstk2"/>
        <w:tabs>
          <w:tab w:val="right" w:leader="dot" w:pos="4171"/>
        </w:tabs>
        <w:spacing w:line="240" w:lineRule="auto"/>
        <w:ind w:left="240"/>
      </w:pPr>
      <w:r w:rsidRPr="001F5DB8">
        <w:rPr>
          <w:i/>
        </w:rPr>
        <w:t>Met</w:t>
      </w:r>
      <w:r>
        <w:t>. 1003b14</w:t>
      </w:r>
      <w:r>
        <w:tab/>
        <w:t>407</w:t>
      </w:r>
    </w:p>
    <w:p w14:paraId="09A3CB2E" w14:textId="77777777" w:rsidR="08BA72FD" w:rsidRDefault="08BA72FD" w:rsidP="08BA72FD">
      <w:pPr>
        <w:pStyle w:val="Rejstk2"/>
        <w:tabs>
          <w:tab w:val="right" w:leader="dot" w:pos="4171"/>
        </w:tabs>
        <w:spacing w:line="240" w:lineRule="auto"/>
        <w:ind w:left="240"/>
      </w:pPr>
      <w:r w:rsidRPr="001F5DB8">
        <w:rPr>
          <w:i/>
        </w:rPr>
        <w:t>Met</w:t>
      </w:r>
      <w:r>
        <w:t>. 1003b5‒16</w:t>
      </w:r>
      <w:r>
        <w:tab/>
        <w:t>406</w:t>
      </w:r>
    </w:p>
    <w:p w14:paraId="6BB65FF3" w14:textId="77777777" w:rsidR="08BA72FD" w:rsidRDefault="08BA72FD" w:rsidP="08BA72FD">
      <w:pPr>
        <w:pStyle w:val="Rejstk2"/>
        <w:tabs>
          <w:tab w:val="right" w:leader="dot" w:pos="4171"/>
        </w:tabs>
        <w:spacing w:line="240" w:lineRule="auto"/>
        <w:ind w:left="240"/>
      </w:pPr>
      <w:r w:rsidRPr="001F5DB8">
        <w:rPr>
          <w:i/>
        </w:rPr>
        <w:t>Met</w:t>
      </w:r>
      <w:r>
        <w:t>. 1003b9</w:t>
      </w:r>
      <w:r>
        <w:tab/>
        <w:t>407</w:t>
      </w:r>
    </w:p>
    <w:p w14:paraId="4E8BEEFA" w14:textId="77777777" w:rsidR="08BA72FD" w:rsidRDefault="08BA72FD" w:rsidP="08BA72FD">
      <w:pPr>
        <w:pStyle w:val="Rejstk2"/>
        <w:tabs>
          <w:tab w:val="right" w:leader="dot" w:pos="4171"/>
        </w:tabs>
        <w:spacing w:line="240" w:lineRule="auto"/>
        <w:ind w:left="240"/>
      </w:pPr>
      <w:r w:rsidRPr="001F5DB8">
        <w:rPr>
          <w:i/>
        </w:rPr>
        <w:t>Met</w:t>
      </w:r>
      <w:r>
        <w:t>. 1006a6</w:t>
      </w:r>
      <w:r>
        <w:tab/>
        <w:t>5, 154, 288, 517</w:t>
      </w:r>
    </w:p>
    <w:p w14:paraId="695BD6D7" w14:textId="77777777" w:rsidR="08BA72FD" w:rsidRDefault="08BA72FD" w:rsidP="08BA72FD">
      <w:pPr>
        <w:pStyle w:val="Rejstk2"/>
        <w:tabs>
          <w:tab w:val="right" w:leader="dot" w:pos="4171"/>
        </w:tabs>
        <w:spacing w:line="240" w:lineRule="auto"/>
        <w:ind w:left="240"/>
      </w:pPr>
      <w:r>
        <w:t>Met</w:t>
      </w:r>
      <w:r w:rsidRPr="001F5DB8">
        <w:rPr>
          <w:i/>
        </w:rPr>
        <w:t>.</w:t>
      </w:r>
      <w:r>
        <w:t xml:space="preserve"> 1011b26‒29</w:t>
      </w:r>
      <w:r>
        <w:tab/>
        <w:t>42, 417, 419</w:t>
      </w:r>
    </w:p>
    <w:p w14:paraId="034DF723" w14:textId="77777777" w:rsidR="08BA72FD" w:rsidRDefault="08BA72FD" w:rsidP="08BA72FD">
      <w:pPr>
        <w:pStyle w:val="Rejstk2"/>
        <w:tabs>
          <w:tab w:val="right" w:leader="dot" w:pos="4171"/>
        </w:tabs>
        <w:spacing w:line="240" w:lineRule="auto"/>
        <w:ind w:left="240"/>
      </w:pPr>
      <w:r w:rsidRPr="001F5DB8">
        <w:rPr>
          <w:i/>
          <w:lang w:eastAsia="en-US"/>
        </w:rPr>
        <w:t>Met</w:t>
      </w:r>
      <w:r>
        <w:rPr>
          <w:lang w:eastAsia="en-US"/>
        </w:rPr>
        <w:t>. 1026a33–b2</w:t>
      </w:r>
      <w:r>
        <w:tab/>
        <w:t>24, 419</w:t>
      </w:r>
    </w:p>
    <w:p w14:paraId="610EA4F2" w14:textId="77777777" w:rsidR="08BA72FD" w:rsidRDefault="08BA72FD" w:rsidP="08BA72FD">
      <w:pPr>
        <w:pStyle w:val="Rejstk2"/>
        <w:tabs>
          <w:tab w:val="right" w:leader="dot" w:pos="4171"/>
        </w:tabs>
        <w:spacing w:line="240" w:lineRule="auto"/>
        <w:ind w:left="240"/>
      </w:pPr>
      <w:r w:rsidRPr="001F5DB8">
        <w:rPr>
          <w:i/>
        </w:rPr>
        <w:t>Met</w:t>
      </w:r>
      <w:r>
        <w:t>. 1029a20</w:t>
      </w:r>
      <w:r>
        <w:tab/>
        <w:t>459</w:t>
      </w:r>
    </w:p>
    <w:p w14:paraId="09DAD0B4" w14:textId="77777777" w:rsidR="08BA72FD" w:rsidRDefault="08BA72FD" w:rsidP="08BA72FD">
      <w:pPr>
        <w:pStyle w:val="Rejstk2"/>
        <w:tabs>
          <w:tab w:val="right" w:leader="dot" w:pos="4171"/>
        </w:tabs>
        <w:spacing w:line="240" w:lineRule="auto"/>
        <w:ind w:left="240"/>
      </w:pPr>
      <w:r w:rsidRPr="001F5DB8">
        <w:rPr>
          <w:i/>
        </w:rPr>
        <w:t>Met</w:t>
      </w:r>
      <w:r>
        <w:t>. 1029a20‒21</w:t>
      </w:r>
      <w:r>
        <w:tab/>
        <w:t>459</w:t>
      </w:r>
    </w:p>
    <w:p w14:paraId="2A854C61" w14:textId="77777777" w:rsidR="08BA72FD" w:rsidRDefault="08BA72FD" w:rsidP="08BA72FD">
      <w:pPr>
        <w:pStyle w:val="Rejstk2"/>
        <w:tabs>
          <w:tab w:val="right" w:leader="dot" w:pos="4171"/>
        </w:tabs>
        <w:spacing w:line="240" w:lineRule="auto"/>
        <w:ind w:left="240"/>
      </w:pPr>
      <w:r w:rsidRPr="001F5DB8">
        <w:rPr>
          <w:i/>
        </w:rPr>
        <w:t>Met</w:t>
      </w:r>
      <w:r>
        <w:t>. 1049b20‒25</w:t>
      </w:r>
      <w:r>
        <w:tab/>
        <w:t>501</w:t>
      </w:r>
    </w:p>
    <w:p w14:paraId="56CFE78C" w14:textId="77777777" w:rsidR="08BA72FD" w:rsidRDefault="08BA72FD" w:rsidP="08BA72FD">
      <w:pPr>
        <w:pStyle w:val="Rejstk2"/>
        <w:tabs>
          <w:tab w:val="right" w:leader="dot" w:pos="4171"/>
        </w:tabs>
        <w:spacing w:line="240" w:lineRule="auto"/>
        <w:ind w:left="240"/>
      </w:pPr>
      <w:r w:rsidRPr="001F5DB8">
        <w:rPr>
          <w:i/>
        </w:rPr>
        <w:t>Met</w:t>
      </w:r>
      <w:r>
        <w:t>. 1072a26</w:t>
      </w:r>
      <w:r>
        <w:tab/>
        <w:t>467</w:t>
      </w:r>
    </w:p>
    <w:p w14:paraId="00F2DC8D" w14:textId="77777777" w:rsidR="08BA72FD" w:rsidRDefault="08BA72FD" w:rsidP="08BA72FD">
      <w:pPr>
        <w:pStyle w:val="Rejstk2"/>
        <w:tabs>
          <w:tab w:val="right" w:leader="dot" w:pos="4171"/>
        </w:tabs>
        <w:spacing w:line="240" w:lineRule="auto"/>
        <w:ind w:left="240"/>
      </w:pPr>
      <w:r w:rsidRPr="001F5DB8">
        <w:rPr>
          <w:i/>
        </w:rPr>
        <w:t>Met</w:t>
      </w:r>
      <w:r>
        <w:t>. 1088a34</w:t>
      </w:r>
      <w:r>
        <w:tab/>
        <w:t>55</w:t>
      </w:r>
    </w:p>
    <w:p w14:paraId="0003B5EA" w14:textId="77777777" w:rsidR="08BA72FD" w:rsidRDefault="08BA72FD" w:rsidP="08BA72FD">
      <w:pPr>
        <w:pStyle w:val="Rejstk2"/>
        <w:tabs>
          <w:tab w:val="right" w:leader="dot" w:pos="4171"/>
        </w:tabs>
        <w:spacing w:line="240" w:lineRule="auto"/>
        <w:ind w:left="240"/>
      </w:pPr>
      <w:r w:rsidRPr="001F5DB8">
        <w:rPr>
          <w:i/>
        </w:rPr>
        <w:t>Met</w:t>
      </w:r>
      <w:r>
        <w:t>. 992b12‒15</w:t>
      </w:r>
      <w:r>
        <w:tab/>
        <w:t>663</w:t>
      </w:r>
    </w:p>
    <w:p w14:paraId="29667753" w14:textId="77777777" w:rsidR="08BA72FD" w:rsidRDefault="08BA72FD" w:rsidP="08BA72FD">
      <w:pPr>
        <w:pStyle w:val="Rejstk2"/>
        <w:tabs>
          <w:tab w:val="right" w:leader="dot" w:pos="4171"/>
        </w:tabs>
        <w:spacing w:line="240" w:lineRule="auto"/>
        <w:ind w:left="240"/>
      </w:pPr>
      <w:r w:rsidRPr="001F5DB8">
        <w:rPr>
          <w:i/>
        </w:rPr>
        <w:t>Met</w:t>
      </w:r>
      <w:r>
        <w:t>. 996a27‒28</w:t>
      </w:r>
      <w:r>
        <w:tab/>
        <w:t>697</w:t>
      </w:r>
    </w:p>
    <w:p w14:paraId="5AFC7BA9" w14:textId="77777777" w:rsidR="08BA72FD" w:rsidRDefault="08BA72FD" w:rsidP="08BA72FD">
      <w:pPr>
        <w:pStyle w:val="Rejstk2"/>
        <w:tabs>
          <w:tab w:val="right" w:leader="dot" w:pos="4171"/>
        </w:tabs>
        <w:spacing w:line="240" w:lineRule="auto"/>
        <w:ind w:left="240"/>
      </w:pPr>
      <w:r w:rsidRPr="001F5DB8">
        <w:rPr>
          <w:i/>
        </w:rPr>
        <w:t>Met</w:t>
      </w:r>
      <w:r>
        <w:t>. 996a28</w:t>
      </w:r>
      <w:r>
        <w:tab/>
        <w:t>667</w:t>
      </w:r>
    </w:p>
    <w:p w14:paraId="2320E168" w14:textId="77777777" w:rsidR="08BA72FD" w:rsidRDefault="08BA72FD" w:rsidP="08BA72FD">
      <w:pPr>
        <w:pStyle w:val="Rejstk2"/>
        <w:tabs>
          <w:tab w:val="right" w:leader="dot" w:pos="4171"/>
        </w:tabs>
        <w:spacing w:line="240" w:lineRule="auto"/>
        <w:ind w:left="240"/>
      </w:pPr>
      <w:r w:rsidRPr="001F5DB8">
        <w:rPr>
          <w:i/>
        </w:rPr>
        <w:t>Phys</w:t>
      </w:r>
      <w:r>
        <w:t>. 193a3</w:t>
      </w:r>
      <w:r>
        <w:tab/>
        <w:t>7</w:t>
      </w:r>
    </w:p>
    <w:p w14:paraId="3F74128C" w14:textId="77777777" w:rsidR="08BA72FD" w:rsidRDefault="08BA72FD" w:rsidP="08BA72FD"/>
    <w:p w14:paraId="62F84E70" w14:textId="77777777" w:rsidR="08BA72FD" w:rsidRPr="083F5D10" w:rsidRDefault="08BA72FD" w:rsidP="08BA72FD">
      <w:pPr>
        <w:pStyle w:val="Rejstk1"/>
        <w:tabs>
          <w:tab w:val="right" w:leader="dot" w:pos="4171"/>
        </w:tabs>
        <w:spacing w:line="240" w:lineRule="auto"/>
        <w:rPr>
          <w:b/>
        </w:rPr>
      </w:pPr>
      <w:r w:rsidRPr="083F5D10">
        <w:rPr>
          <w:b/>
        </w:rPr>
        <w:t>Augustinus</w:t>
      </w:r>
    </w:p>
    <w:p w14:paraId="6AE606C3" w14:textId="77777777" w:rsidR="08BA72FD" w:rsidRDefault="08BA72FD" w:rsidP="08BA72FD">
      <w:pPr>
        <w:pStyle w:val="Rejstk2"/>
        <w:tabs>
          <w:tab w:val="right" w:leader="dot" w:pos="4171"/>
        </w:tabs>
        <w:spacing w:line="240" w:lineRule="auto"/>
        <w:ind w:left="240"/>
      </w:pPr>
      <w:r w:rsidRPr="001F5DB8">
        <w:rPr>
          <w:i/>
        </w:rPr>
        <w:t>In Ev. Joh</w:t>
      </w:r>
      <w:r>
        <w:t>. PL 35, 1658D</w:t>
      </w:r>
      <w:r>
        <w:tab/>
        <w:t>74</w:t>
      </w:r>
    </w:p>
    <w:p w14:paraId="159E4C25" w14:textId="77777777" w:rsidR="08BA72FD" w:rsidRDefault="08BA72FD" w:rsidP="08BA72FD">
      <w:pPr>
        <w:pStyle w:val="Rejstk2"/>
        <w:tabs>
          <w:tab w:val="right" w:leader="dot" w:pos="4171"/>
        </w:tabs>
        <w:spacing w:line="240" w:lineRule="auto"/>
        <w:ind w:left="240"/>
      </w:pPr>
      <w:r w:rsidRPr="001F5DB8">
        <w:rPr>
          <w:i/>
        </w:rPr>
        <w:t xml:space="preserve">Enchiridion ad Laurentium </w:t>
      </w:r>
      <w:r>
        <w:t>CCSL</w:t>
      </w:r>
      <w:r w:rsidRPr="001F5DB8">
        <w:rPr>
          <w:i/>
        </w:rPr>
        <w:t xml:space="preserve"> </w:t>
      </w:r>
      <w:r>
        <w:t>46</w:t>
      </w:r>
      <w:r w:rsidRPr="001F5DB8">
        <w:rPr>
          <w:i/>
        </w:rPr>
        <w:t>.</w:t>
      </w:r>
      <w:r>
        <w:t>108.1‒14</w:t>
      </w:r>
      <w:r>
        <w:tab/>
        <w:t>103</w:t>
      </w:r>
    </w:p>
    <w:p w14:paraId="0E012B75" w14:textId="77777777" w:rsidR="00060B2E" w:rsidRDefault="08BA72FD" w:rsidP="00060B2E">
      <w:pPr>
        <w:pStyle w:val="Rejstk2"/>
        <w:tabs>
          <w:tab w:val="right" w:leader="dot" w:pos="4171"/>
        </w:tabs>
        <w:spacing w:line="240" w:lineRule="auto"/>
        <w:ind w:left="240"/>
      </w:pPr>
      <w:r w:rsidRPr="001F5DB8">
        <w:rPr>
          <w:i/>
        </w:rPr>
        <w:t>Sermo</w:t>
      </w:r>
      <w:r>
        <w:t xml:space="preserve"> 293 PL 38, 1328D‒1329A</w:t>
      </w:r>
      <w:r>
        <w:tab/>
        <w:t>418</w:t>
      </w:r>
    </w:p>
    <w:p w14:paraId="3E3F8CFD" w14:textId="77777777" w:rsidR="009B5507" w:rsidRDefault="00060B2E" w:rsidP="009B5507">
      <w:pPr>
        <w:pStyle w:val="Rejstk2"/>
        <w:tabs>
          <w:tab w:val="right" w:leader="dot" w:pos="4171"/>
        </w:tabs>
        <w:spacing w:line="240" w:lineRule="auto"/>
        <w:ind w:left="240"/>
      </w:pPr>
      <w:r w:rsidRPr="000C4D03">
        <w:rPr>
          <w:i/>
        </w:rPr>
        <w:t>De libero arbitrio</w:t>
      </w:r>
      <w:r>
        <w:t xml:space="preserve"> </w:t>
      </w:r>
      <w:r w:rsidRPr="00DD5DD9">
        <w:rPr>
          <w:i/>
        </w:rPr>
        <w:t>voluntatis</w:t>
      </w:r>
      <w:r>
        <w:t xml:space="preserve"> </w:t>
      </w:r>
      <w:r>
        <w:rPr>
          <w:szCs w:val="24"/>
        </w:rPr>
        <w:t>2.10.29</w:t>
      </w:r>
      <w:r>
        <w:tab/>
        <w:t>445</w:t>
      </w:r>
    </w:p>
    <w:p w14:paraId="0B3711B1" w14:textId="371E5EB8" w:rsidR="009B5507" w:rsidRPr="009B5507" w:rsidRDefault="009B5507" w:rsidP="009B5507">
      <w:pPr>
        <w:pStyle w:val="Rejstk2"/>
        <w:tabs>
          <w:tab w:val="right" w:leader="dot" w:pos="4171"/>
        </w:tabs>
        <w:spacing w:line="240" w:lineRule="auto"/>
        <w:ind w:left="240"/>
      </w:pPr>
      <w:r w:rsidRPr="000C4D03">
        <w:rPr>
          <w:i/>
        </w:rPr>
        <w:t>De libero arbitrio</w:t>
      </w:r>
      <w:r>
        <w:t xml:space="preserve"> </w:t>
      </w:r>
      <w:r w:rsidRPr="00DD5DD9">
        <w:rPr>
          <w:i/>
        </w:rPr>
        <w:t>voluntatis</w:t>
      </w:r>
      <w:r>
        <w:t xml:space="preserve"> </w:t>
      </w:r>
      <w:r>
        <w:rPr>
          <w:szCs w:val="24"/>
        </w:rPr>
        <w:t>8.21</w:t>
      </w:r>
      <w:r>
        <w:tab/>
        <w:t>446</w:t>
      </w:r>
    </w:p>
    <w:p w14:paraId="34BD14C3" w14:textId="77777777" w:rsidR="08BA72FD" w:rsidRPr="08781F0E" w:rsidRDefault="08BA72FD" w:rsidP="08BA72FD"/>
    <w:p w14:paraId="54D25E2C" w14:textId="77777777" w:rsidR="08BA72FD" w:rsidRPr="08795F04" w:rsidRDefault="08BA72FD" w:rsidP="08BA72FD">
      <w:pPr>
        <w:pStyle w:val="Rejstk1"/>
        <w:tabs>
          <w:tab w:val="right" w:leader="dot" w:pos="4171"/>
        </w:tabs>
        <w:spacing w:line="240" w:lineRule="auto"/>
        <w:rPr>
          <w:b/>
        </w:rPr>
      </w:pPr>
      <w:r w:rsidRPr="08795F04">
        <w:rPr>
          <w:b/>
        </w:rPr>
        <w:t>Averroes</w:t>
      </w:r>
    </w:p>
    <w:p w14:paraId="257395F4" w14:textId="77777777" w:rsidR="08BA72FD" w:rsidRDefault="08BA72FD" w:rsidP="08BA72FD">
      <w:pPr>
        <w:pStyle w:val="Rejstk2"/>
        <w:tabs>
          <w:tab w:val="right" w:leader="dot" w:pos="4171"/>
        </w:tabs>
        <w:spacing w:line="240" w:lineRule="auto"/>
        <w:ind w:left="240"/>
      </w:pPr>
      <w:r w:rsidRPr="001F5DB8">
        <w:rPr>
          <w:i/>
        </w:rPr>
        <w:t>Averroes On Aristotle’s Metaphysics</w:t>
      </w:r>
      <w:r>
        <w:t xml:space="preserve"> 93.330</w:t>
      </w:r>
      <w:r>
        <w:tab/>
        <w:t>16</w:t>
      </w:r>
    </w:p>
    <w:p w14:paraId="5E4C6E8E" w14:textId="77777777" w:rsidR="08BA72FD" w:rsidRDefault="08BA72FD" w:rsidP="08BA72FD">
      <w:pPr>
        <w:pStyle w:val="Rejstk2"/>
        <w:tabs>
          <w:tab w:val="right" w:leader="dot" w:pos="4171"/>
        </w:tabs>
        <w:spacing w:line="240" w:lineRule="auto"/>
        <w:ind w:left="240"/>
      </w:pPr>
      <w:r>
        <w:t>CMDA 1.92</w:t>
      </w:r>
      <w:r>
        <w:tab/>
        <w:t>461, 465</w:t>
      </w:r>
    </w:p>
    <w:p w14:paraId="353A3147" w14:textId="77777777" w:rsidR="08BA72FD" w:rsidRDefault="08BA72FD" w:rsidP="08BA72FD">
      <w:pPr>
        <w:pStyle w:val="Rejstk2"/>
        <w:tabs>
          <w:tab w:val="right" w:leader="dot" w:pos="4171"/>
        </w:tabs>
        <w:spacing w:line="240" w:lineRule="auto"/>
        <w:ind w:left="240"/>
      </w:pPr>
      <w:r>
        <w:t>CMDA 12.21‒24</w:t>
      </w:r>
      <w:r>
        <w:tab/>
        <w:t>582</w:t>
      </w:r>
    </w:p>
    <w:p w14:paraId="148135A8" w14:textId="77777777" w:rsidR="08BA72FD" w:rsidRDefault="08BA72FD" w:rsidP="08BA72FD">
      <w:pPr>
        <w:pStyle w:val="Rejstk2"/>
        <w:tabs>
          <w:tab w:val="right" w:leader="dot" w:pos="4171"/>
        </w:tabs>
        <w:spacing w:line="240" w:lineRule="auto"/>
        <w:ind w:left="240"/>
      </w:pPr>
      <w:r>
        <w:t>CMDA 220.15‒24</w:t>
      </w:r>
      <w:r>
        <w:tab/>
        <w:t>295</w:t>
      </w:r>
    </w:p>
    <w:p w14:paraId="3BF41EBC" w14:textId="77777777" w:rsidR="08BA72FD" w:rsidRDefault="08BA72FD" w:rsidP="08BA72FD">
      <w:pPr>
        <w:pStyle w:val="Rejstk2"/>
        <w:tabs>
          <w:tab w:val="right" w:leader="dot" w:pos="4171"/>
        </w:tabs>
        <w:spacing w:line="240" w:lineRule="auto"/>
        <w:ind w:left="240"/>
      </w:pPr>
      <w:r>
        <w:t>CMDA 3.5‒6</w:t>
      </w:r>
      <w:r>
        <w:tab/>
        <w:t>467</w:t>
      </w:r>
    </w:p>
    <w:p w14:paraId="1F4BEEB0" w14:textId="77777777" w:rsidR="08BA72FD" w:rsidRDefault="08BA72FD" w:rsidP="08BA72FD">
      <w:pPr>
        <w:pStyle w:val="Rejstk2"/>
        <w:tabs>
          <w:tab w:val="right" w:leader="dot" w:pos="4171"/>
        </w:tabs>
        <w:spacing w:line="240" w:lineRule="auto"/>
        <w:ind w:left="240"/>
      </w:pPr>
      <w:r>
        <w:t>CMDA 317.35</w:t>
      </w:r>
      <w:r>
        <w:tab/>
        <w:t>130</w:t>
      </w:r>
    </w:p>
    <w:p w14:paraId="3F1087FD" w14:textId="77777777" w:rsidR="08BA72FD" w:rsidRDefault="08BA72FD" w:rsidP="08BA72FD">
      <w:pPr>
        <w:pStyle w:val="Rejstk2"/>
        <w:tabs>
          <w:tab w:val="right" w:leader="dot" w:pos="4171"/>
        </w:tabs>
        <w:spacing w:line="240" w:lineRule="auto"/>
        <w:ind w:left="240"/>
      </w:pPr>
      <w:r>
        <w:t>CMDA 402.431</w:t>
      </w:r>
      <w:r>
        <w:tab/>
        <w:t>287</w:t>
      </w:r>
    </w:p>
    <w:p w14:paraId="783DDBA2" w14:textId="77777777" w:rsidR="08BA72FD" w:rsidRDefault="08BA72FD" w:rsidP="08BA72FD">
      <w:pPr>
        <w:pStyle w:val="Rejstk2"/>
        <w:tabs>
          <w:tab w:val="right" w:leader="dot" w:pos="4171"/>
        </w:tabs>
        <w:spacing w:line="240" w:lineRule="auto"/>
        <w:ind w:left="240"/>
      </w:pPr>
      <w:r>
        <w:t>CMDA 417.104</w:t>
      </w:r>
      <w:r>
        <w:tab/>
        <w:t>128</w:t>
      </w:r>
    </w:p>
    <w:p w14:paraId="781FD72D" w14:textId="77777777" w:rsidR="08BA72FD" w:rsidRDefault="08BA72FD" w:rsidP="08BA72FD">
      <w:pPr>
        <w:pStyle w:val="Rejstk2"/>
        <w:tabs>
          <w:tab w:val="right" w:leader="dot" w:pos="4171"/>
        </w:tabs>
        <w:spacing w:line="240" w:lineRule="auto"/>
        <w:ind w:left="240"/>
      </w:pPr>
      <w:r>
        <w:t>CMDA 438.22‒24</w:t>
      </w:r>
      <w:r>
        <w:tab/>
        <w:t>267</w:t>
      </w:r>
    </w:p>
    <w:p w14:paraId="788EC6F7" w14:textId="77777777" w:rsidR="08BA72FD" w:rsidRDefault="08BA72FD" w:rsidP="08BA72FD">
      <w:pPr>
        <w:pStyle w:val="Rejstk2"/>
        <w:tabs>
          <w:tab w:val="right" w:leader="dot" w:pos="4171"/>
        </w:tabs>
        <w:spacing w:line="240" w:lineRule="auto"/>
        <w:ind w:left="240"/>
      </w:pPr>
      <w:r>
        <w:t>CMDA 467.43‒47</w:t>
      </w:r>
      <w:r>
        <w:tab/>
        <w:t>578</w:t>
      </w:r>
    </w:p>
    <w:p w14:paraId="1873E80C" w14:textId="77777777" w:rsidR="08BA72FD" w:rsidRDefault="08BA72FD" w:rsidP="08BA72FD">
      <w:pPr>
        <w:pStyle w:val="Rejstk2"/>
        <w:tabs>
          <w:tab w:val="right" w:leader="dot" w:pos="4171"/>
        </w:tabs>
        <w:spacing w:line="240" w:lineRule="auto"/>
        <w:ind w:left="240"/>
      </w:pPr>
      <w:r w:rsidRPr="001F5DB8">
        <w:rPr>
          <w:i/>
        </w:rPr>
        <w:t>De substantia orbis</w:t>
      </w:r>
      <w:r>
        <w:t xml:space="preserve"> 60.95‒61.101</w:t>
      </w:r>
      <w:r>
        <w:tab/>
        <w:t>464</w:t>
      </w:r>
    </w:p>
    <w:p w14:paraId="3199C0A5" w14:textId="77777777" w:rsidR="08BA72FD" w:rsidRDefault="08BA72FD" w:rsidP="08BA72FD">
      <w:pPr>
        <w:pStyle w:val="Rejstk2"/>
        <w:tabs>
          <w:tab w:val="right" w:leader="dot" w:pos="4171"/>
        </w:tabs>
        <w:spacing w:line="240" w:lineRule="auto"/>
        <w:ind w:left="240"/>
      </w:pPr>
      <w:r w:rsidRPr="001F5DB8">
        <w:rPr>
          <w:i/>
        </w:rPr>
        <w:t>In Librum IV Metaphysicorum</w:t>
      </w:r>
      <w:r>
        <w:t xml:space="preserve"> fol. 65-i</w:t>
      </w:r>
      <w:r>
        <w:tab/>
        <w:t>406</w:t>
      </w:r>
    </w:p>
    <w:p w14:paraId="72803AD4" w14:textId="77777777" w:rsidR="08BA72FD" w:rsidRDefault="08BA72FD" w:rsidP="08BA72FD">
      <w:pPr>
        <w:pStyle w:val="Rejstk2"/>
        <w:tabs>
          <w:tab w:val="right" w:leader="dot" w:pos="4171"/>
        </w:tabs>
        <w:spacing w:line="240" w:lineRule="auto"/>
        <w:ind w:left="240"/>
      </w:pPr>
      <w:r w:rsidRPr="001F5DB8">
        <w:rPr>
          <w:i/>
        </w:rPr>
        <w:t>In Metaph.</w:t>
      </w:r>
      <w:r>
        <w:t xml:space="preserve"> 41D</w:t>
      </w:r>
      <w:r>
        <w:tab/>
        <w:t>667</w:t>
      </w:r>
    </w:p>
    <w:p w14:paraId="3C5DBC65" w14:textId="77777777" w:rsidR="08BA72FD" w:rsidRDefault="08BA72FD" w:rsidP="08BA72FD"/>
    <w:p w14:paraId="73113F63" w14:textId="77777777" w:rsidR="08BA72FD" w:rsidRPr="08E94717" w:rsidRDefault="08BA72FD" w:rsidP="08BA72FD">
      <w:pPr>
        <w:pStyle w:val="Rejstk2"/>
        <w:tabs>
          <w:tab w:val="right" w:leader="dot" w:pos="4171"/>
        </w:tabs>
        <w:spacing w:line="240" w:lineRule="auto"/>
        <w:ind w:left="240"/>
        <w:rPr>
          <w:b/>
        </w:rPr>
      </w:pPr>
      <w:r w:rsidRPr="08E94717">
        <w:rPr>
          <w:b/>
        </w:rPr>
        <w:t>Avicebron</w:t>
      </w:r>
    </w:p>
    <w:p w14:paraId="77B9AADA" w14:textId="77777777" w:rsidR="08BA72FD" w:rsidRDefault="08BA72FD" w:rsidP="08BA72FD">
      <w:pPr>
        <w:pStyle w:val="Rejstk2"/>
        <w:tabs>
          <w:tab w:val="right" w:leader="dot" w:pos="4171"/>
        </w:tabs>
        <w:spacing w:line="240" w:lineRule="auto"/>
        <w:ind w:left="240"/>
      </w:pPr>
      <w:r w:rsidRPr="001F5DB8">
        <w:rPr>
          <w:i/>
        </w:rPr>
        <w:t>Avencebrolis Fons Vitae</w:t>
      </w:r>
      <w:r>
        <w:t xml:space="preserve"> 38.13‒19</w:t>
      </w:r>
      <w:r>
        <w:tab/>
        <w:t>457</w:t>
      </w:r>
    </w:p>
    <w:p w14:paraId="28DC70FF" w14:textId="77777777" w:rsidR="08BA72FD" w:rsidRPr="08781F0E" w:rsidRDefault="08BA72FD" w:rsidP="08BA72FD">
      <w:pPr>
        <w:pStyle w:val="Rejstk2"/>
        <w:tabs>
          <w:tab w:val="right" w:leader="dot" w:pos="4171"/>
        </w:tabs>
        <w:spacing w:line="240" w:lineRule="auto"/>
        <w:ind w:left="240"/>
      </w:pPr>
      <w:r w:rsidRPr="001F5DB8">
        <w:rPr>
          <w:i/>
        </w:rPr>
        <w:t>Avencebrolis Fons Vitae</w:t>
      </w:r>
      <w:r>
        <w:t xml:space="preserve"> 38.9‒13</w:t>
      </w:r>
      <w:r>
        <w:tab/>
        <w:t>455</w:t>
      </w:r>
    </w:p>
    <w:p w14:paraId="2BE7AD98" w14:textId="77777777" w:rsidR="08BA72FD" w:rsidRDefault="08BA72FD" w:rsidP="08BA72FD"/>
    <w:p w14:paraId="71FB7A94" w14:textId="77777777" w:rsidR="08BA72FD" w:rsidRPr="08ED2739" w:rsidRDefault="08BA72FD" w:rsidP="08BA72FD">
      <w:pPr>
        <w:pStyle w:val="Rejstk1"/>
        <w:tabs>
          <w:tab w:val="right" w:leader="dot" w:pos="4171"/>
        </w:tabs>
        <w:spacing w:line="240" w:lineRule="auto"/>
        <w:rPr>
          <w:b/>
        </w:rPr>
      </w:pPr>
      <w:r w:rsidRPr="08ED2739">
        <w:rPr>
          <w:b/>
        </w:rPr>
        <w:t>Avicenna</w:t>
      </w:r>
    </w:p>
    <w:p w14:paraId="579A8237" w14:textId="77777777" w:rsidR="08BA72FD" w:rsidRDefault="08BA72FD" w:rsidP="08BA72FD">
      <w:pPr>
        <w:pStyle w:val="Rejstk2"/>
        <w:tabs>
          <w:tab w:val="right" w:leader="dot" w:pos="4171"/>
        </w:tabs>
        <w:spacing w:line="240" w:lineRule="auto"/>
        <w:ind w:left="240"/>
      </w:pPr>
      <w:r w:rsidRPr="001F5DB8">
        <w:rPr>
          <w:i/>
        </w:rPr>
        <w:t>Liber de anima</w:t>
      </w:r>
      <w:r>
        <w:t xml:space="preserve"> 127.48–50</w:t>
      </w:r>
      <w:r>
        <w:tab/>
        <w:t>366</w:t>
      </w:r>
    </w:p>
    <w:p w14:paraId="5D825AF6" w14:textId="77777777" w:rsidR="08BA72FD" w:rsidRDefault="08BA72FD" w:rsidP="08BA72FD">
      <w:pPr>
        <w:pStyle w:val="Rejstk2"/>
        <w:tabs>
          <w:tab w:val="right" w:leader="dot" w:pos="4171"/>
        </w:tabs>
        <w:spacing w:line="240" w:lineRule="auto"/>
        <w:ind w:left="240"/>
      </w:pPr>
      <w:r w:rsidRPr="001F5DB8">
        <w:rPr>
          <w:i/>
        </w:rPr>
        <w:t>Liber de philosophia prima</w:t>
      </w:r>
      <w:r>
        <w:t xml:space="preserve"> 176.71‒74</w:t>
      </w:r>
      <w:r>
        <w:tab/>
        <w:t>56</w:t>
      </w:r>
    </w:p>
    <w:p w14:paraId="6CE8672E" w14:textId="77777777" w:rsidR="08BA72FD" w:rsidRDefault="08BA72FD" w:rsidP="08BA72FD">
      <w:pPr>
        <w:pStyle w:val="Rejstk2"/>
        <w:tabs>
          <w:tab w:val="right" w:leader="dot" w:pos="4171"/>
        </w:tabs>
        <w:spacing w:line="240" w:lineRule="auto"/>
        <w:ind w:left="240"/>
      </w:pPr>
      <w:r w:rsidRPr="001F5DB8">
        <w:rPr>
          <w:i/>
        </w:rPr>
        <w:t>Liber de philosophia prima</w:t>
      </w:r>
      <w:r>
        <w:t xml:space="preserve"> 34.55‒35.58</w:t>
      </w:r>
      <w:r>
        <w:tab/>
        <w:t>281</w:t>
      </w:r>
    </w:p>
    <w:p w14:paraId="2ACB4B6B" w14:textId="77777777" w:rsidR="08BA72FD" w:rsidRPr="08124464" w:rsidRDefault="08BA72FD" w:rsidP="08BA72FD"/>
    <w:p w14:paraId="54191D83" w14:textId="77777777" w:rsidR="08BA72FD" w:rsidRPr="089E46D8" w:rsidRDefault="08BA72FD" w:rsidP="08BA72FD">
      <w:pPr>
        <w:pStyle w:val="Rejstk1"/>
        <w:tabs>
          <w:tab w:val="right" w:leader="dot" w:pos="4171"/>
        </w:tabs>
        <w:spacing w:line="240" w:lineRule="auto"/>
        <w:rPr>
          <w:b/>
        </w:rPr>
      </w:pPr>
      <w:r w:rsidRPr="089E46D8">
        <w:rPr>
          <w:b/>
        </w:rPr>
        <w:t>Roger Bacon</w:t>
      </w:r>
    </w:p>
    <w:p w14:paraId="628E1C08" w14:textId="77777777" w:rsidR="08BA72FD" w:rsidRDefault="08BA72FD" w:rsidP="08BA72FD">
      <w:pPr>
        <w:pStyle w:val="Rejstk2"/>
        <w:tabs>
          <w:tab w:val="right" w:leader="dot" w:pos="4171"/>
        </w:tabs>
        <w:spacing w:line="240" w:lineRule="auto"/>
        <w:ind w:left="240"/>
      </w:pPr>
      <w:r w:rsidRPr="001F5DB8">
        <w:rPr>
          <w:i/>
        </w:rPr>
        <w:t>Communium naturalium</w:t>
      </w:r>
      <w:r>
        <w:t xml:space="preserve"> 282.8‒14</w:t>
      </w:r>
      <w:r>
        <w:tab/>
        <w:t>479</w:t>
      </w:r>
    </w:p>
    <w:p w14:paraId="00D638E6" w14:textId="77777777" w:rsidR="08BA72FD" w:rsidRDefault="08BA72FD" w:rsidP="08BA72FD">
      <w:pPr>
        <w:pStyle w:val="Rejstk2"/>
        <w:tabs>
          <w:tab w:val="right" w:leader="dot" w:pos="4171"/>
        </w:tabs>
        <w:spacing w:line="240" w:lineRule="auto"/>
        <w:ind w:left="240"/>
      </w:pPr>
      <w:r w:rsidRPr="001F5DB8">
        <w:rPr>
          <w:i/>
        </w:rPr>
        <w:t xml:space="preserve">Communium naturalium </w:t>
      </w:r>
      <w:r>
        <w:t>283.1‒9</w:t>
      </w:r>
      <w:r>
        <w:tab/>
        <w:t>479</w:t>
      </w:r>
    </w:p>
    <w:p w14:paraId="355188CD" w14:textId="77777777" w:rsidR="08BA72FD" w:rsidRDefault="08BA72FD" w:rsidP="08BA72FD">
      <w:pPr>
        <w:pStyle w:val="Rejstk2"/>
        <w:tabs>
          <w:tab w:val="right" w:leader="dot" w:pos="4171"/>
        </w:tabs>
        <w:spacing w:line="240" w:lineRule="auto"/>
        <w:ind w:left="240"/>
      </w:pPr>
      <w:r w:rsidRPr="001F5DB8">
        <w:rPr>
          <w:i/>
        </w:rPr>
        <w:t>Communium naturalium</w:t>
      </w:r>
      <w:r>
        <w:t xml:space="preserve"> 286.14‒25</w:t>
      </w:r>
      <w:r>
        <w:tab/>
        <w:t>477</w:t>
      </w:r>
    </w:p>
    <w:p w14:paraId="13F9F1A0" w14:textId="77777777" w:rsidR="08BA72FD" w:rsidRDefault="08BA72FD" w:rsidP="08BA72FD">
      <w:pPr>
        <w:pStyle w:val="Rejstk2"/>
        <w:tabs>
          <w:tab w:val="right" w:leader="dot" w:pos="4171"/>
        </w:tabs>
        <w:spacing w:line="240" w:lineRule="auto"/>
        <w:ind w:left="240"/>
      </w:pPr>
      <w:r w:rsidRPr="001F5DB8">
        <w:rPr>
          <w:i/>
        </w:rPr>
        <w:t>Communium naturalium</w:t>
      </w:r>
      <w:r>
        <w:t>.281.34‒282.3</w:t>
      </w:r>
      <w:r>
        <w:tab/>
        <w:t>475</w:t>
      </w:r>
    </w:p>
    <w:p w14:paraId="76B73B3C" w14:textId="77777777" w:rsidR="08BA72FD" w:rsidRDefault="08BA72FD" w:rsidP="08BA72FD">
      <w:pPr>
        <w:pStyle w:val="Rejstk2"/>
        <w:tabs>
          <w:tab w:val="right" w:leader="dot" w:pos="4171"/>
        </w:tabs>
        <w:spacing w:line="240" w:lineRule="auto"/>
        <w:ind w:left="240"/>
      </w:pPr>
      <w:r w:rsidRPr="001F5DB8">
        <w:rPr>
          <w:i/>
        </w:rPr>
        <w:t>Communium naturalium</w:t>
      </w:r>
      <w:r>
        <w:t>.283.8‒13</w:t>
      </w:r>
      <w:r>
        <w:tab/>
        <w:t>476</w:t>
      </w:r>
    </w:p>
    <w:p w14:paraId="6E686684" w14:textId="77777777" w:rsidR="08BA72FD" w:rsidRDefault="08BA72FD" w:rsidP="08BA72FD">
      <w:pPr>
        <w:pStyle w:val="Rejstk2"/>
        <w:tabs>
          <w:tab w:val="right" w:leader="dot" w:pos="4171"/>
        </w:tabs>
        <w:spacing w:line="240" w:lineRule="auto"/>
        <w:ind w:left="240"/>
      </w:pPr>
      <w:r w:rsidRPr="001F5DB8">
        <w:rPr>
          <w:i/>
        </w:rPr>
        <w:t>Compendium studii philosophiae</w:t>
      </w:r>
      <w:r>
        <w:t xml:space="preserve"> 469</w:t>
      </w:r>
      <w:r>
        <w:tab/>
        <w:t>478</w:t>
      </w:r>
    </w:p>
    <w:p w14:paraId="3631C5F9" w14:textId="77777777" w:rsidR="08BA72FD" w:rsidRDefault="08BA72FD" w:rsidP="08BA72FD">
      <w:pPr>
        <w:pStyle w:val="Rejstk2"/>
        <w:tabs>
          <w:tab w:val="right" w:leader="dot" w:pos="4171"/>
        </w:tabs>
        <w:spacing w:line="240" w:lineRule="auto"/>
        <w:ind w:left="240"/>
      </w:pPr>
      <w:r w:rsidRPr="001F5DB8">
        <w:rPr>
          <w:i/>
        </w:rPr>
        <w:t xml:space="preserve">Compendium studii theologiae </w:t>
      </w:r>
      <w:r>
        <w:t>52</w:t>
      </w:r>
      <w:r>
        <w:tab/>
        <w:t>483</w:t>
      </w:r>
    </w:p>
    <w:p w14:paraId="2E84AA37" w14:textId="77777777" w:rsidR="08BA72FD" w:rsidRDefault="08BA72FD" w:rsidP="08BA72FD">
      <w:pPr>
        <w:pStyle w:val="Rejstk2"/>
        <w:tabs>
          <w:tab w:val="right" w:leader="dot" w:pos="4171"/>
        </w:tabs>
        <w:spacing w:line="240" w:lineRule="auto"/>
        <w:ind w:left="240"/>
      </w:pPr>
      <w:r w:rsidRPr="001F5DB8">
        <w:rPr>
          <w:i/>
        </w:rPr>
        <w:t xml:space="preserve">Compendium studii theologiae </w:t>
      </w:r>
      <w:r>
        <w:t>52‒53</w:t>
      </w:r>
      <w:r>
        <w:tab/>
        <w:t>484</w:t>
      </w:r>
    </w:p>
    <w:p w14:paraId="3282C1C5" w14:textId="77777777" w:rsidR="08BA72FD" w:rsidRDefault="08BA72FD" w:rsidP="08BA72FD">
      <w:pPr>
        <w:pStyle w:val="Rejstk2"/>
        <w:tabs>
          <w:tab w:val="right" w:leader="dot" w:pos="4171"/>
        </w:tabs>
        <w:spacing w:line="240" w:lineRule="auto"/>
        <w:ind w:left="240"/>
      </w:pPr>
      <w:r w:rsidRPr="001F5DB8">
        <w:rPr>
          <w:i/>
        </w:rPr>
        <w:t>Compendium studii theologiae</w:t>
      </w:r>
      <w:r>
        <w:t xml:space="preserve"> 56</w:t>
      </w:r>
      <w:r>
        <w:tab/>
        <w:t>669</w:t>
      </w:r>
    </w:p>
    <w:p w14:paraId="5D506879" w14:textId="77777777" w:rsidR="08BA72FD" w:rsidRDefault="08BA72FD" w:rsidP="08BA72FD">
      <w:pPr>
        <w:pStyle w:val="Rejstk2"/>
        <w:tabs>
          <w:tab w:val="right" w:leader="dot" w:pos="4171"/>
        </w:tabs>
        <w:spacing w:line="240" w:lineRule="auto"/>
        <w:ind w:left="240"/>
      </w:pPr>
      <w:r w:rsidRPr="001F5DB8">
        <w:rPr>
          <w:i/>
        </w:rPr>
        <w:t xml:space="preserve">Opus maius </w:t>
      </w:r>
      <w:r>
        <w:t>20</w:t>
      </w:r>
      <w:r>
        <w:tab/>
        <w:t>614</w:t>
      </w:r>
    </w:p>
    <w:p w14:paraId="70C4D5DA" w14:textId="77777777" w:rsidR="08BA72FD" w:rsidRDefault="08BA72FD" w:rsidP="08BA72FD">
      <w:pPr>
        <w:pStyle w:val="Rejstk2"/>
        <w:tabs>
          <w:tab w:val="right" w:leader="dot" w:pos="4171"/>
        </w:tabs>
        <w:spacing w:line="240" w:lineRule="auto"/>
        <w:ind w:left="240"/>
      </w:pPr>
      <w:r w:rsidRPr="001F5DB8">
        <w:rPr>
          <w:i/>
        </w:rPr>
        <w:t>Opus minus</w:t>
      </w:r>
      <w:r>
        <w:t xml:space="preserve"> 322</w:t>
      </w:r>
      <w:r>
        <w:tab/>
        <w:t>686</w:t>
      </w:r>
    </w:p>
    <w:p w14:paraId="4A4CFB9D" w14:textId="77777777" w:rsidR="08BA72FD" w:rsidRDefault="08BA72FD" w:rsidP="08BA72FD">
      <w:pPr>
        <w:pStyle w:val="Rejstk2"/>
        <w:tabs>
          <w:tab w:val="right" w:leader="dot" w:pos="4171"/>
        </w:tabs>
        <w:spacing w:line="240" w:lineRule="auto"/>
        <w:ind w:left="240"/>
      </w:pPr>
      <w:r w:rsidRPr="001F5DB8">
        <w:rPr>
          <w:i/>
        </w:rPr>
        <w:t>Opus minus</w:t>
      </w:r>
      <w:r>
        <w:t xml:space="preserve"> 326</w:t>
      </w:r>
      <w:r>
        <w:tab/>
        <w:t>684</w:t>
      </w:r>
    </w:p>
    <w:p w14:paraId="065D93C6" w14:textId="77777777" w:rsidR="08BA72FD" w:rsidRDefault="08BA72FD" w:rsidP="08BA72FD">
      <w:pPr>
        <w:pStyle w:val="Rejstk2"/>
        <w:tabs>
          <w:tab w:val="right" w:leader="dot" w:pos="4171"/>
        </w:tabs>
        <w:spacing w:line="240" w:lineRule="auto"/>
        <w:ind w:left="240"/>
      </w:pPr>
      <w:r w:rsidRPr="001F5DB8">
        <w:rPr>
          <w:i/>
        </w:rPr>
        <w:t>Opus minus</w:t>
      </w:r>
      <w:r>
        <w:t xml:space="preserve"> 327‒28</w:t>
      </w:r>
      <w:r>
        <w:tab/>
        <w:t>684</w:t>
      </w:r>
    </w:p>
    <w:p w14:paraId="4EFACF52" w14:textId="77777777" w:rsidR="08BA72FD" w:rsidRDefault="08BA72FD" w:rsidP="08BA72FD">
      <w:pPr>
        <w:pStyle w:val="Rejstk2"/>
        <w:tabs>
          <w:tab w:val="right" w:leader="dot" w:pos="4171"/>
        </w:tabs>
        <w:spacing w:line="240" w:lineRule="auto"/>
        <w:ind w:left="240"/>
      </w:pPr>
      <w:r w:rsidRPr="001F5DB8">
        <w:rPr>
          <w:i/>
        </w:rPr>
        <w:t>Opus minus</w:t>
      </w:r>
      <w:r>
        <w:t xml:space="preserve"> 360</w:t>
      </w:r>
      <w:r>
        <w:tab/>
        <w:t>684</w:t>
      </w:r>
    </w:p>
    <w:p w14:paraId="06F06611" w14:textId="77777777" w:rsidR="08BA72FD" w:rsidRDefault="08BA72FD" w:rsidP="08BA72FD">
      <w:pPr>
        <w:pStyle w:val="Rejstk2"/>
        <w:tabs>
          <w:tab w:val="right" w:leader="dot" w:pos="4171"/>
        </w:tabs>
        <w:spacing w:line="240" w:lineRule="auto"/>
        <w:ind w:left="240"/>
      </w:pPr>
      <w:r w:rsidRPr="001F5DB8">
        <w:rPr>
          <w:i/>
        </w:rPr>
        <w:t>Opus tertium</w:t>
      </w:r>
      <w:r>
        <w:t xml:space="preserve"> 74‒75</w:t>
      </w:r>
      <w:r>
        <w:tab/>
        <w:t>198</w:t>
      </w:r>
    </w:p>
    <w:p w14:paraId="4F885585" w14:textId="77777777" w:rsidR="08BA72FD" w:rsidRDefault="08BA72FD" w:rsidP="08BA72FD">
      <w:pPr>
        <w:pStyle w:val="Rejstk2"/>
        <w:tabs>
          <w:tab w:val="right" w:leader="dot" w:pos="4171"/>
        </w:tabs>
        <w:spacing w:line="240" w:lineRule="auto"/>
        <w:ind w:left="240"/>
      </w:pPr>
      <w:r w:rsidRPr="001F5DB8">
        <w:rPr>
          <w:i/>
        </w:rPr>
        <w:t>Opus tertium</w:t>
      </w:r>
      <w:r>
        <w:t xml:space="preserve"> 75</w:t>
      </w:r>
      <w:r>
        <w:tab/>
        <w:t>601</w:t>
      </w:r>
    </w:p>
    <w:p w14:paraId="3C45A3C3" w14:textId="77777777" w:rsidR="08BA72FD" w:rsidRDefault="08BA72FD" w:rsidP="08BA72FD">
      <w:pPr>
        <w:pStyle w:val="Rejstk2"/>
        <w:tabs>
          <w:tab w:val="right" w:leader="dot" w:pos="4171"/>
        </w:tabs>
        <w:spacing w:line="240" w:lineRule="auto"/>
        <w:ind w:left="240"/>
      </w:pPr>
      <w:r w:rsidRPr="001F5DB8">
        <w:rPr>
          <w:i/>
        </w:rPr>
        <w:t>Opus tertium</w:t>
      </w:r>
      <w:r>
        <w:t xml:space="preserve"> 76</w:t>
      </w:r>
      <w:r>
        <w:tab/>
        <w:t>198</w:t>
      </w:r>
    </w:p>
    <w:p w14:paraId="56A83E83" w14:textId="77777777" w:rsidR="08BA72FD" w:rsidRDefault="08BA72FD" w:rsidP="08BA72FD">
      <w:pPr>
        <w:pStyle w:val="Rejstk2"/>
        <w:tabs>
          <w:tab w:val="right" w:leader="dot" w:pos="4171"/>
        </w:tabs>
        <w:spacing w:line="240" w:lineRule="auto"/>
        <w:ind w:left="240"/>
      </w:pPr>
      <w:r w:rsidRPr="001F5DB8">
        <w:rPr>
          <w:i/>
        </w:rPr>
        <w:t>Opus tertium</w:t>
      </w:r>
      <w:r>
        <w:t xml:space="preserve"> 77</w:t>
      </w:r>
      <w:r>
        <w:tab/>
        <w:t>198</w:t>
      </w:r>
    </w:p>
    <w:p w14:paraId="63173BAE" w14:textId="77777777" w:rsidR="00790845" w:rsidRDefault="08BA72FD" w:rsidP="00790845">
      <w:pPr>
        <w:pStyle w:val="Rejstk2"/>
        <w:tabs>
          <w:tab w:val="right" w:leader="dot" w:pos="4171"/>
        </w:tabs>
        <w:spacing w:line="240" w:lineRule="auto"/>
        <w:ind w:left="240"/>
      </w:pPr>
      <w:r w:rsidRPr="001F5DB8">
        <w:rPr>
          <w:i/>
        </w:rPr>
        <w:t>Opus tertium</w:t>
      </w:r>
      <w:r>
        <w:t xml:space="preserve"> 79</w:t>
      </w:r>
      <w:r>
        <w:tab/>
        <w:t>198</w:t>
      </w:r>
    </w:p>
    <w:p w14:paraId="60BE67E2" w14:textId="389A6B7B" w:rsidR="00790845" w:rsidRPr="00790845" w:rsidRDefault="00790845" w:rsidP="00790845">
      <w:pPr>
        <w:pStyle w:val="Rejstk2"/>
        <w:tabs>
          <w:tab w:val="right" w:leader="dot" w:pos="4171"/>
        </w:tabs>
        <w:spacing w:line="240" w:lineRule="auto"/>
        <w:ind w:left="240"/>
      </w:pPr>
      <w:r w:rsidRPr="004E091A">
        <w:rPr>
          <w:i/>
        </w:rPr>
        <w:t>Opus minus</w:t>
      </w:r>
      <w:r w:rsidRPr="004E091A">
        <w:t xml:space="preserve"> </w:t>
      </w:r>
      <w:r>
        <w:t>327</w:t>
      </w:r>
      <w:r>
        <w:tab/>
        <w:t>457</w:t>
      </w:r>
    </w:p>
    <w:p w14:paraId="4E323AC8" w14:textId="77777777" w:rsidR="08BA72FD" w:rsidRDefault="08BA72FD" w:rsidP="08BA72FD">
      <w:pPr>
        <w:pStyle w:val="Rejstk2"/>
        <w:tabs>
          <w:tab w:val="right" w:leader="dot" w:pos="4171"/>
        </w:tabs>
        <w:spacing w:line="240" w:lineRule="auto"/>
        <w:ind w:left="240"/>
      </w:pPr>
      <w:r w:rsidRPr="001F5DB8">
        <w:rPr>
          <w:i/>
        </w:rPr>
        <w:t>Quaestiones altere supra libros prime philosophie Aristotelis</w:t>
      </w:r>
      <w:r>
        <w:t xml:space="preserve"> 154.18‒20</w:t>
      </w:r>
      <w:r>
        <w:tab/>
        <w:t>312</w:t>
      </w:r>
    </w:p>
    <w:p w14:paraId="7805EDC9"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II</w:t>
      </w:r>
      <w:r w:rsidRPr="001F5DB8">
        <w:rPr>
          <w:i/>
        </w:rPr>
        <w:t xml:space="preserve"> </w:t>
      </w:r>
      <w:r>
        <w:t>34.11‒16</w:t>
      </w:r>
      <w:r>
        <w:tab/>
        <w:t>541</w:t>
      </w:r>
    </w:p>
    <w:p w14:paraId="16801DC6"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II</w:t>
      </w:r>
      <w:r w:rsidRPr="001F5DB8">
        <w:rPr>
          <w:i/>
        </w:rPr>
        <w:t xml:space="preserve"> </w:t>
      </w:r>
      <w:r>
        <w:t>34.30‒35</w:t>
      </w:r>
      <w:r>
        <w:tab/>
        <w:t>554</w:t>
      </w:r>
    </w:p>
    <w:p w14:paraId="4C03022E"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II</w:t>
      </w:r>
      <w:r w:rsidRPr="001F5DB8">
        <w:rPr>
          <w:i/>
        </w:rPr>
        <w:t xml:space="preserve"> </w:t>
      </w:r>
      <w:r>
        <w:t>51.27‒35</w:t>
      </w:r>
      <w:r>
        <w:tab/>
        <w:t>543</w:t>
      </w:r>
    </w:p>
    <w:p w14:paraId="2A7782F7"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IV</w:t>
      </w:r>
      <w:r>
        <w:t xml:space="preserve"> 153.17‒20</w:t>
      </w:r>
      <w:r>
        <w:tab/>
        <w:t>488</w:t>
      </w:r>
    </w:p>
    <w:p w14:paraId="45E818EB"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IV</w:t>
      </w:r>
      <w:r w:rsidRPr="001F5DB8">
        <w:rPr>
          <w:i/>
        </w:rPr>
        <w:t xml:space="preserve"> </w:t>
      </w:r>
      <w:r>
        <w:t>89.9‒10</w:t>
      </w:r>
      <w:r>
        <w:tab/>
        <w:t>669</w:t>
      </w:r>
    </w:p>
    <w:p w14:paraId="7410CB61" w14:textId="77777777" w:rsidR="08BA72FD" w:rsidRDefault="08BA72FD" w:rsidP="08BA72FD">
      <w:pPr>
        <w:pStyle w:val="Rejstk2"/>
        <w:tabs>
          <w:tab w:val="right" w:leader="dot" w:pos="4171"/>
        </w:tabs>
        <w:spacing w:line="240" w:lineRule="auto"/>
        <w:ind w:left="240"/>
      </w:pPr>
      <w:r w:rsidRPr="001F5DB8">
        <w:rPr>
          <w:i/>
        </w:rPr>
        <w:t xml:space="preserve">Quaestiones </w:t>
      </w:r>
      <w:r w:rsidRPr="001F5DB8">
        <w:rPr>
          <w:bCs/>
          <w:i/>
        </w:rPr>
        <w:t>altere supra Met. IV</w:t>
      </w:r>
      <w:r w:rsidRPr="001F5DB8">
        <w:rPr>
          <w:i/>
        </w:rPr>
        <w:t xml:space="preserve"> </w:t>
      </w:r>
      <w:r>
        <w:t>90.13‒19</w:t>
      </w:r>
      <w:r>
        <w:tab/>
        <w:t>668</w:t>
      </w:r>
    </w:p>
    <w:p w14:paraId="43574A8A" w14:textId="77777777" w:rsidR="08BA72FD" w:rsidRDefault="08BA72FD" w:rsidP="08BA72FD">
      <w:pPr>
        <w:pStyle w:val="Rejstk2"/>
        <w:tabs>
          <w:tab w:val="right" w:leader="dot" w:pos="4171"/>
        </w:tabs>
        <w:spacing w:line="240" w:lineRule="auto"/>
        <w:ind w:left="240"/>
      </w:pPr>
      <w:r w:rsidRPr="001F5DB8">
        <w:rPr>
          <w:i/>
        </w:rPr>
        <w:t xml:space="preserve">Quaestiones supra libros prime philosophie Aristotelis </w:t>
      </w:r>
      <w:r>
        <w:t>298.34‒299.2</w:t>
      </w:r>
      <w:r>
        <w:tab/>
        <w:t>197, 439</w:t>
      </w:r>
    </w:p>
    <w:p w14:paraId="06D3652E" w14:textId="77777777" w:rsidR="08BA72FD" w:rsidRDefault="08BA72FD" w:rsidP="08BA72FD">
      <w:pPr>
        <w:pStyle w:val="Rejstk2"/>
        <w:tabs>
          <w:tab w:val="right" w:leader="dot" w:pos="4171"/>
        </w:tabs>
        <w:spacing w:line="240" w:lineRule="auto"/>
        <w:ind w:left="240"/>
      </w:pPr>
      <w:r w:rsidRPr="001F5DB8">
        <w:rPr>
          <w:i/>
        </w:rPr>
        <w:t xml:space="preserve">Quaestiones supra secundum metaphysicae </w:t>
      </w:r>
      <w:r>
        <w:t>75.13‒21</w:t>
      </w:r>
      <w:r>
        <w:tab/>
        <w:t>313</w:t>
      </w:r>
    </w:p>
    <w:p w14:paraId="76DD4F67" w14:textId="77777777" w:rsidR="08BA72FD" w:rsidRDefault="08BA72FD" w:rsidP="08BA72FD">
      <w:pPr>
        <w:pStyle w:val="Rejstk2"/>
        <w:tabs>
          <w:tab w:val="right" w:leader="dot" w:pos="4171"/>
        </w:tabs>
        <w:spacing w:line="240" w:lineRule="auto"/>
        <w:ind w:left="240"/>
      </w:pPr>
      <w:r w:rsidRPr="001F5DB8">
        <w:rPr>
          <w:i/>
        </w:rPr>
        <w:t>Summulae dialectices</w:t>
      </w:r>
      <w:r>
        <w:t xml:space="preserve"> 3.1.4</w:t>
      </w:r>
      <w:r>
        <w:tab/>
        <w:t>674</w:t>
      </w:r>
    </w:p>
    <w:p w14:paraId="233C1D61" w14:textId="77777777" w:rsidR="08BA72FD" w:rsidRPr="08CB53C2" w:rsidRDefault="08BA72FD" w:rsidP="08BA72FD"/>
    <w:p w14:paraId="543FC88F" w14:textId="77777777" w:rsidR="08BA72FD" w:rsidRPr="08387CC8" w:rsidRDefault="08BA72FD" w:rsidP="08BA72FD">
      <w:pPr>
        <w:pStyle w:val="Rejstk1"/>
        <w:tabs>
          <w:tab w:val="right" w:leader="dot" w:pos="4171"/>
        </w:tabs>
        <w:spacing w:line="240" w:lineRule="auto"/>
        <w:rPr>
          <w:b/>
          <w:i/>
        </w:rPr>
      </w:pPr>
      <w:r w:rsidRPr="08387CC8">
        <w:rPr>
          <w:b/>
        </w:rPr>
        <w:t>Johannes Blund</w:t>
      </w:r>
    </w:p>
    <w:p w14:paraId="2DFE0A3D" w14:textId="77777777" w:rsidR="08BA72FD" w:rsidRDefault="08BA72FD" w:rsidP="08BA72FD">
      <w:pPr>
        <w:pStyle w:val="Rejstk2"/>
        <w:tabs>
          <w:tab w:val="right" w:leader="dot" w:pos="4171"/>
        </w:tabs>
        <w:spacing w:line="240" w:lineRule="auto"/>
        <w:ind w:left="240"/>
      </w:pPr>
      <w:r w:rsidRPr="001F5DB8">
        <w:rPr>
          <w:i/>
        </w:rPr>
        <w:t xml:space="preserve">Tractatus de anima </w:t>
      </w:r>
      <w:r>
        <w:t>32.21‒28</w:t>
      </w:r>
      <w:r>
        <w:tab/>
        <w:t>117</w:t>
      </w:r>
    </w:p>
    <w:p w14:paraId="05DB9C68" w14:textId="77777777" w:rsidR="08BA72FD" w:rsidRDefault="08BA72FD" w:rsidP="08BA72FD">
      <w:pPr>
        <w:pStyle w:val="Rejstk2"/>
        <w:tabs>
          <w:tab w:val="right" w:leader="dot" w:pos="4171"/>
        </w:tabs>
        <w:spacing w:line="240" w:lineRule="auto"/>
        <w:ind w:left="240"/>
      </w:pPr>
      <w:r w:rsidRPr="001F5DB8">
        <w:rPr>
          <w:i/>
        </w:rPr>
        <w:t>Tractatus de anima</w:t>
      </w:r>
      <w:r>
        <w:t xml:space="preserve"> 62.13‒15</w:t>
      </w:r>
      <w:r>
        <w:tab/>
        <w:t>137</w:t>
      </w:r>
    </w:p>
    <w:p w14:paraId="550BF7E1" w14:textId="77777777" w:rsidR="08BA72FD" w:rsidRDefault="08BA72FD" w:rsidP="08BA72FD">
      <w:pPr>
        <w:pStyle w:val="Rejstk2"/>
        <w:tabs>
          <w:tab w:val="right" w:leader="dot" w:pos="4171"/>
        </w:tabs>
        <w:spacing w:line="240" w:lineRule="auto"/>
        <w:ind w:left="240"/>
      </w:pPr>
      <w:r w:rsidRPr="001F5DB8">
        <w:rPr>
          <w:i/>
        </w:rPr>
        <w:t>Tractatus de anima</w:t>
      </w:r>
      <w:r>
        <w:t xml:space="preserve"> 62.17‒21</w:t>
      </w:r>
      <w:r>
        <w:tab/>
        <w:t>137</w:t>
      </w:r>
    </w:p>
    <w:p w14:paraId="4731521F" w14:textId="77777777" w:rsidR="08BA72FD" w:rsidRDefault="08BA72FD" w:rsidP="08BA72FD">
      <w:pPr>
        <w:pStyle w:val="Rejstk2"/>
        <w:tabs>
          <w:tab w:val="right" w:leader="dot" w:pos="4171"/>
        </w:tabs>
        <w:spacing w:line="240" w:lineRule="auto"/>
        <w:ind w:left="240"/>
      </w:pPr>
      <w:r w:rsidRPr="001F5DB8">
        <w:rPr>
          <w:i/>
        </w:rPr>
        <w:t xml:space="preserve">Tractatus de anima </w:t>
      </w:r>
      <w:r>
        <w:t>65.25</w:t>
      </w:r>
      <w:r>
        <w:tab/>
        <w:t>129</w:t>
      </w:r>
    </w:p>
    <w:p w14:paraId="4A2851DE" w14:textId="77777777" w:rsidR="08BA72FD" w:rsidRDefault="08BA72FD" w:rsidP="08BA72FD">
      <w:pPr>
        <w:pStyle w:val="Rejstk2"/>
        <w:tabs>
          <w:tab w:val="right" w:leader="dot" w:pos="4171"/>
        </w:tabs>
        <w:spacing w:line="240" w:lineRule="auto"/>
        <w:ind w:left="240"/>
      </w:pPr>
      <w:r w:rsidRPr="001F5DB8">
        <w:rPr>
          <w:i/>
        </w:rPr>
        <w:t xml:space="preserve">Tractatus de anima </w:t>
      </w:r>
      <w:r>
        <w:t>66.19‒22</w:t>
      </w:r>
      <w:r>
        <w:tab/>
        <w:t>130</w:t>
      </w:r>
    </w:p>
    <w:p w14:paraId="07D98CFD" w14:textId="77777777" w:rsidR="08BA72FD" w:rsidRDefault="08BA72FD" w:rsidP="08BA72FD">
      <w:pPr>
        <w:pStyle w:val="Rejstk2"/>
        <w:tabs>
          <w:tab w:val="right" w:leader="dot" w:pos="4171"/>
        </w:tabs>
        <w:spacing w:line="240" w:lineRule="auto"/>
        <w:ind w:left="240"/>
      </w:pPr>
      <w:r w:rsidRPr="001F5DB8">
        <w:rPr>
          <w:i/>
        </w:rPr>
        <w:t xml:space="preserve">Tractatus de anima </w:t>
      </w:r>
      <w:r>
        <w:t>69.23‒31</w:t>
      </w:r>
      <w:r>
        <w:tab/>
        <w:t>125</w:t>
      </w:r>
    </w:p>
    <w:p w14:paraId="4002897F" w14:textId="77777777" w:rsidR="08BA72FD" w:rsidRDefault="08BA72FD" w:rsidP="08BA72FD">
      <w:pPr>
        <w:pStyle w:val="Rejstk2"/>
        <w:tabs>
          <w:tab w:val="right" w:leader="dot" w:pos="4171"/>
        </w:tabs>
        <w:spacing w:line="240" w:lineRule="auto"/>
        <w:ind w:left="240"/>
      </w:pPr>
      <w:r w:rsidRPr="001F5DB8">
        <w:rPr>
          <w:i/>
        </w:rPr>
        <w:t>Tractatus de anima</w:t>
      </w:r>
      <w:r>
        <w:t xml:space="preserve"> 7.14‒16</w:t>
      </w:r>
      <w:r>
        <w:tab/>
        <w:t>142</w:t>
      </w:r>
    </w:p>
    <w:p w14:paraId="3C61A0D5" w14:textId="77777777" w:rsidR="08BA72FD" w:rsidRDefault="08BA72FD" w:rsidP="08BA72FD">
      <w:pPr>
        <w:pStyle w:val="Rejstk2"/>
        <w:tabs>
          <w:tab w:val="right" w:leader="dot" w:pos="4171"/>
        </w:tabs>
        <w:spacing w:line="240" w:lineRule="auto"/>
        <w:ind w:left="240"/>
      </w:pPr>
      <w:r w:rsidRPr="001F5DB8">
        <w:rPr>
          <w:i/>
        </w:rPr>
        <w:t xml:space="preserve">Tractatus de anima </w:t>
      </w:r>
      <w:r>
        <w:t>73.26‒29</w:t>
      </w:r>
      <w:r>
        <w:tab/>
        <w:t>130</w:t>
      </w:r>
    </w:p>
    <w:p w14:paraId="0863E11A" w14:textId="77777777" w:rsidR="08BA72FD" w:rsidRDefault="08BA72FD" w:rsidP="08BA72FD">
      <w:pPr>
        <w:pStyle w:val="Rejstk2"/>
        <w:tabs>
          <w:tab w:val="right" w:leader="dot" w:pos="4171"/>
        </w:tabs>
        <w:spacing w:line="240" w:lineRule="auto"/>
        <w:ind w:left="240"/>
      </w:pPr>
      <w:r w:rsidRPr="001F5DB8">
        <w:rPr>
          <w:i/>
        </w:rPr>
        <w:t xml:space="preserve">Tractatus de anima </w:t>
      </w:r>
      <w:r>
        <w:t>92.23</w:t>
      </w:r>
      <w:r>
        <w:tab/>
        <w:t>121</w:t>
      </w:r>
    </w:p>
    <w:p w14:paraId="7ABF4E20" w14:textId="77777777" w:rsidR="08BA72FD" w:rsidRDefault="08BA72FD" w:rsidP="08BA72FD">
      <w:pPr>
        <w:pStyle w:val="Rejstk2"/>
        <w:tabs>
          <w:tab w:val="right" w:leader="dot" w:pos="4171"/>
        </w:tabs>
        <w:spacing w:line="240" w:lineRule="auto"/>
        <w:ind w:left="240"/>
      </w:pPr>
      <w:r w:rsidRPr="001F5DB8">
        <w:rPr>
          <w:i/>
        </w:rPr>
        <w:t xml:space="preserve">Tractatus de anima </w:t>
      </w:r>
      <w:r>
        <w:t>93.10‒14</w:t>
      </w:r>
      <w:r>
        <w:tab/>
        <w:t>121</w:t>
      </w:r>
    </w:p>
    <w:p w14:paraId="18251DDC" w14:textId="77777777" w:rsidR="08BA72FD" w:rsidRDefault="08BA72FD" w:rsidP="08BA72FD">
      <w:pPr>
        <w:pStyle w:val="Rejstk2"/>
        <w:tabs>
          <w:tab w:val="right" w:leader="dot" w:pos="4171"/>
        </w:tabs>
        <w:spacing w:line="240" w:lineRule="auto"/>
        <w:ind w:left="240"/>
      </w:pPr>
      <w:r w:rsidRPr="001F5DB8">
        <w:rPr>
          <w:i/>
        </w:rPr>
        <w:t xml:space="preserve">Tractatus de anima </w:t>
      </w:r>
      <w:r>
        <w:t>93.11</w:t>
      </w:r>
      <w:r>
        <w:tab/>
        <w:t>132</w:t>
      </w:r>
    </w:p>
    <w:p w14:paraId="62F73AB1" w14:textId="77777777" w:rsidR="08BA72FD" w:rsidRDefault="08BA72FD" w:rsidP="08BA72FD">
      <w:pPr>
        <w:pStyle w:val="Rejstk2"/>
        <w:tabs>
          <w:tab w:val="right" w:leader="dot" w:pos="4171"/>
        </w:tabs>
        <w:spacing w:line="240" w:lineRule="auto"/>
        <w:ind w:left="240"/>
      </w:pPr>
      <w:r w:rsidRPr="001F5DB8">
        <w:rPr>
          <w:i/>
        </w:rPr>
        <w:t xml:space="preserve">Tractatus de anima </w:t>
      </w:r>
      <w:r>
        <w:t>93.1‒5</w:t>
      </w:r>
      <w:r>
        <w:tab/>
        <w:t>133</w:t>
      </w:r>
    </w:p>
    <w:p w14:paraId="419373DD" w14:textId="77777777" w:rsidR="08BA72FD" w:rsidRDefault="08BA72FD" w:rsidP="08BA72FD">
      <w:pPr>
        <w:pStyle w:val="Rejstk2"/>
        <w:tabs>
          <w:tab w:val="right" w:leader="dot" w:pos="4171"/>
        </w:tabs>
        <w:spacing w:line="240" w:lineRule="auto"/>
        <w:ind w:left="240"/>
      </w:pPr>
      <w:r w:rsidRPr="001F5DB8">
        <w:rPr>
          <w:i/>
        </w:rPr>
        <w:t xml:space="preserve">Tractatus de anima </w:t>
      </w:r>
      <w:r>
        <w:t>93.22‒23</w:t>
      </w:r>
      <w:r>
        <w:tab/>
        <w:t>118</w:t>
      </w:r>
    </w:p>
    <w:p w14:paraId="50D0BDC6" w14:textId="77777777" w:rsidR="08BA72FD" w:rsidRDefault="08BA72FD" w:rsidP="08BA72FD">
      <w:pPr>
        <w:pStyle w:val="Rejstk2"/>
        <w:tabs>
          <w:tab w:val="right" w:leader="dot" w:pos="4171"/>
        </w:tabs>
        <w:spacing w:line="240" w:lineRule="auto"/>
        <w:ind w:left="240"/>
      </w:pPr>
      <w:r w:rsidRPr="001F5DB8">
        <w:rPr>
          <w:i/>
        </w:rPr>
        <w:t xml:space="preserve">Tractatus de anima </w:t>
      </w:r>
      <w:r>
        <w:t>93.6‒10</w:t>
      </w:r>
      <w:r>
        <w:tab/>
        <w:t>120</w:t>
      </w:r>
    </w:p>
    <w:p w14:paraId="730D429F" w14:textId="77777777" w:rsidR="08BA72FD" w:rsidRDefault="08BA72FD" w:rsidP="08BA72FD">
      <w:pPr>
        <w:pStyle w:val="Rejstk2"/>
        <w:tabs>
          <w:tab w:val="right" w:leader="dot" w:pos="4171"/>
        </w:tabs>
        <w:spacing w:line="240" w:lineRule="auto"/>
        <w:ind w:left="240"/>
      </w:pPr>
      <w:r w:rsidRPr="001F5DB8">
        <w:rPr>
          <w:i/>
        </w:rPr>
        <w:t>Tractatus de anima</w:t>
      </w:r>
      <w:r>
        <w:t xml:space="preserve"> 94.9‒11</w:t>
      </w:r>
      <w:r>
        <w:tab/>
        <w:t>140</w:t>
      </w:r>
    </w:p>
    <w:p w14:paraId="5EC1CAF7" w14:textId="77777777" w:rsidR="08BA72FD" w:rsidRDefault="08BA72FD" w:rsidP="08BA72FD">
      <w:pPr>
        <w:pStyle w:val="Rejstk2"/>
        <w:tabs>
          <w:tab w:val="right" w:leader="dot" w:pos="4171"/>
        </w:tabs>
        <w:spacing w:line="240" w:lineRule="auto"/>
        <w:ind w:left="240"/>
      </w:pPr>
      <w:r w:rsidRPr="001F5DB8">
        <w:rPr>
          <w:i/>
        </w:rPr>
        <w:t>Tractatus de anima</w:t>
      </w:r>
      <w:r>
        <w:t xml:space="preserve"> </w:t>
      </w:r>
      <w:r w:rsidRPr="001F5DB8">
        <w:t>95.24‒31</w:t>
      </w:r>
      <w:r>
        <w:tab/>
        <w:t>141</w:t>
      </w:r>
    </w:p>
    <w:p w14:paraId="4B9453A6" w14:textId="77777777" w:rsidR="08BA72FD" w:rsidRDefault="08BA72FD" w:rsidP="08BA72FD">
      <w:pPr>
        <w:pStyle w:val="Rejstk2"/>
        <w:tabs>
          <w:tab w:val="right" w:leader="dot" w:pos="4171"/>
        </w:tabs>
        <w:spacing w:line="240" w:lineRule="auto"/>
        <w:ind w:left="240"/>
      </w:pPr>
      <w:r w:rsidRPr="001F5DB8">
        <w:rPr>
          <w:i/>
        </w:rPr>
        <w:t>Tractatus de anima</w:t>
      </w:r>
      <w:r>
        <w:t xml:space="preserve"> 98.18</w:t>
      </w:r>
      <w:r>
        <w:tab/>
        <w:t>151</w:t>
      </w:r>
    </w:p>
    <w:p w14:paraId="1459F30E" w14:textId="77777777" w:rsidR="08BA72FD" w:rsidRDefault="08BA72FD" w:rsidP="08BA72FD">
      <w:pPr>
        <w:spacing w:line="240" w:lineRule="auto"/>
        <w:contextualSpacing/>
        <w:jc w:val="left"/>
        <w:rPr>
          <w:sz w:val="20"/>
        </w:rPr>
      </w:pPr>
    </w:p>
    <w:p w14:paraId="59CE1B34" w14:textId="77777777" w:rsidR="08BA72FD" w:rsidRPr="0859286B" w:rsidRDefault="08BA72FD" w:rsidP="08BA72FD">
      <w:pPr>
        <w:pStyle w:val="Rejstk1"/>
        <w:tabs>
          <w:tab w:val="right" w:leader="dot" w:pos="4171"/>
        </w:tabs>
        <w:spacing w:line="240" w:lineRule="auto"/>
        <w:rPr>
          <w:b/>
        </w:rPr>
      </w:pPr>
      <w:r w:rsidRPr="0859286B">
        <w:rPr>
          <w:b/>
        </w:rPr>
        <w:t>Anicius Boethius</w:t>
      </w:r>
    </w:p>
    <w:p w14:paraId="52F67FCB" w14:textId="77777777" w:rsidR="08BA72FD" w:rsidRDefault="08BA72FD" w:rsidP="08BA72FD">
      <w:pPr>
        <w:pStyle w:val="Rejstk2"/>
        <w:tabs>
          <w:tab w:val="right" w:leader="dot" w:pos="4171"/>
        </w:tabs>
        <w:spacing w:line="240" w:lineRule="auto"/>
        <w:ind w:left="240"/>
      </w:pPr>
      <w:r w:rsidRPr="001F5DB8">
        <w:rPr>
          <w:i/>
          <w:lang w:eastAsia="en-US"/>
        </w:rPr>
        <w:t>Boeth. In Porph. Isag</w:t>
      </w:r>
      <w:r>
        <w:rPr>
          <w:lang w:eastAsia="en-US"/>
        </w:rPr>
        <w:t xml:space="preserve"> </w:t>
      </w:r>
      <w:r>
        <w:t>3.10</w:t>
      </w:r>
      <w:r>
        <w:tab/>
        <w:t>471</w:t>
      </w:r>
    </w:p>
    <w:p w14:paraId="559169C8" w14:textId="77777777" w:rsidR="08BA72FD" w:rsidRDefault="08BA72FD" w:rsidP="08BA72FD">
      <w:pPr>
        <w:pStyle w:val="Rejstk2"/>
        <w:tabs>
          <w:tab w:val="right" w:leader="dot" w:pos="4171"/>
        </w:tabs>
        <w:spacing w:line="240" w:lineRule="auto"/>
        <w:ind w:left="240"/>
      </w:pPr>
      <w:r w:rsidRPr="001F5DB8">
        <w:rPr>
          <w:i/>
        </w:rPr>
        <w:t xml:space="preserve">In Categ. Arist. </w:t>
      </w:r>
      <w:r>
        <w:t>PL 64, 195C</w:t>
      </w:r>
      <w:r>
        <w:tab/>
        <w:t>53</w:t>
      </w:r>
    </w:p>
    <w:p w14:paraId="46941218" w14:textId="77777777" w:rsidR="08BA72FD" w:rsidRDefault="08BA72FD" w:rsidP="08BA72FD">
      <w:pPr>
        <w:pStyle w:val="Rejstk2"/>
        <w:tabs>
          <w:tab w:val="right" w:leader="dot" w:pos="4171"/>
        </w:tabs>
        <w:spacing w:line="240" w:lineRule="auto"/>
        <w:ind w:left="240"/>
      </w:pPr>
      <w:r w:rsidRPr="001F5DB8">
        <w:rPr>
          <w:i/>
        </w:rPr>
        <w:t>In</w:t>
      </w:r>
      <w:r>
        <w:t xml:space="preserve"> </w:t>
      </w:r>
      <w:r w:rsidRPr="001F5DB8">
        <w:rPr>
          <w:i/>
        </w:rPr>
        <w:t>Categ. Arist.</w:t>
      </w:r>
      <w:r>
        <w:t xml:space="preserve"> PL 64, 257B</w:t>
      </w:r>
      <w:r>
        <w:tab/>
        <w:t>62</w:t>
      </w:r>
    </w:p>
    <w:p w14:paraId="398706E6" w14:textId="77777777" w:rsidR="08BA72FD" w:rsidRDefault="08BA72FD" w:rsidP="08BA72FD">
      <w:pPr>
        <w:pStyle w:val="Rejstk2"/>
        <w:tabs>
          <w:tab w:val="right" w:leader="dot" w:pos="4171"/>
        </w:tabs>
        <w:spacing w:line="240" w:lineRule="auto"/>
        <w:ind w:left="240"/>
      </w:pPr>
      <w:r w:rsidRPr="001F5DB8">
        <w:rPr>
          <w:i/>
          <w:lang w:eastAsia="en-US"/>
        </w:rPr>
        <w:t>In</w:t>
      </w:r>
      <w:r>
        <w:rPr>
          <w:lang w:eastAsia="en-US"/>
        </w:rPr>
        <w:t xml:space="preserve"> </w:t>
      </w:r>
      <w:r w:rsidRPr="001F5DB8">
        <w:rPr>
          <w:i/>
        </w:rPr>
        <w:t>Categ. Aristot.</w:t>
      </w:r>
      <w:r>
        <w:t xml:space="preserve"> PL 64, 195D</w:t>
      </w:r>
      <w:r>
        <w:tab/>
        <w:t>21</w:t>
      </w:r>
    </w:p>
    <w:p w14:paraId="0C2079C7" w14:textId="77777777" w:rsidR="08BA72FD" w:rsidRDefault="08BA72FD" w:rsidP="08BA72FD">
      <w:pPr>
        <w:pStyle w:val="Rejstk2"/>
        <w:tabs>
          <w:tab w:val="right" w:leader="dot" w:pos="4171"/>
        </w:tabs>
        <w:spacing w:line="240" w:lineRule="auto"/>
        <w:ind w:left="240"/>
      </w:pPr>
      <w:r w:rsidRPr="001F5DB8">
        <w:rPr>
          <w:i/>
        </w:rPr>
        <w:t>In librum Peri hermeneias</w:t>
      </w:r>
      <w:r>
        <w:t xml:space="preserve"> 3.11‒12</w:t>
      </w:r>
      <w:r>
        <w:tab/>
        <w:t>19</w:t>
      </w:r>
    </w:p>
    <w:p w14:paraId="54EC8110" w14:textId="77777777" w:rsidR="08BA72FD" w:rsidRDefault="08BA72FD" w:rsidP="08BA72FD">
      <w:pPr>
        <w:pStyle w:val="Rejstk2"/>
        <w:tabs>
          <w:tab w:val="right" w:leader="dot" w:pos="4171"/>
        </w:tabs>
        <w:spacing w:line="240" w:lineRule="auto"/>
        <w:ind w:left="240"/>
      </w:pPr>
      <w:r w:rsidRPr="001F5DB8">
        <w:rPr>
          <w:i/>
        </w:rPr>
        <w:t>In librum Peri hermeneias</w:t>
      </w:r>
      <w:r>
        <w:t xml:space="preserve"> 3.5‒11</w:t>
      </w:r>
      <w:r>
        <w:tab/>
        <w:t>17</w:t>
      </w:r>
    </w:p>
    <w:p w14:paraId="10201E61" w14:textId="77777777" w:rsidR="08BA72FD" w:rsidRDefault="08BA72FD" w:rsidP="08BA72FD">
      <w:pPr>
        <w:pStyle w:val="Rejstk2"/>
        <w:tabs>
          <w:tab w:val="right" w:leader="dot" w:pos="4171"/>
        </w:tabs>
        <w:spacing w:line="240" w:lineRule="auto"/>
        <w:ind w:left="240"/>
      </w:pPr>
      <w:r w:rsidRPr="001F5DB8">
        <w:rPr>
          <w:i/>
        </w:rPr>
        <w:t>In librum Peri hermeneias</w:t>
      </w:r>
      <w:r>
        <w:t xml:space="preserve"> 32.11</w:t>
      </w:r>
      <w:r>
        <w:tab/>
        <w:t>19</w:t>
      </w:r>
    </w:p>
    <w:p w14:paraId="3B3A215E" w14:textId="77777777" w:rsidR="08BA72FD" w:rsidRDefault="08BA72FD" w:rsidP="08BA72FD">
      <w:pPr>
        <w:pStyle w:val="Rejstk2"/>
        <w:tabs>
          <w:tab w:val="right" w:leader="dot" w:pos="4171"/>
        </w:tabs>
        <w:spacing w:line="240" w:lineRule="auto"/>
        <w:ind w:left="240"/>
      </w:pPr>
      <w:r w:rsidRPr="001F5DB8">
        <w:rPr>
          <w:i/>
        </w:rPr>
        <w:t>In Porph. Isag.</w:t>
      </w:r>
      <w:r>
        <w:t xml:space="preserve"> 2.14</w:t>
      </w:r>
      <w:r>
        <w:tab/>
        <w:t>68, 69</w:t>
      </w:r>
    </w:p>
    <w:p w14:paraId="401EDA7B" w14:textId="77777777" w:rsidR="08BA72FD" w:rsidRDefault="08BA72FD" w:rsidP="08BA72FD">
      <w:pPr>
        <w:pStyle w:val="Rejstk2"/>
        <w:tabs>
          <w:tab w:val="right" w:leader="dot" w:pos="4171"/>
        </w:tabs>
        <w:spacing w:line="240" w:lineRule="auto"/>
        <w:ind w:left="240"/>
      </w:pPr>
      <w:r w:rsidRPr="001F5DB8">
        <w:rPr>
          <w:i/>
        </w:rPr>
        <w:t>In Porph. Isag</w:t>
      </w:r>
      <w:r>
        <w:rPr>
          <w:lang w:eastAsia="en-US"/>
        </w:rPr>
        <w:t xml:space="preserve">. </w:t>
      </w:r>
      <w:r>
        <w:t>3.10</w:t>
      </w:r>
      <w:r>
        <w:tab/>
        <w:t>13, 14, 32, 76</w:t>
      </w:r>
    </w:p>
    <w:p w14:paraId="7AB07786" w14:textId="77777777" w:rsidR="08BA72FD" w:rsidRDefault="08BA72FD" w:rsidP="08BA72FD">
      <w:pPr>
        <w:pStyle w:val="Rejstk2"/>
        <w:tabs>
          <w:tab w:val="right" w:leader="dot" w:pos="4171"/>
        </w:tabs>
        <w:spacing w:line="240" w:lineRule="auto"/>
        <w:ind w:left="240"/>
      </w:pPr>
      <w:r w:rsidRPr="001F5DB8">
        <w:rPr>
          <w:i/>
        </w:rPr>
        <w:t>In Porph. Isag.</w:t>
      </w:r>
      <w:r>
        <w:t xml:space="preserve"> III.10</w:t>
      </w:r>
      <w:r>
        <w:tab/>
        <w:t>13</w:t>
      </w:r>
    </w:p>
    <w:p w14:paraId="5EE63D86" w14:textId="77777777" w:rsidR="08BA72FD" w:rsidRDefault="08BA72FD" w:rsidP="08BA72FD">
      <w:pPr>
        <w:pStyle w:val="Rejstk2"/>
        <w:tabs>
          <w:tab w:val="right" w:leader="dot" w:pos="4171"/>
        </w:tabs>
        <w:spacing w:line="240" w:lineRule="auto"/>
        <w:ind w:left="240"/>
      </w:pPr>
      <w:r w:rsidRPr="001F5DB8">
        <w:rPr>
          <w:i/>
        </w:rPr>
        <w:t>Liber de divisione</w:t>
      </w:r>
      <w:r>
        <w:t xml:space="preserve"> PL 64, 888 B‒C</w:t>
      </w:r>
      <w:r>
        <w:tab/>
        <w:t>30</w:t>
      </w:r>
    </w:p>
    <w:p w14:paraId="41D3229C" w14:textId="77777777" w:rsidR="08BA72FD" w:rsidRDefault="08BA72FD" w:rsidP="08BA72FD">
      <w:pPr>
        <w:pStyle w:val="Rejstk2"/>
        <w:tabs>
          <w:tab w:val="right" w:leader="dot" w:pos="4171"/>
        </w:tabs>
        <w:spacing w:line="240" w:lineRule="auto"/>
        <w:ind w:left="240"/>
      </w:pPr>
      <w:r w:rsidRPr="001F5DB8">
        <w:rPr>
          <w:i/>
          <w:color w:val="000000"/>
        </w:rPr>
        <w:t>Quomodo substantiae in eo quod sint, bonae sint</w:t>
      </w:r>
      <w:r w:rsidRPr="001F5DB8">
        <w:rPr>
          <w:color w:val="000000"/>
        </w:rPr>
        <w:t xml:space="preserve"> 1311C</w:t>
      </w:r>
      <w:r>
        <w:tab/>
        <w:t>50</w:t>
      </w:r>
    </w:p>
    <w:p w14:paraId="5BE387D9" w14:textId="77777777" w:rsidR="08BA72FD" w:rsidRDefault="08BA72FD" w:rsidP="08BA72FD">
      <w:pPr>
        <w:pStyle w:val="Rejstk2"/>
        <w:tabs>
          <w:tab w:val="right" w:leader="dot" w:pos="4171"/>
        </w:tabs>
        <w:spacing w:line="240" w:lineRule="auto"/>
        <w:ind w:left="240"/>
      </w:pPr>
      <w:r w:rsidRPr="001F5DB8">
        <w:rPr>
          <w:i/>
        </w:rPr>
        <w:t>Quomodo substantitae</w:t>
      </w:r>
      <w:r>
        <w:t xml:space="preserve"> </w:t>
      </w:r>
      <w:r w:rsidRPr="001F5DB8">
        <w:rPr>
          <w:i/>
        </w:rPr>
        <w:t>in eo quod sint, bonae sint</w:t>
      </w:r>
      <w:r w:rsidRPr="001F5DB8">
        <w:rPr>
          <w:color w:val="000000"/>
        </w:rPr>
        <w:t xml:space="preserve"> PL 64, 1314A</w:t>
      </w:r>
      <w:r>
        <w:tab/>
        <w:t>71</w:t>
      </w:r>
    </w:p>
    <w:p w14:paraId="42DF6D1E" w14:textId="77777777" w:rsidR="08BA72FD" w:rsidRDefault="08BA72FD" w:rsidP="08BA72FD">
      <w:pPr>
        <w:spacing w:line="240" w:lineRule="auto"/>
        <w:contextualSpacing/>
        <w:jc w:val="left"/>
        <w:rPr>
          <w:sz w:val="20"/>
        </w:rPr>
      </w:pPr>
    </w:p>
    <w:p w14:paraId="1069F736" w14:textId="77777777" w:rsidR="08BA72FD" w:rsidRPr="08E721CE" w:rsidRDefault="08BA72FD" w:rsidP="08BA72FD">
      <w:pPr>
        <w:pStyle w:val="Rejstk2"/>
        <w:tabs>
          <w:tab w:val="right" w:leader="dot" w:pos="4171"/>
        </w:tabs>
        <w:spacing w:line="240" w:lineRule="auto"/>
        <w:ind w:left="240"/>
        <w:rPr>
          <w:b/>
        </w:rPr>
      </w:pPr>
      <w:r w:rsidRPr="08E721CE">
        <w:rPr>
          <w:b/>
        </w:rPr>
        <w:t>Bonaventura</w:t>
      </w:r>
    </w:p>
    <w:p w14:paraId="4C3D87E4" w14:textId="77777777" w:rsidR="08BA72FD" w:rsidRDefault="08BA72FD" w:rsidP="08BA72FD">
      <w:pPr>
        <w:pStyle w:val="Rejstk2"/>
        <w:tabs>
          <w:tab w:val="right" w:leader="dot" w:pos="4171"/>
        </w:tabs>
        <w:spacing w:line="240" w:lineRule="auto"/>
        <w:ind w:left="240"/>
      </w:pPr>
      <w:r w:rsidRPr="001F5DB8">
        <w:rPr>
          <w:i/>
        </w:rPr>
        <w:t xml:space="preserve">Collationes de septem donis Spiritus sancti </w:t>
      </w:r>
      <w:r>
        <w:t>478b</w:t>
      </w:r>
      <w:r>
        <w:tab/>
        <w:t>685</w:t>
      </w:r>
    </w:p>
    <w:p w14:paraId="6F931549" w14:textId="77777777" w:rsidR="08BA72FD" w:rsidRDefault="08BA72FD" w:rsidP="08BA72FD">
      <w:pPr>
        <w:pStyle w:val="Rejstk2"/>
        <w:tabs>
          <w:tab w:val="right" w:leader="dot" w:pos="4171"/>
        </w:tabs>
        <w:spacing w:line="240" w:lineRule="auto"/>
        <w:ind w:left="240"/>
      </w:pPr>
      <w:r w:rsidRPr="001F5DB8">
        <w:rPr>
          <w:i/>
        </w:rPr>
        <w:t>Collationes in Hexaëmeron</w:t>
      </w:r>
      <w:r>
        <w:t xml:space="preserve"> 422a</w:t>
      </w:r>
      <w:r>
        <w:tab/>
        <w:t>685</w:t>
      </w:r>
    </w:p>
    <w:p w14:paraId="78A47B17" w14:textId="77777777" w:rsidR="08BA72FD" w:rsidRDefault="08BA72FD" w:rsidP="08BA72FD">
      <w:pPr>
        <w:pStyle w:val="Rejstk2"/>
        <w:tabs>
          <w:tab w:val="right" w:leader="dot" w:pos="4171"/>
        </w:tabs>
        <w:spacing w:line="240" w:lineRule="auto"/>
        <w:ind w:left="240"/>
      </w:pPr>
      <w:r w:rsidRPr="001F5DB8">
        <w:rPr>
          <w:i/>
        </w:rPr>
        <w:t>In II Sent</w:t>
      </w:r>
      <w:r>
        <w:t>. 547b</w:t>
      </w:r>
      <w:r>
        <w:tab/>
        <w:t>680</w:t>
      </w:r>
    </w:p>
    <w:p w14:paraId="59131F02" w14:textId="77777777" w:rsidR="08BA72FD" w:rsidRDefault="08BA72FD" w:rsidP="08BA72FD">
      <w:pPr>
        <w:spacing w:line="240" w:lineRule="auto"/>
        <w:contextualSpacing/>
        <w:jc w:val="left"/>
        <w:rPr>
          <w:sz w:val="20"/>
        </w:rPr>
      </w:pPr>
    </w:p>
    <w:p w14:paraId="4D998118" w14:textId="77777777" w:rsidR="08BA72FD" w:rsidRPr="081250F5" w:rsidRDefault="08BA72FD" w:rsidP="08BA72FD">
      <w:pPr>
        <w:pStyle w:val="Rejstk1"/>
        <w:tabs>
          <w:tab w:val="right" w:leader="dot" w:pos="4171"/>
        </w:tabs>
        <w:spacing w:line="240" w:lineRule="auto"/>
        <w:rPr>
          <w:b/>
        </w:rPr>
      </w:pPr>
      <w:r w:rsidRPr="081250F5">
        <w:rPr>
          <w:b/>
        </w:rPr>
        <w:t>David z Dinantu</w:t>
      </w:r>
    </w:p>
    <w:p w14:paraId="14FA48BE" w14:textId="77777777" w:rsidR="08BA72FD" w:rsidRDefault="08BA72FD" w:rsidP="08BA72FD">
      <w:pPr>
        <w:pStyle w:val="Rejstk2"/>
        <w:tabs>
          <w:tab w:val="right" w:leader="dot" w:pos="4171"/>
        </w:tabs>
        <w:spacing w:line="240" w:lineRule="auto"/>
        <w:ind w:left="240"/>
      </w:pPr>
      <w:r w:rsidRPr="001F5DB8">
        <w:rPr>
          <w:iCs/>
        </w:rPr>
        <w:t>Quaternuli</w:t>
      </w:r>
      <w:r w:rsidRPr="001F5DB8">
        <w:rPr>
          <w:i/>
          <w:iCs/>
        </w:rPr>
        <w:t>, fr.</w:t>
      </w:r>
      <w:r>
        <w:t xml:space="preserve"> 69</w:t>
      </w:r>
      <w:r>
        <w:tab/>
        <w:t>149</w:t>
      </w:r>
    </w:p>
    <w:p w14:paraId="60C55E63" w14:textId="77777777" w:rsidR="08BA72FD" w:rsidRDefault="08BA72FD" w:rsidP="08BA72FD">
      <w:pPr>
        <w:pStyle w:val="Rejstk2"/>
        <w:tabs>
          <w:tab w:val="right" w:leader="dot" w:pos="4171"/>
        </w:tabs>
        <w:spacing w:line="240" w:lineRule="auto"/>
        <w:ind w:left="240"/>
      </w:pPr>
      <w:r w:rsidRPr="001F5DB8">
        <w:rPr>
          <w:iCs/>
        </w:rPr>
        <w:t>Quaternuli</w:t>
      </w:r>
      <w:r w:rsidRPr="001F5DB8">
        <w:rPr>
          <w:i/>
          <w:iCs/>
        </w:rPr>
        <w:t>, fr.</w:t>
      </w:r>
      <w:r>
        <w:t xml:space="preserve"> 70</w:t>
      </w:r>
      <w:r>
        <w:tab/>
        <w:t>149, 150</w:t>
      </w:r>
    </w:p>
    <w:p w14:paraId="0EC2F31B" w14:textId="77777777" w:rsidR="08BA72FD" w:rsidRDefault="08BA72FD" w:rsidP="08BA72FD">
      <w:pPr>
        <w:pStyle w:val="Rejstk2"/>
        <w:tabs>
          <w:tab w:val="right" w:leader="dot" w:pos="4171"/>
        </w:tabs>
        <w:spacing w:line="240" w:lineRule="auto"/>
        <w:ind w:left="240"/>
      </w:pPr>
      <w:r w:rsidRPr="001F5DB8">
        <w:rPr>
          <w:iCs/>
        </w:rPr>
        <w:t>Quaternuli</w:t>
      </w:r>
      <w:r w:rsidRPr="001F5DB8">
        <w:rPr>
          <w:i/>
          <w:iCs/>
        </w:rPr>
        <w:t>, fr.</w:t>
      </w:r>
      <w:r>
        <w:t xml:space="preserve"> 85</w:t>
      </w:r>
      <w:r>
        <w:tab/>
        <w:t>148</w:t>
      </w:r>
    </w:p>
    <w:p w14:paraId="67F4FEF0" w14:textId="77777777" w:rsidR="08BA72FD" w:rsidRDefault="08BA72FD" w:rsidP="08BA72FD">
      <w:pPr>
        <w:spacing w:line="240" w:lineRule="auto"/>
        <w:contextualSpacing/>
        <w:jc w:val="left"/>
        <w:rPr>
          <w:sz w:val="20"/>
        </w:rPr>
      </w:pPr>
    </w:p>
    <w:p w14:paraId="3CE53CDE" w14:textId="77777777" w:rsidR="08BA72FD" w:rsidRPr="081250F5" w:rsidRDefault="08BA72FD" w:rsidP="08BA72FD">
      <w:pPr>
        <w:spacing w:line="240" w:lineRule="auto"/>
        <w:contextualSpacing/>
        <w:jc w:val="left"/>
        <w:rPr>
          <w:b/>
          <w:sz w:val="18"/>
          <w:szCs w:val="18"/>
        </w:rPr>
      </w:pPr>
      <w:r w:rsidRPr="081250F5">
        <w:rPr>
          <w:b/>
          <w:sz w:val="18"/>
          <w:szCs w:val="18"/>
        </w:rPr>
        <w:t xml:space="preserve">De anima et de potenciis eius </w:t>
      </w:r>
    </w:p>
    <w:p w14:paraId="415CD7E8" w14:textId="77777777" w:rsidR="08BA72FD" w:rsidRDefault="08BA72FD" w:rsidP="08BA72FD">
      <w:pPr>
        <w:pStyle w:val="Rejstk1"/>
        <w:tabs>
          <w:tab w:val="right" w:leader="dot" w:pos="4171"/>
        </w:tabs>
        <w:spacing w:line="240" w:lineRule="auto"/>
      </w:pPr>
      <w:r w:rsidRPr="001F5DB8">
        <w:rPr>
          <w:i/>
        </w:rPr>
        <w:t>De anima et de potenciis eius</w:t>
      </w:r>
      <w:r>
        <w:t xml:space="preserve"> 28.36‒29.41</w:t>
      </w:r>
      <w:r>
        <w:tab/>
        <w:t>158</w:t>
      </w:r>
    </w:p>
    <w:p w14:paraId="21D3AF28" w14:textId="77777777" w:rsidR="08BA72FD" w:rsidRDefault="08BA72FD" w:rsidP="08BA72FD">
      <w:pPr>
        <w:pStyle w:val="Rejstk1"/>
        <w:tabs>
          <w:tab w:val="right" w:leader="dot" w:pos="4171"/>
        </w:tabs>
        <w:spacing w:line="240" w:lineRule="auto"/>
      </w:pPr>
      <w:r w:rsidRPr="001F5DB8">
        <w:rPr>
          <w:i/>
        </w:rPr>
        <w:t>De anima et de potenciis eius</w:t>
      </w:r>
      <w:r>
        <w:t xml:space="preserve"> 29.42‒48</w:t>
      </w:r>
      <w:r>
        <w:tab/>
        <w:t>158</w:t>
      </w:r>
    </w:p>
    <w:p w14:paraId="50F35D22" w14:textId="77777777" w:rsidR="08BA72FD" w:rsidRDefault="08BA72FD" w:rsidP="08BA72FD">
      <w:pPr>
        <w:pStyle w:val="Rejstk1"/>
        <w:tabs>
          <w:tab w:val="right" w:leader="dot" w:pos="4171"/>
        </w:tabs>
        <w:spacing w:line="240" w:lineRule="auto"/>
      </w:pPr>
      <w:r w:rsidRPr="001F5DB8">
        <w:rPr>
          <w:i/>
        </w:rPr>
        <w:t>De anima et de potenciis eius</w:t>
      </w:r>
      <w:r>
        <w:t xml:space="preserve"> 29.43‒44</w:t>
      </w:r>
      <w:r>
        <w:tab/>
        <w:t>158</w:t>
      </w:r>
    </w:p>
    <w:p w14:paraId="2348C5C2" w14:textId="77777777" w:rsidR="08BA72FD" w:rsidRDefault="08BA72FD" w:rsidP="08BA72FD">
      <w:pPr>
        <w:pStyle w:val="Rejstk1"/>
        <w:tabs>
          <w:tab w:val="right" w:leader="dot" w:pos="4171"/>
        </w:tabs>
        <w:spacing w:line="240" w:lineRule="auto"/>
      </w:pPr>
      <w:r w:rsidRPr="001F5DB8">
        <w:rPr>
          <w:i/>
        </w:rPr>
        <w:t>De anima et de potenciis eius</w:t>
      </w:r>
      <w:r>
        <w:t xml:space="preserve"> 29.49‒50</w:t>
      </w:r>
      <w:r>
        <w:tab/>
        <w:t>159</w:t>
      </w:r>
    </w:p>
    <w:p w14:paraId="39D7663D" w14:textId="77777777" w:rsidR="08BA72FD" w:rsidRDefault="08BA72FD" w:rsidP="08BA72FD">
      <w:pPr>
        <w:pStyle w:val="Rejstk1"/>
        <w:tabs>
          <w:tab w:val="right" w:leader="dot" w:pos="4171"/>
        </w:tabs>
        <w:spacing w:line="240" w:lineRule="auto"/>
      </w:pPr>
      <w:r w:rsidRPr="001F5DB8">
        <w:rPr>
          <w:i/>
        </w:rPr>
        <w:t>De anima et de potenciis eius</w:t>
      </w:r>
      <w:r>
        <w:t xml:space="preserve"> 33.144</w:t>
      </w:r>
      <w:r>
        <w:tab/>
        <w:t>163</w:t>
      </w:r>
    </w:p>
    <w:p w14:paraId="177A05EF" w14:textId="77777777" w:rsidR="08BA72FD" w:rsidRDefault="08BA72FD" w:rsidP="08BA72FD">
      <w:pPr>
        <w:pStyle w:val="Rejstk1"/>
        <w:tabs>
          <w:tab w:val="right" w:leader="dot" w:pos="4171"/>
        </w:tabs>
        <w:spacing w:line="240" w:lineRule="auto"/>
      </w:pPr>
      <w:r w:rsidRPr="001F5DB8">
        <w:rPr>
          <w:i/>
        </w:rPr>
        <w:t>De anima et de potenciis eius</w:t>
      </w:r>
      <w:r>
        <w:t xml:space="preserve"> 35.200‒36.203</w:t>
      </w:r>
      <w:r>
        <w:tab/>
        <w:t>163</w:t>
      </w:r>
    </w:p>
    <w:p w14:paraId="3F425826" w14:textId="77777777" w:rsidR="08BA72FD" w:rsidRDefault="08BA72FD" w:rsidP="08BA72FD">
      <w:pPr>
        <w:pStyle w:val="Rejstk1"/>
        <w:tabs>
          <w:tab w:val="right" w:leader="dot" w:pos="4171"/>
        </w:tabs>
        <w:spacing w:line="240" w:lineRule="auto"/>
      </w:pPr>
      <w:r w:rsidRPr="001F5DB8">
        <w:rPr>
          <w:i/>
        </w:rPr>
        <w:t>De anima et de potenciis eius</w:t>
      </w:r>
      <w:r>
        <w:t xml:space="preserve"> 37.225‒26</w:t>
      </w:r>
      <w:r>
        <w:tab/>
        <w:t>162</w:t>
      </w:r>
    </w:p>
    <w:p w14:paraId="6F3C77BA" w14:textId="77777777" w:rsidR="08BA72FD" w:rsidRDefault="08BA72FD" w:rsidP="08BA72FD">
      <w:pPr>
        <w:pStyle w:val="Rejstk1"/>
        <w:tabs>
          <w:tab w:val="right" w:leader="dot" w:pos="4171"/>
        </w:tabs>
        <w:spacing w:line="240" w:lineRule="auto"/>
      </w:pPr>
      <w:r w:rsidRPr="001F5DB8">
        <w:rPr>
          <w:i/>
        </w:rPr>
        <w:t>De anima et de potenciis eius</w:t>
      </w:r>
      <w:r>
        <w:t xml:space="preserve"> 47.384</w:t>
      </w:r>
      <w:r>
        <w:tab/>
        <w:t>164</w:t>
      </w:r>
    </w:p>
    <w:p w14:paraId="7DCA172C" w14:textId="77777777" w:rsidR="08BA72FD" w:rsidRDefault="08BA72FD" w:rsidP="08BA72FD">
      <w:pPr>
        <w:pStyle w:val="Rejstk1"/>
        <w:tabs>
          <w:tab w:val="right" w:leader="dot" w:pos="4171"/>
        </w:tabs>
        <w:spacing w:line="240" w:lineRule="auto"/>
      </w:pPr>
      <w:r w:rsidRPr="001F5DB8">
        <w:rPr>
          <w:i/>
        </w:rPr>
        <w:t>De anima et de potenciis eius</w:t>
      </w:r>
      <w:r>
        <w:t xml:space="preserve"> 49.425‒30</w:t>
      </w:r>
      <w:r>
        <w:tab/>
        <w:t>164</w:t>
      </w:r>
    </w:p>
    <w:p w14:paraId="4CE7F5E2" w14:textId="77777777" w:rsidR="08BA72FD" w:rsidRDefault="08BA72FD" w:rsidP="08BA72FD">
      <w:pPr>
        <w:pStyle w:val="Rejstk1"/>
        <w:tabs>
          <w:tab w:val="right" w:leader="dot" w:pos="4171"/>
        </w:tabs>
        <w:spacing w:line="240" w:lineRule="auto"/>
      </w:pPr>
      <w:r w:rsidRPr="001F5DB8">
        <w:rPr>
          <w:i/>
        </w:rPr>
        <w:t xml:space="preserve">De anima et de potenciis eius </w:t>
      </w:r>
      <w:r>
        <w:t>51.446‒452</w:t>
      </w:r>
      <w:r>
        <w:tab/>
        <w:t>170</w:t>
      </w:r>
    </w:p>
    <w:p w14:paraId="79D0C586" w14:textId="77777777" w:rsidR="08BA72FD" w:rsidRDefault="08BA72FD" w:rsidP="08BA72FD">
      <w:pPr>
        <w:pStyle w:val="Rejstk1"/>
        <w:tabs>
          <w:tab w:val="right" w:leader="dot" w:pos="4171"/>
        </w:tabs>
        <w:spacing w:line="240" w:lineRule="auto"/>
      </w:pPr>
      <w:r w:rsidRPr="001F5DB8">
        <w:rPr>
          <w:i/>
        </w:rPr>
        <w:t xml:space="preserve">De anima et de potenciis eius </w:t>
      </w:r>
      <w:r>
        <w:t>52.465‒68</w:t>
      </w:r>
      <w:r>
        <w:tab/>
        <w:t>168</w:t>
      </w:r>
    </w:p>
    <w:p w14:paraId="40AB5796" w14:textId="77777777" w:rsidR="00EE4BA3" w:rsidRDefault="08BA72FD" w:rsidP="00EE4BA3">
      <w:pPr>
        <w:pStyle w:val="Rejstk1"/>
        <w:tabs>
          <w:tab w:val="right" w:leader="dot" w:pos="4171"/>
        </w:tabs>
        <w:spacing w:line="240" w:lineRule="auto"/>
      </w:pPr>
      <w:r w:rsidRPr="001F5DB8">
        <w:rPr>
          <w:i/>
        </w:rPr>
        <w:t>De anima et de potenciis eius</w:t>
      </w:r>
      <w:r>
        <w:t>. 51.453‒52.461</w:t>
      </w:r>
      <w:r>
        <w:tab/>
        <w:t>172</w:t>
      </w:r>
    </w:p>
    <w:p w14:paraId="3BD9506C" w14:textId="43DE458E" w:rsidR="00EE4BA3" w:rsidRPr="00EE4BA3" w:rsidRDefault="00EE4BA3" w:rsidP="00EE4BA3">
      <w:pPr>
        <w:pStyle w:val="Rejstk1"/>
        <w:tabs>
          <w:tab w:val="right" w:leader="dot" w:pos="4171"/>
        </w:tabs>
        <w:spacing w:line="240" w:lineRule="auto"/>
      </w:pPr>
      <w:r>
        <w:rPr>
          <w:i/>
        </w:rPr>
        <w:t>De anima et de potenciis eius</w:t>
      </w:r>
      <w:r w:rsidRPr="004E3314">
        <w:t xml:space="preserve"> </w:t>
      </w:r>
      <w:r>
        <w:t>36.201</w:t>
      </w:r>
      <w:r>
        <w:tab/>
        <w:t>174</w:t>
      </w:r>
    </w:p>
    <w:p w14:paraId="22442CE1" w14:textId="77777777" w:rsidR="08BA72FD" w:rsidRDefault="08BA72FD" w:rsidP="08BA72FD">
      <w:pPr>
        <w:pStyle w:val="Rejstk1"/>
        <w:tabs>
          <w:tab w:val="right" w:leader="dot" w:pos="4171"/>
        </w:tabs>
        <w:spacing w:line="240" w:lineRule="auto"/>
      </w:pPr>
    </w:p>
    <w:p w14:paraId="2C7A821D" w14:textId="77777777" w:rsidR="08BA72FD" w:rsidRPr="081250F5" w:rsidRDefault="08BA72FD" w:rsidP="08BA72FD">
      <w:pPr>
        <w:pStyle w:val="Rejstk1"/>
        <w:tabs>
          <w:tab w:val="right" w:leader="dot" w:pos="4171"/>
        </w:tabs>
        <w:spacing w:line="240" w:lineRule="auto"/>
        <w:rPr>
          <w:b/>
        </w:rPr>
      </w:pPr>
      <w:r w:rsidRPr="081250F5">
        <w:rPr>
          <w:b/>
        </w:rPr>
        <w:t>De potenciis animae et obiectis</w:t>
      </w:r>
    </w:p>
    <w:p w14:paraId="72DE6C39" w14:textId="77777777" w:rsidR="08BA72FD" w:rsidRDefault="08BA72FD" w:rsidP="08BA72FD">
      <w:pPr>
        <w:pStyle w:val="Rejstk1"/>
        <w:tabs>
          <w:tab w:val="right" w:leader="dot" w:pos="4171"/>
        </w:tabs>
        <w:spacing w:line="240" w:lineRule="auto"/>
      </w:pPr>
      <w:r w:rsidRPr="001F5DB8">
        <w:rPr>
          <w:i/>
        </w:rPr>
        <w:t>De potenciis animae et obiectis</w:t>
      </w:r>
      <w:r>
        <w:t xml:space="preserve"> 140</w:t>
      </w:r>
      <w:r>
        <w:tab/>
        <w:t>206</w:t>
      </w:r>
    </w:p>
    <w:p w14:paraId="59EAB0CE" w14:textId="77777777" w:rsidR="08BA72FD" w:rsidRDefault="08BA72FD" w:rsidP="08BA72FD">
      <w:pPr>
        <w:pStyle w:val="Rejstk1"/>
        <w:tabs>
          <w:tab w:val="right" w:leader="dot" w:pos="4171"/>
        </w:tabs>
        <w:spacing w:line="240" w:lineRule="auto"/>
      </w:pPr>
      <w:r w:rsidRPr="001F5DB8">
        <w:rPr>
          <w:i/>
        </w:rPr>
        <w:t xml:space="preserve">De potenciis animae et obiectis </w:t>
      </w:r>
      <w:r>
        <w:t>147.15‒17</w:t>
      </w:r>
      <w:r>
        <w:tab/>
        <w:t>183</w:t>
      </w:r>
    </w:p>
    <w:p w14:paraId="1B8DB078" w14:textId="77777777" w:rsidR="08BA72FD" w:rsidRDefault="08BA72FD" w:rsidP="08BA72FD">
      <w:pPr>
        <w:pStyle w:val="Rejstk1"/>
        <w:tabs>
          <w:tab w:val="right" w:leader="dot" w:pos="4171"/>
        </w:tabs>
        <w:spacing w:line="240" w:lineRule="auto"/>
      </w:pPr>
      <w:r w:rsidRPr="001F5DB8">
        <w:rPr>
          <w:i/>
        </w:rPr>
        <w:t xml:space="preserve">De potenciis animae et obiectis </w:t>
      </w:r>
      <w:r>
        <w:t>147.7‒12</w:t>
      </w:r>
      <w:r>
        <w:tab/>
        <w:t>182</w:t>
      </w:r>
    </w:p>
    <w:p w14:paraId="25B7B912" w14:textId="77777777" w:rsidR="08BA72FD" w:rsidRDefault="08BA72FD" w:rsidP="08BA72FD">
      <w:pPr>
        <w:pStyle w:val="Rejstk1"/>
        <w:tabs>
          <w:tab w:val="right" w:leader="dot" w:pos="4171"/>
        </w:tabs>
        <w:spacing w:line="240" w:lineRule="auto"/>
      </w:pPr>
      <w:r w:rsidRPr="001F5DB8">
        <w:rPr>
          <w:i/>
        </w:rPr>
        <w:t xml:space="preserve">De potenciis animae et obiectis </w:t>
      </w:r>
      <w:r>
        <w:t>148.2‒5</w:t>
      </w:r>
      <w:r>
        <w:tab/>
        <w:t>183</w:t>
      </w:r>
    </w:p>
    <w:p w14:paraId="1443BA56" w14:textId="77777777" w:rsidR="08BA72FD" w:rsidRDefault="08BA72FD" w:rsidP="08BA72FD">
      <w:pPr>
        <w:pStyle w:val="Rejstk1"/>
        <w:tabs>
          <w:tab w:val="right" w:leader="dot" w:pos="4171"/>
        </w:tabs>
        <w:spacing w:line="240" w:lineRule="auto"/>
      </w:pPr>
      <w:r w:rsidRPr="001F5DB8">
        <w:rPr>
          <w:i/>
        </w:rPr>
        <w:t xml:space="preserve">De potenciis animae et obiectis </w:t>
      </w:r>
      <w:r>
        <w:t>149.18‒20</w:t>
      </w:r>
      <w:r>
        <w:tab/>
        <w:t>184</w:t>
      </w:r>
    </w:p>
    <w:p w14:paraId="05504412" w14:textId="77777777" w:rsidR="08BA72FD" w:rsidRDefault="08BA72FD" w:rsidP="08BA72FD">
      <w:pPr>
        <w:pStyle w:val="Rejstk1"/>
        <w:tabs>
          <w:tab w:val="right" w:leader="dot" w:pos="4171"/>
        </w:tabs>
        <w:spacing w:line="240" w:lineRule="auto"/>
      </w:pPr>
      <w:r w:rsidRPr="001F5DB8">
        <w:rPr>
          <w:i/>
        </w:rPr>
        <w:t>De potenciis animae et obiectis</w:t>
      </w:r>
      <w:r>
        <w:t xml:space="preserve"> 150.13‒21</w:t>
      </w:r>
      <w:r>
        <w:tab/>
        <w:t>185</w:t>
      </w:r>
    </w:p>
    <w:p w14:paraId="73501D4F" w14:textId="77777777" w:rsidR="08BA72FD" w:rsidRDefault="08BA72FD" w:rsidP="08BA72FD">
      <w:pPr>
        <w:pStyle w:val="Rejstk1"/>
        <w:tabs>
          <w:tab w:val="right" w:leader="dot" w:pos="4171"/>
        </w:tabs>
        <w:spacing w:line="240" w:lineRule="auto"/>
      </w:pPr>
      <w:r w:rsidRPr="001F5DB8">
        <w:rPr>
          <w:i/>
        </w:rPr>
        <w:t xml:space="preserve">De potenciis animae et obiectis </w:t>
      </w:r>
      <w:r>
        <w:t>150.8‒12</w:t>
      </w:r>
      <w:r>
        <w:tab/>
        <w:t>184</w:t>
      </w:r>
    </w:p>
    <w:p w14:paraId="6381576F" w14:textId="77777777" w:rsidR="08C46E25" w:rsidRDefault="08C46E25" w:rsidP="08C46E25">
      <w:pPr>
        <w:pStyle w:val="Rejstk1"/>
        <w:tabs>
          <w:tab w:val="right" w:leader="dot" w:pos="4171"/>
        </w:tabs>
        <w:spacing w:line="240" w:lineRule="auto"/>
      </w:pPr>
      <w:r w:rsidRPr="001F5DB8">
        <w:rPr>
          <w:i/>
        </w:rPr>
        <w:t>De potenciis animae et obiectis</w:t>
      </w:r>
      <w:r>
        <w:t xml:space="preserve"> 155.29‒31</w:t>
      </w:r>
      <w:r>
        <w:tab/>
        <w:t>186</w:t>
      </w:r>
    </w:p>
    <w:p w14:paraId="7404215A" w14:textId="77777777" w:rsidR="08BA72FD" w:rsidRDefault="08BA72FD" w:rsidP="08BA72FD">
      <w:pPr>
        <w:pStyle w:val="Rejstk1"/>
        <w:tabs>
          <w:tab w:val="right" w:leader="dot" w:pos="4171"/>
        </w:tabs>
        <w:spacing w:line="240" w:lineRule="auto"/>
      </w:pPr>
      <w:r w:rsidRPr="001F5DB8">
        <w:rPr>
          <w:i/>
        </w:rPr>
        <w:t>De potenciis animae et obiectis</w:t>
      </w:r>
      <w:r>
        <w:t xml:space="preserve"> 156.1‒5</w:t>
      </w:r>
      <w:r>
        <w:tab/>
        <w:t>187</w:t>
      </w:r>
    </w:p>
    <w:p w14:paraId="5D806657" w14:textId="77777777" w:rsidR="08BA72FD" w:rsidRDefault="08BA72FD" w:rsidP="08BA72FD">
      <w:pPr>
        <w:pStyle w:val="Rejstk1"/>
        <w:tabs>
          <w:tab w:val="right" w:leader="dot" w:pos="4171"/>
        </w:tabs>
        <w:spacing w:line="240" w:lineRule="auto"/>
      </w:pPr>
      <w:r w:rsidRPr="001F5DB8">
        <w:rPr>
          <w:i/>
        </w:rPr>
        <w:t>De potenciis animae et obiectis</w:t>
      </w:r>
      <w:r>
        <w:t xml:space="preserve"> 156.17‒19</w:t>
      </w:r>
      <w:r>
        <w:tab/>
        <w:t>188</w:t>
      </w:r>
    </w:p>
    <w:p w14:paraId="21E30022" w14:textId="77777777" w:rsidR="08BA72FD" w:rsidRDefault="08BA72FD" w:rsidP="08BA72FD">
      <w:pPr>
        <w:pStyle w:val="Rejstk1"/>
        <w:tabs>
          <w:tab w:val="right" w:leader="dot" w:pos="4171"/>
        </w:tabs>
        <w:spacing w:line="240" w:lineRule="auto"/>
      </w:pPr>
      <w:r w:rsidRPr="001F5DB8">
        <w:rPr>
          <w:i/>
        </w:rPr>
        <w:t xml:space="preserve">De potenciis animae et obiectis </w:t>
      </w:r>
      <w:r>
        <w:t>156.5‒11</w:t>
      </w:r>
      <w:r>
        <w:tab/>
        <w:t>188</w:t>
      </w:r>
    </w:p>
    <w:p w14:paraId="1C88DABE" w14:textId="77777777" w:rsidR="08BA72FD" w:rsidRDefault="08BA72FD" w:rsidP="08BA72FD">
      <w:pPr>
        <w:pStyle w:val="Rejstk1"/>
        <w:tabs>
          <w:tab w:val="right" w:leader="dot" w:pos="4171"/>
        </w:tabs>
        <w:spacing w:line="240" w:lineRule="auto"/>
      </w:pPr>
      <w:r w:rsidRPr="001F5DB8">
        <w:rPr>
          <w:i/>
        </w:rPr>
        <w:t xml:space="preserve">De potenciis animae et obiectis </w:t>
      </w:r>
      <w:r>
        <w:t>156.9‒13</w:t>
      </w:r>
      <w:r>
        <w:tab/>
        <w:t>192</w:t>
      </w:r>
    </w:p>
    <w:p w14:paraId="493C5BF4" w14:textId="77777777" w:rsidR="08BA72FD" w:rsidRDefault="08BA72FD" w:rsidP="08BA72FD">
      <w:pPr>
        <w:pStyle w:val="Rejstk1"/>
        <w:tabs>
          <w:tab w:val="right" w:leader="dot" w:pos="4171"/>
        </w:tabs>
        <w:spacing w:line="240" w:lineRule="auto"/>
      </w:pPr>
      <w:r w:rsidRPr="001F5DB8">
        <w:rPr>
          <w:i/>
        </w:rPr>
        <w:t>De potenciis animae et obiectis</w:t>
      </w:r>
      <w:r>
        <w:t xml:space="preserve"> 157.25‒158.1</w:t>
      </w:r>
      <w:r>
        <w:tab/>
        <w:t>187</w:t>
      </w:r>
    </w:p>
    <w:p w14:paraId="2BA06A92" w14:textId="77777777" w:rsidR="08BA72FD" w:rsidRDefault="08BA72FD" w:rsidP="08BA72FD">
      <w:pPr>
        <w:pStyle w:val="Rejstk1"/>
        <w:tabs>
          <w:tab w:val="right" w:leader="dot" w:pos="4171"/>
        </w:tabs>
        <w:spacing w:line="240" w:lineRule="auto"/>
      </w:pPr>
      <w:r w:rsidRPr="001F5DB8">
        <w:rPr>
          <w:i/>
        </w:rPr>
        <w:t xml:space="preserve">De potenciis animae et obiectis </w:t>
      </w:r>
      <w:r>
        <w:t>159.14‒19</w:t>
      </w:r>
      <w:r>
        <w:tab/>
        <w:t>192</w:t>
      </w:r>
    </w:p>
    <w:p w14:paraId="44252F17" w14:textId="77777777" w:rsidR="08BA72FD" w:rsidRDefault="08BA72FD" w:rsidP="08BA72FD">
      <w:pPr>
        <w:spacing w:line="240" w:lineRule="auto"/>
        <w:contextualSpacing/>
        <w:jc w:val="left"/>
        <w:rPr>
          <w:sz w:val="20"/>
        </w:rPr>
      </w:pPr>
    </w:p>
    <w:p w14:paraId="618C6D34" w14:textId="77777777" w:rsidR="08BA72FD" w:rsidRPr="08BD1B47" w:rsidRDefault="08BA72FD" w:rsidP="08BA72FD">
      <w:pPr>
        <w:spacing w:line="240" w:lineRule="auto"/>
        <w:contextualSpacing/>
        <w:jc w:val="left"/>
        <w:rPr>
          <w:b/>
          <w:sz w:val="18"/>
          <w:szCs w:val="18"/>
        </w:rPr>
      </w:pPr>
      <w:r w:rsidRPr="08BD1B47">
        <w:rPr>
          <w:b/>
          <w:sz w:val="18"/>
          <w:szCs w:val="18"/>
        </w:rPr>
        <w:t>René Descartes</w:t>
      </w:r>
    </w:p>
    <w:p w14:paraId="63465AA6" w14:textId="77777777" w:rsidR="08BA72FD" w:rsidRDefault="08BA72FD" w:rsidP="08BA72FD">
      <w:pPr>
        <w:pStyle w:val="Rejstk2"/>
        <w:tabs>
          <w:tab w:val="right" w:leader="dot" w:pos="4171"/>
        </w:tabs>
        <w:spacing w:line="240" w:lineRule="auto"/>
        <w:ind w:left="240"/>
      </w:pPr>
      <w:r w:rsidRPr="001F5DB8">
        <w:rPr>
          <w:i/>
        </w:rPr>
        <w:t>Regulae ad directionem ingenii</w:t>
      </w:r>
      <w:r>
        <w:t xml:space="preserve"> 412.14‒19</w:t>
      </w:r>
      <w:r>
        <w:tab/>
        <w:t>593</w:t>
      </w:r>
    </w:p>
    <w:p w14:paraId="1D108EB0" w14:textId="77777777" w:rsidR="08BA72FD" w:rsidRDefault="08BA72FD" w:rsidP="08BA72FD"/>
    <w:p w14:paraId="1F3EBD7F" w14:textId="77777777" w:rsidR="08BA72FD" w:rsidRPr="088A6E95" w:rsidRDefault="08BA72FD" w:rsidP="08BA72FD">
      <w:pPr>
        <w:pStyle w:val="Rejstk1"/>
        <w:tabs>
          <w:tab w:val="right" w:leader="dot" w:pos="4171"/>
        </w:tabs>
        <w:spacing w:line="240" w:lineRule="auto"/>
        <w:rPr>
          <w:b/>
        </w:rPr>
      </w:pPr>
      <w:r w:rsidRPr="088A6E95">
        <w:rPr>
          <w:b/>
        </w:rPr>
        <w:t xml:space="preserve">Dialogus Ratii et Everardi </w:t>
      </w:r>
    </w:p>
    <w:p w14:paraId="44F87685" w14:textId="77777777" w:rsidR="08BA72FD" w:rsidRDefault="08BA72FD" w:rsidP="08BA72FD">
      <w:pPr>
        <w:pStyle w:val="Rejstk1"/>
        <w:tabs>
          <w:tab w:val="right" w:leader="dot" w:pos="4171"/>
        </w:tabs>
        <w:spacing w:line="240" w:lineRule="auto"/>
      </w:pPr>
      <w:r w:rsidRPr="001F5DB8">
        <w:rPr>
          <w:i/>
        </w:rPr>
        <w:t>Dialogus Ratii et Everardi</w:t>
      </w:r>
      <w:r>
        <w:t xml:space="preserve"> 254</w:t>
      </w:r>
      <w:r>
        <w:tab/>
        <w:t>87</w:t>
      </w:r>
    </w:p>
    <w:p w14:paraId="0AE7ADCD" w14:textId="77777777" w:rsidR="08BA72FD" w:rsidRDefault="08BA72FD" w:rsidP="08BA72FD">
      <w:pPr>
        <w:pStyle w:val="Rejstk1"/>
        <w:tabs>
          <w:tab w:val="right" w:leader="dot" w:pos="4171"/>
        </w:tabs>
        <w:spacing w:line="240" w:lineRule="auto"/>
      </w:pPr>
      <w:r w:rsidRPr="001F5DB8">
        <w:rPr>
          <w:i/>
        </w:rPr>
        <w:t>Dialogus Ratii et Everardi</w:t>
      </w:r>
      <w:r>
        <w:t xml:space="preserve"> 255</w:t>
      </w:r>
      <w:r>
        <w:tab/>
        <w:t>88</w:t>
      </w:r>
    </w:p>
    <w:p w14:paraId="75035102" w14:textId="77777777" w:rsidR="08BA72FD" w:rsidRDefault="08BA72FD" w:rsidP="08BA72FD">
      <w:pPr>
        <w:pStyle w:val="Rejstk1"/>
        <w:tabs>
          <w:tab w:val="right" w:leader="dot" w:pos="4171"/>
        </w:tabs>
        <w:spacing w:line="240" w:lineRule="auto"/>
      </w:pPr>
      <w:r w:rsidRPr="001F5DB8">
        <w:rPr>
          <w:i/>
        </w:rPr>
        <w:t>Dialogus Ratii et Everardi</w:t>
      </w:r>
      <w:r>
        <w:t xml:space="preserve"> 256‒57</w:t>
      </w:r>
      <w:r>
        <w:tab/>
        <w:t>87</w:t>
      </w:r>
    </w:p>
    <w:p w14:paraId="1B47BB21" w14:textId="77777777" w:rsidR="08BA72FD" w:rsidRDefault="08BA72FD" w:rsidP="08BA72FD">
      <w:pPr>
        <w:pStyle w:val="Rejstk1"/>
        <w:tabs>
          <w:tab w:val="right" w:leader="dot" w:pos="4171"/>
        </w:tabs>
        <w:spacing w:line="240" w:lineRule="auto"/>
      </w:pPr>
      <w:r w:rsidRPr="001F5DB8">
        <w:rPr>
          <w:i/>
        </w:rPr>
        <w:t>Dialogus Ratii et Everardi</w:t>
      </w:r>
      <w:r>
        <w:t xml:space="preserve"> 257</w:t>
      </w:r>
      <w:r>
        <w:tab/>
        <w:t>85</w:t>
      </w:r>
    </w:p>
    <w:p w14:paraId="29E2AF24" w14:textId="77777777" w:rsidR="08BA72FD" w:rsidRDefault="08BA72FD" w:rsidP="08BA72FD">
      <w:pPr>
        <w:pStyle w:val="Rejstk1"/>
        <w:tabs>
          <w:tab w:val="right" w:leader="dot" w:pos="4171"/>
        </w:tabs>
        <w:spacing w:line="240" w:lineRule="auto"/>
      </w:pPr>
      <w:r w:rsidRPr="001F5DB8">
        <w:rPr>
          <w:i/>
        </w:rPr>
        <w:t>Dialogus Ratii et Everardi</w:t>
      </w:r>
      <w:r>
        <w:t xml:space="preserve"> 269</w:t>
      </w:r>
      <w:r>
        <w:tab/>
        <w:t>89</w:t>
      </w:r>
    </w:p>
    <w:p w14:paraId="7865BCDC" w14:textId="77777777" w:rsidR="08BA72FD" w:rsidRDefault="08BA72FD" w:rsidP="08BA72FD">
      <w:pPr>
        <w:pStyle w:val="Rejstk1"/>
        <w:tabs>
          <w:tab w:val="right" w:leader="dot" w:pos="4171"/>
        </w:tabs>
        <w:spacing w:line="240" w:lineRule="auto"/>
      </w:pPr>
      <w:r w:rsidRPr="001F5DB8">
        <w:rPr>
          <w:i/>
        </w:rPr>
        <w:t>Dialogus Ratii et Everardi</w:t>
      </w:r>
      <w:r>
        <w:t xml:space="preserve"> 272</w:t>
      </w:r>
      <w:r>
        <w:tab/>
        <w:t>89</w:t>
      </w:r>
    </w:p>
    <w:p w14:paraId="720B3A61" w14:textId="77777777" w:rsidR="08BA72FD" w:rsidRDefault="08BA72FD" w:rsidP="08BA72FD">
      <w:pPr>
        <w:pStyle w:val="Rejstk1"/>
        <w:tabs>
          <w:tab w:val="right" w:leader="dot" w:pos="4171"/>
        </w:tabs>
        <w:spacing w:line="240" w:lineRule="auto"/>
      </w:pPr>
      <w:r w:rsidRPr="001F5DB8">
        <w:rPr>
          <w:i/>
        </w:rPr>
        <w:t>Dialogus Ratii et Everardi</w:t>
      </w:r>
      <w:r>
        <w:t xml:space="preserve"> 284</w:t>
      </w:r>
      <w:r>
        <w:tab/>
        <w:t>90</w:t>
      </w:r>
    </w:p>
    <w:p w14:paraId="33CBA22F" w14:textId="77777777" w:rsidR="08BA72FD" w:rsidRPr="088A6E95" w:rsidRDefault="08BA72FD" w:rsidP="08BA72FD"/>
    <w:p w14:paraId="2619C429" w14:textId="77777777" w:rsidR="08BA72FD" w:rsidRPr="08BF6DF1" w:rsidRDefault="08BA72FD" w:rsidP="08BA72FD">
      <w:pPr>
        <w:pStyle w:val="Rejstk1"/>
        <w:tabs>
          <w:tab w:val="right" w:leader="dot" w:pos="4171"/>
        </w:tabs>
        <w:spacing w:line="240" w:lineRule="auto"/>
        <w:rPr>
          <w:b/>
        </w:rPr>
      </w:pPr>
      <w:r w:rsidRPr="08BF6DF1">
        <w:rPr>
          <w:b/>
        </w:rPr>
        <w:t>Filip Kancléř</w:t>
      </w:r>
    </w:p>
    <w:p w14:paraId="45871FA0" w14:textId="77777777" w:rsidR="08BA72FD" w:rsidRDefault="08BA72FD" w:rsidP="08BA72FD">
      <w:pPr>
        <w:pStyle w:val="Rejstk2"/>
        <w:tabs>
          <w:tab w:val="right" w:leader="dot" w:pos="4171"/>
        </w:tabs>
        <w:spacing w:line="240" w:lineRule="auto"/>
        <w:ind w:left="240"/>
      </w:pPr>
      <w:r w:rsidRPr="08BF6DF1">
        <w:rPr>
          <w:i/>
          <w:iCs/>
        </w:rPr>
        <w:t>Summa de Bono</w:t>
      </w:r>
      <w:r w:rsidRPr="001F5DB8">
        <w:rPr>
          <w:iCs/>
        </w:rPr>
        <w:t xml:space="preserve"> </w:t>
      </w:r>
      <w:r>
        <w:t>26.16‒17</w:t>
      </w:r>
      <w:r>
        <w:tab/>
        <w:t>228</w:t>
      </w:r>
    </w:p>
    <w:p w14:paraId="6BD528F2" w14:textId="77777777" w:rsidR="08BA72FD" w:rsidRDefault="08BA72FD" w:rsidP="08BA72FD">
      <w:pPr>
        <w:pStyle w:val="Rejstk2"/>
        <w:tabs>
          <w:tab w:val="right" w:leader="dot" w:pos="4171"/>
        </w:tabs>
        <w:spacing w:line="240" w:lineRule="auto"/>
        <w:ind w:left="240"/>
      </w:pPr>
      <w:r w:rsidRPr="08BF6DF1">
        <w:rPr>
          <w:i/>
          <w:iCs/>
        </w:rPr>
        <w:t>Summa de Bono</w:t>
      </w:r>
      <w:r w:rsidRPr="001F5DB8">
        <w:rPr>
          <w:iCs/>
        </w:rPr>
        <w:t xml:space="preserve"> </w:t>
      </w:r>
      <w:r>
        <w:t>30.11‒12</w:t>
      </w:r>
      <w:r>
        <w:tab/>
        <w:t>226</w:t>
      </w:r>
    </w:p>
    <w:p w14:paraId="6B90B45D" w14:textId="77777777" w:rsidR="08BA72FD" w:rsidRDefault="08BA72FD" w:rsidP="08BA72FD">
      <w:pPr>
        <w:pStyle w:val="Rejstk2"/>
        <w:tabs>
          <w:tab w:val="right" w:leader="dot" w:pos="4171"/>
        </w:tabs>
        <w:spacing w:line="240" w:lineRule="auto"/>
        <w:ind w:left="240"/>
      </w:pPr>
      <w:r w:rsidRPr="08BF6DF1">
        <w:rPr>
          <w:i/>
          <w:iCs/>
        </w:rPr>
        <w:t>Summa de Bono</w:t>
      </w:r>
      <w:r w:rsidRPr="001F5DB8">
        <w:rPr>
          <w:iCs/>
        </w:rPr>
        <w:t xml:space="preserve"> </w:t>
      </w:r>
      <w:r>
        <w:t>7.30-33</w:t>
      </w:r>
      <w:r>
        <w:tab/>
        <w:t>227</w:t>
      </w:r>
    </w:p>
    <w:p w14:paraId="296435B8" w14:textId="77777777" w:rsidR="08BA72FD" w:rsidRDefault="08BA72FD" w:rsidP="08BA72FD">
      <w:pPr>
        <w:pStyle w:val="Rejstk2"/>
        <w:tabs>
          <w:tab w:val="right" w:leader="dot" w:pos="4171"/>
        </w:tabs>
        <w:spacing w:line="240" w:lineRule="auto"/>
        <w:ind w:left="240"/>
      </w:pPr>
      <w:r w:rsidRPr="08BF6DF1">
        <w:rPr>
          <w:i/>
          <w:iCs/>
        </w:rPr>
        <w:t>Summa de Bono</w:t>
      </w:r>
      <w:r w:rsidRPr="001F5DB8">
        <w:rPr>
          <w:iCs/>
        </w:rPr>
        <w:t xml:space="preserve"> </w:t>
      </w:r>
      <w:r>
        <w:t>8</w:t>
      </w:r>
      <w:r>
        <w:tab/>
        <w:t>227</w:t>
      </w:r>
    </w:p>
    <w:p w14:paraId="046D96E9" w14:textId="77777777" w:rsidR="08BA72FD" w:rsidRDefault="08BA72FD" w:rsidP="08BA72FD">
      <w:pPr>
        <w:spacing w:line="240" w:lineRule="auto"/>
        <w:contextualSpacing/>
        <w:jc w:val="left"/>
        <w:rPr>
          <w:sz w:val="20"/>
        </w:rPr>
      </w:pPr>
    </w:p>
    <w:p w14:paraId="7B430B8F" w14:textId="77777777" w:rsidR="08BA72FD" w:rsidRPr="08E8586F" w:rsidRDefault="08BA72FD" w:rsidP="08BA72FD">
      <w:pPr>
        <w:pStyle w:val="Rejstk1"/>
        <w:tabs>
          <w:tab w:val="right" w:leader="dot" w:pos="4171"/>
        </w:tabs>
        <w:spacing w:line="240" w:lineRule="auto"/>
        <w:rPr>
          <w:b/>
        </w:rPr>
      </w:pPr>
      <w:r w:rsidRPr="08E8586F">
        <w:rPr>
          <w:b/>
          <w:color w:val="000000"/>
        </w:rPr>
        <w:t xml:space="preserve">Gaunilo de </w:t>
      </w:r>
      <w:r w:rsidRPr="08E8586F">
        <w:rPr>
          <w:b/>
        </w:rPr>
        <w:t>Marmoutiers</w:t>
      </w:r>
    </w:p>
    <w:p w14:paraId="561F5F83" w14:textId="77777777" w:rsidR="08BA72FD" w:rsidRDefault="08BA72FD" w:rsidP="08BA72FD">
      <w:pPr>
        <w:pStyle w:val="Rejstk2"/>
        <w:tabs>
          <w:tab w:val="right" w:leader="dot" w:pos="4171"/>
        </w:tabs>
        <w:spacing w:line="240" w:lineRule="auto"/>
        <w:ind w:left="240"/>
      </w:pPr>
      <w:r w:rsidRPr="001F5DB8">
        <w:rPr>
          <w:i/>
        </w:rPr>
        <w:t xml:space="preserve">Liber Gaunilonis pro insipiente </w:t>
      </w:r>
      <w:r>
        <w:t>PL 158, 244 B</w:t>
      </w:r>
      <w:r>
        <w:tab/>
        <w:t>55</w:t>
      </w:r>
    </w:p>
    <w:p w14:paraId="0CA01A75" w14:textId="77777777" w:rsidR="08BA72FD" w:rsidRDefault="08BA72FD" w:rsidP="08BA72FD"/>
    <w:p w14:paraId="7523A343" w14:textId="77777777" w:rsidR="08BA72FD" w:rsidRPr="08E8586F" w:rsidRDefault="08BA72FD" w:rsidP="08BA72FD">
      <w:pPr>
        <w:pStyle w:val="Rejstk1"/>
        <w:tabs>
          <w:tab w:val="right" w:leader="dot" w:pos="4171"/>
        </w:tabs>
        <w:spacing w:line="240" w:lineRule="auto"/>
        <w:rPr>
          <w:b/>
        </w:rPr>
      </w:pPr>
      <w:r w:rsidRPr="08E8586F">
        <w:rPr>
          <w:b/>
        </w:rPr>
        <w:t>Gerloch von Reichersberg</w:t>
      </w:r>
    </w:p>
    <w:p w14:paraId="733B3A59" w14:textId="77777777" w:rsidR="08BA72FD" w:rsidRDefault="08BA72FD" w:rsidP="08BA72FD">
      <w:pPr>
        <w:pStyle w:val="Rejstk2"/>
        <w:tabs>
          <w:tab w:val="right" w:leader="dot" w:pos="4171"/>
        </w:tabs>
        <w:spacing w:line="240" w:lineRule="auto"/>
        <w:ind w:left="240"/>
      </w:pPr>
      <w:r w:rsidRPr="001F5DB8">
        <w:rPr>
          <w:i/>
        </w:rPr>
        <w:t>Commentarium in Psalmos</w:t>
      </w:r>
      <w:r>
        <w:t xml:space="preserve"> PL 194, 906 D‒907A</w:t>
      </w:r>
      <w:r>
        <w:tab/>
        <w:t>49</w:t>
      </w:r>
    </w:p>
    <w:p w14:paraId="423A4FA9" w14:textId="77777777" w:rsidR="08BA72FD" w:rsidRDefault="08BA72FD" w:rsidP="08BA72FD"/>
    <w:p w14:paraId="520ECC74" w14:textId="77777777" w:rsidR="08BA72FD" w:rsidRPr="08E8586F" w:rsidRDefault="08BA72FD" w:rsidP="08BA72FD">
      <w:pPr>
        <w:pStyle w:val="Rejstk1"/>
        <w:tabs>
          <w:tab w:val="right" w:leader="dot" w:pos="4171"/>
        </w:tabs>
        <w:spacing w:line="240" w:lineRule="auto"/>
        <w:rPr>
          <w:b/>
        </w:rPr>
      </w:pPr>
      <w:r w:rsidRPr="08E8586F">
        <w:rPr>
          <w:b/>
        </w:rPr>
        <w:t>Gilbertus Porretanus</w:t>
      </w:r>
    </w:p>
    <w:p w14:paraId="1CC6519D" w14:textId="77777777" w:rsidR="08BA72FD" w:rsidRDefault="08BA72FD" w:rsidP="08BA72FD">
      <w:pPr>
        <w:pStyle w:val="Rejstk2"/>
        <w:tabs>
          <w:tab w:val="right" w:leader="dot" w:pos="4171"/>
        </w:tabs>
        <w:spacing w:line="240" w:lineRule="auto"/>
        <w:ind w:left="240"/>
      </w:pPr>
      <w:r w:rsidRPr="001F5DB8">
        <w:rPr>
          <w:i/>
        </w:rPr>
        <w:t>Expositio in Boetii librum De bonorum hebdomade</w:t>
      </w:r>
      <w:r>
        <w:t xml:space="preserve"> 193.55‒62</w:t>
      </w:r>
      <w:r>
        <w:tab/>
        <w:t>56</w:t>
      </w:r>
    </w:p>
    <w:p w14:paraId="7F35B4D8" w14:textId="77777777" w:rsidR="08BA72FD" w:rsidRDefault="08BA72FD" w:rsidP="08BA72FD">
      <w:pPr>
        <w:pStyle w:val="Rejstk2"/>
        <w:tabs>
          <w:tab w:val="right" w:leader="dot" w:pos="4171"/>
        </w:tabs>
        <w:spacing w:line="240" w:lineRule="auto"/>
        <w:ind w:left="240"/>
      </w:pPr>
      <w:r w:rsidRPr="001F5DB8">
        <w:rPr>
          <w:i/>
        </w:rPr>
        <w:t>Gilberti Porretae commentaria in Librum Quomodo</w:t>
      </w:r>
      <w:r>
        <w:t xml:space="preserve"> 1319A</w:t>
      </w:r>
      <w:r>
        <w:tab/>
        <w:t>51</w:t>
      </w:r>
    </w:p>
    <w:p w14:paraId="4A67C73E" w14:textId="77777777" w:rsidR="08BA72FD" w:rsidRPr="08E8586F" w:rsidRDefault="08BA72FD" w:rsidP="08BA72FD"/>
    <w:p w14:paraId="0A536A45" w14:textId="77777777" w:rsidR="08BA72FD" w:rsidRPr="081C60E4" w:rsidRDefault="08BA72FD" w:rsidP="08BA72FD">
      <w:pPr>
        <w:pStyle w:val="Rejstk1"/>
        <w:tabs>
          <w:tab w:val="right" w:leader="dot" w:pos="4171"/>
        </w:tabs>
        <w:spacing w:line="240" w:lineRule="auto"/>
        <w:rPr>
          <w:b/>
        </w:rPr>
      </w:pPr>
      <w:r w:rsidRPr="081C60E4">
        <w:rPr>
          <w:b/>
        </w:rPr>
        <w:t>Godfrey od Sv. Victora</w:t>
      </w:r>
    </w:p>
    <w:p w14:paraId="3D209D40" w14:textId="77777777" w:rsidR="08BA72FD" w:rsidRDefault="08BA72FD" w:rsidP="08BA72FD">
      <w:pPr>
        <w:pStyle w:val="Rejstk1"/>
        <w:tabs>
          <w:tab w:val="right" w:leader="dot" w:pos="4171"/>
        </w:tabs>
        <w:spacing w:line="240" w:lineRule="auto"/>
      </w:pPr>
      <w:r w:rsidRPr="001F5DB8">
        <w:rPr>
          <w:i/>
        </w:rPr>
        <w:t>Fons philosophiae</w:t>
      </w:r>
      <w:r>
        <w:t xml:space="preserve"> 18.245–56</w:t>
      </w:r>
      <w:r>
        <w:tab/>
        <w:t>97</w:t>
      </w:r>
    </w:p>
    <w:p w14:paraId="273D8555" w14:textId="77777777" w:rsidR="08BA72FD" w:rsidRDefault="08BA72FD" w:rsidP="08BA72FD"/>
    <w:p w14:paraId="7E30C2A0" w14:textId="77777777" w:rsidR="08BA72FD" w:rsidRPr="08B53D3C" w:rsidRDefault="08BA72FD" w:rsidP="08BA72FD">
      <w:pPr>
        <w:pStyle w:val="Rejstk1"/>
        <w:tabs>
          <w:tab w:val="right" w:leader="dot" w:pos="4171"/>
        </w:tabs>
        <w:spacing w:line="240" w:lineRule="auto"/>
        <w:rPr>
          <w:b/>
        </w:rPr>
      </w:pPr>
      <w:r w:rsidRPr="08B53D3C">
        <w:rPr>
          <w:b/>
        </w:rPr>
        <w:t>Grosseteste</w:t>
      </w:r>
    </w:p>
    <w:p w14:paraId="2FA76F89"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100.41‒101.46</w:t>
      </w:r>
      <w:r>
        <w:tab/>
        <w:t>361</w:t>
      </w:r>
    </w:p>
    <w:p w14:paraId="456E948A"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102.80‒83</w:t>
      </w:r>
      <w:r>
        <w:tab/>
        <w:t>371</w:t>
      </w:r>
    </w:p>
    <w:p w14:paraId="3E454DB2"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103.91‒94</w:t>
      </w:r>
      <w:r>
        <w:tab/>
        <w:t>355</w:t>
      </w:r>
    </w:p>
    <w:p w14:paraId="03C27E29" w14:textId="77777777" w:rsidR="08BA72FD" w:rsidRDefault="08BA72FD" w:rsidP="08BA72FD">
      <w:pPr>
        <w:pStyle w:val="Rejstk2"/>
        <w:tabs>
          <w:tab w:val="right" w:leader="dot" w:pos="4171"/>
        </w:tabs>
        <w:spacing w:line="240" w:lineRule="auto"/>
        <w:ind w:left="240"/>
      </w:pPr>
      <w:r w:rsidRPr="001F5DB8">
        <w:rPr>
          <w:i/>
        </w:rPr>
        <w:t>Commentarius in posteriorum analyticorum libros</w:t>
      </w:r>
      <w:r>
        <w:t xml:space="preserve"> 124.161‒69</w:t>
      </w:r>
      <w:r>
        <w:tab/>
        <w:t>400</w:t>
      </w:r>
    </w:p>
    <w:p w14:paraId="576E8BDD"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139.99‒140.111</w:t>
      </w:r>
      <w:r>
        <w:tab/>
        <w:t>373</w:t>
      </w:r>
    </w:p>
    <w:p w14:paraId="46F87420" w14:textId="77777777" w:rsidR="08BA72FD" w:rsidRDefault="08BA72FD" w:rsidP="08BA72FD">
      <w:pPr>
        <w:pStyle w:val="Rejstk2"/>
        <w:tabs>
          <w:tab w:val="right" w:leader="dot" w:pos="4171"/>
        </w:tabs>
        <w:spacing w:line="240" w:lineRule="auto"/>
        <w:ind w:left="240"/>
      </w:pPr>
      <w:r w:rsidRPr="001F5DB8">
        <w:rPr>
          <w:i/>
        </w:rPr>
        <w:t>Commentarius in posteriorum analyticorum libros</w:t>
      </w:r>
      <w:r>
        <w:t xml:space="preserve"> 141.141‒47</w:t>
      </w:r>
      <w:r>
        <w:tab/>
        <w:t>402</w:t>
      </w:r>
    </w:p>
    <w:p w14:paraId="448BDD78"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144.200‒205</w:t>
      </w:r>
      <w:r>
        <w:tab/>
        <w:t>368</w:t>
      </w:r>
    </w:p>
    <w:p w14:paraId="44BC295F" w14:textId="77777777" w:rsidR="08BA72FD" w:rsidRDefault="08BA72FD" w:rsidP="08BA72FD">
      <w:pPr>
        <w:pStyle w:val="Rejstk2"/>
        <w:tabs>
          <w:tab w:val="right" w:leader="dot" w:pos="4171"/>
        </w:tabs>
        <w:spacing w:line="240" w:lineRule="auto"/>
        <w:ind w:left="240"/>
      </w:pPr>
      <w:r w:rsidRPr="001F5DB8">
        <w:rPr>
          <w:i/>
        </w:rPr>
        <w:t>Commentarius in posteriorum analyticorum libros</w:t>
      </w:r>
      <w:r>
        <w:t xml:space="preserve"> 266.143‒45</w:t>
      </w:r>
      <w:r>
        <w:tab/>
        <w:t>392</w:t>
      </w:r>
    </w:p>
    <w:p w14:paraId="018C071E"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266.145‒54</w:t>
      </w:r>
      <w:r>
        <w:tab/>
        <w:t>412</w:t>
      </w:r>
    </w:p>
    <w:p w14:paraId="73F9C90F"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325.452‒60</w:t>
      </w:r>
      <w:r>
        <w:tab/>
        <w:t>378</w:t>
      </w:r>
    </w:p>
    <w:p w14:paraId="50A3495F" w14:textId="77777777" w:rsidR="08BA72FD" w:rsidRDefault="08BA72FD" w:rsidP="08BA72FD">
      <w:pPr>
        <w:pStyle w:val="Rejstk2"/>
        <w:tabs>
          <w:tab w:val="right" w:leader="dot" w:pos="4171"/>
        </w:tabs>
        <w:spacing w:line="240" w:lineRule="auto"/>
        <w:ind w:left="240"/>
      </w:pPr>
      <w:r w:rsidRPr="001F5DB8">
        <w:rPr>
          <w:i/>
        </w:rPr>
        <w:t xml:space="preserve">Commentarius in posteriorum analyticorum libros </w:t>
      </w:r>
      <w:r>
        <w:t>325.464‒69</w:t>
      </w:r>
      <w:r>
        <w:tab/>
        <w:t>388</w:t>
      </w:r>
    </w:p>
    <w:p w14:paraId="2342AFBC" w14:textId="77777777" w:rsidR="08BA72FD" w:rsidRDefault="08BA72FD" w:rsidP="08BA72FD">
      <w:pPr>
        <w:pStyle w:val="Rejstk2"/>
        <w:tabs>
          <w:tab w:val="right" w:leader="dot" w:pos="4171"/>
        </w:tabs>
        <w:spacing w:line="240" w:lineRule="auto"/>
        <w:ind w:left="240"/>
      </w:pPr>
      <w:r w:rsidRPr="001F5DB8">
        <w:rPr>
          <w:i/>
        </w:rPr>
        <w:t>Commentarius in posteriorum analyticorum libros</w:t>
      </w:r>
      <w:r w:rsidRPr="001F5DB8">
        <w:rPr>
          <w:iCs/>
        </w:rPr>
        <w:t xml:space="preserve"> 406.17‒407.23</w:t>
      </w:r>
      <w:r>
        <w:tab/>
        <w:t>384</w:t>
      </w:r>
    </w:p>
    <w:p w14:paraId="505C7A31" w14:textId="77777777" w:rsidR="08BA72FD" w:rsidRDefault="08BA72FD" w:rsidP="08BA72FD">
      <w:pPr>
        <w:pStyle w:val="Rejstk2"/>
        <w:tabs>
          <w:tab w:val="right" w:leader="dot" w:pos="4171"/>
        </w:tabs>
        <w:spacing w:line="240" w:lineRule="auto"/>
        <w:ind w:left="240"/>
      </w:pPr>
      <w:r w:rsidRPr="001F5DB8">
        <w:rPr>
          <w:i/>
        </w:rPr>
        <w:t>De anima</w:t>
      </w:r>
      <w:r>
        <w:t xml:space="preserve"> 243.28‒31</w:t>
      </w:r>
      <w:r>
        <w:tab/>
        <w:t>467</w:t>
      </w:r>
    </w:p>
    <w:p w14:paraId="06C87ACD" w14:textId="77777777" w:rsidR="08BA72FD" w:rsidRDefault="08BA72FD" w:rsidP="08BA72FD">
      <w:pPr>
        <w:pStyle w:val="Rejstk2"/>
        <w:tabs>
          <w:tab w:val="right" w:leader="dot" w:pos="4171"/>
        </w:tabs>
        <w:spacing w:line="240" w:lineRule="auto"/>
        <w:ind w:left="240"/>
      </w:pPr>
      <w:r w:rsidRPr="001F5DB8">
        <w:rPr>
          <w:i/>
        </w:rPr>
        <w:t>De anima</w:t>
      </w:r>
      <w:r>
        <w:t xml:space="preserve"> 247.40‒248.2</w:t>
      </w:r>
      <w:r>
        <w:tab/>
        <w:t>123</w:t>
      </w:r>
    </w:p>
    <w:p w14:paraId="541BCB82" w14:textId="77777777" w:rsidR="08BA72FD" w:rsidRDefault="08BA72FD" w:rsidP="08BA72FD">
      <w:pPr>
        <w:pStyle w:val="Rejstk2"/>
        <w:tabs>
          <w:tab w:val="right" w:leader="dot" w:pos="4171"/>
        </w:tabs>
        <w:spacing w:line="240" w:lineRule="auto"/>
        <w:ind w:left="240"/>
      </w:pPr>
      <w:r w:rsidRPr="001F5DB8">
        <w:rPr>
          <w:i/>
        </w:rPr>
        <w:t>De anima</w:t>
      </w:r>
      <w:r w:rsidRPr="001F5DB8">
        <w:t xml:space="preserve"> </w:t>
      </w:r>
      <w:r>
        <w:t>250.5‒13</w:t>
      </w:r>
      <w:r>
        <w:tab/>
        <w:t>472</w:t>
      </w:r>
    </w:p>
    <w:p w14:paraId="495B2D8A" w14:textId="77777777" w:rsidR="08BA72FD" w:rsidRDefault="08BA72FD" w:rsidP="08BA72FD">
      <w:pPr>
        <w:pStyle w:val="Rejstk2"/>
        <w:tabs>
          <w:tab w:val="right" w:leader="dot" w:pos="4171"/>
        </w:tabs>
        <w:spacing w:line="240" w:lineRule="auto"/>
        <w:ind w:left="240"/>
      </w:pPr>
      <w:r w:rsidRPr="001F5DB8">
        <w:rPr>
          <w:i/>
        </w:rPr>
        <w:t>De anima</w:t>
      </w:r>
      <w:r>
        <w:t xml:space="preserve"> 251.37‒41</w:t>
      </w:r>
      <w:r>
        <w:tab/>
        <w:t>163, 465</w:t>
      </w:r>
    </w:p>
    <w:p w14:paraId="49EEF5E0" w14:textId="77777777" w:rsidR="08BA72FD" w:rsidRDefault="08BA72FD" w:rsidP="08BA72FD">
      <w:pPr>
        <w:pStyle w:val="Rejstk2"/>
        <w:tabs>
          <w:tab w:val="right" w:leader="dot" w:pos="4171"/>
        </w:tabs>
        <w:spacing w:line="240" w:lineRule="auto"/>
        <w:ind w:left="240"/>
      </w:pPr>
      <w:r w:rsidRPr="001F5DB8">
        <w:rPr>
          <w:i/>
        </w:rPr>
        <w:t>De anima</w:t>
      </w:r>
      <w:r>
        <w:t xml:space="preserve"> 270.12‒18</w:t>
      </w:r>
      <w:r>
        <w:tab/>
        <w:t>166</w:t>
      </w:r>
    </w:p>
    <w:p w14:paraId="6F5B7E0B" w14:textId="77777777" w:rsidR="08BA72FD" w:rsidRDefault="08BA72FD" w:rsidP="08BA72FD">
      <w:pPr>
        <w:pStyle w:val="Rejstk2"/>
        <w:tabs>
          <w:tab w:val="right" w:leader="dot" w:pos="4171"/>
        </w:tabs>
        <w:spacing w:line="240" w:lineRule="auto"/>
        <w:ind w:left="240"/>
      </w:pPr>
      <w:r w:rsidRPr="001F5DB8">
        <w:rPr>
          <w:i/>
        </w:rPr>
        <w:t>De anima</w:t>
      </w:r>
      <w:r>
        <w:t xml:space="preserve"> 270.25‒31</w:t>
      </w:r>
      <w:r>
        <w:tab/>
        <w:t>162</w:t>
      </w:r>
    </w:p>
    <w:p w14:paraId="23FF6CE0" w14:textId="77777777" w:rsidR="08BA72FD" w:rsidRDefault="08BA72FD" w:rsidP="08BA72FD">
      <w:pPr>
        <w:pStyle w:val="Rejstk2"/>
        <w:tabs>
          <w:tab w:val="right" w:leader="dot" w:pos="4171"/>
        </w:tabs>
        <w:spacing w:line="240" w:lineRule="auto"/>
        <w:ind w:left="240"/>
      </w:pPr>
      <w:r w:rsidRPr="001F5DB8">
        <w:rPr>
          <w:i/>
        </w:rPr>
        <w:t>De generatione stellarum</w:t>
      </w:r>
      <w:r>
        <w:t xml:space="preserve"> 34.17‒22</w:t>
      </w:r>
      <w:r>
        <w:tab/>
        <w:t>162</w:t>
      </w:r>
    </w:p>
    <w:p w14:paraId="1900910A" w14:textId="77777777" w:rsidR="08BA72FD" w:rsidRDefault="08BA72FD" w:rsidP="08BA72FD">
      <w:pPr>
        <w:pStyle w:val="Rejstk2"/>
        <w:tabs>
          <w:tab w:val="right" w:leader="dot" w:pos="4171"/>
        </w:tabs>
        <w:spacing w:line="240" w:lineRule="auto"/>
        <w:ind w:left="240"/>
      </w:pPr>
      <w:r w:rsidRPr="001F5DB8">
        <w:rPr>
          <w:i/>
        </w:rPr>
        <w:t xml:space="preserve">De libero arbitrio </w:t>
      </w:r>
      <w:r>
        <w:t>171.31‒172.3</w:t>
      </w:r>
      <w:r>
        <w:tab/>
        <w:t>432</w:t>
      </w:r>
    </w:p>
    <w:p w14:paraId="45C8E0EF" w14:textId="77777777" w:rsidR="08BA72FD" w:rsidRDefault="08BA72FD" w:rsidP="08BA72FD">
      <w:pPr>
        <w:pStyle w:val="Rejstk2"/>
        <w:tabs>
          <w:tab w:val="right" w:leader="dot" w:pos="4171"/>
        </w:tabs>
        <w:spacing w:line="240" w:lineRule="auto"/>
        <w:ind w:left="240"/>
      </w:pPr>
      <w:r w:rsidRPr="001F5DB8">
        <w:rPr>
          <w:i/>
        </w:rPr>
        <w:t xml:space="preserve">De motu supercaelestium </w:t>
      </w:r>
      <w:r>
        <w:t>95.32‒96.3</w:t>
      </w:r>
      <w:r>
        <w:tab/>
        <w:t>468</w:t>
      </w:r>
    </w:p>
    <w:p w14:paraId="466A026C" w14:textId="77777777" w:rsidR="08BA72FD" w:rsidRDefault="08BA72FD" w:rsidP="08BA72FD">
      <w:pPr>
        <w:pStyle w:val="Rejstk2"/>
        <w:tabs>
          <w:tab w:val="right" w:leader="dot" w:pos="4171"/>
        </w:tabs>
        <w:spacing w:line="240" w:lineRule="auto"/>
        <w:ind w:left="240"/>
      </w:pPr>
      <w:r w:rsidRPr="001F5DB8">
        <w:rPr>
          <w:i/>
        </w:rPr>
        <w:t>De potentia et actu</w:t>
      </w:r>
      <w:r>
        <w:t xml:space="preserve"> 127.1‒5</w:t>
      </w:r>
      <w:r>
        <w:tab/>
        <w:t>161</w:t>
      </w:r>
    </w:p>
    <w:p w14:paraId="6BEBBBA7" w14:textId="77777777" w:rsidR="08BA72FD" w:rsidRDefault="08BA72FD" w:rsidP="08BA72FD">
      <w:pPr>
        <w:pStyle w:val="Rejstk2"/>
        <w:tabs>
          <w:tab w:val="right" w:leader="dot" w:pos="4171"/>
        </w:tabs>
        <w:spacing w:line="240" w:lineRule="auto"/>
        <w:ind w:left="240"/>
      </w:pPr>
      <w:r w:rsidRPr="001F5DB8">
        <w:rPr>
          <w:i/>
        </w:rPr>
        <w:t>De sphaera</w:t>
      </w:r>
      <w:r>
        <w:t xml:space="preserve"> 13.32‒35</w:t>
      </w:r>
      <w:r>
        <w:tab/>
        <w:t>352</w:t>
      </w:r>
    </w:p>
    <w:p w14:paraId="4D8AEE60" w14:textId="77777777" w:rsidR="08BA72FD" w:rsidRDefault="08BA72FD" w:rsidP="08BA72FD">
      <w:pPr>
        <w:pStyle w:val="Rejstk2"/>
        <w:tabs>
          <w:tab w:val="right" w:leader="dot" w:pos="4171"/>
        </w:tabs>
        <w:spacing w:line="240" w:lineRule="auto"/>
        <w:ind w:left="240"/>
      </w:pPr>
      <w:r w:rsidRPr="001F5DB8">
        <w:rPr>
          <w:i/>
        </w:rPr>
        <w:t>De statu causarum</w:t>
      </w:r>
      <w:r>
        <w:t xml:space="preserve"> 124.22‒28</w:t>
      </w:r>
      <w:r>
        <w:tab/>
        <w:t>375</w:t>
      </w:r>
    </w:p>
    <w:p w14:paraId="65E7CAB0" w14:textId="77777777" w:rsidR="08BA72FD" w:rsidRDefault="08BA72FD" w:rsidP="08BA72FD">
      <w:pPr>
        <w:pStyle w:val="Rejstk2"/>
        <w:tabs>
          <w:tab w:val="right" w:leader="dot" w:pos="4171"/>
        </w:tabs>
        <w:spacing w:line="240" w:lineRule="auto"/>
        <w:ind w:left="240"/>
      </w:pPr>
      <w:r w:rsidRPr="001F5DB8">
        <w:rPr>
          <w:i/>
        </w:rPr>
        <w:t xml:space="preserve">De statu causarum </w:t>
      </w:r>
      <w:r>
        <w:t>125.20‒22</w:t>
      </w:r>
      <w:r>
        <w:tab/>
        <w:t>470</w:t>
      </w:r>
    </w:p>
    <w:p w14:paraId="0857BEC6" w14:textId="77777777" w:rsidR="08BA72FD" w:rsidRDefault="08BA72FD" w:rsidP="08BA72FD">
      <w:pPr>
        <w:pStyle w:val="Rejstk2"/>
        <w:tabs>
          <w:tab w:val="right" w:leader="dot" w:pos="4171"/>
        </w:tabs>
        <w:spacing w:line="240" w:lineRule="auto"/>
        <w:ind w:left="240"/>
      </w:pPr>
      <w:r w:rsidRPr="001F5DB8">
        <w:rPr>
          <w:i/>
        </w:rPr>
        <w:t xml:space="preserve">De statu causarum </w:t>
      </w:r>
      <w:r>
        <w:t>125.23‒25</w:t>
      </w:r>
      <w:r>
        <w:tab/>
        <w:t>470</w:t>
      </w:r>
    </w:p>
    <w:p w14:paraId="293E5692" w14:textId="77777777" w:rsidR="08BA72FD" w:rsidRDefault="08BA72FD" w:rsidP="08BA72FD">
      <w:pPr>
        <w:pStyle w:val="Rejstk2"/>
        <w:tabs>
          <w:tab w:val="right" w:leader="dot" w:pos="4171"/>
        </w:tabs>
        <w:spacing w:line="240" w:lineRule="auto"/>
        <w:ind w:left="240"/>
      </w:pPr>
      <w:r w:rsidRPr="001F5DB8">
        <w:rPr>
          <w:i/>
        </w:rPr>
        <w:t xml:space="preserve">De statu causarum </w:t>
      </w:r>
      <w:r>
        <w:t>125.2‒4</w:t>
      </w:r>
      <w:r>
        <w:tab/>
        <w:t>469</w:t>
      </w:r>
    </w:p>
    <w:p w14:paraId="578BF20F" w14:textId="77777777" w:rsidR="08BA72FD" w:rsidRDefault="08BA72FD" w:rsidP="08BA72FD">
      <w:pPr>
        <w:pStyle w:val="Rejstk2"/>
        <w:tabs>
          <w:tab w:val="right" w:leader="dot" w:pos="4171"/>
        </w:tabs>
        <w:spacing w:line="240" w:lineRule="auto"/>
        <w:ind w:left="240"/>
      </w:pPr>
      <w:r w:rsidRPr="001F5DB8">
        <w:rPr>
          <w:i/>
        </w:rPr>
        <w:t>De statu causarum</w:t>
      </w:r>
      <w:r>
        <w:t xml:space="preserve"> 125.4‒10</w:t>
      </w:r>
      <w:r>
        <w:tab/>
        <w:t>469</w:t>
      </w:r>
    </w:p>
    <w:p w14:paraId="2ED20D2E" w14:textId="77777777" w:rsidR="08BA72FD" w:rsidRDefault="08BA72FD" w:rsidP="08BA72FD">
      <w:pPr>
        <w:pStyle w:val="Rejstk2"/>
        <w:tabs>
          <w:tab w:val="right" w:leader="dot" w:pos="4171"/>
        </w:tabs>
        <w:spacing w:line="240" w:lineRule="auto"/>
        <w:ind w:left="240"/>
      </w:pPr>
      <w:r w:rsidRPr="001F5DB8">
        <w:rPr>
          <w:i/>
        </w:rPr>
        <w:t xml:space="preserve">De veritate </w:t>
      </w:r>
      <w:r>
        <w:t>132.12‒16</w:t>
      </w:r>
      <w:r>
        <w:tab/>
        <w:t>418</w:t>
      </w:r>
    </w:p>
    <w:p w14:paraId="4B506E7C" w14:textId="77777777" w:rsidR="08BA72FD" w:rsidRDefault="08BA72FD" w:rsidP="08BA72FD">
      <w:pPr>
        <w:pStyle w:val="Rejstk2"/>
        <w:tabs>
          <w:tab w:val="right" w:leader="dot" w:pos="4171"/>
        </w:tabs>
        <w:spacing w:line="240" w:lineRule="auto"/>
        <w:ind w:left="240"/>
      </w:pPr>
      <w:r w:rsidRPr="001F5DB8">
        <w:rPr>
          <w:i/>
        </w:rPr>
        <w:t>De veritate</w:t>
      </w:r>
      <w:r>
        <w:t xml:space="preserve"> 132.26‒32</w:t>
      </w:r>
      <w:r>
        <w:tab/>
        <w:t>420</w:t>
      </w:r>
    </w:p>
    <w:p w14:paraId="67AB5D8A" w14:textId="77777777" w:rsidR="08BA72FD" w:rsidRDefault="08BA72FD" w:rsidP="08BA72FD">
      <w:pPr>
        <w:pStyle w:val="Rejstk2"/>
        <w:tabs>
          <w:tab w:val="right" w:leader="dot" w:pos="4171"/>
        </w:tabs>
        <w:spacing w:line="240" w:lineRule="auto"/>
        <w:ind w:left="240"/>
      </w:pPr>
      <w:r>
        <w:t xml:space="preserve">De </w:t>
      </w:r>
      <w:r w:rsidRPr="001F5DB8">
        <w:rPr>
          <w:lang w:val="x-none"/>
        </w:rPr>
        <w:t>veritate 134.17‒26</w:t>
      </w:r>
      <w:r>
        <w:tab/>
        <w:t>417</w:t>
      </w:r>
    </w:p>
    <w:p w14:paraId="343076D0" w14:textId="77777777" w:rsidR="08BA72FD" w:rsidRDefault="08BA72FD" w:rsidP="08BA72FD">
      <w:pPr>
        <w:pStyle w:val="Rejstk2"/>
        <w:tabs>
          <w:tab w:val="right" w:leader="dot" w:pos="4171"/>
        </w:tabs>
        <w:spacing w:line="240" w:lineRule="auto"/>
        <w:ind w:left="240"/>
      </w:pPr>
      <w:r w:rsidRPr="001F5DB8">
        <w:rPr>
          <w:i/>
        </w:rPr>
        <w:t>De veritate</w:t>
      </w:r>
      <w:r>
        <w:t xml:space="preserve"> 135.4‒9</w:t>
      </w:r>
      <w:r>
        <w:tab/>
        <w:t>415</w:t>
      </w:r>
    </w:p>
    <w:p w14:paraId="424AD0D2" w14:textId="77777777" w:rsidR="08BA72FD" w:rsidRDefault="08BA72FD" w:rsidP="08BA72FD">
      <w:pPr>
        <w:pStyle w:val="Rejstk2"/>
        <w:tabs>
          <w:tab w:val="right" w:leader="dot" w:pos="4171"/>
        </w:tabs>
        <w:spacing w:line="240" w:lineRule="auto"/>
        <w:ind w:left="240"/>
      </w:pPr>
      <w:r w:rsidRPr="001F5DB8">
        <w:rPr>
          <w:i/>
        </w:rPr>
        <w:t>De veritate propositionis</w:t>
      </w:r>
      <w:r>
        <w:t xml:space="preserve"> 144.19‒32</w:t>
      </w:r>
      <w:r>
        <w:tab/>
        <w:t>428</w:t>
      </w:r>
    </w:p>
    <w:p w14:paraId="4B39D82A" w14:textId="77777777" w:rsidR="08963A1E" w:rsidRDefault="08963A1E" w:rsidP="08963A1E">
      <w:pPr>
        <w:pStyle w:val="Rejstk2"/>
        <w:tabs>
          <w:tab w:val="right" w:leader="dot" w:pos="4171"/>
        </w:tabs>
        <w:spacing w:line="240" w:lineRule="auto"/>
        <w:ind w:left="240"/>
      </w:pPr>
      <w:r w:rsidRPr="006938CB">
        <w:rPr>
          <w:i/>
        </w:rPr>
        <w:t xml:space="preserve">De </w:t>
      </w:r>
      <w:r>
        <w:rPr>
          <w:i/>
        </w:rPr>
        <w:t>libero arbitrio</w:t>
      </w:r>
      <w:r>
        <w:t xml:space="preserve"> 182.19‒24</w:t>
      </w:r>
      <w:r w:rsidR="08CF59F6">
        <w:tab/>
        <w:t>454</w:t>
      </w:r>
    </w:p>
    <w:p w14:paraId="05268EDD" w14:textId="77777777" w:rsidR="08BA72FD" w:rsidRDefault="08BA72FD" w:rsidP="08BA72FD">
      <w:pPr>
        <w:pStyle w:val="Rejstk2"/>
        <w:tabs>
          <w:tab w:val="right" w:leader="dot" w:pos="4171"/>
        </w:tabs>
        <w:spacing w:line="240" w:lineRule="auto"/>
        <w:ind w:left="240"/>
      </w:pPr>
      <w:r w:rsidRPr="001F5DB8">
        <w:rPr>
          <w:i/>
        </w:rPr>
        <w:t>Hexaëmeron</w:t>
      </w:r>
      <w:r>
        <w:t xml:space="preserve"> 1.8.2‒4</w:t>
      </w:r>
      <w:r>
        <w:tab/>
        <w:t>437</w:t>
      </w:r>
    </w:p>
    <w:p w14:paraId="33437254" w14:textId="77777777" w:rsidR="08BA72FD" w:rsidRPr="08E8586F" w:rsidRDefault="08BA72FD" w:rsidP="08BA72FD">
      <w:pPr>
        <w:pStyle w:val="Rejstk2"/>
        <w:tabs>
          <w:tab w:val="right" w:leader="dot" w:pos="4171"/>
        </w:tabs>
        <w:spacing w:line="240" w:lineRule="auto"/>
        <w:ind w:left="240"/>
      </w:pPr>
      <w:r w:rsidRPr="001F5DB8">
        <w:rPr>
          <w:i/>
          <w:lang w:val="fr-FR"/>
        </w:rPr>
        <w:t>Summa philosophiae</w:t>
      </w:r>
      <w:r w:rsidRPr="001F5DB8">
        <w:rPr>
          <w:lang w:val="fr-FR"/>
        </w:rPr>
        <w:t xml:space="preserve"> </w:t>
      </w:r>
      <w:r w:rsidRPr="001F5DB8">
        <w:t>611</w:t>
      </w:r>
      <w:r w:rsidRPr="001F5DB8">
        <w:rPr>
          <w:lang w:val="fr-FR"/>
        </w:rPr>
        <w:t>.</w:t>
      </w:r>
      <w:r w:rsidRPr="001F5DB8">
        <w:t>28</w:t>
      </w:r>
      <w:r w:rsidRPr="001F5DB8">
        <w:rPr>
          <w:lang w:val="fr-FR"/>
        </w:rPr>
        <w:t>‒</w:t>
      </w:r>
      <w:r w:rsidRPr="001F5DB8">
        <w:t>31</w:t>
      </w:r>
      <w:r>
        <w:tab/>
        <w:t>501</w:t>
      </w:r>
    </w:p>
    <w:p w14:paraId="3D85C347" w14:textId="77777777" w:rsidR="08BA72FD" w:rsidRDefault="08BA72FD" w:rsidP="08BA72FD">
      <w:pPr>
        <w:spacing w:line="240" w:lineRule="auto"/>
        <w:contextualSpacing/>
        <w:jc w:val="left"/>
        <w:rPr>
          <w:sz w:val="20"/>
        </w:rPr>
      </w:pPr>
    </w:p>
    <w:p w14:paraId="4FA14E90" w14:textId="77777777" w:rsidR="08BA72FD" w:rsidRPr="0882164C" w:rsidRDefault="08BA72FD" w:rsidP="08BA72FD">
      <w:pPr>
        <w:pStyle w:val="Rejstk1"/>
        <w:tabs>
          <w:tab w:val="right" w:leader="dot" w:pos="4171"/>
        </w:tabs>
        <w:spacing w:line="240" w:lineRule="auto"/>
        <w:rPr>
          <w:b/>
        </w:rPr>
      </w:pPr>
      <w:r w:rsidRPr="0882164C">
        <w:rPr>
          <w:b/>
        </w:rPr>
        <w:t>Dominicus Gundissalinus</w:t>
      </w:r>
    </w:p>
    <w:p w14:paraId="7A4FC6FF" w14:textId="77777777" w:rsidR="08BA72FD" w:rsidRDefault="08BA72FD" w:rsidP="08BA72FD">
      <w:pPr>
        <w:pStyle w:val="Rejstk1"/>
        <w:tabs>
          <w:tab w:val="right" w:leader="dot" w:pos="4171"/>
        </w:tabs>
        <w:spacing w:line="240" w:lineRule="auto"/>
      </w:pPr>
      <w:r w:rsidRPr="001F5DB8">
        <w:rPr>
          <w:i/>
        </w:rPr>
        <w:t>De immortalitate animae</w:t>
      </w:r>
      <w:r>
        <w:t xml:space="preserve"> 31.11‒13</w:t>
      </w:r>
      <w:r>
        <w:tab/>
        <w:t>464</w:t>
      </w:r>
    </w:p>
    <w:p w14:paraId="619218EC" w14:textId="77777777" w:rsidR="08BA72FD" w:rsidRDefault="08BA72FD" w:rsidP="08BA72FD">
      <w:pPr>
        <w:spacing w:line="240" w:lineRule="auto"/>
        <w:contextualSpacing/>
        <w:jc w:val="left"/>
        <w:rPr>
          <w:sz w:val="20"/>
        </w:rPr>
      </w:pPr>
    </w:p>
    <w:p w14:paraId="3CD31257" w14:textId="77777777" w:rsidR="08BA72FD" w:rsidRPr="083A2700" w:rsidRDefault="08BA72FD" w:rsidP="08BA72FD">
      <w:pPr>
        <w:pStyle w:val="Rejstk1"/>
        <w:tabs>
          <w:tab w:val="right" w:leader="dot" w:pos="4171"/>
        </w:tabs>
        <w:spacing w:line="240" w:lineRule="auto"/>
        <w:rPr>
          <w:b/>
        </w:rPr>
      </w:pPr>
      <w:r w:rsidRPr="083A2700">
        <w:rPr>
          <w:b/>
        </w:rPr>
        <w:t>Georg Wilhelm Friedrich Hegel</w:t>
      </w:r>
    </w:p>
    <w:p w14:paraId="08737012" w14:textId="77777777" w:rsidR="08BA72FD" w:rsidRDefault="08BA72FD" w:rsidP="08BA72FD">
      <w:pPr>
        <w:pStyle w:val="Rejstk2"/>
        <w:tabs>
          <w:tab w:val="right" w:leader="dot" w:pos="4171"/>
        </w:tabs>
        <w:spacing w:line="240" w:lineRule="auto"/>
        <w:ind w:left="240"/>
      </w:pPr>
      <w:r w:rsidRPr="001F5DB8">
        <w:rPr>
          <w:bCs/>
          <w:i/>
        </w:rPr>
        <w:t>Enzyklopädie</w:t>
      </w:r>
      <w:r w:rsidRPr="001F5DB8">
        <w:rPr>
          <w:i/>
        </w:rPr>
        <w:t xml:space="preserve"> der philosophischen </w:t>
      </w:r>
      <w:r w:rsidRPr="001F5DB8">
        <w:rPr>
          <w:bCs/>
          <w:i/>
        </w:rPr>
        <w:t>Wissenschaften</w:t>
      </w:r>
      <w:r>
        <w:t xml:space="preserve"> </w:t>
      </w:r>
      <w:r w:rsidRPr="001F5DB8">
        <w:rPr>
          <w:i/>
          <w:iCs/>
        </w:rPr>
        <w:t>8.318</w:t>
      </w:r>
      <w:r>
        <w:tab/>
        <w:t>567</w:t>
      </w:r>
    </w:p>
    <w:p w14:paraId="4F9F1B8F" w14:textId="77777777" w:rsidR="08BA72FD" w:rsidRDefault="08BA72FD" w:rsidP="08BA72FD">
      <w:pPr>
        <w:pStyle w:val="Rejstk2"/>
        <w:tabs>
          <w:tab w:val="right" w:leader="dot" w:pos="4171"/>
        </w:tabs>
        <w:spacing w:line="240" w:lineRule="auto"/>
        <w:ind w:left="240"/>
      </w:pPr>
      <w:r w:rsidRPr="001F5DB8">
        <w:rPr>
          <w:bCs/>
          <w:i/>
        </w:rPr>
        <w:t>Enzyklopädie</w:t>
      </w:r>
      <w:r w:rsidRPr="001F5DB8">
        <w:rPr>
          <w:i/>
        </w:rPr>
        <w:t xml:space="preserve"> der philosophischen </w:t>
      </w:r>
      <w:r w:rsidRPr="001F5DB8">
        <w:rPr>
          <w:bCs/>
          <w:i/>
        </w:rPr>
        <w:t>Wissenschaften</w:t>
      </w:r>
      <w:r>
        <w:t xml:space="preserve"> </w:t>
      </w:r>
      <w:r w:rsidRPr="001F5DB8">
        <w:rPr>
          <w:i/>
          <w:iCs/>
        </w:rPr>
        <w:t>8.319</w:t>
      </w:r>
      <w:r>
        <w:tab/>
        <w:t>568</w:t>
      </w:r>
    </w:p>
    <w:p w14:paraId="25F11F8F" w14:textId="77777777" w:rsidR="08BA72FD" w:rsidRDefault="08BA72FD" w:rsidP="08BA72FD">
      <w:pPr>
        <w:pStyle w:val="Rejstk2"/>
        <w:tabs>
          <w:tab w:val="right" w:leader="dot" w:pos="4171"/>
        </w:tabs>
        <w:spacing w:line="240" w:lineRule="auto"/>
        <w:ind w:left="240"/>
      </w:pPr>
      <w:r w:rsidRPr="001F5DB8">
        <w:rPr>
          <w:bCs/>
          <w:i/>
        </w:rPr>
        <w:t>Enzyklopädie</w:t>
      </w:r>
      <w:r w:rsidRPr="001F5DB8">
        <w:rPr>
          <w:i/>
        </w:rPr>
        <w:t xml:space="preserve"> der philosophischen </w:t>
      </w:r>
      <w:r w:rsidRPr="001F5DB8">
        <w:rPr>
          <w:bCs/>
          <w:i/>
        </w:rPr>
        <w:t>Wissenschaften</w:t>
      </w:r>
      <w:r>
        <w:t xml:space="preserve"> 8.323‒24</w:t>
      </w:r>
      <w:r>
        <w:tab/>
        <w:t>567</w:t>
      </w:r>
    </w:p>
    <w:p w14:paraId="2E5465ED" w14:textId="77777777" w:rsidR="08BA72FD" w:rsidRDefault="08BA72FD" w:rsidP="08BA72FD">
      <w:pPr>
        <w:pStyle w:val="Rejstk2"/>
        <w:tabs>
          <w:tab w:val="right" w:leader="dot" w:pos="4171"/>
        </w:tabs>
        <w:spacing w:line="240" w:lineRule="auto"/>
        <w:ind w:left="240"/>
      </w:pPr>
      <w:r w:rsidRPr="001F5DB8">
        <w:rPr>
          <w:bCs/>
          <w:i/>
        </w:rPr>
        <w:t>Enzyklopädie</w:t>
      </w:r>
      <w:r w:rsidRPr="001F5DB8">
        <w:rPr>
          <w:i/>
        </w:rPr>
        <w:t xml:space="preserve"> der philosophischen </w:t>
      </w:r>
      <w:r w:rsidRPr="001F5DB8">
        <w:rPr>
          <w:bCs/>
          <w:i/>
        </w:rPr>
        <w:t>Wissenschaften</w:t>
      </w:r>
      <w:r>
        <w:t xml:space="preserve"> </w:t>
      </w:r>
      <w:r w:rsidRPr="001F5DB8">
        <w:rPr>
          <w:i/>
          <w:iCs/>
        </w:rPr>
        <w:t>8.59</w:t>
      </w:r>
      <w:r>
        <w:tab/>
        <w:t>567</w:t>
      </w:r>
    </w:p>
    <w:p w14:paraId="76D6F8AE" w14:textId="77777777" w:rsidR="08BA72FD" w:rsidRDefault="08BA72FD" w:rsidP="08BA72FD">
      <w:pPr>
        <w:pStyle w:val="Rejstk2"/>
        <w:tabs>
          <w:tab w:val="right" w:leader="dot" w:pos="4171"/>
        </w:tabs>
        <w:spacing w:line="240" w:lineRule="auto"/>
        <w:ind w:left="240"/>
      </w:pPr>
      <w:r w:rsidRPr="001F5DB8">
        <w:rPr>
          <w:i/>
        </w:rPr>
        <w:t>Wissenschaft der Logik</w:t>
      </w:r>
      <w:r>
        <w:t xml:space="preserve"> 5.73</w:t>
      </w:r>
      <w:r>
        <w:tab/>
        <w:t>58</w:t>
      </w:r>
    </w:p>
    <w:p w14:paraId="300F2545" w14:textId="77777777" w:rsidR="08BA72FD" w:rsidRDefault="08BA72FD" w:rsidP="08BA72FD"/>
    <w:p w14:paraId="50159DDC" w14:textId="77777777" w:rsidR="08BA72FD" w:rsidRPr="08EE0990" w:rsidRDefault="08BA72FD" w:rsidP="08BA72FD">
      <w:pPr>
        <w:pStyle w:val="Rejstk1"/>
        <w:tabs>
          <w:tab w:val="right" w:leader="dot" w:pos="4171"/>
        </w:tabs>
        <w:spacing w:line="240" w:lineRule="auto"/>
        <w:rPr>
          <w:b/>
        </w:rPr>
      </w:pPr>
      <w:r w:rsidRPr="08EE0990">
        <w:rPr>
          <w:b/>
        </w:rPr>
        <w:t>Martin Heidegger</w:t>
      </w:r>
    </w:p>
    <w:p w14:paraId="6855D9EF" w14:textId="77777777" w:rsidR="08BA72FD" w:rsidRDefault="08BA72FD" w:rsidP="08BA72FD">
      <w:pPr>
        <w:pStyle w:val="Rejstk2"/>
        <w:tabs>
          <w:tab w:val="right" w:leader="dot" w:pos="4171"/>
        </w:tabs>
        <w:spacing w:line="240" w:lineRule="auto"/>
        <w:ind w:left="240"/>
      </w:pPr>
      <w:r>
        <w:t>GA 10, 34</w:t>
      </w:r>
      <w:r>
        <w:tab/>
        <w:t>701</w:t>
      </w:r>
    </w:p>
    <w:p w14:paraId="40969DEF" w14:textId="77777777" w:rsidR="08BA72FD" w:rsidRDefault="08BA72FD" w:rsidP="08BA72FD">
      <w:pPr>
        <w:pStyle w:val="Rejstk2"/>
        <w:tabs>
          <w:tab w:val="right" w:leader="dot" w:pos="4171"/>
        </w:tabs>
        <w:spacing w:line="240" w:lineRule="auto"/>
        <w:ind w:left="240"/>
      </w:pPr>
      <w:r>
        <w:t>GA 5, 272‒73</w:t>
      </w:r>
      <w:r>
        <w:tab/>
        <w:t>391</w:t>
      </w:r>
    </w:p>
    <w:p w14:paraId="6D35BA2E" w14:textId="77777777" w:rsidR="08BA72FD" w:rsidRDefault="08BA72FD" w:rsidP="08BA72FD">
      <w:pPr>
        <w:pStyle w:val="Rejstk2"/>
        <w:tabs>
          <w:tab w:val="right" w:leader="dot" w:pos="4171"/>
        </w:tabs>
        <w:spacing w:line="240" w:lineRule="auto"/>
        <w:ind w:left="240"/>
      </w:pPr>
      <w:r w:rsidRPr="001F5DB8">
        <w:rPr>
          <w:iCs/>
        </w:rPr>
        <w:t>GA</w:t>
      </w:r>
      <w:r>
        <w:t xml:space="preserve"> 7, 153</w:t>
      </w:r>
      <w:r>
        <w:tab/>
        <w:t>330</w:t>
      </w:r>
    </w:p>
    <w:p w14:paraId="4134672E" w14:textId="77777777" w:rsidR="08BA72FD" w:rsidRDefault="08BA72FD" w:rsidP="08BA72FD">
      <w:pPr>
        <w:pStyle w:val="Rejstk2"/>
        <w:tabs>
          <w:tab w:val="right" w:leader="dot" w:pos="4171"/>
        </w:tabs>
        <w:spacing w:line="240" w:lineRule="auto"/>
        <w:ind w:left="240"/>
      </w:pPr>
      <w:r>
        <w:t>GA 71, 297</w:t>
      </w:r>
      <w:r>
        <w:tab/>
        <w:t>2</w:t>
      </w:r>
    </w:p>
    <w:p w14:paraId="12671BEB" w14:textId="77777777" w:rsidR="08BA72FD" w:rsidRDefault="08BA72FD" w:rsidP="08BA72FD">
      <w:pPr>
        <w:pStyle w:val="Rejstk2"/>
        <w:tabs>
          <w:tab w:val="right" w:leader="dot" w:pos="4171"/>
        </w:tabs>
        <w:spacing w:line="240" w:lineRule="auto"/>
        <w:ind w:left="240"/>
      </w:pPr>
      <w:r>
        <w:t>SZ 46</w:t>
      </w:r>
      <w:r>
        <w:tab/>
        <w:t>701</w:t>
      </w:r>
    </w:p>
    <w:p w14:paraId="18A6AF6F" w14:textId="77777777" w:rsidR="08BA72FD" w:rsidRPr="08052E58" w:rsidRDefault="08BA72FD" w:rsidP="08BA72FD"/>
    <w:p w14:paraId="4DA4FD7B" w14:textId="77777777" w:rsidR="08BA72FD" w:rsidRPr="0871210E" w:rsidRDefault="08BA72FD" w:rsidP="08BA72FD">
      <w:pPr>
        <w:pStyle w:val="Rejstk1"/>
        <w:tabs>
          <w:tab w:val="right" w:leader="dot" w:pos="4171"/>
        </w:tabs>
        <w:spacing w:line="240" w:lineRule="auto"/>
        <w:rPr>
          <w:b/>
        </w:rPr>
      </w:pPr>
      <w:r w:rsidRPr="0871210E">
        <w:rPr>
          <w:b/>
          <w:lang w:val="en-US"/>
        </w:rPr>
        <w:t xml:space="preserve">Henri </w:t>
      </w:r>
      <w:r w:rsidRPr="0871210E">
        <w:rPr>
          <w:b/>
        </w:rPr>
        <w:t>d'Andeli</w:t>
      </w:r>
    </w:p>
    <w:p w14:paraId="4D9D2E73" w14:textId="77777777" w:rsidR="08BA72FD" w:rsidRDefault="08BA72FD" w:rsidP="08BA72FD">
      <w:pPr>
        <w:pStyle w:val="Rejstk2"/>
        <w:tabs>
          <w:tab w:val="right" w:leader="dot" w:pos="4171"/>
        </w:tabs>
        <w:spacing w:line="240" w:lineRule="auto"/>
        <w:ind w:left="240"/>
      </w:pPr>
      <w:r w:rsidRPr="001F5DB8">
        <w:rPr>
          <w:i/>
          <w:lang w:val="en-US"/>
        </w:rPr>
        <w:t>The Battle of the Seven Arts</w:t>
      </w:r>
      <w:r w:rsidRPr="001F5DB8">
        <w:rPr>
          <w:lang w:val="en-US"/>
        </w:rPr>
        <w:t xml:space="preserve"> </w:t>
      </w:r>
      <w:r>
        <w:t>41‒42</w:t>
      </w:r>
      <w:r>
        <w:tab/>
        <w:t>217</w:t>
      </w:r>
    </w:p>
    <w:p w14:paraId="220BD8A8" w14:textId="77777777" w:rsidR="08BA72FD" w:rsidRDefault="08BA72FD" w:rsidP="08BA72FD">
      <w:pPr>
        <w:pStyle w:val="Rejstk1"/>
        <w:tabs>
          <w:tab w:val="right" w:leader="dot" w:pos="4171"/>
        </w:tabs>
        <w:spacing w:line="240" w:lineRule="auto"/>
      </w:pPr>
    </w:p>
    <w:p w14:paraId="3B836791" w14:textId="77777777" w:rsidR="08BA72FD" w:rsidRPr="0871210E" w:rsidRDefault="08BA72FD" w:rsidP="08BA72FD">
      <w:pPr>
        <w:pStyle w:val="Rejstk1"/>
        <w:tabs>
          <w:tab w:val="right" w:leader="dot" w:pos="4171"/>
        </w:tabs>
        <w:spacing w:line="240" w:lineRule="auto"/>
        <w:rPr>
          <w:b/>
        </w:rPr>
      </w:pPr>
      <w:r w:rsidRPr="0871210E">
        <w:rPr>
          <w:b/>
        </w:rPr>
        <w:t>Henry d'Avranches</w:t>
      </w:r>
    </w:p>
    <w:p w14:paraId="3B290AE8" w14:textId="77777777" w:rsidR="08BA72FD" w:rsidRDefault="08BA72FD" w:rsidP="08BA72FD">
      <w:pPr>
        <w:pStyle w:val="Rejstk2"/>
        <w:tabs>
          <w:tab w:val="right" w:leader="dot" w:pos="4171"/>
        </w:tabs>
        <w:spacing w:line="240" w:lineRule="auto"/>
        <w:ind w:left="240"/>
      </w:pPr>
      <w:r w:rsidRPr="001F5DB8">
        <w:rPr>
          <w:i/>
        </w:rPr>
        <w:t>Poems</w:t>
      </w:r>
      <w:r>
        <w:t xml:space="preserve"> 131.77‒81</w:t>
      </w:r>
      <w:r>
        <w:tab/>
        <w:t>143</w:t>
      </w:r>
    </w:p>
    <w:p w14:paraId="309428F8" w14:textId="77777777" w:rsidR="08BA72FD" w:rsidRDefault="08BA72FD" w:rsidP="08BA72FD">
      <w:pPr>
        <w:pStyle w:val="Rejstk2"/>
        <w:tabs>
          <w:tab w:val="right" w:leader="dot" w:pos="4171"/>
        </w:tabs>
        <w:spacing w:line="240" w:lineRule="auto"/>
        <w:ind w:left="240"/>
      </w:pPr>
      <w:r w:rsidRPr="001F5DB8">
        <w:rPr>
          <w:i/>
        </w:rPr>
        <w:t>Poems</w:t>
      </w:r>
      <w:r>
        <w:t xml:space="preserve"> 130.23‒28</w:t>
      </w:r>
      <w:r>
        <w:tab/>
        <w:t>151</w:t>
      </w:r>
    </w:p>
    <w:p w14:paraId="3EF47EE5" w14:textId="77777777" w:rsidR="08BA72FD" w:rsidRDefault="08BA72FD" w:rsidP="08BA72FD">
      <w:pPr>
        <w:spacing w:line="240" w:lineRule="auto"/>
        <w:contextualSpacing/>
        <w:jc w:val="left"/>
        <w:rPr>
          <w:sz w:val="20"/>
        </w:rPr>
      </w:pPr>
    </w:p>
    <w:p w14:paraId="44B4F800" w14:textId="77777777" w:rsidR="08BA72FD" w:rsidRPr="081D42F9" w:rsidRDefault="08BA72FD" w:rsidP="08BA72FD">
      <w:pPr>
        <w:pStyle w:val="Rejstk1"/>
        <w:tabs>
          <w:tab w:val="right" w:leader="dot" w:pos="4171"/>
        </w:tabs>
        <w:spacing w:line="240" w:lineRule="auto"/>
        <w:rPr>
          <w:b/>
        </w:rPr>
      </w:pPr>
      <w:r w:rsidRPr="081D42F9">
        <w:rPr>
          <w:b/>
        </w:rPr>
        <w:t>Hérakleitos z Efezu</w:t>
      </w:r>
    </w:p>
    <w:p w14:paraId="6D9AE58C" w14:textId="77777777" w:rsidR="08BA72FD" w:rsidRDefault="08BA72FD" w:rsidP="08BA72FD">
      <w:pPr>
        <w:pStyle w:val="Rejstk2"/>
        <w:tabs>
          <w:tab w:val="right" w:leader="dot" w:pos="4171"/>
        </w:tabs>
        <w:spacing w:line="240" w:lineRule="auto"/>
        <w:ind w:left="240"/>
      </w:pPr>
      <w:r>
        <w:t>B 89</w:t>
      </w:r>
      <w:r>
        <w:tab/>
        <w:t>1</w:t>
      </w:r>
    </w:p>
    <w:p w14:paraId="6A652BFC" w14:textId="77777777" w:rsidR="08BA72FD" w:rsidRDefault="08BA72FD" w:rsidP="08BA72FD"/>
    <w:p w14:paraId="465553C3" w14:textId="77777777" w:rsidR="08BA72FD" w:rsidRPr="088079D4" w:rsidRDefault="08BA72FD" w:rsidP="08BA72FD">
      <w:pPr>
        <w:pStyle w:val="Rejstk1"/>
        <w:tabs>
          <w:tab w:val="right" w:leader="dot" w:pos="4171"/>
        </w:tabs>
        <w:spacing w:line="240" w:lineRule="auto"/>
        <w:rPr>
          <w:b/>
        </w:rPr>
      </w:pPr>
      <w:r w:rsidRPr="088079D4">
        <w:rPr>
          <w:b/>
        </w:rPr>
        <w:t>Homer</w:t>
      </w:r>
    </w:p>
    <w:p w14:paraId="527B4B49" w14:textId="77777777" w:rsidR="08BA72FD" w:rsidRDefault="08BA72FD" w:rsidP="08BA72FD">
      <w:pPr>
        <w:pStyle w:val="Rejstk2"/>
        <w:tabs>
          <w:tab w:val="right" w:leader="dot" w:pos="4171"/>
        </w:tabs>
        <w:spacing w:line="240" w:lineRule="auto"/>
        <w:ind w:left="240"/>
      </w:pPr>
      <w:r w:rsidRPr="001F5DB8">
        <w:rPr>
          <w:i/>
        </w:rPr>
        <w:t>Odys</w:t>
      </w:r>
      <w:r>
        <w:t>. 4.796</w:t>
      </w:r>
      <w:r>
        <w:tab/>
        <w:t>632</w:t>
      </w:r>
    </w:p>
    <w:p w14:paraId="5F041B7D" w14:textId="77777777" w:rsidR="08BA72FD" w:rsidRDefault="08BA72FD" w:rsidP="08BA72FD">
      <w:pPr>
        <w:pStyle w:val="Rejstk2"/>
        <w:tabs>
          <w:tab w:val="right" w:leader="dot" w:pos="4171"/>
        </w:tabs>
        <w:spacing w:line="240" w:lineRule="auto"/>
      </w:pPr>
    </w:p>
    <w:p w14:paraId="3B9F80CC" w14:textId="77777777" w:rsidR="08F847B4" w:rsidRPr="08F847B4" w:rsidRDefault="08D24748" w:rsidP="08BA72FD">
      <w:pPr>
        <w:pStyle w:val="Rejstk1"/>
        <w:tabs>
          <w:tab w:val="right" w:leader="dot" w:pos="4171"/>
        </w:tabs>
        <w:spacing w:line="240" w:lineRule="auto"/>
        <w:rPr>
          <w:b/>
        </w:rPr>
      </w:pPr>
      <w:r>
        <w:rPr>
          <w:b/>
        </w:rPr>
        <w:t>Hugo von  Saint-</w:t>
      </w:r>
      <w:r w:rsidR="08F847B4" w:rsidRPr="08F847B4">
        <w:rPr>
          <w:b/>
        </w:rPr>
        <w:t>Victor</w:t>
      </w:r>
    </w:p>
    <w:p w14:paraId="711CEBA5" w14:textId="77777777" w:rsidR="08F847B4" w:rsidRDefault="08F847B4" w:rsidP="08F847B4">
      <w:pPr>
        <w:pStyle w:val="Rejstk2"/>
        <w:tabs>
          <w:tab w:val="right" w:leader="dot" w:pos="4171"/>
        </w:tabs>
        <w:spacing w:line="240" w:lineRule="auto"/>
        <w:ind w:left="240"/>
      </w:pPr>
      <w:r w:rsidRPr="08AA0DB4">
        <w:rPr>
          <w:i/>
        </w:rPr>
        <w:t xml:space="preserve">De sacramentis </w:t>
      </w:r>
      <w:r w:rsidRPr="08AA0DB4">
        <w:t xml:space="preserve"> PL 176, 256C</w:t>
      </w:r>
      <w:r>
        <w:tab/>
      </w:r>
      <w:r w:rsidR="08406D12">
        <w:t>451</w:t>
      </w:r>
    </w:p>
    <w:p w14:paraId="7D891B77" w14:textId="77777777" w:rsidR="08F847B4" w:rsidRDefault="08F847B4" w:rsidP="08BA72FD">
      <w:pPr>
        <w:pStyle w:val="Rejstk1"/>
        <w:tabs>
          <w:tab w:val="right" w:leader="dot" w:pos="4171"/>
        </w:tabs>
        <w:spacing w:line="240" w:lineRule="auto"/>
        <w:rPr>
          <w:b/>
        </w:rPr>
      </w:pPr>
    </w:p>
    <w:p w14:paraId="0FEF8E42" w14:textId="77777777" w:rsidR="08BA72FD" w:rsidRPr="081E550B" w:rsidRDefault="08BA72FD" w:rsidP="08BA72FD">
      <w:pPr>
        <w:pStyle w:val="Rejstk1"/>
        <w:tabs>
          <w:tab w:val="right" w:leader="dot" w:pos="4171"/>
        </w:tabs>
        <w:spacing w:line="240" w:lineRule="auto"/>
        <w:rPr>
          <w:b/>
        </w:rPr>
      </w:pPr>
      <w:r w:rsidRPr="081E550B">
        <w:rPr>
          <w:b/>
        </w:rPr>
        <w:t>Edmund Husserl</w:t>
      </w:r>
    </w:p>
    <w:p w14:paraId="74312E59" w14:textId="77777777" w:rsidR="08BA72FD" w:rsidRDefault="08BA72FD" w:rsidP="08BA72FD">
      <w:pPr>
        <w:pStyle w:val="Rejstk2"/>
        <w:tabs>
          <w:tab w:val="right" w:leader="dot" w:pos="4171"/>
        </w:tabs>
        <w:spacing w:line="240" w:lineRule="auto"/>
        <w:ind w:left="240"/>
      </w:pPr>
      <w:r w:rsidRPr="001F5DB8">
        <w:rPr>
          <w:rFonts w:cs="TimesNewRomanPSMT"/>
          <w:i/>
        </w:rPr>
        <w:t>Cartesianische Mediationen und Pariser Vorträge</w:t>
      </w:r>
      <w:r w:rsidRPr="001F5DB8">
        <w:rPr>
          <w:rFonts w:cs="TimesNewRomanPSMT"/>
        </w:rPr>
        <w:t xml:space="preserve"> 136.22‒32</w:t>
      </w:r>
      <w:r>
        <w:tab/>
        <w:t>601</w:t>
      </w:r>
    </w:p>
    <w:p w14:paraId="1DCC0B43" w14:textId="77777777" w:rsidR="08BA72FD" w:rsidRDefault="08BA72FD" w:rsidP="08BA72FD">
      <w:pPr>
        <w:pStyle w:val="Rejstk2"/>
        <w:tabs>
          <w:tab w:val="right" w:leader="dot" w:pos="4171"/>
        </w:tabs>
        <w:spacing w:line="240" w:lineRule="auto"/>
        <w:ind w:left="240"/>
      </w:pPr>
      <w:r w:rsidRPr="001F5DB8">
        <w:rPr>
          <w:i/>
        </w:rPr>
        <w:t>Geschichtlicher Überblick über die Philosophie der Mathematik</w:t>
      </w:r>
      <w:r>
        <w:t xml:space="preserve"> 227.26‒29</w:t>
      </w:r>
      <w:r>
        <w:tab/>
        <w:t>398</w:t>
      </w:r>
    </w:p>
    <w:p w14:paraId="37D8D7CA" w14:textId="77777777" w:rsidR="08BA72FD" w:rsidRDefault="08BA72FD" w:rsidP="08BA72FD">
      <w:pPr>
        <w:pStyle w:val="Rejstk2"/>
        <w:tabs>
          <w:tab w:val="right" w:leader="dot" w:pos="4171"/>
        </w:tabs>
        <w:spacing w:line="240" w:lineRule="auto"/>
        <w:ind w:left="240"/>
      </w:pPr>
      <w:r w:rsidRPr="001F5DB8">
        <w:rPr>
          <w:i/>
        </w:rPr>
        <w:t>Ideen zu einer reinen Phänomenologie und phänomenologischen Philosophie</w:t>
      </w:r>
      <w:r>
        <w:t xml:space="preserve"> I 162.1‒7</w:t>
      </w:r>
      <w:r>
        <w:tab/>
        <w:t>574</w:t>
      </w:r>
    </w:p>
    <w:p w14:paraId="14DB410B" w14:textId="77777777" w:rsidR="08BA72FD" w:rsidRDefault="08BA72FD" w:rsidP="08BA72FD">
      <w:pPr>
        <w:pStyle w:val="Rejstk2"/>
        <w:tabs>
          <w:tab w:val="right" w:leader="dot" w:pos="4171"/>
        </w:tabs>
        <w:spacing w:line="240" w:lineRule="auto"/>
        <w:ind w:left="240"/>
      </w:pPr>
      <w:r w:rsidRPr="001F5DB8">
        <w:rPr>
          <w:i/>
        </w:rPr>
        <w:t>Ideen zu einer reinen Phänomenologie und phänomenologischen Philosophie</w:t>
      </w:r>
      <w:r>
        <w:t xml:space="preserve"> I 210.33‒38</w:t>
      </w:r>
      <w:r>
        <w:tab/>
        <w:t>596</w:t>
      </w:r>
    </w:p>
    <w:p w14:paraId="3A5B029C" w14:textId="77777777" w:rsidR="08BA72FD" w:rsidRDefault="08BA72FD" w:rsidP="08BA72FD">
      <w:pPr>
        <w:pStyle w:val="Rejstk2"/>
        <w:tabs>
          <w:tab w:val="right" w:leader="dot" w:pos="4171"/>
        </w:tabs>
        <w:spacing w:line="240" w:lineRule="auto"/>
        <w:ind w:left="240"/>
      </w:pPr>
      <w:r w:rsidRPr="001F5DB8">
        <w:rPr>
          <w:i/>
        </w:rPr>
        <w:t>Ideen zu einer reinen Phänomenologie und phänomenologischen Philosophie</w:t>
      </w:r>
      <w:r>
        <w:t xml:space="preserve"> I, 14.20‒26</w:t>
      </w:r>
      <w:r>
        <w:tab/>
        <w:t>574</w:t>
      </w:r>
    </w:p>
    <w:p w14:paraId="507FFCAD" w14:textId="77777777" w:rsidR="08BA72FD" w:rsidRDefault="08BA72FD" w:rsidP="08BA72FD">
      <w:pPr>
        <w:pStyle w:val="Rejstk2"/>
        <w:tabs>
          <w:tab w:val="right" w:leader="dot" w:pos="4171"/>
        </w:tabs>
        <w:spacing w:line="240" w:lineRule="auto"/>
        <w:ind w:left="240"/>
      </w:pPr>
      <w:r w:rsidRPr="001F5DB8">
        <w:rPr>
          <w:i/>
        </w:rPr>
        <w:t>Logische Untersuchungen</w:t>
      </w:r>
      <w:r>
        <w:t xml:space="preserve"> 59</w:t>
      </w:r>
      <w:r>
        <w:tab/>
        <w:t>398</w:t>
      </w:r>
    </w:p>
    <w:p w14:paraId="590D692A" w14:textId="77777777" w:rsidR="08BA72FD" w:rsidRDefault="08BA72FD" w:rsidP="08BA72FD"/>
    <w:p w14:paraId="728854CF" w14:textId="77777777" w:rsidR="08BA72FD" w:rsidRPr="080525E5" w:rsidRDefault="08BA72FD" w:rsidP="08BA72FD">
      <w:pPr>
        <w:pStyle w:val="Rejstk1"/>
        <w:tabs>
          <w:tab w:val="right" w:leader="dot" w:pos="4171"/>
        </w:tabs>
        <w:spacing w:line="240" w:lineRule="auto"/>
        <w:rPr>
          <w:rFonts w:cs="Calibri"/>
          <w:b/>
        </w:rPr>
      </w:pPr>
      <w:r w:rsidRPr="080525E5">
        <w:rPr>
          <w:rFonts w:cs="Calibri"/>
          <w:b/>
        </w:rPr>
        <w:t xml:space="preserve">Chartularium </w:t>
      </w:r>
      <w:r>
        <w:rPr>
          <w:rFonts w:cs="Calibri"/>
          <w:b/>
        </w:rPr>
        <w:t xml:space="preserve">Universitatis </w:t>
      </w:r>
      <w:r w:rsidRPr="080525E5">
        <w:rPr>
          <w:rFonts w:cs="Calibri"/>
          <w:b/>
        </w:rPr>
        <w:t>Parisiensis</w:t>
      </w:r>
    </w:p>
    <w:p w14:paraId="732A8042" w14:textId="77777777" w:rsidR="08BA72FD" w:rsidRDefault="08BA72FD" w:rsidP="08BA72FD">
      <w:pPr>
        <w:pStyle w:val="Rejstk1"/>
        <w:tabs>
          <w:tab w:val="right" w:leader="dot" w:pos="4171"/>
        </w:tabs>
        <w:spacing w:line="240" w:lineRule="auto"/>
      </w:pPr>
      <w:r w:rsidRPr="001F5DB8">
        <w:rPr>
          <w:rFonts w:cs="Calibri"/>
          <w:i/>
        </w:rPr>
        <w:t xml:space="preserve">Chartularium </w:t>
      </w:r>
      <w:r w:rsidRPr="001F5DB8">
        <w:rPr>
          <w:rFonts w:cs="Calibri"/>
        </w:rPr>
        <w:t xml:space="preserve">I, </w:t>
      </w:r>
      <w:r>
        <w:t>no. 128, p. 170</w:t>
      </w:r>
      <w:r>
        <w:tab/>
        <w:t>679</w:t>
      </w:r>
    </w:p>
    <w:p w14:paraId="408755F1" w14:textId="77777777" w:rsidR="08BA72FD" w:rsidRDefault="08BA72FD" w:rsidP="08BA72FD">
      <w:pPr>
        <w:pStyle w:val="Rejstk1"/>
        <w:tabs>
          <w:tab w:val="right" w:leader="dot" w:pos="4171"/>
        </w:tabs>
        <w:spacing w:line="240" w:lineRule="auto"/>
      </w:pPr>
      <w:r w:rsidRPr="001F5DB8">
        <w:rPr>
          <w:i/>
        </w:rPr>
        <w:t>Chartularium</w:t>
      </w:r>
      <w:r>
        <w:t xml:space="preserve"> I, no. 20, pp. 78‒79</w:t>
      </w:r>
      <w:r>
        <w:tab/>
        <w:t>146</w:t>
      </w:r>
    </w:p>
    <w:p w14:paraId="22F8E308" w14:textId="77777777" w:rsidR="08BA72FD" w:rsidRDefault="08BA72FD" w:rsidP="08BA72FD">
      <w:pPr>
        <w:pStyle w:val="Rejstk1"/>
        <w:tabs>
          <w:tab w:val="right" w:leader="dot" w:pos="4171"/>
        </w:tabs>
        <w:spacing w:line="240" w:lineRule="auto"/>
      </w:pPr>
      <w:r w:rsidRPr="001F5DB8">
        <w:rPr>
          <w:i/>
        </w:rPr>
        <w:t>Chartularium</w:t>
      </w:r>
      <w:r>
        <w:t xml:space="preserve"> I, no. 246, p. 278</w:t>
      </w:r>
      <w:r>
        <w:tab/>
        <w:t>467</w:t>
      </w:r>
    </w:p>
    <w:p w14:paraId="412A73A3" w14:textId="77777777" w:rsidR="08BA72FD" w:rsidRDefault="08BA72FD" w:rsidP="08BA72FD">
      <w:pPr>
        <w:pStyle w:val="Rejstk1"/>
        <w:tabs>
          <w:tab w:val="right" w:leader="dot" w:pos="4171"/>
        </w:tabs>
        <w:spacing w:line="240" w:lineRule="auto"/>
      </w:pPr>
      <w:r w:rsidRPr="001F5DB8">
        <w:rPr>
          <w:i/>
        </w:rPr>
        <w:t>Chartularium</w:t>
      </w:r>
      <w:r>
        <w:t xml:space="preserve"> I, no. 474, p. 558</w:t>
      </w:r>
      <w:r>
        <w:tab/>
        <w:t>674</w:t>
      </w:r>
    </w:p>
    <w:p w14:paraId="14A303DE" w14:textId="77777777" w:rsidR="08BA72FD" w:rsidRDefault="08BA72FD" w:rsidP="08BA72FD">
      <w:pPr>
        <w:pStyle w:val="Rejstk1"/>
        <w:tabs>
          <w:tab w:val="right" w:leader="dot" w:pos="4171"/>
        </w:tabs>
        <w:spacing w:line="240" w:lineRule="auto"/>
      </w:pPr>
      <w:r w:rsidRPr="080525E5">
        <w:rPr>
          <w:i/>
        </w:rPr>
        <w:t>Chartularium</w:t>
      </w:r>
      <w:r>
        <w:t xml:space="preserve"> I, no.474</w:t>
      </w:r>
      <w:r>
        <w:tab/>
        <w:t>674</w:t>
      </w:r>
    </w:p>
    <w:p w14:paraId="4CD81258" w14:textId="77777777" w:rsidR="08BA72FD" w:rsidRPr="081E550B" w:rsidRDefault="08BA72FD" w:rsidP="08BA72FD"/>
    <w:p w14:paraId="1844AABD" w14:textId="77777777" w:rsidR="08BA72FD" w:rsidRPr="08605675" w:rsidRDefault="08BA72FD" w:rsidP="08BA72FD">
      <w:pPr>
        <w:pStyle w:val="Rejstk1"/>
        <w:tabs>
          <w:tab w:val="right" w:leader="dot" w:pos="4171"/>
        </w:tabs>
        <w:spacing w:line="240" w:lineRule="auto"/>
        <w:rPr>
          <w:b/>
        </w:rPr>
      </w:pPr>
      <w:r w:rsidRPr="08605675">
        <w:rPr>
          <w:b/>
        </w:rPr>
        <w:t>Jan ze Salisbury</w:t>
      </w:r>
    </w:p>
    <w:p w14:paraId="1D56D64D" w14:textId="77777777" w:rsidR="08BA72FD" w:rsidRDefault="08BA72FD" w:rsidP="08BA72FD">
      <w:pPr>
        <w:pStyle w:val="Rejstk2"/>
        <w:tabs>
          <w:tab w:val="right" w:leader="dot" w:pos="4171"/>
        </w:tabs>
        <w:spacing w:line="240" w:lineRule="auto"/>
        <w:ind w:left="240"/>
      </w:pPr>
      <w:r w:rsidRPr="001F5DB8">
        <w:rPr>
          <w:i/>
        </w:rPr>
        <w:t>Metalogicon</w:t>
      </w:r>
      <w:r>
        <w:t xml:space="preserve"> PL 199, 875A</w:t>
      </w:r>
      <w:r>
        <w:tab/>
        <w:t>65, 66</w:t>
      </w:r>
    </w:p>
    <w:p w14:paraId="2767FFF2" w14:textId="77777777" w:rsidR="08BA72FD" w:rsidRDefault="08BA72FD" w:rsidP="08BA72FD">
      <w:pPr>
        <w:pStyle w:val="Rejstk2"/>
        <w:tabs>
          <w:tab w:val="right" w:leader="dot" w:pos="4171"/>
        </w:tabs>
        <w:spacing w:line="240" w:lineRule="auto"/>
        <w:ind w:left="240"/>
      </w:pPr>
      <w:r w:rsidRPr="001F5DB8">
        <w:rPr>
          <w:iCs/>
          <w:lang w:val="x-none"/>
        </w:rPr>
        <w:t>Metalogic</w:t>
      </w:r>
      <w:r w:rsidRPr="001F5DB8">
        <w:rPr>
          <w:iCs/>
        </w:rPr>
        <w:t>on</w:t>
      </w:r>
      <w:r>
        <w:t xml:space="preserve"> PL 199, 939D</w:t>
      </w:r>
      <w:r>
        <w:tab/>
        <w:t>95</w:t>
      </w:r>
    </w:p>
    <w:p w14:paraId="5BD2B4B0" w14:textId="77777777" w:rsidR="08BA72FD" w:rsidRDefault="08BA72FD" w:rsidP="08BA72FD"/>
    <w:p w14:paraId="3D6AB29B" w14:textId="77777777" w:rsidR="08BA72FD" w:rsidRPr="086A634C" w:rsidRDefault="08BA72FD" w:rsidP="08BA72FD">
      <w:pPr>
        <w:pStyle w:val="Rejstk1"/>
        <w:tabs>
          <w:tab w:val="right" w:leader="dot" w:pos="4171"/>
        </w:tabs>
        <w:spacing w:line="240" w:lineRule="auto"/>
        <w:rPr>
          <w:b/>
        </w:rPr>
      </w:pPr>
      <w:r w:rsidRPr="086A634C">
        <w:rPr>
          <w:b/>
        </w:rPr>
        <w:t>John Pagus</w:t>
      </w:r>
    </w:p>
    <w:p w14:paraId="4152C903" w14:textId="77777777" w:rsidR="08BA72FD" w:rsidRDefault="08BA72FD" w:rsidP="08BA72FD">
      <w:pPr>
        <w:pStyle w:val="Rejstk2"/>
        <w:tabs>
          <w:tab w:val="right" w:leader="dot" w:pos="4171"/>
        </w:tabs>
        <w:spacing w:line="240" w:lineRule="auto"/>
        <w:ind w:left="240"/>
      </w:pPr>
      <w:r w:rsidRPr="001F5DB8">
        <w:rPr>
          <w:i/>
        </w:rPr>
        <w:t>Rationes super Praedicamenta</w:t>
      </w:r>
      <w:r>
        <w:t xml:space="preserve"> f. 42va‒vb</w:t>
      </w:r>
      <w:r>
        <w:tab/>
        <w:t>405</w:t>
      </w:r>
    </w:p>
    <w:p w14:paraId="1FF656BA" w14:textId="77777777" w:rsidR="08BA72FD" w:rsidRDefault="08BA72FD" w:rsidP="08BA72FD"/>
    <w:p w14:paraId="4869E0DB" w14:textId="77777777" w:rsidR="08BA72FD" w:rsidRPr="08731BC5" w:rsidRDefault="08BA72FD" w:rsidP="08BA72FD">
      <w:pPr>
        <w:pStyle w:val="Rejstk1"/>
        <w:tabs>
          <w:tab w:val="right" w:leader="dot" w:pos="4171"/>
        </w:tabs>
        <w:spacing w:line="240" w:lineRule="auto"/>
        <w:rPr>
          <w:b/>
        </w:rPr>
      </w:pPr>
      <w:r w:rsidRPr="08731BC5">
        <w:rPr>
          <w:b/>
        </w:rPr>
        <w:t>Immanuel Kant</w:t>
      </w:r>
    </w:p>
    <w:p w14:paraId="20E40FBF" w14:textId="77777777" w:rsidR="08BA72FD" w:rsidRDefault="08BA72FD" w:rsidP="08BA72FD">
      <w:pPr>
        <w:pStyle w:val="Rejstk2"/>
        <w:tabs>
          <w:tab w:val="right" w:leader="dot" w:pos="4171"/>
        </w:tabs>
        <w:spacing w:line="240" w:lineRule="auto"/>
        <w:ind w:left="240"/>
      </w:pPr>
      <w:r w:rsidRPr="001F5DB8">
        <w:rPr>
          <w:i/>
          <w:iCs/>
        </w:rPr>
        <w:t>Idee zu einer allgemeinen Geschichte in weltbürgerlicher Absicht</w:t>
      </w:r>
      <w:r>
        <w:t xml:space="preserve"> 8.19</w:t>
      </w:r>
      <w:r>
        <w:tab/>
        <w:t>699</w:t>
      </w:r>
    </w:p>
    <w:p w14:paraId="683CD239" w14:textId="77777777" w:rsidR="08BA72FD" w:rsidRDefault="08BA72FD" w:rsidP="08BA72FD">
      <w:pPr>
        <w:pStyle w:val="Rejstk2"/>
        <w:tabs>
          <w:tab w:val="right" w:leader="dot" w:pos="4171"/>
        </w:tabs>
        <w:spacing w:line="240" w:lineRule="auto"/>
        <w:ind w:left="240"/>
      </w:pPr>
      <w:r>
        <w:t>KdRV, A 119</w:t>
      </w:r>
      <w:r>
        <w:tab/>
        <w:t>500</w:t>
      </w:r>
    </w:p>
    <w:p w14:paraId="0059CB9F" w14:textId="77777777" w:rsidR="08BA72FD" w:rsidRDefault="08BA72FD" w:rsidP="08BA72FD"/>
    <w:p w14:paraId="0FE5505B" w14:textId="77777777" w:rsidR="08BA72FD" w:rsidRDefault="08BA72FD" w:rsidP="08BA72FD">
      <w:pPr>
        <w:pStyle w:val="Rejstk1"/>
        <w:tabs>
          <w:tab w:val="right" w:leader="dot" w:pos="4171"/>
        </w:tabs>
        <w:spacing w:line="240" w:lineRule="auto"/>
      </w:pPr>
    </w:p>
    <w:p w14:paraId="6B48725F" w14:textId="77777777" w:rsidR="08BA72FD" w:rsidRPr="08856341" w:rsidRDefault="08BA72FD" w:rsidP="08BA72FD">
      <w:pPr>
        <w:pStyle w:val="Rejstk2"/>
        <w:tabs>
          <w:tab w:val="right" w:leader="dot" w:pos="4171"/>
        </w:tabs>
        <w:spacing w:line="240" w:lineRule="auto"/>
        <w:ind w:left="240"/>
        <w:rPr>
          <w:b/>
        </w:rPr>
      </w:pPr>
      <w:r w:rsidRPr="08856341">
        <w:rPr>
          <w:b/>
        </w:rPr>
        <w:t>Kildwardby</w:t>
      </w:r>
    </w:p>
    <w:p w14:paraId="5558A160" w14:textId="77777777" w:rsidR="08BA72FD" w:rsidRDefault="08BA72FD" w:rsidP="08BA72FD">
      <w:pPr>
        <w:pStyle w:val="Rejstk2"/>
        <w:tabs>
          <w:tab w:val="right" w:leader="dot" w:pos="4171"/>
        </w:tabs>
        <w:spacing w:line="240" w:lineRule="auto"/>
        <w:ind w:left="240"/>
      </w:pPr>
      <w:r w:rsidRPr="001F5DB8">
        <w:rPr>
          <w:i/>
        </w:rPr>
        <w:t>De ortu scientiarum</w:t>
      </w:r>
      <w:r>
        <w:t xml:space="preserve"> 106.14‒18</w:t>
      </w:r>
      <w:r>
        <w:tab/>
        <w:t>664</w:t>
      </w:r>
    </w:p>
    <w:p w14:paraId="4433BD76" w14:textId="77777777" w:rsidR="08BA72FD" w:rsidRDefault="08BA72FD" w:rsidP="08BA72FD">
      <w:pPr>
        <w:pStyle w:val="Rejstk2"/>
        <w:tabs>
          <w:tab w:val="right" w:leader="dot" w:pos="4171"/>
        </w:tabs>
        <w:spacing w:line="240" w:lineRule="auto"/>
        <w:ind w:left="240"/>
      </w:pPr>
      <w:r w:rsidRPr="001F5DB8">
        <w:rPr>
          <w:i/>
        </w:rPr>
        <w:t>De ortu scientiarum</w:t>
      </w:r>
      <w:r>
        <w:t xml:space="preserve"> 110.6‒13</w:t>
      </w:r>
      <w:r>
        <w:tab/>
        <w:t>665</w:t>
      </w:r>
    </w:p>
    <w:p w14:paraId="0FF82CB0" w14:textId="77777777" w:rsidR="08BA72FD" w:rsidRDefault="08BA72FD" w:rsidP="08BA72FD">
      <w:pPr>
        <w:pStyle w:val="Rejstk2"/>
        <w:tabs>
          <w:tab w:val="right" w:leader="dot" w:pos="4171"/>
        </w:tabs>
        <w:spacing w:line="240" w:lineRule="auto"/>
        <w:ind w:left="240"/>
      </w:pPr>
      <w:r w:rsidRPr="001F5DB8">
        <w:rPr>
          <w:i/>
        </w:rPr>
        <w:t>De ortu scientiarum</w:t>
      </w:r>
      <w:r>
        <w:t xml:space="preserve"> 217.14‒18</w:t>
      </w:r>
      <w:r>
        <w:tab/>
        <w:t>667</w:t>
      </w:r>
    </w:p>
    <w:p w14:paraId="3ED72717" w14:textId="77777777" w:rsidR="08BA72FD" w:rsidRDefault="08BA72FD" w:rsidP="08BA72FD">
      <w:pPr>
        <w:pStyle w:val="Rejstk2"/>
        <w:tabs>
          <w:tab w:val="right" w:leader="dot" w:pos="4171"/>
        </w:tabs>
        <w:spacing w:line="240" w:lineRule="auto"/>
        <w:ind w:left="240"/>
      </w:pPr>
      <w:r w:rsidRPr="001F5DB8">
        <w:rPr>
          <w:i/>
        </w:rPr>
        <w:t>De ortu scientiarum</w:t>
      </w:r>
      <w:r>
        <w:t xml:space="preserve"> 65.32</w:t>
      </w:r>
      <w:r>
        <w:tab/>
        <w:t>667</w:t>
      </w:r>
    </w:p>
    <w:p w14:paraId="5F037E50" w14:textId="77777777" w:rsidR="08BA72FD" w:rsidRDefault="08BA72FD" w:rsidP="08BA72FD">
      <w:pPr>
        <w:pStyle w:val="Rejstk2"/>
        <w:tabs>
          <w:tab w:val="right" w:leader="dot" w:pos="4171"/>
        </w:tabs>
        <w:spacing w:line="240" w:lineRule="auto"/>
        <w:ind w:left="240"/>
      </w:pPr>
      <w:r w:rsidRPr="001F5DB8">
        <w:rPr>
          <w:i/>
        </w:rPr>
        <w:t>De ortu scientiarum</w:t>
      </w:r>
      <w:r>
        <w:t xml:space="preserve"> 65.32‒66.5</w:t>
      </w:r>
      <w:r>
        <w:tab/>
        <w:t>663</w:t>
      </w:r>
    </w:p>
    <w:p w14:paraId="24119E8D" w14:textId="77777777" w:rsidR="08BA72FD" w:rsidRDefault="08BA72FD" w:rsidP="08BA72FD">
      <w:pPr>
        <w:pStyle w:val="Rejstk2"/>
        <w:tabs>
          <w:tab w:val="right" w:leader="dot" w:pos="4171"/>
        </w:tabs>
        <w:spacing w:line="240" w:lineRule="auto"/>
        <w:ind w:left="240"/>
      </w:pPr>
      <w:r w:rsidRPr="001F5DB8">
        <w:rPr>
          <w:i/>
        </w:rPr>
        <w:t>De ortu scientiarum</w:t>
      </w:r>
      <w:r>
        <w:t xml:space="preserve"> 65‒75</w:t>
      </w:r>
      <w:r>
        <w:tab/>
        <w:t>667</w:t>
      </w:r>
    </w:p>
    <w:p w14:paraId="52FC58BE" w14:textId="77777777" w:rsidR="08BA72FD" w:rsidRDefault="08BA72FD" w:rsidP="08BA72FD">
      <w:pPr>
        <w:pStyle w:val="Rejstk2"/>
        <w:tabs>
          <w:tab w:val="right" w:leader="dot" w:pos="4171"/>
        </w:tabs>
        <w:spacing w:line="240" w:lineRule="auto"/>
        <w:ind w:left="240"/>
      </w:pPr>
      <w:r w:rsidRPr="001F5DB8">
        <w:rPr>
          <w:i/>
        </w:rPr>
        <w:t>De ortu scientiarum</w:t>
      </w:r>
      <w:r>
        <w:t xml:space="preserve"> 89.30‒31</w:t>
      </w:r>
      <w:r>
        <w:tab/>
        <w:t>657</w:t>
      </w:r>
    </w:p>
    <w:p w14:paraId="35E562D7" w14:textId="77777777" w:rsidR="08BA72FD" w:rsidRDefault="08BA72FD" w:rsidP="08BA72FD">
      <w:pPr>
        <w:pStyle w:val="Rejstk2"/>
        <w:tabs>
          <w:tab w:val="right" w:leader="dot" w:pos="4171"/>
        </w:tabs>
        <w:spacing w:line="240" w:lineRule="auto"/>
        <w:ind w:left="240"/>
      </w:pPr>
      <w:r w:rsidRPr="001F5DB8">
        <w:rPr>
          <w:i/>
        </w:rPr>
        <w:t>De ortu scientiarum</w:t>
      </w:r>
      <w:r>
        <w:t xml:space="preserve"> 90.10‒11</w:t>
      </w:r>
      <w:r>
        <w:tab/>
        <w:t>657</w:t>
      </w:r>
    </w:p>
    <w:p w14:paraId="3C0DA893" w14:textId="77777777" w:rsidR="08BA72FD" w:rsidRDefault="08BA72FD" w:rsidP="08BA72FD">
      <w:pPr>
        <w:pStyle w:val="Rejstk2"/>
        <w:tabs>
          <w:tab w:val="right" w:leader="dot" w:pos="4171"/>
        </w:tabs>
        <w:spacing w:line="240" w:lineRule="auto"/>
        <w:ind w:left="240"/>
      </w:pPr>
      <w:r w:rsidRPr="001F5DB8">
        <w:rPr>
          <w:i/>
        </w:rPr>
        <w:t>De ortu scientiarum</w:t>
      </w:r>
      <w:r>
        <w:t xml:space="preserve"> 90.20‒27</w:t>
      </w:r>
      <w:r>
        <w:tab/>
        <w:t>658</w:t>
      </w:r>
    </w:p>
    <w:p w14:paraId="7308DA67" w14:textId="77777777" w:rsidR="08BA72FD" w:rsidRDefault="08BA72FD" w:rsidP="08BA72FD">
      <w:pPr>
        <w:pStyle w:val="Rejstk2"/>
        <w:tabs>
          <w:tab w:val="right" w:leader="dot" w:pos="4171"/>
        </w:tabs>
        <w:spacing w:line="240" w:lineRule="auto"/>
        <w:ind w:left="240"/>
      </w:pPr>
      <w:r w:rsidRPr="001F5DB8">
        <w:rPr>
          <w:i/>
        </w:rPr>
        <w:t>De ortu scientiarum</w:t>
      </w:r>
      <w:r>
        <w:t xml:space="preserve"> 93.6‒7</w:t>
      </w:r>
      <w:r>
        <w:tab/>
        <w:t>659</w:t>
      </w:r>
    </w:p>
    <w:p w14:paraId="35AF9ACE" w14:textId="77777777" w:rsidR="08BA72FD" w:rsidRDefault="08BA72FD" w:rsidP="08BA72FD">
      <w:pPr>
        <w:pStyle w:val="Rejstk2"/>
        <w:tabs>
          <w:tab w:val="right" w:leader="dot" w:pos="4171"/>
        </w:tabs>
        <w:spacing w:line="240" w:lineRule="auto"/>
        <w:ind w:left="240"/>
      </w:pPr>
      <w:r w:rsidRPr="001F5DB8">
        <w:rPr>
          <w:i/>
        </w:rPr>
        <w:t>De ortu scientiarum</w:t>
      </w:r>
      <w:r>
        <w:t xml:space="preserve"> 93.8‒12</w:t>
      </w:r>
      <w:r>
        <w:tab/>
        <w:t>660</w:t>
      </w:r>
    </w:p>
    <w:p w14:paraId="2CD28E34" w14:textId="77777777" w:rsidR="08BA72FD" w:rsidRDefault="08BA72FD" w:rsidP="08BA72FD">
      <w:pPr>
        <w:pStyle w:val="Rejstk2"/>
        <w:tabs>
          <w:tab w:val="right" w:leader="dot" w:pos="4171"/>
        </w:tabs>
        <w:spacing w:line="240" w:lineRule="auto"/>
        <w:ind w:left="240"/>
      </w:pPr>
      <w:r w:rsidRPr="001F5DB8">
        <w:rPr>
          <w:i/>
        </w:rPr>
        <w:t>De ortu scientiarum</w:t>
      </w:r>
      <w:r>
        <w:t xml:space="preserve"> 94.5</w:t>
      </w:r>
      <w:r>
        <w:tab/>
        <w:t>659</w:t>
      </w:r>
    </w:p>
    <w:p w14:paraId="24A631AA" w14:textId="77777777" w:rsidR="08BA72FD" w:rsidRDefault="08BA72FD" w:rsidP="08BA72FD">
      <w:pPr>
        <w:pStyle w:val="Rejstk2"/>
        <w:tabs>
          <w:tab w:val="right" w:leader="dot" w:pos="4171"/>
        </w:tabs>
        <w:spacing w:line="240" w:lineRule="auto"/>
        <w:ind w:left="240"/>
      </w:pPr>
      <w:r w:rsidRPr="001F5DB8">
        <w:rPr>
          <w:i/>
        </w:rPr>
        <w:t>Notulae super librum praedicamentorum</w:t>
      </w:r>
      <w:r>
        <w:t xml:space="preserve"> 5.15‒19</w:t>
      </w:r>
      <w:r>
        <w:tab/>
        <w:t>644</w:t>
      </w:r>
    </w:p>
    <w:p w14:paraId="16CC1942"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w:t>
      </w:r>
      <w:r w:rsidRPr="001F5DB8">
        <w:rPr>
          <w:i/>
          <w:iCs/>
        </w:rPr>
        <w:t>117.47‒49</w:t>
      </w:r>
      <w:r>
        <w:tab/>
        <w:t>649</w:t>
      </w:r>
    </w:p>
    <w:p w14:paraId="2EF1ABEE"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w:t>
      </w:r>
      <w:r w:rsidRPr="001F5DB8">
        <w:rPr>
          <w:i/>
        </w:rPr>
        <w:t>126.259‒64</w:t>
      </w:r>
      <w:r>
        <w:tab/>
        <w:t>651</w:t>
      </w:r>
    </w:p>
    <w:p w14:paraId="085D90B9"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w:t>
      </w:r>
      <w:r w:rsidRPr="001F5DB8">
        <w:rPr>
          <w:i/>
        </w:rPr>
        <w:t>127.274‒78</w:t>
      </w:r>
      <w:r>
        <w:tab/>
        <w:t>641</w:t>
      </w:r>
    </w:p>
    <w:p w14:paraId="0885B2B9"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129.341‒42</w:t>
      </w:r>
      <w:r>
        <w:tab/>
        <w:t>643</w:t>
      </w:r>
    </w:p>
    <w:p w14:paraId="0C260873"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130.367‒68</w:t>
      </w:r>
      <w:r>
        <w:tab/>
        <w:t>642</w:t>
      </w:r>
    </w:p>
    <w:p w14:paraId="2A1EE1D2"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130.381‒85</w:t>
      </w:r>
      <w:r>
        <w:tab/>
        <w:t>645</w:t>
      </w:r>
    </w:p>
    <w:p w14:paraId="7DC9F80C"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131.402‒408</w:t>
      </w:r>
      <w:r>
        <w:tab/>
        <w:t>646</w:t>
      </w:r>
    </w:p>
    <w:p w14:paraId="483DDE7E" w14:textId="77777777" w:rsidR="08BA72FD" w:rsidRDefault="08BA72FD" w:rsidP="08BA72FD">
      <w:pPr>
        <w:pStyle w:val="Rejstk2"/>
        <w:tabs>
          <w:tab w:val="right" w:leader="dot" w:pos="4171"/>
        </w:tabs>
        <w:spacing w:line="240" w:lineRule="auto"/>
        <w:ind w:left="240"/>
      </w:pPr>
      <w:r w:rsidRPr="08856341">
        <w:rPr>
          <w:i/>
          <w:iCs/>
        </w:rPr>
        <w:t>Notule Libri Posteriorum</w:t>
      </w:r>
      <w:r>
        <w:t xml:space="preserve"> 131.411‒15</w:t>
      </w:r>
      <w:r>
        <w:tab/>
        <w:t>648</w:t>
      </w:r>
    </w:p>
    <w:p w14:paraId="479C4B65" w14:textId="77777777" w:rsidR="00D974D2" w:rsidRDefault="08BA72FD" w:rsidP="00D974D2">
      <w:pPr>
        <w:pStyle w:val="Rejstk2"/>
        <w:tabs>
          <w:tab w:val="right" w:leader="dot" w:pos="4171"/>
        </w:tabs>
        <w:spacing w:line="240" w:lineRule="auto"/>
        <w:ind w:left="240"/>
      </w:pPr>
      <w:r w:rsidRPr="08856341">
        <w:rPr>
          <w:i/>
          <w:iCs/>
        </w:rPr>
        <w:t>Notule Libri Posteriorum</w:t>
      </w:r>
      <w:r>
        <w:t xml:space="preserve"> 134.470‒75</w:t>
      </w:r>
      <w:r>
        <w:tab/>
        <w:t>639</w:t>
      </w:r>
    </w:p>
    <w:p w14:paraId="0596EA00" w14:textId="43274C47" w:rsidR="00D974D2" w:rsidRPr="00D974D2" w:rsidRDefault="00D974D2" w:rsidP="00D974D2">
      <w:pPr>
        <w:pStyle w:val="Rejstk2"/>
        <w:tabs>
          <w:tab w:val="right" w:leader="dot" w:pos="4171"/>
        </w:tabs>
        <w:spacing w:line="240" w:lineRule="auto"/>
        <w:ind w:left="240"/>
      </w:pPr>
      <w:r w:rsidRPr="08E279D1">
        <w:rPr>
          <w:i/>
          <w:iCs/>
        </w:rPr>
        <w:t>Notule Libri Posteriorum</w:t>
      </w:r>
      <w:r w:rsidRPr="0010152F">
        <w:t xml:space="preserve"> </w:t>
      </w:r>
      <w:r>
        <w:t>119.86</w:t>
      </w:r>
      <w:r w:rsidRPr="0010152F">
        <w:t>‒</w:t>
      </w:r>
      <w:r>
        <w:t>8</w:t>
      </w:r>
      <w:r w:rsidRPr="0010152F">
        <w:t>8</w:t>
      </w:r>
      <w:r>
        <w:tab/>
        <w:t>725</w:t>
      </w:r>
    </w:p>
    <w:p w14:paraId="33599089" w14:textId="77777777" w:rsidR="08BA72FD" w:rsidRPr="08856341" w:rsidRDefault="08BA72FD" w:rsidP="08BA72FD"/>
    <w:p w14:paraId="0E0AA5C6" w14:textId="77777777" w:rsidR="08BA72FD" w:rsidRPr="081D00EB" w:rsidRDefault="08BA72FD" w:rsidP="08BA72FD">
      <w:pPr>
        <w:pStyle w:val="Rejstk2"/>
        <w:tabs>
          <w:tab w:val="right" w:leader="dot" w:pos="4171"/>
        </w:tabs>
        <w:spacing w:line="240" w:lineRule="auto"/>
        <w:ind w:left="240"/>
        <w:rPr>
          <w:rStyle w:val="st"/>
          <w:b/>
        </w:rPr>
      </w:pPr>
      <w:r w:rsidRPr="081D00EB">
        <w:rPr>
          <w:rStyle w:val="st"/>
          <w:b/>
        </w:rPr>
        <w:t xml:space="preserve">Gottfried Wilhelm </w:t>
      </w:r>
      <w:r w:rsidRPr="081D00EB">
        <w:rPr>
          <w:rStyle w:val="Zvraznn"/>
          <w:b/>
          <w:i w:val="0"/>
        </w:rPr>
        <w:t>Leibniz</w:t>
      </w:r>
    </w:p>
    <w:p w14:paraId="498653C7" w14:textId="77777777" w:rsidR="08BA72FD" w:rsidRDefault="08BA72FD" w:rsidP="08BA72FD">
      <w:pPr>
        <w:pStyle w:val="Rejstk2"/>
        <w:tabs>
          <w:tab w:val="right" w:leader="dot" w:pos="4171"/>
        </w:tabs>
        <w:spacing w:line="240" w:lineRule="auto"/>
        <w:ind w:left="240"/>
      </w:pPr>
      <w:r w:rsidRPr="001F5DB8">
        <w:rPr>
          <w:i/>
        </w:rPr>
        <w:t>Disputatio metaphysica de principium individui</w:t>
      </w:r>
      <w:r>
        <w:t xml:space="preserve"> 9</w:t>
      </w:r>
      <w:r>
        <w:tab/>
        <w:t>586</w:t>
      </w:r>
    </w:p>
    <w:p w14:paraId="4148D1A2" w14:textId="77777777" w:rsidR="08BA72FD" w:rsidRDefault="08BA72FD" w:rsidP="08BA72FD">
      <w:pPr>
        <w:pStyle w:val="Rejstk2"/>
        <w:tabs>
          <w:tab w:val="right" w:leader="dot" w:pos="4171"/>
        </w:tabs>
        <w:spacing w:line="240" w:lineRule="auto"/>
        <w:ind w:left="240"/>
      </w:pPr>
      <w:r w:rsidRPr="001F5DB8">
        <w:rPr>
          <w:i/>
        </w:rPr>
        <w:t>Principes de la nature et de la grâce fondés en raiso</w:t>
      </w:r>
      <w:r>
        <w:t>n 727</w:t>
      </w:r>
      <w:r>
        <w:tab/>
        <w:t>702</w:t>
      </w:r>
    </w:p>
    <w:p w14:paraId="219F139D" w14:textId="77777777" w:rsidR="08BA72FD" w:rsidRDefault="08BA72FD" w:rsidP="08BA72FD"/>
    <w:p w14:paraId="6EC026C1" w14:textId="77777777" w:rsidR="08BA72FD" w:rsidRPr="085F4A2A" w:rsidRDefault="08BA72FD" w:rsidP="08BA72FD">
      <w:pPr>
        <w:pStyle w:val="Rejstk1"/>
        <w:tabs>
          <w:tab w:val="right" w:leader="dot" w:pos="4171"/>
        </w:tabs>
        <w:spacing w:line="240" w:lineRule="auto"/>
        <w:rPr>
          <w:b/>
        </w:rPr>
      </w:pPr>
      <w:r w:rsidRPr="085F4A2A">
        <w:rPr>
          <w:b/>
          <w:i/>
        </w:rPr>
        <w:t>Logica modernorum</w:t>
      </w:r>
      <w:r w:rsidRPr="085F4A2A">
        <w:rPr>
          <w:b/>
        </w:rPr>
        <w:t xml:space="preserve"> II</w:t>
      </w:r>
    </w:p>
    <w:p w14:paraId="5C9BA735" w14:textId="77777777" w:rsidR="08BA72FD" w:rsidRDefault="08BA72FD" w:rsidP="08BA72FD">
      <w:pPr>
        <w:pStyle w:val="Rejstk2"/>
        <w:tabs>
          <w:tab w:val="right" w:leader="dot" w:pos="4171"/>
        </w:tabs>
        <w:spacing w:line="240" w:lineRule="auto"/>
        <w:ind w:left="240"/>
      </w:pPr>
      <w:r w:rsidRPr="001F5DB8">
        <w:rPr>
          <w:i/>
        </w:rPr>
        <w:t>Cum sit nostra</w:t>
      </w:r>
      <w:r>
        <w:t xml:space="preserve"> 429.1‒6</w:t>
      </w:r>
      <w:r>
        <w:tab/>
        <w:t>423</w:t>
      </w:r>
    </w:p>
    <w:p w14:paraId="5A6A8813" w14:textId="77777777" w:rsidR="08BA72FD" w:rsidRDefault="08BA72FD" w:rsidP="08BA72FD">
      <w:pPr>
        <w:pStyle w:val="Rejstk2"/>
        <w:tabs>
          <w:tab w:val="right" w:leader="dot" w:pos="4171"/>
        </w:tabs>
        <w:spacing w:line="240" w:lineRule="auto"/>
        <w:ind w:left="240"/>
      </w:pPr>
      <w:r w:rsidRPr="001F5DB8">
        <w:rPr>
          <w:i/>
        </w:rPr>
        <w:t>Dialectica monacensis</w:t>
      </w:r>
      <w:r>
        <w:t xml:space="preserve"> 481.9‒16</w:t>
      </w:r>
      <w:r>
        <w:tab/>
        <w:t>65</w:t>
      </w:r>
    </w:p>
    <w:p w14:paraId="43F3295A" w14:textId="77777777" w:rsidR="08BA72FD" w:rsidRDefault="08BA72FD" w:rsidP="08BA72FD">
      <w:pPr>
        <w:pStyle w:val="Rejstk2"/>
        <w:tabs>
          <w:tab w:val="right" w:leader="dot" w:pos="4171"/>
        </w:tabs>
        <w:spacing w:line="240" w:lineRule="auto"/>
        <w:ind w:left="240"/>
      </w:pPr>
      <w:r w:rsidRPr="001F5DB8">
        <w:rPr>
          <w:i/>
        </w:rPr>
        <w:t>Tractatus Anagnini</w:t>
      </w:r>
      <w:r>
        <w:t xml:space="preserve"> 219‒220</w:t>
      </w:r>
      <w:r>
        <w:tab/>
        <w:t>94</w:t>
      </w:r>
    </w:p>
    <w:p w14:paraId="6286437A" w14:textId="77777777" w:rsidR="08BA72FD" w:rsidRDefault="08BA72FD" w:rsidP="08BA72FD">
      <w:pPr>
        <w:pStyle w:val="Rejstk2"/>
        <w:tabs>
          <w:tab w:val="right" w:leader="dot" w:pos="4171"/>
        </w:tabs>
        <w:spacing w:line="240" w:lineRule="auto"/>
        <w:ind w:left="240"/>
      </w:pPr>
      <w:r w:rsidRPr="001F5DB8">
        <w:rPr>
          <w:i/>
        </w:rPr>
        <w:t>Tractatus Anagnini</w:t>
      </w:r>
      <w:r>
        <w:t xml:space="preserve"> 236.10‒14</w:t>
      </w:r>
      <w:r>
        <w:tab/>
        <w:t>160</w:t>
      </w:r>
    </w:p>
    <w:p w14:paraId="53D77ABB" w14:textId="77777777" w:rsidR="08BA72FD" w:rsidRDefault="08BA72FD" w:rsidP="08BA72FD">
      <w:pPr>
        <w:pStyle w:val="Rejstk1"/>
        <w:tabs>
          <w:tab w:val="right" w:leader="dot" w:pos="4171"/>
        </w:tabs>
        <w:spacing w:line="240" w:lineRule="auto"/>
        <w:rPr>
          <w:b/>
        </w:rPr>
      </w:pPr>
    </w:p>
    <w:p w14:paraId="0C8C48DB" w14:textId="77777777" w:rsidR="08BA72FD" w:rsidRDefault="08BA72FD" w:rsidP="08BA72FD">
      <w:pPr>
        <w:pStyle w:val="Rejstk1"/>
        <w:tabs>
          <w:tab w:val="right" w:leader="dot" w:pos="4171"/>
        </w:tabs>
        <w:spacing w:line="240" w:lineRule="auto"/>
        <w:rPr>
          <w:b/>
        </w:rPr>
      </w:pPr>
      <w:r w:rsidRPr="08656DCF">
        <w:rPr>
          <w:b/>
        </w:rPr>
        <w:t>Alexius Meinong</w:t>
      </w:r>
    </w:p>
    <w:p w14:paraId="7CD3A2C4" w14:textId="77777777" w:rsidR="08BA72FD" w:rsidRDefault="08BA72FD" w:rsidP="08BA72FD">
      <w:pPr>
        <w:pStyle w:val="Rejstk1"/>
        <w:tabs>
          <w:tab w:val="right" w:leader="dot" w:pos="4171"/>
        </w:tabs>
        <w:spacing w:line="240" w:lineRule="auto"/>
      </w:pPr>
      <w:r w:rsidRPr="001F5DB8">
        <w:rPr>
          <w:i/>
        </w:rPr>
        <w:t xml:space="preserve">Über Gegenstände höherer Ordnung und deren Verhältnis zur inneren Wahrnehmung </w:t>
      </w:r>
      <w:r>
        <w:t>203</w:t>
      </w:r>
      <w:r>
        <w:tab/>
        <w:t>398</w:t>
      </w:r>
    </w:p>
    <w:p w14:paraId="5E1835A8" w14:textId="77777777" w:rsidR="08BA72FD" w:rsidRDefault="08BA72FD" w:rsidP="08BA72FD">
      <w:pPr>
        <w:pStyle w:val="Rejstk1"/>
        <w:tabs>
          <w:tab w:val="right" w:leader="dot" w:pos="4171"/>
        </w:tabs>
        <w:spacing w:line="240" w:lineRule="auto"/>
      </w:pPr>
    </w:p>
    <w:p w14:paraId="61CF62FE" w14:textId="77777777" w:rsidR="08BA72FD" w:rsidRPr="08BA72FD" w:rsidRDefault="08BA72FD" w:rsidP="08BA72FD"/>
    <w:p w14:paraId="6C1598DD" w14:textId="77777777" w:rsidR="08BA72FD" w:rsidRPr="08656DCF" w:rsidRDefault="08BA72FD" w:rsidP="08BA72FD">
      <w:pPr>
        <w:pStyle w:val="Rejstk1"/>
        <w:tabs>
          <w:tab w:val="right" w:leader="dot" w:pos="4171"/>
        </w:tabs>
        <w:spacing w:line="240" w:lineRule="auto"/>
        <w:rPr>
          <w:b/>
        </w:rPr>
      </w:pPr>
      <w:r w:rsidRPr="08656DCF">
        <w:rPr>
          <w:b/>
        </w:rPr>
        <w:t>Friedrich Nietzsche</w:t>
      </w:r>
    </w:p>
    <w:p w14:paraId="13965A63" w14:textId="77777777" w:rsidR="08BA72FD" w:rsidRDefault="08BA72FD" w:rsidP="08BA72FD">
      <w:pPr>
        <w:pStyle w:val="Rejstk2"/>
        <w:tabs>
          <w:tab w:val="right" w:leader="dot" w:pos="4171"/>
        </w:tabs>
        <w:spacing w:line="240" w:lineRule="auto"/>
        <w:ind w:left="240"/>
      </w:pPr>
      <w:r w:rsidRPr="001F5DB8">
        <w:rPr>
          <w:i/>
          <w:iCs/>
        </w:rPr>
        <w:t>Die fröhliche Wissenschaft</w:t>
      </w:r>
      <w:r>
        <w:t xml:space="preserve"> 3, 480</w:t>
      </w:r>
      <w:r>
        <w:tab/>
        <w:t>516</w:t>
      </w:r>
    </w:p>
    <w:p w14:paraId="0A164470" w14:textId="77777777" w:rsidR="08BA72FD" w:rsidRDefault="08BA72FD" w:rsidP="08BA72FD">
      <w:pPr>
        <w:pStyle w:val="Rejstk2"/>
        <w:tabs>
          <w:tab w:val="right" w:leader="dot" w:pos="4171"/>
        </w:tabs>
        <w:spacing w:line="240" w:lineRule="auto"/>
        <w:ind w:left="240"/>
      </w:pPr>
      <w:r w:rsidRPr="001F5DB8">
        <w:rPr>
          <w:i/>
        </w:rPr>
        <w:t xml:space="preserve">Götzen-Dämmerung </w:t>
      </w:r>
      <w:r>
        <w:t>6</w:t>
      </w:r>
      <w:r w:rsidRPr="001F5DB8">
        <w:rPr>
          <w:i/>
        </w:rPr>
        <w:t>.</w:t>
      </w:r>
      <w:r>
        <w:t>76</w:t>
      </w:r>
      <w:r>
        <w:tab/>
        <w:t>341</w:t>
      </w:r>
    </w:p>
    <w:p w14:paraId="134C2035" w14:textId="77777777" w:rsidR="08BA72FD" w:rsidRDefault="08BA72FD" w:rsidP="08BA72FD">
      <w:pPr>
        <w:pStyle w:val="Rejstk2"/>
        <w:tabs>
          <w:tab w:val="right" w:leader="dot" w:pos="4171"/>
        </w:tabs>
        <w:spacing w:line="240" w:lineRule="auto"/>
        <w:ind w:left="240"/>
      </w:pPr>
      <w:r w:rsidRPr="001F5DB8">
        <w:rPr>
          <w:i/>
        </w:rPr>
        <w:t>Menschliches, Allzumenschliches II</w:t>
      </w:r>
      <w:r>
        <w:t>, 701</w:t>
      </w:r>
      <w:r>
        <w:tab/>
        <w:t>5</w:t>
      </w:r>
    </w:p>
    <w:p w14:paraId="6A7C4879" w14:textId="77777777" w:rsidR="08BA72FD" w:rsidRPr="088079D4" w:rsidRDefault="08BA72FD" w:rsidP="08BA72FD">
      <w:pPr>
        <w:pStyle w:val="Rejstk2"/>
        <w:tabs>
          <w:tab w:val="right" w:leader="dot" w:pos="4171"/>
        </w:tabs>
        <w:spacing w:line="240" w:lineRule="auto"/>
        <w:ind w:left="240"/>
      </w:pPr>
      <w:r w:rsidRPr="001F5DB8">
        <w:rPr>
          <w:i/>
        </w:rPr>
        <w:t>Nachlaß</w:t>
      </w:r>
      <w:r>
        <w:t xml:space="preserve"> 10, 54</w:t>
      </w:r>
      <w:r>
        <w:tab/>
        <w:t>341</w:t>
      </w:r>
    </w:p>
    <w:p w14:paraId="3CF54524" w14:textId="77777777" w:rsidR="08BA72FD" w:rsidRDefault="08BA72FD" w:rsidP="08BA72FD">
      <w:pPr>
        <w:spacing w:line="240" w:lineRule="auto"/>
        <w:contextualSpacing/>
        <w:jc w:val="left"/>
        <w:rPr>
          <w:sz w:val="20"/>
        </w:rPr>
      </w:pPr>
    </w:p>
    <w:p w14:paraId="286A413C" w14:textId="77777777" w:rsidR="08BA72FD" w:rsidRPr="08025597" w:rsidRDefault="08BA72FD" w:rsidP="08BA72FD">
      <w:pPr>
        <w:pStyle w:val="Rejstk1"/>
        <w:tabs>
          <w:tab w:val="right" w:leader="dot" w:pos="4171"/>
        </w:tabs>
        <w:spacing w:line="240" w:lineRule="auto"/>
        <w:rPr>
          <w:b/>
        </w:rPr>
      </w:pPr>
      <w:r w:rsidRPr="08025597">
        <w:rPr>
          <w:b/>
        </w:rPr>
        <w:t>Notae Dunelmenses</w:t>
      </w:r>
    </w:p>
    <w:p w14:paraId="0F555565" w14:textId="77777777" w:rsidR="08BA72FD" w:rsidRDefault="08BA72FD" w:rsidP="08BA72FD">
      <w:pPr>
        <w:pStyle w:val="Rejstk1"/>
        <w:tabs>
          <w:tab w:val="right" w:leader="dot" w:pos="4171"/>
        </w:tabs>
        <w:spacing w:line="240" w:lineRule="auto"/>
      </w:pPr>
      <w:r>
        <w:t>f. 77ra</w:t>
      </w:r>
      <w:r>
        <w:tab/>
        <w:t>21</w:t>
      </w:r>
    </w:p>
    <w:p w14:paraId="57B9B8D0" w14:textId="77777777" w:rsidR="08BA72FD" w:rsidRDefault="08BA72FD" w:rsidP="08BA72FD">
      <w:pPr>
        <w:pStyle w:val="Rejstk1"/>
        <w:tabs>
          <w:tab w:val="right" w:leader="dot" w:pos="4171"/>
        </w:tabs>
        <w:spacing w:line="240" w:lineRule="auto"/>
      </w:pPr>
    </w:p>
    <w:p w14:paraId="0AF3FB74" w14:textId="77777777" w:rsidR="08BA72FD" w:rsidRPr="08025597" w:rsidRDefault="08BA72FD" w:rsidP="08BA72FD">
      <w:pPr>
        <w:pStyle w:val="Rejstk1"/>
        <w:tabs>
          <w:tab w:val="right" w:leader="dot" w:pos="4171"/>
        </w:tabs>
        <w:spacing w:line="240" w:lineRule="auto"/>
        <w:rPr>
          <w:b/>
        </w:rPr>
      </w:pPr>
      <w:r w:rsidRPr="08025597">
        <w:rPr>
          <w:b/>
        </w:rPr>
        <w:t>Nový zákon</w:t>
      </w:r>
    </w:p>
    <w:p w14:paraId="4D02363B" w14:textId="77777777" w:rsidR="08BA72FD" w:rsidRDefault="08BA72FD" w:rsidP="08BA72FD">
      <w:pPr>
        <w:pStyle w:val="Rejstk2"/>
        <w:tabs>
          <w:tab w:val="right" w:leader="dot" w:pos="4171"/>
        </w:tabs>
        <w:spacing w:line="240" w:lineRule="auto"/>
        <w:ind w:left="240"/>
      </w:pPr>
      <w:r w:rsidRPr="001F5DB8">
        <w:rPr>
          <w:iCs/>
        </w:rPr>
        <w:t xml:space="preserve">1 </w:t>
      </w:r>
      <w:r w:rsidRPr="001F5DB8">
        <w:rPr>
          <w:i/>
          <w:iCs/>
        </w:rPr>
        <w:t xml:space="preserve">Kor </w:t>
      </w:r>
      <w:r w:rsidRPr="001F5DB8">
        <w:rPr>
          <w:iCs/>
        </w:rPr>
        <w:t>1.19</w:t>
      </w:r>
      <w:r>
        <w:tab/>
        <w:t>47, 516</w:t>
      </w:r>
    </w:p>
    <w:p w14:paraId="68E74BE6" w14:textId="77777777" w:rsidR="08BA72FD" w:rsidRDefault="08BA72FD" w:rsidP="08BA72FD">
      <w:pPr>
        <w:pStyle w:val="Rejstk2"/>
        <w:tabs>
          <w:tab w:val="right" w:leader="dot" w:pos="4171"/>
        </w:tabs>
        <w:spacing w:line="240" w:lineRule="auto"/>
        <w:ind w:left="240"/>
      </w:pPr>
      <w:r w:rsidRPr="001F5DB8">
        <w:rPr>
          <w:iCs/>
        </w:rPr>
        <w:t>1 Kor</w:t>
      </w:r>
      <w:r w:rsidRPr="001F5DB8">
        <w:rPr>
          <w:i/>
          <w:iCs/>
        </w:rPr>
        <w:t xml:space="preserve"> </w:t>
      </w:r>
      <w:r w:rsidRPr="001F5DB8">
        <w:rPr>
          <w:iCs/>
        </w:rPr>
        <w:t>1.27</w:t>
      </w:r>
      <w:r>
        <w:tab/>
        <w:t>516</w:t>
      </w:r>
    </w:p>
    <w:p w14:paraId="0C57A7ED" w14:textId="77777777" w:rsidR="08BA72FD" w:rsidRDefault="08BA72FD" w:rsidP="08BA72FD">
      <w:pPr>
        <w:pStyle w:val="Rejstk2"/>
        <w:tabs>
          <w:tab w:val="right" w:leader="dot" w:pos="4171"/>
        </w:tabs>
        <w:spacing w:line="240" w:lineRule="auto"/>
        <w:ind w:left="240"/>
      </w:pPr>
      <w:r>
        <w:t xml:space="preserve">2 </w:t>
      </w:r>
      <w:r w:rsidRPr="001F5DB8">
        <w:rPr>
          <w:i/>
          <w:iCs/>
        </w:rPr>
        <w:t>Kor</w:t>
      </w:r>
      <w:r>
        <w:t xml:space="preserve"> 12.2‒4</w:t>
      </w:r>
      <w:r>
        <w:tab/>
        <w:t>102</w:t>
      </w:r>
    </w:p>
    <w:p w14:paraId="19D1DBC2" w14:textId="77777777" w:rsidR="08BA72FD" w:rsidRDefault="08BA72FD" w:rsidP="08BA72FD">
      <w:pPr>
        <w:spacing w:line="240" w:lineRule="auto"/>
        <w:contextualSpacing/>
        <w:jc w:val="left"/>
        <w:rPr>
          <w:sz w:val="20"/>
        </w:rPr>
      </w:pPr>
    </w:p>
    <w:p w14:paraId="22E85ED8" w14:textId="77777777" w:rsidR="08BA72FD" w:rsidRPr="087A3FD4" w:rsidRDefault="08BA72FD" w:rsidP="08BA72FD">
      <w:pPr>
        <w:pStyle w:val="Rejstk1"/>
        <w:tabs>
          <w:tab w:val="right" w:leader="dot" w:pos="4171"/>
        </w:tabs>
        <w:spacing w:line="240" w:lineRule="auto"/>
        <w:rPr>
          <w:b/>
        </w:rPr>
      </w:pPr>
      <w:r w:rsidRPr="087A3FD4">
        <w:rPr>
          <w:b/>
        </w:rPr>
        <w:t>William Ockham</w:t>
      </w:r>
    </w:p>
    <w:p w14:paraId="478B553E" w14:textId="77777777" w:rsidR="08BA72FD" w:rsidRDefault="08BA72FD" w:rsidP="08BA72FD">
      <w:pPr>
        <w:pStyle w:val="Rejstk2"/>
        <w:tabs>
          <w:tab w:val="right" w:leader="dot" w:pos="4171"/>
        </w:tabs>
        <w:spacing w:line="240" w:lineRule="auto"/>
        <w:ind w:left="240"/>
      </w:pPr>
      <w:r w:rsidRPr="001F5DB8">
        <w:rPr>
          <w:i/>
        </w:rPr>
        <w:t>Ordinatio</w:t>
      </w:r>
      <w:r>
        <w:t xml:space="preserve"> 1.232.8‒14</w:t>
      </w:r>
      <w:r>
        <w:tab/>
        <w:t>392</w:t>
      </w:r>
    </w:p>
    <w:p w14:paraId="4751FE05" w14:textId="77777777" w:rsidR="08BA72FD" w:rsidRDefault="08BA72FD" w:rsidP="08BA72FD">
      <w:pPr>
        <w:pStyle w:val="Rejstk1"/>
        <w:tabs>
          <w:tab w:val="right" w:leader="dot" w:pos="4171"/>
        </w:tabs>
        <w:spacing w:line="240" w:lineRule="auto"/>
      </w:pPr>
    </w:p>
    <w:p w14:paraId="2F8ADF22" w14:textId="77777777" w:rsidR="08BA72FD" w:rsidRPr="084718BE" w:rsidRDefault="08BA72FD" w:rsidP="08BA72FD">
      <w:pPr>
        <w:pStyle w:val="Rejstk1"/>
        <w:tabs>
          <w:tab w:val="right" w:leader="dot" w:pos="4171"/>
        </w:tabs>
        <w:spacing w:line="240" w:lineRule="auto"/>
        <w:rPr>
          <w:b/>
        </w:rPr>
      </w:pPr>
      <w:r w:rsidRPr="084718BE">
        <w:rPr>
          <w:b/>
        </w:rPr>
        <w:t>Parmenides</w:t>
      </w:r>
    </w:p>
    <w:p w14:paraId="7D9EE29B" w14:textId="77777777" w:rsidR="08BA72FD" w:rsidRDefault="08BA72FD" w:rsidP="08BA72FD">
      <w:pPr>
        <w:pStyle w:val="Rejstk2"/>
        <w:tabs>
          <w:tab w:val="right" w:leader="dot" w:pos="4171"/>
        </w:tabs>
        <w:spacing w:line="240" w:lineRule="auto"/>
        <w:ind w:left="240"/>
      </w:pPr>
      <w:r>
        <w:t>B 1.37</w:t>
      </w:r>
      <w:r>
        <w:tab/>
        <w:t>522</w:t>
      </w:r>
    </w:p>
    <w:p w14:paraId="53684A8B" w14:textId="77777777" w:rsidR="08BA72FD" w:rsidRDefault="08BA72FD" w:rsidP="08BA72FD">
      <w:pPr>
        <w:pStyle w:val="Rejstk2"/>
        <w:tabs>
          <w:tab w:val="right" w:leader="dot" w:pos="4171"/>
        </w:tabs>
        <w:spacing w:line="240" w:lineRule="auto"/>
        <w:ind w:left="240"/>
      </w:pPr>
      <w:r>
        <w:t>B 2.6</w:t>
      </w:r>
      <w:r>
        <w:tab/>
        <w:t>58</w:t>
      </w:r>
    </w:p>
    <w:p w14:paraId="6300A89C" w14:textId="77777777" w:rsidR="08BA72FD" w:rsidRDefault="08BA72FD" w:rsidP="08BA72FD">
      <w:pPr>
        <w:pStyle w:val="Rejstk2"/>
        <w:tabs>
          <w:tab w:val="right" w:leader="dot" w:pos="4171"/>
        </w:tabs>
        <w:spacing w:line="240" w:lineRule="auto"/>
        <w:ind w:left="240"/>
      </w:pPr>
      <w:r>
        <w:t>Fr. B 3</w:t>
      </w:r>
      <w:r>
        <w:tab/>
        <w:t>381</w:t>
      </w:r>
    </w:p>
    <w:p w14:paraId="2B515B04" w14:textId="77777777" w:rsidR="08BA72FD" w:rsidRDefault="08BA72FD" w:rsidP="08BA72FD">
      <w:pPr>
        <w:pStyle w:val="Rejstk2"/>
        <w:tabs>
          <w:tab w:val="right" w:leader="dot" w:pos="4171"/>
        </w:tabs>
        <w:spacing w:line="240" w:lineRule="auto"/>
        <w:ind w:left="240"/>
      </w:pPr>
      <w:r>
        <w:t>Fr. B 6.9</w:t>
      </w:r>
      <w:r>
        <w:tab/>
        <w:t>2</w:t>
      </w:r>
    </w:p>
    <w:p w14:paraId="6B1D62F8" w14:textId="77777777" w:rsidR="08BA72FD" w:rsidRPr="087A3FD4" w:rsidRDefault="08BA72FD" w:rsidP="08BA72FD"/>
    <w:p w14:paraId="616ABEF9" w14:textId="77777777" w:rsidR="08BA72FD" w:rsidRPr="082C1A33" w:rsidRDefault="08BA72FD" w:rsidP="08BA72FD">
      <w:pPr>
        <w:pStyle w:val="Rejstk1"/>
        <w:tabs>
          <w:tab w:val="right" w:leader="dot" w:pos="4171"/>
        </w:tabs>
        <w:spacing w:line="240" w:lineRule="auto"/>
        <w:rPr>
          <w:b/>
        </w:rPr>
      </w:pPr>
      <w:r w:rsidRPr="082C1A33">
        <w:rPr>
          <w:b/>
        </w:rPr>
        <w:t>Petrus Venerabilis</w:t>
      </w:r>
    </w:p>
    <w:p w14:paraId="572D5276" w14:textId="77777777" w:rsidR="08BA72FD" w:rsidRDefault="08BA72FD" w:rsidP="08BA72FD">
      <w:pPr>
        <w:pStyle w:val="Rejstk2"/>
        <w:tabs>
          <w:tab w:val="right" w:leader="dot" w:pos="4171"/>
        </w:tabs>
        <w:spacing w:line="240" w:lineRule="auto"/>
        <w:ind w:left="240"/>
      </w:pPr>
      <w:r w:rsidRPr="001F5DB8">
        <w:rPr>
          <w:i/>
        </w:rPr>
        <w:t>Epistola</w:t>
      </w:r>
      <w:r>
        <w:t xml:space="preserve"> 115</w:t>
      </w:r>
      <w:r>
        <w:tab/>
        <w:t>49</w:t>
      </w:r>
    </w:p>
    <w:p w14:paraId="00C16A50" w14:textId="77777777" w:rsidR="08BA72FD" w:rsidRDefault="08BA72FD" w:rsidP="08BA72FD">
      <w:pPr>
        <w:pStyle w:val="Rejstk2"/>
        <w:tabs>
          <w:tab w:val="right" w:leader="dot" w:pos="4171"/>
        </w:tabs>
        <w:spacing w:line="240" w:lineRule="auto"/>
        <w:ind w:left="240"/>
      </w:pPr>
      <w:r w:rsidRPr="001F5DB8">
        <w:rPr>
          <w:i/>
        </w:rPr>
        <w:t xml:space="preserve">Epistola </w:t>
      </w:r>
      <w:r>
        <w:t>9.7</w:t>
      </w:r>
      <w:r>
        <w:tab/>
        <w:t>47</w:t>
      </w:r>
    </w:p>
    <w:p w14:paraId="171832B1" w14:textId="77777777" w:rsidR="08BA72FD" w:rsidRDefault="08BA72FD" w:rsidP="08BA72FD">
      <w:pPr>
        <w:spacing w:line="240" w:lineRule="auto"/>
        <w:contextualSpacing/>
        <w:jc w:val="left"/>
        <w:rPr>
          <w:sz w:val="20"/>
        </w:rPr>
      </w:pPr>
    </w:p>
    <w:p w14:paraId="165D698D" w14:textId="77777777" w:rsidR="08BA72FD" w:rsidRPr="08931DF2" w:rsidRDefault="08BA72FD" w:rsidP="08BA72FD">
      <w:pPr>
        <w:pStyle w:val="Rejstk1"/>
        <w:tabs>
          <w:tab w:val="right" w:leader="dot" w:pos="4171"/>
        </w:tabs>
        <w:spacing w:line="240" w:lineRule="auto"/>
        <w:rPr>
          <w:b/>
        </w:rPr>
      </w:pPr>
      <w:r w:rsidRPr="08931DF2">
        <w:rPr>
          <w:b/>
        </w:rPr>
        <w:t>Platon</w:t>
      </w:r>
    </w:p>
    <w:p w14:paraId="18A6FC83" w14:textId="77777777" w:rsidR="08BA72FD" w:rsidRDefault="08BA72FD" w:rsidP="08BA72FD">
      <w:pPr>
        <w:pStyle w:val="Rejstk2"/>
        <w:tabs>
          <w:tab w:val="right" w:leader="dot" w:pos="4171"/>
        </w:tabs>
        <w:spacing w:line="240" w:lineRule="auto"/>
        <w:ind w:left="240"/>
      </w:pPr>
      <w:r w:rsidRPr="001F5DB8">
        <w:rPr>
          <w:i/>
        </w:rPr>
        <w:t>Parm</w:t>
      </w:r>
      <w:r>
        <w:t>. 132a–b</w:t>
      </w:r>
      <w:r>
        <w:tab/>
        <w:t>223</w:t>
      </w:r>
    </w:p>
    <w:p w14:paraId="5931E4D9" w14:textId="77777777" w:rsidR="08BA72FD" w:rsidRDefault="08BA72FD" w:rsidP="08BA72FD">
      <w:pPr>
        <w:pStyle w:val="Rejstk2"/>
        <w:tabs>
          <w:tab w:val="right" w:leader="dot" w:pos="4171"/>
        </w:tabs>
        <w:spacing w:line="240" w:lineRule="auto"/>
        <w:ind w:left="240"/>
      </w:pPr>
      <w:r w:rsidRPr="001F5DB8">
        <w:rPr>
          <w:i/>
        </w:rPr>
        <w:t>Soph</w:t>
      </w:r>
      <w:r>
        <w:t>. 239c9‒d4</w:t>
      </w:r>
      <w:r>
        <w:tab/>
        <w:t>411</w:t>
      </w:r>
    </w:p>
    <w:p w14:paraId="6A254450" w14:textId="77777777" w:rsidR="08BA72FD" w:rsidRDefault="08BA72FD" w:rsidP="08BA72FD">
      <w:pPr>
        <w:pStyle w:val="Rejstk2"/>
        <w:tabs>
          <w:tab w:val="right" w:leader="dot" w:pos="4171"/>
        </w:tabs>
        <w:spacing w:line="240" w:lineRule="auto"/>
        <w:ind w:left="240"/>
      </w:pPr>
      <w:r w:rsidRPr="001F5DB8">
        <w:rPr>
          <w:i/>
        </w:rPr>
        <w:t>Soph</w:t>
      </w:r>
      <w:r>
        <w:t>. 239d4</w:t>
      </w:r>
      <w:r>
        <w:tab/>
        <w:t>600</w:t>
      </w:r>
    </w:p>
    <w:p w14:paraId="32BAB3BD" w14:textId="77777777" w:rsidR="08BA72FD" w:rsidRDefault="08BA72FD" w:rsidP="08BA72FD">
      <w:pPr>
        <w:pStyle w:val="Rejstk2"/>
        <w:tabs>
          <w:tab w:val="right" w:leader="dot" w:pos="4171"/>
        </w:tabs>
        <w:spacing w:line="240" w:lineRule="auto"/>
        <w:ind w:left="240"/>
      </w:pPr>
      <w:r w:rsidRPr="001F5DB8">
        <w:rPr>
          <w:i/>
        </w:rPr>
        <w:t>Soph</w:t>
      </w:r>
      <w:r>
        <w:t>. 265a1</w:t>
      </w:r>
      <w:r>
        <w:tab/>
        <w:t>77, 381</w:t>
      </w:r>
    </w:p>
    <w:p w14:paraId="3F8E2B1C" w14:textId="77777777" w:rsidR="08BA72FD" w:rsidRDefault="08BA72FD" w:rsidP="08BA72FD">
      <w:pPr>
        <w:pStyle w:val="Rejstk2"/>
        <w:tabs>
          <w:tab w:val="right" w:leader="dot" w:pos="4171"/>
        </w:tabs>
        <w:spacing w:line="240" w:lineRule="auto"/>
        <w:ind w:left="240"/>
      </w:pPr>
      <w:r w:rsidRPr="001F5DB8">
        <w:rPr>
          <w:i/>
        </w:rPr>
        <w:t>Soph</w:t>
      </w:r>
      <w:r>
        <w:t>. 267d5‒6</w:t>
      </w:r>
      <w:r>
        <w:tab/>
        <w:t>77</w:t>
      </w:r>
    </w:p>
    <w:p w14:paraId="4C1895A8" w14:textId="77777777" w:rsidR="08BA72FD" w:rsidRDefault="08BA72FD" w:rsidP="08BA72FD">
      <w:pPr>
        <w:pStyle w:val="Rejstk2"/>
        <w:tabs>
          <w:tab w:val="right" w:leader="dot" w:pos="4171"/>
        </w:tabs>
        <w:spacing w:line="240" w:lineRule="auto"/>
        <w:ind w:left="240"/>
      </w:pPr>
      <w:r w:rsidRPr="001F5DB8">
        <w:rPr>
          <w:i/>
        </w:rPr>
        <w:t>Theait</w:t>
      </w:r>
      <w:r>
        <w:t>. 191d7‒9</w:t>
      </w:r>
      <w:r>
        <w:tab/>
        <w:t>592</w:t>
      </w:r>
    </w:p>
    <w:p w14:paraId="6632289E" w14:textId="77777777" w:rsidR="08BA72FD" w:rsidRDefault="08BA72FD" w:rsidP="08BA72FD">
      <w:pPr>
        <w:pStyle w:val="Rejstk2"/>
        <w:tabs>
          <w:tab w:val="right" w:leader="dot" w:pos="4171"/>
        </w:tabs>
        <w:spacing w:line="240" w:lineRule="auto"/>
        <w:ind w:left="240"/>
      </w:pPr>
      <w:r w:rsidRPr="001F5DB8">
        <w:rPr>
          <w:i/>
        </w:rPr>
        <w:t>Tim</w:t>
      </w:r>
      <w:r>
        <w:t>. 48a7‒8</w:t>
      </w:r>
      <w:r>
        <w:tab/>
        <w:t>280</w:t>
      </w:r>
    </w:p>
    <w:p w14:paraId="2D4D2664" w14:textId="77777777" w:rsidR="08BA72FD" w:rsidRDefault="08BA72FD" w:rsidP="08BA72FD">
      <w:pPr>
        <w:pStyle w:val="Rejstk2"/>
        <w:tabs>
          <w:tab w:val="right" w:leader="dot" w:pos="4171"/>
        </w:tabs>
        <w:spacing w:line="240" w:lineRule="auto"/>
        <w:ind w:left="240"/>
      </w:pPr>
      <w:r w:rsidRPr="001F5DB8">
        <w:rPr>
          <w:i/>
        </w:rPr>
        <w:t>Tim</w:t>
      </w:r>
      <w:r>
        <w:t>. 48e–53c</w:t>
      </w:r>
      <w:r>
        <w:tab/>
        <w:t>595</w:t>
      </w:r>
    </w:p>
    <w:p w14:paraId="03C6A0E0" w14:textId="77777777" w:rsidR="08BA72FD" w:rsidRDefault="08BA72FD" w:rsidP="08BA72FD">
      <w:pPr>
        <w:spacing w:line="240" w:lineRule="auto"/>
        <w:contextualSpacing/>
        <w:jc w:val="left"/>
        <w:rPr>
          <w:sz w:val="20"/>
        </w:rPr>
      </w:pPr>
    </w:p>
    <w:p w14:paraId="76165CFB" w14:textId="77777777" w:rsidR="08BA72FD" w:rsidRPr="08016EE3" w:rsidRDefault="08BA72FD" w:rsidP="08BA72FD">
      <w:pPr>
        <w:pStyle w:val="Rejstk1"/>
        <w:tabs>
          <w:tab w:val="right" w:leader="dot" w:pos="4171"/>
        </w:tabs>
        <w:spacing w:line="240" w:lineRule="auto"/>
        <w:rPr>
          <w:b/>
        </w:rPr>
      </w:pPr>
      <w:r w:rsidRPr="08016EE3">
        <w:rPr>
          <w:b/>
        </w:rPr>
        <w:t>Porfyrius</w:t>
      </w:r>
    </w:p>
    <w:p w14:paraId="3FF6F05B" w14:textId="77777777" w:rsidR="00BF15A1" w:rsidRDefault="08BA72FD" w:rsidP="08BA72FD">
      <w:pPr>
        <w:pStyle w:val="Rejstk2"/>
        <w:tabs>
          <w:tab w:val="right" w:leader="dot" w:pos="4171"/>
        </w:tabs>
        <w:spacing w:line="240" w:lineRule="auto"/>
        <w:ind w:left="240"/>
      </w:pPr>
      <w:r w:rsidRPr="001F5DB8">
        <w:rPr>
          <w:i/>
          <w:color w:val="000000"/>
        </w:rPr>
        <w:t>Isag</w:t>
      </w:r>
      <w:r w:rsidRPr="001F5DB8">
        <w:rPr>
          <w:color w:val="000000"/>
        </w:rPr>
        <w:t>. 11.15</w:t>
      </w:r>
      <w:r>
        <w:tab/>
        <w:t>14</w:t>
      </w:r>
    </w:p>
    <w:p w14:paraId="52F9FE72" w14:textId="3D931373" w:rsidR="08BA72FD" w:rsidRDefault="00BF15A1" w:rsidP="08BA72FD">
      <w:pPr>
        <w:pStyle w:val="Rejstk2"/>
        <w:tabs>
          <w:tab w:val="right" w:leader="dot" w:pos="4171"/>
        </w:tabs>
        <w:spacing w:line="240" w:lineRule="auto"/>
        <w:ind w:left="240"/>
      </w:pPr>
      <w:r w:rsidRPr="002856D5">
        <w:rPr>
          <w:i/>
          <w:szCs w:val="24"/>
        </w:rPr>
        <w:t>Porph. in Cat.</w:t>
      </w:r>
      <w:r w:rsidRPr="002856D5">
        <w:rPr>
          <w:szCs w:val="24"/>
        </w:rPr>
        <w:t xml:space="preserve"> 90.31</w:t>
      </w:r>
      <w:r>
        <w:rPr>
          <w:szCs w:val="24"/>
        </w:rPr>
        <w:tab/>
        <w:t>485</w:t>
      </w:r>
    </w:p>
    <w:p w14:paraId="5BA33F98" w14:textId="77777777" w:rsidR="08BA72FD" w:rsidRDefault="08BA72FD" w:rsidP="08BA72FD"/>
    <w:p w14:paraId="20CB7E71" w14:textId="77777777" w:rsidR="08BA72FD" w:rsidRPr="08CE2258" w:rsidRDefault="08BA72FD" w:rsidP="08BA72FD">
      <w:pPr>
        <w:pStyle w:val="Rejstk1"/>
        <w:tabs>
          <w:tab w:val="right" w:leader="dot" w:pos="4171"/>
        </w:tabs>
        <w:spacing w:line="240" w:lineRule="auto"/>
        <w:rPr>
          <w:b/>
          <w:lang w:eastAsia="en-US"/>
        </w:rPr>
      </w:pPr>
      <w:r w:rsidRPr="08CE2258">
        <w:rPr>
          <w:b/>
          <w:lang w:eastAsia="en-US"/>
        </w:rPr>
        <w:t>Priscián</w:t>
      </w:r>
    </w:p>
    <w:p w14:paraId="39BE6ED2" w14:textId="77777777" w:rsidR="08BA72FD" w:rsidRDefault="08BA72FD" w:rsidP="08BA72FD">
      <w:pPr>
        <w:pStyle w:val="Rejstk1"/>
        <w:tabs>
          <w:tab w:val="right" w:leader="dot" w:pos="4171"/>
        </w:tabs>
        <w:spacing w:line="240" w:lineRule="auto"/>
      </w:pPr>
      <w:r w:rsidRPr="001F5DB8">
        <w:rPr>
          <w:i/>
          <w:iCs/>
        </w:rPr>
        <w:t>Institutiones grammaticae</w:t>
      </w:r>
      <w:r>
        <w:t xml:space="preserve"> 55</w:t>
      </w:r>
      <w:r>
        <w:tab/>
        <w:t>20</w:t>
      </w:r>
    </w:p>
    <w:p w14:paraId="59AE49DA" w14:textId="77777777" w:rsidR="08BA72FD" w:rsidRDefault="08BA72FD" w:rsidP="08BA72FD"/>
    <w:p w14:paraId="0E5408B0" w14:textId="77777777" w:rsidR="08BA72FD" w:rsidRPr="08D94C4E" w:rsidRDefault="08BA72FD" w:rsidP="08BA72FD">
      <w:pPr>
        <w:pStyle w:val="Rejstk1"/>
        <w:tabs>
          <w:tab w:val="right" w:leader="dot" w:pos="4171"/>
        </w:tabs>
        <w:spacing w:line="240" w:lineRule="auto"/>
        <w:rPr>
          <w:b/>
        </w:rPr>
      </w:pPr>
      <w:r w:rsidRPr="08D94C4E">
        <w:rPr>
          <w:b/>
        </w:rPr>
        <w:t>Pseudo-Grosseteste</w:t>
      </w:r>
    </w:p>
    <w:p w14:paraId="48DE0F45" w14:textId="77777777" w:rsidR="08BA72FD" w:rsidRDefault="08BA72FD" w:rsidP="08BA72FD">
      <w:pPr>
        <w:pStyle w:val="Rejstk2"/>
        <w:tabs>
          <w:tab w:val="right" w:leader="dot" w:pos="4171"/>
        </w:tabs>
        <w:spacing w:line="240" w:lineRule="auto"/>
        <w:ind w:left="240"/>
      </w:pPr>
      <w:r w:rsidRPr="001F5DB8">
        <w:rPr>
          <w:i/>
        </w:rPr>
        <w:t>Summa philosophiae</w:t>
      </w:r>
      <w:r w:rsidRPr="001F5DB8">
        <w:t xml:space="preserve"> 293.1‒6</w:t>
      </w:r>
      <w:r>
        <w:tab/>
        <w:t>451</w:t>
      </w:r>
    </w:p>
    <w:p w14:paraId="09FCA0E9" w14:textId="77777777" w:rsidR="08BA72FD" w:rsidRDefault="08BA72FD" w:rsidP="08BA72FD">
      <w:pPr>
        <w:pStyle w:val="Rejstk2"/>
        <w:tabs>
          <w:tab w:val="right" w:leader="dot" w:pos="4171"/>
        </w:tabs>
        <w:spacing w:line="240" w:lineRule="auto"/>
        <w:ind w:left="240"/>
      </w:pPr>
      <w:r w:rsidRPr="001F5DB8">
        <w:rPr>
          <w:i/>
        </w:rPr>
        <w:t>Summa philosophiae</w:t>
      </w:r>
      <w:r w:rsidRPr="001F5DB8">
        <w:t xml:space="preserve"> 305.25</w:t>
      </w:r>
      <w:r w:rsidRPr="001F5DB8">
        <w:rPr>
          <w:rFonts w:ascii="Arial" w:hAnsi="Arial" w:cs="Arial"/>
        </w:rPr>
        <w:t>‒</w:t>
      </w:r>
      <w:r w:rsidRPr="001F5DB8">
        <w:rPr>
          <w:rFonts w:cs="Calibri"/>
        </w:rPr>
        <w:t>30</w:t>
      </w:r>
      <w:r>
        <w:tab/>
        <w:t>445</w:t>
      </w:r>
    </w:p>
    <w:p w14:paraId="3BB5D220" w14:textId="77777777" w:rsidR="08BA72FD" w:rsidRDefault="08BA72FD" w:rsidP="08BA72FD">
      <w:pPr>
        <w:pStyle w:val="Rejstk2"/>
        <w:tabs>
          <w:tab w:val="right" w:leader="dot" w:pos="4171"/>
        </w:tabs>
        <w:spacing w:line="240" w:lineRule="auto"/>
        <w:ind w:left="240"/>
      </w:pPr>
      <w:r w:rsidRPr="001F5DB8">
        <w:rPr>
          <w:i/>
        </w:rPr>
        <w:t>Summa philosophiae</w:t>
      </w:r>
      <w:r w:rsidRPr="001F5DB8">
        <w:t xml:space="preserve"> 305.39</w:t>
      </w:r>
      <w:r w:rsidRPr="001F5DB8">
        <w:rPr>
          <w:rFonts w:ascii="Arial" w:hAnsi="Arial" w:cs="Arial"/>
        </w:rPr>
        <w:t>‒</w:t>
      </w:r>
      <w:r w:rsidRPr="001F5DB8">
        <w:rPr>
          <w:rFonts w:cs="Calibri"/>
        </w:rPr>
        <w:t>306.2</w:t>
      </w:r>
      <w:r>
        <w:tab/>
        <w:t>440</w:t>
      </w:r>
    </w:p>
    <w:p w14:paraId="494AFA67" w14:textId="77777777" w:rsidR="08BA72FD" w:rsidRDefault="08BA72FD" w:rsidP="08BA72FD">
      <w:pPr>
        <w:pStyle w:val="Rejstk2"/>
        <w:tabs>
          <w:tab w:val="right" w:leader="dot" w:pos="4171"/>
        </w:tabs>
        <w:spacing w:line="240" w:lineRule="auto"/>
        <w:ind w:left="240"/>
      </w:pPr>
      <w:r w:rsidRPr="001F5DB8">
        <w:rPr>
          <w:i/>
        </w:rPr>
        <w:t>Summa philosophiae</w:t>
      </w:r>
      <w:r w:rsidRPr="001F5DB8">
        <w:t xml:space="preserve"> 306.11‒18</w:t>
      </w:r>
      <w:r>
        <w:tab/>
        <w:t>447</w:t>
      </w:r>
    </w:p>
    <w:p w14:paraId="5C752705" w14:textId="77777777" w:rsidR="08BA72FD" w:rsidRDefault="08BA72FD" w:rsidP="08BA72FD">
      <w:pPr>
        <w:pStyle w:val="Rejstk2"/>
        <w:tabs>
          <w:tab w:val="right" w:leader="dot" w:pos="4171"/>
        </w:tabs>
        <w:spacing w:line="240" w:lineRule="auto"/>
        <w:ind w:left="240"/>
      </w:pPr>
      <w:r w:rsidRPr="001F5DB8">
        <w:rPr>
          <w:i/>
        </w:rPr>
        <w:t>Summa philosophiae</w:t>
      </w:r>
      <w:r w:rsidRPr="001F5DB8">
        <w:t xml:space="preserve"> 472.18</w:t>
      </w:r>
      <w:r w:rsidRPr="001F5DB8">
        <w:rPr>
          <w:rFonts w:ascii="Arial" w:hAnsi="Arial" w:cs="Arial"/>
        </w:rPr>
        <w:t>‒</w:t>
      </w:r>
      <w:r w:rsidRPr="001F5DB8">
        <w:rPr>
          <w:rFonts w:cs="Calibri"/>
        </w:rPr>
        <w:t>24</w:t>
      </w:r>
      <w:r>
        <w:tab/>
        <w:t>443</w:t>
      </w:r>
    </w:p>
    <w:p w14:paraId="1566D059" w14:textId="77777777" w:rsidR="08BA72FD" w:rsidRDefault="08BA72FD" w:rsidP="08BA72FD"/>
    <w:p w14:paraId="24539E88" w14:textId="77777777" w:rsidR="08BA72FD" w:rsidRPr="080910D6" w:rsidRDefault="08BA72FD" w:rsidP="08BA72FD">
      <w:pPr>
        <w:pStyle w:val="Rejstk1"/>
        <w:tabs>
          <w:tab w:val="right" w:leader="dot" w:pos="4171"/>
        </w:tabs>
        <w:spacing w:line="240" w:lineRule="auto"/>
        <w:rPr>
          <w:b/>
        </w:rPr>
      </w:pPr>
      <w:r w:rsidRPr="080910D6">
        <w:rPr>
          <w:b/>
        </w:rPr>
        <w:t>Rufus z Cornwallu</w:t>
      </w:r>
    </w:p>
    <w:p w14:paraId="36F583B9" w14:textId="77777777" w:rsidR="08BA72FD" w:rsidRDefault="08BA72FD" w:rsidP="08BA72FD">
      <w:pPr>
        <w:pStyle w:val="Rejstk2"/>
        <w:tabs>
          <w:tab w:val="right" w:leader="dot" w:pos="4171"/>
        </w:tabs>
        <w:spacing w:line="240" w:lineRule="auto"/>
        <w:ind w:left="240"/>
      </w:pPr>
      <w:r w:rsidRPr="001F5DB8">
        <w:rPr>
          <w:i/>
        </w:rPr>
        <w:t>Contra Averroem</w:t>
      </w:r>
      <w:r>
        <w:t xml:space="preserve"> 2.24‒25</w:t>
      </w:r>
      <w:r>
        <w:tab/>
        <w:t>604</w:t>
      </w:r>
    </w:p>
    <w:p w14:paraId="03CB3284" w14:textId="77777777" w:rsidR="08BA72FD" w:rsidRDefault="08BA72FD" w:rsidP="08BA72FD">
      <w:pPr>
        <w:pStyle w:val="Rejstk2"/>
        <w:tabs>
          <w:tab w:val="right" w:leader="dot" w:pos="4171"/>
        </w:tabs>
        <w:spacing w:line="240" w:lineRule="auto"/>
        <w:ind w:left="240"/>
      </w:pPr>
      <w:r w:rsidRPr="001F5DB8">
        <w:rPr>
          <w:i/>
        </w:rPr>
        <w:t>Contra Averroem</w:t>
      </w:r>
      <w:r>
        <w:t xml:space="preserve"> 36.778‒83</w:t>
      </w:r>
      <w:r>
        <w:tab/>
        <w:t>206</w:t>
      </w:r>
    </w:p>
    <w:p w14:paraId="255DB16B" w14:textId="77777777" w:rsidR="08BA72FD" w:rsidRDefault="08BA72FD" w:rsidP="08BA72FD">
      <w:pPr>
        <w:pStyle w:val="Rejstk2"/>
        <w:tabs>
          <w:tab w:val="right" w:leader="dot" w:pos="4171"/>
        </w:tabs>
        <w:spacing w:line="240" w:lineRule="auto"/>
        <w:ind w:left="240"/>
      </w:pPr>
      <w:r w:rsidRPr="001F5DB8">
        <w:rPr>
          <w:i/>
        </w:rPr>
        <w:t>Contra Averroem</w:t>
      </w:r>
      <w:r>
        <w:t xml:space="preserve"> 5.105‒6.114</w:t>
      </w:r>
      <w:r>
        <w:tab/>
        <w:t>605</w:t>
      </w:r>
    </w:p>
    <w:p w14:paraId="166C29F2" w14:textId="77777777" w:rsidR="08BA72FD" w:rsidRDefault="08BA72FD" w:rsidP="08BA72FD">
      <w:pPr>
        <w:pStyle w:val="Rejstk2"/>
        <w:tabs>
          <w:tab w:val="right" w:leader="dot" w:pos="4171"/>
        </w:tabs>
        <w:spacing w:line="240" w:lineRule="auto"/>
        <w:ind w:left="240"/>
      </w:pPr>
      <w:r w:rsidRPr="001F5DB8">
        <w:rPr>
          <w:i/>
        </w:rPr>
        <w:t>Contra Averroem</w:t>
      </w:r>
      <w:r>
        <w:t xml:space="preserve"> 5.95‒99</w:t>
      </w:r>
      <w:r>
        <w:tab/>
        <w:t>604</w:t>
      </w:r>
    </w:p>
    <w:p w14:paraId="4E91D4BF" w14:textId="77777777" w:rsidR="08BA72FD" w:rsidRDefault="08BA72FD" w:rsidP="08BA72FD">
      <w:pPr>
        <w:pStyle w:val="Rejstk2"/>
        <w:tabs>
          <w:tab w:val="right" w:leader="dot" w:pos="4171"/>
        </w:tabs>
        <w:spacing w:line="240" w:lineRule="auto"/>
        <w:ind w:left="240"/>
      </w:pPr>
      <w:r w:rsidRPr="001F5DB8">
        <w:rPr>
          <w:i/>
        </w:rPr>
        <w:t>Contra Averroem</w:t>
      </w:r>
      <w:r>
        <w:t xml:space="preserve"> 6.117‒19</w:t>
      </w:r>
      <w:r>
        <w:tab/>
        <w:t>606</w:t>
      </w:r>
    </w:p>
    <w:p w14:paraId="4B9B8731" w14:textId="77777777" w:rsidR="08BA72FD" w:rsidRDefault="08BA72FD" w:rsidP="08BA72FD">
      <w:pPr>
        <w:pStyle w:val="Rejstk2"/>
        <w:tabs>
          <w:tab w:val="right" w:leader="dot" w:pos="4171"/>
        </w:tabs>
        <w:spacing w:line="240" w:lineRule="auto"/>
        <w:ind w:left="240"/>
      </w:pPr>
      <w:r w:rsidRPr="001F5DB8">
        <w:rPr>
          <w:i/>
        </w:rPr>
        <w:t>Contra Averroem</w:t>
      </w:r>
      <w:r>
        <w:t xml:space="preserve"> 6.117‒24</w:t>
      </w:r>
      <w:r>
        <w:tab/>
        <w:t>607</w:t>
      </w:r>
    </w:p>
    <w:p w14:paraId="289E3A8B" w14:textId="77777777" w:rsidR="08BA72FD" w:rsidRDefault="08BA72FD" w:rsidP="08BA72FD">
      <w:pPr>
        <w:pStyle w:val="Rejstk2"/>
        <w:tabs>
          <w:tab w:val="right" w:leader="dot" w:pos="4171"/>
        </w:tabs>
        <w:spacing w:line="240" w:lineRule="auto"/>
        <w:ind w:left="240"/>
      </w:pPr>
      <w:r w:rsidRPr="001F5DB8">
        <w:rPr>
          <w:i/>
        </w:rPr>
        <w:t>Contra Averroem</w:t>
      </w:r>
      <w:r>
        <w:t xml:space="preserve"> 8.170‒73</w:t>
      </w:r>
      <w:r>
        <w:tab/>
        <w:t>580</w:t>
      </w:r>
    </w:p>
    <w:p w14:paraId="5938B4DF" w14:textId="77777777" w:rsidR="08BA72FD" w:rsidRDefault="08BA72FD" w:rsidP="08BA72FD">
      <w:pPr>
        <w:pStyle w:val="Rejstk2"/>
        <w:tabs>
          <w:tab w:val="right" w:leader="dot" w:pos="4171"/>
        </w:tabs>
        <w:spacing w:line="240" w:lineRule="auto"/>
        <w:ind w:left="240"/>
      </w:pPr>
      <w:r w:rsidRPr="001F5DB8">
        <w:rPr>
          <w:i/>
        </w:rPr>
        <w:t>Contra Averroem</w:t>
      </w:r>
      <w:r>
        <w:t xml:space="preserve"> 8.176‒79</w:t>
      </w:r>
      <w:r>
        <w:tab/>
        <w:t>584</w:t>
      </w:r>
    </w:p>
    <w:p w14:paraId="6F7FA8B3" w14:textId="77777777" w:rsidR="08BA72FD" w:rsidRDefault="08BA72FD" w:rsidP="08BA72FD">
      <w:pPr>
        <w:pStyle w:val="Rejstk2"/>
        <w:tabs>
          <w:tab w:val="right" w:leader="dot" w:pos="4171"/>
        </w:tabs>
        <w:spacing w:line="240" w:lineRule="auto"/>
        <w:ind w:left="240"/>
      </w:pPr>
      <w:r w:rsidRPr="001F5DB8">
        <w:rPr>
          <w:i/>
        </w:rPr>
        <w:t>Contra Averroem</w:t>
      </w:r>
      <w:r>
        <w:t xml:space="preserve"> 9.9‒12</w:t>
      </w:r>
      <w:r>
        <w:tab/>
        <w:t>585</w:t>
      </w:r>
    </w:p>
    <w:p w14:paraId="0F77C521" w14:textId="77777777" w:rsidR="08BA72FD" w:rsidRDefault="08BA72FD" w:rsidP="08BA72FD">
      <w:pPr>
        <w:pStyle w:val="Rejstk2"/>
        <w:tabs>
          <w:tab w:val="right" w:leader="dot" w:pos="4171"/>
        </w:tabs>
        <w:spacing w:line="240" w:lineRule="auto"/>
        <w:ind w:left="240"/>
      </w:pPr>
      <w:r w:rsidRPr="001F5DB8">
        <w:rPr>
          <w:i/>
        </w:rPr>
        <w:t>In APos</w:t>
      </w:r>
      <w:r>
        <w:t xml:space="preserve"> 1.2.S1.ad1</w:t>
      </w:r>
      <w:r>
        <w:tab/>
        <w:t>507, 648</w:t>
      </w:r>
    </w:p>
    <w:p w14:paraId="00D23E43" w14:textId="77777777" w:rsidR="08BA72FD" w:rsidRDefault="08BA72FD" w:rsidP="08BA72FD">
      <w:pPr>
        <w:pStyle w:val="Rejstk2"/>
        <w:tabs>
          <w:tab w:val="right" w:leader="dot" w:pos="4171"/>
        </w:tabs>
        <w:spacing w:line="240" w:lineRule="auto"/>
        <w:ind w:left="240"/>
      </w:pPr>
      <w:r w:rsidRPr="001F5DB8">
        <w:rPr>
          <w:i/>
        </w:rPr>
        <w:t>In APos</w:t>
      </w:r>
      <w:r>
        <w:t xml:space="preserve"> 1.2.S10.ad3</w:t>
      </w:r>
      <w:r>
        <w:tab/>
        <w:t>570</w:t>
      </w:r>
    </w:p>
    <w:p w14:paraId="1CAB3774" w14:textId="77777777" w:rsidR="08BA72FD" w:rsidRDefault="08BA72FD" w:rsidP="08BA72FD">
      <w:pPr>
        <w:pStyle w:val="Rejstk2"/>
        <w:tabs>
          <w:tab w:val="right" w:leader="dot" w:pos="4171"/>
        </w:tabs>
        <w:spacing w:line="240" w:lineRule="auto"/>
        <w:ind w:left="240"/>
      </w:pPr>
      <w:r w:rsidRPr="001F5DB8">
        <w:rPr>
          <w:i/>
        </w:rPr>
        <w:t>In APos</w:t>
      </w:r>
      <w:r>
        <w:t xml:space="preserve"> 1.2.S2.ad2</w:t>
      </w:r>
      <w:r>
        <w:tab/>
        <w:t>509</w:t>
      </w:r>
    </w:p>
    <w:p w14:paraId="6F7B2FEF" w14:textId="77777777" w:rsidR="08BA72FD" w:rsidRDefault="08BA72FD" w:rsidP="08BA72FD">
      <w:pPr>
        <w:pStyle w:val="Rejstk2"/>
        <w:tabs>
          <w:tab w:val="right" w:leader="dot" w:pos="4171"/>
        </w:tabs>
        <w:spacing w:line="240" w:lineRule="auto"/>
        <w:ind w:left="240"/>
      </w:pPr>
      <w:r w:rsidRPr="001F5DB8">
        <w:rPr>
          <w:i/>
        </w:rPr>
        <w:t>In APos</w:t>
      </w:r>
      <w:r>
        <w:t xml:space="preserve"> 1.2.S3.ad4</w:t>
      </w:r>
      <w:r>
        <w:tab/>
        <w:t>556</w:t>
      </w:r>
    </w:p>
    <w:p w14:paraId="63EAE483" w14:textId="77777777" w:rsidR="08BA72FD" w:rsidRDefault="08BA72FD" w:rsidP="08BA72FD">
      <w:pPr>
        <w:pStyle w:val="Rejstk2"/>
        <w:tabs>
          <w:tab w:val="right" w:leader="dot" w:pos="4171"/>
        </w:tabs>
        <w:spacing w:line="240" w:lineRule="auto"/>
        <w:ind w:left="240"/>
      </w:pPr>
      <w:r w:rsidRPr="001F5DB8">
        <w:rPr>
          <w:i/>
        </w:rPr>
        <w:t>In APos</w:t>
      </w:r>
      <w:r>
        <w:t xml:space="preserve"> 1.2.S4.ad4</w:t>
      </w:r>
      <w:r>
        <w:tab/>
        <w:t>538</w:t>
      </w:r>
    </w:p>
    <w:p w14:paraId="454D6169" w14:textId="77777777" w:rsidR="08BA72FD" w:rsidRDefault="08BA72FD" w:rsidP="08BA72FD">
      <w:pPr>
        <w:pStyle w:val="Rejstk2"/>
        <w:tabs>
          <w:tab w:val="right" w:leader="dot" w:pos="4171"/>
        </w:tabs>
        <w:spacing w:line="240" w:lineRule="auto"/>
        <w:ind w:left="240"/>
      </w:pPr>
      <w:r w:rsidRPr="001F5DB8">
        <w:rPr>
          <w:i/>
        </w:rPr>
        <w:t>In APos</w:t>
      </w:r>
      <w:r>
        <w:t xml:space="preserve"> 1.2.S6.ad1</w:t>
      </w:r>
      <w:r>
        <w:tab/>
        <w:t>539</w:t>
      </w:r>
    </w:p>
    <w:p w14:paraId="449EE198" w14:textId="77777777" w:rsidR="08BA72FD" w:rsidRDefault="08BA72FD" w:rsidP="08BA72FD">
      <w:pPr>
        <w:pStyle w:val="Rejstk2"/>
        <w:tabs>
          <w:tab w:val="right" w:leader="dot" w:pos="4171"/>
        </w:tabs>
        <w:spacing w:line="240" w:lineRule="auto"/>
        <w:ind w:left="240"/>
      </w:pPr>
      <w:r w:rsidRPr="001F5DB8">
        <w:rPr>
          <w:i/>
        </w:rPr>
        <w:t>In APos</w:t>
      </w:r>
      <w:r>
        <w:t xml:space="preserve"> 1.2.S6.ad3</w:t>
      </w:r>
      <w:r>
        <w:tab/>
        <w:t>537</w:t>
      </w:r>
    </w:p>
    <w:p w14:paraId="1E416601" w14:textId="77777777" w:rsidR="08BA72FD" w:rsidRDefault="08BA72FD" w:rsidP="08BA72FD">
      <w:pPr>
        <w:pStyle w:val="Rejstk2"/>
        <w:tabs>
          <w:tab w:val="right" w:leader="dot" w:pos="4171"/>
        </w:tabs>
        <w:spacing w:line="240" w:lineRule="auto"/>
        <w:ind w:left="240"/>
      </w:pPr>
      <w:r w:rsidRPr="001F5DB8">
        <w:rPr>
          <w:i/>
        </w:rPr>
        <w:t xml:space="preserve">In APos </w:t>
      </w:r>
      <w:r>
        <w:t>1.2.S8.2</w:t>
      </w:r>
      <w:r>
        <w:tab/>
        <w:t>518, 638</w:t>
      </w:r>
    </w:p>
    <w:p w14:paraId="4DF2E969" w14:textId="77777777" w:rsidR="08BA72FD" w:rsidRDefault="08BA72FD" w:rsidP="08BA72FD">
      <w:pPr>
        <w:pStyle w:val="Rejstk2"/>
        <w:tabs>
          <w:tab w:val="right" w:leader="dot" w:pos="4171"/>
        </w:tabs>
        <w:spacing w:line="240" w:lineRule="auto"/>
        <w:ind w:left="240"/>
      </w:pPr>
      <w:r w:rsidRPr="001F5DB8">
        <w:rPr>
          <w:i/>
        </w:rPr>
        <w:t>In APos</w:t>
      </w:r>
      <w:r>
        <w:t xml:space="preserve"> 1.2.S8.ad1</w:t>
      </w:r>
      <w:r>
        <w:tab/>
        <w:t>523</w:t>
      </w:r>
    </w:p>
    <w:p w14:paraId="7AF1520F" w14:textId="77777777" w:rsidR="08BA72FD" w:rsidRDefault="08BA72FD" w:rsidP="08BA72FD">
      <w:pPr>
        <w:pStyle w:val="Rejstk2"/>
        <w:tabs>
          <w:tab w:val="right" w:leader="dot" w:pos="4171"/>
        </w:tabs>
        <w:spacing w:line="240" w:lineRule="auto"/>
        <w:ind w:left="240"/>
      </w:pPr>
      <w:r w:rsidRPr="001F5DB8">
        <w:rPr>
          <w:i/>
        </w:rPr>
        <w:t>In APos</w:t>
      </w:r>
      <w:r>
        <w:t xml:space="preserve"> 1.3.S1.3</w:t>
      </w:r>
      <w:r>
        <w:tab/>
        <w:t>510</w:t>
      </w:r>
    </w:p>
    <w:p w14:paraId="16E5FF64" w14:textId="77777777" w:rsidR="08BA72FD" w:rsidRDefault="08BA72FD" w:rsidP="08BA72FD">
      <w:pPr>
        <w:pStyle w:val="Rejstk2"/>
        <w:tabs>
          <w:tab w:val="right" w:leader="dot" w:pos="4171"/>
        </w:tabs>
        <w:spacing w:line="240" w:lineRule="auto"/>
        <w:ind w:left="240"/>
      </w:pPr>
      <w:r w:rsidRPr="001F5DB8">
        <w:rPr>
          <w:i/>
        </w:rPr>
        <w:t>In APos</w:t>
      </w:r>
      <w:r>
        <w:t xml:space="preserve"> 1.3.S1.ad3</w:t>
      </w:r>
      <w:r>
        <w:tab/>
        <w:t>549</w:t>
      </w:r>
    </w:p>
    <w:p w14:paraId="10834F36" w14:textId="77777777" w:rsidR="08BA72FD" w:rsidRDefault="08BA72FD" w:rsidP="08BA72FD">
      <w:pPr>
        <w:pStyle w:val="Rejstk2"/>
        <w:tabs>
          <w:tab w:val="right" w:leader="dot" w:pos="4171"/>
        </w:tabs>
        <w:spacing w:line="240" w:lineRule="auto"/>
        <w:ind w:left="240"/>
      </w:pPr>
      <w:r w:rsidRPr="001F5DB8">
        <w:rPr>
          <w:i/>
        </w:rPr>
        <w:t>In APos</w:t>
      </w:r>
      <w:r>
        <w:t xml:space="preserve"> 1.3.S4.ad4</w:t>
      </w:r>
      <w:r>
        <w:tab/>
        <w:t>555</w:t>
      </w:r>
    </w:p>
    <w:p w14:paraId="188280B8" w14:textId="77777777" w:rsidR="08BA72FD" w:rsidRDefault="08BA72FD" w:rsidP="08BA72FD">
      <w:pPr>
        <w:pStyle w:val="Rejstk2"/>
        <w:tabs>
          <w:tab w:val="right" w:leader="dot" w:pos="4171"/>
        </w:tabs>
        <w:spacing w:line="240" w:lineRule="auto"/>
        <w:ind w:left="240"/>
      </w:pPr>
      <w:r w:rsidRPr="001F5DB8">
        <w:rPr>
          <w:i/>
        </w:rPr>
        <w:t>In APos</w:t>
      </w:r>
      <w:r>
        <w:t xml:space="preserve"> 1.3.S4.ad5</w:t>
      </w:r>
      <w:r>
        <w:tab/>
        <w:t>555, 579</w:t>
      </w:r>
    </w:p>
    <w:p w14:paraId="6190CBDD" w14:textId="77777777" w:rsidR="08BA72FD" w:rsidRDefault="08BA72FD" w:rsidP="08BA72FD">
      <w:pPr>
        <w:pStyle w:val="Rejstk2"/>
        <w:tabs>
          <w:tab w:val="right" w:leader="dot" w:pos="4171"/>
        </w:tabs>
        <w:spacing w:line="240" w:lineRule="auto"/>
        <w:ind w:left="240"/>
      </w:pPr>
      <w:r w:rsidRPr="001F5DB8">
        <w:rPr>
          <w:i/>
        </w:rPr>
        <w:t>In APos</w:t>
      </w:r>
      <w:r>
        <w:t xml:space="preserve"> 1.3.S5.ad1</w:t>
      </w:r>
      <w:r>
        <w:tab/>
        <w:t>563</w:t>
      </w:r>
    </w:p>
    <w:p w14:paraId="0AE9BFE5" w14:textId="77777777" w:rsidR="08BA72FD" w:rsidRDefault="08BA72FD" w:rsidP="08BA72FD">
      <w:pPr>
        <w:pStyle w:val="Rejstk2"/>
        <w:tabs>
          <w:tab w:val="right" w:leader="dot" w:pos="4171"/>
        </w:tabs>
        <w:spacing w:line="240" w:lineRule="auto"/>
        <w:ind w:left="240"/>
      </w:pPr>
      <w:r w:rsidRPr="001F5DB8">
        <w:rPr>
          <w:i/>
        </w:rPr>
        <w:t>In APos</w:t>
      </w:r>
      <w:r>
        <w:t xml:space="preserve"> 1.3.S5.ad2</w:t>
      </w:r>
      <w:r>
        <w:tab/>
        <w:t>511</w:t>
      </w:r>
    </w:p>
    <w:p w14:paraId="4473692A" w14:textId="77777777" w:rsidR="08BA72FD" w:rsidRDefault="08BA72FD" w:rsidP="08BA72FD">
      <w:pPr>
        <w:pStyle w:val="Rejstk2"/>
        <w:tabs>
          <w:tab w:val="right" w:leader="dot" w:pos="4171"/>
        </w:tabs>
        <w:spacing w:line="240" w:lineRule="auto"/>
        <w:ind w:left="240"/>
      </w:pPr>
      <w:r w:rsidRPr="001F5DB8">
        <w:rPr>
          <w:i/>
        </w:rPr>
        <w:t>In APos</w:t>
      </w:r>
      <w:r>
        <w:t xml:space="preserve"> 1.3.S5.ad4</w:t>
      </w:r>
      <w:r>
        <w:tab/>
        <w:t>564</w:t>
      </w:r>
    </w:p>
    <w:p w14:paraId="1A965A36" w14:textId="77777777" w:rsidR="08BA72FD" w:rsidRDefault="08BA72FD" w:rsidP="08BA72FD">
      <w:pPr>
        <w:pStyle w:val="Rejstk2"/>
        <w:tabs>
          <w:tab w:val="right" w:leader="dot" w:pos="4171"/>
        </w:tabs>
        <w:spacing w:line="240" w:lineRule="auto"/>
        <w:ind w:left="240"/>
      </w:pPr>
      <w:r w:rsidRPr="001F5DB8">
        <w:rPr>
          <w:i/>
        </w:rPr>
        <w:t>In APos</w:t>
      </w:r>
      <w:r>
        <w:t xml:space="preserve"> 1.3.S6.4</w:t>
      </w:r>
      <w:r>
        <w:tab/>
        <w:t>569</w:t>
      </w:r>
    </w:p>
    <w:p w14:paraId="150F76F4" w14:textId="77777777" w:rsidR="08BA72FD" w:rsidRDefault="08BA72FD" w:rsidP="08BA72FD">
      <w:pPr>
        <w:pStyle w:val="Rejstk2"/>
        <w:tabs>
          <w:tab w:val="right" w:leader="dot" w:pos="4171"/>
        </w:tabs>
        <w:spacing w:line="240" w:lineRule="auto"/>
        <w:ind w:left="240"/>
      </w:pPr>
      <w:r w:rsidRPr="001F5DB8">
        <w:rPr>
          <w:i/>
        </w:rPr>
        <w:t>In APos</w:t>
      </w:r>
      <w:r>
        <w:t xml:space="preserve"> 1.3.S7.ad1</w:t>
      </w:r>
      <w:r>
        <w:tab/>
        <w:t>527</w:t>
      </w:r>
    </w:p>
    <w:p w14:paraId="0D531E00" w14:textId="77777777" w:rsidR="08BA72FD" w:rsidRDefault="08BA72FD" w:rsidP="08BA72FD">
      <w:pPr>
        <w:pStyle w:val="Rejstk2"/>
        <w:tabs>
          <w:tab w:val="right" w:leader="dot" w:pos="4171"/>
        </w:tabs>
        <w:spacing w:line="240" w:lineRule="auto"/>
        <w:ind w:left="240"/>
      </w:pPr>
      <w:r w:rsidRPr="001F5DB8">
        <w:rPr>
          <w:i/>
        </w:rPr>
        <w:t>In APos</w:t>
      </w:r>
      <w:r>
        <w:t xml:space="preserve"> 1.S1.1.3</w:t>
      </w:r>
      <w:r>
        <w:tab/>
        <w:t>501, 502</w:t>
      </w:r>
    </w:p>
    <w:p w14:paraId="48B291AF" w14:textId="77777777" w:rsidR="08BA72FD" w:rsidRDefault="08BA72FD" w:rsidP="08BA72FD">
      <w:pPr>
        <w:pStyle w:val="Rejstk2"/>
        <w:tabs>
          <w:tab w:val="right" w:leader="dot" w:pos="4171"/>
        </w:tabs>
        <w:spacing w:line="240" w:lineRule="auto"/>
        <w:ind w:left="240"/>
      </w:pPr>
      <w:r w:rsidRPr="001F5DB8">
        <w:rPr>
          <w:i/>
        </w:rPr>
        <w:t>In APos</w:t>
      </w:r>
      <w:r>
        <w:t xml:space="preserve"> 1.S1.3</w:t>
      </w:r>
      <w:r>
        <w:tab/>
        <w:t>499</w:t>
      </w:r>
    </w:p>
    <w:p w14:paraId="058BBC72" w14:textId="77777777" w:rsidR="08BA72FD" w:rsidRDefault="08BA72FD" w:rsidP="08BA72FD">
      <w:pPr>
        <w:pStyle w:val="Rejstk2"/>
        <w:tabs>
          <w:tab w:val="right" w:leader="dot" w:pos="4171"/>
        </w:tabs>
        <w:spacing w:line="240" w:lineRule="auto"/>
        <w:ind w:left="240"/>
      </w:pPr>
      <w:r w:rsidRPr="001F5DB8">
        <w:rPr>
          <w:i/>
        </w:rPr>
        <w:t>In APos</w:t>
      </w:r>
      <w:r>
        <w:t xml:space="preserve"> 2.S10.8.ad 3</w:t>
      </w:r>
      <w:r>
        <w:tab/>
        <w:t>530, 532</w:t>
      </w:r>
    </w:p>
    <w:p w14:paraId="5CC91B08" w14:textId="77777777" w:rsidR="08BA72FD" w:rsidRDefault="08BA72FD" w:rsidP="08BA72FD">
      <w:pPr>
        <w:pStyle w:val="Rejstk2"/>
        <w:tabs>
          <w:tab w:val="right" w:leader="dot" w:pos="4171"/>
        </w:tabs>
        <w:spacing w:line="240" w:lineRule="auto"/>
        <w:ind w:left="240"/>
      </w:pPr>
      <w:r w:rsidRPr="001F5DB8">
        <w:rPr>
          <w:i/>
        </w:rPr>
        <w:t>In APos</w:t>
      </w:r>
      <w:r>
        <w:t xml:space="preserve"> 3.S5.ad4</w:t>
      </w:r>
      <w:r>
        <w:tab/>
        <w:t>528</w:t>
      </w:r>
    </w:p>
    <w:p w14:paraId="2A1EF5E6" w14:textId="77777777" w:rsidR="08BA72FD" w:rsidRDefault="08BA72FD" w:rsidP="08BA72FD">
      <w:pPr>
        <w:pStyle w:val="Rejstk2"/>
        <w:tabs>
          <w:tab w:val="right" w:leader="dot" w:pos="4171"/>
        </w:tabs>
        <w:spacing w:line="240" w:lineRule="auto"/>
        <w:ind w:left="240"/>
      </w:pPr>
      <w:r w:rsidRPr="001F5DB8">
        <w:rPr>
          <w:i/>
        </w:rPr>
        <w:t>In DA</w:t>
      </w:r>
      <w:r>
        <w:t xml:space="preserve"> 1.2.5.ad aliud 2</w:t>
      </w:r>
      <w:r>
        <w:tab/>
        <w:t>587</w:t>
      </w:r>
    </w:p>
    <w:p w14:paraId="00CC32EE" w14:textId="77777777" w:rsidR="08BA72FD" w:rsidRDefault="08BA72FD" w:rsidP="08BA72FD">
      <w:pPr>
        <w:pStyle w:val="Rejstk2"/>
        <w:tabs>
          <w:tab w:val="right" w:leader="dot" w:pos="4171"/>
        </w:tabs>
        <w:spacing w:line="240" w:lineRule="auto"/>
        <w:ind w:left="240"/>
      </w:pPr>
      <w:r w:rsidRPr="001F5DB8">
        <w:rPr>
          <w:i/>
        </w:rPr>
        <w:t>In DA</w:t>
      </w:r>
      <w:r>
        <w:t xml:space="preserve"> 2.9.34</w:t>
      </w:r>
      <w:r>
        <w:tab/>
        <w:t>590</w:t>
      </w:r>
    </w:p>
    <w:p w14:paraId="34CA74AE" w14:textId="77777777" w:rsidR="08BA72FD" w:rsidRDefault="08BA72FD" w:rsidP="08BA72FD">
      <w:pPr>
        <w:pStyle w:val="Rejstk2"/>
        <w:tabs>
          <w:tab w:val="right" w:leader="dot" w:pos="4171"/>
        </w:tabs>
        <w:spacing w:line="240" w:lineRule="auto"/>
        <w:ind w:left="240"/>
      </w:pPr>
      <w:r w:rsidRPr="001F5DB8">
        <w:rPr>
          <w:i/>
        </w:rPr>
        <w:t>In DA</w:t>
      </w:r>
      <w:r>
        <w:t xml:space="preserve"> 3.4.10</w:t>
      </w:r>
      <w:r>
        <w:tab/>
        <w:t>594</w:t>
      </w:r>
    </w:p>
    <w:p w14:paraId="55EB1519" w14:textId="77777777" w:rsidR="08BA72FD" w:rsidRDefault="08BA72FD" w:rsidP="08BA72FD">
      <w:pPr>
        <w:pStyle w:val="Rejstk2"/>
        <w:tabs>
          <w:tab w:val="right" w:leader="dot" w:pos="4171"/>
        </w:tabs>
        <w:spacing w:line="240" w:lineRule="auto"/>
        <w:ind w:left="240"/>
      </w:pPr>
      <w:r w:rsidRPr="001F5DB8">
        <w:rPr>
          <w:i/>
        </w:rPr>
        <w:t>In DA</w:t>
      </w:r>
      <w:r>
        <w:t xml:space="preserve"> 3.4.12</w:t>
      </w:r>
      <w:r>
        <w:tab/>
        <w:t>593, 597, 598</w:t>
      </w:r>
    </w:p>
    <w:p w14:paraId="369535EA" w14:textId="77777777" w:rsidR="08BA72FD" w:rsidRDefault="08BA72FD" w:rsidP="08BA72FD">
      <w:pPr>
        <w:pStyle w:val="Rejstk2"/>
        <w:tabs>
          <w:tab w:val="right" w:leader="dot" w:pos="4171"/>
        </w:tabs>
        <w:spacing w:line="240" w:lineRule="auto"/>
        <w:ind w:left="240"/>
      </w:pPr>
      <w:r w:rsidRPr="001F5DB8">
        <w:rPr>
          <w:i/>
        </w:rPr>
        <w:t>In DA</w:t>
      </w:r>
      <w:r>
        <w:t xml:space="preserve"> 3.4.9</w:t>
      </w:r>
      <w:r>
        <w:tab/>
        <w:t>591</w:t>
      </w:r>
    </w:p>
    <w:p w14:paraId="15421B4A" w14:textId="77777777" w:rsidR="08BA72FD" w:rsidRDefault="08BA72FD" w:rsidP="08BA72FD">
      <w:pPr>
        <w:pStyle w:val="Rejstk2"/>
        <w:tabs>
          <w:tab w:val="right" w:leader="dot" w:pos="4171"/>
        </w:tabs>
        <w:spacing w:line="240" w:lineRule="auto"/>
        <w:ind w:left="240"/>
      </w:pPr>
      <w:r w:rsidRPr="001F5DB8">
        <w:rPr>
          <w:i/>
        </w:rPr>
        <w:t>In DA</w:t>
      </w:r>
      <w:r>
        <w:t xml:space="preserve"> I.7.4.Q.1</w:t>
      </w:r>
      <w:r>
        <w:tab/>
        <w:t>589</w:t>
      </w:r>
    </w:p>
    <w:p w14:paraId="241DB216" w14:textId="77777777" w:rsidR="08BA72FD" w:rsidRDefault="08BA72FD" w:rsidP="08BA72FD">
      <w:pPr>
        <w:pStyle w:val="Rejstk2"/>
        <w:tabs>
          <w:tab w:val="right" w:leader="dot" w:pos="4171"/>
        </w:tabs>
        <w:spacing w:line="240" w:lineRule="auto"/>
        <w:ind w:left="240"/>
      </w:pPr>
      <w:r w:rsidRPr="001F5DB8">
        <w:rPr>
          <w:i/>
        </w:rPr>
        <w:t>In DAn</w:t>
      </w:r>
      <w:r>
        <w:t xml:space="preserve"> 3.2.3</w:t>
      </w:r>
      <w:r>
        <w:tab/>
        <w:t>556</w:t>
      </w:r>
    </w:p>
    <w:p w14:paraId="2245C56B" w14:textId="77777777" w:rsidR="08BA72FD" w:rsidRDefault="08BA72FD" w:rsidP="08BA72FD">
      <w:pPr>
        <w:pStyle w:val="Rejstk2"/>
        <w:tabs>
          <w:tab w:val="right" w:leader="dot" w:pos="4171"/>
        </w:tabs>
        <w:spacing w:line="240" w:lineRule="auto"/>
        <w:ind w:left="240"/>
      </w:pPr>
      <w:r w:rsidRPr="001F5DB8">
        <w:rPr>
          <w:i/>
        </w:rPr>
        <w:t xml:space="preserve">In II Sent. </w:t>
      </w:r>
      <w:r>
        <w:t>441.86‒96</w:t>
      </w:r>
      <w:r>
        <w:tab/>
        <w:t>480</w:t>
      </w:r>
    </w:p>
    <w:p w14:paraId="69B36206" w14:textId="77777777" w:rsidR="08BA72FD" w:rsidRDefault="08BA72FD" w:rsidP="08BA72FD">
      <w:pPr>
        <w:pStyle w:val="Rejstk2"/>
        <w:tabs>
          <w:tab w:val="right" w:leader="dot" w:pos="4171"/>
        </w:tabs>
        <w:spacing w:line="240" w:lineRule="auto"/>
        <w:ind w:left="240"/>
      </w:pPr>
      <w:r w:rsidRPr="001F5DB8">
        <w:rPr>
          <w:i/>
        </w:rPr>
        <w:t>In Phys</w:t>
      </w:r>
      <w:r>
        <w:t>. P2</w:t>
      </w:r>
      <w:r>
        <w:tab/>
        <w:t>592</w:t>
      </w:r>
    </w:p>
    <w:p w14:paraId="21C47D50" w14:textId="77777777" w:rsidR="08BA72FD" w:rsidRDefault="08BA72FD" w:rsidP="08BA72FD">
      <w:pPr>
        <w:pStyle w:val="Rejstk2"/>
        <w:tabs>
          <w:tab w:val="right" w:leader="dot" w:pos="4171"/>
        </w:tabs>
        <w:spacing w:line="240" w:lineRule="auto"/>
        <w:ind w:left="240"/>
      </w:pPr>
      <w:r w:rsidRPr="001F5DB8">
        <w:rPr>
          <w:i/>
        </w:rPr>
        <w:t>Memoriale</w:t>
      </w:r>
      <w:r>
        <w:t xml:space="preserve"> 1.1</w:t>
      </w:r>
      <w:r>
        <w:tab/>
        <w:t>553</w:t>
      </w:r>
    </w:p>
    <w:p w14:paraId="0A082694" w14:textId="77777777" w:rsidR="08BA72FD" w:rsidRDefault="08BA72FD" w:rsidP="08BA72FD">
      <w:pPr>
        <w:pStyle w:val="Rejstk2"/>
        <w:tabs>
          <w:tab w:val="right" w:leader="dot" w:pos="4171"/>
        </w:tabs>
        <w:spacing w:line="240" w:lineRule="auto"/>
        <w:ind w:left="240"/>
      </w:pPr>
      <w:r w:rsidRPr="001F5DB8">
        <w:rPr>
          <w:i/>
        </w:rPr>
        <w:t>Memoriale</w:t>
      </w:r>
      <w:r>
        <w:t xml:space="preserve"> 10.5</w:t>
      </w:r>
      <w:r>
        <w:tab/>
        <w:t>556</w:t>
      </w:r>
    </w:p>
    <w:p w14:paraId="75BCBE4D" w14:textId="77777777" w:rsidR="08BA72FD" w:rsidRDefault="08BA72FD" w:rsidP="08BA72FD">
      <w:pPr>
        <w:pStyle w:val="Rejstk2"/>
        <w:tabs>
          <w:tab w:val="right" w:leader="dot" w:pos="4171"/>
        </w:tabs>
        <w:spacing w:line="240" w:lineRule="auto"/>
        <w:ind w:left="240"/>
      </w:pPr>
      <w:r w:rsidRPr="001F5DB8">
        <w:rPr>
          <w:i/>
        </w:rPr>
        <w:t>Memoriale</w:t>
      </w:r>
      <w:r>
        <w:t xml:space="preserve"> 2.7</w:t>
      </w:r>
      <w:r>
        <w:tab/>
        <w:t>578</w:t>
      </w:r>
    </w:p>
    <w:p w14:paraId="64DD7533" w14:textId="77777777" w:rsidR="08BA72FD" w:rsidRDefault="08BA72FD" w:rsidP="08BA72FD">
      <w:pPr>
        <w:pStyle w:val="Rejstk2"/>
        <w:tabs>
          <w:tab w:val="right" w:leader="dot" w:pos="4171"/>
        </w:tabs>
        <w:spacing w:line="240" w:lineRule="auto"/>
        <w:ind w:left="240"/>
      </w:pPr>
      <w:r w:rsidRPr="001F5DB8">
        <w:rPr>
          <w:i/>
        </w:rPr>
        <w:t>Memoriale</w:t>
      </w:r>
      <w:r>
        <w:t xml:space="preserve"> 3.2</w:t>
      </w:r>
      <w:r>
        <w:tab/>
        <w:t>558</w:t>
      </w:r>
    </w:p>
    <w:p w14:paraId="1EE60EA7" w14:textId="77777777" w:rsidR="08BA72FD" w:rsidRDefault="08BA72FD" w:rsidP="08BA72FD">
      <w:pPr>
        <w:pStyle w:val="Rejstk2"/>
        <w:tabs>
          <w:tab w:val="right" w:leader="dot" w:pos="4171"/>
        </w:tabs>
        <w:spacing w:line="240" w:lineRule="auto"/>
        <w:ind w:left="240"/>
      </w:pPr>
      <w:r w:rsidRPr="001F5DB8">
        <w:rPr>
          <w:i/>
        </w:rPr>
        <w:t>Memoriale</w:t>
      </w:r>
      <w:r>
        <w:t xml:space="preserve"> 4.1</w:t>
      </w:r>
      <w:r>
        <w:tab/>
        <w:t>579, 602</w:t>
      </w:r>
    </w:p>
    <w:p w14:paraId="7ACCF06F" w14:textId="77777777" w:rsidR="08BA72FD" w:rsidRDefault="08BA72FD" w:rsidP="08BA72FD">
      <w:pPr>
        <w:pStyle w:val="Rejstk2"/>
        <w:tabs>
          <w:tab w:val="right" w:leader="dot" w:pos="4171"/>
        </w:tabs>
        <w:spacing w:line="240" w:lineRule="auto"/>
        <w:ind w:left="240"/>
      </w:pPr>
      <w:r w:rsidRPr="001F5DB8">
        <w:rPr>
          <w:i/>
        </w:rPr>
        <w:t>Memoriale</w:t>
      </w:r>
      <w:r>
        <w:t xml:space="preserve"> 7.10.3</w:t>
      </w:r>
      <w:r>
        <w:tab/>
        <w:t>539</w:t>
      </w:r>
    </w:p>
    <w:p w14:paraId="2330D560" w14:textId="77777777" w:rsidR="08BA72FD" w:rsidRDefault="08BA72FD" w:rsidP="08BA72FD">
      <w:pPr>
        <w:pStyle w:val="Rejstk2"/>
        <w:tabs>
          <w:tab w:val="right" w:leader="dot" w:pos="4171"/>
        </w:tabs>
        <w:spacing w:line="240" w:lineRule="auto"/>
        <w:ind w:left="240"/>
      </w:pPr>
      <w:r w:rsidRPr="001F5DB8">
        <w:rPr>
          <w:i/>
        </w:rPr>
        <w:t>Memoriale</w:t>
      </w:r>
      <w:r>
        <w:t xml:space="preserve"> 7.11.5.c</w:t>
      </w:r>
      <w:r>
        <w:tab/>
        <w:t>581</w:t>
      </w:r>
    </w:p>
    <w:p w14:paraId="237691E1" w14:textId="77777777" w:rsidR="08BA72FD" w:rsidRDefault="08BA72FD" w:rsidP="08BA72FD">
      <w:pPr>
        <w:pStyle w:val="Rejstk2"/>
        <w:tabs>
          <w:tab w:val="right" w:leader="dot" w:pos="4171"/>
        </w:tabs>
        <w:spacing w:line="240" w:lineRule="auto"/>
        <w:ind w:left="240"/>
      </w:pPr>
      <w:r w:rsidRPr="001F5DB8">
        <w:rPr>
          <w:i/>
        </w:rPr>
        <w:t>Memoriale</w:t>
      </w:r>
      <w:r>
        <w:t xml:space="preserve"> 7.12.5.b</w:t>
      </w:r>
      <w:r>
        <w:tab/>
        <w:t>531</w:t>
      </w:r>
    </w:p>
    <w:p w14:paraId="16C71B97" w14:textId="77777777" w:rsidR="08BA72FD" w:rsidRDefault="08BA72FD" w:rsidP="08BA72FD">
      <w:pPr>
        <w:pStyle w:val="Rejstk2"/>
        <w:tabs>
          <w:tab w:val="right" w:leader="dot" w:pos="4171"/>
        </w:tabs>
        <w:spacing w:line="240" w:lineRule="auto"/>
        <w:ind w:left="240"/>
      </w:pPr>
      <w:r w:rsidRPr="001F5DB8">
        <w:rPr>
          <w:i/>
        </w:rPr>
        <w:t>Memoriale</w:t>
      </w:r>
      <w:r>
        <w:t xml:space="preserve"> 7.14</w:t>
      </w:r>
      <w:r>
        <w:tab/>
        <w:t>537</w:t>
      </w:r>
    </w:p>
    <w:p w14:paraId="6F7A21D4" w14:textId="77777777" w:rsidR="08BA72FD" w:rsidRDefault="08BA72FD" w:rsidP="08BA72FD">
      <w:pPr>
        <w:pStyle w:val="Rejstk2"/>
        <w:tabs>
          <w:tab w:val="right" w:leader="dot" w:pos="4171"/>
        </w:tabs>
        <w:spacing w:line="240" w:lineRule="auto"/>
        <w:ind w:left="240"/>
      </w:pPr>
      <w:r w:rsidRPr="001F5DB8">
        <w:rPr>
          <w:i/>
        </w:rPr>
        <w:t>Memoriale</w:t>
      </w:r>
      <w:r>
        <w:t xml:space="preserve"> 7.8</w:t>
      </w:r>
      <w:r>
        <w:tab/>
        <w:t>583</w:t>
      </w:r>
    </w:p>
    <w:p w14:paraId="3B70C823" w14:textId="77777777" w:rsidR="08BA72FD" w:rsidRDefault="08BA72FD" w:rsidP="08BA72FD">
      <w:pPr>
        <w:pStyle w:val="Rejstk2"/>
        <w:tabs>
          <w:tab w:val="right" w:leader="dot" w:pos="4171"/>
        </w:tabs>
        <w:spacing w:line="240" w:lineRule="auto"/>
        <w:ind w:left="240"/>
      </w:pPr>
      <w:r w:rsidRPr="001F5DB8">
        <w:rPr>
          <w:i/>
        </w:rPr>
        <w:t>Memoriale</w:t>
      </w:r>
      <w:r>
        <w:t xml:space="preserve"> Prooem. 4</w:t>
      </w:r>
      <w:r>
        <w:tab/>
        <w:t>548</w:t>
      </w:r>
    </w:p>
    <w:p w14:paraId="70BAC5F2" w14:textId="77777777" w:rsidR="08BA72FD" w:rsidRDefault="08BA72FD" w:rsidP="08BA72FD">
      <w:pPr>
        <w:pStyle w:val="Rejstk2"/>
        <w:tabs>
          <w:tab w:val="right" w:leader="dot" w:pos="4171"/>
        </w:tabs>
        <w:spacing w:line="240" w:lineRule="auto"/>
        <w:ind w:left="240"/>
      </w:pPr>
      <w:r w:rsidRPr="001F5DB8">
        <w:rPr>
          <w:i/>
        </w:rPr>
        <w:t xml:space="preserve">Memoriale </w:t>
      </w:r>
      <w:r>
        <w:t>Prooem. 7</w:t>
      </w:r>
      <w:r>
        <w:tab/>
        <w:t>500</w:t>
      </w:r>
    </w:p>
    <w:p w14:paraId="4848CFF2" w14:textId="77777777" w:rsidR="08BA72FD" w:rsidRDefault="08BA72FD" w:rsidP="08BA72FD">
      <w:pPr>
        <w:pStyle w:val="Rejstk2"/>
        <w:tabs>
          <w:tab w:val="right" w:leader="dot" w:pos="4171"/>
        </w:tabs>
        <w:spacing w:line="240" w:lineRule="auto"/>
        <w:ind w:left="240"/>
      </w:pPr>
      <w:r w:rsidRPr="001F5DB8">
        <w:rPr>
          <w:i/>
          <w:iCs/>
        </w:rPr>
        <w:t xml:space="preserve">Scriptum in </w:t>
      </w:r>
      <w:r w:rsidRPr="001F5DB8">
        <w:rPr>
          <w:i/>
        </w:rPr>
        <w:t>Met. Arist.</w:t>
      </w:r>
      <w:r>
        <w:t>, ms. Q290.31vb-32ra</w:t>
      </w:r>
      <w:r>
        <w:tab/>
        <w:t>560</w:t>
      </w:r>
    </w:p>
    <w:p w14:paraId="2C5E5AA5" w14:textId="77777777" w:rsidR="08BA72FD" w:rsidRDefault="08BA72FD" w:rsidP="08BA72FD">
      <w:pPr>
        <w:pStyle w:val="Rejstk2"/>
        <w:tabs>
          <w:tab w:val="right" w:leader="dot" w:pos="4171"/>
        </w:tabs>
        <w:spacing w:line="240" w:lineRule="auto"/>
        <w:ind w:left="240"/>
      </w:pPr>
      <w:r w:rsidRPr="001F5DB8">
        <w:rPr>
          <w:i/>
        </w:rPr>
        <w:t>Speculum animae</w:t>
      </w:r>
      <w:r>
        <w:t xml:space="preserve"> 118.27</w:t>
      </w:r>
      <w:r>
        <w:tab/>
        <w:t>618</w:t>
      </w:r>
    </w:p>
    <w:p w14:paraId="3AC83CB7" w14:textId="77777777" w:rsidR="08BA72FD" w:rsidRDefault="08BA72FD" w:rsidP="08BA72FD">
      <w:pPr>
        <w:pStyle w:val="Rejstk2"/>
        <w:tabs>
          <w:tab w:val="right" w:leader="dot" w:pos="4171"/>
        </w:tabs>
        <w:spacing w:line="240" w:lineRule="auto"/>
        <w:ind w:left="240"/>
      </w:pPr>
      <w:r w:rsidRPr="001F5DB8">
        <w:rPr>
          <w:i/>
        </w:rPr>
        <w:t>Speculum animae</w:t>
      </w:r>
      <w:r>
        <w:t xml:space="preserve"> 118.40–45</w:t>
      </w:r>
      <w:r>
        <w:tab/>
        <w:t>619</w:t>
      </w:r>
    </w:p>
    <w:p w14:paraId="2ECE0AFA" w14:textId="77777777" w:rsidR="08BA72FD" w:rsidRDefault="08BA72FD" w:rsidP="08BA72FD">
      <w:pPr>
        <w:pStyle w:val="Rejstk2"/>
        <w:tabs>
          <w:tab w:val="right" w:leader="dot" w:pos="4171"/>
        </w:tabs>
        <w:spacing w:line="240" w:lineRule="auto"/>
        <w:ind w:left="240"/>
      </w:pPr>
      <w:r w:rsidRPr="001F5DB8">
        <w:rPr>
          <w:i/>
        </w:rPr>
        <w:t>Speculum animae</w:t>
      </w:r>
      <w:r>
        <w:t xml:space="preserve"> 123.173–77</w:t>
      </w:r>
      <w:r>
        <w:tab/>
        <w:t>620</w:t>
      </w:r>
    </w:p>
    <w:p w14:paraId="3187F223" w14:textId="77777777" w:rsidR="08BA72FD" w:rsidRDefault="08BA72FD" w:rsidP="08BA72FD">
      <w:pPr>
        <w:pStyle w:val="Rejstk2"/>
        <w:tabs>
          <w:tab w:val="right" w:leader="dot" w:pos="4171"/>
        </w:tabs>
        <w:spacing w:line="240" w:lineRule="auto"/>
        <w:ind w:left="240"/>
      </w:pPr>
      <w:r w:rsidRPr="001F5DB8">
        <w:rPr>
          <w:i/>
        </w:rPr>
        <w:t>Speculum animae</w:t>
      </w:r>
      <w:r>
        <w:t xml:space="preserve"> 124.207‒12</w:t>
      </w:r>
      <w:r>
        <w:tab/>
        <w:t>625</w:t>
      </w:r>
    </w:p>
    <w:p w14:paraId="4760EFF9" w14:textId="77777777" w:rsidR="08BA72FD" w:rsidRDefault="08BA72FD" w:rsidP="08BA72FD">
      <w:pPr>
        <w:pStyle w:val="Rejstk2"/>
        <w:tabs>
          <w:tab w:val="right" w:leader="dot" w:pos="4171"/>
        </w:tabs>
        <w:spacing w:line="240" w:lineRule="auto"/>
        <w:ind w:left="240"/>
      </w:pPr>
      <w:r w:rsidRPr="001F5DB8">
        <w:rPr>
          <w:i/>
        </w:rPr>
        <w:t>Speculum animae</w:t>
      </w:r>
      <w:r>
        <w:t xml:space="preserve"> 126.248–56</w:t>
      </w:r>
      <w:r>
        <w:tab/>
        <w:t>625</w:t>
      </w:r>
    </w:p>
    <w:p w14:paraId="6CE2F354" w14:textId="77777777" w:rsidR="08BA72FD" w:rsidRDefault="08BA72FD" w:rsidP="08BA72FD">
      <w:pPr>
        <w:pStyle w:val="Rejstk2"/>
        <w:tabs>
          <w:tab w:val="right" w:leader="dot" w:pos="4171"/>
        </w:tabs>
        <w:spacing w:line="240" w:lineRule="auto"/>
        <w:ind w:left="240"/>
      </w:pPr>
      <w:r w:rsidRPr="001F5DB8">
        <w:rPr>
          <w:i/>
        </w:rPr>
        <w:t xml:space="preserve">Speculum animae </w:t>
      </w:r>
      <w:r>
        <w:t>126.265‒68</w:t>
      </w:r>
      <w:r>
        <w:tab/>
        <w:t>625</w:t>
      </w:r>
    </w:p>
    <w:p w14:paraId="599DCF7B" w14:textId="77777777" w:rsidR="08BA72FD" w:rsidRDefault="08BA72FD" w:rsidP="08BA72FD">
      <w:pPr>
        <w:pStyle w:val="Rejstk2"/>
        <w:tabs>
          <w:tab w:val="right" w:leader="dot" w:pos="4171"/>
        </w:tabs>
        <w:spacing w:line="240" w:lineRule="auto"/>
        <w:ind w:left="240"/>
      </w:pPr>
      <w:r w:rsidRPr="001F5DB8">
        <w:rPr>
          <w:i/>
        </w:rPr>
        <w:t>Speculum animae</w:t>
      </w:r>
      <w:r>
        <w:t xml:space="preserve"> 127.272–74</w:t>
      </w:r>
      <w:r>
        <w:tab/>
        <w:t>617</w:t>
      </w:r>
    </w:p>
    <w:p w14:paraId="162D862A" w14:textId="77777777" w:rsidR="08BA72FD" w:rsidRDefault="08BA72FD" w:rsidP="08BA72FD">
      <w:pPr>
        <w:pStyle w:val="Rejstk2"/>
        <w:tabs>
          <w:tab w:val="right" w:leader="dot" w:pos="4171"/>
        </w:tabs>
        <w:spacing w:line="240" w:lineRule="auto"/>
        <w:ind w:left="240"/>
      </w:pPr>
      <w:r w:rsidRPr="001F5DB8">
        <w:rPr>
          <w:i/>
        </w:rPr>
        <w:t>Speculum animae</w:t>
      </w:r>
      <w:r>
        <w:t xml:space="preserve"> 127.288‒93</w:t>
      </w:r>
      <w:r>
        <w:tab/>
        <w:t>562</w:t>
      </w:r>
    </w:p>
    <w:p w14:paraId="6B80C2FC" w14:textId="77777777" w:rsidR="08BA72FD" w:rsidRDefault="08BA72FD" w:rsidP="08BA72FD">
      <w:pPr>
        <w:pStyle w:val="Rejstk2"/>
        <w:tabs>
          <w:tab w:val="right" w:leader="dot" w:pos="4171"/>
        </w:tabs>
        <w:spacing w:line="240" w:lineRule="auto"/>
        <w:ind w:left="240"/>
      </w:pPr>
      <w:r w:rsidRPr="001F5DB8">
        <w:rPr>
          <w:i/>
        </w:rPr>
        <w:t>Speculum animae</w:t>
      </w:r>
      <w:r>
        <w:t xml:space="preserve"> 128.299‒300</w:t>
      </w:r>
      <w:r>
        <w:tab/>
        <w:t>626</w:t>
      </w:r>
    </w:p>
    <w:p w14:paraId="45C5338F" w14:textId="77777777" w:rsidR="08BA72FD" w:rsidRDefault="08BA72FD" w:rsidP="08BA72FD">
      <w:pPr>
        <w:pStyle w:val="Rejstk2"/>
        <w:tabs>
          <w:tab w:val="right" w:leader="dot" w:pos="4171"/>
        </w:tabs>
        <w:spacing w:line="240" w:lineRule="auto"/>
        <w:ind w:left="240"/>
      </w:pPr>
      <w:r w:rsidRPr="001F5DB8">
        <w:rPr>
          <w:i/>
        </w:rPr>
        <w:t xml:space="preserve">Speculum animae </w:t>
      </w:r>
      <w:r>
        <w:t>128.305‒308</w:t>
      </w:r>
      <w:r>
        <w:tab/>
        <w:t>561</w:t>
      </w:r>
    </w:p>
    <w:p w14:paraId="3957D216" w14:textId="77777777" w:rsidR="08BA72FD" w:rsidRDefault="08BA72FD" w:rsidP="08BA72FD">
      <w:pPr>
        <w:pStyle w:val="Rejstk2"/>
        <w:tabs>
          <w:tab w:val="right" w:leader="dot" w:pos="4171"/>
        </w:tabs>
        <w:spacing w:line="240" w:lineRule="auto"/>
        <w:ind w:left="240"/>
      </w:pPr>
      <w:r w:rsidRPr="001F5DB8">
        <w:rPr>
          <w:i/>
        </w:rPr>
        <w:t xml:space="preserve">Speculum animae </w:t>
      </w:r>
      <w:r>
        <w:t>128.309‒11</w:t>
      </w:r>
      <w:r>
        <w:tab/>
        <w:t>561</w:t>
      </w:r>
    </w:p>
    <w:p w14:paraId="7923675C" w14:textId="77777777" w:rsidR="08BA72FD" w:rsidRDefault="08BA72FD" w:rsidP="08BA72FD">
      <w:pPr>
        <w:pStyle w:val="Rejstk2"/>
        <w:tabs>
          <w:tab w:val="right" w:leader="dot" w:pos="4171"/>
        </w:tabs>
        <w:spacing w:line="240" w:lineRule="auto"/>
        <w:ind w:left="240"/>
      </w:pPr>
      <w:r w:rsidRPr="001F5DB8">
        <w:rPr>
          <w:i/>
        </w:rPr>
        <w:t xml:space="preserve">Speculum animae </w:t>
      </w:r>
      <w:r>
        <w:t>128.327‒31</w:t>
      </w:r>
      <w:r>
        <w:tab/>
        <w:t>626</w:t>
      </w:r>
    </w:p>
    <w:p w14:paraId="5E413EAA" w14:textId="77777777" w:rsidR="08BA72FD" w:rsidRDefault="08BA72FD" w:rsidP="08BA72FD">
      <w:pPr>
        <w:pStyle w:val="Rejstk2"/>
        <w:tabs>
          <w:tab w:val="right" w:leader="dot" w:pos="4171"/>
        </w:tabs>
        <w:spacing w:line="240" w:lineRule="auto"/>
        <w:ind w:left="240"/>
      </w:pPr>
      <w:r w:rsidRPr="001F5DB8">
        <w:rPr>
          <w:i/>
        </w:rPr>
        <w:t xml:space="preserve">Speculum animae </w:t>
      </w:r>
      <w:r>
        <w:t>129.349</w:t>
      </w:r>
      <w:r>
        <w:tab/>
        <w:t>627</w:t>
      </w:r>
    </w:p>
    <w:p w14:paraId="080DDE8C" w14:textId="77777777" w:rsidR="08BA72FD" w:rsidRDefault="08BA72FD" w:rsidP="08BA72FD">
      <w:pPr>
        <w:pStyle w:val="Rejstk2"/>
        <w:tabs>
          <w:tab w:val="right" w:leader="dot" w:pos="4171"/>
        </w:tabs>
        <w:spacing w:line="240" w:lineRule="auto"/>
        <w:ind w:left="240"/>
      </w:pPr>
      <w:r w:rsidRPr="001F5DB8">
        <w:rPr>
          <w:i/>
        </w:rPr>
        <w:t>Speculum animae</w:t>
      </w:r>
      <w:r>
        <w:t xml:space="preserve"> 130.368–72</w:t>
      </w:r>
      <w:r>
        <w:tab/>
        <w:t>628</w:t>
      </w:r>
    </w:p>
    <w:p w14:paraId="171F4BB9" w14:textId="77777777" w:rsidR="08BA72FD" w:rsidRDefault="08BA72FD" w:rsidP="08BA72FD">
      <w:pPr>
        <w:pStyle w:val="Rejstk2"/>
        <w:tabs>
          <w:tab w:val="right" w:leader="dot" w:pos="4171"/>
        </w:tabs>
        <w:spacing w:line="240" w:lineRule="auto"/>
        <w:ind w:left="240"/>
      </w:pPr>
      <w:r w:rsidRPr="001F5DB8">
        <w:rPr>
          <w:i/>
        </w:rPr>
        <w:t>Speculum animae</w:t>
      </w:r>
      <w:r>
        <w:t xml:space="preserve"> 130.374‒77</w:t>
      </w:r>
      <w:r>
        <w:tab/>
        <w:t>630</w:t>
      </w:r>
    </w:p>
    <w:p w14:paraId="26A8A7CA" w14:textId="77777777" w:rsidR="08BA72FD" w:rsidRDefault="08BA72FD" w:rsidP="08BA72FD">
      <w:pPr>
        <w:pStyle w:val="Rejstk2"/>
        <w:tabs>
          <w:tab w:val="right" w:leader="dot" w:pos="4171"/>
        </w:tabs>
        <w:spacing w:line="240" w:lineRule="auto"/>
        <w:ind w:left="240"/>
      </w:pPr>
      <w:r w:rsidRPr="001F5DB8">
        <w:rPr>
          <w:i/>
        </w:rPr>
        <w:t>Speculum animae</w:t>
      </w:r>
      <w:r>
        <w:t xml:space="preserve"> 132.408‒14</w:t>
      </w:r>
      <w:r>
        <w:tab/>
        <w:t>634</w:t>
      </w:r>
    </w:p>
    <w:p w14:paraId="2F39B0F9" w14:textId="77777777" w:rsidR="08BA72FD" w:rsidRDefault="08BA72FD" w:rsidP="08BA72FD">
      <w:pPr>
        <w:pStyle w:val="Rejstk2"/>
        <w:tabs>
          <w:tab w:val="right" w:leader="dot" w:pos="4171"/>
        </w:tabs>
        <w:spacing w:line="240" w:lineRule="auto"/>
        <w:ind w:left="240"/>
      </w:pPr>
      <w:r w:rsidRPr="001F5DB8">
        <w:rPr>
          <w:i/>
        </w:rPr>
        <w:t>Speculum animae</w:t>
      </w:r>
      <w:r>
        <w:t xml:space="preserve"> 132.425‒31</w:t>
      </w:r>
      <w:r>
        <w:tab/>
        <w:t>636</w:t>
      </w:r>
    </w:p>
    <w:p w14:paraId="534709F6" w14:textId="77777777" w:rsidR="08BA72FD" w:rsidRDefault="08BA72FD" w:rsidP="08BA72FD">
      <w:pPr>
        <w:pStyle w:val="Rejstk2"/>
        <w:tabs>
          <w:tab w:val="right" w:leader="dot" w:pos="4171"/>
        </w:tabs>
        <w:spacing w:line="240" w:lineRule="auto"/>
        <w:ind w:left="240"/>
      </w:pPr>
      <w:r w:rsidRPr="001F5DB8">
        <w:rPr>
          <w:i/>
        </w:rPr>
        <w:t>Speculum animae</w:t>
      </w:r>
      <w:r>
        <w:t xml:space="preserve"> 132‒133</w:t>
      </w:r>
      <w:r>
        <w:tab/>
        <w:t>636</w:t>
      </w:r>
    </w:p>
    <w:p w14:paraId="67560379" w14:textId="77777777" w:rsidR="08BA72FD" w:rsidRDefault="08BA72FD" w:rsidP="08BA72FD">
      <w:pPr>
        <w:pStyle w:val="Rejstk2"/>
        <w:tabs>
          <w:tab w:val="right" w:leader="dot" w:pos="4171"/>
        </w:tabs>
        <w:spacing w:line="240" w:lineRule="auto"/>
        <w:ind w:left="240"/>
      </w:pPr>
      <w:r w:rsidRPr="001F5DB8">
        <w:rPr>
          <w:i/>
        </w:rPr>
        <w:t>Speculum animae</w:t>
      </w:r>
      <w:r>
        <w:t xml:space="preserve"> 133.449–52</w:t>
      </w:r>
      <w:r>
        <w:tab/>
        <w:t>621</w:t>
      </w:r>
    </w:p>
    <w:p w14:paraId="69D02261" w14:textId="77777777" w:rsidR="08BA72FD" w:rsidRDefault="08BA72FD" w:rsidP="08BA72FD">
      <w:pPr>
        <w:pStyle w:val="Rejstk2"/>
        <w:tabs>
          <w:tab w:val="right" w:leader="dot" w:pos="4171"/>
        </w:tabs>
        <w:spacing w:line="240" w:lineRule="auto"/>
        <w:ind w:left="240"/>
      </w:pPr>
      <w:r w:rsidRPr="001F5DB8">
        <w:rPr>
          <w:i/>
        </w:rPr>
        <w:t>Speculum animae</w:t>
      </w:r>
      <w:r>
        <w:t xml:space="preserve"> 139.629‒33</w:t>
      </w:r>
      <w:r>
        <w:tab/>
        <w:t>318</w:t>
      </w:r>
    </w:p>
    <w:p w14:paraId="70C3D2E1" w14:textId="77777777" w:rsidR="08BA72FD" w:rsidRPr="080910D6" w:rsidRDefault="08BA72FD" w:rsidP="08BA72FD"/>
    <w:p w14:paraId="237DF44E" w14:textId="77777777" w:rsidR="08BA72FD" w:rsidRPr="0803486B" w:rsidRDefault="08BA72FD" w:rsidP="08BA72FD">
      <w:pPr>
        <w:pStyle w:val="Rejstk1"/>
        <w:tabs>
          <w:tab w:val="right" w:leader="dot" w:pos="4171"/>
        </w:tabs>
        <w:spacing w:line="240" w:lineRule="auto"/>
        <w:rPr>
          <w:b/>
        </w:rPr>
      </w:pPr>
      <w:r w:rsidRPr="0803486B">
        <w:rPr>
          <w:b/>
        </w:rPr>
        <w:t>Rupella</w:t>
      </w:r>
    </w:p>
    <w:p w14:paraId="321223D6" w14:textId="77777777" w:rsidR="08BA72FD" w:rsidRDefault="08BA72FD" w:rsidP="08BA72FD">
      <w:pPr>
        <w:pStyle w:val="Rejstk2"/>
        <w:tabs>
          <w:tab w:val="right" w:leader="dot" w:pos="4171"/>
        </w:tabs>
        <w:spacing w:line="240" w:lineRule="auto"/>
        <w:ind w:left="240"/>
      </w:pPr>
      <w:r w:rsidRPr="001F5DB8">
        <w:rPr>
          <w:i/>
        </w:rPr>
        <w:t>Summa de anima</w:t>
      </w:r>
      <w:r>
        <w:t xml:space="preserve"> 117.1‒7</w:t>
      </w:r>
      <w:r>
        <w:tab/>
        <w:t>181</w:t>
      </w:r>
    </w:p>
    <w:p w14:paraId="7CF597DD" w14:textId="77777777" w:rsidR="08BA72FD" w:rsidRDefault="08BA72FD" w:rsidP="08BA72FD">
      <w:pPr>
        <w:pStyle w:val="Rejstk2"/>
        <w:tabs>
          <w:tab w:val="right" w:leader="dot" w:pos="4171"/>
        </w:tabs>
        <w:spacing w:line="240" w:lineRule="auto"/>
        <w:ind w:left="240"/>
      </w:pPr>
      <w:r w:rsidRPr="001F5DB8">
        <w:rPr>
          <w:i/>
        </w:rPr>
        <w:t>Tractatus de divisione multiplicis potentiarum animae</w:t>
      </w:r>
      <w:r>
        <w:t xml:space="preserve"> 91.754‒56</w:t>
      </w:r>
      <w:r>
        <w:tab/>
        <w:t>181</w:t>
      </w:r>
    </w:p>
    <w:p w14:paraId="74CFF24B" w14:textId="77777777" w:rsidR="08BA72FD" w:rsidRDefault="08BA72FD" w:rsidP="08BA72FD">
      <w:pPr>
        <w:pStyle w:val="Rejstk2"/>
        <w:tabs>
          <w:tab w:val="right" w:leader="dot" w:pos="4171"/>
        </w:tabs>
        <w:spacing w:line="240" w:lineRule="auto"/>
        <w:ind w:left="240"/>
      </w:pPr>
      <w:r w:rsidRPr="001F5DB8">
        <w:rPr>
          <w:i/>
        </w:rPr>
        <w:t>Tractatus de divisione multiplicis potentiarum animae</w:t>
      </w:r>
      <w:r>
        <w:t xml:space="preserve"> 92.781‒86</w:t>
      </w:r>
      <w:r>
        <w:tab/>
        <w:t>180</w:t>
      </w:r>
    </w:p>
    <w:p w14:paraId="688F0E92" w14:textId="77777777" w:rsidR="08BA72FD" w:rsidRDefault="08BA72FD" w:rsidP="08BA72FD"/>
    <w:p w14:paraId="532EE376" w14:textId="77777777" w:rsidR="08BA72FD" w:rsidRPr="08D92A48" w:rsidRDefault="08BA72FD" w:rsidP="08BA72FD">
      <w:pPr>
        <w:pStyle w:val="Rejstk1"/>
        <w:tabs>
          <w:tab w:val="right" w:leader="dot" w:pos="4171"/>
        </w:tabs>
        <w:spacing w:line="240" w:lineRule="auto"/>
        <w:rPr>
          <w:b/>
        </w:rPr>
      </w:pPr>
      <w:r w:rsidRPr="08D92A48">
        <w:rPr>
          <w:b/>
        </w:rPr>
        <w:t>Simplikius</w:t>
      </w:r>
    </w:p>
    <w:p w14:paraId="48D8F956" w14:textId="77777777" w:rsidR="08BA72FD" w:rsidRDefault="08BA72FD" w:rsidP="08BA72FD">
      <w:pPr>
        <w:pStyle w:val="Rejstk2"/>
        <w:tabs>
          <w:tab w:val="right" w:leader="dot" w:pos="4171"/>
        </w:tabs>
        <w:spacing w:line="240" w:lineRule="auto"/>
        <w:ind w:left="240"/>
      </w:pPr>
      <w:r w:rsidRPr="001F5DB8">
        <w:rPr>
          <w:i/>
        </w:rPr>
        <w:t>Simpl</w:t>
      </w:r>
      <w:r>
        <w:t xml:space="preserve">. </w:t>
      </w:r>
      <w:r w:rsidRPr="001F5DB8">
        <w:rPr>
          <w:i/>
        </w:rPr>
        <w:t>in Cat</w:t>
      </w:r>
      <w:r>
        <w:t>. 286.11‒13</w:t>
      </w:r>
      <w:r>
        <w:tab/>
        <w:t>62</w:t>
      </w:r>
    </w:p>
    <w:p w14:paraId="46E23F6B" w14:textId="77777777" w:rsidR="08BA72FD" w:rsidRDefault="08BA72FD" w:rsidP="08BA72FD">
      <w:pPr>
        <w:pStyle w:val="Rejstk2"/>
        <w:tabs>
          <w:tab w:val="right" w:leader="dot" w:pos="4171"/>
        </w:tabs>
        <w:spacing w:line="240" w:lineRule="auto"/>
        <w:ind w:left="240"/>
      </w:pPr>
      <w:r w:rsidRPr="001F5DB8">
        <w:rPr>
          <w:i/>
        </w:rPr>
        <w:t>Simpl. in Cat</w:t>
      </w:r>
      <w:r>
        <w:t>. 85.12–13</w:t>
      </w:r>
      <w:r>
        <w:tab/>
        <w:t>63</w:t>
      </w:r>
    </w:p>
    <w:p w14:paraId="70A7CA47" w14:textId="77777777" w:rsidR="08BA72FD" w:rsidRPr="08CE2258" w:rsidRDefault="08BA72FD" w:rsidP="08BA72FD"/>
    <w:p w14:paraId="700800E6" w14:textId="77777777" w:rsidR="08BA72FD" w:rsidRPr="08CB4FC6" w:rsidRDefault="08BA72FD" w:rsidP="08BA72FD">
      <w:pPr>
        <w:pStyle w:val="Rejstk1"/>
        <w:tabs>
          <w:tab w:val="right" w:leader="dot" w:pos="4171"/>
        </w:tabs>
        <w:spacing w:line="240" w:lineRule="auto"/>
        <w:rPr>
          <w:b/>
        </w:rPr>
      </w:pPr>
      <w:r w:rsidRPr="08CB4FC6">
        <w:rPr>
          <w:b/>
        </w:rPr>
        <w:t>Starý zákon</w:t>
      </w:r>
    </w:p>
    <w:p w14:paraId="7E17622D" w14:textId="77777777" w:rsidR="08BA72FD" w:rsidRPr="08CB4FC6" w:rsidRDefault="08BA72FD" w:rsidP="08BA72FD">
      <w:pPr>
        <w:pStyle w:val="Rejstk2"/>
        <w:tabs>
          <w:tab w:val="right" w:leader="dot" w:pos="4171"/>
        </w:tabs>
        <w:spacing w:line="240" w:lineRule="auto"/>
        <w:ind w:left="240"/>
      </w:pPr>
      <w:r w:rsidRPr="08CB4FC6">
        <w:t>1 Král 17.6</w:t>
      </w:r>
      <w:r w:rsidRPr="08CB4FC6">
        <w:tab/>
        <w:t>601</w:t>
      </w:r>
    </w:p>
    <w:p w14:paraId="621E4478" w14:textId="77777777" w:rsidR="08BA72FD" w:rsidRPr="08CB4FC6" w:rsidRDefault="08BA72FD" w:rsidP="08BA72FD">
      <w:pPr>
        <w:pStyle w:val="Rejstk2"/>
        <w:tabs>
          <w:tab w:val="right" w:leader="dot" w:pos="4171"/>
        </w:tabs>
        <w:spacing w:line="240" w:lineRule="auto"/>
        <w:ind w:left="240"/>
      </w:pPr>
      <w:r w:rsidRPr="08CB4FC6">
        <w:t>Lv 16.10</w:t>
      </w:r>
      <w:r w:rsidRPr="08CB4FC6">
        <w:tab/>
        <w:t>49, 82</w:t>
      </w:r>
      <w:r>
        <w:t>, 285</w:t>
      </w:r>
    </w:p>
    <w:p w14:paraId="3E358DA1" w14:textId="77777777" w:rsidR="08BA72FD" w:rsidRPr="08CB4FC6" w:rsidRDefault="08BA72FD" w:rsidP="08BA72FD">
      <w:pPr>
        <w:pStyle w:val="Rejstk2"/>
        <w:tabs>
          <w:tab w:val="right" w:leader="dot" w:pos="4171"/>
        </w:tabs>
        <w:spacing w:line="240" w:lineRule="auto"/>
        <w:ind w:left="240"/>
      </w:pPr>
      <w:r w:rsidRPr="08CB4FC6">
        <w:t>Žalm 138</w:t>
      </w:r>
      <w:r w:rsidRPr="08CB4FC6">
        <w:tab/>
        <w:t>49</w:t>
      </w:r>
    </w:p>
    <w:p w14:paraId="278731C1" w14:textId="77777777" w:rsidR="08BA72FD" w:rsidRPr="08CB4FC6" w:rsidRDefault="08BA72FD" w:rsidP="08BA72FD">
      <w:pPr>
        <w:pStyle w:val="Rejstk2"/>
        <w:tabs>
          <w:tab w:val="right" w:leader="dot" w:pos="4171"/>
        </w:tabs>
        <w:spacing w:line="240" w:lineRule="auto"/>
        <w:ind w:left="240"/>
      </w:pPr>
      <w:r w:rsidRPr="08CB4FC6">
        <w:t>Ezechiel 1.10</w:t>
      </w:r>
      <w:r w:rsidRPr="08CB4FC6">
        <w:tab/>
        <w:t>192</w:t>
      </w:r>
    </w:p>
    <w:p w14:paraId="088C91E8" w14:textId="77777777" w:rsidR="08BA72FD" w:rsidRDefault="08BA72FD" w:rsidP="08BA72FD">
      <w:pPr>
        <w:spacing w:line="240" w:lineRule="auto"/>
        <w:contextualSpacing/>
        <w:jc w:val="left"/>
        <w:rPr>
          <w:sz w:val="20"/>
        </w:rPr>
      </w:pPr>
    </w:p>
    <w:p w14:paraId="13C62E20" w14:textId="77777777" w:rsidR="08BA72FD" w:rsidRPr="08FC2039" w:rsidRDefault="08BA72FD" w:rsidP="08BA72FD">
      <w:pPr>
        <w:spacing w:line="240" w:lineRule="auto"/>
        <w:contextualSpacing/>
        <w:jc w:val="left"/>
        <w:rPr>
          <w:b/>
          <w:sz w:val="20"/>
        </w:rPr>
      </w:pPr>
      <w:r w:rsidRPr="08FC2039">
        <w:rPr>
          <w:b/>
          <w:sz w:val="20"/>
        </w:rPr>
        <w:t>Francisco Suárez</w:t>
      </w:r>
    </w:p>
    <w:p w14:paraId="34E447FC" w14:textId="77777777" w:rsidR="08BA72FD" w:rsidRDefault="08BA72FD" w:rsidP="08BA72FD">
      <w:pPr>
        <w:pStyle w:val="Rejstk2"/>
        <w:tabs>
          <w:tab w:val="right" w:leader="dot" w:pos="4171"/>
        </w:tabs>
        <w:spacing w:line="240" w:lineRule="auto"/>
        <w:ind w:left="240"/>
      </w:pPr>
      <w:r w:rsidRPr="001F5DB8">
        <w:rPr>
          <w:i/>
          <w:iCs/>
        </w:rPr>
        <w:t>Disputationes Metaphysicae</w:t>
      </w:r>
      <w:r>
        <w:t xml:space="preserve"> </w:t>
      </w:r>
      <w:r w:rsidRPr="001F5DB8">
        <w:rPr>
          <w:color w:val="000000"/>
        </w:rPr>
        <w:t>2.4.15</w:t>
      </w:r>
      <w:r>
        <w:tab/>
        <w:t>291</w:t>
      </w:r>
    </w:p>
    <w:p w14:paraId="34AA5787" w14:textId="77777777" w:rsidR="08BA72FD" w:rsidRDefault="08BA72FD" w:rsidP="08BA72FD">
      <w:pPr>
        <w:pStyle w:val="Rejstk2"/>
        <w:tabs>
          <w:tab w:val="right" w:leader="dot" w:pos="4171"/>
        </w:tabs>
        <w:spacing w:line="240" w:lineRule="auto"/>
        <w:ind w:left="240"/>
      </w:pPr>
      <w:r w:rsidRPr="001F5DB8">
        <w:rPr>
          <w:i/>
        </w:rPr>
        <w:t>Disputationes metaphysicae</w:t>
      </w:r>
      <w:r>
        <w:t xml:space="preserve"> 5.3.15</w:t>
      </w:r>
      <w:r>
        <w:tab/>
        <w:t>586</w:t>
      </w:r>
    </w:p>
    <w:p w14:paraId="05ECACBD" w14:textId="77777777" w:rsidR="08BA72FD" w:rsidRDefault="08BA72FD" w:rsidP="08BA72FD">
      <w:pPr>
        <w:spacing w:line="240" w:lineRule="auto"/>
        <w:contextualSpacing/>
        <w:jc w:val="left"/>
        <w:rPr>
          <w:sz w:val="20"/>
        </w:rPr>
      </w:pPr>
    </w:p>
    <w:p w14:paraId="63AB8834" w14:textId="77777777" w:rsidR="007B53C0" w:rsidRDefault="007B53C0" w:rsidP="007B53C0">
      <w:pPr>
        <w:rPr>
          <w:b/>
          <w:sz w:val="20"/>
          <w:lang w:val="en-US"/>
        </w:rPr>
      </w:pPr>
      <w:r>
        <w:rPr>
          <w:b/>
          <w:sz w:val="20"/>
          <w:lang w:val="en-US"/>
        </w:rPr>
        <w:t>Ovidius</w:t>
      </w:r>
    </w:p>
    <w:p w14:paraId="46951FE9" w14:textId="77777777" w:rsidR="007B53C0" w:rsidRPr="007B53C0" w:rsidRDefault="007B53C0" w:rsidP="007B53C0">
      <w:pPr>
        <w:pStyle w:val="Rejstk1"/>
        <w:tabs>
          <w:tab w:val="right" w:leader="dot" w:pos="4171"/>
        </w:tabs>
        <w:spacing w:line="240" w:lineRule="auto"/>
        <w:rPr>
          <w:i/>
        </w:rPr>
      </w:pPr>
      <w:r w:rsidRPr="007B53C0">
        <w:rPr>
          <w:i/>
        </w:rPr>
        <w:t xml:space="preserve">Metamorphoses </w:t>
      </w:r>
      <w:r w:rsidRPr="006B1ECF">
        <w:t>9.711</w:t>
      </w:r>
      <w:r w:rsidRPr="007B53C0">
        <w:rPr>
          <w:i/>
        </w:rPr>
        <w:tab/>
      </w:r>
      <w:r w:rsidRPr="007B53C0">
        <w:t>25</w:t>
      </w:r>
    </w:p>
    <w:p w14:paraId="61F6127F" w14:textId="77777777" w:rsidR="007B53C0" w:rsidRDefault="007B53C0" w:rsidP="007B53C0">
      <w:pPr>
        <w:spacing w:line="240" w:lineRule="auto"/>
        <w:contextualSpacing/>
        <w:jc w:val="left"/>
        <w:rPr>
          <w:sz w:val="20"/>
        </w:rPr>
      </w:pPr>
    </w:p>
    <w:p w14:paraId="38307EB5" w14:textId="77777777" w:rsidR="08BA72FD" w:rsidRPr="08867CF3" w:rsidRDefault="08BA72FD" w:rsidP="08BA72FD">
      <w:pPr>
        <w:pStyle w:val="Rejstk1"/>
        <w:tabs>
          <w:tab w:val="right" w:leader="dot" w:pos="4171"/>
        </w:tabs>
        <w:spacing w:line="240" w:lineRule="auto"/>
        <w:rPr>
          <w:b/>
        </w:rPr>
      </w:pPr>
      <w:r w:rsidRPr="08867CF3">
        <w:rPr>
          <w:b/>
        </w:rPr>
        <w:t>Summa Duacensis</w:t>
      </w:r>
    </w:p>
    <w:p w14:paraId="3779C729" w14:textId="77777777" w:rsidR="08BA72FD" w:rsidRDefault="08BA72FD" w:rsidP="08BA72FD">
      <w:pPr>
        <w:pStyle w:val="Rejstk1"/>
        <w:tabs>
          <w:tab w:val="right" w:leader="dot" w:pos="4171"/>
        </w:tabs>
        <w:spacing w:line="240" w:lineRule="auto"/>
      </w:pPr>
      <w:r w:rsidRPr="001F5DB8">
        <w:rPr>
          <w:i/>
        </w:rPr>
        <w:t xml:space="preserve">Summa Duacensis </w:t>
      </w:r>
      <w:r>
        <w:t>21</w:t>
      </w:r>
      <w:r>
        <w:tab/>
        <w:t>179</w:t>
      </w:r>
    </w:p>
    <w:p w14:paraId="55DA4ED4" w14:textId="77777777" w:rsidR="08BA72FD" w:rsidRDefault="08BA72FD" w:rsidP="08BA72FD">
      <w:pPr>
        <w:pStyle w:val="Rejstk1"/>
        <w:tabs>
          <w:tab w:val="right" w:leader="dot" w:pos="4171"/>
        </w:tabs>
        <w:spacing w:line="240" w:lineRule="auto"/>
      </w:pPr>
      <w:r w:rsidRPr="001F5DB8">
        <w:rPr>
          <w:i/>
        </w:rPr>
        <w:t>Summa Duacensis</w:t>
      </w:r>
      <w:r>
        <w:t xml:space="preserve"> 22</w:t>
      </w:r>
      <w:r>
        <w:tab/>
        <w:t>178</w:t>
      </w:r>
    </w:p>
    <w:p w14:paraId="330EFA2D" w14:textId="77777777" w:rsidR="08BA72FD" w:rsidRDefault="08BA72FD" w:rsidP="08BA72FD">
      <w:pPr>
        <w:pStyle w:val="Rejstk1"/>
        <w:tabs>
          <w:tab w:val="right" w:leader="dot" w:pos="4171"/>
        </w:tabs>
        <w:spacing w:line="240" w:lineRule="auto"/>
      </w:pPr>
      <w:r w:rsidRPr="001F5DB8">
        <w:rPr>
          <w:i/>
        </w:rPr>
        <w:t xml:space="preserve">Summa Duacensis </w:t>
      </w:r>
      <w:r>
        <w:t>44‒45</w:t>
      </w:r>
      <w:r>
        <w:tab/>
        <w:t>178</w:t>
      </w:r>
    </w:p>
    <w:p w14:paraId="60A05E0C" w14:textId="77777777" w:rsidR="08BA72FD" w:rsidRDefault="08BA72FD" w:rsidP="08BA72FD">
      <w:pPr>
        <w:pStyle w:val="Rejstk1"/>
        <w:tabs>
          <w:tab w:val="right" w:leader="dot" w:pos="4171"/>
        </w:tabs>
        <w:spacing w:line="240" w:lineRule="auto"/>
      </w:pPr>
      <w:r w:rsidRPr="001F5DB8">
        <w:rPr>
          <w:i/>
        </w:rPr>
        <w:t xml:space="preserve">Summa Duacensis </w:t>
      </w:r>
      <w:r>
        <w:t>63</w:t>
      </w:r>
      <w:r>
        <w:tab/>
        <w:t>180</w:t>
      </w:r>
    </w:p>
    <w:p w14:paraId="0344DA10" w14:textId="77777777" w:rsidR="08BA72FD" w:rsidRDefault="08BA72FD" w:rsidP="08BA72FD">
      <w:pPr>
        <w:pStyle w:val="Rejstk1"/>
        <w:tabs>
          <w:tab w:val="right" w:leader="dot" w:pos="4171"/>
        </w:tabs>
        <w:spacing w:line="240" w:lineRule="auto"/>
      </w:pPr>
      <w:r w:rsidRPr="001F5DB8">
        <w:rPr>
          <w:i/>
        </w:rPr>
        <w:t>Summa Duacensis</w:t>
      </w:r>
      <w:r>
        <w:t xml:space="preserve"> </w:t>
      </w:r>
      <w:r w:rsidRPr="001F5DB8">
        <w:rPr>
          <w:rFonts w:eastAsia="Code2000"/>
        </w:rPr>
        <w:t>f. 108vb‒109ra</w:t>
      </w:r>
      <w:r>
        <w:tab/>
        <w:t>560</w:t>
      </w:r>
    </w:p>
    <w:p w14:paraId="036E5A47" w14:textId="77777777" w:rsidR="08BA72FD" w:rsidRDefault="08BA72FD" w:rsidP="08BA72FD"/>
    <w:p w14:paraId="3B8A0DB1" w14:textId="77777777" w:rsidR="08BA72FD" w:rsidRDefault="08BA72FD" w:rsidP="08BA72FD">
      <w:pPr>
        <w:pStyle w:val="Rejstk1"/>
        <w:tabs>
          <w:tab w:val="right" w:leader="dot" w:pos="4171"/>
        </w:tabs>
        <w:spacing w:line="240" w:lineRule="auto"/>
        <w:rPr>
          <w:b/>
        </w:rPr>
      </w:pPr>
      <w:r w:rsidRPr="08634D09">
        <w:rPr>
          <w:b/>
        </w:rPr>
        <w:t>Tertullian</w:t>
      </w:r>
    </w:p>
    <w:p w14:paraId="3A3C1D1A" w14:textId="77777777" w:rsidR="08BA72FD" w:rsidRPr="08634D09" w:rsidRDefault="08BA72FD" w:rsidP="08BA72FD">
      <w:pPr>
        <w:pStyle w:val="Rejstk1"/>
        <w:tabs>
          <w:tab w:val="right" w:leader="dot" w:pos="4171"/>
        </w:tabs>
        <w:spacing w:line="240" w:lineRule="auto"/>
        <w:rPr>
          <w:b/>
        </w:rPr>
      </w:pPr>
      <w:r w:rsidRPr="001F5DB8">
        <w:rPr>
          <w:i/>
        </w:rPr>
        <w:t>Adversus Valentinianos</w:t>
      </w:r>
      <w:r>
        <w:t xml:space="preserve"> 33.13‒15</w:t>
      </w:r>
      <w:r>
        <w:tab/>
        <w:t>7</w:t>
      </w:r>
    </w:p>
    <w:p w14:paraId="2F3548E3" w14:textId="77777777" w:rsidR="08BA72FD" w:rsidRDefault="08BA72FD" w:rsidP="08BA72FD"/>
    <w:p w14:paraId="2A39E929" w14:textId="77777777" w:rsidR="08BA72FD" w:rsidRPr="08C50163" w:rsidRDefault="08BA72FD" w:rsidP="08BA72FD">
      <w:pPr>
        <w:pStyle w:val="Rejstk1"/>
        <w:tabs>
          <w:tab w:val="right" w:leader="dot" w:pos="4171"/>
        </w:tabs>
        <w:spacing w:line="240" w:lineRule="auto"/>
        <w:rPr>
          <w:b/>
        </w:rPr>
      </w:pPr>
      <w:r w:rsidRPr="08C50163">
        <w:rPr>
          <w:b/>
        </w:rPr>
        <w:t>Ludwig Wittgenstein</w:t>
      </w:r>
    </w:p>
    <w:p w14:paraId="0AB28252" w14:textId="77777777" w:rsidR="08BA72FD" w:rsidRDefault="08BA72FD" w:rsidP="08BA72FD">
      <w:pPr>
        <w:pStyle w:val="Rejstk2"/>
        <w:tabs>
          <w:tab w:val="right" w:leader="dot" w:pos="4171"/>
        </w:tabs>
        <w:spacing w:line="240" w:lineRule="auto"/>
        <w:ind w:left="240"/>
      </w:pPr>
      <w:r w:rsidRPr="001F5DB8">
        <w:rPr>
          <w:i/>
        </w:rPr>
        <w:t xml:space="preserve">Logisch-Philosophische Abhandlung </w:t>
      </w:r>
      <w:r>
        <w:t>1.1</w:t>
      </w:r>
      <w:r>
        <w:tab/>
        <w:t>573</w:t>
      </w:r>
    </w:p>
    <w:p w14:paraId="7D3E2EA5" w14:textId="77777777" w:rsidR="08BA72FD" w:rsidRDefault="08BA72FD" w:rsidP="08BA72FD">
      <w:pPr>
        <w:pStyle w:val="Rejstk2"/>
        <w:tabs>
          <w:tab w:val="right" w:leader="dot" w:pos="4171"/>
        </w:tabs>
        <w:spacing w:line="240" w:lineRule="auto"/>
        <w:ind w:left="240"/>
      </w:pPr>
      <w:r w:rsidRPr="001F5DB8">
        <w:rPr>
          <w:i/>
        </w:rPr>
        <w:t>Logisch-Philosophische Abhandlung</w:t>
      </w:r>
      <w:r>
        <w:t xml:space="preserve"> 2.012</w:t>
      </w:r>
      <w:r>
        <w:tab/>
        <w:t>79</w:t>
      </w:r>
    </w:p>
    <w:p w14:paraId="55906C3F" w14:textId="77777777" w:rsidR="08BA72FD" w:rsidRDefault="08BA72FD" w:rsidP="08BA72FD">
      <w:pPr>
        <w:pStyle w:val="Rejstk2"/>
        <w:tabs>
          <w:tab w:val="right" w:leader="dot" w:pos="4171"/>
        </w:tabs>
        <w:spacing w:line="240" w:lineRule="auto"/>
        <w:ind w:left="240"/>
      </w:pPr>
      <w:r w:rsidRPr="001F5DB8">
        <w:rPr>
          <w:i/>
        </w:rPr>
        <w:t>Logisch-Philosophische Abhandlung</w:t>
      </w:r>
      <w:r>
        <w:t xml:space="preserve"> 2.01231</w:t>
      </w:r>
      <w:r>
        <w:tab/>
        <w:t>79</w:t>
      </w:r>
    </w:p>
    <w:p w14:paraId="209593EA" w14:textId="77777777" w:rsidR="08BA72FD" w:rsidRPr="08CB4FC6" w:rsidRDefault="08BA72FD" w:rsidP="08BA72FD">
      <w:pPr>
        <w:spacing w:line="240" w:lineRule="auto"/>
        <w:contextualSpacing/>
        <w:jc w:val="left"/>
        <w:rPr>
          <w:sz w:val="20"/>
        </w:rPr>
      </w:pPr>
    </w:p>
    <w:p w14:paraId="2558487C" w14:textId="77777777" w:rsidR="086E6BFB" w:rsidRDefault="086E6BFB" w:rsidP="086E6BFB">
      <w:pPr>
        <w:sectPr w:rsidR="086E6BFB" w:rsidSect="08953A9B">
          <w:footerReference w:type="default" r:id="rId13"/>
          <w:type w:val="continuous"/>
          <w:pgSz w:w="11905" w:h="16837"/>
          <w:pgMar w:top="1417" w:right="1417" w:bottom="1417" w:left="1417" w:header="708" w:footer="720" w:gutter="0"/>
          <w:cols w:num="2" w:space="708"/>
          <w:docGrid w:linePitch="360"/>
        </w:sectPr>
      </w:pPr>
    </w:p>
    <w:p w14:paraId="46E173AB" w14:textId="77777777" w:rsidR="086E6BFB" w:rsidRPr="00466853" w:rsidRDefault="086E6BFB" w:rsidP="086E6BFB">
      <w:pPr>
        <w:pStyle w:val="Nadpis3"/>
      </w:pPr>
      <w:r>
        <w:br w:type="page"/>
      </w:r>
      <w:bookmarkStart w:id="153" w:name="_Toc12558336"/>
      <w:bookmarkStart w:id="154" w:name="_Toc160449349"/>
      <w:r w:rsidRPr="00466853">
        <w:t>Jmenný a věcný rejstřík</w:t>
      </w:r>
      <w:bookmarkEnd w:id="153"/>
      <w:bookmarkEnd w:id="154"/>
    </w:p>
    <w:p w14:paraId="521F50EB" w14:textId="77777777" w:rsidR="08240A2E" w:rsidRDefault="086E6BFB" w:rsidP="08240A2E">
      <w:pPr>
        <w:pStyle w:val="Nadpis3"/>
        <w:spacing w:line="240" w:lineRule="auto"/>
        <w:sectPr w:rsidR="08240A2E" w:rsidSect="08240A2E">
          <w:footerReference w:type="default" r:id="rId14"/>
          <w:type w:val="continuous"/>
          <w:pgSz w:w="11905" w:h="16837"/>
          <w:pgMar w:top="1417" w:right="1417" w:bottom="1417" w:left="1417" w:header="708" w:footer="720" w:gutter="0"/>
          <w:cols w:space="708"/>
          <w:docGrid w:linePitch="360"/>
        </w:sectPr>
      </w:pPr>
      <w:r>
        <w:fldChar w:fldCharType="begin"/>
      </w:r>
      <w:r>
        <w:instrText xml:space="preserve"> INDEX \e "</w:instrText>
      </w:r>
      <w:r>
        <w:tab/>
        <w:instrText xml:space="preserve">" \c "2" \z "1029" </w:instrText>
      </w:r>
      <w:r>
        <w:fldChar w:fldCharType="separate"/>
      </w:r>
    </w:p>
    <w:p w14:paraId="77DAC978" w14:textId="77777777" w:rsidR="00C8572E" w:rsidRPr="00C8572E" w:rsidRDefault="00C8572E" w:rsidP="08240A2E">
      <w:pPr>
        <w:pStyle w:val="Rejstk1"/>
        <w:tabs>
          <w:tab w:val="right" w:leader="dot" w:pos="4171"/>
        </w:tabs>
        <w:spacing w:line="240" w:lineRule="auto"/>
        <w:rPr>
          <w:b/>
        </w:rPr>
      </w:pPr>
      <w:r w:rsidRPr="00C8572E">
        <w:rPr>
          <w:b/>
        </w:rPr>
        <w:t>A</w:t>
      </w:r>
    </w:p>
    <w:p w14:paraId="1670337F" w14:textId="1F6FF02A" w:rsidR="08240A2E" w:rsidRDefault="08240A2E" w:rsidP="08240A2E">
      <w:pPr>
        <w:pStyle w:val="Rejstk1"/>
        <w:tabs>
          <w:tab w:val="right" w:leader="dot" w:pos="4171"/>
        </w:tabs>
        <w:spacing w:line="240" w:lineRule="auto"/>
      </w:pPr>
      <w:r w:rsidRPr="001F5DB8">
        <w:rPr>
          <w:i/>
        </w:rPr>
        <w:t>a/létheia</w:t>
      </w:r>
      <w:r>
        <w:tab/>
        <w:t>1, 2, 12, 154, 156, 157, 177, 241, 289, 328, 347, 354, 392, 410, 508, 517</w:t>
      </w:r>
    </w:p>
    <w:p w14:paraId="697446BB" w14:textId="77777777" w:rsidR="08240A2E" w:rsidRDefault="08240A2E" w:rsidP="08240A2E">
      <w:pPr>
        <w:pStyle w:val="Rejstk2"/>
        <w:tabs>
          <w:tab w:val="right" w:leader="dot" w:pos="4171"/>
        </w:tabs>
        <w:spacing w:line="240" w:lineRule="auto"/>
      </w:pPr>
      <w:r>
        <w:t>druhý averroismus</w:t>
      </w:r>
      <w:r>
        <w:tab/>
        <w:t>397</w:t>
      </w:r>
    </w:p>
    <w:p w14:paraId="2CCA6B98" w14:textId="77777777" w:rsidR="08240A2E" w:rsidRDefault="08240A2E" w:rsidP="08240A2E">
      <w:pPr>
        <w:pStyle w:val="Rejstk2"/>
        <w:tabs>
          <w:tab w:val="right" w:leader="dot" w:pos="4171"/>
        </w:tabs>
        <w:spacing w:line="240" w:lineRule="auto"/>
      </w:pPr>
      <w:r>
        <w:t>Grosseteste</w:t>
      </w:r>
      <w:r>
        <w:tab/>
        <w:t>396, 413</w:t>
      </w:r>
    </w:p>
    <w:p w14:paraId="6C8E8321" w14:textId="77777777" w:rsidR="08240A2E" w:rsidRDefault="08240A2E" w:rsidP="08240A2E">
      <w:pPr>
        <w:pStyle w:val="Rejstk2"/>
        <w:tabs>
          <w:tab w:val="right" w:leader="dot" w:pos="4171"/>
        </w:tabs>
        <w:spacing w:line="240" w:lineRule="auto"/>
      </w:pPr>
      <w:r>
        <w:t>objektivity</w:t>
      </w:r>
      <w:r>
        <w:tab/>
        <w:t>481</w:t>
      </w:r>
    </w:p>
    <w:p w14:paraId="32496BD2" w14:textId="77777777" w:rsidR="08240A2E" w:rsidRDefault="08240A2E" w:rsidP="08240A2E">
      <w:pPr>
        <w:pStyle w:val="Rejstk2"/>
        <w:tabs>
          <w:tab w:val="right" w:leader="dot" w:pos="4171"/>
        </w:tabs>
        <w:spacing w:line="240" w:lineRule="auto"/>
      </w:pPr>
      <w:r>
        <w:t>moderna</w:t>
      </w:r>
      <w:r>
        <w:tab/>
        <w:t>385</w:t>
      </w:r>
    </w:p>
    <w:p w14:paraId="45BA213E" w14:textId="3406204F" w:rsidR="08240A2E" w:rsidRDefault="00CB3E4F" w:rsidP="08240A2E">
      <w:pPr>
        <w:pStyle w:val="Rejstk1"/>
        <w:tabs>
          <w:tab w:val="right" w:leader="dot" w:pos="4171"/>
        </w:tabs>
        <w:spacing w:line="240" w:lineRule="auto"/>
      </w:pPr>
      <w:r>
        <w:rPr>
          <w:lang w:eastAsia="en-US"/>
        </w:rPr>
        <w:t>Abélard</w:t>
      </w:r>
      <w:r w:rsidR="08E65698">
        <w:rPr>
          <w:lang w:eastAsia="en-US"/>
        </w:rPr>
        <w:t xml:space="preserve">, viz </w:t>
      </w:r>
      <w:r w:rsidR="08E65698" w:rsidRPr="08E65698">
        <w:rPr>
          <w:i/>
          <w:lang w:eastAsia="en-US"/>
        </w:rPr>
        <w:t>Index locorum</w:t>
      </w:r>
    </w:p>
    <w:p w14:paraId="109A2C15" w14:textId="77777777" w:rsidR="08240A2E" w:rsidRDefault="08240A2E" w:rsidP="08240A2E">
      <w:pPr>
        <w:pStyle w:val="Rejstk1"/>
        <w:tabs>
          <w:tab w:val="right" w:leader="dot" w:pos="4171"/>
        </w:tabs>
        <w:spacing w:line="240" w:lineRule="auto"/>
      </w:pPr>
      <w:r>
        <w:t>abstrakce</w:t>
      </w:r>
    </w:p>
    <w:p w14:paraId="0599CBF8" w14:textId="77777777" w:rsidR="08240A2E" w:rsidRDefault="08240A2E" w:rsidP="08240A2E">
      <w:pPr>
        <w:pStyle w:val="Rejstk2"/>
        <w:tabs>
          <w:tab w:val="right" w:leader="dot" w:pos="4171"/>
        </w:tabs>
        <w:spacing w:line="240" w:lineRule="auto"/>
      </w:pPr>
      <w:r>
        <w:t>Aristoteles</w:t>
      </w:r>
      <w:r>
        <w:tab/>
        <w:t>523</w:t>
      </w:r>
    </w:p>
    <w:p w14:paraId="78328E41" w14:textId="77777777" w:rsidR="08240A2E" w:rsidRDefault="08240A2E" w:rsidP="08240A2E">
      <w:pPr>
        <w:pStyle w:val="Rejstk2"/>
        <w:tabs>
          <w:tab w:val="right" w:leader="dot" w:pos="4171"/>
        </w:tabs>
        <w:spacing w:line="240" w:lineRule="auto"/>
      </w:pPr>
      <w:r>
        <w:t>Blund</w:t>
      </w:r>
      <w:r>
        <w:tab/>
        <w:t>121, 125, 128, 134, 137, 141</w:t>
      </w:r>
    </w:p>
    <w:p w14:paraId="46885769" w14:textId="77777777" w:rsidR="08240A2E" w:rsidRDefault="08240A2E" w:rsidP="08240A2E">
      <w:pPr>
        <w:pStyle w:val="Rejstk2"/>
        <w:tabs>
          <w:tab w:val="right" w:leader="dot" w:pos="4171"/>
        </w:tabs>
        <w:spacing w:line="240" w:lineRule="auto"/>
      </w:pPr>
      <w:r w:rsidRPr="001F5DB8">
        <w:rPr>
          <w:i/>
        </w:rPr>
        <w:t>denudatio</w:t>
      </w:r>
      <w:r>
        <w:tab/>
        <w:t>381</w:t>
      </w:r>
    </w:p>
    <w:p w14:paraId="778E4476" w14:textId="77777777" w:rsidR="08240A2E" w:rsidRDefault="08240A2E" w:rsidP="08240A2E">
      <w:pPr>
        <w:pStyle w:val="Rejstk2"/>
        <w:tabs>
          <w:tab w:val="right" w:leader="dot" w:pos="4171"/>
        </w:tabs>
        <w:spacing w:line="240" w:lineRule="auto"/>
      </w:pPr>
      <w:r>
        <w:t>druhý averroismus</w:t>
      </w:r>
      <w:r>
        <w:tab/>
        <w:t>588</w:t>
      </w:r>
    </w:p>
    <w:p w14:paraId="27E56399" w14:textId="77777777" w:rsidR="08240A2E" w:rsidRDefault="08240A2E" w:rsidP="08240A2E">
      <w:pPr>
        <w:pStyle w:val="Rejstk2"/>
        <w:tabs>
          <w:tab w:val="right" w:leader="dot" w:pos="4171"/>
        </w:tabs>
        <w:spacing w:line="240" w:lineRule="auto"/>
      </w:pPr>
      <w:r>
        <w:t>Grosseteste</w:t>
      </w:r>
      <w:r>
        <w:tab/>
        <w:t>470</w:t>
      </w:r>
    </w:p>
    <w:p w14:paraId="262A9A75" w14:textId="77777777" w:rsidR="08240A2E" w:rsidRDefault="08240A2E" w:rsidP="08240A2E">
      <w:pPr>
        <w:pStyle w:val="Rejstk2"/>
        <w:tabs>
          <w:tab w:val="right" w:leader="dot" w:pos="4171"/>
        </w:tabs>
        <w:spacing w:line="240" w:lineRule="auto"/>
      </w:pPr>
      <w:r>
        <w:t>logická</w:t>
      </w:r>
      <w:r>
        <w:tab/>
        <w:t>346, 408</w:t>
      </w:r>
    </w:p>
    <w:p w14:paraId="4B7444FB" w14:textId="77777777" w:rsidR="08240A2E" w:rsidRDefault="08240A2E" w:rsidP="08240A2E">
      <w:pPr>
        <w:pStyle w:val="Rejstk2"/>
        <w:tabs>
          <w:tab w:val="right" w:leader="dot" w:pos="4171"/>
        </w:tabs>
        <w:spacing w:line="240" w:lineRule="auto"/>
      </w:pPr>
      <w:r>
        <w:t>matematická</w:t>
      </w:r>
      <w:r>
        <w:tab/>
        <w:t>77, 78, 86, 88, 307, 326, 350, 362, 383, 398, 405, 408, 458, 489, 515, 516, 518, 519, 524, 534, 540, 556, 557, 558, 559, 563, 570, 575, 579, 580, 639, 643, 657, 659, 702</w:t>
      </w:r>
    </w:p>
    <w:p w14:paraId="46874027" w14:textId="77777777" w:rsidR="08240A2E" w:rsidRDefault="08240A2E" w:rsidP="08240A2E">
      <w:pPr>
        <w:pStyle w:val="Rejstk2"/>
        <w:tabs>
          <w:tab w:val="right" w:leader="dot" w:pos="4171"/>
        </w:tabs>
        <w:spacing w:line="240" w:lineRule="auto"/>
      </w:pPr>
      <w:r>
        <w:t>metafyzická</w:t>
      </w:r>
      <w:r>
        <w:tab/>
        <w:t>384, 530</w:t>
      </w:r>
    </w:p>
    <w:p w14:paraId="4DB4F262" w14:textId="77777777" w:rsidR="08240A2E" w:rsidRDefault="08240A2E" w:rsidP="08240A2E">
      <w:pPr>
        <w:pStyle w:val="Rejstk2"/>
        <w:tabs>
          <w:tab w:val="right" w:leader="dot" w:pos="4171"/>
        </w:tabs>
        <w:spacing w:line="240" w:lineRule="auto"/>
      </w:pPr>
      <w:r>
        <w:t>první averroismus</w:t>
      </w:r>
      <w:r>
        <w:tab/>
        <w:t>171, 186, 407</w:t>
      </w:r>
    </w:p>
    <w:p w14:paraId="31C367C1" w14:textId="77777777" w:rsidR="08240A2E" w:rsidRDefault="08240A2E" w:rsidP="08240A2E">
      <w:pPr>
        <w:pStyle w:val="Rejstk2"/>
        <w:tabs>
          <w:tab w:val="right" w:leader="dot" w:pos="4171"/>
        </w:tabs>
        <w:spacing w:line="240" w:lineRule="auto"/>
      </w:pPr>
      <w:r>
        <w:t>Rufus</w:t>
      </w:r>
      <w:r>
        <w:tab/>
        <w:t>553, 622</w:t>
      </w:r>
    </w:p>
    <w:p w14:paraId="30701BE6" w14:textId="77777777" w:rsidR="08240A2E" w:rsidRDefault="08240A2E" w:rsidP="08240A2E">
      <w:pPr>
        <w:pStyle w:val="Rejstk2"/>
        <w:tabs>
          <w:tab w:val="right" w:leader="dot" w:pos="4171"/>
        </w:tabs>
        <w:spacing w:line="240" w:lineRule="auto"/>
      </w:pPr>
      <w:r>
        <w:t>Rupella</w:t>
      </w:r>
      <w:r>
        <w:tab/>
        <w:t>181</w:t>
      </w:r>
    </w:p>
    <w:p w14:paraId="57EB16A7" w14:textId="77777777" w:rsidR="08240A2E" w:rsidRDefault="08240A2E" w:rsidP="08240A2E">
      <w:pPr>
        <w:pStyle w:val="Rejstk2"/>
        <w:tabs>
          <w:tab w:val="right" w:leader="dot" w:pos="4171"/>
        </w:tabs>
        <w:spacing w:line="240" w:lineRule="auto"/>
      </w:pPr>
      <w:r>
        <w:t xml:space="preserve">škola </w:t>
      </w:r>
      <w:r w:rsidRPr="001F5DB8">
        <w:rPr>
          <w:i/>
        </w:rPr>
        <w:t>Nominales</w:t>
      </w:r>
      <w:r>
        <w:tab/>
        <w:t>68</w:t>
      </w:r>
    </w:p>
    <w:p w14:paraId="70D0E52C" w14:textId="77777777" w:rsidR="08240A2E" w:rsidRDefault="08240A2E" w:rsidP="08240A2E">
      <w:pPr>
        <w:pStyle w:val="Rejstk1"/>
        <w:tabs>
          <w:tab w:val="right" w:leader="dot" w:pos="4171"/>
        </w:tabs>
        <w:spacing w:line="240" w:lineRule="auto"/>
      </w:pPr>
      <w:r>
        <w:t>Abubacher</w:t>
      </w:r>
      <w:r>
        <w:tab/>
        <w:t>301</w:t>
      </w:r>
    </w:p>
    <w:p w14:paraId="18F4C764" w14:textId="77777777" w:rsidR="08240A2E" w:rsidRDefault="08240A2E" w:rsidP="08240A2E">
      <w:pPr>
        <w:pStyle w:val="Rejstk1"/>
        <w:tabs>
          <w:tab w:val="right" w:leader="dot" w:pos="4171"/>
        </w:tabs>
        <w:spacing w:line="240" w:lineRule="auto"/>
      </w:pPr>
      <w:r w:rsidRPr="001F5DB8">
        <w:rPr>
          <w:i/>
        </w:rPr>
        <w:t>actus essendi</w:t>
      </w:r>
      <w:r>
        <w:tab/>
        <w:t>180, 188, 255, 259, 266, 282, 413, 446, 534, 626, 673</w:t>
      </w:r>
    </w:p>
    <w:p w14:paraId="01920B4B" w14:textId="77777777" w:rsidR="08240A2E" w:rsidRDefault="08240A2E" w:rsidP="08240A2E">
      <w:pPr>
        <w:pStyle w:val="Rejstk1"/>
        <w:tabs>
          <w:tab w:val="right" w:leader="dot" w:pos="4171"/>
        </w:tabs>
        <w:spacing w:line="240" w:lineRule="auto"/>
      </w:pPr>
      <w:r w:rsidRPr="001F5DB8">
        <w:rPr>
          <w:i/>
        </w:rPr>
        <w:t>ad mentem Averrois</w:t>
      </w:r>
      <w:r>
        <w:tab/>
        <w:t>109, 113, 143, 152, 155, 158, 189, 237, 283, 290, 293, 333, 382, 389, 396, 402, 406, 468, 473, 498, 505, 578, 580, 581, 583, 594, 613, 614, 662, 668, 678, 681, 682, 686</w:t>
      </w:r>
    </w:p>
    <w:p w14:paraId="5AC7E60E" w14:textId="77777777" w:rsidR="08240A2E" w:rsidRDefault="08240A2E" w:rsidP="08240A2E">
      <w:pPr>
        <w:pStyle w:val="Rejstk1"/>
        <w:tabs>
          <w:tab w:val="right" w:leader="dot" w:pos="4171"/>
        </w:tabs>
        <w:spacing w:line="240" w:lineRule="auto"/>
      </w:pPr>
      <w:r w:rsidRPr="001F5DB8">
        <w:rPr>
          <w:i/>
        </w:rPr>
        <w:t>adaequatio</w:t>
      </w:r>
    </w:p>
    <w:p w14:paraId="41D18E90" w14:textId="57D73BC6" w:rsidR="08240A2E" w:rsidRDefault="00CB3E4F" w:rsidP="08240A2E">
      <w:pPr>
        <w:pStyle w:val="Rejstk2"/>
        <w:tabs>
          <w:tab w:val="right" w:leader="dot" w:pos="4171"/>
        </w:tabs>
        <w:spacing w:line="240" w:lineRule="auto"/>
      </w:pPr>
      <w:r>
        <w:t>Abélard</w:t>
      </w:r>
      <w:r w:rsidR="08240A2E">
        <w:tab/>
        <w:t>37, 41, 93</w:t>
      </w:r>
    </w:p>
    <w:p w14:paraId="1F5709B3" w14:textId="77777777" w:rsidR="08240A2E" w:rsidRDefault="08240A2E" w:rsidP="08240A2E">
      <w:pPr>
        <w:pStyle w:val="Rejstk2"/>
        <w:tabs>
          <w:tab w:val="right" w:leader="dot" w:pos="4171"/>
        </w:tabs>
        <w:spacing w:line="240" w:lineRule="auto"/>
      </w:pPr>
      <w:r>
        <w:t>Albert</w:t>
      </w:r>
      <w:r>
        <w:tab/>
        <w:t>298</w:t>
      </w:r>
    </w:p>
    <w:p w14:paraId="691BD444" w14:textId="77777777" w:rsidR="08240A2E" w:rsidRDefault="08240A2E" w:rsidP="08240A2E">
      <w:pPr>
        <w:pStyle w:val="Rejstk2"/>
        <w:tabs>
          <w:tab w:val="right" w:leader="dot" w:pos="4171"/>
        </w:tabs>
        <w:spacing w:line="240" w:lineRule="auto"/>
      </w:pPr>
      <w:r>
        <w:t>Bacon</w:t>
      </w:r>
      <w:r>
        <w:tab/>
        <w:t>541, 543</w:t>
      </w:r>
    </w:p>
    <w:p w14:paraId="6BAB3667" w14:textId="77777777" w:rsidR="08240A2E" w:rsidRDefault="08240A2E" w:rsidP="08240A2E">
      <w:pPr>
        <w:pStyle w:val="Rejstk2"/>
        <w:tabs>
          <w:tab w:val="right" w:leader="dot" w:pos="4171"/>
        </w:tabs>
        <w:spacing w:line="240" w:lineRule="auto"/>
      </w:pPr>
      <w:r>
        <w:t>Blund</w:t>
      </w:r>
      <w:r>
        <w:tab/>
        <w:t>136</w:t>
      </w:r>
    </w:p>
    <w:p w14:paraId="2252F75E" w14:textId="77777777" w:rsidR="08240A2E" w:rsidRDefault="08240A2E" w:rsidP="08240A2E">
      <w:pPr>
        <w:pStyle w:val="Rejstk2"/>
        <w:tabs>
          <w:tab w:val="right" w:leader="dot" w:pos="4171"/>
        </w:tabs>
        <w:spacing w:line="240" w:lineRule="auto"/>
      </w:pPr>
      <w:r>
        <w:t>porretáni</w:t>
      </w:r>
      <w:r>
        <w:tab/>
        <w:t>132</w:t>
      </w:r>
    </w:p>
    <w:p w14:paraId="63E8A4FE" w14:textId="77777777" w:rsidR="08240A2E" w:rsidRDefault="08240A2E" w:rsidP="08240A2E">
      <w:pPr>
        <w:pStyle w:val="Rejstk2"/>
        <w:tabs>
          <w:tab w:val="right" w:leader="dot" w:pos="4171"/>
        </w:tabs>
        <w:spacing w:line="240" w:lineRule="auto"/>
      </w:pPr>
      <w:r>
        <w:t>první averroismus</w:t>
      </w:r>
      <w:r>
        <w:tab/>
        <w:t>185</w:t>
      </w:r>
    </w:p>
    <w:p w14:paraId="6F0E87ED" w14:textId="77777777" w:rsidR="08240A2E" w:rsidRDefault="08240A2E" w:rsidP="08240A2E">
      <w:pPr>
        <w:pStyle w:val="Rejstk1"/>
        <w:tabs>
          <w:tab w:val="right" w:leader="dot" w:pos="4171"/>
        </w:tabs>
        <w:spacing w:line="240" w:lineRule="auto"/>
      </w:pPr>
      <w:r>
        <w:t>Adam de Buckfield</w:t>
      </w:r>
      <w:r w:rsidR="08664F93">
        <w:t xml:space="preserve">, viz </w:t>
      </w:r>
      <w:r w:rsidR="08664F93" w:rsidRPr="08664F93">
        <w:rPr>
          <w:i/>
        </w:rPr>
        <w:t>Index locorum</w:t>
      </w:r>
    </w:p>
    <w:p w14:paraId="1B817F45" w14:textId="77777777" w:rsidR="08240A2E" w:rsidRDefault="08240A2E" w:rsidP="08240A2E">
      <w:pPr>
        <w:pStyle w:val="Rejstk1"/>
        <w:tabs>
          <w:tab w:val="right" w:leader="dot" w:pos="4171"/>
        </w:tabs>
        <w:spacing w:line="240" w:lineRule="auto"/>
      </w:pPr>
      <w:r w:rsidRPr="001F5DB8">
        <w:rPr>
          <w:bCs/>
        </w:rPr>
        <w:t>Adam de Marisco</w:t>
      </w:r>
      <w:r>
        <w:tab/>
        <w:t>476, 601, 615</w:t>
      </w:r>
    </w:p>
    <w:p w14:paraId="51FC2A65" w14:textId="77777777" w:rsidR="08240A2E" w:rsidRDefault="08240A2E" w:rsidP="08240A2E">
      <w:pPr>
        <w:pStyle w:val="Rejstk1"/>
        <w:tabs>
          <w:tab w:val="right" w:leader="dot" w:pos="4171"/>
        </w:tabs>
        <w:spacing w:line="240" w:lineRule="auto"/>
      </w:pPr>
      <w:r>
        <w:t>Adam Parvipontanus</w:t>
      </w:r>
      <w:r>
        <w:tab/>
        <w:t>50</w:t>
      </w:r>
    </w:p>
    <w:p w14:paraId="51F34499" w14:textId="77777777" w:rsidR="08240A2E" w:rsidRDefault="08240A2E" w:rsidP="08240A2E">
      <w:pPr>
        <w:pStyle w:val="Rejstk1"/>
        <w:tabs>
          <w:tab w:val="right" w:leader="dot" w:pos="4171"/>
        </w:tabs>
        <w:spacing w:line="240" w:lineRule="auto"/>
      </w:pPr>
      <w:r>
        <w:t>Aegidius Romanus</w:t>
      </w:r>
      <w:r w:rsidR="08664F93">
        <w:t xml:space="preserve">, viz </w:t>
      </w:r>
      <w:r w:rsidR="08664F93" w:rsidRPr="08664F93">
        <w:rPr>
          <w:i/>
        </w:rPr>
        <w:t>Index locorum</w:t>
      </w:r>
    </w:p>
    <w:p w14:paraId="7C9B8E99" w14:textId="77777777" w:rsidR="08240A2E" w:rsidRDefault="08240A2E" w:rsidP="08240A2E">
      <w:pPr>
        <w:pStyle w:val="Rejstk1"/>
        <w:tabs>
          <w:tab w:val="right" w:leader="dot" w:pos="4171"/>
        </w:tabs>
        <w:spacing w:line="240" w:lineRule="auto"/>
      </w:pPr>
      <w:r>
        <w:t>Achillini, A.</w:t>
      </w:r>
      <w:r w:rsidR="08664F93">
        <w:t xml:space="preserve">, viz  </w:t>
      </w:r>
      <w:r w:rsidR="08664F93" w:rsidRPr="08664F93">
        <w:rPr>
          <w:i/>
        </w:rPr>
        <w:t>Index locorum</w:t>
      </w:r>
      <w:r>
        <w:tab/>
        <w:t>697</w:t>
      </w:r>
    </w:p>
    <w:p w14:paraId="76BA8ECC" w14:textId="77777777" w:rsidR="08240A2E" w:rsidRDefault="08240A2E" w:rsidP="08240A2E">
      <w:pPr>
        <w:pStyle w:val="Rejstk1"/>
        <w:tabs>
          <w:tab w:val="right" w:leader="dot" w:pos="4171"/>
        </w:tabs>
        <w:spacing w:line="240" w:lineRule="auto"/>
      </w:pPr>
      <w:r>
        <w:t>Akvinský</w:t>
      </w:r>
      <w:r w:rsidR="08664F93">
        <w:t xml:space="preserve">, T., viz </w:t>
      </w:r>
      <w:r w:rsidR="08664F93" w:rsidRPr="08664F93">
        <w:rPr>
          <w:i/>
        </w:rPr>
        <w:t>Index locorum</w:t>
      </w:r>
    </w:p>
    <w:p w14:paraId="6E0514D4" w14:textId="77777777" w:rsidR="08240A2E" w:rsidRDefault="08240A2E" w:rsidP="08240A2E">
      <w:pPr>
        <w:pStyle w:val="Rejstk1"/>
        <w:tabs>
          <w:tab w:val="right" w:leader="dot" w:pos="4171"/>
        </w:tabs>
        <w:spacing w:line="240" w:lineRule="auto"/>
      </w:pPr>
      <w:r>
        <w:rPr>
          <w:lang w:eastAsia="en-US"/>
        </w:rPr>
        <w:t>Alberich z Remeše</w:t>
      </w:r>
      <w:r>
        <w:tab/>
        <w:t>66</w:t>
      </w:r>
    </w:p>
    <w:p w14:paraId="53FCF86F" w14:textId="77777777" w:rsidR="08240A2E" w:rsidRDefault="08240A2E" w:rsidP="08240A2E">
      <w:pPr>
        <w:pStyle w:val="Rejstk1"/>
        <w:tabs>
          <w:tab w:val="right" w:leader="dot" w:pos="4171"/>
        </w:tabs>
        <w:spacing w:line="240" w:lineRule="auto"/>
      </w:pPr>
      <w:r>
        <w:t>Albert</w:t>
      </w:r>
      <w:r w:rsidR="083037C3">
        <w:t xml:space="preserve">, Veliký, viz </w:t>
      </w:r>
      <w:r w:rsidR="083037C3" w:rsidRPr="083037C3">
        <w:rPr>
          <w:i/>
        </w:rPr>
        <w:t>Index locorum</w:t>
      </w:r>
    </w:p>
    <w:p w14:paraId="2AD39810" w14:textId="77777777" w:rsidR="08240A2E" w:rsidRDefault="08240A2E" w:rsidP="08240A2E">
      <w:pPr>
        <w:pStyle w:val="Rejstk1"/>
        <w:tabs>
          <w:tab w:val="right" w:leader="dot" w:pos="4171"/>
        </w:tabs>
        <w:spacing w:line="240" w:lineRule="auto"/>
      </w:pPr>
      <w:r>
        <w:t>Alexander, Afrodisias</w:t>
      </w:r>
      <w:r>
        <w:tab/>
        <w:t>194, 202, 203, 205, 208, 209, 285, 297, 317, 603</w:t>
      </w:r>
    </w:p>
    <w:p w14:paraId="127D5A35" w14:textId="77777777" w:rsidR="08240A2E" w:rsidRDefault="08240A2E" w:rsidP="08240A2E">
      <w:pPr>
        <w:pStyle w:val="Rejstk1"/>
        <w:tabs>
          <w:tab w:val="right" w:leader="dot" w:pos="4171"/>
        </w:tabs>
        <w:spacing w:line="240" w:lineRule="auto"/>
      </w:pPr>
      <w:r>
        <w:t>Alexander, Halský</w:t>
      </w:r>
      <w:r>
        <w:tab/>
        <w:t>215, 216, 337, 481</w:t>
      </w:r>
      <w:r w:rsidR="08D85D13">
        <w:t>, 486</w:t>
      </w:r>
    </w:p>
    <w:p w14:paraId="6DFA662A" w14:textId="77777777" w:rsidR="08240A2E" w:rsidRDefault="08240A2E" w:rsidP="08240A2E">
      <w:pPr>
        <w:pStyle w:val="Rejstk1"/>
        <w:tabs>
          <w:tab w:val="right" w:leader="dot" w:pos="4171"/>
        </w:tabs>
        <w:spacing w:line="240" w:lineRule="auto"/>
      </w:pPr>
      <w:r>
        <w:t>alexandrovci</w:t>
      </w:r>
      <w:r>
        <w:tab/>
        <w:t>194, 203, 213, 271, 275, 282, 288, 294, 295, 396, 595, 597, 635, 687</w:t>
      </w:r>
    </w:p>
    <w:p w14:paraId="3A2E3AF7" w14:textId="77777777" w:rsidR="08240A2E" w:rsidRDefault="08240A2E" w:rsidP="08240A2E">
      <w:pPr>
        <w:pStyle w:val="Rejstk1"/>
        <w:tabs>
          <w:tab w:val="right" w:leader="dot" w:pos="4171"/>
        </w:tabs>
        <w:spacing w:line="240" w:lineRule="auto"/>
      </w:pPr>
      <w:r>
        <w:t>Al-Fárábí</w:t>
      </w:r>
      <w:r w:rsidR="08D85D13">
        <w:t xml:space="preserve">, viz </w:t>
      </w:r>
      <w:r w:rsidR="08D85D13" w:rsidRPr="08D85D13">
        <w:rPr>
          <w:i/>
        </w:rPr>
        <w:t>Index locorum</w:t>
      </w:r>
    </w:p>
    <w:p w14:paraId="1A98EA2D" w14:textId="77777777" w:rsidR="08240A2E" w:rsidRDefault="08240A2E" w:rsidP="08240A2E">
      <w:pPr>
        <w:pStyle w:val="Rejstk1"/>
        <w:tabs>
          <w:tab w:val="right" w:leader="dot" w:pos="4171"/>
        </w:tabs>
        <w:spacing w:line="240" w:lineRule="auto"/>
      </w:pPr>
      <w:r>
        <w:t>Al-Ghazálí</w:t>
      </w:r>
      <w:r>
        <w:tab/>
        <w:t>45, 48, 80, 84, 409, 494</w:t>
      </w:r>
    </w:p>
    <w:p w14:paraId="775C8F05" w14:textId="77777777" w:rsidR="08240A2E" w:rsidRDefault="08240A2E" w:rsidP="08240A2E">
      <w:pPr>
        <w:pStyle w:val="Rejstk1"/>
        <w:tabs>
          <w:tab w:val="right" w:leader="dot" w:pos="4171"/>
        </w:tabs>
        <w:spacing w:line="240" w:lineRule="auto"/>
      </w:pPr>
      <w:r>
        <w:t>Alvernus</w:t>
      </w:r>
      <w:r w:rsidR="08D85D13">
        <w:t>, viz William z Auvergne</w:t>
      </w:r>
    </w:p>
    <w:p w14:paraId="34E7A861" w14:textId="77777777" w:rsidR="08240A2E" w:rsidRDefault="08240A2E" w:rsidP="08240A2E">
      <w:pPr>
        <w:pStyle w:val="Rejstk1"/>
        <w:tabs>
          <w:tab w:val="right" w:leader="dot" w:pos="4171"/>
        </w:tabs>
        <w:spacing w:line="240" w:lineRule="auto"/>
      </w:pPr>
      <w:r>
        <w:t>Amaury de Bennes</w:t>
      </w:r>
      <w:r>
        <w:tab/>
        <w:t>145</w:t>
      </w:r>
    </w:p>
    <w:p w14:paraId="36336AEE" w14:textId="77777777" w:rsidR="08240A2E" w:rsidRDefault="08240A2E" w:rsidP="08240A2E">
      <w:pPr>
        <w:pStyle w:val="Rejstk1"/>
        <w:tabs>
          <w:tab w:val="right" w:leader="dot" w:pos="4171"/>
        </w:tabs>
        <w:spacing w:line="240" w:lineRule="auto"/>
      </w:pPr>
      <w:r>
        <w:t>amfibolia</w:t>
      </w:r>
      <w:r>
        <w:tab/>
        <w:t>227, 411, 417, 529, 697</w:t>
      </w:r>
    </w:p>
    <w:p w14:paraId="6D99F032" w14:textId="77777777" w:rsidR="08240A2E" w:rsidRDefault="08240A2E" w:rsidP="08240A2E">
      <w:pPr>
        <w:pStyle w:val="Rejstk1"/>
        <w:tabs>
          <w:tab w:val="right" w:leader="dot" w:pos="4171"/>
        </w:tabs>
        <w:spacing w:line="240" w:lineRule="auto"/>
      </w:pPr>
      <w:r w:rsidRPr="001F5DB8">
        <w:rPr>
          <w:i/>
        </w:rPr>
        <w:t>analogia entis</w:t>
      </w:r>
      <w:r>
        <w:tab/>
        <w:t>408, 416, 557</w:t>
      </w:r>
    </w:p>
    <w:p w14:paraId="45A08FCC" w14:textId="77777777" w:rsidR="08240A2E" w:rsidRDefault="08240A2E" w:rsidP="08240A2E">
      <w:pPr>
        <w:pStyle w:val="Rejstk1"/>
        <w:tabs>
          <w:tab w:val="right" w:leader="dot" w:pos="4171"/>
        </w:tabs>
        <w:spacing w:line="240" w:lineRule="auto"/>
      </w:pPr>
      <w:r>
        <w:t>analytická filosofie</w:t>
      </w:r>
      <w:r>
        <w:tab/>
        <w:t>369, 509, 534, 675</w:t>
      </w:r>
    </w:p>
    <w:p w14:paraId="3BB952A9" w14:textId="77777777" w:rsidR="08240A2E" w:rsidRDefault="08240A2E" w:rsidP="08240A2E">
      <w:pPr>
        <w:pStyle w:val="Rejstk1"/>
        <w:tabs>
          <w:tab w:val="right" w:leader="dot" w:pos="4171"/>
        </w:tabs>
        <w:spacing w:line="240" w:lineRule="auto"/>
      </w:pPr>
      <w:r w:rsidRPr="001F5DB8">
        <w:rPr>
          <w:i/>
        </w:rPr>
        <w:t>anima mundi</w:t>
      </w:r>
      <w:r>
        <w:tab/>
        <w:t>145, 146, 147, 211, 352, 414, 526, 589, 597</w:t>
      </w:r>
    </w:p>
    <w:p w14:paraId="4FA4F728" w14:textId="77777777" w:rsidR="08240A2E" w:rsidRDefault="08240A2E" w:rsidP="08240A2E">
      <w:pPr>
        <w:pStyle w:val="Rejstk1"/>
        <w:tabs>
          <w:tab w:val="right" w:leader="dot" w:pos="4171"/>
        </w:tabs>
        <w:spacing w:line="240" w:lineRule="auto"/>
      </w:pPr>
      <w:r w:rsidRPr="001F5DB8">
        <w:rPr>
          <w:i/>
        </w:rPr>
        <w:t>anima ut motor</w:t>
      </w:r>
      <w:r>
        <w:tab/>
        <w:t>470</w:t>
      </w:r>
    </w:p>
    <w:p w14:paraId="06AAAA9A" w14:textId="77777777" w:rsidR="08240A2E" w:rsidRDefault="08240A2E" w:rsidP="08240A2E">
      <w:pPr>
        <w:pStyle w:val="Rejstk1"/>
        <w:tabs>
          <w:tab w:val="right" w:leader="dot" w:pos="4171"/>
        </w:tabs>
        <w:spacing w:line="240" w:lineRule="auto"/>
      </w:pPr>
      <w:r w:rsidRPr="001F5DB8">
        <w:rPr>
          <w:i/>
        </w:rPr>
        <w:t>Anonymus Erfordensis</w:t>
      </w:r>
      <w:r w:rsidR="081D0E27">
        <w:t xml:space="preserve">, viz </w:t>
      </w:r>
      <w:r w:rsidR="081D0E27" w:rsidRPr="081D0E27">
        <w:rPr>
          <w:i/>
        </w:rPr>
        <w:t>Index locorum</w:t>
      </w:r>
    </w:p>
    <w:p w14:paraId="5C5F8D17" w14:textId="77777777" w:rsidR="08240A2E" w:rsidRDefault="08240A2E" w:rsidP="081D0E27">
      <w:pPr>
        <w:pStyle w:val="Rejstk1"/>
        <w:tabs>
          <w:tab w:val="right" w:leader="dot" w:pos="4171"/>
        </w:tabs>
        <w:spacing w:line="240" w:lineRule="auto"/>
      </w:pPr>
      <w:r>
        <w:t>Anselm z</w:t>
      </w:r>
      <w:r w:rsidR="081D0E27">
        <w:t> </w:t>
      </w:r>
      <w:r>
        <w:t>Canterbury</w:t>
      </w:r>
      <w:r w:rsidR="081D0E27">
        <w:t xml:space="preserve">, </w:t>
      </w:r>
      <w:r>
        <w:t xml:space="preserve">viz </w:t>
      </w:r>
      <w:r w:rsidRPr="001F5DB8">
        <w:rPr>
          <w:i/>
        </w:rPr>
        <w:t>Index locorum</w:t>
      </w:r>
    </w:p>
    <w:p w14:paraId="58B49F91" w14:textId="77777777" w:rsidR="08240A2E" w:rsidRDefault="08240A2E" w:rsidP="08240A2E">
      <w:pPr>
        <w:pStyle w:val="Rejstk1"/>
        <w:tabs>
          <w:tab w:val="right" w:leader="dot" w:pos="4171"/>
        </w:tabs>
        <w:spacing w:line="240" w:lineRule="auto"/>
      </w:pPr>
      <w:r>
        <w:t>Anselm z Laonu</w:t>
      </w:r>
      <w:r>
        <w:tab/>
        <w:t>44</w:t>
      </w:r>
    </w:p>
    <w:p w14:paraId="245A7351" w14:textId="77777777" w:rsidR="08240A2E" w:rsidRDefault="08240A2E" w:rsidP="08240A2E">
      <w:pPr>
        <w:pStyle w:val="Rejstk1"/>
        <w:tabs>
          <w:tab w:val="right" w:leader="dot" w:pos="4171"/>
        </w:tabs>
        <w:spacing w:line="240" w:lineRule="auto"/>
      </w:pPr>
      <w:r>
        <w:t>Antikrist</w:t>
      </w:r>
      <w:r>
        <w:tab/>
        <w:t>424, 426, 427, 429, 431, 432, 434, 435, 436, 438, 453, 692</w:t>
      </w:r>
    </w:p>
    <w:p w14:paraId="3D06A4A5" w14:textId="77777777" w:rsidR="08240A2E" w:rsidRDefault="08240A2E" w:rsidP="08240A2E">
      <w:pPr>
        <w:pStyle w:val="Rejstk1"/>
        <w:tabs>
          <w:tab w:val="right" w:leader="dot" w:pos="4171"/>
        </w:tabs>
        <w:spacing w:line="240" w:lineRule="auto"/>
      </w:pPr>
      <w:r>
        <w:t>antropocén</w:t>
      </w:r>
      <w:r>
        <w:tab/>
        <w:t>131, 492, 703</w:t>
      </w:r>
    </w:p>
    <w:p w14:paraId="42E72CF3" w14:textId="77777777" w:rsidR="08240A2E" w:rsidRDefault="08240A2E" w:rsidP="08240A2E">
      <w:pPr>
        <w:pStyle w:val="Rejstk1"/>
        <w:tabs>
          <w:tab w:val="right" w:leader="dot" w:pos="4171"/>
        </w:tabs>
        <w:spacing w:line="240" w:lineRule="auto"/>
      </w:pPr>
      <w:r>
        <w:t>antropologie</w:t>
      </w:r>
      <w:r>
        <w:tab/>
        <w:t>64</w:t>
      </w:r>
    </w:p>
    <w:p w14:paraId="39B44C68" w14:textId="77777777" w:rsidR="08240A2E" w:rsidRDefault="08240A2E" w:rsidP="08240A2E">
      <w:pPr>
        <w:pStyle w:val="Rejstk1"/>
        <w:tabs>
          <w:tab w:val="right" w:leader="dot" w:pos="4171"/>
        </w:tabs>
        <w:spacing w:line="240" w:lineRule="auto"/>
      </w:pPr>
      <w:r w:rsidRPr="001F5DB8">
        <w:rPr>
          <w:i/>
        </w:rPr>
        <w:t>apaideusía</w:t>
      </w:r>
      <w:r>
        <w:tab/>
        <w:t>5, 18, 288, 517</w:t>
      </w:r>
    </w:p>
    <w:p w14:paraId="54E3FB5C" w14:textId="77777777" w:rsidR="08240A2E" w:rsidRDefault="08240A2E" w:rsidP="08240A2E">
      <w:pPr>
        <w:pStyle w:val="Rejstk1"/>
        <w:tabs>
          <w:tab w:val="right" w:leader="dot" w:pos="4171"/>
        </w:tabs>
        <w:spacing w:line="240" w:lineRule="auto"/>
      </w:pPr>
      <w:r>
        <w:t>Apaté</w:t>
      </w:r>
      <w:r>
        <w:tab/>
        <w:t>3, 18</w:t>
      </w:r>
    </w:p>
    <w:p w14:paraId="492EE07F" w14:textId="77777777" w:rsidR="08240A2E" w:rsidRDefault="08240A2E" w:rsidP="08240A2E">
      <w:pPr>
        <w:pStyle w:val="Rejstk1"/>
        <w:tabs>
          <w:tab w:val="right" w:leader="dot" w:pos="4171"/>
        </w:tabs>
        <w:spacing w:line="240" w:lineRule="auto"/>
      </w:pPr>
      <w:r w:rsidRPr="001F5DB8">
        <w:rPr>
          <w:i/>
        </w:rPr>
        <w:t>Arbor Porphyriana</w:t>
      </w:r>
      <w:r>
        <w:tab/>
        <w:t>68, 71, 78, 93, 400, 538, 584, 702</w:t>
      </w:r>
    </w:p>
    <w:p w14:paraId="26674D71" w14:textId="77777777" w:rsidR="08240A2E" w:rsidRDefault="08240A2E" w:rsidP="08240A2E">
      <w:pPr>
        <w:pStyle w:val="Rejstk1"/>
        <w:tabs>
          <w:tab w:val="right" w:leader="dot" w:pos="4171"/>
        </w:tabs>
        <w:spacing w:line="240" w:lineRule="auto"/>
      </w:pPr>
      <w:r>
        <w:t>Arendt, H.</w:t>
      </w:r>
      <w:r>
        <w:tab/>
        <w:t>233</w:t>
      </w:r>
    </w:p>
    <w:p w14:paraId="6412B1B4" w14:textId="77777777" w:rsidR="08026E37" w:rsidRDefault="08026E37" w:rsidP="08240A2E">
      <w:pPr>
        <w:pStyle w:val="Rejstk1"/>
        <w:tabs>
          <w:tab w:val="right" w:leader="dot" w:pos="4171"/>
        </w:tabs>
        <w:spacing w:line="240" w:lineRule="auto"/>
      </w:pPr>
      <w:r>
        <w:t xml:space="preserve">Aristoteles, viz </w:t>
      </w:r>
      <w:r w:rsidRPr="08026E37">
        <w:rPr>
          <w:i/>
        </w:rPr>
        <w:t>Index locorum</w:t>
      </w:r>
    </w:p>
    <w:p w14:paraId="3C38356F" w14:textId="77777777" w:rsidR="08240A2E" w:rsidRDefault="08240A2E" w:rsidP="08240A2E">
      <w:pPr>
        <w:pStyle w:val="Rejstk1"/>
        <w:tabs>
          <w:tab w:val="right" w:leader="dot" w:pos="4171"/>
        </w:tabs>
        <w:spacing w:line="240" w:lineRule="auto"/>
      </w:pPr>
      <w:r>
        <w:t>Arnauld, A.</w:t>
      </w:r>
      <w:r>
        <w:tab/>
        <w:t>54, 64, 453</w:t>
      </w:r>
    </w:p>
    <w:p w14:paraId="5366C481" w14:textId="77777777" w:rsidR="08240A2E" w:rsidRDefault="08240A2E" w:rsidP="08240A2E">
      <w:pPr>
        <w:pStyle w:val="Rejstk1"/>
        <w:tabs>
          <w:tab w:val="right" w:leader="dot" w:pos="4171"/>
        </w:tabs>
        <w:spacing w:line="240" w:lineRule="auto"/>
      </w:pPr>
      <w:r w:rsidRPr="001F5DB8">
        <w:rPr>
          <w:i/>
        </w:rPr>
        <w:t>auctoritas</w:t>
      </w:r>
      <w:r>
        <w:tab/>
        <w:t>193</w:t>
      </w:r>
    </w:p>
    <w:p w14:paraId="288D7942" w14:textId="77777777" w:rsidR="08240A2E" w:rsidRDefault="08240A2E" w:rsidP="08240A2E">
      <w:pPr>
        <w:pStyle w:val="Rejstk1"/>
        <w:tabs>
          <w:tab w:val="right" w:leader="dot" w:pos="4171"/>
        </w:tabs>
        <w:spacing w:line="240" w:lineRule="auto"/>
      </w:pPr>
      <w:r w:rsidRPr="001F5DB8">
        <w:rPr>
          <w:i/>
        </w:rPr>
        <w:t>Aufhebung</w:t>
      </w:r>
      <w:r>
        <w:tab/>
        <w:t>397, 423, 498, 637</w:t>
      </w:r>
    </w:p>
    <w:p w14:paraId="56719E22" w14:textId="77777777" w:rsidR="08240A2E" w:rsidRDefault="08240A2E" w:rsidP="08240A2E">
      <w:pPr>
        <w:pStyle w:val="Rejstk1"/>
        <w:tabs>
          <w:tab w:val="right" w:leader="dot" w:pos="4171"/>
        </w:tabs>
        <w:spacing w:line="240" w:lineRule="auto"/>
      </w:pPr>
      <w:r>
        <w:t>Augustin</w:t>
      </w:r>
      <w:r w:rsidR="082B131B">
        <w:t xml:space="preserve">us, viz </w:t>
      </w:r>
      <w:r w:rsidR="082B131B" w:rsidRPr="082B131B">
        <w:rPr>
          <w:i/>
        </w:rPr>
        <w:t>Index locorum</w:t>
      </w:r>
    </w:p>
    <w:p w14:paraId="5FCC714A" w14:textId="77777777" w:rsidR="08240A2E" w:rsidRDefault="08240A2E" w:rsidP="08240A2E">
      <w:pPr>
        <w:pStyle w:val="Rejstk1"/>
        <w:tabs>
          <w:tab w:val="right" w:leader="dot" w:pos="4171"/>
        </w:tabs>
        <w:spacing w:line="240" w:lineRule="auto"/>
      </w:pPr>
      <w:r w:rsidRPr="001F5DB8">
        <w:rPr>
          <w:iCs/>
        </w:rPr>
        <w:t>Avempace</w:t>
      </w:r>
      <w:r>
        <w:tab/>
        <w:t>231, 297, 301, 455, 493</w:t>
      </w:r>
    </w:p>
    <w:p w14:paraId="41231626" w14:textId="77777777" w:rsidR="08240A2E" w:rsidRDefault="08240A2E" w:rsidP="08240A2E">
      <w:pPr>
        <w:pStyle w:val="Rejstk1"/>
        <w:tabs>
          <w:tab w:val="right" w:leader="dot" w:pos="4171"/>
        </w:tabs>
        <w:spacing w:line="240" w:lineRule="auto"/>
      </w:pPr>
      <w:r>
        <w:t>Avendauth</w:t>
      </w:r>
      <w:r>
        <w:tab/>
        <w:t>142</w:t>
      </w:r>
    </w:p>
    <w:p w14:paraId="7A1589B7" w14:textId="77777777" w:rsidR="08240A2E" w:rsidRDefault="08240A2E" w:rsidP="08240A2E">
      <w:pPr>
        <w:pStyle w:val="Rejstk1"/>
        <w:tabs>
          <w:tab w:val="right" w:leader="dot" w:pos="4171"/>
        </w:tabs>
        <w:spacing w:line="240" w:lineRule="auto"/>
      </w:pPr>
      <w:r>
        <w:t>Averroes</w:t>
      </w:r>
      <w:r w:rsidR="082B131B">
        <w:t xml:space="preserve">, viz </w:t>
      </w:r>
      <w:r w:rsidR="082B131B" w:rsidRPr="082B131B">
        <w:rPr>
          <w:i/>
        </w:rPr>
        <w:t>Index locorum</w:t>
      </w:r>
    </w:p>
    <w:p w14:paraId="2751307C" w14:textId="77777777" w:rsidR="08240A2E" w:rsidRDefault="08240A2E" w:rsidP="08240A2E">
      <w:pPr>
        <w:pStyle w:val="Rejstk1"/>
        <w:tabs>
          <w:tab w:val="right" w:leader="dot" w:pos="4171"/>
        </w:tabs>
        <w:spacing w:line="240" w:lineRule="auto"/>
      </w:pPr>
      <w:r>
        <w:t>averroismus</w:t>
      </w:r>
    </w:p>
    <w:p w14:paraId="70BDDA63" w14:textId="77777777" w:rsidR="08240A2E" w:rsidRDefault="08240A2E" w:rsidP="08240A2E">
      <w:pPr>
        <w:pStyle w:val="Rejstk2"/>
        <w:tabs>
          <w:tab w:val="right" w:leader="dot" w:pos="4171"/>
        </w:tabs>
        <w:spacing w:line="240" w:lineRule="auto"/>
      </w:pPr>
      <w:r>
        <w:t>Kilwardby</w:t>
      </w:r>
      <w:r>
        <w:tab/>
        <w:t>666</w:t>
      </w:r>
    </w:p>
    <w:p w14:paraId="3E7003E6" w14:textId="77777777" w:rsidR="08240A2E" w:rsidRDefault="08240A2E" w:rsidP="08240A2E">
      <w:pPr>
        <w:pStyle w:val="Rejstk2"/>
        <w:tabs>
          <w:tab w:val="right" w:leader="dot" w:pos="4171"/>
        </w:tabs>
        <w:spacing w:line="240" w:lineRule="auto"/>
      </w:pPr>
      <w:r>
        <w:t>latinský</w:t>
      </w:r>
      <w:r>
        <w:tab/>
        <w:t>8</w:t>
      </w:r>
    </w:p>
    <w:p w14:paraId="6A5252D0" w14:textId="77777777" w:rsidR="08240A2E" w:rsidRDefault="08240A2E" w:rsidP="08240A2E">
      <w:pPr>
        <w:pStyle w:val="Rejstk2"/>
        <w:tabs>
          <w:tab w:val="right" w:leader="dot" w:pos="4171"/>
        </w:tabs>
        <w:spacing w:line="240" w:lineRule="auto"/>
      </w:pPr>
      <w:r w:rsidRPr="001F5DB8">
        <w:rPr>
          <w:i/>
        </w:rPr>
        <w:t>Moderni</w:t>
      </w:r>
      <w:r>
        <w:tab/>
        <w:t>109, 271, 300, 603, 687</w:t>
      </w:r>
    </w:p>
    <w:p w14:paraId="733FE19B" w14:textId="77777777" w:rsidR="08240A2E" w:rsidRDefault="08240A2E" w:rsidP="08240A2E">
      <w:pPr>
        <w:pStyle w:val="Rejstk2"/>
        <w:tabs>
          <w:tab w:val="right" w:leader="dot" w:pos="4171"/>
        </w:tabs>
        <w:spacing w:line="240" w:lineRule="auto"/>
      </w:pPr>
      <w:r>
        <w:t>vznik</w:t>
      </w:r>
      <w:r>
        <w:tab/>
        <w:t>442, 598, 599, 600, 609</w:t>
      </w:r>
    </w:p>
    <w:p w14:paraId="74BEF4A9" w14:textId="77777777" w:rsidR="08240A2E" w:rsidRDefault="08240A2E" w:rsidP="082B131B">
      <w:pPr>
        <w:pStyle w:val="Rejstk1"/>
        <w:tabs>
          <w:tab w:val="right" w:leader="dot" w:pos="4171"/>
        </w:tabs>
        <w:spacing w:line="240" w:lineRule="auto"/>
      </w:pPr>
      <w:r>
        <w:t>Avicebron</w:t>
      </w:r>
      <w:r w:rsidR="082B131B">
        <w:t xml:space="preserve">, viz </w:t>
      </w:r>
      <w:r w:rsidR="082B131B" w:rsidRPr="082B131B">
        <w:rPr>
          <w:i/>
        </w:rPr>
        <w:t>Index locorum</w:t>
      </w:r>
      <w:r>
        <w:tab/>
        <w:t>231, 285, 448, 454, 455, 462, 584, 602, 628, 694</w:t>
      </w:r>
    </w:p>
    <w:p w14:paraId="5CBCF340" w14:textId="77777777" w:rsidR="08240A2E" w:rsidRDefault="08240A2E" w:rsidP="08240A2E">
      <w:pPr>
        <w:pStyle w:val="Rejstk1"/>
        <w:tabs>
          <w:tab w:val="right" w:leader="dot" w:pos="4171"/>
        </w:tabs>
        <w:spacing w:line="240" w:lineRule="auto"/>
      </w:pPr>
      <w:r>
        <w:t>Avicenna</w:t>
      </w:r>
      <w:r w:rsidR="082B131B">
        <w:t xml:space="preserve">, viz </w:t>
      </w:r>
      <w:r w:rsidR="082B131B" w:rsidRPr="082B131B">
        <w:rPr>
          <w:i/>
        </w:rPr>
        <w:t>Index locorum</w:t>
      </w:r>
    </w:p>
    <w:p w14:paraId="3E689588" w14:textId="77777777" w:rsidR="00C8572E" w:rsidRDefault="00C8572E" w:rsidP="00C8572E">
      <w:pPr>
        <w:pStyle w:val="Rejstk1"/>
        <w:tabs>
          <w:tab w:val="right" w:leader="dot" w:pos="4171"/>
        </w:tabs>
        <w:spacing w:line="240" w:lineRule="auto"/>
        <w:rPr>
          <w:b/>
        </w:rPr>
      </w:pPr>
    </w:p>
    <w:p w14:paraId="3E397C76" w14:textId="73DBFD5D" w:rsidR="00C8572E" w:rsidRPr="00C8572E" w:rsidRDefault="00C8572E" w:rsidP="00C8572E">
      <w:pPr>
        <w:pStyle w:val="Rejstk1"/>
        <w:tabs>
          <w:tab w:val="right" w:leader="dot" w:pos="4171"/>
        </w:tabs>
        <w:spacing w:line="240" w:lineRule="auto"/>
        <w:rPr>
          <w:b/>
        </w:rPr>
      </w:pPr>
      <w:r>
        <w:rPr>
          <w:b/>
        </w:rPr>
        <w:t>B, C</w:t>
      </w:r>
    </w:p>
    <w:p w14:paraId="57CCC1D4" w14:textId="77777777" w:rsidR="082B131B" w:rsidRPr="082B131B" w:rsidRDefault="082B131B" w:rsidP="08240A2E">
      <w:pPr>
        <w:pStyle w:val="Rejstk1"/>
        <w:tabs>
          <w:tab w:val="right" w:leader="dot" w:pos="4171"/>
        </w:tabs>
        <w:spacing w:line="240" w:lineRule="auto"/>
      </w:pPr>
      <w:r w:rsidRPr="082B131B">
        <w:t xml:space="preserve">Bacon, R., viz </w:t>
      </w:r>
      <w:r w:rsidRPr="082B131B">
        <w:rPr>
          <w:i/>
        </w:rPr>
        <w:t>Index locorum</w:t>
      </w:r>
    </w:p>
    <w:p w14:paraId="6534CB37" w14:textId="77777777" w:rsidR="08240A2E" w:rsidRDefault="08240A2E" w:rsidP="08240A2E">
      <w:pPr>
        <w:pStyle w:val="Rejstk1"/>
        <w:tabs>
          <w:tab w:val="right" w:leader="dot" w:pos="4171"/>
        </w:tabs>
        <w:spacing w:line="240" w:lineRule="auto"/>
      </w:pPr>
      <w:r w:rsidRPr="001F5DB8">
        <w:rPr>
          <w:i/>
        </w:rPr>
        <w:t>Bajt al-Hikma</w:t>
      </w:r>
      <w:r>
        <w:tab/>
        <w:t>5, 177</w:t>
      </w:r>
    </w:p>
    <w:p w14:paraId="3564D7B8" w14:textId="77777777" w:rsidR="08240A2E" w:rsidRDefault="08240A2E" w:rsidP="08240A2E">
      <w:pPr>
        <w:pStyle w:val="Rejstk1"/>
        <w:tabs>
          <w:tab w:val="right" w:leader="dot" w:pos="4171"/>
        </w:tabs>
        <w:spacing w:line="240" w:lineRule="auto"/>
      </w:pPr>
      <w:r w:rsidRPr="001F5DB8">
        <w:rPr>
          <w:i/>
        </w:rPr>
        <w:t>banksters</w:t>
      </w:r>
      <w:r>
        <w:tab/>
        <w:t>399, 429, 430, 558, 575, 652</w:t>
      </w:r>
    </w:p>
    <w:p w14:paraId="78B48668" w14:textId="77777777" w:rsidR="08240A2E" w:rsidRDefault="08240A2E" w:rsidP="08240A2E">
      <w:pPr>
        <w:pStyle w:val="Rejstk1"/>
        <w:tabs>
          <w:tab w:val="right" w:leader="dot" w:pos="4171"/>
        </w:tabs>
        <w:spacing w:line="240" w:lineRule="auto"/>
      </w:pPr>
      <w:r w:rsidRPr="001F5DB8">
        <w:rPr>
          <w:i/>
        </w:rPr>
        <w:t>Beginn</w:t>
      </w:r>
      <w:r>
        <w:tab/>
        <w:t>157</w:t>
      </w:r>
    </w:p>
    <w:p w14:paraId="40953872" w14:textId="77777777" w:rsidR="08240A2E" w:rsidRDefault="08240A2E" w:rsidP="08240A2E">
      <w:pPr>
        <w:pStyle w:val="Rejstk1"/>
        <w:tabs>
          <w:tab w:val="right" w:leader="dot" w:pos="4171"/>
        </w:tabs>
        <w:spacing w:line="240" w:lineRule="auto"/>
      </w:pPr>
      <w:r>
        <w:t>Bernard z Clairvaux</w:t>
      </w:r>
      <w:r>
        <w:tab/>
        <w:t>47, 48</w:t>
      </w:r>
    </w:p>
    <w:p w14:paraId="37A34036" w14:textId="77777777" w:rsidR="08240A2E" w:rsidRDefault="08240A2E" w:rsidP="08240A2E">
      <w:pPr>
        <w:pStyle w:val="Rejstk1"/>
        <w:tabs>
          <w:tab w:val="right" w:leader="dot" w:pos="4171"/>
        </w:tabs>
        <w:spacing w:line="240" w:lineRule="auto"/>
      </w:pPr>
      <w:r>
        <w:rPr>
          <w:lang w:eastAsia="en-US"/>
        </w:rPr>
        <w:t>Bernard ze Chartres</w:t>
      </w:r>
      <w:r>
        <w:tab/>
        <w:t>20, 66</w:t>
      </w:r>
    </w:p>
    <w:p w14:paraId="0CE32672" w14:textId="77777777" w:rsidR="08240A2E" w:rsidRDefault="08240A2E" w:rsidP="08240A2E">
      <w:pPr>
        <w:pStyle w:val="Rejstk1"/>
        <w:tabs>
          <w:tab w:val="right" w:leader="dot" w:pos="4171"/>
        </w:tabs>
        <w:spacing w:line="240" w:lineRule="auto"/>
      </w:pPr>
      <w:r w:rsidRPr="001F5DB8">
        <w:rPr>
          <w:i/>
        </w:rPr>
        <w:t>bête</w:t>
      </w:r>
      <w:r w:rsidRPr="001F5DB8">
        <w:rPr>
          <w:i/>
        </w:rPr>
        <w:noBreakHyphen/>
        <w:t>machine</w:t>
      </w:r>
      <w:r>
        <w:tab/>
        <w:t>326</w:t>
      </w:r>
    </w:p>
    <w:p w14:paraId="01469A31" w14:textId="77777777" w:rsidR="08240A2E" w:rsidRDefault="08240A2E" w:rsidP="082B131B">
      <w:pPr>
        <w:pStyle w:val="Rejstk1"/>
        <w:tabs>
          <w:tab w:val="right" w:leader="dot" w:pos="4171"/>
        </w:tabs>
        <w:spacing w:line="240" w:lineRule="auto"/>
      </w:pPr>
      <w:r>
        <w:t>Blund, J.</w:t>
      </w:r>
      <w:r w:rsidR="082B131B">
        <w:t>, vi</w:t>
      </w:r>
      <w:r>
        <w:t xml:space="preserve">z </w:t>
      </w:r>
      <w:r w:rsidRPr="001F5DB8">
        <w:rPr>
          <w:i/>
        </w:rPr>
        <w:t>Index locorum</w:t>
      </w:r>
    </w:p>
    <w:p w14:paraId="0C95F4D0" w14:textId="77777777" w:rsidR="08240A2E" w:rsidRDefault="08240A2E" w:rsidP="08240A2E">
      <w:pPr>
        <w:pStyle w:val="Rejstk1"/>
        <w:tabs>
          <w:tab w:val="right" w:leader="dot" w:pos="4171"/>
        </w:tabs>
        <w:spacing w:line="240" w:lineRule="auto"/>
      </w:pPr>
      <w:r>
        <w:rPr>
          <w:lang w:eastAsia="en-US"/>
        </w:rPr>
        <w:t>Boethius z Dácie</w:t>
      </w:r>
      <w:r>
        <w:tab/>
        <w:t>95, 340, 677</w:t>
      </w:r>
    </w:p>
    <w:p w14:paraId="6FDD8D14" w14:textId="77777777" w:rsidR="08240A2E" w:rsidRDefault="08240A2E" w:rsidP="08240A2E">
      <w:pPr>
        <w:pStyle w:val="Rejstk1"/>
        <w:tabs>
          <w:tab w:val="right" w:leader="dot" w:pos="4171"/>
        </w:tabs>
        <w:spacing w:line="240" w:lineRule="auto"/>
      </w:pPr>
      <w:r>
        <w:rPr>
          <w:lang w:eastAsia="en-US"/>
        </w:rPr>
        <w:t>Boethius, Anicius</w:t>
      </w:r>
      <w:r w:rsidR="082B131B">
        <w:rPr>
          <w:lang w:eastAsia="en-US"/>
        </w:rPr>
        <w:t xml:space="preserve">, viz </w:t>
      </w:r>
      <w:r w:rsidR="082B131B" w:rsidRPr="082B131B">
        <w:rPr>
          <w:i/>
          <w:lang w:eastAsia="en-US"/>
        </w:rPr>
        <w:t>Index locorum</w:t>
      </w:r>
      <w:r>
        <w:tab/>
        <w:t>30, 32, 50, 51, 65, 68, 76</w:t>
      </w:r>
    </w:p>
    <w:p w14:paraId="217A227B" w14:textId="77777777" w:rsidR="08240A2E" w:rsidRDefault="08240A2E" w:rsidP="08240A2E">
      <w:pPr>
        <w:pStyle w:val="Rejstk1"/>
        <w:tabs>
          <w:tab w:val="right" w:leader="dot" w:pos="4171"/>
        </w:tabs>
        <w:spacing w:line="240" w:lineRule="auto"/>
      </w:pPr>
      <w:r>
        <w:t>Bonaventura</w:t>
      </w:r>
      <w:r w:rsidR="082B131B">
        <w:t xml:space="preserve">, viz </w:t>
      </w:r>
      <w:r w:rsidR="082B131B" w:rsidRPr="082B131B">
        <w:rPr>
          <w:i/>
        </w:rPr>
        <w:t>Index locorum</w:t>
      </w:r>
    </w:p>
    <w:p w14:paraId="65897B42" w14:textId="77777777" w:rsidR="08240A2E" w:rsidRDefault="08240A2E" w:rsidP="08240A2E">
      <w:pPr>
        <w:pStyle w:val="Rejstk1"/>
        <w:tabs>
          <w:tab w:val="right" w:leader="dot" w:pos="4171"/>
        </w:tabs>
        <w:spacing w:line="240" w:lineRule="auto"/>
      </w:pPr>
      <w:r w:rsidRPr="001F5DB8">
        <w:rPr>
          <w:i/>
        </w:rPr>
        <w:t>Book of creation</w:t>
      </w:r>
      <w:r>
        <w:tab/>
        <w:t>102</w:t>
      </w:r>
    </w:p>
    <w:p w14:paraId="664A841E" w14:textId="77777777" w:rsidR="08240A2E" w:rsidRDefault="08240A2E" w:rsidP="08240A2E">
      <w:pPr>
        <w:pStyle w:val="Rejstk1"/>
        <w:tabs>
          <w:tab w:val="right" w:leader="dot" w:pos="4171"/>
        </w:tabs>
        <w:spacing w:line="240" w:lineRule="auto"/>
      </w:pPr>
      <w:r>
        <w:t>Boží Trojice</w:t>
      </w:r>
    </w:p>
    <w:p w14:paraId="53BB5760" w14:textId="2FD8195B" w:rsidR="08240A2E" w:rsidRDefault="00CB3E4F" w:rsidP="08240A2E">
      <w:pPr>
        <w:pStyle w:val="Rejstk2"/>
        <w:tabs>
          <w:tab w:val="right" w:leader="dot" w:pos="4171"/>
        </w:tabs>
        <w:spacing w:line="240" w:lineRule="auto"/>
      </w:pPr>
      <w:r>
        <w:t>Abélard</w:t>
      </w:r>
      <w:r w:rsidR="08240A2E">
        <w:tab/>
        <w:t>45, 46, 48</w:t>
      </w:r>
    </w:p>
    <w:p w14:paraId="5513EDF7" w14:textId="77777777" w:rsidR="08240A2E" w:rsidRDefault="08240A2E" w:rsidP="08240A2E">
      <w:pPr>
        <w:pStyle w:val="Rejstk1"/>
        <w:tabs>
          <w:tab w:val="right" w:leader="dot" w:pos="4171"/>
        </w:tabs>
        <w:spacing w:line="240" w:lineRule="auto"/>
      </w:pPr>
      <w:r>
        <w:t>božská komedie</w:t>
      </w:r>
      <w:r>
        <w:tab/>
        <w:t>156, 372, 623</w:t>
      </w:r>
    </w:p>
    <w:p w14:paraId="789D12BD" w14:textId="77777777" w:rsidR="08240A2E" w:rsidRDefault="08240A2E" w:rsidP="08240A2E">
      <w:pPr>
        <w:pStyle w:val="Rejstk1"/>
        <w:tabs>
          <w:tab w:val="right" w:leader="dot" w:pos="4171"/>
        </w:tabs>
        <w:spacing w:line="240" w:lineRule="auto"/>
      </w:pPr>
      <w:r w:rsidRPr="001F5DB8">
        <w:rPr>
          <w:i/>
        </w:rPr>
        <w:t>Brain in a Vat</w:t>
      </w:r>
      <w:r>
        <w:tab/>
        <w:t>678</w:t>
      </w:r>
    </w:p>
    <w:p w14:paraId="3CE4E016" w14:textId="77777777" w:rsidR="08240A2E" w:rsidRDefault="08240A2E" w:rsidP="08240A2E">
      <w:pPr>
        <w:pStyle w:val="Rejstk1"/>
        <w:tabs>
          <w:tab w:val="right" w:leader="dot" w:pos="4171"/>
        </w:tabs>
        <w:spacing w:line="240" w:lineRule="auto"/>
      </w:pPr>
      <w:r>
        <w:t>Brentano, F.</w:t>
      </w:r>
      <w:r>
        <w:tab/>
        <w:t>701</w:t>
      </w:r>
    </w:p>
    <w:p w14:paraId="3060E872" w14:textId="77777777" w:rsidR="00F07C4F" w:rsidRDefault="00F07C4F" w:rsidP="00F07C4F">
      <w:pPr>
        <w:pStyle w:val="Rejstk1"/>
        <w:tabs>
          <w:tab w:val="right" w:leader="dot" w:pos="4171"/>
        </w:tabs>
        <w:spacing w:line="240" w:lineRule="auto"/>
        <w:ind w:left="238" w:hanging="238"/>
      </w:pPr>
      <w:r>
        <w:t>Callus, D. A.</w:t>
      </w:r>
      <w:r>
        <w:tab/>
        <w:t>157, 196, 211</w:t>
      </w:r>
    </w:p>
    <w:p w14:paraId="3375768C" w14:textId="10C2263F" w:rsidR="08240A2E" w:rsidRDefault="08240A2E" w:rsidP="00F07C4F">
      <w:pPr>
        <w:pStyle w:val="Rejstk1"/>
        <w:tabs>
          <w:tab w:val="right" w:leader="dot" w:pos="4171"/>
        </w:tabs>
        <w:spacing w:line="240" w:lineRule="auto"/>
        <w:ind w:left="238" w:hanging="238"/>
      </w:pPr>
      <w:r>
        <w:t>Carnap, R.</w:t>
      </w:r>
      <w:r>
        <w:tab/>
        <w:t>398, 572</w:t>
      </w:r>
    </w:p>
    <w:p w14:paraId="3C51A86F" w14:textId="77777777" w:rsidR="08240A2E" w:rsidRDefault="08240A2E" w:rsidP="08240A2E">
      <w:pPr>
        <w:pStyle w:val="Rejstk1"/>
        <w:tabs>
          <w:tab w:val="right" w:leader="dot" w:pos="4171"/>
        </w:tabs>
        <w:spacing w:line="240" w:lineRule="auto"/>
      </w:pPr>
      <w:r w:rsidRPr="001F5DB8">
        <w:rPr>
          <w:i/>
          <w:color w:val="000000"/>
        </w:rPr>
        <w:t>causa prima</w:t>
      </w:r>
      <w:r>
        <w:tab/>
        <w:t>310, 388, 389, 403, 408, 410, 419, 422, 434, 691</w:t>
      </w:r>
    </w:p>
    <w:p w14:paraId="23B7806B" w14:textId="77777777" w:rsidR="08240A2E" w:rsidRDefault="08240A2E" w:rsidP="08240A2E">
      <w:pPr>
        <w:pStyle w:val="Rejstk1"/>
        <w:tabs>
          <w:tab w:val="right" w:leader="dot" w:pos="4171"/>
        </w:tabs>
        <w:spacing w:line="240" w:lineRule="auto"/>
      </w:pPr>
      <w:r w:rsidRPr="001F5DB8">
        <w:rPr>
          <w:i/>
        </w:rPr>
        <w:t>certum</w:t>
      </w:r>
      <w:r>
        <w:tab/>
        <w:t>20</w:t>
      </w:r>
    </w:p>
    <w:p w14:paraId="51C65765" w14:textId="77777777" w:rsidR="08240A2E" w:rsidRDefault="08240A2E" w:rsidP="08240A2E">
      <w:pPr>
        <w:pStyle w:val="Rejstk1"/>
        <w:tabs>
          <w:tab w:val="right" w:leader="dot" w:pos="4171"/>
        </w:tabs>
        <w:spacing w:line="240" w:lineRule="auto"/>
      </w:pPr>
      <w:r w:rsidRPr="001F5DB8">
        <w:rPr>
          <w:i/>
          <w:color w:val="000000"/>
        </w:rPr>
        <w:t>circulus vitiosus</w:t>
      </w:r>
      <w:r>
        <w:tab/>
        <w:t>64</w:t>
      </w:r>
    </w:p>
    <w:p w14:paraId="4113A551" w14:textId="77777777" w:rsidR="08240A2E" w:rsidRDefault="08240A2E" w:rsidP="08240A2E">
      <w:pPr>
        <w:pStyle w:val="Rejstk1"/>
        <w:tabs>
          <w:tab w:val="right" w:leader="dot" w:pos="4171"/>
        </w:tabs>
        <w:spacing w:line="240" w:lineRule="auto"/>
      </w:pPr>
      <w:r w:rsidRPr="001F5DB8">
        <w:rPr>
          <w:i/>
        </w:rPr>
        <w:t>cloud computing</w:t>
      </w:r>
      <w:r>
        <w:tab/>
        <w:t>179, 296, 300, 328, 526, 596</w:t>
      </w:r>
    </w:p>
    <w:p w14:paraId="29B9F649" w14:textId="77777777" w:rsidR="08240A2E" w:rsidRDefault="08240A2E" w:rsidP="08240A2E">
      <w:pPr>
        <w:pStyle w:val="Rejstk1"/>
        <w:tabs>
          <w:tab w:val="right" w:leader="dot" w:pos="4171"/>
        </w:tabs>
        <w:spacing w:line="240" w:lineRule="auto"/>
      </w:pPr>
      <w:r w:rsidRPr="001F5DB8">
        <w:rPr>
          <w:i/>
        </w:rPr>
        <w:t>cogito</w:t>
      </w:r>
      <w:r>
        <w:tab/>
        <w:t>10, 271, 301, 418, 601</w:t>
      </w:r>
    </w:p>
    <w:p w14:paraId="5E2A0A89" w14:textId="77777777" w:rsidR="08240A2E" w:rsidRDefault="08240A2E" w:rsidP="08240A2E">
      <w:pPr>
        <w:pStyle w:val="Rejstk1"/>
        <w:tabs>
          <w:tab w:val="right" w:leader="dot" w:pos="4171"/>
        </w:tabs>
        <w:spacing w:line="240" w:lineRule="auto"/>
      </w:pPr>
      <w:r w:rsidRPr="08437B60">
        <w:rPr>
          <w:i/>
        </w:rPr>
        <w:t>Collateralized Debt Obligation</w:t>
      </w:r>
      <w:r>
        <w:tab/>
        <w:t>429</w:t>
      </w:r>
    </w:p>
    <w:p w14:paraId="0DE31692" w14:textId="77777777" w:rsidR="08240A2E" w:rsidRDefault="08240A2E" w:rsidP="08240A2E">
      <w:pPr>
        <w:pStyle w:val="Rejstk1"/>
        <w:tabs>
          <w:tab w:val="right" w:leader="dot" w:pos="4171"/>
        </w:tabs>
        <w:spacing w:line="240" w:lineRule="auto"/>
      </w:pPr>
      <w:r w:rsidRPr="001F5DB8">
        <w:rPr>
          <w:i/>
        </w:rPr>
        <w:t>collecta</w:t>
      </w:r>
      <w:r>
        <w:tab/>
        <w:t>26, 91, 544</w:t>
      </w:r>
    </w:p>
    <w:p w14:paraId="5BE5889F" w14:textId="77777777" w:rsidR="08240A2E" w:rsidRDefault="08240A2E" w:rsidP="08240A2E">
      <w:pPr>
        <w:pStyle w:val="Rejstk1"/>
        <w:tabs>
          <w:tab w:val="right" w:leader="dot" w:pos="4171"/>
        </w:tabs>
        <w:spacing w:line="240" w:lineRule="auto"/>
      </w:pPr>
      <w:r w:rsidRPr="001F5DB8">
        <w:rPr>
          <w:i/>
        </w:rPr>
        <w:t>collectio</w:t>
      </w:r>
      <w:r>
        <w:tab/>
        <w:t>68, 84, 221, 620, 650</w:t>
      </w:r>
    </w:p>
    <w:p w14:paraId="0FB734B3" w14:textId="77777777" w:rsidR="08240A2E" w:rsidRDefault="08240A2E" w:rsidP="08240A2E">
      <w:pPr>
        <w:pStyle w:val="Rejstk1"/>
        <w:tabs>
          <w:tab w:val="right" w:leader="dot" w:pos="4171"/>
        </w:tabs>
        <w:spacing w:line="240" w:lineRule="auto"/>
      </w:pPr>
      <w:r w:rsidRPr="001F5DB8">
        <w:rPr>
          <w:i/>
        </w:rPr>
        <w:t>colligatio</w:t>
      </w:r>
      <w:r>
        <w:tab/>
        <w:t>67</w:t>
      </w:r>
    </w:p>
    <w:p w14:paraId="026D70F3" w14:textId="77777777" w:rsidR="08240A2E" w:rsidRDefault="08240A2E" w:rsidP="08240A2E">
      <w:pPr>
        <w:pStyle w:val="Rejstk1"/>
        <w:tabs>
          <w:tab w:val="right" w:leader="dot" w:pos="4171"/>
        </w:tabs>
        <w:spacing w:line="240" w:lineRule="auto"/>
      </w:pPr>
      <w:r w:rsidRPr="001F5DB8">
        <w:rPr>
          <w:i/>
        </w:rPr>
        <w:t>compositio</w:t>
      </w:r>
      <w:r>
        <w:tab/>
        <w:t>72, 78, 448, 453, 525, 537, 538, 560</w:t>
      </w:r>
    </w:p>
    <w:p w14:paraId="3B92DD6A" w14:textId="77777777" w:rsidR="08240A2E" w:rsidRDefault="08240A2E" w:rsidP="08240A2E">
      <w:pPr>
        <w:pStyle w:val="Rejstk1"/>
        <w:tabs>
          <w:tab w:val="right" w:leader="dot" w:pos="4171"/>
        </w:tabs>
        <w:spacing w:line="240" w:lineRule="auto"/>
      </w:pPr>
      <w:r w:rsidRPr="001F5DB8">
        <w:rPr>
          <w:i/>
        </w:rPr>
        <w:t>Computer Aided Design</w:t>
      </w:r>
      <w:r>
        <w:tab/>
        <w:t>558</w:t>
      </w:r>
    </w:p>
    <w:p w14:paraId="0C44FBC3" w14:textId="77777777" w:rsidR="08240A2E" w:rsidRDefault="08240A2E" w:rsidP="08240A2E">
      <w:pPr>
        <w:pStyle w:val="Rejstk1"/>
        <w:tabs>
          <w:tab w:val="right" w:leader="dot" w:pos="4171"/>
        </w:tabs>
        <w:spacing w:line="240" w:lineRule="auto"/>
      </w:pPr>
      <w:r w:rsidRPr="001F5DB8">
        <w:rPr>
          <w:i/>
        </w:rPr>
        <w:t>conceptus simpliciter simplex</w:t>
      </w:r>
      <w:r>
        <w:tab/>
        <w:t>92, 538</w:t>
      </w:r>
    </w:p>
    <w:p w14:paraId="4D7B208F" w14:textId="77777777" w:rsidR="08240A2E" w:rsidRDefault="08240A2E" w:rsidP="08240A2E">
      <w:pPr>
        <w:pStyle w:val="Rejstk1"/>
        <w:tabs>
          <w:tab w:val="right" w:leader="dot" w:pos="4171"/>
        </w:tabs>
        <w:spacing w:line="240" w:lineRule="auto"/>
      </w:pPr>
      <w:r w:rsidRPr="001F5DB8">
        <w:rPr>
          <w:i/>
        </w:rPr>
        <w:t>concretum</w:t>
      </w:r>
      <w:r>
        <w:tab/>
        <w:t>229, 458, 559, 626, 697</w:t>
      </w:r>
    </w:p>
    <w:p w14:paraId="079CFB0C" w14:textId="77777777" w:rsidR="08240A2E" w:rsidRDefault="08240A2E" w:rsidP="08240A2E">
      <w:pPr>
        <w:pStyle w:val="Rejstk2"/>
        <w:tabs>
          <w:tab w:val="right" w:leader="dot" w:pos="4171"/>
        </w:tabs>
        <w:spacing w:line="240" w:lineRule="auto"/>
      </w:pPr>
      <w:r>
        <w:t>Kilwardby</w:t>
      </w:r>
      <w:r>
        <w:tab/>
        <w:t>659</w:t>
      </w:r>
    </w:p>
    <w:p w14:paraId="2C57C0D2" w14:textId="77777777" w:rsidR="08240A2E" w:rsidRDefault="08240A2E" w:rsidP="08240A2E">
      <w:pPr>
        <w:pStyle w:val="Rejstk1"/>
        <w:tabs>
          <w:tab w:val="right" w:leader="dot" w:pos="4171"/>
        </w:tabs>
        <w:spacing w:line="240" w:lineRule="auto"/>
      </w:pPr>
      <w:r w:rsidRPr="001F5DB8">
        <w:rPr>
          <w:i/>
        </w:rPr>
        <w:t>coniunctio</w:t>
      </w:r>
    </w:p>
    <w:p w14:paraId="3D8CFA60" w14:textId="77777777" w:rsidR="08240A2E" w:rsidRDefault="08240A2E" w:rsidP="08240A2E">
      <w:pPr>
        <w:pStyle w:val="Rejstk2"/>
        <w:tabs>
          <w:tab w:val="right" w:leader="dot" w:pos="4171"/>
        </w:tabs>
        <w:spacing w:line="240" w:lineRule="auto"/>
      </w:pPr>
      <w:r>
        <w:t>Rufus</w:t>
      </w:r>
      <w:r>
        <w:tab/>
        <w:t>622</w:t>
      </w:r>
    </w:p>
    <w:p w14:paraId="646E16A8" w14:textId="77777777" w:rsidR="08240A2E" w:rsidRDefault="08240A2E" w:rsidP="08240A2E">
      <w:pPr>
        <w:pStyle w:val="Rejstk1"/>
        <w:tabs>
          <w:tab w:val="right" w:leader="dot" w:pos="4171"/>
        </w:tabs>
        <w:spacing w:line="240" w:lineRule="auto"/>
      </w:pPr>
      <w:r w:rsidRPr="001F5DB8">
        <w:rPr>
          <w:i/>
        </w:rPr>
        <w:t>creatio ex nihilo</w:t>
      </w:r>
      <w:r>
        <w:tab/>
        <w:t>58, 64, 70, 75, 293, 294, 314, 327, 328, 390, 635, 662</w:t>
      </w:r>
    </w:p>
    <w:p w14:paraId="15CD6CB2" w14:textId="2C217D31" w:rsidR="00C8572E" w:rsidRPr="00C8572E" w:rsidRDefault="00C8572E" w:rsidP="00C8572E">
      <w:pPr>
        <w:pStyle w:val="Rejstk1"/>
        <w:tabs>
          <w:tab w:val="right" w:leader="dot" w:pos="4171"/>
        </w:tabs>
        <w:spacing w:line="240" w:lineRule="auto"/>
        <w:rPr>
          <w:b/>
        </w:rPr>
      </w:pPr>
      <w:r>
        <w:rPr>
          <w:b/>
        </w:rPr>
        <w:t>D</w:t>
      </w:r>
    </w:p>
    <w:p w14:paraId="6E680671" w14:textId="77777777" w:rsidR="08240A2E" w:rsidRDefault="08240A2E" w:rsidP="08240A2E">
      <w:pPr>
        <w:pStyle w:val="Rejstk1"/>
        <w:tabs>
          <w:tab w:val="right" w:leader="dot" w:pos="4171"/>
        </w:tabs>
        <w:spacing w:line="240" w:lineRule="auto"/>
      </w:pPr>
      <w:r w:rsidRPr="08437B60">
        <w:rPr>
          <w:i/>
          <w:iCs/>
        </w:rPr>
        <w:t>dalā'il</w:t>
      </w:r>
      <w:r>
        <w:tab/>
        <w:t>389, 390, 410, 680</w:t>
      </w:r>
    </w:p>
    <w:p w14:paraId="27CC0DF8" w14:textId="77777777" w:rsidR="08240A2E" w:rsidRDefault="08240A2E" w:rsidP="08240A2E">
      <w:pPr>
        <w:pStyle w:val="Rejstk1"/>
        <w:tabs>
          <w:tab w:val="right" w:leader="dot" w:pos="4171"/>
        </w:tabs>
        <w:spacing w:line="240" w:lineRule="auto"/>
      </w:pPr>
      <w:r w:rsidRPr="001F5DB8">
        <w:rPr>
          <w:i/>
        </w:rPr>
        <w:t>damnatio memoriae</w:t>
      </w:r>
      <w:r>
        <w:tab/>
        <w:t>10, 49, 82, 113, 144, 236, 285, 325, 329, 347, 490, 661, 695</w:t>
      </w:r>
    </w:p>
    <w:p w14:paraId="5A40B2BE" w14:textId="77777777" w:rsidR="08240A2E" w:rsidRDefault="08240A2E" w:rsidP="08240A2E">
      <w:pPr>
        <w:pStyle w:val="Rejstk1"/>
        <w:tabs>
          <w:tab w:val="right" w:leader="dot" w:pos="4171"/>
        </w:tabs>
        <w:spacing w:line="240" w:lineRule="auto"/>
      </w:pPr>
      <w:r>
        <w:t>Dante, A.</w:t>
      </w:r>
      <w:r>
        <w:tab/>
        <w:t>92, 224, 331, 626</w:t>
      </w:r>
    </w:p>
    <w:p w14:paraId="7F160015" w14:textId="77777777" w:rsidR="082A724F" w:rsidRDefault="082A724F" w:rsidP="08240A2E">
      <w:pPr>
        <w:pStyle w:val="Rejstk1"/>
        <w:tabs>
          <w:tab w:val="right" w:leader="dot" w:pos="4171"/>
        </w:tabs>
        <w:spacing w:line="240" w:lineRule="auto"/>
        <w:rPr>
          <w:i/>
        </w:rPr>
      </w:pPr>
      <w:r>
        <w:rPr>
          <w:i/>
        </w:rPr>
        <w:t>dativus archegeticus</w:t>
      </w:r>
      <w:r>
        <w:tab/>
        <w:t>1, 3, 345</w:t>
      </w:r>
    </w:p>
    <w:p w14:paraId="0A0E1666" w14:textId="77777777" w:rsidR="08240A2E" w:rsidRDefault="082A724F" w:rsidP="08240A2E">
      <w:pPr>
        <w:pStyle w:val="Rejstk1"/>
        <w:tabs>
          <w:tab w:val="right" w:leader="dot" w:pos="4171"/>
        </w:tabs>
        <w:spacing w:line="240" w:lineRule="auto"/>
      </w:pPr>
      <w:r>
        <w:rPr>
          <w:i/>
        </w:rPr>
        <w:t>dativus metaphysicus</w:t>
      </w:r>
      <w:r w:rsidR="08240A2E">
        <w:tab/>
        <w:t>1, 15, 17, 18, 34, 35, 37, 55, 118, 127, 136, 137, 161, 222, 245, 289, 357, 365, 393, 396, 421, 488, 505, 522, 544, 550, 640, 647, 696</w:t>
      </w:r>
    </w:p>
    <w:p w14:paraId="597E08C4" w14:textId="77777777" w:rsidR="08240A2E" w:rsidRDefault="08240A2E" w:rsidP="08240A2E">
      <w:pPr>
        <w:pStyle w:val="Rejstk1"/>
        <w:tabs>
          <w:tab w:val="right" w:leader="dot" w:pos="4171"/>
        </w:tabs>
        <w:spacing w:line="240" w:lineRule="auto"/>
      </w:pPr>
      <w:r w:rsidRPr="001F5DB8">
        <w:rPr>
          <w:i/>
        </w:rPr>
        <w:t>dativus obiectivus</w:t>
      </w:r>
      <w:r>
        <w:tab/>
        <w:t>359, 631</w:t>
      </w:r>
    </w:p>
    <w:p w14:paraId="53232C81" w14:textId="77777777" w:rsidR="08240A2E" w:rsidRDefault="08240A2E" w:rsidP="08240A2E">
      <w:pPr>
        <w:pStyle w:val="Rejstk1"/>
        <w:tabs>
          <w:tab w:val="right" w:leader="dot" w:pos="4171"/>
        </w:tabs>
        <w:spacing w:line="240" w:lineRule="auto"/>
      </w:pPr>
      <w:r w:rsidRPr="001F5DB8">
        <w:rPr>
          <w:i/>
        </w:rPr>
        <w:t>dativus possessivus</w:t>
      </w:r>
      <w:r>
        <w:tab/>
        <w:t>384</w:t>
      </w:r>
    </w:p>
    <w:p w14:paraId="076F40E3" w14:textId="77777777" w:rsidR="08240A2E" w:rsidRDefault="08240A2E" w:rsidP="08240A2E">
      <w:pPr>
        <w:pStyle w:val="Rejstk1"/>
        <w:tabs>
          <w:tab w:val="right" w:leader="dot" w:pos="4171"/>
        </w:tabs>
        <w:spacing w:line="240" w:lineRule="auto"/>
      </w:pPr>
      <w:r w:rsidRPr="001F5DB8">
        <w:rPr>
          <w:i/>
        </w:rPr>
        <w:t>dativus principalis</w:t>
      </w:r>
      <w:r w:rsidR="088A3E26">
        <w:tab/>
        <w:t>1, 63</w:t>
      </w:r>
    </w:p>
    <w:p w14:paraId="5218E6C8" w14:textId="77777777" w:rsidR="08240A2E" w:rsidRDefault="08240A2E" w:rsidP="08240A2E">
      <w:pPr>
        <w:pStyle w:val="Rejstk1"/>
        <w:tabs>
          <w:tab w:val="right" w:leader="dot" w:pos="4171"/>
        </w:tabs>
        <w:spacing w:line="240" w:lineRule="auto"/>
      </w:pPr>
      <w:r w:rsidRPr="001F5DB8">
        <w:rPr>
          <w:i/>
        </w:rPr>
        <w:t>Dator formarum</w:t>
      </w:r>
      <w:r>
        <w:tab/>
        <w:t>122, 141, 197, 281, 349, 373, 629</w:t>
      </w:r>
    </w:p>
    <w:p w14:paraId="205A67D7" w14:textId="77777777" w:rsidR="08240A2E" w:rsidRDefault="08240A2E" w:rsidP="08240A2E">
      <w:pPr>
        <w:pStyle w:val="Rejstk1"/>
        <w:tabs>
          <w:tab w:val="right" w:leader="dot" w:pos="4171"/>
        </w:tabs>
        <w:spacing w:line="240" w:lineRule="auto"/>
      </w:pPr>
      <w:r>
        <w:t>David z</w:t>
      </w:r>
      <w:r w:rsidR="08437B60">
        <w:t> </w:t>
      </w:r>
      <w:r>
        <w:t>Dinantu</w:t>
      </w:r>
      <w:r w:rsidR="08437B60">
        <w:t xml:space="preserve">, viz </w:t>
      </w:r>
      <w:r w:rsidR="08437B60" w:rsidRPr="08437B60">
        <w:rPr>
          <w:i/>
        </w:rPr>
        <w:t>Index locorum</w:t>
      </w:r>
      <w:r>
        <w:tab/>
        <w:t>144, 145, 168, 211, 241, 270, 317, 318, 333, 414, 438, 583, 589, 610, 616</w:t>
      </w:r>
    </w:p>
    <w:p w14:paraId="474E6D22" w14:textId="77777777" w:rsidR="08240A2E" w:rsidRDefault="08240A2E" w:rsidP="08240A2E">
      <w:pPr>
        <w:pStyle w:val="Rejstk1"/>
        <w:tabs>
          <w:tab w:val="right" w:leader="dot" w:pos="4171"/>
        </w:tabs>
        <w:spacing w:line="240" w:lineRule="auto"/>
      </w:pPr>
      <w:r>
        <w:t>dedukce</w:t>
      </w:r>
    </w:p>
    <w:p w14:paraId="26BD9CE0" w14:textId="77777777" w:rsidR="08240A2E" w:rsidRDefault="08240A2E" w:rsidP="08240A2E">
      <w:pPr>
        <w:pStyle w:val="Rejstk2"/>
        <w:tabs>
          <w:tab w:val="right" w:leader="dot" w:pos="4171"/>
        </w:tabs>
        <w:spacing w:line="240" w:lineRule="auto"/>
      </w:pPr>
      <w:r>
        <w:t>moderní</w:t>
      </w:r>
      <w:r>
        <w:tab/>
        <w:t>431</w:t>
      </w:r>
    </w:p>
    <w:p w14:paraId="533809F3" w14:textId="77777777" w:rsidR="08240A2E" w:rsidRDefault="08240A2E" w:rsidP="08240A2E">
      <w:pPr>
        <w:pStyle w:val="Rejstk2"/>
        <w:tabs>
          <w:tab w:val="right" w:leader="dot" w:pos="4171"/>
        </w:tabs>
        <w:spacing w:line="240" w:lineRule="auto"/>
      </w:pPr>
      <w:r>
        <w:t>objektivní</w:t>
      </w:r>
      <w:r>
        <w:tab/>
        <w:t>80, 301, 379, 395, 401, 419, 424, 456, 561</w:t>
      </w:r>
    </w:p>
    <w:p w14:paraId="27E2A18B" w14:textId="77777777" w:rsidR="08240A2E" w:rsidRDefault="08240A2E" w:rsidP="08240A2E">
      <w:pPr>
        <w:pStyle w:val="Rejstk1"/>
        <w:tabs>
          <w:tab w:val="right" w:leader="dot" w:pos="4171"/>
        </w:tabs>
        <w:spacing w:line="240" w:lineRule="auto"/>
      </w:pPr>
      <w:r>
        <w:t>deismus</w:t>
      </w:r>
      <w:r>
        <w:tab/>
        <w:t>150</w:t>
      </w:r>
    </w:p>
    <w:p w14:paraId="3C5C2B69" w14:textId="77777777" w:rsidR="08240A2E" w:rsidRDefault="08240A2E" w:rsidP="08240A2E">
      <w:pPr>
        <w:pStyle w:val="Rejstk1"/>
        <w:tabs>
          <w:tab w:val="right" w:leader="dot" w:pos="4171"/>
        </w:tabs>
        <w:spacing w:line="240" w:lineRule="auto"/>
      </w:pPr>
      <w:r>
        <w:t>dějinnost</w:t>
      </w:r>
    </w:p>
    <w:p w14:paraId="36FA33C9" w14:textId="77777777" w:rsidR="08240A2E" w:rsidRDefault="08240A2E" w:rsidP="08240A2E">
      <w:pPr>
        <w:pStyle w:val="Rejstk2"/>
        <w:tabs>
          <w:tab w:val="right" w:leader="dot" w:pos="4171"/>
        </w:tabs>
        <w:spacing w:line="240" w:lineRule="auto"/>
      </w:pPr>
      <w:r>
        <w:t>porretáni</w:t>
      </w:r>
      <w:r>
        <w:tab/>
        <w:t>102</w:t>
      </w:r>
    </w:p>
    <w:p w14:paraId="37A17B4A" w14:textId="77777777" w:rsidR="08240A2E" w:rsidRDefault="08240A2E" w:rsidP="08240A2E">
      <w:pPr>
        <w:pStyle w:val="Rejstk1"/>
        <w:tabs>
          <w:tab w:val="right" w:leader="dot" w:pos="4171"/>
        </w:tabs>
        <w:spacing w:line="240" w:lineRule="auto"/>
      </w:pPr>
      <w:r>
        <w:t>dekonstrukce</w:t>
      </w:r>
      <w:r>
        <w:tab/>
        <w:t>10</w:t>
      </w:r>
    </w:p>
    <w:p w14:paraId="4903947B" w14:textId="77777777" w:rsidR="08240A2E" w:rsidRDefault="08240A2E" w:rsidP="08240A2E">
      <w:pPr>
        <w:pStyle w:val="Rejstk1"/>
        <w:tabs>
          <w:tab w:val="right" w:leader="dot" w:pos="4171"/>
        </w:tabs>
        <w:spacing w:line="240" w:lineRule="auto"/>
      </w:pPr>
      <w:r>
        <w:t>dekret artistů 1272</w:t>
      </w:r>
      <w:r>
        <w:tab/>
        <w:t>340, 686, 688</w:t>
      </w:r>
    </w:p>
    <w:p w14:paraId="29642148" w14:textId="77777777" w:rsidR="08240A2E" w:rsidRDefault="08240A2E" w:rsidP="08240A2E">
      <w:pPr>
        <w:pStyle w:val="Rejstk1"/>
        <w:tabs>
          <w:tab w:val="right" w:leader="dot" w:pos="4171"/>
        </w:tabs>
        <w:spacing w:line="240" w:lineRule="auto"/>
      </w:pPr>
      <w:r>
        <w:t>Delfy</w:t>
      </w:r>
      <w:r>
        <w:tab/>
        <w:t>3</w:t>
      </w:r>
    </w:p>
    <w:p w14:paraId="015D7E88" w14:textId="77777777" w:rsidR="08240A2E" w:rsidRDefault="08240A2E" w:rsidP="08240A2E">
      <w:pPr>
        <w:pStyle w:val="Rejstk1"/>
        <w:tabs>
          <w:tab w:val="right" w:leader="dot" w:pos="4171"/>
        </w:tabs>
        <w:spacing w:line="240" w:lineRule="auto"/>
      </w:pPr>
      <w:r>
        <w:t>demiurg</w:t>
      </w:r>
      <w:r>
        <w:tab/>
        <w:t>20, 28, 264, 280, 308, 576, 668, 698, 701</w:t>
      </w:r>
    </w:p>
    <w:p w14:paraId="7ACBE3CC" w14:textId="77777777" w:rsidR="08240A2E" w:rsidRDefault="08240A2E" w:rsidP="08240A2E">
      <w:pPr>
        <w:pStyle w:val="Rejstk1"/>
        <w:tabs>
          <w:tab w:val="right" w:leader="dot" w:pos="4171"/>
        </w:tabs>
        <w:spacing w:line="240" w:lineRule="auto"/>
      </w:pPr>
      <w:r w:rsidRPr="001F5DB8">
        <w:rPr>
          <w:i/>
        </w:rPr>
        <w:t>demonstratio</w:t>
      </w:r>
      <w:r>
        <w:tab/>
        <w:t>246</w:t>
      </w:r>
    </w:p>
    <w:p w14:paraId="7AEEF262" w14:textId="23710093" w:rsidR="08240A2E" w:rsidRDefault="00CB3E4F" w:rsidP="08240A2E">
      <w:pPr>
        <w:pStyle w:val="Rejstk2"/>
        <w:tabs>
          <w:tab w:val="right" w:leader="dot" w:pos="4171"/>
        </w:tabs>
        <w:spacing w:line="240" w:lineRule="auto"/>
      </w:pPr>
      <w:r>
        <w:t>Abélard</w:t>
      </w:r>
      <w:r w:rsidR="08240A2E">
        <w:tab/>
        <w:t>37, 41, 42</w:t>
      </w:r>
    </w:p>
    <w:p w14:paraId="3BD586EC" w14:textId="77777777" w:rsidR="08240A2E" w:rsidRDefault="08240A2E" w:rsidP="08240A2E">
      <w:pPr>
        <w:pStyle w:val="Rejstk2"/>
        <w:tabs>
          <w:tab w:val="right" w:leader="dot" w:pos="4171"/>
        </w:tabs>
        <w:spacing w:line="240" w:lineRule="auto"/>
      </w:pPr>
      <w:r>
        <w:t>Albert</w:t>
      </w:r>
      <w:r>
        <w:tab/>
        <w:t>253, 255, 262, 263, 387</w:t>
      </w:r>
    </w:p>
    <w:p w14:paraId="09A5E62D" w14:textId="77777777" w:rsidR="08240A2E" w:rsidRDefault="08240A2E" w:rsidP="08240A2E">
      <w:pPr>
        <w:pStyle w:val="Rejstk2"/>
        <w:tabs>
          <w:tab w:val="right" w:leader="dot" w:pos="4171"/>
        </w:tabs>
        <w:spacing w:line="240" w:lineRule="auto"/>
      </w:pPr>
      <w:r>
        <w:t>Aristoteles</w:t>
      </w:r>
      <w:r>
        <w:tab/>
        <w:t>60, 247, 505, 686, 691</w:t>
      </w:r>
    </w:p>
    <w:p w14:paraId="3C7C090A" w14:textId="77777777" w:rsidR="08240A2E" w:rsidRDefault="08240A2E" w:rsidP="08240A2E">
      <w:pPr>
        <w:pStyle w:val="Rejstk2"/>
        <w:tabs>
          <w:tab w:val="right" w:leader="dot" w:pos="4171"/>
        </w:tabs>
        <w:spacing w:line="240" w:lineRule="auto"/>
      </w:pPr>
      <w:r>
        <w:t>Averroes</w:t>
      </w:r>
      <w:r>
        <w:tab/>
        <w:t>44, 380, 512, 552, 660</w:t>
      </w:r>
    </w:p>
    <w:p w14:paraId="7D73A36A" w14:textId="77777777" w:rsidR="08240A2E" w:rsidRDefault="08240A2E" w:rsidP="08240A2E">
      <w:pPr>
        <w:pStyle w:val="Rejstk2"/>
        <w:tabs>
          <w:tab w:val="right" w:leader="dot" w:pos="4171"/>
        </w:tabs>
        <w:spacing w:line="240" w:lineRule="auto"/>
      </w:pPr>
      <w:r>
        <w:t>druhý averroismus</w:t>
      </w:r>
      <w:r>
        <w:tab/>
        <w:t>252, 258, 262</w:t>
      </w:r>
    </w:p>
    <w:p w14:paraId="58511118" w14:textId="77777777" w:rsidR="08240A2E" w:rsidRDefault="08240A2E" w:rsidP="08240A2E">
      <w:pPr>
        <w:pStyle w:val="Rejstk2"/>
        <w:tabs>
          <w:tab w:val="right" w:leader="dot" w:pos="4171"/>
        </w:tabs>
        <w:spacing w:line="240" w:lineRule="auto"/>
      </w:pPr>
      <w:r>
        <w:t>Grosseteste</w:t>
      </w:r>
      <w:r>
        <w:tab/>
        <w:t>372, 378, 400</w:t>
      </w:r>
    </w:p>
    <w:p w14:paraId="39099BAA" w14:textId="77777777" w:rsidR="08240A2E" w:rsidRDefault="08240A2E" w:rsidP="08240A2E">
      <w:pPr>
        <w:pStyle w:val="Rejstk2"/>
        <w:tabs>
          <w:tab w:val="right" w:leader="dot" w:pos="4171"/>
        </w:tabs>
        <w:spacing w:line="240" w:lineRule="auto"/>
      </w:pPr>
      <w:r>
        <w:t>Kilwardby</w:t>
      </w:r>
      <w:r>
        <w:tab/>
        <w:t>257, 642, 647</w:t>
      </w:r>
    </w:p>
    <w:p w14:paraId="40A58959" w14:textId="77777777" w:rsidR="08240A2E" w:rsidRDefault="08240A2E" w:rsidP="08240A2E">
      <w:pPr>
        <w:pStyle w:val="Rejstk2"/>
        <w:tabs>
          <w:tab w:val="right" w:leader="dot" w:pos="4171"/>
        </w:tabs>
        <w:spacing w:line="240" w:lineRule="auto"/>
      </w:pPr>
      <w:r>
        <w:t>moderna</w:t>
      </w:r>
      <w:r>
        <w:tab/>
        <w:t>327</w:t>
      </w:r>
    </w:p>
    <w:p w14:paraId="2992E4D7" w14:textId="77777777" w:rsidR="08240A2E" w:rsidRDefault="08240A2E" w:rsidP="08240A2E">
      <w:pPr>
        <w:pStyle w:val="Rejstk2"/>
        <w:tabs>
          <w:tab w:val="right" w:leader="dot" w:pos="4171"/>
        </w:tabs>
        <w:spacing w:line="240" w:lineRule="auto"/>
      </w:pPr>
      <w:r>
        <w:t>první averroismus</w:t>
      </w:r>
      <w:r>
        <w:tab/>
        <w:t>395</w:t>
      </w:r>
    </w:p>
    <w:p w14:paraId="0361C6DA" w14:textId="77777777" w:rsidR="08240A2E" w:rsidRDefault="08240A2E" w:rsidP="08240A2E">
      <w:pPr>
        <w:pStyle w:val="Rejstk2"/>
        <w:tabs>
          <w:tab w:val="right" w:leader="dot" w:pos="4171"/>
        </w:tabs>
        <w:spacing w:line="240" w:lineRule="auto"/>
      </w:pPr>
      <w:r>
        <w:t>Rufus</w:t>
      </w:r>
      <w:r>
        <w:tab/>
        <w:t>508, 509, 517, 519, 535, 544, 546, 564, 565, 570</w:t>
      </w:r>
    </w:p>
    <w:p w14:paraId="59165C41" w14:textId="77777777" w:rsidR="08240A2E" w:rsidRDefault="08240A2E" w:rsidP="08240A2E">
      <w:pPr>
        <w:pStyle w:val="Rejstk1"/>
        <w:tabs>
          <w:tab w:val="right" w:leader="dot" w:pos="4171"/>
        </w:tabs>
        <w:spacing w:line="240" w:lineRule="auto"/>
      </w:pPr>
      <w:r w:rsidRPr="001F5DB8">
        <w:rPr>
          <w:i/>
        </w:rPr>
        <w:t>denudatio</w:t>
      </w:r>
      <w:r>
        <w:tab/>
        <w:t>163, 694</w:t>
      </w:r>
    </w:p>
    <w:p w14:paraId="49DE1942" w14:textId="77777777" w:rsidR="08240A2E" w:rsidRDefault="08240A2E" w:rsidP="08240A2E">
      <w:pPr>
        <w:pStyle w:val="Rejstk2"/>
        <w:tabs>
          <w:tab w:val="right" w:leader="dot" w:pos="4171"/>
        </w:tabs>
        <w:spacing w:line="240" w:lineRule="auto"/>
      </w:pPr>
      <w:r>
        <w:t>Anselm</w:t>
      </w:r>
      <w:r>
        <w:tab/>
        <w:t>24</w:t>
      </w:r>
    </w:p>
    <w:p w14:paraId="687BC52D" w14:textId="77777777" w:rsidR="08240A2E" w:rsidRDefault="08240A2E" w:rsidP="08240A2E">
      <w:pPr>
        <w:pStyle w:val="Rejstk2"/>
        <w:tabs>
          <w:tab w:val="right" w:leader="dot" w:pos="4171"/>
        </w:tabs>
        <w:spacing w:line="240" w:lineRule="auto"/>
      </w:pPr>
      <w:r>
        <w:t>Avicenna</w:t>
      </w:r>
      <w:r>
        <w:tab/>
        <w:t>84</w:t>
      </w:r>
    </w:p>
    <w:p w14:paraId="6F484522" w14:textId="77777777" w:rsidR="08240A2E" w:rsidRDefault="08240A2E" w:rsidP="08240A2E">
      <w:pPr>
        <w:pStyle w:val="Rejstk2"/>
        <w:tabs>
          <w:tab w:val="right" w:leader="dot" w:pos="4171"/>
        </w:tabs>
        <w:spacing w:line="240" w:lineRule="auto"/>
      </w:pPr>
      <w:r>
        <w:t>druhý averroismus</w:t>
      </w:r>
      <w:r>
        <w:tab/>
        <w:t>176, 234, 278, 303, 408, 451, 567, 673</w:t>
      </w:r>
    </w:p>
    <w:p w14:paraId="429117DF" w14:textId="77777777" w:rsidR="08240A2E" w:rsidRDefault="08240A2E" w:rsidP="08240A2E">
      <w:pPr>
        <w:pStyle w:val="Rejstk2"/>
        <w:tabs>
          <w:tab w:val="right" w:leader="dot" w:pos="4171"/>
        </w:tabs>
        <w:spacing w:line="240" w:lineRule="auto"/>
      </w:pPr>
      <w:r>
        <w:t>Grosseteste</w:t>
      </w:r>
      <w:r>
        <w:tab/>
        <w:t>375</w:t>
      </w:r>
    </w:p>
    <w:p w14:paraId="534D9CDA" w14:textId="77777777" w:rsidR="08240A2E" w:rsidRDefault="08240A2E" w:rsidP="08240A2E">
      <w:pPr>
        <w:pStyle w:val="Rejstk2"/>
        <w:tabs>
          <w:tab w:val="right" w:leader="dot" w:pos="4171"/>
        </w:tabs>
        <w:spacing w:line="240" w:lineRule="auto"/>
      </w:pPr>
      <w:r>
        <w:t>moderna</w:t>
      </w:r>
      <w:r>
        <w:tab/>
        <w:t>139</w:t>
      </w:r>
    </w:p>
    <w:p w14:paraId="6387450A" w14:textId="77777777" w:rsidR="08240A2E" w:rsidRDefault="08240A2E" w:rsidP="08240A2E">
      <w:pPr>
        <w:pStyle w:val="Rejstk2"/>
        <w:tabs>
          <w:tab w:val="right" w:leader="dot" w:pos="4171"/>
        </w:tabs>
        <w:spacing w:line="240" w:lineRule="auto"/>
      </w:pPr>
      <w:r>
        <w:t>porretáni</w:t>
      </w:r>
      <w:r>
        <w:tab/>
        <w:t>135</w:t>
      </w:r>
    </w:p>
    <w:p w14:paraId="57707569" w14:textId="77777777" w:rsidR="08240A2E" w:rsidRDefault="08240A2E" w:rsidP="08240A2E">
      <w:pPr>
        <w:pStyle w:val="Rejstk2"/>
        <w:tabs>
          <w:tab w:val="right" w:leader="dot" w:pos="4171"/>
        </w:tabs>
        <w:spacing w:line="240" w:lineRule="auto"/>
      </w:pPr>
      <w:r>
        <w:t>Rufus</w:t>
      </w:r>
      <w:r>
        <w:tab/>
        <w:t>548, 592</w:t>
      </w:r>
    </w:p>
    <w:p w14:paraId="105522C0" w14:textId="77777777" w:rsidR="08240A2E" w:rsidRDefault="08240A2E" w:rsidP="08240A2E">
      <w:pPr>
        <w:pStyle w:val="Rejstk2"/>
        <w:tabs>
          <w:tab w:val="right" w:leader="dot" w:pos="4171"/>
        </w:tabs>
        <w:spacing w:line="240" w:lineRule="auto"/>
      </w:pPr>
      <w:r>
        <w:t xml:space="preserve">škola </w:t>
      </w:r>
      <w:r w:rsidRPr="001F5DB8">
        <w:rPr>
          <w:i/>
        </w:rPr>
        <w:t>Nominales</w:t>
      </w:r>
      <w:r>
        <w:tab/>
        <w:t>67</w:t>
      </w:r>
    </w:p>
    <w:p w14:paraId="2D22DEEB" w14:textId="77777777" w:rsidR="08240A2E" w:rsidRDefault="08240A2E" w:rsidP="08240A2E">
      <w:pPr>
        <w:pStyle w:val="Rejstk1"/>
        <w:tabs>
          <w:tab w:val="right" w:leader="dot" w:pos="4171"/>
        </w:tabs>
        <w:spacing w:line="240" w:lineRule="auto"/>
      </w:pPr>
      <w:r>
        <w:t>derivace</w:t>
      </w:r>
      <w:r>
        <w:tab/>
        <w:t>72, 73, 78, 79, 89</w:t>
      </w:r>
    </w:p>
    <w:p w14:paraId="2DCE9592" w14:textId="77777777" w:rsidR="08240A2E" w:rsidRDefault="08240A2E" w:rsidP="08240A2E">
      <w:pPr>
        <w:pStyle w:val="Rejstk1"/>
        <w:tabs>
          <w:tab w:val="right" w:leader="dot" w:pos="4171"/>
        </w:tabs>
        <w:spacing w:line="240" w:lineRule="auto"/>
      </w:pPr>
      <w:r>
        <w:t>Derrida, J.</w:t>
      </w:r>
      <w:r>
        <w:tab/>
        <w:t>10, 64, 289</w:t>
      </w:r>
    </w:p>
    <w:p w14:paraId="694CBE5B" w14:textId="77777777" w:rsidR="08240A2E" w:rsidRDefault="08240A2E" w:rsidP="08240A2E">
      <w:pPr>
        <w:pStyle w:val="Rejstk1"/>
        <w:tabs>
          <w:tab w:val="right" w:leader="dot" w:pos="4171"/>
        </w:tabs>
        <w:spacing w:line="240" w:lineRule="auto"/>
      </w:pPr>
      <w:r>
        <w:t>Descartes, R.</w:t>
      </w:r>
      <w:r w:rsidR="08437B60">
        <w:t xml:space="preserve">, viz </w:t>
      </w:r>
      <w:r w:rsidR="08437B60" w:rsidRPr="08437B60">
        <w:rPr>
          <w:i/>
        </w:rPr>
        <w:t>Index locorum</w:t>
      </w:r>
      <w:r>
        <w:tab/>
        <w:t>10, 168, 207, 213, 271, 321, 326, 376, 388, 418, 526, 548, 572, 596, 623, 656</w:t>
      </w:r>
    </w:p>
    <w:p w14:paraId="402F8B5D" w14:textId="77777777" w:rsidR="08240A2E" w:rsidRDefault="08240A2E" w:rsidP="08240A2E">
      <w:pPr>
        <w:pStyle w:val="Rejstk1"/>
        <w:tabs>
          <w:tab w:val="right" w:leader="dot" w:pos="4171"/>
        </w:tabs>
        <w:spacing w:line="240" w:lineRule="auto"/>
      </w:pPr>
      <w:r w:rsidRPr="001F5DB8">
        <w:rPr>
          <w:i/>
        </w:rPr>
        <w:t>destructio primis</w:t>
      </w:r>
      <w:r>
        <w:tab/>
        <w:t>166, 524</w:t>
      </w:r>
    </w:p>
    <w:p w14:paraId="7B02549C" w14:textId="77777777" w:rsidR="08240A2E" w:rsidRDefault="08240A2E" w:rsidP="08240A2E">
      <w:pPr>
        <w:pStyle w:val="Rejstk1"/>
        <w:tabs>
          <w:tab w:val="right" w:leader="dot" w:pos="4171"/>
        </w:tabs>
        <w:spacing w:line="240" w:lineRule="auto"/>
      </w:pPr>
      <w:r w:rsidRPr="001F5DB8">
        <w:rPr>
          <w:i/>
        </w:rPr>
        <w:t>deus otiosus</w:t>
      </w:r>
      <w:r>
        <w:tab/>
        <w:t>3, 389</w:t>
      </w:r>
    </w:p>
    <w:p w14:paraId="2374DF1B" w14:textId="77777777" w:rsidR="08240A2E" w:rsidRDefault="08240A2E" w:rsidP="08240A2E">
      <w:pPr>
        <w:pStyle w:val="Rejstk1"/>
        <w:tabs>
          <w:tab w:val="right" w:leader="dot" w:pos="4171"/>
        </w:tabs>
        <w:spacing w:line="240" w:lineRule="auto"/>
      </w:pPr>
      <w:r w:rsidRPr="001F5DB8">
        <w:rPr>
          <w:i/>
        </w:rPr>
        <w:t>deus sive natura</w:t>
      </w:r>
      <w:r>
        <w:tab/>
        <w:t>149</w:t>
      </w:r>
    </w:p>
    <w:p w14:paraId="559FE127" w14:textId="77777777" w:rsidR="08240A2E" w:rsidRDefault="08240A2E" w:rsidP="08240A2E">
      <w:pPr>
        <w:pStyle w:val="Rejstk1"/>
        <w:tabs>
          <w:tab w:val="right" w:leader="dot" w:pos="4171"/>
        </w:tabs>
        <w:spacing w:line="240" w:lineRule="auto"/>
      </w:pPr>
      <w:r>
        <w:t>diafanum</w:t>
      </w:r>
    </w:p>
    <w:p w14:paraId="718D86E8" w14:textId="77777777" w:rsidR="08240A2E" w:rsidRDefault="08240A2E" w:rsidP="08240A2E">
      <w:pPr>
        <w:pStyle w:val="Rejstk2"/>
        <w:tabs>
          <w:tab w:val="right" w:leader="dot" w:pos="4171"/>
        </w:tabs>
        <w:spacing w:line="240" w:lineRule="auto"/>
      </w:pPr>
      <w:r>
        <w:t>Albert</w:t>
      </w:r>
      <w:r>
        <w:tab/>
        <w:t>271, 320</w:t>
      </w:r>
    </w:p>
    <w:p w14:paraId="5D7D6824" w14:textId="77777777" w:rsidR="08240A2E" w:rsidRDefault="08240A2E" w:rsidP="08240A2E">
      <w:pPr>
        <w:pStyle w:val="Rejstk2"/>
        <w:tabs>
          <w:tab w:val="right" w:leader="dot" w:pos="4171"/>
        </w:tabs>
        <w:spacing w:line="240" w:lineRule="auto"/>
      </w:pPr>
      <w:r>
        <w:t>Alvernus</w:t>
      </w:r>
      <w:r>
        <w:tab/>
        <w:t>205</w:t>
      </w:r>
    </w:p>
    <w:p w14:paraId="2F1122A4" w14:textId="77777777" w:rsidR="08240A2E" w:rsidRDefault="08240A2E" w:rsidP="08240A2E">
      <w:pPr>
        <w:pStyle w:val="Rejstk2"/>
        <w:tabs>
          <w:tab w:val="right" w:leader="dot" w:pos="4171"/>
        </w:tabs>
        <w:spacing w:line="240" w:lineRule="auto"/>
      </w:pPr>
      <w:r>
        <w:t>Averroes</w:t>
      </w:r>
      <w:r>
        <w:tab/>
        <w:t>592</w:t>
      </w:r>
    </w:p>
    <w:p w14:paraId="3F6AC731" w14:textId="77777777" w:rsidR="08240A2E" w:rsidRDefault="08240A2E" w:rsidP="08240A2E">
      <w:pPr>
        <w:pStyle w:val="Rejstk2"/>
        <w:tabs>
          <w:tab w:val="right" w:leader="dot" w:pos="4171"/>
        </w:tabs>
        <w:spacing w:line="240" w:lineRule="auto"/>
      </w:pPr>
      <w:r>
        <w:t>Blund</w:t>
      </w:r>
      <w:r>
        <w:tab/>
        <w:t>116, 124, 567, 624</w:t>
      </w:r>
    </w:p>
    <w:p w14:paraId="7E6885ED" w14:textId="77777777" w:rsidR="08240A2E" w:rsidRDefault="08240A2E" w:rsidP="08240A2E">
      <w:pPr>
        <w:pStyle w:val="Rejstk2"/>
        <w:tabs>
          <w:tab w:val="right" w:leader="dot" w:pos="4171"/>
        </w:tabs>
        <w:spacing w:line="240" w:lineRule="auto"/>
      </w:pPr>
      <w:r>
        <w:t>David z Dinantu</w:t>
      </w:r>
      <w:r>
        <w:tab/>
        <w:t>145, 150</w:t>
      </w:r>
    </w:p>
    <w:p w14:paraId="0AE6E138" w14:textId="77777777" w:rsidR="08240A2E" w:rsidRDefault="08240A2E" w:rsidP="08240A2E">
      <w:pPr>
        <w:pStyle w:val="Rejstk2"/>
        <w:tabs>
          <w:tab w:val="right" w:leader="dot" w:pos="4171"/>
        </w:tabs>
        <w:spacing w:line="240" w:lineRule="auto"/>
      </w:pPr>
      <w:r>
        <w:t>dvojí funkce</w:t>
      </w:r>
      <w:r>
        <w:tab/>
        <w:t>167</w:t>
      </w:r>
    </w:p>
    <w:p w14:paraId="565AC83B" w14:textId="77777777" w:rsidR="08240A2E" w:rsidRDefault="08240A2E" w:rsidP="08240A2E">
      <w:pPr>
        <w:pStyle w:val="Rejstk2"/>
        <w:tabs>
          <w:tab w:val="right" w:leader="dot" w:pos="4171"/>
        </w:tabs>
        <w:spacing w:line="240" w:lineRule="auto"/>
      </w:pPr>
      <w:r>
        <w:t>první averroismus</w:t>
      </w:r>
      <w:r>
        <w:tab/>
        <w:t>624</w:t>
      </w:r>
    </w:p>
    <w:p w14:paraId="73C063AF" w14:textId="77777777" w:rsidR="08240A2E" w:rsidRDefault="08240A2E" w:rsidP="08240A2E">
      <w:pPr>
        <w:pStyle w:val="Rejstk2"/>
        <w:tabs>
          <w:tab w:val="right" w:leader="dot" w:pos="4171"/>
        </w:tabs>
        <w:spacing w:line="240" w:lineRule="auto"/>
      </w:pPr>
      <w:r>
        <w:t>Rufus</w:t>
      </w:r>
      <w:r>
        <w:tab/>
        <w:t>529</w:t>
      </w:r>
    </w:p>
    <w:p w14:paraId="36BD3220" w14:textId="77777777" w:rsidR="08240A2E" w:rsidRDefault="08240A2E" w:rsidP="08240A2E">
      <w:pPr>
        <w:pStyle w:val="Rejstk1"/>
        <w:tabs>
          <w:tab w:val="right" w:leader="dot" w:pos="4171"/>
        </w:tabs>
        <w:spacing w:line="240" w:lineRule="auto"/>
      </w:pPr>
      <w:r>
        <w:t>diakosmos</w:t>
      </w:r>
      <w:r>
        <w:tab/>
        <w:t>103, 413, 456, 556, 666</w:t>
      </w:r>
    </w:p>
    <w:p w14:paraId="1338D1B7" w14:textId="77777777" w:rsidR="08240A2E" w:rsidRDefault="08240A2E" w:rsidP="08240A2E">
      <w:pPr>
        <w:pStyle w:val="Rejstk1"/>
        <w:tabs>
          <w:tab w:val="right" w:leader="dot" w:pos="4171"/>
        </w:tabs>
        <w:spacing w:line="240" w:lineRule="auto"/>
      </w:pPr>
      <w:r>
        <w:t xml:space="preserve">dialog </w:t>
      </w:r>
      <w:r w:rsidRPr="001F5DB8">
        <w:rPr>
          <w:i/>
        </w:rPr>
        <w:t>Timaios</w:t>
      </w:r>
      <w:r>
        <w:tab/>
        <w:t>151, 280, 297, 413, 455</w:t>
      </w:r>
    </w:p>
    <w:p w14:paraId="05D21607" w14:textId="77777777" w:rsidR="08240A2E" w:rsidRDefault="08240A2E" w:rsidP="08240A2E">
      <w:pPr>
        <w:pStyle w:val="Rejstk1"/>
        <w:tabs>
          <w:tab w:val="right" w:leader="dot" w:pos="4171"/>
        </w:tabs>
        <w:spacing w:line="240" w:lineRule="auto"/>
      </w:pPr>
      <w:r w:rsidRPr="001F5DB8">
        <w:rPr>
          <w:i/>
        </w:rPr>
        <w:t>die Sage</w:t>
      </w:r>
      <w:r>
        <w:tab/>
        <w:t>2</w:t>
      </w:r>
    </w:p>
    <w:p w14:paraId="67A3B506" w14:textId="77777777" w:rsidR="08240A2E" w:rsidRDefault="08240A2E" w:rsidP="08240A2E">
      <w:pPr>
        <w:pStyle w:val="Rejstk1"/>
        <w:tabs>
          <w:tab w:val="right" w:leader="dot" w:pos="4171"/>
        </w:tabs>
        <w:spacing w:line="240" w:lineRule="auto"/>
      </w:pPr>
      <w:r w:rsidRPr="001F5DB8">
        <w:rPr>
          <w:color w:val="000000"/>
        </w:rPr>
        <w:t>différ</w:t>
      </w:r>
      <w:r w:rsidRPr="001F5DB8">
        <w:rPr>
          <w:i/>
          <w:color w:val="000000"/>
        </w:rPr>
        <w:t>a</w:t>
      </w:r>
      <w:r w:rsidRPr="001F5DB8">
        <w:rPr>
          <w:color w:val="000000"/>
        </w:rPr>
        <w:t>nce</w:t>
      </w:r>
      <w:r>
        <w:tab/>
        <w:t>64</w:t>
      </w:r>
    </w:p>
    <w:p w14:paraId="0E64A703" w14:textId="77777777" w:rsidR="08240A2E" w:rsidRDefault="08240A2E" w:rsidP="08240A2E">
      <w:pPr>
        <w:pStyle w:val="Rejstk1"/>
        <w:tabs>
          <w:tab w:val="right" w:leader="dot" w:pos="4171"/>
        </w:tabs>
        <w:spacing w:line="240" w:lineRule="auto"/>
      </w:pPr>
      <w:r w:rsidRPr="001F5DB8">
        <w:rPr>
          <w:i/>
        </w:rPr>
        <w:t>discrete videamus</w:t>
      </w:r>
      <w:r>
        <w:tab/>
        <w:t>69, 76, 78, 79, 80, 86, 107, 136, 280, 307, 354, 395, 447, 496, 508, 531, 540, 572, 611, 630, 657</w:t>
      </w:r>
    </w:p>
    <w:p w14:paraId="4667CCEC" w14:textId="77777777" w:rsidR="08240A2E" w:rsidRDefault="08240A2E" w:rsidP="08240A2E">
      <w:pPr>
        <w:pStyle w:val="Rejstk1"/>
        <w:tabs>
          <w:tab w:val="right" w:leader="dot" w:pos="4171"/>
        </w:tabs>
        <w:spacing w:line="240" w:lineRule="auto"/>
      </w:pPr>
      <w:r>
        <w:t>druhý averroismus</w:t>
      </w:r>
    </w:p>
    <w:p w14:paraId="172D415E" w14:textId="77777777" w:rsidR="08240A2E" w:rsidRDefault="08240A2E" w:rsidP="08240A2E">
      <w:pPr>
        <w:pStyle w:val="Rejstk2"/>
        <w:tabs>
          <w:tab w:val="right" w:leader="dot" w:pos="4171"/>
        </w:tabs>
        <w:spacing w:line="240" w:lineRule="auto"/>
      </w:pPr>
      <w:r w:rsidRPr="001F5DB8">
        <w:rPr>
          <w:i/>
        </w:rPr>
        <w:t>augustinisme avicennisant</w:t>
      </w:r>
      <w:r>
        <w:tab/>
        <w:t xml:space="preserve">215, 238, 242, 323, </w:t>
      </w:r>
      <w:r w:rsidR="08437B60">
        <w:t xml:space="preserve">334, </w:t>
      </w:r>
      <w:r>
        <w:t>479, 494</w:t>
      </w:r>
    </w:p>
    <w:p w14:paraId="3E317F80" w14:textId="77777777" w:rsidR="08240A2E" w:rsidRDefault="08240A2E" w:rsidP="08240A2E">
      <w:pPr>
        <w:pStyle w:val="Rejstk2"/>
        <w:tabs>
          <w:tab w:val="right" w:leader="dot" w:pos="4171"/>
        </w:tabs>
        <w:spacing w:line="240" w:lineRule="auto"/>
      </w:pPr>
      <w:r w:rsidRPr="001F5DB8">
        <w:rPr>
          <w:i/>
          <w:lang w:eastAsia="en-US"/>
        </w:rPr>
        <w:t>Averroistae</w:t>
      </w:r>
      <w:r>
        <w:tab/>
        <w:t>100, 101, 295, 337, 348, 446</w:t>
      </w:r>
    </w:p>
    <w:p w14:paraId="0BF52EDD" w14:textId="77777777" w:rsidR="08240A2E" w:rsidRDefault="08240A2E" w:rsidP="08240A2E">
      <w:pPr>
        <w:pStyle w:val="Rejstk2"/>
        <w:tabs>
          <w:tab w:val="right" w:leader="dot" w:pos="4171"/>
        </w:tabs>
        <w:spacing w:line="240" w:lineRule="auto"/>
      </w:pPr>
      <w:r w:rsidRPr="001F5DB8">
        <w:rPr>
          <w:i/>
        </w:rPr>
        <w:t>doctores Latini</w:t>
      </w:r>
      <w:r>
        <w:tab/>
        <w:t>280, 337, 481, 514, 612, 628</w:t>
      </w:r>
    </w:p>
    <w:p w14:paraId="58139433" w14:textId="77777777" w:rsidR="08240A2E" w:rsidRDefault="08240A2E" w:rsidP="08240A2E">
      <w:pPr>
        <w:pStyle w:val="Rejstk2"/>
        <w:tabs>
          <w:tab w:val="right" w:leader="dot" w:pos="4171"/>
        </w:tabs>
        <w:spacing w:line="240" w:lineRule="auto"/>
      </w:pPr>
      <w:r>
        <w:t>dualismus poznání</w:t>
      </w:r>
      <w:r>
        <w:tab/>
        <w:t>181</w:t>
      </w:r>
    </w:p>
    <w:p w14:paraId="0229400C" w14:textId="77777777" w:rsidR="08240A2E" w:rsidRDefault="08240A2E" w:rsidP="08240A2E">
      <w:pPr>
        <w:pStyle w:val="Rejstk2"/>
        <w:tabs>
          <w:tab w:val="right" w:leader="dot" w:pos="4171"/>
        </w:tabs>
        <w:spacing w:line="240" w:lineRule="auto"/>
      </w:pPr>
      <w:r>
        <w:t>esence</w:t>
      </w:r>
      <w:r>
        <w:tab/>
        <w:t>651</w:t>
      </w:r>
    </w:p>
    <w:p w14:paraId="038AC5D5" w14:textId="77777777" w:rsidR="08240A2E" w:rsidRDefault="08240A2E" w:rsidP="08240A2E">
      <w:pPr>
        <w:pStyle w:val="Rejstk2"/>
        <w:tabs>
          <w:tab w:val="right" w:leader="dot" w:pos="4171"/>
        </w:tabs>
        <w:spacing w:line="240" w:lineRule="auto"/>
      </w:pPr>
      <w:r w:rsidRPr="001F5DB8">
        <w:rPr>
          <w:i/>
        </w:rPr>
        <w:t>Grammatici</w:t>
      </w:r>
      <w:r>
        <w:tab/>
        <w:t>200, 216, 218, 229, 337, 345, 405, 406, 414, 626, 640</w:t>
      </w:r>
    </w:p>
    <w:p w14:paraId="7DD43C11" w14:textId="77777777" w:rsidR="08240A2E" w:rsidRDefault="08240A2E" w:rsidP="08240A2E">
      <w:pPr>
        <w:pStyle w:val="Rejstk2"/>
        <w:tabs>
          <w:tab w:val="right" w:leader="dot" w:pos="4171"/>
        </w:tabs>
        <w:spacing w:line="240" w:lineRule="auto"/>
      </w:pPr>
      <w:r>
        <w:t>humanitní vědy</w:t>
      </w:r>
      <w:r>
        <w:tab/>
        <w:t>496</w:t>
      </w:r>
    </w:p>
    <w:p w14:paraId="52115825" w14:textId="77777777" w:rsidR="08240A2E" w:rsidRDefault="08240A2E" w:rsidP="08240A2E">
      <w:pPr>
        <w:pStyle w:val="Rejstk2"/>
        <w:tabs>
          <w:tab w:val="right" w:leader="dot" w:pos="4171"/>
        </w:tabs>
        <w:spacing w:line="240" w:lineRule="auto"/>
      </w:pPr>
      <w:r>
        <w:t>kritika Alberta</w:t>
      </w:r>
      <w:r>
        <w:tab/>
        <w:t>262, 291</w:t>
      </w:r>
    </w:p>
    <w:p w14:paraId="7E6F576F" w14:textId="77777777" w:rsidR="08240A2E" w:rsidRDefault="08240A2E" w:rsidP="08240A2E">
      <w:pPr>
        <w:pStyle w:val="Rejstk2"/>
        <w:tabs>
          <w:tab w:val="right" w:leader="dot" w:pos="4171"/>
        </w:tabs>
        <w:spacing w:line="240" w:lineRule="auto"/>
      </w:pPr>
      <w:r>
        <w:t>kritika Aristotela</w:t>
      </w:r>
      <w:r>
        <w:tab/>
        <w:t>437</w:t>
      </w:r>
    </w:p>
    <w:p w14:paraId="107A2EEB" w14:textId="77777777" w:rsidR="08240A2E" w:rsidRDefault="08240A2E" w:rsidP="08240A2E">
      <w:pPr>
        <w:pStyle w:val="Rejstk2"/>
        <w:tabs>
          <w:tab w:val="right" w:leader="dot" w:pos="4171"/>
        </w:tabs>
        <w:spacing w:line="240" w:lineRule="auto"/>
      </w:pPr>
      <w:r>
        <w:t>kritika Bacona</w:t>
      </w:r>
      <w:r>
        <w:tab/>
        <w:t>98, 281, 320, 513, 614, 669, 683</w:t>
      </w:r>
    </w:p>
    <w:p w14:paraId="3A66AEEF" w14:textId="77777777" w:rsidR="08240A2E" w:rsidRDefault="08240A2E" w:rsidP="08240A2E">
      <w:pPr>
        <w:pStyle w:val="Rejstk2"/>
        <w:tabs>
          <w:tab w:val="right" w:leader="dot" w:pos="4171"/>
        </w:tabs>
        <w:spacing w:line="240" w:lineRule="auto"/>
      </w:pPr>
      <w:r>
        <w:t>ontoteologie</w:t>
      </w:r>
      <w:r>
        <w:tab/>
        <w:t>435</w:t>
      </w:r>
    </w:p>
    <w:p w14:paraId="1051DE32" w14:textId="77777777" w:rsidR="08240A2E" w:rsidRDefault="08240A2E" w:rsidP="08240A2E">
      <w:pPr>
        <w:pStyle w:val="Rejstk2"/>
        <w:tabs>
          <w:tab w:val="right" w:leader="dot" w:pos="4171"/>
        </w:tabs>
        <w:spacing w:line="240" w:lineRule="auto"/>
      </w:pPr>
      <w:r w:rsidRPr="001F5DB8">
        <w:rPr>
          <w:i/>
        </w:rPr>
        <w:t>opinio Latinorum</w:t>
      </w:r>
      <w:r>
        <w:tab/>
        <w:t>100, 257, 276, 347, 477, 483, 648, 690</w:t>
      </w:r>
    </w:p>
    <w:p w14:paraId="2FC5CFB3" w14:textId="77777777" w:rsidR="08240A2E" w:rsidRDefault="08240A2E" w:rsidP="08240A2E">
      <w:pPr>
        <w:pStyle w:val="Rejstk2"/>
        <w:tabs>
          <w:tab w:val="right" w:leader="dot" w:pos="4171"/>
        </w:tabs>
        <w:spacing w:line="240" w:lineRule="auto"/>
      </w:pPr>
      <w:r w:rsidRPr="001F5DB8">
        <w:rPr>
          <w:i/>
        </w:rPr>
        <w:t>scientia</w:t>
      </w:r>
      <w:r>
        <w:tab/>
        <w:t>449, 511</w:t>
      </w:r>
    </w:p>
    <w:p w14:paraId="52BDCDF5" w14:textId="77777777" w:rsidR="08240A2E" w:rsidRDefault="08240A2E" w:rsidP="08240A2E">
      <w:pPr>
        <w:pStyle w:val="Rejstk2"/>
        <w:tabs>
          <w:tab w:val="right" w:leader="dot" w:pos="4171"/>
        </w:tabs>
        <w:spacing w:line="240" w:lineRule="auto"/>
      </w:pPr>
      <w:r w:rsidRPr="001F5DB8">
        <w:rPr>
          <w:i/>
        </w:rPr>
        <w:t>sequaces Aristotelis</w:t>
      </w:r>
      <w:r>
        <w:tab/>
        <w:t>112, 195, 197, 199, 203, 207, 211, 212, 239, 242, 322, 331, 348, 394, 397, 482, 489, 490, 492, 498, 578</w:t>
      </w:r>
    </w:p>
    <w:p w14:paraId="5693183A" w14:textId="77777777" w:rsidR="08240A2E" w:rsidRDefault="08240A2E" w:rsidP="08240A2E">
      <w:pPr>
        <w:pStyle w:val="Rejstk2"/>
        <w:tabs>
          <w:tab w:val="right" w:leader="dot" w:pos="4171"/>
        </w:tabs>
        <w:spacing w:line="240" w:lineRule="auto"/>
      </w:pPr>
      <w:r w:rsidRPr="001F5DB8">
        <w:rPr>
          <w:i/>
        </w:rPr>
        <w:t>sophistae Italici</w:t>
      </w:r>
      <w:r>
        <w:tab/>
        <w:t>200, 222, 225</w:t>
      </w:r>
    </w:p>
    <w:p w14:paraId="64155C4F" w14:textId="77777777" w:rsidR="08240A2E" w:rsidRDefault="08240A2E" w:rsidP="08240A2E">
      <w:pPr>
        <w:pStyle w:val="Rejstk2"/>
        <w:tabs>
          <w:tab w:val="right" w:leader="dot" w:pos="4171"/>
        </w:tabs>
        <w:spacing w:line="240" w:lineRule="auto"/>
      </w:pPr>
      <w:r w:rsidRPr="001F5DB8">
        <w:rPr>
          <w:i/>
          <w:lang w:eastAsia="en-US"/>
        </w:rPr>
        <w:t>sophistae Latini</w:t>
      </w:r>
      <w:r>
        <w:tab/>
        <w:t>201, 206, 215, 216, 225, 236, 242, 256, 277, 280, 291, 315, 320, 331, 334, 347, 397, 411, 476, 481, 485, 494, 504, 587, 615, 670, 684</w:t>
      </w:r>
    </w:p>
    <w:p w14:paraId="22832A7A" w14:textId="77777777" w:rsidR="08240A2E" w:rsidRDefault="08240A2E" w:rsidP="08240A2E">
      <w:pPr>
        <w:pStyle w:val="Rejstk2"/>
        <w:tabs>
          <w:tab w:val="right" w:leader="dot" w:pos="4171"/>
        </w:tabs>
        <w:spacing w:line="240" w:lineRule="auto"/>
      </w:pPr>
      <w:r>
        <w:t>Toledská škola</w:t>
      </w:r>
      <w:r>
        <w:tab/>
        <w:t>215</w:t>
      </w:r>
    </w:p>
    <w:p w14:paraId="1D0153C1" w14:textId="77777777" w:rsidR="08240A2E" w:rsidRDefault="08240A2E" w:rsidP="08240A2E">
      <w:pPr>
        <w:pStyle w:val="Rejstk2"/>
        <w:tabs>
          <w:tab w:val="right" w:leader="dot" w:pos="4171"/>
        </w:tabs>
        <w:spacing w:line="240" w:lineRule="auto"/>
      </w:pPr>
      <w:r>
        <w:t>vznik</w:t>
      </w:r>
      <w:r>
        <w:tab/>
        <w:t>49, 216, 444, 460, 478, 481, 484, 494</w:t>
      </w:r>
    </w:p>
    <w:p w14:paraId="56F6C6E3" w14:textId="77777777" w:rsidR="08240A2E" w:rsidRDefault="08240A2E" w:rsidP="08437B60">
      <w:pPr>
        <w:pStyle w:val="Rejstk1"/>
        <w:tabs>
          <w:tab w:val="right" w:leader="dot" w:pos="4171"/>
        </w:tabs>
        <w:spacing w:line="240" w:lineRule="auto"/>
      </w:pPr>
      <w:r>
        <w:t>dualismus</w:t>
      </w:r>
      <w:r>
        <w:tab/>
        <w:t>501</w:t>
      </w:r>
    </w:p>
    <w:p w14:paraId="5438E002" w14:textId="77777777" w:rsidR="08240A2E" w:rsidRDefault="08240A2E" w:rsidP="08240A2E">
      <w:pPr>
        <w:pStyle w:val="Rejstk1"/>
        <w:tabs>
          <w:tab w:val="right" w:leader="dot" w:pos="4171"/>
        </w:tabs>
        <w:spacing w:line="240" w:lineRule="auto"/>
      </w:pPr>
      <w:r>
        <w:t>duše</w:t>
      </w:r>
    </w:p>
    <w:p w14:paraId="24F69BFF" w14:textId="77777777" w:rsidR="08240A2E" w:rsidRDefault="08240A2E" w:rsidP="08240A2E">
      <w:pPr>
        <w:pStyle w:val="Rejstk2"/>
        <w:tabs>
          <w:tab w:val="right" w:leader="dot" w:pos="4171"/>
        </w:tabs>
        <w:spacing w:line="240" w:lineRule="auto"/>
      </w:pPr>
      <w:r w:rsidRPr="001F5DB8">
        <w:rPr>
          <w:i/>
        </w:rPr>
        <w:t>potentia substantialis</w:t>
      </w:r>
      <w:r>
        <w:tab/>
        <w:t>502</w:t>
      </w:r>
    </w:p>
    <w:p w14:paraId="23CB555D" w14:textId="77777777" w:rsidR="08240A2E" w:rsidRDefault="08240A2E" w:rsidP="08240A2E">
      <w:pPr>
        <w:pStyle w:val="Rejstk2"/>
        <w:tabs>
          <w:tab w:val="right" w:leader="dot" w:pos="4171"/>
        </w:tabs>
        <w:spacing w:line="240" w:lineRule="auto"/>
      </w:pPr>
      <w:r>
        <w:t>první averroismus</w:t>
      </w:r>
      <w:r>
        <w:tab/>
        <w:t>210</w:t>
      </w:r>
    </w:p>
    <w:p w14:paraId="0FB4E107" w14:textId="35DF2F50" w:rsidR="00C8572E" w:rsidRPr="00C8572E" w:rsidRDefault="00C8572E" w:rsidP="00C8572E">
      <w:pPr>
        <w:pStyle w:val="Rejstk1"/>
        <w:tabs>
          <w:tab w:val="right" w:leader="dot" w:pos="4171"/>
        </w:tabs>
        <w:spacing w:line="240" w:lineRule="auto"/>
        <w:rPr>
          <w:b/>
        </w:rPr>
      </w:pPr>
      <w:r>
        <w:rPr>
          <w:b/>
        </w:rPr>
        <w:t>E</w:t>
      </w:r>
    </w:p>
    <w:p w14:paraId="4A968E73" w14:textId="77777777" w:rsidR="08240A2E" w:rsidRDefault="08240A2E" w:rsidP="08240A2E">
      <w:pPr>
        <w:pStyle w:val="Rejstk1"/>
        <w:tabs>
          <w:tab w:val="right" w:leader="dot" w:pos="4171"/>
        </w:tabs>
        <w:spacing w:line="240" w:lineRule="auto"/>
      </w:pPr>
      <w:r w:rsidRPr="001F5DB8">
        <w:rPr>
          <w:i/>
        </w:rPr>
        <w:t>École cathédrale de Paris</w:t>
      </w:r>
      <w:r>
        <w:tab/>
        <w:t xml:space="preserve">50, 92, </w:t>
      </w:r>
      <w:r w:rsidR="08CC1156">
        <w:t xml:space="preserve">240, 325, 353, </w:t>
      </w:r>
      <w:r>
        <w:t>400</w:t>
      </w:r>
    </w:p>
    <w:p w14:paraId="0CE3BE6D" w14:textId="77777777" w:rsidR="08240A2E" w:rsidRDefault="08240A2E" w:rsidP="08240A2E">
      <w:pPr>
        <w:pStyle w:val="Rejstk1"/>
        <w:tabs>
          <w:tab w:val="right" w:leader="dot" w:pos="4171"/>
        </w:tabs>
        <w:spacing w:line="240" w:lineRule="auto"/>
      </w:pPr>
      <w:r>
        <w:t>ekonomie</w:t>
      </w:r>
      <w:r>
        <w:tab/>
        <w:t>10, 454, 575</w:t>
      </w:r>
    </w:p>
    <w:p w14:paraId="180D1D9D" w14:textId="77777777" w:rsidR="08240A2E" w:rsidRDefault="08240A2E" w:rsidP="08240A2E">
      <w:pPr>
        <w:pStyle w:val="Rejstk1"/>
        <w:tabs>
          <w:tab w:val="right" w:leader="dot" w:pos="4171"/>
        </w:tabs>
        <w:spacing w:line="240" w:lineRule="auto"/>
      </w:pPr>
      <w:r>
        <w:t>Eliášův krkavec</w:t>
      </w:r>
      <w:r>
        <w:tab/>
        <w:t>601</w:t>
      </w:r>
    </w:p>
    <w:p w14:paraId="4A35C47C" w14:textId="77777777" w:rsidR="08240A2E" w:rsidRDefault="08240A2E" w:rsidP="08240A2E">
      <w:pPr>
        <w:pStyle w:val="Rejstk1"/>
        <w:tabs>
          <w:tab w:val="right" w:leader="dot" w:pos="4171"/>
        </w:tabs>
        <w:spacing w:line="240" w:lineRule="auto"/>
      </w:pPr>
      <w:r>
        <w:t>emanace</w:t>
      </w:r>
      <w:r>
        <w:tab/>
        <w:t>195, 202, 349, 390, 531</w:t>
      </w:r>
    </w:p>
    <w:p w14:paraId="0BBFA895" w14:textId="77777777" w:rsidR="08240A2E" w:rsidRDefault="08240A2E" w:rsidP="08240A2E">
      <w:pPr>
        <w:pStyle w:val="Rejstk1"/>
        <w:tabs>
          <w:tab w:val="right" w:leader="dot" w:pos="4171"/>
        </w:tabs>
        <w:spacing w:line="240" w:lineRule="auto"/>
      </w:pPr>
      <w:r w:rsidRPr="001F5DB8">
        <w:rPr>
          <w:i/>
        </w:rPr>
        <w:t>ens</w:t>
      </w:r>
      <w:r>
        <w:t xml:space="preserve"> </w:t>
      </w:r>
      <w:r w:rsidRPr="001F5DB8">
        <w:rPr>
          <w:i/>
        </w:rPr>
        <w:t>debile</w:t>
      </w:r>
      <w:r>
        <w:tab/>
        <w:t>411</w:t>
      </w:r>
    </w:p>
    <w:p w14:paraId="52B3264F" w14:textId="77777777" w:rsidR="08240A2E" w:rsidRDefault="08240A2E" w:rsidP="08240A2E">
      <w:pPr>
        <w:pStyle w:val="Rejstk1"/>
        <w:tabs>
          <w:tab w:val="right" w:leader="dot" w:pos="4171"/>
        </w:tabs>
        <w:spacing w:line="240" w:lineRule="auto"/>
      </w:pPr>
      <w:r w:rsidRPr="001F5DB8">
        <w:rPr>
          <w:i/>
        </w:rPr>
        <w:t>ens diminutum</w:t>
      </w:r>
      <w:r>
        <w:tab/>
        <w:t>535</w:t>
      </w:r>
    </w:p>
    <w:p w14:paraId="3DD177CC" w14:textId="77777777" w:rsidR="08240A2E" w:rsidRDefault="08240A2E" w:rsidP="08240A2E">
      <w:pPr>
        <w:pStyle w:val="Rejstk1"/>
        <w:tabs>
          <w:tab w:val="right" w:leader="dot" w:pos="4171"/>
        </w:tabs>
        <w:spacing w:line="240" w:lineRule="auto"/>
      </w:pPr>
      <w:r w:rsidRPr="001F5DB8">
        <w:rPr>
          <w:i/>
        </w:rPr>
        <w:t>ens inquantum ens</w:t>
      </w:r>
      <w:r>
        <w:tab/>
        <w:t>15, 46, 98, 228, 261, 293, 302, 307, 343, 385, 408, 540, 543, 658, 700</w:t>
      </w:r>
    </w:p>
    <w:p w14:paraId="27ED9172" w14:textId="77777777" w:rsidR="08240A2E" w:rsidRDefault="08240A2E" w:rsidP="08240A2E">
      <w:pPr>
        <w:pStyle w:val="Rejstk1"/>
        <w:tabs>
          <w:tab w:val="right" w:leader="dot" w:pos="4171"/>
        </w:tabs>
        <w:spacing w:line="240" w:lineRule="auto"/>
      </w:pPr>
      <w:r w:rsidRPr="001F5DB8">
        <w:rPr>
          <w:i/>
        </w:rPr>
        <w:t>ens rationis</w:t>
      </w:r>
      <w:r>
        <w:tab/>
        <w:t>319</w:t>
      </w:r>
    </w:p>
    <w:p w14:paraId="5FF18F10" w14:textId="77777777" w:rsidR="08240A2E" w:rsidRDefault="08240A2E" w:rsidP="08240A2E">
      <w:pPr>
        <w:pStyle w:val="Rejstk1"/>
        <w:tabs>
          <w:tab w:val="right" w:leader="dot" w:pos="4171"/>
        </w:tabs>
        <w:spacing w:line="240" w:lineRule="auto"/>
      </w:pPr>
      <w:r w:rsidRPr="001F5DB8">
        <w:rPr>
          <w:i/>
        </w:rPr>
        <w:t>ens ratum</w:t>
      </w:r>
    </w:p>
    <w:p w14:paraId="510A520C" w14:textId="77777777" w:rsidR="08240A2E" w:rsidRDefault="08240A2E" w:rsidP="08240A2E">
      <w:pPr>
        <w:pStyle w:val="Rejstk2"/>
        <w:tabs>
          <w:tab w:val="right" w:leader="dot" w:pos="4171"/>
        </w:tabs>
        <w:spacing w:line="240" w:lineRule="auto"/>
      </w:pPr>
      <w:r>
        <w:t>Albert</w:t>
      </w:r>
      <w:r>
        <w:tab/>
        <w:t>327</w:t>
      </w:r>
    </w:p>
    <w:p w14:paraId="13FA6C28" w14:textId="77777777" w:rsidR="08240A2E" w:rsidRDefault="08240A2E" w:rsidP="08240A2E">
      <w:pPr>
        <w:pStyle w:val="Rejstk2"/>
        <w:tabs>
          <w:tab w:val="right" w:leader="dot" w:pos="4171"/>
        </w:tabs>
        <w:spacing w:line="240" w:lineRule="auto"/>
      </w:pPr>
      <w:r>
        <w:t>Avicenna</w:t>
      </w:r>
      <w:r>
        <w:tab/>
        <w:t>327</w:t>
      </w:r>
    </w:p>
    <w:p w14:paraId="0913ED30" w14:textId="77777777" w:rsidR="08240A2E" w:rsidRDefault="08240A2E" w:rsidP="08240A2E">
      <w:pPr>
        <w:pStyle w:val="Rejstk2"/>
        <w:tabs>
          <w:tab w:val="right" w:leader="dot" w:pos="4171"/>
        </w:tabs>
        <w:spacing w:line="240" w:lineRule="auto"/>
      </w:pPr>
      <w:r>
        <w:t>druhý averroismus</w:t>
      </w:r>
      <w:r>
        <w:tab/>
        <w:t>289, 328, 411</w:t>
      </w:r>
    </w:p>
    <w:p w14:paraId="5C7EF5D2" w14:textId="77777777" w:rsidR="08240A2E" w:rsidRDefault="08240A2E" w:rsidP="08240A2E">
      <w:pPr>
        <w:pStyle w:val="Rejstk2"/>
        <w:tabs>
          <w:tab w:val="right" w:leader="dot" w:pos="4171"/>
        </w:tabs>
        <w:spacing w:line="240" w:lineRule="auto"/>
      </w:pPr>
      <w:r>
        <w:t>moderna</w:t>
      </w:r>
      <w:r>
        <w:tab/>
        <w:t>403</w:t>
      </w:r>
    </w:p>
    <w:p w14:paraId="0DA959A6" w14:textId="77777777" w:rsidR="08240A2E" w:rsidRDefault="08240A2E" w:rsidP="08240A2E">
      <w:pPr>
        <w:pStyle w:val="Rejstk2"/>
        <w:tabs>
          <w:tab w:val="right" w:leader="dot" w:pos="4171"/>
        </w:tabs>
        <w:spacing w:line="240" w:lineRule="auto"/>
      </w:pPr>
      <w:r>
        <w:t>první averroismus</w:t>
      </w:r>
      <w:r>
        <w:tab/>
        <w:t>328</w:t>
      </w:r>
    </w:p>
    <w:p w14:paraId="34E0FF69" w14:textId="77777777" w:rsidR="08240A2E" w:rsidRDefault="08240A2E" w:rsidP="08240A2E">
      <w:pPr>
        <w:pStyle w:val="Rejstk2"/>
        <w:tabs>
          <w:tab w:val="right" w:leader="dot" w:pos="4171"/>
        </w:tabs>
        <w:spacing w:line="240" w:lineRule="auto"/>
      </w:pPr>
      <w:r>
        <w:t>Rufus</w:t>
      </w:r>
      <w:r>
        <w:tab/>
        <w:t>535</w:t>
      </w:r>
    </w:p>
    <w:p w14:paraId="36B32B46" w14:textId="77777777" w:rsidR="08240A2E" w:rsidRDefault="08240A2E" w:rsidP="08240A2E">
      <w:pPr>
        <w:pStyle w:val="Rejstk1"/>
        <w:tabs>
          <w:tab w:val="right" w:leader="dot" w:pos="4171"/>
        </w:tabs>
        <w:spacing w:line="240" w:lineRule="auto"/>
      </w:pPr>
      <w:r w:rsidRPr="001F5DB8">
        <w:rPr>
          <w:i/>
        </w:rPr>
        <w:t>Entzauberung der Welt</w:t>
      </w:r>
      <w:r>
        <w:tab/>
        <w:t>562</w:t>
      </w:r>
    </w:p>
    <w:p w14:paraId="128FE4E3" w14:textId="77777777" w:rsidR="08240A2E" w:rsidRDefault="08240A2E" w:rsidP="08240A2E">
      <w:pPr>
        <w:pStyle w:val="Rejstk1"/>
        <w:tabs>
          <w:tab w:val="right" w:leader="dot" w:pos="4171"/>
        </w:tabs>
        <w:spacing w:line="240" w:lineRule="auto"/>
      </w:pPr>
      <w:r w:rsidRPr="001F5DB8">
        <w:rPr>
          <w:i/>
        </w:rPr>
        <w:t>enuntiatio</w:t>
      </w:r>
    </w:p>
    <w:p w14:paraId="354CA4BE" w14:textId="6279B4DF" w:rsidR="08240A2E" w:rsidRDefault="00CB3E4F" w:rsidP="08240A2E">
      <w:pPr>
        <w:pStyle w:val="Rejstk2"/>
        <w:tabs>
          <w:tab w:val="right" w:leader="dot" w:pos="4171"/>
        </w:tabs>
        <w:spacing w:line="240" w:lineRule="auto"/>
      </w:pPr>
      <w:r>
        <w:t>Abélard</w:t>
      </w:r>
      <w:r w:rsidR="08240A2E">
        <w:tab/>
        <w:t>33, 36, 37, 40, 41, 59, 74, 96, 201, 223</w:t>
      </w:r>
    </w:p>
    <w:p w14:paraId="5858E36A" w14:textId="77777777" w:rsidR="08240A2E" w:rsidRDefault="08240A2E" w:rsidP="08240A2E">
      <w:pPr>
        <w:pStyle w:val="Rejstk2"/>
        <w:tabs>
          <w:tab w:val="right" w:leader="dot" w:pos="4171"/>
        </w:tabs>
        <w:spacing w:line="240" w:lineRule="auto"/>
      </w:pPr>
      <w:r>
        <w:t>Anselm</w:t>
      </w:r>
      <w:r>
        <w:tab/>
        <w:t>23, 29, 540</w:t>
      </w:r>
    </w:p>
    <w:p w14:paraId="651943E7" w14:textId="77777777" w:rsidR="08240A2E" w:rsidRDefault="08240A2E" w:rsidP="08240A2E">
      <w:pPr>
        <w:pStyle w:val="Rejstk2"/>
        <w:tabs>
          <w:tab w:val="right" w:leader="dot" w:pos="4171"/>
        </w:tabs>
        <w:spacing w:line="240" w:lineRule="auto"/>
      </w:pPr>
      <w:r>
        <w:t>Grosseteste</w:t>
      </w:r>
      <w:r>
        <w:tab/>
        <w:t>417, 418</w:t>
      </w:r>
    </w:p>
    <w:p w14:paraId="154EF26D" w14:textId="77777777" w:rsidR="08240A2E" w:rsidRDefault="08240A2E" w:rsidP="08240A2E">
      <w:pPr>
        <w:pStyle w:val="Rejstk2"/>
        <w:tabs>
          <w:tab w:val="right" w:leader="dot" w:pos="4171"/>
        </w:tabs>
        <w:spacing w:line="240" w:lineRule="auto"/>
      </w:pPr>
      <w:r>
        <w:t>porretáni</w:t>
      </w:r>
      <w:r>
        <w:tab/>
        <w:t>71, 101</w:t>
      </w:r>
    </w:p>
    <w:p w14:paraId="10B6FC98" w14:textId="77777777" w:rsidR="08240A2E" w:rsidRDefault="08240A2E" w:rsidP="08240A2E">
      <w:pPr>
        <w:pStyle w:val="Rejstk2"/>
        <w:tabs>
          <w:tab w:val="right" w:leader="dot" w:pos="4171"/>
        </w:tabs>
        <w:spacing w:line="240" w:lineRule="auto"/>
      </w:pPr>
      <w:r>
        <w:t>Sherwood</w:t>
      </w:r>
      <w:r>
        <w:tab/>
        <w:t>671</w:t>
      </w:r>
    </w:p>
    <w:p w14:paraId="57050126" w14:textId="77777777" w:rsidR="08240A2E" w:rsidRDefault="08240A2E" w:rsidP="08240A2E">
      <w:pPr>
        <w:pStyle w:val="Rejstk1"/>
        <w:tabs>
          <w:tab w:val="right" w:leader="dot" w:pos="4171"/>
        </w:tabs>
        <w:spacing w:line="240" w:lineRule="auto"/>
      </w:pPr>
      <w:r w:rsidRPr="001F5DB8">
        <w:rPr>
          <w:i/>
        </w:rPr>
        <w:t>epistémé</w:t>
      </w:r>
      <w:r>
        <w:tab/>
        <w:t>703</w:t>
      </w:r>
    </w:p>
    <w:p w14:paraId="7609F5E7" w14:textId="77777777" w:rsidR="08240A2E" w:rsidRDefault="08240A2E" w:rsidP="08240A2E">
      <w:pPr>
        <w:pStyle w:val="Rejstk1"/>
        <w:tabs>
          <w:tab w:val="right" w:leader="dot" w:pos="4171"/>
        </w:tabs>
        <w:spacing w:line="240" w:lineRule="auto"/>
      </w:pPr>
      <w:r w:rsidRPr="001F5DB8">
        <w:rPr>
          <w:i/>
        </w:rPr>
        <w:t>epoché</w:t>
      </w:r>
      <w:r>
        <w:tab/>
        <w:t>12, 308, 378, 399, 414, 418, 449, 652, 696</w:t>
      </w:r>
    </w:p>
    <w:p w14:paraId="772B9CB8" w14:textId="77777777" w:rsidR="08240A2E" w:rsidRDefault="08240A2E" w:rsidP="08240A2E">
      <w:pPr>
        <w:pStyle w:val="Rejstk1"/>
        <w:tabs>
          <w:tab w:val="right" w:leader="dot" w:pos="4171"/>
        </w:tabs>
        <w:spacing w:line="240" w:lineRule="auto"/>
      </w:pPr>
      <w:r w:rsidRPr="001F5DB8">
        <w:rPr>
          <w:i/>
        </w:rPr>
        <w:t>equinitas tantum</w:t>
      </w:r>
      <w:r>
        <w:tab/>
        <w:t xml:space="preserve">86, 519, </w:t>
      </w:r>
      <w:r w:rsidR="08665641">
        <w:t xml:space="preserve">553, </w:t>
      </w:r>
      <w:r>
        <w:t>562</w:t>
      </w:r>
    </w:p>
    <w:p w14:paraId="5F283E25" w14:textId="77777777" w:rsidR="08240A2E" w:rsidRDefault="08240A2E" w:rsidP="08240A2E">
      <w:pPr>
        <w:pStyle w:val="Rejstk1"/>
        <w:tabs>
          <w:tab w:val="right" w:leader="dot" w:pos="4171"/>
        </w:tabs>
        <w:spacing w:line="240" w:lineRule="auto"/>
      </w:pPr>
      <w:r w:rsidRPr="001F5DB8">
        <w:rPr>
          <w:i/>
        </w:rPr>
        <w:t>Ereignis</w:t>
      </w:r>
      <w:r>
        <w:tab/>
        <w:t>2, 12, 20, 81, 113, 157, 288, 328, 336, 361, 385, 395, 496, 507, 517, 588, 629, 653</w:t>
      </w:r>
    </w:p>
    <w:p w14:paraId="25E502A9" w14:textId="77777777" w:rsidR="08240A2E" w:rsidRDefault="08240A2E" w:rsidP="08240A2E">
      <w:pPr>
        <w:pStyle w:val="Rejstk1"/>
        <w:tabs>
          <w:tab w:val="right" w:leader="dot" w:pos="4171"/>
        </w:tabs>
        <w:spacing w:line="240" w:lineRule="auto"/>
      </w:pPr>
      <w:r>
        <w:t>Erínye</w:t>
      </w:r>
      <w:r>
        <w:tab/>
        <w:t>3, 154</w:t>
      </w:r>
      <w:r w:rsidR="08665641">
        <w:t>, 238</w:t>
      </w:r>
    </w:p>
    <w:p w14:paraId="5DA3D27A" w14:textId="77777777" w:rsidR="08240A2E" w:rsidRDefault="08240A2E" w:rsidP="08240A2E">
      <w:pPr>
        <w:pStyle w:val="Rejstk1"/>
        <w:tabs>
          <w:tab w:val="right" w:leader="dot" w:pos="4171"/>
        </w:tabs>
        <w:spacing w:line="240" w:lineRule="auto"/>
      </w:pPr>
      <w:r w:rsidRPr="001F5DB8">
        <w:rPr>
          <w:i/>
        </w:rPr>
        <w:t>Es gibt</w:t>
      </w:r>
      <w:r>
        <w:tab/>
        <w:t>359, 390</w:t>
      </w:r>
    </w:p>
    <w:p w14:paraId="70CE7E4A" w14:textId="77777777" w:rsidR="08240A2E" w:rsidRDefault="08240A2E" w:rsidP="08240A2E">
      <w:pPr>
        <w:pStyle w:val="Rejstk1"/>
        <w:tabs>
          <w:tab w:val="right" w:leader="dot" w:pos="4171"/>
        </w:tabs>
        <w:spacing w:line="240" w:lineRule="auto"/>
      </w:pPr>
      <w:r>
        <w:t>esence</w:t>
      </w:r>
    </w:p>
    <w:p w14:paraId="3CCFD345" w14:textId="77777777" w:rsidR="08240A2E" w:rsidRDefault="08240A2E" w:rsidP="08240A2E">
      <w:pPr>
        <w:pStyle w:val="Rejstk2"/>
        <w:tabs>
          <w:tab w:val="right" w:leader="dot" w:pos="4171"/>
        </w:tabs>
        <w:spacing w:line="240" w:lineRule="auto"/>
      </w:pPr>
      <w:r w:rsidRPr="001F5DB8">
        <w:rPr>
          <w:i/>
        </w:rPr>
        <w:t>anitas</w:t>
      </w:r>
      <w:r>
        <w:tab/>
        <w:t>445, 446, 447</w:t>
      </w:r>
    </w:p>
    <w:p w14:paraId="0BE8D79C" w14:textId="77777777" w:rsidR="08240A2E" w:rsidRDefault="08240A2E" w:rsidP="08240A2E">
      <w:pPr>
        <w:pStyle w:val="Rejstk2"/>
        <w:tabs>
          <w:tab w:val="right" w:leader="dot" w:pos="4171"/>
        </w:tabs>
        <w:spacing w:line="240" w:lineRule="auto"/>
      </w:pPr>
      <w:r>
        <w:t>druhý averroismus</w:t>
      </w:r>
      <w:r>
        <w:tab/>
        <w:t>23, 64, 96, 221, 281, 311, 344, 345, 370, 372, 388, 393, 546</w:t>
      </w:r>
    </w:p>
    <w:p w14:paraId="7EA43178" w14:textId="77777777" w:rsidR="08240A2E" w:rsidRDefault="08240A2E" w:rsidP="08240A2E">
      <w:pPr>
        <w:pStyle w:val="Rejstk2"/>
        <w:tabs>
          <w:tab w:val="right" w:leader="dot" w:pos="4171"/>
        </w:tabs>
        <w:spacing w:line="240" w:lineRule="auto"/>
      </w:pPr>
      <w:r>
        <w:t>falsafa</w:t>
      </w:r>
      <w:r>
        <w:tab/>
        <w:t>302</w:t>
      </w:r>
    </w:p>
    <w:p w14:paraId="7C0AB277" w14:textId="77777777" w:rsidR="08240A2E" w:rsidRDefault="08240A2E" w:rsidP="08240A2E">
      <w:pPr>
        <w:pStyle w:val="Rejstk2"/>
        <w:tabs>
          <w:tab w:val="right" w:leader="dot" w:pos="4171"/>
        </w:tabs>
        <w:spacing w:line="240" w:lineRule="auto"/>
      </w:pPr>
      <w:r>
        <w:t>Grosseteste</w:t>
      </w:r>
      <w:r>
        <w:tab/>
        <w:t>393, 410</w:t>
      </w:r>
    </w:p>
    <w:p w14:paraId="416D7265" w14:textId="77777777" w:rsidR="08240A2E" w:rsidRDefault="08240A2E" w:rsidP="08240A2E">
      <w:pPr>
        <w:pStyle w:val="Rejstk2"/>
        <w:tabs>
          <w:tab w:val="right" w:leader="dot" w:pos="4171"/>
        </w:tabs>
        <w:spacing w:line="240" w:lineRule="auto"/>
      </w:pPr>
      <w:r w:rsidRPr="001F5DB8">
        <w:rPr>
          <w:i/>
        </w:rPr>
        <w:t>inesse</w:t>
      </w:r>
      <w:r>
        <w:tab/>
        <w:t>358, 362, 365, 368, 397, 410, 449, 514, 535, 639, 640, 642, 643, 672</w:t>
      </w:r>
    </w:p>
    <w:p w14:paraId="1ECA6D93" w14:textId="77777777" w:rsidR="08240A2E" w:rsidRDefault="08240A2E" w:rsidP="08240A2E">
      <w:pPr>
        <w:pStyle w:val="Rejstk2"/>
        <w:tabs>
          <w:tab w:val="right" w:leader="dot" w:pos="4171"/>
        </w:tabs>
        <w:spacing w:line="240" w:lineRule="auto"/>
      </w:pPr>
      <w:r>
        <w:t>moderna</w:t>
      </w:r>
      <w:r>
        <w:tab/>
        <w:t>26</w:t>
      </w:r>
    </w:p>
    <w:p w14:paraId="56DA74EC" w14:textId="77777777" w:rsidR="08240A2E" w:rsidRDefault="08240A2E" w:rsidP="08240A2E">
      <w:pPr>
        <w:pStyle w:val="Rejstk2"/>
        <w:tabs>
          <w:tab w:val="right" w:leader="dot" w:pos="4171"/>
        </w:tabs>
        <w:spacing w:line="240" w:lineRule="auto"/>
      </w:pPr>
      <w:r>
        <w:t xml:space="preserve">modus </w:t>
      </w:r>
      <w:r w:rsidRPr="001F5DB8">
        <w:rPr>
          <w:i/>
        </w:rPr>
        <w:t>absolute</w:t>
      </w:r>
      <w:r>
        <w:tab/>
        <w:t>567</w:t>
      </w:r>
    </w:p>
    <w:p w14:paraId="15C45761" w14:textId="77777777" w:rsidR="08240A2E" w:rsidRDefault="08240A2E" w:rsidP="08240A2E">
      <w:pPr>
        <w:pStyle w:val="Rejstk2"/>
        <w:tabs>
          <w:tab w:val="right" w:leader="dot" w:pos="4171"/>
        </w:tabs>
        <w:spacing w:line="240" w:lineRule="auto"/>
      </w:pPr>
      <w:r>
        <w:t>postmoderna</w:t>
      </w:r>
      <w:r>
        <w:tab/>
        <w:t>450</w:t>
      </w:r>
    </w:p>
    <w:p w14:paraId="2858EF51" w14:textId="77777777" w:rsidR="08240A2E" w:rsidRDefault="08240A2E" w:rsidP="08240A2E">
      <w:pPr>
        <w:pStyle w:val="Rejstk2"/>
        <w:tabs>
          <w:tab w:val="right" w:leader="dot" w:pos="4171"/>
        </w:tabs>
        <w:spacing w:line="240" w:lineRule="auto"/>
      </w:pPr>
      <w:r w:rsidRPr="001F5DB8">
        <w:rPr>
          <w:i/>
          <w:iCs/>
        </w:rPr>
        <w:t>potentia essentialis</w:t>
      </w:r>
      <w:r>
        <w:tab/>
        <w:t>501</w:t>
      </w:r>
    </w:p>
    <w:p w14:paraId="76E1D069" w14:textId="77777777" w:rsidR="08240A2E" w:rsidRDefault="08240A2E" w:rsidP="08240A2E">
      <w:pPr>
        <w:pStyle w:val="Rejstk2"/>
        <w:tabs>
          <w:tab w:val="right" w:leader="dot" w:pos="4171"/>
        </w:tabs>
        <w:spacing w:line="240" w:lineRule="auto"/>
      </w:pPr>
      <w:r>
        <w:t>první averroismus</w:t>
      </w:r>
      <w:r>
        <w:tab/>
        <w:t>258, 321, 369</w:t>
      </w:r>
    </w:p>
    <w:p w14:paraId="5005521E" w14:textId="77777777" w:rsidR="08240A2E" w:rsidRDefault="08240A2E" w:rsidP="08240A2E">
      <w:pPr>
        <w:pStyle w:val="Rejstk2"/>
        <w:tabs>
          <w:tab w:val="right" w:leader="dot" w:pos="4171"/>
        </w:tabs>
        <w:spacing w:line="240" w:lineRule="auto"/>
      </w:pPr>
      <w:r>
        <w:t>Rufus</w:t>
      </w:r>
      <w:r>
        <w:tab/>
        <w:t>503, 521</w:t>
      </w:r>
    </w:p>
    <w:p w14:paraId="772C1A0B" w14:textId="77777777" w:rsidR="08240A2E" w:rsidRDefault="08240A2E" w:rsidP="08240A2E">
      <w:pPr>
        <w:pStyle w:val="Rejstk1"/>
        <w:tabs>
          <w:tab w:val="right" w:leader="dot" w:pos="4171"/>
        </w:tabs>
        <w:spacing w:line="240" w:lineRule="auto"/>
      </w:pPr>
      <w:r>
        <w:t xml:space="preserve">esence </w:t>
      </w:r>
      <w:r w:rsidRPr="001F5DB8">
        <w:rPr>
          <w:i/>
        </w:rPr>
        <w:t>absolute</w:t>
      </w:r>
      <w:r>
        <w:tab/>
        <w:t>346, 389</w:t>
      </w:r>
    </w:p>
    <w:p w14:paraId="71F00D55" w14:textId="77777777" w:rsidR="08240A2E" w:rsidRDefault="08240A2E" w:rsidP="08240A2E">
      <w:pPr>
        <w:pStyle w:val="Rejstk1"/>
        <w:tabs>
          <w:tab w:val="right" w:leader="dot" w:pos="4171"/>
        </w:tabs>
        <w:spacing w:line="240" w:lineRule="auto"/>
      </w:pPr>
      <w:r w:rsidRPr="001F5DB8">
        <w:rPr>
          <w:i/>
        </w:rPr>
        <w:t>esse ad</w:t>
      </w:r>
    </w:p>
    <w:p w14:paraId="213C611A" w14:textId="5064066B" w:rsidR="08240A2E" w:rsidRDefault="00CB3E4F" w:rsidP="08240A2E">
      <w:pPr>
        <w:pStyle w:val="Rejstk2"/>
        <w:tabs>
          <w:tab w:val="right" w:leader="dot" w:pos="4171"/>
        </w:tabs>
        <w:spacing w:line="240" w:lineRule="auto"/>
      </w:pPr>
      <w:r>
        <w:t>Abélard</w:t>
      </w:r>
      <w:r w:rsidR="08240A2E">
        <w:tab/>
        <w:t>46</w:t>
      </w:r>
    </w:p>
    <w:p w14:paraId="2465F997" w14:textId="77777777" w:rsidR="08240A2E" w:rsidRDefault="08240A2E" w:rsidP="08240A2E">
      <w:pPr>
        <w:pStyle w:val="Rejstk2"/>
        <w:tabs>
          <w:tab w:val="right" w:leader="dot" w:pos="4171"/>
        </w:tabs>
        <w:spacing w:line="240" w:lineRule="auto"/>
      </w:pPr>
      <w:r>
        <w:t>Anselm</w:t>
      </w:r>
      <w:r>
        <w:tab/>
        <w:t>25</w:t>
      </w:r>
    </w:p>
    <w:p w14:paraId="7724D2D8" w14:textId="77777777" w:rsidR="08240A2E" w:rsidRDefault="08240A2E" w:rsidP="08240A2E">
      <w:pPr>
        <w:pStyle w:val="Rejstk2"/>
        <w:tabs>
          <w:tab w:val="right" w:leader="dot" w:pos="4171"/>
        </w:tabs>
        <w:spacing w:line="240" w:lineRule="auto"/>
      </w:pPr>
      <w:r>
        <w:t>Simplikius</w:t>
      </w:r>
      <w:r>
        <w:tab/>
        <w:t>55</w:t>
      </w:r>
    </w:p>
    <w:p w14:paraId="5AB9A320" w14:textId="77777777" w:rsidR="08240A2E" w:rsidRDefault="08240A2E" w:rsidP="08240A2E">
      <w:pPr>
        <w:pStyle w:val="Rejstk1"/>
        <w:tabs>
          <w:tab w:val="right" w:leader="dot" w:pos="4171"/>
        </w:tabs>
        <w:spacing w:line="240" w:lineRule="auto"/>
      </w:pPr>
      <w:r w:rsidRPr="001F5DB8">
        <w:rPr>
          <w:i/>
        </w:rPr>
        <w:t>esse debile</w:t>
      </w:r>
      <w:r>
        <w:tab/>
        <w:t>288, 289, 327, 403, 646, 676</w:t>
      </w:r>
    </w:p>
    <w:p w14:paraId="1EB3E9CE" w14:textId="77777777" w:rsidR="08240A2E" w:rsidRDefault="08240A2E" w:rsidP="08240A2E">
      <w:pPr>
        <w:pStyle w:val="Rejstk1"/>
        <w:tabs>
          <w:tab w:val="right" w:leader="dot" w:pos="4171"/>
        </w:tabs>
        <w:spacing w:line="240" w:lineRule="auto"/>
      </w:pPr>
      <w:r w:rsidRPr="001F5DB8">
        <w:rPr>
          <w:i/>
        </w:rPr>
        <w:t>esse diminutum</w:t>
      </w:r>
      <w:r>
        <w:tab/>
        <w:t>266</w:t>
      </w:r>
    </w:p>
    <w:p w14:paraId="771D3BE1" w14:textId="77777777" w:rsidR="08240A2E" w:rsidRDefault="08240A2E" w:rsidP="08240A2E">
      <w:pPr>
        <w:pStyle w:val="Rejstk1"/>
        <w:tabs>
          <w:tab w:val="right" w:leader="dot" w:pos="4171"/>
        </w:tabs>
        <w:spacing w:line="240" w:lineRule="auto"/>
      </w:pPr>
      <w:r w:rsidRPr="001F5DB8">
        <w:rPr>
          <w:i/>
        </w:rPr>
        <w:t>esse proprium</w:t>
      </w:r>
      <w:r>
        <w:tab/>
        <w:t>281, 292</w:t>
      </w:r>
    </w:p>
    <w:p w14:paraId="378F21D9" w14:textId="77777777" w:rsidR="08240A2E" w:rsidRDefault="08240A2E" w:rsidP="08240A2E">
      <w:pPr>
        <w:pStyle w:val="Rejstk1"/>
        <w:tabs>
          <w:tab w:val="right" w:leader="dot" w:pos="4171"/>
        </w:tabs>
        <w:spacing w:line="240" w:lineRule="auto"/>
      </w:pPr>
      <w:r>
        <w:t>esse</w:t>
      </w:r>
      <w:r w:rsidRPr="001F5DB8">
        <w:rPr>
          <w:i/>
        </w:rPr>
        <w:t xml:space="preserve"> ratum</w:t>
      </w:r>
      <w:r>
        <w:tab/>
        <w:t>288, 289, 290, 411, 646, 676</w:t>
      </w:r>
    </w:p>
    <w:p w14:paraId="09124618" w14:textId="77777777" w:rsidR="08240A2E" w:rsidRDefault="08240A2E" w:rsidP="08240A2E">
      <w:pPr>
        <w:pStyle w:val="Rejstk1"/>
        <w:tabs>
          <w:tab w:val="right" w:leader="dot" w:pos="4171"/>
        </w:tabs>
        <w:spacing w:line="240" w:lineRule="auto"/>
      </w:pPr>
      <w:r w:rsidRPr="001F5DB8">
        <w:rPr>
          <w:i/>
        </w:rPr>
        <w:t>esse tantum</w:t>
      </w:r>
      <w:r>
        <w:tab/>
        <w:t>438</w:t>
      </w:r>
    </w:p>
    <w:p w14:paraId="1D17CC68" w14:textId="77777777" w:rsidR="08240A2E" w:rsidRDefault="08240A2E" w:rsidP="08240A2E">
      <w:pPr>
        <w:pStyle w:val="Rejstk1"/>
        <w:tabs>
          <w:tab w:val="right" w:leader="dot" w:pos="4171"/>
        </w:tabs>
        <w:spacing w:line="240" w:lineRule="auto"/>
      </w:pPr>
      <w:r>
        <w:t>Eurigena, Scotus</w:t>
      </w:r>
      <w:r>
        <w:tab/>
        <w:t>389</w:t>
      </w:r>
    </w:p>
    <w:p w14:paraId="35096269" w14:textId="77777777" w:rsidR="08240A2E" w:rsidRDefault="08240A2E" w:rsidP="08240A2E">
      <w:pPr>
        <w:pStyle w:val="Rejstk1"/>
        <w:tabs>
          <w:tab w:val="right" w:leader="dot" w:pos="4171"/>
        </w:tabs>
        <w:spacing w:line="240" w:lineRule="auto"/>
      </w:pPr>
      <w:r>
        <w:t>Everard z Ypres</w:t>
      </w:r>
      <w:r>
        <w:tab/>
        <w:t>84</w:t>
      </w:r>
    </w:p>
    <w:p w14:paraId="44112B90" w14:textId="77777777" w:rsidR="08240A2E" w:rsidRDefault="08240A2E" w:rsidP="08240A2E">
      <w:pPr>
        <w:pStyle w:val="Rejstk1"/>
        <w:tabs>
          <w:tab w:val="right" w:leader="dot" w:pos="4171"/>
        </w:tabs>
        <w:spacing w:line="240" w:lineRule="auto"/>
      </w:pPr>
      <w:r>
        <w:t>evidence</w:t>
      </w:r>
    </w:p>
    <w:p w14:paraId="61C10FD9" w14:textId="77777777" w:rsidR="08240A2E" w:rsidRDefault="08240A2E" w:rsidP="08240A2E">
      <w:pPr>
        <w:pStyle w:val="Rejstk2"/>
        <w:tabs>
          <w:tab w:val="right" w:leader="dot" w:pos="4171"/>
        </w:tabs>
        <w:spacing w:line="240" w:lineRule="auto"/>
      </w:pPr>
      <w:r>
        <w:t>Avicenna</w:t>
      </w:r>
      <w:r>
        <w:tab/>
        <w:t>453, 543, 668</w:t>
      </w:r>
    </w:p>
    <w:p w14:paraId="4689DE2F" w14:textId="77777777" w:rsidR="08240A2E" w:rsidRDefault="08240A2E" w:rsidP="08240A2E">
      <w:pPr>
        <w:pStyle w:val="Rejstk2"/>
        <w:tabs>
          <w:tab w:val="right" w:leader="dot" w:pos="4171"/>
        </w:tabs>
        <w:spacing w:line="240" w:lineRule="auto"/>
      </w:pPr>
      <w:r>
        <w:t>Descartes</w:t>
      </w:r>
      <w:r>
        <w:tab/>
        <w:t>10</w:t>
      </w:r>
    </w:p>
    <w:p w14:paraId="321D8F8F" w14:textId="77777777" w:rsidR="08240A2E" w:rsidRDefault="08240A2E" w:rsidP="08240A2E">
      <w:pPr>
        <w:pStyle w:val="Rejstk2"/>
        <w:tabs>
          <w:tab w:val="right" w:leader="dot" w:pos="4171"/>
        </w:tabs>
        <w:spacing w:line="240" w:lineRule="auto"/>
      </w:pPr>
      <w:r>
        <w:t>Husserl</w:t>
      </w:r>
      <w:r>
        <w:tab/>
        <w:t>596</w:t>
      </w:r>
    </w:p>
    <w:p w14:paraId="33193CAA" w14:textId="77777777" w:rsidR="08240A2E" w:rsidRDefault="08240A2E" w:rsidP="08240A2E">
      <w:pPr>
        <w:pStyle w:val="Rejstk2"/>
        <w:tabs>
          <w:tab w:val="right" w:leader="dot" w:pos="4171"/>
        </w:tabs>
        <w:spacing w:line="240" w:lineRule="auto"/>
      </w:pPr>
      <w:r>
        <w:t>moderna</w:t>
      </w:r>
      <w:r>
        <w:tab/>
        <w:t>418, 656</w:t>
      </w:r>
    </w:p>
    <w:p w14:paraId="6A3905D2" w14:textId="77777777" w:rsidR="08240A2E" w:rsidRDefault="08240A2E" w:rsidP="08240A2E">
      <w:pPr>
        <w:pStyle w:val="Rejstk1"/>
        <w:tabs>
          <w:tab w:val="right" w:leader="dot" w:pos="4171"/>
        </w:tabs>
        <w:spacing w:line="240" w:lineRule="auto"/>
      </w:pPr>
      <w:r w:rsidRPr="001F5DB8">
        <w:rPr>
          <w:i/>
        </w:rPr>
        <w:t>ex inmediatis</w:t>
      </w:r>
      <w:r>
        <w:tab/>
        <w:t>253</w:t>
      </w:r>
    </w:p>
    <w:p w14:paraId="28A12EBE" w14:textId="77777777" w:rsidR="08240A2E" w:rsidRDefault="08240A2E" w:rsidP="08240A2E">
      <w:pPr>
        <w:pStyle w:val="Rejstk1"/>
        <w:tabs>
          <w:tab w:val="right" w:leader="dot" w:pos="4171"/>
        </w:tabs>
        <w:spacing w:line="240" w:lineRule="auto"/>
      </w:pPr>
      <w:r w:rsidRPr="001F5DB8">
        <w:rPr>
          <w:i/>
        </w:rPr>
        <w:t>exemplar</w:t>
      </w:r>
      <w:r>
        <w:tab/>
        <w:t>91, 114, 281, 375, 388, 394, 414, 448, 470, 482, 545, 593</w:t>
      </w:r>
    </w:p>
    <w:p w14:paraId="4A8B069D" w14:textId="77777777" w:rsidR="08240A2E" w:rsidRDefault="08240A2E" w:rsidP="08240A2E">
      <w:pPr>
        <w:pStyle w:val="Rejstk1"/>
        <w:tabs>
          <w:tab w:val="right" w:leader="dot" w:pos="4171"/>
        </w:tabs>
        <w:spacing w:line="240" w:lineRule="auto"/>
      </w:pPr>
      <w:r w:rsidRPr="001F5DB8">
        <w:rPr>
          <w:i/>
        </w:rPr>
        <w:t>Expositor Novus</w:t>
      </w:r>
      <w:r>
        <w:tab/>
        <w:t>152</w:t>
      </w:r>
    </w:p>
    <w:p w14:paraId="52899BD6" w14:textId="77777777" w:rsidR="08240A2E" w:rsidRDefault="08240A2E" w:rsidP="08240A2E">
      <w:pPr>
        <w:pStyle w:val="Rejstk1"/>
        <w:tabs>
          <w:tab w:val="right" w:leader="dot" w:pos="4171"/>
        </w:tabs>
        <w:spacing w:line="240" w:lineRule="auto"/>
      </w:pPr>
      <w:r w:rsidRPr="001F5DB8">
        <w:rPr>
          <w:i/>
        </w:rPr>
        <w:t>exsistere</w:t>
      </w:r>
      <w:r>
        <w:tab/>
        <w:t>301, 311, 419, 425, 448, 534, 537, 550, 580, 628, 631, 634, 642, 672, 691, 701</w:t>
      </w:r>
    </w:p>
    <w:p w14:paraId="042C42AD" w14:textId="77777777" w:rsidR="08240A2E" w:rsidRDefault="08240A2E" w:rsidP="08240A2E">
      <w:pPr>
        <w:pStyle w:val="Rejstk2"/>
        <w:tabs>
          <w:tab w:val="right" w:leader="dot" w:pos="4171"/>
        </w:tabs>
        <w:spacing w:line="240" w:lineRule="auto"/>
      </w:pPr>
      <w:r>
        <w:t>Avicebron</w:t>
      </w:r>
      <w:r>
        <w:tab/>
        <w:t>456</w:t>
      </w:r>
    </w:p>
    <w:p w14:paraId="3106A9D6" w14:textId="77777777" w:rsidR="08240A2E" w:rsidRDefault="08240A2E" w:rsidP="08240A2E">
      <w:pPr>
        <w:pStyle w:val="Rejstk2"/>
        <w:tabs>
          <w:tab w:val="right" w:leader="dot" w:pos="4171"/>
        </w:tabs>
        <w:spacing w:line="240" w:lineRule="auto"/>
      </w:pPr>
      <w:r>
        <w:t>Rufus</w:t>
      </w:r>
      <w:r>
        <w:tab/>
        <w:t>15, 279, 394, 557</w:t>
      </w:r>
    </w:p>
    <w:p w14:paraId="41C9240D" w14:textId="6E0074DD" w:rsidR="00C8572E" w:rsidRPr="00C8572E" w:rsidRDefault="00C8572E" w:rsidP="00C8572E">
      <w:pPr>
        <w:pStyle w:val="Rejstk1"/>
        <w:tabs>
          <w:tab w:val="right" w:leader="dot" w:pos="4171"/>
        </w:tabs>
        <w:spacing w:line="240" w:lineRule="auto"/>
        <w:rPr>
          <w:b/>
        </w:rPr>
      </w:pPr>
      <w:r>
        <w:rPr>
          <w:b/>
        </w:rPr>
        <w:t>F, G</w:t>
      </w:r>
    </w:p>
    <w:p w14:paraId="67AE390D" w14:textId="77777777" w:rsidR="08240A2E" w:rsidRDefault="08240A2E" w:rsidP="08240A2E">
      <w:pPr>
        <w:pStyle w:val="Rejstk1"/>
        <w:tabs>
          <w:tab w:val="right" w:leader="dot" w:pos="4171"/>
        </w:tabs>
        <w:spacing w:line="240" w:lineRule="auto"/>
      </w:pPr>
      <w:r w:rsidRPr="001F5DB8">
        <w:rPr>
          <w:i/>
        </w:rPr>
        <w:t>factum</w:t>
      </w:r>
      <w:r>
        <w:tab/>
        <w:t>385, 453, 528</w:t>
      </w:r>
    </w:p>
    <w:p w14:paraId="21CF9E69" w14:textId="77777777" w:rsidR="08240A2E" w:rsidRDefault="08240A2E" w:rsidP="08240A2E">
      <w:pPr>
        <w:pStyle w:val="Rejstk1"/>
        <w:tabs>
          <w:tab w:val="right" w:leader="dot" w:pos="4171"/>
        </w:tabs>
        <w:spacing w:line="240" w:lineRule="auto"/>
      </w:pPr>
      <w:r w:rsidRPr="001F5DB8">
        <w:rPr>
          <w:i/>
        </w:rPr>
        <w:t>fallacia a dicto simpliciter ad dictum secundum quid</w:t>
      </w:r>
      <w:r>
        <w:tab/>
        <w:t>364, 368, 388, 643</w:t>
      </w:r>
    </w:p>
    <w:p w14:paraId="34FCF132" w14:textId="77777777" w:rsidR="08240A2E" w:rsidRDefault="08240A2E" w:rsidP="08240A2E">
      <w:pPr>
        <w:pStyle w:val="Rejstk1"/>
        <w:tabs>
          <w:tab w:val="right" w:leader="dot" w:pos="4171"/>
        </w:tabs>
        <w:spacing w:line="240" w:lineRule="auto"/>
      </w:pPr>
      <w:r w:rsidRPr="001F5DB8">
        <w:rPr>
          <w:i/>
        </w:rPr>
        <w:t>fallacia secundum quid et simpliciter</w:t>
      </w:r>
      <w:r>
        <w:tab/>
        <w:t>293, 377, 612, 617, 627</w:t>
      </w:r>
    </w:p>
    <w:p w14:paraId="66BDD6D7" w14:textId="77777777" w:rsidR="08240A2E" w:rsidRDefault="08240A2E" w:rsidP="08240A2E">
      <w:pPr>
        <w:pStyle w:val="Rejstk1"/>
        <w:tabs>
          <w:tab w:val="right" w:leader="dot" w:pos="4171"/>
        </w:tabs>
        <w:spacing w:line="240" w:lineRule="auto"/>
      </w:pPr>
      <w:r w:rsidRPr="001F5DB8">
        <w:rPr>
          <w:i/>
          <w:color w:val="000000"/>
        </w:rPr>
        <w:t>Fehl Gottes</w:t>
      </w:r>
      <w:r>
        <w:tab/>
        <w:t>390</w:t>
      </w:r>
    </w:p>
    <w:p w14:paraId="1BE7E17B" w14:textId="77777777" w:rsidR="08240A2E" w:rsidRDefault="08240A2E" w:rsidP="08240A2E">
      <w:pPr>
        <w:pStyle w:val="Rejstk1"/>
        <w:tabs>
          <w:tab w:val="right" w:leader="dot" w:pos="4171"/>
        </w:tabs>
        <w:spacing w:line="240" w:lineRule="auto"/>
      </w:pPr>
      <w:r>
        <w:t>fenomenologie</w:t>
      </w:r>
      <w:r>
        <w:tab/>
        <w:t>552</w:t>
      </w:r>
    </w:p>
    <w:p w14:paraId="29C1EA53" w14:textId="77777777" w:rsidR="08240A2E" w:rsidRDefault="08240A2E" w:rsidP="08240A2E">
      <w:pPr>
        <w:pStyle w:val="Rejstk1"/>
        <w:tabs>
          <w:tab w:val="right" w:leader="dot" w:pos="4171"/>
        </w:tabs>
        <w:spacing w:line="240" w:lineRule="auto"/>
      </w:pPr>
      <w:r w:rsidRPr="001F5DB8">
        <w:rPr>
          <w:i/>
        </w:rPr>
        <w:t>fiat money</w:t>
      </w:r>
      <w:r>
        <w:tab/>
        <w:t>83</w:t>
      </w:r>
    </w:p>
    <w:p w14:paraId="0F47464D" w14:textId="77777777" w:rsidR="08240A2E" w:rsidRDefault="08240A2E" w:rsidP="08240A2E">
      <w:pPr>
        <w:pStyle w:val="Rejstk1"/>
        <w:tabs>
          <w:tab w:val="right" w:leader="dot" w:pos="4171"/>
        </w:tabs>
        <w:spacing w:line="240" w:lineRule="auto"/>
      </w:pPr>
      <w:r>
        <w:t>Filip Kancléř</w:t>
      </w:r>
      <w:r w:rsidR="08872774">
        <w:t xml:space="preserve">, viz </w:t>
      </w:r>
      <w:r w:rsidR="08872774" w:rsidRPr="08872774">
        <w:rPr>
          <w:i/>
        </w:rPr>
        <w:t>Index locorum</w:t>
      </w:r>
      <w:r>
        <w:tab/>
        <w:t>176, 225, 460, 486</w:t>
      </w:r>
    </w:p>
    <w:p w14:paraId="3C60AAC6" w14:textId="77777777" w:rsidR="08240A2E" w:rsidRDefault="08240A2E" w:rsidP="08240A2E">
      <w:pPr>
        <w:pStyle w:val="Rejstk1"/>
        <w:tabs>
          <w:tab w:val="right" w:leader="dot" w:pos="4171"/>
        </w:tabs>
        <w:spacing w:line="240" w:lineRule="auto"/>
      </w:pPr>
      <w:r>
        <w:t>finanční deriváty</w:t>
      </w:r>
      <w:r>
        <w:tab/>
        <w:t>59, 82, 104, 328, 429, 454</w:t>
      </w:r>
    </w:p>
    <w:p w14:paraId="63844D9C" w14:textId="77777777" w:rsidR="08240A2E" w:rsidRDefault="08240A2E" w:rsidP="08240A2E">
      <w:pPr>
        <w:pStyle w:val="Rejstk1"/>
        <w:tabs>
          <w:tab w:val="right" w:leader="dot" w:pos="4171"/>
        </w:tabs>
        <w:spacing w:line="240" w:lineRule="auto"/>
      </w:pPr>
      <w:r w:rsidRPr="001F5DB8">
        <w:rPr>
          <w:i/>
        </w:rPr>
        <w:t>Finite Element Method</w:t>
      </w:r>
      <w:r>
        <w:tab/>
        <w:t>559</w:t>
      </w:r>
    </w:p>
    <w:p w14:paraId="65A25826" w14:textId="77777777" w:rsidR="08240A2E" w:rsidRDefault="08240A2E" w:rsidP="08240A2E">
      <w:pPr>
        <w:pStyle w:val="Rejstk1"/>
        <w:tabs>
          <w:tab w:val="right" w:leader="dot" w:pos="4171"/>
        </w:tabs>
        <w:spacing w:line="240" w:lineRule="auto"/>
      </w:pPr>
      <w:r>
        <w:t>Foucault, M.</w:t>
      </w:r>
      <w:r>
        <w:tab/>
        <w:t>64, 191, 496, 538, 585, 654, 703</w:t>
      </w:r>
    </w:p>
    <w:p w14:paraId="201C9B06" w14:textId="77777777" w:rsidR="08240A2E" w:rsidRDefault="08240A2E" w:rsidP="08240A2E">
      <w:pPr>
        <w:pStyle w:val="Rejstk1"/>
        <w:tabs>
          <w:tab w:val="right" w:leader="dot" w:pos="4171"/>
        </w:tabs>
        <w:spacing w:line="240" w:lineRule="auto"/>
      </w:pPr>
      <w:r>
        <w:t>Frege, G.</w:t>
      </w:r>
      <w:r>
        <w:tab/>
        <w:t>425</w:t>
      </w:r>
    </w:p>
    <w:p w14:paraId="0473FA44" w14:textId="77777777" w:rsidR="08240A2E" w:rsidRDefault="08240A2E" w:rsidP="08240A2E">
      <w:pPr>
        <w:pStyle w:val="Rejstk1"/>
        <w:tabs>
          <w:tab w:val="right" w:leader="dot" w:pos="4171"/>
        </w:tabs>
        <w:spacing w:line="240" w:lineRule="auto"/>
      </w:pPr>
      <w:r>
        <w:t>Freud, S.</w:t>
      </w:r>
      <w:r>
        <w:tab/>
        <w:t>10</w:t>
      </w:r>
    </w:p>
    <w:p w14:paraId="7054C84F" w14:textId="77FEF324" w:rsidR="08240A2E" w:rsidRDefault="007D4C32" w:rsidP="08240A2E">
      <w:pPr>
        <w:pStyle w:val="Rejstk1"/>
        <w:tabs>
          <w:tab w:val="right" w:leader="dot" w:pos="4171"/>
        </w:tabs>
        <w:spacing w:line="240" w:lineRule="auto"/>
      </w:pPr>
      <w:r>
        <w:t>Friedrich II.</w:t>
      </w:r>
      <w:r w:rsidR="08240A2E">
        <w:tab/>
        <w:t>110, 142, 152, 153, 236</w:t>
      </w:r>
    </w:p>
    <w:p w14:paraId="7F957515" w14:textId="77777777" w:rsidR="08240A2E" w:rsidRDefault="08240A2E" w:rsidP="08240A2E">
      <w:pPr>
        <w:pStyle w:val="Rejstk1"/>
        <w:tabs>
          <w:tab w:val="right" w:leader="dot" w:pos="4171"/>
        </w:tabs>
        <w:spacing w:line="240" w:lineRule="auto"/>
      </w:pPr>
      <w:r w:rsidRPr="001F5DB8">
        <w:rPr>
          <w:i/>
        </w:rPr>
        <w:t>fronésis</w:t>
      </w:r>
      <w:r>
        <w:tab/>
        <w:t>333</w:t>
      </w:r>
    </w:p>
    <w:p w14:paraId="23B9A689" w14:textId="77777777" w:rsidR="08240A2E" w:rsidRDefault="08240A2E" w:rsidP="08240A2E">
      <w:pPr>
        <w:pStyle w:val="Rejstk1"/>
        <w:tabs>
          <w:tab w:val="right" w:leader="dot" w:pos="4171"/>
        </w:tabs>
        <w:spacing w:line="240" w:lineRule="auto"/>
      </w:pPr>
      <w:r w:rsidRPr="08387DFD">
        <w:rPr>
          <w:i/>
        </w:rPr>
        <w:t>Fundierung</w:t>
      </w:r>
      <w:r>
        <w:tab/>
        <w:t>574</w:t>
      </w:r>
    </w:p>
    <w:p w14:paraId="24368BA5" w14:textId="77777777" w:rsidR="08240A2E" w:rsidRDefault="08240A2E" w:rsidP="08240A2E">
      <w:pPr>
        <w:pStyle w:val="Rejstk1"/>
        <w:tabs>
          <w:tab w:val="right" w:leader="dot" w:pos="4171"/>
        </w:tabs>
        <w:spacing w:line="240" w:lineRule="auto"/>
      </w:pPr>
      <w:r>
        <w:t>Fúrie</w:t>
      </w:r>
      <w:r>
        <w:tab/>
        <w:t>18</w:t>
      </w:r>
    </w:p>
    <w:p w14:paraId="5B98036B" w14:textId="77777777" w:rsidR="08240A2E" w:rsidRDefault="08240A2E" w:rsidP="08240A2E">
      <w:pPr>
        <w:pStyle w:val="Rejstk1"/>
        <w:tabs>
          <w:tab w:val="right" w:leader="dot" w:pos="4171"/>
        </w:tabs>
        <w:spacing w:line="240" w:lineRule="auto"/>
      </w:pPr>
      <w:r>
        <w:t>Galileo Galilei</w:t>
      </w:r>
      <w:r>
        <w:tab/>
        <w:t>697</w:t>
      </w:r>
    </w:p>
    <w:p w14:paraId="71C80ED6" w14:textId="77777777" w:rsidR="08240A2E" w:rsidRDefault="08240A2E" w:rsidP="08387DFD">
      <w:pPr>
        <w:pStyle w:val="Rejstk1"/>
        <w:tabs>
          <w:tab w:val="right" w:leader="dot" w:pos="4171"/>
        </w:tabs>
        <w:spacing w:line="240" w:lineRule="auto"/>
      </w:pPr>
      <w:r w:rsidRPr="001F5DB8">
        <w:rPr>
          <w:color w:val="000000"/>
        </w:rPr>
        <w:t xml:space="preserve">Gaunilo de </w:t>
      </w:r>
      <w:r>
        <w:t>Marmoutiers</w:t>
      </w:r>
      <w:r w:rsidR="08387DFD">
        <w:t>, viz Index locorum</w:t>
      </w:r>
    </w:p>
    <w:p w14:paraId="22EE2852" w14:textId="77777777" w:rsidR="08240A2E" w:rsidRDefault="08240A2E" w:rsidP="08240A2E">
      <w:pPr>
        <w:pStyle w:val="Rejstk1"/>
        <w:tabs>
          <w:tab w:val="right" w:leader="dot" w:pos="4171"/>
        </w:tabs>
        <w:spacing w:line="240" w:lineRule="auto"/>
      </w:pPr>
      <w:r>
        <w:rPr>
          <w:lang w:eastAsia="en-US"/>
        </w:rPr>
        <w:t>Gauthier, A. R.</w:t>
      </w:r>
      <w:r>
        <w:tab/>
        <w:t>107, 118, 157, 174, 338, 404</w:t>
      </w:r>
    </w:p>
    <w:p w14:paraId="258D9FF1" w14:textId="77777777" w:rsidR="08240A2E" w:rsidRDefault="08240A2E" w:rsidP="08240A2E">
      <w:pPr>
        <w:pStyle w:val="Rejstk1"/>
        <w:tabs>
          <w:tab w:val="right" w:leader="dot" w:pos="4171"/>
        </w:tabs>
        <w:spacing w:line="240" w:lineRule="auto"/>
      </w:pPr>
      <w:r>
        <w:t>Gennadius z Marseille</w:t>
      </w:r>
      <w:r>
        <w:tab/>
        <w:t>465</w:t>
      </w:r>
    </w:p>
    <w:p w14:paraId="453DA556" w14:textId="77777777" w:rsidR="08240A2E" w:rsidRDefault="08240A2E" w:rsidP="08240A2E">
      <w:pPr>
        <w:pStyle w:val="Rejstk1"/>
        <w:tabs>
          <w:tab w:val="right" w:leader="dot" w:pos="4171"/>
        </w:tabs>
        <w:spacing w:line="240" w:lineRule="auto"/>
      </w:pPr>
      <w:r>
        <w:t>Gérard d'Abbeville</w:t>
      </w:r>
      <w:r>
        <w:tab/>
        <w:t>616, 682</w:t>
      </w:r>
    </w:p>
    <w:p w14:paraId="68FCA457" w14:textId="77777777" w:rsidR="08240A2E" w:rsidRDefault="08240A2E" w:rsidP="08240A2E">
      <w:pPr>
        <w:pStyle w:val="Rejstk1"/>
        <w:tabs>
          <w:tab w:val="right" w:leader="dot" w:pos="4171"/>
        </w:tabs>
        <w:spacing w:line="240" w:lineRule="auto"/>
      </w:pPr>
      <w:r>
        <w:t>Gerhard z Cremony</w:t>
      </w:r>
      <w:r>
        <w:tab/>
        <w:t>464</w:t>
      </w:r>
    </w:p>
    <w:p w14:paraId="3F397E1D" w14:textId="77777777" w:rsidR="08240A2E" w:rsidRDefault="08240A2E" w:rsidP="08240A2E">
      <w:pPr>
        <w:pStyle w:val="Rejstk1"/>
        <w:tabs>
          <w:tab w:val="right" w:leader="dot" w:pos="4171"/>
        </w:tabs>
        <w:spacing w:line="240" w:lineRule="auto"/>
      </w:pPr>
      <w:r>
        <w:t>Gerloch von Reichersberg</w:t>
      </w:r>
      <w:r w:rsidR="08387DFD">
        <w:t xml:space="preserve">, viz </w:t>
      </w:r>
      <w:r w:rsidR="08387DFD" w:rsidRPr="08387DFD">
        <w:rPr>
          <w:i/>
        </w:rPr>
        <w:t>Index locorum</w:t>
      </w:r>
    </w:p>
    <w:p w14:paraId="1BA7F694" w14:textId="77777777" w:rsidR="08240A2E" w:rsidRDefault="08240A2E" w:rsidP="08240A2E">
      <w:pPr>
        <w:pStyle w:val="Rejstk1"/>
        <w:tabs>
          <w:tab w:val="right" w:leader="dot" w:pos="4171"/>
        </w:tabs>
        <w:spacing w:line="240" w:lineRule="auto"/>
      </w:pPr>
      <w:r w:rsidRPr="001F5DB8">
        <w:rPr>
          <w:i/>
        </w:rPr>
        <w:t>Geschick</w:t>
      </w:r>
      <w:r>
        <w:tab/>
        <w:t>269</w:t>
      </w:r>
    </w:p>
    <w:p w14:paraId="15AB4FA7" w14:textId="77777777" w:rsidR="08240A2E" w:rsidRDefault="08240A2E" w:rsidP="08240A2E">
      <w:pPr>
        <w:pStyle w:val="Rejstk1"/>
        <w:tabs>
          <w:tab w:val="right" w:leader="dot" w:pos="4171"/>
        </w:tabs>
        <w:spacing w:line="240" w:lineRule="auto"/>
      </w:pPr>
      <w:r w:rsidRPr="001F5DB8">
        <w:rPr>
          <w:i/>
        </w:rPr>
        <w:t>Ge-Stell</w:t>
      </w:r>
      <w:r>
        <w:tab/>
        <w:t>397</w:t>
      </w:r>
    </w:p>
    <w:p w14:paraId="681B82DF" w14:textId="77777777" w:rsidR="08240A2E" w:rsidRDefault="08240A2E" w:rsidP="08240A2E">
      <w:pPr>
        <w:pStyle w:val="Rejstk1"/>
        <w:tabs>
          <w:tab w:val="right" w:leader="dot" w:pos="4171"/>
        </w:tabs>
        <w:spacing w:line="240" w:lineRule="auto"/>
      </w:pPr>
      <w:r w:rsidRPr="001F5DB8">
        <w:rPr>
          <w:i/>
        </w:rPr>
        <w:t>Geviert</w:t>
      </w:r>
      <w:r>
        <w:tab/>
        <w:t>330</w:t>
      </w:r>
    </w:p>
    <w:p w14:paraId="0278909D" w14:textId="77777777" w:rsidR="08240A2E" w:rsidRDefault="08240A2E" w:rsidP="08240A2E">
      <w:pPr>
        <w:pStyle w:val="Rejstk1"/>
        <w:tabs>
          <w:tab w:val="right" w:leader="dot" w:pos="4171"/>
        </w:tabs>
        <w:spacing w:line="240" w:lineRule="auto"/>
      </w:pPr>
      <w:r w:rsidRPr="001F5DB8">
        <w:rPr>
          <w:bCs/>
        </w:rPr>
        <w:t>Gilbert z Tournai</w:t>
      </w:r>
      <w:r>
        <w:tab/>
        <w:t>684</w:t>
      </w:r>
    </w:p>
    <w:p w14:paraId="66508437" w14:textId="77777777" w:rsidR="08240A2E" w:rsidRDefault="08240A2E" w:rsidP="08387DFD">
      <w:pPr>
        <w:pStyle w:val="Rejstk1"/>
        <w:tabs>
          <w:tab w:val="right" w:leader="dot" w:pos="4171"/>
        </w:tabs>
        <w:spacing w:line="240" w:lineRule="auto"/>
      </w:pPr>
      <w:r>
        <w:t>Gilbertus Porretanus</w:t>
      </w:r>
      <w:r w:rsidR="08387DFD">
        <w:t xml:space="preserve">, </w:t>
      </w:r>
      <w:r>
        <w:t xml:space="preserve">viz </w:t>
      </w:r>
      <w:r w:rsidRPr="001F5DB8">
        <w:rPr>
          <w:i/>
        </w:rPr>
        <w:t>Index locorum</w:t>
      </w:r>
    </w:p>
    <w:p w14:paraId="39ED2021" w14:textId="77777777" w:rsidR="08240A2E" w:rsidRDefault="08240A2E" w:rsidP="08240A2E">
      <w:pPr>
        <w:pStyle w:val="Rejstk1"/>
        <w:tabs>
          <w:tab w:val="right" w:leader="dot" w:pos="4171"/>
        </w:tabs>
        <w:spacing w:line="240" w:lineRule="auto"/>
      </w:pPr>
      <w:r>
        <w:t>Gilson, E.</w:t>
      </w:r>
      <w:r>
        <w:tab/>
        <w:t>100, 199, 237, 323, 327, 332, 408, 479, 494</w:t>
      </w:r>
    </w:p>
    <w:p w14:paraId="58F65CEA" w14:textId="77777777" w:rsidR="08240A2E" w:rsidRDefault="08240A2E" w:rsidP="08240A2E">
      <w:pPr>
        <w:pStyle w:val="Rejstk1"/>
        <w:tabs>
          <w:tab w:val="right" w:leader="dot" w:pos="4171"/>
        </w:tabs>
        <w:spacing w:line="240" w:lineRule="auto"/>
      </w:pPr>
      <w:r w:rsidRPr="001F5DB8">
        <w:rPr>
          <w:i/>
        </w:rPr>
        <w:t>global village</w:t>
      </w:r>
      <w:r>
        <w:tab/>
        <w:t>329</w:t>
      </w:r>
    </w:p>
    <w:p w14:paraId="7E576F6B" w14:textId="77777777" w:rsidR="08240A2E" w:rsidRDefault="08240A2E" w:rsidP="08240A2E">
      <w:pPr>
        <w:pStyle w:val="Rejstk1"/>
        <w:tabs>
          <w:tab w:val="right" w:leader="dot" w:pos="4171"/>
        </w:tabs>
        <w:spacing w:line="240" w:lineRule="auto"/>
      </w:pPr>
      <w:r>
        <w:t>globální oteplování</w:t>
      </w:r>
      <w:r>
        <w:tab/>
        <w:t>492</w:t>
      </w:r>
    </w:p>
    <w:p w14:paraId="7B5A6A15" w14:textId="77777777" w:rsidR="08240A2E" w:rsidRDefault="08240A2E" w:rsidP="08240A2E">
      <w:pPr>
        <w:pStyle w:val="Rejstk1"/>
        <w:tabs>
          <w:tab w:val="right" w:leader="dot" w:pos="4171"/>
        </w:tabs>
        <w:spacing w:line="240" w:lineRule="auto"/>
      </w:pPr>
      <w:r>
        <w:t>Goclenius, R.</w:t>
      </w:r>
      <w:r>
        <w:tab/>
        <w:t>703</w:t>
      </w:r>
    </w:p>
    <w:p w14:paraId="56A49E8A" w14:textId="77777777" w:rsidR="08240A2E" w:rsidRDefault="08240A2E" w:rsidP="08240A2E">
      <w:pPr>
        <w:pStyle w:val="Rejstk1"/>
        <w:tabs>
          <w:tab w:val="right" w:leader="dot" w:pos="4171"/>
        </w:tabs>
        <w:spacing w:line="240" w:lineRule="auto"/>
      </w:pPr>
      <w:r>
        <w:t>Godfrey od Sv. Victora</w:t>
      </w:r>
      <w:r w:rsidR="08387DFD">
        <w:t xml:space="preserve">, viz </w:t>
      </w:r>
      <w:r w:rsidR="08387DFD" w:rsidRPr="08387DFD">
        <w:rPr>
          <w:i/>
        </w:rPr>
        <w:t>Index locorum</w:t>
      </w:r>
      <w:r>
        <w:tab/>
        <w:t>97, 323, 329, 433</w:t>
      </w:r>
    </w:p>
    <w:p w14:paraId="0462F82B" w14:textId="77777777" w:rsidR="08240A2E" w:rsidRDefault="08240A2E" w:rsidP="08240A2E">
      <w:pPr>
        <w:pStyle w:val="Rejstk1"/>
        <w:tabs>
          <w:tab w:val="right" w:leader="dot" w:pos="4171"/>
        </w:tabs>
        <w:spacing w:line="240" w:lineRule="auto"/>
      </w:pPr>
      <w:r>
        <w:t>Goldman Sachs</w:t>
      </w:r>
      <w:r>
        <w:tab/>
        <w:t>431</w:t>
      </w:r>
    </w:p>
    <w:p w14:paraId="63D7298A" w14:textId="77777777" w:rsidR="08387DFD" w:rsidRDefault="08240A2E" w:rsidP="08387DFD">
      <w:pPr>
        <w:pStyle w:val="Rejstk1"/>
        <w:tabs>
          <w:tab w:val="right" w:leader="dot" w:pos="4171"/>
        </w:tabs>
        <w:spacing w:line="240" w:lineRule="auto"/>
      </w:pPr>
      <w:r w:rsidRPr="001F5DB8">
        <w:rPr>
          <w:i/>
        </w:rPr>
        <w:t>grammatica speculativa</w:t>
      </w:r>
      <w:r>
        <w:tab/>
        <w:t>95</w:t>
      </w:r>
    </w:p>
    <w:p w14:paraId="50617B82" w14:textId="77777777" w:rsidR="08240A2E" w:rsidRDefault="08387DFD" w:rsidP="08387DFD">
      <w:pPr>
        <w:pStyle w:val="Rejstk1"/>
        <w:tabs>
          <w:tab w:val="right" w:leader="dot" w:pos="4171"/>
        </w:tabs>
        <w:spacing w:line="240" w:lineRule="auto"/>
      </w:pPr>
      <w:r>
        <w:t xml:space="preserve">Grosseteste, viz </w:t>
      </w:r>
      <w:r w:rsidRPr="08387DFD">
        <w:rPr>
          <w:i/>
        </w:rPr>
        <w:t>Index locorum</w:t>
      </w:r>
    </w:p>
    <w:p w14:paraId="46CC050A" w14:textId="77777777" w:rsidR="08240A2E" w:rsidRDefault="08240A2E" w:rsidP="08240A2E">
      <w:pPr>
        <w:pStyle w:val="Rejstk1"/>
        <w:tabs>
          <w:tab w:val="right" w:leader="dot" w:pos="4171"/>
        </w:tabs>
        <w:spacing w:line="240" w:lineRule="auto"/>
      </w:pPr>
      <w:r>
        <w:t>Gualterus de Mauritania</w:t>
      </w:r>
      <w:r>
        <w:tab/>
        <w:t>68</w:t>
      </w:r>
    </w:p>
    <w:p w14:paraId="1BEA302B" w14:textId="77777777" w:rsidR="08240A2E" w:rsidRDefault="08240A2E" w:rsidP="08240A2E">
      <w:pPr>
        <w:pStyle w:val="Rejstk1"/>
        <w:tabs>
          <w:tab w:val="right" w:leader="dot" w:pos="4171"/>
        </w:tabs>
        <w:spacing w:line="240" w:lineRule="auto"/>
      </w:pPr>
      <w:r>
        <w:t>Guilelmus de Sancto Amore</w:t>
      </w:r>
      <w:r>
        <w:tab/>
        <w:t>350</w:t>
      </w:r>
    </w:p>
    <w:p w14:paraId="0246ABCE" w14:textId="77777777" w:rsidR="08240A2E" w:rsidRDefault="08240A2E" w:rsidP="086071EE">
      <w:pPr>
        <w:pStyle w:val="Rejstk1"/>
        <w:tabs>
          <w:tab w:val="right" w:leader="dot" w:pos="4171"/>
        </w:tabs>
        <w:spacing w:line="240" w:lineRule="auto"/>
      </w:pPr>
      <w:r w:rsidRPr="001F5DB8">
        <w:rPr>
          <w:bCs/>
        </w:rPr>
        <w:t>Guilielmus Alvernus</w:t>
      </w:r>
      <w:r w:rsidR="086071EE">
        <w:rPr>
          <w:bCs/>
        </w:rPr>
        <w:tab/>
      </w:r>
      <w:r>
        <w:t>141</w:t>
      </w:r>
    </w:p>
    <w:p w14:paraId="6C39AA91" w14:textId="77777777" w:rsidR="08240A2E" w:rsidRDefault="08240A2E" w:rsidP="08240A2E">
      <w:pPr>
        <w:pStyle w:val="Rejstk1"/>
        <w:tabs>
          <w:tab w:val="right" w:leader="dot" w:pos="4171"/>
        </w:tabs>
        <w:spacing w:line="240" w:lineRule="auto"/>
      </w:pPr>
      <w:r>
        <w:t>Guillaume de Bonkes</w:t>
      </w:r>
      <w:r>
        <w:tab/>
        <w:t>671</w:t>
      </w:r>
    </w:p>
    <w:p w14:paraId="7B51675F" w14:textId="77777777" w:rsidR="08240A2E" w:rsidRDefault="08240A2E" w:rsidP="08240A2E">
      <w:pPr>
        <w:pStyle w:val="Rejstk1"/>
        <w:tabs>
          <w:tab w:val="right" w:leader="dot" w:pos="4171"/>
        </w:tabs>
        <w:spacing w:line="240" w:lineRule="auto"/>
      </w:pPr>
      <w:r>
        <w:t>Guillaume de Champeaux</w:t>
      </w:r>
      <w:r>
        <w:tab/>
        <w:t>92, 687</w:t>
      </w:r>
    </w:p>
    <w:p w14:paraId="7CF7B19A" w14:textId="77777777" w:rsidR="08240A2E" w:rsidRDefault="08240A2E" w:rsidP="08240A2E">
      <w:pPr>
        <w:pStyle w:val="Rejstk1"/>
        <w:tabs>
          <w:tab w:val="right" w:leader="dot" w:pos="4171"/>
        </w:tabs>
        <w:spacing w:line="240" w:lineRule="auto"/>
      </w:pPr>
      <w:r>
        <w:t>Guillaume de Walcote</w:t>
      </w:r>
      <w:r>
        <w:tab/>
        <w:t>671</w:t>
      </w:r>
    </w:p>
    <w:p w14:paraId="45655828" w14:textId="77777777" w:rsidR="08240A2E" w:rsidRDefault="08240A2E" w:rsidP="08240A2E">
      <w:pPr>
        <w:pStyle w:val="Rejstk1"/>
        <w:tabs>
          <w:tab w:val="right" w:leader="dot" w:pos="4171"/>
        </w:tabs>
        <w:spacing w:line="240" w:lineRule="auto"/>
      </w:pPr>
      <w:r>
        <w:t>Guillelmus de Sancto Amore</w:t>
      </w:r>
      <w:r>
        <w:tab/>
        <w:t>337, 566, 616, 682, 690, 695</w:t>
      </w:r>
    </w:p>
    <w:p w14:paraId="5BF3D012" w14:textId="77777777" w:rsidR="08240A2E" w:rsidRDefault="08240A2E" w:rsidP="08240A2E">
      <w:pPr>
        <w:pStyle w:val="Rejstk1"/>
        <w:tabs>
          <w:tab w:val="right" w:leader="dot" w:pos="4171"/>
        </w:tabs>
        <w:spacing w:line="240" w:lineRule="auto"/>
      </w:pPr>
      <w:r>
        <w:t>Guillelmus de Sancto Amore</w:t>
      </w:r>
      <w:r>
        <w:tab/>
        <w:t>335</w:t>
      </w:r>
    </w:p>
    <w:p w14:paraId="33821EB4" w14:textId="77777777" w:rsidR="08240A2E" w:rsidRDefault="08240A2E" w:rsidP="08240A2E">
      <w:pPr>
        <w:pStyle w:val="Rejstk1"/>
        <w:tabs>
          <w:tab w:val="right" w:leader="dot" w:pos="4171"/>
        </w:tabs>
        <w:spacing w:line="240" w:lineRule="auto"/>
      </w:pPr>
      <w:r>
        <w:t>Gundissalinus, D.</w:t>
      </w:r>
      <w:r w:rsidR="08F23369">
        <w:t xml:space="preserve">, viz </w:t>
      </w:r>
      <w:r w:rsidR="08F23369" w:rsidRPr="08F23369">
        <w:rPr>
          <w:i/>
        </w:rPr>
        <w:t>Index locorum</w:t>
      </w:r>
      <w:r>
        <w:tab/>
        <w:t>83, 111, 115, 142, 332, 463, 464, 491</w:t>
      </w:r>
    </w:p>
    <w:p w14:paraId="30CBBDB3" w14:textId="0FA9D4ED" w:rsidR="00593546" w:rsidRPr="00C8572E" w:rsidRDefault="00593546" w:rsidP="00593546">
      <w:pPr>
        <w:pStyle w:val="Rejstk1"/>
        <w:tabs>
          <w:tab w:val="right" w:leader="dot" w:pos="4171"/>
        </w:tabs>
        <w:spacing w:line="240" w:lineRule="auto"/>
        <w:rPr>
          <w:b/>
        </w:rPr>
      </w:pPr>
      <w:r>
        <w:rPr>
          <w:b/>
        </w:rPr>
        <w:t>H, Ch</w:t>
      </w:r>
    </w:p>
    <w:p w14:paraId="21E0A2E7" w14:textId="77777777" w:rsidR="08240A2E" w:rsidRDefault="08240A2E" w:rsidP="08240A2E">
      <w:pPr>
        <w:pStyle w:val="Rejstk1"/>
        <w:tabs>
          <w:tab w:val="right" w:leader="dot" w:pos="4171"/>
        </w:tabs>
        <w:spacing w:line="240" w:lineRule="auto"/>
      </w:pPr>
      <w:r w:rsidRPr="001F5DB8">
        <w:rPr>
          <w:i/>
        </w:rPr>
        <w:t>habitus innatus</w:t>
      </w:r>
      <w:r>
        <w:tab/>
        <w:t>262</w:t>
      </w:r>
    </w:p>
    <w:p w14:paraId="41D644A5" w14:textId="77777777" w:rsidR="08240A2E" w:rsidRDefault="08240A2E" w:rsidP="08240A2E">
      <w:pPr>
        <w:pStyle w:val="Rejstk1"/>
        <w:tabs>
          <w:tab w:val="right" w:leader="dot" w:pos="4171"/>
        </w:tabs>
        <w:spacing w:line="240" w:lineRule="auto"/>
      </w:pPr>
      <w:r w:rsidRPr="001F5DB8">
        <w:rPr>
          <w:i/>
        </w:rPr>
        <w:t>haecceitas</w:t>
      </w:r>
      <w:r>
        <w:tab/>
        <w:t>586</w:t>
      </w:r>
    </w:p>
    <w:p w14:paraId="541447C8" w14:textId="77777777" w:rsidR="08240A2E" w:rsidRDefault="08240A2E" w:rsidP="08240A2E">
      <w:pPr>
        <w:pStyle w:val="Rejstk1"/>
        <w:tabs>
          <w:tab w:val="right" w:leader="dot" w:pos="4171"/>
        </w:tabs>
        <w:spacing w:line="240" w:lineRule="auto"/>
      </w:pPr>
      <w:r>
        <w:t>Hasse, D. N.</w:t>
      </w:r>
      <w:r>
        <w:tab/>
        <w:t>137</w:t>
      </w:r>
    </w:p>
    <w:p w14:paraId="29129554" w14:textId="77777777" w:rsidR="08240A2E" w:rsidRDefault="08240A2E" w:rsidP="08240A2E">
      <w:pPr>
        <w:pStyle w:val="Rejstk1"/>
        <w:tabs>
          <w:tab w:val="right" w:leader="dot" w:pos="4171"/>
        </w:tabs>
        <w:spacing w:line="240" w:lineRule="auto"/>
      </w:pPr>
      <w:r>
        <w:t>Hegel, G. W.</w:t>
      </w:r>
      <w:r w:rsidR="087315D2">
        <w:t xml:space="preserve">, viz </w:t>
      </w:r>
      <w:r w:rsidR="087315D2" w:rsidRPr="087315D2">
        <w:rPr>
          <w:i/>
        </w:rPr>
        <w:t>Index locorum</w:t>
      </w:r>
      <w:r>
        <w:tab/>
        <w:t>10, 58, 567, 568, 652</w:t>
      </w:r>
    </w:p>
    <w:p w14:paraId="48F790E8" w14:textId="77777777" w:rsidR="08240A2E" w:rsidRDefault="08240A2E" w:rsidP="08240A2E">
      <w:pPr>
        <w:pStyle w:val="Rejstk1"/>
        <w:tabs>
          <w:tab w:val="right" w:leader="dot" w:pos="4171"/>
        </w:tabs>
        <w:spacing w:line="240" w:lineRule="auto"/>
      </w:pPr>
      <w:r>
        <w:t>Heidegger</w:t>
      </w:r>
      <w:r w:rsidR="087315D2">
        <w:t xml:space="preserve">, M., viz </w:t>
      </w:r>
      <w:r w:rsidR="087315D2" w:rsidRPr="087315D2">
        <w:rPr>
          <w:i/>
        </w:rPr>
        <w:t>Index locorum</w:t>
      </w:r>
    </w:p>
    <w:p w14:paraId="5C7EE281" w14:textId="77777777" w:rsidR="08240A2E" w:rsidRDefault="08240A2E" w:rsidP="08240A2E">
      <w:pPr>
        <w:pStyle w:val="Rejstk1"/>
        <w:tabs>
          <w:tab w:val="right" w:leader="dot" w:pos="4171"/>
        </w:tabs>
        <w:spacing w:line="240" w:lineRule="auto"/>
      </w:pPr>
      <w:r>
        <w:t>Heloisa</w:t>
      </w:r>
      <w:r>
        <w:tab/>
        <w:t>44</w:t>
      </w:r>
    </w:p>
    <w:p w14:paraId="0AC460FC" w14:textId="77777777" w:rsidR="08240A2E" w:rsidRDefault="08240A2E" w:rsidP="08240A2E">
      <w:pPr>
        <w:pStyle w:val="Rejstk1"/>
        <w:tabs>
          <w:tab w:val="right" w:leader="dot" w:pos="4171"/>
        </w:tabs>
        <w:spacing w:line="240" w:lineRule="auto"/>
      </w:pPr>
      <w:r w:rsidRPr="001F5DB8">
        <w:rPr>
          <w:lang w:val="en-US"/>
        </w:rPr>
        <w:t xml:space="preserve">Henri </w:t>
      </w:r>
      <w:r>
        <w:t>d'Andeli</w:t>
      </w:r>
      <w:r w:rsidR="087315D2">
        <w:t xml:space="preserve">, </w:t>
      </w:r>
      <w:r w:rsidR="080B0FAD">
        <w:t xml:space="preserve">viz </w:t>
      </w:r>
      <w:r w:rsidR="080B0FAD" w:rsidRPr="087315D2">
        <w:rPr>
          <w:i/>
        </w:rPr>
        <w:t>Index locorum</w:t>
      </w:r>
    </w:p>
    <w:p w14:paraId="2AC9492A" w14:textId="77777777" w:rsidR="08240A2E" w:rsidRDefault="080B0FAD" w:rsidP="08240A2E">
      <w:pPr>
        <w:pStyle w:val="Rejstk1"/>
        <w:tabs>
          <w:tab w:val="right" w:leader="dot" w:pos="4171"/>
        </w:tabs>
        <w:spacing w:line="240" w:lineRule="auto"/>
      </w:pPr>
      <w:r>
        <w:t>Henry d'</w:t>
      </w:r>
      <w:r w:rsidR="08240A2E">
        <w:t>Avranches</w:t>
      </w:r>
      <w:r>
        <w:t xml:space="preserve">, viz </w:t>
      </w:r>
      <w:r w:rsidRPr="087315D2">
        <w:rPr>
          <w:i/>
        </w:rPr>
        <w:t>Index locorum</w:t>
      </w:r>
      <w:r w:rsidR="08240A2E">
        <w:tab/>
        <w:t>143</w:t>
      </w:r>
    </w:p>
    <w:p w14:paraId="07088AC8" w14:textId="77777777" w:rsidR="08240A2E" w:rsidRDefault="08240A2E" w:rsidP="08240A2E">
      <w:pPr>
        <w:pStyle w:val="Rejstk1"/>
        <w:tabs>
          <w:tab w:val="right" w:leader="dot" w:pos="4171"/>
        </w:tabs>
        <w:spacing w:line="240" w:lineRule="auto"/>
      </w:pPr>
      <w:r>
        <w:t>Hérakleitos z</w:t>
      </w:r>
      <w:r w:rsidR="088C2459">
        <w:t> </w:t>
      </w:r>
      <w:r>
        <w:t>Efezu</w:t>
      </w:r>
      <w:r w:rsidR="088C2459">
        <w:t xml:space="preserve">, viz </w:t>
      </w:r>
      <w:r w:rsidR="088C2459" w:rsidRPr="088C2459">
        <w:rPr>
          <w:i/>
        </w:rPr>
        <w:t>Index locorum</w:t>
      </w:r>
    </w:p>
    <w:p w14:paraId="6DC0C8CF" w14:textId="77777777" w:rsidR="08240A2E" w:rsidRDefault="08240A2E" w:rsidP="08240A2E">
      <w:pPr>
        <w:pStyle w:val="Rejstk1"/>
        <w:tabs>
          <w:tab w:val="right" w:leader="dot" w:pos="4171"/>
        </w:tabs>
        <w:spacing w:line="240" w:lineRule="auto"/>
      </w:pPr>
      <w:r>
        <w:t>hermeneutická triáda</w:t>
      </w:r>
      <w:r>
        <w:tab/>
        <w:t>5, 9, 12, 106, 395</w:t>
      </w:r>
    </w:p>
    <w:p w14:paraId="17E4A935" w14:textId="77777777" w:rsidR="08240A2E" w:rsidRDefault="08240A2E" w:rsidP="08240A2E">
      <w:pPr>
        <w:pStyle w:val="Rejstk1"/>
        <w:tabs>
          <w:tab w:val="right" w:leader="dot" w:pos="4171"/>
        </w:tabs>
        <w:spacing w:line="240" w:lineRule="auto"/>
      </w:pPr>
      <w:r>
        <w:t xml:space="preserve">hermeneutické </w:t>
      </w:r>
      <w:r w:rsidRPr="001F5DB8">
        <w:rPr>
          <w:i/>
        </w:rPr>
        <w:t>Wie</w:t>
      </w:r>
      <w:r>
        <w:tab/>
        <w:t>7</w:t>
      </w:r>
    </w:p>
    <w:p w14:paraId="3A3C2168" w14:textId="77777777" w:rsidR="08240A2E" w:rsidRDefault="08240A2E" w:rsidP="08240A2E">
      <w:pPr>
        <w:pStyle w:val="Rejstk2"/>
        <w:tabs>
          <w:tab w:val="right" w:leader="dot" w:pos="4171"/>
        </w:tabs>
        <w:spacing w:line="240" w:lineRule="auto"/>
      </w:pPr>
      <w:r>
        <w:t>Alvernus</w:t>
      </w:r>
      <w:r>
        <w:tab/>
        <w:t>194</w:t>
      </w:r>
    </w:p>
    <w:p w14:paraId="2FDA73BD" w14:textId="77777777" w:rsidR="08240A2E" w:rsidRDefault="08240A2E" w:rsidP="08240A2E">
      <w:pPr>
        <w:pStyle w:val="Rejstk2"/>
        <w:tabs>
          <w:tab w:val="right" w:leader="dot" w:pos="4171"/>
        </w:tabs>
        <w:spacing w:line="240" w:lineRule="auto"/>
      </w:pPr>
      <w:r>
        <w:t>Avicenna</w:t>
      </w:r>
      <w:r>
        <w:tab/>
        <w:t>116</w:t>
      </w:r>
    </w:p>
    <w:p w14:paraId="6A96F525" w14:textId="77777777" w:rsidR="08240A2E" w:rsidRDefault="08240A2E" w:rsidP="08240A2E">
      <w:pPr>
        <w:pStyle w:val="Rejstk2"/>
        <w:tabs>
          <w:tab w:val="right" w:leader="dot" w:pos="4171"/>
        </w:tabs>
        <w:spacing w:line="240" w:lineRule="auto"/>
      </w:pPr>
      <w:r>
        <w:t>Grosseteste</w:t>
      </w:r>
      <w:r>
        <w:tab/>
        <w:t>416</w:t>
      </w:r>
    </w:p>
    <w:p w14:paraId="3C478454" w14:textId="77777777" w:rsidR="08240A2E" w:rsidRDefault="08240A2E" w:rsidP="08240A2E">
      <w:pPr>
        <w:pStyle w:val="Rejstk2"/>
        <w:tabs>
          <w:tab w:val="right" w:leader="dot" w:pos="4171"/>
        </w:tabs>
        <w:spacing w:line="240" w:lineRule="auto"/>
      </w:pPr>
      <w:r>
        <w:t>Rufus</w:t>
      </w:r>
      <w:r>
        <w:tab/>
        <w:t>529</w:t>
      </w:r>
    </w:p>
    <w:p w14:paraId="1EAC55F9" w14:textId="77777777" w:rsidR="08240A2E" w:rsidRDefault="08240A2E" w:rsidP="08240A2E">
      <w:pPr>
        <w:pStyle w:val="Rejstk1"/>
        <w:tabs>
          <w:tab w:val="right" w:leader="dot" w:pos="4171"/>
        </w:tabs>
        <w:spacing w:line="240" w:lineRule="auto"/>
      </w:pPr>
      <w:r>
        <w:t>hermeneutický trojúhelník</w:t>
      </w:r>
      <w:r>
        <w:tab/>
        <w:t>241</w:t>
      </w:r>
    </w:p>
    <w:p w14:paraId="546AE18F" w14:textId="77777777" w:rsidR="08240A2E" w:rsidRDefault="08240A2E" w:rsidP="08240A2E">
      <w:pPr>
        <w:pStyle w:val="Rejstk1"/>
        <w:tabs>
          <w:tab w:val="right" w:leader="dot" w:pos="4171"/>
        </w:tabs>
        <w:spacing w:line="240" w:lineRule="auto"/>
      </w:pPr>
      <w:r>
        <w:t>hermeneutika</w:t>
      </w:r>
    </w:p>
    <w:p w14:paraId="235C1C51" w14:textId="77777777" w:rsidR="08240A2E" w:rsidRDefault="08240A2E" w:rsidP="08240A2E">
      <w:pPr>
        <w:pStyle w:val="Rejstk2"/>
        <w:tabs>
          <w:tab w:val="right" w:leader="dot" w:pos="4171"/>
        </w:tabs>
        <w:spacing w:line="240" w:lineRule="auto"/>
      </w:pPr>
      <w:r>
        <w:t>fakticity</w:t>
      </w:r>
      <w:r>
        <w:tab/>
        <w:t>326</w:t>
      </w:r>
    </w:p>
    <w:p w14:paraId="1FB72273" w14:textId="77777777" w:rsidR="08240A2E" w:rsidRDefault="08240A2E" w:rsidP="08240A2E">
      <w:pPr>
        <w:pStyle w:val="Rejstk2"/>
        <w:tabs>
          <w:tab w:val="right" w:leader="dot" w:pos="4171"/>
        </w:tabs>
        <w:spacing w:line="240" w:lineRule="auto"/>
      </w:pPr>
      <w:r>
        <w:t>Heidegger</w:t>
      </w:r>
      <w:r>
        <w:tab/>
        <w:t>700</w:t>
      </w:r>
    </w:p>
    <w:p w14:paraId="4FB15325" w14:textId="77777777" w:rsidR="08240A2E" w:rsidRDefault="08240A2E" w:rsidP="08240A2E">
      <w:pPr>
        <w:pStyle w:val="Rejstk1"/>
        <w:tabs>
          <w:tab w:val="right" w:leader="dot" w:pos="4171"/>
        </w:tabs>
        <w:spacing w:line="240" w:lineRule="auto"/>
      </w:pPr>
      <w:r w:rsidRPr="001F5DB8">
        <w:rPr>
          <w:i/>
        </w:rPr>
        <w:t>High Frequency Trading</w:t>
      </w:r>
      <w:r>
        <w:tab/>
        <w:t>83</w:t>
      </w:r>
    </w:p>
    <w:p w14:paraId="60CF8336" w14:textId="77777777" w:rsidR="08240A2E" w:rsidRDefault="08240A2E" w:rsidP="08240A2E">
      <w:pPr>
        <w:pStyle w:val="Rejstk1"/>
        <w:tabs>
          <w:tab w:val="right" w:leader="dot" w:pos="4171"/>
        </w:tabs>
        <w:spacing w:line="240" w:lineRule="auto"/>
      </w:pPr>
      <w:r>
        <w:t>Hobbes, T.</w:t>
      </w:r>
      <w:r>
        <w:tab/>
        <w:t>326</w:t>
      </w:r>
    </w:p>
    <w:p w14:paraId="13E9A77B" w14:textId="77777777" w:rsidR="08240A2E" w:rsidRDefault="08240A2E" w:rsidP="08240A2E">
      <w:pPr>
        <w:pStyle w:val="Rejstk1"/>
        <w:tabs>
          <w:tab w:val="right" w:leader="dot" w:pos="4171"/>
        </w:tabs>
        <w:spacing w:line="240" w:lineRule="auto"/>
      </w:pPr>
      <w:r w:rsidRPr="001F5DB8">
        <w:rPr>
          <w:i/>
        </w:rPr>
        <w:t>hoc aliquid</w:t>
      </w:r>
    </w:p>
    <w:p w14:paraId="05CACCA4" w14:textId="77777777" w:rsidR="08240A2E" w:rsidRDefault="08240A2E" w:rsidP="08240A2E">
      <w:pPr>
        <w:pStyle w:val="Rejstk2"/>
        <w:tabs>
          <w:tab w:val="right" w:leader="dot" w:pos="4171"/>
        </w:tabs>
        <w:spacing w:line="240" w:lineRule="auto"/>
      </w:pPr>
      <w:r>
        <w:t>Anselm</w:t>
      </w:r>
      <w:r>
        <w:tab/>
        <w:t>27</w:t>
      </w:r>
    </w:p>
    <w:p w14:paraId="50195079" w14:textId="77777777" w:rsidR="08240A2E" w:rsidRDefault="08240A2E" w:rsidP="08240A2E">
      <w:pPr>
        <w:pStyle w:val="Rejstk2"/>
        <w:tabs>
          <w:tab w:val="right" w:leader="dot" w:pos="4171"/>
        </w:tabs>
        <w:spacing w:line="240" w:lineRule="auto"/>
      </w:pPr>
      <w:r>
        <w:t>Averroes</w:t>
      </w:r>
      <w:r>
        <w:tab/>
        <w:t>505</w:t>
      </w:r>
    </w:p>
    <w:p w14:paraId="763101D4" w14:textId="77777777" w:rsidR="08240A2E" w:rsidRDefault="08240A2E" w:rsidP="08240A2E">
      <w:pPr>
        <w:pStyle w:val="Rejstk2"/>
        <w:tabs>
          <w:tab w:val="right" w:leader="dot" w:pos="4171"/>
        </w:tabs>
        <w:spacing w:line="240" w:lineRule="auto"/>
      </w:pPr>
      <w:r>
        <w:t>Avicenna</w:t>
      </w:r>
      <w:r>
        <w:tab/>
        <w:t>197</w:t>
      </w:r>
    </w:p>
    <w:p w14:paraId="512013FB" w14:textId="77777777" w:rsidR="08240A2E" w:rsidRDefault="08240A2E" w:rsidP="08240A2E">
      <w:pPr>
        <w:pStyle w:val="Rejstk2"/>
        <w:tabs>
          <w:tab w:val="right" w:leader="dot" w:pos="4171"/>
        </w:tabs>
        <w:spacing w:line="240" w:lineRule="auto"/>
      </w:pPr>
      <w:r w:rsidRPr="001F5DB8">
        <w:t>druhý averroismus</w:t>
      </w:r>
      <w:r>
        <w:tab/>
        <w:t>277</w:t>
      </w:r>
    </w:p>
    <w:p w14:paraId="56AB68A9" w14:textId="77777777" w:rsidR="08240A2E" w:rsidRDefault="08240A2E" w:rsidP="08240A2E">
      <w:pPr>
        <w:pStyle w:val="Rejstk2"/>
        <w:tabs>
          <w:tab w:val="right" w:leader="dot" w:pos="4171"/>
        </w:tabs>
        <w:spacing w:line="240" w:lineRule="auto"/>
      </w:pPr>
      <w:r w:rsidRPr="001F5DB8">
        <w:t>intelekt</w:t>
      </w:r>
      <w:r>
        <w:tab/>
        <w:t>271, 310</w:t>
      </w:r>
    </w:p>
    <w:p w14:paraId="08DB0B7E" w14:textId="77777777" w:rsidR="08240A2E" w:rsidRDefault="08240A2E" w:rsidP="08240A2E">
      <w:pPr>
        <w:pStyle w:val="Rejstk2"/>
        <w:tabs>
          <w:tab w:val="right" w:leader="dot" w:pos="4171"/>
        </w:tabs>
        <w:spacing w:line="240" w:lineRule="auto"/>
      </w:pPr>
      <w:r>
        <w:t>Rufus</w:t>
      </w:r>
      <w:r>
        <w:tab/>
        <w:t>561</w:t>
      </w:r>
    </w:p>
    <w:p w14:paraId="56548A0F" w14:textId="77777777" w:rsidR="08240A2E" w:rsidRDefault="08240A2E" w:rsidP="08240A2E">
      <w:pPr>
        <w:pStyle w:val="Rejstk1"/>
        <w:tabs>
          <w:tab w:val="right" w:leader="dot" w:pos="4171"/>
        </w:tabs>
        <w:spacing w:line="240" w:lineRule="auto"/>
      </w:pPr>
      <w:r w:rsidRPr="001F5DB8">
        <w:rPr>
          <w:i/>
        </w:rPr>
        <w:t>hoc esse tantum</w:t>
      </w:r>
      <w:r>
        <w:tab/>
        <w:t>15, 84, 139, 227, 228, 372, 384, 428, 553, 666</w:t>
      </w:r>
    </w:p>
    <w:p w14:paraId="04413E84" w14:textId="77777777" w:rsidR="08240A2E" w:rsidRDefault="08240A2E" w:rsidP="08240A2E">
      <w:pPr>
        <w:pStyle w:val="Rejstk2"/>
        <w:tabs>
          <w:tab w:val="right" w:leader="dot" w:pos="4171"/>
        </w:tabs>
        <w:spacing w:line="240" w:lineRule="auto"/>
      </w:pPr>
      <w:r>
        <w:rPr>
          <w:lang w:eastAsia="en-US"/>
        </w:rPr>
        <w:t>porretáni</w:t>
      </w:r>
      <w:r>
        <w:tab/>
        <w:t>65, 90</w:t>
      </w:r>
    </w:p>
    <w:p w14:paraId="5607F1FE" w14:textId="77777777" w:rsidR="08240A2E" w:rsidRDefault="08240A2E" w:rsidP="08240A2E">
      <w:pPr>
        <w:pStyle w:val="Rejstk1"/>
        <w:tabs>
          <w:tab w:val="right" w:leader="dot" w:pos="4171"/>
        </w:tabs>
        <w:spacing w:line="240" w:lineRule="auto"/>
      </w:pPr>
      <w:r w:rsidRPr="001F5DB8">
        <w:rPr>
          <w:color w:val="000000"/>
        </w:rPr>
        <w:t>Hölderlin, F.</w:t>
      </w:r>
      <w:r>
        <w:tab/>
        <w:t>391</w:t>
      </w:r>
    </w:p>
    <w:p w14:paraId="09DB8547" w14:textId="77777777" w:rsidR="08240A2E" w:rsidRPr="08262EAD" w:rsidRDefault="08240A2E" w:rsidP="08240A2E">
      <w:pPr>
        <w:pStyle w:val="Rejstk1"/>
        <w:tabs>
          <w:tab w:val="right" w:leader="dot" w:pos="4171"/>
        </w:tabs>
        <w:spacing w:line="240" w:lineRule="auto"/>
        <w:rPr>
          <w:i/>
        </w:rPr>
      </w:pPr>
      <w:r>
        <w:t>Homer</w:t>
      </w:r>
      <w:r w:rsidR="08262EAD">
        <w:t xml:space="preserve">, viz </w:t>
      </w:r>
      <w:r w:rsidR="08262EAD" w:rsidRPr="08262EAD">
        <w:rPr>
          <w:i/>
        </w:rPr>
        <w:t>Index locorum</w:t>
      </w:r>
    </w:p>
    <w:p w14:paraId="4594ACC4" w14:textId="77777777" w:rsidR="08240A2E" w:rsidRDefault="08240A2E" w:rsidP="08240A2E">
      <w:pPr>
        <w:pStyle w:val="Rejstk1"/>
        <w:tabs>
          <w:tab w:val="right" w:leader="dot" w:pos="4171"/>
        </w:tabs>
        <w:spacing w:line="240" w:lineRule="auto"/>
      </w:pPr>
      <w:r w:rsidRPr="001F5DB8">
        <w:rPr>
          <w:i/>
        </w:rPr>
        <w:t>homo oeconomicus</w:t>
      </w:r>
      <w:r>
        <w:tab/>
        <w:t>103</w:t>
      </w:r>
    </w:p>
    <w:p w14:paraId="73B4A8FA" w14:textId="77777777" w:rsidR="08240A2E" w:rsidRDefault="08240A2E" w:rsidP="08240A2E">
      <w:pPr>
        <w:pStyle w:val="Rejstk1"/>
        <w:tabs>
          <w:tab w:val="right" w:leader="dot" w:pos="4171"/>
        </w:tabs>
        <w:spacing w:line="240" w:lineRule="auto"/>
      </w:pPr>
      <w:r>
        <w:t>homonymie</w:t>
      </w:r>
      <w:r>
        <w:tab/>
        <w:t>29, 88, 557</w:t>
      </w:r>
    </w:p>
    <w:p w14:paraId="74C36D7D" w14:textId="77777777" w:rsidR="08240A2E" w:rsidRDefault="08240A2E" w:rsidP="08240A2E">
      <w:pPr>
        <w:pStyle w:val="Rejstk1"/>
        <w:tabs>
          <w:tab w:val="right" w:leader="dot" w:pos="4171"/>
        </w:tabs>
        <w:spacing w:line="240" w:lineRule="auto"/>
      </w:pPr>
      <w:r>
        <w:t>humanismus</w:t>
      </w:r>
    </w:p>
    <w:p w14:paraId="084C3931" w14:textId="77777777" w:rsidR="08240A2E" w:rsidRDefault="08240A2E" w:rsidP="08240A2E">
      <w:pPr>
        <w:pStyle w:val="Rejstk2"/>
        <w:tabs>
          <w:tab w:val="right" w:leader="dot" w:pos="4171"/>
        </w:tabs>
        <w:spacing w:line="240" w:lineRule="auto"/>
      </w:pPr>
      <w:r>
        <w:t>aristotelský</w:t>
      </w:r>
      <w:r>
        <w:tab/>
        <w:t>161</w:t>
      </w:r>
    </w:p>
    <w:p w14:paraId="6F3ACC1D" w14:textId="77777777" w:rsidR="08240A2E" w:rsidRDefault="08240A2E" w:rsidP="08240A2E">
      <w:pPr>
        <w:pStyle w:val="Rejstk2"/>
        <w:tabs>
          <w:tab w:val="right" w:leader="dot" w:pos="4171"/>
        </w:tabs>
        <w:spacing w:line="240" w:lineRule="auto"/>
      </w:pPr>
      <w:r>
        <w:t>objektivní</w:t>
      </w:r>
      <w:r>
        <w:tab/>
        <w:t>102, 514</w:t>
      </w:r>
    </w:p>
    <w:p w14:paraId="3DB56108" w14:textId="77777777" w:rsidR="08240A2E" w:rsidRDefault="08240A2E" w:rsidP="08240A2E">
      <w:pPr>
        <w:pStyle w:val="Rejstk1"/>
        <w:tabs>
          <w:tab w:val="right" w:leader="dot" w:pos="4171"/>
        </w:tabs>
        <w:spacing w:line="240" w:lineRule="auto"/>
      </w:pPr>
      <w:r w:rsidRPr="001F5DB8">
        <w:rPr>
          <w:i/>
        </w:rPr>
        <w:t>humanitas</w:t>
      </w:r>
    </w:p>
    <w:p w14:paraId="72584A58" w14:textId="77777777" w:rsidR="08240A2E" w:rsidRDefault="08240A2E" w:rsidP="08240A2E">
      <w:pPr>
        <w:pStyle w:val="Rejstk2"/>
        <w:tabs>
          <w:tab w:val="right" w:leader="dot" w:pos="4171"/>
        </w:tabs>
        <w:spacing w:line="240" w:lineRule="auto"/>
      </w:pPr>
      <w:r>
        <w:t>Alvernus</w:t>
      </w:r>
      <w:r>
        <w:tab/>
        <w:t>224</w:t>
      </w:r>
    </w:p>
    <w:p w14:paraId="4028F506" w14:textId="77777777" w:rsidR="08240A2E" w:rsidRDefault="08240A2E" w:rsidP="08240A2E">
      <w:pPr>
        <w:pStyle w:val="Rejstk2"/>
        <w:tabs>
          <w:tab w:val="right" w:leader="dot" w:pos="4171"/>
        </w:tabs>
        <w:spacing w:line="240" w:lineRule="auto"/>
      </w:pPr>
      <w:r>
        <w:t>Gilbertus Porretanus</w:t>
      </w:r>
      <w:r>
        <w:tab/>
        <w:t>56</w:t>
      </w:r>
    </w:p>
    <w:p w14:paraId="7E4CC61C" w14:textId="77777777" w:rsidR="08240A2E" w:rsidRDefault="08240A2E" w:rsidP="08240A2E">
      <w:pPr>
        <w:pStyle w:val="Rejstk2"/>
        <w:tabs>
          <w:tab w:val="right" w:leader="dot" w:pos="4171"/>
        </w:tabs>
        <w:spacing w:line="240" w:lineRule="auto"/>
      </w:pPr>
      <w:r>
        <w:t>porretáni</w:t>
      </w:r>
      <w:r>
        <w:tab/>
        <w:t>85, 90, 102, 217, 345</w:t>
      </w:r>
    </w:p>
    <w:p w14:paraId="625925B1" w14:textId="77777777" w:rsidR="08240A2E" w:rsidRDefault="08240A2E" w:rsidP="08240A2E">
      <w:pPr>
        <w:pStyle w:val="Rejstk2"/>
        <w:tabs>
          <w:tab w:val="right" w:leader="dot" w:pos="4171"/>
        </w:tabs>
        <w:spacing w:line="240" w:lineRule="auto"/>
      </w:pPr>
      <w:r>
        <w:t>Rufus</w:t>
      </w:r>
      <w:r>
        <w:tab/>
        <w:t>536</w:t>
      </w:r>
    </w:p>
    <w:p w14:paraId="1107EB85" w14:textId="77777777" w:rsidR="08262EAD" w:rsidRDefault="08240A2E" w:rsidP="08262EAD">
      <w:pPr>
        <w:pStyle w:val="Rejstk2"/>
        <w:tabs>
          <w:tab w:val="right" w:leader="dot" w:pos="4171"/>
        </w:tabs>
        <w:spacing w:line="240" w:lineRule="auto"/>
      </w:pPr>
      <w:r>
        <w:t>škola Nominales</w:t>
      </w:r>
      <w:r>
        <w:tab/>
        <w:t>70</w:t>
      </w:r>
    </w:p>
    <w:p w14:paraId="77E2F639" w14:textId="77777777" w:rsidR="08240A2E" w:rsidRDefault="08240A2E" w:rsidP="08262EAD">
      <w:pPr>
        <w:pStyle w:val="Rejstk2"/>
        <w:tabs>
          <w:tab w:val="right" w:leader="dot" w:pos="4171"/>
        </w:tabs>
        <w:spacing w:line="240" w:lineRule="auto"/>
        <w:ind w:left="240"/>
      </w:pPr>
      <w:r>
        <w:t>Husserl, E.</w:t>
      </w:r>
      <w:r w:rsidR="08262EAD">
        <w:t xml:space="preserve">, viz </w:t>
      </w:r>
      <w:r w:rsidR="08262EAD" w:rsidRPr="08262EAD">
        <w:rPr>
          <w:i/>
        </w:rPr>
        <w:t>Index locorum</w:t>
      </w:r>
      <w:r w:rsidR="08262EAD">
        <w:tab/>
      </w:r>
      <w:r>
        <w:tab/>
        <w:t>26, 321, 326, 376, 398, 418, 503, 572, 573, 574, 596, 597, 623, 651, 656</w:t>
      </w:r>
    </w:p>
    <w:p w14:paraId="590CEFA7" w14:textId="77777777" w:rsidR="08240A2E" w:rsidRDefault="08240A2E" w:rsidP="08240A2E">
      <w:pPr>
        <w:pStyle w:val="Rejstk1"/>
        <w:tabs>
          <w:tab w:val="right" w:leader="dot" w:pos="4171"/>
        </w:tabs>
        <w:spacing w:line="240" w:lineRule="auto"/>
      </w:pPr>
      <w:r w:rsidRPr="001F5DB8">
        <w:rPr>
          <w:i/>
        </w:rPr>
        <w:t>hýbris</w:t>
      </w:r>
      <w:r>
        <w:tab/>
        <w:t>289</w:t>
      </w:r>
    </w:p>
    <w:p w14:paraId="6052B8C0" w14:textId="77777777" w:rsidR="08240A2E" w:rsidRDefault="08240A2E" w:rsidP="08240A2E">
      <w:pPr>
        <w:pStyle w:val="Rejstk1"/>
        <w:tabs>
          <w:tab w:val="right" w:leader="dot" w:pos="4171"/>
        </w:tabs>
        <w:spacing w:line="240" w:lineRule="auto"/>
      </w:pPr>
      <w:r w:rsidRPr="001F5DB8">
        <w:rPr>
          <w:i/>
        </w:rPr>
        <w:t>hypodoché</w:t>
      </w:r>
      <w:r>
        <w:tab/>
        <w:t>595</w:t>
      </w:r>
    </w:p>
    <w:p w14:paraId="60868AD8" w14:textId="77777777" w:rsidR="08240A2E" w:rsidRDefault="08240A2E" w:rsidP="08240A2E">
      <w:pPr>
        <w:pStyle w:val="Rejstk1"/>
        <w:tabs>
          <w:tab w:val="right" w:leader="dot" w:pos="4171"/>
        </w:tabs>
        <w:spacing w:line="240" w:lineRule="auto"/>
      </w:pPr>
      <w:r>
        <w:t>hypostatická unie</w:t>
      </w:r>
      <w:r>
        <w:tab/>
        <w:t>80, 81</w:t>
      </w:r>
    </w:p>
    <w:p w14:paraId="24896C4B" w14:textId="77777777" w:rsidR="08262EAD" w:rsidRDefault="08240A2E" w:rsidP="08240A2E">
      <w:pPr>
        <w:pStyle w:val="Rejstk1"/>
        <w:tabs>
          <w:tab w:val="right" w:leader="dot" w:pos="4171"/>
        </w:tabs>
        <w:spacing w:line="240" w:lineRule="auto"/>
        <w:rPr>
          <w:rFonts w:cs="Calibri"/>
          <w:i/>
        </w:rPr>
      </w:pPr>
      <w:r w:rsidRPr="001F5DB8">
        <w:rPr>
          <w:rFonts w:cs="Calibri"/>
          <w:i/>
        </w:rPr>
        <w:t>Chartularium</w:t>
      </w:r>
      <w:r w:rsidR="08262EAD" w:rsidRPr="08262EAD">
        <w:rPr>
          <w:rFonts w:cs="Calibri"/>
        </w:rPr>
        <w:t xml:space="preserve">, viz </w:t>
      </w:r>
      <w:r w:rsidR="08262EAD">
        <w:rPr>
          <w:rFonts w:cs="Calibri"/>
          <w:i/>
        </w:rPr>
        <w:t>Index locorum</w:t>
      </w:r>
    </w:p>
    <w:p w14:paraId="470C3B55" w14:textId="77777777" w:rsidR="08240A2E" w:rsidRDefault="08240A2E" w:rsidP="08240A2E">
      <w:pPr>
        <w:pStyle w:val="Rejstk1"/>
        <w:tabs>
          <w:tab w:val="right" w:leader="dot" w:pos="4171"/>
        </w:tabs>
        <w:spacing w:line="240" w:lineRule="auto"/>
      </w:pPr>
      <w:r>
        <w:t>Chenu, M.-D.</w:t>
      </w:r>
      <w:r>
        <w:tab/>
        <w:t>101</w:t>
      </w:r>
    </w:p>
    <w:p w14:paraId="3B4D0DA9" w14:textId="77777777" w:rsidR="08240A2E" w:rsidRDefault="08240A2E" w:rsidP="08240A2E">
      <w:pPr>
        <w:pStyle w:val="Rejstk1"/>
        <w:tabs>
          <w:tab w:val="right" w:leader="dot" w:pos="4171"/>
        </w:tabs>
        <w:spacing w:line="240" w:lineRule="auto"/>
      </w:pPr>
      <w:r>
        <w:t>chiméra</w:t>
      </w:r>
      <w:r>
        <w:tab/>
        <w:t>39, 40, 59, 221, 666</w:t>
      </w:r>
    </w:p>
    <w:p w14:paraId="7BC0BE30" w14:textId="2C4D1EFE" w:rsidR="00593546" w:rsidRDefault="00593546" w:rsidP="00593546">
      <w:pPr>
        <w:pStyle w:val="Rejstk1"/>
        <w:tabs>
          <w:tab w:val="right" w:leader="dot" w:pos="4171"/>
        </w:tabs>
        <w:spacing w:line="240" w:lineRule="auto"/>
        <w:rPr>
          <w:b/>
        </w:rPr>
      </w:pPr>
    </w:p>
    <w:p w14:paraId="6BE51EFF" w14:textId="074DD2D6" w:rsidR="00593546" w:rsidRPr="00C8572E" w:rsidRDefault="00593546" w:rsidP="00593546">
      <w:pPr>
        <w:pStyle w:val="Rejstk1"/>
        <w:tabs>
          <w:tab w:val="right" w:leader="dot" w:pos="4171"/>
        </w:tabs>
        <w:spacing w:line="240" w:lineRule="auto"/>
        <w:rPr>
          <w:b/>
        </w:rPr>
      </w:pPr>
      <w:r>
        <w:rPr>
          <w:b/>
        </w:rPr>
        <w:t>I</w:t>
      </w:r>
    </w:p>
    <w:p w14:paraId="1611E7CF" w14:textId="77777777" w:rsidR="08240A2E" w:rsidRDefault="08240A2E" w:rsidP="08240A2E">
      <w:pPr>
        <w:pStyle w:val="Rejstk1"/>
        <w:tabs>
          <w:tab w:val="right" w:leader="dot" w:pos="4171"/>
        </w:tabs>
        <w:spacing w:line="240" w:lineRule="auto"/>
      </w:pPr>
      <w:r>
        <w:t>Ibn Ádí</w:t>
      </w:r>
      <w:r>
        <w:tab/>
        <w:t>590</w:t>
      </w:r>
    </w:p>
    <w:p w14:paraId="47F6BAC1" w14:textId="77777777" w:rsidR="08240A2E" w:rsidRDefault="08240A2E" w:rsidP="08240A2E">
      <w:pPr>
        <w:pStyle w:val="Rejstk1"/>
        <w:tabs>
          <w:tab w:val="right" w:leader="dot" w:pos="4171"/>
        </w:tabs>
        <w:spacing w:line="240" w:lineRule="auto"/>
      </w:pPr>
      <w:r>
        <w:t>ideologie</w:t>
      </w:r>
      <w:r>
        <w:tab/>
        <w:t>233, 568, 575</w:t>
      </w:r>
    </w:p>
    <w:p w14:paraId="5F674DAF" w14:textId="77777777" w:rsidR="08240A2E" w:rsidRDefault="08240A2E" w:rsidP="08240A2E">
      <w:pPr>
        <w:pStyle w:val="Rejstk1"/>
        <w:tabs>
          <w:tab w:val="right" w:leader="dot" w:pos="4171"/>
        </w:tabs>
        <w:spacing w:line="240" w:lineRule="auto"/>
      </w:pPr>
      <w:r w:rsidRPr="001F5DB8">
        <w:rPr>
          <w:i/>
          <w:lang w:eastAsia="en-US"/>
        </w:rPr>
        <w:t>ifāda</w:t>
      </w:r>
      <w:r>
        <w:tab/>
        <w:t>23</w:t>
      </w:r>
    </w:p>
    <w:p w14:paraId="191C2F08" w14:textId="77777777" w:rsidR="08240A2E" w:rsidRDefault="08240A2E" w:rsidP="08240A2E">
      <w:pPr>
        <w:pStyle w:val="Rejstk1"/>
        <w:tabs>
          <w:tab w:val="right" w:leader="dot" w:pos="4171"/>
        </w:tabs>
        <w:spacing w:line="240" w:lineRule="auto"/>
      </w:pPr>
      <w:r w:rsidRPr="001F5DB8">
        <w:rPr>
          <w:i/>
        </w:rPr>
        <w:t>iltaqaṭa</w:t>
      </w:r>
      <w:r>
        <w:tab/>
        <w:t>67, 596</w:t>
      </w:r>
    </w:p>
    <w:p w14:paraId="6945146E" w14:textId="77777777" w:rsidR="08240A2E" w:rsidRDefault="08240A2E" w:rsidP="08240A2E">
      <w:pPr>
        <w:pStyle w:val="Rejstk1"/>
        <w:tabs>
          <w:tab w:val="right" w:leader="dot" w:pos="4171"/>
        </w:tabs>
        <w:spacing w:line="240" w:lineRule="auto"/>
      </w:pPr>
      <w:r>
        <w:t>iluminace</w:t>
      </w:r>
      <w:r>
        <w:tab/>
        <w:t>113, 177, 260, 355, 375, 448, 454</w:t>
      </w:r>
    </w:p>
    <w:p w14:paraId="1A2DA797" w14:textId="77777777" w:rsidR="08240A2E" w:rsidRDefault="08240A2E" w:rsidP="08240A2E">
      <w:pPr>
        <w:pStyle w:val="Rejstk1"/>
        <w:tabs>
          <w:tab w:val="right" w:leader="dot" w:pos="4171"/>
        </w:tabs>
        <w:spacing w:line="240" w:lineRule="auto"/>
      </w:pPr>
      <w:r>
        <w:t>ilumináti</w:t>
      </w:r>
      <w:r>
        <w:tab/>
        <w:t>114, 199, 301, 303, 308, 397, 418, 426, 446, 448, 450, 453, 493, 535, 562, 569, 596, 651, 661</w:t>
      </w:r>
    </w:p>
    <w:p w14:paraId="64830759" w14:textId="77777777" w:rsidR="08240A2E" w:rsidRDefault="08240A2E" w:rsidP="08240A2E">
      <w:pPr>
        <w:pStyle w:val="Rejstk1"/>
        <w:tabs>
          <w:tab w:val="right" w:leader="dot" w:pos="4171"/>
        </w:tabs>
        <w:spacing w:line="240" w:lineRule="auto"/>
      </w:pPr>
      <w:r>
        <w:t>impozice</w:t>
      </w:r>
    </w:p>
    <w:p w14:paraId="11BDC3B7" w14:textId="30C6D52B" w:rsidR="08240A2E" w:rsidRDefault="00CB3E4F" w:rsidP="08240A2E">
      <w:pPr>
        <w:pStyle w:val="Rejstk2"/>
        <w:tabs>
          <w:tab w:val="right" w:leader="dot" w:pos="4171"/>
        </w:tabs>
        <w:spacing w:line="240" w:lineRule="auto"/>
      </w:pPr>
      <w:r>
        <w:t>Abélard</w:t>
      </w:r>
      <w:r w:rsidR="08240A2E">
        <w:tab/>
        <w:t>25, 33</w:t>
      </w:r>
    </w:p>
    <w:p w14:paraId="380A09EA" w14:textId="77777777" w:rsidR="08240A2E" w:rsidRDefault="08240A2E" w:rsidP="08240A2E">
      <w:pPr>
        <w:pStyle w:val="Rejstk2"/>
        <w:tabs>
          <w:tab w:val="right" w:leader="dot" w:pos="4171"/>
        </w:tabs>
        <w:spacing w:line="240" w:lineRule="auto"/>
      </w:pPr>
      <w:r>
        <w:t>Aristoteles</w:t>
      </w:r>
      <w:r>
        <w:tab/>
        <w:t>393, 459</w:t>
      </w:r>
    </w:p>
    <w:p w14:paraId="742B25F4" w14:textId="77777777" w:rsidR="08240A2E" w:rsidRDefault="08240A2E" w:rsidP="08240A2E">
      <w:pPr>
        <w:pStyle w:val="Rejstk2"/>
        <w:tabs>
          <w:tab w:val="right" w:leader="dot" w:pos="4171"/>
        </w:tabs>
        <w:spacing w:line="240" w:lineRule="auto"/>
      </w:pPr>
      <w:r>
        <w:t>Blund</w:t>
      </w:r>
      <w:r>
        <w:tab/>
        <w:t>139</w:t>
      </w:r>
    </w:p>
    <w:p w14:paraId="365BFA93" w14:textId="77777777" w:rsidR="08240A2E" w:rsidRDefault="08240A2E" w:rsidP="08240A2E">
      <w:pPr>
        <w:pStyle w:val="Rejstk2"/>
        <w:tabs>
          <w:tab w:val="right" w:leader="dot" w:pos="4171"/>
        </w:tabs>
        <w:spacing w:line="240" w:lineRule="auto"/>
      </w:pPr>
      <w:r w:rsidRPr="001F5DB8">
        <w:rPr>
          <w:i/>
        </w:rPr>
        <w:t>Druhé analytiky</w:t>
      </w:r>
      <w:r>
        <w:tab/>
        <w:t>367</w:t>
      </w:r>
    </w:p>
    <w:p w14:paraId="01A8B9D7" w14:textId="77777777" w:rsidR="08240A2E" w:rsidRDefault="08240A2E" w:rsidP="08240A2E">
      <w:pPr>
        <w:pStyle w:val="Rejstk2"/>
        <w:tabs>
          <w:tab w:val="right" w:leader="dot" w:pos="4171"/>
        </w:tabs>
        <w:spacing w:line="240" w:lineRule="auto"/>
      </w:pPr>
      <w:r>
        <w:t>druhý averroismus</w:t>
      </w:r>
      <w:r>
        <w:tab/>
        <w:t>360, 483, 675</w:t>
      </w:r>
    </w:p>
    <w:p w14:paraId="40EE17D1" w14:textId="77777777" w:rsidR="08240A2E" w:rsidRDefault="08240A2E" w:rsidP="08240A2E">
      <w:pPr>
        <w:pStyle w:val="Rejstk2"/>
        <w:tabs>
          <w:tab w:val="right" w:leader="dot" w:pos="4171"/>
        </w:tabs>
        <w:spacing w:line="240" w:lineRule="auto"/>
      </w:pPr>
      <w:r w:rsidRPr="001F5DB8">
        <w:rPr>
          <w:color w:val="000000"/>
        </w:rPr>
        <w:t>Gaunilo</w:t>
      </w:r>
      <w:r>
        <w:tab/>
        <w:t>55</w:t>
      </w:r>
    </w:p>
    <w:p w14:paraId="091474F0" w14:textId="77777777" w:rsidR="08240A2E" w:rsidRDefault="08240A2E" w:rsidP="08240A2E">
      <w:pPr>
        <w:pStyle w:val="Rejstk2"/>
        <w:tabs>
          <w:tab w:val="right" w:leader="dot" w:pos="4171"/>
        </w:tabs>
        <w:spacing w:line="240" w:lineRule="auto"/>
      </w:pPr>
      <w:r w:rsidRPr="001F5DB8">
        <w:rPr>
          <w:i/>
        </w:rPr>
        <w:t>Grammatici</w:t>
      </w:r>
      <w:r>
        <w:tab/>
        <w:t>218</w:t>
      </w:r>
    </w:p>
    <w:p w14:paraId="70D6C91E" w14:textId="77777777" w:rsidR="08240A2E" w:rsidRDefault="08240A2E" w:rsidP="08240A2E">
      <w:pPr>
        <w:pStyle w:val="Rejstk2"/>
        <w:tabs>
          <w:tab w:val="right" w:leader="dot" w:pos="4171"/>
        </w:tabs>
        <w:spacing w:line="240" w:lineRule="auto"/>
      </w:pPr>
      <w:r>
        <w:t>Grosseteste</w:t>
      </w:r>
      <w:r>
        <w:tab/>
        <w:t>361, 368</w:t>
      </w:r>
    </w:p>
    <w:p w14:paraId="7AEE6AFF" w14:textId="77777777" w:rsidR="08240A2E" w:rsidRDefault="08240A2E" w:rsidP="08240A2E">
      <w:pPr>
        <w:pStyle w:val="Rejstk2"/>
        <w:tabs>
          <w:tab w:val="right" w:leader="dot" w:pos="4171"/>
        </w:tabs>
        <w:spacing w:line="240" w:lineRule="auto"/>
      </w:pPr>
      <w:r>
        <w:t>první averroismus</w:t>
      </w:r>
      <w:r>
        <w:tab/>
        <w:t>164, 217, 346, 359, 400</w:t>
      </w:r>
    </w:p>
    <w:p w14:paraId="278BB671" w14:textId="77777777" w:rsidR="08240A2E" w:rsidRDefault="08240A2E" w:rsidP="08240A2E">
      <w:pPr>
        <w:pStyle w:val="Rejstk2"/>
        <w:tabs>
          <w:tab w:val="right" w:leader="dot" w:pos="4171"/>
        </w:tabs>
        <w:spacing w:line="240" w:lineRule="auto"/>
      </w:pPr>
      <w:r>
        <w:t>Rufus</w:t>
      </w:r>
      <w:r>
        <w:tab/>
        <w:t>617</w:t>
      </w:r>
    </w:p>
    <w:p w14:paraId="35E2E5FE" w14:textId="77777777" w:rsidR="08240A2E" w:rsidRDefault="08240A2E" w:rsidP="08240A2E">
      <w:pPr>
        <w:pStyle w:val="Rejstk2"/>
        <w:tabs>
          <w:tab w:val="right" w:leader="dot" w:pos="4171"/>
        </w:tabs>
        <w:spacing w:line="240" w:lineRule="auto"/>
      </w:pPr>
      <w:r w:rsidRPr="001F5DB8">
        <w:rPr>
          <w:i/>
        </w:rPr>
        <w:t>secundum quid</w:t>
      </w:r>
      <w:r>
        <w:tab/>
        <w:t>293</w:t>
      </w:r>
    </w:p>
    <w:p w14:paraId="5C9E0C0D" w14:textId="77777777" w:rsidR="08240A2E" w:rsidRDefault="08240A2E" w:rsidP="08240A2E">
      <w:pPr>
        <w:pStyle w:val="Rejstk1"/>
        <w:tabs>
          <w:tab w:val="right" w:leader="dot" w:pos="4171"/>
        </w:tabs>
        <w:spacing w:line="240" w:lineRule="auto"/>
      </w:pPr>
      <w:r w:rsidRPr="001F5DB8">
        <w:rPr>
          <w:i/>
        </w:rPr>
        <w:t>imprinting</w:t>
      </w:r>
      <w:r>
        <w:tab/>
        <w:t>139, 174</w:t>
      </w:r>
    </w:p>
    <w:p w14:paraId="36413334" w14:textId="77777777" w:rsidR="08240A2E" w:rsidRDefault="08240A2E" w:rsidP="08240A2E">
      <w:pPr>
        <w:pStyle w:val="Rejstk1"/>
        <w:tabs>
          <w:tab w:val="right" w:leader="dot" w:pos="4171"/>
        </w:tabs>
        <w:spacing w:line="240" w:lineRule="auto"/>
      </w:pPr>
      <w:r w:rsidRPr="001F5DB8">
        <w:rPr>
          <w:i/>
        </w:rPr>
        <w:t>individuum</w:t>
      </w:r>
      <w:r>
        <w:tab/>
        <w:t>15</w:t>
      </w:r>
    </w:p>
    <w:p w14:paraId="7E561B9E" w14:textId="77777777" w:rsidR="08240A2E" w:rsidRDefault="08240A2E" w:rsidP="08845417">
      <w:pPr>
        <w:pStyle w:val="Rejstk1"/>
        <w:tabs>
          <w:tab w:val="right" w:leader="dot" w:pos="4171"/>
        </w:tabs>
        <w:spacing w:line="240" w:lineRule="auto"/>
      </w:pPr>
      <w:r w:rsidRPr="001F5DB8">
        <w:rPr>
          <w:i/>
        </w:rPr>
        <w:t>inesse</w:t>
      </w:r>
      <w:r w:rsidR="08845417">
        <w:rPr>
          <w:i/>
        </w:rPr>
        <w:t xml:space="preserve">, </w:t>
      </w:r>
      <w:r>
        <w:t>Grosseteste</w:t>
      </w:r>
      <w:r>
        <w:tab/>
        <w:t>472</w:t>
      </w:r>
    </w:p>
    <w:p w14:paraId="486E7269" w14:textId="77777777" w:rsidR="08240A2E" w:rsidRDefault="08240A2E" w:rsidP="08240A2E">
      <w:pPr>
        <w:pStyle w:val="Rejstk1"/>
        <w:tabs>
          <w:tab w:val="right" w:leader="dot" w:pos="4171"/>
        </w:tabs>
        <w:spacing w:line="240" w:lineRule="auto"/>
      </w:pPr>
      <w:r>
        <w:t>informatika</w:t>
      </w:r>
      <w:r>
        <w:tab/>
        <w:t>571, 693</w:t>
      </w:r>
    </w:p>
    <w:p w14:paraId="50280348" w14:textId="77777777" w:rsidR="08240A2E" w:rsidRDefault="08240A2E" w:rsidP="08240A2E">
      <w:pPr>
        <w:pStyle w:val="Rejstk1"/>
        <w:tabs>
          <w:tab w:val="right" w:leader="dot" w:pos="4171"/>
        </w:tabs>
        <w:spacing w:line="240" w:lineRule="auto"/>
      </w:pPr>
      <w:r w:rsidRPr="001F5DB8">
        <w:rPr>
          <w:i/>
        </w:rPr>
        <w:t>informatio</w:t>
      </w:r>
      <w:r>
        <w:tab/>
        <w:t>181, 569, 581, 590, 636</w:t>
      </w:r>
    </w:p>
    <w:p w14:paraId="2A12B288" w14:textId="77777777" w:rsidR="08240A2E" w:rsidRDefault="08240A2E" w:rsidP="08240A2E">
      <w:pPr>
        <w:pStyle w:val="Rejstk1"/>
        <w:tabs>
          <w:tab w:val="right" w:leader="dot" w:pos="4171"/>
        </w:tabs>
        <w:spacing w:line="240" w:lineRule="auto"/>
      </w:pPr>
      <w:r w:rsidRPr="001F5DB8">
        <w:rPr>
          <w:i/>
        </w:rPr>
        <w:t>instantiation</w:t>
      </w:r>
      <w:r>
        <w:tab/>
        <w:t>627</w:t>
      </w:r>
    </w:p>
    <w:p w14:paraId="2A57C8ED" w14:textId="77777777" w:rsidR="08240A2E" w:rsidRDefault="08240A2E" w:rsidP="08240A2E">
      <w:pPr>
        <w:pStyle w:val="Rejstk1"/>
        <w:tabs>
          <w:tab w:val="right" w:leader="dot" w:pos="4171"/>
        </w:tabs>
        <w:spacing w:line="240" w:lineRule="auto"/>
      </w:pPr>
      <w:r>
        <w:t>integrace</w:t>
      </w:r>
      <w:r>
        <w:tab/>
        <w:t>73, 78, 79, 89</w:t>
      </w:r>
    </w:p>
    <w:p w14:paraId="04C3E473" w14:textId="77777777" w:rsidR="08240A2E" w:rsidRDefault="08240A2E" w:rsidP="08240A2E">
      <w:pPr>
        <w:pStyle w:val="Rejstk1"/>
        <w:tabs>
          <w:tab w:val="right" w:leader="dot" w:pos="4171"/>
        </w:tabs>
        <w:spacing w:line="240" w:lineRule="auto"/>
      </w:pPr>
      <w:r>
        <w:t>intelekt</w:t>
      </w:r>
    </w:p>
    <w:p w14:paraId="6A1FB3AA" w14:textId="77777777" w:rsidR="08240A2E" w:rsidRDefault="08240A2E" w:rsidP="08240A2E">
      <w:pPr>
        <w:pStyle w:val="Rejstk2"/>
        <w:tabs>
          <w:tab w:val="right" w:leader="dot" w:pos="4171"/>
        </w:tabs>
        <w:spacing w:line="240" w:lineRule="auto"/>
      </w:pPr>
      <w:r>
        <w:t>Albert</w:t>
      </w:r>
      <w:r>
        <w:tab/>
        <w:t>282</w:t>
      </w:r>
    </w:p>
    <w:p w14:paraId="5D3C812F" w14:textId="77777777" w:rsidR="08240A2E" w:rsidRDefault="08240A2E" w:rsidP="08240A2E">
      <w:pPr>
        <w:pStyle w:val="Rejstk2"/>
        <w:tabs>
          <w:tab w:val="right" w:leader="dot" w:pos="4171"/>
        </w:tabs>
        <w:spacing w:line="240" w:lineRule="auto"/>
      </w:pPr>
      <w:r>
        <w:t>dárce forem</w:t>
      </w:r>
      <w:r>
        <w:tab/>
        <w:t>140, 303, 422, 569, 625</w:t>
      </w:r>
    </w:p>
    <w:p w14:paraId="7534CEA6" w14:textId="77777777" w:rsidR="08240A2E" w:rsidRDefault="08240A2E" w:rsidP="08240A2E">
      <w:pPr>
        <w:pStyle w:val="Rejstk2"/>
        <w:tabs>
          <w:tab w:val="right" w:leader="dot" w:pos="4171"/>
        </w:tabs>
        <w:spacing w:line="240" w:lineRule="auto"/>
      </w:pPr>
      <w:r>
        <w:t>druhý averroismus</w:t>
      </w:r>
      <w:r>
        <w:tab/>
        <w:t>463</w:t>
      </w:r>
    </w:p>
    <w:p w14:paraId="05E8A9B3" w14:textId="77777777" w:rsidR="08240A2E" w:rsidRDefault="08240A2E" w:rsidP="08240A2E">
      <w:pPr>
        <w:pStyle w:val="Rejstk2"/>
        <w:tabs>
          <w:tab w:val="right" w:leader="dot" w:pos="4171"/>
        </w:tabs>
        <w:spacing w:line="240" w:lineRule="auto"/>
      </w:pPr>
      <w:r w:rsidRPr="001F5DB8">
        <w:rPr>
          <w:i/>
        </w:rPr>
        <w:t>extensione fit practicus</w:t>
      </w:r>
      <w:r>
        <w:tab/>
        <w:t>234</w:t>
      </w:r>
    </w:p>
    <w:p w14:paraId="49C2E103" w14:textId="77777777" w:rsidR="08240A2E" w:rsidRDefault="08240A2E" w:rsidP="08240A2E">
      <w:pPr>
        <w:pStyle w:val="Rejstk2"/>
        <w:tabs>
          <w:tab w:val="right" w:leader="dot" w:pos="4171"/>
        </w:tabs>
        <w:spacing w:line="240" w:lineRule="auto"/>
      </w:pPr>
      <w:r>
        <w:t>hypostáze</w:t>
      </w:r>
      <w:r>
        <w:tab/>
        <w:t>310</w:t>
      </w:r>
    </w:p>
    <w:p w14:paraId="543F17A4" w14:textId="77777777" w:rsidR="08240A2E" w:rsidRDefault="08240A2E" w:rsidP="08240A2E">
      <w:pPr>
        <w:pStyle w:val="Rejstk2"/>
        <w:tabs>
          <w:tab w:val="right" w:leader="dot" w:pos="4171"/>
        </w:tabs>
        <w:spacing w:line="240" w:lineRule="auto"/>
      </w:pPr>
      <w:r>
        <w:t>instrumentální</w:t>
      </w:r>
      <w:r>
        <w:tab/>
        <w:t>10</w:t>
      </w:r>
    </w:p>
    <w:p w14:paraId="137AC978" w14:textId="77777777" w:rsidR="08240A2E" w:rsidRDefault="08240A2E" w:rsidP="08240A2E">
      <w:pPr>
        <w:pStyle w:val="Rejstk2"/>
        <w:tabs>
          <w:tab w:val="right" w:leader="dot" w:pos="4171"/>
        </w:tabs>
        <w:spacing w:line="240" w:lineRule="auto"/>
      </w:pPr>
      <w:r w:rsidRPr="001F5DB8">
        <w:rPr>
          <w:i/>
        </w:rPr>
        <w:t>ipse/idem</w:t>
      </w:r>
      <w:r>
        <w:tab/>
        <w:t>383, 387</w:t>
      </w:r>
      <w:r w:rsidR="08845417">
        <w:t>, 598</w:t>
      </w:r>
    </w:p>
    <w:p w14:paraId="688FC0BB" w14:textId="77777777" w:rsidR="08240A2E" w:rsidRDefault="08240A2E" w:rsidP="08240A2E">
      <w:pPr>
        <w:pStyle w:val="Rejstk2"/>
        <w:tabs>
          <w:tab w:val="right" w:leader="dot" w:pos="4171"/>
        </w:tabs>
        <w:spacing w:line="240" w:lineRule="auto"/>
      </w:pPr>
      <w:r>
        <w:t>numericky jednotný</w:t>
      </w:r>
      <w:r>
        <w:tab/>
        <w:t>150, 598, 602, 605</w:t>
      </w:r>
    </w:p>
    <w:p w14:paraId="6DE1B25A" w14:textId="77777777" w:rsidR="08240A2E" w:rsidRDefault="08240A2E" w:rsidP="08240A2E">
      <w:pPr>
        <w:pStyle w:val="Rejstk2"/>
        <w:tabs>
          <w:tab w:val="right" w:leader="dot" w:pos="4171"/>
        </w:tabs>
        <w:spacing w:line="240" w:lineRule="auto"/>
      </w:pPr>
      <w:r>
        <w:t>numericky odlišný</w:t>
      </w:r>
      <w:r>
        <w:tab/>
        <w:t>292</w:t>
      </w:r>
    </w:p>
    <w:p w14:paraId="06842088" w14:textId="77777777" w:rsidR="08240A2E" w:rsidRDefault="08240A2E" w:rsidP="08240A2E">
      <w:pPr>
        <w:pStyle w:val="Rejstk2"/>
        <w:tabs>
          <w:tab w:val="right" w:leader="dot" w:pos="4171"/>
        </w:tabs>
        <w:spacing w:line="240" w:lineRule="auto"/>
      </w:pPr>
      <w:r>
        <w:t>paranoický</w:t>
      </w:r>
      <w:r>
        <w:tab/>
        <w:t>98, 296</w:t>
      </w:r>
    </w:p>
    <w:p w14:paraId="15E0C25F" w14:textId="77777777" w:rsidR="08240A2E" w:rsidRDefault="08240A2E" w:rsidP="08240A2E">
      <w:pPr>
        <w:pStyle w:val="Rejstk2"/>
        <w:tabs>
          <w:tab w:val="right" w:leader="dot" w:pos="4171"/>
        </w:tabs>
        <w:spacing w:line="240" w:lineRule="auto"/>
      </w:pPr>
      <w:r>
        <w:t>porušitelný</w:t>
      </w:r>
      <w:r>
        <w:tab/>
        <w:t>175</w:t>
      </w:r>
    </w:p>
    <w:p w14:paraId="6A8D7C7E" w14:textId="77777777" w:rsidR="08240A2E" w:rsidRDefault="08240A2E" w:rsidP="08240A2E">
      <w:pPr>
        <w:pStyle w:val="Rejstk2"/>
        <w:tabs>
          <w:tab w:val="right" w:leader="dot" w:pos="4171"/>
        </w:tabs>
        <w:spacing w:line="240" w:lineRule="auto"/>
      </w:pPr>
      <w:r>
        <w:t>první averroismus</w:t>
      </w:r>
      <w:r>
        <w:tab/>
        <w:t>174, 183</w:t>
      </w:r>
    </w:p>
    <w:p w14:paraId="50EDE0A3" w14:textId="77777777" w:rsidR="08240A2E" w:rsidRDefault="08240A2E" w:rsidP="08240A2E">
      <w:pPr>
        <w:pStyle w:val="Rejstk2"/>
        <w:tabs>
          <w:tab w:val="right" w:leader="dot" w:pos="4171"/>
        </w:tabs>
        <w:spacing w:line="240" w:lineRule="auto"/>
      </w:pPr>
      <w:r w:rsidRPr="001F5DB8">
        <w:rPr>
          <w:i/>
        </w:rPr>
        <w:t>separabilis/separatus</w:t>
      </w:r>
      <w:r>
        <w:tab/>
        <w:t>170, 171, 213, 292, 469, 608</w:t>
      </w:r>
    </w:p>
    <w:p w14:paraId="50CFB883" w14:textId="77777777" w:rsidR="08240A2E" w:rsidRDefault="08240A2E" w:rsidP="08240A2E">
      <w:pPr>
        <w:pStyle w:val="Rejstk2"/>
        <w:tabs>
          <w:tab w:val="right" w:leader="dot" w:pos="4171"/>
        </w:tabs>
        <w:spacing w:line="240" w:lineRule="auto"/>
      </w:pPr>
      <w:r w:rsidRPr="001F5DB8">
        <w:rPr>
          <w:i/>
        </w:rPr>
        <w:t>subiective</w:t>
      </w:r>
      <w:r>
        <w:t>/</w:t>
      </w:r>
      <w:r w:rsidRPr="001F5DB8">
        <w:rPr>
          <w:i/>
        </w:rPr>
        <w:t>obiective</w:t>
      </w:r>
      <w:r>
        <w:tab/>
        <w:t>476</w:t>
      </w:r>
    </w:p>
    <w:p w14:paraId="4BE657A0" w14:textId="77777777" w:rsidR="08240A2E" w:rsidRDefault="08240A2E" w:rsidP="08240A2E">
      <w:pPr>
        <w:pStyle w:val="Rejstk1"/>
        <w:tabs>
          <w:tab w:val="right" w:leader="dot" w:pos="4171"/>
        </w:tabs>
        <w:spacing w:line="240" w:lineRule="auto"/>
      </w:pPr>
      <w:r>
        <w:t>intelekt-slunce</w:t>
      </w:r>
      <w:r>
        <w:tab/>
        <w:t>121, 167, 174, 180, 181, 188, 199, 203, 204, 206, 303, 454, 491, 624, 650, 654, 696</w:t>
      </w:r>
    </w:p>
    <w:p w14:paraId="5EBC6D64" w14:textId="77777777" w:rsidR="08240A2E" w:rsidRDefault="08240A2E" w:rsidP="08240A2E">
      <w:pPr>
        <w:pStyle w:val="Rejstk1"/>
        <w:tabs>
          <w:tab w:val="right" w:leader="dot" w:pos="4171"/>
        </w:tabs>
        <w:spacing w:line="240" w:lineRule="auto"/>
      </w:pPr>
      <w:r w:rsidRPr="001F5DB8">
        <w:rPr>
          <w:i/>
        </w:rPr>
        <w:t>intellectus adeptus</w:t>
      </w:r>
      <w:r>
        <w:tab/>
        <w:t>139</w:t>
      </w:r>
    </w:p>
    <w:p w14:paraId="7DBD6E1D" w14:textId="77777777" w:rsidR="08240A2E" w:rsidRDefault="08240A2E" w:rsidP="08240A2E">
      <w:pPr>
        <w:pStyle w:val="Rejstk2"/>
        <w:tabs>
          <w:tab w:val="right" w:leader="dot" w:pos="4171"/>
        </w:tabs>
        <w:spacing w:line="240" w:lineRule="auto"/>
      </w:pPr>
      <w:r w:rsidRPr="085D6787">
        <w:t>Alvernus</w:t>
      </w:r>
      <w:r w:rsidRPr="08845417">
        <w:rPr>
          <w:i/>
        </w:rPr>
        <w:tab/>
        <w:t>208</w:t>
      </w:r>
    </w:p>
    <w:p w14:paraId="6736581A" w14:textId="77777777" w:rsidR="08240A2E" w:rsidRDefault="08240A2E" w:rsidP="08240A2E">
      <w:pPr>
        <w:pStyle w:val="Rejstk2"/>
        <w:tabs>
          <w:tab w:val="right" w:leader="dot" w:pos="4171"/>
        </w:tabs>
        <w:spacing w:line="240" w:lineRule="auto"/>
      </w:pPr>
      <w:r>
        <w:t>Avicenna</w:t>
      </w:r>
      <w:r>
        <w:tab/>
        <w:t>175, 381</w:t>
      </w:r>
    </w:p>
    <w:p w14:paraId="2ADECA2B" w14:textId="77777777" w:rsidR="08240A2E" w:rsidRDefault="08240A2E" w:rsidP="08240A2E">
      <w:pPr>
        <w:pStyle w:val="Rejstk2"/>
        <w:tabs>
          <w:tab w:val="right" w:leader="dot" w:pos="4171"/>
        </w:tabs>
        <w:spacing w:line="240" w:lineRule="auto"/>
      </w:pPr>
      <w:r>
        <w:t>Blund</w:t>
      </w:r>
      <w:r>
        <w:tab/>
        <w:t>119, 129</w:t>
      </w:r>
    </w:p>
    <w:p w14:paraId="3FFE9C9A" w14:textId="77777777" w:rsidR="08240A2E" w:rsidRDefault="08240A2E" w:rsidP="08240A2E">
      <w:pPr>
        <w:pStyle w:val="Rejstk2"/>
        <w:tabs>
          <w:tab w:val="right" w:leader="dot" w:pos="4171"/>
        </w:tabs>
        <w:spacing w:line="240" w:lineRule="auto"/>
      </w:pPr>
      <w:r>
        <w:t>druhý averroismus</w:t>
      </w:r>
      <w:r>
        <w:tab/>
        <w:t>303</w:t>
      </w:r>
    </w:p>
    <w:p w14:paraId="25CA96A4" w14:textId="77777777" w:rsidR="08240A2E" w:rsidRDefault="08240A2E" w:rsidP="08240A2E">
      <w:pPr>
        <w:pStyle w:val="Rejstk2"/>
        <w:tabs>
          <w:tab w:val="right" w:leader="dot" w:pos="4171"/>
        </w:tabs>
        <w:spacing w:line="240" w:lineRule="auto"/>
      </w:pPr>
      <w:r>
        <w:t>první averroismus</w:t>
      </w:r>
      <w:r>
        <w:tab/>
        <w:t>186</w:t>
      </w:r>
    </w:p>
    <w:p w14:paraId="6801CB1F" w14:textId="77777777" w:rsidR="08240A2E" w:rsidRDefault="08240A2E" w:rsidP="08240A2E">
      <w:pPr>
        <w:pStyle w:val="Rejstk1"/>
        <w:tabs>
          <w:tab w:val="right" w:leader="dot" w:pos="4171"/>
        </w:tabs>
        <w:spacing w:line="240" w:lineRule="auto"/>
      </w:pPr>
      <w:r w:rsidRPr="001F5DB8">
        <w:rPr>
          <w:i/>
        </w:rPr>
        <w:t>intellectus agens</w:t>
      </w:r>
    </w:p>
    <w:p w14:paraId="27DA5149" w14:textId="77777777" w:rsidR="08240A2E" w:rsidRDefault="08240A2E" w:rsidP="08240A2E">
      <w:pPr>
        <w:pStyle w:val="Rejstk2"/>
        <w:tabs>
          <w:tab w:val="right" w:leader="dot" w:pos="4171"/>
        </w:tabs>
        <w:spacing w:line="240" w:lineRule="auto"/>
      </w:pPr>
      <w:r>
        <w:t>Albert</w:t>
      </w:r>
      <w:r>
        <w:tab/>
        <w:t>270</w:t>
      </w:r>
    </w:p>
    <w:p w14:paraId="7D6D1C02" w14:textId="77777777" w:rsidR="08240A2E" w:rsidRDefault="08240A2E" w:rsidP="08240A2E">
      <w:pPr>
        <w:pStyle w:val="Rejstk2"/>
        <w:tabs>
          <w:tab w:val="right" w:leader="dot" w:pos="4171"/>
        </w:tabs>
        <w:spacing w:line="240" w:lineRule="auto"/>
      </w:pPr>
      <w:r>
        <w:t>Alvernus</w:t>
      </w:r>
      <w:r>
        <w:tab/>
        <w:t>189, 198, 212, 348, 494, 617</w:t>
      </w:r>
    </w:p>
    <w:p w14:paraId="5DD8654C" w14:textId="77777777" w:rsidR="08240A2E" w:rsidRDefault="08240A2E" w:rsidP="08240A2E">
      <w:pPr>
        <w:pStyle w:val="Rejstk2"/>
        <w:tabs>
          <w:tab w:val="right" w:leader="dot" w:pos="4171"/>
        </w:tabs>
        <w:spacing w:line="240" w:lineRule="auto"/>
      </w:pPr>
      <w:r>
        <w:t>Averroes</w:t>
      </w:r>
      <w:r>
        <w:tab/>
        <w:t>108, 205, 302</w:t>
      </w:r>
    </w:p>
    <w:p w14:paraId="51B2F617" w14:textId="77777777" w:rsidR="08240A2E" w:rsidRDefault="08240A2E" w:rsidP="08240A2E">
      <w:pPr>
        <w:pStyle w:val="Rejstk2"/>
        <w:tabs>
          <w:tab w:val="right" w:leader="dot" w:pos="4171"/>
        </w:tabs>
        <w:spacing w:line="240" w:lineRule="auto"/>
      </w:pPr>
      <w:r>
        <w:t>averroismus</w:t>
      </w:r>
      <w:r>
        <w:tab/>
        <w:t>311</w:t>
      </w:r>
    </w:p>
    <w:p w14:paraId="5997B642" w14:textId="77777777" w:rsidR="08240A2E" w:rsidRDefault="08240A2E" w:rsidP="08240A2E">
      <w:pPr>
        <w:pStyle w:val="Rejstk2"/>
        <w:tabs>
          <w:tab w:val="right" w:leader="dot" w:pos="4171"/>
        </w:tabs>
        <w:spacing w:line="240" w:lineRule="auto"/>
      </w:pPr>
      <w:r>
        <w:t>Avicenna</w:t>
      </w:r>
      <w:r>
        <w:tab/>
        <w:t>140, 422</w:t>
      </w:r>
    </w:p>
    <w:p w14:paraId="2C37DD04" w14:textId="77777777" w:rsidR="08240A2E" w:rsidRDefault="08240A2E" w:rsidP="08240A2E">
      <w:pPr>
        <w:pStyle w:val="Rejstk2"/>
        <w:tabs>
          <w:tab w:val="right" w:leader="dot" w:pos="4171"/>
        </w:tabs>
        <w:spacing w:line="240" w:lineRule="auto"/>
      </w:pPr>
      <w:r>
        <w:t>Bacon</w:t>
      </w:r>
      <w:r>
        <w:tab/>
        <w:t>670</w:t>
      </w:r>
    </w:p>
    <w:p w14:paraId="7626B087" w14:textId="77777777" w:rsidR="08240A2E" w:rsidRDefault="08240A2E" w:rsidP="08240A2E">
      <w:pPr>
        <w:pStyle w:val="Rejstk2"/>
        <w:tabs>
          <w:tab w:val="right" w:leader="dot" w:pos="4171"/>
        </w:tabs>
        <w:spacing w:line="240" w:lineRule="auto"/>
      </w:pPr>
      <w:r>
        <w:t>Blund</w:t>
      </w:r>
      <w:r>
        <w:tab/>
        <w:t>118</w:t>
      </w:r>
    </w:p>
    <w:p w14:paraId="454F0F39" w14:textId="77777777" w:rsidR="08240A2E" w:rsidRDefault="08240A2E" w:rsidP="08240A2E">
      <w:pPr>
        <w:pStyle w:val="Rejstk2"/>
        <w:tabs>
          <w:tab w:val="right" w:leader="dot" w:pos="4171"/>
        </w:tabs>
        <w:spacing w:line="240" w:lineRule="auto"/>
      </w:pPr>
      <w:r>
        <w:t>David z Dinantu</w:t>
      </w:r>
      <w:r>
        <w:tab/>
        <w:t>149</w:t>
      </w:r>
    </w:p>
    <w:p w14:paraId="0507D201" w14:textId="77777777" w:rsidR="08240A2E" w:rsidRDefault="08240A2E" w:rsidP="08240A2E">
      <w:pPr>
        <w:pStyle w:val="Rejstk2"/>
        <w:tabs>
          <w:tab w:val="right" w:leader="dot" w:pos="4171"/>
        </w:tabs>
        <w:spacing w:line="240" w:lineRule="auto"/>
      </w:pPr>
      <w:r>
        <w:t>druhý averroismus</w:t>
      </w:r>
      <w:r>
        <w:tab/>
        <w:t>113, 181, 197, 204, 343, 443, 452, 466, 493, 535</w:t>
      </w:r>
    </w:p>
    <w:p w14:paraId="1810311B" w14:textId="77777777" w:rsidR="08240A2E" w:rsidRDefault="08240A2E" w:rsidP="08240A2E">
      <w:pPr>
        <w:pStyle w:val="Rejstk2"/>
        <w:tabs>
          <w:tab w:val="right" w:leader="dot" w:pos="4171"/>
        </w:tabs>
        <w:spacing w:line="240" w:lineRule="auto"/>
      </w:pPr>
      <w:r>
        <w:t>Grosseteste</w:t>
      </w:r>
      <w:r>
        <w:tab/>
        <w:t>468</w:t>
      </w:r>
    </w:p>
    <w:p w14:paraId="403889E3" w14:textId="77777777" w:rsidR="08240A2E" w:rsidRDefault="08240A2E" w:rsidP="08240A2E">
      <w:pPr>
        <w:pStyle w:val="Rejstk2"/>
        <w:tabs>
          <w:tab w:val="right" w:leader="dot" w:pos="4171"/>
        </w:tabs>
        <w:spacing w:line="240" w:lineRule="auto"/>
      </w:pPr>
      <w:r>
        <w:t>moderna</w:t>
      </w:r>
      <w:r>
        <w:tab/>
        <w:t>301, 322</w:t>
      </w:r>
    </w:p>
    <w:p w14:paraId="540EA254" w14:textId="77777777" w:rsidR="08240A2E" w:rsidRDefault="08240A2E" w:rsidP="08240A2E">
      <w:pPr>
        <w:pStyle w:val="Rejstk2"/>
        <w:tabs>
          <w:tab w:val="right" w:leader="dot" w:pos="4171"/>
        </w:tabs>
        <w:spacing w:line="240" w:lineRule="auto"/>
      </w:pPr>
      <w:r>
        <w:t>neoplatonismus</w:t>
      </w:r>
      <w:r>
        <w:tab/>
        <w:t>115, 138, 139, 141, 191, 195, 196, 205, 215, 276, 295, 296, 492</w:t>
      </w:r>
    </w:p>
    <w:p w14:paraId="50765AB0" w14:textId="77777777" w:rsidR="08240A2E" w:rsidRDefault="08240A2E" w:rsidP="08240A2E">
      <w:pPr>
        <w:pStyle w:val="Rejstk2"/>
        <w:tabs>
          <w:tab w:val="right" w:leader="dot" w:pos="4171"/>
        </w:tabs>
        <w:spacing w:line="240" w:lineRule="auto"/>
      </w:pPr>
      <w:r>
        <w:t>první averroismus</w:t>
      </w:r>
      <w:r>
        <w:tab/>
        <w:t>600</w:t>
      </w:r>
    </w:p>
    <w:p w14:paraId="6781FA89" w14:textId="77777777" w:rsidR="08240A2E" w:rsidRDefault="08240A2E" w:rsidP="08240A2E">
      <w:pPr>
        <w:pStyle w:val="Rejstk2"/>
        <w:tabs>
          <w:tab w:val="right" w:leader="dot" w:pos="4171"/>
        </w:tabs>
        <w:spacing w:line="240" w:lineRule="auto"/>
      </w:pPr>
      <w:r>
        <w:t>první averroismus</w:t>
      </w:r>
      <w:r>
        <w:tab/>
        <w:t>108, 169, 182, 188, 190, 193</w:t>
      </w:r>
    </w:p>
    <w:p w14:paraId="0075497E" w14:textId="77777777" w:rsidR="08240A2E" w:rsidRDefault="08240A2E" w:rsidP="08240A2E">
      <w:pPr>
        <w:pStyle w:val="Rejstk2"/>
        <w:tabs>
          <w:tab w:val="right" w:leader="dot" w:pos="4171"/>
        </w:tabs>
        <w:spacing w:line="240" w:lineRule="auto"/>
      </w:pPr>
      <w:r>
        <w:t>Rufus</w:t>
      </w:r>
      <w:r>
        <w:tab/>
        <w:t>504, 593</w:t>
      </w:r>
    </w:p>
    <w:p w14:paraId="2E911395" w14:textId="77777777" w:rsidR="08240A2E" w:rsidRDefault="08240A2E" w:rsidP="08240A2E">
      <w:pPr>
        <w:pStyle w:val="Rejstk1"/>
        <w:tabs>
          <w:tab w:val="right" w:leader="dot" w:pos="4171"/>
        </w:tabs>
        <w:spacing w:line="240" w:lineRule="auto"/>
      </w:pPr>
      <w:r w:rsidRPr="001F5DB8">
        <w:rPr>
          <w:i/>
        </w:rPr>
        <w:t>intellectus debilis</w:t>
      </w:r>
      <w:r>
        <w:tab/>
        <w:t>402, 450, 646</w:t>
      </w:r>
    </w:p>
    <w:p w14:paraId="0EA90670" w14:textId="77777777" w:rsidR="08240A2E" w:rsidRDefault="08240A2E" w:rsidP="08240A2E">
      <w:pPr>
        <w:pStyle w:val="Rejstk1"/>
        <w:tabs>
          <w:tab w:val="right" w:leader="dot" w:pos="4171"/>
        </w:tabs>
        <w:spacing w:line="240" w:lineRule="auto"/>
      </w:pPr>
      <w:r w:rsidRPr="001F5DB8">
        <w:rPr>
          <w:i/>
        </w:rPr>
        <w:t>intellectus formalis</w:t>
      </w:r>
    </w:p>
    <w:p w14:paraId="0568A45C" w14:textId="77777777" w:rsidR="08240A2E" w:rsidRDefault="08240A2E" w:rsidP="08240A2E">
      <w:pPr>
        <w:pStyle w:val="Rejstk2"/>
        <w:tabs>
          <w:tab w:val="right" w:leader="dot" w:pos="4171"/>
        </w:tabs>
        <w:spacing w:line="240" w:lineRule="auto"/>
      </w:pPr>
      <w:r>
        <w:t>Alvernus</w:t>
      </w:r>
      <w:r>
        <w:tab/>
        <w:t>208</w:t>
      </w:r>
    </w:p>
    <w:p w14:paraId="1A7618F4" w14:textId="77777777" w:rsidR="08240A2E" w:rsidRDefault="08240A2E" w:rsidP="08240A2E">
      <w:pPr>
        <w:pStyle w:val="Rejstk2"/>
        <w:tabs>
          <w:tab w:val="right" w:leader="dot" w:pos="4171"/>
        </w:tabs>
        <w:spacing w:line="240" w:lineRule="auto"/>
      </w:pPr>
      <w:r>
        <w:t>Blund</w:t>
      </w:r>
      <w:r>
        <w:tab/>
        <w:t>118, 121, 122, 129, 138, 140, 177, 187, 208, 225</w:t>
      </w:r>
    </w:p>
    <w:p w14:paraId="3FA81B53" w14:textId="77777777" w:rsidR="08240A2E" w:rsidRDefault="08240A2E" w:rsidP="08240A2E">
      <w:pPr>
        <w:pStyle w:val="Rejstk2"/>
        <w:tabs>
          <w:tab w:val="right" w:leader="dot" w:pos="4171"/>
        </w:tabs>
        <w:spacing w:line="240" w:lineRule="auto"/>
      </w:pPr>
      <w:r>
        <w:t>první averroismus</w:t>
      </w:r>
      <w:r>
        <w:tab/>
        <w:t>166</w:t>
      </w:r>
    </w:p>
    <w:p w14:paraId="2F2D16B5" w14:textId="77777777" w:rsidR="08240A2E" w:rsidRDefault="08240A2E" w:rsidP="08240A2E">
      <w:pPr>
        <w:pStyle w:val="Rejstk2"/>
        <w:tabs>
          <w:tab w:val="right" w:leader="dot" w:pos="4171"/>
        </w:tabs>
        <w:spacing w:line="240" w:lineRule="auto"/>
      </w:pPr>
      <w:r w:rsidRPr="001F5DB8">
        <w:rPr>
          <w:i/>
        </w:rPr>
        <w:t>Summa Duacensis</w:t>
      </w:r>
      <w:r>
        <w:tab/>
        <w:t>179</w:t>
      </w:r>
    </w:p>
    <w:p w14:paraId="6FCCEDED" w14:textId="77777777" w:rsidR="08240A2E" w:rsidRDefault="08240A2E" w:rsidP="08240A2E">
      <w:pPr>
        <w:pStyle w:val="Rejstk1"/>
        <w:tabs>
          <w:tab w:val="right" w:leader="dot" w:pos="4171"/>
        </w:tabs>
        <w:spacing w:line="240" w:lineRule="auto"/>
      </w:pPr>
      <w:r w:rsidRPr="001F5DB8">
        <w:rPr>
          <w:i/>
        </w:rPr>
        <w:t>intellectus in effectu</w:t>
      </w:r>
      <w:r>
        <w:tab/>
        <w:t>115</w:t>
      </w:r>
    </w:p>
    <w:p w14:paraId="23D08493" w14:textId="77777777" w:rsidR="08240A2E" w:rsidRDefault="08240A2E" w:rsidP="08240A2E">
      <w:pPr>
        <w:pStyle w:val="Rejstk2"/>
        <w:tabs>
          <w:tab w:val="right" w:leader="dot" w:pos="4171"/>
        </w:tabs>
        <w:spacing w:line="240" w:lineRule="auto"/>
      </w:pPr>
      <w:r>
        <w:t>Rufus</w:t>
      </w:r>
      <w:r>
        <w:tab/>
        <w:t>547</w:t>
      </w:r>
    </w:p>
    <w:p w14:paraId="117ACF66" w14:textId="77777777" w:rsidR="08240A2E" w:rsidRDefault="08240A2E" w:rsidP="085D6787">
      <w:pPr>
        <w:pStyle w:val="Rejstk1"/>
        <w:tabs>
          <w:tab w:val="right" w:leader="dot" w:pos="4171"/>
        </w:tabs>
        <w:spacing w:line="240" w:lineRule="auto"/>
      </w:pPr>
      <w:r w:rsidRPr="001F5DB8">
        <w:rPr>
          <w:i/>
        </w:rPr>
        <w:t>intellectus in potentia</w:t>
      </w:r>
      <w:r w:rsidR="085D6787">
        <w:rPr>
          <w:i/>
        </w:rPr>
        <w:t xml:space="preserve">, </w:t>
      </w:r>
      <w:r>
        <w:t>Blund</w:t>
      </w:r>
      <w:r>
        <w:tab/>
        <w:t>117, 133, 169</w:t>
      </w:r>
    </w:p>
    <w:p w14:paraId="2F734749" w14:textId="77777777" w:rsidR="08240A2E" w:rsidRDefault="08240A2E" w:rsidP="08240A2E">
      <w:pPr>
        <w:pStyle w:val="Rejstk1"/>
        <w:tabs>
          <w:tab w:val="right" w:leader="dot" w:pos="4171"/>
        </w:tabs>
        <w:spacing w:line="240" w:lineRule="auto"/>
      </w:pPr>
      <w:r w:rsidRPr="001F5DB8">
        <w:rPr>
          <w:i/>
        </w:rPr>
        <w:t>intellectus materialis</w:t>
      </w:r>
    </w:p>
    <w:p w14:paraId="74827D14" w14:textId="77777777" w:rsidR="08240A2E" w:rsidRDefault="08240A2E" w:rsidP="08240A2E">
      <w:pPr>
        <w:pStyle w:val="Rejstk2"/>
        <w:tabs>
          <w:tab w:val="right" w:leader="dot" w:pos="4171"/>
        </w:tabs>
        <w:spacing w:line="240" w:lineRule="auto"/>
      </w:pPr>
      <w:r>
        <w:t>Albert</w:t>
      </w:r>
      <w:r>
        <w:tab/>
        <w:t>316</w:t>
      </w:r>
    </w:p>
    <w:p w14:paraId="4D0565FF" w14:textId="77777777" w:rsidR="08240A2E" w:rsidRDefault="08240A2E" w:rsidP="08240A2E">
      <w:pPr>
        <w:pStyle w:val="Rejstk2"/>
        <w:tabs>
          <w:tab w:val="right" w:leader="dot" w:pos="4171"/>
        </w:tabs>
        <w:spacing w:line="240" w:lineRule="auto"/>
      </w:pPr>
      <w:r>
        <w:t>Alvernus</w:t>
      </w:r>
      <w:r>
        <w:tab/>
        <w:t>207</w:t>
      </w:r>
    </w:p>
    <w:p w14:paraId="6326B9AE" w14:textId="77777777" w:rsidR="08240A2E" w:rsidRDefault="08240A2E" w:rsidP="08240A2E">
      <w:pPr>
        <w:pStyle w:val="Rejstk2"/>
        <w:tabs>
          <w:tab w:val="right" w:leader="dot" w:pos="4171"/>
        </w:tabs>
        <w:spacing w:line="240" w:lineRule="auto"/>
      </w:pPr>
      <w:r>
        <w:t>Avicenna</w:t>
      </w:r>
      <w:r>
        <w:tab/>
        <w:t>115, 215, 216, 285, 591</w:t>
      </w:r>
    </w:p>
    <w:p w14:paraId="5FAE4471" w14:textId="77777777" w:rsidR="08240A2E" w:rsidRDefault="08240A2E" w:rsidP="08240A2E">
      <w:pPr>
        <w:pStyle w:val="Rejstk2"/>
        <w:tabs>
          <w:tab w:val="right" w:leader="dot" w:pos="4171"/>
        </w:tabs>
        <w:spacing w:line="240" w:lineRule="auto"/>
      </w:pPr>
      <w:r>
        <w:t>Blund</w:t>
      </w:r>
      <w:r>
        <w:tab/>
        <w:t xml:space="preserve">121, 129, </w:t>
      </w:r>
      <w:r w:rsidR="085D6787">
        <w:t xml:space="preserve">133, </w:t>
      </w:r>
      <w:r>
        <w:t>134</w:t>
      </w:r>
    </w:p>
    <w:p w14:paraId="3B848309" w14:textId="77777777" w:rsidR="08240A2E" w:rsidRDefault="08240A2E" w:rsidP="08240A2E">
      <w:pPr>
        <w:pStyle w:val="Rejstk2"/>
        <w:tabs>
          <w:tab w:val="right" w:leader="dot" w:pos="4171"/>
        </w:tabs>
        <w:spacing w:line="240" w:lineRule="auto"/>
      </w:pPr>
      <w:r>
        <w:t>druhý averroismus</w:t>
      </w:r>
      <w:r>
        <w:tab/>
        <w:t>297</w:t>
      </w:r>
    </w:p>
    <w:p w14:paraId="65A3BDE5" w14:textId="77777777" w:rsidR="08240A2E" w:rsidRDefault="08240A2E" w:rsidP="08240A2E">
      <w:pPr>
        <w:pStyle w:val="Rejstk2"/>
        <w:tabs>
          <w:tab w:val="right" w:leader="dot" w:pos="4171"/>
        </w:tabs>
        <w:spacing w:line="240" w:lineRule="auto"/>
      </w:pPr>
      <w:r>
        <w:t>první averroismus</w:t>
      </w:r>
      <w:r>
        <w:tab/>
        <w:t xml:space="preserve">165, </w:t>
      </w:r>
      <w:r w:rsidR="085D6787">
        <w:t xml:space="preserve">166, </w:t>
      </w:r>
      <w:r>
        <w:t>167, 171</w:t>
      </w:r>
    </w:p>
    <w:p w14:paraId="55B8DAEC" w14:textId="77777777" w:rsidR="08240A2E" w:rsidRDefault="08240A2E" w:rsidP="08240A2E">
      <w:pPr>
        <w:pStyle w:val="Rejstk2"/>
        <w:tabs>
          <w:tab w:val="right" w:leader="dot" w:pos="4171"/>
        </w:tabs>
        <w:spacing w:line="240" w:lineRule="auto"/>
      </w:pPr>
      <w:r>
        <w:t>Rufus</w:t>
      </w:r>
      <w:r>
        <w:tab/>
        <w:t>500, 588, 605</w:t>
      </w:r>
    </w:p>
    <w:p w14:paraId="2FB37CAE" w14:textId="77777777" w:rsidR="08240A2E" w:rsidRDefault="08240A2E" w:rsidP="08240A2E">
      <w:pPr>
        <w:pStyle w:val="Rejstk1"/>
        <w:tabs>
          <w:tab w:val="right" w:leader="dot" w:pos="4171"/>
        </w:tabs>
        <w:spacing w:line="240" w:lineRule="auto"/>
      </w:pPr>
      <w:r w:rsidRPr="001F5DB8">
        <w:rPr>
          <w:i/>
        </w:rPr>
        <w:t>intellectus possibilis</w:t>
      </w:r>
      <w:r>
        <w:tab/>
        <w:t>19</w:t>
      </w:r>
    </w:p>
    <w:p w14:paraId="13C2FD19" w14:textId="77777777" w:rsidR="08240A2E" w:rsidRDefault="08240A2E" w:rsidP="08240A2E">
      <w:pPr>
        <w:pStyle w:val="Rejstk2"/>
        <w:tabs>
          <w:tab w:val="right" w:leader="dot" w:pos="4171"/>
        </w:tabs>
        <w:spacing w:line="240" w:lineRule="auto"/>
      </w:pPr>
      <w:r>
        <w:t>Albert</w:t>
      </w:r>
      <w:r>
        <w:tab/>
        <w:t>267, 270, 272, 615</w:t>
      </w:r>
    </w:p>
    <w:p w14:paraId="3A747269" w14:textId="77777777" w:rsidR="08240A2E" w:rsidRDefault="08240A2E" w:rsidP="08240A2E">
      <w:pPr>
        <w:pStyle w:val="Rejstk2"/>
        <w:tabs>
          <w:tab w:val="right" w:leader="dot" w:pos="4171"/>
        </w:tabs>
        <w:spacing w:line="240" w:lineRule="auto"/>
      </w:pPr>
      <w:r>
        <w:t>Alvernus</w:t>
      </w:r>
      <w:r>
        <w:tab/>
        <w:t>209</w:t>
      </w:r>
    </w:p>
    <w:p w14:paraId="2056072E" w14:textId="77777777" w:rsidR="08240A2E" w:rsidRDefault="08240A2E" w:rsidP="08240A2E">
      <w:pPr>
        <w:pStyle w:val="Rejstk2"/>
        <w:tabs>
          <w:tab w:val="right" w:leader="dot" w:pos="4171"/>
        </w:tabs>
        <w:spacing w:line="240" w:lineRule="auto"/>
      </w:pPr>
      <w:r>
        <w:t>Averroes</w:t>
      </w:r>
      <w:r>
        <w:tab/>
        <w:t>112, 130, 134, 168, 173, 184, 566, 603</w:t>
      </w:r>
    </w:p>
    <w:p w14:paraId="1F5E2BCE" w14:textId="77777777" w:rsidR="08240A2E" w:rsidRDefault="08240A2E" w:rsidP="08240A2E">
      <w:pPr>
        <w:pStyle w:val="Rejstk2"/>
        <w:tabs>
          <w:tab w:val="right" w:leader="dot" w:pos="4171"/>
        </w:tabs>
        <w:spacing w:line="240" w:lineRule="auto"/>
      </w:pPr>
      <w:r>
        <w:t>averroismus</w:t>
      </w:r>
      <w:r>
        <w:tab/>
        <w:t>318</w:t>
      </w:r>
    </w:p>
    <w:p w14:paraId="7AC34B3C" w14:textId="77777777" w:rsidR="08240A2E" w:rsidRDefault="08240A2E" w:rsidP="08240A2E">
      <w:pPr>
        <w:pStyle w:val="Rejstk2"/>
        <w:tabs>
          <w:tab w:val="right" w:leader="dot" w:pos="4171"/>
        </w:tabs>
        <w:spacing w:line="240" w:lineRule="auto"/>
      </w:pPr>
      <w:r>
        <w:t>Dante</w:t>
      </w:r>
      <w:r>
        <w:tab/>
        <w:t>626</w:t>
      </w:r>
    </w:p>
    <w:p w14:paraId="312A2EFD" w14:textId="77777777" w:rsidR="08240A2E" w:rsidRDefault="08240A2E" w:rsidP="08240A2E">
      <w:pPr>
        <w:pStyle w:val="Rejstk2"/>
        <w:tabs>
          <w:tab w:val="right" w:leader="dot" w:pos="4171"/>
        </w:tabs>
        <w:spacing w:line="240" w:lineRule="auto"/>
      </w:pPr>
      <w:r>
        <w:t>David z Dinantu</w:t>
      </w:r>
      <w:r>
        <w:tab/>
        <w:t>150</w:t>
      </w:r>
    </w:p>
    <w:p w14:paraId="3A5972DB" w14:textId="77777777" w:rsidR="08240A2E" w:rsidRDefault="08240A2E" w:rsidP="08240A2E">
      <w:pPr>
        <w:pStyle w:val="Rejstk2"/>
        <w:tabs>
          <w:tab w:val="right" w:leader="dot" w:pos="4171"/>
        </w:tabs>
        <w:spacing w:line="240" w:lineRule="auto"/>
      </w:pPr>
      <w:r>
        <w:t>druhý averroismus</w:t>
      </w:r>
      <w:r>
        <w:tab/>
        <w:t xml:space="preserve">207, 215, 275, 276, 286, 439, </w:t>
      </w:r>
      <w:r w:rsidR="085D6787">
        <w:t xml:space="preserve">440, </w:t>
      </w:r>
      <w:r>
        <w:t>461, 493, 637</w:t>
      </w:r>
    </w:p>
    <w:p w14:paraId="14981853" w14:textId="77777777" w:rsidR="08240A2E" w:rsidRDefault="08240A2E" w:rsidP="08240A2E">
      <w:pPr>
        <w:pStyle w:val="Rejstk2"/>
        <w:tabs>
          <w:tab w:val="right" w:leader="dot" w:pos="4171"/>
        </w:tabs>
        <w:spacing w:line="240" w:lineRule="auto"/>
      </w:pPr>
      <w:r>
        <w:t>moderna</w:t>
      </w:r>
      <w:r>
        <w:tab/>
        <w:t>622</w:t>
      </w:r>
    </w:p>
    <w:p w14:paraId="29E9D6AF" w14:textId="77777777" w:rsidR="08240A2E" w:rsidRDefault="08240A2E" w:rsidP="08240A2E">
      <w:pPr>
        <w:pStyle w:val="Rejstk2"/>
        <w:tabs>
          <w:tab w:val="right" w:leader="dot" w:pos="4171"/>
        </w:tabs>
        <w:spacing w:line="240" w:lineRule="auto"/>
      </w:pPr>
      <w:r>
        <w:t>numericky jednotný</w:t>
      </w:r>
      <w:r>
        <w:tab/>
        <w:t>179, 315, 443, 467</w:t>
      </w:r>
    </w:p>
    <w:p w14:paraId="0ADDC9B3" w14:textId="77777777" w:rsidR="08240A2E" w:rsidRDefault="08240A2E" w:rsidP="08240A2E">
      <w:pPr>
        <w:pStyle w:val="Rejstk2"/>
        <w:tabs>
          <w:tab w:val="right" w:leader="dot" w:pos="4171"/>
        </w:tabs>
        <w:spacing w:line="240" w:lineRule="auto"/>
      </w:pPr>
      <w:r>
        <w:t>první averroismus</w:t>
      </w:r>
      <w:r>
        <w:tab/>
        <w:t>112, 168, 187, 193, 505, 552, 619</w:t>
      </w:r>
    </w:p>
    <w:p w14:paraId="798F8E7F" w14:textId="77777777" w:rsidR="08240A2E" w:rsidRDefault="08240A2E" w:rsidP="08240A2E">
      <w:pPr>
        <w:pStyle w:val="Rejstk2"/>
        <w:tabs>
          <w:tab w:val="right" w:leader="dot" w:pos="4171"/>
        </w:tabs>
        <w:spacing w:line="240" w:lineRule="auto"/>
      </w:pPr>
      <w:r>
        <w:t>Rufus</w:t>
      </w:r>
      <w:r>
        <w:tab/>
        <w:t>292, 588, 591, 593, 620, 630</w:t>
      </w:r>
    </w:p>
    <w:p w14:paraId="135AA05D" w14:textId="77777777" w:rsidR="08240A2E" w:rsidRDefault="08240A2E" w:rsidP="08240A2E">
      <w:pPr>
        <w:pStyle w:val="Rejstk2"/>
        <w:tabs>
          <w:tab w:val="right" w:leader="dot" w:pos="4171"/>
        </w:tabs>
        <w:spacing w:line="240" w:lineRule="auto"/>
      </w:pPr>
      <w:r w:rsidRPr="001F5DB8">
        <w:rPr>
          <w:i/>
        </w:rPr>
        <w:t>Summa Duacensis</w:t>
      </w:r>
      <w:r>
        <w:tab/>
        <w:t>333</w:t>
      </w:r>
    </w:p>
    <w:p w14:paraId="16C6DDF0" w14:textId="77777777" w:rsidR="08240A2E" w:rsidRDefault="08240A2E" w:rsidP="08240A2E">
      <w:pPr>
        <w:pStyle w:val="Rejstk2"/>
        <w:tabs>
          <w:tab w:val="right" w:leader="dot" w:pos="4171"/>
        </w:tabs>
        <w:spacing w:line="240" w:lineRule="auto"/>
      </w:pPr>
      <w:r>
        <w:t>Themistius</w:t>
      </w:r>
      <w:r>
        <w:tab/>
        <w:t>274</w:t>
      </w:r>
    </w:p>
    <w:p w14:paraId="663D04F8" w14:textId="77777777" w:rsidR="08240A2E" w:rsidRDefault="08240A2E" w:rsidP="08240A2E">
      <w:pPr>
        <w:pStyle w:val="Rejstk1"/>
        <w:tabs>
          <w:tab w:val="right" w:leader="dot" w:pos="4171"/>
        </w:tabs>
        <w:spacing w:line="240" w:lineRule="auto"/>
      </w:pPr>
      <w:r w:rsidRPr="001F5DB8">
        <w:rPr>
          <w:i/>
        </w:rPr>
        <w:t>intellectus practicus</w:t>
      </w:r>
      <w:r>
        <w:tab/>
        <w:t>312</w:t>
      </w:r>
    </w:p>
    <w:p w14:paraId="4DF4948E" w14:textId="77777777" w:rsidR="08240A2E" w:rsidRDefault="08240A2E" w:rsidP="08240A2E">
      <w:pPr>
        <w:pStyle w:val="Rejstk1"/>
        <w:tabs>
          <w:tab w:val="right" w:leader="dot" w:pos="4171"/>
        </w:tabs>
        <w:spacing w:line="240" w:lineRule="auto"/>
      </w:pPr>
      <w:r w:rsidRPr="001F5DB8">
        <w:rPr>
          <w:i/>
        </w:rPr>
        <w:t>intellectus sanctus</w:t>
      </w:r>
      <w:r>
        <w:tab/>
        <w:t>192, 276, 327, 373, 384</w:t>
      </w:r>
    </w:p>
    <w:p w14:paraId="3AF3EC18" w14:textId="77777777" w:rsidR="08240A2E" w:rsidRDefault="08240A2E" w:rsidP="08240A2E">
      <w:pPr>
        <w:pStyle w:val="Rejstk1"/>
        <w:tabs>
          <w:tab w:val="right" w:leader="dot" w:pos="4171"/>
        </w:tabs>
        <w:spacing w:line="240" w:lineRule="auto"/>
      </w:pPr>
      <w:r w:rsidRPr="001F5DB8">
        <w:rPr>
          <w:i/>
        </w:rPr>
        <w:t>intellectus speculativus</w:t>
      </w:r>
      <w:r>
        <w:tab/>
        <w:t>122, 539</w:t>
      </w:r>
    </w:p>
    <w:p w14:paraId="3AB52CC3" w14:textId="77777777" w:rsidR="08240A2E" w:rsidRDefault="08240A2E" w:rsidP="08240A2E">
      <w:pPr>
        <w:pStyle w:val="Rejstk2"/>
        <w:tabs>
          <w:tab w:val="right" w:leader="dot" w:pos="4171"/>
        </w:tabs>
        <w:spacing w:line="240" w:lineRule="auto"/>
      </w:pPr>
      <w:r>
        <w:t>Albert</w:t>
      </w:r>
      <w:r>
        <w:tab/>
        <w:t>122, 268, 271, 273, 294, 303, 308, 319, 615</w:t>
      </w:r>
    </w:p>
    <w:p w14:paraId="5382F8B9" w14:textId="77777777" w:rsidR="08240A2E" w:rsidRDefault="08240A2E" w:rsidP="08240A2E">
      <w:pPr>
        <w:pStyle w:val="Rejstk2"/>
        <w:tabs>
          <w:tab w:val="right" w:leader="dot" w:pos="4171"/>
        </w:tabs>
        <w:spacing w:line="240" w:lineRule="auto"/>
      </w:pPr>
      <w:r>
        <w:t>Bacon</w:t>
      </w:r>
      <w:r>
        <w:tab/>
        <w:t>670</w:t>
      </w:r>
    </w:p>
    <w:p w14:paraId="628CC0C6" w14:textId="77777777" w:rsidR="08240A2E" w:rsidRDefault="08240A2E" w:rsidP="08240A2E">
      <w:pPr>
        <w:pStyle w:val="Rejstk1"/>
        <w:tabs>
          <w:tab w:val="right" w:leader="dot" w:pos="4171"/>
        </w:tabs>
        <w:spacing w:line="240" w:lineRule="auto"/>
      </w:pPr>
      <w:r w:rsidRPr="001F5DB8">
        <w:rPr>
          <w:i/>
          <w:iCs/>
        </w:rPr>
        <w:t>intelligentia spiritualis</w:t>
      </w:r>
      <w:r>
        <w:tab/>
        <w:t>89, 372, 436, 438, 453, 534, 549, 612, 646, 687, 693</w:t>
      </w:r>
    </w:p>
    <w:p w14:paraId="4CCC5787" w14:textId="77777777" w:rsidR="08240A2E" w:rsidRDefault="08240A2E" w:rsidP="08240A2E">
      <w:pPr>
        <w:pStyle w:val="Rejstk1"/>
        <w:tabs>
          <w:tab w:val="right" w:leader="dot" w:pos="4171"/>
        </w:tabs>
        <w:spacing w:line="240" w:lineRule="auto"/>
      </w:pPr>
      <w:r>
        <w:t>intencionalita</w:t>
      </w:r>
    </w:p>
    <w:p w14:paraId="5646A996" w14:textId="77777777" w:rsidR="08240A2E" w:rsidRDefault="08240A2E" w:rsidP="08240A2E">
      <w:pPr>
        <w:pStyle w:val="Rejstk2"/>
        <w:tabs>
          <w:tab w:val="right" w:leader="dot" w:pos="4171"/>
        </w:tabs>
        <w:spacing w:line="240" w:lineRule="auto"/>
      </w:pPr>
      <w:r>
        <w:t>Aristoteles</w:t>
      </w:r>
      <w:r>
        <w:tab/>
        <w:t>33</w:t>
      </w:r>
    </w:p>
    <w:p w14:paraId="6FE4CDA2" w14:textId="77777777" w:rsidR="08240A2E" w:rsidRDefault="08240A2E" w:rsidP="08240A2E">
      <w:pPr>
        <w:pStyle w:val="Rejstk2"/>
        <w:tabs>
          <w:tab w:val="right" w:leader="dot" w:pos="4171"/>
        </w:tabs>
        <w:spacing w:line="240" w:lineRule="auto"/>
      </w:pPr>
      <w:r>
        <w:t>Averroes</w:t>
      </w:r>
      <w:r>
        <w:tab/>
        <w:t>138</w:t>
      </w:r>
    </w:p>
    <w:p w14:paraId="37B1C081" w14:textId="77777777" w:rsidR="08240A2E" w:rsidRDefault="08240A2E" w:rsidP="08240A2E">
      <w:pPr>
        <w:pStyle w:val="Rejstk2"/>
        <w:tabs>
          <w:tab w:val="right" w:leader="dot" w:pos="4171"/>
        </w:tabs>
        <w:spacing w:line="240" w:lineRule="auto"/>
      </w:pPr>
      <w:r>
        <w:t>Blund</w:t>
      </w:r>
      <w:r>
        <w:tab/>
        <w:t>124, 129, 130</w:t>
      </w:r>
    </w:p>
    <w:p w14:paraId="3932EA0F" w14:textId="77777777" w:rsidR="08240A2E" w:rsidRDefault="08240A2E" w:rsidP="08240A2E">
      <w:pPr>
        <w:pStyle w:val="Rejstk2"/>
        <w:tabs>
          <w:tab w:val="right" w:leader="dot" w:pos="4171"/>
        </w:tabs>
        <w:spacing w:line="240" w:lineRule="auto"/>
      </w:pPr>
      <w:r>
        <w:t>boží</w:t>
      </w:r>
      <w:r>
        <w:tab/>
        <w:t>45</w:t>
      </w:r>
    </w:p>
    <w:p w14:paraId="714A0914" w14:textId="77777777" w:rsidR="08240A2E" w:rsidRDefault="08240A2E" w:rsidP="08240A2E">
      <w:pPr>
        <w:pStyle w:val="Rejstk2"/>
        <w:tabs>
          <w:tab w:val="right" w:leader="dot" w:pos="4171"/>
        </w:tabs>
        <w:spacing w:line="240" w:lineRule="auto"/>
      </w:pPr>
      <w:r>
        <w:t>druhý averroismus</w:t>
      </w:r>
      <w:r>
        <w:tab/>
        <w:t>571</w:t>
      </w:r>
    </w:p>
    <w:p w14:paraId="404B36FB" w14:textId="77777777" w:rsidR="08240A2E" w:rsidRDefault="08240A2E" w:rsidP="08240A2E">
      <w:pPr>
        <w:pStyle w:val="Rejstk2"/>
        <w:tabs>
          <w:tab w:val="right" w:leader="dot" w:pos="4171"/>
        </w:tabs>
        <w:spacing w:line="240" w:lineRule="auto"/>
      </w:pPr>
      <w:r>
        <w:t>první averroismus</w:t>
      </w:r>
      <w:r>
        <w:tab/>
        <w:t>163, 171, 210, 552</w:t>
      </w:r>
    </w:p>
    <w:p w14:paraId="2089189F" w14:textId="77777777" w:rsidR="08240A2E" w:rsidRDefault="08240A2E" w:rsidP="08240A2E">
      <w:pPr>
        <w:pStyle w:val="Rejstk2"/>
        <w:tabs>
          <w:tab w:val="right" w:leader="dot" w:pos="4171"/>
        </w:tabs>
        <w:spacing w:line="240" w:lineRule="auto"/>
      </w:pPr>
      <w:r>
        <w:t>Rufus</w:t>
      </w:r>
      <w:r>
        <w:tab/>
        <w:t>530, 535, 592, 595</w:t>
      </w:r>
    </w:p>
    <w:p w14:paraId="468252A5" w14:textId="77777777" w:rsidR="08240A2E" w:rsidRDefault="08240A2E" w:rsidP="08240A2E">
      <w:pPr>
        <w:pStyle w:val="Rejstk2"/>
        <w:tabs>
          <w:tab w:val="right" w:leader="dot" w:pos="4171"/>
        </w:tabs>
        <w:spacing w:line="240" w:lineRule="auto"/>
      </w:pPr>
      <w:r>
        <w:t>zvířata</w:t>
      </w:r>
      <w:r>
        <w:tab/>
        <w:t>126</w:t>
      </w:r>
    </w:p>
    <w:p w14:paraId="10A95757" w14:textId="77777777" w:rsidR="08240A2E" w:rsidRDefault="08240A2E" w:rsidP="08240A2E">
      <w:pPr>
        <w:pStyle w:val="Rejstk1"/>
        <w:tabs>
          <w:tab w:val="right" w:leader="dot" w:pos="4171"/>
        </w:tabs>
        <w:spacing w:line="240" w:lineRule="auto"/>
      </w:pPr>
      <w:r w:rsidRPr="001F5DB8">
        <w:rPr>
          <w:i/>
        </w:rPr>
        <w:t>Irre</w:t>
      </w:r>
      <w:r>
        <w:tab/>
        <w:t>4, 93, 109, 282, 296, 335, 385, 539, 574, 631</w:t>
      </w:r>
    </w:p>
    <w:p w14:paraId="4B885E73" w14:textId="77777777" w:rsidR="08240A2E" w:rsidRDefault="08240A2E" w:rsidP="08240A2E">
      <w:pPr>
        <w:pStyle w:val="Rejstk1"/>
        <w:tabs>
          <w:tab w:val="right" w:leader="dot" w:pos="4171"/>
        </w:tabs>
        <w:spacing w:line="240" w:lineRule="auto"/>
      </w:pPr>
      <w:r w:rsidRPr="001F5DB8">
        <w:rPr>
          <w:i/>
        </w:rPr>
        <w:t>Irrtum</w:t>
      </w:r>
      <w:r>
        <w:tab/>
        <w:t>5, 269, 517, 599</w:t>
      </w:r>
    </w:p>
    <w:p w14:paraId="499C444F" w14:textId="77777777" w:rsidR="08240A2E" w:rsidRDefault="08240A2E" w:rsidP="08240A2E">
      <w:pPr>
        <w:pStyle w:val="Rejstk2"/>
        <w:tabs>
          <w:tab w:val="right" w:leader="dot" w:pos="4171"/>
        </w:tabs>
        <w:spacing w:line="240" w:lineRule="auto"/>
      </w:pPr>
      <w:r>
        <w:t>analytická filosofie</w:t>
      </w:r>
      <w:r>
        <w:tab/>
        <w:t>382, 385, 397, 505, 510, 675</w:t>
      </w:r>
    </w:p>
    <w:p w14:paraId="0AF55F12" w14:textId="77777777" w:rsidR="08240A2E" w:rsidRDefault="08240A2E" w:rsidP="08240A2E">
      <w:pPr>
        <w:pStyle w:val="Rejstk2"/>
        <w:tabs>
          <w:tab w:val="right" w:leader="dot" w:pos="4171"/>
        </w:tabs>
        <w:spacing w:line="240" w:lineRule="auto"/>
      </w:pPr>
      <w:r>
        <w:t>Anselm</w:t>
      </w:r>
      <w:r>
        <w:tab/>
        <w:t>25</w:t>
      </w:r>
    </w:p>
    <w:p w14:paraId="024CFD40" w14:textId="77777777" w:rsidR="08240A2E" w:rsidRDefault="08240A2E" w:rsidP="08240A2E">
      <w:pPr>
        <w:pStyle w:val="Rejstk2"/>
        <w:tabs>
          <w:tab w:val="right" w:leader="dot" w:pos="4171"/>
        </w:tabs>
        <w:spacing w:line="240" w:lineRule="auto"/>
      </w:pPr>
      <w:r>
        <w:t>hermeneutika</w:t>
      </w:r>
      <w:r>
        <w:tab/>
        <w:t>329, 346</w:t>
      </w:r>
    </w:p>
    <w:p w14:paraId="5E9C2D35" w14:textId="77777777" w:rsidR="08240A2E" w:rsidRDefault="08240A2E" w:rsidP="08240A2E">
      <w:pPr>
        <w:pStyle w:val="Rejstk2"/>
        <w:tabs>
          <w:tab w:val="right" w:leader="dot" w:pos="4171"/>
        </w:tabs>
        <w:spacing w:line="240" w:lineRule="auto"/>
      </w:pPr>
      <w:r>
        <w:t>moderna</w:t>
      </w:r>
      <w:r>
        <w:tab/>
        <w:t>219, 248, 288, 380</w:t>
      </w:r>
    </w:p>
    <w:p w14:paraId="287F237F" w14:textId="77777777" w:rsidR="08240A2E" w:rsidRDefault="08240A2E" w:rsidP="08240A2E">
      <w:pPr>
        <w:pStyle w:val="Rejstk1"/>
        <w:tabs>
          <w:tab w:val="right" w:leader="dot" w:pos="4171"/>
        </w:tabs>
        <w:spacing w:line="240" w:lineRule="auto"/>
      </w:pPr>
      <w:r>
        <w:t>Isidor ze Sevilly</w:t>
      </w:r>
      <w:r>
        <w:tab/>
        <w:t>333</w:t>
      </w:r>
    </w:p>
    <w:p w14:paraId="3081966E" w14:textId="77777777" w:rsidR="08240A2E" w:rsidRDefault="08240A2E" w:rsidP="08240A2E">
      <w:pPr>
        <w:pStyle w:val="Rejstk1"/>
        <w:tabs>
          <w:tab w:val="right" w:leader="dot" w:pos="4171"/>
        </w:tabs>
        <w:spacing w:line="240" w:lineRule="auto"/>
      </w:pPr>
      <w:r>
        <w:t>islám</w:t>
      </w:r>
      <w:r>
        <w:tab/>
        <w:t>80, 82, 89, 100</w:t>
      </w:r>
    </w:p>
    <w:p w14:paraId="7674C4E3" w14:textId="77777777" w:rsidR="08240A2E" w:rsidRDefault="08240A2E" w:rsidP="08240A2E">
      <w:pPr>
        <w:pStyle w:val="Rejstk1"/>
        <w:tabs>
          <w:tab w:val="right" w:leader="dot" w:pos="4171"/>
        </w:tabs>
        <w:spacing w:line="240" w:lineRule="auto"/>
      </w:pPr>
      <w:r w:rsidRPr="001F5DB8">
        <w:rPr>
          <w:i/>
        </w:rPr>
        <w:t>ittiṣāl</w:t>
      </w:r>
      <w:r>
        <w:tab/>
        <w:t>622</w:t>
      </w:r>
    </w:p>
    <w:p w14:paraId="7D6FEC60" w14:textId="3EB882CE" w:rsidR="00593546" w:rsidRPr="00C8572E" w:rsidRDefault="00593546" w:rsidP="00593546">
      <w:pPr>
        <w:pStyle w:val="Rejstk1"/>
        <w:tabs>
          <w:tab w:val="right" w:leader="dot" w:pos="4171"/>
        </w:tabs>
        <w:spacing w:line="240" w:lineRule="auto"/>
        <w:rPr>
          <w:b/>
        </w:rPr>
      </w:pPr>
      <w:r>
        <w:rPr>
          <w:b/>
        </w:rPr>
        <w:t>J, K</w:t>
      </w:r>
    </w:p>
    <w:p w14:paraId="78B22AE1" w14:textId="77777777" w:rsidR="08240A2E" w:rsidRDefault="08240A2E" w:rsidP="08240A2E">
      <w:pPr>
        <w:pStyle w:val="Rejstk1"/>
        <w:tabs>
          <w:tab w:val="right" w:leader="dot" w:pos="4171"/>
        </w:tabs>
        <w:spacing w:line="240" w:lineRule="auto"/>
      </w:pPr>
      <w:r>
        <w:t>Jakub z Benátek</w:t>
      </w:r>
      <w:r>
        <w:tab/>
        <w:t>106, 344</w:t>
      </w:r>
    </w:p>
    <w:p w14:paraId="6623E1A9" w14:textId="77777777" w:rsidR="08240A2E" w:rsidRDefault="08240A2E" w:rsidP="08240A2E">
      <w:pPr>
        <w:pStyle w:val="Rejstk1"/>
        <w:tabs>
          <w:tab w:val="right" w:leader="dot" w:pos="4171"/>
        </w:tabs>
        <w:spacing w:line="240" w:lineRule="auto"/>
      </w:pPr>
      <w:r>
        <w:t>Jakubův žebřík</w:t>
      </w:r>
      <w:r>
        <w:tab/>
        <w:t>77, 88, 89, 401, 651</w:t>
      </w:r>
    </w:p>
    <w:p w14:paraId="09950E34" w14:textId="77777777" w:rsidR="08240A2E" w:rsidRDefault="08240A2E" w:rsidP="08240A2E">
      <w:pPr>
        <w:pStyle w:val="Rejstk1"/>
        <w:tabs>
          <w:tab w:val="right" w:leader="dot" w:pos="4171"/>
        </w:tabs>
        <w:spacing w:line="240" w:lineRule="auto"/>
      </w:pPr>
      <w:r>
        <w:t>Jan ze Salisbury</w:t>
      </w:r>
      <w:r w:rsidR="08775A10">
        <w:t xml:space="preserve">, viz </w:t>
      </w:r>
      <w:r w:rsidR="08775A10" w:rsidRPr="08775A10">
        <w:rPr>
          <w:i/>
        </w:rPr>
        <w:t>Index locorum</w:t>
      </w:r>
      <w:r>
        <w:tab/>
        <w:t>65, 75, 95, 97, 323, 324</w:t>
      </w:r>
    </w:p>
    <w:p w14:paraId="364E9365" w14:textId="799DCFEA" w:rsidR="08240A2E" w:rsidRDefault="00CA4127" w:rsidP="08240A2E">
      <w:pPr>
        <w:pStyle w:val="Rejstk1"/>
        <w:tabs>
          <w:tab w:val="right" w:leader="dot" w:pos="4171"/>
        </w:tabs>
        <w:spacing w:line="240" w:lineRule="auto"/>
      </w:pPr>
      <w:r>
        <w:t>Jean de La Rochelle</w:t>
      </w:r>
      <w:r w:rsidR="08240A2E">
        <w:tab/>
        <w:t>334</w:t>
      </w:r>
    </w:p>
    <w:p w14:paraId="7F794D7F" w14:textId="77777777" w:rsidR="08240A2E" w:rsidRDefault="08240A2E" w:rsidP="08240A2E">
      <w:pPr>
        <w:pStyle w:val="Rejstk1"/>
        <w:tabs>
          <w:tab w:val="right" w:leader="dot" w:pos="4171"/>
        </w:tabs>
        <w:spacing w:line="240" w:lineRule="auto"/>
      </w:pPr>
      <w:r>
        <w:t>Joachim z Fiore</w:t>
      </w:r>
      <w:r>
        <w:tab/>
        <w:t>436, 693</w:t>
      </w:r>
    </w:p>
    <w:p w14:paraId="6B9F1019" w14:textId="77777777" w:rsidR="08240A2E" w:rsidRDefault="08240A2E" w:rsidP="08240A2E">
      <w:pPr>
        <w:pStyle w:val="Rejstk1"/>
        <w:tabs>
          <w:tab w:val="right" w:leader="dot" w:pos="4171"/>
        </w:tabs>
        <w:spacing w:line="240" w:lineRule="auto"/>
      </w:pPr>
      <w:r>
        <w:t>Johannes de Rupella</w:t>
      </w:r>
      <w:r>
        <w:tab/>
        <w:t>180, 482</w:t>
      </w:r>
    </w:p>
    <w:p w14:paraId="50397ECD" w14:textId="77777777" w:rsidR="08240A2E" w:rsidRDefault="08240A2E" w:rsidP="08240A2E">
      <w:pPr>
        <w:pStyle w:val="Rejstk1"/>
        <w:tabs>
          <w:tab w:val="right" w:leader="dot" w:pos="4171"/>
        </w:tabs>
        <w:spacing w:line="240" w:lineRule="auto"/>
      </w:pPr>
      <w:r>
        <w:t>Johannis de Parma</w:t>
      </w:r>
      <w:r>
        <w:tab/>
        <w:t>566</w:t>
      </w:r>
    </w:p>
    <w:p w14:paraId="48C251B8" w14:textId="77777777" w:rsidR="08240A2E" w:rsidRDefault="08240A2E" w:rsidP="08240A2E">
      <w:pPr>
        <w:pStyle w:val="Rejstk1"/>
        <w:tabs>
          <w:tab w:val="right" w:leader="dot" w:pos="4171"/>
        </w:tabs>
        <w:spacing w:line="240" w:lineRule="auto"/>
      </w:pPr>
      <w:r>
        <w:t>John Pagus</w:t>
      </w:r>
      <w:r w:rsidR="08775A10">
        <w:t xml:space="preserve">, viz </w:t>
      </w:r>
      <w:r w:rsidR="08775A10" w:rsidRPr="08775A10">
        <w:rPr>
          <w:i/>
        </w:rPr>
        <w:t>Index locorum</w:t>
      </w:r>
      <w:r>
        <w:tab/>
        <w:t>655</w:t>
      </w:r>
    </w:p>
    <w:p w14:paraId="61C5D21D" w14:textId="77777777" w:rsidR="08240A2E" w:rsidRDefault="08240A2E" w:rsidP="08240A2E">
      <w:pPr>
        <w:pStyle w:val="Rejstk1"/>
        <w:tabs>
          <w:tab w:val="right" w:leader="dot" w:pos="4171"/>
        </w:tabs>
        <w:spacing w:line="240" w:lineRule="auto"/>
      </w:pPr>
      <w:r>
        <w:t>Kant, I.</w:t>
      </w:r>
      <w:r w:rsidR="08775A10">
        <w:t xml:space="preserve">, viz </w:t>
      </w:r>
      <w:r w:rsidR="08775A10" w:rsidRPr="08775A10">
        <w:rPr>
          <w:i/>
        </w:rPr>
        <w:t>Index locorum</w:t>
      </w:r>
      <w:r>
        <w:tab/>
        <w:t>10, 271, 698</w:t>
      </w:r>
    </w:p>
    <w:p w14:paraId="7D1A8D4E" w14:textId="77777777" w:rsidR="08240A2E" w:rsidRDefault="08240A2E" w:rsidP="08240A2E">
      <w:pPr>
        <w:pStyle w:val="Rejstk1"/>
        <w:tabs>
          <w:tab w:val="right" w:leader="dot" w:pos="4171"/>
        </w:tabs>
        <w:spacing w:line="240" w:lineRule="auto"/>
      </w:pPr>
      <w:r>
        <w:t>kauzalita</w:t>
      </w:r>
    </w:p>
    <w:p w14:paraId="7EABE351" w14:textId="77777777" w:rsidR="08240A2E" w:rsidRDefault="08240A2E" w:rsidP="08240A2E">
      <w:pPr>
        <w:pStyle w:val="Rejstk2"/>
        <w:tabs>
          <w:tab w:val="right" w:leader="dot" w:pos="4171"/>
        </w:tabs>
        <w:spacing w:line="240" w:lineRule="auto"/>
      </w:pPr>
      <w:r>
        <w:t>Albert</w:t>
      </w:r>
      <w:r>
        <w:tab/>
        <w:t>246, 249, 255</w:t>
      </w:r>
    </w:p>
    <w:p w14:paraId="233C8F8A" w14:textId="77777777" w:rsidR="08240A2E" w:rsidRDefault="08240A2E" w:rsidP="08240A2E">
      <w:pPr>
        <w:pStyle w:val="Rejstk2"/>
        <w:tabs>
          <w:tab w:val="right" w:leader="dot" w:pos="4171"/>
        </w:tabs>
        <w:spacing w:line="240" w:lineRule="auto"/>
      </w:pPr>
      <w:r>
        <w:t>Aristoteles</w:t>
      </w:r>
      <w:r>
        <w:tab/>
        <w:t>247</w:t>
      </w:r>
    </w:p>
    <w:p w14:paraId="655B7760" w14:textId="77777777" w:rsidR="08240A2E" w:rsidRDefault="08240A2E" w:rsidP="08240A2E">
      <w:pPr>
        <w:pStyle w:val="Rejstk2"/>
        <w:tabs>
          <w:tab w:val="right" w:leader="dot" w:pos="4171"/>
        </w:tabs>
        <w:spacing w:line="240" w:lineRule="auto"/>
      </w:pPr>
      <w:r w:rsidRPr="001F5DB8">
        <w:rPr>
          <w:i/>
        </w:rPr>
        <w:t>causae completae</w:t>
      </w:r>
      <w:r>
        <w:tab/>
        <w:t>509, 521</w:t>
      </w:r>
    </w:p>
    <w:p w14:paraId="00FF7A57" w14:textId="77777777" w:rsidR="08240A2E" w:rsidRDefault="08240A2E" w:rsidP="08240A2E">
      <w:pPr>
        <w:pStyle w:val="Rejstk2"/>
        <w:tabs>
          <w:tab w:val="right" w:leader="dot" w:pos="4171"/>
        </w:tabs>
        <w:spacing w:line="240" w:lineRule="auto"/>
      </w:pPr>
      <w:r>
        <w:t>demiurga</w:t>
      </w:r>
      <w:r>
        <w:tab/>
        <w:t>312</w:t>
      </w:r>
    </w:p>
    <w:p w14:paraId="640514A0" w14:textId="77777777" w:rsidR="08240A2E" w:rsidRDefault="08240A2E" w:rsidP="08240A2E">
      <w:pPr>
        <w:pStyle w:val="Rejstk2"/>
        <w:tabs>
          <w:tab w:val="right" w:leader="dot" w:pos="4171"/>
        </w:tabs>
        <w:spacing w:line="240" w:lineRule="auto"/>
      </w:pPr>
      <w:r w:rsidRPr="001F5DB8">
        <w:rPr>
          <w:i/>
        </w:rPr>
        <w:t>Druhé analytiky</w:t>
      </w:r>
      <w:r>
        <w:tab/>
        <w:t>367, 369, 394</w:t>
      </w:r>
    </w:p>
    <w:p w14:paraId="31F520BC" w14:textId="77777777" w:rsidR="08240A2E" w:rsidRDefault="08240A2E" w:rsidP="08240A2E">
      <w:pPr>
        <w:pStyle w:val="Rejstk2"/>
        <w:tabs>
          <w:tab w:val="right" w:leader="dot" w:pos="4171"/>
        </w:tabs>
        <w:spacing w:line="240" w:lineRule="auto"/>
      </w:pPr>
      <w:r>
        <w:t>druhý averroismus</w:t>
      </w:r>
      <w:r>
        <w:tab/>
        <w:t>262</w:t>
      </w:r>
    </w:p>
    <w:p w14:paraId="23F58CBD" w14:textId="77777777" w:rsidR="08240A2E" w:rsidRDefault="08240A2E" w:rsidP="08240A2E">
      <w:pPr>
        <w:pStyle w:val="Rejstk2"/>
        <w:tabs>
          <w:tab w:val="right" w:leader="dot" w:pos="4171"/>
        </w:tabs>
        <w:spacing w:line="240" w:lineRule="auto"/>
      </w:pPr>
      <w:r w:rsidRPr="001F5DB8">
        <w:rPr>
          <w:i/>
        </w:rPr>
        <w:t>ex inmediatis</w:t>
      </w:r>
      <w:r>
        <w:tab/>
        <w:t>39</w:t>
      </w:r>
    </w:p>
    <w:p w14:paraId="1E24EA3B" w14:textId="77777777" w:rsidR="08240A2E" w:rsidRDefault="08240A2E" w:rsidP="08240A2E">
      <w:pPr>
        <w:pStyle w:val="Rejstk2"/>
        <w:tabs>
          <w:tab w:val="right" w:leader="dot" w:pos="4171"/>
        </w:tabs>
        <w:spacing w:line="240" w:lineRule="auto"/>
      </w:pPr>
      <w:r>
        <w:t>formální</w:t>
      </w:r>
      <w:r>
        <w:tab/>
        <w:t>163, 313</w:t>
      </w:r>
    </w:p>
    <w:p w14:paraId="093A9C6C" w14:textId="77777777" w:rsidR="08240A2E" w:rsidRDefault="08240A2E" w:rsidP="08240A2E">
      <w:pPr>
        <w:pStyle w:val="Rejstk2"/>
        <w:tabs>
          <w:tab w:val="right" w:leader="dot" w:pos="4171"/>
        </w:tabs>
        <w:spacing w:line="240" w:lineRule="auto"/>
      </w:pPr>
      <w:r w:rsidRPr="001F5DB8">
        <w:rPr>
          <w:i/>
        </w:rPr>
        <w:t>in artificialibus</w:t>
      </w:r>
      <w:r>
        <w:tab/>
        <w:t>312, 314</w:t>
      </w:r>
    </w:p>
    <w:p w14:paraId="288F9D8C" w14:textId="77777777" w:rsidR="08240A2E" w:rsidRDefault="08240A2E" w:rsidP="08240A2E">
      <w:pPr>
        <w:pStyle w:val="Rejstk2"/>
        <w:tabs>
          <w:tab w:val="right" w:leader="dot" w:pos="4171"/>
        </w:tabs>
        <w:spacing w:line="240" w:lineRule="auto"/>
      </w:pPr>
      <w:r>
        <w:t>Kilwardby</w:t>
      </w:r>
      <w:r>
        <w:tab/>
        <w:t>640</w:t>
      </w:r>
    </w:p>
    <w:p w14:paraId="289BD42F" w14:textId="77777777" w:rsidR="08240A2E" w:rsidRDefault="08240A2E" w:rsidP="08240A2E">
      <w:pPr>
        <w:pStyle w:val="Rejstk2"/>
        <w:tabs>
          <w:tab w:val="right" w:leader="dot" w:pos="4171"/>
        </w:tabs>
        <w:spacing w:line="240" w:lineRule="auto"/>
      </w:pPr>
      <w:r>
        <w:t>objektivní</w:t>
      </w:r>
      <w:r>
        <w:tab/>
        <w:t>86, 90, 345, 488, 511, 534, 584</w:t>
      </w:r>
    </w:p>
    <w:p w14:paraId="7D27DE1F" w14:textId="77777777" w:rsidR="08240A2E" w:rsidRDefault="08240A2E" w:rsidP="08240A2E">
      <w:pPr>
        <w:pStyle w:val="Rejstk2"/>
        <w:tabs>
          <w:tab w:val="right" w:leader="dot" w:pos="4171"/>
        </w:tabs>
        <w:spacing w:line="240" w:lineRule="auto"/>
      </w:pPr>
      <w:r>
        <w:t>porretáni</w:t>
      </w:r>
      <w:r>
        <w:tab/>
        <w:t>86, 101, 250</w:t>
      </w:r>
    </w:p>
    <w:p w14:paraId="7D813D4D" w14:textId="77777777" w:rsidR="08240A2E" w:rsidRDefault="08240A2E" w:rsidP="08240A2E">
      <w:pPr>
        <w:pStyle w:val="Rejstk2"/>
        <w:tabs>
          <w:tab w:val="right" w:leader="dot" w:pos="4171"/>
        </w:tabs>
        <w:spacing w:line="240" w:lineRule="auto"/>
      </w:pPr>
      <w:r>
        <w:t>Rufus</w:t>
      </w:r>
      <w:r>
        <w:tab/>
        <w:t>508, 510, 565</w:t>
      </w:r>
    </w:p>
    <w:p w14:paraId="62199E7E" w14:textId="77777777" w:rsidR="08240A2E" w:rsidRDefault="08240A2E" w:rsidP="08240A2E">
      <w:pPr>
        <w:pStyle w:val="Rejstk1"/>
        <w:tabs>
          <w:tab w:val="right" w:leader="dot" w:pos="4171"/>
        </w:tabs>
        <w:spacing w:line="240" w:lineRule="auto"/>
      </w:pPr>
      <w:r>
        <w:t>Kierkegaard, S.</w:t>
      </w:r>
      <w:r>
        <w:tab/>
        <w:t>194</w:t>
      </w:r>
    </w:p>
    <w:p w14:paraId="0BE23ACB" w14:textId="77777777" w:rsidR="081B67B4" w:rsidRDefault="08240A2E" w:rsidP="081B67B4">
      <w:pPr>
        <w:pStyle w:val="Rejstk1"/>
        <w:tabs>
          <w:tab w:val="right" w:leader="dot" w:pos="4171"/>
        </w:tabs>
        <w:spacing w:line="240" w:lineRule="auto"/>
      </w:pPr>
      <w:r>
        <w:t>Kilwardby</w:t>
      </w:r>
      <w:r w:rsidR="081B67B4">
        <w:t xml:space="preserve">, viz </w:t>
      </w:r>
      <w:r w:rsidR="081B67B4" w:rsidRPr="081B67B4">
        <w:rPr>
          <w:i/>
        </w:rPr>
        <w:t>Index locorum</w:t>
      </w:r>
    </w:p>
    <w:p w14:paraId="00F62A42" w14:textId="77777777" w:rsidR="08240A2E" w:rsidRDefault="08240A2E" w:rsidP="081B67B4">
      <w:pPr>
        <w:pStyle w:val="Rejstk1"/>
        <w:tabs>
          <w:tab w:val="right" w:leader="dot" w:pos="4171"/>
        </w:tabs>
        <w:spacing w:line="240" w:lineRule="auto"/>
      </w:pPr>
      <w:r>
        <w:t>Kipling, R.</w:t>
      </w:r>
      <w:r>
        <w:tab/>
        <w:t>699</w:t>
      </w:r>
    </w:p>
    <w:p w14:paraId="7EBFD567" w14:textId="77777777" w:rsidR="08240A2E" w:rsidRDefault="08240A2E" w:rsidP="08240A2E">
      <w:pPr>
        <w:pStyle w:val="Rejstk1"/>
        <w:tabs>
          <w:tab w:val="right" w:leader="dot" w:pos="4171"/>
        </w:tabs>
        <w:spacing w:line="240" w:lineRule="auto"/>
      </w:pPr>
      <w:r w:rsidRPr="001F5DB8">
        <w:rPr>
          <w:bCs/>
          <w:i/>
          <w:iCs/>
        </w:rPr>
        <w:t>Kitāb al-hayawān</w:t>
      </w:r>
      <w:r>
        <w:tab/>
        <w:t>152, 153, 325, 350</w:t>
      </w:r>
    </w:p>
    <w:p w14:paraId="206ACFCD" w14:textId="77777777" w:rsidR="08240A2E" w:rsidRDefault="08240A2E" w:rsidP="08240A2E">
      <w:pPr>
        <w:pStyle w:val="Rejstk1"/>
        <w:tabs>
          <w:tab w:val="right" w:leader="dot" w:pos="4171"/>
        </w:tabs>
        <w:spacing w:line="240" w:lineRule="auto"/>
      </w:pPr>
      <w:r>
        <w:t>komitace</w:t>
      </w:r>
      <w:r>
        <w:tab/>
        <w:t>24, 62, 71, 74, 86, 90, 93, 104, 178, 219, 221, 226, 349, 390, 531, 628</w:t>
      </w:r>
    </w:p>
    <w:p w14:paraId="3CB2A265" w14:textId="77777777" w:rsidR="08240A2E" w:rsidRDefault="08240A2E" w:rsidP="08240A2E">
      <w:pPr>
        <w:pStyle w:val="Rejstk1"/>
        <w:tabs>
          <w:tab w:val="right" w:leader="dot" w:pos="4171"/>
        </w:tabs>
        <w:spacing w:line="240" w:lineRule="auto"/>
      </w:pPr>
      <w:r>
        <w:t>koncentrační tábory</w:t>
      </w:r>
      <w:r>
        <w:tab/>
        <w:t>492</w:t>
      </w:r>
    </w:p>
    <w:p w14:paraId="2C0CDC00" w14:textId="77777777" w:rsidR="08240A2E" w:rsidRDefault="08240A2E" w:rsidP="08240A2E">
      <w:pPr>
        <w:pStyle w:val="Rejstk1"/>
        <w:tabs>
          <w:tab w:val="right" w:leader="dot" w:pos="4171"/>
        </w:tabs>
        <w:spacing w:line="240" w:lineRule="auto"/>
      </w:pPr>
      <w:r>
        <w:t>koncil</w:t>
      </w:r>
    </w:p>
    <w:p w14:paraId="0460C7A4" w14:textId="77777777" w:rsidR="08240A2E" w:rsidRDefault="08240A2E" w:rsidP="08240A2E">
      <w:pPr>
        <w:pStyle w:val="Rejstk2"/>
        <w:tabs>
          <w:tab w:val="right" w:leader="dot" w:pos="4171"/>
        </w:tabs>
        <w:spacing w:line="240" w:lineRule="auto"/>
      </w:pPr>
      <w:r>
        <w:t>Efezský</w:t>
      </w:r>
      <w:r>
        <w:tab/>
        <w:t>55</w:t>
      </w:r>
    </w:p>
    <w:p w14:paraId="0FD797AD" w14:textId="77777777" w:rsidR="08240A2E" w:rsidRDefault="08240A2E" w:rsidP="08240A2E">
      <w:pPr>
        <w:pStyle w:val="Rejstk2"/>
        <w:tabs>
          <w:tab w:val="right" w:leader="dot" w:pos="4171"/>
        </w:tabs>
        <w:spacing w:line="240" w:lineRule="auto"/>
      </w:pPr>
      <w:r>
        <w:t>Paříž</w:t>
      </w:r>
      <w:r>
        <w:tab/>
        <w:t>106</w:t>
      </w:r>
    </w:p>
    <w:p w14:paraId="5CE28B0F" w14:textId="77777777" w:rsidR="08240A2E" w:rsidRDefault="08240A2E" w:rsidP="08240A2E">
      <w:pPr>
        <w:pStyle w:val="Rejstk2"/>
        <w:tabs>
          <w:tab w:val="right" w:leader="dot" w:pos="4171"/>
        </w:tabs>
        <w:spacing w:line="240" w:lineRule="auto"/>
      </w:pPr>
      <w:r>
        <w:t>Remeš</w:t>
      </w:r>
      <w:r>
        <w:tab/>
        <w:t>106</w:t>
      </w:r>
    </w:p>
    <w:p w14:paraId="79FD95AA" w14:textId="77777777" w:rsidR="08240A2E" w:rsidRDefault="08240A2E" w:rsidP="08240A2E">
      <w:pPr>
        <w:pStyle w:val="Rejstk2"/>
        <w:tabs>
          <w:tab w:val="right" w:leader="dot" w:pos="4171"/>
        </w:tabs>
        <w:spacing w:line="240" w:lineRule="auto"/>
      </w:pPr>
      <w:r>
        <w:t>Sens</w:t>
      </w:r>
      <w:r>
        <w:tab/>
        <w:t>47, 82, 99</w:t>
      </w:r>
    </w:p>
    <w:p w14:paraId="10638516" w14:textId="77777777" w:rsidR="08240A2E" w:rsidRDefault="08240A2E" w:rsidP="08240A2E">
      <w:pPr>
        <w:pStyle w:val="Rejstk2"/>
        <w:tabs>
          <w:tab w:val="right" w:leader="dot" w:pos="4171"/>
        </w:tabs>
        <w:spacing w:line="240" w:lineRule="auto"/>
      </w:pPr>
      <w:r>
        <w:t>Soissons</w:t>
      </w:r>
      <w:r>
        <w:tab/>
        <w:t>48, 82, 99</w:t>
      </w:r>
    </w:p>
    <w:p w14:paraId="54F546E0" w14:textId="77777777" w:rsidR="08240A2E" w:rsidRDefault="08240A2E" w:rsidP="08240A2E">
      <w:pPr>
        <w:pStyle w:val="Rejstk1"/>
        <w:tabs>
          <w:tab w:val="right" w:leader="dot" w:pos="4171"/>
        </w:tabs>
        <w:spacing w:line="240" w:lineRule="auto"/>
      </w:pPr>
      <w:r>
        <w:t>koncil v Soissons</w:t>
      </w:r>
      <w:r>
        <w:tab/>
        <w:t>47</w:t>
      </w:r>
    </w:p>
    <w:p w14:paraId="60ACEDD1" w14:textId="77777777" w:rsidR="08240A2E" w:rsidRDefault="08240A2E" w:rsidP="08240A2E">
      <w:pPr>
        <w:pStyle w:val="Rejstk1"/>
        <w:tabs>
          <w:tab w:val="right" w:leader="dot" w:pos="4171"/>
        </w:tabs>
        <w:spacing w:line="240" w:lineRule="auto"/>
      </w:pPr>
      <w:r>
        <w:t>kontingentní jsoucno</w:t>
      </w:r>
      <w:r>
        <w:tab/>
        <w:t>89</w:t>
      </w:r>
    </w:p>
    <w:p w14:paraId="652C6116" w14:textId="77777777" w:rsidR="08240A2E" w:rsidRDefault="08240A2E" w:rsidP="08240A2E">
      <w:pPr>
        <w:pStyle w:val="Rejstk1"/>
        <w:tabs>
          <w:tab w:val="right" w:leader="dot" w:pos="4171"/>
        </w:tabs>
        <w:spacing w:line="240" w:lineRule="auto"/>
      </w:pPr>
      <w:r>
        <w:t>Korán</w:t>
      </w:r>
      <w:r>
        <w:tab/>
        <w:t>103, 666</w:t>
      </w:r>
    </w:p>
    <w:p w14:paraId="729573FD" w14:textId="77777777" w:rsidR="08240A2E" w:rsidRDefault="08240A2E" w:rsidP="08240A2E">
      <w:pPr>
        <w:pStyle w:val="Rejstk1"/>
        <w:tabs>
          <w:tab w:val="right" w:leader="dot" w:pos="4171"/>
        </w:tabs>
        <w:spacing w:line="240" w:lineRule="auto"/>
      </w:pPr>
      <w:r>
        <w:t>křížové výpravy</w:t>
      </w:r>
      <w:r>
        <w:tab/>
        <w:t>48, 342</w:t>
      </w:r>
    </w:p>
    <w:p w14:paraId="6A8F996F" w14:textId="77777777" w:rsidR="08240A2E" w:rsidRDefault="08240A2E" w:rsidP="08240A2E">
      <w:pPr>
        <w:pStyle w:val="Rejstk1"/>
        <w:tabs>
          <w:tab w:val="right" w:leader="dot" w:pos="4171"/>
        </w:tabs>
        <w:spacing w:line="240" w:lineRule="auto"/>
      </w:pPr>
      <w:r>
        <w:t>kulturní hegemonie</w:t>
      </w:r>
      <w:r>
        <w:tab/>
        <w:t>490, 690</w:t>
      </w:r>
    </w:p>
    <w:p w14:paraId="21FE2027" w14:textId="77777777" w:rsidR="08240A2E" w:rsidRDefault="08240A2E" w:rsidP="08240A2E">
      <w:pPr>
        <w:pStyle w:val="Rejstk1"/>
        <w:tabs>
          <w:tab w:val="right" w:leader="dot" w:pos="4171"/>
        </w:tabs>
        <w:spacing w:line="240" w:lineRule="auto"/>
      </w:pPr>
      <w:r>
        <w:t>kvália</w:t>
      </w:r>
      <w:r>
        <w:tab/>
        <w:t>54, 84, 93</w:t>
      </w:r>
    </w:p>
    <w:p w14:paraId="2D243011" w14:textId="77777777" w:rsidR="08240A2E" w:rsidRDefault="08240A2E" w:rsidP="08240A2E">
      <w:pPr>
        <w:pStyle w:val="Rejstk1"/>
        <w:tabs>
          <w:tab w:val="right" w:leader="dot" w:pos="4171"/>
        </w:tabs>
        <w:spacing w:line="240" w:lineRule="auto"/>
      </w:pPr>
      <w:r>
        <w:t>kvantita</w:t>
      </w:r>
      <w:r>
        <w:tab/>
        <w:t>658</w:t>
      </w:r>
    </w:p>
    <w:p w14:paraId="6054C2FB" w14:textId="77777777" w:rsidR="08240A2E" w:rsidRDefault="08240A2E" w:rsidP="08240A2E">
      <w:pPr>
        <w:pStyle w:val="Rejstk1"/>
        <w:tabs>
          <w:tab w:val="right" w:leader="dot" w:pos="4171"/>
        </w:tabs>
        <w:spacing w:line="240" w:lineRule="auto"/>
      </w:pPr>
      <w:r>
        <w:t>Le Goff, J.</w:t>
      </w:r>
      <w:r>
        <w:tab/>
        <w:t>104</w:t>
      </w:r>
    </w:p>
    <w:p w14:paraId="6A4CD1FE" w14:textId="77777777" w:rsidR="00593546" w:rsidRDefault="00593546" w:rsidP="00593546">
      <w:pPr>
        <w:pStyle w:val="Rejstk1"/>
        <w:tabs>
          <w:tab w:val="right" w:leader="dot" w:pos="4171"/>
        </w:tabs>
        <w:spacing w:line="240" w:lineRule="auto"/>
        <w:rPr>
          <w:b/>
        </w:rPr>
      </w:pPr>
    </w:p>
    <w:p w14:paraId="6E025391" w14:textId="05F80962" w:rsidR="00593546" w:rsidRPr="00C8572E" w:rsidRDefault="00593546" w:rsidP="00593546">
      <w:pPr>
        <w:pStyle w:val="Rejstk1"/>
        <w:tabs>
          <w:tab w:val="right" w:leader="dot" w:pos="4171"/>
        </w:tabs>
        <w:spacing w:line="240" w:lineRule="auto"/>
        <w:rPr>
          <w:b/>
        </w:rPr>
      </w:pPr>
      <w:r>
        <w:rPr>
          <w:b/>
        </w:rPr>
        <w:t>L</w:t>
      </w:r>
    </w:p>
    <w:p w14:paraId="2EC909FA" w14:textId="77777777" w:rsidR="08240A2E" w:rsidRDefault="08240A2E" w:rsidP="08240A2E">
      <w:pPr>
        <w:pStyle w:val="Rejstk1"/>
        <w:tabs>
          <w:tab w:val="right" w:leader="dot" w:pos="4171"/>
        </w:tabs>
        <w:spacing w:line="240" w:lineRule="auto"/>
      </w:pPr>
      <w:r>
        <w:t>Leibniz, G. W</w:t>
      </w:r>
      <w:r w:rsidR="08A47A80">
        <w:t xml:space="preserve">., viz </w:t>
      </w:r>
      <w:r w:rsidR="08A47A80" w:rsidRPr="08A47A80">
        <w:rPr>
          <w:i/>
        </w:rPr>
        <w:t>Index locorum</w:t>
      </w:r>
      <w:r>
        <w:t>.</w:t>
      </w:r>
      <w:r>
        <w:tab/>
        <w:t>10, 281, 435, 701</w:t>
      </w:r>
    </w:p>
    <w:p w14:paraId="719079C9" w14:textId="77777777" w:rsidR="08240A2E" w:rsidRDefault="08240A2E" w:rsidP="08240A2E">
      <w:pPr>
        <w:pStyle w:val="Rejstk1"/>
        <w:tabs>
          <w:tab w:val="right" w:leader="dot" w:pos="4171"/>
        </w:tabs>
        <w:spacing w:line="240" w:lineRule="auto"/>
      </w:pPr>
      <w:r w:rsidRPr="001F5DB8">
        <w:t>létající muž</w:t>
      </w:r>
      <w:r>
        <w:tab/>
        <w:t>256, 326, 384, 502, 590</w:t>
      </w:r>
    </w:p>
    <w:p w14:paraId="4E9CF62D" w14:textId="77777777" w:rsidR="08240A2E" w:rsidRDefault="08240A2E" w:rsidP="08240A2E">
      <w:pPr>
        <w:pStyle w:val="Rejstk1"/>
        <w:tabs>
          <w:tab w:val="right" w:leader="dot" w:pos="4171"/>
        </w:tabs>
        <w:spacing w:line="240" w:lineRule="auto"/>
      </w:pPr>
      <w:r w:rsidRPr="001F5DB8">
        <w:rPr>
          <w:i/>
        </w:rPr>
        <w:t>Liber de causis</w:t>
      </w:r>
      <w:r>
        <w:tab/>
        <w:t>62, 80, 88, 107, 186, 195, 310, 374, 390, 424, 454, 461, 520, 523, 526, 557, 635, 667</w:t>
      </w:r>
    </w:p>
    <w:p w14:paraId="769CF463" w14:textId="77777777" w:rsidR="081B67B4" w:rsidRDefault="081B67B4" w:rsidP="081B67B4">
      <w:pPr>
        <w:pStyle w:val="Rejstk1"/>
        <w:tabs>
          <w:tab w:val="right" w:leader="dot" w:pos="4171"/>
        </w:tabs>
        <w:spacing w:line="240" w:lineRule="auto"/>
      </w:pPr>
      <w:r w:rsidRPr="001F5DB8">
        <w:rPr>
          <w:i/>
        </w:rPr>
        <w:t xml:space="preserve">Liber de causis </w:t>
      </w:r>
      <w:r>
        <w:t>§ 199‒200</w:t>
      </w:r>
      <w:r>
        <w:tab/>
        <w:t>425</w:t>
      </w:r>
    </w:p>
    <w:p w14:paraId="7E586436" w14:textId="77777777" w:rsidR="081B67B4" w:rsidRDefault="081B67B4" w:rsidP="081B67B4">
      <w:pPr>
        <w:pStyle w:val="Rejstk1"/>
        <w:tabs>
          <w:tab w:val="right" w:leader="dot" w:pos="4171"/>
        </w:tabs>
        <w:spacing w:line="240" w:lineRule="auto"/>
      </w:pPr>
      <w:r w:rsidRPr="001F5DB8">
        <w:rPr>
          <w:i/>
        </w:rPr>
        <w:t>Liber scala Machometi</w:t>
      </w:r>
      <w:r>
        <w:tab/>
        <w:t>102</w:t>
      </w:r>
    </w:p>
    <w:p w14:paraId="20095B56" w14:textId="77777777" w:rsidR="081B67B4" w:rsidRDefault="081B67B4" w:rsidP="081B67B4">
      <w:pPr>
        <w:pStyle w:val="Rejstk1"/>
        <w:tabs>
          <w:tab w:val="right" w:leader="dot" w:pos="4171"/>
        </w:tabs>
        <w:spacing w:line="240" w:lineRule="auto"/>
      </w:pPr>
      <w:r w:rsidRPr="001F5DB8">
        <w:rPr>
          <w:i/>
        </w:rPr>
        <w:t>Liber sex Principiorum</w:t>
      </w:r>
      <w:r>
        <w:t xml:space="preserve"> 56.89‒90</w:t>
      </w:r>
      <w:r>
        <w:tab/>
        <w:t>62</w:t>
      </w:r>
    </w:p>
    <w:p w14:paraId="2201C57D" w14:textId="77777777" w:rsidR="08240A2E" w:rsidRDefault="08240A2E" w:rsidP="08240A2E">
      <w:pPr>
        <w:pStyle w:val="Rejstk1"/>
        <w:tabs>
          <w:tab w:val="right" w:leader="dot" w:pos="4171"/>
        </w:tabs>
        <w:spacing w:line="240" w:lineRule="auto"/>
      </w:pPr>
      <w:r>
        <w:t>Libera, A.</w:t>
      </w:r>
      <w:r>
        <w:tab/>
        <w:t>39, 311, 367, 674</w:t>
      </w:r>
    </w:p>
    <w:p w14:paraId="39021EAF" w14:textId="77777777" w:rsidR="08240A2E" w:rsidRDefault="08240A2E" w:rsidP="08240A2E">
      <w:pPr>
        <w:pStyle w:val="Rejstk1"/>
        <w:tabs>
          <w:tab w:val="right" w:leader="dot" w:pos="4171"/>
        </w:tabs>
        <w:spacing w:line="240" w:lineRule="auto"/>
      </w:pPr>
      <w:r w:rsidRPr="001F5DB8">
        <w:rPr>
          <w:i/>
        </w:rPr>
        <w:t>liberum arbitrium</w:t>
      </w:r>
      <w:r>
        <w:tab/>
        <w:t>28</w:t>
      </w:r>
    </w:p>
    <w:p w14:paraId="215FE3FC" w14:textId="77777777" w:rsidR="08240A2E" w:rsidRDefault="08240A2E" w:rsidP="08240A2E">
      <w:pPr>
        <w:pStyle w:val="Rejstk1"/>
        <w:tabs>
          <w:tab w:val="right" w:leader="dot" w:pos="4171"/>
        </w:tabs>
        <w:spacing w:line="240" w:lineRule="auto"/>
      </w:pPr>
      <w:r>
        <w:t>lidské zoologické zahrady</w:t>
      </w:r>
      <w:r>
        <w:tab/>
        <w:t>699</w:t>
      </w:r>
    </w:p>
    <w:p w14:paraId="76BA0E2A" w14:textId="77777777" w:rsidR="08240A2E" w:rsidRDefault="08240A2E" w:rsidP="08240A2E">
      <w:pPr>
        <w:pStyle w:val="Rejstk1"/>
        <w:tabs>
          <w:tab w:val="right" w:leader="dot" w:pos="4171"/>
        </w:tabs>
        <w:spacing w:line="240" w:lineRule="auto"/>
      </w:pPr>
      <w:r w:rsidRPr="001F5DB8">
        <w:rPr>
          <w:i/>
        </w:rPr>
        <w:t>Lichtung</w:t>
      </w:r>
      <w:r>
        <w:tab/>
        <w:t>3, 18, 146, 157</w:t>
      </w:r>
    </w:p>
    <w:p w14:paraId="5ABE565F" w14:textId="77777777" w:rsidR="08240A2E" w:rsidRDefault="08240A2E" w:rsidP="08240A2E">
      <w:pPr>
        <w:pStyle w:val="Rejstk2"/>
        <w:tabs>
          <w:tab w:val="right" w:leader="dot" w:pos="4171"/>
        </w:tabs>
        <w:spacing w:line="240" w:lineRule="auto"/>
      </w:pPr>
      <w:r>
        <w:t>analytická filosofie</w:t>
      </w:r>
      <w:r>
        <w:tab/>
        <w:t>223</w:t>
      </w:r>
    </w:p>
    <w:p w14:paraId="530450C1" w14:textId="77777777" w:rsidR="08240A2E" w:rsidRDefault="08240A2E" w:rsidP="08240A2E">
      <w:pPr>
        <w:pStyle w:val="Rejstk2"/>
        <w:tabs>
          <w:tab w:val="right" w:leader="dot" w:pos="4171"/>
        </w:tabs>
        <w:spacing w:line="240" w:lineRule="auto"/>
      </w:pPr>
      <w:r>
        <w:t>Heidegger</w:t>
      </w:r>
      <w:r>
        <w:tab/>
        <w:t>330</w:t>
      </w:r>
    </w:p>
    <w:p w14:paraId="679AD893" w14:textId="77777777" w:rsidR="08240A2E" w:rsidRDefault="08240A2E" w:rsidP="08240A2E">
      <w:pPr>
        <w:pStyle w:val="Rejstk2"/>
        <w:tabs>
          <w:tab w:val="right" w:leader="dot" w:pos="4171"/>
        </w:tabs>
        <w:spacing w:line="240" w:lineRule="auto"/>
      </w:pPr>
      <w:r>
        <w:t>humanismus</w:t>
      </w:r>
      <w:r>
        <w:tab/>
        <w:t>236</w:t>
      </w:r>
    </w:p>
    <w:p w14:paraId="3A735EC9" w14:textId="77777777" w:rsidR="08240A2E" w:rsidRDefault="08240A2E" w:rsidP="08240A2E">
      <w:pPr>
        <w:pStyle w:val="Rejstk2"/>
        <w:tabs>
          <w:tab w:val="right" w:leader="dot" w:pos="4171"/>
        </w:tabs>
        <w:spacing w:line="240" w:lineRule="auto"/>
      </w:pPr>
      <w:r>
        <w:t>kapitalismus</w:t>
      </w:r>
      <w:r>
        <w:tab/>
        <w:t>416, 564</w:t>
      </w:r>
    </w:p>
    <w:p w14:paraId="7708279F" w14:textId="77777777" w:rsidR="08240A2E" w:rsidRDefault="08240A2E" w:rsidP="08240A2E">
      <w:pPr>
        <w:pStyle w:val="Rejstk2"/>
        <w:tabs>
          <w:tab w:val="right" w:leader="dot" w:pos="4171"/>
        </w:tabs>
        <w:spacing w:line="240" w:lineRule="auto"/>
      </w:pPr>
      <w:r>
        <w:t>moderna</w:t>
      </w:r>
      <w:r>
        <w:tab/>
        <w:t>65, 346, 696</w:t>
      </w:r>
    </w:p>
    <w:p w14:paraId="0EE50077" w14:textId="77777777" w:rsidR="08240A2E" w:rsidRDefault="08240A2E" w:rsidP="08240A2E">
      <w:pPr>
        <w:pStyle w:val="Rejstk2"/>
        <w:tabs>
          <w:tab w:val="right" w:leader="dot" w:pos="4171"/>
        </w:tabs>
        <w:spacing w:line="240" w:lineRule="auto"/>
      </w:pPr>
      <w:r>
        <w:t>moderní subjekt</w:t>
      </w:r>
      <w:r>
        <w:tab/>
        <w:t>264</w:t>
      </w:r>
    </w:p>
    <w:p w14:paraId="024F98E5" w14:textId="77777777" w:rsidR="08240A2E" w:rsidRDefault="08240A2E" w:rsidP="08240A2E">
      <w:pPr>
        <w:pStyle w:val="Rejstk2"/>
        <w:tabs>
          <w:tab w:val="right" w:leader="dot" w:pos="4171"/>
        </w:tabs>
        <w:spacing w:line="240" w:lineRule="auto"/>
      </w:pPr>
      <w:r>
        <w:t>objektivita</w:t>
      </w:r>
      <w:r>
        <w:tab/>
        <w:t>361</w:t>
      </w:r>
    </w:p>
    <w:p w14:paraId="42A93D7E" w14:textId="77777777" w:rsidR="08240A2E" w:rsidRDefault="08240A2E" w:rsidP="08240A2E">
      <w:pPr>
        <w:pStyle w:val="Rejstk2"/>
        <w:tabs>
          <w:tab w:val="right" w:leader="dot" w:pos="4171"/>
        </w:tabs>
        <w:spacing w:line="240" w:lineRule="auto"/>
      </w:pPr>
      <w:r>
        <w:t>objektivní ekonomie</w:t>
      </w:r>
      <w:r>
        <w:tab/>
        <w:t>103</w:t>
      </w:r>
    </w:p>
    <w:p w14:paraId="71A8DC5F" w14:textId="77777777" w:rsidR="08240A2E" w:rsidRDefault="08240A2E" w:rsidP="08240A2E">
      <w:pPr>
        <w:pStyle w:val="Rejstk2"/>
        <w:tabs>
          <w:tab w:val="right" w:leader="dot" w:pos="4171"/>
        </w:tabs>
        <w:spacing w:line="240" w:lineRule="auto"/>
      </w:pPr>
      <w:r>
        <w:t>první averroimus</w:t>
      </w:r>
      <w:r>
        <w:tab/>
        <w:t>193</w:t>
      </w:r>
    </w:p>
    <w:p w14:paraId="761B11EF" w14:textId="77777777" w:rsidR="08240A2E" w:rsidRDefault="08240A2E" w:rsidP="08240A2E">
      <w:pPr>
        <w:pStyle w:val="Rejstk2"/>
        <w:tabs>
          <w:tab w:val="right" w:leader="dot" w:pos="4171"/>
        </w:tabs>
        <w:spacing w:line="240" w:lineRule="auto"/>
      </w:pPr>
      <w:r>
        <w:t>první averroismus</w:t>
      </w:r>
      <w:r>
        <w:tab/>
        <w:t>109</w:t>
      </w:r>
    </w:p>
    <w:p w14:paraId="078BED8C" w14:textId="77777777" w:rsidR="08240A2E" w:rsidRDefault="08240A2E" w:rsidP="08240A2E">
      <w:pPr>
        <w:pStyle w:val="Rejstk2"/>
        <w:tabs>
          <w:tab w:val="right" w:leader="dot" w:pos="4171"/>
        </w:tabs>
        <w:spacing w:line="240" w:lineRule="auto"/>
      </w:pPr>
      <w:r>
        <w:t>sekularizace</w:t>
      </w:r>
      <w:r>
        <w:tab/>
        <w:t>104</w:t>
      </w:r>
    </w:p>
    <w:p w14:paraId="1E24C0BE" w14:textId="77777777" w:rsidR="08240A2E" w:rsidRDefault="08240A2E" w:rsidP="08240A2E">
      <w:pPr>
        <w:pStyle w:val="Rejstk1"/>
        <w:tabs>
          <w:tab w:val="right" w:leader="dot" w:pos="4171"/>
        </w:tabs>
        <w:spacing w:line="240" w:lineRule="auto"/>
      </w:pPr>
      <w:r>
        <w:t>Linné, C.</w:t>
      </w:r>
      <w:r>
        <w:tab/>
        <w:t>703</w:t>
      </w:r>
    </w:p>
    <w:p w14:paraId="03030B4C" w14:textId="77777777" w:rsidR="08240A2E" w:rsidRDefault="08240A2E" w:rsidP="08240A2E">
      <w:pPr>
        <w:pStyle w:val="Rejstk1"/>
        <w:tabs>
          <w:tab w:val="right" w:leader="dot" w:pos="4171"/>
        </w:tabs>
        <w:spacing w:line="240" w:lineRule="auto"/>
      </w:pPr>
      <w:r>
        <w:t>Locke, J.</w:t>
      </w:r>
      <w:r>
        <w:tab/>
        <w:t>35, 301</w:t>
      </w:r>
    </w:p>
    <w:p w14:paraId="26D52705" w14:textId="77777777" w:rsidR="08240A2E" w:rsidRDefault="08240A2E" w:rsidP="08240A2E">
      <w:pPr>
        <w:pStyle w:val="Rejstk1"/>
        <w:tabs>
          <w:tab w:val="right" w:leader="dot" w:pos="4171"/>
        </w:tabs>
        <w:spacing w:line="240" w:lineRule="auto"/>
      </w:pPr>
      <w:r w:rsidRPr="001F5DB8">
        <w:rPr>
          <w:i/>
        </w:rPr>
        <w:t>locus specierum</w:t>
      </w:r>
      <w:r>
        <w:tab/>
        <w:t>164, 179, 296, 301, 413, 535, 596, 656</w:t>
      </w:r>
    </w:p>
    <w:p w14:paraId="5A46BE70" w14:textId="77777777" w:rsidR="08240A2E" w:rsidRDefault="08240A2E" w:rsidP="08240A2E">
      <w:pPr>
        <w:pStyle w:val="Rejstk1"/>
        <w:tabs>
          <w:tab w:val="right" w:leader="dot" w:pos="4171"/>
        </w:tabs>
        <w:spacing w:line="240" w:lineRule="auto"/>
      </w:pPr>
      <w:r w:rsidRPr="001F5DB8">
        <w:rPr>
          <w:i/>
        </w:rPr>
        <w:t>logica Modernorum</w:t>
      </w:r>
      <w:r w:rsidR="08A47A80" w:rsidRPr="08A47A80">
        <w:t xml:space="preserve">, viz </w:t>
      </w:r>
      <w:r w:rsidR="08A47A80">
        <w:rPr>
          <w:i/>
        </w:rPr>
        <w:t>Index locorum</w:t>
      </w:r>
      <w:r>
        <w:tab/>
        <w:t>58, 73, 94, 189, 202, 308, 316, 333, 335, 377, 435, 577, 671, 688, 693</w:t>
      </w:r>
    </w:p>
    <w:p w14:paraId="6704B470" w14:textId="77777777" w:rsidR="08240A2E" w:rsidRDefault="08240A2E" w:rsidP="08240A2E">
      <w:pPr>
        <w:pStyle w:val="Rejstk1"/>
        <w:tabs>
          <w:tab w:val="right" w:leader="dot" w:pos="4171"/>
        </w:tabs>
        <w:spacing w:line="240" w:lineRule="auto"/>
      </w:pPr>
      <w:r w:rsidRPr="001F5DB8">
        <w:rPr>
          <w:i/>
        </w:rPr>
        <w:t>logica Vetus</w:t>
      </w:r>
      <w:r>
        <w:tab/>
        <w:t>66, 94, 95, 99, 109, 131, 132, 143, 201, 223, 293, 324, 377, 467</w:t>
      </w:r>
    </w:p>
    <w:p w14:paraId="3A8B2027" w14:textId="77777777" w:rsidR="08240A2E" w:rsidRDefault="08240A2E" w:rsidP="08240A2E">
      <w:pPr>
        <w:pStyle w:val="Rejstk1"/>
        <w:tabs>
          <w:tab w:val="right" w:leader="dot" w:pos="4171"/>
        </w:tabs>
        <w:spacing w:line="240" w:lineRule="auto"/>
      </w:pPr>
      <w:r>
        <w:t>logické školy</w:t>
      </w:r>
    </w:p>
    <w:p w14:paraId="065D4E7D" w14:textId="77777777" w:rsidR="08240A2E" w:rsidRDefault="08240A2E" w:rsidP="08240A2E">
      <w:pPr>
        <w:pStyle w:val="Rejstk2"/>
        <w:tabs>
          <w:tab w:val="right" w:leader="dot" w:pos="4171"/>
        </w:tabs>
        <w:spacing w:line="240" w:lineRule="auto"/>
      </w:pPr>
      <w:r w:rsidRPr="001F5DB8">
        <w:rPr>
          <w:i/>
        </w:rPr>
        <w:t>Anagnini</w:t>
      </w:r>
      <w:r>
        <w:tab/>
        <w:t>94, 350</w:t>
      </w:r>
    </w:p>
    <w:p w14:paraId="4498CE7A" w14:textId="77777777" w:rsidR="08240A2E" w:rsidRDefault="08240A2E" w:rsidP="08240A2E">
      <w:pPr>
        <w:pStyle w:val="Rejstk2"/>
        <w:tabs>
          <w:tab w:val="right" w:leader="dot" w:pos="4171"/>
        </w:tabs>
        <w:spacing w:line="240" w:lineRule="auto"/>
      </w:pPr>
      <w:r w:rsidRPr="001F5DB8">
        <w:rPr>
          <w:i/>
        </w:rPr>
        <w:t>Parvipontani</w:t>
      </w:r>
      <w:r>
        <w:tab/>
        <w:t>50, 58</w:t>
      </w:r>
    </w:p>
    <w:p w14:paraId="3535F995" w14:textId="77777777" w:rsidR="08240A2E" w:rsidRDefault="08240A2E" w:rsidP="08240A2E">
      <w:pPr>
        <w:pStyle w:val="Rejstk2"/>
        <w:tabs>
          <w:tab w:val="right" w:leader="dot" w:pos="4171"/>
        </w:tabs>
        <w:spacing w:line="240" w:lineRule="auto"/>
      </w:pPr>
      <w:r>
        <w:t>porretáni</w:t>
      </w:r>
      <w:r>
        <w:tab/>
        <w:t>159</w:t>
      </w:r>
    </w:p>
    <w:p w14:paraId="72B4AC1B" w14:textId="77777777" w:rsidR="08240A2E" w:rsidRDefault="08240A2E" w:rsidP="08240A2E">
      <w:pPr>
        <w:pStyle w:val="Rejstk1"/>
        <w:tabs>
          <w:tab w:val="right" w:leader="dot" w:pos="4171"/>
        </w:tabs>
        <w:spacing w:line="240" w:lineRule="auto"/>
      </w:pPr>
      <w:r>
        <w:t>logika</w:t>
      </w:r>
    </w:p>
    <w:p w14:paraId="183B85FE" w14:textId="77777777" w:rsidR="08240A2E" w:rsidRDefault="08240A2E" w:rsidP="08240A2E">
      <w:pPr>
        <w:pStyle w:val="Rejstk2"/>
        <w:tabs>
          <w:tab w:val="right" w:leader="dot" w:pos="4171"/>
        </w:tabs>
        <w:spacing w:line="240" w:lineRule="auto"/>
      </w:pPr>
      <w:r>
        <w:t>Avicenna</w:t>
      </w:r>
      <w:r>
        <w:tab/>
        <w:t>422</w:t>
      </w:r>
    </w:p>
    <w:p w14:paraId="3E901041" w14:textId="77777777" w:rsidR="08240A2E" w:rsidRDefault="082A724F" w:rsidP="08240A2E">
      <w:pPr>
        <w:pStyle w:val="Rejstk2"/>
        <w:tabs>
          <w:tab w:val="right" w:leader="dot" w:pos="4171"/>
        </w:tabs>
        <w:spacing w:line="240" w:lineRule="auto"/>
      </w:pPr>
      <w:r>
        <w:rPr>
          <w:i/>
        </w:rPr>
        <w:t>dativus metaphysicus</w:t>
      </w:r>
      <w:r w:rsidR="08240A2E">
        <w:tab/>
        <w:t>692</w:t>
      </w:r>
    </w:p>
    <w:p w14:paraId="37CC632F" w14:textId="77777777" w:rsidR="08240A2E" w:rsidRDefault="08240A2E" w:rsidP="08240A2E">
      <w:pPr>
        <w:pStyle w:val="Rejstk2"/>
        <w:tabs>
          <w:tab w:val="right" w:leader="dot" w:pos="4171"/>
        </w:tabs>
        <w:spacing w:line="240" w:lineRule="auto"/>
      </w:pPr>
      <w:r w:rsidRPr="001F5DB8">
        <w:rPr>
          <w:i/>
        </w:rPr>
        <w:t>future contingents</w:t>
      </w:r>
      <w:r>
        <w:tab/>
        <w:t>424</w:t>
      </w:r>
    </w:p>
    <w:p w14:paraId="3705C62F" w14:textId="77777777" w:rsidR="08240A2E" w:rsidRDefault="08240A2E" w:rsidP="08240A2E">
      <w:pPr>
        <w:pStyle w:val="Rejstk2"/>
        <w:tabs>
          <w:tab w:val="right" w:leader="dot" w:pos="4171"/>
        </w:tabs>
        <w:spacing w:line="240" w:lineRule="auto"/>
      </w:pPr>
      <w:r>
        <w:t>Grosseteste</w:t>
      </w:r>
      <w:r>
        <w:tab/>
        <w:t>419</w:t>
      </w:r>
    </w:p>
    <w:p w14:paraId="7390D72E" w14:textId="77777777" w:rsidR="08240A2E" w:rsidRDefault="08240A2E" w:rsidP="08240A2E">
      <w:pPr>
        <w:pStyle w:val="Rejstk1"/>
        <w:tabs>
          <w:tab w:val="right" w:leader="dot" w:pos="4171"/>
        </w:tabs>
        <w:spacing w:line="240" w:lineRule="auto"/>
      </w:pPr>
      <w:r w:rsidRPr="001F5DB8">
        <w:rPr>
          <w:i/>
        </w:rPr>
        <w:t>logika Vetus</w:t>
      </w:r>
      <w:r>
        <w:tab/>
        <w:t>189</w:t>
      </w:r>
    </w:p>
    <w:p w14:paraId="169C0550" w14:textId="77777777" w:rsidR="08240A2E" w:rsidRDefault="08240A2E" w:rsidP="08240A2E">
      <w:pPr>
        <w:pStyle w:val="Rejstk1"/>
        <w:tabs>
          <w:tab w:val="right" w:leader="dot" w:pos="4171"/>
        </w:tabs>
        <w:spacing w:line="240" w:lineRule="auto"/>
      </w:pPr>
      <w:r>
        <w:t>logocentrismus</w:t>
      </w:r>
      <w:r>
        <w:tab/>
        <w:t>64</w:t>
      </w:r>
    </w:p>
    <w:p w14:paraId="0B5ACA75" w14:textId="4533CA82" w:rsidR="00593546" w:rsidRPr="00C8572E" w:rsidRDefault="00593546" w:rsidP="00593546">
      <w:pPr>
        <w:pStyle w:val="Rejstk1"/>
        <w:tabs>
          <w:tab w:val="right" w:leader="dot" w:pos="4171"/>
        </w:tabs>
        <w:spacing w:line="240" w:lineRule="auto"/>
        <w:rPr>
          <w:b/>
        </w:rPr>
      </w:pPr>
      <w:r>
        <w:rPr>
          <w:b/>
        </w:rPr>
        <w:t>M</w:t>
      </w:r>
    </w:p>
    <w:p w14:paraId="7A847C71" w14:textId="77777777" w:rsidR="08240A2E" w:rsidRDefault="08240A2E" w:rsidP="08240A2E">
      <w:pPr>
        <w:pStyle w:val="Rejstk1"/>
        <w:tabs>
          <w:tab w:val="right" w:leader="dot" w:pos="4171"/>
        </w:tabs>
        <w:spacing w:line="240" w:lineRule="auto"/>
      </w:pPr>
      <w:r>
        <w:t>Maleblanche, N.</w:t>
      </w:r>
      <w:r>
        <w:tab/>
        <w:t>326</w:t>
      </w:r>
    </w:p>
    <w:p w14:paraId="47A6E599" w14:textId="77777777" w:rsidR="08240A2E" w:rsidRDefault="08240A2E" w:rsidP="08240A2E">
      <w:pPr>
        <w:pStyle w:val="Rejstk1"/>
        <w:tabs>
          <w:tab w:val="right" w:leader="dot" w:pos="4171"/>
        </w:tabs>
        <w:spacing w:line="240" w:lineRule="auto"/>
      </w:pPr>
      <w:r>
        <w:t>Marx, K.</w:t>
      </w:r>
      <w:r>
        <w:tab/>
        <w:t>10, 309, 568</w:t>
      </w:r>
    </w:p>
    <w:p w14:paraId="68C303CF" w14:textId="77777777" w:rsidR="08240A2E" w:rsidRDefault="08240A2E" w:rsidP="08240A2E">
      <w:pPr>
        <w:pStyle w:val="Rejstk1"/>
        <w:tabs>
          <w:tab w:val="right" w:leader="dot" w:pos="4171"/>
        </w:tabs>
        <w:spacing w:line="240" w:lineRule="auto"/>
      </w:pPr>
      <w:r>
        <w:t>Mášar al-Balchí</w:t>
      </w:r>
      <w:r>
        <w:tab/>
        <w:t>231</w:t>
      </w:r>
    </w:p>
    <w:p w14:paraId="1C760540" w14:textId="77777777" w:rsidR="08240A2E" w:rsidRDefault="08240A2E" w:rsidP="08240A2E">
      <w:pPr>
        <w:pStyle w:val="Rejstk1"/>
        <w:tabs>
          <w:tab w:val="right" w:leader="dot" w:pos="4171"/>
        </w:tabs>
        <w:spacing w:line="240" w:lineRule="auto"/>
      </w:pPr>
      <w:r>
        <w:t>matematika</w:t>
      </w:r>
      <w:r>
        <w:tab/>
        <w:t>78, 83, 308, 419, 449, 533, 559, 575, 657, 659, 702</w:t>
      </w:r>
    </w:p>
    <w:p w14:paraId="76B4350C" w14:textId="77777777" w:rsidR="08240A2E" w:rsidRDefault="08240A2E" w:rsidP="08240A2E">
      <w:pPr>
        <w:pStyle w:val="Rejstk1"/>
        <w:tabs>
          <w:tab w:val="right" w:leader="dot" w:pos="4171"/>
        </w:tabs>
        <w:spacing w:line="240" w:lineRule="auto"/>
      </w:pPr>
      <w:r>
        <w:t>matematizace světa</w:t>
      </w:r>
      <w:r>
        <w:tab/>
        <w:t>86, 534, 555, 556, 564</w:t>
      </w:r>
    </w:p>
    <w:p w14:paraId="7A641487" w14:textId="77777777" w:rsidR="08240A2E" w:rsidRDefault="08240A2E" w:rsidP="08240A2E">
      <w:pPr>
        <w:pStyle w:val="Rejstk1"/>
        <w:tabs>
          <w:tab w:val="right" w:leader="dot" w:pos="4171"/>
        </w:tabs>
        <w:spacing w:line="240" w:lineRule="auto"/>
      </w:pPr>
      <w:r>
        <w:t>materie</w:t>
      </w:r>
    </w:p>
    <w:p w14:paraId="6C7472F4" w14:textId="77777777" w:rsidR="08240A2E" w:rsidRDefault="08240A2E" w:rsidP="08240A2E">
      <w:pPr>
        <w:pStyle w:val="Rejstk2"/>
        <w:tabs>
          <w:tab w:val="right" w:leader="dot" w:pos="4171"/>
        </w:tabs>
        <w:spacing w:line="240" w:lineRule="auto"/>
      </w:pPr>
      <w:r>
        <w:t>Avicebron</w:t>
      </w:r>
      <w:r>
        <w:tab/>
        <w:t>456</w:t>
      </w:r>
    </w:p>
    <w:p w14:paraId="4A6AFAD8" w14:textId="77777777" w:rsidR="08240A2E" w:rsidRDefault="08240A2E" w:rsidP="08240A2E">
      <w:pPr>
        <w:pStyle w:val="Rejstk2"/>
        <w:tabs>
          <w:tab w:val="right" w:leader="dot" w:pos="4171"/>
        </w:tabs>
        <w:spacing w:line="240" w:lineRule="auto"/>
      </w:pPr>
      <w:r>
        <w:t>matematická</w:t>
      </w:r>
      <w:r>
        <w:tab/>
        <w:t>666</w:t>
      </w:r>
    </w:p>
    <w:p w14:paraId="05260238" w14:textId="77777777" w:rsidR="08240A2E" w:rsidRDefault="08240A2E" w:rsidP="08240A2E">
      <w:pPr>
        <w:pStyle w:val="Rejstk2"/>
        <w:tabs>
          <w:tab w:val="right" w:leader="dot" w:pos="4171"/>
        </w:tabs>
        <w:spacing w:line="240" w:lineRule="auto"/>
      </w:pPr>
      <w:r w:rsidRPr="001F5DB8">
        <w:rPr>
          <w:i/>
        </w:rPr>
        <w:t>materia prima</w:t>
      </w:r>
      <w:r>
        <w:tab/>
        <w:t>134, 285, 286, 464, 580, 584, 603, 606, 663, 664</w:t>
      </w:r>
    </w:p>
    <w:p w14:paraId="1E2FD857" w14:textId="77777777" w:rsidR="08240A2E" w:rsidRDefault="08240A2E" w:rsidP="08240A2E">
      <w:pPr>
        <w:pStyle w:val="Rejstk2"/>
        <w:tabs>
          <w:tab w:val="right" w:leader="dot" w:pos="4171"/>
        </w:tabs>
        <w:spacing w:line="240" w:lineRule="auto"/>
      </w:pPr>
      <w:r w:rsidRPr="001F5DB8">
        <w:rPr>
          <w:i/>
        </w:rPr>
        <w:t>materia spiritualis</w:t>
      </w:r>
      <w:r>
        <w:tab/>
        <w:t>231, 285, 315, 327, 458, 464, 483, 602</w:t>
      </w:r>
    </w:p>
    <w:p w14:paraId="2C8B4BB6" w14:textId="77777777" w:rsidR="08240A2E" w:rsidRDefault="08240A2E" w:rsidP="08240A2E">
      <w:pPr>
        <w:pStyle w:val="Rejstk2"/>
        <w:tabs>
          <w:tab w:val="right" w:leader="dot" w:pos="4171"/>
        </w:tabs>
        <w:spacing w:line="240" w:lineRule="auto"/>
      </w:pPr>
      <w:r w:rsidRPr="001F5DB8">
        <w:rPr>
          <w:i/>
        </w:rPr>
        <w:t>materia tantum</w:t>
      </w:r>
      <w:r>
        <w:tab/>
        <w:t>312</w:t>
      </w:r>
    </w:p>
    <w:p w14:paraId="76E4513E" w14:textId="77777777" w:rsidR="08240A2E" w:rsidRDefault="08240A2E" w:rsidP="08240A2E">
      <w:pPr>
        <w:pStyle w:val="Rejstk2"/>
        <w:tabs>
          <w:tab w:val="right" w:leader="dot" w:pos="4171"/>
        </w:tabs>
        <w:spacing w:line="240" w:lineRule="auto"/>
      </w:pPr>
      <w:r>
        <w:t xml:space="preserve">modus </w:t>
      </w:r>
      <w:r w:rsidRPr="001F5DB8">
        <w:rPr>
          <w:i/>
        </w:rPr>
        <w:t>absolute</w:t>
      </w:r>
      <w:r>
        <w:tab/>
        <w:t>458</w:t>
      </w:r>
    </w:p>
    <w:p w14:paraId="300DA658" w14:textId="77777777" w:rsidR="08240A2E" w:rsidRDefault="08240A2E" w:rsidP="08240A2E">
      <w:pPr>
        <w:pStyle w:val="Rejstk2"/>
        <w:tabs>
          <w:tab w:val="right" w:leader="dot" w:pos="4171"/>
        </w:tabs>
        <w:spacing w:line="240" w:lineRule="auto"/>
      </w:pPr>
      <w:r>
        <w:t>neposlušnost</w:t>
      </w:r>
      <w:r>
        <w:tab/>
        <w:t>280</w:t>
      </w:r>
    </w:p>
    <w:p w14:paraId="16B34A53" w14:textId="77777777" w:rsidR="08240A2E" w:rsidRDefault="08240A2E" w:rsidP="08240A2E">
      <w:pPr>
        <w:pStyle w:val="Rejstk2"/>
        <w:tabs>
          <w:tab w:val="right" w:leader="dot" w:pos="4171"/>
        </w:tabs>
        <w:spacing w:line="240" w:lineRule="auto"/>
      </w:pPr>
      <w:r>
        <w:t>objektivní</w:t>
      </w:r>
      <w:r>
        <w:tab/>
        <w:t>458, 479, 659</w:t>
      </w:r>
    </w:p>
    <w:p w14:paraId="77370926" w14:textId="77777777" w:rsidR="08240A2E" w:rsidRDefault="08240A2E" w:rsidP="08240A2E">
      <w:pPr>
        <w:pStyle w:val="Rejstk2"/>
        <w:tabs>
          <w:tab w:val="right" w:leader="dot" w:pos="4171"/>
        </w:tabs>
        <w:spacing w:line="240" w:lineRule="auto"/>
      </w:pPr>
      <w:r w:rsidRPr="001F5DB8">
        <w:rPr>
          <w:i/>
        </w:rPr>
        <w:t>simpliciter</w:t>
      </w:r>
      <w:r>
        <w:tab/>
        <w:t>459</w:t>
      </w:r>
    </w:p>
    <w:p w14:paraId="1566DD16" w14:textId="77777777" w:rsidR="08240A2E" w:rsidRDefault="08240A2E" w:rsidP="08240A2E">
      <w:pPr>
        <w:pStyle w:val="Rejstk2"/>
        <w:tabs>
          <w:tab w:val="right" w:leader="dot" w:pos="4171"/>
        </w:tabs>
        <w:spacing w:line="240" w:lineRule="auto"/>
      </w:pPr>
      <w:r>
        <w:t>třetího druhu</w:t>
      </w:r>
      <w:r>
        <w:tab/>
        <w:t>457, 464</w:t>
      </w:r>
    </w:p>
    <w:p w14:paraId="263C4639" w14:textId="77777777" w:rsidR="08240A2E" w:rsidRDefault="08240A2E" w:rsidP="08240A2E">
      <w:pPr>
        <w:pStyle w:val="Rejstk1"/>
        <w:tabs>
          <w:tab w:val="right" w:leader="dot" w:pos="4171"/>
        </w:tabs>
        <w:spacing w:line="240" w:lineRule="auto"/>
      </w:pPr>
      <w:r w:rsidRPr="001F5DB8">
        <w:rPr>
          <w:i/>
        </w:rPr>
        <w:t>mathesis universalis</w:t>
      </w:r>
      <w:r>
        <w:tab/>
        <w:t>541, 558, 654</w:t>
      </w:r>
    </w:p>
    <w:p w14:paraId="715EB925" w14:textId="77777777" w:rsidR="08240A2E" w:rsidRDefault="08240A2E" w:rsidP="08240A2E">
      <w:pPr>
        <w:pStyle w:val="Rejstk1"/>
        <w:tabs>
          <w:tab w:val="right" w:leader="dot" w:pos="4171"/>
        </w:tabs>
        <w:spacing w:line="240" w:lineRule="auto"/>
      </w:pPr>
      <w:r>
        <w:t>Matouš z Orleansu</w:t>
      </w:r>
      <w:r>
        <w:tab/>
        <w:t>202</w:t>
      </w:r>
    </w:p>
    <w:p w14:paraId="59F1A25F" w14:textId="77777777" w:rsidR="08240A2E" w:rsidRDefault="08240A2E" w:rsidP="08240A2E">
      <w:pPr>
        <w:pStyle w:val="Rejstk1"/>
        <w:tabs>
          <w:tab w:val="right" w:leader="dot" w:pos="4171"/>
        </w:tabs>
        <w:spacing w:line="240" w:lineRule="auto"/>
      </w:pPr>
      <w:r w:rsidRPr="001F5DB8">
        <w:rPr>
          <w:i/>
        </w:rPr>
        <w:t>matrix</w:t>
      </w:r>
      <w:r>
        <w:tab/>
        <w:t>7</w:t>
      </w:r>
    </w:p>
    <w:p w14:paraId="25EEFFF0" w14:textId="77777777" w:rsidR="08240A2E" w:rsidRDefault="08240A2E" w:rsidP="08240A2E">
      <w:pPr>
        <w:pStyle w:val="Rejstk1"/>
        <w:tabs>
          <w:tab w:val="right" w:leader="dot" w:pos="4171"/>
        </w:tabs>
        <w:spacing w:line="240" w:lineRule="auto"/>
      </w:pPr>
      <w:r w:rsidRPr="001F5DB8">
        <w:rPr>
          <w:i/>
        </w:rPr>
        <w:t>medium</w:t>
      </w:r>
    </w:p>
    <w:p w14:paraId="5CDD6377" w14:textId="77777777" w:rsidR="08240A2E" w:rsidRDefault="08240A2E" w:rsidP="08240A2E">
      <w:pPr>
        <w:pStyle w:val="Rejstk2"/>
        <w:tabs>
          <w:tab w:val="right" w:leader="dot" w:pos="4171"/>
        </w:tabs>
        <w:spacing w:line="240" w:lineRule="auto"/>
      </w:pPr>
      <w:r>
        <w:t>Albert</w:t>
      </w:r>
      <w:r>
        <w:tab/>
        <w:t>43, 184, 248, 249, 253, 256, 258, 303, 379, 512</w:t>
      </w:r>
    </w:p>
    <w:p w14:paraId="343DBECC" w14:textId="77777777" w:rsidR="08240A2E" w:rsidRDefault="08240A2E" w:rsidP="08240A2E">
      <w:pPr>
        <w:pStyle w:val="Rejstk2"/>
        <w:tabs>
          <w:tab w:val="right" w:leader="dot" w:pos="4171"/>
        </w:tabs>
        <w:spacing w:line="240" w:lineRule="auto"/>
      </w:pPr>
      <w:r>
        <w:t>Alvernus</w:t>
      </w:r>
      <w:r>
        <w:tab/>
        <w:t>204</w:t>
      </w:r>
    </w:p>
    <w:p w14:paraId="3FCD6789" w14:textId="77777777" w:rsidR="08240A2E" w:rsidRDefault="08240A2E" w:rsidP="08240A2E">
      <w:pPr>
        <w:pStyle w:val="Rejstk2"/>
        <w:tabs>
          <w:tab w:val="right" w:leader="dot" w:pos="4171"/>
        </w:tabs>
        <w:spacing w:line="240" w:lineRule="auto"/>
      </w:pPr>
      <w:r>
        <w:t>Aristoteles</w:t>
      </w:r>
      <w:r>
        <w:tab/>
        <w:t>245, 691</w:t>
      </w:r>
    </w:p>
    <w:p w14:paraId="4609BAED" w14:textId="77777777" w:rsidR="08240A2E" w:rsidRDefault="08240A2E" w:rsidP="08240A2E">
      <w:pPr>
        <w:pStyle w:val="Rejstk2"/>
        <w:tabs>
          <w:tab w:val="right" w:leader="dot" w:pos="4171"/>
        </w:tabs>
        <w:spacing w:line="240" w:lineRule="auto"/>
      </w:pPr>
      <w:r>
        <w:t>Averroes</w:t>
      </w:r>
      <w:r>
        <w:tab/>
        <w:t>16</w:t>
      </w:r>
    </w:p>
    <w:p w14:paraId="7E54ECDC" w14:textId="77777777" w:rsidR="08240A2E" w:rsidRDefault="08240A2E" w:rsidP="08240A2E">
      <w:pPr>
        <w:pStyle w:val="Rejstk2"/>
        <w:tabs>
          <w:tab w:val="right" w:leader="dot" w:pos="4171"/>
        </w:tabs>
        <w:spacing w:line="240" w:lineRule="auto"/>
      </w:pPr>
      <w:r>
        <w:t>Avicenna</w:t>
      </w:r>
      <w:r>
        <w:tab/>
        <w:t>507</w:t>
      </w:r>
    </w:p>
    <w:p w14:paraId="1B0FC12A" w14:textId="77777777" w:rsidR="08240A2E" w:rsidRDefault="08240A2E" w:rsidP="08240A2E">
      <w:pPr>
        <w:pStyle w:val="Rejstk2"/>
        <w:tabs>
          <w:tab w:val="right" w:leader="dot" w:pos="4171"/>
        </w:tabs>
        <w:spacing w:line="240" w:lineRule="auto"/>
      </w:pPr>
      <w:r>
        <w:t>Bacon</w:t>
      </w:r>
      <w:r>
        <w:tab/>
        <w:t>502, 506</w:t>
      </w:r>
    </w:p>
    <w:p w14:paraId="46722ADE" w14:textId="77777777" w:rsidR="08240A2E" w:rsidRDefault="08240A2E" w:rsidP="08240A2E">
      <w:pPr>
        <w:pStyle w:val="Rejstk2"/>
        <w:tabs>
          <w:tab w:val="right" w:leader="dot" w:pos="4171"/>
        </w:tabs>
        <w:spacing w:line="240" w:lineRule="auto"/>
      </w:pPr>
      <w:r>
        <w:t>druhý averroismus</w:t>
      </w:r>
      <w:r>
        <w:tab/>
        <w:t>344, 345, 459, 509, 650</w:t>
      </w:r>
    </w:p>
    <w:p w14:paraId="24E372D9" w14:textId="77777777" w:rsidR="08240A2E" w:rsidRDefault="08240A2E" w:rsidP="08240A2E">
      <w:pPr>
        <w:pStyle w:val="Rejstk2"/>
        <w:tabs>
          <w:tab w:val="right" w:leader="dot" w:pos="4171"/>
        </w:tabs>
        <w:spacing w:line="240" w:lineRule="auto"/>
      </w:pPr>
      <w:r>
        <w:t>Grosseteste</w:t>
      </w:r>
      <w:r>
        <w:tab/>
        <w:t>380</w:t>
      </w:r>
    </w:p>
    <w:p w14:paraId="44B9AD66" w14:textId="77777777" w:rsidR="08240A2E" w:rsidRDefault="08240A2E" w:rsidP="08240A2E">
      <w:pPr>
        <w:pStyle w:val="Rejstk2"/>
        <w:tabs>
          <w:tab w:val="right" w:leader="dot" w:pos="4171"/>
        </w:tabs>
        <w:spacing w:line="240" w:lineRule="auto"/>
      </w:pPr>
      <w:r>
        <w:t>Kilwardby</w:t>
      </w:r>
      <w:r>
        <w:tab/>
        <w:t>638, 648</w:t>
      </w:r>
    </w:p>
    <w:p w14:paraId="223DEF3C" w14:textId="77777777" w:rsidR="08240A2E" w:rsidRDefault="08240A2E" w:rsidP="08240A2E">
      <w:pPr>
        <w:pStyle w:val="Rejstk2"/>
        <w:tabs>
          <w:tab w:val="right" w:leader="dot" w:pos="4171"/>
        </w:tabs>
        <w:spacing w:line="240" w:lineRule="auto"/>
      </w:pPr>
      <w:r>
        <w:t>Rufus</w:t>
      </w:r>
      <w:r>
        <w:tab/>
        <w:t>252, 507, 510, 512, 517, 523, 534, 559, 565, 581, 632, 637</w:t>
      </w:r>
    </w:p>
    <w:p w14:paraId="3D0F87B8" w14:textId="77777777" w:rsidR="08240A2E" w:rsidRDefault="08240A2E" w:rsidP="08240A2E">
      <w:pPr>
        <w:pStyle w:val="Rejstk1"/>
        <w:tabs>
          <w:tab w:val="right" w:leader="dot" w:pos="4171"/>
        </w:tabs>
        <w:spacing w:line="240" w:lineRule="auto"/>
      </w:pPr>
      <w:r>
        <w:t>Meinong, A.</w:t>
      </w:r>
      <w:r w:rsidR="08161482">
        <w:t xml:space="preserve">, viz </w:t>
      </w:r>
      <w:r w:rsidR="08161482" w:rsidRPr="08161482">
        <w:rPr>
          <w:i/>
        </w:rPr>
        <w:t>Index locorum</w:t>
      </w:r>
      <w:r>
        <w:tab/>
        <w:t>398</w:t>
      </w:r>
    </w:p>
    <w:p w14:paraId="17D67D28" w14:textId="77777777" w:rsidR="08240A2E" w:rsidRDefault="08240A2E" w:rsidP="08240A2E">
      <w:pPr>
        <w:pStyle w:val="Rejstk1"/>
        <w:tabs>
          <w:tab w:val="right" w:leader="dot" w:pos="4171"/>
        </w:tabs>
        <w:spacing w:line="240" w:lineRule="auto"/>
      </w:pPr>
      <w:r w:rsidRPr="001F5DB8">
        <w:rPr>
          <w:i/>
        </w:rPr>
        <w:t>memoria</w:t>
      </w:r>
      <w:r>
        <w:tab/>
        <w:t>139</w:t>
      </w:r>
    </w:p>
    <w:p w14:paraId="1A8C1CCF" w14:textId="77777777" w:rsidR="08240A2E" w:rsidRDefault="08240A2E" w:rsidP="08240A2E">
      <w:pPr>
        <w:pStyle w:val="Rejstk2"/>
        <w:tabs>
          <w:tab w:val="right" w:leader="dot" w:pos="4171"/>
        </w:tabs>
        <w:spacing w:line="240" w:lineRule="auto"/>
      </w:pPr>
      <w:r>
        <w:t>druhý averroismus</w:t>
      </w:r>
      <w:r>
        <w:tab/>
        <w:t>178, 301, 454, 597, 621, 635, 656</w:t>
      </w:r>
    </w:p>
    <w:p w14:paraId="0C39EA4C" w14:textId="77777777" w:rsidR="08240A2E" w:rsidRDefault="08240A2E" w:rsidP="08240A2E">
      <w:pPr>
        <w:pStyle w:val="Rejstk2"/>
        <w:tabs>
          <w:tab w:val="right" w:leader="dot" w:pos="4171"/>
        </w:tabs>
        <w:spacing w:line="240" w:lineRule="auto"/>
      </w:pPr>
      <w:r>
        <w:t>Locke</w:t>
      </w:r>
      <w:r>
        <w:tab/>
        <w:t>301</w:t>
      </w:r>
    </w:p>
    <w:p w14:paraId="24DE28D2" w14:textId="77777777" w:rsidR="08240A2E" w:rsidRDefault="08240A2E" w:rsidP="08240A2E">
      <w:pPr>
        <w:pStyle w:val="Rejstk2"/>
        <w:tabs>
          <w:tab w:val="right" w:leader="dot" w:pos="4171"/>
        </w:tabs>
        <w:spacing w:line="240" w:lineRule="auto"/>
      </w:pPr>
      <w:r>
        <w:t>první averroismus</w:t>
      </w:r>
      <w:r>
        <w:tab/>
        <w:t>140, 177</w:t>
      </w:r>
    </w:p>
    <w:p w14:paraId="79D0D781" w14:textId="77777777" w:rsidR="08240A2E" w:rsidRDefault="08240A2E" w:rsidP="08240A2E">
      <w:pPr>
        <w:pStyle w:val="Rejstk1"/>
        <w:tabs>
          <w:tab w:val="right" w:leader="dot" w:pos="4171"/>
        </w:tabs>
        <w:spacing w:line="240" w:lineRule="auto"/>
      </w:pPr>
      <w:r>
        <w:t>metafyzika</w:t>
      </w:r>
    </w:p>
    <w:p w14:paraId="5BE85A2F" w14:textId="77777777" w:rsidR="08240A2E" w:rsidRDefault="08240A2E" w:rsidP="08240A2E">
      <w:pPr>
        <w:pStyle w:val="Rejstk2"/>
        <w:tabs>
          <w:tab w:val="right" w:leader="dot" w:pos="4171"/>
        </w:tabs>
        <w:spacing w:line="240" w:lineRule="auto"/>
      </w:pPr>
      <w:r>
        <w:t>Averroes</w:t>
      </w:r>
      <w:r>
        <w:tab/>
        <w:t>243</w:t>
      </w:r>
    </w:p>
    <w:p w14:paraId="7BD8B3AF" w14:textId="77777777" w:rsidR="08240A2E" w:rsidRDefault="08240A2E" w:rsidP="08240A2E">
      <w:pPr>
        <w:pStyle w:val="Rejstk2"/>
        <w:tabs>
          <w:tab w:val="right" w:leader="dot" w:pos="4171"/>
        </w:tabs>
        <w:spacing w:line="240" w:lineRule="auto"/>
      </w:pPr>
      <w:r>
        <w:t>Descartes</w:t>
      </w:r>
      <w:r>
        <w:tab/>
        <w:t>571</w:t>
      </w:r>
    </w:p>
    <w:p w14:paraId="43722F05" w14:textId="77777777" w:rsidR="08240A2E" w:rsidRDefault="08240A2E" w:rsidP="08240A2E">
      <w:pPr>
        <w:pStyle w:val="Rejstk2"/>
        <w:tabs>
          <w:tab w:val="right" w:leader="dot" w:pos="4171"/>
        </w:tabs>
        <w:spacing w:line="240" w:lineRule="auto"/>
      </w:pPr>
      <w:r>
        <w:t>gigantomachie</w:t>
      </w:r>
      <w:r>
        <w:tab/>
        <w:t>12, 47, 107, 242, 288, 386</w:t>
      </w:r>
    </w:p>
    <w:p w14:paraId="0E82A2C5" w14:textId="77777777" w:rsidR="08240A2E" w:rsidRDefault="08240A2E" w:rsidP="08240A2E">
      <w:pPr>
        <w:pStyle w:val="Rejstk2"/>
        <w:tabs>
          <w:tab w:val="right" w:leader="dot" w:pos="4171"/>
        </w:tabs>
        <w:spacing w:line="240" w:lineRule="auto"/>
      </w:pPr>
      <w:r w:rsidRPr="001F5DB8">
        <w:rPr>
          <w:i/>
        </w:rPr>
        <w:t>Gründung</w:t>
      </w:r>
      <w:r>
        <w:tab/>
        <w:t>301, 520, 659</w:t>
      </w:r>
    </w:p>
    <w:p w14:paraId="44AB0BC6" w14:textId="77777777" w:rsidR="08240A2E" w:rsidRDefault="08240A2E" w:rsidP="08240A2E">
      <w:pPr>
        <w:pStyle w:val="Rejstk2"/>
        <w:tabs>
          <w:tab w:val="right" w:leader="dot" w:pos="4171"/>
        </w:tabs>
        <w:spacing w:line="240" w:lineRule="auto"/>
      </w:pPr>
      <w:r>
        <w:t>Leibniz</w:t>
      </w:r>
      <w:r>
        <w:tab/>
        <w:t>702</w:t>
      </w:r>
    </w:p>
    <w:p w14:paraId="70EF8B36" w14:textId="77777777" w:rsidR="08240A2E" w:rsidRDefault="08240A2E" w:rsidP="08240A2E">
      <w:pPr>
        <w:pStyle w:val="Rejstk2"/>
        <w:tabs>
          <w:tab w:val="right" w:leader="dot" w:pos="4171"/>
        </w:tabs>
        <w:spacing w:line="240" w:lineRule="auto"/>
      </w:pPr>
      <w:r>
        <w:t>matematika</w:t>
      </w:r>
      <w:r>
        <w:tab/>
        <w:t>555</w:t>
      </w:r>
    </w:p>
    <w:p w14:paraId="30BC801E" w14:textId="77777777" w:rsidR="08240A2E" w:rsidRDefault="08240A2E" w:rsidP="08240A2E">
      <w:pPr>
        <w:pStyle w:val="Rejstk2"/>
        <w:tabs>
          <w:tab w:val="right" w:leader="dot" w:pos="4171"/>
        </w:tabs>
        <w:spacing w:line="240" w:lineRule="auto"/>
      </w:pPr>
      <w:r w:rsidRPr="001F5DB8">
        <w:rPr>
          <w:i/>
        </w:rPr>
        <w:t>Modernorum</w:t>
      </w:r>
      <w:r>
        <w:tab/>
        <w:t>106</w:t>
      </w:r>
    </w:p>
    <w:p w14:paraId="4A8BCF25" w14:textId="77777777" w:rsidR="08240A2E" w:rsidRDefault="08240A2E" w:rsidP="08240A2E">
      <w:pPr>
        <w:pStyle w:val="Rejstk2"/>
        <w:tabs>
          <w:tab w:val="right" w:leader="dot" w:pos="4171"/>
        </w:tabs>
        <w:spacing w:line="240" w:lineRule="auto"/>
      </w:pPr>
      <w:r>
        <w:t>první věda</w:t>
      </w:r>
      <w:r>
        <w:tab/>
        <w:t>668, 695</w:t>
      </w:r>
    </w:p>
    <w:p w14:paraId="7096ACE2" w14:textId="77777777" w:rsidR="08240A2E" w:rsidRDefault="08240A2E" w:rsidP="08240A2E">
      <w:pPr>
        <w:pStyle w:val="Rejstk2"/>
        <w:tabs>
          <w:tab w:val="right" w:leader="dot" w:pos="4171"/>
        </w:tabs>
        <w:spacing w:line="240" w:lineRule="auto"/>
      </w:pPr>
      <w:r>
        <w:t xml:space="preserve">škola </w:t>
      </w:r>
      <w:r w:rsidRPr="001F5DB8">
        <w:rPr>
          <w:i/>
        </w:rPr>
        <w:t>Nominales</w:t>
      </w:r>
      <w:r>
        <w:tab/>
        <w:t>83</w:t>
      </w:r>
    </w:p>
    <w:p w14:paraId="5F735043" w14:textId="77777777" w:rsidR="08240A2E" w:rsidRDefault="08240A2E" w:rsidP="08240A2E">
      <w:pPr>
        <w:pStyle w:val="Rejstk1"/>
        <w:tabs>
          <w:tab w:val="right" w:leader="dot" w:pos="4171"/>
        </w:tabs>
        <w:spacing w:line="240" w:lineRule="auto"/>
      </w:pPr>
      <w:r w:rsidRPr="001F5DB8">
        <w:rPr>
          <w:i/>
        </w:rPr>
        <w:t>metaphysica generalis</w:t>
      </w:r>
      <w:r>
        <w:tab/>
        <w:t>65, 291, 318, 361, 366, 370, 388, 409, 557, 582, 585, 650, 652</w:t>
      </w:r>
    </w:p>
    <w:p w14:paraId="65DB0569" w14:textId="77777777" w:rsidR="08240A2E" w:rsidRDefault="08240A2E" w:rsidP="08240A2E">
      <w:pPr>
        <w:pStyle w:val="Rejstk1"/>
        <w:tabs>
          <w:tab w:val="right" w:leader="dot" w:pos="4171"/>
        </w:tabs>
        <w:spacing w:line="240" w:lineRule="auto"/>
      </w:pPr>
      <w:r>
        <w:t>Mikuláš z Paříže</w:t>
      </w:r>
      <w:r>
        <w:tab/>
        <w:t>216, 336</w:t>
      </w:r>
    </w:p>
    <w:p w14:paraId="1E6B7CA4" w14:textId="77777777" w:rsidR="08240A2E" w:rsidRDefault="08240A2E" w:rsidP="08240A2E">
      <w:pPr>
        <w:pStyle w:val="Rejstk1"/>
        <w:tabs>
          <w:tab w:val="right" w:leader="dot" w:pos="4171"/>
        </w:tabs>
        <w:spacing w:line="240" w:lineRule="auto"/>
      </w:pPr>
      <w:r w:rsidRPr="001F5DB8">
        <w:rPr>
          <w:i/>
        </w:rPr>
        <w:t>Mind‒Body Problem</w:t>
      </w:r>
      <w:r>
        <w:tab/>
      </w:r>
      <w:r w:rsidR="08161482">
        <w:t xml:space="preserve">216, 295, 336, </w:t>
      </w:r>
      <w:r>
        <w:t>442, 547, 604, 623, 625</w:t>
      </w:r>
    </w:p>
    <w:p w14:paraId="1C995DD9" w14:textId="77777777" w:rsidR="08240A2E" w:rsidRDefault="08240A2E" w:rsidP="08240A2E">
      <w:pPr>
        <w:pStyle w:val="Rejstk1"/>
        <w:tabs>
          <w:tab w:val="right" w:leader="dot" w:pos="4171"/>
        </w:tabs>
        <w:spacing w:line="240" w:lineRule="auto"/>
      </w:pPr>
      <w:r w:rsidRPr="001F5DB8">
        <w:rPr>
          <w:i/>
        </w:rPr>
        <w:t>modi significandi</w:t>
      </w:r>
      <w:r>
        <w:tab/>
        <w:t>95</w:t>
      </w:r>
    </w:p>
    <w:p w14:paraId="42B1FF23" w14:textId="77777777" w:rsidR="08240A2E" w:rsidRDefault="08240A2E" w:rsidP="08240A2E">
      <w:pPr>
        <w:pStyle w:val="Rejstk1"/>
        <w:tabs>
          <w:tab w:val="right" w:leader="dot" w:pos="4171"/>
        </w:tabs>
        <w:spacing w:line="240" w:lineRule="auto"/>
      </w:pPr>
      <w:r>
        <w:t>Modisté</w:t>
      </w:r>
      <w:r>
        <w:tab/>
        <w:t>290, 677</w:t>
      </w:r>
    </w:p>
    <w:p w14:paraId="4195A91F" w14:textId="77777777" w:rsidR="08240A2E" w:rsidRDefault="08240A2E" w:rsidP="08240A2E">
      <w:pPr>
        <w:pStyle w:val="Rejstk1"/>
        <w:tabs>
          <w:tab w:val="right" w:leader="dot" w:pos="4171"/>
        </w:tabs>
        <w:spacing w:line="240" w:lineRule="auto"/>
      </w:pPr>
      <w:r w:rsidRPr="001F5DB8">
        <w:rPr>
          <w:i/>
        </w:rPr>
        <w:t>modo geometrico</w:t>
      </w:r>
      <w:r>
        <w:tab/>
        <w:t>186, 523, 527</w:t>
      </w:r>
    </w:p>
    <w:p w14:paraId="2585E813" w14:textId="77777777" w:rsidR="08240A2E" w:rsidRDefault="08240A2E" w:rsidP="08240A2E">
      <w:pPr>
        <w:pStyle w:val="Rejstk1"/>
        <w:tabs>
          <w:tab w:val="right" w:leader="dot" w:pos="4171"/>
        </w:tabs>
        <w:spacing w:line="240" w:lineRule="auto"/>
      </w:pPr>
      <w:r w:rsidRPr="001F5DB8">
        <w:rPr>
          <w:i/>
        </w:rPr>
        <w:t>modus ponens</w:t>
      </w:r>
      <w:r>
        <w:tab/>
        <w:t>693</w:t>
      </w:r>
    </w:p>
    <w:p w14:paraId="1D24E444" w14:textId="77777777" w:rsidR="08240A2E" w:rsidRDefault="08240A2E" w:rsidP="08240A2E">
      <w:pPr>
        <w:pStyle w:val="Rejstk1"/>
        <w:tabs>
          <w:tab w:val="right" w:leader="dot" w:pos="4171"/>
        </w:tabs>
        <w:spacing w:line="240" w:lineRule="auto"/>
      </w:pPr>
      <w:r w:rsidRPr="001F5DB8">
        <w:rPr>
          <w:i/>
        </w:rPr>
        <w:t>modus tollens</w:t>
      </w:r>
      <w:r>
        <w:tab/>
        <w:t>166, 524</w:t>
      </w:r>
    </w:p>
    <w:p w14:paraId="2B55C37F" w14:textId="77777777" w:rsidR="08240A2E" w:rsidRDefault="08240A2E" w:rsidP="08240A2E">
      <w:pPr>
        <w:pStyle w:val="Rejstk1"/>
        <w:tabs>
          <w:tab w:val="right" w:leader="dot" w:pos="4171"/>
        </w:tabs>
        <w:spacing w:line="240" w:lineRule="auto"/>
      </w:pPr>
      <w:r>
        <w:t>Moerbeke, W.</w:t>
      </w:r>
      <w:r>
        <w:tab/>
        <w:t>152, 322, 623</w:t>
      </w:r>
    </w:p>
    <w:p w14:paraId="14399ADC" w14:textId="77777777" w:rsidR="08240A2E" w:rsidRDefault="08240A2E" w:rsidP="08240A2E">
      <w:pPr>
        <w:pStyle w:val="Rejstk1"/>
        <w:tabs>
          <w:tab w:val="right" w:leader="dot" w:pos="4171"/>
        </w:tabs>
        <w:spacing w:line="240" w:lineRule="auto"/>
      </w:pPr>
      <w:r>
        <w:t>Mohamed</w:t>
      </w:r>
      <w:r>
        <w:tab/>
        <w:t>102</w:t>
      </w:r>
    </w:p>
    <w:p w14:paraId="00F6947C" w14:textId="77777777" w:rsidR="08240A2E" w:rsidRDefault="08240A2E" w:rsidP="08240A2E">
      <w:pPr>
        <w:pStyle w:val="Rejstk1"/>
        <w:tabs>
          <w:tab w:val="right" w:leader="dot" w:pos="4171"/>
        </w:tabs>
        <w:spacing w:line="240" w:lineRule="auto"/>
      </w:pPr>
      <w:r w:rsidRPr="001F5DB8">
        <w:rPr>
          <w:i/>
          <w:lang w:eastAsia="en-US"/>
        </w:rPr>
        <w:t>more geometrico</w:t>
      </w:r>
      <w:r>
        <w:tab/>
        <w:t>80, 107, 374, 425, 431</w:t>
      </w:r>
    </w:p>
    <w:p w14:paraId="0EAB131F" w14:textId="77777777" w:rsidR="08240A2E" w:rsidRDefault="08240A2E" w:rsidP="08240A2E">
      <w:pPr>
        <w:pStyle w:val="Rejstk1"/>
        <w:tabs>
          <w:tab w:val="right" w:leader="dot" w:pos="4171"/>
        </w:tabs>
        <w:spacing w:line="240" w:lineRule="auto"/>
      </w:pPr>
      <w:r w:rsidRPr="001F5DB8">
        <w:rPr>
          <w:i/>
          <w:iCs/>
        </w:rPr>
        <w:t>mundus imaginalis</w:t>
      </w:r>
      <w:r>
        <w:tab/>
        <w:t>92</w:t>
      </w:r>
    </w:p>
    <w:p w14:paraId="540936F9" w14:textId="77777777" w:rsidR="08240A2E" w:rsidRDefault="08240A2E" w:rsidP="08240A2E">
      <w:pPr>
        <w:pStyle w:val="Rejstk1"/>
        <w:tabs>
          <w:tab w:val="right" w:leader="dot" w:pos="4171"/>
        </w:tabs>
        <w:spacing w:line="240" w:lineRule="auto"/>
      </w:pPr>
      <w:r>
        <w:t>mutakalim</w:t>
      </w:r>
      <w:r>
        <w:tab/>
        <w:t>341</w:t>
      </w:r>
    </w:p>
    <w:p w14:paraId="008EC1F8" w14:textId="77777777" w:rsidR="08240A2E" w:rsidRDefault="08240A2E" w:rsidP="08240A2E">
      <w:pPr>
        <w:pStyle w:val="Rejstk1"/>
        <w:tabs>
          <w:tab w:val="right" w:leader="dot" w:pos="4171"/>
        </w:tabs>
        <w:spacing w:line="240" w:lineRule="auto"/>
      </w:pPr>
      <w:r>
        <w:t>Múzy</w:t>
      </w:r>
      <w:r>
        <w:tab/>
        <w:t>74, 304, 376, 490</w:t>
      </w:r>
    </w:p>
    <w:p w14:paraId="7FB3F83E" w14:textId="77777777" w:rsidR="08240A2E" w:rsidRDefault="08240A2E" w:rsidP="08240A2E">
      <w:pPr>
        <w:pStyle w:val="Rejstk1"/>
        <w:tabs>
          <w:tab w:val="right" w:leader="dot" w:pos="4171"/>
        </w:tabs>
        <w:spacing w:line="240" w:lineRule="auto"/>
      </w:pPr>
      <w:r>
        <w:rPr>
          <w:lang w:eastAsia="en-US"/>
        </w:rPr>
        <w:t>mystika</w:t>
      </w:r>
      <w:r>
        <w:tab/>
        <w:t>395</w:t>
      </w:r>
    </w:p>
    <w:p w14:paraId="364768B9" w14:textId="77777777" w:rsidR="08240A2E" w:rsidRDefault="08240A2E" w:rsidP="08240A2E">
      <w:pPr>
        <w:pStyle w:val="Rejstk1"/>
        <w:tabs>
          <w:tab w:val="right" w:leader="dot" w:pos="4171"/>
        </w:tabs>
        <w:spacing w:line="240" w:lineRule="auto"/>
      </w:pPr>
      <w:r>
        <w:t>mystika merkavy</w:t>
      </w:r>
      <w:r>
        <w:tab/>
        <w:t>102</w:t>
      </w:r>
    </w:p>
    <w:p w14:paraId="6C894C82" w14:textId="77777777" w:rsidR="08240A2E" w:rsidRDefault="08240A2E" w:rsidP="08240A2E">
      <w:pPr>
        <w:pStyle w:val="Rejstk1"/>
        <w:tabs>
          <w:tab w:val="right" w:leader="dot" w:pos="4171"/>
        </w:tabs>
        <w:spacing w:line="240" w:lineRule="auto"/>
      </w:pPr>
      <w:r>
        <w:t>mytopoiesis</w:t>
      </w:r>
      <w:r>
        <w:tab/>
        <w:t>74, 76, 77, 78, 91, 104, 199, 204, 214, 303, 311, 327, 351, 376, 381, 383, 384, 388, 398, 399</w:t>
      </w:r>
      <w:r w:rsidR="08161482">
        <w:t>, 409, 448, 456, 462, 525, 528, 529, 534, 547, 559, 609, 650</w:t>
      </w:r>
    </w:p>
    <w:p w14:paraId="0BE42595" w14:textId="486FBE25" w:rsidR="00593546" w:rsidRPr="00C8572E" w:rsidRDefault="00593546" w:rsidP="00593546">
      <w:pPr>
        <w:pStyle w:val="Rejstk1"/>
        <w:tabs>
          <w:tab w:val="right" w:leader="dot" w:pos="4171"/>
        </w:tabs>
        <w:spacing w:line="240" w:lineRule="auto"/>
        <w:rPr>
          <w:b/>
        </w:rPr>
      </w:pPr>
      <w:r>
        <w:rPr>
          <w:b/>
        </w:rPr>
        <w:t>N, O</w:t>
      </w:r>
    </w:p>
    <w:p w14:paraId="6A49061E" w14:textId="77777777" w:rsidR="08240A2E" w:rsidRDefault="08240A2E" w:rsidP="08240A2E">
      <w:pPr>
        <w:pStyle w:val="Rejstk1"/>
        <w:tabs>
          <w:tab w:val="right" w:leader="dot" w:pos="4171"/>
        </w:tabs>
        <w:spacing w:line="240" w:lineRule="auto"/>
      </w:pPr>
      <w:r>
        <w:t>námořní bitva</w:t>
      </w:r>
      <w:r>
        <w:tab/>
        <w:t>421, 431, 433, 653</w:t>
      </w:r>
    </w:p>
    <w:p w14:paraId="0E7CA683" w14:textId="77777777" w:rsidR="08240A2E" w:rsidRDefault="08240A2E" w:rsidP="08240A2E">
      <w:pPr>
        <w:pStyle w:val="Rejstk1"/>
        <w:tabs>
          <w:tab w:val="right" w:leader="dot" w:pos="4171"/>
        </w:tabs>
        <w:spacing w:line="240" w:lineRule="auto"/>
      </w:pPr>
      <w:r>
        <w:t>neoliberalismus</w:t>
      </w:r>
      <w:r>
        <w:tab/>
        <w:t>296</w:t>
      </w:r>
    </w:p>
    <w:p w14:paraId="5F0C9B7F" w14:textId="77777777" w:rsidR="08240A2E" w:rsidRDefault="08240A2E" w:rsidP="08240A2E">
      <w:pPr>
        <w:pStyle w:val="Rejstk1"/>
        <w:tabs>
          <w:tab w:val="right" w:leader="dot" w:pos="4171"/>
        </w:tabs>
        <w:spacing w:line="240" w:lineRule="auto"/>
      </w:pPr>
      <w:r>
        <w:t>Newton, I.</w:t>
      </w:r>
      <w:r>
        <w:tab/>
        <w:t>148</w:t>
      </w:r>
    </w:p>
    <w:p w14:paraId="01B641EA" w14:textId="77777777" w:rsidR="08240A2E" w:rsidRDefault="08240A2E" w:rsidP="08240A2E">
      <w:pPr>
        <w:pStyle w:val="Rejstk1"/>
        <w:tabs>
          <w:tab w:val="right" w:leader="dot" w:pos="4171"/>
        </w:tabs>
        <w:spacing w:line="240" w:lineRule="auto"/>
      </w:pPr>
      <w:r>
        <w:t>Nicolas de Lisieux</w:t>
      </w:r>
      <w:r>
        <w:tab/>
        <w:t>616, 682</w:t>
      </w:r>
    </w:p>
    <w:p w14:paraId="480B5B44" w14:textId="77777777" w:rsidR="08240A2E" w:rsidRDefault="08240A2E" w:rsidP="08240A2E">
      <w:pPr>
        <w:pStyle w:val="Rejstk1"/>
        <w:tabs>
          <w:tab w:val="right" w:leader="dot" w:pos="4171"/>
        </w:tabs>
        <w:spacing w:line="240" w:lineRule="auto"/>
      </w:pPr>
      <w:r>
        <w:t>Nicolas z Paříže</w:t>
      </w:r>
      <w:r>
        <w:tab/>
        <w:t>353, 404, 406, 410, 655</w:t>
      </w:r>
    </w:p>
    <w:p w14:paraId="76B90E74" w14:textId="77777777" w:rsidR="08240A2E" w:rsidRDefault="08240A2E" w:rsidP="08240A2E">
      <w:pPr>
        <w:pStyle w:val="Rejstk1"/>
        <w:tabs>
          <w:tab w:val="right" w:leader="dot" w:pos="4171"/>
        </w:tabs>
        <w:spacing w:line="240" w:lineRule="auto"/>
      </w:pPr>
      <w:r>
        <w:t>Nietzsche, F.</w:t>
      </w:r>
      <w:r w:rsidR="08161482">
        <w:t>, viz</w:t>
      </w:r>
      <w:r w:rsidR="08161482" w:rsidRPr="08161482">
        <w:rPr>
          <w:i/>
        </w:rPr>
        <w:t xml:space="preserve"> Index locorum</w:t>
      </w:r>
    </w:p>
    <w:p w14:paraId="346C6550" w14:textId="77777777" w:rsidR="08240A2E" w:rsidRDefault="08240A2E" w:rsidP="08240A2E">
      <w:pPr>
        <w:pStyle w:val="Rejstk1"/>
        <w:tabs>
          <w:tab w:val="right" w:leader="dot" w:pos="4171"/>
        </w:tabs>
        <w:spacing w:line="240" w:lineRule="auto"/>
      </w:pPr>
      <w:r>
        <w:t>nihilismus</w:t>
      </w:r>
      <w:r>
        <w:tab/>
        <w:t>10, 58, 282, 326, 572</w:t>
      </w:r>
    </w:p>
    <w:p w14:paraId="3D777A91" w14:textId="77777777" w:rsidR="08240A2E" w:rsidRDefault="08240A2E" w:rsidP="08240A2E">
      <w:pPr>
        <w:pStyle w:val="Rejstk1"/>
        <w:tabs>
          <w:tab w:val="right" w:leader="dot" w:pos="4171"/>
        </w:tabs>
        <w:spacing w:line="240" w:lineRule="auto"/>
      </w:pPr>
      <w:r w:rsidRPr="001F5DB8">
        <w:rPr>
          <w:i/>
        </w:rPr>
        <w:t>noema</w:t>
      </w:r>
      <w:r>
        <w:tab/>
        <w:t>139</w:t>
      </w:r>
    </w:p>
    <w:p w14:paraId="2BA5D19D" w14:textId="77777777" w:rsidR="08240A2E" w:rsidRDefault="08240A2E" w:rsidP="08240A2E">
      <w:pPr>
        <w:pStyle w:val="Rejstk1"/>
        <w:tabs>
          <w:tab w:val="right" w:leader="dot" w:pos="4171"/>
        </w:tabs>
        <w:spacing w:line="240" w:lineRule="auto"/>
      </w:pPr>
      <w:r w:rsidRPr="001F5DB8">
        <w:rPr>
          <w:i/>
        </w:rPr>
        <w:t>non repugnat esse</w:t>
      </w:r>
      <w:r>
        <w:tab/>
        <w:t>227</w:t>
      </w:r>
    </w:p>
    <w:p w14:paraId="13672BB6" w14:textId="77777777" w:rsidR="08240A2E" w:rsidRDefault="08240A2E" w:rsidP="08240A2E">
      <w:pPr>
        <w:pStyle w:val="Rejstk1"/>
        <w:tabs>
          <w:tab w:val="right" w:leader="dot" w:pos="4171"/>
        </w:tabs>
        <w:spacing w:line="240" w:lineRule="auto"/>
      </w:pPr>
      <w:r>
        <w:t>nutnost</w:t>
      </w:r>
    </w:p>
    <w:p w14:paraId="78049704" w14:textId="77777777" w:rsidR="08240A2E" w:rsidRDefault="08240A2E" w:rsidP="08240A2E">
      <w:pPr>
        <w:pStyle w:val="Rejstk2"/>
        <w:tabs>
          <w:tab w:val="right" w:leader="dot" w:pos="4171"/>
        </w:tabs>
        <w:spacing w:line="240" w:lineRule="auto"/>
      </w:pPr>
      <w:r w:rsidRPr="001F5DB8">
        <w:rPr>
          <w:i/>
        </w:rPr>
        <w:t>absolute</w:t>
      </w:r>
      <w:r>
        <w:tab/>
        <w:t>423, 425</w:t>
      </w:r>
    </w:p>
    <w:p w14:paraId="6322739B" w14:textId="77777777" w:rsidR="08240A2E" w:rsidRDefault="08240A2E" w:rsidP="08240A2E">
      <w:pPr>
        <w:pStyle w:val="Rejstk2"/>
        <w:tabs>
          <w:tab w:val="right" w:leader="dot" w:pos="4171"/>
        </w:tabs>
        <w:spacing w:line="240" w:lineRule="auto"/>
      </w:pPr>
      <w:r w:rsidRPr="001F5DB8">
        <w:rPr>
          <w:i/>
        </w:rPr>
        <w:t>Druhé analytiky</w:t>
      </w:r>
      <w:r>
        <w:tab/>
        <w:t>505</w:t>
      </w:r>
    </w:p>
    <w:p w14:paraId="3BB9E497" w14:textId="77777777" w:rsidR="08240A2E" w:rsidRDefault="08240A2E" w:rsidP="08240A2E">
      <w:pPr>
        <w:pStyle w:val="Rejstk2"/>
        <w:tabs>
          <w:tab w:val="right" w:leader="dot" w:pos="4171"/>
        </w:tabs>
        <w:spacing w:line="240" w:lineRule="auto"/>
      </w:pPr>
      <w:r>
        <w:t>Kilwardby</w:t>
      </w:r>
      <w:r>
        <w:tab/>
        <w:t>641</w:t>
      </w:r>
    </w:p>
    <w:p w14:paraId="6583422E" w14:textId="77777777" w:rsidR="08240A2E" w:rsidRDefault="08240A2E" w:rsidP="08240A2E">
      <w:pPr>
        <w:pStyle w:val="Rejstk2"/>
        <w:tabs>
          <w:tab w:val="right" w:leader="dot" w:pos="4171"/>
        </w:tabs>
        <w:spacing w:line="240" w:lineRule="auto"/>
      </w:pPr>
      <w:r w:rsidRPr="001F5DB8">
        <w:rPr>
          <w:i/>
        </w:rPr>
        <w:t>necessarium per accidens</w:t>
      </w:r>
      <w:r>
        <w:tab/>
        <w:t>429</w:t>
      </w:r>
    </w:p>
    <w:p w14:paraId="778EC9EE" w14:textId="77777777" w:rsidR="08240A2E" w:rsidRDefault="08240A2E" w:rsidP="08240A2E">
      <w:pPr>
        <w:pStyle w:val="Rejstk2"/>
        <w:tabs>
          <w:tab w:val="right" w:leader="dot" w:pos="4171"/>
        </w:tabs>
        <w:spacing w:line="240" w:lineRule="auto"/>
      </w:pPr>
      <w:r>
        <w:t>objektivní</w:t>
      </w:r>
      <w:r>
        <w:tab/>
        <w:t>647</w:t>
      </w:r>
    </w:p>
    <w:p w14:paraId="3BE5ACE4" w14:textId="77777777" w:rsidR="08240A2E" w:rsidRDefault="08240A2E" w:rsidP="08240A2E">
      <w:pPr>
        <w:pStyle w:val="Rejstk2"/>
        <w:tabs>
          <w:tab w:val="right" w:leader="dot" w:pos="4171"/>
        </w:tabs>
        <w:spacing w:line="240" w:lineRule="auto"/>
      </w:pPr>
      <w:r w:rsidRPr="001F5DB8">
        <w:rPr>
          <w:i/>
        </w:rPr>
        <w:t>per accidens</w:t>
      </w:r>
      <w:r>
        <w:tab/>
        <w:t>423</w:t>
      </w:r>
    </w:p>
    <w:p w14:paraId="7526835D" w14:textId="77777777" w:rsidR="08240A2E" w:rsidRDefault="08240A2E" w:rsidP="08240A2E">
      <w:pPr>
        <w:pStyle w:val="Rejstk2"/>
        <w:tabs>
          <w:tab w:val="right" w:leader="dot" w:pos="4171"/>
        </w:tabs>
        <w:spacing w:line="240" w:lineRule="auto"/>
      </w:pPr>
      <w:r w:rsidRPr="001F5DB8">
        <w:rPr>
          <w:i/>
        </w:rPr>
        <w:t>per se</w:t>
      </w:r>
      <w:r>
        <w:tab/>
        <w:t>521, 522, 523, 529, 556, 638, 639, 643, 649, 653, 654, 672</w:t>
      </w:r>
    </w:p>
    <w:p w14:paraId="618A6D23" w14:textId="77777777" w:rsidR="08240A2E" w:rsidRDefault="08240A2E" w:rsidP="08240A2E">
      <w:pPr>
        <w:pStyle w:val="Rejstk2"/>
        <w:tabs>
          <w:tab w:val="right" w:leader="dot" w:pos="4171"/>
        </w:tabs>
        <w:spacing w:line="240" w:lineRule="auto"/>
      </w:pPr>
      <w:r w:rsidRPr="001F5DB8">
        <w:rPr>
          <w:i/>
        </w:rPr>
        <w:t>relative</w:t>
      </w:r>
      <w:r>
        <w:tab/>
        <w:t>423, 426, 427, 438</w:t>
      </w:r>
    </w:p>
    <w:p w14:paraId="1689B65A" w14:textId="77777777" w:rsidR="08240A2E" w:rsidRDefault="08240A2E" w:rsidP="08240A2E">
      <w:pPr>
        <w:pStyle w:val="Rejstk1"/>
        <w:tabs>
          <w:tab w:val="right" w:leader="dot" w:pos="4171"/>
        </w:tabs>
        <w:spacing w:line="240" w:lineRule="auto"/>
      </w:pPr>
      <w:r>
        <w:t>objektivita</w:t>
      </w:r>
    </w:p>
    <w:p w14:paraId="3C255DFB" w14:textId="77777777" w:rsidR="08240A2E" w:rsidRDefault="08240A2E" w:rsidP="08240A2E">
      <w:pPr>
        <w:pStyle w:val="Rejstk2"/>
        <w:tabs>
          <w:tab w:val="right" w:leader="dot" w:pos="4171"/>
        </w:tabs>
        <w:spacing w:line="240" w:lineRule="auto"/>
      </w:pPr>
      <w:r w:rsidRPr="001F5DB8">
        <w:rPr>
          <w:i/>
        </w:rPr>
        <w:t>a/létheia</w:t>
      </w:r>
      <w:r>
        <w:tab/>
        <w:t>288</w:t>
      </w:r>
    </w:p>
    <w:p w14:paraId="0093445F" w14:textId="77777777" w:rsidR="08240A2E" w:rsidRDefault="08240A2E" w:rsidP="08240A2E">
      <w:pPr>
        <w:pStyle w:val="Rejstk2"/>
        <w:tabs>
          <w:tab w:val="right" w:leader="dot" w:pos="4171"/>
        </w:tabs>
        <w:spacing w:line="240" w:lineRule="auto"/>
      </w:pPr>
      <w:r w:rsidRPr="001F5DB8">
        <w:rPr>
          <w:i/>
        </w:rPr>
        <w:t>Anfang</w:t>
      </w:r>
      <w:r>
        <w:t>/</w:t>
      </w:r>
      <w:r w:rsidRPr="001F5DB8">
        <w:rPr>
          <w:i/>
        </w:rPr>
        <w:t>Beginn</w:t>
      </w:r>
      <w:r>
        <w:tab/>
        <w:t>9, 177, 281, 290, 376, 529, 576, 631</w:t>
      </w:r>
    </w:p>
    <w:p w14:paraId="2CB2B05A" w14:textId="77777777" w:rsidR="08240A2E" w:rsidRDefault="08240A2E" w:rsidP="08240A2E">
      <w:pPr>
        <w:pStyle w:val="Rejstk2"/>
        <w:tabs>
          <w:tab w:val="right" w:leader="dot" w:pos="4171"/>
        </w:tabs>
        <w:spacing w:line="240" w:lineRule="auto"/>
      </w:pPr>
      <w:r>
        <w:t>archeologie</w:t>
      </w:r>
      <w:r>
        <w:tab/>
        <w:t>329, 346</w:t>
      </w:r>
    </w:p>
    <w:p w14:paraId="5E243D3E" w14:textId="77777777" w:rsidR="08240A2E" w:rsidRDefault="08240A2E" w:rsidP="08240A2E">
      <w:pPr>
        <w:pStyle w:val="Rejstk2"/>
        <w:tabs>
          <w:tab w:val="right" w:leader="dot" w:pos="4171"/>
        </w:tabs>
        <w:spacing w:line="240" w:lineRule="auto"/>
      </w:pPr>
      <w:r>
        <w:t>Avicenna</w:t>
      </w:r>
      <w:r>
        <w:tab/>
        <w:t>84, 139, 447</w:t>
      </w:r>
    </w:p>
    <w:p w14:paraId="2F4E62FB" w14:textId="77777777" w:rsidR="08240A2E" w:rsidRDefault="08240A2E" w:rsidP="08240A2E">
      <w:pPr>
        <w:pStyle w:val="Rejstk2"/>
        <w:tabs>
          <w:tab w:val="right" w:leader="dot" w:pos="4171"/>
        </w:tabs>
        <w:spacing w:line="240" w:lineRule="auto"/>
      </w:pPr>
      <w:r>
        <w:t>celku jsoucna</w:t>
      </w:r>
      <w:r>
        <w:tab/>
        <w:t>449</w:t>
      </w:r>
    </w:p>
    <w:p w14:paraId="6D38051B" w14:textId="77777777" w:rsidR="08240A2E" w:rsidRDefault="08240A2E" w:rsidP="08240A2E">
      <w:pPr>
        <w:pStyle w:val="Rejstk2"/>
        <w:tabs>
          <w:tab w:val="right" w:leader="dot" w:pos="4171"/>
        </w:tabs>
        <w:spacing w:line="240" w:lineRule="auto"/>
      </w:pPr>
      <w:r>
        <w:t>dějinnost</w:t>
      </w:r>
      <w:r>
        <w:tab/>
        <w:t>329</w:t>
      </w:r>
    </w:p>
    <w:p w14:paraId="1928D96B" w14:textId="77777777" w:rsidR="08240A2E" w:rsidRDefault="08240A2E" w:rsidP="08240A2E">
      <w:pPr>
        <w:pStyle w:val="Rejstk2"/>
        <w:tabs>
          <w:tab w:val="right" w:leader="dot" w:pos="4171"/>
        </w:tabs>
        <w:spacing w:line="240" w:lineRule="auto"/>
      </w:pPr>
      <w:r>
        <w:t>druhý averroismus</w:t>
      </w:r>
      <w:r>
        <w:tab/>
        <w:t>240, 452, 495</w:t>
      </w:r>
    </w:p>
    <w:p w14:paraId="4F29940B" w14:textId="77777777" w:rsidR="08240A2E" w:rsidRDefault="08240A2E" w:rsidP="08240A2E">
      <w:pPr>
        <w:pStyle w:val="Rejstk2"/>
        <w:tabs>
          <w:tab w:val="right" w:leader="dot" w:pos="4171"/>
        </w:tabs>
        <w:spacing w:line="240" w:lineRule="auto"/>
      </w:pPr>
      <w:r w:rsidRPr="001F5DB8">
        <w:rPr>
          <w:i/>
        </w:rPr>
        <w:t>factum</w:t>
      </w:r>
      <w:r>
        <w:tab/>
        <w:t>329</w:t>
      </w:r>
    </w:p>
    <w:p w14:paraId="0921505A" w14:textId="77777777" w:rsidR="08240A2E" w:rsidRDefault="08240A2E" w:rsidP="08240A2E">
      <w:pPr>
        <w:pStyle w:val="Rejstk2"/>
        <w:tabs>
          <w:tab w:val="right" w:leader="dot" w:pos="4171"/>
        </w:tabs>
        <w:spacing w:line="240" w:lineRule="auto"/>
      </w:pPr>
      <w:r>
        <w:t>Gilbertus Porretanus</w:t>
      </w:r>
      <w:r>
        <w:tab/>
        <w:t>56</w:t>
      </w:r>
    </w:p>
    <w:p w14:paraId="5E1444D1" w14:textId="77777777" w:rsidR="08240A2E" w:rsidRDefault="08240A2E" w:rsidP="08240A2E">
      <w:pPr>
        <w:pStyle w:val="Rejstk2"/>
        <w:tabs>
          <w:tab w:val="right" w:leader="dot" w:pos="4171"/>
        </w:tabs>
        <w:spacing w:line="240" w:lineRule="auto"/>
      </w:pPr>
      <w:r>
        <w:t>Grosseteste</w:t>
      </w:r>
      <w:r>
        <w:tab/>
        <w:t>336, 355, 391</w:t>
      </w:r>
    </w:p>
    <w:p w14:paraId="4AA0E1A3" w14:textId="77777777" w:rsidR="08240A2E" w:rsidRDefault="08240A2E" w:rsidP="08240A2E">
      <w:pPr>
        <w:pStyle w:val="Rejstk2"/>
        <w:tabs>
          <w:tab w:val="right" w:leader="dot" w:pos="4171"/>
        </w:tabs>
        <w:spacing w:line="240" w:lineRule="auto"/>
      </w:pPr>
      <w:r>
        <w:t>Leibniz</w:t>
      </w:r>
      <w:r>
        <w:tab/>
        <w:t>6</w:t>
      </w:r>
    </w:p>
    <w:p w14:paraId="18FD10A5" w14:textId="77777777" w:rsidR="08240A2E" w:rsidRDefault="08240A2E" w:rsidP="08240A2E">
      <w:pPr>
        <w:pStyle w:val="Rejstk2"/>
        <w:tabs>
          <w:tab w:val="right" w:leader="dot" w:pos="4171"/>
        </w:tabs>
        <w:spacing w:line="240" w:lineRule="auto"/>
      </w:pPr>
      <w:r>
        <w:t>moderní fyzika</w:t>
      </w:r>
      <w:r>
        <w:tab/>
        <w:t>660</w:t>
      </w:r>
    </w:p>
    <w:p w14:paraId="3F744908" w14:textId="77777777" w:rsidR="08240A2E" w:rsidRDefault="08240A2E" w:rsidP="08240A2E">
      <w:pPr>
        <w:pStyle w:val="Rejstk2"/>
        <w:tabs>
          <w:tab w:val="right" w:leader="dot" w:pos="4171"/>
        </w:tabs>
        <w:spacing w:line="240" w:lineRule="auto"/>
      </w:pPr>
      <w:r>
        <w:t>moderní ilumináti</w:t>
      </w:r>
      <w:r>
        <w:tab/>
        <w:t>436</w:t>
      </w:r>
    </w:p>
    <w:p w14:paraId="6B228F7F" w14:textId="77777777" w:rsidR="08240A2E" w:rsidRDefault="08240A2E" w:rsidP="08240A2E">
      <w:pPr>
        <w:pStyle w:val="Rejstk2"/>
        <w:tabs>
          <w:tab w:val="right" w:leader="dot" w:pos="4171"/>
        </w:tabs>
        <w:spacing w:line="240" w:lineRule="auto"/>
      </w:pPr>
      <w:r>
        <w:t>moderní subjekt</w:t>
      </w:r>
      <w:r>
        <w:tab/>
        <w:t>526, 638</w:t>
      </w:r>
    </w:p>
    <w:p w14:paraId="27E7E1F1" w14:textId="77777777" w:rsidR="08240A2E" w:rsidRDefault="08240A2E" w:rsidP="08240A2E">
      <w:pPr>
        <w:pStyle w:val="Rejstk2"/>
        <w:tabs>
          <w:tab w:val="right" w:leader="dot" w:pos="4171"/>
        </w:tabs>
        <w:spacing w:line="240" w:lineRule="auto"/>
      </w:pPr>
      <w:r>
        <w:t>moderní vědy</w:t>
      </w:r>
      <w:r>
        <w:tab/>
        <w:t>667</w:t>
      </w:r>
    </w:p>
    <w:p w14:paraId="05D3961F" w14:textId="77777777" w:rsidR="08240A2E" w:rsidRDefault="08240A2E" w:rsidP="08240A2E">
      <w:pPr>
        <w:pStyle w:val="Rejstk2"/>
        <w:tabs>
          <w:tab w:val="right" w:leader="dot" w:pos="4171"/>
        </w:tabs>
        <w:spacing w:line="240" w:lineRule="auto"/>
      </w:pPr>
      <w:r>
        <w:t>ontoteologie</w:t>
      </w:r>
      <w:r>
        <w:tab/>
        <w:t>416</w:t>
      </w:r>
    </w:p>
    <w:p w14:paraId="2132E640" w14:textId="77777777" w:rsidR="08240A2E" w:rsidRDefault="08240A2E" w:rsidP="08240A2E">
      <w:pPr>
        <w:pStyle w:val="Rejstk2"/>
        <w:tabs>
          <w:tab w:val="right" w:leader="dot" w:pos="4171"/>
        </w:tabs>
        <w:spacing w:line="240" w:lineRule="auto"/>
      </w:pPr>
      <w:r>
        <w:t>postmoderna</w:t>
      </w:r>
      <w:r>
        <w:tab/>
        <w:t>10</w:t>
      </w:r>
    </w:p>
    <w:p w14:paraId="38B7E790" w14:textId="77777777" w:rsidR="08240A2E" w:rsidRDefault="08240A2E" w:rsidP="08240A2E">
      <w:pPr>
        <w:pStyle w:val="Rejstk2"/>
        <w:tabs>
          <w:tab w:val="right" w:leader="dot" w:pos="4171"/>
        </w:tabs>
        <w:spacing w:line="240" w:lineRule="auto"/>
      </w:pPr>
      <w:r w:rsidRPr="001F5DB8">
        <w:rPr>
          <w:i/>
        </w:rPr>
        <w:t>scibile</w:t>
      </w:r>
      <w:r>
        <w:tab/>
        <w:t>656</w:t>
      </w:r>
    </w:p>
    <w:p w14:paraId="023B4FA4" w14:textId="77777777" w:rsidR="08240A2E" w:rsidRDefault="08240A2E" w:rsidP="08240A2E">
      <w:pPr>
        <w:pStyle w:val="Rejstk2"/>
        <w:tabs>
          <w:tab w:val="right" w:leader="dot" w:pos="4171"/>
        </w:tabs>
        <w:spacing w:line="240" w:lineRule="auto"/>
      </w:pPr>
      <w:r>
        <w:t>vznik</w:t>
      </w:r>
      <w:r>
        <w:tab/>
        <w:t>225, 345, 685</w:t>
      </w:r>
    </w:p>
    <w:p w14:paraId="386AEF44" w14:textId="77777777" w:rsidR="08240A2E" w:rsidRDefault="08240A2E" w:rsidP="08161482">
      <w:pPr>
        <w:pStyle w:val="Rejstk1"/>
        <w:tabs>
          <w:tab w:val="right" w:leader="dot" w:pos="4171"/>
        </w:tabs>
        <w:spacing w:line="240" w:lineRule="auto"/>
      </w:pPr>
      <w:r>
        <w:t>Ockham, W.</w:t>
      </w:r>
      <w:r w:rsidR="08161482">
        <w:t xml:space="preserve">, </w:t>
      </w:r>
      <w:r>
        <w:t xml:space="preserve">viz </w:t>
      </w:r>
      <w:r w:rsidRPr="001F5DB8">
        <w:rPr>
          <w:i/>
        </w:rPr>
        <w:t>Index locorum</w:t>
      </w:r>
      <w:r>
        <w:tab/>
        <w:t>392, 410</w:t>
      </w:r>
    </w:p>
    <w:p w14:paraId="7969CF61" w14:textId="77777777" w:rsidR="08240A2E" w:rsidRDefault="08240A2E" w:rsidP="08240A2E">
      <w:pPr>
        <w:pStyle w:val="Rejstk1"/>
        <w:tabs>
          <w:tab w:val="right" w:leader="dot" w:pos="4171"/>
        </w:tabs>
        <w:spacing w:line="240" w:lineRule="auto"/>
      </w:pPr>
      <w:r>
        <w:t>Ockhamova břitva</w:t>
      </w:r>
      <w:r>
        <w:tab/>
        <w:t>122, 188</w:t>
      </w:r>
    </w:p>
    <w:p w14:paraId="6B45BE9C" w14:textId="77777777" w:rsidR="08240A2E" w:rsidRDefault="08240A2E" w:rsidP="08240A2E">
      <w:pPr>
        <w:pStyle w:val="Rejstk1"/>
        <w:tabs>
          <w:tab w:val="right" w:leader="dot" w:pos="4171"/>
        </w:tabs>
        <w:spacing w:line="240" w:lineRule="auto"/>
      </w:pPr>
      <w:r>
        <w:t>očistec</w:t>
      </w:r>
      <w:r>
        <w:tab/>
        <w:t>103, 666</w:t>
      </w:r>
    </w:p>
    <w:p w14:paraId="6DAE68F8" w14:textId="77777777" w:rsidR="08240A2E" w:rsidRDefault="08240A2E" w:rsidP="08240A2E">
      <w:pPr>
        <w:pStyle w:val="Rejstk1"/>
        <w:tabs>
          <w:tab w:val="right" w:leader="dot" w:pos="4171"/>
        </w:tabs>
        <w:spacing w:line="240" w:lineRule="auto"/>
      </w:pPr>
      <w:r>
        <w:t>odsouzení 1277</w:t>
      </w:r>
      <w:r>
        <w:tab/>
        <w:t>47, 99, 114, 235, 284, 342, 394, 485</w:t>
      </w:r>
    </w:p>
    <w:p w14:paraId="56FDED80" w14:textId="77777777" w:rsidR="08240A2E" w:rsidRDefault="08240A2E" w:rsidP="08161482">
      <w:pPr>
        <w:pStyle w:val="Rejstk1"/>
        <w:tabs>
          <w:tab w:val="right" w:leader="dot" w:pos="4171"/>
        </w:tabs>
        <w:spacing w:line="240" w:lineRule="auto"/>
      </w:pPr>
      <w:r>
        <w:t>Olivi, Petrus</w:t>
      </w:r>
      <w:r>
        <w:tab/>
        <w:t>436</w:t>
      </w:r>
    </w:p>
    <w:p w14:paraId="668D27A2" w14:textId="77777777" w:rsidR="08240A2E" w:rsidRDefault="08240A2E" w:rsidP="08240A2E">
      <w:pPr>
        <w:pStyle w:val="Rejstk1"/>
        <w:tabs>
          <w:tab w:val="right" w:leader="dot" w:pos="4171"/>
        </w:tabs>
        <w:spacing w:line="240" w:lineRule="auto"/>
      </w:pPr>
      <w:r>
        <w:t>Omezené‒Neomezené</w:t>
      </w:r>
      <w:r>
        <w:tab/>
        <w:t>86, 434, 532</w:t>
      </w:r>
    </w:p>
    <w:p w14:paraId="50364D6A" w14:textId="77777777" w:rsidR="08240A2E" w:rsidRDefault="08240A2E" w:rsidP="08240A2E">
      <w:pPr>
        <w:pStyle w:val="Rejstk1"/>
        <w:tabs>
          <w:tab w:val="right" w:leader="dot" w:pos="4171"/>
        </w:tabs>
        <w:spacing w:line="240" w:lineRule="auto"/>
      </w:pPr>
      <w:r w:rsidRPr="001F5DB8">
        <w:rPr>
          <w:i/>
        </w:rPr>
        <w:t>ontology of properties</w:t>
      </w:r>
      <w:r>
        <w:tab/>
        <w:t>627</w:t>
      </w:r>
    </w:p>
    <w:p w14:paraId="4E44B3FF" w14:textId="77777777" w:rsidR="08240A2E" w:rsidRDefault="08240A2E" w:rsidP="08240A2E">
      <w:pPr>
        <w:pStyle w:val="Rejstk1"/>
        <w:tabs>
          <w:tab w:val="right" w:leader="dot" w:pos="4171"/>
        </w:tabs>
        <w:spacing w:line="240" w:lineRule="auto"/>
      </w:pPr>
      <w:r>
        <w:t>ontoteologie</w:t>
      </w:r>
    </w:p>
    <w:p w14:paraId="3CBA2B55" w14:textId="77777777" w:rsidR="08240A2E" w:rsidRDefault="08240A2E" w:rsidP="08240A2E">
      <w:pPr>
        <w:pStyle w:val="Rejstk2"/>
        <w:tabs>
          <w:tab w:val="right" w:leader="dot" w:pos="4171"/>
        </w:tabs>
        <w:spacing w:line="240" w:lineRule="auto"/>
      </w:pPr>
      <w:r>
        <w:t>Anselm</w:t>
      </w:r>
      <w:r>
        <w:tab/>
        <w:t>26</w:t>
      </w:r>
    </w:p>
    <w:p w14:paraId="4D1D32B8" w14:textId="77777777" w:rsidR="08240A2E" w:rsidRDefault="08240A2E" w:rsidP="08240A2E">
      <w:pPr>
        <w:pStyle w:val="Rejstk2"/>
        <w:tabs>
          <w:tab w:val="right" w:leader="dot" w:pos="4171"/>
        </w:tabs>
        <w:spacing w:line="240" w:lineRule="auto"/>
      </w:pPr>
      <w:r>
        <w:t>Avicenna</w:t>
      </w:r>
      <w:r>
        <w:tab/>
        <w:t>281</w:t>
      </w:r>
    </w:p>
    <w:p w14:paraId="742FAAB0" w14:textId="77777777" w:rsidR="08240A2E" w:rsidRDefault="08240A2E" w:rsidP="08240A2E">
      <w:pPr>
        <w:pStyle w:val="Rejstk2"/>
        <w:tabs>
          <w:tab w:val="right" w:leader="dot" w:pos="4171"/>
        </w:tabs>
        <w:spacing w:line="240" w:lineRule="auto"/>
      </w:pPr>
      <w:r>
        <w:t>druhý averroismus</w:t>
      </w:r>
      <w:r>
        <w:tab/>
        <w:t>281</w:t>
      </w:r>
    </w:p>
    <w:p w14:paraId="63B406B7" w14:textId="77777777" w:rsidR="08240A2E" w:rsidRDefault="08240A2E" w:rsidP="08240A2E">
      <w:pPr>
        <w:pStyle w:val="Rejstk2"/>
        <w:tabs>
          <w:tab w:val="right" w:leader="dot" w:pos="4171"/>
        </w:tabs>
        <w:spacing w:line="240" w:lineRule="auto"/>
      </w:pPr>
      <w:r>
        <w:t>Grosseteste</w:t>
      </w:r>
      <w:r>
        <w:tab/>
        <w:t>412, 413</w:t>
      </w:r>
    </w:p>
    <w:p w14:paraId="0C728029" w14:textId="77777777" w:rsidR="08240A2E" w:rsidRDefault="08240A2E" w:rsidP="08240A2E">
      <w:pPr>
        <w:pStyle w:val="Rejstk2"/>
        <w:tabs>
          <w:tab w:val="right" w:leader="dot" w:pos="4171"/>
        </w:tabs>
        <w:spacing w:line="240" w:lineRule="auto"/>
      </w:pPr>
      <w:r>
        <w:t>moderna</w:t>
      </w:r>
      <w:r>
        <w:tab/>
        <w:t>691</w:t>
      </w:r>
    </w:p>
    <w:p w14:paraId="1FAB6B08" w14:textId="77777777" w:rsidR="08240A2E" w:rsidRDefault="08240A2E" w:rsidP="08240A2E">
      <w:pPr>
        <w:pStyle w:val="Rejstk2"/>
        <w:tabs>
          <w:tab w:val="right" w:leader="dot" w:pos="4171"/>
        </w:tabs>
        <w:spacing w:line="240" w:lineRule="auto"/>
      </w:pPr>
      <w:r>
        <w:t>porretáni</w:t>
      </w:r>
      <w:r>
        <w:tab/>
        <w:t>63, 81</w:t>
      </w:r>
    </w:p>
    <w:p w14:paraId="0E35C5FC" w14:textId="77777777" w:rsidR="08240A2E" w:rsidRDefault="08240A2E" w:rsidP="08240A2E">
      <w:pPr>
        <w:pStyle w:val="Rejstk1"/>
        <w:tabs>
          <w:tab w:val="right" w:leader="dot" w:pos="4171"/>
        </w:tabs>
        <w:spacing w:line="240" w:lineRule="auto"/>
      </w:pPr>
      <w:r w:rsidRPr="001F5DB8">
        <w:rPr>
          <w:i/>
        </w:rPr>
        <w:t>opinabile</w:t>
      </w:r>
      <w:r>
        <w:tab/>
        <w:t>44, 60, 61, 74, 90, 95, 160, 221, 254, 546</w:t>
      </w:r>
    </w:p>
    <w:p w14:paraId="3FF9113D" w14:textId="77777777" w:rsidR="08240A2E" w:rsidRDefault="08240A2E" w:rsidP="08240A2E">
      <w:pPr>
        <w:pStyle w:val="Rejstk1"/>
        <w:tabs>
          <w:tab w:val="right" w:leader="dot" w:pos="4171"/>
        </w:tabs>
        <w:spacing w:line="240" w:lineRule="auto"/>
      </w:pPr>
      <w:r>
        <w:t>orthotomie</w:t>
      </w:r>
      <w:r>
        <w:tab/>
        <w:t>77, 363, 365, 381</w:t>
      </w:r>
    </w:p>
    <w:p w14:paraId="51172FF2" w14:textId="77777777" w:rsidR="08240A2E" w:rsidRDefault="08240A2E" w:rsidP="08240A2E">
      <w:pPr>
        <w:pStyle w:val="Rejstk1"/>
        <w:tabs>
          <w:tab w:val="right" w:leader="dot" w:pos="4171"/>
        </w:tabs>
        <w:spacing w:line="240" w:lineRule="auto"/>
      </w:pPr>
      <w:r w:rsidRPr="001F5DB8">
        <w:rPr>
          <w:i/>
        </w:rPr>
        <w:t>ortus scientiarum</w:t>
      </w:r>
      <w:r>
        <w:tab/>
        <w:t>1, 92, 687</w:t>
      </w:r>
    </w:p>
    <w:p w14:paraId="01972824" w14:textId="77777777" w:rsidR="08240A2E" w:rsidRDefault="08240A2E" w:rsidP="08240A2E">
      <w:pPr>
        <w:pStyle w:val="Rejstk1"/>
        <w:tabs>
          <w:tab w:val="right" w:leader="dot" w:pos="4171"/>
        </w:tabs>
        <w:spacing w:line="240" w:lineRule="auto"/>
      </w:pPr>
      <w:r>
        <w:t>osoba</w:t>
      </w:r>
    </w:p>
    <w:p w14:paraId="1EEB9CA9" w14:textId="77777777" w:rsidR="08240A2E" w:rsidRDefault="08240A2E" w:rsidP="08240A2E">
      <w:pPr>
        <w:pStyle w:val="Rejstk2"/>
        <w:tabs>
          <w:tab w:val="right" w:leader="dot" w:pos="4171"/>
        </w:tabs>
        <w:spacing w:line="240" w:lineRule="auto"/>
      </w:pPr>
      <w:r w:rsidRPr="001F5DB8">
        <w:rPr>
          <w:i/>
        </w:rPr>
        <w:t>coexistentia</w:t>
      </w:r>
      <w:r>
        <w:tab/>
        <w:t>225</w:t>
      </w:r>
    </w:p>
    <w:p w14:paraId="4FE5BFFC" w14:textId="77777777" w:rsidR="08240A2E" w:rsidRDefault="08240A2E" w:rsidP="08240A2E">
      <w:pPr>
        <w:pStyle w:val="Rejstk2"/>
        <w:tabs>
          <w:tab w:val="right" w:leader="dot" w:pos="4171"/>
        </w:tabs>
        <w:spacing w:line="240" w:lineRule="auto"/>
      </w:pPr>
      <w:r w:rsidRPr="001F5DB8">
        <w:rPr>
          <w:i/>
        </w:rPr>
        <w:t>concretum</w:t>
      </w:r>
      <w:r>
        <w:tab/>
        <w:t>586, 635</w:t>
      </w:r>
    </w:p>
    <w:p w14:paraId="3C02FB8E" w14:textId="77777777" w:rsidR="08240A2E" w:rsidRDefault="08240A2E" w:rsidP="08240A2E">
      <w:pPr>
        <w:pStyle w:val="Rejstk2"/>
        <w:tabs>
          <w:tab w:val="right" w:leader="dot" w:pos="4171"/>
        </w:tabs>
        <w:spacing w:line="240" w:lineRule="auto"/>
      </w:pPr>
      <w:r>
        <w:t>druhý averroismus</w:t>
      </w:r>
      <w:r>
        <w:tab/>
        <w:t>466, 483, 528</w:t>
      </w:r>
    </w:p>
    <w:p w14:paraId="59794004" w14:textId="77777777" w:rsidR="08240A2E" w:rsidRDefault="08240A2E" w:rsidP="08240A2E">
      <w:pPr>
        <w:pStyle w:val="Rejstk2"/>
        <w:tabs>
          <w:tab w:val="right" w:leader="dot" w:pos="4171"/>
        </w:tabs>
        <w:spacing w:line="240" w:lineRule="auto"/>
      </w:pPr>
      <w:r>
        <w:t>dualismus</w:t>
      </w:r>
      <w:r>
        <w:tab/>
        <w:t>202, 234, 333, 462, 491, 591, 597</w:t>
      </w:r>
    </w:p>
    <w:p w14:paraId="1B99B398" w14:textId="77777777" w:rsidR="08240A2E" w:rsidRDefault="08240A2E" w:rsidP="08240A2E">
      <w:pPr>
        <w:pStyle w:val="Rejstk2"/>
        <w:tabs>
          <w:tab w:val="right" w:leader="dot" w:pos="4171"/>
        </w:tabs>
        <w:spacing w:line="240" w:lineRule="auto"/>
      </w:pPr>
      <w:r>
        <w:t>Grosseteste</w:t>
      </w:r>
      <w:r>
        <w:tab/>
        <w:t>468</w:t>
      </w:r>
    </w:p>
    <w:p w14:paraId="728B9566" w14:textId="77777777" w:rsidR="08240A2E" w:rsidRDefault="08240A2E" w:rsidP="08240A2E">
      <w:pPr>
        <w:pStyle w:val="Rejstk2"/>
        <w:tabs>
          <w:tab w:val="right" w:leader="dot" w:pos="4171"/>
        </w:tabs>
        <w:spacing w:line="240" w:lineRule="auto"/>
      </w:pPr>
      <w:r w:rsidRPr="001F5DB8">
        <w:rPr>
          <w:i/>
        </w:rPr>
        <w:t>homo ipse intelligit</w:t>
      </w:r>
      <w:r>
        <w:tab/>
        <w:t>310</w:t>
      </w:r>
    </w:p>
    <w:p w14:paraId="6FEF5952" w14:textId="77777777" w:rsidR="08240A2E" w:rsidRDefault="08240A2E" w:rsidP="08240A2E">
      <w:pPr>
        <w:pStyle w:val="Rejstk2"/>
        <w:tabs>
          <w:tab w:val="right" w:leader="dot" w:pos="4171"/>
        </w:tabs>
        <w:spacing w:line="240" w:lineRule="auto"/>
      </w:pPr>
      <w:r>
        <w:t>hylemorfická jednota</w:t>
      </w:r>
      <w:r>
        <w:tab/>
        <w:t>232, 255, 272, 273</w:t>
      </w:r>
    </w:p>
    <w:p w14:paraId="4C4294F3" w14:textId="77777777" w:rsidR="08240A2E" w:rsidRDefault="08240A2E" w:rsidP="08240A2E">
      <w:pPr>
        <w:pStyle w:val="Rejstk2"/>
        <w:tabs>
          <w:tab w:val="right" w:leader="dot" w:pos="4171"/>
        </w:tabs>
        <w:spacing w:line="240" w:lineRule="auto"/>
      </w:pPr>
      <w:r>
        <w:t>hylemorfická substance</w:t>
      </w:r>
      <w:r>
        <w:tab/>
        <w:t>469</w:t>
      </w:r>
    </w:p>
    <w:p w14:paraId="3159195A" w14:textId="77777777" w:rsidR="08240A2E" w:rsidRDefault="08240A2E" w:rsidP="08240A2E">
      <w:pPr>
        <w:pStyle w:val="Rejstk2"/>
        <w:tabs>
          <w:tab w:val="right" w:leader="dot" w:pos="4171"/>
        </w:tabs>
        <w:spacing w:line="240" w:lineRule="auto"/>
      </w:pPr>
      <w:r>
        <w:t>individuum</w:t>
      </w:r>
      <w:r>
        <w:tab/>
        <w:t>480, 538, 656</w:t>
      </w:r>
    </w:p>
    <w:p w14:paraId="422E5AD3" w14:textId="77777777" w:rsidR="08240A2E" w:rsidRDefault="08240A2E" w:rsidP="08240A2E">
      <w:pPr>
        <w:pStyle w:val="Rejstk2"/>
        <w:tabs>
          <w:tab w:val="right" w:leader="dot" w:pos="4171"/>
        </w:tabs>
        <w:spacing w:line="240" w:lineRule="auto"/>
      </w:pPr>
      <w:r>
        <w:t>ipseita</w:t>
      </w:r>
      <w:r>
        <w:tab/>
        <w:t>255, 267, 310, 633</w:t>
      </w:r>
    </w:p>
    <w:p w14:paraId="075F3549" w14:textId="77777777" w:rsidR="08240A2E" w:rsidRDefault="08240A2E" w:rsidP="08240A2E">
      <w:pPr>
        <w:pStyle w:val="Rejstk2"/>
        <w:tabs>
          <w:tab w:val="right" w:leader="dot" w:pos="4171"/>
        </w:tabs>
        <w:spacing w:line="240" w:lineRule="auto"/>
      </w:pPr>
      <w:r>
        <w:t>lidské zdroje</w:t>
      </w:r>
      <w:r>
        <w:tab/>
        <w:t>540</w:t>
      </w:r>
    </w:p>
    <w:p w14:paraId="6A8BE2D2" w14:textId="77777777" w:rsidR="08240A2E" w:rsidRDefault="08240A2E" w:rsidP="08240A2E">
      <w:pPr>
        <w:pStyle w:val="Rejstk2"/>
        <w:tabs>
          <w:tab w:val="right" w:leader="dot" w:pos="4171"/>
        </w:tabs>
        <w:spacing w:line="240" w:lineRule="auto"/>
      </w:pPr>
      <w:r>
        <w:t>pluralita substancí</w:t>
      </w:r>
      <w:r>
        <w:tab/>
        <w:t>284, 454, 461, 462, 463, 476, 480, 505, 620, 623</w:t>
      </w:r>
    </w:p>
    <w:p w14:paraId="13898010" w14:textId="77777777" w:rsidR="08240A2E" w:rsidRDefault="08240A2E" w:rsidP="08240A2E">
      <w:pPr>
        <w:pStyle w:val="Rejstk2"/>
        <w:tabs>
          <w:tab w:val="right" w:leader="dot" w:pos="4171"/>
        </w:tabs>
        <w:spacing w:line="240" w:lineRule="auto"/>
      </w:pPr>
      <w:r>
        <w:t>Rufus</w:t>
      </w:r>
      <w:r>
        <w:tab/>
        <w:t>538, 626</w:t>
      </w:r>
    </w:p>
    <w:p w14:paraId="1D029D43" w14:textId="77777777" w:rsidR="08240A2E" w:rsidRDefault="08240A2E" w:rsidP="08240A2E">
      <w:pPr>
        <w:pStyle w:val="Rejstk2"/>
        <w:tabs>
          <w:tab w:val="right" w:leader="dot" w:pos="4171"/>
        </w:tabs>
        <w:spacing w:line="240" w:lineRule="auto"/>
      </w:pPr>
      <w:r w:rsidRPr="001F5DB8">
        <w:rPr>
          <w:i/>
        </w:rPr>
        <w:t>scibile</w:t>
      </w:r>
      <w:r>
        <w:tab/>
        <w:t>703</w:t>
      </w:r>
    </w:p>
    <w:p w14:paraId="0857D6B4" w14:textId="77777777" w:rsidR="08240A2E" w:rsidRDefault="08240A2E" w:rsidP="08240A2E">
      <w:pPr>
        <w:pStyle w:val="Rejstk2"/>
        <w:tabs>
          <w:tab w:val="right" w:leader="dot" w:pos="4171"/>
        </w:tabs>
        <w:spacing w:line="240" w:lineRule="auto"/>
      </w:pPr>
      <w:r w:rsidRPr="001F5DB8">
        <w:rPr>
          <w:i/>
        </w:rPr>
        <w:t>triplex unitas</w:t>
      </w:r>
      <w:r>
        <w:tab/>
        <w:t>179, 225, 460, 465</w:t>
      </w:r>
    </w:p>
    <w:p w14:paraId="2CD4762F" w14:textId="77777777" w:rsidR="08240A2E" w:rsidRDefault="08240A2E" w:rsidP="08240A2E">
      <w:pPr>
        <w:pStyle w:val="Rejstk1"/>
        <w:tabs>
          <w:tab w:val="right" w:leader="dot" w:pos="4171"/>
        </w:tabs>
        <w:spacing w:line="240" w:lineRule="auto"/>
      </w:pPr>
      <w:r w:rsidRPr="001F5DB8">
        <w:rPr>
          <w:i/>
        </w:rPr>
        <w:t>Oxfordian Fallacy</w:t>
      </w:r>
    </w:p>
    <w:p w14:paraId="6DC6A4CA" w14:textId="77777777" w:rsidR="08240A2E" w:rsidRDefault="08240A2E" w:rsidP="08240A2E">
      <w:pPr>
        <w:pStyle w:val="Rejstk2"/>
        <w:tabs>
          <w:tab w:val="right" w:leader="dot" w:pos="4171"/>
        </w:tabs>
        <w:spacing w:line="240" w:lineRule="auto"/>
      </w:pPr>
      <w:r>
        <w:t>analytické paradigma</w:t>
      </w:r>
      <w:r>
        <w:tab/>
        <w:t>337</w:t>
      </w:r>
    </w:p>
    <w:p w14:paraId="78ACD0AA" w14:textId="77777777" w:rsidR="08240A2E" w:rsidRDefault="08240A2E" w:rsidP="08240A2E">
      <w:pPr>
        <w:pStyle w:val="Rejstk2"/>
        <w:tabs>
          <w:tab w:val="right" w:leader="dot" w:pos="4171"/>
        </w:tabs>
        <w:spacing w:line="240" w:lineRule="auto"/>
      </w:pPr>
      <w:r>
        <w:t>analytický výklad</w:t>
      </w:r>
      <w:r>
        <w:tab/>
        <w:t>358, 363, 411, 533</w:t>
      </w:r>
    </w:p>
    <w:p w14:paraId="18CE108E" w14:textId="77777777" w:rsidR="08240A2E" w:rsidRDefault="08240A2E" w:rsidP="08240A2E">
      <w:pPr>
        <w:pStyle w:val="Rejstk2"/>
        <w:tabs>
          <w:tab w:val="right" w:leader="dot" w:pos="4171"/>
        </w:tabs>
        <w:spacing w:line="240" w:lineRule="auto"/>
      </w:pPr>
      <w:r>
        <w:t>Bonaventurova škola</w:t>
      </w:r>
      <w:r>
        <w:tab/>
        <w:t>335, 336</w:t>
      </w:r>
    </w:p>
    <w:p w14:paraId="345DE8BC" w14:textId="77777777" w:rsidR="08240A2E" w:rsidRDefault="08240A2E" w:rsidP="08240A2E">
      <w:pPr>
        <w:pStyle w:val="Rejstk2"/>
        <w:tabs>
          <w:tab w:val="right" w:leader="dot" w:pos="4171"/>
        </w:tabs>
        <w:spacing w:line="240" w:lineRule="auto"/>
      </w:pPr>
      <w:r>
        <w:t>druhý averroismus</w:t>
      </w:r>
      <w:r>
        <w:tab/>
        <w:t>397, 459</w:t>
      </w:r>
    </w:p>
    <w:p w14:paraId="11B64346" w14:textId="77777777" w:rsidR="08240A2E" w:rsidRDefault="08240A2E" w:rsidP="08240A2E">
      <w:pPr>
        <w:pStyle w:val="Rejstk2"/>
        <w:tabs>
          <w:tab w:val="right" w:leader="dot" w:pos="4171"/>
        </w:tabs>
        <w:spacing w:line="240" w:lineRule="auto"/>
      </w:pPr>
      <w:r>
        <w:t>dualismus osoby</w:t>
      </w:r>
      <w:r>
        <w:tab/>
        <w:t>462</w:t>
      </w:r>
    </w:p>
    <w:p w14:paraId="183F9924" w14:textId="77777777" w:rsidR="08240A2E" w:rsidRDefault="08240A2E" w:rsidP="08240A2E">
      <w:pPr>
        <w:pStyle w:val="Rejstk2"/>
        <w:tabs>
          <w:tab w:val="right" w:leader="dot" w:pos="4171"/>
        </w:tabs>
        <w:spacing w:line="240" w:lineRule="auto"/>
      </w:pPr>
      <w:r>
        <w:t>duše</w:t>
      </w:r>
      <w:r>
        <w:tab/>
        <w:t>581</w:t>
      </w:r>
    </w:p>
    <w:p w14:paraId="5AE2C335" w14:textId="77777777" w:rsidR="08240A2E" w:rsidRDefault="08240A2E" w:rsidP="08240A2E">
      <w:pPr>
        <w:pStyle w:val="Rejstk2"/>
        <w:tabs>
          <w:tab w:val="right" w:leader="dot" w:pos="4171"/>
        </w:tabs>
        <w:spacing w:line="240" w:lineRule="auto"/>
      </w:pPr>
      <w:r>
        <w:t>esence</w:t>
      </w:r>
      <w:r>
        <w:tab/>
        <w:t xml:space="preserve">446, 581, </w:t>
      </w:r>
      <w:r w:rsidR="08196619">
        <w:t xml:space="preserve">564, </w:t>
      </w:r>
      <w:r>
        <w:t>655</w:t>
      </w:r>
    </w:p>
    <w:p w14:paraId="4867ACE2" w14:textId="77777777" w:rsidR="08240A2E" w:rsidRDefault="08240A2E" w:rsidP="08240A2E">
      <w:pPr>
        <w:pStyle w:val="Rejstk2"/>
        <w:tabs>
          <w:tab w:val="right" w:leader="dot" w:pos="4171"/>
        </w:tabs>
        <w:spacing w:line="240" w:lineRule="auto"/>
      </w:pPr>
      <w:r>
        <w:t>Grosseteste</w:t>
      </w:r>
      <w:r>
        <w:tab/>
        <w:t>355, 365, 367, 371, 411, 444, 633</w:t>
      </w:r>
    </w:p>
    <w:p w14:paraId="4C6031C4" w14:textId="77777777" w:rsidR="08240A2E" w:rsidRDefault="08240A2E" w:rsidP="08240A2E">
      <w:pPr>
        <w:pStyle w:val="Rejstk2"/>
        <w:tabs>
          <w:tab w:val="right" w:leader="dot" w:pos="4171"/>
        </w:tabs>
        <w:spacing w:line="240" w:lineRule="auto"/>
      </w:pPr>
      <w:r>
        <w:t>kauzalita</w:t>
      </w:r>
      <w:r>
        <w:tab/>
        <w:t>511</w:t>
      </w:r>
    </w:p>
    <w:p w14:paraId="216219FA" w14:textId="77777777" w:rsidR="08240A2E" w:rsidRDefault="08240A2E" w:rsidP="08240A2E">
      <w:pPr>
        <w:pStyle w:val="Rejstk2"/>
        <w:tabs>
          <w:tab w:val="right" w:leader="dot" w:pos="4171"/>
        </w:tabs>
        <w:spacing w:line="240" w:lineRule="auto"/>
      </w:pPr>
      <w:r>
        <w:t>Kilwardby</w:t>
      </w:r>
      <w:r>
        <w:tab/>
        <w:t>414</w:t>
      </w:r>
    </w:p>
    <w:p w14:paraId="4B8B4344" w14:textId="77777777" w:rsidR="08240A2E" w:rsidRDefault="08240A2E" w:rsidP="08240A2E">
      <w:pPr>
        <w:pStyle w:val="Rejstk2"/>
        <w:tabs>
          <w:tab w:val="right" w:leader="dot" w:pos="4171"/>
        </w:tabs>
        <w:spacing w:line="240" w:lineRule="auto"/>
      </w:pPr>
      <w:r>
        <w:t>kritika Alberta</w:t>
      </w:r>
      <w:r>
        <w:tab/>
        <w:t>250</w:t>
      </w:r>
    </w:p>
    <w:p w14:paraId="38A0716D" w14:textId="77777777" w:rsidR="08240A2E" w:rsidRDefault="08240A2E" w:rsidP="08240A2E">
      <w:pPr>
        <w:pStyle w:val="Rejstk2"/>
        <w:tabs>
          <w:tab w:val="right" w:leader="dot" w:pos="4171"/>
        </w:tabs>
        <w:spacing w:line="240" w:lineRule="auto"/>
      </w:pPr>
      <w:r>
        <w:t>kritika Bacona</w:t>
      </w:r>
      <w:r>
        <w:tab/>
        <w:t>488, 489, 543</w:t>
      </w:r>
    </w:p>
    <w:p w14:paraId="7E2C47BF" w14:textId="77777777" w:rsidR="08240A2E" w:rsidRDefault="08240A2E" w:rsidP="08240A2E">
      <w:pPr>
        <w:pStyle w:val="Rejstk2"/>
        <w:tabs>
          <w:tab w:val="right" w:leader="dot" w:pos="4171"/>
        </w:tabs>
        <w:spacing w:line="240" w:lineRule="auto"/>
      </w:pPr>
      <w:r>
        <w:t>kritika Ockhama</w:t>
      </w:r>
      <w:r>
        <w:tab/>
        <w:t>434</w:t>
      </w:r>
    </w:p>
    <w:p w14:paraId="03C972D6" w14:textId="77777777" w:rsidR="08240A2E" w:rsidRDefault="08240A2E" w:rsidP="08240A2E">
      <w:pPr>
        <w:pStyle w:val="Rejstk2"/>
        <w:tabs>
          <w:tab w:val="right" w:leader="dot" w:pos="4171"/>
        </w:tabs>
        <w:spacing w:line="240" w:lineRule="auto"/>
      </w:pPr>
      <w:r>
        <w:t>moderna</w:t>
      </w:r>
      <w:r>
        <w:tab/>
        <w:t>653</w:t>
      </w:r>
    </w:p>
    <w:p w14:paraId="62472660" w14:textId="77777777" w:rsidR="08240A2E" w:rsidRDefault="08240A2E" w:rsidP="08240A2E">
      <w:pPr>
        <w:pStyle w:val="Rejstk2"/>
        <w:tabs>
          <w:tab w:val="right" w:leader="dot" w:pos="4171"/>
        </w:tabs>
        <w:spacing w:line="240" w:lineRule="auto"/>
      </w:pPr>
      <w:r>
        <w:t>moderní logika</w:t>
      </w:r>
      <w:r>
        <w:tab/>
        <w:t>423, 430, 433</w:t>
      </w:r>
    </w:p>
    <w:p w14:paraId="5E981846" w14:textId="77777777" w:rsidR="08240A2E" w:rsidRDefault="08240A2E" w:rsidP="08240A2E">
      <w:pPr>
        <w:pStyle w:val="Rejstk2"/>
        <w:tabs>
          <w:tab w:val="right" w:leader="dot" w:pos="4171"/>
        </w:tabs>
        <w:spacing w:line="240" w:lineRule="auto"/>
      </w:pPr>
      <w:r>
        <w:t>moderní věda</w:t>
      </w:r>
      <w:r>
        <w:tab/>
        <w:t>694</w:t>
      </w:r>
    </w:p>
    <w:p w14:paraId="0BE828BF" w14:textId="77777777" w:rsidR="08240A2E" w:rsidRDefault="08240A2E" w:rsidP="08240A2E">
      <w:pPr>
        <w:pStyle w:val="Rejstk2"/>
        <w:tabs>
          <w:tab w:val="right" w:leader="dot" w:pos="4171"/>
        </w:tabs>
        <w:spacing w:line="240" w:lineRule="auto"/>
      </w:pPr>
      <w:r>
        <w:t>nihilismus</w:t>
      </w:r>
      <w:r>
        <w:tab/>
        <w:t>398</w:t>
      </w:r>
    </w:p>
    <w:p w14:paraId="646FEFC4" w14:textId="77777777" w:rsidR="08240A2E" w:rsidRDefault="08240A2E" w:rsidP="08240A2E">
      <w:pPr>
        <w:pStyle w:val="Rejstk2"/>
        <w:tabs>
          <w:tab w:val="right" w:leader="dot" w:pos="4171"/>
        </w:tabs>
        <w:spacing w:line="240" w:lineRule="auto"/>
      </w:pPr>
      <w:r>
        <w:t>ontoteologie</w:t>
      </w:r>
      <w:r>
        <w:tab/>
        <w:t>389, 390, 408</w:t>
      </w:r>
      <w:r w:rsidR="08196619">
        <w:t>, 412</w:t>
      </w:r>
    </w:p>
    <w:p w14:paraId="354E1DE0" w14:textId="77777777" w:rsidR="08240A2E" w:rsidRDefault="08240A2E" w:rsidP="08240A2E">
      <w:pPr>
        <w:pStyle w:val="Rejstk2"/>
        <w:tabs>
          <w:tab w:val="right" w:leader="dot" w:pos="4171"/>
        </w:tabs>
        <w:spacing w:line="240" w:lineRule="auto"/>
      </w:pPr>
      <w:r>
        <w:t>osoba</w:t>
      </w:r>
      <w:r>
        <w:tab/>
        <w:t>496</w:t>
      </w:r>
    </w:p>
    <w:p w14:paraId="10DCF4E4" w14:textId="77777777" w:rsidR="08240A2E" w:rsidRDefault="08240A2E" w:rsidP="08240A2E">
      <w:pPr>
        <w:pStyle w:val="Rejstk2"/>
        <w:tabs>
          <w:tab w:val="right" w:leader="dot" w:pos="4171"/>
        </w:tabs>
        <w:spacing w:line="240" w:lineRule="auto"/>
      </w:pPr>
      <w:r>
        <w:t>postmoderna</w:t>
      </w:r>
      <w:r>
        <w:tab/>
        <w:t>436, 573</w:t>
      </w:r>
    </w:p>
    <w:p w14:paraId="07AB927E" w14:textId="77777777" w:rsidR="08240A2E" w:rsidRDefault="08240A2E" w:rsidP="08240A2E">
      <w:pPr>
        <w:pStyle w:val="Rejstk2"/>
        <w:tabs>
          <w:tab w:val="right" w:leader="dot" w:pos="4171"/>
        </w:tabs>
        <w:spacing w:line="240" w:lineRule="auto"/>
      </w:pPr>
      <w:r>
        <w:t>pravda</w:t>
      </w:r>
      <w:r>
        <w:tab/>
        <w:t>546</w:t>
      </w:r>
    </w:p>
    <w:p w14:paraId="5C1FA012" w14:textId="77777777" w:rsidR="08240A2E" w:rsidRDefault="08240A2E" w:rsidP="08240A2E">
      <w:pPr>
        <w:pStyle w:val="Rejstk2"/>
        <w:tabs>
          <w:tab w:val="right" w:leader="dot" w:pos="4171"/>
        </w:tabs>
        <w:spacing w:line="240" w:lineRule="auto"/>
      </w:pPr>
      <w:r>
        <w:t>působení</w:t>
      </w:r>
      <w:r>
        <w:tab/>
        <w:t>395</w:t>
      </w:r>
    </w:p>
    <w:p w14:paraId="444CCA80" w14:textId="77777777" w:rsidR="08240A2E" w:rsidRDefault="08240A2E" w:rsidP="08240A2E">
      <w:pPr>
        <w:pStyle w:val="Rejstk2"/>
        <w:tabs>
          <w:tab w:val="right" w:leader="dot" w:pos="4171"/>
        </w:tabs>
        <w:spacing w:line="240" w:lineRule="auto"/>
      </w:pPr>
      <w:r>
        <w:t>původ</w:t>
      </w:r>
      <w:r>
        <w:tab/>
        <w:t>65, 86, 257, 293, 316, 649, 672, 697</w:t>
      </w:r>
    </w:p>
    <w:p w14:paraId="510162EC" w14:textId="77777777" w:rsidR="08240A2E" w:rsidRDefault="08240A2E" w:rsidP="08240A2E">
      <w:pPr>
        <w:pStyle w:val="Rejstk2"/>
        <w:tabs>
          <w:tab w:val="right" w:leader="dot" w:pos="4171"/>
        </w:tabs>
        <w:spacing w:line="240" w:lineRule="auto"/>
      </w:pPr>
      <w:r>
        <w:t>Rufus</w:t>
      </w:r>
      <w:r>
        <w:tab/>
        <w:t>497, 502, 504, 507, 520, 526, 615, 658</w:t>
      </w:r>
    </w:p>
    <w:p w14:paraId="3D3CCA15" w14:textId="77777777" w:rsidR="08240A2E" w:rsidRDefault="08240A2E" w:rsidP="08240A2E">
      <w:pPr>
        <w:pStyle w:val="Rejstk2"/>
        <w:tabs>
          <w:tab w:val="right" w:leader="dot" w:pos="4171"/>
        </w:tabs>
        <w:spacing w:line="240" w:lineRule="auto"/>
      </w:pPr>
      <w:r w:rsidRPr="001F5DB8">
        <w:rPr>
          <w:i/>
        </w:rPr>
        <w:t>scientia</w:t>
      </w:r>
      <w:r>
        <w:tab/>
        <w:t>355, 366, 370, 379, 384, 401, 402, 403, 433, 549, 652, 659</w:t>
      </w:r>
    </w:p>
    <w:p w14:paraId="60215301" w14:textId="77777777" w:rsidR="08240A2E" w:rsidRDefault="08240A2E" w:rsidP="08240A2E">
      <w:pPr>
        <w:pStyle w:val="Rejstk2"/>
        <w:tabs>
          <w:tab w:val="right" w:leader="dot" w:pos="4171"/>
        </w:tabs>
        <w:spacing w:line="240" w:lineRule="auto"/>
      </w:pPr>
      <w:r>
        <w:t>substance</w:t>
      </w:r>
      <w:r>
        <w:tab/>
        <w:t>671</w:t>
      </w:r>
    </w:p>
    <w:p w14:paraId="797A4339" w14:textId="77777777" w:rsidR="08240A2E" w:rsidRDefault="08240A2E" w:rsidP="08240A2E">
      <w:pPr>
        <w:pStyle w:val="Rejstk2"/>
        <w:tabs>
          <w:tab w:val="right" w:leader="dot" w:pos="4171"/>
        </w:tabs>
        <w:spacing w:line="240" w:lineRule="auto"/>
      </w:pPr>
      <w:r>
        <w:t>supozice</w:t>
      </w:r>
      <w:r>
        <w:tab/>
        <w:t>378, 381</w:t>
      </w:r>
    </w:p>
    <w:p w14:paraId="6271D731" w14:textId="77777777" w:rsidR="08240A2E" w:rsidRDefault="08240A2E" w:rsidP="08240A2E">
      <w:pPr>
        <w:pStyle w:val="Rejstk1"/>
        <w:tabs>
          <w:tab w:val="right" w:leader="dot" w:pos="4171"/>
        </w:tabs>
        <w:spacing w:line="240" w:lineRule="auto"/>
      </w:pPr>
      <w:r w:rsidRPr="001F5DB8">
        <w:rPr>
          <w:i/>
        </w:rPr>
        <w:t>Oxford‒Paris Split</w:t>
      </w:r>
      <w:r>
        <w:tab/>
        <w:t>39, 367</w:t>
      </w:r>
    </w:p>
    <w:p w14:paraId="44596BCF" w14:textId="77777777" w:rsidR="00FD0E53" w:rsidRDefault="00FD0E53" w:rsidP="08240A2E">
      <w:pPr>
        <w:pStyle w:val="Rejstk1"/>
        <w:tabs>
          <w:tab w:val="right" w:leader="dot" w:pos="4171"/>
        </w:tabs>
        <w:spacing w:line="240" w:lineRule="auto"/>
      </w:pPr>
      <w:r>
        <w:t xml:space="preserve">Ovidius, viz </w:t>
      </w:r>
      <w:r w:rsidRPr="00FD0E53">
        <w:rPr>
          <w:i/>
        </w:rPr>
        <w:t>Index locorum</w:t>
      </w:r>
    </w:p>
    <w:p w14:paraId="0E79DC90" w14:textId="77777777" w:rsidR="00593546" w:rsidRDefault="00593546" w:rsidP="00593546">
      <w:pPr>
        <w:pStyle w:val="Rejstk1"/>
        <w:tabs>
          <w:tab w:val="right" w:leader="dot" w:pos="4171"/>
        </w:tabs>
        <w:spacing w:line="240" w:lineRule="auto"/>
        <w:rPr>
          <w:b/>
        </w:rPr>
      </w:pPr>
    </w:p>
    <w:p w14:paraId="4FD73786" w14:textId="1A7897FF" w:rsidR="00593546" w:rsidRPr="00C8572E" w:rsidRDefault="00593546" w:rsidP="00593546">
      <w:pPr>
        <w:pStyle w:val="Rejstk1"/>
        <w:tabs>
          <w:tab w:val="right" w:leader="dot" w:pos="4171"/>
        </w:tabs>
        <w:spacing w:line="240" w:lineRule="auto"/>
        <w:rPr>
          <w:b/>
        </w:rPr>
      </w:pPr>
      <w:r>
        <w:rPr>
          <w:b/>
        </w:rPr>
        <w:t>P</w:t>
      </w:r>
    </w:p>
    <w:p w14:paraId="3589CB74" w14:textId="77777777" w:rsidR="08240A2E" w:rsidRDefault="08240A2E" w:rsidP="08240A2E">
      <w:pPr>
        <w:pStyle w:val="Rejstk1"/>
        <w:tabs>
          <w:tab w:val="right" w:leader="dot" w:pos="4171"/>
        </w:tabs>
        <w:spacing w:line="240" w:lineRule="auto"/>
      </w:pPr>
      <w:r>
        <w:t>Pagus, John</w:t>
      </w:r>
      <w:r>
        <w:tab/>
        <w:t>216, 335, 353, 404, 405, 406, 410, 413, 644, 649</w:t>
      </w:r>
    </w:p>
    <w:p w14:paraId="024EE029" w14:textId="77777777" w:rsidR="08240A2E" w:rsidRDefault="08240A2E" w:rsidP="08240A2E">
      <w:pPr>
        <w:pStyle w:val="Rejstk1"/>
        <w:tabs>
          <w:tab w:val="right" w:leader="dot" w:pos="4171"/>
        </w:tabs>
        <w:spacing w:line="240" w:lineRule="auto"/>
      </w:pPr>
      <w:r w:rsidRPr="001F5DB8">
        <w:rPr>
          <w:i/>
        </w:rPr>
        <w:t>paideía</w:t>
      </w:r>
      <w:r>
        <w:tab/>
        <w:t>517</w:t>
      </w:r>
    </w:p>
    <w:p w14:paraId="26FA2F28" w14:textId="77777777" w:rsidR="08240A2E" w:rsidRDefault="08240A2E" w:rsidP="08240A2E">
      <w:pPr>
        <w:pStyle w:val="Rejstk1"/>
        <w:tabs>
          <w:tab w:val="right" w:leader="dot" w:pos="4171"/>
        </w:tabs>
        <w:spacing w:line="240" w:lineRule="auto"/>
      </w:pPr>
      <w:r>
        <w:t>panteismus</w:t>
      </w:r>
      <w:r>
        <w:tab/>
        <w:t>149, 583, 588</w:t>
      </w:r>
    </w:p>
    <w:p w14:paraId="66EFD617" w14:textId="77777777" w:rsidR="08240A2E" w:rsidRDefault="08240A2E" w:rsidP="08240A2E">
      <w:pPr>
        <w:pStyle w:val="Rejstk1"/>
        <w:tabs>
          <w:tab w:val="right" w:leader="dot" w:pos="4171"/>
        </w:tabs>
        <w:spacing w:line="240" w:lineRule="auto"/>
      </w:pPr>
      <w:r>
        <w:t>paranoia</w:t>
      </w:r>
      <w:r>
        <w:tab/>
        <w:t>654</w:t>
      </w:r>
    </w:p>
    <w:p w14:paraId="19F528EB" w14:textId="77777777" w:rsidR="08240A2E" w:rsidRDefault="08240A2E" w:rsidP="08240A2E">
      <w:pPr>
        <w:pStyle w:val="Rejstk1"/>
        <w:tabs>
          <w:tab w:val="right" w:leader="dot" w:pos="4171"/>
        </w:tabs>
        <w:spacing w:line="240" w:lineRule="auto"/>
      </w:pPr>
      <w:r>
        <w:t>Parmenides</w:t>
      </w:r>
      <w:r w:rsidR="08196619">
        <w:t xml:space="preserve">, viz </w:t>
      </w:r>
      <w:r w:rsidR="08196619" w:rsidRPr="08196619">
        <w:rPr>
          <w:i/>
        </w:rPr>
        <w:t>Index locorum</w:t>
      </w:r>
    </w:p>
    <w:p w14:paraId="6D2F7CCF" w14:textId="77777777" w:rsidR="08240A2E" w:rsidRDefault="08240A2E" w:rsidP="08240A2E">
      <w:pPr>
        <w:pStyle w:val="Rejstk1"/>
        <w:tabs>
          <w:tab w:val="right" w:leader="dot" w:pos="4171"/>
        </w:tabs>
        <w:spacing w:line="240" w:lineRule="auto"/>
      </w:pPr>
      <w:r>
        <w:t>parousie</w:t>
      </w:r>
      <w:r>
        <w:tab/>
        <w:t>55, 69, 551, 639, 641, 676, 696</w:t>
      </w:r>
    </w:p>
    <w:p w14:paraId="51D40F4E" w14:textId="77777777" w:rsidR="08240A2E" w:rsidRDefault="08240A2E" w:rsidP="08240A2E">
      <w:pPr>
        <w:pStyle w:val="Rejstk1"/>
        <w:tabs>
          <w:tab w:val="right" w:leader="dot" w:pos="4171"/>
        </w:tabs>
        <w:spacing w:line="240" w:lineRule="auto"/>
      </w:pPr>
      <w:r>
        <w:t>Pascal, B.</w:t>
      </w:r>
      <w:r>
        <w:tab/>
        <w:t>64, 453</w:t>
      </w:r>
    </w:p>
    <w:p w14:paraId="4F5BF1C9" w14:textId="77777777" w:rsidR="08240A2E" w:rsidRDefault="08240A2E" w:rsidP="08240A2E">
      <w:pPr>
        <w:pStyle w:val="Rejstk1"/>
        <w:tabs>
          <w:tab w:val="right" w:leader="dot" w:pos="4171"/>
        </w:tabs>
        <w:spacing w:line="240" w:lineRule="auto"/>
      </w:pPr>
      <w:r w:rsidRPr="001F5DB8">
        <w:rPr>
          <w:i/>
        </w:rPr>
        <w:t>passio entis</w:t>
      </w:r>
      <w:r>
        <w:tab/>
        <w:t>227</w:t>
      </w:r>
    </w:p>
    <w:p w14:paraId="15578CAE" w14:textId="77777777" w:rsidR="08240A2E" w:rsidRDefault="08240A2E" w:rsidP="08240A2E">
      <w:pPr>
        <w:pStyle w:val="Rejstk1"/>
        <w:tabs>
          <w:tab w:val="right" w:leader="dot" w:pos="4171"/>
        </w:tabs>
        <w:spacing w:line="240" w:lineRule="auto"/>
      </w:pPr>
      <w:r w:rsidRPr="001F5DB8">
        <w:rPr>
          <w:i/>
        </w:rPr>
        <w:t>perspicuum</w:t>
      </w:r>
      <w:r>
        <w:tab/>
        <w:t>125</w:t>
      </w:r>
    </w:p>
    <w:p w14:paraId="5ABCAED3" w14:textId="77777777" w:rsidR="08240A2E" w:rsidRDefault="08240A2E" w:rsidP="08240A2E">
      <w:pPr>
        <w:pStyle w:val="Rejstk1"/>
        <w:tabs>
          <w:tab w:val="right" w:leader="dot" w:pos="4171"/>
        </w:tabs>
        <w:spacing w:line="240" w:lineRule="auto"/>
      </w:pPr>
      <w:r>
        <w:t>Petr z Vídně</w:t>
      </w:r>
      <w:r>
        <w:tab/>
        <w:t>200</w:t>
      </w:r>
    </w:p>
    <w:p w14:paraId="138BB6A9" w14:textId="77777777" w:rsidR="08240A2E" w:rsidRDefault="08240A2E" w:rsidP="08240A2E">
      <w:pPr>
        <w:pStyle w:val="Rejstk1"/>
        <w:tabs>
          <w:tab w:val="right" w:leader="dot" w:pos="4171"/>
        </w:tabs>
        <w:spacing w:line="240" w:lineRule="auto"/>
      </w:pPr>
      <w:r>
        <w:t>Petrus Capuanus Maior</w:t>
      </w:r>
      <w:r>
        <w:tab/>
        <w:t>200</w:t>
      </w:r>
    </w:p>
    <w:p w14:paraId="71EB3B59" w14:textId="77777777" w:rsidR="08240A2E" w:rsidRDefault="08240A2E" w:rsidP="08240A2E">
      <w:pPr>
        <w:pStyle w:val="Rejstk1"/>
        <w:tabs>
          <w:tab w:val="right" w:leader="dot" w:pos="4171"/>
        </w:tabs>
        <w:spacing w:line="240" w:lineRule="auto"/>
      </w:pPr>
      <w:r>
        <w:t>Petrus Capuanus Minor</w:t>
      </w:r>
      <w:r>
        <w:tab/>
        <w:t>200</w:t>
      </w:r>
    </w:p>
    <w:p w14:paraId="6850A9E2" w14:textId="77777777" w:rsidR="08240A2E" w:rsidRDefault="08240A2E" w:rsidP="08196619">
      <w:pPr>
        <w:pStyle w:val="Rejstk1"/>
        <w:tabs>
          <w:tab w:val="right" w:leader="dot" w:pos="4171"/>
        </w:tabs>
        <w:spacing w:line="240" w:lineRule="auto"/>
      </w:pPr>
      <w:r>
        <w:t>Petrus Venerabilis</w:t>
      </w:r>
      <w:r w:rsidR="08196619">
        <w:t xml:space="preserve">, viz </w:t>
      </w:r>
      <w:r w:rsidR="08196619" w:rsidRPr="08196619">
        <w:rPr>
          <w:i/>
        </w:rPr>
        <w:t>Index locorum</w:t>
      </w:r>
    </w:p>
    <w:p w14:paraId="79923A4F" w14:textId="77777777" w:rsidR="08240A2E" w:rsidRDefault="08240A2E" w:rsidP="08240A2E">
      <w:pPr>
        <w:pStyle w:val="Rejstk1"/>
        <w:tabs>
          <w:tab w:val="right" w:leader="dot" w:pos="4171"/>
        </w:tabs>
        <w:spacing w:line="240" w:lineRule="auto"/>
      </w:pPr>
      <w:r>
        <w:t>Platon</w:t>
      </w:r>
      <w:r w:rsidR="08196619">
        <w:t xml:space="preserve">, viz </w:t>
      </w:r>
      <w:r w:rsidR="08196619" w:rsidRPr="08196619">
        <w:rPr>
          <w:i/>
        </w:rPr>
        <w:t>Index locorum</w:t>
      </w:r>
    </w:p>
    <w:p w14:paraId="79D3E886" w14:textId="77777777" w:rsidR="08240A2E" w:rsidRDefault="08240A2E" w:rsidP="08240A2E">
      <w:pPr>
        <w:pStyle w:val="Rejstk1"/>
        <w:tabs>
          <w:tab w:val="right" w:leader="dot" w:pos="4171"/>
        </w:tabs>
        <w:spacing w:line="240" w:lineRule="auto"/>
      </w:pPr>
      <w:r>
        <w:t>Popper, K. R.</w:t>
      </w:r>
      <w:r>
        <w:tab/>
        <w:t>573</w:t>
      </w:r>
    </w:p>
    <w:p w14:paraId="518C5863" w14:textId="77777777" w:rsidR="08240A2E" w:rsidRDefault="08240A2E" w:rsidP="08240A2E">
      <w:pPr>
        <w:pStyle w:val="Rejstk1"/>
        <w:tabs>
          <w:tab w:val="right" w:leader="dot" w:pos="4171"/>
        </w:tabs>
        <w:spacing w:line="240" w:lineRule="auto"/>
      </w:pPr>
      <w:r>
        <w:t>Porfyrius</w:t>
      </w:r>
      <w:r w:rsidR="08196619">
        <w:t xml:space="preserve">, viz </w:t>
      </w:r>
      <w:r w:rsidR="08196619" w:rsidRPr="08196619">
        <w:rPr>
          <w:i/>
        </w:rPr>
        <w:t>Index locorum</w:t>
      </w:r>
    </w:p>
    <w:p w14:paraId="1027A39C" w14:textId="77777777" w:rsidR="08240A2E" w:rsidRDefault="08240A2E" w:rsidP="08240A2E">
      <w:pPr>
        <w:pStyle w:val="Rejstk1"/>
        <w:tabs>
          <w:tab w:val="right" w:leader="dot" w:pos="4171"/>
        </w:tabs>
        <w:spacing w:line="240" w:lineRule="auto"/>
      </w:pPr>
      <w:r w:rsidRPr="001F5DB8">
        <w:rPr>
          <w:i/>
        </w:rPr>
        <w:t>positum</w:t>
      </w:r>
      <w:r>
        <w:tab/>
        <w:t>696</w:t>
      </w:r>
    </w:p>
    <w:p w14:paraId="5BBC62C0" w14:textId="77777777" w:rsidR="08240A2E" w:rsidRDefault="08240A2E" w:rsidP="08240A2E">
      <w:pPr>
        <w:pStyle w:val="Rejstk1"/>
        <w:tabs>
          <w:tab w:val="right" w:leader="dot" w:pos="4171"/>
        </w:tabs>
        <w:spacing w:line="240" w:lineRule="auto"/>
      </w:pPr>
      <w:r w:rsidRPr="001F5DB8">
        <w:rPr>
          <w:i/>
        </w:rPr>
        <w:t>post-truth</w:t>
      </w:r>
      <w:r>
        <w:tab/>
        <w:t xml:space="preserve">4, </w:t>
      </w:r>
      <w:r w:rsidR="08196619">
        <w:t xml:space="preserve">399, </w:t>
      </w:r>
      <w:r>
        <w:t>431</w:t>
      </w:r>
      <w:r w:rsidR="08196619">
        <w:t>, 645</w:t>
      </w:r>
    </w:p>
    <w:p w14:paraId="652539BD" w14:textId="77777777" w:rsidR="08240A2E" w:rsidRDefault="08240A2E" w:rsidP="08240A2E">
      <w:pPr>
        <w:pStyle w:val="Rejstk1"/>
        <w:tabs>
          <w:tab w:val="right" w:leader="dot" w:pos="4171"/>
        </w:tabs>
        <w:spacing w:line="240" w:lineRule="auto"/>
      </w:pPr>
      <w:r w:rsidRPr="001F5DB8">
        <w:rPr>
          <w:i/>
        </w:rPr>
        <w:t>potentia</w:t>
      </w:r>
      <w:r>
        <w:t xml:space="preserve"> </w:t>
      </w:r>
      <w:r w:rsidRPr="001F5DB8">
        <w:rPr>
          <w:i/>
        </w:rPr>
        <w:t>accidentalis</w:t>
      </w:r>
      <w:r>
        <w:tab/>
        <w:t>445, 500, 503, 547, 568, 632, 698</w:t>
      </w:r>
    </w:p>
    <w:p w14:paraId="6024E744" w14:textId="77777777" w:rsidR="08240A2E" w:rsidRDefault="08240A2E" w:rsidP="08240A2E">
      <w:pPr>
        <w:pStyle w:val="Rejstk1"/>
        <w:tabs>
          <w:tab w:val="right" w:leader="dot" w:pos="4171"/>
        </w:tabs>
        <w:spacing w:line="240" w:lineRule="auto"/>
      </w:pPr>
      <w:r w:rsidRPr="001F5DB8">
        <w:rPr>
          <w:i/>
        </w:rPr>
        <w:t>potentia substantialis</w:t>
      </w:r>
      <w:r>
        <w:tab/>
        <w:t>442, 445, 500, 548, 568, 569, 588, 598, 621, 632, 664, 698</w:t>
      </w:r>
    </w:p>
    <w:p w14:paraId="02C91338" w14:textId="77777777" w:rsidR="08240A2E" w:rsidRDefault="08240A2E" w:rsidP="08240A2E">
      <w:pPr>
        <w:pStyle w:val="Rejstk1"/>
        <w:tabs>
          <w:tab w:val="right" w:leader="dot" w:pos="4171"/>
        </w:tabs>
        <w:spacing w:line="240" w:lineRule="auto"/>
      </w:pPr>
      <w:r>
        <w:t xml:space="preserve">poznání </w:t>
      </w:r>
      <w:r w:rsidRPr="001F5DB8">
        <w:rPr>
          <w:i/>
          <w:lang w:eastAsia="en-US"/>
        </w:rPr>
        <w:t>quoad nos</w:t>
      </w:r>
      <w:r>
        <w:tab/>
        <w:t>245, 265</w:t>
      </w:r>
    </w:p>
    <w:p w14:paraId="76F2F3F4" w14:textId="77777777" w:rsidR="08240A2E" w:rsidRDefault="08240A2E" w:rsidP="08240A2E">
      <w:pPr>
        <w:pStyle w:val="Rejstk1"/>
        <w:tabs>
          <w:tab w:val="right" w:leader="dot" w:pos="4171"/>
        </w:tabs>
        <w:spacing w:line="240" w:lineRule="auto"/>
      </w:pPr>
      <w:r>
        <w:t>pravda</w:t>
      </w:r>
    </w:p>
    <w:p w14:paraId="6185C2B7" w14:textId="77777777" w:rsidR="08240A2E" w:rsidRDefault="08240A2E" w:rsidP="08240A2E">
      <w:pPr>
        <w:pStyle w:val="Rejstk2"/>
        <w:tabs>
          <w:tab w:val="right" w:leader="dot" w:pos="4171"/>
        </w:tabs>
        <w:spacing w:line="240" w:lineRule="auto"/>
      </w:pPr>
      <w:r w:rsidRPr="001F5DB8">
        <w:rPr>
          <w:i/>
        </w:rPr>
        <w:t>aequalitas</w:t>
      </w:r>
      <w:r>
        <w:tab/>
        <w:t>549, 551</w:t>
      </w:r>
    </w:p>
    <w:p w14:paraId="638BC69D" w14:textId="77777777" w:rsidR="08240A2E" w:rsidRDefault="08240A2E" w:rsidP="08240A2E">
      <w:pPr>
        <w:pStyle w:val="Rejstk2"/>
        <w:tabs>
          <w:tab w:val="right" w:leader="dot" w:pos="4171"/>
        </w:tabs>
        <w:spacing w:line="240" w:lineRule="auto"/>
      </w:pPr>
      <w:r w:rsidRPr="001F5DB8">
        <w:rPr>
          <w:i/>
        </w:rPr>
        <w:t>aequatio</w:t>
      </w:r>
      <w:r>
        <w:tab/>
        <w:t>570</w:t>
      </w:r>
    </w:p>
    <w:p w14:paraId="044F509A" w14:textId="77777777" w:rsidR="08240A2E" w:rsidRDefault="08240A2E" w:rsidP="08240A2E">
      <w:pPr>
        <w:pStyle w:val="Rejstk2"/>
        <w:tabs>
          <w:tab w:val="right" w:leader="dot" w:pos="4171"/>
        </w:tabs>
        <w:spacing w:line="240" w:lineRule="auto"/>
      </w:pPr>
      <w:r>
        <w:t>asimilace</w:t>
      </w:r>
      <w:r>
        <w:tab/>
        <w:t>519, 597</w:t>
      </w:r>
    </w:p>
    <w:p w14:paraId="71D3D612" w14:textId="77777777" w:rsidR="08240A2E" w:rsidRDefault="08240A2E" w:rsidP="08240A2E">
      <w:pPr>
        <w:pStyle w:val="Rejstk2"/>
        <w:tabs>
          <w:tab w:val="right" w:leader="dot" w:pos="4171"/>
        </w:tabs>
        <w:spacing w:line="240" w:lineRule="auto"/>
      </w:pPr>
      <w:r w:rsidRPr="001F5DB8">
        <w:rPr>
          <w:i/>
        </w:rPr>
        <w:t>Bildung</w:t>
      </w:r>
      <w:r>
        <w:tab/>
        <w:t>154</w:t>
      </w:r>
    </w:p>
    <w:p w14:paraId="66C85E3B" w14:textId="77777777" w:rsidR="08240A2E" w:rsidRDefault="08240A2E" w:rsidP="08240A2E">
      <w:pPr>
        <w:pStyle w:val="Rejstk2"/>
        <w:tabs>
          <w:tab w:val="right" w:leader="dot" w:pos="4171"/>
        </w:tabs>
        <w:spacing w:line="240" w:lineRule="auto"/>
      </w:pPr>
      <w:r w:rsidRPr="001F5DB8">
        <w:rPr>
          <w:i/>
        </w:rPr>
        <w:t>certitudo</w:t>
      </w:r>
      <w:r>
        <w:tab/>
        <w:t>175, 252, 281, 301, 402, 424, 525, 546, 652, 667</w:t>
      </w:r>
    </w:p>
    <w:p w14:paraId="2FD3FAA4" w14:textId="77777777" w:rsidR="08240A2E" w:rsidRDefault="08240A2E" w:rsidP="08240A2E">
      <w:pPr>
        <w:pStyle w:val="Rejstk2"/>
        <w:tabs>
          <w:tab w:val="right" w:leader="dot" w:pos="4171"/>
        </w:tabs>
        <w:spacing w:line="240" w:lineRule="auto"/>
      </w:pPr>
      <w:r w:rsidRPr="001F5DB8">
        <w:rPr>
          <w:i/>
        </w:rPr>
        <w:t>coaequatio</w:t>
      </w:r>
      <w:r>
        <w:tab/>
        <w:t>445, 553, 554, 558, 559, 560, 561, 564, 565, 567, 569, 570, 590, 594, 617, 622, 654, 660, 694, 701</w:t>
      </w:r>
    </w:p>
    <w:p w14:paraId="72432D0F" w14:textId="77777777" w:rsidR="08240A2E" w:rsidRDefault="08240A2E" w:rsidP="08240A2E">
      <w:pPr>
        <w:pStyle w:val="Rejstk2"/>
        <w:tabs>
          <w:tab w:val="right" w:leader="dot" w:pos="4171"/>
        </w:tabs>
        <w:spacing w:line="240" w:lineRule="auto"/>
      </w:pPr>
      <w:r w:rsidRPr="001F5DB8">
        <w:rPr>
          <w:i/>
        </w:rPr>
        <w:t>consimilitudo</w:t>
      </w:r>
      <w:r>
        <w:tab/>
        <w:t>128, 339, 545, 635</w:t>
      </w:r>
    </w:p>
    <w:p w14:paraId="16247D3B" w14:textId="77777777" w:rsidR="08240A2E" w:rsidRDefault="08240A2E" w:rsidP="08240A2E">
      <w:pPr>
        <w:pStyle w:val="Rejstk2"/>
        <w:tabs>
          <w:tab w:val="right" w:leader="dot" w:pos="4171"/>
        </w:tabs>
        <w:spacing w:line="240" w:lineRule="auto"/>
      </w:pPr>
      <w:r>
        <w:t>deontologie</w:t>
      </w:r>
      <w:r>
        <w:tab/>
        <w:t>28, 415, 416, 425</w:t>
      </w:r>
    </w:p>
    <w:p w14:paraId="10E4FFC0" w14:textId="77777777" w:rsidR="08240A2E" w:rsidRDefault="08240A2E" w:rsidP="08240A2E">
      <w:pPr>
        <w:pStyle w:val="Rejstk2"/>
        <w:tabs>
          <w:tab w:val="right" w:leader="dot" w:pos="4171"/>
        </w:tabs>
        <w:spacing w:line="240" w:lineRule="auto"/>
      </w:pPr>
      <w:r>
        <w:t>Grosseteste</w:t>
      </w:r>
      <w:r>
        <w:tab/>
        <w:t>417</w:t>
      </w:r>
    </w:p>
    <w:p w14:paraId="3C342EE2" w14:textId="77777777" w:rsidR="08240A2E" w:rsidRDefault="08240A2E" w:rsidP="08240A2E">
      <w:pPr>
        <w:pStyle w:val="Rejstk2"/>
        <w:tabs>
          <w:tab w:val="right" w:leader="dot" w:pos="4171"/>
        </w:tabs>
        <w:spacing w:line="240" w:lineRule="auto"/>
      </w:pPr>
      <w:r>
        <w:t>objektivní</w:t>
      </w:r>
      <w:r>
        <w:tab/>
        <w:t>633</w:t>
      </w:r>
    </w:p>
    <w:p w14:paraId="38F76E8A" w14:textId="77777777" w:rsidR="08240A2E" w:rsidRDefault="08240A2E" w:rsidP="08240A2E">
      <w:pPr>
        <w:pStyle w:val="Rejstk2"/>
        <w:tabs>
          <w:tab w:val="right" w:leader="dot" w:pos="4171"/>
        </w:tabs>
        <w:spacing w:line="240" w:lineRule="auto"/>
      </w:pPr>
      <w:r>
        <w:t>po-odkrytost</w:t>
      </w:r>
      <w:r>
        <w:tab/>
        <w:t>107, 194, 250</w:t>
      </w:r>
    </w:p>
    <w:p w14:paraId="07588731" w14:textId="77777777" w:rsidR="08240A2E" w:rsidRDefault="08240A2E" w:rsidP="08240A2E">
      <w:pPr>
        <w:pStyle w:val="Rejstk2"/>
        <w:tabs>
          <w:tab w:val="right" w:leader="dot" w:pos="4171"/>
        </w:tabs>
        <w:spacing w:line="240" w:lineRule="auto"/>
      </w:pPr>
      <w:r>
        <w:t>postmoderna</w:t>
      </w:r>
      <w:r>
        <w:tab/>
        <w:t>419</w:t>
      </w:r>
    </w:p>
    <w:p w14:paraId="6A471B38" w14:textId="77777777" w:rsidR="08240A2E" w:rsidRDefault="08240A2E" w:rsidP="08240A2E">
      <w:pPr>
        <w:pStyle w:val="Rejstk2"/>
        <w:tabs>
          <w:tab w:val="right" w:leader="dot" w:pos="4171"/>
        </w:tabs>
        <w:spacing w:line="240" w:lineRule="auto"/>
      </w:pPr>
      <w:r w:rsidRPr="001F5DB8">
        <w:rPr>
          <w:i/>
        </w:rPr>
        <w:t>proportio</w:t>
      </w:r>
      <w:r>
        <w:tab/>
        <w:t>33, 42, 92, 113, 136, 164, 184, 211, 283, 297, 505, 594, 670</w:t>
      </w:r>
    </w:p>
    <w:p w14:paraId="44EC2AEE" w14:textId="77777777" w:rsidR="08240A2E" w:rsidRDefault="08240A2E" w:rsidP="08240A2E">
      <w:pPr>
        <w:pStyle w:val="Rejstk2"/>
        <w:tabs>
          <w:tab w:val="right" w:leader="dot" w:pos="4171"/>
        </w:tabs>
        <w:spacing w:line="240" w:lineRule="auto"/>
      </w:pPr>
      <w:r w:rsidRPr="001F5DB8">
        <w:rPr>
          <w:i/>
        </w:rPr>
        <w:t>rectitudo</w:t>
      </w:r>
      <w:r>
        <w:tab/>
        <w:t>22, 28, 76, 89, 93, 281, 301, 328, 415, 419, 450</w:t>
      </w:r>
    </w:p>
    <w:p w14:paraId="3337C268" w14:textId="77777777" w:rsidR="08240A2E" w:rsidRDefault="08240A2E" w:rsidP="08240A2E">
      <w:pPr>
        <w:pStyle w:val="Rejstk2"/>
        <w:tabs>
          <w:tab w:val="right" w:leader="dot" w:pos="4171"/>
        </w:tabs>
        <w:spacing w:line="240" w:lineRule="auto"/>
      </w:pPr>
      <w:r w:rsidRPr="001F5DB8">
        <w:rPr>
          <w:i/>
        </w:rPr>
        <w:t>semel‒semper</w:t>
      </w:r>
      <w:r>
        <w:tab/>
        <w:t>200, 201, 415, 418, 424, 431, 442, 652, 675</w:t>
      </w:r>
    </w:p>
    <w:p w14:paraId="7D29D05E" w14:textId="77777777" w:rsidR="08240A2E" w:rsidRDefault="08240A2E" w:rsidP="08240A2E">
      <w:pPr>
        <w:pStyle w:val="Rejstk2"/>
        <w:tabs>
          <w:tab w:val="right" w:leader="dot" w:pos="4171"/>
        </w:tabs>
        <w:spacing w:line="240" w:lineRule="auto"/>
      </w:pPr>
      <w:r w:rsidRPr="001F5DB8">
        <w:rPr>
          <w:i/>
        </w:rPr>
        <w:t>similitudo</w:t>
      </w:r>
      <w:r>
        <w:tab/>
        <w:t>128</w:t>
      </w:r>
    </w:p>
    <w:p w14:paraId="482B9604" w14:textId="77777777" w:rsidR="08240A2E" w:rsidRDefault="08240A2E" w:rsidP="08240A2E">
      <w:pPr>
        <w:pStyle w:val="Rejstk2"/>
        <w:tabs>
          <w:tab w:val="right" w:leader="dot" w:pos="4171"/>
        </w:tabs>
        <w:spacing w:line="240" w:lineRule="auto"/>
      </w:pPr>
      <w:r w:rsidRPr="001F5DB8">
        <w:rPr>
          <w:i/>
        </w:rPr>
        <w:t>veritas</w:t>
      </w:r>
      <w:r>
        <w:tab/>
        <w:t>1, 23, 75, 291, 385, 425, 541, 551, 656</w:t>
      </w:r>
    </w:p>
    <w:p w14:paraId="4B26F8A2" w14:textId="77777777" w:rsidR="08240A2E" w:rsidRDefault="08240A2E" w:rsidP="08240A2E">
      <w:pPr>
        <w:pStyle w:val="Rejstk2"/>
        <w:tabs>
          <w:tab w:val="right" w:leader="dot" w:pos="4171"/>
        </w:tabs>
        <w:spacing w:line="240" w:lineRule="auto"/>
      </w:pPr>
      <w:r w:rsidRPr="001F5DB8">
        <w:rPr>
          <w:i/>
        </w:rPr>
        <w:t>veritas</w:t>
      </w:r>
      <w:r>
        <w:t xml:space="preserve"> </w:t>
      </w:r>
      <w:r w:rsidRPr="001F5DB8">
        <w:rPr>
          <w:i/>
        </w:rPr>
        <w:t>incompleta</w:t>
      </w:r>
      <w:r>
        <w:tab/>
        <w:t>429, 431, 433, 434</w:t>
      </w:r>
    </w:p>
    <w:p w14:paraId="311D4F3F" w14:textId="77777777" w:rsidR="08240A2E" w:rsidRDefault="08240A2E" w:rsidP="08240A2E">
      <w:pPr>
        <w:pStyle w:val="Rejstk1"/>
        <w:tabs>
          <w:tab w:val="right" w:leader="dot" w:pos="4171"/>
        </w:tabs>
        <w:spacing w:line="240" w:lineRule="auto"/>
      </w:pPr>
      <w:r>
        <w:t>predikace</w:t>
      </w:r>
    </w:p>
    <w:p w14:paraId="4C75E90C" w14:textId="77777777" w:rsidR="08240A2E" w:rsidRDefault="08240A2E" w:rsidP="08240A2E">
      <w:pPr>
        <w:pStyle w:val="Rejstk2"/>
        <w:tabs>
          <w:tab w:val="right" w:leader="dot" w:pos="4171"/>
        </w:tabs>
        <w:spacing w:line="240" w:lineRule="auto"/>
      </w:pPr>
      <w:r>
        <w:t>Al-Fárábí</w:t>
      </w:r>
      <w:r>
        <w:tab/>
        <w:t>259</w:t>
      </w:r>
    </w:p>
    <w:p w14:paraId="627A3DEF" w14:textId="77777777" w:rsidR="08240A2E" w:rsidRDefault="08240A2E" w:rsidP="08240A2E">
      <w:pPr>
        <w:pStyle w:val="Rejstk2"/>
        <w:tabs>
          <w:tab w:val="right" w:leader="dot" w:pos="4171"/>
        </w:tabs>
        <w:spacing w:line="240" w:lineRule="auto"/>
      </w:pPr>
      <w:r>
        <w:t>amfibolní</w:t>
      </w:r>
      <w:r>
        <w:tab/>
        <w:t>14, 52, 61, 107, 226, 301</w:t>
      </w:r>
      <w:r w:rsidR="08BD1DF7">
        <w:t>, 412</w:t>
      </w:r>
    </w:p>
    <w:p w14:paraId="06A6EC18" w14:textId="77777777" w:rsidR="08240A2E" w:rsidRDefault="08240A2E" w:rsidP="08240A2E">
      <w:pPr>
        <w:pStyle w:val="Rejstk2"/>
        <w:tabs>
          <w:tab w:val="right" w:leader="dot" w:pos="4171"/>
        </w:tabs>
        <w:spacing w:line="240" w:lineRule="auto"/>
      </w:pPr>
      <w:r>
        <w:t>analogická</w:t>
      </w:r>
      <w:r>
        <w:tab/>
        <w:t>405, 407, 416, 418, 458, 532, 557</w:t>
      </w:r>
    </w:p>
    <w:p w14:paraId="4CBC0845" w14:textId="77777777" w:rsidR="08240A2E" w:rsidRDefault="08240A2E" w:rsidP="08240A2E">
      <w:pPr>
        <w:pStyle w:val="Rejstk2"/>
        <w:tabs>
          <w:tab w:val="right" w:leader="dot" w:pos="4171"/>
        </w:tabs>
        <w:spacing w:line="240" w:lineRule="auto"/>
      </w:pPr>
      <w:r>
        <w:t>apozice</w:t>
      </w:r>
      <w:r>
        <w:tab/>
        <w:t>85</w:t>
      </w:r>
    </w:p>
    <w:p w14:paraId="649617B4" w14:textId="77777777" w:rsidR="08240A2E" w:rsidRDefault="08240A2E" w:rsidP="08240A2E">
      <w:pPr>
        <w:pStyle w:val="Rejstk2"/>
        <w:tabs>
          <w:tab w:val="right" w:leader="dot" w:pos="4171"/>
        </w:tabs>
        <w:spacing w:line="240" w:lineRule="auto"/>
      </w:pPr>
      <w:r>
        <w:t>běloba</w:t>
      </w:r>
      <w:r>
        <w:tab/>
        <w:t>53, 62, 84, 217, 219, 221, 261, 627</w:t>
      </w:r>
    </w:p>
    <w:p w14:paraId="6D185005" w14:textId="77777777" w:rsidR="08240A2E" w:rsidRDefault="08240A2E" w:rsidP="08240A2E">
      <w:pPr>
        <w:pStyle w:val="Rejstk2"/>
        <w:tabs>
          <w:tab w:val="right" w:leader="dot" w:pos="4171"/>
        </w:tabs>
        <w:spacing w:line="240" w:lineRule="auto"/>
      </w:pPr>
      <w:r w:rsidRPr="001F5DB8">
        <w:rPr>
          <w:i/>
        </w:rPr>
        <w:t>concretive</w:t>
      </w:r>
      <w:r>
        <w:tab/>
        <w:t>560</w:t>
      </w:r>
    </w:p>
    <w:p w14:paraId="58C2C4C7" w14:textId="77777777" w:rsidR="08240A2E" w:rsidRDefault="08240A2E" w:rsidP="08240A2E">
      <w:pPr>
        <w:pStyle w:val="Rejstk2"/>
        <w:tabs>
          <w:tab w:val="right" w:leader="dot" w:pos="4171"/>
        </w:tabs>
        <w:spacing w:line="240" w:lineRule="auto"/>
      </w:pPr>
      <w:r>
        <w:t>Grosseteste</w:t>
      </w:r>
      <w:r>
        <w:tab/>
        <w:t>426</w:t>
      </w:r>
    </w:p>
    <w:p w14:paraId="4303F4F6" w14:textId="77777777" w:rsidR="08240A2E" w:rsidRDefault="08240A2E" w:rsidP="08240A2E">
      <w:pPr>
        <w:pStyle w:val="Rejstk2"/>
        <w:tabs>
          <w:tab w:val="right" w:leader="dot" w:pos="4171"/>
        </w:tabs>
        <w:spacing w:line="240" w:lineRule="auto"/>
      </w:pPr>
      <w:r>
        <w:t>hyparchická</w:t>
      </w:r>
      <w:r>
        <w:tab/>
        <w:t>35, 139, 159, 348, 358, 381, 391, 397, 421, 430, 504, 516, 524</w:t>
      </w:r>
    </w:p>
    <w:p w14:paraId="09D96613" w14:textId="77777777" w:rsidR="08240A2E" w:rsidRDefault="08240A2E" w:rsidP="08240A2E">
      <w:pPr>
        <w:pStyle w:val="Rejstk2"/>
        <w:tabs>
          <w:tab w:val="right" w:leader="dot" w:pos="4171"/>
        </w:tabs>
        <w:spacing w:line="240" w:lineRule="auto"/>
      </w:pPr>
      <w:r w:rsidRPr="001F5DB8">
        <w:rPr>
          <w:i/>
          <w:color w:val="000000"/>
        </w:rPr>
        <w:t>in artificialibus</w:t>
      </w:r>
      <w:r>
        <w:tab/>
        <w:t>55, 81, 305, 312, 313, 376, 394, 406, 407, 468, 536, 553</w:t>
      </w:r>
      <w:r w:rsidR="08E62EDF">
        <w:t>, 652</w:t>
      </w:r>
    </w:p>
    <w:p w14:paraId="742D9F2C" w14:textId="77777777" w:rsidR="08240A2E" w:rsidRDefault="08240A2E" w:rsidP="08240A2E">
      <w:pPr>
        <w:pStyle w:val="Rejstk2"/>
        <w:tabs>
          <w:tab w:val="right" w:leader="dot" w:pos="4171"/>
        </w:tabs>
        <w:spacing w:line="240" w:lineRule="auto"/>
      </w:pPr>
      <w:r>
        <w:t>kategoriální</w:t>
      </w:r>
      <w:r>
        <w:tab/>
        <w:t>45, 408, 458, 505</w:t>
      </w:r>
    </w:p>
    <w:p w14:paraId="154044A3" w14:textId="77777777" w:rsidR="08240A2E" w:rsidRDefault="08240A2E" w:rsidP="08240A2E">
      <w:pPr>
        <w:pStyle w:val="Rejstk2"/>
        <w:tabs>
          <w:tab w:val="right" w:leader="dot" w:pos="4171"/>
        </w:tabs>
        <w:spacing w:line="240" w:lineRule="auto"/>
      </w:pPr>
      <w:r>
        <w:t>konkrétní</w:t>
      </w:r>
      <w:r>
        <w:tab/>
        <w:t>280, 561, 574, 626, 633</w:t>
      </w:r>
    </w:p>
    <w:p w14:paraId="5D95D92F" w14:textId="77777777" w:rsidR="08240A2E" w:rsidRDefault="08240A2E" w:rsidP="08240A2E">
      <w:pPr>
        <w:pStyle w:val="Rejstk2"/>
        <w:tabs>
          <w:tab w:val="right" w:leader="dot" w:pos="4171"/>
        </w:tabs>
        <w:spacing w:line="240" w:lineRule="auto"/>
      </w:pPr>
      <w:r w:rsidRPr="001F5DB8">
        <w:rPr>
          <w:i/>
        </w:rPr>
        <w:t>magis</w:t>
      </w:r>
      <w:r>
        <w:t>/</w:t>
      </w:r>
      <w:r w:rsidRPr="001F5DB8">
        <w:rPr>
          <w:i/>
        </w:rPr>
        <w:t>minus</w:t>
      </w:r>
      <w:r>
        <w:tab/>
        <w:t>62, 77</w:t>
      </w:r>
    </w:p>
    <w:p w14:paraId="58B9D436" w14:textId="77777777" w:rsidR="08240A2E" w:rsidRDefault="08240A2E" w:rsidP="08240A2E">
      <w:pPr>
        <w:pStyle w:val="Rejstk2"/>
        <w:tabs>
          <w:tab w:val="right" w:leader="dot" w:pos="4171"/>
        </w:tabs>
        <w:spacing w:line="240" w:lineRule="auto"/>
      </w:pPr>
      <w:r w:rsidRPr="001F5DB8">
        <w:rPr>
          <w:i/>
        </w:rPr>
        <w:t>medio modo</w:t>
      </w:r>
      <w:r>
        <w:tab/>
        <w:t>532, 534, 566</w:t>
      </w:r>
    </w:p>
    <w:p w14:paraId="6C0F0A49" w14:textId="77777777" w:rsidR="08240A2E" w:rsidRDefault="08240A2E" w:rsidP="08240A2E">
      <w:pPr>
        <w:pStyle w:val="Rejstk2"/>
        <w:tabs>
          <w:tab w:val="right" w:leader="dot" w:pos="4171"/>
        </w:tabs>
        <w:spacing w:line="240" w:lineRule="auto"/>
      </w:pPr>
      <w:r w:rsidRPr="001F5DB8">
        <w:rPr>
          <w:i/>
        </w:rPr>
        <w:t>modo geometrico</w:t>
      </w:r>
      <w:r>
        <w:tab/>
        <w:t>463, 635</w:t>
      </w:r>
    </w:p>
    <w:p w14:paraId="180A773A" w14:textId="77777777" w:rsidR="08240A2E" w:rsidRDefault="08240A2E" w:rsidP="08240A2E">
      <w:pPr>
        <w:pStyle w:val="Rejstk2"/>
        <w:tabs>
          <w:tab w:val="right" w:leader="dot" w:pos="4171"/>
        </w:tabs>
        <w:spacing w:line="240" w:lineRule="auto"/>
      </w:pPr>
      <w:r>
        <w:t xml:space="preserve">modus </w:t>
      </w:r>
      <w:r w:rsidRPr="001F5DB8">
        <w:rPr>
          <w:i/>
        </w:rPr>
        <w:t>absolute</w:t>
      </w:r>
      <w:r>
        <w:tab/>
        <w:t>59, 389, 419, 423, 425, 427, 493, 512</w:t>
      </w:r>
    </w:p>
    <w:p w14:paraId="648CA457" w14:textId="77777777" w:rsidR="08240A2E" w:rsidRDefault="08240A2E" w:rsidP="08240A2E">
      <w:pPr>
        <w:pStyle w:val="Rejstk2"/>
        <w:tabs>
          <w:tab w:val="right" w:leader="dot" w:pos="4171"/>
        </w:tabs>
        <w:spacing w:line="240" w:lineRule="auto"/>
      </w:pPr>
      <w:r>
        <w:t xml:space="preserve">modus </w:t>
      </w:r>
      <w:r w:rsidRPr="001F5DB8">
        <w:rPr>
          <w:i/>
        </w:rPr>
        <w:t>simpliciter</w:t>
      </w:r>
      <w:r>
        <w:tab/>
        <w:t>423</w:t>
      </w:r>
    </w:p>
    <w:p w14:paraId="02898742" w14:textId="77777777" w:rsidR="08240A2E" w:rsidRDefault="08240A2E" w:rsidP="08240A2E">
      <w:pPr>
        <w:pStyle w:val="Rejstk2"/>
        <w:tabs>
          <w:tab w:val="right" w:leader="dot" w:pos="4171"/>
        </w:tabs>
        <w:spacing w:line="240" w:lineRule="auto"/>
      </w:pPr>
      <w:r>
        <w:t>nominální</w:t>
      </w:r>
      <w:r>
        <w:tab/>
        <w:t>35, 218</w:t>
      </w:r>
    </w:p>
    <w:p w14:paraId="7116A6CC" w14:textId="77777777" w:rsidR="08240A2E" w:rsidRDefault="08240A2E" w:rsidP="08240A2E">
      <w:pPr>
        <w:pStyle w:val="Rejstk2"/>
        <w:tabs>
          <w:tab w:val="right" w:leader="dot" w:pos="4171"/>
        </w:tabs>
        <w:spacing w:line="240" w:lineRule="auto"/>
      </w:pPr>
      <w:r>
        <w:t>objektivní</w:t>
      </w:r>
      <w:r>
        <w:tab/>
        <w:t>53, 55, 91, 413, 414, 535, 629</w:t>
      </w:r>
    </w:p>
    <w:p w14:paraId="0D09C651" w14:textId="77777777" w:rsidR="08240A2E" w:rsidRDefault="08240A2E" w:rsidP="08240A2E">
      <w:pPr>
        <w:pStyle w:val="Rejstk2"/>
        <w:tabs>
          <w:tab w:val="right" w:leader="dot" w:pos="4171"/>
        </w:tabs>
        <w:spacing w:line="240" w:lineRule="auto"/>
      </w:pPr>
      <w:r w:rsidRPr="001F5DB8">
        <w:rPr>
          <w:i/>
        </w:rPr>
        <w:t>per posterius</w:t>
      </w:r>
      <w:r>
        <w:tab/>
        <w:t>365, 406, 446, 641, 653</w:t>
      </w:r>
    </w:p>
    <w:p w14:paraId="4B09D2B0" w14:textId="77777777" w:rsidR="08240A2E" w:rsidRDefault="08240A2E" w:rsidP="08240A2E">
      <w:pPr>
        <w:pStyle w:val="Rejstk2"/>
        <w:tabs>
          <w:tab w:val="right" w:leader="dot" w:pos="4171"/>
        </w:tabs>
        <w:spacing w:line="240" w:lineRule="auto"/>
      </w:pPr>
      <w:r w:rsidRPr="001F5DB8">
        <w:rPr>
          <w:i/>
        </w:rPr>
        <w:t>per prius</w:t>
      </w:r>
      <w:r>
        <w:tab/>
        <w:t>62, 96, 222, 250, 251, 258, 289, 346, 363, 369, 372, 377, 392, 459, 500, 508, 511, 555</w:t>
      </w:r>
    </w:p>
    <w:p w14:paraId="52E48BCB" w14:textId="77777777" w:rsidR="08240A2E" w:rsidRDefault="08240A2E" w:rsidP="08240A2E">
      <w:pPr>
        <w:pStyle w:val="Rejstk2"/>
        <w:tabs>
          <w:tab w:val="right" w:leader="dot" w:pos="4171"/>
        </w:tabs>
        <w:spacing w:line="240" w:lineRule="auto"/>
      </w:pPr>
      <w:r>
        <w:t>porretáni</w:t>
      </w:r>
      <w:r>
        <w:tab/>
        <w:t>224</w:t>
      </w:r>
    </w:p>
    <w:p w14:paraId="24D3CD21" w14:textId="77777777" w:rsidR="08240A2E" w:rsidRDefault="08240A2E" w:rsidP="08240A2E">
      <w:pPr>
        <w:pStyle w:val="Rejstk2"/>
        <w:tabs>
          <w:tab w:val="right" w:leader="dot" w:pos="4171"/>
        </w:tabs>
        <w:spacing w:line="240" w:lineRule="auto"/>
      </w:pPr>
      <w:r>
        <w:t>proarchická</w:t>
      </w:r>
      <w:r>
        <w:tab/>
        <w:t>393, 525</w:t>
      </w:r>
    </w:p>
    <w:p w14:paraId="6C71316B" w14:textId="77777777" w:rsidR="08240A2E" w:rsidRDefault="08240A2E" w:rsidP="08240A2E">
      <w:pPr>
        <w:pStyle w:val="Rejstk2"/>
        <w:tabs>
          <w:tab w:val="right" w:leader="dot" w:pos="4171"/>
        </w:tabs>
        <w:spacing w:line="240" w:lineRule="auto"/>
      </w:pPr>
      <w:r w:rsidRPr="001F5DB8">
        <w:rPr>
          <w:i/>
        </w:rPr>
        <w:t>secundum quid</w:t>
      </w:r>
      <w:r>
        <w:tab/>
        <w:t>368, 369</w:t>
      </w:r>
    </w:p>
    <w:p w14:paraId="4D81CC2F" w14:textId="77777777" w:rsidR="08240A2E" w:rsidRDefault="08240A2E" w:rsidP="08240A2E">
      <w:pPr>
        <w:pStyle w:val="Rejstk2"/>
        <w:tabs>
          <w:tab w:val="right" w:leader="dot" w:pos="4171"/>
        </w:tabs>
        <w:spacing w:line="240" w:lineRule="auto"/>
      </w:pPr>
      <w:r w:rsidRPr="001F5DB8">
        <w:rPr>
          <w:i/>
        </w:rPr>
        <w:t>secundum simpliciter</w:t>
      </w:r>
      <w:r>
        <w:tab/>
        <w:t>368, 388</w:t>
      </w:r>
    </w:p>
    <w:p w14:paraId="0782F9B9" w14:textId="77777777" w:rsidR="08240A2E" w:rsidRDefault="08240A2E" w:rsidP="08240A2E">
      <w:pPr>
        <w:pStyle w:val="Rejstk2"/>
        <w:tabs>
          <w:tab w:val="right" w:leader="dot" w:pos="4171"/>
        </w:tabs>
        <w:spacing w:line="240" w:lineRule="auto"/>
      </w:pPr>
      <w:r w:rsidRPr="001F5DB8">
        <w:rPr>
          <w:i/>
        </w:rPr>
        <w:t>semel</w:t>
      </w:r>
      <w:r>
        <w:t>‒</w:t>
      </w:r>
      <w:r w:rsidRPr="001F5DB8">
        <w:rPr>
          <w:i/>
        </w:rPr>
        <w:t>semper</w:t>
      </w:r>
      <w:r>
        <w:tab/>
        <w:t>227, 389, 394, 395, 420, 501, 525, 535, 540, 549, 569, 642, 656, 672, 674, 678, 691</w:t>
      </w:r>
    </w:p>
    <w:p w14:paraId="46B2EF18" w14:textId="77777777" w:rsidR="08240A2E" w:rsidRDefault="08240A2E" w:rsidP="08240A2E">
      <w:pPr>
        <w:pStyle w:val="Rejstk2"/>
        <w:tabs>
          <w:tab w:val="right" w:leader="dot" w:pos="4171"/>
        </w:tabs>
        <w:spacing w:line="240" w:lineRule="auto"/>
      </w:pPr>
      <w:r>
        <w:t>univoční</w:t>
      </w:r>
      <w:r>
        <w:tab/>
        <w:t>34</w:t>
      </w:r>
    </w:p>
    <w:p w14:paraId="598B5118" w14:textId="77777777" w:rsidR="08240A2E" w:rsidRDefault="08240A2E" w:rsidP="08240A2E">
      <w:pPr>
        <w:pStyle w:val="Rejstk1"/>
        <w:tabs>
          <w:tab w:val="right" w:leader="dot" w:pos="4171"/>
        </w:tabs>
        <w:spacing w:line="240" w:lineRule="auto"/>
      </w:pPr>
      <w:r>
        <w:t>Prévostin de Crémone</w:t>
      </w:r>
      <w:r>
        <w:tab/>
        <w:t>147</w:t>
      </w:r>
    </w:p>
    <w:p w14:paraId="50B2FCB4" w14:textId="77777777" w:rsidR="08240A2E" w:rsidRDefault="08240A2E" w:rsidP="08240A2E">
      <w:pPr>
        <w:pStyle w:val="Rejstk1"/>
        <w:tabs>
          <w:tab w:val="right" w:leader="dot" w:pos="4171"/>
        </w:tabs>
        <w:spacing w:line="240" w:lineRule="auto"/>
      </w:pPr>
      <w:r>
        <w:t>Prigogin, I. L.</w:t>
      </w:r>
      <w:r>
        <w:tab/>
        <w:t>328</w:t>
      </w:r>
    </w:p>
    <w:p w14:paraId="7D95704F" w14:textId="77777777" w:rsidR="08240A2E" w:rsidRDefault="08240A2E" w:rsidP="08240A2E">
      <w:pPr>
        <w:pStyle w:val="Rejstk1"/>
        <w:tabs>
          <w:tab w:val="right" w:leader="dot" w:pos="4171"/>
        </w:tabs>
        <w:spacing w:line="240" w:lineRule="auto"/>
      </w:pPr>
      <w:r>
        <w:t>primární kvality</w:t>
      </w:r>
      <w:r>
        <w:tab/>
      </w:r>
      <w:r w:rsidR="08E62EDF">
        <w:t xml:space="preserve">35, </w:t>
      </w:r>
      <w:r>
        <w:t>166</w:t>
      </w:r>
    </w:p>
    <w:p w14:paraId="69028E9E" w14:textId="77777777" w:rsidR="08240A2E" w:rsidRDefault="08240A2E" w:rsidP="08240A2E">
      <w:pPr>
        <w:pStyle w:val="Rejstk1"/>
        <w:tabs>
          <w:tab w:val="right" w:leader="dot" w:pos="4171"/>
        </w:tabs>
        <w:spacing w:line="240" w:lineRule="auto"/>
      </w:pPr>
      <w:r>
        <w:t>princip dostatečného důvodu</w:t>
      </w:r>
      <w:r>
        <w:tab/>
        <w:t>25, 701</w:t>
      </w:r>
    </w:p>
    <w:p w14:paraId="2226306C" w14:textId="77777777" w:rsidR="08240A2E" w:rsidRDefault="08240A2E" w:rsidP="08240A2E">
      <w:pPr>
        <w:pStyle w:val="Rejstk1"/>
        <w:tabs>
          <w:tab w:val="right" w:leader="dot" w:pos="4171"/>
        </w:tabs>
        <w:spacing w:line="240" w:lineRule="auto"/>
      </w:pPr>
      <w:r>
        <w:t xml:space="preserve">princip </w:t>
      </w:r>
      <w:r w:rsidRPr="001F5DB8">
        <w:rPr>
          <w:i/>
        </w:rPr>
        <w:t>ex immeditatis</w:t>
      </w:r>
      <w:r>
        <w:tab/>
        <w:t>650</w:t>
      </w:r>
    </w:p>
    <w:p w14:paraId="2E1C5DBA" w14:textId="77777777" w:rsidR="08240A2E" w:rsidRDefault="08240A2E" w:rsidP="08240A2E">
      <w:pPr>
        <w:pStyle w:val="Rejstk1"/>
        <w:tabs>
          <w:tab w:val="right" w:leader="dot" w:pos="4171"/>
        </w:tabs>
        <w:spacing w:line="240" w:lineRule="auto"/>
      </w:pPr>
      <w:r>
        <w:t xml:space="preserve">princip </w:t>
      </w:r>
      <w:r w:rsidRPr="001F5DB8">
        <w:rPr>
          <w:i/>
        </w:rPr>
        <w:t>ex inmediatis</w:t>
      </w:r>
      <w:r>
        <w:tab/>
        <w:t>248, 257, 264, 354,</w:t>
      </w:r>
      <w:r w:rsidR="08E62EDF">
        <w:t xml:space="preserve">360, </w:t>
      </w:r>
      <w:r>
        <w:t xml:space="preserve"> 361, 365, 377, 380, </w:t>
      </w:r>
      <w:r w:rsidR="08E62EDF">
        <w:t xml:space="preserve">382, </w:t>
      </w:r>
      <w:r>
        <w:t>387, 393, 423, 489, 502, 503, 510, 633, 640, 641, 642, 651, 653, 678, 688</w:t>
      </w:r>
    </w:p>
    <w:p w14:paraId="11446EC8" w14:textId="77777777" w:rsidR="08240A2E" w:rsidRDefault="08240A2E" w:rsidP="08240A2E">
      <w:pPr>
        <w:pStyle w:val="Rejstk1"/>
        <w:tabs>
          <w:tab w:val="right" w:leader="dot" w:pos="4171"/>
        </w:tabs>
        <w:spacing w:line="240" w:lineRule="auto"/>
      </w:pPr>
      <w:r w:rsidRPr="001F5DB8">
        <w:rPr>
          <w:i/>
        </w:rPr>
        <w:t>principium</w:t>
      </w:r>
      <w:r>
        <w:t xml:space="preserve"> </w:t>
      </w:r>
      <w:r w:rsidRPr="001F5DB8">
        <w:rPr>
          <w:i/>
        </w:rPr>
        <w:t>rationis</w:t>
      </w:r>
      <w:r>
        <w:t xml:space="preserve"> </w:t>
      </w:r>
      <w:r w:rsidRPr="08E62EDF">
        <w:rPr>
          <w:i/>
        </w:rPr>
        <w:t>sufficientis</w:t>
      </w:r>
      <w:r>
        <w:tab/>
        <w:t>379</w:t>
      </w:r>
    </w:p>
    <w:p w14:paraId="095AA9B4" w14:textId="77777777" w:rsidR="08240A2E" w:rsidRDefault="08240A2E" w:rsidP="08240A2E">
      <w:pPr>
        <w:pStyle w:val="Rejstk1"/>
        <w:tabs>
          <w:tab w:val="right" w:leader="dot" w:pos="4171"/>
        </w:tabs>
        <w:spacing w:line="240" w:lineRule="auto"/>
      </w:pPr>
      <w:r w:rsidRPr="001F5DB8">
        <w:rPr>
          <w:i/>
        </w:rPr>
        <w:t>Principle of Exemplification</w:t>
      </w:r>
      <w:r>
        <w:tab/>
        <w:t>535</w:t>
      </w:r>
    </w:p>
    <w:p w14:paraId="762D16F5" w14:textId="77777777" w:rsidR="08240A2E" w:rsidRDefault="08240A2E" w:rsidP="08240A2E">
      <w:pPr>
        <w:pStyle w:val="Rejstk1"/>
        <w:tabs>
          <w:tab w:val="right" w:leader="dot" w:pos="4171"/>
        </w:tabs>
        <w:spacing w:line="240" w:lineRule="auto"/>
      </w:pPr>
      <w:r w:rsidRPr="001F5DB8">
        <w:rPr>
          <w:i/>
        </w:rPr>
        <w:t>Principle of Instantiation</w:t>
      </w:r>
      <w:r>
        <w:tab/>
        <w:t>535</w:t>
      </w:r>
    </w:p>
    <w:p w14:paraId="3AD6BA87" w14:textId="77777777" w:rsidR="08240A2E" w:rsidRDefault="08240A2E" w:rsidP="08240A2E">
      <w:pPr>
        <w:pStyle w:val="Rejstk1"/>
        <w:tabs>
          <w:tab w:val="right" w:leader="dot" w:pos="4171"/>
        </w:tabs>
        <w:spacing w:line="240" w:lineRule="auto"/>
      </w:pPr>
      <w:r>
        <w:rPr>
          <w:lang w:eastAsia="en-US"/>
        </w:rPr>
        <w:t>Priscián</w:t>
      </w:r>
      <w:r w:rsidR="089E278E">
        <w:rPr>
          <w:lang w:eastAsia="en-US"/>
        </w:rPr>
        <w:t xml:space="preserve">, viz </w:t>
      </w:r>
      <w:r w:rsidR="089E278E" w:rsidRPr="089E278E">
        <w:rPr>
          <w:i/>
          <w:lang w:eastAsia="en-US"/>
        </w:rPr>
        <w:t>Index locorum</w:t>
      </w:r>
    </w:p>
    <w:p w14:paraId="5ABE9AE4" w14:textId="77777777" w:rsidR="08240A2E" w:rsidRDefault="08240A2E" w:rsidP="089E278E">
      <w:pPr>
        <w:pStyle w:val="Rejstk1"/>
        <w:tabs>
          <w:tab w:val="right" w:leader="dot" w:pos="4171"/>
        </w:tabs>
        <w:spacing w:line="240" w:lineRule="auto"/>
      </w:pPr>
      <w:r>
        <w:t>produkce</w:t>
      </w:r>
      <w:r w:rsidR="089E278E">
        <w:t xml:space="preserve">, </w:t>
      </w:r>
      <w:r>
        <w:t>objektivní</w:t>
      </w:r>
      <w:r>
        <w:tab/>
        <w:t>81</w:t>
      </w:r>
    </w:p>
    <w:p w14:paraId="5D491277" w14:textId="77777777" w:rsidR="08240A2E" w:rsidRDefault="08240A2E" w:rsidP="08240A2E">
      <w:pPr>
        <w:pStyle w:val="Rejstk1"/>
        <w:tabs>
          <w:tab w:val="right" w:leader="dot" w:pos="4171"/>
        </w:tabs>
        <w:spacing w:line="240" w:lineRule="auto"/>
      </w:pPr>
      <w:r>
        <w:t>prohlášení 1272</w:t>
      </w:r>
      <w:r>
        <w:tab/>
        <w:t>437</w:t>
      </w:r>
    </w:p>
    <w:p w14:paraId="57563FD0" w14:textId="77777777" w:rsidR="08240A2E" w:rsidRDefault="08240A2E" w:rsidP="08240A2E">
      <w:pPr>
        <w:pStyle w:val="Rejstk1"/>
        <w:tabs>
          <w:tab w:val="right" w:leader="dot" w:pos="4171"/>
        </w:tabs>
        <w:spacing w:line="240" w:lineRule="auto"/>
      </w:pPr>
      <w:r>
        <w:t>první averroismus</w:t>
      </w:r>
    </w:p>
    <w:p w14:paraId="22DAED93" w14:textId="77777777" w:rsidR="08240A2E" w:rsidRDefault="08240A2E" w:rsidP="08240A2E">
      <w:pPr>
        <w:pStyle w:val="Rejstk2"/>
        <w:tabs>
          <w:tab w:val="right" w:leader="dot" w:pos="4171"/>
        </w:tabs>
        <w:spacing w:line="240" w:lineRule="auto"/>
      </w:pPr>
      <w:r>
        <w:t>kritika Avicenny</w:t>
      </w:r>
      <w:r>
        <w:tab/>
        <w:t>172</w:t>
      </w:r>
    </w:p>
    <w:p w14:paraId="43D8E02B" w14:textId="77777777" w:rsidR="08240A2E" w:rsidRDefault="08240A2E" w:rsidP="08240A2E">
      <w:pPr>
        <w:pStyle w:val="Rejstk2"/>
        <w:tabs>
          <w:tab w:val="right" w:leader="dot" w:pos="4171"/>
        </w:tabs>
        <w:spacing w:line="240" w:lineRule="auto"/>
      </w:pPr>
      <w:r>
        <w:t>Modisté</w:t>
      </w:r>
      <w:r>
        <w:tab/>
        <w:t>95, 141, 242, 249, 324</w:t>
      </w:r>
    </w:p>
    <w:p w14:paraId="721C9B33" w14:textId="77777777" w:rsidR="08240A2E" w:rsidRDefault="08240A2E" w:rsidP="08240A2E">
      <w:pPr>
        <w:pStyle w:val="Rejstk2"/>
        <w:tabs>
          <w:tab w:val="right" w:leader="dot" w:pos="4171"/>
        </w:tabs>
        <w:spacing w:line="240" w:lineRule="auto"/>
      </w:pPr>
      <w:r>
        <w:t>osoba</w:t>
      </w:r>
      <w:r>
        <w:tab/>
        <w:t>505</w:t>
      </w:r>
    </w:p>
    <w:p w14:paraId="4E7ADB9A" w14:textId="77777777" w:rsidR="08240A2E" w:rsidRDefault="08240A2E" w:rsidP="08240A2E">
      <w:pPr>
        <w:pStyle w:val="Rejstk2"/>
        <w:tabs>
          <w:tab w:val="right" w:leader="dot" w:pos="4171"/>
        </w:tabs>
        <w:spacing w:line="240" w:lineRule="auto"/>
      </w:pPr>
      <w:r w:rsidRPr="001F5DB8">
        <w:rPr>
          <w:i/>
        </w:rPr>
        <w:t>separatio</w:t>
      </w:r>
      <w:r>
        <w:tab/>
        <w:t>409</w:t>
      </w:r>
    </w:p>
    <w:p w14:paraId="5A478852" w14:textId="77777777" w:rsidR="08240A2E" w:rsidRDefault="08240A2E" w:rsidP="08240A2E">
      <w:pPr>
        <w:pStyle w:val="Rejstk2"/>
        <w:tabs>
          <w:tab w:val="right" w:leader="dot" w:pos="4171"/>
        </w:tabs>
        <w:spacing w:line="240" w:lineRule="auto"/>
      </w:pPr>
      <w:r>
        <w:t>Sicilská škola</w:t>
      </w:r>
      <w:r>
        <w:tab/>
        <w:t>621</w:t>
      </w:r>
    </w:p>
    <w:p w14:paraId="0545A8C7" w14:textId="77777777" w:rsidR="08240A2E" w:rsidRDefault="08240A2E" w:rsidP="08240A2E">
      <w:pPr>
        <w:pStyle w:val="Rejstk2"/>
        <w:tabs>
          <w:tab w:val="right" w:leader="dot" w:pos="4171"/>
        </w:tabs>
        <w:spacing w:line="240" w:lineRule="auto"/>
      </w:pPr>
      <w:r>
        <w:t>vznik</w:t>
      </w:r>
      <w:r>
        <w:tab/>
        <w:t>131, 143, 338</w:t>
      </w:r>
    </w:p>
    <w:p w14:paraId="5C689EDA" w14:textId="77777777" w:rsidR="08240A2E" w:rsidRDefault="08240A2E" w:rsidP="089E278E">
      <w:pPr>
        <w:pStyle w:val="Rejstk1"/>
        <w:tabs>
          <w:tab w:val="right" w:leader="dot" w:pos="4171"/>
        </w:tabs>
        <w:spacing w:line="240" w:lineRule="auto"/>
        <w:rPr>
          <w:i/>
        </w:rPr>
      </w:pPr>
      <w:r>
        <w:t>Pseudo-Grosseteste</w:t>
      </w:r>
      <w:r w:rsidR="089E278E">
        <w:t>, viz</w:t>
      </w:r>
      <w:r w:rsidR="089E278E" w:rsidRPr="089E278E">
        <w:rPr>
          <w:i/>
        </w:rPr>
        <w:t xml:space="preserve"> Index locorum</w:t>
      </w:r>
    </w:p>
    <w:p w14:paraId="62B67875" w14:textId="77777777" w:rsidR="00593546" w:rsidRDefault="00593546" w:rsidP="00593546">
      <w:pPr>
        <w:pStyle w:val="Rejstk1"/>
        <w:tabs>
          <w:tab w:val="right" w:leader="dot" w:pos="4171"/>
        </w:tabs>
        <w:spacing w:line="240" w:lineRule="auto"/>
        <w:rPr>
          <w:b/>
        </w:rPr>
      </w:pPr>
    </w:p>
    <w:p w14:paraId="05673059" w14:textId="27B29AAF" w:rsidR="00593546" w:rsidRPr="00C8572E" w:rsidRDefault="00593546" w:rsidP="00593546">
      <w:pPr>
        <w:pStyle w:val="Rejstk1"/>
        <w:tabs>
          <w:tab w:val="right" w:leader="dot" w:pos="4171"/>
        </w:tabs>
        <w:spacing w:line="240" w:lineRule="auto"/>
        <w:rPr>
          <w:b/>
        </w:rPr>
      </w:pPr>
      <w:r>
        <w:rPr>
          <w:b/>
        </w:rPr>
        <w:t>Q, R</w:t>
      </w:r>
    </w:p>
    <w:p w14:paraId="34A2F2C1" w14:textId="77777777" w:rsidR="08240A2E" w:rsidRDefault="08240A2E" w:rsidP="08240A2E">
      <w:pPr>
        <w:pStyle w:val="Rejstk1"/>
        <w:tabs>
          <w:tab w:val="right" w:leader="dot" w:pos="4171"/>
        </w:tabs>
        <w:spacing w:line="240" w:lineRule="auto"/>
      </w:pPr>
      <w:r w:rsidRPr="001F5DB8">
        <w:rPr>
          <w:i/>
        </w:rPr>
        <w:t>quartum genus</w:t>
      </w:r>
      <w:r>
        <w:tab/>
        <w:t>30, 175, 269, 272, 274, 275, 283, 287, 293, 317, 443, 607, 608, 609, 622</w:t>
      </w:r>
    </w:p>
    <w:p w14:paraId="6A479C9E" w14:textId="77777777" w:rsidR="08240A2E" w:rsidRDefault="08240A2E" w:rsidP="08240A2E">
      <w:pPr>
        <w:pStyle w:val="Rejstk1"/>
        <w:tabs>
          <w:tab w:val="right" w:leader="dot" w:pos="4171"/>
        </w:tabs>
        <w:spacing w:line="240" w:lineRule="auto"/>
      </w:pPr>
      <w:r w:rsidRPr="001F5DB8">
        <w:rPr>
          <w:i/>
        </w:rPr>
        <w:t>quidditas</w:t>
      </w:r>
      <w:r>
        <w:tab/>
        <w:t>4, 6, 63, 175, 245, 246, 290, 295, 302, 308, 321, 357, 363, 392, 396, 422, 445, 515, 522, 544, 550, 568, 639, 696, 700</w:t>
      </w:r>
    </w:p>
    <w:p w14:paraId="585056AD" w14:textId="77777777" w:rsidR="08240A2E" w:rsidRDefault="08240A2E" w:rsidP="08240A2E">
      <w:pPr>
        <w:pStyle w:val="Rejstk1"/>
        <w:tabs>
          <w:tab w:val="right" w:leader="dot" w:pos="4171"/>
        </w:tabs>
        <w:spacing w:line="240" w:lineRule="auto"/>
      </w:pPr>
      <w:r w:rsidRPr="001F5DB8">
        <w:rPr>
          <w:i/>
        </w:rPr>
        <w:t>quo est</w:t>
      </w:r>
      <w:r>
        <w:tab/>
        <w:t>52, 413, 416, 642</w:t>
      </w:r>
    </w:p>
    <w:p w14:paraId="1D1A1FAA" w14:textId="77777777" w:rsidR="08240A2E" w:rsidRDefault="08240A2E" w:rsidP="08240A2E">
      <w:pPr>
        <w:pStyle w:val="Rejstk1"/>
        <w:tabs>
          <w:tab w:val="right" w:leader="dot" w:pos="4171"/>
        </w:tabs>
        <w:spacing w:line="240" w:lineRule="auto"/>
      </w:pPr>
      <w:r w:rsidRPr="001F5DB8">
        <w:rPr>
          <w:i/>
        </w:rPr>
        <w:t>rectum</w:t>
      </w:r>
      <w:r>
        <w:tab/>
        <w:t>20</w:t>
      </w:r>
    </w:p>
    <w:p w14:paraId="0E3D770E" w14:textId="77777777" w:rsidR="08240A2E" w:rsidRDefault="08240A2E" w:rsidP="08240A2E">
      <w:pPr>
        <w:pStyle w:val="Rejstk1"/>
        <w:tabs>
          <w:tab w:val="right" w:leader="dot" w:pos="4171"/>
        </w:tabs>
        <w:spacing w:line="240" w:lineRule="auto"/>
      </w:pPr>
      <w:r>
        <w:t>reference</w:t>
      </w:r>
      <w:r>
        <w:tab/>
        <w:t>221, 223</w:t>
      </w:r>
    </w:p>
    <w:p w14:paraId="670D13B3" w14:textId="77777777" w:rsidR="08240A2E" w:rsidRDefault="08240A2E" w:rsidP="08240A2E">
      <w:pPr>
        <w:pStyle w:val="Rejstk1"/>
        <w:tabs>
          <w:tab w:val="right" w:leader="dot" w:pos="4171"/>
        </w:tabs>
        <w:spacing w:line="240" w:lineRule="auto"/>
      </w:pPr>
      <w:r w:rsidRPr="001F5DB8">
        <w:rPr>
          <w:i/>
        </w:rPr>
        <w:t>Reformed Epistemology</w:t>
      </w:r>
      <w:r>
        <w:tab/>
        <w:t>436</w:t>
      </w:r>
    </w:p>
    <w:p w14:paraId="7BB99C08" w14:textId="77777777" w:rsidR="08240A2E" w:rsidRDefault="08240A2E" w:rsidP="08240A2E">
      <w:pPr>
        <w:pStyle w:val="Rejstk1"/>
        <w:tabs>
          <w:tab w:val="right" w:leader="dot" w:pos="4171"/>
        </w:tabs>
        <w:spacing w:line="240" w:lineRule="auto"/>
      </w:pPr>
      <w:r w:rsidRPr="001F5DB8">
        <w:rPr>
          <w:i/>
        </w:rPr>
        <w:t>regule</w:t>
      </w:r>
    </w:p>
    <w:p w14:paraId="1AA3CF3A" w14:textId="77777777" w:rsidR="08240A2E" w:rsidRDefault="08240A2E" w:rsidP="08240A2E">
      <w:pPr>
        <w:pStyle w:val="Rejstk2"/>
        <w:tabs>
          <w:tab w:val="right" w:leader="dot" w:pos="4171"/>
        </w:tabs>
        <w:spacing w:line="240" w:lineRule="auto"/>
      </w:pPr>
      <w:r w:rsidRPr="001F5DB8">
        <w:rPr>
          <w:i/>
        </w:rPr>
        <w:t>agentis in/creati</w:t>
      </w:r>
      <w:r>
        <w:tab/>
        <w:t>413</w:t>
      </w:r>
    </w:p>
    <w:p w14:paraId="1951A257" w14:textId="77777777" w:rsidR="08240A2E" w:rsidRDefault="08240A2E" w:rsidP="08240A2E">
      <w:pPr>
        <w:pStyle w:val="Rejstk2"/>
        <w:tabs>
          <w:tab w:val="right" w:leader="dot" w:pos="4171"/>
        </w:tabs>
        <w:spacing w:line="240" w:lineRule="auto"/>
      </w:pPr>
      <w:r w:rsidRPr="001F5DB8">
        <w:rPr>
          <w:i/>
        </w:rPr>
        <w:t>Boethius</w:t>
      </w:r>
      <w:r>
        <w:tab/>
        <w:t>51</w:t>
      </w:r>
    </w:p>
    <w:p w14:paraId="6BCD94E8" w14:textId="77777777" w:rsidR="08240A2E" w:rsidRDefault="08240A2E" w:rsidP="08240A2E">
      <w:pPr>
        <w:pStyle w:val="Rejstk1"/>
        <w:tabs>
          <w:tab w:val="right" w:leader="dot" w:pos="4171"/>
        </w:tabs>
        <w:spacing w:line="240" w:lineRule="auto"/>
      </w:pPr>
      <w:r w:rsidRPr="001F5DB8">
        <w:rPr>
          <w:i/>
        </w:rPr>
        <w:t>relatio</w:t>
      </w:r>
      <w:r>
        <w:tab/>
        <w:t>55, 445</w:t>
      </w:r>
    </w:p>
    <w:p w14:paraId="48D6760D" w14:textId="77777777" w:rsidR="08240A2E" w:rsidRDefault="08240A2E" w:rsidP="08240A2E">
      <w:pPr>
        <w:pStyle w:val="Rejstk1"/>
        <w:tabs>
          <w:tab w:val="right" w:leader="dot" w:pos="4171"/>
        </w:tabs>
        <w:spacing w:line="240" w:lineRule="auto"/>
      </w:pPr>
      <w:r>
        <w:t>Renan, E.</w:t>
      </w:r>
      <w:r>
        <w:tab/>
        <w:t>101, 237, 410, 685</w:t>
      </w:r>
    </w:p>
    <w:p w14:paraId="667BAE9B" w14:textId="77777777" w:rsidR="08240A2E" w:rsidRDefault="08240A2E" w:rsidP="08240A2E">
      <w:pPr>
        <w:pStyle w:val="Rejstk1"/>
        <w:tabs>
          <w:tab w:val="right" w:leader="dot" w:pos="4171"/>
        </w:tabs>
        <w:spacing w:line="240" w:lineRule="auto"/>
      </w:pPr>
      <w:r w:rsidRPr="001F5DB8">
        <w:rPr>
          <w:i/>
        </w:rPr>
        <w:t>res cogitans</w:t>
      </w:r>
      <w:r>
        <w:tab/>
        <w:t>256, 271, 292, 315, 443, 502, 572, 623, 678</w:t>
      </w:r>
    </w:p>
    <w:p w14:paraId="31E66100" w14:textId="77777777" w:rsidR="08240A2E" w:rsidRDefault="08240A2E" w:rsidP="08240A2E">
      <w:pPr>
        <w:pStyle w:val="Rejstk1"/>
        <w:tabs>
          <w:tab w:val="right" w:leader="dot" w:pos="4171"/>
        </w:tabs>
        <w:spacing w:line="240" w:lineRule="auto"/>
      </w:pPr>
      <w:r w:rsidRPr="001F5DB8">
        <w:rPr>
          <w:i/>
        </w:rPr>
        <w:t>res extensa</w:t>
      </w:r>
      <w:r>
        <w:tab/>
        <w:t>623</w:t>
      </w:r>
    </w:p>
    <w:p w14:paraId="6E241E08" w14:textId="77777777" w:rsidR="08240A2E" w:rsidRDefault="08240A2E" w:rsidP="08240A2E">
      <w:pPr>
        <w:pStyle w:val="Rejstk1"/>
        <w:tabs>
          <w:tab w:val="right" w:leader="dot" w:pos="4171"/>
        </w:tabs>
        <w:spacing w:line="240" w:lineRule="auto"/>
      </w:pPr>
      <w:r w:rsidRPr="001F5DB8">
        <w:rPr>
          <w:i/>
        </w:rPr>
        <w:t>resolutio</w:t>
      </w:r>
    </w:p>
    <w:p w14:paraId="7AA0FB5C" w14:textId="77777777" w:rsidR="08240A2E" w:rsidRDefault="08240A2E" w:rsidP="08240A2E">
      <w:pPr>
        <w:pStyle w:val="Rejstk2"/>
        <w:tabs>
          <w:tab w:val="right" w:leader="dot" w:pos="4171"/>
        </w:tabs>
        <w:spacing w:line="240" w:lineRule="auto"/>
      </w:pPr>
      <w:r>
        <w:t>Albert</w:t>
      </w:r>
      <w:r>
        <w:tab/>
        <w:t>258, 261</w:t>
      </w:r>
    </w:p>
    <w:p w14:paraId="0CD7EC57" w14:textId="77777777" w:rsidR="08240A2E" w:rsidRDefault="08240A2E" w:rsidP="08240A2E">
      <w:pPr>
        <w:pStyle w:val="Rejstk2"/>
        <w:tabs>
          <w:tab w:val="right" w:leader="dot" w:pos="4171"/>
        </w:tabs>
        <w:spacing w:line="240" w:lineRule="auto"/>
      </w:pPr>
      <w:r>
        <w:t>Avicebron</w:t>
      </w:r>
      <w:r>
        <w:tab/>
        <w:t>458</w:t>
      </w:r>
    </w:p>
    <w:p w14:paraId="52927915" w14:textId="77777777" w:rsidR="08240A2E" w:rsidRDefault="08240A2E" w:rsidP="08240A2E">
      <w:pPr>
        <w:pStyle w:val="Rejstk2"/>
        <w:tabs>
          <w:tab w:val="right" w:leader="dot" w:pos="4171"/>
        </w:tabs>
        <w:spacing w:line="240" w:lineRule="auto"/>
      </w:pPr>
      <w:r>
        <w:t>Bonaventura</w:t>
      </w:r>
      <w:r>
        <w:tab/>
        <w:t>449</w:t>
      </w:r>
    </w:p>
    <w:p w14:paraId="583BEC4D" w14:textId="77777777" w:rsidR="08240A2E" w:rsidRDefault="08240A2E" w:rsidP="08240A2E">
      <w:pPr>
        <w:pStyle w:val="Rejstk2"/>
        <w:tabs>
          <w:tab w:val="right" w:leader="dot" w:pos="4171"/>
        </w:tabs>
        <w:spacing w:line="240" w:lineRule="auto"/>
      </w:pPr>
      <w:r>
        <w:t>druhý averroismus</w:t>
      </w:r>
      <w:r>
        <w:tab/>
        <w:t>72, 252, 301, 409</w:t>
      </w:r>
    </w:p>
    <w:p w14:paraId="0DE51F5E" w14:textId="77777777" w:rsidR="08240A2E" w:rsidRDefault="08240A2E" w:rsidP="08240A2E">
      <w:pPr>
        <w:pStyle w:val="Rejstk2"/>
        <w:tabs>
          <w:tab w:val="right" w:leader="dot" w:pos="4171"/>
        </w:tabs>
        <w:spacing w:line="240" w:lineRule="auto"/>
      </w:pPr>
      <w:r>
        <w:t>Filip Kancléř</w:t>
      </w:r>
      <w:r>
        <w:tab/>
        <w:t>226, 396</w:t>
      </w:r>
    </w:p>
    <w:p w14:paraId="29F10103" w14:textId="77777777" w:rsidR="08240A2E" w:rsidRDefault="08240A2E" w:rsidP="08240A2E">
      <w:pPr>
        <w:pStyle w:val="Rejstk2"/>
        <w:tabs>
          <w:tab w:val="right" w:leader="dot" w:pos="4171"/>
        </w:tabs>
        <w:spacing w:line="240" w:lineRule="auto"/>
      </w:pPr>
      <w:r>
        <w:t>Grosseteste</w:t>
      </w:r>
      <w:r>
        <w:tab/>
        <w:t>375</w:t>
      </w:r>
    </w:p>
    <w:p w14:paraId="1DC09BD8" w14:textId="77777777" w:rsidR="08240A2E" w:rsidRDefault="08240A2E" w:rsidP="08240A2E">
      <w:pPr>
        <w:pStyle w:val="Rejstk2"/>
        <w:tabs>
          <w:tab w:val="right" w:leader="dot" w:pos="4171"/>
        </w:tabs>
        <w:spacing w:line="240" w:lineRule="auto"/>
      </w:pPr>
      <w:r>
        <w:t>Kilwardby</w:t>
      </w:r>
      <w:r>
        <w:tab/>
        <w:t>640, 641, 647, 650, 659, 667</w:t>
      </w:r>
    </w:p>
    <w:p w14:paraId="01277973" w14:textId="77777777" w:rsidR="08240A2E" w:rsidRDefault="08240A2E" w:rsidP="08240A2E">
      <w:pPr>
        <w:pStyle w:val="Rejstk2"/>
        <w:tabs>
          <w:tab w:val="right" w:leader="dot" w:pos="4171"/>
        </w:tabs>
        <w:spacing w:line="240" w:lineRule="auto"/>
      </w:pPr>
      <w:r>
        <w:t>matematika</w:t>
      </w:r>
      <w:r>
        <w:tab/>
        <w:t>78</w:t>
      </w:r>
    </w:p>
    <w:p w14:paraId="626AEB4B" w14:textId="77777777" w:rsidR="08240A2E" w:rsidRDefault="08240A2E" w:rsidP="08240A2E">
      <w:pPr>
        <w:pStyle w:val="Rejstk2"/>
        <w:tabs>
          <w:tab w:val="right" w:leader="dot" w:pos="4171"/>
        </w:tabs>
        <w:spacing w:line="240" w:lineRule="auto"/>
      </w:pPr>
      <w:r>
        <w:t>moderna</w:t>
      </w:r>
      <w:r>
        <w:tab/>
        <w:t>311, 453, 532</w:t>
      </w:r>
    </w:p>
    <w:p w14:paraId="3AD19721" w14:textId="77777777" w:rsidR="08240A2E" w:rsidRDefault="08240A2E" w:rsidP="08240A2E">
      <w:pPr>
        <w:pStyle w:val="Rejstk2"/>
        <w:tabs>
          <w:tab w:val="right" w:leader="dot" w:pos="4171"/>
        </w:tabs>
        <w:spacing w:line="240" w:lineRule="auto"/>
      </w:pPr>
      <w:r w:rsidRPr="001F5DB8">
        <w:rPr>
          <w:i/>
        </w:rPr>
        <w:t>plena</w:t>
      </w:r>
      <w:r>
        <w:tab/>
        <w:t>229</w:t>
      </w:r>
    </w:p>
    <w:p w14:paraId="159FAE19" w14:textId="77777777" w:rsidR="08240A2E" w:rsidRDefault="08240A2E" w:rsidP="08240A2E">
      <w:pPr>
        <w:pStyle w:val="Rejstk2"/>
        <w:tabs>
          <w:tab w:val="right" w:leader="dot" w:pos="4171"/>
        </w:tabs>
        <w:spacing w:line="240" w:lineRule="auto"/>
      </w:pPr>
      <w:r>
        <w:t>porretáni</w:t>
      </w:r>
      <w:r>
        <w:tab/>
        <w:t>84, 91, 508</w:t>
      </w:r>
    </w:p>
    <w:p w14:paraId="29E6B825" w14:textId="77777777" w:rsidR="08240A2E" w:rsidRDefault="08240A2E" w:rsidP="08240A2E">
      <w:pPr>
        <w:pStyle w:val="Rejstk2"/>
        <w:tabs>
          <w:tab w:val="right" w:leader="dot" w:pos="4171"/>
        </w:tabs>
        <w:spacing w:line="240" w:lineRule="auto"/>
      </w:pPr>
      <w:r>
        <w:t>Rufus</w:t>
      </w:r>
      <w:r>
        <w:tab/>
        <w:t>447, 513, 525, 537, 538, 560, 570, 637</w:t>
      </w:r>
    </w:p>
    <w:p w14:paraId="13332CB9" w14:textId="77777777" w:rsidR="08240A2E" w:rsidRDefault="08240A2E" w:rsidP="08240A2E">
      <w:pPr>
        <w:pStyle w:val="Rejstk1"/>
        <w:tabs>
          <w:tab w:val="right" w:leader="dot" w:pos="4171"/>
        </w:tabs>
        <w:spacing w:line="240" w:lineRule="auto"/>
      </w:pPr>
      <w:r>
        <w:t>Rohmer, J.</w:t>
      </w:r>
      <w:r>
        <w:tab/>
        <w:t>215</w:t>
      </w:r>
    </w:p>
    <w:p w14:paraId="2D478169" w14:textId="77777777" w:rsidR="08240A2E" w:rsidRDefault="08240A2E" w:rsidP="08240A2E">
      <w:pPr>
        <w:pStyle w:val="Rejstk1"/>
        <w:tabs>
          <w:tab w:val="right" w:leader="dot" w:pos="4171"/>
        </w:tabs>
        <w:spacing w:line="240" w:lineRule="auto"/>
      </w:pPr>
      <w:r>
        <w:t>Rorty, R.</w:t>
      </w:r>
      <w:r>
        <w:tab/>
        <w:t>10, 220, 289</w:t>
      </w:r>
    </w:p>
    <w:p w14:paraId="2B3C6892" w14:textId="77777777" w:rsidR="08240A2E" w:rsidRDefault="08240A2E" w:rsidP="08240A2E">
      <w:pPr>
        <w:pStyle w:val="Rejstk1"/>
        <w:tabs>
          <w:tab w:val="right" w:leader="dot" w:pos="4171"/>
        </w:tabs>
        <w:spacing w:line="240" w:lineRule="auto"/>
      </w:pPr>
      <w:r>
        <w:t>rozsažnost</w:t>
      </w:r>
      <w:r>
        <w:tab/>
        <w:t>86, 556, 664</w:t>
      </w:r>
    </w:p>
    <w:p w14:paraId="47847132" w14:textId="77777777" w:rsidR="08A853F4" w:rsidRDefault="08A853F4" w:rsidP="08240A2E">
      <w:pPr>
        <w:pStyle w:val="Rejstk1"/>
        <w:tabs>
          <w:tab w:val="right" w:leader="dot" w:pos="4171"/>
        </w:tabs>
        <w:spacing w:line="240" w:lineRule="auto"/>
      </w:pPr>
      <w:r>
        <w:t xml:space="preserve">Rufus z Cornwallu, viz </w:t>
      </w:r>
      <w:r w:rsidRPr="08A853F4">
        <w:rPr>
          <w:i/>
        </w:rPr>
        <w:t>Index locorum</w:t>
      </w:r>
    </w:p>
    <w:p w14:paraId="3EF761EE" w14:textId="77777777" w:rsidR="08240A2E" w:rsidRDefault="08240A2E" w:rsidP="08240A2E">
      <w:pPr>
        <w:pStyle w:val="Rejstk1"/>
        <w:tabs>
          <w:tab w:val="right" w:leader="dot" w:pos="4171"/>
        </w:tabs>
        <w:spacing w:line="240" w:lineRule="auto"/>
      </w:pPr>
      <w:r>
        <w:t>Rupella</w:t>
      </w:r>
      <w:r w:rsidR="08A853F4">
        <w:t xml:space="preserve">, viz </w:t>
      </w:r>
      <w:r w:rsidR="08A853F4" w:rsidRPr="08A853F4">
        <w:rPr>
          <w:i/>
        </w:rPr>
        <w:t>Index locorum</w:t>
      </w:r>
    </w:p>
    <w:p w14:paraId="3374CE57" w14:textId="77777777" w:rsidR="08240A2E" w:rsidRDefault="08240A2E" w:rsidP="08240A2E">
      <w:pPr>
        <w:pStyle w:val="Rejstk1"/>
        <w:tabs>
          <w:tab w:val="right" w:leader="dot" w:pos="4171"/>
        </w:tabs>
        <w:spacing w:line="240" w:lineRule="auto"/>
      </w:pPr>
      <w:r>
        <w:t>Russell, B.</w:t>
      </w:r>
      <w:r>
        <w:tab/>
        <w:t>425</w:t>
      </w:r>
    </w:p>
    <w:p w14:paraId="09E4E3C6" w14:textId="77777777" w:rsidR="00593546" w:rsidRDefault="00593546" w:rsidP="08240A2E">
      <w:pPr>
        <w:pStyle w:val="Rejstk1"/>
        <w:tabs>
          <w:tab w:val="right" w:leader="dot" w:pos="4171"/>
        </w:tabs>
        <w:spacing w:line="240" w:lineRule="auto"/>
      </w:pPr>
    </w:p>
    <w:p w14:paraId="623B5631" w14:textId="3BBCFA38" w:rsidR="00593546" w:rsidRPr="00C8572E" w:rsidRDefault="00593546" w:rsidP="00593546">
      <w:pPr>
        <w:pStyle w:val="Rejstk1"/>
        <w:tabs>
          <w:tab w:val="right" w:leader="dot" w:pos="4171"/>
        </w:tabs>
        <w:spacing w:line="240" w:lineRule="auto"/>
        <w:rPr>
          <w:b/>
        </w:rPr>
      </w:pPr>
      <w:r>
        <w:rPr>
          <w:b/>
        </w:rPr>
        <w:t>S</w:t>
      </w:r>
    </w:p>
    <w:p w14:paraId="231CA225" w14:textId="77777777" w:rsidR="08240A2E" w:rsidRDefault="08240A2E" w:rsidP="08240A2E">
      <w:pPr>
        <w:pStyle w:val="Rejstk1"/>
        <w:tabs>
          <w:tab w:val="right" w:leader="dot" w:pos="4171"/>
        </w:tabs>
        <w:spacing w:line="240" w:lineRule="auto"/>
      </w:pPr>
      <w:r>
        <w:t>Saussure, F.</w:t>
      </w:r>
      <w:r>
        <w:tab/>
        <w:t>64</w:t>
      </w:r>
    </w:p>
    <w:p w14:paraId="1C85244F" w14:textId="77777777" w:rsidR="08240A2E" w:rsidRDefault="08240A2E" w:rsidP="08240A2E">
      <w:pPr>
        <w:pStyle w:val="Rejstk1"/>
        <w:tabs>
          <w:tab w:val="right" w:leader="dot" w:pos="4171"/>
        </w:tabs>
        <w:spacing w:line="240" w:lineRule="auto"/>
      </w:pPr>
      <w:r w:rsidRPr="001F5DB8">
        <w:rPr>
          <w:i/>
        </w:rPr>
        <w:t>scibile</w:t>
      </w:r>
      <w:r>
        <w:tab/>
        <w:t>582, 700, 702, 703</w:t>
      </w:r>
    </w:p>
    <w:p w14:paraId="3ACEAD63" w14:textId="77777777" w:rsidR="08240A2E" w:rsidRDefault="08240A2E" w:rsidP="08240A2E">
      <w:pPr>
        <w:pStyle w:val="Rejstk2"/>
        <w:tabs>
          <w:tab w:val="right" w:leader="dot" w:pos="4171"/>
        </w:tabs>
        <w:spacing w:line="240" w:lineRule="auto"/>
      </w:pPr>
      <w:r>
        <w:t>Anselm</w:t>
      </w:r>
      <w:r>
        <w:tab/>
        <w:t>26</w:t>
      </w:r>
    </w:p>
    <w:p w14:paraId="25DE7BC5" w14:textId="77777777" w:rsidR="08240A2E" w:rsidRDefault="08240A2E" w:rsidP="08240A2E">
      <w:pPr>
        <w:pStyle w:val="Rejstk2"/>
        <w:tabs>
          <w:tab w:val="right" w:leader="dot" w:pos="4171"/>
        </w:tabs>
        <w:spacing w:line="240" w:lineRule="auto"/>
      </w:pPr>
      <w:r>
        <w:t>Carnap</w:t>
      </w:r>
      <w:r>
        <w:tab/>
        <w:t>398</w:t>
      </w:r>
    </w:p>
    <w:p w14:paraId="633EEF02" w14:textId="77777777" w:rsidR="08240A2E" w:rsidRDefault="08240A2E" w:rsidP="08240A2E">
      <w:pPr>
        <w:pStyle w:val="Rejstk2"/>
        <w:tabs>
          <w:tab w:val="right" w:leader="dot" w:pos="4171"/>
        </w:tabs>
        <w:spacing w:line="240" w:lineRule="auto"/>
      </w:pPr>
      <w:r>
        <w:t>druhý averroismus</w:t>
      </w:r>
      <w:r>
        <w:tab/>
        <w:t>451, 513</w:t>
      </w:r>
    </w:p>
    <w:p w14:paraId="006413A5" w14:textId="77777777" w:rsidR="08240A2E" w:rsidRDefault="08240A2E" w:rsidP="08240A2E">
      <w:pPr>
        <w:pStyle w:val="Rejstk2"/>
        <w:tabs>
          <w:tab w:val="right" w:leader="dot" w:pos="4171"/>
        </w:tabs>
        <w:spacing w:line="240" w:lineRule="auto"/>
      </w:pPr>
      <w:r>
        <w:t>Hegel</w:t>
      </w:r>
      <w:r>
        <w:tab/>
        <w:t>568</w:t>
      </w:r>
    </w:p>
    <w:p w14:paraId="1A525458" w14:textId="77777777" w:rsidR="08240A2E" w:rsidRDefault="08240A2E" w:rsidP="08240A2E">
      <w:pPr>
        <w:pStyle w:val="Rejstk2"/>
        <w:tabs>
          <w:tab w:val="right" w:leader="dot" w:pos="4171"/>
        </w:tabs>
        <w:spacing w:line="240" w:lineRule="auto"/>
      </w:pPr>
      <w:r>
        <w:t>Husserl</w:t>
      </w:r>
      <w:r>
        <w:tab/>
        <w:t>700</w:t>
      </w:r>
    </w:p>
    <w:p w14:paraId="637A7EAC" w14:textId="77777777" w:rsidR="08240A2E" w:rsidRDefault="08240A2E" w:rsidP="08240A2E">
      <w:pPr>
        <w:pStyle w:val="Rejstk2"/>
        <w:tabs>
          <w:tab w:val="right" w:leader="dot" w:pos="4171"/>
        </w:tabs>
        <w:spacing w:line="240" w:lineRule="auto"/>
      </w:pPr>
      <w:r>
        <w:t>kapitalismus</w:t>
      </w:r>
      <w:r>
        <w:tab/>
        <w:t>699</w:t>
      </w:r>
    </w:p>
    <w:p w14:paraId="6D5A785C" w14:textId="77777777" w:rsidR="08240A2E" w:rsidRDefault="08240A2E" w:rsidP="08240A2E">
      <w:pPr>
        <w:pStyle w:val="Rejstk2"/>
        <w:tabs>
          <w:tab w:val="right" w:leader="dot" w:pos="4171"/>
        </w:tabs>
        <w:spacing w:line="240" w:lineRule="auto"/>
      </w:pPr>
      <w:r>
        <w:t>Kilwardby</w:t>
      </w:r>
      <w:r>
        <w:tab/>
        <w:t>659, 661</w:t>
      </w:r>
    </w:p>
    <w:p w14:paraId="42C858B5" w14:textId="77777777" w:rsidR="08240A2E" w:rsidRDefault="08240A2E" w:rsidP="08240A2E">
      <w:pPr>
        <w:pStyle w:val="Rejstk2"/>
        <w:tabs>
          <w:tab w:val="right" w:leader="dot" w:pos="4171"/>
        </w:tabs>
        <w:spacing w:line="240" w:lineRule="auto"/>
      </w:pPr>
      <w:r>
        <w:t>moderna</w:t>
      </w:r>
      <w:r>
        <w:tab/>
        <w:t>559, 629, 654</w:t>
      </w:r>
    </w:p>
    <w:p w14:paraId="1AFFF830" w14:textId="77777777" w:rsidR="08240A2E" w:rsidRDefault="08240A2E" w:rsidP="08240A2E">
      <w:pPr>
        <w:pStyle w:val="Rejstk2"/>
        <w:tabs>
          <w:tab w:val="right" w:leader="dot" w:pos="4171"/>
        </w:tabs>
        <w:spacing w:line="240" w:lineRule="auto"/>
      </w:pPr>
      <w:r>
        <w:t>nihilismus</w:t>
      </w:r>
      <w:r>
        <w:tab/>
        <w:t>450</w:t>
      </w:r>
    </w:p>
    <w:p w14:paraId="68E11A82" w14:textId="77777777" w:rsidR="08240A2E" w:rsidRDefault="08240A2E" w:rsidP="08240A2E">
      <w:pPr>
        <w:pStyle w:val="Rejstk2"/>
        <w:tabs>
          <w:tab w:val="right" w:leader="dot" w:pos="4171"/>
        </w:tabs>
        <w:spacing w:line="240" w:lineRule="auto"/>
      </w:pPr>
      <w:r>
        <w:t>objektivní</w:t>
      </w:r>
      <w:r>
        <w:tab/>
        <w:t>631</w:t>
      </w:r>
    </w:p>
    <w:p w14:paraId="1EC2DB99" w14:textId="77777777" w:rsidR="08240A2E" w:rsidRDefault="08240A2E" w:rsidP="08240A2E">
      <w:pPr>
        <w:pStyle w:val="Rejstk2"/>
        <w:tabs>
          <w:tab w:val="right" w:leader="dot" w:pos="4171"/>
        </w:tabs>
        <w:spacing w:line="240" w:lineRule="auto"/>
      </w:pPr>
      <w:r>
        <w:t>objetivní</w:t>
      </w:r>
      <w:r>
        <w:tab/>
        <w:t>677</w:t>
      </w:r>
    </w:p>
    <w:p w14:paraId="346F456A" w14:textId="77777777" w:rsidR="08240A2E" w:rsidRDefault="08240A2E" w:rsidP="08240A2E">
      <w:pPr>
        <w:pStyle w:val="Rejstk2"/>
        <w:tabs>
          <w:tab w:val="right" w:leader="dot" w:pos="4171"/>
        </w:tabs>
        <w:spacing w:line="240" w:lineRule="auto"/>
      </w:pPr>
      <w:r>
        <w:t>postmoderna</w:t>
      </w:r>
      <w:r>
        <w:tab/>
        <w:t>636</w:t>
      </w:r>
    </w:p>
    <w:p w14:paraId="2BC6BC44" w14:textId="77777777" w:rsidR="08240A2E" w:rsidRDefault="08240A2E" w:rsidP="08240A2E">
      <w:pPr>
        <w:pStyle w:val="Rejstk2"/>
        <w:tabs>
          <w:tab w:val="right" w:leader="dot" w:pos="4171"/>
        </w:tabs>
        <w:spacing w:line="240" w:lineRule="auto"/>
      </w:pPr>
      <w:r>
        <w:t>Rufus</w:t>
      </w:r>
      <w:r>
        <w:tab/>
        <w:t>91, 139, 507, 511, 535, 550, 569, 645</w:t>
      </w:r>
    </w:p>
    <w:p w14:paraId="02313E7F" w14:textId="77777777" w:rsidR="08240A2E" w:rsidRDefault="08240A2E" w:rsidP="08240A2E">
      <w:pPr>
        <w:pStyle w:val="Rejstk1"/>
        <w:tabs>
          <w:tab w:val="right" w:leader="dot" w:pos="4171"/>
        </w:tabs>
        <w:spacing w:line="240" w:lineRule="auto"/>
      </w:pPr>
      <w:r w:rsidRPr="001F5DB8">
        <w:rPr>
          <w:i/>
        </w:rPr>
        <w:t>science-fiction</w:t>
      </w:r>
      <w:r>
        <w:tab/>
        <w:t>529, 533, 536, 557, 573, 575, 678</w:t>
      </w:r>
    </w:p>
    <w:p w14:paraId="36372DAF" w14:textId="77777777" w:rsidR="08240A2E" w:rsidRDefault="08240A2E" w:rsidP="08240A2E">
      <w:pPr>
        <w:pStyle w:val="Rejstk1"/>
        <w:tabs>
          <w:tab w:val="right" w:leader="dot" w:pos="4171"/>
        </w:tabs>
        <w:spacing w:line="240" w:lineRule="auto"/>
      </w:pPr>
      <w:r w:rsidRPr="001F5DB8">
        <w:rPr>
          <w:i/>
        </w:rPr>
        <w:t>scientia cogitabilis</w:t>
      </w:r>
      <w:r>
        <w:tab/>
        <w:t>381</w:t>
      </w:r>
    </w:p>
    <w:p w14:paraId="7DE0581B" w14:textId="77777777" w:rsidR="08240A2E" w:rsidRDefault="08240A2E" w:rsidP="08240A2E">
      <w:pPr>
        <w:pStyle w:val="Rejstk1"/>
        <w:tabs>
          <w:tab w:val="right" w:leader="dot" w:pos="4171"/>
        </w:tabs>
        <w:spacing w:line="240" w:lineRule="auto"/>
      </w:pPr>
      <w:r>
        <w:t>Scotus, Michael</w:t>
      </w:r>
      <w:r>
        <w:tab/>
        <w:t>109, 110, 111, 152, 153</w:t>
      </w:r>
    </w:p>
    <w:p w14:paraId="22A10A3B" w14:textId="77777777" w:rsidR="08240A2E" w:rsidRDefault="08240A2E" w:rsidP="08240A2E">
      <w:pPr>
        <w:pStyle w:val="Rejstk1"/>
        <w:tabs>
          <w:tab w:val="right" w:leader="dot" w:pos="4171"/>
        </w:tabs>
        <w:spacing w:line="240" w:lineRule="auto"/>
      </w:pPr>
      <w:r w:rsidRPr="001F5DB8">
        <w:rPr>
          <w:i/>
        </w:rPr>
        <w:t>Seinsvergessenheit</w:t>
      </w:r>
      <w:r>
        <w:tab/>
        <w:t xml:space="preserve">4, 12, 25, 81, 114, </w:t>
      </w:r>
      <w:r w:rsidR="08A853F4">
        <w:t xml:space="preserve">236, </w:t>
      </w:r>
      <w:r>
        <w:t>291, 293, 419, 550</w:t>
      </w:r>
    </w:p>
    <w:p w14:paraId="17124E2E" w14:textId="77777777" w:rsidR="08240A2E" w:rsidRDefault="08240A2E" w:rsidP="08240A2E">
      <w:pPr>
        <w:pStyle w:val="Rejstk1"/>
        <w:tabs>
          <w:tab w:val="right" w:leader="dot" w:pos="4171"/>
        </w:tabs>
        <w:spacing w:line="240" w:lineRule="auto"/>
      </w:pPr>
      <w:r w:rsidRPr="001F5DB8">
        <w:rPr>
          <w:i/>
        </w:rPr>
        <w:t>Seinsverlassenheit</w:t>
      </w:r>
      <w:r>
        <w:tab/>
        <w:t>3, 4</w:t>
      </w:r>
    </w:p>
    <w:p w14:paraId="344DFEE6" w14:textId="77777777" w:rsidR="08240A2E" w:rsidRDefault="08240A2E" w:rsidP="08240A2E">
      <w:pPr>
        <w:pStyle w:val="Rejstk1"/>
        <w:tabs>
          <w:tab w:val="right" w:leader="dot" w:pos="4171"/>
        </w:tabs>
        <w:spacing w:line="240" w:lineRule="auto"/>
      </w:pPr>
      <w:r>
        <w:t>sekularizace</w:t>
      </w:r>
      <w:r>
        <w:tab/>
        <w:t>104</w:t>
      </w:r>
    </w:p>
    <w:p w14:paraId="2F387C45" w14:textId="77777777" w:rsidR="08240A2E" w:rsidRDefault="08240A2E" w:rsidP="08240A2E">
      <w:pPr>
        <w:pStyle w:val="Rejstk1"/>
        <w:tabs>
          <w:tab w:val="right" w:leader="dot" w:pos="4171"/>
        </w:tabs>
        <w:spacing w:line="240" w:lineRule="auto"/>
      </w:pPr>
      <w:r>
        <w:t>semiaverroismus</w:t>
      </w:r>
      <w:r>
        <w:tab/>
        <w:t>213, 275</w:t>
      </w:r>
    </w:p>
    <w:p w14:paraId="25043E2E" w14:textId="77777777" w:rsidR="08240A2E" w:rsidRDefault="08240A2E" w:rsidP="08240A2E">
      <w:pPr>
        <w:pStyle w:val="Rejstk1"/>
        <w:tabs>
          <w:tab w:val="right" w:leader="dot" w:pos="4171"/>
        </w:tabs>
        <w:spacing w:line="240" w:lineRule="auto"/>
      </w:pPr>
      <w:r w:rsidRPr="001F5DB8">
        <w:rPr>
          <w:i/>
        </w:rPr>
        <w:t>sensus communis</w:t>
      </w:r>
      <w:r>
        <w:tab/>
        <w:t>127, 132, 592</w:t>
      </w:r>
    </w:p>
    <w:p w14:paraId="2ED23FC2" w14:textId="77777777" w:rsidR="08240A2E" w:rsidRDefault="08240A2E" w:rsidP="08240A2E">
      <w:pPr>
        <w:pStyle w:val="Rejstk1"/>
        <w:tabs>
          <w:tab w:val="right" w:leader="dot" w:pos="4171"/>
        </w:tabs>
        <w:spacing w:line="240" w:lineRule="auto"/>
      </w:pPr>
      <w:r>
        <w:t>Sherwood, W.</w:t>
      </w:r>
      <w:r>
        <w:tab/>
        <w:t>672, 673</w:t>
      </w:r>
    </w:p>
    <w:p w14:paraId="52E4AF2C" w14:textId="77777777" w:rsidR="08240A2E" w:rsidRDefault="08240A2E" w:rsidP="08380430">
      <w:pPr>
        <w:pStyle w:val="Rejstk1"/>
        <w:tabs>
          <w:tab w:val="right" w:leader="dot" w:pos="4171"/>
        </w:tabs>
        <w:spacing w:line="240" w:lineRule="auto"/>
      </w:pPr>
      <w:r>
        <w:t>scholastika</w:t>
      </w:r>
      <w:r w:rsidR="08380430">
        <w:t xml:space="preserve">, </w:t>
      </w:r>
      <w:r>
        <w:t>druhý začátek</w:t>
      </w:r>
      <w:r>
        <w:tab/>
        <w:t>630</w:t>
      </w:r>
    </w:p>
    <w:p w14:paraId="2A20FF94" w14:textId="77777777" w:rsidR="08240A2E" w:rsidRDefault="08240A2E" w:rsidP="08240A2E">
      <w:pPr>
        <w:pStyle w:val="Rejstk1"/>
        <w:tabs>
          <w:tab w:val="right" w:leader="dot" w:pos="4171"/>
        </w:tabs>
        <w:spacing w:line="240" w:lineRule="auto"/>
      </w:pPr>
      <w:r w:rsidRPr="001F5DB8">
        <w:rPr>
          <w:i/>
        </w:rPr>
        <w:t>scholé</w:t>
      </w:r>
      <w:r>
        <w:tab/>
        <w:t>3</w:t>
      </w:r>
    </w:p>
    <w:p w14:paraId="4EF9AD60" w14:textId="77777777" w:rsidR="08240A2E" w:rsidRDefault="08240A2E" w:rsidP="08240A2E">
      <w:pPr>
        <w:pStyle w:val="Rejstk1"/>
        <w:tabs>
          <w:tab w:val="right" w:leader="dot" w:pos="4171"/>
        </w:tabs>
        <w:spacing w:line="240" w:lineRule="auto"/>
      </w:pPr>
      <w:r>
        <w:t>Sicilská škola</w:t>
      </w:r>
      <w:r>
        <w:tab/>
        <w:t>111, 142, 143, 153, 155, 176, 190, 194, 196, 208, 212, 251, 252, 258, 265, 287, 293, 299, 324, 382, 498, 594, 597, 608, 614, 663, 681, 697</w:t>
      </w:r>
    </w:p>
    <w:p w14:paraId="5B7D2932" w14:textId="77777777" w:rsidR="08240A2E" w:rsidRDefault="08240A2E" w:rsidP="08240A2E">
      <w:pPr>
        <w:pStyle w:val="Rejstk1"/>
        <w:tabs>
          <w:tab w:val="right" w:leader="dot" w:pos="4171"/>
        </w:tabs>
        <w:spacing w:line="240" w:lineRule="auto"/>
      </w:pPr>
      <w:r>
        <w:t>signifikace</w:t>
      </w:r>
    </w:p>
    <w:p w14:paraId="6BA23D86" w14:textId="4DDDDC5A" w:rsidR="08240A2E" w:rsidRDefault="00CB3E4F" w:rsidP="08240A2E">
      <w:pPr>
        <w:pStyle w:val="Rejstk2"/>
        <w:tabs>
          <w:tab w:val="right" w:leader="dot" w:pos="4171"/>
        </w:tabs>
        <w:spacing w:line="240" w:lineRule="auto"/>
      </w:pPr>
      <w:r>
        <w:t>Abélard</w:t>
      </w:r>
      <w:r w:rsidR="08240A2E">
        <w:tab/>
        <w:t>33, 38, 41</w:t>
      </w:r>
    </w:p>
    <w:p w14:paraId="4A1F4021" w14:textId="77777777" w:rsidR="08240A2E" w:rsidRDefault="08240A2E" w:rsidP="08240A2E">
      <w:pPr>
        <w:pStyle w:val="Rejstk2"/>
        <w:tabs>
          <w:tab w:val="right" w:leader="dot" w:pos="4171"/>
        </w:tabs>
        <w:spacing w:line="240" w:lineRule="auto"/>
      </w:pPr>
      <w:r>
        <w:t>Anselm</w:t>
      </w:r>
      <w:r>
        <w:tab/>
        <w:t>24</w:t>
      </w:r>
    </w:p>
    <w:p w14:paraId="2BEC14F8" w14:textId="77777777" w:rsidR="08240A2E" w:rsidRDefault="08240A2E" w:rsidP="08240A2E">
      <w:pPr>
        <w:pStyle w:val="Rejstk2"/>
        <w:tabs>
          <w:tab w:val="right" w:leader="dot" w:pos="4171"/>
        </w:tabs>
        <w:spacing w:line="240" w:lineRule="auto"/>
      </w:pPr>
      <w:r>
        <w:t>Boethius</w:t>
      </w:r>
      <w:r>
        <w:tab/>
        <w:t>16, 19</w:t>
      </w:r>
    </w:p>
    <w:p w14:paraId="1AED45EA" w14:textId="77777777" w:rsidR="08240A2E" w:rsidRDefault="08240A2E" w:rsidP="08240A2E">
      <w:pPr>
        <w:pStyle w:val="Rejstk2"/>
        <w:tabs>
          <w:tab w:val="right" w:leader="dot" w:pos="4171"/>
        </w:tabs>
        <w:spacing w:line="240" w:lineRule="auto"/>
      </w:pPr>
      <w:r>
        <w:t>impozice</w:t>
      </w:r>
      <w:r>
        <w:tab/>
        <w:t>41</w:t>
      </w:r>
    </w:p>
    <w:p w14:paraId="1B9FD0FE" w14:textId="77777777" w:rsidR="08240A2E" w:rsidRDefault="08240A2E" w:rsidP="08240A2E">
      <w:pPr>
        <w:pStyle w:val="Rejstk2"/>
        <w:tabs>
          <w:tab w:val="right" w:leader="dot" w:pos="4171"/>
        </w:tabs>
        <w:spacing w:line="240" w:lineRule="auto"/>
      </w:pPr>
      <w:r>
        <w:t>objektivní</w:t>
      </w:r>
      <w:r>
        <w:tab/>
        <w:t>58</w:t>
      </w:r>
    </w:p>
    <w:p w14:paraId="5D214F7A" w14:textId="77777777" w:rsidR="08240A2E" w:rsidRDefault="08240A2E" w:rsidP="08240A2E">
      <w:pPr>
        <w:pStyle w:val="Rejstk2"/>
        <w:tabs>
          <w:tab w:val="right" w:leader="dot" w:pos="4171"/>
        </w:tabs>
        <w:spacing w:line="240" w:lineRule="auto"/>
      </w:pPr>
      <w:r>
        <w:t>porretáni</w:t>
      </w:r>
      <w:r>
        <w:tab/>
        <w:t>201</w:t>
      </w:r>
    </w:p>
    <w:p w14:paraId="61F2E5CB" w14:textId="77777777" w:rsidR="08240A2E" w:rsidRDefault="08240A2E" w:rsidP="08240A2E">
      <w:pPr>
        <w:pStyle w:val="Rejstk2"/>
        <w:tabs>
          <w:tab w:val="right" w:leader="dot" w:pos="4171"/>
        </w:tabs>
        <w:spacing w:line="240" w:lineRule="auto"/>
      </w:pPr>
      <w:r w:rsidRPr="001F5DB8">
        <w:rPr>
          <w:i/>
        </w:rPr>
        <w:t>significatio substantialis</w:t>
      </w:r>
      <w:r>
        <w:tab/>
        <w:t>21, 73</w:t>
      </w:r>
    </w:p>
    <w:p w14:paraId="3E667ADB" w14:textId="77777777" w:rsidR="08240A2E" w:rsidRDefault="08240A2E" w:rsidP="08240A2E">
      <w:pPr>
        <w:pStyle w:val="Rejstk2"/>
        <w:tabs>
          <w:tab w:val="right" w:leader="dot" w:pos="4171"/>
        </w:tabs>
        <w:spacing w:line="240" w:lineRule="auto"/>
      </w:pPr>
      <w:r>
        <w:t xml:space="preserve">škola </w:t>
      </w:r>
      <w:r w:rsidRPr="001F5DB8">
        <w:rPr>
          <w:i/>
        </w:rPr>
        <w:t>Nominales</w:t>
      </w:r>
      <w:r>
        <w:tab/>
        <w:t>59, 66</w:t>
      </w:r>
    </w:p>
    <w:p w14:paraId="7C8402CA" w14:textId="77777777" w:rsidR="08240A2E" w:rsidRDefault="08240A2E" w:rsidP="08240A2E">
      <w:pPr>
        <w:pStyle w:val="Rejstk2"/>
        <w:tabs>
          <w:tab w:val="right" w:leader="dot" w:pos="4171"/>
        </w:tabs>
        <w:spacing w:line="240" w:lineRule="auto"/>
      </w:pPr>
      <w:r>
        <w:t>univoční</w:t>
      </w:r>
      <w:r>
        <w:tab/>
        <w:t>43</w:t>
      </w:r>
    </w:p>
    <w:p w14:paraId="6F6BFA6A" w14:textId="77777777" w:rsidR="08240A2E" w:rsidRDefault="08240A2E" w:rsidP="08240A2E">
      <w:pPr>
        <w:pStyle w:val="Rejstk1"/>
        <w:tabs>
          <w:tab w:val="right" w:leader="dot" w:pos="4171"/>
        </w:tabs>
        <w:spacing w:line="240" w:lineRule="auto"/>
      </w:pPr>
      <w:r>
        <w:t>Simplikius</w:t>
      </w:r>
      <w:r w:rsidR="08380430">
        <w:t xml:space="preserve">, viz </w:t>
      </w:r>
      <w:r w:rsidR="08380430" w:rsidRPr="08380430">
        <w:rPr>
          <w:i/>
        </w:rPr>
        <w:t>Index locorum</w:t>
      </w:r>
      <w:r>
        <w:tab/>
        <w:t>55</w:t>
      </w:r>
    </w:p>
    <w:p w14:paraId="1C72983D" w14:textId="77777777" w:rsidR="08240A2E" w:rsidRDefault="08240A2E" w:rsidP="08240A2E">
      <w:pPr>
        <w:pStyle w:val="Rejstk1"/>
        <w:tabs>
          <w:tab w:val="right" w:leader="dot" w:pos="4171"/>
        </w:tabs>
        <w:spacing w:line="240" w:lineRule="auto"/>
      </w:pPr>
      <w:r>
        <w:t>simulákrum</w:t>
      </w:r>
      <w:r>
        <w:tab/>
        <w:t>223, 281, 314, 327, 410, 447, 450, 562, 587, 600, 612, 637, 662</w:t>
      </w:r>
    </w:p>
    <w:p w14:paraId="73472D01" w14:textId="77777777" w:rsidR="08240A2E" w:rsidRDefault="08240A2E" w:rsidP="08240A2E">
      <w:pPr>
        <w:pStyle w:val="Rejstk1"/>
        <w:tabs>
          <w:tab w:val="right" w:leader="dot" w:pos="4171"/>
        </w:tabs>
        <w:spacing w:line="240" w:lineRule="auto"/>
      </w:pPr>
      <w:r>
        <w:t>smrt boha</w:t>
      </w:r>
      <w:r>
        <w:tab/>
        <w:t>6, 28, 48, 80, 84, 296, 341, 386, 389, 390, 409, 419, 449, 540, 576, 654, 699</w:t>
      </w:r>
    </w:p>
    <w:p w14:paraId="0C967F32" w14:textId="77777777" w:rsidR="08240A2E" w:rsidRDefault="08240A2E" w:rsidP="08240A2E">
      <w:pPr>
        <w:pStyle w:val="Rejstk1"/>
        <w:tabs>
          <w:tab w:val="right" w:leader="dot" w:pos="4171"/>
        </w:tabs>
        <w:spacing w:line="240" w:lineRule="auto"/>
      </w:pPr>
      <w:r>
        <w:t>smrt subjektu</w:t>
      </w:r>
      <w:r>
        <w:tab/>
        <w:t>516, 546</w:t>
      </w:r>
    </w:p>
    <w:p w14:paraId="049A5026" w14:textId="77777777" w:rsidR="08240A2E" w:rsidRDefault="08240A2E" w:rsidP="08240A2E">
      <w:pPr>
        <w:pStyle w:val="Rejstk1"/>
        <w:tabs>
          <w:tab w:val="right" w:leader="dot" w:pos="4171"/>
        </w:tabs>
        <w:spacing w:line="240" w:lineRule="auto"/>
      </w:pPr>
      <w:r>
        <w:t>sofisma člověk-mrtvola</w:t>
      </w:r>
      <w:r>
        <w:tab/>
        <w:t>32, 36, 159, 160, 161, 164, 201, 214, 223, 232, 348, 377, 381, 386, 405, 419, 423, 480, 483, 569, 634, 647, 671</w:t>
      </w:r>
    </w:p>
    <w:p w14:paraId="2F017103" w14:textId="77777777" w:rsidR="08240A2E" w:rsidRDefault="08240A2E" w:rsidP="08240A2E">
      <w:pPr>
        <w:pStyle w:val="Rejstk1"/>
        <w:tabs>
          <w:tab w:val="right" w:leader="dot" w:pos="4171"/>
        </w:tabs>
        <w:spacing w:line="240" w:lineRule="auto"/>
      </w:pPr>
      <w:r>
        <w:t>Sokrates</w:t>
      </w:r>
      <w:r>
        <w:tab/>
        <w:t>3</w:t>
      </w:r>
    </w:p>
    <w:p w14:paraId="65594433" w14:textId="77777777" w:rsidR="08240A2E" w:rsidRDefault="08240A2E" w:rsidP="08240A2E">
      <w:pPr>
        <w:pStyle w:val="Rejstk1"/>
        <w:tabs>
          <w:tab w:val="right" w:leader="dot" w:pos="4171"/>
        </w:tabs>
        <w:spacing w:line="240" w:lineRule="auto"/>
      </w:pPr>
      <w:r>
        <w:t>species</w:t>
      </w:r>
    </w:p>
    <w:p w14:paraId="2C9A36A4" w14:textId="77777777" w:rsidR="08240A2E" w:rsidRDefault="08240A2E" w:rsidP="08240A2E">
      <w:pPr>
        <w:pStyle w:val="Rejstk2"/>
        <w:tabs>
          <w:tab w:val="right" w:leader="dot" w:pos="4171"/>
        </w:tabs>
        <w:spacing w:line="240" w:lineRule="auto"/>
      </w:pPr>
      <w:r>
        <w:t>druhý averroismus</w:t>
      </w:r>
      <w:r>
        <w:tab/>
        <w:t>138, 178</w:t>
      </w:r>
    </w:p>
    <w:p w14:paraId="332EEA73" w14:textId="77777777" w:rsidR="08240A2E" w:rsidRDefault="08240A2E" w:rsidP="08240A2E">
      <w:pPr>
        <w:pStyle w:val="Rejstk2"/>
        <w:tabs>
          <w:tab w:val="right" w:leader="dot" w:pos="4171"/>
        </w:tabs>
        <w:spacing w:line="240" w:lineRule="auto"/>
      </w:pPr>
      <w:r>
        <w:t>dvojí pojetí</w:t>
      </w:r>
      <w:r>
        <w:tab/>
        <w:t>139, 161</w:t>
      </w:r>
    </w:p>
    <w:p w14:paraId="29E51273" w14:textId="77777777" w:rsidR="08240A2E" w:rsidRDefault="08240A2E" w:rsidP="08240A2E">
      <w:pPr>
        <w:pStyle w:val="Rejstk2"/>
        <w:tabs>
          <w:tab w:val="right" w:leader="dot" w:pos="4171"/>
        </w:tabs>
        <w:spacing w:line="240" w:lineRule="auto"/>
      </w:pPr>
      <w:r>
        <w:t>dvojí určení</w:t>
      </w:r>
      <w:r>
        <w:tab/>
        <w:t>213, 239, 268</w:t>
      </w:r>
    </w:p>
    <w:p w14:paraId="540182FE" w14:textId="77777777" w:rsidR="08240A2E" w:rsidRDefault="08240A2E" w:rsidP="08240A2E">
      <w:pPr>
        <w:pStyle w:val="Rejstk2"/>
        <w:tabs>
          <w:tab w:val="right" w:leader="dot" w:pos="4171"/>
        </w:tabs>
        <w:spacing w:line="240" w:lineRule="auto"/>
      </w:pPr>
      <w:r>
        <w:t>první averroismus</w:t>
      </w:r>
      <w:r>
        <w:tab/>
        <w:t>165</w:t>
      </w:r>
    </w:p>
    <w:p w14:paraId="590B3379" w14:textId="350A9920" w:rsidR="08240A2E" w:rsidRDefault="004B4D52" w:rsidP="08240A2E">
      <w:pPr>
        <w:pStyle w:val="Rejstk1"/>
        <w:tabs>
          <w:tab w:val="right" w:leader="dot" w:pos="4171"/>
        </w:tabs>
        <w:spacing w:line="240" w:lineRule="auto"/>
      </w:pPr>
      <w:r w:rsidRPr="004B4D52">
        <w:t>species</w:t>
      </w:r>
      <w:r w:rsidR="08240A2E" w:rsidRPr="001F5DB8">
        <w:rPr>
          <w:i/>
        </w:rPr>
        <w:t xml:space="preserve"> intelligibilis</w:t>
      </w:r>
    </w:p>
    <w:p w14:paraId="1DC283B3" w14:textId="77777777" w:rsidR="08240A2E" w:rsidRDefault="08240A2E" w:rsidP="08240A2E">
      <w:pPr>
        <w:pStyle w:val="Rejstk2"/>
        <w:tabs>
          <w:tab w:val="right" w:leader="dot" w:pos="4171"/>
        </w:tabs>
        <w:spacing w:line="240" w:lineRule="auto"/>
      </w:pPr>
      <w:r>
        <w:t>Albert</w:t>
      </w:r>
      <w:r>
        <w:tab/>
        <w:t>273, 293</w:t>
      </w:r>
    </w:p>
    <w:p w14:paraId="4A431C3B" w14:textId="77777777" w:rsidR="08240A2E" w:rsidRDefault="08240A2E" w:rsidP="08240A2E">
      <w:pPr>
        <w:pStyle w:val="Rejstk2"/>
        <w:tabs>
          <w:tab w:val="right" w:leader="dot" w:pos="4171"/>
        </w:tabs>
        <w:spacing w:line="240" w:lineRule="auto"/>
      </w:pPr>
      <w:r>
        <w:t>Alvernus</w:t>
      </w:r>
      <w:r>
        <w:tab/>
        <w:t>209, 332</w:t>
      </w:r>
    </w:p>
    <w:p w14:paraId="0B9ED1BD" w14:textId="77777777" w:rsidR="08240A2E" w:rsidRDefault="08240A2E" w:rsidP="08240A2E">
      <w:pPr>
        <w:pStyle w:val="Rejstk2"/>
        <w:tabs>
          <w:tab w:val="right" w:leader="dot" w:pos="4171"/>
        </w:tabs>
        <w:spacing w:line="240" w:lineRule="auto"/>
      </w:pPr>
      <w:r>
        <w:t>Avicebron</w:t>
      </w:r>
      <w:r>
        <w:tab/>
        <w:t>456</w:t>
      </w:r>
    </w:p>
    <w:p w14:paraId="66E0EC04" w14:textId="77777777" w:rsidR="08240A2E" w:rsidRDefault="08240A2E" w:rsidP="08240A2E">
      <w:pPr>
        <w:pStyle w:val="Rejstk2"/>
        <w:tabs>
          <w:tab w:val="right" w:leader="dot" w:pos="4171"/>
        </w:tabs>
        <w:spacing w:line="240" w:lineRule="auto"/>
      </w:pPr>
      <w:r>
        <w:t>Avicenna</w:t>
      </w:r>
      <w:r>
        <w:tab/>
        <w:t>269, 279, 571</w:t>
      </w:r>
    </w:p>
    <w:p w14:paraId="5DCB43AC" w14:textId="77777777" w:rsidR="08240A2E" w:rsidRDefault="08240A2E" w:rsidP="08240A2E">
      <w:pPr>
        <w:pStyle w:val="Rejstk2"/>
        <w:tabs>
          <w:tab w:val="right" w:leader="dot" w:pos="4171"/>
        </w:tabs>
        <w:spacing w:line="240" w:lineRule="auto"/>
      </w:pPr>
      <w:r>
        <w:t>Blund</w:t>
      </w:r>
      <w:r>
        <w:tab/>
        <w:t>136</w:t>
      </w:r>
    </w:p>
    <w:p w14:paraId="59EFFEBD" w14:textId="77777777" w:rsidR="08240A2E" w:rsidRDefault="08240A2E" w:rsidP="08240A2E">
      <w:pPr>
        <w:pStyle w:val="Rejstk2"/>
        <w:tabs>
          <w:tab w:val="right" w:leader="dot" w:pos="4171"/>
        </w:tabs>
        <w:spacing w:line="240" w:lineRule="auto"/>
      </w:pPr>
      <w:r>
        <w:t>druhý averroismus</w:t>
      </w:r>
      <w:r>
        <w:tab/>
        <w:t>258, 279, 294, 302</w:t>
      </w:r>
    </w:p>
    <w:p w14:paraId="670C9005" w14:textId="77777777" w:rsidR="08240A2E" w:rsidRDefault="08240A2E" w:rsidP="08240A2E">
      <w:pPr>
        <w:pStyle w:val="Rejstk2"/>
        <w:tabs>
          <w:tab w:val="right" w:leader="dot" w:pos="4171"/>
        </w:tabs>
        <w:spacing w:line="240" w:lineRule="auto"/>
      </w:pPr>
      <w:r>
        <w:t>první averroismus</w:t>
      </w:r>
      <w:r>
        <w:tab/>
        <w:t xml:space="preserve">171, 173, 278, </w:t>
      </w:r>
      <w:r w:rsidR="08BC6931">
        <w:t xml:space="preserve">303, </w:t>
      </w:r>
      <w:r>
        <w:t>325, 493, 567</w:t>
      </w:r>
      <w:r w:rsidR="08BC6931">
        <w:t>, 673</w:t>
      </w:r>
    </w:p>
    <w:p w14:paraId="67FDF737" w14:textId="77777777" w:rsidR="08240A2E" w:rsidRDefault="08240A2E" w:rsidP="08240A2E">
      <w:pPr>
        <w:pStyle w:val="Rejstk2"/>
        <w:tabs>
          <w:tab w:val="right" w:leader="dot" w:pos="4171"/>
        </w:tabs>
        <w:spacing w:line="240" w:lineRule="auto"/>
      </w:pPr>
      <w:r>
        <w:t>Rufus</w:t>
      </w:r>
      <w:r>
        <w:tab/>
        <w:t>593</w:t>
      </w:r>
    </w:p>
    <w:p w14:paraId="1501EC4C" w14:textId="2A4A8713" w:rsidR="08240A2E" w:rsidRDefault="004B4D52" w:rsidP="08240A2E">
      <w:pPr>
        <w:pStyle w:val="Rejstk1"/>
        <w:tabs>
          <w:tab w:val="right" w:leader="dot" w:pos="4171"/>
        </w:tabs>
        <w:spacing w:line="240" w:lineRule="auto"/>
      </w:pPr>
      <w:r w:rsidRPr="004B4D52">
        <w:t>species</w:t>
      </w:r>
      <w:r w:rsidR="08240A2E">
        <w:t xml:space="preserve"> </w:t>
      </w:r>
      <w:r w:rsidR="08240A2E" w:rsidRPr="001F5DB8">
        <w:rPr>
          <w:i/>
        </w:rPr>
        <w:t>obiecti exsistentis</w:t>
      </w:r>
      <w:r w:rsidR="08240A2E">
        <w:tab/>
        <w:t>285, 447, 627, 631, 636, 637, 657, 662</w:t>
      </w:r>
    </w:p>
    <w:p w14:paraId="05D2E7FE" w14:textId="33AC5F69" w:rsidR="08240A2E" w:rsidRDefault="004B4D52" w:rsidP="08240A2E">
      <w:pPr>
        <w:pStyle w:val="Rejstk1"/>
        <w:tabs>
          <w:tab w:val="right" w:leader="dot" w:pos="4171"/>
        </w:tabs>
        <w:spacing w:line="240" w:lineRule="auto"/>
      </w:pPr>
      <w:r w:rsidRPr="004B4D52">
        <w:t>species</w:t>
      </w:r>
      <w:r w:rsidR="08240A2E" w:rsidRPr="001F5DB8">
        <w:rPr>
          <w:i/>
        </w:rPr>
        <w:t xml:space="preserve"> sensibilis</w:t>
      </w:r>
      <w:r w:rsidR="08240A2E">
        <w:tab/>
        <w:t>136, 165, 182, 325, 552, 571, 588, 595, 619</w:t>
      </w:r>
    </w:p>
    <w:p w14:paraId="071AC096" w14:textId="64217BC6" w:rsidR="08240A2E" w:rsidRDefault="004B4D52" w:rsidP="08240A2E">
      <w:pPr>
        <w:pStyle w:val="Rejstk1"/>
        <w:tabs>
          <w:tab w:val="right" w:leader="dot" w:pos="4171"/>
        </w:tabs>
        <w:spacing w:line="240" w:lineRule="auto"/>
      </w:pPr>
      <w:r w:rsidRPr="004B4D52">
        <w:t>species</w:t>
      </w:r>
      <w:r w:rsidR="08240A2E" w:rsidRPr="001F5DB8">
        <w:rPr>
          <w:i/>
        </w:rPr>
        <w:t xml:space="preserve"> specialissima</w:t>
      </w:r>
      <w:r w:rsidR="08240A2E">
        <w:tab/>
        <w:t>68, 75, 81, 87, 91, 228, 315, 446, 479, 537, 555, 558, 579, 581, 583, 607, 625</w:t>
      </w:r>
    </w:p>
    <w:p w14:paraId="285AEEA5" w14:textId="77777777" w:rsidR="08240A2E" w:rsidRDefault="08240A2E" w:rsidP="08240A2E">
      <w:pPr>
        <w:pStyle w:val="Rejstk1"/>
        <w:tabs>
          <w:tab w:val="right" w:leader="dot" w:pos="4171"/>
        </w:tabs>
        <w:spacing w:line="240" w:lineRule="auto"/>
      </w:pPr>
      <w:r w:rsidRPr="001F5DB8">
        <w:rPr>
          <w:i/>
        </w:rPr>
        <w:t>speculatio</w:t>
      </w:r>
      <w:r>
        <w:tab/>
        <w:t>128, 219</w:t>
      </w:r>
    </w:p>
    <w:p w14:paraId="4381F39A" w14:textId="77777777" w:rsidR="08240A2E" w:rsidRDefault="08240A2E" w:rsidP="08240A2E">
      <w:pPr>
        <w:pStyle w:val="Rejstk1"/>
        <w:tabs>
          <w:tab w:val="right" w:leader="dot" w:pos="4171"/>
        </w:tabs>
        <w:spacing w:line="240" w:lineRule="auto"/>
      </w:pPr>
      <w:r w:rsidRPr="001F5DB8">
        <w:rPr>
          <w:i/>
        </w:rPr>
        <w:t>speculum</w:t>
      </w:r>
      <w:r>
        <w:tab/>
        <w:t>450, 553, 575</w:t>
      </w:r>
    </w:p>
    <w:p w14:paraId="6B6B359B" w14:textId="77777777" w:rsidR="08240A2E" w:rsidRDefault="08240A2E" w:rsidP="08240A2E">
      <w:pPr>
        <w:pStyle w:val="Rejstk1"/>
        <w:tabs>
          <w:tab w:val="right" w:leader="dot" w:pos="4171"/>
        </w:tabs>
        <w:spacing w:line="240" w:lineRule="auto"/>
      </w:pPr>
      <w:r>
        <w:t>Spinoza, B.</w:t>
      </w:r>
      <w:r>
        <w:tab/>
        <w:t>149</w:t>
      </w:r>
    </w:p>
    <w:p w14:paraId="0AF47346" w14:textId="77777777" w:rsidR="08240A2E" w:rsidRDefault="08240A2E" w:rsidP="08240A2E">
      <w:pPr>
        <w:pStyle w:val="Rejstk1"/>
        <w:tabs>
          <w:tab w:val="right" w:leader="dot" w:pos="4171"/>
        </w:tabs>
        <w:spacing w:line="240" w:lineRule="auto"/>
      </w:pPr>
      <w:r>
        <w:t>spor o univerzália</w:t>
      </w:r>
      <w:r>
        <w:tab/>
        <w:t>16, 92, 412, 414, 582, 625</w:t>
      </w:r>
    </w:p>
    <w:p w14:paraId="5EF6F090" w14:textId="77777777" w:rsidR="08240A2E" w:rsidRDefault="08240A2E" w:rsidP="08240A2E">
      <w:pPr>
        <w:pStyle w:val="Rejstk1"/>
        <w:tabs>
          <w:tab w:val="right" w:leader="dot" w:pos="4171"/>
        </w:tabs>
        <w:spacing w:line="240" w:lineRule="auto"/>
      </w:pPr>
      <w:r>
        <w:t>Starý zákon</w:t>
      </w:r>
      <w:r w:rsidR="08155226">
        <w:t xml:space="preserve">, viz </w:t>
      </w:r>
      <w:r w:rsidR="08155226" w:rsidRPr="08155226">
        <w:rPr>
          <w:i/>
        </w:rPr>
        <w:t>Index locorum</w:t>
      </w:r>
    </w:p>
    <w:p w14:paraId="42779DA1" w14:textId="77777777" w:rsidR="08240A2E" w:rsidRDefault="08240A2E" w:rsidP="08155226">
      <w:pPr>
        <w:pStyle w:val="Rejstk1"/>
        <w:tabs>
          <w:tab w:val="right" w:leader="dot" w:pos="4171"/>
        </w:tabs>
        <w:spacing w:line="240" w:lineRule="auto"/>
      </w:pPr>
      <w:r>
        <w:t>Suárez, F</w:t>
      </w:r>
      <w:r w:rsidR="08155226">
        <w:t xml:space="preserve">., viz </w:t>
      </w:r>
      <w:r w:rsidR="08155226">
        <w:rPr>
          <w:i/>
        </w:rPr>
        <w:t>Index loc</w:t>
      </w:r>
      <w:r w:rsidR="08155226" w:rsidRPr="08155226">
        <w:rPr>
          <w:i/>
        </w:rPr>
        <w:t>orum</w:t>
      </w:r>
      <w:r>
        <w:t>.</w:t>
      </w:r>
      <w:r>
        <w:tab/>
        <w:t>290, 291, 585</w:t>
      </w:r>
    </w:p>
    <w:p w14:paraId="01E6F0C0" w14:textId="77777777" w:rsidR="08240A2E" w:rsidRDefault="08240A2E" w:rsidP="08240A2E">
      <w:pPr>
        <w:pStyle w:val="Rejstk1"/>
        <w:tabs>
          <w:tab w:val="right" w:leader="dot" w:pos="4171"/>
        </w:tabs>
        <w:spacing w:line="240" w:lineRule="auto"/>
      </w:pPr>
      <w:r w:rsidRPr="001F5DB8">
        <w:rPr>
          <w:i/>
        </w:rPr>
        <w:t>subiectum</w:t>
      </w:r>
    </w:p>
    <w:p w14:paraId="13AE9F43" w14:textId="77777777" w:rsidR="08240A2E" w:rsidRDefault="08240A2E" w:rsidP="08240A2E">
      <w:pPr>
        <w:pStyle w:val="Rejstk2"/>
        <w:tabs>
          <w:tab w:val="right" w:leader="dot" w:pos="4171"/>
        </w:tabs>
        <w:spacing w:line="240" w:lineRule="auto"/>
      </w:pPr>
      <w:r>
        <w:t>Anselm</w:t>
      </w:r>
      <w:r>
        <w:tab/>
        <w:t>27</w:t>
      </w:r>
    </w:p>
    <w:p w14:paraId="2D2098F2" w14:textId="77777777" w:rsidR="08240A2E" w:rsidRDefault="08240A2E" w:rsidP="08240A2E">
      <w:pPr>
        <w:pStyle w:val="Rejstk2"/>
        <w:tabs>
          <w:tab w:val="right" w:leader="dot" w:pos="4171"/>
        </w:tabs>
        <w:spacing w:line="240" w:lineRule="auto"/>
      </w:pPr>
      <w:r>
        <w:t>Aristoteles</w:t>
      </w:r>
      <w:r>
        <w:tab/>
        <w:t>406</w:t>
      </w:r>
    </w:p>
    <w:p w14:paraId="569850F5" w14:textId="77777777" w:rsidR="08240A2E" w:rsidRDefault="08240A2E" w:rsidP="08240A2E">
      <w:pPr>
        <w:pStyle w:val="Rejstk2"/>
        <w:tabs>
          <w:tab w:val="right" w:leader="dot" w:pos="4171"/>
        </w:tabs>
        <w:spacing w:line="240" w:lineRule="auto"/>
      </w:pPr>
      <w:r>
        <w:t>Blund</w:t>
      </w:r>
      <w:r>
        <w:tab/>
        <w:t>128</w:t>
      </w:r>
    </w:p>
    <w:p w14:paraId="2C66A710" w14:textId="77777777" w:rsidR="08240A2E" w:rsidRDefault="08240A2E" w:rsidP="08240A2E">
      <w:pPr>
        <w:pStyle w:val="Rejstk2"/>
        <w:tabs>
          <w:tab w:val="right" w:leader="dot" w:pos="4171"/>
        </w:tabs>
        <w:spacing w:line="240" w:lineRule="auto"/>
      </w:pPr>
      <w:r>
        <w:t>duše</w:t>
      </w:r>
      <w:r>
        <w:tab/>
        <w:t>275</w:t>
      </w:r>
    </w:p>
    <w:p w14:paraId="7923E567" w14:textId="77777777" w:rsidR="08240A2E" w:rsidRDefault="08240A2E" w:rsidP="08240A2E">
      <w:pPr>
        <w:pStyle w:val="Rejstk2"/>
        <w:tabs>
          <w:tab w:val="right" w:leader="dot" w:pos="4171"/>
        </w:tabs>
        <w:spacing w:line="240" w:lineRule="auto"/>
      </w:pPr>
      <w:r w:rsidRPr="001F5DB8">
        <w:rPr>
          <w:i/>
        </w:rPr>
        <w:t>Grammatici</w:t>
      </w:r>
      <w:r>
        <w:tab/>
        <w:t>221</w:t>
      </w:r>
    </w:p>
    <w:p w14:paraId="7124A364" w14:textId="77777777" w:rsidR="08240A2E" w:rsidRDefault="08240A2E" w:rsidP="08240A2E">
      <w:pPr>
        <w:pStyle w:val="Rejstk2"/>
        <w:tabs>
          <w:tab w:val="right" w:leader="dot" w:pos="4171"/>
        </w:tabs>
        <w:spacing w:line="240" w:lineRule="auto"/>
      </w:pPr>
      <w:r>
        <w:t>intelekt</w:t>
      </w:r>
      <w:r>
        <w:tab/>
        <w:t>273, 287</w:t>
      </w:r>
    </w:p>
    <w:p w14:paraId="259D20A7" w14:textId="77777777" w:rsidR="08240A2E" w:rsidRDefault="08240A2E" w:rsidP="08240A2E">
      <w:pPr>
        <w:pStyle w:val="Rejstk2"/>
        <w:tabs>
          <w:tab w:val="right" w:leader="dot" w:pos="4171"/>
        </w:tabs>
        <w:spacing w:line="240" w:lineRule="auto"/>
      </w:pPr>
      <w:r>
        <w:t>Kilwardby</w:t>
      </w:r>
      <w:r>
        <w:tab/>
        <w:t>651</w:t>
      </w:r>
    </w:p>
    <w:p w14:paraId="17FA5ABF" w14:textId="77777777" w:rsidR="08240A2E" w:rsidRDefault="08240A2E" w:rsidP="08240A2E">
      <w:pPr>
        <w:pStyle w:val="Rejstk2"/>
        <w:tabs>
          <w:tab w:val="right" w:leader="dot" w:pos="4171"/>
        </w:tabs>
        <w:spacing w:line="240" w:lineRule="auto"/>
      </w:pPr>
      <w:r>
        <w:t>objektivní</w:t>
      </w:r>
      <w:r>
        <w:tab/>
        <w:t>278</w:t>
      </w:r>
    </w:p>
    <w:p w14:paraId="7A780E13" w14:textId="77777777" w:rsidR="08240A2E" w:rsidRDefault="08240A2E" w:rsidP="08240A2E">
      <w:pPr>
        <w:pStyle w:val="Rejstk2"/>
        <w:tabs>
          <w:tab w:val="right" w:leader="dot" w:pos="4171"/>
        </w:tabs>
        <w:spacing w:line="240" w:lineRule="auto"/>
      </w:pPr>
      <w:r>
        <w:t>porretáni</w:t>
      </w:r>
      <w:r>
        <w:tab/>
        <w:t>91</w:t>
      </w:r>
    </w:p>
    <w:p w14:paraId="6AC0F40C" w14:textId="77777777" w:rsidR="08240A2E" w:rsidRDefault="08240A2E" w:rsidP="08240A2E">
      <w:pPr>
        <w:pStyle w:val="Rejstk2"/>
        <w:tabs>
          <w:tab w:val="right" w:leader="dot" w:pos="4171"/>
        </w:tabs>
        <w:spacing w:line="240" w:lineRule="auto"/>
      </w:pPr>
      <w:r>
        <w:t>první averroismus</w:t>
      </w:r>
      <w:r>
        <w:tab/>
        <w:t>188</w:t>
      </w:r>
    </w:p>
    <w:p w14:paraId="075F6806" w14:textId="77777777" w:rsidR="08240A2E" w:rsidRDefault="08240A2E" w:rsidP="08240A2E">
      <w:pPr>
        <w:pStyle w:val="Rejstk2"/>
        <w:tabs>
          <w:tab w:val="right" w:leader="dot" w:pos="4171"/>
        </w:tabs>
        <w:spacing w:line="240" w:lineRule="auto"/>
      </w:pPr>
      <w:r>
        <w:t>Rufus</w:t>
      </w:r>
      <w:r>
        <w:tab/>
        <w:t>501, 539</w:t>
      </w:r>
    </w:p>
    <w:p w14:paraId="722664BA" w14:textId="77777777" w:rsidR="08240A2E" w:rsidRDefault="08240A2E" w:rsidP="08240A2E">
      <w:pPr>
        <w:pStyle w:val="Rejstk2"/>
        <w:tabs>
          <w:tab w:val="right" w:leader="dot" w:pos="4171"/>
        </w:tabs>
        <w:spacing w:line="240" w:lineRule="auto"/>
      </w:pPr>
      <w:r>
        <w:t>škola</w:t>
      </w:r>
      <w:r w:rsidRPr="001F5DB8">
        <w:rPr>
          <w:i/>
        </w:rPr>
        <w:t xml:space="preserve"> Nominales</w:t>
      </w:r>
      <w:r>
        <w:tab/>
        <w:t>80</w:t>
      </w:r>
    </w:p>
    <w:p w14:paraId="45F31667" w14:textId="77777777" w:rsidR="08240A2E" w:rsidRDefault="08240A2E" w:rsidP="08240A2E">
      <w:pPr>
        <w:pStyle w:val="Rejstk2"/>
        <w:tabs>
          <w:tab w:val="right" w:leader="dot" w:pos="4171"/>
        </w:tabs>
        <w:spacing w:line="240" w:lineRule="auto"/>
      </w:pPr>
      <w:r>
        <w:t>třetího druhu</w:t>
      </w:r>
      <w:r>
        <w:tab/>
        <w:t>74, 95, 127, 228, 692</w:t>
      </w:r>
    </w:p>
    <w:p w14:paraId="19AF3760" w14:textId="77777777" w:rsidR="08240A2E" w:rsidRDefault="08240A2E" w:rsidP="08155226">
      <w:pPr>
        <w:pStyle w:val="Rejstk1"/>
        <w:tabs>
          <w:tab w:val="right" w:leader="dot" w:pos="4171"/>
        </w:tabs>
        <w:spacing w:line="240" w:lineRule="auto"/>
      </w:pPr>
      <w:r>
        <w:t>subjekt</w:t>
      </w:r>
      <w:r w:rsidR="08155226">
        <w:t xml:space="preserve">, </w:t>
      </w:r>
      <w:r>
        <w:t>moderní</w:t>
      </w:r>
      <w:r>
        <w:tab/>
        <w:t>599</w:t>
      </w:r>
    </w:p>
    <w:p w14:paraId="71EC1C10" w14:textId="77777777" w:rsidR="08240A2E" w:rsidRDefault="08240A2E" w:rsidP="08240A2E">
      <w:pPr>
        <w:pStyle w:val="Rejstk1"/>
        <w:tabs>
          <w:tab w:val="right" w:leader="dot" w:pos="4171"/>
        </w:tabs>
        <w:spacing w:line="240" w:lineRule="auto"/>
      </w:pPr>
      <w:r>
        <w:t>subsistence</w:t>
      </w:r>
    </w:p>
    <w:p w14:paraId="09FD88E1" w14:textId="77777777" w:rsidR="08240A2E" w:rsidRDefault="08240A2E" w:rsidP="08240A2E">
      <w:pPr>
        <w:pStyle w:val="Rejstk2"/>
        <w:tabs>
          <w:tab w:val="right" w:leader="dot" w:pos="4171"/>
        </w:tabs>
        <w:spacing w:line="240" w:lineRule="auto"/>
      </w:pPr>
      <w:r>
        <w:t>akcidentu</w:t>
      </w:r>
      <w:r>
        <w:tab/>
        <w:t>61</w:t>
      </w:r>
    </w:p>
    <w:p w14:paraId="5E78C4FA" w14:textId="77777777" w:rsidR="08240A2E" w:rsidRDefault="08240A2E" w:rsidP="08240A2E">
      <w:pPr>
        <w:pStyle w:val="Rejstk2"/>
        <w:tabs>
          <w:tab w:val="right" w:leader="dot" w:pos="4171"/>
        </w:tabs>
        <w:spacing w:line="240" w:lineRule="auto"/>
      </w:pPr>
      <w:r>
        <w:t>duše</w:t>
      </w:r>
      <w:r>
        <w:tab/>
        <w:t>30, 180</w:t>
      </w:r>
    </w:p>
    <w:p w14:paraId="5A298F39" w14:textId="77777777" w:rsidR="08240A2E" w:rsidRDefault="08240A2E" w:rsidP="08240A2E">
      <w:pPr>
        <w:pStyle w:val="Rejstk2"/>
        <w:tabs>
          <w:tab w:val="right" w:leader="dot" w:pos="4171"/>
        </w:tabs>
        <w:spacing w:line="240" w:lineRule="auto"/>
      </w:pPr>
      <w:r>
        <w:t>Gilbertus Porretanus</w:t>
      </w:r>
      <w:r>
        <w:tab/>
        <w:t>52</w:t>
      </w:r>
    </w:p>
    <w:p w14:paraId="076866D6" w14:textId="77777777" w:rsidR="08240A2E" w:rsidRDefault="08240A2E" w:rsidP="08240A2E">
      <w:pPr>
        <w:pStyle w:val="Rejstk2"/>
        <w:tabs>
          <w:tab w:val="right" w:leader="dot" w:pos="4171"/>
        </w:tabs>
        <w:spacing w:line="240" w:lineRule="auto"/>
      </w:pPr>
      <w:r>
        <w:t>objektivní</w:t>
      </w:r>
      <w:r>
        <w:tab/>
        <w:t>101</w:t>
      </w:r>
    </w:p>
    <w:p w14:paraId="4B3DCD26" w14:textId="77777777" w:rsidR="08240A2E" w:rsidRDefault="08240A2E" w:rsidP="08240A2E">
      <w:pPr>
        <w:pStyle w:val="Rejstk2"/>
        <w:tabs>
          <w:tab w:val="right" w:leader="dot" w:pos="4171"/>
        </w:tabs>
        <w:spacing w:line="240" w:lineRule="auto"/>
      </w:pPr>
      <w:r>
        <w:t>porretáni</w:t>
      </w:r>
      <w:r>
        <w:tab/>
        <w:t>50, 57, 64, 74, 84, 93, 277, 305</w:t>
      </w:r>
    </w:p>
    <w:p w14:paraId="1CF4077E" w14:textId="77777777" w:rsidR="08240A2E" w:rsidRDefault="08240A2E" w:rsidP="08240A2E">
      <w:pPr>
        <w:pStyle w:val="Rejstk2"/>
        <w:tabs>
          <w:tab w:val="right" w:leader="dot" w:pos="4171"/>
        </w:tabs>
        <w:spacing w:line="240" w:lineRule="auto"/>
      </w:pPr>
      <w:r w:rsidRPr="001F5DB8">
        <w:rPr>
          <w:i/>
          <w:color w:val="000000"/>
        </w:rPr>
        <w:t>subsistens quale</w:t>
      </w:r>
      <w:r>
        <w:tab/>
        <w:t>61</w:t>
      </w:r>
    </w:p>
    <w:p w14:paraId="58D03AB3" w14:textId="77777777" w:rsidR="08240A2E" w:rsidRDefault="08240A2E" w:rsidP="08240A2E">
      <w:pPr>
        <w:pStyle w:val="Rejstk2"/>
        <w:tabs>
          <w:tab w:val="right" w:leader="dot" w:pos="4171"/>
        </w:tabs>
        <w:spacing w:line="240" w:lineRule="auto"/>
      </w:pPr>
      <w:r>
        <w:t xml:space="preserve">škola </w:t>
      </w:r>
      <w:r w:rsidRPr="001F5DB8">
        <w:rPr>
          <w:i/>
        </w:rPr>
        <w:t>Nominales</w:t>
      </w:r>
      <w:r>
        <w:tab/>
        <w:t>67</w:t>
      </w:r>
    </w:p>
    <w:p w14:paraId="4768BB45" w14:textId="77777777" w:rsidR="08240A2E" w:rsidRDefault="08240A2E" w:rsidP="08240A2E">
      <w:pPr>
        <w:pStyle w:val="Rejstk1"/>
        <w:tabs>
          <w:tab w:val="right" w:leader="dot" w:pos="4171"/>
        </w:tabs>
        <w:spacing w:line="240" w:lineRule="auto"/>
      </w:pPr>
      <w:r>
        <w:t>substance</w:t>
      </w:r>
    </w:p>
    <w:p w14:paraId="17E52288" w14:textId="7175B806" w:rsidR="08240A2E" w:rsidRDefault="00CB3E4F" w:rsidP="08240A2E">
      <w:pPr>
        <w:pStyle w:val="Rejstk2"/>
        <w:tabs>
          <w:tab w:val="right" w:leader="dot" w:pos="4171"/>
        </w:tabs>
        <w:spacing w:line="240" w:lineRule="auto"/>
      </w:pPr>
      <w:r>
        <w:t>Abélard</w:t>
      </w:r>
      <w:r w:rsidR="08240A2E">
        <w:tab/>
        <w:t>31</w:t>
      </w:r>
    </w:p>
    <w:p w14:paraId="4C6A746D" w14:textId="77777777" w:rsidR="08240A2E" w:rsidRDefault="08240A2E" w:rsidP="08240A2E">
      <w:pPr>
        <w:pStyle w:val="Rejstk2"/>
        <w:tabs>
          <w:tab w:val="right" w:leader="dot" w:pos="4171"/>
        </w:tabs>
        <w:spacing w:line="240" w:lineRule="auto"/>
      </w:pPr>
      <w:r>
        <w:t>Aristoteles</w:t>
      </w:r>
      <w:r>
        <w:tab/>
        <w:t>507</w:t>
      </w:r>
    </w:p>
    <w:p w14:paraId="2B015C34" w14:textId="77777777" w:rsidR="08240A2E" w:rsidRDefault="08240A2E" w:rsidP="08240A2E">
      <w:pPr>
        <w:pStyle w:val="Rejstk2"/>
        <w:tabs>
          <w:tab w:val="right" w:leader="dot" w:pos="4171"/>
        </w:tabs>
        <w:spacing w:line="240" w:lineRule="auto"/>
      </w:pPr>
      <w:r>
        <w:t>atomární</w:t>
      </w:r>
      <w:r>
        <w:tab/>
        <w:t>32, 63, 67, 106, 218, 456, 511, 545</w:t>
      </w:r>
    </w:p>
    <w:p w14:paraId="6E3B123A" w14:textId="77777777" w:rsidR="08240A2E" w:rsidRDefault="08240A2E" w:rsidP="08240A2E">
      <w:pPr>
        <w:pStyle w:val="Rejstk2"/>
        <w:tabs>
          <w:tab w:val="right" w:leader="dot" w:pos="4171"/>
        </w:tabs>
        <w:spacing w:line="240" w:lineRule="auto"/>
      </w:pPr>
      <w:r>
        <w:t>Averroes</w:t>
      </w:r>
      <w:r>
        <w:tab/>
        <w:t>112, 159, 263, 665</w:t>
      </w:r>
    </w:p>
    <w:p w14:paraId="6B372504" w14:textId="77777777" w:rsidR="08240A2E" w:rsidRDefault="08240A2E" w:rsidP="08240A2E">
      <w:pPr>
        <w:pStyle w:val="Rejstk2"/>
        <w:tabs>
          <w:tab w:val="right" w:leader="dot" w:pos="4171"/>
        </w:tabs>
        <w:spacing w:line="240" w:lineRule="auto"/>
      </w:pPr>
      <w:r>
        <w:t>Avicebron</w:t>
      </w:r>
      <w:r>
        <w:tab/>
        <w:t>455</w:t>
      </w:r>
    </w:p>
    <w:p w14:paraId="3D9404A9" w14:textId="77777777" w:rsidR="08240A2E" w:rsidRDefault="08240A2E" w:rsidP="08240A2E">
      <w:pPr>
        <w:pStyle w:val="Rejstk2"/>
        <w:tabs>
          <w:tab w:val="right" w:leader="dot" w:pos="4171"/>
        </w:tabs>
        <w:spacing w:line="240" w:lineRule="auto"/>
      </w:pPr>
      <w:r>
        <w:t>Boethius</w:t>
      </w:r>
      <w:r>
        <w:tab/>
        <w:t>13, 30</w:t>
      </w:r>
    </w:p>
    <w:p w14:paraId="7283AB1F" w14:textId="77777777" w:rsidR="08240A2E" w:rsidRDefault="08240A2E" w:rsidP="08240A2E">
      <w:pPr>
        <w:pStyle w:val="Rejstk2"/>
        <w:tabs>
          <w:tab w:val="right" w:leader="dot" w:pos="4171"/>
        </w:tabs>
        <w:spacing w:line="240" w:lineRule="auto"/>
      </w:pPr>
      <w:r>
        <w:t>boží</w:t>
      </w:r>
      <w:r>
        <w:tab/>
        <w:t>680</w:t>
      </w:r>
    </w:p>
    <w:p w14:paraId="4048BB66" w14:textId="77777777" w:rsidR="08240A2E" w:rsidRDefault="08240A2E" w:rsidP="08240A2E">
      <w:pPr>
        <w:pStyle w:val="Rejstk2"/>
        <w:tabs>
          <w:tab w:val="right" w:leader="dot" w:pos="4171"/>
        </w:tabs>
        <w:spacing w:line="240" w:lineRule="auto"/>
      </w:pPr>
      <w:r w:rsidRPr="001F5DB8">
        <w:rPr>
          <w:i/>
        </w:rPr>
        <w:t>complexum</w:t>
      </w:r>
      <w:r>
        <w:tab/>
        <w:t>34, 542</w:t>
      </w:r>
    </w:p>
    <w:p w14:paraId="414A0AB3" w14:textId="77777777" w:rsidR="08240A2E" w:rsidRDefault="08240A2E" w:rsidP="08240A2E">
      <w:pPr>
        <w:pStyle w:val="Rejstk2"/>
        <w:tabs>
          <w:tab w:val="right" w:leader="dot" w:pos="4171"/>
        </w:tabs>
        <w:spacing w:line="240" w:lineRule="auto"/>
      </w:pPr>
      <w:r w:rsidRPr="001F5DB8">
        <w:rPr>
          <w:i/>
        </w:rPr>
        <w:t>concretum</w:t>
      </w:r>
      <w:r>
        <w:tab/>
        <w:t>544, 560, 561, 562, 564, 580, 619, 669</w:t>
      </w:r>
    </w:p>
    <w:p w14:paraId="50895C47" w14:textId="77777777" w:rsidR="08240A2E" w:rsidRDefault="08240A2E" w:rsidP="08240A2E">
      <w:pPr>
        <w:pStyle w:val="Rejstk2"/>
        <w:tabs>
          <w:tab w:val="right" w:leader="dot" w:pos="4171"/>
        </w:tabs>
        <w:spacing w:line="240" w:lineRule="auto"/>
      </w:pPr>
      <w:r>
        <w:t>David z Dinantu</w:t>
      </w:r>
      <w:r>
        <w:tab/>
        <w:t>149</w:t>
      </w:r>
    </w:p>
    <w:p w14:paraId="40A5F52C" w14:textId="77777777" w:rsidR="08240A2E" w:rsidRDefault="08240A2E" w:rsidP="08240A2E">
      <w:pPr>
        <w:pStyle w:val="Rejstk2"/>
        <w:tabs>
          <w:tab w:val="right" w:leader="dot" w:pos="4171"/>
        </w:tabs>
        <w:spacing w:line="240" w:lineRule="auto"/>
      </w:pPr>
      <w:r>
        <w:t>druhá</w:t>
      </w:r>
      <w:r>
        <w:tab/>
        <w:t>165, 392, 556</w:t>
      </w:r>
    </w:p>
    <w:p w14:paraId="39BB699C" w14:textId="77777777" w:rsidR="08240A2E" w:rsidRDefault="08240A2E" w:rsidP="08240A2E">
      <w:pPr>
        <w:pStyle w:val="Rejstk2"/>
        <w:tabs>
          <w:tab w:val="right" w:leader="dot" w:pos="4171"/>
        </w:tabs>
        <w:spacing w:line="240" w:lineRule="auto"/>
      </w:pPr>
      <w:r>
        <w:t>druhý averroismus</w:t>
      </w:r>
      <w:r>
        <w:tab/>
        <w:t>244, 257, 325, 354, 459, 471, 539</w:t>
      </w:r>
    </w:p>
    <w:p w14:paraId="65CF4A3B" w14:textId="77777777" w:rsidR="08240A2E" w:rsidRDefault="08240A2E" w:rsidP="08240A2E">
      <w:pPr>
        <w:pStyle w:val="Rejstk2"/>
        <w:tabs>
          <w:tab w:val="right" w:leader="dot" w:pos="4171"/>
        </w:tabs>
        <w:spacing w:line="240" w:lineRule="auto"/>
      </w:pPr>
      <w:r>
        <w:t>duše</w:t>
      </w:r>
      <w:r>
        <w:tab/>
        <w:t>180, 413</w:t>
      </w:r>
    </w:p>
    <w:p w14:paraId="5C5F9AFD" w14:textId="77777777" w:rsidR="08240A2E" w:rsidRDefault="08240A2E" w:rsidP="08240A2E">
      <w:pPr>
        <w:pStyle w:val="Rejstk2"/>
        <w:tabs>
          <w:tab w:val="right" w:leader="dot" w:pos="4171"/>
        </w:tabs>
        <w:spacing w:line="240" w:lineRule="auto"/>
      </w:pPr>
      <w:r w:rsidRPr="001F5DB8">
        <w:rPr>
          <w:i/>
        </w:rPr>
        <w:t>ens</w:t>
      </w:r>
      <w:r>
        <w:t xml:space="preserve"> </w:t>
      </w:r>
      <w:r w:rsidRPr="001F5DB8">
        <w:rPr>
          <w:i/>
        </w:rPr>
        <w:t>incomplexum</w:t>
      </w:r>
      <w:r>
        <w:tab/>
        <w:t>34</w:t>
      </w:r>
    </w:p>
    <w:p w14:paraId="5AC9C8C8" w14:textId="77777777" w:rsidR="08240A2E" w:rsidRDefault="08240A2E" w:rsidP="08240A2E">
      <w:pPr>
        <w:pStyle w:val="Rejstk2"/>
        <w:tabs>
          <w:tab w:val="right" w:leader="dot" w:pos="4171"/>
        </w:tabs>
        <w:spacing w:line="240" w:lineRule="auto"/>
      </w:pPr>
      <w:r w:rsidRPr="001F5DB8">
        <w:rPr>
          <w:i/>
        </w:rPr>
        <w:t>esse incompletum</w:t>
      </w:r>
      <w:r>
        <w:tab/>
        <w:t>429, 431</w:t>
      </w:r>
    </w:p>
    <w:p w14:paraId="0A287794" w14:textId="77777777" w:rsidR="08240A2E" w:rsidRDefault="08240A2E" w:rsidP="08240A2E">
      <w:pPr>
        <w:pStyle w:val="Rejstk2"/>
        <w:tabs>
          <w:tab w:val="right" w:leader="dot" w:pos="4171"/>
        </w:tabs>
        <w:spacing w:line="240" w:lineRule="auto"/>
      </w:pPr>
      <w:r>
        <w:t>gigantomachie</w:t>
      </w:r>
      <w:r>
        <w:tab/>
        <w:t>26, 44, 101, 110, 192, 236, 240, 330, 454, 487, 495, 566, 657</w:t>
      </w:r>
    </w:p>
    <w:p w14:paraId="4D8010DA" w14:textId="77777777" w:rsidR="08240A2E" w:rsidRDefault="08240A2E" w:rsidP="08240A2E">
      <w:pPr>
        <w:pStyle w:val="Rejstk2"/>
        <w:tabs>
          <w:tab w:val="right" w:leader="dot" w:pos="4171"/>
        </w:tabs>
        <w:spacing w:line="240" w:lineRule="auto"/>
      </w:pPr>
      <w:r>
        <w:t>Gilbertus Porretanus</w:t>
      </w:r>
      <w:r>
        <w:tab/>
        <w:t>51</w:t>
      </w:r>
    </w:p>
    <w:p w14:paraId="45135BDA" w14:textId="77777777" w:rsidR="08240A2E" w:rsidRDefault="08240A2E" w:rsidP="08240A2E">
      <w:pPr>
        <w:pStyle w:val="Rejstk2"/>
        <w:tabs>
          <w:tab w:val="right" w:leader="dot" w:pos="4171"/>
        </w:tabs>
        <w:spacing w:line="240" w:lineRule="auto"/>
      </w:pPr>
      <w:r>
        <w:t>Grosseteste</w:t>
      </w:r>
      <w:r>
        <w:tab/>
        <w:t>374</w:t>
      </w:r>
    </w:p>
    <w:p w14:paraId="12B7A02D" w14:textId="77777777" w:rsidR="08240A2E" w:rsidRDefault="08240A2E" w:rsidP="08240A2E">
      <w:pPr>
        <w:pStyle w:val="Rejstk2"/>
        <w:tabs>
          <w:tab w:val="right" w:leader="dot" w:pos="4171"/>
        </w:tabs>
        <w:spacing w:line="240" w:lineRule="auto"/>
      </w:pPr>
      <w:r>
        <w:t>hylemorfická</w:t>
      </w:r>
      <w:r>
        <w:tab/>
        <w:t>136, 173, 186, 261, 526</w:t>
      </w:r>
    </w:p>
    <w:p w14:paraId="298899FE" w14:textId="77777777" w:rsidR="08240A2E" w:rsidRDefault="08240A2E" w:rsidP="08240A2E">
      <w:pPr>
        <w:pStyle w:val="Rejstk2"/>
        <w:tabs>
          <w:tab w:val="right" w:leader="dot" w:pos="4171"/>
        </w:tabs>
        <w:spacing w:line="240" w:lineRule="auto"/>
      </w:pPr>
      <w:r>
        <w:t>individuum</w:t>
      </w:r>
      <w:r>
        <w:tab/>
        <w:t>85, 88, 107, 132, 218, 228, 315, 349, 395, 442, 480, 558, 694</w:t>
      </w:r>
    </w:p>
    <w:p w14:paraId="78886F39" w14:textId="77777777" w:rsidR="08240A2E" w:rsidRDefault="08240A2E" w:rsidP="08240A2E">
      <w:pPr>
        <w:pStyle w:val="Rejstk2"/>
        <w:tabs>
          <w:tab w:val="right" w:leader="dot" w:pos="4171"/>
        </w:tabs>
        <w:spacing w:line="240" w:lineRule="auto"/>
      </w:pPr>
      <w:r>
        <w:t>intelekt</w:t>
      </w:r>
      <w:r>
        <w:tab/>
        <w:t>271, 292, 314, 453, 503, 591, 605, 617, 622, 633</w:t>
      </w:r>
    </w:p>
    <w:p w14:paraId="251FE8A0" w14:textId="77777777" w:rsidR="08240A2E" w:rsidRDefault="08240A2E" w:rsidP="08240A2E">
      <w:pPr>
        <w:pStyle w:val="Rejstk2"/>
        <w:tabs>
          <w:tab w:val="right" w:leader="dot" w:pos="4171"/>
        </w:tabs>
        <w:spacing w:line="240" w:lineRule="auto"/>
      </w:pPr>
      <w:r>
        <w:t>kauzalita</w:t>
      </w:r>
      <w:r>
        <w:tab/>
        <w:t>388</w:t>
      </w:r>
    </w:p>
    <w:p w14:paraId="542C12F9" w14:textId="77777777" w:rsidR="08240A2E" w:rsidRDefault="08240A2E" w:rsidP="08240A2E">
      <w:pPr>
        <w:pStyle w:val="Rejstk2"/>
        <w:tabs>
          <w:tab w:val="right" w:leader="dot" w:pos="4171"/>
        </w:tabs>
        <w:spacing w:line="240" w:lineRule="auto"/>
      </w:pPr>
      <w:r>
        <w:t>Kilwardby</w:t>
      </w:r>
      <w:r>
        <w:tab/>
        <w:t>638, 645, 666</w:t>
      </w:r>
    </w:p>
    <w:p w14:paraId="39E0B3EC" w14:textId="77777777" w:rsidR="08240A2E" w:rsidRDefault="08240A2E" w:rsidP="08240A2E">
      <w:pPr>
        <w:pStyle w:val="Rejstk2"/>
        <w:tabs>
          <w:tab w:val="right" w:leader="dot" w:pos="4171"/>
        </w:tabs>
        <w:spacing w:line="240" w:lineRule="auto"/>
      </w:pPr>
      <w:r>
        <w:t>kontingence</w:t>
      </w:r>
      <w:r>
        <w:tab/>
        <w:t>27</w:t>
      </w:r>
    </w:p>
    <w:p w14:paraId="7C6339ED" w14:textId="77777777" w:rsidR="08240A2E" w:rsidRDefault="08240A2E" w:rsidP="08240A2E">
      <w:pPr>
        <w:pStyle w:val="Rejstk2"/>
        <w:tabs>
          <w:tab w:val="right" w:leader="dot" w:pos="4171"/>
        </w:tabs>
        <w:spacing w:line="240" w:lineRule="auto"/>
      </w:pPr>
      <w:r>
        <w:t>kontingentní</w:t>
      </w:r>
      <w:r>
        <w:tab/>
        <w:t>371</w:t>
      </w:r>
    </w:p>
    <w:p w14:paraId="05B22719" w14:textId="77777777" w:rsidR="08240A2E" w:rsidRDefault="08240A2E" w:rsidP="08240A2E">
      <w:pPr>
        <w:pStyle w:val="Rejstk2"/>
        <w:tabs>
          <w:tab w:val="right" w:leader="dot" w:pos="4171"/>
        </w:tabs>
        <w:spacing w:line="240" w:lineRule="auto"/>
      </w:pPr>
      <w:r>
        <w:t xml:space="preserve">modus </w:t>
      </w:r>
      <w:r w:rsidRPr="001F5DB8">
        <w:rPr>
          <w:i/>
        </w:rPr>
        <w:t>absolute</w:t>
      </w:r>
      <w:r>
        <w:tab/>
        <w:t>281</w:t>
      </w:r>
    </w:p>
    <w:p w14:paraId="1E929013" w14:textId="77777777" w:rsidR="08240A2E" w:rsidRDefault="08240A2E" w:rsidP="08240A2E">
      <w:pPr>
        <w:pStyle w:val="Rejstk2"/>
        <w:tabs>
          <w:tab w:val="right" w:leader="dot" w:pos="4171"/>
        </w:tabs>
        <w:spacing w:line="240" w:lineRule="auto"/>
      </w:pPr>
      <w:r>
        <w:t>nedělitelná</w:t>
      </w:r>
      <w:r>
        <w:tab/>
        <w:t>50</w:t>
      </w:r>
    </w:p>
    <w:p w14:paraId="77ADDFE6" w14:textId="77777777" w:rsidR="08240A2E" w:rsidRDefault="08240A2E" w:rsidP="08240A2E">
      <w:pPr>
        <w:pStyle w:val="Rejstk2"/>
        <w:tabs>
          <w:tab w:val="right" w:leader="dot" w:pos="4171"/>
        </w:tabs>
        <w:spacing w:line="240" w:lineRule="auto"/>
      </w:pPr>
      <w:r>
        <w:t>nominální</w:t>
      </w:r>
      <w:r>
        <w:tab/>
        <w:t>483</w:t>
      </w:r>
    </w:p>
    <w:p w14:paraId="647360D4" w14:textId="77777777" w:rsidR="08240A2E" w:rsidRDefault="08240A2E" w:rsidP="08240A2E">
      <w:pPr>
        <w:pStyle w:val="Rejstk2"/>
        <w:tabs>
          <w:tab w:val="right" w:leader="dot" w:pos="4171"/>
        </w:tabs>
        <w:spacing w:line="240" w:lineRule="auto"/>
      </w:pPr>
      <w:r>
        <w:t>numerická</w:t>
      </w:r>
      <w:r>
        <w:tab/>
        <w:t>579</w:t>
      </w:r>
    </w:p>
    <w:p w14:paraId="3956A2F9" w14:textId="77777777" w:rsidR="08240A2E" w:rsidRDefault="08240A2E" w:rsidP="08240A2E">
      <w:pPr>
        <w:pStyle w:val="Rejstk2"/>
        <w:tabs>
          <w:tab w:val="right" w:leader="dot" w:pos="4171"/>
        </w:tabs>
        <w:spacing w:line="240" w:lineRule="auto"/>
      </w:pPr>
      <w:r>
        <w:t>objektivní</w:t>
      </w:r>
      <w:r>
        <w:tab/>
        <w:t>8, 66, 83, 213, 277, 344, 405, 487, 523, 629, 634, 667</w:t>
      </w:r>
    </w:p>
    <w:p w14:paraId="4BB6EAE5" w14:textId="77777777" w:rsidR="08240A2E" w:rsidRDefault="08240A2E" w:rsidP="08240A2E">
      <w:pPr>
        <w:pStyle w:val="Rejstk2"/>
        <w:tabs>
          <w:tab w:val="right" w:leader="dot" w:pos="4171"/>
        </w:tabs>
        <w:spacing w:line="240" w:lineRule="auto"/>
      </w:pPr>
      <w:r>
        <w:t>osoba</w:t>
      </w:r>
      <w:r>
        <w:tab/>
        <w:t>214, 445</w:t>
      </w:r>
    </w:p>
    <w:p w14:paraId="435E351F" w14:textId="77777777" w:rsidR="08240A2E" w:rsidRDefault="08240A2E" w:rsidP="08240A2E">
      <w:pPr>
        <w:pStyle w:val="Rejstk2"/>
        <w:tabs>
          <w:tab w:val="right" w:leader="dot" w:pos="4171"/>
        </w:tabs>
        <w:spacing w:line="240" w:lineRule="auto"/>
      </w:pPr>
      <w:r w:rsidRPr="001F5DB8">
        <w:rPr>
          <w:i/>
        </w:rPr>
        <w:t>Oxfordian Fallacy</w:t>
      </w:r>
      <w:r>
        <w:tab/>
        <w:t>346</w:t>
      </w:r>
    </w:p>
    <w:p w14:paraId="1028CF9D" w14:textId="77777777" w:rsidR="08240A2E" w:rsidRDefault="08240A2E" w:rsidP="08240A2E">
      <w:pPr>
        <w:pStyle w:val="Rejstk2"/>
        <w:tabs>
          <w:tab w:val="right" w:leader="dot" w:pos="4171"/>
        </w:tabs>
        <w:spacing w:line="240" w:lineRule="auto"/>
      </w:pPr>
      <w:r>
        <w:t>porretáni</w:t>
      </w:r>
      <w:r>
        <w:tab/>
        <w:t>13, 62, 72, 81, 98, 200, 261</w:t>
      </w:r>
    </w:p>
    <w:p w14:paraId="08B17C5A" w14:textId="77777777" w:rsidR="08240A2E" w:rsidRDefault="08240A2E" w:rsidP="08240A2E">
      <w:pPr>
        <w:pStyle w:val="Rejstk2"/>
        <w:tabs>
          <w:tab w:val="right" w:leader="dot" w:pos="4171"/>
        </w:tabs>
        <w:spacing w:line="240" w:lineRule="auto"/>
      </w:pPr>
      <w:r>
        <w:t>první</w:t>
      </w:r>
      <w:r>
        <w:tab/>
        <w:t>19, 31, 34, 96, 122, 129, 159, 182, 207, 226, 245, 264, 303, 307, 309, 377, 378, 419, 421, 438, 557, 651, 664, 695</w:t>
      </w:r>
    </w:p>
    <w:p w14:paraId="1BFC32A8" w14:textId="77777777" w:rsidR="08240A2E" w:rsidRDefault="08240A2E" w:rsidP="08240A2E">
      <w:pPr>
        <w:pStyle w:val="Rejstk2"/>
        <w:tabs>
          <w:tab w:val="right" w:leader="dot" w:pos="4171"/>
        </w:tabs>
        <w:spacing w:line="240" w:lineRule="auto"/>
      </w:pPr>
      <w:r>
        <w:t>první averroismus</w:t>
      </w:r>
      <w:r>
        <w:tab/>
        <w:t>242, 293, 327, 343</w:t>
      </w:r>
    </w:p>
    <w:p w14:paraId="35302615" w14:textId="77777777" w:rsidR="08240A2E" w:rsidRDefault="08240A2E" w:rsidP="08240A2E">
      <w:pPr>
        <w:pStyle w:val="Rejstk2"/>
        <w:tabs>
          <w:tab w:val="right" w:leader="dot" w:pos="4171"/>
        </w:tabs>
        <w:spacing w:line="240" w:lineRule="auto"/>
      </w:pPr>
      <w:r w:rsidRPr="001F5DB8">
        <w:rPr>
          <w:i/>
        </w:rPr>
        <w:t>qua</w:t>
      </w:r>
      <w:r>
        <w:t xml:space="preserve"> substance</w:t>
      </w:r>
      <w:r>
        <w:tab/>
        <w:t>15, 46, 254, 261</w:t>
      </w:r>
    </w:p>
    <w:p w14:paraId="1331BF4F" w14:textId="77777777" w:rsidR="08240A2E" w:rsidRDefault="08240A2E" w:rsidP="08240A2E">
      <w:pPr>
        <w:pStyle w:val="Rejstk2"/>
        <w:tabs>
          <w:tab w:val="right" w:leader="dot" w:pos="4171"/>
        </w:tabs>
        <w:spacing w:line="240" w:lineRule="auto"/>
      </w:pPr>
      <w:r>
        <w:t>rod</w:t>
      </w:r>
      <w:r>
        <w:tab/>
        <w:t>404</w:t>
      </w:r>
    </w:p>
    <w:p w14:paraId="7684FEB5" w14:textId="77777777" w:rsidR="08240A2E" w:rsidRDefault="08240A2E" w:rsidP="08240A2E">
      <w:pPr>
        <w:pStyle w:val="Rejstk2"/>
        <w:tabs>
          <w:tab w:val="right" w:leader="dot" w:pos="4171"/>
        </w:tabs>
        <w:spacing w:line="240" w:lineRule="auto"/>
      </w:pPr>
      <w:r>
        <w:t>Rufus</w:t>
      </w:r>
      <w:r>
        <w:tab/>
        <w:t>500, 501, 508, 518, 530, 537, 577, 637</w:t>
      </w:r>
    </w:p>
    <w:p w14:paraId="672C4AC1" w14:textId="68448F44" w:rsidR="08240A2E" w:rsidRDefault="004B4D52" w:rsidP="08240A2E">
      <w:pPr>
        <w:pStyle w:val="Rejstk2"/>
        <w:tabs>
          <w:tab w:val="right" w:leader="dot" w:pos="4171"/>
        </w:tabs>
        <w:spacing w:line="240" w:lineRule="auto"/>
      </w:pPr>
      <w:r w:rsidRPr="004B4D52">
        <w:t>species</w:t>
      </w:r>
      <w:r w:rsidR="08240A2E">
        <w:tab/>
        <w:t>39, 76, 127, 136, 209, 231, 278, 374, 456, 584, 625</w:t>
      </w:r>
    </w:p>
    <w:p w14:paraId="293CC89F" w14:textId="0D157022" w:rsidR="08240A2E" w:rsidRDefault="004B4D52" w:rsidP="08240A2E">
      <w:pPr>
        <w:pStyle w:val="Rejstk2"/>
        <w:tabs>
          <w:tab w:val="right" w:leader="dot" w:pos="4171"/>
        </w:tabs>
        <w:spacing w:line="240" w:lineRule="auto"/>
      </w:pPr>
      <w:r w:rsidRPr="004B4D52">
        <w:t>species</w:t>
      </w:r>
      <w:r w:rsidR="08240A2E" w:rsidRPr="001F5DB8">
        <w:rPr>
          <w:i/>
        </w:rPr>
        <w:t xml:space="preserve"> corporis</w:t>
      </w:r>
      <w:r w:rsidR="08240A2E">
        <w:tab/>
        <w:t>456</w:t>
      </w:r>
    </w:p>
    <w:p w14:paraId="1BE954EE" w14:textId="77777777" w:rsidR="08240A2E" w:rsidRDefault="08240A2E" w:rsidP="08240A2E">
      <w:pPr>
        <w:pStyle w:val="Rejstk2"/>
        <w:tabs>
          <w:tab w:val="right" w:leader="dot" w:pos="4171"/>
        </w:tabs>
        <w:spacing w:line="240" w:lineRule="auto"/>
      </w:pPr>
      <w:r>
        <w:t xml:space="preserve">škola </w:t>
      </w:r>
      <w:r w:rsidRPr="001F5DB8">
        <w:rPr>
          <w:i/>
        </w:rPr>
        <w:t>Nominales</w:t>
      </w:r>
      <w:r>
        <w:tab/>
        <w:t>67</w:t>
      </w:r>
    </w:p>
    <w:p w14:paraId="616BE7C8" w14:textId="77777777" w:rsidR="08240A2E" w:rsidRDefault="08240A2E" w:rsidP="08240A2E">
      <w:pPr>
        <w:pStyle w:val="Rejstk2"/>
        <w:tabs>
          <w:tab w:val="right" w:leader="dot" w:pos="4171"/>
        </w:tabs>
        <w:spacing w:line="240" w:lineRule="auto"/>
      </w:pPr>
      <w:r w:rsidRPr="001F5DB8">
        <w:rPr>
          <w:i/>
        </w:rPr>
        <w:t>totum</w:t>
      </w:r>
      <w:r>
        <w:tab/>
        <w:t>13</w:t>
      </w:r>
    </w:p>
    <w:p w14:paraId="03A7BBC7" w14:textId="77777777" w:rsidR="08240A2E" w:rsidRDefault="08240A2E" w:rsidP="08240A2E">
      <w:pPr>
        <w:pStyle w:val="Rejstk2"/>
        <w:tabs>
          <w:tab w:val="right" w:leader="dot" w:pos="4171"/>
        </w:tabs>
        <w:spacing w:line="240" w:lineRule="auto"/>
      </w:pPr>
      <w:r>
        <w:t>třetího druhu</w:t>
      </w:r>
      <w:r>
        <w:tab/>
        <w:t>7, 29, 285, 296, 385, 448, 451, 457</w:t>
      </w:r>
    </w:p>
    <w:p w14:paraId="54DB65C8" w14:textId="77777777" w:rsidR="08240A2E" w:rsidRDefault="08240A2E" w:rsidP="08240A2E">
      <w:pPr>
        <w:pStyle w:val="Rejstk2"/>
        <w:tabs>
          <w:tab w:val="right" w:leader="dot" w:pos="4171"/>
        </w:tabs>
        <w:spacing w:line="240" w:lineRule="auto"/>
      </w:pPr>
      <w:r>
        <w:t>Wittgenstein</w:t>
      </w:r>
      <w:r>
        <w:tab/>
        <w:t>79</w:t>
      </w:r>
    </w:p>
    <w:p w14:paraId="7FDC951A" w14:textId="77777777" w:rsidR="08240A2E" w:rsidRDefault="08240A2E" w:rsidP="08240A2E">
      <w:pPr>
        <w:pStyle w:val="Rejstk2"/>
        <w:tabs>
          <w:tab w:val="right" w:leader="dot" w:pos="4171"/>
        </w:tabs>
        <w:spacing w:line="240" w:lineRule="auto"/>
      </w:pPr>
      <w:r>
        <w:t>zatmění</w:t>
      </w:r>
      <w:r>
        <w:tab/>
        <w:t>25, 288, 289, 331, 335, 406, 644, 650, 656</w:t>
      </w:r>
    </w:p>
    <w:p w14:paraId="4C50F26B" w14:textId="77777777" w:rsidR="08240A2E" w:rsidRDefault="08240A2E" w:rsidP="08240A2E">
      <w:pPr>
        <w:pStyle w:val="Rejstk2"/>
        <w:tabs>
          <w:tab w:val="right" w:leader="dot" w:pos="4171"/>
        </w:tabs>
        <w:spacing w:line="240" w:lineRule="auto"/>
      </w:pPr>
      <w:r>
        <w:t>τό τί ἦν εἶναι</w:t>
      </w:r>
      <w:r>
        <w:tab/>
        <w:t>17</w:t>
      </w:r>
    </w:p>
    <w:p w14:paraId="5870C2F8" w14:textId="77777777" w:rsidR="08240A2E" w:rsidRDefault="08240A2E" w:rsidP="08240A2E">
      <w:pPr>
        <w:pStyle w:val="Rejstk2"/>
        <w:tabs>
          <w:tab w:val="right" w:leader="dot" w:pos="4171"/>
        </w:tabs>
        <w:spacing w:line="240" w:lineRule="auto"/>
      </w:pPr>
      <w:r>
        <w:t>τόδε τι</w:t>
      </w:r>
      <w:r>
        <w:tab/>
        <w:t>88, 220, 622</w:t>
      </w:r>
    </w:p>
    <w:p w14:paraId="78F48499" w14:textId="77777777" w:rsidR="08240A2E" w:rsidRDefault="08240A2E" w:rsidP="08240A2E">
      <w:pPr>
        <w:pStyle w:val="Rejstk1"/>
        <w:tabs>
          <w:tab w:val="right" w:leader="dot" w:pos="4171"/>
        </w:tabs>
        <w:spacing w:line="240" w:lineRule="auto"/>
      </w:pPr>
      <w:r>
        <w:t xml:space="preserve">substance </w:t>
      </w:r>
      <w:r w:rsidRPr="001F5DB8">
        <w:rPr>
          <w:i/>
        </w:rPr>
        <w:t>qua</w:t>
      </w:r>
      <w:r>
        <w:t xml:space="preserve"> substance</w:t>
      </w:r>
      <w:r>
        <w:tab/>
        <w:t>142, 255, 292, 302, 343, 389, 473, 543</w:t>
      </w:r>
    </w:p>
    <w:p w14:paraId="578FDFFC" w14:textId="77777777" w:rsidR="08240A2E" w:rsidRDefault="08240A2E" w:rsidP="08240A2E">
      <w:pPr>
        <w:pStyle w:val="Rejstk1"/>
        <w:tabs>
          <w:tab w:val="right" w:leader="dot" w:pos="4171"/>
        </w:tabs>
        <w:spacing w:line="240" w:lineRule="auto"/>
      </w:pPr>
      <w:r w:rsidRPr="001F5DB8">
        <w:rPr>
          <w:i/>
        </w:rPr>
        <w:t>Summa Duacensis</w:t>
      </w:r>
      <w:r w:rsidR="08155226">
        <w:t>, viz</w:t>
      </w:r>
      <w:r w:rsidR="08155226" w:rsidRPr="08155226">
        <w:rPr>
          <w:i/>
        </w:rPr>
        <w:t xml:space="preserve"> Index locorum</w:t>
      </w:r>
      <w:r w:rsidR="08155226">
        <w:rPr>
          <w:i/>
        </w:rPr>
        <w:tab/>
      </w:r>
      <w:r w:rsidR="08155226">
        <w:tab/>
      </w:r>
      <w:r>
        <w:t>177, 180, 187, 190, 225, 242, 316, 333, 338, 377, 441, 460, 463, 599</w:t>
      </w:r>
    </w:p>
    <w:p w14:paraId="4590B0DF" w14:textId="77777777" w:rsidR="08240A2E" w:rsidRDefault="08240A2E" w:rsidP="08240A2E">
      <w:pPr>
        <w:pStyle w:val="Rejstk1"/>
        <w:tabs>
          <w:tab w:val="right" w:leader="dot" w:pos="4171"/>
        </w:tabs>
        <w:spacing w:line="240" w:lineRule="auto"/>
      </w:pPr>
      <w:r w:rsidRPr="001F5DB8">
        <w:rPr>
          <w:i/>
        </w:rPr>
        <w:t>Summa Halensis</w:t>
      </w:r>
      <w:r>
        <w:tab/>
        <w:t>93, 216, 242, 299, 331, 337, 346, 348, 397, 401, 444, 482, 486, 567, 612, 682, 700</w:t>
      </w:r>
    </w:p>
    <w:p w14:paraId="5ADE2B2F" w14:textId="77777777" w:rsidR="08240A2E" w:rsidRDefault="08240A2E" w:rsidP="08240A2E">
      <w:pPr>
        <w:pStyle w:val="Rejstk1"/>
        <w:tabs>
          <w:tab w:val="right" w:leader="dot" w:pos="4171"/>
        </w:tabs>
        <w:spacing w:line="240" w:lineRule="auto"/>
      </w:pPr>
      <w:r>
        <w:t>supozice</w:t>
      </w:r>
    </w:p>
    <w:p w14:paraId="182B918E" w14:textId="410DFB56" w:rsidR="08240A2E" w:rsidRDefault="00CB3E4F" w:rsidP="08240A2E">
      <w:pPr>
        <w:pStyle w:val="Rejstk2"/>
        <w:tabs>
          <w:tab w:val="right" w:leader="dot" w:pos="4171"/>
        </w:tabs>
        <w:spacing w:line="240" w:lineRule="auto"/>
      </w:pPr>
      <w:r>
        <w:t>Abélard</w:t>
      </w:r>
      <w:r w:rsidR="08240A2E">
        <w:tab/>
        <w:t>33, 35</w:t>
      </w:r>
    </w:p>
    <w:p w14:paraId="5A7BA224" w14:textId="77777777" w:rsidR="08240A2E" w:rsidRDefault="08240A2E" w:rsidP="08240A2E">
      <w:pPr>
        <w:pStyle w:val="Rejstk2"/>
        <w:tabs>
          <w:tab w:val="right" w:leader="dot" w:pos="4171"/>
        </w:tabs>
        <w:spacing w:line="240" w:lineRule="auto"/>
      </w:pPr>
      <w:r w:rsidRPr="001F5DB8">
        <w:rPr>
          <w:i/>
        </w:rPr>
        <w:t>constantia subiecti</w:t>
      </w:r>
      <w:r>
        <w:tab/>
        <w:t>674, 675, 679</w:t>
      </w:r>
    </w:p>
    <w:p w14:paraId="540829B3" w14:textId="77777777" w:rsidR="08240A2E" w:rsidRDefault="08240A2E" w:rsidP="08240A2E">
      <w:pPr>
        <w:pStyle w:val="Rejstk2"/>
        <w:tabs>
          <w:tab w:val="right" w:leader="dot" w:pos="4171"/>
        </w:tabs>
        <w:spacing w:line="240" w:lineRule="auto"/>
      </w:pPr>
      <w:r>
        <w:t>druhý averroismus</w:t>
      </w:r>
      <w:r>
        <w:tab/>
        <w:t>411</w:t>
      </w:r>
    </w:p>
    <w:p w14:paraId="5834A413" w14:textId="77777777" w:rsidR="08240A2E" w:rsidRDefault="08240A2E" w:rsidP="08240A2E">
      <w:pPr>
        <w:pStyle w:val="Rejstk2"/>
        <w:tabs>
          <w:tab w:val="right" w:leader="dot" w:pos="4171"/>
        </w:tabs>
        <w:spacing w:line="240" w:lineRule="auto"/>
      </w:pPr>
      <w:r w:rsidRPr="001F5DB8">
        <w:rPr>
          <w:i/>
        </w:rPr>
        <w:t>Grammatici</w:t>
      </w:r>
      <w:r>
        <w:tab/>
        <w:t>219, 229</w:t>
      </w:r>
    </w:p>
    <w:p w14:paraId="768743E4" w14:textId="77777777" w:rsidR="08240A2E" w:rsidRDefault="08240A2E" w:rsidP="08240A2E">
      <w:pPr>
        <w:pStyle w:val="Rejstk2"/>
        <w:tabs>
          <w:tab w:val="right" w:leader="dot" w:pos="4171"/>
        </w:tabs>
        <w:spacing w:line="240" w:lineRule="auto"/>
      </w:pPr>
      <w:r>
        <w:t>Grosseteste</w:t>
      </w:r>
      <w:r>
        <w:tab/>
        <w:t>371</w:t>
      </w:r>
    </w:p>
    <w:p w14:paraId="3E447D9C" w14:textId="77777777" w:rsidR="08240A2E" w:rsidRDefault="08240A2E" w:rsidP="08240A2E">
      <w:pPr>
        <w:pStyle w:val="Rejstk2"/>
        <w:tabs>
          <w:tab w:val="right" w:leader="dot" w:pos="4171"/>
        </w:tabs>
        <w:spacing w:line="240" w:lineRule="auto"/>
      </w:pPr>
      <w:r>
        <w:t>individuum</w:t>
      </w:r>
      <w:r>
        <w:tab/>
        <w:t>84, 86</w:t>
      </w:r>
    </w:p>
    <w:p w14:paraId="6493A635" w14:textId="77777777" w:rsidR="08240A2E" w:rsidRDefault="08240A2E" w:rsidP="08240A2E">
      <w:pPr>
        <w:pStyle w:val="Rejstk2"/>
        <w:tabs>
          <w:tab w:val="right" w:leader="dot" w:pos="4171"/>
        </w:tabs>
        <w:spacing w:line="240" w:lineRule="auto"/>
      </w:pPr>
      <w:r>
        <w:t>kategoriální</w:t>
      </w:r>
      <w:r>
        <w:tab/>
        <w:t>39</w:t>
      </w:r>
    </w:p>
    <w:p w14:paraId="0F5C259C" w14:textId="77777777" w:rsidR="08240A2E" w:rsidRDefault="08240A2E" w:rsidP="08240A2E">
      <w:pPr>
        <w:pStyle w:val="Rejstk2"/>
        <w:tabs>
          <w:tab w:val="right" w:leader="dot" w:pos="4171"/>
        </w:tabs>
        <w:spacing w:line="240" w:lineRule="auto"/>
      </w:pPr>
      <w:r>
        <w:t>Kilwardby</w:t>
      </w:r>
      <w:r>
        <w:tab/>
        <w:t>648</w:t>
      </w:r>
    </w:p>
    <w:p w14:paraId="5D1B89CB" w14:textId="77777777" w:rsidR="08240A2E" w:rsidRDefault="08240A2E" w:rsidP="08240A2E">
      <w:pPr>
        <w:pStyle w:val="Rejstk2"/>
        <w:tabs>
          <w:tab w:val="right" w:leader="dot" w:pos="4171"/>
        </w:tabs>
        <w:spacing w:line="240" w:lineRule="auto"/>
      </w:pPr>
      <w:r>
        <w:t>logická</w:t>
      </w:r>
      <w:r>
        <w:tab/>
        <w:t>425, 428, 438</w:t>
      </w:r>
    </w:p>
    <w:p w14:paraId="04820C76" w14:textId="77777777" w:rsidR="08240A2E" w:rsidRDefault="08240A2E" w:rsidP="08240A2E">
      <w:pPr>
        <w:pStyle w:val="Rejstk2"/>
        <w:tabs>
          <w:tab w:val="right" w:leader="dot" w:pos="4171"/>
        </w:tabs>
        <w:spacing w:line="240" w:lineRule="auto"/>
      </w:pPr>
      <w:r>
        <w:t>matematická</w:t>
      </w:r>
      <w:r>
        <w:tab/>
        <w:t>571</w:t>
      </w:r>
    </w:p>
    <w:p w14:paraId="0C24CAEF" w14:textId="77777777" w:rsidR="08240A2E" w:rsidRDefault="08240A2E" w:rsidP="08240A2E">
      <w:pPr>
        <w:pStyle w:val="Rejstk2"/>
        <w:tabs>
          <w:tab w:val="right" w:leader="dot" w:pos="4171"/>
        </w:tabs>
        <w:spacing w:line="240" w:lineRule="auto"/>
      </w:pPr>
      <w:r>
        <w:t>moderna</w:t>
      </w:r>
      <w:r>
        <w:tab/>
        <w:t>403</w:t>
      </w:r>
    </w:p>
    <w:p w14:paraId="7A89F1E9" w14:textId="77777777" w:rsidR="08240A2E" w:rsidRDefault="08240A2E" w:rsidP="08240A2E">
      <w:pPr>
        <w:pStyle w:val="Rejstk2"/>
        <w:tabs>
          <w:tab w:val="right" w:leader="dot" w:pos="4171"/>
        </w:tabs>
        <w:spacing w:line="240" w:lineRule="auto"/>
      </w:pPr>
      <w:r>
        <w:t xml:space="preserve">modus </w:t>
      </w:r>
      <w:r w:rsidRPr="001F5DB8">
        <w:rPr>
          <w:i/>
        </w:rPr>
        <w:t>absolute</w:t>
      </w:r>
      <w:r>
        <w:tab/>
        <w:t>279</w:t>
      </w:r>
    </w:p>
    <w:p w14:paraId="1912759A" w14:textId="77777777" w:rsidR="08240A2E" w:rsidRDefault="08240A2E" w:rsidP="08240A2E">
      <w:pPr>
        <w:pStyle w:val="Rejstk2"/>
        <w:tabs>
          <w:tab w:val="right" w:leader="dot" w:pos="4171"/>
        </w:tabs>
        <w:spacing w:line="240" w:lineRule="auto"/>
      </w:pPr>
      <w:r>
        <w:t>nominální</w:t>
      </w:r>
      <w:r>
        <w:tab/>
        <w:t>74</w:t>
      </w:r>
    </w:p>
    <w:p w14:paraId="74365575" w14:textId="77777777" w:rsidR="08240A2E" w:rsidRDefault="08240A2E" w:rsidP="08240A2E">
      <w:pPr>
        <w:pStyle w:val="Rejstk2"/>
        <w:tabs>
          <w:tab w:val="right" w:leader="dot" w:pos="4171"/>
        </w:tabs>
        <w:spacing w:line="240" w:lineRule="auto"/>
      </w:pPr>
      <w:r>
        <w:t>objektivní</w:t>
      </w:r>
      <w:r>
        <w:tab/>
        <w:t>362</w:t>
      </w:r>
    </w:p>
    <w:p w14:paraId="63795267" w14:textId="77777777" w:rsidR="08240A2E" w:rsidRDefault="08240A2E" w:rsidP="08240A2E">
      <w:pPr>
        <w:pStyle w:val="Rejstk2"/>
        <w:tabs>
          <w:tab w:val="right" w:leader="dot" w:pos="4171"/>
        </w:tabs>
        <w:spacing w:line="240" w:lineRule="auto"/>
      </w:pPr>
      <w:r>
        <w:t>porretáni</w:t>
      </w:r>
      <w:r>
        <w:tab/>
        <w:t>70, 91, 218, 676</w:t>
      </w:r>
    </w:p>
    <w:p w14:paraId="405B1EA5" w14:textId="77777777" w:rsidR="08240A2E" w:rsidRDefault="08240A2E" w:rsidP="08240A2E">
      <w:pPr>
        <w:pStyle w:val="Rejstk2"/>
        <w:tabs>
          <w:tab w:val="right" w:leader="dot" w:pos="4171"/>
        </w:tabs>
        <w:spacing w:line="240" w:lineRule="auto"/>
      </w:pPr>
      <w:r>
        <w:t>Rufus</w:t>
      </w:r>
      <w:r>
        <w:tab/>
        <w:t>523, 527, 617, 627</w:t>
      </w:r>
    </w:p>
    <w:p w14:paraId="02B388FF" w14:textId="77777777" w:rsidR="08240A2E" w:rsidRDefault="08240A2E" w:rsidP="08240A2E">
      <w:pPr>
        <w:pStyle w:val="Rejstk2"/>
        <w:tabs>
          <w:tab w:val="right" w:leader="dot" w:pos="4171"/>
        </w:tabs>
        <w:spacing w:line="240" w:lineRule="auto"/>
      </w:pPr>
      <w:r w:rsidRPr="001F5DB8">
        <w:rPr>
          <w:i/>
        </w:rPr>
        <w:t>suppositio formalis</w:t>
      </w:r>
      <w:r>
        <w:tab/>
        <w:t>672</w:t>
      </w:r>
    </w:p>
    <w:p w14:paraId="3C9B4513" w14:textId="77777777" w:rsidR="08240A2E" w:rsidRDefault="08240A2E" w:rsidP="08240A2E">
      <w:pPr>
        <w:pStyle w:val="Rejstk2"/>
        <w:tabs>
          <w:tab w:val="right" w:leader="dot" w:pos="4171"/>
        </w:tabs>
        <w:spacing w:line="240" w:lineRule="auto"/>
      </w:pPr>
      <w:r w:rsidRPr="001F5DB8">
        <w:rPr>
          <w:i/>
        </w:rPr>
        <w:t>suppositio simplex</w:t>
      </w:r>
      <w:r>
        <w:tab/>
        <w:t>672, 677</w:t>
      </w:r>
    </w:p>
    <w:p w14:paraId="2BB5CAB7" w14:textId="77777777" w:rsidR="08240A2E" w:rsidRDefault="08240A2E" w:rsidP="08240A2E">
      <w:pPr>
        <w:pStyle w:val="Rejstk2"/>
        <w:tabs>
          <w:tab w:val="right" w:leader="dot" w:pos="4171"/>
        </w:tabs>
        <w:spacing w:line="240" w:lineRule="auto"/>
      </w:pPr>
      <w:r w:rsidRPr="001F5DB8">
        <w:rPr>
          <w:i/>
        </w:rPr>
        <w:t>Tractatus Anagnini</w:t>
      </w:r>
      <w:r>
        <w:tab/>
        <w:t>94</w:t>
      </w:r>
    </w:p>
    <w:p w14:paraId="782E8CAB" w14:textId="77777777" w:rsidR="08240A2E" w:rsidRDefault="08240A2E" w:rsidP="08240A2E">
      <w:pPr>
        <w:pStyle w:val="Rejstk2"/>
        <w:tabs>
          <w:tab w:val="right" w:leader="dot" w:pos="4171"/>
        </w:tabs>
        <w:spacing w:line="240" w:lineRule="auto"/>
      </w:pPr>
      <w:r>
        <w:t>univerzální</w:t>
      </w:r>
      <w:r>
        <w:tab/>
        <w:t>37, 40</w:t>
      </w:r>
    </w:p>
    <w:p w14:paraId="2CD7732F" w14:textId="77777777" w:rsidR="08240A2E" w:rsidRDefault="08240A2E" w:rsidP="08240A2E">
      <w:pPr>
        <w:pStyle w:val="Rejstk1"/>
        <w:tabs>
          <w:tab w:val="right" w:leader="dot" w:pos="4171"/>
        </w:tabs>
        <w:spacing w:line="240" w:lineRule="auto"/>
      </w:pPr>
      <w:r w:rsidRPr="001F5DB8">
        <w:rPr>
          <w:i/>
        </w:rPr>
        <w:t>supponit pro</w:t>
      </w:r>
      <w:r>
        <w:tab/>
        <w:t>19, 35, 39, 40, 371, 539</w:t>
      </w:r>
    </w:p>
    <w:p w14:paraId="606A9DAD" w14:textId="77777777" w:rsidR="08240A2E" w:rsidRDefault="08240A2E" w:rsidP="08240A2E">
      <w:pPr>
        <w:pStyle w:val="Rejstk1"/>
        <w:tabs>
          <w:tab w:val="right" w:leader="dot" w:pos="4171"/>
        </w:tabs>
        <w:spacing w:line="240" w:lineRule="auto"/>
      </w:pPr>
      <w:r w:rsidRPr="001F5DB8">
        <w:rPr>
          <w:i/>
        </w:rPr>
        <w:t>suppositio formalis</w:t>
      </w:r>
      <w:r>
        <w:tab/>
        <w:t>511, 523, 528</w:t>
      </w:r>
    </w:p>
    <w:p w14:paraId="752FDA40" w14:textId="77777777" w:rsidR="08240A2E" w:rsidRDefault="08240A2E" w:rsidP="08240A2E">
      <w:pPr>
        <w:pStyle w:val="Rejstk1"/>
        <w:tabs>
          <w:tab w:val="right" w:leader="dot" w:pos="4171"/>
        </w:tabs>
        <w:spacing w:line="240" w:lineRule="auto"/>
      </w:pPr>
      <w:r w:rsidRPr="001F5DB8">
        <w:rPr>
          <w:i/>
        </w:rPr>
        <w:t>surnaturel</w:t>
      </w:r>
      <w:r>
        <w:tab/>
        <w:t>189</w:t>
      </w:r>
    </w:p>
    <w:p w14:paraId="47D4B260" w14:textId="77777777" w:rsidR="08240A2E" w:rsidRDefault="08240A2E" w:rsidP="08240A2E">
      <w:pPr>
        <w:pStyle w:val="Rejstk1"/>
        <w:tabs>
          <w:tab w:val="right" w:leader="dot" w:pos="4171"/>
        </w:tabs>
        <w:spacing w:line="240" w:lineRule="auto"/>
      </w:pPr>
      <w:r w:rsidRPr="001F5DB8">
        <w:rPr>
          <w:i/>
        </w:rPr>
        <w:t>synderesis</w:t>
      </w:r>
      <w:r>
        <w:tab/>
        <w:t>230, 233</w:t>
      </w:r>
    </w:p>
    <w:p w14:paraId="49F19E2F" w14:textId="77777777" w:rsidR="00195896" w:rsidRDefault="00195896" w:rsidP="08240A2E">
      <w:pPr>
        <w:pStyle w:val="Rejstk1"/>
        <w:tabs>
          <w:tab w:val="right" w:leader="dot" w:pos="4171"/>
        </w:tabs>
        <w:spacing w:line="240" w:lineRule="auto"/>
        <w:rPr>
          <w:i/>
        </w:rPr>
      </w:pPr>
    </w:p>
    <w:p w14:paraId="391DF35A" w14:textId="1874A062" w:rsidR="00195896" w:rsidRPr="00C8572E" w:rsidRDefault="00195896" w:rsidP="00195896">
      <w:pPr>
        <w:pStyle w:val="Rejstk1"/>
        <w:tabs>
          <w:tab w:val="right" w:leader="dot" w:pos="4171"/>
        </w:tabs>
        <w:spacing w:line="240" w:lineRule="auto"/>
        <w:rPr>
          <w:b/>
        </w:rPr>
      </w:pPr>
      <w:r>
        <w:rPr>
          <w:b/>
        </w:rPr>
        <w:t xml:space="preserve">T, U, V, Z </w:t>
      </w:r>
    </w:p>
    <w:p w14:paraId="45CBE0B8" w14:textId="77777777" w:rsidR="08240A2E" w:rsidRDefault="08240A2E" w:rsidP="08240A2E">
      <w:pPr>
        <w:pStyle w:val="Rejstk1"/>
        <w:tabs>
          <w:tab w:val="right" w:leader="dot" w:pos="4171"/>
        </w:tabs>
        <w:spacing w:line="240" w:lineRule="auto"/>
      </w:pPr>
      <w:r w:rsidRPr="001F5DB8">
        <w:rPr>
          <w:i/>
        </w:rPr>
        <w:t>tabula rasa</w:t>
      </w:r>
      <w:r>
        <w:tab/>
        <w:t>133, 136, 168, 173, 175, 204, 214, 270, 282, 297, 314, 445, 500, 503, 547, 567, 590, 591, 595, 622</w:t>
      </w:r>
    </w:p>
    <w:p w14:paraId="3978D680" w14:textId="77777777" w:rsidR="08240A2E" w:rsidRDefault="08240A2E" w:rsidP="08240A2E">
      <w:pPr>
        <w:pStyle w:val="Rejstk1"/>
        <w:tabs>
          <w:tab w:val="right" w:leader="dot" w:pos="4171"/>
        </w:tabs>
        <w:spacing w:line="240" w:lineRule="auto"/>
      </w:pPr>
      <w:r>
        <w:t>těleso</w:t>
      </w:r>
    </w:p>
    <w:p w14:paraId="6BC9B64D" w14:textId="77777777" w:rsidR="08240A2E" w:rsidRDefault="08240A2E" w:rsidP="08240A2E">
      <w:pPr>
        <w:pStyle w:val="Rejstk2"/>
        <w:tabs>
          <w:tab w:val="right" w:leader="dot" w:pos="4171"/>
        </w:tabs>
        <w:spacing w:line="240" w:lineRule="auto"/>
      </w:pPr>
      <w:r>
        <w:t>objektivní</w:t>
      </w:r>
      <w:r>
        <w:tab/>
        <w:t>556</w:t>
      </w:r>
    </w:p>
    <w:p w14:paraId="3463A4F4" w14:textId="77777777" w:rsidR="08240A2E" w:rsidRDefault="08240A2E" w:rsidP="08240A2E">
      <w:pPr>
        <w:pStyle w:val="Rejstk2"/>
        <w:tabs>
          <w:tab w:val="right" w:leader="dot" w:pos="4171"/>
        </w:tabs>
        <w:spacing w:line="240" w:lineRule="auto"/>
      </w:pPr>
      <w:r>
        <w:t>třetího druhu</w:t>
      </w:r>
      <w:r>
        <w:tab/>
        <w:t>15, 57, 60, 75, 256, 456, 457, 532, 554</w:t>
      </w:r>
    </w:p>
    <w:p w14:paraId="6DBBFD94" w14:textId="77777777" w:rsidR="08240A2E" w:rsidRDefault="08240A2E" w:rsidP="08240A2E">
      <w:pPr>
        <w:pStyle w:val="Rejstk1"/>
        <w:tabs>
          <w:tab w:val="right" w:leader="dot" w:pos="4171"/>
        </w:tabs>
        <w:spacing w:line="240" w:lineRule="auto"/>
      </w:pPr>
      <w:r>
        <w:t>teorie dvojí pravdy</w:t>
      </w:r>
      <w:r>
        <w:tab/>
        <w:t>45, 155, 192, 235, 408, 409, 485, 525, 655, 670, 681, 684, 685, 689, 695</w:t>
      </w:r>
    </w:p>
    <w:p w14:paraId="5FFC07E8" w14:textId="77777777" w:rsidR="08240A2E" w:rsidRDefault="08240A2E" w:rsidP="08240A2E">
      <w:pPr>
        <w:pStyle w:val="Rejstk1"/>
        <w:tabs>
          <w:tab w:val="right" w:leader="dot" w:pos="4171"/>
        </w:tabs>
        <w:spacing w:line="240" w:lineRule="auto"/>
      </w:pPr>
      <w:r w:rsidRPr="001F5DB8">
        <w:rPr>
          <w:i/>
          <w:color w:val="000000"/>
        </w:rPr>
        <w:t>terminus</w:t>
      </w:r>
      <w:r>
        <w:tab/>
        <w:t>63, 71, 80, 289, 408, 485</w:t>
      </w:r>
    </w:p>
    <w:p w14:paraId="62C833E8" w14:textId="77777777" w:rsidR="08240A2E" w:rsidRDefault="08240A2E" w:rsidP="08240A2E">
      <w:pPr>
        <w:pStyle w:val="Rejstk1"/>
        <w:tabs>
          <w:tab w:val="right" w:leader="dot" w:pos="4171"/>
        </w:tabs>
        <w:spacing w:line="240" w:lineRule="auto"/>
      </w:pPr>
      <w:r w:rsidRPr="08155226">
        <w:rPr>
          <w:i/>
        </w:rPr>
        <w:t>tertium ens</w:t>
      </w:r>
      <w:r>
        <w:tab/>
        <w:t>75, 96, 157, 660</w:t>
      </w:r>
    </w:p>
    <w:p w14:paraId="357C4950" w14:textId="77777777" w:rsidR="08240A2E" w:rsidRDefault="08240A2E" w:rsidP="08240A2E">
      <w:pPr>
        <w:pStyle w:val="Rejstk2"/>
        <w:tabs>
          <w:tab w:val="right" w:leader="dot" w:pos="4171"/>
        </w:tabs>
        <w:spacing w:line="240" w:lineRule="auto"/>
      </w:pPr>
      <w:r w:rsidRPr="001F5DB8">
        <w:rPr>
          <w:i/>
        </w:rPr>
        <w:t>Abelardova kritika</w:t>
      </w:r>
      <w:r>
        <w:tab/>
        <w:t>31, 39</w:t>
      </w:r>
    </w:p>
    <w:p w14:paraId="7C154977" w14:textId="77777777" w:rsidR="08240A2E" w:rsidRDefault="08240A2E" w:rsidP="08240A2E">
      <w:pPr>
        <w:pStyle w:val="Rejstk2"/>
        <w:tabs>
          <w:tab w:val="right" w:leader="dot" w:pos="4171"/>
        </w:tabs>
        <w:spacing w:line="240" w:lineRule="auto"/>
      </w:pPr>
      <w:r w:rsidRPr="001F5DB8">
        <w:rPr>
          <w:i/>
        </w:rPr>
        <w:t>Avicebron</w:t>
      </w:r>
      <w:r>
        <w:tab/>
        <w:t>659</w:t>
      </w:r>
    </w:p>
    <w:p w14:paraId="57B05E67" w14:textId="77777777" w:rsidR="08240A2E" w:rsidRDefault="08240A2E" w:rsidP="08240A2E">
      <w:pPr>
        <w:pStyle w:val="Rejstk2"/>
        <w:tabs>
          <w:tab w:val="right" w:leader="dot" w:pos="4171"/>
        </w:tabs>
        <w:spacing w:line="240" w:lineRule="auto"/>
      </w:pPr>
      <w:r w:rsidRPr="001F5DB8">
        <w:rPr>
          <w:i/>
        </w:rPr>
        <w:t>Avicenna</w:t>
      </w:r>
      <w:r>
        <w:tab/>
        <w:t>98, 175, 323</w:t>
      </w:r>
    </w:p>
    <w:p w14:paraId="24227F25" w14:textId="77777777" w:rsidR="08240A2E" w:rsidRDefault="08240A2E" w:rsidP="08240A2E">
      <w:pPr>
        <w:pStyle w:val="Rejstk2"/>
        <w:tabs>
          <w:tab w:val="right" w:leader="dot" w:pos="4171"/>
        </w:tabs>
        <w:spacing w:line="240" w:lineRule="auto"/>
      </w:pPr>
      <w:r>
        <w:t>Blundova kritika</w:t>
      </w:r>
      <w:r>
        <w:tab/>
        <w:t>129</w:t>
      </w:r>
    </w:p>
    <w:p w14:paraId="5A746D3B" w14:textId="77777777" w:rsidR="08240A2E" w:rsidRDefault="08240A2E" w:rsidP="08240A2E">
      <w:pPr>
        <w:pStyle w:val="Rejstk2"/>
        <w:tabs>
          <w:tab w:val="right" w:leader="dot" w:pos="4171"/>
        </w:tabs>
        <w:spacing w:line="240" w:lineRule="auto"/>
      </w:pPr>
      <w:r w:rsidRPr="001F5DB8">
        <w:rPr>
          <w:i/>
        </w:rPr>
        <w:t>concretum</w:t>
      </w:r>
      <w:r>
        <w:tab/>
        <w:t>560</w:t>
      </w:r>
    </w:p>
    <w:p w14:paraId="3F8F5284" w14:textId="77777777" w:rsidR="08240A2E" w:rsidRDefault="08240A2E" w:rsidP="08240A2E">
      <w:pPr>
        <w:pStyle w:val="Rejstk2"/>
        <w:tabs>
          <w:tab w:val="right" w:leader="dot" w:pos="4171"/>
        </w:tabs>
        <w:spacing w:line="240" w:lineRule="auto"/>
      </w:pPr>
      <w:r>
        <w:t>Gilbertus Porretanus</w:t>
      </w:r>
      <w:r>
        <w:tab/>
        <w:t>52, 54, 56, 60</w:t>
      </w:r>
    </w:p>
    <w:p w14:paraId="785D62DF" w14:textId="77777777" w:rsidR="08240A2E" w:rsidRDefault="08240A2E" w:rsidP="08240A2E">
      <w:pPr>
        <w:pStyle w:val="Rejstk2"/>
        <w:tabs>
          <w:tab w:val="right" w:leader="dot" w:pos="4171"/>
        </w:tabs>
        <w:spacing w:line="240" w:lineRule="auto"/>
      </w:pPr>
      <w:r w:rsidRPr="08443F6E">
        <w:t>hermeneutika</w:t>
      </w:r>
      <w:r>
        <w:tab/>
        <w:t>9</w:t>
      </w:r>
    </w:p>
    <w:p w14:paraId="31A70BCF" w14:textId="77777777" w:rsidR="08240A2E" w:rsidRDefault="08240A2E" w:rsidP="08240A2E">
      <w:pPr>
        <w:pStyle w:val="Rejstk2"/>
        <w:tabs>
          <w:tab w:val="right" w:leader="dot" w:pos="4171"/>
        </w:tabs>
        <w:spacing w:line="240" w:lineRule="auto"/>
      </w:pPr>
      <w:r>
        <w:t>jazyk</w:t>
      </w:r>
      <w:r>
        <w:tab/>
        <w:t>18</w:t>
      </w:r>
    </w:p>
    <w:p w14:paraId="707CD558" w14:textId="77777777" w:rsidR="08240A2E" w:rsidRDefault="08240A2E" w:rsidP="08240A2E">
      <w:pPr>
        <w:pStyle w:val="Rejstk2"/>
        <w:tabs>
          <w:tab w:val="right" w:leader="dot" w:pos="4171"/>
        </w:tabs>
        <w:spacing w:line="240" w:lineRule="auto"/>
      </w:pPr>
      <w:r w:rsidRPr="08443F6E">
        <w:t>kritika Alberta</w:t>
      </w:r>
      <w:r>
        <w:tab/>
        <w:t>257</w:t>
      </w:r>
    </w:p>
    <w:p w14:paraId="00118650" w14:textId="77777777" w:rsidR="08240A2E" w:rsidRDefault="08240A2E" w:rsidP="08240A2E">
      <w:pPr>
        <w:pStyle w:val="Rejstk2"/>
        <w:tabs>
          <w:tab w:val="right" w:leader="dot" w:pos="4171"/>
        </w:tabs>
        <w:spacing w:line="240" w:lineRule="auto"/>
      </w:pPr>
      <w:r w:rsidRPr="08443F6E">
        <w:t>kritika Alverna</w:t>
      </w:r>
      <w:r>
        <w:tab/>
        <w:t>235</w:t>
      </w:r>
    </w:p>
    <w:p w14:paraId="3B5A498F" w14:textId="77777777" w:rsidR="08240A2E" w:rsidRDefault="08240A2E" w:rsidP="08240A2E">
      <w:pPr>
        <w:pStyle w:val="Rejstk2"/>
        <w:tabs>
          <w:tab w:val="right" w:leader="dot" w:pos="4171"/>
        </w:tabs>
        <w:spacing w:line="240" w:lineRule="auto"/>
      </w:pPr>
      <w:r w:rsidRPr="001F5DB8">
        <w:rPr>
          <w:i/>
        </w:rPr>
        <w:t>k</w:t>
      </w:r>
      <w:r w:rsidRPr="08443F6E">
        <w:t>ritika Bacona</w:t>
      </w:r>
      <w:r>
        <w:tab/>
        <w:t>488</w:t>
      </w:r>
    </w:p>
    <w:p w14:paraId="11C4CA05" w14:textId="77777777" w:rsidR="08240A2E" w:rsidRDefault="08240A2E" w:rsidP="08240A2E">
      <w:pPr>
        <w:pStyle w:val="Rejstk2"/>
        <w:tabs>
          <w:tab w:val="right" w:leader="dot" w:pos="4171"/>
        </w:tabs>
        <w:spacing w:line="240" w:lineRule="auto"/>
      </w:pPr>
      <w:r>
        <w:t>logická nutnost</w:t>
      </w:r>
      <w:r>
        <w:tab/>
        <w:t>424</w:t>
      </w:r>
    </w:p>
    <w:p w14:paraId="4586E57A" w14:textId="77777777" w:rsidR="08240A2E" w:rsidRDefault="08240A2E" w:rsidP="08240A2E">
      <w:pPr>
        <w:pStyle w:val="Rejstk2"/>
        <w:tabs>
          <w:tab w:val="right" w:leader="dot" w:pos="4171"/>
        </w:tabs>
        <w:spacing w:line="240" w:lineRule="auto"/>
      </w:pPr>
      <w:r w:rsidRPr="001F5DB8">
        <w:rPr>
          <w:i/>
        </w:rPr>
        <w:t>logické školy</w:t>
      </w:r>
      <w:r>
        <w:tab/>
        <w:t>20</w:t>
      </w:r>
    </w:p>
    <w:p w14:paraId="631E53FB" w14:textId="77777777" w:rsidR="08240A2E" w:rsidRDefault="08240A2E" w:rsidP="08240A2E">
      <w:pPr>
        <w:pStyle w:val="Rejstk2"/>
        <w:tabs>
          <w:tab w:val="right" w:leader="dot" w:pos="4171"/>
        </w:tabs>
        <w:spacing w:line="240" w:lineRule="auto"/>
      </w:pPr>
      <w:r w:rsidRPr="08443F6E">
        <w:t>materie</w:t>
      </w:r>
      <w:r>
        <w:tab/>
        <w:t>231, 286, 295, 318, 482, 585</w:t>
      </w:r>
    </w:p>
    <w:p w14:paraId="1D88BC25" w14:textId="77777777" w:rsidR="08240A2E" w:rsidRDefault="08240A2E" w:rsidP="08240A2E">
      <w:pPr>
        <w:pStyle w:val="Rejstk2"/>
        <w:tabs>
          <w:tab w:val="right" w:leader="dot" w:pos="4171"/>
        </w:tabs>
        <w:spacing w:line="240" w:lineRule="auto"/>
      </w:pPr>
      <w:r w:rsidRPr="08443F6E">
        <w:t>moderna</w:t>
      </w:r>
      <w:r>
        <w:tab/>
        <w:t>337</w:t>
      </w:r>
    </w:p>
    <w:p w14:paraId="21A6A9DD" w14:textId="77777777" w:rsidR="08240A2E" w:rsidRDefault="08240A2E" w:rsidP="08240A2E">
      <w:pPr>
        <w:pStyle w:val="Rejstk2"/>
        <w:tabs>
          <w:tab w:val="right" w:leader="dot" w:pos="4171"/>
        </w:tabs>
        <w:spacing w:line="240" w:lineRule="auto"/>
      </w:pPr>
      <w:r w:rsidRPr="08443F6E">
        <w:t>nihilismus</w:t>
      </w:r>
      <w:r>
        <w:tab/>
        <w:t>399</w:t>
      </w:r>
    </w:p>
    <w:p w14:paraId="11CF55A2" w14:textId="77777777" w:rsidR="08240A2E" w:rsidRDefault="08240A2E" w:rsidP="08240A2E">
      <w:pPr>
        <w:pStyle w:val="Rejstk2"/>
        <w:tabs>
          <w:tab w:val="right" w:leader="dot" w:pos="4171"/>
        </w:tabs>
        <w:spacing w:line="240" w:lineRule="auto"/>
      </w:pPr>
      <w:r w:rsidRPr="08443F6E">
        <w:t>ontologie</w:t>
      </w:r>
      <w:r>
        <w:tab/>
        <w:t>63</w:t>
      </w:r>
    </w:p>
    <w:p w14:paraId="5A14F33A" w14:textId="77777777" w:rsidR="08240A2E" w:rsidRDefault="08240A2E" w:rsidP="08240A2E">
      <w:pPr>
        <w:pStyle w:val="Rejstk2"/>
        <w:tabs>
          <w:tab w:val="right" w:leader="dot" w:pos="4171"/>
        </w:tabs>
        <w:spacing w:line="240" w:lineRule="auto"/>
      </w:pPr>
      <w:r w:rsidRPr="08443F6E">
        <w:t>porretáni</w:t>
      </w:r>
      <w:r>
        <w:tab/>
        <w:t>101, 102</w:t>
      </w:r>
    </w:p>
    <w:p w14:paraId="70C3EDEE" w14:textId="77777777" w:rsidR="08240A2E" w:rsidRDefault="08240A2E" w:rsidP="08240A2E">
      <w:pPr>
        <w:pStyle w:val="Rejstk2"/>
        <w:tabs>
          <w:tab w:val="right" w:leader="dot" w:pos="4171"/>
        </w:tabs>
        <w:spacing w:line="240" w:lineRule="auto"/>
      </w:pPr>
      <w:r>
        <w:t>Rufus</w:t>
      </w:r>
      <w:r>
        <w:tab/>
        <w:t>517, 523, 579, 581</w:t>
      </w:r>
    </w:p>
    <w:p w14:paraId="278BB8F3" w14:textId="77777777" w:rsidR="08240A2E" w:rsidRDefault="08240A2E" w:rsidP="08240A2E">
      <w:pPr>
        <w:pStyle w:val="Rejstk2"/>
        <w:tabs>
          <w:tab w:val="right" w:leader="dot" w:pos="4171"/>
        </w:tabs>
        <w:spacing w:line="240" w:lineRule="auto"/>
      </w:pPr>
      <w:r w:rsidRPr="087129AF">
        <w:rPr>
          <w:i/>
        </w:rPr>
        <w:t>scibile</w:t>
      </w:r>
      <w:r>
        <w:tab/>
        <w:t>571</w:t>
      </w:r>
    </w:p>
    <w:p w14:paraId="364314ED" w14:textId="3F7AF7FB" w:rsidR="08240A2E" w:rsidRDefault="004B4D52" w:rsidP="08240A2E">
      <w:pPr>
        <w:pStyle w:val="Rejstk2"/>
        <w:tabs>
          <w:tab w:val="right" w:leader="dot" w:pos="4171"/>
        </w:tabs>
        <w:spacing w:line="240" w:lineRule="auto"/>
      </w:pPr>
      <w:r w:rsidRPr="004B4D52">
        <w:t>species</w:t>
      </w:r>
      <w:r w:rsidR="08240A2E">
        <w:tab/>
        <w:t>553</w:t>
      </w:r>
    </w:p>
    <w:p w14:paraId="468688FC" w14:textId="77777777" w:rsidR="08240A2E" w:rsidRDefault="08240A2E" w:rsidP="08240A2E">
      <w:pPr>
        <w:pStyle w:val="Rejstk2"/>
        <w:tabs>
          <w:tab w:val="right" w:leader="dot" w:pos="4171"/>
        </w:tabs>
        <w:spacing w:line="240" w:lineRule="auto"/>
      </w:pPr>
      <w:r w:rsidRPr="001F5DB8">
        <w:rPr>
          <w:i/>
        </w:rPr>
        <w:t>škola</w:t>
      </w:r>
      <w:r>
        <w:t xml:space="preserve"> </w:t>
      </w:r>
      <w:r w:rsidRPr="087129AF">
        <w:rPr>
          <w:i/>
        </w:rPr>
        <w:t>Modernorum</w:t>
      </w:r>
      <w:r>
        <w:tab/>
        <w:t>453</w:t>
      </w:r>
    </w:p>
    <w:p w14:paraId="324210ED" w14:textId="77777777" w:rsidR="08240A2E" w:rsidRDefault="08240A2E" w:rsidP="08240A2E">
      <w:pPr>
        <w:pStyle w:val="Rejstk2"/>
        <w:tabs>
          <w:tab w:val="right" w:leader="dot" w:pos="4171"/>
        </w:tabs>
        <w:spacing w:line="240" w:lineRule="auto"/>
      </w:pPr>
      <w:r>
        <w:t xml:space="preserve">škola </w:t>
      </w:r>
      <w:r w:rsidRPr="001F5DB8">
        <w:rPr>
          <w:i/>
        </w:rPr>
        <w:t>Nominales</w:t>
      </w:r>
      <w:r>
        <w:tab/>
        <w:t>67</w:t>
      </w:r>
    </w:p>
    <w:p w14:paraId="2B9024B9" w14:textId="77777777" w:rsidR="08240A2E" w:rsidRDefault="08240A2E" w:rsidP="08240A2E">
      <w:pPr>
        <w:pStyle w:val="Rejstk2"/>
        <w:tabs>
          <w:tab w:val="right" w:leader="dot" w:pos="4171"/>
        </w:tabs>
        <w:spacing w:line="240" w:lineRule="auto"/>
      </w:pPr>
      <w:r w:rsidRPr="087129AF">
        <w:t>transcendentália</w:t>
      </w:r>
      <w:r>
        <w:tab/>
        <w:t>228</w:t>
      </w:r>
    </w:p>
    <w:p w14:paraId="53DD91C4" w14:textId="77777777" w:rsidR="08240A2E" w:rsidRDefault="08240A2E" w:rsidP="08240A2E">
      <w:pPr>
        <w:pStyle w:val="Rejstk1"/>
        <w:tabs>
          <w:tab w:val="right" w:leader="dot" w:pos="4171"/>
        </w:tabs>
        <w:spacing w:line="240" w:lineRule="auto"/>
      </w:pPr>
      <w:r w:rsidRPr="001F5DB8">
        <w:rPr>
          <w:i/>
        </w:rPr>
        <w:t>tertium</w:t>
      </w:r>
      <w:r>
        <w:t xml:space="preserve"> </w:t>
      </w:r>
      <w:r w:rsidRPr="001F5DB8">
        <w:rPr>
          <w:i/>
        </w:rPr>
        <w:t>genus</w:t>
      </w:r>
      <w:r>
        <w:tab/>
        <w:t>30, 175, 233, 269, 272, 274, 282, 287, 316, 597, 607, 622</w:t>
      </w:r>
    </w:p>
    <w:p w14:paraId="762DEDC2" w14:textId="77777777" w:rsidR="08240A2E" w:rsidRDefault="08240A2E" w:rsidP="08240A2E">
      <w:pPr>
        <w:pStyle w:val="Rejstk1"/>
        <w:tabs>
          <w:tab w:val="right" w:leader="dot" w:pos="4171"/>
        </w:tabs>
        <w:spacing w:line="240" w:lineRule="auto"/>
      </w:pPr>
      <w:r>
        <w:t>Tertullian</w:t>
      </w:r>
      <w:r w:rsidR="087129AF">
        <w:t xml:space="preserve">, viz </w:t>
      </w:r>
      <w:r w:rsidR="087129AF" w:rsidRPr="087129AF">
        <w:rPr>
          <w:i/>
        </w:rPr>
        <w:t>Index locorum</w:t>
      </w:r>
    </w:p>
    <w:p w14:paraId="5B071859" w14:textId="77777777" w:rsidR="08240A2E" w:rsidRDefault="08240A2E" w:rsidP="08240A2E">
      <w:pPr>
        <w:pStyle w:val="Rejstk1"/>
        <w:tabs>
          <w:tab w:val="right" w:leader="dot" w:pos="4171"/>
        </w:tabs>
        <w:spacing w:line="240" w:lineRule="auto"/>
      </w:pPr>
      <w:r>
        <w:t>Themistius</w:t>
      </w:r>
      <w:r>
        <w:tab/>
      </w:r>
      <w:r w:rsidR="087129AF">
        <w:t xml:space="preserve">149, </w:t>
      </w:r>
      <w:r>
        <w:t>167, 205, 208, 209, 297, 444, 604, 624</w:t>
      </w:r>
    </w:p>
    <w:p w14:paraId="3A3DE553" w14:textId="77777777" w:rsidR="08240A2E" w:rsidRDefault="08240A2E" w:rsidP="08240A2E">
      <w:pPr>
        <w:pStyle w:val="Rejstk1"/>
        <w:tabs>
          <w:tab w:val="right" w:leader="dot" w:pos="4171"/>
        </w:tabs>
        <w:spacing w:line="240" w:lineRule="auto"/>
      </w:pPr>
      <w:r>
        <w:t>Theofrastus</w:t>
      </w:r>
      <w:r>
        <w:tab/>
        <w:t>444</w:t>
      </w:r>
    </w:p>
    <w:p w14:paraId="73937691" w14:textId="77777777" w:rsidR="08240A2E" w:rsidRDefault="08240A2E" w:rsidP="08240A2E">
      <w:pPr>
        <w:pStyle w:val="Rejstk1"/>
        <w:tabs>
          <w:tab w:val="right" w:leader="dot" w:pos="4171"/>
        </w:tabs>
        <w:spacing w:line="240" w:lineRule="auto"/>
      </w:pPr>
      <w:r>
        <w:t>Thierry ze Chartres</w:t>
      </w:r>
      <w:r>
        <w:tab/>
        <w:t>350</w:t>
      </w:r>
    </w:p>
    <w:p w14:paraId="7B389B92" w14:textId="77777777" w:rsidR="08240A2E" w:rsidRDefault="08240A2E" w:rsidP="08240A2E">
      <w:pPr>
        <w:pStyle w:val="Rejstk1"/>
        <w:tabs>
          <w:tab w:val="right" w:leader="dot" w:pos="4171"/>
        </w:tabs>
        <w:spacing w:line="240" w:lineRule="auto"/>
      </w:pPr>
      <w:r>
        <w:t>Toledská škola</w:t>
      </w:r>
      <w:r>
        <w:tab/>
        <w:t>76, 111, 112, 116, 142, 157, 169, 172, 176, 191, 213, 225, 228, 239, 258, 265, 275, 290, 299, 315, 383, 410, 423, 520, 577, 614</w:t>
      </w:r>
    </w:p>
    <w:p w14:paraId="45B53CD4" w14:textId="77777777" w:rsidR="08240A2E" w:rsidRDefault="08240A2E" w:rsidP="08240A2E">
      <w:pPr>
        <w:pStyle w:val="Rejstk1"/>
        <w:tabs>
          <w:tab w:val="right" w:leader="dot" w:pos="4171"/>
        </w:tabs>
        <w:spacing w:line="240" w:lineRule="auto"/>
      </w:pPr>
      <w:r w:rsidRPr="001F5DB8">
        <w:rPr>
          <w:i/>
        </w:rPr>
        <w:t>totum integrum</w:t>
      </w:r>
      <w:r>
        <w:tab/>
        <w:t>31, 32, 33, 44, 50, 70, 75, 78, 108, 464, 471</w:t>
      </w:r>
    </w:p>
    <w:p w14:paraId="54EB768B" w14:textId="77777777" w:rsidR="08240A2E" w:rsidRDefault="08240A2E" w:rsidP="08240A2E">
      <w:pPr>
        <w:pStyle w:val="Rejstk1"/>
        <w:tabs>
          <w:tab w:val="right" w:leader="dot" w:pos="4171"/>
        </w:tabs>
        <w:spacing w:line="240" w:lineRule="auto"/>
      </w:pPr>
      <w:r w:rsidRPr="001F5DB8">
        <w:rPr>
          <w:i/>
        </w:rPr>
        <w:t>totum universale</w:t>
      </w:r>
      <w:r>
        <w:tab/>
        <w:t>31, 32, 33, 44, 50, 471</w:t>
      </w:r>
    </w:p>
    <w:p w14:paraId="682F910E" w14:textId="77777777" w:rsidR="08240A2E" w:rsidRDefault="08240A2E" w:rsidP="08240A2E">
      <w:pPr>
        <w:pStyle w:val="Rejstk1"/>
        <w:tabs>
          <w:tab w:val="right" w:leader="dot" w:pos="4171"/>
        </w:tabs>
        <w:spacing w:line="240" w:lineRule="auto"/>
      </w:pPr>
      <w:r w:rsidRPr="001F5DB8">
        <w:rPr>
          <w:i/>
        </w:rPr>
        <w:t>Tractatus</w:t>
      </w:r>
      <w:r>
        <w:t>, MS Vat. Lat. 1486, f. 17ra</w:t>
      </w:r>
      <w:r>
        <w:tab/>
        <w:t>69, 70</w:t>
      </w:r>
    </w:p>
    <w:p w14:paraId="03DCA8C5" w14:textId="77777777" w:rsidR="08240A2E" w:rsidRDefault="08240A2E" w:rsidP="08240A2E">
      <w:pPr>
        <w:pStyle w:val="Rejstk1"/>
        <w:tabs>
          <w:tab w:val="right" w:leader="dot" w:pos="4171"/>
        </w:tabs>
        <w:spacing w:line="240" w:lineRule="auto"/>
      </w:pPr>
      <w:r>
        <w:t>transcendentálie</w:t>
      </w:r>
      <w:r>
        <w:tab/>
        <w:t>226, 228</w:t>
      </w:r>
    </w:p>
    <w:p w14:paraId="43434982" w14:textId="77777777" w:rsidR="08240A2E" w:rsidRDefault="08240A2E" w:rsidP="08240A2E">
      <w:pPr>
        <w:pStyle w:val="Rejstk1"/>
        <w:tabs>
          <w:tab w:val="right" w:leader="dot" w:pos="4171"/>
        </w:tabs>
        <w:spacing w:line="240" w:lineRule="auto"/>
      </w:pPr>
      <w:r w:rsidRPr="001F5DB8">
        <w:rPr>
          <w:i/>
        </w:rPr>
        <w:t>translatio</w:t>
      </w:r>
      <w:r>
        <w:tab/>
        <w:t>37, 39, 41</w:t>
      </w:r>
    </w:p>
    <w:p w14:paraId="0767E60F" w14:textId="77777777" w:rsidR="08240A2E" w:rsidRDefault="08240A2E" w:rsidP="08240A2E">
      <w:pPr>
        <w:pStyle w:val="Rejstk1"/>
        <w:tabs>
          <w:tab w:val="right" w:leader="dot" w:pos="4171"/>
        </w:tabs>
        <w:spacing w:line="240" w:lineRule="auto"/>
      </w:pPr>
      <w:r>
        <w:t>tranzistorový jev</w:t>
      </w:r>
      <w:r>
        <w:tab/>
        <w:t>693</w:t>
      </w:r>
    </w:p>
    <w:p w14:paraId="37F17B28" w14:textId="77777777" w:rsidR="08240A2E" w:rsidRDefault="08240A2E" w:rsidP="08240A2E">
      <w:pPr>
        <w:pStyle w:val="Rejstk1"/>
        <w:tabs>
          <w:tab w:val="right" w:leader="dot" w:pos="4171"/>
        </w:tabs>
        <w:spacing w:line="240" w:lineRule="auto"/>
      </w:pPr>
      <w:r>
        <w:rPr>
          <w:lang w:eastAsia="en-US"/>
        </w:rPr>
        <w:t>triteismus</w:t>
      </w:r>
      <w:r>
        <w:tab/>
        <w:t>44, 76, 100, 190, 220</w:t>
      </w:r>
    </w:p>
    <w:p w14:paraId="460E7FBA" w14:textId="77777777" w:rsidR="08240A2E" w:rsidRDefault="08240A2E" w:rsidP="08240A2E">
      <w:pPr>
        <w:pStyle w:val="Rejstk1"/>
        <w:tabs>
          <w:tab w:val="right" w:leader="dot" w:pos="4171"/>
        </w:tabs>
        <w:spacing w:line="240" w:lineRule="auto"/>
      </w:pPr>
      <w:r w:rsidRPr="001F5DB8">
        <w:rPr>
          <w:i/>
        </w:rPr>
        <w:t>Unified Science</w:t>
      </w:r>
      <w:r>
        <w:tab/>
        <w:t>99, 366, 409, 437, 510, 518, 527, 529, 573, 667</w:t>
      </w:r>
    </w:p>
    <w:p w14:paraId="3546E660" w14:textId="77777777" w:rsidR="08240A2E" w:rsidRDefault="08240A2E" w:rsidP="08240A2E">
      <w:pPr>
        <w:pStyle w:val="Rejstk1"/>
        <w:tabs>
          <w:tab w:val="right" w:leader="dot" w:pos="4171"/>
        </w:tabs>
        <w:spacing w:line="240" w:lineRule="auto"/>
      </w:pPr>
      <w:r w:rsidRPr="001F5DB8">
        <w:rPr>
          <w:i/>
        </w:rPr>
        <w:t>universitas humana</w:t>
      </w:r>
      <w:r>
        <w:tab/>
        <w:t>92</w:t>
      </w:r>
    </w:p>
    <w:p w14:paraId="7C00C89D" w14:textId="77777777" w:rsidR="08240A2E" w:rsidRDefault="08240A2E" w:rsidP="08240A2E">
      <w:pPr>
        <w:pStyle w:val="Rejstk1"/>
        <w:tabs>
          <w:tab w:val="right" w:leader="dot" w:pos="4171"/>
        </w:tabs>
        <w:spacing w:line="240" w:lineRule="auto"/>
      </w:pPr>
      <w:r>
        <w:t>univerzální hylemorfismus</w:t>
      </w:r>
      <w:r>
        <w:tab/>
        <w:t>231, 277, 286, 293, 319, 395, 449, 457, 460, 464, 482, 483, 494, 497, 498, 562, 567, 572, 580, 581, 584, 585, 587, 594, 604, 628, 629, 635, 653, 658, 659, 663, 702</w:t>
      </w:r>
    </w:p>
    <w:p w14:paraId="451D23C6" w14:textId="77777777" w:rsidR="08240A2E" w:rsidRDefault="08240A2E" w:rsidP="087129AF">
      <w:pPr>
        <w:pStyle w:val="Rejstk1"/>
        <w:tabs>
          <w:tab w:val="right" w:leader="dot" w:pos="4171"/>
        </w:tabs>
        <w:spacing w:line="240" w:lineRule="auto"/>
      </w:pPr>
      <w:r>
        <w:t>věc</w:t>
      </w:r>
      <w:r w:rsidR="087129AF">
        <w:t xml:space="preserve">, </w:t>
      </w:r>
      <w:r>
        <w:t xml:space="preserve">objektivní </w:t>
      </w:r>
      <w:r w:rsidRPr="001F5DB8">
        <w:rPr>
          <w:i/>
        </w:rPr>
        <w:t>res</w:t>
      </w:r>
      <w:r>
        <w:tab/>
        <w:t>448</w:t>
      </w:r>
    </w:p>
    <w:p w14:paraId="09F23CC6" w14:textId="77777777" w:rsidR="08240A2E" w:rsidRDefault="08240A2E" w:rsidP="08240A2E">
      <w:pPr>
        <w:pStyle w:val="Rejstk1"/>
        <w:tabs>
          <w:tab w:val="right" w:leader="dot" w:pos="4171"/>
        </w:tabs>
        <w:spacing w:line="240" w:lineRule="auto"/>
      </w:pPr>
      <w:r w:rsidRPr="001F5DB8">
        <w:rPr>
          <w:i/>
        </w:rPr>
        <w:t>verbum mentis</w:t>
      </w:r>
      <w:r>
        <w:tab/>
        <w:t>74, 418</w:t>
      </w:r>
    </w:p>
    <w:p w14:paraId="2D12233D" w14:textId="77777777" w:rsidR="08240A2E" w:rsidRDefault="08240A2E" w:rsidP="08240A2E">
      <w:pPr>
        <w:pStyle w:val="Rejstk1"/>
        <w:tabs>
          <w:tab w:val="right" w:leader="dot" w:pos="4171"/>
        </w:tabs>
        <w:spacing w:line="240" w:lineRule="auto"/>
      </w:pPr>
      <w:r w:rsidRPr="001F5DB8">
        <w:rPr>
          <w:i/>
        </w:rPr>
        <w:t>veritas</w:t>
      </w:r>
      <w:r>
        <w:tab/>
        <w:t>17, 157</w:t>
      </w:r>
    </w:p>
    <w:p w14:paraId="2BDEB48D" w14:textId="77777777" w:rsidR="08240A2E" w:rsidRDefault="08240A2E" w:rsidP="08240A2E">
      <w:pPr>
        <w:pStyle w:val="Rejstk1"/>
        <w:tabs>
          <w:tab w:val="right" w:leader="dot" w:pos="4171"/>
        </w:tabs>
        <w:spacing w:line="240" w:lineRule="auto"/>
      </w:pPr>
      <w:r w:rsidRPr="001F5DB8">
        <w:rPr>
          <w:i/>
        </w:rPr>
        <w:t>Verkehrung ins Gegenteil</w:t>
      </w:r>
      <w:r>
        <w:tab/>
        <w:t>4, 10, 48, 82, 113, 154, 157, 237, 301, 341, 342, 347, 599, 609, 695</w:t>
      </w:r>
    </w:p>
    <w:p w14:paraId="19C15373" w14:textId="77777777" w:rsidR="08240A2E" w:rsidRDefault="08240A2E" w:rsidP="08240A2E">
      <w:pPr>
        <w:pStyle w:val="Rejstk1"/>
        <w:tabs>
          <w:tab w:val="right" w:leader="dot" w:pos="4171"/>
        </w:tabs>
        <w:spacing w:line="240" w:lineRule="auto"/>
      </w:pPr>
      <w:r w:rsidRPr="001F5DB8">
        <w:rPr>
          <w:i/>
        </w:rPr>
        <w:t>via Modernorum</w:t>
      </w:r>
      <w:r>
        <w:tab/>
        <w:t>20, 56, 114, 289, 306, 343, 364, 440, 444, 494, 523, 529, 546, 576, 627, 629, 630, 636, 637, 658, 673, 696</w:t>
      </w:r>
    </w:p>
    <w:p w14:paraId="28AB2E88" w14:textId="77777777" w:rsidR="08240A2E" w:rsidRDefault="08240A2E" w:rsidP="087129AF">
      <w:pPr>
        <w:pStyle w:val="Rejstk1"/>
        <w:tabs>
          <w:tab w:val="right" w:leader="dot" w:pos="4171"/>
        </w:tabs>
        <w:spacing w:line="240" w:lineRule="auto"/>
      </w:pPr>
      <w:r>
        <w:t>vidění</w:t>
      </w:r>
      <w:r w:rsidR="087129AF">
        <w:t xml:space="preserve">, </w:t>
      </w:r>
      <w:r>
        <w:t>eidetické</w:t>
      </w:r>
      <w:r>
        <w:tab/>
        <w:t>401, 403, 451, 656, 680, 700</w:t>
      </w:r>
    </w:p>
    <w:p w14:paraId="2C510B78" w14:textId="174EBFE2" w:rsidR="009D00F6" w:rsidRPr="009D00F6" w:rsidRDefault="009D00F6" w:rsidP="08240A2E">
      <w:pPr>
        <w:pStyle w:val="Rejstk1"/>
        <w:tabs>
          <w:tab w:val="right" w:leader="dot" w:pos="4171"/>
        </w:tabs>
        <w:spacing w:line="240" w:lineRule="auto"/>
      </w:pPr>
      <w:r w:rsidRPr="009D00F6">
        <w:t>Vídeňský kruh</w:t>
      </w:r>
      <w:r>
        <w:tab/>
        <w:t>717, 756., 812</w:t>
      </w:r>
    </w:p>
    <w:p w14:paraId="4A24E362" w14:textId="77777777" w:rsidR="08240A2E" w:rsidRDefault="08240A2E" w:rsidP="08240A2E">
      <w:pPr>
        <w:pStyle w:val="Rejstk1"/>
        <w:tabs>
          <w:tab w:val="right" w:leader="dot" w:pos="4171"/>
        </w:tabs>
        <w:spacing w:line="240" w:lineRule="auto"/>
      </w:pPr>
      <w:r w:rsidRPr="001F5DB8">
        <w:rPr>
          <w:i/>
        </w:rPr>
        <w:t>vis aestimativa</w:t>
      </w:r>
      <w:r>
        <w:tab/>
        <w:t>124, 126, 129, 136, 171</w:t>
      </w:r>
    </w:p>
    <w:p w14:paraId="0434077D" w14:textId="77777777" w:rsidR="08240A2E" w:rsidRDefault="08240A2E" w:rsidP="08240A2E">
      <w:pPr>
        <w:pStyle w:val="Rejstk1"/>
        <w:tabs>
          <w:tab w:val="right" w:leader="dot" w:pos="4171"/>
        </w:tabs>
        <w:spacing w:line="240" w:lineRule="auto"/>
      </w:pPr>
      <w:r w:rsidRPr="001F5DB8">
        <w:rPr>
          <w:i/>
        </w:rPr>
        <w:t>Vor-b</w:t>
      </w:r>
      <w:r w:rsidRPr="001F5DB8">
        <w:rPr>
          <w:i/>
          <w:iCs/>
        </w:rPr>
        <w:t>lickbahn</w:t>
      </w:r>
    </w:p>
    <w:p w14:paraId="5B0FF491" w14:textId="77777777" w:rsidR="08240A2E" w:rsidRDefault="08240A2E" w:rsidP="08240A2E">
      <w:pPr>
        <w:pStyle w:val="Rejstk2"/>
        <w:tabs>
          <w:tab w:val="right" w:leader="dot" w:pos="4171"/>
        </w:tabs>
        <w:spacing w:line="240" w:lineRule="auto"/>
      </w:pPr>
      <w:r w:rsidRPr="001F5DB8">
        <w:rPr>
          <w:iCs/>
        </w:rPr>
        <w:t>Albert</w:t>
      </w:r>
      <w:r>
        <w:tab/>
        <w:t>270</w:t>
      </w:r>
    </w:p>
    <w:p w14:paraId="0E263452" w14:textId="77777777" w:rsidR="08240A2E" w:rsidRDefault="08240A2E" w:rsidP="08240A2E">
      <w:pPr>
        <w:pStyle w:val="Rejstk2"/>
        <w:tabs>
          <w:tab w:val="right" w:leader="dot" w:pos="4171"/>
        </w:tabs>
        <w:spacing w:line="240" w:lineRule="auto"/>
      </w:pPr>
      <w:r w:rsidRPr="001F5DB8">
        <w:rPr>
          <w:iCs/>
        </w:rPr>
        <w:t>Avicenna</w:t>
      </w:r>
      <w:r>
        <w:tab/>
        <w:t>507</w:t>
      </w:r>
    </w:p>
    <w:p w14:paraId="6AB1F8DD" w14:textId="77777777" w:rsidR="08240A2E" w:rsidRDefault="08240A2E" w:rsidP="08240A2E">
      <w:pPr>
        <w:pStyle w:val="Rejstk2"/>
        <w:tabs>
          <w:tab w:val="right" w:leader="dot" w:pos="4171"/>
        </w:tabs>
        <w:spacing w:line="240" w:lineRule="auto"/>
      </w:pPr>
      <w:r w:rsidRPr="001F5DB8">
        <w:rPr>
          <w:iCs/>
        </w:rPr>
        <w:t>druhý averroismus</w:t>
      </w:r>
      <w:r>
        <w:tab/>
        <w:t>300</w:t>
      </w:r>
    </w:p>
    <w:p w14:paraId="48A536A3" w14:textId="77777777" w:rsidR="08240A2E" w:rsidRDefault="08240A2E" w:rsidP="08240A2E">
      <w:pPr>
        <w:pStyle w:val="Rejstk2"/>
        <w:tabs>
          <w:tab w:val="right" w:leader="dot" w:pos="4171"/>
        </w:tabs>
        <w:spacing w:line="240" w:lineRule="auto"/>
      </w:pPr>
      <w:r w:rsidRPr="001F5DB8">
        <w:rPr>
          <w:iCs/>
        </w:rPr>
        <w:t>Grosseteste</w:t>
      </w:r>
      <w:r>
        <w:tab/>
        <w:t>392, 394</w:t>
      </w:r>
    </w:p>
    <w:p w14:paraId="052DEAD4" w14:textId="77777777" w:rsidR="08240A2E" w:rsidRDefault="08240A2E" w:rsidP="08240A2E">
      <w:pPr>
        <w:pStyle w:val="Rejstk2"/>
        <w:tabs>
          <w:tab w:val="right" w:leader="dot" w:pos="4171"/>
        </w:tabs>
        <w:spacing w:line="240" w:lineRule="auto"/>
      </w:pPr>
      <w:r w:rsidRPr="001F5DB8">
        <w:rPr>
          <w:iCs/>
        </w:rPr>
        <w:t>moderna</w:t>
      </w:r>
      <w:r>
        <w:tab/>
        <w:t>382, 696</w:t>
      </w:r>
    </w:p>
    <w:p w14:paraId="4D9671CD" w14:textId="77777777" w:rsidR="08240A2E" w:rsidRDefault="08240A2E" w:rsidP="08240A2E">
      <w:pPr>
        <w:pStyle w:val="Rejstk2"/>
        <w:tabs>
          <w:tab w:val="right" w:leader="dot" w:pos="4171"/>
        </w:tabs>
        <w:spacing w:line="240" w:lineRule="auto"/>
      </w:pPr>
      <w:r w:rsidRPr="001F5DB8">
        <w:rPr>
          <w:iCs/>
        </w:rPr>
        <w:t>porretáni</w:t>
      </w:r>
      <w:r>
        <w:tab/>
        <w:t>39</w:t>
      </w:r>
    </w:p>
    <w:p w14:paraId="1F989473" w14:textId="77777777" w:rsidR="08240A2E" w:rsidRDefault="08240A2E" w:rsidP="08240A2E">
      <w:pPr>
        <w:pStyle w:val="Rejstk2"/>
        <w:tabs>
          <w:tab w:val="right" w:leader="dot" w:pos="4171"/>
        </w:tabs>
        <w:spacing w:line="240" w:lineRule="auto"/>
      </w:pPr>
      <w:r w:rsidRPr="001F5DB8">
        <w:rPr>
          <w:iCs/>
        </w:rPr>
        <w:t>první averroismus</w:t>
      </w:r>
      <w:r>
        <w:tab/>
        <w:t>155</w:t>
      </w:r>
    </w:p>
    <w:p w14:paraId="3B83C47D" w14:textId="77777777" w:rsidR="08240A2E" w:rsidRDefault="08240A2E" w:rsidP="08240A2E">
      <w:pPr>
        <w:pStyle w:val="Rejstk2"/>
        <w:tabs>
          <w:tab w:val="right" w:leader="dot" w:pos="4171"/>
        </w:tabs>
        <w:spacing w:line="240" w:lineRule="auto"/>
      </w:pPr>
      <w:r w:rsidRPr="001F5DB8">
        <w:rPr>
          <w:iCs/>
        </w:rPr>
        <w:t>Rufus</w:t>
      </w:r>
      <w:r>
        <w:tab/>
        <w:t>508, 526, 631</w:t>
      </w:r>
    </w:p>
    <w:p w14:paraId="4915B88A" w14:textId="77777777" w:rsidR="08240A2E" w:rsidRDefault="08240A2E" w:rsidP="08240A2E">
      <w:pPr>
        <w:pStyle w:val="Rejstk2"/>
        <w:tabs>
          <w:tab w:val="right" w:leader="dot" w:pos="4171"/>
        </w:tabs>
        <w:spacing w:line="240" w:lineRule="auto"/>
      </w:pPr>
      <w:r>
        <w:t>Sicilská škola</w:t>
      </w:r>
      <w:r>
        <w:tab/>
        <w:t>266</w:t>
      </w:r>
    </w:p>
    <w:p w14:paraId="61556AC3" w14:textId="77777777" w:rsidR="08240A2E" w:rsidRDefault="08240A2E" w:rsidP="08240A2E">
      <w:pPr>
        <w:pStyle w:val="Rejstk1"/>
        <w:tabs>
          <w:tab w:val="right" w:leader="dot" w:pos="4171"/>
        </w:tabs>
        <w:spacing w:line="240" w:lineRule="auto"/>
      </w:pPr>
      <w:r>
        <w:t>vůle</w:t>
      </w:r>
    </w:p>
    <w:p w14:paraId="24ED9282" w14:textId="77777777" w:rsidR="08240A2E" w:rsidRDefault="08240A2E" w:rsidP="08240A2E">
      <w:pPr>
        <w:pStyle w:val="Rejstk2"/>
        <w:tabs>
          <w:tab w:val="right" w:leader="dot" w:pos="4171"/>
        </w:tabs>
        <w:spacing w:line="240" w:lineRule="auto"/>
      </w:pPr>
      <w:r>
        <w:t>Anselm</w:t>
      </w:r>
      <w:r>
        <w:tab/>
        <w:t>27</w:t>
      </w:r>
    </w:p>
    <w:p w14:paraId="491A4CA2" w14:textId="77777777" w:rsidR="08240A2E" w:rsidRDefault="08240A2E" w:rsidP="08240A2E">
      <w:pPr>
        <w:pStyle w:val="Rejstk2"/>
        <w:tabs>
          <w:tab w:val="right" w:leader="dot" w:pos="4171"/>
        </w:tabs>
        <w:spacing w:line="240" w:lineRule="auto"/>
      </w:pPr>
      <w:r>
        <w:t>demiurgická</w:t>
      </w:r>
      <w:r>
        <w:tab/>
        <w:t>29</w:t>
      </w:r>
    </w:p>
    <w:p w14:paraId="10FAC0AA" w14:textId="77777777" w:rsidR="08240A2E" w:rsidRDefault="08240A2E" w:rsidP="08240A2E">
      <w:pPr>
        <w:pStyle w:val="Rejstk1"/>
        <w:tabs>
          <w:tab w:val="right" w:leader="dot" w:pos="4171"/>
        </w:tabs>
        <w:spacing w:line="240" w:lineRule="auto"/>
      </w:pPr>
      <w:r w:rsidRPr="001F5DB8">
        <w:rPr>
          <w:i/>
        </w:rPr>
        <w:t>wahm</w:t>
      </w:r>
      <w:r>
        <w:tab/>
        <w:t>124, 139</w:t>
      </w:r>
    </w:p>
    <w:p w14:paraId="7EBDFD1D" w14:textId="77777777" w:rsidR="08240A2E" w:rsidRDefault="08240A2E" w:rsidP="08240A2E">
      <w:pPr>
        <w:pStyle w:val="Rejstk1"/>
        <w:tabs>
          <w:tab w:val="right" w:leader="dot" w:pos="4171"/>
        </w:tabs>
        <w:spacing w:line="240" w:lineRule="auto"/>
      </w:pPr>
      <w:r>
        <w:t>Wéber, E.-H.</w:t>
      </w:r>
      <w:r>
        <w:tab/>
        <w:t>259</w:t>
      </w:r>
    </w:p>
    <w:p w14:paraId="59A44D0D" w14:textId="77777777" w:rsidR="08240A2E" w:rsidRDefault="08240A2E" w:rsidP="08240A2E">
      <w:pPr>
        <w:pStyle w:val="Rejstk1"/>
        <w:tabs>
          <w:tab w:val="right" w:leader="dot" w:pos="4171"/>
        </w:tabs>
        <w:spacing w:line="240" w:lineRule="auto"/>
      </w:pPr>
      <w:r>
        <w:t>Weber, M.</w:t>
      </w:r>
      <w:r>
        <w:tab/>
        <w:t>562</w:t>
      </w:r>
    </w:p>
    <w:p w14:paraId="0F2CCDF5" w14:textId="77777777" w:rsidR="08240A2E" w:rsidRDefault="08240A2E" w:rsidP="08240A2E">
      <w:pPr>
        <w:pStyle w:val="Rejstk1"/>
        <w:tabs>
          <w:tab w:val="right" w:leader="dot" w:pos="4171"/>
        </w:tabs>
        <w:spacing w:line="240" w:lineRule="auto"/>
      </w:pPr>
      <w:r w:rsidRPr="001F5DB8">
        <w:rPr>
          <w:i/>
        </w:rPr>
        <w:t>Weltanschauung</w:t>
      </w:r>
      <w:r>
        <w:tab/>
        <w:t>78, 102, 259, 348, 435, 448, 536, 624, 679</w:t>
      </w:r>
    </w:p>
    <w:p w14:paraId="44E5E880" w14:textId="77777777" w:rsidR="08240A2E" w:rsidRDefault="08240A2E" w:rsidP="08240A2E">
      <w:pPr>
        <w:pStyle w:val="Rejstk1"/>
        <w:tabs>
          <w:tab w:val="right" w:leader="dot" w:pos="4171"/>
        </w:tabs>
        <w:spacing w:line="240" w:lineRule="auto"/>
      </w:pPr>
      <w:r w:rsidRPr="001F5DB8">
        <w:rPr>
          <w:i/>
        </w:rPr>
        <w:t>Wesensschau</w:t>
      </w:r>
      <w:r>
        <w:tab/>
        <w:t>139, 295, 574</w:t>
      </w:r>
    </w:p>
    <w:p w14:paraId="43154EB1" w14:textId="77777777" w:rsidR="08240A2E" w:rsidRDefault="08240A2E" w:rsidP="08240A2E">
      <w:pPr>
        <w:pStyle w:val="Rejstk1"/>
        <w:tabs>
          <w:tab w:val="right" w:leader="dot" w:pos="4171"/>
        </w:tabs>
        <w:spacing w:line="240" w:lineRule="auto"/>
      </w:pPr>
      <w:r w:rsidRPr="001F5DB8">
        <w:rPr>
          <w:i/>
        </w:rPr>
        <w:t>White Man's Burden</w:t>
      </w:r>
      <w:r>
        <w:tab/>
        <w:t>699</w:t>
      </w:r>
    </w:p>
    <w:p w14:paraId="2378AE20" w14:textId="77777777" w:rsidR="08240A2E" w:rsidRDefault="08240A2E" w:rsidP="08240A2E">
      <w:pPr>
        <w:pStyle w:val="Rejstk1"/>
        <w:tabs>
          <w:tab w:val="right" w:leader="dot" w:pos="4171"/>
        </w:tabs>
        <w:spacing w:line="240" w:lineRule="auto"/>
      </w:pPr>
      <w:r>
        <w:rPr>
          <w:lang w:eastAsia="en-US"/>
        </w:rPr>
        <w:t>William de Champaux</w:t>
      </w:r>
      <w:r>
        <w:tab/>
        <w:t>21</w:t>
      </w:r>
    </w:p>
    <w:p w14:paraId="67BCC296" w14:textId="77777777" w:rsidR="08240A2E" w:rsidRDefault="08240A2E" w:rsidP="08240A2E">
      <w:pPr>
        <w:pStyle w:val="Rejstk1"/>
        <w:tabs>
          <w:tab w:val="right" w:leader="dot" w:pos="4171"/>
        </w:tabs>
        <w:spacing w:line="240" w:lineRule="auto"/>
      </w:pPr>
      <w:r w:rsidRPr="001F5DB8">
        <w:rPr>
          <w:i/>
        </w:rPr>
        <w:t>Wirkungsgeschichte</w:t>
      </w:r>
      <w:r>
        <w:tab/>
      </w:r>
      <w:r w:rsidR="087129AF">
        <w:t xml:space="preserve">349, </w:t>
      </w:r>
      <w:r>
        <w:t>513, 600</w:t>
      </w:r>
    </w:p>
    <w:p w14:paraId="4F81E0D6" w14:textId="77777777" w:rsidR="08240A2E" w:rsidRDefault="08240A2E" w:rsidP="08240A2E">
      <w:pPr>
        <w:pStyle w:val="Rejstk1"/>
        <w:tabs>
          <w:tab w:val="right" w:leader="dot" w:pos="4171"/>
        </w:tabs>
        <w:spacing w:line="240" w:lineRule="auto"/>
      </w:pPr>
      <w:r>
        <w:t>Wittgenstein, L</w:t>
      </w:r>
      <w:r w:rsidR="087129AF">
        <w:t xml:space="preserve">., viz </w:t>
      </w:r>
      <w:r w:rsidR="087129AF" w:rsidRPr="087129AF">
        <w:rPr>
          <w:i/>
        </w:rPr>
        <w:t>Index locorum</w:t>
      </w:r>
    </w:p>
    <w:p w14:paraId="449B649B" w14:textId="77777777" w:rsidR="08240A2E" w:rsidRDefault="08240A2E" w:rsidP="08240A2E">
      <w:pPr>
        <w:pStyle w:val="Rejstk1"/>
        <w:tabs>
          <w:tab w:val="right" w:leader="dot" w:pos="4171"/>
        </w:tabs>
        <w:spacing w:line="240" w:lineRule="auto"/>
      </w:pPr>
      <w:r w:rsidRPr="001F5DB8">
        <w:rPr>
          <w:i/>
        </w:rPr>
        <w:t>Wohnen</w:t>
      </w:r>
      <w:r>
        <w:tab/>
        <w:t>330</w:t>
      </w:r>
    </w:p>
    <w:p w14:paraId="186F799C" w14:textId="77777777" w:rsidR="08240A2E" w:rsidRDefault="08240A2E" w:rsidP="08240A2E">
      <w:pPr>
        <w:pStyle w:val="Rejstk1"/>
        <w:tabs>
          <w:tab w:val="right" w:leader="dot" w:pos="4171"/>
        </w:tabs>
        <w:spacing w:line="240" w:lineRule="auto"/>
      </w:pPr>
      <w:r>
        <w:t>zatmění</w:t>
      </w:r>
    </w:p>
    <w:p w14:paraId="07990D59" w14:textId="77777777" w:rsidR="08240A2E" w:rsidRDefault="08240A2E" w:rsidP="08240A2E">
      <w:pPr>
        <w:pStyle w:val="Rejstk2"/>
        <w:tabs>
          <w:tab w:val="right" w:leader="dot" w:pos="4171"/>
        </w:tabs>
        <w:spacing w:line="240" w:lineRule="auto"/>
      </w:pPr>
      <w:r>
        <w:t>Druhé analytiky</w:t>
      </w:r>
      <w:r>
        <w:tab/>
        <w:t>250, 367, 381, 383, 506, 518, 644, 648, 650, 696</w:t>
      </w:r>
    </w:p>
    <w:p w14:paraId="15A1C13D" w14:textId="77777777" w:rsidR="08240A2E" w:rsidRDefault="08240A2E" w:rsidP="08240A2E">
      <w:pPr>
        <w:pStyle w:val="Rejstk2"/>
        <w:tabs>
          <w:tab w:val="right" w:leader="dot" w:pos="4171"/>
        </w:tabs>
        <w:spacing w:line="240" w:lineRule="auto"/>
      </w:pPr>
      <w:r>
        <w:t>substance</w:t>
      </w:r>
      <w:r>
        <w:tab/>
        <w:t>12, 16, 25, 26, 77, 97, 104, 111, 128, 224, 225, 263, 280, 299, 346, 347, 367, 371, 377, 386, 395, 399, 437, 506, 533, 544, 551, 566, 633, 652</w:t>
      </w:r>
    </w:p>
    <w:p w14:paraId="797EF395" w14:textId="77777777" w:rsidR="08240A2E" w:rsidRDefault="08240A2E" w:rsidP="08240A2E">
      <w:pPr>
        <w:pStyle w:val="Rejstk1"/>
        <w:tabs>
          <w:tab w:val="right" w:leader="dot" w:pos="4171"/>
        </w:tabs>
        <w:spacing w:line="240" w:lineRule="auto"/>
      </w:pPr>
      <w:r w:rsidRPr="001F5DB8">
        <w:t>zdvojení bytí</w:t>
      </w:r>
      <w:r>
        <w:tab/>
        <w:t>53, 278, 373, 393, 457, 525, 628</w:t>
      </w:r>
    </w:p>
    <w:p w14:paraId="1653A4B3" w14:textId="77777777" w:rsidR="08240A2E" w:rsidRDefault="08240A2E" w:rsidP="08240A2E">
      <w:pPr>
        <w:pStyle w:val="Rejstk1"/>
        <w:tabs>
          <w:tab w:val="right" w:leader="dot" w:pos="4171"/>
        </w:tabs>
        <w:spacing w:line="240" w:lineRule="auto"/>
      </w:pPr>
      <w:r>
        <w:t>zjevování</w:t>
      </w:r>
    </w:p>
    <w:p w14:paraId="21E22D63" w14:textId="77777777" w:rsidR="08240A2E" w:rsidRDefault="08240A2E" w:rsidP="08240A2E">
      <w:pPr>
        <w:pStyle w:val="Rejstk2"/>
        <w:tabs>
          <w:tab w:val="right" w:leader="dot" w:pos="4171"/>
        </w:tabs>
        <w:spacing w:line="240" w:lineRule="auto"/>
      </w:pPr>
      <w:r>
        <w:t>nasvícení zepředu</w:t>
      </w:r>
      <w:r>
        <w:tab/>
        <w:t>112, 183, 199, 210, 219, 274, 493, 506</w:t>
      </w:r>
    </w:p>
    <w:p w14:paraId="7CF3F7F1" w14:textId="77777777" w:rsidR="08240A2E" w:rsidRDefault="08240A2E" w:rsidP="08240A2E">
      <w:pPr>
        <w:pStyle w:val="Rejstk2"/>
        <w:tabs>
          <w:tab w:val="right" w:leader="dot" w:pos="4171"/>
        </w:tabs>
        <w:spacing w:line="240" w:lineRule="auto"/>
      </w:pPr>
      <w:r>
        <w:t>nasvícení zezadu</w:t>
      </w:r>
      <w:r>
        <w:tab/>
        <w:t>12, 131, 181, 199, 260, 300, 328, 416, 452, 495, 503, 563, 631, 646, 649</w:t>
      </w:r>
    </w:p>
    <w:p w14:paraId="367BD59B" w14:textId="77777777" w:rsidR="08240A2E" w:rsidRDefault="08240A2E" w:rsidP="08240A2E">
      <w:pPr>
        <w:pStyle w:val="Rejstk1"/>
        <w:tabs>
          <w:tab w:val="right" w:leader="dot" w:pos="4171"/>
        </w:tabs>
        <w:spacing w:line="240" w:lineRule="auto"/>
      </w:pPr>
      <w:r>
        <w:t>τό τί ἦν εἶναι</w:t>
      </w:r>
      <w:r>
        <w:tab/>
        <w:t>4, 245, 357, 396, 515, 522, 544, 545, 550, 639</w:t>
      </w:r>
    </w:p>
    <w:p w14:paraId="47BE7B4B" w14:textId="77777777" w:rsidR="08240A2E" w:rsidRDefault="08240A2E" w:rsidP="086E6BFB">
      <w:pPr>
        <w:pStyle w:val="Nadpis3"/>
        <w:sectPr w:rsidR="08240A2E" w:rsidSect="08240A2E">
          <w:type w:val="continuous"/>
          <w:pgSz w:w="11905" w:h="16837"/>
          <w:pgMar w:top="1417" w:right="1417" w:bottom="1417" w:left="1417" w:header="708" w:footer="720" w:gutter="0"/>
          <w:cols w:num="2" w:space="708"/>
          <w:docGrid w:linePitch="360"/>
        </w:sectPr>
      </w:pPr>
    </w:p>
    <w:p w14:paraId="718CB9DE" w14:textId="77777777" w:rsidR="086E6BFB" w:rsidRDefault="086E6BFB" w:rsidP="086E6BFB">
      <w:pPr>
        <w:pStyle w:val="Nadpis3"/>
        <w:rPr>
          <w:lang w:val="cs-CZ"/>
        </w:rPr>
      </w:pPr>
      <w:r>
        <w:fldChar w:fldCharType="end"/>
      </w:r>
      <w:r>
        <w:br w:type="page"/>
      </w:r>
      <w:bookmarkStart w:id="155" w:name="_Toc12558337"/>
      <w:bookmarkStart w:id="156" w:name="_Toc160449350"/>
      <w:r>
        <w:rPr>
          <w:lang w:val="cs-CZ"/>
        </w:rPr>
        <w:t>L</w:t>
      </w:r>
      <w:r w:rsidRPr="00273106">
        <w:t>iteratura</w:t>
      </w:r>
      <w:bookmarkEnd w:id="155"/>
      <w:bookmarkEnd w:id="156"/>
    </w:p>
    <w:p w14:paraId="3EC380BF" w14:textId="77777777" w:rsidR="086E6BFB" w:rsidRPr="00273106" w:rsidRDefault="086E6BFB" w:rsidP="086E6BFB">
      <w:pPr>
        <w:pStyle w:val="Literatura"/>
        <w:rPr>
          <w:lang w:eastAsia="en-US"/>
        </w:rPr>
      </w:pPr>
      <w:r>
        <w:rPr>
          <w:lang w:eastAsia="en-US"/>
        </w:rPr>
        <w:t xml:space="preserve">Seznam obsahuje autory a díla citovaná ve všech třech svazcích. Citace řeckých textů </w:t>
      </w:r>
      <w:r w:rsidRPr="00273106">
        <w:rPr>
          <w:lang w:eastAsia="en-US"/>
        </w:rPr>
        <w:t>bez výslovného uvedení kritického vydání jsou převzaty z digitální edice</w:t>
      </w:r>
      <w:r w:rsidRPr="00273106">
        <w:rPr>
          <w:b/>
          <w:lang w:eastAsia="en-US"/>
        </w:rPr>
        <w:t xml:space="preserve"> </w:t>
      </w:r>
      <w:r w:rsidRPr="00273106">
        <w:rPr>
          <w:rStyle w:val="Zvraznn"/>
        </w:rPr>
        <w:t>Thesaurus Linguae Graecae</w:t>
      </w:r>
      <w:r w:rsidRPr="00273106">
        <w:t xml:space="preserve">, the Packard Humanities Institute, </w:t>
      </w:r>
      <w:r w:rsidRPr="00273106">
        <w:rPr>
          <w:i/>
        </w:rPr>
        <w:t>The Perseus Project and others</w:t>
      </w:r>
      <w:r w:rsidRPr="00273106">
        <w:t>, 1999–2007.</w:t>
      </w:r>
    </w:p>
    <w:p w14:paraId="6D2EE60B" w14:textId="77777777" w:rsidR="086E6BFB" w:rsidRDefault="086E6BFB" w:rsidP="086E6BFB">
      <w:pPr>
        <w:pStyle w:val="Literatura"/>
        <w:rPr>
          <w:lang w:eastAsia="en-US"/>
        </w:rPr>
      </w:pPr>
    </w:p>
    <w:p w14:paraId="3B3C18DA" w14:textId="6B508335" w:rsidR="086E6BFB" w:rsidRDefault="086E6BFB" w:rsidP="086E6BFB">
      <w:pPr>
        <w:pStyle w:val="Literatura"/>
        <w:rPr>
          <w:rStyle w:val="st"/>
          <w:rFonts w:cs="Calibri"/>
        </w:rPr>
      </w:pPr>
      <w:r>
        <w:rPr>
          <w:rStyle w:val="st"/>
        </w:rPr>
        <w:t>Ab</w:t>
      </w:r>
      <w:r w:rsidR="00C4008F">
        <w:rPr>
          <w:rStyle w:val="st"/>
        </w:rPr>
        <w:t>a</w:t>
      </w:r>
      <w:r>
        <w:rPr>
          <w:rStyle w:val="st"/>
        </w:rPr>
        <w:t>elard, Petrus</w:t>
      </w:r>
      <w:r w:rsidR="08773021">
        <w:rPr>
          <w:rStyle w:val="st"/>
        </w:rPr>
        <w:t xml:space="preserve"> </w:t>
      </w:r>
      <w:r>
        <w:t>(1885</w:t>
      </w:r>
      <w:r w:rsidRPr="00BC2A67">
        <w:t>)</w:t>
      </w:r>
      <w:r>
        <w:t>:</w:t>
      </w:r>
      <w:r w:rsidRPr="00D3354E">
        <w:rPr>
          <w:bCs/>
          <w:i/>
        </w:rPr>
        <w:t xml:space="preserve"> </w:t>
      </w:r>
      <w:r w:rsidRPr="00BF1F51">
        <w:rPr>
          <w:bCs/>
          <w:i/>
        </w:rPr>
        <w:t>Dialogus inter Philosophum Judaeum et Christianum</w:t>
      </w:r>
      <w:r>
        <w:rPr>
          <w:i/>
        </w:rPr>
        <w:t xml:space="preserve">. </w:t>
      </w:r>
      <w:r w:rsidRPr="00BC2A67">
        <w:t>Patrologia Latina. Paris</w:t>
      </w:r>
      <w:r>
        <w:t xml:space="preserve">: </w:t>
      </w:r>
      <w:r w:rsidRPr="00BC2A67">
        <w:t xml:space="preserve">Migne, </w:t>
      </w:r>
      <w:r>
        <w:rPr>
          <w:i/>
        </w:rPr>
        <w:tab/>
      </w:r>
      <w:r w:rsidRPr="00BC2A67">
        <w:t>t</w:t>
      </w:r>
      <w:r>
        <w:t>ome 17</w:t>
      </w:r>
      <w:r w:rsidRPr="00BC2A67">
        <w:t>8</w:t>
      </w:r>
      <w:r>
        <w:t>, cols 1611‒1684.</w:t>
      </w:r>
    </w:p>
    <w:p w14:paraId="0B92298E" w14:textId="77777777" w:rsidR="086E6BFB" w:rsidRDefault="086E6BFB" w:rsidP="086E6BFB">
      <w:pPr>
        <w:pStyle w:val="Literatura"/>
        <w:rPr>
          <w:rStyle w:val="st"/>
        </w:rPr>
      </w:pPr>
      <w:r>
        <w:rPr>
          <w:rStyle w:val="st"/>
          <w:rFonts w:cs="Calibri"/>
        </w:rPr>
        <w:t>‒</w:t>
      </w:r>
      <w:r>
        <w:rPr>
          <w:rStyle w:val="st"/>
        </w:rPr>
        <w:t xml:space="preserve"> (1921): </w:t>
      </w:r>
      <w:r w:rsidRPr="003B3F17">
        <w:rPr>
          <w:rStyle w:val="st"/>
          <w:i/>
        </w:rPr>
        <w:t>Peter Abaelards Philosophische Schriften</w:t>
      </w:r>
      <w:r>
        <w:rPr>
          <w:rStyle w:val="st"/>
          <w:i/>
        </w:rPr>
        <w:t xml:space="preserve">. Logica „Ingredientibus“ </w:t>
      </w:r>
      <w:r w:rsidRPr="003B3F17">
        <w:rPr>
          <w:rStyle w:val="st"/>
          <w:i/>
        </w:rPr>
        <w:t>I.2</w:t>
      </w:r>
      <w:r>
        <w:rPr>
          <w:rStyle w:val="st"/>
          <w:i/>
        </w:rPr>
        <w:t xml:space="preserve">. </w:t>
      </w:r>
      <w:r w:rsidRPr="003B3F17">
        <w:rPr>
          <w:rStyle w:val="st"/>
          <w:i/>
        </w:rPr>
        <w:t>Die Glossen zum Kategorien.</w:t>
      </w:r>
      <w:r>
        <w:rPr>
          <w:rStyle w:val="st"/>
        </w:rPr>
        <w:t xml:space="preserve"> </w:t>
      </w:r>
      <w:r>
        <w:rPr>
          <w:rStyle w:val="st"/>
        </w:rPr>
        <w:tab/>
        <w:t xml:space="preserve">Zum erstem Male herausgegeben </w:t>
      </w:r>
      <w:r>
        <w:rPr>
          <w:rStyle w:val="st"/>
        </w:rPr>
        <w:tab/>
        <w:t>von Bernhard Geyer. M</w:t>
      </w:r>
      <w:r>
        <w:rPr>
          <w:rStyle w:val="st"/>
          <w:rFonts w:cs="Calibri"/>
        </w:rPr>
        <w:t>ü</w:t>
      </w:r>
      <w:r>
        <w:rPr>
          <w:rStyle w:val="st"/>
        </w:rPr>
        <w:t xml:space="preserve">nster: Verlag der Aschendorffschen </w:t>
      </w:r>
      <w:r>
        <w:rPr>
          <w:rStyle w:val="st"/>
        </w:rPr>
        <w:tab/>
        <w:t>Verlagsbuchhandlung.</w:t>
      </w:r>
    </w:p>
    <w:p w14:paraId="0150F592" w14:textId="77777777" w:rsidR="086E6BFB" w:rsidRDefault="086E6BFB" w:rsidP="086E6BFB">
      <w:pPr>
        <w:pStyle w:val="Literatura"/>
        <w:rPr>
          <w:rStyle w:val="st"/>
        </w:rPr>
      </w:pPr>
      <w:r>
        <w:rPr>
          <w:rStyle w:val="st"/>
          <w:rFonts w:cs="Calibri"/>
        </w:rPr>
        <w:t>‒</w:t>
      </w:r>
      <w:r>
        <w:rPr>
          <w:rStyle w:val="st"/>
        </w:rPr>
        <w:t xml:space="preserve"> (1927): </w:t>
      </w:r>
      <w:r w:rsidRPr="003B3F17">
        <w:rPr>
          <w:rStyle w:val="st"/>
          <w:i/>
        </w:rPr>
        <w:t>Peter Abaelar</w:t>
      </w:r>
      <w:r>
        <w:rPr>
          <w:rStyle w:val="st"/>
          <w:i/>
        </w:rPr>
        <w:t>ds Philosophische Schriften</w:t>
      </w:r>
      <w:r w:rsidRPr="003B3F17">
        <w:rPr>
          <w:rStyle w:val="st"/>
          <w:i/>
        </w:rPr>
        <w:t>. Logica „Ingredientibus“</w:t>
      </w:r>
      <w:r>
        <w:rPr>
          <w:rStyle w:val="st"/>
          <w:i/>
        </w:rPr>
        <w:t xml:space="preserve"> I.3</w:t>
      </w:r>
      <w:r w:rsidRPr="003B3F17">
        <w:rPr>
          <w:rStyle w:val="st"/>
          <w:i/>
        </w:rPr>
        <w:t xml:space="preserve">. Die Glossen zum </w:t>
      </w:r>
      <w:r>
        <w:rPr>
          <w:rStyle w:val="st"/>
          <w:i/>
        </w:rPr>
        <w:t xml:space="preserve">Peri </w:t>
      </w:r>
      <w:r>
        <w:rPr>
          <w:rStyle w:val="st"/>
          <w:i/>
        </w:rPr>
        <w:tab/>
        <w:t>Hermeneias</w:t>
      </w:r>
      <w:r w:rsidRPr="003B3F17">
        <w:rPr>
          <w:rStyle w:val="st"/>
          <w:i/>
        </w:rPr>
        <w:t>.</w:t>
      </w:r>
      <w:r>
        <w:rPr>
          <w:rStyle w:val="st"/>
        </w:rPr>
        <w:t xml:space="preserve"> Zum erstem Male herausgegeben von Bernhard Geyer. M</w:t>
      </w:r>
      <w:r>
        <w:rPr>
          <w:rStyle w:val="st"/>
          <w:rFonts w:cs="Calibri"/>
        </w:rPr>
        <w:t>ü</w:t>
      </w:r>
      <w:r>
        <w:rPr>
          <w:rStyle w:val="st"/>
        </w:rPr>
        <w:t xml:space="preserve">nster: Verlag der </w:t>
      </w:r>
      <w:r>
        <w:rPr>
          <w:rStyle w:val="st"/>
        </w:rPr>
        <w:tab/>
        <w:t>Aschendorffschen Verlagsbuchhandlung.</w:t>
      </w:r>
    </w:p>
    <w:p w14:paraId="19E9925F" w14:textId="77777777" w:rsidR="086E6BFB" w:rsidRDefault="086E6BFB" w:rsidP="086E6BFB">
      <w:pPr>
        <w:pStyle w:val="Literatura"/>
        <w:rPr>
          <w:rStyle w:val="st"/>
        </w:rPr>
      </w:pPr>
      <w:r>
        <w:rPr>
          <w:rStyle w:val="st"/>
          <w:rFonts w:cs="Calibri"/>
        </w:rPr>
        <w:t>‒</w:t>
      </w:r>
      <w:r>
        <w:rPr>
          <w:rStyle w:val="st"/>
        </w:rPr>
        <w:t xml:space="preserve"> (1956): </w:t>
      </w:r>
      <w:r w:rsidRPr="000F67DB">
        <w:rPr>
          <w:rStyle w:val="st"/>
          <w:i/>
        </w:rPr>
        <w:t>Dialectica</w:t>
      </w:r>
      <w:r>
        <w:rPr>
          <w:rStyle w:val="st"/>
        </w:rPr>
        <w:t xml:space="preserve">. </w:t>
      </w:r>
      <w:r w:rsidRPr="0063460C">
        <w:rPr>
          <w:rStyle w:val="st"/>
          <w:i/>
        </w:rPr>
        <w:t>First Complete Edition of the Parisian Manuscript by L. M. De Rijk</w:t>
      </w:r>
      <w:r>
        <w:rPr>
          <w:rStyle w:val="st"/>
        </w:rPr>
        <w:t>. Assen: Van Gorcum.</w:t>
      </w:r>
    </w:p>
    <w:p w14:paraId="30A1000F" w14:textId="77777777" w:rsidR="086E6BFB" w:rsidRPr="08FD541E" w:rsidRDefault="086E6BFB" w:rsidP="086E6BFB">
      <w:pPr>
        <w:pStyle w:val="Literatura"/>
        <w:rPr>
          <w:rStyle w:val="st"/>
        </w:rPr>
      </w:pPr>
      <w:r w:rsidRPr="08FD541E">
        <w:rPr>
          <w:rStyle w:val="ZkladntextKurzvadkovn0pt"/>
          <w:rFonts w:ascii="Calibri" w:eastAsia="Times" w:hAnsi="Calibri"/>
          <w:i w:val="0"/>
          <w:iCs w:val="0"/>
          <w:color w:val="auto"/>
          <w:spacing w:val="0"/>
          <w:sz w:val="20"/>
          <w:u w:val="none"/>
          <w:lang w:val="cs-CZ"/>
        </w:rPr>
        <w:t xml:space="preserve"> ‒ (1959</w:t>
      </w:r>
      <w:r w:rsidRPr="08FD541E">
        <w:t xml:space="preserve">): </w:t>
      </w:r>
      <w:r w:rsidRPr="08FD541E">
        <w:rPr>
          <w:rStyle w:val="ZkladntextKurzvadkovn0pt"/>
          <w:rFonts w:ascii="Calibri" w:eastAsia="Times" w:hAnsi="Calibri"/>
          <w:iCs w:val="0"/>
          <w:color w:val="auto"/>
          <w:spacing w:val="0"/>
          <w:sz w:val="20"/>
          <w:u w:val="none"/>
          <w:lang w:val="cs-CZ"/>
        </w:rPr>
        <w:t>Historia Calamitatum. Texte critique avec une introduction</w:t>
      </w:r>
      <w:r w:rsidRPr="08FD541E">
        <w:rPr>
          <w:rStyle w:val="ZkladntextKurzvadkovn0pt"/>
          <w:rFonts w:ascii="Calibri" w:eastAsia="Times" w:hAnsi="Calibri"/>
          <w:i w:val="0"/>
          <w:iCs w:val="0"/>
          <w:color w:val="auto"/>
          <w:spacing w:val="0"/>
          <w:sz w:val="20"/>
          <w:u w:val="none"/>
          <w:lang w:val="cs-CZ"/>
        </w:rPr>
        <w:t xml:space="preserve">. Edited by </w:t>
      </w:r>
      <w:r w:rsidRPr="08FD541E">
        <w:t xml:space="preserve">J. </w:t>
      </w:r>
      <w:r w:rsidRPr="08FD541E">
        <w:rPr>
          <w:rStyle w:val="Zkladntext1"/>
          <w:rFonts w:ascii="Calibri" w:eastAsia="Times" w:hAnsi="Calibri"/>
          <w:color w:val="auto"/>
          <w:spacing w:val="0"/>
          <w:sz w:val="20"/>
          <w:u w:val="none"/>
          <w:lang w:val="cs-CZ"/>
        </w:rPr>
        <w:t xml:space="preserve">Monfrin. </w:t>
      </w:r>
      <w:r w:rsidRPr="08FD541E">
        <w:t>Paris</w:t>
      </w:r>
      <w:r w:rsidRPr="08FD541E">
        <w:rPr>
          <w:rStyle w:val="Zkladntext1"/>
          <w:rFonts w:ascii="Calibri" w:eastAsia="Times" w:hAnsi="Calibri"/>
          <w:color w:val="auto"/>
          <w:spacing w:val="0"/>
          <w:sz w:val="20"/>
          <w:u w:val="none"/>
          <w:lang w:val="cs-CZ"/>
        </w:rPr>
        <w:t>: B</w:t>
      </w:r>
      <w:r w:rsidRPr="08FD541E">
        <w:t xml:space="preserve">ibliothèque </w:t>
      </w:r>
      <w:r w:rsidRPr="08FD541E">
        <w:tab/>
        <w:t>des textes philosophiques.</w:t>
      </w:r>
    </w:p>
    <w:p w14:paraId="2B8C119C" w14:textId="77777777" w:rsidR="086E6BFB" w:rsidRDefault="086E6BFB" w:rsidP="086E6BFB">
      <w:pPr>
        <w:pStyle w:val="Literatura"/>
        <w:rPr>
          <w:szCs w:val="24"/>
        </w:rPr>
      </w:pPr>
      <w:r w:rsidRPr="00273106">
        <w:rPr>
          <w:szCs w:val="24"/>
        </w:rPr>
        <w:t>Aertsen, Jan</w:t>
      </w:r>
      <w:r>
        <w:rPr>
          <w:szCs w:val="24"/>
        </w:rPr>
        <w:t xml:space="preserve"> (2012): </w:t>
      </w:r>
      <w:r w:rsidRPr="00273106">
        <w:rPr>
          <w:i/>
          <w:szCs w:val="24"/>
        </w:rPr>
        <w:t xml:space="preserve">Medieval Philosophy as Transcendental Thought: From Philip the Chancellor (ca. 1225) to </w:t>
      </w:r>
      <w:r>
        <w:rPr>
          <w:i/>
          <w:szCs w:val="24"/>
        </w:rPr>
        <w:tab/>
      </w:r>
      <w:r w:rsidRPr="00273106">
        <w:rPr>
          <w:i/>
          <w:szCs w:val="24"/>
        </w:rPr>
        <w:t>Francisco Suárez</w:t>
      </w:r>
      <w:r>
        <w:rPr>
          <w:szCs w:val="24"/>
        </w:rPr>
        <w:t>. Leiden: Brill</w:t>
      </w:r>
      <w:r w:rsidRPr="00273106">
        <w:rPr>
          <w:szCs w:val="24"/>
        </w:rPr>
        <w:t>.</w:t>
      </w:r>
    </w:p>
    <w:p w14:paraId="378C5AD0" w14:textId="77777777" w:rsidR="086E6BFB" w:rsidRDefault="086E6BFB" w:rsidP="086E6BFB">
      <w:pPr>
        <w:pStyle w:val="Literatura"/>
      </w:pPr>
      <w:r w:rsidRPr="00C06D43">
        <w:t>Albertus Magnus</w:t>
      </w:r>
      <w:r>
        <w:t xml:space="preserve"> (1890−1899):</w:t>
      </w:r>
      <w:r>
        <w:rPr>
          <w:smallCaps/>
        </w:rPr>
        <w:t xml:space="preserve"> </w:t>
      </w:r>
      <w:r w:rsidRPr="00273106">
        <w:rPr>
          <w:i/>
          <w:iCs/>
        </w:rPr>
        <w:t xml:space="preserve">Opera Omnia </w:t>
      </w:r>
      <w:r>
        <w:t>I-XXXVIII. Ed. Borgnet, Paris.</w:t>
      </w:r>
    </w:p>
    <w:p w14:paraId="1E84A42F" w14:textId="77777777" w:rsidR="086E6BFB" w:rsidRDefault="086E6BFB" w:rsidP="086E6BFB">
      <w:pPr>
        <w:pStyle w:val="Literatura"/>
      </w:pPr>
      <w:r>
        <w:t xml:space="preserve">‒ (1896): </w:t>
      </w:r>
      <w:r w:rsidRPr="00647DCD">
        <w:rPr>
          <w:i/>
        </w:rPr>
        <w:t>D. Alberti Magni Summae de creaturis secunda pars, quae est de homine</w:t>
      </w:r>
      <w:r>
        <w:t xml:space="preserve">. Volumen 35. Parisiis, apud </w:t>
      </w:r>
      <w:r>
        <w:tab/>
        <w:t>Ludovicum Vivès.</w:t>
      </w:r>
    </w:p>
    <w:p w14:paraId="619B6D4C" w14:textId="77777777" w:rsidR="086E6BFB" w:rsidRDefault="086E6BFB" w:rsidP="086E6BFB">
      <w:pPr>
        <w:pStyle w:val="Literatura"/>
      </w:pPr>
      <w:r>
        <w:t xml:space="preserve">‒ (1890): </w:t>
      </w:r>
      <w:r w:rsidRPr="00647DCD">
        <w:rPr>
          <w:i/>
        </w:rPr>
        <w:t>D. Alberti Magni</w:t>
      </w:r>
      <w:r>
        <w:rPr>
          <w:i/>
        </w:rPr>
        <w:t xml:space="preserve"> Posteriorum analyticorum</w:t>
      </w:r>
      <w:r>
        <w:t>. Volumen 2. Parisiis, apud Ludovicum Vivès.</w:t>
      </w:r>
    </w:p>
    <w:p w14:paraId="22BCEEBA" w14:textId="77777777" w:rsidR="086E6BFB" w:rsidRDefault="086E6BFB" w:rsidP="086E6BFB">
      <w:pPr>
        <w:pStyle w:val="Literatura"/>
      </w:pPr>
      <w:r>
        <w:t xml:space="preserve">‒ (1890): </w:t>
      </w:r>
      <w:r w:rsidRPr="00647DCD">
        <w:rPr>
          <w:i/>
        </w:rPr>
        <w:t>D. Alberti Magni</w:t>
      </w:r>
      <w:r>
        <w:rPr>
          <w:i/>
        </w:rPr>
        <w:t xml:space="preserve"> </w:t>
      </w:r>
      <w:r w:rsidRPr="0046145D">
        <w:rPr>
          <w:i/>
        </w:rPr>
        <w:t>De anima, libri tres</w:t>
      </w:r>
      <w:r>
        <w:t>. Volumen 5. Parisiis, apud Ludovicum Vivès.</w:t>
      </w:r>
    </w:p>
    <w:p w14:paraId="451F218C" w14:textId="77777777" w:rsidR="086E6BFB" w:rsidRDefault="086E6BFB" w:rsidP="086E6BFB">
      <w:pPr>
        <w:pStyle w:val="Literatura"/>
      </w:pPr>
      <w:r>
        <w:t xml:space="preserve">‒ (1890): </w:t>
      </w:r>
      <w:r w:rsidRPr="00647DCD">
        <w:rPr>
          <w:i/>
        </w:rPr>
        <w:t>D. Alberti Magni</w:t>
      </w:r>
      <w:r>
        <w:rPr>
          <w:i/>
        </w:rPr>
        <w:t xml:space="preserve"> Parvorum Naturalium. Pars prima. </w:t>
      </w:r>
      <w:r>
        <w:t>(</w:t>
      </w:r>
      <w:r w:rsidRPr="00121623">
        <w:rPr>
          <w:i/>
        </w:rPr>
        <w:t xml:space="preserve">De Natura et Origine Animae, Libellus de Unitate </w:t>
      </w:r>
      <w:r>
        <w:rPr>
          <w:i/>
        </w:rPr>
        <w:tab/>
      </w:r>
      <w:r w:rsidRPr="00121623">
        <w:rPr>
          <w:i/>
        </w:rPr>
        <w:t>Intellectus contra Averroem, De Intellectu et Intelligibili</w:t>
      </w:r>
      <w:r>
        <w:t>). Volumen 9. Parisiis, apud Ludovicum Vivès.</w:t>
      </w:r>
    </w:p>
    <w:p w14:paraId="5656D8BE" w14:textId="77777777" w:rsidR="086E6BFB" w:rsidRDefault="086E6BFB" w:rsidP="086E6BFB">
      <w:pPr>
        <w:pStyle w:val="Literatura"/>
      </w:pPr>
      <w:r>
        <w:rPr>
          <w:rStyle w:val="unicode"/>
        </w:rPr>
        <w:t>Alfarabius Latinus</w:t>
      </w:r>
      <w:r w:rsidRPr="005C1CA8">
        <w:rPr>
          <w:rStyle w:val="unicode"/>
        </w:rPr>
        <w:t xml:space="preserve"> </w:t>
      </w:r>
      <w:r>
        <w:rPr>
          <w:rStyle w:val="unicode"/>
        </w:rPr>
        <w:t>(</w:t>
      </w:r>
      <w:r w:rsidRPr="005C1CA8">
        <w:rPr>
          <w:rStyle w:val="unicode"/>
        </w:rPr>
        <w:t>Abū Naṣr Muḥammad ibn Muḥammad Al Fārābī</w:t>
      </w:r>
      <w:r>
        <w:rPr>
          <w:rStyle w:val="unicode"/>
        </w:rPr>
        <w:t xml:space="preserve">) (1892): </w:t>
      </w:r>
      <w:r w:rsidRPr="00273106">
        <w:rPr>
          <w:i/>
        </w:rPr>
        <w:t xml:space="preserve">Alfārābī's philosophische </w:t>
      </w:r>
      <w:r>
        <w:rPr>
          <w:szCs w:val="18"/>
        </w:rPr>
        <w:tab/>
      </w:r>
      <w:r w:rsidRPr="00273106">
        <w:rPr>
          <w:i/>
        </w:rPr>
        <w:t>Abhandlungen</w:t>
      </w:r>
      <w:r w:rsidRPr="00273106">
        <w:t xml:space="preserve">. </w:t>
      </w:r>
      <w:r w:rsidRPr="00273106">
        <w:rPr>
          <w:i/>
        </w:rPr>
        <w:t xml:space="preserve">Aus dem Arabischen übersetzt </w:t>
      </w:r>
      <w:r>
        <w:rPr>
          <w:i/>
        </w:rPr>
        <w:t>von F. Dieterici</w:t>
      </w:r>
      <w:r>
        <w:t>. Leiden: Brill</w:t>
      </w:r>
      <w:r w:rsidRPr="00273106">
        <w:t>.</w:t>
      </w:r>
    </w:p>
    <w:p w14:paraId="5CC5C58B" w14:textId="77777777" w:rsidR="086E6BFB" w:rsidRDefault="086E6BFB" w:rsidP="086E6BFB">
      <w:pPr>
        <w:pStyle w:val="Literatura"/>
      </w:pPr>
      <w:r>
        <w:rPr>
          <w:i/>
        </w:rPr>
        <w:t xml:space="preserve">‒ </w:t>
      </w:r>
      <w:r w:rsidRPr="000C6CBE">
        <w:t>(</w:t>
      </w:r>
      <w:r>
        <w:t>1900</w:t>
      </w:r>
      <w:r w:rsidRPr="000C6CBE">
        <w:t>)</w:t>
      </w:r>
      <w:r>
        <w:t>:</w:t>
      </w:r>
      <w:r w:rsidRPr="000C6CBE">
        <w:t xml:space="preserve"> </w:t>
      </w:r>
      <w:r w:rsidRPr="00523A5A">
        <w:rPr>
          <w:i/>
        </w:rPr>
        <w:t>Der Musterstaat von Al-Fārābī</w:t>
      </w:r>
      <w:r>
        <w:rPr>
          <w:i/>
        </w:rPr>
        <w:t xml:space="preserve">. </w:t>
      </w:r>
      <w:r w:rsidRPr="00273106">
        <w:rPr>
          <w:i/>
        </w:rPr>
        <w:t>Aus dem Arabischen über</w:t>
      </w:r>
      <w:r>
        <w:rPr>
          <w:i/>
        </w:rPr>
        <w:t xml:space="preserve">tragen von F. Dieterici. </w:t>
      </w:r>
      <w:r w:rsidRPr="007C38AE">
        <w:t>Leiden: E.</w:t>
      </w:r>
      <w:r>
        <w:t xml:space="preserve"> J. Brill</w:t>
      </w:r>
      <w:r w:rsidRPr="007C38AE">
        <w:t>.</w:t>
      </w:r>
    </w:p>
    <w:p w14:paraId="2A383B24" w14:textId="77777777" w:rsidR="086E6BFB" w:rsidRPr="009359F9" w:rsidRDefault="086E6BFB" w:rsidP="086E6BFB">
      <w:pPr>
        <w:pStyle w:val="Literatura"/>
        <w:rPr>
          <w:lang w:val="de-DE"/>
        </w:rPr>
      </w:pPr>
      <w:r>
        <w:t xml:space="preserve">‒ </w:t>
      </w:r>
      <w:r w:rsidRPr="009359F9">
        <w:rPr>
          <w:rStyle w:val="TextpoznpodarouChar"/>
          <w:i/>
          <w:lang w:val="de-DE"/>
        </w:rPr>
        <w:t>De ortu</w:t>
      </w:r>
      <w:r w:rsidRPr="009359F9">
        <w:rPr>
          <w:rStyle w:val="TextpoznpodarouChar"/>
          <w:lang w:val="de-DE"/>
        </w:rPr>
        <w:t xml:space="preserve"> </w:t>
      </w:r>
      <w:r w:rsidRPr="009359F9">
        <w:rPr>
          <w:rStyle w:val="TextpoznpodarouChar"/>
          <w:i/>
          <w:lang w:val="de-DE"/>
        </w:rPr>
        <w:t xml:space="preserve">scientiarum </w:t>
      </w:r>
      <w:r w:rsidRPr="009359F9">
        <w:rPr>
          <w:rStyle w:val="TextpoznpodarouChar"/>
          <w:lang w:val="de-DE"/>
        </w:rPr>
        <w:t xml:space="preserve">(1916): </w:t>
      </w:r>
      <w:r w:rsidRPr="009359F9">
        <w:rPr>
          <w:rStyle w:val="TextpoznpodarouChar"/>
          <w:i/>
          <w:lang w:val="de-DE"/>
        </w:rPr>
        <w:t>Über den Ursprung der Wissenschaften. De ortu scientiarum</w:t>
      </w:r>
      <w:r>
        <w:rPr>
          <w:rStyle w:val="TextpoznpodarouChar"/>
          <w:lang w:val="de-DE"/>
        </w:rPr>
        <w:t xml:space="preserve">. Edited by Clemes </w:t>
      </w:r>
      <w:r>
        <w:rPr>
          <w:rStyle w:val="TextpoznpodarouChar"/>
          <w:lang w:val="de-DE"/>
        </w:rPr>
        <w:tab/>
        <w:t>Baeumker. Münster:Aschendorffsche Verlagsbuchhandlung.</w:t>
      </w:r>
    </w:p>
    <w:p w14:paraId="4A419F28" w14:textId="77777777" w:rsidR="086E6BFB" w:rsidRDefault="086E6BFB" w:rsidP="086E6BFB">
      <w:pPr>
        <w:pStyle w:val="Literatura"/>
        <w:rPr>
          <w:rStyle w:val="st"/>
        </w:rPr>
      </w:pPr>
      <w:r>
        <w:t xml:space="preserve">‒ </w:t>
      </w:r>
      <w:r w:rsidRPr="00273106">
        <w:rPr>
          <w:rStyle w:val="st"/>
        </w:rPr>
        <w:t>(</w:t>
      </w:r>
      <w:r>
        <w:rPr>
          <w:rStyle w:val="st"/>
        </w:rPr>
        <w:t>1929</w:t>
      </w:r>
      <w:r w:rsidRPr="00273106">
        <w:rPr>
          <w:rStyle w:val="st"/>
        </w:rPr>
        <w:t>)</w:t>
      </w:r>
      <w:r>
        <w:rPr>
          <w:rStyle w:val="st"/>
        </w:rPr>
        <w:t xml:space="preserve">: </w:t>
      </w:r>
      <w:r w:rsidRPr="00273106">
        <w:rPr>
          <w:i/>
        </w:rPr>
        <w:t xml:space="preserve">Liber Alpharabii </w:t>
      </w:r>
      <w:r w:rsidRPr="00273106">
        <w:rPr>
          <w:i/>
          <w:iCs/>
        </w:rPr>
        <w:t>De Intellectu et i</w:t>
      </w:r>
      <w:r>
        <w:rPr>
          <w:i/>
          <w:iCs/>
        </w:rPr>
        <w:t xml:space="preserve">ntellecto. </w:t>
      </w:r>
      <w:r w:rsidRPr="00F014D3">
        <w:rPr>
          <w:iCs/>
        </w:rPr>
        <w:t xml:space="preserve">Edited by </w:t>
      </w:r>
      <w:r w:rsidRPr="00F014D3">
        <w:rPr>
          <w:rStyle w:val="st"/>
        </w:rPr>
        <w:t>Étienne Gilson</w:t>
      </w:r>
      <w:r>
        <w:rPr>
          <w:rStyle w:val="st"/>
        </w:rPr>
        <w:t xml:space="preserve">. </w:t>
      </w:r>
      <w:r w:rsidRPr="00273106">
        <w:rPr>
          <w:rStyle w:val="st"/>
          <w:i/>
        </w:rPr>
        <w:t xml:space="preserve">Archives d'histoire </w:t>
      </w:r>
      <w:r>
        <w:rPr>
          <w:rStyle w:val="st"/>
          <w:i/>
        </w:rPr>
        <w:tab/>
      </w:r>
      <w:r w:rsidRPr="00273106">
        <w:rPr>
          <w:rStyle w:val="st"/>
          <w:i/>
        </w:rPr>
        <w:t>doc</w:t>
      </w:r>
      <w:r>
        <w:rPr>
          <w:rStyle w:val="st"/>
          <w:i/>
        </w:rPr>
        <w:t xml:space="preserve">trinale et </w:t>
      </w:r>
      <w:r>
        <w:rPr>
          <w:rStyle w:val="st"/>
          <w:i/>
        </w:rPr>
        <w:tab/>
        <w:t>litteraire du Moyen Â</w:t>
      </w:r>
      <w:r w:rsidRPr="00273106">
        <w:rPr>
          <w:rStyle w:val="st"/>
          <w:i/>
        </w:rPr>
        <w:t>ge</w:t>
      </w:r>
      <w:r>
        <w:rPr>
          <w:rStyle w:val="st"/>
        </w:rPr>
        <w:t xml:space="preserve"> </w:t>
      </w:r>
      <w:r w:rsidRPr="00273106">
        <w:rPr>
          <w:rStyle w:val="st"/>
        </w:rPr>
        <w:t>4: 115–126.</w:t>
      </w:r>
    </w:p>
    <w:p w14:paraId="52839B85" w14:textId="77777777" w:rsidR="086E6BFB" w:rsidRPr="008A7443" w:rsidRDefault="086E6BFB" w:rsidP="086E6BFB">
      <w:pPr>
        <w:pStyle w:val="Literatura"/>
      </w:pPr>
      <w:r>
        <w:rPr>
          <w:rStyle w:val="st"/>
        </w:rPr>
        <w:t xml:space="preserve">‒ </w:t>
      </w:r>
      <w:r w:rsidRPr="008A7443">
        <w:t>(</w:t>
      </w:r>
      <w:r>
        <w:t>1962</w:t>
      </w:r>
      <w:r w:rsidRPr="008A7443">
        <w:t>)</w:t>
      </w:r>
      <w:r>
        <w:t xml:space="preserve">: </w:t>
      </w:r>
      <w:r>
        <w:rPr>
          <w:i/>
        </w:rPr>
        <w:t>The Philosophy of Plato and Aristotle.</w:t>
      </w:r>
      <w:r>
        <w:t xml:space="preserve"> Translated, with an Introduction by Muhsin Mahdi. New </w:t>
      </w:r>
      <w:r>
        <w:tab/>
        <w:t xml:space="preserve">York:The Free Press of </w:t>
      </w:r>
      <w:r>
        <w:tab/>
        <w:t>Glencoe.</w:t>
      </w:r>
    </w:p>
    <w:p w14:paraId="1DF21CED" w14:textId="77777777" w:rsidR="086E6BFB" w:rsidRPr="004A44E3" w:rsidRDefault="086E6BFB" w:rsidP="086E6BFB">
      <w:pPr>
        <w:pStyle w:val="Literatura"/>
      </w:pPr>
      <w:r w:rsidRPr="004A44E3">
        <w:t>Alexander Afrodisias</w:t>
      </w:r>
      <w:r>
        <w:t>, and Themistius (</w:t>
      </w:r>
      <w:r>
        <w:rPr>
          <w:rStyle w:val="TextpoznpodarouChar"/>
          <w:lang w:eastAsia="en-US"/>
        </w:rPr>
        <w:t>1950):</w:t>
      </w:r>
      <w:r>
        <w:t xml:space="preserve"> </w:t>
      </w:r>
      <w:r w:rsidRPr="00D74C66">
        <w:rPr>
          <w:i/>
        </w:rPr>
        <w:t xml:space="preserve">Two Greek Aristotelian commentators on the intellect : the De </w:t>
      </w:r>
      <w:r>
        <w:rPr>
          <w:i/>
        </w:rPr>
        <w:tab/>
      </w:r>
      <w:r w:rsidRPr="00D74C66">
        <w:rPr>
          <w:i/>
        </w:rPr>
        <w:t xml:space="preserve">intellectu attributed to Alexander of Aphrodisias and Themistius' Paraphrase of Aristotle De anima, </w:t>
      </w:r>
      <w:r>
        <w:tab/>
      </w:r>
      <w:r w:rsidRPr="00D74C66">
        <w:rPr>
          <w:i/>
        </w:rPr>
        <w:t>3.4‒8</w:t>
      </w:r>
      <w:r>
        <w:t>. I</w:t>
      </w:r>
      <w:r w:rsidRPr="004A44E3">
        <w:t>ntroduction, translation, commentary, and</w:t>
      </w:r>
      <w:r>
        <w:t xml:space="preserve"> notes by Frederic M. Schroeder. Roma: Pontifical </w:t>
      </w:r>
      <w:r>
        <w:tab/>
        <w:t>Institute of Mediaeval Studies.</w:t>
      </w:r>
    </w:p>
    <w:p w14:paraId="6C4C813E" w14:textId="77777777" w:rsidR="086E6BFB" w:rsidRPr="00273106" w:rsidRDefault="086E6BFB" w:rsidP="086E6BFB">
      <w:pPr>
        <w:pStyle w:val="Literatura"/>
      </w:pPr>
      <w:r>
        <w:t>Algazel Latinus (</w:t>
      </w:r>
      <w:r w:rsidRPr="005C1CA8">
        <w:t>Abū Ḥāmid Muḥammad ibn Muḥ</w:t>
      </w:r>
      <w:r>
        <w:t xml:space="preserve">ammad al-Ghazālī) (1963): </w:t>
      </w:r>
      <w:r w:rsidRPr="00273106">
        <w:rPr>
          <w:i/>
        </w:rPr>
        <w:t xml:space="preserve">Al-Ghazali's Tahāfut al-Falāsifah. </w:t>
      </w:r>
      <w:r>
        <w:tab/>
      </w:r>
      <w:r w:rsidRPr="00273106">
        <w:rPr>
          <w:i/>
        </w:rPr>
        <w:t>Incoherence of the Philosophers</w:t>
      </w:r>
      <w:r w:rsidRPr="00273106">
        <w:t xml:space="preserve">. Transl. by Sabih Ahmad </w:t>
      </w:r>
      <w:r>
        <w:tab/>
        <w:t xml:space="preserve">Kamali. </w:t>
      </w:r>
      <w:r w:rsidRPr="00273106">
        <w:t>Lahore: Pakis</w:t>
      </w:r>
      <w:r>
        <w:t xml:space="preserve">tan Philosophical </w:t>
      </w:r>
      <w:r>
        <w:tab/>
        <w:t>Congress</w:t>
      </w:r>
      <w:r w:rsidRPr="00273106">
        <w:t>.</w:t>
      </w:r>
    </w:p>
    <w:p w14:paraId="4E071CDC" w14:textId="77777777" w:rsidR="086E6BFB" w:rsidRPr="00273106" w:rsidRDefault="086E6BFB" w:rsidP="086E6BFB">
      <w:pPr>
        <w:pStyle w:val="Literatura"/>
      </w:pPr>
      <w:r>
        <w:rPr>
          <w:rStyle w:val="addmd"/>
        </w:rPr>
        <w:t xml:space="preserve">Amerini, Fabrizio, and </w:t>
      </w:r>
      <w:r w:rsidRPr="00273106">
        <w:rPr>
          <w:rStyle w:val="addmd"/>
        </w:rPr>
        <w:t xml:space="preserve">Gabriele </w:t>
      </w:r>
      <w:r>
        <w:rPr>
          <w:rStyle w:val="addmd"/>
        </w:rPr>
        <w:t>Galluzzo (2014):</w:t>
      </w:r>
      <w:r w:rsidRPr="00273106">
        <w:t xml:space="preserve"> A </w:t>
      </w:r>
      <w:r w:rsidRPr="00273106">
        <w:rPr>
          <w:i/>
        </w:rPr>
        <w:t xml:space="preserve">Companion to the Latin Medieval Commentaries on </w:t>
      </w:r>
      <w:r>
        <w:rPr>
          <w:i/>
        </w:rPr>
        <w:tab/>
      </w:r>
      <w:r w:rsidRPr="00273106">
        <w:rPr>
          <w:i/>
        </w:rPr>
        <w:t>Aristotle’s Metaphysics</w:t>
      </w:r>
      <w:r>
        <w:t xml:space="preserve">, edited by </w:t>
      </w:r>
      <w:r>
        <w:rPr>
          <w:rStyle w:val="addmd"/>
        </w:rPr>
        <w:t xml:space="preserve">Fabrizio Amerini et al., </w:t>
      </w:r>
      <w:r>
        <w:t>Leiden: Brill</w:t>
      </w:r>
      <w:r w:rsidRPr="00273106">
        <w:t>.</w:t>
      </w:r>
    </w:p>
    <w:p w14:paraId="01EB0F26" w14:textId="77777777" w:rsidR="086E6BFB" w:rsidRDefault="086E6BFB" w:rsidP="086E6BFB">
      <w:pPr>
        <w:pStyle w:val="Literatura"/>
      </w:pPr>
      <w:r>
        <w:t xml:space="preserve">Andrews, Robert (2008): "Interconnected literal commentaries on the </w:t>
      </w:r>
      <w:r w:rsidRPr="00FE39AF">
        <w:rPr>
          <w:i/>
        </w:rPr>
        <w:t>Categories</w:t>
      </w:r>
      <w:r>
        <w:t xml:space="preserve"> in the Middle Ages". </w:t>
      </w:r>
      <w:r w:rsidRPr="00FE39AF">
        <w:rPr>
          <w:rStyle w:val="fn"/>
          <w:i/>
        </w:rPr>
        <w:t xml:space="preserve">Medieval </w:t>
      </w:r>
      <w:r>
        <w:rPr>
          <w:rStyle w:val="fn"/>
          <w:i/>
        </w:rPr>
        <w:tab/>
      </w:r>
      <w:r w:rsidRPr="00FE39AF">
        <w:rPr>
          <w:rStyle w:val="fn"/>
          <w:i/>
        </w:rPr>
        <w:t>Commentaries on Aristotle's Categories</w:t>
      </w:r>
      <w:r>
        <w:t xml:space="preserve">, edited by Lloyd A. Newton, Leiden: </w:t>
      </w:r>
      <w:r w:rsidRPr="00273106">
        <w:t>Brill</w:t>
      </w:r>
      <w:r>
        <w:t xml:space="preserve">, pp. 99‒118. </w:t>
      </w:r>
    </w:p>
    <w:p w14:paraId="31B0D582" w14:textId="77777777" w:rsidR="086E6BFB" w:rsidRPr="00AB4616" w:rsidRDefault="086E6BFB" w:rsidP="086E6BFB">
      <w:pPr>
        <w:pStyle w:val="Literatura"/>
      </w:pPr>
      <w:r w:rsidRPr="004911CD">
        <w:t>Anonym</w:t>
      </w:r>
      <w:r>
        <w:t xml:space="preserve">i in </w:t>
      </w:r>
      <w:r w:rsidRPr="004911CD">
        <w:rPr>
          <w:i/>
        </w:rPr>
        <w:t>De anima</w:t>
      </w:r>
      <w:r>
        <w:t xml:space="preserve"> (1225‒12</w:t>
      </w:r>
      <w:r w:rsidRPr="004911CD">
        <w:t>77)</w:t>
      </w:r>
      <w:r>
        <w:t xml:space="preserve"> </w:t>
      </w:r>
      <w:r w:rsidRPr="003C34F3">
        <w:t>(1982):</w:t>
      </w:r>
      <w:r>
        <w:rPr>
          <w:i/>
        </w:rPr>
        <w:t xml:space="preserve"> De anima et de potenciis eius</w:t>
      </w:r>
      <w:r w:rsidRPr="003C34F3">
        <w:t xml:space="preserve">. Edited by </w:t>
      </w:r>
      <w:r>
        <w:t>R. A. Gauthier, in</w:t>
      </w:r>
      <w:r w:rsidRPr="003C34F3">
        <w:t xml:space="preserve"> 'Le traité </w:t>
      </w:r>
      <w:r>
        <w:rPr>
          <w:szCs w:val="18"/>
        </w:rPr>
        <w:tab/>
      </w:r>
      <w:r>
        <w:t>De anima et de potenti</w:t>
      </w:r>
      <w:r w:rsidRPr="00AB4616">
        <w:t>i</w:t>
      </w:r>
      <w:r>
        <w:t xml:space="preserve">s eius d’un </w:t>
      </w:r>
      <w:r w:rsidRPr="00AB4616">
        <w:t xml:space="preserve">maître es arts (vers 1225), introduction et texte critique'. </w:t>
      </w:r>
      <w:r w:rsidRPr="00AB4616">
        <w:rPr>
          <w:i/>
        </w:rPr>
        <w:t xml:space="preserve">Revue </w:t>
      </w:r>
      <w:r>
        <w:rPr>
          <w:i/>
        </w:rPr>
        <w:t xml:space="preserve">des </w:t>
      </w:r>
      <w:r>
        <w:rPr>
          <w:szCs w:val="18"/>
        </w:rPr>
        <w:tab/>
      </w:r>
      <w:r>
        <w:rPr>
          <w:i/>
        </w:rPr>
        <w:t xml:space="preserve">sciences philosophiques et </w:t>
      </w:r>
      <w:r w:rsidRPr="00AB4616">
        <w:rPr>
          <w:i/>
        </w:rPr>
        <w:t>théologiques</w:t>
      </w:r>
      <w:r w:rsidRPr="00AB4616">
        <w:t xml:space="preserve"> 66, pp. 3‒55.</w:t>
      </w:r>
    </w:p>
    <w:p w14:paraId="67FBB89D" w14:textId="77777777" w:rsidR="086E6BFB" w:rsidRPr="08623B42" w:rsidRDefault="086E6BFB" w:rsidP="086E6BFB">
      <w:pPr>
        <w:pStyle w:val="Literatura"/>
      </w:pPr>
      <w:r w:rsidRPr="08623B42">
        <w:rPr>
          <w:rStyle w:val="ZkladntextKurzvadkovn0pt"/>
          <w:rFonts w:ascii="Calibri" w:eastAsia="Times" w:hAnsi="Calibri"/>
          <w:i w:val="0"/>
          <w:iCs w:val="0"/>
          <w:color w:val="auto"/>
          <w:spacing w:val="0"/>
          <w:sz w:val="20"/>
          <w:u w:val="none"/>
          <w:lang w:val="cs-CZ"/>
        </w:rPr>
        <w:t>‒ (</w:t>
      </w:r>
      <w:r w:rsidRPr="08623B42">
        <w:t>1952</w:t>
      </w:r>
      <w:r w:rsidRPr="08623B42">
        <w:rPr>
          <w:rStyle w:val="ZkladntextKurzvadkovn0pt"/>
          <w:rFonts w:ascii="Calibri" w:eastAsia="Times" w:hAnsi="Calibri"/>
          <w:i w:val="0"/>
          <w:iCs w:val="0"/>
          <w:color w:val="auto"/>
          <w:spacing w:val="0"/>
          <w:sz w:val="20"/>
          <w:u w:val="none"/>
          <w:lang w:val="cs-CZ"/>
        </w:rPr>
        <w:t xml:space="preserve">): De potentiis animae et obiectis. Edited by </w:t>
      </w:r>
      <w:r w:rsidRPr="08623B42">
        <w:t xml:space="preserve">D. A. Callus, in 'The Powers of the Soul: An Early </w:t>
      </w:r>
      <w:r w:rsidRPr="08623B42">
        <w:tab/>
        <w:t xml:space="preserve">Unpublished Text', </w:t>
      </w:r>
      <w:r w:rsidRPr="08623B42">
        <w:rPr>
          <w:rStyle w:val="ZkladntextKurzvadkovn0pt"/>
          <w:rFonts w:ascii="Calibri" w:eastAsia="Times" w:hAnsi="Calibri"/>
          <w:iCs w:val="0"/>
          <w:color w:val="auto"/>
          <w:spacing w:val="0"/>
          <w:sz w:val="20"/>
          <w:u w:val="none"/>
          <w:lang w:val="cs-CZ"/>
        </w:rPr>
        <w:t>Recherches de théologie ancienne et médiévale</w:t>
      </w:r>
      <w:r w:rsidRPr="08623B42">
        <w:t xml:space="preserve"> 19, pp. 131‒170.</w:t>
      </w:r>
    </w:p>
    <w:p w14:paraId="3EE64E74" w14:textId="77777777" w:rsidR="086E6BFB" w:rsidRDefault="086E6BFB" w:rsidP="086E6BFB">
      <w:pPr>
        <w:pStyle w:val="Literatura"/>
      </w:pPr>
      <w:r w:rsidRPr="00B105A6">
        <w:t>‒ (1971):</w:t>
      </w:r>
      <w:r>
        <w:rPr>
          <w:i/>
        </w:rPr>
        <w:t xml:space="preserve"> </w:t>
      </w:r>
      <w:r w:rsidRPr="00AA34C1">
        <w:rPr>
          <w:i/>
        </w:rPr>
        <w:t>Un commentaire anti-averroïste du Traité de l'Âme</w:t>
      </w:r>
      <w:r>
        <w:t xml:space="preserve">. Edited by </w:t>
      </w:r>
      <w:r w:rsidRPr="00273106">
        <w:rPr>
          <w:bCs/>
        </w:rPr>
        <w:t>Carlos Bernardo</w:t>
      </w:r>
      <w:r>
        <w:rPr>
          <w:bCs/>
        </w:rPr>
        <w:t xml:space="preserve"> </w:t>
      </w:r>
      <w:r w:rsidRPr="00273106">
        <w:rPr>
          <w:bCs/>
        </w:rPr>
        <w:t>Bazán</w:t>
      </w:r>
      <w:r>
        <w:t xml:space="preserve">. </w:t>
      </w:r>
      <w:r w:rsidRPr="00273106">
        <w:rPr>
          <w:rStyle w:val="st"/>
          <w:bCs/>
          <w:i/>
        </w:rPr>
        <w:t xml:space="preserve">Trois </w:t>
      </w:r>
      <w:r>
        <w:rPr>
          <w:rStyle w:val="st"/>
          <w:bCs/>
          <w:i/>
        </w:rPr>
        <w:tab/>
      </w:r>
      <w:r w:rsidRPr="00273106">
        <w:rPr>
          <w:rStyle w:val="st"/>
          <w:bCs/>
          <w:i/>
        </w:rPr>
        <w:t>commentaires anonymes</w:t>
      </w:r>
      <w:r w:rsidRPr="00273106">
        <w:rPr>
          <w:rStyle w:val="st"/>
          <w:i/>
        </w:rPr>
        <w:t xml:space="preserve"> sur le </w:t>
      </w:r>
      <w:r w:rsidRPr="00273106">
        <w:rPr>
          <w:rStyle w:val="st"/>
          <w:bCs/>
          <w:i/>
        </w:rPr>
        <w:t>traité</w:t>
      </w:r>
      <w:r w:rsidRPr="00273106">
        <w:rPr>
          <w:rStyle w:val="st"/>
          <w:i/>
        </w:rPr>
        <w:t xml:space="preserve"> De l'</w:t>
      </w:r>
      <w:r w:rsidRPr="00273106">
        <w:rPr>
          <w:rStyle w:val="st"/>
          <w:bCs/>
          <w:i/>
        </w:rPr>
        <w:t>âme</w:t>
      </w:r>
      <w:r w:rsidRPr="00273106">
        <w:rPr>
          <w:rStyle w:val="st"/>
          <w:i/>
        </w:rPr>
        <w:t xml:space="preserve"> d'</w:t>
      </w:r>
      <w:r w:rsidRPr="00273106">
        <w:rPr>
          <w:rStyle w:val="st"/>
          <w:bCs/>
          <w:i/>
        </w:rPr>
        <w:t>Aristote</w:t>
      </w:r>
      <w:r w:rsidRPr="002147AB">
        <w:rPr>
          <w:rStyle w:val="st"/>
          <w:bCs/>
        </w:rPr>
        <w:t>, edited by</w:t>
      </w:r>
      <w:r>
        <w:rPr>
          <w:rStyle w:val="st"/>
          <w:bCs/>
          <w:i/>
        </w:rPr>
        <w:t xml:space="preserve"> </w:t>
      </w:r>
      <w:r w:rsidRPr="00273106">
        <w:t>Fernand van</w:t>
      </w:r>
      <w:r>
        <w:t xml:space="preserve"> </w:t>
      </w:r>
      <w:r w:rsidRPr="00273106">
        <w:rPr>
          <w:bCs/>
        </w:rPr>
        <w:t>Steenberghen</w:t>
      </w:r>
      <w:r>
        <w:rPr>
          <w:bCs/>
        </w:rPr>
        <w:t xml:space="preserve">, </w:t>
      </w:r>
      <w:r w:rsidRPr="00273106">
        <w:t xml:space="preserve">Leuven: </w:t>
      </w:r>
      <w:r>
        <w:tab/>
        <w:t>Publication Universitaires</w:t>
      </w:r>
      <w:r w:rsidRPr="00273106">
        <w:t>, pp. 349‒525.</w:t>
      </w:r>
    </w:p>
    <w:p w14:paraId="245C95CE" w14:textId="77777777" w:rsidR="086E6BFB" w:rsidRDefault="086E6BFB" w:rsidP="086E6BFB">
      <w:pPr>
        <w:pStyle w:val="Literatura"/>
      </w:pPr>
      <w:r w:rsidRPr="00B105A6">
        <w:t>‒ (1971):</w:t>
      </w:r>
      <w:r>
        <w:rPr>
          <w:i/>
        </w:rPr>
        <w:t xml:space="preserve"> </w:t>
      </w:r>
      <w:r w:rsidRPr="00AD52A7">
        <w:rPr>
          <w:i/>
        </w:rPr>
        <w:t>Un commentaire averroïste sur les Livres I at II du Traité de l'Âme</w:t>
      </w:r>
      <w:r>
        <w:t>. Edited by Maurice</w:t>
      </w:r>
      <w:r w:rsidRPr="00AD52A7">
        <w:t xml:space="preserve"> </w:t>
      </w:r>
      <w:r>
        <w:t xml:space="preserve">Giele. </w:t>
      </w:r>
      <w:r w:rsidRPr="00273106">
        <w:rPr>
          <w:rStyle w:val="st"/>
          <w:bCs/>
          <w:i/>
        </w:rPr>
        <w:t xml:space="preserve">Trois </w:t>
      </w:r>
      <w:r>
        <w:rPr>
          <w:rStyle w:val="st"/>
          <w:bCs/>
          <w:i/>
        </w:rPr>
        <w:tab/>
      </w:r>
      <w:r w:rsidRPr="00273106">
        <w:rPr>
          <w:rStyle w:val="st"/>
          <w:bCs/>
          <w:i/>
        </w:rPr>
        <w:t>commentaires anonymes</w:t>
      </w:r>
      <w:r w:rsidRPr="00273106">
        <w:rPr>
          <w:rStyle w:val="st"/>
          <w:i/>
        </w:rPr>
        <w:t xml:space="preserve"> sur le </w:t>
      </w:r>
      <w:r w:rsidRPr="00273106">
        <w:rPr>
          <w:rStyle w:val="st"/>
          <w:bCs/>
          <w:i/>
        </w:rPr>
        <w:t>traité</w:t>
      </w:r>
      <w:r w:rsidRPr="00273106">
        <w:rPr>
          <w:rStyle w:val="st"/>
          <w:i/>
        </w:rPr>
        <w:t xml:space="preserve"> De l'</w:t>
      </w:r>
      <w:r w:rsidRPr="00273106">
        <w:rPr>
          <w:rStyle w:val="st"/>
          <w:bCs/>
          <w:i/>
        </w:rPr>
        <w:t>âme</w:t>
      </w:r>
      <w:r w:rsidRPr="00273106">
        <w:rPr>
          <w:rStyle w:val="st"/>
          <w:i/>
        </w:rPr>
        <w:t xml:space="preserve"> d'</w:t>
      </w:r>
      <w:r w:rsidRPr="00273106">
        <w:rPr>
          <w:rStyle w:val="st"/>
          <w:bCs/>
          <w:i/>
        </w:rPr>
        <w:t>Aristote</w:t>
      </w:r>
      <w:r w:rsidRPr="002147AB">
        <w:rPr>
          <w:rStyle w:val="st"/>
          <w:bCs/>
        </w:rPr>
        <w:t>, edited by</w:t>
      </w:r>
      <w:r>
        <w:rPr>
          <w:rStyle w:val="st"/>
          <w:bCs/>
          <w:i/>
        </w:rPr>
        <w:t xml:space="preserve"> </w:t>
      </w:r>
      <w:r w:rsidRPr="00273106">
        <w:t>Fernand van</w:t>
      </w:r>
      <w:r>
        <w:t xml:space="preserve"> </w:t>
      </w:r>
      <w:r w:rsidRPr="00273106">
        <w:rPr>
          <w:bCs/>
        </w:rPr>
        <w:t>Steenberghen</w:t>
      </w:r>
      <w:r>
        <w:rPr>
          <w:bCs/>
        </w:rPr>
        <w:t xml:space="preserve">, </w:t>
      </w:r>
      <w:r>
        <w:rPr>
          <w:rStyle w:val="st"/>
          <w:bCs/>
          <w:i/>
        </w:rPr>
        <w:tab/>
      </w:r>
      <w:r w:rsidRPr="00273106">
        <w:t xml:space="preserve">Leuven: </w:t>
      </w:r>
      <w:r>
        <w:tab/>
        <w:t>Publication Universitaires</w:t>
      </w:r>
      <w:r w:rsidRPr="00273106">
        <w:t>, pp. 12‒120.</w:t>
      </w:r>
    </w:p>
    <w:p w14:paraId="0EEBB543" w14:textId="77777777" w:rsidR="086E6BFB" w:rsidRDefault="086E6BFB" w:rsidP="086E6BFB">
      <w:pPr>
        <w:pStyle w:val="Literatura"/>
      </w:pPr>
      <w:r w:rsidRPr="00B105A6">
        <w:t>‒ (1971):</w:t>
      </w:r>
      <w:r>
        <w:rPr>
          <w:i/>
        </w:rPr>
        <w:t xml:space="preserve"> </w:t>
      </w:r>
      <w:r w:rsidRPr="00C11D24">
        <w:rPr>
          <w:i/>
        </w:rPr>
        <w:t>Un commentaire semi-averroïste du Traité de l'Âme</w:t>
      </w:r>
      <w:r>
        <w:t xml:space="preserve">. Edited by </w:t>
      </w:r>
      <w:r w:rsidRPr="00273106">
        <w:t>Fernand van</w:t>
      </w:r>
      <w:r>
        <w:t xml:space="preserve"> </w:t>
      </w:r>
      <w:r w:rsidRPr="00273106">
        <w:rPr>
          <w:bCs/>
        </w:rPr>
        <w:t>Steenberghen</w:t>
      </w:r>
      <w:r>
        <w:rPr>
          <w:bCs/>
        </w:rPr>
        <w:t xml:space="preserve">. </w:t>
      </w:r>
      <w:r w:rsidRPr="00273106">
        <w:rPr>
          <w:rStyle w:val="st"/>
          <w:bCs/>
          <w:i/>
        </w:rPr>
        <w:t xml:space="preserve">Trois </w:t>
      </w:r>
      <w:r>
        <w:rPr>
          <w:rStyle w:val="st"/>
          <w:bCs/>
          <w:i/>
        </w:rPr>
        <w:tab/>
      </w:r>
      <w:r w:rsidRPr="00273106">
        <w:rPr>
          <w:rStyle w:val="st"/>
          <w:bCs/>
          <w:i/>
        </w:rPr>
        <w:t>commentaires anonymes</w:t>
      </w:r>
      <w:r w:rsidRPr="00273106">
        <w:rPr>
          <w:rStyle w:val="st"/>
          <w:i/>
        </w:rPr>
        <w:t xml:space="preserve"> sur le </w:t>
      </w:r>
      <w:r w:rsidRPr="00273106">
        <w:rPr>
          <w:rStyle w:val="st"/>
          <w:bCs/>
          <w:i/>
        </w:rPr>
        <w:t>traité</w:t>
      </w:r>
      <w:r w:rsidRPr="00273106">
        <w:rPr>
          <w:rStyle w:val="st"/>
          <w:i/>
        </w:rPr>
        <w:t xml:space="preserve"> De l'</w:t>
      </w:r>
      <w:r w:rsidRPr="00273106">
        <w:rPr>
          <w:rStyle w:val="st"/>
          <w:bCs/>
          <w:i/>
        </w:rPr>
        <w:t>âme</w:t>
      </w:r>
      <w:r w:rsidRPr="00273106">
        <w:rPr>
          <w:rStyle w:val="st"/>
          <w:i/>
        </w:rPr>
        <w:t xml:space="preserve"> d'</w:t>
      </w:r>
      <w:r w:rsidRPr="00273106">
        <w:rPr>
          <w:rStyle w:val="st"/>
          <w:bCs/>
          <w:i/>
        </w:rPr>
        <w:t>Aristote</w:t>
      </w:r>
      <w:r w:rsidRPr="002147AB">
        <w:rPr>
          <w:rStyle w:val="st"/>
          <w:bCs/>
        </w:rPr>
        <w:t xml:space="preserve">, edited by </w:t>
      </w:r>
      <w:r w:rsidRPr="00273106">
        <w:t>Fernand van</w:t>
      </w:r>
      <w:r>
        <w:t xml:space="preserve"> </w:t>
      </w:r>
      <w:r w:rsidRPr="00273106">
        <w:rPr>
          <w:bCs/>
        </w:rPr>
        <w:t>Steenberghen</w:t>
      </w:r>
      <w:r>
        <w:rPr>
          <w:bCs/>
        </w:rPr>
        <w:t xml:space="preserve">, </w:t>
      </w:r>
      <w:r>
        <w:rPr>
          <w:rStyle w:val="st"/>
          <w:bCs/>
          <w:i/>
        </w:rPr>
        <w:tab/>
      </w:r>
      <w:r w:rsidRPr="00273106">
        <w:t xml:space="preserve">Leuven: </w:t>
      </w:r>
      <w:r>
        <w:tab/>
        <w:t>Publication Universitaires</w:t>
      </w:r>
      <w:r w:rsidRPr="00273106">
        <w:t>, pp. 121‒348.</w:t>
      </w:r>
    </w:p>
    <w:p w14:paraId="03959260" w14:textId="77777777" w:rsidR="086E6BFB" w:rsidRDefault="086E6BFB" w:rsidP="086E6BFB">
      <w:pPr>
        <w:pStyle w:val="Literatura"/>
        <w:rPr>
          <w:rStyle w:val="TextpoznpodarouChar"/>
          <w:lang w:eastAsia="en-US"/>
        </w:rPr>
      </w:pPr>
      <w:r>
        <w:rPr>
          <w:rStyle w:val="TextpoznpodarouChar"/>
          <w:lang w:eastAsia="en-US"/>
        </w:rPr>
        <w:t xml:space="preserve">Arnauld, Antoine (1843): </w:t>
      </w:r>
      <w:r w:rsidRPr="00C87E74">
        <w:rPr>
          <w:i/>
        </w:rPr>
        <w:t>Des vraies et de fausses ideés</w:t>
      </w:r>
      <w:r>
        <w:rPr>
          <w:i/>
        </w:rPr>
        <w:t xml:space="preserve">. </w:t>
      </w:r>
      <w:r w:rsidRPr="00AC305B">
        <w:rPr>
          <w:rStyle w:val="TextpoznpodarouChar"/>
          <w:i/>
          <w:lang w:eastAsia="en-US"/>
        </w:rPr>
        <w:t>Les Oeuvres philosophiques</w:t>
      </w:r>
      <w:r>
        <w:rPr>
          <w:rStyle w:val="TextpoznpodarouChar"/>
          <w:lang w:eastAsia="en-US"/>
        </w:rPr>
        <w:t xml:space="preserve">. Ed. par Jules Simon. Paris: </w:t>
      </w:r>
      <w:r>
        <w:rPr>
          <w:rStyle w:val="TextpoznpodarouChar"/>
          <w:lang w:eastAsia="en-US"/>
        </w:rPr>
        <w:tab/>
        <w:t>Charpentier</w:t>
      </w:r>
      <w:r w:rsidRPr="00097D2E">
        <w:rPr>
          <w:rStyle w:val="TextpoznpodarouChar"/>
          <w:lang w:eastAsia="en-US"/>
        </w:rPr>
        <w:t xml:space="preserve"> </w:t>
      </w:r>
      <w:r>
        <w:rPr>
          <w:rStyle w:val="TextpoznpodarouChar"/>
          <w:lang w:eastAsia="en-US"/>
        </w:rPr>
        <w:t xml:space="preserve">Libraire. </w:t>
      </w:r>
    </w:p>
    <w:p w14:paraId="1C1D27D9" w14:textId="77777777" w:rsidR="086E6BFB" w:rsidRDefault="086E6BFB" w:rsidP="086E6BFB">
      <w:pPr>
        <w:pStyle w:val="Literatura"/>
      </w:pPr>
      <w:r w:rsidRPr="00BC2A67">
        <w:rPr>
          <w:rStyle w:val="st"/>
        </w:rPr>
        <w:t>Anselm</w:t>
      </w:r>
      <w:r>
        <w:rPr>
          <w:rStyle w:val="st"/>
        </w:rPr>
        <w:t xml:space="preserve"> z Canterbury </w:t>
      </w:r>
      <w:r w:rsidRPr="00BC2A67">
        <w:t>(1863)</w:t>
      </w:r>
      <w:r>
        <w:t>:</w:t>
      </w:r>
      <w:r w:rsidRPr="00CE6413">
        <w:rPr>
          <w:i/>
        </w:rPr>
        <w:t xml:space="preserve"> </w:t>
      </w:r>
      <w:r w:rsidRPr="009966AA">
        <w:rPr>
          <w:i/>
        </w:rPr>
        <w:t>De divinitatis es</w:t>
      </w:r>
      <w:r>
        <w:rPr>
          <w:i/>
        </w:rPr>
        <w:t>s</w:t>
      </w:r>
      <w:r w:rsidRPr="009966AA">
        <w:rPr>
          <w:i/>
        </w:rPr>
        <w:t>entia Monologium</w:t>
      </w:r>
      <w:r>
        <w:rPr>
          <w:i/>
        </w:rPr>
        <w:t xml:space="preserve">. </w:t>
      </w:r>
      <w:r w:rsidRPr="00BC2A67">
        <w:t>Patrologia Latina. Paris</w:t>
      </w:r>
      <w:r>
        <w:t xml:space="preserve">: </w:t>
      </w:r>
      <w:r w:rsidRPr="00BC2A67">
        <w:t>Migne, t</w:t>
      </w:r>
      <w:r>
        <w:t>ome</w:t>
      </w:r>
      <w:r w:rsidRPr="00BC2A67">
        <w:t xml:space="preserve"> 158</w:t>
      </w:r>
      <w:r>
        <w:t xml:space="preserve">, cols </w:t>
      </w:r>
      <w:r>
        <w:rPr>
          <w:szCs w:val="18"/>
        </w:rPr>
        <w:tab/>
      </w:r>
      <w:r>
        <w:t>141‒222.</w:t>
      </w:r>
    </w:p>
    <w:p w14:paraId="258E6170" w14:textId="77777777" w:rsidR="086E6BFB" w:rsidRPr="00BC2A67" w:rsidRDefault="086E6BFB" w:rsidP="086E6BFB">
      <w:pPr>
        <w:pStyle w:val="Literatura"/>
      </w:pPr>
      <w:r>
        <w:t xml:space="preserve">‒ </w:t>
      </w:r>
      <w:r w:rsidRPr="00BC2A67">
        <w:t>(1863)</w:t>
      </w:r>
      <w:r>
        <w:t>:</w:t>
      </w:r>
      <w:r>
        <w:rPr>
          <w:i/>
        </w:rPr>
        <w:t xml:space="preserve"> </w:t>
      </w:r>
      <w:r w:rsidRPr="00533592">
        <w:rPr>
          <w:i/>
        </w:rPr>
        <w:t>Dialogus de Veritate</w:t>
      </w:r>
      <w:r>
        <w:rPr>
          <w:i/>
        </w:rPr>
        <w:t xml:space="preserve">. </w:t>
      </w:r>
      <w:r w:rsidRPr="00BC2A67">
        <w:t>Patrologia Latina. Paris</w:t>
      </w:r>
      <w:r>
        <w:t xml:space="preserve">: </w:t>
      </w:r>
      <w:r w:rsidRPr="00BC2A67">
        <w:t>Migne, t</w:t>
      </w:r>
      <w:r>
        <w:t>ome</w:t>
      </w:r>
      <w:r w:rsidRPr="00BC2A67">
        <w:t xml:space="preserve"> 158</w:t>
      </w:r>
      <w:r>
        <w:t>, cols 467‒486.</w:t>
      </w:r>
    </w:p>
    <w:p w14:paraId="623CC29A" w14:textId="77777777" w:rsidR="086E6BFB" w:rsidRDefault="086E6BFB" w:rsidP="086E6BFB">
      <w:pPr>
        <w:pStyle w:val="Literatura"/>
      </w:pPr>
      <w:r>
        <w:t xml:space="preserve">‒ </w:t>
      </w:r>
      <w:r w:rsidRPr="00BC2A67">
        <w:t>(1863)</w:t>
      </w:r>
      <w:r>
        <w:t>:</w:t>
      </w:r>
      <w:r w:rsidRPr="00EF5E66">
        <w:rPr>
          <w:i/>
        </w:rPr>
        <w:t xml:space="preserve"> </w:t>
      </w:r>
      <w:r>
        <w:rPr>
          <w:i/>
        </w:rPr>
        <w:t>Dialogus de l</w:t>
      </w:r>
      <w:r w:rsidRPr="009442E3">
        <w:rPr>
          <w:i/>
        </w:rPr>
        <w:t>ibero arbitrio</w:t>
      </w:r>
      <w:r>
        <w:rPr>
          <w:i/>
        </w:rPr>
        <w:t xml:space="preserve">. </w:t>
      </w:r>
      <w:r w:rsidRPr="00BC2A67">
        <w:t>Patrologia Latina. Paris</w:t>
      </w:r>
      <w:r>
        <w:t xml:space="preserve">: </w:t>
      </w:r>
      <w:r w:rsidRPr="00BC2A67">
        <w:t>Migne, t</w:t>
      </w:r>
      <w:r>
        <w:t>ome</w:t>
      </w:r>
      <w:r w:rsidRPr="00BC2A67">
        <w:t xml:space="preserve"> 158</w:t>
      </w:r>
      <w:r>
        <w:t>, cols 489‒506.</w:t>
      </w:r>
    </w:p>
    <w:p w14:paraId="500281A2" w14:textId="77777777" w:rsidR="086E6BFB" w:rsidRPr="00273106" w:rsidRDefault="086E6BFB" w:rsidP="086E6BFB">
      <w:pPr>
        <w:pStyle w:val="Literatura"/>
        <w:rPr>
          <w:szCs w:val="18"/>
        </w:rPr>
      </w:pPr>
      <w:r w:rsidRPr="00273106">
        <w:t>Anzulewicz</w:t>
      </w:r>
      <w:r w:rsidRPr="00273106">
        <w:rPr>
          <w:szCs w:val="30"/>
        </w:rPr>
        <w:t xml:space="preserve">, </w:t>
      </w:r>
      <w:r w:rsidRPr="00273106">
        <w:t>Henryk</w:t>
      </w:r>
      <w:r>
        <w:t xml:space="preserve"> (2003):</w:t>
      </w:r>
      <w:r w:rsidRPr="00273106">
        <w:t xml:space="preserve"> </w:t>
      </w:r>
      <w:r>
        <w:t>"</w:t>
      </w:r>
      <w:r w:rsidRPr="00273106">
        <w:t>Entwicklung und Stellung der Intellekttheorie im Systems des Albertus Magnus</w:t>
      </w:r>
      <w:r>
        <w:t>"</w:t>
      </w:r>
      <w:r w:rsidRPr="00273106">
        <w:t xml:space="preserve">.  </w:t>
      </w:r>
      <w:r>
        <w:tab/>
      </w:r>
      <w:r w:rsidRPr="00273106">
        <w:rPr>
          <w:i/>
        </w:rPr>
        <w:t>Archives d'histoire doctrinale et littéraire du Moyen Âge</w:t>
      </w:r>
      <w:r w:rsidRPr="00273106">
        <w:t xml:space="preserve"> 7</w:t>
      </w:r>
      <w:r>
        <w:t>0</w:t>
      </w:r>
      <w:r w:rsidRPr="00273106">
        <w:rPr>
          <w:szCs w:val="18"/>
        </w:rPr>
        <w:t>: 165‒218.</w:t>
      </w:r>
    </w:p>
    <w:p w14:paraId="0B340F14" w14:textId="77777777" w:rsidR="00922518" w:rsidRDefault="00922518" w:rsidP="086E6BFB">
      <w:pPr>
        <w:pStyle w:val="Literatura"/>
        <w:rPr>
          <w:rStyle w:val="reference-text"/>
        </w:rPr>
      </w:pPr>
      <w:r w:rsidRPr="083A4D85">
        <w:t>Appleton</w:t>
      </w:r>
      <w:r>
        <w:t xml:space="preserve"> (1898): </w:t>
      </w:r>
      <w:r w:rsidRPr="083A4D85">
        <w:rPr>
          <w:i/>
        </w:rPr>
        <w:t>Evolutionary Ethics and Animal Psychology</w:t>
      </w:r>
      <w:r>
        <w:rPr>
          <w:i/>
        </w:rPr>
        <w:t xml:space="preserve">. </w:t>
      </w:r>
      <w:r>
        <w:t>New York: D. Appleton &amp; Company.</w:t>
      </w:r>
    </w:p>
    <w:p w14:paraId="673322F8" w14:textId="77777777" w:rsidR="086E6BFB" w:rsidRDefault="086E6BFB" w:rsidP="086E6BFB">
      <w:pPr>
        <w:pStyle w:val="Literatura"/>
        <w:rPr>
          <w:rStyle w:val="reference-text"/>
        </w:rPr>
      </w:pPr>
      <w:r w:rsidRPr="00273106">
        <w:rPr>
          <w:rStyle w:val="reference-text"/>
        </w:rPr>
        <w:t>Arendt,</w:t>
      </w:r>
      <w:r>
        <w:rPr>
          <w:rStyle w:val="reference-text"/>
        </w:rPr>
        <w:t xml:space="preserve"> Hannah (1958): </w:t>
      </w:r>
      <w:r w:rsidRPr="00B705C0">
        <w:rPr>
          <w:i/>
          <w:iCs/>
        </w:rPr>
        <w:t>The Human Condition</w:t>
      </w:r>
      <w:r>
        <w:t>. Chicago: University of Chicago Press.</w:t>
      </w:r>
    </w:p>
    <w:p w14:paraId="2FD1607B" w14:textId="77777777" w:rsidR="086E6BFB" w:rsidRDefault="086E6BFB" w:rsidP="086E6BFB">
      <w:pPr>
        <w:pStyle w:val="Literatura"/>
        <w:rPr>
          <w:noProof w:val="0"/>
          <w:lang w:val="en-US"/>
        </w:rPr>
      </w:pPr>
      <w:r>
        <w:rPr>
          <w:i/>
        </w:rPr>
        <w:t xml:space="preserve">‒ </w:t>
      </w:r>
      <w:r>
        <w:rPr>
          <w:rStyle w:val="reference-text"/>
        </w:rPr>
        <w:t xml:space="preserve">(1961): </w:t>
      </w:r>
      <w:r>
        <w:rPr>
          <w:i/>
          <w:iCs/>
          <w:noProof w:val="0"/>
          <w:lang w:val="en-US"/>
        </w:rPr>
        <w:t>Between Past und Future. Eight Exercises in Political Thought</w:t>
      </w:r>
      <w:r>
        <w:rPr>
          <w:noProof w:val="0"/>
          <w:lang w:val="en-US"/>
        </w:rPr>
        <w:t>. New York, Viking Press.</w:t>
      </w:r>
    </w:p>
    <w:p w14:paraId="0E6F271A" w14:textId="77777777" w:rsidR="086E6BFB" w:rsidRPr="00273106" w:rsidRDefault="086E6BFB" w:rsidP="086E6BFB">
      <w:pPr>
        <w:pStyle w:val="Literatura"/>
        <w:rPr>
          <w:rStyle w:val="reference-text"/>
        </w:rPr>
      </w:pPr>
      <w:r>
        <w:rPr>
          <w:i/>
        </w:rPr>
        <w:t xml:space="preserve">‒ </w:t>
      </w:r>
      <w:r>
        <w:rPr>
          <w:rStyle w:val="reference-text"/>
        </w:rPr>
        <w:t xml:space="preserve">(1962): </w:t>
      </w:r>
      <w:r w:rsidRPr="00BD3B06">
        <w:rPr>
          <w:rStyle w:val="reference-text"/>
          <w:i/>
        </w:rPr>
        <w:t>The Origins of Totalitarianism</w:t>
      </w:r>
      <w:r>
        <w:rPr>
          <w:rStyle w:val="reference-text"/>
        </w:rPr>
        <w:t xml:space="preserve">. Cleveland: Meridian Books. </w:t>
      </w:r>
    </w:p>
    <w:p w14:paraId="593BD0CF" w14:textId="77777777" w:rsidR="086E6BFB" w:rsidRDefault="086E6BFB" w:rsidP="086E6BFB">
      <w:pPr>
        <w:pStyle w:val="Literatura"/>
        <w:rPr>
          <w:rStyle w:val="reference-text"/>
        </w:rPr>
      </w:pPr>
      <w:r w:rsidRPr="08B613A6">
        <w:t>Aston</w:t>
      </w:r>
      <w:r>
        <w:t>,</w:t>
      </w:r>
      <w:r w:rsidRPr="08B613A6">
        <w:t xml:space="preserve"> Trevor Henry</w:t>
      </w:r>
      <w:r>
        <w:t xml:space="preserve"> (1984): </w:t>
      </w:r>
      <w:r w:rsidRPr="08B613A6">
        <w:rPr>
          <w:rStyle w:val="fn"/>
          <w:i/>
        </w:rPr>
        <w:t>The History of the University of Oxford. The early Oxford schools</w:t>
      </w:r>
      <w:r>
        <w:rPr>
          <w:rStyle w:val="Podtitul1"/>
        </w:rPr>
        <w:t xml:space="preserve">. Tome I. Oxford </w:t>
      </w:r>
      <w:r>
        <w:rPr>
          <w:rStyle w:val="Podtitul1"/>
        </w:rPr>
        <w:tab/>
      </w:r>
      <w:r>
        <w:t>Clarendon Press.</w:t>
      </w:r>
    </w:p>
    <w:p w14:paraId="66C67029" w14:textId="77777777" w:rsidR="086E6BFB" w:rsidRDefault="086E6BFB" w:rsidP="086E6BFB">
      <w:pPr>
        <w:pStyle w:val="Literatura"/>
        <w:rPr>
          <w:rStyle w:val="TextpoznpodarouChar"/>
          <w:lang w:eastAsia="en-US"/>
        </w:rPr>
      </w:pPr>
      <w:r>
        <w:rPr>
          <w:rStyle w:val="reference-text"/>
        </w:rPr>
        <w:t xml:space="preserve">Aubé, Pierre (2003): </w:t>
      </w:r>
      <w:r>
        <w:rPr>
          <w:rStyle w:val="reference-text"/>
          <w:i/>
          <w:iCs/>
        </w:rPr>
        <w:t>Saint Bernard de Clairvaux</w:t>
      </w:r>
      <w:r>
        <w:rPr>
          <w:rStyle w:val="reference-text"/>
        </w:rPr>
        <w:t>. Paris: Fayard.</w:t>
      </w:r>
    </w:p>
    <w:p w14:paraId="65C9C25D" w14:textId="77777777" w:rsidR="086E6BFB" w:rsidRPr="00273106" w:rsidRDefault="086E6BFB" w:rsidP="086E6BFB">
      <w:pPr>
        <w:pStyle w:val="Literatura"/>
        <w:rPr>
          <w:rStyle w:val="TextpoznpodarouChar"/>
          <w:lang w:eastAsia="en-US"/>
        </w:rPr>
      </w:pPr>
      <w:r w:rsidRPr="00273106">
        <w:rPr>
          <w:rStyle w:val="TextpoznpodarouChar"/>
          <w:lang w:eastAsia="en-US"/>
        </w:rPr>
        <w:t>Aubenque, Pierre</w:t>
      </w:r>
      <w:r>
        <w:rPr>
          <w:rStyle w:val="TextpoznpodarouChar"/>
          <w:lang w:eastAsia="en-US"/>
        </w:rPr>
        <w:t xml:space="preserve"> (1962):</w:t>
      </w:r>
      <w:r w:rsidRPr="00273106">
        <w:rPr>
          <w:rStyle w:val="TextpoznpodarouChar"/>
          <w:lang w:eastAsia="en-US"/>
        </w:rPr>
        <w:t xml:space="preserve"> </w:t>
      </w:r>
      <w:r w:rsidRPr="00273106">
        <w:rPr>
          <w:rStyle w:val="TextpoznpodarouChar"/>
          <w:i/>
          <w:lang w:eastAsia="en-US"/>
        </w:rPr>
        <w:t>Le problème de l´être chez Aristote</w:t>
      </w:r>
      <w:r w:rsidRPr="00273106">
        <w:rPr>
          <w:rStyle w:val="TextpoznpodarouChar"/>
          <w:lang w:eastAsia="en-US"/>
        </w:rPr>
        <w:t>. Paris: Presse</w:t>
      </w:r>
      <w:r>
        <w:rPr>
          <w:rStyle w:val="TextpoznpodarouChar"/>
          <w:lang w:eastAsia="en-US"/>
        </w:rPr>
        <w:t>s Universitaires de France</w:t>
      </w:r>
      <w:r w:rsidRPr="00273106">
        <w:rPr>
          <w:rStyle w:val="TextpoznpodarouChar"/>
          <w:lang w:eastAsia="en-US"/>
        </w:rPr>
        <w:t>.</w:t>
      </w:r>
    </w:p>
    <w:p w14:paraId="08325217" w14:textId="77777777" w:rsidR="086E6BFB" w:rsidRPr="00273106" w:rsidRDefault="086E6BFB" w:rsidP="086E6BFB">
      <w:pPr>
        <w:pStyle w:val="Literatura"/>
        <w:rPr>
          <w:szCs w:val="24"/>
        </w:rPr>
      </w:pPr>
      <w:r w:rsidRPr="00273106">
        <w:rPr>
          <w:szCs w:val="24"/>
        </w:rPr>
        <w:t>Aurélien, Robert</w:t>
      </w:r>
      <w:r>
        <w:rPr>
          <w:szCs w:val="24"/>
        </w:rPr>
        <w:t xml:space="preserve"> (2007):</w:t>
      </w:r>
      <w:r w:rsidRPr="00273106">
        <w:rPr>
          <w:szCs w:val="24"/>
        </w:rPr>
        <w:t xml:space="preserve"> </w:t>
      </w:r>
      <w:r>
        <w:rPr>
          <w:szCs w:val="24"/>
        </w:rPr>
        <w:t>"</w:t>
      </w:r>
      <w:r w:rsidRPr="00273106">
        <w:rPr>
          <w:szCs w:val="24"/>
        </w:rPr>
        <w:t xml:space="preserve">L'universalité réduite au discours. Sur quelques théories franciscaines de l'abstraction </w:t>
      </w:r>
      <w:r>
        <w:rPr>
          <w:szCs w:val="24"/>
        </w:rPr>
        <w:tab/>
      </w:r>
      <w:r w:rsidRPr="00273106">
        <w:rPr>
          <w:szCs w:val="24"/>
        </w:rPr>
        <w:t>à la fin du XIIIe siècle</w:t>
      </w:r>
      <w:r>
        <w:rPr>
          <w:szCs w:val="24"/>
        </w:rPr>
        <w:t xml:space="preserve">". </w:t>
      </w:r>
      <w:r w:rsidRPr="00273106">
        <w:rPr>
          <w:i/>
          <w:szCs w:val="24"/>
        </w:rPr>
        <w:t>Documenti e studi sulla tradizione filosofica medievale</w:t>
      </w:r>
      <w:r>
        <w:rPr>
          <w:szCs w:val="24"/>
        </w:rPr>
        <w:t xml:space="preserve"> XVIII, pp. 363‒</w:t>
      </w:r>
      <w:r w:rsidRPr="00273106">
        <w:rPr>
          <w:szCs w:val="24"/>
        </w:rPr>
        <w:t>393.</w:t>
      </w:r>
    </w:p>
    <w:p w14:paraId="0D83E9D7" w14:textId="77777777" w:rsidR="086E6BFB" w:rsidRDefault="086E6BFB" w:rsidP="086E6BFB">
      <w:pPr>
        <w:pStyle w:val="Literatura"/>
      </w:pPr>
      <w:r w:rsidRPr="005C1CA8">
        <w:t>Averroes Latinus</w:t>
      </w:r>
      <w:r>
        <w:t xml:space="preserve"> (</w:t>
      </w:r>
      <w:r w:rsidRPr="005C1CA8">
        <w:rPr>
          <w:rStyle w:val="unicode"/>
          <w:iCs/>
        </w:rPr>
        <w:t>ʾAbū l-Walīd Muḥammad Ibn ʾAḥmad Ibn Rushd</w:t>
      </w:r>
      <w:r>
        <w:t>‎</w:t>
      </w:r>
      <w:r w:rsidRPr="005C1CA8">
        <w:t>)</w:t>
      </w:r>
      <w:r>
        <w:t xml:space="preserve"> </w:t>
      </w:r>
      <w:r>
        <w:rPr>
          <w:rStyle w:val="style30"/>
        </w:rPr>
        <w:t xml:space="preserve">(1562): </w:t>
      </w:r>
      <w:r w:rsidRPr="08723323">
        <w:rPr>
          <w:rStyle w:val="style30"/>
          <w:i/>
        </w:rPr>
        <w:t xml:space="preserve">Aristotelis Stagiritae de physico </w:t>
      </w:r>
      <w:r>
        <w:rPr>
          <w:szCs w:val="18"/>
        </w:rPr>
        <w:tab/>
      </w:r>
      <w:r w:rsidRPr="08723323">
        <w:rPr>
          <w:rStyle w:val="style30"/>
          <w:i/>
        </w:rPr>
        <w:t>auditu libri octo</w:t>
      </w:r>
      <w:r>
        <w:t>. Editio Juntina secunda, Venezia.</w:t>
      </w:r>
    </w:p>
    <w:p w14:paraId="18AE9A66" w14:textId="77777777" w:rsidR="086E6BFB" w:rsidRDefault="086E6BFB" w:rsidP="086E6BFB">
      <w:pPr>
        <w:pStyle w:val="Literatura"/>
      </w:pPr>
      <w:r>
        <w:t xml:space="preserve">‒ (1562): </w:t>
      </w:r>
      <w:r>
        <w:rPr>
          <w:rStyle w:val="Zvraznn"/>
        </w:rPr>
        <w:t xml:space="preserve">Aristotelis metaphysicorum libri XIIII cum Averrois Cordubensis in eosdem commentariis et epitome, </w:t>
      </w:r>
      <w:r>
        <w:rPr>
          <w:rStyle w:val="Zvraznn"/>
        </w:rPr>
        <w:tab/>
        <w:t xml:space="preserve">Theophrasti metaphysicorum </w:t>
      </w:r>
      <w:r w:rsidRPr="00672E2D">
        <w:rPr>
          <w:rStyle w:val="Zvraznn"/>
          <w:i w:val="0"/>
        </w:rPr>
        <w:t>liber</w:t>
      </w:r>
      <w:r>
        <w:rPr>
          <w:rStyle w:val="Zvraznn"/>
          <w:i w:val="0"/>
        </w:rPr>
        <w:t xml:space="preserve">. </w:t>
      </w:r>
      <w:r w:rsidRPr="00672E2D">
        <w:t>Editio Juntina secunda, vol. VIII</w:t>
      </w:r>
      <w:r>
        <w:t>. Venezia.</w:t>
      </w:r>
    </w:p>
    <w:p w14:paraId="7D6604DB" w14:textId="77777777" w:rsidR="086E6BFB" w:rsidRDefault="086E6BFB" w:rsidP="086E6BFB">
      <w:pPr>
        <w:pStyle w:val="Literatura"/>
      </w:pPr>
      <w:r>
        <w:rPr>
          <w:i/>
        </w:rPr>
        <w:t xml:space="preserve">‒ </w:t>
      </w:r>
      <w:r w:rsidRPr="000C6CBE">
        <w:t>(</w:t>
      </w:r>
      <w:r>
        <w:t>1953</w:t>
      </w:r>
      <w:r w:rsidRPr="000C6CBE">
        <w:t>)</w:t>
      </w:r>
      <w:r>
        <w:t>:</w:t>
      </w:r>
      <w:r w:rsidRPr="000C6CBE">
        <w:t xml:space="preserve"> </w:t>
      </w:r>
      <w:r w:rsidRPr="00273106">
        <w:rPr>
          <w:i/>
        </w:rPr>
        <w:t xml:space="preserve">Averrois Cordubensis Commentarium Magnum in Aristotelis </w:t>
      </w:r>
      <w:r>
        <w:rPr>
          <w:i/>
        </w:rPr>
        <w:t>De anima</w:t>
      </w:r>
      <w:r w:rsidRPr="00273106">
        <w:rPr>
          <w:i/>
        </w:rPr>
        <w:t xml:space="preserve"> Libros</w:t>
      </w:r>
      <w:r w:rsidRPr="00273106">
        <w:t xml:space="preserve">. F. Stuart Crawford (ed.)., </w:t>
      </w:r>
      <w:r>
        <w:tab/>
      </w:r>
      <w:r w:rsidRPr="00273106">
        <w:t>Cambridge: Me</w:t>
      </w:r>
      <w:r>
        <w:t>diaeval Academy of America</w:t>
      </w:r>
      <w:r w:rsidRPr="00273106">
        <w:t>.</w:t>
      </w:r>
    </w:p>
    <w:p w14:paraId="4DD5428A" w14:textId="77777777" w:rsidR="086E6BFB" w:rsidRDefault="086E6BFB" w:rsidP="086E6BFB">
      <w:pPr>
        <w:pStyle w:val="Literatura"/>
      </w:pPr>
      <w:r>
        <w:t xml:space="preserve">‒ </w:t>
      </w:r>
      <w:r w:rsidRPr="00E15514">
        <w:t xml:space="preserve">(1954): </w:t>
      </w:r>
      <w:r w:rsidRPr="0029615F">
        <w:rPr>
          <w:i/>
        </w:rPr>
        <w:t>Tahafut al-tahafut (The incoherence of the incoherence)</w:t>
      </w:r>
      <w:r w:rsidRPr="00E15514">
        <w:t xml:space="preserve">. Translated from the Arabic with introd. and </w:t>
      </w:r>
      <w:r>
        <w:tab/>
      </w:r>
      <w:r w:rsidRPr="00E15514">
        <w:t>notes by Simon van den Bergh. London: Lusac.</w:t>
      </w:r>
    </w:p>
    <w:p w14:paraId="09668114" w14:textId="77777777" w:rsidR="086E6BFB" w:rsidRDefault="086E6BFB" w:rsidP="086E6BFB">
      <w:pPr>
        <w:pStyle w:val="Literatura"/>
      </w:pPr>
      <w:r>
        <w:t>‒ (</w:t>
      </w:r>
      <w:r>
        <w:rPr>
          <w:rStyle w:val="TextpoznpodarouChar"/>
          <w:lang w:eastAsia="en-US"/>
        </w:rPr>
        <w:t xml:space="preserve">1984): </w:t>
      </w:r>
      <w:r w:rsidRPr="00273106">
        <w:rPr>
          <w:i/>
        </w:rPr>
        <w:t xml:space="preserve">Ibn Rushd’s Metaphysics. A Translation with Introduction of Ibn Rushd's Commentary on </w:t>
      </w:r>
      <w:r>
        <w:rPr>
          <w:i/>
        </w:rPr>
        <w:tab/>
      </w:r>
      <w:r w:rsidRPr="00273106">
        <w:rPr>
          <w:i/>
        </w:rPr>
        <w:t>Aristotle's Metaphysics. Book Lām</w:t>
      </w:r>
      <w:r w:rsidRPr="00273106">
        <w:t>. Ed. Charle</w:t>
      </w:r>
      <w:r>
        <w:t>s Genequand, Leiden: Brill</w:t>
      </w:r>
      <w:r w:rsidRPr="00273106">
        <w:t>.</w:t>
      </w:r>
    </w:p>
    <w:p w14:paraId="3C7280AE" w14:textId="77777777" w:rsidR="086E6BFB" w:rsidRDefault="086E6BFB" w:rsidP="086E6BFB">
      <w:pPr>
        <w:pStyle w:val="Literatura"/>
      </w:pPr>
      <w:r>
        <w:t xml:space="preserve">‒ (1986): </w:t>
      </w:r>
      <w:r>
        <w:rPr>
          <w:i/>
        </w:rPr>
        <w:t xml:space="preserve">Averroe's </w:t>
      </w:r>
      <w:r w:rsidRPr="00273106">
        <w:rPr>
          <w:i/>
        </w:rPr>
        <w:t>De substantia orbis</w:t>
      </w:r>
      <w:r>
        <w:t xml:space="preserve">. Critical edition of Hebrew Text with English Translation and </w:t>
      </w:r>
      <w:r>
        <w:tab/>
        <w:t>Commentary by Artur Hyman. Cambridge: Massachusetts and Jerusalem.</w:t>
      </w:r>
    </w:p>
    <w:p w14:paraId="0FBF77B1" w14:textId="77777777" w:rsidR="086E6BFB" w:rsidRPr="00273106" w:rsidRDefault="086E6BFB" w:rsidP="086E6BFB">
      <w:pPr>
        <w:pStyle w:val="Literatura"/>
      </w:pPr>
      <w:r>
        <w:rPr>
          <w:i/>
        </w:rPr>
        <w:t xml:space="preserve">‒ </w:t>
      </w:r>
      <w:r w:rsidRPr="000C6CBE">
        <w:t>(</w:t>
      </w:r>
      <w:r>
        <w:t>2001</w:t>
      </w:r>
      <w:r w:rsidRPr="000C6CBE">
        <w:t>)</w:t>
      </w:r>
      <w:r>
        <w:t>:</w:t>
      </w:r>
      <w:r w:rsidRPr="000C6CBE">
        <w:t xml:space="preserve"> </w:t>
      </w:r>
      <w:r w:rsidRPr="004F4CF2">
        <w:rPr>
          <w:i/>
        </w:rPr>
        <w:t>Averroès</w:t>
      </w:r>
      <w:r w:rsidRPr="00273106">
        <w:t xml:space="preserve">. </w:t>
      </w:r>
      <w:r w:rsidRPr="00273106">
        <w:rPr>
          <w:i/>
        </w:rPr>
        <w:t>La béatitude de l’âme</w:t>
      </w:r>
      <w:r w:rsidRPr="00273106">
        <w:t xml:space="preserve">. Éditions, traductions annotées, études doctrinales et historiques </w:t>
      </w:r>
      <w:r>
        <w:tab/>
      </w:r>
      <w:r w:rsidRPr="00273106">
        <w:t>d’un traité « d’Averroès » par Marc Geoffroy et Carlos Steel. P</w:t>
      </w:r>
      <w:r>
        <w:t>aris: Vrin, « Sic et Non »</w:t>
      </w:r>
      <w:r w:rsidRPr="00273106">
        <w:t xml:space="preserve">. </w:t>
      </w:r>
    </w:p>
    <w:p w14:paraId="3F5F8B08" w14:textId="77777777" w:rsidR="086E6BFB" w:rsidRDefault="086E6BFB" w:rsidP="086E6BFB">
      <w:pPr>
        <w:pStyle w:val="Literatura"/>
      </w:pPr>
      <w:r w:rsidRPr="00EA76C5">
        <w:t>‒ (2004):</w:t>
      </w:r>
      <w:r>
        <w:rPr>
          <w:i/>
        </w:rPr>
        <w:t xml:space="preserve"> </w:t>
      </w:r>
      <w:r w:rsidRPr="00EA76C5">
        <w:rPr>
          <w:i/>
        </w:rPr>
        <w:t>Averroës: Middle Commentary on Aristotle’s De anima</w:t>
      </w:r>
      <w:r>
        <w:t xml:space="preserve">. </w:t>
      </w:r>
      <w:r w:rsidRPr="00273106">
        <w:t>A Critical Edition of the</w:t>
      </w:r>
      <w:r>
        <w:t xml:space="preserve"> Arabic Text with </w:t>
      </w:r>
      <w:r>
        <w:tab/>
        <w:t xml:space="preserve">English </w:t>
      </w:r>
      <w:r w:rsidRPr="00273106">
        <w:t>Translation, Notes, and Introduction by Alfred L. Ivry</w:t>
      </w:r>
      <w:r>
        <w:t xml:space="preserve">, </w:t>
      </w:r>
      <w:r w:rsidRPr="00273106">
        <w:rPr>
          <w:rStyle w:val="Zvraznn"/>
        </w:rPr>
        <w:t>Aestimatio</w:t>
      </w:r>
      <w:r>
        <w:t xml:space="preserve"> 1</w:t>
      </w:r>
      <w:r w:rsidRPr="00273106">
        <w:t>: 57–61.</w:t>
      </w:r>
    </w:p>
    <w:p w14:paraId="4F65818E" w14:textId="77777777" w:rsidR="086E6BFB" w:rsidRDefault="086E6BFB" w:rsidP="086E6BFB">
      <w:pPr>
        <w:pStyle w:val="Literatura"/>
      </w:pPr>
      <w:r>
        <w:rPr>
          <w:i/>
        </w:rPr>
        <w:t xml:space="preserve">‒ </w:t>
      </w:r>
      <w:r w:rsidRPr="000C6CBE">
        <w:t>(</w:t>
      </w:r>
      <w:r>
        <w:t>2009</w:t>
      </w:r>
      <w:r w:rsidRPr="000C6CBE">
        <w:t>)</w:t>
      </w:r>
      <w:r>
        <w:t>:</w:t>
      </w:r>
      <w:r w:rsidRPr="000C6CBE">
        <w:t xml:space="preserve"> </w:t>
      </w:r>
      <w:r w:rsidRPr="004F4CF2">
        <w:rPr>
          <w:i/>
        </w:rPr>
        <w:t>Averroes (Ibn Rushd) of Cordoba.</w:t>
      </w:r>
      <w:r w:rsidRPr="00273106">
        <w:t xml:space="preserve"> </w:t>
      </w:r>
      <w:r w:rsidRPr="00273106">
        <w:rPr>
          <w:i/>
        </w:rPr>
        <w:t>Long Commentary on the</w:t>
      </w:r>
      <w:r w:rsidRPr="00273106">
        <w:rPr>
          <w:rStyle w:val="Nadpis1Constantia425ptNekurzvadkovn0pt"/>
          <w:i w:val="0"/>
          <w:sz w:val="22"/>
          <w:szCs w:val="22"/>
        </w:rPr>
        <w:t xml:space="preserve"> </w:t>
      </w:r>
      <w:r>
        <w:rPr>
          <w:i/>
        </w:rPr>
        <w:t>De anima</w:t>
      </w:r>
      <w:r w:rsidRPr="00273106">
        <w:rPr>
          <w:rStyle w:val="Nadpis1Constantia425ptNekurzvadkovn0pt"/>
          <w:i w:val="0"/>
          <w:sz w:val="22"/>
          <w:szCs w:val="22"/>
        </w:rPr>
        <w:t xml:space="preserve"> </w:t>
      </w:r>
      <w:r w:rsidRPr="00273106">
        <w:rPr>
          <w:i/>
        </w:rPr>
        <w:t>of Aristotle</w:t>
      </w:r>
      <w:r w:rsidRPr="00273106">
        <w:t xml:space="preserve">. Translated and with </w:t>
      </w:r>
      <w:r>
        <w:tab/>
      </w:r>
      <w:r w:rsidRPr="00273106">
        <w:t xml:space="preserve">introduction and notes by Richard C. Taylor with Therese-Anne Druart, subeditor. </w:t>
      </w:r>
      <w:r w:rsidRPr="00273106">
        <w:rPr>
          <w:color w:val="000000"/>
        </w:rPr>
        <w:t xml:space="preserve">New Haven &amp; </w:t>
      </w:r>
      <w:r>
        <w:rPr>
          <w:rStyle w:val="st"/>
          <w:bCs/>
          <w:i/>
        </w:rPr>
        <w:tab/>
      </w:r>
      <w:r w:rsidRPr="00273106">
        <w:rPr>
          <w:color w:val="000000"/>
        </w:rPr>
        <w:t xml:space="preserve">London: </w:t>
      </w:r>
      <w:r>
        <w:t>Yale University Press</w:t>
      </w:r>
      <w:r w:rsidRPr="00273106">
        <w:t>.</w:t>
      </w:r>
    </w:p>
    <w:p w14:paraId="042801A7" w14:textId="77777777" w:rsidR="086E6BFB" w:rsidRDefault="086E6BFB" w:rsidP="086E6BFB">
      <w:pPr>
        <w:pStyle w:val="Literatura"/>
      </w:pPr>
      <w:r>
        <w:rPr>
          <w:i/>
        </w:rPr>
        <w:t xml:space="preserve">‒ </w:t>
      </w:r>
      <w:r w:rsidRPr="000C6CBE">
        <w:t>(</w:t>
      </w:r>
      <w:r>
        <w:t>2010</w:t>
      </w:r>
      <w:r w:rsidRPr="000C6CBE">
        <w:t>)</w:t>
      </w:r>
      <w:r>
        <w:t>:</w:t>
      </w:r>
      <w:r w:rsidRPr="000C6CBE">
        <w:t xml:space="preserve"> </w:t>
      </w:r>
      <w:r w:rsidRPr="00273106">
        <w:rPr>
          <w:i/>
        </w:rPr>
        <w:t>Averroes On Aristotle’s "Metaphysics"</w:t>
      </w:r>
      <w:r w:rsidRPr="00273106">
        <w:t xml:space="preserve">. </w:t>
      </w:r>
      <w:r w:rsidRPr="00273106">
        <w:rPr>
          <w:i/>
        </w:rPr>
        <w:t xml:space="preserve">An Annotated Translation of the So-called "Epitome“ (Scientia </w:t>
      </w:r>
      <w:r>
        <w:rPr>
          <w:i/>
        </w:rPr>
        <w:tab/>
      </w:r>
      <w:r w:rsidRPr="00273106">
        <w:rPr>
          <w:i/>
        </w:rPr>
        <w:t>Graeco-Arabica)</w:t>
      </w:r>
      <w:r w:rsidRPr="00273106">
        <w:t>. Ed</w:t>
      </w:r>
      <w:r w:rsidR="08AF46C8">
        <w:t xml:space="preserve">. </w:t>
      </w:r>
      <w:r w:rsidRPr="00273106">
        <w:rPr>
          <w:rStyle w:val="st"/>
        </w:rPr>
        <w:t xml:space="preserve">Rüdiger Arnzen. </w:t>
      </w:r>
      <w:r w:rsidRPr="00273106">
        <w:t>Scientia Graeco-Ar</w:t>
      </w:r>
      <w:r>
        <w:t>abica (Book 5), De Gruyter</w:t>
      </w:r>
      <w:r w:rsidRPr="00273106">
        <w:t>.</w:t>
      </w:r>
    </w:p>
    <w:p w14:paraId="0DD407B6" w14:textId="77777777" w:rsidR="086E6BFB" w:rsidRDefault="086E6BFB" w:rsidP="086E6BFB">
      <w:pPr>
        <w:pStyle w:val="Literatura"/>
      </w:pPr>
      <w:r>
        <w:rPr>
          <w:rFonts w:cs="Calibri"/>
        </w:rPr>
        <w:t>−</w:t>
      </w:r>
      <w:r>
        <w:t xml:space="preserve"> (2010): </w:t>
      </w:r>
      <w:r w:rsidRPr="08951C16">
        <w:rPr>
          <w:i/>
        </w:rPr>
        <w:t xml:space="preserve">Commentum medium super libro praedicamentorum Aristotelis. Translatio Wilhelmo de Luna </w:t>
      </w:r>
      <w:r>
        <w:tab/>
      </w:r>
      <w:r w:rsidRPr="08951C16">
        <w:rPr>
          <w:i/>
        </w:rPr>
        <w:t>adscripta</w:t>
      </w:r>
      <w:r>
        <w:t xml:space="preserve">. Ed. Roland Hissette. </w:t>
      </w:r>
      <w:r w:rsidRPr="08951C16">
        <w:t>Averroes Latinus</w:t>
      </w:r>
      <w:r>
        <w:t xml:space="preserve"> 11. Leuven: Peeters Publishers.</w:t>
      </w:r>
    </w:p>
    <w:p w14:paraId="1A3892C2" w14:textId="77777777" w:rsidR="086E6BFB" w:rsidRDefault="086E6BFB" w:rsidP="086E6BFB">
      <w:pPr>
        <w:pStyle w:val="Literatura"/>
        <w:rPr>
          <w:szCs w:val="22"/>
        </w:rPr>
      </w:pPr>
      <w:r>
        <w:rPr>
          <w:rStyle w:val="st"/>
        </w:rPr>
        <w:t xml:space="preserve">Avicebron (1895): </w:t>
      </w:r>
      <w:r w:rsidRPr="00DB266C">
        <w:rPr>
          <w:rStyle w:val="st"/>
          <w:i/>
        </w:rPr>
        <w:t>Avencebrolis (Ibn Gebirol) Fons Vitae</w:t>
      </w:r>
      <w:r>
        <w:rPr>
          <w:rStyle w:val="st"/>
        </w:rPr>
        <w:t xml:space="preserve">. Ed. Clemens Baeumker. Monasterii: Formis </w:t>
      </w:r>
      <w:r>
        <w:rPr>
          <w:rStyle w:val="st"/>
        </w:rPr>
        <w:tab/>
        <w:t>Aschendorffianis.</w:t>
      </w:r>
    </w:p>
    <w:p w14:paraId="0762D474" w14:textId="77777777" w:rsidR="086E6BFB" w:rsidRPr="00273106" w:rsidRDefault="086E6BFB" w:rsidP="086E6BFB">
      <w:pPr>
        <w:pStyle w:val="Literatura"/>
      </w:pPr>
      <w:r w:rsidRPr="005C1CA8">
        <w:t>Avicenna Latinus</w:t>
      </w:r>
      <w:r w:rsidRPr="005C1CA8">
        <w:rPr>
          <w:rStyle w:val="st"/>
        </w:rPr>
        <w:t xml:space="preserve"> </w:t>
      </w:r>
      <w:r>
        <w:rPr>
          <w:rStyle w:val="st"/>
        </w:rPr>
        <w:t>(</w:t>
      </w:r>
      <w:r w:rsidRPr="005C1CA8">
        <w:rPr>
          <w:rStyle w:val="st"/>
        </w:rPr>
        <w:t>Abū ʿAlī al-Ḥusayn ibn ʿAbd Allāh ibn Al-Hasan ibn Ali ibn Sīnā</w:t>
      </w:r>
      <w:r w:rsidRPr="005C1CA8">
        <w:t>)</w:t>
      </w:r>
      <w:r>
        <w:t xml:space="preserve"> (1952): </w:t>
      </w:r>
      <w:r w:rsidRPr="00273106">
        <w:rPr>
          <w:i/>
        </w:rPr>
        <w:t xml:space="preserve">Avicenna's Psychology. </w:t>
      </w:r>
      <w:r>
        <w:rPr>
          <w:szCs w:val="18"/>
        </w:rPr>
        <w:tab/>
      </w:r>
      <w:r w:rsidRPr="00273106">
        <w:rPr>
          <w:i/>
          <w:szCs w:val="24"/>
        </w:rPr>
        <w:t xml:space="preserve">An English Translation of </w:t>
      </w:r>
      <w:r w:rsidRPr="00273106">
        <w:rPr>
          <w:i/>
        </w:rPr>
        <w:t>Kitāb</w:t>
      </w:r>
      <w:r w:rsidRPr="00273106">
        <w:rPr>
          <w:i/>
          <w:szCs w:val="24"/>
        </w:rPr>
        <w:t xml:space="preserve"> al Naj</w:t>
      </w:r>
      <w:r w:rsidRPr="00273106">
        <w:rPr>
          <w:i/>
        </w:rPr>
        <w:t>āt</w:t>
      </w:r>
      <w:r w:rsidRPr="00273106">
        <w:rPr>
          <w:i/>
          <w:szCs w:val="24"/>
        </w:rPr>
        <w:t xml:space="preserve">, Book II, Chapter VI with Historico-Philosophical Notes and Textual </w:t>
      </w:r>
      <w:r>
        <w:rPr>
          <w:szCs w:val="18"/>
        </w:rPr>
        <w:tab/>
      </w:r>
      <w:r w:rsidRPr="00273106">
        <w:rPr>
          <w:i/>
          <w:szCs w:val="24"/>
        </w:rPr>
        <w:t>Improvements of the Cairo Edition</w:t>
      </w:r>
      <w:r w:rsidRPr="00273106">
        <w:rPr>
          <w:szCs w:val="24"/>
        </w:rPr>
        <w:t>.</w:t>
      </w:r>
      <w:r>
        <w:rPr>
          <w:szCs w:val="24"/>
        </w:rPr>
        <w:t xml:space="preserve"> Edited by </w:t>
      </w:r>
      <w:r w:rsidRPr="00273106">
        <w:rPr>
          <w:rStyle w:val="st"/>
        </w:rPr>
        <w:t>Fazlur</w:t>
      </w:r>
      <w:r>
        <w:rPr>
          <w:rStyle w:val="st"/>
        </w:rPr>
        <w:t xml:space="preserve"> </w:t>
      </w:r>
      <w:r w:rsidRPr="00273106">
        <w:t>Rahman</w:t>
      </w:r>
      <w:r>
        <w:rPr>
          <w:rStyle w:val="st"/>
        </w:rPr>
        <w:t>, Oxford University Press</w:t>
      </w:r>
      <w:r w:rsidRPr="00273106">
        <w:rPr>
          <w:rStyle w:val="st"/>
        </w:rPr>
        <w:t>.</w:t>
      </w:r>
    </w:p>
    <w:p w14:paraId="757D0D8D" w14:textId="77777777" w:rsidR="086E6BFB" w:rsidRDefault="086E6BFB" w:rsidP="086E6BFB">
      <w:pPr>
        <w:pStyle w:val="Literatura"/>
      </w:pPr>
      <w:r>
        <w:rPr>
          <w:i/>
        </w:rPr>
        <w:t xml:space="preserve">‒ </w:t>
      </w:r>
      <w:r w:rsidRPr="000C6CBE">
        <w:t>(</w:t>
      </w:r>
      <w:r>
        <w:t>1968</w:t>
      </w:r>
      <w:r w:rsidRPr="000C6CBE">
        <w:t>)</w:t>
      </w:r>
      <w:r>
        <w:t>:</w:t>
      </w:r>
      <w:r w:rsidRPr="000C6CBE">
        <w:t xml:space="preserve"> </w:t>
      </w:r>
      <w:r w:rsidRPr="00273106">
        <w:rPr>
          <w:i/>
        </w:rPr>
        <w:t>Liber de ani</w:t>
      </w:r>
      <w:r>
        <w:rPr>
          <w:i/>
        </w:rPr>
        <w:t>ma, seu sextus de naturalibus I‒</w:t>
      </w:r>
      <w:r w:rsidRPr="00273106">
        <w:rPr>
          <w:i/>
        </w:rPr>
        <w:t xml:space="preserve">II. </w:t>
      </w:r>
      <w:r w:rsidRPr="00273106">
        <w:t>Ed. Simone Van Riet, Louvain: E. J.</w:t>
      </w:r>
      <w:r>
        <w:t xml:space="preserve"> Brill</w:t>
      </w:r>
      <w:r w:rsidRPr="00273106">
        <w:t>.</w:t>
      </w:r>
    </w:p>
    <w:p w14:paraId="597DC8E4" w14:textId="77777777" w:rsidR="086E6BFB" w:rsidRDefault="086E6BFB" w:rsidP="086E6BFB">
      <w:pPr>
        <w:pStyle w:val="Literatura"/>
      </w:pPr>
      <w:r>
        <w:rPr>
          <w:i/>
        </w:rPr>
        <w:t xml:space="preserve">‒ </w:t>
      </w:r>
      <w:r w:rsidRPr="000C6CBE">
        <w:t>(</w:t>
      </w:r>
      <w:r>
        <w:t>1977</w:t>
      </w:r>
      <w:r w:rsidRPr="000C6CBE">
        <w:t>)</w:t>
      </w:r>
      <w:r>
        <w:t>:</w:t>
      </w:r>
      <w:r w:rsidRPr="000C6CBE">
        <w:t xml:space="preserve"> </w:t>
      </w:r>
      <w:r w:rsidRPr="00273106">
        <w:rPr>
          <w:i/>
        </w:rPr>
        <w:t>Liber De Philosophia Prima Sive Scientia Divina I–IV</w:t>
      </w:r>
      <w:r w:rsidRPr="00273106">
        <w:t xml:space="preserve">. Ed. Simone Van Riet, introduction par Gérard </w:t>
      </w:r>
      <w:r>
        <w:tab/>
      </w:r>
      <w:r w:rsidRPr="00273106">
        <w:t xml:space="preserve">Verbeke. </w:t>
      </w:r>
      <w:r>
        <w:t>Louvain: Édition Peeters.</w:t>
      </w:r>
    </w:p>
    <w:p w14:paraId="4990B79B" w14:textId="77777777" w:rsidR="086E6BFB" w:rsidRDefault="086E6BFB" w:rsidP="086E6BFB">
      <w:pPr>
        <w:pStyle w:val="Literatura"/>
      </w:pPr>
      <w:r>
        <w:rPr>
          <w:i/>
        </w:rPr>
        <w:t xml:space="preserve">‒ </w:t>
      </w:r>
      <w:r w:rsidRPr="000C6CBE">
        <w:t>(</w:t>
      </w:r>
      <w:r>
        <w:t>1980</w:t>
      </w:r>
      <w:r w:rsidRPr="000C6CBE">
        <w:t>)</w:t>
      </w:r>
      <w:r>
        <w:t>:</w:t>
      </w:r>
      <w:r w:rsidRPr="000C6CBE">
        <w:t xml:space="preserve"> </w:t>
      </w:r>
      <w:r w:rsidRPr="00273106">
        <w:rPr>
          <w:i/>
        </w:rPr>
        <w:t>Liber De Philosophia Prima Sive Scientia Divina V–X</w:t>
      </w:r>
      <w:r w:rsidRPr="00273106">
        <w:t xml:space="preserve">. Ed. Simone Van Riet, introduction par Gérard </w:t>
      </w:r>
      <w:r>
        <w:tab/>
      </w:r>
      <w:r w:rsidRPr="00273106">
        <w:t xml:space="preserve">Verbeke. </w:t>
      </w:r>
      <w:r>
        <w:t>Louvain: Édition Peeters.</w:t>
      </w:r>
    </w:p>
    <w:p w14:paraId="4FE09AE9" w14:textId="77777777" w:rsidR="086E6BFB" w:rsidRPr="00273106" w:rsidRDefault="086E6BFB" w:rsidP="086E6BFB">
      <w:pPr>
        <w:pStyle w:val="Literatura"/>
      </w:pPr>
      <w:r>
        <w:t xml:space="preserve">‒ (1992): </w:t>
      </w:r>
      <w:r w:rsidRPr="00764C3A">
        <w:rPr>
          <w:i/>
        </w:rPr>
        <w:t>Liber primus Naturalium. Tractatus Primus de causis et principiis naturalium</w:t>
      </w:r>
      <w:r>
        <w:rPr>
          <w:i/>
        </w:rPr>
        <w:t xml:space="preserve">. </w:t>
      </w:r>
      <w:r w:rsidRPr="00273106">
        <w:t xml:space="preserve">Ed. Simone Van Riet, </w:t>
      </w:r>
      <w:r>
        <w:tab/>
      </w:r>
      <w:r w:rsidRPr="00273106">
        <w:t>Louvain: E. J.</w:t>
      </w:r>
      <w:r>
        <w:t xml:space="preserve"> Brill</w:t>
      </w:r>
      <w:r w:rsidRPr="00273106">
        <w:t>.</w:t>
      </w:r>
    </w:p>
    <w:p w14:paraId="76A3C22B" w14:textId="77777777" w:rsidR="086E6BFB" w:rsidRDefault="086E6BFB" w:rsidP="086E6BFB">
      <w:pPr>
        <w:pStyle w:val="Literatura"/>
        <w:rPr>
          <w:szCs w:val="22"/>
        </w:rPr>
      </w:pPr>
      <w:r>
        <w:rPr>
          <w:szCs w:val="22"/>
        </w:rPr>
        <w:t xml:space="preserve">Bacon, Roger </w:t>
      </w:r>
      <w:r>
        <w:t xml:space="preserve">(1859): </w:t>
      </w:r>
      <w:r w:rsidRPr="0095764F">
        <w:rPr>
          <w:i/>
        </w:rPr>
        <w:t xml:space="preserve">Fr. Rogeri Bacon. Opera Quaedam </w:t>
      </w:r>
      <w:r>
        <w:rPr>
          <w:i/>
        </w:rPr>
        <w:t xml:space="preserve">Hactenus Inedita </w:t>
      </w:r>
      <w:r w:rsidRPr="00CC7992">
        <w:t>1</w:t>
      </w:r>
      <w:r>
        <w:rPr>
          <w:i/>
        </w:rPr>
        <w:t xml:space="preserve">. </w:t>
      </w:r>
      <w:r w:rsidRPr="0095764F">
        <w:rPr>
          <w:i/>
        </w:rPr>
        <w:t xml:space="preserve">Opus </w:t>
      </w:r>
      <w:r>
        <w:rPr>
          <w:i/>
        </w:rPr>
        <w:t xml:space="preserve">tertium (I.), Opus minus (II.), </w:t>
      </w:r>
      <w:r>
        <w:rPr>
          <w:szCs w:val="18"/>
        </w:rPr>
        <w:tab/>
      </w:r>
      <w:r w:rsidRPr="0095764F">
        <w:rPr>
          <w:i/>
        </w:rPr>
        <w:t xml:space="preserve">Compendium </w:t>
      </w:r>
      <w:r>
        <w:rPr>
          <w:i/>
        </w:rPr>
        <w:t xml:space="preserve">studii </w:t>
      </w:r>
      <w:r w:rsidRPr="0095764F">
        <w:rPr>
          <w:i/>
        </w:rPr>
        <w:t>philosophiae (III)</w:t>
      </w:r>
      <w:r>
        <w:t xml:space="preserve">.  Edited by J. S. Brewer. London: Longman, Green, Longman, and </w:t>
      </w:r>
      <w:r>
        <w:tab/>
        <w:t>Roberts.</w:t>
      </w:r>
    </w:p>
    <w:p w14:paraId="035CF08C" w14:textId="77777777" w:rsidR="086E6BFB" w:rsidRPr="00E55F89" w:rsidRDefault="086E6BFB" w:rsidP="086E6BFB">
      <w:pPr>
        <w:pStyle w:val="Literatura"/>
      </w:pPr>
      <w:r w:rsidRPr="00E55F89">
        <w:t xml:space="preserve">‒ (1911): </w:t>
      </w:r>
      <w:r w:rsidRPr="00E55F89">
        <w:rPr>
          <w:i/>
        </w:rPr>
        <w:t>Liber primus Communium naturalium, Pars Quarta, Distinctio tertia de anima</w:t>
      </w:r>
      <w:r w:rsidRPr="00E55F89">
        <w:t>. Ed</w:t>
      </w:r>
      <w:r>
        <w:t xml:space="preserve">ited by </w:t>
      </w:r>
      <w:r w:rsidRPr="00E55F89">
        <w:t xml:space="preserve">R. Steele, </w:t>
      </w:r>
      <w:r>
        <w:tab/>
      </w:r>
      <w:r>
        <w:rPr>
          <w:i/>
        </w:rPr>
        <w:t xml:space="preserve">Opera </w:t>
      </w:r>
      <w:r w:rsidRPr="00E55F89">
        <w:rPr>
          <w:i/>
        </w:rPr>
        <w:t>hactenus inedita Rogeri Baconi</w:t>
      </w:r>
      <w:r>
        <w:t xml:space="preserve"> 3. </w:t>
      </w:r>
      <w:r w:rsidRPr="00E55F89">
        <w:t>Oxford</w:t>
      </w:r>
      <w:r>
        <w:t xml:space="preserve">: </w:t>
      </w:r>
      <w:r w:rsidRPr="00E55F89">
        <w:t>Clarendon Press.</w:t>
      </w:r>
    </w:p>
    <w:p w14:paraId="1F84E754" w14:textId="77777777" w:rsidR="086E6BFB" w:rsidRPr="00753879" w:rsidRDefault="086E6BFB" w:rsidP="086E6BFB">
      <w:pPr>
        <w:pStyle w:val="Literatura"/>
      </w:pPr>
      <w:r w:rsidRPr="00753879">
        <w:t xml:space="preserve">‒ (1911): </w:t>
      </w:r>
      <w:r w:rsidRPr="00753879">
        <w:rPr>
          <w:i/>
        </w:rPr>
        <w:t>Compendium Studii Theologiae</w:t>
      </w:r>
      <w:r w:rsidRPr="00753879">
        <w:t xml:space="preserve">. Edited by H. Rashdall, British Society of Franciscan Studies, 3. </w:t>
      </w:r>
      <w:r>
        <w:tab/>
      </w:r>
      <w:r w:rsidRPr="00753879">
        <w:t>Aberdeen: Academic Press.</w:t>
      </w:r>
    </w:p>
    <w:p w14:paraId="48AB4B65" w14:textId="77777777" w:rsidR="086E6BFB" w:rsidRDefault="086E6BFB" w:rsidP="086E6BFB">
      <w:pPr>
        <w:pStyle w:val="Literatura"/>
      </w:pPr>
      <w:r>
        <w:t xml:space="preserve">‒ (1932): </w:t>
      </w:r>
      <w:r>
        <w:rPr>
          <w:i/>
        </w:rPr>
        <w:t>Quaestiones</w:t>
      </w:r>
      <w:r w:rsidRPr="00482F9A">
        <w:rPr>
          <w:i/>
        </w:rPr>
        <w:t xml:space="preserve"> altere supra libros prime philosophie Aristotelis</w:t>
      </w:r>
      <w:r>
        <w:t xml:space="preserve"> (</w:t>
      </w:r>
      <w:r w:rsidRPr="00482F9A">
        <w:rPr>
          <w:i/>
        </w:rPr>
        <w:t>Metaphysica</w:t>
      </w:r>
      <w:r>
        <w:t xml:space="preserve"> I‒IV). Edited by R. Steele &amp; </w:t>
      </w:r>
      <w:r>
        <w:tab/>
        <w:t xml:space="preserve">F.M. Delorme. </w:t>
      </w:r>
      <w:r w:rsidRPr="006C19F0">
        <w:rPr>
          <w:i/>
        </w:rPr>
        <w:t>Opera hactenus inedita Rogeri Baconi</w:t>
      </w:r>
      <w:r>
        <w:t xml:space="preserve"> 11, Oxford: </w:t>
      </w:r>
      <w:r w:rsidRPr="00E55F89">
        <w:t>Clarendon Press</w:t>
      </w:r>
      <w:r>
        <w:t>.</w:t>
      </w:r>
    </w:p>
    <w:p w14:paraId="6E783F46" w14:textId="77777777" w:rsidR="086E6BFB" w:rsidRDefault="086E6BFB" w:rsidP="086E6BFB">
      <w:pPr>
        <w:pStyle w:val="Literatura"/>
      </w:pPr>
      <w:r>
        <w:t xml:space="preserve">‒ (1930): </w:t>
      </w:r>
      <w:r>
        <w:rPr>
          <w:i/>
        </w:rPr>
        <w:t>Quaestiones</w:t>
      </w:r>
      <w:r w:rsidRPr="00482F9A">
        <w:rPr>
          <w:i/>
        </w:rPr>
        <w:t xml:space="preserve"> altere supra libros prime philosophie Aristotelis</w:t>
      </w:r>
      <w:r>
        <w:t xml:space="preserve"> (</w:t>
      </w:r>
      <w:r w:rsidRPr="00482F9A">
        <w:rPr>
          <w:i/>
        </w:rPr>
        <w:t>Metaphysica</w:t>
      </w:r>
      <w:r>
        <w:t xml:space="preserve"> I, II, V‒X). Edited by R. </w:t>
      </w:r>
      <w:r>
        <w:tab/>
        <w:t xml:space="preserve">Steele &amp; F.M. Delorme. </w:t>
      </w:r>
      <w:r w:rsidRPr="006C19F0">
        <w:rPr>
          <w:i/>
        </w:rPr>
        <w:t>Opera hactenus inedita Rogeri Baconi</w:t>
      </w:r>
      <w:r>
        <w:t xml:space="preserve"> 10, Oxford: </w:t>
      </w:r>
      <w:r w:rsidRPr="00E55F89">
        <w:t>Clarendon Press</w:t>
      </w:r>
      <w:r>
        <w:t>.</w:t>
      </w:r>
    </w:p>
    <w:p w14:paraId="16205B9D" w14:textId="77777777" w:rsidR="086E6BFB" w:rsidRDefault="086E6BFB" w:rsidP="086E6BFB">
      <w:pPr>
        <w:pStyle w:val="Literatura"/>
      </w:pPr>
      <w:r>
        <w:rPr>
          <w:szCs w:val="22"/>
        </w:rPr>
        <w:t xml:space="preserve">‒ (1986): </w:t>
      </w:r>
      <w:r w:rsidRPr="0040015F">
        <w:rPr>
          <w:i/>
        </w:rPr>
        <w:t>Summulae dialectices I-II</w:t>
      </w:r>
      <w:r>
        <w:t xml:space="preserve">. Edited by </w:t>
      </w:r>
      <w:r w:rsidRPr="00273106">
        <w:t>A</w:t>
      </w:r>
      <w:r>
        <w:t>llain</w:t>
      </w:r>
      <w:r w:rsidRPr="00273106">
        <w:t xml:space="preserve"> de Libera</w:t>
      </w:r>
      <w:r>
        <w:t xml:space="preserve">. </w:t>
      </w:r>
      <w:r w:rsidRPr="00273106">
        <w:rPr>
          <w:rStyle w:val="st"/>
          <w:bCs/>
          <w:i/>
        </w:rPr>
        <w:t>Archives d'Histoire</w:t>
      </w:r>
      <w:r w:rsidRPr="00273106">
        <w:rPr>
          <w:rStyle w:val="st"/>
          <w:i/>
        </w:rPr>
        <w:t xml:space="preserve"> </w:t>
      </w:r>
      <w:r w:rsidRPr="00273106">
        <w:rPr>
          <w:rStyle w:val="st"/>
          <w:bCs/>
          <w:i/>
        </w:rPr>
        <w:t xml:space="preserve">Doctrinale et Littéraire du </w:t>
      </w:r>
      <w:r>
        <w:rPr>
          <w:rStyle w:val="st"/>
          <w:bCs/>
          <w:i/>
        </w:rPr>
        <w:tab/>
      </w:r>
      <w:r w:rsidRPr="00273106">
        <w:rPr>
          <w:rStyle w:val="st"/>
          <w:bCs/>
          <w:i/>
        </w:rPr>
        <w:t>Moyen Âge</w:t>
      </w:r>
      <w:r w:rsidRPr="00273106">
        <w:rPr>
          <w:i/>
        </w:rPr>
        <w:t xml:space="preserve"> </w:t>
      </w:r>
      <w:r>
        <w:t>53: 139‒</w:t>
      </w:r>
      <w:r w:rsidRPr="00273106">
        <w:t>289.</w:t>
      </w:r>
    </w:p>
    <w:p w14:paraId="7267612F" w14:textId="77777777" w:rsidR="086E6BFB" w:rsidRDefault="086E6BFB" w:rsidP="086E6BFB">
      <w:pPr>
        <w:pStyle w:val="Literatura"/>
      </w:pPr>
      <w:r>
        <w:t xml:space="preserve">Bangert, Kurt (2016): </w:t>
      </w:r>
      <w:r w:rsidRPr="08A70F61">
        <w:rPr>
          <w:i/>
          <w:szCs w:val="60"/>
        </w:rPr>
        <w:t xml:space="preserve">Muhammad. </w:t>
      </w:r>
      <w:r w:rsidRPr="08A70F61">
        <w:rPr>
          <w:i/>
        </w:rPr>
        <w:t xml:space="preserve">Eine historisch-kritische Studie zur Entstehung des Islams und seines </w:t>
      </w:r>
      <w:r>
        <w:rPr>
          <w:szCs w:val="24"/>
        </w:rPr>
        <w:tab/>
      </w:r>
      <w:r w:rsidRPr="08A70F61">
        <w:rPr>
          <w:i/>
        </w:rPr>
        <w:t>Propheten</w:t>
      </w:r>
      <w:r w:rsidRPr="08A70F61">
        <w:t xml:space="preserve">. </w:t>
      </w:r>
      <w:r>
        <w:t>Springer Verlag:Weisbaden.</w:t>
      </w:r>
    </w:p>
    <w:p w14:paraId="03084F66" w14:textId="77777777" w:rsidR="086E6BFB" w:rsidRPr="00273106" w:rsidRDefault="086E6BFB" w:rsidP="086E6BFB">
      <w:pPr>
        <w:pStyle w:val="Literatura"/>
        <w:rPr>
          <w:szCs w:val="22"/>
        </w:rPr>
      </w:pPr>
      <w:r w:rsidRPr="002D1BB4">
        <w:t>Baumgarten, Alexander</w:t>
      </w:r>
      <w:r>
        <w:t xml:space="preserve"> (2001):</w:t>
      </w:r>
      <w:r w:rsidRPr="00273106">
        <w:t xml:space="preserve"> </w:t>
      </w:r>
      <w:r>
        <w:t>"</w:t>
      </w:r>
      <w:r w:rsidRPr="002D1BB4">
        <w:rPr>
          <w:iCs/>
        </w:rPr>
        <w:t xml:space="preserve">Disputation on the Unity of the Intellect and the Birth of the Parisian </w:t>
      </w:r>
      <w:r>
        <w:rPr>
          <w:iCs/>
        </w:rPr>
        <w:tab/>
      </w:r>
      <w:r w:rsidRPr="002D1BB4">
        <w:rPr>
          <w:iCs/>
        </w:rPr>
        <w:t>University Intellectual</w:t>
      </w:r>
      <w:r>
        <w:rPr>
          <w:iCs/>
        </w:rPr>
        <w:t>"</w:t>
      </w:r>
      <w:r w:rsidRPr="002D1BB4">
        <w:t xml:space="preserve">, </w:t>
      </w:r>
      <w:r w:rsidRPr="002D1BB4">
        <w:rPr>
          <w:i/>
          <w:szCs w:val="22"/>
        </w:rPr>
        <w:t>New Europe College Yearbook</w:t>
      </w:r>
      <w:r>
        <w:rPr>
          <w:szCs w:val="22"/>
        </w:rPr>
        <w:t xml:space="preserve"> 8</w:t>
      </w:r>
      <w:r w:rsidRPr="00273106">
        <w:rPr>
          <w:szCs w:val="22"/>
        </w:rPr>
        <w:t>, p</w:t>
      </w:r>
      <w:r>
        <w:rPr>
          <w:szCs w:val="22"/>
        </w:rPr>
        <w:t>p</w:t>
      </w:r>
      <w:r w:rsidRPr="00273106">
        <w:rPr>
          <w:szCs w:val="22"/>
        </w:rPr>
        <w:t>. 15−71.</w:t>
      </w:r>
    </w:p>
    <w:p w14:paraId="70DAB153" w14:textId="77777777" w:rsidR="086E6BFB" w:rsidRDefault="086E6BFB" w:rsidP="086E6BFB">
      <w:pPr>
        <w:pStyle w:val="Literatura"/>
      </w:pPr>
      <w:r w:rsidRPr="00273106">
        <w:t>Baeumker</w:t>
      </w:r>
      <w:r w:rsidRPr="00273106">
        <w:rPr>
          <w:smallCaps/>
        </w:rPr>
        <w:t xml:space="preserve">, </w:t>
      </w:r>
      <w:r w:rsidRPr="003E0114">
        <w:t>Clemens</w:t>
      </w:r>
      <w:r>
        <w:t xml:space="preserve"> (1898): </w:t>
      </w:r>
      <w:r w:rsidRPr="00273106">
        <w:rPr>
          <w:i/>
        </w:rPr>
        <w:t xml:space="preserve">Die Impossibilia des Siger von Brabant. Eine philosophische Streitschrift aus dem </w:t>
      </w:r>
      <w:r>
        <w:rPr>
          <w:i/>
        </w:rPr>
        <w:tab/>
      </w:r>
      <w:r w:rsidRPr="00273106">
        <w:rPr>
          <w:i/>
        </w:rPr>
        <w:t>XIII. Jahrhundert</w:t>
      </w:r>
      <w:r>
        <w:t>. Münster</w:t>
      </w:r>
      <w:r w:rsidRPr="00273106">
        <w:t>: Aschendorf</w:t>
      </w:r>
      <w:r>
        <w:t>fche Verlagsbuchhandlung</w:t>
      </w:r>
      <w:r w:rsidRPr="00273106">
        <w:t>.</w:t>
      </w:r>
    </w:p>
    <w:p w14:paraId="10D1C2FB" w14:textId="77777777" w:rsidR="086E6BFB" w:rsidRPr="003E0114" w:rsidRDefault="086E6BFB" w:rsidP="086E6BFB">
      <w:pPr>
        <w:pStyle w:val="Literatura"/>
      </w:pPr>
      <w:r>
        <w:t xml:space="preserve">‒ (1916): </w:t>
      </w:r>
      <w:r w:rsidRPr="00273106">
        <w:rPr>
          <w:i/>
        </w:rPr>
        <w:t>Alfarabi über den Ursprung der Wissenschaften. De ortu scientiarum</w:t>
      </w:r>
      <w:r>
        <w:t>. Münster</w:t>
      </w:r>
      <w:r w:rsidRPr="00273106">
        <w:t>: Aschendo</w:t>
      </w:r>
      <w:r>
        <w:t xml:space="preserve">rffche </w:t>
      </w:r>
      <w:r>
        <w:tab/>
        <w:t>Verlagsbuchhandlung</w:t>
      </w:r>
      <w:r w:rsidRPr="00273106">
        <w:t>.</w:t>
      </w:r>
    </w:p>
    <w:p w14:paraId="5A31CB1C" w14:textId="77777777" w:rsidR="086E6BFB" w:rsidRPr="00273106" w:rsidRDefault="086E6BFB" w:rsidP="086E6BFB">
      <w:pPr>
        <w:pStyle w:val="Literatura"/>
      </w:pPr>
      <w:r w:rsidRPr="00273106">
        <w:t>Baumgartner, Hans</w:t>
      </w:r>
      <w:r>
        <w:t xml:space="preserve"> (1980):</w:t>
      </w:r>
      <w:r w:rsidRPr="00273106">
        <w:t xml:space="preserve"> </w:t>
      </w:r>
      <w:r>
        <w:t>"</w:t>
      </w:r>
      <w:r w:rsidRPr="00273106">
        <w:rPr>
          <w:iCs/>
        </w:rPr>
        <w:t>Arbor porphyriana, porphyrischer Baum</w:t>
      </w:r>
      <w:r>
        <w:rPr>
          <w:iCs/>
        </w:rPr>
        <w:t>"</w:t>
      </w:r>
      <w:r w:rsidRPr="00273106">
        <w:rPr>
          <w:i/>
          <w:iCs/>
        </w:rPr>
        <w:t>,</w:t>
      </w:r>
      <w:r>
        <w:rPr>
          <w:i/>
          <w:iCs/>
        </w:rPr>
        <w:t xml:space="preserve"> </w:t>
      </w:r>
      <w:r w:rsidRPr="00273106">
        <w:rPr>
          <w:i/>
          <w:iCs/>
        </w:rPr>
        <w:t>Lexikon des Mittelalters</w:t>
      </w:r>
      <w:r w:rsidRPr="00273106">
        <w:t xml:space="preserve"> 1. </w:t>
      </w:r>
      <w:r>
        <w:tab/>
        <w:t>München/Zürich:</w:t>
      </w:r>
      <w:r w:rsidRPr="00273106">
        <w:t xml:space="preserve"> Artemis &amp; Wi</w:t>
      </w:r>
      <w:r>
        <w:t xml:space="preserve">nkler, </w:t>
      </w:r>
      <w:r w:rsidRPr="00273106">
        <w:t>pp. 889–890.</w:t>
      </w:r>
    </w:p>
    <w:p w14:paraId="4349C64A" w14:textId="77777777" w:rsidR="086E6BFB" w:rsidRPr="00273106" w:rsidRDefault="086E6BFB" w:rsidP="086E6BFB">
      <w:pPr>
        <w:pStyle w:val="Literatura"/>
        <w:rPr>
          <w:szCs w:val="22"/>
        </w:rPr>
      </w:pPr>
      <w:r w:rsidRPr="00273106">
        <w:rPr>
          <w:szCs w:val="22"/>
        </w:rPr>
        <w:t xml:space="preserve">Baumgartner, Matthias. </w:t>
      </w:r>
      <w:r>
        <w:rPr>
          <w:szCs w:val="22"/>
        </w:rPr>
        <w:t xml:space="preserve">(1893): </w:t>
      </w:r>
      <w:r w:rsidRPr="00273106">
        <w:rPr>
          <w:i/>
          <w:szCs w:val="22"/>
        </w:rPr>
        <w:t>Die Erkenntnislehre des Wilhelm von Auvergne</w:t>
      </w:r>
      <w:r w:rsidRPr="00273106">
        <w:rPr>
          <w:szCs w:val="22"/>
        </w:rPr>
        <w:t xml:space="preserve">. Münster: Druck und Verlag des </w:t>
      </w:r>
      <w:r>
        <w:rPr>
          <w:szCs w:val="22"/>
        </w:rPr>
        <w:tab/>
      </w:r>
      <w:r w:rsidRPr="00273106">
        <w:rPr>
          <w:szCs w:val="22"/>
        </w:rPr>
        <w:t>Aschendorffschen Buchandlung.</w:t>
      </w:r>
    </w:p>
    <w:p w14:paraId="0048EBEA" w14:textId="77777777" w:rsidR="086E6BFB" w:rsidRDefault="086E6BFB" w:rsidP="086E6BFB">
      <w:pPr>
        <w:pStyle w:val="Literatura"/>
      </w:pPr>
      <w:r w:rsidRPr="00273106">
        <w:rPr>
          <w:bCs/>
        </w:rPr>
        <w:t>Bazán, Carlos Bernardo</w:t>
      </w:r>
      <w:r>
        <w:rPr>
          <w:bCs/>
        </w:rPr>
        <w:t xml:space="preserve"> (1969): "</w:t>
      </w:r>
      <w:r w:rsidRPr="00A82F0D">
        <w:t xml:space="preserve">Pluralisme de formes ou dualisme de substances? La pensée pré-thomiste </w:t>
      </w:r>
      <w:r>
        <w:tab/>
      </w:r>
      <w:r w:rsidRPr="00A82F0D">
        <w:t>touchant la nature de l'âme</w:t>
      </w:r>
      <w:r>
        <w:t>"</w:t>
      </w:r>
      <w:r w:rsidRPr="00A82F0D">
        <w:t>.</w:t>
      </w:r>
      <w:r w:rsidRPr="00273106">
        <w:t xml:space="preserve"> </w:t>
      </w:r>
      <w:r w:rsidRPr="00A82F0D">
        <w:rPr>
          <w:i/>
        </w:rPr>
        <w:t>Revue Philosophique de Louvain</w:t>
      </w:r>
      <w:r>
        <w:t xml:space="preserve"> 93: 30‒</w:t>
      </w:r>
      <w:r w:rsidRPr="00273106">
        <w:t>73.</w:t>
      </w:r>
    </w:p>
    <w:p w14:paraId="088F1A1F" w14:textId="77777777" w:rsidR="086E6BFB" w:rsidRPr="00FB3CAF" w:rsidRDefault="086E6BFB" w:rsidP="086E6BFB">
      <w:pPr>
        <w:pStyle w:val="Literatura"/>
      </w:pPr>
      <w:r>
        <w:rPr>
          <w:szCs w:val="22"/>
        </w:rPr>
        <w:t xml:space="preserve">Boethius Anicius </w:t>
      </w:r>
      <w:r w:rsidRPr="002A0479">
        <w:rPr>
          <w:szCs w:val="21"/>
        </w:rPr>
        <w:t>(1847)</w:t>
      </w:r>
      <w:r>
        <w:rPr>
          <w:szCs w:val="21"/>
        </w:rPr>
        <w:t>:</w:t>
      </w:r>
      <w:r>
        <w:rPr>
          <w:i/>
          <w:szCs w:val="21"/>
        </w:rPr>
        <w:t xml:space="preserve"> </w:t>
      </w:r>
      <w:r w:rsidRPr="00126C44">
        <w:rPr>
          <w:i/>
          <w:szCs w:val="21"/>
        </w:rPr>
        <w:t>In Categ</w:t>
      </w:r>
      <w:r>
        <w:rPr>
          <w:i/>
          <w:szCs w:val="21"/>
        </w:rPr>
        <w:t>orias Aristotelis libri quattuor</w:t>
      </w:r>
      <w:r w:rsidRPr="002A0479">
        <w:rPr>
          <w:szCs w:val="21"/>
        </w:rPr>
        <w:t xml:space="preserve">. Patrologia Latina, </w:t>
      </w:r>
      <w:r>
        <w:rPr>
          <w:szCs w:val="21"/>
        </w:rPr>
        <w:t xml:space="preserve">Paris: </w:t>
      </w:r>
      <w:r w:rsidRPr="002A0479">
        <w:rPr>
          <w:szCs w:val="21"/>
        </w:rPr>
        <w:t>Migne, t</w:t>
      </w:r>
      <w:r>
        <w:rPr>
          <w:szCs w:val="21"/>
        </w:rPr>
        <w:t>ome</w:t>
      </w:r>
      <w:r w:rsidRPr="002A0479">
        <w:rPr>
          <w:szCs w:val="21"/>
        </w:rPr>
        <w:t xml:space="preserve"> 64</w:t>
      </w:r>
      <w:r>
        <w:rPr>
          <w:szCs w:val="21"/>
        </w:rPr>
        <w:t xml:space="preserve">, cols </w:t>
      </w:r>
      <w:r>
        <w:rPr>
          <w:szCs w:val="18"/>
        </w:rPr>
        <w:tab/>
      </w:r>
      <w:r w:rsidRPr="00FB3CAF">
        <w:t>159–294.</w:t>
      </w:r>
    </w:p>
    <w:p w14:paraId="74E9CDE2" w14:textId="77777777" w:rsidR="086E6BFB" w:rsidRDefault="086E6BFB" w:rsidP="086E6BFB">
      <w:pPr>
        <w:pStyle w:val="Literatura"/>
        <w:rPr>
          <w:rStyle w:val="TextpoznpodarouChar"/>
        </w:rPr>
      </w:pPr>
      <w:r>
        <w:rPr>
          <w:szCs w:val="22"/>
        </w:rPr>
        <w:t xml:space="preserve">‒ (1876): </w:t>
      </w:r>
      <w:r w:rsidRPr="004569A2">
        <w:rPr>
          <w:rStyle w:val="TextpoznpodarouChar"/>
          <w:i/>
        </w:rPr>
        <w:t>Anicii Manlii Severini Boet</w:t>
      </w:r>
      <w:r>
        <w:rPr>
          <w:rStyle w:val="TextpoznpodarouChar"/>
          <w:i/>
        </w:rPr>
        <w:t>h</w:t>
      </w:r>
      <w:r w:rsidRPr="004569A2">
        <w:rPr>
          <w:rStyle w:val="TextpoznpodarouChar"/>
          <w:i/>
        </w:rPr>
        <w:t>ii commentarii in librum Peri hermeneias</w:t>
      </w:r>
      <w:r w:rsidRPr="00460970">
        <w:rPr>
          <w:rStyle w:val="TextpoznpodarouChar"/>
        </w:rPr>
        <w:t xml:space="preserve">. </w:t>
      </w:r>
      <w:r>
        <w:rPr>
          <w:rStyle w:val="TextpoznpodarouChar"/>
        </w:rPr>
        <w:t xml:space="preserve">Edited by Carolus Meiser. </w:t>
      </w:r>
      <w:r>
        <w:rPr>
          <w:rStyle w:val="TextpoznpodarouChar"/>
        </w:rPr>
        <w:tab/>
        <w:t>Lipsiae: B. G. Teubner.</w:t>
      </w:r>
    </w:p>
    <w:p w14:paraId="488C4F47" w14:textId="77777777" w:rsidR="086E6BFB" w:rsidRDefault="086E6BFB" w:rsidP="086E6BFB">
      <w:pPr>
        <w:pStyle w:val="Literatura"/>
        <w:rPr>
          <w:szCs w:val="22"/>
        </w:rPr>
      </w:pPr>
      <w:r>
        <w:rPr>
          <w:szCs w:val="21"/>
        </w:rPr>
        <w:t xml:space="preserve">‒ </w:t>
      </w:r>
      <w:r w:rsidRPr="002A0479">
        <w:rPr>
          <w:szCs w:val="21"/>
        </w:rPr>
        <w:t>(1847)</w:t>
      </w:r>
      <w:r>
        <w:rPr>
          <w:szCs w:val="21"/>
        </w:rPr>
        <w:t>:</w:t>
      </w:r>
      <w:r>
        <w:rPr>
          <w:i/>
          <w:szCs w:val="21"/>
        </w:rPr>
        <w:t xml:space="preserve"> </w:t>
      </w:r>
      <w:r w:rsidRPr="00FB0E63">
        <w:rPr>
          <w:i/>
        </w:rPr>
        <w:t>Liber de divisione</w:t>
      </w:r>
      <w:r>
        <w:rPr>
          <w:i/>
        </w:rPr>
        <w:t xml:space="preserve">. </w:t>
      </w:r>
      <w:r w:rsidRPr="002A0479">
        <w:rPr>
          <w:szCs w:val="21"/>
        </w:rPr>
        <w:t xml:space="preserve">Patrologia Latina, </w:t>
      </w:r>
      <w:r>
        <w:rPr>
          <w:szCs w:val="21"/>
        </w:rPr>
        <w:t xml:space="preserve">Paris: </w:t>
      </w:r>
      <w:r w:rsidRPr="002A0479">
        <w:rPr>
          <w:szCs w:val="21"/>
        </w:rPr>
        <w:t>Migne, t</w:t>
      </w:r>
      <w:r>
        <w:rPr>
          <w:szCs w:val="21"/>
        </w:rPr>
        <w:t>ome</w:t>
      </w:r>
      <w:r w:rsidRPr="002A0479">
        <w:rPr>
          <w:szCs w:val="21"/>
        </w:rPr>
        <w:t xml:space="preserve"> 64</w:t>
      </w:r>
      <w:r>
        <w:rPr>
          <w:szCs w:val="21"/>
        </w:rPr>
        <w:t xml:space="preserve">, cols </w:t>
      </w:r>
      <w:r>
        <w:rPr>
          <w:rStyle w:val="st"/>
        </w:rPr>
        <w:t>875‒892</w:t>
      </w:r>
      <w:r w:rsidRPr="002A0479">
        <w:rPr>
          <w:szCs w:val="21"/>
        </w:rPr>
        <w:t>.</w:t>
      </w:r>
    </w:p>
    <w:p w14:paraId="49CA2EFC" w14:textId="77777777" w:rsidR="086E6BFB" w:rsidRPr="00261774" w:rsidRDefault="086E6BFB" w:rsidP="086E6BFB">
      <w:pPr>
        <w:pStyle w:val="Literatura"/>
        <w:rPr>
          <w:szCs w:val="22"/>
        </w:rPr>
      </w:pPr>
      <w:r>
        <w:t xml:space="preserve">Benveniste, Emile (1969): </w:t>
      </w:r>
      <w:r>
        <w:rPr>
          <w:rStyle w:val="Zvraznn"/>
        </w:rPr>
        <w:t>Le vocabulaire des institutions indo-européennes.</w:t>
      </w:r>
      <w:r>
        <w:t xml:space="preserve"> I :</w:t>
      </w:r>
      <w:r>
        <w:rPr>
          <w:rStyle w:val="Zvraznn"/>
        </w:rPr>
        <w:t xml:space="preserve"> économie, parenté, société </w:t>
      </w:r>
      <w:r>
        <w:t xml:space="preserve">; II : </w:t>
      </w:r>
      <w:r>
        <w:tab/>
      </w:r>
      <w:r>
        <w:rPr>
          <w:rStyle w:val="Zvraznn"/>
        </w:rPr>
        <w:t>pouvoir, droit, religion.</w:t>
      </w:r>
      <w:r>
        <w:rPr>
          <w:rStyle w:val="Zvraznn"/>
          <w:i w:val="0"/>
        </w:rPr>
        <w:t xml:space="preserve"> Paris: Editions de Minuit.</w:t>
      </w:r>
    </w:p>
    <w:p w14:paraId="6C794B5E" w14:textId="77777777" w:rsidR="086E6BFB" w:rsidRPr="00273106" w:rsidRDefault="086E6BFB" w:rsidP="086E6BFB">
      <w:pPr>
        <w:pStyle w:val="Literatura"/>
        <w:rPr>
          <w:szCs w:val="18"/>
        </w:rPr>
      </w:pPr>
      <w:r w:rsidRPr="00273106">
        <w:rPr>
          <w:szCs w:val="18"/>
        </w:rPr>
        <w:t xml:space="preserve">Bérubé, Camille. Le ‘Dialogue’ de S. Bonaventure et de Roger Bacon. </w:t>
      </w:r>
      <w:r w:rsidRPr="00273106">
        <w:rPr>
          <w:i/>
          <w:szCs w:val="18"/>
        </w:rPr>
        <w:t>Collectanea Franciscana</w:t>
      </w:r>
      <w:r w:rsidRPr="00273106">
        <w:rPr>
          <w:szCs w:val="18"/>
        </w:rPr>
        <w:t xml:space="preserve"> 39 (1969): </w:t>
      </w:r>
      <w:r>
        <w:rPr>
          <w:szCs w:val="18"/>
        </w:rPr>
        <w:tab/>
      </w:r>
      <w:r w:rsidRPr="00273106">
        <w:rPr>
          <w:szCs w:val="18"/>
        </w:rPr>
        <w:t>59‒103.</w:t>
      </w:r>
    </w:p>
    <w:p w14:paraId="044D3C7B" w14:textId="77777777" w:rsidR="086E6BFB" w:rsidRDefault="086E6BFB" w:rsidP="086E6BFB">
      <w:pPr>
        <w:pStyle w:val="Literatura"/>
      </w:pPr>
      <w:r>
        <w:t xml:space="preserve">Bernstein, E. Alan (1978): "Magisterium and License: Corporate Autonomy against Papal Authority in the </w:t>
      </w:r>
      <w:r>
        <w:tab/>
        <w:t xml:space="preserve">Medieval University of Paris." </w:t>
      </w:r>
      <w:r w:rsidRPr="000B5D96">
        <w:rPr>
          <w:i/>
        </w:rPr>
        <w:t>Viator</w:t>
      </w:r>
      <w:r>
        <w:t xml:space="preserve"> 9: 291‒308.</w:t>
      </w:r>
    </w:p>
    <w:p w14:paraId="2215DA61" w14:textId="77777777" w:rsidR="086E6BFB" w:rsidRDefault="086E6BFB" w:rsidP="086E6BFB">
      <w:pPr>
        <w:pStyle w:val="Literatura"/>
      </w:pPr>
      <w:r w:rsidRPr="00AA34C1">
        <w:t>Bertolacci, Amos</w:t>
      </w:r>
      <w:r>
        <w:t xml:space="preserve"> (1998): </w:t>
      </w:r>
      <w:r w:rsidRPr="00273106">
        <w:t xml:space="preserve">"Albert the Great, </w:t>
      </w:r>
      <w:r w:rsidRPr="00273106">
        <w:rPr>
          <w:i/>
          <w:iCs/>
        </w:rPr>
        <w:t>Metaph</w:t>
      </w:r>
      <w:r w:rsidRPr="00273106">
        <w:t xml:space="preserve">. IV, 1, 5: From the </w:t>
      </w:r>
      <w:r w:rsidRPr="00273106">
        <w:rPr>
          <w:i/>
          <w:iCs/>
        </w:rPr>
        <w:t xml:space="preserve">Refutatio </w:t>
      </w:r>
      <w:r w:rsidRPr="00273106">
        <w:t xml:space="preserve">to the </w:t>
      </w:r>
      <w:r w:rsidRPr="00273106">
        <w:rPr>
          <w:i/>
          <w:iCs/>
        </w:rPr>
        <w:t xml:space="preserve">Excusatio </w:t>
      </w:r>
      <w:r w:rsidRPr="00273106">
        <w:t xml:space="preserve">of Avicenna’s </w:t>
      </w:r>
      <w:r>
        <w:tab/>
      </w:r>
      <w:r w:rsidRPr="00273106">
        <w:t>Theory of Unity"</w:t>
      </w:r>
      <w:r>
        <w:t xml:space="preserve">. </w:t>
      </w:r>
      <w:r w:rsidRPr="00273106">
        <w:rPr>
          <w:i/>
          <w:iCs/>
        </w:rPr>
        <w:t>Was ist Philosophie im Mittelalter</w:t>
      </w:r>
      <w:r>
        <w:t xml:space="preserve">, edited by </w:t>
      </w:r>
      <w:r w:rsidRPr="00AA34C1">
        <w:t>J. A. Aertsen and A. Speer</w:t>
      </w:r>
      <w:r>
        <w:rPr>
          <w:i/>
          <w:iCs/>
        </w:rPr>
        <w:t xml:space="preserve">, </w:t>
      </w:r>
      <w:r w:rsidRPr="00273106">
        <w:t xml:space="preserve">Miscellanea </w:t>
      </w:r>
      <w:r>
        <w:tab/>
      </w:r>
      <w:r w:rsidRPr="00273106">
        <w:t>Mediaevalia 26, Berlin-New York</w:t>
      </w:r>
      <w:r>
        <w:t xml:space="preserve">: </w:t>
      </w:r>
      <w:r w:rsidRPr="00273106">
        <w:t xml:space="preserve">Walter de Gruyter, </w:t>
      </w:r>
      <w:r>
        <w:t>pp. 881‒887.</w:t>
      </w:r>
    </w:p>
    <w:p w14:paraId="3B678EB6" w14:textId="77777777" w:rsidR="086E6BFB" w:rsidRDefault="086E6BFB" w:rsidP="086E6BFB">
      <w:pPr>
        <w:pStyle w:val="Literatura"/>
      </w:pPr>
      <w:r>
        <w:t>‒ (2001): "</w:t>
      </w:r>
      <w:r w:rsidRPr="00273106">
        <w:t xml:space="preserve">From al-Kindi to al-Farabi: Avicenna's Progressive Knowledge of Aristotle's </w:t>
      </w:r>
      <w:r w:rsidRPr="00273106">
        <w:rPr>
          <w:i/>
        </w:rPr>
        <w:t>Metaphysics</w:t>
      </w:r>
      <w:r w:rsidRPr="00273106">
        <w:t xml:space="preserve"> </w:t>
      </w:r>
      <w:r>
        <w:t xml:space="preserve">according to </w:t>
      </w:r>
      <w:r>
        <w:tab/>
        <w:t>his Autobiography."</w:t>
      </w:r>
      <w:r w:rsidRPr="00273106">
        <w:t xml:space="preserve"> </w:t>
      </w:r>
      <w:r w:rsidRPr="00273106">
        <w:rPr>
          <w:i/>
        </w:rPr>
        <w:t>Arabic Sciences and Philosophy</w:t>
      </w:r>
      <w:r>
        <w:t xml:space="preserve"> 11: 257‒</w:t>
      </w:r>
      <w:r w:rsidRPr="00273106">
        <w:t>295.</w:t>
      </w:r>
    </w:p>
    <w:p w14:paraId="0EDA9CEF" w14:textId="77777777" w:rsidR="086E6BFB" w:rsidRDefault="086E6BFB" w:rsidP="086E6BFB">
      <w:pPr>
        <w:pStyle w:val="Literatura"/>
      </w:pPr>
      <w:r>
        <w:t>‒ (2002): "</w:t>
      </w:r>
      <w:r w:rsidRPr="00273106">
        <w:t xml:space="preserve">The Structure of Metaphysical Science in the Ilāhiyyāt (Divine Science) of Avicenna’s Kitāb al-šifā </w:t>
      </w:r>
      <w:r>
        <w:tab/>
      </w:r>
      <w:r w:rsidRPr="00273106">
        <w:t>(Book of the Cure)</w:t>
      </w:r>
      <w:r>
        <w:t xml:space="preserve">". </w:t>
      </w:r>
      <w:r w:rsidRPr="00273106">
        <w:rPr>
          <w:i/>
          <w:szCs w:val="13"/>
        </w:rPr>
        <w:t>Documenti e studi sulla tradizione filosofica medievale XIII</w:t>
      </w:r>
      <w:r w:rsidRPr="00273106">
        <w:rPr>
          <w:szCs w:val="13"/>
        </w:rPr>
        <w:t>, SISMEL,</w:t>
      </w:r>
      <w:r>
        <w:rPr>
          <w:szCs w:val="13"/>
        </w:rPr>
        <w:t xml:space="preserve"> Firenze: Edizioni </w:t>
      </w:r>
      <w:r>
        <w:rPr>
          <w:szCs w:val="13"/>
        </w:rPr>
        <w:tab/>
        <w:t>del Galluzo, pp. 1‒</w:t>
      </w:r>
      <w:r w:rsidRPr="00273106">
        <w:rPr>
          <w:szCs w:val="13"/>
        </w:rPr>
        <w:t>70.</w:t>
      </w:r>
    </w:p>
    <w:p w14:paraId="73C334DE" w14:textId="77777777" w:rsidR="086E6BFB" w:rsidRPr="00273106" w:rsidRDefault="086E6BFB" w:rsidP="086E6BFB">
      <w:pPr>
        <w:pStyle w:val="Literatura"/>
      </w:pPr>
      <w:r>
        <w:t>‒ (2004)</w:t>
      </w:r>
      <w:r>
        <w:tab/>
        <w:t xml:space="preserve">"The reception of Book B (Beta) of Aristotle's Metaphysics in the Ilāhīyāt of Avicenna's Kitāb aš-Šifāʼ", </w:t>
      </w:r>
      <w:r>
        <w:tab/>
      </w:r>
      <w:r w:rsidRPr="00273106">
        <w:rPr>
          <w:i/>
        </w:rPr>
        <w:t>Interpreting Avicenna</w:t>
      </w:r>
      <w:r>
        <w:rPr>
          <w:i/>
        </w:rPr>
        <w:t>. Science and Philosohy in Medieval Islam</w:t>
      </w:r>
      <w:r>
        <w:t>, edited by Jon McGinnis</w:t>
      </w:r>
      <w:r w:rsidRPr="00273106">
        <w:t>,</w:t>
      </w:r>
      <w:r>
        <w:t xml:space="preserve"> Leiden: Brill, </w:t>
      </w:r>
      <w:r>
        <w:tab/>
        <w:t>pp. 157–174</w:t>
      </w:r>
      <w:r w:rsidRPr="00273106">
        <w:t>.</w:t>
      </w:r>
    </w:p>
    <w:p w14:paraId="22D023C2" w14:textId="77777777" w:rsidR="086E6BFB" w:rsidRDefault="086E6BFB" w:rsidP="086E6BFB">
      <w:pPr>
        <w:pStyle w:val="Literatura"/>
      </w:pPr>
      <w:r>
        <w:t xml:space="preserve">‒ (2006): </w:t>
      </w:r>
      <w:r w:rsidRPr="00273106">
        <w:rPr>
          <w:i/>
        </w:rPr>
        <w:t xml:space="preserve">The Reception of Aristotle’s Metaphysics in Avicenna’s Kitāb al-Šifā. A Milestone of Western </w:t>
      </w:r>
      <w:r>
        <w:rPr>
          <w:i/>
        </w:rPr>
        <w:tab/>
      </w:r>
      <w:r w:rsidRPr="00273106">
        <w:rPr>
          <w:i/>
        </w:rPr>
        <w:t>Metaphysical Thought</w:t>
      </w:r>
      <w:r w:rsidRPr="00273106">
        <w:t xml:space="preserve">. </w:t>
      </w:r>
      <w:r w:rsidRPr="080B3197">
        <w:rPr>
          <w:i/>
        </w:rPr>
        <w:t>Islamic Philosophy, Theology and Science, Texts and Studies</w:t>
      </w:r>
      <w:r w:rsidRPr="00273106">
        <w:t xml:space="preserve"> 63. Leiden – Boston: </w:t>
      </w:r>
      <w:r>
        <w:tab/>
        <w:t>Brill</w:t>
      </w:r>
      <w:r w:rsidRPr="00273106">
        <w:t>.</w:t>
      </w:r>
    </w:p>
    <w:p w14:paraId="25F88DBD" w14:textId="77777777" w:rsidR="086E6BFB" w:rsidRDefault="086E6BFB" w:rsidP="086E6BFB">
      <w:pPr>
        <w:pStyle w:val="Literatura"/>
      </w:pPr>
      <w:r>
        <w:t>‒ (2012): "</w:t>
      </w:r>
      <w:r w:rsidRPr="00273106">
        <w:rPr>
          <w:szCs w:val="22"/>
        </w:rPr>
        <w:t xml:space="preserve">On the Latin Reception of Avicenna’s Metaphysics before Albertus Magnus: An Attempt at </w:t>
      </w:r>
      <w:r>
        <w:rPr>
          <w:szCs w:val="22"/>
        </w:rPr>
        <w:tab/>
      </w:r>
      <w:r w:rsidRPr="00273106">
        <w:rPr>
          <w:szCs w:val="22"/>
        </w:rPr>
        <w:t>Periodization</w:t>
      </w:r>
      <w:r>
        <w:rPr>
          <w:szCs w:val="22"/>
        </w:rPr>
        <w:t>"</w:t>
      </w:r>
      <w:r w:rsidRPr="00273106">
        <w:rPr>
          <w:szCs w:val="22"/>
        </w:rPr>
        <w:t xml:space="preserve">, </w:t>
      </w:r>
      <w:r w:rsidRPr="00273106">
        <w:rPr>
          <w:i/>
        </w:rPr>
        <w:t>The Arabic, Hebrew and Latin Reception of Avicenna's Metaphysics. Scientia Graeco-</w:t>
      </w:r>
      <w:r>
        <w:rPr>
          <w:i/>
        </w:rPr>
        <w:tab/>
      </w:r>
      <w:r w:rsidRPr="00273106">
        <w:rPr>
          <w:i/>
        </w:rPr>
        <w:t>Arabica 7</w:t>
      </w:r>
      <w:r>
        <w:rPr>
          <w:i/>
        </w:rPr>
        <w:t xml:space="preserve">, </w:t>
      </w:r>
      <w:r w:rsidRPr="00061490">
        <w:t xml:space="preserve">edited by </w:t>
      </w:r>
      <w:r w:rsidRPr="00273106">
        <w:t>Dag Nikolaus Hasse</w:t>
      </w:r>
      <w:r>
        <w:t xml:space="preserve"> and </w:t>
      </w:r>
      <w:r w:rsidRPr="00273106">
        <w:t xml:space="preserve">Amos </w:t>
      </w:r>
      <w:r>
        <w:t xml:space="preserve">Bertolacci, </w:t>
      </w:r>
      <w:r w:rsidRPr="00273106">
        <w:t xml:space="preserve">Berlin: Walter de Gruyter, </w:t>
      </w:r>
      <w:r w:rsidRPr="00273106">
        <w:rPr>
          <w:szCs w:val="22"/>
        </w:rPr>
        <w:t>197–224</w:t>
      </w:r>
      <w:r w:rsidRPr="00273106">
        <w:t>.</w:t>
      </w:r>
    </w:p>
    <w:p w14:paraId="4B625158" w14:textId="77777777" w:rsidR="086E6BFB" w:rsidRDefault="086E6BFB" w:rsidP="086E6BFB">
      <w:pPr>
        <w:pStyle w:val="Literatura"/>
      </w:pPr>
      <w:r>
        <w:t xml:space="preserve">‒ (2014): </w:t>
      </w:r>
      <w:r w:rsidRPr="00273106">
        <w:rPr>
          <w:rFonts w:eastAsia="Brill-Roman"/>
          <w:szCs w:val="22"/>
        </w:rPr>
        <w:t>"Avicenna</w:t>
      </w:r>
      <w:r w:rsidRPr="00273106">
        <w:t>'</w:t>
      </w:r>
      <w:r w:rsidRPr="00273106">
        <w:rPr>
          <w:szCs w:val="22"/>
        </w:rPr>
        <w:t>s and Averroes</w:t>
      </w:r>
      <w:r w:rsidRPr="00273106">
        <w:t>'</w:t>
      </w:r>
      <w:r w:rsidRPr="00273106">
        <w:rPr>
          <w:szCs w:val="22"/>
        </w:rPr>
        <w:t>s Interpretations and Their Influence in</w:t>
      </w:r>
      <w:r w:rsidRPr="00273106">
        <w:rPr>
          <w:rFonts w:eastAsia="Brill-Roman"/>
          <w:szCs w:val="22"/>
        </w:rPr>
        <w:t xml:space="preserve"> </w:t>
      </w:r>
      <w:r w:rsidRPr="00273106">
        <w:rPr>
          <w:szCs w:val="22"/>
        </w:rPr>
        <w:t>Albertus Magnus",</w:t>
      </w:r>
      <w:r w:rsidRPr="00273106">
        <w:t xml:space="preserve"> </w:t>
      </w:r>
      <w:r w:rsidRPr="00273106">
        <w:rPr>
          <w:i/>
        </w:rPr>
        <w:t xml:space="preserve">A Companion </w:t>
      </w:r>
      <w:r>
        <w:rPr>
          <w:i/>
        </w:rPr>
        <w:tab/>
      </w:r>
      <w:r w:rsidRPr="00273106">
        <w:rPr>
          <w:i/>
        </w:rPr>
        <w:t>to the Latin Medieval Commentaries on Aristotle's Metaphysics</w:t>
      </w:r>
      <w:r>
        <w:rPr>
          <w:i/>
        </w:rPr>
        <w:t xml:space="preserve">, </w:t>
      </w:r>
      <w:r w:rsidRPr="00061490">
        <w:t>edited by</w:t>
      </w:r>
      <w:r>
        <w:rPr>
          <w:i/>
        </w:rPr>
        <w:t xml:space="preserve"> </w:t>
      </w:r>
      <w:r w:rsidRPr="00273106">
        <w:rPr>
          <w:szCs w:val="28"/>
        </w:rPr>
        <w:t xml:space="preserve">Fabrizio Amerini </w:t>
      </w:r>
      <w:r>
        <w:rPr>
          <w:szCs w:val="28"/>
        </w:rPr>
        <w:t xml:space="preserve">and </w:t>
      </w:r>
      <w:r w:rsidRPr="00273106">
        <w:rPr>
          <w:szCs w:val="28"/>
        </w:rPr>
        <w:t xml:space="preserve">Gabriele </w:t>
      </w:r>
      <w:r>
        <w:rPr>
          <w:szCs w:val="18"/>
        </w:rPr>
        <w:tab/>
      </w:r>
      <w:r w:rsidRPr="00273106">
        <w:rPr>
          <w:szCs w:val="28"/>
        </w:rPr>
        <w:t>Galluzzo</w:t>
      </w:r>
      <w:r>
        <w:rPr>
          <w:rFonts w:eastAsia="Brill-Roman"/>
        </w:rPr>
        <w:t xml:space="preserve">, </w:t>
      </w:r>
      <w:r w:rsidRPr="00273106">
        <w:rPr>
          <w:rFonts w:eastAsia="Brill-Roman"/>
        </w:rPr>
        <w:t xml:space="preserve">Leiden – Boston: </w:t>
      </w:r>
      <w:r>
        <w:rPr>
          <w:rFonts w:eastAsia="Brill-Roman"/>
        </w:rPr>
        <w:t>Brill</w:t>
      </w:r>
      <w:r w:rsidRPr="00273106">
        <w:rPr>
          <w:rFonts w:eastAsia="Brill-Roman"/>
        </w:rPr>
        <w:t>, pp. 95–135.</w:t>
      </w:r>
    </w:p>
    <w:p w14:paraId="15D773F7" w14:textId="77777777" w:rsidR="086E6BFB" w:rsidRDefault="086E6BFB" w:rsidP="086E6BFB">
      <w:pPr>
        <w:pStyle w:val="Literatura"/>
      </w:pPr>
      <w:r w:rsidRPr="00273106">
        <w:t>Bianchi, Luca</w:t>
      </w:r>
      <w:r>
        <w:t xml:space="preserve"> (2008): </w:t>
      </w:r>
      <w:r w:rsidRPr="00273106">
        <w:rPr>
          <w:rStyle w:val="fn"/>
          <w:i/>
        </w:rPr>
        <w:t>Pour une histoire de la "double vérité"</w:t>
      </w:r>
      <w:r w:rsidRPr="00273106">
        <w:rPr>
          <w:rStyle w:val="fn"/>
        </w:rPr>
        <w:t xml:space="preserve">. </w:t>
      </w:r>
      <w:r>
        <w:t>Paris: J. Vrin</w:t>
      </w:r>
      <w:r w:rsidRPr="00273106">
        <w:t>.</w:t>
      </w:r>
    </w:p>
    <w:p w14:paraId="058879CA" w14:textId="77777777" w:rsidR="086E6BFB" w:rsidRPr="00273106" w:rsidRDefault="086E6BFB" w:rsidP="086E6BFB">
      <w:pPr>
        <w:pStyle w:val="Literatura"/>
      </w:pPr>
      <w:r>
        <w:t>Birkenmajer, Alexander (1922): "</w:t>
      </w:r>
      <w:r w:rsidRPr="00910D18">
        <w:t>Der Brief Robert Ki</w:t>
      </w:r>
      <w:r>
        <w:t>lw</w:t>
      </w:r>
      <w:r w:rsidRPr="00910D18">
        <w:t xml:space="preserve">ardbys an Peter von Conflans und die Streitschrift des </w:t>
      </w:r>
      <w:r>
        <w:tab/>
      </w:r>
      <w:r w:rsidRPr="00910D18">
        <w:t>Ägidius von Lessines</w:t>
      </w:r>
      <w:r>
        <w:t xml:space="preserve">". </w:t>
      </w:r>
      <w:r w:rsidRPr="08563A47">
        <w:rPr>
          <w:i/>
        </w:rPr>
        <w:t>Vermischte Untersuchungen zur Geschichte der Mittelalterlichen Philosophie</w:t>
      </w:r>
      <w:r>
        <w:t xml:space="preserve"> 20: </w:t>
      </w:r>
      <w:r>
        <w:tab/>
        <w:t>46‒69.</w:t>
      </w:r>
    </w:p>
    <w:p w14:paraId="5FB4F08E" w14:textId="77777777" w:rsidR="086E6BFB" w:rsidRDefault="086E6BFB" w:rsidP="086E6BFB">
      <w:pPr>
        <w:pStyle w:val="Literatura"/>
      </w:pPr>
      <w:r w:rsidRPr="00273106">
        <w:t>Bobzien, Susanne</w:t>
      </w:r>
      <w:r>
        <w:t xml:space="preserve"> (1998):</w:t>
      </w:r>
      <w:r w:rsidRPr="00273106">
        <w:t xml:space="preserve"> </w:t>
      </w:r>
      <w:r>
        <w:t>"</w:t>
      </w:r>
      <w:r w:rsidRPr="00273106">
        <w:t>The Inadvertent Conception and Late Birth of the Free-Will problem</w:t>
      </w:r>
      <w:r>
        <w:t>"</w:t>
      </w:r>
      <w:r w:rsidRPr="00273106">
        <w:t xml:space="preserve">. </w:t>
      </w:r>
      <w:r w:rsidRPr="00273106">
        <w:rPr>
          <w:i/>
        </w:rPr>
        <w:t>Phronesis</w:t>
      </w:r>
      <w:r>
        <w:t xml:space="preserve"> </w:t>
      </w:r>
      <w:r>
        <w:tab/>
        <w:t>43/1</w:t>
      </w:r>
      <w:r w:rsidRPr="00273106">
        <w:t>:</w:t>
      </w:r>
      <w:r>
        <w:t xml:space="preserve"> 133‒</w:t>
      </w:r>
      <w:r w:rsidRPr="00273106">
        <w:t>175.</w:t>
      </w:r>
    </w:p>
    <w:p w14:paraId="3B7D5DF0" w14:textId="77777777" w:rsidR="086E6BFB" w:rsidRPr="0022242C" w:rsidRDefault="086E6BFB" w:rsidP="086E6BFB">
      <w:pPr>
        <w:pStyle w:val="Literatura"/>
      </w:pPr>
      <w:r w:rsidRPr="00335C0D">
        <w:rPr>
          <w:iCs/>
          <w:lang w:val="it-IT"/>
        </w:rPr>
        <w:t>Bonaventura</w:t>
      </w:r>
      <w:r>
        <w:rPr>
          <w:iCs/>
          <w:lang w:val="it-IT"/>
        </w:rPr>
        <w:t xml:space="preserve"> de Bagnoregio </w:t>
      </w:r>
      <w:r>
        <w:rPr>
          <w:lang w:val="it-IT"/>
        </w:rPr>
        <w:t>(</w:t>
      </w:r>
      <w:r>
        <w:t>1882‒</w:t>
      </w:r>
      <w:r w:rsidRPr="0022242C">
        <w:t>1902</w:t>
      </w:r>
      <w:r>
        <w:t xml:space="preserve">): </w:t>
      </w:r>
      <w:r w:rsidRPr="0022242C">
        <w:rPr>
          <w:i/>
        </w:rPr>
        <w:t>Doctoris Seraphici S. Bonaventurae Opera omnia I‒X</w:t>
      </w:r>
      <w:r>
        <w:t>. E</w:t>
      </w:r>
      <w:r w:rsidRPr="0022242C">
        <w:t xml:space="preserve">dita studio et </w:t>
      </w:r>
      <w:r>
        <w:rPr>
          <w:szCs w:val="18"/>
        </w:rPr>
        <w:tab/>
      </w:r>
      <w:r w:rsidRPr="0022242C">
        <w:t>cura PP. Collegii a S. Bonaventura, Ad</w:t>
      </w:r>
      <w:r>
        <w:t xml:space="preserve"> Claras Aquas (Quaracchi)</w:t>
      </w:r>
      <w:r w:rsidRPr="0022242C">
        <w:t>.</w:t>
      </w:r>
    </w:p>
    <w:p w14:paraId="53899EAC" w14:textId="77777777" w:rsidR="086E6BFB" w:rsidRDefault="086E6BFB" w:rsidP="086E6BFB">
      <w:pPr>
        <w:pStyle w:val="Literatura"/>
      </w:pPr>
      <w:r>
        <w:rPr>
          <w:i/>
          <w:lang w:val="it-IT"/>
        </w:rPr>
        <w:t xml:space="preserve">‒ </w:t>
      </w:r>
      <w:r>
        <w:rPr>
          <w:lang w:val="it-IT"/>
        </w:rPr>
        <w:t>(</w:t>
      </w:r>
      <w:r>
        <w:t xml:space="preserve">1882‒89): </w:t>
      </w:r>
      <w:r w:rsidRPr="00273106">
        <w:rPr>
          <w:i/>
          <w:iCs/>
        </w:rPr>
        <w:t>Commentaria in Quatuor Libros Sententiarum I-IV</w:t>
      </w:r>
      <w:r>
        <w:t xml:space="preserve">. </w:t>
      </w:r>
      <w:r w:rsidRPr="0022242C">
        <w:rPr>
          <w:i/>
        </w:rPr>
        <w:t xml:space="preserve">Doctoris Seraphici S. Bonaventurae Opera </w:t>
      </w:r>
      <w:r>
        <w:rPr>
          <w:i/>
        </w:rPr>
        <w:tab/>
      </w:r>
      <w:r w:rsidRPr="0022242C">
        <w:rPr>
          <w:i/>
        </w:rPr>
        <w:t>omnia I‒</w:t>
      </w:r>
      <w:r>
        <w:rPr>
          <w:i/>
        </w:rPr>
        <w:t>IV</w:t>
      </w:r>
      <w:r>
        <w:t>. E</w:t>
      </w:r>
      <w:r w:rsidRPr="0022242C">
        <w:t>dita studio et cura PP. Collegii a S. Bonaventura, Ad</w:t>
      </w:r>
      <w:r>
        <w:t xml:space="preserve"> Claras Aquas (Quaracchi)</w:t>
      </w:r>
      <w:r w:rsidRPr="0022242C">
        <w:t>.</w:t>
      </w:r>
    </w:p>
    <w:p w14:paraId="61990832" w14:textId="77777777" w:rsidR="086E6BFB" w:rsidRPr="008D6E77" w:rsidRDefault="086E6BFB" w:rsidP="086E6BFB">
      <w:pPr>
        <w:pStyle w:val="Literatura"/>
      </w:pPr>
      <w:r w:rsidRPr="00FC5F7E">
        <w:rPr>
          <w:color w:val="000000"/>
        </w:rPr>
        <w:t>Bonhoeffer, Dietrich</w:t>
      </w:r>
      <w:r>
        <w:rPr>
          <w:color w:val="000000"/>
        </w:rPr>
        <w:t xml:space="preserve"> (1970): </w:t>
      </w:r>
      <w:r w:rsidRPr="00FC5F7E">
        <w:rPr>
          <w:i/>
          <w:color w:val="000000"/>
        </w:rPr>
        <w:t>Widerstand und Ergebung</w:t>
      </w:r>
      <w:r>
        <w:rPr>
          <w:color w:val="000000"/>
        </w:rPr>
        <w:t xml:space="preserve">. Hrsg. von E. Bethge. </w:t>
      </w:r>
      <w:r w:rsidRPr="00FC5F7E">
        <w:rPr>
          <w:color w:val="000000"/>
        </w:rPr>
        <w:t>München</w:t>
      </w:r>
      <w:r>
        <w:rPr>
          <w:color w:val="000000"/>
        </w:rPr>
        <w:t xml:space="preserve">: </w:t>
      </w:r>
      <w:r>
        <w:t>GTB Siebenstern</w:t>
      </w:r>
      <w:r>
        <w:rPr>
          <w:color w:val="000000"/>
        </w:rPr>
        <w:t>.</w:t>
      </w:r>
    </w:p>
    <w:p w14:paraId="46DC4C97" w14:textId="77777777" w:rsidR="086E6BFB" w:rsidRDefault="086E6BFB" w:rsidP="086E6BFB">
      <w:pPr>
        <w:pStyle w:val="Literatura"/>
        <w:rPr>
          <w:szCs w:val="22"/>
        </w:rPr>
      </w:pPr>
      <w:r>
        <w:rPr>
          <w:szCs w:val="22"/>
        </w:rPr>
        <w:t>Boehner, Philoteus (1945): "</w:t>
      </w:r>
      <w:r w:rsidRPr="00273106">
        <w:rPr>
          <w:szCs w:val="22"/>
        </w:rPr>
        <w:t>Ockham's Theory of Truth</w:t>
      </w:r>
      <w:r>
        <w:rPr>
          <w:szCs w:val="22"/>
        </w:rPr>
        <w:t xml:space="preserve">". </w:t>
      </w:r>
      <w:r w:rsidRPr="00C871D8">
        <w:rPr>
          <w:i/>
          <w:szCs w:val="22"/>
        </w:rPr>
        <w:t>Franciscan Studies</w:t>
      </w:r>
      <w:r w:rsidRPr="00273106">
        <w:rPr>
          <w:szCs w:val="22"/>
        </w:rPr>
        <w:t xml:space="preserve">, </w:t>
      </w:r>
      <w:r>
        <w:rPr>
          <w:szCs w:val="22"/>
        </w:rPr>
        <w:t>New Series 5 (no. 2)</w:t>
      </w:r>
      <w:r w:rsidRPr="00273106">
        <w:rPr>
          <w:szCs w:val="22"/>
        </w:rPr>
        <w:t>: 138‒161.</w:t>
      </w:r>
    </w:p>
    <w:p w14:paraId="0C732250" w14:textId="77777777" w:rsidR="086E6BFB" w:rsidRDefault="086E6BFB" w:rsidP="086E6BFB">
      <w:pPr>
        <w:pStyle w:val="Literatura"/>
        <w:rPr>
          <w:rStyle w:val="st"/>
        </w:rPr>
      </w:pPr>
      <w:r>
        <w:t xml:space="preserve">Boer, Sander de (2013): </w:t>
      </w:r>
      <w:r>
        <w:rPr>
          <w:i/>
          <w:iCs/>
        </w:rPr>
        <w:t xml:space="preserve">The Science of the Soul: The Commentary Tradition on Aristotle’s ‘De anima’, c. 1260–c. </w:t>
      </w:r>
      <w:r>
        <w:rPr>
          <w:i/>
          <w:iCs/>
        </w:rPr>
        <w:tab/>
        <w:t xml:space="preserve">1360. </w:t>
      </w:r>
      <w:r>
        <w:t>Leuven University Press.</w:t>
      </w:r>
    </w:p>
    <w:p w14:paraId="37F8084B" w14:textId="77777777" w:rsidR="086E6BFB" w:rsidRDefault="086E6BFB" w:rsidP="086E6BFB">
      <w:pPr>
        <w:pStyle w:val="Literatura"/>
        <w:rPr>
          <w:color w:val="000000"/>
        </w:rPr>
      </w:pPr>
      <w:r w:rsidRPr="00273106">
        <w:rPr>
          <w:color w:val="000000"/>
        </w:rPr>
        <w:t>Bormann, Karl</w:t>
      </w:r>
      <w:r>
        <w:rPr>
          <w:color w:val="000000"/>
        </w:rPr>
        <w:t xml:space="preserve"> (1982): "</w:t>
      </w:r>
      <w:r w:rsidRPr="00273106">
        <w:rPr>
          <w:color w:val="000000"/>
        </w:rPr>
        <w:t>Wahrheitsbegriff und NOYΣ-Lehre bei Aristoteles und einigen seiner Kommentatoren</w:t>
      </w:r>
      <w:r>
        <w:rPr>
          <w:color w:val="000000"/>
        </w:rPr>
        <w:t xml:space="preserve">". </w:t>
      </w:r>
      <w:r>
        <w:rPr>
          <w:color w:val="000000"/>
        </w:rPr>
        <w:tab/>
      </w:r>
      <w:r w:rsidRPr="00A36882">
        <w:rPr>
          <w:i/>
          <w:color w:val="000000"/>
        </w:rPr>
        <w:t>Studien zur mittelalterlichen Geistesgeschichte und ihren Quellen</w:t>
      </w:r>
      <w:r>
        <w:rPr>
          <w:color w:val="000000"/>
        </w:rPr>
        <w:t xml:space="preserve">, edited by Albert Zimmermann, </w:t>
      </w:r>
      <w:r>
        <w:rPr>
          <w:color w:val="000000"/>
        </w:rPr>
        <w:tab/>
        <w:t xml:space="preserve">Miscellanea Mediaevalia 15, Berlin, 1982:1‒24.  </w:t>
      </w:r>
    </w:p>
    <w:p w14:paraId="201ADFCE" w14:textId="06463068" w:rsidR="00BE055C" w:rsidRDefault="00BE055C" w:rsidP="08E62D09">
      <w:pPr>
        <w:pStyle w:val="Literatura"/>
      </w:pPr>
      <w:commentRangeStart w:id="157"/>
      <w:r>
        <w:t xml:space="preserve">Bourdieu, Pierre (1984): </w:t>
      </w:r>
      <w:r w:rsidRPr="00BE055C">
        <w:rPr>
          <w:i/>
        </w:rPr>
        <w:t>Homo academicus</w:t>
      </w:r>
      <w:r>
        <w:t xml:space="preserve">. Paris: Les Éditions de Minuit. </w:t>
      </w:r>
      <w:commentRangeEnd w:id="157"/>
      <w:r>
        <w:rPr>
          <w:rStyle w:val="Odkaznakoment"/>
          <w:noProof w:val="0"/>
          <w:lang w:val="x-none" w:eastAsia="x-none"/>
        </w:rPr>
        <w:commentReference w:id="157"/>
      </w:r>
    </w:p>
    <w:p w14:paraId="6BB662BD" w14:textId="635B857B" w:rsidR="00577C7B" w:rsidRDefault="00577C7B" w:rsidP="00577C7B">
      <w:pPr>
        <w:pStyle w:val="Literatura"/>
      </w:pPr>
      <w:commentRangeStart w:id="158"/>
      <w:r w:rsidRPr="00BB2A6B">
        <w:t>Boulnois, Olivier</w:t>
      </w:r>
      <w:r>
        <w:t xml:space="preserve"> (2007): </w:t>
      </w:r>
      <w:r w:rsidRPr="00273106">
        <w:rPr>
          <w:i/>
        </w:rPr>
        <w:t>Généalogies du sujet. De saint Anselme à Malebranche</w:t>
      </w:r>
      <w:r>
        <w:t>. Paris: J. Vrin</w:t>
      </w:r>
      <w:r w:rsidRPr="00273106">
        <w:t>.</w:t>
      </w:r>
      <w:commentRangeEnd w:id="158"/>
      <w:r>
        <w:rPr>
          <w:rStyle w:val="Odkaznakoment"/>
          <w:noProof w:val="0"/>
          <w:lang w:val="x-none" w:eastAsia="x-none"/>
        </w:rPr>
        <w:commentReference w:id="158"/>
      </w:r>
    </w:p>
    <w:p w14:paraId="0A124C82" w14:textId="77777777" w:rsidR="08E62D09" w:rsidRDefault="08E62D09" w:rsidP="08E62D09">
      <w:pPr>
        <w:pStyle w:val="Literatura"/>
      </w:pPr>
      <w:r>
        <w:t xml:space="preserve">Brentano, Lujo (1913): </w:t>
      </w:r>
      <w:r w:rsidRPr="08E62D09">
        <w:rPr>
          <w:i/>
        </w:rPr>
        <w:t>Die Anf</w:t>
      </w:r>
      <w:r w:rsidRPr="08E62D09">
        <w:rPr>
          <w:rFonts w:hint="eastAsia"/>
          <w:i/>
        </w:rPr>
        <w:t>ä</w:t>
      </w:r>
      <w:r w:rsidRPr="08E62D09">
        <w:rPr>
          <w:i/>
        </w:rPr>
        <w:t>nge des modernen Kapitalismus</w:t>
      </w:r>
      <w:r>
        <w:t>. M</w:t>
      </w:r>
      <w:r>
        <w:rPr>
          <w:rFonts w:hint="eastAsia"/>
        </w:rPr>
        <w:t>ü</w:t>
      </w:r>
      <w:r>
        <w:t xml:space="preserve">nchen: Verlag der K. B. Akademie der </w:t>
      </w:r>
      <w:r>
        <w:rPr>
          <w:color w:val="000000"/>
        </w:rPr>
        <w:tab/>
      </w:r>
      <w:r>
        <w:t xml:space="preserve">Wissenschaften. </w:t>
      </w:r>
    </w:p>
    <w:p w14:paraId="7B0DDA36" w14:textId="77777777" w:rsidR="086E6BFB" w:rsidRPr="00273106" w:rsidRDefault="086E6BFB" w:rsidP="086E6BFB">
      <w:pPr>
        <w:pStyle w:val="Literatura"/>
      </w:pPr>
      <w:r w:rsidRPr="00273106">
        <w:t xml:space="preserve">Buffon, Valeria Andrea. </w:t>
      </w:r>
      <w:r w:rsidRPr="00273106">
        <w:rPr>
          <w:i/>
        </w:rPr>
        <w:t>L'idéal éthique des maîtres ès arts de Paris vers 1250</w:t>
      </w:r>
      <w:r w:rsidRPr="00273106">
        <w:t xml:space="preserve">. Québec: Faculté philosophie </w:t>
      </w:r>
      <w:r>
        <w:tab/>
      </w:r>
      <w:r w:rsidRPr="00273106">
        <w:t>université Laval, 2007.</w:t>
      </w:r>
    </w:p>
    <w:p w14:paraId="5D79324A" w14:textId="77777777" w:rsidR="086E6BFB" w:rsidRDefault="086E6BFB" w:rsidP="086E6BFB">
      <w:pPr>
        <w:pStyle w:val="Literatura"/>
        <w:rPr>
          <w:szCs w:val="18"/>
        </w:rPr>
      </w:pPr>
      <w:r>
        <w:rPr>
          <w:szCs w:val="18"/>
        </w:rPr>
        <w:t>Callus, Daniel A. (1939): "</w:t>
      </w:r>
      <w:r w:rsidRPr="00273106">
        <w:rPr>
          <w:szCs w:val="18"/>
        </w:rPr>
        <w:t xml:space="preserve">Two early Oxford Masters on the Problem of Plurality of Forms. Adam of Buckfield — </w:t>
      </w:r>
      <w:r>
        <w:rPr>
          <w:szCs w:val="18"/>
        </w:rPr>
        <w:tab/>
      </w:r>
      <w:r w:rsidRPr="00273106">
        <w:rPr>
          <w:szCs w:val="18"/>
        </w:rPr>
        <w:t xml:space="preserve">Richard </w:t>
      </w:r>
      <w:r>
        <w:rPr>
          <w:szCs w:val="18"/>
        </w:rPr>
        <w:t xml:space="preserve">Rufus </w:t>
      </w:r>
      <w:r w:rsidRPr="00273106">
        <w:rPr>
          <w:szCs w:val="18"/>
        </w:rPr>
        <w:t>of Cornwall</w:t>
      </w:r>
      <w:r>
        <w:rPr>
          <w:szCs w:val="18"/>
        </w:rPr>
        <w:t>"</w:t>
      </w:r>
      <w:r w:rsidRPr="00273106">
        <w:rPr>
          <w:szCs w:val="18"/>
        </w:rPr>
        <w:t xml:space="preserve">. </w:t>
      </w:r>
      <w:r w:rsidRPr="00273106">
        <w:rPr>
          <w:i/>
          <w:szCs w:val="18"/>
        </w:rPr>
        <w:t>Revue néo-scolastique de philosophie</w:t>
      </w:r>
      <w:r>
        <w:rPr>
          <w:szCs w:val="18"/>
        </w:rPr>
        <w:t xml:space="preserve"> 63</w:t>
      </w:r>
      <w:r w:rsidRPr="00273106">
        <w:rPr>
          <w:szCs w:val="18"/>
        </w:rPr>
        <w:t>: 411‒445.</w:t>
      </w:r>
    </w:p>
    <w:p w14:paraId="0D8B37A6" w14:textId="77777777" w:rsidR="086E6BFB" w:rsidRPr="00273106" w:rsidRDefault="086E6BFB" w:rsidP="086E6BFB">
      <w:pPr>
        <w:pStyle w:val="Literatura"/>
        <w:rPr>
          <w:szCs w:val="18"/>
        </w:rPr>
      </w:pPr>
      <w:r>
        <w:t>‒</w:t>
      </w:r>
      <w:r>
        <w:rPr>
          <w:szCs w:val="18"/>
        </w:rPr>
        <w:t xml:space="preserve"> (1945): "</w:t>
      </w:r>
      <w:r>
        <w:t>The Oxford Career of Robert Grosseteste</w:t>
      </w:r>
      <w:r>
        <w:rPr>
          <w:szCs w:val="18"/>
        </w:rPr>
        <w:t>".</w:t>
      </w:r>
      <w:r>
        <w:t xml:space="preserve"> </w:t>
      </w:r>
      <w:r w:rsidRPr="08CD2444">
        <w:rPr>
          <w:i/>
        </w:rPr>
        <w:t>Oxoniensia</w:t>
      </w:r>
      <w:r>
        <w:t xml:space="preserve"> 10: 42</w:t>
      </w:r>
      <w:r>
        <w:rPr>
          <w:rFonts w:cs="Calibri"/>
        </w:rPr>
        <w:t>−</w:t>
      </w:r>
      <w:r>
        <w:t>72.</w:t>
      </w:r>
    </w:p>
    <w:p w14:paraId="30E28AF6" w14:textId="77777777" w:rsidR="086E6BFB" w:rsidRDefault="086E6BFB" w:rsidP="086E6BFB">
      <w:pPr>
        <w:pStyle w:val="Literatura"/>
      </w:pPr>
      <w:r w:rsidRPr="002C1AD0">
        <w:t>Carnap, Rudolf</w:t>
      </w:r>
      <w:r>
        <w:t xml:space="preserve"> (1931):</w:t>
      </w:r>
      <w:r w:rsidRPr="002C1AD0">
        <w:t xml:space="preserve"> </w:t>
      </w:r>
      <w:r>
        <w:t>"</w:t>
      </w:r>
      <w:r w:rsidRPr="002C1AD0">
        <w:t>Überwindung der Metaphysik durch logische Analyse der Sprache</w:t>
      </w:r>
      <w:r>
        <w:t>"</w:t>
      </w:r>
      <w:r w:rsidRPr="002C1AD0">
        <w:t xml:space="preserve">. </w:t>
      </w:r>
      <w:r w:rsidRPr="002C1AD0">
        <w:rPr>
          <w:i/>
        </w:rPr>
        <w:t>Erkenntnis</w:t>
      </w:r>
      <w:r>
        <w:t xml:space="preserve"> 2</w:t>
      </w:r>
      <w:r w:rsidRPr="002C1AD0">
        <w:t>: 219–</w:t>
      </w:r>
      <w:r>
        <w:tab/>
      </w:r>
      <w:r w:rsidRPr="002C1AD0">
        <w:t>241.</w:t>
      </w:r>
    </w:p>
    <w:p w14:paraId="7DF9C6EC" w14:textId="77777777" w:rsidR="086E6BFB" w:rsidRDefault="086E6BFB" w:rsidP="086E6BFB">
      <w:pPr>
        <w:pStyle w:val="Literatura"/>
      </w:pPr>
      <w:r>
        <w:t xml:space="preserve">Certeau, Michel (1975): </w:t>
      </w:r>
      <w:r w:rsidRPr="00325EC1">
        <w:rPr>
          <w:i/>
        </w:rPr>
        <w:t>L’Écriture de l’histoire</w:t>
      </w:r>
      <w:r>
        <w:t>. Paris: Gallimard</w:t>
      </w:r>
      <w:r w:rsidRPr="00325EC1">
        <w:t>.</w:t>
      </w:r>
    </w:p>
    <w:p w14:paraId="7251377B" w14:textId="77777777" w:rsidR="086E6BFB" w:rsidRDefault="086E6BFB" w:rsidP="086E6BFB">
      <w:pPr>
        <w:pStyle w:val="Literatura"/>
      </w:pPr>
      <w:r w:rsidRPr="00273106">
        <w:t>Constable, Giles</w:t>
      </w:r>
      <w:r>
        <w:t xml:space="preserve"> (1967):</w:t>
      </w:r>
      <w:r w:rsidRPr="00273106">
        <w:t xml:space="preserve"> </w:t>
      </w:r>
      <w:r w:rsidRPr="00273106">
        <w:rPr>
          <w:i/>
        </w:rPr>
        <w:t>The letters of Peter the Venerable</w:t>
      </w:r>
      <w:r w:rsidRPr="00273106">
        <w:t xml:space="preserve">, Band </w:t>
      </w:r>
      <w:r>
        <w:t>1, Harvard Univesity Press</w:t>
      </w:r>
      <w:r w:rsidRPr="00273106">
        <w:t>.</w:t>
      </w:r>
    </w:p>
    <w:p w14:paraId="30CA4B51" w14:textId="77777777" w:rsidR="00C76AD9" w:rsidRPr="00A16243" w:rsidRDefault="00C76AD9" w:rsidP="00C76AD9">
      <w:pPr>
        <w:pStyle w:val="Literatura"/>
      </w:pPr>
      <w:r w:rsidRPr="00A16243">
        <w:t xml:space="preserve">Corbin, Henry (1964): </w:t>
      </w:r>
      <w:r w:rsidRPr="00A16243">
        <w:rPr>
          <w:rFonts w:cs="Calibri"/>
        </w:rPr>
        <w:t>"Mundus imaginalis ou l'imaginaire et l'imaginal."</w:t>
      </w:r>
      <w:r w:rsidRPr="00A16243">
        <w:t xml:space="preserve"> </w:t>
      </w:r>
      <w:r w:rsidRPr="00A16243">
        <w:rPr>
          <w:i/>
        </w:rPr>
        <w:t>Cahiers internationaux de symbolisme</w:t>
      </w:r>
      <w:r w:rsidRPr="00A16243">
        <w:t xml:space="preserve"> </w:t>
      </w:r>
      <w:r>
        <w:tab/>
      </w:r>
      <w:r w:rsidRPr="00A16243">
        <w:t>6: 3–26.</w:t>
      </w:r>
    </w:p>
    <w:p w14:paraId="5BB82FFA" w14:textId="77777777" w:rsidR="086E6BFB" w:rsidRPr="00273106" w:rsidRDefault="086E6BFB" w:rsidP="086E6BFB">
      <w:pPr>
        <w:pStyle w:val="Literatura"/>
      </w:pPr>
      <w:r>
        <w:t>Corbini, Amos (2013): "</w:t>
      </w:r>
      <w:r w:rsidRPr="00273106">
        <w:t>Robert Kilwardby and the Aristotelian Theory of Science</w:t>
      </w:r>
      <w:r>
        <w:t xml:space="preserve">". </w:t>
      </w:r>
      <w:r w:rsidRPr="00273106">
        <w:rPr>
          <w:i/>
        </w:rPr>
        <w:t xml:space="preserve">A Companion to the </w:t>
      </w:r>
      <w:r>
        <w:rPr>
          <w:i/>
        </w:rPr>
        <w:tab/>
      </w:r>
      <w:r w:rsidRPr="00273106">
        <w:rPr>
          <w:i/>
        </w:rPr>
        <w:t>Philosophy of Robert Kilwardby</w:t>
      </w:r>
      <w:r>
        <w:t xml:space="preserve">, edited by </w:t>
      </w:r>
      <w:r w:rsidRPr="00273106">
        <w:t xml:space="preserve">Henrik Lagergrund </w:t>
      </w:r>
      <w:r>
        <w:t>and Paul Thom, Brill</w:t>
      </w:r>
      <w:r w:rsidRPr="00273106">
        <w:t>, pp. 163‒207.</w:t>
      </w:r>
    </w:p>
    <w:p w14:paraId="44156396" w14:textId="77777777" w:rsidR="086E6BFB" w:rsidRDefault="086E6BFB" w:rsidP="086E6BFB">
      <w:pPr>
        <w:pStyle w:val="Literatura"/>
      </w:pPr>
      <w:r w:rsidRPr="00273106">
        <w:rPr>
          <w:szCs w:val="28"/>
        </w:rPr>
        <w:t>Courtenay, J. William</w:t>
      </w:r>
      <w:r>
        <w:t xml:space="preserve"> (1992): "</w:t>
      </w:r>
      <w:r w:rsidRPr="00273106">
        <w:t>Peter of Capua as a Nominalist</w:t>
      </w:r>
      <w:r>
        <w:t>"</w:t>
      </w:r>
      <w:r w:rsidRPr="00273106">
        <w:t xml:space="preserve">. </w:t>
      </w:r>
      <w:r w:rsidRPr="00273106">
        <w:rPr>
          <w:i/>
        </w:rPr>
        <w:t>Vivarium</w:t>
      </w:r>
      <w:r>
        <w:t xml:space="preserve"> </w:t>
      </w:r>
      <w:r w:rsidRPr="00273106">
        <w:t>30</w:t>
      </w:r>
      <w:r>
        <w:t>: 157‒</w:t>
      </w:r>
      <w:r w:rsidRPr="00273106">
        <w:t>172.</w:t>
      </w:r>
    </w:p>
    <w:p w14:paraId="039A3C33" w14:textId="77777777" w:rsidR="086E6BFB" w:rsidRPr="00164903" w:rsidRDefault="086E6BFB" w:rsidP="086E6BFB">
      <w:pPr>
        <w:pStyle w:val="Literatura"/>
      </w:pPr>
      <w:r>
        <w:t xml:space="preserve">‒ (2008): </w:t>
      </w:r>
      <w:r w:rsidRPr="00273106">
        <w:rPr>
          <w:i/>
          <w:szCs w:val="60"/>
        </w:rPr>
        <w:t>Ockham and Ockhamism</w:t>
      </w:r>
      <w:r w:rsidRPr="00273106">
        <w:rPr>
          <w:i/>
        </w:rPr>
        <w:t xml:space="preserve">. </w:t>
      </w:r>
      <w:r w:rsidRPr="00273106">
        <w:rPr>
          <w:i/>
          <w:szCs w:val="32"/>
        </w:rPr>
        <w:t>Studies in the Dissemination and Impact of His Thought</w:t>
      </w:r>
      <w:r w:rsidRPr="00273106">
        <w:rPr>
          <w:szCs w:val="32"/>
        </w:rPr>
        <w:t xml:space="preserve">. </w:t>
      </w:r>
      <w:r w:rsidRPr="00273106">
        <w:rPr>
          <w:szCs w:val="18"/>
        </w:rPr>
        <w:t>Leiden</w:t>
      </w:r>
      <w:r>
        <w:rPr>
          <w:szCs w:val="18"/>
        </w:rPr>
        <w:t>: Brill</w:t>
      </w:r>
      <w:r w:rsidRPr="00273106">
        <w:rPr>
          <w:szCs w:val="18"/>
        </w:rPr>
        <w:t xml:space="preserve">. </w:t>
      </w:r>
    </w:p>
    <w:p w14:paraId="4F0427AD" w14:textId="77777777" w:rsidR="086E6BFB" w:rsidRPr="00273106" w:rsidRDefault="086E6BFB" w:rsidP="086E6BFB">
      <w:pPr>
        <w:pStyle w:val="Literatura"/>
      </w:pPr>
      <w:r w:rsidRPr="00273106">
        <w:t>Courtine,  Jean-François</w:t>
      </w:r>
      <w:r>
        <w:t xml:space="preserve"> (1990): </w:t>
      </w:r>
      <w:r w:rsidRPr="00273106">
        <w:rPr>
          <w:i/>
        </w:rPr>
        <w:t>Suarez et le système de la métaphysique</w:t>
      </w:r>
      <w:r w:rsidRPr="00273106">
        <w:t>. Paris: Presses Univ</w:t>
      </w:r>
      <w:r>
        <w:t xml:space="preserve">ersitaires de </w:t>
      </w:r>
      <w:r>
        <w:tab/>
        <w:t>France</w:t>
      </w:r>
      <w:r w:rsidRPr="00273106">
        <w:t>.</w:t>
      </w:r>
    </w:p>
    <w:p w14:paraId="6D72E5B2" w14:textId="77777777" w:rsidR="08B53E42" w:rsidRDefault="08B53E42" w:rsidP="086E6BFB">
      <w:pPr>
        <w:pStyle w:val="Literatura"/>
      </w:pPr>
      <w:r>
        <w:t xml:space="preserve">Crone, Patricia (2004): </w:t>
      </w:r>
      <w:r w:rsidRPr="089332BC">
        <w:rPr>
          <w:i/>
        </w:rPr>
        <w:t>God's Rule. Gov</w:t>
      </w:r>
      <w:r>
        <w:rPr>
          <w:i/>
        </w:rPr>
        <w:t>ernm</w:t>
      </w:r>
      <w:r w:rsidRPr="089332BC">
        <w:rPr>
          <w:i/>
        </w:rPr>
        <w:t>e</w:t>
      </w:r>
      <w:r>
        <w:rPr>
          <w:i/>
        </w:rPr>
        <w:t>n</w:t>
      </w:r>
      <w:r w:rsidRPr="089332BC">
        <w:rPr>
          <w:i/>
        </w:rPr>
        <w:t>t and Islam</w:t>
      </w:r>
      <w:r>
        <w:t>. New York: Columbia University Press.</w:t>
      </w:r>
    </w:p>
    <w:p w14:paraId="6BE2D34D" w14:textId="77777777" w:rsidR="086E6BFB" w:rsidRPr="00DC61FB" w:rsidRDefault="086E6BFB" w:rsidP="086E6BFB">
      <w:pPr>
        <w:pStyle w:val="Literatura"/>
      </w:pPr>
      <w:r>
        <w:t xml:space="preserve">Dante </w:t>
      </w:r>
      <w:r w:rsidRPr="00273106">
        <w:t>Alighieri</w:t>
      </w:r>
      <w:r>
        <w:t xml:space="preserve"> </w:t>
      </w:r>
      <w:r w:rsidRPr="00DC61FB">
        <w:t>(</w:t>
      </w:r>
      <w:r>
        <w:t>1997‒</w:t>
      </w:r>
      <w:r w:rsidRPr="00DC61FB">
        <w:t>1999)</w:t>
      </w:r>
      <w:r>
        <w:t>:</w:t>
      </w:r>
      <w:r w:rsidRPr="00DC61FB">
        <w:t xml:space="preserve"> </w:t>
      </w:r>
      <w:r w:rsidRPr="00DC61FB">
        <w:rPr>
          <w:i/>
        </w:rPr>
        <w:t>La Comedìa.</w:t>
      </w:r>
      <w:r>
        <w:rPr>
          <w:b/>
          <w:bCs/>
          <w:i/>
          <w:iCs/>
        </w:rPr>
        <w:t xml:space="preserve"> </w:t>
      </w:r>
      <w:r w:rsidRPr="00DC61FB">
        <w:t xml:space="preserve">The Princeton Dante project. The Trustees of Princeton University </w:t>
      </w:r>
      <w:r>
        <w:rPr>
          <w:szCs w:val="18"/>
        </w:rPr>
        <w:tab/>
      </w:r>
      <w:r w:rsidRPr="00DC61FB">
        <w:t>and Prof. Robert Hollander.</w:t>
      </w:r>
    </w:p>
    <w:p w14:paraId="77D111B4" w14:textId="77777777" w:rsidR="086E6BFB" w:rsidRPr="00273106" w:rsidRDefault="086E6BFB" w:rsidP="086E6BFB">
      <w:pPr>
        <w:pStyle w:val="Literatura"/>
      </w:pPr>
      <w:r>
        <w:t>‒ (1965):</w:t>
      </w:r>
      <w:r w:rsidRPr="00273106">
        <w:t xml:space="preserve"> </w:t>
      </w:r>
      <w:r w:rsidRPr="00273106">
        <w:rPr>
          <w:i/>
        </w:rPr>
        <w:t>Monarchia. Le opere di Dante Alighieri</w:t>
      </w:r>
      <w:r>
        <w:t xml:space="preserve"> V, edited by </w:t>
      </w:r>
      <w:r w:rsidRPr="00273106">
        <w:t>P. G. Ri</w:t>
      </w:r>
      <w:r>
        <w:t>cci, Milano: Mondadori</w:t>
      </w:r>
      <w:r w:rsidRPr="00273106">
        <w:t>.</w:t>
      </w:r>
    </w:p>
    <w:p w14:paraId="2AA1136A" w14:textId="77777777" w:rsidR="086E6BFB" w:rsidRDefault="086E6BFB" w:rsidP="086E6BFB">
      <w:pPr>
        <w:pStyle w:val="Literatura"/>
      </w:pPr>
      <w:r>
        <w:t>D'Ancona, Cristina (1998): "</w:t>
      </w:r>
      <w:r w:rsidRPr="00273106">
        <w:t xml:space="preserve">Al-Kindī on the Subject-Matter of the First Philosophy. Direct and Indirect Sources </w:t>
      </w:r>
      <w:r>
        <w:tab/>
      </w:r>
      <w:r w:rsidRPr="00273106">
        <w:t xml:space="preserve">of Falsafa </w:t>
      </w:r>
      <w:r>
        <w:t xml:space="preserve">al-ūlā, Chaper One." </w:t>
      </w:r>
      <w:r w:rsidRPr="00273106">
        <w:rPr>
          <w:i/>
          <w:iCs/>
        </w:rPr>
        <w:t>Was ist Philosophie im Mittelalter</w:t>
      </w:r>
      <w:r>
        <w:rPr>
          <w:i/>
          <w:iCs/>
        </w:rPr>
        <w:t xml:space="preserve">, </w:t>
      </w:r>
      <w:r w:rsidRPr="00BB3DE9">
        <w:rPr>
          <w:iCs/>
        </w:rPr>
        <w:t xml:space="preserve">edited by </w:t>
      </w:r>
      <w:r w:rsidRPr="00BB3DE9">
        <w:t>J. A. Aertsen and A. Spee</w:t>
      </w:r>
      <w:r>
        <w:t>r</w:t>
      </w:r>
      <w:r w:rsidRPr="00273106">
        <w:t xml:space="preserve">, </w:t>
      </w:r>
      <w:r>
        <w:tab/>
      </w:r>
      <w:r w:rsidRPr="00273106">
        <w:t>Miscellanea Mediaevalia 26, Berlin-New York</w:t>
      </w:r>
      <w:r>
        <w:t>:</w:t>
      </w:r>
      <w:r w:rsidRPr="00273106">
        <w:t xml:space="preserve"> </w:t>
      </w:r>
      <w:r>
        <w:t xml:space="preserve">Walter de Gruyter, </w:t>
      </w:r>
      <w:r w:rsidRPr="00273106">
        <w:t>pp. 841–855.</w:t>
      </w:r>
    </w:p>
    <w:p w14:paraId="00728814" w14:textId="77777777" w:rsidR="086E6BFB" w:rsidRDefault="086E6BFB" w:rsidP="086E6BFB">
      <w:pPr>
        <w:pStyle w:val="Literatura"/>
      </w:pPr>
      <w:r>
        <w:t>‒ (2008): "</w:t>
      </w:r>
      <w:r w:rsidRPr="00273106">
        <w:t>Degrees of Abstraction in Avicenna</w:t>
      </w:r>
      <w:r>
        <w:t xml:space="preserve">". </w:t>
      </w:r>
      <w:r w:rsidRPr="00273106">
        <w:rPr>
          <w:i/>
        </w:rPr>
        <w:t xml:space="preserve">Theories of Perception in Medieval and Early Modern </w:t>
      </w:r>
      <w:r>
        <w:rPr>
          <w:i/>
        </w:rPr>
        <w:tab/>
      </w:r>
      <w:r w:rsidRPr="00273106">
        <w:rPr>
          <w:i/>
        </w:rPr>
        <w:t>Philosophy</w:t>
      </w:r>
      <w:r>
        <w:t xml:space="preserve">, edited by </w:t>
      </w:r>
      <w:r w:rsidRPr="00273106">
        <w:t xml:space="preserve">Simo Knuuttila </w:t>
      </w:r>
      <w:r>
        <w:t xml:space="preserve">and </w:t>
      </w:r>
      <w:r w:rsidRPr="00273106">
        <w:t>Pekka Kärkkäinen</w:t>
      </w:r>
      <w:r>
        <w:t xml:space="preserve">, </w:t>
      </w:r>
      <w:r w:rsidRPr="00273106">
        <w:t xml:space="preserve">Studies in the History of Philosophy of </w:t>
      </w:r>
      <w:r>
        <w:rPr>
          <w:i/>
        </w:rPr>
        <w:tab/>
      </w:r>
      <w:r w:rsidRPr="00273106">
        <w:t>M</w:t>
      </w:r>
      <w:r>
        <w:t xml:space="preserve">ind 6, </w:t>
      </w:r>
      <w:r w:rsidRPr="00273106">
        <w:t xml:space="preserve">pp. 47‒71. </w:t>
      </w:r>
    </w:p>
    <w:p w14:paraId="44DB0E14" w14:textId="77777777" w:rsidR="086E6BFB" w:rsidRPr="001D3B80" w:rsidRDefault="086E6BFB" w:rsidP="086E6BFB">
      <w:pPr>
        <w:pStyle w:val="Literatura"/>
      </w:pPr>
      <w:r w:rsidRPr="00273106">
        <w:t>Dales, C. Richard</w:t>
      </w:r>
      <w:r>
        <w:t xml:space="preserve"> (1987): "</w:t>
      </w:r>
      <w:r w:rsidRPr="00273106">
        <w:rPr>
          <w:szCs w:val="24"/>
        </w:rPr>
        <w:t>Early Latin Discussions of the Eternity of the World in the Thirteenth Century</w:t>
      </w:r>
      <w:r>
        <w:rPr>
          <w:szCs w:val="24"/>
        </w:rPr>
        <w:t>"</w:t>
      </w:r>
      <w:r w:rsidRPr="00273106">
        <w:rPr>
          <w:szCs w:val="24"/>
        </w:rPr>
        <w:t>.</w:t>
      </w:r>
      <w:r>
        <w:rPr>
          <w:szCs w:val="24"/>
        </w:rPr>
        <w:t xml:space="preserve"> </w:t>
      </w:r>
      <w:r>
        <w:rPr>
          <w:szCs w:val="24"/>
        </w:rPr>
        <w:tab/>
      </w:r>
      <w:r w:rsidRPr="00273106">
        <w:rPr>
          <w:i/>
          <w:szCs w:val="22"/>
        </w:rPr>
        <w:t>Traditio</w:t>
      </w:r>
      <w:r>
        <w:rPr>
          <w:szCs w:val="22"/>
        </w:rPr>
        <w:t xml:space="preserve"> 43</w:t>
      </w:r>
      <w:r w:rsidRPr="00273106">
        <w:rPr>
          <w:szCs w:val="22"/>
        </w:rPr>
        <w:t>:</w:t>
      </w:r>
      <w:r>
        <w:rPr>
          <w:szCs w:val="22"/>
        </w:rPr>
        <w:t xml:space="preserve"> 171‒</w:t>
      </w:r>
      <w:r w:rsidRPr="00273106">
        <w:rPr>
          <w:szCs w:val="22"/>
        </w:rPr>
        <w:t>197.</w:t>
      </w:r>
    </w:p>
    <w:p w14:paraId="22B7F28E" w14:textId="77777777" w:rsidR="086E6BFB" w:rsidRPr="00273106" w:rsidRDefault="086E6BFB" w:rsidP="086E6BFB">
      <w:pPr>
        <w:pStyle w:val="Literatura"/>
      </w:pPr>
      <w:r>
        <w:t xml:space="preserve">‒ (1995): </w:t>
      </w:r>
      <w:r w:rsidRPr="00273106">
        <w:rPr>
          <w:i/>
        </w:rPr>
        <w:t>The Problem of the Rational Soul in the Thirteenth Century</w:t>
      </w:r>
      <w:r>
        <w:t>. Leiden: E. J. Brill</w:t>
      </w:r>
      <w:r w:rsidRPr="00273106">
        <w:t>.</w:t>
      </w:r>
    </w:p>
    <w:p w14:paraId="05E0F600" w14:textId="77777777" w:rsidR="086E6BFB" w:rsidRDefault="086E6BFB" w:rsidP="086E6BFB">
      <w:pPr>
        <w:pStyle w:val="Literatura"/>
      </w:pPr>
      <w:r w:rsidRPr="00273106">
        <w:rPr>
          <w:szCs w:val="22"/>
        </w:rPr>
        <w:t>David de Dinant</w:t>
      </w:r>
      <w:r>
        <w:rPr>
          <w:szCs w:val="22"/>
        </w:rPr>
        <w:t xml:space="preserve"> (2003):</w:t>
      </w:r>
      <w:r w:rsidRPr="00273106">
        <w:rPr>
          <w:szCs w:val="22"/>
        </w:rPr>
        <w:t xml:space="preserve"> Sur le fragment &lt;Hyle, Mens, Deus&gt; des Quaternuli. </w:t>
      </w:r>
      <w:r>
        <w:rPr>
          <w:szCs w:val="22"/>
        </w:rPr>
        <w:t xml:space="preserve">Edited by </w:t>
      </w:r>
      <w:r w:rsidRPr="00273106">
        <w:rPr>
          <w:szCs w:val="22"/>
        </w:rPr>
        <w:t>Tristan Dagron</w:t>
      </w:r>
      <w:r>
        <w:rPr>
          <w:szCs w:val="22"/>
        </w:rPr>
        <w:t xml:space="preserve">. </w:t>
      </w:r>
      <w:r w:rsidRPr="00273106">
        <w:rPr>
          <w:i/>
          <w:szCs w:val="22"/>
        </w:rPr>
        <w:t xml:space="preserve">Revue de </w:t>
      </w:r>
      <w:r>
        <w:rPr>
          <w:i/>
          <w:szCs w:val="22"/>
        </w:rPr>
        <w:tab/>
      </w:r>
      <w:r w:rsidRPr="00273106">
        <w:rPr>
          <w:i/>
          <w:szCs w:val="22"/>
        </w:rPr>
        <w:t>Métaphysique et de Morale</w:t>
      </w:r>
      <w:r>
        <w:rPr>
          <w:szCs w:val="22"/>
        </w:rPr>
        <w:t xml:space="preserve"> 4</w:t>
      </w:r>
      <w:r w:rsidRPr="00273106">
        <w:rPr>
          <w:szCs w:val="22"/>
        </w:rPr>
        <w:t>: 419‒436.</w:t>
      </w:r>
      <w:r>
        <w:t xml:space="preserve"> </w:t>
      </w:r>
    </w:p>
    <w:p w14:paraId="224A0B42" w14:textId="77777777" w:rsidR="086E6BFB" w:rsidRPr="00273106" w:rsidRDefault="086E6BFB" w:rsidP="086E6BFB">
      <w:pPr>
        <w:pStyle w:val="Literatura"/>
      </w:pPr>
      <w:r w:rsidRPr="00273106">
        <w:t>Davidson, A. Herbert</w:t>
      </w:r>
      <w:r>
        <w:t xml:space="preserve"> (1992): </w:t>
      </w:r>
      <w:r w:rsidRPr="00273106">
        <w:rPr>
          <w:i/>
        </w:rPr>
        <w:t>Alfarabi, Avicenna, and Averroes, on Intellect</w:t>
      </w:r>
      <w:r w:rsidRPr="00273106">
        <w:t xml:space="preserve">. </w:t>
      </w:r>
      <w:r>
        <w:t>Oxford University Press</w:t>
      </w:r>
      <w:r w:rsidRPr="00273106">
        <w:t>.</w:t>
      </w:r>
    </w:p>
    <w:p w14:paraId="0D9EB1BB" w14:textId="77777777" w:rsidR="08FC1012" w:rsidRDefault="08FC1012" w:rsidP="08FC1012">
      <w:pPr>
        <w:pStyle w:val="Literatura"/>
      </w:pPr>
      <w:r w:rsidRPr="00885734">
        <w:t xml:space="preserve">De Cillis, Maria (2013): </w:t>
      </w:r>
      <w:r w:rsidRPr="00885734">
        <w:rPr>
          <w:i/>
        </w:rPr>
        <w:t xml:space="preserve">Free Will and Predestination in Islamic Thought: Theoretical Compromises in the Works </w:t>
      </w:r>
      <w:r w:rsidRPr="000612B6">
        <w:tab/>
      </w:r>
      <w:r w:rsidRPr="00885734">
        <w:rPr>
          <w:i/>
        </w:rPr>
        <w:t>of Avicenna, al-Ghazali and Ibn 'Arabi</w:t>
      </w:r>
      <w:r w:rsidRPr="00885734">
        <w:t>. London: Routledge.</w:t>
      </w:r>
    </w:p>
    <w:p w14:paraId="1C1502BE" w14:textId="77777777" w:rsidR="086E6BFB" w:rsidRPr="00273106" w:rsidRDefault="086E6BFB" w:rsidP="086E6BFB">
      <w:pPr>
        <w:pStyle w:val="Literatura"/>
        <w:rPr>
          <w:rStyle w:val="Podtitul1"/>
        </w:rPr>
      </w:pPr>
      <w:r w:rsidRPr="00273106">
        <w:t xml:space="preserve">De Haas, Frans A. J. </w:t>
      </w:r>
      <w:r>
        <w:t xml:space="preserve">(1977): </w:t>
      </w:r>
      <w:r w:rsidRPr="00273106">
        <w:rPr>
          <w:rStyle w:val="fn"/>
          <w:i/>
        </w:rPr>
        <w:t>John Philoponus' New Definition of Prime Matter</w:t>
      </w:r>
      <w:r w:rsidRPr="00273106">
        <w:rPr>
          <w:i/>
        </w:rPr>
        <w:t xml:space="preserve">: </w:t>
      </w:r>
      <w:r w:rsidRPr="00273106">
        <w:rPr>
          <w:rStyle w:val="Podtitul1"/>
          <w:i/>
        </w:rPr>
        <w:t xml:space="preserve">Aspects of Its Background in </w:t>
      </w:r>
      <w:r>
        <w:rPr>
          <w:rStyle w:val="Podtitul1"/>
          <w:i/>
        </w:rPr>
        <w:tab/>
      </w:r>
      <w:r w:rsidRPr="00273106">
        <w:rPr>
          <w:rStyle w:val="Podtitul1"/>
          <w:i/>
        </w:rPr>
        <w:t>Neoplatonism and the Ancient Commentary Tradition</w:t>
      </w:r>
      <w:r w:rsidRPr="00273106">
        <w:rPr>
          <w:rStyle w:val="Podtitul1"/>
        </w:rPr>
        <w:t xml:space="preserve">. </w:t>
      </w:r>
      <w:r>
        <w:rPr>
          <w:rStyle w:val="Podtitul1"/>
        </w:rPr>
        <w:t>Leiden: Brill</w:t>
      </w:r>
      <w:r w:rsidRPr="00273106">
        <w:rPr>
          <w:rStyle w:val="Podtitul1"/>
        </w:rPr>
        <w:t>.</w:t>
      </w:r>
    </w:p>
    <w:p w14:paraId="6D16E227" w14:textId="77777777" w:rsidR="086E6BFB" w:rsidRDefault="086E6BFB" w:rsidP="086E6BFB">
      <w:pPr>
        <w:pStyle w:val="Literatura"/>
      </w:pPr>
      <w:r w:rsidRPr="00273106">
        <w:t>De Vaux, Roland</w:t>
      </w:r>
      <w:r>
        <w:t xml:space="preserve"> (1933): "</w:t>
      </w:r>
      <w:r w:rsidRPr="00273106">
        <w:t>La première entrée d'Averroès chez les Latins</w:t>
      </w:r>
      <w:r>
        <w:t xml:space="preserve">". </w:t>
      </w:r>
      <w:r w:rsidRPr="00273106">
        <w:rPr>
          <w:i/>
        </w:rPr>
        <w:t xml:space="preserve">Revue des Sciences philosophiques et </w:t>
      </w:r>
      <w:r>
        <w:rPr>
          <w:i/>
        </w:rPr>
        <w:tab/>
      </w:r>
      <w:r w:rsidRPr="00273106">
        <w:rPr>
          <w:i/>
        </w:rPr>
        <w:t xml:space="preserve">théologiques </w:t>
      </w:r>
      <w:r>
        <w:t>XXII</w:t>
      </w:r>
      <w:r w:rsidRPr="00273106">
        <w:t>, pp. 193–245.</w:t>
      </w:r>
    </w:p>
    <w:p w14:paraId="21EED5AD" w14:textId="77777777" w:rsidR="086E6BFB" w:rsidRPr="00273106" w:rsidRDefault="086E6BFB" w:rsidP="086E6BFB">
      <w:pPr>
        <w:pStyle w:val="Literatura"/>
      </w:pPr>
      <w:r>
        <w:t xml:space="preserve">‒ (1934): </w:t>
      </w:r>
      <w:r w:rsidRPr="00273106">
        <w:rPr>
          <w:i/>
        </w:rPr>
        <w:t>Notes et textes sur l’Avicennisme latin aux confins des Xlle–Xllle siècles</w:t>
      </w:r>
      <w:r>
        <w:t>. Paris: J. Vrin.</w:t>
      </w:r>
    </w:p>
    <w:p w14:paraId="628809B7" w14:textId="77777777" w:rsidR="086E6BFB" w:rsidRPr="00273106" w:rsidRDefault="086E6BFB" w:rsidP="086E6BFB">
      <w:pPr>
        <w:pStyle w:val="Literatura"/>
      </w:pPr>
      <w:r w:rsidRPr="00273106">
        <w:t>Decorte, Jos</w:t>
      </w:r>
      <w:r>
        <w:t xml:space="preserve"> (2002): "</w:t>
      </w:r>
      <w:r w:rsidRPr="00273106">
        <w:t>Avicenna's Ontology of Relation: a Source of Inspiration to Henry of Ghent</w:t>
      </w:r>
      <w:r>
        <w:t>"</w:t>
      </w:r>
      <w:r w:rsidRPr="00273106">
        <w:t xml:space="preserve">. </w:t>
      </w:r>
      <w:r w:rsidRPr="00273106">
        <w:rPr>
          <w:i/>
        </w:rPr>
        <w:t xml:space="preserve">Avicenna and </w:t>
      </w:r>
      <w:r>
        <w:rPr>
          <w:i/>
        </w:rPr>
        <w:tab/>
      </w:r>
      <w:r w:rsidRPr="00273106">
        <w:rPr>
          <w:i/>
        </w:rPr>
        <w:t xml:space="preserve">his Heritage. Acts of the International Colloquium Leuven – Louvain-la-Neuve (September 8-September </w:t>
      </w:r>
      <w:r>
        <w:rPr>
          <w:i/>
        </w:rPr>
        <w:tab/>
      </w:r>
      <w:r w:rsidRPr="00273106">
        <w:rPr>
          <w:i/>
        </w:rPr>
        <w:t xml:space="preserve">11, </w:t>
      </w:r>
      <w:r>
        <w:rPr>
          <w:rStyle w:val="st"/>
        </w:rPr>
        <w:tab/>
      </w:r>
      <w:r w:rsidRPr="00273106">
        <w:rPr>
          <w:i/>
        </w:rPr>
        <w:t>1999)</w:t>
      </w:r>
      <w:r>
        <w:t xml:space="preserve">, edited by Jules </w:t>
      </w:r>
      <w:r w:rsidRPr="00273106">
        <w:t>Janssens</w:t>
      </w:r>
      <w:r>
        <w:t xml:space="preserve"> and </w:t>
      </w:r>
      <w:r w:rsidRPr="00273106">
        <w:t xml:space="preserve">Daniël </w:t>
      </w:r>
      <w:r>
        <w:t>d</w:t>
      </w:r>
      <w:r w:rsidRPr="00273106">
        <w:t>e Smet, Leuven: Leuven University Press, pp. 197‒224.</w:t>
      </w:r>
    </w:p>
    <w:p w14:paraId="17E99058" w14:textId="77777777" w:rsidR="086E6BFB" w:rsidRDefault="086E6BFB" w:rsidP="086E6BFB">
      <w:pPr>
        <w:pStyle w:val="Literatura"/>
      </w:pPr>
      <w:r>
        <w:t xml:space="preserve">Derrida, Jacques (1967): </w:t>
      </w:r>
      <w:r w:rsidRPr="00BA5511">
        <w:rPr>
          <w:i/>
        </w:rPr>
        <w:t>Écriture et différance</w:t>
      </w:r>
      <w:r>
        <w:t xml:space="preserve">. Paris, </w:t>
      </w:r>
      <w:r w:rsidRPr="00BA5511">
        <w:t>Éditions du Seuil</w:t>
      </w:r>
      <w:r>
        <w:t>.</w:t>
      </w:r>
    </w:p>
    <w:p w14:paraId="765331CB" w14:textId="77777777" w:rsidR="086E6BFB" w:rsidRDefault="086E6BFB" w:rsidP="086E6BFB">
      <w:pPr>
        <w:pStyle w:val="Literatura"/>
      </w:pPr>
      <w:r w:rsidRPr="00273106">
        <w:t>Destrez, Jean</w:t>
      </w:r>
      <w:r>
        <w:t xml:space="preserve"> (1930): </w:t>
      </w:r>
      <w:r w:rsidRPr="00273106">
        <w:rPr>
          <w:i/>
        </w:rPr>
        <w:t xml:space="preserve">La lettre de Saint Thomas d'Aquin dite lettre au lecteur de Venise d'après la tradition </w:t>
      </w:r>
      <w:r>
        <w:rPr>
          <w:i/>
        </w:rPr>
        <w:tab/>
      </w:r>
      <w:r w:rsidRPr="00273106">
        <w:rPr>
          <w:i/>
        </w:rPr>
        <w:t>manuscrite</w:t>
      </w:r>
      <w:r w:rsidRPr="00273106">
        <w:t>. Paris: Vrin.</w:t>
      </w:r>
    </w:p>
    <w:p w14:paraId="70AA30EE" w14:textId="77777777" w:rsidR="086E6BFB" w:rsidRDefault="086E6BFB" w:rsidP="086E6BFB">
      <w:pPr>
        <w:pStyle w:val="Literatura"/>
      </w:pPr>
      <w:r>
        <w:t xml:space="preserve">Detienne, Marcel (1967): </w:t>
      </w:r>
      <w:r>
        <w:rPr>
          <w:i/>
          <w:iCs/>
        </w:rPr>
        <w:t>Les maîtres de vérité dans la Grèce archaïque</w:t>
      </w:r>
      <w:r>
        <w:t>. Paris: François Maspero.</w:t>
      </w:r>
    </w:p>
    <w:p w14:paraId="4C2401C9" w14:textId="77777777" w:rsidR="086E6BFB" w:rsidRDefault="086E6BFB" w:rsidP="086E6BFB">
      <w:pPr>
        <w:pStyle w:val="Literatura"/>
        <w:rPr>
          <w:rStyle w:val="st"/>
        </w:rPr>
      </w:pPr>
      <w:r>
        <w:t>‒</w:t>
      </w:r>
      <w:r>
        <w:rPr>
          <w:rFonts w:cs="Calibri"/>
        </w:rPr>
        <w:t xml:space="preserve"> (1998): </w:t>
      </w:r>
      <w:r w:rsidRPr="08574470">
        <w:rPr>
          <w:rFonts w:cs="Calibri"/>
          <w:i/>
        </w:rPr>
        <w:t>Apollon le coutaux à la main</w:t>
      </w:r>
      <w:r>
        <w:rPr>
          <w:rFonts w:cs="Calibri"/>
        </w:rPr>
        <w:t>. Paris: Gallimard.</w:t>
      </w:r>
    </w:p>
    <w:p w14:paraId="1C656871" w14:textId="77777777" w:rsidR="086E6BFB" w:rsidRDefault="086E6BFB" w:rsidP="086E6BFB">
      <w:pPr>
        <w:pStyle w:val="Literatura"/>
      </w:pPr>
      <w:r>
        <w:t xml:space="preserve">Diels, Hermann (1951/52). </w:t>
      </w:r>
      <w:r>
        <w:rPr>
          <w:i/>
          <w:iCs/>
        </w:rPr>
        <w:t>Die Fragmente der Vorsokratiker I-III</w:t>
      </w:r>
      <w:r>
        <w:t xml:space="preserve">. </w:t>
      </w:r>
      <w:r w:rsidRPr="00C574A2">
        <w:rPr>
          <w:i/>
        </w:rPr>
        <w:t>Herausgegeben von Walter Kranz</w:t>
      </w:r>
      <w:r>
        <w:t xml:space="preserve">. Curych: </w:t>
      </w:r>
      <w:r>
        <w:tab/>
        <w:t>Weidmann.</w:t>
      </w:r>
    </w:p>
    <w:p w14:paraId="79648A85" w14:textId="77777777" w:rsidR="086E6BFB" w:rsidRPr="00273106" w:rsidRDefault="086E6BFB" w:rsidP="086E6BFB">
      <w:pPr>
        <w:pStyle w:val="Literatura"/>
      </w:pPr>
      <w:r>
        <w:rPr>
          <w:rStyle w:val="st"/>
        </w:rPr>
        <w:t xml:space="preserve">Di </w:t>
      </w:r>
      <w:r w:rsidRPr="00273106">
        <w:rPr>
          <w:rStyle w:val="st"/>
        </w:rPr>
        <w:t>Giovanni, Matteo</w:t>
      </w:r>
      <w:r>
        <w:rPr>
          <w:rStyle w:val="st"/>
        </w:rPr>
        <w:t xml:space="preserve"> (2004): "</w:t>
      </w:r>
      <w:r w:rsidRPr="00273106">
        <w:rPr>
          <w:rStyle w:val="st"/>
          <w:bCs/>
        </w:rPr>
        <w:t>Averroes on the Doctrine of Genus as Matter</w:t>
      </w:r>
      <w:r>
        <w:rPr>
          <w:rStyle w:val="st"/>
          <w:bCs/>
        </w:rPr>
        <w:t xml:space="preserve">". </w:t>
      </w:r>
      <w:r w:rsidRPr="00273106">
        <w:rPr>
          <w:rStyle w:val="st"/>
          <w:i/>
        </w:rPr>
        <w:t xml:space="preserve">Documenti e Studi sulla Tradizione </w:t>
      </w:r>
      <w:r>
        <w:rPr>
          <w:rStyle w:val="st"/>
          <w:i/>
        </w:rPr>
        <w:tab/>
      </w:r>
      <w:r w:rsidRPr="00273106">
        <w:rPr>
          <w:rStyle w:val="st"/>
          <w:i/>
        </w:rPr>
        <w:t xml:space="preserve">Filosofica Medievale </w:t>
      </w:r>
      <w:r w:rsidRPr="00294526">
        <w:rPr>
          <w:rStyle w:val="st"/>
        </w:rPr>
        <w:t>15</w:t>
      </w:r>
      <w:r>
        <w:rPr>
          <w:rStyle w:val="st"/>
        </w:rPr>
        <w:t>: 255‒</w:t>
      </w:r>
      <w:r w:rsidRPr="00273106">
        <w:rPr>
          <w:rStyle w:val="st"/>
        </w:rPr>
        <w:t>285.</w:t>
      </w:r>
    </w:p>
    <w:p w14:paraId="2122F77F" w14:textId="77777777" w:rsidR="086E6BFB" w:rsidRPr="00273106" w:rsidRDefault="086E6BFB" w:rsidP="086E6BFB">
      <w:pPr>
        <w:pStyle w:val="Literatura"/>
      </w:pPr>
      <w:r w:rsidRPr="00273106">
        <w:t xml:space="preserve">Druart, </w:t>
      </w:r>
      <w:r w:rsidRPr="00273106">
        <w:rPr>
          <w:rStyle w:val="st"/>
        </w:rPr>
        <w:t>Thérèse-Anne</w:t>
      </w:r>
      <w:r>
        <w:rPr>
          <w:rStyle w:val="st"/>
        </w:rPr>
        <w:t xml:space="preserve"> (1988): "</w:t>
      </w:r>
      <w:r w:rsidRPr="00273106">
        <w:t>The Soul-Body Problem: Avicenna and Descartes</w:t>
      </w:r>
      <w:r>
        <w:t>".</w:t>
      </w:r>
      <w:r w:rsidRPr="00294526">
        <w:rPr>
          <w:i/>
        </w:rPr>
        <w:t xml:space="preserve"> </w:t>
      </w:r>
      <w:r w:rsidRPr="00273106">
        <w:rPr>
          <w:i/>
        </w:rPr>
        <w:t xml:space="preserve">Arabic Philosophy and the </w:t>
      </w:r>
      <w:r>
        <w:rPr>
          <w:i/>
        </w:rPr>
        <w:tab/>
      </w:r>
      <w:r w:rsidRPr="00273106">
        <w:rPr>
          <w:i/>
        </w:rPr>
        <w:t>West: Continuity and Interaction</w:t>
      </w:r>
      <w:r>
        <w:t xml:space="preserve">, edited by </w:t>
      </w:r>
      <w:r w:rsidRPr="00273106">
        <w:rPr>
          <w:rStyle w:val="st"/>
        </w:rPr>
        <w:t>Thérèse-Anne</w:t>
      </w:r>
      <w:r>
        <w:t xml:space="preserve"> Druart, </w:t>
      </w:r>
      <w:r w:rsidRPr="00273106">
        <w:t xml:space="preserve">Washington, D.C.: Center for </w:t>
      </w:r>
      <w:r>
        <w:tab/>
      </w:r>
      <w:r w:rsidRPr="00273106">
        <w:t>Contemporary Arab Stud</w:t>
      </w:r>
      <w:r>
        <w:t>ies, Georgetown University</w:t>
      </w:r>
      <w:r w:rsidRPr="00273106">
        <w:t xml:space="preserve">, pp. 27–49. </w:t>
      </w:r>
    </w:p>
    <w:p w14:paraId="557D7B42" w14:textId="77777777" w:rsidR="086E6BFB" w:rsidRPr="00273106" w:rsidRDefault="086E6BFB" w:rsidP="086E6BFB">
      <w:pPr>
        <w:pStyle w:val="Literatura"/>
      </w:pPr>
      <w:r w:rsidRPr="00273106">
        <w:rPr>
          <w:szCs w:val="24"/>
        </w:rPr>
        <w:t>Easton, C. Stewart</w:t>
      </w:r>
      <w:r>
        <w:rPr>
          <w:szCs w:val="24"/>
        </w:rPr>
        <w:t xml:space="preserve"> (1971):</w:t>
      </w:r>
      <w:r w:rsidRPr="00273106">
        <w:rPr>
          <w:szCs w:val="24"/>
        </w:rPr>
        <w:t xml:space="preserve"> </w:t>
      </w:r>
      <w:r w:rsidRPr="00273106">
        <w:rPr>
          <w:i/>
          <w:szCs w:val="24"/>
        </w:rPr>
        <w:t>Roger Bacon and His Search For a Universal Science</w:t>
      </w:r>
      <w:r w:rsidRPr="00273106">
        <w:rPr>
          <w:szCs w:val="24"/>
        </w:rPr>
        <w:t>. New York</w:t>
      </w:r>
      <w:r>
        <w:rPr>
          <w:szCs w:val="24"/>
        </w:rPr>
        <w:t>:</w:t>
      </w:r>
      <w:r w:rsidRPr="00273106">
        <w:rPr>
          <w:szCs w:val="24"/>
        </w:rPr>
        <w:t xml:space="preserve"> </w:t>
      </w:r>
      <w:r>
        <w:rPr>
          <w:szCs w:val="24"/>
        </w:rPr>
        <w:t>Russell and Russell</w:t>
      </w:r>
      <w:r w:rsidRPr="00273106">
        <w:rPr>
          <w:szCs w:val="24"/>
        </w:rPr>
        <w:t>.</w:t>
      </w:r>
    </w:p>
    <w:p w14:paraId="49EE6EB0" w14:textId="77777777" w:rsidR="086E6BFB" w:rsidRDefault="086E6BFB" w:rsidP="086E6BFB">
      <w:pPr>
        <w:pStyle w:val="Literatura"/>
      </w:pPr>
      <w:r w:rsidRPr="00273106">
        <w:t>Ebbesen, Sten</w:t>
      </w:r>
      <w:r>
        <w:t xml:space="preserve"> (1979): "</w:t>
      </w:r>
      <w:r w:rsidRPr="00273106">
        <w:t>The Dead Man is Alive</w:t>
      </w:r>
      <w:r>
        <w:t>"</w:t>
      </w:r>
      <w:r w:rsidRPr="00273106">
        <w:t xml:space="preserve">. </w:t>
      </w:r>
      <w:r w:rsidRPr="00273106">
        <w:rPr>
          <w:i/>
        </w:rPr>
        <w:t>Synthese</w:t>
      </w:r>
      <w:r>
        <w:t xml:space="preserve"> 40: 43‒</w:t>
      </w:r>
      <w:r w:rsidRPr="00273106">
        <w:t>70.</w:t>
      </w:r>
    </w:p>
    <w:p w14:paraId="5B193C5D" w14:textId="77777777" w:rsidR="086E6BFB" w:rsidRDefault="086E6BFB" w:rsidP="086E6BFB">
      <w:pPr>
        <w:pStyle w:val="Literatura"/>
      </w:pPr>
      <w:r>
        <w:t>‒ (1986): "</w:t>
      </w:r>
      <w:r w:rsidRPr="00273106">
        <w:t>The Chimera's diary</w:t>
      </w:r>
      <w:r>
        <w:t xml:space="preserve">“. </w:t>
      </w:r>
      <w:r w:rsidRPr="00294526">
        <w:rPr>
          <w:i/>
        </w:rPr>
        <w:t>The Logic of Being</w:t>
      </w:r>
      <w:r>
        <w:t xml:space="preserve">, edited by Simo </w:t>
      </w:r>
      <w:r w:rsidRPr="00273106">
        <w:t xml:space="preserve">Knuuttila, Hingham: </w:t>
      </w:r>
      <w:r>
        <w:t xml:space="preserve">Kluwer Academic </w:t>
      </w:r>
      <w:r>
        <w:tab/>
        <w:t>Publishers</w:t>
      </w:r>
      <w:r w:rsidRPr="00273106">
        <w:t>, pp. 115‒143.</w:t>
      </w:r>
    </w:p>
    <w:p w14:paraId="722DA13C" w14:textId="77777777" w:rsidR="086E6BFB" w:rsidRDefault="086E6BFB" w:rsidP="086E6BFB">
      <w:pPr>
        <w:pStyle w:val="Literatura"/>
      </w:pPr>
      <w:r>
        <w:t xml:space="preserve">‒ (2009): </w:t>
      </w:r>
      <w:r w:rsidRPr="00273106">
        <w:rPr>
          <w:i/>
        </w:rPr>
        <w:t>Topics in Latin Philosophy from the 12th–14th centuries</w:t>
      </w:r>
      <w:r w:rsidRPr="00273106">
        <w:t xml:space="preserve">. Farnham: </w:t>
      </w:r>
      <w:r>
        <w:t>Ashgate Publishing Limited</w:t>
      </w:r>
      <w:r w:rsidRPr="00273106">
        <w:t>.</w:t>
      </w:r>
    </w:p>
    <w:p w14:paraId="5B8F78C0" w14:textId="77777777" w:rsidR="086E6BFB" w:rsidRPr="00273106" w:rsidRDefault="086E6BFB" w:rsidP="086E6BFB">
      <w:pPr>
        <w:pStyle w:val="Literatura"/>
      </w:pPr>
      <w:r>
        <w:t>‒ (2010): "</w:t>
      </w:r>
      <w:r w:rsidRPr="00273106">
        <w:t>The Prior Analytics in the Latin West: 12th-13th Centuries</w:t>
      </w:r>
      <w:r>
        <w:t>"</w:t>
      </w:r>
      <w:r w:rsidRPr="00273106">
        <w:t xml:space="preserve">. </w:t>
      </w:r>
      <w:r w:rsidRPr="00273106">
        <w:rPr>
          <w:i/>
        </w:rPr>
        <w:t>Vivarium</w:t>
      </w:r>
      <w:r>
        <w:t xml:space="preserve"> 48</w:t>
      </w:r>
      <w:r w:rsidRPr="00273106">
        <w:t>: 96‒133.</w:t>
      </w:r>
    </w:p>
    <w:p w14:paraId="2A1844A1" w14:textId="77777777" w:rsidR="086E6BFB" w:rsidRPr="00273106" w:rsidRDefault="086E6BFB" w:rsidP="086E6BFB">
      <w:pPr>
        <w:pStyle w:val="Literatura"/>
        <w:rPr>
          <w:b/>
        </w:rPr>
      </w:pPr>
      <w:r>
        <w:rPr>
          <w:rStyle w:val="addmd"/>
        </w:rPr>
        <w:t xml:space="preserve">Evangeliou, Christos (1988): </w:t>
      </w:r>
      <w:r w:rsidRPr="00273106">
        <w:rPr>
          <w:i/>
        </w:rPr>
        <w:t>Aristotle's Categories and Porphyry</w:t>
      </w:r>
      <w:r>
        <w:t xml:space="preserve">. Leiden: </w:t>
      </w:r>
      <w:r w:rsidRPr="00273106">
        <w:t>Brill, 1988.</w:t>
      </w:r>
    </w:p>
    <w:p w14:paraId="000D9707" w14:textId="77777777" w:rsidR="086E6BFB" w:rsidRDefault="086E6BFB" w:rsidP="086E6BFB">
      <w:pPr>
        <w:pStyle w:val="Literatura"/>
      </w:pPr>
      <w:r w:rsidRPr="08213F0F">
        <w:t xml:space="preserve">Evans, Edward Payson (1906): </w:t>
      </w:r>
      <w:r w:rsidRPr="08213F0F">
        <w:rPr>
          <w:i/>
        </w:rPr>
        <w:t>The criminal prosecution and capital punishment of animals</w:t>
      </w:r>
      <w:r w:rsidRPr="08213F0F">
        <w:t xml:space="preserve">. London: W. </w:t>
      </w:r>
      <w:r>
        <w:tab/>
      </w:r>
      <w:r w:rsidRPr="08213F0F">
        <w:t>Heinemann.</w:t>
      </w:r>
    </w:p>
    <w:p w14:paraId="2467A669" w14:textId="77777777" w:rsidR="086E6BFB" w:rsidRPr="00273106" w:rsidRDefault="086E6BFB" w:rsidP="086E6BFB">
      <w:pPr>
        <w:pStyle w:val="Literatura"/>
      </w:pPr>
      <w:r w:rsidRPr="00273106">
        <w:t>Everard of Ypres</w:t>
      </w:r>
      <w:r>
        <w:t xml:space="preserve"> (1953): </w:t>
      </w:r>
      <w:hyperlink r:id="rId16" w:history="1">
        <w:r w:rsidRPr="00273106">
          <w:rPr>
            <w:i/>
          </w:rPr>
          <w:t>Dialogus Ratii et Everardi</w:t>
        </w:r>
      </w:hyperlink>
      <w:r>
        <w:t xml:space="preserve">, edited by N. M. Häring, </w:t>
      </w:r>
      <w:r w:rsidRPr="00E573E3">
        <w:rPr>
          <w:i/>
        </w:rPr>
        <w:t>Mediaeval Studies</w:t>
      </w:r>
      <w:r>
        <w:t xml:space="preserve"> 15: </w:t>
      </w:r>
      <w:r w:rsidRPr="00273106">
        <w:t>243‒289.</w:t>
      </w:r>
    </w:p>
    <w:p w14:paraId="3767CCD5" w14:textId="77777777" w:rsidR="086E6BFB" w:rsidRDefault="086E6BFB" w:rsidP="086E6BFB">
      <w:pPr>
        <w:pStyle w:val="Literatura"/>
      </w:pPr>
      <w:r w:rsidRPr="00273106">
        <w:t>Fakhry, Majid</w:t>
      </w:r>
      <w:r>
        <w:t xml:space="preserve"> (2001): </w:t>
      </w:r>
      <w:r w:rsidRPr="08F350B0">
        <w:t>Averroes: His Life, Works, and Influence</w:t>
      </w:r>
      <w:r>
        <w:t xml:space="preserve">. </w:t>
      </w:r>
      <w:r w:rsidRPr="00273106">
        <w:rPr>
          <w:szCs w:val="28"/>
        </w:rPr>
        <w:t xml:space="preserve">Oxford: </w:t>
      </w:r>
      <w:r>
        <w:rPr>
          <w:szCs w:val="28"/>
        </w:rPr>
        <w:t>Great Islamic Thinkers</w:t>
      </w:r>
      <w:r w:rsidRPr="00273106">
        <w:rPr>
          <w:szCs w:val="28"/>
        </w:rPr>
        <w:t>.</w:t>
      </w:r>
    </w:p>
    <w:p w14:paraId="2429E1D2" w14:textId="77777777" w:rsidR="086E6BFB" w:rsidRPr="00273106" w:rsidRDefault="086E6BFB" w:rsidP="086E6BFB">
      <w:pPr>
        <w:pStyle w:val="Literatura"/>
        <w:rPr>
          <w:smallCaps/>
        </w:rPr>
      </w:pPr>
      <w:r>
        <w:t>‒ (2002):</w:t>
      </w:r>
      <w:r w:rsidRPr="00273106">
        <w:t xml:space="preserve"> </w:t>
      </w:r>
      <w:r w:rsidRPr="00273106">
        <w:rPr>
          <w:i/>
        </w:rPr>
        <w:t>Al-F</w:t>
      </w:r>
      <w:r w:rsidRPr="00273106">
        <w:rPr>
          <w:rStyle w:val="TextpoznpodarouChar"/>
          <w:i/>
        </w:rPr>
        <w:t>ā</w:t>
      </w:r>
      <w:r w:rsidRPr="00273106">
        <w:rPr>
          <w:i/>
        </w:rPr>
        <w:t>r</w:t>
      </w:r>
      <w:r w:rsidRPr="00273106">
        <w:rPr>
          <w:rStyle w:val="TextpoznpodarouChar"/>
          <w:i/>
        </w:rPr>
        <w:t>ā</w:t>
      </w:r>
      <w:r w:rsidRPr="00273106">
        <w:rPr>
          <w:i/>
        </w:rPr>
        <w:t xml:space="preserve">bi, Founder of Islamic Neoplatonism. </w:t>
      </w:r>
      <w:r w:rsidRPr="00273106">
        <w:rPr>
          <w:i/>
          <w:szCs w:val="28"/>
        </w:rPr>
        <w:t>His Life, Works and Influence</w:t>
      </w:r>
      <w:r w:rsidRPr="00273106">
        <w:rPr>
          <w:szCs w:val="28"/>
        </w:rPr>
        <w:t xml:space="preserve">. Oxford: </w:t>
      </w:r>
      <w:r>
        <w:rPr>
          <w:szCs w:val="28"/>
        </w:rPr>
        <w:t xml:space="preserve">Great Islamic </w:t>
      </w:r>
      <w:r>
        <w:rPr>
          <w:szCs w:val="28"/>
        </w:rPr>
        <w:tab/>
        <w:t>Thinkers</w:t>
      </w:r>
      <w:r w:rsidRPr="00273106">
        <w:rPr>
          <w:szCs w:val="28"/>
        </w:rPr>
        <w:t>.</w:t>
      </w:r>
    </w:p>
    <w:p w14:paraId="75C8F1FA" w14:textId="77777777" w:rsidR="086E6BFB" w:rsidRPr="00273106" w:rsidRDefault="086E6BFB" w:rsidP="086E6BFB">
      <w:pPr>
        <w:pStyle w:val="Literatura"/>
      </w:pPr>
      <w:r w:rsidRPr="00E16D5E">
        <w:t>Friedman Michael</w:t>
      </w:r>
      <w:r>
        <w:t xml:space="preserve"> (2000): </w:t>
      </w:r>
      <w:r w:rsidRPr="00273106">
        <w:rPr>
          <w:i/>
          <w:iCs/>
        </w:rPr>
        <w:t>A Parting of the Ways: Carnap, Cassirer, and Heidegger</w:t>
      </w:r>
      <w:r>
        <w:t xml:space="preserve">. </w:t>
      </w:r>
      <w:r w:rsidRPr="00273106">
        <w:t>Chic</w:t>
      </w:r>
      <w:r>
        <w:t xml:space="preserve">ago, Open Court </w:t>
      </w:r>
      <w:r>
        <w:tab/>
        <w:t>Publishing</w:t>
      </w:r>
      <w:r w:rsidRPr="00273106">
        <w:t>.</w:t>
      </w:r>
    </w:p>
    <w:p w14:paraId="38F808F8" w14:textId="77777777" w:rsidR="086E6BFB" w:rsidRDefault="086E6BFB" w:rsidP="086E6BFB">
      <w:pPr>
        <w:pStyle w:val="Literatura"/>
      </w:pPr>
      <w:r>
        <w:t xml:space="preserve">Feuerbach, Ludwig (1883): </w:t>
      </w:r>
      <w:r w:rsidRPr="00263DD3">
        <w:rPr>
          <w:i/>
        </w:rPr>
        <w:t>Das Wesen des Christenthums. Ludwig Feuerbachs sämtliche Werke</w:t>
      </w:r>
      <w:r>
        <w:t xml:space="preserve">. Band 7. </w:t>
      </w:r>
      <w:r>
        <w:tab/>
        <w:t>Leipzig: Verlag von Otto Wigand.</w:t>
      </w:r>
    </w:p>
    <w:p w14:paraId="1E7CE365" w14:textId="77777777" w:rsidR="086E6BFB" w:rsidRPr="00574F9B" w:rsidRDefault="086E6BFB" w:rsidP="086E6BFB">
      <w:pPr>
        <w:pStyle w:val="Literatura"/>
        <w:rPr>
          <w:smallCaps/>
        </w:rPr>
      </w:pPr>
      <w:r w:rsidRPr="00273106">
        <w:rPr>
          <w:rStyle w:val="st"/>
        </w:rPr>
        <w:t>Feyerabend, Paul</w:t>
      </w:r>
      <w:r>
        <w:rPr>
          <w:rStyle w:val="st"/>
        </w:rPr>
        <w:t xml:space="preserve"> Karl (1993):</w:t>
      </w:r>
      <w:r w:rsidRPr="00273106">
        <w:rPr>
          <w:rStyle w:val="st"/>
        </w:rPr>
        <w:t xml:space="preserve"> </w:t>
      </w:r>
      <w:r w:rsidRPr="00273106">
        <w:rPr>
          <w:rStyle w:val="st"/>
          <w:i/>
        </w:rPr>
        <w:t>Against Method</w:t>
      </w:r>
      <w:r w:rsidRPr="00273106">
        <w:rPr>
          <w:rStyle w:val="st"/>
        </w:rPr>
        <w:t>. L</w:t>
      </w:r>
      <w:r>
        <w:rPr>
          <w:rStyle w:val="st"/>
        </w:rPr>
        <w:t>ondon: Verso. Third Edition</w:t>
      </w:r>
      <w:r w:rsidRPr="00273106">
        <w:rPr>
          <w:rStyle w:val="st"/>
        </w:rPr>
        <w:t>.</w:t>
      </w:r>
      <w:r w:rsidRPr="00273106">
        <w:t xml:space="preserve"> </w:t>
      </w:r>
    </w:p>
    <w:p w14:paraId="382C503D" w14:textId="77777777" w:rsidR="086E6BFB" w:rsidRPr="00273106" w:rsidRDefault="086E6BFB" w:rsidP="086E6BFB">
      <w:pPr>
        <w:pStyle w:val="Literatura"/>
      </w:pPr>
      <w:r w:rsidRPr="00273106">
        <w:t>Finnegan, J</w:t>
      </w:r>
      <w:r>
        <w:t>ames (1965): "</w:t>
      </w:r>
      <w:r w:rsidRPr="00273106">
        <w:t>Avicenna's refutation of Porphyrius</w:t>
      </w:r>
      <w:r>
        <w:t xml:space="preserve">". </w:t>
      </w:r>
      <w:r w:rsidRPr="00273106">
        <w:rPr>
          <w:i/>
        </w:rPr>
        <w:t>Avicenna Commemoration Volume</w:t>
      </w:r>
      <w:r w:rsidRPr="00273106">
        <w:t>. Calcutta</w:t>
      </w:r>
      <w:r>
        <w:t xml:space="preserve">: </w:t>
      </w:r>
      <w:r>
        <w:tab/>
        <w:t>Iranian Society,</w:t>
      </w:r>
      <w:r w:rsidRPr="00273106">
        <w:t xml:space="preserve"> pp. 187–203.</w:t>
      </w:r>
    </w:p>
    <w:p w14:paraId="170F16FE" w14:textId="77777777" w:rsidR="086E6BFB" w:rsidRDefault="086E6BFB" w:rsidP="086E6BFB">
      <w:pPr>
        <w:pStyle w:val="Literatura"/>
      </w:pPr>
      <w:r>
        <w:rPr>
          <w:rStyle w:val="reference-text"/>
        </w:rPr>
        <w:t xml:space="preserve">Fodor, Jerry A. (1983). </w:t>
      </w:r>
      <w:r>
        <w:rPr>
          <w:rStyle w:val="reference-text"/>
          <w:i/>
          <w:iCs/>
        </w:rPr>
        <w:t>Modularity of Mind: An Essay on Faculty Psychology</w:t>
      </w:r>
      <w:r>
        <w:rPr>
          <w:rStyle w:val="reference-text"/>
        </w:rPr>
        <w:t xml:space="preserve">. Cambridge, Massachusetts: MIT </w:t>
      </w:r>
      <w:r>
        <w:rPr>
          <w:rStyle w:val="reference-text"/>
        </w:rPr>
        <w:tab/>
        <w:t>Press.</w:t>
      </w:r>
    </w:p>
    <w:p w14:paraId="38F1D827" w14:textId="77777777" w:rsidR="086E6BFB" w:rsidRDefault="086E6BFB" w:rsidP="086E6BFB">
      <w:pPr>
        <w:pStyle w:val="Literatura"/>
      </w:pPr>
      <w:r>
        <w:t xml:space="preserve">Foucault, Michel (1966): </w:t>
      </w:r>
      <w:r w:rsidRPr="00273106">
        <w:rPr>
          <w:i/>
        </w:rPr>
        <w:t>Les mots et les choses</w:t>
      </w:r>
      <w:r>
        <w:t>. Paris, Gallimard</w:t>
      </w:r>
      <w:r w:rsidRPr="00273106">
        <w:t>.</w:t>
      </w:r>
    </w:p>
    <w:p w14:paraId="30FE2DC1" w14:textId="77777777" w:rsidR="086E6BFB" w:rsidRDefault="086E6BFB" w:rsidP="086E6BFB">
      <w:pPr>
        <w:pStyle w:val="Literatura"/>
      </w:pPr>
      <w:r>
        <w:t xml:space="preserve">‒ (1971): </w:t>
      </w:r>
      <w:r>
        <w:rPr>
          <w:i/>
        </w:rPr>
        <w:t>L´ordre du discours</w:t>
      </w:r>
      <w:r>
        <w:t>. Paris, Gallimard.</w:t>
      </w:r>
    </w:p>
    <w:p w14:paraId="222E19EF" w14:textId="77777777" w:rsidR="086E6BFB" w:rsidRPr="00273106" w:rsidRDefault="086E6BFB" w:rsidP="086E6BFB">
      <w:pPr>
        <w:pStyle w:val="Literatura"/>
      </w:pPr>
      <w:r w:rsidRPr="00273106">
        <w:t>Gardet, Louis</w:t>
      </w:r>
      <w:r>
        <w:t xml:space="preserve"> (1951):</w:t>
      </w:r>
      <w:r w:rsidRPr="00273106">
        <w:t xml:space="preserve"> </w:t>
      </w:r>
      <w:r w:rsidRPr="00273106">
        <w:rPr>
          <w:i/>
        </w:rPr>
        <w:t xml:space="preserve">La pensée religieuse </w:t>
      </w:r>
      <w:r w:rsidRPr="00273106">
        <w:t>d</w:t>
      </w:r>
      <w:r w:rsidRPr="00273106">
        <w:rPr>
          <w:rStyle w:val="Zvraznn"/>
        </w:rPr>
        <w:t>’Avicenne (Ibn Sīnā)</w:t>
      </w:r>
      <w:r w:rsidRPr="00273106">
        <w:rPr>
          <w:rStyle w:val="Zvraznn"/>
          <w:i w:val="0"/>
        </w:rPr>
        <w:t>. Paris: V</w:t>
      </w:r>
      <w:r>
        <w:rPr>
          <w:rStyle w:val="Zvraznn"/>
          <w:i w:val="0"/>
        </w:rPr>
        <w:t>rin</w:t>
      </w:r>
      <w:r w:rsidRPr="00273106">
        <w:rPr>
          <w:rStyle w:val="Zvraznn"/>
          <w:i w:val="0"/>
        </w:rPr>
        <w:t xml:space="preserve">. </w:t>
      </w:r>
    </w:p>
    <w:p w14:paraId="5DA5B0FA" w14:textId="77777777" w:rsidR="086E6BFB" w:rsidRDefault="086E6BFB" w:rsidP="086E6BFB">
      <w:pPr>
        <w:pStyle w:val="Literatura"/>
      </w:pPr>
      <w:r w:rsidRPr="00273106">
        <w:t>Gauthier, René-Antoine</w:t>
      </w:r>
      <w:r>
        <w:t xml:space="preserve"> (1963): "</w:t>
      </w:r>
      <w:r w:rsidRPr="00273106">
        <w:t>Arnoul de Provence et la doctrine de la fronesis, vertu mystique suprême</w:t>
      </w:r>
      <w:r>
        <w:t xml:space="preserve">". </w:t>
      </w:r>
      <w:r>
        <w:tab/>
      </w:r>
      <w:r w:rsidRPr="00273106">
        <w:rPr>
          <w:i/>
          <w:iCs/>
        </w:rPr>
        <w:t>Revue du Moyen Age Latin</w:t>
      </w:r>
      <w:r>
        <w:rPr>
          <w:i/>
          <w:iCs/>
        </w:rPr>
        <w:t xml:space="preserve"> </w:t>
      </w:r>
      <w:r>
        <w:rPr>
          <w:iCs/>
        </w:rPr>
        <w:t>19</w:t>
      </w:r>
      <w:r>
        <w:t>: 129‒</w:t>
      </w:r>
      <w:r w:rsidRPr="00273106">
        <w:t>170.</w:t>
      </w:r>
    </w:p>
    <w:p w14:paraId="388347C7" w14:textId="77777777" w:rsidR="086E6BFB" w:rsidRDefault="086E6BFB" w:rsidP="086E6BFB">
      <w:pPr>
        <w:pStyle w:val="Literatura"/>
      </w:pPr>
      <w:r>
        <w:t>‒ (1982a): "</w:t>
      </w:r>
      <w:r w:rsidRPr="00273106">
        <w:t xml:space="preserve">Le traité De anima et de potenciis eius d'un maître ès arts (vers 1225). Introduction et texte </w:t>
      </w:r>
      <w:r>
        <w:tab/>
      </w:r>
      <w:r w:rsidRPr="00273106">
        <w:t>critique</w:t>
      </w:r>
      <w:r>
        <w:t>"</w:t>
      </w:r>
      <w:r w:rsidRPr="00273106">
        <w:t xml:space="preserve">. </w:t>
      </w:r>
      <w:r w:rsidRPr="00273106">
        <w:rPr>
          <w:i/>
        </w:rPr>
        <w:t>Revue des Sciences Philosophiques et Théologiques Paris</w:t>
      </w:r>
      <w:r>
        <w:t xml:space="preserve"> 66/1</w:t>
      </w:r>
      <w:r w:rsidRPr="00273106">
        <w:t>: 3–55.</w:t>
      </w:r>
    </w:p>
    <w:p w14:paraId="1F6578C8" w14:textId="77777777" w:rsidR="086E6BFB" w:rsidRDefault="086E6BFB" w:rsidP="086E6BFB">
      <w:pPr>
        <w:pStyle w:val="Literatura"/>
      </w:pPr>
      <w:r>
        <w:t>‒ (1982b): "</w:t>
      </w:r>
      <w:r w:rsidRPr="00273106">
        <w:t>Notes sur les débuts (1225–</w:t>
      </w:r>
      <w:r>
        <w:t xml:space="preserve">1240) du premier </w:t>
      </w:r>
      <w:r w:rsidRPr="00273106">
        <w:t xml:space="preserve">averroïsme". </w:t>
      </w:r>
      <w:r w:rsidRPr="00273106">
        <w:rPr>
          <w:i/>
        </w:rPr>
        <w:t xml:space="preserve">Revue des Sciences Philosophiques et </w:t>
      </w:r>
      <w:r>
        <w:rPr>
          <w:i/>
        </w:rPr>
        <w:tab/>
      </w:r>
      <w:r w:rsidRPr="00273106">
        <w:rPr>
          <w:i/>
        </w:rPr>
        <w:t>Théologiques Paris</w:t>
      </w:r>
      <w:r>
        <w:t xml:space="preserve"> 66/3</w:t>
      </w:r>
      <w:r w:rsidRPr="00273106">
        <w:t>: 321–374.</w:t>
      </w:r>
    </w:p>
    <w:p w14:paraId="12D7622E" w14:textId="77777777" w:rsidR="086E6BFB" w:rsidRDefault="086E6BFB" w:rsidP="086E6BFB">
      <w:pPr>
        <w:pStyle w:val="Literatura"/>
      </w:pPr>
      <w:r>
        <w:t xml:space="preserve">‒ (1983): </w:t>
      </w:r>
      <w:r w:rsidRPr="00273106">
        <w:t xml:space="preserve">Notes sur Siger de Brabant I. Siger en 1265. </w:t>
      </w:r>
      <w:r w:rsidRPr="00273106">
        <w:rPr>
          <w:i/>
        </w:rPr>
        <w:t>Revue des Sciences Philosophiques et Thé</w:t>
      </w:r>
      <w:r>
        <w:t>ologiques 57</w:t>
      </w:r>
      <w:r w:rsidRPr="00273106">
        <w:t xml:space="preserve">: </w:t>
      </w:r>
      <w:r>
        <w:tab/>
      </w:r>
      <w:r w:rsidRPr="00273106">
        <w:t>201–232.</w:t>
      </w:r>
    </w:p>
    <w:p w14:paraId="6BDE4A29" w14:textId="77777777" w:rsidR="086E6BFB" w:rsidRPr="00273106" w:rsidRDefault="086E6BFB" w:rsidP="086E6BFB">
      <w:pPr>
        <w:pStyle w:val="Literatura"/>
      </w:pPr>
      <w:r>
        <w:t xml:space="preserve">‒ (1984): </w:t>
      </w:r>
      <w:r w:rsidRPr="00273106">
        <w:rPr>
          <w:iCs/>
        </w:rPr>
        <w:t>Notes sur Siger de Brabant. II. Siger en 1272−1275. Aubry de Reims et la scission des Normands</w:t>
      </w:r>
      <w:r w:rsidRPr="00273106">
        <w:rPr>
          <w:spacing w:val="-1"/>
        </w:rPr>
        <w:t xml:space="preserve">, </w:t>
      </w:r>
      <w:r>
        <w:rPr>
          <w:spacing w:val="-1"/>
        </w:rPr>
        <w:tab/>
      </w:r>
      <w:r w:rsidRPr="00273106">
        <w:rPr>
          <w:i/>
          <w:iCs/>
          <w:spacing w:val="-1"/>
        </w:rPr>
        <w:t>Revue des sciences philo</w:t>
      </w:r>
      <w:r w:rsidRPr="00273106">
        <w:rPr>
          <w:i/>
          <w:iCs/>
        </w:rPr>
        <w:t xml:space="preserve">sophiques et théologiques, </w:t>
      </w:r>
      <w:r>
        <w:t>68</w:t>
      </w:r>
      <w:r w:rsidRPr="00273106">
        <w:t>: 3−49.</w:t>
      </w:r>
    </w:p>
    <w:p w14:paraId="49D003BA" w14:textId="77777777" w:rsidR="086E6BFB" w:rsidRPr="0008512F" w:rsidRDefault="086E6BFB" w:rsidP="086E6BFB">
      <w:pPr>
        <w:pStyle w:val="Literatura"/>
      </w:pPr>
      <w:r>
        <w:t xml:space="preserve">Freud, Sigmund (1991): </w:t>
      </w:r>
      <w:r w:rsidRPr="0008512F">
        <w:rPr>
          <w:i/>
        </w:rPr>
        <w:t>Gesammelte Werke in achtzehn Bänden mit einem Nachtragsband</w:t>
      </w:r>
      <w:r>
        <w:rPr>
          <w:i/>
        </w:rPr>
        <w:t xml:space="preserve">. </w:t>
      </w:r>
      <w:r w:rsidRPr="0008512F">
        <w:rPr>
          <w:i/>
        </w:rPr>
        <w:t xml:space="preserve">Werke aus den </w:t>
      </w:r>
      <w:r>
        <w:rPr>
          <w:i/>
        </w:rPr>
        <w:tab/>
      </w:r>
      <w:r w:rsidRPr="0008512F">
        <w:rPr>
          <w:i/>
        </w:rPr>
        <w:t xml:space="preserve">Jahren 1913 – 1917 </w:t>
      </w:r>
      <w:r w:rsidRPr="0008512F">
        <w:t>(Band 10)</w:t>
      </w:r>
      <w:r>
        <w:t>. Edited by Anna Freud et al. Frankfurt am Main: S. Fischer Verlag.</w:t>
      </w:r>
    </w:p>
    <w:p w14:paraId="4C2BC1B9" w14:textId="77777777" w:rsidR="086E6BFB" w:rsidRPr="00273106" w:rsidRDefault="086E6BFB" w:rsidP="086E6BFB">
      <w:pPr>
        <w:pStyle w:val="Literatura"/>
        <w:rPr>
          <w:smallCaps/>
        </w:rPr>
      </w:pPr>
      <w:r w:rsidRPr="00653EF4">
        <w:t>G</w:t>
      </w:r>
      <w:r>
        <w:t>alston,</w:t>
      </w:r>
      <w:r w:rsidRPr="00273106">
        <w:t xml:space="preserve"> </w:t>
      </w:r>
      <w:r>
        <w:t>Miriam (1977): "</w:t>
      </w:r>
      <w:r w:rsidRPr="00273106">
        <w:t>A Re-examination of al-</w:t>
      </w:r>
      <w:r w:rsidRPr="00653EF4">
        <w:t>Fārābī</w:t>
      </w:r>
      <w:r>
        <w:t>'</w:t>
      </w:r>
      <w:r w:rsidRPr="00653EF4">
        <w:t>s</w:t>
      </w:r>
      <w:r w:rsidRPr="00273106">
        <w:t xml:space="preserve"> Neoplatonism</w:t>
      </w:r>
      <w:r>
        <w:t>"</w:t>
      </w:r>
      <w:r w:rsidRPr="00273106">
        <w:t xml:space="preserve">. </w:t>
      </w:r>
      <w:r w:rsidRPr="00273106">
        <w:rPr>
          <w:i/>
          <w:iCs/>
        </w:rPr>
        <w:t>Journal of the History of Philosophy</w:t>
      </w:r>
      <w:r>
        <w:t xml:space="preserve"> </w:t>
      </w:r>
      <w:r>
        <w:tab/>
        <w:t>15: 13‒</w:t>
      </w:r>
      <w:r w:rsidRPr="00273106">
        <w:t>32.</w:t>
      </w:r>
    </w:p>
    <w:p w14:paraId="45B3B72A" w14:textId="77777777" w:rsidR="086E6BFB" w:rsidRPr="00273106" w:rsidRDefault="086E6BFB" w:rsidP="086E6BFB">
      <w:pPr>
        <w:pStyle w:val="Literatura"/>
      </w:pPr>
      <w:r w:rsidRPr="00273106">
        <w:t>Geoffroy, Marc</w:t>
      </w:r>
      <w:r>
        <w:t xml:space="preserve"> (2002): "</w:t>
      </w:r>
      <w:r w:rsidRPr="00273106">
        <w:t xml:space="preserve">La Tradition arabe du Peri nou d'Alexandre d'Aphrodise et les origines de la théorie </w:t>
      </w:r>
      <w:r>
        <w:tab/>
      </w:r>
      <w:r w:rsidRPr="00273106">
        <w:t>farabienne d</w:t>
      </w:r>
      <w:r>
        <w:t xml:space="preserve">es quatre degrés de l'intellect". </w:t>
      </w:r>
      <w:r w:rsidRPr="00273106">
        <w:t xml:space="preserve"> </w:t>
      </w:r>
      <w:r w:rsidRPr="00273106">
        <w:rPr>
          <w:i/>
          <w:iCs/>
        </w:rPr>
        <w:t>Aristotele e Alessandro di Afrodisia nella tradizione araba</w:t>
      </w:r>
      <w:r>
        <w:t xml:space="preserve">, </w:t>
      </w:r>
      <w:r>
        <w:tab/>
        <w:t xml:space="preserve">edited by </w:t>
      </w:r>
      <w:r w:rsidRPr="00273106">
        <w:t xml:space="preserve">C. D'Ancona </w:t>
      </w:r>
      <w:r>
        <w:t>and G. Serra, Padova</w:t>
      </w:r>
      <w:r w:rsidRPr="00273106">
        <w:t>: Il poligrafo, 2002</w:t>
      </w:r>
      <w:r>
        <w:t>, pp. 156‒</w:t>
      </w:r>
      <w:r w:rsidRPr="00273106">
        <w:t>198.</w:t>
      </w:r>
    </w:p>
    <w:p w14:paraId="1A86A1BF" w14:textId="77777777" w:rsidR="086E6BFB" w:rsidRDefault="086E6BFB" w:rsidP="086E6BFB">
      <w:pPr>
        <w:pStyle w:val="Literatura"/>
      </w:pPr>
      <w:r w:rsidRPr="0060502D">
        <w:t>Gersh</w:t>
      </w:r>
      <w:r>
        <w:t xml:space="preserve">, </w:t>
      </w:r>
      <w:r w:rsidRPr="0060502D">
        <w:t>Stephen</w:t>
      </w:r>
      <w:r>
        <w:t>,</w:t>
      </w:r>
      <w:r w:rsidRPr="0060502D">
        <w:t xml:space="preserve"> and Maarten J.</w:t>
      </w:r>
      <w:r>
        <w:t xml:space="preserve"> </w:t>
      </w:r>
      <w:r w:rsidRPr="0060502D">
        <w:t>F.</w:t>
      </w:r>
      <w:r>
        <w:t xml:space="preserve"> </w:t>
      </w:r>
      <w:r w:rsidRPr="0060502D">
        <w:t>M. Hoenen</w:t>
      </w:r>
      <w:r>
        <w:t xml:space="preserve"> (2002)</w:t>
      </w:r>
      <w:r w:rsidRPr="0060502D">
        <w:t xml:space="preserve">: </w:t>
      </w:r>
      <w:r w:rsidRPr="0060502D">
        <w:rPr>
          <w:i/>
        </w:rPr>
        <w:t xml:space="preserve">The Platonic Tradition in the Middle Ages. A Doxographic </w:t>
      </w:r>
      <w:r>
        <w:rPr>
          <w:i/>
        </w:rPr>
        <w:tab/>
      </w:r>
      <w:r w:rsidRPr="0060502D">
        <w:rPr>
          <w:i/>
        </w:rPr>
        <w:t>Approach</w:t>
      </w:r>
      <w:r w:rsidRPr="0060502D">
        <w:t>. Walter de Gruyter.</w:t>
      </w:r>
    </w:p>
    <w:p w14:paraId="39F7EDE9" w14:textId="77777777" w:rsidR="086E6BFB" w:rsidRPr="00273106" w:rsidRDefault="086E6BFB" w:rsidP="086E6BFB">
      <w:pPr>
        <w:pStyle w:val="Literatura"/>
        <w:rPr>
          <w:smallCaps/>
        </w:rPr>
      </w:pPr>
      <w:r w:rsidRPr="00273106">
        <w:t>Giele, Maurice</w:t>
      </w:r>
      <w:r>
        <w:t xml:space="preserve"> (1960): "</w:t>
      </w:r>
      <w:r w:rsidRPr="00273106">
        <w:t xml:space="preserve">La date d’un commentaire médiéval anonyme et inédit sur le Traité de l'âme d'Aristote </w:t>
      </w:r>
      <w:r>
        <w:tab/>
      </w:r>
      <w:r w:rsidRPr="00273106">
        <w:t>(Oxford, Merton College 275, fol. 108r-121v)</w:t>
      </w:r>
      <w:r>
        <w:t xml:space="preserve">". </w:t>
      </w:r>
      <w:r w:rsidRPr="00273106">
        <w:rPr>
          <w:rStyle w:val="ZkladntextKurzvadkovn0pt"/>
          <w:rFonts w:eastAsia="Times"/>
          <w:iCs w:val="0"/>
        </w:rPr>
        <w:t>Revue Philosophique Louvain</w:t>
      </w:r>
      <w:r>
        <w:t xml:space="preserve"> 58</w:t>
      </w:r>
      <w:r w:rsidRPr="00273106">
        <w:t>:</w:t>
      </w:r>
      <w:r>
        <w:t xml:space="preserve"> </w:t>
      </w:r>
      <w:r w:rsidRPr="00273106">
        <w:t>529‒556.</w:t>
      </w:r>
    </w:p>
    <w:p w14:paraId="776ECF18" w14:textId="1AF60CB5" w:rsidR="086E6BFB" w:rsidRDefault="086E6BFB" w:rsidP="086E6BFB">
      <w:pPr>
        <w:pStyle w:val="Literatura"/>
      </w:pPr>
      <w:r>
        <w:t xml:space="preserve">Gilbertus Porretanus (1966): </w:t>
      </w:r>
      <w:r w:rsidRPr="00EA69E4">
        <w:rPr>
          <w:i/>
        </w:rPr>
        <w:t xml:space="preserve">Expositio in Boetii librum De bonorum hebdomade. The Commentaries on Boethius </w:t>
      </w:r>
      <w:r>
        <w:rPr>
          <w:i/>
        </w:rPr>
        <w:tab/>
      </w:r>
      <w:r w:rsidRPr="00EA69E4">
        <w:rPr>
          <w:i/>
        </w:rPr>
        <w:t xml:space="preserve">by Gilbert of </w:t>
      </w:r>
      <w:r w:rsidR="002239AA">
        <w:rPr>
          <w:i/>
        </w:rPr>
        <w:t>De La Porrée</w:t>
      </w:r>
      <w:r w:rsidRPr="00EA69E4">
        <w:t>. Edited by N.M. Häring</w:t>
      </w:r>
      <w:r>
        <w:t xml:space="preserve">, </w:t>
      </w:r>
      <w:r w:rsidRPr="00EA69E4">
        <w:t xml:space="preserve">Studies and Texts 13. Toronto: Pontifical Institute of </w:t>
      </w:r>
      <w:r>
        <w:tab/>
        <w:t>Mediaeval Studies</w:t>
      </w:r>
      <w:r w:rsidRPr="00EA69E4">
        <w:t xml:space="preserve">, </w:t>
      </w:r>
      <w:r>
        <w:t xml:space="preserve">pp. </w:t>
      </w:r>
      <w:r w:rsidRPr="00EA69E4">
        <w:t>181</w:t>
      </w:r>
      <w:r>
        <w:t>‒</w:t>
      </w:r>
      <w:r w:rsidRPr="00EA69E4">
        <w:t>230</w:t>
      </w:r>
      <w:r>
        <w:t>.</w:t>
      </w:r>
    </w:p>
    <w:p w14:paraId="710BC88C" w14:textId="77777777" w:rsidR="086E6BFB" w:rsidRPr="00273106" w:rsidRDefault="086E6BFB" w:rsidP="086E6BFB">
      <w:pPr>
        <w:pStyle w:val="Literatura"/>
        <w:rPr>
          <w:szCs w:val="24"/>
        </w:rPr>
      </w:pPr>
      <w:r w:rsidRPr="00273106">
        <w:rPr>
          <w:szCs w:val="24"/>
        </w:rPr>
        <w:t xml:space="preserve">Geiger, </w:t>
      </w:r>
      <w:r w:rsidRPr="00273106">
        <w:t>Louis-Bertrand</w:t>
      </w:r>
      <w:r>
        <w:t xml:space="preserve"> (1947): "</w:t>
      </w:r>
      <w:r w:rsidRPr="00273106">
        <w:rPr>
          <w:szCs w:val="24"/>
        </w:rPr>
        <w:t>Abstraction et séparation d'après saint Thomas</w:t>
      </w:r>
      <w:r>
        <w:rPr>
          <w:szCs w:val="24"/>
        </w:rPr>
        <w:t>"</w:t>
      </w:r>
      <w:r w:rsidRPr="00273106">
        <w:rPr>
          <w:szCs w:val="24"/>
        </w:rPr>
        <w:t xml:space="preserve">. </w:t>
      </w:r>
      <w:r w:rsidRPr="00273106">
        <w:rPr>
          <w:i/>
          <w:szCs w:val="24"/>
        </w:rPr>
        <w:t xml:space="preserve">Revue des sciences </w:t>
      </w:r>
      <w:r>
        <w:rPr>
          <w:i/>
          <w:szCs w:val="24"/>
        </w:rPr>
        <w:tab/>
      </w:r>
      <w:r w:rsidRPr="00273106">
        <w:rPr>
          <w:i/>
          <w:szCs w:val="24"/>
        </w:rPr>
        <w:t xml:space="preserve">philosophiques et théologiques </w:t>
      </w:r>
      <w:r>
        <w:rPr>
          <w:color w:val="000000"/>
        </w:rPr>
        <w:t>31</w:t>
      </w:r>
      <w:r w:rsidRPr="00273106">
        <w:rPr>
          <w:color w:val="000000"/>
        </w:rPr>
        <w:t>:</w:t>
      </w:r>
      <w:r>
        <w:rPr>
          <w:color w:val="000000"/>
        </w:rPr>
        <w:t xml:space="preserve"> 3‒</w:t>
      </w:r>
      <w:r w:rsidRPr="00273106">
        <w:rPr>
          <w:color w:val="000000"/>
        </w:rPr>
        <w:t>40.</w:t>
      </w:r>
    </w:p>
    <w:p w14:paraId="6C199460" w14:textId="77777777" w:rsidR="086E6BFB" w:rsidRDefault="086E6BFB" w:rsidP="086E6BFB">
      <w:pPr>
        <w:pStyle w:val="Literatura"/>
      </w:pPr>
      <w:r w:rsidRPr="00273106">
        <w:t>Gilson, Etienne</w:t>
      </w:r>
      <w:r>
        <w:t xml:space="preserve"> (1921): </w:t>
      </w:r>
      <w:r w:rsidRPr="00273106">
        <w:rPr>
          <w:i/>
          <w:iCs/>
        </w:rPr>
        <w:t>Études de philosophie médiévale</w:t>
      </w:r>
      <w:r>
        <w:t>, Strasbourg</w:t>
      </w:r>
      <w:r w:rsidRPr="00273106">
        <w:t>.</w:t>
      </w:r>
    </w:p>
    <w:p w14:paraId="2C5E07E9" w14:textId="77777777" w:rsidR="086E6BFB" w:rsidRDefault="086E6BFB" w:rsidP="086E6BFB">
      <w:pPr>
        <w:pStyle w:val="Literatura"/>
      </w:pPr>
      <w:r>
        <w:t>‒ (1926): "</w:t>
      </w:r>
      <w:r w:rsidRPr="00273106">
        <w:t>Pourquoi saint Thomas a critiqué saint Augustin</w:t>
      </w:r>
      <w:r>
        <w:t>"</w:t>
      </w:r>
      <w:r w:rsidRPr="00273106">
        <w:t xml:space="preserve">. </w:t>
      </w:r>
      <w:r w:rsidRPr="00273106">
        <w:rPr>
          <w:i/>
        </w:rPr>
        <w:t>Archives d’histoi</w:t>
      </w:r>
      <w:r>
        <w:rPr>
          <w:i/>
        </w:rPr>
        <w:t>re doctrinale et littéraire du M</w:t>
      </w:r>
      <w:r w:rsidRPr="00273106">
        <w:rPr>
          <w:i/>
        </w:rPr>
        <w:t xml:space="preserve">oyen </w:t>
      </w:r>
      <w:r>
        <w:rPr>
          <w:i/>
        </w:rPr>
        <w:tab/>
      </w:r>
      <w:r w:rsidRPr="00273106">
        <w:rPr>
          <w:rStyle w:val="st"/>
          <w:i/>
        </w:rPr>
        <w:t>Âge</w:t>
      </w:r>
      <w:r>
        <w:t xml:space="preserve"> 1</w:t>
      </w:r>
      <w:r w:rsidRPr="00273106">
        <w:t>: 5–127.</w:t>
      </w:r>
    </w:p>
    <w:p w14:paraId="2E6231D0" w14:textId="77777777" w:rsidR="086E6BFB" w:rsidRDefault="086E6BFB" w:rsidP="086E6BFB">
      <w:pPr>
        <w:pStyle w:val="Literatura"/>
        <w:rPr>
          <w:rStyle w:val="st"/>
        </w:rPr>
      </w:pPr>
      <w:r>
        <w:t>‒ (1927): "</w:t>
      </w:r>
      <w:r w:rsidRPr="00273106">
        <w:rPr>
          <w:rStyle w:val="st"/>
        </w:rPr>
        <w:t>Avicenne et le point de départ de Duns Scot</w:t>
      </w:r>
      <w:r>
        <w:rPr>
          <w:rStyle w:val="st"/>
        </w:rPr>
        <w:t>"</w:t>
      </w:r>
      <w:r w:rsidRPr="00273106">
        <w:rPr>
          <w:rStyle w:val="st"/>
        </w:rPr>
        <w:t xml:space="preserve">. </w:t>
      </w:r>
      <w:r w:rsidRPr="00273106">
        <w:rPr>
          <w:rStyle w:val="st"/>
          <w:i/>
        </w:rPr>
        <w:t xml:space="preserve">Archives d’histoire doctrinale et littéraire du Moyen </w:t>
      </w:r>
      <w:r>
        <w:rPr>
          <w:rStyle w:val="st"/>
          <w:i/>
        </w:rPr>
        <w:tab/>
      </w:r>
      <w:r w:rsidRPr="00273106">
        <w:rPr>
          <w:rStyle w:val="st"/>
          <w:i/>
        </w:rPr>
        <w:t>Âge</w:t>
      </w:r>
      <w:r>
        <w:rPr>
          <w:rStyle w:val="st"/>
        </w:rPr>
        <w:t xml:space="preserve"> 2: 89‒</w:t>
      </w:r>
      <w:r w:rsidRPr="00273106">
        <w:rPr>
          <w:rStyle w:val="st"/>
        </w:rPr>
        <w:t>149.</w:t>
      </w:r>
    </w:p>
    <w:p w14:paraId="081DCCEF" w14:textId="77777777" w:rsidR="086E6BFB" w:rsidRDefault="086E6BFB" w:rsidP="086E6BFB">
      <w:pPr>
        <w:pStyle w:val="Literatura"/>
      </w:pPr>
      <w:r>
        <w:t>‒ (1930): "</w:t>
      </w:r>
      <w:r w:rsidRPr="00273106">
        <w:rPr>
          <w:rStyle w:val="st"/>
        </w:rPr>
        <w:t>Les sources gréco-arabes de l'augustinisme avicennisant</w:t>
      </w:r>
      <w:r>
        <w:rPr>
          <w:rStyle w:val="st"/>
        </w:rPr>
        <w:t>"</w:t>
      </w:r>
      <w:r w:rsidRPr="00273106">
        <w:rPr>
          <w:rStyle w:val="st"/>
        </w:rPr>
        <w:t xml:space="preserve">. </w:t>
      </w:r>
      <w:r w:rsidRPr="00273106">
        <w:rPr>
          <w:i/>
        </w:rPr>
        <w:t>Archives</w:t>
      </w:r>
      <w:r w:rsidRPr="00273106">
        <w:t xml:space="preserve"> </w:t>
      </w:r>
      <w:r w:rsidRPr="00273106">
        <w:rPr>
          <w:i/>
        </w:rPr>
        <w:t>d'histoire doc</w:t>
      </w:r>
      <w:r>
        <w:rPr>
          <w:i/>
        </w:rPr>
        <w:t xml:space="preserve">trinale et </w:t>
      </w:r>
      <w:r>
        <w:rPr>
          <w:i/>
        </w:rPr>
        <w:tab/>
        <w:t xml:space="preserve">littéraire du Moyen </w:t>
      </w:r>
      <w:r w:rsidRPr="00273106">
        <w:rPr>
          <w:rStyle w:val="st"/>
          <w:i/>
        </w:rPr>
        <w:t>Âge</w:t>
      </w:r>
      <w:r>
        <w:rPr>
          <w:rStyle w:val="st"/>
        </w:rPr>
        <w:t xml:space="preserve"> </w:t>
      </w:r>
      <w:r>
        <w:t xml:space="preserve">4: </w:t>
      </w:r>
      <w:r w:rsidRPr="00273106">
        <w:t>5–107.</w:t>
      </w:r>
    </w:p>
    <w:p w14:paraId="7A4BB487" w14:textId="77777777" w:rsidR="086E6BFB" w:rsidRDefault="086E6BFB" w:rsidP="086E6BFB">
      <w:pPr>
        <w:pStyle w:val="Literatura"/>
      </w:pPr>
      <w:r>
        <w:rPr>
          <w:iCs/>
        </w:rPr>
        <w:t>‒ (1934): "</w:t>
      </w:r>
      <w:r w:rsidRPr="00273106">
        <w:rPr>
          <w:iCs/>
        </w:rPr>
        <w:t>Sur quelques difficultés de l'illumination augustinienne</w:t>
      </w:r>
      <w:r>
        <w:rPr>
          <w:iCs/>
        </w:rPr>
        <w:t>"</w:t>
      </w:r>
      <w:r w:rsidRPr="00273106">
        <w:rPr>
          <w:iCs/>
        </w:rPr>
        <w:t xml:space="preserve">. </w:t>
      </w:r>
      <w:r w:rsidRPr="00273106">
        <w:rPr>
          <w:i/>
          <w:iCs/>
        </w:rPr>
        <w:t>Revue néo-scolastique de philosophie</w:t>
      </w:r>
      <w:r>
        <w:rPr>
          <w:iCs/>
        </w:rPr>
        <w:t xml:space="preserve"> 41</w:t>
      </w:r>
      <w:r w:rsidRPr="00273106">
        <w:rPr>
          <w:iCs/>
        </w:rPr>
        <w:t xml:space="preserve">: </w:t>
      </w:r>
      <w:r>
        <w:rPr>
          <w:iCs/>
        </w:rPr>
        <w:tab/>
      </w:r>
      <w:r w:rsidRPr="00273106">
        <w:rPr>
          <w:iCs/>
        </w:rPr>
        <w:t>321‒331.</w:t>
      </w:r>
    </w:p>
    <w:p w14:paraId="455998BA" w14:textId="77777777" w:rsidR="086E6BFB" w:rsidRDefault="086E6BFB" w:rsidP="086E6BFB">
      <w:pPr>
        <w:pStyle w:val="Literatura"/>
      </w:pPr>
      <w:r>
        <w:rPr>
          <w:iCs/>
        </w:rPr>
        <w:t xml:space="preserve">‒ (1939): </w:t>
      </w:r>
      <w:r w:rsidRPr="00273106">
        <w:rPr>
          <w:i/>
          <w:iCs/>
        </w:rPr>
        <w:t>Dante et la philosophie</w:t>
      </w:r>
      <w:r>
        <w:t>, Paris, J. Vrin</w:t>
      </w:r>
      <w:r w:rsidRPr="00273106">
        <w:t>.</w:t>
      </w:r>
    </w:p>
    <w:p w14:paraId="1944F0D0" w14:textId="77777777" w:rsidR="086E6BFB" w:rsidRPr="00273106" w:rsidRDefault="086E6BFB" w:rsidP="086E6BFB">
      <w:pPr>
        <w:pStyle w:val="Literatura"/>
      </w:pPr>
      <w:r>
        <w:rPr>
          <w:iCs/>
        </w:rPr>
        <w:t xml:space="preserve">‒ (1974): </w:t>
      </w:r>
      <w:r>
        <w:t>"</w:t>
      </w:r>
      <w:r w:rsidRPr="00273106">
        <w:t>Quasi Definiti</w:t>
      </w:r>
      <w:r>
        <w:t xml:space="preserve">o Substantiae". </w:t>
      </w:r>
      <w:r w:rsidRPr="00273106">
        <w:rPr>
          <w:i/>
        </w:rPr>
        <w:t>St. Thomas Aquinas Commemorative Studies</w:t>
      </w:r>
      <w:r>
        <w:rPr>
          <w:i/>
        </w:rPr>
        <w:t xml:space="preserve"> I</w:t>
      </w:r>
      <w:r w:rsidRPr="00EA76C5">
        <w:t>, edited by</w:t>
      </w:r>
      <w:r>
        <w:rPr>
          <w:i/>
        </w:rPr>
        <w:t xml:space="preserve"> </w:t>
      </w:r>
      <w:r w:rsidRPr="00273106">
        <w:t xml:space="preserve">Arman Maurer  </w:t>
      </w:r>
      <w:r>
        <w:tab/>
      </w:r>
      <w:r w:rsidRPr="00273106">
        <w:t>et al.</w:t>
      </w:r>
      <w:r>
        <w:t xml:space="preserve">, </w:t>
      </w:r>
      <w:r w:rsidRPr="00273106">
        <w:t>Toronto: Pontifical Institute of Medieval Studies, pp. 111‒129.</w:t>
      </w:r>
    </w:p>
    <w:p w14:paraId="04D71BDB" w14:textId="77777777" w:rsidR="086E6BFB" w:rsidRPr="00AD133D" w:rsidRDefault="086E6BFB" w:rsidP="086E6BFB">
      <w:pPr>
        <w:pStyle w:val="Literatura"/>
      </w:pPr>
      <w:r>
        <w:t>‒ (2004) Glasner, Ruth</w:t>
      </w:r>
      <w:r w:rsidRPr="00AD133D">
        <w:t xml:space="preserve">. </w:t>
      </w:r>
      <w:r>
        <w:t>"</w:t>
      </w:r>
      <w:r w:rsidRPr="00AD133D">
        <w:t>Review of Averroës: Middle Commentary on Aristotle’s De anima by Alfred L. Ivry</w:t>
      </w:r>
      <w:r>
        <w:t>"</w:t>
      </w:r>
      <w:r w:rsidRPr="00AD133D">
        <w:t>.</w:t>
      </w:r>
      <w:r>
        <w:t xml:space="preserve"> </w:t>
      </w:r>
      <w:r>
        <w:tab/>
      </w:r>
      <w:r w:rsidRPr="00AD133D">
        <w:rPr>
          <w:i/>
        </w:rPr>
        <w:t>Aestimatio</w:t>
      </w:r>
      <w:r w:rsidRPr="00AD133D">
        <w:t xml:space="preserve"> </w:t>
      </w:r>
      <w:r>
        <w:t xml:space="preserve">1 (2004): </w:t>
      </w:r>
      <w:r w:rsidRPr="00AD133D">
        <w:t>57–61</w:t>
      </w:r>
    </w:p>
    <w:p w14:paraId="4B544E31" w14:textId="77777777" w:rsidR="086E6BFB" w:rsidRDefault="086E6BFB" w:rsidP="086E6BFB">
      <w:pPr>
        <w:pStyle w:val="Literatura"/>
        <w:rPr>
          <w:i/>
        </w:rPr>
      </w:pPr>
      <w:r>
        <w:t xml:space="preserve">Godefroid de Fontaines (1914): </w:t>
      </w:r>
      <w:r w:rsidRPr="005463F6">
        <w:rPr>
          <w:i/>
        </w:rPr>
        <w:t>Les Quodlibet Cinq, Six Et Sept de Godefroid de Fontaines</w:t>
      </w:r>
      <w:r>
        <w:t xml:space="preserve">. </w:t>
      </w:r>
      <w:r w:rsidRPr="003F3022">
        <w:rPr>
          <w:i/>
        </w:rPr>
        <w:t>Texte Inédit</w:t>
      </w:r>
      <w:r>
        <w:t xml:space="preserve">. Edited </w:t>
      </w:r>
      <w:r>
        <w:tab/>
        <w:t xml:space="preserve">by M. de Wulf  et J. Hoffmans. Louvain: Université Catholique de Louvain, Institut Supérieur de </w:t>
      </w:r>
      <w:r>
        <w:tab/>
        <w:t>Philosophie de L'Université.</w:t>
      </w:r>
    </w:p>
    <w:p w14:paraId="7C487907" w14:textId="77777777" w:rsidR="086E6BFB" w:rsidRPr="00273106" w:rsidRDefault="086E6BFB" w:rsidP="086E6BFB">
      <w:pPr>
        <w:pStyle w:val="Literatura"/>
        <w:rPr>
          <w:rStyle w:val="a-size-large"/>
        </w:rPr>
      </w:pPr>
      <w:r w:rsidRPr="00273106">
        <w:t>Grabmann, Martin</w:t>
      </w:r>
      <w:r>
        <w:t xml:space="preserve"> (1906): </w:t>
      </w:r>
      <w:r w:rsidRPr="00273106">
        <w:rPr>
          <w:rStyle w:val="a-size-large"/>
          <w:i/>
        </w:rPr>
        <w:t xml:space="preserve">Die philosophische und theologische Erkenntnislehre des Kardinals Matthaeus von </w:t>
      </w:r>
      <w:r>
        <w:rPr>
          <w:rStyle w:val="a-size-large"/>
          <w:i/>
        </w:rPr>
        <w:tab/>
      </w:r>
      <w:r w:rsidRPr="00273106">
        <w:rPr>
          <w:rStyle w:val="a-size-large"/>
          <w:i/>
        </w:rPr>
        <w:t>Aquasparta</w:t>
      </w:r>
      <w:r w:rsidRPr="00273106">
        <w:rPr>
          <w:rStyle w:val="a-size-large"/>
        </w:rPr>
        <w:t>. Wi</w:t>
      </w:r>
      <w:r>
        <w:rPr>
          <w:rStyle w:val="a-size-large"/>
        </w:rPr>
        <w:t>en: Verlag von Mayer &amp; Co</w:t>
      </w:r>
      <w:r w:rsidRPr="00273106">
        <w:rPr>
          <w:rStyle w:val="a-size-large"/>
        </w:rPr>
        <w:t>.</w:t>
      </w:r>
    </w:p>
    <w:p w14:paraId="0357E979" w14:textId="77777777" w:rsidR="086E6BFB" w:rsidRPr="00273106" w:rsidRDefault="086E6BFB" w:rsidP="086E6BFB">
      <w:pPr>
        <w:pStyle w:val="Literatura"/>
      </w:pPr>
      <w:r w:rsidRPr="00273106">
        <w:t>Grauert</w:t>
      </w:r>
      <w:r w:rsidRPr="00273106">
        <w:rPr>
          <w:szCs w:val="30"/>
        </w:rPr>
        <w:t>, Hermann</w:t>
      </w:r>
      <w:r>
        <w:rPr>
          <w:szCs w:val="30"/>
        </w:rPr>
        <w:t xml:space="preserve"> (1912): </w:t>
      </w:r>
      <w:r w:rsidRPr="00273106">
        <w:rPr>
          <w:i/>
          <w:szCs w:val="39"/>
        </w:rPr>
        <w:t xml:space="preserve">Magister Heinrich </w:t>
      </w:r>
      <w:r w:rsidRPr="00273106">
        <w:rPr>
          <w:i/>
          <w:szCs w:val="38"/>
        </w:rPr>
        <w:t xml:space="preserve">der </w:t>
      </w:r>
      <w:r w:rsidRPr="00273106">
        <w:rPr>
          <w:i/>
          <w:szCs w:val="40"/>
        </w:rPr>
        <w:t xml:space="preserve">Poet </w:t>
      </w:r>
      <w:r w:rsidRPr="00273106">
        <w:rPr>
          <w:i/>
        </w:rPr>
        <w:t xml:space="preserve">in </w:t>
      </w:r>
      <w:r w:rsidRPr="00273106">
        <w:rPr>
          <w:i/>
          <w:szCs w:val="37"/>
        </w:rPr>
        <w:t xml:space="preserve">Würzburg </w:t>
      </w:r>
      <w:r w:rsidRPr="00273106">
        <w:rPr>
          <w:i/>
          <w:szCs w:val="34"/>
        </w:rPr>
        <w:t xml:space="preserve">und </w:t>
      </w:r>
      <w:r w:rsidRPr="00273106">
        <w:rPr>
          <w:i/>
          <w:szCs w:val="27"/>
        </w:rPr>
        <w:t xml:space="preserve">die </w:t>
      </w:r>
      <w:r w:rsidRPr="00273106">
        <w:rPr>
          <w:i/>
          <w:szCs w:val="32"/>
        </w:rPr>
        <w:t>römische Kurie</w:t>
      </w:r>
      <w:r w:rsidRPr="00273106">
        <w:rPr>
          <w:szCs w:val="32"/>
        </w:rPr>
        <w:t xml:space="preserve">. </w:t>
      </w:r>
      <w:r w:rsidRPr="00273106">
        <w:t xml:space="preserve"> </w:t>
      </w:r>
      <w:r w:rsidRPr="00273106">
        <w:rPr>
          <w:szCs w:val="21"/>
        </w:rPr>
        <w:t xml:space="preserve">München: </w:t>
      </w:r>
      <w:r w:rsidRPr="00273106">
        <w:rPr>
          <w:szCs w:val="16"/>
        </w:rPr>
        <w:t xml:space="preserve">Verlag </w:t>
      </w:r>
      <w:r>
        <w:rPr>
          <w:szCs w:val="16"/>
        </w:rPr>
        <w:tab/>
      </w:r>
      <w:r w:rsidRPr="00273106">
        <w:rPr>
          <w:szCs w:val="14"/>
        </w:rPr>
        <w:t xml:space="preserve">der </w:t>
      </w:r>
      <w:r w:rsidRPr="00273106">
        <w:rPr>
          <w:szCs w:val="15"/>
        </w:rPr>
        <w:t xml:space="preserve">Königlich Bayerischen </w:t>
      </w:r>
      <w:r w:rsidRPr="00273106">
        <w:rPr>
          <w:szCs w:val="17"/>
        </w:rPr>
        <w:t xml:space="preserve">Akademie </w:t>
      </w:r>
      <w:r w:rsidRPr="00273106">
        <w:rPr>
          <w:szCs w:val="14"/>
        </w:rPr>
        <w:t xml:space="preserve">der </w:t>
      </w:r>
      <w:r>
        <w:rPr>
          <w:szCs w:val="15"/>
        </w:rPr>
        <w:t>Wissenschaften</w:t>
      </w:r>
      <w:r w:rsidRPr="00273106">
        <w:rPr>
          <w:szCs w:val="19"/>
        </w:rPr>
        <w:t>.</w:t>
      </w:r>
    </w:p>
    <w:p w14:paraId="5EA47809" w14:textId="77777777" w:rsidR="08B95735" w:rsidRDefault="086E6BFB" w:rsidP="086E6BFB">
      <w:pPr>
        <w:pStyle w:val="Literatura"/>
      </w:pPr>
      <w:r w:rsidRPr="00273106">
        <w:t>Griffel, Frank</w:t>
      </w:r>
      <w:r w:rsidR="08B95735">
        <w:t xml:space="preserve"> (2009): </w:t>
      </w:r>
      <w:r w:rsidR="08B95735" w:rsidRPr="08B95735">
        <w:rPr>
          <w:i/>
        </w:rPr>
        <w:t>Al-Ghazālī's Philosophical Teology</w:t>
      </w:r>
      <w:r w:rsidR="08B95735">
        <w:t>. Oxford University Press.</w:t>
      </w:r>
    </w:p>
    <w:p w14:paraId="669DCA22" w14:textId="77777777" w:rsidR="086E6BFB" w:rsidRPr="00273106" w:rsidRDefault="08B95735" w:rsidP="086E6BFB">
      <w:pPr>
        <w:pStyle w:val="Literatura"/>
      </w:pPr>
      <w:r>
        <w:t xml:space="preserve">– </w:t>
      </w:r>
      <w:r w:rsidR="086E6BFB">
        <w:t>(2012): "</w:t>
      </w:r>
      <w:r w:rsidR="086E6BFB" w:rsidRPr="00273106">
        <w:t>Al-Ghazālī's Use of “Original Human Disposition” (</w:t>
      </w:r>
      <w:r w:rsidR="086E6BFB" w:rsidRPr="00273106">
        <w:rPr>
          <w:rStyle w:val="Zvraznn"/>
        </w:rPr>
        <w:t>Fiṭra</w:t>
      </w:r>
      <w:r w:rsidR="086E6BFB" w:rsidRPr="00273106">
        <w:t>) and Its Background in the Teachings of al-</w:t>
      </w:r>
      <w:r>
        <w:rPr>
          <w:szCs w:val="18"/>
        </w:rPr>
        <w:tab/>
      </w:r>
      <w:r w:rsidR="086E6BFB" w:rsidRPr="00273106">
        <w:t>Fārābī and Avicenna</w:t>
      </w:r>
      <w:r w:rsidR="086E6BFB">
        <w:t>"</w:t>
      </w:r>
      <w:r w:rsidR="086E6BFB" w:rsidRPr="00273106">
        <w:t>.</w:t>
      </w:r>
      <w:r w:rsidR="086E6BFB">
        <w:t xml:space="preserve"> </w:t>
      </w:r>
      <w:r w:rsidR="086E6BFB" w:rsidRPr="00273106">
        <w:rPr>
          <w:i/>
        </w:rPr>
        <w:t>The Muslim World</w:t>
      </w:r>
      <w:r w:rsidR="086E6BFB">
        <w:t xml:space="preserve"> 102</w:t>
      </w:r>
      <w:r w:rsidR="086E6BFB" w:rsidRPr="00273106">
        <w:t>: 1–32.</w:t>
      </w:r>
    </w:p>
    <w:p w14:paraId="4E606486" w14:textId="77777777" w:rsidR="086E6BFB" w:rsidRDefault="086E6BFB" w:rsidP="086E6BFB">
      <w:pPr>
        <w:pStyle w:val="Literatura"/>
      </w:pPr>
      <w:r w:rsidRPr="00273106">
        <w:t>Grosseteste, Robertus</w:t>
      </w:r>
      <w:r>
        <w:t xml:space="preserve"> (1912): </w:t>
      </w:r>
      <w:r w:rsidRPr="00F91ADB">
        <w:rPr>
          <w:i/>
        </w:rPr>
        <w:t>Die philosophischen Werke des Robert Gross</w:t>
      </w:r>
      <w:r>
        <w:rPr>
          <w:i/>
        </w:rPr>
        <w:t>e</w:t>
      </w:r>
      <w:r w:rsidRPr="00F91ADB">
        <w:rPr>
          <w:i/>
        </w:rPr>
        <w:t>teste, Bischofs of Lincoln</w:t>
      </w:r>
      <w:r>
        <w:t xml:space="preserve">. Besorgt </w:t>
      </w:r>
      <w:r>
        <w:rPr>
          <w:szCs w:val="18"/>
        </w:rPr>
        <w:tab/>
      </w:r>
      <w:r>
        <w:t>von dr. Ludwig Baur, Münster: Aschendorffsche Verlagbuchshandlung.</w:t>
      </w:r>
    </w:p>
    <w:p w14:paraId="62FD5147" w14:textId="77777777" w:rsidR="086E6BFB" w:rsidRPr="00273106" w:rsidRDefault="086E6BFB" w:rsidP="086E6BFB">
      <w:pPr>
        <w:pStyle w:val="Literatura"/>
      </w:pPr>
      <w:r>
        <w:t>‒ (1981):</w:t>
      </w:r>
      <w:r w:rsidRPr="00273106">
        <w:t xml:space="preserve"> </w:t>
      </w:r>
      <w:r>
        <w:rPr>
          <w:i/>
        </w:rPr>
        <w:t>Commentarius in P</w:t>
      </w:r>
      <w:r w:rsidRPr="00273106">
        <w:rPr>
          <w:i/>
        </w:rPr>
        <w:t>osteriorum analyticorum libros</w:t>
      </w:r>
      <w:r w:rsidRPr="00273106">
        <w:t>. Ed</w:t>
      </w:r>
      <w:r>
        <w:t xml:space="preserve">ited by </w:t>
      </w:r>
      <w:r w:rsidRPr="00273106">
        <w:t xml:space="preserve">Pietro Rossi. </w:t>
      </w:r>
      <w:r>
        <w:tab/>
      </w:r>
      <w:r w:rsidRPr="00273106">
        <w:t>Firen</w:t>
      </w:r>
      <w:r>
        <w:t xml:space="preserve">ze: Leo S. Olschki </w:t>
      </w:r>
      <w:r>
        <w:tab/>
        <w:t>Editore</w:t>
      </w:r>
      <w:r w:rsidRPr="00273106">
        <w:t>.</w:t>
      </w:r>
    </w:p>
    <w:p w14:paraId="2B240083" w14:textId="77777777" w:rsidR="086E6BFB" w:rsidRDefault="086E6BFB" w:rsidP="086E6BFB">
      <w:pPr>
        <w:pStyle w:val="Literatura"/>
      </w:pPr>
      <w:r w:rsidRPr="0012491C">
        <w:rPr>
          <w:rStyle w:val="CittHTML"/>
          <w:i w:val="0"/>
        </w:rPr>
        <w:t>Grotius, Hugo</w:t>
      </w:r>
      <w:r>
        <w:rPr>
          <w:rStyle w:val="CittHTML"/>
          <w:i w:val="0"/>
        </w:rPr>
        <w:t xml:space="preserve"> (1919): </w:t>
      </w:r>
      <w:r w:rsidRPr="0012491C">
        <w:rPr>
          <w:rStyle w:val="CittHTML"/>
        </w:rPr>
        <w:t xml:space="preserve">Hugonis Grotii. De iure belli ac pacis. Libri tres, in quibus ius naturae et gentium, item iuris </w:t>
      </w:r>
      <w:r>
        <w:rPr>
          <w:rStyle w:val="CittHTML"/>
        </w:rPr>
        <w:tab/>
      </w:r>
      <w:r w:rsidRPr="0012491C">
        <w:rPr>
          <w:rStyle w:val="CittHTML"/>
        </w:rPr>
        <w:t>publici praecipua explicantur: cum annotatis auctoris</w:t>
      </w:r>
      <w:r>
        <w:rPr>
          <w:rStyle w:val="CittHTML"/>
          <w:i w:val="0"/>
        </w:rPr>
        <w:t xml:space="preserve">. </w:t>
      </w:r>
      <w:r w:rsidRPr="0012491C">
        <w:rPr>
          <w:rStyle w:val="CittHTML"/>
          <w:i w:val="0"/>
        </w:rPr>
        <w:t>Ed</w:t>
      </w:r>
      <w:r>
        <w:rPr>
          <w:rStyle w:val="CittHTML"/>
          <w:i w:val="0"/>
        </w:rPr>
        <w:t xml:space="preserve">ited by </w:t>
      </w:r>
      <w:r w:rsidRPr="0012491C">
        <w:rPr>
          <w:rStyle w:val="CittHTML"/>
          <w:i w:val="0"/>
        </w:rPr>
        <w:t>Philip Christiaan Molhuysen</w:t>
      </w:r>
      <w:r>
        <w:rPr>
          <w:rStyle w:val="CittHTML"/>
          <w:i w:val="0"/>
        </w:rPr>
        <w:t xml:space="preserve">, Lugduni </w:t>
      </w:r>
      <w:r>
        <w:rPr>
          <w:rStyle w:val="CittHTML"/>
          <w:i w:val="0"/>
        </w:rPr>
        <w:tab/>
        <w:t>Batavorum: A.W. Sijthoff, 1919.</w:t>
      </w:r>
    </w:p>
    <w:p w14:paraId="1F3474C3" w14:textId="77777777" w:rsidR="086E6BFB" w:rsidRDefault="086E6BFB" w:rsidP="086E6BFB">
      <w:pPr>
        <w:pStyle w:val="Literatura"/>
        <w:rPr>
          <w:rStyle w:val="TextpoznpodarouChar"/>
        </w:rPr>
      </w:pPr>
      <w:r>
        <w:t>Guilielmus Alvernus (</w:t>
      </w:r>
      <w:r w:rsidRPr="00273106">
        <w:t>William of Auvergne</w:t>
      </w:r>
      <w:r>
        <w:t xml:space="preserve">) (1674): </w:t>
      </w:r>
      <w:r w:rsidRPr="00C45082">
        <w:rPr>
          <w:rStyle w:val="TextpoznpodarouChar"/>
          <w:i/>
        </w:rPr>
        <w:t>Guilielmi Alverni Episcopo Parisiensis Opera Omnia</w:t>
      </w:r>
      <w:r>
        <w:rPr>
          <w:rStyle w:val="TextpoznpodarouChar"/>
        </w:rPr>
        <w:t>. E</w:t>
      </w:r>
      <w:r w:rsidRPr="00273106">
        <w:rPr>
          <w:rStyle w:val="TextpoznpodarouChar"/>
        </w:rPr>
        <w:t>d</w:t>
      </w:r>
      <w:r>
        <w:rPr>
          <w:rStyle w:val="TextpoznpodarouChar"/>
        </w:rPr>
        <w:t xml:space="preserve">ited by </w:t>
      </w:r>
      <w:r>
        <w:rPr>
          <w:szCs w:val="18"/>
        </w:rPr>
        <w:tab/>
      </w:r>
      <w:r w:rsidRPr="00273106">
        <w:rPr>
          <w:rStyle w:val="TextpoznpodarouChar"/>
        </w:rPr>
        <w:t>F. Hotot, 2 vols et Supplementum</w:t>
      </w:r>
      <w:r>
        <w:rPr>
          <w:rStyle w:val="TextpoznpodarouChar"/>
        </w:rPr>
        <w:t xml:space="preserve">, </w:t>
      </w:r>
      <w:r w:rsidRPr="00273106">
        <w:rPr>
          <w:rStyle w:val="TextpoznpodarouChar"/>
        </w:rPr>
        <w:t>Orléans/Paris</w:t>
      </w:r>
      <w:r>
        <w:rPr>
          <w:rStyle w:val="TextpoznpodarouChar"/>
        </w:rPr>
        <w:t>: Le Feron</w:t>
      </w:r>
      <w:r w:rsidRPr="00273106">
        <w:rPr>
          <w:rStyle w:val="TextpoznpodarouChar"/>
        </w:rPr>
        <w:t>.</w:t>
      </w:r>
    </w:p>
    <w:p w14:paraId="3A702825" w14:textId="77777777" w:rsidR="086E6BFB" w:rsidRDefault="086E6BFB" w:rsidP="086E6BFB">
      <w:pPr>
        <w:pStyle w:val="Literatura"/>
      </w:pPr>
      <w:r>
        <w:t xml:space="preserve">‒ (1976): </w:t>
      </w:r>
      <w:r w:rsidRPr="00273106">
        <w:rPr>
          <w:i/>
        </w:rPr>
        <w:t>De Trinitate. An Edition of the Latin Text with an Introduction</w:t>
      </w:r>
      <w:r w:rsidRPr="00273106">
        <w:t xml:space="preserve">. Ed. Bruno Switalski. Toronto: Pontifical </w:t>
      </w:r>
      <w:r>
        <w:tab/>
      </w:r>
      <w:r w:rsidRPr="00273106">
        <w:t>Inst</w:t>
      </w:r>
      <w:r>
        <w:t>itute of Mediaeval Studies</w:t>
      </w:r>
      <w:r w:rsidRPr="00273106">
        <w:t>.</w:t>
      </w:r>
    </w:p>
    <w:p w14:paraId="7BC0DBF8" w14:textId="77777777" w:rsidR="086E6BFB" w:rsidRDefault="086E6BFB" w:rsidP="086E6BFB">
      <w:pPr>
        <w:pStyle w:val="Literatura"/>
      </w:pPr>
      <w:r w:rsidRPr="00195E59">
        <w:t>Ockham, William</w:t>
      </w:r>
      <w:r>
        <w:t>,</w:t>
      </w:r>
      <w:r w:rsidRPr="00195E59">
        <w:rPr>
          <w:i/>
        </w:rPr>
        <w:t xml:space="preserve"> </w:t>
      </w:r>
      <w:r w:rsidRPr="00273106">
        <w:rPr>
          <w:i/>
        </w:rPr>
        <w:t>Guillielmi de Ockham opera philosophica et theologica</w:t>
      </w:r>
      <w:r>
        <w:t xml:space="preserve"> (1967‒1988). Edited by </w:t>
      </w:r>
      <w:r w:rsidRPr="00273106">
        <w:t xml:space="preserve">Gedeon Gál, </w:t>
      </w:r>
      <w:r>
        <w:tab/>
      </w:r>
      <w:r w:rsidRPr="00273106">
        <w:t>Stephen Brown, et al. New York: The Franciscan Insti</w:t>
      </w:r>
      <w:r>
        <w:t>tute, St. Bonaventure.</w:t>
      </w:r>
    </w:p>
    <w:p w14:paraId="30C3B2B4" w14:textId="77777777" w:rsidR="086E6BFB" w:rsidRDefault="086E6BFB" w:rsidP="086E6BFB">
      <w:pPr>
        <w:pStyle w:val="Literatura"/>
      </w:pPr>
      <w:r>
        <w:t>‒ (</w:t>
      </w:r>
      <w:r w:rsidRPr="00273106">
        <w:t>1967‒</w:t>
      </w:r>
      <w:r>
        <w:t>19</w:t>
      </w:r>
      <w:r w:rsidRPr="00273106">
        <w:t>86</w:t>
      </w:r>
      <w:r>
        <w:t xml:space="preserve">): </w:t>
      </w:r>
      <w:r w:rsidRPr="00653EF4">
        <w:rPr>
          <w:i/>
        </w:rPr>
        <w:t>Opera theologica</w:t>
      </w:r>
      <w:r>
        <w:t>, 10 vols. (OTh).</w:t>
      </w:r>
    </w:p>
    <w:p w14:paraId="5EAB75BC" w14:textId="77777777" w:rsidR="086E6BFB" w:rsidRDefault="086E6BFB" w:rsidP="086E6BFB">
      <w:pPr>
        <w:pStyle w:val="Literatura"/>
      </w:pPr>
      <w:r>
        <w:t xml:space="preserve">‒ (1967-1988): </w:t>
      </w:r>
      <w:r w:rsidRPr="00653EF4">
        <w:rPr>
          <w:i/>
        </w:rPr>
        <w:t>Opera philosophica</w:t>
      </w:r>
      <w:r>
        <w:t>, 7 vols. (OPh</w:t>
      </w:r>
      <w:r w:rsidRPr="00273106">
        <w:t>).</w:t>
      </w:r>
    </w:p>
    <w:p w14:paraId="72D09F09" w14:textId="77777777" w:rsidR="086E6BFB" w:rsidRPr="00273106" w:rsidRDefault="086E6BFB" w:rsidP="086E6BFB">
      <w:pPr>
        <w:pStyle w:val="Literatura"/>
      </w:pPr>
      <w:r>
        <w:t xml:space="preserve">‒ (1995‒): </w:t>
      </w:r>
      <w:r w:rsidRPr="002C3C95">
        <w:rPr>
          <w:i/>
        </w:rPr>
        <w:t>Dialogus. Latin Text and English Translation</w:t>
      </w:r>
      <w:r w:rsidRPr="00273106">
        <w:t xml:space="preserve">. Edited by John Kilcullen, John Scott, George </w:t>
      </w:r>
      <w:r>
        <w:tab/>
      </w:r>
      <w:r w:rsidRPr="00273106">
        <w:t xml:space="preserve">Knysh, </w:t>
      </w:r>
      <w:r>
        <w:tab/>
      </w:r>
      <w:r w:rsidRPr="00273106">
        <w:t>Volker Leppin, Jan Ballweg, Karl Ubl, Semih Heinen. Oxford:</w:t>
      </w:r>
      <w:r>
        <w:t xml:space="preserve"> Auctores Britannici Medii Aevi</w:t>
      </w:r>
      <w:r w:rsidRPr="00273106">
        <w:t>.</w:t>
      </w:r>
      <w:r>
        <w:t xml:space="preserve"> (</w:t>
      </w:r>
      <w:r w:rsidRPr="00273106">
        <w:t>ABMA</w:t>
      </w:r>
      <w:r>
        <w:t>)</w:t>
      </w:r>
    </w:p>
    <w:p w14:paraId="48721222" w14:textId="77777777" w:rsidR="086E6BFB" w:rsidRPr="00C35557" w:rsidRDefault="086E6BFB" w:rsidP="086E6BFB">
      <w:pPr>
        <w:pStyle w:val="Literatura"/>
      </w:pPr>
      <w:r w:rsidRPr="00C35557">
        <w:t>Gundisalvi, Dominicus</w:t>
      </w:r>
      <w:r>
        <w:t xml:space="preserve"> </w:t>
      </w:r>
      <w:r w:rsidRPr="00C35557">
        <w:t>(1897)</w:t>
      </w:r>
      <w:r>
        <w:t>:</w:t>
      </w:r>
      <w:r w:rsidRPr="00C35557">
        <w:t xml:space="preserve"> </w:t>
      </w:r>
      <w:r w:rsidRPr="00C35557">
        <w:rPr>
          <w:i/>
        </w:rPr>
        <w:t>De immortalitate animae</w:t>
      </w:r>
      <w:r>
        <w:t>. E</w:t>
      </w:r>
      <w:r w:rsidRPr="00C35557">
        <w:t>d. G. Bülow, Münster: Aschendorff</w:t>
      </w:r>
      <w:r>
        <w:t>.</w:t>
      </w:r>
    </w:p>
    <w:p w14:paraId="5B2E718D" w14:textId="77777777" w:rsidR="086E6BFB" w:rsidRDefault="086E6BFB" w:rsidP="086E6BFB">
      <w:pPr>
        <w:pStyle w:val="Literatura"/>
      </w:pPr>
      <w:r w:rsidRPr="00273106">
        <w:t xml:space="preserve">Hegel, Georg Wilhelm Friedrich. </w:t>
      </w:r>
      <w:r w:rsidRPr="00273106">
        <w:rPr>
          <w:i/>
          <w:iCs/>
        </w:rPr>
        <w:t>Werke in zwanzig Bänden</w:t>
      </w:r>
      <w:r w:rsidRPr="00273106">
        <w:t>. Fr</w:t>
      </w:r>
      <w:r>
        <w:t xml:space="preserve">ankfurt am Main: Suhrkamp, 1969‒1971, </w:t>
      </w:r>
      <w:r>
        <w:tab/>
        <w:t>Theorie</w:t>
      </w:r>
      <w:r>
        <w:noBreakHyphen/>
        <w:t>Werkausgabe</w:t>
      </w:r>
      <w:r w:rsidRPr="00273106">
        <w:t>.</w:t>
      </w:r>
    </w:p>
    <w:p w14:paraId="1FC707D7" w14:textId="77777777" w:rsidR="086E6BFB" w:rsidRDefault="086E6BFB" w:rsidP="086E6BFB">
      <w:pPr>
        <w:pStyle w:val="Literatura"/>
      </w:pPr>
      <w:r>
        <w:t xml:space="preserve">‒ (1970): </w:t>
      </w:r>
      <w:r w:rsidRPr="00C01704">
        <w:rPr>
          <w:i/>
        </w:rPr>
        <w:t>Phänomenologie des Geistes</w:t>
      </w:r>
      <w:r>
        <w:t>,</w:t>
      </w:r>
      <w:r w:rsidRPr="008209C1">
        <w:t xml:space="preserve"> </w:t>
      </w:r>
      <w:r w:rsidRPr="00273106">
        <w:t>Theorie-</w:t>
      </w:r>
      <w:r>
        <w:t>Werkausgabe, Band 3.</w:t>
      </w:r>
    </w:p>
    <w:p w14:paraId="31847FE0" w14:textId="77777777" w:rsidR="086E6BFB" w:rsidRPr="00285C48" w:rsidRDefault="086E6BFB" w:rsidP="086E6BFB">
      <w:pPr>
        <w:pStyle w:val="Literatura"/>
      </w:pPr>
      <w:r>
        <w:t xml:space="preserve">‒ (1970): </w:t>
      </w:r>
      <w:r w:rsidRPr="00273106">
        <w:rPr>
          <w:rStyle w:val="st"/>
          <w:bCs/>
          <w:i/>
        </w:rPr>
        <w:t>Enzyklopädie</w:t>
      </w:r>
      <w:r w:rsidRPr="00273106">
        <w:rPr>
          <w:rStyle w:val="st"/>
          <w:i/>
        </w:rPr>
        <w:t xml:space="preserve"> der philosophischen </w:t>
      </w:r>
      <w:r w:rsidRPr="00273106">
        <w:rPr>
          <w:rStyle w:val="st"/>
          <w:bCs/>
          <w:i/>
        </w:rPr>
        <w:t>Wissenschaften</w:t>
      </w:r>
      <w:r>
        <w:rPr>
          <w:rStyle w:val="st"/>
          <w:bCs/>
        </w:rPr>
        <w:t xml:space="preserve">, </w:t>
      </w:r>
      <w:r w:rsidRPr="00273106">
        <w:t>Theorie-</w:t>
      </w:r>
      <w:r>
        <w:t>Werkausgabe</w:t>
      </w:r>
      <w:r>
        <w:rPr>
          <w:rStyle w:val="st"/>
          <w:bCs/>
        </w:rPr>
        <w:t xml:space="preserve">, </w:t>
      </w:r>
      <w:r>
        <w:t>Band 8.</w:t>
      </w:r>
    </w:p>
    <w:p w14:paraId="432A73C4" w14:textId="77777777" w:rsidR="086E6BFB" w:rsidRDefault="086E6BFB" w:rsidP="086E6BFB">
      <w:pPr>
        <w:pStyle w:val="Literatura"/>
      </w:pPr>
      <w:r w:rsidRPr="0074168B">
        <w:rPr>
          <w:lang w:val="en-US"/>
        </w:rPr>
        <w:t xml:space="preserve">Henri </w:t>
      </w:r>
      <w:r>
        <w:t xml:space="preserve">d'Andeli </w:t>
      </w:r>
      <w:r>
        <w:rPr>
          <w:lang w:val="en-US"/>
        </w:rPr>
        <w:t>(1914):</w:t>
      </w:r>
      <w:r>
        <w:t xml:space="preserve"> </w:t>
      </w:r>
      <w:r>
        <w:rPr>
          <w:i/>
          <w:lang w:val="en-US"/>
        </w:rPr>
        <w:t xml:space="preserve">The </w:t>
      </w:r>
      <w:r w:rsidRPr="0074168B">
        <w:rPr>
          <w:i/>
          <w:lang w:val="en-US"/>
        </w:rPr>
        <w:t>Battle of the Seven Arts</w:t>
      </w:r>
      <w:r>
        <w:t xml:space="preserve">. Edited and translated by Louis John Paetow. Berkeley: </w:t>
      </w:r>
      <w:r>
        <w:tab/>
        <w:t>University of California Press.</w:t>
      </w:r>
    </w:p>
    <w:p w14:paraId="4EA7F34E" w14:textId="77777777" w:rsidR="086E6BFB" w:rsidRDefault="086E6BFB" w:rsidP="086E6BFB">
      <w:pPr>
        <w:pStyle w:val="Literatura"/>
      </w:pPr>
      <w:r w:rsidRPr="003E7A59">
        <w:t>Heidegger, Martin</w:t>
      </w:r>
      <w:r>
        <w:t xml:space="preserve">. </w:t>
      </w:r>
      <w:r w:rsidRPr="00273106">
        <w:rPr>
          <w:i/>
          <w:iCs/>
        </w:rPr>
        <w:t>Gesamtausgabe</w:t>
      </w:r>
      <w:r w:rsidRPr="00273106">
        <w:t>, Frankfurt am Main, Vittorio Klostermann, 1975-.</w:t>
      </w:r>
      <w:r>
        <w:t xml:space="preserve"> </w:t>
      </w:r>
      <w:r w:rsidRPr="00273106">
        <w:t>(GA)</w:t>
      </w:r>
    </w:p>
    <w:p w14:paraId="1C2DCDA8" w14:textId="77777777" w:rsidR="086E6BFB" w:rsidRDefault="086E6BFB" w:rsidP="086E6BFB">
      <w:pPr>
        <w:pStyle w:val="Literatura"/>
      </w:pPr>
      <w:r>
        <w:t xml:space="preserve">‒ </w:t>
      </w:r>
      <w:r w:rsidRPr="00273106">
        <w:t xml:space="preserve">(1993): </w:t>
      </w:r>
      <w:r w:rsidRPr="00273106">
        <w:rPr>
          <w:i/>
          <w:iCs/>
        </w:rPr>
        <w:t>Sein und Zeit</w:t>
      </w:r>
      <w:r>
        <w:t>, Tübingen, Max Niemeyer Verlag, 17. Auflage, (SZ).</w:t>
      </w:r>
    </w:p>
    <w:p w14:paraId="2437631A" w14:textId="77777777" w:rsidR="086E6BFB" w:rsidRDefault="086E6BFB" w:rsidP="086E6BFB">
      <w:pPr>
        <w:pStyle w:val="Literatura"/>
      </w:pPr>
      <w:r>
        <w:t>‒ (1977</w:t>
      </w:r>
      <w:r w:rsidRPr="001368FC">
        <w:t>)</w:t>
      </w:r>
      <w:r>
        <w:t>:</w:t>
      </w:r>
      <w:r w:rsidRPr="001368FC">
        <w:t xml:space="preserve"> </w:t>
      </w:r>
      <w:r w:rsidRPr="001368FC">
        <w:rPr>
          <w:i/>
        </w:rPr>
        <w:t>Holzwege</w:t>
      </w:r>
      <w:r w:rsidRPr="001368FC">
        <w:t xml:space="preserve"> (1935–1946)</w:t>
      </w:r>
      <w:r>
        <w:t>. Hrsg. F.-W. von Herrmann, GA 5.</w:t>
      </w:r>
    </w:p>
    <w:p w14:paraId="7BE19157" w14:textId="77777777" w:rsidR="086E6BFB" w:rsidRDefault="086E6BFB" w:rsidP="086E6BFB">
      <w:pPr>
        <w:pStyle w:val="Literatura"/>
      </w:pPr>
      <w:r>
        <w:t xml:space="preserve">‒ </w:t>
      </w:r>
      <w:r w:rsidRPr="00D9391E">
        <w:t>(</w:t>
      </w:r>
      <w:r>
        <w:t>1996</w:t>
      </w:r>
      <w:r w:rsidRPr="00D9391E">
        <w:t>)</w:t>
      </w:r>
      <w:r>
        <w:t>:</w:t>
      </w:r>
      <w:r w:rsidRPr="00D9391E">
        <w:t xml:space="preserve"> </w:t>
      </w:r>
      <w:r w:rsidRPr="003D4B4D">
        <w:rPr>
          <w:i/>
        </w:rPr>
        <w:t>Nietzsche</w:t>
      </w:r>
      <w:r w:rsidRPr="00D9391E">
        <w:t xml:space="preserve"> 1 (1936–</w:t>
      </w:r>
      <w:r>
        <w:t xml:space="preserve">1939). Hrsg. B. Schillbach, </w:t>
      </w:r>
      <w:r w:rsidRPr="00D9391E">
        <w:t>GA 6.1.</w:t>
      </w:r>
    </w:p>
    <w:p w14:paraId="1791BFF4" w14:textId="77777777" w:rsidR="086E6BFB" w:rsidRDefault="086E6BFB" w:rsidP="086E6BFB">
      <w:pPr>
        <w:pStyle w:val="Literatura"/>
      </w:pPr>
      <w:r>
        <w:t xml:space="preserve">‒ </w:t>
      </w:r>
      <w:r w:rsidRPr="005D2BC9">
        <w:t>(</w:t>
      </w:r>
      <w:r>
        <w:t>2000</w:t>
      </w:r>
      <w:r w:rsidRPr="005D2BC9">
        <w:t>)</w:t>
      </w:r>
      <w:r>
        <w:t>:</w:t>
      </w:r>
      <w:r w:rsidRPr="005D2BC9">
        <w:t xml:space="preserve"> </w:t>
      </w:r>
      <w:r w:rsidRPr="003D4B4D">
        <w:rPr>
          <w:i/>
        </w:rPr>
        <w:t>Vorträge und Aufsätze</w:t>
      </w:r>
      <w:r w:rsidRPr="005D2BC9">
        <w:t xml:space="preserve"> (1936–1953)</w:t>
      </w:r>
      <w:r>
        <w:t xml:space="preserve">. Hrsg. F.-W. von Herrmann, </w:t>
      </w:r>
      <w:r w:rsidRPr="005D2BC9">
        <w:t>GA 7</w:t>
      </w:r>
      <w:r>
        <w:t>.</w:t>
      </w:r>
    </w:p>
    <w:p w14:paraId="4D7DA52B" w14:textId="77777777" w:rsidR="086E6BFB" w:rsidRPr="0048370E" w:rsidRDefault="086E6BFB" w:rsidP="086E6BFB">
      <w:pPr>
        <w:pStyle w:val="Literatura"/>
      </w:pPr>
      <w:r w:rsidRPr="0048370E">
        <w:t xml:space="preserve">‒ (2002): </w:t>
      </w:r>
      <w:r w:rsidRPr="0048370E">
        <w:rPr>
          <w:i/>
        </w:rPr>
        <w:t>Was heisst Denken?</w:t>
      </w:r>
      <w:r w:rsidRPr="0048370E">
        <w:t xml:space="preserve"> (1951–1952)</w:t>
      </w:r>
      <w:r>
        <w:t xml:space="preserve">. Hrsg. </w:t>
      </w:r>
      <w:r w:rsidRPr="0048370E">
        <w:t>P.-L. Coriando</w:t>
      </w:r>
      <w:r>
        <w:t>, GA 8</w:t>
      </w:r>
      <w:r w:rsidRPr="0048370E">
        <w:t>.</w:t>
      </w:r>
    </w:p>
    <w:p w14:paraId="68363EEE" w14:textId="77777777" w:rsidR="086E6BFB" w:rsidRDefault="086E6BFB" w:rsidP="086E6BFB">
      <w:pPr>
        <w:pStyle w:val="Literatura"/>
      </w:pPr>
      <w:r>
        <w:t>‒ (1976</w:t>
      </w:r>
      <w:r w:rsidRPr="005863D5">
        <w:t>)</w:t>
      </w:r>
      <w:r>
        <w:t>:</w:t>
      </w:r>
      <w:r w:rsidRPr="005863D5">
        <w:t xml:space="preserve"> </w:t>
      </w:r>
      <w:r w:rsidRPr="005863D5">
        <w:rPr>
          <w:i/>
        </w:rPr>
        <w:t>Wegmarken</w:t>
      </w:r>
      <w:r w:rsidRPr="005863D5">
        <w:t xml:space="preserve"> (1919–1961)</w:t>
      </w:r>
      <w:r>
        <w:t xml:space="preserve">. Hrsg. F.-W. von Herrmann, </w:t>
      </w:r>
      <w:r w:rsidRPr="005863D5">
        <w:t>GA 9</w:t>
      </w:r>
      <w:r>
        <w:t>.</w:t>
      </w:r>
    </w:p>
    <w:p w14:paraId="04192846" w14:textId="77777777" w:rsidR="086E6BFB" w:rsidRDefault="086E6BFB" w:rsidP="086E6BFB">
      <w:pPr>
        <w:pStyle w:val="Literatura"/>
      </w:pPr>
      <w:r>
        <w:t xml:space="preserve">‒ </w:t>
      </w:r>
      <w:r w:rsidRPr="003D4B4D">
        <w:t>(</w:t>
      </w:r>
      <w:r>
        <w:t>2006</w:t>
      </w:r>
      <w:r w:rsidRPr="003D4B4D">
        <w:t>)</w:t>
      </w:r>
      <w:r>
        <w:t>:</w:t>
      </w:r>
      <w:r w:rsidRPr="003D4B4D">
        <w:t xml:space="preserve"> </w:t>
      </w:r>
      <w:r w:rsidRPr="003D4B4D">
        <w:rPr>
          <w:i/>
        </w:rPr>
        <w:t>Identität und Differenz</w:t>
      </w:r>
      <w:r w:rsidRPr="003D4B4D">
        <w:t xml:space="preserve"> (1955–1957)</w:t>
      </w:r>
      <w:r>
        <w:t xml:space="preserve">. Hrsg. F.-W. von Herrmann, </w:t>
      </w:r>
      <w:r w:rsidRPr="003D4B4D">
        <w:t>GA 11</w:t>
      </w:r>
      <w:r>
        <w:t>.</w:t>
      </w:r>
    </w:p>
    <w:p w14:paraId="542AC9EA" w14:textId="77777777" w:rsidR="086E6BFB" w:rsidRDefault="086E6BFB" w:rsidP="086E6BFB">
      <w:pPr>
        <w:pStyle w:val="Literatura"/>
      </w:pPr>
      <w:r>
        <w:t xml:space="preserve">‒ </w:t>
      </w:r>
      <w:r w:rsidRPr="005D2BC9">
        <w:t>(</w:t>
      </w:r>
      <w:r>
        <w:t>1985</w:t>
      </w:r>
      <w:r w:rsidRPr="005D2BC9">
        <w:t>)</w:t>
      </w:r>
      <w:r>
        <w:t>:</w:t>
      </w:r>
      <w:r w:rsidRPr="005D2BC9">
        <w:t xml:space="preserve"> </w:t>
      </w:r>
      <w:r w:rsidRPr="003D4B4D">
        <w:rPr>
          <w:i/>
        </w:rPr>
        <w:t>Unterwegs zur Sprache</w:t>
      </w:r>
      <w:r w:rsidRPr="005D2BC9">
        <w:t xml:space="preserve"> (1950–1959)</w:t>
      </w:r>
      <w:r>
        <w:t xml:space="preserve">. Hrsg. F.-W. von Herrmann, </w:t>
      </w:r>
      <w:r w:rsidRPr="005D2BC9">
        <w:t>GA 12</w:t>
      </w:r>
      <w:r>
        <w:t>.</w:t>
      </w:r>
    </w:p>
    <w:p w14:paraId="0890F09A" w14:textId="77777777" w:rsidR="086E6BFB" w:rsidRDefault="086E6BFB" w:rsidP="086E6BFB">
      <w:pPr>
        <w:pStyle w:val="Literatura"/>
      </w:pPr>
      <w:r>
        <w:t xml:space="preserve">‒ </w:t>
      </w:r>
      <w:r w:rsidRPr="00965701">
        <w:t>(</w:t>
      </w:r>
      <w:r>
        <w:t>2007</w:t>
      </w:r>
      <w:r w:rsidRPr="00965701">
        <w:t>)</w:t>
      </w:r>
      <w:r>
        <w:t>:</w:t>
      </w:r>
      <w:r w:rsidRPr="00965701">
        <w:t xml:space="preserve"> </w:t>
      </w:r>
      <w:r w:rsidRPr="003D4B4D">
        <w:rPr>
          <w:i/>
        </w:rPr>
        <w:t>Zur Sache des Denkens</w:t>
      </w:r>
      <w:r w:rsidRPr="00965701">
        <w:t xml:space="preserve"> (1962–1964)</w:t>
      </w:r>
      <w:r>
        <w:t xml:space="preserve">. Hrsg. F.-W. von Herrmann, </w:t>
      </w:r>
      <w:r w:rsidRPr="00965701">
        <w:t>GA 14</w:t>
      </w:r>
      <w:r>
        <w:t>.</w:t>
      </w:r>
    </w:p>
    <w:p w14:paraId="3B6AE836" w14:textId="77777777" w:rsidR="086E6BFB" w:rsidRDefault="086E6BFB" w:rsidP="086E6BFB">
      <w:pPr>
        <w:pStyle w:val="Literatura"/>
      </w:pPr>
      <w:r>
        <w:t xml:space="preserve">‒ </w:t>
      </w:r>
      <w:r w:rsidRPr="003E7A59">
        <w:t>(</w:t>
      </w:r>
      <w:r>
        <w:t>1983</w:t>
      </w:r>
      <w:r w:rsidRPr="003E7A59">
        <w:t>)</w:t>
      </w:r>
      <w:r>
        <w:t>:</w:t>
      </w:r>
      <w:r w:rsidRPr="003E7A59">
        <w:t xml:space="preserve"> </w:t>
      </w:r>
      <w:r w:rsidRPr="003E7A59">
        <w:rPr>
          <w:i/>
        </w:rPr>
        <w:t xml:space="preserve">Einführung in die Metaphysik </w:t>
      </w:r>
      <w:r w:rsidRPr="003D4B4D">
        <w:t>(Sommersemester 1935)</w:t>
      </w:r>
      <w:r>
        <w:t xml:space="preserve">. Hrsg. P. Jaeger, </w:t>
      </w:r>
      <w:r w:rsidRPr="003E7A59">
        <w:t>GA 40</w:t>
      </w:r>
      <w:r>
        <w:t>.</w:t>
      </w:r>
    </w:p>
    <w:p w14:paraId="0F5B362A" w14:textId="77777777" w:rsidR="086E6BFB" w:rsidRDefault="086E6BFB" w:rsidP="086E6BFB">
      <w:pPr>
        <w:pStyle w:val="Literatura"/>
      </w:pPr>
      <w:r>
        <w:t xml:space="preserve">‒ </w:t>
      </w:r>
      <w:r w:rsidRPr="00F93AB7">
        <w:t>(</w:t>
      </w:r>
      <w:r>
        <w:t>1988</w:t>
      </w:r>
      <w:r w:rsidRPr="00F93AB7">
        <w:t>)</w:t>
      </w:r>
      <w:r>
        <w:t>:</w:t>
      </w:r>
      <w:r w:rsidRPr="00F93AB7">
        <w:t xml:space="preserve"> </w:t>
      </w:r>
      <w:r w:rsidRPr="00F93AB7">
        <w:rPr>
          <w:i/>
        </w:rPr>
        <w:t xml:space="preserve">Ontologie. Hermeneutik der Faktizität </w:t>
      </w:r>
      <w:r w:rsidRPr="003D4B4D">
        <w:t>(Sommersemester 1923)</w:t>
      </w:r>
      <w:r>
        <w:t xml:space="preserve">. Hrsg. K. Bröcker-Oltmanns, </w:t>
      </w:r>
      <w:r w:rsidRPr="00F93AB7">
        <w:t>GA 63</w:t>
      </w:r>
      <w:r>
        <w:t>.</w:t>
      </w:r>
    </w:p>
    <w:p w14:paraId="393994DE" w14:textId="77777777" w:rsidR="086E6BFB" w:rsidRDefault="086E6BFB" w:rsidP="086E6BFB">
      <w:pPr>
        <w:pStyle w:val="Literatura"/>
      </w:pPr>
      <w:r>
        <w:t xml:space="preserve">‒ </w:t>
      </w:r>
      <w:r w:rsidRPr="009E63D3">
        <w:t>(</w:t>
      </w:r>
      <w:r>
        <w:t>1989</w:t>
      </w:r>
      <w:r w:rsidRPr="009E63D3">
        <w:t>)</w:t>
      </w:r>
      <w:r>
        <w:t>:</w:t>
      </w:r>
      <w:r w:rsidRPr="009E63D3">
        <w:t xml:space="preserve"> </w:t>
      </w:r>
      <w:r w:rsidRPr="009E63D3">
        <w:rPr>
          <w:i/>
        </w:rPr>
        <w:t>Beiträge zur Philosophie. Vom Ereignis (1936–1938)</w:t>
      </w:r>
      <w:r>
        <w:t xml:space="preserve">. Hrsg. F.-W. von Herrmann, </w:t>
      </w:r>
      <w:r w:rsidRPr="009E63D3">
        <w:t>GA 65</w:t>
      </w:r>
      <w:r>
        <w:t>.</w:t>
      </w:r>
    </w:p>
    <w:p w14:paraId="7110D78C" w14:textId="77777777" w:rsidR="086E6BFB" w:rsidRPr="00E03F7D" w:rsidRDefault="086E6BFB" w:rsidP="086E6BFB">
      <w:pPr>
        <w:pStyle w:val="Literatura"/>
      </w:pPr>
      <w:r>
        <w:t xml:space="preserve">‒ </w:t>
      </w:r>
      <w:r w:rsidRPr="00E03F7D">
        <w:t>(</w:t>
      </w:r>
      <w:r>
        <w:t>1994</w:t>
      </w:r>
      <w:r w:rsidRPr="00E03F7D">
        <w:t>)</w:t>
      </w:r>
      <w:r>
        <w:t>:</w:t>
      </w:r>
      <w:r w:rsidRPr="00E03F7D">
        <w:t xml:space="preserve"> </w:t>
      </w:r>
      <w:r w:rsidRPr="003D4B4D">
        <w:rPr>
          <w:i/>
        </w:rPr>
        <w:t>Bremer und Freiburger Vorträge</w:t>
      </w:r>
      <w:r>
        <w:t xml:space="preserve">, Hrsg. P. Jaeger, </w:t>
      </w:r>
      <w:r w:rsidRPr="00E03F7D">
        <w:t>GA 79</w:t>
      </w:r>
      <w:r>
        <w:t>.</w:t>
      </w:r>
    </w:p>
    <w:p w14:paraId="2E29F9F7" w14:textId="77777777" w:rsidR="086E6BFB" w:rsidRPr="08110B43" w:rsidRDefault="086E6BFB" w:rsidP="086E6BFB">
      <w:pPr>
        <w:pStyle w:val="Literatura"/>
        <w:rPr>
          <w:szCs w:val="48"/>
        </w:rPr>
      </w:pPr>
      <w:r w:rsidRPr="08110B43">
        <w:rPr>
          <w:szCs w:val="48"/>
        </w:rPr>
        <w:t>Henry of Avranches (1935</w:t>
      </w:r>
      <w:r>
        <w:rPr>
          <w:szCs w:val="48"/>
        </w:rPr>
        <w:t>):</w:t>
      </w:r>
      <w:r>
        <w:rPr>
          <w:i/>
          <w:szCs w:val="48"/>
        </w:rPr>
        <w:t xml:space="preserve"> </w:t>
      </w:r>
      <w:r w:rsidRPr="08110B43">
        <w:rPr>
          <w:i/>
          <w:szCs w:val="48"/>
        </w:rPr>
        <w:t>The Shorter Latin Poems of Master Henry of Avranches Relating to England</w:t>
      </w:r>
      <w:r>
        <w:rPr>
          <w:szCs w:val="48"/>
        </w:rPr>
        <w:t xml:space="preserve">. Edited </w:t>
      </w:r>
      <w:r>
        <w:rPr>
          <w:szCs w:val="48"/>
        </w:rPr>
        <w:tab/>
        <w:t>by J.C. Russel and J. P. Heironimus. The Mediaeval Academy of America. Massachusetts: Cambridge.</w:t>
      </w:r>
    </w:p>
    <w:p w14:paraId="1B6745FC" w14:textId="77777777" w:rsidR="086E6BFB" w:rsidRDefault="086E6BFB" w:rsidP="086E6BFB">
      <w:pPr>
        <w:pStyle w:val="Literatura"/>
      </w:pPr>
      <w:r>
        <w:t xml:space="preserve">Hugues de Saint-Cher (1932): "Un petit traité sur l'âme de Hugues de Saint-Cher". Edited by Dom Odon Lottin. </w:t>
      </w:r>
      <w:r>
        <w:tab/>
      </w:r>
      <w:r w:rsidRPr="008D0752">
        <w:rPr>
          <w:i/>
        </w:rPr>
        <w:t>Revue néo-scolastique de philosophie</w:t>
      </w:r>
      <w:r>
        <w:t xml:space="preserve"> 36 (1932): 468‒475.</w:t>
      </w:r>
    </w:p>
    <w:p w14:paraId="63F49270" w14:textId="77777777" w:rsidR="086E6BFB" w:rsidRDefault="086E6BFB" w:rsidP="086E6BFB">
      <w:pPr>
        <w:pStyle w:val="Literatura"/>
      </w:pPr>
      <w:r>
        <w:t xml:space="preserve">Husserl, Edmund </w:t>
      </w:r>
      <w:r w:rsidRPr="002419BC">
        <w:rPr>
          <w:rStyle w:val="CittHTML"/>
          <w:i w:val="0"/>
        </w:rPr>
        <w:t>(</w:t>
      </w:r>
      <w:r>
        <w:rPr>
          <w:rStyle w:val="CittHTML"/>
          <w:i w:val="0"/>
        </w:rPr>
        <w:t>191</w:t>
      </w:r>
      <w:r w:rsidRPr="002419BC">
        <w:rPr>
          <w:rStyle w:val="CittHTML"/>
          <w:i w:val="0"/>
        </w:rPr>
        <w:t>3):</w:t>
      </w:r>
      <w:r>
        <w:rPr>
          <w:rStyle w:val="CittHTML"/>
        </w:rPr>
        <w:t xml:space="preserve"> </w:t>
      </w:r>
      <w:r w:rsidRPr="00D4620D">
        <w:t>Logische Untersuchungen</w:t>
      </w:r>
      <w:r>
        <w:t xml:space="preserve"> I. Tübingen: </w:t>
      </w:r>
      <w:r w:rsidRPr="002419BC">
        <w:t xml:space="preserve">Max Niemeyer </w:t>
      </w:r>
      <w:r>
        <w:t>Verlag.</w:t>
      </w:r>
    </w:p>
    <w:p w14:paraId="38A2ADE0" w14:textId="77777777" w:rsidR="086E6BFB" w:rsidRDefault="086E6BFB" w:rsidP="086E6BFB">
      <w:pPr>
        <w:pStyle w:val="Literatura"/>
      </w:pPr>
      <w:r w:rsidRPr="002419BC">
        <w:rPr>
          <w:rStyle w:val="CittHTML"/>
          <w:i w:val="0"/>
        </w:rPr>
        <w:t>‒</w:t>
      </w:r>
      <w:r>
        <w:rPr>
          <w:rStyle w:val="CittHTML"/>
          <w:i w:val="0"/>
        </w:rPr>
        <w:t xml:space="preserve"> (1954</w:t>
      </w:r>
      <w:r w:rsidRPr="002419BC">
        <w:rPr>
          <w:rStyle w:val="CittHTML"/>
          <w:i w:val="0"/>
        </w:rPr>
        <w:t>):</w:t>
      </w:r>
      <w:r>
        <w:rPr>
          <w:rStyle w:val="CittHTML"/>
        </w:rPr>
        <w:t xml:space="preserve"> </w:t>
      </w:r>
      <w:r w:rsidRPr="084C4A2A">
        <w:rPr>
          <w:i/>
        </w:rPr>
        <w:t>Erfahrung und Urteil</w:t>
      </w:r>
      <w:r w:rsidRPr="08A00C69">
        <w:t xml:space="preserve">, </w:t>
      </w:r>
      <w:r>
        <w:t>edited by  Ludwig Landgrebe. Hamburg: Claassen.</w:t>
      </w:r>
    </w:p>
    <w:p w14:paraId="53F54663" w14:textId="77777777" w:rsidR="086E6BFB" w:rsidRPr="001F4035" w:rsidRDefault="086E6BFB" w:rsidP="086E6BFB">
      <w:pPr>
        <w:pStyle w:val="Literatura"/>
        <w:rPr>
          <w:rStyle w:val="CittHTML"/>
          <w:rFonts w:cs="TimesNewRomanPSMT"/>
          <w:i w:val="0"/>
          <w:iCs w:val="0"/>
          <w:szCs w:val="24"/>
        </w:rPr>
      </w:pPr>
      <w:r w:rsidRPr="002419BC">
        <w:rPr>
          <w:rStyle w:val="CittHTML"/>
          <w:i w:val="0"/>
        </w:rPr>
        <w:t>‒</w:t>
      </w:r>
      <w:r>
        <w:rPr>
          <w:rStyle w:val="CittHTML"/>
          <w:i w:val="0"/>
        </w:rPr>
        <w:t xml:space="preserve"> (197</w:t>
      </w:r>
      <w:r w:rsidRPr="002419BC">
        <w:rPr>
          <w:rStyle w:val="CittHTML"/>
          <w:i w:val="0"/>
        </w:rPr>
        <w:t>3):</w:t>
      </w:r>
      <w:r>
        <w:rPr>
          <w:rStyle w:val="CittHTML"/>
        </w:rPr>
        <w:t xml:space="preserve">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xml:space="preserve">; Husserliana I. </w:t>
      </w:r>
      <w:r>
        <w:t xml:space="preserve">Edited by S. Strasser. The Hague: </w:t>
      </w:r>
      <w:r>
        <w:tab/>
        <w:t>Martinus Nijhoff.</w:t>
      </w:r>
    </w:p>
    <w:p w14:paraId="039A1FE8" w14:textId="77777777" w:rsidR="086E6BFB" w:rsidRDefault="086E6BFB" w:rsidP="086E6BFB">
      <w:pPr>
        <w:pStyle w:val="Literatura"/>
        <w:rPr>
          <w:rStyle w:val="CittHTML"/>
          <w:i w:val="0"/>
        </w:rPr>
      </w:pPr>
      <w:r w:rsidRPr="002419BC">
        <w:rPr>
          <w:rStyle w:val="CittHTML"/>
          <w:i w:val="0"/>
        </w:rPr>
        <w:t>‒ (</w:t>
      </w:r>
      <w:r>
        <w:rPr>
          <w:rStyle w:val="CittHTML"/>
          <w:i w:val="0"/>
        </w:rPr>
        <w:t>1977</w:t>
      </w:r>
      <w:r w:rsidRPr="002419BC">
        <w:rPr>
          <w:rStyle w:val="CittHTML"/>
          <w:i w:val="0"/>
        </w:rPr>
        <w:t>):</w:t>
      </w:r>
      <w:r>
        <w:rPr>
          <w:rStyle w:val="CittHTML"/>
        </w:rPr>
        <w:t xml:space="preserve"> </w:t>
      </w:r>
      <w:r w:rsidRPr="08184A75">
        <w:rPr>
          <w:i/>
        </w:rPr>
        <w:t>Ideen zu einer reinen Phänomenologie und phänomenologischen Philosophie</w:t>
      </w:r>
      <w:r>
        <w:rPr>
          <w:rStyle w:val="st"/>
        </w:rPr>
        <w:t xml:space="preserve"> I, </w:t>
      </w:r>
      <w:r>
        <w:t xml:space="preserve">Husserliana III/1. </w:t>
      </w:r>
      <w:r>
        <w:tab/>
        <w:t>Edited by Karl Schuhmann. The Hague, Netherlands: Martinus Nijhoff.</w:t>
      </w:r>
    </w:p>
    <w:p w14:paraId="4AC6B5E3" w14:textId="77777777" w:rsidR="086E6BFB" w:rsidRDefault="086E6BFB" w:rsidP="086E6BFB">
      <w:pPr>
        <w:pStyle w:val="Literatura"/>
      </w:pPr>
      <w:r w:rsidRPr="002419BC">
        <w:rPr>
          <w:rStyle w:val="CittHTML"/>
          <w:i w:val="0"/>
        </w:rPr>
        <w:t>‒ (1983):</w:t>
      </w:r>
      <w:r>
        <w:rPr>
          <w:rStyle w:val="CittHTML"/>
        </w:rPr>
        <w:t xml:space="preserve"> Studien zur Arithmetik und Geometrie.</w:t>
      </w:r>
      <w:r>
        <w:t xml:space="preserve"> Texte aus dem Nachlass (1886-1901). [Studies on arithmetic </w:t>
      </w:r>
      <w:r>
        <w:tab/>
        <w:t xml:space="preserve">and geometry. Texts from the estate (1886-1901). Edited by Ingeborg Strohmeyer. The Hague, </w:t>
      </w:r>
      <w:r>
        <w:tab/>
        <w:t>Netherlands: Martinus Nijhoff.</w:t>
      </w:r>
    </w:p>
    <w:p w14:paraId="443C9E8E" w14:textId="77777777" w:rsidR="086E6BFB" w:rsidRPr="00273106" w:rsidRDefault="086E6BFB" w:rsidP="086E6BFB">
      <w:pPr>
        <w:pStyle w:val="Literatura"/>
        <w:rPr>
          <w:rStyle w:val="TextpoznpodarouChar"/>
        </w:rPr>
      </w:pPr>
      <w:r w:rsidRPr="00273106">
        <w:rPr>
          <w:rStyle w:val="st"/>
        </w:rPr>
        <w:t>Gutas, Dimitri</w:t>
      </w:r>
      <w:r>
        <w:rPr>
          <w:rStyle w:val="st"/>
        </w:rPr>
        <w:t xml:space="preserve"> (1988)</w:t>
      </w:r>
      <w:r w:rsidRPr="00273106">
        <w:rPr>
          <w:rStyle w:val="st"/>
        </w:rPr>
        <w:t xml:space="preserve">. </w:t>
      </w:r>
      <w:r w:rsidRPr="00273106">
        <w:rPr>
          <w:rStyle w:val="st"/>
          <w:i/>
        </w:rPr>
        <w:t xml:space="preserve">Avicenna and the Aristotelian Tradition. Introduction to Reading Avicenna's Philosophical </w:t>
      </w:r>
      <w:r>
        <w:rPr>
          <w:rStyle w:val="st"/>
          <w:i/>
        </w:rPr>
        <w:tab/>
      </w:r>
      <w:r w:rsidRPr="00273106">
        <w:rPr>
          <w:rStyle w:val="st"/>
          <w:i/>
        </w:rPr>
        <w:t>Works</w:t>
      </w:r>
      <w:r w:rsidRPr="00273106">
        <w:rPr>
          <w:rStyle w:val="st"/>
        </w:rPr>
        <w:t>. Leiden: E. J. Brill.</w:t>
      </w:r>
    </w:p>
    <w:p w14:paraId="649B864D" w14:textId="77777777" w:rsidR="086E6BFB" w:rsidRPr="00273106" w:rsidRDefault="086E6BFB" w:rsidP="086E6BFB">
      <w:pPr>
        <w:pStyle w:val="Literatura"/>
      </w:pPr>
      <w:r w:rsidRPr="00273106">
        <w:t>Gyekye, Kwame</w:t>
      </w:r>
      <w:r>
        <w:t xml:space="preserve"> (1971): "</w:t>
      </w:r>
      <w:r w:rsidRPr="00273106">
        <w:t>The Terms "Prima Intentio" and "Secunda Intentio" in Arabic Logic</w:t>
      </w:r>
      <w:r>
        <w:t>"</w:t>
      </w:r>
      <w:r w:rsidRPr="00273106">
        <w:t xml:space="preserve">. </w:t>
      </w:r>
      <w:r w:rsidRPr="00273106">
        <w:rPr>
          <w:i/>
        </w:rPr>
        <w:t>Speculum</w:t>
      </w:r>
      <w:r>
        <w:t xml:space="preserve"> 46: </w:t>
      </w:r>
      <w:r>
        <w:tab/>
        <w:t>32‒</w:t>
      </w:r>
      <w:r w:rsidRPr="00273106">
        <w:t>38.</w:t>
      </w:r>
    </w:p>
    <w:p w14:paraId="3D7C1436" w14:textId="77777777" w:rsidR="086E6BFB" w:rsidRDefault="086E6BFB" w:rsidP="086E6BFB">
      <w:pPr>
        <w:pStyle w:val="Literatura"/>
        <w:rPr>
          <w:szCs w:val="22"/>
        </w:rPr>
      </w:pPr>
      <w:r w:rsidRPr="00273106">
        <w:rPr>
          <w:szCs w:val="24"/>
        </w:rPr>
        <w:t>Hackett, J</w:t>
      </w:r>
      <w:r>
        <w:rPr>
          <w:szCs w:val="24"/>
        </w:rPr>
        <w:t xml:space="preserve">eremiah </w:t>
      </w:r>
      <w:r w:rsidRPr="00273106">
        <w:rPr>
          <w:szCs w:val="22"/>
        </w:rPr>
        <w:t>(1997a)</w:t>
      </w:r>
      <w:r>
        <w:rPr>
          <w:szCs w:val="22"/>
        </w:rPr>
        <w:t>:</w:t>
      </w:r>
      <w:r w:rsidRPr="00273106">
        <w:rPr>
          <w:szCs w:val="22"/>
        </w:rPr>
        <w:t xml:space="preserve"> </w:t>
      </w:r>
      <w:r>
        <w:rPr>
          <w:szCs w:val="22"/>
        </w:rPr>
        <w:t>"</w:t>
      </w:r>
      <w:r w:rsidRPr="00273106">
        <w:rPr>
          <w:szCs w:val="22"/>
        </w:rPr>
        <w:t>Roger Bacon, Aristotle, and the Parisian Condemnations of 1270, 1277</w:t>
      </w:r>
      <w:r>
        <w:rPr>
          <w:szCs w:val="22"/>
        </w:rPr>
        <w:t>"</w:t>
      </w:r>
      <w:r w:rsidRPr="00273106">
        <w:rPr>
          <w:szCs w:val="22"/>
        </w:rPr>
        <w:t xml:space="preserve">. </w:t>
      </w:r>
      <w:r w:rsidRPr="00273106">
        <w:rPr>
          <w:i/>
          <w:szCs w:val="22"/>
        </w:rPr>
        <w:t>Vivarium</w:t>
      </w:r>
      <w:r>
        <w:rPr>
          <w:szCs w:val="22"/>
        </w:rPr>
        <w:t xml:space="preserve"> </w:t>
      </w:r>
      <w:r>
        <w:rPr>
          <w:szCs w:val="22"/>
        </w:rPr>
        <w:tab/>
        <w:t>35/2: 283‒</w:t>
      </w:r>
      <w:r w:rsidRPr="00273106">
        <w:rPr>
          <w:szCs w:val="22"/>
        </w:rPr>
        <w:t>314.</w:t>
      </w:r>
    </w:p>
    <w:p w14:paraId="5C202618" w14:textId="77777777" w:rsidR="086E6BFB" w:rsidRPr="00273106" w:rsidRDefault="086E6BFB" w:rsidP="086E6BFB">
      <w:pPr>
        <w:pStyle w:val="Literatura"/>
        <w:rPr>
          <w:szCs w:val="22"/>
        </w:rPr>
      </w:pPr>
      <w:r>
        <w:rPr>
          <w:szCs w:val="22"/>
        </w:rPr>
        <w:t xml:space="preserve">‒ </w:t>
      </w:r>
      <w:r w:rsidRPr="00273106">
        <w:rPr>
          <w:szCs w:val="22"/>
        </w:rPr>
        <w:t>(</w:t>
      </w:r>
      <w:r w:rsidRPr="00273106">
        <w:t>1997b</w:t>
      </w:r>
      <w:r w:rsidRPr="00273106">
        <w:rPr>
          <w:szCs w:val="22"/>
        </w:rPr>
        <w:t>)</w:t>
      </w:r>
      <w:r>
        <w:rPr>
          <w:szCs w:val="22"/>
        </w:rPr>
        <w:t>:</w:t>
      </w:r>
      <w:r w:rsidRPr="00273106">
        <w:rPr>
          <w:szCs w:val="22"/>
        </w:rPr>
        <w:t xml:space="preserve"> </w:t>
      </w:r>
      <w:r w:rsidRPr="00273106">
        <w:rPr>
          <w:i/>
        </w:rPr>
        <w:t>Roger Bacon and the Sciences: Commemorative Essays</w:t>
      </w:r>
      <w:r w:rsidRPr="00273106">
        <w:t>. Leiden: Brill.</w:t>
      </w:r>
    </w:p>
    <w:p w14:paraId="586255B0" w14:textId="77777777" w:rsidR="086E6BFB" w:rsidRPr="00273106" w:rsidRDefault="086E6BFB" w:rsidP="086E6BFB">
      <w:pPr>
        <w:pStyle w:val="Literatura"/>
      </w:pPr>
      <w:r w:rsidRPr="00273106">
        <w:t>Hadot, Pierre</w:t>
      </w:r>
      <w:r>
        <w:t xml:space="preserve"> (1990):</w:t>
      </w:r>
      <w:r w:rsidRPr="00273106">
        <w:t xml:space="preserve"> </w:t>
      </w:r>
      <w:r>
        <w:t>"</w:t>
      </w:r>
      <w:r w:rsidRPr="00273106">
        <w:t>The harmony of Plotinus and Aristotle according to Porphyry</w:t>
      </w:r>
      <w:r>
        <w:t>".</w:t>
      </w:r>
      <w:r w:rsidRPr="00273106">
        <w:t xml:space="preserve"> </w:t>
      </w:r>
      <w:r w:rsidRPr="00273106">
        <w:rPr>
          <w:i/>
        </w:rPr>
        <w:t xml:space="preserve">Aristotle transformed: the </w:t>
      </w:r>
      <w:r>
        <w:rPr>
          <w:i/>
        </w:rPr>
        <w:tab/>
      </w:r>
      <w:r w:rsidRPr="00273106">
        <w:rPr>
          <w:i/>
        </w:rPr>
        <w:t>ancient commentators and their influence</w:t>
      </w:r>
      <w:r>
        <w:t xml:space="preserve">, edited by </w:t>
      </w:r>
      <w:r w:rsidRPr="00273106">
        <w:t>Richard Sorabji</w:t>
      </w:r>
      <w:r>
        <w:t xml:space="preserve">, </w:t>
      </w:r>
      <w:r w:rsidRPr="00273106">
        <w:t xml:space="preserve">New York: Cornell Univesity </w:t>
      </w:r>
      <w:r>
        <w:rPr>
          <w:i/>
        </w:rPr>
        <w:tab/>
      </w:r>
      <w:r w:rsidRPr="00273106">
        <w:t xml:space="preserve">Press, </w:t>
      </w:r>
      <w:r>
        <w:rPr>
          <w:rStyle w:val="st"/>
        </w:rPr>
        <w:tab/>
      </w:r>
      <w:r w:rsidRPr="00273106">
        <w:t>pp. 125–140.</w:t>
      </w:r>
    </w:p>
    <w:p w14:paraId="4F7E1B27" w14:textId="77777777" w:rsidR="086E6BFB" w:rsidRDefault="086E6BFB" w:rsidP="086E6BFB">
      <w:pPr>
        <w:pStyle w:val="Literatura"/>
      </w:pPr>
      <w:r w:rsidRPr="080442C2">
        <w:t>Hammond</w:t>
      </w:r>
      <w:r>
        <w:t xml:space="preserve">, </w:t>
      </w:r>
      <w:r w:rsidRPr="080442C2">
        <w:t>Jay</w:t>
      </w:r>
      <w:r>
        <w:t xml:space="preserve">, and </w:t>
      </w:r>
      <w:r w:rsidRPr="080442C2">
        <w:t>Wayne Hellmann, Jared Goff</w:t>
      </w:r>
      <w:r>
        <w:t xml:space="preserve"> </w:t>
      </w:r>
      <w:r w:rsidRPr="080442C2">
        <w:t xml:space="preserve">(2013): </w:t>
      </w:r>
      <w:r w:rsidRPr="080442C2">
        <w:rPr>
          <w:i/>
        </w:rPr>
        <w:t>A Companion to Bonaventure</w:t>
      </w:r>
      <w:r w:rsidRPr="080442C2">
        <w:t>. Brill.</w:t>
      </w:r>
    </w:p>
    <w:p w14:paraId="33E47552" w14:textId="77777777" w:rsidR="086E6BFB" w:rsidRDefault="086E6BFB" w:rsidP="086E6BFB">
      <w:pPr>
        <w:pStyle w:val="Literatura"/>
      </w:pPr>
      <w:r w:rsidRPr="00273106">
        <w:t xml:space="preserve">Hasse, </w:t>
      </w:r>
      <w:r>
        <w:t xml:space="preserve">Dag </w:t>
      </w:r>
      <w:r w:rsidRPr="00273106">
        <w:t>N</w:t>
      </w:r>
      <w:r>
        <w:t>icolaus (1999): "</w:t>
      </w:r>
      <w:r w:rsidRPr="00273106">
        <w:t>Das Lehrstück von den vier Intellekten in der Scholastik</w:t>
      </w:r>
      <w:r>
        <w:t>"</w:t>
      </w:r>
      <w:r w:rsidRPr="00273106">
        <w:t xml:space="preserve">. </w:t>
      </w:r>
      <w:r w:rsidRPr="00273106">
        <w:rPr>
          <w:i/>
        </w:rPr>
        <w:t xml:space="preserve">Recherches de Théologie </w:t>
      </w:r>
      <w:r>
        <w:rPr>
          <w:i/>
        </w:rPr>
        <w:tab/>
      </w:r>
      <w:r w:rsidRPr="00273106">
        <w:rPr>
          <w:i/>
        </w:rPr>
        <w:t>et Philosophie Médiévales</w:t>
      </w:r>
      <w:r>
        <w:t xml:space="preserve"> 66/1: 21‒</w:t>
      </w:r>
      <w:r w:rsidRPr="00273106">
        <w:t>77.</w:t>
      </w:r>
    </w:p>
    <w:p w14:paraId="5E758F92" w14:textId="77777777" w:rsidR="086E6BFB" w:rsidRDefault="086E6BFB" w:rsidP="086E6BFB">
      <w:pPr>
        <w:pStyle w:val="Literatura"/>
      </w:pPr>
      <w:r>
        <w:rPr>
          <w:szCs w:val="22"/>
        </w:rPr>
        <w:t xml:space="preserve">‒ </w:t>
      </w:r>
      <w:r w:rsidRPr="00273106">
        <w:rPr>
          <w:szCs w:val="22"/>
        </w:rPr>
        <w:t>(</w:t>
      </w:r>
      <w:r>
        <w:t>2000</w:t>
      </w:r>
      <w:r w:rsidRPr="00273106">
        <w:rPr>
          <w:szCs w:val="22"/>
        </w:rPr>
        <w:t>)</w:t>
      </w:r>
      <w:r>
        <w:rPr>
          <w:szCs w:val="22"/>
        </w:rPr>
        <w:t>:</w:t>
      </w:r>
      <w:r w:rsidRPr="00273106">
        <w:rPr>
          <w:szCs w:val="22"/>
        </w:rPr>
        <w:t xml:space="preserve"> </w:t>
      </w:r>
      <w:r w:rsidRPr="00273106">
        <w:rPr>
          <w:i/>
        </w:rPr>
        <w:t xml:space="preserve">Avicenna’s </w:t>
      </w:r>
      <w:r>
        <w:rPr>
          <w:i/>
        </w:rPr>
        <w:t>De anima</w:t>
      </w:r>
      <w:r w:rsidRPr="00273106">
        <w:rPr>
          <w:i/>
        </w:rPr>
        <w:t xml:space="preserve"> in the Latin West</w:t>
      </w:r>
      <w:r w:rsidRPr="00273106">
        <w:t>. London – Turin: The Warburg Insti</w:t>
      </w:r>
      <w:r>
        <w:t>tute – Nino Aragno Editore.</w:t>
      </w:r>
    </w:p>
    <w:p w14:paraId="5F11CA80" w14:textId="77777777" w:rsidR="00EF2DCB" w:rsidRDefault="00EF2DCB" w:rsidP="086E6BFB">
      <w:pPr>
        <w:pStyle w:val="Literatura"/>
      </w:pPr>
      <w:r>
        <w:t xml:space="preserve">– (2007): </w:t>
      </w:r>
      <w:r>
        <w:rPr>
          <w:rFonts w:cs="Calibri"/>
        </w:rPr>
        <w:t>"</w:t>
      </w:r>
      <w:r w:rsidRPr="004A4A2B">
        <w:t xml:space="preserve">Averroica secta: Notes on the Formation of Averroist Movements in Fourteenth-Century Bologna </w:t>
      </w:r>
      <w:r>
        <w:rPr>
          <w:rStyle w:val="st"/>
        </w:rPr>
        <w:tab/>
      </w:r>
      <w:r w:rsidRPr="004A4A2B">
        <w:t>and Renaissance Italy</w:t>
      </w:r>
      <w:r>
        <w:rPr>
          <w:rFonts w:cs="Calibri"/>
        </w:rPr>
        <w:t>"</w:t>
      </w:r>
      <w:r w:rsidRPr="004A4A2B">
        <w:t xml:space="preserve">, in: </w:t>
      </w:r>
      <w:r w:rsidRPr="004A4A2B">
        <w:rPr>
          <w:i/>
        </w:rPr>
        <w:t xml:space="preserve">Averroes et les averroïsmes juif et latin: Actes du Colloque International (Paris, </w:t>
      </w:r>
      <w:r>
        <w:rPr>
          <w:rStyle w:val="st"/>
        </w:rPr>
        <w:tab/>
      </w:r>
      <w:r w:rsidRPr="004A4A2B">
        <w:rPr>
          <w:i/>
        </w:rPr>
        <w:t>16-18 juin 2005)</w:t>
      </w:r>
      <w:r w:rsidRPr="004A4A2B">
        <w:t>, Brepols Publishers.</w:t>
      </w:r>
    </w:p>
    <w:p w14:paraId="48927102" w14:textId="77777777" w:rsidR="086E6BFB" w:rsidRPr="00273106" w:rsidRDefault="086E6BFB" w:rsidP="086E6BFB">
      <w:pPr>
        <w:pStyle w:val="Literatura"/>
      </w:pPr>
      <w:r>
        <w:rPr>
          <w:szCs w:val="22"/>
        </w:rPr>
        <w:t xml:space="preserve">‒ </w:t>
      </w:r>
      <w:r w:rsidRPr="00273106">
        <w:rPr>
          <w:szCs w:val="22"/>
        </w:rPr>
        <w:t>(</w:t>
      </w:r>
      <w:r>
        <w:t>2010</w:t>
      </w:r>
      <w:r w:rsidRPr="00273106">
        <w:rPr>
          <w:szCs w:val="22"/>
        </w:rPr>
        <w:t>)</w:t>
      </w:r>
      <w:r>
        <w:rPr>
          <w:szCs w:val="22"/>
        </w:rPr>
        <w:t>:</w:t>
      </w:r>
      <w:r w:rsidRPr="00273106">
        <w:rPr>
          <w:szCs w:val="22"/>
        </w:rPr>
        <w:t xml:space="preserve"> </w:t>
      </w:r>
      <w:r w:rsidRPr="00273106">
        <w:rPr>
          <w:i/>
        </w:rPr>
        <w:t>Latin Averroes Translations of the First Half of the Thirteenth Century</w:t>
      </w:r>
      <w:r w:rsidRPr="00273106">
        <w:t xml:space="preserve">, </w:t>
      </w:r>
      <w:r>
        <w:t>Zurich-New York: Hildesheim.</w:t>
      </w:r>
    </w:p>
    <w:p w14:paraId="350631C5" w14:textId="77777777" w:rsidR="086E6BFB" w:rsidRPr="00273106" w:rsidRDefault="086E6BFB" w:rsidP="086E6BFB">
      <w:pPr>
        <w:pStyle w:val="Literatura"/>
      </w:pPr>
      <w:r w:rsidRPr="00273106">
        <w:t>Hasse, Dag Nikolaus</w:t>
      </w:r>
      <w:r>
        <w:t xml:space="preserve">, and </w:t>
      </w:r>
      <w:r w:rsidRPr="00273106">
        <w:t xml:space="preserve">Amos </w:t>
      </w:r>
      <w:r>
        <w:t xml:space="preserve">Bertolacci (2012): </w:t>
      </w:r>
      <w:r w:rsidRPr="00273106">
        <w:rPr>
          <w:i/>
        </w:rPr>
        <w:t xml:space="preserve">The Arabic, Hebrew and Latin Reception of Avicenna's </w:t>
      </w:r>
      <w:r>
        <w:rPr>
          <w:i/>
        </w:rPr>
        <w:tab/>
      </w:r>
      <w:r w:rsidRPr="00273106">
        <w:rPr>
          <w:i/>
        </w:rPr>
        <w:t>Metaphysics. Scientia Graeco-Arabica 7</w:t>
      </w:r>
      <w:r w:rsidRPr="00273106">
        <w:t>.</w:t>
      </w:r>
      <w:r>
        <w:t xml:space="preserve"> Berlin: Walter de Gruyter</w:t>
      </w:r>
      <w:r w:rsidRPr="00273106">
        <w:t>.</w:t>
      </w:r>
    </w:p>
    <w:p w14:paraId="49B01674" w14:textId="77777777" w:rsidR="086E6BFB" w:rsidRPr="00273106" w:rsidRDefault="086E6BFB" w:rsidP="086E6BFB">
      <w:pPr>
        <w:pStyle w:val="Literatura"/>
        <w:rPr>
          <w:smallCaps/>
        </w:rPr>
      </w:pPr>
      <w:r w:rsidRPr="00273106">
        <w:t>Hissette, Roland</w:t>
      </w:r>
      <w:r>
        <w:t xml:space="preserve"> (1977): </w:t>
      </w:r>
      <w:r w:rsidRPr="00273106">
        <w:rPr>
          <w:i/>
          <w:iCs/>
        </w:rPr>
        <w:t>Enquête sur les 219 articles condamnés à Paris le 7 Mars 1277</w:t>
      </w:r>
      <w:r w:rsidRPr="00273106">
        <w:t>. Publicatio</w:t>
      </w:r>
      <w:r>
        <w:t xml:space="preserve">ns </w:t>
      </w:r>
      <w:r>
        <w:tab/>
        <w:t>Universitaires, Louvain</w:t>
      </w:r>
      <w:r w:rsidRPr="00273106">
        <w:t>.</w:t>
      </w:r>
    </w:p>
    <w:p w14:paraId="035A2959" w14:textId="77777777" w:rsidR="086E6BFB" w:rsidRDefault="086E6BFB" w:rsidP="086E6BFB">
      <w:pPr>
        <w:pStyle w:val="Literatura"/>
      </w:pPr>
      <w:r w:rsidRPr="00273106">
        <w:t>Honnefelder, Ludger</w:t>
      </w:r>
      <w:r>
        <w:t xml:space="preserve"> (1987): "</w:t>
      </w:r>
      <w:r w:rsidRPr="00273106">
        <w:t xml:space="preserve">Der Zweite Anfang der Metaphysik. Voraussetzungen, Ansätze und Folgen der </w:t>
      </w:r>
      <w:r>
        <w:tab/>
      </w:r>
      <w:r w:rsidRPr="00273106">
        <w:t>Wiederbegündung der Metaphysik im 13./14. Jahrhundert</w:t>
      </w:r>
      <w:r>
        <w:t xml:space="preserve">". </w:t>
      </w:r>
      <w:r w:rsidRPr="00273106">
        <w:rPr>
          <w:i/>
        </w:rPr>
        <w:t xml:space="preserve">Philosophie im Mittelater. Entwicklunglinien </w:t>
      </w:r>
      <w:r>
        <w:rPr>
          <w:rStyle w:val="st"/>
        </w:rPr>
        <w:tab/>
      </w:r>
      <w:r w:rsidRPr="00273106">
        <w:rPr>
          <w:i/>
        </w:rPr>
        <w:t>und Paradigmen</w:t>
      </w:r>
      <w:r>
        <w:rPr>
          <w:i/>
        </w:rPr>
        <w:t xml:space="preserve">, </w:t>
      </w:r>
      <w:r>
        <w:t xml:space="preserve">edited by Jan P. Beckmann, </w:t>
      </w:r>
      <w:r w:rsidRPr="00273106">
        <w:t>H</w:t>
      </w:r>
      <w:r>
        <w:t>amburg: Felix Meiner Verlag</w:t>
      </w:r>
      <w:r w:rsidRPr="00273106">
        <w:t>, pp. 165–</w:t>
      </w:r>
      <w:r>
        <w:t>186.</w:t>
      </w:r>
    </w:p>
    <w:p w14:paraId="34F10091" w14:textId="77777777" w:rsidR="086E6BFB" w:rsidRPr="00273106" w:rsidRDefault="086E6BFB" w:rsidP="086E6BFB">
      <w:pPr>
        <w:pStyle w:val="Literatura"/>
      </w:pPr>
      <w:r>
        <w:rPr>
          <w:szCs w:val="22"/>
        </w:rPr>
        <w:t xml:space="preserve">‒ </w:t>
      </w:r>
      <w:r w:rsidRPr="00273106">
        <w:rPr>
          <w:szCs w:val="22"/>
        </w:rPr>
        <w:t>(</w:t>
      </w:r>
      <w:r>
        <w:t>2007</w:t>
      </w:r>
      <w:r w:rsidRPr="00273106">
        <w:rPr>
          <w:szCs w:val="22"/>
        </w:rPr>
        <w:t>)</w:t>
      </w:r>
      <w:r>
        <w:rPr>
          <w:szCs w:val="22"/>
        </w:rPr>
        <w:t>:</w:t>
      </w:r>
      <w:r w:rsidRPr="00273106">
        <w:rPr>
          <w:szCs w:val="22"/>
        </w:rPr>
        <w:t xml:space="preserve"> </w:t>
      </w:r>
      <w:r>
        <w:rPr>
          <w:szCs w:val="22"/>
        </w:rPr>
        <w:t>"</w:t>
      </w:r>
      <w:r w:rsidRPr="00273106">
        <w:t xml:space="preserve">Metaphysik als scientia transcendens: Johannes Duns Scotus und der zweite Anfang der </w:t>
      </w:r>
      <w:r>
        <w:tab/>
      </w:r>
      <w:r w:rsidRPr="00273106">
        <w:t>Metaphysik</w:t>
      </w:r>
      <w:r>
        <w:t xml:space="preserve">". </w:t>
      </w:r>
      <w:r w:rsidRPr="00273106">
        <w:rPr>
          <w:rStyle w:val="Zvraznn"/>
        </w:rPr>
        <w:t xml:space="preserve">New Essays on Metaphysics as "Scientia Transcendens": Proceedings of the Second </w:t>
      </w:r>
      <w:r>
        <w:rPr>
          <w:rStyle w:val="Zvraznn"/>
        </w:rPr>
        <w:tab/>
      </w:r>
      <w:r w:rsidRPr="00273106">
        <w:rPr>
          <w:rStyle w:val="Zvraznn"/>
        </w:rPr>
        <w:t xml:space="preserve">International Conference of Medieval Philosophy, Held at the Pontifical Catholic University of Rio Grande </w:t>
      </w:r>
      <w:r>
        <w:rPr>
          <w:rStyle w:val="st"/>
        </w:rPr>
        <w:tab/>
      </w:r>
      <w:r w:rsidRPr="00273106">
        <w:rPr>
          <w:rStyle w:val="Zvraznn"/>
        </w:rPr>
        <w:t>Do Sul (Pucrs), Porto Alegre/Brazil, 15-18 August 2006</w:t>
      </w:r>
      <w:r w:rsidRPr="001E690D">
        <w:rPr>
          <w:rStyle w:val="Zvraznn"/>
          <w:i w:val="0"/>
        </w:rPr>
        <w:t>, e</w:t>
      </w:r>
      <w:r>
        <w:t xml:space="preserve">dited by Roberto Hofmeister Pich, </w:t>
      </w:r>
      <w:r w:rsidRPr="00273106">
        <w:t xml:space="preserve">Fédération </w:t>
      </w:r>
      <w:r>
        <w:rPr>
          <w:rStyle w:val="st"/>
        </w:rPr>
        <w:tab/>
      </w:r>
      <w:r w:rsidRPr="00273106">
        <w:t>Internationale des Ins</w:t>
      </w:r>
      <w:r>
        <w:t>tituts d'Études Médiévales</w:t>
      </w:r>
      <w:r w:rsidRPr="00273106">
        <w:t xml:space="preserve">, pp. 1–19. </w:t>
      </w:r>
    </w:p>
    <w:p w14:paraId="1CAF8E39" w14:textId="77777777" w:rsidR="086E6BFB" w:rsidRPr="00273106" w:rsidRDefault="086E6BFB" w:rsidP="086E6BFB">
      <w:pPr>
        <w:pStyle w:val="Literatura"/>
        <w:rPr>
          <w:szCs w:val="24"/>
        </w:rPr>
      </w:pPr>
      <w:r>
        <w:t xml:space="preserve">Horkheimer, Max; Adorno, Theodor W. (2000): </w:t>
      </w:r>
      <w:r>
        <w:rPr>
          <w:i/>
          <w:iCs/>
        </w:rPr>
        <w:t>Dialektik der Aufklärung</w:t>
      </w:r>
      <w:r>
        <w:t>, Frankfurt: S. Fischer Taschenbuch.</w:t>
      </w:r>
    </w:p>
    <w:p w14:paraId="15EFE87E" w14:textId="77777777" w:rsidR="086E6BFB" w:rsidRPr="00273106" w:rsidRDefault="086E6BFB" w:rsidP="086E6BFB">
      <w:pPr>
        <w:pStyle w:val="Literatura"/>
      </w:pPr>
      <w:r w:rsidRPr="00273106">
        <w:t>Hoye, J. William</w:t>
      </w:r>
      <w:r>
        <w:t xml:space="preserve"> (1976):</w:t>
      </w:r>
      <w:r w:rsidRPr="00273106">
        <w:t xml:space="preserve"> </w:t>
      </w:r>
      <w:r>
        <w:t>"</w:t>
      </w:r>
      <w:r w:rsidRPr="00273106">
        <w:t xml:space="preserve">Gotteserkenntnis </w:t>
      </w:r>
      <w:r w:rsidRPr="00273106">
        <w:rPr>
          <w:i/>
        </w:rPr>
        <w:t>per essentiam</w:t>
      </w:r>
      <w:r w:rsidRPr="00273106">
        <w:t xml:space="preserve"> im 13. Jahrhundert</w:t>
      </w:r>
      <w:r>
        <w:t>".</w:t>
      </w:r>
      <w:r w:rsidRPr="00786A44">
        <w:rPr>
          <w:rStyle w:val="fn"/>
          <w:i/>
        </w:rPr>
        <w:t xml:space="preserve"> </w:t>
      </w:r>
      <w:r w:rsidRPr="00273106">
        <w:rPr>
          <w:rStyle w:val="fn"/>
          <w:i/>
        </w:rPr>
        <w:t xml:space="preserve">Die Auseinandersetzungen an </w:t>
      </w:r>
      <w:r>
        <w:rPr>
          <w:rStyle w:val="fn"/>
          <w:i/>
        </w:rPr>
        <w:tab/>
      </w:r>
      <w:r w:rsidRPr="00273106">
        <w:rPr>
          <w:rStyle w:val="fn"/>
          <w:i/>
        </w:rPr>
        <w:t>der Pariser Universität im XIII. Jahrhundert</w:t>
      </w:r>
      <w:r>
        <w:rPr>
          <w:rStyle w:val="fn"/>
          <w:i/>
        </w:rPr>
        <w:t xml:space="preserve">, </w:t>
      </w:r>
      <w:r>
        <w:t>edited by Albert Zimmermann,</w:t>
      </w:r>
      <w:r w:rsidRPr="00273106">
        <w:t xml:space="preserve"> </w:t>
      </w:r>
      <w:r w:rsidRPr="00273106">
        <w:rPr>
          <w:szCs w:val="24"/>
        </w:rPr>
        <w:t>Universität Köln Thomas-</w:t>
      </w:r>
      <w:r>
        <w:rPr>
          <w:szCs w:val="24"/>
        </w:rPr>
        <w:tab/>
      </w:r>
      <w:r w:rsidRPr="00273106">
        <w:rPr>
          <w:szCs w:val="24"/>
        </w:rPr>
        <w:t xml:space="preserve">Institut: </w:t>
      </w:r>
      <w:r w:rsidRPr="00273106">
        <w:t>Walt</w:t>
      </w:r>
      <w:r>
        <w:t xml:space="preserve">er de Gruyter: Miscellanea </w:t>
      </w:r>
      <w:r w:rsidRPr="00273106">
        <w:t xml:space="preserve">Mediaevalia 10, pp. 269‒284. </w:t>
      </w:r>
    </w:p>
    <w:p w14:paraId="2FB6DDB3" w14:textId="77777777" w:rsidR="08BE2778" w:rsidRDefault="08BE2778" w:rsidP="086E6BFB">
      <w:pPr>
        <w:pStyle w:val="Literatura"/>
      </w:pPr>
      <w:r>
        <w:t>Certeau, Michel</w:t>
      </w:r>
      <w:r w:rsidR="08CE6343">
        <w:t xml:space="preserve"> de</w:t>
      </w:r>
      <w:r>
        <w:t xml:space="preserve"> (1973): </w:t>
      </w:r>
      <w:r w:rsidRPr="08BE2778">
        <w:rPr>
          <w:i/>
        </w:rPr>
        <w:t>L'Absent de l'histoire</w:t>
      </w:r>
      <w:r>
        <w:t>. Paris: Maison Mame.</w:t>
      </w:r>
    </w:p>
    <w:p w14:paraId="1563F126" w14:textId="77777777" w:rsidR="086E6BFB" w:rsidRDefault="086E6BFB" w:rsidP="086E6BFB">
      <w:pPr>
        <w:pStyle w:val="Literatura"/>
      </w:pPr>
      <w:r w:rsidRPr="00273106">
        <w:t>Chenu, Marie-Dominique</w:t>
      </w:r>
      <w:r>
        <w:t xml:space="preserve"> (1927): "</w:t>
      </w:r>
      <w:r w:rsidRPr="00273106">
        <w:t>Notes de lexicographie philosophique mediévale: collectio, collatio</w:t>
      </w:r>
      <w:r>
        <w:t>"</w:t>
      </w:r>
      <w:r w:rsidRPr="00273106">
        <w:t xml:space="preserve">. </w:t>
      </w:r>
      <w:r w:rsidRPr="00837C82">
        <w:rPr>
          <w:i/>
        </w:rPr>
        <w:t xml:space="preserve">Revue </w:t>
      </w:r>
      <w:r>
        <w:rPr>
          <w:i/>
        </w:rPr>
        <w:tab/>
      </w:r>
      <w:r w:rsidRPr="00837C82">
        <w:rPr>
          <w:i/>
        </w:rPr>
        <w:t>des sciences philosophiques et theologiques</w:t>
      </w:r>
      <w:r>
        <w:t xml:space="preserve"> 16: 435‒446.</w:t>
      </w:r>
    </w:p>
    <w:p w14:paraId="3626FF78" w14:textId="77777777" w:rsidR="086E6BFB" w:rsidRPr="00273106" w:rsidRDefault="086E6BFB" w:rsidP="086E6BFB">
      <w:pPr>
        <w:pStyle w:val="Literatura"/>
      </w:pPr>
      <w:r>
        <w:t xml:space="preserve">‒ (1930): "Les réponses de S. Thomas et de Kilwardby à la consultation de Jean de Verceil (1271)". </w:t>
      </w:r>
      <w:r w:rsidRPr="00273106">
        <w:rPr>
          <w:i/>
        </w:rPr>
        <w:t xml:space="preserve">Mélanges </w:t>
      </w:r>
      <w:r>
        <w:rPr>
          <w:i/>
        </w:rPr>
        <w:tab/>
      </w:r>
      <w:r w:rsidRPr="00273106">
        <w:rPr>
          <w:i/>
        </w:rPr>
        <w:t xml:space="preserve">Mandonnet. Études d'histoire littéraire et doctrinale du </w:t>
      </w:r>
      <w:r>
        <w:rPr>
          <w:i/>
        </w:rPr>
        <w:t>Moyen Âge 1</w:t>
      </w:r>
      <w:r w:rsidRPr="00273106">
        <w:t xml:space="preserve">. Kain: Le Saulchoir, </w:t>
      </w:r>
      <w:r>
        <w:t>pp. 191‒221</w:t>
      </w:r>
      <w:r w:rsidRPr="00273106">
        <w:t>.</w:t>
      </w:r>
    </w:p>
    <w:p w14:paraId="11236F12" w14:textId="77777777" w:rsidR="086E6BFB" w:rsidRPr="00837C82" w:rsidRDefault="086E6BFB" w:rsidP="086E6BFB">
      <w:pPr>
        <w:pStyle w:val="Literatura"/>
      </w:pPr>
      <w:r>
        <w:t xml:space="preserve">‒ (1935): </w:t>
      </w:r>
      <w:r w:rsidRPr="00273106">
        <w:t xml:space="preserve">Grammaire et théologie aux XIIe et XIIIe siècles. </w:t>
      </w:r>
      <w:r w:rsidRPr="00273106">
        <w:rPr>
          <w:i/>
        </w:rPr>
        <w:t xml:space="preserve">Archives d'histoire doctrinale et littéraire du </w:t>
      </w:r>
      <w:r>
        <w:rPr>
          <w:i/>
        </w:rPr>
        <w:tab/>
        <w:t>M</w:t>
      </w:r>
      <w:r w:rsidRPr="00273106">
        <w:rPr>
          <w:i/>
        </w:rPr>
        <w:t xml:space="preserve">oyen </w:t>
      </w:r>
      <w:r>
        <w:rPr>
          <w:i/>
        </w:rPr>
        <w:tab/>
      </w:r>
      <w:r w:rsidRPr="00273106">
        <w:rPr>
          <w:rStyle w:val="st"/>
          <w:i/>
        </w:rPr>
        <w:t>Âge</w:t>
      </w:r>
      <w:r>
        <w:t xml:space="preserve"> 10: 5‒</w:t>
      </w:r>
      <w:r w:rsidRPr="00273106">
        <w:t>28.</w:t>
      </w:r>
    </w:p>
    <w:p w14:paraId="1768BC2A" w14:textId="77777777" w:rsidR="086E6BFB" w:rsidRDefault="086E6BFB" w:rsidP="086E6BFB">
      <w:pPr>
        <w:pStyle w:val="Literatura"/>
        <w:rPr>
          <w:rFonts w:cs="Calibri"/>
          <w:szCs w:val="22"/>
        </w:rPr>
      </w:pPr>
      <w:r w:rsidRPr="00273106">
        <w:rPr>
          <w:rFonts w:cs="Calibri"/>
          <w:i/>
          <w:szCs w:val="22"/>
        </w:rPr>
        <w:t>Chartularium Universitatis Parisiensis I</w:t>
      </w:r>
      <w:r>
        <w:rPr>
          <w:rFonts w:cs="Calibri"/>
          <w:i/>
          <w:szCs w:val="22"/>
        </w:rPr>
        <w:t xml:space="preserve"> </w:t>
      </w:r>
      <w:r w:rsidRPr="00B80D22">
        <w:rPr>
          <w:rFonts w:cs="Calibri"/>
          <w:szCs w:val="22"/>
        </w:rPr>
        <w:t>(1889):</w:t>
      </w:r>
      <w:r w:rsidRPr="00273106">
        <w:rPr>
          <w:rFonts w:cs="Calibri"/>
          <w:szCs w:val="22"/>
        </w:rPr>
        <w:t xml:space="preserve"> Ed</w:t>
      </w:r>
      <w:r>
        <w:rPr>
          <w:rFonts w:cs="Calibri"/>
          <w:szCs w:val="22"/>
        </w:rPr>
        <w:t>ited by Henricus Denifle. Paris</w:t>
      </w:r>
      <w:r w:rsidRPr="00273106">
        <w:rPr>
          <w:rFonts w:cs="Calibri"/>
          <w:szCs w:val="22"/>
        </w:rPr>
        <w:t>.</w:t>
      </w:r>
    </w:p>
    <w:p w14:paraId="28075AB2" w14:textId="77777777" w:rsidR="086E6BFB" w:rsidRPr="00273106" w:rsidRDefault="086E6BFB" w:rsidP="086E6BFB">
      <w:pPr>
        <w:pStyle w:val="Literatura"/>
      </w:pPr>
      <w:r w:rsidRPr="00273106">
        <w:t>Chroust, Anton-Hermann</w:t>
      </w:r>
      <w:r>
        <w:t xml:space="preserve"> (1947): "</w:t>
      </w:r>
      <w:r w:rsidRPr="00273106">
        <w:t>The Corporate Idea and the Body Politic in the Middle Ages</w:t>
      </w:r>
      <w:r>
        <w:t>"</w:t>
      </w:r>
      <w:r w:rsidRPr="00273106">
        <w:t xml:space="preserve">. </w:t>
      </w:r>
      <w:r w:rsidRPr="00273106">
        <w:rPr>
          <w:i/>
        </w:rPr>
        <w:t xml:space="preserve">The Review of </w:t>
      </w:r>
      <w:r>
        <w:rPr>
          <w:i/>
        </w:rPr>
        <w:tab/>
      </w:r>
      <w:r w:rsidRPr="00273106">
        <w:rPr>
          <w:i/>
        </w:rPr>
        <w:t>Politics</w:t>
      </w:r>
      <w:r>
        <w:t xml:space="preserve"> </w:t>
      </w:r>
      <w:r w:rsidRPr="00273106">
        <w:t>9</w:t>
      </w:r>
      <w:r>
        <w:t>/</w:t>
      </w:r>
      <w:r w:rsidRPr="00273106">
        <w:t>4:</w:t>
      </w:r>
      <w:r>
        <w:t xml:space="preserve"> </w:t>
      </w:r>
      <w:r w:rsidRPr="00273106">
        <w:t>423‒452.</w:t>
      </w:r>
    </w:p>
    <w:p w14:paraId="3D2F246C" w14:textId="77777777" w:rsidR="086E6BFB" w:rsidRPr="00273106" w:rsidRDefault="086E6BFB" w:rsidP="086E6BFB">
      <w:pPr>
        <w:pStyle w:val="Literatura"/>
      </w:pPr>
      <w:r w:rsidRPr="00273106">
        <w:t>Ivry. L. Afred</w:t>
      </w:r>
      <w:r>
        <w:t xml:space="preserve"> (1984): "</w:t>
      </w:r>
      <w:r w:rsidRPr="00273106">
        <w:t>Destiny Revisited: Avicenna's Concept of Determinism</w:t>
      </w:r>
      <w:r>
        <w:t>"</w:t>
      </w:r>
      <w:r w:rsidRPr="00273106">
        <w:t xml:space="preserve">. </w:t>
      </w:r>
      <w:r w:rsidRPr="00273106">
        <w:rPr>
          <w:i/>
        </w:rPr>
        <w:t xml:space="preserve">Islamic Theology and Philosophy: </w:t>
      </w:r>
      <w:r>
        <w:rPr>
          <w:i/>
        </w:rPr>
        <w:tab/>
      </w:r>
      <w:r w:rsidRPr="00273106">
        <w:rPr>
          <w:i/>
        </w:rPr>
        <w:t>Studies in Honour of George F. Hourani</w:t>
      </w:r>
      <w:r>
        <w:t xml:space="preserve">, edited by Michael E. Marmura, </w:t>
      </w:r>
      <w:r w:rsidRPr="00273106">
        <w:t xml:space="preserve">Albany, NY: State University of </w:t>
      </w:r>
      <w:r>
        <w:tab/>
      </w:r>
      <w:r w:rsidRPr="00273106">
        <w:t>New York Pr</w:t>
      </w:r>
      <w:r>
        <w:t>ess</w:t>
      </w:r>
      <w:r w:rsidRPr="00273106">
        <w:t xml:space="preserve">, pp. 160‒171. </w:t>
      </w:r>
    </w:p>
    <w:p w14:paraId="54952132" w14:textId="77777777" w:rsidR="086E6BFB" w:rsidRDefault="086E6BFB" w:rsidP="086E6BFB">
      <w:pPr>
        <w:pStyle w:val="Literatura"/>
        <w:rPr>
          <w:rFonts w:cs="Calibri"/>
          <w:i/>
          <w:szCs w:val="22"/>
        </w:rPr>
      </w:pPr>
      <w:r>
        <w:rPr>
          <w:szCs w:val="22"/>
        </w:rPr>
        <w:t xml:space="preserve">Iwakuma, Yukio, and </w:t>
      </w:r>
      <w:r w:rsidRPr="00273106">
        <w:rPr>
          <w:szCs w:val="22"/>
        </w:rPr>
        <w:t xml:space="preserve">Sten </w:t>
      </w:r>
      <w:r>
        <w:rPr>
          <w:szCs w:val="22"/>
        </w:rPr>
        <w:t>Ebbesen (1992): "</w:t>
      </w:r>
      <w:r w:rsidRPr="00273106">
        <w:rPr>
          <w:szCs w:val="22"/>
        </w:rPr>
        <w:t xml:space="preserve">Logico-Theological Schools from the Second Half of the 12th </w:t>
      </w:r>
      <w:r>
        <w:rPr>
          <w:szCs w:val="22"/>
        </w:rPr>
        <w:tab/>
      </w:r>
      <w:r w:rsidRPr="00273106">
        <w:rPr>
          <w:szCs w:val="22"/>
        </w:rPr>
        <w:t>Century: A List of Sources</w:t>
      </w:r>
      <w:r>
        <w:rPr>
          <w:szCs w:val="22"/>
        </w:rPr>
        <w:t>"</w:t>
      </w:r>
      <w:r w:rsidRPr="00273106">
        <w:rPr>
          <w:szCs w:val="22"/>
        </w:rPr>
        <w:t xml:space="preserve">. </w:t>
      </w:r>
      <w:r w:rsidRPr="00273106">
        <w:rPr>
          <w:i/>
          <w:szCs w:val="22"/>
        </w:rPr>
        <w:t>Vivarium</w:t>
      </w:r>
      <w:r>
        <w:rPr>
          <w:szCs w:val="22"/>
        </w:rPr>
        <w:t xml:space="preserve"> 30/1</w:t>
      </w:r>
      <w:r w:rsidRPr="00273106">
        <w:rPr>
          <w:szCs w:val="22"/>
        </w:rPr>
        <w:t>: 173–210.</w:t>
      </w:r>
    </w:p>
    <w:p w14:paraId="78274C75" w14:textId="72C8FBE4" w:rsidR="086E6BFB" w:rsidRDefault="086E6BFB" w:rsidP="086E6BFB">
      <w:pPr>
        <w:pStyle w:val="Literatura"/>
        <w:rPr>
          <w:szCs w:val="22"/>
        </w:rPr>
      </w:pPr>
      <w:r>
        <w:rPr>
          <w:szCs w:val="22"/>
        </w:rPr>
        <w:t>Iwakuma, Yukio (1992): "</w:t>
      </w:r>
      <w:r w:rsidRPr="00273106">
        <w:rPr>
          <w:szCs w:val="22"/>
        </w:rPr>
        <w:t xml:space="preserve">Twelfth-Century Nominales The Posthumous School of Peter </w:t>
      </w:r>
      <w:r w:rsidR="00CB3E4F">
        <w:rPr>
          <w:szCs w:val="22"/>
        </w:rPr>
        <w:t>Abélard</w:t>
      </w:r>
      <w:r>
        <w:rPr>
          <w:szCs w:val="22"/>
        </w:rPr>
        <w:t>"</w:t>
      </w:r>
      <w:r w:rsidRPr="00273106">
        <w:rPr>
          <w:szCs w:val="22"/>
        </w:rPr>
        <w:t xml:space="preserve">. </w:t>
      </w:r>
      <w:r w:rsidRPr="00273106">
        <w:rPr>
          <w:i/>
          <w:szCs w:val="22"/>
        </w:rPr>
        <w:t>Vivarium</w:t>
      </w:r>
      <w:r>
        <w:rPr>
          <w:i/>
          <w:szCs w:val="22"/>
        </w:rPr>
        <w:t xml:space="preserve"> </w:t>
      </w:r>
      <w:r w:rsidRPr="00273106">
        <w:rPr>
          <w:szCs w:val="22"/>
        </w:rPr>
        <w:t>30</w:t>
      </w:r>
      <w:r>
        <w:rPr>
          <w:szCs w:val="22"/>
        </w:rPr>
        <w:t xml:space="preserve">/1: </w:t>
      </w:r>
      <w:r>
        <w:rPr>
          <w:szCs w:val="16"/>
        </w:rPr>
        <w:tab/>
      </w:r>
      <w:r>
        <w:rPr>
          <w:szCs w:val="22"/>
        </w:rPr>
        <w:t>97‒</w:t>
      </w:r>
      <w:r w:rsidRPr="00273106">
        <w:rPr>
          <w:szCs w:val="22"/>
        </w:rPr>
        <w:t>109.</w:t>
      </w:r>
    </w:p>
    <w:p w14:paraId="16AD27C8" w14:textId="77777777" w:rsidR="086E6BFB" w:rsidRDefault="086E6BFB" w:rsidP="086E6BFB">
      <w:pPr>
        <w:pStyle w:val="Literatura"/>
      </w:pPr>
      <w:r>
        <w:rPr>
          <w:szCs w:val="22"/>
        </w:rPr>
        <w:t>‒ (1993): "</w:t>
      </w:r>
      <w:r w:rsidRPr="00273106">
        <w:rPr>
          <w:szCs w:val="16"/>
        </w:rPr>
        <w:t>Parvip</w:t>
      </w:r>
      <w:r w:rsidRPr="00273106">
        <w:t>onta</w:t>
      </w:r>
      <w:r w:rsidRPr="00273106">
        <w:rPr>
          <w:szCs w:val="16"/>
        </w:rPr>
        <w:t>ni's Thesis ex impossibili quidlibet sequitur</w:t>
      </w:r>
      <w:r w:rsidRPr="00273106">
        <w:t>:</w:t>
      </w:r>
      <w:r w:rsidRPr="00273106">
        <w:rPr>
          <w:szCs w:val="16"/>
        </w:rPr>
        <w:t xml:space="preserve"> Comments on the Sources of the Thesis from </w:t>
      </w:r>
      <w:r>
        <w:rPr>
          <w:szCs w:val="16"/>
        </w:rPr>
        <w:tab/>
      </w:r>
      <w:r w:rsidRPr="00273106">
        <w:rPr>
          <w:szCs w:val="16"/>
        </w:rPr>
        <w:t>the Twelfth</w:t>
      </w:r>
      <w:r w:rsidRPr="00273106">
        <w:t xml:space="preserve"> </w:t>
      </w:r>
      <w:r w:rsidRPr="00273106">
        <w:rPr>
          <w:szCs w:val="16"/>
        </w:rPr>
        <w:t>Century</w:t>
      </w:r>
      <w:r>
        <w:rPr>
          <w:szCs w:val="16"/>
        </w:rPr>
        <w:t xml:space="preserve">". </w:t>
      </w:r>
      <w:r w:rsidRPr="00273106">
        <w:rPr>
          <w:rStyle w:val="a-size-large"/>
          <w:i/>
          <w:iCs/>
        </w:rPr>
        <w:t xml:space="preserve">Argumentations Theorie: Scholastische Forschungen zu den logischen und </w:t>
      </w:r>
      <w:r>
        <w:rPr>
          <w:rStyle w:val="a-size-large"/>
          <w:i/>
          <w:iCs/>
        </w:rPr>
        <w:tab/>
      </w:r>
      <w:r w:rsidRPr="00273106">
        <w:rPr>
          <w:rStyle w:val="a-size-large"/>
          <w:i/>
          <w:iCs/>
        </w:rPr>
        <w:t>semantischen Regeln korrekten Folgerns</w:t>
      </w:r>
      <w:r>
        <w:rPr>
          <w:rStyle w:val="a-size-large"/>
          <w:i/>
          <w:iCs/>
        </w:rPr>
        <w:t xml:space="preserve">, </w:t>
      </w:r>
      <w:r>
        <w:rPr>
          <w:szCs w:val="16"/>
        </w:rPr>
        <w:t xml:space="preserve">edited by </w:t>
      </w:r>
      <w:r w:rsidRPr="00273106">
        <w:rPr>
          <w:rStyle w:val="addmd"/>
        </w:rPr>
        <w:t>Jacobi</w:t>
      </w:r>
      <w:r>
        <w:rPr>
          <w:szCs w:val="16"/>
        </w:rPr>
        <w:t xml:space="preserve"> </w:t>
      </w:r>
      <w:r w:rsidRPr="00273106">
        <w:rPr>
          <w:rStyle w:val="addmd"/>
        </w:rPr>
        <w:t>Klaus</w:t>
      </w:r>
      <w:r>
        <w:rPr>
          <w:rStyle w:val="addmd"/>
        </w:rPr>
        <w:t xml:space="preserve">, </w:t>
      </w:r>
      <w:r>
        <w:rPr>
          <w:rStyle w:val="a-size-large"/>
          <w:iCs/>
        </w:rPr>
        <w:t>Leiden: Brill</w:t>
      </w:r>
      <w:r w:rsidRPr="00273106">
        <w:rPr>
          <w:rStyle w:val="a-size-large"/>
          <w:i/>
          <w:iCs/>
        </w:rPr>
        <w:t xml:space="preserve">, </w:t>
      </w:r>
      <w:r>
        <w:t>pp. 123‒152.</w:t>
      </w:r>
    </w:p>
    <w:p w14:paraId="0BDBE020" w14:textId="77777777" w:rsidR="086E6BFB" w:rsidRDefault="086E6BFB" w:rsidP="086E6BFB">
      <w:pPr>
        <w:pStyle w:val="Literatura"/>
      </w:pPr>
      <w:r>
        <w:t xml:space="preserve">Jacobson, Roman, and Morris Halle. </w:t>
      </w:r>
      <w:r w:rsidRPr="00847F17">
        <w:rPr>
          <w:i/>
        </w:rPr>
        <w:t>Fundamentals of Language</w:t>
      </w:r>
      <w:r>
        <w:t>. Gravengage:Mouton&amp;Co, 1956.</w:t>
      </w:r>
    </w:p>
    <w:p w14:paraId="0D31F582" w14:textId="77777777" w:rsidR="086E6BFB" w:rsidRDefault="086E6BFB" w:rsidP="086E6BFB">
      <w:pPr>
        <w:pStyle w:val="Literatura"/>
      </w:pPr>
      <w:r w:rsidRPr="00273106">
        <w:t>Jordan,  D. Mark</w:t>
      </w:r>
      <w:r>
        <w:t xml:space="preserve"> (1982): "</w:t>
      </w:r>
      <w:r w:rsidRPr="00273106">
        <w:t>The Controversy of the Correctoria and the Limits of Metaphysics</w:t>
      </w:r>
      <w:r>
        <w:t>"</w:t>
      </w:r>
      <w:r w:rsidRPr="00273106">
        <w:t xml:space="preserve">. </w:t>
      </w:r>
      <w:r w:rsidRPr="00273106">
        <w:rPr>
          <w:i/>
        </w:rPr>
        <w:t>Speculum</w:t>
      </w:r>
      <w:r>
        <w:t xml:space="preserve"> 57/2: </w:t>
      </w:r>
      <w:r>
        <w:tab/>
        <w:t>292‒</w:t>
      </w:r>
      <w:r w:rsidRPr="00273106">
        <w:t>314.</w:t>
      </w:r>
    </w:p>
    <w:p w14:paraId="50A43373" w14:textId="0ED131AC" w:rsidR="086E6BFB" w:rsidRDefault="00CA4127" w:rsidP="086E6BFB">
      <w:pPr>
        <w:pStyle w:val="Literatura"/>
      </w:pPr>
      <w:r>
        <w:rPr>
          <w:iCs/>
          <w:lang w:val="it-IT"/>
        </w:rPr>
        <w:t>Jean de La Rochelle</w:t>
      </w:r>
      <w:r w:rsidR="086E6BFB">
        <w:rPr>
          <w:iCs/>
          <w:lang w:val="it-IT"/>
        </w:rPr>
        <w:t>(</w:t>
      </w:r>
      <w:r w:rsidR="086E6BFB">
        <w:t>1964</w:t>
      </w:r>
      <w:r w:rsidR="086E6BFB">
        <w:rPr>
          <w:iCs/>
          <w:lang w:val="it-IT"/>
        </w:rPr>
        <w:t xml:space="preserve">): </w:t>
      </w:r>
      <w:r w:rsidR="086E6BFB" w:rsidRPr="00273106">
        <w:rPr>
          <w:i/>
        </w:rPr>
        <w:t>Tractatus de divisione multiplicis potentiarum animae</w:t>
      </w:r>
      <w:r w:rsidR="086E6BFB" w:rsidRPr="00B34569">
        <w:t>. Edited by</w:t>
      </w:r>
      <w:r w:rsidR="086E6BFB">
        <w:rPr>
          <w:i/>
        </w:rPr>
        <w:t xml:space="preserve"> </w:t>
      </w:r>
      <w:r w:rsidR="086E6BFB" w:rsidRPr="00C2554A">
        <w:t>Pierre Michaud-</w:t>
      </w:r>
      <w:r w:rsidR="086E6BFB">
        <w:rPr>
          <w:szCs w:val="22"/>
        </w:rPr>
        <w:tab/>
      </w:r>
      <w:r w:rsidR="086E6BFB" w:rsidRPr="00C2554A">
        <w:t>Quantin</w:t>
      </w:r>
      <w:r w:rsidR="086E6BFB">
        <w:t>. Paris: Librairie philosophique J. Vrin.</w:t>
      </w:r>
    </w:p>
    <w:p w14:paraId="46569799" w14:textId="77777777" w:rsidR="086E6BFB" w:rsidRDefault="086E6BFB" w:rsidP="086E6BFB">
      <w:pPr>
        <w:pStyle w:val="Literatura"/>
      </w:pPr>
      <w:r>
        <w:t xml:space="preserve">‒ (1995): </w:t>
      </w:r>
      <w:r>
        <w:rPr>
          <w:i/>
        </w:rPr>
        <w:t>Summa de a</w:t>
      </w:r>
      <w:r w:rsidRPr="00BD063C">
        <w:rPr>
          <w:i/>
        </w:rPr>
        <w:t>nima</w:t>
      </w:r>
      <w:r>
        <w:t xml:space="preserve">. </w:t>
      </w:r>
      <w:r w:rsidRPr="00BD063C">
        <w:t>Ed</w:t>
      </w:r>
      <w:r>
        <w:t xml:space="preserve">ited by </w:t>
      </w:r>
      <w:r w:rsidRPr="00BD063C">
        <w:t>Jacques Guy Bougerol</w:t>
      </w:r>
      <w:r>
        <w:t xml:space="preserve">. </w:t>
      </w:r>
      <w:r w:rsidRPr="00BD063C">
        <w:t>Paris: J. Vrin</w:t>
      </w:r>
      <w:r>
        <w:t>.</w:t>
      </w:r>
    </w:p>
    <w:p w14:paraId="030293BD" w14:textId="77777777" w:rsidR="086E6BFB" w:rsidRPr="00273106" w:rsidRDefault="086E6BFB" w:rsidP="086E6BFB">
      <w:pPr>
        <w:pStyle w:val="Literatura"/>
      </w:pPr>
      <w:r w:rsidRPr="00273106">
        <w:rPr>
          <w:szCs w:val="22"/>
        </w:rPr>
        <w:t>Jolivet, Jean</w:t>
      </w:r>
      <w:r>
        <w:rPr>
          <w:szCs w:val="22"/>
        </w:rPr>
        <w:t xml:space="preserve"> (1992): "</w:t>
      </w:r>
      <w:r w:rsidRPr="00273106">
        <w:rPr>
          <w:szCs w:val="22"/>
        </w:rPr>
        <w:t>Trois variations médiévale</w:t>
      </w:r>
      <w:r>
        <w:rPr>
          <w:szCs w:val="22"/>
        </w:rPr>
        <w:t>s sur l'universel et l'individu</w:t>
      </w:r>
      <w:r w:rsidRPr="00273106">
        <w:rPr>
          <w:szCs w:val="22"/>
        </w:rPr>
        <w:t xml:space="preserve">: Roscelin, Abélard, Gilbert de la </w:t>
      </w:r>
      <w:r>
        <w:rPr>
          <w:szCs w:val="22"/>
        </w:rPr>
        <w:tab/>
      </w:r>
      <w:r w:rsidRPr="00273106">
        <w:rPr>
          <w:szCs w:val="22"/>
        </w:rPr>
        <w:t>Porrée</w:t>
      </w:r>
      <w:r>
        <w:rPr>
          <w:szCs w:val="22"/>
        </w:rPr>
        <w:t>"</w:t>
      </w:r>
      <w:r w:rsidRPr="00273106">
        <w:rPr>
          <w:szCs w:val="22"/>
        </w:rPr>
        <w:t xml:space="preserve">. </w:t>
      </w:r>
      <w:r w:rsidRPr="00273106">
        <w:rPr>
          <w:i/>
          <w:szCs w:val="22"/>
        </w:rPr>
        <w:t>Revue de Métaphysique et de Morale</w:t>
      </w:r>
      <w:r>
        <w:rPr>
          <w:szCs w:val="22"/>
        </w:rPr>
        <w:t xml:space="preserve"> </w:t>
      </w:r>
      <w:r w:rsidRPr="00273106">
        <w:rPr>
          <w:szCs w:val="22"/>
        </w:rPr>
        <w:t>97</w:t>
      </w:r>
      <w:r>
        <w:rPr>
          <w:szCs w:val="22"/>
        </w:rPr>
        <w:t>/1: 111‒</w:t>
      </w:r>
      <w:r w:rsidRPr="00273106">
        <w:rPr>
          <w:szCs w:val="22"/>
        </w:rPr>
        <w:t>155.</w:t>
      </w:r>
    </w:p>
    <w:p w14:paraId="14EA7442" w14:textId="77777777" w:rsidR="086E6BFB" w:rsidRPr="00273106" w:rsidRDefault="086E6BFB" w:rsidP="086E6BFB">
      <w:pPr>
        <w:pStyle w:val="Literatura"/>
      </w:pPr>
      <w:r w:rsidRPr="00273106">
        <w:t>Kalista, Zdeněk</w:t>
      </w:r>
      <w:r>
        <w:t xml:space="preserve"> (1982): </w:t>
      </w:r>
      <w:r w:rsidRPr="00273106">
        <w:rPr>
          <w:i/>
        </w:rPr>
        <w:t>Tvář baroka</w:t>
      </w:r>
      <w:r>
        <w:t>. Mnichov: Arkýř</w:t>
      </w:r>
      <w:r w:rsidRPr="00273106">
        <w:t>.</w:t>
      </w:r>
    </w:p>
    <w:p w14:paraId="017ABD1B" w14:textId="77777777" w:rsidR="086E6BFB" w:rsidRDefault="086E6BFB" w:rsidP="086E6BFB">
      <w:pPr>
        <w:pStyle w:val="Literatura"/>
      </w:pPr>
      <w:r w:rsidRPr="00B30D95">
        <w:t>Kant, Immanuel.</w:t>
      </w:r>
      <w:r>
        <w:t xml:space="preserve"> </w:t>
      </w:r>
      <w:r w:rsidRPr="00273106">
        <w:rPr>
          <w:i/>
          <w:iCs/>
        </w:rPr>
        <w:t>Gesammelte Schriften I-IXXX</w:t>
      </w:r>
      <w:r>
        <w:rPr>
          <w:i/>
          <w:iCs/>
        </w:rPr>
        <w:t xml:space="preserve">. </w:t>
      </w:r>
      <w:r w:rsidRPr="00273106">
        <w:t>Berlin, de Gruyter, 1904–1997, Erweiterte Akademieausga</w:t>
      </w:r>
      <w:r>
        <w:t>be.</w:t>
      </w:r>
    </w:p>
    <w:p w14:paraId="5CB576F8" w14:textId="77777777" w:rsidR="086E6BFB" w:rsidRDefault="086E6BFB" w:rsidP="086E6BFB">
      <w:pPr>
        <w:pStyle w:val="Literatura"/>
      </w:pPr>
      <w:r>
        <w:t xml:space="preserve">‒ (1911): </w:t>
      </w:r>
      <w:r w:rsidRPr="00B30D95">
        <w:rPr>
          <w:i/>
        </w:rPr>
        <w:t>Kritik der reinen Vernunft</w:t>
      </w:r>
      <w:r>
        <w:t xml:space="preserve">. Erste Auflage 1781, </w:t>
      </w:r>
      <w:r w:rsidRPr="00273106">
        <w:t>Akademieausga</w:t>
      </w:r>
      <w:r>
        <w:t>be, Band IV, KdRV / A.</w:t>
      </w:r>
    </w:p>
    <w:p w14:paraId="38A1F0D8" w14:textId="77777777" w:rsidR="086E6BFB" w:rsidRDefault="086E6BFB" w:rsidP="086E6BFB">
      <w:pPr>
        <w:pStyle w:val="Literatura"/>
      </w:pPr>
      <w:r>
        <w:t xml:space="preserve">‒ (1911): </w:t>
      </w:r>
      <w:r w:rsidRPr="00B30D95">
        <w:rPr>
          <w:i/>
        </w:rPr>
        <w:t>Kritik der reinen Vernunft</w:t>
      </w:r>
      <w:r>
        <w:t xml:space="preserve">. Zweite Auflage 1787, </w:t>
      </w:r>
      <w:r w:rsidRPr="00273106">
        <w:t>Akademieausga</w:t>
      </w:r>
      <w:r>
        <w:t>be, Band III, KdRV / B.</w:t>
      </w:r>
    </w:p>
    <w:p w14:paraId="37A1713A" w14:textId="77777777" w:rsidR="086E6BFB" w:rsidRDefault="086E6BFB" w:rsidP="086E6BFB">
      <w:pPr>
        <w:pStyle w:val="Literatura"/>
      </w:pPr>
      <w:r>
        <w:t xml:space="preserve">‒ (1913): </w:t>
      </w:r>
      <w:r w:rsidRPr="00273106">
        <w:rPr>
          <w:i/>
          <w:iCs/>
        </w:rPr>
        <w:t>Kritik der Urteilskraft</w:t>
      </w:r>
      <w:r>
        <w:rPr>
          <w:i/>
          <w:iCs/>
        </w:rPr>
        <w:t xml:space="preserve">. </w:t>
      </w:r>
      <w:r w:rsidRPr="00273106">
        <w:t>Akademieausga</w:t>
      </w:r>
      <w:r>
        <w:t xml:space="preserve">be, Band </w:t>
      </w:r>
      <w:r w:rsidRPr="00273106">
        <w:t xml:space="preserve">V, </w:t>
      </w:r>
      <w:r>
        <w:t xml:space="preserve">pp. </w:t>
      </w:r>
      <w:r w:rsidRPr="00273106">
        <w:t>165–485</w:t>
      </w:r>
      <w:r>
        <w:t>, KdU.</w:t>
      </w:r>
    </w:p>
    <w:p w14:paraId="478180FB" w14:textId="77777777" w:rsidR="086E6BFB" w:rsidRDefault="086E6BFB" w:rsidP="086E6BFB">
      <w:pPr>
        <w:pStyle w:val="Literatura"/>
      </w:pPr>
      <w:r>
        <w:t xml:space="preserve">‒ (1912): </w:t>
      </w:r>
      <w:r w:rsidRPr="00734C05">
        <w:rPr>
          <w:i/>
          <w:iCs/>
        </w:rPr>
        <w:t>Idee zu einer allgemeinen Geschichte in weltbürgerlicher Absicht</w:t>
      </w:r>
      <w:r>
        <w:rPr>
          <w:i/>
          <w:iCs/>
        </w:rPr>
        <w:t xml:space="preserve">, </w:t>
      </w:r>
      <w:r w:rsidRPr="00273106">
        <w:t>Akademieausga</w:t>
      </w:r>
      <w:r>
        <w:t xml:space="preserve">be, Band VIII, pp. </w:t>
      </w:r>
      <w:r>
        <w:tab/>
        <w:t>15–32.</w:t>
      </w:r>
    </w:p>
    <w:p w14:paraId="4E3DFEE4" w14:textId="77777777" w:rsidR="086E6BFB" w:rsidRPr="00AE0ABE" w:rsidRDefault="086E6BFB" w:rsidP="086E6BFB">
      <w:pPr>
        <w:pStyle w:val="Literatura"/>
      </w:pPr>
      <w:r w:rsidRPr="00273106">
        <w:t>Kilwardby</w:t>
      </w:r>
      <w:r>
        <w:t xml:space="preserve">, Robert (1976): </w:t>
      </w:r>
      <w:r w:rsidRPr="000407B3">
        <w:rPr>
          <w:i/>
        </w:rPr>
        <w:t>De ortu scientiarum</w:t>
      </w:r>
      <w:r>
        <w:rPr>
          <w:i/>
        </w:rPr>
        <w:t xml:space="preserve">. </w:t>
      </w:r>
      <w:r>
        <w:t xml:space="preserve">Edited by Albert G. Judy. Auctores Britannici Medii Aevi IV. The </w:t>
      </w:r>
      <w:r>
        <w:tab/>
        <w:t xml:space="preserve">British Academy: </w:t>
      </w:r>
      <w:r>
        <w:tab/>
        <w:t>London.</w:t>
      </w:r>
    </w:p>
    <w:p w14:paraId="3B684546" w14:textId="77777777" w:rsidR="086E6BFB" w:rsidRDefault="086E6BFB" w:rsidP="086E6BFB">
      <w:pPr>
        <w:pStyle w:val="Literatura"/>
        <w:rPr>
          <w:szCs w:val="13"/>
        </w:rPr>
      </w:pPr>
      <w:r>
        <w:t>‒ (2002): "</w:t>
      </w:r>
      <w:r w:rsidRPr="00EC6AAE">
        <w:rPr>
          <w:rStyle w:val="Zvraznn"/>
        </w:rPr>
        <w:t>Notule Libri Posteriorum</w:t>
      </w:r>
      <w:r w:rsidRPr="00EC6AAE">
        <w:t xml:space="preserve"> di Robert Kilwardby: il commento ad </w:t>
      </w:r>
      <w:r w:rsidRPr="00EC6AAE">
        <w:rPr>
          <w:rStyle w:val="Zvraznn"/>
        </w:rPr>
        <w:t>Analitici Posteriori</w:t>
      </w:r>
      <w:r>
        <w:t xml:space="preserve">, I.4, </w:t>
      </w:r>
      <w:r w:rsidRPr="00EC6AAE">
        <w:t>73a34–b24</w:t>
      </w:r>
      <w:r>
        <w:t xml:space="preserve">". </w:t>
      </w:r>
      <w:r>
        <w:tab/>
        <w:t xml:space="preserve">Edited by </w:t>
      </w:r>
      <w:r w:rsidRPr="00273106">
        <w:t xml:space="preserve">Debora </w:t>
      </w:r>
      <w:r>
        <w:t xml:space="preserve">Cannone. </w:t>
      </w:r>
      <w:r w:rsidRPr="00273106">
        <w:rPr>
          <w:bCs/>
          <w:i/>
        </w:rPr>
        <w:t>Documenti e studi sulla tradizione filosofica medievale</w:t>
      </w:r>
      <w:r w:rsidRPr="00273106">
        <w:rPr>
          <w:i/>
        </w:rPr>
        <w:t>. Volume 13</w:t>
      </w:r>
      <w:r>
        <w:t xml:space="preserve">, edited </w:t>
      </w:r>
      <w:r>
        <w:tab/>
        <w:t xml:space="preserve">by </w:t>
      </w:r>
      <w:r w:rsidRPr="00273106">
        <w:t>Mario Bertagna</w:t>
      </w:r>
      <w:r>
        <w:t xml:space="preserve"> and </w:t>
      </w:r>
      <w:r w:rsidRPr="00273106">
        <w:t>Gabriele Galluzzo</w:t>
      </w:r>
      <w:r>
        <w:t xml:space="preserve"> and </w:t>
      </w:r>
      <w:r w:rsidRPr="00273106">
        <w:t>Giorgio Pini</w:t>
      </w:r>
      <w:r>
        <w:t xml:space="preserve">, </w:t>
      </w:r>
      <w:r w:rsidRPr="00273106">
        <w:rPr>
          <w:szCs w:val="13"/>
        </w:rPr>
        <w:t>SISMEL, Fir</w:t>
      </w:r>
      <w:r>
        <w:rPr>
          <w:szCs w:val="13"/>
        </w:rPr>
        <w:t>enze: Edizioni del Galluzo</w:t>
      </w:r>
      <w:r w:rsidRPr="00273106">
        <w:rPr>
          <w:szCs w:val="13"/>
        </w:rPr>
        <w:t xml:space="preserve">, </w:t>
      </w:r>
      <w:r>
        <w:rPr>
          <w:szCs w:val="13"/>
        </w:rPr>
        <w:tab/>
      </w:r>
      <w:r w:rsidRPr="00273106">
        <w:rPr>
          <w:szCs w:val="13"/>
        </w:rPr>
        <w:t>pp. 71‒136.</w:t>
      </w:r>
    </w:p>
    <w:p w14:paraId="2A365D1B" w14:textId="77777777" w:rsidR="086E6BFB" w:rsidRPr="00DD62FA" w:rsidRDefault="086E6BFB" w:rsidP="086E6BFB">
      <w:pPr>
        <w:pStyle w:val="Literatura"/>
        <w:rPr>
          <w:szCs w:val="24"/>
        </w:rPr>
      </w:pPr>
      <w:r>
        <w:rPr>
          <w:szCs w:val="24"/>
        </w:rPr>
        <w:t xml:space="preserve">King, Daniel (2010): </w:t>
      </w:r>
      <w:r w:rsidRPr="00DD62FA">
        <w:rPr>
          <w:rStyle w:val="fn"/>
          <w:i/>
        </w:rPr>
        <w:t>The Earliest Syriac Translation of Aristotle's Categories</w:t>
      </w:r>
      <w:r w:rsidRPr="00DD62FA">
        <w:rPr>
          <w:i/>
        </w:rPr>
        <w:t xml:space="preserve">: </w:t>
      </w:r>
      <w:r w:rsidRPr="00DD62FA">
        <w:rPr>
          <w:rStyle w:val="Podtitul1"/>
          <w:i/>
        </w:rPr>
        <w:t>Text, Translation and Commentary</w:t>
      </w:r>
      <w:r>
        <w:rPr>
          <w:rStyle w:val="Podtitul1"/>
        </w:rPr>
        <w:t xml:space="preserve">. </w:t>
      </w:r>
      <w:r>
        <w:rPr>
          <w:rStyle w:val="Podtitul1"/>
        </w:rPr>
        <w:tab/>
        <w:t>Leiden: Brill.</w:t>
      </w:r>
    </w:p>
    <w:p w14:paraId="029EA403" w14:textId="77777777" w:rsidR="086E6BFB" w:rsidRDefault="086E6BFB" w:rsidP="086E6BFB">
      <w:pPr>
        <w:pStyle w:val="Literatura"/>
      </w:pPr>
      <w:r w:rsidRPr="00264ED1">
        <w:t>Kieckhefer, Richard</w:t>
      </w:r>
      <w:r>
        <w:t xml:space="preserve"> (1976): </w:t>
      </w:r>
      <w:r w:rsidRPr="00264ED1">
        <w:rPr>
          <w:i/>
        </w:rPr>
        <w:t>European Witch Trials: Their Foundations in Popular and Learned Culture, 1300-</w:t>
      </w:r>
      <w:r>
        <w:rPr>
          <w:i/>
        </w:rPr>
        <w:tab/>
      </w:r>
      <w:r w:rsidRPr="00264ED1">
        <w:rPr>
          <w:i/>
        </w:rPr>
        <w:t>1500</w:t>
      </w:r>
      <w:r w:rsidRPr="00264ED1">
        <w:t>. Berkeley: Univ</w:t>
      </w:r>
      <w:r>
        <w:t>ersity of California Press</w:t>
      </w:r>
      <w:r w:rsidRPr="00264ED1">
        <w:t>.</w:t>
      </w:r>
    </w:p>
    <w:p w14:paraId="1B06BA58" w14:textId="3F10F4DC" w:rsidR="086E6BFB" w:rsidRPr="00273106" w:rsidRDefault="086E6BFB" w:rsidP="086E6BFB">
      <w:pPr>
        <w:pStyle w:val="Literatura"/>
      </w:pPr>
      <w:r w:rsidRPr="00273106">
        <w:t xml:space="preserve">Klaus Jacobi, </w:t>
      </w:r>
      <w:r>
        <w:t xml:space="preserve">and Christian Strub, and </w:t>
      </w:r>
      <w:r w:rsidRPr="00273106">
        <w:t>Peter King</w:t>
      </w:r>
      <w:r>
        <w:t xml:space="preserve"> (1996):</w:t>
      </w:r>
      <w:r w:rsidRPr="00273106">
        <w:t xml:space="preserve"> </w:t>
      </w:r>
      <w:r>
        <w:t>"</w:t>
      </w:r>
      <w:r w:rsidRPr="00273106">
        <w:rPr>
          <w:szCs w:val="24"/>
        </w:rPr>
        <w:t xml:space="preserve">From intellectus verus/falsus to the dictum </w:t>
      </w:r>
      <w:r>
        <w:rPr>
          <w:szCs w:val="24"/>
        </w:rPr>
        <w:tab/>
      </w:r>
      <w:r w:rsidRPr="00273106">
        <w:rPr>
          <w:szCs w:val="24"/>
        </w:rPr>
        <w:t xml:space="preserve">propositionis: The Semantics of Peter </w:t>
      </w:r>
      <w:r w:rsidR="00CB3E4F">
        <w:rPr>
          <w:szCs w:val="24"/>
        </w:rPr>
        <w:t>Abélard</w:t>
      </w:r>
      <w:r w:rsidRPr="00273106">
        <w:rPr>
          <w:szCs w:val="24"/>
        </w:rPr>
        <w:t xml:space="preserve"> and his Circle</w:t>
      </w:r>
      <w:r>
        <w:rPr>
          <w:szCs w:val="24"/>
        </w:rPr>
        <w:t>"</w:t>
      </w:r>
      <w:r w:rsidRPr="00273106">
        <w:t xml:space="preserve">. </w:t>
      </w:r>
      <w:r w:rsidRPr="00273106">
        <w:rPr>
          <w:i/>
        </w:rPr>
        <w:t>Vivarium</w:t>
      </w:r>
      <w:r>
        <w:t xml:space="preserve"> 34</w:t>
      </w:r>
      <w:r w:rsidRPr="00273106">
        <w:t>: 15–40.</w:t>
      </w:r>
    </w:p>
    <w:p w14:paraId="6C277EBC" w14:textId="77777777" w:rsidR="086E6BFB" w:rsidRPr="00273106" w:rsidRDefault="086E6BFB" w:rsidP="086E6BFB">
      <w:pPr>
        <w:pStyle w:val="Literatura"/>
      </w:pPr>
      <w:r w:rsidRPr="00273106">
        <w:t>Klima, Gyula</w:t>
      </w:r>
      <w:r>
        <w:t xml:space="preserve"> (1993)</w:t>
      </w:r>
      <w:r w:rsidRPr="00273106">
        <w:t xml:space="preserve">. </w:t>
      </w:r>
      <w:r>
        <w:t>"</w:t>
      </w:r>
      <w:r w:rsidRPr="00273106">
        <w:t xml:space="preserve">The Changing Role of "Entia Rationis" in Mediaeval Semantics and Ontology: A </w:t>
      </w:r>
      <w:r>
        <w:tab/>
      </w:r>
      <w:r w:rsidRPr="00273106">
        <w:t>Comparative Study with a Reconstruction</w:t>
      </w:r>
      <w:r>
        <w:t>"</w:t>
      </w:r>
      <w:r w:rsidRPr="00273106">
        <w:t xml:space="preserve">. </w:t>
      </w:r>
      <w:r>
        <w:rPr>
          <w:i/>
        </w:rPr>
        <w:t xml:space="preserve">Synthese </w:t>
      </w:r>
      <w:r w:rsidRPr="00273106">
        <w:t>96</w:t>
      </w:r>
      <w:r>
        <w:t>/1: 25‒</w:t>
      </w:r>
      <w:r w:rsidRPr="00273106">
        <w:t>58.</w:t>
      </w:r>
    </w:p>
    <w:p w14:paraId="4235EF0D" w14:textId="77777777" w:rsidR="086E6BFB" w:rsidRPr="00273106" w:rsidRDefault="086E6BFB" w:rsidP="086E6BFB">
      <w:pPr>
        <w:pStyle w:val="Literatura"/>
        <w:rPr>
          <w:smallCaps/>
        </w:rPr>
      </w:pPr>
      <w:r w:rsidRPr="00273106">
        <w:t>Kosík, Karel</w:t>
      </w:r>
      <w:r>
        <w:t xml:space="preserve"> (1966): </w:t>
      </w:r>
      <w:r w:rsidRPr="00273106">
        <w:rPr>
          <w:i/>
          <w:iCs/>
        </w:rPr>
        <w:t>Dialektika konkrétního</w:t>
      </w:r>
      <w:r w:rsidRPr="00273106">
        <w:t xml:space="preserve">, Praha: </w:t>
      </w:r>
      <w:r>
        <w:t>Academia</w:t>
      </w:r>
      <w:r w:rsidRPr="00273106">
        <w:t>.</w:t>
      </w:r>
    </w:p>
    <w:p w14:paraId="2A20B033" w14:textId="77777777" w:rsidR="086E6BFB" w:rsidRPr="00273106" w:rsidRDefault="086E6BFB" w:rsidP="086E6BFB">
      <w:pPr>
        <w:pStyle w:val="Literatura"/>
      </w:pPr>
      <w:r w:rsidRPr="00273106">
        <w:t>Koyré, Alexandre</w:t>
      </w:r>
      <w:r>
        <w:t xml:space="preserve"> (1957): </w:t>
      </w:r>
      <w:r w:rsidRPr="00273106">
        <w:rPr>
          <w:i/>
        </w:rPr>
        <w:t>From the Closed World to the Infinite Universe</w:t>
      </w:r>
      <w:r w:rsidRPr="00273106">
        <w:t>. Baltimore: The Johns Hopkins Press</w:t>
      </w:r>
      <w:r>
        <w:t>.</w:t>
      </w:r>
      <w:r w:rsidRPr="00273106">
        <w:t xml:space="preserve"> </w:t>
      </w:r>
    </w:p>
    <w:p w14:paraId="43144C46" w14:textId="77777777" w:rsidR="086E6BFB" w:rsidRPr="00273106" w:rsidRDefault="086E6BFB" w:rsidP="086E6BFB">
      <w:pPr>
        <w:pStyle w:val="Literatura"/>
        <w:rPr>
          <w:rStyle w:val="text"/>
        </w:rPr>
      </w:pPr>
      <w:r w:rsidRPr="00273106">
        <w:rPr>
          <w:rStyle w:val="familyname"/>
        </w:rPr>
        <w:t>König-Pralong</w:t>
      </w:r>
      <w:r w:rsidRPr="00273106">
        <w:rPr>
          <w:rStyle w:val="Siln"/>
          <w:b w:val="0"/>
        </w:rPr>
        <w:t>, Catherine</w:t>
      </w:r>
      <w:r>
        <w:rPr>
          <w:rStyle w:val="Siln"/>
          <w:b w:val="0"/>
        </w:rPr>
        <w:t xml:space="preserve"> (2008): "</w:t>
      </w:r>
      <w:r w:rsidRPr="00273106">
        <w:rPr>
          <w:rStyle w:val="text"/>
        </w:rPr>
        <w:t xml:space="preserve">Évaluations des savoirs d’importation dans l’université médiévale: Henri de </w:t>
      </w:r>
      <w:r>
        <w:rPr>
          <w:rStyle w:val="text"/>
        </w:rPr>
        <w:tab/>
      </w:r>
      <w:r w:rsidRPr="00273106">
        <w:rPr>
          <w:rStyle w:val="text"/>
        </w:rPr>
        <w:t>Gand en position d’expert</w:t>
      </w:r>
      <w:r>
        <w:rPr>
          <w:rStyle w:val="text"/>
        </w:rPr>
        <w:t>"</w:t>
      </w:r>
      <w:r w:rsidRPr="00273106">
        <w:rPr>
          <w:rStyle w:val="text"/>
        </w:rPr>
        <w:t xml:space="preserve">. </w:t>
      </w:r>
      <w:r w:rsidRPr="00273106">
        <w:rPr>
          <w:rStyle w:val="text"/>
          <w:i/>
        </w:rPr>
        <w:t>European Journal of Social Sciences</w:t>
      </w:r>
      <w:r>
        <w:rPr>
          <w:rStyle w:val="text"/>
        </w:rPr>
        <w:t xml:space="preserve"> 141</w:t>
      </w:r>
      <w:r w:rsidRPr="00273106">
        <w:rPr>
          <w:rStyle w:val="text"/>
        </w:rPr>
        <w:t>: 11‒28.</w:t>
      </w:r>
    </w:p>
    <w:p w14:paraId="7CBEF8A9" w14:textId="77777777" w:rsidR="086E6BFB" w:rsidRPr="00273106" w:rsidRDefault="086E6BFB" w:rsidP="086E6BFB">
      <w:pPr>
        <w:pStyle w:val="Literatura"/>
      </w:pPr>
      <w:r>
        <w:rPr>
          <w:szCs w:val="22"/>
        </w:rPr>
        <w:t xml:space="preserve">Kneepkens, </w:t>
      </w:r>
      <w:r w:rsidR="08335BDC">
        <w:t>C</w:t>
      </w:r>
      <w:r>
        <w:t>orneille Henri (1992): "</w:t>
      </w:r>
      <w:r w:rsidRPr="00273106">
        <w:rPr>
          <w:szCs w:val="22"/>
        </w:rPr>
        <w:t xml:space="preserve">Nominalism and Grammatical Theory in the Late Eleventh and Early </w:t>
      </w:r>
      <w:r>
        <w:rPr>
          <w:szCs w:val="22"/>
        </w:rPr>
        <w:tab/>
      </w:r>
      <w:r w:rsidRPr="00273106">
        <w:rPr>
          <w:szCs w:val="22"/>
        </w:rPr>
        <w:t>Twelfth Centuries. An Explorative Study</w:t>
      </w:r>
      <w:r>
        <w:rPr>
          <w:szCs w:val="22"/>
        </w:rPr>
        <w:t>"</w:t>
      </w:r>
      <w:r w:rsidRPr="00273106">
        <w:rPr>
          <w:szCs w:val="22"/>
        </w:rPr>
        <w:t xml:space="preserve">. </w:t>
      </w:r>
      <w:r w:rsidRPr="00273106">
        <w:rPr>
          <w:i/>
          <w:szCs w:val="22"/>
        </w:rPr>
        <w:t>Vivarium</w:t>
      </w:r>
      <w:r>
        <w:rPr>
          <w:szCs w:val="22"/>
        </w:rPr>
        <w:t xml:space="preserve"> </w:t>
      </w:r>
      <w:r w:rsidRPr="00273106">
        <w:rPr>
          <w:szCs w:val="22"/>
        </w:rPr>
        <w:t>30</w:t>
      </w:r>
      <w:r>
        <w:rPr>
          <w:szCs w:val="22"/>
        </w:rPr>
        <w:t>/1</w:t>
      </w:r>
      <w:r w:rsidRPr="00273106">
        <w:rPr>
          <w:szCs w:val="22"/>
        </w:rPr>
        <w:t>: 34–50.</w:t>
      </w:r>
    </w:p>
    <w:p w14:paraId="4556666D" w14:textId="77777777" w:rsidR="086E6BFB" w:rsidRPr="00273106" w:rsidRDefault="086E6BFB" w:rsidP="086E6BFB">
      <w:pPr>
        <w:pStyle w:val="Literatura"/>
        <w:rPr>
          <w:rFonts w:eastAsia="Times New Roman" w:cs="Courier"/>
        </w:rPr>
      </w:pPr>
      <w:r w:rsidRPr="00273106">
        <w:t>Krause, Joseph</w:t>
      </w:r>
      <w:r>
        <w:t xml:space="preserve"> (1888):</w:t>
      </w:r>
      <w:r w:rsidRPr="00273106">
        <w:t xml:space="preserve"> </w:t>
      </w:r>
      <w:r w:rsidRPr="00273106">
        <w:rPr>
          <w:i/>
        </w:rPr>
        <w:t xml:space="preserve">Die Lehre des hl. Bonaventura über die Natur der körperlichen und geistigen Wesen </w:t>
      </w:r>
      <w:r w:rsidRPr="00273106">
        <w:rPr>
          <w:rFonts w:eastAsia="Times New Roman" w:cs="Courier"/>
          <w:i/>
        </w:rPr>
        <w:t xml:space="preserve">und </w:t>
      </w:r>
      <w:r>
        <w:rPr>
          <w:rFonts w:eastAsia="Times New Roman" w:cs="Courier"/>
          <w:i/>
        </w:rPr>
        <w:tab/>
      </w:r>
      <w:r w:rsidRPr="00273106">
        <w:rPr>
          <w:rFonts w:eastAsia="Times New Roman" w:cs="Courier"/>
          <w:i/>
        </w:rPr>
        <w:t>ihr Verhältnis zum Thomismus</w:t>
      </w:r>
      <w:r w:rsidRPr="00273106">
        <w:rPr>
          <w:rFonts w:eastAsia="Times New Roman" w:cs="Courier"/>
        </w:rPr>
        <w:t>. Paderbor</w:t>
      </w:r>
      <w:r>
        <w:rPr>
          <w:rFonts w:eastAsia="Times New Roman" w:cs="Courier"/>
        </w:rPr>
        <w:t>n: Verlag von F. Schöningh</w:t>
      </w:r>
      <w:r w:rsidRPr="00273106">
        <w:rPr>
          <w:rFonts w:eastAsia="Times New Roman" w:cs="Courier"/>
        </w:rPr>
        <w:t>.</w:t>
      </w:r>
    </w:p>
    <w:p w14:paraId="1EA44754" w14:textId="77777777" w:rsidR="086E6BFB" w:rsidRPr="00273106" w:rsidRDefault="086E6BFB" w:rsidP="086E6BFB">
      <w:pPr>
        <w:pStyle w:val="Literatura"/>
        <w:rPr>
          <w:smallCaps/>
        </w:rPr>
      </w:pPr>
      <w:r w:rsidRPr="00BB472D">
        <w:t>Kremer, Alfred von</w:t>
      </w:r>
      <w:r>
        <w:t xml:space="preserve"> (1868): </w:t>
      </w:r>
      <w:r w:rsidRPr="00273106">
        <w:rPr>
          <w:i/>
          <w:iCs/>
        </w:rPr>
        <w:t>Geschichte der herrschenden Ideen des Islams</w:t>
      </w:r>
      <w:r>
        <w:t>, Leipzig</w:t>
      </w:r>
      <w:r w:rsidRPr="00273106">
        <w:t>.</w:t>
      </w:r>
    </w:p>
    <w:p w14:paraId="1F51324A" w14:textId="77777777" w:rsidR="086E6BFB" w:rsidRDefault="086E6BFB" w:rsidP="086E6BFB">
      <w:pPr>
        <w:pStyle w:val="Literatura"/>
      </w:pPr>
      <w:r w:rsidRPr="00273106">
        <w:rPr>
          <w:szCs w:val="28"/>
        </w:rPr>
        <w:t>Lagarde, de Georges</w:t>
      </w:r>
      <w:r>
        <w:rPr>
          <w:szCs w:val="28"/>
        </w:rPr>
        <w:t xml:space="preserve"> </w:t>
      </w:r>
      <w:r>
        <w:rPr>
          <w:szCs w:val="36"/>
        </w:rPr>
        <w:t>(1937a):</w:t>
      </w:r>
      <w:r w:rsidRPr="00273106">
        <w:rPr>
          <w:szCs w:val="28"/>
        </w:rPr>
        <w:t xml:space="preserve"> </w:t>
      </w:r>
      <w:r>
        <w:rPr>
          <w:szCs w:val="28"/>
        </w:rPr>
        <w:t>"</w:t>
      </w:r>
      <w:r w:rsidRPr="00273106">
        <w:rPr>
          <w:szCs w:val="36"/>
        </w:rPr>
        <w:t>Marsile de Padoue et Guillaume d'Ockham I</w:t>
      </w:r>
      <w:r>
        <w:rPr>
          <w:szCs w:val="36"/>
        </w:rPr>
        <w:t xml:space="preserve">". </w:t>
      </w:r>
      <w:r w:rsidRPr="00273106">
        <w:rPr>
          <w:i/>
        </w:rPr>
        <w:t xml:space="preserve">Revue des Sciences Religieuses </w:t>
      </w:r>
      <w:r>
        <w:tab/>
      </w:r>
      <w:r w:rsidRPr="00BB472D">
        <w:t>17/</w:t>
      </w:r>
      <w:r>
        <w:t>2</w:t>
      </w:r>
      <w:r w:rsidRPr="00273106">
        <w:t>:</w:t>
      </w:r>
      <w:r>
        <w:t xml:space="preserve"> 168‒185.</w:t>
      </w:r>
    </w:p>
    <w:p w14:paraId="09031362" w14:textId="77777777" w:rsidR="086E6BFB" w:rsidRPr="00273106" w:rsidRDefault="086E6BFB" w:rsidP="086E6BFB">
      <w:pPr>
        <w:pStyle w:val="Literatura"/>
      </w:pPr>
      <w:r>
        <w:rPr>
          <w:szCs w:val="36"/>
        </w:rPr>
        <w:t>‒ (1937b):</w:t>
      </w:r>
      <w:r w:rsidRPr="00273106">
        <w:rPr>
          <w:szCs w:val="28"/>
        </w:rPr>
        <w:t xml:space="preserve"> </w:t>
      </w:r>
      <w:r>
        <w:rPr>
          <w:szCs w:val="28"/>
        </w:rPr>
        <w:t>"</w:t>
      </w:r>
      <w:r w:rsidRPr="00273106">
        <w:rPr>
          <w:szCs w:val="36"/>
        </w:rPr>
        <w:t>Marsile de Padoue et Guillaume d'Ockham I</w:t>
      </w:r>
      <w:r>
        <w:rPr>
          <w:szCs w:val="36"/>
        </w:rPr>
        <w:t xml:space="preserve">I". </w:t>
      </w:r>
      <w:r w:rsidRPr="00273106">
        <w:rPr>
          <w:i/>
        </w:rPr>
        <w:t xml:space="preserve">Revue des Sciences Religieuses </w:t>
      </w:r>
      <w:r w:rsidRPr="00BB472D">
        <w:t>17/</w:t>
      </w:r>
      <w:r>
        <w:t>4</w:t>
      </w:r>
      <w:r w:rsidRPr="00273106">
        <w:t>:</w:t>
      </w:r>
      <w:r>
        <w:t xml:space="preserve"> 428‒</w:t>
      </w:r>
      <w:r w:rsidRPr="00273106">
        <w:t>454.</w:t>
      </w:r>
    </w:p>
    <w:p w14:paraId="560B498D" w14:textId="77777777" w:rsidR="086E6BFB" w:rsidRPr="00273106" w:rsidRDefault="086E6BFB" w:rsidP="086E6BFB">
      <w:pPr>
        <w:pStyle w:val="Literatura"/>
      </w:pPr>
      <w:r w:rsidRPr="00273106">
        <w:rPr>
          <w:rStyle w:val="addmd"/>
        </w:rPr>
        <w:t>Larsen, E. Andrew</w:t>
      </w:r>
      <w:r>
        <w:rPr>
          <w:rStyle w:val="addmd"/>
        </w:rPr>
        <w:t xml:space="preserve"> (2011):</w:t>
      </w:r>
      <w:r w:rsidRPr="00273106">
        <w:t xml:space="preserve"> </w:t>
      </w:r>
      <w:r w:rsidRPr="00273106">
        <w:rPr>
          <w:rStyle w:val="fn"/>
          <w:i/>
        </w:rPr>
        <w:t>The School of Heretics</w:t>
      </w:r>
      <w:r w:rsidRPr="00273106">
        <w:rPr>
          <w:i/>
        </w:rPr>
        <w:t xml:space="preserve">. </w:t>
      </w:r>
      <w:r w:rsidRPr="00273106">
        <w:rPr>
          <w:rStyle w:val="Podtitul1"/>
          <w:i/>
        </w:rPr>
        <w:t xml:space="preserve">Academic Condemnation at the University of Oxford, </w:t>
      </w:r>
      <w:r>
        <w:rPr>
          <w:rStyle w:val="Podtitul1"/>
          <w:i/>
        </w:rPr>
        <w:tab/>
      </w:r>
      <w:r w:rsidRPr="00273106">
        <w:rPr>
          <w:rStyle w:val="Podtitul1"/>
          <w:i/>
        </w:rPr>
        <w:t>1277‒1409</w:t>
      </w:r>
      <w:r>
        <w:rPr>
          <w:rStyle w:val="Podtitul1"/>
        </w:rPr>
        <w:t>. Leiden: Brill</w:t>
      </w:r>
      <w:r w:rsidRPr="00273106">
        <w:rPr>
          <w:rStyle w:val="Podtitul1"/>
        </w:rPr>
        <w:t>.</w:t>
      </w:r>
    </w:p>
    <w:p w14:paraId="0A1193D9" w14:textId="77777777" w:rsidR="086E6BFB" w:rsidRDefault="086E6BFB" w:rsidP="086E6BFB">
      <w:pPr>
        <w:pStyle w:val="Literatura"/>
      </w:pPr>
      <w:r>
        <w:t>Lecler, Joseph (1931): "</w:t>
      </w:r>
      <w:r w:rsidRPr="00A54229">
        <w:t>L'argument des deux glaives dans les contr</w:t>
      </w:r>
      <w:r>
        <w:t>overses politiques du Moyen Age".</w:t>
      </w:r>
      <w:r w:rsidRPr="00A54229">
        <w:t xml:space="preserve"> </w:t>
      </w:r>
      <w:r>
        <w:tab/>
      </w:r>
      <w:r w:rsidRPr="00A54229">
        <w:rPr>
          <w:i/>
        </w:rPr>
        <w:t>Recherches de sciences religieuses</w:t>
      </w:r>
      <w:r>
        <w:t xml:space="preserve"> 21: </w:t>
      </w:r>
      <w:r w:rsidRPr="00A54229">
        <w:t>299‒339.</w:t>
      </w:r>
    </w:p>
    <w:p w14:paraId="5F619557" w14:textId="77777777" w:rsidR="086E6BFB" w:rsidRDefault="086E6BFB" w:rsidP="086E6BFB">
      <w:pPr>
        <w:pStyle w:val="Literatura"/>
      </w:pPr>
      <w:r>
        <w:t xml:space="preserve">‒ </w:t>
      </w:r>
      <w:r w:rsidRPr="00A54229">
        <w:t>(1932a)</w:t>
      </w:r>
      <w:r>
        <w:t>: "</w:t>
      </w:r>
      <w:r w:rsidRPr="00A54229">
        <w:t>L'argument des deux glaives dans les contr</w:t>
      </w:r>
      <w:r>
        <w:t>overses politiques du Moyen Age".</w:t>
      </w:r>
      <w:r w:rsidRPr="00A54229">
        <w:t xml:space="preserve"> </w:t>
      </w:r>
      <w:r w:rsidRPr="00A54229">
        <w:rPr>
          <w:i/>
        </w:rPr>
        <w:t>Re</w:t>
      </w:r>
      <w:r>
        <w:rPr>
          <w:i/>
        </w:rPr>
        <w:t xml:space="preserve">cherches de </w:t>
      </w:r>
      <w:r>
        <w:rPr>
          <w:i/>
        </w:rPr>
        <w:tab/>
        <w:t xml:space="preserve">sciences religieuses </w:t>
      </w:r>
      <w:r w:rsidRPr="00BB472D">
        <w:t xml:space="preserve">22: </w:t>
      </w:r>
      <w:r w:rsidRPr="00A54229">
        <w:t>152‒177.</w:t>
      </w:r>
    </w:p>
    <w:p w14:paraId="3DAB1C92" w14:textId="77777777" w:rsidR="086E6BFB" w:rsidRPr="00A54229" w:rsidRDefault="086E6BFB" w:rsidP="086E6BFB">
      <w:pPr>
        <w:pStyle w:val="Literatura"/>
      </w:pPr>
      <w:r>
        <w:t>‒ (1932b</w:t>
      </w:r>
      <w:r w:rsidRPr="00A54229">
        <w:t>)</w:t>
      </w:r>
      <w:r>
        <w:t>: "</w:t>
      </w:r>
      <w:r w:rsidRPr="00A54229">
        <w:t>L'argument des d</w:t>
      </w:r>
      <w:r>
        <w:t>eux glaives. Critique et déclin.</w:t>
      </w:r>
      <w:r w:rsidRPr="00A54229">
        <w:t xml:space="preserve"> </w:t>
      </w:r>
      <w:r w:rsidRPr="00A54229">
        <w:rPr>
          <w:i/>
        </w:rPr>
        <w:t>Recherches de sciences religieuses</w:t>
      </w:r>
      <w:r>
        <w:rPr>
          <w:i/>
        </w:rPr>
        <w:t xml:space="preserve"> </w:t>
      </w:r>
      <w:r>
        <w:t xml:space="preserve">22: </w:t>
      </w:r>
      <w:r w:rsidRPr="00A54229">
        <w:t>280‒303.</w:t>
      </w:r>
    </w:p>
    <w:p w14:paraId="6873F171" w14:textId="77777777" w:rsidR="086E6BFB" w:rsidRDefault="086E6BFB" w:rsidP="086E6BFB">
      <w:pPr>
        <w:pStyle w:val="Literatura"/>
      </w:pPr>
      <w:r w:rsidRPr="0026216E">
        <w:t>Leibniz, Gottfried Wilhelm</w:t>
      </w:r>
      <w:r>
        <w:t xml:space="preserve"> (1900): "</w:t>
      </w:r>
      <w:r w:rsidRPr="00273106">
        <w:t>Essais de Théodicée</w:t>
      </w:r>
      <w:r>
        <w:t xml:space="preserve">". </w:t>
      </w:r>
      <w:r w:rsidRPr="00273106">
        <w:rPr>
          <w:i/>
          <w:iCs/>
        </w:rPr>
        <w:t>Œuvres philosophiques de Leibniz II</w:t>
      </w:r>
      <w:r w:rsidRPr="00273106">
        <w:t xml:space="preserve">. Texte établi par </w:t>
      </w:r>
      <w:r>
        <w:tab/>
      </w:r>
      <w:r w:rsidRPr="00273106">
        <w:t>Paul</w:t>
      </w:r>
      <w:r>
        <w:t xml:space="preserve"> Janet. Paris: Félix Alcan</w:t>
      </w:r>
      <w:r w:rsidRPr="00273106">
        <w:t>.</w:t>
      </w:r>
    </w:p>
    <w:p w14:paraId="4302652D" w14:textId="77777777" w:rsidR="081D023E" w:rsidRPr="0849144F" w:rsidRDefault="0849144F" w:rsidP="081D023E">
      <w:pPr>
        <w:pStyle w:val="Literatura"/>
      </w:pPr>
      <w:r>
        <w:t>Lefèvre, Eckard. (1987):</w:t>
      </w:r>
      <w:r w:rsidR="081D023E" w:rsidRPr="0849144F">
        <w:t xml:space="preserve"> </w:t>
      </w:r>
      <w:r w:rsidR="081D023E" w:rsidRPr="0849144F">
        <w:rPr>
          <w:i/>
        </w:rPr>
        <w:t>"</w:t>
      </w:r>
      <w:r w:rsidR="081D023E" w:rsidRPr="0849144F">
        <w:t xml:space="preserve">Die Unfähigkeit, sich zu erkennen : unzeitgemäße Bemerkungen zu Sophokles' Oidipus </w:t>
      </w:r>
      <w:r>
        <w:tab/>
      </w:r>
      <w:r w:rsidR="081D023E" w:rsidRPr="0849144F">
        <w:t xml:space="preserve">Tyrannos." </w:t>
      </w:r>
      <w:r w:rsidR="081D023E" w:rsidRPr="0849144F">
        <w:rPr>
          <w:i/>
        </w:rPr>
        <w:t xml:space="preserve">Würzburger Jahrbücher für die Altertumswissenschaft </w:t>
      </w:r>
      <w:r w:rsidR="081D023E" w:rsidRPr="0849144F">
        <w:t>13: 37–58.</w:t>
      </w:r>
    </w:p>
    <w:p w14:paraId="4DF0431E" w14:textId="77777777" w:rsidR="086E6BFB" w:rsidRDefault="086E6BFB" w:rsidP="086E6BFB">
      <w:pPr>
        <w:pStyle w:val="Literatura"/>
        <w:rPr>
          <w:rStyle w:val="tpp"/>
          <w:szCs w:val="22"/>
        </w:rPr>
      </w:pPr>
      <w:r w:rsidRPr="00273106">
        <w:rPr>
          <w:rStyle w:val="tpp"/>
          <w:szCs w:val="22"/>
        </w:rPr>
        <w:t>Lefort, Claude</w:t>
      </w:r>
      <w:r>
        <w:rPr>
          <w:rStyle w:val="tpp"/>
          <w:szCs w:val="22"/>
        </w:rPr>
        <w:t xml:space="preserve"> </w:t>
      </w:r>
      <w:r w:rsidRPr="00273106">
        <w:rPr>
          <w:rStyle w:val="tpp"/>
          <w:szCs w:val="22"/>
        </w:rPr>
        <w:t>(1986a)</w:t>
      </w:r>
      <w:r>
        <w:rPr>
          <w:rStyle w:val="tpp"/>
          <w:szCs w:val="22"/>
        </w:rPr>
        <w:t>:</w:t>
      </w:r>
      <w:r w:rsidRPr="00273106">
        <w:rPr>
          <w:rStyle w:val="tpp"/>
          <w:szCs w:val="22"/>
        </w:rPr>
        <w:t xml:space="preserve"> </w:t>
      </w:r>
      <w:r w:rsidRPr="00273106">
        <w:rPr>
          <w:rStyle w:val="st"/>
          <w:i/>
        </w:rPr>
        <w:t>Un homme en trop</w:t>
      </w:r>
      <w:r w:rsidRPr="00273106">
        <w:rPr>
          <w:rStyle w:val="st"/>
        </w:rPr>
        <w:t xml:space="preserve">. </w:t>
      </w:r>
      <w:r w:rsidRPr="00273106">
        <w:rPr>
          <w:rStyle w:val="tpp"/>
          <w:szCs w:val="22"/>
        </w:rPr>
        <w:t>Paris: Éditions du Seuil.</w:t>
      </w:r>
    </w:p>
    <w:p w14:paraId="154BB296" w14:textId="77777777" w:rsidR="086E6BFB" w:rsidRPr="00273106" w:rsidRDefault="086E6BFB" w:rsidP="086E6BFB">
      <w:pPr>
        <w:pStyle w:val="Literatura"/>
      </w:pPr>
      <w:r>
        <w:rPr>
          <w:rStyle w:val="tpp"/>
          <w:szCs w:val="22"/>
        </w:rPr>
        <w:t xml:space="preserve">‒ </w:t>
      </w:r>
      <w:r w:rsidRPr="00273106">
        <w:rPr>
          <w:rStyle w:val="tpp"/>
          <w:szCs w:val="22"/>
        </w:rPr>
        <w:t>(1986b)</w:t>
      </w:r>
      <w:r>
        <w:rPr>
          <w:rStyle w:val="tpp"/>
          <w:szCs w:val="22"/>
        </w:rPr>
        <w:t>:</w:t>
      </w:r>
      <w:r w:rsidRPr="00273106">
        <w:rPr>
          <w:rStyle w:val="tpp"/>
          <w:i/>
          <w:szCs w:val="22"/>
        </w:rPr>
        <w:t xml:space="preserve"> Essais sur le politique</w:t>
      </w:r>
      <w:r w:rsidRPr="00273106">
        <w:rPr>
          <w:rStyle w:val="tpp"/>
          <w:szCs w:val="22"/>
        </w:rPr>
        <w:t>. Paris: Éditions du Seuil.</w:t>
      </w:r>
    </w:p>
    <w:p w14:paraId="140EF26C" w14:textId="77777777" w:rsidR="086E6BFB" w:rsidRPr="00273106" w:rsidRDefault="086E6BFB" w:rsidP="086E6BFB">
      <w:pPr>
        <w:pStyle w:val="Literatura"/>
      </w:pPr>
      <w:r w:rsidRPr="00273106">
        <w:rPr>
          <w:rStyle w:val="name"/>
        </w:rPr>
        <w:t>Lévinas</w:t>
      </w:r>
      <w:r w:rsidRPr="00273106">
        <w:t xml:space="preserve">. </w:t>
      </w:r>
      <w:r w:rsidRPr="00273106">
        <w:rPr>
          <w:rStyle w:val="name"/>
        </w:rPr>
        <w:t>Emmanuel</w:t>
      </w:r>
      <w:r>
        <w:rPr>
          <w:rStyle w:val="name"/>
        </w:rPr>
        <w:t xml:space="preserve"> (1951): "</w:t>
      </w:r>
      <w:r w:rsidRPr="00016F0A">
        <w:t>L'ontologie est-elle fondamentale?</w:t>
      </w:r>
      <w:r>
        <w:t>"</w:t>
      </w:r>
      <w:r w:rsidRPr="00273106">
        <w:t xml:space="preserve"> </w:t>
      </w:r>
      <w:r w:rsidRPr="00273106">
        <w:rPr>
          <w:rStyle w:val="Zvraznn"/>
          <w:iCs w:val="0"/>
        </w:rPr>
        <w:t>Revue de Métaphysique et de Morale</w:t>
      </w:r>
      <w:r>
        <w:t xml:space="preserve"> 56/1</w:t>
      </w:r>
      <w:r w:rsidRPr="00273106">
        <w:t>:</w:t>
      </w:r>
      <w:r>
        <w:t xml:space="preserve"> </w:t>
      </w:r>
      <w:r>
        <w:tab/>
      </w:r>
      <w:r w:rsidRPr="00273106">
        <w:t xml:space="preserve">88‒98. </w:t>
      </w:r>
    </w:p>
    <w:p w14:paraId="1C76C91E" w14:textId="77777777" w:rsidR="086E6BFB" w:rsidRDefault="086E6BFB" w:rsidP="086E6BFB">
      <w:pPr>
        <w:pStyle w:val="Literatura"/>
        <w:rPr>
          <w:rStyle w:val="CittHTML"/>
          <w:i w:val="0"/>
          <w:iCs w:val="0"/>
        </w:rPr>
      </w:pPr>
      <w:r>
        <w:rPr>
          <w:i/>
          <w:iCs/>
        </w:rPr>
        <w:t xml:space="preserve">Les auctoritates </w:t>
      </w:r>
      <w:r w:rsidRPr="083A251B">
        <w:rPr>
          <w:i/>
          <w:iCs/>
        </w:rPr>
        <w:t>Aristotelis</w:t>
      </w:r>
      <w:r>
        <w:t xml:space="preserve"> (1974): </w:t>
      </w:r>
      <w:r w:rsidRPr="083A251B">
        <w:t>Ed</w:t>
      </w:r>
      <w:r>
        <w:t>. Jacqueline Hamesse, Louvain &amp; Paris: Publications universitaires.</w:t>
      </w:r>
    </w:p>
    <w:p w14:paraId="140E3A00" w14:textId="77777777" w:rsidR="086E6BFB" w:rsidRPr="00273106" w:rsidRDefault="086E6BFB" w:rsidP="086E6BFB">
      <w:pPr>
        <w:pStyle w:val="Literatura"/>
      </w:pPr>
      <w:r>
        <w:rPr>
          <w:szCs w:val="22"/>
        </w:rPr>
        <w:t>Lewis, Neil (1995): "</w:t>
      </w:r>
      <w:r w:rsidRPr="00273106">
        <w:rPr>
          <w:szCs w:val="22"/>
        </w:rPr>
        <w:t xml:space="preserve">William of Auvergne's Account of the Enuntiable: its Relations to Nominalism and the </w:t>
      </w:r>
      <w:r>
        <w:rPr>
          <w:szCs w:val="22"/>
        </w:rPr>
        <w:tab/>
      </w:r>
      <w:r w:rsidRPr="00273106">
        <w:rPr>
          <w:szCs w:val="22"/>
        </w:rPr>
        <w:t>Doctrine of the Eternal Truths</w:t>
      </w:r>
      <w:r>
        <w:rPr>
          <w:szCs w:val="22"/>
        </w:rPr>
        <w:t>"</w:t>
      </w:r>
      <w:r w:rsidRPr="00273106">
        <w:rPr>
          <w:szCs w:val="22"/>
        </w:rPr>
        <w:t xml:space="preserve">.  </w:t>
      </w:r>
      <w:r w:rsidRPr="00273106">
        <w:rPr>
          <w:i/>
          <w:szCs w:val="22"/>
        </w:rPr>
        <w:t>Vivarium</w:t>
      </w:r>
      <w:r>
        <w:rPr>
          <w:szCs w:val="22"/>
        </w:rPr>
        <w:t xml:space="preserve"> </w:t>
      </w:r>
      <w:r w:rsidRPr="00273106">
        <w:rPr>
          <w:szCs w:val="22"/>
        </w:rPr>
        <w:t>33</w:t>
      </w:r>
      <w:r>
        <w:rPr>
          <w:szCs w:val="22"/>
        </w:rPr>
        <w:t>/</w:t>
      </w:r>
      <w:r w:rsidRPr="00273106">
        <w:rPr>
          <w:szCs w:val="22"/>
        </w:rPr>
        <w:t>2</w:t>
      </w:r>
      <w:r>
        <w:rPr>
          <w:szCs w:val="22"/>
        </w:rPr>
        <w:t>: 113‒</w:t>
      </w:r>
      <w:r w:rsidRPr="00273106">
        <w:rPr>
          <w:szCs w:val="22"/>
        </w:rPr>
        <w:t>136.</w:t>
      </w:r>
    </w:p>
    <w:p w14:paraId="00D3CB06" w14:textId="77777777" w:rsidR="086E6BFB" w:rsidRPr="00273106" w:rsidRDefault="086E6BFB" w:rsidP="086E6BFB">
      <w:pPr>
        <w:pStyle w:val="Literatura"/>
      </w:pPr>
      <w:r w:rsidRPr="00AE1CEA">
        <w:rPr>
          <w:i/>
        </w:rPr>
        <w:t>Liber de causis</w:t>
      </w:r>
      <w:r>
        <w:t xml:space="preserve"> (2001): Critical text of Adriaan Pattin (1966) revised by Hans Zimmermann. Zdroj: </w:t>
      </w:r>
      <w:r>
        <w:tab/>
      </w:r>
      <w:r w:rsidRPr="00AE1CEA">
        <w:t>http://12koerbe.de/pan/causis.htm</w:t>
      </w:r>
    </w:p>
    <w:p w14:paraId="5820616C" w14:textId="77777777" w:rsidR="086E6BFB" w:rsidRDefault="086E6BFB" w:rsidP="086E6BFB">
      <w:pPr>
        <w:pStyle w:val="Literatura"/>
        <w:rPr>
          <w:szCs w:val="16"/>
        </w:rPr>
      </w:pPr>
      <w:r w:rsidRPr="00FD172F">
        <w:t>Libera, Alain de</w:t>
      </w:r>
      <w:r>
        <w:t xml:space="preserve"> (1982): "</w:t>
      </w:r>
      <w:r w:rsidRPr="00273106">
        <w:rPr>
          <w:szCs w:val="16"/>
        </w:rPr>
        <w:t>The Oxford and Paris Traditions in Logic</w:t>
      </w:r>
      <w:r>
        <w:rPr>
          <w:szCs w:val="16"/>
        </w:rPr>
        <w:t>"</w:t>
      </w:r>
      <w:r w:rsidRPr="00273106">
        <w:rPr>
          <w:szCs w:val="16"/>
        </w:rPr>
        <w:t xml:space="preserve">. </w:t>
      </w:r>
      <w:r w:rsidRPr="00273106">
        <w:rPr>
          <w:i/>
          <w:szCs w:val="16"/>
        </w:rPr>
        <w:t xml:space="preserve">The Cambridge History of Later Mediaeval </w:t>
      </w:r>
      <w:r>
        <w:rPr>
          <w:i/>
          <w:szCs w:val="16"/>
        </w:rPr>
        <w:tab/>
      </w:r>
      <w:r w:rsidRPr="00273106">
        <w:rPr>
          <w:i/>
          <w:szCs w:val="16"/>
        </w:rPr>
        <w:t>Philosophy</w:t>
      </w:r>
      <w:r>
        <w:rPr>
          <w:i/>
          <w:szCs w:val="16"/>
        </w:rPr>
        <w:t xml:space="preserve">, </w:t>
      </w:r>
      <w:r>
        <w:rPr>
          <w:szCs w:val="16"/>
        </w:rPr>
        <w:t>edited by N. Kretzmann, Norman et al</w:t>
      </w:r>
      <w:r w:rsidRPr="00273106">
        <w:rPr>
          <w:szCs w:val="16"/>
        </w:rPr>
        <w:t>.</w:t>
      </w:r>
      <w:r>
        <w:rPr>
          <w:szCs w:val="16"/>
        </w:rPr>
        <w:t>, Cambridge University Press, pp. 174‒187.</w:t>
      </w:r>
    </w:p>
    <w:p w14:paraId="6D464792" w14:textId="77777777" w:rsidR="086E6BFB" w:rsidRDefault="086E6BFB" w:rsidP="086E6BFB">
      <w:pPr>
        <w:pStyle w:val="Literatura"/>
      </w:pPr>
      <w:r>
        <w:rPr>
          <w:szCs w:val="16"/>
        </w:rPr>
        <w:t xml:space="preserve">‒ (1991): </w:t>
      </w:r>
      <w:r w:rsidRPr="00273106">
        <w:rPr>
          <w:i/>
          <w:iCs/>
        </w:rPr>
        <w:t>Penser au Moyen Âge</w:t>
      </w:r>
      <w:r>
        <w:t>, Éditions du Seuil, Paris</w:t>
      </w:r>
      <w:r w:rsidRPr="00273106">
        <w:t>.</w:t>
      </w:r>
    </w:p>
    <w:p w14:paraId="3C34A174" w14:textId="77777777" w:rsidR="086E6BFB" w:rsidRDefault="086E6BFB" w:rsidP="086E6BFB">
      <w:pPr>
        <w:pStyle w:val="Literatura"/>
      </w:pPr>
      <w:r>
        <w:rPr>
          <w:szCs w:val="16"/>
        </w:rPr>
        <w:t>‒ (1994): "</w:t>
      </w:r>
      <w:r w:rsidRPr="00273106">
        <w:t>Averroïsme éthique et philosophie mystique. De la félicité intellectuelle à la vie bienheureuse</w:t>
      </w:r>
      <w:r>
        <w:t xml:space="preserve">". </w:t>
      </w:r>
      <w:r>
        <w:tab/>
      </w:r>
      <w:r w:rsidRPr="00273106">
        <w:rPr>
          <w:i/>
        </w:rPr>
        <w:t>Filosofia e teologia nel Trecento</w:t>
      </w:r>
      <w:r>
        <w:rPr>
          <w:i/>
        </w:rPr>
        <w:t xml:space="preserve">, </w:t>
      </w:r>
      <w:r w:rsidRPr="00F014D3">
        <w:t xml:space="preserve">edited by </w:t>
      </w:r>
      <w:r>
        <w:t>L. Bianchi, Louvain‒la‒Neuve, pp. 33‒56.</w:t>
      </w:r>
    </w:p>
    <w:p w14:paraId="4A22AAE5" w14:textId="77777777" w:rsidR="086E6BFB" w:rsidRDefault="086E6BFB" w:rsidP="086E6BFB">
      <w:pPr>
        <w:pStyle w:val="Literatura"/>
        <w:rPr>
          <w:lang w:eastAsia="en-US"/>
        </w:rPr>
      </w:pPr>
      <w:r>
        <w:rPr>
          <w:szCs w:val="16"/>
        </w:rPr>
        <w:t xml:space="preserve">‒ (1996): </w:t>
      </w:r>
      <w:r w:rsidRPr="00273106">
        <w:rPr>
          <w:i/>
          <w:lang w:eastAsia="en-US"/>
        </w:rPr>
        <w:t xml:space="preserve">La querelle des universaux. De </w:t>
      </w:r>
      <w:r>
        <w:rPr>
          <w:i/>
          <w:lang w:eastAsia="en-US"/>
        </w:rPr>
        <w:t>Platon</w:t>
      </w:r>
      <w:r w:rsidRPr="00273106">
        <w:rPr>
          <w:i/>
          <w:lang w:eastAsia="en-US"/>
        </w:rPr>
        <w:t xml:space="preserve"> à la fin du Moyen</w:t>
      </w:r>
      <w:r w:rsidRPr="00AD01D6">
        <w:rPr>
          <w:rStyle w:val="st"/>
          <w:i/>
        </w:rPr>
        <w:t xml:space="preserve"> </w:t>
      </w:r>
      <w:r w:rsidRPr="00273106">
        <w:rPr>
          <w:rStyle w:val="st"/>
          <w:i/>
        </w:rPr>
        <w:t>Âge</w:t>
      </w:r>
      <w:r>
        <w:rPr>
          <w:lang w:eastAsia="en-US"/>
        </w:rPr>
        <w:t>. Paris: Édition du Seuil</w:t>
      </w:r>
      <w:r w:rsidRPr="00273106">
        <w:rPr>
          <w:lang w:eastAsia="en-US"/>
        </w:rPr>
        <w:t>.</w:t>
      </w:r>
    </w:p>
    <w:p w14:paraId="2F02DF2C" w14:textId="77777777" w:rsidR="086E6BFB" w:rsidRDefault="086E6BFB" w:rsidP="086E6BFB">
      <w:pPr>
        <w:pStyle w:val="Literatura"/>
      </w:pPr>
      <w:r>
        <w:rPr>
          <w:szCs w:val="16"/>
        </w:rPr>
        <w:t xml:space="preserve">‒ (1999): </w:t>
      </w:r>
      <w:r w:rsidRPr="00273106">
        <w:rPr>
          <w:rStyle w:val="fn"/>
          <w:i/>
        </w:rPr>
        <w:t>L'Art des généralités</w:t>
      </w:r>
      <w:r w:rsidRPr="00273106">
        <w:rPr>
          <w:i/>
        </w:rPr>
        <w:t xml:space="preserve">: </w:t>
      </w:r>
      <w:r w:rsidRPr="00273106">
        <w:rPr>
          <w:rStyle w:val="Podtitul1"/>
          <w:i/>
        </w:rPr>
        <w:t>Théories de l'abstraction</w:t>
      </w:r>
      <w:r w:rsidRPr="00273106">
        <w:rPr>
          <w:rStyle w:val="Podtitul1"/>
        </w:rPr>
        <w:t xml:space="preserve">. Paris: </w:t>
      </w:r>
      <w:r>
        <w:t>Editions Aubier</w:t>
      </w:r>
      <w:r w:rsidRPr="00273106">
        <w:t>.</w:t>
      </w:r>
    </w:p>
    <w:p w14:paraId="1C385582" w14:textId="77777777" w:rsidR="086E6BFB" w:rsidRDefault="086E6BFB" w:rsidP="086E6BFB">
      <w:pPr>
        <w:pStyle w:val="Literatura"/>
      </w:pPr>
      <w:r>
        <w:rPr>
          <w:szCs w:val="16"/>
        </w:rPr>
        <w:t>‒ (2002): "</w:t>
      </w:r>
      <w:r w:rsidRPr="00273106">
        <w:rPr>
          <w:szCs w:val="18"/>
        </w:rPr>
        <w:t xml:space="preserve">Omnis homo de necessitate est animal référence et modalité selon l'anonymus erfordensis q. 328 </w:t>
      </w:r>
      <w:r>
        <w:rPr>
          <w:szCs w:val="18"/>
        </w:rPr>
        <w:tab/>
      </w:r>
      <w:r w:rsidRPr="00273106">
        <w:rPr>
          <w:szCs w:val="18"/>
        </w:rPr>
        <w:t>(pseudo-Robert Kilwardby)</w:t>
      </w:r>
      <w:r>
        <w:rPr>
          <w:szCs w:val="18"/>
        </w:rPr>
        <w:t>"</w:t>
      </w:r>
      <w:r w:rsidRPr="00273106">
        <w:rPr>
          <w:szCs w:val="18"/>
        </w:rPr>
        <w:t xml:space="preserve">. </w:t>
      </w:r>
      <w:r w:rsidRPr="00273106">
        <w:rPr>
          <w:i/>
          <w:szCs w:val="18"/>
        </w:rPr>
        <w:t>Archives d'histoire doctrinale et littéraire du Moyen Âge</w:t>
      </w:r>
      <w:r>
        <w:rPr>
          <w:szCs w:val="18"/>
        </w:rPr>
        <w:t xml:space="preserve"> 69/1: 201‒</w:t>
      </w:r>
      <w:r w:rsidRPr="00273106">
        <w:rPr>
          <w:szCs w:val="18"/>
        </w:rPr>
        <w:t>237.</w:t>
      </w:r>
    </w:p>
    <w:p w14:paraId="38350A62" w14:textId="77777777" w:rsidR="086E6BFB" w:rsidRDefault="086E6BFB" w:rsidP="086E6BFB">
      <w:pPr>
        <w:pStyle w:val="Literatura"/>
      </w:pPr>
      <w:r>
        <w:rPr>
          <w:szCs w:val="16"/>
        </w:rPr>
        <w:t xml:space="preserve">‒ (2003): </w:t>
      </w:r>
      <w:r w:rsidRPr="00273106">
        <w:rPr>
          <w:i/>
          <w:iCs/>
        </w:rPr>
        <w:t>Raison et Foi</w:t>
      </w:r>
      <w:r w:rsidRPr="00273106">
        <w:t xml:space="preserve">, </w:t>
      </w:r>
      <w:r w:rsidRPr="00273106">
        <w:rPr>
          <w:lang w:eastAsia="en-US"/>
        </w:rPr>
        <w:t>Paris: Édition du Seuil</w:t>
      </w:r>
      <w:r w:rsidRPr="00273106">
        <w:t>.</w:t>
      </w:r>
    </w:p>
    <w:p w14:paraId="65DC273E" w14:textId="77777777" w:rsidR="086E6BFB" w:rsidRDefault="086E6BFB" w:rsidP="086E6BFB">
      <w:pPr>
        <w:pStyle w:val="Literatura"/>
      </w:pPr>
      <w:r>
        <w:rPr>
          <w:szCs w:val="16"/>
        </w:rPr>
        <w:t xml:space="preserve">‒ (2004): </w:t>
      </w:r>
      <w:r w:rsidRPr="00273106">
        <w:t>L'</w:t>
      </w:r>
      <w:r w:rsidRPr="00273106">
        <w:rPr>
          <w:i/>
        </w:rPr>
        <w:t>Unité de l'intellect</w:t>
      </w:r>
      <w:r w:rsidRPr="00273106">
        <w:t xml:space="preserve"> </w:t>
      </w:r>
      <w:r>
        <w:t>de Thomas d'Aquin. Paris: Vrin</w:t>
      </w:r>
      <w:r w:rsidRPr="00273106">
        <w:t>.</w:t>
      </w:r>
    </w:p>
    <w:p w14:paraId="49DA66F7" w14:textId="77777777" w:rsidR="086E6BFB" w:rsidRDefault="086E6BFB" w:rsidP="086E6BFB">
      <w:pPr>
        <w:pStyle w:val="Literatura"/>
      </w:pPr>
      <w:r>
        <w:rPr>
          <w:szCs w:val="16"/>
        </w:rPr>
        <w:t xml:space="preserve">‒ (2005): </w:t>
      </w:r>
      <w:r w:rsidRPr="00273106">
        <w:rPr>
          <w:rStyle w:val="fn"/>
          <w:i/>
        </w:rPr>
        <w:t>Métaphysique et noétique</w:t>
      </w:r>
      <w:r w:rsidRPr="00273106">
        <w:rPr>
          <w:i/>
        </w:rPr>
        <w:t xml:space="preserve">: </w:t>
      </w:r>
      <w:r w:rsidRPr="00273106">
        <w:rPr>
          <w:rStyle w:val="Podtitul1"/>
          <w:i/>
        </w:rPr>
        <w:t>Albert le Grand</w:t>
      </w:r>
      <w:r w:rsidRPr="00273106">
        <w:rPr>
          <w:rStyle w:val="Podtitul1"/>
        </w:rPr>
        <w:t xml:space="preserve">. Paris: </w:t>
      </w:r>
      <w:r>
        <w:t>Vrin</w:t>
      </w:r>
      <w:r w:rsidRPr="00273106">
        <w:t>.</w:t>
      </w:r>
    </w:p>
    <w:p w14:paraId="5AACEBB8" w14:textId="77777777" w:rsidR="086E6BFB" w:rsidRDefault="086E6BFB" w:rsidP="086E6BFB">
      <w:pPr>
        <w:pStyle w:val="Literatura"/>
      </w:pPr>
      <w:r>
        <w:t xml:space="preserve">Lipovetsky, Gilles (1983): </w:t>
      </w:r>
      <w:r w:rsidRPr="00273106">
        <w:rPr>
          <w:i/>
        </w:rPr>
        <w:t>L'Ère du vide. Essais sur l'individualisme contemporain</w:t>
      </w:r>
      <w:r>
        <w:t>, Paris, Gallimard</w:t>
      </w:r>
      <w:r w:rsidRPr="00273106">
        <w:t>.</w:t>
      </w:r>
    </w:p>
    <w:p w14:paraId="36DBD174" w14:textId="77777777" w:rsidR="086E6BFB" w:rsidRPr="00273106" w:rsidRDefault="086E6BFB" w:rsidP="086E6BFB">
      <w:pPr>
        <w:pStyle w:val="Literatura"/>
      </w:pPr>
      <w:r>
        <w:t xml:space="preserve">‒ (1992): </w:t>
      </w:r>
      <w:r w:rsidRPr="00273106">
        <w:rPr>
          <w:i/>
        </w:rPr>
        <w:t>Le Crépuscule du devoir. L'éthique indolore des nouveaux temps démocratiques</w:t>
      </w:r>
      <w:r>
        <w:t>. Paris, Gallimard</w:t>
      </w:r>
      <w:r w:rsidRPr="00273106">
        <w:t>.</w:t>
      </w:r>
    </w:p>
    <w:p w14:paraId="29FF204A" w14:textId="77777777" w:rsidR="086E6BFB" w:rsidRDefault="086E6BFB" w:rsidP="086E6BFB">
      <w:pPr>
        <w:pStyle w:val="Literatura"/>
      </w:pPr>
      <w:r w:rsidRPr="00273106">
        <w:t>Lizzini, Olga Lucia</w:t>
      </w:r>
      <w:r>
        <w:t xml:space="preserve"> </w:t>
      </w:r>
      <w:r w:rsidRPr="00273106">
        <w:t>(2003a)</w:t>
      </w:r>
      <w:r>
        <w:t>:</w:t>
      </w:r>
      <w:r w:rsidRPr="00273106">
        <w:t xml:space="preserve"> </w:t>
      </w:r>
      <w:r>
        <w:t>"</w:t>
      </w:r>
      <w:r w:rsidRPr="00273106">
        <w:t xml:space="preserve">Le traité sur l'unité de Yaḥiā Ibn ʿAdī et la troisième maqālah de la métaphysique du </w:t>
      </w:r>
      <w:r>
        <w:tab/>
      </w:r>
      <w:r w:rsidRPr="00273106">
        <w:t>Kitāb al-Šifā d'Avicenne</w:t>
      </w:r>
      <w:r>
        <w:t>"</w:t>
      </w:r>
      <w:r w:rsidRPr="00273106">
        <w:t xml:space="preserve">. </w:t>
      </w:r>
      <w:r w:rsidRPr="00273106">
        <w:rPr>
          <w:i/>
        </w:rPr>
        <w:t>Parole de lʿOrient</w:t>
      </w:r>
      <w:r w:rsidRPr="00273106">
        <w:t xml:space="preserve"> </w:t>
      </w:r>
      <w:r>
        <w:t>28</w:t>
      </w:r>
      <w:r w:rsidRPr="00273106">
        <w:t>:</w:t>
      </w:r>
      <w:r>
        <w:t xml:space="preserve"> </w:t>
      </w:r>
      <w:r w:rsidRPr="00273106">
        <w:t>497–529.</w:t>
      </w:r>
    </w:p>
    <w:p w14:paraId="3B8685DC" w14:textId="77777777" w:rsidR="086E6BFB" w:rsidRPr="00273106" w:rsidRDefault="086E6BFB" w:rsidP="086E6BFB">
      <w:pPr>
        <w:pStyle w:val="Literatura"/>
      </w:pPr>
      <w:r>
        <w:t xml:space="preserve">‒ </w:t>
      </w:r>
      <w:r>
        <w:rPr>
          <w:rStyle w:val="st"/>
        </w:rPr>
        <w:t>(2003b): "</w:t>
      </w:r>
      <w:r w:rsidRPr="00273106">
        <w:rPr>
          <w:rStyle w:val="st"/>
        </w:rPr>
        <w:t>Wujūd-Mawjūd/</w:t>
      </w:r>
      <w:r w:rsidRPr="00273106">
        <w:rPr>
          <w:rStyle w:val="st"/>
          <w:bCs/>
        </w:rPr>
        <w:t>Existence</w:t>
      </w:r>
      <w:r w:rsidRPr="00273106">
        <w:rPr>
          <w:rStyle w:val="st"/>
        </w:rPr>
        <w:t>-</w:t>
      </w:r>
      <w:r w:rsidRPr="00273106">
        <w:rPr>
          <w:rStyle w:val="st"/>
          <w:bCs/>
        </w:rPr>
        <w:t>Existent</w:t>
      </w:r>
      <w:r w:rsidRPr="00273106">
        <w:rPr>
          <w:rStyle w:val="st"/>
        </w:rPr>
        <w:t xml:space="preserve"> in </w:t>
      </w:r>
      <w:r w:rsidRPr="00273106">
        <w:rPr>
          <w:rStyle w:val="st"/>
          <w:bCs/>
        </w:rPr>
        <w:t>Avicenna</w:t>
      </w:r>
      <w:r w:rsidRPr="00273106">
        <w:rPr>
          <w:rStyle w:val="st"/>
        </w:rPr>
        <w:t xml:space="preserve">: a </w:t>
      </w:r>
      <w:r w:rsidRPr="00273106">
        <w:rPr>
          <w:rStyle w:val="st"/>
          <w:bCs/>
        </w:rPr>
        <w:t>Key Ontological</w:t>
      </w:r>
      <w:r w:rsidRPr="00273106">
        <w:rPr>
          <w:rStyle w:val="st"/>
        </w:rPr>
        <w:t xml:space="preserve"> </w:t>
      </w:r>
      <w:r w:rsidRPr="00273106">
        <w:rPr>
          <w:rStyle w:val="st"/>
          <w:bCs/>
        </w:rPr>
        <w:t>Notion</w:t>
      </w:r>
      <w:r w:rsidRPr="00273106">
        <w:rPr>
          <w:rStyle w:val="st"/>
        </w:rPr>
        <w:t xml:space="preserve"> of </w:t>
      </w:r>
      <w:r w:rsidRPr="00273106">
        <w:rPr>
          <w:rStyle w:val="st"/>
          <w:bCs/>
        </w:rPr>
        <w:t>Arabic Philosophy</w:t>
      </w:r>
      <w:r>
        <w:rPr>
          <w:rStyle w:val="st"/>
          <w:bCs/>
        </w:rPr>
        <w:t>"</w:t>
      </w:r>
      <w:r w:rsidRPr="00273106">
        <w:rPr>
          <w:rStyle w:val="st"/>
        </w:rPr>
        <w:t xml:space="preserve">. </w:t>
      </w:r>
      <w:r>
        <w:rPr>
          <w:rStyle w:val="st"/>
        </w:rPr>
        <w:tab/>
      </w:r>
      <w:r w:rsidRPr="00273106">
        <w:rPr>
          <w:rStyle w:val="st"/>
          <w:i/>
        </w:rPr>
        <w:t>Quaestio</w:t>
      </w:r>
      <w:r>
        <w:rPr>
          <w:rStyle w:val="st"/>
        </w:rPr>
        <w:t xml:space="preserve"> 3</w:t>
      </w:r>
      <w:r w:rsidRPr="00273106">
        <w:rPr>
          <w:rStyle w:val="st"/>
        </w:rPr>
        <w:t>: 111–138.</w:t>
      </w:r>
      <w:r w:rsidRPr="00273106">
        <w:t xml:space="preserve">  </w:t>
      </w:r>
    </w:p>
    <w:p w14:paraId="32CA0DA2" w14:textId="77777777" w:rsidR="086E6BFB" w:rsidRDefault="086E6BFB" w:rsidP="086E6BFB">
      <w:pPr>
        <w:pStyle w:val="Literatura"/>
      </w:pPr>
      <w:r w:rsidRPr="088A3C85">
        <w:t>Liessmann, Konrad Paul</w:t>
      </w:r>
      <w:r>
        <w:t xml:space="preserve"> </w:t>
      </w:r>
      <w:r w:rsidRPr="088A3C85">
        <w:t>(2006)</w:t>
      </w:r>
      <w:r>
        <w:t>:</w:t>
      </w:r>
      <w:r w:rsidRPr="088A3C85">
        <w:t xml:space="preserve"> </w:t>
      </w:r>
      <w:r w:rsidRPr="088A3C85">
        <w:rPr>
          <w:i/>
        </w:rPr>
        <w:t>Theorie der Unbildung. Die Irrtümer der Wissensgesellschaft</w:t>
      </w:r>
      <w:r w:rsidRPr="088A3C85">
        <w:t>. Wien: Zsolnay.</w:t>
      </w:r>
    </w:p>
    <w:p w14:paraId="0C79C8FC" w14:textId="77777777" w:rsidR="086E6BFB" w:rsidRDefault="086E6BFB" w:rsidP="086E6BFB">
      <w:pPr>
        <w:pStyle w:val="Literatura"/>
        <w:rPr>
          <w:rStyle w:val="CittHTML"/>
          <w:i w:val="0"/>
          <w:iCs w:val="0"/>
        </w:rPr>
      </w:pPr>
      <w:r>
        <w:rPr>
          <w:rStyle w:val="CittHTML"/>
          <w:i w:val="0"/>
          <w:iCs w:val="0"/>
        </w:rPr>
        <w:t xml:space="preserve">Locke, John(1975): </w:t>
      </w:r>
      <w:r w:rsidRPr="004F2888">
        <w:rPr>
          <w:rStyle w:val="CittHTML"/>
          <w:iCs w:val="0"/>
        </w:rPr>
        <w:t>An Essay concerning Human Understanding</w:t>
      </w:r>
      <w:r w:rsidRPr="004F2888">
        <w:rPr>
          <w:rStyle w:val="CittHTML"/>
          <w:i w:val="0"/>
          <w:iCs w:val="0"/>
        </w:rPr>
        <w:t xml:space="preserve">. The Clarendon Edition of the Works of John </w:t>
      </w:r>
      <w:r>
        <w:rPr>
          <w:rStyle w:val="CittHTML"/>
          <w:i w:val="0"/>
          <w:iCs w:val="0"/>
        </w:rPr>
        <w:tab/>
      </w:r>
      <w:r w:rsidRPr="004F2888">
        <w:rPr>
          <w:rStyle w:val="CittHTML"/>
          <w:i w:val="0"/>
          <w:iCs w:val="0"/>
        </w:rPr>
        <w:t>Locke. Edited by Peter H. Nidditch, and Jo</w:t>
      </w:r>
      <w:r>
        <w:rPr>
          <w:rStyle w:val="CittHTML"/>
          <w:i w:val="0"/>
          <w:iCs w:val="0"/>
        </w:rPr>
        <w:t>hn Yolton. Clarendon Press</w:t>
      </w:r>
      <w:r w:rsidRPr="004F2888">
        <w:rPr>
          <w:rStyle w:val="CittHTML"/>
          <w:i w:val="0"/>
          <w:iCs w:val="0"/>
        </w:rPr>
        <w:t>.</w:t>
      </w:r>
    </w:p>
    <w:p w14:paraId="372029D0" w14:textId="77777777" w:rsidR="086E6BFB" w:rsidRDefault="086E6BFB" w:rsidP="086E6BFB">
      <w:pPr>
        <w:pStyle w:val="Literatura"/>
        <w:rPr>
          <w:rStyle w:val="CittHTML"/>
          <w:i w:val="0"/>
          <w:iCs w:val="0"/>
        </w:rPr>
      </w:pPr>
      <w:r>
        <w:rPr>
          <w:rStyle w:val="CittHTML"/>
          <w:i w:val="0"/>
          <w:iCs w:val="0"/>
        </w:rPr>
        <w:t xml:space="preserve">‒ </w:t>
      </w:r>
      <w:r w:rsidRPr="08803725">
        <w:rPr>
          <w:rStyle w:val="CittHTML"/>
          <w:i w:val="0"/>
          <w:iCs w:val="0"/>
        </w:rPr>
        <w:t xml:space="preserve">(1980): </w:t>
      </w:r>
      <w:r w:rsidRPr="08803725">
        <w:rPr>
          <w:rStyle w:val="CittHTML"/>
          <w:iCs w:val="0"/>
        </w:rPr>
        <w:t>Second Treatise of Government</w:t>
      </w:r>
      <w:r w:rsidRPr="08803725">
        <w:rPr>
          <w:rStyle w:val="CittHTML"/>
          <w:i w:val="0"/>
          <w:iCs w:val="0"/>
        </w:rPr>
        <w:t>. Ed. C. B. Macpherson, Hackett Publishing.</w:t>
      </w:r>
    </w:p>
    <w:p w14:paraId="67F0E83A" w14:textId="77777777" w:rsidR="086E6BFB" w:rsidRPr="00273106" w:rsidRDefault="086E6BFB" w:rsidP="086E6BFB">
      <w:pPr>
        <w:pStyle w:val="Literatura"/>
      </w:pPr>
      <w:r w:rsidRPr="00273106">
        <w:rPr>
          <w:rStyle w:val="CittHTML"/>
          <w:iCs w:val="0"/>
        </w:rPr>
        <w:t>Logica Modernorum II</w:t>
      </w:r>
      <w:r>
        <w:rPr>
          <w:rStyle w:val="CittHTML"/>
          <w:i w:val="0"/>
          <w:iCs w:val="0"/>
        </w:rPr>
        <w:t xml:space="preserve"> (1967)</w:t>
      </w:r>
      <w:r w:rsidRPr="00E12D23">
        <w:rPr>
          <w:rStyle w:val="CittHTML"/>
          <w:i w:val="0"/>
          <w:iCs w:val="0"/>
        </w:rPr>
        <w:t>:</w:t>
      </w:r>
      <w:r w:rsidRPr="00273106">
        <w:rPr>
          <w:rStyle w:val="CittHTML"/>
          <w:iCs w:val="0"/>
        </w:rPr>
        <w:t xml:space="preserve"> The Origin and Early Development of the Theory of Supposition</w:t>
      </w:r>
      <w:r w:rsidRPr="00E12D23">
        <w:rPr>
          <w:rStyle w:val="CittHTML"/>
          <w:i w:val="0"/>
          <w:iCs w:val="0"/>
        </w:rPr>
        <w:t>, e</w:t>
      </w:r>
      <w:r>
        <w:rPr>
          <w:rStyle w:val="CittHTML"/>
          <w:i w:val="0"/>
          <w:iCs w:val="0"/>
        </w:rPr>
        <w:t xml:space="preserve">dited by </w:t>
      </w:r>
      <w:r>
        <w:rPr>
          <w:rStyle w:val="CittHTML"/>
          <w:i w:val="0"/>
          <w:iCs w:val="0"/>
        </w:rPr>
        <w:tab/>
      </w:r>
      <w:r w:rsidRPr="00273106">
        <w:t>Lambertus Marie</w:t>
      </w:r>
      <w:r>
        <w:t xml:space="preserve"> De Rijk</w:t>
      </w:r>
      <w:r>
        <w:rPr>
          <w:rStyle w:val="CittHTML"/>
          <w:i w:val="0"/>
          <w:iCs w:val="0"/>
        </w:rPr>
        <w:t>, Assen: Van Gorcum</w:t>
      </w:r>
      <w:r w:rsidRPr="00273106">
        <w:rPr>
          <w:rStyle w:val="CittHTML"/>
          <w:i w:val="0"/>
          <w:iCs w:val="0"/>
        </w:rPr>
        <w:t>.</w:t>
      </w:r>
    </w:p>
    <w:p w14:paraId="2009E6D8" w14:textId="77777777" w:rsidR="086E6BFB" w:rsidRDefault="086E6BFB" w:rsidP="086E6BFB">
      <w:pPr>
        <w:pStyle w:val="Literatura"/>
      </w:pPr>
      <w:r>
        <w:t>Lottin, Dom Odon (1926): "</w:t>
      </w:r>
      <w:r w:rsidRPr="00273106">
        <w:t>Les premiers linéaments du Traité de la Syndérèse au moyen âge</w:t>
      </w:r>
      <w:r>
        <w:t xml:space="preserve">". </w:t>
      </w:r>
      <w:r w:rsidRPr="00273106">
        <w:rPr>
          <w:i/>
        </w:rPr>
        <w:t>Revue néo-</w:t>
      </w:r>
      <w:r>
        <w:rPr>
          <w:i/>
        </w:rPr>
        <w:tab/>
      </w:r>
      <w:r w:rsidRPr="00273106">
        <w:rPr>
          <w:i/>
        </w:rPr>
        <w:t>scolastique de philosophie</w:t>
      </w:r>
      <w:r>
        <w:t xml:space="preserve"> 12</w:t>
      </w:r>
      <w:r w:rsidRPr="00273106">
        <w:t xml:space="preserve">: </w:t>
      </w:r>
      <w:r>
        <w:t>422‒</w:t>
      </w:r>
      <w:r w:rsidRPr="00273106">
        <w:t>454.</w:t>
      </w:r>
    </w:p>
    <w:p w14:paraId="36E9A3EB" w14:textId="77777777" w:rsidR="086E6BFB" w:rsidRDefault="086E6BFB" w:rsidP="086E6BFB">
      <w:pPr>
        <w:pStyle w:val="Literatura"/>
      </w:pPr>
      <w:r>
        <w:t>‒ (1932): "</w:t>
      </w:r>
      <w:r w:rsidRPr="00273106">
        <w:rPr>
          <w:szCs w:val="36"/>
        </w:rPr>
        <w:t>La composition hylémorphique des substances spirituelles. Les débuts de la controverse</w:t>
      </w:r>
      <w:r>
        <w:rPr>
          <w:szCs w:val="36"/>
        </w:rPr>
        <w:t>"</w:t>
      </w:r>
      <w:r w:rsidRPr="00273106">
        <w:rPr>
          <w:szCs w:val="36"/>
        </w:rPr>
        <w:t xml:space="preserve">. </w:t>
      </w:r>
      <w:r w:rsidRPr="00273106">
        <w:rPr>
          <w:i/>
        </w:rPr>
        <w:t>Revue néo-</w:t>
      </w:r>
      <w:r>
        <w:rPr>
          <w:i/>
        </w:rPr>
        <w:tab/>
      </w:r>
      <w:r w:rsidRPr="00273106">
        <w:rPr>
          <w:i/>
        </w:rPr>
        <w:t>scolastique de philosophie</w:t>
      </w:r>
      <w:r w:rsidRPr="00273106">
        <w:t xml:space="preserve"> </w:t>
      </w:r>
      <w:r>
        <w:t>34: 21‒</w:t>
      </w:r>
      <w:r w:rsidRPr="00273106">
        <w:t>41.</w:t>
      </w:r>
    </w:p>
    <w:p w14:paraId="3C4231BB" w14:textId="77777777" w:rsidR="086E6BFB" w:rsidRPr="00273106" w:rsidRDefault="086E6BFB" w:rsidP="086E6BFB">
      <w:pPr>
        <w:pStyle w:val="Literatura"/>
      </w:pPr>
      <w:r>
        <w:t>‒ (1939): "</w:t>
      </w:r>
      <w:r w:rsidRPr="00273106">
        <w:t>Psychologie et Morale à la Faculté des Arts de Paris aux approches de 1250</w:t>
      </w:r>
      <w:r>
        <w:t xml:space="preserve">". </w:t>
      </w:r>
      <w:r w:rsidRPr="00273106">
        <w:rPr>
          <w:i/>
        </w:rPr>
        <w:t xml:space="preserve">Revue néo-scolastique </w:t>
      </w:r>
      <w:r>
        <w:rPr>
          <w:i/>
        </w:rPr>
        <w:tab/>
      </w:r>
      <w:r w:rsidRPr="00273106">
        <w:rPr>
          <w:i/>
        </w:rPr>
        <w:t>de philosophie</w:t>
      </w:r>
      <w:r w:rsidRPr="00273106">
        <w:t xml:space="preserve"> 62: 182‒212.</w:t>
      </w:r>
    </w:p>
    <w:p w14:paraId="527AB816" w14:textId="77777777" w:rsidR="086E6BFB" w:rsidRPr="00273106" w:rsidRDefault="086E6BFB" w:rsidP="086E6BFB">
      <w:pPr>
        <w:pStyle w:val="Literatura"/>
      </w:pPr>
      <w:r w:rsidRPr="00273106">
        <w:t>Lubac, Henri de</w:t>
      </w:r>
      <w:r>
        <w:t xml:space="preserve"> (1965):</w:t>
      </w:r>
      <w:r w:rsidRPr="00273106">
        <w:t xml:space="preserve"> </w:t>
      </w:r>
      <w:r w:rsidRPr="00273106">
        <w:rPr>
          <w:i/>
        </w:rPr>
        <w:t>Le mystère du surnaturel</w:t>
      </w:r>
      <w:r>
        <w:t>. Paris: Aubier</w:t>
      </w:r>
      <w:r w:rsidRPr="00273106">
        <w:t>.</w:t>
      </w:r>
    </w:p>
    <w:p w14:paraId="48F50613" w14:textId="5E79124B" w:rsidR="08CB6721" w:rsidRDefault="08CB6721" w:rsidP="08CB6721">
      <w:pPr>
        <w:pStyle w:val="Literatura"/>
      </w:pPr>
      <w:r w:rsidRPr="00273106">
        <w:t>Luscombe, David</w:t>
      </w:r>
      <w:r>
        <w:t xml:space="preserve"> (1969): </w:t>
      </w:r>
      <w:r w:rsidRPr="08813D9C">
        <w:rPr>
          <w:i/>
        </w:rPr>
        <w:t>The School of Peter </w:t>
      </w:r>
      <w:r w:rsidR="00CB3E4F">
        <w:rPr>
          <w:i/>
        </w:rPr>
        <w:t>Abélard</w:t>
      </w:r>
      <w:r>
        <w:t xml:space="preserve">. </w:t>
      </w:r>
      <w:r>
        <w:rPr>
          <w:rStyle w:val="medium-8"/>
        </w:rPr>
        <w:t>Cambridge University Press.</w:t>
      </w:r>
    </w:p>
    <w:p w14:paraId="7AF6D7D2" w14:textId="03CFF7F4" w:rsidR="08CB6721" w:rsidRPr="00273106" w:rsidRDefault="08CB6721" w:rsidP="08CB6721">
      <w:pPr>
        <w:pStyle w:val="Literatura"/>
      </w:pPr>
      <w:r>
        <w:rPr>
          <w:rFonts w:cs="Calibri"/>
        </w:rPr>
        <w:t>−</w:t>
      </w:r>
      <w:r>
        <w:t xml:space="preserve"> (1988):</w:t>
      </w:r>
      <w:r w:rsidRPr="00273106">
        <w:t xml:space="preserve"> </w:t>
      </w:r>
      <w:r>
        <w:t>"</w:t>
      </w:r>
      <w:r w:rsidRPr="00273106">
        <w:t xml:space="preserve">From Paris to the Paraclete: The Correspondence of </w:t>
      </w:r>
      <w:r w:rsidR="00CB3E4F">
        <w:t>Abélard</w:t>
      </w:r>
      <w:r w:rsidRPr="00273106">
        <w:t xml:space="preserve"> and Heloise</w:t>
      </w:r>
      <w:r>
        <w:t xml:space="preserve">". </w:t>
      </w:r>
      <w:r w:rsidRPr="00273106">
        <w:rPr>
          <w:i/>
        </w:rPr>
        <w:t xml:space="preserve">Proceedings of the British </w:t>
      </w:r>
      <w:r>
        <w:rPr>
          <w:rFonts w:cs="Calibri"/>
        </w:rPr>
        <w:tab/>
      </w:r>
      <w:r w:rsidRPr="00273106">
        <w:rPr>
          <w:i/>
        </w:rPr>
        <w:t>Academy</w:t>
      </w:r>
      <w:r>
        <w:t xml:space="preserve"> 74</w:t>
      </w:r>
      <w:r w:rsidRPr="00273106">
        <w:t>: 247‒283.</w:t>
      </w:r>
    </w:p>
    <w:p w14:paraId="6AC29A15" w14:textId="77777777" w:rsidR="086E6BFB" w:rsidRPr="00A168B6" w:rsidRDefault="086E6BFB" w:rsidP="086E6BFB">
      <w:pPr>
        <w:pStyle w:val="Literatura"/>
        <w:rPr>
          <w:rFonts w:cs="Calibri"/>
        </w:rPr>
      </w:pPr>
      <w:r w:rsidRPr="00273106">
        <w:t>Mahoney, P. Edward</w:t>
      </w:r>
      <w:r>
        <w:t xml:space="preserve"> (1988):</w:t>
      </w:r>
      <w:r w:rsidRPr="00273106">
        <w:t xml:space="preserve"> </w:t>
      </w:r>
      <w:r>
        <w:t>"</w:t>
      </w:r>
      <w:r w:rsidRPr="00273106">
        <w:t>Aristotle as '</w:t>
      </w:r>
      <w:r w:rsidRPr="00273106">
        <w:rPr>
          <w:rFonts w:cs="Calibri"/>
        </w:rPr>
        <w:t>The Worst Natural Philosopher' (</w:t>
      </w:r>
      <w:r w:rsidRPr="00273106">
        <w:rPr>
          <w:rFonts w:cs="Calibri"/>
          <w:i/>
        </w:rPr>
        <w:t>pessimus</w:t>
      </w:r>
      <w:r w:rsidRPr="00273106">
        <w:rPr>
          <w:i/>
        </w:rPr>
        <w:t xml:space="preserve"> naturalis</w:t>
      </w:r>
      <w:r w:rsidRPr="00273106">
        <w:t>) and '</w:t>
      </w:r>
      <w:r w:rsidRPr="00273106">
        <w:rPr>
          <w:rFonts w:cs="Calibri"/>
        </w:rPr>
        <w:t xml:space="preserve">The Worst </w:t>
      </w:r>
      <w:r>
        <w:rPr>
          <w:rFonts w:cs="Calibri"/>
        </w:rPr>
        <w:tab/>
      </w:r>
      <w:r w:rsidRPr="00273106">
        <w:rPr>
          <w:rFonts w:cs="Calibri"/>
        </w:rPr>
        <w:t>Metaphysician' (</w:t>
      </w:r>
      <w:r w:rsidRPr="00273106">
        <w:rPr>
          <w:rFonts w:cs="Calibri"/>
          <w:i/>
        </w:rPr>
        <w:t>pessimus metaphysicus</w:t>
      </w:r>
      <w:r w:rsidRPr="00273106">
        <w:rPr>
          <w:rFonts w:cs="Calibri"/>
        </w:rPr>
        <w:t>)</w:t>
      </w:r>
      <w:r>
        <w:rPr>
          <w:rFonts w:cs="Calibri"/>
        </w:rPr>
        <w:t xml:space="preserve">". </w:t>
      </w:r>
      <w:r w:rsidRPr="00273106">
        <w:rPr>
          <w:i/>
        </w:rPr>
        <w:t xml:space="preserve">Die Philosophie im 14. und 15. Jahrhundert. In memoriam </w:t>
      </w:r>
      <w:r>
        <w:rPr>
          <w:i/>
        </w:rPr>
        <w:tab/>
      </w:r>
      <w:r w:rsidRPr="00273106">
        <w:rPr>
          <w:i/>
        </w:rPr>
        <w:t>Konstanty Michalski (1879–1947)</w:t>
      </w:r>
      <w:r>
        <w:rPr>
          <w:i/>
        </w:rPr>
        <w:t xml:space="preserve">, edited by </w:t>
      </w:r>
      <w:r w:rsidRPr="00273106">
        <w:rPr>
          <w:rFonts w:cs="Calibri"/>
        </w:rPr>
        <w:t xml:space="preserve">Olaf </w:t>
      </w:r>
      <w:r>
        <w:t xml:space="preserve">Pluta, </w:t>
      </w:r>
      <w:r w:rsidRPr="00273106">
        <w:t xml:space="preserve">Amsterodam: B.R. Grüner Publishing Company, </w:t>
      </w:r>
      <w:r>
        <w:rPr>
          <w:i/>
        </w:rPr>
        <w:tab/>
      </w:r>
      <w:r w:rsidRPr="00273106">
        <w:t>pp. 261–273.</w:t>
      </w:r>
    </w:p>
    <w:p w14:paraId="469E0F24" w14:textId="77777777" w:rsidR="081A21CE" w:rsidRPr="00802E21" w:rsidRDefault="081A21CE" w:rsidP="081A21CE">
      <w:pPr>
        <w:pStyle w:val="Literatura"/>
      </w:pPr>
      <w:r w:rsidRPr="00802E21">
        <w:t xml:space="preserve">Marx, Karl &amp; Engels, Fiedrich (1956–):  </w:t>
      </w:r>
      <w:r w:rsidRPr="00802E21">
        <w:rPr>
          <w:i/>
        </w:rPr>
        <w:t>Werke, Herausgegeben vom Institut f</w:t>
      </w:r>
      <w:r w:rsidRPr="00802E21">
        <w:rPr>
          <w:rFonts w:hint="eastAsia"/>
          <w:i/>
        </w:rPr>
        <w:t>ü</w:t>
      </w:r>
      <w:r w:rsidRPr="00802E21">
        <w:rPr>
          <w:i/>
        </w:rPr>
        <w:t xml:space="preserve">r Marxismus- Leninismus beim ZK </w:t>
      </w:r>
      <w:r w:rsidRPr="000612B6">
        <w:rPr>
          <w:i/>
          <w:iCs/>
        </w:rPr>
        <w:tab/>
      </w:r>
      <w:r w:rsidRPr="00802E21">
        <w:rPr>
          <w:i/>
        </w:rPr>
        <w:t>der SED, Bd. 1–43</w:t>
      </w:r>
      <w:r w:rsidRPr="00802E21">
        <w:t>. Berlin: Dietz-Verlag (MEW Ausgabe).</w:t>
      </w:r>
    </w:p>
    <w:p w14:paraId="38B7A70E" w14:textId="77777777" w:rsidR="086E6BFB" w:rsidRDefault="086E6BFB" w:rsidP="086E6BFB">
      <w:pPr>
        <w:pStyle w:val="Literatura"/>
      </w:pPr>
      <w:r w:rsidRPr="00273106">
        <w:t>Mandonnet, Pierre</w:t>
      </w:r>
      <w:r>
        <w:t xml:space="preserve"> (1907): "</w:t>
      </w:r>
      <w:r w:rsidRPr="08743EFC">
        <w:rPr>
          <w:i/>
        </w:rPr>
        <w:t xml:space="preserve">Le traité </w:t>
      </w:r>
      <w:r w:rsidRPr="08743EFC">
        <w:rPr>
          <w:rStyle w:val="Zvraznn"/>
          <w:i w:val="0"/>
        </w:rPr>
        <w:t xml:space="preserve">De erroribus Philosophorum </w:t>
      </w:r>
      <w:r w:rsidRPr="08743EFC">
        <w:rPr>
          <w:i/>
        </w:rPr>
        <w:t>(XIIIe siècle)</w:t>
      </w:r>
      <w:r>
        <w:t xml:space="preserve">". </w:t>
      </w:r>
      <w:r w:rsidRPr="080E6F8E">
        <w:rPr>
          <w:rStyle w:val="collection"/>
          <w:i/>
        </w:rPr>
        <w:t>Revue néo-scolastique</w:t>
      </w:r>
      <w:r>
        <w:rPr>
          <w:rStyle w:val="collection"/>
        </w:rPr>
        <w:t xml:space="preserve"> </w:t>
      </w:r>
      <w:r>
        <w:rPr>
          <w:rStyle w:val="documentvolume"/>
        </w:rPr>
        <w:t xml:space="preserve">14: </w:t>
      </w:r>
      <w:r>
        <w:rPr>
          <w:rStyle w:val="documentvolume"/>
        </w:rPr>
        <w:tab/>
      </w:r>
      <w:r>
        <w:rPr>
          <w:rStyle w:val="documentpagerange"/>
        </w:rPr>
        <w:t>533‒552.</w:t>
      </w:r>
    </w:p>
    <w:p w14:paraId="789088CB" w14:textId="77777777" w:rsidR="086E6BFB" w:rsidRDefault="086E6BFB" w:rsidP="086E6BFB">
      <w:pPr>
        <w:pStyle w:val="Literatura"/>
      </w:pPr>
      <w:r>
        <w:t xml:space="preserve">‒ (1911): </w:t>
      </w:r>
      <w:r w:rsidRPr="00273106">
        <w:rPr>
          <w:i/>
        </w:rPr>
        <w:t>Siger de Brabant et l'averroïsme latin au XIII</w:t>
      </w:r>
      <w:r w:rsidRPr="08EA2633">
        <w:rPr>
          <w:i/>
          <w:vertAlign w:val="superscript"/>
        </w:rPr>
        <w:t>me</w:t>
      </w:r>
      <w:r w:rsidRPr="00273106">
        <w:rPr>
          <w:i/>
        </w:rPr>
        <w:t xml:space="preserve"> siècle. </w:t>
      </w:r>
      <w:r>
        <w:rPr>
          <w:i/>
        </w:rPr>
        <w:t xml:space="preserve">Tome 2. Étude </w:t>
      </w:r>
      <w:r w:rsidRPr="00273106">
        <w:rPr>
          <w:i/>
        </w:rPr>
        <w:t>critique</w:t>
      </w:r>
      <w:r w:rsidRPr="00273106">
        <w:t>.</w:t>
      </w:r>
      <w:r>
        <w:t xml:space="preserve"> Louvain: </w:t>
      </w:r>
      <w:r w:rsidRPr="00273106">
        <w:t xml:space="preserve">Institut </w:t>
      </w:r>
      <w:r>
        <w:tab/>
      </w:r>
      <w:r w:rsidRPr="00273106">
        <w:t>supérieur de p</w:t>
      </w:r>
      <w:r>
        <w:t>hilosophie de l'Université</w:t>
      </w:r>
      <w:r w:rsidRPr="00273106">
        <w:t>.</w:t>
      </w:r>
    </w:p>
    <w:p w14:paraId="5BDCC33D" w14:textId="77777777" w:rsidR="086E6BFB" w:rsidRPr="00C22DB9" w:rsidRDefault="086E6BFB" w:rsidP="086E6BFB">
      <w:pPr>
        <w:pStyle w:val="Literatura"/>
      </w:pPr>
      <w:r w:rsidRPr="00026C13">
        <w:rPr>
          <w:rStyle w:val="search-item"/>
        </w:rPr>
        <w:t>M</w:t>
      </w:r>
      <w:r>
        <w:rPr>
          <w:rStyle w:val="search-item"/>
        </w:rPr>
        <w:t>annheim</w:t>
      </w:r>
      <w:r w:rsidRPr="00026C13">
        <w:rPr>
          <w:rStyle w:val="search-item"/>
        </w:rPr>
        <w:t>, Karl</w:t>
      </w:r>
      <w:r>
        <w:rPr>
          <w:rStyle w:val="search-item"/>
        </w:rPr>
        <w:t xml:space="preserve"> (</w:t>
      </w:r>
      <w:r>
        <w:t>1995</w:t>
      </w:r>
      <w:r>
        <w:rPr>
          <w:rStyle w:val="search-item"/>
        </w:rPr>
        <w:t>)</w:t>
      </w:r>
      <w:r>
        <w:t xml:space="preserve">. </w:t>
      </w:r>
      <w:r w:rsidRPr="00C22DB9">
        <w:rPr>
          <w:i/>
        </w:rPr>
        <w:t>Ideologie und Utopie</w:t>
      </w:r>
      <w:r>
        <w:t xml:space="preserve">, </w:t>
      </w:r>
      <w:r w:rsidRPr="00C22DB9">
        <w:t xml:space="preserve">8. </w:t>
      </w:r>
      <w:r>
        <w:t>Auflage, Frankfurt am Main: Vittorio Klostermann.</w:t>
      </w:r>
    </w:p>
    <w:p w14:paraId="3F3ADFCA" w14:textId="77777777" w:rsidR="086E6BFB" w:rsidRPr="00273106" w:rsidRDefault="086E6BFB" w:rsidP="086E6BFB">
      <w:pPr>
        <w:pStyle w:val="Literatura"/>
      </w:pPr>
      <w:r w:rsidRPr="00273106">
        <w:t>Marazzi, Luca</w:t>
      </w:r>
      <w:r>
        <w:t xml:space="preserve"> (1990): </w:t>
      </w:r>
      <w:r w:rsidRPr="00A168B6">
        <w:rPr>
          <w:i/>
        </w:rPr>
        <w:t>Das iustum pretium im Tractatus de emptionibus et venditionibus des Petrus Ioannis Olivi</w:t>
      </w:r>
      <w:r w:rsidRPr="00273106">
        <w:t xml:space="preserve">. </w:t>
      </w:r>
      <w:r>
        <w:tab/>
      </w:r>
      <w:r w:rsidRPr="00273106">
        <w:t>Zürich: Zürcher Studi</w:t>
      </w:r>
      <w:r>
        <w:t>en zur Rechtsgeschichte 20</w:t>
      </w:r>
      <w:r w:rsidRPr="00273106">
        <w:t>.</w:t>
      </w:r>
    </w:p>
    <w:p w14:paraId="50A8200C" w14:textId="77777777" w:rsidR="086E6BFB" w:rsidRPr="00273106" w:rsidRDefault="086E6BFB" w:rsidP="086E6BFB">
      <w:pPr>
        <w:pStyle w:val="Literatura"/>
      </w:pPr>
      <w:r w:rsidRPr="00273106">
        <w:t>Marmura, Michael</w:t>
      </w:r>
      <w:r>
        <w:t xml:space="preserve"> (1986): "</w:t>
      </w:r>
      <w:r w:rsidRPr="00273106">
        <w:t>Avicenna’s 'Flying Man' in Context</w:t>
      </w:r>
      <w:r>
        <w:t>"</w:t>
      </w:r>
      <w:r w:rsidRPr="00273106">
        <w:t xml:space="preserve">. </w:t>
      </w:r>
      <w:r w:rsidRPr="00273106">
        <w:rPr>
          <w:i/>
        </w:rPr>
        <w:t>Monist</w:t>
      </w:r>
      <w:r>
        <w:t xml:space="preserve"> 69: 383‒3</w:t>
      </w:r>
      <w:r w:rsidRPr="00273106">
        <w:t>95.</w:t>
      </w:r>
    </w:p>
    <w:p w14:paraId="5CE25A21" w14:textId="77777777" w:rsidR="086E6BFB" w:rsidRPr="00273106" w:rsidRDefault="086E6BFB" w:rsidP="086E6BFB">
      <w:pPr>
        <w:pStyle w:val="Literatura"/>
      </w:pPr>
      <w:r w:rsidRPr="00273106">
        <w:t>Marrone, Steven</w:t>
      </w:r>
      <w:r>
        <w:t xml:space="preserve"> (1983):</w:t>
      </w:r>
      <w:r w:rsidRPr="00273106">
        <w:t xml:space="preserve"> </w:t>
      </w:r>
      <w:r w:rsidRPr="00273106">
        <w:rPr>
          <w:i/>
        </w:rPr>
        <w:t xml:space="preserve">William of Auvergne and Robert Grosseteste: New Ideas of Truth in the Early </w:t>
      </w:r>
      <w:r>
        <w:rPr>
          <w:i/>
        </w:rPr>
        <w:tab/>
      </w:r>
      <w:r w:rsidRPr="00273106">
        <w:rPr>
          <w:i/>
        </w:rPr>
        <w:t>Thirteenth Century</w:t>
      </w:r>
      <w:r>
        <w:t xml:space="preserve">. </w:t>
      </w:r>
      <w:r w:rsidRPr="00273106">
        <w:t>Pr</w:t>
      </w:r>
      <w:r>
        <w:t>inceton University Press</w:t>
      </w:r>
      <w:r w:rsidRPr="00273106">
        <w:t>.</w:t>
      </w:r>
    </w:p>
    <w:p w14:paraId="72A881CC" w14:textId="77777777" w:rsidR="086E6BFB" w:rsidRDefault="086E6BFB" w:rsidP="086E6BFB">
      <w:pPr>
        <w:pStyle w:val="Literatura"/>
      </w:pPr>
      <w:r>
        <w:t xml:space="preserve">Martin, Conor (1951). "Some Medieval Commentaries on Aristotle's Politics." </w:t>
      </w:r>
      <w:r>
        <w:rPr>
          <w:i/>
          <w:iCs/>
        </w:rPr>
        <w:t xml:space="preserve">History </w:t>
      </w:r>
      <w:r w:rsidRPr="08926E33">
        <w:rPr>
          <w:iCs/>
        </w:rPr>
        <w:t>36</w:t>
      </w:r>
      <w:r>
        <w:rPr>
          <w:i/>
          <w:iCs/>
        </w:rPr>
        <w:t xml:space="preserve"> </w:t>
      </w:r>
      <w:r>
        <w:t xml:space="preserve">(126/127), New Series, </w:t>
      </w:r>
      <w:r>
        <w:tab/>
        <w:t>pp. 29‒44.</w:t>
      </w:r>
    </w:p>
    <w:p w14:paraId="458858D5" w14:textId="77777777" w:rsidR="086E6BFB" w:rsidRPr="00273106" w:rsidRDefault="086E6BFB" w:rsidP="086E6BFB">
      <w:pPr>
        <w:pStyle w:val="Literatura"/>
      </w:pPr>
      <w:r w:rsidRPr="00273106">
        <w:t>Matsen, Herbert Stanley</w:t>
      </w:r>
      <w:r>
        <w:t xml:space="preserve"> (1974): </w:t>
      </w:r>
      <w:r w:rsidRPr="00273106">
        <w:rPr>
          <w:i/>
        </w:rPr>
        <w:t xml:space="preserve">Alessandro Achillini (1463‒1512) and His Doctrine of "universals" and </w:t>
      </w:r>
      <w:r>
        <w:rPr>
          <w:i/>
        </w:rPr>
        <w:tab/>
      </w:r>
      <w:r w:rsidRPr="00273106">
        <w:rPr>
          <w:i/>
        </w:rPr>
        <w:t>"transcendentals": A Study in Renaissance Ockhamism</w:t>
      </w:r>
      <w:r w:rsidRPr="00273106">
        <w:t>.</w:t>
      </w:r>
      <w:r>
        <w:t xml:space="preserve"> Bucknell University Press</w:t>
      </w:r>
      <w:r w:rsidRPr="00273106">
        <w:t>.</w:t>
      </w:r>
    </w:p>
    <w:p w14:paraId="1AC4C89C" w14:textId="77777777" w:rsidR="086E6BFB" w:rsidRPr="00273106" w:rsidRDefault="086E6BFB" w:rsidP="086E6BFB">
      <w:pPr>
        <w:pStyle w:val="Literatura"/>
      </w:pPr>
      <w:r w:rsidRPr="00C11D24">
        <w:rPr>
          <w:rStyle w:val="fn"/>
        </w:rPr>
        <w:t xml:space="preserve">Matthew of Orleans </w:t>
      </w:r>
      <w:r>
        <w:rPr>
          <w:rStyle w:val="Podtitul1"/>
        </w:rPr>
        <w:t>(2001</w:t>
      </w:r>
      <w:r w:rsidRPr="00273106">
        <w:rPr>
          <w:rStyle w:val="Podtitul1"/>
        </w:rPr>
        <w:t>)</w:t>
      </w:r>
      <w:r w:rsidRPr="00C11D24">
        <w:t>:</w:t>
      </w:r>
      <w:r w:rsidRPr="00273106">
        <w:rPr>
          <w:i/>
        </w:rPr>
        <w:t xml:space="preserve"> </w:t>
      </w:r>
      <w:r w:rsidRPr="00C11D24">
        <w:rPr>
          <w:rStyle w:val="fn"/>
          <w:i/>
        </w:rPr>
        <w:t>Matthew of Orleans</w:t>
      </w:r>
      <w:r>
        <w:rPr>
          <w:rStyle w:val="fn"/>
        </w:rPr>
        <w:t xml:space="preserve">: </w:t>
      </w:r>
      <w:r w:rsidRPr="00273106">
        <w:rPr>
          <w:rStyle w:val="Podtitul1"/>
          <w:i/>
        </w:rPr>
        <w:t xml:space="preserve">Sophistaria Sive Communium Distinctionum Circa Sophismata </w:t>
      </w:r>
      <w:r>
        <w:rPr>
          <w:rStyle w:val="Podtitul1"/>
          <w:i/>
        </w:rPr>
        <w:tab/>
      </w:r>
      <w:r w:rsidRPr="00273106">
        <w:rPr>
          <w:rStyle w:val="Podtitul1"/>
          <w:i/>
        </w:rPr>
        <w:t>Accidentium</w:t>
      </w:r>
      <w:r>
        <w:rPr>
          <w:rStyle w:val="Podtitul1"/>
        </w:rPr>
        <w:t>. Edited by Joke Spruyt, Leiden</w:t>
      </w:r>
      <w:r w:rsidRPr="00273106">
        <w:rPr>
          <w:rStyle w:val="Podtitul1"/>
        </w:rPr>
        <w:t>.</w:t>
      </w:r>
    </w:p>
    <w:p w14:paraId="0A50CB5D" w14:textId="77777777" w:rsidR="086E6BFB" w:rsidRPr="00273106" w:rsidRDefault="086E6BFB" w:rsidP="086E6BFB">
      <w:pPr>
        <w:pStyle w:val="Literatura"/>
        <w:rPr>
          <w:rStyle w:val="reference-text"/>
        </w:rPr>
      </w:pPr>
      <w:r w:rsidRPr="00273106">
        <w:rPr>
          <w:rStyle w:val="reference-text"/>
        </w:rPr>
        <w:t>McCombs, E. Maxwell</w:t>
      </w:r>
      <w:r>
        <w:rPr>
          <w:rStyle w:val="reference-text"/>
        </w:rPr>
        <w:t xml:space="preserve">, and </w:t>
      </w:r>
      <w:r w:rsidRPr="00273106">
        <w:rPr>
          <w:rStyle w:val="reference-text"/>
        </w:rPr>
        <w:t xml:space="preserve">Donald </w:t>
      </w:r>
      <w:r>
        <w:rPr>
          <w:rStyle w:val="reference-text"/>
        </w:rPr>
        <w:t>L. Shaw (1972): "</w:t>
      </w:r>
      <w:r w:rsidRPr="00273106">
        <w:rPr>
          <w:rStyle w:val="reference-text"/>
        </w:rPr>
        <w:t>The Agenda-Setting Function of Mass Media</w:t>
      </w:r>
      <w:r>
        <w:rPr>
          <w:rStyle w:val="reference-text"/>
        </w:rPr>
        <w:t>"</w:t>
      </w:r>
      <w:r w:rsidRPr="00273106">
        <w:rPr>
          <w:rStyle w:val="reference-text"/>
        </w:rPr>
        <w:t xml:space="preserve">. </w:t>
      </w:r>
      <w:r w:rsidRPr="00273106">
        <w:rPr>
          <w:rStyle w:val="reference-text"/>
          <w:i/>
        </w:rPr>
        <w:t xml:space="preserve">Public </w:t>
      </w:r>
      <w:r>
        <w:rPr>
          <w:rStyle w:val="reference-text"/>
          <w:i/>
        </w:rPr>
        <w:tab/>
      </w:r>
      <w:r w:rsidRPr="00273106">
        <w:rPr>
          <w:rStyle w:val="reference-text"/>
          <w:i/>
        </w:rPr>
        <w:t>Opinion Quarterly</w:t>
      </w:r>
      <w:r>
        <w:rPr>
          <w:rStyle w:val="reference-text"/>
        </w:rPr>
        <w:t xml:space="preserve"> 36</w:t>
      </w:r>
      <w:r w:rsidRPr="00273106">
        <w:rPr>
          <w:rStyle w:val="reference-text"/>
        </w:rPr>
        <w:t>:</w:t>
      </w:r>
      <w:r>
        <w:rPr>
          <w:rStyle w:val="reference-text"/>
        </w:rPr>
        <w:t xml:space="preserve"> </w:t>
      </w:r>
      <w:r w:rsidRPr="00273106">
        <w:rPr>
          <w:rStyle w:val="reference-text"/>
        </w:rPr>
        <w:t>176‒187.</w:t>
      </w:r>
    </w:p>
    <w:p w14:paraId="58965539" w14:textId="77777777" w:rsidR="086E6BFB" w:rsidRDefault="086E6BFB" w:rsidP="086E6BFB">
      <w:pPr>
        <w:pStyle w:val="Literatura"/>
      </w:pPr>
      <w:r w:rsidRPr="00273106">
        <w:t>McEvoy, James</w:t>
      </w:r>
      <w:r>
        <w:t xml:space="preserve"> (1977): "</w:t>
      </w:r>
      <w:r w:rsidRPr="00273106">
        <w:rPr>
          <w:szCs w:val="36"/>
        </w:rPr>
        <w:t>La connaissance individuelle selon Robert Grosseteste</w:t>
      </w:r>
      <w:r>
        <w:rPr>
          <w:szCs w:val="36"/>
        </w:rPr>
        <w:t>"</w:t>
      </w:r>
      <w:r w:rsidRPr="00273106">
        <w:rPr>
          <w:szCs w:val="36"/>
        </w:rPr>
        <w:t xml:space="preserve">. </w:t>
      </w:r>
      <w:r w:rsidRPr="00273106">
        <w:rPr>
          <w:i/>
        </w:rPr>
        <w:t xml:space="preserve">Revue Philosophique de </w:t>
      </w:r>
      <w:r>
        <w:rPr>
          <w:i/>
        </w:rPr>
        <w:tab/>
      </w:r>
      <w:r w:rsidRPr="00273106">
        <w:rPr>
          <w:i/>
        </w:rPr>
        <w:t>Louvain</w:t>
      </w:r>
      <w:r>
        <w:t xml:space="preserve"> 75: 5‒</w:t>
      </w:r>
      <w:r w:rsidRPr="00273106">
        <w:t>48.</w:t>
      </w:r>
    </w:p>
    <w:p w14:paraId="1A504C84" w14:textId="77777777" w:rsidR="086E6BFB" w:rsidRDefault="086E6BFB" w:rsidP="086E6BFB">
      <w:pPr>
        <w:pStyle w:val="Literatura"/>
      </w:pPr>
      <w:r>
        <w:t xml:space="preserve">‒ (2000): </w:t>
      </w:r>
      <w:r w:rsidRPr="00273106">
        <w:rPr>
          <w:i/>
        </w:rPr>
        <w:t>Robert Grosseteste</w:t>
      </w:r>
      <w:r w:rsidRPr="00273106">
        <w:t>. G</w:t>
      </w:r>
      <w:r>
        <w:t>reat Medieval Thinkers. Oxford University Press</w:t>
      </w:r>
      <w:r w:rsidRPr="00273106">
        <w:t>.</w:t>
      </w:r>
    </w:p>
    <w:p w14:paraId="15943182" w14:textId="77777777" w:rsidR="086E6BFB" w:rsidRDefault="086E6BFB" w:rsidP="086E6BFB">
      <w:pPr>
        <w:pStyle w:val="Literatura"/>
        <w:rPr>
          <w:rStyle w:val="fn"/>
        </w:rPr>
      </w:pPr>
      <w:r w:rsidRPr="00273106">
        <w:t>McInerny, Ralph</w:t>
      </w:r>
      <w:r>
        <w:t xml:space="preserve"> (1990)</w:t>
      </w:r>
      <w:r w:rsidRPr="00273106">
        <w:t xml:space="preserve">. </w:t>
      </w:r>
      <w:r w:rsidRPr="00273106">
        <w:rPr>
          <w:rStyle w:val="fn"/>
          <w:i/>
        </w:rPr>
        <w:t>Boethius and Aquinas</w:t>
      </w:r>
      <w:r w:rsidRPr="00273106">
        <w:rPr>
          <w:rStyle w:val="fn"/>
        </w:rPr>
        <w:t>. Washington, D.C.: The Catholic University of Ameri</w:t>
      </w:r>
      <w:r>
        <w:rPr>
          <w:rStyle w:val="fn"/>
        </w:rPr>
        <w:t>ca Press</w:t>
      </w:r>
      <w:r w:rsidRPr="00273106">
        <w:rPr>
          <w:rStyle w:val="fn"/>
        </w:rPr>
        <w:t>.</w:t>
      </w:r>
    </w:p>
    <w:p w14:paraId="713BFBA0" w14:textId="77777777" w:rsidR="086E6BFB" w:rsidRDefault="086E6BFB" w:rsidP="086E6BFB">
      <w:pPr>
        <w:pStyle w:val="Literatura"/>
      </w:pPr>
      <w:r>
        <w:t>Meinong, Alexius (1899): "</w:t>
      </w:r>
      <w:r w:rsidRPr="00E76E06">
        <w:t xml:space="preserve">Über Gegenstände höherer Ordnung und deren Verhältnis zur inneren </w:t>
      </w:r>
      <w:r>
        <w:tab/>
      </w:r>
      <w:r w:rsidRPr="00E76E06">
        <w:t>Wahrnehmung</w:t>
      </w:r>
      <w:r>
        <w:t xml:space="preserve">". </w:t>
      </w:r>
      <w:r w:rsidRPr="0088456A">
        <w:rPr>
          <w:i/>
        </w:rPr>
        <w:t>Zeitschrift f</w:t>
      </w:r>
      <w:r>
        <w:rPr>
          <w:i/>
        </w:rPr>
        <w:t>ür Psychologie Und Physiologie d</w:t>
      </w:r>
      <w:r w:rsidRPr="0088456A">
        <w:rPr>
          <w:i/>
        </w:rPr>
        <w:t>er Sinnesorgane</w:t>
      </w:r>
      <w:r>
        <w:t xml:space="preserve"> 21: 182‒</w:t>
      </w:r>
      <w:r w:rsidRPr="00E76E06">
        <w:t>272</w:t>
      </w:r>
      <w:r>
        <w:t>.</w:t>
      </w:r>
    </w:p>
    <w:p w14:paraId="25311A32" w14:textId="77777777" w:rsidR="086E6BFB" w:rsidRDefault="086E6BFB" w:rsidP="086E6BFB">
      <w:pPr>
        <w:pStyle w:val="Literatura"/>
      </w:pPr>
      <w:r>
        <w:t>Menn, Stephen (2008): "</w:t>
      </w:r>
      <w:r w:rsidRPr="00273106">
        <w:rPr>
          <w:rStyle w:val="TextpoznpodarouChar"/>
        </w:rPr>
        <w:t xml:space="preserve">Alfārābī's </w:t>
      </w:r>
      <w:r w:rsidRPr="00273106">
        <w:rPr>
          <w:rStyle w:val="Zvraznn"/>
          <w:i w:val="0"/>
        </w:rPr>
        <w:t>Kit</w:t>
      </w:r>
      <w:r w:rsidRPr="00273106">
        <w:rPr>
          <w:rStyle w:val="TextpoznpodarouChar"/>
        </w:rPr>
        <w:t>āb</w:t>
      </w:r>
      <w:r w:rsidRPr="00273106">
        <w:rPr>
          <w:rStyle w:val="Zvraznn"/>
        </w:rPr>
        <w:t xml:space="preserve"> </w:t>
      </w:r>
      <w:r w:rsidRPr="00273106">
        <w:rPr>
          <w:rStyle w:val="Zvraznn"/>
          <w:i w:val="0"/>
        </w:rPr>
        <w:t>Al-Ḥurūf</w:t>
      </w:r>
      <w:r w:rsidRPr="00273106">
        <w:rPr>
          <w:i/>
        </w:rPr>
        <w:t xml:space="preserve"> </w:t>
      </w:r>
      <w:r w:rsidRPr="00273106">
        <w:t>and his</w:t>
      </w:r>
      <w:r w:rsidRPr="00273106">
        <w:rPr>
          <w:i/>
        </w:rPr>
        <w:t xml:space="preserve"> </w:t>
      </w:r>
      <w:r w:rsidRPr="00273106">
        <w:t>Analysis of the Senses of Being</w:t>
      </w:r>
      <w:r>
        <w:t>"</w:t>
      </w:r>
      <w:r w:rsidRPr="00273106">
        <w:t xml:space="preserve">. </w:t>
      </w:r>
      <w:r w:rsidRPr="00273106">
        <w:rPr>
          <w:i/>
        </w:rPr>
        <w:t xml:space="preserve">Arabic Sciences and </w:t>
      </w:r>
      <w:r>
        <w:rPr>
          <w:i/>
        </w:rPr>
        <w:tab/>
      </w:r>
      <w:r w:rsidRPr="00273106">
        <w:rPr>
          <w:i/>
        </w:rPr>
        <w:t>Philosophy</w:t>
      </w:r>
      <w:r w:rsidRPr="00273106">
        <w:rPr>
          <w:rFonts w:ascii="CenturySchbookMT" w:hAnsi="CenturySchbookMT" w:cs="CenturySchbookMT"/>
        </w:rPr>
        <w:t xml:space="preserve"> </w:t>
      </w:r>
      <w:r>
        <w:t xml:space="preserve">18, </w:t>
      </w:r>
      <w:r w:rsidRPr="00273106">
        <w:t>59–97.</w:t>
      </w:r>
    </w:p>
    <w:p w14:paraId="67C6A762" w14:textId="77777777" w:rsidR="086E6BFB" w:rsidRDefault="086E6BFB" w:rsidP="086E6BFB">
      <w:pPr>
        <w:pStyle w:val="Literatura"/>
      </w:pPr>
      <w:r>
        <w:t>‒ (2012): "</w:t>
      </w:r>
      <w:r w:rsidRPr="00273106">
        <w:rPr>
          <w:rStyle w:val="TextpoznpodarouChar"/>
        </w:rPr>
        <w:t>Fārābī in the Reception of Avicenna's Metaphysics: Averroes against Avicenna on Being and Unity</w:t>
      </w:r>
      <w:r>
        <w:t xml:space="preserve">". </w:t>
      </w:r>
      <w:r>
        <w:tab/>
      </w:r>
      <w:r w:rsidRPr="00273106">
        <w:rPr>
          <w:i/>
        </w:rPr>
        <w:t>The Arabic, Hebrew and Latin Reception of Avicenna's Metaphysics</w:t>
      </w:r>
      <w:r>
        <w:rPr>
          <w:i/>
        </w:rPr>
        <w:t>,</w:t>
      </w:r>
      <w:r>
        <w:t xml:space="preserve"> </w:t>
      </w:r>
      <w:r>
        <w:rPr>
          <w:rStyle w:val="TextpoznpodarouChar"/>
        </w:rPr>
        <w:t xml:space="preserve">edited by </w:t>
      </w:r>
      <w:r w:rsidRPr="00273106">
        <w:t xml:space="preserve">Dag Nikolaus </w:t>
      </w:r>
      <w:r>
        <w:t xml:space="preserve">Hasse and </w:t>
      </w:r>
      <w:r>
        <w:tab/>
        <w:t xml:space="preserve">Amos </w:t>
      </w:r>
      <w:r w:rsidRPr="00273106">
        <w:t>Bertolacci</w:t>
      </w:r>
      <w:r>
        <w:t xml:space="preserve">, </w:t>
      </w:r>
      <w:r w:rsidRPr="00273106">
        <w:t xml:space="preserve">Scientia Graeco-Arabica 7. </w:t>
      </w:r>
      <w:r>
        <w:t xml:space="preserve">Berlin: Walter de Gruyter, pp. </w:t>
      </w:r>
      <w:r w:rsidRPr="00273106">
        <w:t>52–96.</w:t>
      </w:r>
    </w:p>
    <w:p w14:paraId="4B1055C9" w14:textId="77777777" w:rsidR="086E6BFB" w:rsidRPr="00273106" w:rsidRDefault="086E6BFB" w:rsidP="086E6BFB">
      <w:pPr>
        <w:pStyle w:val="Literatura"/>
      </w:pPr>
      <w:r>
        <w:t>‒ (2013): "</w:t>
      </w:r>
      <w:r w:rsidRPr="00273106">
        <w:t>Avicenna's Metaphysics</w:t>
      </w:r>
      <w:r>
        <w:t xml:space="preserve">". </w:t>
      </w:r>
      <w:r w:rsidRPr="00273106">
        <w:rPr>
          <w:i/>
        </w:rPr>
        <w:t>Interpreting Avicenna</w:t>
      </w:r>
      <w:r>
        <w:rPr>
          <w:i/>
        </w:rPr>
        <w:t>. Critical essays</w:t>
      </w:r>
      <w:r>
        <w:t>, edited by Petr  Adamson</w:t>
      </w:r>
      <w:r w:rsidRPr="00273106">
        <w:t>,</w:t>
      </w:r>
      <w:r>
        <w:t xml:space="preserve"> </w:t>
      </w:r>
      <w:r w:rsidRPr="00273106">
        <w:t xml:space="preserve">Cambridge </w:t>
      </w:r>
      <w:r>
        <w:rPr>
          <w:i/>
        </w:rPr>
        <w:tab/>
      </w:r>
      <w:r w:rsidRPr="00273106">
        <w:t>University Press, pp. 143–169.</w:t>
      </w:r>
    </w:p>
    <w:p w14:paraId="4CB7CB2C" w14:textId="77777777" w:rsidR="086E6BFB" w:rsidRPr="00273106" w:rsidRDefault="086E6BFB" w:rsidP="086E6BFB">
      <w:pPr>
        <w:pStyle w:val="Literatura"/>
        <w:rPr>
          <w:rStyle w:val="TextpoznpodarouChar"/>
        </w:rPr>
      </w:pPr>
      <w:r w:rsidRPr="00273106">
        <w:rPr>
          <w:szCs w:val="21"/>
        </w:rPr>
        <w:t>Mews, Constant</w:t>
      </w:r>
      <w:r>
        <w:rPr>
          <w:szCs w:val="21"/>
        </w:rPr>
        <w:t xml:space="preserve"> (1992): "</w:t>
      </w:r>
      <w:r w:rsidRPr="00273106">
        <w:rPr>
          <w:szCs w:val="21"/>
        </w:rPr>
        <w:t>Nominalism and Theology before Abaelard: New Light on Roscelin of Compiègne</w:t>
      </w:r>
      <w:r>
        <w:rPr>
          <w:szCs w:val="21"/>
        </w:rPr>
        <w:t>"</w:t>
      </w:r>
      <w:r w:rsidRPr="00273106">
        <w:rPr>
          <w:szCs w:val="21"/>
        </w:rPr>
        <w:t xml:space="preserve">. </w:t>
      </w:r>
      <w:r>
        <w:rPr>
          <w:szCs w:val="21"/>
        </w:rPr>
        <w:tab/>
      </w:r>
      <w:r w:rsidRPr="00273106">
        <w:rPr>
          <w:i/>
          <w:szCs w:val="21"/>
        </w:rPr>
        <w:t>Vivarium</w:t>
      </w:r>
      <w:r w:rsidRPr="00273106">
        <w:rPr>
          <w:szCs w:val="21"/>
        </w:rPr>
        <w:t xml:space="preserve"> </w:t>
      </w:r>
      <w:r>
        <w:rPr>
          <w:szCs w:val="21"/>
        </w:rPr>
        <w:t>30/1</w:t>
      </w:r>
      <w:r w:rsidRPr="00273106">
        <w:rPr>
          <w:szCs w:val="21"/>
        </w:rPr>
        <w:t>:</w:t>
      </w:r>
      <w:r>
        <w:rPr>
          <w:szCs w:val="21"/>
        </w:rPr>
        <w:t xml:space="preserve"> </w:t>
      </w:r>
      <w:r w:rsidRPr="00273106">
        <w:rPr>
          <w:szCs w:val="21"/>
        </w:rPr>
        <w:t>4‒33.</w:t>
      </w:r>
    </w:p>
    <w:p w14:paraId="41FA37F1" w14:textId="77777777" w:rsidR="086E6BFB" w:rsidRPr="00273106" w:rsidRDefault="086E6BFB" w:rsidP="086E6BFB">
      <w:pPr>
        <w:pStyle w:val="Literatura"/>
      </w:pPr>
      <w:r w:rsidRPr="00273106">
        <w:t>Mora-Márquez, Ana María</w:t>
      </w:r>
      <w:r>
        <w:t xml:space="preserve"> (2011):</w:t>
      </w:r>
      <w:r w:rsidRPr="00273106">
        <w:t xml:space="preserve"> </w:t>
      </w:r>
      <w:r>
        <w:t>"</w:t>
      </w:r>
      <w:r w:rsidRPr="00273106">
        <w:rPr>
          <w:rStyle w:val="sstitre"/>
        </w:rPr>
        <w:t xml:space="preserve">Histoire d’une rupture de la tradition interprétative dans le bas Moyen </w:t>
      </w:r>
      <w:r>
        <w:rPr>
          <w:rStyle w:val="sstitre"/>
        </w:rPr>
        <w:tab/>
      </w:r>
      <w:r w:rsidRPr="00273106">
        <w:rPr>
          <w:rStyle w:val="sstitre"/>
        </w:rPr>
        <w:t>Âge</w:t>
      </w:r>
      <w:r>
        <w:rPr>
          <w:rStyle w:val="sstitre"/>
        </w:rPr>
        <w:t>"</w:t>
      </w:r>
      <w:r w:rsidRPr="00273106">
        <w:rPr>
          <w:rStyle w:val="sstitre"/>
        </w:rPr>
        <w:t xml:space="preserve">. </w:t>
      </w:r>
      <w:r w:rsidRPr="00273106">
        <w:rPr>
          <w:i/>
        </w:rPr>
        <w:t>Revue philosophique de la France et de l'étranger</w:t>
      </w:r>
      <w:r>
        <w:t xml:space="preserve"> 136</w:t>
      </w:r>
      <w:r w:rsidRPr="00273106">
        <w:t>/1):</w:t>
      </w:r>
      <w:r>
        <w:t xml:space="preserve"> 67‒</w:t>
      </w:r>
      <w:r w:rsidRPr="00273106">
        <w:t xml:space="preserve">84. </w:t>
      </w:r>
    </w:p>
    <w:p w14:paraId="3740F40A" w14:textId="77777777" w:rsidR="086E6BFB" w:rsidRDefault="086E6BFB" w:rsidP="086E6BFB">
      <w:pPr>
        <w:pStyle w:val="Literatura"/>
      </w:pPr>
      <w:r>
        <w:t>Newton, A. Loyd (2008</w:t>
      </w:r>
      <w:r w:rsidRPr="00273106">
        <w:t>)</w:t>
      </w:r>
      <w:r>
        <w:t>:</w:t>
      </w:r>
      <w:r w:rsidRPr="00273106">
        <w:t xml:space="preserve"> </w:t>
      </w:r>
      <w:r w:rsidRPr="00273106">
        <w:rPr>
          <w:rStyle w:val="fn"/>
          <w:i/>
        </w:rPr>
        <w:t>Medieval Commentaries on Aristotle's Categories</w:t>
      </w:r>
      <w:r w:rsidRPr="00273106">
        <w:rPr>
          <w:rStyle w:val="fn"/>
        </w:rPr>
        <w:t xml:space="preserve">. Leuven: </w:t>
      </w:r>
      <w:r>
        <w:t>Brill</w:t>
      </w:r>
      <w:r w:rsidRPr="00273106">
        <w:t>.</w:t>
      </w:r>
    </w:p>
    <w:p w14:paraId="51DEF527" w14:textId="77777777" w:rsidR="086E6BFB" w:rsidRPr="00273106" w:rsidRDefault="086E6BFB" w:rsidP="086E6BFB">
      <w:pPr>
        <w:pStyle w:val="Literatura"/>
      </w:pPr>
      <w:r w:rsidRPr="081650AF">
        <w:t xml:space="preserve">Newton, Isaac (1871): </w:t>
      </w:r>
      <w:r w:rsidRPr="081650AF">
        <w:rPr>
          <w:i/>
        </w:rPr>
        <w:t>Philosophiae naturalis principia mathematica. Au</w:t>
      </w:r>
      <w:r>
        <w:rPr>
          <w:i/>
        </w:rPr>
        <w:t>ctore Isaaco Newtono, eq. aur. E</w:t>
      </w:r>
      <w:r w:rsidRPr="081650AF">
        <w:rPr>
          <w:i/>
        </w:rPr>
        <w:t xml:space="preserve">ditio </w:t>
      </w:r>
      <w:r>
        <w:rPr>
          <w:i/>
        </w:rPr>
        <w:tab/>
      </w:r>
      <w:r w:rsidRPr="081650AF">
        <w:rPr>
          <w:i/>
        </w:rPr>
        <w:t>tertia aucta &amp; emendata</w:t>
      </w:r>
      <w:r w:rsidRPr="081650AF">
        <w:t>. Glasgow: J. Maclehose.</w:t>
      </w:r>
    </w:p>
    <w:p w14:paraId="716FCAFB" w14:textId="77777777" w:rsidR="086E6BFB" w:rsidRPr="00273106" w:rsidRDefault="086E6BFB" w:rsidP="086E6BFB">
      <w:pPr>
        <w:pStyle w:val="Literatura"/>
      </w:pPr>
      <w:r w:rsidRPr="00273106">
        <w:t>Nielsen, Lauge Olaf</w:t>
      </w:r>
      <w:r>
        <w:t xml:space="preserve"> (1989): </w:t>
      </w:r>
      <w:r w:rsidRPr="002C3C95">
        <w:rPr>
          <w:i/>
        </w:rPr>
        <w:t xml:space="preserve">Theology and Philosophy in the Twelfth Century: A Study of Gilbert Porreta's </w:t>
      </w:r>
      <w:r>
        <w:rPr>
          <w:i/>
        </w:rPr>
        <w:tab/>
      </w:r>
      <w:r w:rsidRPr="002C3C95">
        <w:rPr>
          <w:rStyle w:val="a-size-large"/>
          <w:i/>
        </w:rPr>
        <w:t>Thinking and the Theological Expositions of the Doctrine of the Incarna</w:t>
      </w:r>
      <w:r>
        <w:rPr>
          <w:rStyle w:val="a-size-large"/>
          <w:i/>
        </w:rPr>
        <w:t>tion</w:t>
      </w:r>
      <w:r w:rsidRPr="00273106">
        <w:rPr>
          <w:rStyle w:val="a-size-large"/>
        </w:rPr>
        <w:t xml:space="preserve">. Copenhagen: Acta </w:t>
      </w:r>
      <w:r>
        <w:rPr>
          <w:i/>
        </w:rPr>
        <w:tab/>
      </w:r>
      <w:r>
        <w:rPr>
          <w:rStyle w:val="a-size-large"/>
        </w:rPr>
        <w:t>Theologica Danica 15</w:t>
      </w:r>
      <w:r w:rsidRPr="00273106">
        <w:rPr>
          <w:rStyle w:val="a-size-large"/>
        </w:rPr>
        <w:t xml:space="preserve">. </w:t>
      </w:r>
    </w:p>
    <w:p w14:paraId="68CAFC03" w14:textId="77777777" w:rsidR="086E6BFB" w:rsidRDefault="086E6BFB" w:rsidP="086E6BFB">
      <w:pPr>
        <w:pStyle w:val="Literatura"/>
      </w:pPr>
      <w:r w:rsidRPr="00273106">
        <w:t>Nietzsche, Friedrich</w:t>
      </w:r>
      <w:r>
        <w:t xml:space="preserve"> (1980):</w:t>
      </w:r>
      <w:r w:rsidRPr="00273106">
        <w:rPr>
          <w:i/>
          <w:iCs/>
        </w:rPr>
        <w:t xml:space="preserve"> </w:t>
      </w:r>
      <w:r w:rsidRPr="007E6441">
        <w:rPr>
          <w:i/>
        </w:rPr>
        <w:t>Sämtliche Werke. Kritische Studienausgabe in 15 Bänden</w:t>
      </w:r>
      <w:r>
        <w:t xml:space="preserve">. München und New York: </w:t>
      </w:r>
      <w:r>
        <w:tab/>
        <w:t>Edited by Giorgio Colli and Mazzino Montinari.</w:t>
      </w:r>
    </w:p>
    <w:p w14:paraId="4E32F09B" w14:textId="77777777" w:rsidR="086E6BFB" w:rsidRDefault="086E6BFB" w:rsidP="086E6BFB">
      <w:pPr>
        <w:pStyle w:val="Literatura"/>
      </w:pPr>
      <w:r>
        <w:rPr>
          <w:szCs w:val="18"/>
        </w:rPr>
        <w:t xml:space="preserve">Nifo, Agostino (1559): </w:t>
      </w:r>
      <w:r w:rsidRPr="00504B9B">
        <w:rPr>
          <w:i/>
        </w:rPr>
        <w:t xml:space="preserve">Expositio subtilissima </w:t>
      </w:r>
      <w:r>
        <w:rPr>
          <w:i/>
        </w:rPr>
        <w:t xml:space="preserve">in tres </w:t>
      </w:r>
      <w:r w:rsidRPr="00504B9B">
        <w:rPr>
          <w:i/>
        </w:rPr>
        <w:t>libros Aristotelis de anima</w:t>
      </w:r>
      <w:r>
        <w:rPr>
          <w:i/>
        </w:rPr>
        <w:t xml:space="preserve">. </w:t>
      </w:r>
      <w:r>
        <w:t>Venezia.</w:t>
      </w:r>
    </w:p>
    <w:p w14:paraId="13454B45" w14:textId="77777777" w:rsidR="086E6BFB" w:rsidRPr="00273106" w:rsidRDefault="086E6BFB" w:rsidP="086E6BFB">
      <w:pPr>
        <w:pStyle w:val="Literatura"/>
      </w:pPr>
      <w:r w:rsidRPr="00273106">
        <w:t>Nogales, S. Gomes</w:t>
      </w:r>
      <w:r>
        <w:t xml:space="preserve"> (1976): "</w:t>
      </w:r>
      <w:r w:rsidRPr="00273106">
        <w:t>Saint Thomas, Averroès et l'averroïsme</w:t>
      </w:r>
      <w:r>
        <w:t xml:space="preserve">". </w:t>
      </w:r>
      <w:r w:rsidRPr="00273106">
        <w:rPr>
          <w:i/>
        </w:rPr>
        <w:t>Aquinas and Problems of his Time</w:t>
      </w:r>
      <w:r w:rsidRPr="002C3C95">
        <w:t xml:space="preserve">, edited </w:t>
      </w:r>
      <w:r>
        <w:tab/>
      </w:r>
      <w:r w:rsidRPr="002C3C95">
        <w:t xml:space="preserve">by </w:t>
      </w:r>
      <w:r w:rsidRPr="00273106">
        <w:t>G. Verbeke</w:t>
      </w:r>
      <w:r>
        <w:t>, and D. Verhelst, Leuven</w:t>
      </w:r>
      <w:r w:rsidRPr="00273106">
        <w:t>, pp. 161–177.</w:t>
      </w:r>
    </w:p>
    <w:p w14:paraId="64654B30" w14:textId="77777777" w:rsidR="086E6BFB" w:rsidRDefault="086E6BFB" w:rsidP="086E6BFB">
      <w:pPr>
        <w:pStyle w:val="Literatura"/>
      </w:pPr>
      <w:r w:rsidRPr="009B6045">
        <w:t>Noone</w:t>
      </w:r>
      <w:r>
        <w:t>, B. Timothy (1992). "</w:t>
      </w:r>
      <w:r w:rsidRPr="00273106">
        <w:t xml:space="preserve">Albert the Great on the Subject of Metaphysics and Demonstrating the Existence of </w:t>
      </w:r>
      <w:r>
        <w:tab/>
      </w:r>
      <w:r w:rsidRPr="00273106">
        <w:t>God</w:t>
      </w:r>
      <w:r>
        <w:t xml:space="preserve">". </w:t>
      </w:r>
      <w:r w:rsidRPr="00273106">
        <w:rPr>
          <w:i/>
        </w:rPr>
        <w:t>Medieval Philosophy and Theology</w:t>
      </w:r>
      <w:r>
        <w:t xml:space="preserve"> 2</w:t>
      </w:r>
      <w:r w:rsidRPr="00273106">
        <w:t>: 31–52.</w:t>
      </w:r>
    </w:p>
    <w:p w14:paraId="1D026853" w14:textId="77777777" w:rsidR="086E6BFB" w:rsidRPr="00273106" w:rsidRDefault="086E6BFB" w:rsidP="086E6BFB">
      <w:pPr>
        <w:pStyle w:val="Literatura"/>
      </w:pPr>
      <w:r>
        <w:t>‒ (1997): "</w:t>
      </w:r>
      <w:r w:rsidRPr="00273106">
        <w:t xml:space="preserve">Roger Bacon and Richard Rufus on Aristotle's Metaphysics: A Search for the Grounds of </w:t>
      </w:r>
      <w:r>
        <w:tab/>
      </w:r>
      <w:r w:rsidRPr="00273106">
        <w:t>Disagreement</w:t>
      </w:r>
      <w:r>
        <w:t xml:space="preserve">". </w:t>
      </w:r>
      <w:r w:rsidRPr="00273106">
        <w:rPr>
          <w:i/>
        </w:rPr>
        <w:t>Vivarium</w:t>
      </w:r>
      <w:r>
        <w:t xml:space="preserve"> 35/2: 251‒</w:t>
      </w:r>
      <w:r w:rsidRPr="00273106">
        <w:t>265.</w:t>
      </w:r>
    </w:p>
    <w:p w14:paraId="0069039C" w14:textId="1B29254A" w:rsidR="086E6BFB" w:rsidRPr="00273106" w:rsidRDefault="086E6BFB" w:rsidP="086E6BFB">
      <w:pPr>
        <w:pStyle w:val="Literatura"/>
        <w:rPr>
          <w:szCs w:val="22"/>
        </w:rPr>
      </w:pPr>
      <w:r>
        <w:rPr>
          <w:szCs w:val="22"/>
        </w:rPr>
        <w:t xml:space="preserve">Normore, </w:t>
      </w:r>
      <w:r w:rsidRPr="00273106">
        <w:rPr>
          <w:szCs w:val="22"/>
        </w:rPr>
        <w:t xml:space="preserve">G. </w:t>
      </w:r>
      <w:r>
        <w:rPr>
          <w:szCs w:val="22"/>
        </w:rPr>
        <w:t>Calvin (1992): "</w:t>
      </w:r>
      <w:r w:rsidR="00CB3E4F">
        <w:rPr>
          <w:szCs w:val="22"/>
        </w:rPr>
        <w:t>Abélard</w:t>
      </w:r>
      <w:r w:rsidRPr="00273106">
        <w:rPr>
          <w:szCs w:val="22"/>
        </w:rPr>
        <w:t xml:space="preserve"> and the School of the Nominales</w:t>
      </w:r>
      <w:r>
        <w:rPr>
          <w:szCs w:val="22"/>
        </w:rPr>
        <w:t>"</w:t>
      </w:r>
      <w:r w:rsidRPr="00273106">
        <w:rPr>
          <w:szCs w:val="22"/>
        </w:rPr>
        <w:t xml:space="preserve">. </w:t>
      </w:r>
      <w:r w:rsidRPr="00273106">
        <w:rPr>
          <w:i/>
          <w:szCs w:val="22"/>
        </w:rPr>
        <w:t>Vivarium</w:t>
      </w:r>
      <w:r>
        <w:rPr>
          <w:szCs w:val="22"/>
        </w:rPr>
        <w:t xml:space="preserve"> </w:t>
      </w:r>
      <w:r w:rsidRPr="00273106">
        <w:rPr>
          <w:szCs w:val="22"/>
        </w:rPr>
        <w:t>30</w:t>
      </w:r>
      <w:r>
        <w:rPr>
          <w:szCs w:val="22"/>
        </w:rPr>
        <w:t>/1: 80‒</w:t>
      </w:r>
      <w:r w:rsidRPr="00273106">
        <w:rPr>
          <w:szCs w:val="22"/>
        </w:rPr>
        <w:t>96.</w:t>
      </w:r>
    </w:p>
    <w:p w14:paraId="57BC27C6" w14:textId="77777777" w:rsidR="086E6BFB" w:rsidRDefault="086E6BFB" w:rsidP="086E6BFB">
      <w:pPr>
        <w:pStyle w:val="Literatura"/>
        <w:rPr>
          <w:szCs w:val="18"/>
        </w:rPr>
      </w:pPr>
      <w:r>
        <w:t xml:space="preserve">Olivi, </w:t>
      </w:r>
      <w:r w:rsidR="08B74A91">
        <w:t xml:space="preserve">Petrus </w:t>
      </w:r>
      <w:r>
        <w:t xml:space="preserve">Iohannes, </w:t>
      </w:r>
      <w:r w:rsidRPr="084C6C4C">
        <w:t>(1922</w:t>
      </w:r>
      <w:r>
        <w:t>‒24</w:t>
      </w:r>
      <w:r w:rsidRPr="084C6C4C">
        <w:t xml:space="preserve">): </w:t>
      </w:r>
      <w:r w:rsidRPr="080401F6">
        <w:rPr>
          <w:i/>
        </w:rPr>
        <w:t>Quaestiones in secundum librum Sententiarum</w:t>
      </w:r>
      <w:r w:rsidR="08257238">
        <w:t xml:space="preserve"> I–</w:t>
      </w:r>
      <w:r w:rsidRPr="084C6C4C">
        <w:t>II. Edited</w:t>
      </w:r>
      <w:r>
        <w:t xml:space="preserve"> </w:t>
      </w:r>
      <w:r w:rsidR="08B74A91">
        <w:t xml:space="preserve">by Bernhard </w:t>
      </w:r>
      <w:r w:rsidR="08B74A91" w:rsidRPr="000612B6">
        <w:rPr>
          <w:iCs/>
        </w:rPr>
        <w:tab/>
      </w:r>
      <w:r w:rsidR="08B74A91">
        <w:t xml:space="preserve">Jansen. </w:t>
      </w:r>
      <w:r w:rsidRPr="084C6C4C">
        <w:t>Bibliotheca Franciscana scholastica medii aevi. Quaracchi.</w:t>
      </w:r>
    </w:p>
    <w:p w14:paraId="684EC84C" w14:textId="77777777" w:rsidR="086E6BFB" w:rsidRDefault="086E6BFB" w:rsidP="086E6BFB">
      <w:pPr>
        <w:pStyle w:val="Literatura"/>
      </w:pPr>
      <w:r>
        <w:rPr>
          <w:szCs w:val="18"/>
        </w:rPr>
        <w:t xml:space="preserve">‒ (1980): </w:t>
      </w:r>
      <w:r>
        <w:rPr>
          <w:rStyle w:val="CittHTML"/>
        </w:rPr>
        <w:t xml:space="preserve">Un trattato di economia politica francescana: Il "De emptionibus et venditionibus, de usuris, de </w:t>
      </w:r>
      <w:r>
        <w:rPr>
          <w:rStyle w:val="CittHTML"/>
        </w:rPr>
        <w:tab/>
        <w:t>restitutionibus" di Pietro di Giovanni Olivi</w:t>
      </w:r>
      <w:r>
        <w:t xml:space="preserve">. Ed. Giacomo Todeschini. Roma: Istituto storico italiano per il </w:t>
      </w:r>
      <w:r>
        <w:tab/>
        <w:t>medio evo.</w:t>
      </w:r>
    </w:p>
    <w:p w14:paraId="3166ED04" w14:textId="77777777" w:rsidR="086E6BFB" w:rsidRDefault="086E6BFB" w:rsidP="086E6BFB">
      <w:pPr>
        <w:pStyle w:val="Literatura"/>
      </w:pPr>
      <w:r>
        <w:t xml:space="preserve">Pagus, John (2012): </w:t>
      </w:r>
      <w:r w:rsidRPr="00273106">
        <w:rPr>
          <w:rStyle w:val="fn"/>
          <w:i/>
        </w:rPr>
        <w:t>John Pagus on Aristotle's Categories</w:t>
      </w:r>
      <w:r w:rsidRPr="00273106">
        <w:rPr>
          <w:i/>
        </w:rPr>
        <w:t xml:space="preserve">: </w:t>
      </w:r>
      <w:r w:rsidRPr="00273106">
        <w:rPr>
          <w:rStyle w:val="Podtitul1"/>
          <w:i/>
        </w:rPr>
        <w:t xml:space="preserve">A Study and Edition of the Rationes Super </w:t>
      </w:r>
      <w:r>
        <w:rPr>
          <w:rStyle w:val="Podtitul1"/>
          <w:i/>
        </w:rPr>
        <w:tab/>
      </w:r>
      <w:r w:rsidRPr="00273106">
        <w:rPr>
          <w:rStyle w:val="Podtitul1"/>
          <w:i/>
        </w:rPr>
        <w:t>Praedicamenta Aristotelis</w:t>
      </w:r>
      <w:r w:rsidRPr="00273106">
        <w:rPr>
          <w:rStyle w:val="Podtitul1"/>
        </w:rPr>
        <w:t xml:space="preserve">. </w:t>
      </w:r>
      <w:r>
        <w:rPr>
          <w:rStyle w:val="Podtitul1"/>
        </w:rPr>
        <w:t xml:space="preserve">Edited by Heine Hansen, </w:t>
      </w:r>
      <w:r w:rsidRPr="00273106">
        <w:rPr>
          <w:rStyle w:val="Podtitul1"/>
        </w:rPr>
        <w:t xml:space="preserve">Leuven: </w:t>
      </w:r>
      <w:r>
        <w:t>Leuven University Press</w:t>
      </w:r>
      <w:r w:rsidRPr="00273106">
        <w:t>.</w:t>
      </w:r>
    </w:p>
    <w:p w14:paraId="549F9163" w14:textId="77777777" w:rsidR="086E6BFB" w:rsidRPr="00273106" w:rsidRDefault="086E6BFB" w:rsidP="086E6BFB">
      <w:pPr>
        <w:pStyle w:val="Literatura"/>
        <w:rPr>
          <w:szCs w:val="18"/>
        </w:rPr>
      </w:pPr>
      <w:r w:rsidRPr="00273106">
        <w:rPr>
          <w:szCs w:val="18"/>
        </w:rPr>
        <w:t xml:space="preserve">Palhoriès, </w:t>
      </w:r>
      <w:r w:rsidRPr="00273106">
        <w:rPr>
          <w:rStyle w:val="st"/>
        </w:rPr>
        <w:t>Fortuné</w:t>
      </w:r>
      <w:r>
        <w:rPr>
          <w:rStyle w:val="st"/>
        </w:rPr>
        <w:t xml:space="preserve"> (1912):</w:t>
      </w:r>
      <w:r w:rsidRPr="00273106">
        <w:rPr>
          <w:szCs w:val="18"/>
        </w:rPr>
        <w:t xml:space="preserve"> </w:t>
      </w:r>
      <w:r>
        <w:rPr>
          <w:szCs w:val="18"/>
        </w:rPr>
        <w:t>"</w:t>
      </w:r>
      <w:r w:rsidRPr="00273106">
        <w:rPr>
          <w:szCs w:val="18"/>
        </w:rPr>
        <w:t>La nature d'après saint Bonaventure</w:t>
      </w:r>
      <w:r>
        <w:rPr>
          <w:szCs w:val="18"/>
        </w:rPr>
        <w:t>"</w:t>
      </w:r>
      <w:r w:rsidRPr="00273106">
        <w:rPr>
          <w:szCs w:val="18"/>
        </w:rPr>
        <w:t xml:space="preserve">. </w:t>
      </w:r>
      <w:r w:rsidRPr="00273106">
        <w:rPr>
          <w:i/>
          <w:szCs w:val="18"/>
        </w:rPr>
        <w:t>Revue néo-scolastique de philosophie</w:t>
      </w:r>
      <w:r>
        <w:rPr>
          <w:szCs w:val="18"/>
        </w:rPr>
        <w:t xml:space="preserve"> 19</w:t>
      </w:r>
      <w:r w:rsidRPr="00273106">
        <w:rPr>
          <w:szCs w:val="18"/>
        </w:rPr>
        <w:t xml:space="preserve">: </w:t>
      </w:r>
      <w:r>
        <w:rPr>
          <w:szCs w:val="18"/>
        </w:rPr>
        <w:tab/>
      </w:r>
      <w:r w:rsidRPr="00273106">
        <w:rPr>
          <w:szCs w:val="18"/>
        </w:rPr>
        <w:t>177‒200.</w:t>
      </w:r>
    </w:p>
    <w:p w14:paraId="08996221" w14:textId="77777777" w:rsidR="086E6BFB" w:rsidRDefault="086E6BFB" w:rsidP="086E6BFB">
      <w:pPr>
        <w:pStyle w:val="Literatura"/>
      </w:pPr>
      <w:r w:rsidRPr="08D957A1">
        <w:t>Parolin, Gianluca Paolo</w:t>
      </w:r>
      <w:r>
        <w:t xml:space="preserve"> </w:t>
      </w:r>
      <w:r w:rsidRPr="08D957A1">
        <w:t xml:space="preserve">(2009): </w:t>
      </w:r>
      <w:r w:rsidRPr="08D957A1">
        <w:rPr>
          <w:i/>
        </w:rPr>
        <w:t>Citizenship in the Arab World: Kin, Religion and Nation-state</w:t>
      </w:r>
      <w:r w:rsidRPr="08D957A1">
        <w:t xml:space="preserve">. Amsterdam </w:t>
      </w:r>
      <w:r>
        <w:tab/>
      </w:r>
      <w:r w:rsidRPr="08D957A1">
        <w:t>University Press.</w:t>
      </w:r>
    </w:p>
    <w:p w14:paraId="7F563352" w14:textId="77777777" w:rsidR="086E6BFB" w:rsidRPr="00273106" w:rsidRDefault="086E6BFB" w:rsidP="086E6BFB">
      <w:pPr>
        <w:pStyle w:val="Literatura"/>
        <w:rPr>
          <w:szCs w:val="26"/>
        </w:rPr>
      </w:pPr>
      <w:r w:rsidRPr="00273106">
        <w:t>Pasnau, Robert</w:t>
      </w:r>
      <w:r>
        <w:t xml:space="preserve"> (1999):</w:t>
      </w:r>
      <w:r w:rsidRPr="00273106">
        <w:t xml:space="preserve"> </w:t>
      </w:r>
      <w:r>
        <w:t>"</w:t>
      </w:r>
      <w:r w:rsidRPr="00273106">
        <w:t>Olivi on human freedom</w:t>
      </w:r>
      <w:r>
        <w:t xml:space="preserve">". </w:t>
      </w:r>
      <w:r w:rsidRPr="00273106">
        <w:rPr>
          <w:i/>
          <w:szCs w:val="26"/>
        </w:rPr>
        <w:t xml:space="preserve">Pierre de Jean Olivi 1248‒1298. Pensée scolastique, </w:t>
      </w:r>
      <w:r>
        <w:rPr>
          <w:i/>
          <w:szCs w:val="26"/>
        </w:rPr>
        <w:tab/>
      </w:r>
      <w:r w:rsidRPr="00273106">
        <w:rPr>
          <w:i/>
          <w:szCs w:val="26"/>
        </w:rPr>
        <w:t>dissidence spirituelle et société</w:t>
      </w:r>
      <w:r>
        <w:rPr>
          <w:i/>
          <w:szCs w:val="26"/>
        </w:rPr>
        <w:t>.</w:t>
      </w:r>
      <w:r w:rsidRPr="00267490">
        <w:rPr>
          <w:i/>
          <w:szCs w:val="26"/>
        </w:rPr>
        <w:t xml:space="preserve"> </w:t>
      </w:r>
      <w:r w:rsidRPr="00273106">
        <w:rPr>
          <w:i/>
          <w:szCs w:val="26"/>
        </w:rPr>
        <w:t>Actes du colloque de Narbonne, mars 1998</w:t>
      </w:r>
      <w:r>
        <w:rPr>
          <w:szCs w:val="26"/>
        </w:rPr>
        <w:t xml:space="preserve">, </w:t>
      </w:r>
      <w:r>
        <w:t xml:space="preserve">edited by </w:t>
      </w:r>
      <w:r w:rsidRPr="00273106">
        <w:t xml:space="preserve">Alain </w:t>
      </w:r>
      <w:r w:rsidRPr="00273106">
        <w:rPr>
          <w:szCs w:val="26"/>
        </w:rPr>
        <w:t xml:space="preserve">Boureau, </w:t>
      </w:r>
      <w:r>
        <w:rPr>
          <w:szCs w:val="26"/>
        </w:rPr>
        <w:t xml:space="preserve">and </w:t>
      </w:r>
      <w:r>
        <w:rPr>
          <w:szCs w:val="18"/>
        </w:rPr>
        <w:tab/>
      </w:r>
      <w:r>
        <w:rPr>
          <w:szCs w:val="26"/>
        </w:rPr>
        <w:t>Sylvain Piron,</w:t>
      </w:r>
      <w:r w:rsidRPr="00273106">
        <w:rPr>
          <w:i/>
          <w:szCs w:val="26"/>
        </w:rPr>
        <w:t xml:space="preserve"> </w:t>
      </w:r>
      <w:r>
        <w:rPr>
          <w:szCs w:val="26"/>
        </w:rPr>
        <w:t>Paris, J. Vrin</w:t>
      </w:r>
      <w:r w:rsidRPr="00273106">
        <w:rPr>
          <w:szCs w:val="26"/>
        </w:rPr>
        <w:t>, pp. 15‒25.</w:t>
      </w:r>
    </w:p>
    <w:p w14:paraId="28FBDEDB" w14:textId="77777777" w:rsidR="086E6BFB" w:rsidRDefault="086E6BFB" w:rsidP="086E6BFB">
      <w:pPr>
        <w:pStyle w:val="Literatura"/>
      </w:pPr>
      <w:r w:rsidRPr="00D1175F">
        <w:t>Peckham</w:t>
      </w:r>
      <w:r>
        <w:t xml:space="preserve">, John </w:t>
      </w:r>
      <w:r w:rsidRPr="00CD30F0">
        <w:t>(1918):</w:t>
      </w:r>
      <w:r>
        <w:rPr>
          <w:i/>
        </w:rPr>
        <w:t xml:space="preserve"> </w:t>
      </w:r>
      <w:r w:rsidRPr="00A71D08">
        <w:rPr>
          <w:i/>
        </w:rPr>
        <w:t>Johannis Pechami</w:t>
      </w:r>
      <w:r>
        <w:t xml:space="preserve"> </w:t>
      </w:r>
      <w:r>
        <w:rPr>
          <w:i/>
        </w:rPr>
        <w:t xml:space="preserve">Quaestiones tractantes De anima. </w:t>
      </w:r>
      <w:r>
        <w:t xml:space="preserve">Edited by H. Spettmann. Beiträge </w:t>
      </w:r>
      <w:r>
        <w:tab/>
        <w:t>zur Geschichte der Philosophie des Mittelalters, Band 19, Heft 5-6, Münster.</w:t>
      </w:r>
    </w:p>
    <w:p w14:paraId="61A13A05" w14:textId="77777777" w:rsidR="086E6BFB" w:rsidRDefault="086E6BFB" w:rsidP="086E6BFB">
      <w:pPr>
        <w:pStyle w:val="Literatura"/>
      </w:pPr>
      <w:r>
        <w:t xml:space="preserve">‒ </w:t>
      </w:r>
      <w:r w:rsidRPr="00D1175F">
        <w:t>(1993)</w:t>
      </w:r>
      <w:r>
        <w:t>:</w:t>
      </w:r>
      <w:r>
        <w:rPr>
          <w:i/>
        </w:rPr>
        <w:t xml:space="preserve"> De aeternitate mundi. </w:t>
      </w:r>
      <w:r w:rsidRPr="00273106">
        <w:rPr>
          <w:i/>
        </w:rPr>
        <w:t>Questions Concerning the Eternity of the World</w:t>
      </w:r>
      <w:r w:rsidRPr="00D1175F">
        <w:t xml:space="preserve">. </w:t>
      </w:r>
      <w:r>
        <w:t xml:space="preserve">Edited by </w:t>
      </w:r>
      <w:r w:rsidRPr="00273106">
        <w:t>Ignatius Brady</w:t>
      </w:r>
      <w:r>
        <w:t xml:space="preserve">, </w:t>
      </w:r>
      <w:r>
        <w:tab/>
        <w:t>Fordham University Press.</w:t>
      </w:r>
    </w:p>
    <w:p w14:paraId="013BB015" w14:textId="77777777" w:rsidR="086E6BFB" w:rsidRPr="00273106" w:rsidRDefault="086E6BFB" w:rsidP="086E6BFB">
      <w:pPr>
        <w:pStyle w:val="Literatura"/>
      </w:pPr>
      <w:r>
        <w:t>Pelster, Franz (1949): "</w:t>
      </w:r>
      <w:r w:rsidRPr="00273106">
        <w:t xml:space="preserve">Der Oxforder Theologe Richardus Rufus O.F.M. über die Frage: Utrum Christus in triduo </w:t>
      </w:r>
      <w:r>
        <w:tab/>
      </w:r>
      <w:r w:rsidRPr="00273106">
        <w:t>mortis fuerit homo</w:t>
      </w:r>
      <w:r>
        <w:t>"</w:t>
      </w:r>
      <w:r w:rsidRPr="00273106">
        <w:t xml:space="preserve">. </w:t>
      </w:r>
      <w:r w:rsidRPr="00273106">
        <w:rPr>
          <w:i/>
        </w:rPr>
        <w:t>Recherches de théologie ancienne et médiévale</w:t>
      </w:r>
      <w:r>
        <w:t xml:space="preserve"> 16</w:t>
      </w:r>
      <w:r w:rsidRPr="00273106">
        <w:t>: 258–280.</w:t>
      </w:r>
    </w:p>
    <w:p w14:paraId="69DEB612" w14:textId="77777777" w:rsidR="086E6BFB" w:rsidRPr="00273106" w:rsidRDefault="086E6BFB" w:rsidP="086E6BFB">
      <w:pPr>
        <w:pStyle w:val="Literatura"/>
      </w:pPr>
      <w:r w:rsidRPr="00273106">
        <w:t>Périer, Augustin</w:t>
      </w:r>
      <w:r>
        <w:t xml:space="preserve"> (1920a): </w:t>
      </w:r>
      <w:r w:rsidRPr="00273106">
        <w:rPr>
          <w:i/>
        </w:rPr>
        <w:t>Yaḥyā ben Άdī. Un philosophe arabe chrétien du X</w:t>
      </w:r>
      <w:r w:rsidRPr="00273106">
        <w:rPr>
          <w:i/>
          <w:vertAlign w:val="superscript"/>
        </w:rPr>
        <w:t>e</w:t>
      </w:r>
      <w:r w:rsidRPr="00273106">
        <w:rPr>
          <w:i/>
        </w:rPr>
        <w:t xml:space="preserve"> siècle</w:t>
      </w:r>
      <w:r>
        <w:t>. Paris: J. Gabalda</w:t>
      </w:r>
      <w:r w:rsidRPr="00273106">
        <w:t>.</w:t>
      </w:r>
    </w:p>
    <w:p w14:paraId="1FFBC355" w14:textId="77777777" w:rsidR="007C4D48" w:rsidRPr="0036035E" w:rsidRDefault="007C4D48" w:rsidP="007C4D48">
      <w:pPr>
        <w:pStyle w:val="Literatura"/>
      </w:pPr>
      <w:r>
        <w:t xml:space="preserve">– (1920b): </w:t>
      </w:r>
      <w:r>
        <w:rPr>
          <w:i/>
        </w:rPr>
        <w:t xml:space="preserve">Yaḥyā ben Άdī. </w:t>
      </w:r>
      <w:r w:rsidRPr="00324A18">
        <w:rPr>
          <w:i/>
          <w:lang w:eastAsia="en-US"/>
        </w:rPr>
        <w:t>Petits traités apologétiques</w:t>
      </w:r>
      <w:r>
        <w:rPr>
          <w:i/>
          <w:lang w:eastAsia="en-US"/>
        </w:rPr>
        <w:t xml:space="preserve">. </w:t>
      </w:r>
      <w:r>
        <w:t>Paris: J. Gabalda.</w:t>
      </w:r>
    </w:p>
    <w:p w14:paraId="18815D50" w14:textId="77777777" w:rsidR="086E6BFB" w:rsidRPr="00273106" w:rsidRDefault="086E6BFB" w:rsidP="086E6BFB">
      <w:pPr>
        <w:pStyle w:val="Literatura"/>
      </w:pPr>
      <w:r w:rsidRPr="00273106">
        <w:t>Pessin, Sarah</w:t>
      </w:r>
      <w:r>
        <w:t xml:space="preserve"> (2013): </w:t>
      </w:r>
      <w:r w:rsidRPr="00273106">
        <w:rPr>
          <w:i/>
        </w:rPr>
        <w:t>Ibn Gabirol's Theology of Desire: Matter and Method in Jewish Medieval Neoplatonism</w:t>
      </w:r>
      <w:r>
        <w:t xml:space="preserve">. </w:t>
      </w:r>
      <w:r>
        <w:tab/>
        <w:t>Cambridge University Press</w:t>
      </w:r>
      <w:r w:rsidRPr="00273106">
        <w:t>.</w:t>
      </w:r>
    </w:p>
    <w:p w14:paraId="35E579D7" w14:textId="77777777" w:rsidR="086E6BFB" w:rsidRPr="00273106" w:rsidRDefault="086E6BFB" w:rsidP="086E6BFB">
      <w:pPr>
        <w:pStyle w:val="Literatura"/>
      </w:pPr>
      <w:r w:rsidRPr="00273106">
        <w:t>Petrus de Alvernia</w:t>
      </w:r>
      <w:r>
        <w:t xml:space="preserve"> (1987)</w:t>
      </w:r>
      <w:r w:rsidRPr="00273106">
        <w:t xml:space="preserve">: </w:t>
      </w:r>
      <w:r w:rsidRPr="00273106">
        <w:rPr>
          <w:i/>
        </w:rPr>
        <w:t>Quaestiones super Praedicamentis</w:t>
      </w:r>
      <w:r w:rsidRPr="00273106">
        <w:t xml:space="preserve">. Edited by Robert Andrews. Cahiers de l'institut </w:t>
      </w:r>
      <w:r>
        <w:tab/>
      </w:r>
      <w:r w:rsidRPr="00273106">
        <w:t>du m</w:t>
      </w:r>
      <w:r>
        <w:t>oyen-âge grec et latin 55</w:t>
      </w:r>
      <w:r w:rsidRPr="00273106">
        <w:t>: 3‒84.</w:t>
      </w:r>
    </w:p>
    <w:p w14:paraId="3F7FF44A" w14:textId="77777777" w:rsidR="086E6BFB" w:rsidRDefault="086E6BFB" w:rsidP="086E6BFB">
      <w:pPr>
        <w:pStyle w:val="Literatura"/>
      </w:pPr>
      <w:r w:rsidRPr="00273106">
        <w:t>Philipp</w:t>
      </w:r>
      <w:r>
        <w:t>us Cancellarius</w:t>
      </w:r>
      <w:r w:rsidRPr="00273106">
        <w:t xml:space="preserve"> </w:t>
      </w:r>
      <w:r>
        <w:t xml:space="preserve">(1985): </w:t>
      </w:r>
      <w:r w:rsidRPr="00161726">
        <w:rPr>
          <w:rStyle w:val="st"/>
          <w:i/>
        </w:rPr>
        <w:t xml:space="preserve">Philippi Cancellarii Parisiensis </w:t>
      </w:r>
      <w:r w:rsidRPr="00161726">
        <w:rPr>
          <w:rStyle w:val="Zvraznn"/>
          <w:iCs w:val="0"/>
        </w:rPr>
        <w:t>Summa de Bono</w:t>
      </w:r>
      <w:r>
        <w:rPr>
          <w:rStyle w:val="Zvraznn"/>
          <w:iCs w:val="0"/>
        </w:rPr>
        <w:t xml:space="preserve"> I-II.</w:t>
      </w:r>
      <w:r>
        <w:t xml:space="preserve"> </w:t>
      </w:r>
      <w:r w:rsidRPr="00273106">
        <w:rPr>
          <w:iCs/>
        </w:rPr>
        <w:t>E</w:t>
      </w:r>
      <w:r w:rsidRPr="00273106">
        <w:t>d</w:t>
      </w:r>
      <w:r>
        <w:t xml:space="preserve">ited by </w:t>
      </w:r>
      <w:r w:rsidRPr="00273106">
        <w:t>Nicolaus Wicki</w:t>
      </w:r>
      <w:r>
        <w:t xml:space="preserve">, </w:t>
      </w:r>
      <w:r>
        <w:tab/>
      </w:r>
      <w:r w:rsidRPr="00267490">
        <w:rPr>
          <w:iCs/>
        </w:rPr>
        <w:t>Cor</w:t>
      </w:r>
      <w:r>
        <w:rPr>
          <w:iCs/>
        </w:rPr>
        <w:t xml:space="preserve">pus philosophorum medii aevi II, </w:t>
      </w:r>
      <w:r>
        <w:t>Bern: Francke</w:t>
      </w:r>
      <w:r w:rsidRPr="00273106">
        <w:t>.</w:t>
      </w:r>
    </w:p>
    <w:p w14:paraId="2ACB83CA" w14:textId="77777777" w:rsidR="086E6BFB" w:rsidRDefault="086E6BFB" w:rsidP="086E6BFB">
      <w:pPr>
        <w:pStyle w:val="Literatura"/>
      </w:pPr>
      <w:r w:rsidRPr="00A50BF1">
        <w:t>Piketty, Thomas</w:t>
      </w:r>
      <w:r>
        <w:t xml:space="preserve"> (2013): </w:t>
      </w:r>
      <w:r w:rsidRPr="00A50BF1">
        <w:rPr>
          <w:i/>
        </w:rPr>
        <w:t>Le Capital au XXIe siècle</w:t>
      </w:r>
      <w:r>
        <w:t>. Paris:Éditions du Seuil.</w:t>
      </w:r>
    </w:p>
    <w:p w14:paraId="5C8BAC1B" w14:textId="77777777" w:rsidR="086E6BFB" w:rsidRPr="00273106" w:rsidRDefault="086E6BFB" w:rsidP="086E6BFB">
      <w:pPr>
        <w:pStyle w:val="Literatura"/>
      </w:pPr>
      <w:r w:rsidRPr="00273106">
        <w:t>Pinborg</w:t>
      </w:r>
      <w:r w:rsidRPr="00273106">
        <w:rPr>
          <w:smallCaps/>
        </w:rPr>
        <w:t xml:space="preserve">, </w:t>
      </w:r>
      <w:r w:rsidRPr="00273106">
        <w:t>Jan</w:t>
      </w:r>
      <w:r>
        <w:t xml:space="preserve"> (1984): </w:t>
      </w:r>
      <w:r w:rsidRPr="00273106">
        <w:rPr>
          <w:i/>
          <w:iCs/>
        </w:rPr>
        <w:t>Medieval Semantic</w:t>
      </w:r>
      <w:r w:rsidRPr="00273106">
        <w:t>, London</w:t>
      </w:r>
      <w:r>
        <w:t>: Variorum Reprints</w:t>
      </w:r>
      <w:r w:rsidRPr="00273106">
        <w:t>.</w:t>
      </w:r>
    </w:p>
    <w:p w14:paraId="75566BD6" w14:textId="77777777" w:rsidR="086E6BFB" w:rsidRPr="00273106" w:rsidRDefault="086E6BFB" w:rsidP="086E6BFB">
      <w:pPr>
        <w:pStyle w:val="Literatura"/>
      </w:pPr>
      <w:r w:rsidRPr="00273106">
        <w:t>Pini, Giorgio</w:t>
      </w:r>
      <w:r>
        <w:t xml:space="preserve"> </w:t>
      </w:r>
      <w:r>
        <w:rPr>
          <w:rStyle w:val="style3"/>
        </w:rPr>
        <w:t xml:space="preserve">(2002): </w:t>
      </w:r>
      <w:r w:rsidRPr="08823BF3">
        <w:rPr>
          <w:i/>
        </w:rPr>
        <w:t>Categories and Logic in Duns Scotus</w:t>
      </w:r>
      <w:r>
        <w:t>. Leiden, Boston: Brill.</w:t>
      </w:r>
    </w:p>
    <w:p w14:paraId="0F73DD64" w14:textId="77777777" w:rsidR="086E6BFB" w:rsidRDefault="086E6BFB" w:rsidP="086E6BFB">
      <w:pPr>
        <w:pStyle w:val="Literatura"/>
        <w:rPr>
          <w:rStyle w:val="style3"/>
        </w:rPr>
      </w:pPr>
      <w:r>
        <w:t>‒ (2012): "</w:t>
      </w:r>
      <w:r w:rsidRPr="00273106">
        <w:rPr>
          <w:rStyle w:val="style3"/>
        </w:rPr>
        <w:t>The Individuation of Angels from Bonaventure to Duns Scotus</w:t>
      </w:r>
      <w:r>
        <w:rPr>
          <w:rStyle w:val="style3"/>
        </w:rPr>
        <w:t xml:space="preserve">". </w:t>
      </w:r>
      <w:r w:rsidRPr="00273106">
        <w:rPr>
          <w:rStyle w:val="style4"/>
          <w:i/>
        </w:rPr>
        <w:t xml:space="preserve">A Companion to Angels in </w:t>
      </w:r>
      <w:r>
        <w:rPr>
          <w:rStyle w:val="style4"/>
          <w:i/>
        </w:rPr>
        <w:tab/>
      </w:r>
      <w:r w:rsidRPr="00273106">
        <w:rPr>
          <w:rStyle w:val="style4"/>
          <w:i/>
        </w:rPr>
        <w:t>Medieval Philosophy</w:t>
      </w:r>
      <w:r w:rsidRPr="00505A5A">
        <w:rPr>
          <w:rStyle w:val="style4"/>
        </w:rPr>
        <w:t xml:space="preserve">, </w:t>
      </w:r>
      <w:r>
        <w:rPr>
          <w:rStyle w:val="style3"/>
        </w:rPr>
        <w:t xml:space="preserve">edited by </w:t>
      </w:r>
      <w:r w:rsidRPr="00273106">
        <w:rPr>
          <w:rStyle w:val="style3"/>
        </w:rPr>
        <w:t xml:space="preserve">Tobias </w:t>
      </w:r>
      <w:r>
        <w:rPr>
          <w:rStyle w:val="style3"/>
        </w:rPr>
        <w:t xml:space="preserve">Hoffmann, </w:t>
      </w:r>
      <w:r w:rsidRPr="00273106">
        <w:rPr>
          <w:rStyle w:val="style3"/>
        </w:rPr>
        <w:t>Leiden and Boston: Brill, pp. 79–1</w:t>
      </w:r>
      <w:r>
        <w:rPr>
          <w:rStyle w:val="style3"/>
        </w:rPr>
        <w:t xml:space="preserve">15. </w:t>
      </w:r>
    </w:p>
    <w:p w14:paraId="6B01077D" w14:textId="77777777" w:rsidR="086E6BFB" w:rsidRPr="00273106" w:rsidRDefault="086E6BFB" w:rsidP="086E6BFB">
      <w:pPr>
        <w:pStyle w:val="Literatura"/>
        <w:rPr>
          <w:i/>
        </w:rPr>
      </w:pPr>
      <w:r w:rsidRPr="00273106">
        <w:t>Piron, Silvaine</w:t>
      </w:r>
      <w:r>
        <w:t xml:space="preserve"> (1999): </w:t>
      </w:r>
      <w:r w:rsidRPr="00273106">
        <w:rPr>
          <w:i/>
        </w:rPr>
        <w:t xml:space="preserve">Parcours d’un intellectuel franciscain. D’une théologie vers une pensée sociale: l’oeuvre </w:t>
      </w:r>
      <w:r>
        <w:rPr>
          <w:i/>
        </w:rPr>
        <w:tab/>
      </w:r>
      <w:r w:rsidRPr="00273106">
        <w:rPr>
          <w:i/>
        </w:rPr>
        <w:t xml:space="preserve">de Pierre de Jean Olivi (ca. 1248–1298) et son traité </w:t>
      </w:r>
      <w:r w:rsidRPr="00273106">
        <w:t>De contractibus. Paris: École des Hautes É</w:t>
      </w:r>
      <w:r>
        <w:t xml:space="preserve">tudes en </w:t>
      </w:r>
      <w:r>
        <w:tab/>
        <w:t>Sciences Sociales</w:t>
      </w:r>
      <w:r w:rsidRPr="00273106">
        <w:t>.</w:t>
      </w:r>
    </w:p>
    <w:p w14:paraId="21892F29" w14:textId="77777777" w:rsidR="086E6BFB" w:rsidRPr="00273106" w:rsidRDefault="086E6BFB" w:rsidP="086E6BFB">
      <w:pPr>
        <w:pStyle w:val="Literatura"/>
      </w:pPr>
      <w:r w:rsidRPr="00273106">
        <w:t>Platti, Emilio</w:t>
      </w:r>
      <w:r>
        <w:t xml:space="preserve"> (1983): </w:t>
      </w:r>
      <w:r w:rsidRPr="00273106">
        <w:rPr>
          <w:i/>
        </w:rPr>
        <w:t xml:space="preserve">Yaḥyā Ibn Άdī. Théologien chrétien et philosophe arabe. </w:t>
      </w:r>
      <w:r w:rsidRPr="00273106">
        <w:t>Leuven/Louvain, Orien</w:t>
      </w:r>
      <w:r>
        <w:t xml:space="preserve">talia </w:t>
      </w:r>
      <w:r>
        <w:tab/>
        <w:t>Lovaniensia Analecta</w:t>
      </w:r>
      <w:r w:rsidRPr="00273106">
        <w:t>.</w:t>
      </w:r>
    </w:p>
    <w:p w14:paraId="26E30F56" w14:textId="77777777" w:rsidR="086E6BFB" w:rsidRDefault="086E6BFB" w:rsidP="086E6BFB">
      <w:pPr>
        <w:pStyle w:val="Literatura"/>
      </w:pPr>
      <w:r>
        <w:t xml:space="preserve">Plotiana Arabica (1883): </w:t>
      </w:r>
      <w:r>
        <w:rPr>
          <w:i/>
        </w:rPr>
        <w:t xml:space="preserve">Die sogenannte Theologie des Aristoteles. Aus dem Arabischen übersetzt und mit </w:t>
      </w:r>
      <w:r>
        <w:tab/>
      </w:r>
      <w:r>
        <w:rPr>
          <w:i/>
        </w:rPr>
        <w:t xml:space="preserve">Anmerkungen </w:t>
      </w:r>
      <w:r>
        <w:rPr>
          <w:i/>
        </w:rPr>
        <w:tab/>
        <w:t>versehen</w:t>
      </w:r>
      <w:r>
        <w:t xml:space="preserve"> von </w:t>
      </w:r>
      <w:r>
        <w:rPr>
          <w:i/>
        </w:rPr>
        <w:t>F. Dieterici</w:t>
      </w:r>
      <w:r>
        <w:t>. Leipzig: J. C. Hinrichs'sche Buchhandlung.</w:t>
      </w:r>
    </w:p>
    <w:p w14:paraId="6FD02F1B" w14:textId="77777777" w:rsidR="086E6BFB" w:rsidRPr="00273106" w:rsidRDefault="086E6BFB" w:rsidP="086E6BFB">
      <w:pPr>
        <w:pStyle w:val="Literatura"/>
      </w:pPr>
      <w:r w:rsidRPr="00273106">
        <w:t>Poli, Roberto</w:t>
      </w:r>
      <w:r>
        <w:t xml:space="preserve">, and </w:t>
      </w:r>
      <w:r w:rsidRPr="00273106">
        <w:t xml:space="preserve">Johanna </w:t>
      </w:r>
      <w:r>
        <w:t xml:space="preserve">Seibt (2010): </w:t>
      </w:r>
      <w:r w:rsidRPr="00273106">
        <w:rPr>
          <w:rStyle w:val="fn"/>
          <w:i/>
        </w:rPr>
        <w:t>Theory and Applications of Ontology: Philosophical Perspectives</w:t>
      </w:r>
      <w:r w:rsidRPr="00273106">
        <w:t xml:space="preserve">. </w:t>
      </w:r>
      <w:r>
        <w:tab/>
      </w:r>
      <w:r w:rsidRPr="00273106">
        <w:t>Dordrecht: Springe</w:t>
      </w:r>
      <w:r>
        <w:t>r Science &amp; Business Media</w:t>
      </w:r>
      <w:r w:rsidRPr="00273106">
        <w:t xml:space="preserve">. </w:t>
      </w:r>
    </w:p>
    <w:p w14:paraId="20AC08FC" w14:textId="77777777" w:rsidR="086E6BFB" w:rsidRDefault="086E6BFB" w:rsidP="086E6BFB">
      <w:pPr>
        <w:pStyle w:val="Literatura"/>
        <w:rPr>
          <w:szCs w:val="24"/>
        </w:rPr>
      </w:pPr>
      <w:r w:rsidRPr="00390893">
        <w:rPr>
          <w:szCs w:val="24"/>
        </w:rPr>
        <w:t xml:space="preserve">Popper, </w:t>
      </w:r>
      <w:r>
        <w:rPr>
          <w:szCs w:val="24"/>
        </w:rPr>
        <w:t xml:space="preserve">R. </w:t>
      </w:r>
      <w:r w:rsidRPr="00390893">
        <w:rPr>
          <w:szCs w:val="24"/>
        </w:rPr>
        <w:t xml:space="preserve">Karl </w:t>
      </w:r>
      <w:r>
        <w:rPr>
          <w:szCs w:val="24"/>
        </w:rPr>
        <w:t xml:space="preserve">(1935): </w:t>
      </w:r>
      <w:r w:rsidRPr="00390893">
        <w:rPr>
          <w:i/>
          <w:szCs w:val="24"/>
        </w:rPr>
        <w:t>Logik der Forschung</w:t>
      </w:r>
      <w:r>
        <w:rPr>
          <w:szCs w:val="24"/>
        </w:rPr>
        <w:t>.</w:t>
      </w:r>
      <w:r w:rsidRPr="00390893">
        <w:rPr>
          <w:szCs w:val="24"/>
        </w:rPr>
        <w:t xml:space="preserve"> Vienna: J. Springer</w:t>
      </w:r>
      <w:r>
        <w:rPr>
          <w:szCs w:val="24"/>
        </w:rPr>
        <w:t>.</w:t>
      </w:r>
    </w:p>
    <w:p w14:paraId="02E16DDD" w14:textId="77777777" w:rsidR="086E6BFB" w:rsidRDefault="086E6BFB" w:rsidP="086E6BFB">
      <w:pPr>
        <w:pStyle w:val="Literatura"/>
        <w:rPr>
          <w:iCs/>
          <w:lang w:val="it-IT"/>
        </w:rPr>
      </w:pPr>
      <w:r w:rsidRPr="00273106">
        <w:t>Porphyre</w:t>
      </w:r>
      <w:bookmarkStart w:id="159" w:name="bookmark2"/>
      <w:r>
        <w:t xml:space="preserve"> (1998): </w:t>
      </w:r>
      <w:r w:rsidRPr="00273106">
        <w:rPr>
          <w:i/>
        </w:rPr>
        <w:t>Isagoge</w:t>
      </w:r>
      <w:bookmarkStart w:id="160" w:name="bookmark3"/>
      <w:bookmarkEnd w:id="159"/>
      <w:r w:rsidRPr="00273106">
        <w:rPr>
          <w:i/>
        </w:rPr>
        <w:t>. Texte grec,</w:t>
      </w:r>
      <w:r w:rsidRPr="00273106">
        <w:t xml:space="preserve"> </w:t>
      </w:r>
      <w:r w:rsidRPr="00273106">
        <w:rPr>
          <w:i/>
        </w:rPr>
        <w:t>translatio Boethii</w:t>
      </w:r>
      <w:bookmarkEnd w:id="160"/>
      <w:r w:rsidRPr="00273106">
        <w:t xml:space="preserve">. Traduction par Alain de Libera et Alain-Philippe </w:t>
      </w:r>
      <w:r>
        <w:tab/>
      </w:r>
      <w:r w:rsidRPr="00273106">
        <w:t>Segonds, introduction et notes par Alain</w:t>
      </w:r>
      <w:r>
        <w:t xml:space="preserve"> de Libera. Paris: J. Vrin</w:t>
      </w:r>
      <w:r w:rsidRPr="00273106">
        <w:t>.</w:t>
      </w:r>
    </w:p>
    <w:p w14:paraId="1D40613F" w14:textId="77777777" w:rsidR="086E6BFB" w:rsidRPr="00273106" w:rsidRDefault="086E6BFB" w:rsidP="086E6BFB">
      <w:pPr>
        <w:pStyle w:val="Literatura"/>
      </w:pPr>
      <w:r w:rsidRPr="00273106">
        <w:t>Porro, Pasquale</w:t>
      </w:r>
      <w:r>
        <w:t xml:space="preserve"> (2006):</w:t>
      </w:r>
      <w:r w:rsidRPr="00273106">
        <w:t xml:space="preserve"> </w:t>
      </w:r>
      <w:r>
        <w:t>"Doing Theo</w:t>
      </w:r>
      <w:r w:rsidRPr="00273106">
        <w:t xml:space="preserve">logy (and Philosophy) in the first Person: Henry of Ghent’s </w:t>
      </w:r>
      <w:r w:rsidRPr="00273106">
        <w:rPr>
          <w:rStyle w:val="Zvraznn"/>
        </w:rPr>
        <w:t>Quodlibeta</w:t>
      </w:r>
      <w:r>
        <w:rPr>
          <w:rStyle w:val="Zvraznn"/>
        </w:rPr>
        <w:t xml:space="preserve">". </w:t>
      </w:r>
      <w:r>
        <w:rPr>
          <w:rStyle w:val="Zvraznn"/>
        </w:rPr>
        <w:tab/>
      </w:r>
      <w:r w:rsidRPr="00273106">
        <w:rPr>
          <w:rStyle w:val="Zvraznn"/>
        </w:rPr>
        <w:t>Theological Quodlibeta in the Middle Ages. The Thirteenth Century</w:t>
      </w:r>
      <w:r>
        <w:rPr>
          <w:rStyle w:val="Zvraznn"/>
        </w:rPr>
        <w:t xml:space="preserve">, </w:t>
      </w:r>
      <w:r>
        <w:t xml:space="preserve">edited by </w:t>
      </w:r>
      <w:r w:rsidRPr="00273106">
        <w:rPr>
          <w:rStyle w:val="st"/>
        </w:rPr>
        <w:t xml:space="preserve">Christopher </w:t>
      </w:r>
      <w:r>
        <w:t xml:space="preserve">Schabel, </w:t>
      </w:r>
      <w:r>
        <w:tab/>
      </w:r>
      <w:r w:rsidRPr="00273106">
        <w:t>Leiden</w:t>
      </w:r>
      <w:r>
        <w:t xml:space="preserve">: </w:t>
      </w:r>
      <w:r w:rsidRPr="00273106">
        <w:t>Brill, pp. 171‒231.</w:t>
      </w:r>
    </w:p>
    <w:p w14:paraId="49DF7CF0" w14:textId="77777777" w:rsidR="086E6BFB" w:rsidRPr="00273106" w:rsidRDefault="086E6BFB" w:rsidP="086E6BFB">
      <w:pPr>
        <w:pStyle w:val="Literatura"/>
      </w:pPr>
      <w:r w:rsidRPr="00273106">
        <w:t>Pouillon, Henri</w:t>
      </w:r>
      <w:r>
        <w:t xml:space="preserve"> (1939): "</w:t>
      </w:r>
      <w:r w:rsidRPr="00273106">
        <w:t xml:space="preserve">Le premier traité des propriétés transcendantales. La «Summa de bono» du Chancelier </w:t>
      </w:r>
      <w:r>
        <w:tab/>
      </w:r>
      <w:r w:rsidRPr="00273106">
        <w:t>Philippe</w:t>
      </w:r>
      <w:r>
        <w:t>"</w:t>
      </w:r>
      <w:r w:rsidRPr="00273106">
        <w:t xml:space="preserve">. </w:t>
      </w:r>
      <w:r w:rsidRPr="00273106">
        <w:rPr>
          <w:i/>
        </w:rPr>
        <w:t xml:space="preserve">Revue néo-scolastique de philosophie </w:t>
      </w:r>
      <w:r>
        <w:t>61: 40‒</w:t>
      </w:r>
      <w:r w:rsidRPr="00273106">
        <w:t>77.</w:t>
      </w:r>
    </w:p>
    <w:p w14:paraId="1DC8E5DF" w14:textId="77777777" w:rsidR="086E6BFB" w:rsidRPr="00616E0E" w:rsidRDefault="086E6BFB" w:rsidP="086E6BFB">
      <w:pPr>
        <w:pStyle w:val="Literatura"/>
        <w:rPr>
          <w:rStyle w:val="addmd"/>
        </w:rPr>
      </w:pPr>
      <w:r w:rsidRPr="00616E0E">
        <w:t>Priscian</w:t>
      </w:r>
      <w:r>
        <w:t xml:space="preserve"> (1855): </w:t>
      </w:r>
      <w:r w:rsidRPr="00616E0E">
        <w:rPr>
          <w:i/>
        </w:rPr>
        <w:t>Institutiones grammaticae</w:t>
      </w:r>
      <w:r w:rsidRPr="00616E0E">
        <w:t>. Ed</w:t>
      </w:r>
      <w:r>
        <w:t xml:space="preserve">ited by </w:t>
      </w:r>
      <w:r w:rsidRPr="00616E0E">
        <w:t>M. Hertz</w:t>
      </w:r>
      <w:r>
        <w:t xml:space="preserve">, and </w:t>
      </w:r>
      <w:r w:rsidRPr="00616E0E">
        <w:t>H. Keil. Leipzig</w:t>
      </w:r>
      <w:r>
        <w:t>, Grammatici Latini I</w:t>
      </w:r>
      <w:r w:rsidRPr="00616E0E">
        <w:t>.</w:t>
      </w:r>
    </w:p>
    <w:p w14:paraId="3F2757F4" w14:textId="77777777" w:rsidR="086E6BFB" w:rsidRPr="005202BB" w:rsidRDefault="086E6BFB" w:rsidP="086E6BFB">
      <w:pPr>
        <w:pStyle w:val="Literatura"/>
      </w:pPr>
      <w:r>
        <w:rPr>
          <w:rStyle w:val="addmd"/>
        </w:rPr>
        <w:t xml:space="preserve">Proclus (1992): </w:t>
      </w:r>
      <w:r w:rsidRPr="00200A17">
        <w:rPr>
          <w:i/>
        </w:rPr>
        <w:t xml:space="preserve">Proclus' Commentary on Plato's </w:t>
      </w:r>
      <w:r w:rsidRPr="00200A17">
        <w:rPr>
          <w:i/>
          <w:iCs/>
        </w:rPr>
        <w:t>Parmenides</w:t>
      </w:r>
      <w:r w:rsidRPr="005202BB">
        <w:t xml:space="preserve">. </w:t>
      </w:r>
      <w:r>
        <w:t>Translated by Glenn R. Morrow, and</w:t>
      </w:r>
      <w:r w:rsidRPr="005202BB">
        <w:t xml:space="preserve"> John M. </w:t>
      </w:r>
      <w:r>
        <w:tab/>
      </w:r>
      <w:r w:rsidRPr="005202BB">
        <w:t>Dillon. Princeton University Press.</w:t>
      </w:r>
    </w:p>
    <w:p w14:paraId="63661177" w14:textId="77777777" w:rsidR="086E6BFB" w:rsidRPr="00273106" w:rsidRDefault="086E6BFB" w:rsidP="086E6BFB">
      <w:pPr>
        <w:pStyle w:val="Literatura"/>
      </w:pPr>
      <w:r w:rsidRPr="00273106">
        <w:rPr>
          <w:rStyle w:val="addmd"/>
        </w:rPr>
        <w:t>Pseudo-Pecham</w:t>
      </w:r>
      <w:r>
        <w:rPr>
          <w:rStyle w:val="addmd"/>
        </w:rPr>
        <w:t xml:space="preserve"> (2007): </w:t>
      </w:r>
      <w:r w:rsidRPr="00273106">
        <w:rPr>
          <w:rStyle w:val="addmd"/>
          <w:i/>
        </w:rPr>
        <w:t>Commentarium in Ethicam Nouam et Veterem</w:t>
      </w:r>
      <w:r w:rsidRPr="00273106">
        <w:t>. Ed</w:t>
      </w:r>
      <w:r>
        <w:t xml:space="preserve">ited by </w:t>
      </w:r>
      <w:r w:rsidRPr="00273106">
        <w:t xml:space="preserve">Valeria Andrea </w:t>
      </w:r>
      <w:r>
        <w:t xml:space="preserve">Buffon, in: </w:t>
      </w:r>
      <w:r>
        <w:tab/>
      </w:r>
      <w:r w:rsidRPr="00273106">
        <w:rPr>
          <w:i/>
        </w:rPr>
        <w:t>L'idéal éthique des maîtres ès arts de Paris vers 1250</w:t>
      </w:r>
      <w:r w:rsidRPr="00273106">
        <w:t>. Québec: Faculté ph</w:t>
      </w:r>
      <w:r>
        <w:t>ilosophie université Laval</w:t>
      </w:r>
      <w:r w:rsidRPr="00273106">
        <w:t xml:space="preserve">, pp. </w:t>
      </w:r>
      <w:r>
        <w:tab/>
      </w:r>
      <w:r w:rsidRPr="00273106">
        <w:t>220‒417.</w:t>
      </w:r>
    </w:p>
    <w:p w14:paraId="5DB8FCA9" w14:textId="77777777" w:rsidR="086E6BFB" w:rsidRPr="00273106" w:rsidRDefault="086E6BFB" w:rsidP="086E6BFB">
      <w:pPr>
        <w:pStyle w:val="Literatura"/>
      </w:pPr>
      <w:r w:rsidRPr="00273106">
        <w:t>Putallaz, François-Xavier</w:t>
      </w:r>
      <w:r>
        <w:t xml:space="preserve"> (1991): </w:t>
      </w:r>
      <w:r w:rsidRPr="00273106">
        <w:rPr>
          <w:i/>
        </w:rPr>
        <w:t>La connaisance de soi au XIIIe siècle</w:t>
      </w:r>
      <w:r>
        <w:t>. Paris: J. Vrin</w:t>
      </w:r>
      <w:r w:rsidRPr="00273106">
        <w:t>.</w:t>
      </w:r>
    </w:p>
    <w:p w14:paraId="1CC1D7F5" w14:textId="77777777" w:rsidR="086E6BFB" w:rsidRPr="00273106" w:rsidRDefault="086E6BFB" w:rsidP="086E6BFB">
      <w:pPr>
        <w:pStyle w:val="Literatura"/>
        <w:rPr>
          <w:rStyle w:val="addmd"/>
        </w:rPr>
      </w:pPr>
      <w:r w:rsidRPr="00273106">
        <w:t>Queneau, G</w:t>
      </w:r>
      <w:r>
        <w:t xml:space="preserve">. </w:t>
      </w:r>
      <w:r w:rsidRPr="00273106">
        <w:t>(1954)</w:t>
      </w:r>
      <w:r>
        <w:t>:</w:t>
      </w:r>
      <w:r w:rsidRPr="00273106">
        <w:t xml:space="preserve"> </w:t>
      </w:r>
      <w:r>
        <w:t>"</w:t>
      </w:r>
      <w:r w:rsidRPr="00273106">
        <w:t xml:space="preserve">Origine de la sentence 'Intellectus speculativus extensione fit practicus' et date du </w:t>
      </w:r>
      <w:r>
        <w:tab/>
      </w:r>
      <w:r w:rsidRPr="00273106">
        <w:t xml:space="preserve">Commentaire du </w:t>
      </w:r>
      <w:r>
        <w:t>De anima</w:t>
      </w:r>
      <w:r w:rsidRPr="00273106">
        <w:t xml:space="preserve"> de S. Albert le Grand</w:t>
      </w:r>
      <w:r>
        <w:t>"</w:t>
      </w:r>
      <w:r w:rsidRPr="00273106">
        <w:t xml:space="preserve">. </w:t>
      </w:r>
      <w:r>
        <w:rPr>
          <w:rStyle w:val="ZkladntextKurzvadkovn0pt"/>
          <w:rFonts w:eastAsia="Times"/>
          <w:iCs w:val="0"/>
        </w:rPr>
        <w:t>Recherches de t</w:t>
      </w:r>
      <w:r w:rsidRPr="00273106">
        <w:rPr>
          <w:rStyle w:val="ZkladntextKurzvadkovn0pt"/>
          <w:rFonts w:eastAsia="Times"/>
          <w:iCs w:val="0"/>
        </w:rPr>
        <w:t>héolo</w:t>
      </w:r>
      <w:r>
        <w:rPr>
          <w:rStyle w:val="ZkladntextKurzvadkovn0pt"/>
          <w:rFonts w:eastAsia="Times"/>
          <w:iCs w:val="0"/>
        </w:rPr>
        <w:t>gie ancienne et m</w:t>
      </w:r>
      <w:r w:rsidRPr="00273106">
        <w:rPr>
          <w:rStyle w:val="ZkladntextKurzvadkovn0pt"/>
          <w:rFonts w:eastAsia="Times"/>
          <w:iCs w:val="0"/>
        </w:rPr>
        <w:t xml:space="preserve">édiévale </w:t>
      </w:r>
      <w:r w:rsidRPr="005D6525">
        <w:rPr>
          <w:rStyle w:val="ZkladntextKurzvadkovn0pt"/>
          <w:rFonts w:eastAsia="Times"/>
          <w:i w:val="0"/>
          <w:iCs w:val="0"/>
        </w:rPr>
        <w:t>21</w:t>
      </w:r>
      <w:r w:rsidRPr="00273106">
        <w:t xml:space="preserve">: </w:t>
      </w:r>
      <w:r>
        <w:tab/>
      </w:r>
      <w:r w:rsidRPr="00273106">
        <w:t>307‒</w:t>
      </w:r>
      <w:r>
        <w:t>3</w:t>
      </w:r>
      <w:r w:rsidRPr="00273106">
        <w:t>12.</w:t>
      </w:r>
    </w:p>
    <w:p w14:paraId="53868F72" w14:textId="77777777" w:rsidR="08FA07A9" w:rsidRDefault="08FA07A9" w:rsidP="086E6BFB">
      <w:pPr>
        <w:pStyle w:val="Literatura"/>
        <w:rPr>
          <w:szCs w:val="24"/>
        </w:rPr>
      </w:pPr>
      <w:r>
        <w:rPr>
          <w:rStyle w:val="person"/>
        </w:rPr>
        <w:t xml:space="preserve">Rahner, Karl (1976): </w:t>
      </w:r>
      <w:r w:rsidRPr="08FA07A9">
        <w:rPr>
          <w:rStyle w:val="CittHTML"/>
          <w:iCs w:val="0"/>
        </w:rPr>
        <w:t>Grundkurs des Glaubens</w:t>
      </w:r>
      <w:r>
        <w:rPr>
          <w:rStyle w:val="CittHTML"/>
          <w:i w:val="0"/>
          <w:iCs w:val="0"/>
        </w:rPr>
        <w:t xml:space="preserve">. </w:t>
      </w:r>
      <w:r w:rsidR="08F24142">
        <w:rPr>
          <w:rStyle w:val="st"/>
        </w:rPr>
        <w:t xml:space="preserve">Freiburg im Breisgau: </w:t>
      </w:r>
      <w:r>
        <w:rPr>
          <w:rStyle w:val="CittHTML"/>
          <w:i w:val="0"/>
          <w:iCs w:val="0"/>
        </w:rPr>
        <w:t>Verlag</w:t>
      </w:r>
      <w:r w:rsidR="08F24142">
        <w:rPr>
          <w:rStyle w:val="CittHTML"/>
          <w:i w:val="0"/>
          <w:iCs w:val="0"/>
        </w:rPr>
        <w:t xml:space="preserve"> Herder</w:t>
      </w:r>
      <w:r>
        <w:rPr>
          <w:rStyle w:val="CittHTML"/>
          <w:i w:val="0"/>
          <w:iCs w:val="0"/>
        </w:rPr>
        <w:t>.</w:t>
      </w:r>
    </w:p>
    <w:p w14:paraId="6C39E027" w14:textId="77777777" w:rsidR="086E6BFB" w:rsidRPr="00273106" w:rsidRDefault="086E6BFB" w:rsidP="086E6BFB">
      <w:pPr>
        <w:pStyle w:val="Literatura"/>
        <w:rPr>
          <w:szCs w:val="24"/>
        </w:rPr>
      </w:pPr>
      <w:r w:rsidRPr="00273106">
        <w:rPr>
          <w:szCs w:val="24"/>
        </w:rPr>
        <w:t>Renan, Ernest</w:t>
      </w:r>
      <w:r>
        <w:rPr>
          <w:szCs w:val="24"/>
        </w:rPr>
        <w:t xml:space="preserve"> (1866): </w:t>
      </w:r>
      <w:r w:rsidRPr="00273106">
        <w:rPr>
          <w:i/>
          <w:szCs w:val="24"/>
        </w:rPr>
        <w:t>Averroès et l'Averroïsme</w:t>
      </w:r>
      <w:r>
        <w:rPr>
          <w:szCs w:val="24"/>
        </w:rPr>
        <w:t>. Paris</w:t>
      </w:r>
      <w:r w:rsidRPr="00273106">
        <w:rPr>
          <w:szCs w:val="24"/>
        </w:rPr>
        <w:t>.</w:t>
      </w:r>
    </w:p>
    <w:p w14:paraId="03592CE9" w14:textId="77777777" w:rsidR="086E6BFB" w:rsidRDefault="086E6BFB" w:rsidP="086E6BFB">
      <w:pPr>
        <w:pStyle w:val="Literatura"/>
      </w:pPr>
      <w:r w:rsidRPr="00273106">
        <w:t>Ricoeur, Paul</w:t>
      </w:r>
      <w:r>
        <w:t xml:space="preserve"> (1965): </w:t>
      </w:r>
      <w:r w:rsidRPr="00273106">
        <w:rPr>
          <w:i/>
          <w:iCs/>
        </w:rPr>
        <w:t>De l’interprétation. Essai sur Freud</w:t>
      </w:r>
      <w:r>
        <w:t>, Paris: Éditions du Seuil</w:t>
      </w:r>
      <w:r w:rsidRPr="00273106">
        <w:t>.</w:t>
      </w:r>
    </w:p>
    <w:p w14:paraId="0F1C9A20" w14:textId="77777777" w:rsidR="086E6BFB" w:rsidRDefault="086E6BFB" w:rsidP="086E6BFB">
      <w:pPr>
        <w:pStyle w:val="Literatura"/>
      </w:pPr>
      <w:r>
        <w:t>‒ (1969): "</w:t>
      </w:r>
      <w:r w:rsidRPr="00273106">
        <w:t>Le péché originel: étude de signification</w:t>
      </w:r>
      <w:r>
        <w:t xml:space="preserve">". </w:t>
      </w:r>
      <w:r w:rsidRPr="00273106">
        <w:rPr>
          <w:i/>
        </w:rPr>
        <w:t>Le Conflit des Interprétations</w:t>
      </w:r>
      <w:r>
        <w:t>. Paris: Aubier-Montaigne</w:t>
      </w:r>
      <w:r w:rsidRPr="00273106">
        <w:t xml:space="preserve">, pp. </w:t>
      </w:r>
      <w:r>
        <w:tab/>
      </w:r>
      <w:r w:rsidRPr="00273106">
        <w:t>265‒282.</w:t>
      </w:r>
    </w:p>
    <w:p w14:paraId="575168EF" w14:textId="77777777" w:rsidR="086E6BFB" w:rsidRPr="00273106" w:rsidRDefault="086E6BFB" w:rsidP="086E6BFB">
      <w:pPr>
        <w:pStyle w:val="Literatura"/>
      </w:pPr>
      <w:r>
        <w:t xml:space="preserve">‒ (1990): </w:t>
      </w:r>
      <w:r w:rsidRPr="00273106">
        <w:rPr>
          <w:i/>
        </w:rPr>
        <w:t>Soi-même comme un autre</w:t>
      </w:r>
      <w:r>
        <w:t>, Paris: Seuil</w:t>
      </w:r>
      <w:r w:rsidRPr="00273106">
        <w:t xml:space="preserve">. </w:t>
      </w:r>
    </w:p>
    <w:p w14:paraId="69337236" w14:textId="77777777" w:rsidR="086E6BFB" w:rsidRPr="00273106" w:rsidRDefault="086E6BFB" w:rsidP="086E6BFB">
      <w:pPr>
        <w:pStyle w:val="Literatura"/>
      </w:pPr>
      <w:r w:rsidRPr="00273106">
        <w:t>Rocca</w:t>
      </w:r>
      <w:r w:rsidRPr="00273106">
        <w:rPr>
          <w:smallCaps/>
        </w:rPr>
        <w:t xml:space="preserve">, </w:t>
      </w:r>
      <w:r w:rsidRPr="00273106">
        <w:t>Gregory</w:t>
      </w:r>
      <w:r>
        <w:t xml:space="preserve"> (1991): "</w:t>
      </w:r>
      <w:r w:rsidRPr="00273106">
        <w:t xml:space="preserve">The Distinction Between </w:t>
      </w:r>
      <w:r w:rsidRPr="00273106">
        <w:rPr>
          <w:i/>
          <w:iCs/>
        </w:rPr>
        <w:t>res significata</w:t>
      </w:r>
      <w:r w:rsidRPr="00273106">
        <w:t xml:space="preserve"> and </w:t>
      </w:r>
      <w:r w:rsidRPr="00273106">
        <w:rPr>
          <w:i/>
          <w:iCs/>
        </w:rPr>
        <w:t xml:space="preserve">modus significandi </w:t>
      </w:r>
      <w:r w:rsidRPr="00273106">
        <w:t>in Aquinas</w:t>
      </w:r>
      <w:r w:rsidRPr="00273106">
        <w:rPr>
          <w:rFonts w:cs="Calibri"/>
        </w:rPr>
        <w:t>'</w:t>
      </w:r>
      <w:r>
        <w:t xml:space="preserve">s Theological </w:t>
      </w:r>
      <w:r>
        <w:tab/>
        <w:t>Epistemology"</w:t>
      </w:r>
      <w:r w:rsidRPr="00273106">
        <w:t xml:space="preserve">. </w:t>
      </w:r>
      <w:r w:rsidRPr="00273106">
        <w:rPr>
          <w:i/>
          <w:iCs/>
        </w:rPr>
        <w:t>The Thomist</w:t>
      </w:r>
      <w:r>
        <w:t xml:space="preserve"> 55</w:t>
      </w:r>
      <w:r w:rsidRPr="00273106">
        <w:t>: 173−197.</w:t>
      </w:r>
    </w:p>
    <w:p w14:paraId="75B17634" w14:textId="77777777" w:rsidR="086E6BFB" w:rsidRPr="00273106" w:rsidRDefault="086E6BFB" w:rsidP="086E6BFB">
      <w:pPr>
        <w:pStyle w:val="Literatura"/>
      </w:pPr>
      <w:r w:rsidRPr="00273106">
        <w:t>Rohmer, Jean</w:t>
      </w:r>
      <w:r>
        <w:t xml:space="preserve"> (1928): "</w:t>
      </w:r>
      <w:r w:rsidRPr="00273106">
        <w:t xml:space="preserve">La théorie de l'abstraction dans l'école franciscaine, d'Alexandre de Halès à Jean </w:t>
      </w:r>
      <w:r>
        <w:tab/>
      </w:r>
      <w:r w:rsidRPr="00273106">
        <w:t>Peckam</w:t>
      </w:r>
      <w:r>
        <w:t>"</w:t>
      </w:r>
      <w:r w:rsidRPr="00273106">
        <w:t xml:space="preserve">. </w:t>
      </w:r>
      <w:r w:rsidRPr="00273106">
        <w:rPr>
          <w:i/>
        </w:rPr>
        <w:t>Archives d’histoire doctrinale et littéraire du moyen âge</w:t>
      </w:r>
      <w:r w:rsidRPr="00273106">
        <w:t xml:space="preserve"> </w:t>
      </w:r>
      <w:r>
        <w:t>3</w:t>
      </w:r>
      <w:r w:rsidRPr="00273106">
        <w:t>: 105–184.</w:t>
      </w:r>
    </w:p>
    <w:p w14:paraId="34109B02" w14:textId="77777777" w:rsidR="086E6BFB" w:rsidRPr="00273106" w:rsidRDefault="086E6BFB" w:rsidP="086E6BFB">
      <w:pPr>
        <w:pStyle w:val="Literatura"/>
      </w:pPr>
      <w:r w:rsidRPr="00BD19BC">
        <w:t>Rokay, Zoltán</w:t>
      </w:r>
      <w:r>
        <w:rPr>
          <w:smallCaps/>
        </w:rPr>
        <w:t xml:space="preserve"> (2004): "</w:t>
      </w:r>
      <w:r w:rsidRPr="00273106">
        <w:t xml:space="preserve">De unitate intellectus. Die gleichnamige Schrift des Lehrers (Alberts des Großen) und des </w:t>
      </w:r>
      <w:r>
        <w:tab/>
      </w:r>
      <w:r w:rsidRPr="00273106">
        <w:t>Schülers (Thomas von Aquin)</w:t>
      </w:r>
      <w:r>
        <w:t xml:space="preserve">". </w:t>
      </w:r>
      <w:r w:rsidRPr="00273106">
        <w:rPr>
          <w:i/>
          <w:iCs/>
        </w:rPr>
        <w:t>Verbum</w:t>
      </w:r>
      <w:r>
        <w:t xml:space="preserve"> </w:t>
      </w:r>
      <w:r w:rsidRPr="00273106">
        <w:t>6</w:t>
      </w:r>
      <w:r>
        <w:t>/</w:t>
      </w:r>
      <w:r w:rsidRPr="00273106">
        <w:t>1</w:t>
      </w:r>
      <w:r>
        <w:t>: 61‒</w:t>
      </w:r>
      <w:r w:rsidRPr="00273106">
        <w:t>66.</w:t>
      </w:r>
    </w:p>
    <w:p w14:paraId="7C1767C7" w14:textId="77777777" w:rsidR="086E6BFB" w:rsidRPr="00273106" w:rsidRDefault="086E6BFB" w:rsidP="086E6BFB">
      <w:pPr>
        <w:pStyle w:val="Literatura"/>
      </w:pPr>
      <w:r w:rsidRPr="08AD7147">
        <w:t>Romanus, Aegidius</w:t>
      </w:r>
      <w:r>
        <w:t xml:space="preserve"> </w:t>
      </w:r>
      <w:r>
        <w:rPr>
          <w:szCs w:val="18"/>
        </w:rPr>
        <w:t>(1899):</w:t>
      </w:r>
      <w:r w:rsidRPr="080502EF">
        <w:rPr>
          <w:szCs w:val="18"/>
        </w:rPr>
        <w:t xml:space="preserve"> </w:t>
      </w:r>
      <w:r w:rsidRPr="080502EF">
        <w:rPr>
          <w:i/>
          <w:szCs w:val="18"/>
        </w:rPr>
        <w:t>De erroribus Philosophorum</w:t>
      </w:r>
      <w:r>
        <w:rPr>
          <w:szCs w:val="18"/>
        </w:rPr>
        <w:t xml:space="preserve">. Extrait edited by </w:t>
      </w:r>
      <w:r w:rsidRPr="080502EF">
        <w:rPr>
          <w:szCs w:val="18"/>
        </w:rPr>
        <w:t>Pierre</w:t>
      </w:r>
      <w:r w:rsidRPr="080502EF">
        <w:rPr>
          <w:i/>
          <w:szCs w:val="18"/>
        </w:rPr>
        <w:t xml:space="preserve"> </w:t>
      </w:r>
      <w:r w:rsidRPr="080502EF">
        <w:rPr>
          <w:szCs w:val="18"/>
        </w:rPr>
        <w:t>Mandonnet</w:t>
      </w:r>
      <w:r>
        <w:rPr>
          <w:szCs w:val="18"/>
        </w:rPr>
        <w:t xml:space="preserve">. </w:t>
      </w:r>
      <w:r w:rsidRPr="00273106">
        <w:rPr>
          <w:i/>
        </w:rPr>
        <w:t xml:space="preserve">Siger de Brabant </w:t>
      </w:r>
      <w:r>
        <w:tab/>
      </w:r>
      <w:r w:rsidRPr="00273106">
        <w:rPr>
          <w:i/>
        </w:rPr>
        <w:t>et l'averroïsme latin au XIII</w:t>
      </w:r>
      <w:r w:rsidRPr="085B7308">
        <w:rPr>
          <w:i/>
          <w:vertAlign w:val="superscript"/>
        </w:rPr>
        <w:t>me</w:t>
      </w:r>
      <w:r w:rsidRPr="00273106">
        <w:rPr>
          <w:i/>
        </w:rPr>
        <w:t xml:space="preserve"> siècle. Étude critique</w:t>
      </w:r>
      <w:r>
        <w:rPr>
          <w:i/>
        </w:rPr>
        <w:t xml:space="preserve"> et documents inédits</w:t>
      </w:r>
      <w:r w:rsidRPr="00273106">
        <w:t xml:space="preserve">. Louvain: Institut supérieur de </w:t>
      </w:r>
      <w:r>
        <w:tab/>
      </w:r>
      <w:r w:rsidRPr="00273106">
        <w:t>p</w:t>
      </w:r>
      <w:r>
        <w:t>hilosophie de l'Université</w:t>
      </w:r>
      <w:r w:rsidRPr="00273106">
        <w:t>.</w:t>
      </w:r>
    </w:p>
    <w:p w14:paraId="28F52525" w14:textId="77777777" w:rsidR="086E6BFB" w:rsidRDefault="086E6BFB" w:rsidP="086E6BFB">
      <w:pPr>
        <w:pStyle w:val="Literatura"/>
      </w:pPr>
      <w:r>
        <w:rPr>
          <w:szCs w:val="18"/>
        </w:rPr>
        <w:t xml:space="preserve"> </w:t>
      </w:r>
      <w:r>
        <w:t xml:space="preserve">‒ (2012): </w:t>
      </w:r>
      <w:r w:rsidRPr="08AD7147">
        <w:rPr>
          <w:i/>
        </w:rPr>
        <w:t>De plurificatione possibilis intellectus</w:t>
      </w:r>
      <w:r>
        <w:t>. E</w:t>
      </w:r>
      <w:r w:rsidRPr="003140D6">
        <w:t>d</w:t>
      </w:r>
      <w:r>
        <w:t xml:space="preserve">ited by </w:t>
      </w:r>
      <w:r w:rsidRPr="003140D6">
        <w:t>Olszewski</w:t>
      </w:r>
      <w:r>
        <w:t>, Warsava.</w:t>
      </w:r>
    </w:p>
    <w:p w14:paraId="5F9ECCFD" w14:textId="77777777" w:rsidR="086E6BFB" w:rsidRPr="086703B3" w:rsidRDefault="086E6BFB" w:rsidP="086E6BFB">
      <w:pPr>
        <w:pStyle w:val="Literatura"/>
        <w:rPr>
          <w:bCs/>
          <w:iCs/>
        </w:rPr>
      </w:pPr>
      <w:r>
        <w:rPr>
          <w:szCs w:val="28"/>
        </w:rPr>
        <w:t xml:space="preserve">Rorty, Richard (1979): </w:t>
      </w:r>
      <w:r w:rsidRPr="00997F4D">
        <w:rPr>
          <w:bCs/>
          <w:i/>
          <w:iCs/>
        </w:rPr>
        <w:t>Philosophy and the Mirror of Nature</w:t>
      </w:r>
      <w:r>
        <w:rPr>
          <w:bCs/>
          <w:iCs/>
        </w:rPr>
        <w:t xml:space="preserve">. </w:t>
      </w:r>
      <w:r w:rsidRPr="086703B3">
        <w:rPr>
          <w:szCs w:val="22"/>
        </w:rPr>
        <w:t>Princeton: Princeton University Press</w:t>
      </w:r>
      <w:r w:rsidR="083D593F">
        <w:rPr>
          <w:szCs w:val="22"/>
        </w:rPr>
        <w:t>.</w:t>
      </w:r>
    </w:p>
    <w:p w14:paraId="6A2AE9DD" w14:textId="77777777" w:rsidR="086E6BFB" w:rsidRDefault="086E6BFB" w:rsidP="086E6BFB">
      <w:pPr>
        <w:pStyle w:val="Literatura"/>
        <w:rPr>
          <w:i/>
        </w:rPr>
      </w:pPr>
      <w:r w:rsidRPr="00273106">
        <w:t>Rufus, Richard</w:t>
      </w:r>
      <w:r>
        <w:t xml:space="preserve">. </w:t>
      </w:r>
      <w:r w:rsidRPr="00273106">
        <w:rPr>
          <w:iCs/>
        </w:rPr>
        <w:t xml:space="preserve">The University of Stanford: </w:t>
      </w:r>
      <w:r w:rsidRPr="00273106">
        <w:rPr>
          <w:i/>
        </w:rPr>
        <w:t>The Richard Rufus of Cornwall Project</w:t>
      </w:r>
    </w:p>
    <w:p w14:paraId="0B5AA8F7" w14:textId="77777777" w:rsidR="086E6BFB" w:rsidRDefault="086E6BFB" w:rsidP="086E6BFB">
      <w:pPr>
        <w:pStyle w:val="Literatura"/>
      </w:pPr>
      <w:r>
        <w:rPr>
          <w:i/>
        </w:rPr>
        <w:tab/>
      </w:r>
      <w:r w:rsidRPr="00273106">
        <w:t xml:space="preserve"> (</w:t>
      </w:r>
      <w:r w:rsidRPr="00BA69A4">
        <w:t>http://rrp.stanford.edu/APos.shtml</w:t>
      </w:r>
      <w:r w:rsidRPr="00273106">
        <w:t>)</w:t>
      </w:r>
      <w:r>
        <w:t xml:space="preserve">, quoted: </w:t>
      </w:r>
      <w:r w:rsidRPr="00273106">
        <w:rPr>
          <w:rStyle w:val="TextpoznpodarouChar"/>
        </w:rPr>
        <w:t>RRP Stanford</w:t>
      </w:r>
      <w:r>
        <w:rPr>
          <w:rStyle w:val="TextpoznpodarouChar"/>
        </w:rPr>
        <w:t>.</w:t>
      </w:r>
    </w:p>
    <w:p w14:paraId="3010D1DD" w14:textId="77777777" w:rsidR="086E6BFB" w:rsidRDefault="086E6BFB" w:rsidP="086E6BFB">
      <w:pPr>
        <w:pStyle w:val="Literatura"/>
      </w:pPr>
      <w:r>
        <w:t xml:space="preserve">‒ (2007): </w:t>
      </w:r>
      <w:r w:rsidRPr="00273106">
        <w:rPr>
          <w:i/>
          <w:iCs/>
        </w:rPr>
        <w:t>In Aristoteli Analytica posteriora</w:t>
      </w:r>
      <w:r w:rsidRPr="00273106">
        <w:rPr>
          <w:iCs/>
        </w:rPr>
        <w:t>. Ed</w:t>
      </w:r>
      <w:r>
        <w:rPr>
          <w:iCs/>
        </w:rPr>
        <w:t xml:space="preserve">ited by </w:t>
      </w:r>
      <w:r>
        <w:t xml:space="preserve">Rega Wood, </w:t>
      </w:r>
      <w:r w:rsidRPr="00273106">
        <w:rPr>
          <w:rStyle w:val="TextpoznpodarouChar"/>
        </w:rPr>
        <w:t>RRP Stanford</w:t>
      </w:r>
      <w:r>
        <w:rPr>
          <w:rStyle w:val="TextpoznpodarouChar"/>
        </w:rPr>
        <w:t>.</w:t>
      </w:r>
    </w:p>
    <w:p w14:paraId="104FE5BA" w14:textId="77777777" w:rsidR="086E6BFB" w:rsidRDefault="086E6BFB" w:rsidP="086E6BFB">
      <w:pPr>
        <w:pStyle w:val="Literatura"/>
      </w:pPr>
      <w:r>
        <w:t>‒ (</w:t>
      </w:r>
      <w:r>
        <w:rPr>
          <w:rStyle w:val="TextpoznpodarouChar"/>
        </w:rPr>
        <w:t>2007</w:t>
      </w:r>
      <w:r>
        <w:t xml:space="preserve">): </w:t>
      </w:r>
      <w:r w:rsidRPr="00273106">
        <w:rPr>
          <w:i/>
        </w:rPr>
        <w:t>In Aristotelis De anima. Redactio brevior, liber 1</w:t>
      </w:r>
      <w:r w:rsidRPr="00273106">
        <w:rPr>
          <w:rFonts w:ascii="Georgia" w:hAnsi="Georgia"/>
          <w:i/>
        </w:rPr>
        <w:t>–</w:t>
      </w:r>
      <w:r w:rsidRPr="00273106">
        <w:rPr>
          <w:i/>
        </w:rPr>
        <w:t>3</w:t>
      </w:r>
      <w:r w:rsidRPr="00273106">
        <w:t>. Ed</w:t>
      </w:r>
      <w:r>
        <w:t xml:space="preserve">ited by </w:t>
      </w:r>
      <w:r w:rsidRPr="00273106">
        <w:t>Chr</w:t>
      </w:r>
      <w:r>
        <w:t xml:space="preserve">istopher J. Martin, and Neil Lewis, </w:t>
      </w:r>
      <w:r>
        <w:rPr>
          <w:i/>
        </w:rPr>
        <w:tab/>
      </w:r>
      <w:r>
        <w:t xml:space="preserve">and </w:t>
      </w:r>
      <w:r w:rsidRPr="00273106">
        <w:t>Rega</w:t>
      </w:r>
      <w:r>
        <w:t xml:space="preserve"> </w:t>
      </w:r>
      <w:r w:rsidRPr="00273106">
        <w:t>Wood</w:t>
      </w:r>
      <w:r>
        <w:t xml:space="preserve">, </w:t>
      </w:r>
      <w:r w:rsidRPr="00273106">
        <w:rPr>
          <w:rStyle w:val="TextpoznpodarouChar"/>
        </w:rPr>
        <w:t>RRP Stanford</w:t>
      </w:r>
      <w:r>
        <w:rPr>
          <w:rStyle w:val="TextpoznpodarouChar"/>
        </w:rPr>
        <w:t>.</w:t>
      </w:r>
    </w:p>
    <w:p w14:paraId="642CCD43" w14:textId="77777777" w:rsidR="086E6BFB" w:rsidRDefault="086E6BFB" w:rsidP="086E6BFB">
      <w:pPr>
        <w:pStyle w:val="Literatura"/>
      </w:pPr>
      <w:r>
        <w:t>‒ (</w:t>
      </w:r>
      <w:r>
        <w:rPr>
          <w:rStyle w:val="TextpoznpodarouChar"/>
        </w:rPr>
        <w:t>2013</w:t>
      </w:r>
      <w:r>
        <w:t xml:space="preserve">): </w:t>
      </w:r>
      <w:r w:rsidRPr="00273106">
        <w:rPr>
          <w:i/>
        </w:rPr>
        <w:t>Memoriale in Metaphysicam Aristotelis</w:t>
      </w:r>
      <w:r w:rsidRPr="00273106">
        <w:t>. Ed</w:t>
      </w:r>
      <w:r>
        <w:t xml:space="preserve">ited by </w:t>
      </w:r>
      <w:r w:rsidRPr="00273106">
        <w:t>Rega Wood</w:t>
      </w:r>
      <w:r>
        <w:t xml:space="preserve">, and Neil Lewis, </w:t>
      </w:r>
      <w:r w:rsidRPr="00273106">
        <w:rPr>
          <w:rStyle w:val="TextpoznpodarouChar"/>
        </w:rPr>
        <w:t>RRP Stanford</w:t>
      </w:r>
      <w:r>
        <w:rPr>
          <w:rStyle w:val="TextpoznpodarouChar"/>
        </w:rPr>
        <w:t>.</w:t>
      </w:r>
    </w:p>
    <w:p w14:paraId="25CB6220" w14:textId="77777777" w:rsidR="086E6BFB" w:rsidRDefault="086E6BFB" w:rsidP="086E6BFB">
      <w:pPr>
        <w:pStyle w:val="Literatura"/>
      </w:pPr>
      <w:r>
        <w:t>‒ (</w:t>
      </w:r>
      <w:r>
        <w:rPr>
          <w:rStyle w:val="TextpoznpodarouChar"/>
        </w:rPr>
        <w:t>2011</w:t>
      </w:r>
      <w:r>
        <w:t xml:space="preserve">): </w:t>
      </w:r>
      <w:r w:rsidRPr="00273106">
        <w:rPr>
          <w:i/>
        </w:rPr>
        <w:t>Speculum animae</w:t>
      </w:r>
      <w:r>
        <w:rPr>
          <w:i/>
        </w:rPr>
        <w:t xml:space="preserve">. </w:t>
      </w:r>
      <w:r>
        <w:t xml:space="preserve">Edited by </w:t>
      </w:r>
      <w:r w:rsidRPr="00273106">
        <w:t>Matthew X. Etchemendy</w:t>
      </w:r>
      <w:r>
        <w:t xml:space="preserve">, and </w:t>
      </w:r>
      <w:r w:rsidRPr="00273106">
        <w:t>Rega Wood</w:t>
      </w:r>
      <w:r>
        <w:t xml:space="preserve">, in: </w:t>
      </w:r>
      <w:r w:rsidRPr="00273106">
        <w:t xml:space="preserve">"Speculum animae: </w:t>
      </w:r>
      <w:r>
        <w:tab/>
      </w:r>
      <w:r w:rsidRPr="00273106">
        <w:t>Richard Rufus on Perception and Cognition</w:t>
      </w:r>
      <w:r>
        <w:t>.</w:t>
      </w:r>
      <w:r w:rsidRPr="00273106">
        <w:t xml:space="preserve">" </w:t>
      </w:r>
      <w:r w:rsidRPr="00273106">
        <w:rPr>
          <w:i/>
        </w:rPr>
        <w:t xml:space="preserve">Franciscan Studies </w:t>
      </w:r>
      <w:r w:rsidRPr="00C8007D">
        <w:t>69</w:t>
      </w:r>
      <w:r>
        <w:t>, Appendix, pp. 116‒</w:t>
      </w:r>
      <w:r w:rsidRPr="00273106">
        <w:t>140.</w:t>
      </w:r>
    </w:p>
    <w:p w14:paraId="068036DA" w14:textId="77777777" w:rsidR="08726EFE" w:rsidRDefault="08726EFE" w:rsidP="086E6BFB">
      <w:pPr>
        <w:pStyle w:val="Literatura"/>
        <w:rPr>
          <w:szCs w:val="28"/>
        </w:rPr>
      </w:pPr>
      <w:r w:rsidRPr="08695131">
        <w:t xml:space="preserve">Rusconi, Roberto (1981):  "De la prédication à la confession: transmission et contrôle de modèles de </w:t>
      </w:r>
      <w:r>
        <w:rPr>
          <w:i/>
        </w:rPr>
        <w:tab/>
      </w:r>
      <w:r w:rsidRPr="08695131">
        <w:t xml:space="preserve">comportement au XIIIe siècle." </w:t>
      </w:r>
      <w:r w:rsidRPr="08695131">
        <w:rPr>
          <w:i/>
        </w:rPr>
        <w:t xml:space="preserve">Faire croire. Modalités de la diffusion et de la réception des messages </w:t>
      </w:r>
      <w:r>
        <w:rPr>
          <w:i/>
        </w:rPr>
        <w:tab/>
      </w:r>
      <w:r w:rsidRPr="08695131">
        <w:rPr>
          <w:i/>
        </w:rPr>
        <w:t xml:space="preserve">religieux du XIIe au XVe siècle. Actes de table ronde de Rome (22-23 juin 1979). Publications de l'École </w:t>
      </w:r>
      <w:r>
        <w:rPr>
          <w:i/>
        </w:rPr>
        <w:tab/>
      </w:r>
      <w:r w:rsidRPr="08695131">
        <w:rPr>
          <w:i/>
        </w:rPr>
        <w:t>Française de Rome</w:t>
      </w:r>
      <w:r w:rsidRPr="08695131">
        <w:t xml:space="preserve"> 1981 (</w:t>
      </w:r>
      <w:hyperlink r:id="rId17" w:history="1">
        <w:r w:rsidRPr="08695131">
          <w:t>51</w:t>
        </w:r>
      </w:hyperlink>
      <w:r w:rsidRPr="08695131">
        <w:t>): 67–85</w:t>
      </w:r>
      <w:r>
        <w:t>.</w:t>
      </w:r>
    </w:p>
    <w:p w14:paraId="7FC4F8C5" w14:textId="77777777" w:rsidR="086E6BFB" w:rsidRPr="00273106" w:rsidRDefault="086E6BFB" w:rsidP="086E6BFB">
      <w:pPr>
        <w:pStyle w:val="Literatura"/>
      </w:pPr>
      <w:r w:rsidRPr="00273106">
        <w:rPr>
          <w:szCs w:val="28"/>
        </w:rPr>
        <w:t>Salman, Dominique</w:t>
      </w:r>
      <w:r>
        <w:rPr>
          <w:szCs w:val="28"/>
        </w:rPr>
        <w:t xml:space="preserve"> (1937): "</w:t>
      </w:r>
      <w:r w:rsidRPr="00273106">
        <w:t>Note sur la première influence d'Averroès</w:t>
      </w:r>
      <w:r>
        <w:t xml:space="preserve">". </w:t>
      </w:r>
      <w:r w:rsidRPr="00273106">
        <w:rPr>
          <w:i/>
        </w:rPr>
        <w:t>Revue néo-scolastique de philosophie</w:t>
      </w:r>
      <w:r>
        <w:t xml:space="preserve"> </w:t>
      </w:r>
      <w:r>
        <w:tab/>
        <w:t>54</w:t>
      </w:r>
      <w:r w:rsidRPr="00273106">
        <w:t>:</w:t>
      </w:r>
      <w:r>
        <w:t xml:space="preserve"> </w:t>
      </w:r>
      <w:r w:rsidRPr="00273106">
        <w:t>203–212.</w:t>
      </w:r>
    </w:p>
    <w:p w14:paraId="4288AAE2" w14:textId="77777777" w:rsidR="086E6BFB" w:rsidRPr="00273106" w:rsidRDefault="086E6BFB" w:rsidP="086E6BFB">
      <w:pPr>
        <w:pStyle w:val="Literatura"/>
      </w:pPr>
      <w:r w:rsidRPr="00273106">
        <w:t>Saussure, de Ferdinand</w:t>
      </w:r>
      <w:r>
        <w:t xml:space="preserve"> (1972)</w:t>
      </w:r>
      <w:r w:rsidRPr="00273106">
        <w:t xml:space="preserve">. </w:t>
      </w:r>
      <w:r w:rsidRPr="00273106">
        <w:rPr>
          <w:i/>
          <w:iCs/>
        </w:rPr>
        <w:t>Cours de linguistique générale</w:t>
      </w:r>
      <w:r w:rsidRPr="00273106">
        <w:t xml:space="preserve">, </w:t>
      </w:r>
      <w:r>
        <w:t>Paris: Payot</w:t>
      </w:r>
      <w:r w:rsidRPr="00273106">
        <w:t>.</w:t>
      </w:r>
    </w:p>
    <w:p w14:paraId="101069C2" w14:textId="77777777" w:rsidR="086E6BFB" w:rsidRPr="00273106" w:rsidRDefault="086E6BFB" w:rsidP="086E6BFB">
      <w:pPr>
        <w:pStyle w:val="Literatura"/>
      </w:pPr>
      <w:r>
        <w:t xml:space="preserve">Sebti, </w:t>
      </w:r>
      <w:r w:rsidRPr="00273106">
        <w:t>Meryem</w:t>
      </w:r>
      <w:r>
        <w:t xml:space="preserve"> (2005): "</w:t>
      </w:r>
      <w:r w:rsidRPr="00273106">
        <w:t>Le Statut ontologique de l'image dans la doctrine avicennienne de la perception</w:t>
      </w:r>
      <w:r>
        <w:t>"</w:t>
      </w:r>
      <w:r w:rsidRPr="00273106">
        <w:t xml:space="preserve">. </w:t>
      </w:r>
      <w:r>
        <w:tab/>
      </w:r>
      <w:r w:rsidRPr="00273106">
        <w:rPr>
          <w:i/>
        </w:rPr>
        <w:t>Arabic Sciences and Philosophy</w:t>
      </w:r>
      <w:r>
        <w:t xml:space="preserve"> 15: 109‒</w:t>
      </w:r>
      <w:r w:rsidRPr="00273106">
        <w:t>140.</w:t>
      </w:r>
    </w:p>
    <w:p w14:paraId="60B60028" w14:textId="77777777" w:rsidR="081D023E" w:rsidRPr="086D79EF" w:rsidRDefault="081D023E" w:rsidP="081D023E">
      <w:pPr>
        <w:pStyle w:val="Literatura"/>
        <w:rPr>
          <w:rStyle w:val="tpp"/>
          <w:szCs w:val="22"/>
        </w:rPr>
      </w:pPr>
      <w:r w:rsidRPr="086D79EF">
        <w:t xml:space="preserve">Schmitt, Arbogast (1988): "Menschliches Fehlen. und tragisches Scheitern. Zur </w:t>
      </w:r>
      <w:r w:rsidR="08321F52" w:rsidRPr="086D79EF">
        <w:t xml:space="preserve">Handlungsmotivation im </w:t>
      </w:r>
      <w:r w:rsidR="086D79EF">
        <w:tab/>
      </w:r>
      <w:r w:rsidRPr="086D79EF">
        <w:t xml:space="preserve">Sophokleischen </w:t>
      </w:r>
      <w:r w:rsidRPr="086D79EF">
        <w:rPr>
          <w:i/>
        </w:rPr>
        <w:t>König Odipus</w:t>
      </w:r>
      <w:r w:rsidRPr="086D79EF">
        <w:t xml:space="preserve">." </w:t>
      </w:r>
      <w:r w:rsidRPr="086D79EF">
        <w:rPr>
          <w:rStyle w:val="st"/>
          <w:i/>
        </w:rPr>
        <w:t>Rheinisches Museum für Philologie</w:t>
      </w:r>
      <w:r w:rsidRPr="086D79EF">
        <w:t xml:space="preserve"> 131: 8–30.</w:t>
      </w:r>
    </w:p>
    <w:p w14:paraId="4130DFB7" w14:textId="77777777" w:rsidR="086E6BFB" w:rsidRPr="08EE01AB" w:rsidRDefault="086E6BFB" w:rsidP="086E6BFB">
      <w:pPr>
        <w:pStyle w:val="Literatura"/>
      </w:pPr>
      <w:r w:rsidRPr="08EE01AB">
        <w:rPr>
          <w:szCs w:val="18"/>
        </w:rPr>
        <w:t>Schöller</w:t>
      </w:r>
      <w:r>
        <w:rPr>
          <w:szCs w:val="18"/>
        </w:rPr>
        <w:t xml:space="preserve">, </w:t>
      </w:r>
      <w:r w:rsidRPr="08EE01AB">
        <w:rPr>
          <w:szCs w:val="18"/>
        </w:rPr>
        <w:t xml:space="preserve">Marco (2001): "Lüge, Wahrheit und Dichtung im Islam", in: Kurt Röttgers und Monika Schmitz-Emans </w:t>
      </w:r>
      <w:r>
        <w:tab/>
      </w:r>
      <w:r w:rsidRPr="08EE01AB">
        <w:rPr>
          <w:szCs w:val="18"/>
        </w:rPr>
        <w:t xml:space="preserve"> (Hg.): </w:t>
      </w:r>
      <w:r w:rsidRPr="08EE01AB">
        <w:rPr>
          <w:i/>
          <w:szCs w:val="18"/>
        </w:rPr>
        <w:t>Dichter lügen</w:t>
      </w:r>
      <w:r>
        <w:rPr>
          <w:szCs w:val="18"/>
        </w:rPr>
        <w:t xml:space="preserve">. </w:t>
      </w:r>
      <w:r w:rsidRPr="08EE01AB">
        <w:rPr>
          <w:szCs w:val="18"/>
        </w:rPr>
        <w:t>Blaue Eule: Essen 2001:</w:t>
      </w:r>
      <w:r w:rsidR="082B1E5A">
        <w:rPr>
          <w:szCs w:val="18"/>
        </w:rPr>
        <w:t xml:space="preserve"> </w:t>
      </w:r>
      <w:r w:rsidRPr="08EE01AB">
        <w:rPr>
          <w:szCs w:val="18"/>
        </w:rPr>
        <w:t>129─151.</w:t>
      </w:r>
    </w:p>
    <w:p w14:paraId="0B033983" w14:textId="77777777" w:rsidR="086E6BFB" w:rsidRDefault="081237F6" w:rsidP="086E6BFB">
      <w:pPr>
        <w:pStyle w:val="Literatura"/>
      </w:pPr>
      <w:r>
        <w:t>Siger de Brabantia</w:t>
      </w:r>
      <w:r w:rsidR="086E6BFB">
        <w:t xml:space="preserve"> (1972): </w:t>
      </w:r>
      <w:r w:rsidR="086E6BFB">
        <w:rPr>
          <w:i/>
          <w:iCs/>
        </w:rPr>
        <w:t>Quaestiones in tertium De anima, De anima intellectiva, De aeternitate mundi</w:t>
      </w:r>
      <w:r>
        <w:t xml:space="preserve">. </w:t>
      </w:r>
      <w:r>
        <w:tab/>
        <w:t xml:space="preserve">Edited </w:t>
      </w:r>
      <w:r w:rsidR="086E6BFB">
        <w:t>by B. Bazán. Louvain et Paris, Publications Universitaires Béatrice Nauwelarts.</w:t>
      </w:r>
    </w:p>
    <w:p w14:paraId="15C21BC0" w14:textId="77777777" w:rsidR="086E6BFB" w:rsidRDefault="086E6BFB" w:rsidP="086E6BFB">
      <w:pPr>
        <w:pStyle w:val="Literatura"/>
      </w:pPr>
      <w:r>
        <w:t xml:space="preserve">‒ (1983): </w:t>
      </w:r>
      <w:r w:rsidRPr="00B369CF">
        <w:rPr>
          <w:i/>
        </w:rPr>
        <w:t>Quaestiones in metaphysicam</w:t>
      </w:r>
      <w:r>
        <w:t xml:space="preserve">. Texte inédit de la reportation de Cambridge. Édition revue de la </w:t>
      </w:r>
      <w:r>
        <w:tab/>
        <w:t xml:space="preserve">reportation de Paris. Ed. </w:t>
      </w:r>
      <w:r w:rsidR="08AB4716">
        <w:t xml:space="preserve">Armand </w:t>
      </w:r>
      <w:r w:rsidR="081F7D2A">
        <w:t xml:space="preserve">Mauer, </w:t>
      </w:r>
      <w:r>
        <w:t>Leuven: Peeters Publishers</w:t>
      </w:r>
      <w:r w:rsidR="08EE78B4">
        <w:t>.</w:t>
      </w:r>
    </w:p>
    <w:p w14:paraId="52AF6153" w14:textId="77777777" w:rsidR="086E6BFB" w:rsidRPr="00273106" w:rsidRDefault="086E6BFB" w:rsidP="086E6BFB">
      <w:pPr>
        <w:pStyle w:val="Literatura"/>
      </w:pPr>
      <w:r w:rsidRPr="00273106">
        <w:t>Simonin, Henri-Dominique</w:t>
      </w:r>
      <w:r>
        <w:t xml:space="preserve"> (1930): "</w:t>
      </w:r>
      <w:r w:rsidRPr="00273106">
        <w:t xml:space="preserve">La connaissance humaine des singuliers matériels d'après les Maîtres </w:t>
      </w:r>
      <w:r>
        <w:tab/>
      </w:r>
      <w:r w:rsidRPr="00273106">
        <w:t>Franciscains de la fin du XIIIe siècle</w:t>
      </w:r>
      <w:r>
        <w:t xml:space="preserve">". </w:t>
      </w:r>
      <w:r w:rsidRPr="00273106">
        <w:rPr>
          <w:i/>
        </w:rPr>
        <w:t xml:space="preserve">Mélanges Mandonnet. Études d'histoire littéraire et doctrinale du </w:t>
      </w:r>
      <w:r>
        <w:rPr>
          <w:i/>
        </w:rPr>
        <w:tab/>
        <w:t>Moyen Âge</w:t>
      </w:r>
      <w:r w:rsidRPr="00273106">
        <w:rPr>
          <w:i/>
        </w:rPr>
        <w:t xml:space="preserve"> 2</w:t>
      </w:r>
      <w:r w:rsidRPr="00273106">
        <w:t xml:space="preserve">. Kain: Le Saulchoir, </w:t>
      </w:r>
      <w:r>
        <w:t>pp. 289‒</w:t>
      </w:r>
      <w:r w:rsidRPr="00273106">
        <w:t>303.</w:t>
      </w:r>
    </w:p>
    <w:p w14:paraId="2D359F6B" w14:textId="77777777" w:rsidR="086E6BFB" w:rsidRDefault="086E6BFB" w:rsidP="086E6BFB">
      <w:pPr>
        <w:pStyle w:val="Literatura"/>
      </w:pPr>
      <w:r w:rsidRPr="00273106">
        <w:t>Simplicius</w:t>
      </w:r>
      <w:r>
        <w:t xml:space="preserve"> (2003): </w:t>
      </w:r>
      <w:r w:rsidRPr="00273106">
        <w:rPr>
          <w:i/>
          <w:szCs w:val="41"/>
        </w:rPr>
        <w:t xml:space="preserve">On Aristotle's "Categories </w:t>
      </w:r>
      <w:r>
        <w:rPr>
          <w:i/>
          <w:szCs w:val="37"/>
        </w:rPr>
        <w:t>1‒</w:t>
      </w:r>
      <w:r w:rsidRPr="00273106">
        <w:rPr>
          <w:i/>
          <w:szCs w:val="37"/>
        </w:rPr>
        <w:t>4"</w:t>
      </w:r>
      <w:r w:rsidRPr="00273106">
        <w:rPr>
          <w:szCs w:val="37"/>
        </w:rPr>
        <w:t xml:space="preserve">. </w:t>
      </w:r>
      <w:r w:rsidRPr="00273106">
        <w:rPr>
          <w:szCs w:val="26"/>
        </w:rPr>
        <w:t xml:space="preserve">Translated by Michael Chase. </w:t>
      </w:r>
      <w:r w:rsidRPr="00273106">
        <w:t>Ithaca, New York</w:t>
      </w:r>
      <w:r>
        <w:t xml:space="preserve">: Cornell </w:t>
      </w:r>
      <w:r>
        <w:tab/>
        <w:t>University Press</w:t>
      </w:r>
      <w:r w:rsidRPr="00273106">
        <w:t>.</w:t>
      </w:r>
    </w:p>
    <w:p w14:paraId="7D31A5C8" w14:textId="77777777" w:rsidR="086E6BFB" w:rsidRDefault="086E6BFB" w:rsidP="086E6BFB">
      <w:pPr>
        <w:pStyle w:val="Literatura"/>
        <w:rPr>
          <w:szCs w:val="15"/>
        </w:rPr>
      </w:pPr>
      <w:r w:rsidRPr="08264DE9">
        <w:t>Singer</w:t>
      </w:r>
      <w:r>
        <w:t xml:space="preserve">, </w:t>
      </w:r>
      <w:r w:rsidRPr="08264DE9">
        <w:t>Peter</w:t>
      </w:r>
      <w:r>
        <w:t xml:space="preserve"> (2011): </w:t>
      </w:r>
      <w:r w:rsidRPr="08264DE9">
        <w:rPr>
          <w:i/>
        </w:rPr>
        <w:t>P</w:t>
      </w:r>
      <w:r w:rsidRPr="08264DE9">
        <w:rPr>
          <w:rStyle w:val="b2"/>
          <w:i/>
        </w:rPr>
        <w:t>ractical Ethics</w:t>
      </w:r>
      <w:r>
        <w:rPr>
          <w:rStyle w:val="b2"/>
        </w:rPr>
        <w:t xml:space="preserve">. </w:t>
      </w:r>
      <w:r>
        <w:t>Cambridge University Press: Cambridge.</w:t>
      </w:r>
    </w:p>
    <w:p w14:paraId="74B1E8A8" w14:textId="77777777" w:rsidR="086E6BFB" w:rsidRPr="00273106" w:rsidRDefault="086E6BFB" w:rsidP="086E6BFB">
      <w:pPr>
        <w:pStyle w:val="Literatura"/>
        <w:rPr>
          <w:szCs w:val="15"/>
        </w:rPr>
      </w:pPr>
      <w:r w:rsidRPr="00273106">
        <w:rPr>
          <w:szCs w:val="15"/>
        </w:rPr>
        <w:t>Sorabji, Richard</w:t>
      </w:r>
      <w:r>
        <w:rPr>
          <w:szCs w:val="15"/>
        </w:rPr>
        <w:t xml:space="preserve"> (1987): </w:t>
      </w:r>
      <w:r w:rsidRPr="00273106">
        <w:rPr>
          <w:szCs w:val="15"/>
        </w:rPr>
        <w:t>"</w:t>
      </w:r>
      <w:r w:rsidRPr="00273106">
        <w:t>Simplicius: Prime matter as extension</w:t>
      </w:r>
      <w:r w:rsidRPr="00273106">
        <w:rPr>
          <w:szCs w:val="15"/>
        </w:rPr>
        <w:t>"</w:t>
      </w:r>
      <w:r w:rsidRPr="00273106">
        <w:t xml:space="preserve">, </w:t>
      </w:r>
      <w:r w:rsidRPr="00273106">
        <w:rPr>
          <w:i/>
        </w:rPr>
        <w:t xml:space="preserve">Simplicius. Sa vie, son oeuvre, sa survie. Actes </w:t>
      </w:r>
      <w:r>
        <w:rPr>
          <w:i/>
        </w:rPr>
        <w:tab/>
      </w:r>
      <w:r w:rsidRPr="00273106">
        <w:rPr>
          <w:i/>
        </w:rPr>
        <w:t xml:space="preserve">du colloque international de Paris (28. Sept. </w:t>
      </w:r>
      <w:r w:rsidRPr="00273106">
        <w:t xml:space="preserve">– </w:t>
      </w:r>
      <w:r w:rsidRPr="00273106">
        <w:rPr>
          <w:i/>
        </w:rPr>
        <w:t>1er Oct. 1985)</w:t>
      </w:r>
      <w:r>
        <w:rPr>
          <w:i/>
        </w:rPr>
        <w:t xml:space="preserve">, </w:t>
      </w:r>
      <w:r>
        <w:t>edited by Ilsetraut Hadot,</w:t>
      </w:r>
      <w:r w:rsidRPr="00273106">
        <w:t xml:space="preserve"> Berlin &amp; N</w:t>
      </w:r>
      <w:r>
        <w:t xml:space="preserve">ew York: </w:t>
      </w:r>
      <w:r>
        <w:tab/>
        <w:t>Walter de Gruyter</w:t>
      </w:r>
      <w:r w:rsidRPr="00273106">
        <w:t>, pp. 148–165.</w:t>
      </w:r>
    </w:p>
    <w:p w14:paraId="683770BC" w14:textId="77777777" w:rsidR="086E6BFB" w:rsidRPr="00273106" w:rsidRDefault="086E6BFB" w:rsidP="086E6BFB">
      <w:pPr>
        <w:pStyle w:val="Literatura"/>
      </w:pPr>
      <w:r>
        <w:t xml:space="preserve">Spade, Paul Vincent (1999): </w:t>
      </w:r>
      <w:r w:rsidRPr="00273106">
        <w:rPr>
          <w:i/>
        </w:rPr>
        <w:t>The Cambridge Companion to Ockham</w:t>
      </w:r>
      <w:r w:rsidRPr="00273106">
        <w:t xml:space="preserve">. </w:t>
      </w:r>
      <w:r>
        <w:t>Edited by Paul Vincent</w:t>
      </w:r>
      <w:r w:rsidRPr="00336541">
        <w:t xml:space="preserve"> </w:t>
      </w:r>
      <w:r>
        <w:t xml:space="preserve">Spade, Cambridge </w:t>
      </w:r>
      <w:r>
        <w:tab/>
        <w:t>University Press</w:t>
      </w:r>
      <w:r w:rsidRPr="00273106">
        <w:t>.</w:t>
      </w:r>
    </w:p>
    <w:p w14:paraId="31ECD84E" w14:textId="77777777" w:rsidR="086E6BFB" w:rsidRPr="00273106" w:rsidRDefault="086E6BFB" w:rsidP="086E6BFB">
      <w:pPr>
        <w:pStyle w:val="Literatura"/>
      </w:pPr>
      <w:r w:rsidRPr="00273106">
        <w:t>Spettmann, Hieronymus</w:t>
      </w:r>
      <w:r>
        <w:t xml:space="preserve"> (1919):</w:t>
      </w:r>
      <w:r w:rsidRPr="00273106">
        <w:t xml:space="preserve"> </w:t>
      </w:r>
      <w:r w:rsidRPr="00273106">
        <w:rPr>
          <w:i/>
        </w:rPr>
        <w:t>Die Psychologie des Johannes Pecham</w:t>
      </w:r>
      <w:r w:rsidRPr="00273106">
        <w:t>. Münster: Verlag der Aschendorf</w:t>
      </w:r>
      <w:r>
        <w:t xml:space="preserve">fschen </w:t>
      </w:r>
      <w:r>
        <w:tab/>
        <w:t>Verlagsbuchhandlung</w:t>
      </w:r>
      <w:r w:rsidRPr="00273106">
        <w:t>.</w:t>
      </w:r>
    </w:p>
    <w:p w14:paraId="6632F369" w14:textId="77777777" w:rsidR="086E6BFB" w:rsidRDefault="086E6BFB" w:rsidP="086E6BFB">
      <w:pPr>
        <w:pStyle w:val="Literatura"/>
      </w:pPr>
      <w:r w:rsidRPr="00F725DE">
        <w:rPr>
          <w:rStyle w:val="st"/>
        </w:rPr>
        <w:t>Spinoza</w:t>
      </w:r>
      <w:r>
        <w:rPr>
          <w:rStyle w:val="st"/>
        </w:rPr>
        <w:t xml:space="preserve">, Benedict (1925): </w:t>
      </w:r>
      <w:r w:rsidRPr="00F725DE">
        <w:rPr>
          <w:i/>
        </w:rPr>
        <w:t>Opera</w:t>
      </w:r>
      <w:r>
        <w:rPr>
          <w:i/>
        </w:rPr>
        <w:t>. I</w:t>
      </w:r>
      <w:r>
        <w:rPr>
          <w:i/>
          <w:iCs/>
        </w:rPr>
        <w:t xml:space="preserve">m Auftrag der Heidelberger Akademie der Wissenschaften </w:t>
      </w:r>
      <w:r>
        <w:rPr>
          <w:i/>
          <w:iCs/>
        </w:rPr>
        <w:tab/>
        <w:t>herausgegeben.</w:t>
      </w:r>
      <w:r>
        <w:t xml:space="preserve"> </w:t>
      </w:r>
      <w:r>
        <w:tab/>
        <w:t>Edited by Carl Gebhardt. Heidelberg: C. Winter.</w:t>
      </w:r>
    </w:p>
    <w:p w14:paraId="4BB1037F" w14:textId="60A97C3B" w:rsidR="086E6BFB" w:rsidRPr="00273106" w:rsidRDefault="086E6BFB" w:rsidP="086E6BFB">
      <w:pPr>
        <w:pStyle w:val="Literatura"/>
      </w:pPr>
      <w:r w:rsidRPr="00273106">
        <w:t>Spruit, Leen</w:t>
      </w:r>
      <w:r>
        <w:t xml:space="preserve"> (1994):</w:t>
      </w:r>
      <w:r w:rsidRPr="00273106">
        <w:t xml:space="preserve"> </w:t>
      </w:r>
      <w:r w:rsidR="004B4D52" w:rsidRPr="004B4D52">
        <w:rPr>
          <w:rStyle w:val="fn"/>
        </w:rPr>
        <w:t>Species</w:t>
      </w:r>
      <w:r w:rsidRPr="00273106">
        <w:rPr>
          <w:rStyle w:val="fn"/>
          <w:i/>
        </w:rPr>
        <w:t xml:space="preserve"> intelligibilis. 1. Classical roots and medieval discussions</w:t>
      </w:r>
      <w:r w:rsidRPr="00273106">
        <w:rPr>
          <w:rStyle w:val="fn"/>
        </w:rPr>
        <w:t xml:space="preserve">. Leiden: </w:t>
      </w:r>
      <w:r>
        <w:t>Brill</w:t>
      </w:r>
      <w:r w:rsidRPr="00273106">
        <w:t>.</w:t>
      </w:r>
    </w:p>
    <w:p w14:paraId="60DFFEBE" w14:textId="77777777" w:rsidR="086E6BFB" w:rsidRPr="00273106" w:rsidRDefault="086E6BFB" w:rsidP="086E6BFB">
      <w:pPr>
        <w:pStyle w:val="Literatura"/>
        <w:rPr>
          <w:rStyle w:val="st"/>
        </w:rPr>
      </w:pPr>
      <w:r w:rsidRPr="00273106">
        <w:t xml:space="preserve">Suarez-Nani, </w:t>
      </w:r>
      <w:r w:rsidRPr="00273106">
        <w:rPr>
          <w:rStyle w:val="st"/>
        </w:rPr>
        <w:t>Tiziana</w:t>
      </w:r>
      <w:r>
        <w:rPr>
          <w:rStyle w:val="st"/>
        </w:rPr>
        <w:t xml:space="preserve"> (2003): "</w:t>
      </w:r>
      <w:r w:rsidRPr="00273106">
        <w:rPr>
          <w:szCs w:val="28"/>
        </w:rPr>
        <w:t>Pierre de Jean Olivi et la subjectivité angélique</w:t>
      </w:r>
      <w:r>
        <w:rPr>
          <w:szCs w:val="28"/>
        </w:rPr>
        <w:t>"</w:t>
      </w:r>
      <w:r w:rsidRPr="00273106">
        <w:rPr>
          <w:szCs w:val="28"/>
        </w:rPr>
        <w:t xml:space="preserve">. </w:t>
      </w:r>
      <w:r w:rsidRPr="00273106">
        <w:rPr>
          <w:rStyle w:val="st"/>
          <w:i/>
        </w:rPr>
        <w:t xml:space="preserve">Archives d'histoire doctrinale et </w:t>
      </w:r>
      <w:r>
        <w:rPr>
          <w:rStyle w:val="st"/>
          <w:i/>
        </w:rPr>
        <w:tab/>
      </w:r>
      <w:r w:rsidRPr="00273106">
        <w:rPr>
          <w:rStyle w:val="st"/>
          <w:i/>
        </w:rPr>
        <w:t>littéraire du Moyen Âge</w:t>
      </w:r>
      <w:r>
        <w:rPr>
          <w:rStyle w:val="st"/>
        </w:rPr>
        <w:t xml:space="preserve"> 70</w:t>
      </w:r>
      <w:r w:rsidRPr="00273106">
        <w:rPr>
          <w:rStyle w:val="st"/>
        </w:rPr>
        <w:t>/1): 233‒316.</w:t>
      </w:r>
    </w:p>
    <w:p w14:paraId="0C3CB68A" w14:textId="77777777" w:rsidR="086E6BFB" w:rsidRPr="00273106" w:rsidRDefault="086E6BFB" w:rsidP="086E6BFB">
      <w:pPr>
        <w:pStyle w:val="Literatura"/>
      </w:pPr>
      <w:r w:rsidRPr="00273106">
        <w:rPr>
          <w:bCs/>
        </w:rPr>
        <w:t>Steenberghen</w:t>
      </w:r>
      <w:r>
        <w:rPr>
          <w:bCs/>
        </w:rPr>
        <w:t>,</w:t>
      </w:r>
      <w:r w:rsidRPr="00273106">
        <w:rPr>
          <w:i/>
        </w:rPr>
        <w:t xml:space="preserve"> </w:t>
      </w:r>
      <w:r w:rsidRPr="00273106">
        <w:t>Fernand van</w:t>
      </w:r>
      <w:r>
        <w:t xml:space="preserve"> (1977): </w:t>
      </w:r>
      <w:r w:rsidRPr="00273106">
        <w:rPr>
          <w:i/>
        </w:rPr>
        <w:t xml:space="preserve">Maître </w:t>
      </w:r>
      <w:r w:rsidRPr="00273106">
        <w:rPr>
          <w:i/>
          <w:szCs w:val="29"/>
        </w:rPr>
        <w:t xml:space="preserve">Siger </w:t>
      </w:r>
      <w:r w:rsidRPr="00273106">
        <w:rPr>
          <w:i/>
        </w:rPr>
        <w:t xml:space="preserve">de </w:t>
      </w:r>
      <w:r w:rsidRPr="00273106">
        <w:rPr>
          <w:i/>
          <w:szCs w:val="26"/>
        </w:rPr>
        <w:t>Brabant</w:t>
      </w:r>
      <w:r w:rsidRPr="00273106">
        <w:rPr>
          <w:szCs w:val="26"/>
        </w:rPr>
        <w:t xml:space="preserve">. </w:t>
      </w:r>
      <w:r w:rsidRPr="00273106">
        <w:t>Louvain: P</w:t>
      </w:r>
      <w:r>
        <w:t>ublications universitaires</w:t>
      </w:r>
      <w:r w:rsidRPr="00273106">
        <w:rPr>
          <w:szCs w:val="23"/>
        </w:rPr>
        <w:t>.</w:t>
      </w:r>
    </w:p>
    <w:p w14:paraId="103374BF" w14:textId="77777777" w:rsidR="086E6BFB" w:rsidRPr="00273106" w:rsidRDefault="086E6BFB" w:rsidP="086E6BFB">
      <w:pPr>
        <w:pStyle w:val="Literatura"/>
      </w:pPr>
      <w:r w:rsidRPr="00273106">
        <w:rPr>
          <w:rStyle w:val="Zvraznn"/>
          <w:i w:val="0"/>
          <w:iCs w:val="0"/>
        </w:rPr>
        <w:t>Vernani</w:t>
      </w:r>
      <w:r>
        <w:rPr>
          <w:rStyle w:val="Zvraznn"/>
          <w:i w:val="0"/>
          <w:iCs w:val="0"/>
        </w:rPr>
        <w:t xml:space="preserve">, </w:t>
      </w:r>
      <w:r w:rsidRPr="00273106">
        <w:rPr>
          <w:rStyle w:val="Zvraznn"/>
          <w:i w:val="0"/>
          <w:iCs w:val="0"/>
        </w:rPr>
        <w:t xml:space="preserve">Guido </w:t>
      </w:r>
      <w:r>
        <w:rPr>
          <w:rStyle w:val="Zvraznn"/>
          <w:i w:val="0"/>
          <w:iCs w:val="0"/>
        </w:rPr>
        <w:t xml:space="preserve">(1906): </w:t>
      </w:r>
      <w:r w:rsidRPr="00273106">
        <w:rPr>
          <w:rStyle w:val="Zvraznn"/>
          <w:iCs w:val="0"/>
        </w:rPr>
        <w:t>Contro Dante</w:t>
      </w:r>
      <w:r w:rsidRPr="00273106">
        <w:rPr>
          <w:rStyle w:val="st"/>
        </w:rPr>
        <w:t xml:space="preserve">. </w:t>
      </w:r>
      <w:r w:rsidRPr="007A0209">
        <w:rPr>
          <w:rStyle w:val="st"/>
          <w:i/>
        </w:rPr>
        <w:t xml:space="preserve">Fr. Guidonis Vernani Tractatus </w:t>
      </w:r>
      <w:r w:rsidRPr="007A0209">
        <w:rPr>
          <w:rStyle w:val="Zvraznn"/>
          <w:i w:val="0"/>
          <w:iCs w:val="0"/>
        </w:rPr>
        <w:t xml:space="preserve">De Reprobatione "Monarchiae" </w:t>
      </w:r>
      <w:r>
        <w:rPr>
          <w:rStyle w:val="Zvraznn"/>
          <w:i w:val="0"/>
          <w:iCs w:val="0"/>
        </w:rPr>
        <w:tab/>
      </w:r>
      <w:r>
        <w:rPr>
          <w:rStyle w:val="st"/>
          <w:i/>
        </w:rPr>
        <w:t xml:space="preserve">compositae </w:t>
      </w:r>
      <w:r w:rsidRPr="007A0209">
        <w:rPr>
          <w:rStyle w:val="st"/>
          <w:i/>
        </w:rPr>
        <w:t>a Dante Aligherio Florentino</w:t>
      </w:r>
      <w:r w:rsidRPr="00273106">
        <w:t>. Ed</w:t>
      </w:r>
      <w:r>
        <w:t xml:space="preserve">ited by </w:t>
      </w:r>
      <w:r w:rsidRPr="00273106">
        <w:t xml:space="preserve">Piccini </w:t>
      </w:r>
      <w:r>
        <w:t>G. Jarro</w:t>
      </w:r>
      <w:r w:rsidRPr="00273106">
        <w:t>, Florence: R. Bempor</w:t>
      </w:r>
      <w:r>
        <w:t xml:space="preserve">ad &amp; Figlio </w:t>
      </w:r>
      <w:r>
        <w:tab/>
        <w:t>Lirrai‒Editori</w:t>
      </w:r>
      <w:r w:rsidRPr="00273106">
        <w:t>.</w:t>
      </w:r>
    </w:p>
    <w:p w14:paraId="21128819" w14:textId="77777777" w:rsidR="086E6BFB" w:rsidRPr="00273106" w:rsidRDefault="086E6BFB" w:rsidP="086E6BFB">
      <w:pPr>
        <w:pStyle w:val="Literatura"/>
      </w:pPr>
      <w:r w:rsidRPr="00273106">
        <w:t>Vincent de Beauvais</w:t>
      </w:r>
      <w:r>
        <w:t xml:space="preserve"> (1995):</w:t>
      </w:r>
      <w:r w:rsidRPr="00273106">
        <w:rPr>
          <w:i/>
        </w:rPr>
        <w:t xml:space="preserve"> Vincentii Belvacensis De morali principiis institutione</w:t>
      </w:r>
      <w:r w:rsidRPr="00273106">
        <w:t>. Ed</w:t>
      </w:r>
      <w:r>
        <w:t xml:space="preserve">ited by </w:t>
      </w:r>
      <w:r w:rsidRPr="00273106">
        <w:t>R. J. Schneider</w:t>
      </w:r>
      <w:r>
        <w:t xml:space="preserve">, </w:t>
      </w:r>
      <w:r>
        <w:tab/>
        <w:t>Turnholti: Brepols</w:t>
      </w:r>
      <w:r w:rsidRPr="00273106">
        <w:t>.</w:t>
      </w:r>
    </w:p>
    <w:p w14:paraId="5EFBF036" w14:textId="77777777" w:rsidR="086E6BFB" w:rsidRPr="00273106" w:rsidRDefault="086E6BFB" w:rsidP="086E6BFB">
      <w:pPr>
        <w:pStyle w:val="Literatura"/>
      </w:pPr>
      <w:r w:rsidRPr="083D6324">
        <w:t>Wilhelm von Sherwood</w:t>
      </w:r>
      <w:r>
        <w:t xml:space="preserve"> </w:t>
      </w:r>
      <w:r w:rsidRPr="083D6324">
        <w:t>(2008):</w:t>
      </w:r>
      <w:r w:rsidRPr="083D6324">
        <w:rPr>
          <w:i/>
        </w:rPr>
        <w:t xml:space="preserve"> </w:t>
      </w:r>
      <w:r w:rsidRPr="00273106">
        <w:rPr>
          <w:i/>
        </w:rPr>
        <w:t xml:space="preserve">Die Syncategoremata des Wilhelm von Sherwood: Kommentierung und </w:t>
      </w:r>
      <w:r>
        <w:tab/>
      </w:r>
      <w:r w:rsidRPr="00273106">
        <w:rPr>
          <w:i/>
        </w:rPr>
        <w:t>Historische Einordnung</w:t>
      </w:r>
      <w:r w:rsidRPr="00273106">
        <w:t>.</w:t>
      </w:r>
      <w:r>
        <w:t xml:space="preserve"> Edited by </w:t>
      </w:r>
      <w:r w:rsidRPr="00807F48">
        <w:t>Raina</w:t>
      </w:r>
      <w:r>
        <w:t xml:space="preserve"> </w:t>
      </w:r>
      <w:r w:rsidRPr="00807F48">
        <w:t>Kirchhoff</w:t>
      </w:r>
      <w:r>
        <w:t>. Leiden: Brill</w:t>
      </w:r>
      <w:r w:rsidRPr="00273106">
        <w:t>.</w:t>
      </w:r>
    </w:p>
    <w:p w14:paraId="023B2C40" w14:textId="77777777" w:rsidR="086E6BFB" w:rsidRPr="00273106" w:rsidRDefault="086E6BFB" w:rsidP="086E6BFB">
      <w:pPr>
        <w:pStyle w:val="Literatura"/>
      </w:pPr>
      <w:r w:rsidRPr="00273106">
        <w:rPr>
          <w:rStyle w:val="addmd"/>
        </w:rPr>
        <w:t>Taormina, Daniela Patrizia</w:t>
      </w:r>
      <w:r>
        <w:rPr>
          <w:rStyle w:val="addmd"/>
        </w:rPr>
        <w:t xml:space="preserve"> (1999):</w:t>
      </w:r>
      <w:r w:rsidRPr="00273106">
        <w:rPr>
          <w:rStyle w:val="addmd"/>
        </w:rPr>
        <w:t xml:space="preserve"> </w:t>
      </w:r>
      <w:r w:rsidRPr="00273106">
        <w:rPr>
          <w:i/>
        </w:rPr>
        <w:t>Jamblique, critique de Plotin et de Porphyre: quatre études</w:t>
      </w:r>
      <w:r>
        <w:t>. Paris: J. Vrin</w:t>
      </w:r>
      <w:r w:rsidRPr="00273106">
        <w:t>.</w:t>
      </w:r>
    </w:p>
    <w:p w14:paraId="331D448E" w14:textId="77777777" w:rsidR="086E6BFB" w:rsidRDefault="086E6BFB" w:rsidP="086E6BFB">
      <w:pPr>
        <w:pStyle w:val="Literatura"/>
      </w:pPr>
      <w:r w:rsidRPr="00273106">
        <w:t>Taylor, C. Richard</w:t>
      </w:r>
      <w:r>
        <w:t xml:space="preserve"> (2005): "</w:t>
      </w:r>
      <w:r w:rsidRPr="00273106">
        <w:t>The Agent Intellect as "form for us" and Averroes's Critique of al-Fârâbî</w:t>
      </w:r>
      <w:r>
        <w:t>".</w:t>
      </w:r>
      <w:r w:rsidRPr="00273106">
        <w:t xml:space="preserve"> </w:t>
      </w:r>
      <w:r w:rsidRPr="00273106">
        <w:rPr>
          <w:i/>
        </w:rPr>
        <w:t>Tópicos</w:t>
      </w:r>
      <w:r>
        <w:t xml:space="preserve"> 29</w:t>
      </w:r>
      <w:r w:rsidRPr="00273106">
        <w:t xml:space="preserve">: </w:t>
      </w:r>
      <w:r>
        <w:tab/>
      </w:r>
      <w:r w:rsidRPr="00273106">
        <w:t>29–51.</w:t>
      </w:r>
    </w:p>
    <w:p w14:paraId="04DBC300" w14:textId="77777777" w:rsidR="086E6BFB" w:rsidRPr="00273106" w:rsidRDefault="086E6BFB" w:rsidP="086E6BFB">
      <w:pPr>
        <w:pStyle w:val="Literatura"/>
        <w:rPr>
          <w:color w:val="000000"/>
        </w:rPr>
      </w:pPr>
      <w:r>
        <w:t>‒ (2009): "</w:t>
      </w:r>
      <w:r w:rsidRPr="00273106">
        <w:t>Intellect as intrinsic formal cause in the soul according to Aquinas and Averroes</w:t>
      </w:r>
      <w:r>
        <w:t xml:space="preserve">". </w:t>
      </w:r>
      <w:r w:rsidRPr="00273106">
        <w:rPr>
          <w:rStyle w:val="Zvraznn"/>
        </w:rPr>
        <w:t xml:space="preserve">The Afterlife of the </w:t>
      </w:r>
      <w:r>
        <w:rPr>
          <w:rStyle w:val="Zvraznn"/>
        </w:rPr>
        <w:tab/>
      </w:r>
      <w:r w:rsidRPr="00273106">
        <w:rPr>
          <w:rStyle w:val="Zvraznn"/>
        </w:rPr>
        <w:t>Platonic Soul: Reflections of Platonic Psychology in the Monotheistic Religions</w:t>
      </w:r>
      <w:r w:rsidRPr="000D57AB">
        <w:rPr>
          <w:rStyle w:val="Zvraznn"/>
          <w:i w:val="0"/>
        </w:rPr>
        <w:t xml:space="preserve">, edited by </w:t>
      </w:r>
      <w:r w:rsidRPr="00273106">
        <w:t>Ma</w:t>
      </w:r>
      <w:r>
        <w:t>ha Elkaisy-</w:t>
      </w:r>
      <w:r>
        <w:tab/>
        <w:t>Friemuth, and John M. Dillon</w:t>
      </w:r>
      <w:r w:rsidRPr="00273106">
        <w:t>, Leiden: Brill, pp. 187–220.</w:t>
      </w:r>
    </w:p>
    <w:p w14:paraId="7DD47F15" w14:textId="77777777" w:rsidR="086E6BFB" w:rsidRDefault="086E6BFB" w:rsidP="086E6BFB">
      <w:pPr>
        <w:pStyle w:val="Literatura"/>
        <w:rPr>
          <w:szCs w:val="22"/>
        </w:rPr>
      </w:pPr>
      <w:r>
        <w:t xml:space="preserve">Tertullianus (1971): </w:t>
      </w:r>
      <w:r w:rsidRPr="08CE52E4">
        <w:t>Q. S. FL. T</w:t>
      </w:r>
      <w:r>
        <w:t xml:space="preserve">ertulliani Adversus Valentinianos. Text, Translation, and Commentary by Mark T. </w:t>
      </w:r>
      <w:r>
        <w:rPr>
          <w:szCs w:val="22"/>
        </w:rPr>
        <w:tab/>
      </w:r>
      <w:r>
        <w:t xml:space="preserve">Riley. </w:t>
      </w:r>
      <w:r w:rsidRPr="08CE52E4">
        <w:t>Stanford University</w:t>
      </w:r>
      <w:r>
        <w:t>.</w:t>
      </w:r>
    </w:p>
    <w:p w14:paraId="5C1C4FA6" w14:textId="77777777" w:rsidR="086E6BFB" w:rsidRPr="00273106" w:rsidRDefault="086E6BFB" w:rsidP="086E6BFB">
      <w:pPr>
        <w:pStyle w:val="Literatura"/>
      </w:pPr>
      <w:r>
        <w:rPr>
          <w:szCs w:val="22"/>
        </w:rPr>
        <w:t xml:space="preserve">Teske, </w:t>
      </w:r>
      <w:r w:rsidRPr="00273106">
        <w:rPr>
          <w:szCs w:val="22"/>
        </w:rPr>
        <w:t xml:space="preserve">Roland J. </w:t>
      </w:r>
      <w:r>
        <w:rPr>
          <w:szCs w:val="22"/>
        </w:rPr>
        <w:t xml:space="preserve">(2006):  </w:t>
      </w:r>
      <w:r w:rsidRPr="00273106">
        <w:rPr>
          <w:i/>
          <w:szCs w:val="22"/>
        </w:rPr>
        <w:t>Studies in the philosophy of William of Auvergne, Bishop of Paris (1228</w:t>
      </w:r>
      <w:r w:rsidRPr="00273106">
        <w:rPr>
          <w:i/>
        </w:rPr>
        <w:t>–</w:t>
      </w:r>
      <w:r w:rsidRPr="00273106">
        <w:rPr>
          <w:i/>
          <w:szCs w:val="22"/>
        </w:rPr>
        <w:t>1249)</w:t>
      </w:r>
      <w:r w:rsidRPr="00273106">
        <w:rPr>
          <w:szCs w:val="22"/>
        </w:rPr>
        <w:t xml:space="preserve">. </w:t>
      </w:r>
      <w:r>
        <w:rPr>
          <w:szCs w:val="22"/>
        </w:rPr>
        <w:tab/>
      </w:r>
      <w:r w:rsidRPr="00273106">
        <w:rPr>
          <w:szCs w:val="22"/>
        </w:rPr>
        <w:t xml:space="preserve">Marquette studies in philosophy 51. </w:t>
      </w:r>
      <w:r w:rsidRPr="00273106">
        <w:t xml:space="preserve">Milwaukee: </w:t>
      </w:r>
      <w:r>
        <w:t>Marquette University Press</w:t>
      </w:r>
      <w:r w:rsidRPr="00273106">
        <w:t>.</w:t>
      </w:r>
    </w:p>
    <w:p w14:paraId="4528796F" w14:textId="77777777" w:rsidR="0064580A" w:rsidRDefault="0064580A" w:rsidP="0064580A">
      <w:pPr>
        <w:pStyle w:val="Literatura"/>
        <w:rPr>
          <w:rFonts w:eastAsia="Century Schoolbook"/>
          <w:lang w:val="de-DE"/>
        </w:rPr>
      </w:pPr>
      <w:bookmarkStart w:id="161" w:name="Status"/>
      <w:r w:rsidRPr="00F71866">
        <w:rPr>
          <w:rFonts w:eastAsia="Century Schoolbook"/>
          <w:i/>
          <w:lang w:val="de-DE"/>
        </w:rPr>
        <w:t>Theologia Aristotelis</w:t>
      </w:r>
      <w:r>
        <w:rPr>
          <w:rFonts w:eastAsia="Century Schoolbook"/>
          <w:lang w:val="de-DE"/>
        </w:rPr>
        <w:t xml:space="preserve"> (1882): </w:t>
      </w:r>
      <w:r>
        <w:t xml:space="preserve">Die sogenannte Theologie des Aristoteles, aus arabischen Handschriften zum </w:t>
      </w:r>
      <w:r>
        <w:rPr>
          <w:szCs w:val="22"/>
        </w:rPr>
        <w:tab/>
      </w:r>
      <w:r>
        <w:t xml:space="preserve">ersten Mal hrsg. von Friedrich Dieterici. Leipzig. </w:t>
      </w:r>
    </w:p>
    <w:p w14:paraId="3CC760E8" w14:textId="77777777" w:rsidR="086E6BFB" w:rsidRPr="006616BC" w:rsidRDefault="086E6BFB" w:rsidP="086E6BFB">
      <w:pPr>
        <w:pStyle w:val="Literatura"/>
        <w:rPr>
          <w:i/>
        </w:rPr>
      </w:pPr>
      <w:r w:rsidRPr="08DB0476">
        <w:rPr>
          <w:rStyle w:val="cuatro"/>
        </w:rPr>
        <w:t>Thomas de Aquino</w:t>
      </w:r>
      <w:r>
        <w:rPr>
          <w:rStyle w:val="cuatro"/>
          <w:i/>
        </w:rPr>
        <w:t xml:space="preserve">. </w:t>
      </w:r>
      <w:r w:rsidRPr="007F2DD4">
        <w:rPr>
          <w:rStyle w:val="cuatro"/>
          <w:i/>
        </w:rPr>
        <w:t>Sancti Thomae de Aquino Opera omnia iussu Leonis XIII P. M. edita</w:t>
      </w:r>
      <w:r>
        <w:rPr>
          <w:rStyle w:val="cuatro"/>
          <w:i/>
        </w:rPr>
        <w:t xml:space="preserve">. </w:t>
      </w:r>
      <w:r>
        <w:t>Editio Leonina.</w:t>
      </w:r>
    </w:p>
    <w:bookmarkEnd w:id="161"/>
    <w:p w14:paraId="47DD65FE" w14:textId="77777777" w:rsidR="086E6BFB" w:rsidRDefault="086E6BFB" w:rsidP="086E6BFB">
      <w:pPr>
        <w:pStyle w:val="Literatura"/>
      </w:pPr>
      <w:r>
        <w:t xml:space="preserve">‒ (1882): </w:t>
      </w:r>
      <w:r w:rsidRPr="000D46D8">
        <w:rPr>
          <w:i/>
        </w:rPr>
        <w:t>Expositio Posteriorum Analyticorum</w:t>
      </w:r>
      <w:r>
        <w:rPr>
          <w:i/>
        </w:rPr>
        <w:t>.</w:t>
      </w:r>
      <w:r>
        <w:t xml:space="preserve"> Cum synopsibus et annotationibus Fr. Thomae Mariae Zigliara. </w:t>
      </w:r>
      <w:r>
        <w:tab/>
        <w:t>Leonina, tomus 1.</w:t>
      </w:r>
    </w:p>
    <w:p w14:paraId="139EA694" w14:textId="77777777" w:rsidR="086E6BFB" w:rsidRDefault="086E6BFB" w:rsidP="086E6BFB">
      <w:pPr>
        <w:pStyle w:val="Literatura"/>
      </w:pPr>
      <w:r>
        <w:t xml:space="preserve">‒ </w:t>
      </w:r>
      <w:r w:rsidRPr="008909A1">
        <w:t>(</w:t>
      </w:r>
      <w:r>
        <w:t>1888</w:t>
      </w:r>
      <w:r w:rsidRPr="008909A1">
        <w:t xml:space="preserve">): </w:t>
      </w:r>
      <w:hyperlink r:id="rId18" w:anchor="page/n0/mode/2up" w:history="1">
        <w:r w:rsidRPr="008909A1">
          <w:rPr>
            <w:i/>
          </w:rPr>
          <w:t>Summa theologiae, Iª</w:t>
        </w:r>
      </w:hyperlink>
      <w:r w:rsidRPr="008909A1">
        <w:rPr>
          <w:i/>
        </w:rPr>
        <w:t xml:space="preserve">, </w:t>
      </w:r>
      <w:hyperlink r:id="rId19" w:anchor="page/n0/mode/2up" w:history="1">
        <w:r>
          <w:rPr>
            <w:i/>
          </w:rPr>
          <w:t>q. 1‒4</w:t>
        </w:r>
        <w:r w:rsidRPr="008909A1">
          <w:rPr>
            <w:i/>
          </w:rPr>
          <w:t>9 cum commentariis Caietani</w:t>
        </w:r>
      </w:hyperlink>
      <w:r w:rsidRPr="008909A1">
        <w:t xml:space="preserve">.  </w:t>
      </w:r>
      <w:r>
        <w:t>Leonina, tomus 4.</w:t>
      </w:r>
    </w:p>
    <w:p w14:paraId="4869456C" w14:textId="77777777" w:rsidR="086E6BFB" w:rsidRDefault="086E6BFB" w:rsidP="086E6BFB">
      <w:pPr>
        <w:pStyle w:val="Literatura"/>
      </w:pPr>
      <w:r>
        <w:t xml:space="preserve">‒ </w:t>
      </w:r>
      <w:r w:rsidRPr="008909A1">
        <w:t>(</w:t>
      </w:r>
      <w:r>
        <w:t>1889</w:t>
      </w:r>
      <w:r w:rsidRPr="008909A1">
        <w:t xml:space="preserve">): </w:t>
      </w:r>
      <w:hyperlink r:id="rId20" w:anchor="page/n0/mode/2up" w:history="1">
        <w:r w:rsidRPr="008909A1">
          <w:rPr>
            <w:i/>
          </w:rPr>
          <w:t>Summa theologiae, Iª</w:t>
        </w:r>
      </w:hyperlink>
      <w:r w:rsidRPr="008909A1">
        <w:rPr>
          <w:i/>
        </w:rPr>
        <w:t xml:space="preserve">, </w:t>
      </w:r>
      <w:hyperlink r:id="rId21" w:anchor="page/n0/mode/2up" w:history="1">
        <w:r>
          <w:rPr>
            <w:i/>
          </w:rPr>
          <w:t>q. 50‒</w:t>
        </w:r>
        <w:r w:rsidRPr="008909A1">
          <w:rPr>
            <w:i/>
          </w:rPr>
          <w:t>119 cum commentariis Caietani</w:t>
        </w:r>
      </w:hyperlink>
      <w:r w:rsidRPr="008909A1">
        <w:t xml:space="preserve">.  </w:t>
      </w:r>
      <w:r>
        <w:t>Leonina, tomus 5.</w:t>
      </w:r>
    </w:p>
    <w:p w14:paraId="099908EB" w14:textId="77777777" w:rsidR="086E6BFB" w:rsidRDefault="086E6BFB" w:rsidP="086E6BFB">
      <w:pPr>
        <w:pStyle w:val="Literatura"/>
      </w:pPr>
      <w:r w:rsidRPr="0073202F">
        <w:t>‒ (</w:t>
      </w:r>
      <w:r>
        <w:t>1895</w:t>
      </w:r>
      <w:r w:rsidRPr="0073202F">
        <w:t xml:space="preserve">): </w:t>
      </w:r>
      <w:hyperlink r:id="rId22" w:anchor="page/n5/mode/2up" w:history="1">
        <w:r w:rsidRPr="002B743D">
          <w:rPr>
            <w:i/>
          </w:rPr>
          <w:t>Summa theologiae, IIª-II</w:t>
        </w:r>
        <w:r w:rsidRPr="002B743D">
          <w:rPr>
            <w:i/>
            <w:vertAlign w:val="superscript"/>
          </w:rPr>
          <w:t>ae</w:t>
        </w:r>
        <w:r>
          <w:t>, q. 1‒57</w:t>
        </w:r>
        <w:r w:rsidRPr="0073202F">
          <w:t xml:space="preserve"> cum commentariis Caietani</w:t>
        </w:r>
      </w:hyperlink>
      <w:r w:rsidRPr="0073202F">
        <w:t>.</w:t>
      </w:r>
      <w:r>
        <w:t xml:space="preserve"> Leonina, tomus 8.</w:t>
      </w:r>
    </w:p>
    <w:p w14:paraId="4EF7DA30" w14:textId="77777777" w:rsidR="086E6BFB" w:rsidRDefault="086E6BFB" w:rsidP="086E6BFB">
      <w:pPr>
        <w:pStyle w:val="Literatura"/>
      </w:pPr>
      <w:r w:rsidRPr="0073202F">
        <w:t>‒ (</w:t>
      </w:r>
      <w:r>
        <w:t>1897</w:t>
      </w:r>
      <w:r w:rsidRPr="0073202F">
        <w:t xml:space="preserve">): </w:t>
      </w:r>
      <w:hyperlink r:id="rId23" w:anchor="page/n5/mode/2up" w:history="1">
        <w:r w:rsidRPr="002B743D">
          <w:rPr>
            <w:i/>
          </w:rPr>
          <w:t>Summa theologiae, IIª-II</w:t>
        </w:r>
        <w:r w:rsidRPr="002B743D">
          <w:rPr>
            <w:i/>
            <w:vertAlign w:val="superscript"/>
          </w:rPr>
          <w:t>ae</w:t>
        </w:r>
        <w:r>
          <w:t>, q. 57‒122</w:t>
        </w:r>
        <w:r w:rsidRPr="0073202F">
          <w:t xml:space="preserve"> cum commentariis Caietani</w:t>
        </w:r>
      </w:hyperlink>
      <w:r w:rsidRPr="0073202F">
        <w:t>.</w:t>
      </w:r>
      <w:r>
        <w:t xml:space="preserve"> Leonina, tomus 9</w:t>
      </w:r>
      <w:r w:rsidRPr="0073202F">
        <w:t>.</w:t>
      </w:r>
    </w:p>
    <w:p w14:paraId="157A53D5" w14:textId="77777777" w:rsidR="086E6BFB" w:rsidRDefault="086E6BFB" w:rsidP="086E6BFB">
      <w:pPr>
        <w:pStyle w:val="Literatura"/>
      </w:pPr>
      <w:r>
        <w:t xml:space="preserve">‒ (1918): </w:t>
      </w:r>
      <w:r w:rsidRPr="002B743D">
        <w:rPr>
          <w:i/>
        </w:rPr>
        <w:t>Summa contra Gentiles</w:t>
      </w:r>
      <w:r>
        <w:t>, lib. 1‒</w:t>
      </w:r>
      <w:r w:rsidRPr="00266B9D">
        <w:t>2</w:t>
      </w:r>
      <w:r>
        <w:t xml:space="preserve"> cum commentariis Ferrariensis. Leonina, tomus 13.</w:t>
      </w:r>
    </w:p>
    <w:p w14:paraId="10EED78A" w14:textId="77777777" w:rsidR="086E6BFB" w:rsidRDefault="086E6BFB" w:rsidP="086E6BFB">
      <w:pPr>
        <w:pStyle w:val="Literatura"/>
      </w:pPr>
      <w:r>
        <w:rPr>
          <w:i/>
        </w:rPr>
        <w:t>‒</w:t>
      </w:r>
      <w:r>
        <w:t xml:space="preserve"> (</w:t>
      </w:r>
      <w:r w:rsidRPr="007E5E02">
        <w:t>1966</w:t>
      </w:r>
      <w:r>
        <w:t xml:space="preserve">): </w:t>
      </w:r>
      <w:r w:rsidRPr="00100EB1">
        <w:rPr>
          <w:i/>
        </w:rPr>
        <w:t>In Libros Politicorum Aristotelis Expositio</w:t>
      </w:r>
      <w:r>
        <w:rPr>
          <w:i/>
        </w:rPr>
        <w:t xml:space="preserve">. </w:t>
      </w:r>
      <w:r>
        <w:t>Taurini‒Romae</w:t>
      </w:r>
      <w:r>
        <w:rPr>
          <w:rStyle w:val="ref"/>
        </w:rPr>
        <w:t xml:space="preserve">: </w:t>
      </w:r>
      <w:r>
        <w:t>Marietti.</w:t>
      </w:r>
    </w:p>
    <w:p w14:paraId="35CF95B6" w14:textId="77777777" w:rsidR="086E6BFB" w:rsidRDefault="086E6BFB" w:rsidP="086E6BFB">
      <w:pPr>
        <w:pStyle w:val="Literatura"/>
      </w:pPr>
      <w:r>
        <w:rPr>
          <w:i/>
        </w:rPr>
        <w:t>‒</w:t>
      </w:r>
      <w:r>
        <w:t xml:space="preserve"> (1953): </w:t>
      </w:r>
      <w:r w:rsidRPr="086E2F81">
        <w:rPr>
          <w:i/>
        </w:rPr>
        <w:t>Quaestiones disputatae De potentia</w:t>
      </w:r>
      <w:r>
        <w:t>. Edited by B. Bazzi. Taurini‒Romae</w:t>
      </w:r>
      <w:r>
        <w:rPr>
          <w:rStyle w:val="ref"/>
        </w:rPr>
        <w:t xml:space="preserve">: </w:t>
      </w:r>
      <w:r>
        <w:t>Marietti.</w:t>
      </w:r>
    </w:p>
    <w:p w14:paraId="77AF3304" w14:textId="77777777" w:rsidR="086E6BFB" w:rsidRDefault="086E6BFB" w:rsidP="086E6BFB">
      <w:pPr>
        <w:pStyle w:val="Literatura"/>
      </w:pPr>
      <w:r>
        <w:t xml:space="preserve">‒ (1970): </w:t>
      </w:r>
      <w:r>
        <w:rPr>
          <w:i/>
        </w:rPr>
        <w:t>Quaestiones disputatae D</w:t>
      </w:r>
      <w:r w:rsidRPr="008C1C3B">
        <w:rPr>
          <w:i/>
        </w:rPr>
        <w:t>e veritate</w:t>
      </w:r>
      <w:r>
        <w:t>. Edited by P. Antoine Dondaine. Leonina, tomus 22, vol. 2, fasc. 1.</w:t>
      </w:r>
    </w:p>
    <w:p w14:paraId="174520BC" w14:textId="77777777" w:rsidR="086E6BFB" w:rsidRDefault="086E6BFB" w:rsidP="086E6BFB">
      <w:pPr>
        <w:pStyle w:val="Literatura"/>
      </w:pPr>
      <w:r>
        <w:t xml:space="preserve">‒ (1982): </w:t>
      </w:r>
      <w:r>
        <w:rPr>
          <w:i/>
        </w:rPr>
        <w:t>Quaestiones disputatae D</w:t>
      </w:r>
      <w:r w:rsidRPr="00075851">
        <w:rPr>
          <w:i/>
        </w:rPr>
        <w:t>e malo</w:t>
      </w:r>
      <w:r>
        <w:t>. Leonina, tomus 23.</w:t>
      </w:r>
    </w:p>
    <w:p w14:paraId="52057E93" w14:textId="77777777" w:rsidR="086E6BFB" w:rsidRDefault="086E6BFB" w:rsidP="086E6BFB">
      <w:pPr>
        <w:pStyle w:val="Literatura"/>
      </w:pPr>
      <w:r>
        <w:t xml:space="preserve">‒ (1996: </w:t>
      </w:r>
      <w:r w:rsidRPr="086E2F81">
        <w:rPr>
          <w:i/>
        </w:rPr>
        <w:t>Quaestiones disputatae De anima</w:t>
      </w:r>
      <w:r>
        <w:t>. Edited by B.-C. Bazán. Roma - Paris. Leonina, tomus 24/1.</w:t>
      </w:r>
    </w:p>
    <w:p w14:paraId="37D5A2AC" w14:textId="77777777" w:rsidR="086E6BFB" w:rsidRDefault="086E6BFB" w:rsidP="086E6BFB">
      <w:pPr>
        <w:pStyle w:val="Literatura"/>
      </w:pPr>
      <w:r>
        <w:t xml:space="preserve">‒ (1976): </w:t>
      </w:r>
      <w:r w:rsidRPr="007147C5">
        <w:rPr>
          <w:i/>
        </w:rPr>
        <w:t>De unitate intellectu</w:t>
      </w:r>
      <w:r>
        <w:t>. Editori di San Tommaso.</w:t>
      </w:r>
      <w:r w:rsidRPr="00F96F65">
        <w:t xml:space="preserve"> </w:t>
      </w:r>
      <w:r>
        <w:t>Leonina, tomus 43.</w:t>
      </w:r>
    </w:p>
    <w:p w14:paraId="19CE6F16" w14:textId="77777777" w:rsidR="086E6BFB" w:rsidRPr="008C1C3B" w:rsidRDefault="086E6BFB" w:rsidP="086E6BFB">
      <w:pPr>
        <w:pStyle w:val="Literatura"/>
      </w:pPr>
      <w:r>
        <w:t xml:space="preserve">‒ (1984): </w:t>
      </w:r>
      <w:r w:rsidRPr="084C3306">
        <w:rPr>
          <w:i/>
        </w:rPr>
        <w:t>Sentencia libri De anima</w:t>
      </w:r>
      <w:r>
        <w:t>. Edited by R.-A. Gauthier. Roma - Paris. Leonina, tomus 45/1.</w:t>
      </w:r>
    </w:p>
    <w:p w14:paraId="1F88673A" w14:textId="77777777" w:rsidR="086E6BFB" w:rsidRDefault="086E6BFB" w:rsidP="086E6BFB">
      <w:pPr>
        <w:pStyle w:val="Literatura"/>
        <w:ind w:left="397" w:hanging="397"/>
      </w:pPr>
      <w:r>
        <w:t xml:space="preserve">‒ (1992): </w:t>
      </w:r>
      <w:r w:rsidRPr="002B743D">
        <w:rPr>
          <w:i/>
        </w:rPr>
        <w:t>Super Boetium De Trinitate. Expositio libri Boetii De ebdomadibus</w:t>
      </w:r>
      <w:r w:rsidRPr="007F0056">
        <w:t>. Édit</w:t>
      </w:r>
      <w:r>
        <w:t>ions du Cerf, Roma – Paris. Leonina, tome 50.</w:t>
      </w:r>
    </w:p>
    <w:p w14:paraId="4EECD371" w14:textId="77777777" w:rsidR="086E6BFB" w:rsidRPr="00273106" w:rsidRDefault="086E6BFB" w:rsidP="086E6BFB">
      <w:pPr>
        <w:pStyle w:val="Literatura"/>
      </w:pPr>
      <w:r w:rsidRPr="00273106">
        <w:t>Treiger, Alexander</w:t>
      </w:r>
      <w:r>
        <w:t xml:space="preserve"> (2012): "</w:t>
      </w:r>
      <w:r w:rsidRPr="00273106">
        <w:t xml:space="preserve">Avicenna's Notion of Transcendental Modulation of Existence (taškīk al-wuğūd, </w:t>
      </w:r>
      <w:r>
        <w:tab/>
      </w:r>
      <w:r w:rsidRPr="00273106">
        <w:t>analogia entis) and Its Greek and Arabic Sources</w:t>
      </w:r>
      <w:r>
        <w:t>"</w:t>
      </w:r>
      <w:r w:rsidRPr="00273106">
        <w:t xml:space="preserve">. </w:t>
      </w:r>
      <w:r w:rsidRPr="00273106">
        <w:rPr>
          <w:i/>
        </w:rPr>
        <w:t xml:space="preserve">Islamic Philosophy, Science, Culture, and Religion. </w:t>
      </w:r>
      <w:r>
        <w:rPr>
          <w:i/>
        </w:rPr>
        <w:tab/>
      </w:r>
      <w:r w:rsidRPr="00273106">
        <w:rPr>
          <w:i/>
        </w:rPr>
        <w:t>Studies in Honour of Dimitri Gutas</w:t>
      </w:r>
      <w:r>
        <w:t xml:space="preserve">, edited by </w:t>
      </w:r>
      <w:r w:rsidRPr="00273106">
        <w:t>Flecitas Opwis</w:t>
      </w:r>
      <w:r>
        <w:t xml:space="preserve">, and </w:t>
      </w:r>
      <w:r w:rsidRPr="00273106">
        <w:t>David Reisman</w:t>
      </w:r>
      <w:r>
        <w:t xml:space="preserve">, </w:t>
      </w:r>
      <w:r w:rsidRPr="00273106">
        <w:t>Leiden: Brill</w:t>
      </w:r>
      <w:r>
        <w:t>,</w:t>
      </w:r>
      <w:r w:rsidRPr="00273106">
        <w:t xml:space="preserve"> pp. </w:t>
      </w:r>
      <w:r>
        <w:rPr>
          <w:i/>
        </w:rPr>
        <w:tab/>
      </w:r>
      <w:r w:rsidRPr="00273106">
        <w:t>327‒363.</w:t>
      </w:r>
    </w:p>
    <w:p w14:paraId="6E7878CE" w14:textId="77777777" w:rsidR="086E6BFB" w:rsidRPr="00273106" w:rsidRDefault="086E6BFB" w:rsidP="086E6BFB">
      <w:pPr>
        <w:pStyle w:val="Literatura"/>
      </w:pPr>
      <w:r w:rsidRPr="00273106">
        <w:t>Uckelman, L. Sara</w:t>
      </w:r>
      <w:r>
        <w:t xml:space="preserve"> (2010): "</w:t>
      </w:r>
      <w:r w:rsidRPr="00273106">
        <w:t>Logic and the Condemnations of 1277</w:t>
      </w:r>
      <w:r>
        <w:t>"</w:t>
      </w:r>
      <w:r w:rsidRPr="00273106">
        <w:t xml:space="preserve">. </w:t>
      </w:r>
      <w:r w:rsidRPr="00273106">
        <w:rPr>
          <w:i/>
        </w:rPr>
        <w:t>Journal of Philosophical Logic</w:t>
      </w:r>
      <w:r>
        <w:t xml:space="preserve"> 39</w:t>
      </w:r>
      <w:r w:rsidRPr="00273106">
        <w:t>: 201‒227.</w:t>
      </w:r>
    </w:p>
    <w:p w14:paraId="1EBF601D" w14:textId="77777777" w:rsidR="086E6BFB" w:rsidRPr="00273106" w:rsidRDefault="086E6BFB" w:rsidP="086E6BFB">
      <w:pPr>
        <w:pStyle w:val="Literatura"/>
      </w:pPr>
      <w:r w:rsidRPr="00273106">
        <w:t>Ullmann, Walter</w:t>
      </w:r>
      <w:r>
        <w:t xml:space="preserve"> (1949): "</w:t>
      </w:r>
      <w:r w:rsidRPr="00273106">
        <w:t>The Development of the Medieval Idea of Sovereignty</w:t>
      </w:r>
      <w:r>
        <w:t xml:space="preserve">". </w:t>
      </w:r>
      <w:r w:rsidRPr="00273106">
        <w:rPr>
          <w:i/>
        </w:rPr>
        <w:t xml:space="preserve">The English Historical Review </w:t>
      </w:r>
      <w:r>
        <w:tab/>
      </w:r>
      <w:r w:rsidRPr="00273106">
        <w:t>64: 1‒33.</w:t>
      </w:r>
    </w:p>
    <w:p w14:paraId="2ED6F3F4" w14:textId="77777777" w:rsidR="0854018E" w:rsidRPr="0854018E" w:rsidRDefault="086E6BFB" w:rsidP="0854018E">
      <w:pPr>
        <w:pStyle w:val="Literatura"/>
      </w:pPr>
      <w:r w:rsidRPr="0854018E">
        <w:t>Umlauf, Václav</w:t>
      </w:r>
      <w:r w:rsidR="0854018E" w:rsidRPr="0854018E">
        <w:t xml:space="preserve"> (2008): "Hermeneía Aischylovy trilogie." </w:t>
      </w:r>
      <w:r w:rsidR="0854018E" w:rsidRPr="0854018E">
        <w:rPr>
          <w:i/>
        </w:rPr>
        <w:t>Aluze</w:t>
      </w:r>
      <w:r w:rsidR="0854018E" w:rsidRPr="0854018E">
        <w:t xml:space="preserve"> 1</w:t>
      </w:r>
      <w:r w:rsidR="0854018E">
        <w:t xml:space="preserve"> </w:t>
      </w:r>
      <w:r w:rsidR="0854018E" w:rsidRPr="0854018E">
        <w:t>(2008): 60−71.</w:t>
      </w:r>
    </w:p>
    <w:p w14:paraId="0759B30F" w14:textId="77777777" w:rsidR="086E6BFB" w:rsidRDefault="0854018E" w:rsidP="086E6BFB">
      <w:pPr>
        <w:pStyle w:val="Literatura"/>
        <w:rPr>
          <w:rFonts w:eastAsia="WarnockPro-Regular" w:cs="WarnockPro-Regular"/>
        </w:rPr>
      </w:pPr>
      <w:r>
        <w:rPr>
          <w:rFonts w:cs="Calibri"/>
        </w:rPr>
        <w:t>−</w:t>
      </w:r>
      <w:r>
        <w:t xml:space="preserve"> </w:t>
      </w:r>
      <w:r w:rsidR="086E6BFB">
        <w:t xml:space="preserve">(2010): </w:t>
      </w:r>
      <w:r w:rsidR="086E6BFB" w:rsidRPr="00273106">
        <w:rPr>
          <w:rStyle w:val="Siln"/>
          <w:b w:val="0"/>
          <w:i/>
        </w:rPr>
        <w:t>Synopse dějinnosti a koncept historie. Hermeneutické eseje o filosofii dějin</w:t>
      </w:r>
      <w:r w:rsidR="086E6BFB" w:rsidRPr="00273106">
        <w:rPr>
          <w:rStyle w:val="Siln"/>
          <w:b w:val="0"/>
        </w:rPr>
        <w:t xml:space="preserve">. Brno: </w:t>
      </w:r>
      <w:r w:rsidR="08CE4B02">
        <w:rPr>
          <w:rStyle w:val="Siln"/>
          <w:b w:val="0"/>
        </w:rPr>
        <w:t xml:space="preserve">Vydavatelství </w:t>
      </w:r>
      <w:r w:rsidR="086E6BFB">
        <w:rPr>
          <w:rStyle w:val="Siln"/>
          <w:b w:val="0"/>
        </w:rPr>
        <w:t>CDK</w:t>
      </w:r>
      <w:r w:rsidR="086E6BFB">
        <w:t>.</w:t>
      </w:r>
    </w:p>
    <w:p w14:paraId="1736EAA4" w14:textId="77777777" w:rsidR="086E6BFB" w:rsidRPr="00273106" w:rsidRDefault="086E6BFB" w:rsidP="086E6BFB">
      <w:pPr>
        <w:pStyle w:val="Literatura"/>
      </w:pPr>
      <w:r w:rsidRPr="00273106">
        <w:t>Valente, Luis</w:t>
      </w:r>
      <w:r>
        <w:t xml:space="preserve"> (2013): "</w:t>
      </w:r>
      <w:r w:rsidRPr="00273106">
        <w:t xml:space="preserve">Supposition Theory and Porretan Theology: Summa Zwettlensis and Dialogus Ratii et </w:t>
      </w:r>
      <w:r>
        <w:tab/>
      </w:r>
      <w:r w:rsidRPr="00273106">
        <w:t>Everardi</w:t>
      </w:r>
      <w:r>
        <w:t xml:space="preserve">". </w:t>
      </w:r>
      <w:r w:rsidRPr="00273106">
        <w:t xml:space="preserve"> </w:t>
      </w:r>
      <w:r w:rsidRPr="00273106">
        <w:rPr>
          <w:i/>
        </w:rPr>
        <w:t>Medieval Supposition Theory Revisited</w:t>
      </w:r>
      <w:r w:rsidRPr="007A0209">
        <w:t xml:space="preserve">, edited by </w:t>
      </w:r>
      <w:r>
        <w:rPr>
          <w:rStyle w:val="st"/>
        </w:rPr>
        <w:t xml:space="preserve">Egbert Peter </w:t>
      </w:r>
      <w:r w:rsidRPr="00273106">
        <w:t>Bos,</w:t>
      </w:r>
      <w:r>
        <w:t xml:space="preserve"> </w:t>
      </w:r>
      <w:r w:rsidRPr="00273106">
        <w:t>Brill, pp. 119–148.</w:t>
      </w:r>
    </w:p>
    <w:p w14:paraId="30D46527" w14:textId="77777777" w:rsidR="086E6BFB" w:rsidRPr="00273106" w:rsidRDefault="086E6BFB" w:rsidP="086E6BFB">
      <w:pPr>
        <w:pStyle w:val="Literatura"/>
      </w:pPr>
      <w:r w:rsidRPr="00273106">
        <w:t>Vallat, Philippe</w:t>
      </w:r>
      <w:r>
        <w:t xml:space="preserve"> (2004): </w:t>
      </w:r>
      <w:r w:rsidRPr="00273106">
        <w:rPr>
          <w:i/>
        </w:rPr>
        <w:t xml:space="preserve">Farabi et l’école d’Alexandrie. Des Prémisses de la connaissance à la philosophie </w:t>
      </w:r>
      <w:r>
        <w:rPr>
          <w:i/>
        </w:rPr>
        <w:tab/>
      </w:r>
      <w:r w:rsidRPr="00273106">
        <w:rPr>
          <w:i/>
        </w:rPr>
        <w:t>politique</w:t>
      </w:r>
      <w:r>
        <w:t>. Paris: Vrin</w:t>
      </w:r>
      <w:r w:rsidRPr="00273106">
        <w:t>.</w:t>
      </w:r>
    </w:p>
    <w:p w14:paraId="5F395F42" w14:textId="77777777" w:rsidR="086E6BFB" w:rsidRPr="00273106" w:rsidRDefault="086E6BFB" w:rsidP="086E6BFB">
      <w:pPr>
        <w:pStyle w:val="Literatura"/>
      </w:pPr>
      <w:r w:rsidRPr="00273106">
        <w:t>Vernant</w:t>
      </w:r>
      <w:r w:rsidRPr="00273106">
        <w:rPr>
          <w:i/>
        </w:rPr>
        <w:t xml:space="preserve">, </w:t>
      </w:r>
      <w:r w:rsidRPr="00273106">
        <w:t>Jean-Pierre</w:t>
      </w:r>
      <w:r>
        <w:t xml:space="preserve"> (1996):</w:t>
      </w:r>
      <w:r w:rsidRPr="00273106">
        <w:t xml:space="preserve"> </w:t>
      </w:r>
      <w:r w:rsidRPr="00273106">
        <w:rPr>
          <w:i/>
        </w:rPr>
        <w:t>Entre mythe et politique</w:t>
      </w:r>
      <w:r>
        <w:t>. Paris: Éditions du Seuil</w:t>
      </w:r>
      <w:r w:rsidRPr="00273106">
        <w:t>.</w:t>
      </w:r>
    </w:p>
    <w:p w14:paraId="37085BDE" w14:textId="77777777" w:rsidR="086E6BFB" w:rsidRPr="00273106" w:rsidRDefault="086E6BFB" w:rsidP="086E6BFB">
      <w:pPr>
        <w:pStyle w:val="Literatura"/>
      </w:pPr>
      <w:r w:rsidRPr="00273106">
        <w:rPr>
          <w:rStyle w:val="fn"/>
        </w:rPr>
        <w:t>Vicki, Nicolaus</w:t>
      </w:r>
      <w:r>
        <w:rPr>
          <w:rStyle w:val="fn"/>
        </w:rPr>
        <w:t xml:space="preserve"> (2005): </w:t>
      </w:r>
      <w:r w:rsidRPr="00273106">
        <w:rPr>
          <w:rStyle w:val="fn"/>
          <w:i/>
        </w:rPr>
        <w:t>Die Philosophie Philipps des Kanzlers</w:t>
      </w:r>
      <w:r w:rsidRPr="00273106">
        <w:rPr>
          <w:i/>
        </w:rPr>
        <w:t xml:space="preserve">: </w:t>
      </w:r>
      <w:r w:rsidRPr="00273106">
        <w:rPr>
          <w:rStyle w:val="Podtitul1"/>
          <w:i/>
        </w:rPr>
        <w:t xml:space="preserve">ein philosophierender Theologe des frühen 13. </w:t>
      </w:r>
      <w:r>
        <w:rPr>
          <w:rStyle w:val="Podtitul1"/>
          <w:i/>
        </w:rPr>
        <w:tab/>
      </w:r>
      <w:r w:rsidRPr="00273106">
        <w:rPr>
          <w:rStyle w:val="Podtitul1"/>
          <w:i/>
        </w:rPr>
        <w:t>Jahrhunderts</w:t>
      </w:r>
      <w:r w:rsidRPr="00273106">
        <w:rPr>
          <w:rStyle w:val="Podtitul1"/>
        </w:rPr>
        <w:t xml:space="preserve">. </w:t>
      </w:r>
      <w:r>
        <w:t>Saint-Paul</w:t>
      </w:r>
      <w:r w:rsidRPr="00273106">
        <w:t>.</w:t>
      </w:r>
    </w:p>
    <w:p w14:paraId="56B914E9" w14:textId="77777777" w:rsidR="086E6BFB" w:rsidRDefault="086E6BFB" w:rsidP="086E6BFB">
      <w:pPr>
        <w:pStyle w:val="Literatura"/>
      </w:pPr>
      <w:r>
        <w:t xml:space="preserve">West, Martin (1997): </w:t>
      </w:r>
      <w:r w:rsidRPr="08B74709">
        <w:rPr>
          <w:i/>
        </w:rPr>
        <w:t>The East Face of Helicon: West Asiatic Elements in Greek Poetry and Myth</w:t>
      </w:r>
      <w:r>
        <w:t xml:space="preserve">. </w:t>
      </w:r>
      <w:r w:rsidRPr="00C06AE0">
        <w:t xml:space="preserve">Oxford: </w:t>
      </w:r>
      <w:r>
        <w:tab/>
      </w:r>
      <w:r w:rsidRPr="00C06AE0">
        <w:t>Clarendon Press</w:t>
      </w:r>
      <w:r>
        <w:t>.</w:t>
      </w:r>
    </w:p>
    <w:p w14:paraId="15641081" w14:textId="77777777" w:rsidR="086E6BFB" w:rsidRDefault="086E6BFB" w:rsidP="086E6BFB">
      <w:pPr>
        <w:pStyle w:val="Literatura"/>
        <w:rPr>
          <w:szCs w:val="18"/>
        </w:rPr>
      </w:pPr>
      <w:r w:rsidRPr="00273106">
        <w:rPr>
          <w:szCs w:val="18"/>
        </w:rPr>
        <w:t>Wippel, John</w:t>
      </w:r>
      <w:r>
        <w:rPr>
          <w:szCs w:val="18"/>
        </w:rPr>
        <w:t xml:space="preserve"> (2000): </w:t>
      </w:r>
      <w:r w:rsidRPr="00273106">
        <w:rPr>
          <w:i/>
          <w:szCs w:val="18"/>
        </w:rPr>
        <w:t>The Metaphysical Thought of Thomas Aquinas</w:t>
      </w:r>
      <w:r w:rsidRPr="00273106">
        <w:rPr>
          <w:szCs w:val="18"/>
        </w:rPr>
        <w:t>. Washington, D.C.: The</w:t>
      </w:r>
      <w:r>
        <w:rPr>
          <w:szCs w:val="18"/>
        </w:rPr>
        <w:t xml:space="preserve"> Catholic University </w:t>
      </w:r>
      <w:r>
        <w:rPr>
          <w:szCs w:val="18"/>
        </w:rPr>
        <w:tab/>
        <w:t>Press</w:t>
      </w:r>
      <w:r w:rsidRPr="00273106">
        <w:rPr>
          <w:szCs w:val="18"/>
        </w:rPr>
        <w:t>.</w:t>
      </w:r>
    </w:p>
    <w:p w14:paraId="3AD9E0E2" w14:textId="77777777" w:rsidR="086E6BFB" w:rsidRDefault="086E6BFB" w:rsidP="086E6BFB">
      <w:pPr>
        <w:pStyle w:val="Literatura"/>
        <w:rPr>
          <w:szCs w:val="18"/>
        </w:rPr>
      </w:pPr>
      <w:r>
        <w:rPr>
          <w:szCs w:val="18"/>
        </w:rPr>
        <w:t xml:space="preserve">‒ (2007): </w:t>
      </w:r>
      <w:r w:rsidRPr="00273106">
        <w:rPr>
          <w:i/>
        </w:rPr>
        <w:t>Metaphysical Themes in Thomas Aquinas II</w:t>
      </w:r>
      <w:r w:rsidRPr="00273106">
        <w:t xml:space="preserve">. </w:t>
      </w:r>
      <w:r w:rsidRPr="00273106">
        <w:rPr>
          <w:szCs w:val="18"/>
        </w:rPr>
        <w:t>Washington, D.C.: The</w:t>
      </w:r>
      <w:r>
        <w:rPr>
          <w:szCs w:val="18"/>
        </w:rPr>
        <w:t xml:space="preserve"> Catholic University Press</w:t>
      </w:r>
      <w:r w:rsidRPr="00273106">
        <w:rPr>
          <w:szCs w:val="18"/>
        </w:rPr>
        <w:t>.</w:t>
      </w:r>
    </w:p>
    <w:p w14:paraId="53950489" w14:textId="77777777" w:rsidR="0827512F" w:rsidRPr="0827512F" w:rsidRDefault="0827512F" w:rsidP="0827512F">
      <w:pPr>
        <w:pStyle w:val="Literatura"/>
      </w:pPr>
      <w:r w:rsidRPr="0827512F">
        <w:t xml:space="preserve">Weber, Max (1920): „Die protestantische Ethik und der Geist des Kapitalismus“, in: </w:t>
      </w:r>
      <w:r w:rsidRPr="0827512F">
        <w:rPr>
          <w:i/>
        </w:rPr>
        <w:t xml:space="preserve">Gesammelte Aufsätze zur </w:t>
      </w:r>
      <w:r>
        <w:rPr>
          <w:szCs w:val="18"/>
        </w:rPr>
        <w:tab/>
      </w:r>
      <w:r w:rsidRPr="0827512F">
        <w:rPr>
          <w:i/>
        </w:rPr>
        <w:t>Religionssoziologie</w:t>
      </w:r>
      <w:r w:rsidRPr="0827512F">
        <w:t>, Bd. I, Tübingen: Mohr Siebeck, pp. 17–206.</w:t>
      </w:r>
    </w:p>
    <w:p w14:paraId="16DBCBB9" w14:textId="77777777" w:rsidR="086E6BFB" w:rsidRDefault="086E6BFB" w:rsidP="086E6BFB">
      <w:pPr>
        <w:pStyle w:val="Literatura"/>
        <w:rPr>
          <w:rStyle w:val="Podtitul1"/>
        </w:rPr>
      </w:pPr>
      <w:r w:rsidRPr="00273106">
        <w:t>Wéber, Edouard-Henri</w:t>
      </w:r>
      <w:r>
        <w:t xml:space="preserve"> </w:t>
      </w:r>
      <w:r>
        <w:rPr>
          <w:szCs w:val="24"/>
        </w:rPr>
        <w:t xml:space="preserve">(1991): </w:t>
      </w:r>
      <w:r w:rsidRPr="00273106">
        <w:rPr>
          <w:rStyle w:val="fn"/>
          <w:i/>
        </w:rPr>
        <w:t>La personne humaine au XIIIe siècle</w:t>
      </w:r>
      <w:r w:rsidRPr="00273106">
        <w:rPr>
          <w:i/>
        </w:rPr>
        <w:t xml:space="preserve">: </w:t>
      </w:r>
      <w:r w:rsidRPr="00273106">
        <w:rPr>
          <w:rStyle w:val="Podtitul1"/>
          <w:i/>
        </w:rPr>
        <w:t xml:space="preserve">l'avènement chez les maîtres parisiens de </w:t>
      </w:r>
      <w:r>
        <w:rPr>
          <w:i/>
        </w:rPr>
        <w:tab/>
      </w:r>
      <w:r w:rsidRPr="00273106">
        <w:rPr>
          <w:rStyle w:val="Podtitul1"/>
          <w:i/>
        </w:rPr>
        <w:t xml:space="preserve">l'acception moderne de </w:t>
      </w:r>
      <w:r>
        <w:rPr>
          <w:rStyle w:val="Podtitul1"/>
          <w:i/>
        </w:rPr>
        <w:tab/>
      </w:r>
      <w:r w:rsidRPr="00273106">
        <w:rPr>
          <w:rStyle w:val="Podtitul1"/>
          <w:i/>
        </w:rPr>
        <w:t>l'homme.</w:t>
      </w:r>
      <w:r>
        <w:rPr>
          <w:rStyle w:val="Podtitul1"/>
        </w:rPr>
        <w:t xml:space="preserve"> Paris: Vrin</w:t>
      </w:r>
      <w:r w:rsidRPr="00273106">
        <w:rPr>
          <w:rStyle w:val="Podtitul1"/>
        </w:rPr>
        <w:t>.</w:t>
      </w:r>
    </w:p>
    <w:p w14:paraId="0923246B" w14:textId="77777777" w:rsidR="086E6BFB" w:rsidRDefault="086E6BFB" w:rsidP="086E6BFB">
      <w:pPr>
        <w:pStyle w:val="Literatura"/>
      </w:pPr>
      <w:r w:rsidRPr="00273106">
        <w:t>Wolfson, Harry Austryn</w:t>
      </w:r>
      <w:r>
        <w:t xml:space="preserve"> (1938): "</w:t>
      </w:r>
      <w:r w:rsidRPr="00273106">
        <w:t>The Amphibolous Terms in Aristotle, Arabic Philosophy, and Maimonides</w:t>
      </w:r>
      <w:r>
        <w:t>"</w:t>
      </w:r>
      <w:r w:rsidRPr="00273106">
        <w:t xml:space="preserve">. </w:t>
      </w:r>
      <w:r>
        <w:tab/>
      </w:r>
      <w:r w:rsidRPr="00273106">
        <w:rPr>
          <w:i/>
        </w:rPr>
        <w:t>Harvard Theological Review</w:t>
      </w:r>
      <w:r>
        <w:t xml:space="preserve"> 31</w:t>
      </w:r>
      <w:r w:rsidRPr="00273106">
        <w:t>: 151‒173.</w:t>
      </w:r>
    </w:p>
    <w:p w14:paraId="2438D6CB" w14:textId="77777777" w:rsidR="086E6BFB" w:rsidRPr="00273106" w:rsidRDefault="086E6BFB" w:rsidP="086E6BFB">
      <w:pPr>
        <w:pStyle w:val="Literatura"/>
        <w:rPr>
          <w:szCs w:val="14"/>
        </w:rPr>
      </w:pPr>
      <w:r w:rsidRPr="00273106">
        <w:t>Wood</w:t>
      </w:r>
      <w:r>
        <w:rPr>
          <w:szCs w:val="14"/>
        </w:rPr>
        <w:t>, Rega (2001): "</w:t>
      </w:r>
      <w:r w:rsidRPr="00273106">
        <w:rPr>
          <w:szCs w:val="36"/>
        </w:rPr>
        <w:t xml:space="preserve">Richard Rufus’s </w:t>
      </w:r>
      <w:r w:rsidRPr="00273106">
        <w:rPr>
          <w:i/>
          <w:szCs w:val="36"/>
        </w:rPr>
        <w:t>De anima</w:t>
      </w:r>
      <w:r w:rsidRPr="00273106">
        <w:rPr>
          <w:szCs w:val="36"/>
        </w:rPr>
        <w:t xml:space="preserve"> Commentary: The Earliest Known, Surviving, Western </w:t>
      </w:r>
      <w:r w:rsidRPr="00273106">
        <w:rPr>
          <w:i/>
          <w:szCs w:val="36"/>
        </w:rPr>
        <w:t>De anima</w:t>
      </w:r>
      <w:r w:rsidRPr="00273106">
        <w:rPr>
          <w:szCs w:val="36"/>
        </w:rPr>
        <w:t xml:space="preserve"> </w:t>
      </w:r>
      <w:r>
        <w:rPr>
          <w:szCs w:val="36"/>
        </w:rPr>
        <w:tab/>
      </w:r>
      <w:r w:rsidRPr="00273106">
        <w:rPr>
          <w:szCs w:val="36"/>
        </w:rPr>
        <w:t>Commentar</w:t>
      </w:r>
      <w:r>
        <w:rPr>
          <w:szCs w:val="36"/>
        </w:rPr>
        <w:t>"</w:t>
      </w:r>
      <w:r w:rsidRPr="00273106">
        <w:rPr>
          <w:szCs w:val="36"/>
        </w:rPr>
        <w:t xml:space="preserve">. </w:t>
      </w:r>
      <w:r w:rsidRPr="00273106">
        <w:rPr>
          <w:szCs w:val="14"/>
        </w:rPr>
        <w:t xml:space="preserve"> </w:t>
      </w:r>
      <w:r w:rsidRPr="00273106">
        <w:rPr>
          <w:i/>
          <w:szCs w:val="14"/>
        </w:rPr>
        <w:t>Medieval Philosophy and Theology</w:t>
      </w:r>
      <w:r>
        <w:rPr>
          <w:szCs w:val="14"/>
        </w:rPr>
        <w:t xml:space="preserve"> 10</w:t>
      </w:r>
      <w:r w:rsidRPr="00273106">
        <w:rPr>
          <w:szCs w:val="14"/>
        </w:rPr>
        <w:t>: 119–156.</w:t>
      </w:r>
    </w:p>
    <w:p w14:paraId="3394ECE2" w14:textId="77777777" w:rsidR="086E6BFB" w:rsidRPr="00273106" w:rsidRDefault="086E6BFB" w:rsidP="086E6BFB">
      <w:pPr>
        <w:pStyle w:val="Literatura"/>
        <w:rPr>
          <w:szCs w:val="18"/>
        </w:rPr>
      </w:pPr>
      <w:r w:rsidRPr="00273106">
        <w:rPr>
          <w:szCs w:val="18"/>
        </w:rPr>
        <w:t xml:space="preserve">Zimmermann, </w:t>
      </w:r>
      <w:r>
        <w:rPr>
          <w:szCs w:val="18"/>
        </w:rPr>
        <w:t>F. W. (1986): "</w:t>
      </w:r>
      <w:r w:rsidRPr="00273106">
        <w:rPr>
          <w:szCs w:val="18"/>
        </w:rPr>
        <w:t>The origins of the so-called Theology of</w:t>
      </w:r>
      <w:r w:rsidRPr="00273106">
        <w:t xml:space="preserve"> </w:t>
      </w:r>
      <w:r w:rsidRPr="00273106">
        <w:rPr>
          <w:szCs w:val="18"/>
        </w:rPr>
        <w:t>Aristotle</w:t>
      </w:r>
      <w:r>
        <w:rPr>
          <w:szCs w:val="18"/>
        </w:rPr>
        <w:t xml:space="preserve">". </w:t>
      </w:r>
      <w:r w:rsidRPr="00273106">
        <w:rPr>
          <w:i/>
          <w:szCs w:val="18"/>
        </w:rPr>
        <w:t>Pseudo-Aristotle in the</w:t>
      </w:r>
      <w:r w:rsidRPr="00273106">
        <w:rPr>
          <w:i/>
        </w:rPr>
        <w:t xml:space="preserve"> </w:t>
      </w:r>
      <w:r w:rsidRPr="00273106">
        <w:rPr>
          <w:i/>
          <w:szCs w:val="18"/>
        </w:rPr>
        <w:t xml:space="preserve">Middle </w:t>
      </w:r>
      <w:r>
        <w:rPr>
          <w:i/>
          <w:szCs w:val="18"/>
        </w:rPr>
        <w:tab/>
      </w:r>
      <w:r w:rsidRPr="00273106">
        <w:rPr>
          <w:i/>
          <w:szCs w:val="18"/>
        </w:rPr>
        <w:t>Ages. The Theology and other Texts</w:t>
      </w:r>
      <w:r w:rsidRPr="009A6D68">
        <w:rPr>
          <w:szCs w:val="18"/>
        </w:rPr>
        <w:t xml:space="preserve">, edited by </w:t>
      </w:r>
      <w:r w:rsidRPr="00273106">
        <w:rPr>
          <w:szCs w:val="18"/>
        </w:rPr>
        <w:t xml:space="preserve">J. Kraye, </w:t>
      </w:r>
      <w:r>
        <w:rPr>
          <w:szCs w:val="18"/>
        </w:rPr>
        <w:t xml:space="preserve">and </w:t>
      </w:r>
      <w:r w:rsidRPr="00273106">
        <w:rPr>
          <w:szCs w:val="18"/>
        </w:rPr>
        <w:t>W. F. Ryan</w:t>
      </w:r>
      <w:r>
        <w:rPr>
          <w:szCs w:val="18"/>
        </w:rPr>
        <w:t xml:space="preserve">, and C. B. Schmitt, </w:t>
      </w:r>
      <w:r w:rsidRPr="00273106">
        <w:rPr>
          <w:szCs w:val="18"/>
        </w:rPr>
        <w:t>London:</w:t>
      </w:r>
      <w:r w:rsidRPr="00273106">
        <w:t xml:space="preserve"> </w:t>
      </w:r>
      <w:r>
        <w:tab/>
      </w:r>
      <w:r w:rsidRPr="00273106">
        <w:t>Warburg Institute,</w:t>
      </w:r>
      <w:r w:rsidRPr="00273106">
        <w:rPr>
          <w:szCs w:val="18"/>
        </w:rPr>
        <w:t xml:space="preserve"> pp. 110–240.</w:t>
      </w:r>
    </w:p>
    <w:p w14:paraId="73506A59" w14:textId="77777777" w:rsidR="086E6BFB" w:rsidRPr="00273106" w:rsidRDefault="086E6BFB" w:rsidP="086E6BFB">
      <w:pPr>
        <w:pStyle w:val="Literatura"/>
      </w:pPr>
      <w:r w:rsidRPr="00273106">
        <w:t>Zimmerman, Albert</w:t>
      </w:r>
      <w:r>
        <w:t xml:space="preserve"> (1998): </w:t>
      </w:r>
      <w:r w:rsidRPr="00273106">
        <w:rPr>
          <w:i/>
        </w:rPr>
        <w:t xml:space="preserve">Ontologie oder Metaphysik: Die Diskussion über den Gegenstand der Metaphysik im </w:t>
      </w:r>
      <w:r>
        <w:rPr>
          <w:i/>
        </w:rPr>
        <w:tab/>
      </w:r>
      <w:r w:rsidRPr="00273106">
        <w:rPr>
          <w:i/>
        </w:rPr>
        <w:t>13. und 14. Jahrhundert</w:t>
      </w:r>
      <w:r w:rsidRPr="00273106">
        <w:t>. Texte und Untersuchungen, 2. erw. Auflage, Bibl</w:t>
      </w:r>
      <w:r>
        <w:t>iotheca I. Leuven: Peeters</w:t>
      </w:r>
      <w:r w:rsidRPr="00273106">
        <w:t>.</w:t>
      </w:r>
    </w:p>
    <w:p w14:paraId="6F0CC6C6" w14:textId="77777777" w:rsidR="086E6BFB" w:rsidRDefault="086E6BFB" w:rsidP="086E6BFB">
      <w:pPr>
        <w:pStyle w:val="Literatura"/>
      </w:pPr>
      <w:r w:rsidRPr="00273106">
        <w:rPr>
          <w:szCs w:val="22"/>
        </w:rPr>
        <w:t>Zavattero, Irene</w:t>
      </w:r>
      <w:r>
        <w:rPr>
          <w:szCs w:val="22"/>
        </w:rPr>
        <w:t xml:space="preserve"> (2007): "</w:t>
      </w:r>
      <w:r w:rsidRPr="00273106">
        <w:rPr>
          <w:szCs w:val="40"/>
        </w:rPr>
        <w:t>Le bonheur parfait dans les premiers commentaires latins de l'Éthique à Nicomaque</w:t>
      </w:r>
      <w:r>
        <w:rPr>
          <w:szCs w:val="40"/>
        </w:rPr>
        <w:t>"</w:t>
      </w:r>
      <w:r w:rsidRPr="00273106">
        <w:rPr>
          <w:szCs w:val="40"/>
        </w:rPr>
        <w:t xml:space="preserve">. </w:t>
      </w:r>
      <w:r>
        <w:rPr>
          <w:szCs w:val="40"/>
        </w:rPr>
        <w:tab/>
      </w:r>
      <w:r w:rsidRPr="00273106">
        <w:rPr>
          <w:i/>
        </w:rPr>
        <w:t xml:space="preserve">Revue de théologie et de philosophie </w:t>
      </w:r>
      <w:r>
        <w:t>57: 311‒327.</w:t>
      </w:r>
    </w:p>
    <w:p w14:paraId="5832903E" w14:textId="77777777" w:rsidR="086E6BFB" w:rsidRDefault="086E6BFB" w:rsidP="086E6BFB">
      <w:pPr>
        <w:pStyle w:val="Literatura"/>
      </w:pPr>
      <w:r>
        <w:t xml:space="preserve">‒ (2012): </w:t>
      </w:r>
      <w:r w:rsidRPr="00273106">
        <w:rPr>
          <w:szCs w:val="22"/>
        </w:rPr>
        <w:t>"</w:t>
      </w:r>
      <w:r w:rsidRPr="00273106">
        <w:t xml:space="preserve">Anonymus Magister Artium. Le portrait intellectuel de l’auteur du Commentaire de Paris (1235‒40) </w:t>
      </w:r>
      <w:r>
        <w:tab/>
      </w:r>
      <w:r w:rsidRPr="00273106">
        <w:t>sur l’ Ethica nova et vetus"</w:t>
      </w:r>
      <w:r>
        <w:t xml:space="preserve">. </w:t>
      </w:r>
      <w:r w:rsidRPr="00273106">
        <w:rPr>
          <w:i/>
        </w:rPr>
        <w:t>Portraits de maîtres offert à Olga Weijers</w:t>
      </w:r>
      <w:r>
        <w:t xml:space="preserve">, edited by </w:t>
      </w:r>
      <w:r w:rsidRPr="00273106">
        <w:t>C. Angot</w:t>
      </w:r>
      <w:r>
        <w:t xml:space="preserve">ti, M. Brinzei, </w:t>
      </w:r>
      <w:r>
        <w:rPr>
          <w:i/>
        </w:rPr>
        <w:tab/>
      </w:r>
      <w:r>
        <w:t xml:space="preserve">M. </w:t>
      </w:r>
      <w:r>
        <w:rPr>
          <w:szCs w:val="40"/>
        </w:rPr>
        <w:tab/>
      </w:r>
      <w:r>
        <w:t>Teeuwen</w:t>
      </w:r>
      <w:r w:rsidRPr="00273106">
        <w:t>, Porto</w:t>
      </w:r>
      <w:r>
        <w:t>: FIDEM</w:t>
      </w:r>
      <w:r w:rsidRPr="00273106">
        <w:t>.</w:t>
      </w:r>
    </w:p>
    <w:p w14:paraId="3AF8AD40" w14:textId="77777777" w:rsidR="00EB4FFD" w:rsidRPr="003D1E07" w:rsidRDefault="00EB4FFD" w:rsidP="00EB4FFD">
      <w:pPr>
        <w:jc w:val="center"/>
        <w:rPr>
          <w:sz w:val="20"/>
        </w:rPr>
      </w:pPr>
      <w:r>
        <w:rPr>
          <w:sz w:val="20"/>
        </w:rPr>
        <w:br w:type="page"/>
      </w:r>
    </w:p>
    <w:p w14:paraId="711B3508" w14:textId="77777777" w:rsidR="00EB4FFD" w:rsidRPr="003D1E07" w:rsidRDefault="00EB4FFD" w:rsidP="00EB4FFD">
      <w:pPr>
        <w:jc w:val="center"/>
        <w:rPr>
          <w:sz w:val="20"/>
        </w:rPr>
      </w:pPr>
    </w:p>
    <w:p w14:paraId="3BCE6A5E" w14:textId="77777777" w:rsidR="00EB4FFD" w:rsidRPr="003D1E07" w:rsidRDefault="00EB4FFD" w:rsidP="00EB4FFD">
      <w:pPr>
        <w:jc w:val="center"/>
        <w:rPr>
          <w:sz w:val="20"/>
        </w:rPr>
      </w:pPr>
    </w:p>
    <w:p w14:paraId="78D378BA" w14:textId="77777777" w:rsidR="00EB4FFD" w:rsidRPr="003D1E07" w:rsidRDefault="00EB4FFD" w:rsidP="00EB4FFD">
      <w:pPr>
        <w:jc w:val="center"/>
        <w:rPr>
          <w:sz w:val="20"/>
        </w:rPr>
      </w:pPr>
    </w:p>
    <w:p w14:paraId="63CB7CF1" w14:textId="77777777" w:rsidR="00EB4FFD" w:rsidRPr="003D1E07" w:rsidRDefault="00EB4FFD" w:rsidP="00EB4FFD">
      <w:pPr>
        <w:jc w:val="center"/>
        <w:rPr>
          <w:sz w:val="20"/>
        </w:rPr>
      </w:pPr>
    </w:p>
    <w:p w14:paraId="10850FAE" w14:textId="77777777" w:rsidR="00EB4FFD" w:rsidRPr="003D1E07" w:rsidRDefault="00EB4FFD" w:rsidP="00EB4FFD">
      <w:pPr>
        <w:jc w:val="center"/>
        <w:rPr>
          <w:b/>
          <w:szCs w:val="24"/>
          <w:lang w:eastAsia="en-US"/>
        </w:rPr>
      </w:pPr>
    </w:p>
    <w:p w14:paraId="5BB74FCA" w14:textId="77777777" w:rsidR="00EB4FFD" w:rsidRPr="003D1E07" w:rsidRDefault="00EB4FFD" w:rsidP="00EB4FFD">
      <w:pPr>
        <w:jc w:val="center"/>
        <w:rPr>
          <w:b/>
          <w:szCs w:val="24"/>
          <w:lang w:eastAsia="en-US"/>
        </w:rPr>
      </w:pPr>
    </w:p>
    <w:p w14:paraId="227CE076" w14:textId="77777777" w:rsidR="00EB4FFD" w:rsidRPr="003D1E07" w:rsidRDefault="00EB4FFD" w:rsidP="00EB4FFD">
      <w:pPr>
        <w:jc w:val="center"/>
        <w:rPr>
          <w:b/>
          <w:szCs w:val="24"/>
          <w:lang w:eastAsia="en-US"/>
        </w:rPr>
      </w:pPr>
    </w:p>
    <w:p w14:paraId="2BBBCDCF" w14:textId="77777777" w:rsidR="00EB4FFD" w:rsidRPr="003D1E07" w:rsidRDefault="00EB4FFD" w:rsidP="00EB4FFD">
      <w:pPr>
        <w:jc w:val="center"/>
        <w:rPr>
          <w:b/>
          <w:szCs w:val="24"/>
          <w:lang w:eastAsia="en-US"/>
        </w:rPr>
      </w:pPr>
    </w:p>
    <w:p w14:paraId="5ED347DA" w14:textId="77777777" w:rsidR="00EB4FFD" w:rsidRPr="003D1E07" w:rsidRDefault="00EB4FFD" w:rsidP="00EB4FFD">
      <w:pPr>
        <w:jc w:val="center"/>
      </w:pPr>
      <w:r w:rsidRPr="003D1E07">
        <w:t>Václav Umlauf</w:t>
      </w:r>
    </w:p>
    <w:p w14:paraId="6A78653D" w14:textId="7BA4E6CE" w:rsidR="00EB4FFD" w:rsidRPr="003D1E07" w:rsidRDefault="00EB4FFD" w:rsidP="00EB4FFD">
      <w:pPr>
        <w:jc w:val="center"/>
      </w:pPr>
      <w:r w:rsidRPr="003D1E07">
        <w:t>Hermeneutika objektivity I</w:t>
      </w:r>
      <w:r>
        <w:t>I</w:t>
      </w:r>
      <w:r w:rsidRPr="003D1E07">
        <w:t>.</w:t>
      </w:r>
    </w:p>
    <w:p w14:paraId="5E04031B" w14:textId="77777777" w:rsidR="005023BC" w:rsidRPr="005023BC" w:rsidRDefault="005023BC" w:rsidP="005023BC">
      <w:pPr>
        <w:jc w:val="center"/>
      </w:pPr>
      <w:r w:rsidRPr="005023BC">
        <w:t xml:space="preserve">Tragédie scholastického aristotelismu </w:t>
      </w:r>
    </w:p>
    <w:p w14:paraId="0CF01800" w14:textId="77777777" w:rsidR="00EB4FFD" w:rsidRPr="003D1E07" w:rsidRDefault="00EB4FFD" w:rsidP="00EB4FFD">
      <w:pPr>
        <w:jc w:val="center"/>
        <w:rPr>
          <w:b/>
          <w:szCs w:val="24"/>
          <w:lang w:eastAsia="en-US"/>
        </w:rPr>
      </w:pPr>
    </w:p>
    <w:p w14:paraId="71D57D28" w14:textId="77777777" w:rsidR="00EB4FFD" w:rsidRPr="003D1E07" w:rsidRDefault="00EB4FFD" w:rsidP="00EB4FFD">
      <w:pPr>
        <w:jc w:val="center"/>
        <w:rPr>
          <w:b/>
          <w:szCs w:val="24"/>
          <w:lang w:eastAsia="en-US"/>
        </w:rPr>
      </w:pPr>
    </w:p>
    <w:p w14:paraId="262F5A79" w14:textId="77777777" w:rsidR="00EB4FFD" w:rsidRPr="003D1E07" w:rsidRDefault="00EB4FFD" w:rsidP="00EB4FFD">
      <w:pPr>
        <w:jc w:val="center"/>
      </w:pPr>
      <w:r w:rsidRPr="003D1E07">
        <w:t>Vydalo nakladatelství Hermaion</w:t>
      </w:r>
    </w:p>
    <w:p w14:paraId="01AEA003" w14:textId="77777777" w:rsidR="00EB4FFD" w:rsidRPr="003D1E07" w:rsidRDefault="00EB4FFD" w:rsidP="00EB4FFD">
      <w:pPr>
        <w:jc w:val="center"/>
        <w:rPr>
          <w:lang w:eastAsia="en-US"/>
        </w:rPr>
      </w:pPr>
      <w:r w:rsidRPr="003D1E07">
        <w:rPr>
          <w:lang w:eastAsia="en-US"/>
        </w:rPr>
        <w:t>Adresa....</w:t>
      </w:r>
    </w:p>
    <w:p w14:paraId="233D5494" w14:textId="77777777" w:rsidR="00EB4FFD" w:rsidRPr="003D1E07" w:rsidRDefault="00EB4FFD" w:rsidP="00EB4FFD">
      <w:pPr>
        <w:jc w:val="center"/>
        <w:rPr>
          <w:lang w:eastAsia="en-US"/>
        </w:rPr>
      </w:pPr>
    </w:p>
    <w:p w14:paraId="02E2822C" w14:textId="77777777" w:rsidR="00EB4FFD" w:rsidRPr="003D1E07" w:rsidRDefault="00EB4FFD" w:rsidP="00EB4FFD">
      <w:pPr>
        <w:jc w:val="center"/>
        <w:rPr>
          <w:lang w:eastAsia="en-US"/>
        </w:rPr>
      </w:pPr>
    </w:p>
    <w:p w14:paraId="46A87247" w14:textId="77777777" w:rsidR="00EB4FFD" w:rsidRPr="003D1E07" w:rsidRDefault="00EB4FFD" w:rsidP="00EB4FFD">
      <w:pPr>
        <w:jc w:val="center"/>
        <w:rPr>
          <w:lang w:eastAsia="en-US"/>
        </w:rPr>
      </w:pPr>
      <w:r w:rsidRPr="003D1E07">
        <w:rPr>
          <w:lang w:eastAsia="en-US"/>
        </w:rPr>
        <w:t>Jazyková redakce X.Y</w:t>
      </w:r>
    </w:p>
    <w:p w14:paraId="4734F2A6" w14:textId="77777777" w:rsidR="00EB4FFD" w:rsidRPr="003D1E07" w:rsidRDefault="00EB4FFD" w:rsidP="00EB4FFD">
      <w:pPr>
        <w:jc w:val="center"/>
        <w:rPr>
          <w:lang w:eastAsia="en-US"/>
        </w:rPr>
      </w:pPr>
      <w:r w:rsidRPr="003D1E07">
        <w:rPr>
          <w:lang w:eastAsia="en-US"/>
        </w:rPr>
        <w:t>Sazba X.Y</w:t>
      </w:r>
    </w:p>
    <w:p w14:paraId="554DA784" w14:textId="77777777" w:rsidR="00EB4FFD" w:rsidRPr="003D1E07" w:rsidRDefault="00EB4FFD" w:rsidP="00EB4FFD">
      <w:pPr>
        <w:jc w:val="center"/>
        <w:rPr>
          <w:lang w:eastAsia="en-US"/>
        </w:rPr>
      </w:pPr>
      <w:r w:rsidRPr="003D1E07">
        <w:rPr>
          <w:lang w:eastAsia="en-US"/>
        </w:rPr>
        <w:t>Grafické zpracování X.Y</w:t>
      </w:r>
    </w:p>
    <w:p w14:paraId="1F204B4C" w14:textId="77777777" w:rsidR="00EB4FFD" w:rsidRPr="003D1E07" w:rsidRDefault="00EB4FFD" w:rsidP="00EB4FFD">
      <w:pPr>
        <w:jc w:val="center"/>
        <w:rPr>
          <w:lang w:eastAsia="en-US"/>
        </w:rPr>
      </w:pPr>
      <w:r w:rsidRPr="003D1E07">
        <w:rPr>
          <w:lang w:eastAsia="en-US"/>
        </w:rPr>
        <w:t>Tisk X.Y</w:t>
      </w:r>
    </w:p>
    <w:p w14:paraId="34F55C01" w14:textId="77777777" w:rsidR="00EB4FFD" w:rsidRPr="003D1E07" w:rsidRDefault="00EB4FFD" w:rsidP="00EB4FFD">
      <w:pPr>
        <w:jc w:val="center"/>
        <w:rPr>
          <w:lang w:eastAsia="en-US"/>
        </w:rPr>
      </w:pPr>
    </w:p>
    <w:p w14:paraId="43D77173" w14:textId="77777777" w:rsidR="00EB4FFD" w:rsidRPr="003D1E07" w:rsidRDefault="00EB4FFD" w:rsidP="00EB4FFD">
      <w:pPr>
        <w:jc w:val="center"/>
        <w:rPr>
          <w:lang w:eastAsia="en-US"/>
        </w:rPr>
      </w:pPr>
    </w:p>
    <w:p w14:paraId="3B280F83" w14:textId="77777777" w:rsidR="00EB4FFD" w:rsidRPr="003D1E07" w:rsidRDefault="009517EC" w:rsidP="00EB4FFD">
      <w:pPr>
        <w:jc w:val="center"/>
        <w:rPr>
          <w:lang w:eastAsia="en-US"/>
        </w:rPr>
      </w:pPr>
      <w:hyperlink r:id="rId24" w:history="1">
        <w:r w:rsidR="00EB4FFD" w:rsidRPr="003D1E07">
          <w:rPr>
            <w:rStyle w:val="Hypertextovodkaz"/>
            <w:lang w:eastAsia="en-US"/>
          </w:rPr>
          <w:t>www.hermaion.cz</w:t>
        </w:r>
      </w:hyperlink>
    </w:p>
    <w:p w14:paraId="0AE7DA0D" w14:textId="77777777" w:rsidR="00EB4FFD" w:rsidRPr="003D1E07" w:rsidRDefault="00EB4FFD" w:rsidP="00EB4FFD">
      <w:pPr>
        <w:jc w:val="center"/>
        <w:rPr>
          <w:b/>
          <w:lang w:eastAsia="en-US"/>
        </w:rPr>
      </w:pPr>
      <w:r w:rsidRPr="003D1E07">
        <w:rPr>
          <w:b/>
          <w:lang w:eastAsia="en-US"/>
        </w:rPr>
        <w:t>ISBN ....</w:t>
      </w:r>
    </w:p>
    <w:p w14:paraId="5372671B" w14:textId="686B7D88" w:rsidR="005507A7" w:rsidRPr="00F07C4F" w:rsidRDefault="005507A7" w:rsidP="00F07C4F">
      <w:pPr>
        <w:pStyle w:val="Nadpis3"/>
        <w:rPr>
          <w:sz w:val="20"/>
          <w:lang w:val="cs-CZ"/>
        </w:rPr>
      </w:pPr>
    </w:p>
    <w:sectPr w:rsidR="005507A7" w:rsidRPr="00F07C4F" w:rsidSect="08240A2E">
      <w:type w:val="continuous"/>
      <w:pgSz w:w="11905" w:h="16837"/>
      <w:pgMar w:top="1417" w:right="1417" w:bottom="1417" w:left="1417" w:header="708" w:footer="72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57" w:author="Matrix" w:date="2023-09-21T10:47:00Z" w:initials="M">
    <w:p w14:paraId="337A44C6" w14:textId="3C63E3BF" w:rsidR="00CD2817" w:rsidRPr="00BE055C" w:rsidRDefault="00CD2817">
      <w:pPr>
        <w:pStyle w:val="Textkomente"/>
        <w:rPr>
          <w:lang w:val="cs-CZ"/>
        </w:rPr>
      </w:pPr>
      <w:r>
        <w:rPr>
          <w:rStyle w:val="Odkaznakoment"/>
        </w:rPr>
        <w:annotationRef/>
      </w:r>
      <w:r>
        <w:rPr>
          <w:lang w:val="cs-CZ"/>
        </w:rPr>
        <w:t>Přidat do literatury prvního dílu!</w:t>
      </w:r>
    </w:p>
  </w:comment>
  <w:comment w:id="158" w:author="Matrix" w:date="2023-11-04T13:17:00Z" w:initials="M">
    <w:p w14:paraId="491CA7FC" w14:textId="26B0D9FC" w:rsidR="00CD2817" w:rsidRPr="00577C7B" w:rsidRDefault="00CD2817">
      <w:pPr>
        <w:pStyle w:val="Textkomente"/>
        <w:rPr>
          <w:lang w:val="cs-CZ"/>
        </w:rPr>
      </w:pPr>
      <w:r>
        <w:rPr>
          <w:rStyle w:val="Odkaznakoment"/>
        </w:rPr>
        <w:annotationRef/>
      </w:r>
      <w:r>
        <w:rPr>
          <w:lang w:val="cs-CZ"/>
        </w:rPr>
        <w:t>opravit takto</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37A44C6" w15:done="0"/>
  <w15:commentEx w15:paraId="491CA7F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3D3124" w14:textId="77777777" w:rsidR="00CD2817" w:rsidRDefault="00CD2817" w:rsidP="00035EA2">
      <w:pPr>
        <w:spacing w:line="240" w:lineRule="auto"/>
      </w:pPr>
      <w:r>
        <w:separator/>
      </w:r>
    </w:p>
  </w:endnote>
  <w:endnote w:type="continuationSeparator" w:id="0">
    <w:p w14:paraId="649D3FDA" w14:textId="77777777" w:rsidR="00CD2817" w:rsidRDefault="00CD2817"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Brill-Roman">
    <w:altName w:val="MS Mincho"/>
    <w:charset w:val="80"/>
    <w:family w:val="auto"/>
    <w:pitch w:val="default"/>
  </w:font>
  <w:font w:name="NewAster">
    <w:altName w:val="MS Mincho"/>
    <w:charset w:val="80"/>
    <w:family w:val="auto"/>
    <w:pitch w:val="default"/>
  </w:font>
  <w:font w:name="NewAster-Italic">
    <w:altName w:val="MS Mincho"/>
    <w:charset w:val="80"/>
    <w:family w:val="auto"/>
    <w:pitch w:val="default"/>
  </w:font>
  <w:font w:name="Code2000">
    <w:altName w:val="MS Gothic"/>
    <w:charset w:val="80"/>
    <w:family w:val="auto"/>
    <w:pitch w:val="default"/>
    <w:sig w:usb0="00000001" w:usb1="08070000" w:usb2="00000010" w:usb3="00000000" w:csb0="00020000" w:csb1="00000000"/>
  </w:font>
  <w:font w:name="Brill-Italic">
    <w:altName w:val="Arial"/>
    <w:charset w:val="EE"/>
    <w:family w:val="swiss"/>
    <w:pitch w:val="default"/>
  </w:font>
  <w:font w:name="GarBasis">
    <w:altName w:val="MS Mincho"/>
    <w:charset w:val="80"/>
    <w:family w:val="auto"/>
    <w:pitch w:val="default"/>
  </w:font>
  <w:font w:name="GarBasisIt">
    <w:altName w:val="MS Mincho"/>
    <w:charset w:val="80"/>
    <w:family w:val="auto"/>
    <w:pitch w:val="default"/>
  </w:font>
  <w:font w:name="TimesNewRomanPSMT">
    <w:altName w:val="Yu Gothic UI"/>
    <w:panose1 w:val="00000000000000000000"/>
    <w:charset w:val="80"/>
    <w:family w:val="roman"/>
    <w:notTrueType/>
    <w:pitch w:val="default"/>
    <w:sig w:usb0="00000000" w:usb1="08070000" w:usb2="00000010" w:usb3="00000000" w:csb0="00020003" w:csb1="00000000"/>
  </w:font>
  <w:font w:name="HiddenHorzOCR">
    <w:altName w:val="MS Mincho"/>
    <w:charset w:val="80"/>
    <w:family w:val="auto"/>
    <w:pitch w:val="default"/>
    <w:sig w:usb0="00000001" w:usb1="08070000" w:usb2="00000010" w:usb3="00000000" w:csb0="00020000" w:csb1="00000000"/>
  </w:font>
  <w:font w:name="AJensonPro-Regular">
    <w:altName w:val="Malgun Gothic Semilight"/>
    <w:panose1 w:val="00000000000000000000"/>
    <w:charset w:val="88"/>
    <w:family w:val="auto"/>
    <w:notTrueType/>
    <w:pitch w:val="default"/>
    <w:sig w:usb0="00000000" w:usb1="08080000" w:usb2="00000010" w:usb3="00000000" w:csb0="00100000" w:csb1="00000000"/>
  </w:font>
  <w:font w:name="AJensonPro-It">
    <w:altName w:val="Malgun Gothic Semilight"/>
    <w:panose1 w:val="00000000000000000000"/>
    <w:charset w:val="88"/>
    <w:family w:val="auto"/>
    <w:notTrueType/>
    <w:pitch w:val="default"/>
    <w:sig w:usb0="00000000" w:usb1="08080000" w:usb2="00000010" w:usb3="00000000" w:csb0="00100000" w:csb1="00000000"/>
  </w:font>
  <w:font w:name="TT2A7oI00">
    <w:altName w:val="MS Mincho"/>
    <w:charset w:val="80"/>
    <w:family w:val="auto"/>
    <w:pitch w:val="default"/>
  </w:font>
  <w:font w:name="TimesNewRoman,Italic">
    <w:panose1 w:val="00000000000000000000"/>
    <w:charset w:val="EE"/>
    <w:family w:val="auto"/>
    <w:notTrueType/>
    <w:pitch w:val="default"/>
    <w:sig w:usb0="00000005" w:usb1="00000000" w:usb2="00000000" w:usb3="00000000" w:csb0="00000002" w:csb1="00000000"/>
  </w:font>
  <w:font w:name="Sabon-Roman">
    <w:altName w:val="Times New Roman"/>
    <w:charset w:val="00"/>
    <w:family w:val="roman"/>
    <w:pitch w:val="default"/>
  </w:font>
  <w:font w:name="TeXGyreTermes-Regular">
    <w:altName w:val="Arial Unicode MS"/>
    <w:charset w:val="80"/>
    <w:family w:val="auto"/>
    <w:pitch w:val="default"/>
  </w:font>
  <w:font w:name="S60-RomanA">
    <w:altName w:val="Times New Roman"/>
    <w:charset w:val="00"/>
    <w:family w:val="auto"/>
    <w:pitch w:val="default"/>
  </w:font>
  <w:font w:name="Courier">
    <w:panose1 w:val="02070409020205020404"/>
    <w:charset w:val="00"/>
    <w:family w:val="modern"/>
    <w:notTrueType/>
    <w:pitch w:val="fixed"/>
    <w:sig w:usb0="00000003" w:usb1="00000000" w:usb2="00000000" w:usb3="00000000" w:csb0="00000001"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F2034D" w14:textId="3C70225F" w:rsidR="00CD2817" w:rsidRDefault="00CD2817">
    <w:pPr>
      <w:pStyle w:val="Zpat"/>
      <w:jc w:val="center"/>
    </w:pPr>
    <w:r>
      <w:fldChar w:fldCharType="begin"/>
    </w:r>
    <w:r>
      <w:instrText xml:space="preserve"> PAGE   \* MERGEFORMAT </w:instrText>
    </w:r>
    <w:r>
      <w:fldChar w:fldCharType="separate"/>
    </w:r>
    <w:r w:rsidR="009517EC">
      <w:t>1</w:t>
    </w:r>
    <w:r>
      <w:fldChar w:fldCharType="end"/>
    </w:r>
  </w:p>
  <w:p w14:paraId="54758C6B" w14:textId="77777777" w:rsidR="00CD2817" w:rsidRDefault="00CD2817">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967E3C" w14:textId="47989E74" w:rsidR="00CD2817" w:rsidRDefault="00CD2817">
    <w:pPr>
      <w:pStyle w:val="Zpat"/>
      <w:jc w:val="center"/>
    </w:pPr>
    <w:r>
      <w:fldChar w:fldCharType="begin"/>
    </w:r>
    <w:r>
      <w:instrText xml:space="preserve"> PAGE   \* MERGEFORMAT </w:instrText>
    </w:r>
    <w:r>
      <w:fldChar w:fldCharType="separate"/>
    </w:r>
    <w:r w:rsidR="005023BC">
      <w:t>822</w:t>
    </w:r>
    <w:r>
      <w:fldChar w:fldCharType="end"/>
    </w:r>
  </w:p>
  <w:p w14:paraId="21759519" w14:textId="77777777" w:rsidR="00CD2817" w:rsidRDefault="00CD2817">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D08152" w14:textId="1864A273" w:rsidR="00CD2817" w:rsidRDefault="00CD2817">
    <w:pPr>
      <w:pStyle w:val="Zpat"/>
      <w:jc w:val="center"/>
    </w:pPr>
    <w:r>
      <w:fldChar w:fldCharType="begin"/>
    </w:r>
    <w:r>
      <w:instrText xml:space="preserve"> PAGE   \* MERGEFORMAT </w:instrText>
    </w:r>
    <w:r>
      <w:fldChar w:fldCharType="separate"/>
    </w:r>
    <w:r w:rsidR="005023BC">
      <w:t>849</w:t>
    </w:r>
    <w:r>
      <w:fldChar w:fldCharType="end"/>
    </w:r>
  </w:p>
  <w:p w14:paraId="79FDF0AA" w14:textId="77777777" w:rsidR="00CD2817" w:rsidRDefault="00CD2817">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91E54B" w14:textId="77777777" w:rsidR="00CD2817" w:rsidRDefault="00CD2817" w:rsidP="00035EA2">
      <w:pPr>
        <w:spacing w:line="240" w:lineRule="auto"/>
      </w:pPr>
      <w:r>
        <w:separator/>
      </w:r>
    </w:p>
  </w:footnote>
  <w:footnote w:type="continuationSeparator" w:id="0">
    <w:p w14:paraId="5C06C620" w14:textId="77777777" w:rsidR="00CD2817" w:rsidRDefault="00CD2817" w:rsidP="00035EA2">
      <w:pPr>
        <w:spacing w:line="240" w:lineRule="auto"/>
      </w:pPr>
      <w:r>
        <w:continuationSeparator/>
      </w:r>
    </w:p>
  </w:footnote>
  <w:footnote w:id="1">
    <w:p w14:paraId="7AD82B6C" w14:textId="77777777" w:rsidR="00CD2817" w:rsidRPr="083C161E" w:rsidRDefault="00CD2817" w:rsidP="085D7807">
      <w:pPr>
        <w:pStyle w:val="Textpoznpodarou"/>
        <w:rPr>
          <w:color w:val="000000"/>
          <w:lang w:val="cs-CZ"/>
        </w:rPr>
      </w:pPr>
      <w:r>
        <w:rPr>
          <w:rStyle w:val="Znakapoznpodarou"/>
        </w:rPr>
        <w:footnoteRef/>
      </w:r>
      <w:r>
        <w:t xml:space="preserve"> </w:t>
      </w:r>
      <w:r>
        <w:rPr>
          <w:lang w:val="cs-CZ"/>
        </w:rPr>
        <w:t>„</w:t>
      </w:r>
      <w:r>
        <w:t>Die Sage »des« Anfangs ist Anfängnis als Sagen. Das Sagen ist Er-eignen in die Wesung der Wahrheit als entbergende Verbergung. Dieses Er-eignen enthält die Wesensfülle dessen, was das</w:t>
      </w:r>
      <w:r>
        <w:rPr>
          <w:lang w:val="cs-CZ"/>
        </w:rPr>
        <w:t xml:space="preserve"> </w:t>
      </w:r>
      <w:r>
        <w:t>Er-eignis zu denken fordert.</w:t>
      </w:r>
      <w:r>
        <w:rPr>
          <w:lang w:val="cs-CZ"/>
        </w:rPr>
        <w:t>“ (Heidegger, GA 71, 297</w:t>
      </w:r>
      <w:r>
        <w:rPr>
          <w:lang w:val="cs-CZ"/>
        </w:rPr>
        <w:fldChar w:fldCharType="begin"/>
      </w:r>
      <w:r>
        <w:instrText xml:space="preserve"> XE "</w:instrText>
      </w:r>
      <w:r w:rsidRPr="086D44A2">
        <w:rPr>
          <w:lang w:val="cs-CZ"/>
        </w:rPr>
        <w:instrText>Heidegge</w:instrText>
      </w:r>
      <w:r>
        <w:rPr>
          <w:lang w:val="cs-CZ"/>
        </w:rPr>
        <w:instrText>r:</w:instrText>
      </w:r>
      <w:r w:rsidRPr="086D44A2">
        <w:rPr>
          <w:lang w:val="cs-CZ"/>
        </w:rPr>
        <w:instrText>GA 71, 297</w:instrText>
      </w:r>
      <w:r>
        <w:instrText xml:space="preserve">" </w:instrText>
      </w:r>
      <w:r>
        <w:rPr>
          <w:lang w:val="cs-CZ"/>
        </w:rPr>
        <w:fldChar w:fldCharType="end"/>
      </w:r>
      <w:r>
        <w:rPr>
          <w:lang w:val="cs-CZ"/>
        </w:rPr>
        <w:t>)</w:t>
      </w:r>
    </w:p>
    <w:p w14:paraId="5206D16F" w14:textId="77777777" w:rsidR="00CD2817" w:rsidRPr="083C161E" w:rsidRDefault="00CD2817" w:rsidP="085D7807">
      <w:pPr>
        <w:pStyle w:val="Textpoznpodarou"/>
        <w:rPr>
          <w:lang w:val="cs-CZ"/>
        </w:rPr>
      </w:pPr>
    </w:p>
  </w:footnote>
  <w:footnote w:id="2">
    <w:p w14:paraId="6A9D76CC" w14:textId="791A45AA" w:rsidR="00CD2817" w:rsidRPr="084D6359" w:rsidRDefault="00CD2817" w:rsidP="08AB6FA3">
      <w:pPr>
        <w:pStyle w:val="Textpoznpodarou"/>
      </w:pPr>
      <w:r>
        <w:rPr>
          <w:rStyle w:val="Znakapoznpodarou"/>
        </w:rPr>
        <w:footnoteRef/>
      </w:r>
      <w:r>
        <w:t xml:space="preserve"> </w:t>
      </w:r>
      <w:r>
        <w:rPr>
          <w:lang w:val="cs-CZ"/>
        </w:rPr>
        <w:t>„</w:t>
      </w:r>
      <w:r>
        <w:t>Hier ist ein Heros, der Nichts gethan hat als den Baum geschüttelt, sobald die Früchte reif waren. Dünkt euch diess zu wenig? So seht euch den Baum erst an, den er schüttelte.</w:t>
      </w:r>
      <w:r>
        <w:rPr>
          <w:lang w:val="cs-CZ"/>
        </w:rPr>
        <w:t>“ (</w:t>
      </w:r>
      <w:r w:rsidRPr="084D6359">
        <w:rPr>
          <w:i/>
        </w:rPr>
        <w:t>Menschliches, Allzumenschliches</w:t>
      </w:r>
      <w:r w:rsidRPr="084D6359">
        <w:rPr>
          <w:i/>
          <w:lang w:val="cs-CZ"/>
        </w:rPr>
        <w:t xml:space="preserve"> II</w:t>
      </w:r>
      <w:r>
        <w:rPr>
          <w:lang w:val="cs-CZ"/>
        </w:rPr>
        <w:t xml:space="preserve">, No. 347; </w:t>
      </w:r>
      <w:r>
        <w:t xml:space="preserve">KSA </w:t>
      </w:r>
      <w:r>
        <w:rPr>
          <w:lang w:val="cs-CZ"/>
        </w:rPr>
        <w:t>2</w:t>
      </w:r>
      <w:r>
        <w:t>,</w:t>
      </w:r>
      <w:r>
        <w:rPr>
          <w:lang w:val="cs-CZ"/>
        </w:rPr>
        <w:t xml:space="preserve"> 701</w:t>
      </w:r>
      <w:r>
        <w:fldChar w:fldCharType="begin"/>
      </w:r>
      <w:r>
        <w:instrText xml:space="preserve"> XE "</w:instrText>
      </w:r>
      <w:r w:rsidRPr="001D5D63">
        <w:instrText>Nietzsche:</w:instrText>
      </w:r>
      <w:r w:rsidRPr="084D6359">
        <w:rPr>
          <w:i/>
        </w:rPr>
        <w:instrText>Menschliches, Allzumenschliches</w:instrText>
      </w:r>
      <w:r w:rsidRPr="084D6359">
        <w:rPr>
          <w:i/>
          <w:lang w:val="cs-CZ"/>
        </w:rPr>
        <w:instrText xml:space="preserve"> II</w:instrText>
      </w:r>
      <w:r>
        <w:instrText xml:space="preserve">, </w:instrText>
      </w:r>
      <w:r>
        <w:rPr>
          <w:lang w:val="cs-CZ"/>
        </w:rPr>
        <w:instrText>701</w:instrText>
      </w:r>
      <w:r>
        <w:instrText xml:space="preserve">" </w:instrText>
      </w:r>
      <w:r>
        <w:fldChar w:fldCharType="end"/>
      </w:r>
      <w:r>
        <w:rPr>
          <w:lang w:val="cs-CZ"/>
        </w:rPr>
        <w:t>)</w:t>
      </w:r>
    </w:p>
  </w:footnote>
  <w:footnote w:id="3">
    <w:p w14:paraId="35E36A65" w14:textId="77777777" w:rsidR="00CD2817" w:rsidRPr="08F62B8F" w:rsidRDefault="00CD2817" w:rsidP="08667A19">
      <w:pPr>
        <w:pStyle w:val="Textpoznpodarou"/>
        <w:rPr>
          <w:lang w:val="cs-CZ"/>
        </w:rPr>
      </w:pPr>
      <w:r>
        <w:rPr>
          <w:rStyle w:val="Znakapoznpodarou"/>
        </w:rPr>
        <w:footnoteRef/>
      </w:r>
      <w:r>
        <w:rPr>
          <w:rStyle w:val="la"/>
          <w:lang w:val="cs-CZ"/>
        </w:rPr>
        <w:t>„</w:t>
      </w:r>
      <w:r>
        <w:t>E</w:t>
      </w:r>
      <w:r w:rsidRPr="08F62B8F">
        <w:rPr>
          <w:lang w:val="cs-CZ" w:eastAsia="cs-CZ"/>
        </w:rPr>
        <w:t>rgo</w:t>
      </w:r>
      <w:r>
        <w:rPr>
          <w:lang w:val="cs-CZ" w:eastAsia="cs-CZ"/>
        </w:rPr>
        <w:t xml:space="preserve"> </w:t>
      </w:r>
      <w:r w:rsidRPr="08F62B8F">
        <w:t>Bythos et Sige, Nus et Veritas prima quadriga defenditur</w:t>
      </w:r>
      <w:r>
        <w:rPr>
          <w:lang w:val="cs-CZ"/>
        </w:rPr>
        <w:t xml:space="preserve"> </w:t>
      </w:r>
      <w:r w:rsidRPr="08F62B8F">
        <w:t>Valentinianae factionis, matrix et origo cunctorum.</w:t>
      </w:r>
      <w:r w:rsidRPr="08F62B8F">
        <w:rPr>
          <w:rStyle w:val="la"/>
          <w:lang w:val="cs-CZ"/>
        </w:rPr>
        <w:t>“</w:t>
      </w:r>
      <w:r>
        <w:rPr>
          <w:rStyle w:val="la"/>
          <w:lang w:val="cs-CZ"/>
        </w:rPr>
        <w:t xml:space="preserve"> (Tertullian, </w:t>
      </w:r>
      <w:r w:rsidRPr="08F62B8F">
        <w:rPr>
          <w:rStyle w:val="la"/>
          <w:i/>
          <w:lang w:val="cs-CZ"/>
        </w:rPr>
        <w:t>Adversus Valentinianos</w:t>
      </w:r>
      <w:r>
        <w:rPr>
          <w:rStyle w:val="la"/>
          <w:lang w:val="cs-CZ"/>
        </w:rPr>
        <w:t>, c. 7; ed. Riley, p. 33.13</w:t>
      </w:r>
      <w:r w:rsidRPr="00273106">
        <w:t>‒</w:t>
      </w:r>
      <w:r>
        <w:rPr>
          <w:rStyle w:val="la"/>
          <w:lang w:val="cs-CZ"/>
        </w:rPr>
        <w:t>15</w:t>
      </w:r>
      <w:r>
        <w:rPr>
          <w:rStyle w:val="la"/>
          <w:lang w:val="cs-CZ"/>
        </w:rPr>
        <w:fldChar w:fldCharType="begin"/>
      </w:r>
      <w:r>
        <w:instrText xml:space="preserve"> XE "</w:instrText>
      </w:r>
      <w:r w:rsidRPr="0890649A">
        <w:rPr>
          <w:rStyle w:val="la"/>
          <w:lang w:val="cs-CZ"/>
        </w:rPr>
        <w:instrText>Tertul</w:instrText>
      </w:r>
      <w:r>
        <w:rPr>
          <w:rStyle w:val="la"/>
          <w:lang w:val="cs-CZ"/>
        </w:rPr>
        <w:instrText>l</w:instrText>
      </w:r>
      <w:r w:rsidRPr="0890649A">
        <w:rPr>
          <w:rStyle w:val="la"/>
          <w:lang w:val="cs-CZ"/>
        </w:rPr>
        <w:instrText>ian</w:instrText>
      </w:r>
      <w:r>
        <w:rPr>
          <w:rStyle w:val="la"/>
          <w:lang w:val="cs-CZ"/>
        </w:rPr>
        <w:instrText>:</w:instrText>
      </w:r>
      <w:r w:rsidRPr="0890649A">
        <w:rPr>
          <w:rStyle w:val="la"/>
          <w:i/>
          <w:lang w:val="cs-CZ"/>
        </w:rPr>
        <w:instrText>Adversus Valentinianos</w:instrText>
      </w:r>
      <w:r w:rsidRPr="0890649A">
        <w:rPr>
          <w:rStyle w:val="la"/>
          <w:lang w:val="cs-CZ"/>
        </w:rPr>
        <w:instrText xml:space="preserve"> 33.13</w:instrText>
      </w:r>
      <w:r w:rsidRPr="0890649A">
        <w:instrText>‒</w:instrText>
      </w:r>
      <w:r w:rsidRPr="0890649A">
        <w:rPr>
          <w:rStyle w:val="la"/>
          <w:lang w:val="cs-CZ"/>
        </w:rPr>
        <w:instrText>15</w:instrText>
      </w:r>
      <w:r>
        <w:instrText xml:space="preserve">" </w:instrText>
      </w:r>
      <w:r>
        <w:rPr>
          <w:rStyle w:val="la"/>
          <w:lang w:val="cs-CZ"/>
        </w:rPr>
        <w:fldChar w:fldCharType="end"/>
      </w:r>
      <w:r>
        <w:rPr>
          <w:rStyle w:val="la"/>
          <w:lang w:val="cs-CZ"/>
        </w:rPr>
        <w:t>)</w:t>
      </w:r>
    </w:p>
  </w:footnote>
  <w:footnote w:id="4">
    <w:p w14:paraId="707568F3" w14:textId="77777777" w:rsidR="00CD2817" w:rsidRPr="00EA5052" w:rsidRDefault="00CD2817" w:rsidP="00212D28">
      <w:pPr>
        <w:pStyle w:val="Textpoznpodarou"/>
      </w:pPr>
      <w:r>
        <w:rPr>
          <w:rStyle w:val="Znakapoznpodarou"/>
        </w:rPr>
        <w:footnoteRef/>
      </w:r>
      <w:r>
        <w:t xml:space="preserve"> </w:t>
      </w:r>
      <w:r w:rsidRPr="0067584F">
        <w:rPr>
          <w:rStyle w:val="TextpoznpodarouChar"/>
        </w:rPr>
        <w:t>„</w:t>
      </w:r>
      <w:r>
        <w:rPr>
          <w:rStyle w:val="TextpoznpodarouChar"/>
        </w:rPr>
        <w:t>Definiunt autem eam et hoc modo</w:t>
      </w:r>
      <w:r w:rsidRPr="0067584F">
        <w:rPr>
          <w:rStyle w:val="TextpoznpodarouChar"/>
        </w:rPr>
        <w:t>: differentia est quod de pluribus et differentibus specie i</w:t>
      </w:r>
      <w:r>
        <w:rPr>
          <w:rStyle w:val="TextpoznpodarouChar"/>
        </w:rPr>
        <w:t>n eo quod quale sit praedicatur</w:t>
      </w:r>
      <w:r w:rsidRPr="0067584F">
        <w:rPr>
          <w:rStyle w:val="TextpoznpodarouChar"/>
        </w:rPr>
        <w:t>; rationale enim et mortale de homine praedicatum in eo quod quale quiddam est homo dicitur, sed non in eo quod quid est.“ (</w:t>
      </w:r>
      <w:r>
        <w:rPr>
          <w:rStyle w:val="TextpoznpodarouChar"/>
          <w:i/>
          <w:lang w:val="cs-CZ"/>
        </w:rPr>
        <w:t>I</w:t>
      </w:r>
      <w:r w:rsidRPr="08FF4A01">
        <w:rPr>
          <w:rStyle w:val="TextpoznpodarouChar"/>
          <w:i/>
          <w:lang w:val="cs-CZ"/>
        </w:rPr>
        <w:t xml:space="preserve">n Porph. </w:t>
      </w:r>
      <w:r>
        <w:rPr>
          <w:rStyle w:val="TextpoznpodarouChar"/>
          <w:i/>
        </w:rPr>
        <w:t>Isag</w:t>
      </w:r>
      <w:r>
        <w:rPr>
          <w:rStyle w:val="TextpoznpodarouChar"/>
          <w:i/>
          <w:lang w:val="cs-CZ"/>
        </w:rPr>
        <w:t>.</w:t>
      </w:r>
      <w:r>
        <w:rPr>
          <w:rStyle w:val="TextpoznpodarouChar"/>
        </w:rPr>
        <w:t xml:space="preserve"> III.10</w:t>
      </w:r>
      <w:r>
        <w:rPr>
          <w:rStyle w:val="TextpoznpodarouChar"/>
        </w:rPr>
        <w:fldChar w:fldCharType="begin"/>
      </w:r>
      <w:r>
        <w:instrText xml:space="preserve"> XE "</w:instrText>
      </w:r>
      <w:r>
        <w:rPr>
          <w:lang w:val="cs-CZ"/>
        </w:rPr>
        <w:instrText>Boethius:</w:instrText>
      </w:r>
      <w:r>
        <w:rPr>
          <w:rStyle w:val="TextpoznpodarouChar"/>
          <w:i/>
          <w:lang w:val="cs-CZ"/>
        </w:rPr>
        <w:instrText>I</w:instrText>
      </w:r>
      <w:r w:rsidRPr="08307EE7">
        <w:rPr>
          <w:rStyle w:val="TextpoznpodarouChar"/>
          <w:i/>
          <w:lang w:val="cs-CZ"/>
        </w:rPr>
        <w:instrText xml:space="preserve">n Porph. </w:instrText>
      </w:r>
      <w:r>
        <w:rPr>
          <w:rStyle w:val="TextpoznpodarouChar"/>
          <w:i/>
        </w:rPr>
        <w:instrText>Isag</w:instrText>
      </w:r>
      <w:r>
        <w:rPr>
          <w:rStyle w:val="TextpoznpodarouChar"/>
          <w:i/>
          <w:lang w:val="cs-CZ"/>
        </w:rPr>
        <w:instrText>.</w:instrText>
      </w:r>
      <w:r w:rsidRPr="08307EE7">
        <w:rPr>
          <w:rStyle w:val="TextpoznpodarouChar"/>
        </w:rPr>
        <w:instrText xml:space="preserve"> III.10</w:instrText>
      </w:r>
      <w:r>
        <w:instrText xml:space="preserve">" </w:instrText>
      </w:r>
      <w:r>
        <w:rPr>
          <w:rStyle w:val="TextpoznpodarouChar"/>
        </w:rPr>
        <w:fldChar w:fldCharType="end"/>
      </w:r>
      <w:r>
        <w:rPr>
          <w:rStyle w:val="TextpoznpodarouChar"/>
        </w:rPr>
        <w:t xml:space="preserve">; </w:t>
      </w:r>
      <w:r w:rsidRPr="0067584F">
        <w:rPr>
          <w:rStyle w:val="TextpoznpodarouChar"/>
        </w:rPr>
        <w:t>ed. Libera, p. 13)</w:t>
      </w:r>
    </w:p>
  </w:footnote>
  <w:footnote w:id="5">
    <w:p w14:paraId="63481E52" w14:textId="77777777" w:rsidR="00CD2817" w:rsidRPr="00A42DE7" w:rsidRDefault="00CD2817" w:rsidP="003B5329">
      <w:pPr>
        <w:pStyle w:val="Textpoznpodarou"/>
        <w:rPr>
          <w:sz w:val="24"/>
          <w:szCs w:val="27"/>
          <w:shd w:val="clear" w:color="auto" w:fill="FFFFFF"/>
        </w:rPr>
      </w:pPr>
      <w:r>
        <w:rPr>
          <w:rStyle w:val="Znakapoznpodarou"/>
        </w:rPr>
        <w:footnoteRef/>
      </w:r>
      <w:r>
        <w:t xml:space="preserve"> „Rebus enim ex materia et forma constantibus vel ad similitudinem proportionem materiae specieique constitutionem habentibus (quamadmodum statua ex materia est aeris, forma autem figura), sic et homo communis et specialis ex materia quidem similiter proportionaliter consistit genere, ex forma autem differentia, totum autem hoc animal rationale mortale homo est quemadmodum illic statua.“</w:t>
      </w:r>
      <w:r w:rsidRPr="00A42DE7">
        <w:t xml:space="preserve"> (</w:t>
      </w:r>
      <w:r>
        <w:rPr>
          <w:rStyle w:val="TextpoznpodarouChar"/>
          <w:i/>
          <w:lang w:val="cs-CZ"/>
        </w:rPr>
        <w:t>In</w:t>
      </w:r>
      <w:r w:rsidRPr="08FF4A01">
        <w:rPr>
          <w:rStyle w:val="TextpoznpodarouChar"/>
          <w:i/>
          <w:lang w:val="cs-CZ"/>
        </w:rPr>
        <w:t xml:space="preserve"> Porph. </w:t>
      </w:r>
      <w:r>
        <w:rPr>
          <w:rStyle w:val="TextpoznpodarouChar"/>
          <w:i/>
        </w:rPr>
        <w:t>Isag</w:t>
      </w:r>
      <w:r>
        <w:rPr>
          <w:rStyle w:val="TextpoznpodarouChar"/>
          <w:i/>
          <w:lang w:val="cs-CZ"/>
        </w:rPr>
        <w:t>.</w:t>
      </w:r>
      <w:r>
        <w:rPr>
          <w:rStyle w:val="TextpoznpodarouChar"/>
        </w:rPr>
        <w:t xml:space="preserve"> </w:t>
      </w:r>
      <w:r w:rsidRPr="00A42DE7">
        <w:t>III.10</w:t>
      </w:r>
      <w:r>
        <w:t xml:space="preserve">, </w:t>
      </w:r>
      <w:r w:rsidRPr="0067584F">
        <w:rPr>
          <w:rStyle w:val="TextpoznpodarouChar"/>
        </w:rPr>
        <w:t>ed. Libera</w:t>
      </w:r>
      <w:r>
        <w:rPr>
          <w:rStyle w:val="TextpoznpodarouChar"/>
        </w:rPr>
        <w:fldChar w:fldCharType="begin"/>
      </w:r>
      <w:r>
        <w:instrText xml:space="preserve"> XE "</w:instrText>
      </w:r>
      <w:r>
        <w:rPr>
          <w:lang w:val="cs-CZ"/>
        </w:rPr>
        <w:instrText>Boethius:</w:instrText>
      </w:r>
      <w:r w:rsidRPr="082B67EC">
        <w:rPr>
          <w:i/>
          <w:lang w:val="cs-CZ"/>
        </w:rPr>
        <w:instrText>In Por</w:instrText>
      </w:r>
      <w:r>
        <w:rPr>
          <w:i/>
          <w:lang w:val="cs-CZ"/>
        </w:rPr>
        <w:instrText>p</w:instrText>
      </w:r>
      <w:r w:rsidRPr="082B67EC">
        <w:rPr>
          <w:i/>
          <w:lang w:val="cs-CZ"/>
        </w:rPr>
        <w:instrText>h</w:instrText>
      </w:r>
      <w:r>
        <w:rPr>
          <w:i/>
          <w:lang w:val="cs-CZ"/>
        </w:rPr>
        <w:instrText>.</w:instrText>
      </w:r>
      <w:r w:rsidRPr="082B67EC">
        <w:rPr>
          <w:i/>
          <w:lang w:val="cs-CZ"/>
        </w:rPr>
        <w:instrText xml:space="preserve"> Isag</w:instrText>
      </w:r>
      <w:r>
        <w:rPr>
          <w:i/>
          <w:lang w:val="cs-CZ"/>
        </w:rPr>
        <w:instrText>.</w:instrText>
      </w:r>
      <w:r>
        <w:rPr>
          <w:lang w:val="cs-CZ"/>
        </w:rPr>
        <w:instrText xml:space="preserve"> 3.10</w:instrText>
      </w:r>
      <w:r>
        <w:instrText xml:space="preserve">" </w:instrText>
      </w:r>
      <w:r>
        <w:rPr>
          <w:rStyle w:val="TextpoznpodarouChar"/>
        </w:rPr>
        <w:fldChar w:fldCharType="end"/>
      </w:r>
      <w:r w:rsidRPr="0067584F">
        <w:rPr>
          <w:rStyle w:val="TextpoznpodarouChar"/>
        </w:rPr>
        <w:t>, p. 13</w:t>
      </w:r>
      <w:r w:rsidRPr="00A42DE7">
        <w:t>)</w:t>
      </w:r>
    </w:p>
  </w:footnote>
  <w:footnote w:id="6">
    <w:p w14:paraId="60C02D4B" w14:textId="77777777" w:rsidR="00CD2817" w:rsidRPr="00DD059D" w:rsidRDefault="00CD2817" w:rsidP="00853F97">
      <w:pPr>
        <w:pStyle w:val="Textpoznpodarou"/>
        <w:rPr>
          <w:szCs w:val="27"/>
          <w:shd w:val="clear" w:color="auto" w:fill="FFFFFF"/>
          <w:lang w:val="cs-CZ"/>
        </w:rPr>
      </w:pPr>
      <w:r>
        <w:rPr>
          <w:rStyle w:val="Znakapoznpodarou"/>
        </w:rPr>
        <w:footnoteRef/>
      </w:r>
      <w:r>
        <w:t xml:space="preserve"> „</w:t>
      </w:r>
      <w:r w:rsidRPr="00D3288B">
        <w:rPr>
          <w:rFonts w:eastAsia="NewAster"/>
        </w:rPr>
        <w:t xml:space="preserve">He </w:t>
      </w:r>
      <w:r>
        <w:t xml:space="preserve">[Avicenna] </w:t>
      </w:r>
      <w:r w:rsidRPr="00D3288B">
        <w:rPr>
          <w:rFonts w:eastAsia="NewAster"/>
        </w:rPr>
        <w:t>argues that, if genus signifies all the determinations inherent in</w:t>
      </w:r>
      <w:r w:rsidRPr="00D3288B">
        <w:t xml:space="preserve"> </w:t>
      </w:r>
      <w:r w:rsidRPr="00D3288B">
        <w:rPr>
          <w:rFonts w:eastAsia="NewAster"/>
        </w:rPr>
        <w:t xml:space="preserve">a subject, then </w:t>
      </w:r>
      <w:r w:rsidRPr="00D3288B">
        <w:rPr>
          <w:rFonts w:eastAsia="NewAster-Italic"/>
          <w:i/>
        </w:rPr>
        <w:t>body</w:t>
      </w:r>
      <w:r w:rsidRPr="00D3288B">
        <w:rPr>
          <w:rFonts w:eastAsia="NewAster-Italic"/>
        </w:rPr>
        <w:t xml:space="preserve"> </w:t>
      </w:r>
      <w:r w:rsidRPr="00D3288B">
        <w:rPr>
          <w:rFonts w:eastAsia="NewAster"/>
        </w:rPr>
        <w:t xml:space="preserve">as genus, in man, must contain animality; whereas </w:t>
      </w:r>
      <w:r w:rsidRPr="00D3288B">
        <w:rPr>
          <w:rFonts w:eastAsia="NewAster-Italic"/>
          <w:i/>
        </w:rPr>
        <w:t>body</w:t>
      </w:r>
      <w:r w:rsidRPr="00D3288B">
        <w:t xml:space="preserve"> </w:t>
      </w:r>
      <w:r w:rsidRPr="00D3288B">
        <w:rPr>
          <w:rFonts w:eastAsia="NewAster"/>
        </w:rPr>
        <w:t>as matter, in it, is only a part of the whole animal, i.e. the extended one.</w:t>
      </w:r>
      <w:r>
        <w:t>“ (Di Giovanni 2004, 263)</w:t>
      </w:r>
      <w:r>
        <w:rPr>
          <w:lang w:val="cs-CZ"/>
        </w:rPr>
        <w:t xml:space="preserve"> </w:t>
      </w:r>
    </w:p>
  </w:footnote>
  <w:footnote w:id="7">
    <w:p w14:paraId="4796799A" w14:textId="77777777" w:rsidR="00CD2817" w:rsidRPr="00226C9C" w:rsidRDefault="00CD2817">
      <w:pPr>
        <w:pStyle w:val="Textpoznpodarou"/>
        <w:rPr>
          <w:noProof/>
          <w:lang w:val="cs-CZ"/>
        </w:rPr>
      </w:pPr>
      <w:r>
        <w:rPr>
          <w:rStyle w:val="Znakapoznpodarou"/>
        </w:rPr>
        <w:footnoteRef/>
      </w:r>
      <w:r>
        <w:t xml:space="preserve"> </w:t>
      </w:r>
      <w:r w:rsidRPr="00273106">
        <w:rPr>
          <w:noProof/>
        </w:rPr>
        <w:t>„As for corporeality, [being that] which is shared by simple bodies, this is not form of the natural impetus in so far as dimensions are accidents of these [simple bodies], but rather the dimensions, which are common to [all] simple bodies, are numerically one inasmuch as we say that they exist in matter primarily through the [natural impetus]. They are neither genus nor employed in a definition signifying the general form. This is why the concept of body representing matter is different from the concept of body representing general form (the difference between genus and matter has been explained elsewhere).“ (</w:t>
      </w:r>
      <w:r w:rsidRPr="00273106">
        <w:rPr>
          <w:i/>
          <w:noProof/>
        </w:rPr>
        <w:t>Averroes On Aristotle’s Metaphysics</w:t>
      </w:r>
      <w:r>
        <w:rPr>
          <w:noProof/>
          <w:lang w:val="cs-CZ"/>
        </w:rPr>
        <w:t>;</w:t>
      </w:r>
      <w:r w:rsidRPr="00273106">
        <w:rPr>
          <w:noProof/>
        </w:rPr>
        <w:t xml:space="preserve"> ed. Arnzen, p. 93</w:t>
      </w:r>
      <w:r>
        <w:rPr>
          <w:noProof/>
          <w:lang w:val="cs-CZ"/>
        </w:rPr>
        <w:t>.330</w:t>
      </w:r>
      <w:r>
        <w:rPr>
          <w:i/>
          <w:lang w:eastAsia="en-US"/>
        </w:rPr>
        <w:fldChar w:fldCharType="begin"/>
      </w:r>
      <w:r>
        <w:instrText xml:space="preserve"> XE "</w:instrText>
      </w:r>
      <w:r>
        <w:rPr>
          <w:noProof/>
          <w:lang w:val="cs-CZ"/>
        </w:rPr>
        <w:instrText>Averroes</w:instrText>
      </w:r>
      <w:r w:rsidRPr="00AA36A2">
        <w:rPr>
          <w:noProof/>
          <w:lang w:val="cs-CZ"/>
        </w:rPr>
        <w:instrText>:</w:instrText>
      </w:r>
      <w:r w:rsidRPr="00273106">
        <w:rPr>
          <w:i/>
          <w:noProof/>
        </w:rPr>
        <w:instrText>Averroes On Aristotle’s Metaphysics</w:instrText>
      </w:r>
      <w:r>
        <w:rPr>
          <w:noProof/>
          <w:lang w:val="cs-CZ"/>
        </w:rPr>
        <w:instrText xml:space="preserve"> </w:instrText>
      </w:r>
      <w:r w:rsidRPr="00273106">
        <w:rPr>
          <w:noProof/>
        </w:rPr>
        <w:instrText>93</w:instrText>
      </w:r>
      <w:r>
        <w:rPr>
          <w:noProof/>
          <w:lang w:val="cs-CZ"/>
        </w:rPr>
        <w:instrText>.330</w:instrText>
      </w:r>
      <w:r>
        <w:instrText xml:space="preserve">" </w:instrText>
      </w:r>
      <w:r>
        <w:rPr>
          <w:i/>
          <w:lang w:eastAsia="en-US"/>
        </w:rPr>
        <w:fldChar w:fldCharType="end"/>
      </w:r>
      <w:r w:rsidRPr="00273106">
        <w:rPr>
          <w:noProof/>
        </w:rPr>
        <w:t>)</w:t>
      </w:r>
    </w:p>
  </w:footnote>
  <w:footnote w:id="8">
    <w:p w14:paraId="72C3DD3D" w14:textId="77777777" w:rsidR="00CD2817" w:rsidRPr="009C6CDF" w:rsidRDefault="00CD2817">
      <w:pPr>
        <w:pStyle w:val="Textpoznpodarou"/>
      </w:pPr>
      <w:r>
        <w:rPr>
          <w:rStyle w:val="Znakapoznpodarou"/>
        </w:rPr>
        <w:footnoteRef/>
      </w:r>
      <w:r>
        <w:t xml:space="preserve"> „</w:t>
      </w:r>
      <w:r>
        <w:rPr>
          <w:lang w:val="cs-CZ"/>
        </w:rPr>
        <w:t>S</w:t>
      </w:r>
      <w:r w:rsidRPr="00357DB3">
        <w:t>unt ergo ea quae sunt in voce earum quae sunt in anima passionum notae et ea quae scribuntur eorum quae sunt in voce, et quemadmodum nec litterae omnibus eaedem, sic nec voces eaedem, quorum autem haec primorum notae, eaedem omnibus passiones animae et quorum hae sim</w:t>
      </w:r>
      <w:r>
        <w:t>ilitudines, res etiam eaedem...“</w:t>
      </w:r>
      <w:r w:rsidRPr="00357DB3">
        <w:rPr>
          <w:rStyle w:val="TextpoznpodarouChar"/>
        </w:rPr>
        <w:t xml:space="preserve"> </w:t>
      </w:r>
      <w:r>
        <w:rPr>
          <w:rStyle w:val="TextpoznpodarouChar"/>
        </w:rPr>
        <w:t>(</w:t>
      </w:r>
      <w:r w:rsidRPr="006E026D">
        <w:rPr>
          <w:rStyle w:val="TextpoznpodarouChar"/>
          <w:i/>
        </w:rPr>
        <w:t xml:space="preserve">De </w:t>
      </w:r>
      <w:r w:rsidRPr="006E026D">
        <w:rPr>
          <w:rStyle w:val="TextpoznpodarouChar"/>
          <w:i/>
          <w:lang w:val="cs-CZ"/>
        </w:rPr>
        <w:t>i</w:t>
      </w:r>
      <w:r w:rsidRPr="006E026D">
        <w:rPr>
          <w:rStyle w:val="TextpoznpodarouChar"/>
          <w:i/>
        </w:rPr>
        <w:t>nt</w:t>
      </w:r>
      <w:r>
        <w:rPr>
          <w:rStyle w:val="TextpoznpodarouChar"/>
        </w:rPr>
        <w:t>. 16a3‒</w:t>
      </w:r>
      <w:r w:rsidRPr="00F2051F">
        <w:rPr>
          <w:rStyle w:val="TextpoznpodarouChar"/>
        </w:rPr>
        <w:t>8</w:t>
      </w:r>
      <w:r>
        <w:fldChar w:fldCharType="begin"/>
      </w:r>
      <w:r>
        <w:instrText xml:space="preserve"> XE "</w:instrText>
      </w:r>
      <w:r>
        <w:rPr>
          <w:lang w:val="cs-CZ"/>
        </w:rPr>
        <w:instrText>Aristoteles:</w:instrText>
      </w:r>
      <w:r>
        <w:rPr>
          <w:rStyle w:val="TextpoznpodarouChar"/>
          <w:i/>
          <w:lang w:val="cs-CZ"/>
        </w:rPr>
        <w:instrText xml:space="preserve">De </w:instrText>
      </w:r>
      <w:r w:rsidRPr="006E026D">
        <w:rPr>
          <w:rStyle w:val="TextpoznpodarouChar"/>
          <w:i/>
          <w:lang w:val="cs-CZ"/>
        </w:rPr>
        <w:instrText>i</w:instrText>
      </w:r>
      <w:r w:rsidRPr="006E026D">
        <w:rPr>
          <w:rStyle w:val="TextpoznpodarouChar"/>
          <w:i/>
        </w:rPr>
        <w:instrText>nt</w:instrText>
      </w:r>
      <w:r>
        <w:rPr>
          <w:rStyle w:val="TextpoznpodarouChar"/>
          <w:i/>
          <w:lang w:val="cs-CZ"/>
        </w:rPr>
        <w:instrText>erpretatione</w:instrText>
      </w:r>
      <w:r>
        <w:rPr>
          <w:rStyle w:val="TextpoznpodarouChar"/>
        </w:rPr>
        <w:instrText xml:space="preserve"> 16a3‒</w:instrText>
      </w:r>
      <w:r w:rsidRPr="00F2051F">
        <w:rPr>
          <w:rStyle w:val="TextpoznpodarouChar"/>
        </w:rPr>
        <w:instrText>8</w:instrText>
      </w:r>
      <w:r>
        <w:instrText xml:space="preserve">" </w:instrText>
      </w:r>
      <w:r>
        <w:fldChar w:fldCharType="end"/>
      </w:r>
      <w:r w:rsidRPr="00F2051F">
        <w:rPr>
          <w:rStyle w:val="TextpoznpodarouChar"/>
        </w:rPr>
        <w:t>;</w:t>
      </w:r>
      <w:r>
        <w:rPr>
          <w:rStyle w:val="TextpoznpodarouChar"/>
        </w:rPr>
        <w:t xml:space="preserve"> </w:t>
      </w:r>
      <w:r w:rsidRPr="004569A2">
        <w:rPr>
          <w:rStyle w:val="TextpoznpodarouChar"/>
          <w:i/>
        </w:rPr>
        <w:t>Anicii Manlii Severini Boetii commentarii in librum Peri hermeneias</w:t>
      </w:r>
      <w:r>
        <w:rPr>
          <w:rStyle w:val="TextpoznpodarouChar"/>
        </w:rPr>
        <w:t>, ed. Meiser, p. 3.5‒11</w:t>
      </w:r>
      <w:r>
        <w:rPr>
          <w:rStyle w:val="TextpoznpodarouChar"/>
        </w:rPr>
        <w:fldChar w:fldCharType="begin"/>
      </w:r>
      <w:r>
        <w:instrText xml:space="preserve"> XE "</w:instrText>
      </w:r>
      <w:r>
        <w:rPr>
          <w:lang w:val="cs-CZ"/>
        </w:rPr>
        <w:instrText>Boethius:</w:instrText>
      </w:r>
      <w:r>
        <w:rPr>
          <w:rStyle w:val="TextpoznpodarouChar"/>
          <w:i/>
          <w:lang w:val="cs-CZ"/>
        </w:rPr>
        <w:instrText>I</w:instrText>
      </w:r>
      <w:r w:rsidRPr="00E24CB0">
        <w:rPr>
          <w:rStyle w:val="TextpoznpodarouChar"/>
          <w:i/>
        </w:rPr>
        <w:instrText>n librum Peri hermeneias</w:instrText>
      </w:r>
      <w:r>
        <w:rPr>
          <w:rStyle w:val="TextpoznpodarouChar"/>
          <w:lang w:val="cs-CZ"/>
        </w:rPr>
        <w:instrText xml:space="preserve"> </w:instrText>
      </w:r>
      <w:r w:rsidRPr="00E24CB0">
        <w:rPr>
          <w:rStyle w:val="TextpoznpodarouChar"/>
        </w:rPr>
        <w:instrText>3.5‒11</w:instrText>
      </w:r>
      <w:r>
        <w:instrText xml:space="preserve">" </w:instrText>
      </w:r>
      <w:r>
        <w:rPr>
          <w:rStyle w:val="TextpoznpodarouChar"/>
        </w:rPr>
        <w:fldChar w:fldCharType="end"/>
      </w:r>
      <w:r w:rsidRPr="00F2051F">
        <w:rPr>
          <w:rStyle w:val="TextpoznpodarouChar"/>
        </w:rPr>
        <w:t>)</w:t>
      </w:r>
    </w:p>
  </w:footnote>
  <w:footnote w:id="9">
    <w:p w14:paraId="5F0B5443" w14:textId="77777777" w:rsidR="00CD2817" w:rsidRPr="00627FCF" w:rsidRDefault="00CD2817">
      <w:pPr>
        <w:pStyle w:val="Textpoznpodarou"/>
      </w:pPr>
      <w:r>
        <w:rPr>
          <w:rStyle w:val="Znakapoznpodarou"/>
        </w:rPr>
        <w:footnoteRef/>
      </w:r>
      <w:r>
        <w:t xml:space="preserve"> </w:t>
      </w:r>
      <w:r>
        <w:rPr>
          <w:noProof/>
        </w:rPr>
        <w:t>„Proprium est nominis substantiam et qualitatem significare. Hoc habet etiam apellatio et vocabulum: ergo tria una pars est orationis.“ (</w:t>
      </w:r>
      <w:r>
        <w:rPr>
          <w:i/>
          <w:iCs/>
        </w:rPr>
        <w:t>Institutiones grammaticae</w:t>
      </w:r>
      <w:r>
        <w:t xml:space="preserve"> II.18, ed. Hertz, p. 55</w:t>
      </w:r>
      <w:r>
        <w:fldChar w:fldCharType="begin"/>
      </w:r>
      <w:r>
        <w:instrText xml:space="preserve"> XE "</w:instrText>
      </w:r>
      <w:r>
        <w:rPr>
          <w:lang w:val="cs-CZ"/>
        </w:rPr>
        <w:instrText>Priscián:</w:instrText>
      </w:r>
      <w:r w:rsidRPr="00C61416">
        <w:rPr>
          <w:i/>
          <w:iCs/>
        </w:rPr>
        <w:instrText>Institutiones grammaticae</w:instrText>
      </w:r>
      <w:r w:rsidRPr="00C61416">
        <w:instrText xml:space="preserve"> 55</w:instrText>
      </w:r>
      <w:r>
        <w:instrText xml:space="preserve">" </w:instrText>
      </w:r>
      <w:r>
        <w:fldChar w:fldCharType="end"/>
      </w:r>
      <w:r>
        <w:rPr>
          <w:noProof/>
        </w:rPr>
        <w:t>)</w:t>
      </w:r>
    </w:p>
  </w:footnote>
  <w:footnote w:id="10">
    <w:p w14:paraId="50AC65C8" w14:textId="39C586EE" w:rsidR="00CD2817" w:rsidRPr="007B677F" w:rsidRDefault="00CD2817" w:rsidP="0064333D">
      <w:pPr>
        <w:pStyle w:val="Textpoznpodarou"/>
      </w:pPr>
      <w:r>
        <w:rPr>
          <w:rStyle w:val="Znakapoznpodarou"/>
        </w:rPr>
        <w:footnoteRef/>
      </w:r>
      <w:r>
        <w:t xml:space="preserve"> Debatu kolem </w:t>
      </w:r>
      <w:r w:rsidRPr="008A3479">
        <w:rPr>
          <w:i/>
        </w:rPr>
        <w:t>enuntiabile</w:t>
      </w:r>
      <w:r>
        <w:t xml:space="preserve"> otevřela studie vztahu nominalismu a teologie na přelomu 12.</w:t>
      </w:r>
      <w:r>
        <w:rPr>
          <w:lang w:val="cs-CZ"/>
        </w:rPr>
        <w:t xml:space="preserve"> a </w:t>
      </w:r>
      <w:r>
        <w:t>13. stol. (Chenu 19</w:t>
      </w:r>
      <w:r>
        <w:rPr>
          <w:lang w:val="cs-CZ"/>
        </w:rPr>
        <w:t>35</w:t>
      </w:r>
      <w:r>
        <w:t>). Ke statu</w:t>
      </w:r>
      <w:r>
        <w:rPr>
          <w:lang w:val="cs-CZ"/>
        </w:rPr>
        <w:t>s</w:t>
      </w:r>
      <w:r>
        <w:t xml:space="preserve">u </w:t>
      </w:r>
      <w:r w:rsidRPr="008A3479">
        <w:rPr>
          <w:i/>
        </w:rPr>
        <w:t>enuntiabile</w:t>
      </w:r>
      <w:r w:rsidRPr="00C81411">
        <w:rPr>
          <w:i/>
        </w:rPr>
        <w:t xml:space="preserve"> </w:t>
      </w:r>
      <w:r w:rsidRPr="00293993">
        <w:rPr>
          <w:lang w:val="cs-CZ"/>
        </w:rPr>
        <w:t>ve škole</w:t>
      </w:r>
      <w:r>
        <w:rPr>
          <w:i/>
          <w:lang w:val="cs-CZ"/>
        </w:rPr>
        <w:t xml:space="preserve"> </w:t>
      </w:r>
      <w:r w:rsidRPr="00C81411">
        <w:rPr>
          <w:i/>
        </w:rPr>
        <w:t>Nominales</w:t>
      </w:r>
      <w:r>
        <w:t xml:space="preserve"> viz </w:t>
      </w:r>
      <w:r>
        <w:rPr>
          <w:lang w:val="cs-CZ"/>
        </w:rPr>
        <w:t xml:space="preserve">tematické číslo </w:t>
      </w:r>
      <w:r w:rsidRPr="00C81411">
        <w:rPr>
          <w:i/>
        </w:rPr>
        <w:t>Vivarium</w:t>
      </w:r>
      <w:r>
        <w:t xml:space="preserve"> 30 (1992) a </w:t>
      </w:r>
      <w:r>
        <w:rPr>
          <w:lang w:val="cs-CZ"/>
        </w:rPr>
        <w:t xml:space="preserve">v něm uvedené </w:t>
      </w:r>
      <w:r>
        <w:t xml:space="preserve">příspěvky </w:t>
      </w:r>
      <w:r>
        <w:rPr>
          <w:lang w:val="cs-CZ"/>
        </w:rPr>
        <w:t>(</w:t>
      </w:r>
      <w:r>
        <w:rPr>
          <w:szCs w:val="22"/>
          <w:lang w:val="cs-CZ"/>
        </w:rPr>
        <w:t>I</w:t>
      </w:r>
      <w:r>
        <w:rPr>
          <w:szCs w:val="22"/>
        </w:rPr>
        <w:t>wakuma</w:t>
      </w:r>
      <w:r>
        <w:rPr>
          <w:rFonts w:cs="Calibri"/>
          <w:szCs w:val="22"/>
        </w:rPr>
        <w:t>&amp;</w:t>
      </w:r>
      <w:r>
        <w:rPr>
          <w:szCs w:val="22"/>
        </w:rPr>
        <w:t>Eb</w:t>
      </w:r>
      <w:r>
        <w:rPr>
          <w:szCs w:val="22"/>
          <w:lang w:val="cs-CZ"/>
        </w:rPr>
        <w:t>b</w:t>
      </w:r>
      <w:r>
        <w:rPr>
          <w:szCs w:val="22"/>
        </w:rPr>
        <w:t>esen</w:t>
      </w:r>
      <w:r>
        <w:rPr>
          <w:szCs w:val="22"/>
          <w:lang w:val="cs-CZ"/>
        </w:rPr>
        <w:t xml:space="preserve"> 1992), dále </w:t>
      </w:r>
      <w:r w:rsidRPr="00541CC0">
        <w:rPr>
          <w:szCs w:val="22"/>
        </w:rPr>
        <w:t>Klima</w:t>
      </w:r>
      <w:r>
        <w:rPr>
          <w:szCs w:val="22"/>
        </w:rPr>
        <w:t xml:space="preserve"> 1993</w:t>
      </w:r>
      <w:r>
        <w:rPr>
          <w:szCs w:val="22"/>
          <w:lang w:val="cs-CZ"/>
        </w:rPr>
        <w:t xml:space="preserve">, </w:t>
      </w:r>
      <w:r>
        <w:rPr>
          <w:szCs w:val="22"/>
        </w:rPr>
        <w:t>Jacobi</w:t>
      </w:r>
      <w:r>
        <w:rPr>
          <w:szCs w:val="22"/>
          <w:lang w:val="cs-CZ"/>
        </w:rPr>
        <w:t xml:space="preserve"> et al.</w:t>
      </w:r>
      <w:r>
        <w:rPr>
          <w:szCs w:val="22"/>
        </w:rPr>
        <w:t xml:space="preserve"> 1996.</w:t>
      </w:r>
    </w:p>
  </w:footnote>
  <w:footnote w:id="11">
    <w:p w14:paraId="00C98286" w14:textId="77777777" w:rsidR="00CD2817" w:rsidRPr="08941BF7" w:rsidRDefault="00CD2817" w:rsidP="00F57659">
      <w:pPr>
        <w:pStyle w:val="Textpoznpodarou"/>
        <w:rPr>
          <w:lang w:val="cs-CZ"/>
        </w:rPr>
      </w:pPr>
      <w:r>
        <w:rPr>
          <w:rStyle w:val="Znakapoznpodarou"/>
        </w:rPr>
        <w:footnoteRef/>
      </w:r>
      <w:r>
        <w:t xml:space="preserve"> „</w:t>
      </w:r>
      <w:r w:rsidRPr="00126C44">
        <w:t>Sed per se qualitas,</w:t>
      </w:r>
      <w:r>
        <w:t xml:space="preserve"> </w:t>
      </w:r>
      <w:r w:rsidRPr="00126C44">
        <w:t>ut album, neque ullius substantiam significat, neque ullam</w:t>
      </w:r>
      <w:r>
        <w:t xml:space="preserve"> </w:t>
      </w:r>
      <w:r w:rsidRPr="00126C44">
        <w:t>communionem, sicut genus specierum suarum, et indiuiduorum species,</w:t>
      </w:r>
      <w:r>
        <w:t xml:space="preserve"> </w:t>
      </w:r>
      <w:r w:rsidRPr="00126C44">
        <w:t>ostendit.</w:t>
      </w:r>
      <w:r>
        <w:t>“</w:t>
      </w:r>
      <w:r w:rsidRPr="00126C44">
        <w:t xml:space="preserve"> (</w:t>
      </w:r>
      <w:r w:rsidRPr="00126C44">
        <w:rPr>
          <w:i/>
          <w:szCs w:val="21"/>
        </w:rPr>
        <w:t>In Categ. Aristot</w:t>
      </w:r>
      <w:r>
        <w:rPr>
          <w:szCs w:val="21"/>
        </w:rPr>
        <w:t>., lib I</w:t>
      </w:r>
      <w:r>
        <w:rPr>
          <w:szCs w:val="21"/>
          <w:lang w:val="cs-CZ"/>
        </w:rPr>
        <w:t>;</w:t>
      </w:r>
      <w:r w:rsidRPr="00126C44">
        <w:rPr>
          <w:szCs w:val="21"/>
        </w:rPr>
        <w:t xml:space="preserve"> PL 64, 195D</w:t>
      </w:r>
      <w:r>
        <w:rPr>
          <w:szCs w:val="21"/>
        </w:rPr>
        <w:fldChar w:fldCharType="begin"/>
      </w:r>
      <w:r>
        <w:instrText xml:space="preserve"> XE "</w:instrText>
      </w:r>
      <w:r w:rsidRPr="00521677">
        <w:rPr>
          <w:lang w:eastAsia="en-US"/>
        </w:rPr>
        <w:instrText>Boethius</w:instrText>
      </w:r>
      <w:r>
        <w:rPr>
          <w:lang w:val="cs-CZ" w:eastAsia="en-US"/>
        </w:rPr>
        <w:instrText>:</w:instrText>
      </w:r>
      <w:r w:rsidRPr="00084241">
        <w:rPr>
          <w:i/>
          <w:lang w:val="cs-CZ" w:eastAsia="en-US"/>
        </w:rPr>
        <w:instrText>In</w:instrText>
      </w:r>
      <w:r>
        <w:rPr>
          <w:lang w:val="cs-CZ" w:eastAsia="en-US"/>
        </w:rPr>
        <w:instrText xml:space="preserve"> </w:instrText>
      </w:r>
      <w:r w:rsidRPr="00126C44">
        <w:rPr>
          <w:i/>
          <w:szCs w:val="21"/>
        </w:rPr>
        <w:instrText>Categ. Aristot</w:instrText>
      </w:r>
      <w:r>
        <w:rPr>
          <w:i/>
          <w:szCs w:val="21"/>
          <w:lang w:val="cs-CZ"/>
        </w:rPr>
        <w:instrText>.</w:instrText>
      </w:r>
      <w:r>
        <w:rPr>
          <w:szCs w:val="21"/>
          <w:lang w:val="cs-CZ"/>
        </w:rPr>
        <w:instrText xml:space="preserve"> </w:instrText>
      </w:r>
      <w:r w:rsidRPr="00126C44">
        <w:rPr>
          <w:szCs w:val="21"/>
        </w:rPr>
        <w:instrText>PL 64, 195D</w:instrText>
      </w:r>
      <w:r>
        <w:instrText xml:space="preserve">" </w:instrText>
      </w:r>
      <w:r>
        <w:rPr>
          <w:szCs w:val="21"/>
        </w:rPr>
        <w:fldChar w:fldCharType="end"/>
      </w:r>
      <w:r w:rsidRPr="00126C44">
        <w:rPr>
          <w:szCs w:val="21"/>
        </w:rPr>
        <w:t>).</w:t>
      </w:r>
    </w:p>
  </w:footnote>
  <w:footnote w:id="12">
    <w:p w14:paraId="4DA1127D" w14:textId="77777777" w:rsidR="00CD2817" w:rsidRPr="002637B7" w:rsidRDefault="00CD2817">
      <w:pPr>
        <w:pStyle w:val="Textpoznpodarou"/>
      </w:pPr>
      <w:r>
        <w:rPr>
          <w:rStyle w:val="Znakapoznpodarou"/>
        </w:rPr>
        <w:footnoteRef/>
      </w:r>
      <w:r>
        <w:t>„</w:t>
      </w:r>
      <w:r w:rsidRPr="002637B7">
        <w:t>Notandum etiam aliter accipi denominatiuum ab Aristotile et aliter a Prisciano. Aristo</w:t>
      </w:r>
      <w:r>
        <w:t>tiles enim dicit album denominari</w:t>
      </w:r>
      <w:r w:rsidRPr="002637B7">
        <w:t xml:space="preserve"> ab albedine respiciens ad causas rerum, Priscianus uero albedinem ab albo respiciens quasi ad origine</w:t>
      </w:r>
      <w:r>
        <w:t>s et informaciones uocabulorum.“</w:t>
      </w:r>
      <w:r w:rsidRPr="002637B7">
        <w:t xml:space="preserve"> (</w:t>
      </w:r>
      <w:r w:rsidRPr="002637B7">
        <w:rPr>
          <w:i/>
        </w:rPr>
        <w:t>Notae Dunelmenses</w:t>
      </w:r>
      <w:r>
        <w:t>, f. 77ra</w:t>
      </w:r>
      <w:r>
        <w:fldChar w:fldCharType="begin"/>
      </w:r>
      <w:r>
        <w:instrText xml:space="preserve"> XE "</w:instrText>
      </w:r>
      <w:r w:rsidRPr="00612DC0">
        <w:rPr>
          <w:i/>
        </w:rPr>
        <w:instrText>Notae Dunelmenses</w:instrText>
      </w:r>
      <w:r w:rsidRPr="00612DC0">
        <w:instrText>, f. 77ra</w:instrText>
      </w:r>
      <w:r>
        <w:instrText xml:space="preserve">" </w:instrText>
      </w:r>
      <w:r>
        <w:fldChar w:fldCharType="end"/>
      </w:r>
      <w:r>
        <w:t xml:space="preserve">; </w:t>
      </w:r>
      <w:r w:rsidRPr="002637B7">
        <w:t>cit. podle Kneepkens 1992, 37)</w:t>
      </w:r>
    </w:p>
  </w:footnote>
  <w:footnote w:id="13">
    <w:p w14:paraId="374F2E03" w14:textId="77777777" w:rsidR="00CD2817" w:rsidRPr="00645DCE" w:rsidRDefault="00CD2817" w:rsidP="001B156E">
      <w:pPr>
        <w:pStyle w:val="Textpoznpodarou"/>
      </w:pPr>
      <w:r>
        <w:rPr>
          <w:rStyle w:val="Znakapoznpodarou"/>
        </w:rPr>
        <w:footnoteRef/>
      </w:r>
      <w:r>
        <w:t xml:space="preserve"> „Mag. </w:t>
      </w:r>
      <w:r w:rsidRPr="00775FF8">
        <w:t xml:space="preserve">Quidquid vero est </w:t>
      </w:r>
      <w:r>
        <w:t>quod debet esse, recte est. Disc.</w:t>
      </w:r>
      <w:r w:rsidRPr="00775FF8">
        <w:t xml:space="preserve"> Aliter esse non </w:t>
      </w:r>
      <w:r>
        <w:t>potest. Mag. Igitur omne quod es</w:t>
      </w:r>
      <w:r w:rsidRPr="00775FF8">
        <w:t>t recte est. Disc. Nihil consequentius. Mag. Si ergo veritas et rectitudo idcirco sunt in rerum essentia, quia hoc sunt quod sunt in summa veritate, certum est veritatem rerum esse rectitudinem.</w:t>
      </w:r>
      <w:r>
        <w:t>“ (</w:t>
      </w:r>
      <w:r w:rsidRPr="00533592">
        <w:rPr>
          <w:i/>
        </w:rPr>
        <w:t>Dialogus de Veritate</w:t>
      </w:r>
      <w:r>
        <w:t>, cap. 7</w:t>
      </w:r>
      <w:r>
        <w:rPr>
          <w:lang w:val="cs-CZ"/>
        </w:rPr>
        <w:t>;</w:t>
      </w:r>
      <w:r>
        <w:t xml:space="preserve"> PL 158, 475C</w:t>
      </w:r>
      <w:r>
        <w:fldChar w:fldCharType="begin"/>
      </w:r>
      <w:r>
        <w:instrText xml:space="preserve"> XE "</w:instrText>
      </w:r>
      <w:r>
        <w:rPr>
          <w:lang w:val="cs-CZ"/>
        </w:rPr>
        <w:instrText>Anselm:</w:instrText>
      </w:r>
      <w:r w:rsidRPr="00D30725">
        <w:rPr>
          <w:i/>
        </w:rPr>
        <w:instrText>Dialogus de Veritate</w:instrText>
      </w:r>
      <w:r>
        <w:rPr>
          <w:i/>
          <w:lang w:val="cs-CZ"/>
        </w:rPr>
        <w:instrText xml:space="preserve"> </w:instrText>
      </w:r>
      <w:r>
        <w:instrText xml:space="preserve">PL 158, 475C" </w:instrText>
      </w:r>
      <w:r>
        <w:fldChar w:fldCharType="end"/>
      </w:r>
      <w:r>
        <w:t>)</w:t>
      </w:r>
    </w:p>
  </w:footnote>
  <w:footnote w:id="14">
    <w:p w14:paraId="73A4FDE8" w14:textId="77777777" w:rsidR="00CD2817" w:rsidRPr="00985CE8" w:rsidRDefault="00CD2817" w:rsidP="001B156E">
      <w:pPr>
        <w:pStyle w:val="Textpoznpodarou"/>
      </w:pPr>
      <w:r>
        <w:rPr>
          <w:rStyle w:val="Znakapoznpodarou"/>
        </w:rPr>
        <w:footnoteRef/>
      </w:r>
      <w:r>
        <w:t xml:space="preserve"> „Sed </w:t>
      </w:r>
      <w:r w:rsidRPr="00303D71">
        <w:t>secundum hanc rectitudinem et veritatem</w:t>
      </w:r>
      <w:r>
        <w:t>, qua significat esse quod est, usu recta et vera dicitur enuntiatio; non secundum illam, qua significat esse etiam quod non est. (...) Alia igitur est rectitudo et veritas enuntiationis, quia significat ad quod significandum facta est; alia vero, quia significat quod accepit significare. Quippe ista immutabilis est ipsi orationi; illa vero, mutabilis: hanc namque semper habet; illam vero non semper: istam enim naturaliter habet; illame vero, accidentaliter et secundum usum.“ (</w:t>
      </w:r>
      <w:r w:rsidRPr="00533592">
        <w:rPr>
          <w:i/>
        </w:rPr>
        <w:t>Dialogus de Veritate</w:t>
      </w:r>
      <w:r>
        <w:t>, cap. 2; PL 158, 470 C‒D</w:t>
      </w:r>
      <w:r>
        <w:fldChar w:fldCharType="begin"/>
      </w:r>
      <w:r>
        <w:instrText xml:space="preserve"> XE "</w:instrText>
      </w:r>
      <w:r>
        <w:rPr>
          <w:lang w:val="cs-CZ"/>
        </w:rPr>
        <w:instrText>Anselm:</w:instrText>
      </w:r>
      <w:r w:rsidRPr="004C51E1">
        <w:rPr>
          <w:i/>
        </w:rPr>
        <w:instrText>Dialogus de Veritate</w:instrText>
      </w:r>
      <w:r>
        <w:rPr>
          <w:i/>
          <w:lang w:val="cs-CZ"/>
        </w:rPr>
        <w:instrText xml:space="preserve"> </w:instrText>
      </w:r>
      <w:r>
        <w:instrText xml:space="preserve">PL 158, 470 C‒D" </w:instrText>
      </w:r>
      <w:r>
        <w:fldChar w:fldCharType="end"/>
      </w:r>
      <w:r>
        <w:t>)</w:t>
      </w:r>
    </w:p>
  </w:footnote>
  <w:footnote w:id="15">
    <w:p w14:paraId="1BAD9ECD" w14:textId="77777777" w:rsidR="00CD2817" w:rsidRPr="001A129C" w:rsidRDefault="00CD2817" w:rsidP="00802FFF">
      <w:pPr>
        <w:pStyle w:val="Textpoznpodarou"/>
      </w:pPr>
      <w:r>
        <w:rPr>
          <w:rStyle w:val="Znakapoznpodarou"/>
        </w:rPr>
        <w:footnoteRef/>
      </w:r>
      <w:r>
        <w:t xml:space="preserve"> „</w:t>
      </w:r>
      <w:r w:rsidRPr="00DB2F29">
        <w:t>An itaque non vides quia non ideo est rectitudo in significatione, quia tunc incipit esse, cum significatur esse quod est, vel non esse quod non est; sed quia significatio tunc fit secundum rectitudinem, quae semper est</w:t>
      </w:r>
      <w:r>
        <w:t>...“ (</w:t>
      </w:r>
      <w:r w:rsidRPr="00533592">
        <w:rPr>
          <w:i/>
        </w:rPr>
        <w:t>Dialogus de Veritate</w:t>
      </w:r>
      <w:r>
        <w:t>, cap. 13; PL 158, 485B</w:t>
      </w:r>
      <w:r>
        <w:fldChar w:fldCharType="begin"/>
      </w:r>
      <w:r>
        <w:instrText xml:space="preserve"> XE "</w:instrText>
      </w:r>
      <w:r>
        <w:rPr>
          <w:lang w:val="cs-CZ"/>
        </w:rPr>
        <w:instrText>Anselm:</w:instrText>
      </w:r>
      <w:r w:rsidRPr="004C51E1">
        <w:rPr>
          <w:i/>
        </w:rPr>
        <w:instrText>Dialogus de Veritate</w:instrText>
      </w:r>
      <w:r>
        <w:rPr>
          <w:lang w:val="cs-CZ"/>
        </w:rPr>
        <w:instrText xml:space="preserve"> </w:instrText>
      </w:r>
      <w:r>
        <w:instrText xml:space="preserve">PL 158, 485B" </w:instrText>
      </w:r>
      <w:r>
        <w:fldChar w:fldCharType="end"/>
      </w:r>
      <w:r>
        <w:t>)</w:t>
      </w:r>
    </w:p>
  </w:footnote>
  <w:footnote w:id="16">
    <w:p w14:paraId="6EB1D924" w14:textId="77777777" w:rsidR="00CD2817" w:rsidRPr="009966AA" w:rsidRDefault="00CD2817" w:rsidP="001B156E">
      <w:pPr>
        <w:pStyle w:val="Textpoznpodarou"/>
      </w:pPr>
      <w:r>
        <w:rPr>
          <w:rStyle w:val="Znakapoznpodarou"/>
        </w:rPr>
        <w:footnoteRef/>
      </w:r>
      <w:r>
        <w:t xml:space="preserve"> „</w:t>
      </w:r>
      <w:r w:rsidRPr="00D8681C">
        <w:t>Dicimus et videmus per aliud, non dicimus et non videmus per suam proprietatem. Hac itaque ratione nihil prohibet et verum esse quod disputatum est hactenus de summa natura, et ipsam tamen nihilominus ineffabilem persistere: si nequaquam illa putetur per essentiae suae proprietatem expressa, sed utcumque per aliud designata.</w:t>
      </w:r>
      <w:r>
        <w:t>“ (</w:t>
      </w:r>
      <w:r w:rsidRPr="009966AA">
        <w:rPr>
          <w:i/>
        </w:rPr>
        <w:t>De divinitatis es</w:t>
      </w:r>
      <w:r>
        <w:rPr>
          <w:i/>
          <w:lang w:val="cs-CZ"/>
        </w:rPr>
        <w:t>s</w:t>
      </w:r>
      <w:r w:rsidRPr="009966AA">
        <w:rPr>
          <w:i/>
        </w:rPr>
        <w:t>entia Monologium</w:t>
      </w:r>
      <w:r>
        <w:t>, cap. 65</w:t>
      </w:r>
      <w:r>
        <w:rPr>
          <w:lang w:val="cs-CZ"/>
        </w:rPr>
        <w:t xml:space="preserve">; </w:t>
      </w:r>
      <w:r>
        <w:rPr>
          <w:rStyle w:val="s"/>
        </w:rPr>
        <w:t>PL 158, 211D‒212A</w:t>
      </w:r>
      <w:r>
        <w:fldChar w:fldCharType="begin"/>
      </w:r>
      <w:r>
        <w:instrText xml:space="preserve"> XE "</w:instrText>
      </w:r>
      <w:r>
        <w:rPr>
          <w:lang w:val="cs-CZ"/>
        </w:rPr>
        <w:instrText>Anselm:</w:instrText>
      </w:r>
      <w:r w:rsidRPr="009966AA">
        <w:rPr>
          <w:i/>
        </w:rPr>
        <w:instrText>De divinitatis es</w:instrText>
      </w:r>
      <w:r>
        <w:rPr>
          <w:i/>
          <w:lang w:val="cs-CZ"/>
        </w:rPr>
        <w:instrText>s</w:instrText>
      </w:r>
      <w:r w:rsidRPr="009966AA">
        <w:rPr>
          <w:i/>
        </w:rPr>
        <w:instrText>entia Monologium</w:instrText>
      </w:r>
      <w:r>
        <w:instrText xml:space="preserve"> </w:instrText>
      </w:r>
      <w:r>
        <w:rPr>
          <w:rStyle w:val="s"/>
        </w:rPr>
        <w:instrText>PL 158, 211D‒212A</w:instrText>
      </w:r>
      <w:r>
        <w:instrText xml:space="preserve">" </w:instrText>
      </w:r>
      <w:r>
        <w:fldChar w:fldCharType="end"/>
      </w:r>
      <w:r>
        <w:rPr>
          <w:rStyle w:val="s"/>
        </w:rPr>
        <w:t>)</w:t>
      </w:r>
    </w:p>
  </w:footnote>
  <w:footnote w:id="17">
    <w:p w14:paraId="37E41C89" w14:textId="77777777" w:rsidR="00CD2817" w:rsidRPr="00453B9F" w:rsidRDefault="00CD2817" w:rsidP="001B156E">
      <w:pPr>
        <w:pStyle w:val="Textpoznpodarou"/>
      </w:pPr>
      <w:r>
        <w:rPr>
          <w:rStyle w:val="Znakapoznpodarou"/>
        </w:rPr>
        <w:footnoteRef/>
      </w:r>
      <w:r>
        <w:t xml:space="preserve"> „Ergo quoniam omnis libertas est potestas; illa libertas arbitrii est potestas servandi rectitudinem voluntatis propter ipsam rectitudinem.“ (</w:t>
      </w:r>
      <w:r w:rsidRPr="009442E3">
        <w:rPr>
          <w:i/>
        </w:rPr>
        <w:t>D</w:t>
      </w:r>
      <w:r>
        <w:rPr>
          <w:i/>
          <w:lang w:val="cs-CZ"/>
        </w:rPr>
        <w:t>ialogus d</w:t>
      </w:r>
      <w:r w:rsidRPr="009442E3">
        <w:rPr>
          <w:i/>
        </w:rPr>
        <w:t>e libero arbitrio</w:t>
      </w:r>
      <w:r>
        <w:rPr>
          <w:lang w:val="cs-CZ"/>
        </w:rPr>
        <w:t>;</w:t>
      </w:r>
      <w:r>
        <w:t xml:space="preserve"> PL 158, 494B</w:t>
      </w:r>
      <w:r>
        <w:fldChar w:fldCharType="begin"/>
      </w:r>
      <w:r>
        <w:instrText xml:space="preserve"> XE "</w:instrText>
      </w:r>
      <w:r>
        <w:rPr>
          <w:lang w:val="cs-CZ"/>
        </w:rPr>
        <w:instrText>Anselm:</w:instrText>
      </w:r>
      <w:r w:rsidRPr="000C72EC">
        <w:rPr>
          <w:i/>
          <w:lang w:val="cs-CZ"/>
        </w:rPr>
        <w:instrText>Dialogus d</w:instrText>
      </w:r>
      <w:r w:rsidRPr="000C72EC">
        <w:rPr>
          <w:i/>
        </w:rPr>
        <w:instrText xml:space="preserve">e </w:instrText>
      </w:r>
      <w:r w:rsidRPr="000003C9">
        <w:rPr>
          <w:i/>
        </w:rPr>
        <w:instrText>libero arbitrio</w:instrText>
      </w:r>
      <w:r>
        <w:rPr>
          <w:lang w:val="cs-CZ"/>
        </w:rPr>
        <w:instrText xml:space="preserve"> </w:instrText>
      </w:r>
      <w:r>
        <w:instrText xml:space="preserve">PL 158, 494B" </w:instrText>
      </w:r>
      <w:r>
        <w:fldChar w:fldCharType="end"/>
      </w:r>
      <w:r>
        <w:t>)</w:t>
      </w:r>
    </w:p>
  </w:footnote>
  <w:footnote w:id="18">
    <w:p w14:paraId="45278152" w14:textId="77777777" w:rsidR="00CD2817" w:rsidRPr="00421912" w:rsidRDefault="00CD2817" w:rsidP="00782A48">
      <w:pPr>
        <w:pStyle w:val="Textpoznpodarou"/>
      </w:pPr>
      <w:r>
        <w:rPr>
          <w:rStyle w:val="Znakapoznpodarou"/>
        </w:rPr>
        <w:footnoteRef/>
      </w:r>
      <w:r>
        <w:t xml:space="preserve"> „</w:t>
      </w:r>
      <w:r w:rsidRPr="00645E71">
        <w:t xml:space="preserve">Sed non est </w:t>
      </w:r>
      <w:r>
        <w:t>an</w:t>
      </w:r>
      <w:r w:rsidRPr="00645E71">
        <w:t xml:space="preserve">ima horum genus, sed totum, partes enim </w:t>
      </w:r>
      <w:r>
        <w:t xml:space="preserve">hae animae </w:t>
      </w:r>
      <w:r w:rsidRPr="00645E71">
        <w:t xml:space="preserve">sunt, sed non ut in quantitate, sed ut </w:t>
      </w:r>
      <w:r>
        <w:t>in aliqua potestate et virtute. Ex h</w:t>
      </w:r>
      <w:r w:rsidRPr="00645E71">
        <w:t>is enim potentiis substantia anima</w:t>
      </w:r>
      <w:r>
        <w:t>e jungitur</w:t>
      </w:r>
      <w:r w:rsidRPr="00645E71">
        <w:t>; unde</w:t>
      </w:r>
      <w:r>
        <w:t xml:space="preserve"> fit, ut quiddam simile habeat hujus</w:t>
      </w:r>
      <w:r w:rsidRPr="00645E71">
        <w:t>modi divisio, et generis, et totius divisionis.</w:t>
      </w:r>
      <w:r>
        <w:t>“ (</w:t>
      </w:r>
      <w:r w:rsidRPr="00FB0E63">
        <w:rPr>
          <w:i/>
        </w:rPr>
        <w:t>Liber de divisione</w:t>
      </w:r>
      <w:r>
        <w:rPr>
          <w:lang w:val="cs-CZ"/>
        </w:rPr>
        <w:t>;</w:t>
      </w:r>
      <w:r>
        <w:t xml:space="preserve"> PL 64, 888 B‒C</w:t>
      </w:r>
      <w:r>
        <w:fldChar w:fldCharType="begin"/>
      </w:r>
      <w:r>
        <w:instrText xml:space="preserve"> XE "</w:instrText>
      </w:r>
      <w:r>
        <w:rPr>
          <w:lang w:val="cs-CZ"/>
        </w:rPr>
        <w:instrText>Boethius:</w:instrText>
      </w:r>
      <w:r w:rsidRPr="005A1F23">
        <w:rPr>
          <w:i/>
        </w:rPr>
        <w:instrText>Liber de divisione</w:instrText>
      </w:r>
      <w:r>
        <w:rPr>
          <w:lang w:val="cs-CZ"/>
        </w:rPr>
        <w:instrText xml:space="preserve"> </w:instrText>
      </w:r>
      <w:r>
        <w:instrText>PL 64,</w:instrText>
      </w:r>
      <w:r>
        <w:rPr>
          <w:lang w:val="cs-CZ"/>
        </w:rPr>
        <w:instrText xml:space="preserve"> </w:instrText>
      </w:r>
      <w:r w:rsidRPr="005A1F23">
        <w:instrText>888 B‒C</w:instrText>
      </w:r>
      <w:r>
        <w:instrText xml:space="preserve">" </w:instrText>
      </w:r>
      <w:r>
        <w:fldChar w:fldCharType="end"/>
      </w:r>
      <w:r>
        <w:t>)</w:t>
      </w:r>
    </w:p>
  </w:footnote>
  <w:footnote w:id="19">
    <w:p w14:paraId="1799008E" w14:textId="77777777" w:rsidR="00CD2817" w:rsidRPr="007C25D5" w:rsidRDefault="00CD2817" w:rsidP="001C26FE">
      <w:pPr>
        <w:pStyle w:val="Textpoznpodarou"/>
      </w:pPr>
      <w:r>
        <w:rPr>
          <w:rStyle w:val="Znakapoznpodarou"/>
        </w:rPr>
        <w:footnoteRef/>
      </w:r>
      <w:r>
        <w:t xml:space="preserve"> „Illae enim solae differentiae Socratem constituunt quae hominem faciunt, veluti rationalitas, mortalitas et caeterae, quae quidem universales sunt, non singulares; nam fortasse haec rationalitas Socrati substantialis est, non homini. Quod itaque omnes formae quae individuis substantiales sunt, substantiales etiam sint speciebus secundum species, non secundum individua, absque omni calumnia dici potest.“ (</w:t>
      </w:r>
      <w:r w:rsidRPr="008C0CB0">
        <w:rPr>
          <w:i/>
        </w:rPr>
        <w:t>Dialectica</w:t>
      </w:r>
      <w:r>
        <w:rPr>
          <w:lang w:val="cs-CZ"/>
        </w:rPr>
        <w:t xml:space="preserve"> </w:t>
      </w:r>
      <w:r>
        <w:t>I</w:t>
      </w:r>
      <w:r>
        <w:rPr>
          <w:lang w:val="cs-CZ"/>
        </w:rPr>
        <w:t>.2</w:t>
      </w:r>
      <w:r>
        <w:t>; ed. Rijk, p. 90.5‒10</w:t>
      </w:r>
      <w:r>
        <w:rPr>
          <w:i/>
        </w:rPr>
        <w:fldChar w:fldCharType="begin"/>
      </w:r>
      <w:r>
        <w:instrText xml:space="preserve"> XE "</w:instrText>
      </w:r>
      <w:r w:rsidRPr="00801AEE">
        <w:rPr>
          <w:lang w:val="cs-CZ"/>
        </w:rPr>
        <w:instrText>Abelard:</w:instrText>
      </w:r>
      <w:r w:rsidRPr="008C0CB0">
        <w:rPr>
          <w:i/>
        </w:rPr>
        <w:instrText>Dialectica</w:instrText>
      </w:r>
      <w:r>
        <w:instrText xml:space="preserve"> 90.5‒10" </w:instrText>
      </w:r>
      <w:r>
        <w:rPr>
          <w:i/>
        </w:rPr>
        <w:fldChar w:fldCharType="end"/>
      </w:r>
      <w:r>
        <w:t>)</w:t>
      </w:r>
    </w:p>
  </w:footnote>
  <w:footnote w:id="20">
    <w:p w14:paraId="63B7124A" w14:textId="77777777" w:rsidR="00CD2817" w:rsidRPr="009A7496" w:rsidRDefault="00CD2817">
      <w:pPr>
        <w:pStyle w:val="Textpoznpodarou"/>
      </w:pPr>
      <w:r>
        <w:rPr>
          <w:rStyle w:val="Znakapoznpodarou"/>
        </w:rPr>
        <w:footnoteRef/>
      </w:r>
      <w:r>
        <w:t xml:space="preserve"> </w:t>
      </w:r>
      <w:r w:rsidRPr="00BF188E">
        <w:t>„</w:t>
      </w:r>
      <w:r>
        <w:t>'</w:t>
      </w:r>
      <w:r>
        <w:rPr>
          <w:lang w:val="cs-CZ"/>
        </w:rPr>
        <w:t>T</w:t>
      </w:r>
      <w:r w:rsidRPr="00BF188E">
        <w:t xml:space="preserve">otum' autem aliud </w:t>
      </w:r>
      <w:r w:rsidRPr="009A7496">
        <w:rPr>
          <w:i/>
        </w:rPr>
        <w:t>secundum substantiam</w:t>
      </w:r>
      <w:r w:rsidRPr="00BF188E">
        <w:t xml:space="preserve">, aliud </w:t>
      </w:r>
      <w:r w:rsidRPr="009A7496">
        <w:rPr>
          <w:i/>
        </w:rPr>
        <w:t>secundum formam</w:t>
      </w:r>
      <w:r w:rsidRPr="00BF188E">
        <w:t xml:space="preserve">, aliud </w:t>
      </w:r>
      <w:r w:rsidRPr="009A7496">
        <w:rPr>
          <w:i/>
        </w:rPr>
        <w:t>secundum utrumque</w:t>
      </w:r>
      <w:r w:rsidRPr="000F12B5">
        <w:t xml:space="preserve"> </w:t>
      </w:r>
      <w:r w:rsidRPr="00BF188E">
        <w:t xml:space="preserve">dicitur. Totum autem secundum substantiam aliud </w:t>
      </w:r>
      <w:r w:rsidRPr="009A7496">
        <w:rPr>
          <w:i/>
        </w:rPr>
        <w:t>secundum comprehensionem quantitatis</w:t>
      </w:r>
      <w:r w:rsidRPr="00BF188E">
        <w:t xml:space="preserve">, quod dicitur </w:t>
      </w:r>
      <w:r w:rsidRPr="009A7496">
        <w:rPr>
          <w:i/>
        </w:rPr>
        <w:t>integrum</w:t>
      </w:r>
      <w:r w:rsidRPr="00BF188E">
        <w:t xml:space="preserve">, aliud </w:t>
      </w:r>
      <w:r w:rsidRPr="009A7496">
        <w:rPr>
          <w:i/>
        </w:rPr>
        <w:t>secundum diffusionem communis essentiae</w:t>
      </w:r>
      <w:r w:rsidRPr="00BF188E">
        <w:t xml:space="preserve">, quod </w:t>
      </w:r>
      <w:r w:rsidRPr="009A7496">
        <w:rPr>
          <w:i/>
        </w:rPr>
        <w:t>universale</w:t>
      </w:r>
      <w:r w:rsidRPr="00BF188E">
        <w:t xml:space="preserve"> est; ut cum</w:t>
      </w:r>
      <w:r>
        <w:t xml:space="preserve"> species suis distribuitur indiv</w:t>
      </w:r>
      <w:r w:rsidRPr="00BF188E">
        <w:t xml:space="preserve">iduis hoc modo: </w:t>
      </w:r>
      <w:r>
        <w:t>'homo alius hic, alius ille'.“ (</w:t>
      </w:r>
      <w:r w:rsidRPr="009A7496">
        <w:rPr>
          <w:i/>
        </w:rPr>
        <w:t>Dialectica</w:t>
      </w:r>
      <w:r>
        <w:rPr>
          <w:lang w:val="cs-CZ"/>
        </w:rPr>
        <w:t xml:space="preserve"> </w:t>
      </w:r>
      <w:r>
        <w:t>V; ed. Rijk, p. 546.22‒28</w:t>
      </w:r>
      <w:r>
        <w:rPr>
          <w:i/>
        </w:rPr>
        <w:fldChar w:fldCharType="begin"/>
      </w:r>
      <w:r>
        <w:instrText xml:space="preserve"> XE "</w:instrText>
      </w:r>
      <w:r w:rsidRPr="00801AEE">
        <w:rPr>
          <w:lang w:val="cs-CZ"/>
        </w:rPr>
        <w:instrText>Abelard:</w:instrText>
      </w:r>
      <w:r w:rsidRPr="008C0CB0">
        <w:rPr>
          <w:i/>
        </w:rPr>
        <w:instrText>Dialectica</w:instrText>
      </w:r>
      <w:r>
        <w:instrText xml:space="preserve"> 546.22‒28" </w:instrText>
      </w:r>
      <w:r>
        <w:rPr>
          <w:i/>
        </w:rPr>
        <w:fldChar w:fldCharType="end"/>
      </w:r>
      <w:r>
        <w:t>)</w:t>
      </w:r>
    </w:p>
  </w:footnote>
  <w:footnote w:id="21">
    <w:p w14:paraId="01457E66" w14:textId="77777777" w:rsidR="00CD2817" w:rsidRPr="00A5454D" w:rsidRDefault="00CD2817" w:rsidP="080B2210">
      <w:pPr>
        <w:pStyle w:val="Textpoznpodarou"/>
      </w:pPr>
      <w:r>
        <w:rPr>
          <w:rStyle w:val="Znakapoznpodarou"/>
        </w:rPr>
        <w:footnoteRef/>
      </w:r>
      <w:r>
        <w:t xml:space="preserve"> „Non enim teste Boethio in sola voluntate liberum consistit arbitrium, sed etiam in iudicio mentis. Quotiens enim imaginationes animo concurrunt et voluntatem provocant, eas ratio perpendit, ac diiudicat quod melius sibi videtur.“ (</w:t>
      </w:r>
      <w:r w:rsidRPr="008C0CB0">
        <w:rPr>
          <w:i/>
        </w:rPr>
        <w:t>Dialectica</w:t>
      </w:r>
      <w:r>
        <w:t xml:space="preserve"> II; ed. Rijk, p. 215.19‒23</w:t>
      </w:r>
      <w:r>
        <w:fldChar w:fldCharType="begin"/>
      </w:r>
      <w:r>
        <w:instrText xml:space="preserve"> XE "</w:instrText>
      </w:r>
      <w:r>
        <w:rPr>
          <w:lang w:val="cs-CZ"/>
        </w:rPr>
        <w:instrText>Abelard:</w:instrText>
      </w:r>
      <w:r w:rsidRPr="087E3BF4">
        <w:rPr>
          <w:i/>
          <w:lang w:val="cs-CZ"/>
        </w:rPr>
        <w:instrText>Dialectica</w:instrText>
      </w:r>
      <w:r>
        <w:rPr>
          <w:lang w:val="cs-CZ"/>
        </w:rPr>
        <w:instrText xml:space="preserve"> </w:instrText>
      </w:r>
      <w:r w:rsidRPr="08DF4D45">
        <w:instrText>215.19‒23</w:instrText>
      </w:r>
      <w:r>
        <w:instrText xml:space="preserve">" </w:instrText>
      </w:r>
      <w:r>
        <w:fldChar w:fldCharType="end"/>
      </w:r>
      <w:r>
        <w:t>)</w:t>
      </w:r>
    </w:p>
  </w:footnote>
  <w:footnote w:id="22">
    <w:p w14:paraId="620EB68A" w14:textId="77777777" w:rsidR="00CD2817" w:rsidRPr="003F5666" w:rsidRDefault="00CD2817">
      <w:pPr>
        <w:pStyle w:val="Textpoznpodarou"/>
      </w:pPr>
      <w:r>
        <w:rPr>
          <w:rStyle w:val="Znakapoznpodarou"/>
        </w:rPr>
        <w:footnoteRef/>
      </w:r>
      <w:r>
        <w:t xml:space="preserve"> </w:t>
      </w:r>
      <w:r>
        <w:rPr>
          <w:lang w:val="cs-CZ"/>
        </w:rPr>
        <w:t>„</w:t>
      </w:r>
      <w:r w:rsidRPr="009B6BB5">
        <w:t xml:space="preserve">Sed est attendendum quare </w:t>
      </w:r>
      <w:r w:rsidRPr="009B6BB5">
        <w:rPr>
          <w:szCs w:val="19"/>
        </w:rPr>
        <w:t>'</w:t>
      </w:r>
      <w:r w:rsidRPr="009B6BB5">
        <w:rPr>
          <w:i/>
          <w:szCs w:val="19"/>
        </w:rPr>
        <w:t>significare</w:t>
      </w:r>
      <w:r w:rsidRPr="009B6BB5">
        <w:rPr>
          <w:szCs w:val="19"/>
        </w:rPr>
        <w:t xml:space="preserve">' </w:t>
      </w:r>
      <w:r w:rsidRPr="009B6BB5">
        <w:t xml:space="preserve">diversis modis accipitur. </w:t>
      </w:r>
      <w:r w:rsidRPr="009B6BB5">
        <w:rPr>
          <w:szCs w:val="18"/>
        </w:rPr>
        <w:t>Modo enim</w:t>
      </w:r>
      <w:r w:rsidRPr="009B6BB5">
        <w:t xml:space="preserve"> </w:t>
      </w:r>
      <w:r w:rsidRPr="009B6BB5">
        <w:rPr>
          <w:szCs w:val="18"/>
        </w:rPr>
        <w:t>circa ea tantum de quibus intellectum generat, modo vero circa omnia</w:t>
      </w:r>
      <w:r w:rsidRPr="009B6BB5">
        <w:t xml:space="preserve"> </w:t>
      </w:r>
      <w:r w:rsidRPr="009B6BB5">
        <w:rPr>
          <w:szCs w:val="18"/>
        </w:rPr>
        <w:t>quibus est impositum, solet accipi et secundum quidem primam et</w:t>
      </w:r>
      <w:r w:rsidRPr="009B6BB5">
        <w:t xml:space="preserve"> </w:t>
      </w:r>
      <w:r w:rsidRPr="009B6BB5">
        <w:rPr>
          <w:szCs w:val="18"/>
        </w:rPr>
        <w:t>propriam significationem</w:t>
      </w:r>
      <w:r>
        <w:rPr>
          <w:szCs w:val="18"/>
          <w:lang w:val="cs-CZ"/>
        </w:rPr>
        <w:t>...“</w:t>
      </w:r>
      <w:r w:rsidRPr="009B6BB5">
        <w:t xml:space="preserve"> (</w:t>
      </w:r>
      <w:r w:rsidRPr="009D7C39">
        <w:rPr>
          <w:i/>
        </w:rPr>
        <w:t>Dialectica</w:t>
      </w:r>
      <w:r>
        <w:rPr>
          <w:lang w:val="cs-CZ"/>
        </w:rPr>
        <w:t xml:space="preserve"> </w:t>
      </w:r>
      <w:r>
        <w:t>V; ed. Rijk</w:t>
      </w:r>
      <w:r w:rsidRPr="009B6BB5">
        <w:t xml:space="preserve">, p. </w:t>
      </w:r>
      <w:r>
        <w:t>562.2</w:t>
      </w:r>
      <w:r>
        <w:rPr>
          <w:lang w:val="cs-CZ"/>
        </w:rPr>
        <w:t>0</w:t>
      </w:r>
      <w:r>
        <w:t>‒</w:t>
      </w:r>
      <w:r>
        <w:rPr>
          <w:lang w:val="cs-CZ"/>
        </w:rPr>
        <w:t>28</w:t>
      </w:r>
      <w:r>
        <w:fldChar w:fldCharType="begin"/>
      </w:r>
      <w:r>
        <w:instrText xml:space="preserve"> XE "</w:instrText>
      </w:r>
      <w:r>
        <w:rPr>
          <w:lang w:val="cs-CZ"/>
        </w:rPr>
        <w:instrText>Abelard:</w:instrText>
      </w:r>
      <w:r w:rsidRPr="0026356C">
        <w:rPr>
          <w:i/>
        </w:rPr>
        <w:instrText>Dialectica</w:instrText>
      </w:r>
      <w:r w:rsidRPr="0026356C">
        <w:rPr>
          <w:lang w:val="cs-CZ"/>
        </w:rPr>
        <w:instrText xml:space="preserve"> </w:instrText>
      </w:r>
      <w:r>
        <w:instrText>562.20‒</w:instrText>
      </w:r>
      <w:r>
        <w:rPr>
          <w:lang w:val="cs-CZ"/>
        </w:rPr>
        <w:instrText>25</w:instrText>
      </w:r>
      <w:r>
        <w:instrText xml:space="preserve">" </w:instrText>
      </w:r>
      <w:r>
        <w:fldChar w:fldCharType="end"/>
      </w:r>
      <w:r w:rsidRPr="009B6BB5">
        <w:t>)</w:t>
      </w:r>
    </w:p>
  </w:footnote>
  <w:footnote w:id="23">
    <w:p w14:paraId="697DC1C5" w14:textId="77777777" w:rsidR="00CD2817" w:rsidRPr="00EA001B" w:rsidRDefault="00CD2817" w:rsidP="00124B67">
      <w:pPr>
        <w:pStyle w:val="Textpoznpodarou"/>
      </w:pPr>
      <w:r>
        <w:rPr>
          <w:rStyle w:val="Znakapoznpodarou"/>
        </w:rPr>
        <w:footnoteRef/>
      </w:r>
      <w:r>
        <w:t xml:space="preserve"> </w:t>
      </w:r>
      <w:r w:rsidRPr="00EA001B">
        <w:rPr>
          <w:rStyle w:val="TextpoznpodarouChar"/>
        </w:rPr>
        <w:t>„Quandoquidem singula quae dicta sunt, secundum nullam complexionem dicuntur, id est non sunt complexae voces, ergo non sunt affirmatio. (...) Omnis affirmatio est vera vel falsa, sed incomplexa neque sunt vera neque falsa, quare affirmatio non sunt.“ (</w:t>
      </w:r>
      <w:r w:rsidRPr="00EA001B">
        <w:rPr>
          <w:rStyle w:val="TextpoznpodarouChar"/>
          <w:i/>
        </w:rPr>
        <w:t>Logica Ingredientibus</w:t>
      </w:r>
      <w:r>
        <w:rPr>
          <w:rStyle w:val="TextpoznpodarouChar"/>
          <w:i/>
          <w:lang w:val="cs-CZ"/>
        </w:rPr>
        <w:t xml:space="preserve"> </w:t>
      </w:r>
      <w:r>
        <w:rPr>
          <w:rStyle w:val="TextpoznpodarouChar"/>
          <w:lang w:val="cs-CZ"/>
        </w:rPr>
        <w:t>I.2;</w:t>
      </w:r>
      <w:r w:rsidRPr="00EA001B">
        <w:rPr>
          <w:rStyle w:val="TextpoznpodarouChar"/>
        </w:rPr>
        <w:t xml:space="preserve"> ed. Geyer, p. 137</w:t>
      </w:r>
      <w:r>
        <w:rPr>
          <w:rStyle w:val="TextpoznpodarouChar"/>
          <w:lang w:val="cs-CZ"/>
        </w:rPr>
        <w:t>.15;24</w:t>
      </w:r>
      <w:r>
        <w:rPr>
          <w:rStyle w:val="TextpoznpodarouChar"/>
        </w:rPr>
        <w:fldChar w:fldCharType="begin"/>
      </w:r>
      <w:r>
        <w:instrText xml:space="preserve"> XE "</w:instrText>
      </w:r>
      <w:r>
        <w:rPr>
          <w:lang w:val="cs-CZ"/>
        </w:rPr>
        <w:instrText>Abelard:</w:instrText>
      </w:r>
      <w:r w:rsidRPr="00244324">
        <w:rPr>
          <w:rStyle w:val="TextpoznpodarouChar"/>
          <w:i/>
        </w:rPr>
        <w:instrText>Logica Ingredientibus</w:instrText>
      </w:r>
      <w:r>
        <w:rPr>
          <w:rStyle w:val="TextpoznpodarouChar"/>
          <w:i/>
          <w:lang w:val="cs-CZ"/>
        </w:rPr>
        <w:instrText xml:space="preserve"> </w:instrText>
      </w:r>
      <w:r w:rsidRPr="00244324">
        <w:rPr>
          <w:rStyle w:val="TextpoznpodarouChar"/>
        </w:rPr>
        <w:instrText>137</w:instrText>
      </w:r>
      <w:r>
        <w:rPr>
          <w:rStyle w:val="TextpoznpodarouChar"/>
          <w:lang w:val="cs-CZ"/>
        </w:rPr>
        <w:instrText>.15</w:instrText>
      </w:r>
      <w:r>
        <w:instrText xml:space="preserve">" </w:instrText>
      </w:r>
      <w:r>
        <w:rPr>
          <w:rStyle w:val="TextpoznpodarouChar"/>
        </w:rPr>
        <w:fldChar w:fldCharType="end"/>
      </w:r>
      <w:r w:rsidRPr="00EA001B">
        <w:rPr>
          <w:rStyle w:val="TextpoznpodarouChar"/>
        </w:rPr>
        <w:t>)</w:t>
      </w:r>
    </w:p>
  </w:footnote>
  <w:footnote w:id="24">
    <w:p w14:paraId="187F8E9E" w14:textId="77777777" w:rsidR="00CD2817" w:rsidRPr="00197EEB" w:rsidRDefault="00CD2817" w:rsidP="00124B67">
      <w:pPr>
        <w:pStyle w:val="Textpoznpodarou"/>
      </w:pPr>
      <w:r>
        <w:rPr>
          <w:rStyle w:val="Znakapoznpodarou"/>
        </w:rPr>
        <w:footnoteRef/>
      </w:r>
      <w:r>
        <w:t xml:space="preserve"> </w:t>
      </w:r>
      <w:r w:rsidRPr="008B37C4">
        <w:t>„Quod etiam ex eo ostenditur quod, quemadmodum sec</w:t>
      </w:r>
      <w:r>
        <w:t>undae substantiae de primis univ</w:t>
      </w:r>
      <w:r w:rsidRPr="008B37C4">
        <w:t>oce praedicantur, id est nomine et definitione substantiae, ita et differentiae.“</w:t>
      </w:r>
      <w:r>
        <w:t xml:space="preserve"> (</w:t>
      </w:r>
      <w:r w:rsidRPr="008C0CB0">
        <w:rPr>
          <w:i/>
        </w:rPr>
        <w:t>Dialectica</w:t>
      </w:r>
      <w:r>
        <w:rPr>
          <w:i/>
          <w:lang w:val="cs-CZ"/>
        </w:rPr>
        <w:t xml:space="preserve"> </w:t>
      </w:r>
      <w:r w:rsidRPr="00376AEC">
        <w:rPr>
          <w:lang w:val="cs-CZ"/>
        </w:rPr>
        <w:t>II.1</w:t>
      </w:r>
      <w:r>
        <w:rPr>
          <w:lang w:val="cs-CZ"/>
        </w:rPr>
        <w:t>;</w:t>
      </w:r>
      <w:r>
        <w:t xml:space="preserve"> ed. Rijk, p. 51.24‒26</w:t>
      </w:r>
      <w:r>
        <w:rPr>
          <w:i/>
        </w:rPr>
        <w:fldChar w:fldCharType="begin"/>
      </w:r>
      <w:r>
        <w:instrText xml:space="preserve"> XE "</w:instrText>
      </w:r>
      <w:r w:rsidRPr="00801AEE">
        <w:rPr>
          <w:lang w:val="cs-CZ"/>
        </w:rPr>
        <w:instrText>Abelard:</w:instrText>
      </w:r>
      <w:r w:rsidRPr="008C0CB0">
        <w:rPr>
          <w:i/>
        </w:rPr>
        <w:instrText>Dialectica</w:instrText>
      </w:r>
      <w:r>
        <w:instrText xml:space="preserve"> 51.24‒26" </w:instrText>
      </w:r>
      <w:r>
        <w:rPr>
          <w:i/>
        </w:rPr>
        <w:fldChar w:fldCharType="end"/>
      </w:r>
      <w:r>
        <w:t>)</w:t>
      </w:r>
    </w:p>
  </w:footnote>
  <w:footnote w:id="25">
    <w:p w14:paraId="708EF406" w14:textId="77777777" w:rsidR="00CD2817" w:rsidRPr="00E743CF" w:rsidRDefault="00CD2817" w:rsidP="088A240B">
      <w:pPr>
        <w:pStyle w:val="Textpoznpodarou"/>
      </w:pPr>
      <w:r>
        <w:rPr>
          <w:rStyle w:val="Znakapoznpodarou"/>
        </w:rPr>
        <w:footnoteRef/>
      </w:r>
      <w:r>
        <w:t xml:space="preserve"> Hermeneutika objektivity se hlásí k tomuto závěru ohledně vztahu Abelarda ke škole </w:t>
      </w:r>
      <w:r w:rsidRPr="003C3028">
        <w:rPr>
          <w:i/>
        </w:rPr>
        <w:t>Nominales</w:t>
      </w:r>
      <w:r>
        <w:t xml:space="preserve">: </w:t>
      </w:r>
      <w:r>
        <w:rPr>
          <w:noProof/>
          <w:lang w:eastAsia="en-US"/>
        </w:rPr>
        <w:t>„</w:t>
      </w:r>
      <w:r w:rsidRPr="00E743CF">
        <w:t xml:space="preserve">On the other hand I know of no text which both </w:t>
      </w:r>
      <w:r w:rsidRPr="00E743CF">
        <w:rPr>
          <w:i/>
        </w:rPr>
        <w:t>identifies itself</w:t>
      </w:r>
      <w:r w:rsidRPr="00E743CF">
        <w:t xml:space="preserve"> as from the Nominales and calls Abelard 'our master' and no text which attributes views </w:t>
      </w:r>
      <w:r w:rsidRPr="00E743CF">
        <w:rPr>
          <w:i/>
        </w:rPr>
        <w:t>identified in the text as Abelard's</w:t>
      </w:r>
      <w:r w:rsidRPr="00E743CF">
        <w:t xml:space="preserve"> to the Nominales.</w:t>
      </w:r>
      <w:r>
        <w:t>“ (Normore 1992, 82)</w:t>
      </w:r>
    </w:p>
  </w:footnote>
  <w:footnote w:id="26">
    <w:p w14:paraId="373485F6" w14:textId="77777777" w:rsidR="00CD2817" w:rsidRPr="002F117C" w:rsidRDefault="00CD2817" w:rsidP="08B871CE">
      <w:pPr>
        <w:pStyle w:val="Textpoznpodarou"/>
      </w:pPr>
      <w:r>
        <w:rPr>
          <w:rStyle w:val="Znakapoznpodarou"/>
        </w:rPr>
        <w:footnoteRef/>
      </w:r>
      <w:r>
        <w:t xml:space="preserve"> „Nam '</w:t>
      </w:r>
      <w:r w:rsidRPr="002F117C">
        <w:rPr>
          <w:i/>
        </w:rPr>
        <w:t>opinabili</w:t>
      </w:r>
      <w:r>
        <w:t>' opponitur '</w:t>
      </w:r>
      <w:r w:rsidRPr="002F117C">
        <w:rPr>
          <w:i/>
        </w:rPr>
        <w:t>est</w:t>
      </w:r>
      <w:r>
        <w:t>'</w:t>
      </w:r>
      <w:r w:rsidRPr="002F117C">
        <w:t xml:space="preserve"> secundum id quod </w:t>
      </w:r>
      <w:r>
        <w:t>'</w:t>
      </w:r>
      <w:r>
        <w:rPr>
          <w:i/>
        </w:rPr>
        <w:t>opinabile</w:t>
      </w:r>
      <w:r>
        <w:t xml:space="preserve">' </w:t>
      </w:r>
      <w:r w:rsidRPr="002F117C">
        <w:t>proprie accip</w:t>
      </w:r>
      <w:r>
        <w:t>itur in designatione tantum non</w:t>
      </w:r>
      <w:r>
        <w:rPr>
          <w:lang w:val="cs-CZ"/>
        </w:rPr>
        <w:noBreakHyphen/>
      </w:r>
      <w:r w:rsidRPr="002F117C">
        <w:t>exi</w:t>
      </w:r>
      <w:r>
        <w:t>stentium. Unde etiam subiunxit: '</w:t>
      </w:r>
      <w:r>
        <w:rPr>
          <w:lang w:val="cs-CZ"/>
        </w:rPr>
        <w:t>o</w:t>
      </w:r>
      <w:r w:rsidRPr="002F117C">
        <w:t>pinio enim eius non est qu</w:t>
      </w:r>
      <w:r>
        <w:t>oniam est, sed quoniam non est'.</w:t>
      </w:r>
      <w:r>
        <w:rPr>
          <w:lang w:val="cs-CZ"/>
        </w:rPr>
        <w:t xml:space="preserve"> </w:t>
      </w:r>
      <w:r w:rsidRPr="002F117C">
        <w:t>Non itaque solum in compositione oppositio in adiecto s</w:t>
      </w:r>
      <w:r>
        <w:t>ervatur, veluti, cum dicitur: '</w:t>
      </w:r>
      <w:r w:rsidRPr="002F117C">
        <w:rPr>
          <w:i/>
        </w:rPr>
        <w:t>hoc cadaver est homo mortuus</w:t>
      </w:r>
      <w:r>
        <w:t>'</w:t>
      </w:r>
      <w:r w:rsidRPr="002F117C">
        <w:t>, in</w:t>
      </w:r>
      <w:r>
        <w:t>ter partes huius compositionis '</w:t>
      </w:r>
      <w:r w:rsidRPr="002F117C">
        <w:rPr>
          <w:i/>
        </w:rPr>
        <w:t>homo mortuus</w:t>
      </w:r>
      <w:r>
        <w:t>'</w:t>
      </w:r>
      <w:r w:rsidRPr="002F117C">
        <w:t xml:space="preserve"> quaedam oppositio consistit, si per se dictiones accipiantur, atque ideo de eodem</w:t>
      </w:r>
      <w:r>
        <w:t xml:space="preserve"> singula vere non praedicantur.“ (</w:t>
      </w:r>
      <w:r w:rsidRPr="00050329">
        <w:rPr>
          <w:i/>
        </w:rPr>
        <w:t>Dialectica</w:t>
      </w:r>
      <w:r>
        <w:rPr>
          <w:i/>
          <w:lang w:val="cs-CZ"/>
        </w:rPr>
        <w:t xml:space="preserve"> </w:t>
      </w:r>
      <w:r w:rsidRPr="00EC464C">
        <w:t>II</w:t>
      </w:r>
      <w:r>
        <w:rPr>
          <w:lang w:val="cs-CZ"/>
        </w:rPr>
        <w:t xml:space="preserve">; </w:t>
      </w:r>
      <w:r>
        <w:t>ed. Rijk, p. 167.30‒36</w:t>
      </w:r>
      <w:r>
        <w:fldChar w:fldCharType="begin"/>
      </w:r>
      <w:r>
        <w:instrText xml:space="preserve"> XE "</w:instrText>
      </w:r>
      <w:r>
        <w:rPr>
          <w:lang w:val="cs-CZ"/>
        </w:rPr>
        <w:instrText>Abelard:</w:instrText>
      </w:r>
      <w:r w:rsidRPr="005D0F4B">
        <w:rPr>
          <w:i/>
        </w:rPr>
        <w:instrText>Dialectica</w:instrText>
      </w:r>
      <w:r>
        <w:rPr>
          <w:i/>
          <w:lang w:val="cs-CZ"/>
        </w:rPr>
        <w:instrText xml:space="preserve"> </w:instrText>
      </w:r>
      <w:r>
        <w:instrText xml:space="preserve">167.30‒36" </w:instrText>
      </w:r>
      <w:r>
        <w:fldChar w:fldCharType="end"/>
      </w:r>
      <w:r>
        <w:t>)</w:t>
      </w:r>
    </w:p>
  </w:footnote>
  <w:footnote w:id="27">
    <w:p w14:paraId="75040AE7" w14:textId="77777777" w:rsidR="00CD2817" w:rsidRPr="000A2979" w:rsidRDefault="00CD2817">
      <w:pPr>
        <w:pStyle w:val="Textpoznpodarou"/>
      </w:pPr>
      <w:r>
        <w:rPr>
          <w:rStyle w:val="Znakapoznpodarou"/>
        </w:rPr>
        <w:footnoteRef/>
      </w:r>
      <w:r>
        <w:t xml:space="preserve"> „</w:t>
      </w:r>
      <w:r w:rsidRPr="00F73E6A">
        <w:t xml:space="preserve">Vel si est exemplum non de </w:t>
      </w:r>
      <w:r>
        <w:t>substantia significata,</w:t>
      </w:r>
      <w:r w:rsidRPr="00F73E6A">
        <w:t xml:space="preserve"> sed de voce </w:t>
      </w:r>
      <w:r>
        <w:t>sign</w:t>
      </w:r>
      <w:r w:rsidRPr="00F73E6A">
        <w:t>ificante substantiam, sic dicemus: est substantia, id est vox significans substantiam, ut hom</w:t>
      </w:r>
      <w:r>
        <w:t xml:space="preserve">o, equus, istae voces, et tunc homo et </w:t>
      </w:r>
      <w:r w:rsidRPr="00F73E6A">
        <w:t>equus translata sunt ad significandum nomina rerum, et est quaedam figura facta in translatione vocis de re, cuius proprie nomen est, ad se ipsam significandam.</w:t>
      </w:r>
      <w:r>
        <w:t>“ (</w:t>
      </w:r>
      <w:r w:rsidRPr="00EE4712">
        <w:rPr>
          <w:i/>
        </w:rPr>
        <w:t>Logica Ingredientibus</w:t>
      </w:r>
      <w:r>
        <w:rPr>
          <w:i/>
          <w:lang w:val="cs-CZ"/>
        </w:rPr>
        <w:t xml:space="preserve"> </w:t>
      </w:r>
      <w:r w:rsidRPr="003B3F17">
        <w:rPr>
          <w:lang w:val="cs-CZ"/>
        </w:rPr>
        <w:t>I.2</w:t>
      </w:r>
      <w:r>
        <w:rPr>
          <w:lang w:val="cs-CZ"/>
        </w:rPr>
        <w:t>;</w:t>
      </w:r>
      <w:r>
        <w:t xml:space="preserve"> ed. Geyer, </w:t>
      </w:r>
      <w:r>
        <w:rPr>
          <w:lang w:val="cs-CZ"/>
        </w:rPr>
        <w:t xml:space="preserve">p. </w:t>
      </w:r>
      <w:r>
        <w:t>137.9‒14</w:t>
      </w:r>
      <w:r>
        <w:fldChar w:fldCharType="begin"/>
      </w:r>
      <w:r>
        <w:instrText xml:space="preserve"> XE "</w:instrText>
      </w:r>
      <w:r>
        <w:rPr>
          <w:lang w:val="cs-CZ"/>
        </w:rPr>
        <w:instrText>Abelard:</w:instrText>
      </w:r>
      <w:r w:rsidRPr="0085021C">
        <w:rPr>
          <w:i/>
        </w:rPr>
        <w:instrText>Logica Ingredientibus</w:instrText>
      </w:r>
      <w:r>
        <w:rPr>
          <w:lang w:val="cs-CZ"/>
        </w:rPr>
        <w:instrText xml:space="preserve"> </w:instrText>
      </w:r>
      <w:r w:rsidRPr="0085021C">
        <w:instrText>137.9‒14</w:instrText>
      </w:r>
      <w:r>
        <w:instrText xml:space="preserve">" </w:instrText>
      </w:r>
      <w:r>
        <w:fldChar w:fldCharType="end"/>
      </w:r>
      <w:r>
        <w:t>)</w:t>
      </w:r>
    </w:p>
  </w:footnote>
  <w:footnote w:id="28">
    <w:p w14:paraId="37232645" w14:textId="77777777" w:rsidR="00CD2817" w:rsidRPr="003F5666" w:rsidRDefault="00CD2817">
      <w:pPr>
        <w:pStyle w:val="Textpoznpodarou"/>
        <w:rPr>
          <w:lang w:val="cs-CZ"/>
        </w:rPr>
      </w:pPr>
      <w:r>
        <w:rPr>
          <w:rStyle w:val="Znakapoznpodarou"/>
        </w:rPr>
        <w:footnoteRef/>
      </w:r>
      <w:r>
        <w:t xml:space="preserve"> </w:t>
      </w:r>
      <w:r w:rsidRPr="009B6BB5">
        <w:t>„</w:t>
      </w:r>
      <w:r>
        <w:rPr>
          <w:lang w:val="cs-CZ"/>
        </w:rPr>
        <w:t>V</w:t>
      </w:r>
      <w:r w:rsidRPr="009B6BB5">
        <w:rPr>
          <w:szCs w:val="18"/>
        </w:rPr>
        <w:t xml:space="preserve">eluti </w:t>
      </w:r>
      <w:r>
        <w:rPr>
          <w:szCs w:val="19"/>
        </w:rPr>
        <w:t>'</w:t>
      </w:r>
      <w:r w:rsidRPr="009B6BB5">
        <w:rPr>
          <w:i/>
          <w:szCs w:val="19"/>
        </w:rPr>
        <w:t>homo</w:t>
      </w:r>
      <w:r>
        <w:rPr>
          <w:szCs w:val="19"/>
        </w:rPr>
        <w:t>'</w:t>
      </w:r>
      <w:r w:rsidRPr="009B6BB5">
        <w:rPr>
          <w:szCs w:val="19"/>
        </w:rPr>
        <w:t xml:space="preserve">, </w:t>
      </w:r>
      <w:r w:rsidRPr="009B6BB5">
        <w:rPr>
          <w:szCs w:val="18"/>
        </w:rPr>
        <w:t>cum et speciali naturae, idest animali rationali</w:t>
      </w:r>
      <w:r w:rsidRPr="009B6BB5">
        <w:t xml:space="preserve"> </w:t>
      </w:r>
      <w:r w:rsidRPr="009B6BB5">
        <w:rPr>
          <w:szCs w:val="18"/>
        </w:rPr>
        <w:t>mortali, primo loco sumptum (imponitur), et tantum ex ipsa individuis</w:t>
      </w:r>
      <w:r w:rsidRPr="009B6BB5">
        <w:t xml:space="preserve"> </w:t>
      </w:r>
      <w:r w:rsidRPr="009B6BB5">
        <w:rPr>
          <w:szCs w:val="18"/>
        </w:rPr>
        <w:t xml:space="preserve">ipsius, ut Socrate et ceteris, significationem [in se] ubique speciei in se tenet, non Socratis et ceterorum quae speciem participant. Ex </w:t>
      </w:r>
      <w:r>
        <w:rPr>
          <w:szCs w:val="19"/>
        </w:rPr>
        <w:t>'</w:t>
      </w:r>
      <w:r w:rsidRPr="009B6BB5">
        <w:rPr>
          <w:i/>
          <w:szCs w:val="19"/>
        </w:rPr>
        <w:t>hominis</w:t>
      </w:r>
      <w:r>
        <w:rPr>
          <w:szCs w:val="19"/>
        </w:rPr>
        <w:t>'</w:t>
      </w:r>
      <w:r w:rsidRPr="009B6BB5">
        <w:rPr>
          <w:szCs w:val="19"/>
        </w:rPr>
        <w:t xml:space="preserve"> </w:t>
      </w:r>
      <w:r w:rsidRPr="009B6BB5">
        <w:rPr>
          <w:szCs w:val="18"/>
        </w:rPr>
        <w:t xml:space="preserve">enim vocabulo tantum </w:t>
      </w:r>
      <w:r w:rsidRPr="009B6BB5">
        <w:rPr>
          <w:szCs w:val="19"/>
        </w:rPr>
        <w:t>'</w:t>
      </w:r>
      <w:r w:rsidRPr="009B6BB5">
        <w:rPr>
          <w:i/>
          <w:szCs w:val="19"/>
        </w:rPr>
        <w:t>animal rationale mortale</w:t>
      </w:r>
      <w:r>
        <w:rPr>
          <w:szCs w:val="19"/>
        </w:rPr>
        <w:t>'</w:t>
      </w:r>
      <w:r w:rsidRPr="009B6BB5">
        <w:rPr>
          <w:szCs w:val="19"/>
        </w:rPr>
        <w:t xml:space="preserve"> </w:t>
      </w:r>
      <w:r w:rsidRPr="009B6BB5">
        <w:rPr>
          <w:szCs w:val="18"/>
        </w:rPr>
        <w:t>concipimus, non etiam</w:t>
      </w:r>
      <w:r w:rsidRPr="009B6BB5">
        <w:t xml:space="preserve"> </w:t>
      </w:r>
      <w:r w:rsidRPr="009B6BB5">
        <w:rPr>
          <w:szCs w:val="18"/>
        </w:rPr>
        <w:t>Socratem intelligimus.</w:t>
      </w:r>
      <w:r w:rsidRPr="009B6BB5">
        <w:t>“ (</w:t>
      </w:r>
      <w:r w:rsidRPr="009D7C39">
        <w:rPr>
          <w:i/>
        </w:rPr>
        <w:t>Dialectica</w:t>
      </w:r>
      <w:r>
        <w:rPr>
          <w:lang w:val="cs-CZ"/>
        </w:rPr>
        <w:t xml:space="preserve"> </w:t>
      </w:r>
      <w:r>
        <w:t>V; ed. Rijk</w:t>
      </w:r>
      <w:r w:rsidRPr="009B6BB5">
        <w:t xml:space="preserve">, p. </w:t>
      </w:r>
      <w:r>
        <w:t>562.2</w:t>
      </w:r>
      <w:r>
        <w:rPr>
          <w:lang w:val="cs-CZ"/>
        </w:rPr>
        <w:t>8</w:t>
      </w:r>
      <w:r>
        <w:t>‒</w:t>
      </w:r>
      <w:r w:rsidRPr="009B6BB5">
        <w:t>33</w:t>
      </w:r>
      <w:r>
        <w:fldChar w:fldCharType="begin"/>
      </w:r>
      <w:r>
        <w:instrText xml:space="preserve"> XE "</w:instrText>
      </w:r>
      <w:r>
        <w:rPr>
          <w:lang w:val="cs-CZ"/>
        </w:rPr>
        <w:instrText>Abelard:</w:instrText>
      </w:r>
      <w:r w:rsidRPr="0026356C">
        <w:rPr>
          <w:i/>
        </w:rPr>
        <w:instrText>Dialectica</w:instrText>
      </w:r>
      <w:r w:rsidRPr="0026356C">
        <w:rPr>
          <w:lang w:val="cs-CZ"/>
        </w:rPr>
        <w:instrText xml:space="preserve"> </w:instrText>
      </w:r>
      <w:r>
        <w:instrText>562.2</w:instrText>
      </w:r>
      <w:r>
        <w:rPr>
          <w:lang w:val="cs-CZ"/>
        </w:rPr>
        <w:instrText>8</w:instrText>
      </w:r>
      <w:r w:rsidRPr="0026356C">
        <w:instrText>‒33</w:instrText>
      </w:r>
      <w:r>
        <w:instrText xml:space="preserve">" </w:instrText>
      </w:r>
      <w:r>
        <w:fldChar w:fldCharType="end"/>
      </w:r>
      <w:r w:rsidRPr="009B6BB5">
        <w:t>)</w:t>
      </w:r>
    </w:p>
  </w:footnote>
  <w:footnote w:id="29">
    <w:p w14:paraId="5A8003B3" w14:textId="77777777" w:rsidR="00CD2817" w:rsidRPr="00F55549" w:rsidRDefault="00CD2817" w:rsidP="002B3D16">
      <w:pPr>
        <w:pStyle w:val="Textpoznpodarou"/>
        <w:rPr>
          <w:lang w:val="cs-CZ"/>
        </w:rPr>
      </w:pPr>
      <w:r>
        <w:rPr>
          <w:rStyle w:val="Znakapoznpodarou"/>
        </w:rPr>
        <w:footnoteRef/>
      </w:r>
      <w:r>
        <w:t xml:space="preserve"> </w:t>
      </w:r>
      <w:r>
        <w:rPr>
          <w:lang w:val="cs-CZ"/>
        </w:rPr>
        <w:t>„Cum autem hic</w:t>
      </w:r>
      <w:r w:rsidRPr="00F55549">
        <w:rPr>
          <w:lang w:val="cs-CZ"/>
        </w:rPr>
        <w:t xml:space="preserve"> secundum significationem intellectus tantum de vocibus intendat, recte eas interpretationes nominat, quia interpretari</w:t>
      </w:r>
      <w:r>
        <w:rPr>
          <w:lang w:val="cs-CZ"/>
        </w:rPr>
        <w:t xml:space="preserve"> </w:t>
      </w:r>
      <w:r w:rsidRPr="00F55549">
        <w:rPr>
          <w:lang w:val="cs-CZ"/>
        </w:rPr>
        <w:t>vocem non est rem assignare, sed intellectum aperire.</w:t>
      </w:r>
      <w:r>
        <w:rPr>
          <w:lang w:val="cs-CZ"/>
        </w:rPr>
        <w:t>“ (</w:t>
      </w:r>
      <w:r w:rsidRPr="00EA001B">
        <w:rPr>
          <w:rStyle w:val="TextpoznpodarouChar"/>
          <w:i/>
        </w:rPr>
        <w:t>Logica Ingredientibus</w:t>
      </w:r>
      <w:r>
        <w:rPr>
          <w:rStyle w:val="TextpoznpodarouChar"/>
          <w:i/>
          <w:lang w:val="cs-CZ"/>
        </w:rPr>
        <w:t xml:space="preserve"> </w:t>
      </w:r>
      <w:r>
        <w:rPr>
          <w:rStyle w:val="TextpoznpodarouChar"/>
          <w:lang w:val="cs-CZ"/>
        </w:rPr>
        <w:t>I.3;</w:t>
      </w:r>
      <w:r w:rsidRPr="00EA001B">
        <w:rPr>
          <w:rStyle w:val="TextpoznpodarouChar"/>
        </w:rPr>
        <w:t xml:space="preserve"> ed. Geyer, p.</w:t>
      </w:r>
      <w:r>
        <w:rPr>
          <w:rStyle w:val="TextpoznpodarouChar"/>
          <w:lang w:val="cs-CZ"/>
        </w:rPr>
        <w:t xml:space="preserve"> </w:t>
      </w:r>
      <w:r>
        <w:rPr>
          <w:lang w:val="cs-CZ"/>
        </w:rPr>
        <w:t>309.26‒28</w:t>
      </w:r>
      <w:r>
        <w:rPr>
          <w:lang w:val="cs-CZ"/>
        </w:rPr>
        <w:fldChar w:fldCharType="begin"/>
      </w:r>
      <w:r>
        <w:instrText xml:space="preserve"> XE "</w:instrText>
      </w:r>
      <w:r>
        <w:rPr>
          <w:lang w:val="cs-CZ"/>
        </w:rPr>
        <w:instrText>Abelard:</w:instrText>
      </w:r>
      <w:r w:rsidRPr="009B1C6D">
        <w:rPr>
          <w:rStyle w:val="TextpoznpodarouChar"/>
          <w:i/>
        </w:rPr>
        <w:instrText>Logica Ingredientibus</w:instrText>
      </w:r>
      <w:r w:rsidRPr="009B1C6D">
        <w:rPr>
          <w:rStyle w:val="TextpoznpodarouChar"/>
          <w:lang w:val="cs-CZ"/>
        </w:rPr>
        <w:instrText xml:space="preserve"> </w:instrText>
      </w:r>
      <w:r w:rsidRPr="009B1C6D">
        <w:rPr>
          <w:lang w:val="cs-CZ"/>
        </w:rPr>
        <w:instrText>309.26‒28</w:instrText>
      </w:r>
      <w:r>
        <w:instrText xml:space="preserve">" </w:instrText>
      </w:r>
      <w:r>
        <w:rPr>
          <w:lang w:val="cs-CZ"/>
        </w:rPr>
        <w:fldChar w:fldCharType="end"/>
      </w:r>
      <w:r>
        <w:rPr>
          <w:lang w:val="cs-CZ"/>
        </w:rPr>
        <w:t>)</w:t>
      </w:r>
    </w:p>
  </w:footnote>
  <w:footnote w:id="30">
    <w:p w14:paraId="7C1AD3AC" w14:textId="77777777" w:rsidR="00CD2817" w:rsidRPr="00437DEB" w:rsidRDefault="00CD2817" w:rsidP="00884DAA">
      <w:pPr>
        <w:pStyle w:val="Textpoznpodarou"/>
        <w:rPr>
          <w:lang w:val="cs-CZ"/>
        </w:rPr>
      </w:pPr>
      <w:r>
        <w:rPr>
          <w:rStyle w:val="Znakapoznpodarou"/>
        </w:rPr>
        <w:footnoteRef/>
      </w:r>
      <w:r>
        <w:t xml:space="preserve"> </w:t>
      </w:r>
      <w:r>
        <w:rPr>
          <w:lang w:val="cs-CZ"/>
        </w:rPr>
        <w:t>„</w:t>
      </w:r>
      <w:r w:rsidRPr="00884DAA">
        <w:rPr>
          <w:lang w:val="cs-CZ"/>
        </w:rPr>
        <w:t>Ergo prius assignemus eorum convenientiam ad invicem secundum eorum significationem, de qua intenditur. A c</w:t>
      </w:r>
      <w:r>
        <w:rPr>
          <w:lang w:val="cs-CZ"/>
        </w:rPr>
        <w:t>ausa. Et hoc est: Ea quae prae</w:t>
      </w:r>
      <w:r w:rsidRPr="00884DAA">
        <w:rPr>
          <w:lang w:val="cs-CZ"/>
        </w:rPr>
        <w:t xml:space="preserve">missa sunt, scilicet nomen, verbum, oratio, etc., </w:t>
      </w:r>
      <w:r w:rsidRPr="00437DEB">
        <w:rPr>
          <w:i/>
          <w:lang w:val="cs-CZ"/>
        </w:rPr>
        <w:t>quae sunt in voce</w:t>
      </w:r>
      <w:r w:rsidRPr="00884DAA">
        <w:rPr>
          <w:lang w:val="cs-CZ"/>
        </w:rPr>
        <w:t xml:space="preserve">, id est quae sunt voces, </w:t>
      </w:r>
      <w:r w:rsidRPr="00437DEB">
        <w:rPr>
          <w:i/>
          <w:lang w:val="cs-CZ"/>
        </w:rPr>
        <w:t>sunt notae</w:t>
      </w:r>
      <w:r w:rsidRPr="00884DAA">
        <w:rPr>
          <w:lang w:val="cs-CZ"/>
        </w:rPr>
        <w:t xml:space="preserve">, id est significativae earum </w:t>
      </w:r>
      <w:r w:rsidRPr="00437DEB">
        <w:rPr>
          <w:i/>
          <w:lang w:val="cs-CZ"/>
        </w:rPr>
        <w:t>passionum, quae sunt in anima</w:t>
      </w:r>
      <w:r w:rsidRPr="00884DAA">
        <w:rPr>
          <w:lang w:val="cs-CZ"/>
        </w:rPr>
        <w:t>, id est intellectuum. Quae ideo passiones dicuntur esse, quia dum aliquid intelligimus, quandam passionem animus habet,</w:t>
      </w:r>
      <w:r>
        <w:rPr>
          <w:lang w:val="cs-CZ"/>
        </w:rPr>
        <w:t xml:space="preserve"> </w:t>
      </w:r>
      <w:r w:rsidRPr="00884DAA">
        <w:rPr>
          <w:lang w:val="cs-CZ"/>
        </w:rPr>
        <w:t>dum se ad rem coarctat et afficitur vel per ipsam rem vel per imaginem eius, ut dictum est.</w:t>
      </w:r>
      <w:r>
        <w:rPr>
          <w:lang w:val="cs-CZ"/>
        </w:rPr>
        <w:t>“ (</w:t>
      </w:r>
      <w:r w:rsidRPr="00EA001B">
        <w:rPr>
          <w:rStyle w:val="TextpoznpodarouChar"/>
          <w:i/>
        </w:rPr>
        <w:t>Logica Ingredientibus</w:t>
      </w:r>
      <w:r>
        <w:rPr>
          <w:rStyle w:val="TextpoznpodarouChar"/>
          <w:i/>
          <w:lang w:val="cs-CZ"/>
        </w:rPr>
        <w:t xml:space="preserve"> </w:t>
      </w:r>
      <w:r>
        <w:rPr>
          <w:rStyle w:val="TextpoznpodarouChar"/>
          <w:lang w:val="cs-CZ"/>
        </w:rPr>
        <w:t>I.3;</w:t>
      </w:r>
      <w:r w:rsidRPr="00EA001B">
        <w:rPr>
          <w:rStyle w:val="TextpoznpodarouChar"/>
        </w:rPr>
        <w:t xml:space="preserve"> ed. Geyer, p.</w:t>
      </w:r>
      <w:r>
        <w:rPr>
          <w:rStyle w:val="TextpoznpodarouChar"/>
          <w:lang w:val="cs-CZ"/>
        </w:rPr>
        <w:t xml:space="preserve"> </w:t>
      </w:r>
      <w:r>
        <w:rPr>
          <w:lang w:val="cs-CZ"/>
        </w:rPr>
        <w:t>319.7‒15</w:t>
      </w:r>
      <w:r>
        <w:rPr>
          <w:lang w:val="cs-CZ"/>
        </w:rPr>
        <w:fldChar w:fldCharType="begin"/>
      </w:r>
      <w:r>
        <w:instrText xml:space="preserve"> XE "</w:instrText>
      </w:r>
      <w:r>
        <w:rPr>
          <w:lang w:val="cs-CZ"/>
        </w:rPr>
        <w:instrText>Abelard:</w:instrText>
      </w:r>
      <w:r w:rsidRPr="009B1C6D">
        <w:rPr>
          <w:rStyle w:val="TextpoznpodarouChar"/>
          <w:i/>
        </w:rPr>
        <w:instrText>Logica Ingredientibus</w:instrText>
      </w:r>
      <w:r w:rsidRPr="009B1C6D">
        <w:rPr>
          <w:rStyle w:val="TextpoznpodarouChar"/>
          <w:lang w:val="cs-CZ"/>
        </w:rPr>
        <w:instrText xml:space="preserve"> </w:instrText>
      </w:r>
      <w:r w:rsidRPr="009B1C6D">
        <w:rPr>
          <w:lang w:val="cs-CZ"/>
        </w:rPr>
        <w:instrText>309.26‒28</w:instrText>
      </w:r>
      <w:r>
        <w:instrText xml:space="preserve">" </w:instrText>
      </w:r>
      <w:r>
        <w:rPr>
          <w:lang w:val="cs-CZ"/>
        </w:rPr>
        <w:fldChar w:fldCharType="end"/>
      </w:r>
      <w:r>
        <w:rPr>
          <w:lang w:val="cs-CZ"/>
        </w:rPr>
        <w:t>)</w:t>
      </w:r>
    </w:p>
  </w:footnote>
  <w:footnote w:id="31">
    <w:p w14:paraId="2C377209" w14:textId="77777777" w:rsidR="00CD2817" w:rsidRPr="00032C7B" w:rsidRDefault="00CD2817" w:rsidP="008B16FE">
      <w:pPr>
        <w:pStyle w:val="Textpoznpodarou"/>
      </w:pPr>
      <w:r>
        <w:rPr>
          <w:rStyle w:val="Znakapoznpodarou"/>
        </w:rPr>
        <w:footnoteRef/>
      </w:r>
      <w:r>
        <w:t xml:space="preserve"> </w:t>
      </w:r>
      <w:r w:rsidRPr="00741054">
        <w:t xml:space="preserve">„Nam in eo quod dixit: </w:t>
      </w:r>
      <w:r w:rsidRPr="00741054">
        <w:rPr>
          <w:i/>
          <w:szCs w:val="19"/>
        </w:rPr>
        <w:t>'quae hoc ipsum quod sunt aliorum dicuntur</w:t>
      </w:r>
      <w:r w:rsidRPr="00741054">
        <w:rPr>
          <w:szCs w:val="19"/>
        </w:rPr>
        <w:t xml:space="preserve">', </w:t>
      </w:r>
      <w:r w:rsidRPr="00741054">
        <w:t>non tam visus ad vocalem constructionem, ut aiunt, respexisse, quantum ad naturalem rerum relationem. Cum enim ait 'hoc ipsum quod sunt', essentiam demonstravit, non vocabulum. Neque enim ipsa res ipsum est vocabulum; nec vocabulum rei esse dici potest, sed rei essentiae demonstratio.“ (</w:t>
      </w:r>
      <w:r w:rsidRPr="00455FA8">
        <w:rPr>
          <w:i/>
        </w:rPr>
        <w:t>Dialectica</w:t>
      </w:r>
      <w:r>
        <w:t xml:space="preserve"> I</w:t>
      </w:r>
      <w:r>
        <w:rPr>
          <w:lang w:val="cs-CZ"/>
        </w:rPr>
        <w:t>.2</w:t>
      </w:r>
      <w:r>
        <w:t>; ed. Rijk</w:t>
      </w:r>
      <w:r w:rsidRPr="00741054">
        <w:t>, p</w:t>
      </w:r>
      <w:r>
        <w:rPr>
          <w:lang w:val="cs-CZ"/>
        </w:rPr>
        <w:t>p</w:t>
      </w:r>
      <w:r w:rsidRPr="00741054">
        <w:t>. 92</w:t>
      </w:r>
      <w:r>
        <w:t>.35‒93.4</w:t>
      </w:r>
      <w:r>
        <w:fldChar w:fldCharType="begin"/>
      </w:r>
      <w:r>
        <w:instrText xml:space="preserve"> XE "</w:instrText>
      </w:r>
      <w:r>
        <w:rPr>
          <w:lang w:val="cs-CZ"/>
        </w:rPr>
        <w:instrText>Abelard:</w:instrText>
      </w:r>
      <w:r w:rsidRPr="0071416E">
        <w:rPr>
          <w:i/>
        </w:rPr>
        <w:instrText>Dialectica</w:instrText>
      </w:r>
      <w:r>
        <w:rPr>
          <w:i/>
          <w:lang w:val="cs-CZ"/>
        </w:rPr>
        <w:instrText xml:space="preserve"> </w:instrText>
      </w:r>
      <w:r w:rsidRPr="0071416E">
        <w:instrText>92.35‒93.4</w:instrText>
      </w:r>
      <w:r>
        <w:instrText xml:space="preserve">" </w:instrText>
      </w:r>
      <w:r>
        <w:fldChar w:fldCharType="end"/>
      </w:r>
      <w:r>
        <w:t>)</w:t>
      </w:r>
    </w:p>
  </w:footnote>
  <w:footnote w:id="32">
    <w:p w14:paraId="661E832E" w14:textId="77777777" w:rsidR="00CD2817" w:rsidRPr="00BE406B" w:rsidRDefault="00CD2817" w:rsidP="004778FD">
      <w:pPr>
        <w:pStyle w:val="Textpoznpodarou"/>
      </w:pPr>
      <w:r>
        <w:rPr>
          <w:rStyle w:val="Znakapoznpodarou"/>
        </w:rPr>
        <w:footnoteRef/>
      </w:r>
      <w:r>
        <w:t xml:space="preserve"> „Neque enim aequalitas vel similitudo vel caetera ad alias secundum relationem species assignantur, sed ad se ipsas gratia individuorum; aequale enim </w:t>
      </w:r>
      <w:r w:rsidRPr="00EE3930">
        <w:rPr>
          <w:i/>
        </w:rPr>
        <w:t>aequali aequale</w:t>
      </w:r>
      <w:r>
        <w:t xml:space="preserve"> dicitur, et simile </w:t>
      </w:r>
      <w:r w:rsidRPr="00EE3930">
        <w:rPr>
          <w:i/>
        </w:rPr>
        <w:t>simili simile</w:t>
      </w:r>
      <w:r>
        <w:t xml:space="preserve">.“ </w:t>
      </w:r>
      <w:r w:rsidRPr="00BF188E">
        <w:t>(</w:t>
      </w:r>
      <w:r w:rsidRPr="008C0CB0">
        <w:rPr>
          <w:i/>
        </w:rPr>
        <w:t>Dialectica</w:t>
      </w:r>
      <w:r>
        <w:rPr>
          <w:lang w:val="cs-CZ"/>
        </w:rPr>
        <w:t xml:space="preserve"> </w:t>
      </w:r>
      <w:r>
        <w:t>I</w:t>
      </w:r>
      <w:r>
        <w:rPr>
          <w:lang w:val="cs-CZ"/>
        </w:rPr>
        <w:t>.2</w:t>
      </w:r>
      <w:r>
        <w:t>; ed. Rijk, p. 88.32‒34</w:t>
      </w:r>
      <w:r>
        <w:fldChar w:fldCharType="begin"/>
      </w:r>
      <w:r>
        <w:instrText xml:space="preserve"> XE "</w:instrText>
      </w:r>
      <w:r>
        <w:rPr>
          <w:lang w:val="cs-CZ"/>
        </w:rPr>
        <w:instrText>Abelard:</w:instrText>
      </w:r>
      <w:r w:rsidRPr="0071416E">
        <w:rPr>
          <w:i/>
        </w:rPr>
        <w:instrText>Dialectica</w:instrText>
      </w:r>
      <w:r>
        <w:rPr>
          <w:i/>
          <w:lang w:val="cs-CZ"/>
        </w:rPr>
        <w:instrText xml:space="preserve"> </w:instrText>
      </w:r>
      <w:r>
        <w:instrText xml:space="preserve">88.32‒34" </w:instrText>
      </w:r>
      <w:r>
        <w:fldChar w:fldCharType="end"/>
      </w:r>
      <w:r>
        <w:t>).</w:t>
      </w:r>
    </w:p>
  </w:footnote>
  <w:footnote w:id="33">
    <w:p w14:paraId="3B9B7997" w14:textId="77777777" w:rsidR="00CD2817" w:rsidRPr="00114CE8" w:rsidRDefault="00CD2817" w:rsidP="00A56477">
      <w:pPr>
        <w:pStyle w:val="Textpoznpodarou"/>
      </w:pPr>
      <w:r>
        <w:rPr>
          <w:rStyle w:val="Znakapoznpodarou"/>
        </w:rPr>
        <w:footnoteRef/>
      </w:r>
      <w:r>
        <w:t xml:space="preserve"> „Ex his itaque Aristoteles manifeste demonstrat ipsas affirmationes et negationes in proprietate veri ac falsi sequi illos eventus rerum quos enuntiant, gratia quorum tantum verae esse uel falsae dicuntur, in eo scilicet quod quemadmodum quamlibet rem necesse est esse, quando est, vel non esse, quando non est, ita quamlibet propositionem veram necesse est ueram esse, dum vera est, uel non veram non esse veram, dum vera non est.“ (</w:t>
      </w:r>
      <w:r w:rsidRPr="008C0CB0">
        <w:rPr>
          <w:i/>
        </w:rPr>
        <w:t>Dialectica</w:t>
      </w:r>
      <w:r>
        <w:t xml:space="preserve"> II; ed. Rijk, p. 221.3‒9</w:t>
      </w:r>
      <w:r>
        <w:fldChar w:fldCharType="begin"/>
      </w:r>
      <w:r>
        <w:instrText xml:space="preserve"> XE "</w:instrText>
      </w:r>
      <w:r>
        <w:rPr>
          <w:lang w:val="cs-CZ"/>
        </w:rPr>
        <w:instrText>Abelard:</w:instrText>
      </w:r>
      <w:r w:rsidRPr="0071416E">
        <w:rPr>
          <w:i/>
        </w:rPr>
        <w:instrText>Dialectica</w:instrText>
      </w:r>
      <w:r>
        <w:rPr>
          <w:i/>
          <w:lang w:val="cs-CZ"/>
        </w:rPr>
        <w:instrText xml:space="preserve"> </w:instrText>
      </w:r>
      <w:r>
        <w:instrText xml:space="preserve">221.3‒9" </w:instrText>
      </w:r>
      <w:r>
        <w:fldChar w:fldCharType="end"/>
      </w:r>
      <w:r>
        <w:t>)</w:t>
      </w:r>
    </w:p>
  </w:footnote>
  <w:footnote w:id="34">
    <w:p w14:paraId="569475B0" w14:textId="77777777" w:rsidR="00CD2817" w:rsidRPr="00035FB3" w:rsidRDefault="00CD2817" w:rsidP="00380942">
      <w:pPr>
        <w:pStyle w:val="Textpoznpodarou"/>
      </w:pPr>
      <w:r>
        <w:rPr>
          <w:rStyle w:val="Znakapoznpodarou"/>
        </w:rPr>
        <w:footnoteRef/>
      </w:r>
      <w:r>
        <w:t xml:space="preserve"> „Nam etsi animalitas et rationalitas hominem constituant, potest tamen illud unum nomen aequivoce dari. Quaecumque ergo voces plura ita significant quod ex ipsis non unus intellectus consistat, multiplices dicuntur; quae vero ita quod unus ex eis intellectus proveniat, unae erunt, etsi unius rei substantiam non perficiant res significatae; ut 'homo albus' una est in sensu oratio, licet ex albedine et homine nullius rei substantia constituatur.“ (</w:t>
      </w:r>
      <w:r w:rsidRPr="008C0CB0">
        <w:rPr>
          <w:i/>
        </w:rPr>
        <w:t>Dialectica</w:t>
      </w:r>
      <w:r>
        <w:rPr>
          <w:i/>
          <w:lang w:val="cs-CZ"/>
        </w:rPr>
        <w:t xml:space="preserve"> </w:t>
      </w:r>
      <w:r>
        <w:t>I</w:t>
      </w:r>
      <w:r>
        <w:rPr>
          <w:lang w:val="cs-CZ"/>
        </w:rPr>
        <w:t>.1</w:t>
      </w:r>
      <w:r>
        <w:t>; ed. Rijk, p. 225.14‒20</w:t>
      </w:r>
      <w:r>
        <w:fldChar w:fldCharType="begin"/>
      </w:r>
      <w:r>
        <w:instrText xml:space="preserve"> XE "</w:instrText>
      </w:r>
      <w:r>
        <w:rPr>
          <w:lang w:val="cs-CZ"/>
        </w:rPr>
        <w:instrText>Abelard:</w:instrText>
      </w:r>
      <w:r w:rsidRPr="0071416E">
        <w:rPr>
          <w:i/>
        </w:rPr>
        <w:instrText>Dialectica</w:instrText>
      </w:r>
      <w:r>
        <w:rPr>
          <w:i/>
          <w:lang w:val="cs-CZ"/>
        </w:rPr>
        <w:instrText xml:space="preserve"> </w:instrText>
      </w:r>
      <w:r>
        <w:instrText>221.</w:instrText>
      </w:r>
      <w:r>
        <w:rPr>
          <w:lang w:val="cs-CZ"/>
        </w:rPr>
        <w:instrText>14</w:instrText>
      </w:r>
      <w:r>
        <w:instrText>‒</w:instrText>
      </w:r>
      <w:r>
        <w:rPr>
          <w:lang w:val="cs-CZ"/>
        </w:rPr>
        <w:instrText>20</w:instrText>
      </w:r>
      <w:r>
        <w:instrText xml:space="preserve">" </w:instrText>
      </w:r>
      <w:r>
        <w:fldChar w:fldCharType="end"/>
      </w:r>
      <w:r>
        <w:t>)</w:t>
      </w:r>
    </w:p>
  </w:footnote>
  <w:footnote w:id="35">
    <w:p w14:paraId="1873C6FE" w14:textId="77777777" w:rsidR="00CD2817" w:rsidRPr="001D07A8" w:rsidRDefault="00CD2817" w:rsidP="00380942">
      <w:pPr>
        <w:pStyle w:val="Textpoznpodarou"/>
      </w:pPr>
      <w:r>
        <w:rPr>
          <w:rStyle w:val="Znakapoznpodarou"/>
        </w:rPr>
        <w:footnoteRef/>
      </w:r>
      <w:r>
        <w:t xml:space="preserve"> </w:t>
      </w:r>
      <w:r w:rsidRPr="001D07A8">
        <w:t>„Quod autem potentiis ipsis anima iungitur, ad integri naturam pertinet, quod partibus suis constat; et est quidem similitudo in compositione simpliciter, non in modo compositionis; aliter enim ex partibus integrum, aliter ex potentiis anima coniungitur.“ (</w:t>
      </w:r>
      <w:r w:rsidRPr="001D07A8">
        <w:rPr>
          <w:i/>
        </w:rPr>
        <w:t>Dialectica</w:t>
      </w:r>
      <w:r>
        <w:rPr>
          <w:lang w:val="cs-CZ"/>
        </w:rPr>
        <w:t xml:space="preserve"> </w:t>
      </w:r>
      <w:r>
        <w:t>V; ed. Rijk</w:t>
      </w:r>
      <w:r w:rsidRPr="001D07A8">
        <w:t xml:space="preserve">, p. </w:t>
      </w:r>
      <w:r>
        <w:t>558.9‒14</w:t>
      </w:r>
      <w:r>
        <w:fldChar w:fldCharType="begin"/>
      </w:r>
      <w:r>
        <w:instrText xml:space="preserve"> XE "</w:instrText>
      </w:r>
      <w:r>
        <w:rPr>
          <w:lang w:val="cs-CZ"/>
        </w:rPr>
        <w:instrText>Abelard:</w:instrText>
      </w:r>
      <w:r w:rsidRPr="0071416E">
        <w:rPr>
          <w:i/>
        </w:rPr>
        <w:instrText>Dialectica</w:instrText>
      </w:r>
      <w:r>
        <w:rPr>
          <w:i/>
          <w:lang w:val="cs-CZ"/>
        </w:rPr>
        <w:instrText xml:space="preserve"> </w:instrText>
      </w:r>
      <w:r>
        <w:instrText xml:space="preserve">558.9‒14" </w:instrText>
      </w:r>
      <w:r>
        <w:fldChar w:fldCharType="end"/>
      </w:r>
      <w:r w:rsidRPr="001D07A8">
        <w:t>)</w:t>
      </w:r>
    </w:p>
  </w:footnote>
  <w:footnote w:id="36">
    <w:p w14:paraId="2CA5C0E3" w14:textId="77777777" w:rsidR="00CD2817" w:rsidRPr="00803A4D" w:rsidRDefault="00CD2817" w:rsidP="000F4594">
      <w:pPr>
        <w:pStyle w:val="Textpoznpodarou"/>
        <w:rPr>
          <w:lang w:val="cs-CZ"/>
        </w:rPr>
      </w:pPr>
      <w:r>
        <w:rPr>
          <w:rStyle w:val="Znakapoznpodarou"/>
        </w:rPr>
        <w:footnoteRef/>
      </w:r>
      <w:r>
        <w:rPr>
          <w:lang w:val="cs-CZ"/>
        </w:rPr>
        <w:t xml:space="preserve"> </w:t>
      </w:r>
      <w:r w:rsidRPr="000F4594">
        <w:rPr>
          <w:lang w:val="cs-CZ"/>
        </w:rPr>
        <w:t>„</w:t>
      </w:r>
      <w:r>
        <w:rPr>
          <w:lang w:val="cs-CZ"/>
        </w:rPr>
        <w:t>...a</w:t>
      </w:r>
      <w:r w:rsidRPr="000F4594">
        <w:t>d condiscipulorum quoque tuorum Alberici videlicet Remensis et Lotulfi Lumbardi execrabilem invidiam et infestationem nimiam stilum contulisti</w:t>
      </w:r>
      <w:r>
        <w:rPr>
          <w:lang w:val="cs-CZ"/>
        </w:rPr>
        <w:t>.“ (</w:t>
      </w:r>
      <w:r w:rsidRPr="001A2E4B">
        <w:rPr>
          <w:i/>
        </w:rPr>
        <w:t xml:space="preserve">Epist. </w:t>
      </w:r>
      <w:r w:rsidRPr="007E5723">
        <w:t>2</w:t>
      </w:r>
      <w:r>
        <w:rPr>
          <w:lang w:val="cs-CZ"/>
        </w:rPr>
        <w:t xml:space="preserve">; </w:t>
      </w:r>
      <w:r w:rsidRPr="08FD541E">
        <w:rPr>
          <w:rStyle w:val="ZkladntextKurzvadkovn0pt"/>
          <w:rFonts w:ascii="Calibri" w:eastAsia="Times" w:hAnsi="Calibri"/>
          <w:iCs w:val="0"/>
          <w:color w:val="auto"/>
          <w:spacing w:val="0"/>
          <w:sz w:val="20"/>
          <w:u w:val="none"/>
          <w:lang w:val="cs-CZ"/>
        </w:rPr>
        <w:t>Historia Calamitatum</w:t>
      </w:r>
      <w:r>
        <w:rPr>
          <w:lang w:val="cs-CZ"/>
        </w:rPr>
        <w:t>, ed. Monfrin, p. 111.19‒20</w:t>
      </w:r>
      <w:r>
        <w:t xml:space="preserve">). K historii dopisů viz </w:t>
      </w:r>
      <w:r>
        <w:rPr>
          <w:lang w:val="cs-CZ"/>
        </w:rPr>
        <w:t xml:space="preserve">např. </w:t>
      </w:r>
      <w:r>
        <w:t>Luscombe 1988</w:t>
      </w:r>
      <w:r>
        <w:rPr>
          <w:lang w:val="cs-CZ"/>
        </w:rPr>
        <w:t>. K historii implementace neoplatonismu na katedrálních školách 11.‒12. století, viz např. Gersh</w:t>
      </w:r>
      <w:r>
        <w:rPr>
          <w:rFonts w:cs="Calibri"/>
          <w:lang w:val="cs-CZ"/>
        </w:rPr>
        <w:t>&amp;</w:t>
      </w:r>
      <w:r w:rsidRPr="0060502D">
        <w:t>Hoenen</w:t>
      </w:r>
      <w:r>
        <w:rPr>
          <w:lang w:val="cs-CZ"/>
        </w:rPr>
        <w:t xml:space="preserve"> </w:t>
      </w:r>
      <w:r>
        <w:t>2002</w:t>
      </w:r>
      <w:r>
        <w:rPr>
          <w:lang w:val="cs-CZ"/>
        </w:rPr>
        <w:t>.</w:t>
      </w:r>
    </w:p>
  </w:footnote>
  <w:footnote w:id="37">
    <w:p w14:paraId="6DE58A4C" w14:textId="77777777" w:rsidR="00CD2817" w:rsidRPr="00086966" w:rsidRDefault="00CD2817" w:rsidP="08875AC8">
      <w:pPr>
        <w:pStyle w:val="Textpoznpodarou"/>
      </w:pPr>
      <w:r>
        <w:rPr>
          <w:rStyle w:val="Znakapoznpodarou"/>
        </w:rPr>
        <w:footnoteRef/>
      </w:r>
      <w:r>
        <w:t xml:space="preserve"> „Revera zelus hic, quem in Deum habere videmini, multa et magna quacumque intentione sustinet. Sed plurimum refert, utrum haec intentio recta sit an erronea. Nulla quippe est fidei secta, quae se Deo famulari non credat et ea propter ipsum non operetur, quae ipsi placere arbitratur.“ (</w:t>
      </w:r>
      <w:r w:rsidRPr="00BF1F51">
        <w:rPr>
          <w:bCs/>
          <w:i/>
        </w:rPr>
        <w:t>Dialogus inter Philosophum Judaeum et Christianum</w:t>
      </w:r>
      <w:r>
        <w:rPr>
          <w:lang w:val="cs-CZ"/>
        </w:rPr>
        <w:t xml:space="preserve">; </w:t>
      </w:r>
      <w:r>
        <w:t>PL 178, 1619 B</w:t>
      </w:r>
      <w:r>
        <w:fldChar w:fldCharType="begin"/>
      </w:r>
      <w:r>
        <w:instrText xml:space="preserve"> XE "</w:instrText>
      </w:r>
      <w:r>
        <w:rPr>
          <w:lang w:val="cs-CZ"/>
        </w:rPr>
        <w:instrText>Abelard:</w:instrText>
      </w:r>
      <w:r w:rsidRPr="080222B0">
        <w:rPr>
          <w:bCs/>
          <w:i/>
        </w:rPr>
        <w:instrText>Dialogus inter Philosophum Judaeum et Christianum</w:instrText>
      </w:r>
      <w:r w:rsidRPr="080222B0">
        <w:rPr>
          <w:lang w:val="cs-CZ"/>
        </w:rPr>
        <w:instrText xml:space="preserve"> </w:instrText>
      </w:r>
      <w:r w:rsidRPr="080222B0">
        <w:instrText>PL</w:instrText>
      </w:r>
      <w:r>
        <w:rPr>
          <w:lang w:val="cs-CZ"/>
        </w:rPr>
        <w:instrText xml:space="preserve"> </w:instrText>
      </w:r>
      <w:r w:rsidRPr="080222B0">
        <w:instrText>178, 1619 B</w:instrText>
      </w:r>
      <w:r>
        <w:instrText xml:space="preserve">" </w:instrText>
      </w:r>
      <w:r>
        <w:fldChar w:fldCharType="end"/>
      </w:r>
      <w:r>
        <w:t>)</w:t>
      </w:r>
    </w:p>
  </w:footnote>
  <w:footnote w:id="38">
    <w:p w14:paraId="19F76A8A" w14:textId="77777777" w:rsidR="00CD2817" w:rsidRPr="00A855C9" w:rsidRDefault="00CD2817" w:rsidP="00F1663E">
      <w:pPr>
        <w:pStyle w:val="Textpoznpodarou"/>
      </w:pPr>
      <w:r>
        <w:rPr>
          <w:rStyle w:val="Znakapoznpodarou"/>
        </w:rPr>
        <w:footnoteRef/>
      </w:r>
      <w:r>
        <w:t xml:space="preserve"> „</w:t>
      </w:r>
      <w:r w:rsidRPr="00A855C9">
        <w:t>Solet autem in quaestione illud duci, utrum relationes ad se per sumpta tantum nomin</w:t>
      </w:r>
      <w:r>
        <w:t>a referantur, sive etiam per substantiv</w:t>
      </w:r>
      <w:r w:rsidRPr="00A855C9">
        <w:t>a, utrum scilicet, quemadmodum dicimus 'pater filii pater', ita etiam dicamus: 'paternitas filiationis pate</w:t>
      </w:r>
      <w:r>
        <w:t>rnitas'. Sed mihi quidem nihil v</w:t>
      </w:r>
      <w:r w:rsidRPr="00A855C9">
        <w:t>idetur so</w:t>
      </w:r>
      <w:r>
        <w:t>nare haec constructio substantiv</w:t>
      </w:r>
      <w:r w:rsidRPr="00A855C9">
        <w:t>orum.</w:t>
      </w:r>
      <w:r>
        <w:t>“ (</w:t>
      </w:r>
      <w:r w:rsidRPr="008C0CB0">
        <w:rPr>
          <w:i/>
        </w:rPr>
        <w:t>Dialectica</w:t>
      </w:r>
      <w:r>
        <w:rPr>
          <w:lang w:val="cs-CZ"/>
        </w:rPr>
        <w:t xml:space="preserve"> </w:t>
      </w:r>
      <w:r>
        <w:t>I</w:t>
      </w:r>
      <w:r>
        <w:rPr>
          <w:lang w:val="cs-CZ"/>
        </w:rPr>
        <w:t>.2</w:t>
      </w:r>
      <w:r>
        <w:t>; ed. Rijk, p. 90.13‒17</w:t>
      </w:r>
      <w:r>
        <w:rPr>
          <w:i/>
        </w:rPr>
        <w:fldChar w:fldCharType="begin"/>
      </w:r>
      <w:r>
        <w:instrText xml:space="preserve"> XE "</w:instrText>
      </w:r>
      <w:r w:rsidRPr="00801AEE">
        <w:rPr>
          <w:lang w:val="cs-CZ"/>
        </w:rPr>
        <w:instrText>Abelard:</w:instrText>
      </w:r>
      <w:r w:rsidRPr="008C0CB0">
        <w:rPr>
          <w:i/>
        </w:rPr>
        <w:instrText>Dialectica</w:instrText>
      </w:r>
      <w:r>
        <w:instrText xml:space="preserve"> 90.13‒17" </w:instrText>
      </w:r>
      <w:r>
        <w:rPr>
          <w:i/>
        </w:rPr>
        <w:fldChar w:fldCharType="end"/>
      </w:r>
      <w:r>
        <w:t>)</w:t>
      </w:r>
    </w:p>
  </w:footnote>
  <w:footnote w:id="39">
    <w:p w14:paraId="43BEFD62" w14:textId="7261092D" w:rsidR="00CD2817" w:rsidRPr="00E71E71" w:rsidRDefault="00CD2817" w:rsidP="00AF6E78">
      <w:pPr>
        <w:pStyle w:val="Textpoznpodarou"/>
      </w:pPr>
      <w:r>
        <w:rPr>
          <w:rStyle w:val="Znakapoznpodarou"/>
        </w:rPr>
        <w:footnoteRef/>
      </w:r>
      <w:r>
        <w:t xml:space="preserve"> </w:t>
      </w:r>
      <w:r w:rsidRPr="00E71E71">
        <w:t xml:space="preserve">Předseda koncilu v Soissons </w:t>
      </w:r>
      <w:r>
        <w:rPr>
          <w:lang w:val="cs-CZ"/>
        </w:rPr>
        <w:t xml:space="preserve">roku </w:t>
      </w:r>
      <w:r w:rsidRPr="00273106">
        <w:t>1121</w:t>
      </w:r>
      <w:r>
        <w:rPr>
          <w:lang w:val="cs-CZ"/>
        </w:rPr>
        <w:t xml:space="preserve"> </w:t>
      </w:r>
      <w:r w:rsidRPr="00E71E71">
        <w:t>byl papežský legát biskup a kardinál Kuno z Praeneste, který podle A</w:t>
      </w:r>
      <w:r>
        <w:t xml:space="preserve">belarda postrádal teologickou </w:t>
      </w:r>
      <w:r w:rsidRPr="00E71E71">
        <w:t xml:space="preserve">kvalifikaci pro vedení takového sporu. Klíčovými aktéry </w:t>
      </w:r>
      <w:r>
        <w:t xml:space="preserve">koncilu </w:t>
      </w:r>
      <w:r w:rsidRPr="00E71E71">
        <w:t xml:space="preserve">byli biskup ze Chartres (Gottfried de Lèves) a jeho katedrální učitel Theoderich. Z Remeše byl přítomni </w:t>
      </w:r>
      <w:r>
        <w:t>oba</w:t>
      </w:r>
      <w:r w:rsidRPr="00E71E71">
        <w:t xml:space="preserve"> známí učitelé z tamější katedrální školy</w:t>
      </w:r>
      <w:r>
        <w:t xml:space="preserve"> a rozhodní odpůrci Abelarda</w:t>
      </w:r>
      <w:r w:rsidRPr="00E71E71">
        <w:t>: Lotulf z Novary a Alberich.</w:t>
      </w:r>
    </w:p>
  </w:footnote>
  <w:footnote w:id="40">
    <w:p w14:paraId="110B7CDC" w14:textId="77777777" w:rsidR="00CD2817" w:rsidRPr="086C476F" w:rsidRDefault="00CD2817" w:rsidP="083F7F7B">
      <w:pPr>
        <w:pStyle w:val="Textpoznpodarou"/>
        <w:rPr>
          <w:lang w:val="cs-CZ"/>
        </w:rPr>
      </w:pPr>
      <w:r>
        <w:rPr>
          <w:rStyle w:val="Znakapoznpodarou"/>
        </w:rPr>
        <w:footnoteRef/>
      </w:r>
      <w:r>
        <w:rPr>
          <w:lang w:val="cs-CZ"/>
        </w:rPr>
        <w:t xml:space="preserve"> „</w:t>
      </w:r>
      <w:r>
        <w:t>Tu as pris Abélard comme cible de ta flèche pour vomir contre lui le venin de ton aigreur, pour le rayer de la terre des vivants, pour le mettre au rang des morts. Tu étais enflammé contre Abélard non du zèle de la correction, mais du désir de ta propre vengeance</w:t>
      </w:r>
      <w:r>
        <w:rPr>
          <w:lang w:val="cs-CZ"/>
        </w:rPr>
        <w:t>.“ (</w:t>
      </w:r>
      <w:r>
        <w:rPr>
          <w:rStyle w:val="reference-text"/>
        </w:rPr>
        <w:t>Aubé</w:t>
      </w:r>
      <w:r>
        <w:rPr>
          <w:rStyle w:val="reference-text"/>
          <w:lang w:val="cs-CZ"/>
        </w:rPr>
        <w:t xml:space="preserve"> 2003, </w:t>
      </w:r>
      <w:r>
        <w:rPr>
          <w:rStyle w:val="reference-text"/>
        </w:rPr>
        <w:t>413</w:t>
      </w:r>
      <w:r>
        <w:rPr>
          <w:lang w:val="cs-CZ"/>
        </w:rPr>
        <w:t>)</w:t>
      </w:r>
    </w:p>
  </w:footnote>
  <w:footnote w:id="41">
    <w:p w14:paraId="00C1B8C0" w14:textId="77777777" w:rsidR="00CD2817" w:rsidRPr="00096A11" w:rsidRDefault="00CD2817" w:rsidP="00D602D2">
      <w:pPr>
        <w:pStyle w:val="Textpoznpodarou"/>
      </w:pPr>
      <w:r>
        <w:rPr>
          <w:rStyle w:val="Znakapoznpodarou"/>
        </w:rPr>
        <w:footnoteRef/>
      </w:r>
      <w:r>
        <w:rPr>
          <w:lang w:val="cs-CZ"/>
        </w:rPr>
        <w:t xml:space="preserve"> </w:t>
      </w:r>
      <w:r>
        <w:t>„</w:t>
      </w:r>
      <w:r w:rsidRPr="00F964D4">
        <w:t>Eris tunc verus philosophus Christi, cum in te stultam fecerit ipse sapientiam mundi. Nam si secundum eundem apostolum volueris esse sapiens, stultus esto ut sis sapiens, neque te logicae garrulitatem, phisicae curiositatem, vel aliud quidlibet scire glorieris, nisi Christum Ihesum et hunc crucifixum.</w:t>
      </w:r>
      <w:r>
        <w:t>“ (</w:t>
      </w:r>
      <w:r w:rsidRPr="00716205">
        <w:rPr>
          <w:i/>
        </w:rPr>
        <w:t xml:space="preserve">Epistola </w:t>
      </w:r>
      <w:r w:rsidRPr="00660205">
        <w:t>IX</w:t>
      </w:r>
      <w:r w:rsidRPr="00660205">
        <w:rPr>
          <w:lang w:val="cs-CZ"/>
        </w:rPr>
        <w:t>.7</w:t>
      </w:r>
      <w:r>
        <w:rPr>
          <w:lang w:val="cs-CZ"/>
        </w:rPr>
        <w:fldChar w:fldCharType="begin"/>
      </w:r>
      <w:r>
        <w:instrText xml:space="preserve"> XE "</w:instrText>
      </w:r>
      <w:r>
        <w:rPr>
          <w:lang w:val="cs-CZ"/>
        </w:rPr>
        <w:instrText>Petrus Venerabilis:</w:instrText>
      </w:r>
      <w:r w:rsidRPr="001C2DC2">
        <w:rPr>
          <w:i/>
        </w:rPr>
        <w:instrText xml:space="preserve">Epistola </w:instrText>
      </w:r>
      <w:r>
        <w:rPr>
          <w:lang w:val="cs-CZ"/>
        </w:rPr>
        <w:instrText>9</w:instrText>
      </w:r>
      <w:r w:rsidRPr="001C2DC2">
        <w:rPr>
          <w:lang w:val="cs-CZ"/>
        </w:rPr>
        <w:instrText>.7</w:instrText>
      </w:r>
      <w:r>
        <w:instrText xml:space="preserve">" </w:instrText>
      </w:r>
      <w:r>
        <w:rPr>
          <w:lang w:val="cs-CZ"/>
        </w:rPr>
        <w:fldChar w:fldCharType="end"/>
      </w:r>
      <w:r>
        <w:rPr>
          <w:lang w:val="cs-CZ"/>
        </w:rPr>
        <w:t>;</w:t>
      </w:r>
      <w:r>
        <w:t xml:space="preserve"> ed. Constable </w:t>
      </w:r>
      <w:r>
        <w:rPr>
          <w:lang w:val="cs-CZ"/>
        </w:rPr>
        <w:t>1967</w:t>
      </w:r>
      <w:r>
        <w:t>, 1</w:t>
      </w:r>
      <w:r>
        <w:rPr>
          <w:lang w:val="cs-CZ"/>
        </w:rPr>
        <w:t>5</w:t>
      </w:r>
      <w:r>
        <w:t>)</w:t>
      </w:r>
    </w:p>
  </w:footnote>
  <w:footnote w:id="42">
    <w:p w14:paraId="22D95367" w14:textId="77777777" w:rsidR="00CD2817" w:rsidRPr="00CD572A" w:rsidRDefault="00CD2817" w:rsidP="08DE7BF1">
      <w:pPr>
        <w:pStyle w:val="Textpoznpodarou"/>
        <w:rPr>
          <w:lang w:val="cs-CZ"/>
        </w:rPr>
      </w:pPr>
      <w:r>
        <w:rPr>
          <w:rStyle w:val="Znakapoznpodarou"/>
        </w:rPr>
        <w:footnoteRef/>
      </w:r>
      <w:r>
        <w:t xml:space="preserve"> </w:t>
      </w:r>
      <w:r>
        <w:rPr>
          <w:lang w:val="cs-CZ"/>
        </w:rPr>
        <w:t>„</w:t>
      </w:r>
      <w:r w:rsidRPr="00CD572A">
        <w:rPr>
          <w:lang w:val="cs-CZ"/>
        </w:rPr>
        <w:t xml:space="preserve">Die Religion, wenigstens die christliche, ist das Verhalten des Menschen zu sich selbst, oder richtiger: zu seinem Wesen, aber das Verhalten zu seinem Wesen als zu einem andern Wesen. Das göttliche Wesen ist nichts Andres als das menschliche Wesen oder besser: das Wesen des Menschen, abgesondert von </w:t>
      </w:r>
      <w:r>
        <w:rPr>
          <w:lang w:val="cs-CZ"/>
        </w:rPr>
        <w:t>den Schranken des individuellen, d. h. wirklichen</w:t>
      </w:r>
      <w:r w:rsidRPr="00CD572A">
        <w:rPr>
          <w:lang w:val="cs-CZ"/>
        </w:rPr>
        <w:t>, leiblichen Menschen, vergegenständlicht, d. h. angeschaut und verehrt als ein andres, von ihm unterschiednes, eignes Wesen — alle Bestimmungen des göttlichen Wesens sind darum Bestimmungen des menschlichen Wesens.</w:t>
      </w:r>
      <w:r>
        <w:rPr>
          <w:lang w:val="cs-CZ"/>
        </w:rPr>
        <w:t>“ (</w:t>
      </w:r>
      <w:r w:rsidRPr="00263DD3">
        <w:rPr>
          <w:i/>
        </w:rPr>
        <w:t>Das Wesen des Christenthums</w:t>
      </w:r>
      <w:r>
        <w:rPr>
          <w:lang w:val="cs-CZ"/>
        </w:rPr>
        <w:t>, kap</w:t>
      </w:r>
      <w:r w:rsidRPr="089F6707">
        <w:rPr>
          <w:lang w:val="cs-CZ"/>
        </w:rPr>
        <w:t>. 2;</w:t>
      </w:r>
      <w:r>
        <w:rPr>
          <w:lang w:val="cs-CZ"/>
        </w:rPr>
        <w:t xml:space="preserve"> </w:t>
      </w:r>
      <w:r w:rsidRPr="089F6707">
        <w:rPr>
          <w:i/>
          <w:lang w:val="cs-CZ"/>
        </w:rPr>
        <w:t>Werke</w:t>
      </w:r>
      <w:r>
        <w:rPr>
          <w:lang w:val="cs-CZ"/>
        </w:rPr>
        <w:t xml:space="preserve"> 7, 50). </w:t>
      </w:r>
    </w:p>
  </w:footnote>
  <w:footnote w:id="43">
    <w:p w14:paraId="06614BFF" w14:textId="77777777" w:rsidR="00CD2817" w:rsidRPr="006F224B" w:rsidRDefault="00CD2817" w:rsidP="085F2E4A">
      <w:pPr>
        <w:pStyle w:val="Textpoznpodarou"/>
        <w:rPr>
          <w:lang w:val="cs-CZ"/>
        </w:rPr>
      </w:pPr>
      <w:r>
        <w:rPr>
          <w:rStyle w:val="Znakapoznpodarou"/>
        </w:rPr>
        <w:footnoteRef/>
      </w:r>
      <w:r>
        <w:rPr>
          <w:lang w:val="cs-CZ"/>
        </w:rPr>
        <w:t xml:space="preserve"> </w:t>
      </w:r>
      <w:r>
        <w:t>Viz například komentář Abelardova současníka Gerlocha von Reichersberg (†1169) k Žalmu 136.</w:t>
      </w:r>
      <w:r>
        <w:fldChar w:fldCharType="begin"/>
      </w:r>
      <w:r>
        <w:instrText xml:space="preserve"> XE "</w:instrText>
      </w:r>
      <w:r w:rsidRPr="001A09C3">
        <w:instrText>Starý zákon</w:instrText>
      </w:r>
      <w:r w:rsidRPr="0041160C">
        <w:rPr>
          <w:i/>
        </w:rPr>
        <w:instrText>:</w:instrText>
      </w:r>
      <w:r w:rsidRPr="087B358B">
        <w:instrText>Žalm</w:instrText>
      </w:r>
      <w:r w:rsidRPr="001A09C3">
        <w:instrText xml:space="preserve"> 13</w:instrText>
      </w:r>
      <w:r>
        <w:instrText xml:space="preserve">8" </w:instrText>
      </w:r>
      <w:r>
        <w:fldChar w:fldCharType="end"/>
      </w:r>
      <w:r>
        <w:rPr>
          <w:lang w:val="cs-CZ"/>
        </w:rPr>
        <w:t>: „</w:t>
      </w:r>
      <w:r w:rsidRPr="006F224B">
        <w:rPr>
          <w:lang w:val="cs-CZ"/>
        </w:rPr>
        <w:t>Quomodo</w:t>
      </w:r>
      <w:r>
        <w:rPr>
          <w:lang w:val="cs-CZ"/>
        </w:rPr>
        <w:t xml:space="preserve"> cantabimus canticum Domini in t</w:t>
      </w:r>
      <w:r w:rsidRPr="006F224B">
        <w:rPr>
          <w:lang w:val="cs-CZ"/>
        </w:rPr>
        <w:t xml:space="preserve">erra aliena? Conventicula </w:t>
      </w:r>
      <w:r>
        <w:rPr>
          <w:lang w:val="cs-CZ"/>
        </w:rPr>
        <w:t>haereticorum et Platonicorum, Ari</w:t>
      </w:r>
      <w:r w:rsidRPr="006F224B">
        <w:rPr>
          <w:lang w:val="cs-CZ"/>
        </w:rPr>
        <w:t>stotelicorum sophistarum se</w:t>
      </w:r>
      <w:r>
        <w:rPr>
          <w:lang w:val="cs-CZ"/>
        </w:rPr>
        <w:t>cundum elementa mundi philosopha</w:t>
      </w:r>
      <w:r w:rsidRPr="006F224B">
        <w:rPr>
          <w:lang w:val="cs-CZ"/>
        </w:rPr>
        <w:t>ntium, et non secundum Jesum Christum sunt habenda pro terra aliena</w:t>
      </w:r>
      <w:r>
        <w:rPr>
          <w:lang w:val="cs-CZ"/>
        </w:rPr>
        <w:t>, in qua cum interrogatores, re</w:t>
      </w:r>
      <w:r w:rsidRPr="006F224B">
        <w:rPr>
          <w:lang w:val="cs-CZ"/>
        </w:rPr>
        <w:t>prehensores, adulatores a viro catholico expe</w:t>
      </w:r>
      <w:r>
        <w:rPr>
          <w:lang w:val="cs-CZ"/>
        </w:rPr>
        <w:t>tunt audire coelestia, magna est</w:t>
      </w:r>
      <w:r w:rsidRPr="006F224B">
        <w:rPr>
          <w:lang w:val="cs-CZ"/>
        </w:rPr>
        <w:t xml:space="preserve"> illi anxietas et dubietas, loquatur an sileat, cum et in silentio </w:t>
      </w:r>
      <w:r>
        <w:rPr>
          <w:lang w:val="cs-CZ"/>
        </w:rPr>
        <w:t>et in loquela timeat periculum.“ (</w:t>
      </w:r>
      <w:r w:rsidRPr="007A372B">
        <w:rPr>
          <w:i/>
          <w:lang w:val="cs-CZ"/>
        </w:rPr>
        <w:t>Commentarium in Psalmos</w:t>
      </w:r>
      <w:r>
        <w:rPr>
          <w:lang w:val="cs-CZ"/>
        </w:rPr>
        <w:t xml:space="preserve"> PL 194, col. 906 D‒907A</w:t>
      </w:r>
      <w:r>
        <w:rPr>
          <w:lang w:val="cs-CZ"/>
        </w:rPr>
        <w:fldChar w:fldCharType="begin"/>
      </w:r>
      <w:r>
        <w:instrText xml:space="preserve"> XE "</w:instrText>
      </w:r>
      <w:r w:rsidRPr="085F7738">
        <w:instrText xml:space="preserve"> </w:instrText>
      </w:r>
      <w:r>
        <w:instrText>Gerloch von Reichersberg</w:instrText>
      </w:r>
      <w:r>
        <w:rPr>
          <w:lang w:val="cs-CZ"/>
        </w:rPr>
        <w:instrText>:</w:instrText>
      </w:r>
      <w:r w:rsidRPr="08012111">
        <w:rPr>
          <w:i/>
          <w:lang w:val="cs-CZ"/>
        </w:rPr>
        <w:instrText>Commentarium in Psalmos</w:instrText>
      </w:r>
      <w:r>
        <w:rPr>
          <w:lang w:val="cs-CZ"/>
        </w:rPr>
        <w:instrText xml:space="preserve"> PL 194, </w:instrText>
      </w:r>
      <w:r w:rsidRPr="08012111">
        <w:rPr>
          <w:lang w:val="cs-CZ"/>
        </w:rPr>
        <w:instrText>906 D‒907A</w:instrText>
      </w:r>
      <w:r>
        <w:instrText xml:space="preserve">" </w:instrText>
      </w:r>
      <w:r>
        <w:rPr>
          <w:lang w:val="cs-CZ"/>
        </w:rPr>
        <w:fldChar w:fldCharType="end"/>
      </w:r>
      <w:r>
        <w:rPr>
          <w:lang w:val="cs-CZ"/>
        </w:rPr>
        <w:t xml:space="preserve">). </w:t>
      </w:r>
    </w:p>
  </w:footnote>
  <w:footnote w:id="44">
    <w:p w14:paraId="5DAD2FBE" w14:textId="77777777" w:rsidR="00CD2817" w:rsidRPr="004D1E1C" w:rsidRDefault="00CD2817">
      <w:pPr>
        <w:pStyle w:val="Textpoznpodarou"/>
      </w:pPr>
      <w:r>
        <w:rPr>
          <w:rStyle w:val="Znakapoznpodarou"/>
        </w:rPr>
        <w:footnoteRef/>
      </w:r>
      <w:r>
        <w:t xml:space="preserve"> „Longe in melius disciplinarum studia commutasti, et pro logica aeuangelium, pro phisica apostolum, pro Platone Christum, pro academia claustrum, tota iam et vere philosophica mulier elegisti...“</w:t>
      </w:r>
      <w:r>
        <w:rPr>
          <w:lang w:val="cs-CZ"/>
        </w:rPr>
        <w:t xml:space="preserve"> (</w:t>
      </w:r>
      <w:r w:rsidRPr="004D1E1C">
        <w:rPr>
          <w:i/>
          <w:lang w:val="cs-CZ"/>
        </w:rPr>
        <w:t>E</w:t>
      </w:r>
      <w:r w:rsidRPr="004D1E1C">
        <w:rPr>
          <w:i/>
        </w:rPr>
        <w:t>p</w:t>
      </w:r>
      <w:r w:rsidRPr="004D1E1C">
        <w:rPr>
          <w:i/>
          <w:lang w:val="cs-CZ"/>
        </w:rPr>
        <w:t>istola</w:t>
      </w:r>
      <w:r>
        <w:t xml:space="preserve"> 115; ed. Constable I, p. 304</w:t>
      </w:r>
      <w:r>
        <w:fldChar w:fldCharType="begin"/>
      </w:r>
      <w:r>
        <w:instrText xml:space="preserve"> XE "Petrus Venerabilis</w:instrText>
      </w:r>
      <w:r>
        <w:rPr>
          <w:lang w:val="cs-CZ"/>
        </w:rPr>
        <w:instrText>:</w:instrText>
      </w:r>
      <w:r w:rsidRPr="083B2CC9">
        <w:rPr>
          <w:i/>
          <w:lang w:val="cs-CZ"/>
        </w:rPr>
        <w:instrText>E</w:instrText>
      </w:r>
      <w:r w:rsidRPr="083B2CC9">
        <w:rPr>
          <w:i/>
        </w:rPr>
        <w:instrText>p</w:instrText>
      </w:r>
      <w:r w:rsidRPr="083B2CC9">
        <w:rPr>
          <w:i/>
          <w:lang w:val="cs-CZ"/>
        </w:rPr>
        <w:instrText>istola</w:instrText>
      </w:r>
      <w:r w:rsidRPr="083B2CC9">
        <w:instrText xml:space="preserve"> 115</w:instrText>
      </w:r>
      <w:r>
        <w:instrText xml:space="preserve">" </w:instrText>
      </w:r>
      <w:r>
        <w:fldChar w:fldCharType="end"/>
      </w:r>
      <w:r>
        <w:t>)</w:t>
      </w:r>
    </w:p>
  </w:footnote>
  <w:footnote w:id="45">
    <w:p w14:paraId="580D73C3" w14:textId="77777777" w:rsidR="00CD2817" w:rsidRPr="00644C4A" w:rsidRDefault="00CD2817" w:rsidP="084152EB">
      <w:pPr>
        <w:pStyle w:val="Textpoznpodarou"/>
        <w:rPr>
          <w:color w:val="000000"/>
        </w:rPr>
      </w:pPr>
      <w:r>
        <w:rPr>
          <w:rStyle w:val="Znakapoznpodarou"/>
        </w:rPr>
        <w:footnoteRef/>
      </w:r>
      <w:r>
        <w:t xml:space="preserve"> „</w:t>
      </w:r>
      <w:r w:rsidRPr="00552315">
        <w:rPr>
          <w:color w:val="000000"/>
        </w:rPr>
        <w:t>Quod est, participare aliquo potest; sed i</w:t>
      </w:r>
      <w:r>
        <w:rPr>
          <w:color w:val="000000"/>
        </w:rPr>
        <w:t>psum esse, nullo modo aliquo participat</w:t>
      </w:r>
      <w:r w:rsidRPr="00552315">
        <w:rPr>
          <w:color w:val="000000"/>
        </w:rPr>
        <w:t>; fit enim participatio cum aliquid jam est; est autem aliquid, cum esse susceperit.</w:t>
      </w:r>
      <w:r>
        <w:rPr>
          <w:color w:val="000000"/>
        </w:rPr>
        <w:t>“ (</w:t>
      </w:r>
      <w:r w:rsidRPr="00B07A45">
        <w:rPr>
          <w:i/>
          <w:color w:val="000000"/>
        </w:rPr>
        <w:t>Quomodo substantiae in eo quod sint, bona</w:t>
      </w:r>
      <w:r>
        <w:rPr>
          <w:i/>
          <w:color w:val="000000"/>
        </w:rPr>
        <w:t>e</w:t>
      </w:r>
      <w:r w:rsidRPr="00B07A45">
        <w:rPr>
          <w:i/>
          <w:color w:val="000000"/>
        </w:rPr>
        <w:t xml:space="preserve"> sint</w:t>
      </w:r>
      <w:r>
        <w:rPr>
          <w:color w:val="000000"/>
        </w:rPr>
        <w:t>, PL 64, 1311C</w:t>
      </w:r>
      <w:r>
        <w:rPr>
          <w:color w:val="000000"/>
        </w:rPr>
        <w:fldChar w:fldCharType="begin"/>
      </w:r>
      <w:r>
        <w:instrText xml:space="preserve"> XE "</w:instrText>
      </w:r>
      <w:r>
        <w:rPr>
          <w:lang w:val="cs-CZ"/>
        </w:rPr>
        <w:instrText>Boethius:</w:instrText>
      </w:r>
      <w:r w:rsidRPr="00C00D85">
        <w:rPr>
          <w:i/>
          <w:color w:val="000000"/>
        </w:rPr>
        <w:instrText>Quomodo substantiae in eo quod sint, bonae sint</w:instrText>
      </w:r>
      <w:r>
        <w:rPr>
          <w:color w:val="000000"/>
          <w:lang w:val="cs-CZ"/>
        </w:rPr>
        <w:instrText xml:space="preserve"> </w:instrText>
      </w:r>
      <w:r w:rsidRPr="00C00D85">
        <w:rPr>
          <w:color w:val="000000"/>
        </w:rPr>
        <w:instrText>1311C</w:instrText>
      </w:r>
      <w:r>
        <w:instrText xml:space="preserve">" </w:instrText>
      </w:r>
      <w:r>
        <w:rPr>
          <w:color w:val="000000"/>
        </w:rPr>
        <w:fldChar w:fldCharType="end"/>
      </w:r>
      <w:r>
        <w:rPr>
          <w:color w:val="000000"/>
        </w:rPr>
        <w:t>)</w:t>
      </w:r>
    </w:p>
  </w:footnote>
  <w:footnote w:id="46">
    <w:p w14:paraId="171ED902" w14:textId="77777777" w:rsidR="00CD2817" w:rsidRPr="00BA4B25" w:rsidRDefault="00CD2817" w:rsidP="00085394">
      <w:pPr>
        <w:pStyle w:val="Textpoznpodarou"/>
      </w:pPr>
      <w:r>
        <w:rPr>
          <w:rStyle w:val="Znakapoznpodarou"/>
        </w:rPr>
        <w:footnoteRef/>
      </w:r>
      <w:r>
        <w:t xml:space="preserve"> „Esse namque subsistentia est, non substantia. Ita cum esse non possit in se habere, quo sit, nec participatione aliud aliquid in se habebit, vere: cum enim aliquid, id est subsistens jam est aliqua subsistentia, tunc fit alterius naturae</w:t>
      </w:r>
      <w:r w:rsidRPr="004D5424">
        <w:t xml:space="preserve"> </w:t>
      </w:r>
      <w:r>
        <w:t>ad illius subsistentiae potentiam pertinentis, participatio, qua subsistens ipsum quale vel quantum sit.“ (</w:t>
      </w:r>
      <w:r>
        <w:rPr>
          <w:i/>
        </w:rPr>
        <w:t>Gilberti Porretae commentaria</w:t>
      </w:r>
      <w:r w:rsidRPr="00B41AF9">
        <w:rPr>
          <w:i/>
        </w:rPr>
        <w:t xml:space="preserve"> in Librum Quomodo</w:t>
      </w:r>
      <w:r>
        <w:t>; PL 64, 1319A</w:t>
      </w:r>
      <w:r>
        <w:fldChar w:fldCharType="begin"/>
      </w:r>
      <w:r>
        <w:instrText xml:space="preserve"> XE "</w:instrText>
      </w:r>
      <w:r>
        <w:rPr>
          <w:lang w:val="cs-CZ"/>
        </w:rPr>
        <w:instrText>Gilbertus Porretanus:</w:instrText>
      </w:r>
      <w:r w:rsidRPr="00660429">
        <w:rPr>
          <w:i/>
        </w:rPr>
        <w:instrText>Gilberti Porretae commentaria in Librum Quomodo</w:instrText>
      </w:r>
      <w:r>
        <w:rPr>
          <w:lang w:val="cs-CZ"/>
        </w:rPr>
        <w:instrText xml:space="preserve"> </w:instrText>
      </w:r>
      <w:r w:rsidRPr="00660429">
        <w:instrText>1319A</w:instrText>
      </w:r>
      <w:r>
        <w:instrText xml:space="preserve">" </w:instrText>
      </w:r>
      <w:r>
        <w:fldChar w:fldCharType="end"/>
      </w:r>
      <w:r>
        <w:t>)</w:t>
      </w:r>
    </w:p>
  </w:footnote>
  <w:footnote w:id="47">
    <w:p w14:paraId="1577DB0D" w14:textId="77777777" w:rsidR="00CD2817" w:rsidRPr="086B1B0E" w:rsidRDefault="00CD2817" w:rsidP="009F013C">
      <w:pPr>
        <w:pStyle w:val="Textpoznpodarou"/>
      </w:pPr>
      <w:r>
        <w:rPr>
          <w:rStyle w:val="Znakapoznpodarou"/>
        </w:rPr>
        <w:footnoteRef/>
      </w:r>
      <w:r>
        <w:t xml:space="preserve"> </w:t>
      </w:r>
      <w:r>
        <w:rPr>
          <w:szCs w:val="21"/>
        </w:rPr>
        <w:t>„</w:t>
      </w:r>
      <w:r w:rsidRPr="00964D9E">
        <w:t>Secundae enim substantiae non hoc aliquid sed quale</w:t>
      </w:r>
      <w:r>
        <w:t xml:space="preserve"> </w:t>
      </w:r>
      <w:r w:rsidRPr="00964D9E">
        <w:t>aliquid (ut dictum est) monstrant, ita tamen quale aliquid monstrant,</w:t>
      </w:r>
      <w:r>
        <w:t xml:space="preserve"> </w:t>
      </w:r>
      <w:r w:rsidRPr="00964D9E">
        <w:t>ut ipsam qualitatem circa substantias determinent. Qualitas enim</w:t>
      </w:r>
      <w:r>
        <w:t xml:space="preserve"> </w:t>
      </w:r>
      <w:r w:rsidRPr="00964D9E">
        <w:t>secundarum substantiarum in indiuiduis est, de ipsis enim naturaliter</w:t>
      </w:r>
      <w:r>
        <w:t xml:space="preserve"> </w:t>
      </w:r>
      <w:r w:rsidRPr="00964D9E">
        <w:t>praedicatur qua, ipsa indiuiduae substantiae sunt.</w:t>
      </w:r>
      <w:r>
        <w:t>“ (</w:t>
      </w:r>
      <w:r w:rsidRPr="00126C44">
        <w:rPr>
          <w:i/>
          <w:szCs w:val="21"/>
        </w:rPr>
        <w:t>In Categ</w:t>
      </w:r>
      <w:r>
        <w:rPr>
          <w:i/>
          <w:szCs w:val="21"/>
        </w:rPr>
        <w:t>orias Aristotelis libri quattuor</w:t>
      </w:r>
      <w:r>
        <w:rPr>
          <w:szCs w:val="21"/>
        </w:rPr>
        <w:t>, lib</w:t>
      </w:r>
      <w:r>
        <w:rPr>
          <w:szCs w:val="21"/>
          <w:lang w:val="cs-CZ"/>
        </w:rPr>
        <w:t>.</w:t>
      </w:r>
      <w:r>
        <w:rPr>
          <w:szCs w:val="21"/>
        </w:rPr>
        <w:t xml:space="preserve"> I</w:t>
      </w:r>
      <w:r>
        <w:rPr>
          <w:szCs w:val="21"/>
          <w:lang w:val="cs-CZ"/>
        </w:rPr>
        <w:t xml:space="preserve">; </w:t>
      </w:r>
      <w:r w:rsidRPr="00126C44">
        <w:rPr>
          <w:szCs w:val="21"/>
        </w:rPr>
        <w:t xml:space="preserve">PL 64, </w:t>
      </w:r>
      <w:r>
        <w:rPr>
          <w:szCs w:val="21"/>
        </w:rPr>
        <w:t>195C</w:t>
      </w:r>
      <w:r>
        <w:rPr>
          <w:szCs w:val="21"/>
        </w:rPr>
        <w:fldChar w:fldCharType="begin"/>
      </w:r>
      <w:r>
        <w:instrText xml:space="preserve"> XE "</w:instrText>
      </w:r>
      <w:r>
        <w:rPr>
          <w:lang w:val="cs-CZ"/>
        </w:rPr>
        <w:instrText>Boethius:</w:instrText>
      </w:r>
      <w:r w:rsidRPr="00126C44">
        <w:rPr>
          <w:i/>
          <w:szCs w:val="21"/>
        </w:rPr>
        <w:instrText>In Categ</w:instrText>
      </w:r>
      <w:r>
        <w:rPr>
          <w:i/>
          <w:szCs w:val="21"/>
          <w:lang w:val="cs-CZ"/>
        </w:rPr>
        <w:instrText>.</w:instrText>
      </w:r>
      <w:r>
        <w:rPr>
          <w:i/>
          <w:szCs w:val="21"/>
        </w:rPr>
        <w:instrText xml:space="preserve"> Arist</w:instrText>
      </w:r>
      <w:r>
        <w:rPr>
          <w:i/>
          <w:szCs w:val="21"/>
          <w:lang w:val="cs-CZ"/>
        </w:rPr>
        <w:instrText xml:space="preserve">. </w:instrText>
      </w:r>
      <w:r w:rsidRPr="00126C44">
        <w:rPr>
          <w:szCs w:val="21"/>
        </w:rPr>
        <w:instrText xml:space="preserve">PL 64, </w:instrText>
      </w:r>
      <w:r>
        <w:rPr>
          <w:szCs w:val="21"/>
        </w:rPr>
        <w:instrText>195C</w:instrText>
      </w:r>
      <w:r>
        <w:instrText xml:space="preserve">" </w:instrText>
      </w:r>
      <w:r>
        <w:rPr>
          <w:szCs w:val="21"/>
        </w:rPr>
        <w:fldChar w:fldCharType="end"/>
      </w:r>
      <w:r>
        <w:t>)</w:t>
      </w:r>
    </w:p>
  </w:footnote>
  <w:footnote w:id="48">
    <w:p w14:paraId="2AC803C3" w14:textId="77777777" w:rsidR="00CD2817" w:rsidRPr="004A2A93" w:rsidRDefault="00CD2817" w:rsidP="00263464">
      <w:pPr>
        <w:pStyle w:val="Textpoznpodarou"/>
        <w:rPr>
          <w:lang w:val="cs-CZ"/>
        </w:rPr>
      </w:pPr>
      <w:r>
        <w:rPr>
          <w:rStyle w:val="Znakapoznpodarou"/>
        </w:rPr>
        <w:footnoteRef/>
      </w:r>
      <w:r>
        <w:t xml:space="preserve"> </w:t>
      </w:r>
      <w:r>
        <w:rPr>
          <w:lang w:val="cs-CZ"/>
        </w:rPr>
        <w:t xml:space="preserve">„Illa enim pictura, antequam fiat, in ipsa pictoris arte habetur; </w:t>
      </w:r>
      <w:r>
        <w:t>et tale quidpiam in ar</w:t>
      </w:r>
      <w:r>
        <w:rPr>
          <w:lang w:val="cs-CZ"/>
        </w:rPr>
        <w:t>t</w:t>
      </w:r>
      <w:r>
        <w:t>e artificis alicujus nihil es</w:t>
      </w:r>
      <w:r>
        <w:rPr>
          <w:lang w:val="cs-CZ"/>
        </w:rPr>
        <w:t>t</w:t>
      </w:r>
      <w:r w:rsidRPr="004A2A93">
        <w:t xml:space="preserve"> aliud quam</w:t>
      </w:r>
      <w:r>
        <w:rPr>
          <w:lang w:val="cs-CZ"/>
        </w:rPr>
        <w:t xml:space="preserve"> </w:t>
      </w:r>
      <w:r>
        <w:t>pars qu</w:t>
      </w:r>
      <w:r>
        <w:rPr>
          <w:lang w:val="cs-CZ"/>
        </w:rPr>
        <w:t>aed</w:t>
      </w:r>
      <w:r w:rsidRPr="004A2A93">
        <w:t>am intel</w:t>
      </w:r>
      <w:r>
        <w:t>ligen</w:t>
      </w:r>
      <w:r>
        <w:rPr>
          <w:lang w:val="cs-CZ"/>
        </w:rPr>
        <w:t>tiae</w:t>
      </w:r>
      <w:r>
        <w:t xml:space="preserve"> ipsiu</w:t>
      </w:r>
      <w:r>
        <w:rPr>
          <w:lang w:val="cs-CZ"/>
        </w:rPr>
        <w:t xml:space="preserve">s; </w:t>
      </w:r>
      <w:r>
        <w:t>quia e</w:t>
      </w:r>
      <w:r>
        <w:rPr>
          <w:lang w:val="cs-CZ"/>
        </w:rPr>
        <w:t>t</w:t>
      </w:r>
      <w:r>
        <w:t xml:space="preserve"> (sicu</w:t>
      </w:r>
      <w:r>
        <w:rPr>
          <w:lang w:val="cs-CZ"/>
        </w:rPr>
        <w:t xml:space="preserve">t </w:t>
      </w:r>
      <w:r w:rsidRPr="004A2A93">
        <w:t>sanctus Augustinus</w:t>
      </w:r>
      <w:r>
        <w:rPr>
          <w:lang w:val="cs-CZ"/>
        </w:rPr>
        <w:t xml:space="preserve"> </w:t>
      </w:r>
      <w:r w:rsidRPr="004A2A93">
        <w:t xml:space="preserve">ait) cum faber arcam facturus in </w:t>
      </w:r>
      <w:r>
        <w:t>opere, prius habet, illam in ar</w:t>
      </w:r>
      <w:r>
        <w:rPr>
          <w:lang w:val="cs-CZ"/>
        </w:rPr>
        <w:t>t</w:t>
      </w:r>
      <w:r>
        <w:t>e</w:t>
      </w:r>
      <w:r>
        <w:rPr>
          <w:lang w:val="cs-CZ"/>
        </w:rPr>
        <w:t xml:space="preserve">: </w:t>
      </w:r>
      <w:r w:rsidRPr="004A2A93">
        <w:t>arca, qua</w:t>
      </w:r>
      <w:r>
        <w:rPr>
          <w:lang w:val="cs-CZ"/>
        </w:rPr>
        <w:t>e fit</w:t>
      </w:r>
      <w:r w:rsidRPr="004A2A93">
        <w:t xml:space="preserve"> in opere, non est vita</w:t>
      </w:r>
      <w:r>
        <w:rPr>
          <w:lang w:val="cs-CZ"/>
        </w:rPr>
        <w:t>.“ (</w:t>
      </w:r>
      <w:r w:rsidRPr="004A2A93">
        <w:rPr>
          <w:i/>
        </w:rPr>
        <w:t>Liber Gaunilonis pro insipiente</w:t>
      </w:r>
      <w:r>
        <w:rPr>
          <w:lang w:val="cs-CZ"/>
        </w:rPr>
        <w:t xml:space="preserve">, cap. 3; </w:t>
      </w:r>
      <w:r>
        <w:t>PL 158</w:t>
      </w:r>
      <w:r>
        <w:rPr>
          <w:lang w:val="cs-CZ"/>
        </w:rPr>
        <w:t>, 244 B</w:t>
      </w:r>
      <w:r>
        <w:rPr>
          <w:lang w:val="cs-CZ"/>
        </w:rPr>
        <w:fldChar w:fldCharType="begin"/>
      </w:r>
      <w:r>
        <w:instrText xml:space="preserve"> XE "</w:instrText>
      </w:r>
      <w:r>
        <w:rPr>
          <w:color w:val="000000"/>
        </w:rPr>
        <w:instrText xml:space="preserve">Gaunilo de </w:instrText>
      </w:r>
      <w:r w:rsidRPr="00B718DB">
        <w:instrText>Marmoutiers</w:instrText>
      </w:r>
      <w:r>
        <w:rPr>
          <w:lang w:val="cs-CZ"/>
        </w:rPr>
        <w:instrText>:</w:instrText>
      </w:r>
      <w:r w:rsidRPr="00875A24">
        <w:rPr>
          <w:i/>
        </w:rPr>
        <w:instrText>Liber Gaunilonis pro insipiente</w:instrText>
      </w:r>
      <w:r>
        <w:rPr>
          <w:i/>
          <w:lang w:val="cs-CZ"/>
        </w:rPr>
        <w:instrText xml:space="preserve"> </w:instrText>
      </w:r>
      <w:r>
        <w:instrText>PL 158</w:instrText>
      </w:r>
      <w:r>
        <w:rPr>
          <w:lang w:val="cs-CZ"/>
        </w:rPr>
        <w:instrText xml:space="preserve">, </w:instrText>
      </w:r>
      <w:r w:rsidRPr="00875A24">
        <w:rPr>
          <w:lang w:val="cs-CZ"/>
        </w:rPr>
        <w:instrText>244 B</w:instrText>
      </w:r>
      <w:r>
        <w:instrText xml:space="preserve">" </w:instrText>
      </w:r>
      <w:r>
        <w:rPr>
          <w:lang w:val="cs-CZ"/>
        </w:rPr>
        <w:fldChar w:fldCharType="end"/>
      </w:r>
      <w:r>
        <w:rPr>
          <w:lang w:val="cs-CZ"/>
        </w:rPr>
        <w:t>)</w:t>
      </w:r>
    </w:p>
  </w:footnote>
  <w:footnote w:id="49">
    <w:p w14:paraId="20D9BAD0" w14:textId="77777777" w:rsidR="00CD2817" w:rsidRPr="08BD5B0C" w:rsidRDefault="00CD2817" w:rsidP="009E0B26">
      <w:pPr>
        <w:pStyle w:val="Textpoznpodarou"/>
        <w:rPr>
          <w:lang w:val="cs-CZ"/>
        </w:rPr>
      </w:pPr>
      <w:r>
        <w:rPr>
          <w:rStyle w:val="Znakapoznpodarou"/>
        </w:rPr>
        <w:footnoteRef/>
      </w:r>
      <w:r>
        <w:t xml:space="preserve"> </w:t>
      </w:r>
      <w:r>
        <w:rPr>
          <w:lang w:val="cs-CZ"/>
        </w:rPr>
        <w:t>„</w:t>
      </w:r>
      <w:r w:rsidRPr="08BD5B0C">
        <w:rPr>
          <w:lang w:val="cs-CZ"/>
        </w:rPr>
        <w:t>Paternitas autem in patre est. Similiter etiam est dispositio filii respectu patris. Non est enim hic res una quae sit in ambobus; unde non est hic nisi paternitas vel filiatio, sed dispositionem appositam paternitati vel filiationi nos nescimus, nec habet nomen.</w:t>
      </w:r>
      <w:r>
        <w:rPr>
          <w:lang w:val="cs-CZ"/>
        </w:rPr>
        <w:t>“ (</w:t>
      </w:r>
      <w:r w:rsidRPr="00AB594F">
        <w:rPr>
          <w:i/>
        </w:rPr>
        <w:t>Liber de philosophia prima</w:t>
      </w:r>
      <w:r>
        <w:t xml:space="preserve"> III.10; p. 17</w:t>
      </w:r>
      <w:r>
        <w:rPr>
          <w:lang w:val="cs-CZ"/>
        </w:rPr>
        <w:t>6</w:t>
      </w:r>
      <w:r>
        <w:t>.</w:t>
      </w:r>
      <w:r>
        <w:rPr>
          <w:lang w:val="cs-CZ"/>
        </w:rPr>
        <w:t>71‒74</w:t>
      </w:r>
      <w:r>
        <w:rPr>
          <w:lang w:val="cs-CZ"/>
        </w:rPr>
        <w:fldChar w:fldCharType="begin"/>
      </w:r>
      <w:r>
        <w:instrText xml:space="preserve"> XE "</w:instrText>
      </w:r>
      <w:r>
        <w:rPr>
          <w:lang w:val="cs-CZ"/>
        </w:rPr>
        <w:instrText>Avicenna:</w:instrText>
      </w:r>
      <w:r w:rsidRPr="088B153B">
        <w:rPr>
          <w:i/>
        </w:rPr>
        <w:instrText>Liber de philosophia prima</w:instrText>
      </w:r>
      <w:r w:rsidRPr="088B153B">
        <w:instrText xml:space="preserve"> 17</w:instrText>
      </w:r>
      <w:r w:rsidRPr="088B153B">
        <w:rPr>
          <w:lang w:val="cs-CZ"/>
        </w:rPr>
        <w:instrText>6</w:instrText>
      </w:r>
      <w:r w:rsidRPr="088B153B">
        <w:instrText>.</w:instrText>
      </w:r>
      <w:r>
        <w:rPr>
          <w:lang w:val="cs-CZ"/>
        </w:rPr>
        <w:instrText>71</w:instrText>
      </w:r>
      <w:r w:rsidRPr="088B153B">
        <w:rPr>
          <w:lang w:val="cs-CZ"/>
        </w:rPr>
        <w:instrText>‒74</w:instrText>
      </w:r>
      <w:r>
        <w:instrText xml:space="preserve">" </w:instrText>
      </w:r>
      <w:r>
        <w:rPr>
          <w:lang w:val="cs-CZ"/>
        </w:rPr>
        <w:fldChar w:fldCharType="end"/>
      </w:r>
      <w:r>
        <w:rPr>
          <w:lang w:val="cs-CZ"/>
        </w:rPr>
        <w:t>)</w:t>
      </w:r>
    </w:p>
  </w:footnote>
  <w:footnote w:id="50">
    <w:p w14:paraId="0B31756F" w14:textId="77777777" w:rsidR="00CD2817" w:rsidRPr="00BC7CD3" w:rsidRDefault="00CD2817">
      <w:pPr>
        <w:pStyle w:val="Textpoznpodarou"/>
      </w:pPr>
      <w:r>
        <w:rPr>
          <w:rStyle w:val="Znakapoznpodarou"/>
        </w:rPr>
        <w:footnoteRef/>
      </w:r>
      <w:r>
        <w:t xml:space="preserve"> „Cum enim dicimus ‘corpus est’ vel ‘homo est’ vel huiusmodi, theologici hoc esse dictum intelligunt quadam extrinseca denominatione ab essentia sui principii. Non enim dicunt corporalitate corpus esse sed esse aliquid: nec humanitate hominem esse, sed esse aliquid. Et similiter unumquodque subsistens essentia sui principii predicant non esse aliquid sed esse: illa vero que in ipso creata est, subsistentia non esse sed esse aliquid.“ (</w:t>
      </w:r>
      <w:r w:rsidRPr="002D312D">
        <w:rPr>
          <w:i/>
        </w:rPr>
        <w:t>Expositio in Boetii librum De bonorum hebdomade</w:t>
      </w:r>
      <w:r>
        <w:rPr>
          <w:lang w:val="cs-CZ"/>
        </w:rPr>
        <w:t xml:space="preserve">; </w:t>
      </w:r>
      <w:r>
        <w:t>ed. Häring, p. 193.55‒62</w:t>
      </w:r>
      <w:r>
        <w:fldChar w:fldCharType="begin"/>
      </w:r>
      <w:r>
        <w:instrText xml:space="preserve"> XE "</w:instrText>
      </w:r>
      <w:r>
        <w:rPr>
          <w:lang w:val="cs-CZ"/>
        </w:rPr>
        <w:instrText>Gilbertus Porretanus:</w:instrText>
      </w:r>
      <w:r w:rsidRPr="005F4585">
        <w:rPr>
          <w:i/>
        </w:rPr>
        <w:instrText>Expositio in Boetii librum De bonorum hebdomade</w:instrText>
      </w:r>
      <w:r>
        <w:rPr>
          <w:lang w:val="cs-CZ"/>
        </w:rPr>
        <w:instrText xml:space="preserve"> </w:instrText>
      </w:r>
      <w:r w:rsidRPr="005F4585">
        <w:instrText>193.55‒62</w:instrText>
      </w:r>
      <w:r>
        <w:instrText xml:space="preserve">" </w:instrText>
      </w:r>
      <w:r>
        <w:fldChar w:fldCharType="end"/>
      </w:r>
      <w:r>
        <w:t>)</w:t>
      </w:r>
    </w:p>
  </w:footnote>
  <w:footnote w:id="51">
    <w:p w14:paraId="0372E8F0" w14:textId="77777777" w:rsidR="00CD2817" w:rsidRPr="00FD51E0" w:rsidRDefault="00CD2817" w:rsidP="007241B4">
      <w:pPr>
        <w:pStyle w:val="Textpoznpodarou"/>
        <w:rPr>
          <w:lang w:val="cs-CZ"/>
        </w:rPr>
      </w:pPr>
      <w:r>
        <w:rPr>
          <w:rStyle w:val="Znakapoznpodarou"/>
        </w:rPr>
        <w:footnoteRef/>
      </w:r>
      <w:r>
        <w:t xml:space="preserve"> „Si Sortes scit se nihil scire</w:t>
      </w:r>
      <w:r w:rsidRPr="00656159">
        <w:t xml:space="preserve">, verum </w:t>
      </w:r>
      <w:r>
        <w:t xml:space="preserve">est quod </w:t>
      </w:r>
      <w:r w:rsidRPr="00656159">
        <w:t xml:space="preserve">nihil </w:t>
      </w:r>
      <w:r>
        <w:t>scit. E</w:t>
      </w:r>
      <w:r w:rsidRPr="00656159">
        <w:t xml:space="preserve">t si hoc, </w:t>
      </w:r>
      <w:r>
        <w:t>nihil scit. E</w:t>
      </w:r>
      <w:r w:rsidRPr="00656159">
        <w:t xml:space="preserve">rgo </w:t>
      </w:r>
      <w:r>
        <w:t>si Sortes scit se nihil scire, Sortes nihil scit. Sed si Sortes scit se nihil scire, scit hoc. Ergo aliquid. Ergo si Sortes scit se nihil scire, et aliquid scit et nihil scit.“ (Ywakuma 1993, 128)</w:t>
      </w:r>
    </w:p>
  </w:footnote>
  <w:footnote w:id="52">
    <w:p w14:paraId="6A5EE8D8" w14:textId="77777777" w:rsidR="00CD2817" w:rsidRPr="00B165BF" w:rsidRDefault="00CD2817">
      <w:pPr>
        <w:pStyle w:val="Textpoznpodarou"/>
        <w:rPr>
          <w:lang w:val="cs-CZ"/>
        </w:rPr>
      </w:pPr>
      <w:r>
        <w:rPr>
          <w:rStyle w:val="Znakapoznpodarou"/>
        </w:rPr>
        <w:footnoteRef/>
      </w:r>
      <w:r>
        <w:t xml:space="preserve"> </w:t>
      </w:r>
      <w:r>
        <w:rPr>
          <w:noProof/>
        </w:rPr>
        <w:t>„</w:t>
      </w:r>
      <w:r>
        <w:t>Es ist noch Nichts, und es soll Etwas werden. Der Anfang ist nicht das reine Nichts, sondern ein Nichts, von dem Etwas ausgehen soll; das Se</w:t>
      </w:r>
      <w:r>
        <w:rPr>
          <w:lang w:val="cs-CZ"/>
        </w:rPr>
        <w:t>i</w:t>
      </w:r>
      <w:r>
        <w:t>n ist also auch schon im Anfang enthalten. Der Anfang enthält also Beides, Se</w:t>
      </w:r>
      <w:r>
        <w:rPr>
          <w:lang w:val="cs-CZ"/>
        </w:rPr>
        <w:t>i</w:t>
      </w:r>
      <w:r>
        <w:t>n und Nichts; ist die Einheit von Se</w:t>
      </w:r>
      <w:r>
        <w:rPr>
          <w:lang w:val="cs-CZ"/>
        </w:rPr>
        <w:t>i</w:t>
      </w:r>
      <w:r>
        <w:t>n und Nichts; – oder ist Nichtse</w:t>
      </w:r>
      <w:r>
        <w:rPr>
          <w:lang w:val="cs-CZ"/>
        </w:rPr>
        <w:t>i</w:t>
      </w:r>
      <w:r>
        <w:t>n, das zugleich Se</w:t>
      </w:r>
      <w:r>
        <w:rPr>
          <w:lang w:val="cs-CZ"/>
        </w:rPr>
        <w:t>i</w:t>
      </w:r>
      <w:r>
        <w:t>n, und Se</w:t>
      </w:r>
      <w:r>
        <w:rPr>
          <w:lang w:val="cs-CZ"/>
        </w:rPr>
        <w:t>i</w:t>
      </w:r>
      <w:r>
        <w:t>n, das zugleich Nichtse</w:t>
      </w:r>
      <w:r>
        <w:rPr>
          <w:lang w:val="cs-CZ"/>
        </w:rPr>
        <w:t>i</w:t>
      </w:r>
      <w:r>
        <w:t>n ist.</w:t>
      </w:r>
      <w:r>
        <w:rPr>
          <w:noProof/>
        </w:rPr>
        <w:t>“</w:t>
      </w:r>
      <w:r>
        <w:rPr>
          <w:noProof/>
          <w:lang w:val="cs-CZ"/>
        </w:rPr>
        <w:t xml:space="preserve"> </w:t>
      </w:r>
      <w:r>
        <w:rPr>
          <w:noProof/>
        </w:rPr>
        <w:t>(</w:t>
      </w:r>
      <w:r w:rsidRPr="00B165BF">
        <w:rPr>
          <w:i/>
          <w:lang w:val="cs-CZ"/>
        </w:rPr>
        <w:t>Wisse</w:t>
      </w:r>
      <w:r>
        <w:rPr>
          <w:i/>
          <w:lang w:val="cs-CZ"/>
        </w:rPr>
        <w:t>n</w:t>
      </w:r>
      <w:r w:rsidRPr="00B165BF">
        <w:rPr>
          <w:i/>
          <w:lang w:val="cs-CZ"/>
        </w:rPr>
        <w:t>schaft der Logik</w:t>
      </w:r>
      <w:r>
        <w:rPr>
          <w:i/>
          <w:lang w:val="cs-CZ"/>
        </w:rPr>
        <w:t xml:space="preserve"> </w:t>
      </w:r>
      <w:r w:rsidRPr="00A437FC">
        <w:rPr>
          <w:lang w:val="cs-CZ"/>
        </w:rPr>
        <w:t>I.3</w:t>
      </w:r>
      <w:r>
        <w:rPr>
          <w:lang w:val="cs-CZ"/>
        </w:rPr>
        <w:t xml:space="preserve">; </w:t>
      </w:r>
      <w:r>
        <w:rPr>
          <w:noProof/>
        </w:rPr>
        <w:t>Hegel 5, 73</w:t>
      </w:r>
      <w:r>
        <w:rPr>
          <w:noProof/>
        </w:rPr>
        <w:fldChar w:fldCharType="begin"/>
      </w:r>
      <w:r>
        <w:instrText xml:space="preserve"> XE "</w:instrText>
      </w:r>
      <w:r>
        <w:rPr>
          <w:lang w:val="cs-CZ"/>
        </w:rPr>
        <w:instrText>Hegel:</w:instrText>
      </w:r>
      <w:r>
        <w:rPr>
          <w:i/>
          <w:lang w:val="cs-CZ"/>
        </w:rPr>
        <w:instrText>Wissenschaft der Logik</w:instrText>
      </w:r>
      <w:r w:rsidRPr="002D14C2">
        <w:rPr>
          <w:noProof/>
        </w:rPr>
        <w:instrText xml:space="preserve"> </w:instrText>
      </w:r>
      <w:r>
        <w:rPr>
          <w:noProof/>
          <w:lang w:val="cs-CZ"/>
        </w:rPr>
        <w:instrText>5.</w:instrText>
      </w:r>
      <w:r w:rsidRPr="002D14C2">
        <w:rPr>
          <w:noProof/>
        </w:rPr>
        <w:instrText>73</w:instrText>
      </w:r>
      <w:r>
        <w:instrText xml:space="preserve">" </w:instrText>
      </w:r>
      <w:r>
        <w:rPr>
          <w:noProof/>
        </w:rPr>
        <w:fldChar w:fldCharType="end"/>
      </w:r>
      <w:r>
        <w:rPr>
          <w:noProof/>
        </w:rPr>
        <w:t>)</w:t>
      </w:r>
    </w:p>
  </w:footnote>
  <w:footnote w:id="53">
    <w:p w14:paraId="5617A65F" w14:textId="77777777" w:rsidR="00CD2817" w:rsidRPr="003A3ADC" w:rsidRDefault="00CD2817" w:rsidP="0888299E">
      <w:pPr>
        <w:pStyle w:val="Textpoznpodarou"/>
      </w:pPr>
      <w:r>
        <w:rPr>
          <w:rStyle w:val="Znakapoznpodarou"/>
        </w:rPr>
        <w:footnoteRef/>
      </w:r>
      <w:r>
        <w:t xml:space="preserve"> „</w:t>
      </w:r>
      <w:r w:rsidRPr="008F42E8">
        <w:t>Primo loco et proprie tunc praedicatur, cum simpliciter de aliquo dicitur hoc modo: '</w:t>
      </w:r>
      <w:r w:rsidRPr="00736263">
        <w:rPr>
          <w:i/>
        </w:rPr>
        <w:t>Socrates est</w:t>
      </w:r>
      <w:r w:rsidRPr="008F42E8">
        <w:t>'; tunc non solum habet copulare, sed etiam rem praedicatam ponere; quando autem tertium adiacens est, secundum accidens et non proprie praedicatur, sed g</w:t>
      </w:r>
      <w:r>
        <w:t>ratia praedicati copulandi ponitur</w:t>
      </w:r>
      <w:r w:rsidRPr="008F42E8">
        <w:t xml:space="preserve">. Cui quidem non solum intransitiue, uerum etiam transitiue coniungitur, ut hic: </w:t>
      </w:r>
      <w:r w:rsidRPr="003A6BCA">
        <w:rPr>
          <w:i/>
        </w:rPr>
        <w:t>'chimaera est opinabilis</w:t>
      </w:r>
      <w:r>
        <w:t>'</w:t>
      </w:r>
      <w:r w:rsidRPr="008F42E8">
        <w:t xml:space="preserve"> uel </w:t>
      </w:r>
      <w:r>
        <w:t>'</w:t>
      </w:r>
      <w:r w:rsidRPr="003A6BCA">
        <w:rPr>
          <w:i/>
        </w:rPr>
        <w:t>non ens</w:t>
      </w:r>
      <w:r w:rsidRPr="008F42E8">
        <w:t>'; ex quo maxime liquet nullam rem per '</w:t>
      </w:r>
      <w:r w:rsidRPr="00736263">
        <w:rPr>
          <w:i/>
        </w:rPr>
        <w:t>esse</w:t>
      </w:r>
      <w:r w:rsidRPr="008F42E8">
        <w:t>' praedicari, sed tantum, cum tertium ponitur, praedicatum in ipso copulari.“</w:t>
      </w:r>
      <w:r>
        <w:t xml:space="preserve"> (</w:t>
      </w:r>
      <w:r w:rsidRPr="00455FA8">
        <w:rPr>
          <w:i/>
        </w:rPr>
        <w:t>Dialectica</w:t>
      </w:r>
      <w:r>
        <w:rPr>
          <w:lang w:val="cs-CZ"/>
        </w:rPr>
        <w:t xml:space="preserve"> I; </w:t>
      </w:r>
      <w:r>
        <w:t>ed. Rijk, p</w:t>
      </w:r>
      <w:r>
        <w:rPr>
          <w:lang w:val="cs-CZ"/>
        </w:rPr>
        <w:t>p</w:t>
      </w:r>
      <w:r>
        <w:t>. 163</w:t>
      </w:r>
      <w:r>
        <w:rPr>
          <w:lang w:val="cs-CZ"/>
        </w:rPr>
        <w:t>.34‒164.4</w:t>
      </w:r>
      <w:r>
        <w:rPr>
          <w:lang w:val="cs-CZ"/>
        </w:rPr>
        <w:fldChar w:fldCharType="begin"/>
      </w:r>
      <w:r>
        <w:instrText xml:space="preserve"> XE "</w:instrText>
      </w:r>
      <w:r>
        <w:rPr>
          <w:lang w:val="cs-CZ"/>
        </w:rPr>
        <w:instrText>Abelard:</w:instrText>
      </w:r>
      <w:r w:rsidRPr="00603D54">
        <w:rPr>
          <w:i/>
        </w:rPr>
        <w:instrText>Dialectica</w:instrText>
      </w:r>
      <w:r w:rsidRPr="00603D54">
        <w:instrText xml:space="preserve"> 163</w:instrText>
      </w:r>
      <w:r w:rsidRPr="00603D54">
        <w:rPr>
          <w:lang w:val="cs-CZ"/>
        </w:rPr>
        <w:instrText>.34‒164.4</w:instrText>
      </w:r>
      <w:r>
        <w:instrText xml:space="preserve">" </w:instrText>
      </w:r>
      <w:r>
        <w:rPr>
          <w:lang w:val="cs-CZ"/>
        </w:rPr>
        <w:fldChar w:fldCharType="end"/>
      </w:r>
      <w:r>
        <w:t>)</w:t>
      </w:r>
    </w:p>
  </w:footnote>
  <w:footnote w:id="54">
    <w:p w14:paraId="645666AC" w14:textId="77777777" w:rsidR="00CD2817" w:rsidRPr="00ED7D19" w:rsidRDefault="00CD2817" w:rsidP="00834F39">
      <w:pPr>
        <w:pStyle w:val="Textpoznpodarou"/>
      </w:pPr>
      <w:r>
        <w:rPr>
          <w:rStyle w:val="Znakapoznpodarou"/>
        </w:rPr>
        <w:footnoteRef/>
      </w:r>
      <w:r>
        <w:t xml:space="preserve"> „De hiis enim cum magis dicuntur quae propinquiora sunt ei quae in ipsa voce est impositioni, cum minus autem de hiis quae remotiora consistunt, ut album dicitur in quo pura albedo est. Quanto igitur aliquid ad vocis impositionem accedens puriori inficitur albedine, tanto et candidius assignabitur.“ (</w:t>
      </w:r>
      <w:r w:rsidRPr="002E7CFA">
        <w:rPr>
          <w:i/>
        </w:rPr>
        <w:t>Liber sex Principiorum</w:t>
      </w:r>
      <w:r>
        <w:t>, cap. VIII; ed. Minio-Paluello&amp;Dod, p. 56</w:t>
      </w:r>
      <w:r>
        <w:rPr>
          <w:lang w:val="cs-CZ"/>
        </w:rPr>
        <w:t xml:space="preserve">, </w:t>
      </w:r>
      <w:r>
        <w:t>n</w:t>
      </w:r>
      <w:r>
        <w:rPr>
          <w:lang w:val="cs-CZ"/>
        </w:rPr>
        <w:t>o.</w:t>
      </w:r>
      <w:r>
        <w:t xml:space="preserve"> 89‒90</w:t>
      </w:r>
      <w:r>
        <w:fldChar w:fldCharType="begin"/>
      </w:r>
      <w:r>
        <w:instrText xml:space="preserve"> XE "</w:instrText>
      </w:r>
      <w:r w:rsidRPr="00BC6C78">
        <w:rPr>
          <w:i/>
        </w:rPr>
        <w:instrText>Liber sex Principiorum</w:instrText>
      </w:r>
      <w:r w:rsidRPr="00BC6C78">
        <w:instrText xml:space="preserve"> 56</w:instrText>
      </w:r>
      <w:r w:rsidRPr="00BC6C78">
        <w:rPr>
          <w:lang w:val="cs-CZ"/>
        </w:rPr>
        <w:instrText>.</w:instrText>
      </w:r>
      <w:r w:rsidRPr="00BC6C78">
        <w:instrText>89‒90</w:instrText>
      </w:r>
      <w:r>
        <w:instrText xml:space="preserve">" </w:instrText>
      </w:r>
      <w:r>
        <w:fldChar w:fldCharType="end"/>
      </w:r>
      <w:r>
        <w:t>)</w:t>
      </w:r>
    </w:p>
  </w:footnote>
  <w:footnote w:id="55">
    <w:p w14:paraId="61ADBE5B" w14:textId="77777777" w:rsidR="00CD2817" w:rsidRPr="0045367E" w:rsidRDefault="00CD2817" w:rsidP="00B94311">
      <w:pPr>
        <w:pStyle w:val="Textpoznpodarou"/>
      </w:pPr>
      <w:r>
        <w:rPr>
          <w:rStyle w:val="Znakapoznpodarou"/>
        </w:rPr>
        <w:footnoteRef/>
      </w:r>
      <w:r>
        <w:t xml:space="preserve"> </w:t>
      </w:r>
      <w:r w:rsidRPr="00E0356E">
        <w:t>„Neque en</w:t>
      </w:r>
      <w:r>
        <w:t>im quisquam dicit magis esse sa</w:t>
      </w:r>
      <w:r w:rsidRPr="00E0356E">
        <w:t>nitatem alia sanitate. Sed hoc solum dicere possumus magis habere sanit</w:t>
      </w:r>
      <w:r>
        <w:t>atem aliquem, id est esse sanio</w:t>
      </w:r>
      <w:r w:rsidRPr="00E0356E">
        <w:t xml:space="preserve">rem, et magis sanum, et minus sanum. Dicimus erga quod ipsae quidem qualitates non suscipiunt magis </w:t>
      </w:r>
      <w:r w:rsidRPr="001E646A">
        <w:rPr>
          <w:rStyle w:val="ZkladntextTundkovn0pt"/>
          <w:rFonts w:ascii="Calibri" w:hAnsi="Calibri" w:cs="Times New Roman"/>
          <w:b w:val="0"/>
          <w:bCs w:val="0"/>
          <w:color w:val="auto"/>
          <w:spacing w:val="0"/>
          <w:sz w:val="20"/>
          <w:lang w:val="fr-FR"/>
        </w:rPr>
        <w:t xml:space="preserve">et </w:t>
      </w:r>
      <w:r w:rsidRPr="00E0356E">
        <w:t>minus.“ (</w:t>
      </w:r>
      <w:r w:rsidRPr="00D42689">
        <w:rPr>
          <w:i/>
          <w:lang w:val="cs-CZ"/>
        </w:rPr>
        <w:t>In</w:t>
      </w:r>
      <w:r>
        <w:rPr>
          <w:lang w:val="cs-CZ"/>
        </w:rPr>
        <w:t xml:space="preserve"> </w:t>
      </w:r>
      <w:r w:rsidRPr="00126C44">
        <w:rPr>
          <w:i/>
          <w:szCs w:val="21"/>
        </w:rPr>
        <w:t>Categ</w:t>
      </w:r>
      <w:r>
        <w:rPr>
          <w:i/>
          <w:szCs w:val="21"/>
        </w:rPr>
        <w:t>orias Aristotelis libri quattuor</w:t>
      </w:r>
      <w:r>
        <w:rPr>
          <w:lang w:val="cs-CZ"/>
        </w:rPr>
        <w:t>, cap. 3</w:t>
      </w:r>
      <w:r w:rsidRPr="00E0356E">
        <w:t>; PL 64, 257B</w:t>
      </w:r>
      <w:r>
        <w:fldChar w:fldCharType="begin"/>
      </w:r>
      <w:r>
        <w:instrText xml:space="preserve"> XE "</w:instrText>
      </w:r>
      <w:r>
        <w:rPr>
          <w:lang w:val="cs-CZ"/>
        </w:rPr>
        <w:instrText>Boethius:</w:instrText>
      </w:r>
      <w:r w:rsidRPr="00D42689">
        <w:rPr>
          <w:i/>
          <w:lang w:val="cs-CZ"/>
        </w:rPr>
        <w:instrText>In</w:instrText>
      </w:r>
      <w:r>
        <w:rPr>
          <w:lang w:val="cs-CZ"/>
        </w:rPr>
        <w:instrText xml:space="preserve"> </w:instrText>
      </w:r>
      <w:r w:rsidRPr="00126C44">
        <w:rPr>
          <w:i/>
          <w:szCs w:val="21"/>
        </w:rPr>
        <w:instrText>Categ</w:instrText>
      </w:r>
      <w:r>
        <w:rPr>
          <w:i/>
          <w:szCs w:val="21"/>
          <w:lang w:val="cs-CZ"/>
        </w:rPr>
        <w:instrText>.</w:instrText>
      </w:r>
      <w:r>
        <w:rPr>
          <w:i/>
          <w:szCs w:val="21"/>
        </w:rPr>
        <w:instrText xml:space="preserve"> Arist</w:instrText>
      </w:r>
      <w:r>
        <w:rPr>
          <w:i/>
          <w:szCs w:val="21"/>
          <w:lang w:val="cs-CZ"/>
        </w:rPr>
        <w:instrText>.</w:instrText>
      </w:r>
      <w:r w:rsidRPr="00F74D74">
        <w:instrText xml:space="preserve"> </w:instrText>
      </w:r>
      <w:r w:rsidRPr="00E0356E">
        <w:instrText>PL 64, 257B</w:instrText>
      </w:r>
      <w:r>
        <w:instrText xml:space="preserve">" </w:instrText>
      </w:r>
      <w:r>
        <w:fldChar w:fldCharType="end"/>
      </w:r>
      <w:r w:rsidRPr="00E0356E">
        <w:t>)</w:t>
      </w:r>
      <w:r>
        <w:t xml:space="preserve"> </w:t>
      </w:r>
    </w:p>
  </w:footnote>
  <w:footnote w:id="56">
    <w:p w14:paraId="3371E81F" w14:textId="092ECBCA" w:rsidR="00CD2817" w:rsidRPr="0093385B" w:rsidRDefault="00CD2817">
      <w:pPr>
        <w:pStyle w:val="Textpoznpodarou"/>
        <w:rPr>
          <w:lang w:val="cs-CZ"/>
        </w:rPr>
      </w:pPr>
      <w:r>
        <w:rPr>
          <w:rStyle w:val="Znakapoznpodarou"/>
        </w:rPr>
        <w:footnoteRef/>
      </w:r>
      <w:r>
        <w:t xml:space="preserve"> </w:t>
      </w:r>
      <w:r>
        <w:rPr>
          <w:lang w:val="cs-CZ"/>
        </w:rPr>
        <w:t xml:space="preserve">V nově redigovaném spisu </w:t>
      </w:r>
      <w:r w:rsidRPr="00273106">
        <w:rPr>
          <w:i/>
          <w:iCs/>
        </w:rPr>
        <w:t>La logique, ou l'art de penser</w:t>
      </w:r>
      <w:r>
        <w:t xml:space="preserve"> </w:t>
      </w:r>
      <w:r>
        <w:rPr>
          <w:lang w:val="cs-CZ"/>
        </w:rPr>
        <w:t xml:space="preserve">(ed. 1763) je klíčová III. část, kap. 10. </w:t>
      </w:r>
      <w:r w:rsidRPr="00EB1DFD">
        <w:rPr>
          <w:lang w:val="cs-CZ"/>
        </w:rPr>
        <w:t>Karteziánská metoda je aplik</w:t>
      </w:r>
      <w:r>
        <w:rPr>
          <w:lang w:val="cs-CZ"/>
        </w:rPr>
        <w:t>ována na moderní logiku, v modu</w:t>
      </w:r>
      <w:r w:rsidRPr="00EB1DFD">
        <w:rPr>
          <w:lang w:val="cs-CZ"/>
        </w:rPr>
        <w:t xml:space="preserve"> </w:t>
      </w:r>
      <w:r w:rsidRPr="00EB1DFD">
        <w:rPr>
          <w:i/>
          <w:lang w:val="cs-CZ"/>
        </w:rPr>
        <w:t>more geometrico</w:t>
      </w:r>
      <w:r w:rsidRPr="00EB1DFD">
        <w:rPr>
          <w:lang w:val="cs-CZ"/>
        </w:rPr>
        <w:t xml:space="preserve">. Definice tzv. </w:t>
      </w:r>
      <w:r>
        <w:rPr>
          <w:lang w:val="cs-CZ"/>
        </w:rPr>
        <w:t>„</w:t>
      </w:r>
      <w:r w:rsidRPr="00EB1DFD">
        <w:rPr>
          <w:i/>
          <w:lang w:val="cs-CZ"/>
        </w:rPr>
        <w:t>proposition contenante</w:t>
      </w:r>
      <w:r>
        <w:rPr>
          <w:lang w:val="cs-CZ"/>
        </w:rPr>
        <w:t>“</w:t>
      </w:r>
      <w:r w:rsidRPr="00EB1DFD">
        <w:rPr>
          <w:lang w:val="cs-CZ"/>
        </w:rPr>
        <w:t xml:space="preserve"> využívá abstrakt</w:t>
      </w:r>
      <w:r>
        <w:rPr>
          <w:lang w:val="cs-CZ"/>
        </w:rPr>
        <w:t xml:space="preserve">ního dělení významů (viz škola </w:t>
      </w:r>
      <w:r w:rsidRPr="00EB1DFD">
        <w:rPr>
          <w:i/>
          <w:lang w:val="cs-CZ"/>
        </w:rPr>
        <w:t>Nominales</w:t>
      </w:r>
      <w:r w:rsidRPr="00EB1DFD">
        <w:rPr>
          <w:lang w:val="cs-CZ"/>
        </w:rPr>
        <w:t>) k nalezení poslední společné složky úsudku. Tento společný obsah musí být obsaže</w:t>
      </w:r>
      <w:r>
        <w:rPr>
          <w:lang w:val="cs-CZ"/>
        </w:rPr>
        <w:t>n ve všech částech úsudku. Pak „vědecký“</w:t>
      </w:r>
      <w:r w:rsidRPr="00EB1DFD">
        <w:rPr>
          <w:lang w:val="cs-CZ"/>
        </w:rPr>
        <w:t xml:space="preserve"> důkaz </w:t>
      </w:r>
      <w:r>
        <w:rPr>
          <w:lang w:val="cs-CZ"/>
        </w:rPr>
        <w:t xml:space="preserve">vytvořený </w:t>
      </w:r>
      <w:r w:rsidRPr="00EB1DFD">
        <w:rPr>
          <w:lang w:val="cs-CZ"/>
        </w:rPr>
        <w:t>dedukcí (</w:t>
      </w:r>
      <w:r w:rsidRPr="00EB1DFD">
        <w:rPr>
          <w:i/>
          <w:lang w:val="cs-CZ"/>
        </w:rPr>
        <w:t>demonstratio</w:t>
      </w:r>
      <w:r w:rsidRPr="00EB1DFD">
        <w:rPr>
          <w:lang w:val="cs-CZ"/>
        </w:rPr>
        <w:t xml:space="preserve">) nepotřebuje pro střední člen </w:t>
      </w:r>
      <w:r>
        <w:rPr>
          <w:lang w:val="cs-CZ"/>
        </w:rPr>
        <w:t xml:space="preserve">soudu </w:t>
      </w:r>
      <w:r w:rsidRPr="00EB1DFD">
        <w:rPr>
          <w:lang w:val="cs-CZ"/>
        </w:rPr>
        <w:t>(</w:t>
      </w:r>
      <w:r w:rsidRPr="00EB1DFD">
        <w:rPr>
          <w:i/>
          <w:lang w:val="cs-CZ"/>
        </w:rPr>
        <w:t>medium</w:t>
      </w:r>
      <w:r w:rsidRPr="00EB1DFD">
        <w:rPr>
          <w:lang w:val="cs-CZ"/>
        </w:rPr>
        <w:t>) aristotelskou kauzalitu prvních reálných substancí. Moderna používá pouze logicky určenou podstatu a individuum.</w:t>
      </w:r>
    </w:p>
  </w:footnote>
  <w:footnote w:id="57">
    <w:p w14:paraId="616C9C26" w14:textId="77777777" w:rsidR="00CD2817" w:rsidRPr="007043D9" w:rsidRDefault="00CD2817" w:rsidP="085E727E">
      <w:pPr>
        <w:pStyle w:val="Textpoznpodarou"/>
      </w:pPr>
      <w:r>
        <w:rPr>
          <w:rStyle w:val="Znakapoznpodarou"/>
        </w:rPr>
        <w:footnoteRef/>
      </w:r>
      <w:r>
        <w:t xml:space="preserve"> Saussurův známý příklad strukturální diference zakládá hodnotu (</w:t>
      </w:r>
      <w:r w:rsidRPr="007043D9">
        <w:rPr>
          <w:i/>
        </w:rPr>
        <w:t>valeur</w:t>
      </w:r>
      <w:r>
        <w:t>) pouze díky diferenci uvnitř systému znaků. Genitiv plurálu českého slova „žena“ („žen“) je stejná jako kořen slova („žen“). Lingvistickou hodnotu zakládá pouhý fakt, že jde o jedinečný případ skloňování odlišného od všech ostatních pádů, díky neexistenci koncovky (Saussure 1972, 123).</w:t>
      </w:r>
    </w:p>
  </w:footnote>
  <w:footnote w:id="58">
    <w:p w14:paraId="1EAF37A5" w14:textId="77777777" w:rsidR="00CD2817" w:rsidRPr="00215BA5" w:rsidRDefault="00CD2817" w:rsidP="00FA1823">
      <w:pPr>
        <w:pStyle w:val="Textpoznpodarou"/>
        <w:rPr>
          <w:iCs/>
        </w:rPr>
      </w:pPr>
      <w:r>
        <w:rPr>
          <w:rStyle w:val="Znakapoznpodarou"/>
        </w:rPr>
        <w:footnoteRef/>
      </w:r>
      <w:r>
        <w:t xml:space="preserve"> Esej </w:t>
      </w:r>
      <w:r>
        <w:rPr>
          <w:i/>
          <w:iCs/>
        </w:rPr>
        <w:t>La différance</w:t>
      </w:r>
      <w:r>
        <w:rPr>
          <w:iCs/>
          <w:lang w:val="cs-CZ"/>
        </w:rPr>
        <w:t xml:space="preserve"> </w:t>
      </w:r>
      <w:r>
        <w:rPr>
          <w:iCs/>
        </w:rPr>
        <w:t>(1968) už tento princip dělení propracovává v návaznosti na polemiku s Husserlovým pojetím čistého noematického významu daného mimo jazyk (</w:t>
      </w:r>
      <w:r w:rsidRPr="00016D7F">
        <w:rPr>
          <w:i/>
          <w:iCs/>
        </w:rPr>
        <w:t>La Voix et le phénomène</w:t>
      </w:r>
      <w:r>
        <w:rPr>
          <w:lang w:val="cs-CZ"/>
        </w:rPr>
        <w:t xml:space="preserve"> </w:t>
      </w:r>
      <w:r>
        <w:t>1967</w:t>
      </w:r>
      <w:r>
        <w:rPr>
          <w:iCs/>
        </w:rPr>
        <w:t xml:space="preserve">). </w:t>
      </w:r>
      <w:r>
        <w:rPr>
          <w:iCs/>
          <w:lang w:val="cs-CZ"/>
        </w:rPr>
        <w:t xml:space="preserve">Nakonec </w:t>
      </w:r>
      <w:r>
        <w:rPr>
          <w:iCs/>
        </w:rPr>
        <w:t xml:space="preserve">povyšuje původní diferenciaci významu na ontologický princip reality, viz pojmy jako </w:t>
      </w:r>
      <w:r w:rsidRPr="00215BA5">
        <w:rPr>
          <w:i/>
          <w:iCs/>
        </w:rPr>
        <w:t>trace</w:t>
      </w:r>
      <w:r>
        <w:rPr>
          <w:iCs/>
        </w:rPr>
        <w:t xml:space="preserve"> a </w:t>
      </w:r>
      <w:r w:rsidRPr="00215BA5">
        <w:rPr>
          <w:i/>
          <w:iCs/>
        </w:rPr>
        <w:t>dissémination</w:t>
      </w:r>
      <w:r>
        <w:rPr>
          <w:iCs/>
        </w:rPr>
        <w:t xml:space="preserve"> chápané v rámci fenomenologie (</w:t>
      </w:r>
      <w:r>
        <w:rPr>
          <w:i/>
          <w:iCs/>
        </w:rPr>
        <w:t>Marges – de la philosophie</w:t>
      </w:r>
      <w:r>
        <w:rPr>
          <w:lang w:val="cs-CZ"/>
        </w:rPr>
        <w:t xml:space="preserve"> </w:t>
      </w:r>
      <w:r>
        <w:t>1972</w:t>
      </w:r>
      <w:r>
        <w:rPr>
          <w:iCs/>
        </w:rPr>
        <w:t>).</w:t>
      </w:r>
    </w:p>
  </w:footnote>
  <w:footnote w:id="59">
    <w:p w14:paraId="42F6869D" w14:textId="77777777" w:rsidR="00CD2817" w:rsidRPr="004F7FAC" w:rsidRDefault="00CD2817" w:rsidP="08885189">
      <w:pPr>
        <w:pStyle w:val="Textpoznpodarou"/>
      </w:pPr>
      <w:r>
        <w:rPr>
          <w:rStyle w:val="Znakapoznpodarou"/>
        </w:rPr>
        <w:footnoteRef/>
      </w:r>
      <w:r>
        <w:t xml:space="preserve"> </w:t>
      </w:r>
      <w:r w:rsidRPr="004F7FAC">
        <w:t>„</w:t>
      </w:r>
      <w:r w:rsidRPr="004F7FAC">
        <w:rPr>
          <w:szCs w:val="19"/>
        </w:rPr>
        <w:t xml:space="preserve">Item. Tertio modo sumitur </w:t>
      </w:r>
      <w:r w:rsidRPr="004F7FAC">
        <w:rPr>
          <w:szCs w:val="18"/>
        </w:rPr>
        <w:t>'</w:t>
      </w:r>
      <w:r w:rsidRPr="004F7FAC">
        <w:rPr>
          <w:i/>
          <w:szCs w:val="18"/>
        </w:rPr>
        <w:t>possibile</w:t>
      </w:r>
      <w:r w:rsidRPr="004F7FAC">
        <w:rPr>
          <w:szCs w:val="18"/>
        </w:rPr>
        <w:t xml:space="preserve">' </w:t>
      </w:r>
      <w:r w:rsidRPr="004F7FAC">
        <w:rPr>
          <w:szCs w:val="19"/>
        </w:rPr>
        <w:t xml:space="preserve">secundum quod predicabile est de omni dicto et solum de tali dicto quod potest esse verum, sive sit necessarium sive contingens. Et sic est possibile superius et quasi genus ad hec duo, scilicet </w:t>
      </w:r>
      <w:r w:rsidRPr="004F7FAC">
        <w:rPr>
          <w:i/>
          <w:szCs w:val="18"/>
        </w:rPr>
        <w:t>necessarium</w:t>
      </w:r>
      <w:r w:rsidRPr="004F7FAC">
        <w:rPr>
          <w:szCs w:val="18"/>
        </w:rPr>
        <w:t xml:space="preserve"> </w:t>
      </w:r>
      <w:r w:rsidRPr="004F7FAC">
        <w:rPr>
          <w:szCs w:val="19"/>
        </w:rPr>
        <w:t xml:space="preserve">et </w:t>
      </w:r>
      <w:r w:rsidRPr="004F7FAC">
        <w:rPr>
          <w:i/>
          <w:szCs w:val="18"/>
        </w:rPr>
        <w:t>contingens</w:t>
      </w:r>
      <w:r w:rsidRPr="004F7FAC">
        <w:rPr>
          <w:szCs w:val="18"/>
        </w:rPr>
        <w:t xml:space="preserve">. </w:t>
      </w:r>
      <w:r w:rsidRPr="004F7FAC">
        <w:rPr>
          <w:szCs w:val="19"/>
        </w:rPr>
        <w:t xml:space="preserve">Et in illa acceptione facit propositionem modalem. Item. </w:t>
      </w:r>
      <w:r w:rsidRPr="004F7FAC">
        <w:rPr>
          <w:szCs w:val="18"/>
        </w:rPr>
        <w:t>'</w:t>
      </w:r>
      <w:r w:rsidRPr="004F7FAC">
        <w:rPr>
          <w:i/>
          <w:szCs w:val="18"/>
        </w:rPr>
        <w:t>Contingens</w:t>
      </w:r>
      <w:r w:rsidRPr="004F7FAC">
        <w:rPr>
          <w:szCs w:val="18"/>
        </w:rPr>
        <w:t xml:space="preserve">' </w:t>
      </w:r>
      <w:r w:rsidRPr="004F7FAC">
        <w:rPr>
          <w:szCs w:val="19"/>
        </w:rPr>
        <w:t xml:space="preserve">in una significatione convertitur cum </w:t>
      </w:r>
      <w:r w:rsidRPr="004F7FAC">
        <w:rPr>
          <w:szCs w:val="18"/>
        </w:rPr>
        <w:t>'</w:t>
      </w:r>
      <w:r w:rsidRPr="004F7FAC">
        <w:rPr>
          <w:i/>
          <w:szCs w:val="18"/>
        </w:rPr>
        <w:t>possibili</w:t>
      </w:r>
      <w:r w:rsidRPr="004F7FAC">
        <w:rPr>
          <w:szCs w:val="18"/>
        </w:rPr>
        <w:t xml:space="preserve">'; </w:t>
      </w:r>
      <w:r w:rsidRPr="004F7FAC">
        <w:rPr>
          <w:szCs w:val="19"/>
        </w:rPr>
        <w:t xml:space="preserve">et tunc non repugnat </w:t>
      </w:r>
      <w:r w:rsidRPr="004F7FAC">
        <w:rPr>
          <w:szCs w:val="18"/>
        </w:rPr>
        <w:t>'</w:t>
      </w:r>
      <w:r w:rsidRPr="004F7FAC">
        <w:rPr>
          <w:i/>
          <w:szCs w:val="18"/>
        </w:rPr>
        <w:t>necessario</w:t>
      </w:r>
      <w:r w:rsidRPr="004F7FAC">
        <w:rPr>
          <w:szCs w:val="18"/>
        </w:rPr>
        <w:t xml:space="preserve">', </w:t>
      </w:r>
      <w:r w:rsidRPr="004F7FAC">
        <w:rPr>
          <w:szCs w:val="19"/>
        </w:rPr>
        <w:t xml:space="preserve">sed est supra ipsum, sicut et </w:t>
      </w:r>
      <w:r w:rsidRPr="004F7FAC">
        <w:rPr>
          <w:szCs w:val="18"/>
        </w:rPr>
        <w:t>'</w:t>
      </w:r>
      <w:r w:rsidRPr="004F7FAC">
        <w:rPr>
          <w:i/>
          <w:szCs w:val="18"/>
        </w:rPr>
        <w:t>possibile</w:t>
      </w:r>
      <w:r w:rsidRPr="004F7FAC">
        <w:rPr>
          <w:szCs w:val="18"/>
        </w:rPr>
        <w:t xml:space="preserve">'. </w:t>
      </w:r>
      <w:r w:rsidRPr="004F7FAC">
        <w:rPr>
          <w:szCs w:val="19"/>
        </w:rPr>
        <w:t xml:space="preserve">Et tunc sic exponitur: </w:t>
      </w:r>
      <w:r w:rsidRPr="004F7FAC">
        <w:rPr>
          <w:i/>
          <w:szCs w:val="18"/>
        </w:rPr>
        <w:t>contingens est quod potens est tantum esse</w:t>
      </w:r>
      <w:r w:rsidRPr="004F7FAC">
        <w:rPr>
          <w:szCs w:val="18"/>
        </w:rPr>
        <w:t>.“</w:t>
      </w:r>
      <w:r>
        <w:rPr>
          <w:szCs w:val="18"/>
        </w:rPr>
        <w:t xml:space="preserve"> (</w:t>
      </w:r>
      <w:r w:rsidRPr="000969FC">
        <w:rPr>
          <w:i/>
          <w:szCs w:val="18"/>
        </w:rPr>
        <w:t>Logica Modernorum II</w:t>
      </w:r>
      <w:r>
        <w:rPr>
          <w:szCs w:val="18"/>
        </w:rPr>
        <w:t>, ed. Rijk, p. 481.9‒16</w:t>
      </w:r>
      <w:r>
        <w:rPr>
          <w:szCs w:val="18"/>
        </w:rPr>
        <w:fldChar w:fldCharType="begin"/>
      </w:r>
      <w:r>
        <w:instrText xml:space="preserve"> XE "</w:instrText>
      </w:r>
      <w:r>
        <w:rPr>
          <w:i/>
          <w:szCs w:val="18"/>
        </w:rPr>
        <w:instrText>Logica Modernorum</w:instrText>
      </w:r>
      <w:r>
        <w:rPr>
          <w:i/>
          <w:szCs w:val="18"/>
          <w:lang w:val="cs-CZ"/>
        </w:rPr>
        <w:instrText xml:space="preserve"> II</w:instrText>
      </w:r>
      <w:r>
        <w:rPr>
          <w:szCs w:val="18"/>
          <w:lang w:val="cs-CZ"/>
        </w:rPr>
        <w:instrText xml:space="preserve">: </w:instrText>
      </w:r>
      <w:r w:rsidRPr="00273106">
        <w:rPr>
          <w:i/>
        </w:rPr>
        <w:instrText>Dialectica monacensis</w:instrText>
      </w:r>
      <w:r w:rsidRPr="00273106">
        <w:instrText xml:space="preserve"> </w:instrText>
      </w:r>
      <w:r w:rsidRPr="00C75E08">
        <w:rPr>
          <w:szCs w:val="18"/>
        </w:rPr>
        <w:instrText>481.9‒16</w:instrText>
      </w:r>
      <w:r>
        <w:instrText xml:space="preserve">" </w:instrText>
      </w:r>
      <w:r>
        <w:rPr>
          <w:szCs w:val="18"/>
        </w:rPr>
        <w:fldChar w:fldCharType="end"/>
      </w:r>
      <w:r>
        <w:rPr>
          <w:szCs w:val="18"/>
        </w:rPr>
        <w:t>)</w:t>
      </w:r>
    </w:p>
  </w:footnote>
  <w:footnote w:id="60">
    <w:p w14:paraId="06970E6E" w14:textId="77777777" w:rsidR="00CD2817" w:rsidRPr="009F1F88" w:rsidRDefault="00CD2817" w:rsidP="00CF0F8B">
      <w:pPr>
        <w:pStyle w:val="Textpoznpodarou"/>
      </w:pPr>
      <w:r>
        <w:rPr>
          <w:rStyle w:val="Znakapoznpodarou"/>
        </w:rPr>
        <w:footnoteRef/>
      </w:r>
      <w:r>
        <w:t xml:space="preserve"> „</w:t>
      </w:r>
      <w:r w:rsidRPr="005453FF">
        <w:t xml:space="preserve">Ille ideas ponit, Platonem aemulatus, et imitans Bernardum Carnotensem, et </w:t>
      </w:r>
      <w:r w:rsidRPr="00470AE8">
        <w:t>nihil praeter eas, genus dicit esse vel speciem</w:t>
      </w:r>
      <w:r w:rsidRPr="005453FF">
        <w:t>.</w:t>
      </w:r>
      <w:r>
        <w:t>“ (</w:t>
      </w:r>
      <w:r w:rsidRPr="08B831D6">
        <w:rPr>
          <w:i/>
        </w:rPr>
        <w:t>Metalogicon</w:t>
      </w:r>
      <w:r>
        <w:t xml:space="preserve"> </w:t>
      </w:r>
      <w:r>
        <w:rPr>
          <w:lang w:val="cs-CZ"/>
        </w:rPr>
        <w:t>2</w:t>
      </w:r>
      <w:r>
        <w:t>.17; PL 199, 875A</w:t>
      </w:r>
      <w:r>
        <w:fldChar w:fldCharType="begin"/>
      </w:r>
      <w:r>
        <w:instrText xml:space="preserve"> XE "</w:instrText>
      </w:r>
      <w:r>
        <w:rPr>
          <w:lang w:val="cs-CZ"/>
        </w:rPr>
        <w:instrText>Jan ze Salisbury:</w:instrText>
      </w:r>
      <w:r w:rsidRPr="009544A4">
        <w:rPr>
          <w:i/>
        </w:rPr>
        <w:instrText>Metalogicon</w:instrText>
      </w:r>
      <w:r w:rsidRPr="009544A4">
        <w:instrText xml:space="preserve"> </w:instrText>
      </w:r>
      <w:r>
        <w:instrText xml:space="preserve">PL 199, 875A" </w:instrText>
      </w:r>
      <w:r>
        <w:fldChar w:fldCharType="end"/>
      </w:r>
      <w:r>
        <w:t>)</w:t>
      </w:r>
    </w:p>
  </w:footnote>
  <w:footnote w:id="61">
    <w:p w14:paraId="6C1139D2" w14:textId="77777777" w:rsidR="00CD2817" w:rsidRPr="006B6B3E" w:rsidRDefault="00CD2817" w:rsidP="00A10E81">
      <w:pPr>
        <w:pStyle w:val="Textpoznpodarou"/>
      </w:pPr>
      <w:r>
        <w:rPr>
          <w:rStyle w:val="Znakapoznpodarou"/>
        </w:rPr>
        <w:footnoteRef/>
      </w:r>
      <w:r>
        <w:t xml:space="preserve"> </w:t>
      </w:r>
      <w:r w:rsidRPr="08ED3541">
        <w:t>„Sed quia impossibile substantialia non esse, existentibus his quorum sunt substantialia, denuo colligunt, universalia singularibus, quod ad essentiam, unienda. Partiuntur itaque status duce Gautero de Mauritania, et Platonem, in eo quod Plato est, dicunt individuum;</w:t>
      </w:r>
      <w:r w:rsidRPr="005453FF">
        <w:t xml:space="preserve"> in eo quod homo, speciem: in eo quod animal, genus; sed subalternum: in eo quod substantia, generalissimum.</w:t>
      </w:r>
      <w:r>
        <w:t>“ (</w:t>
      </w:r>
      <w:r w:rsidRPr="08ED3541">
        <w:rPr>
          <w:i/>
        </w:rPr>
        <w:t>Metalogicon</w:t>
      </w:r>
      <w:r>
        <w:t xml:space="preserve"> </w:t>
      </w:r>
      <w:r>
        <w:rPr>
          <w:lang w:val="cs-CZ"/>
        </w:rPr>
        <w:t>2</w:t>
      </w:r>
      <w:r>
        <w:t>.17; PL 199, 875A</w:t>
      </w:r>
      <w:r>
        <w:fldChar w:fldCharType="begin"/>
      </w:r>
      <w:r>
        <w:instrText xml:space="preserve"> XE "</w:instrText>
      </w:r>
      <w:r>
        <w:rPr>
          <w:lang w:val="cs-CZ"/>
        </w:rPr>
        <w:instrText>Jan ze Salisbury:</w:instrText>
      </w:r>
      <w:r w:rsidRPr="009544A4">
        <w:rPr>
          <w:i/>
        </w:rPr>
        <w:instrText>Metalogicon</w:instrText>
      </w:r>
      <w:r w:rsidRPr="009544A4">
        <w:instrText xml:space="preserve"> </w:instrText>
      </w:r>
      <w:r>
        <w:instrText>PL 199,</w:instrText>
      </w:r>
      <w:r>
        <w:rPr>
          <w:lang w:val="cs-CZ"/>
        </w:rPr>
        <w:instrText xml:space="preserve"> </w:instrText>
      </w:r>
      <w:r>
        <w:instrText xml:space="preserve">875A" </w:instrText>
      </w:r>
      <w:r>
        <w:fldChar w:fldCharType="end"/>
      </w:r>
      <w:r>
        <w:t>)</w:t>
      </w:r>
    </w:p>
  </w:footnote>
  <w:footnote w:id="62">
    <w:p w14:paraId="6BE41F67" w14:textId="77777777" w:rsidR="00CD2817" w:rsidRPr="008F0575" w:rsidRDefault="00CD2817" w:rsidP="00070420">
      <w:pPr>
        <w:pStyle w:val="Textpoznpodarou"/>
      </w:pPr>
      <w:r>
        <w:rPr>
          <w:rStyle w:val="Znakapoznpodarou"/>
        </w:rPr>
        <w:footnoteRef/>
      </w:r>
      <w:r>
        <w:t xml:space="preserve"> „</w:t>
      </w:r>
      <w:r>
        <w:rPr>
          <w:color w:val="000000"/>
        </w:rPr>
        <w:t>Dicitur enim generalissimum quidem de omnibus sub se generibus speciebusque et de individuis, genus autem quod ante specialissimum est, de omnibus specialissimis (</w:t>
      </w:r>
      <w:r>
        <w:t>ἰδιότητες</w:t>
      </w:r>
      <w:r>
        <w:rPr>
          <w:color w:val="000000"/>
        </w:rPr>
        <w:t>) et de individuis, solum autem species de omnibus individuis, individuum autem de uno solo particulari.</w:t>
      </w:r>
      <w:r>
        <w:t>“ (</w:t>
      </w:r>
      <w:r w:rsidRPr="082F0EAD">
        <w:rPr>
          <w:i/>
          <w:lang w:val="cs-CZ"/>
        </w:rPr>
        <w:t xml:space="preserve">In Porph. </w:t>
      </w:r>
      <w:r w:rsidRPr="082F0EAD">
        <w:rPr>
          <w:i/>
        </w:rPr>
        <w:t>Isag.</w:t>
      </w:r>
      <w:r>
        <w:t xml:space="preserve"> 2.14</w:t>
      </w:r>
      <w:r>
        <w:fldChar w:fldCharType="begin"/>
      </w:r>
      <w:r>
        <w:instrText xml:space="preserve"> XE "</w:instrText>
      </w:r>
      <w:r>
        <w:rPr>
          <w:lang w:val="cs-CZ"/>
        </w:rPr>
        <w:instrText>Boethius:</w:instrText>
      </w:r>
      <w:r w:rsidRPr="082F0EAD">
        <w:rPr>
          <w:i/>
          <w:lang w:val="cs-CZ"/>
        </w:rPr>
        <w:instrText xml:space="preserve">In Porph. </w:instrText>
      </w:r>
      <w:r w:rsidRPr="082F0EAD">
        <w:rPr>
          <w:i/>
        </w:rPr>
        <w:instrText>Isag.</w:instrText>
      </w:r>
      <w:r w:rsidRPr="00BF086D">
        <w:instrText xml:space="preserve"> 2.14</w:instrText>
      </w:r>
      <w:r>
        <w:instrText xml:space="preserve">" </w:instrText>
      </w:r>
      <w:r>
        <w:fldChar w:fldCharType="end"/>
      </w:r>
      <w:r>
        <w:t xml:space="preserve">, ed. Libera, p. 9). </w:t>
      </w:r>
    </w:p>
  </w:footnote>
  <w:footnote w:id="63">
    <w:p w14:paraId="2995A4D6" w14:textId="77777777" w:rsidR="00CD2817" w:rsidRPr="003D52A0" w:rsidRDefault="00CD2817" w:rsidP="00070420">
      <w:pPr>
        <w:pStyle w:val="Textpoznpodarou"/>
      </w:pPr>
      <w:r>
        <w:rPr>
          <w:rStyle w:val="Znakapoznpodarou"/>
        </w:rPr>
        <w:footnoteRef/>
      </w:r>
      <w:r>
        <w:t xml:space="preserve"> „</w:t>
      </w:r>
      <w:r w:rsidRPr="003D52A0">
        <w:t>Est autem generalissimum quidem super quod nullum ultra aliud sit superveniens genus, specialissimum autem post quod non erit alia inferior species; inter generalissimum autem et specialissimum et genera et species sunt eadem, ad aliud quidem et aliud sumpta.</w:t>
      </w:r>
      <w:r>
        <w:t>“ (</w:t>
      </w:r>
      <w:r w:rsidRPr="082F0EAD">
        <w:rPr>
          <w:i/>
          <w:lang w:val="cs-CZ"/>
        </w:rPr>
        <w:t>In Porph. Isag</w:t>
      </w:r>
      <w:r>
        <w:rPr>
          <w:lang w:val="cs-CZ"/>
        </w:rPr>
        <w:t xml:space="preserve">. </w:t>
      </w:r>
      <w:r>
        <w:t>2.14</w:t>
      </w:r>
      <w:r>
        <w:fldChar w:fldCharType="begin"/>
      </w:r>
      <w:r>
        <w:instrText xml:space="preserve"> XE "</w:instrText>
      </w:r>
      <w:r>
        <w:rPr>
          <w:lang w:val="cs-CZ"/>
        </w:rPr>
        <w:instrText>Boethius:</w:instrText>
      </w:r>
      <w:r w:rsidRPr="082F0EAD">
        <w:rPr>
          <w:i/>
          <w:lang w:val="cs-CZ"/>
        </w:rPr>
        <w:instrText xml:space="preserve">In Porph. </w:instrText>
      </w:r>
      <w:r w:rsidRPr="082F0EAD">
        <w:rPr>
          <w:i/>
        </w:rPr>
        <w:instrText>Isag.</w:instrText>
      </w:r>
      <w:r w:rsidRPr="00BF086D">
        <w:instrText xml:space="preserve"> 2.14</w:instrText>
      </w:r>
      <w:r>
        <w:instrText xml:space="preserve">" </w:instrText>
      </w:r>
      <w:r>
        <w:fldChar w:fldCharType="end"/>
      </w:r>
      <w:r>
        <w:t>, ed. Libera, p. 8)</w:t>
      </w:r>
    </w:p>
  </w:footnote>
  <w:footnote w:id="64">
    <w:p w14:paraId="6CE1674D" w14:textId="77777777" w:rsidR="00CD2817" w:rsidRPr="00DD5A22" w:rsidRDefault="00CD2817">
      <w:pPr>
        <w:pStyle w:val="Textpoznpodarou"/>
      </w:pPr>
      <w:r>
        <w:rPr>
          <w:rStyle w:val="Znakapoznpodarou"/>
        </w:rPr>
        <w:footnoteRef/>
      </w:r>
      <w:r>
        <w:t xml:space="preserve"> „</w:t>
      </w:r>
      <w:r w:rsidRPr="005B54A4">
        <w:t>Considerant enim triplicem nominum significationem: unam in substantia, secundam in qualitate, terciam id quod nominatur, quod in substantiuis et adiectiuis discrete uideamus. Socrates hoc nomen substantiam habet specialem naturam hominis, qualitatem eandem quam superius diximus, nominat uero indiuiduam rem cui positum est.“ (</w:t>
      </w:r>
      <w:r w:rsidRPr="005B54A4">
        <w:rPr>
          <w:i/>
        </w:rPr>
        <w:t>Tractatus</w:t>
      </w:r>
      <w:r w:rsidRPr="005B54A4">
        <w:t xml:space="preserve">, MS Vat. </w:t>
      </w:r>
      <w:r>
        <w:rPr>
          <w:lang w:val="cs-CZ"/>
        </w:rPr>
        <w:t>L</w:t>
      </w:r>
      <w:r w:rsidRPr="005B54A4">
        <w:t>at. 1486, f. 17ra</w:t>
      </w:r>
      <w:r>
        <w:t xml:space="preserve">, </w:t>
      </w:r>
      <w:r w:rsidRPr="005B54A4">
        <w:t>cit. podle Kneepkens 1992, 48</w:t>
      </w:r>
      <w:r>
        <w:fldChar w:fldCharType="begin"/>
      </w:r>
      <w:r>
        <w:instrText xml:space="preserve"> XE "</w:instrText>
      </w:r>
      <w:r w:rsidRPr="000A04F9">
        <w:rPr>
          <w:i/>
        </w:rPr>
        <w:instrText>Tractatus</w:instrText>
      </w:r>
      <w:r>
        <w:instrText xml:space="preserve">, MS Vat. </w:instrText>
      </w:r>
      <w:r>
        <w:rPr>
          <w:lang w:val="cs-CZ"/>
        </w:rPr>
        <w:instrText>L</w:instrText>
      </w:r>
      <w:r w:rsidRPr="000A04F9">
        <w:instrText>at. 1486, f. 17ra</w:instrText>
      </w:r>
      <w:r>
        <w:instrText xml:space="preserve">" </w:instrText>
      </w:r>
      <w:r>
        <w:fldChar w:fldCharType="end"/>
      </w:r>
      <w:r w:rsidRPr="005B54A4">
        <w:t>)</w:t>
      </w:r>
    </w:p>
  </w:footnote>
  <w:footnote w:id="65">
    <w:p w14:paraId="1E44F2B4" w14:textId="77777777" w:rsidR="00CD2817" w:rsidRPr="00D44209" w:rsidRDefault="00CD2817" w:rsidP="00E14806">
      <w:pPr>
        <w:pStyle w:val="Textpoznpodarou"/>
      </w:pPr>
      <w:r>
        <w:rPr>
          <w:rStyle w:val="Znakapoznpodarou"/>
        </w:rPr>
        <w:footnoteRef/>
      </w:r>
      <w:r>
        <w:t xml:space="preserve"> „</w:t>
      </w:r>
      <w:r w:rsidRPr="005B54A4">
        <w:t>Similiter homo substantiam habet animal ipsum, qualitatem quam prius, nominat uero specialem rem cui et datum est. Ita et alia substantiua substantiam habent materiam rei quam nominant uel quasi materiam, qualitatem id quod redigit materiam in id quod nominatur.“ (</w:t>
      </w:r>
      <w:r w:rsidRPr="005B54A4">
        <w:rPr>
          <w:i/>
        </w:rPr>
        <w:t>Tractatus</w:t>
      </w:r>
      <w:r>
        <w:t xml:space="preserve">, MS Vat. </w:t>
      </w:r>
      <w:r>
        <w:rPr>
          <w:lang w:val="cs-CZ"/>
        </w:rPr>
        <w:t>L</w:t>
      </w:r>
      <w:r w:rsidRPr="005B54A4">
        <w:t>at. 1486, f. 17ra</w:t>
      </w:r>
      <w:r>
        <w:fldChar w:fldCharType="begin"/>
      </w:r>
      <w:r>
        <w:instrText xml:space="preserve"> XE "</w:instrText>
      </w:r>
      <w:r w:rsidRPr="006D52BE">
        <w:rPr>
          <w:i/>
        </w:rPr>
        <w:instrText>Tractatus</w:instrText>
      </w:r>
      <w:r w:rsidRPr="006D52BE">
        <w:instrText xml:space="preserve">, MS Vat. </w:instrText>
      </w:r>
      <w:r w:rsidRPr="006D52BE">
        <w:rPr>
          <w:lang w:val="cs-CZ"/>
        </w:rPr>
        <w:instrText>L</w:instrText>
      </w:r>
      <w:r w:rsidRPr="006D52BE">
        <w:instrText>at. 1486, f. 17ra</w:instrText>
      </w:r>
      <w:r>
        <w:instrText xml:space="preserve">" </w:instrText>
      </w:r>
      <w:r>
        <w:fldChar w:fldCharType="end"/>
      </w:r>
      <w:r>
        <w:t xml:space="preserve">, </w:t>
      </w:r>
      <w:r w:rsidRPr="005B54A4">
        <w:t>cit. podle Kneepkens 1992, 48)</w:t>
      </w:r>
    </w:p>
  </w:footnote>
  <w:footnote w:id="66">
    <w:p w14:paraId="561FB570" w14:textId="77777777" w:rsidR="00CD2817" w:rsidRPr="0047651E" w:rsidRDefault="00CD2817" w:rsidP="08D82359">
      <w:pPr>
        <w:pStyle w:val="Textpoznpodarou"/>
      </w:pPr>
      <w:r>
        <w:rPr>
          <w:rStyle w:val="Znakapoznpodarou"/>
        </w:rPr>
        <w:footnoteRef/>
      </w:r>
      <w:r>
        <w:t xml:space="preserve"> </w:t>
      </w:r>
      <w:r>
        <w:rPr>
          <w:color w:val="000000"/>
        </w:rPr>
        <w:t>„At nonne etiam alba, in eo quod sunt, alba esse oportebit ea quae</w:t>
      </w:r>
      <w:r w:rsidRPr="009B5988">
        <w:rPr>
          <w:color w:val="000000"/>
        </w:rPr>
        <w:t xml:space="preserve"> </w:t>
      </w:r>
      <w:r>
        <w:rPr>
          <w:color w:val="000000"/>
        </w:rPr>
        <w:t>alba sunt, quoniam ex voluntate Dei fluxerunt, ut essent alba? Minime. Aliud est enim esse, et aliud alba esse...“ (</w:t>
      </w:r>
      <w:r w:rsidRPr="001E2AC3">
        <w:rPr>
          <w:i/>
        </w:rPr>
        <w:t>Quomodo substantitae</w:t>
      </w:r>
      <w:r>
        <w:rPr>
          <w:lang w:val="cs-CZ"/>
        </w:rPr>
        <w:t xml:space="preserve"> </w:t>
      </w:r>
      <w:r w:rsidRPr="007A3BB7">
        <w:rPr>
          <w:i/>
          <w:lang w:val="cs-CZ"/>
        </w:rPr>
        <w:t>bona sunt</w:t>
      </w:r>
      <w:r>
        <w:t xml:space="preserve">, </w:t>
      </w:r>
      <w:r>
        <w:rPr>
          <w:color w:val="000000"/>
        </w:rPr>
        <w:t>PL 64, 1314A</w:t>
      </w:r>
      <w:r>
        <w:rPr>
          <w:color w:val="000000"/>
        </w:rPr>
        <w:fldChar w:fldCharType="begin"/>
      </w:r>
      <w:r>
        <w:instrText xml:space="preserve"> XE "</w:instrText>
      </w:r>
      <w:r>
        <w:rPr>
          <w:lang w:val="cs-CZ"/>
        </w:rPr>
        <w:instrText>Boethius:</w:instrText>
      </w:r>
      <w:r w:rsidRPr="0065630E">
        <w:rPr>
          <w:i/>
        </w:rPr>
        <w:instrText>Quomodo substantitae</w:instrText>
      </w:r>
      <w:r w:rsidRPr="0065630E">
        <w:rPr>
          <w:lang w:val="cs-CZ"/>
        </w:rPr>
        <w:instrText xml:space="preserve"> </w:instrText>
      </w:r>
      <w:r w:rsidRPr="00E56DF5">
        <w:rPr>
          <w:i/>
          <w:lang w:val="cs-CZ"/>
        </w:rPr>
        <w:instrText>in eo quod sint, bona</w:instrText>
      </w:r>
      <w:r>
        <w:rPr>
          <w:i/>
          <w:lang w:val="cs-CZ"/>
        </w:rPr>
        <w:instrText>e</w:instrText>
      </w:r>
      <w:r w:rsidRPr="00E56DF5">
        <w:rPr>
          <w:i/>
          <w:lang w:val="cs-CZ"/>
        </w:rPr>
        <w:instrText xml:space="preserve"> sint</w:instrText>
      </w:r>
      <w:r w:rsidRPr="0065630E">
        <w:rPr>
          <w:color w:val="000000"/>
        </w:rPr>
        <w:instrText xml:space="preserve"> </w:instrText>
      </w:r>
      <w:r>
        <w:rPr>
          <w:color w:val="000000"/>
        </w:rPr>
        <w:instrText xml:space="preserve">PL 64, </w:instrText>
      </w:r>
      <w:r w:rsidRPr="0065630E">
        <w:rPr>
          <w:color w:val="000000"/>
        </w:rPr>
        <w:instrText>1314A</w:instrText>
      </w:r>
      <w:r>
        <w:instrText xml:space="preserve">" </w:instrText>
      </w:r>
      <w:r>
        <w:rPr>
          <w:color w:val="000000"/>
        </w:rPr>
        <w:fldChar w:fldCharType="end"/>
      </w:r>
      <w:r>
        <w:rPr>
          <w:color w:val="000000"/>
        </w:rPr>
        <w:t>)</w:t>
      </w:r>
    </w:p>
  </w:footnote>
  <w:footnote w:id="67">
    <w:p w14:paraId="19805F8F" w14:textId="77777777" w:rsidR="00CD2817" w:rsidRPr="009F581D" w:rsidRDefault="00CD2817" w:rsidP="08E649FF">
      <w:pPr>
        <w:pStyle w:val="Textpoznpodarou"/>
        <w:rPr>
          <w:lang w:val="cs-CZ"/>
        </w:rPr>
      </w:pPr>
      <w:r>
        <w:rPr>
          <w:rStyle w:val="Znakapoznpodarou"/>
        </w:rPr>
        <w:footnoteRef/>
      </w:r>
      <w:r>
        <w:t xml:space="preserve"> </w:t>
      </w:r>
      <w:r>
        <w:rPr>
          <w:lang w:val="cs-CZ"/>
        </w:rPr>
        <w:t>„S</w:t>
      </w:r>
      <w:r>
        <w:t>ic mens nostra, qui est oculus animae, nisi veritatis lumine radietur, et ab illo qui illuminat nec illuminatur, mirabiliter illustretur, nec ad sapientiam nec ad iustitiam poterit pervenire.</w:t>
      </w:r>
      <w:r>
        <w:rPr>
          <w:lang w:val="cs-CZ"/>
        </w:rPr>
        <w:t>“ (</w:t>
      </w:r>
      <w:r>
        <w:rPr>
          <w:i/>
        </w:rPr>
        <w:t>In Ev. Joh</w:t>
      </w:r>
      <w:r w:rsidRPr="009F581D">
        <w:t>.</w:t>
      </w:r>
      <w:r w:rsidRPr="009F581D">
        <w:rPr>
          <w:lang w:val="cs-CZ"/>
        </w:rPr>
        <w:t xml:space="preserve">, tract. </w:t>
      </w:r>
      <w:r w:rsidRPr="009F581D">
        <w:t>35</w:t>
      </w:r>
      <w:r>
        <w:rPr>
          <w:lang w:val="cs-CZ"/>
        </w:rPr>
        <w:t>.8.3</w:t>
      </w:r>
      <w:r w:rsidRPr="009F581D">
        <w:rPr>
          <w:lang w:val="cs-CZ"/>
        </w:rPr>
        <w:t xml:space="preserve">; </w:t>
      </w:r>
      <w:r w:rsidRPr="009F581D">
        <w:t>PL</w:t>
      </w:r>
      <w:r>
        <w:rPr>
          <w:lang w:val="cs-CZ"/>
        </w:rPr>
        <w:t xml:space="preserve"> 35, 1658D</w:t>
      </w:r>
      <w:r>
        <w:rPr>
          <w:lang w:val="cs-CZ"/>
        </w:rPr>
        <w:fldChar w:fldCharType="begin"/>
      </w:r>
      <w:r>
        <w:instrText xml:space="preserve"> XE "</w:instrText>
      </w:r>
      <w:r>
        <w:rPr>
          <w:lang w:val="cs-CZ"/>
        </w:rPr>
        <w:instrText>Augustinus:</w:instrText>
      </w:r>
      <w:r w:rsidRPr="003622B2">
        <w:rPr>
          <w:i/>
        </w:rPr>
        <w:instrText>In Ev. Joh</w:instrText>
      </w:r>
      <w:r w:rsidRPr="003622B2">
        <w:instrText>.</w:instrText>
      </w:r>
      <w:r>
        <w:rPr>
          <w:lang w:val="cs-CZ"/>
        </w:rPr>
        <w:instrText xml:space="preserve"> </w:instrText>
      </w:r>
      <w:r w:rsidRPr="009F581D">
        <w:instrText>PL</w:instrText>
      </w:r>
      <w:r>
        <w:rPr>
          <w:lang w:val="cs-CZ"/>
        </w:rPr>
        <w:instrText xml:space="preserve"> 35, 1658D</w:instrText>
      </w:r>
      <w:r>
        <w:instrText xml:space="preserve">" </w:instrText>
      </w:r>
      <w:r>
        <w:rPr>
          <w:lang w:val="cs-CZ"/>
        </w:rPr>
        <w:fldChar w:fldCharType="end"/>
      </w:r>
      <w:r>
        <w:rPr>
          <w:lang w:val="cs-CZ"/>
        </w:rPr>
        <w:t>)</w:t>
      </w:r>
    </w:p>
  </w:footnote>
  <w:footnote w:id="68">
    <w:p w14:paraId="6CDEAA91" w14:textId="77777777" w:rsidR="00CD2817" w:rsidRPr="00FA0104" w:rsidRDefault="00CD2817" w:rsidP="001537C3">
      <w:pPr>
        <w:pStyle w:val="Textpoznpodarou"/>
      </w:pPr>
      <w:r>
        <w:rPr>
          <w:rStyle w:val="Znakapoznpodarou"/>
        </w:rPr>
        <w:footnoteRef/>
      </w:r>
      <w:r>
        <w:t xml:space="preserve"> „In der Logik ist nichts zufällig: Wenn das Ding im Sachverhalt vorkommen </w:t>
      </w:r>
      <w:r>
        <w:rPr>
          <w:i/>
          <w:iCs/>
        </w:rPr>
        <w:t>kann</w:t>
      </w:r>
      <w:r>
        <w:t>, so muss die Möglichkeit des Sachverhaltes im Ding bereits präjudiziert sein.“ (</w:t>
      </w:r>
      <w:r w:rsidRPr="00A85CFC">
        <w:rPr>
          <w:i/>
        </w:rPr>
        <w:t>Logisch-Philosophische Abhandlung</w:t>
      </w:r>
      <w:r>
        <w:t>, 2.012</w:t>
      </w:r>
      <w:r>
        <w:fldChar w:fldCharType="begin"/>
      </w:r>
      <w:r>
        <w:instrText xml:space="preserve"> XE "</w:instrText>
      </w:r>
      <w:r>
        <w:rPr>
          <w:lang w:val="cs-CZ"/>
        </w:rPr>
        <w:instrText>Wittgenstein:</w:instrText>
      </w:r>
      <w:r w:rsidRPr="00A85CFC">
        <w:rPr>
          <w:i/>
          <w:lang w:val="cs-CZ"/>
        </w:rPr>
        <w:instrText>Logisch-Philosophische Abhandlung</w:instrText>
      </w:r>
      <w:r>
        <w:rPr>
          <w:lang w:val="cs-CZ"/>
        </w:rPr>
        <w:instrText xml:space="preserve"> </w:instrText>
      </w:r>
      <w:r w:rsidRPr="00C02E30">
        <w:instrText>2.012</w:instrText>
      </w:r>
      <w:r>
        <w:instrText xml:space="preserve">" </w:instrText>
      </w:r>
      <w:r>
        <w:fldChar w:fldCharType="end"/>
      </w:r>
      <w:r>
        <w:t>)</w:t>
      </w:r>
    </w:p>
  </w:footnote>
  <w:footnote w:id="69">
    <w:p w14:paraId="354270AA" w14:textId="77777777" w:rsidR="00CD2817" w:rsidRPr="084A11C7" w:rsidRDefault="00CD2817" w:rsidP="08B86C5F">
      <w:pPr>
        <w:pStyle w:val="Textpoznpodarou"/>
        <w:rPr>
          <w:lang w:val="cs-CZ"/>
        </w:rPr>
      </w:pPr>
      <w:r>
        <w:rPr>
          <w:rStyle w:val="Znakapoznpodarou"/>
        </w:rPr>
        <w:footnoteRef/>
      </w:r>
      <w:r>
        <w:t xml:space="preserve"> „Um einen Gegenstand zu kennen, muss ich zwar nicht seine externen ‒ aber ich muss alle seine internen Eigenschaften kennen.“ (</w:t>
      </w:r>
      <w:r>
        <w:rPr>
          <w:i/>
        </w:rPr>
        <w:t>Logisch</w:t>
      </w:r>
      <w:r w:rsidRPr="00217F4F">
        <w:rPr>
          <w:i/>
        </w:rPr>
        <w:t>-Philosophische Abhandlung</w:t>
      </w:r>
      <w:r>
        <w:t>,</w:t>
      </w:r>
      <w:r>
        <w:rPr>
          <w:lang w:val="cs-CZ"/>
        </w:rPr>
        <w:t xml:space="preserve"> </w:t>
      </w:r>
      <w:r w:rsidRPr="000744AA">
        <w:t>2.01231</w:t>
      </w:r>
      <w:r>
        <w:fldChar w:fldCharType="begin"/>
      </w:r>
      <w:r>
        <w:instrText xml:space="preserve"> XE "</w:instrText>
      </w:r>
      <w:r>
        <w:rPr>
          <w:lang w:val="cs-CZ"/>
        </w:rPr>
        <w:instrText>Wittgenstein:</w:instrText>
      </w:r>
      <w:r>
        <w:rPr>
          <w:i/>
          <w:lang w:val="cs-CZ"/>
        </w:rPr>
        <w:instrText>Logisch</w:instrText>
      </w:r>
      <w:r w:rsidRPr="00217F4F">
        <w:rPr>
          <w:i/>
          <w:lang w:val="cs-CZ"/>
        </w:rPr>
        <w:instrText>-Philosophische Abhandlung</w:instrText>
      </w:r>
      <w:r>
        <w:rPr>
          <w:lang w:val="cs-CZ"/>
        </w:rPr>
        <w:instrText xml:space="preserve"> </w:instrText>
      </w:r>
      <w:r w:rsidRPr="0031711E">
        <w:instrText>2.01231</w:instrText>
      </w:r>
      <w:r>
        <w:instrText xml:space="preserve">" </w:instrText>
      </w:r>
      <w:r>
        <w:fldChar w:fldCharType="end"/>
      </w:r>
      <w:r>
        <w:t>)</w:t>
      </w:r>
    </w:p>
  </w:footnote>
  <w:footnote w:id="70">
    <w:p w14:paraId="50E90A7D" w14:textId="77777777" w:rsidR="00CD2817" w:rsidRPr="00A02EF3" w:rsidRDefault="00CD2817" w:rsidP="089C33EF">
      <w:pPr>
        <w:pStyle w:val="Textpoznpodarou"/>
      </w:pPr>
      <w:r>
        <w:rPr>
          <w:rStyle w:val="Znakapoznpodarou"/>
        </w:rPr>
        <w:footnoteRef/>
      </w:r>
      <w:r>
        <w:t xml:space="preserve"> </w:t>
      </w:r>
      <w:r w:rsidRPr="00B17A41">
        <w:t xml:space="preserve">Viz tři vlny recepce Avicenny na Západě </w:t>
      </w:r>
      <w:r>
        <w:t>díky spisu</w:t>
      </w:r>
      <w:r w:rsidRPr="00B17A41">
        <w:t xml:space="preserve"> </w:t>
      </w:r>
      <w:r w:rsidRPr="0877170E">
        <w:rPr>
          <w:i/>
        </w:rPr>
        <w:t>Philosophia prima</w:t>
      </w:r>
      <w:r w:rsidRPr="00B17A41">
        <w:t xml:space="preserve">, což byl překlad části </w:t>
      </w:r>
      <w:r w:rsidRPr="0877170E">
        <w:rPr>
          <w:i/>
        </w:rPr>
        <w:t>Ilāhiyyāt</w:t>
      </w:r>
      <w:r w:rsidRPr="00B17A41">
        <w:t xml:space="preserve"> v díle </w:t>
      </w:r>
      <w:r w:rsidRPr="08FF3161">
        <w:rPr>
          <w:i/>
        </w:rPr>
        <w:t>Šífá</w:t>
      </w:r>
      <w:r w:rsidRPr="00B17A41">
        <w:t>: „For the sake of brevity, these three phases can be labeled, respectively, ‘Philosophia prima without Metaphysics’, ‘Philosophia prima and Metaphysics’, ‘Philosophia prima in the exegesis of the Metaphysics’.“ (Bertolacci 2012,  203)</w:t>
      </w:r>
      <w:r>
        <w:t xml:space="preserve"> </w:t>
      </w:r>
    </w:p>
  </w:footnote>
  <w:footnote w:id="71">
    <w:p w14:paraId="17444A5C" w14:textId="77777777" w:rsidR="00CD2817" w:rsidRPr="00835645" w:rsidRDefault="00CD2817">
      <w:pPr>
        <w:pStyle w:val="Textpoznpodarou"/>
      </w:pPr>
      <w:r>
        <w:rPr>
          <w:rStyle w:val="Znakapoznpodarou"/>
        </w:rPr>
        <w:footnoteRef/>
      </w:r>
      <w:r>
        <w:t xml:space="preserve"> „</w:t>
      </w:r>
      <w:r w:rsidRPr="00BA49F5">
        <w:t>Igitur hum</w:t>
      </w:r>
      <w:r>
        <w:t>anitas, significata hoc nomine 'homo'</w:t>
      </w:r>
      <w:r w:rsidRPr="00BA49F5">
        <w:t xml:space="preserve"> pro qualitate, est species generis, i.e., animalis, quae ut significatur hoc nomine dividit h</w:t>
      </w:r>
      <w:r>
        <w:t>oc genus animalis, cum dicitur '</w:t>
      </w:r>
      <w:r w:rsidRPr="00BA49F5">
        <w:t>anim</w:t>
      </w:r>
      <w:r>
        <w:t>alium aliud homo, aliud nonhomo'</w:t>
      </w:r>
      <w:r w:rsidRPr="00BA49F5">
        <w:t>. Sed non eadem humanitas, immo effectus ejus, qui pro qua</w:t>
      </w:r>
      <w:r>
        <w:t>litate significatur hoc nomine 'humanitas'</w:t>
      </w:r>
      <w:r w:rsidRPr="00BA49F5">
        <w:t>, est species individuorum et p</w:t>
      </w:r>
      <w:r>
        <w:t>raedicatur de eis, cum dicitur 's</w:t>
      </w:r>
      <w:r w:rsidRPr="00BA49F5">
        <w:t>ocratitas est huma</w:t>
      </w:r>
      <w:r>
        <w:t>nitas, platonitas est humanitas'</w:t>
      </w:r>
      <w:r w:rsidRPr="00BA49F5">
        <w:t xml:space="preserve"> et sic de singulis, quae individua ibi subjiciuntur mediantibus effectibus suis.</w:t>
      </w:r>
      <w:r>
        <w:t>“ (</w:t>
      </w:r>
      <w:r w:rsidRPr="008C0D8B">
        <w:rPr>
          <w:i/>
        </w:rPr>
        <w:t>Dialogus Ratii et Everardi</w:t>
      </w:r>
      <w:r>
        <w:t>, ed. Haring, p. 257</w:t>
      </w:r>
      <w:r>
        <w:fldChar w:fldCharType="begin"/>
      </w:r>
      <w:r>
        <w:instrText xml:space="preserve"> XE "</w:instrText>
      </w:r>
      <w:r w:rsidRPr="004D2ECB">
        <w:rPr>
          <w:i/>
        </w:rPr>
        <w:instrText>Dialogus Ratii et Everardi</w:instrText>
      </w:r>
      <w:r>
        <w:rPr>
          <w:lang w:val="cs-CZ"/>
        </w:rPr>
        <w:instrText xml:space="preserve"> </w:instrText>
      </w:r>
      <w:r w:rsidRPr="004D2ECB">
        <w:instrText>257</w:instrText>
      </w:r>
      <w:r>
        <w:instrText xml:space="preserve">" </w:instrText>
      </w:r>
      <w:r>
        <w:fldChar w:fldCharType="end"/>
      </w:r>
      <w:r>
        <w:t>)</w:t>
      </w:r>
    </w:p>
  </w:footnote>
  <w:footnote w:id="72">
    <w:p w14:paraId="31E562F2" w14:textId="77777777" w:rsidR="00CD2817" w:rsidRPr="00CB2757" w:rsidRDefault="00CD2817" w:rsidP="0065452C">
      <w:pPr>
        <w:pStyle w:val="Textpoznpodarou"/>
      </w:pPr>
      <w:r>
        <w:rPr>
          <w:rStyle w:val="Znakapoznpodarou"/>
        </w:rPr>
        <w:footnoteRef/>
      </w:r>
      <w:r>
        <w:t xml:space="preserve"> „</w:t>
      </w:r>
      <w:r w:rsidRPr="00CB2757">
        <w:t>Mathematicum est quasi abstractiuum quia significat formam quasi a subiecto abstractam ut albedo.</w:t>
      </w:r>
      <w:r>
        <w:t>“</w:t>
      </w:r>
      <w:r w:rsidRPr="00CB2757">
        <w:t xml:space="preserve"> </w:t>
      </w:r>
      <w:r>
        <w:t>(</w:t>
      </w:r>
      <w:r w:rsidRPr="008C0D8B">
        <w:rPr>
          <w:i/>
        </w:rPr>
        <w:t>Dialogus Ratii et Everardi</w:t>
      </w:r>
      <w:r>
        <w:t>, ed. Haring, p. 254</w:t>
      </w:r>
      <w:r>
        <w:fldChar w:fldCharType="begin"/>
      </w:r>
      <w:r>
        <w:instrText xml:space="preserve"> XE "</w:instrText>
      </w:r>
      <w:r w:rsidRPr="00436BF3">
        <w:rPr>
          <w:i/>
        </w:rPr>
        <w:instrText>Dialogus Ratii et Everardi</w:instrText>
      </w:r>
      <w:r>
        <w:rPr>
          <w:lang w:val="cs-CZ"/>
        </w:rPr>
        <w:instrText xml:space="preserve"> </w:instrText>
      </w:r>
      <w:r w:rsidRPr="00436BF3">
        <w:instrText>254</w:instrText>
      </w:r>
      <w:r>
        <w:instrText xml:space="preserve">" </w:instrText>
      </w:r>
      <w:r>
        <w:fldChar w:fldCharType="end"/>
      </w:r>
      <w:r>
        <w:t>)</w:t>
      </w:r>
    </w:p>
  </w:footnote>
  <w:footnote w:id="73">
    <w:p w14:paraId="377464FD" w14:textId="77777777" w:rsidR="00CD2817" w:rsidRPr="000E73FC" w:rsidRDefault="00CD2817" w:rsidP="0092363B">
      <w:pPr>
        <w:pStyle w:val="Textpoznpodarou"/>
      </w:pPr>
      <w:r>
        <w:rPr>
          <w:rStyle w:val="Znakapoznpodarou"/>
        </w:rPr>
        <w:footnoteRef/>
      </w:r>
      <w:r>
        <w:t xml:space="preserve"> „</w:t>
      </w:r>
      <w:r w:rsidRPr="000C53A0">
        <w:t>Nam haec species specialissima homo praedicatur de suis indiuiduis quae ideo uniuersaliter subiicitur suo generi ut cum dicitur socrates est homo plato est homo cirero est homo et sic de singulis.</w:t>
      </w:r>
      <w:r>
        <w:t>“ (</w:t>
      </w:r>
      <w:r w:rsidRPr="008C0D8B">
        <w:rPr>
          <w:i/>
        </w:rPr>
        <w:t>Dialogus Ratii et Everardi</w:t>
      </w:r>
      <w:r>
        <w:t>, ed. Haring, pp. 256‒57</w:t>
      </w:r>
      <w:r>
        <w:fldChar w:fldCharType="begin"/>
      </w:r>
      <w:r>
        <w:instrText xml:space="preserve"> XE "</w:instrText>
      </w:r>
      <w:r w:rsidRPr="00436BF3">
        <w:rPr>
          <w:i/>
        </w:rPr>
        <w:instrText>Dialogus Ratii et Everardi</w:instrText>
      </w:r>
      <w:r>
        <w:rPr>
          <w:lang w:val="cs-CZ"/>
        </w:rPr>
        <w:instrText xml:space="preserve"> </w:instrText>
      </w:r>
      <w:r>
        <w:instrText xml:space="preserve">256‒57" </w:instrText>
      </w:r>
      <w:r>
        <w:fldChar w:fldCharType="end"/>
      </w:r>
      <w:r>
        <w:t>)</w:t>
      </w:r>
    </w:p>
  </w:footnote>
  <w:footnote w:id="74">
    <w:p w14:paraId="6870338E" w14:textId="77777777" w:rsidR="00CD2817" w:rsidRPr="00FC10A0" w:rsidRDefault="00CD2817" w:rsidP="00874F9A">
      <w:pPr>
        <w:pStyle w:val="Textpoznpodarou"/>
      </w:pPr>
      <w:r>
        <w:rPr>
          <w:rStyle w:val="Znakapoznpodarou"/>
        </w:rPr>
        <w:footnoteRef/>
      </w:r>
      <w:r>
        <w:t xml:space="preserve"> „</w:t>
      </w:r>
      <w:r w:rsidRPr="00D7258E">
        <w:t>Mathematicae uero abstractionis proprietate non genus sed generis genus de ea quae non generis sed indiuiduorum tantum species est uere et consequenter praedicari conceditur ut socratitas est humanitas est animalitas est corporalitas</w:t>
      </w:r>
      <w:r>
        <w:t>.“ (</w:t>
      </w:r>
      <w:r w:rsidRPr="008C0D8B">
        <w:rPr>
          <w:i/>
        </w:rPr>
        <w:t>Dialogus Ratii et Everardi</w:t>
      </w:r>
      <w:r>
        <w:t>, ed. Haring, p. 255</w:t>
      </w:r>
      <w:r>
        <w:fldChar w:fldCharType="begin"/>
      </w:r>
      <w:r>
        <w:instrText xml:space="preserve"> XE "</w:instrText>
      </w:r>
      <w:r w:rsidRPr="00436BF3">
        <w:rPr>
          <w:i/>
        </w:rPr>
        <w:instrText>Dialogus Ratii et Everardi</w:instrText>
      </w:r>
      <w:r>
        <w:rPr>
          <w:lang w:val="cs-CZ"/>
        </w:rPr>
        <w:instrText xml:space="preserve"> </w:instrText>
      </w:r>
      <w:r>
        <w:instrText>25</w:instrText>
      </w:r>
      <w:r>
        <w:rPr>
          <w:lang w:val="cs-CZ"/>
        </w:rPr>
        <w:instrText>5</w:instrText>
      </w:r>
      <w:r>
        <w:instrText xml:space="preserve">" </w:instrText>
      </w:r>
      <w:r>
        <w:fldChar w:fldCharType="end"/>
      </w:r>
      <w:r>
        <w:t>)</w:t>
      </w:r>
    </w:p>
  </w:footnote>
  <w:footnote w:id="75">
    <w:p w14:paraId="3376B10B" w14:textId="77777777" w:rsidR="00CD2817" w:rsidRPr="00F71393" w:rsidRDefault="00CD2817" w:rsidP="08770823">
      <w:pPr>
        <w:pStyle w:val="Textpoznpodarou"/>
      </w:pPr>
      <w:r>
        <w:rPr>
          <w:rStyle w:val="Znakapoznpodarou"/>
        </w:rPr>
        <w:footnoteRef/>
      </w:r>
      <w:r>
        <w:t xml:space="preserve"> „</w:t>
      </w:r>
      <w:r w:rsidRPr="00302C40">
        <w:t xml:space="preserve">Vnde sicut petrus est homo humanitate sic est uerus homo ueritate humanitatem comitante.” </w:t>
      </w:r>
      <w:r w:rsidRPr="00B573DE">
        <w:t>(</w:t>
      </w:r>
      <w:r w:rsidRPr="08391661">
        <w:rPr>
          <w:i/>
        </w:rPr>
        <w:t>Dialogus Ratii et Everardi</w:t>
      </w:r>
      <w:r>
        <w:t xml:space="preserve">, </w:t>
      </w:r>
      <w:r w:rsidRPr="00B573DE">
        <w:t>p. 284</w:t>
      </w:r>
      <w:r>
        <w:fldChar w:fldCharType="begin"/>
      </w:r>
      <w:r>
        <w:instrText xml:space="preserve"> XE "</w:instrText>
      </w:r>
      <w:r w:rsidRPr="00436BF3">
        <w:rPr>
          <w:i/>
        </w:rPr>
        <w:instrText>Dialogus Ratii et Everardi</w:instrText>
      </w:r>
      <w:r>
        <w:rPr>
          <w:lang w:val="cs-CZ"/>
        </w:rPr>
        <w:instrText xml:space="preserve"> </w:instrText>
      </w:r>
      <w:r>
        <w:instrText>2</w:instrText>
      </w:r>
      <w:r>
        <w:rPr>
          <w:lang w:val="cs-CZ"/>
        </w:rPr>
        <w:instrText>84</w:instrText>
      </w:r>
      <w:r>
        <w:instrText xml:space="preserve">" </w:instrText>
      </w:r>
      <w:r>
        <w:fldChar w:fldCharType="end"/>
      </w:r>
      <w:r w:rsidRPr="00B573DE">
        <w:t>)</w:t>
      </w:r>
    </w:p>
  </w:footnote>
  <w:footnote w:id="76">
    <w:p w14:paraId="6B72C065" w14:textId="41472FF1" w:rsidR="00CD2817" w:rsidRPr="08135824" w:rsidRDefault="00CD2817" w:rsidP="08135824">
      <w:pPr>
        <w:pStyle w:val="Textpoznpodarou"/>
        <w:rPr>
          <w:lang w:val="cs-CZ"/>
        </w:rPr>
      </w:pPr>
      <w:r>
        <w:rPr>
          <w:rStyle w:val="Znakapoznpodarou"/>
        </w:rPr>
        <w:footnoteRef/>
      </w:r>
      <w:r>
        <w:t xml:space="preserve"> </w:t>
      </w:r>
      <w:r>
        <w:rPr>
          <w:lang w:val="cs-CZ"/>
        </w:rPr>
        <w:t>„</w:t>
      </w:r>
      <w:r w:rsidRPr="08135824">
        <w:rPr>
          <w:lang w:val="cs-CZ"/>
        </w:rPr>
        <w:t>The main features, however, of the Victorine</w:t>
      </w:r>
      <w:r>
        <w:rPr>
          <w:lang w:val="cs-CZ"/>
        </w:rPr>
        <w:t xml:space="preserve"> </w:t>
      </w:r>
      <w:r w:rsidRPr="08135824">
        <w:rPr>
          <w:lang w:val="cs-CZ"/>
        </w:rPr>
        <w:t>reaction to Abelard's teaching were not merely impatience or</w:t>
      </w:r>
      <w:r>
        <w:rPr>
          <w:lang w:val="cs-CZ"/>
        </w:rPr>
        <w:t xml:space="preserve"> </w:t>
      </w:r>
      <w:r w:rsidRPr="08135824">
        <w:rPr>
          <w:lang w:val="cs-CZ"/>
        </w:rPr>
        <w:t>violence. No two Victorine masters are wholly alike, but the group</w:t>
      </w:r>
      <w:r>
        <w:rPr>
          <w:lang w:val="cs-CZ"/>
        </w:rPr>
        <w:t xml:space="preserve"> </w:t>
      </w:r>
      <w:r w:rsidRPr="08135824">
        <w:rPr>
          <w:lang w:val="cs-CZ"/>
        </w:rPr>
        <w:t>of thinkers who were in the house between the 1120s and 1160s</w:t>
      </w:r>
      <w:r>
        <w:rPr>
          <w:lang w:val="cs-CZ"/>
        </w:rPr>
        <w:t xml:space="preserve"> </w:t>
      </w:r>
      <w:r w:rsidRPr="08135824">
        <w:rPr>
          <w:lang w:val="cs-CZ"/>
        </w:rPr>
        <w:t>undertook patiently to censor, am</w:t>
      </w:r>
      <w:r>
        <w:rPr>
          <w:lang w:val="cs-CZ"/>
        </w:rPr>
        <w:t>end, absorb and surpass Abelard</w:t>
      </w:r>
      <w:r>
        <w:rPr>
          <w:rFonts w:cs="Calibri"/>
          <w:lang w:val="cs-CZ"/>
        </w:rPr>
        <w:t>’</w:t>
      </w:r>
      <w:r w:rsidRPr="08135824">
        <w:rPr>
          <w:lang w:val="cs-CZ"/>
        </w:rPr>
        <w:t>s</w:t>
      </w:r>
      <w:r>
        <w:rPr>
          <w:lang w:val="cs-CZ"/>
        </w:rPr>
        <w:t xml:space="preserve"> </w:t>
      </w:r>
      <w:r w:rsidRPr="08135824">
        <w:rPr>
          <w:lang w:val="cs-CZ"/>
        </w:rPr>
        <w:t>theological production.</w:t>
      </w:r>
      <w:r>
        <w:rPr>
          <w:lang w:val="cs-CZ"/>
        </w:rPr>
        <w:t>“ (Luscombe 1969, 183)</w:t>
      </w:r>
    </w:p>
  </w:footnote>
  <w:footnote w:id="77">
    <w:p w14:paraId="36DD46CE" w14:textId="5C48E591" w:rsidR="00CD2817" w:rsidRPr="00B72FD0" w:rsidRDefault="00CD2817" w:rsidP="008F47D2">
      <w:pPr>
        <w:pStyle w:val="Textpoznpodarou"/>
      </w:pPr>
      <w:r>
        <w:rPr>
          <w:rStyle w:val="Znakapoznpodarou"/>
        </w:rPr>
        <w:footnoteRef/>
      </w:r>
      <w:r>
        <w:t xml:space="preserve"> Spor </w:t>
      </w:r>
      <w:r>
        <w:rPr>
          <w:lang w:val="cs-CZ"/>
        </w:rPr>
        <w:t xml:space="preserve">Aristoteliků </w:t>
      </w:r>
      <w:r>
        <w:t xml:space="preserve">a </w:t>
      </w:r>
      <w:r w:rsidRPr="08ED7D30">
        <w:rPr>
          <w:i/>
        </w:rPr>
        <w:t>Nominales</w:t>
      </w:r>
      <w:r>
        <w:t xml:space="preserve"> </w:t>
      </w:r>
      <w:r>
        <w:rPr>
          <w:noProof/>
        </w:rPr>
        <w:t xml:space="preserve">předznamenal nihilistickou verzi současné gigantomachie o substanci dané vzhledem ke smysluplnosti či nesmyslnosti věty „Současný francouzský král je </w:t>
      </w:r>
      <w:r>
        <w:rPr>
          <w:noProof/>
          <w:lang w:val="cs-CZ"/>
        </w:rPr>
        <w:t>plešatý</w:t>
      </w:r>
      <w:r>
        <w:rPr>
          <w:noProof/>
        </w:rPr>
        <w:t>“ mezi formálním nominalismem (</w:t>
      </w:r>
      <w:r>
        <w:t xml:space="preserve">B. Russell) a kritickou teorií </w:t>
      </w:r>
      <w:r>
        <w:rPr>
          <w:lang w:val="cs-CZ"/>
        </w:rPr>
        <w:t xml:space="preserve">objektivně dané </w:t>
      </w:r>
      <w:r>
        <w:t>reference (P. F. Strawson).</w:t>
      </w:r>
    </w:p>
  </w:footnote>
  <w:footnote w:id="78">
    <w:p w14:paraId="2C4BD4E2" w14:textId="77777777" w:rsidR="00CD2817" w:rsidRPr="00C77D04" w:rsidRDefault="00CD2817" w:rsidP="00E50320">
      <w:pPr>
        <w:pStyle w:val="Textpoznpodarou"/>
      </w:pPr>
      <w:r>
        <w:rPr>
          <w:rStyle w:val="Znakapoznpodarou"/>
        </w:rPr>
        <w:footnoteRef/>
      </w:r>
      <w:r>
        <w:t xml:space="preserve"> „</w:t>
      </w:r>
      <w:r w:rsidRPr="00C01DAE">
        <w:t xml:space="preserve">Sciendum quod </w:t>
      </w:r>
      <w:r w:rsidRPr="00C01DAE">
        <w:rPr>
          <w:szCs w:val="18"/>
        </w:rPr>
        <w:t>'</w:t>
      </w:r>
      <w:r w:rsidRPr="00644FD1">
        <w:rPr>
          <w:i/>
          <w:szCs w:val="18"/>
        </w:rPr>
        <w:t>subiectus</w:t>
      </w:r>
      <w:r w:rsidRPr="00C01DAE">
        <w:rPr>
          <w:szCs w:val="18"/>
        </w:rPr>
        <w:t xml:space="preserve">' </w:t>
      </w:r>
      <w:r w:rsidRPr="00C01DAE">
        <w:t xml:space="preserve">tripliciter dicitur, tum ut significatum </w:t>
      </w:r>
      <w:r>
        <w:t>per terminum, tum ut fundamentum accide</w:t>
      </w:r>
      <w:r w:rsidRPr="00C01DAE">
        <w:t xml:space="preserve">ntis, tum ut inferius sue substantie, quod est inferius in ordine predicamentali; </w:t>
      </w:r>
      <w:r w:rsidRPr="00C01DAE">
        <w:rPr>
          <w:szCs w:val="18"/>
        </w:rPr>
        <w:t>'</w:t>
      </w:r>
      <w:r w:rsidRPr="00644FD1">
        <w:rPr>
          <w:i/>
          <w:szCs w:val="18"/>
        </w:rPr>
        <w:t>dici</w:t>
      </w:r>
      <w:r w:rsidRPr="00C01DAE">
        <w:rPr>
          <w:szCs w:val="18"/>
        </w:rPr>
        <w:t xml:space="preserve"> </w:t>
      </w:r>
      <w:r w:rsidRPr="00C01DAE">
        <w:t xml:space="preserve">enim </w:t>
      </w:r>
      <w:r w:rsidRPr="00644FD1">
        <w:rPr>
          <w:i/>
          <w:szCs w:val="18"/>
        </w:rPr>
        <w:t>de subiecto</w:t>
      </w:r>
      <w:r w:rsidRPr="00C01DAE">
        <w:rPr>
          <w:szCs w:val="18"/>
        </w:rPr>
        <w:t xml:space="preserve">' </w:t>
      </w:r>
      <w:r w:rsidRPr="00C01DAE">
        <w:t xml:space="preserve">est descriptio universalitatis, </w:t>
      </w:r>
      <w:r w:rsidRPr="00644FD1">
        <w:rPr>
          <w:szCs w:val="18"/>
        </w:rPr>
        <w:t>'</w:t>
      </w:r>
      <w:r w:rsidRPr="00644FD1">
        <w:rPr>
          <w:i/>
          <w:szCs w:val="18"/>
        </w:rPr>
        <w:t>esse in subiecto</w:t>
      </w:r>
      <w:r w:rsidRPr="00C01DAE">
        <w:rPr>
          <w:szCs w:val="18"/>
        </w:rPr>
        <w:t xml:space="preserve">' </w:t>
      </w:r>
      <w:r w:rsidRPr="00C01DAE">
        <w:t xml:space="preserve">est descriptio accidentis; </w:t>
      </w:r>
      <w:r w:rsidRPr="00644FD1">
        <w:rPr>
          <w:szCs w:val="18"/>
        </w:rPr>
        <w:t>'</w:t>
      </w:r>
      <w:r w:rsidRPr="00644FD1">
        <w:rPr>
          <w:i/>
          <w:szCs w:val="18"/>
        </w:rPr>
        <w:t>non esse in subiecto</w:t>
      </w:r>
      <w:r w:rsidRPr="00644FD1">
        <w:rPr>
          <w:szCs w:val="18"/>
        </w:rPr>
        <w:t>'</w:t>
      </w:r>
      <w:r w:rsidRPr="00C01DAE">
        <w:rPr>
          <w:szCs w:val="18"/>
        </w:rPr>
        <w:t xml:space="preserve"> </w:t>
      </w:r>
      <w:r w:rsidRPr="00C01DAE">
        <w:t xml:space="preserve">est descriptio substantie. Cum ergo dicitur: </w:t>
      </w:r>
      <w:r>
        <w:rPr>
          <w:szCs w:val="18"/>
        </w:rPr>
        <w:t>'</w:t>
      </w:r>
      <w:r w:rsidRPr="00644FD1">
        <w:rPr>
          <w:i/>
          <w:szCs w:val="18"/>
        </w:rPr>
        <w:t>individuum dicitur de subiecto</w:t>
      </w:r>
      <w:r w:rsidRPr="00C01DAE">
        <w:rPr>
          <w:szCs w:val="18"/>
        </w:rPr>
        <w:t xml:space="preserve">', </w:t>
      </w:r>
      <w:r w:rsidRPr="00C01DAE">
        <w:t>falsum est, qui a tunc intelligitur quod esset universale.</w:t>
      </w:r>
      <w:r>
        <w:t>“ (</w:t>
      </w:r>
      <w:r w:rsidRPr="00644FD1">
        <w:rPr>
          <w:i/>
        </w:rPr>
        <w:t>Tractatus Anagnini</w:t>
      </w:r>
      <w:r>
        <w:t xml:space="preserve">, ed. Rijk, </w:t>
      </w:r>
      <w:r w:rsidRPr="001569C1">
        <w:rPr>
          <w:i/>
        </w:rPr>
        <w:t>Logica Modernorum II</w:t>
      </w:r>
      <w:r>
        <w:t>, p. 219‒220</w:t>
      </w:r>
      <w:r>
        <w:fldChar w:fldCharType="begin"/>
      </w:r>
      <w:r>
        <w:instrText xml:space="preserve"> XE "</w:instrText>
      </w:r>
      <w:r w:rsidRPr="0018164C">
        <w:rPr>
          <w:i/>
        </w:rPr>
        <w:instrText>Logica Modernorum II</w:instrText>
      </w:r>
      <w:r>
        <w:rPr>
          <w:i/>
          <w:lang w:val="cs-CZ"/>
        </w:rPr>
        <w:instrText>:</w:instrText>
      </w:r>
      <w:r w:rsidRPr="00644FD1">
        <w:rPr>
          <w:i/>
        </w:rPr>
        <w:instrText>Tractatus Anagnini</w:instrText>
      </w:r>
      <w:r w:rsidRPr="0018164C">
        <w:instrText xml:space="preserve"> 219‒220</w:instrText>
      </w:r>
      <w:r>
        <w:instrText xml:space="preserve">" </w:instrText>
      </w:r>
      <w:r>
        <w:fldChar w:fldCharType="end"/>
      </w:r>
      <w:r>
        <w:t>)</w:t>
      </w:r>
    </w:p>
  </w:footnote>
  <w:footnote w:id="79">
    <w:p w14:paraId="7432B50B" w14:textId="77777777" w:rsidR="00CD2817" w:rsidRPr="009C2C6D" w:rsidRDefault="00CD2817" w:rsidP="00D67D67">
      <w:pPr>
        <w:pStyle w:val="Textpoznpodarou"/>
        <w:rPr>
          <w:lang w:val="cs-CZ"/>
        </w:rPr>
      </w:pPr>
      <w:r>
        <w:rPr>
          <w:rStyle w:val="Znakapoznpodarou"/>
        </w:rPr>
        <w:footnoteRef/>
      </w:r>
      <w:r>
        <w:rPr>
          <w:lang w:val="cs-CZ"/>
        </w:rPr>
        <w:t xml:space="preserve"> „</w:t>
      </w:r>
      <w:r w:rsidRPr="009C2C6D">
        <w:t>Res autem, quae seipsam, prout est</w:t>
      </w:r>
      <w:r>
        <w:rPr>
          <w:lang w:val="cs-CZ"/>
        </w:rPr>
        <w:t>,</w:t>
      </w:r>
      <w:r w:rsidRPr="009C2C6D">
        <w:t xml:space="preserve"> intellectui subiicit, </w:t>
      </w:r>
      <w:r>
        <w:t>vera est</w:t>
      </w:r>
      <w:r>
        <w:rPr>
          <w:lang w:val="cs-CZ"/>
        </w:rPr>
        <w:t>:</w:t>
      </w:r>
      <w:r w:rsidRPr="009C2C6D">
        <w:t xml:space="preserve"> quae aliter, vana est falsa. Ergo a modo percipiendi (scilicet quo percipiuntur, aut per</w:t>
      </w:r>
      <w:r w:rsidRPr="009C2C6D">
        <w:softHyphen/>
        <w:t>cipiunt), convincitur veritas aut falsi</w:t>
      </w:r>
      <w:r>
        <w:t>tas tam opinionum, quam rerum:</w:t>
      </w:r>
      <w:r>
        <w:rPr>
          <w:lang w:val="cs-CZ"/>
        </w:rPr>
        <w:t xml:space="preserve"> s</w:t>
      </w:r>
      <w:r w:rsidRPr="009C2C6D">
        <w:t>er</w:t>
      </w:r>
      <w:r w:rsidRPr="009C2C6D">
        <w:softHyphen/>
        <w:t>monum vero, a modo significandi.</w:t>
      </w:r>
      <w:r>
        <w:rPr>
          <w:lang w:val="cs-CZ"/>
        </w:rPr>
        <w:t>“</w:t>
      </w:r>
      <w:r w:rsidRPr="009C2C6D">
        <w:t xml:space="preserve"> (</w:t>
      </w:r>
      <w:r w:rsidRPr="009C2C6D">
        <w:rPr>
          <w:rStyle w:val="ZkladntextKurzvadkovn0pt"/>
          <w:rFonts w:ascii="Calibri" w:hAnsi="Calibri"/>
          <w:iCs w:val="0"/>
          <w:color w:val="auto"/>
          <w:spacing w:val="0"/>
          <w:sz w:val="20"/>
          <w:u w:val="none"/>
          <w:lang w:val="x-none"/>
        </w:rPr>
        <w:t>Metalogic</w:t>
      </w:r>
      <w:r>
        <w:rPr>
          <w:rStyle w:val="ZkladntextKurzvadkovn0pt"/>
          <w:rFonts w:ascii="Calibri" w:hAnsi="Calibri"/>
          <w:iCs w:val="0"/>
          <w:color w:val="auto"/>
          <w:spacing w:val="0"/>
          <w:sz w:val="20"/>
          <w:u w:val="none"/>
          <w:lang w:val="cs-CZ"/>
        </w:rPr>
        <w:t>on</w:t>
      </w:r>
      <w:r>
        <w:t xml:space="preserve"> </w:t>
      </w:r>
      <w:r>
        <w:rPr>
          <w:lang w:val="cs-CZ"/>
        </w:rPr>
        <w:t>4</w:t>
      </w:r>
      <w:r w:rsidRPr="009C2C6D">
        <w:t>.36</w:t>
      </w:r>
      <w:r>
        <w:rPr>
          <w:lang w:val="cs-CZ"/>
        </w:rPr>
        <w:t>; PL 199, 939D</w:t>
      </w:r>
      <w:r>
        <w:rPr>
          <w:lang w:val="cs-CZ"/>
        </w:rPr>
        <w:fldChar w:fldCharType="begin"/>
      </w:r>
      <w:r>
        <w:instrText xml:space="preserve"> XE "</w:instrText>
      </w:r>
      <w:r>
        <w:rPr>
          <w:lang w:val="cs-CZ"/>
        </w:rPr>
        <w:instrText>Jan ze Salisbury:</w:instrText>
      </w:r>
      <w:r w:rsidRPr="007E4ED0">
        <w:rPr>
          <w:rStyle w:val="ZkladntextKurzvadkovn0pt"/>
          <w:rFonts w:ascii="Calibri" w:hAnsi="Calibri"/>
          <w:iCs w:val="0"/>
          <w:color w:val="auto"/>
          <w:spacing w:val="0"/>
          <w:sz w:val="20"/>
          <w:u w:val="none"/>
          <w:lang w:val="x-none"/>
        </w:rPr>
        <w:instrText>Metalogic</w:instrText>
      </w:r>
      <w:r w:rsidRPr="007E4ED0">
        <w:rPr>
          <w:rStyle w:val="ZkladntextKurzvadkovn0pt"/>
          <w:rFonts w:ascii="Calibri" w:hAnsi="Calibri"/>
          <w:iCs w:val="0"/>
          <w:color w:val="auto"/>
          <w:spacing w:val="0"/>
          <w:sz w:val="20"/>
          <w:u w:val="none"/>
          <w:lang w:val="cs-CZ"/>
        </w:rPr>
        <w:instrText>on</w:instrText>
      </w:r>
      <w:r w:rsidRPr="007E4ED0">
        <w:instrText xml:space="preserve"> </w:instrText>
      </w:r>
      <w:r>
        <w:rPr>
          <w:lang w:val="cs-CZ"/>
        </w:rPr>
        <w:instrText>PL 199, 939D</w:instrText>
      </w:r>
      <w:r>
        <w:instrText xml:space="preserve">" </w:instrText>
      </w:r>
      <w:r>
        <w:rPr>
          <w:lang w:val="cs-CZ"/>
        </w:rPr>
        <w:fldChar w:fldCharType="end"/>
      </w:r>
      <w:r w:rsidRPr="009C2C6D">
        <w:t>)</w:t>
      </w:r>
    </w:p>
  </w:footnote>
  <w:footnote w:id="80">
    <w:p w14:paraId="296BD665" w14:textId="77777777" w:rsidR="00CD2817" w:rsidRPr="009F731E" w:rsidRDefault="00CD2817" w:rsidP="00A75BBC">
      <w:pPr>
        <w:pStyle w:val="Textpoznpodarou"/>
      </w:pPr>
      <w:r>
        <w:rPr>
          <w:rStyle w:val="Znakapoznpodarou"/>
        </w:rPr>
        <w:footnoteRef/>
      </w:r>
      <w:r>
        <w:t xml:space="preserve"> K učení Modistů o tzv. „způsobech signifikace“ (</w:t>
      </w:r>
      <w:r w:rsidRPr="002A08DE">
        <w:rPr>
          <w:i/>
        </w:rPr>
        <w:t>modi signi</w:t>
      </w:r>
      <w:r>
        <w:rPr>
          <w:i/>
        </w:rPr>
        <w:t>f</w:t>
      </w:r>
      <w:r w:rsidRPr="002A08DE">
        <w:rPr>
          <w:i/>
        </w:rPr>
        <w:t>icandi</w:t>
      </w:r>
      <w:r>
        <w:rPr>
          <w:i/>
        </w:rPr>
        <w:fldChar w:fldCharType="begin"/>
      </w:r>
      <w:r>
        <w:instrText xml:space="preserve"> XE "</w:instrText>
      </w:r>
      <w:r w:rsidRPr="00587BB2">
        <w:rPr>
          <w:i/>
        </w:rPr>
        <w:instrText>modi significandi</w:instrText>
      </w:r>
      <w:r>
        <w:instrText xml:space="preserve">" </w:instrText>
      </w:r>
      <w:r>
        <w:rPr>
          <w:i/>
        </w:rPr>
        <w:fldChar w:fldCharType="end"/>
      </w:r>
      <w:r>
        <w:t>) viz např. Pinborg 1984, 39−73. První projekty komplexní „spekulativní gramatiky“ (</w:t>
      </w:r>
      <w:r w:rsidRPr="006C18D2">
        <w:rPr>
          <w:i/>
        </w:rPr>
        <w:t>grammatica speculativa</w:t>
      </w:r>
      <w:r>
        <w:rPr>
          <w:i/>
        </w:rPr>
        <w:fldChar w:fldCharType="begin"/>
      </w:r>
      <w:r>
        <w:instrText xml:space="preserve"> XE "</w:instrText>
      </w:r>
      <w:r w:rsidRPr="0036007D">
        <w:rPr>
          <w:i/>
        </w:rPr>
        <w:instrText>grammatica speculativa</w:instrText>
      </w:r>
      <w:r>
        <w:instrText xml:space="preserve">" </w:instrText>
      </w:r>
      <w:r>
        <w:rPr>
          <w:i/>
        </w:rPr>
        <w:fldChar w:fldCharType="end"/>
      </w:r>
      <w:r>
        <w:t>) se datují od roku 1270 (Boethius z Dácie</w:t>
      </w:r>
      <w:r>
        <w:fldChar w:fldCharType="begin"/>
      </w:r>
      <w:r>
        <w:instrText xml:space="preserve"> XE "</w:instrText>
      </w:r>
      <w:r>
        <w:rPr>
          <w:lang w:eastAsia="en-US"/>
        </w:rPr>
        <w:instrText>Boethius</w:instrText>
      </w:r>
      <w:r>
        <w:rPr>
          <w:lang w:val="cs-CZ" w:eastAsia="en-US"/>
        </w:rPr>
        <w:instrText xml:space="preserve"> z Dácie</w:instrText>
      </w:r>
      <w:r>
        <w:instrText xml:space="preserve">" </w:instrText>
      </w:r>
      <w:r>
        <w:fldChar w:fldCharType="end"/>
      </w:r>
      <w:r>
        <w:t>).</w:t>
      </w:r>
      <w:r w:rsidRPr="087D558D">
        <w:t xml:space="preserve"> </w:t>
      </w:r>
      <w:r>
        <w:t xml:space="preserve">K metafyzickému rozdílu mezi bytím věci a její signifikací u Akvinského </w:t>
      </w:r>
      <w:r>
        <w:rPr>
          <w:lang w:val="cs-CZ"/>
        </w:rPr>
        <w:t>(</w:t>
      </w:r>
      <w:r>
        <w:t>Rocca 1991</w:t>
      </w:r>
      <w:r>
        <w:rPr>
          <w:lang w:val="cs-CZ"/>
        </w:rPr>
        <w:t>)</w:t>
      </w:r>
      <w:r>
        <w:t>.</w:t>
      </w:r>
    </w:p>
  </w:footnote>
  <w:footnote w:id="81">
    <w:p w14:paraId="5B20ED2E" w14:textId="77777777" w:rsidR="00CD2817" w:rsidRPr="00085213" w:rsidRDefault="00CD2817" w:rsidP="002377DF">
      <w:pPr>
        <w:pStyle w:val="Textpoznpodarou"/>
        <w:rPr>
          <w:lang w:val="cs-CZ"/>
        </w:rPr>
      </w:pPr>
      <w:r>
        <w:rPr>
          <w:rStyle w:val="Znakapoznpodarou"/>
        </w:rPr>
        <w:footnoteRef/>
      </w:r>
      <w:r>
        <w:t xml:space="preserve"> „Addunt hic se socios quidam nominales, / Nomine, non numine, t</w:t>
      </w:r>
      <w:r w:rsidRPr="004B2475">
        <w:t>alium sodales;</w:t>
      </w:r>
      <w:r>
        <w:t xml:space="preserve"> / </w:t>
      </w:r>
      <w:r w:rsidRPr="004B2475">
        <w:t>Alii vicinius assunt quod reales</w:t>
      </w:r>
      <w:r>
        <w:t xml:space="preserve"> / </w:t>
      </w:r>
      <w:r w:rsidRPr="004B2475">
        <w:t>Ipsa nuncup</w:t>
      </w:r>
      <w:r>
        <w:t xml:space="preserve">avit res, quod sunt vere tales. / </w:t>
      </w:r>
      <w:r w:rsidRPr="004B2475">
        <w:t>Nam</w:t>
      </w:r>
      <w:r>
        <w:t xml:space="preserve"> si pro reatibus variis errorum / </w:t>
      </w:r>
      <w:r w:rsidRPr="004B2475">
        <w:t>Poter</w:t>
      </w:r>
      <w:r>
        <w:t>at realium nomen dic</w:t>
      </w:r>
      <w:r w:rsidRPr="004B2475">
        <w:t>i horum,</w:t>
      </w:r>
      <w:r>
        <w:t xml:space="preserve"> / </w:t>
      </w:r>
      <w:r w:rsidRPr="004B2475">
        <w:t>Tamen excusabilis error est eorum;</w:t>
      </w:r>
      <w:r>
        <w:t xml:space="preserve"> / </w:t>
      </w:r>
      <w:r w:rsidRPr="004B2475">
        <w:t xml:space="preserve">Menti </w:t>
      </w:r>
      <w:r>
        <w:t xml:space="preserve">contradicere mos est insanorum. / </w:t>
      </w:r>
      <w:r w:rsidRPr="004B2475">
        <w:t>Namque men</w:t>
      </w:r>
      <w:r>
        <w:t xml:space="preserve">s vel cogitet nomen esse genus, / </w:t>
      </w:r>
      <w:r w:rsidRPr="004B2475">
        <w:t>Solus hoc crediderit mentis alienus,</w:t>
      </w:r>
      <w:r>
        <w:t xml:space="preserve"> / </w:t>
      </w:r>
      <w:r w:rsidRPr="004B2475">
        <w:t>Cum sit to</w:t>
      </w:r>
      <w:r>
        <w:t>t generibus rerum mundus plenus, / Cuius genus nomen est semper sit egenus.“ (Iwakuma–Ebbesen 1992</w:t>
      </w:r>
      <w:r>
        <w:rPr>
          <w:lang w:val="cs-CZ"/>
        </w:rPr>
        <w:t xml:space="preserve">, p. </w:t>
      </w:r>
      <w:r>
        <w:t>179; no. 18.245–56</w:t>
      </w:r>
      <w:r>
        <w:fldChar w:fldCharType="begin"/>
      </w:r>
      <w:r>
        <w:instrText xml:space="preserve"> XE "</w:instrText>
      </w:r>
      <w:r w:rsidRPr="00273106">
        <w:instrText>Godfrey od Sv. Victora</w:instrText>
      </w:r>
      <w:r>
        <w:rPr>
          <w:i/>
          <w:lang w:val="cs-CZ"/>
        </w:rPr>
        <w:instrText>:</w:instrText>
      </w:r>
      <w:r w:rsidRPr="00273106">
        <w:rPr>
          <w:i/>
        </w:rPr>
        <w:instrText>Fons philosophiae</w:instrText>
      </w:r>
      <w:r>
        <w:rPr>
          <w:lang w:val="cs-CZ"/>
        </w:rPr>
        <w:instrText xml:space="preserve"> </w:instrText>
      </w:r>
      <w:r w:rsidRPr="00D8745A">
        <w:instrText>18.245–56</w:instrText>
      </w:r>
      <w:r>
        <w:instrText xml:space="preserve">" </w:instrText>
      </w:r>
      <w:r>
        <w:fldChar w:fldCharType="end"/>
      </w:r>
      <w:r>
        <w:t>)</w:t>
      </w:r>
    </w:p>
  </w:footnote>
  <w:footnote w:id="82">
    <w:p w14:paraId="70BD2348" w14:textId="77777777" w:rsidR="00CD2817" w:rsidRPr="00726DE1" w:rsidRDefault="00CD2817" w:rsidP="08AB4E09">
      <w:pPr>
        <w:pStyle w:val="Textpoznpodarou"/>
        <w:rPr>
          <w:lang w:val="cs-CZ"/>
        </w:rPr>
      </w:pPr>
      <w:r>
        <w:rPr>
          <w:rStyle w:val="Znakapoznpodarou"/>
        </w:rPr>
        <w:footnoteRef/>
      </w:r>
      <w:r>
        <w:t xml:space="preserve"> </w:t>
      </w:r>
      <w:r>
        <w:rPr>
          <w:lang w:val="cs-CZ"/>
        </w:rPr>
        <w:t>„</w:t>
      </w:r>
      <w:r w:rsidRPr="00726DE1">
        <w:rPr>
          <w:lang w:val="cs-CZ"/>
        </w:rPr>
        <w:t>Cum ergo sacrificia, sive altaris sive quarumcumque eleemosynarum, pro baptizatis defunctis omnibus offeruntur, pro valde bonis gratiarum actiones sunt; pro non valde bonis propitiationes sunt; pro valde malis etiam si nulla sunt adiumenta mortuorum; qualescumque vivorum consolationes sunt.</w:t>
      </w:r>
      <w:r>
        <w:rPr>
          <w:lang w:val="cs-CZ"/>
        </w:rPr>
        <w:t>“ (</w:t>
      </w:r>
      <w:r w:rsidRPr="00726DE1">
        <w:rPr>
          <w:i/>
        </w:rPr>
        <w:t>Enchiridion ad Laurentium</w:t>
      </w:r>
      <w:r w:rsidRPr="00726DE1">
        <w:rPr>
          <w:lang w:val="cs-CZ"/>
        </w:rPr>
        <w:t xml:space="preserve">, </w:t>
      </w:r>
      <w:r>
        <w:rPr>
          <w:lang w:val="cs-CZ"/>
        </w:rPr>
        <w:t xml:space="preserve">cap. 29; </w:t>
      </w:r>
      <w:r w:rsidRPr="08CC37B4">
        <w:t>C</w:t>
      </w:r>
      <w:r w:rsidRPr="08CC37B4">
        <w:rPr>
          <w:lang w:val="cs-CZ"/>
        </w:rPr>
        <w:t>CSL</w:t>
      </w:r>
      <w:r>
        <w:t xml:space="preserve"> </w:t>
      </w:r>
      <w:r>
        <w:rPr>
          <w:rStyle w:val="productdisplayserialtitle"/>
        </w:rPr>
        <w:t>46</w:t>
      </w:r>
      <w:r>
        <w:rPr>
          <w:rStyle w:val="productdisplayserialtitle"/>
          <w:lang w:val="cs-CZ"/>
        </w:rPr>
        <w:t>, 108.1‒14</w:t>
      </w:r>
      <w:r>
        <w:rPr>
          <w:rStyle w:val="productdisplayserialtitle"/>
          <w:lang w:val="cs-CZ"/>
        </w:rPr>
        <w:fldChar w:fldCharType="begin"/>
      </w:r>
      <w:r>
        <w:instrText xml:space="preserve"> XE "</w:instrText>
      </w:r>
      <w:r>
        <w:rPr>
          <w:lang w:val="cs-CZ"/>
        </w:rPr>
        <w:instrText>Augustin:</w:instrText>
      </w:r>
      <w:r w:rsidRPr="006A3B51">
        <w:rPr>
          <w:i/>
        </w:rPr>
        <w:instrText>Enchiridion ad Laurentium</w:instrText>
      </w:r>
      <w:r>
        <w:rPr>
          <w:i/>
          <w:lang w:val="cs-CZ"/>
        </w:rPr>
        <w:instrText xml:space="preserve"> </w:instrText>
      </w:r>
      <w:r w:rsidRPr="08747213">
        <w:rPr>
          <w:lang w:val="cs-CZ"/>
        </w:rPr>
        <w:instrText>CCSL</w:instrText>
      </w:r>
      <w:r>
        <w:rPr>
          <w:i/>
          <w:lang w:val="cs-CZ"/>
        </w:rPr>
        <w:instrText xml:space="preserve"> </w:instrText>
      </w:r>
      <w:r w:rsidRPr="08747213">
        <w:rPr>
          <w:lang w:val="cs-CZ"/>
        </w:rPr>
        <w:instrText>46</w:instrText>
      </w:r>
      <w:r>
        <w:rPr>
          <w:i/>
          <w:lang w:val="cs-CZ"/>
        </w:rPr>
        <w:instrText>.</w:instrText>
      </w:r>
      <w:r w:rsidRPr="006A3B51">
        <w:rPr>
          <w:rStyle w:val="productdisplayserialtitle"/>
          <w:lang w:val="cs-CZ"/>
        </w:rPr>
        <w:instrText>108.1‒14</w:instrText>
      </w:r>
      <w:r>
        <w:instrText xml:space="preserve">" </w:instrText>
      </w:r>
      <w:r>
        <w:rPr>
          <w:rStyle w:val="productdisplayserialtitle"/>
          <w:lang w:val="cs-CZ"/>
        </w:rPr>
        <w:fldChar w:fldCharType="end"/>
      </w:r>
      <w:r>
        <w:rPr>
          <w:rStyle w:val="productdisplayserialtitle"/>
        </w:rPr>
        <w:t>)</w:t>
      </w:r>
    </w:p>
  </w:footnote>
  <w:footnote w:id="83">
    <w:p w14:paraId="22FF8422" w14:textId="77777777" w:rsidR="00CD2817" w:rsidRPr="001C3843" w:rsidRDefault="00CD2817" w:rsidP="007C27B7">
      <w:pPr>
        <w:pStyle w:val="Textpoznpodarou"/>
      </w:pPr>
      <w:r>
        <w:rPr>
          <w:rStyle w:val="Znakapoznpodarou"/>
        </w:rPr>
        <w:footnoteRef/>
      </w:r>
      <w:r>
        <w:rPr>
          <w:lang w:val="cs-CZ"/>
        </w:rPr>
        <w:t xml:space="preserve"> </w:t>
      </w:r>
      <w:r>
        <w:t xml:space="preserve">„Le </w:t>
      </w:r>
      <w:r>
        <w:rPr>
          <w:i/>
          <w:iCs/>
        </w:rPr>
        <w:t xml:space="preserve">De anima et de potenciis eius </w:t>
      </w:r>
      <w:r>
        <w:t xml:space="preserve">comble cette lacune : il nous montre que vers 1225 Averroès, au moins ses grands commentaires sur la </w:t>
      </w:r>
      <w:r>
        <w:rPr>
          <w:i/>
          <w:iCs/>
        </w:rPr>
        <w:t xml:space="preserve">Métaphysique </w:t>
      </w:r>
      <w:r>
        <w:t xml:space="preserve">et surtout sur le livre </w:t>
      </w:r>
      <w:r>
        <w:rPr>
          <w:i/>
          <w:iCs/>
        </w:rPr>
        <w:t xml:space="preserve">De l'âme, </w:t>
      </w:r>
      <w:r>
        <w:t>est déjà bien connu à la faculté des arts, et il nous fait assister, dès 1225, à la naissance du premier averroïsme, celui qui découvre dans Averroès une nouvelle forme de l'aristotélisme, différente de l'aristotélisme avicennien: l'Aristote d'Avicenne avait enlevé à l'âme son intellect agent, l'Aristote d'Averroès le lui rend.“ (Gauthier 1982, 25)</w:t>
      </w:r>
    </w:p>
  </w:footnote>
  <w:footnote w:id="84">
    <w:p w14:paraId="3F7CD34F" w14:textId="77777777" w:rsidR="00CD2817" w:rsidRPr="00363E79" w:rsidRDefault="00CD2817" w:rsidP="005B3C02">
      <w:pPr>
        <w:pStyle w:val="Textpoznpodarou"/>
      </w:pPr>
      <w:r>
        <w:rPr>
          <w:rStyle w:val="Znakapoznpodarou"/>
        </w:rPr>
        <w:footnoteRef/>
      </w:r>
      <w:r>
        <w:t xml:space="preserve"> </w:t>
      </w:r>
      <w:r w:rsidRPr="00AC3BEB">
        <w:t>„Le premier averroïsme, c'est cela: la doctrine qui fait de l'intellect agent une puissance de l'âme.“ (Gauthier 1982, 335)</w:t>
      </w:r>
    </w:p>
  </w:footnote>
  <w:footnote w:id="85">
    <w:p w14:paraId="32C35810" w14:textId="77777777" w:rsidR="00CD2817" w:rsidRPr="00114AF2" w:rsidRDefault="00CD2817" w:rsidP="003D3B89">
      <w:pPr>
        <w:pStyle w:val="Textpoznpodarou"/>
        <w:rPr>
          <w:lang w:val="cs-CZ"/>
        </w:rPr>
      </w:pPr>
      <w:r>
        <w:rPr>
          <w:rStyle w:val="Znakapoznpodarou"/>
        </w:rPr>
        <w:footnoteRef/>
      </w:r>
      <w:r>
        <w:t xml:space="preserve"> </w:t>
      </w:r>
      <w:r>
        <w:rPr>
          <w:lang w:val="cs-CZ"/>
        </w:rPr>
        <w:t>„</w:t>
      </w:r>
      <w:r w:rsidRPr="00981FD1">
        <w:t>Lux enim, secundum quod lux, est qualitas que ex essentia sua est perfectio translucentis. Sed illa qualitas que est color solum dicitur esse lux in quantum ipsa ex se generat lumen, et est perfectio translucentis; et dicitur illa qualitas esse color in quantum ipsa colorat suum subiectum. Distinguitur autem in commento inter lucem et lumen et splendorem.</w:t>
      </w:r>
      <w:r>
        <w:rPr>
          <w:lang w:val="cs-CZ"/>
        </w:rPr>
        <w:t>“ (</w:t>
      </w:r>
      <w:r w:rsidRPr="00C8126F">
        <w:rPr>
          <w:i/>
        </w:rPr>
        <w:t>Tractatus de anima</w:t>
      </w:r>
      <w:r>
        <w:t>,</w:t>
      </w:r>
      <w:r>
        <w:rPr>
          <w:lang w:val="cs-CZ"/>
        </w:rPr>
        <w:t xml:space="preserve"> 123; </w:t>
      </w:r>
      <w:r>
        <w:t xml:space="preserve">ed. Callus‒Hunt, p. </w:t>
      </w:r>
      <w:r>
        <w:rPr>
          <w:lang w:val="cs-CZ"/>
        </w:rPr>
        <w:t>32</w:t>
      </w:r>
      <w:r>
        <w:t>.2</w:t>
      </w:r>
      <w:r>
        <w:rPr>
          <w:lang w:val="cs-CZ"/>
        </w:rPr>
        <w:t>1</w:t>
      </w:r>
      <w:r>
        <w:t>‒2</w:t>
      </w:r>
      <w:r>
        <w:rPr>
          <w:lang w:val="cs-CZ"/>
        </w:rPr>
        <w:t>8</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rsidRPr="007B4D8C">
        <w:rPr>
          <w:lang w:val="cs-CZ"/>
        </w:rPr>
        <w:instrText>32</w:instrText>
      </w:r>
      <w:r w:rsidRPr="007B4D8C">
        <w:instrText>.2</w:instrText>
      </w:r>
      <w:r w:rsidRPr="007B4D8C">
        <w:rPr>
          <w:lang w:val="cs-CZ"/>
        </w:rPr>
        <w:instrText>1</w:instrText>
      </w:r>
      <w:r w:rsidRPr="007B4D8C">
        <w:instrText>‒2</w:instrText>
      </w:r>
      <w:r w:rsidRPr="007B4D8C">
        <w:rPr>
          <w:lang w:val="cs-CZ"/>
        </w:rPr>
        <w:instrText>8</w:instrText>
      </w:r>
      <w:r>
        <w:instrText xml:space="preserve">" </w:instrText>
      </w:r>
      <w:r>
        <w:rPr>
          <w:lang w:val="cs-CZ"/>
        </w:rPr>
        <w:fldChar w:fldCharType="end"/>
      </w:r>
      <w:r>
        <w:rPr>
          <w:lang w:val="cs-CZ"/>
        </w:rPr>
        <w:t>)</w:t>
      </w:r>
    </w:p>
  </w:footnote>
  <w:footnote w:id="86">
    <w:p w14:paraId="0B1639E7" w14:textId="77777777" w:rsidR="00CD2817" w:rsidRPr="001D03C6" w:rsidRDefault="00CD2817" w:rsidP="089F4C29">
      <w:pPr>
        <w:pStyle w:val="Textpoznpodarou"/>
      </w:pPr>
      <w:r w:rsidRPr="001D03C6">
        <w:rPr>
          <w:rStyle w:val="Znakapoznpodarou"/>
        </w:rPr>
        <w:footnoteRef/>
      </w:r>
      <w:r>
        <w:t xml:space="preserve"> </w:t>
      </w:r>
      <w:r w:rsidRPr="001D03C6">
        <w:t>„</w:t>
      </w:r>
      <w:r w:rsidRPr="001D03C6">
        <w:rPr>
          <w:rFonts w:eastAsia="GarBasis"/>
        </w:rPr>
        <w:t>Und auch der aktive Intellekt wird von John Blund aus der Vier-Intellekte-Lehre verabschiedet, dadurch das er ihn zu einer abstrahierenden Seelen</w:t>
      </w:r>
      <w:r w:rsidRPr="00322474">
        <w:rPr>
          <w:rFonts w:eastAsia="GarBasisIt"/>
          <w:i/>
        </w:rPr>
        <w:t>kraft</w:t>
      </w:r>
      <w:r w:rsidRPr="001D03C6">
        <w:rPr>
          <w:rFonts w:eastAsia="GarBasis"/>
        </w:rPr>
        <w:t xml:space="preserve">, einer </w:t>
      </w:r>
      <w:r w:rsidRPr="00322474">
        <w:rPr>
          <w:rFonts w:eastAsia="GarBasisIt"/>
          <w:i/>
        </w:rPr>
        <w:t>vis animae</w:t>
      </w:r>
      <w:r w:rsidRPr="001D03C6">
        <w:rPr>
          <w:rFonts w:eastAsia="GarBasis"/>
        </w:rPr>
        <w:t>, erklart, die mit den vorangehenden Intellekten in keinem deutlichen Zusammenhang steht. John Blund hat daher eigentlich keine Theorie der vier Intellekte.“ (Hasse 1999, 46)</w:t>
      </w:r>
    </w:p>
  </w:footnote>
  <w:footnote w:id="87">
    <w:p w14:paraId="6EB80F75" w14:textId="77777777" w:rsidR="00CD2817" w:rsidRPr="00FD03B4" w:rsidRDefault="00CD2817" w:rsidP="00D0526E">
      <w:pPr>
        <w:pStyle w:val="Textpoznpodarou"/>
      </w:pPr>
      <w:r>
        <w:rPr>
          <w:rStyle w:val="Znakapoznpodarou"/>
        </w:rPr>
        <w:footnoteRef/>
      </w:r>
      <w:r>
        <w:t xml:space="preserve"> „</w:t>
      </w:r>
      <w:r w:rsidRPr="006E68E0">
        <w:t>Intellectus agens est via animae apprehensiva rerum universalium abstrahendo eas ab accidentibus.</w:t>
      </w:r>
      <w:r>
        <w:t>“ (</w:t>
      </w:r>
      <w:r w:rsidRPr="00C8126F">
        <w:rPr>
          <w:i/>
        </w:rPr>
        <w:t>Tractatus de anima</w:t>
      </w:r>
      <w:r>
        <w:t>, 341, ed. Callus‒Hunt, p. 93.22‒23</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instrText xml:space="preserve">93.22‒23" </w:instrText>
      </w:r>
      <w:r>
        <w:rPr>
          <w:lang w:val="cs-CZ"/>
        </w:rPr>
        <w:fldChar w:fldCharType="end"/>
      </w:r>
      <w:r>
        <w:t>)</w:t>
      </w:r>
    </w:p>
  </w:footnote>
  <w:footnote w:id="88">
    <w:p w14:paraId="2635F2B7" w14:textId="77777777" w:rsidR="00CD2817" w:rsidRPr="08893AA5" w:rsidRDefault="00CD2817" w:rsidP="0822149B">
      <w:pPr>
        <w:pStyle w:val="Textpoznpodarou"/>
        <w:rPr>
          <w:lang w:val="cs-CZ"/>
        </w:rPr>
      </w:pPr>
      <w:r>
        <w:rPr>
          <w:rStyle w:val="Znakapoznpodarou"/>
        </w:rPr>
        <w:footnoteRef/>
      </w:r>
      <w:r>
        <w:t xml:space="preserve"> </w:t>
      </w:r>
      <w:r>
        <w:rPr>
          <w:lang w:val="cs-CZ"/>
        </w:rPr>
        <w:t>„</w:t>
      </w:r>
      <w:r w:rsidRPr="08893AA5">
        <w:t>(...) Etwas, dess</w:t>
      </w:r>
      <w:r>
        <w:t>en Wesen die Fä</w:t>
      </w:r>
      <w:r w:rsidRPr="08893AA5">
        <w:t xml:space="preserve">higkeit oder die Bereitschaft besitzt, das Was (Wesen) und die Formen von allem, was vorhanden ist, von den Stoffen derselben zu abstrahiren, so dass es diese Formen allesammt </w:t>
      </w:r>
      <w:r>
        <w:t>ohne die Stoffe zu einer Form fü</w:t>
      </w:r>
      <w:r w:rsidRPr="08893AA5">
        <w:t>r sich macht.</w:t>
      </w:r>
      <w:r>
        <w:rPr>
          <w:lang w:val="cs-CZ"/>
        </w:rPr>
        <w:t xml:space="preserve">“ </w:t>
      </w:r>
      <w:r>
        <w:t>(</w:t>
      </w:r>
      <w:r w:rsidRPr="00916F9D">
        <w:rPr>
          <w:i/>
          <w:lang w:val="cs-CZ"/>
        </w:rPr>
        <w:t>Über die Bedeutungen des Worts '</w:t>
      </w:r>
      <w:r>
        <w:rPr>
          <w:i/>
          <w:lang w:val="cs-CZ"/>
        </w:rPr>
        <w:t>Intellect', 'Vernunft'</w:t>
      </w:r>
      <w:r>
        <w:rPr>
          <w:lang w:val="cs-CZ"/>
        </w:rPr>
        <w:t xml:space="preserve">, ed. </w:t>
      </w:r>
      <w:r>
        <w:t>Dieterici; p. 74.2</w:t>
      </w:r>
      <w:r>
        <w:rPr>
          <w:lang w:val="cs-CZ"/>
        </w:rPr>
        <w:t>3</w:t>
      </w:r>
      <w:r>
        <w:t>–</w:t>
      </w:r>
      <w:r>
        <w:rPr>
          <w:lang w:val="cs-CZ"/>
        </w:rPr>
        <w:t>25</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p>
  </w:footnote>
  <w:footnote w:id="89">
    <w:p w14:paraId="7EAD3004" w14:textId="77777777" w:rsidR="00CD2817" w:rsidRPr="006617E5" w:rsidRDefault="00CD2817" w:rsidP="006617E5">
      <w:pPr>
        <w:pStyle w:val="Textpoznpodarou"/>
      </w:pPr>
      <w:r w:rsidRPr="006617E5">
        <w:rPr>
          <w:rStyle w:val="Znakapoznpodarou"/>
        </w:rPr>
        <w:footnoteRef/>
      </w:r>
      <w:r w:rsidRPr="006617E5">
        <w:t xml:space="preserve"> </w:t>
      </w:r>
      <w:r w:rsidRPr="006617E5">
        <w:rPr>
          <w:rStyle w:val="Zkladntextdkovn0pt"/>
          <w:rFonts w:ascii="Calibri" w:eastAsia="Times" w:hAnsi="Calibri" w:cs="Times New Roman"/>
          <w:color w:val="auto"/>
          <w:spacing w:val="0"/>
          <w:sz w:val="20"/>
          <w:u w:val="none"/>
          <w:lang w:val="x-none"/>
        </w:rPr>
        <w:t>„Intellectus adeptus est passio generata in anima, que est simili</w:t>
      </w:r>
      <w:r w:rsidRPr="006617E5">
        <w:rPr>
          <w:rStyle w:val="Zkladntextdkovn0pt"/>
          <w:rFonts w:ascii="Calibri" w:eastAsia="Times" w:hAnsi="Calibri" w:cs="Times New Roman"/>
          <w:color w:val="auto"/>
          <w:spacing w:val="0"/>
          <w:sz w:val="20"/>
          <w:u w:val="none"/>
          <w:lang w:val="x-none"/>
        </w:rPr>
        <w:softHyphen/>
        <w:t xml:space="preserve">tudo rei extra; de quo intellectu habetur ab Aristotele in libro </w:t>
      </w:r>
      <w:r w:rsidRPr="006617E5">
        <w:rPr>
          <w:rStyle w:val="ZkladntextKurzvadkovn0pt"/>
          <w:rFonts w:ascii="Calibri" w:eastAsia="Times" w:hAnsi="Calibri"/>
          <w:i w:val="0"/>
          <w:iCs w:val="0"/>
          <w:color w:val="auto"/>
          <w:spacing w:val="0"/>
          <w:sz w:val="20"/>
          <w:u w:val="none"/>
          <w:lang w:val="x-none"/>
        </w:rPr>
        <w:t>de Anima</w:t>
      </w:r>
      <w:r w:rsidRPr="006617E5">
        <w:rPr>
          <w:rStyle w:val="Zkladntextdkovn0pt"/>
          <w:rFonts w:ascii="Calibri" w:eastAsia="Times" w:hAnsi="Calibri" w:cs="Times New Roman"/>
          <w:color w:val="auto"/>
          <w:spacing w:val="0"/>
          <w:sz w:val="20"/>
          <w:u w:val="none"/>
          <w:lang w:val="x-none"/>
        </w:rPr>
        <w:t xml:space="preserve">, quod res intellecta est perfectio anime et de eius essentia. Appellat autem Aristoteles ibi rem intellectam intellectum adeptum, qui est </w:t>
      </w:r>
      <w:r w:rsidRPr="006617E5">
        <w:rPr>
          <w:rStyle w:val="Zkladntext75pt"/>
          <w:rFonts w:ascii="Calibri" w:eastAsia="Times" w:hAnsi="Calibri" w:cs="Times New Roman"/>
          <w:color w:val="auto"/>
          <w:spacing w:val="0"/>
          <w:sz w:val="20"/>
        </w:rPr>
        <w:t xml:space="preserve"> </w:t>
      </w:r>
      <w:r w:rsidRPr="006617E5">
        <w:rPr>
          <w:rStyle w:val="Zkladntextdkovn0pt"/>
          <w:rFonts w:ascii="Calibri" w:eastAsia="Times" w:hAnsi="Calibri" w:cs="Times New Roman"/>
          <w:color w:val="auto"/>
          <w:spacing w:val="0"/>
          <w:sz w:val="20"/>
          <w:u w:val="none"/>
          <w:lang w:val="x-none"/>
        </w:rPr>
        <w:t>ymago rei extra.“ (</w:t>
      </w:r>
      <w:r w:rsidRPr="00C11E63">
        <w:rPr>
          <w:i/>
        </w:rPr>
        <w:t>Tractatus de anima</w:t>
      </w:r>
      <w:r w:rsidRPr="006617E5">
        <w:t xml:space="preserve">, </w:t>
      </w:r>
      <w:r>
        <w:t>339, ed. Callus‒Hunt, p. 93.6‒1</w:t>
      </w:r>
      <w:r>
        <w:rPr>
          <w:lang w:val="cs-CZ"/>
        </w:rPr>
        <w:t>0</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instrText>93</w:instrText>
      </w:r>
      <w:r>
        <w:rPr>
          <w:lang w:val="cs-CZ"/>
        </w:rPr>
        <w:instrText>.6</w:instrText>
      </w:r>
      <w:r>
        <w:instrText>‒</w:instrText>
      </w:r>
      <w:r>
        <w:rPr>
          <w:lang w:val="cs-CZ"/>
        </w:rPr>
        <w:instrText>10</w:instrText>
      </w:r>
      <w:r>
        <w:instrText xml:space="preserve">" </w:instrText>
      </w:r>
      <w:r>
        <w:rPr>
          <w:lang w:val="cs-CZ"/>
        </w:rPr>
        <w:fldChar w:fldCharType="end"/>
      </w:r>
      <w:r w:rsidRPr="006617E5">
        <w:rPr>
          <w:rStyle w:val="Zkladntextdkovn0pt"/>
          <w:rFonts w:ascii="Calibri" w:eastAsia="Times" w:hAnsi="Calibri" w:cs="Times New Roman"/>
          <w:color w:val="auto"/>
          <w:spacing w:val="0"/>
          <w:sz w:val="20"/>
          <w:u w:val="none"/>
          <w:lang w:val="x-none"/>
        </w:rPr>
        <w:t>)</w:t>
      </w:r>
    </w:p>
  </w:footnote>
  <w:footnote w:id="90">
    <w:p w14:paraId="55180BFA" w14:textId="77777777" w:rsidR="00CD2817" w:rsidRPr="006617E5" w:rsidRDefault="00CD2817" w:rsidP="080D0CFD">
      <w:pPr>
        <w:pStyle w:val="Textpoznpodarou"/>
      </w:pPr>
      <w:r w:rsidRPr="006617E5">
        <w:rPr>
          <w:rStyle w:val="Znakapoznpodarou"/>
        </w:rPr>
        <w:footnoteRef/>
      </w:r>
      <w:r w:rsidRPr="006617E5">
        <w:t xml:space="preserve"> </w:t>
      </w:r>
      <w:r w:rsidRPr="006617E5">
        <w:rPr>
          <w:rStyle w:val="Zkladntextdkovn0pt"/>
          <w:rFonts w:ascii="Calibri" w:eastAsia="Times" w:hAnsi="Calibri" w:cs="Times New Roman"/>
          <w:color w:val="auto"/>
          <w:spacing w:val="0"/>
          <w:sz w:val="20"/>
          <w:u w:val="none"/>
          <w:lang w:val="x-none"/>
        </w:rPr>
        <w:t>„Et ille intellectus adeptus dicitur esse intellectus formalis, quoniam est habens se ad similitudinem et proportionem formae; quoniam sicut forma perficit materiam dando ei esse actu, ita et intellectus adeptus perficit intellectum materialem dando ei esse in effectu. Est enim anime secunda perfectio ab intellectu adepto.“ (</w:t>
      </w:r>
      <w:r w:rsidRPr="00C11E63">
        <w:rPr>
          <w:i/>
        </w:rPr>
        <w:t>Tractatus de anima</w:t>
      </w:r>
      <w:r>
        <w:t>, 339, ed. Callus‒Hunt, p. 93.</w:t>
      </w:r>
      <w:r>
        <w:rPr>
          <w:lang w:val="cs-CZ"/>
        </w:rPr>
        <w:t>10</w:t>
      </w:r>
      <w:r w:rsidRPr="006617E5">
        <w:t>‒14</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instrText>93</w:instrText>
      </w:r>
      <w:r>
        <w:rPr>
          <w:lang w:val="cs-CZ"/>
        </w:rPr>
        <w:instrText>.10</w:instrText>
      </w:r>
      <w:r>
        <w:instrText>‒</w:instrText>
      </w:r>
      <w:r>
        <w:rPr>
          <w:lang w:val="cs-CZ"/>
        </w:rPr>
        <w:instrText>14</w:instrText>
      </w:r>
      <w:r>
        <w:instrText xml:space="preserve">" </w:instrText>
      </w:r>
      <w:r>
        <w:rPr>
          <w:lang w:val="cs-CZ"/>
        </w:rPr>
        <w:fldChar w:fldCharType="end"/>
      </w:r>
      <w:r w:rsidRPr="006617E5">
        <w:rPr>
          <w:rStyle w:val="Zkladntextdkovn0pt"/>
          <w:rFonts w:ascii="Calibri" w:eastAsia="Times" w:hAnsi="Calibri" w:cs="Times New Roman"/>
          <w:color w:val="auto"/>
          <w:spacing w:val="0"/>
          <w:sz w:val="20"/>
          <w:u w:val="none"/>
          <w:lang w:val="x-none"/>
        </w:rPr>
        <w:t>)</w:t>
      </w:r>
    </w:p>
  </w:footnote>
  <w:footnote w:id="91">
    <w:p w14:paraId="16905FD9" w14:textId="77777777" w:rsidR="00CD2817" w:rsidRPr="005505EE" w:rsidRDefault="00CD2817" w:rsidP="00593F89">
      <w:pPr>
        <w:pStyle w:val="Textpoznpodarou"/>
        <w:rPr>
          <w:lang w:val="cs-CZ"/>
        </w:rPr>
      </w:pPr>
      <w:r>
        <w:rPr>
          <w:rStyle w:val="Znakapoznpodarou"/>
        </w:rPr>
        <w:footnoteRef/>
      </w:r>
      <w:r>
        <w:t xml:space="preserve"> </w:t>
      </w:r>
      <w:r>
        <w:rPr>
          <w:lang w:val="cs-CZ"/>
        </w:rPr>
        <w:t>„</w:t>
      </w:r>
      <w:r w:rsidRPr="00E20761">
        <w:rPr>
          <w:lang w:val="cs-CZ"/>
        </w:rPr>
        <w:t>Intellectus angeli et intellectus hominis differunt in modo apprehendendi, non in comprehensibili. Angelus enim non apprehendit res per species abstractas a rebus, sicut homo, cuius intellectus cognoscit per speciem quia coniunctus est. Idem ergo cognoscunt homo et angelus sed differenter.</w:t>
      </w:r>
      <w:r>
        <w:rPr>
          <w:lang w:val="cs-CZ"/>
        </w:rPr>
        <w:t>“ (</w:t>
      </w:r>
      <w:r w:rsidRPr="005505EE">
        <w:rPr>
          <w:i/>
          <w:lang w:val="cs-CZ"/>
        </w:rPr>
        <w:t>De anima</w:t>
      </w:r>
      <w:r>
        <w:rPr>
          <w:lang w:val="cs-CZ"/>
        </w:rPr>
        <w:t xml:space="preserve"> II; ed. Baur, pp. 247.40‒248.2</w:t>
      </w:r>
      <w:r>
        <w:rPr>
          <w:lang w:val="cs-CZ"/>
        </w:rPr>
        <w:fldChar w:fldCharType="begin"/>
      </w:r>
      <w:r>
        <w:instrText xml:space="preserve"> XE "</w:instrText>
      </w:r>
      <w:r>
        <w:rPr>
          <w:lang w:val="cs-CZ"/>
        </w:rPr>
        <w:instrText>Grosseteste:</w:instrText>
      </w:r>
      <w:r w:rsidRPr="0000155A">
        <w:rPr>
          <w:i/>
          <w:lang w:val="cs-CZ"/>
        </w:rPr>
        <w:instrText>De anima</w:instrText>
      </w:r>
      <w:r w:rsidRPr="0000155A">
        <w:rPr>
          <w:lang w:val="cs-CZ"/>
        </w:rPr>
        <w:instrText xml:space="preserve"> 247.40‒248.2</w:instrText>
      </w:r>
      <w:r>
        <w:instrText xml:space="preserve">" </w:instrText>
      </w:r>
      <w:r>
        <w:rPr>
          <w:lang w:val="cs-CZ"/>
        </w:rPr>
        <w:fldChar w:fldCharType="end"/>
      </w:r>
      <w:r>
        <w:rPr>
          <w:lang w:val="cs-CZ"/>
        </w:rPr>
        <w:t>)</w:t>
      </w:r>
    </w:p>
  </w:footnote>
  <w:footnote w:id="92">
    <w:p w14:paraId="3BB9BC22" w14:textId="77777777" w:rsidR="00CD2817" w:rsidRPr="00596901" w:rsidRDefault="00CD2817" w:rsidP="00593F89">
      <w:pPr>
        <w:pStyle w:val="Textpoznpodarou"/>
        <w:rPr>
          <w:lang w:val="cs-CZ"/>
        </w:rPr>
      </w:pPr>
      <w:r>
        <w:rPr>
          <w:rStyle w:val="Znakapoznpodarou"/>
        </w:rPr>
        <w:footnoteRef/>
      </w:r>
      <w:r>
        <w:t xml:space="preserve"> „Dicendum est quod intentio est res accepta ab aestimatione non cadens in sensum ut mediante sensu apprehendatur ab anima, ita quod non exigatur vis alia ad intentionis apprehensionem, nec est eius imago in sensu vel in imaginatione; sed fit in aestimatione imago intentionis [per] apprehensionem, nec est eius imago in sensu vel imaginatione, sed fit in aestimatione imago intentionis non existente aliqua similitudine intentionis in aliquo eorum quae sunt inter instrumentum aestimationis et subiectum intentionis, sicut superius dictum est de visu, quod imago rei visae sit in visu, non tamen in aere intermedio est consimilis imago.“ </w:t>
      </w:r>
      <w:r w:rsidRPr="00F0719C">
        <w:rPr>
          <w:rStyle w:val="Zkladntextdkovn0pt"/>
          <w:rFonts w:ascii="Calibri" w:eastAsia="Times" w:hAnsi="Calibri" w:cs="Times New Roman"/>
          <w:spacing w:val="0"/>
          <w:sz w:val="22"/>
          <w:u w:val="none"/>
        </w:rPr>
        <w:t>(</w:t>
      </w:r>
      <w:r w:rsidRPr="00C33FAF">
        <w:rPr>
          <w:i/>
        </w:rPr>
        <w:t>Tractatus de anima</w:t>
      </w:r>
      <w:r w:rsidRPr="00F0719C">
        <w:t>, 257</w:t>
      </w:r>
      <w:r>
        <w:rPr>
          <w:lang w:val="cs-CZ"/>
        </w:rPr>
        <w:t>;</w:t>
      </w:r>
      <w:r w:rsidRPr="00F0719C">
        <w:t xml:space="preserve"> ed. Callus‒Hunt, p. 69.23‒3</w:t>
      </w:r>
      <w:r>
        <w:t>1</w:t>
      </w:r>
      <w:r>
        <w:fldChar w:fldCharType="begin"/>
      </w:r>
      <w:r>
        <w:instrText xml:space="preserve"> XE "</w:instrText>
      </w:r>
      <w:r>
        <w:rPr>
          <w:lang w:val="cs-CZ"/>
        </w:rPr>
        <w:instrText>Blund:</w:instrText>
      </w:r>
      <w:r w:rsidRPr="008D6F21">
        <w:rPr>
          <w:i/>
        </w:rPr>
        <w:instrText>Tractatus de anima</w:instrText>
      </w:r>
      <w:r>
        <w:rPr>
          <w:i/>
          <w:lang w:val="cs-CZ"/>
        </w:rPr>
        <w:instrText xml:space="preserve"> </w:instrText>
      </w:r>
      <w:r w:rsidRPr="008D6F21">
        <w:instrText>69.23‒31</w:instrText>
      </w:r>
      <w:r>
        <w:instrText xml:space="preserve">" </w:instrText>
      </w:r>
      <w:r>
        <w:fldChar w:fldCharType="end"/>
      </w:r>
      <w:r w:rsidRPr="00F0719C">
        <w:rPr>
          <w:rStyle w:val="Zkladntextdkovn0pt"/>
          <w:rFonts w:ascii="Calibri" w:eastAsia="Times" w:hAnsi="Calibri" w:cs="Times New Roman"/>
          <w:spacing w:val="0"/>
          <w:sz w:val="22"/>
          <w:u w:val="none"/>
        </w:rPr>
        <w:t>)</w:t>
      </w:r>
    </w:p>
  </w:footnote>
  <w:footnote w:id="93">
    <w:p w14:paraId="5F7335F2" w14:textId="77777777" w:rsidR="00CD2817" w:rsidRPr="00742D25" w:rsidRDefault="00CD2817" w:rsidP="00593F89">
      <w:pPr>
        <w:pStyle w:val="Textpoznpodarou"/>
      </w:pPr>
      <w:r>
        <w:rPr>
          <w:rStyle w:val="Znakapoznpodarou"/>
        </w:rPr>
        <w:footnoteRef/>
      </w:r>
      <w:r>
        <w:t xml:space="preserve"> Hasse </w:t>
      </w:r>
      <w:r>
        <w:rPr>
          <w:lang w:val="cs-CZ"/>
        </w:rPr>
        <w:t xml:space="preserve">v duchu moderní objektivity </w:t>
      </w:r>
      <w:r>
        <w:t>interp</w:t>
      </w:r>
      <w:r>
        <w:rPr>
          <w:lang w:val="cs-CZ"/>
        </w:rPr>
        <w:t>r</w:t>
      </w:r>
      <w:r>
        <w:t xml:space="preserve">etuje Blundovo pojetí intencionality tím, že usazuje intencionální předmět přímo do externí věci jako to měl Avicenna: </w:t>
      </w:r>
      <w:r w:rsidRPr="005B0D50">
        <w:t xml:space="preserve">"...he </w:t>
      </w:r>
      <w:r>
        <w:t xml:space="preserve">[Blund] </w:t>
      </w:r>
      <w:r w:rsidRPr="005B0D50">
        <w:t xml:space="preserve">speaks of the 'original carrier of the </w:t>
      </w:r>
      <w:r w:rsidRPr="005B0D50">
        <w:rPr>
          <w:i/>
        </w:rPr>
        <w:t>intentio'</w:t>
      </w:r>
      <w:r w:rsidRPr="005B0D50">
        <w:t xml:space="preserve"> ('</w:t>
      </w:r>
      <w:r w:rsidRPr="08001527">
        <w:rPr>
          <w:i/>
        </w:rPr>
        <w:t>proprium subiectum intentionis</w:t>
      </w:r>
      <w:r w:rsidRPr="005B0D50">
        <w:t xml:space="preserve">'), e.g. the wolf, and the likeness or image of </w:t>
      </w:r>
      <w:r>
        <w:t xml:space="preserve">the </w:t>
      </w:r>
      <w:r w:rsidRPr="005B0D50">
        <w:rPr>
          <w:i/>
        </w:rPr>
        <w:t>intentio</w:t>
      </w:r>
      <w:r>
        <w:t xml:space="preserve"> </w:t>
      </w:r>
      <w:r w:rsidRPr="005B0D50">
        <w:t>('</w:t>
      </w:r>
      <w:r w:rsidRPr="08A77767">
        <w:rPr>
          <w:i/>
        </w:rPr>
        <w:t>similitudo</w:t>
      </w:r>
      <w:r w:rsidRPr="005B0D50">
        <w:t>/</w:t>
      </w:r>
      <w:r w:rsidRPr="08A77767">
        <w:rPr>
          <w:i/>
        </w:rPr>
        <w:t>imago intentionis</w:t>
      </w:r>
      <w:r w:rsidRPr="005B0D50">
        <w:t xml:space="preserve">') which comes about in the faculty of estimation. These terms are new. They show us that Blund is radicalizing Avicenna's theory: </w:t>
      </w:r>
      <w:r w:rsidRPr="005B0D50">
        <w:rPr>
          <w:i/>
        </w:rPr>
        <w:t>intentiones</w:t>
      </w:r>
      <w:r w:rsidRPr="005B0D50">
        <w:t xml:space="preserve"> are nowhere else than in the object; what is perceived is only representations of them."</w:t>
      </w:r>
      <w:r>
        <w:t xml:space="preserve"> (Hasse 2000, 146).</w:t>
      </w:r>
    </w:p>
  </w:footnote>
  <w:footnote w:id="94">
    <w:p w14:paraId="61E97DB2" w14:textId="77777777" w:rsidR="00CD2817" w:rsidRPr="00FC16BB" w:rsidRDefault="00CD2817" w:rsidP="00D16424">
      <w:pPr>
        <w:pStyle w:val="Textpoznpodarou"/>
      </w:pPr>
      <w:r>
        <w:rPr>
          <w:rStyle w:val="Znakapoznpodarou"/>
        </w:rPr>
        <w:footnoteRef/>
      </w:r>
      <w:r>
        <w:t xml:space="preserve"> </w:t>
      </w:r>
      <w:r w:rsidRPr="00FC16BB">
        <w:rPr>
          <w:rFonts w:eastAsia="Times"/>
        </w:rPr>
        <w:t>„Est ergo in ymaginatione duplex vis corporalis: una que est receptiva similitudinis corporis extra, et alia vis que est formate similitudinis retentiva, et utra</w:t>
      </w:r>
      <w:r>
        <w:rPr>
          <w:rFonts w:eastAsia="Times"/>
        </w:rPr>
        <w:t>que istarum virium subservit ap</w:t>
      </w:r>
      <w:r w:rsidRPr="00FC16BB">
        <w:rPr>
          <w:rFonts w:eastAsia="Times"/>
        </w:rPr>
        <w:t>prehensioni facte per vim ymaginativam. Qua ratione ergo distinguitur ymaginatio secundum vim receptivam debet ipsa distingui secundum vim retentivam.“ (</w:t>
      </w:r>
      <w:r w:rsidRPr="00FC16BB">
        <w:rPr>
          <w:i/>
        </w:rPr>
        <w:t>Tractatus de anima</w:t>
      </w:r>
      <w:r>
        <w:t>, 246</w:t>
      </w:r>
      <w:r>
        <w:rPr>
          <w:lang w:val="cs-CZ"/>
        </w:rPr>
        <w:t xml:space="preserve">; </w:t>
      </w:r>
      <w:r w:rsidRPr="00FC16BB">
        <w:t>ed. Callus‒Hunt, p. 66.19‒22</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rsidRPr="00FC16BB">
        <w:instrText>66.19‒22</w:instrText>
      </w:r>
      <w:r>
        <w:instrText xml:space="preserve">" </w:instrText>
      </w:r>
      <w:r>
        <w:rPr>
          <w:lang w:val="cs-CZ"/>
        </w:rPr>
        <w:fldChar w:fldCharType="end"/>
      </w:r>
      <w:r w:rsidRPr="00FC16BB">
        <w:rPr>
          <w:rFonts w:eastAsia="Times"/>
        </w:rPr>
        <w:t>)</w:t>
      </w:r>
    </w:p>
  </w:footnote>
  <w:footnote w:id="95">
    <w:p w14:paraId="55880E5F" w14:textId="77777777" w:rsidR="00CD2817" w:rsidRPr="003E4929" w:rsidRDefault="00CD2817" w:rsidP="00D16424">
      <w:pPr>
        <w:pStyle w:val="Textpoznpodarou"/>
        <w:rPr>
          <w:rFonts w:eastAsia="Times"/>
          <w:color w:val="000000"/>
          <w:sz w:val="21"/>
          <w:szCs w:val="15"/>
        </w:rPr>
      </w:pPr>
      <w:r>
        <w:rPr>
          <w:rStyle w:val="Znakapoznpodarou"/>
        </w:rPr>
        <w:footnoteRef/>
      </w:r>
      <w:r>
        <w:t xml:space="preserve"> </w:t>
      </w:r>
      <w:r w:rsidRPr="00FC16BB">
        <w:rPr>
          <w:rFonts w:eastAsia="Times"/>
        </w:rPr>
        <w:t>„Quoniam illud subiectum semper presto est ipsi memorie; se meminisse autem meminit per ymaginationem illius rei cuius rei per illud meminisse fuit record</w:t>
      </w:r>
      <w:r>
        <w:rPr>
          <w:rFonts w:eastAsia="Times"/>
        </w:rPr>
        <w:t>atio</w:t>
      </w:r>
      <w:r w:rsidRPr="00FC16BB">
        <w:rPr>
          <w:rFonts w:eastAsia="Times"/>
        </w:rPr>
        <w:t>; quoniam per illud meminisse fuit recordatio in effectum...“ (</w:t>
      </w:r>
      <w:r w:rsidRPr="00FC16BB">
        <w:rPr>
          <w:i/>
        </w:rPr>
        <w:t>Tractatus de anima</w:t>
      </w:r>
      <w:r>
        <w:t>, 272</w:t>
      </w:r>
      <w:r>
        <w:rPr>
          <w:lang w:val="cs-CZ"/>
        </w:rPr>
        <w:t xml:space="preserve">; </w:t>
      </w:r>
      <w:r w:rsidRPr="00FC16BB">
        <w:t>ed. Callus‒Hunt, p. 73.26‒29</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rsidRPr="00FC16BB">
        <w:instrText>73.26‒29</w:instrText>
      </w:r>
      <w:r>
        <w:instrText xml:space="preserve">" </w:instrText>
      </w:r>
      <w:r>
        <w:rPr>
          <w:lang w:val="cs-CZ"/>
        </w:rPr>
        <w:fldChar w:fldCharType="end"/>
      </w:r>
      <w:r w:rsidRPr="00FC16BB">
        <w:rPr>
          <w:rFonts w:eastAsia="Times"/>
        </w:rPr>
        <w:t>)</w:t>
      </w:r>
    </w:p>
  </w:footnote>
  <w:footnote w:id="96">
    <w:p w14:paraId="5F9C4440" w14:textId="77777777" w:rsidR="00CD2817" w:rsidRPr="00A31244" w:rsidRDefault="00CD2817">
      <w:pPr>
        <w:pStyle w:val="Textpoznpodarou"/>
      </w:pPr>
      <w:r>
        <w:rPr>
          <w:rStyle w:val="Znakapoznpodarou"/>
        </w:rPr>
        <w:footnoteRef/>
      </w:r>
      <w:r>
        <w:t xml:space="preserve"> </w:t>
      </w:r>
      <w:r w:rsidRPr="00A31244">
        <w:rPr>
          <w:rFonts w:eastAsia="Times"/>
        </w:rPr>
        <w:t xml:space="preserve">„Intellectus materialis est ipsa anima nuda a dispositionibus </w:t>
      </w:r>
      <w:r w:rsidRPr="00A31244">
        <w:t>adquisitis, et dicitur materialia, quoniam habet sе ad simulacrum aptitudinis materie prime ex qua in seipsa non est aliqua forma. Similiter dicitur esse intellectus in potentia, quoniam esse materie est esse in potentia, cum eius esse sit imperfectum, potest autem perfici per forme receptionem.“ (</w:t>
      </w:r>
      <w:r w:rsidRPr="00A31244">
        <w:rPr>
          <w:i/>
        </w:rPr>
        <w:t>Tractatus de anima</w:t>
      </w:r>
      <w:r w:rsidRPr="00A31244">
        <w:t>, 33</w:t>
      </w:r>
      <w:r>
        <w:t>8</w:t>
      </w:r>
      <w:r>
        <w:rPr>
          <w:lang w:val="cs-CZ"/>
        </w:rPr>
        <w:t xml:space="preserve">; </w:t>
      </w:r>
      <w:r w:rsidRPr="00A31244">
        <w:t>ed. Callus‒Hunt, p. 93.1‒5</w:t>
      </w:r>
      <w:r>
        <w:rPr>
          <w:lang w:val="cs-CZ"/>
        </w:rPr>
        <w:fldChar w:fldCharType="begin"/>
      </w:r>
      <w:r>
        <w:instrText xml:space="preserve"> XE "</w:instrText>
      </w:r>
      <w:r>
        <w:rPr>
          <w:lang w:val="cs-CZ"/>
        </w:rPr>
        <w:instrText>Blund:</w:instrText>
      </w:r>
      <w:r w:rsidRPr="007B4D8C">
        <w:rPr>
          <w:i/>
        </w:rPr>
        <w:instrText>Tractatus de anima</w:instrText>
      </w:r>
      <w:r>
        <w:rPr>
          <w:i/>
          <w:lang w:val="cs-CZ"/>
        </w:rPr>
        <w:instrText xml:space="preserve"> </w:instrText>
      </w:r>
      <w:r w:rsidRPr="00A31244">
        <w:instrText>93.1‒5</w:instrText>
      </w:r>
      <w:r>
        <w:instrText xml:space="preserve">" </w:instrText>
      </w:r>
      <w:r>
        <w:rPr>
          <w:lang w:val="cs-CZ"/>
        </w:rPr>
        <w:fldChar w:fldCharType="end"/>
      </w:r>
      <w:r w:rsidRPr="00A31244">
        <w:t>)</w:t>
      </w:r>
    </w:p>
  </w:footnote>
  <w:footnote w:id="97">
    <w:p w14:paraId="08F3411E" w14:textId="77777777" w:rsidR="00CD2817" w:rsidRPr="00612BEC" w:rsidRDefault="00CD2817" w:rsidP="08FE0447">
      <w:pPr>
        <w:pStyle w:val="Textpoznpodarou"/>
        <w:rPr>
          <w:rFonts w:eastAsia="Times"/>
          <w:szCs w:val="15"/>
        </w:rPr>
      </w:pPr>
      <w:r>
        <w:rPr>
          <w:rStyle w:val="Znakapoznpodarou"/>
        </w:rPr>
        <w:footnoteRef/>
      </w:r>
      <w:r>
        <w:t xml:space="preserve"> </w:t>
      </w:r>
      <w:r w:rsidRPr="00612BEC">
        <w:t>„Quod ergo sensus apprehendat formas que sunt in materiis hoc non est nisi propter hoc quod forme non possunt separari a materiebus, et non est de impotentia sensus quod ipse non apprehendit fo</w:t>
      </w:r>
      <w:r>
        <w:t>rmas separatas, sed est de impo</w:t>
      </w:r>
      <w:r w:rsidRPr="00612BEC">
        <w:t>tentia forme secundum quod separari n</w:t>
      </w:r>
      <w:r>
        <w:t>on potest a subiecto, nec appre</w:t>
      </w:r>
      <w:r w:rsidRPr="00612BEC">
        <w:t xml:space="preserve">henditur sensu nisi secundum quod forma est ei presens. Est ergo sensus quantum est in se abstractivus sicut intellectus.“ </w:t>
      </w:r>
      <w:r w:rsidRPr="00612BEC">
        <w:rPr>
          <w:rStyle w:val="Zkladntextdkovn0pt"/>
          <w:rFonts w:ascii="Calibri" w:eastAsia="Times" w:hAnsi="Calibri" w:cs="Times New Roman"/>
          <w:color w:val="auto"/>
          <w:spacing w:val="0"/>
          <w:sz w:val="20"/>
          <w:u w:val="none"/>
        </w:rPr>
        <w:t>(</w:t>
      </w:r>
      <w:r w:rsidRPr="00612BEC">
        <w:rPr>
          <w:i/>
        </w:rPr>
        <w:t>Tractatus de anima</w:t>
      </w:r>
      <w:r w:rsidRPr="00612BEC">
        <w:t>, 234</w:t>
      </w:r>
      <w:r>
        <w:rPr>
          <w:lang w:val="cs-CZ"/>
        </w:rPr>
        <w:t>;</w:t>
      </w:r>
      <w:r w:rsidRPr="00612BEC">
        <w:t xml:space="preserve"> </w:t>
      </w:r>
      <w:r w:rsidRPr="00F0719C">
        <w:t>ed. Callus‒Hunt</w:t>
      </w:r>
      <w:r>
        <w:rPr>
          <w:lang w:val="cs-CZ"/>
        </w:rPr>
        <w:t xml:space="preserve">, </w:t>
      </w:r>
      <w:r w:rsidRPr="00612BEC">
        <w:t>p. 62.17‒21</w:t>
      </w:r>
      <w:r>
        <w:fldChar w:fldCharType="begin"/>
      </w:r>
      <w:r>
        <w:instrText xml:space="preserve"> XE "</w:instrText>
      </w:r>
      <w:r>
        <w:rPr>
          <w:lang w:val="cs-CZ"/>
        </w:rPr>
        <w:instrText>Blund:</w:instrText>
      </w:r>
      <w:r w:rsidRPr="008278C6">
        <w:rPr>
          <w:i/>
        </w:rPr>
        <w:instrText>Tractatus de anima</w:instrText>
      </w:r>
      <w:r w:rsidRPr="008278C6">
        <w:instrText xml:space="preserve"> 62.17‒21</w:instrText>
      </w:r>
      <w:r>
        <w:instrText xml:space="preserve">" </w:instrText>
      </w:r>
      <w:r>
        <w:fldChar w:fldCharType="end"/>
      </w:r>
      <w:r w:rsidRPr="00612BEC">
        <w:rPr>
          <w:rStyle w:val="Zkladntextdkovn0pt"/>
          <w:rFonts w:ascii="Calibri" w:eastAsia="Times" w:hAnsi="Calibri" w:cs="Times New Roman"/>
          <w:color w:val="auto"/>
          <w:spacing w:val="0"/>
          <w:sz w:val="20"/>
          <w:u w:val="none"/>
        </w:rPr>
        <w:t>)</w:t>
      </w:r>
    </w:p>
  </w:footnote>
  <w:footnote w:id="98">
    <w:p w14:paraId="7715C4A8" w14:textId="77777777" w:rsidR="00CD2817" w:rsidRPr="00087BC0" w:rsidRDefault="00CD2817" w:rsidP="08FE0447">
      <w:pPr>
        <w:pStyle w:val="Textpoznpodarou"/>
      </w:pPr>
      <w:r>
        <w:rPr>
          <w:rStyle w:val="Znakapoznpodarou"/>
        </w:rPr>
        <w:footnoteRef/>
      </w:r>
      <w:r>
        <w:t xml:space="preserve"> </w:t>
      </w:r>
      <w:r w:rsidRPr="00087BC0">
        <w:t>„Sed propter nil aliud est intellectus abstractivus nisi quia ipse apprehendit formam abstrahendo eam a materia et ab apendiciis materie. Sed simile est de sensu, cum materia non apprehendatur per sensum nisi per accidens. Ergo sensus est abstractivus.“ (</w:t>
      </w:r>
      <w:r w:rsidRPr="00087BC0">
        <w:rPr>
          <w:i/>
        </w:rPr>
        <w:t>Tractatus de anima</w:t>
      </w:r>
      <w:r>
        <w:t xml:space="preserve">, </w:t>
      </w:r>
      <w:r w:rsidRPr="00087BC0">
        <w:t>233</w:t>
      </w:r>
      <w:r>
        <w:rPr>
          <w:lang w:val="cs-CZ"/>
        </w:rPr>
        <w:t>;</w:t>
      </w:r>
      <w:r w:rsidRPr="00087BC0">
        <w:t xml:space="preserve"> </w:t>
      </w:r>
      <w:r w:rsidRPr="00F0719C">
        <w:t>ed. Callus‒Hunt</w:t>
      </w:r>
      <w:r>
        <w:t>, p. 62.13‒</w:t>
      </w:r>
      <w:r w:rsidRPr="00087BC0">
        <w:t>15</w:t>
      </w:r>
      <w:r>
        <w:fldChar w:fldCharType="begin"/>
      </w:r>
      <w:r>
        <w:instrText xml:space="preserve"> XE "</w:instrText>
      </w:r>
      <w:r>
        <w:rPr>
          <w:lang w:val="cs-CZ"/>
        </w:rPr>
        <w:instrText>Blund:</w:instrText>
      </w:r>
      <w:r w:rsidRPr="00F879B9">
        <w:rPr>
          <w:i/>
        </w:rPr>
        <w:instrText>Tractatus de anima</w:instrText>
      </w:r>
      <w:r w:rsidRPr="00F879B9">
        <w:instrText xml:space="preserve"> 62.13‒15</w:instrText>
      </w:r>
      <w:r>
        <w:instrText xml:space="preserve">" </w:instrText>
      </w:r>
      <w:r>
        <w:fldChar w:fldCharType="end"/>
      </w:r>
      <w:r w:rsidRPr="00087BC0">
        <w:t>)</w:t>
      </w:r>
    </w:p>
  </w:footnote>
  <w:footnote w:id="99">
    <w:p w14:paraId="19265A0B" w14:textId="77777777" w:rsidR="00CD2817" w:rsidRPr="08810AC7" w:rsidRDefault="00CD2817" w:rsidP="08810AC7">
      <w:pPr>
        <w:pStyle w:val="Textpoznpodarou"/>
        <w:rPr>
          <w:lang w:val="cs-CZ"/>
        </w:rPr>
      </w:pPr>
      <w:r>
        <w:rPr>
          <w:rStyle w:val="Znakapoznpodarou"/>
        </w:rPr>
        <w:footnoteRef/>
      </w:r>
      <w:r>
        <w:t xml:space="preserve"> „</w:t>
      </w:r>
      <w:r w:rsidRPr="08FA06B9">
        <w:rPr>
          <w:i/>
        </w:rPr>
        <w:t>The quality of John Blund's discussion is exceptional</w:t>
      </w:r>
      <w:r>
        <w:t>.“ (Hasse 2000, 146)</w:t>
      </w:r>
      <w:r w:rsidRPr="08810AC7">
        <w:t xml:space="preserve"> </w:t>
      </w:r>
      <w:r>
        <w:t xml:space="preserve">Hermeneutika rozšiřuje </w:t>
      </w:r>
      <w:r>
        <w:rPr>
          <w:lang w:val="cs-CZ"/>
        </w:rPr>
        <w:t xml:space="preserve">toto objektivní a </w:t>
      </w:r>
      <w:r>
        <w:t>pozitivní hodnocení nového pojetí intencionality o epochální význam této změny</w:t>
      </w:r>
      <w:r>
        <w:rPr>
          <w:lang w:val="cs-CZ"/>
        </w:rPr>
        <w:t xml:space="preserve"> daný mimo objektivitu.</w:t>
      </w:r>
    </w:p>
  </w:footnote>
  <w:footnote w:id="100">
    <w:p w14:paraId="6F5918F5" w14:textId="7650E4C6" w:rsidR="00CD2817" w:rsidRPr="08095F30" w:rsidRDefault="00CD2817" w:rsidP="08506C8D">
      <w:pPr>
        <w:pStyle w:val="Textpoznpodarou"/>
        <w:rPr>
          <w:lang w:val="cs-CZ"/>
        </w:rPr>
      </w:pPr>
      <w:r>
        <w:rPr>
          <w:rStyle w:val="Znakapoznpodarou"/>
        </w:rPr>
        <w:footnoteRef/>
      </w:r>
      <w:r>
        <w:t xml:space="preserve"> </w:t>
      </w:r>
      <w:r>
        <w:rPr>
          <w:lang w:val="cs-CZ"/>
        </w:rPr>
        <w:t>Známá m</w:t>
      </w:r>
      <w:r>
        <w:t xml:space="preserve">onografie </w:t>
      </w:r>
      <w:r>
        <w:rPr>
          <w:lang w:val="cs-CZ"/>
        </w:rPr>
        <w:t xml:space="preserve">o scholastickém pojetí </w:t>
      </w:r>
      <w:r w:rsidRPr="004B4D52">
        <w:t>species</w:t>
      </w:r>
      <w:r>
        <w:t xml:space="preserve"> </w:t>
      </w:r>
      <w:r>
        <w:rPr>
          <w:lang w:val="cs-CZ"/>
        </w:rPr>
        <w:t>hájí objektivně-</w:t>
      </w:r>
      <w:r>
        <w:t xml:space="preserve">univoční výklad termínu </w:t>
      </w:r>
      <w:r w:rsidRPr="004B4D52">
        <w:t>species</w:t>
      </w:r>
      <w:r w:rsidRPr="008964A5">
        <w:rPr>
          <w:i/>
        </w:rPr>
        <w:t xml:space="preserve"> intelligibilis</w:t>
      </w:r>
      <w:r>
        <w:t xml:space="preserve"> pro všechny pojednávané autory do roku 1250 (Spruit 1994).</w:t>
      </w:r>
    </w:p>
  </w:footnote>
  <w:footnote w:id="101">
    <w:p w14:paraId="481F5B5A" w14:textId="77777777" w:rsidR="00CD2817" w:rsidRPr="08840501" w:rsidRDefault="00CD2817">
      <w:pPr>
        <w:pStyle w:val="Textpoznpodarou"/>
        <w:rPr>
          <w:rFonts w:eastAsia="Times"/>
          <w:szCs w:val="17"/>
          <w:shd w:val="clear" w:color="auto" w:fill="FFFFFF"/>
          <w:lang w:val="cs-CZ"/>
        </w:rPr>
      </w:pPr>
      <w:r>
        <w:rPr>
          <w:rStyle w:val="Znakapoznpodarou"/>
        </w:rPr>
        <w:footnoteRef/>
      </w:r>
      <w:r>
        <w:t xml:space="preserve"> </w:t>
      </w:r>
      <w:r>
        <w:rPr>
          <w:lang w:val="cs-CZ"/>
        </w:rPr>
        <w:t>„</w:t>
      </w:r>
      <w:r w:rsidRPr="08840501">
        <w:rPr>
          <w:lang w:val="cs-CZ"/>
        </w:rPr>
        <w:t>Ad hoc dicendum est, ut superius ostensum est, quod anima habet convertere se ad corpus quod ipsa regere habet, et ad eius dispositiones, et ad similitudinem ymaginum inventarum in memoria, et inprimitur in anima intellectus</w:t>
      </w:r>
      <w:r>
        <w:rPr>
          <w:lang w:val="cs-CZ"/>
        </w:rPr>
        <w:t xml:space="preserve"> formalis mediante primo datore formarum </w:t>
      </w:r>
      <w:r w:rsidRPr="08840501">
        <w:rPr>
          <w:lang w:val="cs-CZ"/>
        </w:rPr>
        <w:t>; vel, ut plures auctores videntur velle, est illa forma impressio ab intelligentia ut ministerio eius, et a primo datore formarum ut auctoritate ipsius.</w:t>
      </w:r>
      <w:r>
        <w:rPr>
          <w:lang w:val="cs-CZ"/>
        </w:rPr>
        <w:t xml:space="preserve">“ </w:t>
      </w:r>
      <w:r w:rsidRPr="0096654C">
        <w:rPr>
          <w:rStyle w:val="Zkladntext10dkovn0pt"/>
          <w:rFonts w:ascii="Calibri" w:eastAsia="Times" w:hAnsi="Calibri" w:cs="Times New Roman"/>
          <w:color w:val="auto"/>
          <w:spacing w:val="0"/>
          <w:sz w:val="20"/>
        </w:rPr>
        <w:t>(</w:t>
      </w:r>
      <w:r w:rsidRPr="0096654C">
        <w:rPr>
          <w:i/>
        </w:rPr>
        <w:t>Tractatus de anima</w:t>
      </w:r>
      <w:r w:rsidRPr="0096654C">
        <w:t xml:space="preserve">, </w:t>
      </w:r>
      <w:r w:rsidRPr="0096654C">
        <w:rPr>
          <w:rStyle w:val="Zkladntext10dkovn0pt"/>
          <w:rFonts w:ascii="Calibri" w:eastAsia="Times" w:hAnsi="Calibri" w:cs="Times New Roman"/>
          <w:color w:val="auto"/>
          <w:spacing w:val="0"/>
          <w:sz w:val="20"/>
        </w:rPr>
        <w:t>350</w:t>
      </w:r>
      <w:r>
        <w:rPr>
          <w:rStyle w:val="Zkladntext10dkovn0pt"/>
          <w:rFonts w:ascii="Calibri" w:eastAsia="Times" w:hAnsi="Calibri" w:cs="Times New Roman"/>
          <w:color w:val="auto"/>
          <w:spacing w:val="0"/>
          <w:sz w:val="20"/>
          <w:lang w:val="cs-CZ"/>
        </w:rPr>
        <w:t>;</w:t>
      </w:r>
      <w:r w:rsidRPr="0096654C">
        <w:rPr>
          <w:rStyle w:val="Zkladntext10dkovn0pt"/>
          <w:rFonts w:ascii="Calibri" w:eastAsia="Times" w:hAnsi="Calibri" w:cs="Times New Roman"/>
          <w:color w:val="auto"/>
          <w:spacing w:val="0"/>
          <w:sz w:val="20"/>
        </w:rPr>
        <w:t xml:space="preserve"> </w:t>
      </w:r>
      <w:r>
        <w:t>ed. Callus‒Hunt</w:t>
      </w:r>
      <w:r>
        <w:rPr>
          <w:rStyle w:val="Zkladntext10dkovn0pt"/>
          <w:rFonts w:ascii="Calibri" w:eastAsia="Times" w:hAnsi="Calibri" w:cs="Times New Roman"/>
          <w:color w:val="auto"/>
          <w:spacing w:val="0"/>
          <w:sz w:val="20"/>
          <w:lang w:val="cs-CZ"/>
        </w:rPr>
        <w:t xml:space="preserve">, </w:t>
      </w:r>
      <w:r>
        <w:rPr>
          <w:rStyle w:val="Zkladntext10dkovn0pt"/>
          <w:rFonts w:ascii="Calibri" w:eastAsia="Times" w:hAnsi="Calibri" w:cs="Times New Roman"/>
          <w:color w:val="auto"/>
          <w:spacing w:val="0"/>
          <w:sz w:val="20"/>
        </w:rPr>
        <w:t xml:space="preserve">p. </w:t>
      </w:r>
      <w:r w:rsidRPr="00273106">
        <w:t>94.9‒11</w:t>
      </w:r>
      <w:r>
        <w:fldChar w:fldCharType="begin"/>
      </w:r>
      <w:r>
        <w:instrText xml:space="preserve"> XE "</w:instrText>
      </w:r>
      <w:r>
        <w:rPr>
          <w:lang w:val="cs-CZ"/>
        </w:rPr>
        <w:instrText>Blund:</w:instrText>
      </w:r>
      <w:r w:rsidRPr="00F879B9">
        <w:rPr>
          <w:i/>
        </w:rPr>
        <w:instrText>Tractatus de anima</w:instrText>
      </w:r>
      <w:r w:rsidRPr="00F879B9">
        <w:instrText xml:space="preserve"> </w:instrText>
      </w:r>
      <w:r w:rsidRPr="00273106">
        <w:instrText>94.9‒11</w:instrText>
      </w:r>
      <w:r>
        <w:instrText xml:space="preserve">" </w:instrText>
      </w:r>
      <w:r>
        <w:fldChar w:fldCharType="end"/>
      </w:r>
      <w:r w:rsidRPr="0096654C">
        <w:rPr>
          <w:rStyle w:val="Zkladntext10dkovn0pt"/>
          <w:rFonts w:ascii="Calibri" w:eastAsia="Times" w:hAnsi="Calibri" w:cs="Times New Roman"/>
          <w:color w:val="auto"/>
          <w:spacing w:val="0"/>
          <w:sz w:val="20"/>
        </w:rPr>
        <w:t>)</w:t>
      </w:r>
    </w:p>
  </w:footnote>
  <w:footnote w:id="102">
    <w:p w14:paraId="76005858" w14:textId="77777777" w:rsidR="00CD2817" w:rsidRPr="0096654C" w:rsidRDefault="00CD2817">
      <w:pPr>
        <w:pStyle w:val="Textpoznpodarou"/>
      </w:pPr>
      <w:r>
        <w:rPr>
          <w:rStyle w:val="Znakapoznpodarou"/>
        </w:rPr>
        <w:footnoteRef/>
      </w:r>
      <w:r>
        <w:t xml:space="preserve"> </w:t>
      </w:r>
      <w:r w:rsidRPr="0096654C">
        <w:rPr>
          <w:rStyle w:val="Zkladntext10dkovn0pt"/>
          <w:rFonts w:ascii="Calibri" w:eastAsia="Times" w:hAnsi="Calibri" w:cs="Times New Roman"/>
          <w:color w:val="auto"/>
          <w:spacing w:val="0"/>
          <w:sz w:val="20"/>
        </w:rPr>
        <w:t xml:space="preserve">„Consimili modo potest ostendi quod omnes vires anime apprehensive sunt una et eadem vis in essentia. Quod bene concedimus, dicentes quod apprehensive vires ipsius anime humane non sunt diverse in essentia, immo in accidente tantum. Nulla enim est diversitas inter eas nisi in modo apprehendendi. </w:t>
      </w:r>
      <w:r>
        <w:rPr>
          <w:rStyle w:val="Zkladntext10dkovn0pt"/>
          <w:rFonts w:ascii="Calibri" w:eastAsia="Times" w:hAnsi="Calibri" w:cs="Times New Roman"/>
          <w:color w:val="auto"/>
          <w:spacing w:val="0"/>
          <w:sz w:val="20"/>
        </w:rPr>
        <w:t>Sensus enim apprehendit rem pre</w:t>
      </w:r>
      <w:r w:rsidRPr="0096654C">
        <w:rPr>
          <w:rStyle w:val="Zkladntext10dkovn0pt"/>
          <w:rFonts w:ascii="Calibri" w:eastAsia="Times" w:hAnsi="Calibri" w:cs="Times New Roman"/>
          <w:color w:val="auto"/>
          <w:spacing w:val="0"/>
          <w:sz w:val="20"/>
        </w:rPr>
        <w:t>sentem; ymaginatio rem absentem et prius sensatam; intellectus autem abstrahit rem ab accidentibus, ut patere potest manifestius rationibus supradictis.“ (</w:t>
      </w:r>
      <w:r w:rsidRPr="0096654C">
        <w:rPr>
          <w:i/>
        </w:rPr>
        <w:t>Tractatus de anima</w:t>
      </w:r>
      <w:r w:rsidRPr="0096654C">
        <w:t xml:space="preserve">, </w:t>
      </w:r>
      <w:r w:rsidRPr="0096654C">
        <w:rPr>
          <w:rStyle w:val="Zkladntext10dkovn0pt"/>
          <w:rFonts w:ascii="Calibri" w:eastAsia="Times" w:hAnsi="Calibri" w:cs="Times New Roman"/>
          <w:color w:val="auto"/>
          <w:spacing w:val="0"/>
          <w:sz w:val="20"/>
        </w:rPr>
        <w:t>350</w:t>
      </w:r>
      <w:r>
        <w:rPr>
          <w:rStyle w:val="Zkladntext10dkovn0pt"/>
          <w:rFonts w:ascii="Calibri" w:eastAsia="Times" w:hAnsi="Calibri" w:cs="Times New Roman"/>
          <w:color w:val="auto"/>
          <w:spacing w:val="0"/>
          <w:sz w:val="20"/>
          <w:lang w:val="cs-CZ"/>
        </w:rPr>
        <w:t>;</w:t>
      </w:r>
      <w:r w:rsidRPr="0096654C">
        <w:rPr>
          <w:rStyle w:val="Zkladntext10dkovn0pt"/>
          <w:rFonts w:ascii="Calibri" w:eastAsia="Times" w:hAnsi="Calibri" w:cs="Times New Roman"/>
          <w:color w:val="auto"/>
          <w:spacing w:val="0"/>
          <w:sz w:val="20"/>
        </w:rPr>
        <w:t xml:space="preserve"> </w:t>
      </w:r>
      <w:r>
        <w:t>ed. Callus‒Hunt</w:t>
      </w:r>
      <w:r>
        <w:rPr>
          <w:rStyle w:val="Zkladntext10dkovn0pt"/>
          <w:rFonts w:ascii="Calibri" w:eastAsia="Times" w:hAnsi="Calibri" w:cs="Times New Roman"/>
          <w:color w:val="auto"/>
          <w:spacing w:val="0"/>
          <w:sz w:val="20"/>
          <w:lang w:val="cs-CZ"/>
        </w:rPr>
        <w:t xml:space="preserve">, </w:t>
      </w:r>
      <w:r>
        <w:rPr>
          <w:rStyle w:val="Zkladntext10dkovn0pt"/>
          <w:rFonts w:ascii="Calibri" w:eastAsia="Times" w:hAnsi="Calibri" w:cs="Times New Roman"/>
          <w:color w:val="auto"/>
          <w:spacing w:val="0"/>
          <w:sz w:val="20"/>
        </w:rPr>
        <w:t>p. 95.24‒</w:t>
      </w:r>
      <w:r w:rsidRPr="0096654C">
        <w:rPr>
          <w:rStyle w:val="Zkladntext10dkovn0pt"/>
          <w:rFonts w:ascii="Calibri" w:eastAsia="Times" w:hAnsi="Calibri" w:cs="Times New Roman"/>
          <w:color w:val="auto"/>
          <w:spacing w:val="0"/>
          <w:sz w:val="20"/>
        </w:rPr>
        <w:t>31</w:t>
      </w:r>
      <w:r>
        <w:fldChar w:fldCharType="begin"/>
      </w:r>
      <w:r>
        <w:instrText xml:space="preserve"> XE "</w:instrText>
      </w:r>
      <w:r>
        <w:rPr>
          <w:lang w:val="cs-CZ"/>
        </w:rPr>
        <w:instrText>Blund:</w:instrText>
      </w:r>
      <w:r w:rsidRPr="00F879B9">
        <w:rPr>
          <w:i/>
        </w:rPr>
        <w:instrText>Tractatus de anima</w:instrText>
      </w:r>
      <w:r w:rsidRPr="00F879B9">
        <w:instrText xml:space="preserve"> </w:instrText>
      </w:r>
      <w:r>
        <w:rPr>
          <w:rStyle w:val="Zkladntext10dkovn0pt"/>
          <w:rFonts w:ascii="Calibri" w:eastAsia="Times" w:hAnsi="Calibri" w:cs="Times New Roman"/>
          <w:color w:val="auto"/>
          <w:spacing w:val="0"/>
          <w:sz w:val="20"/>
        </w:rPr>
        <w:instrText>95.24‒</w:instrText>
      </w:r>
      <w:r w:rsidRPr="0096654C">
        <w:rPr>
          <w:rStyle w:val="Zkladntext10dkovn0pt"/>
          <w:rFonts w:ascii="Calibri" w:eastAsia="Times" w:hAnsi="Calibri" w:cs="Times New Roman"/>
          <w:color w:val="auto"/>
          <w:spacing w:val="0"/>
          <w:sz w:val="20"/>
        </w:rPr>
        <w:instrText>31</w:instrText>
      </w:r>
      <w:r>
        <w:instrText xml:space="preserve">" </w:instrText>
      </w:r>
      <w:r>
        <w:fldChar w:fldCharType="end"/>
      </w:r>
      <w:r w:rsidRPr="0096654C">
        <w:rPr>
          <w:rStyle w:val="Zkladntext10dkovn0pt"/>
          <w:rFonts w:ascii="Calibri" w:eastAsia="Times" w:hAnsi="Calibri" w:cs="Times New Roman"/>
          <w:color w:val="auto"/>
          <w:spacing w:val="0"/>
          <w:sz w:val="20"/>
        </w:rPr>
        <w:t>)</w:t>
      </w:r>
    </w:p>
  </w:footnote>
  <w:footnote w:id="103">
    <w:p w14:paraId="064A2135" w14:textId="77777777" w:rsidR="00CD2817" w:rsidRPr="00AC406E" w:rsidRDefault="00CD2817" w:rsidP="00BE79BC">
      <w:pPr>
        <w:pStyle w:val="Textpoznpodarou"/>
        <w:rPr>
          <w:rStyle w:val="TextpoznpodarouChar"/>
        </w:rPr>
      </w:pPr>
      <w:r>
        <w:rPr>
          <w:rStyle w:val="Znakapoznpodarou"/>
        </w:rPr>
        <w:footnoteRef/>
      </w:r>
      <w:r>
        <w:t xml:space="preserve"> </w:t>
      </w:r>
      <w:r w:rsidRPr="00AC406E">
        <w:rPr>
          <w:rStyle w:val="TextpoznpodarouChar"/>
        </w:rPr>
        <w:t>„Forte dicet aliquis quod theologi est tractare de anima. Contra. Theologus habet inquirere qua via contingat animam mereri et demereri, et quid sit ad salutem, quid ad penam. Quid autem anima sit, et in quo predicamento sit, et qualiter infundatur corpori, non habet ipse inq</w:t>
      </w:r>
      <w:r>
        <w:rPr>
          <w:rStyle w:val="TextpoznpodarouChar"/>
        </w:rPr>
        <w:t>uirere.“ (</w:t>
      </w:r>
      <w:r w:rsidRPr="007A6274">
        <w:rPr>
          <w:rStyle w:val="TextpoznpodarouChar"/>
          <w:i/>
        </w:rPr>
        <w:t>Tractatus de anima</w:t>
      </w:r>
      <w:r>
        <w:rPr>
          <w:rStyle w:val="TextpoznpodarouChar"/>
          <w:lang w:val="cs-CZ"/>
        </w:rPr>
        <w:t xml:space="preserve">, </w:t>
      </w:r>
      <w:r>
        <w:rPr>
          <w:rStyle w:val="TextpoznpodarouChar"/>
        </w:rPr>
        <w:t>22</w:t>
      </w:r>
      <w:r>
        <w:rPr>
          <w:rStyle w:val="TextpoznpodarouChar"/>
          <w:lang w:val="cs-CZ"/>
        </w:rPr>
        <w:t>;</w:t>
      </w:r>
      <w:r>
        <w:rPr>
          <w:rStyle w:val="TextpoznpodarouChar"/>
        </w:rPr>
        <w:t xml:space="preserve"> </w:t>
      </w:r>
      <w:r>
        <w:t>ed. Callus‒Hunt</w:t>
      </w:r>
      <w:r>
        <w:rPr>
          <w:rStyle w:val="TextpoznpodarouChar"/>
          <w:lang w:val="cs-CZ"/>
        </w:rPr>
        <w:t xml:space="preserve">, </w:t>
      </w:r>
      <w:r>
        <w:rPr>
          <w:rStyle w:val="TextpoznpodarouChar"/>
        </w:rPr>
        <w:t>p. 7.14‒16</w:t>
      </w:r>
      <w:r>
        <w:rPr>
          <w:rStyle w:val="TextpoznpodarouChar"/>
        </w:rPr>
        <w:fldChar w:fldCharType="begin"/>
      </w:r>
      <w:r>
        <w:instrText xml:space="preserve"> XE "</w:instrText>
      </w:r>
      <w:r>
        <w:rPr>
          <w:lang w:val="cs-CZ"/>
        </w:rPr>
        <w:instrText>Blund:</w:instrText>
      </w:r>
      <w:r w:rsidRPr="00A00A43">
        <w:rPr>
          <w:rStyle w:val="TextpoznpodarouChar"/>
          <w:i/>
        </w:rPr>
        <w:instrText>Tractatus de anima</w:instrText>
      </w:r>
      <w:r w:rsidRPr="00A00A43">
        <w:rPr>
          <w:rStyle w:val="TextpoznpodarouChar"/>
        </w:rPr>
        <w:instrText xml:space="preserve"> 7.14‒16</w:instrText>
      </w:r>
      <w:r>
        <w:instrText xml:space="preserve">" </w:instrText>
      </w:r>
      <w:r>
        <w:rPr>
          <w:rStyle w:val="TextpoznpodarouChar"/>
        </w:rPr>
        <w:fldChar w:fldCharType="end"/>
      </w:r>
      <w:r w:rsidRPr="00AC406E">
        <w:rPr>
          <w:rStyle w:val="TextpoznpodarouChar"/>
        </w:rPr>
        <w:t>)</w:t>
      </w:r>
    </w:p>
  </w:footnote>
  <w:footnote w:id="104">
    <w:p w14:paraId="64E89DD5" w14:textId="77777777" w:rsidR="00CD2817" w:rsidRPr="08110B43" w:rsidRDefault="00CD2817" w:rsidP="08110B43">
      <w:pPr>
        <w:pStyle w:val="Textpoznpodarou"/>
        <w:rPr>
          <w:lang w:val="cs-CZ"/>
        </w:rPr>
      </w:pPr>
      <w:r>
        <w:rPr>
          <w:rStyle w:val="Znakapoznpodarou"/>
        </w:rPr>
        <w:footnoteRef/>
      </w:r>
      <w:r>
        <w:t xml:space="preserve"> „</w:t>
      </w:r>
      <w:r w:rsidRPr="00C80405">
        <w:t>Adde quod a</w:t>
      </w:r>
      <w:r>
        <w:t xml:space="preserve"> puero studiis electus inhesit</w:t>
      </w:r>
      <w:r>
        <w:rPr>
          <w:lang w:val="cs-CZ"/>
        </w:rPr>
        <w:t xml:space="preserve"> / </w:t>
      </w:r>
      <w:r w:rsidRPr="00C80405">
        <w:t>primus Aristoti</w:t>
      </w:r>
      <w:r>
        <w:t>lis satagens perquirere libros</w:t>
      </w:r>
      <w:r>
        <w:rPr>
          <w:lang w:val="cs-CZ"/>
        </w:rPr>
        <w:t xml:space="preserve"> / </w:t>
      </w:r>
      <w:r w:rsidRPr="00C80405">
        <w:t xml:space="preserve">quando recenter </w:t>
      </w:r>
      <w:r>
        <w:t>eos Arabes misere Latinis</w:t>
      </w:r>
      <w:r>
        <w:rPr>
          <w:lang w:val="cs-CZ"/>
        </w:rPr>
        <w:t xml:space="preserve"> / </w:t>
      </w:r>
      <w:r w:rsidRPr="00C80405">
        <w:t>quos numquam fertur legisse celebrius alter aut prius</w:t>
      </w:r>
      <w:r>
        <w:rPr>
          <w:lang w:val="cs-CZ"/>
        </w:rPr>
        <w:t xml:space="preserve"> /</w:t>
      </w:r>
      <w:r w:rsidRPr="00C80405">
        <w:t xml:space="preserve"> ut perhibent Oxonia Parisiusque.</w:t>
      </w:r>
      <w:r>
        <w:t>“ (</w:t>
      </w:r>
      <w:r w:rsidRPr="08ED683A">
        <w:rPr>
          <w:i/>
          <w:lang w:val="cs-CZ"/>
        </w:rPr>
        <w:t>Poems of Henry of Avranches</w:t>
      </w:r>
      <w:r>
        <w:rPr>
          <w:lang w:val="cs-CZ"/>
        </w:rPr>
        <w:t xml:space="preserve">; ed. </w:t>
      </w:r>
      <w:r>
        <w:t>Heironimus&amp;Russell</w:t>
      </w:r>
      <w:r>
        <w:rPr>
          <w:lang w:val="cs-CZ"/>
        </w:rPr>
        <w:t>, no. 130, p. 131.77‒81</w:t>
      </w:r>
      <w:r>
        <w:rPr>
          <w:lang w:val="cs-CZ"/>
        </w:rPr>
        <w:fldChar w:fldCharType="begin"/>
      </w:r>
      <w:r>
        <w:instrText xml:space="preserve"> XE "</w:instrText>
      </w:r>
      <w:r w:rsidRPr="08C97578">
        <w:instrText xml:space="preserve">Henry </w:instrText>
      </w:r>
      <w:r>
        <w:rPr>
          <w:lang w:val="cs-CZ"/>
        </w:rPr>
        <w:instrText>d'</w:instrText>
      </w:r>
      <w:r w:rsidRPr="08C97578">
        <w:instrText>Avranches:</w:instrText>
      </w:r>
      <w:r w:rsidRPr="08110B43">
        <w:rPr>
          <w:i/>
        </w:rPr>
        <w:instrText>Poems</w:instrText>
      </w:r>
      <w:r w:rsidRPr="08C97578">
        <w:instrText xml:space="preserve"> </w:instrText>
      </w:r>
      <w:r w:rsidRPr="08C97578">
        <w:rPr>
          <w:lang w:val="cs-CZ"/>
        </w:rPr>
        <w:instrText>131.77‒81</w:instrText>
      </w:r>
      <w:r>
        <w:instrText xml:space="preserve">" </w:instrText>
      </w:r>
      <w:r>
        <w:rPr>
          <w:lang w:val="cs-CZ"/>
        </w:rPr>
        <w:fldChar w:fldCharType="end"/>
      </w:r>
      <w:r>
        <w:t>)</w:t>
      </w:r>
    </w:p>
  </w:footnote>
  <w:footnote w:id="105">
    <w:p w14:paraId="4AFBDB54" w14:textId="77777777" w:rsidR="00CD2817" w:rsidRPr="00960F7F" w:rsidRDefault="00CD2817">
      <w:pPr>
        <w:pStyle w:val="Textpoznpodarou"/>
        <w:rPr>
          <w:lang w:val="cs-CZ"/>
        </w:rPr>
      </w:pPr>
      <w:r>
        <w:rPr>
          <w:rStyle w:val="Znakapoznpodarou"/>
        </w:rPr>
        <w:footnoteRef/>
      </w:r>
      <w:r>
        <w:t xml:space="preserve"> </w:t>
      </w:r>
      <w:r>
        <w:rPr>
          <w:lang w:val="cs-CZ"/>
        </w:rPr>
        <w:t>„</w:t>
      </w:r>
      <w:r w:rsidRPr="00960F7F">
        <w:t xml:space="preserve">Le premier utilisateur du </w:t>
      </w:r>
      <w:r w:rsidRPr="00960F7F">
        <w:rPr>
          <w:rStyle w:val="ZkladntextKurzvadkovn0pt"/>
          <w:rFonts w:ascii="Calibri" w:hAnsi="Calibri"/>
          <w:iCs w:val="0"/>
          <w:color w:val="auto"/>
          <w:spacing w:val="0"/>
          <w:sz w:val="20"/>
          <w:u w:val="none"/>
          <w:lang w:val="x-none"/>
        </w:rPr>
        <w:t>De anima et de potenciis eius</w:t>
      </w:r>
      <w:r w:rsidRPr="00960F7F">
        <w:t xml:space="preserve"> fut sans doute le théologien, probablement anglais, qui écrivit vers 1230 le </w:t>
      </w:r>
      <w:r w:rsidRPr="00960F7F">
        <w:rPr>
          <w:rStyle w:val="ZkladntextKurzvadkovn0pt"/>
          <w:rFonts w:ascii="Calibri" w:hAnsi="Calibri"/>
          <w:iCs w:val="0"/>
          <w:color w:val="auto"/>
          <w:spacing w:val="0"/>
          <w:sz w:val="20"/>
          <w:u w:val="none"/>
          <w:lang w:val="x-none"/>
        </w:rPr>
        <w:t>De potenciis anime et obiectis</w:t>
      </w:r>
      <w:r w:rsidRPr="00960F7F">
        <w:rPr>
          <w:rStyle w:val="ZkladntextKurzvadkovn0pt"/>
          <w:rFonts w:ascii="Calibri" w:hAnsi="Calibri"/>
          <w:i w:val="0"/>
          <w:iCs w:val="0"/>
          <w:color w:val="auto"/>
          <w:spacing w:val="0"/>
          <w:sz w:val="20"/>
          <w:u w:val="none"/>
          <w:lang w:val="x-none"/>
        </w:rPr>
        <w:t>,</w:t>
      </w:r>
      <w:r w:rsidRPr="00960F7F">
        <w:t xml:space="preserve"> édité en 1952 par le P. Callus.</w:t>
      </w:r>
      <w:r>
        <w:rPr>
          <w:lang w:val="cs-CZ"/>
        </w:rPr>
        <w:t>“ (Gauthier 1982, 6)</w:t>
      </w:r>
    </w:p>
  </w:footnote>
  <w:footnote w:id="106">
    <w:p w14:paraId="3B1A1562" w14:textId="77777777" w:rsidR="00CD2817" w:rsidRPr="08E511BB" w:rsidRDefault="00CD2817" w:rsidP="08CE4413">
      <w:pPr>
        <w:pStyle w:val="Textpoznpodarou"/>
        <w:rPr>
          <w:lang w:val="cs-CZ"/>
        </w:rPr>
      </w:pPr>
      <w:r>
        <w:rPr>
          <w:rStyle w:val="Znakapoznpodarou"/>
        </w:rPr>
        <w:footnoteRef/>
      </w:r>
      <w:r>
        <w:t xml:space="preserve"> „</w:t>
      </w:r>
      <w:r w:rsidRPr="08E511BB">
        <w:t>Non legan</w:t>
      </w:r>
      <w:r>
        <w:t xml:space="preserve">tur libri Aristotelis de </w:t>
      </w:r>
      <w:r w:rsidRPr="08E511BB">
        <w:rPr>
          <w:i/>
        </w:rPr>
        <w:t>methafisica</w:t>
      </w:r>
      <w:r>
        <w:t xml:space="preserve"> et de </w:t>
      </w:r>
      <w:r w:rsidRPr="08E511BB">
        <w:rPr>
          <w:i/>
        </w:rPr>
        <w:t>naturali philosophia</w:t>
      </w:r>
      <w:r w:rsidRPr="08E511BB">
        <w:t xml:space="preserve">, nec </w:t>
      </w:r>
      <w:r w:rsidRPr="08E511BB">
        <w:rPr>
          <w:i/>
        </w:rPr>
        <w:t>summe</w:t>
      </w:r>
      <w:r>
        <w:t xml:space="preserve"> de eisdem</w:t>
      </w:r>
      <w:r w:rsidRPr="08E511BB">
        <w:t>, au</w:t>
      </w:r>
      <w:r>
        <w:t>t de doctrina magistri David de</w:t>
      </w:r>
      <w:r w:rsidRPr="08E511BB">
        <w:t xml:space="preserve"> Dinant, aut Amalrici</w:t>
      </w:r>
      <w:r>
        <w:t xml:space="preserve"> heretici, aut Mauricii hyspani</w:t>
      </w:r>
      <w:r w:rsidRPr="08E511BB">
        <w:t>.</w:t>
      </w:r>
      <w:r>
        <w:t>“ (</w:t>
      </w:r>
      <w:r w:rsidRPr="08800164">
        <w:rPr>
          <w:i/>
        </w:rPr>
        <w:t>Chartularium</w:t>
      </w:r>
      <w:r>
        <w:t xml:space="preserve"> </w:t>
      </w:r>
      <w:r w:rsidRPr="08E511BB">
        <w:t xml:space="preserve">I, </w:t>
      </w:r>
      <w:r>
        <w:t>no. 20, pp. 78‒</w:t>
      </w:r>
      <w:r w:rsidRPr="08E511BB">
        <w:t>79</w:t>
      </w:r>
      <w:r>
        <w:fldChar w:fldCharType="begin"/>
      </w:r>
      <w:r>
        <w:instrText xml:space="preserve"> XE "</w:instrText>
      </w:r>
      <w:r w:rsidRPr="08A7664A">
        <w:rPr>
          <w:i/>
        </w:rPr>
        <w:instrText>Chartularium</w:instrText>
      </w:r>
      <w:r w:rsidRPr="08A7664A">
        <w:instrText xml:space="preserve"> </w:instrText>
      </w:r>
      <w:r>
        <w:rPr>
          <w:lang w:val="cs-CZ"/>
        </w:rPr>
        <w:instrText>I</w:instrText>
      </w:r>
      <w:r>
        <w:instrText>,</w:instrText>
      </w:r>
      <w:r>
        <w:rPr>
          <w:lang w:val="cs-CZ"/>
        </w:rPr>
        <w:instrText xml:space="preserve"> no. 20, pp. </w:instrText>
      </w:r>
      <w:r w:rsidRPr="08A7664A">
        <w:instrText>78‒79</w:instrText>
      </w:r>
      <w:r>
        <w:instrText xml:space="preserve">" </w:instrText>
      </w:r>
      <w:r>
        <w:fldChar w:fldCharType="end"/>
      </w:r>
      <w:r>
        <w:t>)</w:t>
      </w:r>
    </w:p>
  </w:footnote>
  <w:footnote w:id="107">
    <w:p w14:paraId="72B331B5" w14:textId="77777777" w:rsidR="00CD2817" w:rsidRPr="00D15939" w:rsidRDefault="00CD2817" w:rsidP="082738CC">
      <w:pPr>
        <w:pStyle w:val="Textpoznpodarou"/>
      </w:pPr>
      <w:r>
        <w:rPr>
          <w:rStyle w:val="Znakapoznpodarou"/>
        </w:rPr>
        <w:footnoteRef/>
      </w:r>
      <w:r>
        <w:rPr>
          <w:lang w:val="cs-CZ"/>
        </w:rPr>
        <w:t xml:space="preserve"> </w:t>
      </w:r>
      <w:r w:rsidRPr="00D15939">
        <w:t>„Quel est exactement le conflict qu'a soulevé dans la concience médiévale la découverte de la philosophie d'Aristote?“ (Gilson 1921, 51)</w:t>
      </w:r>
    </w:p>
  </w:footnote>
  <w:footnote w:id="108">
    <w:p w14:paraId="5F86D62D" w14:textId="77777777" w:rsidR="00CD2817" w:rsidRPr="08090412" w:rsidRDefault="00CD2817" w:rsidP="08B42924">
      <w:pPr>
        <w:pStyle w:val="Textpoznpodarou"/>
        <w:rPr>
          <w:lang w:val="cs-CZ"/>
        </w:rPr>
      </w:pPr>
      <w:r w:rsidRPr="08090412">
        <w:rPr>
          <w:rStyle w:val="Znakapoznpodarou"/>
        </w:rPr>
        <w:footnoteRef/>
      </w:r>
      <w:r w:rsidRPr="08090412">
        <w:t xml:space="preserve"> „Quod autem unum formabile est in plures, materia est, vel ad minus principium materiale : propter quod in nono </w:t>
      </w:r>
      <w:r w:rsidRPr="08090412">
        <w:rPr>
          <w:rStyle w:val="ZkladntextKurzvadkovn0pt"/>
          <w:rFonts w:ascii="Calibri" w:hAnsi="Calibri"/>
          <w:iCs w:val="0"/>
          <w:color w:val="auto"/>
          <w:spacing w:val="0"/>
          <w:sz w:val="20"/>
          <w:u w:val="none"/>
          <w:lang w:val="x-none"/>
        </w:rPr>
        <w:t>primae philosophiae</w:t>
      </w:r>
      <w:r w:rsidRPr="08090412">
        <w:t xml:space="preserve"> dicit Philosophus, quod quaecumque sunt in genere uno, eorum est mate</w:t>
      </w:r>
      <w:r>
        <w:t>ria una. Si ergo dicatur una ma</w:t>
      </w:r>
      <w:r w:rsidRPr="08090412">
        <w:t xml:space="preserve">teria esse materiae primae, et </w:t>
      </w:r>
      <w:r w:rsidRPr="08683285">
        <w:t>νοῦς</w:t>
      </w:r>
      <w:r w:rsidRPr="08090412">
        <w:t xml:space="preserve"> erit </w:t>
      </w:r>
      <w:r>
        <w:t>pri</w:t>
      </w:r>
      <w:r w:rsidRPr="08090412">
        <w:t xml:space="preserve">mae materiae materia : et hoc ibit in infinitum. Relinquitur ergo, quod </w:t>
      </w:r>
      <w:r w:rsidRPr="08683285">
        <w:t>νοῦς</w:t>
      </w:r>
      <w:r w:rsidRPr="08090412">
        <w:t xml:space="preserve"> et materia prima sunt idem.</w:t>
      </w:r>
      <w:r>
        <w:rPr>
          <w:lang w:val="cs-CZ"/>
        </w:rPr>
        <w:t>“ (</w:t>
      </w:r>
      <w:r w:rsidRPr="08A04ABF">
        <w:rPr>
          <w:i/>
          <w:lang w:val="cs-CZ"/>
        </w:rPr>
        <w:t>Summa Theologiae</w:t>
      </w:r>
      <w:r>
        <w:rPr>
          <w:lang w:val="cs-CZ"/>
        </w:rPr>
        <w:t>, tract. I, pars IV, q. 20; Borgnet 31, 140a</w:t>
      </w:r>
      <w:r>
        <w:rPr>
          <w:lang w:val="cs-CZ"/>
        </w:rPr>
        <w:fldChar w:fldCharType="begin"/>
      </w:r>
      <w:r>
        <w:instrText xml:space="preserve"> XE "</w:instrText>
      </w:r>
      <w:r>
        <w:rPr>
          <w:lang w:val="cs-CZ"/>
        </w:rPr>
        <w:instrText>Albert:</w:instrText>
      </w:r>
      <w:r w:rsidRPr="08816DB6">
        <w:rPr>
          <w:i/>
          <w:lang w:val="cs-CZ"/>
        </w:rPr>
        <w:instrText>Summa Theologiae</w:instrText>
      </w:r>
      <w:r>
        <w:rPr>
          <w:i/>
          <w:lang w:val="cs-CZ"/>
        </w:rPr>
        <w:instrText xml:space="preserve"> </w:instrText>
      </w:r>
      <w:r>
        <w:rPr>
          <w:lang w:val="cs-CZ"/>
        </w:rPr>
        <w:instrText>I, 140a</w:instrText>
      </w:r>
      <w:r>
        <w:instrText xml:space="preserve">" </w:instrText>
      </w:r>
      <w:r>
        <w:rPr>
          <w:lang w:val="cs-CZ"/>
        </w:rPr>
        <w:fldChar w:fldCharType="end"/>
      </w:r>
      <w:r>
        <w:rPr>
          <w:lang w:val="cs-CZ"/>
        </w:rPr>
        <w:t>)</w:t>
      </w:r>
    </w:p>
  </w:footnote>
  <w:footnote w:id="109">
    <w:p w14:paraId="52D36C11" w14:textId="77777777" w:rsidR="00CD2817" w:rsidRPr="08683285" w:rsidRDefault="00CD2817">
      <w:pPr>
        <w:pStyle w:val="Textpoznpodarou"/>
        <w:rPr>
          <w:lang w:val="cs-CZ"/>
        </w:rPr>
      </w:pPr>
      <w:r>
        <w:rPr>
          <w:rStyle w:val="Znakapoznpodarou"/>
        </w:rPr>
        <w:footnoteRef/>
      </w:r>
      <w:r>
        <w:rPr>
          <w:lang w:val="cs-CZ"/>
        </w:rPr>
        <w:t xml:space="preserve"> „</w:t>
      </w:r>
      <w:r w:rsidRPr="08683285">
        <w:rPr>
          <w:lang w:val="cs-CZ"/>
        </w:rPr>
        <w:t xml:space="preserve">Et ex hoc videtur relinqui, quod Deus et </w:t>
      </w:r>
      <w:r w:rsidRPr="08683285">
        <w:t>νοῦς</w:t>
      </w:r>
      <w:r w:rsidRPr="08683285">
        <w:rPr>
          <w:lang w:val="cs-CZ"/>
        </w:rPr>
        <w:t xml:space="preserve"> et materia prima idem sunt </w:t>
      </w:r>
      <w:r>
        <w:rPr>
          <w:lang w:val="cs-CZ"/>
        </w:rPr>
        <w:t>secundum id quod sunt : quia quae</w:t>
      </w:r>
      <w:r w:rsidRPr="08683285">
        <w:rPr>
          <w:lang w:val="cs-CZ"/>
        </w:rPr>
        <w:t xml:space="preserve">cumque sunt, et nulla differentia differunt, eadem sunt : Deus autem et </w:t>
      </w:r>
      <w:r w:rsidRPr="08683285">
        <w:t>νοῦς</w:t>
      </w:r>
      <w:r>
        <w:rPr>
          <w:lang w:val="cs-CZ"/>
        </w:rPr>
        <w:t xml:space="preserve"> et materia prima sunt, et nulla differentia dif</w:t>
      </w:r>
      <w:r w:rsidRPr="08683285">
        <w:rPr>
          <w:lang w:val="cs-CZ"/>
        </w:rPr>
        <w:t xml:space="preserve">ferunt, ut jam probatum est : ergo eadem sunt, dicente Aristotele in IX </w:t>
      </w:r>
      <w:r w:rsidRPr="08683285">
        <w:rPr>
          <w:i/>
          <w:lang w:val="cs-CZ"/>
        </w:rPr>
        <w:t>Topicorum</w:t>
      </w:r>
      <w:r>
        <w:rPr>
          <w:lang w:val="cs-CZ"/>
        </w:rPr>
        <w:t>, quod idem est, a quo non differunf diffetentia : et sic videtur, quod Deus sit materia omnium.“ (</w:t>
      </w:r>
      <w:r w:rsidRPr="08A04ABF">
        <w:rPr>
          <w:i/>
          <w:lang w:val="cs-CZ"/>
        </w:rPr>
        <w:t>Summa Theologiae</w:t>
      </w:r>
      <w:r>
        <w:rPr>
          <w:lang w:val="cs-CZ"/>
        </w:rPr>
        <w:t>, tract. I, pars IV, q. 20; Borgnet 31, 140a-b</w:t>
      </w:r>
      <w:r>
        <w:rPr>
          <w:lang w:val="cs-CZ"/>
        </w:rPr>
        <w:fldChar w:fldCharType="begin"/>
      </w:r>
      <w:r>
        <w:instrText xml:space="preserve"> XE "</w:instrText>
      </w:r>
      <w:r>
        <w:rPr>
          <w:lang w:val="cs-CZ"/>
        </w:rPr>
        <w:instrText>Albert:</w:instrText>
      </w:r>
      <w:r w:rsidRPr="08816DB6">
        <w:rPr>
          <w:i/>
          <w:lang w:val="cs-CZ"/>
        </w:rPr>
        <w:instrText>Summa Theologiae</w:instrText>
      </w:r>
      <w:r>
        <w:rPr>
          <w:i/>
          <w:lang w:val="cs-CZ"/>
        </w:rPr>
        <w:instrText xml:space="preserve"> </w:instrText>
      </w:r>
      <w:r>
        <w:rPr>
          <w:lang w:val="cs-CZ"/>
        </w:rPr>
        <w:instrText xml:space="preserve">I, </w:instrText>
      </w:r>
      <w:r w:rsidRPr="08816DB6">
        <w:rPr>
          <w:lang w:val="cs-CZ"/>
        </w:rPr>
        <w:instrText>140a-b</w:instrText>
      </w:r>
      <w:r>
        <w:instrText xml:space="preserve">" </w:instrText>
      </w:r>
      <w:r>
        <w:rPr>
          <w:lang w:val="cs-CZ"/>
        </w:rPr>
        <w:fldChar w:fldCharType="end"/>
      </w:r>
      <w:r>
        <w:rPr>
          <w:lang w:val="cs-CZ"/>
        </w:rPr>
        <w:t>)</w:t>
      </w:r>
    </w:p>
  </w:footnote>
  <w:footnote w:id="110">
    <w:p w14:paraId="13E59B59" w14:textId="77777777" w:rsidR="00CD2817" w:rsidRPr="00A465C8" w:rsidRDefault="00CD2817" w:rsidP="08E841DA">
      <w:pPr>
        <w:pStyle w:val="Textpoznpodarou"/>
      </w:pPr>
      <w:r w:rsidRPr="00A465C8">
        <w:rPr>
          <w:rStyle w:val="Znakapoznpodarou"/>
        </w:rPr>
        <w:footnoteRef/>
      </w:r>
      <w:r w:rsidRPr="00A465C8">
        <w:t xml:space="preserve"> </w:t>
      </w:r>
      <w:r w:rsidRPr="00A465C8">
        <w:rPr>
          <w:szCs w:val="18"/>
        </w:rPr>
        <w:t>„Dyaphanum vero corpus est, in quo alia corpora depingunt proprios colores, ut aer et aqua et multa al</w:t>
      </w:r>
      <w:r>
        <w:rPr>
          <w:szCs w:val="18"/>
        </w:rPr>
        <w:t>ia solida. Unde Aristoteles</w:t>
      </w:r>
      <w:r w:rsidRPr="00A465C8">
        <w:rPr>
          <w:szCs w:val="18"/>
        </w:rPr>
        <w:t>: Color quidem movet dyaphanum, diaphanum vero aerem et ab ilio continuo existe</w:t>
      </w:r>
      <w:r>
        <w:rPr>
          <w:szCs w:val="18"/>
        </w:rPr>
        <w:t>nte movetur instrumentum visus.</w:t>
      </w:r>
      <w:r>
        <w:rPr>
          <w:szCs w:val="18"/>
          <w:lang w:val="cs-CZ"/>
        </w:rPr>
        <w:t xml:space="preserve">“ </w:t>
      </w:r>
      <w:r w:rsidRPr="00A465C8">
        <w:t>(</w:t>
      </w:r>
      <w:r w:rsidRPr="00A465C8">
        <w:rPr>
          <w:rStyle w:val="Zvraznn"/>
          <w:iCs w:val="0"/>
        </w:rPr>
        <w:t>Quaternuli</w:t>
      </w:r>
      <w:r w:rsidRPr="00A465C8">
        <w:rPr>
          <w:rStyle w:val="Zvraznn"/>
          <w:i w:val="0"/>
          <w:iCs w:val="0"/>
        </w:rPr>
        <w:t>, fragment</w:t>
      </w:r>
      <w:r>
        <w:rPr>
          <w:rStyle w:val="alinea"/>
        </w:rPr>
        <w:t xml:space="preserve"> 85</w:t>
      </w:r>
      <w:r>
        <w:rPr>
          <w:rStyle w:val="alinea"/>
        </w:rPr>
        <w:fldChar w:fldCharType="begin"/>
      </w:r>
      <w:r>
        <w:instrText xml:space="preserve"> XE "</w:instrText>
      </w:r>
      <w:r>
        <w:rPr>
          <w:lang w:val="cs-CZ"/>
        </w:rPr>
        <w:instrText>David z Dinantu:</w:instrText>
      </w:r>
      <w:r w:rsidRPr="00651ABD">
        <w:rPr>
          <w:rStyle w:val="Zvraznn"/>
          <w:iCs w:val="0"/>
        </w:rPr>
        <w:instrText>Quaternuli</w:instrText>
      </w:r>
      <w:r w:rsidRPr="00651ABD">
        <w:rPr>
          <w:rStyle w:val="Zvraznn"/>
          <w:i w:val="0"/>
          <w:iCs w:val="0"/>
        </w:rPr>
        <w:instrText>, fr</w:instrText>
      </w:r>
      <w:r>
        <w:rPr>
          <w:rStyle w:val="Zvraznn"/>
          <w:i w:val="0"/>
          <w:iCs w:val="0"/>
          <w:lang w:val="cs-CZ"/>
        </w:rPr>
        <w:instrText>.</w:instrText>
      </w:r>
      <w:r w:rsidRPr="00651ABD">
        <w:rPr>
          <w:rStyle w:val="alinea"/>
        </w:rPr>
        <w:instrText xml:space="preserve"> 85</w:instrText>
      </w:r>
      <w:r>
        <w:instrText xml:space="preserve">" </w:instrText>
      </w:r>
      <w:r>
        <w:rPr>
          <w:rStyle w:val="alinea"/>
        </w:rPr>
        <w:fldChar w:fldCharType="end"/>
      </w:r>
      <w:r>
        <w:rPr>
          <w:rStyle w:val="alinea"/>
          <w:lang w:val="cs-CZ"/>
        </w:rPr>
        <w:t xml:space="preserve">; </w:t>
      </w:r>
      <w:r w:rsidRPr="00A465C8">
        <w:rPr>
          <w:rStyle w:val="alinea"/>
        </w:rPr>
        <w:t>cit. podle Dagron 2003, 433</w:t>
      </w:r>
      <w:r w:rsidRPr="00A465C8">
        <w:t>)</w:t>
      </w:r>
    </w:p>
  </w:footnote>
  <w:footnote w:id="111">
    <w:p w14:paraId="6A8570A2" w14:textId="77777777" w:rsidR="00CD2817" w:rsidRPr="08F82155" w:rsidRDefault="00CD2817">
      <w:pPr>
        <w:pStyle w:val="Textpoznpodarou"/>
        <w:rPr>
          <w:lang w:val="cs-CZ"/>
        </w:rPr>
      </w:pPr>
      <w:r>
        <w:rPr>
          <w:rStyle w:val="Znakapoznpodarou"/>
        </w:rPr>
        <w:footnoteRef/>
      </w:r>
      <w:r>
        <w:t xml:space="preserve"> </w:t>
      </w:r>
      <w:r>
        <w:rPr>
          <w:lang w:val="cs-CZ"/>
        </w:rPr>
        <w:t>„</w:t>
      </w:r>
      <w:r w:rsidRPr="08F82155">
        <w:rPr>
          <w:lang w:val="cs-CZ"/>
        </w:rPr>
        <w:t>Hic omnia regit non ut anima mundi</w:t>
      </w:r>
      <w:r>
        <w:rPr>
          <w:lang w:val="cs-CZ"/>
        </w:rPr>
        <w:t>:</w:t>
      </w:r>
      <w:r w:rsidRPr="08F82155">
        <w:rPr>
          <w:lang w:val="cs-CZ"/>
        </w:rPr>
        <w:t xml:space="preserve"> sed ut universorum dominus. Et propter domin</w:t>
      </w:r>
      <w:r>
        <w:rPr>
          <w:lang w:val="cs-CZ"/>
        </w:rPr>
        <w:t>i</w:t>
      </w:r>
      <w:r w:rsidRPr="08F82155">
        <w:rPr>
          <w:lang w:val="cs-CZ"/>
        </w:rPr>
        <w:t xml:space="preserve">um suum, dominus deus </w:t>
      </w:r>
      <w:r>
        <w:t>Пαντοκράτωρ</w:t>
      </w:r>
      <w:r>
        <w:rPr>
          <w:lang w:val="cs-CZ"/>
        </w:rPr>
        <w:t xml:space="preserve"> dici solet. N</w:t>
      </w:r>
      <w:r w:rsidRPr="08F82155">
        <w:rPr>
          <w:lang w:val="cs-CZ"/>
        </w:rPr>
        <w:t>am deus est vox relativa &amp; ad servos refertur: &amp; deitas est dominatio dei, non in corpus proprium, uti sentiunt quibus deus est anima mundi, sed in servos.</w:t>
      </w:r>
      <w:r>
        <w:rPr>
          <w:lang w:val="cs-CZ"/>
        </w:rPr>
        <w:t xml:space="preserve">“ (Newton </w:t>
      </w:r>
      <w:r w:rsidRPr="081650AF">
        <w:rPr>
          <w:lang w:val="cs-CZ"/>
        </w:rPr>
        <w:t>1871</w:t>
      </w:r>
      <w:r>
        <w:rPr>
          <w:lang w:val="cs-CZ"/>
        </w:rPr>
        <w:t>, 528)</w:t>
      </w:r>
    </w:p>
  </w:footnote>
  <w:footnote w:id="112">
    <w:p w14:paraId="1C3EE5BF" w14:textId="77777777" w:rsidR="00CD2817" w:rsidRPr="00025C12" w:rsidRDefault="00CD2817" w:rsidP="00E475A4">
      <w:pPr>
        <w:pStyle w:val="Textpoznpodarou"/>
      </w:pPr>
      <w:r>
        <w:rPr>
          <w:rStyle w:val="Znakapoznpodarou"/>
        </w:rPr>
        <w:footnoteRef/>
      </w:r>
      <w:r>
        <w:t xml:space="preserve"> „Dico igitur tria esse in anima</w:t>
      </w:r>
      <w:r w:rsidRPr="007A6274">
        <w:t>: scient</w:t>
      </w:r>
      <w:r>
        <w:t>ia et intellectum et voluntatem</w:t>
      </w:r>
      <w:r w:rsidRPr="007A6274">
        <w:t>; horum autem unumquodque est passibile.</w:t>
      </w:r>
      <w:r>
        <w:rPr>
          <w:sz w:val="18"/>
          <w:szCs w:val="18"/>
        </w:rPr>
        <w:t xml:space="preserve"> </w:t>
      </w:r>
      <w:r w:rsidRPr="00073C52">
        <w:rPr>
          <w:rStyle w:val="Zvraznn"/>
          <w:i w:val="0"/>
        </w:rPr>
        <w:t>Dico passibilem scientiam esse sensum, passibilem vero intellectum ymaginacionem, passibilem vero volu</w:t>
      </w:r>
      <w:r>
        <w:rPr>
          <w:rStyle w:val="Zvraznn"/>
          <w:i w:val="0"/>
        </w:rPr>
        <w:t>ntatem desiderium seu affectum</w:t>
      </w:r>
      <w:r w:rsidRPr="00073C52">
        <w:rPr>
          <w:rStyle w:val="Zvraznn"/>
          <w:i w:val="0"/>
        </w:rPr>
        <w:t>.</w:t>
      </w:r>
      <w:r>
        <w:rPr>
          <w:rStyle w:val="Zvraznn"/>
          <w:i w:val="0"/>
        </w:rPr>
        <w:t>“ (</w:t>
      </w:r>
      <w:r>
        <w:rPr>
          <w:rStyle w:val="Zvraznn"/>
        </w:rPr>
        <w:t xml:space="preserve">Quaternuli, </w:t>
      </w:r>
      <w:r w:rsidRPr="007A6A33">
        <w:rPr>
          <w:rStyle w:val="Zvraznn"/>
          <w:i w:val="0"/>
        </w:rPr>
        <w:t>fragment</w:t>
      </w:r>
      <w:r>
        <w:rPr>
          <w:rStyle w:val="alinea"/>
        </w:rPr>
        <w:t xml:space="preserve"> 69</w:t>
      </w:r>
      <w:r>
        <w:rPr>
          <w:rStyle w:val="alinea"/>
        </w:rPr>
        <w:fldChar w:fldCharType="begin"/>
      </w:r>
      <w:r>
        <w:instrText xml:space="preserve"> XE "</w:instrText>
      </w:r>
      <w:r>
        <w:rPr>
          <w:lang w:val="cs-CZ"/>
        </w:rPr>
        <w:instrText>David z Dinantu:</w:instrText>
      </w:r>
      <w:r w:rsidRPr="00651ABD">
        <w:rPr>
          <w:rStyle w:val="Zvraznn"/>
          <w:iCs w:val="0"/>
        </w:rPr>
        <w:instrText>Quaternuli</w:instrText>
      </w:r>
      <w:r w:rsidRPr="00651ABD">
        <w:rPr>
          <w:rStyle w:val="Zvraznn"/>
          <w:i w:val="0"/>
          <w:iCs w:val="0"/>
        </w:rPr>
        <w:instrText>, fr</w:instrText>
      </w:r>
      <w:r>
        <w:rPr>
          <w:rStyle w:val="Zvraznn"/>
          <w:i w:val="0"/>
          <w:iCs w:val="0"/>
          <w:lang w:val="cs-CZ"/>
        </w:rPr>
        <w:instrText>.</w:instrText>
      </w:r>
      <w:r>
        <w:rPr>
          <w:rStyle w:val="alinea"/>
        </w:rPr>
        <w:instrText xml:space="preserve"> </w:instrText>
      </w:r>
      <w:r>
        <w:rPr>
          <w:rStyle w:val="alinea"/>
          <w:lang w:val="cs-CZ"/>
        </w:rPr>
        <w:instrText>69</w:instrText>
      </w:r>
      <w:r>
        <w:instrText xml:space="preserve">" </w:instrText>
      </w:r>
      <w:r>
        <w:rPr>
          <w:rStyle w:val="alinea"/>
        </w:rPr>
        <w:fldChar w:fldCharType="end"/>
      </w:r>
      <w:r>
        <w:rPr>
          <w:rStyle w:val="alinea"/>
          <w:lang w:val="cs-CZ"/>
        </w:rPr>
        <w:t xml:space="preserve">; </w:t>
      </w:r>
      <w:r>
        <w:rPr>
          <w:rStyle w:val="alinea"/>
        </w:rPr>
        <w:t>cit. podle Dagron 2003, 422)</w:t>
      </w:r>
    </w:p>
  </w:footnote>
  <w:footnote w:id="113">
    <w:p w14:paraId="3400A3A2" w14:textId="77777777" w:rsidR="00CD2817" w:rsidRPr="00DA2D91" w:rsidRDefault="00CD2817" w:rsidP="00DA2D91">
      <w:pPr>
        <w:pStyle w:val="Textpoznpodarou"/>
      </w:pPr>
      <w:r>
        <w:rPr>
          <w:rStyle w:val="Znakapoznpodarou"/>
        </w:rPr>
        <w:footnoteRef/>
      </w:r>
      <w:r>
        <w:t xml:space="preserve"> </w:t>
      </w:r>
      <w:r w:rsidRPr="00DA2D91">
        <w:t>„Manifestum est etiam, quod passivus intellectus (hoc est imagina</w:t>
      </w:r>
      <w:r>
        <w:t>ci</w:t>
      </w:r>
      <w:r w:rsidRPr="00DA2D91">
        <w:t>o) non comprehendit esse, nisi assimiletur r</w:t>
      </w:r>
      <w:r>
        <w:t>ei sense, nom hoc supra naturam</w:t>
      </w:r>
      <w:r w:rsidRPr="00DA2D91">
        <w:t>; per simile vero videtur, quod nec [im]passibilis intellectus possit comprehendere ylen, nisi habeat similitudinem cum ea aut ei sit idem. (...) Ex hiis ergo colligi potest mentem et ylen idem esse.“</w:t>
      </w:r>
      <w:r>
        <w:t xml:space="preserve"> (</w:t>
      </w:r>
      <w:r>
        <w:rPr>
          <w:rStyle w:val="Zvraznn"/>
        </w:rPr>
        <w:t xml:space="preserve">Quaternuli, </w:t>
      </w:r>
      <w:r w:rsidRPr="007A6A33">
        <w:rPr>
          <w:rStyle w:val="Zvraznn"/>
          <w:i w:val="0"/>
        </w:rPr>
        <w:t>fragment</w:t>
      </w:r>
      <w:r>
        <w:rPr>
          <w:rStyle w:val="alinea"/>
        </w:rPr>
        <w:t xml:space="preserve"> 70</w:t>
      </w:r>
      <w:r>
        <w:rPr>
          <w:rStyle w:val="alinea"/>
        </w:rPr>
        <w:fldChar w:fldCharType="begin"/>
      </w:r>
      <w:r>
        <w:instrText xml:space="preserve"> XE "</w:instrText>
      </w:r>
      <w:r>
        <w:rPr>
          <w:lang w:val="cs-CZ"/>
        </w:rPr>
        <w:instrText>David z Dinantu:</w:instrText>
      </w:r>
      <w:r w:rsidRPr="00651ABD">
        <w:rPr>
          <w:rStyle w:val="Zvraznn"/>
          <w:iCs w:val="0"/>
        </w:rPr>
        <w:instrText>Quaternuli</w:instrText>
      </w:r>
      <w:r w:rsidRPr="00651ABD">
        <w:rPr>
          <w:rStyle w:val="Zvraznn"/>
          <w:i w:val="0"/>
          <w:iCs w:val="0"/>
        </w:rPr>
        <w:instrText>, fr</w:instrText>
      </w:r>
      <w:r>
        <w:rPr>
          <w:rStyle w:val="Zvraznn"/>
          <w:i w:val="0"/>
          <w:iCs w:val="0"/>
          <w:lang w:val="cs-CZ"/>
        </w:rPr>
        <w:instrText>.</w:instrText>
      </w:r>
      <w:r>
        <w:rPr>
          <w:rStyle w:val="alinea"/>
        </w:rPr>
        <w:instrText xml:space="preserve"> </w:instrText>
      </w:r>
      <w:r>
        <w:rPr>
          <w:rStyle w:val="alinea"/>
          <w:lang w:val="cs-CZ"/>
        </w:rPr>
        <w:instrText>70</w:instrText>
      </w:r>
      <w:r>
        <w:instrText xml:space="preserve">" </w:instrText>
      </w:r>
      <w:r>
        <w:rPr>
          <w:rStyle w:val="alinea"/>
        </w:rPr>
        <w:fldChar w:fldCharType="end"/>
      </w:r>
      <w:r>
        <w:rPr>
          <w:rStyle w:val="alinea"/>
          <w:lang w:val="cs-CZ"/>
        </w:rPr>
        <w:t xml:space="preserve">; </w:t>
      </w:r>
      <w:r>
        <w:rPr>
          <w:rStyle w:val="alinea"/>
        </w:rPr>
        <w:t>cit. podle Dagron 2003, 423)</w:t>
      </w:r>
    </w:p>
  </w:footnote>
  <w:footnote w:id="114">
    <w:p w14:paraId="17925020" w14:textId="77777777" w:rsidR="00CD2817" w:rsidRPr="0079586D" w:rsidRDefault="00CD2817" w:rsidP="083C23CD">
      <w:pPr>
        <w:pStyle w:val="Textpoznpodarou"/>
      </w:pPr>
      <w:r>
        <w:rPr>
          <w:rStyle w:val="Znakapoznpodarou"/>
        </w:rPr>
        <w:footnoteRef/>
      </w:r>
      <w:r>
        <w:t xml:space="preserve"> „Manifestum est igitur unam solam substanciam esse, non tantum omnium corporum, sed etiam animarum omnium et eam nichil aliud esse, quam ipsum Deum. Substantia vero, ex qua sunt omnia &lt;corpora&gt;, dicitur yle; substancia vero, ex qua sunt omnes anime, dicitur racio sive mens. Manifestum est ergo Deum esse racionem omnium animarum et yle omnium corporum.“ (</w:t>
      </w:r>
      <w:r>
        <w:rPr>
          <w:rStyle w:val="Zvraznn"/>
        </w:rPr>
        <w:t xml:space="preserve">Quaternuli, </w:t>
      </w:r>
      <w:r w:rsidRPr="007A6A33">
        <w:rPr>
          <w:rStyle w:val="Zvraznn"/>
          <w:i w:val="0"/>
        </w:rPr>
        <w:t>fragment</w:t>
      </w:r>
      <w:r>
        <w:rPr>
          <w:rStyle w:val="alinea"/>
        </w:rPr>
        <w:t xml:space="preserve"> 70</w:t>
      </w:r>
      <w:r>
        <w:rPr>
          <w:rStyle w:val="alinea"/>
        </w:rPr>
        <w:fldChar w:fldCharType="begin"/>
      </w:r>
      <w:r>
        <w:instrText xml:space="preserve"> XE "</w:instrText>
      </w:r>
      <w:r>
        <w:rPr>
          <w:lang w:val="cs-CZ"/>
        </w:rPr>
        <w:instrText>David z Dinantu:</w:instrText>
      </w:r>
      <w:r w:rsidRPr="00651ABD">
        <w:rPr>
          <w:rStyle w:val="Zvraznn"/>
          <w:iCs w:val="0"/>
        </w:rPr>
        <w:instrText>Quaternuli</w:instrText>
      </w:r>
      <w:r w:rsidRPr="00651ABD">
        <w:rPr>
          <w:rStyle w:val="Zvraznn"/>
          <w:i w:val="0"/>
          <w:iCs w:val="0"/>
        </w:rPr>
        <w:instrText>, fr</w:instrText>
      </w:r>
      <w:r>
        <w:rPr>
          <w:rStyle w:val="Zvraznn"/>
          <w:i w:val="0"/>
          <w:iCs w:val="0"/>
          <w:lang w:val="cs-CZ"/>
        </w:rPr>
        <w:instrText>.</w:instrText>
      </w:r>
      <w:r>
        <w:rPr>
          <w:rStyle w:val="alinea"/>
        </w:rPr>
        <w:instrText xml:space="preserve"> </w:instrText>
      </w:r>
      <w:r>
        <w:rPr>
          <w:rStyle w:val="alinea"/>
          <w:lang w:val="cs-CZ"/>
        </w:rPr>
        <w:instrText>70</w:instrText>
      </w:r>
      <w:r>
        <w:instrText xml:space="preserve">" </w:instrText>
      </w:r>
      <w:r>
        <w:rPr>
          <w:rStyle w:val="alinea"/>
        </w:rPr>
        <w:fldChar w:fldCharType="end"/>
      </w:r>
      <w:r>
        <w:rPr>
          <w:rStyle w:val="alinea"/>
          <w:lang w:val="cs-CZ"/>
        </w:rPr>
        <w:t xml:space="preserve">; </w:t>
      </w:r>
      <w:r>
        <w:rPr>
          <w:rStyle w:val="alinea"/>
        </w:rPr>
        <w:t>cit. podle Dagron 2003, 423)</w:t>
      </w:r>
    </w:p>
  </w:footnote>
  <w:footnote w:id="115">
    <w:p w14:paraId="6318A008" w14:textId="77777777" w:rsidR="00CD2817" w:rsidRPr="00DA2D91" w:rsidRDefault="00CD2817" w:rsidP="00FA51AA">
      <w:pPr>
        <w:pStyle w:val="Textpoznpodarou"/>
      </w:pPr>
      <w:r>
        <w:rPr>
          <w:rStyle w:val="Znakapoznpodarou"/>
        </w:rPr>
        <w:footnoteRef/>
      </w:r>
      <w:r>
        <w:t xml:space="preserve"> </w:t>
      </w:r>
      <w:r w:rsidRPr="00DA2D91">
        <w:t xml:space="preserve">„Mens enim, de qua loquimur et quam unam dicimus esse eamque impassibilem, nichil aliud est quam Deus. </w:t>
      </w:r>
      <w:r>
        <w:t>Si ergo mundus est ipse Deus pre</w:t>
      </w:r>
      <w:r w:rsidRPr="00DA2D91">
        <w:t xml:space="preserve">ter se </w:t>
      </w:r>
      <w:r>
        <w:t>ipsum perceptibile sensui, ut Pl</w:t>
      </w:r>
      <w:r w:rsidRPr="00DA2D91">
        <w:t>ato et Zeno et Socrates et multi alii dixerunt, yle igitur mundi est ipse Deus, forma vero adveniens yle nil aliud quam id, quod facit Deus sensibile se ipsum.“</w:t>
      </w:r>
      <w:r>
        <w:t xml:space="preserve"> (</w:t>
      </w:r>
      <w:r>
        <w:rPr>
          <w:rStyle w:val="Zvraznn"/>
        </w:rPr>
        <w:t xml:space="preserve">Quaternuli, </w:t>
      </w:r>
      <w:r w:rsidRPr="007A6A33">
        <w:rPr>
          <w:rStyle w:val="Zvraznn"/>
          <w:i w:val="0"/>
        </w:rPr>
        <w:t>fragment</w:t>
      </w:r>
      <w:r>
        <w:rPr>
          <w:rStyle w:val="alinea"/>
        </w:rPr>
        <w:t xml:space="preserve"> 70</w:t>
      </w:r>
      <w:r>
        <w:rPr>
          <w:rStyle w:val="alinea"/>
        </w:rPr>
        <w:fldChar w:fldCharType="begin"/>
      </w:r>
      <w:r>
        <w:instrText xml:space="preserve"> XE "</w:instrText>
      </w:r>
      <w:r>
        <w:rPr>
          <w:lang w:val="cs-CZ"/>
        </w:rPr>
        <w:instrText>David z Dinantu:</w:instrText>
      </w:r>
      <w:r w:rsidRPr="00651ABD">
        <w:rPr>
          <w:rStyle w:val="Zvraznn"/>
          <w:iCs w:val="0"/>
        </w:rPr>
        <w:instrText>Quaternuli</w:instrText>
      </w:r>
      <w:r w:rsidRPr="00651ABD">
        <w:rPr>
          <w:rStyle w:val="Zvraznn"/>
          <w:i w:val="0"/>
          <w:iCs w:val="0"/>
        </w:rPr>
        <w:instrText>, fr</w:instrText>
      </w:r>
      <w:r>
        <w:rPr>
          <w:rStyle w:val="Zvraznn"/>
          <w:i w:val="0"/>
          <w:iCs w:val="0"/>
          <w:lang w:val="cs-CZ"/>
        </w:rPr>
        <w:instrText>.</w:instrText>
      </w:r>
      <w:r>
        <w:rPr>
          <w:rStyle w:val="alinea"/>
        </w:rPr>
        <w:instrText xml:space="preserve"> </w:instrText>
      </w:r>
      <w:r>
        <w:rPr>
          <w:rStyle w:val="alinea"/>
          <w:lang w:val="cs-CZ"/>
        </w:rPr>
        <w:instrText>70</w:instrText>
      </w:r>
      <w:r>
        <w:instrText xml:space="preserve">" </w:instrText>
      </w:r>
      <w:r>
        <w:rPr>
          <w:rStyle w:val="alinea"/>
        </w:rPr>
        <w:fldChar w:fldCharType="end"/>
      </w:r>
      <w:r>
        <w:rPr>
          <w:rStyle w:val="alinea"/>
          <w:lang w:val="cs-CZ"/>
        </w:rPr>
        <w:t xml:space="preserve">; </w:t>
      </w:r>
      <w:r>
        <w:rPr>
          <w:rStyle w:val="alinea"/>
        </w:rPr>
        <w:t>cit. podle Dagron 2003, 423)</w:t>
      </w:r>
    </w:p>
  </w:footnote>
  <w:footnote w:id="116">
    <w:p w14:paraId="42C04CE4" w14:textId="77777777" w:rsidR="00CD2817" w:rsidRPr="00203210" w:rsidRDefault="00CD2817" w:rsidP="08AB46D0">
      <w:pPr>
        <w:pStyle w:val="Textpoznpodarou"/>
      </w:pPr>
      <w:r>
        <w:rPr>
          <w:rStyle w:val="Znakapoznpodarou"/>
        </w:rPr>
        <w:footnoteRef/>
      </w:r>
      <w:r>
        <w:t xml:space="preserve"> „</w:t>
      </w:r>
      <w:r w:rsidRPr="00FB0B8F">
        <w:t>Dicimus mundum non habere animam.</w:t>
      </w:r>
      <w:r>
        <w:t>“ (</w:t>
      </w:r>
      <w:r w:rsidRPr="00C8126F">
        <w:rPr>
          <w:i/>
        </w:rPr>
        <w:t>Tractatus de anima</w:t>
      </w:r>
      <w:r>
        <w:t xml:space="preserve"> 360</w:t>
      </w:r>
      <w:r>
        <w:rPr>
          <w:lang w:val="cs-CZ"/>
        </w:rPr>
        <w:t xml:space="preserve">; </w:t>
      </w:r>
      <w:r>
        <w:t>ed. Callus‒Hunt, p. 98.18</w:t>
      </w:r>
      <w:r>
        <w:fldChar w:fldCharType="begin"/>
      </w:r>
      <w:r>
        <w:instrText xml:space="preserve"> XE "</w:instrText>
      </w:r>
      <w:r>
        <w:rPr>
          <w:lang w:val="cs-CZ"/>
        </w:rPr>
        <w:instrText>Blund:</w:instrText>
      </w:r>
      <w:r w:rsidRPr="00C15950">
        <w:rPr>
          <w:i/>
        </w:rPr>
        <w:instrText>Tractatus de anima</w:instrText>
      </w:r>
      <w:r w:rsidRPr="00C15950">
        <w:instrText xml:space="preserve"> 98.18</w:instrText>
      </w:r>
      <w:r>
        <w:instrText xml:space="preserve">" </w:instrText>
      </w:r>
      <w:r>
        <w:fldChar w:fldCharType="end"/>
      </w:r>
      <w:r>
        <w:t>)</w:t>
      </w:r>
    </w:p>
  </w:footnote>
  <w:footnote w:id="117">
    <w:p w14:paraId="66529593" w14:textId="77777777" w:rsidR="00CD2817" w:rsidRPr="086D0B01" w:rsidRDefault="00CD2817" w:rsidP="08DA10B9">
      <w:pPr>
        <w:pStyle w:val="Textpoznpodarou"/>
      </w:pPr>
      <w:r>
        <w:rPr>
          <w:rStyle w:val="Znakapoznpodarou"/>
        </w:rPr>
        <w:footnoteRef/>
      </w:r>
      <w:r>
        <w:t xml:space="preserve"> „</w:t>
      </w:r>
      <w:r w:rsidRPr="086D0B01">
        <w:t xml:space="preserve">Inde satis constare potest quia si qua perorem / nullus ad hoc prece vel precio me compulit, immo / </w:t>
      </w:r>
      <w:r>
        <w:t>insitus humane ration</w:t>
      </w:r>
      <w:r>
        <w:rPr>
          <w:lang w:val="cs-CZ"/>
        </w:rPr>
        <w:t>i</w:t>
      </w:r>
      <w:r w:rsidRPr="086D0B01">
        <w:t xml:space="preserve"> iura tuendi / naturalis amor compescendique furorem / quo presumit homo divina retexere facta.</w:t>
      </w:r>
      <w:r>
        <w:rPr>
          <w:lang w:val="cs-CZ"/>
        </w:rPr>
        <w:t xml:space="preserve">“ </w:t>
      </w:r>
      <w:r>
        <w:t>(</w:t>
      </w:r>
      <w:r w:rsidRPr="08ED683A">
        <w:rPr>
          <w:i/>
          <w:lang w:val="cs-CZ"/>
        </w:rPr>
        <w:t>Poems of Henry of Avranches</w:t>
      </w:r>
      <w:r>
        <w:rPr>
          <w:lang w:val="cs-CZ"/>
        </w:rPr>
        <w:t xml:space="preserve">; ed. </w:t>
      </w:r>
      <w:r>
        <w:t>Heironimus&amp;Russell</w:t>
      </w:r>
      <w:r>
        <w:rPr>
          <w:lang w:val="cs-CZ"/>
        </w:rPr>
        <w:t>, no. 130, p. 130.23‒28</w:t>
      </w:r>
      <w:r>
        <w:rPr>
          <w:lang w:val="cs-CZ"/>
        </w:rPr>
        <w:fldChar w:fldCharType="begin"/>
      </w:r>
      <w:r>
        <w:instrText xml:space="preserve"> XE "</w:instrText>
      </w:r>
      <w:r w:rsidRPr="08C97578">
        <w:instrText>Henry of Avranches:</w:instrText>
      </w:r>
      <w:r w:rsidRPr="08110B43">
        <w:rPr>
          <w:i/>
        </w:rPr>
        <w:instrText>Poems</w:instrText>
      </w:r>
      <w:r w:rsidRPr="08C97578">
        <w:instrText xml:space="preserve"> </w:instrText>
      </w:r>
      <w:r>
        <w:rPr>
          <w:lang w:val="cs-CZ"/>
        </w:rPr>
        <w:instrText>130.23</w:instrText>
      </w:r>
      <w:r w:rsidRPr="08C97578">
        <w:rPr>
          <w:lang w:val="cs-CZ"/>
        </w:rPr>
        <w:instrText>‒</w:instrText>
      </w:r>
      <w:r>
        <w:rPr>
          <w:lang w:val="cs-CZ"/>
        </w:rPr>
        <w:instrText>28</w:instrText>
      </w:r>
      <w:r>
        <w:instrText xml:space="preserve">" </w:instrText>
      </w:r>
      <w:r>
        <w:rPr>
          <w:lang w:val="cs-CZ"/>
        </w:rPr>
        <w:fldChar w:fldCharType="end"/>
      </w:r>
      <w:r>
        <w:t>)</w:t>
      </w:r>
    </w:p>
  </w:footnote>
  <w:footnote w:id="118">
    <w:p w14:paraId="094124F0" w14:textId="77777777" w:rsidR="00CD2817" w:rsidRPr="00636BAC" w:rsidRDefault="00CD2817" w:rsidP="08671CCC">
      <w:pPr>
        <w:pStyle w:val="Textpoznpodarou"/>
        <w:rPr>
          <w:lang w:val="cs-CZ"/>
        </w:rPr>
      </w:pPr>
      <w:r>
        <w:rPr>
          <w:rStyle w:val="Znakapoznpodarou"/>
        </w:rPr>
        <w:footnoteRef/>
      </w:r>
      <w:r>
        <w:t xml:space="preserve"> </w:t>
      </w:r>
      <w:r>
        <w:rPr>
          <w:lang w:val="cs-CZ"/>
        </w:rPr>
        <w:t>„</w:t>
      </w:r>
      <w:r>
        <w:t xml:space="preserve">Toletanus autem translator utrumque intelligit esse ponendum in </w:t>
      </w:r>
      <w:r>
        <w:rPr>
          <w:lang w:val="cs-CZ"/>
        </w:rPr>
        <w:t>di</w:t>
      </w:r>
      <w:r>
        <w:t>f</w:t>
      </w:r>
      <w:r>
        <w:rPr>
          <w:lang w:val="cs-CZ"/>
        </w:rPr>
        <w:t>f</w:t>
      </w:r>
      <w:r>
        <w:t>initione anime, hoc modo : «</w:t>
      </w:r>
      <w:r>
        <w:rPr>
          <w:lang w:val="cs-CZ"/>
        </w:rPr>
        <w:t xml:space="preserve"> </w:t>
      </w:r>
      <w:r>
        <w:t>Anima est primus actus corporis fisici organici potencia uitam habentis</w:t>
      </w:r>
      <w:r>
        <w:rPr>
          <w:lang w:val="cs-CZ"/>
        </w:rPr>
        <w:t xml:space="preserve"> </w:t>
      </w:r>
      <w:r>
        <w:t>». Per hoc quod dico « organici », excluduntur corpora naturalia que non sunt organica, ut elementa et elementata : sic excluduntur per hanc differenciam sanguis et sperma.</w:t>
      </w:r>
      <w:r>
        <w:rPr>
          <w:lang w:val="cs-CZ"/>
        </w:rPr>
        <w:t xml:space="preserve"> Et quia corpora mortuorum animalium uidentur organica esse, ut excludantur, additur : « potentia vitam habentis », quod intelligitur ut supra dictum est.“ </w:t>
      </w:r>
      <w:r>
        <w:t>(</w:t>
      </w:r>
      <w:r>
        <w:rPr>
          <w:i/>
        </w:rPr>
        <w:t>De anima et de potenciis eius</w:t>
      </w:r>
      <w:r>
        <w:rPr>
          <w:lang w:val="cs-CZ"/>
        </w:rPr>
        <w:t xml:space="preserve">; </w:t>
      </w:r>
      <w:r>
        <w:t xml:space="preserve">ed. Gauthier, </w:t>
      </w:r>
      <w:r>
        <w:rPr>
          <w:lang w:val="cs-CZ"/>
        </w:rPr>
        <w:t>p</w:t>
      </w:r>
      <w:r>
        <w:t xml:space="preserve">. </w:t>
      </w:r>
      <w:r>
        <w:rPr>
          <w:lang w:val="cs-CZ"/>
        </w:rPr>
        <w:t>29.42‒48</w:t>
      </w:r>
      <w:r>
        <w:fldChar w:fldCharType="begin"/>
      </w:r>
      <w:r>
        <w:instrText xml:space="preserve"> XE "</w:instrText>
      </w:r>
      <w:r>
        <w:rPr>
          <w:i/>
        </w:rPr>
        <w:instrText>De anima et de potenciis eius</w:instrText>
      </w:r>
      <w:r>
        <w:rPr>
          <w:lang w:val="cs-CZ"/>
        </w:rPr>
        <w:instrText xml:space="preserve"> 29.42‒48</w:instrText>
      </w:r>
      <w:r>
        <w:instrText xml:space="preserve">" </w:instrText>
      </w:r>
      <w:r>
        <w:fldChar w:fldCharType="end"/>
      </w:r>
      <w:r>
        <w:t>)</w:t>
      </w:r>
    </w:p>
  </w:footnote>
  <w:footnote w:id="119">
    <w:p w14:paraId="2332BA52" w14:textId="77777777" w:rsidR="00CD2817" w:rsidRPr="008D326A" w:rsidRDefault="00CD2817" w:rsidP="08F76695">
      <w:pPr>
        <w:pStyle w:val="Textpoznpodarou"/>
        <w:rPr>
          <w:lang w:val="cs-CZ"/>
        </w:rPr>
      </w:pPr>
      <w:r>
        <w:rPr>
          <w:rStyle w:val="Znakapoznpodarou"/>
        </w:rPr>
        <w:footnoteRef/>
      </w:r>
      <w:r>
        <w:t xml:space="preserve"> </w:t>
      </w:r>
      <w:r>
        <w:rPr>
          <w:lang w:val="cs-CZ"/>
        </w:rPr>
        <w:t>„</w:t>
      </w:r>
      <w:r>
        <w:t>Et quia iste terminus «</w:t>
      </w:r>
      <w:r>
        <w:rPr>
          <w:lang w:val="cs-CZ"/>
        </w:rPr>
        <w:t xml:space="preserve"> </w:t>
      </w:r>
      <w:r>
        <w:t>potencia uitam habentis</w:t>
      </w:r>
      <w:r>
        <w:rPr>
          <w:lang w:val="cs-CZ"/>
        </w:rPr>
        <w:t xml:space="preserve"> </w:t>
      </w:r>
      <w:r>
        <w:t>», habet se ad plantas et animalia secundum prius et posterius et re et dictione, ideo Aristot</w:t>
      </w:r>
      <w:r>
        <w:rPr>
          <w:lang w:val="cs-CZ"/>
        </w:rPr>
        <w:t>i</w:t>
      </w:r>
      <w:r>
        <w:t xml:space="preserve">les </w:t>
      </w:r>
      <w:r>
        <w:rPr>
          <w:lang w:val="cs-CZ"/>
        </w:rPr>
        <w:t>m</w:t>
      </w:r>
      <w:r>
        <w:t>utauit eum in hunc terminum: «</w:t>
      </w:r>
      <w:r w:rsidRPr="008D326A">
        <w:t xml:space="preserve"> </w:t>
      </w:r>
      <w:r>
        <w:t>organici</w:t>
      </w:r>
      <w:r>
        <w:rPr>
          <w:lang w:val="cs-CZ"/>
        </w:rPr>
        <w:t xml:space="preserve"> </w:t>
      </w:r>
      <w:r>
        <w:t xml:space="preserve">», quod sic se habet re, non dictione, quia, licet re sit analogum, dictione tamen est uniuocum. </w:t>
      </w:r>
      <w:r>
        <w:rPr>
          <w:lang w:val="cs-CZ"/>
        </w:rPr>
        <w:t xml:space="preserve">Hec est </w:t>
      </w:r>
      <w:r>
        <w:t>igitur recta diffinitio anime: « Anima est actus primus corporis phisici organi</w:t>
      </w:r>
      <w:r>
        <w:rPr>
          <w:lang w:val="cs-CZ"/>
        </w:rPr>
        <w:t>c</w:t>
      </w:r>
      <w:r>
        <w:t>i ». Et hoc dictum est secundum expositionem Aueroist.</w:t>
      </w:r>
      <w:r>
        <w:rPr>
          <w:lang w:val="cs-CZ"/>
        </w:rPr>
        <w:t xml:space="preserve">“ </w:t>
      </w:r>
      <w:r>
        <w:t>(</w:t>
      </w:r>
      <w:r>
        <w:rPr>
          <w:i/>
        </w:rPr>
        <w:t>De anima et de potenciis eius</w:t>
      </w:r>
      <w:r>
        <w:rPr>
          <w:lang w:val="cs-CZ"/>
        </w:rPr>
        <w:t xml:space="preserve">; </w:t>
      </w:r>
      <w:r>
        <w:t>ed. Gauthier, p</w:t>
      </w:r>
      <w:r>
        <w:rPr>
          <w:lang w:val="cs-CZ"/>
        </w:rPr>
        <w:t>p</w:t>
      </w:r>
      <w:r>
        <w:t>. 2</w:t>
      </w:r>
      <w:r>
        <w:rPr>
          <w:lang w:val="cs-CZ"/>
        </w:rPr>
        <w:t>8</w:t>
      </w:r>
      <w:r>
        <w:t>.</w:t>
      </w:r>
      <w:r>
        <w:rPr>
          <w:lang w:val="cs-CZ"/>
        </w:rPr>
        <w:t>36</w:t>
      </w:r>
      <w:r>
        <w:t>‒</w:t>
      </w:r>
      <w:r>
        <w:rPr>
          <w:lang w:val="cs-CZ"/>
        </w:rPr>
        <w:t>29.41</w:t>
      </w:r>
      <w:r>
        <w:fldChar w:fldCharType="begin"/>
      </w:r>
      <w:r>
        <w:instrText xml:space="preserve"> XE "</w:instrText>
      </w:r>
      <w:r>
        <w:rPr>
          <w:i/>
        </w:rPr>
        <w:instrText>De anima et de potenciis eius</w:instrText>
      </w:r>
      <w:r>
        <w:instrText xml:space="preserve"> 2</w:instrText>
      </w:r>
      <w:r>
        <w:rPr>
          <w:lang w:val="cs-CZ"/>
        </w:rPr>
        <w:instrText>8</w:instrText>
      </w:r>
      <w:r>
        <w:instrText>.</w:instrText>
      </w:r>
      <w:r>
        <w:rPr>
          <w:lang w:val="cs-CZ"/>
        </w:rPr>
        <w:instrText>36</w:instrText>
      </w:r>
      <w:r>
        <w:instrText>‒</w:instrText>
      </w:r>
      <w:r>
        <w:rPr>
          <w:lang w:val="cs-CZ"/>
        </w:rPr>
        <w:instrText>29.41</w:instrText>
      </w:r>
      <w:r>
        <w:instrText xml:space="preserve">" </w:instrText>
      </w:r>
      <w:r>
        <w:fldChar w:fldCharType="end"/>
      </w:r>
      <w:r>
        <w:t>)</w:t>
      </w:r>
    </w:p>
  </w:footnote>
  <w:footnote w:id="120">
    <w:p w14:paraId="6C2298EE" w14:textId="77777777" w:rsidR="00CD2817" w:rsidRPr="00612984" w:rsidRDefault="00CD2817" w:rsidP="00653407">
      <w:pPr>
        <w:pStyle w:val="Textpoznpodarou"/>
      </w:pPr>
      <w:r>
        <w:rPr>
          <w:rStyle w:val="Znakapoznpodarou"/>
        </w:rPr>
        <w:footnoteRef/>
      </w:r>
      <w:r>
        <w:t xml:space="preserve"> „Sed plus placet nobis sensus Aueneroist. Corpus enim mortuum non est organicum, quia partes eius non sunt organa: oculus mortui non est oculus.“ (</w:t>
      </w:r>
      <w:r>
        <w:rPr>
          <w:i/>
        </w:rPr>
        <w:t>De anima et de potenciis eius</w:t>
      </w:r>
      <w:r>
        <w:rPr>
          <w:lang w:val="cs-CZ"/>
        </w:rPr>
        <w:t xml:space="preserve">; </w:t>
      </w:r>
      <w:r>
        <w:t>ed. Gauthier, p. 29.49‒50</w:t>
      </w:r>
      <w:r>
        <w:fldChar w:fldCharType="begin"/>
      </w:r>
      <w:r>
        <w:instrText xml:space="preserve"> XE "</w:instrText>
      </w:r>
      <w:r>
        <w:rPr>
          <w:i/>
        </w:rPr>
        <w:instrText>De anima et de potenciis eius</w:instrText>
      </w:r>
      <w:r>
        <w:instrText xml:space="preserve"> </w:instrText>
      </w:r>
      <w:r w:rsidRPr="00A1556F">
        <w:instrText>29</w:instrText>
      </w:r>
      <w:r>
        <w:instrText>.4</w:instrText>
      </w:r>
      <w:r>
        <w:rPr>
          <w:lang w:val="cs-CZ"/>
        </w:rPr>
        <w:instrText>9</w:instrText>
      </w:r>
      <w:r>
        <w:instrText>‒</w:instrText>
      </w:r>
      <w:r>
        <w:rPr>
          <w:lang w:val="cs-CZ"/>
        </w:rPr>
        <w:instrText>50</w:instrText>
      </w:r>
      <w:r>
        <w:instrText xml:space="preserve">" </w:instrText>
      </w:r>
      <w:r>
        <w:fldChar w:fldCharType="end"/>
      </w:r>
      <w:r>
        <w:t>)</w:t>
      </w:r>
    </w:p>
  </w:footnote>
  <w:footnote w:id="121">
    <w:p w14:paraId="0651C4B2" w14:textId="77777777" w:rsidR="00CD2817" w:rsidRPr="00C60BFB" w:rsidRDefault="00CD2817" w:rsidP="08AD637D">
      <w:pPr>
        <w:pStyle w:val="Textpoznpodarou"/>
      </w:pPr>
      <w:r>
        <w:rPr>
          <w:rStyle w:val="Znakapoznpodarou"/>
        </w:rPr>
        <w:footnoteRef/>
      </w:r>
      <w:r>
        <w:t xml:space="preserve"> „Utque in eo quod est '</w:t>
      </w:r>
      <w:r w:rsidRPr="00050329">
        <w:rPr>
          <w:i/>
        </w:rPr>
        <w:t>homo mortuus</w:t>
      </w:r>
      <w:r>
        <w:t>'</w:t>
      </w:r>
      <w:r w:rsidRPr="00050329">
        <w:t xml:space="preserve"> oppositio est in adiecto, ita et in eo </w:t>
      </w:r>
      <w:r>
        <w:t>recte diceretur esse quod est '</w:t>
      </w:r>
      <w:r w:rsidRPr="00050329">
        <w:rPr>
          <w:i/>
        </w:rPr>
        <w:t>tempus praeteritum</w:t>
      </w:r>
      <w:r>
        <w:t>' et '</w:t>
      </w:r>
      <w:r>
        <w:rPr>
          <w:i/>
        </w:rPr>
        <w:t>tempus fu</w:t>
      </w:r>
      <w:r w:rsidRPr="00050329">
        <w:rPr>
          <w:i/>
        </w:rPr>
        <w:t>turum</w:t>
      </w:r>
      <w:r>
        <w:t>'</w:t>
      </w:r>
      <w:r w:rsidRPr="00050329">
        <w:t>. Nota autem quod, cum praeteritum et praesens et futurum circa diversa accipiantur, hic ordo est eorum ut antecedat praeteritum, deinde praesens succedat ac postea futurum subsequatur, cum videlicet res ea quae praeterita est prius exstiterit quam ea quae praesens est, atque ea quae praesens est quam ea quae futura dicitur.</w:t>
      </w:r>
      <w:r>
        <w:t>“ (</w:t>
      </w:r>
      <w:r w:rsidRPr="00050329">
        <w:rPr>
          <w:i/>
        </w:rPr>
        <w:t>Dialectica</w:t>
      </w:r>
      <w:r>
        <w:rPr>
          <w:i/>
          <w:lang w:val="cs-CZ"/>
        </w:rPr>
        <w:t xml:space="preserve"> </w:t>
      </w:r>
      <w:r w:rsidRPr="005A6220">
        <w:t>II</w:t>
      </w:r>
      <w:r>
        <w:rPr>
          <w:lang w:val="cs-CZ"/>
        </w:rPr>
        <w:t xml:space="preserve">; </w:t>
      </w:r>
      <w:r>
        <w:t>ed. Rijk, p. 63.30‒37</w:t>
      </w:r>
      <w:r>
        <w:fldChar w:fldCharType="begin"/>
      </w:r>
      <w:r>
        <w:instrText xml:space="preserve"> XE "</w:instrText>
      </w:r>
      <w:r>
        <w:rPr>
          <w:lang w:val="cs-CZ"/>
        </w:rPr>
        <w:instrText>Abelard:</w:instrText>
      </w:r>
      <w:r w:rsidRPr="005D0F4B">
        <w:rPr>
          <w:i/>
        </w:rPr>
        <w:instrText>Dialectica</w:instrText>
      </w:r>
      <w:r>
        <w:rPr>
          <w:i/>
          <w:lang w:val="cs-CZ"/>
        </w:rPr>
        <w:instrText xml:space="preserve"> </w:instrText>
      </w:r>
      <w:r w:rsidRPr="005D0F4B">
        <w:instrText>63.30‒37</w:instrText>
      </w:r>
      <w:r>
        <w:instrText xml:space="preserve">" </w:instrText>
      </w:r>
      <w:r>
        <w:fldChar w:fldCharType="end"/>
      </w:r>
      <w:r>
        <w:t>)</w:t>
      </w:r>
    </w:p>
  </w:footnote>
  <w:footnote w:id="122">
    <w:p w14:paraId="09F3993D" w14:textId="77777777" w:rsidR="00CD2817" w:rsidRPr="005D560E" w:rsidRDefault="00CD2817" w:rsidP="009F473D">
      <w:pPr>
        <w:pStyle w:val="Textpoznpodarou"/>
      </w:pPr>
      <w:r>
        <w:rPr>
          <w:rStyle w:val="Znakapoznpodarou"/>
        </w:rPr>
        <w:footnoteRef/>
      </w:r>
      <w:r>
        <w:t xml:space="preserve"> „</w:t>
      </w:r>
      <w:r w:rsidRPr="005D560E">
        <w:t xml:space="preserve">Hec argumentatio potest reduci in explicitam iuxta hoc preceptum: cuiuslibet argumentationis inplicite reductio est in explicitam </w:t>
      </w:r>
      <w:r>
        <w:t>addita aliqua que cooperatur vel</w:t>
      </w:r>
      <w:r w:rsidRPr="005D560E">
        <w:t xml:space="preserve"> videatur cooperari ad conclusionem, hoc modo: hec propositio '</w:t>
      </w:r>
      <w:r w:rsidRPr="005D560E">
        <w:rPr>
          <w:i/>
        </w:rPr>
        <w:t>nullum mortuum est homo</w:t>
      </w:r>
      <w:r w:rsidRPr="005D560E">
        <w:t>' est universalis negativa et vera et habet simplicem conversam; ergo eius simplex conversa est vera.</w:t>
      </w:r>
      <w:r>
        <w:t>“ (</w:t>
      </w:r>
      <w:r w:rsidRPr="005D560E">
        <w:rPr>
          <w:i/>
        </w:rPr>
        <w:t>Logica Modernorum II</w:t>
      </w:r>
      <w:r>
        <w:rPr>
          <w:lang w:val="cs-CZ"/>
        </w:rPr>
        <w:t xml:space="preserve">; </w:t>
      </w:r>
      <w:r>
        <w:t>ed. Rijk, p. 236.10‒14</w:t>
      </w:r>
      <w:r>
        <w:fldChar w:fldCharType="begin"/>
      </w:r>
      <w:r>
        <w:instrText xml:space="preserve"> XE "</w:instrText>
      </w:r>
      <w:r w:rsidRPr="004057CE">
        <w:rPr>
          <w:i/>
        </w:rPr>
        <w:instrText>Logica Modernorum II</w:instrText>
      </w:r>
      <w:r>
        <w:rPr>
          <w:lang w:val="cs-CZ"/>
        </w:rPr>
        <w:instrText>:</w:instrText>
      </w:r>
      <w:r w:rsidRPr="009D750F">
        <w:rPr>
          <w:i/>
        </w:rPr>
        <w:instrText>Tractatus Anagnini</w:instrText>
      </w:r>
      <w:r w:rsidRPr="004057CE">
        <w:instrText xml:space="preserve"> 236.10‒14</w:instrText>
      </w:r>
      <w:r>
        <w:instrText xml:space="preserve">" </w:instrText>
      </w:r>
      <w:r>
        <w:fldChar w:fldCharType="end"/>
      </w:r>
      <w:r>
        <w:t>).</w:t>
      </w:r>
    </w:p>
  </w:footnote>
  <w:footnote w:id="123">
    <w:p w14:paraId="0F18B169" w14:textId="77777777" w:rsidR="00CD2817" w:rsidRPr="08C35DAB" w:rsidRDefault="00CD2817" w:rsidP="004F20D5">
      <w:pPr>
        <w:pStyle w:val="Textpoznpodarou"/>
        <w:rPr>
          <w:lang w:val="cs-CZ"/>
        </w:rPr>
      </w:pPr>
      <w:r>
        <w:rPr>
          <w:rStyle w:val="Znakapoznpodarou"/>
        </w:rPr>
        <w:footnoteRef/>
      </w:r>
      <w:r>
        <w:t xml:space="preserve"> </w:t>
      </w:r>
      <w:r>
        <w:rPr>
          <w:lang w:val="cs-CZ"/>
        </w:rPr>
        <w:t>„</w:t>
      </w:r>
      <w:r w:rsidRPr="08C35DAB">
        <w:rPr>
          <w:lang w:val="cs-CZ"/>
        </w:rPr>
        <w:t>Si enim non sit actu, a quo vel mediate vel immediate res illa possit venire in compl</w:t>
      </w:r>
      <w:r>
        <w:rPr>
          <w:lang w:val="cs-CZ"/>
        </w:rPr>
        <w:t>ementum, non est possibile rem il</w:t>
      </w:r>
      <w:r w:rsidRPr="08C35DAB">
        <w:rPr>
          <w:lang w:val="cs-CZ"/>
        </w:rPr>
        <w:t>lam esse. Cum itaque dicitur, quod r</w:t>
      </w:r>
      <w:r>
        <w:rPr>
          <w:lang w:val="cs-CZ"/>
        </w:rPr>
        <w:t>es est in potentia, forte intelli</w:t>
      </w:r>
      <w:r w:rsidRPr="08C35DAB">
        <w:rPr>
          <w:lang w:val="cs-CZ"/>
        </w:rPr>
        <w:t>gitur potentia efficientis solum et forte potentia efficientis et amplius.</w:t>
      </w:r>
      <w:r>
        <w:rPr>
          <w:lang w:val="cs-CZ"/>
        </w:rPr>
        <w:t xml:space="preserve">“ </w:t>
      </w:r>
      <w:r>
        <w:t>(</w:t>
      </w:r>
      <w:r w:rsidRPr="001D06F3">
        <w:rPr>
          <w:i/>
        </w:rPr>
        <w:t xml:space="preserve">De </w:t>
      </w:r>
      <w:r>
        <w:rPr>
          <w:i/>
          <w:lang w:val="cs-CZ"/>
        </w:rPr>
        <w:t>potentia et actu</w:t>
      </w:r>
      <w:r>
        <w:rPr>
          <w:lang w:val="cs-CZ"/>
        </w:rPr>
        <w:t>;</w:t>
      </w:r>
      <w:r>
        <w:t xml:space="preserve"> ed. Baur, p. </w:t>
      </w:r>
      <w:r>
        <w:rPr>
          <w:lang w:val="cs-CZ"/>
        </w:rPr>
        <w:t>127</w:t>
      </w:r>
      <w:r>
        <w:t>.</w:t>
      </w:r>
      <w:r>
        <w:rPr>
          <w:lang w:val="cs-CZ"/>
        </w:rPr>
        <w:t>1</w:t>
      </w:r>
      <w:r>
        <w:t>‒</w:t>
      </w:r>
      <w:r>
        <w:rPr>
          <w:lang w:val="cs-CZ"/>
        </w:rPr>
        <w:t>5</w:t>
      </w:r>
      <w:r>
        <w:fldChar w:fldCharType="begin"/>
      </w:r>
      <w:r>
        <w:instrText xml:space="preserve"> XE "</w:instrText>
      </w:r>
      <w:r w:rsidRPr="004568E7">
        <w:instrText>Grosseteste</w:instrText>
      </w:r>
      <w:r>
        <w:rPr>
          <w:i/>
          <w:lang w:val="cs-CZ"/>
        </w:rPr>
        <w:instrText>:</w:instrText>
      </w:r>
      <w:r w:rsidRPr="001D06F3">
        <w:rPr>
          <w:i/>
        </w:rPr>
        <w:instrText xml:space="preserve">De </w:instrText>
      </w:r>
      <w:r>
        <w:rPr>
          <w:i/>
          <w:lang w:val="cs-CZ"/>
        </w:rPr>
        <w:instrText>potentia et actu</w:instrText>
      </w:r>
      <w:r w:rsidRPr="00CF7EDB">
        <w:instrText xml:space="preserve"> </w:instrText>
      </w:r>
      <w:r>
        <w:rPr>
          <w:lang w:val="cs-CZ"/>
        </w:rPr>
        <w:instrText>127</w:instrText>
      </w:r>
      <w:r w:rsidRPr="00CF7EDB">
        <w:instrText>.</w:instrText>
      </w:r>
      <w:r>
        <w:rPr>
          <w:lang w:val="cs-CZ"/>
        </w:rPr>
        <w:instrText>1</w:instrText>
      </w:r>
      <w:r w:rsidRPr="00CF7EDB">
        <w:instrText>‒</w:instrText>
      </w:r>
      <w:r>
        <w:rPr>
          <w:lang w:val="cs-CZ"/>
        </w:rPr>
        <w:instrText>5</w:instrText>
      </w:r>
      <w:r>
        <w:instrText xml:space="preserve">" </w:instrText>
      </w:r>
      <w:r>
        <w:fldChar w:fldCharType="end"/>
      </w:r>
      <w:r>
        <w:t>)</w:t>
      </w:r>
    </w:p>
  </w:footnote>
  <w:footnote w:id="124">
    <w:p w14:paraId="000291B5" w14:textId="77777777" w:rsidR="00CD2817" w:rsidRPr="08EA74C6" w:rsidRDefault="00CD2817">
      <w:pPr>
        <w:pStyle w:val="Textpoznpodarou"/>
        <w:rPr>
          <w:lang w:val="cs-CZ"/>
        </w:rPr>
      </w:pPr>
      <w:r>
        <w:rPr>
          <w:rStyle w:val="Znakapoznpodarou"/>
        </w:rPr>
        <w:footnoteRef/>
      </w:r>
      <w:r>
        <w:t xml:space="preserve"> </w:t>
      </w:r>
      <w:r>
        <w:rPr>
          <w:lang w:val="cs-CZ"/>
        </w:rPr>
        <w:t>„</w:t>
      </w:r>
      <w:r w:rsidRPr="08EA74C6">
        <w:rPr>
          <w:lang w:val="cs-CZ"/>
        </w:rPr>
        <w:t>Primus actus an</w:t>
      </w:r>
      <w:r>
        <w:rPr>
          <w:lang w:val="cs-CZ"/>
        </w:rPr>
        <w:t>imae est, quod est perfectio cor</w:t>
      </w:r>
      <w:r w:rsidRPr="08EA74C6">
        <w:rPr>
          <w:lang w:val="cs-CZ"/>
        </w:rPr>
        <w:t>poris organici naturalis, secundus scilicet actus est operari sicut in ense. — Primus actus est figura et forma, secundus secare. Et secundus actus non est sine primo. Ergo ad hoc, quod sit operatio animae rationalis oportet, ut sit forma ipsius corporis. Sed hoc non potest esse nisi in corpore sensibili. Ergo ad primum actum oportet, quod sensibile sit medium non tantum ad hoc quod operetur.</w:t>
      </w:r>
      <w:r>
        <w:rPr>
          <w:lang w:val="cs-CZ"/>
        </w:rPr>
        <w:t>“ (</w:t>
      </w:r>
      <w:r w:rsidRPr="001D06F3">
        <w:rPr>
          <w:i/>
        </w:rPr>
        <w:t xml:space="preserve">De </w:t>
      </w:r>
      <w:r>
        <w:rPr>
          <w:i/>
          <w:lang w:val="cs-CZ"/>
        </w:rPr>
        <w:t xml:space="preserve">anima, </w:t>
      </w:r>
      <w:r w:rsidRPr="08EA74C6">
        <w:rPr>
          <w:lang w:val="cs-CZ"/>
        </w:rPr>
        <w:t>cap. VIII</w:t>
      </w:r>
      <w:r>
        <w:rPr>
          <w:lang w:val="cs-CZ"/>
        </w:rPr>
        <w:t>;</w:t>
      </w:r>
      <w:r>
        <w:t xml:space="preserve"> ed. Baur, p. </w:t>
      </w:r>
      <w:r>
        <w:rPr>
          <w:lang w:val="cs-CZ"/>
        </w:rPr>
        <w:t>270</w:t>
      </w:r>
      <w:r>
        <w:t>.</w:t>
      </w:r>
      <w:r>
        <w:rPr>
          <w:lang w:val="cs-CZ"/>
        </w:rPr>
        <w:t>25</w:t>
      </w:r>
      <w:r>
        <w:t>‒</w:t>
      </w:r>
      <w:r>
        <w:rPr>
          <w:lang w:val="cs-CZ"/>
        </w:rPr>
        <w:t>31</w:t>
      </w:r>
      <w:r>
        <w:fldChar w:fldCharType="begin"/>
      </w:r>
      <w:r>
        <w:instrText xml:space="preserve"> XE "</w:instrText>
      </w:r>
      <w:r w:rsidRPr="004568E7">
        <w:instrText>Grosseteste</w:instrText>
      </w:r>
      <w:r>
        <w:rPr>
          <w:i/>
          <w:lang w:val="cs-CZ"/>
        </w:rPr>
        <w:instrText>:</w:instrText>
      </w:r>
      <w:r w:rsidRPr="001D06F3">
        <w:rPr>
          <w:i/>
        </w:rPr>
        <w:instrText xml:space="preserve">De </w:instrText>
      </w:r>
      <w:r>
        <w:rPr>
          <w:i/>
          <w:lang w:val="cs-CZ"/>
        </w:rPr>
        <w:instrText>anima</w:instrText>
      </w:r>
      <w:r w:rsidRPr="00CF7EDB">
        <w:instrText xml:space="preserve"> </w:instrText>
      </w:r>
      <w:r>
        <w:rPr>
          <w:lang w:val="cs-CZ"/>
        </w:rPr>
        <w:instrText>270</w:instrText>
      </w:r>
      <w:r w:rsidRPr="00CF7EDB">
        <w:instrText>.</w:instrText>
      </w:r>
      <w:r>
        <w:rPr>
          <w:lang w:val="cs-CZ"/>
        </w:rPr>
        <w:instrText>25</w:instrText>
      </w:r>
      <w:r w:rsidRPr="00CF7EDB">
        <w:instrText>‒</w:instrText>
      </w:r>
      <w:r>
        <w:rPr>
          <w:lang w:val="cs-CZ"/>
        </w:rPr>
        <w:instrText>31</w:instrText>
      </w:r>
      <w:r>
        <w:instrText xml:space="preserve">" </w:instrText>
      </w:r>
      <w:r>
        <w:fldChar w:fldCharType="end"/>
      </w:r>
      <w:r>
        <w:rPr>
          <w:lang w:val="cs-CZ"/>
        </w:rPr>
        <w:t>)</w:t>
      </w:r>
    </w:p>
  </w:footnote>
  <w:footnote w:id="125">
    <w:p w14:paraId="7D9C8E17" w14:textId="77777777" w:rsidR="00CD2817" w:rsidRPr="08826840" w:rsidRDefault="00CD2817" w:rsidP="08826840">
      <w:pPr>
        <w:pStyle w:val="Textpoznpodarou"/>
        <w:rPr>
          <w:lang w:val="cs-CZ"/>
        </w:rPr>
      </w:pPr>
      <w:r>
        <w:rPr>
          <w:rStyle w:val="Znakapoznpodarou"/>
        </w:rPr>
        <w:footnoteRef/>
      </w:r>
      <w:r>
        <w:t xml:space="preserve"> </w:t>
      </w:r>
      <w:r>
        <w:rPr>
          <w:lang w:val="cs-CZ"/>
        </w:rPr>
        <w:t>„</w:t>
      </w:r>
      <w:r>
        <w:t>Perspicuitas est quaedam natura communis aëris et aquae et ignis et quintae essentiae, ut patet I</w:t>
      </w:r>
      <w:r>
        <w:rPr>
          <w:lang w:val="cs-CZ"/>
        </w:rPr>
        <w:t>I</w:t>
      </w:r>
      <w:r>
        <w:t xml:space="preserve"> de anima capitulo de lucido et in libro de sensu et sensato expressius dicitur. Hoc ergo, quod non est perspicuum, non est eiusdem naturae cu</w:t>
      </w:r>
      <w:r>
        <w:rPr>
          <w:lang w:val="cs-CZ"/>
        </w:rPr>
        <w:t>m</w:t>
      </w:r>
      <w:r>
        <w:t xml:space="preserve"> aliquo istorum. Sed stellae non sunt perspicuae; ergo non sunt eiusdem naturae cum aliquo istorum.</w:t>
      </w:r>
      <w:r>
        <w:rPr>
          <w:lang w:val="cs-CZ"/>
        </w:rPr>
        <w:t>“ (</w:t>
      </w:r>
      <w:r w:rsidRPr="08826840">
        <w:rPr>
          <w:i/>
          <w:lang w:val="cs-CZ"/>
        </w:rPr>
        <w:t>De generatione stellarum</w:t>
      </w:r>
      <w:r>
        <w:rPr>
          <w:lang w:val="cs-CZ"/>
        </w:rPr>
        <w:t>, ed. Baur, p. 34.17‒22</w:t>
      </w:r>
      <w:r>
        <w:rPr>
          <w:lang w:val="cs-CZ"/>
        </w:rPr>
        <w:fldChar w:fldCharType="begin"/>
      </w:r>
      <w:r>
        <w:instrText xml:space="preserve"> XE "</w:instrText>
      </w:r>
      <w:r>
        <w:rPr>
          <w:lang w:val="cs-CZ"/>
        </w:rPr>
        <w:instrText>Grosseteste:</w:instrText>
      </w:r>
      <w:r w:rsidRPr="080A5619">
        <w:rPr>
          <w:i/>
          <w:lang w:val="cs-CZ"/>
        </w:rPr>
        <w:instrText>De generatione stellarum</w:instrText>
      </w:r>
      <w:r>
        <w:rPr>
          <w:lang w:val="cs-CZ"/>
        </w:rPr>
        <w:instrText xml:space="preserve"> </w:instrText>
      </w:r>
      <w:r w:rsidRPr="080A5619">
        <w:rPr>
          <w:lang w:val="cs-CZ"/>
        </w:rPr>
        <w:instrText>34.17‒22</w:instrText>
      </w:r>
      <w:r>
        <w:instrText xml:space="preserve">" </w:instrText>
      </w:r>
      <w:r>
        <w:rPr>
          <w:lang w:val="cs-CZ"/>
        </w:rPr>
        <w:fldChar w:fldCharType="end"/>
      </w:r>
      <w:r>
        <w:rPr>
          <w:lang w:val="cs-CZ"/>
        </w:rPr>
        <w:t>)</w:t>
      </w:r>
    </w:p>
  </w:footnote>
  <w:footnote w:id="126">
    <w:p w14:paraId="7A03F12E" w14:textId="77777777" w:rsidR="00CD2817" w:rsidRPr="08BF1CB6" w:rsidRDefault="00CD2817" w:rsidP="08BF1CB6">
      <w:pPr>
        <w:pStyle w:val="Textpoznpodarou"/>
        <w:rPr>
          <w:lang w:val="cs-CZ"/>
        </w:rPr>
      </w:pPr>
      <w:r>
        <w:rPr>
          <w:rStyle w:val="Znakapoznpodarou"/>
        </w:rPr>
        <w:footnoteRef/>
      </w:r>
      <w:r>
        <w:t xml:space="preserve"> </w:t>
      </w:r>
      <w:r>
        <w:rPr>
          <w:lang w:val="cs-CZ"/>
        </w:rPr>
        <w:t>„</w:t>
      </w:r>
      <w:r w:rsidRPr="08BF1CB6">
        <w:rPr>
          <w:szCs w:val="18"/>
        </w:rPr>
        <w:t xml:space="preserve">Ad ultimum dicimus, quod duplex est medium; scilicet medium </w:t>
      </w:r>
      <w:r w:rsidRPr="08BF1CB6">
        <w:rPr>
          <w:i/>
          <w:szCs w:val="18"/>
        </w:rPr>
        <w:t>participans</w:t>
      </w:r>
      <w:r w:rsidRPr="08BF1CB6">
        <w:rPr>
          <w:szCs w:val="18"/>
        </w:rPr>
        <w:t>, ut medius color</w:t>
      </w:r>
      <w:r>
        <w:rPr>
          <w:szCs w:val="18"/>
          <w:lang w:val="cs-CZ"/>
        </w:rPr>
        <w:t>,</w:t>
      </w:r>
      <w:r w:rsidRPr="08BF1CB6">
        <w:rPr>
          <w:szCs w:val="18"/>
        </w:rPr>
        <w:t xml:space="preserve"> et medium </w:t>
      </w:r>
      <w:r w:rsidRPr="08BF1CB6">
        <w:rPr>
          <w:i/>
          <w:szCs w:val="18"/>
        </w:rPr>
        <w:t>ordinans</w:t>
      </w:r>
      <w:r w:rsidRPr="08BF1CB6">
        <w:rPr>
          <w:szCs w:val="18"/>
        </w:rPr>
        <w:t xml:space="preserve"> unum extremorum </w:t>
      </w:r>
      <w:r>
        <w:rPr>
          <w:szCs w:val="18"/>
        </w:rPr>
        <w:t>ad a</w:t>
      </w:r>
      <w:r>
        <w:rPr>
          <w:szCs w:val="18"/>
          <w:lang w:val="cs-CZ"/>
        </w:rPr>
        <w:t>li</w:t>
      </w:r>
      <w:r w:rsidRPr="08BF1CB6">
        <w:rPr>
          <w:szCs w:val="18"/>
        </w:rPr>
        <w:t>ud. Et tali modo c</w:t>
      </w:r>
      <w:r>
        <w:rPr>
          <w:szCs w:val="18"/>
        </w:rPr>
        <w:t>omponitur anima corpori, non cu</w:t>
      </w:r>
      <w:r w:rsidRPr="08BF1CB6">
        <w:rPr>
          <w:szCs w:val="18"/>
        </w:rPr>
        <w:t>i</w:t>
      </w:r>
      <w:r>
        <w:rPr>
          <w:szCs w:val="18"/>
          <w:lang w:val="cs-CZ"/>
        </w:rPr>
        <w:t>li</w:t>
      </w:r>
      <w:r w:rsidRPr="08BF1CB6">
        <w:rPr>
          <w:szCs w:val="18"/>
        </w:rPr>
        <w:t>bet, sed aptato.</w:t>
      </w:r>
      <w:r>
        <w:rPr>
          <w:szCs w:val="18"/>
          <w:lang w:val="cs-CZ"/>
        </w:rPr>
        <w:t xml:space="preserve">“ </w:t>
      </w:r>
      <w:r>
        <w:rPr>
          <w:lang w:val="cs-CZ"/>
        </w:rPr>
        <w:t>(</w:t>
      </w:r>
      <w:r w:rsidRPr="001D06F3">
        <w:rPr>
          <w:i/>
        </w:rPr>
        <w:t xml:space="preserve">De </w:t>
      </w:r>
      <w:r>
        <w:rPr>
          <w:i/>
          <w:lang w:val="cs-CZ"/>
        </w:rPr>
        <w:t xml:space="preserve">anima, </w:t>
      </w:r>
      <w:r>
        <w:rPr>
          <w:lang w:val="cs-CZ"/>
        </w:rPr>
        <w:t>cap. IV;</w:t>
      </w:r>
      <w:r>
        <w:t xml:space="preserve"> ed. Baur, p. </w:t>
      </w:r>
      <w:r>
        <w:rPr>
          <w:lang w:val="cs-CZ"/>
        </w:rPr>
        <w:t>251</w:t>
      </w:r>
      <w:r>
        <w:t>.</w:t>
      </w:r>
      <w:r>
        <w:rPr>
          <w:lang w:val="cs-CZ"/>
        </w:rPr>
        <w:t>37</w:t>
      </w:r>
      <w:r>
        <w:t>‒</w:t>
      </w:r>
      <w:r>
        <w:rPr>
          <w:lang w:val="cs-CZ"/>
        </w:rPr>
        <w:t>41</w:t>
      </w:r>
      <w:r>
        <w:fldChar w:fldCharType="begin"/>
      </w:r>
      <w:r>
        <w:instrText xml:space="preserve"> XE "</w:instrText>
      </w:r>
      <w:r w:rsidRPr="004568E7">
        <w:instrText>Grosseteste</w:instrText>
      </w:r>
      <w:r>
        <w:rPr>
          <w:i/>
          <w:lang w:val="cs-CZ"/>
        </w:rPr>
        <w:instrText>:</w:instrText>
      </w:r>
      <w:r w:rsidRPr="001D06F3">
        <w:rPr>
          <w:i/>
        </w:rPr>
        <w:instrText xml:space="preserve">De </w:instrText>
      </w:r>
      <w:r>
        <w:rPr>
          <w:i/>
          <w:lang w:val="cs-CZ"/>
        </w:rPr>
        <w:instrText>anima</w:instrText>
      </w:r>
      <w:r w:rsidRPr="00CF7EDB">
        <w:instrText xml:space="preserve"> </w:instrText>
      </w:r>
      <w:r>
        <w:rPr>
          <w:lang w:val="cs-CZ"/>
        </w:rPr>
        <w:instrText>251</w:instrText>
      </w:r>
      <w:r w:rsidRPr="00CF7EDB">
        <w:instrText>.</w:instrText>
      </w:r>
      <w:r>
        <w:rPr>
          <w:lang w:val="cs-CZ"/>
        </w:rPr>
        <w:instrText>37</w:instrText>
      </w:r>
      <w:r w:rsidRPr="00CF7EDB">
        <w:instrText>‒</w:instrText>
      </w:r>
      <w:r>
        <w:rPr>
          <w:lang w:val="cs-CZ"/>
        </w:rPr>
        <w:instrText>41</w:instrText>
      </w:r>
      <w:r>
        <w:instrText xml:space="preserve">" </w:instrText>
      </w:r>
      <w:r>
        <w:fldChar w:fldCharType="end"/>
      </w:r>
      <w:r>
        <w:rPr>
          <w:lang w:val="cs-CZ"/>
        </w:rPr>
        <w:t>)</w:t>
      </w:r>
    </w:p>
  </w:footnote>
  <w:footnote w:id="127">
    <w:p w14:paraId="04485DD6" w14:textId="77777777" w:rsidR="00CD2817" w:rsidRPr="080E6742" w:rsidRDefault="00CD2817" w:rsidP="080E6742">
      <w:pPr>
        <w:pStyle w:val="Textpoznpodarou"/>
        <w:rPr>
          <w:lang w:val="cs-CZ"/>
        </w:rPr>
      </w:pPr>
      <w:r>
        <w:rPr>
          <w:rStyle w:val="Znakapoznpodarou"/>
        </w:rPr>
        <w:footnoteRef/>
      </w:r>
      <w:r>
        <w:t xml:space="preserve"> </w:t>
      </w:r>
      <w:r>
        <w:rPr>
          <w:lang w:val="cs-CZ"/>
        </w:rPr>
        <w:t>„</w:t>
      </w:r>
      <w:r w:rsidRPr="080E6742">
        <w:rPr>
          <w:lang w:val="cs-CZ"/>
        </w:rPr>
        <w:t>Conueniunt etiam in hoc quod quilibet sensus indiget obiect</w:t>
      </w:r>
      <w:r>
        <w:rPr>
          <w:lang w:val="cs-CZ"/>
        </w:rPr>
        <w:t>o, medio, organo et spirit</w:t>
      </w:r>
      <w:r w:rsidRPr="080E6742">
        <w:rPr>
          <w:lang w:val="cs-CZ"/>
        </w:rPr>
        <w:t>u : unde forma abstracta primo est in medio, secundo in organo, tercio in spiritu, quarto in sensibili potencia</w:t>
      </w:r>
      <w:r>
        <w:rPr>
          <w:lang w:val="cs-CZ"/>
        </w:rPr>
        <w:t>, quinto in potencia rationali.“</w:t>
      </w:r>
      <w:r w:rsidRPr="080E6742">
        <w:rPr>
          <w:lang w:val="cs-CZ"/>
        </w:rPr>
        <w:t xml:space="preserve"> </w:t>
      </w:r>
      <w:r>
        <w:rPr>
          <w:lang w:val="cs-CZ"/>
        </w:rPr>
        <w:t>(</w:t>
      </w:r>
      <w:r>
        <w:rPr>
          <w:i/>
        </w:rPr>
        <w:t>De anima et de potenciis eius</w:t>
      </w:r>
      <w:r>
        <w:rPr>
          <w:lang w:val="cs-CZ"/>
        </w:rPr>
        <w:t xml:space="preserve">; </w:t>
      </w:r>
      <w:r>
        <w:t>ed. Gauthier,</w:t>
      </w:r>
      <w:r>
        <w:rPr>
          <w:lang w:val="cs-CZ"/>
        </w:rPr>
        <w:t xml:space="preserve"> pp. 35.200‒</w:t>
      </w:r>
      <w:r w:rsidRPr="080E6742">
        <w:rPr>
          <w:lang w:val="cs-CZ"/>
        </w:rPr>
        <w:t>36.203</w:t>
      </w:r>
      <w:r>
        <w:rPr>
          <w:lang w:val="cs-CZ"/>
        </w:rPr>
        <w:fldChar w:fldCharType="begin"/>
      </w:r>
      <w:r>
        <w:instrText xml:space="preserve"> XE "</w:instrText>
      </w:r>
      <w:r>
        <w:rPr>
          <w:i/>
        </w:rPr>
        <w:instrText>De anima et de potenciis eius</w:instrText>
      </w:r>
      <w:r>
        <w:rPr>
          <w:lang w:val="cs-CZ"/>
        </w:rPr>
        <w:instrText xml:space="preserve"> </w:instrText>
      </w:r>
      <w:r w:rsidRPr="08A01D84">
        <w:rPr>
          <w:lang w:val="cs-CZ"/>
        </w:rPr>
        <w:instrText>35.200‒36.203</w:instrText>
      </w:r>
      <w:r>
        <w:instrText xml:space="preserve">" </w:instrText>
      </w:r>
      <w:r>
        <w:rPr>
          <w:lang w:val="cs-CZ"/>
        </w:rPr>
        <w:fldChar w:fldCharType="end"/>
      </w:r>
      <w:r w:rsidRPr="080E6742">
        <w:rPr>
          <w:lang w:val="cs-CZ"/>
        </w:rPr>
        <w:t>)</w:t>
      </w:r>
    </w:p>
  </w:footnote>
  <w:footnote w:id="128">
    <w:p w14:paraId="67449269" w14:textId="77777777" w:rsidR="00CD2817" w:rsidRPr="005F1D53" w:rsidRDefault="00CD2817">
      <w:pPr>
        <w:pStyle w:val="Textpoznpodarou"/>
      </w:pPr>
      <w:r>
        <w:rPr>
          <w:rStyle w:val="Znakapoznpodarou"/>
        </w:rPr>
        <w:footnoteRef/>
      </w:r>
      <w:r>
        <w:t xml:space="preserve"> </w:t>
      </w:r>
      <w:r w:rsidRPr="00E542D6">
        <w:t>„Hec potencia media est inter potenciam sensibilem et intellectum separabilem: potencia enim sensibilis est circa fantasmata, intellectus separabilis circa species, hic autem intellectus materialis considerat species in fantasmatibus, ita quod apprehendit species cum acciden</w:t>
      </w:r>
      <w:r w:rsidRPr="00E542D6">
        <w:rPr>
          <w:szCs w:val="18"/>
        </w:rPr>
        <w:t xml:space="preserve">tibus, </w:t>
      </w:r>
      <w:r w:rsidRPr="00E542D6">
        <w:t xml:space="preserve">distinguens inter speciem et accidencia, non tamen abstrahens; et sic preparat materialiter species intellectui separabili.“ </w:t>
      </w:r>
      <w:r>
        <w:t>(</w:t>
      </w:r>
      <w:r>
        <w:rPr>
          <w:i/>
        </w:rPr>
        <w:t>De anima et de potenciis eius</w:t>
      </w:r>
      <w:r>
        <w:rPr>
          <w:lang w:val="cs-CZ"/>
        </w:rPr>
        <w:t>;</w:t>
      </w:r>
      <w:r>
        <w:t xml:space="preserve"> ed. Gauthier, p. 49.425‒30</w:t>
      </w:r>
      <w:r>
        <w:fldChar w:fldCharType="begin"/>
      </w:r>
      <w:r>
        <w:instrText xml:space="preserve"> XE "</w:instrText>
      </w:r>
      <w:r>
        <w:rPr>
          <w:i/>
        </w:rPr>
        <w:instrText>De anima et de potenciis eius</w:instrText>
      </w:r>
      <w:r>
        <w:instrText xml:space="preserve"> 49.425‒30" </w:instrText>
      </w:r>
      <w:r>
        <w:fldChar w:fldCharType="end"/>
      </w:r>
      <w:r>
        <w:t>)</w:t>
      </w:r>
    </w:p>
  </w:footnote>
  <w:footnote w:id="129">
    <w:p w14:paraId="4CB1C4C6" w14:textId="77777777" w:rsidR="00CD2817" w:rsidRPr="08586794" w:rsidRDefault="00CD2817" w:rsidP="08AE4EE0">
      <w:pPr>
        <w:pStyle w:val="Textpoznpodarou"/>
        <w:rPr>
          <w:lang w:val="cs-CZ"/>
        </w:rPr>
      </w:pPr>
      <w:r>
        <w:rPr>
          <w:rStyle w:val="Znakapoznpodarou"/>
        </w:rPr>
        <w:footnoteRef/>
      </w:r>
      <w:r>
        <w:t xml:space="preserve"> </w:t>
      </w:r>
      <w:r>
        <w:rPr>
          <w:lang w:val="cs-CZ"/>
        </w:rPr>
        <w:t>„</w:t>
      </w:r>
      <w:r w:rsidRPr="08586794">
        <w:rPr>
          <w:lang w:val="cs-CZ"/>
        </w:rPr>
        <w:t>Forte dices, quod licet anima rationalis sit in homine mediante sensibili, non tamen est alia substantia, sed una, cuius est ratio et sensus;</w:t>
      </w:r>
      <w:r>
        <w:rPr>
          <w:lang w:val="cs-CZ"/>
        </w:rPr>
        <w:t xml:space="preserve"> </w:t>
      </w:r>
      <w:r w:rsidRPr="08586794">
        <w:rPr>
          <w:lang w:val="cs-CZ"/>
        </w:rPr>
        <w:t>et mediante sensu est ratio in homine. Et ita est potentia media ad potentiam i</w:t>
      </w:r>
      <w:r>
        <w:rPr>
          <w:lang w:val="cs-CZ"/>
        </w:rPr>
        <w:t>n eadem substantia. Contra</w:t>
      </w:r>
      <w:r w:rsidRPr="08586794">
        <w:rPr>
          <w:lang w:val="cs-CZ"/>
        </w:rPr>
        <w:t>: destructo medio et destruitur idem, quod per illud medium est in aliquo. Sed potentia sensitiva non remanet in anima separata a corpore; ergo nec intellectiva, quod falsum est.</w:t>
      </w:r>
      <w:r>
        <w:rPr>
          <w:lang w:val="cs-CZ"/>
        </w:rPr>
        <w:t>“ (</w:t>
      </w:r>
      <w:r w:rsidRPr="005505EE">
        <w:rPr>
          <w:i/>
          <w:lang w:val="cs-CZ"/>
        </w:rPr>
        <w:t>De anima</w:t>
      </w:r>
      <w:r>
        <w:rPr>
          <w:lang w:val="cs-CZ"/>
        </w:rPr>
        <w:t>, cap. VIII; ed. Baur, p. 270.12‒18</w:t>
      </w:r>
      <w:r>
        <w:rPr>
          <w:lang w:val="cs-CZ"/>
        </w:rPr>
        <w:fldChar w:fldCharType="begin"/>
      </w:r>
      <w:r>
        <w:instrText xml:space="preserve"> XE "</w:instrText>
      </w:r>
      <w:r>
        <w:rPr>
          <w:lang w:val="cs-CZ"/>
        </w:rPr>
        <w:instrText>Grosseteste:</w:instrText>
      </w:r>
      <w:r w:rsidRPr="00694005">
        <w:rPr>
          <w:i/>
          <w:lang w:val="cs-CZ"/>
        </w:rPr>
        <w:instrText>De anima</w:instrText>
      </w:r>
      <w:r>
        <w:rPr>
          <w:lang w:val="cs-CZ"/>
        </w:rPr>
        <w:instrText xml:space="preserve"> 270.12‒18</w:instrText>
      </w:r>
      <w:r>
        <w:instrText xml:space="preserve">" </w:instrText>
      </w:r>
      <w:r>
        <w:rPr>
          <w:lang w:val="cs-CZ"/>
        </w:rPr>
        <w:fldChar w:fldCharType="end"/>
      </w:r>
      <w:r>
        <w:rPr>
          <w:lang w:val="cs-CZ"/>
        </w:rPr>
        <w:t>)</w:t>
      </w:r>
    </w:p>
  </w:footnote>
  <w:footnote w:id="130">
    <w:p w14:paraId="5AD6B8B8" w14:textId="77777777" w:rsidR="00CD2817" w:rsidRPr="0052497D" w:rsidRDefault="00CD2817">
      <w:pPr>
        <w:pStyle w:val="Textpoznpodarou"/>
      </w:pPr>
      <w:r>
        <w:rPr>
          <w:rStyle w:val="Znakapoznpodarou"/>
        </w:rPr>
        <w:footnoteRef/>
      </w:r>
      <w:r>
        <w:t xml:space="preserve"> „P</w:t>
      </w:r>
      <w:r w:rsidRPr="00C62D76">
        <w:t xml:space="preserve">rimo dicitur intellectus possibili eum ipse sit potencia anime et </w:t>
      </w:r>
      <w:r>
        <w:rPr>
          <w:rFonts w:eastAsia="HiddenHorzOCR"/>
          <w:szCs w:val="23"/>
        </w:rPr>
        <w:t>nichil actu</w:t>
      </w:r>
      <w:r w:rsidRPr="00C62D76">
        <w:t xml:space="preserve">; </w:t>
      </w:r>
      <w:r w:rsidRPr="00C62D76">
        <w:rPr>
          <w:rFonts w:eastAsia="HiddenHorzOCR"/>
          <w:szCs w:val="23"/>
        </w:rPr>
        <w:t xml:space="preserve">cuius </w:t>
      </w:r>
      <w:r w:rsidRPr="00C62D76">
        <w:t xml:space="preserve">exemplum est </w:t>
      </w:r>
      <w:r w:rsidRPr="00C62D76">
        <w:rPr>
          <w:rFonts w:eastAsia="HiddenHorzOCR"/>
          <w:szCs w:val="23"/>
        </w:rPr>
        <w:t xml:space="preserve">tabula </w:t>
      </w:r>
      <w:r w:rsidRPr="00C62D76">
        <w:t>nuda nullam habens picturam nec etiam aptitudinem ad unam magis quam</w:t>
      </w:r>
      <w:r>
        <w:t xml:space="preserve"> </w:t>
      </w:r>
      <w:r w:rsidRPr="00C62D76">
        <w:t>ad aliam, potens autem habere quamcunque.“ (</w:t>
      </w:r>
      <w:r>
        <w:rPr>
          <w:i/>
        </w:rPr>
        <w:t>De anima et de potenciis eius</w:t>
      </w:r>
      <w:r>
        <w:rPr>
          <w:lang w:val="cs-CZ"/>
        </w:rPr>
        <w:t>;</w:t>
      </w:r>
      <w:r w:rsidRPr="00C62D76">
        <w:t xml:space="preserve"> ed. Gauthier, p. 52</w:t>
      </w:r>
      <w:r>
        <w:t>.465‒68</w:t>
      </w:r>
      <w:r>
        <w:fldChar w:fldCharType="begin"/>
      </w:r>
      <w:r>
        <w:instrText xml:space="preserve"> XE "</w:instrText>
      </w:r>
      <w:r>
        <w:rPr>
          <w:i/>
        </w:rPr>
        <w:instrText>De anima et de potenciis eius</w:instrText>
      </w:r>
      <w:r>
        <w:rPr>
          <w:i/>
          <w:lang w:val="cs-CZ"/>
        </w:rPr>
        <w:instrText xml:space="preserve"> </w:instrText>
      </w:r>
      <w:r w:rsidRPr="00D744D2">
        <w:instrText>52.465‒68</w:instrText>
      </w:r>
      <w:r>
        <w:instrText xml:space="preserve">" </w:instrText>
      </w:r>
      <w:r>
        <w:fldChar w:fldCharType="end"/>
      </w:r>
      <w:r w:rsidRPr="00C62D76">
        <w:t>)</w:t>
      </w:r>
    </w:p>
  </w:footnote>
  <w:footnote w:id="131">
    <w:p w14:paraId="7A794E0C" w14:textId="77777777" w:rsidR="00CD2817" w:rsidRPr="00171F27" w:rsidRDefault="00CD2817">
      <w:pPr>
        <w:pStyle w:val="Textpoznpodarou"/>
      </w:pPr>
      <w:r>
        <w:rPr>
          <w:rStyle w:val="Znakapoznpodarou"/>
        </w:rPr>
        <w:footnoteRef/>
      </w:r>
      <w:r>
        <w:t xml:space="preserve"> „</w:t>
      </w:r>
      <w:r w:rsidRPr="00787516">
        <w:t xml:space="preserve">Est autem talis comparatio agentis ad possibilem qualis est comparatio lucis ad uisum. Sicut enim lux facit resultare speciem coloris de ipso </w:t>
      </w:r>
      <w:r w:rsidRPr="00787516">
        <w:rPr>
          <w:rStyle w:val="Zkladntext86"/>
          <w:spacing w:val="0"/>
          <w:sz w:val="21"/>
        </w:rPr>
        <w:t xml:space="preserve">colorato </w:t>
      </w:r>
      <w:r w:rsidRPr="00787516">
        <w:t>in oculum, ita intellectus agens abstrahit species a fantasmatibus, quas preparauit ei intellectus materialis, et f</w:t>
      </w:r>
      <w:r>
        <w:t>acit eas quodam modo resultare i</w:t>
      </w:r>
      <w:r w:rsidRPr="00787516">
        <w:t>n intellectu possibili. Vnde duo</w:t>
      </w:r>
      <w:r>
        <w:t xml:space="preserve"> sunt actus intellectus agentis</w:t>
      </w:r>
      <w:r w:rsidRPr="00787516">
        <w:t>: unus est abstrahere species a fantasmatibus, alius est species abstractas ordinare in intellectu possibili.</w:t>
      </w:r>
      <w:r>
        <w:t>“ (</w:t>
      </w:r>
      <w:r>
        <w:rPr>
          <w:i/>
        </w:rPr>
        <w:t>De anima et de potenciis eius</w:t>
      </w:r>
      <w:r>
        <w:rPr>
          <w:lang w:val="cs-CZ"/>
        </w:rPr>
        <w:t>;</w:t>
      </w:r>
      <w:r>
        <w:t xml:space="preserve"> ed. Gauthier, p. 51.446‒52</w:t>
      </w:r>
      <w:r>
        <w:fldChar w:fldCharType="begin"/>
      </w:r>
      <w:r>
        <w:instrText xml:space="preserve"> XE "</w:instrText>
      </w:r>
      <w:r>
        <w:rPr>
          <w:i/>
        </w:rPr>
        <w:instrText>De anima et de potenciis eius</w:instrText>
      </w:r>
      <w:r>
        <w:rPr>
          <w:i/>
          <w:lang w:val="cs-CZ"/>
        </w:rPr>
        <w:instrText xml:space="preserve"> </w:instrText>
      </w:r>
      <w:r w:rsidRPr="009228C3">
        <w:instrText>51.446‒452</w:instrText>
      </w:r>
      <w:r>
        <w:instrText xml:space="preserve">" </w:instrText>
      </w:r>
      <w:r>
        <w:fldChar w:fldCharType="end"/>
      </w:r>
      <w:r>
        <w:t>)</w:t>
      </w:r>
    </w:p>
  </w:footnote>
  <w:footnote w:id="132">
    <w:p w14:paraId="1AB40F15" w14:textId="77777777" w:rsidR="00CD2817" w:rsidRPr="00AB1E50" w:rsidRDefault="00CD2817">
      <w:pPr>
        <w:pStyle w:val="Textpoznpodarou"/>
      </w:pPr>
      <w:r>
        <w:rPr>
          <w:rStyle w:val="Znakapoznpodarou"/>
        </w:rPr>
        <w:footnoteRef/>
      </w:r>
      <w:r>
        <w:t xml:space="preserve"> „</w:t>
      </w:r>
      <w:r w:rsidRPr="0058498D">
        <w:t xml:space="preserve">Et </w:t>
      </w:r>
      <w:r w:rsidRPr="0058498D">
        <w:rPr>
          <w:rStyle w:val="Zkladntext86"/>
          <w:spacing w:val="0"/>
          <w:sz w:val="21"/>
        </w:rPr>
        <w:t xml:space="preserve">in </w:t>
      </w:r>
      <w:r w:rsidRPr="0058498D">
        <w:t xml:space="preserve">hoc errauit Auicena, quia posuit intellectum agentem separatum </w:t>
      </w:r>
      <w:r w:rsidRPr="0058498D">
        <w:rPr>
          <w:rStyle w:val="Zkladntext86"/>
          <w:spacing w:val="0"/>
          <w:sz w:val="21"/>
        </w:rPr>
        <w:t xml:space="preserve">ab anima, </w:t>
      </w:r>
      <w:r w:rsidRPr="0058498D">
        <w:t xml:space="preserve">puto intelligenciam siue angelum, sicut sol est separatus a uisu. </w:t>
      </w:r>
      <w:r w:rsidRPr="0058498D">
        <w:rPr>
          <w:rStyle w:val="Zkladntext86"/>
          <w:spacing w:val="0"/>
          <w:sz w:val="21"/>
        </w:rPr>
        <w:t xml:space="preserve">Set </w:t>
      </w:r>
      <w:r w:rsidRPr="0058498D">
        <w:t xml:space="preserve">non est dubium hunc intellectum esse potenciam anime, cum in potestate </w:t>
      </w:r>
      <w:r w:rsidRPr="0058498D">
        <w:rPr>
          <w:rStyle w:val="Zkladntext86"/>
          <w:spacing w:val="0"/>
          <w:sz w:val="21"/>
        </w:rPr>
        <w:t xml:space="preserve">anime sit </w:t>
      </w:r>
      <w:r>
        <w:t>intelligere quando uult</w:t>
      </w:r>
      <w:r w:rsidRPr="0058498D">
        <w:t xml:space="preserve">: ex hoc enim sequitur quod et fantasmata </w:t>
      </w:r>
      <w:r w:rsidRPr="0058498D">
        <w:rPr>
          <w:rStyle w:val="Zkladntext86"/>
          <w:spacing w:val="0"/>
          <w:sz w:val="21"/>
        </w:rPr>
        <w:t xml:space="preserve">sunt </w:t>
      </w:r>
      <w:r w:rsidRPr="0058498D">
        <w:t>semper ei presentia, et intellectus agens qui abstrahit species a fantas</w:t>
      </w:r>
      <w:r>
        <w:t>matibus est copulatus anime sicut potencia eius. Quod patet in uisu per contrarium, quia non uidemus album quandocunque uolumus, quia uel lux semper non est presens, uel si lux est aliquando presens, ipsum albu poterit esse absens.“ (</w:t>
      </w:r>
      <w:r>
        <w:rPr>
          <w:i/>
        </w:rPr>
        <w:t>De anima et de potenciis eius</w:t>
      </w:r>
      <w:r>
        <w:rPr>
          <w:lang w:val="cs-CZ"/>
        </w:rPr>
        <w:t xml:space="preserve">; </w:t>
      </w:r>
      <w:r>
        <w:t>ed. Gauthier, pp. 51.453‒52.461</w:t>
      </w:r>
      <w:r>
        <w:fldChar w:fldCharType="begin"/>
      </w:r>
      <w:r>
        <w:instrText xml:space="preserve"> XE "</w:instrText>
      </w:r>
      <w:r>
        <w:rPr>
          <w:i/>
        </w:rPr>
        <w:instrText>De anima et de potenciis eius</w:instrText>
      </w:r>
      <w:r w:rsidRPr="004E3314">
        <w:instrText>. 51.453‒52.461</w:instrText>
      </w:r>
      <w:r>
        <w:instrText xml:space="preserve">" </w:instrText>
      </w:r>
      <w:r>
        <w:fldChar w:fldCharType="end"/>
      </w:r>
      <w:r>
        <w:t>)</w:t>
      </w:r>
    </w:p>
  </w:footnote>
  <w:footnote w:id="133">
    <w:p w14:paraId="08B361B0" w14:textId="77777777" w:rsidR="00CD2817" w:rsidRPr="00177185" w:rsidRDefault="00CD2817" w:rsidP="00BB6FE1">
      <w:pPr>
        <w:pStyle w:val="Textpoznpodarou"/>
      </w:pPr>
      <w:r>
        <w:rPr>
          <w:rStyle w:val="Znakapoznpodarou"/>
        </w:rPr>
        <w:footnoteRef/>
      </w:r>
      <w:r>
        <w:t xml:space="preserve"> „Inseparabilis dicitur rationalitas, a qua homo dicitur rationalis. Et dicitur etiam intellectus materialis, quem uocat Aristotiles passibilem et corruptibilem.“ (</w:t>
      </w:r>
      <w:r>
        <w:rPr>
          <w:i/>
        </w:rPr>
        <w:t>De anima et de potenciis eius</w:t>
      </w:r>
      <w:r>
        <w:rPr>
          <w:lang w:val="cs-CZ"/>
        </w:rPr>
        <w:t>;</w:t>
      </w:r>
      <w:r>
        <w:t xml:space="preserve"> ed. Gauthier, p. 49</w:t>
      </w:r>
      <w:r>
        <w:rPr>
          <w:lang w:val="cs-CZ"/>
        </w:rPr>
        <w:t>.423‒25</w:t>
      </w:r>
      <w:r>
        <w:t>)</w:t>
      </w:r>
    </w:p>
  </w:footnote>
  <w:footnote w:id="134">
    <w:p w14:paraId="64B7543C" w14:textId="77777777" w:rsidR="00CD2817" w:rsidRPr="00CE7F25" w:rsidRDefault="00CD2817" w:rsidP="00E34335">
      <w:pPr>
        <w:pStyle w:val="Textpoznpodarou"/>
        <w:rPr>
          <w:lang w:val="cs-CZ"/>
        </w:rPr>
      </w:pPr>
      <w:r>
        <w:rPr>
          <w:rStyle w:val="Znakapoznpodarou"/>
        </w:rPr>
        <w:footnoteRef/>
      </w:r>
      <w:r>
        <w:t xml:space="preserve"> </w:t>
      </w:r>
      <w:r>
        <w:rPr>
          <w:lang w:val="cs-CZ"/>
        </w:rPr>
        <w:t>„</w:t>
      </w:r>
      <w:r>
        <w:t xml:space="preserve">Die </w:t>
      </w:r>
      <w:r w:rsidRPr="00CE7F25">
        <w:rPr>
          <w:i/>
        </w:rPr>
        <w:t>Summa Duacensis</w:t>
      </w:r>
      <w:r>
        <w:t xml:space="preserve"> ist nach der </w:t>
      </w:r>
      <w:r w:rsidRPr="00CE7F25">
        <w:rPr>
          <w:i/>
        </w:rPr>
        <w:t>Summa de bono</w:t>
      </w:r>
      <w:r>
        <w:t xml:space="preserve"> zu datieren. Sie ist von G. von Soissons, dem Kompilator der Sammelhandschrift Douai 434 aus der Summe Philipps zusammengestellt und geht damit wenigstens teilweise auf Philipp zurück. Damit ist die Eigenständigkeit und Originalität Philipps gewährleistet.</w:t>
      </w:r>
      <w:r>
        <w:rPr>
          <w:lang w:val="cs-CZ"/>
        </w:rPr>
        <w:t>“</w:t>
      </w:r>
      <w:r>
        <w:t xml:space="preserve"> </w:t>
      </w:r>
      <w:r>
        <w:rPr>
          <w:lang w:val="cs-CZ"/>
        </w:rPr>
        <w:t>(</w:t>
      </w:r>
      <w:r>
        <w:t>Wicki</w:t>
      </w:r>
      <w:r>
        <w:rPr>
          <w:lang w:val="cs-CZ"/>
        </w:rPr>
        <w:t xml:space="preserve"> </w:t>
      </w:r>
      <w:r>
        <w:t>2005, 5</w:t>
      </w:r>
      <w:r>
        <w:rPr>
          <w:lang w:val="cs-CZ"/>
        </w:rPr>
        <w:t>)</w:t>
      </w:r>
    </w:p>
  </w:footnote>
  <w:footnote w:id="135">
    <w:p w14:paraId="68275D95" w14:textId="77777777" w:rsidR="00CD2817" w:rsidRPr="00FF0C04" w:rsidRDefault="00CD2817" w:rsidP="00B1218A">
      <w:pPr>
        <w:pStyle w:val="Textpoznpodarou"/>
      </w:pPr>
      <w:r>
        <w:rPr>
          <w:rStyle w:val="Znakapoznpodarou"/>
        </w:rPr>
        <w:footnoteRef/>
      </w:r>
      <w:r>
        <w:t xml:space="preserve"> „Similitudo autem dicitur ille intellectus in comparatione ad rem extra cuius est similitudo; formalis autem appellatur in comparatione ad ipsam animam quam format et perficit, et non ad aliud; species autem dicitur idem intellectus secundum quod anima per ipsum tendit in rei cognitionem. Intellectus itaque ille formalis quem distinximus, sive species vel similitudo, deleri potest et annihilari.</w:t>
      </w:r>
      <w:r>
        <w:rPr>
          <w:lang w:val="ru-RU"/>
        </w:rPr>
        <w:t xml:space="preserve"> </w:t>
      </w:r>
      <w:r>
        <w:t xml:space="preserve">Sed intellectus ipse agens aut possibilis manet </w:t>
      </w:r>
      <w:r w:rsidRPr="006B3006">
        <w:rPr>
          <w:lang w:val="fr-FR"/>
        </w:rPr>
        <w:t xml:space="preserve">semper </w:t>
      </w:r>
      <w:r>
        <w:t>in sua substantia incorruptibilis et inmixtus materie.“ (</w:t>
      </w:r>
      <w:r>
        <w:rPr>
          <w:i/>
        </w:rPr>
        <w:t xml:space="preserve">Summa </w:t>
      </w:r>
      <w:r>
        <w:rPr>
          <w:i/>
          <w:lang w:val="cs-CZ"/>
        </w:rPr>
        <w:t>D</w:t>
      </w:r>
      <w:r w:rsidRPr="00B6567D">
        <w:rPr>
          <w:i/>
        </w:rPr>
        <w:t>uacensis</w:t>
      </w:r>
      <w:r>
        <w:rPr>
          <w:i/>
          <w:lang w:val="cs-CZ"/>
        </w:rPr>
        <w:t xml:space="preserve"> </w:t>
      </w:r>
      <w:r>
        <w:rPr>
          <w:lang w:val="cs-CZ"/>
        </w:rPr>
        <w:t>V;</w:t>
      </w:r>
      <w:r>
        <w:t xml:space="preserve"> ed. Glorieux, p</w:t>
      </w:r>
      <w:r>
        <w:rPr>
          <w:lang w:val="cs-CZ"/>
        </w:rPr>
        <w:t>p</w:t>
      </w:r>
      <w:r>
        <w:t>. 44‒45</w:t>
      </w:r>
      <w:r>
        <w:rPr>
          <w:i/>
        </w:rPr>
        <w:fldChar w:fldCharType="begin"/>
      </w:r>
      <w:r>
        <w:instrText xml:space="preserve"> XE "</w:instrText>
      </w:r>
      <w:r w:rsidRPr="000E2AD6">
        <w:rPr>
          <w:i/>
        </w:rPr>
        <w:instrText>Summa Duacensis</w:instrText>
      </w:r>
      <w:r>
        <w:rPr>
          <w:i/>
          <w:lang w:val="cs-CZ"/>
        </w:rPr>
        <w:instrText xml:space="preserve"> </w:instrText>
      </w:r>
      <w:r>
        <w:instrText xml:space="preserve">44‒45" </w:instrText>
      </w:r>
      <w:r>
        <w:rPr>
          <w:i/>
        </w:rPr>
        <w:fldChar w:fldCharType="end"/>
      </w:r>
      <w:r>
        <w:t>)</w:t>
      </w:r>
    </w:p>
  </w:footnote>
  <w:footnote w:id="136">
    <w:p w14:paraId="493E0A86" w14:textId="77777777" w:rsidR="00CD2817" w:rsidRPr="007B1C06" w:rsidRDefault="00CD2817" w:rsidP="00BB246E">
      <w:pPr>
        <w:pStyle w:val="Textpoznpodarou"/>
        <w:rPr>
          <w:lang w:val="cs-CZ"/>
        </w:rPr>
      </w:pPr>
      <w:r>
        <w:rPr>
          <w:rStyle w:val="Znakapoznpodarou"/>
        </w:rPr>
        <w:footnoteRef/>
      </w:r>
      <w:r>
        <w:t xml:space="preserve"> </w:t>
      </w:r>
      <w:r>
        <w:rPr>
          <w:lang w:val="cs-CZ"/>
        </w:rPr>
        <w:t>„</w:t>
      </w:r>
      <w:r w:rsidRPr="007B1C06">
        <w:rPr>
          <w:lang w:val="cs-CZ"/>
        </w:rPr>
        <w:t xml:space="preserve">Tertio autem modo accipitur memoria secundum phisice vel </w:t>
      </w:r>
      <w:r>
        <w:rPr>
          <w:lang w:val="cs-CZ"/>
        </w:rPr>
        <w:t>philosophice loquentes hoc modo</w:t>
      </w:r>
      <w:r w:rsidRPr="007B1C06">
        <w:rPr>
          <w:lang w:val="cs-CZ"/>
        </w:rPr>
        <w:t>: memoria est thesaurus in quo recipiuntur ymagines rerum vel species per extrinsecas similitudines accepte. Hoc autem nichil attin</w:t>
      </w:r>
      <w:r>
        <w:rPr>
          <w:lang w:val="cs-CZ"/>
        </w:rPr>
        <w:t>et memorie supra dupliciter diffinite; immo diff</w:t>
      </w:r>
      <w:r w:rsidRPr="007B1C06">
        <w:rPr>
          <w:lang w:val="cs-CZ"/>
        </w:rPr>
        <w:t>ert multipliciter a memoria secundum quod Patris est. Et primum per hoc quod memoria secundum quod est in homine et Patri attributa, inest homini naturaliter et indelibilite</w:t>
      </w:r>
      <w:r>
        <w:rPr>
          <w:lang w:val="cs-CZ"/>
        </w:rPr>
        <w:t>r et in opere prior naturaliter</w:t>
      </w:r>
      <w:r w:rsidRPr="007B1C06">
        <w:rPr>
          <w:lang w:val="cs-CZ"/>
        </w:rPr>
        <w:t>.</w:t>
      </w:r>
      <w:r>
        <w:rPr>
          <w:lang w:val="cs-CZ"/>
        </w:rPr>
        <w:t xml:space="preserve">“ </w:t>
      </w:r>
      <w:r>
        <w:t>(</w:t>
      </w:r>
      <w:r>
        <w:rPr>
          <w:i/>
        </w:rPr>
        <w:t xml:space="preserve">Summa </w:t>
      </w:r>
      <w:r>
        <w:rPr>
          <w:i/>
          <w:lang w:val="cs-CZ"/>
        </w:rPr>
        <w:t>D</w:t>
      </w:r>
      <w:r w:rsidRPr="00B6567D">
        <w:rPr>
          <w:i/>
        </w:rPr>
        <w:t>uacensis</w:t>
      </w:r>
      <w:r>
        <w:rPr>
          <w:i/>
          <w:lang w:val="cs-CZ"/>
        </w:rPr>
        <w:t xml:space="preserve"> </w:t>
      </w:r>
      <w:r w:rsidRPr="00477DE8">
        <w:rPr>
          <w:lang w:val="cs-CZ"/>
        </w:rPr>
        <w:t>III</w:t>
      </w:r>
      <w:r>
        <w:rPr>
          <w:i/>
          <w:lang w:val="cs-CZ"/>
        </w:rPr>
        <w:t xml:space="preserve">, </w:t>
      </w:r>
      <w:r w:rsidRPr="00477DE8">
        <w:rPr>
          <w:lang w:val="cs-CZ"/>
        </w:rPr>
        <w:t>q. 4</w:t>
      </w:r>
      <w:r>
        <w:rPr>
          <w:lang w:val="cs-CZ"/>
        </w:rPr>
        <w:t>;</w:t>
      </w:r>
      <w:r>
        <w:t xml:space="preserve"> ed. Glorieux, p. </w:t>
      </w:r>
      <w:r>
        <w:rPr>
          <w:lang w:val="cs-CZ"/>
        </w:rPr>
        <w:t>21</w:t>
      </w:r>
      <w:r>
        <w:rPr>
          <w:i/>
        </w:rPr>
        <w:fldChar w:fldCharType="begin"/>
      </w:r>
      <w:r>
        <w:instrText xml:space="preserve"> XE "</w:instrText>
      </w:r>
      <w:r w:rsidRPr="000E2AD6">
        <w:rPr>
          <w:i/>
        </w:rPr>
        <w:instrText>Summa Duacensis</w:instrText>
      </w:r>
      <w:r>
        <w:rPr>
          <w:i/>
          <w:lang w:val="cs-CZ"/>
        </w:rPr>
        <w:instrText xml:space="preserve"> </w:instrText>
      </w:r>
      <w:r>
        <w:rPr>
          <w:lang w:val="cs-CZ"/>
        </w:rPr>
        <w:instrText>21</w:instrText>
      </w:r>
      <w:r>
        <w:instrText xml:space="preserve">" </w:instrText>
      </w:r>
      <w:r>
        <w:rPr>
          <w:i/>
        </w:rPr>
        <w:fldChar w:fldCharType="end"/>
      </w:r>
      <w:r>
        <w:t>)</w:t>
      </w:r>
    </w:p>
  </w:footnote>
  <w:footnote w:id="137">
    <w:p w14:paraId="6C269802" w14:textId="77777777" w:rsidR="00CD2817" w:rsidRPr="003B3759" w:rsidRDefault="00CD2817">
      <w:pPr>
        <w:pStyle w:val="Textpoznpodarou"/>
        <w:rPr>
          <w:lang w:val="cs-CZ"/>
        </w:rPr>
      </w:pPr>
      <w:r>
        <w:rPr>
          <w:rStyle w:val="Znakapoznpodarou"/>
        </w:rPr>
        <w:footnoteRef/>
      </w:r>
      <w:r>
        <w:t xml:space="preserve"> </w:t>
      </w:r>
      <w:r>
        <w:rPr>
          <w:lang w:val="cs-CZ"/>
        </w:rPr>
        <w:t>„</w:t>
      </w:r>
      <w:r w:rsidRPr="003B3759">
        <w:rPr>
          <w:lang w:val="cs-CZ"/>
        </w:rPr>
        <w:t>Respondentes ad illam questionem que fieri solet hic, que scilicet unitas aut quis modus erit unitatis secundum quem unum est ex anima et corpore ipse homo, in hunc modum, triplicem invenimus unitatem : una que scilicet est firmissima, et alia minus firma, et tertia minime.</w:t>
      </w:r>
      <w:r>
        <w:rPr>
          <w:lang w:val="cs-CZ"/>
        </w:rPr>
        <w:t xml:space="preserve">“ </w:t>
      </w:r>
      <w:r>
        <w:t>(</w:t>
      </w:r>
      <w:r>
        <w:rPr>
          <w:i/>
        </w:rPr>
        <w:t xml:space="preserve">Summa </w:t>
      </w:r>
      <w:r>
        <w:rPr>
          <w:i/>
          <w:lang w:val="cs-CZ"/>
        </w:rPr>
        <w:t>D</w:t>
      </w:r>
      <w:r w:rsidRPr="00B6567D">
        <w:rPr>
          <w:i/>
        </w:rPr>
        <w:t>uacensis</w:t>
      </w:r>
      <w:r>
        <w:rPr>
          <w:i/>
          <w:lang w:val="cs-CZ"/>
        </w:rPr>
        <w:t xml:space="preserve"> </w:t>
      </w:r>
      <w:r w:rsidRPr="00477DE8">
        <w:rPr>
          <w:lang w:val="cs-CZ"/>
        </w:rPr>
        <w:t>VII</w:t>
      </w:r>
      <w:r>
        <w:rPr>
          <w:lang w:val="cs-CZ"/>
        </w:rPr>
        <w:t>;</w:t>
      </w:r>
      <w:r>
        <w:t xml:space="preserve"> ed. Glorieux, p. </w:t>
      </w:r>
      <w:r>
        <w:rPr>
          <w:lang w:val="cs-CZ"/>
        </w:rPr>
        <w:t>63</w:t>
      </w:r>
      <w:r>
        <w:rPr>
          <w:i/>
        </w:rPr>
        <w:fldChar w:fldCharType="begin"/>
      </w:r>
      <w:r>
        <w:instrText xml:space="preserve"> XE "</w:instrText>
      </w:r>
      <w:r w:rsidRPr="000E2AD6">
        <w:rPr>
          <w:i/>
        </w:rPr>
        <w:instrText>Summa Duacensis</w:instrText>
      </w:r>
      <w:r>
        <w:rPr>
          <w:i/>
          <w:lang w:val="cs-CZ"/>
        </w:rPr>
        <w:instrText xml:space="preserve"> </w:instrText>
      </w:r>
      <w:r w:rsidRPr="08792681">
        <w:rPr>
          <w:lang w:val="cs-CZ"/>
        </w:rPr>
        <w:instrText>63</w:instrText>
      </w:r>
      <w:r>
        <w:instrText xml:space="preserve">" </w:instrText>
      </w:r>
      <w:r>
        <w:rPr>
          <w:i/>
        </w:rPr>
        <w:fldChar w:fldCharType="end"/>
      </w:r>
      <w:r>
        <w:t>)</w:t>
      </w:r>
    </w:p>
  </w:footnote>
  <w:footnote w:id="138">
    <w:p w14:paraId="1FA2830F" w14:textId="77777777" w:rsidR="00CD2817" w:rsidRPr="00ED61B9" w:rsidRDefault="00CD2817" w:rsidP="082F7CE6">
      <w:pPr>
        <w:pStyle w:val="Textpoznpodarou"/>
      </w:pPr>
      <w:r>
        <w:rPr>
          <w:rStyle w:val="Znakapoznpodarou"/>
        </w:rPr>
        <w:footnoteRef/>
      </w:r>
      <w:r>
        <w:t xml:space="preserve"> „</w:t>
      </w:r>
      <w:r w:rsidRPr="00C81A4E">
        <w:rPr>
          <w:rStyle w:val="Zkladntext7"/>
          <w:rFonts w:ascii="Calibri" w:hAnsi="Calibri" w:cs="Times New Roman"/>
          <w:color w:val="auto"/>
          <w:spacing w:val="0"/>
          <w:sz w:val="20"/>
          <w:u w:val="none"/>
        </w:rPr>
        <w:t>C'est là simple reprise de la conception avicennienne</w:t>
      </w:r>
      <w:r w:rsidRPr="00C81A4E">
        <w:t xml:space="preserve"> assurant que la </w:t>
      </w:r>
      <w:r w:rsidRPr="00C81A4E">
        <w:rPr>
          <w:rStyle w:val="Zkladntext7"/>
          <w:rFonts w:ascii="Calibri" w:hAnsi="Calibri" w:cs="Times New Roman"/>
          <w:color w:val="auto"/>
          <w:spacing w:val="0"/>
          <w:sz w:val="20"/>
          <w:u w:val="none"/>
        </w:rPr>
        <w:t>fonct</w:t>
      </w:r>
      <w:r>
        <w:rPr>
          <w:rStyle w:val="Zkladntext7"/>
          <w:rFonts w:ascii="Calibri" w:hAnsi="Calibri" w:cs="Times New Roman"/>
          <w:color w:val="auto"/>
          <w:spacing w:val="0"/>
          <w:sz w:val="20"/>
          <w:u w:val="none"/>
        </w:rPr>
        <w:t>ion causale d'animation et de r</w:t>
      </w:r>
      <w:r>
        <w:rPr>
          <w:rStyle w:val="Zkladntext7"/>
          <w:rFonts w:ascii="Calibri" w:hAnsi="Calibri" w:cs="Times New Roman"/>
          <w:color w:val="auto"/>
          <w:spacing w:val="0"/>
          <w:sz w:val="20"/>
          <w:u w:val="none"/>
          <w:lang w:val="cs-CZ"/>
        </w:rPr>
        <w:t>é</w:t>
      </w:r>
      <w:r w:rsidRPr="00C81A4E">
        <w:rPr>
          <w:rStyle w:val="Zkladntext7"/>
          <w:rFonts w:ascii="Calibri" w:hAnsi="Calibri" w:cs="Times New Roman"/>
          <w:color w:val="auto"/>
          <w:spacing w:val="0"/>
          <w:sz w:val="20"/>
          <w:u w:val="none"/>
        </w:rPr>
        <w:t>gence du corps n'est qu'un effet</w:t>
      </w:r>
      <w:r w:rsidRPr="00C81A4E">
        <w:t xml:space="preserve"> </w:t>
      </w:r>
      <w:r w:rsidRPr="00C81A4E">
        <w:rPr>
          <w:rStyle w:val="Zkladntext7"/>
          <w:rFonts w:ascii="Calibri" w:hAnsi="Calibri" w:cs="Times New Roman"/>
          <w:color w:val="auto"/>
          <w:spacing w:val="0"/>
          <w:sz w:val="20"/>
          <w:u w:val="none"/>
        </w:rPr>
        <w:t>de ce qu'est l'essence de l'âme</w:t>
      </w:r>
      <w:r>
        <w:rPr>
          <w:rStyle w:val="Zkladntext7"/>
          <w:rFonts w:ascii="Calibri" w:hAnsi="Calibri" w:cs="Times New Roman"/>
          <w:color w:val="auto"/>
          <w:spacing w:val="0"/>
          <w:sz w:val="20"/>
          <w:u w:val="none"/>
          <w:lang w:val="cs-CZ"/>
        </w:rPr>
        <w:t>.</w:t>
      </w:r>
      <w:r w:rsidRPr="00C81A4E">
        <w:t xml:space="preserve"> D'où l'inflexion vers un sens de </w:t>
      </w:r>
      <w:r>
        <w:t xml:space="preserve">simple efficience qui est imposé </w:t>
      </w:r>
      <w:r w:rsidRPr="00C81A4E">
        <w:rPr>
          <w:rStyle w:val="Zkladntext7"/>
          <w:rFonts w:ascii="Calibri" w:hAnsi="Calibri" w:cs="Times New Roman"/>
          <w:color w:val="auto"/>
          <w:spacing w:val="0"/>
          <w:sz w:val="20"/>
          <w:u w:val="none"/>
        </w:rPr>
        <w:t>à</w:t>
      </w:r>
      <w:r w:rsidRPr="00C81A4E">
        <w:t xml:space="preserve"> la formule aristotélicienne d'acte premier ou perfection première du corps support, ici, d'</w:t>
      </w:r>
      <w:r>
        <w:t>une acception augustino-avicen</w:t>
      </w:r>
      <w:r w:rsidRPr="00C81A4E">
        <w:t>nienne</w:t>
      </w:r>
      <w:r>
        <w:t>.“ (Wéber 1991, 86)</w:t>
      </w:r>
    </w:p>
  </w:footnote>
  <w:footnote w:id="139">
    <w:p w14:paraId="388A9384" w14:textId="77777777" w:rsidR="00CD2817" w:rsidRPr="0877099E" w:rsidRDefault="00CD2817" w:rsidP="082F7CE6">
      <w:pPr>
        <w:pStyle w:val="Textpoznpodarou"/>
      </w:pPr>
      <w:r>
        <w:rPr>
          <w:rStyle w:val="Znakapoznpodarou"/>
        </w:rPr>
        <w:footnoteRef/>
      </w:r>
      <w:r>
        <w:t xml:space="preserve"> „Quod autem agens intellectus in predicta operatione sit agens et recipiens, respectu scilicet diuersorum, videtur per simile in luna et sole: Luna enim recipit lumen a sole et illuminat inferiora; ergo similiter agens intellectus recipit ab agente superiori et illuminat fantasmata et intellectum possibilem. Preterca recipit illuminationes a Primo, sicut dictum est, et illuminat alia.“ (</w:t>
      </w:r>
      <w:r w:rsidRPr="00C23167">
        <w:rPr>
          <w:i/>
        </w:rPr>
        <w:t>Tractatus de divisione multiplicis potentiarum animae</w:t>
      </w:r>
      <w:r>
        <w:rPr>
          <w:lang w:val="cs-CZ"/>
        </w:rPr>
        <w:t xml:space="preserve"> II.</w:t>
      </w:r>
      <w:r>
        <w:t>21</w:t>
      </w:r>
      <w:r>
        <w:rPr>
          <w:lang w:val="cs-CZ"/>
        </w:rPr>
        <w:t>;</w:t>
      </w:r>
      <w:r w:rsidRPr="001E6850">
        <w:t xml:space="preserve"> ed. </w:t>
      </w:r>
      <w:r w:rsidRPr="001E6850">
        <w:rPr>
          <w:szCs w:val="24"/>
        </w:rPr>
        <w:t>Michaud-Quantin</w:t>
      </w:r>
      <w:r w:rsidRPr="0877099E">
        <w:t xml:space="preserve"> </w:t>
      </w:r>
      <w:r>
        <w:t>p. 92.781‒</w:t>
      </w:r>
      <w:r>
        <w:rPr>
          <w:lang w:val="cs-CZ"/>
        </w:rPr>
        <w:t>8</w:t>
      </w:r>
      <w:r>
        <w:t>6</w:t>
      </w:r>
      <w:r>
        <w:fldChar w:fldCharType="begin"/>
      </w:r>
      <w:r>
        <w:instrText xml:space="preserve"> XE "</w:instrText>
      </w:r>
      <w:r>
        <w:rPr>
          <w:lang w:val="cs-CZ"/>
        </w:rPr>
        <w:instrText>Rupella:</w:instrText>
      </w:r>
      <w:r w:rsidRPr="00C75551">
        <w:rPr>
          <w:i/>
        </w:rPr>
        <w:instrText>Tractatus de divisione multiplicis potentiarum animae</w:instrText>
      </w:r>
      <w:r w:rsidRPr="00C75551">
        <w:rPr>
          <w:lang w:val="cs-CZ"/>
        </w:rPr>
        <w:instrText xml:space="preserve"> </w:instrText>
      </w:r>
      <w:r w:rsidRPr="00C75551">
        <w:instrText>92.781‒</w:instrText>
      </w:r>
      <w:r w:rsidRPr="00C75551">
        <w:rPr>
          <w:lang w:val="cs-CZ"/>
        </w:rPr>
        <w:instrText>8</w:instrText>
      </w:r>
      <w:r w:rsidRPr="00C75551">
        <w:instrText>6</w:instrText>
      </w:r>
      <w:r>
        <w:instrText xml:space="preserve">" </w:instrText>
      </w:r>
      <w:r>
        <w:fldChar w:fldCharType="end"/>
      </w:r>
      <w:r>
        <w:t>)</w:t>
      </w:r>
    </w:p>
  </w:footnote>
  <w:footnote w:id="140">
    <w:p w14:paraId="374A0A37" w14:textId="77777777" w:rsidR="00CD2817" w:rsidRPr="00B47407" w:rsidRDefault="00CD2817" w:rsidP="082F7CE6">
      <w:pPr>
        <w:pStyle w:val="Textpoznpodarou"/>
        <w:rPr>
          <w:lang w:val="cs-CZ"/>
        </w:rPr>
      </w:pPr>
      <w:r>
        <w:rPr>
          <w:rStyle w:val="Znakapoznpodarou"/>
        </w:rPr>
        <w:footnoteRef/>
      </w:r>
      <w:r>
        <w:t xml:space="preserve"> „Intellectus enim agens duas habet operationes, una est abstractio fantasmatum a fantasia etc.; alia autem operatio est receptio illuminatio</w:t>
      </w:r>
      <w:r>
        <w:rPr>
          <w:lang w:val="cs-CZ"/>
        </w:rPr>
        <w:t>rum</w:t>
      </w:r>
      <w:r>
        <w:t xml:space="preserve"> a Primo.“ (</w:t>
      </w:r>
      <w:r w:rsidRPr="00C23167">
        <w:rPr>
          <w:i/>
        </w:rPr>
        <w:t>Tractatus de divisione multiplicis potentiarum animae</w:t>
      </w:r>
      <w:r>
        <w:rPr>
          <w:lang w:val="cs-CZ"/>
        </w:rPr>
        <w:t xml:space="preserve"> II.</w:t>
      </w:r>
      <w:r>
        <w:t xml:space="preserve">21; ed. </w:t>
      </w:r>
      <w:r w:rsidRPr="001E6850">
        <w:rPr>
          <w:szCs w:val="24"/>
        </w:rPr>
        <w:t>Michaud-Quantin</w:t>
      </w:r>
      <w:r>
        <w:t>, p. 91.754‒</w:t>
      </w:r>
      <w:r>
        <w:rPr>
          <w:lang w:val="cs-CZ"/>
        </w:rPr>
        <w:t>5</w:t>
      </w:r>
      <w:r>
        <w:t>6</w:t>
      </w:r>
      <w:r>
        <w:fldChar w:fldCharType="begin"/>
      </w:r>
      <w:r>
        <w:instrText xml:space="preserve"> XE "</w:instrText>
      </w:r>
      <w:r>
        <w:rPr>
          <w:lang w:val="cs-CZ"/>
        </w:rPr>
        <w:instrText>Rupella:</w:instrText>
      </w:r>
      <w:r w:rsidRPr="00C75551">
        <w:rPr>
          <w:i/>
        </w:rPr>
        <w:instrText>Tractatus de divisione multiplicis potentiarum animae</w:instrText>
      </w:r>
      <w:r w:rsidRPr="00C75551">
        <w:rPr>
          <w:lang w:val="cs-CZ"/>
        </w:rPr>
        <w:instrText xml:space="preserve"> </w:instrText>
      </w:r>
      <w:r>
        <w:instrText>91.754‒</w:instrText>
      </w:r>
      <w:r>
        <w:rPr>
          <w:lang w:val="cs-CZ"/>
        </w:rPr>
        <w:instrText>5</w:instrText>
      </w:r>
      <w:r>
        <w:instrText xml:space="preserve">6" </w:instrText>
      </w:r>
      <w:r>
        <w:fldChar w:fldCharType="end"/>
      </w:r>
      <w:r>
        <w:t>)</w:t>
      </w:r>
    </w:p>
  </w:footnote>
  <w:footnote w:id="141">
    <w:p w14:paraId="2E76C2F6" w14:textId="77777777" w:rsidR="00CD2817" w:rsidRPr="08504857" w:rsidRDefault="00CD2817" w:rsidP="082F7CE6">
      <w:pPr>
        <w:pStyle w:val="Textpoznpodarou"/>
      </w:pPr>
      <w:r>
        <w:rPr>
          <w:rStyle w:val="Znakapoznpodarou"/>
        </w:rPr>
        <w:footnoteRef/>
      </w:r>
      <w:r>
        <w:t xml:space="preserve"> „</w:t>
      </w:r>
      <w:r w:rsidRPr="08981F1B">
        <w:t>Notandum ergo secundum Auicennam,</w:t>
      </w:r>
      <w:r>
        <w:t xml:space="preserve"> quod operatio intellectus agentis est illuminare siue lumen intelligencie diffundere super formas sensibiles existentes in ymaginacione siue estimacione; et illuminando abstrahere ab omnibus circumstanciis materialibus, et abstractas copulare siue ordinare in intellectu possibili, quemadmodum per operacionem lucis species coloris abstrahitur quodam modo et pupille copulatur.“ (</w:t>
      </w:r>
      <w:r w:rsidRPr="08981F1B">
        <w:rPr>
          <w:i/>
        </w:rPr>
        <w:t>Summa de anima</w:t>
      </w:r>
      <w:r>
        <w:t xml:space="preserve"> 2.1.22; ed. Bougerol, p. 117.1‒7</w:t>
      </w:r>
      <w:r>
        <w:fldChar w:fldCharType="begin"/>
      </w:r>
      <w:r>
        <w:instrText xml:space="preserve"> XE "</w:instrText>
      </w:r>
      <w:r>
        <w:rPr>
          <w:lang w:val="cs-CZ"/>
        </w:rPr>
        <w:instrText>Rupella:</w:instrText>
      </w:r>
      <w:r w:rsidRPr="08981F1B">
        <w:rPr>
          <w:i/>
        </w:rPr>
        <w:instrText>Summa de anima</w:instrText>
      </w:r>
      <w:r>
        <w:instrText xml:space="preserve"> 117.1‒7" </w:instrText>
      </w:r>
      <w:r>
        <w:fldChar w:fldCharType="end"/>
      </w:r>
      <w:r>
        <w:t>)</w:t>
      </w:r>
    </w:p>
  </w:footnote>
  <w:footnote w:id="142">
    <w:p w14:paraId="1D222F30" w14:textId="77777777" w:rsidR="00CD2817" w:rsidRPr="00D337E5" w:rsidRDefault="00CD2817">
      <w:pPr>
        <w:pStyle w:val="Textpoznpodarou"/>
      </w:pPr>
      <w:r>
        <w:rPr>
          <w:rStyle w:val="Znakapoznpodarou"/>
        </w:rPr>
        <w:footnoteRef/>
      </w:r>
      <w:r>
        <w:t xml:space="preserve"> „Passiva vero potentia recipiendi </w:t>
      </w:r>
      <w:r w:rsidRPr="00CB14AF">
        <w:t xml:space="preserve">ab </w:t>
      </w:r>
      <w:r>
        <w:t xml:space="preserve">altero secundum quod alterum. Oportet autem secundum quod sumitur in naturis, quod sit aliud secundum substantiam vel </w:t>
      </w:r>
      <w:r w:rsidRPr="00CB14AF">
        <w:t xml:space="preserve">ab </w:t>
      </w:r>
      <w:r>
        <w:t xml:space="preserve">alio secundum substantiam; sed secundum quod proportionaliter sumitur non oportet nisi alterum esse secundum rationem. Nam intellectus </w:t>
      </w:r>
      <w:r w:rsidRPr="00CB14AF">
        <w:rPr>
          <w:lang w:val="fr-FR"/>
        </w:rPr>
        <w:t xml:space="preserve">ab </w:t>
      </w:r>
      <w:r>
        <w:t>intelligibili patitur, ipse autem intellectus aliquando intelligibile est.“ (</w:t>
      </w:r>
      <w:r w:rsidRPr="00675E1E">
        <w:rPr>
          <w:i/>
        </w:rPr>
        <w:t>De potenciis animae et obiectis</w:t>
      </w:r>
      <w:r>
        <w:rPr>
          <w:lang w:val="cs-CZ"/>
        </w:rPr>
        <w:t>;</w:t>
      </w:r>
      <w:r>
        <w:t xml:space="preserve"> ed. Callus, p. 147.7‒12</w:t>
      </w:r>
      <w:r>
        <w:fldChar w:fldCharType="begin"/>
      </w:r>
      <w:r>
        <w:instrText xml:space="preserve"> XE "</w:instrText>
      </w:r>
      <w:r w:rsidRPr="00797E7C">
        <w:rPr>
          <w:i/>
        </w:rPr>
        <w:instrText>De potenciis animae et obiectis</w:instrText>
      </w:r>
      <w:r>
        <w:rPr>
          <w:i/>
          <w:lang w:val="cs-CZ"/>
        </w:rPr>
        <w:instrText xml:space="preserve"> </w:instrText>
      </w:r>
      <w:r w:rsidRPr="00797E7C">
        <w:instrText>147.7‒12</w:instrText>
      </w:r>
      <w:r>
        <w:instrText xml:space="preserve">" </w:instrText>
      </w:r>
      <w:r>
        <w:fldChar w:fldCharType="end"/>
      </w:r>
      <w:r>
        <w:t>)</w:t>
      </w:r>
    </w:p>
  </w:footnote>
  <w:footnote w:id="143">
    <w:p w14:paraId="4378F36B" w14:textId="77777777" w:rsidR="00CD2817" w:rsidRPr="00FA0409" w:rsidRDefault="00CD2817" w:rsidP="08F75596">
      <w:pPr>
        <w:pStyle w:val="Textpoznpodarou"/>
      </w:pPr>
      <w:r>
        <w:rPr>
          <w:rStyle w:val="Znakapoznpodarou"/>
        </w:rPr>
        <w:footnoteRef/>
      </w:r>
      <w:r>
        <w:t xml:space="preserve"> „Questio autem est si recipiat diversitatem suam essentialem vel secundum esse vel secundum rationem, </w:t>
      </w:r>
      <w:r w:rsidRPr="00CB14AF">
        <w:t xml:space="preserve">ab </w:t>
      </w:r>
      <w:r>
        <w:t>organo vel instrumento vel obiecto.“ (</w:t>
      </w:r>
      <w:r w:rsidRPr="00675E1E">
        <w:rPr>
          <w:i/>
        </w:rPr>
        <w:t>De potenciis animae et obiectis</w:t>
      </w:r>
      <w:r>
        <w:rPr>
          <w:lang w:val="cs-CZ"/>
        </w:rPr>
        <w:t>;</w:t>
      </w:r>
      <w:r>
        <w:t xml:space="preserve"> ed. Callus, p. 147.15‒17</w:t>
      </w:r>
      <w:r>
        <w:fldChar w:fldCharType="begin"/>
      </w:r>
      <w:r>
        <w:instrText xml:space="preserve"> XE "</w:instrText>
      </w:r>
      <w:r w:rsidRPr="00797E7C">
        <w:rPr>
          <w:i/>
        </w:rPr>
        <w:instrText>De potenciis animae et obiectis</w:instrText>
      </w:r>
      <w:r>
        <w:rPr>
          <w:i/>
          <w:lang w:val="cs-CZ"/>
        </w:rPr>
        <w:instrText xml:space="preserve"> </w:instrText>
      </w:r>
      <w:r>
        <w:instrText xml:space="preserve">147.15‒17" </w:instrText>
      </w:r>
      <w:r>
        <w:fldChar w:fldCharType="end"/>
      </w:r>
      <w:r>
        <w:t>)</w:t>
      </w:r>
    </w:p>
  </w:footnote>
  <w:footnote w:id="144">
    <w:p w14:paraId="121F2571" w14:textId="0185CF61" w:rsidR="00CD2817" w:rsidRPr="000001BC" w:rsidRDefault="00CD2817">
      <w:pPr>
        <w:pStyle w:val="Textpoznpodarou"/>
      </w:pPr>
      <w:r>
        <w:rPr>
          <w:rStyle w:val="Znakapoznpodarou"/>
        </w:rPr>
        <w:footnoteRef/>
      </w:r>
      <w:r>
        <w:t xml:space="preserve"> „Dissimiliter tamen dicitur obiectum potentie motive et po</w:t>
      </w:r>
      <w:r>
        <w:softHyphen/>
        <w:t xml:space="preserve">tentie </w:t>
      </w:r>
      <w:r w:rsidRPr="00CB14AF">
        <w:rPr>
          <w:lang w:val="fr-FR"/>
        </w:rPr>
        <w:t xml:space="preserve">apprehensive. </w:t>
      </w:r>
      <w:r>
        <w:t xml:space="preserve">Respectu quidem </w:t>
      </w:r>
      <w:r w:rsidRPr="00CB14AF">
        <w:rPr>
          <w:lang w:val="fr-FR"/>
        </w:rPr>
        <w:t xml:space="preserve">apprehensive, </w:t>
      </w:r>
      <w:r>
        <w:t xml:space="preserve">ut a quo inchoatur actus, respectu autem </w:t>
      </w:r>
      <w:r w:rsidRPr="00CB14AF">
        <w:rPr>
          <w:lang w:val="fr-FR"/>
        </w:rPr>
        <w:t xml:space="preserve">motive, </w:t>
      </w:r>
      <w:r>
        <w:t xml:space="preserve">ut in quod terminatur actus. Unus dicitur motus ad animam, alter motus </w:t>
      </w:r>
      <w:r w:rsidRPr="00CB14AF">
        <w:rPr>
          <w:lang w:val="fr-FR"/>
        </w:rPr>
        <w:t xml:space="preserve">ab </w:t>
      </w:r>
      <w:r>
        <w:t>anima.“ (</w:t>
      </w:r>
      <w:r w:rsidRPr="00675E1E">
        <w:rPr>
          <w:i/>
        </w:rPr>
        <w:t>De potenciis animae et obiectis</w:t>
      </w:r>
      <w:r>
        <w:rPr>
          <w:lang w:val="cs-CZ"/>
        </w:rPr>
        <w:t>;</w:t>
      </w:r>
      <w:r>
        <w:t xml:space="preserve"> ed. Callus, p.</w:t>
      </w:r>
      <w:r>
        <w:rPr>
          <w:lang w:val="cs-CZ"/>
        </w:rPr>
        <w:t xml:space="preserve"> </w:t>
      </w:r>
      <w:r>
        <w:t>148.2‒5</w:t>
      </w:r>
      <w:r>
        <w:fldChar w:fldCharType="begin"/>
      </w:r>
      <w:r>
        <w:instrText xml:space="preserve"> XE "</w:instrText>
      </w:r>
      <w:r w:rsidRPr="00797E7C">
        <w:rPr>
          <w:i/>
        </w:rPr>
        <w:instrText>De potenciis animae et obiectis</w:instrText>
      </w:r>
      <w:r>
        <w:rPr>
          <w:i/>
          <w:lang w:val="cs-CZ"/>
        </w:rPr>
        <w:instrText xml:space="preserve"> </w:instrText>
      </w:r>
      <w:r>
        <w:instrText xml:space="preserve">148.2‒5" </w:instrText>
      </w:r>
      <w:r>
        <w:fldChar w:fldCharType="end"/>
      </w:r>
      <w:r>
        <w:t>)</w:t>
      </w:r>
    </w:p>
  </w:footnote>
  <w:footnote w:id="145">
    <w:p w14:paraId="4FEC2429" w14:textId="77777777" w:rsidR="00CD2817" w:rsidRPr="003E44DC" w:rsidRDefault="00CD2817" w:rsidP="003E44DC">
      <w:pPr>
        <w:pStyle w:val="Textpoznpodarou"/>
        <w:rPr>
          <w:rStyle w:val="TextpoznpodarouChar"/>
        </w:rPr>
      </w:pPr>
      <w:r>
        <w:rPr>
          <w:rStyle w:val="Znakapoznpodarou"/>
        </w:rPr>
        <w:footnoteRef/>
      </w:r>
      <w:r>
        <w:t xml:space="preserve"> </w:t>
      </w:r>
      <w:r w:rsidRPr="003E44DC">
        <w:rPr>
          <w:rStyle w:val="TextpoznpodarouChar"/>
        </w:rPr>
        <w:t>„Dico autem comprehensionem que fit per corpus; de alia vero loquamur in tractatu de anima rationali.“ (</w:t>
      </w:r>
      <w:r w:rsidRPr="003E44DC">
        <w:rPr>
          <w:rStyle w:val="TextpoznpodarouChar"/>
          <w:i/>
        </w:rPr>
        <w:t>De potenciis animae et obiectis</w:t>
      </w:r>
      <w:r>
        <w:rPr>
          <w:rStyle w:val="TextpoznpodarouChar"/>
          <w:lang w:val="cs-CZ"/>
        </w:rPr>
        <w:t>;</w:t>
      </w:r>
      <w:r w:rsidRPr="003E44DC">
        <w:rPr>
          <w:rStyle w:val="TextpoznpodarouChar"/>
        </w:rPr>
        <w:t xml:space="preserve"> ed. Callus, p. 149.18‒20</w:t>
      </w:r>
      <w:r>
        <w:fldChar w:fldCharType="begin"/>
      </w:r>
      <w:r>
        <w:instrText xml:space="preserve"> XE "</w:instrText>
      </w:r>
      <w:r w:rsidRPr="00797E7C">
        <w:rPr>
          <w:i/>
        </w:rPr>
        <w:instrText>De potenciis animae et obiectis</w:instrText>
      </w:r>
      <w:r>
        <w:rPr>
          <w:i/>
          <w:lang w:val="cs-CZ"/>
        </w:rPr>
        <w:instrText xml:space="preserve"> </w:instrText>
      </w:r>
      <w:r w:rsidRPr="003E44DC">
        <w:rPr>
          <w:rStyle w:val="TextpoznpodarouChar"/>
        </w:rPr>
        <w:instrText>149.18‒20</w:instrText>
      </w:r>
      <w:r>
        <w:instrText xml:space="preserve">" </w:instrText>
      </w:r>
      <w:r>
        <w:fldChar w:fldCharType="end"/>
      </w:r>
      <w:r w:rsidRPr="003E44DC">
        <w:rPr>
          <w:rStyle w:val="TextpoznpodarouChar"/>
        </w:rPr>
        <w:t>)</w:t>
      </w:r>
    </w:p>
  </w:footnote>
  <w:footnote w:id="146">
    <w:p w14:paraId="31341701" w14:textId="77777777" w:rsidR="00CD2817" w:rsidRPr="00F1203C" w:rsidRDefault="00CD2817" w:rsidP="00C76481">
      <w:pPr>
        <w:pStyle w:val="Textpoznpodarou"/>
      </w:pPr>
      <w:r>
        <w:rPr>
          <w:rStyle w:val="Znakapoznpodarou"/>
        </w:rPr>
        <w:footnoteRef/>
      </w:r>
      <w:r>
        <w:t xml:space="preserve"> „Habet autem spiritus virtutem corporis quod deprehenditur ex sua agilitate maxima. Et sic necesse est quod diversificetur apprehensio virtutis rationalis </w:t>
      </w:r>
      <w:r w:rsidRPr="00CB14AF">
        <w:rPr>
          <w:lang w:val="fr-FR"/>
        </w:rPr>
        <w:t xml:space="preserve">ab </w:t>
      </w:r>
      <w:r>
        <w:t>apprehensione virtutis sensibilis, sicut et compositio, ita quod abstractionem a phantas</w:t>
      </w:r>
      <w:r>
        <w:softHyphen/>
        <w:t xml:space="preserve">matibus habeat comprehensio </w:t>
      </w:r>
      <w:r w:rsidRPr="00CB14AF">
        <w:rPr>
          <w:lang w:val="fr-FR"/>
        </w:rPr>
        <w:t xml:space="preserve">forme ab </w:t>
      </w:r>
      <w:r>
        <w:t>anima rationali.“ (</w:t>
      </w:r>
      <w:r w:rsidRPr="00675E1E">
        <w:rPr>
          <w:i/>
        </w:rPr>
        <w:t>De potenciis animae et obiectis</w:t>
      </w:r>
      <w:r>
        <w:rPr>
          <w:lang w:val="cs-CZ"/>
        </w:rPr>
        <w:t>;</w:t>
      </w:r>
      <w:r>
        <w:t xml:space="preserve"> ed. Callus, p. 150.8‒12</w:t>
      </w:r>
      <w:r>
        <w:fldChar w:fldCharType="begin"/>
      </w:r>
      <w:r>
        <w:instrText xml:space="preserve"> XE "</w:instrText>
      </w:r>
      <w:r w:rsidRPr="00CD2E0E">
        <w:rPr>
          <w:i/>
        </w:rPr>
        <w:instrText>De potenciis animae et obiectis</w:instrText>
      </w:r>
      <w:r>
        <w:rPr>
          <w:i/>
          <w:lang w:val="cs-CZ"/>
        </w:rPr>
        <w:instrText xml:space="preserve"> </w:instrText>
      </w:r>
      <w:r w:rsidRPr="00CD2E0E">
        <w:instrText>150.8‒12</w:instrText>
      </w:r>
      <w:r>
        <w:instrText xml:space="preserve">" </w:instrText>
      </w:r>
      <w:r>
        <w:fldChar w:fldCharType="end"/>
      </w:r>
      <w:r>
        <w:t>)</w:t>
      </w:r>
    </w:p>
  </w:footnote>
  <w:footnote w:id="147">
    <w:p w14:paraId="36636099" w14:textId="51C2B5BA" w:rsidR="00CD2817" w:rsidRPr="00BC6FFE" w:rsidRDefault="00CD2817">
      <w:pPr>
        <w:pStyle w:val="Textpoznpodarou"/>
        <w:rPr>
          <w:lang w:val="cs-CZ"/>
        </w:rPr>
      </w:pPr>
      <w:r>
        <w:rPr>
          <w:rStyle w:val="Znakapoznpodarou"/>
        </w:rPr>
        <w:footnoteRef/>
      </w:r>
      <w:r>
        <w:t xml:space="preserve"> </w:t>
      </w:r>
      <w:r>
        <w:rPr>
          <w:lang w:val="cs-CZ"/>
        </w:rPr>
        <w:t xml:space="preserve">Je na specialistech aby ukázali, zda spis </w:t>
      </w:r>
      <w:r w:rsidRPr="00675E1E">
        <w:rPr>
          <w:i/>
        </w:rPr>
        <w:t>De potenciis animae et obiectis</w:t>
      </w:r>
      <w:r>
        <w:rPr>
          <w:i/>
          <w:lang w:val="cs-CZ"/>
        </w:rPr>
        <w:t xml:space="preserve"> </w:t>
      </w:r>
      <w:r>
        <w:rPr>
          <w:lang w:val="cs-CZ"/>
        </w:rPr>
        <w:t xml:space="preserve">obsahuje plnou recepci CMDA podle Sicilské školy. Problémem je polemické zaměření spisu proti porretánům a školám </w:t>
      </w:r>
      <w:r w:rsidRPr="08236AAC">
        <w:rPr>
          <w:i/>
          <w:lang w:val="cs-CZ"/>
        </w:rPr>
        <w:t>Nominales</w:t>
      </w:r>
      <w:r>
        <w:rPr>
          <w:lang w:val="cs-CZ"/>
        </w:rPr>
        <w:t>, které určuje biskupa Alverna jako autora spisu. Jeho celkové myšlení a zaměření nemá primárně filosofický, ale teologický a morální charakter. Proto je těžké určit vznik spisu vzhledem k roku 1230, ale velmi pravděpodobně vznikl až po tomto datu.</w:t>
      </w:r>
    </w:p>
  </w:footnote>
  <w:footnote w:id="148">
    <w:p w14:paraId="1D7DA241" w14:textId="77777777" w:rsidR="00CD2817" w:rsidRPr="00610F9F" w:rsidRDefault="00CD2817">
      <w:pPr>
        <w:pStyle w:val="Textpoznpodarou"/>
      </w:pPr>
      <w:r>
        <w:rPr>
          <w:rStyle w:val="Znakapoznpodarou"/>
        </w:rPr>
        <w:footnoteRef/>
      </w:r>
      <w:r>
        <w:t xml:space="preserve"> „</w:t>
      </w:r>
      <w:r w:rsidRPr="00E47C35">
        <w:t xml:space="preserve">Primum autem esse est in aere sive in alio medio secundum quod debet </w:t>
      </w:r>
      <w:r>
        <w:t>reduci forma in esse spirituale</w:t>
      </w:r>
      <w:r w:rsidRPr="00E47C35">
        <w:t>; secundum</w:t>
      </w:r>
      <w:r>
        <w:t xml:space="preserve"> in organo; tertium in spiritu</w:t>
      </w:r>
      <w:r w:rsidRPr="00E47C35">
        <w:t>;</w:t>
      </w:r>
      <w:r>
        <w:t xml:space="preserve"> quartum in anima sensibili</w:t>
      </w:r>
      <w:r w:rsidRPr="00E47C35">
        <w:t>; quintum in anima rationali. Esse coloris in aere est quantum ad naturam transparentis, esse vero in oculo est quantum ad naturam transparentis lucidi coadunati, esse vero in spiritu est quantum ad naturam luminis, esse vero in anima sensibili est incorporale, non tamen a corpore separa</w:t>
      </w:r>
      <w:r>
        <w:t>bile, esse vero in anima ratio</w:t>
      </w:r>
      <w:r w:rsidRPr="00E47C35">
        <w:t>nali est i</w:t>
      </w:r>
      <w:r>
        <w:t>ncorporale a corpore separabile</w:t>
      </w:r>
      <w:r w:rsidRPr="00E47C35">
        <w:t>; et sic manifestum est de gradibus spiritualibus in forma.</w:t>
      </w:r>
      <w:r>
        <w:t>“ (</w:t>
      </w:r>
      <w:r w:rsidRPr="00675E1E">
        <w:rPr>
          <w:i/>
        </w:rPr>
        <w:t>De potenciis animae et obiectis</w:t>
      </w:r>
      <w:r>
        <w:rPr>
          <w:lang w:val="cs-CZ"/>
        </w:rPr>
        <w:t>;</w:t>
      </w:r>
      <w:r>
        <w:t xml:space="preserve"> ed. Callus, p. 150.13‒21</w:t>
      </w:r>
      <w:r>
        <w:fldChar w:fldCharType="begin"/>
      </w:r>
      <w:r>
        <w:instrText xml:space="preserve"> XE "</w:instrText>
      </w:r>
      <w:r w:rsidRPr="006B6019">
        <w:rPr>
          <w:i/>
        </w:rPr>
        <w:instrText>De potenciis animae et obiectis</w:instrText>
      </w:r>
      <w:r w:rsidRPr="006B6019">
        <w:instrText xml:space="preserve"> 150.13‒21</w:instrText>
      </w:r>
      <w:r>
        <w:instrText xml:space="preserve">" </w:instrText>
      </w:r>
      <w:r>
        <w:fldChar w:fldCharType="end"/>
      </w:r>
      <w:r>
        <w:t>)</w:t>
      </w:r>
    </w:p>
  </w:footnote>
  <w:footnote w:id="149">
    <w:p w14:paraId="77C654D4" w14:textId="77777777" w:rsidR="00CD2817" w:rsidRPr="080C2B9F" w:rsidRDefault="00CD2817" w:rsidP="08F35C2A">
      <w:pPr>
        <w:pStyle w:val="Textpoznpodarou"/>
        <w:rPr>
          <w:lang w:val="cs-CZ"/>
        </w:rPr>
      </w:pPr>
      <w:r>
        <w:rPr>
          <w:rStyle w:val="Znakapoznpodarou"/>
          <w:rFonts w:eastAsia="Times"/>
        </w:rPr>
        <w:footnoteRef/>
      </w:r>
      <w:r>
        <w:t xml:space="preserve"> </w:t>
      </w:r>
      <w:r>
        <w:rPr>
          <w:lang w:val="cs-CZ"/>
        </w:rPr>
        <w:t xml:space="preserve">„Hec est autem virtus inseparabilis a corpore, scilicet, intellectus passibilis, qui recipit species abstractas a corpore.“ </w:t>
      </w:r>
      <w:r>
        <w:t>(</w:t>
      </w:r>
      <w:r w:rsidRPr="00675E1E">
        <w:rPr>
          <w:i/>
        </w:rPr>
        <w:t>De potenciis animae et obiectis</w:t>
      </w:r>
      <w:r>
        <w:t>; ed. Callus, p. 15</w:t>
      </w:r>
      <w:r>
        <w:rPr>
          <w:lang w:val="cs-CZ"/>
        </w:rPr>
        <w:t>5</w:t>
      </w:r>
      <w:r>
        <w:t>.2</w:t>
      </w:r>
      <w:r>
        <w:rPr>
          <w:lang w:val="cs-CZ"/>
        </w:rPr>
        <w:t>9</w:t>
      </w:r>
      <w:r>
        <w:t>‒</w:t>
      </w:r>
      <w:r>
        <w:rPr>
          <w:lang w:val="cs-CZ"/>
        </w:rPr>
        <w:t>31</w:t>
      </w:r>
      <w:r>
        <w:fldChar w:fldCharType="begin"/>
      </w:r>
      <w:r>
        <w:instrText xml:space="preserve"> XE "</w:instrText>
      </w:r>
      <w:r w:rsidRPr="006B6019">
        <w:rPr>
          <w:i/>
        </w:rPr>
        <w:instrText>De potenciis animae et obiectis</w:instrText>
      </w:r>
      <w:r>
        <w:instrText xml:space="preserve"> 15</w:instrText>
      </w:r>
      <w:r>
        <w:rPr>
          <w:lang w:val="cs-CZ"/>
        </w:rPr>
        <w:instrText>5</w:instrText>
      </w:r>
      <w:r>
        <w:instrText>.2</w:instrText>
      </w:r>
      <w:r>
        <w:rPr>
          <w:lang w:val="cs-CZ"/>
        </w:rPr>
        <w:instrText>9</w:instrText>
      </w:r>
      <w:r>
        <w:instrText>‒</w:instrText>
      </w:r>
      <w:r>
        <w:rPr>
          <w:lang w:val="cs-CZ"/>
        </w:rPr>
        <w:instrText>31</w:instrText>
      </w:r>
      <w:r>
        <w:instrText xml:space="preserve">" </w:instrText>
      </w:r>
      <w:r>
        <w:fldChar w:fldCharType="end"/>
      </w:r>
      <w:r>
        <w:t>)</w:t>
      </w:r>
    </w:p>
  </w:footnote>
  <w:footnote w:id="150">
    <w:p w14:paraId="0EB13238" w14:textId="77777777" w:rsidR="00CD2817" w:rsidRPr="00944173" w:rsidRDefault="00CD2817">
      <w:pPr>
        <w:pStyle w:val="Textpoznpodarou"/>
      </w:pPr>
      <w:r>
        <w:rPr>
          <w:rStyle w:val="Znakapoznpodarou"/>
        </w:rPr>
        <w:footnoteRef/>
      </w:r>
      <w:r>
        <w:t xml:space="preserve"> „Cum autem fuerit intellectus possibilis unitus intellectui formali, qui dicitur similitudo rei vel res ipsa, secundum quod iam dictum est, et fuerint species in intellectu possibili ordinate ab agente, tunc procedunt operationes intellectus possibilis.“ (</w:t>
      </w:r>
      <w:r w:rsidRPr="00675E1E">
        <w:rPr>
          <w:i/>
        </w:rPr>
        <w:t>De potenciis animae et obiectis</w:t>
      </w:r>
      <w:r>
        <w:rPr>
          <w:lang w:val="cs-CZ"/>
        </w:rPr>
        <w:t xml:space="preserve">; </w:t>
      </w:r>
      <w:r>
        <w:t>ed. Callus, p</w:t>
      </w:r>
      <w:r>
        <w:rPr>
          <w:lang w:val="cs-CZ"/>
        </w:rPr>
        <w:t>p</w:t>
      </w:r>
      <w:r>
        <w:t>. 157.25‒158.1</w:t>
      </w:r>
      <w:r>
        <w:fldChar w:fldCharType="begin"/>
      </w:r>
      <w:r>
        <w:instrText xml:space="preserve"> XE "</w:instrText>
      </w:r>
      <w:r w:rsidRPr="00E14D71">
        <w:rPr>
          <w:i/>
        </w:rPr>
        <w:instrText>De potenciis animae et obiectis</w:instrText>
      </w:r>
      <w:r w:rsidRPr="00E14D71">
        <w:instrText xml:space="preserve"> 157.25‒158.1</w:instrText>
      </w:r>
      <w:r>
        <w:instrText xml:space="preserve">" </w:instrText>
      </w:r>
      <w:r>
        <w:fldChar w:fldCharType="end"/>
      </w:r>
      <w:r>
        <w:t>)</w:t>
      </w:r>
    </w:p>
  </w:footnote>
  <w:footnote w:id="151">
    <w:p w14:paraId="3EE042B8" w14:textId="77777777" w:rsidR="00CD2817" w:rsidRPr="00000935" w:rsidRDefault="00CD2817" w:rsidP="08BF4003">
      <w:pPr>
        <w:pStyle w:val="Textpoznpodarou"/>
      </w:pPr>
      <w:r>
        <w:rPr>
          <w:rStyle w:val="Znakapoznpodarou"/>
        </w:rPr>
        <w:footnoteRef/>
      </w:r>
      <w:r>
        <w:t xml:space="preserve"> „</w:t>
      </w:r>
      <w:r w:rsidRPr="00CB14AF">
        <w:rPr>
          <w:lang w:val="fr-FR"/>
        </w:rPr>
        <w:t xml:space="preserve">Post </w:t>
      </w:r>
      <w:r>
        <w:rPr>
          <w:lang w:val="fr-FR"/>
        </w:rPr>
        <w:t xml:space="preserve">hanc </w:t>
      </w:r>
      <w:r>
        <w:t xml:space="preserve">virtutem </w:t>
      </w:r>
      <w:r>
        <w:rPr>
          <w:lang w:val="fr-FR"/>
        </w:rPr>
        <w:t xml:space="preserve">est </w:t>
      </w:r>
      <w:r>
        <w:t xml:space="preserve">intellectus </w:t>
      </w:r>
      <w:r>
        <w:rPr>
          <w:lang w:val="fr-FR"/>
        </w:rPr>
        <w:t xml:space="preserve">qui est </w:t>
      </w:r>
      <w:r>
        <w:t xml:space="preserve">separabilis </w:t>
      </w:r>
      <w:r>
        <w:rPr>
          <w:lang w:val="fr-FR"/>
        </w:rPr>
        <w:t xml:space="preserve">a </w:t>
      </w:r>
      <w:r>
        <w:t xml:space="preserve">corpore, cuius </w:t>
      </w:r>
      <w:r w:rsidRPr="00CB14AF">
        <w:rPr>
          <w:lang w:val="fr-FR"/>
        </w:rPr>
        <w:t xml:space="preserve">sunt </w:t>
      </w:r>
      <w:r>
        <w:rPr>
          <w:lang w:val="fr-FR"/>
        </w:rPr>
        <w:t xml:space="preserve">due differentie: est </w:t>
      </w:r>
      <w:r>
        <w:t xml:space="preserve">enim intellectus agens </w:t>
      </w:r>
      <w:r>
        <w:rPr>
          <w:lang w:val="fr-FR"/>
        </w:rPr>
        <w:t xml:space="preserve">et </w:t>
      </w:r>
      <w:r>
        <w:t xml:space="preserve">intellectus possibilis. </w:t>
      </w:r>
      <w:r w:rsidRPr="00CB14AF">
        <w:rPr>
          <w:lang w:val="fr-FR"/>
        </w:rPr>
        <w:t xml:space="preserve">Et </w:t>
      </w:r>
      <w:r>
        <w:t>ponitur talis comparatio intellectus agentis ad possibilem, que est comparatio lucis ad visum. Hec tamen differentia est quod lux est separata a substantia visus, intellectus autem agens non est separatus a substantia anime.“ (</w:t>
      </w:r>
      <w:r w:rsidRPr="00675E1E">
        <w:rPr>
          <w:i/>
        </w:rPr>
        <w:t>De potenciis animae et obiectis</w:t>
      </w:r>
      <w:r>
        <w:rPr>
          <w:lang w:val="cs-CZ"/>
        </w:rPr>
        <w:t xml:space="preserve">; </w:t>
      </w:r>
      <w:r>
        <w:t>ed. Callus, p. 156.1‒5</w:t>
      </w:r>
      <w:r>
        <w:fldChar w:fldCharType="begin"/>
      </w:r>
      <w:r>
        <w:instrText xml:space="preserve"> XE "</w:instrText>
      </w:r>
      <w:r w:rsidRPr="005467A8">
        <w:rPr>
          <w:i/>
        </w:rPr>
        <w:instrText>De potenciis animae et obiectis</w:instrText>
      </w:r>
      <w:r w:rsidRPr="005467A8">
        <w:instrText xml:space="preserve"> 156.1‒5</w:instrText>
      </w:r>
      <w:r>
        <w:instrText xml:space="preserve">" </w:instrText>
      </w:r>
      <w:r>
        <w:fldChar w:fldCharType="end"/>
      </w:r>
      <w:r>
        <w:t>)</w:t>
      </w:r>
    </w:p>
  </w:footnote>
  <w:footnote w:id="152">
    <w:p w14:paraId="3C6C6569" w14:textId="77777777" w:rsidR="00CD2817" w:rsidRPr="00E74860" w:rsidRDefault="00CD2817">
      <w:pPr>
        <w:pStyle w:val="Textpoznpodarou"/>
        <w:rPr>
          <w:lang w:val="cs-CZ"/>
        </w:rPr>
      </w:pPr>
      <w:r>
        <w:rPr>
          <w:rStyle w:val="Znakapoznpodarou"/>
        </w:rPr>
        <w:footnoteRef/>
      </w:r>
      <w:r>
        <w:t xml:space="preserve"> </w:t>
      </w:r>
      <w:r>
        <w:rPr>
          <w:lang w:val="cs-CZ"/>
        </w:rPr>
        <w:t>„</w:t>
      </w:r>
      <w:r>
        <w:t>Sed quia natura intellectualis est superior rebus corporalibus et supra res incorporales que sunt in ipsa, ideo ad hec comprehendenda non est necessarium illuminatione substantie separate, sed sufficit intellectus agens, qui est lumen interius, cum intellectu possibili.“ (</w:t>
      </w:r>
      <w:r w:rsidRPr="00675E1E">
        <w:rPr>
          <w:i/>
        </w:rPr>
        <w:t>De potenciis animae et obiectis</w:t>
      </w:r>
      <w:r>
        <w:t>, ed. Callus, p. 156.</w:t>
      </w:r>
      <w:r>
        <w:rPr>
          <w:lang w:val="cs-CZ"/>
        </w:rPr>
        <w:t>17</w:t>
      </w:r>
      <w:r>
        <w:t>‒</w:t>
      </w:r>
      <w:r>
        <w:rPr>
          <w:lang w:val="cs-CZ"/>
        </w:rPr>
        <w:t>19</w:t>
      </w:r>
      <w:r>
        <w:rPr>
          <w:lang w:val="cs-CZ"/>
        </w:rPr>
        <w:fldChar w:fldCharType="begin"/>
      </w:r>
      <w:r>
        <w:instrText xml:space="preserve"> XE "</w:instrText>
      </w:r>
      <w:r w:rsidRPr="00504B06">
        <w:rPr>
          <w:i/>
        </w:rPr>
        <w:instrText>De potenciis animae et obiectis</w:instrText>
      </w:r>
      <w:r w:rsidRPr="00504B06">
        <w:instrText xml:space="preserve"> 156.</w:instrText>
      </w:r>
      <w:r w:rsidRPr="00504B06">
        <w:rPr>
          <w:lang w:val="cs-CZ"/>
        </w:rPr>
        <w:instrText>17</w:instrText>
      </w:r>
      <w:r w:rsidRPr="00504B06">
        <w:instrText>‒</w:instrText>
      </w:r>
      <w:r w:rsidRPr="00504B06">
        <w:rPr>
          <w:lang w:val="cs-CZ"/>
        </w:rPr>
        <w:instrText>19</w:instrText>
      </w:r>
      <w:r>
        <w:instrText xml:space="preserve">" </w:instrText>
      </w:r>
      <w:r>
        <w:rPr>
          <w:lang w:val="cs-CZ"/>
        </w:rPr>
        <w:fldChar w:fldCharType="end"/>
      </w:r>
      <w:r>
        <w:t>)</w:t>
      </w:r>
    </w:p>
  </w:footnote>
  <w:footnote w:id="153">
    <w:p w14:paraId="257B3B72" w14:textId="77777777" w:rsidR="00CD2817" w:rsidRPr="00E74860" w:rsidRDefault="00CD2817">
      <w:pPr>
        <w:pStyle w:val="Textpoznpodarou"/>
        <w:rPr>
          <w:lang w:val="cs-CZ"/>
        </w:rPr>
      </w:pPr>
      <w:r>
        <w:rPr>
          <w:rStyle w:val="Znakapoznpodarou"/>
        </w:rPr>
        <w:footnoteRef/>
      </w:r>
      <w:r>
        <w:t xml:space="preserve"> „Fuerunt tamen quidam philosophorum qui dixerunt intellectum agentem esse substantiam separatam a substantia anime, et per irradiationem sui super possibilem fieri intellectum possibilem in effectu. Sed oportet intelligere quod non requiritur talis irradiatio intellectus agentis et separati super intellectum possibilem</w:t>
      </w:r>
      <w:r>
        <w:rPr>
          <w:lang w:val="cs-CZ"/>
        </w:rPr>
        <w:t xml:space="preserve">.“ </w:t>
      </w:r>
      <w:r>
        <w:t>(</w:t>
      </w:r>
      <w:r w:rsidRPr="00675E1E">
        <w:rPr>
          <w:i/>
        </w:rPr>
        <w:t>De potenciis animae et obiectis</w:t>
      </w:r>
      <w:r>
        <w:t>, ed. Callus, p. 156.</w:t>
      </w:r>
      <w:r>
        <w:rPr>
          <w:lang w:val="cs-CZ"/>
        </w:rPr>
        <w:t>5</w:t>
      </w:r>
      <w:r>
        <w:t>‒</w:t>
      </w:r>
      <w:r>
        <w:rPr>
          <w:lang w:val="cs-CZ"/>
        </w:rPr>
        <w:t>11</w:t>
      </w:r>
      <w:r>
        <w:rPr>
          <w:lang w:val="cs-CZ"/>
        </w:rPr>
        <w:fldChar w:fldCharType="begin"/>
      </w:r>
      <w:r>
        <w:instrText xml:space="preserve"> XE "</w:instrText>
      </w:r>
      <w:r w:rsidRPr="004C5E41">
        <w:rPr>
          <w:i/>
        </w:rPr>
        <w:instrText>De potenciis animae et obiectis</w:instrText>
      </w:r>
      <w:r>
        <w:rPr>
          <w:i/>
          <w:lang w:val="cs-CZ"/>
        </w:rPr>
        <w:instrText xml:space="preserve"> </w:instrText>
      </w:r>
      <w:r w:rsidRPr="004C5E41">
        <w:instrText>156.</w:instrText>
      </w:r>
      <w:r w:rsidRPr="004C5E41">
        <w:rPr>
          <w:lang w:val="cs-CZ"/>
        </w:rPr>
        <w:instrText>5</w:instrText>
      </w:r>
      <w:r w:rsidRPr="004C5E41">
        <w:instrText>‒</w:instrText>
      </w:r>
      <w:r w:rsidRPr="004C5E41">
        <w:rPr>
          <w:lang w:val="cs-CZ"/>
        </w:rPr>
        <w:instrText>11</w:instrText>
      </w:r>
      <w:r>
        <w:instrText xml:space="preserve">" </w:instrText>
      </w:r>
      <w:r>
        <w:rPr>
          <w:lang w:val="cs-CZ"/>
        </w:rPr>
        <w:fldChar w:fldCharType="end"/>
      </w:r>
      <w:r>
        <w:t>)</w:t>
      </w:r>
    </w:p>
  </w:footnote>
  <w:footnote w:id="154">
    <w:p w14:paraId="486630D9" w14:textId="77777777" w:rsidR="00CD2817" w:rsidRPr="00055FAB" w:rsidRDefault="00CD2817" w:rsidP="009706F0">
      <w:pPr>
        <w:pStyle w:val="Textpoznpodarou"/>
      </w:pPr>
      <w:r>
        <w:rPr>
          <w:rStyle w:val="Znakapoznpodarou"/>
        </w:rPr>
        <w:footnoteRef/>
      </w:r>
      <w:r>
        <w:rPr>
          <w:lang w:val="cs-CZ"/>
        </w:rPr>
        <w:t xml:space="preserve"> </w:t>
      </w:r>
      <w:r>
        <w:t>„</w:t>
      </w:r>
      <w:r w:rsidRPr="00055FAB">
        <w:t>A stronger and more cogent point, which seems to rule out completely William of Auvergne, is that the doctrine of the intellectus agens and of the illumination of the mind as expounded in this treatise does not tally with his well known teaching-on-the subjec</w:t>
      </w:r>
      <w:r>
        <w:t>t. According to our author the 'active intellect' is not a substance 'separata a substantia anime'</w:t>
      </w:r>
      <w:r w:rsidRPr="00055FAB">
        <w:t>, but an immanent faculty of the soul.</w:t>
      </w:r>
      <w:r>
        <w:rPr>
          <w:lang w:val="cs-CZ"/>
        </w:rPr>
        <w:t xml:space="preserve"> (...) </w:t>
      </w:r>
      <w:r>
        <w:t xml:space="preserve">It is clear that all this, however elementary and imperfect it may seem, is utterly inconsistent with the fundamental theories of William of Auvergne, </w:t>
      </w:r>
      <w:r>
        <w:rPr>
          <w:lang w:val="cs-CZ"/>
        </w:rPr>
        <w:t xml:space="preserve">for </w:t>
      </w:r>
      <w:r>
        <w:t xml:space="preserve">whom </w:t>
      </w:r>
      <w:r>
        <w:rPr>
          <w:lang w:val="el-GR"/>
        </w:rPr>
        <w:t>«</w:t>
      </w:r>
      <w:r>
        <w:rPr>
          <w:lang w:val="la"/>
        </w:rPr>
        <w:t xml:space="preserve">figmentum igitur </w:t>
      </w:r>
      <w:r w:rsidRPr="00CB14AF">
        <w:t xml:space="preserve">est tantum et </w:t>
      </w:r>
      <w:r>
        <w:rPr>
          <w:lang w:val="la"/>
        </w:rPr>
        <w:t>vanissima positio intellectus agentis»</w:t>
      </w:r>
      <w:r>
        <w:rPr>
          <w:lang w:val="cs-CZ"/>
        </w:rPr>
        <w:t xml:space="preserve">.“ </w:t>
      </w:r>
      <w:r>
        <w:t xml:space="preserve">(Callus 1952, </w:t>
      </w:r>
      <w:r>
        <w:rPr>
          <w:lang w:val="cs-CZ"/>
        </w:rPr>
        <w:t xml:space="preserve">pp. </w:t>
      </w:r>
      <w:r>
        <w:t>139‒</w:t>
      </w:r>
      <w:r>
        <w:rPr>
          <w:lang w:val="cs-CZ"/>
        </w:rPr>
        <w:t>140</w:t>
      </w:r>
      <w:r>
        <w:t>)</w:t>
      </w:r>
    </w:p>
  </w:footnote>
  <w:footnote w:id="155">
    <w:p w14:paraId="52AFA192" w14:textId="77777777" w:rsidR="00CD2817" w:rsidRPr="0895424F" w:rsidRDefault="00CD2817">
      <w:pPr>
        <w:pStyle w:val="Textpoznpodarou"/>
        <w:rPr>
          <w:lang w:val="cs-CZ"/>
        </w:rPr>
      </w:pPr>
      <w:r>
        <w:rPr>
          <w:rStyle w:val="Znakapoznpodarou"/>
        </w:rPr>
        <w:footnoteRef/>
      </w:r>
      <w:r>
        <w:t xml:space="preserve"> </w:t>
      </w:r>
      <w:r>
        <w:rPr>
          <w:lang w:val="cs-CZ"/>
        </w:rPr>
        <w:t>„</w:t>
      </w:r>
      <w:r w:rsidRPr="0895424F">
        <w:rPr>
          <w:lang w:val="cs-CZ"/>
        </w:rPr>
        <w:t>Sed oportet intelligere quod non requiritur talis irradiatio intellectus agentis et separati super intellectum possibilem, nisi quantum ad quedam intelligibilia ad que non potest intellectus ex se, sicut sunt ea que de divina essentia intelliguntur divino modo, et quibus humana ratio repugnare videtur.</w:t>
      </w:r>
      <w:r>
        <w:rPr>
          <w:lang w:val="cs-CZ"/>
        </w:rPr>
        <w:t xml:space="preserve">“ </w:t>
      </w:r>
      <w:r>
        <w:t>(</w:t>
      </w:r>
      <w:r w:rsidRPr="00675E1E">
        <w:rPr>
          <w:i/>
        </w:rPr>
        <w:t>De potenciis animae et obiectis</w:t>
      </w:r>
      <w:r>
        <w:t>, ed. Callus, p. 156.</w:t>
      </w:r>
      <w:r>
        <w:rPr>
          <w:lang w:val="cs-CZ"/>
        </w:rPr>
        <w:t>9</w:t>
      </w:r>
      <w:r>
        <w:t>‒</w:t>
      </w:r>
      <w:r>
        <w:rPr>
          <w:lang w:val="cs-CZ"/>
        </w:rPr>
        <w:t>13</w:t>
      </w:r>
      <w:r>
        <w:rPr>
          <w:lang w:val="cs-CZ"/>
        </w:rPr>
        <w:fldChar w:fldCharType="begin"/>
      </w:r>
      <w:r>
        <w:instrText xml:space="preserve"> XE "</w:instrText>
      </w:r>
      <w:r w:rsidRPr="004C5E41">
        <w:rPr>
          <w:i/>
        </w:rPr>
        <w:instrText>De potenciis animae et obiectis</w:instrText>
      </w:r>
      <w:r>
        <w:rPr>
          <w:i/>
          <w:lang w:val="cs-CZ"/>
        </w:rPr>
        <w:instrText xml:space="preserve"> </w:instrText>
      </w:r>
      <w:r w:rsidRPr="004C5E41">
        <w:instrText>156.</w:instrText>
      </w:r>
      <w:r>
        <w:rPr>
          <w:lang w:val="cs-CZ"/>
        </w:rPr>
        <w:instrText>9</w:instrText>
      </w:r>
      <w:r w:rsidRPr="004C5E41">
        <w:instrText>‒</w:instrText>
      </w:r>
      <w:r>
        <w:rPr>
          <w:lang w:val="cs-CZ"/>
        </w:rPr>
        <w:instrText>13</w:instrText>
      </w:r>
      <w:r>
        <w:instrText xml:space="preserve">" </w:instrText>
      </w:r>
      <w:r>
        <w:rPr>
          <w:lang w:val="cs-CZ"/>
        </w:rPr>
        <w:fldChar w:fldCharType="end"/>
      </w:r>
      <w:r>
        <w:t>)</w:t>
      </w:r>
    </w:p>
  </w:footnote>
  <w:footnote w:id="156">
    <w:p w14:paraId="36D63F4C" w14:textId="77777777" w:rsidR="00CD2817" w:rsidRPr="08C475DF" w:rsidRDefault="00CD2817" w:rsidP="082339E2">
      <w:pPr>
        <w:pStyle w:val="Textpoznpodarou"/>
        <w:rPr>
          <w:lang w:val="cs-CZ"/>
        </w:rPr>
      </w:pPr>
      <w:r>
        <w:rPr>
          <w:rStyle w:val="Znakapoznpodarou"/>
        </w:rPr>
        <w:footnoteRef/>
      </w:r>
      <w:r>
        <w:t xml:space="preserve"> </w:t>
      </w:r>
      <w:r>
        <w:rPr>
          <w:lang w:val="cs-CZ"/>
        </w:rPr>
        <w:t>„</w:t>
      </w:r>
      <w:r w:rsidRPr="08C475DF">
        <w:t>Et quod iste sunt differentes quantum ad actus perpenditur ex hoc quod synderesis non dicitur errare, rationis vero inferior pars dicitur errare simpliciter, superior vero per consensum cum inferiori; et hee omnes referuntur proprie ad cognoscitivam boni, et per hoc ad imperantem. Subsequitur autem motiva ad bonum vel a malo, et hec dividitur similiter in superiorem et inferiorem et mediam.</w:t>
      </w:r>
      <w:r>
        <w:rPr>
          <w:lang w:val="cs-CZ"/>
        </w:rPr>
        <w:t xml:space="preserve">“ </w:t>
      </w:r>
      <w:r>
        <w:t>(</w:t>
      </w:r>
      <w:r w:rsidRPr="00675E1E">
        <w:rPr>
          <w:i/>
        </w:rPr>
        <w:t>De potenciis animae et obiectis</w:t>
      </w:r>
      <w:r>
        <w:t>, ed. Callus, p. 15</w:t>
      </w:r>
      <w:r>
        <w:rPr>
          <w:lang w:val="cs-CZ"/>
        </w:rPr>
        <w:t>9</w:t>
      </w:r>
      <w:r>
        <w:t>.</w:t>
      </w:r>
      <w:r>
        <w:rPr>
          <w:lang w:val="cs-CZ"/>
        </w:rPr>
        <w:t>14</w:t>
      </w:r>
      <w:r>
        <w:t>‒</w:t>
      </w:r>
      <w:r>
        <w:rPr>
          <w:lang w:val="cs-CZ"/>
        </w:rPr>
        <w:t>19</w:t>
      </w:r>
      <w:r>
        <w:rPr>
          <w:lang w:val="cs-CZ"/>
        </w:rPr>
        <w:fldChar w:fldCharType="begin"/>
      </w:r>
      <w:r>
        <w:instrText xml:space="preserve"> XE "</w:instrText>
      </w:r>
      <w:r w:rsidRPr="004C5E41">
        <w:rPr>
          <w:i/>
        </w:rPr>
        <w:instrText>De potenciis animae et obiectis</w:instrText>
      </w:r>
      <w:r>
        <w:rPr>
          <w:i/>
          <w:lang w:val="cs-CZ"/>
        </w:rPr>
        <w:instrText xml:space="preserve"> </w:instrText>
      </w:r>
      <w:r>
        <w:instrText>15</w:instrText>
      </w:r>
      <w:r>
        <w:rPr>
          <w:lang w:val="cs-CZ"/>
        </w:rPr>
        <w:instrText>9</w:instrText>
      </w:r>
      <w:r w:rsidRPr="004C5E41">
        <w:instrText>.</w:instrText>
      </w:r>
      <w:r>
        <w:rPr>
          <w:lang w:val="cs-CZ"/>
        </w:rPr>
        <w:instrText>14</w:instrText>
      </w:r>
      <w:r w:rsidRPr="004C5E41">
        <w:instrText>‒</w:instrText>
      </w:r>
      <w:r>
        <w:rPr>
          <w:lang w:val="cs-CZ"/>
        </w:rPr>
        <w:instrText>19</w:instrText>
      </w:r>
      <w:r>
        <w:instrText xml:space="preserve"> </w:instrText>
      </w:r>
      <w:r>
        <w:rPr>
          <w:lang w:val="cs-CZ"/>
        </w:rPr>
        <w:fldChar w:fldCharType="end"/>
      </w:r>
      <w:r>
        <w:t>)</w:t>
      </w:r>
    </w:p>
  </w:footnote>
  <w:footnote w:id="157">
    <w:p w14:paraId="5447179B" w14:textId="77777777" w:rsidR="00CD2817" w:rsidRPr="006F5F66" w:rsidRDefault="00CD2817" w:rsidP="08AB2F97">
      <w:pPr>
        <w:pStyle w:val="Textpoznpodarou"/>
      </w:pPr>
      <w:r>
        <w:rPr>
          <w:rStyle w:val="Znakapoznpodarou"/>
        </w:rPr>
        <w:footnoteRef/>
      </w:r>
      <w:r>
        <w:t xml:space="preserve"> „Et etiam jam patefactus est tibi per me error Philosophorum de causi</w:t>
      </w:r>
      <w:r>
        <w:rPr>
          <w:lang w:val="cs-CZ"/>
        </w:rPr>
        <w:t>s</w:t>
      </w:r>
      <w:r>
        <w:t xml:space="preserve"> et causalitatibus, quo errore longe plus attribuunt causis quam eis attribuendum sit (...) causalitas effectiva proprie ac vere attribui non potest nisi causae primae, quae est Creator benedictus et sublimis...“ (</w:t>
      </w:r>
      <w:r w:rsidRPr="00740FF3">
        <w:rPr>
          <w:i/>
        </w:rPr>
        <w:t>Guil</w:t>
      </w:r>
      <w:r>
        <w:rPr>
          <w:i/>
        </w:rPr>
        <w:t>ielmi De anima</w:t>
      </w:r>
      <w:r>
        <w:t xml:space="preserve"> V.2</w:t>
      </w:r>
      <w:r>
        <w:rPr>
          <w:lang w:val="cs-CZ"/>
        </w:rPr>
        <w:t xml:space="preserve">; </w:t>
      </w:r>
      <w:r>
        <w:t>ed. Le Feron, p. 113</w:t>
      </w:r>
      <w:r>
        <w:fldChar w:fldCharType="begin"/>
      </w:r>
      <w:r>
        <w:instrText xml:space="preserve"> XE "</w:instrText>
      </w:r>
      <w:r>
        <w:rPr>
          <w:lang w:val="cs-CZ"/>
        </w:rPr>
        <w:instrText>Alvernus:</w:instrText>
      </w:r>
      <w:r w:rsidRPr="00371269">
        <w:rPr>
          <w:i/>
        </w:rPr>
        <w:instrText>Guilielmi De anima</w:instrText>
      </w:r>
      <w:r w:rsidRPr="00371269">
        <w:instrText xml:space="preserve"> 113</w:instrText>
      </w:r>
      <w:r>
        <w:instrText xml:space="preserve">" </w:instrText>
      </w:r>
      <w:r>
        <w:fldChar w:fldCharType="end"/>
      </w:r>
      <w:r>
        <w:t>)</w:t>
      </w:r>
    </w:p>
  </w:footnote>
  <w:footnote w:id="158">
    <w:p w14:paraId="46617CB6" w14:textId="77777777" w:rsidR="00CD2817" w:rsidRPr="00240D08" w:rsidRDefault="00CD2817" w:rsidP="003F4ACC">
      <w:pPr>
        <w:pStyle w:val="Textpoznpodarou"/>
      </w:pPr>
      <w:r>
        <w:rPr>
          <w:rStyle w:val="Znakapoznpodarou"/>
        </w:rPr>
        <w:footnoteRef/>
      </w:r>
      <w:r>
        <w:t xml:space="preserve"> „Post haec autem incipiam destruere errorem eorum qui causas alias efficientes quam creatorem benedictum eidem posuerunt, ex quibus fuit Aristoteles, et sequaces eius videlicet Alpharalius, Algaxel, et Avicenna et plures alii qui post eum et per eum forsitan a via veritatis in ista deviaverunt. Posuerunt enim intelligentiam agentem effectricem animarum humanarum.“ (</w:t>
      </w:r>
      <w:r w:rsidRPr="00740FF3">
        <w:rPr>
          <w:i/>
        </w:rPr>
        <w:t>Guil</w:t>
      </w:r>
      <w:r>
        <w:rPr>
          <w:i/>
        </w:rPr>
        <w:t xml:space="preserve">ielmi De anima </w:t>
      </w:r>
      <w:r>
        <w:t>V.2</w:t>
      </w:r>
      <w:r>
        <w:rPr>
          <w:lang w:val="cs-CZ"/>
        </w:rPr>
        <w:t xml:space="preserve">; </w:t>
      </w:r>
      <w:r>
        <w:t>ed. Le Feron, p. 112</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instrText>11</w:instrText>
      </w:r>
      <w:r>
        <w:rPr>
          <w:lang w:val="cs-CZ"/>
        </w:rPr>
        <w:instrText>2</w:instrText>
      </w:r>
      <w:r>
        <w:instrText xml:space="preserve">" </w:instrText>
      </w:r>
      <w:r>
        <w:fldChar w:fldCharType="end"/>
      </w:r>
      <w:r>
        <w:t>)</w:t>
      </w:r>
    </w:p>
  </w:footnote>
  <w:footnote w:id="159">
    <w:p w14:paraId="24FA1F12" w14:textId="5A6501DE" w:rsidR="00CD2817" w:rsidRPr="00702A06" w:rsidRDefault="00CD2817" w:rsidP="088167DC">
      <w:pPr>
        <w:pStyle w:val="Textpoznpodarou"/>
        <w:rPr>
          <w:rFonts w:cs="AJensonPro-Regular"/>
        </w:rPr>
      </w:pPr>
      <w:r>
        <w:rPr>
          <w:rStyle w:val="Znakapoznpodarou"/>
        </w:rPr>
        <w:footnoteRef/>
      </w:r>
      <w:r>
        <w:rPr>
          <w:lang w:val="cs-CZ"/>
        </w:rPr>
        <w:t xml:space="preserve"> </w:t>
      </w:r>
      <w:r>
        <w:t>„</w:t>
      </w:r>
      <w:r>
        <w:rPr>
          <w:rFonts w:cs="AJensonPro-Regular"/>
        </w:rPr>
        <w:t>De rudimentis enim philosophiae est proculdubio ratio materiae et formae, et cum ipsa ratio materiae posita sit ab Averroe philosopho nobilissimo, expediret ut intentiones ejus et aliorum, qui tanquam duces philosophiae sequendi et imitandi sunt</w:t>
      </w:r>
      <w:r>
        <w:rPr>
          <w:rFonts w:cs="AJensonPro-Regular"/>
          <w:lang w:val="cs-CZ"/>
        </w:rPr>
        <w:t>...</w:t>
      </w:r>
      <w:r>
        <w:rPr>
          <w:rFonts w:cs="AJensonPro-Regular"/>
        </w:rPr>
        <w:t>” (</w:t>
      </w:r>
      <w:r w:rsidRPr="002F5C2B">
        <w:rPr>
          <w:i/>
        </w:rPr>
        <w:t>De universo</w:t>
      </w:r>
      <w:r>
        <w:rPr>
          <w:rFonts w:ascii="AJensonPro-It" w:hAnsi="AJensonPro-It" w:cs="AJensonPro-It"/>
          <w:i/>
          <w:iCs/>
        </w:rPr>
        <w:t xml:space="preserve"> </w:t>
      </w:r>
      <w:r>
        <w:rPr>
          <w:rFonts w:cs="AJensonPro-Regular"/>
        </w:rPr>
        <w:t>IIa-Iae, cap. 8</w:t>
      </w:r>
      <w:r>
        <w:rPr>
          <w:rFonts w:cs="AJensonPro-Regular"/>
        </w:rPr>
        <w:fldChar w:fldCharType="begin"/>
      </w:r>
      <w:r>
        <w:instrText xml:space="preserve"> XE "</w:instrText>
      </w:r>
      <w:r>
        <w:rPr>
          <w:lang w:val="cs-CZ"/>
        </w:rPr>
        <w:instrText>Alvernus:</w:instrText>
      </w:r>
      <w:r w:rsidRPr="00651197">
        <w:rPr>
          <w:i/>
        </w:rPr>
        <w:instrText>De universo</w:instrText>
      </w:r>
      <w:r w:rsidRPr="00651197">
        <w:rPr>
          <w:rFonts w:ascii="AJensonPro-It" w:hAnsi="AJensonPro-It" w:cs="AJensonPro-It"/>
          <w:i/>
          <w:iCs/>
        </w:rPr>
        <w:instrText xml:space="preserve"> </w:instrText>
      </w:r>
      <w:r w:rsidRPr="00651197">
        <w:rPr>
          <w:rFonts w:cs="AJensonPro-Regular"/>
        </w:rPr>
        <w:instrText>IIa-Iae, cap. 8</w:instrText>
      </w:r>
      <w:r>
        <w:instrText xml:space="preserve">" </w:instrText>
      </w:r>
      <w:r>
        <w:rPr>
          <w:rFonts w:cs="AJensonPro-Regular"/>
        </w:rPr>
        <w:fldChar w:fldCharType="end"/>
      </w:r>
      <w:r>
        <w:rPr>
          <w:rFonts w:cs="AJensonPro-Regular"/>
        </w:rPr>
        <w:t xml:space="preserve">).  </w:t>
      </w:r>
      <w:r>
        <w:rPr>
          <w:color w:val="000000"/>
        </w:rPr>
        <w:t xml:space="preserve">(…) </w:t>
      </w:r>
      <w:r>
        <w:rPr>
          <w:color w:val="000000"/>
          <w:lang w:val="cs-CZ"/>
        </w:rPr>
        <w:t xml:space="preserve"> </w:t>
      </w:r>
      <w:r>
        <w:rPr>
          <w:rFonts w:cs="AJensonPro-Regular"/>
        </w:rPr>
        <w:t>„Ipse etiam Averroes omne quod alii vocant compositum ex materia et forma, ipse vocat formam in materia.“ (</w:t>
      </w:r>
      <w:r w:rsidRPr="00D751ED">
        <w:rPr>
          <w:i/>
        </w:rPr>
        <w:t xml:space="preserve">Guilielmi </w:t>
      </w:r>
      <w:r>
        <w:rPr>
          <w:i/>
        </w:rPr>
        <w:t>De anima</w:t>
      </w:r>
      <w:r>
        <w:t xml:space="preserve"> III.9</w:t>
      </w:r>
      <w:r>
        <w:rPr>
          <w:lang w:val="cs-CZ"/>
        </w:rPr>
        <w:t>;</w:t>
      </w:r>
      <w:r>
        <w:t xml:space="preserve"> ed. Le Feron, p. 101</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instrText>1</w:instrText>
      </w:r>
      <w:r>
        <w:rPr>
          <w:lang w:val="cs-CZ"/>
        </w:rPr>
        <w:instrText>01</w:instrText>
      </w:r>
      <w:r>
        <w:instrText xml:space="preserve">" </w:instrText>
      </w:r>
      <w:r>
        <w:fldChar w:fldCharType="end"/>
      </w:r>
      <w:r>
        <w:t>)</w:t>
      </w:r>
    </w:p>
  </w:footnote>
  <w:footnote w:id="160">
    <w:p w14:paraId="2A86BDEC" w14:textId="77777777" w:rsidR="00CD2817" w:rsidRPr="00CC56EF" w:rsidRDefault="00CD2817" w:rsidP="004E235B">
      <w:pPr>
        <w:pStyle w:val="Textpoznpodarou"/>
      </w:pPr>
      <w:r>
        <w:rPr>
          <w:rStyle w:val="Znakapoznpodarou"/>
        </w:rPr>
        <w:footnoteRef/>
      </w:r>
      <w:r>
        <w:t xml:space="preserve"> „</w:t>
      </w:r>
      <w:r w:rsidRPr="00564E85">
        <w:t>Nec</w:t>
      </w:r>
      <w:r w:rsidRPr="009D3D59">
        <w:t xml:space="preserve"> </w:t>
      </w:r>
      <w:r>
        <w:t>Aristoteles</w:t>
      </w:r>
      <w:r w:rsidRPr="009D3D59">
        <w:t>, quem sequi se credunt in errore isto, hoc unquam posuit, vel cogitavit...</w:t>
      </w:r>
      <w:r>
        <w:t xml:space="preserve"> </w:t>
      </w:r>
      <w:r w:rsidRPr="009D3D59">
        <w:t>intelligentiam agentem separatam... cuius irradiatione scientiae fiunt in intellectu nostro materiali</w:t>
      </w:r>
      <w:r>
        <w:t>, et eam posuit decimam, infimamque inteligentiarum separatum.</w:t>
      </w:r>
      <w:r w:rsidRPr="00564E85">
        <w:t>“</w:t>
      </w:r>
      <w:r>
        <w:t xml:space="preserve"> (</w:t>
      </w:r>
      <w:r w:rsidRPr="00D751ED">
        <w:rPr>
          <w:i/>
        </w:rPr>
        <w:t xml:space="preserve">Guilielmi </w:t>
      </w:r>
      <w:r>
        <w:rPr>
          <w:i/>
        </w:rPr>
        <w:t>De anima</w:t>
      </w:r>
      <w:r>
        <w:t xml:space="preserve"> VII.5</w:t>
      </w:r>
      <w:r>
        <w:rPr>
          <w:lang w:val="cs-CZ"/>
        </w:rPr>
        <w:t>;</w:t>
      </w:r>
      <w:r>
        <w:t xml:space="preserve"> ed. Le Feron, p. 210</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210</w:instrText>
      </w:r>
      <w:r>
        <w:instrText xml:space="preserve">" </w:instrText>
      </w:r>
      <w:r>
        <w:fldChar w:fldCharType="end"/>
      </w:r>
      <w:r>
        <w:t>)</w:t>
      </w:r>
    </w:p>
  </w:footnote>
  <w:footnote w:id="161">
    <w:p w14:paraId="0E30CC0C" w14:textId="77777777" w:rsidR="00CD2817" w:rsidRPr="00F77511" w:rsidRDefault="00CD2817" w:rsidP="086564F8">
      <w:pPr>
        <w:pStyle w:val="Textpoznpodarou"/>
        <w:rPr>
          <w:lang w:val="cs-CZ"/>
        </w:rPr>
      </w:pPr>
      <w:r>
        <w:rPr>
          <w:rStyle w:val="Znakapoznpodarou"/>
        </w:rPr>
        <w:footnoteRef/>
      </w:r>
      <w:r>
        <w:t xml:space="preserve"> „</w:t>
      </w:r>
      <w:r w:rsidRPr="08A83305">
        <w:t>Unde intellectus agens est illud agens particulare quod exigitur ad operationem intellectus speculativi, qui quidem intellectus agens secundum Commentatorem est pars anime</w:t>
      </w:r>
      <w:r>
        <w:t>, secundum Alpharabium et secund</w:t>
      </w:r>
      <w:r w:rsidRPr="08A83305">
        <w:t>um Aristotelem et Avicennam est aliquid aliud.</w:t>
      </w:r>
      <w:r>
        <w:t>“</w:t>
      </w:r>
      <w:r w:rsidRPr="08A83305">
        <w:t xml:space="preserve"> (</w:t>
      </w:r>
      <w:r>
        <w:rPr>
          <w:i/>
        </w:rPr>
        <w:t>Quaestiones</w:t>
      </w:r>
      <w:r w:rsidRPr="082838B8">
        <w:rPr>
          <w:i/>
        </w:rPr>
        <w:t xml:space="preserve"> supra libros prime philosophie Aristotelis</w:t>
      </w:r>
      <w:r>
        <w:t xml:space="preserve">, </w:t>
      </w:r>
      <w:r>
        <w:rPr>
          <w:lang w:val="cs-CZ"/>
        </w:rPr>
        <w:t xml:space="preserve">lib. IX; </w:t>
      </w:r>
      <w:r>
        <w:t>ed. Steele, OHI 10</w:t>
      </w:r>
      <w:r w:rsidRPr="08A83305">
        <w:t>,</w:t>
      </w:r>
      <w:r>
        <w:rPr>
          <w:lang w:val="cs-CZ"/>
        </w:rPr>
        <w:t xml:space="preserve"> </w:t>
      </w:r>
      <w:r>
        <w:t>298.34‒</w:t>
      </w:r>
      <w:r w:rsidRPr="08A83305">
        <w:t>299.2</w:t>
      </w:r>
      <w:r>
        <w:fldChar w:fldCharType="begin"/>
      </w:r>
      <w:r>
        <w:instrText xml:space="preserve"> XE "</w:instrText>
      </w:r>
      <w:r>
        <w:rPr>
          <w:lang w:val="cs-CZ"/>
        </w:rPr>
        <w:instrText>Bacon:</w:instrText>
      </w:r>
      <w:r>
        <w:rPr>
          <w:i/>
        </w:rPr>
        <w:instrText>Quaestiones</w:instrText>
      </w:r>
      <w:r w:rsidRPr="082838B8">
        <w:rPr>
          <w:i/>
        </w:rPr>
        <w:instrText xml:space="preserve"> supra libros prime philosophie Aristotelis</w:instrText>
      </w:r>
      <w:r>
        <w:rPr>
          <w:i/>
          <w:lang w:val="cs-CZ"/>
        </w:rPr>
        <w:instrText xml:space="preserve"> </w:instrText>
      </w:r>
      <w:r>
        <w:instrText>298.34‒</w:instrText>
      </w:r>
      <w:r w:rsidRPr="08A83305">
        <w:instrText>299.2</w:instrText>
      </w:r>
      <w:r>
        <w:instrText xml:space="preserve">" </w:instrText>
      </w:r>
      <w:r>
        <w:fldChar w:fldCharType="end"/>
      </w:r>
      <w:r w:rsidRPr="08A83305">
        <w:t>)</w:t>
      </w:r>
    </w:p>
  </w:footnote>
  <w:footnote w:id="162">
    <w:p w14:paraId="01109C83" w14:textId="77777777" w:rsidR="00CD2817" w:rsidRPr="0087278D" w:rsidRDefault="00CD2817" w:rsidP="0800130F">
      <w:pPr>
        <w:pStyle w:val="Textpoznpodarou"/>
      </w:pPr>
      <w:r>
        <w:rPr>
          <w:rStyle w:val="Znakapoznpodarou"/>
        </w:rPr>
        <w:footnoteRef/>
      </w:r>
      <w:r>
        <w:t xml:space="preserve"> „</w:t>
      </w:r>
      <w:r w:rsidRPr="007F55E8">
        <w:t xml:space="preserve">Nam </w:t>
      </w:r>
      <w:r>
        <w:t xml:space="preserve">universitate </w:t>
      </w:r>
      <w:r w:rsidRPr="007F55E8">
        <w:t xml:space="preserve">Parisiensi </w:t>
      </w:r>
      <w:r>
        <w:t xml:space="preserve">convocata, </w:t>
      </w:r>
      <w:r w:rsidRPr="007F55E8">
        <w:t xml:space="preserve">bis </w:t>
      </w:r>
      <w:r>
        <w:t xml:space="preserve">vidi et audivi venerabilem antistitem Gulielmum Parisiensem Episcopum felicis memoriae coram omnibus sententiare quod intellectus agens non potest esse pars animae; et dominus Robertus Episcopus Lincolniensis et frater </w:t>
      </w:r>
      <w:r w:rsidRPr="007F55E8">
        <w:t xml:space="preserve">Adam </w:t>
      </w:r>
      <w:r>
        <w:t>de Marisco et huiusmodi maiores idem firmaverunt.“ (</w:t>
      </w:r>
      <w:r w:rsidRPr="00390EF6">
        <w:rPr>
          <w:i/>
        </w:rPr>
        <w:t>Opus tertium</w:t>
      </w:r>
      <w:r>
        <w:t>, cap. XXIII</w:t>
      </w:r>
      <w:r>
        <w:rPr>
          <w:lang w:val="cs-CZ"/>
        </w:rPr>
        <w:t xml:space="preserve">; </w:t>
      </w:r>
      <w:r>
        <w:t>ed. B</w:t>
      </w:r>
      <w:r>
        <w:rPr>
          <w:lang w:val="cs-CZ"/>
        </w:rPr>
        <w:t>rewer</w:t>
      </w:r>
      <w:r>
        <w:t xml:space="preserve">, </w:t>
      </w:r>
      <w:r>
        <w:rPr>
          <w:lang w:val="cs-CZ"/>
        </w:rPr>
        <w:t xml:space="preserve">OHI 1, </w:t>
      </w:r>
      <w:r>
        <w:t>74‒75</w:t>
      </w:r>
      <w:r>
        <w:fldChar w:fldCharType="begin"/>
      </w:r>
      <w:r>
        <w:instrText xml:space="preserve"> XE "</w:instrText>
      </w:r>
      <w:r>
        <w:rPr>
          <w:lang w:val="cs-CZ"/>
        </w:rPr>
        <w:instrText>Bacon:</w:instrText>
      </w:r>
      <w:r w:rsidRPr="00B127FC">
        <w:rPr>
          <w:i/>
        </w:rPr>
        <w:instrText>Opus tertium</w:instrText>
      </w:r>
      <w:r w:rsidRPr="00B127FC">
        <w:instrText xml:space="preserve"> 74‒75</w:instrText>
      </w:r>
      <w:r>
        <w:instrText xml:space="preserve">" </w:instrText>
      </w:r>
      <w:r>
        <w:fldChar w:fldCharType="end"/>
      </w:r>
      <w:r>
        <w:t>)</w:t>
      </w:r>
    </w:p>
  </w:footnote>
  <w:footnote w:id="163">
    <w:p w14:paraId="7551113F" w14:textId="77777777" w:rsidR="00CD2817" w:rsidRPr="00A61C58" w:rsidRDefault="00CD2817" w:rsidP="007231F0">
      <w:pPr>
        <w:pStyle w:val="Textpoznpodarou"/>
        <w:rPr>
          <w:rStyle w:val="TextpoznpodarouChar"/>
        </w:rPr>
      </w:pPr>
      <w:r>
        <w:rPr>
          <w:rStyle w:val="Znakapoznpodarou"/>
        </w:rPr>
        <w:footnoteRef/>
      </w:r>
      <w:r>
        <w:rPr>
          <w:rStyle w:val="TextpoznpodarouChar"/>
        </w:rPr>
        <w:t xml:space="preserve"> </w:t>
      </w:r>
      <w:r w:rsidRPr="0029515D">
        <w:rPr>
          <w:rStyle w:val="TextpoznpodarouChar"/>
        </w:rPr>
        <w:t>„Et praeterea versus finem capituli docet quod intellectus agens est separatus a possibili secundum substantiam et secundum esse, et quod an</w:t>
      </w:r>
      <w:r>
        <w:rPr>
          <w:rStyle w:val="TextpoznpodarouChar"/>
        </w:rPr>
        <w:t>ima scit, et semper est in actu</w:t>
      </w:r>
      <w:r w:rsidRPr="0029515D">
        <w:rPr>
          <w:rStyle w:val="TextpoznpodarouChar"/>
        </w:rPr>
        <w:t>; et hoc non est creatum, sed solus Deus.“ (</w:t>
      </w:r>
      <w:r w:rsidRPr="008219C4">
        <w:rPr>
          <w:rStyle w:val="TextpoznpodarouChar"/>
          <w:i/>
        </w:rPr>
        <w:t>Opus tertium</w:t>
      </w:r>
      <w:r>
        <w:rPr>
          <w:rStyle w:val="TextpoznpodarouChar"/>
        </w:rPr>
        <w:t>, cap. XXIII</w:t>
      </w:r>
      <w:r>
        <w:rPr>
          <w:rStyle w:val="TextpoznpodarouChar"/>
          <w:lang w:val="cs-CZ"/>
        </w:rPr>
        <w:t xml:space="preserve">; </w:t>
      </w:r>
      <w:r>
        <w:rPr>
          <w:rStyle w:val="TextpoznpodarouChar"/>
        </w:rPr>
        <w:t>ed. Br</w:t>
      </w:r>
      <w:r>
        <w:rPr>
          <w:rStyle w:val="TextpoznpodarouChar"/>
          <w:lang w:val="cs-CZ"/>
        </w:rPr>
        <w:t>ewer</w:t>
      </w:r>
      <w:r w:rsidRPr="0029515D">
        <w:rPr>
          <w:rStyle w:val="TextpoznpodarouChar"/>
        </w:rPr>
        <w:t xml:space="preserve">, </w:t>
      </w:r>
      <w:r>
        <w:rPr>
          <w:lang w:val="cs-CZ"/>
        </w:rPr>
        <w:t xml:space="preserve">OHI 1, </w:t>
      </w:r>
      <w:r w:rsidRPr="0029515D">
        <w:rPr>
          <w:rStyle w:val="TextpoznpodarouChar"/>
        </w:rPr>
        <w:t>76</w:t>
      </w:r>
      <w:r>
        <w:fldChar w:fldCharType="begin"/>
      </w:r>
      <w:r>
        <w:instrText xml:space="preserve"> XE "</w:instrText>
      </w:r>
      <w:r>
        <w:rPr>
          <w:lang w:val="cs-CZ"/>
        </w:rPr>
        <w:instrText>Bacon:</w:instrText>
      </w:r>
      <w:r w:rsidRPr="00B127FC">
        <w:rPr>
          <w:i/>
        </w:rPr>
        <w:instrText>Opus tertium</w:instrText>
      </w:r>
      <w:r>
        <w:instrText xml:space="preserve"> 7</w:instrText>
      </w:r>
      <w:r>
        <w:rPr>
          <w:lang w:val="cs-CZ"/>
        </w:rPr>
        <w:instrText>6</w:instrText>
      </w:r>
      <w:r>
        <w:instrText xml:space="preserve">" </w:instrText>
      </w:r>
      <w:r>
        <w:fldChar w:fldCharType="end"/>
      </w:r>
      <w:r w:rsidRPr="0029515D">
        <w:rPr>
          <w:rStyle w:val="TextpoznpodarouChar"/>
        </w:rPr>
        <w:t>)</w:t>
      </w:r>
    </w:p>
  </w:footnote>
  <w:footnote w:id="164">
    <w:p w14:paraId="420F9EEA" w14:textId="77777777" w:rsidR="00CD2817" w:rsidRPr="00607FF5" w:rsidRDefault="00CD2817" w:rsidP="007231F0">
      <w:pPr>
        <w:pStyle w:val="Textpoznpodarou"/>
      </w:pPr>
      <w:r>
        <w:rPr>
          <w:rStyle w:val="Znakapoznpodarou"/>
        </w:rPr>
        <w:footnoteRef/>
      </w:r>
      <w:r>
        <w:t xml:space="preserve"> „</w:t>
      </w:r>
      <w:r w:rsidRPr="00F10163">
        <w:t>Sic igitur est intellectus agens in anima, scilicet secundum influentiam sui luminis, sed non secundum essentiam</w:t>
      </w:r>
      <w:r>
        <w:t>, vel quod sint eiusdem essentiae et naturae, scilicet quod sint partes animae</w:t>
      </w:r>
      <w:r w:rsidRPr="00F10163">
        <w:t>.</w:t>
      </w:r>
      <w:r>
        <w:t xml:space="preserve">“ </w:t>
      </w:r>
      <w:r w:rsidRPr="00607FF5">
        <w:t>(</w:t>
      </w:r>
      <w:r w:rsidRPr="00607FF5">
        <w:rPr>
          <w:i/>
        </w:rPr>
        <w:t>Opus tertium</w:t>
      </w:r>
      <w:r>
        <w:t>, cap. XXIII</w:t>
      </w:r>
      <w:r>
        <w:rPr>
          <w:lang w:val="cs-CZ"/>
        </w:rPr>
        <w:t>;</w:t>
      </w:r>
      <w:r w:rsidRPr="00607FF5">
        <w:t xml:space="preserve"> ed. </w:t>
      </w:r>
      <w:r>
        <w:t>B</w:t>
      </w:r>
      <w:r>
        <w:rPr>
          <w:lang w:val="cs-CZ"/>
        </w:rPr>
        <w:t>rewer</w:t>
      </w:r>
      <w:r w:rsidRPr="00607FF5">
        <w:t xml:space="preserve">, </w:t>
      </w:r>
      <w:r>
        <w:rPr>
          <w:lang w:val="cs-CZ"/>
        </w:rPr>
        <w:t xml:space="preserve">OHI 1, </w:t>
      </w:r>
      <w:r w:rsidRPr="00607FF5">
        <w:t>79</w:t>
      </w:r>
      <w:r>
        <w:fldChar w:fldCharType="begin"/>
      </w:r>
      <w:r>
        <w:instrText xml:space="preserve"> XE "</w:instrText>
      </w:r>
      <w:r>
        <w:rPr>
          <w:lang w:val="cs-CZ"/>
        </w:rPr>
        <w:instrText>Bacon:</w:instrText>
      </w:r>
      <w:r w:rsidRPr="00B127FC">
        <w:rPr>
          <w:i/>
        </w:rPr>
        <w:instrText>Opus tertium</w:instrText>
      </w:r>
      <w:r>
        <w:instrText xml:space="preserve"> 7</w:instrText>
      </w:r>
      <w:r>
        <w:rPr>
          <w:lang w:val="cs-CZ"/>
        </w:rPr>
        <w:instrText>9</w:instrText>
      </w:r>
      <w:r>
        <w:instrText xml:space="preserve">" </w:instrText>
      </w:r>
      <w:r>
        <w:fldChar w:fldCharType="end"/>
      </w:r>
      <w:r w:rsidRPr="00607FF5">
        <w:t>)</w:t>
      </w:r>
    </w:p>
  </w:footnote>
  <w:footnote w:id="165">
    <w:p w14:paraId="6C505424" w14:textId="77777777" w:rsidR="00CD2817" w:rsidRPr="00BB6E55" w:rsidRDefault="00CD2817" w:rsidP="007231F0">
      <w:pPr>
        <w:pStyle w:val="Textpoznpodarou"/>
      </w:pPr>
      <w:r>
        <w:rPr>
          <w:rStyle w:val="Znakapoznpodarou"/>
        </w:rPr>
        <w:footnoteRef/>
      </w:r>
      <w:r>
        <w:t xml:space="preserve"> „Sed scimus hoc esse falsum; et aliae translationes habent aliter. Et Averroës hoc demonstrat, et planum est.“ (</w:t>
      </w:r>
      <w:r w:rsidRPr="00607FF5">
        <w:rPr>
          <w:i/>
        </w:rPr>
        <w:t>Opus tertium</w:t>
      </w:r>
      <w:r w:rsidRPr="00607FF5">
        <w:t>, cap.</w:t>
      </w:r>
      <w:r>
        <w:t xml:space="preserve"> XXIII</w:t>
      </w:r>
      <w:r>
        <w:rPr>
          <w:lang w:val="cs-CZ"/>
        </w:rPr>
        <w:t xml:space="preserve">; </w:t>
      </w:r>
      <w:r>
        <w:t xml:space="preserve">ed. </w:t>
      </w:r>
      <w:r>
        <w:rPr>
          <w:lang w:val="cs-CZ"/>
        </w:rPr>
        <w:t>Brewer</w:t>
      </w:r>
      <w:r>
        <w:t xml:space="preserve">, </w:t>
      </w:r>
      <w:r>
        <w:rPr>
          <w:lang w:val="cs-CZ"/>
        </w:rPr>
        <w:t xml:space="preserve">OHI 1, </w:t>
      </w:r>
      <w:r>
        <w:t>77</w:t>
      </w:r>
      <w:r>
        <w:fldChar w:fldCharType="begin"/>
      </w:r>
      <w:r>
        <w:instrText xml:space="preserve"> XE "</w:instrText>
      </w:r>
      <w:r>
        <w:rPr>
          <w:lang w:val="cs-CZ"/>
        </w:rPr>
        <w:instrText>Bacon:</w:instrText>
      </w:r>
      <w:r w:rsidRPr="00B127FC">
        <w:rPr>
          <w:i/>
        </w:rPr>
        <w:instrText>Opus tertium</w:instrText>
      </w:r>
      <w:r>
        <w:instrText xml:space="preserve"> 7</w:instrText>
      </w:r>
      <w:r>
        <w:rPr>
          <w:lang w:val="cs-CZ"/>
        </w:rPr>
        <w:instrText>7</w:instrText>
      </w:r>
      <w:r>
        <w:instrText xml:space="preserve">" </w:instrText>
      </w:r>
      <w:r>
        <w:fldChar w:fldCharType="end"/>
      </w:r>
      <w:r>
        <w:t>)</w:t>
      </w:r>
    </w:p>
  </w:footnote>
  <w:footnote w:id="166">
    <w:p w14:paraId="60B8E0D0" w14:textId="77777777" w:rsidR="00CD2817" w:rsidRPr="00FB6B67" w:rsidRDefault="00CD2817" w:rsidP="00214063">
      <w:pPr>
        <w:pStyle w:val="Textpoznpodarou"/>
      </w:pPr>
      <w:r>
        <w:rPr>
          <w:rStyle w:val="Znakapoznpodarou"/>
        </w:rPr>
        <w:footnoteRef/>
      </w:r>
      <w:r>
        <w:t xml:space="preserve"> „Ex sermonibus autem Aristotelis evidenter apparet ipsum Aris</w:t>
      </w:r>
      <w:r>
        <w:rPr>
          <w:lang w:val="cs-CZ"/>
        </w:rPr>
        <w:t>t</w:t>
      </w:r>
      <w:r>
        <w:t>otelem sensisse virtutem nostram intellectivam et ab inferiori, hoc est, a parte sensibilium per spoliationem, quam exposui, et a parte superiori, hoc est, ab inteligentia agente esse illuminabilem.“ (</w:t>
      </w:r>
      <w:r w:rsidRPr="00A97383">
        <w:rPr>
          <w:i/>
        </w:rPr>
        <w:t>De universo</w:t>
      </w:r>
      <w:r>
        <w:rPr>
          <w:i/>
        </w:rPr>
        <w:t xml:space="preserve"> </w:t>
      </w:r>
      <w:r>
        <w:t>2.1.15</w:t>
      </w:r>
      <w:r>
        <w:rPr>
          <w:lang w:val="cs-CZ"/>
        </w:rPr>
        <w:t xml:space="preserve">; </w:t>
      </w:r>
      <w:r>
        <w:t>ed. Le Feron, t. I, p. 822F</w:t>
      </w:r>
      <w:r>
        <w:fldChar w:fldCharType="begin"/>
      </w:r>
      <w:r>
        <w:instrText xml:space="preserve"> XE "</w:instrText>
      </w:r>
      <w:r>
        <w:rPr>
          <w:lang w:val="cs-CZ"/>
        </w:rPr>
        <w:instrText>Alvernus:</w:instrText>
      </w:r>
      <w:r w:rsidRPr="00CF1239">
        <w:rPr>
          <w:i/>
        </w:rPr>
        <w:instrText xml:space="preserve">De universo </w:instrText>
      </w:r>
      <w:r w:rsidRPr="00CF1239">
        <w:instrText>822F</w:instrText>
      </w:r>
      <w:r>
        <w:instrText xml:space="preserve">" </w:instrText>
      </w:r>
      <w:r>
        <w:fldChar w:fldCharType="end"/>
      </w:r>
      <w:r>
        <w:t>)</w:t>
      </w:r>
    </w:p>
  </w:footnote>
  <w:footnote w:id="167">
    <w:p w14:paraId="2F956F98" w14:textId="24C233D5" w:rsidR="00CD2817" w:rsidRPr="000E73F0" w:rsidRDefault="00CD2817" w:rsidP="005C5547">
      <w:pPr>
        <w:pStyle w:val="Textpoznpodarou"/>
      </w:pPr>
      <w:r>
        <w:rPr>
          <w:rStyle w:val="Znakapoznpodarou"/>
        </w:rPr>
        <w:footnoteRef/>
      </w:r>
      <w:r>
        <w:t xml:space="preserve"> Viz Teske 2006, 53–63, kde je přehled všech hypotéz, včetně aut</w:t>
      </w:r>
      <w:r>
        <w:rPr>
          <w:lang w:val="cs-CZ"/>
        </w:rPr>
        <w:t>or</w:t>
      </w:r>
      <w:r>
        <w:t xml:space="preserve">em obhajované teze, že jde o nejmenované citáty z děl Cicera, Boethia, popř. Epikúra a Seneky. </w:t>
      </w:r>
      <w:r>
        <w:rPr>
          <w:lang w:val="cs-CZ"/>
        </w:rPr>
        <w:t xml:space="preserve">Jedna </w:t>
      </w:r>
      <w:r>
        <w:t>pasáž z uvedeného díla již naznačuje jinou možnost: „In one text William refers to 'sophistae Italici, vel Latini'</w:t>
      </w:r>
      <w:r w:rsidRPr="000E73F0">
        <w:t xml:space="preserve"> who have used the </w:t>
      </w:r>
      <w:r w:rsidRPr="000E73F0">
        <w:rPr>
          <w:i/>
        </w:rPr>
        <w:t>de re</w:t>
      </w:r>
      <w:r w:rsidRPr="000E73F0">
        <w:t xml:space="preserve"> and </w:t>
      </w:r>
      <w:r w:rsidRPr="000E73F0">
        <w:rPr>
          <w:i/>
        </w:rPr>
        <w:t>de dicto</w:t>
      </w:r>
      <w:r w:rsidRPr="000E73F0">
        <w:t xml:space="preserve"> distinction; there he probably is referring to thinkers of the immediate past.“ (</w:t>
      </w:r>
      <w:r>
        <w:t xml:space="preserve">Teske 2006, </w:t>
      </w:r>
      <w:r w:rsidRPr="000E73F0">
        <w:t>60)</w:t>
      </w:r>
    </w:p>
  </w:footnote>
  <w:footnote w:id="168">
    <w:p w14:paraId="12E6E081" w14:textId="77777777" w:rsidR="00CD2817" w:rsidRPr="00815E98" w:rsidRDefault="00CD2817" w:rsidP="08782EB0">
      <w:pPr>
        <w:pStyle w:val="Textpoznpodarou"/>
      </w:pPr>
      <w:r>
        <w:rPr>
          <w:rStyle w:val="Znakapoznpodarou"/>
        </w:rPr>
        <w:footnoteRef/>
      </w:r>
      <w:r>
        <w:t xml:space="preserve"> Logické texty </w:t>
      </w:r>
      <w:r>
        <w:rPr>
          <w:lang w:val="cs-CZ"/>
        </w:rPr>
        <w:t>Petra K</w:t>
      </w:r>
      <w:r>
        <w:t>apu</w:t>
      </w:r>
      <w:r>
        <w:rPr>
          <w:lang w:val="cs-CZ"/>
        </w:rPr>
        <w:t>ánského</w:t>
      </w:r>
      <w:r>
        <w:t xml:space="preserve"> viz Iwakuma–Ebbesen 1992, 193–196 (no. 44–45). Pro charakteristickou debatu Williama z Auvergne s </w:t>
      </w:r>
      <w:r>
        <w:rPr>
          <w:lang w:val="cs-CZ"/>
        </w:rPr>
        <w:t>p</w:t>
      </w:r>
      <w:r>
        <w:t xml:space="preserve">orretány ohledně </w:t>
      </w:r>
      <w:r w:rsidRPr="000A1AAF">
        <w:rPr>
          <w:i/>
        </w:rPr>
        <w:t>enuntiabile</w:t>
      </w:r>
      <w:r>
        <w:t xml:space="preserve"> a věčných pravd viz Lewis 1995.</w:t>
      </w:r>
    </w:p>
  </w:footnote>
  <w:footnote w:id="169">
    <w:p w14:paraId="3E3F76E0" w14:textId="77777777" w:rsidR="00CD2817" w:rsidRPr="00F14651" w:rsidRDefault="00CD2817" w:rsidP="0033160B">
      <w:pPr>
        <w:pStyle w:val="Textpoznpodarou"/>
      </w:pPr>
      <w:r>
        <w:rPr>
          <w:rStyle w:val="Znakapoznpodarou"/>
        </w:rPr>
        <w:footnoteRef/>
      </w:r>
      <w:r>
        <w:rPr>
          <w:lang w:val="cs-CZ"/>
        </w:rPr>
        <w:t xml:space="preserve"> „</w:t>
      </w:r>
      <w:r w:rsidRPr="00F14651">
        <w:t>Si dicas, sicut dicunt Nominales, quia quod semel est verum semper erit verum, secundum eos dicendum erit quod Habraham credidit Christum esse natum, et quod Habraham non credidit Christum esse nasciturum, quia Christum esse nasciturum se</w:t>
      </w:r>
      <w:r>
        <w:t>cundum eos semper fuit falsum</w:t>
      </w:r>
      <w:r>
        <w:rPr>
          <w:lang w:val="cs-CZ"/>
        </w:rPr>
        <w:t>..</w:t>
      </w:r>
      <w:r>
        <w:t>.</w:t>
      </w:r>
      <w:r>
        <w:rPr>
          <w:lang w:val="cs-CZ"/>
        </w:rPr>
        <w:t>“</w:t>
      </w:r>
      <w:r>
        <w:t xml:space="preserve"> </w:t>
      </w:r>
      <w:r w:rsidRPr="00F14651">
        <w:t>(</w:t>
      </w:r>
      <w:r>
        <w:t>Petrus Capuanus</w:t>
      </w:r>
      <w:r>
        <w:rPr>
          <w:lang w:val="cs-CZ"/>
        </w:rPr>
        <w:t xml:space="preserve">, </w:t>
      </w:r>
      <w:r w:rsidRPr="00F14651">
        <w:rPr>
          <w:i/>
        </w:rPr>
        <w:t>Summa</w:t>
      </w:r>
      <w:r>
        <w:rPr>
          <w:lang w:val="cs-CZ"/>
        </w:rPr>
        <w:t xml:space="preserve">; </w:t>
      </w:r>
      <w:r>
        <w:t>cit. podle Courtenay 2008, 55).</w:t>
      </w:r>
    </w:p>
  </w:footnote>
  <w:footnote w:id="170">
    <w:p w14:paraId="23C04A31" w14:textId="77777777" w:rsidR="00CD2817" w:rsidRPr="001656EA" w:rsidRDefault="00CD2817" w:rsidP="001A7F6A">
      <w:pPr>
        <w:pStyle w:val="Textpoznpodarou"/>
      </w:pPr>
      <w:r>
        <w:rPr>
          <w:rStyle w:val="Znakapoznpodarou"/>
        </w:rPr>
        <w:footnoteRef/>
      </w:r>
      <w:r>
        <w:rPr>
          <w:lang w:val="cs-CZ"/>
        </w:rPr>
        <w:t xml:space="preserve"> </w:t>
      </w:r>
      <w:r>
        <w:t>„</w:t>
      </w:r>
      <w:r w:rsidRPr="001656EA">
        <w:t xml:space="preserve">For example, the way in which the author deals with the rule </w:t>
      </w:r>
      <w:r w:rsidRPr="001656EA">
        <w:rPr>
          <w:i/>
        </w:rPr>
        <w:t>ex impossibili sequitur quidlibet</w:t>
      </w:r>
      <w:r w:rsidRPr="001656EA">
        <w:t xml:space="preserve"> (which he agrees with) and the scope of the term </w:t>
      </w:r>
      <w:r w:rsidRPr="001656EA">
        <w:rPr>
          <w:i/>
        </w:rPr>
        <w:t>necessario</w:t>
      </w:r>
      <w:r w:rsidRPr="001656EA">
        <w:t xml:space="preserve"> - 'to be necessary' (</w:t>
      </w:r>
      <w:r w:rsidRPr="001656EA">
        <w:rPr>
          <w:i/>
        </w:rPr>
        <w:t>necesse esse</w:t>
      </w:r>
      <w:r w:rsidRPr="001656EA">
        <w:t>) is subordinate to 'to be' (</w:t>
      </w:r>
      <w:r w:rsidRPr="001656EA">
        <w:rPr>
          <w:i/>
        </w:rPr>
        <w:t>esse</w:t>
      </w:r>
      <w:r w:rsidRPr="001656EA">
        <w:t>) - are very similar t</w:t>
      </w:r>
      <w:r>
        <w:t xml:space="preserve">o the positions held by John le </w:t>
      </w:r>
      <w:r w:rsidRPr="001656EA">
        <w:t>Page and Nicholas of Paris, contrary to those of Peter of Spain and Henry of Ghent.</w:t>
      </w:r>
      <w:r>
        <w:t>“ (</w:t>
      </w:r>
      <w:r w:rsidRPr="00C11D24">
        <w:rPr>
          <w:rStyle w:val="fn"/>
          <w:i/>
        </w:rPr>
        <w:t>Matthew of Orleans</w:t>
      </w:r>
      <w:r>
        <w:rPr>
          <w:rStyle w:val="fn"/>
        </w:rPr>
        <w:t xml:space="preserve">: </w:t>
      </w:r>
      <w:r w:rsidRPr="00273106">
        <w:rPr>
          <w:rStyle w:val="Podtitul1"/>
          <w:i/>
        </w:rPr>
        <w:t>Sophistaria</w:t>
      </w:r>
      <w:r>
        <w:rPr>
          <w:lang w:val="cs-CZ"/>
        </w:rPr>
        <w:t xml:space="preserve">; ed. by </w:t>
      </w:r>
      <w:r>
        <w:rPr>
          <w:rStyle w:val="Podtitul1"/>
        </w:rPr>
        <w:t>Spruyt 2001, 4</w:t>
      </w:r>
      <w:r>
        <w:t>)</w:t>
      </w:r>
    </w:p>
  </w:footnote>
  <w:footnote w:id="171">
    <w:p w14:paraId="22EAF2F9" w14:textId="77777777" w:rsidR="00CD2817" w:rsidRPr="0056049C" w:rsidRDefault="00CD2817" w:rsidP="00B25305">
      <w:pPr>
        <w:pStyle w:val="Textpoznpodarou"/>
      </w:pPr>
      <w:r>
        <w:rPr>
          <w:rStyle w:val="Znakapoznpodarou"/>
        </w:rPr>
        <w:footnoteRef/>
      </w:r>
      <w:r>
        <w:t xml:space="preserve"> „Eorem modo res intelligibiles secundem errorem istum non cognoscentur, sive apprehendentur nisi applicatione intellectus nostri materialis ad intelligentiam agentem, sive a converso.“ (</w:t>
      </w:r>
      <w:r w:rsidRPr="00D751ED">
        <w:rPr>
          <w:i/>
        </w:rPr>
        <w:t xml:space="preserve">Guilielmi </w:t>
      </w:r>
      <w:r>
        <w:rPr>
          <w:i/>
        </w:rPr>
        <w:t>De anima</w:t>
      </w:r>
      <w:r>
        <w:t xml:space="preserve"> V.8</w:t>
      </w:r>
      <w:r>
        <w:rPr>
          <w:lang w:val="cs-CZ"/>
        </w:rPr>
        <w:t>;</w:t>
      </w:r>
      <w:r>
        <w:t xml:space="preserve"> ed. Le Feron, p. 123</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instrText>1</w:instrText>
      </w:r>
      <w:r>
        <w:rPr>
          <w:lang w:val="cs-CZ"/>
        </w:rPr>
        <w:instrText>2</w:instrText>
      </w:r>
      <w:r w:rsidRPr="00371269">
        <w:instrText>3</w:instrText>
      </w:r>
      <w:r>
        <w:instrText xml:space="preserve">" </w:instrText>
      </w:r>
      <w:r>
        <w:fldChar w:fldCharType="end"/>
      </w:r>
      <w:r>
        <w:t>)</w:t>
      </w:r>
    </w:p>
  </w:footnote>
  <w:footnote w:id="172">
    <w:p w14:paraId="2A7804A3" w14:textId="77777777" w:rsidR="00CD2817" w:rsidRPr="002C7499" w:rsidRDefault="00CD2817" w:rsidP="00B06C79">
      <w:pPr>
        <w:pStyle w:val="Textpoznpodarou"/>
      </w:pPr>
      <w:r>
        <w:rPr>
          <w:rStyle w:val="Znakapoznpodarou"/>
        </w:rPr>
        <w:footnoteRef/>
      </w:r>
      <w:r>
        <w:t xml:space="preserve"> „</w:t>
      </w:r>
      <w:r>
        <w:rPr>
          <w:lang w:val="cs-CZ"/>
        </w:rPr>
        <w:t>N</w:t>
      </w:r>
      <w:r w:rsidRPr="002C7499">
        <w:t>ihil amplius ad inscriptionem suam potens nisi quod charta vel pergamena aut tabula rasa</w:t>
      </w:r>
      <w:r>
        <w:fldChar w:fldCharType="begin"/>
      </w:r>
      <w:r>
        <w:instrText xml:space="preserve"> XE "</w:instrText>
      </w:r>
      <w:r w:rsidRPr="00CE6D17">
        <w:rPr>
          <w:i/>
        </w:rPr>
        <w:instrText>tabula rasa</w:instrText>
      </w:r>
      <w:r>
        <w:instrText xml:space="preserve">" </w:instrText>
      </w:r>
      <w:r>
        <w:fldChar w:fldCharType="end"/>
      </w:r>
      <w:r w:rsidRPr="002C7499">
        <w:t xml:space="preserve">.“ </w:t>
      </w:r>
      <w:r>
        <w:t>(</w:t>
      </w:r>
      <w:r w:rsidRPr="002C7499">
        <w:rPr>
          <w:i/>
        </w:rPr>
        <w:t xml:space="preserve">Guilielmi </w:t>
      </w:r>
      <w:r>
        <w:rPr>
          <w:i/>
        </w:rPr>
        <w:t>De anima</w:t>
      </w:r>
      <w:r w:rsidRPr="002C7499">
        <w:t xml:space="preserve"> VII.9</w:t>
      </w:r>
      <w:r>
        <w:rPr>
          <w:lang w:val="cs-CZ"/>
        </w:rPr>
        <w:t>;</w:t>
      </w:r>
      <w:r w:rsidRPr="002C7499">
        <w:t xml:space="preserve"> </w:t>
      </w:r>
      <w:r>
        <w:t xml:space="preserve">ed. Le Feron, </w:t>
      </w:r>
      <w:r w:rsidRPr="002C7499">
        <w:t>p. 216</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216</w:instrText>
      </w:r>
      <w:r>
        <w:instrText xml:space="preserve">" </w:instrText>
      </w:r>
      <w:r>
        <w:fldChar w:fldCharType="end"/>
      </w:r>
      <w:r>
        <w:t>)</w:t>
      </w:r>
    </w:p>
  </w:footnote>
  <w:footnote w:id="173">
    <w:p w14:paraId="5956B44F" w14:textId="77777777" w:rsidR="00CD2817" w:rsidRPr="001966D1" w:rsidRDefault="00CD2817" w:rsidP="00DC53FC">
      <w:pPr>
        <w:pStyle w:val="Textpoznpodarou"/>
      </w:pPr>
      <w:r>
        <w:rPr>
          <w:rStyle w:val="Znakapoznpodarou"/>
        </w:rPr>
        <w:footnoteRef/>
      </w:r>
      <w:r>
        <w:t xml:space="preserve"> „Cum sensus illuminetur ad cognitionem sensibilem per solam similitudinem formae sensibilis, quae imprimitur in organo sensus; quanto fortius per solam formam intelligibilem illuminabitur ad cognitionem intelligibilem noster intellectus. Id ergo, quod imprimit intelligentia agens virtuti nostrae intellectivae, non est, nisi forma intelligibilis et similitudo intellecti, hoc est, rei, quae intelligitur.“  (</w:t>
      </w:r>
      <w:r w:rsidRPr="00A97383">
        <w:rPr>
          <w:i/>
        </w:rPr>
        <w:t>De universo</w:t>
      </w:r>
      <w:r>
        <w:rPr>
          <w:i/>
        </w:rPr>
        <w:t xml:space="preserve"> </w:t>
      </w:r>
      <w:r>
        <w:t>2.1.16</w:t>
      </w:r>
      <w:r>
        <w:rPr>
          <w:lang w:val="cs-CZ"/>
        </w:rPr>
        <w:t>;</w:t>
      </w:r>
      <w:r>
        <w:t xml:space="preserve"> ed. Le Feron, t. I, p. 825A</w:t>
      </w:r>
      <w:r>
        <w:fldChar w:fldCharType="begin"/>
      </w:r>
      <w:r>
        <w:instrText xml:space="preserve"> XE "</w:instrText>
      </w:r>
      <w:r>
        <w:rPr>
          <w:lang w:val="cs-CZ"/>
        </w:rPr>
        <w:instrText>Alvernus:</w:instrText>
      </w:r>
      <w:r w:rsidRPr="00FE219C">
        <w:rPr>
          <w:i/>
        </w:rPr>
        <w:instrText>De universo</w:instrText>
      </w:r>
      <w:r w:rsidRPr="00FE219C">
        <w:instrText xml:space="preserve"> 825A</w:instrText>
      </w:r>
      <w:r>
        <w:instrText xml:space="preserve">" </w:instrText>
      </w:r>
      <w:r>
        <w:fldChar w:fldCharType="end"/>
      </w:r>
      <w:r>
        <w:t>)</w:t>
      </w:r>
    </w:p>
  </w:footnote>
  <w:footnote w:id="174">
    <w:p w14:paraId="6E502565" w14:textId="77777777" w:rsidR="00CD2817" w:rsidRPr="00660B4A" w:rsidRDefault="00CD2817" w:rsidP="004E36E2">
      <w:pPr>
        <w:pStyle w:val="Textpoznpodarou"/>
      </w:pPr>
      <w:r>
        <w:rPr>
          <w:rStyle w:val="Znakapoznpodarou"/>
        </w:rPr>
        <w:footnoteRef/>
      </w:r>
      <w:r>
        <w:t xml:space="preserve"> „Revertar autem ad hoc, ut prosequar, quod incoepi de opinione Aristotelis circa intelligentiam agentem; dico igitur, quoniam non est ea virtus in sole visibili, ut in speculo vitreo, vel cujuscunque alterius materiae faciat relucere in affectu per se, hoc est sola superfusione lucis suae, aliquam formam sensibilem. Non erit igitur in intelligentia agente ex sola causa hujusmodi, ut faciat relucere in speculo virtutis nostrae intellectivae formam aliquam intelligibilem.“ (</w:t>
      </w:r>
      <w:r w:rsidRPr="00A97383">
        <w:rPr>
          <w:i/>
        </w:rPr>
        <w:t>De universo</w:t>
      </w:r>
      <w:r>
        <w:rPr>
          <w:i/>
        </w:rPr>
        <w:t xml:space="preserve"> </w:t>
      </w:r>
      <w:r>
        <w:t>2.1.14</w:t>
      </w:r>
      <w:r>
        <w:rPr>
          <w:lang w:val="cs-CZ"/>
        </w:rPr>
        <w:t>;</w:t>
      </w:r>
      <w:r>
        <w:t xml:space="preserve"> ed. Le Feron, t. I, p. 822F</w:t>
      </w:r>
      <w:r>
        <w:fldChar w:fldCharType="begin"/>
      </w:r>
      <w:r>
        <w:instrText xml:space="preserve"> XE "</w:instrText>
      </w:r>
      <w:r>
        <w:rPr>
          <w:lang w:val="cs-CZ"/>
        </w:rPr>
        <w:instrText>Alvernus:</w:instrText>
      </w:r>
      <w:r w:rsidRPr="00FE219C">
        <w:rPr>
          <w:i/>
        </w:rPr>
        <w:instrText>De universo</w:instrText>
      </w:r>
      <w:r>
        <w:instrText xml:space="preserve"> 82</w:instrText>
      </w:r>
      <w:r>
        <w:rPr>
          <w:lang w:val="cs-CZ"/>
        </w:rPr>
        <w:instrText>2F</w:instrText>
      </w:r>
      <w:r>
        <w:instrText xml:space="preserve">" </w:instrText>
      </w:r>
      <w:r>
        <w:fldChar w:fldCharType="end"/>
      </w:r>
      <w:r>
        <w:t>)</w:t>
      </w:r>
    </w:p>
  </w:footnote>
  <w:footnote w:id="175">
    <w:p w14:paraId="13B786B6" w14:textId="77777777" w:rsidR="00CD2817" w:rsidRPr="003E0520" w:rsidRDefault="00CD2817" w:rsidP="08A9757C">
      <w:pPr>
        <w:pStyle w:val="Textpoznpodarou"/>
      </w:pPr>
      <w:r>
        <w:rPr>
          <w:rStyle w:val="Znakapoznpodarou"/>
        </w:rPr>
        <w:footnoteRef/>
      </w:r>
      <w:r>
        <w:rPr>
          <w:lang w:val="cs-CZ"/>
        </w:rPr>
        <w:t xml:space="preserve"> „</w:t>
      </w:r>
      <w:r>
        <w:t>Yet whoever its author was, he assuredly wrote in the first decades of the thirteenth century and moved in the same intellectual circles as William of Auvergne.</w:t>
      </w:r>
      <w:r>
        <w:rPr>
          <w:lang w:val="cs-CZ"/>
        </w:rPr>
        <w:t>“ (</w:t>
      </w:r>
      <w:r w:rsidRPr="00675E1E">
        <w:rPr>
          <w:i/>
        </w:rPr>
        <w:t>De potenciis animae et obiectis</w:t>
      </w:r>
      <w:r>
        <w:rPr>
          <w:lang w:val="cs-CZ"/>
        </w:rPr>
        <w:t xml:space="preserve">; </w:t>
      </w:r>
      <w:r>
        <w:t>ed. Callus,</w:t>
      </w:r>
      <w:r>
        <w:rPr>
          <w:lang w:val="cs-CZ"/>
        </w:rPr>
        <w:t xml:space="preserve"> p. 140</w:t>
      </w:r>
      <w:r>
        <w:rPr>
          <w:lang w:val="cs-CZ"/>
        </w:rPr>
        <w:fldChar w:fldCharType="begin"/>
      </w:r>
      <w:r>
        <w:instrText xml:space="preserve"> XE "</w:instrText>
      </w:r>
      <w:r w:rsidRPr="08326432">
        <w:rPr>
          <w:i/>
        </w:rPr>
        <w:instrText>De potenciis animae et obiectis</w:instrText>
      </w:r>
      <w:r>
        <w:rPr>
          <w:lang w:val="cs-CZ"/>
        </w:rPr>
        <w:instrText xml:space="preserve"> </w:instrText>
      </w:r>
      <w:r w:rsidRPr="08326432">
        <w:rPr>
          <w:lang w:val="cs-CZ"/>
        </w:rPr>
        <w:instrText>140</w:instrText>
      </w:r>
      <w:r>
        <w:instrText xml:space="preserve">" </w:instrText>
      </w:r>
      <w:r>
        <w:rPr>
          <w:lang w:val="cs-CZ"/>
        </w:rPr>
        <w:fldChar w:fldCharType="end"/>
      </w:r>
      <w:r>
        <w:rPr>
          <w:lang w:val="cs-CZ"/>
        </w:rPr>
        <w:t>)</w:t>
      </w:r>
      <w:r>
        <w:t xml:space="preserve">. </w:t>
      </w:r>
    </w:p>
  </w:footnote>
  <w:footnote w:id="176">
    <w:p w14:paraId="02B7A0B4" w14:textId="77777777" w:rsidR="00CD2817" w:rsidRPr="00D14536" w:rsidRDefault="00CD2817" w:rsidP="08152DD9">
      <w:pPr>
        <w:pStyle w:val="Textpoznpodarou"/>
      </w:pPr>
      <w:r>
        <w:rPr>
          <w:rStyle w:val="Znakapoznpodarou"/>
        </w:rPr>
        <w:footnoteRef/>
      </w:r>
      <w:r>
        <w:t xml:space="preserve"> „</w:t>
      </w:r>
      <w:r w:rsidRPr="000F7612">
        <w:t>Sed numquid et permittis ut ipse intellectus de se natura exprimat</w:t>
      </w:r>
      <w:r>
        <w:t xml:space="preserve"> </w:t>
      </w:r>
      <w:r w:rsidRPr="000F7612">
        <w:t>suam propriam ideam in se ipso speculo, est enim ipse intellectus</w:t>
      </w:r>
      <w:r>
        <w:t xml:space="preserve"> </w:t>
      </w:r>
      <w:r w:rsidRPr="000F7612">
        <w:t>natura vel ens causatum? Unde et obiectum esse potest a quo</w:t>
      </w:r>
      <w:r>
        <w:t xml:space="preserve"> </w:t>
      </w:r>
      <w:r w:rsidRPr="000F7612">
        <w:t>irradietur idolum, et est ipse idem etiam speculum. Unde et</w:t>
      </w:r>
      <w:r>
        <w:t xml:space="preserve"> </w:t>
      </w:r>
      <w:r w:rsidRPr="000F7612">
        <w:t>idoli vel ideae susceptivum, et tamen ipse non est receptivus ideae</w:t>
      </w:r>
      <w:r>
        <w:t xml:space="preserve"> </w:t>
      </w:r>
      <w:r w:rsidRPr="000F7612">
        <w:t>abstractae nisi per naturam suae materiae spiritualis.</w:t>
      </w:r>
      <w:r>
        <w:rPr>
          <w:szCs w:val="15"/>
        </w:rPr>
        <w:t>“ (</w:t>
      </w:r>
      <w:r w:rsidRPr="009A3FC4">
        <w:rPr>
          <w:i/>
        </w:rPr>
        <w:t>Contra Averroem</w:t>
      </w:r>
      <w:r>
        <w:rPr>
          <w:lang w:val="cs-CZ"/>
        </w:rPr>
        <w:t xml:space="preserve">, cap. </w:t>
      </w:r>
      <w:r>
        <w:t>I</w:t>
      </w:r>
      <w:r>
        <w:rPr>
          <w:rStyle w:val="TextpoznpodarouChar"/>
          <w:lang w:val="cs-CZ"/>
        </w:rPr>
        <w:t xml:space="preserve">; </w:t>
      </w:r>
      <w:r>
        <w:rPr>
          <w:rStyle w:val="TextpoznpodarouChar"/>
        </w:rPr>
        <w:t xml:space="preserve">ed. Wood&amp;Nonne,  </w:t>
      </w:r>
      <w:r>
        <w:rPr>
          <w:rStyle w:val="TextpoznpodarouChar"/>
          <w:lang w:val="cs-CZ"/>
        </w:rPr>
        <w:t xml:space="preserve">p.  </w:t>
      </w:r>
      <w:r>
        <w:rPr>
          <w:rStyle w:val="TextpoznpodarouChar"/>
        </w:rPr>
        <w:t>36.778‒83</w:t>
      </w:r>
      <w:r>
        <w:rPr>
          <w:rStyle w:val="TextpoznpodarouChar"/>
        </w:rPr>
        <w:fldChar w:fldCharType="begin"/>
      </w:r>
      <w:r>
        <w:instrText xml:space="preserve"> XE "</w:instrText>
      </w:r>
      <w:r>
        <w:rPr>
          <w:lang w:val="cs-CZ"/>
        </w:rPr>
        <w:instrText>Rufus:</w:instrText>
      </w:r>
      <w:r w:rsidRPr="087F0B03">
        <w:rPr>
          <w:i/>
        </w:rPr>
        <w:instrText>Contra Averroem</w:instrText>
      </w:r>
      <w:r w:rsidRPr="087F0B03">
        <w:rPr>
          <w:rStyle w:val="TextpoznpodarouChar"/>
          <w:lang w:val="cs-CZ"/>
        </w:rPr>
        <w:instrText xml:space="preserve"> </w:instrText>
      </w:r>
      <w:r w:rsidRPr="087F0B03">
        <w:rPr>
          <w:rStyle w:val="TextpoznpodarouChar"/>
        </w:rPr>
        <w:instrText>36.778‒83</w:instrText>
      </w:r>
      <w:r>
        <w:instrText xml:space="preserve">" </w:instrText>
      </w:r>
      <w:r>
        <w:rPr>
          <w:rStyle w:val="TextpoznpodarouChar"/>
        </w:rPr>
        <w:fldChar w:fldCharType="end"/>
      </w:r>
      <w:r>
        <w:rPr>
          <w:rStyle w:val="TextpoznpodarouChar"/>
        </w:rPr>
        <w:t>)</w:t>
      </w:r>
    </w:p>
  </w:footnote>
  <w:footnote w:id="177">
    <w:p w14:paraId="599CCFCA" w14:textId="77777777" w:rsidR="00CD2817" w:rsidRPr="00FA79CD" w:rsidRDefault="00CD2817" w:rsidP="00816481">
      <w:pPr>
        <w:pStyle w:val="Textpoznpodarou"/>
      </w:pPr>
      <w:r>
        <w:rPr>
          <w:rStyle w:val="Znakapoznpodarou"/>
        </w:rPr>
        <w:footnoteRef/>
      </w:r>
      <w:r>
        <w:t xml:space="preserve"> „Secunda autem intendo huius, quod est esse, est illud, quod dicitur per hoc verbum 'est' de unoquoque, et est praeter uniuscuiusque rationem. </w:t>
      </w:r>
      <w:r w:rsidRPr="00FA79CD">
        <w:t>In nullius namque ratione accipitur esse;</w:t>
      </w:r>
      <w:r>
        <w:t xml:space="preserve"> quidquid enim imaginati fuerimus, sive hominem, sive asinum, sive aliud, in ratione eius esse non intelligimus, eo solo excepto, de quo esse essentialiter dicitur; eius namque essentia nisi per ipsum esse intelligi non potest, cum ipsa et eius esse omnimodo sint una res.“ (</w:t>
      </w:r>
      <w:r w:rsidRPr="00FD27B9">
        <w:rPr>
          <w:i/>
        </w:rPr>
        <w:t>De trinitate</w:t>
      </w:r>
      <w:r>
        <w:t xml:space="preserve"> 2</w:t>
      </w:r>
      <w:r>
        <w:rPr>
          <w:lang w:val="cs-CZ"/>
        </w:rPr>
        <w:t xml:space="preserve">; </w:t>
      </w:r>
      <w:r>
        <w:t>ed. Switalski, p. 21</w:t>
      </w:r>
      <w:r>
        <w:rPr>
          <w:lang w:val="cs-CZ"/>
        </w:rPr>
        <w:t>.56‒62</w:t>
      </w:r>
      <w:r>
        <w:fldChar w:fldCharType="begin"/>
      </w:r>
      <w:r>
        <w:instrText xml:space="preserve"> XE "</w:instrText>
      </w:r>
      <w:r>
        <w:rPr>
          <w:lang w:val="cs-CZ"/>
        </w:rPr>
        <w:instrText>Alvernus:</w:instrText>
      </w:r>
      <w:r w:rsidRPr="00FD27B9">
        <w:rPr>
          <w:i/>
        </w:rPr>
        <w:instrText>De trinitate</w:instrText>
      </w:r>
      <w:r>
        <w:instrText xml:space="preserve"> 21</w:instrText>
      </w:r>
      <w:r>
        <w:rPr>
          <w:lang w:val="cs-CZ"/>
        </w:rPr>
        <w:instrText>.56‒62</w:instrText>
      </w:r>
      <w:r>
        <w:instrText xml:space="preserve"> " </w:instrText>
      </w:r>
      <w:r>
        <w:fldChar w:fldCharType="end"/>
      </w:r>
      <w:r>
        <w:t>).</w:t>
      </w:r>
    </w:p>
  </w:footnote>
  <w:footnote w:id="178">
    <w:p w14:paraId="6FDC4D47" w14:textId="77777777" w:rsidR="00CD2817" w:rsidRPr="002D1FB4" w:rsidRDefault="00CD2817" w:rsidP="008B3387">
      <w:pPr>
        <w:pStyle w:val="Textpoznpodarou"/>
        <w:rPr>
          <w:lang w:val="cs-CZ"/>
        </w:rPr>
      </w:pPr>
      <w:r>
        <w:rPr>
          <w:rStyle w:val="Znakapoznpodarou"/>
        </w:rPr>
        <w:footnoteRef/>
      </w:r>
      <w:r>
        <w:t xml:space="preserve"> </w:t>
      </w:r>
      <w:r>
        <w:rPr>
          <w:lang w:val="cs-CZ"/>
        </w:rPr>
        <w:t>„N</w:t>
      </w:r>
      <w:r w:rsidRPr="00C616EA">
        <w:t>on est possibile animam intelligere sine phantasmate, et intendo sine signo vel forma intelligibili</w:t>
      </w:r>
      <w:r>
        <w:rPr>
          <w:lang w:val="cs-CZ"/>
        </w:rPr>
        <w:t>.“ (</w:t>
      </w:r>
      <w:r w:rsidRPr="00D751ED">
        <w:rPr>
          <w:i/>
        </w:rPr>
        <w:t xml:space="preserve">Guilielmi </w:t>
      </w:r>
      <w:r>
        <w:rPr>
          <w:i/>
        </w:rPr>
        <w:t>De anima</w:t>
      </w:r>
      <w:r>
        <w:t xml:space="preserve"> VII.</w:t>
      </w:r>
      <w:r>
        <w:rPr>
          <w:lang w:val="cs-CZ"/>
        </w:rPr>
        <w:t>6;</w:t>
      </w:r>
      <w:r w:rsidRPr="00273106">
        <w:t xml:space="preserve"> </w:t>
      </w:r>
      <w:r>
        <w:rPr>
          <w:lang w:val="cs-CZ"/>
        </w:rPr>
        <w:t xml:space="preserve">ed. Le Feron, </w:t>
      </w:r>
      <w:r w:rsidRPr="00273106">
        <w:t>p. 211</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211</w:instrText>
      </w:r>
      <w:r>
        <w:instrText xml:space="preserve">" </w:instrText>
      </w:r>
      <w:r>
        <w:fldChar w:fldCharType="end"/>
      </w:r>
      <w:r w:rsidRPr="00273106">
        <w:t>)</w:t>
      </w:r>
    </w:p>
  </w:footnote>
  <w:footnote w:id="179">
    <w:p w14:paraId="718D85EA" w14:textId="77777777" w:rsidR="00CD2817" w:rsidRPr="00692F94" w:rsidRDefault="00CD2817" w:rsidP="00D46859">
      <w:pPr>
        <w:pStyle w:val="Textpoznpodarou"/>
      </w:pPr>
      <w:r>
        <w:rPr>
          <w:rStyle w:val="Znakapoznpodarou"/>
        </w:rPr>
        <w:footnoteRef/>
      </w:r>
      <w:r>
        <w:t xml:space="preserve"> „Amplius si vere correlativa sunt intellectus agens, et intellectus patiens sive materialis, et vere contrarii, sicut et nominationes ipsorum ostendunt, necesse est ut quemadmodum intellectus materialis omnes formas intelligibiles naturaliter habet in potentia tantum, sic intellectum agentem necesse est naturaliter habere in se in effectu omnes formas intelligibiles.“ (</w:t>
      </w:r>
      <w:r w:rsidRPr="00D751ED">
        <w:rPr>
          <w:i/>
        </w:rPr>
        <w:t xml:space="preserve">Guilielmi </w:t>
      </w:r>
      <w:r>
        <w:rPr>
          <w:i/>
        </w:rPr>
        <w:t>De anima</w:t>
      </w:r>
      <w:r>
        <w:rPr>
          <w:lang w:val="cs-CZ"/>
        </w:rPr>
        <w:t xml:space="preserve"> </w:t>
      </w:r>
      <w:r>
        <w:t>VII.4</w:t>
      </w:r>
      <w:r>
        <w:rPr>
          <w:lang w:val="cs-CZ"/>
        </w:rPr>
        <w:t xml:space="preserve">; </w:t>
      </w:r>
      <w:r>
        <w:t>ed. Le Feron, p. 207</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207</w:instrText>
      </w:r>
      <w:r>
        <w:instrText xml:space="preserve">" </w:instrText>
      </w:r>
      <w:r>
        <w:fldChar w:fldCharType="end"/>
      </w:r>
      <w:r>
        <w:t>)</w:t>
      </w:r>
    </w:p>
  </w:footnote>
  <w:footnote w:id="180">
    <w:p w14:paraId="5D575C37" w14:textId="77777777" w:rsidR="00CD2817" w:rsidRPr="00377C12" w:rsidRDefault="00CD2817" w:rsidP="004E36E2">
      <w:pPr>
        <w:pStyle w:val="Textpoznpodarou"/>
      </w:pPr>
      <w:r>
        <w:rPr>
          <w:rStyle w:val="Znakapoznpodarou"/>
        </w:rPr>
        <w:footnoteRef/>
      </w:r>
      <w:r>
        <w:t xml:space="preserve"> „Quod si dixerit revera anima humana est, et operatur quantum ad vires, quibus membra deserviunt, sed passibilis est, et passiva tantum, et receptiva quantum ad virtutem intellectualem. Dico quod perversissimus est sermo hujusmodi.“ (</w:t>
      </w:r>
      <w:r w:rsidRPr="00D751ED">
        <w:rPr>
          <w:i/>
        </w:rPr>
        <w:t xml:space="preserve">Guilielmi </w:t>
      </w:r>
      <w:r>
        <w:rPr>
          <w:i/>
        </w:rPr>
        <w:t>De anima</w:t>
      </w:r>
      <w:r>
        <w:t xml:space="preserve"> V.8</w:t>
      </w:r>
      <w:r>
        <w:rPr>
          <w:lang w:val="cs-CZ"/>
        </w:rPr>
        <w:t xml:space="preserve">; </w:t>
      </w:r>
      <w:r>
        <w:t>ed. Le Feron, p. 123</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123</w:instrText>
      </w:r>
      <w:r>
        <w:instrText xml:space="preserve">" </w:instrText>
      </w:r>
      <w:r>
        <w:fldChar w:fldCharType="end"/>
      </w:r>
      <w:r>
        <w:t>)</w:t>
      </w:r>
    </w:p>
  </w:footnote>
  <w:footnote w:id="181">
    <w:p w14:paraId="7B798DB5" w14:textId="77777777" w:rsidR="00CD2817" w:rsidRPr="004E1122" w:rsidRDefault="00CD2817" w:rsidP="08764BF5">
      <w:pPr>
        <w:pStyle w:val="Textpoznpodarou"/>
      </w:pPr>
      <w:r>
        <w:rPr>
          <w:rStyle w:val="Znakapoznpodarou"/>
        </w:rPr>
        <w:footnoteRef/>
      </w:r>
      <w:r>
        <w:t xml:space="preserve"> „Intellectum etiam istum agentem videlicet vocaverunt formalem quasi formantem, seu informatem, seu inscribentem, seu imprimentem formas antedictas intellectui materiali.“ (</w:t>
      </w:r>
      <w:r w:rsidRPr="00D751ED">
        <w:rPr>
          <w:i/>
        </w:rPr>
        <w:t xml:space="preserve">Guilielmi </w:t>
      </w:r>
      <w:r>
        <w:rPr>
          <w:i/>
        </w:rPr>
        <w:t>De anima</w:t>
      </w:r>
      <w:r>
        <w:t xml:space="preserve"> VII.1</w:t>
      </w:r>
      <w:r>
        <w:rPr>
          <w:lang w:val="cs-CZ"/>
        </w:rPr>
        <w:t>;</w:t>
      </w:r>
      <w:r>
        <w:t xml:space="preserve"> ed. Le Feron, p. 205</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205</w:instrText>
      </w:r>
      <w:r>
        <w:instrText xml:space="preserve">" </w:instrText>
      </w:r>
      <w:r>
        <w:fldChar w:fldCharType="end"/>
      </w:r>
      <w:r>
        <w:t>)</w:t>
      </w:r>
    </w:p>
  </w:footnote>
  <w:footnote w:id="182">
    <w:p w14:paraId="013E4FE5" w14:textId="77777777" w:rsidR="00CD2817" w:rsidRPr="00E31301" w:rsidRDefault="00CD2817" w:rsidP="00B233AF">
      <w:pPr>
        <w:pStyle w:val="Textpoznpodarou"/>
      </w:pPr>
      <w:r>
        <w:rPr>
          <w:rStyle w:val="Znakapoznpodarou"/>
        </w:rPr>
        <w:footnoteRef/>
      </w:r>
      <w:r>
        <w:t xml:space="preserve"> „Intellectus enim noster hic non apprehendit propie per se particularia, seu singularia, sed universalia tantum, quae sunt genera, et species, et alia communia, que Plato formas, et species abstractas vocasse videtur. (...) Quare non est intelligere intelligibile nisi per actionem ipsius intellectus passibilis, seu receptibilis hujusmodi passionum, et impressionum, sive similitudinis in eodem. Et hoc ipsum sentire visus est Aristoteles, ubi dixit, quod impossibile est intelligi sine phantasmate.“ (</w:t>
      </w:r>
      <w:r w:rsidRPr="00A97383">
        <w:rPr>
          <w:i/>
        </w:rPr>
        <w:t>De universo</w:t>
      </w:r>
      <w:r>
        <w:rPr>
          <w:i/>
        </w:rPr>
        <w:t xml:space="preserve"> </w:t>
      </w:r>
      <w:r>
        <w:t>2.1.14</w:t>
      </w:r>
      <w:r>
        <w:rPr>
          <w:lang w:val="cs-CZ"/>
        </w:rPr>
        <w:t>;</w:t>
      </w:r>
      <w:r>
        <w:t xml:space="preserve"> ed. Le Feron, t. I, p. 821B‒C</w:t>
      </w:r>
      <w:r>
        <w:fldChar w:fldCharType="begin"/>
      </w:r>
      <w:r>
        <w:instrText xml:space="preserve"> XE "</w:instrText>
      </w:r>
      <w:r>
        <w:rPr>
          <w:lang w:val="cs-CZ"/>
        </w:rPr>
        <w:instrText>Alvernus:</w:instrText>
      </w:r>
      <w:r w:rsidRPr="00CF4C6F">
        <w:rPr>
          <w:i/>
        </w:rPr>
        <w:instrText xml:space="preserve"> </w:instrText>
      </w:r>
      <w:r w:rsidRPr="00A97383">
        <w:rPr>
          <w:i/>
        </w:rPr>
        <w:instrText>De universo</w:instrText>
      </w:r>
      <w:r>
        <w:instrText xml:space="preserve"> 821B‒C " </w:instrText>
      </w:r>
      <w:r>
        <w:fldChar w:fldCharType="end"/>
      </w:r>
      <w:r>
        <w:t>)</w:t>
      </w:r>
    </w:p>
  </w:footnote>
  <w:footnote w:id="183">
    <w:p w14:paraId="4E8BB079" w14:textId="77777777" w:rsidR="00CD2817" w:rsidRPr="00CF4C6F" w:rsidRDefault="00CD2817" w:rsidP="009C4037">
      <w:pPr>
        <w:pStyle w:val="Textpoznpodarou"/>
        <w:rPr>
          <w:lang w:val="cs-CZ"/>
        </w:rPr>
      </w:pPr>
      <w:r>
        <w:rPr>
          <w:rStyle w:val="Znakapoznpodarou"/>
        </w:rPr>
        <w:footnoteRef/>
      </w:r>
      <w:r>
        <w:t xml:space="preserve"> „Intellectus igitur nostri, hoc est, intellectiones, quibus sumus intelligentes, non sunt in effectu, nisi passiones, seu similitudines intelligibilium impressae ab eidem intelectui nostro. Agere autem vel imprimere, non potest, quod non est; necesse igitur est intelligibilia esse, quae hujusmodi similitudines, seu passiones imprimunt in intellectu nostro.“ (</w:t>
      </w:r>
      <w:r w:rsidRPr="00A97383">
        <w:rPr>
          <w:i/>
        </w:rPr>
        <w:t>De universo</w:t>
      </w:r>
      <w:r>
        <w:rPr>
          <w:i/>
        </w:rPr>
        <w:t xml:space="preserve"> </w:t>
      </w:r>
      <w:r>
        <w:t>2.1.14</w:t>
      </w:r>
      <w:r>
        <w:rPr>
          <w:lang w:val="cs-CZ"/>
        </w:rPr>
        <w:t>;</w:t>
      </w:r>
      <w:r>
        <w:t xml:space="preserve"> ed. Le Feron, t. I, p. 821C</w:t>
      </w:r>
      <w:r>
        <w:fldChar w:fldCharType="begin"/>
      </w:r>
      <w:r>
        <w:instrText xml:space="preserve"> XE "</w:instrText>
      </w:r>
      <w:r>
        <w:rPr>
          <w:lang w:val="cs-CZ"/>
        </w:rPr>
        <w:instrText>Alvernus:</w:instrText>
      </w:r>
      <w:r w:rsidRPr="00CF4C6F">
        <w:rPr>
          <w:i/>
        </w:rPr>
        <w:instrText xml:space="preserve"> </w:instrText>
      </w:r>
      <w:r w:rsidRPr="00A97383">
        <w:rPr>
          <w:i/>
        </w:rPr>
        <w:instrText>De universo</w:instrText>
      </w:r>
      <w:r>
        <w:instrText xml:space="preserve"> 821C" </w:instrText>
      </w:r>
      <w:r>
        <w:fldChar w:fldCharType="end"/>
      </w:r>
      <w:r>
        <w:t>)</w:t>
      </w:r>
    </w:p>
  </w:footnote>
  <w:footnote w:id="184">
    <w:p w14:paraId="5FFDF935" w14:textId="77777777" w:rsidR="00CD2817" w:rsidRPr="00E60AC7" w:rsidRDefault="00CD2817" w:rsidP="00B233AF">
      <w:pPr>
        <w:pStyle w:val="Textpoznpodarou"/>
        <w:rPr>
          <w:rFonts w:eastAsia="Code2000"/>
        </w:rPr>
      </w:pPr>
      <w:r>
        <w:rPr>
          <w:rStyle w:val="Znakapoznpodarou"/>
        </w:rPr>
        <w:footnoteRef/>
      </w:r>
      <w:r>
        <w:t xml:space="preserve"> </w:t>
      </w:r>
      <w:r>
        <w:rPr>
          <w:rFonts w:eastAsia="Code2000"/>
        </w:rPr>
        <w:t xml:space="preserve">„Respondeo </w:t>
      </w:r>
      <w:r>
        <w:rPr>
          <w:rFonts w:eastAsia="Code2000"/>
          <w:lang w:val="cs-CZ"/>
        </w:rPr>
        <w:t>a</w:t>
      </w:r>
      <w:r>
        <w:rPr>
          <w:rFonts w:eastAsia="Code2000"/>
        </w:rPr>
        <w:t>utem hujusmodi homini quia vel concedit animam multam esse sive multiplicem viribus et potentiis, et unam essentialiter, aut concedit unam non esse, sed multas, et nullam earum multum esse sive multiplicem viribus et potentiis.“ (</w:t>
      </w:r>
      <w:r w:rsidRPr="00D751ED">
        <w:rPr>
          <w:i/>
        </w:rPr>
        <w:t xml:space="preserve">Guilielmi </w:t>
      </w:r>
      <w:r>
        <w:rPr>
          <w:i/>
        </w:rPr>
        <w:t>De anima</w:t>
      </w:r>
      <w:r>
        <w:t xml:space="preserve"> IV.3</w:t>
      </w:r>
      <w:r>
        <w:rPr>
          <w:lang w:val="cs-CZ"/>
        </w:rPr>
        <w:t xml:space="preserve">; </w:t>
      </w:r>
      <w:r>
        <w:t>ed. Le Feron, p. 108</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108</w:instrText>
      </w:r>
      <w:r>
        <w:instrText xml:space="preserve">" </w:instrText>
      </w:r>
      <w:r>
        <w:fldChar w:fldCharType="end"/>
      </w:r>
      <w:r>
        <w:rPr>
          <w:rFonts w:eastAsia="Code2000"/>
        </w:rPr>
        <w:t>)</w:t>
      </w:r>
    </w:p>
  </w:footnote>
  <w:footnote w:id="185">
    <w:p w14:paraId="2D4E5719" w14:textId="77777777" w:rsidR="00CD2817" w:rsidRPr="00FF5F45" w:rsidRDefault="00CD2817" w:rsidP="006C08C6">
      <w:pPr>
        <w:pStyle w:val="Textpoznpodarou"/>
      </w:pPr>
      <w:r>
        <w:rPr>
          <w:rStyle w:val="Znakapoznpodarou"/>
        </w:rPr>
        <w:footnoteRef/>
      </w:r>
      <w:r>
        <w:t xml:space="preserve"> „Anima igitur est prout diffinit Aristoteles 'perfectio corporis physici organici potentia vitam habentis'. (p. </w:t>
      </w:r>
      <w:r w:rsidRPr="00121131">
        <w:t>65</w:t>
      </w:r>
      <w:r>
        <w:t>) ...  Quoniam autem dicit Aristoteles in libro de anima quonim corpus quidem materia est, anima vero forma... anima quidem non materia est neque compositum, sed forma.“ (</w:t>
      </w:r>
      <w:r w:rsidRPr="00740FF3">
        <w:rPr>
          <w:i/>
        </w:rPr>
        <w:t>Guil</w:t>
      </w:r>
      <w:r>
        <w:rPr>
          <w:i/>
        </w:rPr>
        <w:t xml:space="preserve">ielmi De anima </w:t>
      </w:r>
      <w:r>
        <w:t>I.2</w:t>
      </w:r>
      <w:r>
        <w:rPr>
          <w:lang w:val="cs-CZ"/>
        </w:rPr>
        <w:t xml:space="preserve">; </w:t>
      </w:r>
      <w:r>
        <w:t>ed. Le Feron, p. 66</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66</w:instrText>
      </w:r>
      <w:r>
        <w:instrText xml:space="preserve">" </w:instrText>
      </w:r>
      <w:r>
        <w:fldChar w:fldCharType="end"/>
      </w:r>
      <w:r>
        <w:t>)</w:t>
      </w:r>
    </w:p>
  </w:footnote>
  <w:footnote w:id="186">
    <w:p w14:paraId="317022B0" w14:textId="77777777" w:rsidR="00CD2817" w:rsidRPr="0042269D" w:rsidRDefault="00CD2817" w:rsidP="00BD17E2">
      <w:pPr>
        <w:pStyle w:val="Textpoznpodarou"/>
      </w:pPr>
      <w:r>
        <w:rPr>
          <w:rStyle w:val="Znakapoznpodarou"/>
        </w:rPr>
        <w:footnoteRef/>
      </w:r>
      <w:r>
        <w:t xml:space="preserve"> „...quoniam Aristoteles, et sequaces ejus solum coelum, id est, partem illam, quae est a luna supra, vel forsitan coelum stellarum fixarum animal esse potuisse videntur, et Avicenna evidenter dicit, quia coelum est animal Deo obediens.“ (</w:t>
      </w:r>
      <w:r w:rsidRPr="00D751ED">
        <w:rPr>
          <w:i/>
        </w:rPr>
        <w:t>De Universo</w:t>
      </w:r>
      <w:r>
        <w:t xml:space="preserve"> 1.3.17</w:t>
      </w:r>
      <w:r>
        <w:rPr>
          <w:lang w:val="cs-CZ"/>
        </w:rPr>
        <w:t xml:space="preserve">; </w:t>
      </w:r>
      <w:r>
        <w:t>ed. Le Feron, t. I, p. 797C</w:t>
      </w:r>
      <w:r>
        <w:fldChar w:fldCharType="begin"/>
      </w:r>
      <w:r>
        <w:instrText xml:space="preserve"> XE "</w:instrText>
      </w:r>
      <w:r>
        <w:rPr>
          <w:lang w:val="cs-CZ"/>
        </w:rPr>
        <w:instrText>Alvernus:</w:instrText>
      </w:r>
      <w:r w:rsidRPr="00A01CCB">
        <w:rPr>
          <w:i/>
        </w:rPr>
        <w:instrText xml:space="preserve"> </w:instrText>
      </w:r>
      <w:r w:rsidRPr="00D751ED">
        <w:rPr>
          <w:i/>
        </w:rPr>
        <w:instrText>De Universo</w:instrText>
      </w:r>
      <w:r>
        <w:instrText xml:space="preserve"> 797C " </w:instrText>
      </w:r>
      <w:r>
        <w:fldChar w:fldCharType="end"/>
      </w:r>
      <w:r>
        <w:t>)</w:t>
      </w:r>
    </w:p>
  </w:footnote>
  <w:footnote w:id="187">
    <w:p w14:paraId="35EF9427" w14:textId="77777777" w:rsidR="00CD2817" w:rsidRPr="005259D4" w:rsidRDefault="00CD2817" w:rsidP="003E3906">
      <w:pPr>
        <w:pStyle w:val="Textpoznpodarou"/>
      </w:pPr>
      <w:r>
        <w:rPr>
          <w:rStyle w:val="Znakapoznpodarou"/>
        </w:rPr>
        <w:footnoteRef/>
      </w:r>
      <w:r>
        <w:t xml:space="preserve"> „Amplius unde somnium istud videlicet ut vis intellectiva duplex sit, sive duas partes habeat, alteram scilicet agentem, quam vocant intellectum agentem, et alteram patientem, et in sensitiva non erit similier duplex, sive duas habens partes alteram scilecet agentem, et alteram patientem?“ (</w:t>
      </w:r>
      <w:r w:rsidRPr="0071006F">
        <w:rPr>
          <w:i/>
        </w:rPr>
        <w:t xml:space="preserve">Guilielmi </w:t>
      </w:r>
      <w:r>
        <w:rPr>
          <w:i/>
        </w:rPr>
        <w:t>De anima</w:t>
      </w:r>
      <w:r>
        <w:t xml:space="preserve"> VII.4</w:t>
      </w:r>
      <w:r>
        <w:rPr>
          <w:lang w:val="cs-CZ"/>
        </w:rPr>
        <w:t>;</w:t>
      </w:r>
      <w:r>
        <w:t xml:space="preserve"> ed. Le Feron, p. 207</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207</w:instrText>
      </w:r>
      <w:r>
        <w:instrText xml:space="preserve">" </w:instrText>
      </w:r>
      <w:r>
        <w:fldChar w:fldCharType="end"/>
      </w:r>
      <w:r>
        <w:t>)</w:t>
      </w:r>
    </w:p>
  </w:footnote>
  <w:footnote w:id="188">
    <w:p w14:paraId="43136A51" w14:textId="77777777" w:rsidR="00CD2817" w:rsidRPr="0071006F" w:rsidRDefault="00CD2817" w:rsidP="003E3906">
      <w:pPr>
        <w:pStyle w:val="Textpoznpodarou"/>
      </w:pPr>
      <w:r>
        <w:rPr>
          <w:rStyle w:val="Znakapoznpodarou"/>
        </w:rPr>
        <w:footnoteRef/>
      </w:r>
      <w:r>
        <w:t xml:space="preserve"> „</w:t>
      </w:r>
      <w:r>
        <w:rPr>
          <w:lang w:val="cs-CZ"/>
        </w:rPr>
        <w:t>T</w:t>
      </w:r>
      <w:r w:rsidRPr="0071006F">
        <w:t>unc incidit Aristoteles et sequaces eius in sententia Platonis cui contradicebant..., videlicet in hoc quod ipsi ponebant vacuam creatam a scientiis, licet receptibilem earum...“</w:t>
      </w:r>
      <w:r>
        <w:t xml:space="preserve"> (</w:t>
      </w:r>
      <w:r w:rsidRPr="0071006F">
        <w:rPr>
          <w:i/>
        </w:rPr>
        <w:t xml:space="preserve">Guilielmi </w:t>
      </w:r>
      <w:r>
        <w:rPr>
          <w:i/>
        </w:rPr>
        <w:t>De anima</w:t>
      </w:r>
      <w:r>
        <w:t xml:space="preserve"> VII.4</w:t>
      </w:r>
      <w:r>
        <w:rPr>
          <w:lang w:val="cs-CZ"/>
        </w:rPr>
        <w:t>;</w:t>
      </w:r>
      <w:r>
        <w:t xml:space="preserve"> ed. Le Feron, p. 20</w:t>
      </w:r>
      <w:r w:rsidRPr="00446B09">
        <w:t>8</w:t>
      </w:r>
      <w:r>
        <w:fldChar w:fldCharType="begin"/>
      </w:r>
      <w:r>
        <w:instrText xml:space="preserve"> XE "</w:instrText>
      </w:r>
      <w:r>
        <w:rPr>
          <w:lang w:val="cs-CZ"/>
        </w:rPr>
        <w:instrText>Alvernus:</w:instrText>
      </w:r>
      <w:r w:rsidRPr="00371269">
        <w:rPr>
          <w:i/>
        </w:rPr>
        <w:instrText>Guilielmi De anima</w:instrText>
      </w:r>
      <w:r w:rsidRPr="00371269">
        <w:instrText xml:space="preserve"> </w:instrText>
      </w:r>
      <w:r>
        <w:rPr>
          <w:lang w:val="cs-CZ"/>
        </w:rPr>
        <w:instrText>208</w:instrText>
      </w:r>
      <w:r>
        <w:instrText xml:space="preserve">" </w:instrText>
      </w:r>
      <w:r>
        <w:fldChar w:fldCharType="end"/>
      </w:r>
      <w:r>
        <w:t>)</w:t>
      </w:r>
    </w:p>
  </w:footnote>
  <w:footnote w:id="189">
    <w:p w14:paraId="5AE29092" w14:textId="77777777" w:rsidR="00CD2817" w:rsidRPr="00330F1A" w:rsidRDefault="00CD2817" w:rsidP="003E3906">
      <w:pPr>
        <w:pStyle w:val="Textpoznpodarou"/>
      </w:pPr>
      <w:r>
        <w:rPr>
          <w:rStyle w:val="Znakapoznpodarou"/>
        </w:rPr>
        <w:footnoteRef/>
      </w:r>
      <w:r>
        <w:t xml:space="preserve"> „Quapropter sicut posuerunt intellectum agentem propter antedictam necessitatem, et indigentiam, multo fortius necesse est ponere virtutem agentem, sive vim agentem hoc est in actum essendi educentem ipsas virtutes. Manifestum est autem tibi quod de virtute hujusmodi nec etiam mentionem fecerunt.“ (</w:t>
      </w:r>
      <w:r w:rsidRPr="00CA02EF">
        <w:rPr>
          <w:i/>
        </w:rPr>
        <w:t xml:space="preserve">Guilielmi </w:t>
      </w:r>
      <w:r>
        <w:rPr>
          <w:i/>
        </w:rPr>
        <w:t>De anima</w:t>
      </w:r>
      <w:r>
        <w:t xml:space="preserve"> VII.4</w:t>
      </w:r>
      <w:r>
        <w:rPr>
          <w:lang w:val="cs-CZ"/>
        </w:rPr>
        <w:t xml:space="preserve">; </w:t>
      </w:r>
      <w:r>
        <w:t>ed. Le Feron, p. 209</w:t>
      </w:r>
      <w:r>
        <w:rPr>
          <w:i/>
        </w:rPr>
        <w:fldChar w:fldCharType="begin"/>
      </w:r>
      <w:r>
        <w:instrText xml:space="preserve"> XE "</w:instrText>
      </w:r>
      <w:r w:rsidRPr="00B95FE8">
        <w:instrText>Alvernus</w:instrText>
      </w:r>
      <w:r>
        <w:rPr>
          <w:lang w:val="cs-CZ"/>
        </w:rPr>
        <w:instrText>:</w:instrText>
      </w:r>
      <w:r w:rsidRPr="00CA02EF">
        <w:rPr>
          <w:i/>
        </w:rPr>
        <w:instrText xml:space="preserve">Guilielmi </w:instrText>
      </w:r>
      <w:r>
        <w:rPr>
          <w:i/>
        </w:rPr>
        <w:instrText>De anima</w:instrText>
      </w:r>
      <w:r>
        <w:instrText xml:space="preserve"> 209" </w:instrText>
      </w:r>
      <w:r>
        <w:rPr>
          <w:i/>
        </w:rPr>
        <w:fldChar w:fldCharType="end"/>
      </w:r>
      <w:r>
        <w:t>)</w:t>
      </w:r>
    </w:p>
  </w:footnote>
  <w:footnote w:id="190">
    <w:p w14:paraId="40D12780" w14:textId="77777777" w:rsidR="00CD2817" w:rsidRPr="00B50E4D" w:rsidRDefault="00CD2817" w:rsidP="00AE1D46">
      <w:pPr>
        <w:pStyle w:val="Textpoznpodarou"/>
      </w:pPr>
      <w:r>
        <w:rPr>
          <w:rStyle w:val="Znakapoznpodarou"/>
        </w:rPr>
        <w:footnoteRef/>
      </w:r>
      <w:r>
        <w:t xml:space="preserve"> </w:t>
      </w:r>
      <w:r>
        <w:rPr>
          <w:lang w:val="cs-CZ"/>
        </w:rPr>
        <w:t>Pařížská Logika sešikovala svá vojska ve škole Saint Geneviève a poslala je do bitvy proti šiku Gramatiků z Orleansu: „</w:t>
      </w:r>
      <w:r w:rsidRPr="000233BC">
        <w:rPr>
          <w:lang w:val="cs-CZ"/>
        </w:rPr>
        <w:t xml:space="preserve">She marshalled her forces near Tournai / Under sir Pierre de Courtenai </w:t>
      </w:r>
      <w:r>
        <w:rPr>
          <w:lang w:val="cs-CZ"/>
        </w:rPr>
        <w:t>[</w:t>
      </w:r>
      <w:r w:rsidRPr="00563712">
        <w:t>Pierre de Courtenai</w:t>
      </w:r>
      <w:r>
        <w:rPr>
          <w:lang w:val="cs-CZ"/>
        </w:rPr>
        <w:t>]</w:t>
      </w:r>
      <w:r w:rsidRPr="000233BC">
        <w:rPr>
          <w:lang w:val="cs-CZ"/>
        </w:rPr>
        <w:t xml:space="preserve"> / A very learned logician / There was master John the Rustic</w:t>
      </w:r>
      <w:r>
        <w:rPr>
          <w:lang w:val="cs-CZ"/>
        </w:rPr>
        <w:t xml:space="preserve"> [</w:t>
      </w:r>
      <w:r>
        <w:rPr>
          <w:rStyle w:val="reference-text"/>
        </w:rPr>
        <w:t>Johannes Pagus</w:t>
      </w:r>
      <w:r>
        <w:rPr>
          <w:lang w:val="cs-CZ"/>
        </w:rPr>
        <w:t>]</w:t>
      </w:r>
      <w:r w:rsidRPr="000233BC">
        <w:rPr>
          <w:lang w:val="cs-CZ"/>
        </w:rPr>
        <w:t xml:space="preserve"> / And Pointlasne, he of Gamaches</w:t>
      </w:r>
      <w:r>
        <w:rPr>
          <w:lang w:val="cs-CZ"/>
        </w:rPr>
        <w:t xml:space="preserve"> [</w:t>
      </w:r>
      <w:r w:rsidRPr="00EC174D">
        <w:t>Joh</w:t>
      </w:r>
      <w:r>
        <w:rPr>
          <w:lang w:val="cs-CZ"/>
        </w:rPr>
        <w:t xml:space="preserve">n of </w:t>
      </w:r>
      <w:r w:rsidRPr="00EC174D">
        <w:t>P</w:t>
      </w:r>
      <w:r>
        <w:rPr>
          <w:lang w:val="cs-CZ"/>
        </w:rPr>
        <w:t>aris]</w:t>
      </w:r>
      <w:r w:rsidRPr="000233BC">
        <w:rPr>
          <w:lang w:val="cs-CZ"/>
        </w:rPr>
        <w:t xml:space="preserve"> </w:t>
      </w:r>
      <w:r w:rsidRPr="00772C59">
        <w:t>/ Master Nicho</w:t>
      </w:r>
      <w:r>
        <w:t>las with the prominent buttocks</w:t>
      </w:r>
      <w:r>
        <w:rPr>
          <w:lang w:val="cs-CZ"/>
        </w:rPr>
        <w:t xml:space="preserve"> </w:t>
      </w:r>
      <w:r w:rsidRPr="00772C59">
        <w:t>[Nicolaus Parisiensis]/.</w:t>
      </w:r>
      <w:r w:rsidRPr="000233BC">
        <w:rPr>
          <w:lang w:val="cs-CZ"/>
        </w:rPr>
        <w:t xml:space="preserve"> </w:t>
      </w:r>
      <w:r w:rsidRPr="0074168B">
        <w:rPr>
          <w:lang w:val="en-US"/>
        </w:rPr>
        <w:t xml:space="preserve">(Henri </w:t>
      </w:r>
      <w:r>
        <w:t>d'Andeli,</w:t>
      </w:r>
      <w:r>
        <w:rPr>
          <w:lang w:val="cs-CZ"/>
        </w:rPr>
        <w:t xml:space="preserve"> </w:t>
      </w:r>
      <w:r>
        <w:rPr>
          <w:i/>
          <w:lang w:val="en-US"/>
        </w:rPr>
        <w:t xml:space="preserve">The </w:t>
      </w:r>
      <w:r w:rsidRPr="0074168B">
        <w:rPr>
          <w:i/>
          <w:lang w:val="en-US"/>
        </w:rPr>
        <w:t>Battle of the Seven Arts</w:t>
      </w:r>
      <w:r>
        <w:rPr>
          <w:i/>
          <w:lang w:val="en-US"/>
        </w:rPr>
        <w:t xml:space="preserve"> </w:t>
      </w:r>
      <w:r w:rsidRPr="000233BC">
        <w:rPr>
          <w:lang w:val="en-US"/>
        </w:rPr>
        <w:t>1.1.49</w:t>
      </w:r>
      <w:r>
        <w:rPr>
          <w:lang w:val="en-US"/>
        </w:rPr>
        <w:t>‒</w:t>
      </w:r>
      <w:r w:rsidRPr="000233BC">
        <w:rPr>
          <w:lang w:val="en-US"/>
        </w:rPr>
        <w:t>5</w:t>
      </w:r>
      <w:r w:rsidRPr="000233BC">
        <w:t>4</w:t>
      </w:r>
      <w:r w:rsidRPr="0074168B">
        <w:t>; ed. Paetow, pp. 41</w:t>
      </w:r>
      <w:r>
        <w:t>‒</w:t>
      </w:r>
      <w:r w:rsidRPr="0074168B">
        <w:t>42</w:t>
      </w:r>
      <w:r>
        <w:fldChar w:fldCharType="begin"/>
      </w:r>
      <w:r>
        <w:instrText xml:space="preserve"> XE "</w:instrText>
      </w:r>
      <w:r w:rsidRPr="00BF13A7">
        <w:rPr>
          <w:lang w:val="en-US"/>
        </w:rPr>
        <w:instrText xml:space="preserve">Henri </w:instrText>
      </w:r>
      <w:r w:rsidRPr="00BF13A7">
        <w:instrText>d'Andeli</w:instrText>
      </w:r>
      <w:r>
        <w:rPr>
          <w:lang w:val="cs-CZ"/>
        </w:rPr>
        <w:instrText>:</w:instrText>
      </w:r>
      <w:r w:rsidRPr="00BF13A7">
        <w:rPr>
          <w:i/>
          <w:lang w:val="en-US"/>
        </w:rPr>
        <w:instrText>The Battle of the Seven Arts</w:instrText>
      </w:r>
      <w:r>
        <w:rPr>
          <w:lang w:val="en-US"/>
        </w:rPr>
        <w:instrText xml:space="preserve"> </w:instrText>
      </w:r>
      <w:r>
        <w:instrText>4</w:instrText>
      </w:r>
      <w:r>
        <w:rPr>
          <w:lang w:val="cs-CZ"/>
        </w:rPr>
        <w:instrText>1</w:instrText>
      </w:r>
      <w:r w:rsidRPr="00BF13A7">
        <w:instrText>‒</w:instrText>
      </w:r>
      <w:r>
        <w:rPr>
          <w:lang w:val="cs-CZ"/>
        </w:rPr>
        <w:instrText>42</w:instrText>
      </w:r>
      <w:r>
        <w:instrText xml:space="preserve">" </w:instrText>
      </w:r>
      <w:r>
        <w:fldChar w:fldCharType="end"/>
      </w:r>
      <w:r w:rsidRPr="00324A26">
        <w:rPr>
          <w:lang w:val="en-US"/>
        </w:rPr>
        <w:t>)</w:t>
      </w:r>
    </w:p>
  </w:footnote>
  <w:footnote w:id="191">
    <w:p w14:paraId="32E53A02" w14:textId="77777777" w:rsidR="00CD2817" w:rsidRPr="00F9152D" w:rsidRDefault="00CD2817" w:rsidP="08160B53">
      <w:pPr>
        <w:pStyle w:val="Textpoznpodarou"/>
        <w:rPr>
          <w:lang w:val="cs-CZ"/>
        </w:rPr>
      </w:pPr>
      <w:r>
        <w:rPr>
          <w:rStyle w:val="Znakapoznpodarou"/>
        </w:rPr>
        <w:footnoteRef/>
      </w:r>
      <w:r>
        <w:t xml:space="preserve"> </w:t>
      </w:r>
      <w:r>
        <w:rPr>
          <w:lang w:val="cs-CZ"/>
        </w:rPr>
        <w:t xml:space="preserve">„Et exempla horum sunt in hac dictione, albet, et in hac dictione, fit album; et est dicere quia secundum hanc distintionem, albet, significat et ponit quod in eo est, videlicet albedinem quam institutione sua essentialiter significat, et ponit eam in subjecto de quo dicitur: verbum vero quod est, fit, assumit significationem a nomine quod ipsum sequitur.“ </w:t>
      </w:r>
      <w:r>
        <w:t>(</w:t>
      </w:r>
      <w:r w:rsidRPr="00EF3ADC">
        <w:rPr>
          <w:i/>
        </w:rPr>
        <w:t xml:space="preserve">Guilielmi </w:t>
      </w:r>
      <w:r>
        <w:rPr>
          <w:i/>
        </w:rPr>
        <w:t>De anima</w:t>
      </w:r>
      <w:r>
        <w:t xml:space="preserve"> III.3</w:t>
      </w:r>
      <w:r>
        <w:rPr>
          <w:lang w:val="cs-CZ"/>
        </w:rPr>
        <w:t>;</w:t>
      </w:r>
      <w:r>
        <w:t xml:space="preserve"> ed. Le Feron, p. 8</w:t>
      </w:r>
      <w:r>
        <w:rPr>
          <w:lang w:val="cs-CZ"/>
        </w:rPr>
        <w:t>8</w:t>
      </w:r>
      <w:r>
        <w:rPr>
          <w:i/>
        </w:rPr>
        <w:fldChar w:fldCharType="begin"/>
      </w:r>
      <w:r>
        <w:instrText xml:space="preserve"> XE "</w:instrText>
      </w:r>
      <w:r w:rsidRPr="00B95FE8">
        <w:instrText>Alvernus</w:instrText>
      </w:r>
      <w:r>
        <w:rPr>
          <w:lang w:val="cs-CZ"/>
        </w:rPr>
        <w:instrText>:</w:instrText>
      </w:r>
      <w:r w:rsidRPr="00CA02EF">
        <w:rPr>
          <w:i/>
        </w:rPr>
        <w:instrText xml:space="preserve">Guilielmi </w:instrText>
      </w:r>
      <w:r>
        <w:rPr>
          <w:i/>
        </w:rPr>
        <w:instrText>De anima</w:instrText>
      </w:r>
      <w:r>
        <w:instrText xml:space="preserve"> </w:instrText>
      </w:r>
      <w:r>
        <w:rPr>
          <w:lang w:val="cs-CZ"/>
        </w:rPr>
        <w:instrText>88</w:instrText>
      </w:r>
      <w:r>
        <w:instrText xml:space="preserve">" </w:instrText>
      </w:r>
      <w:r>
        <w:rPr>
          <w:i/>
        </w:rPr>
        <w:fldChar w:fldCharType="end"/>
      </w:r>
      <w:r>
        <w:t>)</w:t>
      </w:r>
    </w:p>
  </w:footnote>
  <w:footnote w:id="192">
    <w:p w14:paraId="1EEF36C5" w14:textId="77777777" w:rsidR="00CD2817" w:rsidRPr="00ED066E" w:rsidRDefault="00CD2817">
      <w:pPr>
        <w:pStyle w:val="Textpoznpodarou"/>
      </w:pPr>
      <w:r>
        <w:rPr>
          <w:rStyle w:val="Znakapoznpodarou"/>
        </w:rPr>
        <w:footnoteRef/>
      </w:r>
      <w:r>
        <w:t xml:space="preserve"> „Antiqui Grammatici qui praecesserunt me, et multi qui in tempore meo fuerunt</w:t>
      </w:r>
      <w:r>
        <w:rPr>
          <w:lang w:val="cs-CZ"/>
        </w:rPr>
        <w:t xml:space="preserve"> (</w:t>
      </w:r>
      <w:r>
        <w:t>...</w:t>
      </w:r>
      <w:r>
        <w:rPr>
          <w:lang w:val="cs-CZ"/>
        </w:rPr>
        <w:t>).</w:t>
      </w:r>
      <w:r>
        <w:t xml:space="preserve"> Intentio eorum erat quod quaedam de verbis significabant et praedicabant dispositiones, ponebantque eas in substantiis de quibus dicebatur; </w:t>
      </w:r>
      <w:r w:rsidRPr="00406F5E">
        <w:t>quaedam vero non significantes ex semetipsis ponebant in subiectis de quibus dicebantur dispositiones per conjuncta sibi nomina significatas</w:t>
      </w:r>
      <w:r>
        <w:t>.“ (</w:t>
      </w:r>
      <w:r w:rsidRPr="00EF3ADC">
        <w:rPr>
          <w:i/>
        </w:rPr>
        <w:t xml:space="preserve">Guilielmi </w:t>
      </w:r>
      <w:r>
        <w:rPr>
          <w:i/>
        </w:rPr>
        <w:t>De anima</w:t>
      </w:r>
      <w:r>
        <w:t xml:space="preserve"> III.3</w:t>
      </w:r>
      <w:r>
        <w:rPr>
          <w:lang w:val="cs-CZ"/>
        </w:rPr>
        <w:t xml:space="preserve">; </w:t>
      </w:r>
      <w:r>
        <w:t>ed. Le Feron, p. 88</w:t>
      </w:r>
      <w:r>
        <w:rPr>
          <w:i/>
        </w:rPr>
        <w:fldChar w:fldCharType="begin"/>
      </w:r>
      <w:r>
        <w:instrText xml:space="preserve"> XE "</w:instrText>
      </w:r>
      <w:r w:rsidRPr="00B95FE8">
        <w:instrText>Alvernus</w:instrText>
      </w:r>
      <w:r>
        <w:rPr>
          <w:lang w:val="cs-CZ"/>
        </w:rPr>
        <w:instrText>:</w:instrText>
      </w:r>
      <w:r w:rsidRPr="00CA02EF">
        <w:rPr>
          <w:i/>
        </w:rPr>
        <w:instrText xml:space="preserve">Guilielmi </w:instrText>
      </w:r>
      <w:r>
        <w:rPr>
          <w:i/>
        </w:rPr>
        <w:instrText>De anima</w:instrText>
      </w:r>
      <w:r>
        <w:instrText xml:space="preserve"> </w:instrText>
      </w:r>
      <w:r>
        <w:rPr>
          <w:lang w:val="cs-CZ"/>
        </w:rPr>
        <w:instrText>88</w:instrText>
      </w:r>
      <w:r>
        <w:instrText xml:space="preserve">" </w:instrText>
      </w:r>
      <w:r>
        <w:rPr>
          <w:i/>
        </w:rPr>
        <w:fldChar w:fldCharType="end"/>
      </w:r>
      <w:r>
        <w:t>)</w:t>
      </w:r>
    </w:p>
  </w:footnote>
  <w:footnote w:id="193">
    <w:p w14:paraId="5A14E773" w14:textId="77777777" w:rsidR="00CD2817" w:rsidRPr="0046046A" w:rsidRDefault="00CD2817" w:rsidP="0025687C">
      <w:pPr>
        <w:pStyle w:val="Textpoznpodarou"/>
      </w:pPr>
      <w:r>
        <w:rPr>
          <w:rStyle w:val="Znakapoznpodarou"/>
        </w:rPr>
        <w:footnoteRef/>
      </w:r>
      <w:r>
        <w:t xml:space="preserve"> „Amplius secundem hoc album nihil esset, quoniam nec esset homo, nec aliquid aliud juxta hanc viam, vel potius nihil esset album; quoniam res alba non esset res: quare non esset aliqua res, et ita non esset aliquid, nihil igitur esset album, id est res alba, neque res nigra.“ (</w:t>
      </w:r>
      <w:r w:rsidRPr="00161726">
        <w:rPr>
          <w:i/>
        </w:rPr>
        <w:t xml:space="preserve">Guilielmi </w:t>
      </w:r>
      <w:r>
        <w:rPr>
          <w:i/>
        </w:rPr>
        <w:t>De anima</w:t>
      </w:r>
      <w:r>
        <w:t xml:space="preserve"> I.6</w:t>
      </w:r>
      <w:r>
        <w:rPr>
          <w:lang w:val="cs-CZ"/>
        </w:rPr>
        <w:t>;</w:t>
      </w:r>
      <w:r>
        <w:t xml:space="preserve"> ed. Le Feron, p. 71</w:t>
      </w:r>
      <w:r>
        <w:rPr>
          <w:i/>
        </w:rPr>
        <w:fldChar w:fldCharType="begin"/>
      </w:r>
      <w:r>
        <w:instrText xml:space="preserve"> XE "</w:instrText>
      </w:r>
      <w:r w:rsidRPr="00B95FE8">
        <w:instrText>Alvernus</w:instrText>
      </w:r>
      <w:r>
        <w:rPr>
          <w:lang w:val="cs-CZ"/>
        </w:rPr>
        <w:instrText>:</w:instrText>
      </w:r>
      <w:r w:rsidRPr="00CA02EF">
        <w:rPr>
          <w:i/>
        </w:rPr>
        <w:instrText xml:space="preserve">Guilielmi </w:instrText>
      </w:r>
      <w:r>
        <w:rPr>
          <w:i/>
        </w:rPr>
        <w:instrText>De anima</w:instrText>
      </w:r>
      <w:r>
        <w:instrText xml:space="preserve"> </w:instrText>
      </w:r>
      <w:r>
        <w:rPr>
          <w:lang w:val="cs-CZ"/>
        </w:rPr>
        <w:instrText>71</w:instrText>
      </w:r>
      <w:r>
        <w:instrText xml:space="preserve">" </w:instrText>
      </w:r>
      <w:r>
        <w:rPr>
          <w:i/>
        </w:rPr>
        <w:fldChar w:fldCharType="end"/>
      </w:r>
      <w:r>
        <w:t>)</w:t>
      </w:r>
    </w:p>
  </w:footnote>
  <w:footnote w:id="194">
    <w:p w14:paraId="6F001658" w14:textId="77777777" w:rsidR="00CD2817" w:rsidRPr="00C77673" w:rsidRDefault="00CD2817">
      <w:pPr>
        <w:pStyle w:val="Textpoznpodarou"/>
      </w:pPr>
      <w:r>
        <w:rPr>
          <w:rStyle w:val="Znakapoznpodarou"/>
        </w:rPr>
        <w:footnoteRef/>
      </w:r>
      <w:r>
        <w:t xml:space="preserve"> „</w:t>
      </w:r>
      <w:r>
        <w:rPr>
          <w:lang w:val="cs-CZ"/>
        </w:rPr>
        <w:t>S</w:t>
      </w:r>
      <w:r>
        <w:t xml:space="preserve">i enim verbum inhaerendi significaret inhaerentiam quam utique non est possibile esse nisi accidens, esset ex necessitate inhaerentia hujusmodi in subjecto; </w:t>
      </w:r>
      <w:r w:rsidRPr="00523C8E">
        <w:t>et quoniam esse in subjecto non est inhaerere subjecto</w:t>
      </w:r>
      <w:r>
        <w:t>, inhaereret ex necessitate inhaerentia subjecto proprio, inhaereret vel seipsa, vel alia inhaerentia: si alia, tunc iret res in infinitum...“ (</w:t>
      </w:r>
      <w:r w:rsidRPr="00EF3ADC">
        <w:rPr>
          <w:i/>
        </w:rPr>
        <w:t xml:space="preserve">Guilielmi </w:t>
      </w:r>
      <w:r>
        <w:rPr>
          <w:i/>
        </w:rPr>
        <w:t>De anima</w:t>
      </w:r>
      <w:r>
        <w:t xml:space="preserve"> III.3, ed. Le Feron, p. 89</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89" </w:instrText>
      </w:r>
      <w:r>
        <w:rPr>
          <w:i/>
        </w:rPr>
        <w:fldChar w:fldCharType="end"/>
      </w:r>
      <w:r>
        <w:t>)</w:t>
      </w:r>
    </w:p>
  </w:footnote>
  <w:footnote w:id="195">
    <w:p w14:paraId="71661990" w14:textId="77777777" w:rsidR="00CD2817" w:rsidRPr="00BF05A7" w:rsidRDefault="00CD2817" w:rsidP="08F3418C">
      <w:pPr>
        <w:pStyle w:val="Textpoznpodarou"/>
      </w:pPr>
      <w:r>
        <w:rPr>
          <w:rStyle w:val="Znakapoznpodarou"/>
        </w:rPr>
        <w:footnoteRef/>
      </w:r>
      <w:r>
        <w:t xml:space="preserve"> „Amplius </w:t>
      </w:r>
      <w:r w:rsidRPr="00E8475A">
        <w:rPr>
          <w:i/>
        </w:rPr>
        <w:t>si ea quae sunt in voce nota sunt earum qua sunt in anima passionum</w:t>
      </w:r>
      <w:r>
        <w:t>, ut dicit Aristoteles; quanto fortius passione quae in anima sunt notae et signa certissima substantiae subsistentis eas sive portantis ac gubernatis eadem?“ (</w:t>
      </w:r>
      <w:r w:rsidRPr="00EF3ADC">
        <w:rPr>
          <w:i/>
        </w:rPr>
        <w:t xml:space="preserve">Guilielmi </w:t>
      </w:r>
      <w:r>
        <w:rPr>
          <w:i/>
        </w:rPr>
        <w:t>De anima</w:t>
      </w:r>
      <w:r>
        <w:t xml:space="preserve"> III.12, ed. Le Feron, p. 103</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w:instrText>
      </w:r>
      <w:r>
        <w:rPr>
          <w:lang w:val="cs-CZ"/>
        </w:rPr>
        <w:instrText>103</w:instrText>
      </w:r>
      <w:r>
        <w:instrText xml:space="preserve">" </w:instrText>
      </w:r>
      <w:r>
        <w:rPr>
          <w:i/>
        </w:rPr>
        <w:fldChar w:fldCharType="end"/>
      </w:r>
      <w:r>
        <w:t>)</w:t>
      </w:r>
    </w:p>
  </w:footnote>
  <w:footnote w:id="196">
    <w:p w14:paraId="74EFA338" w14:textId="77777777" w:rsidR="00CD2817" w:rsidRPr="00C63D63" w:rsidRDefault="00CD2817" w:rsidP="00B57FF3">
      <w:pPr>
        <w:pStyle w:val="Textpoznpodarou"/>
      </w:pPr>
      <w:r>
        <w:rPr>
          <w:rStyle w:val="Znakapoznpodarou"/>
        </w:rPr>
        <w:footnoteRef/>
      </w:r>
      <w:r>
        <w:t xml:space="preserve"> „Si vero dixerit quod animalitas pars humanitatis est, tunc homo inquantum homo non erit animal, sed compositum ex animali et quodam residuo. (...) Quapropter sicut iste homo est animal, ita haec humanitas est haec animalitas.“ (</w:t>
      </w:r>
      <w:r w:rsidRPr="00EA7C04">
        <w:rPr>
          <w:i/>
        </w:rPr>
        <w:t xml:space="preserve">Guilielmi </w:t>
      </w:r>
      <w:r>
        <w:rPr>
          <w:i/>
        </w:rPr>
        <w:t>De anima</w:t>
      </w:r>
      <w:r>
        <w:t xml:space="preserve"> IV.3, ed. Le Feron, p. 107</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w:instrText>
      </w:r>
      <w:r>
        <w:rPr>
          <w:lang w:val="cs-CZ"/>
        </w:rPr>
        <w:instrText>107</w:instrText>
      </w:r>
      <w:r>
        <w:instrText xml:space="preserve">" </w:instrText>
      </w:r>
      <w:r>
        <w:rPr>
          <w:i/>
        </w:rPr>
        <w:fldChar w:fldCharType="end"/>
      </w:r>
      <w:r>
        <w:t>)</w:t>
      </w:r>
    </w:p>
  </w:footnote>
  <w:footnote w:id="197">
    <w:p w14:paraId="28558991" w14:textId="77777777" w:rsidR="00CD2817" w:rsidRPr="00983993" w:rsidRDefault="00CD2817" w:rsidP="00C93252">
      <w:pPr>
        <w:pStyle w:val="Textpoznpodarou"/>
      </w:pPr>
      <w:r>
        <w:rPr>
          <w:rStyle w:val="Znakapoznpodarou"/>
        </w:rPr>
        <w:footnoteRef/>
      </w:r>
      <w:r>
        <w:t xml:space="preserve"> K rozdílům mezi Cancellariem a spisem </w:t>
      </w:r>
      <w:r>
        <w:rPr>
          <w:i/>
        </w:rPr>
        <w:t>De anima et de potenciis eius</w:t>
      </w:r>
      <w:r>
        <w:t xml:space="preserve">, viz Vicki 2005, 147‒60. Autor dokazuje proti Gauthierovi, že dílo </w:t>
      </w:r>
      <w:r>
        <w:rPr>
          <w:i/>
        </w:rPr>
        <w:t>De anima et de potenciis eius</w:t>
      </w:r>
      <w:r>
        <w:t xml:space="preserve"> má odlišné schéma poznání než Kancléř Filip. </w:t>
      </w:r>
    </w:p>
  </w:footnote>
  <w:footnote w:id="198">
    <w:p w14:paraId="748B3AA4" w14:textId="77777777" w:rsidR="00CD2817" w:rsidRPr="00C46EDF" w:rsidRDefault="00CD2817" w:rsidP="00C93252">
      <w:pPr>
        <w:pStyle w:val="Textpoznpodarou"/>
      </w:pPr>
      <w:r w:rsidRPr="00C46EDF">
        <w:rPr>
          <w:rStyle w:val="Znakapoznpodarou"/>
        </w:rPr>
        <w:footnoteRef/>
      </w:r>
      <w:r w:rsidRPr="00C46EDF">
        <w:t xml:space="preserve"> „Primae intentiones simplices dicuntur quia non est ante ipsas in quae fiat resolutio. Ante prima, non est quod in eorum veniat definitionem.”</w:t>
      </w:r>
      <w:r>
        <w:t xml:space="preserve"> (</w:t>
      </w:r>
      <w:r w:rsidRPr="00161726">
        <w:rPr>
          <w:rStyle w:val="st"/>
          <w:i/>
        </w:rPr>
        <w:t xml:space="preserve">Philippi Cancellarii Parisiensis </w:t>
      </w:r>
      <w:r w:rsidRPr="00161726">
        <w:rPr>
          <w:rStyle w:val="Zvraznn"/>
          <w:iCs w:val="0"/>
        </w:rPr>
        <w:t>Summa de Bono</w:t>
      </w:r>
      <w:r w:rsidRPr="00C46EDF">
        <w:rPr>
          <w:rStyle w:val="st"/>
        </w:rPr>
        <w:t>,</w:t>
      </w:r>
      <w:r>
        <w:t xml:space="preserve"> q. IX, </w:t>
      </w:r>
      <w:r w:rsidRPr="00C46EDF">
        <w:t>ed. Wicki, p. 30</w:t>
      </w:r>
      <w:r>
        <w:t>.11‒12</w:t>
      </w:r>
      <w:r>
        <w:fldChar w:fldCharType="begin"/>
      </w:r>
      <w:r>
        <w:instrText xml:space="preserve"> XE "</w:instrText>
      </w:r>
      <w:r>
        <w:rPr>
          <w:lang w:val="cs-CZ"/>
        </w:rPr>
        <w:instrText>Filip Kancléř:</w:instrText>
      </w:r>
      <w:r w:rsidRPr="001E5A69">
        <w:rPr>
          <w:rStyle w:val="Zvraznn"/>
          <w:iCs w:val="0"/>
        </w:rPr>
        <w:instrText>Summa de Bono</w:instrText>
      </w:r>
      <w:r>
        <w:rPr>
          <w:rStyle w:val="Zvraznn"/>
          <w:iCs w:val="0"/>
          <w:lang w:val="cs-CZ"/>
        </w:rPr>
        <w:instrText xml:space="preserve"> </w:instrText>
      </w:r>
      <w:r w:rsidRPr="001E5A69">
        <w:instrText>30.11‒12</w:instrText>
      </w:r>
      <w:r>
        <w:instrText xml:space="preserve">" </w:instrText>
      </w:r>
      <w:r>
        <w:fldChar w:fldCharType="end"/>
      </w:r>
      <w:r w:rsidRPr="00C46EDF">
        <w:t>)</w:t>
      </w:r>
    </w:p>
  </w:footnote>
  <w:footnote w:id="199">
    <w:p w14:paraId="1C55A3E9" w14:textId="77777777" w:rsidR="00CD2817" w:rsidRPr="004D42A1" w:rsidRDefault="00CD2817" w:rsidP="00C93252">
      <w:pPr>
        <w:pStyle w:val="Textpoznpodarou"/>
        <w:rPr>
          <w:lang w:val="cs-CZ"/>
        </w:rPr>
      </w:pPr>
      <w:r>
        <w:rPr>
          <w:rStyle w:val="Znakapoznpodarou"/>
        </w:rPr>
        <w:footnoteRef/>
      </w:r>
      <w:r>
        <w:t xml:space="preserve"> </w:t>
      </w:r>
      <w:r>
        <w:rPr>
          <w:lang w:val="cs-CZ"/>
        </w:rPr>
        <w:t>„</w:t>
      </w:r>
      <w:r w:rsidRPr="004D42A1">
        <w:rPr>
          <w:lang w:val="cs-CZ"/>
        </w:rPr>
        <w:t>Philip</w:t>
      </w:r>
      <w:r>
        <w:rPr>
          <w:lang w:val="cs-CZ"/>
        </w:rPr>
        <w:t>pe dit que l'unité est la première propriété découlant en tout ê</w:t>
      </w:r>
      <w:r w:rsidRPr="004D42A1">
        <w:rPr>
          <w:lang w:val="cs-CZ"/>
        </w:rPr>
        <w:t>tre d</w:t>
      </w:r>
      <w:r>
        <w:rPr>
          <w:lang w:val="cs-CZ"/>
        </w:rPr>
        <w:t>e Dieu, sa cause efficiente</w:t>
      </w:r>
      <w:r w:rsidRPr="004D42A1">
        <w:rPr>
          <w:lang w:val="cs-CZ"/>
        </w:rPr>
        <w:t>. Il la définit comme Aristote:</w:t>
      </w:r>
      <w:r>
        <w:rPr>
          <w:lang w:val="cs-CZ"/>
        </w:rPr>
        <w:t xml:space="preserve"> l'un, c'est l'être indivis</w:t>
      </w:r>
      <w:r w:rsidRPr="004D42A1">
        <w:rPr>
          <w:lang w:val="cs-CZ"/>
        </w:rPr>
        <w:t xml:space="preserve">. Cette définition figure sans commentaire dans la </w:t>
      </w:r>
      <w:r w:rsidRPr="004D42A1">
        <w:rPr>
          <w:i/>
          <w:lang w:val="cs-CZ"/>
        </w:rPr>
        <w:t>Somme</w:t>
      </w:r>
      <w:r w:rsidRPr="004D42A1">
        <w:rPr>
          <w:lang w:val="cs-CZ"/>
        </w:rPr>
        <w:t xml:space="preserve"> de Guillaume </w:t>
      </w:r>
      <w:r>
        <w:rPr>
          <w:lang w:val="cs-CZ"/>
        </w:rPr>
        <w:t>d'Auxerre</w:t>
      </w:r>
      <w:r w:rsidRPr="004D42A1">
        <w:rPr>
          <w:lang w:val="cs-CZ"/>
        </w:rPr>
        <w:t>. On pouvait</w:t>
      </w:r>
      <w:r>
        <w:rPr>
          <w:lang w:val="cs-CZ"/>
        </w:rPr>
        <w:t xml:space="preserve"> </w:t>
      </w:r>
      <w:r w:rsidRPr="004D42A1">
        <w:rPr>
          <w:lang w:val="cs-CZ"/>
        </w:rPr>
        <w:t>lire bien davantage dans les philosophes arabes. Philippe commente la définition</w:t>
      </w:r>
      <w:r>
        <w:rPr>
          <w:lang w:val="cs-CZ"/>
        </w:rPr>
        <w:t>: indivis affirme seulement l'ê</w:t>
      </w:r>
      <w:r w:rsidRPr="004D42A1">
        <w:rPr>
          <w:lang w:val="cs-CZ"/>
        </w:rPr>
        <w:t>tre et en nie la</w:t>
      </w:r>
      <w:r>
        <w:rPr>
          <w:lang w:val="cs-CZ"/>
        </w:rPr>
        <w:t xml:space="preserve"> </w:t>
      </w:r>
      <w:r w:rsidRPr="004D42A1">
        <w:rPr>
          <w:lang w:val="cs-CZ"/>
        </w:rPr>
        <w:t>division, sans y ajouter rien de positif.</w:t>
      </w:r>
      <w:r>
        <w:rPr>
          <w:lang w:val="cs-CZ"/>
        </w:rPr>
        <w:t xml:space="preserve"> Elle ne différencie l'un de l'ê</w:t>
      </w:r>
      <w:r w:rsidRPr="004D42A1">
        <w:rPr>
          <w:lang w:val="cs-CZ"/>
        </w:rPr>
        <w:t>tre que par une négation. E</w:t>
      </w:r>
      <w:r>
        <w:rPr>
          <w:lang w:val="cs-CZ"/>
        </w:rPr>
        <w:t>t il poursuit</w:t>
      </w:r>
      <w:r w:rsidRPr="004D42A1">
        <w:rPr>
          <w:lang w:val="cs-CZ"/>
        </w:rPr>
        <w:t>: « C'est ainsi qu'il fa</w:t>
      </w:r>
      <w:r>
        <w:rPr>
          <w:lang w:val="cs-CZ"/>
        </w:rPr>
        <w:t>ut déterminer les notions premières, sur le modè</w:t>
      </w:r>
      <w:r w:rsidRPr="004D42A1">
        <w:rPr>
          <w:lang w:val="cs-CZ"/>
        </w:rPr>
        <w:t>le de l'unité ».</w:t>
      </w:r>
      <w:r>
        <w:rPr>
          <w:lang w:val="cs-CZ"/>
        </w:rPr>
        <w:t>“ (</w:t>
      </w:r>
      <w:r>
        <w:t>Pouillon 1939,</w:t>
      </w:r>
      <w:r>
        <w:rPr>
          <w:lang w:val="cs-CZ"/>
        </w:rPr>
        <w:t xml:space="preserve"> 55) </w:t>
      </w:r>
    </w:p>
  </w:footnote>
  <w:footnote w:id="200">
    <w:p w14:paraId="1C7DDEB7" w14:textId="77777777" w:rsidR="00CD2817" w:rsidRPr="08B0652B" w:rsidRDefault="00CD2817" w:rsidP="00C93252">
      <w:pPr>
        <w:pStyle w:val="Textpoznpodarou"/>
        <w:rPr>
          <w:noProof/>
        </w:rPr>
      </w:pPr>
      <w:r>
        <w:rPr>
          <w:rStyle w:val="Znakapoznpodarou"/>
        </w:rPr>
        <w:footnoteRef/>
      </w:r>
      <w:r>
        <w:t xml:space="preserve"> </w:t>
      </w:r>
      <w:r>
        <w:rPr>
          <w:noProof/>
        </w:rPr>
        <w:t>„</w:t>
      </w:r>
      <w:r w:rsidRPr="08B0652B">
        <w:rPr>
          <w:noProof/>
        </w:rPr>
        <w:t>Et ita non diffinietur (bonum) per ens et aliquam positionem superadditam, sicut nec unum cum dicitur unum est ens indivisum; 'indivisum' enim ponit en</w:t>
      </w:r>
      <w:r>
        <w:rPr>
          <w:noProof/>
        </w:rPr>
        <w:t>s et privat ab ente divisionem.“</w:t>
      </w:r>
      <w:r w:rsidRPr="08B0652B">
        <w:rPr>
          <w:noProof/>
        </w:rPr>
        <w:t xml:space="preserve"> (</w:t>
      </w:r>
      <w:r w:rsidRPr="00E0621B">
        <w:rPr>
          <w:i/>
          <w:noProof/>
        </w:rPr>
        <w:t>Summa de bono</w:t>
      </w:r>
      <w:r w:rsidRPr="08B0652B">
        <w:rPr>
          <w:noProof/>
        </w:rPr>
        <w:t>, Prologue, q. 1, éd. Wicki, p. 7.30-33</w:t>
      </w:r>
      <w:r>
        <w:fldChar w:fldCharType="begin"/>
      </w:r>
      <w:r>
        <w:instrText xml:space="preserve"> XE "</w:instrText>
      </w:r>
      <w:r>
        <w:rPr>
          <w:lang w:val="cs-CZ"/>
        </w:rPr>
        <w:instrText>Filip Kancléř:</w:instrText>
      </w:r>
      <w:r w:rsidRPr="001E5A69">
        <w:rPr>
          <w:rStyle w:val="Zvraznn"/>
          <w:iCs w:val="0"/>
        </w:rPr>
        <w:instrText>Summa de Bono</w:instrText>
      </w:r>
      <w:r>
        <w:rPr>
          <w:rStyle w:val="Zvraznn"/>
          <w:iCs w:val="0"/>
          <w:lang w:val="cs-CZ"/>
        </w:rPr>
        <w:instrText xml:space="preserve"> </w:instrText>
      </w:r>
      <w:r w:rsidRPr="08B0652B">
        <w:rPr>
          <w:noProof/>
        </w:rPr>
        <w:instrText>7.30-33</w:instrText>
      </w:r>
      <w:r>
        <w:instrText xml:space="preserve">" </w:instrText>
      </w:r>
      <w:r>
        <w:fldChar w:fldCharType="end"/>
      </w:r>
      <w:r w:rsidRPr="08B0652B">
        <w:rPr>
          <w:noProof/>
        </w:rPr>
        <w:t>)</w:t>
      </w:r>
    </w:p>
  </w:footnote>
  <w:footnote w:id="201">
    <w:p w14:paraId="23D5C762" w14:textId="77777777" w:rsidR="00CD2817" w:rsidRPr="08BE38D0" w:rsidRDefault="00CD2817" w:rsidP="00C93252">
      <w:pPr>
        <w:pStyle w:val="Textpoznpodarou"/>
      </w:pPr>
      <w:r>
        <w:rPr>
          <w:rStyle w:val="Znakapoznpodarou"/>
        </w:rPr>
        <w:footnoteRef/>
      </w:r>
      <w:r>
        <w:t xml:space="preserve"> „</w:t>
      </w:r>
      <w:r>
        <w:rPr>
          <w:lang w:val="cs-CZ"/>
        </w:rPr>
        <w:t>S</w:t>
      </w:r>
      <w:r>
        <w:t>unt tres conditiones concomitantes esse: unitas, veritas, bonitas. Unitas autem prima illarum, secunda veritas, tertia bonitas; in idem enim possunt concidere efficiens, formalis et finalis, sed materialis non...“ (</w:t>
      </w:r>
      <w:r w:rsidRPr="08BE38D0">
        <w:rPr>
          <w:i/>
        </w:rPr>
        <w:t>Summa de bono</w:t>
      </w:r>
      <w:r>
        <w:t>, prologus, q. 7, ed. Wicki, p. 26.16‒17</w:t>
      </w:r>
      <w:r>
        <w:fldChar w:fldCharType="begin"/>
      </w:r>
      <w:r>
        <w:instrText xml:space="preserve"> XE "</w:instrText>
      </w:r>
      <w:r>
        <w:rPr>
          <w:lang w:val="cs-CZ"/>
        </w:rPr>
        <w:instrText>Filip Kancléř:</w:instrText>
      </w:r>
      <w:r w:rsidRPr="001E5A69">
        <w:rPr>
          <w:rStyle w:val="Zvraznn"/>
          <w:iCs w:val="0"/>
        </w:rPr>
        <w:instrText>Summa de Bono</w:instrText>
      </w:r>
      <w:r>
        <w:rPr>
          <w:rStyle w:val="Zvraznn"/>
          <w:iCs w:val="0"/>
          <w:lang w:val="cs-CZ"/>
        </w:rPr>
        <w:instrText xml:space="preserve"> </w:instrText>
      </w:r>
      <w:r>
        <w:instrText xml:space="preserve">26.16‒17" </w:instrText>
      </w:r>
      <w:r>
        <w:fldChar w:fldCharType="end"/>
      </w:r>
      <w:r>
        <w:t>)</w:t>
      </w:r>
    </w:p>
  </w:footnote>
  <w:footnote w:id="202">
    <w:p w14:paraId="5B4EB738" w14:textId="77777777" w:rsidR="00CD2817" w:rsidRPr="002100F1" w:rsidRDefault="00CD2817" w:rsidP="08C142C9">
      <w:pPr>
        <w:pStyle w:val="Textpoznpodarou"/>
      </w:pPr>
      <w:r>
        <w:rPr>
          <w:rStyle w:val="Znakapoznpodarou"/>
        </w:rPr>
        <w:footnoteRef/>
      </w:r>
      <w:r>
        <w:t xml:space="preserve"> Klíčová pasáž u Aviceny je v díle </w:t>
      </w:r>
      <w:r w:rsidRPr="002100F1">
        <w:rPr>
          <w:rStyle w:val="Znakapoznpodarou"/>
          <w:rFonts w:eastAsia="TT2A7oI00"/>
          <w:i/>
          <w:vertAlign w:val="baseline"/>
        </w:rPr>
        <w:t>Kit</w:t>
      </w:r>
      <w:r w:rsidRPr="002100F1">
        <w:rPr>
          <w:rStyle w:val="Znakapoznpodarou"/>
          <w:rFonts w:eastAsia="TT2A7oI00" w:hint="eastAsia"/>
          <w:i/>
          <w:vertAlign w:val="baseline"/>
        </w:rPr>
        <w:t>ā</w:t>
      </w:r>
      <w:r w:rsidRPr="002100F1">
        <w:rPr>
          <w:rStyle w:val="Znakapoznpodarou"/>
          <w:rFonts w:eastAsia="TT2A7oI00"/>
          <w:i/>
          <w:vertAlign w:val="baseline"/>
        </w:rPr>
        <w:t>b al-Shif</w:t>
      </w:r>
      <w:r w:rsidRPr="002100F1">
        <w:rPr>
          <w:rStyle w:val="Znakapoznpodarou"/>
          <w:rFonts w:eastAsia="TT2A7oI00" w:hint="eastAsia"/>
          <w:i/>
          <w:vertAlign w:val="baseline"/>
        </w:rPr>
        <w:t>ā</w:t>
      </w:r>
      <w:r>
        <w:rPr>
          <w:rStyle w:val="Znakapoznpodarou"/>
          <w:rFonts w:eastAsia="TT2A7oI00"/>
          <w:vertAlign w:val="baseline"/>
        </w:rPr>
        <w:t xml:space="preserve"> </w:t>
      </w:r>
      <w:r w:rsidRPr="002100F1">
        <w:rPr>
          <w:rStyle w:val="Znakapoznpodarou"/>
          <w:rFonts w:eastAsia="TT2A7oI00"/>
          <w:vertAlign w:val="baseline"/>
        </w:rPr>
        <w:t>(</w:t>
      </w:r>
      <w:r w:rsidRPr="002100F1">
        <w:rPr>
          <w:rStyle w:val="Znakapoznpodarou"/>
          <w:rFonts w:eastAsia="TT2A7oI00"/>
          <w:i/>
          <w:vertAlign w:val="baseline"/>
        </w:rPr>
        <w:t>Sufficientia</w:t>
      </w:r>
      <w:r>
        <w:rPr>
          <w:rStyle w:val="Znakapoznpodarou"/>
          <w:rFonts w:eastAsia="TT2A7oI00"/>
          <w:vertAlign w:val="baseline"/>
        </w:rPr>
        <w:t xml:space="preserve">), </w:t>
      </w:r>
      <w:r>
        <w:t xml:space="preserve">ed. </w:t>
      </w:r>
      <w:r w:rsidRPr="002100F1">
        <w:rPr>
          <w:rStyle w:val="Znakapoznpodarou"/>
          <w:vertAlign w:val="baseline"/>
        </w:rPr>
        <w:t>Cairo 1960</w:t>
      </w:r>
      <w:r>
        <w:rPr>
          <w:rStyle w:val="Znakapoznpodarou"/>
          <w:vertAlign w:val="baseline"/>
        </w:rPr>
        <w:t xml:space="preserve">, </w:t>
      </w:r>
      <w:r w:rsidRPr="002100F1">
        <w:rPr>
          <w:rStyle w:val="Znakapoznpodarou"/>
          <w:vertAlign w:val="baseline"/>
        </w:rPr>
        <w:t>pp. 348–9</w:t>
      </w:r>
      <w:r>
        <w:t xml:space="preserve">, kde je čisté bytí jsoucna potvrzeno jako nejvyšší </w:t>
      </w:r>
      <w:r>
        <w:rPr>
          <w:i/>
        </w:rPr>
        <w:t>genus</w:t>
      </w:r>
      <w:r w:rsidRPr="002100F1">
        <w:rPr>
          <w:rStyle w:val="Znakapoznpodarou"/>
          <w:vertAlign w:val="baseline"/>
        </w:rPr>
        <w:t xml:space="preserve">. </w:t>
      </w:r>
      <w:r>
        <w:t>Na význam Avicennovy definice bytí jsoucna bez subjektu (</w:t>
      </w:r>
      <w:r w:rsidRPr="00DD3DBC">
        <w:rPr>
          <w:i/>
        </w:rPr>
        <w:t>ens non in subiectum</w:t>
      </w:r>
      <w:r>
        <w:t xml:space="preserve">) upozornil Gilson v souvislosti s exegezí Akvinského díla </w:t>
      </w:r>
      <w:r w:rsidRPr="00DD3DBC">
        <w:rPr>
          <w:i/>
        </w:rPr>
        <w:t>De potentia</w:t>
      </w:r>
      <w:r>
        <w:t xml:space="preserve"> 9.7, který toto pojetí kritizuje (Gilson 1974, 112‒13). </w:t>
      </w:r>
    </w:p>
  </w:footnote>
  <w:footnote w:id="203">
    <w:p w14:paraId="75D7B728" w14:textId="77777777" w:rsidR="00CD2817" w:rsidRPr="00441ABD" w:rsidRDefault="00CD2817" w:rsidP="0021793E">
      <w:pPr>
        <w:pStyle w:val="Textpoznpodarou"/>
      </w:pPr>
      <w:r>
        <w:rPr>
          <w:rStyle w:val="Znakapoznpodarou"/>
        </w:rPr>
        <w:footnoteRef/>
      </w:r>
      <w:r>
        <w:t xml:space="preserve"> „Absque enim ulla dubitatione constantissime asserit apus semetipsa et in se ipsa. Ego sum quae intelligo, quae scio, quae cognosco, quae volo, quae appeto, quae desidero, quae desideria seu volita inquiro, et cum possiblile est et licet acquiro volita, desiderata et appetita.“ (</w:t>
      </w:r>
      <w:r w:rsidRPr="00194E42">
        <w:rPr>
          <w:i/>
        </w:rPr>
        <w:t xml:space="preserve">Guilielmi </w:t>
      </w:r>
      <w:r>
        <w:rPr>
          <w:i/>
        </w:rPr>
        <w:t>De anima</w:t>
      </w:r>
      <w:r>
        <w:t xml:space="preserve"> III.10</w:t>
      </w:r>
      <w:r>
        <w:rPr>
          <w:lang w:val="cs-CZ"/>
        </w:rPr>
        <w:t>;</w:t>
      </w:r>
      <w:r>
        <w:t xml:space="preserve"> ed. Le Feron, p. 98</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w:instrText>
      </w:r>
      <w:r>
        <w:rPr>
          <w:lang w:val="cs-CZ"/>
        </w:rPr>
        <w:instrText>98</w:instrText>
      </w:r>
      <w:r>
        <w:instrText xml:space="preserve">" </w:instrText>
      </w:r>
      <w:r>
        <w:rPr>
          <w:i/>
        </w:rPr>
        <w:fldChar w:fldCharType="end"/>
      </w:r>
      <w:r>
        <w:t>)</w:t>
      </w:r>
    </w:p>
  </w:footnote>
  <w:footnote w:id="204">
    <w:p w14:paraId="6F9A753C" w14:textId="77777777" w:rsidR="00CD2817" w:rsidRPr="00A12E54" w:rsidRDefault="00CD2817">
      <w:pPr>
        <w:pStyle w:val="Textpoznpodarou"/>
      </w:pPr>
      <w:r>
        <w:rPr>
          <w:rStyle w:val="Znakapoznpodarou"/>
        </w:rPr>
        <w:footnoteRef/>
      </w:r>
      <w:r>
        <w:t xml:space="preserve"> „Potest siquidem alicui videri ex hoc sermone quod unaquaeque species animalis formet sibi corpus juxta convenientiam naturae suae, et hoc aliquando visum fuit sensisse Albumasar: quod si ita esset, tunc species humana formaret sibi corpus secundum ipsum. Hoc autem non videt posse intelligi de ipsa species quae est universale; universali enim agere vel pati non est opinio vel sermo philosophorum.“ (</w:t>
      </w:r>
      <w:r w:rsidRPr="001A460F">
        <w:rPr>
          <w:i/>
        </w:rPr>
        <w:t xml:space="preserve">Guilielmi </w:t>
      </w:r>
      <w:r>
        <w:rPr>
          <w:i/>
        </w:rPr>
        <w:t>De anima</w:t>
      </w:r>
      <w:r>
        <w:t xml:space="preserve"> IV.4, ed. Le Feron, p. 109</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w:instrText>
      </w:r>
      <w:r>
        <w:rPr>
          <w:lang w:val="cs-CZ"/>
        </w:rPr>
        <w:instrText>109</w:instrText>
      </w:r>
      <w:r>
        <w:instrText xml:space="preserve">" </w:instrText>
      </w:r>
      <w:r>
        <w:rPr>
          <w:i/>
        </w:rPr>
        <w:fldChar w:fldCharType="end"/>
      </w:r>
      <w:r>
        <w:t>)</w:t>
      </w:r>
    </w:p>
  </w:footnote>
  <w:footnote w:id="205">
    <w:p w14:paraId="13907ACE" w14:textId="77777777" w:rsidR="00CD2817" w:rsidRPr="00AA2E66" w:rsidRDefault="00CD2817" w:rsidP="00246AB7">
      <w:pPr>
        <w:pStyle w:val="Textpoznpodarou"/>
      </w:pPr>
      <w:r>
        <w:rPr>
          <w:rStyle w:val="Znakapoznpodarou"/>
        </w:rPr>
        <w:footnoteRef/>
      </w:r>
      <w:r>
        <w:t xml:space="preserve"> „Quoniam autem synderesim ponunt semper contradicere malis, et reclamere contra ea, perscrutanda erit mihi hic de hoc praesertim propter sermones erroneorum, et imbecillium.“ (</w:t>
      </w:r>
      <w:r w:rsidRPr="00133765">
        <w:rPr>
          <w:i/>
        </w:rPr>
        <w:t xml:space="preserve">Guilielmi </w:t>
      </w:r>
      <w:r>
        <w:rPr>
          <w:i/>
        </w:rPr>
        <w:t>De anima</w:t>
      </w:r>
      <w:r>
        <w:t xml:space="preserve"> VII.13</w:t>
      </w:r>
      <w:r>
        <w:rPr>
          <w:lang w:val="cs-CZ"/>
        </w:rPr>
        <w:t>;</w:t>
      </w:r>
      <w:r>
        <w:t xml:space="preserve"> ed. Le Feron, p. 219</w:t>
      </w:r>
      <w:r>
        <w:fldChar w:fldCharType="begin"/>
      </w:r>
      <w:r>
        <w:instrText xml:space="preserve"> XE "</w:instrText>
      </w:r>
      <w:r>
        <w:rPr>
          <w:lang w:val="cs-CZ"/>
        </w:rPr>
        <w:instrText>Alvernus:</w:instrText>
      </w:r>
      <w:r w:rsidRPr="08D500ED">
        <w:rPr>
          <w:i/>
        </w:rPr>
        <w:instrText>Guilielmi De anima</w:instrText>
      </w:r>
      <w:r w:rsidRPr="08D500ED">
        <w:instrText xml:space="preserve"> 219</w:instrText>
      </w:r>
      <w:r>
        <w:instrText xml:space="preserve">" </w:instrText>
      </w:r>
      <w:r>
        <w:fldChar w:fldCharType="end"/>
      </w:r>
      <w:r>
        <w:t>)</w:t>
      </w:r>
    </w:p>
  </w:footnote>
  <w:footnote w:id="206">
    <w:p w14:paraId="61223553" w14:textId="77777777" w:rsidR="00CD2817" w:rsidRPr="00B844EF" w:rsidRDefault="00CD2817" w:rsidP="00396F56">
      <w:pPr>
        <w:pStyle w:val="Textpoznpodarou"/>
      </w:pPr>
      <w:r w:rsidRPr="00B844EF">
        <w:rPr>
          <w:rStyle w:val="Znakapoznpodarou"/>
        </w:rPr>
        <w:footnoteRef/>
      </w:r>
      <w:r w:rsidRPr="00B844EF">
        <w:t xml:space="preserve"> „No paradox of contemporary politics is filled with a more poignant irony than the discrepancy between the efforts of well-meaning idealists who stu</w:t>
      </w:r>
      <w:r>
        <w:t>bbornly insist on regarding as 'inalienable'</w:t>
      </w:r>
      <w:r w:rsidRPr="00B844EF">
        <w:t xml:space="preserve"> those human rights, which are enjoyed only by citizens of the most prosperous and civilized countries, and the situation of the rightless themselves. Their situation has deteriorated just as stubbo</w:t>
      </w:r>
      <w:r>
        <w:t>rnly, until the internment camp</w:t>
      </w:r>
      <w:r>
        <w:rPr>
          <w:lang w:val="cs-CZ"/>
        </w:rPr>
        <w:t xml:space="preserve"> </w:t>
      </w:r>
      <w:r>
        <w:t>‒</w:t>
      </w:r>
      <w:r>
        <w:rPr>
          <w:lang w:val="cs-CZ"/>
        </w:rPr>
        <w:t xml:space="preserve"> </w:t>
      </w:r>
      <w:r w:rsidRPr="00B844EF">
        <w:t xml:space="preserve">prior to the second World War the exception rather </w:t>
      </w:r>
      <w:r>
        <w:t>than the rule for the stateless</w:t>
      </w:r>
      <w:r>
        <w:rPr>
          <w:lang w:val="cs-CZ"/>
        </w:rPr>
        <w:t xml:space="preserve"> </w:t>
      </w:r>
      <w:r>
        <w:t>‒</w:t>
      </w:r>
      <w:r>
        <w:rPr>
          <w:lang w:val="cs-CZ"/>
        </w:rPr>
        <w:t xml:space="preserve"> </w:t>
      </w:r>
      <w:r w:rsidRPr="00B844EF">
        <w:t xml:space="preserve">has become the routine solution for </w:t>
      </w:r>
      <w:r>
        <w:t>the problem of domicile of the 'displaced persons'</w:t>
      </w:r>
      <w:r>
        <w:rPr>
          <w:lang w:val="cs-CZ"/>
        </w:rPr>
        <w:t>.“</w:t>
      </w:r>
      <w:r w:rsidRPr="00B844EF">
        <w:t xml:space="preserve"> (Arendt 1962, 279)</w:t>
      </w:r>
    </w:p>
  </w:footnote>
  <w:footnote w:id="207">
    <w:p w14:paraId="01A6F9DF" w14:textId="77777777" w:rsidR="00CD2817" w:rsidRPr="0033415D" w:rsidRDefault="00CD2817" w:rsidP="000A5C4A">
      <w:pPr>
        <w:pStyle w:val="Textpoznpodarou"/>
      </w:pPr>
      <w:r>
        <w:rPr>
          <w:rStyle w:val="Znakapoznpodarou"/>
        </w:rPr>
        <w:footnoteRef/>
      </w:r>
      <w:r>
        <w:t xml:space="preserve"> „Post autem aggrediar declarare tibi ac determinare quid est intellectus qui dicitur theoricus seu speculativus, et quid ille qui dicitur practicus. Sciendum igitur in primis est tibi quod fuerunt erronei, et imbecilles quidam, et adhuc de huiusmodi hominibus aliqui sunt, qui dixerunt intellectum theoreticum sive speculativum vim quandam animae humanae, quae non intedit nisi rebus divinatoribus ac theologicis.“ (</w:t>
      </w:r>
      <w:r w:rsidRPr="00F95303">
        <w:rPr>
          <w:i/>
        </w:rPr>
        <w:t xml:space="preserve">Guilielmi </w:t>
      </w:r>
      <w:r>
        <w:rPr>
          <w:i/>
        </w:rPr>
        <w:t>De anima</w:t>
      </w:r>
      <w:r w:rsidRPr="00F95303">
        <w:rPr>
          <w:i/>
        </w:rPr>
        <w:t xml:space="preserve"> </w:t>
      </w:r>
      <w:r>
        <w:t>VII.12</w:t>
      </w:r>
      <w:r>
        <w:rPr>
          <w:lang w:val="cs-CZ"/>
        </w:rPr>
        <w:t>;</w:t>
      </w:r>
      <w:r>
        <w:t xml:space="preserve"> ed. Le Feron, p. 216</w:t>
      </w:r>
      <w:r>
        <w:rPr>
          <w:i/>
        </w:rPr>
        <w:fldChar w:fldCharType="begin"/>
      </w:r>
      <w:r>
        <w:instrText xml:space="preserve"> XE "</w:instrText>
      </w:r>
      <w:r>
        <w:rPr>
          <w:lang w:val="cs-CZ"/>
        </w:rPr>
        <w:instrText>Alvernus:</w:instrText>
      </w:r>
      <w:r w:rsidRPr="00EF3ADC">
        <w:rPr>
          <w:i/>
        </w:rPr>
        <w:instrText xml:space="preserve">Guilielmi </w:instrText>
      </w:r>
      <w:r>
        <w:rPr>
          <w:i/>
        </w:rPr>
        <w:instrText>De anima</w:instrText>
      </w:r>
      <w:r>
        <w:instrText xml:space="preserve"> </w:instrText>
      </w:r>
      <w:r>
        <w:rPr>
          <w:lang w:val="cs-CZ"/>
        </w:rPr>
        <w:instrText>216</w:instrText>
      </w:r>
      <w:r>
        <w:instrText xml:space="preserve">" </w:instrText>
      </w:r>
      <w:r>
        <w:rPr>
          <w:i/>
        </w:rPr>
        <w:fldChar w:fldCharType="end"/>
      </w:r>
      <w:r>
        <w:t xml:space="preserve">)  </w:t>
      </w:r>
    </w:p>
  </w:footnote>
  <w:footnote w:id="208">
    <w:p w14:paraId="7DCC9522" w14:textId="6439448D" w:rsidR="00CD2817" w:rsidRPr="086C7E48" w:rsidRDefault="00CD2817" w:rsidP="082404BE">
      <w:pPr>
        <w:pStyle w:val="Textpoznpodarou"/>
        <w:rPr>
          <w:lang w:val="cs-CZ"/>
        </w:rPr>
      </w:pPr>
      <w:r>
        <w:rPr>
          <w:rStyle w:val="Znakapoznpodarou"/>
        </w:rPr>
        <w:footnoteRef/>
      </w:r>
      <w:r>
        <w:rPr>
          <w:lang w:val="cs-CZ"/>
        </w:rPr>
        <w:t xml:space="preserve"> Alvernův ochránce byl vzdělaný právník a papež Řehoř IX. (†1241), který exkomunikoval </w:t>
      </w:r>
      <w:r>
        <w:t>Friedricha II.</w:t>
      </w:r>
      <w:r>
        <w:rPr>
          <w:lang w:val="cs-CZ"/>
        </w:rPr>
        <w:t>, ale musel interdikt odvolat po prohrané válce v Itálii v roce 1228. Jeho další bitva s tímto „heretikem“ šla přes univerzity, protože už Friedrich I. založil první evropskou univerzitu v Bologni (</w:t>
      </w:r>
      <w:r w:rsidRPr="08064546">
        <w:rPr>
          <w:i/>
        </w:rPr>
        <w:t>Constitutio Habita</w:t>
      </w:r>
      <w:r>
        <w:rPr>
          <w:lang w:val="cs-CZ"/>
        </w:rPr>
        <w:t xml:space="preserve">, 1158). Alvernus se stal Řehořovým spojencem proti </w:t>
      </w:r>
      <w:r>
        <w:t>Friedrich</w:t>
      </w:r>
      <w:r>
        <w:rPr>
          <w:lang w:val="cs-CZ"/>
        </w:rPr>
        <w:t>ovi</w:t>
      </w:r>
      <w:r>
        <w:t xml:space="preserve"> II</w:t>
      </w:r>
      <w:r>
        <w:rPr>
          <w:lang w:val="cs-CZ"/>
        </w:rPr>
        <w:t xml:space="preserve">. díky úspěšně vedené Pařížské univerzitě. To dokazuje papežská bula </w:t>
      </w:r>
      <w:r w:rsidRPr="08064546">
        <w:rPr>
          <w:i/>
          <w:iCs/>
        </w:rPr>
        <w:t>Parens Scientiarum Universitas</w:t>
      </w:r>
      <w:r>
        <w:rPr>
          <w:iCs/>
          <w:lang w:val="cs-CZ"/>
        </w:rPr>
        <w:t xml:space="preserve"> (1231), která vytvořila právní řád a papežskou ochranu Pařížské univerzity.</w:t>
      </w:r>
    </w:p>
  </w:footnote>
  <w:footnote w:id="209">
    <w:p w14:paraId="2C82313D" w14:textId="77777777" w:rsidR="00CD2817" w:rsidRPr="008C6A2A" w:rsidRDefault="00CD2817" w:rsidP="082929F5">
      <w:pPr>
        <w:pStyle w:val="Textpoznpodarou"/>
      </w:pPr>
      <w:r>
        <w:rPr>
          <w:rStyle w:val="Znakapoznpodarou"/>
        </w:rPr>
        <w:footnoteRef/>
      </w:r>
      <w:r>
        <w:t xml:space="preserve"> „Aristotle himself had maintained, says William, that the active intelligence is separate and that it shines upon the human intellect like an intelligible sun and thus produces knowledge in it. It can be observed that William attributes to Aristotle what is Avicennian and to the 'sequaces Aristotelis' what is Aristotelian.“ (Hasse 2000, 213)</w:t>
      </w:r>
    </w:p>
  </w:footnote>
  <w:footnote w:id="210">
    <w:p w14:paraId="19A7C828" w14:textId="77777777" w:rsidR="00CD2817" w:rsidRPr="00B74C94" w:rsidRDefault="00CD2817" w:rsidP="082929F5">
      <w:pPr>
        <w:pStyle w:val="Textpoznpodarou"/>
      </w:pPr>
      <w:r w:rsidRPr="00B74C94">
        <w:rPr>
          <w:rStyle w:val="Znakapoznpodarou"/>
        </w:rPr>
        <w:footnoteRef/>
      </w:r>
      <w:r>
        <w:rPr>
          <w:lang w:val="cs-CZ"/>
        </w:rPr>
        <w:t xml:space="preserve"> </w:t>
      </w:r>
      <w:r w:rsidRPr="00B74C94">
        <w:t xml:space="preserve">„Here William clearly attributes to Aristotle a position which Aristotle himself did not hold, but Avicenna did.“ </w:t>
      </w:r>
      <w:r>
        <w:rPr>
          <w:lang w:val="cs-CZ"/>
        </w:rPr>
        <w:t xml:space="preserve">Jako </w:t>
      </w:r>
      <w:r w:rsidRPr="00B74C94">
        <w:t>důkaz Teske uvádí stanovisko Rolanda de Vaux</w:t>
      </w:r>
      <w:r>
        <w:rPr>
          <w:lang w:val="cs-CZ"/>
        </w:rPr>
        <w:t>, který ovšem viděl do tohoto sporu mnohem hlouběji</w:t>
      </w:r>
      <w:r w:rsidRPr="00B74C94">
        <w:t>: „C’est donc Avicenne encore que nous allons retrouver derrière les sequaces Aristotelis.” (Teske 2006, 219).</w:t>
      </w:r>
    </w:p>
  </w:footnote>
  <w:footnote w:id="211">
    <w:p w14:paraId="54B65596" w14:textId="3AA925DC" w:rsidR="00CD2817" w:rsidRPr="000B3B38" w:rsidRDefault="00CD2817" w:rsidP="08594DB9">
      <w:pPr>
        <w:pStyle w:val="Textpoznpodarou"/>
        <w:rPr>
          <w:lang w:val="cs-CZ"/>
        </w:rPr>
      </w:pPr>
      <w:r>
        <w:rPr>
          <w:rStyle w:val="Znakapoznpodarou"/>
        </w:rPr>
        <w:footnoteRef/>
      </w:r>
      <w:r>
        <w:t xml:space="preserve"> </w:t>
      </w:r>
      <w:r>
        <w:rPr>
          <w:lang w:val="cs-CZ"/>
        </w:rPr>
        <w:t xml:space="preserve">Albertovo dílo je citované podle starší edice </w:t>
      </w:r>
      <w:r w:rsidRPr="000B3B38">
        <w:t>(</w:t>
      </w:r>
      <w:r w:rsidRPr="000B3B38">
        <w:rPr>
          <w:i/>
          <w:lang w:val="cs-CZ" w:eastAsia="cs-CZ"/>
        </w:rPr>
        <w:t>Opera omnia</w:t>
      </w:r>
      <w:r w:rsidRPr="000B3B38">
        <w:rPr>
          <w:rFonts w:eastAsia="Times"/>
        </w:rPr>
        <w:t>, ed. Borgnet</w:t>
      </w:r>
      <w:r>
        <w:rPr>
          <w:rFonts w:eastAsia="Times"/>
        </w:rPr>
        <w:t>,</w:t>
      </w:r>
      <w:r>
        <w:rPr>
          <w:rFonts w:eastAsia="Times"/>
          <w:lang w:val="cs-CZ"/>
        </w:rPr>
        <w:t xml:space="preserve"> </w:t>
      </w:r>
      <w:r>
        <w:rPr>
          <w:lang w:val="cs-CZ" w:eastAsia="cs-CZ"/>
        </w:rPr>
        <w:t>1890‒1899</w:t>
      </w:r>
      <w:r w:rsidRPr="000B3B38">
        <w:t>)</w:t>
      </w:r>
      <w:r>
        <w:rPr>
          <w:lang w:val="cs-CZ"/>
        </w:rPr>
        <w:t xml:space="preserve"> ze tří důvodů. Během redakce této knihy nebyly k dispozici všechny potřebné traktáty nyní vydávané v rámci </w:t>
      </w:r>
      <w:r w:rsidRPr="00D933DC">
        <w:rPr>
          <w:i/>
          <w:lang w:val="cs-CZ"/>
        </w:rPr>
        <w:t>Editio Coloniesis</w:t>
      </w:r>
      <w:r>
        <w:rPr>
          <w:lang w:val="cs-CZ"/>
        </w:rPr>
        <w:t xml:space="preserve">, zejména komentáře k logickým a přírodovědným dílům Aristotela a spis </w:t>
      </w:r>
      <w:r w:rsidRPr="00291493">
        <w:rPr>
          <w:i/>
        </w:rPr>
        <w:t>De intellectu et intelligibili</w:t>
      </w:r>
      <w:r>
        <w:rPr>
          <w:lang w:val="cs-CZ"/>
        </w:rPr>
        <w:t xml:space="preserve"> (t. II, III, VII). Pařížská edice je veřejně přístupná v elektronické podobě, což z pochopitelných důvodů není případ nové edice. Borgnetova edice i přes kampaň vedenou proti tzv. „averroismu“ předložila velmi korektní podání Averroesovy filosofie v Albertově díle.</w:t>
      </w:r>
    </w:p>
  </w:footnote>
  <w:footnote w:id="212">
    <w:p w14:paraId="71FE3807" w14:textId="77777777" w:rsidR="00CD2817" w:rsidRPr="00804562" w:rsidRDefault="00CD2817" w:rsidP="08FE248B">
      <w:pPr>
        <w:pStyle w:val="Textpoznpodarou"/>
      </w:pPr>
      <w:r>
        <w:rPr>
          <w:rStyle w:val="Znakapoznpodarou"/>
        </w:rPr>
        <w:footnoteRef/>
      </w:r>
      <w:r>
        <w:t xml:space="preserve"> „</w:t>
      </w:r>
      <w:r w:rsidRPr="00804562">
        <w:rPr>
          <w:rStyle w:val="TextpoznpodarouChar"/>
        </w:rPr>
        <w:t xml:space="preserve">The premisses must be the causes of the conclusion, better known than it, and prior to </w:t>
      </w:r>
      <w:r>
        <w:rPr>
          <w:rStyle w:val="TextpoznpodarouChar"/>
        </w:rPr>
        <w:t>it (</w:t>
      </w:r>
      <w:r w:rsidRPr="00804562">
        <w:t>αἴτιά τε καὶ γνωριμώτερα δεῖ εἶναι καὶ πρότερα</w:t>
      </w:r>
      <w:r>
        <w:rPr>
          <w:rStyle w:val="TextpoznpodarouChar"/>
        </w:rPr>
        <w:t>)</w:t>
      </w:r>
      <w:r w:rsidRPr="00804562">
        <w:rPr>
          <w:rStyle w:val="TextpoznpodarouChar"/>
        </w:rPr>
        <w:t xml:space="preserve">; its causes, since we possess scientific knowledge of a thing only when we know its </w:t>
      </w:r>
      <w:r>
        <w:rPr>
          <w:rStyle w:val="TextpoznpodarouChar"/>
        </w:rPr>
        <w:t>cause (</w:t>
      </w:r>
      <w:r w:rsidRPr="00804562">
        <w:t>αἴτια, καὶ προγινωσκόμενα...τῷ εἰδέναι ὅτι ἔστιν</w:t>
      </w:r>
      <w:r>
        <w:rPr>
          <w:rStyle w:val="TextpoznpodarouChar"/>
        </w:rPr>
        <w:t>).“ (</w:t>
      </w:r>
      <w:r w:rsidRPr="007B4077">
        <w:rPr>
          <w:i/>
          <w:szCs w:val="15"/>
        </w:rPr>
        <w:t>Anal. Post</w:t>
      </w:r>
      <w:r>
        <w:rPr>
          <w:szCs w:val="15"/>
        </w:rPr>
        <w:t>. 71b30‒33</w:t>
      </w:r>
      <w:r>
        <w:rPr>
          <w:szCs w:val="15"/>
        </w:rPr>
        <w:fldChar w:fldCharType="begin"/>
      </w:r>
      <w:r>
        <w:instrText xml:space="preserve"> XE "</w:instrText>
      </w:r>
      <w:r>
        <w:rPr>
          <w:lang w:val="cs-CZ"/>
        </w:rPr>
        <w:instrText>Aristoteles:</w:instrText>
      </w:r>
      <w:r w:rsidRPr="008A77C0">
        <w:rPr>
          <w:i/>
          <w:szCs w:val="15"/>
        </w:rPr>
        <w:instrText>Anal. Post</w:instrText>
      </w:r>
      <w:r w:rsidRPr="008A77C0">
        <w:rPr>
          <w:szCs w:val="15"/>
        </w:rPr>
        <w:instrText>. 71b30‒33</w:instrText>
      </w:r>
      <w:r>
        <w:instrText xml:space="preserve">" </w:instrText>
      </w:r>
      <w:r>
        <w:rPr>
          <w:szCs w:val="15"/>
        </w:rPr>
        <w:fldChar w:fldCharType="end"/>
      </w:r>
      <w:r>
        <w:rPr>
          <w:szCs w:val="15"/>
        </w:rPr>
        <w:t>; WA 1, trad. Mure</w:t>
      </w:r>
      <w:r>
        <w:rPr>
          <w:rStyle w:val="TextpoznpodarouChar"/>
        </w:rPr>
        <w:t>)</w:t>
      </w:r>
    </w:p>
  </w:footnote>
  <w:footnote w:id="213">
    <w:p w14:paraId="40B84AE5" w14:textId="77777777" w:rsidR="00CD2817" w:rsidRPr="00A43A7B" w:rsidRDefault="00CD2817" w:rsidP="08B81F9F">
      <w:pPr>
        <w:pStyle w:val="Textpoznpodarou"/>
      </w:pPr>
      <w:r>
        <w:rPr>
          <w:rStyle w:val="Znakapoznpodarou"/>
        </w:rPr>
        <w:footnoteRef/>
      </w:r>
      <w:r>
        <w:t xml:space="preserve"> </w:t>
      </w:r>
      <w:r>
        <w:rPr>
          <w:szCs w:val="19"/>
        </w:rPr>
        <w:t>„</w:t>
      </w:r>
      <w:r w:rsidRPr="00A43A7B">
        <w:rPr>
          <w:szCs w:val="19"/>
        </w:rPr>
        <w:t xml:space="preserve">They </w:t>
      </w:r>
      <w:r w:rsidRPr="00A43A7B">
        <w:t xml:space="preserve">are </w:t>
      </w:r>
      <w:r w:rsidRPr="00A43A7B">
        <w:rPr>
          <w:szCs w:val="13"/>
        </w:rPr>
        <w:t xml:space="preserve">in fact </w:t>
      </w:r>
      <w:r w:rsidRPr="00A43A7B">
        <w:t xml:space="preserve">four: </w:t>
      </w:r>
      <w:r>
        <w:rPr>
          <w:szCs w:val="12"/>
        </w:rPr>
        <w:t>(1</w:t>
      </w:r>
      <w:r w:rsidRPr="00A43A7B">
        <w:rPr>
          <w:szCs w:val="12"/>
        </w:rPr>
        <w:t>)</w:t>
      </w:r>
      <w:r>
        <w:rPr>
          <w:szCs w:val="12"/>
        </w:rPr>
        <w:t xml:space="preserve"> </w:t>
      </w:r>
      <w:r w:rsidRPr="00A43A7B">
        <w:rPr>
          <w:szCs w:val="16"/>
        </w:rPr>
        <w:t xml:space="preserve">whether </w:t>
      </w:r>
      <w:r w:rsidRPr="00A43A7B">
        <w:rPr>
          <w:szCs w:val="15"/>
        </w:rPr>
        <w:t xml:space="preserve">the </w:t>
      </w:r>
      <w:r w:rsidRPr="00A43A7B">
        <w:rPr>
          <w:szCs w:val="16"/>
        </w:rPr>
        <w:t xml:space="preserve">connexion </w:t>
      </w:r>
      <w:r w:rsidRPr="00A43A7B">
        <w:t xml:space="preserve">of </w:t>
      </w:r>
      <w:r w:rsidRPr="00A43A7B">
        <w:rPr>
          <w:szCs w:val="16"/>
        </w:rPr>
        <w:t xml:space="preserve">an </w:t>
      </w:r>
      <w:r w:rsidRPr="00A43A7B">
        <w:t xml:space="preserve">attribute </w:t>
      </w:r>
      <w:r w:rsidRPr="00A43A7B">
        <w:rPr>
          <w:szCs w:val="15"/>
        </w:rPr>
        <w:t xml:space="preserve">with a thing </w:t>
      </w:r>
      <w:r w:rsidRPr="00A43A7B">
        <w:rPr>
          <w:szCs w:val="10"/>
        </w:rPr>
        <w:t xml:space="preserve">is </w:t>
      </w:r>
      <w:r w:rsidRPr="00A43A7B">
        <w:rPr>
          <w:szCs w:val="15"/>
        </w:rPr>
        <w:t xml:space="preserve">a </w:t>
      </w:r>
      <w:r w:rsidRPr="00A43A7B">
        <w:rPr>
          <w:szCs w:val="12"/>
        </w:rPr>
        <w:t>fact,</w:t>
      </w:r>
      <w:r>
        <w:rPr>
          <w:szCs w:val="12"/>
        </w:rPr>
        <w:t xml:space="preserve"> </w:t>
      </w:r>
      <w:r w:rsidRPr="00A43A7B">
        <w:rPr>
          <w:szCs w:val="11"/>
        </w:rPr>
        <w:t xml:space="preserve">(2) </w:t>
      </w:r>
      <w:r w:rsidRPr="00A43A7B">
        <w:rPr>
          <w:szCs w:val="17"/>
        </w:rPr>
        <w:t xml:space="preserve">what </w:t>
      </w:r>
      <w:r w:rsidRPr="00A43A7B">
        <w:rPr>
          <w:szCs w:val="10"/>
        </w:rPr>
        <w:t xml:space="preserve">is </w:t>
      </w:r>
      <w:r w:rsidRPr="00A43A7B">
        <w:rPr>
          <w:szCs w:val="15"/>
        </w:rPr>
        <w:t xml:space="preserve">the reason of the connexion, </w:t>
      </w:r>
      <w:r w:rsidRPr="00A43A7B">
        <w:rPr>
          <w:szCs w:val="12"/>
        </w:rPr>
        <w:t xml:space="preserve">(3) </w:t>
      </w:r>
      <w:r w:rsidRPr="00A43A7B">
        <w:rPr>
          <w:szCs w:val="17"/>
        </w:rPr>
        <w:t xml:space="preserve">whether </w:t>
      </w:r>
      <w:r w:rsidRPr="00A43A7B">
        <w:rPr>
          <w:szCs w:val="15"/>
        </w:rPr>
        <w:t>a thing</w:t>
      </w:r>
      <w:r>
        <w:rPr>
          <w:szCs w:val="15"/>
        </w:rPr>
        <w:t xml:space="preserve"> </w:t>
      </w:r>
      <w:r w:rsidRPr="00A43A7B">
        <w:rPr>
          <w:szCs w:val="13"/>
        </w:rPr>
        <w:t xml:space="preserve">exists, </w:t>
      </w:r>
      <w:r w:rsidRPr="00A43A7B">
        <w:rPr>
          <w:szCs w:val="12"/>
        </w:rPr>
        <w:t xml:space="preserve">(4) </w:t>
      </w:r>
      <w:r w:rsidRPr="00A43A7B">
        <w:rPr>
          <w:szCs w:val="18"/>
        </w:rPr>
        <w:t xml:space="preserve">what </w:t>
      </w:r>
      <w:r w:rsidRPr="00A43A7B">
        <w:rPr>
          <w:szCs w:val="10"/>
        </w:rPr>
        <w:t xml:space="preserve">is </w:t>
      </w:r>
      <w:r w:rsidRPr="00A43A7B">
        <w:t xml:space="preserve">the </w:t>
      </w:r>
      <w:r w:rsidRPr="00A43A7B">
        <w:rPr>
          <w:szCs w:val="15"/>
        </w:rPr>
        <w:t xml:space="preserve">nature of the </w:t>
      </w:r>
      <w:r w:rsidRPr="00A43A7B">
        <w:rPr>
          <w:szCs w:val="13"/>
        </w:rPr>
        <w:t>thing.</w:t>
      </w:r>
      <w:r>
        <w:rPr>
          <w:szCs w:val="13"/>
        </w:rPr>
        <w:t>“ (</w:t>
      </w:r>
      <w:r>
        <w:rPr>
          <w:i/>
        </w:rPr>
        <w:t xml:space="preserve">Anal. </w:t>
      </w:r>
      <w:r>
        <w:rPr>
          <w:i/>
          <w:lang w:val="cs-CZ"/>
        </w:rPr>
        <w:t>P</w:t>
      </w:r>
      <w:r w:rsidRPr="00DD2AA7">
        <w:rPr>
          <w:i/>
        </w:rPr>
        <w:t>ost</w:t>
      </w:r>
      <w:r>
        <w:t>. 89b24‒25</w:t>
      </w:r>
      <w:r>
        <w:fldChar w:fldCharType="begin"/>
      </w:r>
      <w:r>
        <w:instrText xml:space="preserve"> XE "</w:instrText>
      </w:r>
      <w:r>
        <w:rPr>
          <w:lang w:val="cs-CZ"/>
        </w:rPr>
        <w:instrText>Aristoteles:</w:instrText>
      </w:r>
      <w:r w:rsidRPr="00F64230">
        <w:rPr>
          <w:i/>
        </w:rPr>
        <w:instrText>Anal. post</w:instrText>
      </w:r>
      <w:r>
        <w:instrText>.</w:instrText>
      </w:r>
      <w:r>
        <w:rPr>
          <w:lang w:val="cs-CZ"/>
        </w:rPr>
        <w:instrText xml:space="preserve"> </w:instrText>
      </w:r>
      <w:r w:rsidRPr="00F64230">
        <w:instrText>89b24‒25</w:instrText>
      </w:r>
      <w:r>
        <w:instrText xml:space="preserve">" </w:instrText>
      </w:r>
      <w:r>
        <w:fldChar w:fldCharType="end"/>
      </w:r>
      <w:r>
        <w:t>; WA 1, trad. Mure</w:t>
      </w:r>
      <w:r>
        <w:rPr>
          <w:szCs w:val="13"/>
        </w:rPr>
        <w:t>)</w:t>
      </w:r>
    </w:p>
  </w:footnote>
  <w:footnote w:id="214">
    <w:p w14:paraId="791E11D3" w14:textId="77777777" w:rsidR="00CD2817" w:rsidRPr="00251593" w:rsidRDefault="00CD2817" w:rsidP="08B81F9F">
      <w:pPr>
        <w:pStyle w:val="Textpoznpodarou"/>
      </w:pPr>
      <w:r>
        <w:rPr>
          <w:rStyle w:val="Znakapoznpodarou"/>
        </w:rPr>
        <w:footnoteRef/>
      </w:r>
      <w:r>
        <w:t xml:space="preserve"> „</w:t>
      </w:r>
      <w:r w:rsidRPr="00735552">
        <w:t xml:space="preserve">Et primo quidem modo consideratum </w:t>
      </w:r>
      <w:r w:rsidRPr="00735552">
        <w:rPr>
          <w:rStyle w:val="Zkladntext1"/>
          <w:rFonts w:ascii="Calibri" w:eastAsia="Times" w:hAnsi="Calibri"/>
          <w:spacing w:val="0"/>
          <w:sz w:val="21"/>
          <w:u w:val="none"/>
        </w:rPr>
        <w:t>princ</w:t>
      </w:r>
      <w:r>
        <w:rPr>
          <w:rStyle w:val="Zkladntext1"/>
          <w:rFonts w:ascii="Calibri" w:eastAsia="Times" w:hAnsi="Calibri"/>
          <w:spacing w:val="0"/>
          <w:sz w:val="21"/>
          <w:u w:val="none"/>
        </w:rPr>
        <w:t>ipium, est primum, verum, et im</w:t>
      </w:r>
      <w:r w:rsidRPr="00735552">
        <w:rPr>
          <w:rStyle w:val="Zkladntext1"/>
          <w:rFonts w:ascii="Calibri" w:eastAsia="Times" w:hAnsi="Calibri"/>
          <w:spacing w:val="0"/>
          <w:sz w:val="21"/>
          <w:u w:val="none"/>
        </w:rPr>
        <w:t>mediatum. Ex quo enim principiat, prin</w:t>
      </w:r>
      <w:r w:rsidRPr="00735552">
        <w:t>cipi</w:t>
      </w:r>
      <w:r w:rsidRPr="00735552">
        <w:rPr>
          <w:rStyle w:val="Zkladntext1"/>
          <w:rFonts w:ascii="Calibri" w:eastAsia="Times" w:hAnsi="Calibri"/>
          <w:spacing w:val="0"/>
          <w:sz w:val="21"/>
          <w:u w:val="none"/>
        </w:rPr>
        <w:t>u</w:t>
      </w:r>
      <w:r>
        <w:rPr>
          <w:rStyle w:val="Zkladntext1"/>
          <w:rFonts w:ascii="Calibri" w:eastAsia="Times" w:hAnsi="Calibri"/>
          <w:spacing w:val="0"/>
          <w:sz w:val="21"/>
          <w:u w:val="none"/>
        </w:rPr>
        <w:t>m illud per se est in esse vero</w:t>
      </w:r>
      <w:r w:rsidRPr="00735552">
        <w:rPr>
          <w:rStyle w:val="Zkladntext1"/>
          <w:rFonts w:ascii="Calibri" w:eastAsia="Times" w:hAnsi="Calibri"/>
          <w:spacing w:val="0"/>
          <w:sz w:val="21"/>
          <w:u w:val="none"/>
        </w:rPr>
        <w:t>: et</w:t>
      </w:r>
      <w:r w:rsidRPr="00735552">
        <w:t xml:space="preserve"> </w:t>
      </w:r>
      <w:r w:rsidRPr="00735552">
        <w:rPr>
          <w:rStyle w:val="Zkladntext1"/>
          <w:rFonts w:ascii="Calibri" w:eastAsia="Times" w:hAnsi="Calibri"/>
          <w:spacing w:val="0"/>
          <w:sz w:val="21"/>
          <w:u w:val="none"/>
        </w:rPr>
        <w:t>oportet quod sit determinatum</w:t>
      </w:r>
      <w:r w:rsidRPr="00735552">
        <w:t xml:space="preserve"> ad hoc qu</w:t>
      </w:r>
      <w:r>
        <w:t>od sit proprium ad principiatum</w:t>
      </w:r>
      <w:r w:rsidRPr="00735552">
        <w:t>: quia aliter non inferretur illud per se, et non</w:t>
      </w:r>
      <w:r>
        <w:t xml:space="preserve"> aliud. Dicamus ergo quod prin</w:t>
      </w:r>
      <w:r w:rsidRPr="00735552">
        <w:t>c</w:t>
      </w:r>
      <w:r w:rsidRPr="00735552">
        <w:rPr>
          <w:rStyle w:val="Zkladntext1"/>
          <w:rFonts w:ascii="Calibri" w:eastAsia="Times" w:hAnsi="Calibri"/>
          <w:spacing w:val="0"/>
          <w:sz w:val="21"/>
          <w:u w:val="none"/>
        </w:rPr>
        <w:t>ipium ex hoc quod est per se</w:t>
      </w:r>
      <w:r>
        <w:t>, oportet quod primum sit</w:t>
      </w:r>
      <w:r w:rsidRPr="00735552">
        <w:t xml:space="preserve">: quia per se est, et non per </w:t>
      </w:r>
      <w:r>
        <w:t>aliud, sed per ipsum est princi</w:t>
      </w:r>
      <w:r w:rsidRPr="00735552">
        <w:t xml:space="preserve">pium. </w:t>
      </w:r>
      <w:r w:rsidRPr="00735552">
        <w:rPr>
          <w:rStyle w:val="ZkladntextKurzvadkovn0pt"/>
          <w:rFonts w:ascii="Calibri" w:eastAsia="Times" w:hAnsi="Calibri"/>
          <w:iCs w:val="0"/>
          <w:spacing w:val="0"/>
          <w:sz w:val="21"/>
          <w:u w:val="none"/>
        </w:rPr>
        <w:t>Ver</w:t>
      </w:r>
      <w:r w:rsidRPr="00735552">
        <w:rPr>
          <w:rStyle w:val="ZkladntextKurzvadkovn0pt"/>
          <w:rFonts w:ascii="Calibri" w:eastAsia="Times" w:hAnsi="Calibri"/>
          <w:iCs w:val="0"/>
          <w:spacing w:val="0"/>
          <w:sz w:val="21"/>
          <w:u w:val="none"/>
          <w:lang w:val="cs-CZ"/>
        </w:rPr>
        <w:t>u</w:t>
      </w:r>
      <w:r w:rsidRPr="00735552">
        <w:rPr>
          <w:rStyle w:val="ZkladntextKurzvadkovn0pt"/>
          <w:rFonts w:ascii="Calibri" w:eastAsia="Times" w:hAnsi="Calibri"/>
          <w:iCs w:val="0"/>
          <w:spacing w:val="0"/>
          <w:sz w:val="21"/>
          <w:u w:val="none"/>
        </w:rPr>
        <w:t>m</w:t>
      </w:r>
      <w:r>
        <w:t xml:space="preserve"> autem</w:t>
      </w:r>
      <w:r w:rsidRPr="00735552">
        <w:t xml:space="preserve">: quia principium est </w:t>
      </w:r>
      <w:r>
        <w:t>secundum verum, propter quod co</w:t>
      </w:r>
      <w:r w:rsidRPr="00735552">
        <w:t>gnoscitur de ipso quia est.</w:t>
      </w:r>
      <w:r>
        <w:t>“ (</w:t>
      </w:r>
      <w:r>
        <w:rPr>
          <w:i/>
        </w:rPr>
        <w:t>Analytica P</w:t>
      </w:r>
      <w:r w:rsidRPr="000C79B9">
        <w:rPr>
          <w:i/>
        </w:rPr>
        <w:t>osterior</w:t>
      </w:r>
      <w:r>
        <w:rPr>
          <w:i/>
        </w:rPr>
        <w:t>a</w:t>
      </w:r>
      <w:r>
        <w:t>, Lib. I, Tract. II, cap. 3</w:t>
      </w:r>
      <w:r>
        <w:rPr>
          <w:lang w:val="cs-CZ"/>
        </w:rPr>
        <w:t>;</w:t>
      </w:r>
      <w:r>
        <w:t xml:space="preserve"> ed. Borgnet  2, 25b</w:t>
      </w:r>
      <w:r>
        <w:fldChar w:fldCharType="begin"/>
      </w:r>
      <w:r>
        <w:instrText xml:space="preserve"> XE "</w:instrText>
      </w:r>
      <w:r>
        <w:rPr>
          <w:lang w:val="cs-CZ"/>
        </w:rPr>
        <w:instrText>Albert:</w:instrText>
      </w:r>
      <w:r w:rsidRPr="00BB1794">
        <w:rPr>
          <w:i/>
        </w:rPr>
        <w:instrText>Analytica Posteriora</w:instrText>
      </w:r>
      <w:r w:rsidRPr="00BB1794">
        <w:instrText xml:space="preserve"> 25b</w:instrText>
      </w:r>
      <w:r>
        <w:instrText xml:space="preserve">" </w:instrText>
      </w:r>
      <w:r>
        <w:fldChar w:fldCharType="end"/>
      </w:r>
      <w:r>
        <w:t>)</w:t>
      </w:r>
    </w:p>
  </w:footnote>
  <w:footnote w:id="215">
    <w:p w14:paraId="24C5133C" w14:textId="77777777" w:rsidR="00CD2817" w:rsidRPr="088D4FAF" w:rsidRDefault="00CD2817" w:rsidP="002F7BEB">
      <w:pPr>
        <w:pStyle w:val="Textpoznpodarou"/>
        <w:rPr>
          <w:lang w:val="cs-CZ"/>
        </w:rPr>
      </w:pPr>
      <w:r>
        <w:rPr>
          <w:rStyle w:val="Znakapoznpodarou"/>
        </w:rPr>
        <w:footnoteRef/>
      </w:r>
      <w:r>
        <w:t xml:space="preserve"> </w:t>
      </w:r>
      <w:r>
        <w:rPr>
          <w:lang w:val="cs-CZ"/>
        </w:rPr>
        <w:t>„</w:t>
      </w:r>
      <w:r w:rsidRPr="088D4FAF">
        <w:t>Primum autem dicitur per privationem anterioris: quia scilicet ante ipsum non est ali</w:t>
      </w:r>
      <w:r>
        <w:t>ud</w:t>
      </w:r>
      <w:r w:rsidRPr="088D4FAF">
        <w:t xml:space="preserve">: </w:t>
      </w:r>
      <w:r w:rsidRPr="088D4FAF">
        <w:rPr>
          <w:i/>
        </w:rPr>
        <w:t>immediatam</w:t>
      </w:r>
      <w:r w:rsidRPr="088D4FAF">
        <w:t xml:space="preserve"> autem, eo quod inter ipsum et subjectum nullum est medium. Primum autem et </w:t>
      </w:r>
      <w:r w:rsidRPr="088D4FAF">
        <w:rPr>
          <w:i/>
        </w:rPr>
        <w:t>prius</w:t>
      </w:r>
      <w:r w:rsidRPr="088D4FAF">
        <w:t xml:space="preserve"> in hoc differunt, quia primum per privationem ejus quod est ante dicitur: prius autem dicit comparationem ad posterius. Prius autem et notius in hoc differunt: quia </w:t>
      </w:r>
      <w:r>
        <w:t>dicitur prius comparatum ad rem</w:t>
      </w:r>
      <w:r w:rsidRPr="088D4FAF">
        <w:t>: notius autem dicitur per comparationem ad noscentem</w:t>
      </w:r>
      <w:r>
        <w:t>. Et sic patet intellectus omni</w:t>
      </w:r>
      <w:r w:rsidRPr="088D4FAF">
        <w:t>um conditionum demonstrationis hic induciarum in diffinitione demonstrationis.</w:t>
      </w:r>
      <w:r>
        <w:t>“</w:t>
      </w:r>
      <w:r>
        <w:rPr>
          <w:lang w:val="cs-CZ"/>
        </w:rPr>
        <w:t xml:space="preserve"> </w:t>
      </w:r>
      <w:r>
        <w:t>(</w:t>
      </w:r>
      <w:r>
        <w:rPr>
          <w:i/>
        </w:rPr>
        <w:t>Analytica P</w:t>
      </w:r>
      <w:r w:rsidRPr="000C79B9">
        <w:rPr>
          <w:i/>
        </w:rPr>
        <w:t>osterior</w:t>
      </w:r>
      <w:r>
        <w:rPr>
          <w:i/>
        </w:rPr>
        <w:t>a</w:t>
      </w:r>
      <w:r>
        <w:t>, Lib. I, Tract. II, cap. 3</w:t>
      </w:r>
      <w:r>
        <w:rPr>
          <w:lang w:val="cs-CZ"/>
        </w:rPr>
        <w:t>;</w:t>
      </w:r>
      <w:r>
        <w:t xml:space="preserve"> ed. Borgnet  2, 25</w:t>
      </w:r>
      <w:r>
        <w:rPr>
          <w:lang w:val="cs-CZ"/>
        </w:rPr>
        <w:t>a</w:t>
      </w:r>
      <w:r>
        <w:fldChar w:fldCharType="begin"/>
      </w:r>
      <w:r>
        <w:instrText xml:space="preserve"> XE "</w:instrText>
      </w:r>
      <w:r>
        <w:rPr>
          <w:lang w:val="cs-CZ"/>
        </w:rPr>
        <w:instrText>Albert:</w:instrText>
      </w:r>
      <w:r w:rsidRPr="00BB1794">
        <w:rPr>
          <w:i/>
        </w:rPr>
        <w:instrText>Analytica Posteriora</w:instrText>
      </w:r>
      <w:r>
        <w:instrText xml:space="preserve"> 25</w:instrText>
      </w:r>
      <w:r>
        <w:rPr>
          <w:lang w:val="cs-CZ"/>
        </w:rPr>
        <w:instrText>a</w:instrText>
      </w:r>
      <w:r>
        <w:instrText xml:space="preserve">" </w:instrText>
      </w:r>
      <w:r>
        <w:fldChar w:fldCharType="end"/>
      </w:r>
      <w:r>
        <w:t>)</w:t>
      </w:r>
    </w:p>
  </w:footnote>
  <w:footnote w:id="216">
    <w:p w14:paraId="109E2950" w14:textId="77777777" w:rsidR="00CD2817" w:rsidRPr="00CA0D5E" w:rsidRDefault="00CD2817" w:rsidP="08DF7C7D">
      <w:pPr>
        <w:pStyle w:val="Textpoznpodarou"/>
      </w:pPr>
      <w:r>
        <w:rPr>
          <w:rStyle w:val="Znakapoznpodarou"/>
        </w:rPr>
        <w:footnoteRef/>
      </w:r>
      <w:r>
        <w:t xml:space="preserve"> </w:t>
      </w:r>
      <w:r w:rsidRPr="0065108B">
        <w:t>„</w:t>
      </w:r>
      <w:r>
        <w:t>I</w:t>
      </w:r>
      <w:r w:rsidRPr="0065108B">
        <w:t>nter tria prima, primum est in secundo, et primum et secundum sunt in tertio.</w:t>
      </w:r>
      <w:r>
        <w:t xml:space="preserve"> Primum enim est in vero per se</w:t>
      </w:r>
      <w:r w:rsidRPr="0065108B">
        <w:t>: quia per hoc quod est primum, est secundum seipsum verum et causa veritatis in sequentibus...“ (</w:t>
      </w:r>
      <w:r>
        <w:rPr>
          <w:i/>
        </w:rPr>
        <w:t>Analytica P</w:t>
      </w:r>
      <w:r w:rsidRPr="000C79B9">
        <w:rPr>
          <w:i/>
        </w:rPr>
        <w:t>osterior</w:t>
      </w:r>
      <w:r>
        <w:rPr>
          <w:i/>
        </w:rPr>
        <w:t>a</w:t>
      </w:r>
      <w:r>
        <w:t>, Lib. I, Tract. II, cap. 2</w:t>
      </w:r>
      <w:r>
        <w:rPr>
          <w:lang w:val="cs-CZ"/>
        </w:rPr>
        <w:t>;</w:t>
      </w:r>
      <w:r w:rsidRPr="0065108B">
        <w:t xml:space="preserve"> </w:t>
      </w:r>
      <w:r>
        <w:t xml:space="preserve">ed. Borgnet  2, </w:t>
      </w:r>
      <w:r w:rsidRPr="0065108B">
        <w:t>25</w:t>
      </w:r>
      <w:r>
        <w:t>b</w:t>
      </w:r>
      <w:r>
        <w:rPr>
          <w:lang w:val="cs-CZ"/>
        </w:rPr>
        <w:t xml:space="preserve"> </w:t>
      </w:r>
      <w:r>
        <w:fldChar w:fldCharType="begin"/>
      </w:r>
      <w:r>
        <w:instrText xml:space="preserve"> XE "</w:instrText>
      </w:r>
      <w:r>
        <w:rPr>
          <w:lang w:val="cs-CZ"/>
        </w:rPr>
        <w:instrText>Albert:</w:instrText>
      </w:r>
      <w:r w:rsidRPr="00BB1794">
        <w:rPr>
          <w:i/>
        </w:rPr>
        <w:instrText>Analytica Posteriora</w:instrText>
      </w:r>
      <w:r w:rsidRPr="00BB1794">
        <w:instrText xml:space="preserve"> 2, 25b</w:instrText>
      </w:r>
      <w:r>
        <w:instrText xml:space="preserve">" </w:instrText>
      </w:r>
      <w:r>
        <w:fldChar w:fldCharType="end"/>
      </w:r>
      <w:r w:rsidRPr="0065108B">
        <w:t>)</w:t>
      </w:r>
    </w:p>
  </w:footnote>
  <w:footnote w:id="217">
    <w:p w14:paraId="1EA3897A" w14:textId="77777777" w:rsidR="00CD2817" w:rsidRPr="0846586B" w:rsidRDefault="00CD2817" w:rsidP="08DF7C7D">
      <w:pPr>
        <w:pStyle w:val="Textpoznpodarou"/>
      </w:pPr>
      <w:r>
        <w:rPr>
          <w:rStyle w:val="Znakapoznpodarou"/>
        </w:rPr>
        <w:footnoteRef/>
      </w:r>
      <w:r>
        <w:t xml:space="preserve"> </w:t>
      </w:r>
      <w:r w:rsidRPr="0846586B">
        <w:rPr>
          <w:rFonts w:eastAsia="Times"/>
        </w:rPr>
        <w:t>„Et ita quia causa est, non pot</w:t>
      </w:r>
      <w:r w:rsidRPr="0846586B">
        <w:t xml:space="preserve">est esse quin sit prius in ordine essendi, </w:t>
      </w:r>
      <w:r w:rsidRPr="0846586B">
        <w:rPr>
          <w:rFonts w:eastAsia="Times"/>
        </w:rPr>
        <w:t>et notius in ordine cognoscendi, et causa</w:t>
      </w:r>
      <w:r w:rsidRPr="0846586B">
        <w:t xml:space="preserve"> in influendo esse causati. Iste videtur esse intellectus Aristotelis.“ (</w:t>
      </w:r>
      <w:r w:rsidRPr="0846586B">
        <w:rPr>
          <w:i/>
        </w:rPr>
        <w:t>Analytica Posteriora</w:t>
      </w:r>
      <w:r w:rsidRPr="0846586B">
        <w:t>, Lib. I, Tract. II, cap. 2; ed. Borgnet  2, p. 26a</w:t>
      </w:r>
      <w:r w:rsidRPr="0846586B">
        <w:fldChar w:fldCharType="begin"/>
      </w:r>
      <w:r w:rsidRPr="0846586B">
        <w:instrText xml:space="preserve"> XE "Albert:Analytica Posteriora 26a" </w:instrText>
      </w:r>
      <w:r w:rsidRPr="0846586B">
        <w:fldChar w:fldCharType="end"/>
      </w:r>
      <w:r w:rsidRPr="0846586B">
        <w:t>)</w:t>
      </w:r>
    </w:p>
  </w:footnote>
  <w:footnote w:id="218">
    <w:p w14:paraId="02DDD5A1" w14:textId="77777777" w:rsidR="00CD2817" w:rsidRPr="00504F8D" w:rsidRDefault="00CD2817" w:rsidP="08D55952">
      <w:pPr>
        <w:pStyle w:val="Textpoznpodarou"/>
      </w:pPr>
      <w:r>
        <w:rPr>
          <w:rStyle w:val="Znakapoznpodarou"/>
        </w:rPr>
        <w:footnoteRef/>
      </w:r>
      <w:r>
        <w:rPr>
          <w:lang w:val="cs-CZ"/>
        </w:rPr>
        <w:t xml:space="preserve"> „S</w:t>
      </w:r>
      <w:r w:rsidRPr="00504F8D">
        <w:t>icut eclipsatur privatur lumine ex objectu umbr</w:t>
      </w:r>
      <w:r>
        <w:t>ae terrae inter solem et lunam</w:t>
      </w:r>
      <w:r w:rsidRPr="00504F8D">
        <w:t>: talis enim diffinitio medium est demonstr</w:t>
      </w:r>
      <w:r>
        <w:t>ans passionem de subjecto: di</w:t>
      </w:r>
      <w:r w:rsidRPr="00504F8D">
        <w:t>cit enim quid est et propter quid est pa</w:t>
      </w:r>
      <w:r>
        <w:t>ssionis</w:t>
      </w:r>
      <w:r w:rsidRPr="00504F8D">
        <w:t>: illa vero quas concludi potest de su</w:t>
      </w:r>
      <w:r>
        <w:t>bjecto, non dicit nisi quid est: illa vero diffinitio quae</w:t>
      </w:r>
      <w:r w:rsidRPr="00504F8D">
        <w:t xml:space="preserve"> est subjecti, dicitur </w:t>
      </w:r>
      <w:r>
        <w:t>diffinitio secundum speciem quae non de</w:t>
      </w:r>
      <w:r w:rsidRPr="00504F8D">
        <w:t>monstratur</w:t>
      </w:r>
      <w:r>
        <w:t>.“ (</w:t>
      </w:r>
      <w:r>
        <w:rPr>
          <w:i/>
        </w:rPr>
        <w:t>Analytica P</w:t>
      </w:r>
      <w:r w:rsidRPr="000C79B9">
        <w:rPr>
          <w:i/>
        </w:rPr>
        <w:t>osterior</w:t>
      </w:r>
      <w:r>
        <w:rPr>
          <w:i/>
        </w:rPr>
        <w:t>a</w:t>
      </w:r>
      <w:r>
        <w:t>, Lib. I, Tract. II, cap. 17</w:t>
      </w:r>
      <w:r w:rsidRPr="0065108B">
        <w:t xml:space="preserve">, </w:t>
      </w:r>
      <w:r>
        <w:t>tertia expositio; ed. Borgnet  2, 64b</w:t>
      </w:r>
      <w:r>
        <w:fldChar w:fldCharType="begin"/>
      </w:r>
      <w:r>
        <w:instrText xml:space="preserve"> XE "</w:instrText>
      </w:r>
      <w:r>
        <w:rPr>
          <w:lang w:val="cs-CZ"/>
        </w:rPr>
        <w:instrText>Albert:</w:instrText>
      </w:r>
      <w:r w:rsidRPr="001505A8">
        <w:rPr>
          <w:i/>
        </w:rPr>
        <w:instrText>Analytica Posteriora</w:instrText>
      </w:r>
      <w:r>
        <w:instrText xml:space="preserve"> </w:instrText>
      </w:r>
      <w:r w:rsidRPr="001505A8">
        <w:instrText>6</w:instrText>
      </w:r>
      <w:r>
        <w:rPr>
          <w:lang w:val="cs-CZ"/>
        </w:rPr>
        <w:instrText>4b</w:instrText>
      </w:r>
      <w:r>
        <w:instrText xml:space="preserve">" </w:instrText>
      </w:r>
      <w:r>
        <w:fldChar w:fldCharType="end"/>
      </w:r>
      <w:r>
        <w:t xml:space="preserve">) </w:t>
      </w:r>
    </w:p>
  </w:footnote>
  <w:footnote w:id="219">
    <w:p w14:paraId="13593FD5" w14:textId="77777777" w:rsidR="00CD2817" w:rsidRPr="00904149" w:rsidRDefault="00CD2817">
      <w:pPr>
        <w:pStyle w:val="Textpoznpodarou"/>
      </w:pPr>
      <w:r>
        <w:rPr>
          <w:rStyle w:val="Znakapoznpodarou"/>
        </w:rPr>
        <w:footnoteRef/>
      </w:r>
      <w:r>
        <w:t xml:space="preserve"> „</w:t>
      </w:r>
      <w:r w:rsidRPr="00B314E2">
        <w:t>Si enim de aliquo n</w:t>
      </w:r>
      <w:r>
        <w:t>on quaereretur nisi ratione sub</w:t>
      </w:r>
      <w:r w:rsidRPr="00B314E2">
        <w:t xml:space="preserve">stantiae et naturae, non cognosceretur illud </w:t>
      </w:r>
      <w:r>
        <w:t>secundum esse determinatum par</w:t>
      </w:r>
      <w:r w:rsidRPr="00B314E2">
        <w:t>tium suarum et natura, sed in universali tantum, in quo non scirentur part</w:t>
      </w:r>
      <w:r>
        <w:t>es nisi in potentia, et sic sci</w:t>
      </w:r>
      <w:r w:rsidRPr="00B314E2">
        <w:t xml:space="preserve">entur imperfecte: et </w:t>
      </w:r>
      <w:r>
        <w:t xml:space="preserve">ideo </w:t>
      </w:r>
      <w:r w:rsidRPr="00B314E2">
        <w:t>necesse est, quod sciantur partes secundum quod determinatis</w:t>
      </w:r>
      <w:r>
        <w:t xml:space="preserve"> </w:t>
      </w:r>
      <w:r w:rsidRPr="00B314E2">
        <w:t xml:space="preserve">passionibus subjiciuntur: cum enim sic se habeant in esse et natura, erit iste modus </w:t>
      </w:r>
      <w:r>
        <w:t xml:space="preserve">sciendi </w:t>
      </w:r>
      <w:r w:rsidRPr="00B314E2">
        <w:t>rem in partic</w:t>
      </w:r>
      <w:r>
        <w:t>u</w:t>
      </w:r>
      <w:r w:rsidRPr="00B314E2">
        <w:t xml:space="preserve">lari et in propria natura, sicut habetur ab </w:t>
      </w:r>
      <w:r>
        <w:t xml:space="preserve">Aristotele </w:t>
      </w:r>
      <w:r w:rsidRPr="00B314E2">
        <w:t xml:space="preserve">in II </w:t>
      </w:r>
      <w:r>
        <w:t>Prioru</w:t>
      </w:r>
      <w:r w:rsidRPr="00DA1D3E">
        <w:t>m.</w:t>
      </w:r>
      <w:r>
        <w:t>“ (</w:t>
      </w:r>
      <w:r w:rsidRPr="008F37CD">
        <w:rPr>
          <w:i/>
        </w:rPr>
        <w:t>De homine</w:t>
      </w:r>
      <w:r>
        <w:t>, q. 1, a. 1, solutio, ad 1; ed. Borgnet</w:t>
      </w:r>
      <w:r>
        <w:rPr>
          <w:lang w:val="cs-CZ"/>
        </w:rPr>
        <w:t xml:space="preserve"> </w:t>
      </w:r>
      <w:r>
        <w:t>35,</w:t>
      </w:r>
      <w:r>
        <w:rPr>
          <w:lang w:val="cs-CZ"/>
        </w:rPr>
        <w:t xml:space="preserve"> </w:t>
      </w:r>
      <w:r>
        <w:t>4a</w:t>
      </w:r>
      <w:r>
        <w:fldChar w:fldCharType="begin"/>
      </w:r>
      <w:r>
        <w:instrText xml:space="preserve"> XE "</w:instrText>
      </w:r>
      <w:r>
        <w:rPr>
          <w:lang w:val="cs-CZ"/>
        </w:rPr>
        <w:instrText>Albert:</w:instrText>
      </w:r>
      <w:r w:rsidRPr="00D008FC">
        <w:rPr>
          <w:i/>
        </w:rPr>
        <w:instrText>De homine</w:instrText>
      </w:r>
      <w:r w:rsidRPr="00D008FC">
        <w:rPr>
          <w:lang w:val="cs-CZ"/>
        </w:rPr>
        <w:instrText xml:space="preserve"> </w:instrText>
      </w:r>
      <w:r w:rsidRPr="00D008FC">
        <w:instrText>4a</w:instrText>
      </w:r>
      <w:r>
        <w:instrText xml:space="preserve">" </w:instrText>
      </w:r>
      <w:r>
        <w:fldChar w:fldCharType="end"/>
      </w:r>
      <w:r>
        <w:t>)</w:t>
      </w:r>
    </w:p>
  </w:footnote>
  <w:footnote w:id="220">
    <w:p w14:paraId="61F286A7" w14:textId="77777777" w:rsidR="00CD2817" w:rsidRPr="0042062E" w:rsidRDefault="00CD2817">
      <w:pPr>
        <w:pStyle w:val="Textpoznpodarou"/>
      </w:pPr>
      <w:r>
        <w:rPr>
          <w:rStyle w:val="Znakapoznpodarou"/>
        </w:rPr>
        <w:footnoteRef/>
      </w:r>
      <w:r>
        <w:t xml:space="preserve"> „</w:t>
      </w:r>
      <w:r w:rsidRPr="002A13E9">
        <w:t>Et hoc necessarium est: quia illud principium demonstrationis quod est medium in demonstratione, est quid est, id est, dif</w:t>
      </w:r>
      <w:r>
        <w:t>finitio passionis non solum di</w:t>
      </w:r>
      <w:r w:rsidRPr="002A13E9">
        <w:t>cens esse passionis, sed etiam causam in esse demonstrationis, id est, quare insit.</w:t>
      </w:r>
      <w:r>
        <w:t>“ (</w:t>
      </w:r>
      <w:r w:rsidRPr="008F37CD">
        <w:rPr>
          <w:i/>
        </w:rPr>
        <w:t>De homine</w:t>
      </w:r>
      <w:r>
        <w:t>, q. 1, a. 1, solutio, ad 1; ed. Borgnet  35, 4b</w:t>
      </w:r>
      <w:r>
        <w:fldChar w:fldCharType="begin"/>
      </w:r>
      <w:r>
        <w:instrText xml:space="preserve"> XE "</w:instrText>
      </w:r>
      <w:r>
        <w:rPr>
          <w:lang w:val="cs-CZ"/>
        </w:rPr>
        <w:instrText>Albert:</w:instrText>
      </w:r>
      <w:r w:rsidRPr="00D008FC">
        <w:rPr>
          <w:i/>
        </w:rPr>
        <w:instrText>De homine</w:instrText>
      </w:r>
      <w:r w:rsidRPr="00D008FC">
        <w:rPr>
          <w:lang w:val="cs-CZ"/>
        </w:rPr>
        <w:instrText xml:space="preserve"> </w:instrText>
      </w:r>
      <w:r>
        <w:instrText>4</w:instrText>
      </w:r>
      <w:r>
        <w:rPr>
          <w:lang w:val="cs-CZ"/>
        </w:rPr>
        <w:instrText>b</w:instrText>
      </w:r>
      <w:r>
        <w:instrText xml:space="preserve">" </w:instrText>
      </w:r>
      <w:r>
        <w:fldChar w:fldCharType="end"/>
      </w:r>
      <w:r>
        <w:t>)</w:t>
      </w:r>
    </w:p>
  </w:footnote>
  <w:footnote w:id="221">
    <w:p w14:paraId="30248EF5" w14:textId="77777777" w:rsidR="00CD2817" w:rsidRPr="000B1353" w:rsidRDefault="00CD2817">
      <w:pPr>
        <w:pStyle w:val="Textpoznpodarou"/>
      </w:pPr>
      <w:r>
        <w:rPr>
          <w:rStyle w:val="Znakapoznpodarou"/>
        </w:rPr>
        <w:footnoteRef/>
      </w:r>
      <w:r>
        <w:t xml:space="preserve"> „Quae</w:t>
      </w:r>
      <w:r w:rsidRPr="0059591B">
        <w:t xml:space="preserve">dam est certitudo simpliciter, et alia </w:t>
      </w:r>
      <w:r>
        <w:t>est certi</w:t>
      </w:r>
      <w:r w:rsidRPr="0059591B">
        <w:t xml:space="preserve">tudo </w:t>
      </w:r>
      <w:r>
        <w:t>secundum quid. Certitudo simpli</w:t>
      </w:r>
      <w:r w:rsidRPr="0059591B">
        <w:t xml:space="preserve">citer </w:t>
      </w:r>
      <w:r>
        <w:t>est, quae est ex principiis ex quo</w:t>
      </w:r>
      <w:r w:rsidRPr="0059591B">
        <w:t xml:space="preserve">rum certitudine alia </w:t>
      </w:r>
      <w:r>
        <w:t>cognoscuntur</w:t>
      </w:r>
      <w:r w:rsidRPr="0059591B">
        <w:t>: e</w:t>
      </w:r>
      <w:r>
        <w:t>t sic certior est scientia animae quam corporis</w:t>
      </w:r>
      <w:r w:rsidRPr="0059591B">
        <w:t>: quia anima est causa dans esse specificu</w:t>
      </w:r>
      <w:r>
        <w:t>m corpori et rationem diffiniti</w:t>
      </w:r>
      <w:r w:rsidRPr="0059591B">
        <w:t xml:space="preserve">vam in quantum </w:t>
      </w:r>
      <w:r>
        <w:t>est animatum corpus et naturale</w:t>
      </w:r>
      <w:r w:rsidRPr="0059591B">
        <w:t>: et ideo certior est, quia ex ipsa cogno</w:t>
      </w:r>
      <w:r>
        <w:t>scitur esse corporis talis. Cer</w:t>
      </w:r>
      <w:r w:rsidRPr="0059591B">
        <w:t>titudo autem secundum quid est, quæ es</w:t>
      </w:r>
      <w:r>
        <w:t>t ad sensum et phantasiam, et hae</w:t>
      </w:r>
      <w:r w:rsidRPr="0059591B">
        <w:t>c magis competit corpori. Et hoc intendit Philosophus quando dicit animam esse principium animalium.</w:t>
      </w:r>
      <w:r>
        <w:t>“ (</w:t>
      </w:r>
      <w:r w:rsidRPr="00CB1941">
        <w:rPr>
          <w:i/>
        </w:rPr>
        <w:t>De homine</w:t>
      </w:r>
      <w:r>
        <w:t>, q. 1, a. 1, solutio, ad 4; ed. Borgnet</w:t>
      </w:r>
      <w:r>
        <w:rPr>
          <w:lang w:val="cs-CZ"/>
        </w:rPr>
        <w:t xml:space="preserve"> 35, </w:t>
      </w:r>
      <w:r>
        <w:t>5b</w:t>
      </w:r>
      <w:r>
        <w:fldChar w:fldCharType="begin"/>
      </w:r>
      <w:r>
        <w:instrText xml:space="preserve"> XE "</w:instrText>
      </w:r>
      <w:r>
        <w:rPr>
          <w:lang w:val="cs-CZ"/>
        </w:rPr>
        <w:instrText>Albert:</w:instrText>
      </w:r>
      <w:r w:rsidRPr="00D008FC">
        <w:rPr>
          <w:i/>
        </w:rPr>
        <w:instrText>De homine</w:instrText>
      </w:r>
      <w:r w:rsidRPr="00D008FC">
        <w:rPr>
          <w:lang w:val="cs-CZ"/>
        </w:rPr>
        <w:instrText xml:space="preserve"> </w:instrText>
      </w:r>
      <w:r>
        <w:rPr>
          <w:lang w:val="cs-CZ"/>
        </w:rPr>
        <w:instrText>5b</w:instrText>
      </w:r>
      <w:r>
        <w:instrText xml:space="preserve">" </w:instrText>
      </w:r>
      <w:r>
        <w:fldChar w:fldCharType="end"/>
      </w:r>
      <w:r>
        <w:t>)</w:t>
      </w:r>
    </w:p>
  </w:footnote>
  <w:footnote w:id="222">
    <w:p w14:paraId="058D2220" w14:textId="77777777" w:rsidR="00CD2817" w:rsidRPr="005E4261" w:rsidRDefault="00CD2817">
      <w:pPr>
        <w:pStyle w:val="Textpoznpodarou"/>
      </w:pPr>
      <w:r>
        <w:rPr>
          <w:rStyle w:val="Znakapoznpodarou"/>
        </w:rPr>
        <w:footnoteRef/>
      </w:r>
      <w:r>
        <w:t xml:space="preserve"> </w:t>
      </w:r>
      <w:r w:rsidRPr="005E4261">
        <w:t>„D</w:t>
      </w:r>
      <w:r w:rsidRPr="005E4261">
        <w:rPr>
          <w:rFonts w:eastAsia="Times"/>
        </w:rPr>
        <w:t>icat tamen quilibet quod vult, qu</w:t>
      </w:r>
      <w:r w:rsidRPr="005E4261">
        <w:t xml:space="preserve">od </w:t>
      </w:r>
      <w:r w:rsidRPr="005E4261">
        <w:rPr>
          <w:rFonts w:eastAsia="Times"/>
        </w:rPr>
        <w:t>ego non praejudicio alicui, sed dico quod</w:t>
      </w:r>
      <w:r w:rsidRPr="005E4261">
        <w:t xml:space="preserve"> d</w:t>
      </w:r>
      <w:r w:rsidRPr="005E4261">
        <w:rPr>
          <w:rFonts w:eastAsia="Times"/>
        </w:rPr>
        <w:t>ictum Aristotelis intelligo: dictum</w:t>
      </w:r>
      <w:r>
        <w:t xml:space="preserve"> au</w:t>
      </w:r>
      <w:r w:rsidRPr="005E4261">
        <w:rPr>
          <w:rFonts w:eastAsia="Times"/>
        </w:rPr>
        <w:t>tem illorum qui dicunt universale per</w:t>
      </w:r>
      <w:r w:rsidRPr="005E4261">
        <w:t xml:space="preserve"> </w:t>
      </w:r>
      <w:r w:rsidRPr="005E4261">
        <w:rPr>
          <w:rFonts w:eastAsia="Times"/>
        </w:rPr>
        <w:t>esse individuum esse in intellectu sicut</w:t>
      </w:r>
      <w:r w:rsidRPr="005E4261">
        <w:t xml:space="preserve"> in subiecto, nullo modo possum intelli</w:t>
      </w:r>
      <w:r w:rsidRPr="005E4261">
        <w:rPr>
          <w:rFonts w:eastAsia="Times"/>
        </w:rPr>
        <w:t>gere.“ (</w:t>
      </w:r>
      <w:r w:rsidRPr="005E4261">
        <w:rPr>
          <w:i/>
        </w:rPr>
        <w:t>Analytica Posteriora</w:t>
      </w:r>
      <w:r>
        <w:t xml:space="preserve">, </w:t>
      </w:r>
      <w:r>
        <w:rPr>
          <w:lang w:val="cs-CZ"/>
        </w:rPr>
        <w:t>l</w:t>
      </w:r>
      <w:r>
        <w:t xml:space="preserve">ib. I, </w:t>
      </w:r>
      <w:r>
        <w:rPr>
          <w:lang w:val="cs-CZ"/>
        </w:rPr>
        <w:t>t</w:t>
      </w:r>
      <w:r w:rsidRPr="005E4261">
        <w:t>ract. I, cap. III, ad 4; ed. Borgnet  2, 10b</w:t>
      </w:r>
      <w:r w:rsidRPr="005E4261">
        <w:fldChar w:fldCharType="begin"/>
      </w:r>
      <w:r w:rsidRPr="005E4261">
        <w:instrText xml:space="preserve"> XE "Albert:</w:instrText>
      </w:r>
      <w:r w:rsidRPr="004A6D64">
        <w:rPr>
          <w:i/>
        </w:rPr>
        <w:instrText>Analytica Posteriora</w:instrText>
      </w:r>
      <w:r>
        <w:rPr>
          <w:lang w:val="cs-CZ"/>
        </w:rPr>
        <w:instrText xml:space="preserve"> </w:instrText>
      </w:r>
      <w:r w:rsidRPr="005E4261">
        <w:instrText xml:space="preserve">10b" </w:instrText>
      </w:r>
      <w:r w:rsidRPr="005E4261">
        <w:fldChar w:fldCharType="end"/>
      </w:r>
      <w:r w:rsidRPr="005E4261">
        <w:rPr>
          <w:rFonts w:eastAsia="Times"/>
        </w:rPr>
        <w:t>)</w:t>
      </w:r>
    </w:p>
  </w:footnote>
  <w:footnote w:id="223">
    <w:p w14:paraId="1262E64B" w14:textId="77777777" w:rsidR="00CD2817" w:rsidRPr="00EC7C1B" w:rsidRDefault="00CD2817">
      <w:pPr>
        <w:pStyle w:val="Textpoznpodarou"/>
      </w:pPr>
      <w:r>
        <w:rPr>
          <w:rStyle w:val="Znakapoznpodarou"/>
        </w:rPr>
        <w:footnoteRef/>
      </w:r>
      <w:r>
        <w:t xml:space="preserve"> „</w:t>
      </w:r>
      <w:r>
        <w:rPr>
          <w:lang w:val="cs-CZ"/>
        </w:rPr>
        <w:t>I</w:t>
      </w:r>
      <w:r w:rsidRPr="00263217">
        <w:t>ntellectus s</w:t>
      </w:r>
      <w:r>
        <w:t>pecies est intelligibilium</w:t>
      </w:r>
      <w:r w:rsidRPr="00263217">
        <w:t>: et ideo id quod intelligitur, dicitur intellectuale secundum suum esse, et dicitur universale secundum suam potentiam.“ (</w:t>
      </w:r>
      <w:r>
        <w:rPr>
          <w:i/>
        </w:rPr>
        <w:t>Analytica P</w:t>
      </w:r>
      <w:r w:rsidRPr="000C79B9">
        <w:rPr>
          <w:i/>
        </w:rPr>
        <w:t>osterior</w:t>
      </w:r>
      <w:r>
        <w:rPr>
          <w:i/>
        </w:rPr>
        <w:t>a</w:t>
      </w:r>
      <w:r>
        <w:t xml:space="preserve">, </w:t>
      </w:r>
      <w:r>
        <w:rPr>
          <w:lang w:val="cs-CZ"/>
        </w:rPr>
        <w:t>l</w:t>
      </w:r>
      <w:r w:rsidRPr="00263217">
        <w:t>ib. I,</w:t>
      </w:r>
      <w:r>
        <w:t xml:space="preserve"> </w:t>
      </w:r>
      <w:r>
        <w:rPr>
          <w:lang w:val="cs-CZ"/>
        </w:rPr>
        <w:t>t</w:t>
      </w:r>
      <w:r>
        <w:t>ract. I, cap. III, ad</w:t>
      </w:r>
      <w:r>
        <w:rPr>
          <w:lang w:val="cs-CZ"/>
        </w:rPr>
        <w:t xml:space="preserve"> 4; </w:t>
      </w:r>
      <w:r>
        <w:t xml:space="preserve">ed. Borgnet  2, </w:t>
      </w:r>
      <w:r w:rsidRPr="00263217">
        <w:t>10</w:t>
      </w:r>
      <w:r>
        <w:t>a</w:t>
      </w:r>
      <w:r>
        <w:fldChar w:fldCharType="begin"/>
      </w:r>
      <w:r>
        <w:instrText xml:space="preserve"> XE "</w:instrText>
      </w:r>
      <w:r>
        <w:rPr>
          <w:lang w:val="cs-CZ"/>
        </w:rPr>
        <w:instrText>Albert:</w:instrText>
      </w:r>
      <w:r w:rsidRPr="005309EE">
        <w:rPr>
          <w:i/>
        </w:rPr>
        <w:instrText>Analytica Posteriora</w:instrText>
      </w:r>
      <w:r>
        <w:instrText xml:space="preserve"> 10</w:instrText>
      </w:r>
      <w:r>
        <w:rPr>
          <w:lang w:val="cs-CZ"/>
        </w:rPr>
        <w:instrText>a</w:instrText>
      </w:r>
      <w:r>
        <w:instrText xml:space="preserve">" </w:instrText>
      </w:r>
      <w:r>
        <w:fldChar w:fldCharType="end"/>
      </w:r>
      <w:r w:rsidRPr="00263217">
        <w:t>)</w:t>
      </w:r>
    </w:p>
  </w:footnote>
  <w:footnote w:id="224">
    <w:p w14:paraId="7729755A" w14:textId="77777777" w:rsidR="00CD2817" w:rsidRPr="002D79DE" w:rsidRDefault="00CD2817">
      <w:pPr>
        <w:pStyle w:val="Textpoznpodarou"/>
        <w:rPr>
          <w:lang w:val="cs-CZ"/>
        </w:rPr>
      </w:pPr>
      <w:r>
        <w:rPr>
          <w:rStyle w:val="Znakapoznpodarou"/>
        </w:rPr>
        <w:footnoteRef/>
      </w:r>
      <w:r>
        <w:t xml:space="preserve"> </w:t>
      </w:r>
      <w:r>
        <w:rPr>
          <w:lang w:val="cs-CZ"/>
        </w:rPr>
        <w:t>„Dicendum, quod anima est actus corporis physici, non simplicis, sed complexionati.“ (</w:t>
      </w:r>
      <w:r w:rsidRPr="002D79DE">
        <w:rPr>
          <w:i/>
          <w:lang w:val="cs-CZ"/>
        </w:rPr>
        <w:t>De homine</w:t>
      </w:r>
      <w:r>
        <w:rPr>
          <w:lang w:val="cs-CZ"/>
        </w:rPr>
        <w:t>, q. 4, solutio; Borgnet 35, 43b</w:t>
      </w:r>
      <w:r>
        <w:fldChar w:fldCharType="begin"/>
      </w:r>
      <w:r>
        <w:instrText xml:space="preserve"> XE "</w:instrText>
      </w:r>
      <w:r>
        <w:rPr>
          <w:lang w:val="cs-CZ"/>
        </w:rPr>
        <w:instrText>Albert:</w:instrText>
      </w:r>
      <w:r w:rsidRPr="00D008FC">
        <w:rPr>
          <w:i/>
        </w:rPr>
        <w:instrText>De homine</w:instrText>
      </w:r>
      <w:r w:rsidRPr="00D008FC">
        <w:rPr>
          <w:lang w:val="cs-CZ"/>
        </w:rPr>
        <w:instrText xml:space="preserve"> </w:instrText>
      </w:r>
      <w:r>
        <w:rPr>
          <w:lang w:val="cs-CZ"/>
        </w:rPr>
        <w:instrText>43b</w:instrText>
      </w:r>
      <w:r>
        <w:instrText xml:space="preserve">" </w:instrText>
      </w:r>
      <w:r>
        <w:fldChar w:fldCharType="end"/>
      </w:r>
      <w:r>
        <w:rPr>
          <w:lang w:val="cs-CZ"/>
        </w:rPr>
        <w:t>)</w:t>
      </w:r>
    </w:p>
  </w:footnote>
  <w:footnote w:id="225">
    <w:p w14:paraId="0C88010C" w14:textId="77777777" w:rsidR="00CD2817" w:rsidRPr="009B0393" w:rsidRDefault="00CD2817">
      <w:pPr>
        <w:pStyle w:val="Textpoznpodarou"/>
        <w:rPr>
          <w:lang w:val="cs-CZ"/>
        </w:rPr>
      </w:pPr>
      <w:r>
        <w:rPr>
          <w:rStyle w:val="Znakapoznpodarou"/>
        </w:rPr>
        <w:footnoteRef/>
      </w:r>
      <w:r>
        <w:t xml:space="preserve"> </w:t>
      </w:r>
      <w:r>
        <w:rPr>
          <w:lang w:val="cs-CZ"/>
        </w:rPr>
        <w:t>„</w:t>
      </w:r>
      <w:r w:rsidRPr="00A0002E">
        <w:t>Toutefois au grief trop rapide de syncrétisme, une étude d'Et. Gilson a préféré l'appréciation suivante</w:t>
      </w:r>
      <w:r>
        <w:rPr>
          <w:lang w:val="cs-CZ"/>
        </w:rPr>
        <w:t>:</w:t>
      </w:r>
      <w:r>
        <w:t xml:space="preserve"> bien qu'e</w:t>
      </w:r>
      <w:r>
        <w:rPr>
          <w:lang w:val="cs-CZ"/>
        </w:rPr>
        <w:t>ll</w:t>
      </w:r>
      <w:r>
        <w:t xml:space="preserve">e cherche à adopter la </w:t>
      </w:r>
      <w:r>
        <w:rPr>
          <w:lang w:val="cs-CZ"/>
        </w:rPr>
        <w:t>t</w:t>
      </w:r>
      <w:r>
        <w:t>hè</w:t>
      </w:r>
      <w:r w:rsidRPr="00A0002E">
        <w:t>se hylémorph</w:t>
      </w:r>
      <w:r>
        <w:t>ique d'Aristote</w:t>
      </w:r>
      <w:r>
        <w:rPr>
          <w:lang w:val="cs-CZ"/>
        </w:rPr>
        <w:t>,</w:t>
      </w:r>
      <w:r>
        <w:t xml:space="preserve"> </w:t>
      </w:r>
      <w:r>
        <w:rPr>
          <w:lang w:val="cs-CZ"/>
        </w:rPr>
        <w:t>l'</w:t>
      </w:r>
      <w:r>
        <w:t>anthropologie d'</w:t>
      </w:r>
      <w:r w:rsidRPr="00A0002E">
        <w:t>Albe</w:t>
      </w:r>
      <w:r>
        <w:t>rt demeure celle, platonicienne</w:t>
      </w:r>
      <w:r>
        <w:rPr>
          <w:lang w:val="cs-CZ"/>
        </w:rPr>
        <w:t>,</w:t>
      </w:r>
      <w:r>
        <w:t xml:space="preserve"> d'Avi</w:t>
      </w:r>
      <w:r>
        <w:rPr>
          <w:lang w:val="cs-CZ"/>
        </w:rPr>
        <w:t>ce</w:t>
      </w:r>
      <w:r w:rsidRPr="00A0002E">
        <w:t>nne et reste opposée a celle, aristotélicienne, de Thomas d</w:t>
      </w:r>
      <w:r>
        <w:t>'</w:t>
      </w:r>
      <w:r w:rsidRPr="00A0002E">
        <w:t>A</w:t>
      </w:r>
      <w:r>
        <w:rPr>
          <w:lang w:val="cs-CZ"/>
        </w:rPr>
        <w:t>quin.“</w:t>
      </w:r>
      <w:r w:rsidRPr="00A0002E">
        <w:t xml:space="preserve"> </w:t>
      </w:r>
      <w:r>
        <w:t>(Wéber 1991, 12</w:t>
      </w:r>
      <w:r>
        <w:rPr>
          <w:lang w:val="cs-CZ"/>
        </w:rPr>
        <w:t>1</w:t>
      </w:r>
      <w:r>
        <w:t>)</w:t>
      </w:r>
    </w:p>
  </w:footnote>
  <w:footnote w:id="226">
    <w:p w14:paraId="589CECDE" w14:textId="77777777" w:rsidR="00CD2817" w:rsidRPr="00585C03" w:rsidRDefault="00CD2817">
      <w:pPr>
        <w:pStyle w:val="Textpoznpodarou"/>
      </w:pPr>
      <w:r>
        <w:rPr>
          <w:rStyle w:val="Znakapoznpodarou"/>
        </w:rPr>
        <w:footnoteRef/>
      </w:r>
      <w:r>
        <w:t xml:space="preserve"> </w:t>
      </w:r>
      <w:r>
        <w:rPr>
          <w:rStyle w:val="Zkladntext1"/>
          <w:rFonts w:ascii="Calibri" w:eastAsia="Times" w:hAnsi="Calibri"/>
          <w:spacing w:val="0"/>
          <w:sz w:val="21"/>
          <w:u w:val="none"/>
          <w:lang w:val="cs-CZ"/>
        </w:rPr>
        <w:t>„</w:t>
      </w:r>
      <w:r w:rsidRPr="002E06DF">
        <w:rPr>
          <w:rStyle w:val="Zkladntext1"/>
          <w:rFonts w:ascii="Calibri" w:eastAsia="Times" w:hAnsi="Calibri"/>
          <w:spacing w:val="0"/>
          <w:sz w:val="21"/>
          <w:u w:val="none"/>
          <w:lang w:val="cs-CZ"/>
        </w:rPr>
        <w:t>Resolutio enim est compositi</w:t>
      </w:r>
      <w:r w:rsidRPr="008F4B42">
        <w:t xml:space="preserve"> in </w:t>
      </w:r>
      <w:r w:rsidRPr="002E06DF">
        <w:rPr>
          <w:rStyle w:val="Zkladntext1"/>
          <w:rFonts w:ascii="Calibri" w:eastAsia="Times" w:hAnsi="Calibri"/>
          <w:spacing w:val="0"/>
          <w:sz w:val="21"/>
          <w:u w:val="none"/>
          <w:lang w:val="cs-CZ"/>
        </w:rPr>
        <w:t>simplicia, et posterioris in prius, et causati in causam: et incipit ab ultimo secu</w:t>
      </w:r>
      <w:r>
        <w:t>n</w:t>
      </w:r>
      <w:r w:rsidRPr="008F4B42">
        <w:t>du</w:t>
      </w:r>
      <w:r>
        <w:t>m naturam quod immediatum sensi</w:t>
      </w:r>
      <w:r w:rsidRPr="002E06DF">
        <w:rPr>
          <w:rStyle w:val="Zkladntext1"/>
          <w:rFonts w:ascii="Calibri" w:eastAsia="Times" w:hAnsi="Calibri"/>
          <w:spacing w:val="0"/>
          <w:sz w:val="21"/>
          <w:u w:val="none"/>
          <w:lang w:val="cs-CZ"/>
        </w:rPr>
        <w:t>bile est sensuum, non quidem per se ve</w:t>
      </w:r>
      <w:r w:rsidRPr="008F4B42">
        <w:t xml:space="preserve">l </w:t>
      </w:r>
      <w:r w:rsidRPr="002E06DF">
        <w:rPr>
          <w:rStyle w:val="Zkladntext1"/>
          <w:rFonts w:ascii="Calibri" w:eastAsia="Times" w:hAnsi="Calibri"/>
          <w:spacing w:val="0"/>
          <w:sz w:val="21"/>
          <w:u w:val="none"/>
          <w:lang w:val="cs-CZ"/>
        </w:rPr>
        <w:t>commune sensatum, sed per accidens</w:t>
      </w:r>
      <w:r w:rsidRPr="008F4B42">
        <w:t xml:space="preserve">: </w:t>
      </w:r>
      <w:r w:rsidRPr="002E06DF">
        <w:rPr>
          <w:rStyle w:val="Zkladntext1"/>
          <w:rFonts w:ascii="Calibri" w:eastAsia="Times" w:hAnsi="Calibri"/>
          <w:spacing w:val="0"/>
          <w:sz w:val="21"/>
          <w:u w:val="none"/>
          <w:lang w:val="cs-CZ"/>
        </w:rPr>
        <w:t>quia in h</w:t>
      </w:r>
      <w:r>
        <w:rPr>
          <w:rStyle w:val="Zkladntext1"/>
          <w:rFonts w:ascii="Calibri" w:eastAsia="Times" w:hAnsi="Calibri"/>
          <w:spacing w:val="0"/>
          <w:sz w:val="21"/>
          <w:u w:val="none"/>
          <w:lang w:val="cs-CZ"/>
        </w:rPr>
        <w:t>oc albo crispo accipitur hic ho</w:t>
      </w:r>
      <w:r w:rsidRPr="002E06DF">
        <w:rPr>
          <w:rStyle w:val="Zkladntext1"/>
          <w:rFonts w:ascii="Calibri" w:eastAsia="Times" w:hAnsi="Calibri"/>
          <w:spacing w:val="0"/>
          <w:sz w:val="21"/>
          <w:u w:val="none"/>
          <w:lang w:val="cs-CZ"/>
        </w:rPr>
        <w:t>mo, et in hoc homine homo, et sic u</w:t>
      </w:r>
      <w:r w:rsidRPr="008F4B42">
        <w:t>s</w:t>
      </w:r>
      <w:r w:rsidRPr="002E06DF">
        <w:rPr>
          <w:rStyle w:val="Zkladntext1"/>
          <w:rFonts w:ascii="Calibri" w:eastAsia="Times" w:hAnsi="Calibri"/>
          <w:spacing w:val="0"/>
          <w:sz w:val="21"/>
          <w:u w:val="none"/>
          <w:lang w:val="cs-CZ"/>
        </w:rPr>
        <w:t>que ad primum in quo stat resolutio</w:t>
      </w:r>
      <w:r w:rsidRPr="008F4B42">
        <w:t>.</w:t>
      </w:r>
      <w:r>
        <w:t>“ (</w:t>
      </w:r>
      <w:r>
        <w:rPr>
          <w:i/>
        </w:rPr>
        <w:t>Analytica P</w:t>
      </w:r>
      <w:r w:rsidRPr="000C79B9">
        <w:rPr>
          <w:i/>
        </w:rPr>
        <w:t>osterior</w:t>
      </w:r>
      <w:r>
        <w:rPr>
          <w:i/>
        </w:rPr>
        <w:t>a</w:t>
      </w:r>
      <w:r>
        <w:t>, Lib. I, Tract. II, cap. 3</w:t>
      </w:r>
      <w:r>
        <w:rPr>
          <w:lang w:val="cs-CZ"/>
        </w:rPr>
        <w:t>;</w:t>
      </w:r>
      <w:r>
        <w:t xml:space="preserve"> ed. Borgnet  2, 27a</w:t>
      </w:r>
      <w:r>
        <w:fldChar w:fldCharType="begin"/>
      </w:r>
      <w:r>
        <w:instrText xml:space="preserve"> XE "</w:instrText>
      </w:r>
      <w:r>
        <w:rPr>
          <w:lang w:val="cs-CZ"/>
        </w:rPr>
        <w:instrText>Albert:</w:instrText>
      </w:r>
      <w:r w:rsidRPr="001505A8">
        <w:rPr>
          <w:i/>
        </w:rPr>
        <w:instrText>Analytica Posteriora</w:instrText>
      </w:r>
      <w:r>
        <w:instrText xml:space="preserve"> </w:instrText>
      </w:r>
      <w:r>
        <w:rPr>
          <w:lang w:val="cs-CZ"/>
        </w:rPr>
        <w:instrText>27a</w:instrText>
      </w:r>
      <w:r>
        <w:instrText xml:space="preserve">" </w:instrText>
      </w:r>
      <w:r>
        <w:fldChar w:fldCharType="end"/>
      </w:r>
      <w:r>
        <w:t>)</w:t>
      </w:r>
    </w:p>
  </w:footnote>
  <w:footnote w:id="227">
    <w:p w14:paraId="1737F3BE" w14:textId="77777777" w:rsidR="00CD2817" w:rsidRPr="003F4511" w:rsidRDefault="00CD2817" w:rsidP="00BA66E9">
      <w:pPr>
        <w:pStyle w:val="Textpoznpodarou"/>
      </w:pPr>
      <w:r w:rsidRPr="003F4511">
        <w:rPr>
          <w:rStyle w:val="Znakapoznpodarou"/>
        </w:rPr>
        <w:footnoteRef/>
      </w:r>
      <w:r w:rsidRPr="003F4511">
        <w:t xml:space="preserve"> „Loquendo autem naturaliter et secundum esse, non quaeruntur principia quae sunt genus et differentia: haec enim sunt principia cognitionis et non esse: nec ipsa hoc modo est species in natura, sed pars speciei.“ (</w:t>
      </w:r>
      <w:r w:rsidRPr="003F4511">
        <w:rPr>
          <w:i/>
        </w:rPr>
        <w:t>De homine</w:t>
      </w:r>
      <w:r w:rsidRPr="003F4511">
        <w:t>, q. 2, a. 1, solutio; ed. Borgnet  3, 12b</w:t>
      </w:r>
      <w:r>
        <w:fldChar w:fldCharType="begin"/>
      </w:r>
      <w:r>
        <w:instrText xml:space="preserve"> XE "</w:instrText>
      </w:r>
      <w:r>
        <w:rPr>
          <w:lang w:val="cs-CZ"/>
        </w:rPr>
        <w:instrText>Albert:</w:instrText>
      </w:r>
      <w:r w:rsidRPr="003F4511">
        <w:rPr>
          <w:i/>
        </w:rPr>
        <w:instrText>De homine</w:instrText>
      </w:r>
      <w:r>
        <w:rPr>
          <w:lang w:val="cs-CZ"/>
        </w:rPr>
        <w:instrText xml:space="preserve"> </w:instrText>
      </w:r>
      <w:r>
        <w:instrText>12</w:instrText>
      </w:r>
      <w:r w:rsidRPr="003F4511">
        <w:instrText>b</w:instrText>
      </w:r>
      <w:r>
        <w:instrText xml:space="preserve">" </w:instrText>
      </w:r>
      <w:r>
        <w:fldChar w:fldCharType="end"/>
      </w:r>
      <w:r w:rsidRPr="003F4511">
        <w:t>)</w:t>
      </w:r>
    </w:p>
  </w:footnote>
  <w:footnote w:id="228">
    <w:p w14:paraId="588E737F" w14:textId="5039BAD0" w:rsidR="00CD2817" w:rsidRPr="003944C6" w:rsidRDefault="00CD2817" w:rsidP="08E74A63">
      <w:pPr>
        <w:pStyle w:val="Textpoznpodarou"/>
      </w:pPr>
      <w:r>
        <w:rPr>
          <w:rStyle w:val="Znakapoznpodarou"/>
        </w:rPr>
        <w:footnoteRef/>
      </w:r>
      <w:r>
        <w:t xml:space="preserve"> </w:t>
      </w:r>
      <w:r>
        <w:rPr>
          <w:rFonts w:eastAsia="Times"/>
          <w:lang w:val="cs-CZ"/>
        </w:rPr>
        <w:t>„</w:t>
      </w:r>
      <w:r w:rsidRPr="003944C6">
        <w:rPr>
          <w:rFonts w:eastAsia="Times"/>
        </w:rPr>
        <w:t xml:space="preserve">Dicunt tamen aliqui quod demonstrativa scientia dicit scientiam </w:t>
      </w:r>
      <w:r>
        <w:rPr>
          <w:rFonts w:eastAsia="Times"/>
        </w:rPr>
        <w:t>in anima, qui est habitus acqui</w:t>
      </w:r>
      <w:r w:rsidRPr="003944C6">
        <w:rPr>
          <w:rFonts w:eastAsia="Times"/>
        </w:rPr>
        <w:t>situs per demonstrationem: sed tunc non erit diffinitio demonstrata de diffinito: et tunc prae</w:t>
      </w:r>
      <w:r>
        <w:rPr>
          <w:rFonts w:eastAsia="Times"/>
        </w:rPr>
        <w:t>positio ex notat causam vel cir</w:t>
      </w:r>
      <w:r w:rsidRPr="003944C6">
        <w:rPr>
          <w:rFonts w:eastAsia="Times"/>
        </w:rPr>
        <w:t>cumstantias causæ efficientis: præmissæ enim tales causa sunt efficiens talis ha</w:t>
      </w:r>
      <w:r>
        <w:rPr>
          <w:rFonts w:eastAsia="Times"/>
        </w:rPr>
        <w:t>bi</w:t>
      </w:r>
      <w:r w:rsidRPr="003944C6">
        <w:rPr>
          <w:rFonts w:eastAsia="Times"/>
        </w:rPr>
        <w:t xml:space="preserve">tus.“ </w:t>
      </w:r>
      <w:r w:rsidRPr="003944C6">
        <w:t>(</w:t>
      </w:r>
      <w:r w:rsidRPr="006B3903">
        <w:rPr>
          <w:i/>
        </w:rPr>
        <w:t>Analytica Posteriora</w:t>
      </w:r>
      <w:r>
        <w:t xml:space="preserve">, </w:t>
      </w:r>
      <w:r>
        <w:rPr>
          <w:lang w:val="cs-CZ"/>
        </w:rPr>
        <w:t>l</w:t>
      </w:r>
      <w:r>
        <w:t xml:space="preserve">ib. I, </w:t>
      </w:r>
      <w:r>
        <w:rPr>
          <w:lang w:val="cs-CZ"/>
        </w:rPr>
        <w:t>t</w:t>
      </w:r>
      <w:r>
        <w:t>ract. II, cap. 3</w:t>
      </w:r>
      <w:r>
        <w:rPr>
          <w:lang w:val="cs-CZ"/>
        </w:rPr>
        <w:t>;</w:t>
      </w:r>
      <w:r w:rsidRPr="003944C6">
        <w:t xml:space="preserve"> </w:t>
      </w:r>
      <w:r>
        <w:t xml:space="preserve">ed. Borgnet  2, </w:t>
      </w:r>
      <w:r w:rsidRPr="003944C6">
        <w:t>25a</w:t>
      </w:r>
      <w:r>
        <w:fldChar w:fldCharType="begin"/>
      </w:r>
      <w:r>
        <w:instrText xml:space="preserve"> XE "</w:instrText>
      </w:r>
      <w:r>
        <w:rPr>
          <w:lang w:val="cs-CZ"/>
        </w:rPr>
        <w:instrText>Albert:</w:instrText>
      </w:r>
      <w:r w:rsidRPr="006B3903">
        <w:rPr>
          <w:i/>
        </w:rPr>
        <w:instrText>Analytica Posteriora</w:instrText>
      </w:r>
      <w:r>
        <w:instrText xml:space="preserve"> </w:instrText>
      </w:r>
      <w:r w:rsidRPr="003944C6">
        <w:instrText>25a</w:instrText>
      </w:r>
      <w:r>
        <w:instrText xml:space="preserve"> " </w:instrText>
      </w:r>
      <w:r>
        <w:fldChar w:fldCharType="end"/>
      </w:r>
      <w:r w:rsidRPr="003944C6">
        <w:t>)</w:t>
      </w:r>
    </w:p>
  </w:footnote>
  <w:footnote w:id="229">
    <w:p w14:paraId="6BF1C72B" w14:textId="77777777" w:rsidR="00CD2817" w:rsidRPr="00044D37" w:rsidRDefault="00CD2817" w:rsidP="00044D37">
      <w:pPr>
        <w:pStyle w:val="Textpoznpodarou"/>
        <w:rPr>
          <w:lang w:val="cs-CZ"/>
        </w:rPr>
      </w:pPr>
      <w:r w:rsidRPr="005A3218">
        <w:rPr>
          <w:rStyle w:val="Znakapoznpodarou"/>
        </w:rPr>
        <w:footnoteRef/>
      </w:r>
      <w:r w:rsidRPr="003F4511">
        <w:t xml:space="preserve"> „Quod concedimus dicentes, quod anima est in duplici consideratione, scilicet rationis, et rei. Rationis secundum quod accipitur ut universale vel particulare: et sic est in consideratione logici. Rei autem duobus modis, scilicet secundum quod habet esse in natura, et sic est in consideratione naturalis Philosophi: et secundum quod est substantia non comparata ad corpus generabile et corruptibile, et sic considerat de ipsa primus Philosophus.“ (</w:t>
      </w:r>
      <w:r w:rsidRPr="003F4511">
        <w:rPr>
          <w:i/>
        </w:rPr>
        <w:t>De homine</w:t>
      </w:r>
      <w:r w:rsidRPr="003F4511">
        <w:t>, q. 2, a. 1, solutio; ed. Borgnet  35, 12a,b</w:t>
      </w:r>
      <w:r>
        <w:fldChar w:fldCharType="begin"/>
      </w:r>
      <w:r>
        <w:instrText xml:space="preserve"> XE "</w:instrText>
      </w:r>
      <w:r>
        <w:rPr>
          <w:lang w:val="cs-CZ"/>
        </w:rPr>
        <w:instrText>Albert:</w:instrText>
      </w:r>
      <w:r w:rsidRPr="003F4511">
        <w:rPr>
          <w:i/>
        </w:rPr>
        <w:instrText>De homine</w:instrText>
      </w:r>
      <w:r>
        <w:rPr>
          <w:lang w:val="cs-CZ"/>
        </w:rPr>
        <w:instrText xml:space="preserve"> </w:instrText>
      </w:r>
      <w:r w:rsidRPr="003F4511">
        <w:instrText>12a,b</w:instrText>
      </w:r>
      <w:r>
        <w:instrText xml:space="preserve">" </w:instrText>
      </w:r>
      <w:r>
        <w:fldChar w:fldCharType="end"/>
      </w:r>
      <w:r w:rsidRPr="003F4511">
        <w:t>)</w:t>
      </w:r>
    </w:p>
  </w:footnote>
  <w:footnote w:id="230">
    <w:p w14:paraId="3572BC60" w14:textId="77777777" w:rsidR="00CD2817" w:rsidRPr="00DF3E26" w:rsidRDefault="00CD2817" w:rsidP="00BF51B7">
      <w:pPr>
        <w:pStyle w:val="Textpoznpodarou"/>
      </w:pPr>
      <w:r>
        <w:rPr>
          <w:rStyle w:val="Znakapoznpodarou"/>
        </w:rPr>
        <w:footnoteRef/>
      </w:r>
      <w:r>
        <w:t xml:space="preserve"> </w:t>
      </w:r>
      <w:r w:rsidRPr="00DF3E26">
        <w:t>„Secundum Aristotelem et Avicennam, potentiae existentis in actu quatuor sunt gradus.“ (</w:t>
      </w:r>
      <w:r w:rsidRPr="00DF3E26">
        <w:rPr>
          <w:i/>
        </w:rPr>
        <w:t>De homine</w:t>
      </w:r>
      <w:r w:rsidRPr="00DF3E26">
        <w:t xml:space="preserve">, q. 54, a. 1, arg. 7; </w:t>
      </w:r>
      <w:r>
        <w:t xml:space="preserve">ed. Borgnet  35, </w:t>
      </w:r>
      <w:r w:rsidRPr="00DF3E26">
        <w:t>450b</w:t>
      </w:r>
      <w:r>
        <w:fldChar w:fldCharType="begin"/>
      </w:r>
      <w:r>
        <w:instrText xml:space="preserve"> XE "</w:instrText>
      </w:r>
      <w:r>
        <w:rPr>
          <w:lang w:val="cs-CZ"/>
        </w:rPr>
        <w:instrText>Albert:</w:instrText>
      </w:r>
      <w:r w:rsidRPr="009F5E08">
        <w:rPr>
          <w:i/>
        </w:rPr>
        <w:instrText>De homine</w:instrText>
      </w:r>
      <w:r w:rsidRPr="009F5E08">
        <w:instrText xml:space="preserve"> 450b</w:instrText>
      </w:r>
      <w:r>
        <w:instrText xml:space="preserve">" </w:instrText>
      </w:r>
      <w:r>
        <w:fldChar w:fldCharType="end"/>
      </w:r>
      <w:r w:rsidRPr="00DF3E26">
        <w:t>)</w:t>
      </w:r>
    </w:p>
  </w:footnote>
  <w:footnote w:id="231">
    <w:p w14:paraId="0DB17D2E" w14:textId="77777777" w:rsidR="00CD2817" w:rsidRPr="00DA452B" w:rsidRDefault="00CD2817">
      <w:pPr>
        <w:pStyle w:val="Textpoznpodarou"/>
        <w:rPr>
          <w:lang w:val="cs-CZ"/>
        </w:rPr>
      </w:pPr>
      <w:r>
        <w:rPr>
          <w:rStyle w:val="Znakapoznpodarou"/>
        </w:rPr>
        <w:footnoteRef/>
      </w:r>
      <w:r>
        <w:t xml:space="preserve"> </w:t>
      </w:r>
      <w:r>
        <w:rPr>
          <w:lang w:val="cs-CZ"/>
        </w:rPr>
        <w:t xml:space="preserve">„Averroes vero videtur ponere tres species intellectus, scilicet agentem, et possibilem, et speculativum.“ </w:t>
      </w:r>
      <w:r w:rsidRPr="00DF3E26">
        <w:t>(</w:t>
      </w:r>
      <w:r w:rsidRPr="00DF3E26">
        <w:rPr>
          <w:i/>
        </w:rPr>
        <w:t>De homine</w:t>
      </w:r>
      <w:r w:rsidRPr="00DF3E26">
        <w:t xml:space="preserve">, q. 54, a. 1, </w:t>
      </w:r>
      <w:r>
        <w:rPr>
          <w:lang w:val="cs-CZ"/>
        </w:rPr>
        <w:t>ad 1</w:t>
      </w:r>
      <w:r w:rsidRPr="00DF3E26">
        <w:t xml:space="preserve">; </w:t>
      </w:r>
      <w:r>
        <w:t>ed. Borgnet  35, 4</w:t>
      </w:r>
      <w:r>
        <w:rPr>
          <w:lang w:val="cs-CZ"/>
        </w:rPr>
        <w:t>49a</w:t>
      </w:r>
      <w:r>
        <w:fldChar w:fldCharType="begin"/>
      </w:r>
      <w:r>
        <w:instrText xml:space="preserve"> XE "</w:instrText>
      </w:r>
      <w:r>
        <w:rPr>
          <w:lang w:val="cs-CZ"/>
        </w:rPr>
        <w:instrText>Albert:</w:instrText>
      </w:r>
      <w:r w:rsidRPr="009F5E08">
        <w:rPr>
          <w:i/>
        </w:rPr>
        <w:instrText>De homine</w:instrText>
      </w:r>
      <w:r w:rsidRPr="009F5E08">
        <w:instrText xml:space="preserve"> </w:instrText>
      </w:r>
      <w:r>
        <w:instrText>4</w:instrText>
      </w:r>
      <w:r>
        <w:rPr>
          <w:lang w:val="cs-CZ"/>
        </w:rPr>
        <w:instrText>49a</w:instrText>
      </w:r>
      <w:r>
        <w:instrText xml:space="preserve">" </w:instrText>
      </w:r>
      <w:r>
        <w:fldChar w:fldCharType="end"/>
      </w:r>
      <w:r>
        <w:t>)</w:t>
      </w:r>
    </w:p>
  </w:footnote>
  <w:footnote w:id="232">
    <w:p w14:paraId="6D1BFA11" w14:textId="77777777" w:rsidR="00CD2817" w:rsidRPr="002150CC" w:rsidRDefault="00CD2817">
      <w:pPr>
        <w:pStyle w:val="Textpoznpodarou"/>
        <w:rPr>
          <w:lang w:val="cs-CZ"/>
        </w:rPr>
      </w:pPr>
      <w:r>
        <w:rPr>
          <w:rStyle w:val="Znakapoznpodarou"/>
        </w:rPr>
        <w:footnoteRef/>
      </w:r>
      <w:r>
        <w:t xml:space="preserve"> </w:t>
      </w:r>
      <w:r>
        <w:rPr>
          <w:lang w:val="cs-CZ"/>
        </w:rPr>
        <w:t>„</w:t>
      </w:r>
      <w:r w:rsidRPr="002150CC">
        <w:rPr>
          <w:lang w:val="cs-CZ"/>
        </w:rPr>
        <w:t>Videntur omnes assignatae divisiones esse diminutae.</w:t>
      </w:r>
      <w:r>
        <w:rPr>
          <w:lang w:val="cs-CZ"/>
        </w:rPr>
        <w:t xml:space="preserve"> </w:t>
      </w:r>
      <w:r w:rsidRPr="002150CC">
        <w:t>Invenitur enim intellect</w:t>
      </w:r>
      <w:r>
        <w:t>us simplex et intellectus compo</w:t>
      </w:r>
      <w:r w:rsidRPr="002150CC">
        <w:t>situs, qui sunt partes potentiae speculativae animae intellectualis,</w:t>
      </w:r>
      <w:r>
        <w:t xml:space="preserve"> et tamen non tanguntur in prae</w:t>
      </w:r>
      <w:r>
        <w:rPr>
          <w:lang w:val="cs-CZ"/>
        </w:rPr>
        <w:t>h</w:t>
      </w:r>
      <w:r w:rsidRPr="002150CC">
        <w:t>abitis divisionibus.</w:t>
      </w:r>
      <w:r>
        <w:rPr>
          <w:lang w:val="cs-CZ"/>
        </w:rPr>
        <w:t xml:space="preserve">“ </w:t>
      </w:r>
      <w:r w:rsidRPr="00DF3E26">
        <w:t>(</w:t>
      </w:r>
      <w:r w:rsidRPr="00DF3E26">
        <w:rPr>
          <w:i/>
        </w:rPr>
        <w:t>De homine</w:t>
      </w:r>
      <w:r>
        <w:t>, q. 5</w:t>
      </w:r>
      <w:r>
        <w:rPr>
          <w:lang w:val="cs-CZ"/>
        </w:rPr>
        <w:t>5</w:t>
      </w:r>
      <w:r w:rsidRPr="00DF3E26">
        <w:t xml:space="preserve">, a. 1, </w:t>
      </w:r>
      <w:r>
        <w:rPr>
          <w:lang w:val="cs-CZ"/>
        </w:rPr>
        <w:t>ad 5</w:t>
      </w:r>
      <w:r w:rsidRPr="00DF3E26">
        <w:t xml:space="preserve">; </w:t>
      </w:r>
      <w:r>
        <w:t>ed. Borgnet  35, 4</w:t>
      </w:r>
      <w:r>
        <w:rPr>
          <w:lang w:val="cs-CZ"/>
        </w:rPr>
        <w:t>50a</w:t>
      </w:r>
      <w:r>
        <w:fldChar w:fldCharType="begin"/>
      </w:r>
      <w:r>
        <w:instrText xml:space="preserve"> XE "</w:instrText>
      </w:r>
      <w:r>
        <w:rPr>
          <w:lang w:val="cs-CZ"/>
        </w:rPr>
        <w:instrText>Albert:</w:instrText>
      </w:r>
      <w:r w:rsidRPr="009F5E08">
        <w:rPr>
          <w:i/>
        </w:rPr>
        <w:instrText>De homine</w:instrText>
      </w:r>
      <w:r w:rsidRPr="009F5E08">
        <w:instrText xml:space="preserve"> </w:instrText>
      </w:r>
      <w:r>
        <w:instrText>4</w:instrText>
      </w:r>
      <w:r>
        <w:rPr>
          <w:lang w:val="cs-CZ"/>
        </w:rPr>
        <w:instrText>50a</w:instrText>
      </w:r>
      <w:r>
        <w:instrText xml:space="preserve">" </w:instrText>
      </w:r>
      <w:r>
        <w:fldChar w:fldCharType="end"/>
      </w:r>
      <w:r>
        <w:t>)</w:t>
      </w:r>
    </w:p>
  </w:footnote>
  <w:footnote w:id="233">
    <w:p w14:paraId="65554C65" w14:textId="77777777" w:rsidR="00CD2817" w:rsidRPr="005C0E02" w:rsidRDefault="00CD2817" w:rsidP="00CF4B5B">
      <w:pPr>
        <w:pStyle w:val="Textpoznpodarou"/>
      </w:pPr>
      <w:r>
        <w:rPr>
          <w:rStyle w:val="Znakapoznpodarou"/>
        </w:rPr>
        <w:footnoteRef/>
      </w:r>
      <w:r>
        <w:t xml:space="preserve"> </w:t>
      </w:r>
      <w:r>
        <w:rPr>
          <w:szCs w:val="30"/>
        </w:rPr>
        <w:t>„</w:t>
      </w:r>
      <w:r w:rsidRPr="005C0E02">
        <w:rPr>
          <w:szCs w:val="30"/>
        </w:rPr>
        <w:t>Et hoc</w:t>
      </w:r>
      <w:r w:rsidRPr="005C0E02">
        <w:t xml:space="preserve"> </w:t>
      </w:r>
      <w:r w:rsidRPr="005C0E02">
        <w:rPr>
          <w:szCs w:val="30"/>
        </w:rPr>
        <w:t xml:space="preserve">pronomen </w:t>
      </w:r>
      <w:r w:rsidRPr="005C0E02">
        <w:t>'</w:t>
      </w:r>
      <w:r w:rsidRPr="005C0E02">
        <w:rPr>
          <w:szCs w:val="30"/>
        </w:rPr>
        <w:t>ipsum</w:t>
      </w:r>
      <w:r w:rsidRPr="005C0E02">
        <w:t>'</w:t>
      </w:r>
      <w:r w:rsidRPr="005C0E02">
        <w:rPr>
          <w:szCs w:val="30"/>
        </w:rPr>
        <w:t xml:space="preserve"> potest referri ad intellectum materialem,</w:t>
      </w:r>
      <w:r w:rsidRPr="005C0E02">
        <w:t xml:space="preserve"> </w:t>
      </w:r>
      <w:r w:rsidRPr="005C0E02">
        <w:rPr>
          <w:szCs w:val="30"/>
        </w:rPr>
        <w:t>sicut diximus; et potest referri ad hominem intelligentem.</w:t>
      </w:r>
      <w:r>
        <w:rPr>
          <w:szCs w:val="30"/>
        </w:rPr>
        <w:t>“</w:t>
      </w:r>
      <w:r w:rsidRPr="005C0E02">
        <w:t xml:space="preserve"> (CMDA </w:t>
      </w:r>
      <w:r>
        <w:t>III.18</w:t>
      </w:r>
      <w:r>
        <w:rPr>
          <w:lang w:val="cs-CZ"/>
        </w:rPr>
        <w:t>;</w:t>
      </w:r>
      <w:r>
        <w:t xml:space="preserve"> 438.22‒</w:t>
      </w:r>
      <w:r w:rsidRPr="005C0E02">
        <w:t>24</w:t>
      </w:r>
      <w:r>
        <w:fldChar w:fldCharType="begin"/>
      </w:r>
      <w:r>
        <w:instrText xml:space="preserve"> XE "</w:instrText>
      </w:r>
      <w:r>
        <w:rPr>
          <w:lang w:val="cs-CZ"/>
        </w:rPr>
        <w:instrText>Averroes:</w:instrText>
      </w:r>
      <w:r w:rsidRPr="009A20F3">
        <w:instrText>CMDA 438.22‒24</w:instrText>
      </w:r>
      <w:r>
        <w:instrText xml:space="preserve">" </w:instrText>
      </w:r>
      <w:r>
        <w:fldChar w:fldCharType="end"/>
      </w:r>
      <w:r>
        <w:t>)</w:t>
      </w:r>
      <w:r w:rsidRPr="005C0E02">
        <w:t xml:space="preserve"> </w:t>
      </w:r>
    </w:p>
  </w:footnote>
  <w:footnote w:id="234">
    <w:p w14:paraId="1460A007" w14:textId="77777777" w:rsidR="00CD2817" w:rsidRPr="00D23D30" w:rsidRDefault="00CD2817" w:rsidP="009A23A5">
      <w:pPr>
        <w:pStyle w:val="Textpoznpodarou"/>
      </w:pPr>
      <w:r>
        <w:rPr>
          <w:rStyle w:val="Znakapoznpodarou"/>
        </w:rPr>
        <w:footnoteRef/>
      </w:r>
      <w:r>
        <w:t xml:space="preserve"> </w:t>
      </w:r>
      <w:r w:rsidRPr="00D23D30">
        <w:t>„Videntur non esse nisi tres species intellectus. In omni enim quod exit de potentia ad actum, non sunt nisi tria, scilicet transmutans, et transmutatum, et illud in quod est transmutatio. Cum ergo anima intellectiva in suis intelligibilibus distinguatur penes ea quae sunt in transmutatione, non erunt nisi tres intellectus in ipsa, scilicet agens qui transmutans est, et possibilis qui est transmutatus, et speculativus in quem est transmutatio.“ (</w:t>
      </w:r>
      <w:r w:rsidRPr="00D23D30">
        <w:rPr>
          <w:i/>
        </w:rPr>
        <w:t>De homine</w:t>
      </w:r>
      <w:r w:rsidRPr="00D23D30">
        <w:t xml:space="preserve">, q. 54, a. 1, arg. 4; </w:t>
      </w:r>
      <w:r>
        <w:t xml:space="preserve">ed. Borgnet  35, </w:t>
      </w:r>
      <w:r w:rsidRPr="00D23D30">
        <w:t>450a</w:t>
      </w:r>
      <w:r>
        <w:fldChar w:fldCharType="begin"/>
      </w:r>
      <w:r>
        <w:instrText xml:space="preserve"> XE "</w:instrText>
      </w:r>
      <w:r>
        <w:rPr>
          <w:lang w:val="cs-CZ"/>
        </w:rPr>
        <w:instrText>Albert:</w:instrText>
      </w:r>
      <w:r w:rsidRPr="009F5E08">
        <w:rPr>
          <w:i/>
        </w:rPr>
        <w:instrText>De homine</w:instrText>
      </w:r>
      <w:r w:rsidRPr="009F5E08">
        <w:instrText xml:space="preserve"> </w:instrText>
      </w:r>
      <w:r>
        <w:instrText>4</w:instrText>
      </w:r>
      <w:r>
        <w:rPr>
          <w:lang w:val="cs-CZ"/>
        </w:rPr>
        <w:instrText>50a</w:instrText>
      </w:r>
      <w:r>
        <w:instrText xml:space="preserve">" </w:instrText>
      </w:r>
      <w:r>
        <w:fldChar w:fldCharType="end"/>
      </w:r>
      <w:r w:rsidRPr="00D23D30">
        <w:t>)</w:t>
      </w:r>
    </w:p>
  </w:footnote>
  <w:footnote w:id="235">
    <w:p w14:paraId="59E7DE25" w14:textId="77777777" w:rsidR="00CD2817" w:rsidRPr="00753949" w:rsidRDefault="00CD2817" w:rsidP="0089266C">
      <w:pPr>
        <w:pStyle w:val="Textpoznpodarou"/>
      </w:pPr>
      <w:r>
        <w:rPr>
          <w:rStyle w:val="Znakapoznpodarou"/>
        </w:rPr>
        <w:footnoteRef/>
      </w:r>
      <w:r>
        <w:t xml:space="preserve"> „</w:t>
      </w:r>
      <w:r>
        <w:rPr>
          <w:lang w:val="cs-CZ"/>
        </w:rPr>
        <w:t>I</w:t>
      </w:r>
      <w:r w:rsidRPr="00263217">
        <w:t>ntellec</w:t>
      </w:r>
      <w:r>
        <w:t>tus species est intelligibilium</w:t>
      </w:r>
      <w:r w:rsidRPr="00263217">
        <w:t>: et ideo id quod intelligitur, dicitur intellectuale secundum suum esse, et dicitur universale secundum suam potentiam.“ (</w:t>
      </w:r>
      <w:r>
        <w:rPr>
          <w:i/>
        </w:rPr>
        <w:t>Analytica P</w:t>
      </w:r>
      <w:r w:rsidRPr="000C79B9">
        <w:rPr>
          <w:i/>
        </w:rPr>
        <w:t>osterior</w:t>
      </w:r>
      <w:r>
        <w:rPr>
          <w:i/>
        </w:rPr>
        <w:t>a</w:t>
      </w:r>
      <w:r>
        <w:t xml:space="preserve">, </w:t>
      </w:r>
      <w:r>
        <w:rPr>
          <w:lang w:val="cs-CZ"/>
        </w:rPr>
        <w:t>l</w:t>
      </w:r>
      <w:r>
        <w:t xml:space="preserve">ib. I, </w:t>
      </w:r>
      <w:r>
        <w:rPr>
          <w:lang w:val="cs-CZ"/>
        </w:rPr>
        <w:t>t</w:t>
      </w:r>
      <w:r w:rsidRPr="00263217">
        <w:t>ract. I, cap. III, ad quarta</w:t>
      </w:r>
      <w:r>
        <w:rPr>
          <w:lang w:val="cs-CZ"/>
        </w:rPr>
        <w:t>;</w:t>
      </w:r>
      <w:r w:rsidRPr="00263217">
        <w:t xml:space="preserve"> </w:t>
      </w:r>
      <w:r>
        <w:t>ed. Borgnet  2, 10</w:t>
      </w:r>
      <w:r>
        <w:rPr>
          <w:lang w:val="cs-CZ"/>
        </w:rPr>
        <w:t>a</w:t>
      </w:r>
      <w:r>
        <w:fldChar w:fldCharType="begin"/>
      </w:r>
      <w:r>
        <w:instrText xml:space="preserve"> XE "</w:instrText>
      </w:r>
      <w:r>
        <w:rPr>
          <w:lang w:val="cs-CZ"/>
        </w:rPr>
        <w:instrText>Albert:</w:instrText>
      </w:r>
      <w:r>
        <w:rPr>
          <w:i/>
        </w:rPr>
        <w:instrText>Analytica P</w:instrText>
      </w:r>
      <w:r w:rsidRPr="000C79B9">
        <w:rPr>
          <w:i/>
        </w:rPr>
        <w:instrText>osterior</w:instrText>
      </w:r>
      <w:r>
        <w:rPr>
          <w:i/>
        </w:rPr>
        <w:instrText>a</w:instrText>
      </w:r>
      <w:r>
        <w:rPr>
          <w:lang w:val="cs-CZ"/>
        </w:rPr>
        <w:instrText xml:space="preserve"> </w:instrText>
      </w:r>
      <w:r>
        <w:instrText>10</w:instrText>
      </w:r>
      <w:r>
        <w:rPr>
          <w:lang w:val="cs-CZ"/>
        </w:rPr>
        <w:instrText>a</w:instrText>
      </w:r>
      <w:r>
        <w:instrText xml:space="preserve"> " </w:instrText>
      </w:r>
      <w:r>
        <w:fldChar w:fldCharType="end"/>
      </w:r>
      <w:r w:rsidRPr="00263217">
        <w:t>)</w:t>
      </w:r>
    </w:p>
  </w:footnote>
  <w:footnote w:id="236">
    <w:p w14:paraId="2F4214B9" w14:textId="77777777" w:rsidR="00CD2817" w:rsidRPr="005F3179" w:rsidRDefault="00CD2817">
      <w:pPr>
        <w:pStyle w:val="Textpoznpodarou"/>
      </w:pPr>
      <w:r>
        <w:rPr>
          <w:rStyle w:val="Znakapoznpodarou"/>
        </w:rPr>
        <w:footnoteRef/>
      </w:r>
      <w:r>
        <w:t xml:space="preserve"> „I</w:t>
      </w:r>
      <w:r w:rsidRPr="00D732A3">
        <w:t>ntellectus speculativus habet duo, scilicet subjectum, et speciem. Subjectum autem non est idem apud omnes. Species autem consideratur duobus modis, scilicet ut ratio rei, et ut accidens animae. Et ut ratio rei est apud omnes idem: ut accidens vero animae individuatur in omnibus animalibus.</w:t>
      </w:r>
      <w:r>
        <w:t xml:space="preserve">“ </w:t>
      </w:r>
      <w:r>
        <w:rPr>
          <w:rStyle w:val="Zkladntextdkovn0pt"/>
          <w:rFonts w:ascii="Calibri" w:eastAsia="Times" w:hAnsi="Calibri" w:cs="Times New Roman"/>
          <w:spacing w:val="0"/>
          <w:sz w:val="21"/>
          <w:u w:val="none"/>
          <w:lang w:val="cs-CZ"/>
        </w:rPr>
        <w:t>(</w:t>
      </w:r>
      <w:r w:rsidRPr="005F3179">
        <w:rPr>
          <w:i/>
        </w:rPr>
        <w:t>De homine</w:t>
      </w:r>
      <w:r w:rsidRPr="005F3179">
        <w:t xml:space="preserve">, q. 57, a. 3, solutio, ad 1; </w:t>
      </w:r>
      <w:r>
        <w:t>ed. Borgnet  35,</w:t>
      </w:r>
      <w:r w:rsidRPr="005F3179">
        <w:t xml:space="preserve"> 493b</w:t>
      </w:r>
      <w:r>
        <w:fldChar w:fldCharType="begin"/>
      </w:r>
      <w:r>
        <w:instrText xml:space="preserve"> XE "</w:instrText>
      </w:r>
      <w:r>
        <w:rPr>
          <w:lang w:val="cs-CZ"/>
        </w:rPr>
        <w:instrText>Albert:</w:instrText>
      </w:r>
      <w:r w:rsidRPr="009F5E08">
        <w:rPr>
          <w:i/>
        </w:rPr>
        <w:instrText>De homine</w:instrText>
      </w:r>
      <w:r w:rsidRPr="009F5E08">
        <w:instrText xml:space="preserve"> </w:instrText>
      </w:r>
      <w:r>
        <w:instrText>4</w:instrText>
      </w:r>
      <w:r>
        <w:rPr>
          <w:lang w:val="cs-CZ"/>
        </w:rPr>
        <w:instrText>93b</w:instrText>
      </w:r>
      <w:r>
        <w:instrText xml:space="preserve">" </w:instrText>
      </w:r>
      <w:r>
        <w:fldChar w:fldCharType="end"/>
      </w:r>
      <w:r w:rsidRPr="005F3179">
        <w:t>)</w:t>
      </w:r>
    </w:p>
  </w:footnote>
  <w:footnote w:id="237">
    <w:p w14:paraId="1521CA89" w14:textId="77777777" w:rsidR="00CD2817" w:rsidRPr="00AC5877" w:rsidRDefault="00CD2817" w:rsidP="00221596">
      <w:pPr>
        <w:pStyle w:val="Textpoznpodarou"/>
      </w:pPr>
      <w:r w:rsidRPr="002E5CB5">
        <w:rPr>
          <w:rStyle w:val="Znakapoznpodarou"/>
        </w:rPr>
        <w:footnoteRef/>
      </w:r>
      <w:r w:rsidRPr="00AC5877">
        <w:rPr>
          <w:rStyle w:val="TextpoznpodarouChar"/>
        </w:rPr>
        <w:t xml:space="preserve"> „</w:t>
      </w:r>
      <w:r w:rsidRPr="00AC5877">
        <w:rPr>
          <w:rStyle w:val="TextpoznpodarouChar"/>
          <w:rFonts w:eastAsia="Times"/>
        </w:rPr>
        <w:t>Ad aliud dicendum, quod secundum quod universale est accidens animae</w:t>
      </w:r>
      <w:r w:rsidRPr="00AC5877">
        <w:rPr>
          <w:rStyle w:val="TextpoznpodarouChar"/>
          <w:rFonts w:eastAsia="David"/>
        </w:rPr>
        <w:t>, non est ratio rei. Quod patet</w:t>
      </w:r>
      <w:r w:rsidRPr="00AC5877">
        <w:rPr>
          <w:rStyle w:val="TextpoznpodarouChar"/>
          <w:rFonts w:eastAsia="Times"/>
        </w:rPr>
        <w:t>: ratio enim est quidditas rei et substan</w:t>
      </w:r>
      <w:r w:rsidRPr="00AC5877">
        <w:rPr>
          <w:rStyle w:val="TextpoznpodarouChar"/>
          <w:rFonts w:eastAsia="David"/>
        </w:rPr>
        <w:t>tia</w:t>
      </w:r>
      <w:r w:rsidRPr="00AC5877">
        <w:rPr>
          <w:rStyle w:val="TextpoznpodarouChar"/>
          <w:rFonts w:eastAsia="Times"/>
        </w:rPr>
        <w:t>: species au</w:t>
      </w:r>
      <w:r w:rsidRPr="00AC5877">
        <w:rPr>
          <w:rStyle w:val="TextpoznpodarouChar"/>
          <w:rFonts w:eastAsia="Times"/>
        </w:rPr>
        <w:softHyphen/>
        <w:t>tem intelligibilis est accidens non rei, sed intellect</w:t>
      </w:r>
      <w:r w:rsidRPr="00AC5877">
        <w:rPr>
          <w:rStyle w:val="TextpoznpodarouChar"/>
          <w:rFonts w:eastAsia="David"/>
        </w:rPr>
        <w:t>us: et propter hoc cum indivi</w:t>
      </w:r>
      <w:r w:rsidRPr="00AC5877">
        <w:rPr>
          <w:rStyle w:val="TextpoznpodarouChar"/>
          <w:rFonts w:eastAsia="Times"/>
        </w:rPr>
        <w:t xml:space="preserve">duetur a </w:t>
      </w:r>
      <w:r w:rsidRPr="00AC5877">
        <w:rPr>
          <w:rStyle w:val="TextpoznpodarouChar"/>
          <w:rFonts w:eastAsia="David"/>
        </w:rPr>
        <w:t>solis intelligibilibus, numera</w:t>
      </w:r>
      <w:r w:rsidRPr="00AC5877">
        <w:rPr>
          <w:rStyle w:val="TextpoznpodarouChar"/>
          <w:rFonts w:eastAsia="Times"/>
        </w:rPr>
        <w:t>bitur per numerum intelligibilium</w:t>
      </w:r>
      <w:r w:rsidRPr="00AC5877">
        <w:rPr>
          <w:rStyle w:val="TextpoznpodarouChar"/>
          <w:rFonts w:eastAsia="David"/>
        </w:rPr>
        <w:t>.“</w:t>
      </w:r>
      <w:r w:rsidRPr="001E646A">
        <w:rPr>
          <w:rStyle w:val="Zkladntextdkovn0pt"/>
          <w:rFonts w:ascii="Calibri" w:hAnsi="Calibri" w:cs="Times New Roman"/>
          <w:color w:val="auto"/>
          <w:spacing w:val="0"/>
          <w:sz w:val="20"/>
          <w:u w:val="none"/>
          <w:lang w:val="fr-FR"/>
        </w:rPr>
        <w:t xml:space="preserve"> </w:t>
      </w:r>
      <w:r w:rsidRPr="00AC5877">
        <w:t>(</w:t>
      </w:r>
      <w:r w:rsidRPr="00AC5877">
        <w:rPr>
          <w:rStyle w:val="TextpoznpodarouChar"/>
          <w:i/>
        </w:rPr>
        <w:t>De homine</w:t>
      </w:r>
      <w:r w:rsidRPr="00AC5877">
        <w:rPr>
          <w:rStyle w:val="TextpoznpodarouChar"/>
        </w:rPr>
        <w:t xml:space="preserve">, q. 57, a. 3, solutio, ad 6; </w:t>
      </w:r>
      <w:r>
        <w:t xml:space="preserve">ed. Borgnet  </w:t>
      </w:r>
      <w:r w:rsidRPr="00AC5877">
        <w:t>35,</w:t>
      </w:r>
      <w:r w:rsidRPr="00AC5877">
        <w:rPr>
          <w:rStyle w:val="TextpoznpodarouChar"/>
        </w:rPr>
        <w:t xml:space="preserve"> 494</w:t>
      </w:r>
      <w:r>
        <w:rPr>
          <w:rStyle w:val="TextpoznpodarouChar"/>
        </w:rPr>
        <w:t>a</w:t>
      </w:r>
      <w:r>
        <w:fldChar w:fldCharType="begin"/>
      </w:r>
      <w:r>
        <w:instrText xml:space="preserve"> XE "</w:instrText>
      </w:r>
      <w:r>
        <w:rPr>
          <w:lang w:val="cs-CZ"/>
        </w:rPr>
        <w:instrText>Albert:</w:instrText>
      </w:r>
      <w:r w:rsidRPr="009F5E08">
        <w:rPr>
          <w:i/>
        </w:rPr>
        <w:instrText>De homine</w:instrText>
      </w:r>
      <w:r w:rsidRPr="009F5E08">
        <w:instrText xml:space="preserve"> </w:instrText>
      </w:r>
      <w:r>
        <w:instrText>4</w:instrText>
      </w:r>
      <w:r>
        <w:rPr>
          <w:lang w:val="cs-CZ"/>
        </w:rPr>
        <w:instrText>94a</w:instrText>
      </w:r>
      <w:r>
        <w:instrText xml:space="preserve">" </w:instrText>
      </w:r>
      <w:r>
        <w:fldChar w:fldCharType="end"/>
      </w:r>
      <w:r w:rsidRPr="00AC5877">
        <w:t>)</w:t>
      </w:r>
    </w:p>
  </w:footnote>
  <w:footnote w:id="238">
    <w:p w14:paraId="4C63AEA1" w14:textId="77777777" w:rsidR="00CD2817" w:rsidRPr="00244660" w:rsidRDefault="00CD2817" w:rsidP="007631F4">
      <w:pPr>
        <w:pStyle w:val="Textpoznpodarou"/>
      </w:pPr>
      <w:r w:rsidRPr="00057E78">
        <w:rPr>
          <w:rStyle w:val="Znakapoznpodarou"/>
        </w:rPr>
        <w:footnoteRef/>
      </w:r>
      <w:r w:rsidRPr="00244660">
        <w:t xml:space="preserve"> </w:t>
      </w:r>
      <w:r w:rsidRPr="00244660">
        <w:rPr>
          <w:rStyle w:val="Zkladntextdkovn0pt"/>
          <w:rFonts w:ascii="Calibri" w:eastAsia="Times" w:hAnsi="Calibri" w:cs="Times New Roman"/>
          <w:color w:val="auto"/>
          <w:spacing w:val="0"/>
          <w:sz w:val="20"/>
          <w:u w:val="none"/>
          <w:lang w:val="x-none"/>
        </w:rPr>
        <w:t xml:space="preserve">„Sequentes enim Aristotelem et Averroem, dicimus coelum non habere animam praeter intelligentiam, ut supra in quaestione de </w:t>
      </w:r>
      <w:r w:rsidRPr="00244660">
        <w:rPr>
          <w:rStyle w:val="ZkladntextKurzvadkovn0pt"/>
          <w:rFonts w:ascii="Calibri" w:eastAsia="Times" w:hAnsi="Calibri"/>
          <w:i w:val="0"/>
          <w:iCs w:val="0"/>
          <w:color w:val="auto"/>
          <w:spacing w:val="0"/>
          <w:sz w:val="20"/>
          <w:u w:val="none"/>
          <w:lang w:val="x-none"/>
        </w:rPr>
        <w:t xml:space="preserve">coelo </w:t>
      </w:r>
      <w:r w:rsidRPr="00244660">
        <w:rPr>
          <w:rStyle w:val="Zkladntextdkovn0pt"/>
          <w:rFonts w:ascii="Calibri" w:eastAsia="Times" w:hAnsi="Calibri" w:cs="Times New Roman"/>
          <w:color w:val="auto"/>
          <w:spacing w:val="0"/>
          <w:sz w:val="20"/>
          <w:u w:val="none"/>
          <w:lang w:val="x-none"/>
        </w:rPr>
        <w:t xml:space="preserve">determinatum est. Similiter dicimus intellectum agentem humanum esse conjunctum animae humanae, et esse simplicem, et non habere intelligibilia, sed agere ipsa in intellectu possibili ex phantasmatibus, sicut expresse dicit Averroes in commento libri de </w:t>
      </w:r>
      <w:r w:rsidRPr="00244660">
        <w:rPr>
          <w:rStyle w:val="ZkladntextKurzvadkovn0pt"/>
          <w:rFonts w:ascii="Calibri" w:eastAsia="Times" w:hAnsi="Calibri"/>
          <w:i w:val="0"/>
          <w:iCs w:val="0"/>
          <w:color w:val="auto"/>
          <w:spacing w:val="0"/>
          <w:sz w:val="20"/>
          <w:u w:val="none"/>
          <w:lang w:val="x-none"/>
        </w:rPr>
        <w:t xml:space="preserve">Anima.“ </w:t>
      </w:r>
      <w:r w:rsidRPr="00244660">
        <w:rPr>
          <w:rStyle w:val="Zkladntextdkovn0pt"/>
          <w:rFonts w:ascii="Calibri" w:eastAsia="Times" w:hAnsi="Calibri" w:cs="Times New Roman"/>
          <w:color w:val="auto"/>
          <w:spacing w:val="0"/>
          <w:sz w:val="20"/>
          <w:u w:val="none"/>
          <w:lang w:val="x-none"/>
        </w:rPr>
        <w:t>(</w:t>
      </w:r>
      <w:r w:rsidRPr="00244660">
        <w:rPr>
          <w:i/>
        </w:rPr>
        <w:t>De homine</w:t>
      </w:r>
      <w:r w:rsidRPr="00244660">
        <w:t>, q. 55, a. 3, solutio; ed. Borgnet  35, 466b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rsidRPr="00A7106E">
        <w:instrText>466b</w:instrText>
      </w:r>
      <w:r>
        <w:instrText xml:space="preserve">" </w:instrText>
      </w:r>
      <w:r>
        <w:fldChar w:fldCharType="end"/>
      </w:r>
      <w:r w:rsidRPr="00244660">
        <w:t>)</w:t>
      </w:r>
    </w:p>
  </w:footnote>
  <w:footnote w:id="239">
    <w:p w14:paraId="272F2D8F" w14:textId="77777777" w:rsidR="00CD2817" w:rsidRPr="00244660" w:rsidRDefault="00CD2817" w:rsidP="007631F4">
      <w:pPr>
        <w:pStyle w:val="Textpoznpodarou"/>
      </w:pPr>
      <w:r w:rsidRPr="00057E78">
        <w:rPr>
          <w:rStyle w:val="Znakapoznpodarou"/>
        </w:rPr>
        <w:footnoteRef/>
      </w:r>
      <w:r w:rsidRPr="00244660">
        <w:t xml:space="preserve"> </w:t>
      </w:r>
      <w:r w:rsidRPr="00244660">
        <w:rPr>
          <w:rStyle w:val="Zkladntextdkovn0pt"/>
          <w:rFonts w:ascii="Calibri" w:eastAsia="Times" w:hAnsi="Calibri" w:cs="Times New Roman"/>
          <w:color w:val="auto"/>
          <w:spacing w:val="0"/>
          <w:sz w:val="20"/>
          <w:u w:val="none"/>
          <w:lang w:val="x-none"/>
        </w:rPr>
        <w:t xml:space="preserve">„Dicunt tamen quidam, quod dictum hoc est intelligendum de intelIectu speculativo quoad habitum principiorum: quia quodammodo connaturalis est nobis: et dicitur </w:t>
      </w:r>
      <w:r w:rsidRPr="00244660">
        <w:rPr>
          <w:rStyle w:val="ZkladntextKurzvadkovn0pt"/>
          <w:rFonts w:ascii="Calibri" w:eastAsia="Times" w:hAnsi="Calibri"/>
          <w:i w:val="0"/>
          <w:iCs w:val="0"/>
          <w:color w:val="auto"/>
          <w:spacing w:val="0"/>
          <w:sz w:val="20"/>
          <w:u w:val="none"/>
          <w:lang w:val="x-none"/>
        </w:rPr>
        <w:t>immortalis,</w:t>
      </w:r>
      <w:r w:rsidRPr="00244660">
        <w:rPr>
          <w:rStyle w:val="Zkladntextdkovn0pt"/>
          <w:rFonts w:ascii="Calibri" w:eastAsia="Times" w:hAnsi="Calibri" w:cs="Times New Roman"/>
          <w:color w:val="auto"/>
          <w:spacing w:val="0"/>
          <w:sz w:val="20"/>
          <w:u w:val="none"/>
          <w:lang w:val="x-none"/>
        </w:rPr>
        <w:t xml:space="preserve"> hoc est, non corruptibilis, quia non cedit in oblivionem: et dicitur </w:t>
      </w:r>
      <w:r w:rsidRPr="00244660">
        <w:rPr>
          <w:rStyle w:val="ZkladntextKurzvadkovn0pt"/>
          <w:rFonts w:ascii="Calibri" w:eastAsia="Times" w:hAnsi="Calibri"/>
          <w:i w:val="0"/>
          <w:iCs w:val="0"/>
          <w:color w:val="auto"/>
          <w:spacing w:val="0"/>
          <w:sz w:val="20"/>
          <w:u w:val="none"/>
          <w:lang w:val="x-none"/>
        </w:rPr>
        <w:t>perpetuus</w:t>
      </w:r>
      <w:r w:rsidRPr="00244660">
        <w:rPr>
          <w:rStyle w:val="Zkladntextdkovn0pt"/>
          <w:rFonts w:ascii="Calibri" w:eastAsia="Times" w:hAnsi="Calibri" w:cs="Times New Roman"/>
          <w:color w:val="auto"/>
          <w:spacing w:val="0"/>
          <w:sz w:val="20"/>
          <w:u w:val="none"/>
          <w:lang w:val="x-none"/>
        </w:rPr>
        <w:t>, eo quod non est in potentia.“ (</w:t>
      </w:r>
      <w:r w:rsidRPr="00244660">
        <w:rPr>
          <w:i/>
        </w:rPr>
        <w:t>De homine</w:t>
      </w:r>
      <w:r w:rsidRPr="00244660">
        <w:t>, q. 55, a. 3, solutio, ad 2; ed. Borgnet  35, 466b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rsidRPr="00A7106E">
        <w:instrText>466b</w:instrText>
      </w:r>
      <w:r>
        <w:instrText xml:space="preserve">" </w:instrText>
      </w:r>
      <w:r>
        <w:fldChar w:fldCharType="end"/>
      </w:r>
      <w:r w:rsidRPr="00244660">
        <w:rPr>
          <w:rStyle w:val="Zkladntextdkovn0pt"/>
          <w:rFonts w:ascii="Calibri" w:eastAsia="Times" w:hAnsi="Calibri" w:cs="Times New Roman"/>
          <w:color w:val="auto"/>
          <w:spacing w:val="0"/>
          <w:sz w:val="20"/>
          <w:u w:val="none"/>
          <w:lang w:val="x-none"/>
        </w:rPr>
        <w:t>)</w:t>
      </w:r>
    </w:p>
  </w:footnote>
  <w:footnote w:id="240">
    <w:p w14:paraId="57F37CF9" w14:textId="77777777" w:rsidR="00CD2817" w:rsidRPr="00AC65CA" w:rsidRDefault="00CD2817" w:rsidP="00AC65CA">
      <w:pPr>
        <w:pStyle w:val="Textpoznpodarou"/>
        <w:rPr>
          <w:rFonts w:eastAsia="Times"/>
        </w:rPr>
      </w:pPr>
      <w:r w:rsidRPr="00AC65CA">
        <w:rPr>
          <w:rStyle w:val="Znakapoznpodarou"/>
          <w:vertAlign w:val="baseline"/>
        </w:rPr>
        <w:footnoteRef/>
      </w:r>
      <w:r w:rsidRPr="00AC65CA">
        <w:t xml:space="preserve"> </w:t>
      </w:r>
      <w:r w:rsidRPr="00AC65CA">
        <w:rPr>
          <w:rStyle w:val="Zkladntextdkovn0pt"/>
          <w:rFonts w:ascii="Calibri" w:eastAsia="Times" w:hAnsi="Calibri" w:cs="Times New Roman"/>
          <w:color w:val="auto"/>
          <w:spacing w:val="0"/>
          <w:sz w:val="20"/>
          <w:u w:val="none"/>
        </w:rPr>
        <w:t xml:space="preserve">„Dicit Averroes in tertio de </w:t>
      </w:r>
      <w:r w:rsidRPr="00AC65CA">
        <w:rPr>
          <w:rStyle w:val="ZkladntextKurzvadkovn0pt"/>
          <w:rFonts w:ascii="Calibri" w:eastAsia="Times" w:hAnsi="Calibri"/>
          <w:i w:val="0"/>
          <w:iCs w:val="0"/>
          <w:color w:val="auto"/>
          <w:spacing w:val="0"/>
          <w:sz w:val="20"/>
          <w:u w:val="none"/>
        </w:rPr>
        <w:t>Anima</w:t>
      </w:r>
      <w:r w:rsidRPr="00AC65CA">
        <w:rPr>
          <w:rStyle w:val="Zkladntextdkovn0pt"/>
          <w:rFonts w:ascii="Calibri" w:eastAsia="Times" w:hAnsi="Calibri" w:cs="Times New Roman"/>
          <w:color w:val="auto"/>
          <w:spacing w:val="0"/>
          <w:sz w:val="20"/>
          <w:u w:val="none"/>
        </w:rPr>
        <w:t xml:space="preserve"> quod intellectus possibilis est incorruptibilis secundum suam substantiam, sed corruptibilis per species quae sunt in ipso: sicut homo m</w:t>
      </w:r>
      <w:r>
        <w:rPr>
          <w:rStyle w:val="Zkladntextdkovn0pt"/>
          <w:rFonts w:ascii="Calibri" w:eastAsia="Times" w:hAnsi="Calibri" w:cs="Times New Roman"/>
          <w:color w:val="auto"/>
          <w:spacing w:val="0"/>
          <w:sz w:val="20"/>
          <w:u w:val="none"/>
        </w:rPr>
        <w:t>usicus cor</w:t>
      </w:r>
      <w:r w:rsidRPr="00AC65CA">
        <w:rPr>
          <w:rStyle w:val="Zkladntextdkovn0pt"/>
          <w:rFonts w:ascii="Calibri" w:eastAsia="Times" w:hAnsi="Calibri" w:cs="Times New Roman"/>
          <w:color w:val="auto"/>
          <w:spacing w:val="0"/>
          <w:sz w:val="20"/>
          <w:u w:val="none"/>
        </w:rPr>
        <w:t xml:space="preserve">rumpitur dum desinit habere musicam, et tamen homo non corrumpitur.“ </w:t>
      </w:r>
      <w:r w:rsidRPr="003803DF">
        <w:rPr>
          <w:rStyle w:val="Zkladntextdkovn0pt"/>
          <w:rFonts w:ascii="Calibri" w:eastAsia="Times" w:hAnsi="Calibri" w:cs="Times New Roman"/>
          <w:color w:val="auto"/>
          <w:spacing w:val="0"/>
          <w:sz w:val="20"/>
          <w:u w:val="none"/>
          <w:lang w:val="fr-FR"/>
        </w:rPr>
        <w:t>(</w:t>
      </w:r>
      <w:r w:rsidRPr="001212C3">
        <w:rPr>
          <w:i/>
        </w:rPr>
        <w:t>De homine</w:t>
      </w:r>
      <w:r w:rsidRPr="00AC65CA">
        <w:t xml:space="preserve">, q. 56, a. 4, sed contra, ad 3; </w:t>
      </w:r>
      <w:r>
        <w:t>ed. Borgnet  35,</w:t>
      </w:r>
      <w:r>
        <w:rPr>
          <w:lang w:val="cs-CZ"/>
        </w:rPr>
        <w:t xml:space="preserve"> </w:t>
      </w:r>
      <w:r w:rsidRPr="00AC65CA">
        <w:t>483b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instrText>4</w:instrText>
      </w:r>
      <w:r>
        <w:rPr>
          <w:lang w:val="cs-CZ"/>
        </w:rPr>
        <w:instrText>83b</w:instrText>
      </w:r>
      <w:r>
        <w:instrText xml:space="preserve">" </w:instrText>
      </w:r>
      <w:r>
        <w:fldChar w:fldCharType="end"/>
      </w:r>
      <w:r w:rsidRPr="003803DF">
        <w:rPr>
          <w:rStyle w:val="Zkladntextdkovn0pt"/>
          <w:rFonts w:ascii="Calibri" w:eastAsia="Times" w:hAnsi="Calibri" w:cs="Times New Roman"/>
          <w:color w:val="auto"/>
          <w:spacing w:val="0"/>
          <w:sz w:val="20"/>
          <w:u w:val="none"/>
          <w:lang w:val="fr-FR"/>
        </w:rPr>
        <w:t>)</w:t>
      </w:r>
    </w:p>
  </w:footnote>
  <w:footnote w:id="241">
    <w:p w14:paraId="330E34E0" w14:textId="77777777" w:rsidR="00CD2817" w:rsidRPr="007A5A20" w:rsidRDefault="00CD2817" w:rsidP="007A5A20">
      <w:pPr>
        <w:pStyle w:val="Textpoznpodarou"/>
        <w:rPr>
          <w:rFonts w:eastAsia="Times"/>
        </w:rPr>
      </w:pPr>
      <w:r w:rsidRPr="008F239E">
        <w:rPr>
          <w:rStyle w:val="Znakapoznpodarou"/>
        </w:rPr>
        <w:footnoteRef/>
      </w:r>
      <w:r w:rsidRPr="007A5A20">
        <w:t xml:space="preserve"> </w:t>
      </w:r>
      <w:r w:rsidRPr="007A5A20">
        <w:rPr>
          <w:rStyle w:val="Zkladntextdkovn0pt"/>
          <w:rFonts w:ascii="Calibri" w:eastAsia="Times" w:hAnsi="Calibri" w:cs="Times New Roman"/>
          <w:color w:val="auto"/>
          <w:spacing w:val="0"/>
          <w:sz w:val="20"/>
          <w:u w:val="none"/>
          <w:lang w:val="x-none"/>
        </w:rPr>
        <w:t>„Intellectus possibilis secundum substantiam et potentiam est incorruptibilis, sed corrupti</w:t>
      </w:r>
      <w:r w:rsidRPr="007A5A20">
        <w:rPr>
          <w:rStyle w:val="Zkladntextdkovn0pt"/>
          <w:rFonts w:ascii="Calibri" w:eastAsia="Times" w:hAnsi="Calibri" w:cs="Times New Roman"/>
          <w:color w:val="auto"/>
          <w:spacing w:val="0"/>
          <w:sz w:val="20"/>
          <w:u w:val="none"/>
          <w:lang w:val="x-none"/>
        </w:rPr>
        <w:softHyphen/>
        <w:t>bilis est per accidens, scilicet per actum qui est in ipso: et haec corruptio non est nisi oblivio intelligibilium: et sic intelligitur dictum Philosophi.“ (</w:t>
      </w:r>
      <w:r w:rsidRPr="007A5A20">
        <w:rPr>
          <w:i/>
        </w:rPr>
        <w:t>De homine</w:t>
      </w:r>
      <w:r w:rsidRPr="007A5A20">
        <w:t>, q. 56, a. 4, solutio; ed. Borgnet  35, 483b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instrText>4</w:instrText>
      </w:r>
      <w:r>
        <w:rPr>
          <w:lang w:val="cs-CZ"/>
        </w:rPr>
        <w:instrText>83</w:instrText>
      </w:r>
      <w:r w:rsidRPr="00A7106E">
        <w:instrText>b</w:instrText>
      </w:r>
      <w:r>
        <w:instrText xml:space="preserve">" </w:instrText>
      </w:r>
      <w:r>
        <w:fldChar w:fldCharType="end"/>
      </w:r>
      <w:r w:rsidRPr="007A5A20">
        <w:rPr>
          <w:rStyle w:val="Zkladntextdkovn0pt"/>
          <w:rFonts w:ascii="Calibri" w:eastAsia="Times" w:hAnsi="Calibri" w:cs="Times New Roman"/>
          <w:color w:val="auto"/>
          <w:spacing w:val="0"/>
          <w:sz w:val="20"/>
          <w:u w:val="none"/>
          <w:lang w:val="x-none"/>
        </w:rPr>
        <w:t>)</w:t>
      </w:r>
    </w:p>
  </w:footnote>
  <w:footnote w:id="242">
    <w:p w14:paraId="430F35BD" w14:textId="77777777" w:rsidR="00CD2817" w:rsidRPr="007A5A20" w:rsidRDefault="00CD2817" w:rsidP="007A5A20">
      <w:pPr>
        <w:pStyle w:val="Textpoznpodarou"/>
      </w:pPr>
      <w:r w:rsidRPr="00A732CB">
        <w:rPr>
          <w:rStyle w:val="Znakapoznpodarou"/>
        </w:rPr>
        <w:footnoteRef/>
      </w:r>
      <w:r w:rsidRPr="007A5A20">
        <w:t xml:space="preserve"> </w:t>
      </w:r>
      <w:r w:rsidRPr="007A5A20">
        <w:rPr>
          <w:rStyle w:val="Zkladntextdkovn0pt"/>
          <w:rFonts w:ascii="Calibri" w:eastAsia="Times" w:hAnsi="Calibri" w:cs="Times New Roman"/>
          <w:color w:val="auto"/>
          <w:spacing w:val="0"/>
          <w:sz w:val="20"/>
          <w:u w:val="none"/>
          <w:lang w:val="x-none"/>
        </w:rPr>
        <w:t>„Dicit Averroes</w:t>
      </w:r>
      <w:r w:rsidRPr="007A5A20">
        <w:rPr>
          <w:rStyle w:val="ZkladntextKurzvadkovn0pt"/>
          <w:rFonts w:ascii="Calibri" w:eastAsia="Times" w:hAnsi="Calibri"/>
          <w:i w:val="0"/>
          <w:iCs w:val="0"/>
          <w:color w:val="auto"/>
          <w:spacing w:val="0"/>
          <w:sz w:val="20"/>
          <w:u w:val="none"/>
          <w:lang w:val="x-none"/>
        </w:rPr>
        <w:t>,</w:t>
      </w:r>
      <w:r w:rsidRPr="007A5A20">
        <w:rPr>
          <w:rStyle w:val="Zkladntextdkovn0pt"/>
          <w:rFonts w:ascii="Calibri" w:eastAsia="Times" w:hAnsi="Calibri" w:cs="Times New Roman"/>
          <w:color w:val="auto"/>
          <w:spacing w:val="0"/>
          <w:sz w:val="20"/>
          <w:u w:val="none"/>
          <w:lang w:val="x-none"/>
        </w:rPr>
        <w:t xml:space="preserve"> quod in</w:t>
      </w:r>
      <w:r w:rsidRPr="007A5A20">
        <w:rPr>
          <w:rStyle w:val="Zkladntextdkovn0pt"/>
          <w:rFonts w:ascii="Calibri" w:eastAsia="Times" w:hAnsi="Calibri" w:cs="Times New Roman"/>
          <w:color w:val="auto"/>
          <w:spacing w:val="0"/>
          <w:sz w:val="20"/>
          <w:u w:val="none"/>
          <w:lang w:val="x-none"/>
        </w:rPr>
        <w:softHyphen/>
        <w:t xml:space="preserve">tellectus corrumpitur corruptione intelligibilium, sed non secundum substantiam: sed universale secundum quod est idem apud omnes, non est in intellectu, sed secundum quod est species quae est in intellectu sicut in subjecto: cum ergo non sit idem subjectum, non erit eadem species.“ </w:t>
      </w:r>
      <w:r w:rsidRPr="007A5A20">
        <w:t>(</w:t>
      </w:r>
      <w:r w:rsidRPr="007A5A20">
        <w:rPr>
          <w:i/>
        </w:rPr>
        <w:t>De homine</w:t>
      </w:r>
      <w:r w:rsidRPr="007A5A20">
        <w:t>, q. 57, a. 3, sed contra, arg. 2; ed. Borgnet  35, 493b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instrText>4</w:instrText>
      </w:r>
      <w:r>
        <w:rPr>
          <w:lang w:val="cs-CZ"/>
        </w:rPr>
        <w:instrText>93</w:instrText>
      </w:r>
      <w:r w:rsidRPr="00A7106E">
        <w:instrText>b</w:instrText>
      </w:r>
      <w:r>
        <w:instrText xml:space="preserve">" </w:instrText>
      </w:r>
      <w:r>
        <w:fldChar w:fldCharType="end"/>
      </w:r>
      <w:r w:rsidRPr="007A5A20">
        <w:t>)</w:t>
      </w:r>
    </w:p>
  </w:footnote>
  <w:footnote w:id="243">
    <w:p w14:paraId="398D6EA0" w14:textId="77777777" w:rsidR="00CD2817" w:rsidRPr="00D901ED" w:rsidRDefault="00CD2817" w:rsidP="00682A8B">
      <w:pPr>
        <w:pStyle w:val="Textpoznpodarou"/>
      </w:pPr>
      <w:r>
        <w:rPr>
          <w:rStyle w:val="Znakapoznpodarou"/>
        </w:rPr>
        <w:footnoteRef/>
      </w:r>
      <w:r>
        <w:t xml:space="preserve"> „</w:t>
      </w:r>
      <w:r w:rsidRPr="006D1B1E">
        <w:t>Dicit Averroes super tertium de Anima quod una est species intellectus speculativi apud omnes homines.</w:t>
      </w:r>
      <w:r>
        <w:t>“ (</w:t>
      </w:r>
      <w:r w:rsidRPr="002420BF">
        <w:rPr>
          <w:i/>
        </w:rPr>
        <w:t>De homine</w:t>
      </w:r>
      <w:r>
        <w:t>, q. 57, a. 3, arg. 1; ed. Borgnet  35, 492b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instrText>4</w:instrText>
      </w:r>
      <w:r>
        <w:rPr>
          <w:lang w:val="cs-CZ"/>
        </w:rPr>
        <w:instrText>92</w:instrText>
      </w:r>
      <w:r w:rsidRPr="00A7106E">
        <w:instrText>b</w:instrText>
      </w:r>
      <w:r>
        <w:instrText xml:space="preserve">" </w:instrText>
      </w:r>
      <w:r>
        <w:fldChar w:fldCharType="end"/>
      </w:r>
      <w:r>
        <w:t>)</w:t>
      </w:r>
    </w:p>
  </w:footnote>
  <w:footnote w:id="244">
    <w:p w14:paraId="01D9B73C" w14:textId="77777777" w:rsidR="00CD2817" w:rsidRPr="003C7CE6" w:rsidRDefault="00CD2817" w:rsidP="00AF24A9">
      <w:pPr>
        <w:pStyle w:val="Textpoznpodarou"/>
      </w:pPr>
      <w:r>
        <w:rPr>
          <w:rStyle w:val="Znakapoznpodarou"/>
        </w:rPr>
        <w:footnoteRef/>
      </w:r>
      <w:r>
        <w:t xml:space="preserve"> „</w:t>
      </w:r>
      <w:r w:rsidRPr="003C7CE6">
        <w:t>Item, Averr</w:t>
      </w:r>
      <w:r>
        <w:t>oes super tertium de Anima: 'Nos ponimus intellectum materialem esse ae</w:t>
      </w:r>
      <w:r w:rsidRPr="003C7CE6">
        <w:t>ternum et incorrup</w:t>
      </w:r>
      <w:r>
        <w:t>ti</w:t>
      </w:r>
      <w:r w:rsidRPr="003C7CE6">
        <w:t>libilem, et intellecta speculativa esse e</w:t>
      </w:r>
      <w:r>
        <w:t>t generabilia et corruptibilia.'</w:t>
      </w:r>
      <w:r w:rsidRPr="003C7CE6">
        <w:t xml:space="preserve"> Et ponit </w:t>
      </w:r>
      <w:r w:rsidRPr="003C7CE6">
        <w:rPr>
          <w:i/>
        </w:rPr>
        <w:t>aeternum</w:t>
      </w:r>
      <w:r w:rsidRPr="003C7CE6">
        <w:t xml:space="preserve"> </w:t>
      </w:r>
      <w:r>
        <w:t>pro perpetuo et in transmutabili</w:t>
      </w:r>
      <w:r w:rsidRPr="003C7CE6">
        <w:t xml:space="preserve"> secundum substantiam.</w:t>
      </w:r>
      <w:r>
        <w:t>“ (</w:t>
      </w:r>
      <w:r w:rsidRPr="00504601">
        <w:rPr>
          <w:i/>
        </w:rPr>
        <w:t>De homine</w:t>
      </w:r>
      <w:r>
        <w:t xml:space="preserve">, </w:t>
      </w:r>
      <w:r w:rsidRPr="008D2EC8">
        <w:t>q.</w:t>
      </w:r>
      <w:r>
        <w:t xml:space="preserve"> 61, a. 2, arg. 7; ed. Borgnet  35, 523b</w:t>
      </w:r>
      <w:r>
        <w:fldChar w:fldCharType="begin"/>
      </w:r>
      <w:r>
        <w:instrText xml:space="preserve"> XE "</w:instrText>
      </w:r>
      <w:r>
        <w:rPr>
          <w:lang w:val="cs-CZ"/>
        </w:rPr>
        <w:instrText>Albert:</w:instrText>
      </w:r>
      <w:r w:rsidRPr="00A7106E">
        <w:rPr>
          <w:i/>
        </w:rPr>
        <w:instrText>De homine</w:instrText>
      </w:r>
      <w:r>
        <w:rPr>
          <w:i/>
          <w:lang w:val="cs-CZ"/>
        </w:rPr>
        <w:instrText xml:space="preserve"> </w:instrText>
      </w:r>
      <w:r>
        <w:rPr>
          <w:lang w:val="cs-CZ"/>
        </w:rPr>
        <w:instrText>523</w:instrText>
      </w:r>
      <w:r w:rsidRPr="00A7106E">
        <w:instrText>b</w:instrText>
      </w:r>
      <w:r>
        <w:instrText xml:space="preserve">" </w:instrText>
      </w:r>
      <w:r>
        <w:fldChar w:fldCharType="end"/>
      </w:r>
      <w:r>
        <w:t>)</w:t>
      </w:r>
    </w:p>
  </w:footnote>
  <w:footnote w:id="245">
    <w:p w14:paraId="18573ABD" w14:textId="77777777" w:rsidR="00CD2817" w:rsidRPr="00196F2A" w:rsidRDefault="00CD2817" w:rsidP="000072B9">
      <w:pPr>
        <w:pStyle w:val="Textpoznpodarou"/>
      </w:pPr>
      <w:r>
        <w:rPr>
          <w:rStyle w:val="Znakapoznpodarou"/>
        </w:rPr>
        <w:footnoteRef/>
      </w:r>
      <w:r>
        <w:t xml:space="preserve"> „</w:t>
      </w:r>
      <w:r w:rsidRPr="00196F2A">
        <w:rPr>
          <w:rStyle w:val="Zkladntext1"/>
          <w:rFonts w:ascii="Calibri" w:hAnsi="Calibri"/>
          <w:color w:val="auto"/>
          <w:spacing w:val="0"/>
          <w:sz w:val="20"/>
          <w:u w:val="none"/>
        </w:rPr>
        <w:t>Avicennæ dicta accipiamus, quo</w:t>
      </w:r>
      <w:r w:rsidRPr="00196F2A">
        <w:t xml:space="preserve"> </w:t>
      </w:r>
      <w:r w:rsidRPr="00196F2A">
        <w:rPr>
          <w:rStyle w:val="Zkladntext1"/>
          <w:rFonts w:ascii="Calibri" w:hAnsi="Calibri"/>
          <w:color w:val="auto"/>
          <w:spacing w:val="0"/>
          <w:sz w:val="20"/>
          <w:u w:val="none"/>
        </w:rPr>
        <w:t>Aristoteli plus concordant,</w:t>
      </w:r>
      <w:r w:rsidRPr="00196F2A">
        <w:t xml:space="preserve"> quoniam </w:t>
      </w:r>
      <w:r w:rsidRPr="00196F2A">
        <w:rPr>
          <w:rStyle w:val="Zkladntext1"/>
          <w:rFonts w:ascii="Calibri" w:hAnsi="Calibri"/>
          <w:color w:val="auto"/>
          <w:spacing w:val="0"/>
          <w:sz w:val="20"/>
          <w:u w:val="none"/>
        </w:rPr>
        <w:t>anima rationalis non est intellectus possibilis, sed intellectus possibilis una eju</w:t>
      </w:r>
      <w:r w:rsidRPr="00196F2A">
        <w:t xml:space="preserve">s </w:t>
      </w:r>
      <w:r w:rsidRPr="00196F2A">
        <w:rPr>
          <w:rStyle w:val="Zkladntext1"/>
          <w:rFonts w:ascii="Calibri" w:hAnsi="Calibri"/>
          <w:color w:val="auto"/>
          <w:spacing w:val="0"/>
          <w:sz w:val="20"/>
          <w:u w:val="none"/>
        </w:rPr>
        <w:t>pars est</w:t>
      </w:r>
      <w:r w:rsidRPr="00196F2A">
        <w:t>: et hoc s</w:t>
      </w:r>
      <w:r>
        <w:t>ensit Aristoteles quando dixit: '</w:t>
      </w:r>
      <w:r w:rsidRPr="00196F2A">
        <w:t xml:space="preserve">De parte autem animæ </w:t>
      </w:r>
      <w:r>
        <w:t>qua cognoscit et sapit anima'</w:t>
      </w:r>
      <w:r w:rsidRPr="00196F2A">
        <w:t xml:space="preserve">. </w:t>
      </w:r>
      <w:r w:rsidRPr="00196F2A">
        <w:rPr>
          <w:rStyle w:val="Zkladntext1"/>
          <w:rFonts w:ascii="Calibri" w:hAnsi="Calibri"/>
          <w:color w:val="auto"/>
          <w:spacing w:val="0"/>
          <w:sz w:val="20"/>
          <w:u w:val="none"/>
        </w:rPr>
        <w:t>Et vocavit</w:t>
      </w:r>
      <w:r w:rsidRPr="00196F2A">
        <w:t xml:space="preserve"> i</w:t>
      </w:r>
      <w:r w:rsidRPr="00196F2A">
        <w:rPr>
          <w:rStyle w:val="Zkladntext1"/>
          <w:rFonts w:ascii="Calibri" w:hAnsi="Calibri"/>
          <w:color w:val="auto"/>
          <w:spacing w:val="0"/>
          <w:sz w:val="20"/>
          <w:u w:val="none"/>
        </w:rPr>
        <w:t>ntellectum partem animæ et non totam</w:t>
      </w:r>
      <w:r w:rsidRPr="00196F2A">
        <w:t xml:space="preserve"> animam rationalem.</w:t>
      </w:r>
      <w:r>
        <w:t>“ (</w:t>
      </w:r>
      <w:r>
        <w:rPr>
          <w:i/>
        </w:rPr>
        <w:t>Liber III D</w:t>
      </w:r>
      <w:r w:rsidRPr="00277F6C">
        <w:rPr>
          <w:i/>
        </w:rPr>
        <w:t>e anima</w:t>
      </w:r>
      <w:r>
        <w:t>, tract. II, cap. 12; ed. Borgnet</w:t>
      </w:r>
      <w:r>
        <w:rPr>
          <w:lang w:val="cs-CZ"/>
        </w:rPr>
        <w:t xml:space="preserve"> </w:t>
      </w:r>
      <w:r>
        <w:t>5, 349b</w:t>
      </w:r>
      <w:r>
        <w:fldChar w:fldCharType="begin"/>
      </w:r>
      <w:r>
        <w:instrText xml:space="preserve"> XE "</w:instrText>
      </w:r>
      <w:r>
        <w:rPr>
          <w:lang w:val="cs-CZ"/>
        </w:rPr>
        <w:instrText>Albert:</w:instrText>
      </w:r>
      <w:r w:rsidRPr="002C63FE">
        <w:rPr>
          <w:i/>
        </w:rPr>
        <w:instrText>Liber III De anima</w:instrText>
      </w:r>
      <w:r>
        <w:rPr>
          <w:lang w:val="cs-CZ"/>
        </w:rPr>
        <w:instrText xml:space="preserve"> </w:instrText>
      </w:r>
      <w:r w:rsidRPr="002C63FE">
        <w:instrText>349b</w:instrText>
      </w:r>
      <w:r>
        <w:instrText xml:space="preserve">" </w:instrText>
      </w:r>
      <w:r>
        <w:fldChar w:fldCharType="end"/>
      </w:r>
      <w:r>
        <w:t>)</w:t>
      </w:r>
    </w:p>
  </w:footnote>
  <w:footnote w:id="246">
    <w:p w14:paraId="65751224" w14:textId="77777777" w:rsidR="00CD2817" w:rsidRPr="0036004D" w:rsidRDefault="00CD2817" w:rsidP="08AE07E2">
      <w:pPr>
        <w:pStyle w:val="Textpoznpodarou"/>
      </w:pPr>
      <w:r>
        <w:rPr>
          <w:rStyle w:val="Znakapoznpodarou"/>
        </w:rPr>
        <w:footnoteRef/>
      </w:r>
      <w:r>
        <w:t xml:space="preserve"> „</w:t>
      </w:r>
      <w:r w:rsidRPr="0036004D">
        <w:t>Latinorum autem Philosophorum plurimi cum opinione Platonis in multis consentire videntur</w:t>
      </w:r>
      <w:r>
        <w:t>...“ (</w:t>
      </w:r>
      <w:r>
        <w:rPr>
          <w:i/>
        </w:rPr>
        <w:t>Liber III D</w:t>
      </w:r>
      <w:r w:rsidRPr="00277F6C">
        <w:rPr>
          <w:i/>
        </w:rPr>
        <w:t>e anima</w:t>
      </w:r>
      <w:r>
        <w:t xml:space="preserve">, tract. II, cap. 12; ibid, </w:t>
      </w:r>
      <w:r w:rsidRPr="0036004D">
        <w:t>p. 347b</w:t>
      </w:r>
      <w:r>
        <w:fldChar w:fldCharType="begin"/>
      </w:r>
      <w:r>
        <w:instrText xml:space="preserve"> XE "</w:instrText>
      </w:r>
      <w:r>
        <w:rPr>
          <w:lang w:val="cs-CZ"/>
        </w:rPr>
        <w:instrText>Albert:</w:instrText>
      </w:r>
      <w:r w:rsidRPr="002C63FE">
        <w:rPr>
          <w:i/>
        </w:rPr>
        <w:instrText>Liber III De anima</w:instrText>
      </w:r>
      <w:r>
        <w:rPr>
          <w:lang w:val="cs-CZ"/>
        </w:rPr>
        <w:instrText xml:space="preserve"> </w:instrText>
      </w:r>
      <w:r>
        <w:instrText>34</w:instrText>
      </w:r>
      <w:r>
        <w:rPr>
          <w:lang w:val="cs-CZ"/>
        </w:rPr>
        <w:instrText>7</w:instrText>
      </w:r>
      <w:r w:rsidRPr="002C63FE">
        <w:instrText>b</w:instrText>
      </w:r>
      <w:r>
        <w:instrText xml:space="preserve">" </w:instrText>
      </w:r>
      <w:r>
        <w:fldChar w:fldCharType="end"/>
      </w:r>
      <w:r>
        <w:t>)</w:t>
      </w:r>
    </w:p>
  </w:footnote>
  <w:footnote w:id="247">
    <w:p w14:paraId="5745E9BC" w14:textId="77777777" w:rsidR="00CD2817" w:rsidRPr="00814382" w:rsidRDefault="00CD2817" w:rsidP="00814382">
      <w:pPr>
        <w:pStyle w:val="Textpoznpodarou"/>
      </w:pPr>
      <w:r w:rsidRPr="00814382">
        <w:rPr>
          <w:rStyle w:val="Znakapoznpodarou"/>
        </w:rPr>
        <w:footnoteRef/>
      </w:r>
      <w:r w:rsidRPr="00814382">
        <w:t xml:space="preserve"> </w:t>
      </w:r>
      <w:r w:rsidRPr="00814382">
        <w:rPr>
          <w:rStyle w:val="FontStyle157"/>
          <w:rFonts w:ascii="Calibri" w:hAnsi="Calibri"/>
        </w:rPr>
        <w:t>„Dicunt enim ani</w:t>
      </w:r>
      <w:r w:rsidRPr="00814382">
        <w:rPr>
          <w:rStyle w:val="FontStyle157"/>
          <w:rFonts w:ascii="Calibri" w:hAnsi="Calibri"/>
        </w:rPr>
        <w:softHyphen/>
        <w:t xml:space="preserve">mam rationalem esse individuam duplici individuitate, quoniam dicunt eam in se esse hoc aliquid per materiam incorpoream et spiritualem, quae est subjectum formae ejus, et ex forma habetur etiam individuans extra naturam ejus quod est corpus cujus ipsa est actus. Concedunt etiam per hoc quod est in ipsa secundum esse est individuata forma.“ </w:t>
      </w:r>
      <w:r w:rsidRPr="00814382">
        <w:t>(</w:t>
      </w:r>
      <w:r w:rsidRPr="00C32429">
        <w:rPr>
          <w:i/>
        </w:rPr>
        <w:t>Liber III De anima</w:t>
      </w:r>
      <w:r w:rsidRPr="00814382">
        <w:t>, tra</w:t>
      </w:r>
      <w:r>
        <w:t>ct. II, cap. 11; ed. Borgnet</w:t>
      </w:r>
      <w:r>
        <w:rPr>
          <w:lang w:val="cs-CZ"/>
        </w:rPr>
        <w:t xml:space="preserve"> </w:t>
      </w:r>
      <w:r>
        <w:t xml:space="preserve">5, </w:t>
      </w:r>
      <w:r w:rsidRPr="00814382">
        <w:t>347</w:t>
      </w:r>
      <w:r>
        <w:rPr>
          <w:lang w:val="cs-CZ"/>
        </w:rPr>
        <w:t>b</w:t>
      </w:r>
      <w:r w:rsidRPr="00814382">
        <w:t>‒348</w:t>
      </w:r>
      <w:r>
        <w:rPr>
          <w:lang w:val="cs-CZ"/>
        </w:rPr>
        <w:t>a</w:t>
      </w:r>
      <w:r>
        <w:fldChar w:fldCharType="begin"/>
      </w:r>
      <w:r>
        <w:instrText xml:space="preserve"> XE "</w:instrText>
      </w:r>
      <w:r>
        <w:rPr>
          <w:lang w:val="cs-CZ"/>
        </w:rPr>
        <w:instrText>Albert:</w:instrText>
      </w:r>
      <w:r w:rsidRPr="002C63FE">
        <w:rPr>
          <w:i/>
        </w:rPr>
        <w:instrText>Liber III De anima</w:instrText>
      </w:r>
      <w:r>
        <w:rPr>
          <w:lang w:val="cs-CZ"/>
        </w:rPr>
        <w:instrText xml:space="preserve"> </w:instrText>
      </w:r>
      <w:r w:rsidRPr="00814382">
        <w:instrText>347</w:instrText>
      </w:r>
      <w:r>
        <w:rPr>
          <w:lang w:val="cs-CZ"/>
        </w:rPr>
        <w:instrText>b</w:instrText>
      </w:r>
      <w:r w:rsidRPr="00814382">
        <w:instrText>‒348</w:instrText>
      </w:r>
      <w:r>
        <w:rPr>
          <w:lang w:val="cs-CZ"/>
        </w:rPr>
        <w:instrText>a</w:instrText>
      </w:r>
      <w:r>
        <w:instrText xml:space="preserve">" </w:instrText>
      </w:r>
      <w:r>
        <w:fldChar w:fldCharType="end"/>
      </w:r>
      <w:r w:rsidRPr="00814382">
        <w:t>)</w:t>
      </w:r>
    </w:p>
  </w:footnote>
  <w:footnote w:id="248">
    <w:p w14:paraId="3024B866" w14:textId="77777777" w:rsidR="00CD2817" w:rsidRPr="00205D34" w:rsidRDefault="00CD2817" w:rsidP="000072B9">
      <w:pPr>
        <w:pStyle w:val="Textpoznpodarou"/>
      </w:pPr>
      <w:r>
        <w:rPr>
          <w:rStyle w:val="Znakapoznpodarou"/>
        </w:rPr>
        <w:footnoteRef/>
      </w:r>
      <w:r>
        <w:t xml:space="preserve"> </w:t>
      </w:r>
      <w:r w:rsidRPr="00594E9A">
        <w:t>„Dicunt enim quod intentiones quae sunt in intellectu possibili, dupliciter considerantur, scilicet prout sunt abstractae, et prout habent esse in abstrahendo. Et primo quidem modo sunt formae universales liberatae a materia et appendiciis materiae. Secundo autem modo habent esse individuatum in intellectu possibili.“ (</w:t>
      </w:r>
      <w:r w:rsidRPr="00594E9A">
        <w:rPr>
          <w:i/>
        </w:rPr>
        <w:t>Liber III De anima</w:t>
      </w:r>
      <w:r w:rsidRPr="00594E9A">
        <w:t xml:space="preserve">, tract. II, cap. 11; ed. </w:t>
      </w:r>
      <w:r>
        <w:t>Borgnet</w:t>
      </w:r>
      <w:r w:rsidRPr="00594E9A">
        <w:t xml:space="preserve"> 5, 348a</w:t>
      </w:r>
      <w:r w:rsidRPr="00594E9A">
        <w:fldChar w:fldCharType="begin"/>
      </w:r>
      <w:r w:rsidRPr="00594E9A">
        <w:instrText xml:space="preserve"> XE "Albert:</w:instrText>
      </w:r>
      <w:r w:rsidRPr="00594E9A">
        <w:rPr>
          <w:i/>
        </w:rPr>
        <w:instrText>Liber III De anima</w:instrText>
      </w:r>
      <w:r w:rsidRPr="00594E9A">
        <w:instrText xml:space="preserve"> 348a" </w:instrText>
      </w:r>
      <w:r w:rsidRPr="00594E9A">
        <w:fldChar w:fldCharType="end"/>
      </w:r>
      <w:r>
        <w:t>)</w:t>
      </w:r>
    </w:p>
  </w:footnote>
  <w:footnote w:id="249">
    <w:p w14:paraId="0BC2F880" w14:textId="77777777" w:rsidR="00CD2817" w:rsidRPr="00004FBE" w:rsidRDefault="00CD2817" w:rsidP="00D024FE">
      <w:pPr>
        <w:pStyle w:val="Textpoznpodarou"/>
      </w:pPr>
      <w:r>
        <w:rPr>
          <w:rStyle w:val="Znakapoznpodarou"/>
        </w:rPr>
        <w:footnoteRef/>
      </w:r>
      <w:r>
        <w:t xml:space="preserve"> „</w:t>
      </w:r>
      <w:r>
        <w:rPr>
          <w:lang w:val="cs-CZ"/>
        </w:rPr>
        <w:t>U</w:t>
      </w:r>
      <w:r>
        <w:t>naquaeque enim res habet certitudinem qua est id quod est, sicut triangulus habet certitudinem qua est triangulus et albedo habet certitudinem qua est albedo. Et hoc est quod fortasse appellamus esse proprium.</w:t>
      </w:r>
      <w:r w:rsidRPr="00004FBE">
        <w:t xml:space="preserve"> </w:t>
      </w:r>
      <w:r>
        <w:t>“ (</w:t>
      </w:r>
      <w:r w:rsidRPr="00004FBE">
        <w:rPr>
          <w:i/>
        </w:rPr>
        <w:t>Liber de philosophia prima</w:t>
      </w:r>
      <w:r>
        <w:t xml:space="preserve"> I.5, ed. Riet, pp. 34.55‒35.58</w:t>
      </w:r>
      <w:r>
        <w:fldChar w:fldCharType="begin"/>
      </w:r>
      <w:r>
        <w:instrText xml:space="preserve"> XE "</w:instrText>
      </w:r>
      <w:r>
        <w:rPr>
          <w:lang w:val="cs-CZ"/>
        </w:rPr>
        <w:instrText>Avicenna:</w:instrText>
      </w:r>
      <w:r w:rsidRPr="009D62E3">
        <w:rPr>
          <w:i/>
        </w:rPr>
        <w:instrText>Liber de philosophia prima</w:instrText>
      </w:r>
      <w:r w:rsidRPr="009D62E3">
        <w:instrText xml:space="preserve"> 34.55‒35.58</w:instrText>
      </w:r>
      <w:r>
        <w:instrText xml:space="preserve">" </w:instrText>
      </w:r>
      <w:r>
        <w:fldChar w:fldCharType="end"/>
      </w:r>
      <w:r>
        <w:t>)</w:t>
      </w:r>
    </w:p>
  </w:footnote>
  <w:footnote w:id="250">
    <w:p w14:paraId="51C3F900" w14:textId="269376EA" w:rsidR="00CD2817" w:rsidRPr="0086150A" w:rsidRDefault="00CD2817" w:rsidP="000072B9">
      <w:pPr>
        <w:pStyle w:val="Textpoznpodarou"/>
      </w:pPr>
      <w:r>
        <w:rPr>
          <w:rStyle w:val="Znakapoznpodarou"/>
        </w:rPr>
        <w:footnoteRef/>
      </w:r>
      <w:r>
        <w:t xml:space="preserve"> Viz </w:t>
      </w:r>
      <w:r>
        <w:rPr>
          <w:lang w:val="cs-CZ"/>
        </w:rPr>
        <w:t xml:space="preserve">dále </w:t>
      </w:r>
      <w:r>
        <w:t xml:space="preserve">uvedený citát z Grossetesteho komentáře ke </w:t>
      </w:r>
      <w:r w:rsidRPr="00184313">
        <w:rPr>
          <w:i/>
        </w:rPr>
        <w:t>Druhým analytikám</w:t>
      </w:r>
      <w:r>
        <w:t xml:space="preserve"> (</w:t>
      </w:r>
      <w:r w:rsidRPr="00EF72C7">
        <w:rPr>
          <w:i/>
        </w:rPr>
        <w:t>cognitiones enim rerum creandarum que fuerunt in causa prima eternaliter sunt rationes rerum creandarum et cause formales exemplares</w:t>
      </w:r>
      <w:r>
        <w:t xml:space="preserve">, kap. </w:t>
      </w:r>
      <w:r>
        <w:rPr>
          <w:lang w:val="cs-CZ"/>
        </w:rPr>
        <w:t>3</w:t>
      </w:r>
      <w:r>
        <w:t>.1.1). Leibniz</w:t>
      </w:r>
      <w:r>
        <w:rPr>
          <w:lang w:val="cs-CZ"/>
        </w:rPr>
        <w:t xml:space="preserve"> vytvořil jeho post</w:t>
      </w:r>
      <w:r>
        <w:t xml:space="preserve">moderní kopii </w:t>
      </w:r>
      <w:r>
        <w:rPr>
          <w:lang w:val="cs-CZ"/>
        </w:rPr>
        <w:t xml:space="preserve">v </w:t>
      </w:r>
      <w:r>
        <w:t>matematicko-filosofickém termínu „</w:t>
      </w:r>
      <w:r w:rsidRPr="00F74856">
        <w:rPr>
          <w:i/>
        </w:rPr>
        <w:t>la région des vérités éternelles</w:t>
      </w:r>
      <w:r w:rsidRPr="00650EEA">
        <w:t>“</w:t>
      </w:r>
      <w:r>
        <w:t xml:space="preserve"> (</w:t>
      </w:r>
      <w:r>
        <w:rPr>
          <w:lang w:val="cs-CZ"/>
        </w:rPr>
        <w:t xml:space="preserve">OBJ III, </w:t>
      </w:r>
      <w:r>
        <w:t xml:space="preserve">kap. </w:t>
      </w:r>
      <w:r>
        <w:rPr>
          <w:lang w:val="cs-CZ"/>
        </w:rPr>
        <w:t>5</w:t>
      </w:r>
      <w:r>
        <w:t>.2.3).</w:t>
      </w:r>
    </w:p>
  </w:footnote>
  <w:footnote w:id="251">
    <w:p w14:paraId="66345F2C" w14:textId="77777777" w:rsidR="00CD2817" w:rsidRPr="004A390B" w:rsidRDefault="00CD2817">
      <w:pPr>
        <w:pStyle w:val="Textpoznpodarou"/>
      </w:pPr>
      <w:r>
        <w:rPr>
          <w:rStyle w:val="Znakapoznpodarou"/>
        </w:rPr>
        <w:footnoteRef/>
      </w:r>
      <w:r>
        <w:t xml:space="preserve"> „</w:t>
      </w:r>
      <w:r>
        <w:rPr>
          <w:lang w:val="cs-CZ"/>
        </w:rPr>
        <w:t>I</w:t>
      </w:r>
      <w:r w:rsidRPr="00A27DEE">
        <w:t xml:space="preserve">deo volo primo totam Aristotelis scientiam pro nostris viribus explanare, </w:t>
      </w:r>
      <w:r>
        <w:t>et tunc alio</w:t>
      </w:r>
      <w:r w:rsidRPr="00A27DEE">
        <w:t>rum Peripateticorum inducere opiniones, et post</w:t>
      </w:r>
      <w:r>
        <w:t xml:space="preserve"> hoc de Platonis opinionibus vi</w:t>
      </w:r>
      <w:r w:rsidRPr="00A27DEE">
        <w:t xml:space="preserve">dere, et tunc demum nostram </w:t>
      </w:r>
      <w:r>
        <w:t>ponere</w:t>
      </w:r>
      <w:r w:rsidRPr="00A27DEE">
        <w:t xml:space="preserve"> opinionem</w:t>
      </w:r>
      <w:r>
        <w:t>: quoniam in istarum quae</w:t>
      </w:r>
      <w:r w:rsidRPr="00A27DEE">
        <w:t>stionu</w:t>
      </w:r>
      <w:r>
        <w:t>m determinatione omnino abhorre</w:t>
      </w:r>
      <w:r w:rsidRPr="00A27DEE">
        <w:t>mus Doctorum Latinorum verba: eo quod nobis videtur quod etiam in eorum verbis non modo quiescat anima</w:t>
      </w:r>
      <w:r>
        <w:t>: pro</w:t>
      </w:r>
      <w:r w:rsidRPr="00A27DEE">
        <w:t>pter quo</w:t>
      </w:r>
      <w:r>
        <w:t xml:space="preserve">d </w:t>
      </w:r>
      <w:r w:rsidRPr="00177212">
        <w:t>scientiam veritatis nec ostendunt, nec verbis propriis attingunt</w:t>
      </w:r>
      <w:r>
        <w:t>.“ (</w:t>
      </w:r>
      <w:r w:rsidRPr="00277F6C">
        <w:rPr>
          <w:i/>
        </w:rPr>
        <w:t>Liber III De anima</w:t>
      </w:r>
      <w:r>
        <w:t>, tract. II, cap. 1;  ed. Borgnet</w:t>
      </w:r>
      <w:r>
        <w:rPr>
          <w:lang w:val="cs-CZ"/>
        </w:rPr>
        <w:t xml:space="preserve"> </w:t>
      </w:r>
      <w:r>
        <w:t>5, 330a</w:t>
      </w:r>
      <w:r>
        <w:fldChar w:fldCharType="begin"/>
      </w:r>
      <w:r>
        <w:instrText xml:space="preserve"> XE "</w:instrText>
      </w:r>
      <w:r>
        <w:rPr>
          <w:lang w:val="cs-CZ"/>
        </w:rPr>
        <w:instrText>Albert:</w:instrText>
      </w:r>
      <w:r w:rsidRPr="009A0DD0">
        <w:rPr>
          <w:i/>
        </w:rPr>
        <w:instrText>Liber III De anima</w:instrText>
      </w:r>
      <w:r w:rsidRPr="009A0DD0">
        <w:instrText xml:space="preserve"> 330a</w:instrText>
      </w:r>
      <w:r>
        <w:instrText xml:space="preserve">" </w:instrText>
      </w:r>
      <w:r>
        <w:fldChar w:fldCharType="end"/>
      </w:r>
      <w:r>
        <w:t>)</w:t>
      </w:r>
    </w:p>
  </w:footnote>
  <w:footnote w:id="252">
    <w:p w14:paraId="565806ED" w14:textId="77777777" w:rsidR="00CD2817" w:rsidRPr="080A4FA3" w:rsidRDefault="00CD2817" w:rsidP="00085B3D">
      <w:pPr>
        <w:pStyle w:val="Textpoznpodarou"/>
        <w:rPr>
          <w:lang w:val="cs-CZ"/>
        </w:rPr>
      </w:pPr>
      <w:r w:rsidRPr="080A4FA3">
        <w:rPr>
          <w:rStyle w:val="Znakapoznpodarou"/>
        </w:rPr>
        <w:footnoteRef/>
      </w:r>
      <w:r w:rsidRPr="080A4FA3">
        <w:t xml:space="preserve"> „Res sensibiles sunt in anima simpliciter, hoc est, quia formae earum sunt in illa sine suis materiis. similiter formae rerum sunt in intelligentia simplicius et communiori esse.</w:t>
      </w:r>
      <w:r>
        <w:rPr>
          <w:lang w:val="cs-CZ"/>
        </w:rPr>
        <w:t xml:space="preserve"> Similiter formae earum sunt in intelligentia simplicius et communiori esse.</w:t>
      </w:r>
      <w:r w:rsidRPr="080A4FA3">
        <w:t>“</w:t>
      </w:r>
      <w:r>
        <w:rPr>
          <w:lang w:val="cs-CZ"/>
        </w:rPr>
        <w:t xml:space="preserve"> </w:t>
      </w:r>
      <w:r w:rsidRPr="005D14A7">
        <w:t>(</w:t>
      </w:r>
      <w:r w:rsidRPr="007235EC">
        <w:rPr>
          <w:i/>
        </w:rPr>
        <w:t>Avencebrolis Fons Vitae</w:t>
      </w:r>
      <w:r>
        <w:t xml:space="preserve"> II</w:t>
      </w:r>
      <w:r>
        <w:rPr>
          <w:lang w:val="cs-CZ"/>
        </w:rPr>
        <w:t>I</w:t>
      </w:r>
      <w:r>
        <w:t>.</w:t>
      </w:r>
      <w:r>
        <w:rPr>
          <w:lang w:val="cs-CZ"/>
        </w:rPr>
        <w:t>45</w:t>
      </w:r>
      <w:r>
        <w:t>, ed. Bae</w:t>
      </w:r>
      <w:r w:rsidRPr="005D14A7">
        <w:t>umker</w:t>
      </w:r>
      <w:r>
        <w:t xml:space="preserve">, p. </w:t>
      </w:r>
      <w:r>
        <w:rPr>
          <w:lang w:val="cs-CZ"/>
        </w:rPr>
        <w:t>133</w:t>
      </w:r>
      <w:r>
        <w:t>.</w:t>
      </w:r>
      <w:r>
        <w:rPr>
          <w:lang w:val="cs-CZ"/>
        </w:rPr>
        <w:t>15</w:t>
      </w:r>
      <w:r>
        <w:t>‒</w:t>
      </w:r>
      <w:r>
        <w:rPr>
          <w:lang w:val="cs-CZ"/>
        </w:rPr>
        <w:t>17</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133</w:instrText>
      </w:r>
      <w:r>
        <w:instrText>.</w:instrText>
      </w:r>
      <w:r>
        <w:rPr>
          <w:lang w:val="cs-CZ"/>
        </w:rPr>
        <w:instrText>15</w:instrText>
      </w:r>
      <w:r w:rsidRPr="006D7F75">
        <w:instrText>‒1</w:instrText>
      </w:r>
      <w:r>
        <w:rPr>
          <w:lang w:val="cs-CZ"/>
        </w:rPr>
        <w:instrText>7</w:instrText>
      </w:r>
      <w:r>
        <w:instrText xml:space="preserve">" </w:instrText>
      </w:r>
      <w:r>
        <w:fldChar w:fldCharType="end"/>
      </w:r>
      <w:r>
        <w:t>)</w:t>
      </w:r>
    </w:p>
  </w:footnote>
  <w:footnote w:id="253">
    <w:p w14:paraId="207A5AD9" w14:textId="77777777" w:rsidR="00CD2817" w:rsidRPr="000B3D42" w:rsidRDefault="00CD2817">
      <w:pPr>
        <w:pStyle w:val="Textpoznpodarou"/>
        <w:rPr>
          <w:sz w:val="21"/>
        </w:rPr>
      </w:pPr>
      <w:r>
        <w:rPr>
          <w:rStyle w:val="Znakapoznpodarou"/>
        </w:rPr>
        <w:footnoteRef/>
      </w:r>
      <w:r>
        <w:t xml:space="preserve"> </w:t>
      </w:r>
      <w:r w:rsidRPr="080A4FA3">
        <w:t>„Sic igitur intendit dicere Avicebron, quod potentia intellectus possibilis communis est sicut et materiae, et ideo separata est a determinatione formarum quas potentia et non actu habet. Et quoniam sic universalis est potentia ejus, ideo universale est quod hoc modo est in ipsa.“ (</w:t>
      </w:r>
      <w:r w:rsidRPr="080A4FA3">
        <w:rPr>
          <w:i/>
        </w:rPr>
        <w:t>Liber III De anima</w:t>
      </w:r>
      <w:r w:rsidRPr="080A4FA3">
        <w:t>, tract. II, cap. 9; ed. Borgnet 5, 344b</w:t>
      </w:r>
      <w:r w:rsidRPr="080A4FA3">
        <w:fldChar w:fldCharType="begin"/>
      </w:r>
      <w:r w:rsidRPr="080A4FA3">
        <w:instrText xml:space="preserve"> XE "Albert:Liber III De anima 344b" </w:instrText>
      </w:r>
      <w:r w:rsidRPr="080A4FA3">
        <w:fldChar w:fldCharType="end"/>
      </w:r>
      <w:r w:rsidRPr="080A4FA3">
        <w:t>)</w:t>
      </w:r>
    </w:p>
  </w:footnote>
  <w:footnote w:id="254">
    <w:p w14:paraId="10FC0A02" w14:textId="767F8BF7" w:rsidR="00CD2817" w:rsidRPr="00644F5C" w:rsidRDefault="00CD2817" w:rsidP="08C40821">
      <w:pPr>
        <w:pStyle w:val="Textpoznpodarou"/>
      </w:pPr>
      <w:r>
        <w:rPr>
          <w:rStyle w:val="Znakapoznpodarou"/>
        </w:rPr>
        <w:footnoteRef/>
      </w:r>
      <w:r>
        <w:t xml:space="preserve"> </w:t>
      </w:r>
      <w:r w:rsidRPr="001A2132">
        <w:t>„</w:t>
      </w:r>
      <w:r>
        <w:t>Est autem haec disputatio difficilis valde, n</w:t>
      </w:r>
      <w:r>
        <w:rPr>
          <w:lang w:val="ru-RU"/>
        </w:rPr>
        <w:t xml:space="preserve">ес </w:t>
      </w:r>
      <w:r>
        <w:t>ad eam admittendi sunt, nisi qui nutriti sunt in philosophia; quia quicumque alii sunt, verba quidem audire possunt, sed ad intellectum eorum non sunt idonei.“ (</w:t>
      </w:r>
      <w:r>
        <w:rPr>
          <w:i/>
        </w:rPr>
        <w:t>D</w:t>
      </w:r>
      <w:r w:rsidRPr="001A2132">
        <w:rPr>
          <w:i/>
        </w:rPr>
        <w:t>e unitate intellectu</w:t>
      </w:r>
      <w:r>
        <w:rPr>
          <w:i/>
        </w:rPr>
        <w:t>s</w:t>
      </w:r>
      <w:r>
        <w:t xml:space="preserve">, </w:t>
      </w:r>
      <w:r>
        <w:rPr>
          <w:lang w:val="ru-RU"/>
        </w:rPr>
        <w:t>с</w:t>
      </w:r>
      <w:r>
        <w:t>ap</w:t>
      </w:r>
      <w:r>
        <w:rPr>
          <w:lang w:val="ru-RU"/>
        </w:rPr>
        <w:t xml:space="preserve">. </w:t>
      </w:r>
      <w:r>
        <w:t>III</w:t>
      </w:r>
      <w:r>
        <w:rPr>
          <w:lang w:val="cs-CZ"/>
        </w:rPr>
        <w:t xml:space="preserve">; </w:t>
      </w:r>
      <w:r>
        <w:t xml:space="preserve">ed. Borgnet  </w:t>
      </w:r>
      <w:r w:rsidRPr="001A2132">
        <w:t>9</w:t>
      </w:r>
      <w:r>
        <w:t>, 440b</w:t>
      </w:r>
      <w:r>
        <w:fldChar w:fldCharType="begin"/>
      </w:r>
      <w:r>
        <w:instrText xml:space="preserve"> XE "</w:instrText>
      </w:r>
      <w:r>
        <w:rPr>
          <w:lang w:val="cs-CZ"/>
        </w:rPr>
        <w:instrText>Albert:</w:instrText>
      </w:r>
      <w:r w:rsidRPr="00731993">
        <w:rPr>
          <w:i/>
        </w:rPr>
        <w:instrText>De unitate intellectus</w:instrText>
      </w:r>
      <w:r>
        <w:rPr>
          <w:i/>
          <w:lang w:val="cs-CZ"/>
        </w:rPr>
        <w:instrText xml:space="preserve"> </w:instrText>
      </w:r>
      <w:r w:rsidRPr="00731993">
        <w:instrText>440b</w:instrText>
      </w:r>
      <w:r>
        <w:instrText xml:space="preserve">" </w:instrText>
      </w:r>
      <w:r>
        <w:fldChar w:fldCharType="end"/>
      </w:r>
      <w:r w:rsidRPr="001A2132">
        <w:t>)</w:t>
      </w:r>
    </w:p>
  </w:footnote>
  <w:footnote w:id="255">
    <w:p w14:paraId="3018AAAC" w14:textId="77777777" w:rsidR="00CD2817" w:rsidRPr="00440CAC" w:rsidRDefault="00CD2817">
      <w:pPr>
        <w:pStyle w:val="Textpoznpodarou"/>
      </w:pPr>
      <w:r>
        <w:rPr>
          <w:rStyle w:val="Znakapoznpodarou"/>
        </w:rPr>
        <w:footnoteRef/>
      </w:r>
      <w:r>
        <w:t xml:space="preserve"> „</w:t>
      </w:r>
      <w:r>
        <w:rPr>
          <w:lang w:val="cs-CZ"/>
        </w:rPr>
        <w:t>S</w:t>
      </w:r>
      <w:r w:rsidRPr="00392FD3">
        <w:t>cientia quae est in anima et aliae virtutes intellectuales, non habent esse r</w:t>
      </w:r>
      <w:r>
        <w:t>eale et ratum in natura, sed in anima tantum</w:t>
      </w:r>
      <w:r w:rsidRPr="00392FD3">
        <w:t>: et hoc est esse debile, et potius est entis aliquid quam ens, et talibus entibus rationibus bene subjicitur id quod in se non est individuum sed</w:t>
      </w:r>
      <w:r>
        <w:t xml:space="preserve"> forma.“ (</w:t>
      </w:r>
      <w:r w:rsidRPr="008E4E71">
        <w:rPr>
          <w:i/>
        </w:rPr>
        <w:t>Liber III De anima</w:t>
      </w:r>
      <w:r>
        <w:t xml:space="preserve">, cap. </w:t>
      </w:r>
      <w:r>
        <w:rPr>
          <w:lang w:val="cs-CZ"/>
        </w:rPr>
        <w:t>11;</w:t>
      </w:r>
      <w:r>
        <w:t xml:space="preserve"> ed. Borgnet </w:t>
      </w:r>
      <w:r>
        <w:rPr>
          <w:lang w:val="cs-CZ"/>
        </w:rPr>
        <w:t>5</w:t>
      </w:r>
      <w:r>
        <w:t>, 348b</w:t>
      </w:r>
      <w:r>
        <w:fldChar w:fldCharType="begin"/>
      </w:r>
      <w:r>
        <w:instrText xml:space="preserve"> XE "</w:instrText>
      </w:r>
      <w:r>
        <w:rPr>
          <w:lang w:val="cs-CZ"/>
        </w:rPr>
        <w:instrText>Albert:</w:instrText>
      </w:r>
      <w:r w:rsidRPr="00714498">
        <w:rPr>
          <w:i/>
        </w:rPr>
        <w:instrText>Liber III De anima</w:instrText>
      </w:r>
      <w:r w:rsidRPr="00714498">
        <w:instrText xml:space="preserve"> 348b</w:instrText>
      </w:r>
      <w:r>
        <w:instrText xml:space="preserve">" </w:instrText>
      </w:r>
      <w:r>
        <w:fldChar w:fldCharType="end"/>
      </w:r>
      <w:r>
        <w:t>)</w:t>
      </w:r>
    </w:p>
  </w:footnote>
  <w:footnote w:id="256">
    <w:p w14:paraId="3D5847F3" w14:textId="3B4FB352" w:rsidR="00CD2817" w:rsidRPr="00F40BEF" w:rsidRDefault="00CD2817" w:rsidP="007522E4">
      <w:pPr>
        <w:pStyle w:val="Textpoznpodarou"/>
        <w:rPr>
          <w:lang w:val="cs-CZ"/>
        </w:rPr>
      </w:pPr>
      <w:r>
        <w:rPr>
          <w:rStyle w:val="Znakapoznpodarou"/>
        </w:rPr>
        <w:footnoteRef/>
      </w:r>
      <w:r>
        <w:rPr>
          <w:lang w:val="cs-CZ"/>
        </w:rPr>
        <w:t xml:space="preserve"> „</w:t>
      </w:r>
      <w:r w:rsidRPr="007A5099">
        <w:rPr>
          <w:lang w:val="cs-CZ"/>
        </w:rPr>
        <w:t>Simpliciter enim dicitur res quod habet</w:t>
      </w:r>
      <w:r>
        <w:rPr>
          <w:lang w:val="cs-CZ"/>
        </w:rPr>
        <w:t xml:space="preserve"> esse ratum et firmum in natura</w:t>
      </w:r>
      <w:r w:rsidRPr="007A5099">
        <w:rPr>
          <w:lang w:val="cs-CZ"/>
        </w:rPr>
        <w:t xml:space="preserve">; et dicitur res hoc modo, accepto nomine "rei" secundum quod habet quidditatem vel essentiam quamdam; ens vero, secundum, quod habet esse, ut dicit Avicenna, </w:t>
      </w:r>
      <w:r w:rsidRPr="007A5099">
        <w:rPr>
          <w:i/>
          <w:lang w:val="cs-CZ"/>
        </w:rPr>
        <w:t>Metaph</w:t>
      </w:r>
      <w:r w:rsidRPr="007A5099">
        <w:rPr>
          <w:lang w:val="cs-CZ"/>
        </w:rPr>
        <w:t xml:space="preserve">., tract. I, cap. vi, distinguens entis et rei significationem. Sed quia res per essentiam suam cognoscibilis est, transumptum est nomen "rei" ad omne id quod in cognitione vel intellectu cadere potest, secundum quod res a "reor reris" dicitur; et per hunc modum dicuntur res rationis quae in natura ratum esse non habent, secundum quem modum etiam negationes et privationes res dici possunt, sicut et entia rationis dicuntur, ut Commentator, in IV </w:t>
      </w:r>
      <w:r w:rsidRPr="007A5099">
        <w:rPr>
          <w:i/>
          <w:lang w:val="cs-CZ"/>
        </w:rPr>
        <w:t>Metaph</w:t>
      </w:r>
      <w:r w:rsidRPr="007A5099">
        <w:rPr>
          <w:lang w:val="cs-CZ"/>
        </w:rPr>
        <w:t>., comm. 2, dicit.</w:t>
      </w:r>
      <w:r>
        <w:rPr>
          <w:lang w:val="cs-CZ"/>
        </w:rPr>
        <w:t xml:space="preserve">“ </w:t>
      </w:r>
      <w:r>
        <w:t>(</w:t>
      </w:r>
      <w:r w:rsidRPr="00CE24C1">
        <w:rPr>
          <w:rStyle w:val="ref"/>
          <w:i/>
        </w:rPr>
        <w:t xml:space="preserve">Super </w:t>
      </w:r>
      <w:r w:rsidRPr="00CE24C1">
        <w:rPr>
          <w:rStyle w:val="ref"/>
          <w:i/>
          <w:lang w:val="cs-CZ"/>
        </w:rPr>
        <w:t xml:space="preserve">libros </w:t>
      </w:r>
      <w:r w:rsidRPr="00CE24C1">
        <w:rPr>
          <w:rStyle w:val="ref"/>
          <w:i/>
        </w:rPr>
        <w:t>Sent</w:t>
      </w:r>
      <w:r w:rsidRPr="00CE24C1">
        <w:rPr>
          <w:rStyle w:val="ref"/>
          <w:i/>
          <w:lang w:val="cs-CZ"/>
        </w:rPr>
        <w:t>entiarum II</w:t>
      </w:r>
      <w:r>
        <w:rPr>
          <w:rStyle w:val="ref"/>
        </w:rPr>
        <w:t>, d. 37, q. 1, a. 1, resp.</w:t>
      </w:r>
      <w:r>
        <w:rPr>
          <w:rStyle w:val="ref"/>
          <w:lang w:val="cs-CZ"/>
        </w:rPr>
        <w:t>; ed. Mandonnet, p. 944</w:t>
      </w:r>
      <w:r>
        <w:rPr>
          <w:i/>
        </w:rPr>
        <w:fldChar w:fldCharType="begin"/>
      </w:r>
      <w:r>
        <w:instrText xml:space="preserve"> XE "</w:instrText>
      </w:r>
      <w:r>
        <w:rPr>
          <w:lang w:val="cs-CZ"/>
        </w:rPr>
        <w:instrText xml:space="preserve">Akvinský: </w:instrText>
      </w:r>
      <w:r w:rsidRPr="00E82919">
        <w:rPr>
          <w:rStyle w:val="ref"/>
          <w:i/>
        </w:rPr>
        <w:instrText>Super II Sent</w:instrText>
      </w:r>
      <w:r>
        <w:rPr>
          <w:rStyle w:val="ref"/>
        </w:rPr>
        <w:instrText>.</w:instrText>
      </w:r>
      <w:r w:rsidR="00601815">
        <w:rPr>
          <w:rStyle w:val="ref"/>
          <w:lang w:val="cs-CZ"/>
        </w:rPr>
        <w:instrText xml:space="preserve"> 944</w:instrText>
      </w:r>
      <w:r>
        <w:instrText xml:space="preserve">" </w:instrText>
      </w:r>
      <w:r>
        <w:rPr>
          <w:i/>
        </w:rPr>
        <w:fldChar w:fldCharType="end"/>
      </w:r>
      <w:r>
        <w:t>)</w:t>
      </w:r>
      <w:r>
        <w:rPr>
          <w:lang w:val="cs-CZ"/>
        </w:rPr>
        <w:t xml:space="preserve"> </w:t>
      </w:r>
    </w:p>
  </w:footnote>
  <w:footnote w:id="257">
    <w:p w14:paraId="7ECD0958" w14:textId="77777777" w:rsidR="00CD2817" w:rsidRDefault="00CD2817">
      <w:pPr>
        <w:pStyle w:val="Textpoznpodarou"/>
      </w:pPr>
      <w:r>
        <w:rPr>
          <w:rStyle w:val="Znakapoznpodarou"/>
        </w:rPr>
        <w:footnoteRef/>
      </w:r>
      <w:r>
        <w:t xml:space="preserve"> „Unde obiter colligo ens in vi nominis sumptum et </w:t>
      </w:r>
      <w:r>
        <w:rPr>
          <w:i/>
          <w:iCs/>
        </w:rPr>
        <w:t xml:space="preserve">rem </w:t>
      </w:r>
      <w:r>
        <w:t xml:space="preserve">idem omnino esse seu significare, solumque differre in etymologia nominum; nam </w:t>
      </w:r>
      <w:r>
        <w:rPr>
          <w:i/>
          <w:iCs/>
        </w:rPr>
        <w:t xml:space="preserve">res </w:t>
      </w:r>
      <w:r>
        <w:t xml:space="preserve">dicitur a quidditate, quatenus est aliquid firmum et ratum, id est, non fictum, qua ratione dicitur quidditas realis; </w:t>
      </w:r>
      <w:r>
        <w:rPr>
          <w:i/>
          <w:iCs/>
        </w:rPr>
        <w:t xml:space="preserve">ens </w:t>
      </w:r>
      <w:r>
        <w:t>vero in praedicta significatione dicit id quod habet essentiam realem: eamdem ergo omnino rem seu rationem realem important.“ (</w:t>
      </w:r>
      <w:r>
        <w:rPr>
          <w:rStyle w:val="txt12"/>
          <w:i/>
          <w:iCs/>
        </w:rPr>
        <w:t>Disputationes Metaphysicae</w:t>
      </w:r>
      <w:r>
        <w:rPr>
          <w:rStyle w:val="txt12"/>
        </w:rPr>
        <w:t xml:space="preserve"> </w:t>
      </w:r>
      <w:r>
        <w:rPr>
          <w:color w:val="000000"/>
        </w:rPr>
        <w:t>2.4.15</w:t>
      </w:r>
      <w:r>
        <w:rPr>
          <w:color w:val="000000"/>
        </w:rPr>
        <w:fldChar w:fldCharType="begin"/>
      </w:r>
      <w:r>
        <w:instrText xml:space="preserve"> XE "</w:instrText>
      </w:r>
      <w:r>
        <w:rPr>
          <w:lang w:val="cs-CZ"/>
        </w:rPr>
        <w:instrText>Suárez:</w:instrText>
      </w:r>
      <w:r w:rsidRPr="00995FD6">
        <w:rPr>
          <w:rStyle w:val="txt12"/>
          <w:i/>
          <w:iCs/>
        </w:rPr>
        <w:instrText>Disputationes Metaphysicae</w:instrText>
      </w:r>
      <w:r w:rsidRPr="00995FD6">
        <w:rPr>
          <w:rStyle w:val="txt12"/>
        </w:rPr>
        <w:instrText xml:space="preserve"> </w:instrText>
      </w:r>
      <w:r w:rsidRPr="00995FD6">
        <w:rPr>
          <w:color w:val="000000"/>
        </w:rPr>
        <w:instrText>2.4.15</w:instrText>
      </w:r>
      <w:r>
        <w:instrText xml:space="preserve">" </w:instrText>
      </w:r>
      <w:r>
        <w:rPr>
          <w:color w:val="000000"/>
        </w:rPr>
        <w:fldChar w:fldCharType="end"/>
      </w:r>
      <w:r>
        <w:rPr>
          <w:color w:val="000000"/>
        </w:rPr>
        <w:t>, editio digitalis Renemann et. al.</w:t>
      </w:r>
      <w:r>
        <w:t>)</w:t>
      </w:r>
    </w:p>
  </w:footnote>
  <w:footnote w:id="258">
    <w:p w14:paraId="1AEC6D88" w14:textId="77777777" w:rsidR="00CD2817" w:rsidRPr="00E163E6" w:rsidRDefault="00CD2817" w:rsidP="004F1B1D">
      <w:pPr>
        <w:pStyle w:val="Textpoznpodarou"/>
      </w:pPr>
      <w:r>
        <w:rPr>
          <w:rStyle w:val="Znakapoznpodarou"/>
        </w:rPr>
        <w:footnoteRef/>
      </w:r>
      <w:r>
        <w:t xml:space="preserve"> „</w:t>
      </w:r>
      <w:r w:rsidRPr="00FB1401">
        <w:t>Sed isti absque dubio nunquam bene intent</w:t>
      </w:r>
      <w:r>
        <w:t>ionem Aristotelis intellexerunt</w:t>
      </w:r>
      <w:r w:rsidRPr="00FB1401">
        <w:t>: quoniam ex duobus his concessis, quod neque est immixtus, et separatus, sequitu</w:t>
      </w:r>
      <w:r>
        <w:t>r necessario ipsum non esse hoc</w:t>
      </w:r>
      <w:r w:rsidRPr="00FB1401">
        <w:t>: et ideo nihil est quod dicunt</w:t>
      </w:r>
      <w:r>
        <w:t xml:space="preserve"> isti. Adhuc autem animam, sicu</w:t>
      </w:r>
      <w:r w:rsidRPr="00FB1401">
        <w:t xml:space="preserve">t dicunt, esse compositam et individuam, nulla omnino probant ratione, nisi quod dicunt Boetium dicere, quod in omni quod est circa primum, </w:t>
      </w:r>
      <w:r>
        <w:t>est hoc et hoc: et sic in ani</w:t>
      </w:r>
      <w:r w:rsidRPr="00FB1401">
        <w:t>ma conc</w:t>
      </w:r>
      <w:r>
        <w:t>edunt esse hoc et hoc, non con</w:t>
      </w:r>
      <w:r w:rsidRPr="00FB1401">
        <w:t>tinuo inferri potest hoc et hoc esse materiam et f</w:t>
      </w:r>
      <w:r>
        <w:t>ormam</w:t>
      </w:r>
      <w:r w:rsidRPr="00FB1401">
        <w:t>...</w:t>
      </w:r>
      <w:r>
        <w:t>“ (</w:t>
      </w:r>
      <w:r w:rsidRPr="008E4E71">
        <w:rPr>
          <w:i/>
        </w:rPr>
        <w:t>Liber III De anima</w:t>
      </w:r>
      <w:r>
        <w:t xml:space="preserve">, cap. </w:t>
      </w:r>
      <w:r>
        <w:rPr>
          <w:lang w:val="cs-CZ"/>
        </w:rPr>
        <w:t xml:space="preserve">11; </w:t>
      </w:r>
      <w:r>
        <w:t xml:space="preserve">ed. Borgnet </w:t>
      </w:r>
      <w:r>
        <w:rPr>
          <w:lang w:val="cs-CZ"/>
        </w:rPr>
        <w:t>5</w:t>
      </w:r>
      <w:r>
        <w:t>, 348a</w:t>
      </w:r>
      <w:r>
        <w:fldChar w:fldCharType="begin"/>
      </w:r>
      <w:r>
        <w:instrText xml:space="preserve"> XE "</w:instrText>
      </w:r>
      <w:r>
        <w:rPr>
          <w:lang w:val="cs-CZ"/>
        </w:rPr>
        <w:instrText>Albert:</w:instrText>
      </w:r>
      <w:r w:rsidRPr="00A64BF1">
        <w:rPr>
          <w:i/>
        </w:rPr>
        <w:instrText>Liber III De anima</w:instrText>
      </w:r>
      <w:r w:rsidRPr="00A64BF1">
        <w:instrText xml:space="preserve"> 348a</w:instrText>
      </w:r>
      <w:r>
        <w:instrText xml:space="preserve">" </w:instrText>
      </w:r>
      <w:r>
        <w:fldChar w:fldCharType="end"/>
      </w:r>
      <w:r>
        <w:t>)</w:t>
      </w:r>
    </w:p>
  </w:footnote>
  <w:footnote w:id="259">
    <w:p w14:paraId="7B32B7EB" w14:textId="77777777" w:rsidR="00CD2817" w:rsidRPr="00661F1F" w:rsidRDefault="00CD2817">
      <w:pPr>
        <w:pStyle w:val="Textpoznpodarou"/>
      </w:pPr>
      <w:r>
        <w:rPr>
          <w:rStyle w:val="Znakapoznpodarou"/>
        </w:rPr>
        <w:footnoteRef/>
      </w:r>
      <w:r>
        <w:t xml:space="preserve"> </w:t>
      </w:r>
      <w:r w:rsidRPr="00661F1F">
        <w:t>„Adhuc autem haec opinio supponit quod universale sit in anima sicut in subjecto, et forte hoc non est verum.“ (</w:t>
      </w:r>
      <w:r w:rsidRPr="00661F1F">
        <w:rPr>
          <w:i/>
        </w:rPr>
        <w:t>Liber III De anima</w:t>
      </w:r>
      <w:r w:rsidRPr="00661F1F">
        <w:t>, tract. II, cap. 11; ed. Bo</w:t>
      </w:r>
      <w:r>
        <w:rPr>
          <w:lang w:val="cs-CZ"/>
        </w:rPr>
        <w:t>r</w:t>
      </w:r>
      <w:r w:rsidRPr="00661F1F">
        <w:t>gnet 5, 348b</w:t>
      </w:r>
      <w:r w:rsidRPr="00661F1F">
        <w:fldChar w:fldCharType="begin"/>
      </w:r>
      <w:r w:rsidRPr="00661F1F">
        <w:instrText xml:space="preserve"> XE "Albert:</w:instrText>
      </w:r>
      <w:r w:rsidRPr="00661F1F">
        <w:rPr>
          <w:i/>
        </w:rPr>
        <w:instrText>Liber III De anima</w:instrText>
      </w:r>
      <w:r w:rsidRPr="00661F1F">
        <w:instrText xml:space="preserve"> 348b" </w:instrText>
      </w:r>
      <w:r w:rsidRPr="00661F1F">
        <w:fldChar w:fldCharType="end"/>
      </w:r>
      <w:r w:rsidRPr="00661F1F">
        <w:t>)</w:t>
      </w:r>
    </w:p>
  </w:footnote>
  <w:footnote w:id="260">
    <w:p w14:paraId="63C6B771" w14:textId="77777777" w:rsidR="00CD2817" w:rsidRPr="00607BBD" w:rsidRDefault="00CD2817" w:rsidP="081E5CFF">
      <w:pPr>
        <w:pStyle w:val="Textpoznpodarou"/>
      </w:pPr>
      <w:r>
        <w:rPr>
          <w:rStyle w:val="Znakapoznpodarou"/>
        </w:rPr>
        <w:footnoteRef/>
      </w:r>
      <w:r>
        <w:rPr>
          <w:lang w:val="cs-CZ"/>
        </w:rPr>
        <w:t xml:space="preserve"> </w:t>
      </w:r>
      <w:r>
        <w:t>„</w:t>
      </w:r>
      <w:r>
        <w:rPr>
          <w:lang w:val="cs-CZ"/>
        </w:rPr>
        <w:t>I</w:t>
      </w:r>
      <w:r w:rsidRPr="00DB74F3">
        <w:t>ntellectus autem movetur ad ultimam perfec</w:t>
      </w:r>
      <w:r>
        <w:t xml:space="preserve">tionem a rebus universalibus, </w:t>
      </w:r>
      <w:r w:rsidRPr="00DB74F3">
        <w:t xml:space="preserve">et iste sunt in anima. Et dixit: </w:t>
      </w:r>
      <w:r w:rsidRPr="00DB74F3">
        <w:rPr>
          <w:i/>
        </w:rPr>
        <w:t>et iste quasi sunt in anima</w:t>
      </w:r>
      <w:r w:rsidRPr="00DB74F3">
        <w:t xml:space="preserve">, quia post declarabit quod ea que sunt de prima perfectione in intellectu quasi sensibilia de prima perfectione sensus, scilicet in hoc quod ambo movent, sunt intentiones ymaginabiles, et iste sunt universales potentia, licet non actu; et ideo dixit: </w:t>
      </w:r>
      <w:r w:rsidRPr="00DB74F3">
        <w:rPr>
          <w:i/>
        </w:rPr>
        <w:t>et iste quasi sunt in anima</w:t>
      </w:r>
      <w:r w:rsidRPr="00DB74F3">
        <w:t xml:space="preserve">, et non dixit </w:t>
      </w:r>
      <w:r w:rsidRPr="00DB74F3">
        <w:rPr>
          <w:i/>
        </w:rPr>
        <w:t>sunt</w:t>
      </w:r>
      <w:r w:rsidRPr="00DB74F3">
        <w:t xml:space="preserve">, quia intentio universalis est alia ab intentione ymaginata. Deinde dixit: </w:t>
      </w:r>
      <w:r w:rsidRPr="00DB74F3">
        <w:rPr>
          <w:i/>
        </w:rPr>
        <w:t>Et ideo potest homo intelligere</w:t>
      </w:r>
      <w:r>
        <w:t>, etc.“ (CMDA II.60; 220.15‒24</w:t>
      </w:r>
      <w:r>
        <w:fldChar w:fldCharType="begin"/>
      </w:r>
      <w:r>
        <w:instrText xml:space="preserve"> XE "</w:instrText>
      </w:r>
      <w:r>
        <w:rPr>
          <w:lang w:val="cs-CZ"/>
        </w:rPr>
        <w:instrText>Averroes:</w:instrText>
      </w:r>
      <w:r w:rsidRPr="00117339">
        <w:instrText>CMDA 220.15‒24</w:instrText>
      </w:r>
      <w:r>
        <w:instrText xml:space="preserve">" </w:instrText>
      </w:r>
      <w:r>
        <w:fldChar w:fldCharType="end"/>
      </w:r>
      <w:r>
        <w:t>)</w:t>
      </w:r>
    </w:p>
  </w:footnote>
  <w:footnote w:id="261">
    <w:p w14:paraId="59785AAB" w14:textId="77777777" w:rsidR="00CD2817" w:rsidRPr="00107EFF" w:rsidRDefault="00CD2817" w:rsidP="00221596">
      <w:pPr>
        <w:pStyle w:val="Textpoznpodarou"/>
      </w:pPr>
      <w:r>
        <w:rPr>
          <w:rStyle w:val="Znakapoznpodarou"/>
        </w:rPr>
        <w:footnoteRef/>
      </w:r>
      <w:r>
        <w:rPr>
          <w:lang w:val="cs-CZ"/>
        </w:rPr>
        <w:t xml:space="preserve"> </w:t>
      </w:r>
      <w:r>
        <w:t>„</w:t>
      </w:r>
      <w:r>
        <w:rPr>
          <w:lang w:val="cs-CZ"/>
        </w:rPr>
        <w:t xml:space="preserve">Similiter autem scientia ex universalibus est, quae fiunt ex multis memoriis at experientiis quae non sunt eadem omnium. </w:t>
      </w:r>
      <w:r w:rsidRPr="00DD643D">
        <w:t xml:space="preserve">Et hoc </w:t>
      </w:r>
      <w:r>
        <w:t>est quod supra diximus, quod spe</w:t>
      </w:r>
      <w:r w:rsidRPr="00DD643D">
        <w:t>culativi intellectus sunt unus in eo quod speculativi intellectus sunt, sed sunt multi secundum quod illorum vel illorum sunt, et hac in determinatione convenit nobiscum Averroes, licet in modo abstraction</w:t>
      </w:r>
      <w:r>
        <w:t>i</w:t>
      </w:r>
      <w:r w:rsidRPr="00DD643D">
        <w:t>s intellectus parumper differat a nobis.</w:t>
      </w:r>
      <w:r>
        <w:t>“ (</w:t>
      </w:r>
      <w:r w:rsidRPr="00277F6C">
        <w:rPr>
          <w:i/>
        </w:rPr>
        <w:t>Liber III De anima</w:t>
      </w:r>
      <w:r>
        <w:t>, tract. II, cap. 13; ed. Borgnet</w:t>
      </w:r>
      <w:r>
        <w:rPr>
          <w:lang w:val="cs-CZ"/>
        </w:rPr>
        <w:t xml:space="preserve"> </w:t>
      </w:r>
      <w:r>
        <w:t>5, 353b</w:t>
      </w:r>
      <w:r>
        <w:fldChar w:fldCharType="begin"/>
      </w:r>
      <w:r>
        <w:instrText xml:space="preserve"> XE "Albert:</w:instrText>
      </w:r>
      <w:r w:rsidRPr="00940A34">
        <w:rPr>
          <w:i/>
        </w:rPr>
        <w:instrText>Liber III De anima</w:instrText>
      </w:r>
      <w:r>
        <w:instrText xml:space="preserve"> 3</w:instrText>
      </w:r>
      <w:r>
        <w:rPr>
          <w:lang w:val="cs-CZ"/>
        </w:rPr>
        <w:instrText>53</w:instrText>
      </w:r>
      <w:r w:rsidRPr="00940A34">
        <w:instrText>b</w:instrText>
      </w:r>
      <w:r>
        <w:instrText xml:space="preserve">" </w:instrText>
      </w:r>
      <w:r>
        <w:fldChar w:fldCharType="end"/>
      </w:r>
      <w:r>
        <w:t>)</w:t>
      </w:r>
    </w:p>
  </w:footnote>
  <w:footnote w:id="262">
    <w:p w14:paraId="793B2C2F" w14:textId="77777777" w:rsidR="00CD2817" w:rsidRPr="00F61289" w:rsidRDefault="00CD2817" w:rsidP="00A370E3">
      <w:pPr>
        <w:pStyle w:val="Textpoznpodarou"/>
      </w:pPr>
      <w:r>
        <w:rPr>
          <w:rStyle w:val="Znakapoznpodarou"/>
        </w:rPr>
        <w:footnoteRef/>
      </w:r>
      <w:r>
        <w:t xml:space="preserve"> „</w:t>
      </w:r>
      <w:r>
        <w:rPr>
          <w:lang w:val="cs-CZ"/>
        </w:rPr>
        <w:t>A</w:t>
      </w:r>
      <w:r>
        <w:t>cqui</w:t>
      </w:r>
      <w:r w:rsidRPr="00C11E92">
        <w:t xml:space="preserve">rit formas intellectas per hoc </w:t>
      </w:r>
      <w:r>
        <w:t>quod agens, denuda</w:t>
      </w:r>
      <w:r w:rsidRPr="00C11E92">
        <w:t>t eas et conj</w:t>
      </w:r>
      <w:r>
        <w:t>ungit eas intellectui possibili: et cum quaelibet illarum for</w:t>
      </w:r>
      <w:r w:rsidRPr="00C11E92">
        <w:t>marum</w:t>
      </w:r>
      <w:r>
        <w:t xml:space="preserve"> </w:t>
      </w:r>
      <w:r w:rsidRPr="00C11E92">
        <w:t xml:space="preserve">intellectualitatis accipit ab agente, oportet </w:t>
      </w:r>
      <w:r>
        <w:t>quod possibilis in qualibet con</w:t>
      </w:r>
      <w:r w:rsidRPr="00C11E92">
        <w:t>vertatur ad agentem</w:t>
      </w:r>
      <w:r>
        <w:t>...“ (</w:t>
      </w:r>
      <w:r w:rsidRPr="00277F6C">
        <w:rPr>
          <w:i/>
        </w:rPr>
        <w:t>Liber III De anima</w:t>
      </w:r>
      <w:r>
        <w:t>, tract. III, cap. 9; ed. Borgnet</w:t>
      </w:r>
      <w:r>
        <w:rPr>
          <w:lang w:val="cs-CZ"/>
        </w:rPr>
        <w:t xml:space="preserve"> </w:t>
      </w:r>
      <w:r>
        <w:t>5,</w:t>
      </w:r>
      <w:r>
        <w:rPr>
          <w:lang w:val="cs-CZ"/>
        </w:rPr>
        <w:t xml:space="preserve"> </w:t>
      </w:r>
      <w:r>
        <w:t>383b</w:t>
      </w:r>
      <w:r>
        <w:fldChar w:fldCharType="begin"/>
      </w:r>
      <w:r>
        <w:instrText xml:space="preserve"> XE "Albert:</w:instrText>
      </w:r>
      <w:r w:rsidRPr="00940A34">
        <w:rPr>
          <w:i/>
        </w:rPr>
        <w:instrText>Liber III De anima</w:instrText>
      </w:r>
      <w:r>
        <w:instrText xml:space="preserve"> 3</w:instrText>
      </w:r>
      <w:r w:rsidRPr="00940A34">
        <w:instrText>8</w:instrText>
      </w:r>
      <w:r>
        <w:rPr>
          <w:lang w:val="cs-CZ"/>
        </w:rPr>
        <w:instrText>3</w:instrText>
      </w:r>
      <w:r w:rsidRPr="00940A34">
        <w:instrText>b</w:instrText>
      </w:r>
      <w:r>
        <w:instrText xml:space="preserve">" </w:instrText>
      </w:r>
      <w:r>
        <w:fldChar w:fldCharType="end"/>
      </w:r>
      <w:r>
        <w:t>)</w:t>
      </w:r>
    </w:p>
  </w:footnote>
  <w:footnote w:id="263">
    <w:p w14:paraId="6E1AEDA6" w14:textId="77777777" w:rsidR="00CD2817" w:rsidRPr="00D11422" w:rsidRDefault="00CD2817">
      <w:pPr>
        <w:pStyle w:val="Textpoznpodarou"/>
        <w:rPr>
          <w:lang w:val="cs-CZ"/>
        </w:rPr>
      </w:pPr>
      <w:r>
        <w:rPr>
          <w:rStyle w:val="Znakapoznpodarou"/>
        </w:rPr>
        <w:footnoteRef/>
      </w:r>
      <w:r>
        <w:rPr>
          <w:lang w:val="cs-CZ"/>
        </w:rPr>
        <w:t xml:space="preserve"> „</w:t>
      </w:r>
      <w:r w:rsidRPr="00D11422">
        <w:rPr>
          <w:lang w:val="cs-CZ"/>
        </w:rPr>
        <w:t>Non ergo sic res servatur in anima. Si autem dicatur quod sunt in anima sicut actus in potentia, hoc esse non potest: quia nihil aliud est intelligere et considerare secundum actum, nisi habere intellecta in anima secundum actum...</w:t>
      </w:r>
      <w:r>
        <w:rPr>
          <w:lang w:val="cs-CZ"/>
        </w:rPr>
        <w:t>“ (</w:t>
      </w:r>
      <w:r w:rsidRPr="00277F6C">
        <w:rPr>
          <w:i/>
        </w:rPr>
        <w:t>Liber III De anima</w:t>
      </w:r>
      <w:r>
        <w:t>, tract. III, cap. 9; ed. Borgnet</w:t>
      </w:r>
      <w:r>
        <w:rPr>
          <w:lang w:val="cs-CZ"/>
        </w:rPr>
        <w:t xml:space="preserve"> </w:t>
      </w:r>
      <w:r>
        <w:t>5,</w:t>
      </w:r>
      <w:r>
        <w:rPr>
          <w:lang w:val="cs-CZ"/>
        </w:rPr>
        <w:t xml:space="preserve"> </w:t>
      </w:r>
      <w:r>
        <w:t>38</w:t>
      </w:r>
      <w:r>
        <w:rPr>
          <w:lang w:val="cs-CZ"/>
        </w:rPr>
        <w:t>4a</w:t>
      </w:r>
      <w:r>
        <w:fldChar w:fldCharType="begin"/>
      </w:r>
      <w:r>
        <w:instrText xml:space="preserve"> XE "Albert:</w:instrText>
      </w:r>
      <w:r w:rsidRPr="00940A34">
        <w:rPr>
          <w:i/>
        </w:rPr>
        <w:instrText>Liber III De anima</w:instrText>
      </w:r>
      <w:r>
        <w:instrText xml:space="preserve"> 3</w:instrText>
      </w:r>
      <w:r w:rsidRPr="00940A34">
        <w:instrText>8</w:instrText>
      </w:r>
      <w:r>
        <w:rPr>
          <w:lang w:val="cs-CZ"/>
        </w:rPr>
        <w:instrText>4a</w:instrText>
      </w:r>
      <w:r>
        <w:instrText xml:space="preserve">" </w:instrText>
      </w:r>
      <w:r>
        <w:fldChar w:fldCharType="end"/>
      </w:r>
      <w:r>
        <w:t>)</w:t>
      </w:r>
    </w:p>
  </w:footnote>
  <w:footnote w:id="264">
    <w:p w14:paraId="1A1BECC6" w14:textId="77777777" w:rsidR="00CD2817" w:rsidRPr="00DB3EFC" w:rsidRDefault="00CD2817">
      <w:pPr>
        <w:pStyle w:val="Textpoznpodarou"/>
        <w:rPr>
          <w:rFonts w:eastAsia="Times"/>
        </w:rPr>
      </w:pPr>
      <w:r>
        <w:rPr>
          <w:rStyle w:val="Znakapoznpodarou"/>
        </w:rPr>
        <w:footnoteRef/>
      </w:r>
      <w:r>
        <w:t xml:space="preserve"> „</w:t>
      </w:r>
      <w:r w:rsidRPr="00DF7FCF">
        <w:t>Est autem dup</w:t>
      </w:r>
      <w:r>
        <w:t>lex scientia ex phantasmate: qua</w:t>
      </w:r>
      <w:r w:rsidRPr="00DF7FCF">
        <w:t xml:space="preserve">edam enim est ex phantasmate, ita quod ipsa forma intellecta </w:t>
      </w:r>
      <w:r w:rsidRPr="00FC4944">
        <w:t>est forma habens esse in par</w:t>
      </w:r>
      <w:r>
        <w:t>ticulari:</w:t>
      </w:r>
      <w:r w:rsidRPr="00FC4944">
        <w:t xml:space="preserve"> quaedam autem sic, quod forma intellecta non est secundum esse in particulari sed in sensibili manifestantur</w:t>
      </w:r>
      <w:r w:rsidRPr="003A5A17">
        <w:t xml:space="preserve"> opera ej</w:t>
      </w:r>
      <w:r>
        <w:t>us: et per opera sicut per effe</w:t>
      </w:r>
      <w:r w:rsidRPr="003A5A17">
        <w:t>ctum venitur</w:t>
      </w:r>
      <w:r>
        <w:t xml:space="preserve"> in causam per intellectum</w:t>
      </w:r>
      <w:r w:rsidRPr="003A5A17">
        <w:t>: e</w:t>
      </w:r>
      <w:r>
        <w:t>t sic cognoscimus separata.“ (</w:t>
      </w:r>
      <w:r>
        <w:rPr>
          <w:i/>
        </w:rPr>
        <w:t>Liber III D</w:t>
      </w:r>
      <w:r w:rsidRPr="000D2CA0">
        <w:rPr>
          <w:i/>
        </w:rPr>
        <w:t>e anima</w:t>
      </w:r>
      <w:r>
        <w:t>, tract. III, cap. 10; ed. Borgnet</w:t>
      </w:r>
      <w:r>
        <w:rPr>
          <w:lang w:val="cs-CZ"/>
        </w:rPr>
        <w:t xml:space="preserve"> </w:t>
      </w:r>
      <w:r>
        <w:t>5, p</w:t>
      </w:r>
      <w:r>
        <w:rPr>
          <w:lang w:val="cs-CZ"/>
        </w:rPr>
        <w:t>p</w:t>
      </w:r>
      <w:r>
        <w:t>. 384</w:t>
      </w:r>
      <w:r>
        <w:rPr>
          <w:lang w:val="cs-CZ"/>
        </w:rPr>
        <w:t>b</w:t>
      </w:r>
      <w:r>
        <w:t>‒385</w:t>
      </w:r>
      <w:r>
        <w:rPr>
          <w:lang w:val="cs-CZ"/>
        </w:rPr>
        <w:t>a</w:t>
      </w:r>
      <w:r>
        <w:fldChar w:fldCharType="begin"/>
      </w:r>
      <w:r>
        <w:instrText xml:space="preserve"> XE "</w:instrText>
      </w:r>
      <w:r>
        <w:rPr>
          <w:lang w:val="cs-CZ"/>
        </w:rPr>
        <w:instrText>Albert:</w:instrText>
      </w:r>
      <w:r w:rsidRPr="00220DA6">
        <w:rPr>
          <w:i/>
        </w:rPr>
        <w:instrText>Liber III De anima</w:instrText>
      </w:r>
      <w:r>
        <w:rPr>
          <w:i/>
          <w:lang w:val="cs-CZ"/>
        </w:rPr>
        <w:instrText xml:space="preserve"> </w:instrText>
      </w:r>
      <w:r w:rsidRPr="00220DA6">
        <w:instrText>384</w:instrText>
      </w:r>
      <w:r>
        <w:rPr>
          <w:lang w:val="cs-CZ"/>
        </w:rPr>
        <w:instrText>b</w:instrText>
      </w:r>
      <w:r w:rsidRPr="00220DA6">
        <w:instrText>‒385</w:instrText>
      </w:r>
      <w:r>
        <w:rPr>
          <w:lang w:val="cs-CZ"/>
        </w:rPr>
        <w:instrText>a</w:instrText>
      </w:r>
      <w:r>
        <w:instrText xml:space="preserve">" </w:instrText>
      </w:r>
      <w:r>
        <w:fldChar w:fldCharType="end"/>
      </w:r>
      <w:r>
        <w:t>)</w:t>
      </w:r>
    </w:p>
  </w:footnote>
  <w:footnote w:id="265">
    <w:p w14:paraId="3C5717F6" w14:textId="77777777" w:rsidR="00CD2817" w:rsidRPr="008D0438" w:rsidRDefault="00CD2817">
      <w:pPr>
        <w:pStyle w:val="Textpoznpodarou"/>
        <w:rPr>
          <w:rFonts w:eastAsia="Times"/>
        </w:rPr>
      </w:pPr>
      <w:r>
        <w:rPr>
          <w:rStyle w:val="Znakapoznpodarou"/>
        </w:rPr>
        <w:footnoteRef/>
      </w:r>
      <w:r>
        <w:t xml:space="preserve"> „Haec</w:t>
      </w:r>
      <w:r w:rsidRPr="003A5A17">
        <w:t xml:space="preserve"> est via quam fere</w:t>
      </w:r>
      <w:r>
        <w:t xml:space="preserve"> sequuntur omnes moderni Latini</w:t>
      </w:r>
      <w:r w:rsidRPr="003A5A17">
        <w:t>: s</w:t>
      </w:r>
      <w:r>
        <w:t>ed isti in principiis non conveniunt eum Peripateticis: si enim scie</w:t>
      </w:r>
      <w:r w:rsidRPr="003A5A17">
        <w:t>ntia sit qualitas in anima, tunc scientia non est universale id quod es</w:t>
      </w:r>
      <w:r>
        <w:t>t intellectu,</w:t>
      </w:r>
      <w:r w:rsidRPr="003A5A17">
        <w:t xml:space="preserve"> quod es</w:t>
      </w:r>
      <w:r>
        <w:t>t ubique et semper. Peripatetici</w:t>
      </w:r>
      <w:r w:rsidRPr="003A5A17">
        <w:t xml:space="preserve"> concorditer dixerunt, quod universale secundum actum non est nisi in anima, et quod </w:t>
      </w:r>
      <w:r>
        <w:t>universale continuatur in intel</w:t>
      </w:r>
      <w:r w:rsidRPr="003A5A17">
        <w:t>lectu separato</w:t>
      </w:r>
      <w:r>
        <w:t xml:space="preserve">. </w:t>
      </w:r>
      <w:r w:rsidRPr="00775951">
        <w:t xml:space="preserve">Et </w:t>
      </w:r>
      <w:r>
        <w:t>haec est objectio Avi</w:t>
      </w:r>
      <w:r w:rsidRPr="00775951">
        <w:t>cennae, in quam omnes concordaverunt.</w:t>
      </w:r>
      <w:r>
        <w:t>“ (</w:t>
      </w:r>
      <w:r>
        <w:rPr>
          <w:i/>
        </w:rPr>
        <w:t>Liber III D</w:t>
      </w:r>
      <w:r w:rsidRPr="000D2CA0">
        <w:rPr>
          <w:i/>
        </w:rPr>
        <w:t>e anima</w:t>
      </w:r>
      <w:r>
        <w:t>, tract. III, cap. 10; ed. Borgnet</w:t>
      </w:r>
      <w:r>
        <w:rPr>
          <w:lang w:val="cs-CZ"/>
        </w:rPr>
        <w:t xml:space="preserve"> </w:t>
      </w:r>
      <w:r>
        <w:t>5,</w:t>
      </w:r>
      <w:r>
        <w:rPr>
          <w:lang w:val="cs-CZ"/>
        </w:rPr>
        <w:t xml:space="preserve"> </w:t>
      </w:r>
      <w:r>
        <w:t>385a</w:t>
      </w:r>
      <w:r>
        <w:fldChar w:fldCharType="begin"/>
      </w:r>
      <w:r>
        <w:instrText xml:space="preserve"> XE "</w:instrText>
      </w:r>
      <w:r>
        <w:rPr>
          <w:lang w:val="cs-CZ"/>
        </w:rPr>
        <w:instrText>Albert:</w:instrText>
      </w:r>
      <w:r w:rsidRPr="00A64BF1">
        <w:rPr>
          <w:i/>
        </w:rPr>
        <w:instrText>Liber III De anima</w:instrText>
      </w:r>
      <w:r>
        <w:instrText xml:space="preserve"> 3</w:instrText>
      </w:r>
      <w:r>
        <w:rPr>
          <w:lang w:val="cs-CZ"/>
        </w:rPr>
        <w:instrText>85</w:instrText>
      </w:r>
      <w:r w:rsidRPr="00A64BF1">
        <w:instrText>a</w:instrText>
      </w:r>
      <w:r>
        <w:instrText xml:space="preserve">" </w:instrText>
      </w:r>
      <w:r>
        <w:fldChar w:fldCharType="end"/>
      </w:r>
      <w:r>
        <w:t>)</w:t>
      </w:r>
    </w:p>
  </w:footnote>
  <w:footnote w:id="266">
    <w:p w14:paraId="743EFC66" w14:textId="77777777" w:rsidR="00CD2817" w:rsidRPr="00114287" w:rsidRDefault="00CD2817" w:rsidP="00550FDC">
      <w:pPr>
        <w:pStyle w:val="Textpoznpodarou"/>
      </w:pPr>
      <w:r>
        <w:rPr>
          <w:rStyle w:val="Znakapoznpodarou"/>
        </w:rPr>
        <w:footnoteRef/>
      </w:r>
      <w:r>
        <w:t xml:space="preserve"> </w:t>
      </w:r>
      <w:r>
        <w:rPr>
          <w:rStyle w:val="FontStyle157"/>
          <w:rFonts w:ascii="Calibri" w:hAnsi="Calibri"/>
          <w:sz w:val="21"/>
        </w:rPr>
        <w:t>„</w:t>
      </w:r>
      <w:r w:rsidRPr="0064542E">
        <w:rPr>
          <w:rStyle w:val="FontStyle157"/>
          <w:rFonts w:ascii="Calibri" w:hAnsi="Calibri"/>
          <w:sz w:val="21"/>
        </w:rPr>
        <w:t>Cum</w:t>
      </w:r>
      <w:r>
        <w:rPr>
          <w:rStyle w:val="FontStyle157"/>
          <w:rFonts w:ascii="Calibri" w:hAnsi="Calibri"/>
          <w:sz w:val="21"/>
        </w:rPr>
        <w:t xml:space="preserve"> igitur intellectus sic separatu</w:t>
      </w:r>
      <w:r w:rsidRPr="0064542E">
        <w:rPr>
          <w:rStyle w:val="FontStyle157"/>
          <w:rFonts w:ascii="Calibri" w:hAnsi="Calibri"/>
          <w:sz w:val="21"/>
        </w:rPr>
        <w:t>r lumine agentis perfectus eodem lumine, et per gradus ascendens conjungitur intellectui separato, et fit intellectus speculativus qua</w:t>
      </w:r>
      <w:r>
        <w:rPr>
          <w:rStyle w:val="FontStyle157"/>
          <w:rFonts w:ascii="Calibri" w:hAnsi="Calibri"/>
          <w:sz w:val="21"/>
        </w:rPr>
        <w:t>si dispositio media conjunctivus istius</w:t>
      </w:r>
      <w:r w:rsidRPr="0064542E">
        <w:rPr>
          <w:rStyle w:val="FontStyle157"/>
          <w:rFonts w:ascii="Calibri" w:hAnsi="Calibri"/>
          <w:sz w:val="21"/>
        </w:rPr>
        <w:t>: et hoc fere est idem ac si dicatur quod agens habet primo lumen debile, quod non valet nisi speculari, et valet intelligere separata: et postea acquirit lumen forte, per quod intelligit</w:t>
      </w:r>
      <w:r>
        <w:rPr>
          <w:rStyle w:val="FontStyle157"/>
          <w:rFonts w:ascii="Calibri" w:hAnsi="Calibri"/>
          <w:sz w:val="21"/>
        </w:rPr>
        <w:t xml:space="preserve"> separata: et quod idem est inte</w:t>
      </w:r>
      <w:r w:rsidRPr="0064542E">
        <w:rPr>
          <w:rStyle w:val="FontStyle157"/>
          <w:rFonts w:ascii="Calibri" w:hAnsi="Calibri"/>
          <w:sz w:val="21"/>
        </w:rPr>
        <w:t>lligens quidditates quas a materia separatas habet, et quidditates separatorum.</w:t>
      </w:r>
      <w:r>
        <w:rPr>
          <w:rStyle w:val="FontStyle157"/>
          <w:rFonts w:ascii="Calibri" w:hAnsi="Calibri"/>
          <w:sz w:val="21"/>
        </w:rPr>
        <w:t xml:space="preserve">“ </w:t>
      </w:r>
      <w:r>
        <w:t>(</w:t>
      </w:r>
      <w:r>
        <w:rPr>
          <w:i/>
        </w:rPr>
        <w:t>Liber III De</w:t>
      </w:r>
      <w:r w:rsidRPr="000D2CA0">
        <w:rPr>
          <w:i/>
        </w:rPr>
        <w:t xml:space="preserve"> anima</w:t>
      </w:r>
      <w:r>
        <w:t>, tract. III, cap. 8; ed. Borgnet</w:t>
      </w:r>
      <w:r>
        <w:rPr>
          <w:lang w:val="cs-CZ"/>
        </w:rPr>
        <w:t xml:space="preserve"> </w:t>
      </w:r>
      <w:r>
        <w:t>5, 382b</w:t>
      </w:r>
      <w:r>
        <w:fldChar w:fldCharType="begin"/>
      </w:r>
      <w:r>
        <w:instrText xml:space="preserve"> XE "</w:instrText>
      </w:r>
      <w:r>
        <w:rPr>
          <w:lang w:val="cs-CZ"/>
        </w:rPr>
        <w:instrText>Albert:</w:instrText>
      </w:r>
      <w:r w:rsidRPr="00A64BF1">
        <w:rPr>
          <w:i/>
        </w:rPr>
        <w:instrText>Liber III De anima</w:instrText>
      </w:r>
      <w:r>
        <w:instrText xml:space="preserve"> 3</w:instrText>
      </w:r>
      <w:r w:rsidRPr="00A64BF1">
        <w:instrText>8</w:instrText>
      </w:r>
      <w:r>
        <w:rPr>
          <w:lang w:val="cs-CZ"/>
        </w:rPr>
        <w:instrText>2b</w:instrText>
      </w:r>
      <w:r>
        <w:instrText xml:space="preserve">" </w:instrText>
      </w:r>
      <w:r>
        <w:fldChar w:fldCharType="end"/>
      </w:r>
      <w:r>
        <w:t>)</w:t>
      </w:r>
    </w:p>
  </w:footnote>
  <w:footnote w:id="267">
    <w:p w14:paraId="2F65D290" w14:textId="77777777" w:rsidR="00CD2817" w:rsidRDefault="00CD2817" w:rsidP="00254BB1">
      <w:pPr>
        <w:pStyle w:val="Textpoznpodarou"/>
      </w:pPr>
      <w:r>
        <w:rPr>
          <w:rStyle w:val="Znakapoznpodarou"/>
        </w:rPr>
        <w:footnoteRef/>
      </w:r>
      <w:r>
        <w:t xml:space="preserve"> „</w:t>
      </w:r>
      <w:r w:rsidRPr="008737C6">
        <w:t>Sicut est quaelibet res in potentia in seipsa et in actu per hoc quod habet a causa potentia, ita etiam est in potentia ad ea quae movet sub actu ejus quod est a causa prima: et sic intellectus possibilis designans substantiam animae in seipsa, est in duplici potentia, quarum una est ad intellectum agentem secundum quem dependet ad causam primam: et secunda est ad intelligibile quod move</w:t>
      </w:r>
      <w:r>
        <w:t>t sub actu intellectus agentis.“ (</w:t>
      </w:r>
      <w:r w:rsidRPr="008737C6">
        <w:rPr>
          <w:i/>
        </w:rPr>
        <w:t>De unitate intellectus</w:t>
      </w:r>
      <w:r>
        <w:t>, ad 25; ed. Borgnet  9, 471b</w:t>
      </w:r>
      <w:r>
        <w:fldChar w:fldCharType="begin"/>
      </w:r>
      <w:r>
        <w:instrText xml:space="preserve"> XE "</w:instrText>
      </w:r>
      <w:r>
        <w:rPr>
          <w:lang w:val="cs-CZ"/>
        </w:rPr>
        <w:instrText>Albert:</w:instrText>
      </w:r>
      <w:r w:rsidRPr="00E425F9">
        <w:rPr>
          <w:i/>
        </w:rPr>
        <w:instrText>De unitate intellectus</w:instrText>
      </w:r>
      <w:r w:rsidRPr="00E425F9">
        <w:instrText xml:space="preserve"> 471b</w:instrText>
      </w:r>
      <w:r>
        <w:instrText xml:space="preserve">" </w:instrText>
      </w:r>
      <w:r>
        <w:fldChar w:fldCharType="end"/>
      </w:r>
      <w:r>
        <w:t>)</w:t>
      </w:r>
    </w:p>
  </w:footnote>
  <w:footnote w:id="268">
    <w:p w14:paraId="704B9B60" w14:textId="77777777" w:rsidR="00CD2817" w:rsidRDefault="00CD2817">
      <w:pPr>
        <w:pStyle w:val="Textpoznpodarou"/>
      </w:pPr>
      <w:r>
        <w:rPr>
          <w:rStyle w:val="Znakapoznpodarou"/>
        </w:rPr>
        <w:footnoteRef/>
      </w:r>
      <w:r>
        <w:t xml:space="preserve"> „</w:t>
      </w:r>
      <w:r w:rsidRPr="00782D46">
        <w:t>Dicunt autem constare, quod intelligentia siv</w:t>
      </w:r>
      <w:r>
        <w:t>e intellectus est, quae dat for</w:t>
      </w:r>
      <w:r w:rsidRPr="00782D46">
        <w:t>mas, c</w:t>
      </w:r>
      <w:r>
        <w:t>um primus fons formarum sit in</w:t>
      </w:r>
      <w:r w:rsidRPr="00782D46">
        <w:t>tellectus.</w:t>
      </w:r>
      <w:r>
        <w:t xml:space="preserve"> (...) Et rationem adhibent dicti sui: quia quod est causa formarum in esse formali, est etiam causa earum in esse minus formali: quia causa </w:t>
      </w:r>
      <w:r>
        <w:rPr>
          <w:lang w:val="fr-FR"/>
        </w:rPr>
        <w:t xml:space="preserve">formae </w:t>
      </w:r>
      <w:r>
        <w:t xml:space="preserve">in quantum est forma, non potest esse nisi una, quando reducuntur </w:t>
      </w:r>
      <w:r>
        <w:rPr>
          <w:lang w:val="fr-FR"/>
        </w:rPr>
        <w:t xml:space="preserve">causae </w:t>
      </w:r>
      <w:r>
        <w:t>in suas causas passivas.“ (</w:t>
      </w:r>
      <w:r w:rsidRPr="002319E2">
        <w:rPr>
          <w:i/>
        </w:rPr>
        <w:t>De unitate intellectus</w:t>
      </w:r>
      <w:r>
        <w:rPr>
          <w:i/>
        </w:rPr>
        <w:t xml:space="preserve">, </w:t>
      </w:r>
      <w:r w:rsidRPr="00E96F85">
        <w:t xml:space="preserve">cap. </w:t>
      </w:r>
      <w:r>
        <w:t xml:space="preserve">II; ed. Borgnet  9, </w:t>
      </w:r>
      <w:r w:rsidRPr="00E96F85">
        <w:t>439</w:t>
      </w:r>
      <w:r>
        <w:t>b</w:t>
      </w:r>
      <w:r>
        <w:fldChar w:fldCharType="begin"/>
      </w:r>
      <w:r>
        <w:instrText xml:space="preserve"> XE "</w:instrText>
      </w:r>
      <w:r>
        <w:rPr>
          <w:lang w:val="cs-CZ"/>
        </w:rPr>
        <w:instrText>Albert:</w:instrText>
      </w:r>
      <w:r w:rsidRPr="00AC7D26">
        <w:rPr>
          <w:i/>
        </w:rPr>
        <w:instrText>De unitate intellectus</w:instrText>
      </w:r>
      <w:r w:rsidRPr="00AC7D26">
        <w:instrText xml:space="preserve"> 439b</w:instrText>
      </w:r>
      <w:r>
        <w:instrText xml:space="preserve">" </w:instrText>
      </w:r>
      <w:r>
        <w:fldChar w:fldCharType="end"/>
      </w:r>
      <w:r w:rsidRPr="008E1CA0">
        <w:t>)</w:t>
      </w:r>
    </w:p>
  </w:footnote>
  <w:footnote w:id="269">
    <w:p w14:paraId="1F94B381" w14:textId="4F48B135" w:rsidR="00CD2817" w:rsidRPr="00584285" w:rsidRDefault="00CD2817" w:rsidP="081F561C">
      <w:pPr>
        <w:pStyle w:val="Textpoznpodarou"/>
      </w:pPr>
      <w:r>
        <w:rPr>
          <w:rStyle w:val="Znakapoznpodarou"/>
        </w:rPr>
        <w:footnoteRef/>
      </w:r>
      <w:r>
        <w:t xml:space="preserve"> </w:t>
      </w:r>
      <w:r>
        <w:rPr>
          <w:lang w:val="cs-CZ"/>
        </w:rPr>
        <w:t>Z</w:t>
      </w:r>
      <w:r>
        <w:t>ákladní interp</w:t>
      </w:r>
      <w:r>
        <w:rPr>
          <w:lang w:val="cs-CZ"/>
        </w:rPr>
        <w:t>r</w:t>
      </w:r>
      <w:r>
        <w:t>etac</w:t>
      </w:r>
      <w:r>
        <w:rPr>
          <w:lang w:val="cs-CZ"/>
        </w:rPr>
        <w:t>e</w:t>
      </w:r>
      <w:r>
        <w:t xml:space="preserve"> pojmu „forma“, které byly v oběhu v době </w:t>
      </w:r>
      <w:r>
        <w:rPr>
          <w:lang w:val="cs-CZ"/>
        </w:rPr>
        <w:t>příchodu A</w:t>
      </w:r>
      <w:r>
        <w:t>lberta do Paříže kolem 1240, uvádí Libera</w:t>
      </w:r>
      <w:r>
        <w:fldChar w:fldCharType="begin"/>
      </w:r>
      <w:r>
        <w:instrText xml:space="preserve"> XE "</w:instrText>
      </w:r>
      <w:r w:rsidRPr="00E90EF0">
        <w:instrText>Libera, A.</w:instrText>
      </w:r>
      <w:r>
        <w:instrText xml:space="preserve">" </w:instrText>
      </w:r>
      <w:r>
        <w:fldChar w:fldCharType="end"/>
      </w:r>
      <w:r>
        <w:t xml:space="preserve"> v přehledu Albertovy noetiky a metafyziky (Libera 2005, 246‒47). </w:t>
      </w:r>
    </w:p>
  </w:footnote>
  <w:footnote w:id="270">
    <w:p w14:paraId="26B718A2" w14:textId="77777777" w:rsidR="00CD2817" w:rsidRPr="00906CF2" w:rsidRDefault="00CD2817" w:rsidP="08A651B5">
      <w:pPr>
        <w:pStyle w:val="Textpoznpodarou"/>
        <w:rPr>
          <w:lang w:val="cs-CZ"/>
        </w:rPr>
      </w:pPr>
      <w:r>
        <w:rPr>
          <w:rStyle w:val="Znakapoznpodarou"/>
        </w:rPr>
        <w:footnoteRef/>
      </w:r>
      <w:r>
        <w:t xml:space="preserve"> </w:t>
      </w:r>
      <w:r>
        <w:rPr>
          <w:noProof/>
        </w:rPr>
        <w:t>„</w:t>
      </w:r>
      <w:r>
        <w:rPr>
          <w:noProof/>
          <w:lang w:val="cs-CZ"/>
        </w:rPr>
        <w:t>U</w:t>
      </w:r>
      <w:r w:rsidRPr="00273106">
        <w:rPr>
          <w:noProof/>
        </w:rPr>
        <w:t xml:space="preserve">niversale nomine extenso et communi, est universale quod est in artificialibus, et tale solum retinet rationem et proprietatem predicationis, et non causalitatis.“ </w:t>
      </w:r>
      <w:r w:rsidRPr="00906CF2">
        <w:t>(</w:t>
      </w:r>
      <w:r>
        <w:rPr>
          <w:i/>
        </w:rPr>
        <w:t>Quaestiones</w:t>
      </w:r>
      <w:r w:rsidRPr="00273106">
        <w:rPr>
          <w:i/>
        </w:rPr>
        <w:t xml:space="preserve"> altere supra libros prime philosophie Aristotelis</w:t>
      </w:r>
      <w:r>
        <w:rPr>
          <w:rStyle w:val="CitaceChar"/>
          <w:color w:val="auto"/>
          <w:sz w:val="20"/>
          <w:lang w:val="cs-CZ"/>
        </w:rPr>
        <w:t>;</w:t>
      </w:r>
      <w:r w:rsidRPr="00E521CC">
        <w:rPr>
          <w:rStyle w:val="CitaceChar"/>
          <w:color w:val="auto"/>
          <w:sz w:val="20"/>
        </w:rPr>
        <w:t xml:space="preserve"> </w:t>
      </w:r>
      <w:r>
        <w:rPr>
          <w:rStyle w:val="CitaceChar"/>
          <w:color w:val="auto"/>
          <w:sz w:val="20"/>
        </w:rPr>
        <w:t xml:space="preserve">ed. Steele, </w:t>
      </w:r>
      <w:r>
        <w:rPr>
          <w:rStyle w:val="CitaceChar"/>
          <w:color w:val="auto"/>
          <w:sz w:val="20"/>
          <w:lang w:val="cs-CZ"/>
        </w:rPr>
        <w:t xml:space="preserve">OHI 11, </w:t>
      </w:r>
      <w:r>
        <w:rPr>
          <w:rStyle w:val="CitaceChar"/>
          <w:color w:val="auto"/>
          <w:sz w:val="20"/>
        </w:rPr>
        <w:t>154.1</w:t>
      </w:r>
      <w:r>
        <w:rPr>
          <w:rStyle w:val="CitaceChar"/>
          <w:color w:val="auto"/>
          <w:sz w:val="20"/>
          <w:lang w:val="cs-CZ"/>
        </w:rPr>
        <w:t>8</w:t>
      </w:r>
      <w:r w:rsidRPr="00E521CC">
        <w:rPr>
          <w:rStyle w:val="CitaceChar"/>
          <w:color w:val="auto"/>
          <w:sz w:val="20"/>
        </w:rPr>
        <w:t>‒</w:t>
      </w:r>
      <w:r>
        <w:rPr>
          <w:rStyle w:val="CitaceChar"/>
          <w:color w:val="auto"/>
          <w:sz w:val="20"/>
          <w:lang w:val="cs-CZ"/>
        </w:rPr>
        <w:t>20)</w:t>
      </w:r>
      <w:r>
        <w:fldChar w:fldCharType="begin"/>
      </w:r>
      <w:r>
        <w:instrText xml:space="preserve"> XE "</w:instrText>
      </w:r>
      <w:r>
        <w:rPr>
          <w:lang w:val="cs-CZ"/>
        </w:rPr>
        <w:instrText>Bacon:</w:instrText>
      </w:r>
      <w:r>
        <w:rPr>
          <w:i/>
        </w:rPr>
        <w:instrText>Quaestiones</w:instrText>
      </w:r>
      <w:r w:rsidRPr="00665928">
        <w:rPr>
          <w:i/>
        </w:rPr>
        <w:instrText xml:space="preserve"> altere supra libros prime philosophie Aristotelis</w:instrText>
      </w:r>
      <w:r>
        <w:rPr>
          <w:lang w:val="cs-CZ"/>
        </w:rPr>
        <w:instrText xml:space="preserve"> 154</w:instrText>
      </w:r>
      <w:r>
        <w:instrText>.</w:instrText>
      </w:r>
      <w:r>
        <w:rPr>
          <w:lang w:val="cs-CZ"/>
        </w:rPr>
        <w:instrText>18</w:instrText>
      </w:r>
      <w:r>
        <w:instrText>‒</w:instrText>
      </w:r>
      <w:r>
        <w:rPr>
          <w:lang w:val="cs-CZ"/>
        </w:rPr>
        <w:instrText>20</w:instrText>
      </w:r>
      <w:r>
        <w:instrText xml:space="preserve">" </w:instrText>
      </w:r>
      <w:r>
        <w:fldChar w:fldCharType="end"/>
      </w:r>
      <w:r>
        <w:rPr>
          <w:lang w:val="cs-CZ"/>
        </w:rPr>
        <w:t>.</w:t>
      </w:r>
    </w:p>
  </w:footnote>
  <w:footnote w:id="271">
    <w:p w14:paraId="5938BE3D" w14:textId="77777777" w:rsidR="00CD2817" w:rsidRDefault="00CD2817" w:rsidP="08BB2BFA">
      <w:pPr>
        <w:pStyle w:val="Textpoznpodarou"/>
      </w:pPr>
      <w:r>
        <w:rPr>
          <w:rStyle w:val="Znakapoznpodarou"/>
        </w:rPr>
        <w:footnoteRef/>
      </w:r>
      <w:r>
        <w:t xml:space="preserve"> „</w:t>
      </w:r>
      <w:r w:rsidRPr="008E3437">
        <w:t>Duplex est materia; quedam est materia que est materia tantum; alia est materia et subjectum; alia subjectum, et de ista potest aliquid predicari, et etiam ista de aliquibus potest predicari, et hec subicitur in artificialibus. Et propter hoc materia artificialis de artificialibus predicatur, quia ipsa es</w:t>
      </w:r>
      <w:r>
        <w:t>t tota veritas rei artificialis</w:t>
      </w:r>
      <w:r w:rsidRPr="008E3437">
        <w:t>; forma enim artificialis non est nova natura vel essentia, set est dispositio solum, ut extentio, circulatio, vel aliquid hujusmodi, unde convenienter dicitur 'anulus est aurum'.</w:t>
      </w:r>
      <w:r>
        <w:t>“ (</w:t>
      </w:r>
      <w:r>
        <w:rPr>
          <w:i/>
        </w:rPr>
        <w:t>Quaestiones</w:t>
      </w:r>
      <w:r w:rsidRPr="00482F9A">
        <w:rPr>
          <w:i/>
        </w:rPr>
        <w:t xml:space="preserve"> altere supra libros prime philosophie Aristotelis</w:t>
      </w:r>
      <w:r>
        <w:rPr>
          <w:i/>
          <w:lang w:val="cs-CZ"/>
        </w:rPr>
        <w:t xml:space="preserve">, </w:t>
      </w:r>
      <w:r w:rsidRPr="00A966E4">
        <w:rPr>
          <w:i/>
          <w:lang w:val="cs-CZ"/>
        </w:rPr>
        <w:t>supra II. Met.</w:t>
      </w:r>
      <w:r>
        <w:rPr>
          <w:lang w:val="cs-CZ"/>
        </w:rPr>
        <w:t xml:space="preserve">; </w:t>
      </w:r>
      <w:r w:rsidRPr="00ED58A8">
        <w:rPr>
          <w:lang w:val="cs-CZ"/>
        </w:rPr>
        <w:t>e</w:t>
      </w:r>
      <w:r w:rsidRPr="00ED58A8">
        <w:t>d. Steele</w:t>
      </w:r>
      <w:r>
        <w:t>, OHI 11, 75.13‒21</w:t>
      </w:r>
      <w:r>
        <w:fldChar w:fldCharType="begin"/>
      </w:r>
      <w:r>
        <w:instrText xml:space="preserve"> XE "</w:instrText>
      </w:r>
      <w:r>
        <w:rPr>
          <w:lang w:val="cs-CZ"/>
        </w:rPr>
        <w:instrText>Bacon:</w:instrText>
      </w:r>
      <w:r>
        <w:rPr>
          <w:i/>
        </w:rPr>
        <w:instrText>Quaestiones</w:instrText>
      </w:r>
      <w:r w:rsidRPr="00696A1A">
        <w:rPr>
          <w:i/>
        </w:rPr>
        <w:instrText xml:space="preserve"> supra secundum metaphysicae</w:instrText>
      </w:r>
      <w:r>
        <w:rPr>
          <w:i/>
          <w:lang w:val="cs-CZ"/>
        </w:rPr>
        <w:instrText xml:space="preserve"> </w:instrText>
      </w:r>
      <w:r w:rsidRPr="00696A1A">
        <w:instrText>75.13‒21</w:instrText>
      </w:r>
      <w:r>
        <w:instrText xml:space="preserve">" </w:instrText>
      </w:r>
      <w:r>
        <w:fldChar w:fldCharType="end"/>
      </w:r>
      <w:r>
        <w:t>)</w:t>
      </w:r>
    </w:p>
  </w:footnote>
  <w:footnote w:id="272">
    <w:p w14:paraId="70E71D9F" w14:textId="77777777" w:rsidR="00CD2817" w:rsidRPr="00DB3506" w:rsidRDefault="00CD2817">
      <w:pPr>
        <w:pStyle w:val="Textpoznpodarou"/>
        <w:rPr>
          <w:lang w:val="cs-CZ"/>
        </w:rPr>
      </w:pPr>
      <w:r>
        <w:rPr>
          <w:rStyle w:val="Znakapoznpodarou"/>
        </w:rPr>
        <w:footnoteRef/>
      </w:r>
      <w:r>
        <w:t xml:space="preserve"> </w:t>
      </w:r>
      <w:r w:rsidRPr="0026101F">
        <w:t>„Sed omne agens ad formam solam materialem oportet quod sit agens per motum: cum enim formae materiales non sint per se subsistentes, sed earum esse sit inesse materiae, non possunt produci in esse nisi vel per creationem totius compositi, vel per transmutationem materiae ad talem vel talem formam. Impossibile est igitur quod prima inductio formarum in materia sit ab aliquo creante formam tantum: sed ab eo qui est creator totius compositi.“</w:t>
      </w:r>
      <w:r>
        <w:t xml:space="preserve"> (</w:t>
      </w:r>
      <w:r w:rsidRPr="00654280">
        <w:rPr>
          <w:i/>
        </w:rPr>
        <w:t>S</w:t>
      </w:r>
      <w:r w:rsidRPr="00654280">
        <w:rPr>
          <w:i/>
          <w:lang w:val="cs-CZ"/>
        </w:rPr>
        <w:t>umma contra Gentiles</w:t>
      </w:r>
      <w:r>
        <w:rPr>
          <w:lang w:val="cs-CZ"/>
        </w:rPr>
        <w:t xml:space="preserve"> </w:t>
      </w:r>
      <w:r>
        <w:rPr>
          <w:rStyle w:val="ref"/>
        </w:rPr>
        <w:t>II, cap. 43, n. 5</w:t>
      </w:r>
      <w:r>
        <w:rPr>
          <w:rStyle w:val="ref"/>
          <w:lang w:val="cs-CZ"/>
        </w:rPr>
        <w:t>; ed. Leonina 13, 367.31‒41</w:t>
      </w:r>
      <w:r>
        <w:rPr>
          <w:i/>
          <w:lang w:val="cs-CZ"/>
        </w:rPr>
        <w:fldChar w:fldCharType="begin"/>
      </w:r>
      <w:r>
        <w:instrText xml:space="preserve"> XE "</w:instrText>
      </w:r>
      <w:r>
        <w:rPr>
          <w:lang w:val="cs-CZ"/>
        </w:rPr>
        <w:instrText>Akvinský:</w:instrText>
      </w:r>
      <w:r w:rsidRPr="007178DA">
        <w:rPr>
          <w:i/>
        </w:rPr>
        <w:instrText>S</w:instrText>
      </w:r>
      <w:r w:rsidRPr="007178DA">
        <w:rPr>
          <w:i/>
          <w:lang w:val="cs-CZ"/>
        </w:rPr>
        <w:instrText>umma contra Gentiles</w:instrText>
      </w:r>
      <w:r>
        <w:rPr>
          <w:lang w:val="cs-CZ"/>
        </w:rPr>
        <w:instrText xml:space="preserve"> II.43</w:instrText>
      </w:r>
      <w:r>
        <w:instrText xml:space="preserve">" </w:instrText>
      </w:r>
      <w:r>
        <w:rPr>
          <w:i/>
          <w:lang w:val="cs-CZ"/>
        </w:rPr>
        <w:fldChar w:fldCharType="end"/>
      </w:r>
      <w:r>
        <w:rPr>
          <w:rStyle w:val="ref"/>
        </w:rPr>
        <w:t>)</w:t>
      </w:r>
    </w:p>
  </w:footnote>
  <w:footnote w:id="273">
    <w:p w14:paraId="6D685971" w14:textId="77777777" w:rsidR="00CD2817" w:rsidRDefault="00CD2817" w:rsidP="000D2D3A">
      <w:pPr>
        <w:pStyle w:val="Textpoznpodarou"/>
      </w:pPr>
      <w:r>
        <w:rPr>
          <w:rStyle w:val="Znakapoznpodarou"/>
        </w:rPr>
        <w:footnoteRef/>
      </w:r>
      <w:r>
        <w:t xml:space="preserve"> </w:t>
      </w:r>
      <w:r>
        <w:rPr>
          <w:rStyle w:val="Zkladntext65ptMalpsmena"/>
          <w:rFonts w:ascii="Calibri" w:eastAsia="Times" w:hAnsi="Calibri" w:cs="Times New Roman"/>
          <w:smallCaps w:val="0"/>
          <w:spacing w:val="0"/>
          <w:sz w:val="21"/>
        </w:rPr>
        <w:t>„Q</w:t>
      </w:r>
      <w:r w:rsidRPr="00BB2C35">
        <w:t>uidquid ex se non diffinit aliquid nec determinat, remanet uni</w:t>
      </w:r>
      <w:r>
        <w:t>versale et idem et unum ubique</w:t>
      </w:r>
      <w:r w:rsidRPr="00BB2C35">
        <w:t xml:space="preserve">: intellectus autem separatus ex se non </w:t>
      </w:r>
      <w:r>
        <w:t>diffinit nec determinat aliquid</w:t>
      </w:r>
      <w:r w:rsidRPr="00BB2C35">
        <w:t xml:space="preserve">: igitur videtur quod remaneat universalis idem ubique. Si enim aliquid diffiniret et determinaret intellectus ex se, illius esset sicut materiæ </w:t>
      </w:r>
      <w:r>
        <w:t>propriae: nullius autem est sicut ma</w:t>
      </w:r>
      <w:r w:rsidRPr="00BB2C35">
        <w:t xml:space="preserve">teriæ </w:t>
      </w:r>
      <w:r>
        <w:t>propriae</w:t>
      </w:r>
      <w:r w:rsidRPr="00BB2C35">
        <w:t>: ergo nihil ex se diffinit vel determinat.</w:t>
      </w:r>
      <w:r>
        <w:t xml:space="preserve"> (...) Et illi rationi mul</w:t>
      </w:r>
      <w:r w:rsidRPr="00BB2C35">
        <w:t>tum innititur Averroes, se</w:t>
      </w:r>
      <w:r>
        <w:t>d aliis verbis f</w:t>
      </w:r>
      <w:r w:rsidRPr="00BB2C35">
        <w:t>ormat eam.</w:t>
      </w:r>
      <w:r>
        <w:t>“ (</w:t>
      </w:r>
      <w:r w:rsidRPr="002319E2">
        <w:rPr>
          <w:i/>
        </w:rPr>
        <w:t>De unitate intellectus</w:t>
      </w:r>
      <w:r>
        <w:rPr>
          <w:i/>
        </w:rPr>
        <w:t xml:space="preserve">, </w:t>
      </w:r>
      <w:r w:rsidRPr="00E96F85">
        <w:t xml:space="preserve">cap. </w:t>
      </w:r>
      <w:r>
        <w:rPr>
          <w:lang w:val="cs-CZ"/>
        </w:rPr>
        <w:t>4</w:t>
      </w:r>
      <w:r>
        <w:t xml:space="preserve">, arg. 4; ed. Borgnet  </w:t>
      </w:r>
      <w:r w:rsidRPr="00E96F85">
        <w:t>9</w:t>
      </w:r>
      <w:r>
        <w:t>, 443a</w:t>
      </w:r>
      <w:r>
        <w:fldChar w:fldCharType="begin"/>
      </w:r>
      <w:r>
        <w:instrText xml:space="preserve"> XE "</w:instrText>
      </w:r>
      <w:r>
        <w:rPr>
          <w:lang w:val="cs-CZ"/>
        </w:rPr>
        <w:instrText>Albert:</w:instrText>
      </w:r>
      <w:r w:rsidRPr="00027BA4">
        <w:rPr>
          <w:i/>
        </w:rPr>
        <w:instrText>De unitate intellectus</w:instrText>
      </w:r>
      <w:r w:rsidRPr="00027BA4">
        <w:instrText xml:space="preserve"> 443a</w:instrText>
      </w:r>
      <w:r>
        <w:instrText xml:space="preserve">" </w:instrText>
      </w:r>
      <w:r>
        <w:fldChar w:fldCharType="end"/>
      </w:r>
      <w:r>
        <w:t>)</w:t>
      </w:r>
    </w:p>
  </w:footnote>
  <w:footnote w:id="274">
    <w:p w14:paraId="573C277B" w14:textId="77777777" w:rsidR="00CD2817" w:rsidRDefault="00CD2817">
      <w:pPr>
        <w:pStyle w:val="Textpoznpodarou"/>
      </w:pPr>
      <w:r>
        <w:rPr>
          <w:rStyle w:val="Znakapoznpodarou"/>
        </w:rPr>
        <w:footnoteRef/>
      </w:r>
      <w:r>
        <w:t xml:space="preserve"> </w:t>
      </w:r>
      <w:r>
        <w:rPr>
          <w:rStyle w:val="Zkladntext65ptMalpsmena"/>
          <w:rFonts w:ascii="Calibri" w:eastAsia="Times" w:hAnsi="Calibri" w:cs="Times New Roman"/>
          <w:smallCaps w:val="0"/>
          <w:spacing w:val="0"/>
          <w:sz w:val="21"/>
        </w:rPr>
        <w:t>„</w:t>
      </w:r>
      <w:r w:rsidRPr="0054211B">
        <w:t xml:space="preserve">Dicunt enim quod species </w:t>
      </w:r>
      <w:r>
        <w:t>accepta sine materia est una na</w:t>
      </w:r>
      <w:r w:rsidRPr="0054211B">
        <w:t>tura indivisa, et non dividitur nisi per materiam. Et hoc accidit ei in quantum est</w:t>
      </w:r>
      <w:r>
        <w:t xml:space="preserve"> in materia, et non secundum se</w:t>
      </w:r>
      <w:r w:rsidRPr="0054211B">
        <w:t xml:space="preserve">: </w:t>
      </w:r>
      <w:r>
        <w:t>hae</w:t>
      </w:r>
      <w:r w:rsidRPr="0054211B">
        <w:t xml:space="preserve">c autem multo magis convenit ei quod est species specierum. Est autem intellectus species specierum. Igitur non dividitur nisi participatione </w:t>
      </w:r>
      <w:r>
        <w:t>materiae. Sed partici</w:t>
      </w:r>
      <w:r w:rsidRPr="0054211B">
        <w:t>pare ma</w:t>
      </w:r>
      <w:r>
        <w:t>teriam est contra naturam intel</w:t>
      </w:r>
      <w:r w:rsidRPr="0054211B">
        <w:t>lectus et contra diffinitionem ipsius.</w:t>
      </w:r>
      <w:r>
        <w:t>“ (</w:t>
      </w:r>
      <w:r w:rsidRPr="002319E2">
        <w:rPr>
          <w:i/>
        </w:rPr>
        <w:t>De unitate intellectus</w:t>
      </w:r>
      <w:r>
        <w:rPr>
          <w:i/>
        </w:rPr>
        <w:t xml:space="preserve">, </w:t>
      </w:r>
      <w:r w:rsidRPr="00E96F85">
        <w:t xml:space="preserve">cap. </w:t>
      </w:r>
      <w:r>
        <w:t xml:space="preserve">IV, arg. 7; ed. Borgnet  </w:t>
      </w:r>
      <w:r w:rsidRPr="00E96F85">
        <w:t>9</w:t>
      </w:r>
      <w:r>
        <w:t>, 444a</w:t>
      </w:r>
      <w:r>
        <w:fldChar w:fldCharType="begin"/>
      </w:r>
      <w:r>
        <w:instrText xml:space="preserve"> XE "</w:instrText>
      </w:r>
      <w:r>
        <w:rPr>
          <w:lang w:val="cs-CZ"/>
        </w:rPr>
        <w:instrText>Albert:</w:instrText>
      </w:r>
      <w:r w:rsidRPr="00027BA4">
        <w:rPr>
          <w:i/>
        </w:rPr>
        <w:instrText>De unitate intellectus</w:instrText>
      </w:r>
      <w:r>
        <w:instrText xml:space="preserve"> 44</w:instrText>
      </w:r>
      <w:r>
        <w:rPr>
          <w:lang w:val="cs-CZ"/>
        </w:rPr>
        <w:instrText>4</w:instrText>
      </w:r>
      <w:r w:rsidRPr="00027BA4">
        <w:instrText>a</w:instrText>
      </w:r>
      <w:r>
        <w:instrText xml:space="preserve">" </w:instrText>
      </w:r>
      <w:r>
        <w:fldChar w:fldCharType="end"/>
      </w:r>
      <w:r>
        <w:t>)</w:t>
      </w:r>
    </w:p>
  </w:footnote>
  <w:footnote w:id="275">
    <w:p w14:paraId="39C37506" w14:textId="77777777" w:rsidR="00CD2817" w:rsidRDefault="00CD2817" w:rsidP="009C7BF9">
      <w:pPr>
        <w:pStyle w:val="Textpoznpodarou"/>
      </w:pPr>
      <w:r>
        <w:rPr>
          <w:rStyle w:val="Znakapoznpodarou"/>
        </w:rPr>
        <w:footnoteRef/>
      </w:r>
      <w:r>
        <w:t xml:space="preserve"> „Seque</w:t>
      </w:r>
      <w:r w:rsidRPr="00A576B7">
        <w:t>retur etiam</w:t>
      </w:r>
      <w:r>
        <w:t>, quod receptio intellectus pos</w:t>
      </w:r>
      <w:r w:rsidRPr="00A576B7">
        <w:t xml:space="preserve">sibilis esset sicut receptio </w:t>
      </w:r>
      <w:r>
        <w:t>materiae</w:t>
      </w:r>
      <w:r w:rsidRPr="00A576B7">
        <w:t>: quia quidquid recipit forma secundum esse singulis,</w:t>
      </w:r>
      <w:r>
        <w:t xml:space="preserve"> est materia vel virtus materia</w:t>
      </w:r>
      <w:r w:rsidRPr="00A576B7">
        <w:t>lis, et non operans nisi in materia. Et h</w:t>
      </w:r>
      <w:r>
        <w:t>oc est contra naturam substantiae separatae</w:t>
      </w:r>
      <w:r w:rsidRPr="00A576B7">
        <w:t xml:space="preserve"> qualem probat Phil</w:t>
      </w:r>
      <w:r>
        <w:t>osophus esse intelle</w:t>
      </w:r>
      <w:r w:rsidRPr="00A576B7">
        <w:t>ctum possibilem.</w:t>
      </w:r>
      <w:r>
        <w:t>“ (</w:t>
      </w:r>
      <w:r w:rsidRPr="002319E2">
        <w:rPr>
          <w:i/>
        </w:rPr>
        <w:t>De unitate intellectus</w:t>
      </w:r>
      <w:r>
        <w:rPr>
          <w:i/>
        </w:rPr>
        <w:t xml:space="preserve">, </w:t>
      </w:r>
      <w:r w:rsidRPr="00E96F85">
        <w:t xml:space="preserve">cap. </w:t>
      </w:r>
      <w:r>
        <w:t xml:space="preserve">IV, arg. 27; ed. Borgnet  </w:t>
      </w:r>
      <w:r w:rsidRPr="00E96F85">
        <w:t>9</w:t>
      </w:r>
      <w:r>
        <w:t>, 450b</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50b</w:instrText>
      </w:r>
      <w:r>
        <w:instrText xml:space="preserve">" </w:instrText>
      </w:r>
      <w:r>
        <w:fldChar w:fldCharType="end"/>
      </w:r>
      <w:r>
        <w:t>)</w:t>
      </w:r>
    </w:p>
  </w:footnote>
  <w:footnote w:id="276">
    <w:p w14:paraId="1A6D2AC5" w14:textId="77777777" w:rsidR="00CD2817" w:rsidRDefault="00CD2817" w:rsidP="082A7528">
      <w:pPr>
        <w:pStyle w:val="Textpoznpodarou"/>
      </w:pPr>
      <w:r>
        <w:rPr>
          <w:rStyle w:val="Znakapoznpodarou"/>
        </w:rPr>
        <w:footnoteRef/>
      </w:r>
      <w:r>
        <w:t xml:space="preserve"> „Intellectus autem possibilis qui potentia est omnia scibilia, non est in nobis secundum eos.“ (</w:t>
      </w:r>
      <w:r w:rsidRPr="002366AF">
        <w:rPr>
          <w:i/>
        </w:rPr>
        <w:t>De</w:t>
      </w:r>
      <w:r>
        <w:t xml:space="preserve"> </w:t>
      </w:r>
      <w:r w:rsidRPr="002319E2">
        <w:rPr>
          <w:i/>
        </w:rPr>
        <w:t>unitate intellectus</w:t>
      </w:r>
      <w:r>
        <w:rPr>
          <w:i/>
        </w:rPr>
        <w:t xml:space="preserve">, </w:t>
      </w:r>
      <w:r w:rsidRPr="00E96F85">
        <w:t xml:space="preserve">cap. </w:t>
      </w:r>
      <w:r>
        <w:t xml:space="preserve">IV, arg. 30; ed. Borgnet  </w:t>
      </w:r>
      <w:r w:rsidRPr="00E96F85">
        <w:t>9</w:t>
      </w:r>
      <w:r>
        <w:t>, 461a</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61</w:instrText>
      </w:r>
      <w:r w:rsidRPr="00027BA4">
        <w:instrText>a</w:instrText>
      </w:r>
      <w:r>
        <w:instrText xml:space="preserve">" </w:instrText>
      </w:r>
      <w:r>
        <w:fldChar w:fldCharType="end"/>
      </w:r>
      <w:r>
        <w:t>)</w:t>
      </w:r>
    </w:p>
  </w:footnote>
  <w:footnote w:id="277">
    <w:p w14:paraId="690E74E5" w14:textId="77777777" w:rsidR="00CD2817" w:rsidRPr="00AB5F2F" w:rsidRDefault="00CD2817" w:rsidP="00B056AF">
      <w:pPr>
        <w:pStyle w:val="Textpoznpodarou"/>
      </w:pPr>
      <w:r>
        <w:rPr>
          <w:rStyle w:val="Znakapoznpodarou"/>
        </w:rPr>
        <w:footnoteRef/>
      </w:r>
      <w:r>
        <w:t xml:space="preserve"> „</w:t>
      </w:r>
      <w:r w:rsidRPr="00AB5F2F">
        <w:t>Quomodo autem ipsa sui ipsius speciem, et a se ipsa abstractam, intelligat et recipiat quaere alias, scilicet in quaestionibus illis praedictis, et exemplum huius rei conveniens [habes] in speculo corporali – qualiter scilicet eiusdem speculi corporalis simulacrum in ipso eodem speculo corporali representari potest, et non tantum semel sed multotiens et iterato.</w:t>
      </w:r>
      <w:r>
        <w:t>“ (</w:t>
      </w:r>
      <w:r w:rsidRPr="00AB5F2F">
        <w:rPr>
          <w:i/>
        </w:rPr>
        <w:t>Speculum animae</w:t>
      </w:r>
      <w:r>
        <w:t xml:space="preserve">, </w:t>
      </w:r>
      <w:r>
        <w:rPr>
          <w:lang w:val="cs-CZ"/>
        </w:rPr>
        <w:t xml:space="preserve">q. 5; </w:t>
      </w:r>
      <w:r w:rsidRPr="00601922">
        <w:t xml:space="preserve">ed. </w:t>
      </w:r>
      <w:r>
        <w:t>Etchemendy&amp;</w:t>
      </w:r>
      <w:r w:rsidRPr="00601922">
        <w:t>Wood,</w:t>
      </w:r>
      <w:r>
        <w:rPr>
          <w:rFonts w:ascii="Georgia" w:hAnsi="Georgia" w:cs="Georgia"/>
        </w:rPr>
        <w:t xml:space="preserve"> </w:t>
      </w:r>
      <w:r>
        <w:t>p. 139.629‒33</w:t>
      </w:r>
      <w:r>
        <w:fldChar w:fldCharType="begin"/>
      </w:r>
      <w:r>
        <w:instrText xml:space="preserve"> XE "</w:instrText>
      </w:r>
      <w:r>
        <w:rPr>
          <w:lang w:val="cs-CZ"/>
        </w:rPr>
        <w:instrText>Rufus:</w:instrText>
      </w:r>
      <w:r w:rsidRPr="002F7398">
        <w:rPr>
          <w:i/>
        </w:rPr>
        <w:instrText>Speculum animae</w:instrText>
      </w:r>
      <w:r w:rsidRPr="002F7398">
        <w:instrText xml:space="preserve"> 139.629‒33</w:instrText>
      </w:r>
      <w:r>
        <w:instrText xml:space="preserve">" </w:instrText>
      </w:r>
      <w:r>
        <w:fldChar w:fldCharType="end"/>
      </w:r>
      <w:r>
        <w:t>)</w:t>
      </w:r>
    </w:p>
  </w:footnote>
  <w:footnote w:id="278">
    <w:p w14:paraId="6AA77145" w14:textId="77777777" w:rsidR="00CD2817" w:rsidRPr="00342CE1" w:rsidRDefault="00CD2817" w:rsidP="00AE4F1E">
      <w:pPr>
        <w:pStyle w:val="Textpoznpodarou"/>
        <w:rPr>
          <w:rStyle w:val="TextpoznpodarouChar"/>
        </w:rPr>
      </w:pPr>
      <w:r>
        <w:rPr>
          <w:rStyle w:val="Znakapoznpodarou"/>
        </w:rPr>
        <w:footnoteRef/>
      </w:r>
      <w:r>
        <w:t xml:space="preserve"> </w:t>
      </w:r>
      <w:r w:rsidRPr="00342CE1">
        <w:rPr>
          <w:rStyle w:val="TextpoznpodarouChar"/>
        </w:rPr>
        <w:t>„Non enim consentimus cum Avicebron, quod anima rationalis composita sit ex materia et forma, sed potius dicimus eam componi ex potentia et actu.“ (</w:t>
      </w:r>
      <w:r w:rsidRPr="000D2CA0">
        <w:rPr>
          <w:rStyle w:val="TextpoznpodarouChar"/>
          <w:i/>
        </w:rPr>
        <w:t>De unitate intellectus</w:t>
      </w:r>
      <w:r>
        <w:rPr>
          <w:rStyle w:val="TextpoznpodarouChar"/>
        </w:rPr>
        <w:t xml:space="preserve">, cap. </w:t>
      </w:r>
      <w:r>
        <w:rPr>
          <w:rStyle w:val="TextpoznpodarouChar"/>
          <w:lang w:val="cs-CZ"/>
        </w:rPr>
        <w:t>5</w:t>
      </w:r>
      <w:r w:rsidRPr="00342CE1">
        <w:rPr>
          <w:rStyle w:val="TextpoznpodarouChar"/>
        </w:rPr>
        <w:t xml:space="preserve">, ad arg. 23; </w:t>
      </w:r>
      <w:r>
        <w:rPr>
          <w:rStyle w:val="TextpoznpodarouChar"/>
        </w:rPr>
        <w:t>ed. Borgnet  9,</w:t>
      </w:r>
      <w:r w:rsidRPr="00342CE1">
        <w:rPr>
          <w:rStyle w:val="TextpoznpodarouChar"/>
        </w:rPr>
        <w:t xml:space="preserve"> 470</w:t>
      </w:r>
      <w:r>
        <w:rPr>
          <w:rStyle w:val="TextpoznpodarouChar"/>
        </w:rPr>
        <w:t>b</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70b</w:instrText>
      </w:r>
      <w:r>
        <w:instrText xml:space="preserve">" </w:instrText>
      </w:r>
      <w:r>
        <w:fldChar w:fldCharType="end"/>
      </w:r>
      <w:r w:rsidRPr="00342CE1">
        <w:rPr>
          <w:rStyle w:val="TextpoznpodarouChar"/>
        </w:rPr>
        <w:t>)</w:t>
      </w:r>
    </w:p>
  </w:footnote>
  <w:footnote w:id="279">
    <w:p w14:paraId="34B15C7A" w14:textId="77777777" w:rsidR="00CD2817" w:rsidRDefault="00CD2817">
      <w:pPr>
        <w:pStyle w:val="Textpoznpodarou"/>
      </w:pPr>
      <w:r>
        <w:rPr>
          <w:rStyle w:val="Znakapoznpodarou"/>
        </w:rPr>
        <w:footnoteRef/>
      </w:r>
      <w:r>
        <w:t xml:space="preserve"> „</w:t>
      </w:r>
      <w:r w:rsidRPr="005577C8">
        <w:t>Cum aut</w:t>
      </w:r>
      <w:r>
        <w:t>em speculativus intellectus qui</w:t>
      </w:r>
      <w:r w:rsidRPr="005577C8">
        <w:t xml:space="preserve"> est factus et generatus multipliciter secundum ea in quibus sit, necesse est quod subjectum ipsius quod est patien</w:t>
      </w:r>
      <w:r>
        <w:t>s, multiplicetur secundum eadem</w:t>
      </w:r>
      <w:r w:rsidRPr="005577C8">
        <w:t>: quia speculativus non numeratur nisi numero subjecti. Ig</w:t>
      </w:r>
      <w:r>
        <w:t>itur possibilis intellectus mul</w:t>
      </w:r>
      <w:r w:rsidRPr="005577C8">
        <w:t>tiplic</w:t>
      </w:r>
      <w:r>
        <w:t>atur secundum numerum speculan</w:t>
      </w:r>
      <w:r w:rsidRPr="005577C8">
        <w:t>tium: e</w:t>
      </w:r>
      <w:r>
        <w:t>rgo multiplicatur etiam secun</w:t>
      </w:r>
      <w:r w:rsidRPr="005577C8">
        <w:t>dum numerum aliorum. Igitur multi sunt possibiles intellectus relicti ex multis</w:t>
      </w:r>
      <w:r>
        <w:t xml:space="preserve"> ho</w:t>
      </w:r>
      <w:r w:rsidRPr="005577C8">
        <w:t>minibus.</w:t>
      </w:r>
      <w:r>
        <w:t>“ (</w:t>
      </w:r>
      <w:r w:rsidRPr="002319E2">
        <w:rPr>
          <w:i/>
        </w:rPr>
        <w:t>De unitate intellectus</w:t>
      </w:r>
      <w:r>
        <w:rPr>
          <w:i/>
        </w:rPr>
        <w:t xml:space="preserve">, </w:t>
      </w:r>
      <w:r w:rsidRPr="00E96F85">
        <w:t xml:space="preserve">cap. </w:t>
      </w:r>
      <w:r>
        <w:rPr>
          <w:lang w:val="cs-CZ"/>
        </w:rPr>
        <w:t>5</w:t>
      </w:r>
      <w:r>
        <w:t xml:space="preserve">, ad arg. 8; ed. Borgnet  </w:t>
      </w:r>
      <w:r w:rsidRPr="00E96F85">
        <w:t>9</w:t>
      </w:r>
      <w:r>
        <w:t>, 454a</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54</w:instrText>
      </w:r>
      <w:r w:rsidRPr="00027BA4">
        <w:instrText>a</w:instrText>
      </w:r>
      <w:r>
        <w:instrText xml:space="preserve">" </w:instrText>
      </w:r>
      <w:r>
        <w:fldChar w:fldCharType="end"/>
      </w:r>
      <w:r>
        <w:t>)</w:t>
      </w:r>
    </w:p>
  </w:footnote>
  <w:footnote w:id="280">
    <w:p w14:paraId="13358A31" w14:textId="77777777" w:rsidR="00CD2817" w:rsidRPr="0021645B" w:rsidRDefault="00CD2817" w:rsidP="00221596">
      <w:pPr>
        <w:pStyle w:val="Textpoznpodarou"/>
      </w:pPr>
      <w:r w:rsidRPr="0021645B">
        <w:rPr>
          <w:rStyle w:val="Znakapoznpodarou"/>
        </w:rPr>
        <w:footnoteRef/>
      </w:r>
      <w:r>
        <w:rPr>
          <w:rStyle w:val="TextpoznpodarouChar"/>
        </w:rPr>
        <w:t xml:space="preserve"> </w:t>
      </w:r>
      <w:r w:rsidRPr="0021645B">
        <w:rPr>
          <w:rStyle w:val="TextpoznpodarouChar"/>
        </w:rPr>
        <w:t>„Peripatetici autem dicebant quod id quod non est esse rei, non potest e</w:t>
      </w:r>
      <w:r>
        <w:rPr>
          <w:rStyle w:val="TextpoznpodarouChar"/>
        </w:rPr>
        <w:t>sse princi</w:t>
      </w:r>
      <w:r w:rsidRPr="0021645B">
        <w:rPr>
          <w:rStyle w:val="TextpoznpodarouChar"/>
        </w:rPr>
        <w:t>pium cognitionis rei: quia omnis rei cognitio scitur ex his causis, principiis, et elementis, ex quibus est, et quod nihil horum habet esse separatum ab esse rei, nisi secundum quod est intentio per intellectum denudata ab illa.“ (</w:t>
      </w:r>
      <w:r w:rsidRPr="006F3127">
        <w:rPr>
          <w:rStyle w:val="TextpoznpodarouChar"/>
          <w:i/>
        </w:rPr>
        <w:t>De unitate intellectus</w:t>
      </w:r>
      <w:r w:rsidRPr="0021645B">
        <w:rPr>
          <w:rStyle w:val="TextpoznpodarouChar"/>
        </w:rPr>
        <w:t xml:space="preserve">, cap. V, ad arg. </w:t>
      </w:r>
      <w:r>
        <w:rPr>
          <w:rStyle w:val="TextpoznpodarouChar"/>
        </w:rPr>
        <w:t>7</w:t>
      </w:r>
      <w:r w:rsidRPr="0021645B">
        <w:rPr>
          <w:rStyle w:val="TextpoznpodarouChar"/>
        </w:rPr>
        <w:t xml:space="preserve">; </w:t>
      </w:r>
      <w:r>
        <w:rPr>
          <w:rStyle w:val="TextpoznpodarouChar"/>
        </w:rPr>
        <w:t xml:space="preserve">ed. Borgnet  </w:t>
      </w:r>
      <w:r w:rsidRPr="0021645B">
        <w:rPr>
          <w:rStyle w:val="TextpoznpodarouChar"/>
        </w:rPr>
        <w:t>9</w:t>
      </w:r>
      <w:r>
        <w:rPr>
          <w:rStyle w:val="TextpoznpodarouChar"/>
        </w:rPr>
        <w:t>, 453b</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5</w:instrText>
      </w:r>
      <w:r>
        <w:instrText>3</w:instrText>
      </w:r>
      <w:r>
        <w:rPr>
          <w:lang w:val="cs-CZ"/>
        </w:rPr>
        <w:instrText>b</w:instrText>
      </w:r>
      <w:r>
        <w:instrText xml:space="preserve">" </w:instrText>
      </w:r>
      <w:r>
        <w:fldChar w:fldCharType="end"/>
      </w:r>
      <w:r w:rsidRPr="0021645B">
        <w:rPr>
          <w:rStyle w:val="TextpoznpodarouChar"/>
        </w:rPr>
        <w:t>)</w:t>
      </w:r>
    </w:p>
  </w:footnote>
  <w:footnote w:id="281">
    <w:p w14:paraId="0803336D" w14:textId="77777777" w:rsidR="00CD2817" w:rsidRDefault="00CD2817">
      <w:pPr>
        <w:pStyle w:val="Textpoznpodarou"/>
      </w:pPr>
      <w:r>
        <w:rPr>
          <w:rStyle w:val="Znakapoznpodarou"/>
        </w:rPr>
        <w:footnoteRef/>
      </w:r>
      <w:r>
        <w:t xml:space="preserve"> „Quod autem dicunt quidam, has tres esse substantias in homine, non reputo opinionem, sed ridiculum: et non dixerunt hoc aliqui Peripateticorum, sed quidam Latini naturam animae nescientes hoc confinxerunt, et a nobis est in multis locis improbatum.“ (</w:t>
      </w:r>
      <w:r w:rsidRPr="002319E2">
        <w:rPr>
          <w:i/>
        </w:rPr>
        <w:t>De unitate intellectus</w:t>
      </w:r>
      <w:r>
        <w:rPr>
          <w:i/>
        </w:rPr>
        <w:t xml:space="preserve">, </w:t>
      </w:r>
      <w:r w:rsidRPr="00E96F85">
        <w:t xml:space="preserve">cap. </w:t>
      </w:r>
      <w:r>
        <w:t xml:space="preserve">V, ad arg. 12; ed. Borgnet  </w:t>
      </w:r>
      <w:r w:rsidRPr="00E96F85">
        <w:t>9</w:t>
      </w:r>
      <w:r>
        <w:t>, 455b</w:t>
      </w:r>
      <w:r>
        <w:fldChar w:fldCharType="begin"/>
      </w:r>
      <w:r>
        <w:instrText xml:space="preserve"> XE "</w:instrText>
      </w:r>
      <w:r>
        <w:rPr>
          <w:lang w:val="cs-CZ"/>
        </w:rPr>
        <w:instrText>Albert:</w:instrText>
      </w:r>
      <w:r w:rsidRPr="00027BA4">
        <w:rPr>
          <w:i/>
        </w:rPr>
        <w:instrText>De unitate intellectus</w:instrText>
      </w:r>
      <w:r>
        <w:instrText xml:space="preserve"> 4</w:instrText>
      </w:r>
      <w:r>
        <w:rPr>
          <w:lang w:val="cs-CZ"/>
        </w:rPr>
        <w:instrText>55b</w:instrText>
      </w:r>
      <w:r>
        <w:instrText xml:space="preserve">" </w:instrText>
      </w:r>
      <w:r>
        <w:fldChar w:fldCharType="end"/>
      </w:r>
      <w:r>
        <w:t>)</w:t>
      </w:r>
    </w:p>
  </w:footnote>
  <w:footnote w:id="282">
    <w:p w14:paraId="7DD883DB" w14:textId="77777777" w:rsidR="00CD2817" w:rsidRPr="00132B79" w:rsidRDefault="00CD2817">
      <w:pPr>
        <w:pStyle w:val="Textpoznpodarou"/>
        <w:rPr>
          <w:lang w:val="cs-CZ"/>
        </w:rPr>
      </w:pPr>
      <w:r>
        <w:rPr>
          <w:rStyle w:val="Znakapoznpodarou"/>
        </w:rPr>
        <w:footnoteRef/>
      </w:r>
      <w:r>
        <w:t xml:space="preserve"> </w:t>
      </w:r>
      <w:r>
        <w:rPr>
          <w:rFonts w:eastAsia="Code2000"/>
          <w:szCs w:val="24"/>
          <w:lang w:val="cs-CZ"/>
        </w:rPr>
        <w:t>„</w:t>
      </w:r>
      <w:r w:rsidRPr="003B028C">
        <w:rPr>
          <w:rFonts w:eastAsia="Code2000"/>
          <w:szCs w:val="24"/>
        </w:rPr>
        <w:t>Unde</w:t>
      </w:r>
      <w:r>
        <w:rPr>
          <w:rFonts w:eastAsia="Code2000"/>
          <w:szCs w:val="24"/>
          <w:lang w:val="cs-CZ"/>
        </w:rPr>
        <w:t xml:space="preserve"> </w:t>
      </w:r>
      <w:r>
        <w:rPr>
          <w:rFonts w:eastAsia="Code2000"/>
          <w:szCs w:val="24"/>
        </w:rPr>
        <w:t>diffinitur a Philosopho: «</w:t>
      </w:r>
      <w:r>
        <w:rPr>
          <w:rFonts w:eastAsia="Code2000"/>
          <w:szCs w:val="24"/>
          <w:lang w:val="cs-CZ"/>
        </w:rPr>
        <w:t xml:space="preserve"> </w:t>
      </w:r>
      <w:r>
        <w:rPr>
          <w:rFonts w:eastAsia="Code2000"/>
          <w:szCs w:val="24"/>
        </w:rPr>
        <w:t>anima est actus corporis etc.</w:t>
      </w:r>
      <w:r>
        <w:rPr>
          <w:rFonts w:eastAsia="Code2000"/>
          <w:szCs w:val="24"/>
          <w:lang w:val="cs-CZ"/>
        </w:rPr>
        <w:t xml:space="preserve"> </w:t>
      </w:r>
      <w:r w:rsidRPr="003B028C">
        <w:rPr>
          <w:rFonts w:eastAsia="Code2000" w:hint="eastAsia"/>
          <w:szCs w:val="24"/>
        </w:rPr>
        <w:t>»</w:t>
      </w:r>
      <w:r w:rsidRPr="003B028C">
        <w:rPr>
          <w:rFonts w:eastAsia="Code2000"/>
          <w:szCs w:val="24"/>
        </w:rPr>
        <w:t>. Dicit</w:t>
      </w:r>
      <w:r>
        <w:rPr>
          <w:rFonts w:eastAsia="Code2000"/>
          <w:szCs w:val="24"/>
          <w:lang w:val="cs-CZ"/>
        </w:rPr>
        <w:t xml:space="preserve"> </w:t>
      </w:r>
      <w:r w:rsidRPr="003B028C">
        <w:rPr>
          <w:rFonts w:eastAsia="Code2000"/>
          <w:szCs w:val="24"/>
        </w:rPr>
        <w:t>etiam alibi Philosophus quod plante non habent animam, set</w:t>
      </w:r>
      <w:r>
        <w:rPr>
          <w:rFonts w:eastAsia="Code2000"/>
          <w:szCs w:val="24"/>
          <w:lang w:val="cs-CZ"/>
        </w:rPr>
        <w:t xml:space="preserve"> </w:t>
      </w:r>
      <w:r w:rsidRPr="003B028C">
        <w:rPr>
          <w:rFonts w:eastAsia="Code2000"/>
          <w:szCs w:val="24"/>
        </w:rPr>
        <w:t>partem partis anime. Et secundum hoc in homine sola racionalis dicitur anima, tamen tr</w:t>
      </w:r>
      <w:r>
        <w:rPr>
          <w:rFonts w:eastAsia="Code2000"/>
          <w:szCs w:val="24"/>
          <w:lang w:val="cs-CZ"/>
        </w:rPr>
        <w:t>e</w:t>
      </w:r>
      <w:r>
        <w:rPr>
          <w:rFonts w:eastAsia="Code2000"/>
          <w:szCs w:val="24"/>
        </w:rPr>
        <w:t>s substancie.</w:t>
      </w:r>
      <w:r>
        <w:rPr>
          <w:rFonts w:eastAsia="Code2000"/>
          <w:szCs w:val="24"/>
          <w:lang w:val="cs-CZ"/>
        </w:rPr>
        <w:t>“ (</w:t>
      </w:r>
      <w:r w:rsidRPr="00421608">
        <w:t>Adam de Buckfield</w:t>
      </w:r>
      <w:r>
        <w:rPr>
          <w:i/>
          <w:lang w:val="cs-CZ"/>
        </w:rPr>
        <w:t xml:space="preserve">, </w:t>
      </w:r>
      <w:r w:rsidRPr="001D29A6">
        <w:rPr>
          <w:i/>
        </w:rPr>
        <w:t>Sentencia super librum de Anima</w:t>
      </w:r>
      <w:r w:rsidRPr="00B14DAF">
        <w:t xml:space="preserve">, </w:t>
      </w:r>
      <w:r>
        <w:t>Ms. Merton College 272</w:t>
      </w:r>
      <w:r>
        <w:rPr>
          <w:lang w:val="cs-CZ"/>
        </w:rPr>
        <w:t xml:space="preserve">, </w:t>
      </w:r>
      <w:r w:rsidRPr="00B14DAF">
        <w:t>f. 8rb</w:t>
      </w:r>
      <w:r>
        <w:rPr>
          <w:lang w:val="cs-CZ"/>
        </w:rPr>
        <w:t xml:space="preserve">; </w:t>
      </w:r>
      <w:r>
        <w:t>ed. Callus, p. 4</w:t>
      </w:r>
      <w:r>
        <w:rPr>
          <w:lang w:val="cs-CZ"/>
        </w:rPr>
        <w:t>41</w:t>
      </w:r>
      <w:r>
        <w:t>.</w:t>
      </w:r>
      <w:r>
        <w:rPr>
          <w:lang w:val="cs-CZ"/>
        </w:rPr>
        <w:t>100</w:t>
      </w:r>
      <w:r>
        <w:t>‒1</w:t>
      </w:r>
      <w:r>
        <w:rPr>
          <w:lang w:val="cs-CZ"/>
        </w:rPr>
        <w:t>04</w:t>
      </w:r>
      <w:r>
        <w:rPr>
          <w:lang w:val="cs-CZ"/>
        </w:rPr>
        <w:fldChar w:fldCharType="begin"/>
      </w:r>
      <w:r>
        <w:instrText xml:space="preserve"> XE "</w:instrText>
      </w:r>
      <w:r w:rsidRPr="00421608">
        <w:instrText>Adam de Buckfield</w:instrText>
      </w:r>
      <w:r>
        <w:rPr>
          <w:lang w:val="cs-CZ"/>
        </w:rPr>
        <w:instrText>:</w:instrText>
      </w:r>
      <w:r w:rsidRPr="00C925D9">
        <w:rPr>
          <w:i/>
        </w:rPr>
        <w:instrText>Sentencia super librum de Anima</w:instrText>
      </w:r>
      <w:r w:rsidRPr="00C925D9">
        <w:instrText xml:space="preserve"> 4</w:instrText>
      </w:r>
      <w:r w:rsidRPr="00C925D9">
        <w:rPr>
          <w:lang w:val="cs-CZ"/>
        </w:rPr>
        <w:instrText>41</w:instrText>
      </w:r>
      <w:r w:rsidRPr="00C925D9">
        <w:instrText>.</w:instrText>
      </w:r>
      <w:r w:rsidRPr="00C925D9">
        <w:rPr>
          <w:lang w:val="cs-CZ"/>
        </w:rPr>
        <w:instrText>100</w:instrText>
      </w:r>
      <w:r w:rsidRPr="00C925D9">
        <w:instrText>‒1</w:instrText>
      </w:r>
      <w:r w:rsidRPr="00C925D9">
        <w:rPr>
          <w:lang w:val="cs-CZ"/>
        </w:rPr>
        <w:instrText>04</w:instrText>
      </w:r>
      <w:r>
        <w:instrText xml:space="preserve">" </w:instrText>
      </w:r>
      <w:r>
        <w:rPr>
          <w:lang w:val="cs-CZ"/>
        </w:rPr>
        <w:fldChar w:fldCharType="end"/>
      </w:r>
      <w:r>
        <w:t>)</w:t>
      </w:r>
    </w:p>
  </w:footnote>
  <w:footnote w:id="283">
    <w:p w14:paraId="76476FA7" w14:textId="77777777" w:rsidR="00CD2817" w:rsidRPr="00BC642E" w:rsidRDefault="00CD2817" w:rsidP="00B35FB9">
      <w:pPr>
        <w:pStyle w:val="Textpoznpodarou"/>
      </w:pPr>
      <w:r>
        <w:rPr>
          <w:rStyle w:val="Znakapoznpodarou"/>
        </w:rPr>
        <w:footnoteRef/>
      </w:r>
      <w:r>
        <w:t xml:space="preserve"> „</w:t>
      </w:r>
      <w:r w:rsidRPr="00BC642E">
        <w:t>Sed quidam non mediocris auctoritatis viri inter Latinos quibus ista sententia non placuit, asserunt universale secundum aliquid esse in rebus. Si enim in re non esset, de re vere non praedicaretur, praecipue cum haec sit natura universalis, quod in quolibet suorum particularium est totum.</w:t>
      </w:r>
      <w:r>
        <w:t>“ (</w:t>
      </w:r>
      <w:r w:rsidRPr="004A2497">
        <w:rPr>
          <w:i/>
        </w:rPr>
        <w:t>De intellectu et intelligibili Liber Primus</w:t>
      </w:r>
      <w:r>
        <w:t xml:space="preserve">, tract. II, cap. </w:t>
      </w:r>
      <w:r>
        <w:rPr>
          <w:lang w:val="cs-CZ"/>
        </w:rPr>
        <w:t>2</w:t>
      </w:r>
      <w:r>
        <w:t>; ed. Borgnet  9, 493a</w:t>
      </w:r>
      <w:r>
        <w:fldChar w:fldCharType="begin"/>
      </w:r>
      <w:r>
        <w:instrText xml:space="preserve"> XE "</w:instrText>
      </w:r>
      <w:r>
        <w:rPr>
          <w:lang w:val="cs-CZ"/>
        </w:rPr>
        <w:instrText>Albert:</w:instrText>
      </w:r>
      <w:r w:rsidRPr="004D3AC9">
        <w:rPr>
          <w:i/>
        </w:rPr>
        <w:instrText xml:space="preserve">De intellectu et intelligibili </w:instrText>
      </w:r>
      <w:r w:rsidRPr="004D3AC9">
        <w:instrText>493a</w:instrText>
      </w:r>
      <w:r>
        <w:instrText xml:space="preserve">" </w:instrText>
      </w:r>
      <w:r>
        <w:fldChar w:fldCharType="end"/>
      </w:r>
      <w:r>
        <w:t>)</w:t>
      </w:r>
    </w:p>
  </w:footnote>
  <w:footnote w:id="284">
    <w:p w14:paraId="2D9346B1" w14:textId="77777777" w:rsidR="00CD2817" w:rsidRPr="0804450A" w:rsidRDefault="00CD2817" w:rsidP="08A03E23">
      <w:pPr>
        <w:pStyle w:val="Textpoznpodarou"/>
      </w:pPr>
      <w:r>
        <w:rPr>
          <w:rStyle w:val="Znakapoznpodarou"/>
        </w:rPr>
        <w:footnoteRef/>
      </w:r>
      <w:r>
        <w:t xml:space="preserve"> Tato část metodologicky vychází ze syntézy dějinných proměn čtyř pólů Heideggerova </w:t>
      </w:r>
      <w:r w:rsidRPr="0804450A">
        <w:rPr>
          <w:i/>
        </w:rPr>
        <w:t>Geviert</w:t>
      </w:r>
      <w:r>
        <w:t>, které v podobě nové hermeneutiky dějin určují filosofický a epochální osud Západu (Umlauf 2010,</w:t>
      </w:r>
      <w:r>
        <w:rPr>
          <w:lang w:val="cs-CZ"/>
        </w:rPr>
        <w:t xml:space="preserve"> 482‒96</w:t>
      </w:r>
      <w:r>
        <w:t>)</w:t>
      </w:r>
    </w:p>
  </w:footnote>
  <w:footnote w:id="285">
    <w:p w14:paraId="060BB2DF" w14:textId="77777777" w:rsidR="00CD2817" w:rsidRDefault="00CD2817" w:rsidP="08A03E23">
      <w:pPr>
        <w:pStyle w:val="Textpoznpodarou"/>
      </w:pPr>
      <w:r>
        <w:rPr>
          <w:rStyle w:val="Znakapoznpodarou"/>
        </w:rPr>
        <w:footnoteRef/>
      </w:r>
      <w:r>
        <w:t xml:space="preserve"> „Im Retten der Erde, im Empfangen des Himmels, im Erwarten der Göttlichen, im Geleiten der Sterblichen ereignet sich das Wohnen als das vierfältige Schonen des Gevierts.“ (</w:t>
      </w:r>
      <w:r>
        <w:rPr>
          <w:lang w:val="cs-CZ"/>
        </w:rPr>
        <w:t>GA 7</w:t>
      </w:r>
      <w:r>
        <w:t>, 153</w:t>
      </w:r>
      <w:r w:rsidRPr="00273106">
        <w:rPr>
          <w:noProof/>
          <w:lang w:val="cs-CZ"/>
        </w:rPr>
        <w:fldChar w:fldCharType="begin"/>
      </w:r>
      <w:r w:rsidRPr="00273106">
        <w:rPr>
          <w:noProof/>
          <w:lang w:val="cs-CZ"/>
        </w:rPr>
        <w:instrText xml:space="preserve"> XE "Heidegger:</w:instrText>
      </w:r>
      <w:r w:rsidRPr="000E4459">
        <w:rPr>
          <w:iCs/>
          <w:noProof/>
          <w:lang w:val="cs-CZ"/>
        </w:rPr>
        <w:instrText>GA</w:instrText>
      </w:r>
      <w:r w:rsidRPr="00273106">
        <w:rPr>
          <w:noProof/>
          <w:lang w:val="cs-CZ"/>
        </w:rPr>
        <w:instrText xml:space="preserve"> 7, 153" </w:instrText>
      </w:r>
      <w:r w:rsidRPr="00273106">
        <w:rPr>
          <w:noProof/>
          <w:lang w:val="cs-CZ"/>
        </w:rPr>
        <w:fldChar w:fldCharType="end"/>
      </w:r>
      <w:r>
        <w:t>)</w:t>
      </w:r>
    </w:p>
  </w:footnote>
  <w:footnote w:id="286">
    <w:p w14:paraId="09D9BBD4" w14:textId="77777777" w:rsidR="00CD2817" w:rsidRPr="084932BC" w:rsidRDefault="00CD2817" w:rsidP="08A03E23">
      <w:pPr>
        <w:pStyle w:val="Textpoznpodarou"/>
        <w:rPr>
          <w:lang w:val="cs-CZ"/>
        </w:rPr>
      </w:pPr>
      <w:r>
        <w:rPr>
          <w:rStyle w:val="Znakapoznpodarou"/>
        </w:rPr>
        <w:footnoteRef/>
      </w:r>
      <w:r>
        <w:t xml:space="preserve"> </w:t>
      </w:r>
      <w:r>
        <w:rPr>
          <w:lang w:val="cs-CZ"/>
        </w:rPr>
        <w:t>„</w:t>
      </w:r>
      <w:r>
        <w:rPr>
          <w:rStyle w:val="srexcerpt"/>
        </w:rPr>
        <w:t>Das Alles aber kann auch nicht einander ungleich, kann nicht mit sich im Widerspruch sein… Damit haben sie ihren stupenden Begriff „</w:t>
      </w:r>
      <w:r>
        <w:rPr>
          <w:rStyle w:val="Zvraznn"/>
        </w:rPr>
        <w:t>Gott</w:t>
      </w:r>
      <w:r>
        <w:rPr>
          <w:rStyle w:val="srexcerpt"/>
        </w:rPr>
        <w:t>“… Das Letzte, Dünnste, Leerste wird als Erstes gesetzt, als Ursache an sich, als ens realissimum… Dass die Menschheit die Gehirnleiden kranker Spinneweber hat ernst nehmen müssen! — Und sie hat theuer dafür gezahlt!</w:t>
      </w:r>
      <w:r>
        <w:rPr>
          <w:rStyle w:val="srexcerpt"/>
          <w:lang w:val="cs-CZ"/>
        </w:rPr>
        <w:t>“ (</w:t>
      </w:r>
      <w:r w:rsidRPr="084932BC">
        <w:rPr>
          <w:rStyle w:val="srsiglum"/>
          <w:i/>
        </w:rPr>
        <w:t>Götzen-Dämmerung: Die „Vernunft“ in der Philosophie</w:t>
      </w:r>
      <w:r w:rsidRPr="089856E5">
        <w:rPr>
          <w:rStyle w:val="srsiglum"/>
        </w:rPr>
        <w:t>, § 4</w:t>
      </w:r>
      <w:r>
        <w:rPr>
          <w:rStyle w:val="srsiglum"/>
          <w:lang w:val="cs-CZ"/>
        </w:rPr>
        <w:t>; KSA 6, 76</w:t>
      </w:r>
      <w:r>
        <w:rPr>
          <w:rStyle w:val="srsiglum"/>
          <w:lang w:val="cs-CZ"/>
        </w:rPr>
        <w:fldChar w:fldCharType="begin"/>
      </w:r>
      <w:r>
        <w:instrText xml:space="preserve"> XE "</w:instrText>
      </w:r>
      <w:r w:rsidRPr="08A04E2D">
        <w:rPr>
          <w:rStyle w:val="srsiglum"/>
          <w:i/>
        </w:rPr>
        <w:instrText>Nietzsche:Götzen-Dämmerung</w:instrText>
      </w:r>
      <w:r>
        <w:rPr>
          <w:rStyle w:val="srsiglum"/>
          <w:i/>
          <w:lang w:val="cs-CZ"/>
        </w:rPr>
        <w:instrText xml:space="preserve"> </w:instrText>
      </w:r>
      <w:r w:rsidRPr="081C0AB8">
        <w:rPr>
          <w:rStyle w:val="srsiglum"/>
          <w:lang w:val="cs-CZ"/>
        </w:rPr>
        <w:instrText>6</w:instrText>
      </w:r>
      <w:r>
        <w:rPr>
          <w:rStyle w:val="srsiglum"/>
          <w:i/>
          <w:lang w:val="cs-CZ"/>
        </w:rPr>
        <w:instrText>.</w:instrText>
      </w:r>
      <w:r w:rsidRPr="08A04E2D">
        <w:rPr>
          <w:rStyle w:val="srsiglum"/>
          <w:lang w:val="cs-CZ"/>
        </w:rPr>
        <w:instrText>76</w:instrText>
      </w:r>
      <w:r>
        <w:instrText xml:space="preserve">" </w:instrText>
      </w:r>
      <w:r>
        <w:rPr>
          <w:rStyle w:val="srsiglum"/>
          <w:lang w:val="cs-CZ"/>
        </w:rPr>
        <w:fldChar w:fldCharType="end"/>
      </w:r>
      <w:r>
        <w:rPr>
          <w:rStyle w:val="srsiglum"/>
          <w:lang w:val="cs-CZ"/>
        </w:rPr>
        <w:t>)</w:t>
      </w:r>
    </w:p>
  </w:footnote>
  <w:footnote w:id="287">
    <w:p w14:paraId="1949AD44" w14:textId="77777777" w:rsidR="00CD2817" w:rsidRPr="08691FD6" w:rsidRDefault="00CD2817" w:rsidP="00C06703">
      <w:pPr>
        <w:pStyle w:val="Textpoznpodarou"/>
        <w:rPr>
          <w:lang w:val="cs-CZ"/>
        </w:rPr>
      </w:pPr>
      <w:r>
        <w:rPr>
          <w:rStyle w:val="Znakapoznpodarou"/>
        </w:rPr>
        <w:footnoteRef/>
      </w:r>
      <w:r>
        <w:t xml:space="preserve"> </w:t>
      </w:r>
      <w:r>
        <w:rPr>
          <w:lang w:val="cs-CZ"/>
        </w:rPr>
        <w:t xml:space="preserve">„Moreover, in addition to theological and legal teaching, which had continuously been at Oxford from the 12th century, we witness in the first decade of the 13th century the introduction of the 'New Aristotle'. Edmund of Abingdon was lecturing on the </w:t>
      </w:r>
      <w:r w:rsidRPr="08691FD6">
        <w:rPr>
          <w:i/>
          <w:lang w:val="cs-CZ"/>
        </w:rPr>
        <w:t>Sophistici Elenchi</w:t>
      </w:r>
      <w:r>
        <w:rPr>
          <w:lang w:val="cs-CZ"/>
        </w:rPr>
        <w:t xml:space="preserve">, a Master Hugh on the </w:t>
      </w:r>
      <w:r w:rsidRPr="08691FD6">
        <w:rPr>
          <w:i/>
          <w:lang w:val="cs-CZ"/>
        </w:rPr>
        <w:t>Posterior Analytics</w:t>
      </w:r>
      <w:r>
        <w:rPr>
          <w:lang w:val="cs-CZ"/>
        </w:rPr>
        <w:t xml:space="preserve">, John of London (the teacher of John of Garland in his youth) on Avicennian theories, while John Blund was the first to read on the </w:t>
      </w:r>
      <w:r w:rsidRPr="08691FD6">
        <w:rPr>
          <w:i/>
          <w:lang w:val="cs-CZ"/>
        </w:rPr>
        <w:t>libri naturales</w:t>
      </w:r>
      <w:r>
        <w:rPr>
          <w:lang w:val="cs-CZ"/>
        </w:rPr>
        <w:t>.“  (Callus 1945, 43)</w:t>
      </w:r>
    </w:p>
  </w:footnote>
  <w:footnote w:id="288">
    <w:p w14:paraId="797E1168" w14:textId="048CC6DD" w:rsidR="00CD2817" w:rsidRPr="08E270A5" w:rsidRDefault="00CD2817" w:rsidP="005B79A4">
      <w:pPr>
        <w:pStyle w:val="Textpoznpodarou"/>
      </w:pPr>
      <w:r w:rsidRPr="08AC6DE4">
        <w:rPr>
          <w:rStyle w:val="Znakapoznpodarou"/>
        </w:rPr>
        <w:footnoteRef/>
      </w:r>
      <w:r w:rsidRPr="08AC6DE4">
        <w:t xml:space="preserve"> Pařížská </w:t>
      </w:r>
      <w:r>
        <w:t>univerzit</w:t>
      </w:r>
      <w:r>
        <w:rPr>
          <w:lang w:val="cs-CZ"/>
        </w:rPr>
        <w:t>a</w:t>
      </w:r>
      <w:r w:rsidRPr="08AC6DE4">
        <w:t xml:space="preserve"> již byla ve značném úpadku kvůli vyhnání jezuitů a dalších řádů z Francie</w:t>
      </w:r>
      <w:r>
        <w:rPr>
          <w:lang w:val="cs-CZ"/>
        </w:rPr>
        <w:t xml:space="preserve"> (1763)</w:t>
      </w:r>
      <w:r w:rsidRPr="08AC6DE4">
        <w:t xml:space="preserve">. </w:t>
      </w:r>
      <w:r>
        <w:rPr>
          <w:lang w:val="cs-CZ"/>
        </w:rPr>
        <w:t xml:space="preserve">Postupná </w:t>
      </w:r>
      <w:r w:rsidRPr="08AC6DE4">
        <w:t>destrukce uni</w:t>
      </w:r>
      <w:r>
        <w:t>verzity v letech 1792–93 ukazuj</w:t>
      </w:r>
      <w:r>
        <w:rPr>
          <w:lang w:val="cs-CZ"/>
        </w:rPr>
        <w:t>e</w:t>
      </w:r>
      <w:r w:rsidRPr="08AC6DE4">
        <w:t xml:space="preserve"> vítězný postup </w:t>
      </w:r>
      <w:r>
        <w:rPr>
          <w:lang w:val="cs-CZ"/>
        </w:rPr>
        <w:t xml:space="preserve">postmoderního </w:t>
      </w:r>
      <w:r w:rsidRPr="08AC6DE4">
        <w:rPr>
          <w:i/>
        </w:rPr>
        <w:t>raison d'état</w:t>
      </w:r>
      <w:r w:rsidRPr="08AC6DE4">
        <w:t>, který v zrcadlovém efektu kopíruje dest</w:t>
      </w:r>
      <w:r>
        <w:t>ruktivní model daný v roce 1277</w:t>
      </w:r>
      <w:r>
        <w:rPr>
          <w:lang w:val="cs-CZ"/>
        </w:rPr>
        <w:t xml:space="preserve">, což byl modernistický </w:t>
      </w:r>
      <w:r w:rsidRPr="08AC6DE4">
        <w:rPr>
          <w:i/>
        </w:rPr>
        <w:t>raison de l'église</w:t>
      </w:r>
      <w:r w:rsidRPr="08AC6DE4">
        <w:t>. Skrze tzv. „</w:t>
      </w:r>
      <w:r w:rsidRPr="00177480">
        <w:rPr>
          <w:i/>
        </w:rPr>
        <w:t>Rapport Gaudin</w:t>
      </w:r>
      <w:r w:rsidRPr="08AC6DE4">
        <w:t>“ (1792) byla zrušena autonomie teologických fakult, které musely přísahat věrnost revolučnímu režimu. Pak byl</w:t>
      </w:r>
      <w:r>
        <w:rPr>
          <w:lang w:val="cs-CZ"/>
        </w:rPr>
        <w:t xml:space="preserve">o zrušeno </w:t>
      </w:r>
      <w:r w:rsidRPr="08AC6DE4">
        <w:t xml:space="preserve">výnosem </w:t>
      </w:r>
      <w:r>
        <w:t>revoluční</w:t>
      </w:r>
      <w:r>
        <w:rPr>
          <w:lang w:val="cs-CZ"/>
        </w:rPr>
        <w:t>ho parlamentu (</w:t>
      </w:r>
      <w:r w:rsidRPr="08AC6DE4">
        <w:rPr>
          <w:rFonts w:eastAsia="Times"/>
          <w:i/>
        </w:rPr>
        <w:t>Convention nationale</w:t>
      </w:r>
      <w:r>
        <w:rPr>
          <w:rFonts w:eastAsia="Times"/>
          <w:lang w:val="cs-CZ"/>
        </w:rPr>
        <w:t xml:space="preserve">, </w:t>
      </w:r>
      <w:r w:rsidRPr="08AC6DE4">
        <w:rPr>
          <w:rFonts w:eastAsia="Times"/>
        </w:rPr>
        <w:t>15. 9. 1793</w:t>
      </w:r>
      <w:r>
        <w:rPr>
          <w:rFonts w:eastAsia="Times"/>
          <w:lang w:val="cs-CZ"/>
        </w:rPr>
        <w:t xml:space="preserve">) </w:t>
      </w:r>
      <w:r>
        <w:rPr>
          <w:lang w:val="cs-CZ"/>
        </w:rPr>
        <w:t xml:space="preserve">všech 26 kolegií Pařížské univerzity a následně i </w:t>
      </w:r>
      <w:r>
        <w:t xml:space="preserve">univerzitní kolegia </w:t>
      </w:r>
      <w:r>
        <w:rPr>
          <w:lang w:val="cs-CZ"/>
        </w:rPr>
        <w:t>v celé Francii</w:t>
      </w:r>
      <w:r w:rsidRPr="08AC6DE4">
        <w:rPr>
          <w:rFonts w:eastAsia="Times"/>
        </w:rPr>
        <w:t>.</w:t>
      </w:r>
    </w:p>
  </w:footnote>
  <w:footnote w:id="289">
    <w:p w14:paraId="149E5880" w14:textId="77777777" w:rsidR="00CD2817" w:rsidRPr="00954B8A" w:rsidRDefault="00CD2817" w:rsidP="08106524">
      <w:pPr>
        <w:pStyle w:val="Textpoznpodarou"/>
        <w:rPr>
          <w:lang w:val="cs-CZ"/>
        </w:rPr>
      </w:pPr>
      <w:r w:rsidRPr="00954B8A">
        <w:rPr>
          <w:rStyle w:val="Znakapoznpodarou"/>
        </w:rPr>
        <w:footnoteRef/>
      </w:r>
      <w:r w:rsidRPr="00954B8A">
        <w:t xml:space="preserve"> „Super hos duos polos ut diximus, circumvolvitur coelum cum omnibus stellis et planetis, qui sunt in eo motu aequali et uniformi per diem et noctem semel, cuius motus causa efficiens est anima mundi.“</w:t>
      </w:r>
      <w:r>
        <w:rPr>
          <w:lang w:val="cs-CZ"/>
        </w:rPr>
        <w:t xml:space="preserve"> (</w:t>
      </w:r>
      <w:r w:rsidRPr="005505EE">
        <w:rPr>
          <w:i/>
          <w:lang w:val="cs-CZ"/>
        </w:rPr>
        <w:t xml:space="preserve">De </w:t>
      </w:r>
      <w:r>
        <w:rPr>
          <w:i/>
          <w:lang w:val="cs-CZ"/>
        </w:rPr>
        <w:t>sphaera</w:t>
      </w:r>
      <w:r>
        <w:rPr>
          <w:lang w:val="cs-CZ"/>
        </w:rPr>
        <w:t>; ed. Baur, p. 13.32‒35</w:t>
      </w:r>
      <w:r>
        <w:rPr>
          <w:lang w:val="cs-CZ"/>
        </w:rPr>
        <w:fldChar w:fldCharType="begin"/>
      </w:r>
      <w:r>
        <w:instrText xml:space="preserve"> XE "</w:instrText>
      </w:r>
      <w:r>
        <w:rPr>
          <w:lang w:val="cs-CZ"/>
        </w:rPr>
        <w:instrText>Grosseteste:</w:instrText>
      </w:r>
      <w:r>
        <w:rPr>
          <w:i/>
          <w:lang w:val="cs-CZ"/>
        </w:rPr>
        <w:instrText>De sphaera</w:instrText>
      </w:r>
      <w:r>
        <w:rPr>
          <w:lang w:val="cs-CZ"/>
        </w:rPr>
        <w:instrText xml:space="preserve"> 13.32‒35</w:instrText>
      </w:r>
      <w:r>
        <w:instrText xml:space="preserve">" </w:instrText>
      </w:r>
      <w:r>
        <w:rPr>
          <w:lang w:val="cs-CZ"/>
        </w:rPr>
        <w:fldChar w:fldCharType="end"/>
      </w:r>
      <w:r>
        <w:rPr>
          <w:lang w:val="cs-CZ"/>
        </w:rPr>
        <w:t>)</w:t>
      </w:r>
    </w:p>
  </w:footnote>
  <w:footnote w:id="290">
    <w:p w14:paraId="70BD25E3" w14:textId="77777777" w:rsidR="00CD2817" w:rsidRDefault="00CD2817" w:rsidP="00B241D1">
      <w:pPr>
        <w:pStyle w:val="Textpoznpodarou"/>
      </w:pPr>
      <w:r>
        <w:rPr>
          <w:rStyle w:val="Znakapoznpodarou"/>
        </w:rPr>
        <w:footnoteRef/>
      </w:r>
      <w:r>
        <w:t xml:space="preserve"> „</w:t>
      </w:r>
      <w:r w:rsidRPr="00E50098">
        <w:t>Cognitio autem primorum principiorum, que est intellectus, est melior dispositio quam sit scientia; principia autem non simpliciter prima cognoscuntur non intellectu, sed scientia, qu</w:t>
      </w:r>
      <w:r>
        <w:rPr>
          <w:lang w:val="cs-CZ"/>
        </w:rPr>
        <w:t>a</w:t>
      </w:r>
      <w:r w:rsidRPr="00E50098">
        <w:t>e est peior dispositio quam intellectus.</w:t>
      </w:r>
      <w:r>
        <w:t>“ (</w:t>
      </w:r>
      <w:r w:rsidRPr="00EA08C7">
        <w:rPr>
          <w:i/>
          <w:noProof/>
        </w:rPr>
        <w:t>Commentarius in posteriorum analyticorum libros</w:t>
      </w:r>
      <w:r>
        <w:rPr>
          <w:i/>
          <w:noProof/>
        </w:rPr>
        <w:t xml:space="preserve"> </w:t>
      </w:r>
      <w:r>
        <w:rPr>
          <w:noProof/>
        </w:rPr>
        <w:t>I.2</w:t>
      </w:r>
      <w:r>
        <w:rPr>
          <w:noProof/>
          <w:lang w:val="cs-CZ"/>
        </w:rPr>
        <w:t>;</w:t>
      </w:r>
      <w:r w:rsidRPr="00197BC9">
        <w:rPr>
          <w:noProof/>
        </w:rPr>
        <w:t xml:space="preserve"> ed. Rossi</w:t>
      </w:r>
      <w:r>
        <w:rPr>
          <w:noProof/>
        </w:rPr>
        <w:t>, p. 103.91‒94</w:t>
      </w:r>
      <w:r>
        <w:rPr>
          <w:noProof/>
        </w:rPr>
        <w:fldChar w:fldCharType="begin"/>
      </w:r>
      <w:r>
        <w:instrText xml:space="preserve"> XE "</w:instrText>
      </w:r>
      <w:r>
        <w:rPr>
          <w:lang w:val="cs-CZ"/>
        </w:rPr>
        <w:instrText>Grosseteste:</w:instrText>
      </w:r>
      <w:r w:rsidRPr="00DD429E">
        <w:rPr>
          <w:i/>
          <w:noProof/>
        </w:rPr>
        <w:instrText xml:space="preserve">Commentarius in posteriorum analyticorum libros </w:instrText>
      </w:r>
      <w:r w:rsidRPr="00DD429E">
        <w:rPr>
          <w:noProof/>
        </w:rPr>
        <w:instrText>103.91‒94</w:instrText>
      </w:r>
      <w:r>
        <w:instrText xml:space="preserve">" </w:instrText>
      </w:r>
      <w:r>
        <w:rPr>
          <w:noProof/>
        </w:rPr>
        <w:fldChar w:fldCharType="end"/>
      </w:r>
      <w:r>
        <w:rPr>
          <w:noProof/>
        </w:rPr>
        <w:t>)</w:t>
      </w:r>
    </w:p>
  </w:footnote>
  <w:footnote w:id="291">
    <w:p w14:paraId="23636DB0" w14:textId="77777777" w:rsidR="00CD2817" w:rsidRPr="00ED5E10" w:rsidRDefault="00CD2817" w:rsidP="00736AAE">
      <w:pPr>
        <w:pStyle w:val="Textpoznpodarou"/>
        <w:rPr>
          <w:lang w:val="cs-CZ"/>
        </w:rPr>
      </w:pPr>
      <w:r>
        <w:rPr>
          <w:rStyle w:val="Znakapoznpodarou"/>
        </w:rPr>
        <w:footnoteRef/>
      </w:r>
      <w:r>
        <w:t xml:space="preserve"> </w:t>
      </w:r>
      <w:r>
        <w:rPr>
          <w:lang w:val="cs-CZ"/>
        </w:rPr>
        <w:t xml:space="preserve">Tento překlad </w:t>
      </w:r>
      <w:r w:rsidRPr="00273106">
        <w:rPr>
          <w:i/>
          <w:noProof/>
        </w:rPr>
        <w:t>Anal. Post</w:t>
      </w:r>
      <w:r w:rsidRPr="00273106">
        <w:rPr>
          <w:noProof/>
        </w:rPr>
        <w:t>. 84a11‒14</w:t>
      </w:r>
      <w:r>
        <w:rPr>
          <w:noProof/>
          <w:lang w:val="cs-CZ"/>
        </w:rPr>
        <w:t xml:space="preserve"> sleduje vynikající </w:t>
      </w:r>
      <w:r>
        <w:rPr>
          <w:lang w:val="cs-CZ"/>
        </w:rPr>
        <w:t>překlad Tricota (</w:t>
      </w:r>
      <w:r w:rsidRPr="08573F9E">
        <w:rPr>
          <w:i/>
          <w:lang w:val="cs-CZ"/>
        </w:rPr>
        <w:t>Les Seconds analytiques</w:t>
      </w:r>
      <w:r>
        <w:rPr>
          <w:lang w:val="cs-CZ"/>
        </w:rPr>
        <w:t xml:space="preserve">; Vrin 2000, 117). Oxfordský překlad této klíčové pasáže je dán esencialisticky v duchu </w:t>
      </w:r>
      <w:r w:rsidRPr="08573F9E">
        <w:rPr>
          <w:i/>
          <w:lang w:val="cs-CZ"/>
        </w:rPr>
        <w:t>Oxfordian Fallacy</w:t>
      </w:r>
      <w:r>
        <w:rPr>
          <w:lang w:val="cs-CZ"/>
        </w:rPr>
        <w:t>: „</w:t>
      </w:r>
      <w:r w:rsidRPr="00273106">
        <w:rPr>
          <w:noProof/>
        </w:rPr>
        <w:t>Demonstration proves the inherence of essential attributes in things (ἀπόδειξίς ἐστι τῶν ὅσα ὑπάρχει καθ' αὑτὰ τοῖς πράγμασιν). Now attributes may be essential for two reasons (καθ' αὑτὰ δὲ διττῶς): either because they are elements in the essential nature of their subjects (ἐνυπάρχει ἐν τῷ τί ἐστι), or because their subjects are elements in their essential nature (ἐν τῷ τί ἐστιν ὑπάρχουσιν αὐτοῖς).“ (</w:t>
      </w:r>
      <w:r w:rsidRPr="00273106">
        <w:rPr>
          <w:i/>
          <w:noProof/>
        </w:rPr>
        <w:t>Anal. Post</w:t>
      </w:r>
      <w:r w:rsidRPr="00273106">
        <w:rPr>
          <w:noProof/>
        </w:rPr>
        <w:t>. 84a11‒14</w:t>
      </w:r>
      <w:r>
        <w:fldChar w:fldCharType="begin"/>
      </w:r>
      <w:r>
        <w:instrText xml:space="preserve"> XE "Aristoteles:</w:instrText>
      </w:r>
      <w:r w:rsidRPr="00273106">
        <w:rPr>
          <w:i/>
          <w:noProof/>
        </w:rPr>
        <w:instrText>Anal. Post</w:instrText>
      </w:r>
      <w:r w:rsidRPr="00273106">
        <w:rPr>
          <w:noProof/>
        </w:rPr>
        <w:instrText>. 84a11‒14</w:instrText>
      </w:r>
      <w:r>
        <w:instrText xml:space="preserve">" </w:instrText>
      </w:r>
      <w:r>
        <w:fldChar w:fldCharType="end"/>
      </w:r>
      <w:r w:rsidRPr="00273106">
        <w:rPr>
          <w:noProof/>
        </w:rPr>
        <w:t xml:space="preserve">; </w:t>
      </w:r>
      <w:r w:rsidRPr="00273106">
        <w:rPr>
          <w:noProof/>
          <w:szCs w:val="15"/>
        </w:rPr>
        <w:t>WA 1</w:t>
      </w:r>
      <w:r w:rsidRPr="00273106">
        <w:rPr>
          <w:noProof/>
        </w:rPr>
        <w:t>, trad. Mure)</w:t>
      </w:r>
    </w:p>
  </w:footnote>
  <w:footnote w:id="292">
    <w:p w14:paraId="3873D0AE" w14:textId="77777777" w:rsidR="00CD2817" w:rsidRDefault="00CD2817" w:rsidP="08F97BBD">
      <w:pPr>
        <w:pStyle w:val="Textpoznpodarou"/>
      </w:pPr>
      <w:r>
        <w:rPr>
          <w:rStyle w:val="Znakapoznpodarou"/>
        </w:rPr>
        <w:footnoteRef/>
      </w:r>
      <w:r>
        <w:t xml:space="preserve"> „Demonstrativa scientia est ex veris, et primis et inmediatis et prioribus et notioribus et causis conclusionis. Si autem demonstrativa scientia e</w:t>
      </w:r>
      <w:r w:rsidRPr="00197BC9">
        <w:t xml:space="preserve">t </w:t>
      </w:r>
      <w:r>
        <w:t xml:space="preserve">demonstratio sint idem et 'ex' sumatur communiter ad 'ex' dictum materialiter </w:t>
      </w:r>
      <w:r w:rsidRPr="00197BC9">
        <w:t xml:space="preserve">et </w:t>
      </w:r>
      <w:r>
        <w:t>dictum originaliter, dico quod in hac propositione probatur diffinitio materialis de suo diffinito per diffinitionem formalem supra positam.“ (</w:t>
      </w:r>
      <w:r w:rsidRPr="00EA08C7">
        <w:rPr>
          <w:i/>
          <w:noProof/>
        </w:rPr>
        <w:t>Commentarius in posteriorum analyticorum libros</w:t>
      </w:r>
      <w:r>
        <w:rPr>
          <w:i/>
          <w:noProof/>
        </w:rPr>
        <w:t xml:space="preserve"> </w:t>
      </w:r>
      <w:r w:rsidRPr="00197BC9">
        <w:rPr>
          <w:noProof/>
        </w:rPr>
        <w:t>I.2</w:t>
      </w:r>
      <w:r>
        <w:rPr>
          <w:noProof/>
          <w:lang w:val="cs-CZ"/>
        </w:rPr>
        <w:t>;</w:t>
      </w:r>
      <w:r w:rsidRPr="00197BC9">
        <w:rPr>
          <w:noProof/>
        </w:rPr>
        <w:t xml:space="preserve"> ed. Rossi</w:t>
      </w:r>
      <w:r>
        <w:rPr>
          <w:noProof/>
        </w:rPr>
        <w:t>, p</w:t>
      </w:r>
      <w:r>
        <w:rPr>
          <w:noProof/>
          <w:lang w:val="cs-CZ"/>
        </w:rPr>
        <w:t>p</w:t>
      </w:r>
      <w:r>
        <w:rPr>
          <w:noProof/>
        </w:rPr>
        <w:t>. 100.41‒101.46</w:t>
      </w:r>
      <w:r>
        <w:rPr>
          <w:noProof/>
        </w:rPr>
        <w:fldChar w:fldCharType="begin"/>
      </w:r>
      <w:r>
        <w:instrText xml:space="preserve"> XE "</w:instrText>
      </w:r>
      <w:r>
        <w:rPr>
          <w:lang w:val="cs-CZ"/>
        </w:rPr>
        <w:instrText>Grosseteste:</w:instrText>
      </w:r>
      <w:r w:rsidRPr="00002A0F">
        <w:rPr>
          <w:i/>
          <w:noProof/>
        </w:rPr>
        <w:instrText xml:space="preserve">Commentarius in posteriorum analyticorum libros </w:instrText>
      </w:r>
      <w:r w:rsidRPr="00002A0F">
        <w:rPr>
          <w:noProof/>
        </w:rPr>
        <w:instrText>100.41‒101.46</w:instrText>
      </w:r>
      <w:r>
        <w:instrText xml:space="preserve">" </w:instrText>
      </w:r>
      <w:r>
        <w:rPr>
          <w:noProof/>
        </w:rPr>
        <w:fldChar w:fldCharType="end"/>
      </w:r>
      <w:r>
        <w:rPr>
          <w:noProof/>
        </w:rPr>
        <w:t>)</w:t>
      </w:r>
    </w:p>
  </w:footnote>
  <w:footnote w:id="293">
    <w:p w14:paraId="16C5CE73" w14:textId="77777777" w:rsidR="00CD2817" w:rsidRPr="00ED5E10" w:rsidRDefault="00CD2817" w:rsidP="00D46FBD">
      <w:pPr>
        <w:pStyle w:val="Textpoznpodarou"/>
        <w:rPr>
          <w:lang w:val="cs-CZ"/>
        </w:rPr>
      </w:pPr>
      <w:r>
        <w:rPr>
          <w:rStyle w:val="Znakapoznpodarou"/>
        </w:rPr>
        <w:footnoteRef/>
      </w:r>
      <w:r>
        <w:t xml:space="preserve"> </w:t>
      </w:r>
      <w:r w:rsidRPr="00273106">
        <w:rPr>
          <w:noProof/>
        </w:rPr>
        <w:t xml:space="preserve">„They are in fact four: whether the connexion of an attribute with a thing is a fact (τὸ ὅτι);  what is the reason of the connexion (τὸ διότι); whether a thing exists (εἰ ἔστι); what is the </w:t>
      </w:r>
      <w:r>
        <w:rPr>
          <w:noProof/>
        </w:rPr>
        <w:t>nature of the thing (τί ἐστιν).</w:t>
      </w:r>
      <w:r>
        <w:rPr>
          <w:noProof/>
          <w:lang w:val="cs-CZ"/>
        </w:rPr>
        <w:t>“</w:t>
      </w:r>
      <w:r w:rsidRPr="00273106">
        <w:rPr>
          <w:noProof/>
        </w:rPr>
        <w:t xml:space="preserve"> (</w:t>
      </w:r>
      <w:r>
        <w:t>ζητοῦμεν δὲ τέτταρα, τὸ ὅτι, τὸ διότι, εἰ ἔστι, τί ἐστιν</w:t>
      </w:r>
      <w:r>
        <w:rPr>
          <w:lang w:val="cs-CZ"/>
        </w:rPr>
        <w:t xml:space="preserve">; </w:t>
      </w:r>
      <w:r w:rsidRPr="00273106">
        <w:rPr>
          <w:i/>
          <w:noProof/>
        </w:rPr>
        <w:t>Anal. Post</w:t>
      </w:r>
      <w:r>
        <w:rPr>
          <w:noProof/>
        </w:rPr>
        <w:t>.</w:t>
      </w:r>
      <w:r>
        <w:rPr>
          <w:noProof/>
          <w:lang w:val="cs-CZ"/>
        </w:rPr>
        <w:t xml:space="preserve"> </w:t>
      </w:r>
      <w:r>
        <w:rPr>
          <w:noProof/>
        </w:rPr>
        <w:t>8</w:t>
      </w:r>
      <w:r>
        <w:rPr>
          <w:noProof/>
          <w:lang w:val="cs-CZ"/>
        </w:rPr>
        <w:t>9</w:t>
      </w:r>
      <w:r w:rsidRPr="00273106">
        <w:rPr>
          <w:noProof/>
        </w:rPr>
        <w:t>b24‒25</w:t>
      </w:r>
      <w:r>
        <w:fldChar w:fldCharType="begin"/>
      </w:r>
      <w:r>
        <w:instrText xml:space="preserve"> XE "Aristoteles:</w:instrText>
      </w:r>
      <w:r w:rsidRPr="00273106">
        <w:rPr>
          <w:i/>
          <w:noProof/>
        </w:rPr>
        <w:instrText>Anal. Post</w:instrText>
      </w:r>
      <w:r>
        <w:rPr>
          <w:noProof/>
        </w:rPr>
        <w:instrText>. 8</w:instrText>
      </w:r>
      <w:r>
        <w:rPr>
          <w:noProof/>
          <w:lang w:val="cs-CZ"/>
        </w:rPr>
        <w:instrText>9</w:instrText>
      </w:r>
      <w:r w:rsidRPr="00273106">
        <w:rPr>
          <w:noProof/>
        </w:rPr>
        <w:instrText>b24‒25</w:instrText>
      </w:r>
      <w:r>
        <w:instrText xml:space="preserve">" </w:instrText>
      </w:r>
      <w:r>
        <w:fldChar w:fldCharType="end"/>
      </w:r>
      <w:r w:rsidRPr="00273106">
        <w:rPr>
          <w:noProof/>
        </w:rPr>
        <w:t xml:space="preserve">; </w:t>
      </w:r>
      <w:r w:rsidRPr="00273106">
        <w:rPr>
          <w:noProof/>
          <w:szCs w:val="15"/>
        </w:rPr>
        <w:t>WA 1</w:t>
      </w:r>
      <w:r w:rsidRPr="00273106">
        <w:rPr>
          <w:noProof/>
        </w:rPr>
        <w:t>, trad. Mure)</w:t>
      </w:r>
    </w:p>
  </w:footnote>
  <w:footnote w:id="294">
    <w:p w14:paraId="4127612E" w14:textId="77777777" w:rsidR="00CD2817" w:rsidRDefault="00CD2817" w:rsidP="083F3906">
      <w:pPr>
        <w:pStyle w:val="Textpoznpodarou"/>
      </w:pPr>
      <w:r>
        <w:rPr>
          <w:rStyle w:val="Znakapoznpodarou"/>
        </w:rPr>
        <w:footnoteRef/>
      </w:r>
      <w:r>
        <w:t xml:space="preserve"> </w:t>
      </w:r>
      <w:r>
        <w:rPr>
          <w:color w:val="000000"/>
        </w:rPr>
        <w:t>„</w:t>
      </w:r>
      <w:r>
        <w:t>Eclipsis enim simpliciter semper est in rationibus suis causalibus, nulla tamen particularis eclipsis semper est in sua ratione causali. Aut enim sic dicendum est aut quod Aristoteles non intendebat dicere quod eclipsis semper est, sed intendebat dicere quod conclusio in qua demonstratur eclipsis est propositio habens veritatem in omni hora sive eclipsis sit sive non sit.</w:t>
      </w:r>
      <w:r>
        <w:rPr>
          <w:color w:val="000000"/>
        </w:rPr>
        <w:t>“ (</w:t>
      </w:r>
      <w:r w:rsidRPr="00EA08C7">
        <w:rPr>
          <w:i/>
          <w:noProof/>
        </w:rPr>
        <w:t>Commentarius in posteriorum analyticorum libros</w:t>
      </w:r>
      <w:r>
        <w:rPr>
          <w:i/>
          <w:noProof/>
        </w:rPr>
        <w:t xml:space="preserve"> </w:t>
      </w:r>
      <w:r>
        <w:rPr>
          <w:noProof/>
        </w:rPr>
        <w:t>I.7</w:t>
      </w:r>
      <w:r>
        <w:rPr>
          <w:noProof/>
          <w:lang w:val="cs-CZ"/>
        </w:rPr>
        <w:t>;</w:t>
      </w:r>
      <w:r w:rsidRPr="00197BC9">
        <w:rPr>
          <w:noProof/>
        </w:rPr>
        <w:t xml:space="preserve"> ed. Rossi</w:t>
      </w:r>
      <w:r>
        <w:rPr>
          <w:noProof/>
        </w:rPr>
        <w:t>, p. 144.200‒205</w:t>
      </w:r>
      <w:r>
        <w:rPr>
          <w:noProof/>
        </w:rPr>
        <w:fldChar w:fldCharType="begin"/>
      </w:r>
      <w:r>
        <w:instrText xml:space="preserve"> XE "</w:instrText>
      </w:r>
      <w:r>
        <w:rPr>
          <w:lang w:val="cs-CZ"/>
        </w:rPr>
        <w:instrText>Grosseteste:</w:instrText>
      </w:r>
      <w:r w:rsidRPr="006C6BAA">
        <w:rPr>
          <w:i/>
          <w:noProof/>
        </w:rPr>
        <w:instrText xml:space="preserve">Commentarius in posteriorum analyticorum libros </w:instrText>
      </w:r>
      <w:r w:rsidRPr="006C6BAA">
        <w:rPr>
          <w:noProof/>
        </w:rPr>
        <w:instrText>144.200‒205</w:instrText>
      </w:r>
      <w:r>
        <w:instrText xml:space="preserve">" </w:instrText>
      </w:r>
      <w:r>
        <w:rPr>
          <w:noProof/>
        </w:rPr>
        <w:fldChar w:fldCharType="end"/>
      </w:r>
      <w:r>
        <w:rPr>
          <w:color w:val="000000"/>
        </w:rPr>
        <w:t>)</w:t>
      </w:r>
    </w:p>
  </w:footnote>
  <w:footnote w:id="295">
    <w:p w14:paraId="1EC80BD0" w14:textId="77777777" w:rsidR="00CD2817" w:rsidRPr="00790D96" w:rsidRDefault="00CD2817" w:rsidP="084D0EB6">
      <w:pPr>
        <w:pStyle w:val="Textpoznpodarou"/>
      </w:pPr>
      <w:r>
        <w:rPr>
          <w:rStyle w:val="Znakapoznpodarou"/>
        </w:rPr>
        <w:footnoteRef/>
      </w:r>
      <w:r w:rsidRPr="00C32DD3">
        <w:rPr>
          <w:rStyle w:val="TextpoznpodarouChar"/>
        </w:rPr>
        <w:t xml:space="preserve"> „It follows that we cannot in demonstrating pass from one genus to another</w:t>
      </w:r>
      <w:r>
        <w:rPr>
          <w:rStyle w:val="TextpoznpodarouChar"/>
        </w:rPr>
        <w:t xml:space="preserve"> (</w:t>
      </w:r>
      <w:r>
        <w:t>oὐκ ἄρα ἔστιν ἐξ ἄλλου γένους μεταβάντα δεῖξαι</w:t>
      </w:r>
      <w:r>
        <w:rPr>
          <w:rStyle w:val="TextpoznpodarouChar"/>
        </w:rPr>
        <w:t>)</w:t>
      </w:r>
      <w:r w:rsidRPr="00C32DD3">
        <w:rPr>
          <w:rStyle w:val="TextpoznpodarouChar"/>
        </w:rPr>
        <w:t>.</w:t>
      </w:r>
      <w:r>
        <w:rPr>
          <w:rStyle w:val="TextpoznpodarouChar"/>
        </w:rPr>
        <w:t>“ (</w:t>
      </w:r>
      <w:r w:rsidRPr="008E4382">
        <w:rPr>
          <w:rStyle w:val="TextpoznpodarouChar"/>
          <w:i/>
        </w:rPr>
        <w:t>Anal. Post</w:t>
      </w:r>
      <w:r>
        <w:rPr>
          <w:rStyle w:val="TextpoznpodarouChar"/>
        </w:rPr>
        <w:t>. 75a38</w:t>
      </w:r>
      <w:r>
        <w:rPr>
          <w:rStyle w:val="TextpoznpodarouChar"/>
        </w:rPr>
        <w:fldChar w:fldCharType="begin"/>
      </w:r>
      <w:r>
        <w:instrText xml:space="preserve"> XE "</w:instrText>
      </w:r>
      <w:r>
        <w:rPr>
          <w:lang w:val="cs-CZ"/>
        </w:rPr>
        <w:instrText>Aristoteles:</w:instrText>
      </w:r>
      <w:r w:rsidRPr="00047B2A">
        <w:rPr>
          <w:rStyle w:val="TextpoznpodarouChar"/>
          <w:i/>
        </w:rPr>
        <w:instrText>Anal. Post</w:instrText>
      </w:r>
      <w:r w:rsidRPr="00047B2A">
        <w:rPr>
          <w:rStyle w:val="TextpoznpodarouChar"/>
        </w:rPr>
        <w:instrText>.</w:instrText>
      </w:r>
      <w:r>
        <w:rPr>
          <w:rStyle w:val="TextpoznpodarouChar"/>
          <w:lang w:val="cs-CZ"/>
        </w:rPr>
        <w:instrText xml:space="preserve"> </w:instrText>
      </w:r>
      <w:r w:rsidRPr="00047B2A">
        <w:rPr>
          <w:rStyle w:val="TextpoznpodarouChar"/>
        </w:rPr>
        <w:instrText>75a38</w:instrText>
      </w:r>
      <w:r>
        <w:instrText xml:space="preserve">" </w:instrText>
      </w:r>
      <w:r>
        <w:rPr>
          <w:rStyle w:val="TextpoznpodarouChar"/>
        </w:rPr>
        <w:fldChar w:fldCharType="end"/>
      </w:r>
      <w:r>
        <w:rPr>
          <w:rStyle w:val="TextpoznpodarouChar"/>
        </w:rPr>
        <w:t>; WA 1, trad. Mure)</w:t>
      </w:r>
    </w:p>
  </w:footnote>
  <w:footnote w:id="296">
    <w:p w14:paraId="7B79E5D4" w14:textId="77777777" w:rsidR="00CD2817" w:rsidRDefault="00CD2817" w:rsidP="08FD20E7">
      <w:pPr>
        <w:pStyle w:val="Textpoznpodarou"/>
      </w:pPr>
      <w:r>
        <w:rPr>
          <w:rStyle w:val="Znakapoznpodarou"/>
        </w:rPr>
        <w:footnoteRef/>
      </w:r>
      <w:r>
        <w:t xml:space="preserve"> „Hec sequitur inmediate ex proxima, quia si necesse est magis scire premissa inpossibile est magis scire conclusionem. Ad expositionem autem littere in hoc loco quia est aliquantulum obscura dico quod principia conclusionum quandoque sunt prima quandoque non prima, sed probata per prima; ea que prima sunt non contingunt, id est, non sequuntur ex alio.“ (</w:t>
      </w:r>
      <w:r w:rsidRPr="00EA08C7">
        <w:rPr>
          <w:i/>
          <w:noProof/>
        </w:rPr>
        <w:t>Commentarius in posteriorum analyticorum libros</w:t>
      </w:r>
      <w:r>
        <w:rPr>
          <w:i/>
          <w:noProof/>
        </w:rPr>
        <w:t xml:space="preserve"> </w:t>
      </w:r>
      <w:r w:rsidRPr="00197BC9">
        <w:rPr>
          <w:noProof/>
        </w:rPr>
        <w:t>I.2, ed. Rossi</w:t>
      </w:r>
      <w:r w:rsidRPr="004002E8">
        <w:rPr>
          <w:noProof/>
        </w:rPr>
        <w:t>,</w:t>
      </w:r>
      <w:r>
        <w:rPr>
          <w:i/>
          <w:noProof/>
        </w:rPr>
        <w:t xml:space="preserve"> </w:t>
      </w:r>
      <w:r>
        <w:rPr>
          <w:noProof/>
        </w:rPr>
        <w:t>p. 102.80‒83</w:t>
      </w:r>
      <w:r>
        <w:rPr>
          <w:noProof/>
        </w:rPr>
        <w:fldChar w:fldCharType="begin"/>
      </w:r>
      <w:r>
        <w:instrText xml:space="preserve"> XE "</w:instrText>
      </w:r>
      <w:r>
        <w:rPr>
          <w:lang w:val="cs-CZ"/>
        </w:rPr>
        <w:instrText>Grosseteste:</w:instrText>
      </w:r>
      <w:r w:rsidRPr="001A0D59">
        <w:rPr>
          <w:i/>
          <w:noProof/>
        </w:rPr>
        <w:instrText xml:space="preserve">Commentarius in posteriorum analyticorum libros </w:instrText>
      </w:r>
      <w:r w:rsidRPr="001A0D59">
        <w:rPr>
          <w:noProof/>
        </w:rPr>
        <w:instrText>102.80‒83</w:instrText>
      </w:r>
      <w:r>
        <w:instrText xml:space="preserve">" </w:instrText>
      </w:r>
      <w:r>
        <w:rPr>
          <w:noProof/>
        </w:rPr>
        <w:fldChar w:fldCharType="end"/>
      </w:r>
      <w:r>
        <w:rPr>
          <w:noProof/>
        </w:rPr>
        <w:t>)</w:t>
      </w:r>
    </w:p>
  </w:footnote>
  <w:footnote w:id="297">
    <w:p w14:paraId="0E72E9DC" w14:textId="77777777" w:rsidR="00CD2817" w:rsidRDefault="00CD2817" w:rsidP="082B7009">
      <w:pPr>
        <w:pStyle w:val="Textpoznpodarou"/>
      </w:pPr>
      <w:r>
        <w:rPr>
          <w:rStyle w:val="Znakapoznpodarou"/>
        </w:rPr>
        <w:footnoteRef/>
      </w:r>
      <w:r>
        <w:t xml:space="preserve"> „</w:t>
      </w:r>
      <w:r w:rsidRPr="00624D45">
        <w:t>Ad hoc dicendum quod universalia sunt principia cognoscendi et apud intellectum purum et separatum a phantasmatibus, possibilem contemplari lucem primam, que est causa prima, sunt principia cognoscendi rationes rerum increate ab eterno existentes in causa prima. Cognitiones enim rerum creandarum que fuerunt in causa prima eternaliter sunt rationes rerum creandarum et caus</w:t>
      </w:r>
      <w:r>
        <w:rPr>
          <w:lang w:val="cs-CZ"/>
        </w:rPr>
        <w:t>a</w:t>
      </w:r>
      <w:r w:rsidRPr="00624D45">
        <w:t>e formales exemplares, et ipse sunt etiam creatrices. Et he sunt quas vocavit Plato ydeas et mundum archetypum, et he sunt secundum ipsum genera et species et principia tam essendi quam cognoscendi, quia, cum intellectus purus potest in his defigere intuitum, in istis verissime et manifestissime cognoscit res creatas, et non solum res creatas, sed ipsam lucem primam in qua cognoscit cetera.</w:t>
      </w:r>
      <w:r>
        <w:t>“ (</w:t>
      </w:r>
      <w:r w:rsidRPr="00EA08C7">
        <w:rPr>
          <w:i/>
          <w:noProof/>
        </w:rPr>
        <w:t>Commentarius in posteriorum analyticorum libros</w:t>
      </w:r>
      <w:r>
        <w:rPr>
          <w:i/>
          <w:noProof/>
        </w:rPr>
        <w:t xml:space="preserve"> </w:t>
      </w:r>
      <w:r>
        <w:rPr>
          <w:noProof/>
        </w:rPr>
        <w:t>I.7</w:t>
      </w:r>
      <w:r>
        <w:rPr>
          <w:noProof/>
          <w:lang w:val="cs-CZ"/>
        </w:rPr>
        <w:t xml:space="preserve">; </w:t>
      </w:r>
      <w:r w:rsidRPr="00197BC9">
        <w:rPr>
          <w:noProof/>
        </w:rPr>
        <w:t>ed. Rossi</w:t>
      </w:r>
      <w:r>
        <w:rPr>
          <w:noProof/>
        </w:rPr>
        <w:t>, p</w:t>
      </w:r>
      <w:r>
        <w:rPr>
          <w:noProof/>
          <w:lang w:val="cs-CZ"/>
        </w:rPr>
        <w:t>p</w:t>
      </w:r>
      <w:r>
        <w:rPr>
          <w:noProof/>
        </w:rPr>
        <w:t>. 139.99‒140.111</w:t>
      </w:r>
      <w:r>
        <w:rPr>
          <w:noProof/>
        </w:rPr>
        <w:fldChar w:fldCharType="begin"/>
      </w:r>
      <w:r>
        <w:instrText xml:space="preserve"> XE "</w:instrText>
      </w:r>
      <w:r>
        <w:rPr>
          <w:lang w:val="cs-CZ"/>
        </w:rPr>
        <w:instrText>Grosseteste:</w:instrText>
      </w:r>
      <w:r w:rsidRPr="00DD429E">
        <w:rPr>
          <w:i/>
          <w:noProof/>
        </w:rPr>
        <w:instrText xml:space="preserve">Commentarius in posteriorum analyticorum libros </w:instrText>
      </w:r>
      <w:r>
        <w:rPr>
          <w:noProof/>
        </w:rPr>
        <w:instrText>139.99‒140.111</w:instrText>
      </w:r>
      <w:r>
        <w:instrText xml:space="preserve">" </w:instrText>
      </w:r>
      <w:r>
        <w:rPr>
          <w:noProof/>
        </w:rPr>
        <w:fldChar w:fldCharType="end"/>
      </w:r>
      <w:r>
        <w:t>)</w:t>
      </w:r>
    </w:p>
  </w:footnote>
  <w:footnote w:id="298">
    <w:p w14:paraId="69824981" w14:textId="77777777" w:rsidR="00CD2817" w:rsidRPr="083A4265" w:rsidRDefault="00CD2817" w:rsidP="082B7009">
      <w:pPr>
        <w:pStyle w:val="Textpoznpodarou"/>
      </w:pPr>
      <w:r>
        <w:rPr>
          <w:rStyle w:val="Znakapoznpodarou"/>
        </w:rPr>
        <w:footnoteRef/>
      </w:r>
      <w:r>
        <w:t xml:space="preserve"> „Forma vero substantialis absolute dicta adhuc dicitur multipliciter. Dicitur enim uno modo exemplar separatum a re et non quo res est; et alio modo quo res est, ita quod sit coniunctum rei et non exemplar; tertio modo dicitur simul exemplar et quo res est. Exemplar dicitur solum forma, quae est in mente artificis, non forma illa, quae est illud, quo res est et non exemplar.“ (</w:t>
      </w:r>
      <w:r w:rsidRPr="00973C76">
        <w:rPr>
          <w:i/>
        </w:rPr>
        <w:t>De statu causarum</w:t>
      </w:r>
      <w:r>
        <w:rPr>
          <w:lang w:val="cs-CZ"/>
        </w:rPr>
        <w:t>;</w:t>
      </w:r>
      <w:r w:rsidRPr="00973C76">
        <w:t xml:space="preserve"> ed. Bauer, </w:t>
      </w:r>
      <w:r>
        <w:rPr>
          <w:lang w:val="cs-CZ"/>
        </w:rPr>
        <w:t xml:space="preserve">p. </w:t>
      </w:r>
      <w:r w:rsidRPr="00973C76">
        <w:t>124.22‒28</w:t>
      </w:r>
      <w:r>
        <w:fldChar w:fldCharType="begin"/>
      </w:r>
      <w:r>
        <w:instrText xml:space="preserve"> XE "</w:instrText>
      </w:r>
      <w:r>
        <w:rPr>
          <w:lang w:val="cs-CZ"/>
        </w:rPr>
        <w:instrText>Grosseteste:</w:instrText>
      </w:r>
      <w:r w:rsidRPr="002F1C94">
        <w:rPr>
          <w:i/>
        </w:rPr>
        <w:instrText>De statu causarum</w:instrText>
      </w:r>
      <w:r w:rsidRPr="002F1C94">
        <w:rPr>
          <w:lang w:val="cs-CZ"/>
        </w:rPr>
        <w:instrText xml:space="preserve"> </w:instrText>
      </w:r>
      <w:r w:rsidRPr="002F1C94">
        <w:instrText>124.22‒28</w:instrText>
      </w:r>
      <w:r>
        <w:instrText xml:space="preserve">" </w:instrText>
      </w:r>
      <w:r>
        <w:fldChar w:fldCharType="end"/>
      </w:r>
      <w:r w:rsidRPr="00973C76">
        <w:t>)</w:t>
      </w:r>
    </w:p>
  </w:footnote>
  <w:footnote w:id="299">
    <w:p w14:paraId="464AB6A0" w14:textId="77777777" w:rsidR="00CD2817" w:rsidRDefault="00CD2817" w:rsidP="08E61428">
      <w:pPr>
        <w:pStyle w:val="Textpoznpodarou"/>
      </w:pPr>
      <w:r>
        <w:rPr>
          <w:rStyle w:val="Znakapoznpodarou"/>
        </w:rPr>
        <w:footnoteRef/>
      </w:r>
      <w:r>
        <w:t xml:space="preserve"> „Quapropter sequitur, cum necesse sit scire quia est ad hoc ut sciatur quid est, quod scire quia est prius est quam scire quid est. Sed contra hoc opponit Aristoteles hoc modo: de quolibet scimus quia ipsum est per demonstrationem nisi res de qua inquirimus esse sit substantia; sed si demonstratur quia est scitur per causam, ergo scitur per diffinitionem, quia idem est causa et diffinitio, ergo prius accepta est diffinitio que dicit quid est res quam sciatur quia est res, et ita habetur diffinitio et scitur quid est res et nondum scitur si est res, quod est inpossibile.“ (</w:t>
      </w:r>
      <w:r w:rsidRPr="00EA08C7">
        <w:rPr>
          <w:i/>
          <w:noProof/>
        </w:rPr>
        <w:t>Commentarius in posteriorum analyticorum libros</w:t>
      </w:r>
      <w:r>
        <w:rPr>
          <w:i/>
          <w:noProof/>
        </w:rPr>
        <w:t xml:space="preserve"> </w:t>
      </w:r>
      <w:r>
        <w:rPr>
          <w:noProof/>
        </w:rPr>
        <w:t>II.2</w:t>
      </w:r>
      <w:r>
        <w:rPr>
          <w:noProof/>
          <w:lang w:val="cs-CZ"/>
        </w:rPr>
        <w:t>;</w:t>
      </w:r>
      <w:r w:rsidRPr="00197BC9">
        <w:rPr>
          <w:noProof/>
        </w:rPr>
        <w:t xml:space="preserve"> ed. Rossi</w:t>
      </w:r>
      <w:r>
        <w:rPr>
          <w:noProof/>
        </w:rPr>
        <w:t>, p. 325.452‒60</w:t>
      </w:r>
      <w:r>
        <w:rPr>
          <w:noProof/>
        </w:rPr>
        <w:fldChar w:fldCharType="begin"/>
      </w:r>
      <w:r>
        <w:instrText xml:space="preserve"> XE "</w:instrText>
      </w:r>
      <w:r>
        <w:rPr>
          <w:lang w:val="cs-CZ"/>
        </w:rPr>
        <w:instrText>Grosseteste:</w:instrText>
      </w:r>
      <w:r w:rsidRPr="00EB1F89">
        <w:rPr>
          <w:i/>
          <w:noProof/>
        </w:rPr>
        <w:instrText xml:space="preserve">Commentarius in posteriorum analyticorum libros </w:instrText>
      </w:r>
      <w:r>
        <w:rPr>
          <w:noProof/>
        </w:rPr>
        <w:instrText>325.452‒</w:instrText>
      </w:r>
      <w:r w:rsidRPr="00EB1F89">
        <w:rPr>
          <w:noProof/>
        </w:rPr>
        <w:instrText>60</w:instrText>
      </w:r>
      <w:r>
        <w:instrText xml:space="preserve">" </w:instrText>
      </w:r>
      <w:r>
        <w:rPr>
          <w:noProof/>
        </w:rPr>
        <w:fldChar w:fldCharType="end"/>
      </w:r>
      <w:r>
        <w:t>)</w:t>
      </w:r>
    </w:p>
  </w:footnote>
  <w:footnote w:id="300">
    <w:p w14:paraId="3B4CED05" w14:textId="2D12DEF9" w:rsidR="00CD2817" w:rsidRPr="00760F93" w:rsidRDefault="00CD2817" w:rsidP="00E1679C">
      <w:pPr>
        <w:pStyle w:val="Textpoznpodarou"/>
      </w:pPr>
      <w:r>
        <w:rPr>
          <w:rStyle w:val="Znakapoznpodarou"/>
        </w:rPr>
        <w:footnoteRef/>
      </w:r>
      <w:r>
        <w:t xml:space="preserve"> Avicenn</w:t>
      </w:r>
      <w:r>
        <w:rPr>
          <w:lang w:val="cs-CZ"/>
        </w:rPr>
        <w:t>ův</w:t>
      </w:r>
      <w:r>
        <w:t xml:space="preserve"> komentář k </w:t>
      </w:r>
      <w:r>
        <w:rPr>
          <w:i/>
        </w:rPr>
        <w:t xml:space="preserve">Anal. </w:t>
      </w:r>
      <w:r>
        <w:rPr>
          <w:i/>
          <w:lang w:val="cs-CZ"/>
        </w:rPr>
        <w:t>P</w:t>
      </w:r>
      <w:r w:rsidRPr="00360D42">
        <w:rPr>
          <w:i/>
        </w:rPr>
        <w:t>ost</w:t>
      </w:r>
      <w:r>
        <w:t>. 76b11‒22</w:t>
      </w:r>
      <w:r>
        <w:fldChar w:fldCharType="begin"/>
      </w:r>
      <w:r>
        <w:instrText xml:space="preserve"> XE "</w:instrText>
      </w:r>
      <w:r>
        <w:rPr>
          <w:lang w:val="cs-CZ"/>
        </w:rPr>
        <w:instrText>Aristoteles:</w:instrText>
      </w:r>
      <w:r w:rsidRPr="008B170D">
        <w:rPr>
          <w:i/>
        </w:rPr>
        <w:instrText xml:space="preserve">Anal. </w:instrText>
      </w:r>
      <w:r w:rsidRPr="008B170D">
        <w:rPr>
          <w:i/>
          <w:lang w:val="cs-CZ"/>
        </w:rPr>
        <w:instrText>P</w:instrText>
      </w:r>
      <w:r w:rsidRPr="008B170D">
        <w:rPr>
          <w:i/>
        </w:rPr>
        <w:instrText>ost</w:instrText>
      </w:r>
      <w:r w:rsidRPr="008B170D">
        <w:instrText>. 76b11‒22</w:instrText>
      </w:r>
      <w:r>
        <w:instrText xml:space="preserve">" </w:instrText>
      </w:r>
      <w:r>
        <w:fldChar w:fldCharType="end"/>
      </w:r>
      <w:r>
        <w:t xml:space="preserve"> (</w:t>
      </w:r>
      <w:r>
        <w:rPr>
          <w:lang w:val="cs-CZ"/>
        </w:rPr>
        <w:t xml:space="preserve">viz </w:t>
      </w:r>
      <w:r>
        <w:t>Bertolacci 2002, pp. 46‒47, text 5.2)</w:t>
      </w:r>
      <w:r>
        <w:rPr>
          <w:lang w:val="cs-CZ"/>
        </w:rPr>
        <w:t xml:space="preserve"> vyjmovává tři </w:t>
      </w:r>
      <w:r>
        <w:t xml:space="preserve">principy </w:t>
      </w:r>
      <w:r>
        <w:rPr>
          <w:lang w:val="cs-CZ"/>
        </w:rPr>
        <w:t xml:space="preserve">vědeckého </w:t>
      </w:r>
      <w:r>
        <w:t xml:space="preserve">soudu: rod (γένος), první principy jako axiomy poznání (τὰ πρῶτα), určení rodu (τὰ πάθη). Avicenna </w:t>
      </w:r>
      <w:r>
        <w:rPr>
          <w:lang w:val="cs-CZ"/>
        </w:rPr>
        <w:t xml:space="preserve">odvozuje vědeckou dedukci od </w:t>
      </w:r>
      <w:r>
        <w:t>neo</w:t>
      </w:r>
      <w:r>
        <w:rPr>
          <w:lang w:val="cs-CZ"/>
        </w:rPr>
        <w:t>p</w:t>
      </w:r>
      <w:r>
        <w:t>latonsk</w:t>
      </w:r>
      <w:r>
        <w:rPr>
          <w:lang w:val="cs-CZ"/>
        </w:rPr>
        <w:t xml:space="preserve">ého pojetí rodu jako první substance působící směrem dolů skrze kauzální </w:t>
      </w:r>
      <w:r w:rsidRPr="004C1F9A">
        <w:rPr>
          <w:i/>
          <w:lang w:val="cs-CZ"/>
        </w:rPr>
        <w:t>passio</w:t>
      </w:r>
      <w:r>
        <w:rPr>
          <w:lang w:val="cs-CZ"/>
        </w:rPr>
        <w:t xml:space="preserve">. Výklad </w:t>
      </w:r>
      <w:r w:rsidRPr="0070695C">
        <w:rPr>
          <w:i/>
          <w:lang w:val="cs-CZ"/>
        </w:rPr>
        <w:t>Druhých analytik</w:t>
      </w:r>
      <w:r>
        <w:rPr>
          <w:lang w:val="cs-CZ"/>
        </w:rPr>
        <w:t xml:space="preserve"> se </w:t>
      </w:r>
      <w:r>
        <w:t>posunul mimo určení reálné substance</w:t>
      </w:r>
      <w:r>
        <w:rPr>
          <w:lang w:val="cs-CZ"/>
        </w:rPr>
        <w:t xml:space="preserve"> směrem k hypostázované esenci.</w:t>
      </w:r>
      <w:r>
        <w:t xml:space="preserve"> </w:t>
      </w:r>
    </w:p>
  </w:footnote>
  <w:footnote w:id="301">
    <w:p w14:paraId="2850F4C3" w14:textId="77777777" w:rsidR="00CD2817" w:rsidRPr="001B76E2" w:rsidRDefault="00CD2817" w:rsidP="004B4681">
      <w:pPr>
        <w:pStyle w:val="Textpoznpodarou"/>
        <w:rPr>
          <w:rStyle w:val="TextpoznpodarouChar"/>
        </w:rPr>
      </w:pPr>
      <w:r>
        <w:rPr>
          <w:rStyle w:val="Znakapoznpodarou"/>
        </w:rPr>
        <w:footnoteRef/>
      </w:r>
      <w:r>
        <w:t xml:space="preserve"> </w:t>
      </w:r>
      <w:r w:rsidRPr="001B76E2">
        <w:rPr>
          <w:rStyle w:val="TextpoznpodarouChar"/>
        </w:rPr>
        <w:t>„Manifestum est igitur quod neque actu habemus principia ab initio neque penitus ignoramus ea, sed sunt in nobis ab initio potentia et extrahuntur in nobis de potentia ad actum.</w:t>
      </w:r>
      <w:r>
        <w:rPr>
          <w:rStyle w:val="TextpoznpodarouChar"/>
        </w:rPr>
        <w:t xml:space="preserve"> </w:t>
      </w:r>
      <w:r>
        <w:t>Habitus itaque eorum in nobis primo est potentialis et materialis passivus et non activus, quia si esset activus, tunc esset honorabilior et melior et certior quam habitus actualis principiorum, eo quod activum est nobilius eo in quod agit et nobilius effectu.</w:t>
      </w:r>
      <w:r w:rsidRPr="001B76E2">
        <w:rPr>
          <w:rStyle w:val="TextpoznpodarouChar"/>
        </w:rPr>
        <w:t>“</w:t>
      </w:r>
      <w:r>
        <w:rPr>
          <w:rStyle w:val="TextpoznpodarouChar"/>
        </w:rPr>
        <w:t xml:space="preserve"> (</w:t>
      </w:r>
      <w:r w:rsidRPr="002713B7">
        <w:rPr>
          <w:i/>
        </w:rPr>
        <w:t xml:space="preserve">Commentarius in </w:t>
      </w:r>
      <w:r>
        <w:rPr>
          <w:i/>
        </w:rPr>
        <w:t>p</w:t>
      </w:r>
      <w:r w:rsidRPr="002713B7">
        <w:rPr>
          <w:i/>
        </w:rPr>
        <w:t xml:space="preserve">osteriorum </w:t>
      </w:r>
      <w:r>
        <w:rPr>
          <w:i/>
        </w:rPr>
        <w:t>a</w:t>
      </w:r>
      <w:r w:rsidRPr="002713B7">
        <w:rPr>
          <w:i/>
        </w:rPr>
        <w:t>nalyticorum</w:t>
      </w:r>
      <w:r>
        <w:rPr>
          <w:i/>
        </w:rPr>
        <w:t xml:space="preserve"> l</w:t>
      </w:r>
      <w:r w:rsidRPr="002713B7">
        <w:rPr>
          <w:i/>
        </w:rPr>
        <w:t>ibros</w:t>
      </w:r>
      <w:r w:rsidRPr="001B76E2">
        <w:rPr>
          <w:iCs/>
        </w:rPr>
        <w:t>, II.6</w:t>
      </w:r>
      <w:r>
        <w:rPr>
          <w:iCs/>
          <w:lang w:val="cs-CZ"/>
        </w:rPr>
        <w:t>;</w:t>
      </w:r>
      <w:r>
        <w:rPr>
          <w:iCs/>
        </w:rPr>
        <w:t xml:space="preserve"> ed. Rossi, p</w:t>
      </w:r>
      <w:r>
        <w:rPr>
          <w:iCs/>
          <w:lang w:val="cs-CZ"/>
        </w:rPr>
        <w:t>p</w:t>
      </w:r>
      <w:r>
        <w:rPr>
          <w:iCs/>
        </w:rPr>
        <w:t>. 406.17‒407.23</w:t>
      </w:r>
      <w:r>
        <w:rPr>
          <w:iCs/>
        </w:rPr>
        <w:fldChar w:fldCharType="begin"/>
      </w:r>
      <w:r>
        <w:instrText xml:space="preserve"> XE "</w:instrText>
      </w:r>
      <w:r>
        <w:rPr>
          <w:lang w:val="cs-CZ"/>
        </w:rPr>
        <w:instrText>Grosseteste:</w:instrText>
      </w:r>
      <w:r w:rsidRPr="00B45DB4">
        <w:rPr>
          <w:i/>
        </w:rPr>
        <w:instrText>Commentarius in posteriorum analyticorum libros</w:instrText>
      </w:r>
      <w:r>
        <w:rPr>
          <w:iCs/>
          <w:lang w:val="cs-CZ"/>
        </w:rPr>
        <w:instrText xml:space="preserve"> </w:instrText>
      </w:r>
      <w:r w:rsidRPr="00B45DB4">
        <w:rPr>
          <w:iCs/>
        </w:rPr>
        <w:instrText>406.17‒407.23</w:instrText>
      </w:r>
      <w:r>
        <w:instrText xml:space="preserve">" </w:instrText>
      </w:r>
      <w:r>
        <w:rPr>
          <w:iCs/>
        </w:rPr>
        <w:fldChar w:fldCharType="end"/>
      </w:r>
      <w:r w:rsidRPr="001B76E2">
        <w:rPr>
          <w:rStyle w:val="TextpoznpodarouChar"/>
        </w:rPr>
        <w:t>)</w:t>
      </w:r>
    </w:p>
  </w:footnote>
  <w:footnote w:id="302">
    <w:p w14:paraId="449F400B" w14:textId="77777777" w:rsidR="00CD2817" w:rsidRPr="086B283E" w:rsidRDefault="00CD2817" w:rsidP="00A05BAB">
      <w:pPr>
        <w:pStyle w:val="Textpoznpodarou"/>
      </w:pPr>
      <w:r>
        <w:rPr>
          <w:rStyle w:val="Znakapoznpodarou"/>
        </w:rPr>
        <w:footnoteRef/>
      </w:r>
      <w:r>
        <w:t xml:space="preserve"> „Demonstratur tamen in metaphysica per effectum de causa prima quia ipsa est, similiter forte de hoc genere substantia non scitur per causam quod sit, licet habeat causam efficientem causam primam, sed esse cuius</w:t>
      </w:r>
      <w:r>
        <w:softHyphen/>
        <w:t>libet substantie specialis et esse accidentis potest demonstrari per causam et diffinitionem.“</w:t>
      </w:r>
      <w:r w:rsidRPr="00E43B1D">
        <w:t xml:space="preserve"> </w:t>
      </w:r>
      <w:r>
        <w:t>(</w:t>
      </w:r>
      <w:r w:rsidRPr="00EA08C7">
        <w:rPr>
          <w:i/>
          <w:noProof/>
        </w:rPr>
        <w:t>Commentarius in posteriorum analyticorum libros</w:t>
      </w:r>
      <w:r>
        <w:rPr>
          <w:i/>
          <w:noProof/>
        </w:rPr>
        <w:t xml:space="preserve"> </w:t>
      </w:r>
      <w:r>
        <w:rPr>
          <w:noProof/>
        </w:rPr>
        <w:t>II.2</w:t>
      </w:r>
      <w:r>
        <w:rPr>
          <w:noProof/>
          <w:lang w:val="cs-CZ"/>
        </w:rPr>
        <w:t xml:space="preserve">; </w:t>
      </w:r>
      <w:r w:rsidRPr="00197BC9">
        <w:rPr>
          <w:noProof/>
        </w:rPr>
        <w:t>ed. Rossi</w:t>
      </w:r>
      <w:r>
        <w:rPr>
          <w:noProof/>
        </w:rPr>
        <w:t>, p. 325.464‒69</w:t>
      </w:r>
      <w:r>
        <w:rPr>
          <w:noProof/>
        </w:rPr>
        <w:fldChar w:fldCharType="begin"/>
      </w:r>
      <w:r>
        <w:instrText xml:space="preserve"> XE "</w:instrText>
      </w:r>
      <w:r>
        <w:rPr>
          <w:lang w:val="cs-CZ"/>
        </w:rPr>
        <w:instrText>Grosseteste:</w:instrText>
      </w:r>
      <w:r w:rsidRPr="000F4219">
        <w:rPr>
          <w:i/>
          <w:noProof/>
        </w:rPr>
        <w:instrText xml:space="preserve">Commentarius in posteriorum analyticorum libros </w:instrText>
      </w:r>
      <w:r>
        <w:rPr>
          <w:noProof/>
        </w:rPr>
        <w:instrText>325.464‒</w:instrText>
      </w:r>
      <w:r w:rsidRPr="000F4219">
        <w:rPr>
          <w:noProof/>
        </w:rPr>
        <w:instrText>69</w:instrText>
      </w:r>
      <w:r>
        <w:instrText xml:space="preserve">" </w:instrText>
      </w:r>
      <w:r>
        <w:rPr>
          <w:noProof/>
        </w:rPr>
        <w:fldChar w:fldCharType="end"/>
      </w:r>
      <w:r>
        <w:t>)</w:t>
      </w:r>
    </w:p>
  </w:footnote>
  <w:footnote w:id="303">
    <w:p w14:paraId="2C68B3FF" w14:textId="77777777" w:rsidR="00CD2817" w:rsidRPr="00AC75C3" w:rsidRDefault="00CD2817" w:rsidP="00EC722B">
      <w:pPr>
        <w:pStyle w:val="Textpoznpodarou"/>
        <w:rPr>
          <w:lang w:val="cs-CZ"/>
        </w:rPr>
      </w:pPr>
      <w:r>
        <w:rPr>
          <w:rStyle w:val="Znakapoznpodarou"/>
        </w:rPr>
        <w:footnoteRef/>
      </w:r>
      <w:r>
        <w:t xml:space="preserve"> </w:t>
      </w:r>
      <w:r>
        <w:rPr>
          <w:lang w:val="cs-CZ"/>
        </w:rPr>
        <w:t>„</w:t>
      </w:r>
      <w:r w:rsidRPr="00AC75C3">
        <w:rPr>
          <w:lang w:val="cs-CZ"/>
        </w:rPr>
        <w:t>Je mehr es in der Weltnacht bis zur Mitternacht geht, desto ausschließlicher herrscht das Dürftige dergestalt, daß es sein Wesen entzieht. Nicht nur das Heilige geht als die Spur zur Gottheit verloren, sondern sogar die Spuren z</w:t>
      </w:r>
      <w:r>
        <w:rPr>
          <w:lang w:val="cs-CZ"/>
        </w:rPr>
        <w:t>u dieser verlore</w:t>
      </w:r>
      <w:r w:rsidRPr="00AC75C3">
        <w:rPr>
          <w:lang w:val="cs-CZ"/>
        </w:rPr>
        <w:t>nen Spur sind beinahe ausg</w:t>
      </w:r>
      <w:r>
        <w:rPr>
          <w:lang w:val="cs-CZ"/>
        </w:rPr>
        <w:t>elöscht. Je mehr die Spuren ver</w:t>
      </w:r>
      <w:r w:rsidRPr="00AC75C3">
        <w:rPr>
          <w:lang w:val="cs-CZ"/>
        </w:rPr>
        <w:t>löschen, um so weniger vermag noch ein einzelner Sterblicher, der in den Abgrund reicht, dort auf Wink und Weisung zu langt, wenn er nur so weit geht, als er auf dem Weg, der ihm beschieden ist, kommen kann.</w:t>
      </w:r>
      <w:r>
        <w:rPr>
          <w:lang w:val="cs-CZ"/>
        </w:rPr>
        <w:t>“ (</w:t>
      </w:r>
      <w:r w:rsidRPr="00472D29">
        <w:rPr>
          <w:i/>
          <w:lang w:val="cs-CZ"/>
        </w:rPr>
        <w:t>Wozu Dichter?</w:t>
      </w:r>
      <w:r>
        <w:rPr>
          <w:lang w:val="cs-CZ"/>
        </w:rPr>
        <w:t>, GA 5, 272‒73</w:t>
      </w:r>
      <w:r>
        <w:rPr>
          <w:lang w:val="cs-CZ"/>
        </w:rPr>
        <w:fldChar w:fldCharType="begin"/>
      </w:r>
      <w:r>
        <w:instrText xml:space="preserve"> XE "</w:instrText>
      </w:r>
      <w:r>
        <w:rPr>
          <w:lang w:val="cs-CZ"/>
        </w:rPr>
        <w:instrText>Heidegger:</w:instrText>
      </w:r>
      <w:r w:rsidRPr="08E045FA">
        <w:rPr>
          <w:lang w:val="cs-CZ"/>
        </w:rPr>
        <w:instrText>GA 5, 272‒73</w:instrText>
      </w:r>
      <w:r>
        <w:instrText xml:space="preserve">" </w:instrText>
      </w:r>
      <w:r>
        <w:rPr>
          <w:lang w:val="cs-CZ"/>
        </w:rPr>
        <w:fldChar w:fldCharType="end"/>
      </w:r>
      <w:r>
        <w:rPr>
          <w:lang w:val="cs-CZ"/>
        </w:rPr>
        <w:t>)</w:t>
      </w:r>
    </w:p>
  </w:footnote>
  <w:footnote w:id="304">
    <w:p w14:paraId="47CE1AD9" w14:textId="77777777" w:rsidR="00CD2817" w:rsidRDefault="00CD2817" w:rsidP="00BF2FB3">
      <w:pPr>
        <w:pStyle w:val="Textpoznpodarou"/>
      </w:pPr>
      <w:r>
        <w:rPr>
          <w:rStyle w:val="Znakapoznpodarou"/>
        </w:rPr>
        <w:footnoteRef/>
      </w:r>
      <w:r>
        <w:t xml:space="preserve"> „Si autem intelligimus universalia per modum Aristotelis formas repertas in quidditate particularium, a quibus sunt res particulares id quod sunt, tunc universale esse ubique nichil aliud est quam universale esse in quolibet suorum singularium.“ </w:t>
      </w:r>
      <w:r>
        <w:rPr>
          <w:rStyle w:val="st"/>
        </w:rPr>
        <w:t>(</w:t>
      </w:r>
      <w:r w:rsidRPr="00EA08C7">
        <w:rPr>
          <w:i/>
          <w:noProof/>
        </w:rPr>
        <w:t>Commentarius in posteriorum analyticorum libros</w:t>
      </w:r>
      <w:r>
        <w:rPr>
          <w:i/>
          <w:noProof/>
        </w:rPr>
        <w:t xml:space="preserve"> </w:t>
      </w:r>
      <w:r>
        <w:rPr>
          <w:noProof/>
        </w:rPr>
        <w:t>I.18</w:t>
      </w:r>
      <w:r>
        <w:rPr>
          <w:noProof/>
          <w:lang w:val="cs-CZ"/>
        </w:rPr>
        <w:t>;</w:t>
      </w:r>
      <w:r w:rsidRPr="00197BC9">
        <w:rPr>
          <w:noProof/>
        </w:rPr>
        <w:t xml:space="preserve"> ed. Rossi</w:t>
      </w:r>
      <w:r>
        <w:rPr>
          <w:noProof/>
        </w:rPr>
        <w:t>, p. 266.143‒45</w:t>
      </w:r>
      <w:r>
        <w:rPr>
          <w:noProof/>
        </w:rPr>
        <w:fldChar w:fldCharType="begin"/>
      </w:r>
      <w:r>
        <w:instrText xml:space="preserve"> XE "</w:instrText>
      </w:r>
      <w:r>
        <w:rPr>
          <w:lang w:val="cs-CZ"/>
        </w:rPr>
        <w:instrText>Grosseteste:</w:instrText>
      </w:r>
      <w:r w:rsidRPr="00936200">
        <w:rPr>
          <w:i/>
          <w:noProof/>
        </w:rPr>
        <w:instrText>Commentarius in posteriorum analyticorum libros</w:instrText>
      </w:r>
      <w:r>
        <w:rPr>
          <w:noProof/>
        </w:rPr>
        <w:instrText xml:space="preserve"> 266.143‒</w:instrText>
      </w:r>
      <w:r w:rsidRPr="00936200">
        <w:rPr>
          <w:noProof/>
        </w:rPr>
        <w:instrText>45</w:instrText>
      </w:r>
      <w:r>
        <w:instrText xml:space="preserve">" </w:instrText>
      </w:r>
      <w:r>
        <w:rPr>
          <w:noProof/>
        </w:rPr>
        <w:fldChar w:fldCharType="end"/>
      </w:r>
      <w:r>
        <w:rPr>
          <w:rStyle w:val="st"/>
        </w:rPr>
        <w:t>)</w:t>
      </w:r>
    </w:p>
  </w:footnote>
  <w:footnote w:id="305">
    <w:p w14:paraId="48E8CF2C" w14:textId="77777777" w:rsidR="00CD2817" w:rsidRPr="08DC05A9" w:rsidRDefault="00CD2817" w:rsidP="082730D4">
      <w:pPr>
        <w:pStyle w:val="Textpoznpodarou"/>
      </w:pPr>
      <w:r>
        <w:rPr>
          <w:rStyle w:val="Znakapoznpodarou"/>
        </w:rPr>
        <w:footnoteRef/>
      </w:r>
      <w:r>
        <w:t xml:space="preserve"> „</w:t>
      </w:r>
      <w:r w:rsidRPr="083C5F7D">
        <w:t xml:space="preserve">Item, Philosophus I Posteriorum: </w:t>
      </w:r>
      <w:r>
        <w:t>'</w:t>
      </w:r>
      <w:r w:rsidRPr="083C5F7D">
        <w:t>Demonstrationes sunt de perpetuis et incorruptibilibus</w:t>
      </w:r>
      <w:r>
        <w:t>'</w:t>
      </w:r>
      <w:r w:rsidRPr="083C5F7D">
        <w:t>. Et Lincolniensis dicit ibidem quod manifestu</w:t>
      </w:r>
      <w:r>
        <w:t xml:space="preserve">m est quod demonstratio fit de </w:t>
      </w:r>
      <w:r w:rsidRPr="083C5F7D">
        <w:t xml:space="preserve">universalibus repertis in singularibus; igitur universalia sunt vere extra animam. Item, Philosophus, cap. 18: </w:t>
      </w:r>
      <w:r>
        <w:t>'</w:t>
      </w:r>
      <w:r w:rsidRPr="083C5F7D">
        <w:t>Universale semper et ubique est</w:t>
      </w:r>
      <w:r>
        <w:t>'</w:t>
      </w:r>
      <w:r w:rsidRPr="083C5F7D">
        <w:t>. Et Lincolniensis dicit ibidem...</w:t>
      </w:r>
      <w:r>
        <w:t>“ (</w:t>
      </w:r>
      <w:r w:rsidRPr="08DC05A9">
        <w:rPr>
          <w:i/>
        </w:rPr>
        <w:t>Ordinatio</w:t>
      </w:r>
      <w:r>
        <w:t xml:space="preserve"> I, dist. 2, q. 7</w:t>
      </w:r>
      <w:r>
        <w:rPr>
          <w:lang w:val="cs-CZ"/>
        </w:rPr>
        <w:t>;</w:t>
      </w:r>
      <w:r>
        <w:t xml:space="preserve"> OTh 2, 232.8‒14</w:t>
      </w:r>
      <w:r>
        <w:fldChar w:fldCharType="begin"/>
      </w:r>
      <w:r>
        <w:instrText xml:space="preserve"> XE "</w:instrText>
      </w:r>
      <w:r>
        <w:rPr>
          <w:lang w:val="cs-CZ"/>
        </w:rPr>
        <w:instrText>Ockham:</w:instrText>
      </w:r>
      <w:r w:rsidRPr="002064AE">
        <w:rPr>
          <w:i/>
        </w:rPr>
        <w:instrText xml:space="preserve"> </w:instrText>
      </w:r>
      <w:r w:rsidRPr="08DC05A9">
        <w:rPr>
          <w:i/>
        </w:rPr>
        <w:instrText>Ordinatio</w:instrText>
      </w:r>
      <w:r>
        <w:instrText xml:space="preserve"> </w:instrText>
      </w:r>
      <w:r>
        <w:rPr>
          <w:lang w:val="cs-CZ"/>
        </w:rPr>
        <w:instrText>1.</w:instrText>
      </w:r>
      <w:r w:rsidRPr="00010CE0">
        <w:instrText>232.8‒14</w:instrText>
      </w:r>
      <w:r>
        <w:instrText xml:space="preserve">" </w:instrText>
      </w:r>
      <w:r>
        <w:fldChar w:fldCharType="end"/>
      </w:r>
      <w:r>
        <w:t xml:space="preserve">) </w:t>
      </w:r>
    </w:p>
  </w:footnote>
  <w:footnote w:id="306">
    <w:p w14:paraId="24F9BB34" w14:textId="77777777" w:rsidR="00CD2817" w:rsidRPr="00B02B4E" w:rsidRDefault="00CD2817" w:rsidP="00472A9F">
      <w:pPr>
        <w:pStyle w:val="Textpoznpodarou"/>
      </w:pPr>
      <w:r w:rsidRPr="003B0E19">
        <w:rPr>
          <w:rStyle w:val="Znakapoznpodarou"/>
        </w:rPr>
        <w:footnoteRef/>
      </w:r>
      <w:r w:rsidRPr="00D03B93">
        <w:t xml:space="preserve"> „</w:t>
      </w:r>
      <w:r w:rsidRPr="00D03B93">
        <w:rPr>
          <w:rStyle w:val="TextpoznpodarouChar"/>
        </w:rPr>
        <w:t>Aut sit quidem, resume: accipere a superiori extra singulare quam singularia, sed illud superius sit indenominatum in rebus differentibus specie</w:t>
      </w:r>
      <w:r>
        <w:rPr>
          <w:rStyle w:val="TextpoznpodarouChar"/>
        </w:rPr>
        <w:t>, utpote intentio una am</w:t>
      </w:r>
      <w:r w:rsidRPr="00D03B93">
        <w:rPr>
          <w:rStyle w:val="TextpoznpodarouChar"/>
        </w:rPr>
        <w:t>bigua in rebus differentibus specie est a</w:t>
      </w:r>
      <w:r>
        <w:rPr>
          <w:rStyle w:val="TextpoznpodarouChar"/>
        </w:rPr>
        <w:t xml:space="preserve">liquo modo diversificata et </w:t>
      </w:r>
      <w:r w:rsidRPr="00D03B93">
        <w:rPr>
          <w:rStyle w:val="TextpoznpodarouChar"/>
        </w:rPr>
        <w:t>non potest habere nomen unius intention</w:t>
      </w:r>
      <w:r>
        <w:rPr>
          <w:rStyle w:val="TextpoznpodarouChar"/>
        </w:rPr>
        <w:t>is penitus de differentibus spe</w:t>
      </w:r>
      <w:r w:rsidRPr="00D03B93">
        <w:rPr>
          <w:rStyle w:val="TextpoznpodarouChar"/>
        </w:rPr>
        <w:t>cie dictum, aut contingat esse illud in quo monstratur, id est illud de quo proprie debet fieri demonstratio, sicut totum in parte, id est sicut genus indistinctum et non diversificatum ap</w:t>
      </w:r>
      <w:r>
        <w:rPr>
          <w:rStyle w:val="TextpoznpodarouChar"/>
        </w:rPr>
        <w:t>ud intellectum a sua specie pro</w:t>
      </w:r>
      <w:r w:rsidRPr="00D03B93">
        <w:rPr>
          <w:rStyle w:val="TextpoznpodarouChar"/>
        </w:rPr>
        <w:t>pter occultationem differende qua habundat species a genere.“ (</w:t>
      </w:r>
      <w:r w:rsidRPr="00D03B93">
        <w:rPr>
          <w:rStyle w:val="TextpoznpodarouChar"/>
          <w:i/>
        </w:rPr>
        <w:t>Commentarius in posteriorum analyticorum libros</w:t>
      </w:r>
      <w:r>
        <w:rPr>
          <w:rStyle w:val="TextpoznpodarouChar"/>
        </w:rPr>
        <w:t xml:space="preserve"> I.5, ed. Rossi, p. 124.161‒</w:t>
      </w:r>
      <w:r w:rsidRPr="00D03B93">
        <w:rPr>
          <w:rStyle w:val="TextpoznpodarouChar"/>
        </w:rPr>
        <w:t>69</w:t>
      </w:r>
      <w:r>
        <w:rPr>
          <w:rStyle w:val="TextpoznpodarouChar"/>
        </w:rPr>
        <w:fldChar w:fldCharType="begin"/>
      </w:r>
      <w:r>
        <w:instrText xml:space="preserve"> XE "</w:instrText>
      </w:r>
      <w:r>
        <w:rPr>
          <w:lang w:val="cs-CZ"/>
        </w:rPr>
        <w:instrText>Grosseteste:</w:instrText>
      </w:r>
      <w:r w:rsidRPr="00692565">
        <w:rPr>
          <w:rStyle w:val="TextpoznpodarouChar"/>
          <w:i/>
        </w:rPr>
        <w:instrText>Commentarius in posteriorum analyticorum libros</w:instrText>
      </w:r>
      <w:r>
        <w:rPr>
          <w:rStyle w:val="TextpoznpodarouChar"/>
        </w:rPr>
        <w:instrText xml:space="preserve"> 124.161‒</w:instrText>
      </w:r>
      <w:r w:rsidRPr="00692565">
        <w:rPr>
          <w:rStyle w:val="TextpoznpodarouChar"/>
        </w:rPr>
        <w:instrText>69</w:instrText>
      </w:r>
      <w:r>
        <w:instrText xml:space="preserve">" </w:instrText>
      </w:r>
      <w:r>
        <w:rPr>
          <w:rStyle w:val="TextpoznpodarouChar"/>
        </w:rPr>
        <w:fldChar w:fldCharType="end"/>
      </w:r>
      <w:r w:rsidRPr="00D03B93">
        <w:rPr>
          <w:rStyle w:val="TextpoznpodarouChar"/>
        </w:rPr>
        <w:t>)</w:t>
      </w:r>
    </w:p>
  </w:footnote>
  <w:footnote w:id="307">
    <w:p w14:paraId="1B8F838C" w14:textId="77777777" w:rsidR="00CD2817" w:rsidRPr="001F1A3C" w:rsidRDefault="00CD2817" w:rsidP="00472A9F">
      <w:pPr>
        <w:pStyle w:val="Textpoznpodarou"/>
        <w:rPr>
          <w:rStyle w:val="TextpoznpodarouChar"/>
        </w:rPr>
      </w:pPr>
      <w:r>
        <w:rPr>
          <w:rStyle w:val="Znakapoznpodarou"/>
        </w:rPr>
        <w:footnoteRef/>
      </w:r>
      <w:r>
        <w:t xml:space="preserve"> </w:t>
      </w:r>
      <w:r w:rsidRPr="00DA4A91">
        <w:rPr>
          <w:rStyle w:val="TextpoznpodarouChar"/>
        </w:rPr>
        <w:t>„Praeterea, dicit Philosophus quod ens est prima impressio intelligentiae; sed quo ordine se habet ens in communitate, eo ordine se habet primum ens in causalitate; ergo et primum ens in ordine causalitatis est prima impressio; se ipso ergo cognoscitur secundum substantiam a</w:t>
      </w:r>
      <w:r>
        <w:rPr>
          <w:rStyle w:val="TextpoznpodarouChar"/>
        </w:rPr>
        <w:t>b intelligentia.“ (</w:t>
      </w:r>
      <w:r w:rsidRPr="00DA4A91">
        <w:rPr>
          <w:rStyle w:val="TextpoznpodarouChar"/>
          <w:i/>
        </w:rPr>
        <w:t>Summa theologica</w:t>
      </w:r>
      <w:r w:rsidRPr="00DA4A91">
        <w:rPr>
          <w:rStyle w:val="TextpoznpodarouChar"/>
        </w:rPr>
        <w:t xml:space="preserve"> II, n. 2, in</w:t>
      </w:r>
      <w:r>
        <w:rPr>
          <w:rStyle w:val="TextpoznpodarouChar"/>
        </w:rPr>
        <w:t xml:space="preserve"> contrarium, 3; ed. Quaracchi</w:t>
      </w:r>
      <w:r>
        <w:rPr>
          <w:rStyle w:val="TextpoznpodarouChar"/>
          <w:lang w:val="cs-CZ"/>
        </w:rPr>
        <w:t xml:space="preserve">, t. </w:t>
      </w:r>
      <w:r w:rsidRPr="00DA4A91">
        <w:rPr>
          <w:rStyle w:val="TextpoznpodarouChar"/>
        </w:rPr>
        <w:t>II, p. 3</w:t>
      </w:r>
      <w:r>
        <w:rPr>
          <w:rStyle w:val="TextpoznpodarouChar"/>
        </w:rPr>
        <w:fldChar w:fldCharType="begin"/>
      </w:r>
      <w:r>
        <w:instrText xml:space="preserve"> XE "</w:instrText>
      </w:r>
      <w:r>
        <w:rPr>
          <w:lang w:val="cs-CZ"/>
        </w:rPr>
        <w:instrText>Alexander Halský:</w:instrText>
      </w:r>
      <w:r w:rsidRPr="00B12F1D">
        <w:rPr>
          <w:rStyle w:val="TextpoznpodarouChar"/>
          <w:i/>
        </w:rPr>
        <w:instrText>Summa theologica</w:instrText>
      </w:r>
      <w:r>
        <w:rPr>
          <w:rStyle w:val="TextpoznpodarouChar"/>
          <w:lang w:val="cs-CZ"/>
        </w:rPr>
        <w:instrText xml:space="preserve"> 2.</w:instrText>
      </w:r>
      <w:r w:rsidRPr="00B12F1D">
        <w:rPr>
          <w:rStyle w:val="TextpoznpodarouChar"/>
        </w:rPr>
        <w:instrText>3</w:instrText>
      </w:r>
      <w:r>
        <w:instrText xml:space="preserve">" </w:instrText>
      </w:r>
      <w:r>
        <w:rPr>
          <w:rStyle w:val="TextpoznpodarouChar"/>
        </w:rPr>
        <w:fldChar w:fldCharType="end"/>
      </w:r>
      <w:r w:rsidRPr="00DA4A91">
        <w:rPr>
          <w:rStyle w:val="TextpoznpodarouChar"/>
        </w:rPr>
        <w:t>).</w:t>
      </w:r>
    </w:p>
  </w:footnote>
  <w:footnote w:id="308">
    <w:p w14:paraId="6BB65A8A" w14:textId="77777777" w:rsidR="00CD2817" w:rsidRDefault="00CD2817" w:rsidP="00472A9F">
      <w:pPr>
        <w:pStyle w:val="Textpoznpodarou"/>
      </w:pPr>
      <w:r>
        <w:rPr>
          <w:rStyle w:val="Znakapoznpodarou"/>
        </w:rPr>
        <w:footnoteRef/>
      </w:r>
      <w:r>
        <w:t>„I</w:t>
      </w:r>
      <w:r w:rsidRPr="007B2326">
        <w:t>ntellectus autem debilis, qui non potest ascendere ad cognitionem horum verorum generum et specierum, cognoscit res in accidentibus solum consequentibus essentias veras rerum, et apud illum sunt accidentia consequentia genera et species, et sunt principia solum cognoscendi et non essendi. Quomodo secundum hos duos modos ultimos sunt genera et species rerum corruptibilium incorruptibilia dubitabile est.</w:t>
      </w:r>
      <w:r>
        <w:t>“ (</w:t>
      </w:r>
      <w:r w:rsidRPr="00EA08C7">
        <w:rPr>
          <w:i/>
          <w:noProof/>
        </w:rPr>
        <w:t>Commentarius in posteriorum analyticorum libros</w:t>
      </w:r>
      <w:r>
        <w:rPr>
          <w:i/>
          <w:noProof/>
        </w:rPr>
        <w:t xml:space="preserve"> </w:t>
      </w:r>
      <w:r>
        <w:rPr>
          <w:noProof/>
        </w:rPr>
        <w:t>I.7</w:t>
      </w:r>
      <w:r w:rsidRPr="00197BC9">
        <w:rPr>
          <w:noProof/>
        </w:rPr>
        <w:t>, ed. Rossi</w:t>
      </w:r>
      <w:r>
        <w:rPr>
          <w:noProof/>
        </w:rPr>
        <w:t>, p. 141.141‒47</w:t>
      </w:r>
      <w:r>
        <w:rPr>
          <w:rStyle w:val="TextpoznpodarouChar"/>
        </w:rPr>
        <w:fldChar w:fldCharType="begin"/>
      </w:r>
      <w:r>
        <w:instrText xml:space="preserve"> XE "</w:instrText>
      </w:r>
      <w:r>
        <w:rPr>
          <w:lang w:val="cs-CZ"/>
        </w:rPr>
        <w:instrText>Grosseteste:</w:instrText>
      </w:r>
      <w:r w:rsidRPr="00692565">
        <w:rPr>
          <w:rStyle w:val="TextpoznpodarouChar"/>
          <w:i/>
        </w:rPr>
        <w:instrText>Commentarius in posteriorum analyticorum libros</w:instrText>
      </w:r>
      <w:r>
        <w:rPr>
          <w:rStyle w:val="TextpoznpodarouChar"/>
        </w:rPr>
        <w:instrText xml:space="preserve"> </w:instrText>
      </w:r>
      <w:r>
        <w:rPr>
          <w:noProof/>
        </w:rPr>
        <w:instrText>141.141‒47</w:instrText>
      </w:r>
      <w:r>
        <w:instrText xml:space="preserve">" </w:instrText>
      </w:r>
      <w:r>
        <w:rPr>
          <w:rStyle w:val="TextpoznpodarouChar"/>
        </w:rPr>
        <w:fldChar w:fldCharType="end"/>
      </w:r>
      <w:r>
        <w:rPr>
          <w:noProof/>
        </w:rPr>
        <w:t>)</w:t>
      </w:r>
      <w:r>
        <w:t xml:space="preserve"> </w:t>
      </w:r>
    </w:p>
  </w:footnote>
  <w:footnote w:id="309">
    <w:p w14:paraId="7660B46D" w14:textId="77777777" w:rsidR="00CD2817" w:rsidRPr="004D4974" w:rsidRDefault="00CD2817" w:rsidP="005D2F7C">
      <w:pPr>
        <w:pStyle w:val="Textpoznpodarou"/>
        <w:rPr>
          <w:lang w:val="cs-CZ"/>
        </w:rPr>
      </w:pPr>
      <w:r>
        <w:rPr>
          <w:rStyle w:val="Znakapoznpodarou"/>
        </w:rPr>
        <w:footnoteRef/>
      </w:r>
      <w:r>
        <w:t xml:space="preserve"> </w:t>
      </w:r>
      <w:r>
        <w:rPr>
          <w:lang w:val="cs-CZ"/>
        </w:rPr>
        <w:t>„</w:t>
      </w:r>
      <w:r w:rsidRPr="00B55276">
        <w:rPr>
          <w:i/>
          <w:lang w:val="cs-CZ"/>
        </w:rPr>
        <w:t>T</w:t>
      </w:r>
      <w:r w:rsidRPr="00B55276">
        <w:rPr>
          <w:i/>
        </w:rPr>
        <w:t>heologia</w:t>
      </w:r>
      <w:r w:rsidRPr="008D21D6">
        <w:rPr>
          <w:i/>
        </w:rPr>
        <w:t xml:space="preserve"> sive scientia divina est duplex... metaphysica dicitur</w:t>
      </w:r>
      <w:r w:rsidRPr="00857E1E">
        <w:t xml:space="preserve">... </w:t>
      </w:r>
      <w:r w:rsidRPr="008D21D6">
        <w:rPr>
          <w:i/>
        </w:rPr>
        <w:t>in sacra Scriptura traditur</w:t>
      </w:r>
      <w:r>
        <w:rPr>
          <w:i/>
          <w:lang w:val="cs-CZ"/>
        </w:rPr>
        <w:t>.“</w:t>
      </w:r>
      <w:r>
        <w:t xml:space="preserve"> </w:t>
      </w:r>
      <w:r>
        <w:rPr>
          <w:lang w:val="cs-CZ"/>
        </w:rPr>
        <w:t>(</w:t>
      </w:r>
      <w:r w:rsidRPr="00857E1E">
        <w:rPr>
          <w:rStyle w:val="ref"/>
          <w:i/>
        </w:rPr>
        <w:t>Super De Trinitate</w:t>
      </w:r>
      <w:r>
        <w:rPr>
          <w:rStyle w:val="ref"/>
        </w:rPr>
        <w:t>, q. 5, a. 4, co. 4</w:t>
      </w:r>
      <w:r>
        <w:rPr>
          <w:rStyle w:val="ref"/>
          <w:lang w:val="cs-CZ"/>
        </w:rPr>
        <w:t>; ed. Leonina 50, 154</w:t>
      </w:r>
      <w:r>
        <w:rPr>
          <w:rStyle w:val="ref"/>
          <w:lang w:val="cs-CZ"/>
        </w:rPr>
        <w:fldChar w:fldCharType="begin"/>
      </w:r>
      <w:r>
        <w:instrText xml:space="preserve"> XE "</w:instrText>
      </w:r>
      <w:r>
        <w:rPr>
          <w:lang w:val="cs-CZ"/>
        </w:rPr>
        <w:instrText>Akvinský:</w:instrText>
      </w:r>
      <w:r w:rsidRPr="00017963">
        <w:rPr>
          <w:rStyle w:val="ref"/>
          <w:i/>
        </w:rPr>
        <w:instrText>Super De Trinitate</w:instrText>
      </w:r>
      <w:r>
        <w:rPr>
          <w:rStyle w:val="ref"/>
          <w:i/>
          <w:lang w:val="cs-CZ"/>
        </w:rPr>
        <w:instrText xml:space="preserve"> </w:instrText>
      </w:r>
      <w:r w:rsidRPr="080D754A">
        <w:rPr>
          <w:rStyle w:val="ref"/>
          <w:lang w:val="cs-CZ"/>
        </w:rPr>
        <w:instrText>154</w:instrText>
      </w:r>
      <w:r>
        <w:instrText xml:space="preserve">" </w:instrText>
      </w:r>
      <w:r>
        <w:rPr>
          <w:rStyle w:val="ref"/>
          <w:lang w:val="cs-CZ"/>
        </w:rPr>
        <w:fldChar w:fldCharType="end"/>
      </w:r>
      <w:r>
        <w:t>).</w:t>
      </w:r>
    </w:p>
  </w:footnote>
  <w:footnote w:id="310">
    <w:p w14:paraId="207B46F2" w14:textId="77777777" w:rsidR="00CD2817" w:rsidRPr="0048038F" w:rsidRDefault="00CD2817" w:rsidP="083E75E0">
      <w:pPr>
        <w:pStyle w:val="Textpoznpodarou"/>
      </w:pPr>
      <w:r>
        <w:rPr>
          <w:rStyle w:val="Znakapoznpodarou"/>
        </w:rPr>
        <w:footnoteRef/>
      </w:r>
      <w:r>
        <w:t xml:space="preserve"> „T</w:t>
      </w:r>
      <w:r w:rsidRPr="006F05FB">
        <w:t xml:space="preserve">he </w:t>
      </w:r>
      <w:r w:rsidRPr="006F05FB">
        <w:rPr>
          <w:i/>
        </w:rPr>
        <w:t>Categories</w:t>
      </w:r>
      <w:r w:rsidRPr="006F05FB">
        <w:t xml:space="preserve"> deals with what, from the point of view of the logician, are the minimal units of discourse, namely, simple expressions such as "man" and "wh</w:t>
      </w:r>
      <w:r>
        <w:t>iteness," which, ultimately, are</w:t>
      </w:r>
      <w:r w:rsidRPr="006F05FB">
        <w:t xml:space="preserve"> studied as possible constituents (integral parts) of syllogisms.</w:t>
      </w:r>
      <w:r>
        <w:t>“ (</w:t>
      </w:r>
      <w:r>
        <w:rPr>
          <w:rStyle w:val="addmd"/>
        </w:rPr>
        <w:t>Hansen 2012, 63*</w:t>
      </w:r>
      <w:r>
        <w:t xml:space="preserve">). K celkovému přehledu komentářů ke spisu </w:t>
      </w:r>
      <w:r w:rsidRPr="00052C2A">
        <w:rPr>
          <w:i/>
        </w:rPr>
        <w:t>Kategorie</w:t>
      </w:r>
      <w:r>
        <w:t xml:space="preserve"> kolem 1250 viz Newton 2008.</w:t>
      </w:r>
    </w:p>
  </w:footnote>
  <w:footnote w:id="311">
    <w:p w14:paraId="345D7CD8" w14:textId="77777777" w:rsidR="00CD2817" w:rsidRPr="08004D06" w:rsidRDefault="00CD2817" w:rsidP="00486354">
      <w:pPr>
        <w:pStyle w:val="Textpoznpodarou"/>
      </w:pPr>
      <w:r>
        <w:rPr>
          <w:rStyle w:val="Znakapoznpodarou"/>
        </w:rPr>
        <w:footnoteRef/>
      </w:r>
      <w:r>
        <w:rPr>
          <w:lang w:val="cs-CZ"/>
        </w:rPr>
        <w:t xml:space="preserve"> „</w:t>
      </w:r>
      <w:r>
        <w:t xml:space="preserve">Et propter hoc dico quod dicibile incomplexum ordinabile est commune analogum ad omnia decem quod est per prius dicitur de substantia, per posterius autem de omnibus aliiis praedicamentis eo quod induunt modum substantiae.“ </w:t>
      </w:r>
      <w:r>
        <w:rPr>
          <w:rStyle w:val="addmd"/>
        </w:rPr>
        <w:t>(</w:t>
      </w:r>
      <w:r w:rsidRPr="08E176E7">
        <w:rPr>
          <w:rStyle w:val="addmd"/>
          <w:i/>
        </w:rPr>
        <w:t xml:space="preserve">Rationes super </w:t>
      </w:r>
      <w:r>
        <w:rPr>
          <w:rStyle w:val="addmd"/>
          <w:i/>
        </w:rPr>
        <w:t>Pr</w:t>
      </w:r>
      <w:r w:rsidRPr="08E176E7">
        <w:rPr>
          <w:rStyle w:val="addmd"/>
          <w:i/>
        </w:rPr>
        <w:t>a</w:t>
      </w:r>
      <w:r>
        <w:rPr>
          <w:rStyle w:val="addmd"/>
          <w:i/>
        </w:rPr>
        <w:t>e</w:t>
      </w:r>
      <w:r w:rsidRPr="08E176E7">
        <w:rPr>
          <w:rStyle w:val="addmd"/>
          <w:i/>
        </w:rPr>
        <w:t>dicamenta</w:t>
      </w:r>
      <w:r>
        <w:rPr>
          <w:rStyle w:val="addmd"/>
        </w:rPr>
        <w:t xml:space="preserve"> I, q. 1; Munich, Bayer. Staatsbibl., f. 42va</w:t>
      </w:r>
      <w:r>
        <w:t>‒vb</w:t>
      </w:r>
      <w:r>
        <w:fldChar w:fldCharType="begin"/>
      </w:r>
      <w:r>
        <w:instrText xml:space="preserve"> XE "</w:instrText>
      </w:r>
      <w:r w:rsidRPr="008B0E6F">
        <w:rPr>
          <w:lang w:val="cs-CZ"/>
        </w:rPr>
        <w:instrText xml:space="preserve">John </w:instrText>
      </w:r>
      <w:r w:rsidRPr="008B0E6F">
        <w:rPr>
          <w:rStyle w:val="addmd"/>
        </w:rPr>
        <w:instrText>Pagus:</w:instrText>
      </w:r>
      <w:r w:rsidRPr="001B527E">
        <w:rPr>
          <w:rStyle w:val="addmd"/>
          <w:i/>
        </w:rPr>
        <w:instrText>Rationes super Praedicamenta</w:instrText>
      </w:r>
      <w:r w:rsidRPr="001B527E">
        <w:rPr>
          <w:rStyle w:val="addmd"/>
        </w:rPr>
        <w:instrText xml:space="preserve"> f. 42va</w:instrText>
      </w:r>
      <w:r w:rsidRPr="001B527E">
        <w:instrText>‒vb</w:instrText>
      </w:r>
      <w:r>
        <w:instrText xml:space="preserve">" </w:instrText>
      </w:r>
      <w:r>
        <w:fldChar w:fldCharType="end"/>
      </w:r>
      <w:r>
        <w:t xml:space="preserve">; </w:t>
      </w:r>
      <w:r>
        <w:rPr>
          <w:rStyle w:val="addmd"/>
        </w:rPr>
        <w:t>cit. podle Hansen 2012, 74*)</w:t>
      </w:r>
    </w:p>
  </w:footnote>
  <w:footnote w:id="312">
    <w:p w14:paraId="018B3686" w14:textId="77777777" w:rsidR="00CD2817" w:rsidRPr="08C13F6D" w:rsidRDefault="00CD2817" w:rsidP="08B243B3">
      <w:pPr>
        <w:pStyle w:val="Textpoznpodarou"/>
      </w:pPr>
      <w:r>
        <w:rPr>
          <w:rStyle w:val="Znakapoznpodarou"/>
        </w:rPr>
        <w:footnoteRef/>
      </w:r>
      <w:r>
        <w:t xml:space="preserve"> „</w:t>
      </w:r>
      <w:r w:rsidRPr="08AF6446">
        <w:t>Praedicame</w:t>
      </w:r>
      <w:r>
        <w:t>n</w:t>
      </w:r>
      <w:r w:rsidRPr="08AF6446">
        <w:t>ta enim attribuuntur substantiae, non quia est agens aut finis eorum, sed quia constituunt per illam, et subiectum est eorum.</w:t>
      </w:r>
      <w:r>
        <w:t>“ (</w:t>
      </w:r>
      <w:r w:rsidRPr="00277E0B">
        <w:rPr>
          <w:i/>
        </w:rPr>
        <w:t>In Librum IV Metaphysico</w:t>
      </w:r>
      <w:r>
        <w:rPr>
          <w:i/>
        </w:rPr>
        <w:t>r</w:t>
      </w:r>
      <w:r w:rsidRPr="00277E0B">
        <w:rPr>
          <w:i/>
        </w:rPr>
        <w:t>um</w:t>
      </w:r>
      <w:r>
        <w:t>, comm. 2; ed. Iuntii 1562, vol. 8, fol. 65-i</w:t>
      </w:r>
      <w:r>
        <w:fldChar w:fldCharType="begin"/>
      </w:r>
      <w:r>
        <w:instrText xml:space="preserve"> XE "</w:instrText>
      </w:r>
      <w:r>
        <w:rPr>
          <w:lang w:val="cs-CZ"/>
        </w:rPr>
        <w:instrText>Averroes:</w:instrText>
      </w:r>
      <w:r w:rsidRPr="00904613">
        <w:rPr>
          <w:i/>
        </w:rPr>
        <w:instrText>In Librum IV Metaphysicorum</w:instrText>
      </w:r>
      <w:r w:rsidRPr="00904613">
        <w:instrText xml:space="preserve"> fol. 65-i</w:instrText>
      </w:r>
      <w:r>
        <w:instrText xml:space="preserve">" </w:instrText>
      </w:r>
      <w:r>
        <w:fldChar w:fldCharType="end"/>
      </w:r>
      <w:r>
        <w:rPr>
          <w:rFonts w:cs="Calibri"/>
        </w:rPr>
        <w:t>)</w:t>
      </w:r>
    </w:p>
  </w:footnote>
  <w:footnote w:id="313">
    <w:p w14:paraId="1CF06606" w14:textId="77777777" w:rsidR="00CD2817" w:rsidRPr="00315B90" w:rsidRDefault="00CD2817" w:rsidP="08155BDF">
      <w:pPr>
        <w:pStyle w:val="Textpoznpodarou"/>
        <w:rPr>
          <w:lang w:val="cs-CZ"/>
        </w:rPr>
      </w:pPr>
      <w:r>
        <w:rPr>
          <w:rStyle w:val="Znakapoznpodarou"/>
        </w:rPr>
        <w:footnoteRef/>
      </w:r>
      <w:r>
        <w:rPr>
          <w:lang w:val="cs-CZ"/>
        </w:rPr>
        <w:t xml:space="preserve"> „</w:t>
      </w:r>
      <w:r>
        <w:t>And so, if we say he has an art, as it were, of making appearances</w:t>
      </w:r>
      <w:r>
        <w:rPr>
          <w:lang w:val="cs-CZ"/>
        </w:rPr>
        <w:t xml:space="preserve"> (</w:t>
      </w:r>
      <w:r w:rsidRPr="00315B90">
        <w:t>ἔχειν φανταστικὴν τέχνην</w:t>
      </w:r>
      <w:r>
        <w:rPr>
          <w:lang w:val="cs-CZ"/>
        </w:rPr>
        <w:t>)</w:t>
      </w:r>
      <w:r>
        <w:t xml:space="preserve">, </w:t>
      </w:r>
      <w:r>
        <w:rPr>
          <w:lang w:val="cs-CZ"/>
        </w:rPr>
        <w:t>h</w:t>
      </w:r>
      <w:r>
        <w:t>e will easily take advantage of our poverty of terms to make a counter attack, twisting our words to the opposite meaning; when we call him an image-maker</w:t>
      </w:r>
      <w:r>
        <w:rPr>
          <w:lang w:val="cs-CZ"/>
        </w:rPr>
        <w:t xml:space="preserve"> (</w:t>
      </w:r>
      <w:r>
        <w:t>εἰδωλοποιὸν</w:t>
      </w:r>
      <w:r>
        <w:rPr>
          <w:lang w:val="cs-CZ"/>
        </w:rPr>
        <w:t>).“ (</w:t>
      </w:r>
      <w:r w:rsidRPr="00023492">
        <w:rPr>
          <w:i/>
          <w:lang w:val="cs-CZ"/>
        </w:rPr>
        <w:t>Soph</w:t>
      </w:r>
      <w:r>
        <w:rPr>
          <w:lang w:val="cs-CZ"/>
        </w:rPr>
        <w:t>. 239c9‒d4</w:t>
      </w:r>
      <w:r>
        <w:rPr>
          <w:lang w:val="cs-CZ"/>
        </w:rPr>
        <w:fldChar w:fldCharType="begin"/>
      </w:r>
      <w:r>
        <w:instrText xml:space="preserve"> XE "</w:instrText>
      </w:r>
      <w:r>
        <w:rPr>
          <w:lang w:val="cs-CZ"/>
        </w:rPr>
        <w:instrText>Platon:</w:instrText>
      </w:r>
      <w:r w:rsidRPr="00D751A9">
        <w:rPr>
          <w:i/>
          <w:lang w:val="cs-CZ"/>
        </w:rPr>
        <w:instrText>Soph</w:instrText>
      </w:r>
      <w:r w:rsidRPr="00D751A9">
        <w:rPr>
          <w:lang w:val="cs-CZ"/>
        </w:rPr>
        <w:instrText>. 239c9‒d4</w:instrText>
      </w:r>
      <w:r>
        <w:instrText xml:space="preserve">" </w:instrText>
      </w:r>
      <w:r>
        <w:rPr>
          <w:lang w:val="cs-CZ"/>
        </w:rPr>
        <w:fldChar w:fldCharType="end"/>
      </w:r>
      <w:r>
        <w:rPr>
          <w:lang w:val="cs-CZ"/>
        </w:rPr>
        <w:t>)</w:t>
      </w:r>
    </w:p>
  </w:footnote>
  <w:footnote w:id="314">
    <w:p w14:paraId="4D86AF4C" w14:textId="77777777" w:rsidR="00CD2817" w:rsidRDefault="00CD2817" w:rsidP="009323D2">
      <w:pPr>
        <w:pStyle w:val="Textpoznpodarou"/>
      </w:pPr>
      <w:r>
        <w:rPr>
          <w:rStyle w:val="Znakapoznpodarou"/>
        </w:rPr>
        <w:footnoteRef/>
      </w:r>
      <w:r>
        <w:t xml:space="preserve"> „Ubique enim esse est esse in quolibet suorum locorum, loca autem universalium sunt </w:t>
      </w:r>
      <w:r w:rsidRPr="08DA5EE7">
        <w:rPr>
          <w:bCs/>
        </w:rPr>
        <w:t>ipsa</w:t>
      </w:r>
      <w:r w:rsidRPr="08DA5EE7">
        <w:t xml:space="preserve"> </w:t>
      </w:r>
      <w:r w:rsidRPr="08DA5EE7">
        <w:rPr>
          <w:bCs/>
        </w:rPr>
        <w:t>singularia</w:t>
      </w:r>
      <w:r>
        <w:t xml:space="preserve"> in quibus sunt universalia, nisi forte dicamus quod universale ubique est quia intellectus est locus universalium, et universale ubique esse est ipsum in intellectu esse, qui intellectus quodammodo ubique est (...) Si autem universalia sunt ydee in mente divina, tunc universalia ubique sunt per modum quo causa prima ubique est.</w:t>
      </w:r>
      <w:r>
        <w:rPr>
          <w:rStyle w:val="st"/>
        </w:rPr>
        <w:t>“ (</w:t>
      </w:r>
      <w:r w:rsidRPr="00EA08C7">
        <w:rPr>
          <w:i/>
          <w:noProof/>
        </w:rPr>
        <w:t>Commentarius in posteriorum analyticorum libros</w:t>
      </w:r>
      <w:r>
        <w:rPr>
          <w:i/>
          <w:noProof/>
        </w:rPr>
        <w:t xml:space="preserve"> </w:t>
      </w:r>
      <w:r>
        <w:rPr>
          <w:noProof/>
        </w:rPr>
        <w:t>I.18</w:t>
      </w:r>
      <w:r w:rsidRPr="00197BC9">
        <w:rPr>
          <w:noProof/>
        </w:rPr>
        <w:t>, ed. Rossi</w:t>
      </w:r>
      <w:r>
        <w:rPr>
          <w:noProof/>
        </w:rPr>
        <w:t>, p. 266.145‒54</w:t>
      </w:r>
      <w:r>
        <w:rPr>
          <w:noProof/>
        </w:rPr>
        <w:fldChar w:fldCharType="begin"/>
      </w:r>
      <w:r>
        <w:instrText xml:space="preserve"> XE "</w:instrText>
      </w:r>
      <w:r>
        <w:rPr>
          <w:lang w:val="cs-CZ"/>
        </w:rPr>
        <w:instrText>Grosseteste:</w:instrText>
      </w:r>
      <w:r w:rsidRPr="00B26012">
        <w:rPr>
          <w:i/>
          <w:noProof/>
        </w:rPr>
        <w:instrText xml:space="preserve">Commentarius in posteriorum analyticorum libros </w:instrText>
      </w:r>
      <w:r>
        <w:rPr>
          <w:noProof/>
        </w:rPr>
        <w:instrText>266.145‒</w:instrText>
      </w:r>
      <w:r w:rsidRPr="00B26012">
        <w:rPr>
          <w:noProof/>
        </w:rPr>
        <w:instrText>54</w:instrText>
      </w:r>
      <w:r>
        <w:instrText xml:space="preserve">" </w:instrText>
      </w:r>
      <w:r>
        <w:rPr>
          <w:noProof/>
        </w:rPr>
        <w:fldChar w:fldCharType="end"/>
      </w:r>
      <w:r>
        <w:rPr>
          <w:rStyle w:val="st"/>
        </w:rPr>
        <w:t>)</w:t>
      </w:r>
    </w:p>
  </w:footnote>
  <w:footnote w:id="315">
    <w:p w14:paraId="42FFDC83" w14:textId="77777777" w:rsidR="00CD2817" w:rsidRDefault="00CD2817">
      <w:pPr>
        <w:pStyle w:val="Textpoznpodarou"/>
      </w:pPr>
      <w:r>
        <w:rPr>
          <w:rStyle w:val="Znakapoznpodarou"/>
        </w:rPr>
        <w:footnoteRef/>
      </w:r>
      <w:r>
        <w:t xml:space="preserve"> „</w:t>
      </w:r>
      <w:r w:rsidRPr="00F31F17">
        <w:t>Igitur veritas rerum est earum esse prout debent esse, et earum rectitudo et conformitas Verbo, quo aeternaliter dicuntur. Et cum haec rectitudo sit sola mente perceptibilis et in hoc distinguatur a rectitudine corporali visibi</w:t>
      </w:r>
      <w:r>
        <w:t>li, patet, quod convenienter def</w:t>
      </w:r>
      <w:r w:rsidRPr="00F31F17">
        <w:t xml:space="preserve">initur ab Anselmo veritas cum dicit, eam esse rectitudinem sola mente perceptibilem. Et complectitur haec definitio etiam </w:t>
      </w:r>
      <w:r>
        <w:t xml:space="preserve">summam veritatem, quae est </w:t>
      </w:r>
      <w:r w:rsidRPr="00F31F17">
        <w:t>rectitudo rectificans simul cum veritatibus rerum, quae sunt rectitudines rectificatae.</w:t>
      </w:r>
      <w:r>
        <w:t>“ (</w:t>
      </w:r>
      <w:r w:rsidRPr="00B61071">
        <w:rPr>
          <w:i/>
        </w:rPr>
        <w:t>De veritate</w:t>
      </w:r>
      <w:r>
        <w:t>, ed. Baur, p. 135.4‒9</w:t>
      </w:r>
      <w:r>
        <w:fldChar w:fldCharType="begin"/>
      </w:r>
      <w:r>
        <w:instrText xml:space="preserve"> XE "</w:instrText>
      </w:r>
      <w:r>
        <w:rPr>
          <w:lang w:val="cs-CZ"/>
        </w:rPr>
        <w:instrText>Grosseteste:</w:instrText>
      </w:r>
      <w:r w:rsidRPr="00F86DAE">
        <w:rPr>
          <w:i/>
        </w:rPr>
        <w:instrText>De veritate</w:instrText>
      </w:r>
      <w:r w:rsidRPr="00F86DAE">
        <w:instrText xml:space="preserve"> 135.4‒9</w:instrText>
      </w:r>
      <w:r>
        <w:instrText xml:space="preserve">" </w:instrText>
      </w:r>
      <w:r>
        <w:fldChar w:fldCharType="end"/>
      </w:r>
      <w:r>
        <w:t>)</w:t>
      </w:r>
    </w:p>
  </w:footnote>
  <w:footnote w:id="316">
    <w:p w14:paraId="6CBB68A0" w14:textId="77777777" w:rsidR="00CD2817" w:rsidRPr="082B2F4D" w:rsidRDefault="00CD2817" w:rsidP="082B2F4D">
      <w:pPr>
        <w:pStyle w:val="Textpoznpodarou"/>
      </w:pPr>
      <w:r w:rsidRPr="082B2F4D">
        <w:rPr>
          <w:rStyle w:val="Znakapoznpodarou"/>
        </w:rPr>
        <w:footnoteRef/>
      </w:r>
      <w:r w:rsidRPr="082B2F4D">
        <w:t xml:space="preserve"> </w:t>
      </w:r>
      <w:r w:rsidRPr="082B2F4D">
        <w:rPr>
          <w:rStyle w:val="Zkladntextdkovn0pt"/>
          <w:rFonts w:ascii="Calibri" w:eastAsia="Times" w:hAnsi="Calibri" w:cs="Times New Roman"/>
          <w:color w:val="auto"/>
          <w:spacing w:val="0"/>
          <w:sz w:val="20"/>
          <w:u w:val="none"/>
          <w:lang w:val="x-none"/>
        </w:rPr>
        <w:t>„Consuevimus autem usitatius dicere veritatem orationis enuntiativae. Et haec veritas, sicut dicit philosophus, non est aliud, quam ita esse in re signata, sicut dicit sermo. Et hoc est, quod aliqui dicunt veritatem esse „adaequationem sermonis et rei“ et „adaequationem rei ad intellectum“. — Sed cum verior sit sermo, qui intus silet, quam qui foris sonat, intellectus videlicet conceptus per sermonem vocalem, magis erit veritas adaequatio sermonis interioris et rei, quam exterioris; quod si ipse sermo interior esset adaequatio sui ad rem, non solum esset sermo verus, sed ipsa veritas.“ (</w:t>
      </w:r>
      <w:r w:rsidRPr="082B2F4D">
        <w:rPr>
          <w:rStyle w:val="Zkladntextdkovn0pt"/>
          <w:rFonts w:ascii="Calibri" w:eastAsia="Times" w:hAnsi="Calibri" w:cs="Times New Roman"/>
          <w:i/>
          <w:color w:val="auto"/>
          <w:spacing w:val="0"/>
          <w:sz w:val="20"/>
          <w:u w:val="none"/>
          <w:lang w:val="x-none"/>
        </w:rPr>
        <w:t>De veritate</w:t>
      </w:r>
      <w:r w:rsidRPr="082B2F4D">
        <w:rPr>
          <w:rStyle w:val="Zkladntextdkovn0pt"/>
          <w:rFonts w:ascii="Calibri" w:eastAsia="Times" w:hAnsi="Calibri" w:cs="Times New Roman"/>
          <w:color w:val="auto"/>
          <w:spacing w:val="0"/>
          <w:sz w:val="20"/>
          <w:u w:val="none"/>
          <w:lang w:val="x-none"/>
        </w:rPr>
        <w:t>, ed. Baur, p. 134.17‒26</w:t>
      </w:r>
      <w:r w:rsidRPr="082B2F4D">
        <w:rPr>
          <w:rStyle w:val="Zkladntextdkovn0pt"/>
          <w:rFonts w:ascii="Calibri" w:eastAsia="Times" w:hAnsi="Calibri" w:cs="Times New Roman"/>
          <w:color w:val="auto"/>
          <w:spacing w:val="0"/>
          <w:sz w:val="20"/>
          <w:u w:val="none"/>
          <w:lang w:val="x-none"/>
        </w:rPr>
        <w:fldChar w:fldCharType="begin"/>
      </w:r>
      <w:r w:rsidRPr="082B2F4D">
        <w:instrText xml:space="preserve"> XE "Grosseteste:De </w:instrText>
      </w:r>
      <w:r w:rsidRPr="082B2F4D">
        <w:rPr>
          <w:rStyle w:val="Zkladntextdkovn0pt"/>
          <w:rFonts w:ascii="Calibri" w:eastAsia="Times" w:hAnsi="Calibri" w:cs="Times New Roman"/>
          <w:color w:val="auto"/>
          <w:spacing w:val="0"/>
          <w:sz w:val="20"/>
          <w:u w:val="none"/>
          <w:lang w:val="x-none"/>
        </w:rPr>
        <w:instrText>veritate 134.17‒26</w:instrText>
      </w:r>
      <w:r w:rsidRPr="082B2F4D">
        <w:instrText xml:space="preserve">" </w:instrText>
      </w:r>
      <w:r w:rsidRPr="082B2F4D">
        <w:rPr>
          <w:rStyle w:val="Zkladntextdkovn0pt"/>
          <w:rFonts w:ascii="Calibri" w:eastAsia="Times" w:hAnsi="Calibri" w:cs="Times New Roman"/>
          <w:color w:val="auto"/>
          <w:spacing w:val="0"/>
          <w:sz w:val="20"/>
          <w:u w:val="none"/>
          <w:lang w:val="x-none"/>
        </w:rPr>
        <w:fldChar w:fldCharType="end"/>
      </w:r>
      <w:r w:rsidRPr="082B2F4D">
        <w:rPr>
          <w:rStyle w:val="Zkladntextdkovn0pt"/>
          <w:rFonts w:ascii="Calibri" w:eastAsia="Times" w:hAnsi="Calibri" w:cs="Times New Roman"/>
          <w:color w:val="auto"/>
          <w:spacing w:val="0"/>
          <w:sz w:val="20"/>
          <w:u w:val="none"/>
          <w:lang w:val="x-none"/>
        </w:rPr>
        <w:t>)</w:t>
      </w:r>
    </w:p>
  </w:footnote>
  <w:footnote w:id="317">
    <w:p w14:paraId="6CA9B690" w14:textId="25BCC0EC" w:rsidR="00CD2817" w:rsidRPr="00C1702D" w:rsidRDefault="00CD2817" w:rsidP="00DD1162">
      <w:pPr>
        <w:pStyle w:val="Textpoznpodarou"/>
        <w:rPr>
          <w:lang w:val="cs-CZ"/>
        </w:rPr>
      </w:pPr>
      <w:r w:rsidRPr="00C1702D">
        <w:rPr>
          <w:rStyle w:val="Znakapoznpodarou"/>
        </w:rPr>
        <w:footnoteRef/>
      </w:r>
      <w:r w:rsidRPr="00C1702D">
        <w:t xml:space="preserve"> „</w:t>
      </w:r>
      <w:r>
        <w:t>Když tedy hledám, jak by došlo k tobě a usadilo se ve tvém srdci slovo, které je už v mém</w:t>
      </w:r>
      <w:r>
        <w:rPr>
          <w:lang w:val="cs-CZ"/>
        </w:rPr>
        <w:t xml:space="preserve"> </w:t>
      </w:r>
      <w:r>
        <w:t xml:space="preserve">srdci </w:t>
      </w:r>
      <w:r w:rsidRPr="00C1702D">
        <w:t>(</w:t>
      </w:r>
      <w:r w:rsidRPr="00C1702D">
        <w:rPr>
          <w:i/>
        </w:rPr>
        <w:t>in corde tuo insideat verbum quod iam est in corde meo</w:t>
      </w:r>
      <w:r w:rsidRPr="00C1702D">
        <w:t>)</w:t>
      </w:r>
      <w:r>
        <w:t>, vezmu na pomoc hlas a promluvím</w:t>
      </w:r>
      <w:r>
        <w:rPr>
          <w:lang w:val="cs-CZ"/>
        </w:rPr>
        <w:t xml:space="preserve"> </w:t>
      </w:r>
      <w:r>
        <w:t>nahlas k tobě. Zvuk hlasu vede smysl slova</w:t>
      </w:r>
      <w:r>
        <w:rPr>
          <w:lang w:val="cs-CZ"/>
        </w:rPr>
        <w:t xml:space="preserve"> až </w:t>
      </w:r>
      <w:r>
        <w:t xml:space="preserve">k tobě </w:t>
      </w:r>
      <w:r w:rsidRPr="00C1702D">
        <w:t>(</w:t>
      </w:r>
      <w:r w:rsidRPr="00685EEA">
        <w:rPr>
          <w:i/>
        </w:rPr>
        <w:t>ad te duxit sonus vocis intellectum verbi</w:t>
      </w:r>
      <w:r w:rsidRPr="00C1702D">
        <w:t>)</w:t>
      </w:r>
      <w:r>
        <w:t>; sám zvuk sice pomine, ale slovo, které k tobě zvuk přivedl, je už v tvém srdci</w:t>
      </w:r>
      <w:r>
        <w:rPr>
          <w:lang w:val="cs-CZ"/>
        </w:rPr>
        <w:t xml:space="preserve"> </w:t>
      </w:r>
      <w:r w:rsidRPr="00C1702D">
        <w:t>(</w:t>
      </w:r>
      <w:r w:rsidRPr="00685EEA">
        <w:rPr>
          <w:i/>
        </w:rPr>
        <w:t>verbum iam est in corde tuo</w:t>
      </w:r>
      <w:r w:rsidRPr="00C1702D">
        <w:t xml:space="preserve">), </w:t>
      </w:r>
      <w:r>
        <w:t>aniž se vzdálilo</w:t>
      </w:r>
      <w:r>
        <w:rPr>
          <w:lang w:val="cs-CZ"/>
        </w:rPr>
        <w:t xml:space="preserve"> </w:t>
      </w:r>
      <w:r>
        <w:t xml:space="preserve">z mého srdce </w:t>
      </w:r>
      <w:r w:rsidRPr="00C1702D">
        <w:t>(</w:t>
      </w:r>
      <w:r w:rsidRPr="00685EEA">
        <w:rPr>
          <w:i/>
        </w:rPr>
        <w:t>nec recessit a meo</w:t>
      </w:r>
      <w:r w:rsidRPr="00C1702D">
        <w:t>)</w:t>
      </w:r>
      <w:r>
        <w:t>.</w:t>
      </w:r>
      <w:r>
        <w:rPr>
          <w:lang w:val="cs-CZ"/>
        </w:rPr>
        <w:t>“</w:t>
      </w:r>
      <w:r w:rsidRPr="00D546EA">
        <w:t xml:space="preserve"> </w:t>
      </w:r>
      <w:r w:rsidRPr="00C1702D">
        <w:t>(</w:t>
      </w:r>
      <w:r w:rsidRPr="08107C05">
        <w:rPr>
          <w:i/>
        </w:rPr>
        <w:t>Sermo</w:t>
      </w:r>
      <w:r w:rsidRPr="00C1702D">
        <w:t xml:space="preserve"> 293; </w:t>
      </w:r>
      <w:r>
        <w:rPr>
          <w:lang w:val="cs-CZ"/>
        </w:rPr>
        <w:t xml:space="preserve">PL </w:t>
      </w:r>
      <w:r w:rsidRPr="00C1702D">
        <w:t>38, 1328</w:t>
      </w:r>
      <w:r>
        <w:rPr>
          <w:lang w:val="cs-CZ"/>
        </w:rPr>
        <w:t>D‒</w:t>
      </w:r>
      <w:r w:rsidRPr="00C1702D">
        <w:t>1329</w:t>
      </w:r>
      <w:r>
        <w:rPr>
          <w:lang w:val="cs-CZ"/>
        </w:rPr>
        <w:t>A</w:t>
      </w:r>
      <w:r>
        <w:rPr>
          <w:lang w:val="cs-CZ"/>
        </w:rPr>
        <w:fldChar w:fldCharType="begin"/>
      </w:r>
      <w:r>
        <w:instrText xml:space="preserve"> XE "</w:instrText>
      </w:r>
      <w:r>
        <w:rPr>
          <w:lang w:val="cs-CZ"/>
        </w:rPr>
        <w:instrText>Augustinus:</w:instrText>
      </w:r>
      <w:r w:rsidRPr="08107C05">
        <w:rPr>
          <w:i/>
        </w:rPr>
        <w:instrText>Sermo</w:instrText>
      </w:r>
      <w:r w:rsidRPr="00115EFC">
        <w:instrText xml:space="preserve"> 293</w:instrText>
      </w:r>
      <w:r w:rsidRPr="00115EFC">
        <w:rPr>
          <w:lang w:val="cs-CZ"/>
        </w:rPr>
        <w:instrText xml:space="preserve"> </w:instrText>
      </w:r>
      <w:r>
        <w:rPr>
          <w:lang w:val="cs-CZ"/>
        </w:rPr>
        <w:instrText xml:space="preserve">PL </w:instrText>
      </w:r>
      <w:r w:rsidRPr="00C1702D">
        <w:instrText>38, 1328</w:instrText>
      </w:r>
      <w:r>
        <w:rPr>
          <w:lang w:val="cs-CZ"/>
        </w:rPr>
        <w:instrText>D‒</w:instrText>
      </w:r>
      <w:r w:rsidRPr="00C1702D">
        <w:instrText>1329</w:instrText>
      </w:r>
      <w:r>
        <w:rPr>
          <w:lang w:val="cs-CZ"/>
        </w:rPr>
        <w:instrText>A</w:instrText>
      </w:r>
      <w:r>
        <w:instrText xml:space="preserve">" </w:instrText>
      </w:r>
      <w:r>
        <w:rPr>
          <w:lang w:val="cs-CZ"/>
        </w:rPr>
        <w:fldChar w:fldCharType="end"/>
      </w:r>
      <w:r w:rsidRPr="00C1702D">
        <w:t>)</w:t>
      </w:r>
    </w:p>
  </w:footnote>
  <w:footnote w:id="318">
    <w:p w14:paraId="45CD96A4" w14:textId="77777777" w:rsidR="00CD2817" w:rsidRPr="00A77E5A" w:rsidRDefault="00CD2817" w:rsidP="089469FE">
      <w:pPr>
        <w:pStyle w:val="Textpoznpodarou"/>
      </w:pPr>
      <w:r>
        <w:rPr>
          <w:rStyle w:val="Znakapoznpodarou"/>
        </w:rPr>
        <w:footnoteRef/>
      </w:r>
      <w:r>
        <w:t xml:space="preserve"> „Quod autem non sit alia veritas a veritate summa, videtur secundum Anselmum, qui in libro suo de veritate concludit ad ultimum, quod unica est omnium verorum veritas, et quod illa est summa veritas, sicut unum est tempus omnium illorum, quae sunt simul in uno tempore.“ (</w:t>
      </w:r>
      <w:r w:rsidRPr="00350FB0">
        <w:rPr>
          <w:i/>
        </w:rPr>
        <w:t>De veritate</w:t>
      </w:r>
      <w:r>
        <w:t>, ed. Baur, p. 132.12‒16</w:t>
      </w:r>
      <w:r>
        <w:fldChar w:fldCharType="begin"/>
      </w:r>
      <w:r>
        <w:instrText xml:space="preserve"> XE "</w:instrText>
      </w:r>
      <w:r>
        <w:rPr>
          <w:lang w:val="cs-CZ"/>
        </w:rPr>
        <w:instrText>Grosseteste:</w:instrText>
      </w:r>
      <w:r w:rsidRPr="0052261D">
        <w:rPr>
          <w:i/>
        </w:rPr>
        <w:instrText>De veritate</w:instrText>
      </w:r>
      <w:r>
        <w:rPr>
          <w:i/>
          <w:lang w:val="cs-CZ"/>
        </w:rPr>
        <w:instrText xml:space="preserve"> </w:instrText>
      </w:r>
      <w:r w:rsidRPr="0052261D">
        <w:instrText>132.12‒16</w:instrText>
      </w:r>
      <w:r>
        <w:instrText xml:space="preserve">" </w:instrText>
      </w:r>
      <w:r>
        <w:fldChar w:fldCharType="end"/>
      </w:r>
      <w:r>
        <w:t>)</w:t>
      </w:r>
    </w:p>
  </w:footnote>
  <w:footnote w:id="319">
    <w:p w14:paraId="297202BE" w14:textId="77777777" w:rsidR="00CD2817" w:rsidRPr="00A35B7C" w:rsidRDefault="00CD2817" w:rsidP="00493E72">
      <w:pPr>
        <w:pStyle w:val="Textpoznpodarou"/>
        <w:rPr>
          <w:lang w:val="cs-CZ"/>
        </w:rPr>
      </w:pPr>
      <w:r>
        <w:rPr>
          <w:rStyle w:val="Znakapoznpodarou"/>
        </w:rPr>
        <w:footnoteRef/>
      </w:r>
      <w:r>
        <w:t xml:space="preserve"> </w:t>
      </w:r>
      <w:r>
        <w:rPr>
          <w:lang w:val="cs-CZ"/>
        </w:rPr>
        <w:t>„</w:t>
      </w:r>
      <w:r>
        <w:t>Quam ergo verae atque incommutabiles sunt regulae numerorum</w:t>
      </w:r>
      <w:r>
        <w:rPr>
          <w:lang w:val="cs-CZ"/>
        </w:rPr>
        <w:t xml:space="preserve"> .... </w:t>
      </w:r>
      <w:r>
        <w:t>tam sunt verae atque incommutabiles regulae sapientiae.</w:t>
      </w:r>
      <w:r>
        <w:rPr>
          <w:lang w:val="cs-CZ"/>
        </w:rPr>
        <w:t>“ (</w:t>
      </w:r>
      <w:r w:rsidRPr="000C4D03">
        <w:rPr>
          <w:i/>
          <w:lang w:val="cs-CZ"/>
        </w:rPr>
        <w:t>De libero arbitrio</w:t>
      </w:r>
      <w:r>
        <w:rPr>
          <w:lang w:val="cs-CZ"/>
        </w:rPr>
        <w:t xml:space="preserve"> </w:t>
      </w:r>
      <w:r w:rsidRPr="00DD5DD9">
        <w:rPr>
          <w:i/>
          <w:lang w:val="cs-CZ"/>
        </w:rPr>
        <w:t>voluntatis</w:t>
      </w:r>
      <w:r>
        <w:rPr>
          <w:lang w:val="cs-CZ"/>
        </w:rPr>
        <w:t xml:space="preserve"> </w:t>
      </w:r>
      <w:r>
        <w:rPr>
          <w:szCs w:val="24"/>
        </w:rPr>
        <w:t>2.10.29</w:t>
      </w:r>
      <w:r>
        <w:rPr>
          <w:szCs w:val="24"/>
        </w:rPr>
        <w:fldChar w:fldCharType="begin"/>
      </w:r>
      <w:r>
        <w:instrText xml:space="preserve"> XE "</w:instrText>
      </w:r>
      <w:r w:rsidRPr="002D2E57">
        <w:rPr>
          <w:lang w:val="cs-CZ"/>
        </w:rPr>
        <w:instrText>Augustin:</w:instrText>
      </w:r>
      <w:r w:rsidRPr="000E4500">
        <w:rPr>
          <w:i/>
          <w:lang w:val="cs-CZ"/>
        </w:rPr>
        <w:instrText>De libero arbitrio</w:instrText>
      </w:r>
      <w:r w:rsidRPr="000E4500">
        <w:rPr>
          <w:lang w:val="cs-CZ"/>
        </w:rPr>
        <w:instrText xml:space="preserve"> </w:instrText>
      </w:r>
      <w:r w:rsidRPr="000E4500">
        <w:rPr>
          <w:i/>
          <w:lang w:val="cs-CZ"/>
        </w:rPr>
        <w:instrText>voluntatis</w:instrText>
      </w:r>
      <w:r w:rsidRPr="000E4500">
        <w:rPr>
          <w:lang w:val="cs-CZ"/>
        </w:rPr>
        <w:instrText xml:space="preserve"> </w:instrText>
      </w:r>
      <w:r w:rsidRPr="000E4500">
        <w:rPr>
          <w:szCs w:val="24"/>
        </w:rPr>
        <w:instrText>2.10.29</w:instrText>
      </w:r>
      <w:r>
        <w:instrText xml:space="preserve">" </w:instrText>
      </w:r>
      <w:r>
        <w:rPr>
          <w:szCs w:val="24"/>
        </w:rPr>
        <w:fldChar w:fldCharType="end"/>
      </w:r>
      <w:r>
        <w:rPr>
          <w:lang w:val="cs-CZ"/>
        </w:rPr>
        <w:t>)</w:t>
      </w:r>
    </w:p>
  </w:footnote>
  <w:footnote w:id="320">
    <w:p w14:paraId="7B18F3CE" w14:textId="412B0645" w:rsidR="00CD2817" w:rsidRDefault="00CD2817" w:rsidP="08EB5532">
      <w:pPr>
        <w:pStyle w:val="Textpoznpodarou"/>
      </w:pPr>
      <w:r>
        <w:rPr>
          <w:rStyle w:val="Znakapoznpodarou"/>
        </w:rPr>
        <w:footnoteRef/>
      </w:r>
      <w:r>
        <w:t xml:space="preserve"> </w:t>
      </w:r>
      <w:r w:rsidRPr="08EB5532">
        <w:rPr>
          <w:rStyle w:val="TextpoznpodarouChar"/>
        </w:rPr>
        <w:t xml:space="preserve">„(...) </w:t>
      </w:r>
      <w:r w:rsidRPr="08EB5532">
        <w:rPr>
          <w:rStyle w:val="TextpoznpodarouChar"/>
          <w:i/>
        </w:rPr>
        <w:t>Hanc ergo incorruptibilem numeri veritatem dixi mihi et cuilibet ratiocinanti esse communem</w:t>
      </w:r>
      <w:r w:rsidRPr="08EB5532">
        <w:rPr>
          <w:rStyle w:val="TextpoznpodarouChar"/>
        </w:rPr>
        <w:t xml:space="preserve">.' </w:t>
      </w:r>
      <w:r>
        <w:rPr>
          <w:rStyle w:val="TextpoznpodarouChar"/>
          <w:rFonts w:cs="Calibri"/>
        </w:rPr>
        <w:t>[</w:t>
      </w:r>
      <w:r w:rsidRPr="000C4D03">
        <w:rPr>
          <w:i/>
          <w:lang w:val="cs-CZ"/>
        </w:rPr>
        <w:t>De libero arbitrio</w:t>
      </w:r>
      <w:r>
        <w:rPr>
          <w:lang w:val="cs-CZ"/>
        </w:rPr>
        <w:t xml:space="preserve"> </w:t>
      </w:r>
      <w:r w:rsidRPr="00DD5DD9">
        <w:rPr>
          <w:i/>
          <w:lang w:val="cs-CZ"/>
        </w:rPr>
        <w:t>voluntatis</w:t>
      </w:r>
      <w:r>
        <w:rPr>
          <w:lang w:val="cs-CZ"/>
        </w:rPr>
        <w:t xml:space="preserve"> </w:t>
      </w:r>
      <w:r>
        <w:rPr>
          <w:szCs w:val="24"/>
        </w:rPr>
        <w:t>8.21</w:t>
      </w:r>
      <w:r>
        <w:rPr>
          <w:rFonts w:cs="Calibri"/>
          <w:szCs w:val="24"/>
        </w:rPr>
        <w:t>]</w:t>
      </w:r>
      <w:r>
        <w:rPr>
          <w:szCs w:val="24"/>
          <w:lang w:val="cs-CZ"/>
        </w:rPr>
        <w:t xml:space="preserve"> </w:t>
      </w:r>
      <w:r w:rsidRPr="08EB5532">
        <w:rPr>
          <w:rStyle w:val="TextpoznpodarouChar"/>
        </w:rPr>
        <w:t>Aeterna est igitur talium veritas ac per hoc summa veritas. Similiter sine initio fuit verum „aliquid fuisse futurum“; sed non fuit verum, nisi veritate sua. Sua igitur veritas aeterna est et summa; similiter omnium conditionalium veritas ut: „si est homo, est animal.“ Per hypothesim igitur omnis enuntiabilis veritas est summa veritas.“</w:t>
      </w:r>
      <w:r w:rsidRPr="008651EF">
        <w:t xml:space="preserve"> (</w:t>
      </w:r>
      <w:r w:rsidRPr="001724F2">
        <w:rPr>
          <w:i/>
        </w:rPr>
        <w:t>De veritate</w:t>
      </w:r>
      <w:r w:rsidRPr="008651EF">
        <w:t>, ed. Baur, p. 132.</w:t>
      </w:r>
      <w:r>
        <w:t>2</w:t>
      </w:r>
      <w:r>
        <w:rPr>
          <w:lang w:val="cs-CZ"/>
        </w:rPr>
        <w:t>6</w:t>
      </w:r>
      <w:r w:rsidRPr="008651EF">
        <w:t>‒32</w:t>
      </w:r>
      <w:r>
        <w:fldChar w:fldCharType="begin"/>
      </w:r>
      <w:r>
        <w:instrText xml:space="preserve"> XE "</w:instrText>
      </w:r>
      <w:r>
        <w:rPr>
          <w:lang w:val="cs-CZ"/>
        </w:rPr>
        <w:instrText>Grosseteste:</w:instrText>
      </w:r>
      <w:r w:rsidRPr="001E7DF2">
        <w:rPr>
          <w:i/>
        </w:rPr>
        <w:instrText>De veritate</w:instrText>
      </w:r>
      <w:r>
        <w:instrText xml:space="preserve"> 132.2</w:instrText>
      </w:r>
      <w:r>
        <w:rPr>
          <w:lang w:val="cs-CZ"/>
        </w:rPr>
        <w:instrText>6</w:instrText>
      </w:r>
      <w:r w:rsidRPr="001E7DF2">
        <w:instrText>‒32</w:instrText>
      </w:r>
      <w:r>
        <w:instrText xml:space="preserve">" </w:instrText>
      </w:r>
      <w:r>
        <w:fldChar w:fldCharType="end"/>
      </w:r>
      <w:r w:rsidRPr="008651EF">
        <w:t>)</w:t>
      </w:r>
    </w:p>
  </w:footnote>
  <w:footnote w:id="321">
    <w:p w14:paraId="074E2B10" w14:textId="77777777" w:rsidR="00CD2817" w:rsidRPr="00A42834" w:rsidRDefault="00CD2817" w:rsidP="000A6DEC">
      <w:pPr>
        <w:pStyle w:val="Textpoznpodarou"/>
      </w:pPr>
      <w:r>
        <w:rPr>
          <w:rStyle w:val="Znakapoznpodarou"/>
        </w:rPr>
        <w:footnoteRef/>
      </w:r>
      <w:r>
        <w:t xml:space="preserve"> Viz citaci Avicennovy </w:t>
      </w:r>
      <w:r w:rsidRPr="08D3084D">
        <w:rPr>
          <w:i/>
        </w:rPr>
        <w:t>Al-Ḥikmat</w:t>
      </w:r>
      <w:r>
        <w:t>, která zásadním způsobem upravila nutnost pouze vzhledem k fundamentálně nemožnému: „... and 'the possible' is said to be whatever is not impossible and which exists and [then] in non-existent, and [in general] whatever does not exist at some time or other.“ (Wisnovsky 2003, 200, cit. L 58)</w:t>
      </w:r>
    </w:p>
  </w:footnote>
  <w:footnote w:id="322">
    <w:p w14:paraId="5CD6B6CA" w14:textId="77777777" w:rsidR="00CD2817" w:rsidRPr="08AD1D9E" w:rsidRDefault="00CD2817">
      <w:pPr>
        <w:pStyle w:val="Textpoznpodarou"/>
      </w:pPr>
      <w:r>
        <w:rPr>
          <w:rStyle w:val="Znakapoznpodarou"/>
        </w:rPr>
        <w:footnoteRef/>
      </w:r>
      <w:r>
        <w:t xml:space="preserve"> </w:t>
      </w:r>
      <w:r w:rsidRPr="0858355C">
        <w:t xml:space="preserve">„In the </w:t>
      </w:r>
      <w:r w:rsidRPr="0858355C">
        <w:rPr>
          <w:i/>
        </w:rPr>
        <w:t>Iqtisād</w:t>
      </w:r>
      <w:r w:rsidRPr="0858355C">
        <w:t>, it is stated that any future event in itself is possible. However, in accordance to God’s foreknowledge, what the eternal will determines is only what is necessary, so that different alternatives simply do not occur. Consequently, a future contingent event which is not contained within God’s foreknowledge will never take place. This event is considered to be ‘possible with regard to itself’ (</w:t>
      </w:r>
      <w:r w:rsidRPr="0858355C">
        <w:rPr>
          <w:i/>
        </w:rPr>
        <w:t>mumkin bi-‘itibār dhātihi</w:t>
      </w:r>
      <w:r w:rsidRPr="0858355C">
        <w:t>), and ‘impossible with regard to something else’ (</w:t>
      </w:r>
      <w:r w:rsidRPr="0858355C">
        <w:rPr>
          <w:i/>
        </w:rPr>
        <w:t>mu</w:t>
      </w:r>
      <w:r w:rsidRPr="0858355C">
        <w:rPr>
          <w:rFonts w:cs="Calibri"/>
          <w:i/>
        </w:rPr>
        <w:t>ḥ</w:t>
      </w:r>
      <w:r w:rsidRPr="0858355C">
        <w:rPr>
          <w:i/>
        </w:rPr>
        <w:t>āl bi-‘itibār ghayrihi</w:t>
      </w:r>
      <w:r w:rsidRPr="0858355C">
        <w:t xml:space="preserve">), that is with regard to both God’s </w:t>
      </w:r>
      <w:r w:rsidRPr="0858355C">
        <w:rPr>
          <w:i/>
        </w:rPr>
        <w:t>irāda</w:t>
      </w:r>
      <w:r w:rsidRPr="0858355C">
        <w:t xml:space="preserve"> and</w:t>
      </w:r>
      <w:r>
        <w:rPr>
          <w:lang w:val="cs-CZ"/>
        </w:rPr>
        <w:t xml:space="preserve"> </w:t>
      </w:r>
      <w:r w:rsidRPr="0858355C">
        <w:rPr>
          <w:i/>
        </w:rPr>
        <w:t>‘ilm</w:t>
      </w:r>
      <w:r w:rsidRPr="0858355C">
        <w:t>.“ (De Cillis 2013, 124)</w:t>
      </w:r>
    </w:p>
  </w:footnote>
  <w:footnote w:id="323">
    <w:p w14:paraId="342F4324" w14:textId="77777777" w:rsidR="00CD2817" w:rsidRDefault="00CD2817" w:rsidP="003234EF">
      <w:pPr>
        <w:pStyle w:val="Textpoznpodarou"/>
      </w:pPr>
      <w:r>
        <w:rPr>
          <w:rStyle w:val="Znakapoznpodarou"/>
        </w:rPr>
        <w:footnoteRef/>
      </w:r>
      <w:r>
        <w:t xml:space="preserve"> </w:t>
      </w:r>
      <w:r>
        <w:rPr>
          <w:i/>
          <w:szCs w:val="18"/>
        </w:rPr>
        <w:t>„</w:t>
      </w:r>
      <w:r w:rsidRPr="005E2EB9">
        <w:rPr>
          <w:i/>
          <w:szCs w:val="18"/>
        </w:rPr>
        <w:t>'Necessarium'</w:t>
      </w:r>
      <w:r w:rsidRPr="005E2EB9">
        <w:rPr>
          <w:szCs w:val="18"/>
        </w:rPr>
        <w:t xml:space="preserve"> </w:t>
      </w:r>
      <w:r w:rsidRPr="005E2EB9">
        <w:t xml:space="preserve">dicitur duobus modis, scilicet respective et absolute. Respective, ut </w:t>
      </w:r>
      <w:r w:rsidRPr="005E2EB9">
        <w:rPr>
          <w:i/>
          <w:szCs w:val="18"/>
        </w:rPr>
        <w:t xml:space="preserve">'te sedere dum </w:t>
      </w:r>
      <w:r w:rsidRPr="005E2EB9">
        <w:rPr>
          <w:i/>
          <w:szCs w:val="17"/>
        </w:rPr>
        <w:t xml:space="preserve">tu </w:t>
      </w:r>
      <w:r w:rsidRPr="005E2EB9">
        <w:rPr>
          <w:i/>
          <w:szCs w:val="18"/>
        </w:rPr>
        <w:t>sedes est necessarium</w:t>
      </w:r>
      <w:r w:rsidRPr="005E2EB9">
        <w:rPr>
          <w:szCs w:val="18"/>
        </w:rPr>
        <w:t xml:space="preserve">'. </w:t>
      </w:r>
      <w:r w:rsidRPr="005E2EB9">
        <w:t xml:space="preserve">Absolute hoc duplex, scilicet per se et per accidens: per se quod nec potest nec potuit </w:t>
      </w:r>
      <w:r>
        <w:t>nec poteri</w:t>
      </w:r>
      <w:r w:rsidRPr="005E2EB9">
        <w:t xml:space="preserve">t esse falsum, ut </w:t>
      </w:r>
      <w:r w:rsidRPr="005E2EB9">
        <w:rPr>
          <w:szCs w:val="18"/>
        </w:rPr>
        <w:t>'</w:t>
      </w:r>
      <w:r w:rsidRPr="005E2EB9">
        <w:rPr>
          <w:i/>
          <w:szCs w:val="18"/>
        </w:rPr>
        <w:t>Deus est</w:t>
      </w:r>
      <w:r w:rsidRPr="005E2EB9">
        <w:rPr>
          <w:szCs w:val="18"/>
        </w:rPr>
        <w:t xml:space="preserve">'; </w:t>
      </w:r>
      <w:r w:rsidRPr="005E2EB9">
        <w:t xml:space="preserve">per accidens quod non potest nec poterit esse falsum, potuit tamen fuisse falsum, ut </w:t>
      </w:r>
      <w:r w:rsidRPr="005E2EB9">
        <w:rPr>
          <w:i/>
          <w:szCs w:val="18"/>
        </w:rPr>
        <w:t>Socratem fuisse antequam fuit</w:t>
      </w:r>
      <w:r w:rsidRPr="005E2EB9">
        <w:rPr>
          <w:szCs w:val="18"/>
        </w:rPr>
        <w:t>.“</w:t>
      </w:r>
      <w:r>
        <w:rPr>
          <w:szCs w:val="18"/>
        </w:rPr>
        <w:t xml:space="preserve"> </w:t>
      </w:r>
      <w:r w:rsidRPr="007305AB">
        <w:t>(</w:t>
      </w:r>
      <w:r w:rsidRPr="003F780D">
        <w:rPr>
          <w:i/>
        </w:rPr>
        <w:t>Logica modernorum II</w:t>
      </w:r>
      <w:r w:rsidRPr="007305AB">
        <w:t xml:space="preserve">, </w:t>
      </w:r>
      <w:r>
        <w:t>ed. Rijk</w:t>
      </w:r>
      <w:r>
        <w:rPr>
          <w:lang w:val="cs-CZ"/>
        </w:rPr>
        <w:t xml:space="preserve">; </w:t>
      </w:r>
      <w:r w:rsidRPr="00273106">
        <w:rPr>
          <w:i/>
        </w:rPr>
        <w:t>Logica „Cum sit nostra</w:t>
      </w:r>
      <w:r>
        <w:rPr>
          <w:lang w:val="cs-CZ"/>
        </w:rPr>
        <w:t xml:space="preserve">, </w:t>
      </w:r>
      <w:r w:rsidRPr="007305AB">
        <w:t>p. 429</w:t>
      </w:r>
      <w:r>
        <w:t>.1‒6</w:t>
      </w:r>
      <w:r>
        <w:fldChar w:fldCharType="begin"/>
      </w:r>
      <w:r>
        <w:instrText xml:space="preserve"> XE "</w:instrText>
      </w:r>
      <w:r w:rsidRPr="00EE72C8">
        <w:rPr>
          <w:i/>
        </w:rPr>
        <w:instrText>Logica modernorum II</w:instrText>
      </w:r>
      <w:r>
        <w:rPr>
          <w:lang w:val="cs-CZ"/>
        </w:rPr>
        <w:instrText>:</w:instrText>
      </w:r>
      <w:r w:rsidRPr="00273106">
        <w:rPr>
          <w:i/>
        </w:rPr>
        <w:instrText>Cum sit nostra</w:instrText>
      </w:r>
      <w:r w:rsidRPr="00EE72C8">
        <w:instrText xml:space="preserve"> 429.1‒6</w:instrText>
      </w:r>
      <w:r>
        <w:instrText xml:space="preserve">" </w:instrText>
      </w:r>
      <w:r>
        <w:fldChar w:fldCharType="end"/>
      </w:r>
      <w:r>
        <w:t>)</w:t>
      </w:r>
    </w:p>
  </w:footnote>
  <w:footnote w:id="324">
    <w:p w14:paraId="142F9B2A" w14:textId="77777777" w:rsidR="00CD2817" w:rsidRPr="082F222D" w:rsidRDefault="00CD2817" w:rsidP="085B3754">
      <w:pPr>
        <w:pStyle w:val="Textpoznpodarou"/>
      </w:pPr>
      <w:r>
        <w:rPr>
          <w:rStyle w:val="Znakapoznpodarou"/>
        </w:rPr>
        <w:footnoteRef/>
      </w:r>
      <w:r>
        <w:t xml:space="preserve"> „</w:t>
      </w:r>
      <w:r w:rsidRPr="082F222D">
        <w:t>Omnis substantia [simplex est] stans per seipsam scilicet per essentiam suam</w:t>
      </w:r>
      <w:r>
        <w:rPr>
          <w:lang w:val="cs-CZ"/>
        </w:rPr>
        <w:t xml:space="preserve">. </w:t>
      </w:r>
      <w:r>
        <w:t xml:space="preserve"> [</w:t>
      </w:r>
      <w:r>
        <w:rPr>
          <w:lang w:val="cs-CZ"/>
        </w:rPr>
        <w:t>N</w:t>
      </w:r>
      <w:r w:rsidRPr="082F222D">
        <w:t>am ipsa] est creata sine tempore et est in substantialitate sua superior substantiis temporalibus.</w:t>
      </w:r>
      <w:r>
        <w:rPr>
          <w:rStyle w:val="TextpoznpodarouChar"/>
        </w:rPr>
        <w:t xml:space="preserve">“ </w:t>
      </w:r>
      <w:r w:rsidRPr="004F6F5C">
        <w:rPr>
          <w:rStyle w:val="TextpoznpodarouChar"/>
        </w:rPr>
        <w:t>(</w:t>
      </w:r>
      <w:r w:rsidRPr="004F6F5C">
        <w:rPr>
          <w:rStyle w:val="TextpoznpodarouChar"/>
          <w:i/>
        </w:rPr>
        <w:t>Liber de causis</w:t>
      </w:r>
      <w:r>
        <w:rPr>
          <w:rStyle w:val="TextpoznpodarouChar"/>
        </w:rPr>
        <w:t xml:space="preserve"> </w:t>
      </w:r>
      <w:r>
        <w:rPr>
          <w:rStyle w:val="TextpoznpodarouChar"/>
          <w:lang w:val="cs-CZ"/>
        </w:rPr>
        <w:t xml:space="preserve">XXXVIII; </w:t>
      </w:r>
      <w:r>
        <w:rPr>
          <w:rStyle w:val="TextpoznpodarouChar"/>
        </w:rPr>
        <w:t>ed</w:t>
      </w:r>
      <w:r>
        <w:rPr>
          <w:rStyle w:val="TextpoznpodarouChar"/>
          <w:lang w:val="cs-CZ"/>
        </w:rPr>
        <w:t>itio digitalis</w:t>
      </w:r>
      <w:r>
        <w:rPr>
          <w:rStyle w:val="TextpoznpodarouChar"/>
        </w:rPr>
        <w:t xml:space="preserve"> Pattin‒Zimmermann, § 199‒200</w:t>
      </w:r>
      <w:r>
        <w:rPr>
          <w:rStyle w:val="TextpoznpodarouChar"/>
          <w:i/>
        </w:rPr>
        <w:fldChar w:fldCharType="begin"/>
      </w:r>
      <w:r>
        <w:instrText xml:space="preserve"> XE "</w:instrText>
      </w:r>
      <w:r w:rsidRPr="00C46BD8">
        <w:rPr>
          <w:i/>
        </w:rPr>
        <w:instrText>Liber de causis</w:instrText>
      </w:r>
      <w:r>
        <w:rPr>
          <w:i/>
          <w:lang w:val="cs-CZ"/>
        </w:rPr>
        <w:instrText xml:space="preserve"> </w:instrText>
      </w:r>
      <w:r>
        <w:rPr>
          <w:rStyle w:val="TextpoznpodarouChar"/>
        </w:rPr>
        <w:instrText>§ 199‒200</w:instrText>
      </w:r>
      <w:r>
        <w:instrText xml:space="preserve">" </w:instrText>
      </w:r>
      <w:r>
        <w:rPr>
          <w:rStyle w:val="TextpoznpodarouChar"/>
          <w:i/>
        </w:rPr>
        <w:fldChar w:fldCharType="end"/>
      </w:r>
      <w:r>
        <w:t>)</w:t>
      </w:r>
    </w:p>
  </w:footnote>
  <w:footnote w:id="325">
    <w:p w14:paraId="40BB0AE8" w14:textId="77777777" w:rsidR="00CD2817" w:rsidRPr="08AF33DD" w:rsidRDefault="00CD2817" w:rsidP="006C3C9A">
      <w:pPr>
        <w:pStyle w:val="Textpoznpodarou"/>
        <w:rPr>
          <w:lang w:val="cs-CZ"/>
        </w:rPr>
      </w:pPr>
      <w:r>
        <w:rPr>
          <w:rStyle w:val="Znakapoznpodarou"/>
        </w:rPr>
        <w:footnoteRef/>
      </w:r>
      <w:r>
        <w:rPr>
          <w:lang w:val="cs-CZ"/>
        </w:rPr>
        <w:t xml:space="preserve"> „Quoniam liberum arbitrium de praesenti esse non potest, tametsi ipsum in praesenti est; sed spectat semper ad futuros eventus, et solum qui in contingenti consistunt.“ (</w:t>
      </w:r>
      <w:r w:rsidRPr="08AF33DD">
        <w:rPr>
          <w:i/>
          <w:lang w:val="cs-CZ"/>
        </w:rPr>
        <w:t>De sacramentis</w:t>
      </w:r>
      <w:r>
        <w:rPr>
          <w:lang w:val="cs-CZ"/>
        </w:rPr>
        <w:t>, pars II, cap. XXII; PL 176, 256C</w:t>
      </w:r>
      <w:r>
        <w:rPr>
          <w:lang w:val="cs-CZ"/>
        </w:rPr>
        <w:fldChar w:fldCharType="begin"/>
      </w:r>
      <w:r>
        <w:instrText xml:space="preserve"> XE "</w:instrText>
      </w:r>
      <w:r>
        <w:rPr>
          <w:lang w:val="cs-CZ"/>
        </w:rPr>
        <w:instrText>Hugh of Saint Victor:</w:instrText>
      </w:r>
      <w:r w:rsidRPr="08AA0DB4">
        <w:rPr>
          <w:i/>
          <w:lang w:val="cs-CZ"/>
        </w:rPr>
        <w:instrText>De sacramentis</w:instrText>
      </w:r>
      <w:r w:rsidRPr="08AA0DB4">
        <w:rPr>
          <w:i/>
        </w:rPr>
        <w:instrText xml:space="preserve"> </w:instrText>
      </w:r>
      <w:r w:rsidRPr="08AA0DB4">
        <w:rPr>
          <w:lang w:val="cs-CZ"/>
        </w:rPr>
        <w:instrText xml:space="preserve"> PL 176, 256C</w:instrText>
      </w:r>
      <w:r>
        <w:instrText xml:space="preserve">" </w:instrText>
      </w:r>
      <w:r>
        <w:rPr>
          <w:lang w:val="cs-CZ"/>
        </w:rPr>
        <w:fldChar w:fldCharType="end"/>
      </w:r>
      <w:r>
        <w:rPr>
          <w:lang w:val="cs-CZ"/>
        </w:rPr>
        <w:t>)</w:t>
      </w:r>
    </w:p>
  </w:footnote>
  <w:footnote w:id="326">
    <w:p w14:paraId="6975B5BB" w14:textId="77777777" w:rsidR="00CD2817" w:rsidRDefault="00CD2817">
      <w:pPr>
        <w:pStyle w:val="Textpoznpodarou"/>
      </w:pPr>
      <w:r>
        <w:rPr>
          <w:rStyle w:val="Znakapoznpodarou"/>
        </w:rPr>
        <w:footnoteRef/>
      </w:r>
      <w:r>
        <w:t xml:space="preserve"> </w:t>
      </w:r>
      <w:r w:rsidRPr="00610B38">
        <w:t>„Licet igitur vere dicat</w:t>
      </w:r>
      <w:r>
        <w:t>ur veritas huius propositionis 'antichristus est'</w:t>
      </w:r>
      <w:r w:rsidRPr="00610B38">
        <w:t>, tamen non sequitur, quod statim erit necessarium eum fuisse, quia huius veritas est esse incompletum et indeterminatum. Idem enim est ponere necessitatem super hanc veritatem et ponere necessitatem super assertionem de futuro, quod erit, et super existentiam rei futurae. Quaelib</w:t>
      </w:r>
      <w:r>
        <w:t>et igitur talium propositionum 'antichristus erit', 'antichristus est futurus'</w:t>
      </w:r>
      <w:r w:rsidRPr="00610B38">
        <w:t xml:space="preserve"> est vera non necessaria, sed contingens, quia possibile est, quamlibet talem esse falsam.“ (</w:t>
      </w:r>
      <w:r w:rsidRPr="006938CB">
        <w:rPr>
          <w:i/>
        </w:rPr>
        <w:t>De veritate propositionis</w:t>
      </w:r>
      <w:r w:rsidRPr="00610B38">
        <w:t>, ed. Baur, p. 144.19‒32</w:t>
      </w:r>
      <w:r>
        <w:fldChar w:fldCharType="begin"/>
      </w:r>
      <w:r>
        <w:instrText xml:space="preserve"> XE "</w:instrText>
      </w:r>
      <w:r>
        <w:rPr>
          <w:lang w:val="cs-CZ"/>
        </w:rPr>
        <w:instrText>Grosseteste:</w:instrText>
      </w:r>
      <w:r w:rsidRPr="002E6504">
        <w:rPr>
          <w:i/>
        </w:rPr>
        <w:instrText>De veritate propositionis</w:instrText>
      </w:r>
      <w:r w:rsidRPr="002E6504">
        <w:instrText xml:space="preserve"> 144.19‒32</w:instrText>
      </w:r>
      <w:r>
        <w:instrText xml:space="preserve">" </w:instrText>
      </w:r>
      <w:r>
        <w:fldChar w:fldCharType="end"/>
      </w:r>
      <w:r w:rsidRPr="00610B38">
        <w:t>)</w:t>
      </w:r>
    </w:p>
  </w:footnote>
  <w:footnote w:id="327">
    <w:p w14:paraId="63C9AF62" w14:textId="77777777" w:rsidR="00CD2817" w:rsidRPr="08816F44" w:rsidRDefault="00CD2817" w:rsidP="08816F44">
      <w:pPr>
        <w:pStyle w:val="Textpoznpodarou"/>
        <w:rPr>
          <w:lang w:val="cs-CZ"/>
        </w:rPr>
      </w:pPr>
      <w:r>
        <w:rPr>
          <w:rStyle w:val="Znakapoznpodarou"/>
        </w:rPr>
        <w:footnoteRef/>
      </w:r>
      <w:r>
        <w:t xml:space="preserve"> </w:t>
      </w:r>
      <w:r>
        <w:rPr>
          <w:lang w:val="cs-CZ"/>
        </w:rPr>
        <w:t>„</w:t>
      </w:r>
      <w:r>
        <w:t>Ad illud autem, quod oppositum fuit, hoc scilicet, „</w:t>
      </w:r>
      <w:r>
        <w:rPr>
          <w:lang w:val="cs-CZ"/>
        </w:rPr>
        <w:t>a</w:t>
      </w:r>
      <w:r>
        <w:t>nti</w:t>
      </w:r>
      <w:r>
        <w:rPr>
          <w:lang w:val="cs-CZ"/>
        </w:rPr>
        <w:t>c</w:t>
      </w:r>
      <w:r>
        <w:t>hristum esse futurum potest esse falsum, tamen modo sit verum", dicendum, quod hoc verum est eadem potentia, qua verum est, Deum posse scire et nescire aliquid, scilicet de potentia aeterna. Et scias, quod veritas talium enuntiabilium non est</w:t>
      </w:r>
      <w:r>
        <w:rPr>
          <w:lang w:val="cs-CZ"/>
        </w:rPr>
        <w:t xml:space="preserve"> </w:t>
      </w:r>
      <w:r>
        <w:t>veritas temporalis, sed aeterna.</w:t>
      </w:r>
      <w:r>
        <w:rPr>
          <w:lang w:val="cs-CZ"/>
        </w:rPr>
        <w:t xml:space="preserve">“ </w:t>
      </w:r>
      <w:r w:rsidRPr="00610B38">
        <w:t>(</w:t>
      </w:r>
      <w:r w:rsidRPr="006938CB">
        <w:rPr>
          <w:i/>
        </w:rPr>
        <w:t xml:space="preserve">De </w:t>
      </w:r>
      <w:r>
        <w:rPr>
          <w:i/>
          <w:lang w:val="cs-CZ"/>
        </w:rPr>
        <w:t>libero arbitrio</w:t>
      </w:r>
      <w:r>
        <w:t>, ed. Baur, p. 1</w:t>
      </w:r>
      <w:r>
        <w:rPr>
          <w:lang w:val="cs-CZ"/>
        </w:rPr>
        <w:t>82</w:t>
      </w:r>
      <w:r>
        <w:t>.19‒</w:t>
      </w:r>
      <w:r>
        <w:rPr>
          <w:lang w:val="cs-CZ"/>
        </w:rPr>
        <w:t>24</w:t>
      </w:r>
      <w:r>
        <w:fldChar w:fldCharType="begin"/>
      </w:r>
      <w:r>
        <w:instrText xml:space="preserve"> XE "</w:instrText>
      </w:r>
      <w:r>
        <w:rPr>
          <w:lang w:val="cs-CZ"/>
        </w:rPr>
        <w:instrText>Grosseteste:</w:instrText>
      </w:r>
      <w:r w:rsidRPr="006938CB">
        <w:rPr>
          <w:i/>
        </w:rPr>
        <w:instrText xml:space="preserve">De </w:instrText>
      </w:r>
      <w:r>
        <w:rPr>
          <w:i/>
          <w:lang w:val="cs-CZ"/>
        </w:rPr>
        <w:instrText>libero arbitrio</w:instrText>
      </w:r>
      <w:r>
        <w:instrText xml:space="preserve"> 1</w:instrText>
      </w:r>
      <w:r>
        <w:rPr>
          <w:lang w:val="cs-CZ"/>
        </w:rPr>
        <w:instrText>82</w:instrText>
      </w:r>
      <w:r>
        <w:instrText>.19‒</w:instrText>
      </w:r>
      <w:r>
        <w:rPr>
          <w:lang w:val="cs-CZ"/>
        </w:rPr>
        <w:instrText>24</w:instrText>
      </w:r>
      <w:r>
        <w:instrText>"</w:instrText>
      </w:r>
      <w:r>
        <w:fldChar w:fldCharType="end"/>
      </w:r>
      <w:r w:rsidRPr="00610B38">
        <w:t>)</w:t>
      </w:r>
    </w:p>
    <w:p w14:paraId="4B5A2FD9" w14:textId="77777777" w:rsidR="00CD2817" w:rsidRPr="08816F44" w:rsidRDefault="00CD2817">
      <w:pPr>
        <w:pStyle w:val="Textpoznpodarou"/>
        <w:rPr>
          <w:lang w:val="cs-CZ"/>
        </w:rPr>
      </w:pPr>
    </w:p>
  </w:footnote>
  <w:footnote w:id="328">
    <w:p w14:paraId="705D4C35" w14:textId="3A694935" w:rsidR="00CD2817" w:rsidRPr="087B3996" w:rsidRDefault="00CD2817" w:rsidP="00CD2905">
      <w:pPr>
        <w:pStyle w:val="Textpoznpodarou"/>
        <w:rPr>
          <w:lang w:val="cs-CZ"/>
        </w:rPr>
      </w:pPr>
      <w:r>
        <w:rPr>
          <w:rStyle w:val="Znakapoznpodarou"/>
        </w:rPr>
        <w:footnoteRef/>
      </w:r>
      <w:r>
        <w:t xml:space="preserve"> </w:t>
      </w:r>
      <w:r>
        <w:rPr>
          <w:lang w:val="cs-CZ"/>
        </w:rPr>
        <w:t>Viz titul rozhovoru s </w:t>
      </w:r>
      <w:r w:rsidRPr="081E10C5">
        <w:t>Lloyd</w:t>
      </w:r>
      <w:r>
        <w:rPr>
          <w:lang w:val="cs-CZ"/>
        </w:rPr>
        <w:t xml:space="preserve">em </w:t>
      </w:r>
      <w:r w:rsidRPr="081E10C5">
        <w:t>Blankfein</w:t>
      </w:r>
      <w:r>
        <w:rPr>
          <w:lang w:val="cs-CZ"/>
        </w:rPr>
        <w:t xml:space="preserve">em, který </w:t>
      </w:r>
      <w:r>
        <w:fldChar w:fldCharType="begin"/>
      </w:r>
      <w:r>
        <w:instrText xml:space="preserve"> XE "</w:instrText>
      </w:r>
      <w:r w:rsidRPr="08F60BAA">
        <w:instrText>Goldman Sachs</w:instrText>
      </w:r>
      <w:r>
        <w:instrText xml:space="preserve">" </w:instrText>
      </w:r>
      <w:r>
        <w:fldChar w:fldCharType="end"/>
      </w:r>
      <w:r>
        <w:rPr>
          <w:lang w:val="cs-CZ"/>
        </w:rPr>
        <w:t xml:space="preserve">byl v době hypotéční bankovní loupeže ve vedoucí pozici </w:t>
      </w:r>
      <w:r w:rsidRPr="081E10C5">
        <w:t>banky Goldman Sachs</w:t>
      </w:r>
      <w:r>
        <w:rPr>
          <w:lang w:val="cs-CZ"/>
        </w:rPr>
        <w:t xml:space="preserve"> (</w:t>
      </w:r>
      <w:r w:rsidRPr="087B3996">
        <w:rPr>
          <w:i/>
        </w:rPr>
        <w:t>I'm doing 'God's work'. Meet Mr Goldman Sachs</w:t>
      </w:r>
      <w:r>
        <w:rPr>
          <w:lang w:val="cs-CZ"/>
        </w:rPr>
        <w:t xml:space="preserve">. In: </w:t>
      </w:r>
      <w:r w:rsidRPr="00624B67">
        <w:rPr>
          <w:rStyle w:val="publication"/>
          <w:i/>
        </w:rPr>
        <w:t>The Sunday Times</w:t>
      </w:r>
      <w:r>
        <w:rPr>
          <w:lang w:val="cs-CZ"/>
        </w:rPr>
        <w:t>, N</w:t>
      </w:r>
      <w:r>
        <w:t>ovember 8</w:t>
      </w:r>
      <w:r>
        <w:rPr>
          <w:lang w:val="cs-CZ"/>
        </w:rPr>
        <w:t xml:space="preserve">, </w:t>
      </w:r>
      <w:r>
        <w:t>2009</w:t>
      </w:r>
      <w:r>
        <w:rPr>
          <w:lang w:val="cs-CZ"/>
        </w:rPr>
        <w:t>).</w:t>
      </w:r>
    </w:p>
    <w:p w14:paraId="46419373" w14:textId="77777777" w:rsidR="00CD2817" w:rsidRPr="087B3996" w:rsidRDefault="00CD2817" w:rsidP="00CD2905">
      <w:pPr>
        <w:pStyle w:val="Textpoznpodarou"/>
        <w:rPr>
          <w:lang w:val="cs-CZ"/>
        </w:rPr>
      </w:pPr>
    </w:p>
  </w:footnote>
  <w:footnote w:id="329">
    <w:p w14:paraId="48803653" w14:textId="77777777" w:rsidR="00CD2817" w:rsidRDefault="00CD2817">
      <w:pPr>
        <w:pStyle w:val="Textpoznpodarou"/>
      </w:pPr>
      <w:r>
        <w:rPr>
          <w:rStyle w:val="Znakapoznpodarou"/>
        </w:rPr>
        <w:footnoteRef/>
      </w:r>
      <w:r>
        <w:t xml:space="preserve"> „Totum igitur quod in his generat caliginem est, quod contingentia rerum in ipsis videtur repugnare necessitati illi, quae est immutabilitas praesentialis in mente et scientia divina; similiter necessitati illi, quae est immutabilitas praesentialis veritatis in his de praeterito et de futuro; et quod non distinguitur, quomodo in eadem propositione ex parte aliqua est necessitas propter hoc, quod non finibilis est eius veritas, et ex parte alia contingentia quia quae est vera potuit sine initio non fuisse vera, ex qua potentia sequitur rerum contingentia.“ (</w:t>
      </w:r>
      <w:r w:rsidRPr="00BE4303">
        <w:rPr>
          <w:i/>
        </w:rPr>
        <w:t>De libero arbitrio</w:t>
      </w:r>
      <w:r>
        <w:t>, c. 6, ed. Baur, p</w:t>
      </w:r>
      <w:r>
        <w:rPr>
          <w:lang w:val="cs-CZ"/>
        </w:rPr>
        <w:t>p</w:t>
      </w:r>
      <w:r>
        <w:t>. 171.31‒172.3</w:t>
      </w:r>
      <w:r>
        <w:fldChar w:fldCharType="begin"/>
      </w:r>
      <w:r>
        <w:instrText xml:space="preserve"> XE "</w:instrText>
      </w:r>
      <w:r>
        <w:rPr>
          <w:lang w:val="cs-CZ"/>
        </w:rPr>
        <w:instrText>Grosseteste:</w:instrText>
      </w:r>
      <w:r w:rsidRPr="002F1FAB">
        <w:rPr>
          <w:i/>
        </w:rPr>
        <w:instrText>De libero arbitrio</w:instrText>
      </w:r>
      <w:r>
        <w:rPr>
          <w:i/>
          <w:lang w:val="cs-CZ"/>
        </w:rPr>
        <w:instrText xml:space="preserve"> </w:instrText>
      </w:r>
      <w:r w:rsidRPr="002F1FAB">
        <w:instrText>171.31‒172.3</w:instrText>
      </w:r>
      <w:r>
        <w:instrText xml:space="preserve">" </w:instrText>
      </w:r>
      <w:r>
        <w:fldChar w:fldCharType="end"/>
      </w:r>
      <w:r>
        <w:t>)</w:t>
      </w:r>
    </w:p>
  </w:footnote>
  <w:footnote w:id="330">
    <w:p w14:paraId="79B0E285" w14:textId="77777777" w:rsidR="00CD2817" w:rsidRPr="00CA0B61" w:rsidRDefault="00CD2817" w:rsidP="005A5F26">
      <w:pPr>
        <w:pStyle w:val="Textpoznpodarou"/>
      </w:pPr>
      <w:r>
        <w:rPr>
          <w:rStyle w:val="Znakapoznpodarou"/>
        </w:rPr>
        <w:footnoteRef/>
      </w:r>
      <w:r>
        <w:rPr>
          <w:lang w:val="cs-CZ"/>
        </w:rPr>
        <w:t xml:space="preserve"> </w:t>
      </w:r>
      <w:r>
        <w:t>„</w:t>
      </w:r>
      <w:r w:rsidRPr="00445280">
        <w:t>Hec adduximus contra quosdam modernos, qui nituntur contra ipsum Aristotilem et suos expositores et sacros simu</w:t>
      </w:r>
      <w:r>
        <w:t>l expositores de Aristotile here</w:t>
      </w:r>
      <w:r w:rsidRPr="00445280">
        <w:t>tico facer</w:t>
      </w:r>
      <w:r>
        <w:t>e</w:t>
      </w:r>
      <w:r w:rsidRPr="00445280">
        <w:t xml:space="preserve"> catholicum, mira cecitate et presumcione putantes se limpidius intelligere et verius interpretare Aristotilem ex litera latina corrupta quam philosophos, tam gentiles quam cat</w:t>
      </w:r>
      <w:r>
        <w:t>holicos, qui eius literam incor</w:t>
      </w:r>
      <w:r w:rsidRPr="00445280">
        <w:t>ruptam orginalem</w:t>
      </w:r>
      <w:r>
        <w:t xml:space="preserve"> grecam plenissime noverunt. </w:t>
      </w:r>
      <w:r w:rsidRPr="00445280">
        <w:t>Non igitur se desipiant et frustra desudent ut Aristotilem faciant catholicum, ne inutiliter tempus suum et vires ingenii consumant, et Aristotilem cathol</w:t>
      </w:r>
      <w:r>
        <w:t>icum constituendo, se ipsos here</w:t>
      </w:r>
      <w:r w:rsidRPr="00445280">
        <w:t>ticos faciant.</w:t>
      </w:r>
      <w:r>
        <w:t xml:space="preserve">“ </w:t>
      </w:r>
      <w:r>
        <w:rPr>
          <w:szCs w:val="12"/>
        </w:rPr>
        <w:t>(</w:t>
      </w:r>
      <w:r w:rsidRPr="00CA0B61">
        <w:rPr>
          <w:i/>
          <w:szCs w:val="12"/>
        </w:rPr>
        <w:t>Hexaëmeron</w:t>
      </w:r>
      <w:r>
        <w:rPr>
          <w:szCs w:val="12"/>
        </w:rPr>
        <w:t xml:space="preserve"> 1.8.2‒4</w:t>
      </w:r>
      <w:r>
        <w:rPr>
          <w:szCs w:val="12"/>
        </w:rPr>
        <w:fldChar w:fldCharType="begin"/>
      </w:r>
      <w:r>
        <w:instrText xml:space="preserve"> XE "</w:instrText>
      </w:r>
      <w:r>
        <w:rPr>
          <w:lang w:val="cs-CZ"/>
        </w:rPr>
        <w:instrText>Grosseteste:</w:instrText>
      </w:r>
      <w:r w:rsidRPr="00FC439E">
        <w:rPr>
          <w:i/>
          <w:szCs w:val="12"/>
        </w:rPr>
        <w:instrText>Hexaëmeron</w:instrText>
      </w:r>
      <w:r w:rsidRPr="00FC439E">
        <w:rPr>
          <w:szCs w:val="12"/>
        </w:rPr>
        <w:instrText xml:space="preserve"> </w:instrText>
      </w:r>
      <w:r>
        <w:rPr>
          <w:szCs w:val="12"/>
        </w:rPr>
        <w:instrText>1.8.2‒4</w:instrText>
      </w:r>
      <w:r>
        <w:instrText xml:space="preserve">" </w:instrText>
      </w:r>
      <w:r>
        <w:rPr>
          <w:szCs w:val="12"/>
        </w:rPr>
        <w:fldChar w:fldCharType="end"/>
      </w:r>
      <w:r>
        <w:rPr>
          <w:szCs w:val="12"/>
          <w:lang w:val="cs-CZ"/>
        </w:rPr>
        <w:t xml:space="preserve">; </w:t>
      </w:r>
      <w:r>
        <w:rPr>
          <w:szCs w:val="12"/>
        </w:rPr>
        <w:t xml:space="preserve">cit. podle </w:t>
      </w:r>
      <w:r>
        <w:t>Dales 1987, 183‒84)</w:t>
      </w:r>
    </w:p>
  </w:footnote>
  <w:footnote w:id="331">
    <w:p w14:paraId="11EEF664" w14:textId="77777777" w:rsidR="00CD2817" w:rsidRPr="00F77511" w:rsidRDefault="00CD2817" w:rsidP="008B5D98">
      <w:pPr>
        <w:pStyle w:val="Textpoznpodarou"/>
        <w:rPr>
          <w:lang w:val="cs-CZ"/>
        </w:rPr>
      </w:pPr>
      <w:r>
        <w:rPr>
          <w:rStyle w:val="Znakapoznpodarou"/>
        </w:rPr>
        <w:footnoteRef/>
      </w:r>
      <w:r>
        <w:t xml:space="preserve"> „</w:t>
      </w:r>
      <w:r w:rsidRPr="08A83305">
        <w:t>Unde intellectus agens est illud agens particulare quod exigitur ad operationem intellectus speculativi, qui quidem intellectus agens secundum Commentatorem est pars anime</w:t>
      </w:r>
      <w:r>
        <w:t>, secundum Alpharabium et secund</w:t>
      </w:r>
      <w:r w:rsidRPr="08A83305">
        <w:t>um Aristotelem et Avicennam est aliquid aliud.</w:t>
      </w:r>
      <w:r>
        <w:t>“</w:t>
      </w:r>
      <w:r w:rsidRPr="08A83305">
        <w:t xml:space="preserve"> (</w:t>
      </w:r>
      <w:r>
        <w:rPr>
          <w:i/>
        </w:rPr>
        <w:t>Quaestiones</w:t>
      </w:r>
      <w:r w:rsidRPr="00482F9A">
        <w:rPr>
          <w:i/>
        </w:rPr>
        <w:t xml:space="preserve"> altere supra libros prime philosophie Aristotelis</w:t>
      </w:r>
      <w:r>
        <w:t xml:space="preserve">, </w:t>
      </w:r>
      <w:r>
        <w:rPr>
          <w:lang w:val="cs-CZ"/>
        </w:rPr>
        <w:t xml:space="preserve">lib. IX; </w:t>
      </w:r>
      <w:r>
        <w:t>ed. Steele, OHI 10</w:t>
      </w:r>
      <w:r w:rsidRPr="08A83305">
        <w:t>,</w:t>
      </w:r>
      <w:r>
        <w:rPr>
          <w:lang w:val="cs-CZ"/>
        </w:rPr>
        <w:t xml:space="preserve"> </w:t>
      </w:r>
      <w:r>
        <w:t>298.34‒</w:t>
      </w:r>
      <w:r w:rsidRPr="08A83305">
        <w:t>299.2</w:t>
      </w:r>
      <w:r>
        <w:fldChar w:fldCharType="begin"/>
      </w:r>
      <w:r>
        <w:instrText xml:space="preserve"> XE "</w:instrText>
      </w:r>
      <w:r>
        <w:rPr>
          <w:lang w:val="cs-CZ"/>
        </w:rPr>
        <w:instrText>Bacon:</w:instrText>
      </w:r>
      <w:r>
        <w:rPr>
          <w:i/>
        </w:rPr>
        <w:instrText>Quaestiones</w:instrText>
      </w:r>
      <w:r w:rsidRPr="082838B8">
        <w:rPr>
          <w:i/>
        </w:rPr>
        <w:instrText xml:space="preserve"> supra libros prime philosophie Aristotelis</w:instrText>
      </w:r>
      <w:r>
        <w:rPr>
          <w:i/>
          <w:lang w:val="cs-CZ"/>
        </w:rPr>
        <w:instrText xml:space="preserve"> </w:instrText>
      </w:r>
      <w:r>
        <w:instrText>298.34‒</w:instrText>
      </w:r>
      <w:r w:rsidRPr="08A83305">
        <w:instrText>299.2</w:instrText>
      </w:r>
      <w:r>
        <w:instrText xml:space="preserve">" </w:instrText>
      </w:r>
      <w:r>
        <w:fldChar w:fldCharType="end"/>
      </w:r>
      <w:r w:rsidRPr="08A83305">
        <w:t>)</w:t>
      </w:r>
    </w:p>
  </w:footnote>
  <w:footnote w:id="332">
    <w:p w14:paraId="2537ED9B" w14:textId="77777777" w:rsidR="00CD2817" w:rsidRPr="00934336" w:rsidRDefault="00CD2817" w:rsidP="006D4540">
      <w:pPr>
        <w:pStyle w:val="Textpoznpodarou"/>
      </w:pPr>
      <w:r>
        <w:rPr>
          <w:rStyle w:val="Znakapoznpodarou"/>
        </w:rPr>
        <w:footnoteRef/>
      </w:r>
      <w:r w:rsidRPr="00934336">
        <w:t xml:space="preserve"> </w:t>
      </w:r>
      <w:r>
        <w:rPr>
          <w:lang w:val="cs-CZ"/>
        </w:rPr>
        <w:t>„...</w:t>
      </w:r>
      <w:r w:rsidRPr="085C05B7">
        <w:t>librum de anima, si cum naturalibus legatur, in festo Ascensionis, si autem cum logicalibus, in festo Annunciationis beate Virginis</w:t>
      </w:r>
      <w:r>
        <w:rPr>
          <w:lang w:val="cs-CZ"/>
        </w:rPr>
        <w:t>...“ (</w:t>
      </w:r>
      <w:r w:rsidRPr="0030644E">
        <w:rPr>
          <w:i/>
        </w:rPr>
        <w:t>Chartularium</w:t>
      </w:r>
      <w:r w:rsidRPr="00934336">
        <w:t xml:space="preserve"> I, n</w:t>
      </w:r>
      <w:r>
        <w:rPr>
          <w:lang w:val="cs-CZ"/>
        </w:rPr>
        <w:t>o</w:t>
      </w:r>
      <w:r w:rsidRPr="00934336">
        <w:t>. 246</w:t>
      </w:r>
      <w:r>
        <w:rPr>
          <w:lang w:val="cs-CZ"/>
        </w:rPr>
        <w:t xml:space="preserve">, </w:t>
      </w:r>
      <w:r w:rsidRPr="00934336">
        <w:t>p. 278</w:t>
      </w:r>
      <w:r>
        <w:fldChar w:fldCharType="begin"/>
      </w:r>
      <w:r>
        <w:instrText xml:space="preserve"> XE "</w:instrText>
      </w:r>
      <w:r w:rsidRPr="000E598A">
        <w:rPr>
          <w:i/>
        </w:rPr>
        <w:instrText>Chartularium</w:instrText>
      </w:r>
      <w:r>
        <w:rPr>
          <w:lang w:val="cs-CZ"/>
        </w:rPr>
        <w:instrText xml:space="preserve"> I, </w:instrText>
      </w:r>
      <w:r w:rsidRPr="00934336">
        <w:instrText>n</w:instrText>
      </w:r>
      <w:r>
        <w:rPr>
          <w:lang w:val="cs-CZ"/>
        </w:rPr>
        <w:instrText>o</w:instrText>
      </w:r>
      <w:r w:rsidRPr="00934336">
        <w:instrText>. 246</w:instrText>
      </w:r>
      <w:r>
        <w:rPr>
          <w:lang w:val="cs-CZ"/>
        </w:rPr>
        <w:instrText xml:space="preserve">, </w:instrText>
      </w:r>
      <w:r w:rsidRPr="00934336">
        <w:instrText>p. 278</w:instrText>
      </w:r>
      <w:r>
        <w:instrText xml:space="preserve">" </w:instrText>
      </w:r>
      <w:r>
        <w:fldChar w:fldCharType="end"/>
      </w:r>
      <w:r w:rsidRPr="00934336">
        <w:t>).</w:t>
      </w:r>
    </w:p>
  </w:footnote>
  <w:footnote w:id="333">
    <w:p w14:paraId="176F075D" w14:textId="77777777" w:rsidR="00CD2817" w:rsidRPr="004C7CC7" w:rsidRDefault="00CD2817" w:rsidP="00995AE9">
      <w:pPr>
        <w:pStyle w:val="Textpoznpodarou"/>
        <w:rPr>
          <w:rFonts w:eastAsia="Times" w:cs="Calibri"/>
          <w:lang w:val="cs-CZ"/>
        </w:rPr>
      </w:pPr>
      <w:r>
        <w:rPr>
          <w:rStyle w:val="Znakapoznpodarou"/>
        </w:rPr>
        <w:footnoteRef/>
      </w:r>
      <w:r>
        <w:t xml:space="preserve"> </w:t>
      </w:r>
      <w:r w:rsidRPr="00B75871">
        <w:t xml:space="preserve">„Verumtamen cum intellectum possibilem dicimus, duo dicimus, id est intellectum, qui non est aliud quam substantia vel spiritus intelligibilis, cum sit quaedam potentia eius </w:t>
      </w:r>
      <w:r>
        <w:rPr>
          <w:rFonts w:ascii="Arial" w:hAnsi="Arial" w:cs="Arial"/>
        </w:rPr>
        <w:t>‒</w:t>
      </w:r>
      <w:r w:rsidRPr="00B75871">
        <w:rPr>
          <w:rFonts w:cs="Calibri"/>
        </w:rPr>
        <w:t>, et possibilitatem, quae est rerum accidens quoddam consequens quoddam esse animae vel spiritus. Ideoque verius intelle</w:t>
      </w:r>
      <w:r w:rsidRPr="00B75871">
        <w:t xml:space="preserve">ctus possibilis quatenus intellectus est, substantia non est, sed subsistentiae, et quatenus possibilis neque substantia neque subsistentiae nisi per accidens.“ </w:t>
      </w:r>
      <w:r w:rsidRPr="007551D7">
        <w:rPr>
          <w:rFonts w:eastAsia="Times"/>
        </w:rPr>
        <w:t>(</w:t>
      </w:r>
      <w:r w:rsidRPr="007551D7">
        <w:rPr>
          <w:rFonts w:eastAsia="Times"/>
          <w:i/>
        </w:rPr>
        <w:t>Summa philosophiae</w:t>
      </w:r>
      <w:r>
        <w:rPr>
          <w:rFonts w:eastAsia="Times"/>
        </w:rPr>
        <w:t xml:space="preserve"> 19.4</w:t>
      </w:r>
      <w:r>
        <w:rPr>
          <w:rFonts w:eastAsia="Times"/>
          <w:lang w:val="cs-CZ"/>
        </w:rPr>
        <w:t xml:space="preserve">; </w:t>
      </w:r>
      <w:r w:rsidRPr="007551D7">
        <w:rPr>
          <w:rFonts w:eastAsia="Times"/>
        </w:rPr>
        <w:t>ed. Baur, pp. 305.39</w:t>
      </w:r>
      <w:r w:rsidRPr="007551D7">
        <w:rPr>
          <w:rFonts w:ascii="Arial" w:eastAsia="Times" w:hAnsi="Arial" w:cs="Arial"/>
        </w:rPr>
        <w:t>‒</w:t>
      </w:r>
      <w:r w:rsidRPr="007551D7">
        <w:rPr>
          <w:rFonts w:eastAsia="Times" w:cs="Calibri"/>
        </w:rPr>
        <w:t>306.2</w:t>
      </w:r>
      <w:r>
        <w:rPr>
          <w:rFonts w:eastAsia="Times" w:cs="Calibri"/>
        </w:rPr>
        <w:fldChar w:fldCharType="begin"/>
      </w:r>
      <w:r>
        <w:instrText xml:space="preserve"> XE "</w:instrText>
      </w:r>
      <w:r w:rsidRPr="004C7CC7">
        <w:instrText>Pseu</w:instrText>
      </w:r>
      <w:r w:rsidRPr="004C7CC7">
        <w:rPr>
          <w:lang w:val="cs-CZ"/>
        </w:rPr>
        <w:instrText>d</w:instrText>
      </w:r>
      <w:r w:rsidRPr="004C7CC7">
        <w:instrText>o-Grosseteste:</w:instrText>
      </w:r>
      <w:r w:rsidRPr="00AD7E34">
        <w:rPr>
          <w:rFonts w:eastAsia="Times"/>
          <w:i/>
        </w:rPr>
        <w:instrText>Summa philosophiae</w:instrText>
      </w:r>
      <w:r w:rsidRPr="00AD7E34">
        <w:rPr>
          <w:rFonts w:eastAsia="Times"/>
        </w:rPr>
        <w:instrText xml:space="preserve"> 305.39</w:instrText>
      </w:r>
      <w:r w:rsidRPr="00AD7E34">
        <w:rPr>
          <w:rFonts w:ascii="Arial" w:eastAsia="Times" w:hAnsi="Arial" w:cs="Arial"/>
        </w:rPr>
        <w:instrText>‒</w:instrText>
      </w:r>
      <w:r w:rsidRPr="00AD7E34">
        <w:rPr>
          <w:rFonts w:eastAsia="Times" w:cs="Calibri"/>
        </w:rPr>
        <w:instrText>306.2</w:instrText>
      </w:r>
      <w:r>
        <w:instrText xml:space="preserve">" </w:instrText>
      </w:r>
      <w:r>
        <w:rPr>
          <w:rFonts w:eastAsia="Times" w:cs="Calibri"/>
        </w:rPr>
        <w:fldChar w:fldCharType="end"/>
      </w:r>
      <w:r w:rsidRPr="007551D7">
        <w:rPr>
          <w:rFonts w:eastAsia="Times" w:cs="Calibri"/>
        </w:rPr>
        <w:t>)</w:t>
      </w:r>
    </w:p>
  </w:footnote>
  <w:footnote w:id="334">
    <w:p w14:paraId="197A34A2" w14:textId="77777777" w:rsidR="00CD2817" w:rsidRDefault="00CD2817" w:rsidP="00995AE9">
      <w:pPr>
        <w:pStyle w:val="Textpoznpodarou"/>
      </w:pPr>
      <w:r>
        <w:rPr>
          <w:rStyle w:val="Znakapoznpodarou"/>
        </w:rPr>
        <w:footnoteRef/>
      </w:r>
      <w:r>
        <w:t xml:space="preserve"> </w:t>
      </w:r>
      <w:r w:rsidRPr="00E0623E">
        <w:t>„Ideoque enormiter erraverunt Theophrastus ac Themistius posteriusque Averroes, qui eundem unicum intellectum possibilem in omnibus individuis hominum etiam secundum numerum esse</w:t>
      </w:r>
      <w:r>
        <w:t xml:space="preserve"> posuerunt, et maxime Aristotel</w:t>
      </w:r>
      <w:r>
        <w:rPr>
          <w:lang w:val="cs-CZ"/>
        </w:rPr>
        <w:t>e</w:t>
      </w:r>
      <w:r w:rsidRPr="00E0623E">
        <w:t>s qui intellectum agentem ab intellectu possibili differre secundum substantiam arbitratur. Quibus inter veteres solus manifestius Avicenna contradicit.“ (</w:t>
      </w:r>
      <w:r w:rsidRPr="00B60327">
        <w:rPr>
          <w:rStyle w:val="Zkladntextdkovn0pt"/>
          <w:rFonts w:ascii="Calibri" w:eastAsia="Times" w:hAnsi="Calibri" w:cs="Times New Roman"/>
          <w:i/>
          <w:spacing w:val="0"/>
          <w:sz w:val="21"/>
          <w:u w:val="none"/>
          <w:lang w:val="cs-CZ"/>
        </w:rPr>
        <w:t>Summa philosophiae</w:t>
      </w:r>
      <w:r>
        <w:rPr>
          <w:rStyle w:val="Zkladntextdkovn0pt"/>
          <w:rFonts w:ascii="Calibri" w:eastAsia="Times" w:hAnsi="Calibri" w:cs="Times New Roman"/>
          <w:spacing w:val="0"/>
          <w:sz w:val="21"/>
          <w:u w:val="none"/>
          <w:lang w:val="cs-CZ"/>
        </w:rPr>
        <w:t xml:space="preserve"> 29; ed. Baur, p. 472.18</w:t>
      </w:r>
      <w:r>
        <w:rPr>
          <w:rStyle w:val="Zkladntextdkovn0pt"/>
          <w:rFonts w:ascii="Arial" w:eastAsia="Times" w:hAnsi="Arial" w:cs="Arial"/>
          <w:spacing w:val="0"/>
          <w:sz w:val="21"/>
          <w:u w:val="none"/>
          <w:lang w:val="cs-CZ"/>
        </w:rPr>
        <w:t>‒</w:t>
      </w:r>
      <w:r>
        <w:rPr>
          <w:rStyle w:val="Zkladntextdkovn0pt"/>
          <w:rFonts w:ascii="Calibri" w:eastAsia="Times" w:hAnsi="Calibri" w:cs="Calibri"/>
          <w:spacing w:val="0"/>
          <w:sz w:val="21"/>
          <w:u w:val="none"/>
          <w:lang w:val="cs-CZ"/>
        </w:rPr>
        <w:t>24</w:t>
      </w:r>
      <w:r>
        <w:rPr>
          <w:rFonts w:eastAsia="Times" w:cs="Calibri"/>
        </w:rPr>
        <w:fldChar w:fldCharType="begin"/>
      </w:r>
      <w:r>
        <w:instrText xml:space="preserve"> XE "</w:instrText>
      </w:r>
      <w:r w:rsidRPr="004C7CC7">
        <w:instrText>Pseu</w:instrText>
      </w:r>
      <w:r w:rsidRPr="004C7CC7">
        <w:rPr>
          <w:lang w:val="cs-CZ"/>
        </w:rPr>
        <w:instrText>d</w:instrText>
      </w:r>
      <w:r w:rsidRPr="004C7CC7">
        <w:instrText>o-Grosseteste:</w:instrText>
      </w:r>
      <w:r w:rsidRPr="00AD7E34">
        <w:rPr>
          <w:rFonts w:eastAsia="Times"/>
          <w:i/>
        </w:rPr>
        <w:instrText>Summa philosophiae</w:instrText>
      </w:r>
      <w:r w:rsidRPr="00AD7E34">
        <w:rPr>
          <w:rFonts w:eastAsia="Times"/>
        </w:rPr>
        <w:instrText xml:space="preserve"> </w:instrText>
      </w:r>
      <w:r>
        <w:rPr>
          <w:rStyle w:val="Zkladntextdkovn0pt"/>
          <w:rFonts w:ascii="Calibri" w:eastAsia="Times" w:hAnsi="Calibri" w:cs="Times New Roman"/>
          <w:spacing w:val="0"/>
          <w:sz w:val="21"/>
          <w:u w:val="none"/>
          <w:lang w:val="cs-CZ"/>
        </w:rPr>
        <w:instrText>472.18</w:instrText>
      </w:r>
      <w:r>
        <w:rPr>
          <w:rStyle w:val="Zkladntextdkovn0pt"/>
          <w:rFonts w:ascii="Arial" w:eastAsia="Times" w:hAnsi="Arial" w:cs="Arial"/>
          <w:spacing w:val="0"/>
          <w:sz w:val="21"/>
          <w:u w:val="none"/>
          <w:lang w:val="cs-CZ"/>
        </w:rPr>
        <w:instrText>‒</w:instrText>
      </w:r>
      <w:r>
        <w:rPr>
          <w:rStyle w:val="Zkladntextdkovn0pt"/>
          <w:rFonts w:ascii="Calibri" w:eastAsia="Times" w:hAnsi="Calibri" w:cs="Calibri"/>
          <w:spacing w:val="0"/>
          <w:sz w:val="21"/>
          <w:u w:val="none"/>
          <w:lang w:val="cs-CZ"/>
        </w:rPr>
        <w:instrText>24</w:instrText>
      </w:r>
      <w:r>
        <w:instrText xml:space="preserve">" </w:instrText>
      </w:r>
      <w:r>
        <w:rPr>
          <w:rFonts w:eastAsia="Times" w:cs="Calibri"/>
        </w:rPr>
        <w:fldChar w:fldCharType="end"/>
      </w:r>
      <w:r w:rsidRPr="00E0623E">
        <w:t>)</w:t>
      </w:r>
    </w:p>
  </w:footnote>
  <w:footnote w:id="335">
    <w:p w14:paraId="0041E706" w14:textId="77777777" w:rsidR="00CD2817" w:rsidRPr="00111053" w:rsidRDefault="00CD2817" w:rsidP="00995AE9">
      <w:pPr>
        <w:pStyle w:val="Textpoznpodarou"/>
        <w:rPr>
          <w:rFonts w:eastAsia="Times"/>
          <w:szCs w:val="15"/>
        </w:rPr>
      </w:pPr>
      <w:r>
        <w:rPr>
          <w:rStyle w:val="Znakapoznpodarou"/>
        </w:rPr>
        <w:footnoteRef/>
      </w:r>
      <w:r>
        <w:t xml:space="preserve"> </w:t>
      </w:r>
      <w:r w:rsidRPr="00111053">
        <w:rPr>
          <w:rStyle w:val="Zkladntextdkovn0pt"/>
          <w:rFonts w:ascii="Calibri" w:eastAsia="Times" w:hAnsi="Calibri" w:cs="Times New Roman"/>
          <w:color w:val="auto"/>
          <w:spacing w:val="0"/>
          <w:sz w:val="20"/>
          <w:u w:val="none"/>
          <w:lang w:val="cs-CZ"/>
        </w:rPr>
        <w:t>„Omne autem recipiens iuxta Averroem denudatum est a natura recepti, cuius anitas sola sui relatione ad formam naturaliter ipsius perfectivam, sub qua actualiter esse potest, perpenditur. Quod enim vere non est nisi in potentia sola vere cognosci non potest nisi ex relatione potentiae ad actum.“ (</w:t>
      </w:r>
      <w:r w:rsidRPr="00111053">
        <w:rPr>
          <w:rStyle w:val="Zkladntextdkovn0pt"/>
          <w:rFonts w:ascii="Calibri" w:eastAsia="Times" w:hAnsi="Calibri" w:cs="Times New Roman"/>
          <w:i/>
          <w:color w:val="auto"/>
          <w:spacing w:val="0"/>
          <w:sz w:val="20"/>
          <w:u w:val="none"/>
          <w:lang w:val="cs-CZ"/>
        </w:rPr>
        <w:t>Summa philosophiae</w:t>
      </w:r>
      <w:r w:rsidRPr="00111053">
        <w:rPr>
          <w:rStyle w:val="Zkladntextdkovn0pt"/>
          <w:rFonts w:ascii="Calibri" w:eastAsia="Times" w:hAnsi="Calibri" w:cs="Times New Roman"/>
          <w:color w:val="auto"/>
          <w:spacing w:val="0"/>
          <w:sz w:val="20"/>
          <w:u w:val="none"/>
          <w:lang w:val="cs-CZ"/>
        </w:rPr>
        <w:t xml:space="preserve"> </w:t>
      </w:r>
      <w:r>
        <w:rPr>
          <w:rStyle w:val="Zkladntextdkovn0pt"/>
          <w:rFonts w:ascii="Calibri" w:eastAsia="Times" w:hAnsi="Calibri" w:cs="Times New Roman"/>
          <w:color w:val="auto"/>
          <w:spacing w:val="0"/>
          <w:sz w:val="20"/>
          <w:u w:val="none"/>
          <w:lang w:val="cs-CZ"/>
        </w:rPr>
        <w:t>19;</w:t>
      </w:r>
      <w:r w:rsidRPr="00111053">
        <w:rPr>
          <w:rStyle w:val="Zkladntextdkovn0pt"/>
          <w:rFonts w:ascii="Calibri" w:eastAsia="Times" w:hAnsi="Calibri" w:cs="Times New Roman"/>
          <w:color w:val="auto"/>
          <w:spacing w:val="0"/>
          <w:sz w:val="20"/>
          <w:u w:val="none"/>
          <w:lang w:val="cs-CZ"/>
        </w:rPr>
        <w:t xml:space="preserve"> ed. Baur, p. 30</w:t>
      </w:r>
      <w:r>
        <w:rPr>
          <w:rStyle w:val="Zkladntextdkovn0pt"/>
          <w:rFonts w:ascii="Calibri" w:eastAsia="Times" w:hAnsi="Calibri" w:cs="Times New Roman"/>
          <w:color w:val="auto"/>
          <w:spacing w:val="0"/>
          <w:sz w:val="20"/>
          <w:u w:val="none"/>
          <w:lang w:val="cs-CZ"/>
        </w:rPr>
        <w:t>5</w:t>
      </w:r>
      <w:r w:rsidRPr="00111053">
        <w:rPr>
          <w:rStyle w:val="Zkladntextdkovn0pt"/>
          <w:rFonts w:ascii="Calibri" w:eastAsia="Times" w:hAnsi="Calibri" w:cs="Times New Roman"/>
          <w:color w:val="auto"/>
          <w:spacing w:val="0"/>
          <w:sz w:val="20"/>
          <w:u w:val="none"/>
          <w:lang w:val="cs-CZ"/>
        </w:rPr>
        <w:t>.25</w:t>
      </w:r>
      <w:r w:rsidRPr="00111053">
        <w:rPr>
          <w:rStyle w:val="Zkladntextdkovn0pt"/>
          <w:rFonts w:ascii="Arial" w:eastAsia="Times" w:hAnsi="Arial" w:cs="Arial"/>
          <w:color w:val="auto"/>
          <w:spacing w:val="0"/>
          <w:sz w:val="20"/>
          <w:u w:val="none"/>
          <w:lang w:val="cs-CZ"/>
        </w:rPr>
        <w:t>‒</w:t>
      </w:r>
      <w:r w:rsidRPr="00111053">
        <w:rPr>
          <w:rStyle w:val="Zkladntextdkovn0pt"/>
          <w:rFonts w:ascii="Calibri" w:eastAsia="Times" w:hAnsi="Calibri" w:cs="Times New Roman"/>
          <w:color w:val="auto"/>
          <w:spacing w:val="0"/>
          <w:sz w:val="20"/>
          <w:u w:val="none"/>
          <w:lang w:val="cs-CZ"/>
        </w:rPr>
        <w:t>30</w:t>
      </w:r>
      <w:r>
        <w:rPr>
          <w:rFonts w:eastAsia="Times" w:cs="Calibri"/>
        </w:rPr>
        <w:fldChar w:fldCharType="begin"/>
      </w:r>
      <w:r>
        <w:instrText xml:space="preserve"> XE "</w:instrText>
      </w:r>
      <w:r w:rsidRPr="004C7CC7">
        <w:instrText>Pseu</w:instrText>
      </w:r>
      <w:r w:rsidRPr="004C7CC7">
        <w:rPr>
          <w:lang w:val="cs-CZ"/>
        </w:rPr>
        <w:instrText>d</w:instrText>
      </w:r>
      <w:r w:rsidRPr="004C7CC7">
        <w:instrText>o-Grosseteste:</w:instrText>
      </w:r>
      <w:r w:rsidRPr="00AD7E34">
        <w:rPr>
          <w:rFonts w:eastAsia="Times"/>
          <w:i/>
        </w:rPr>
        <w:instrText>Summa philosophiae</w:instrText>
      </w:r>
      <w:r w:rsidRPr="00AD7E34">
        <w:rPr>
          <w:rFonts w:eastAsia="Times"/>
        </w:rPr>
        <w:instrText xml:space="preserve"> </w:instrText>
      </w:r>
      <w:r>
        <w:rPr>
          <w:rStyle w:val="Zkladntextdkovn0pt"/>
          <w:rFonts w:ascii="Calibri" w:eastAsia="Times" w:hAnsi="Calibri" w:cs="Times New Roman"/>
          <w:spacing w:val="0"/>
          <w:sz w:val="21"/>
          <w:u w:val="none"/>
          <w:lang w:val="cs-CZ"/>
        </w:rPr>
        <w:instrText>305.25</w:instrText>
      </w:r>
      <w:r>
        <w:rPr>
          <w:rStyle w:val="Zkladntextdkovn0pt"/>
          <w:rFonts w:ascii="Arial" w:eastAsia="Times" w:hAnsi="Arial" w:cs="Arial"/>
          <w:spacing w:val="0"/>
          <w:sz w:val="21"/>
          <w:u w:val="none"/>
          <w:lang w:val="cs-CZ"/>
        </w:rPr>
        <w:instrText>‒</w:instrText>
      </w:r>
      <w:r>
        <w:rPr>
          <w:rStyle w:val="Zkladntextdkovn0pt"/>
          <w:rFonts w:ascii="Calibri" w:eastAsia="Times" w:hAnsi="Calibri" w:cs="Calibri"/>
          <w:spacing w:val="0"/>
          <w:sz w:val="21"/>
          <w:u w:val="none"/>
          <w:lang w:val="cs-CZ"/>
        </w:rPr>
        <w:instrText>30</w:instrText>
      </w:r>
      <w:r>
        <w:instrText xml:space="preserve">" </w:instrText>
      </w:r>
      <w:r>
        <w:rPr>
          <w:rFonts w:eastAsia="Times" w:cs="Calibri"/>
        </w:rPr>
        <w:fldChar w:fldCharType="end"/>
      </w:r>
      <w:r>
        <w:rPr>
          <w:rStyle w:val="Zkladntextdkovn0pt"/>
          <w:rFonts w:ascii="Calibri" w:eastAsia="Times" w:hAnsi="Calibri" w:cs="Times New Roman"/>
          <w:color w:val="auto"/>
          <w:spacing w:val="0"/>
          <w:sz w:val="20"/>
          <w:u w:val="none"/>
          <w:lang w:val="cs-CZ"/>
        </w:rPr>
        <w:t>)</w:t>
      </w:r>
    </w:p>
  </w:footnote>
  <w:footnote w:id="336">
    <w:p w14:paraId="7B487F2F" w14:textId="77777777" w:rsidR="00CD2817" w:rsidRDefault="00CD2817" w:rsidP="00995AE9">
      <w:pPr>
        <w:pStyle w:val="Textpoznpodarou"/>
      </w:pPr>
      <w:r>
        <w:rPr>
          <w:rStyle w:val="Znakapoznpodarou"/>
        </w:rPr>
        <w:footnoteRef/>
      </w:r>
      <w:r>
        <w:t xml:space="preserve"> </w:t>
      </w:r>
      <w:r w:rsidRPr="00307317">
        <w:rPr>
          <w:rStyle w:val="Zkladntextdkovn0pt"/>
          <w:rFonts w:ascii="Calibri" w:eastAsia="Times" w:hAnsi="Calibri" w:cs="Times New Roman"/>
          <w:color w:val="auto"/>
          <w:spacing w:val="0"/>
          <w:sz w:val="20"/>
          <w:u w:val="none"/>
          <w:lang w:val="cs-CZ"/>
        </w:rPr>
        <w:t>„</w:t>
      </w:r>
      <w:r w:rsidRPr="00F952E2">
        <w:rPr>
          <w:rStyle w:val="Zkladntextdkovn0pt"/>
          <w:rFonts w:ascii="Calibri" w:eastAsia="Times" w:hAnsi="Calibri" w:cs="Times New Roman"/>
          <w:spacing w:val="0"/>
          <w:sz w:val="21"/>
          <w:u w:val="none"/>
          <w:lang w:val="fr-FR"/>
        </w:rPr>
        <w:t>Res namque materiata substantialiter ex duobus consistit, scilicet re in pura potentia et actu et forma essentiali eiusdem potentiae perfectiva, quod et per viam considerationis, resolutio manifestat, cum omnis potentia passiva ad potentiam simpliciter reducatur et omnis actus et forma ad formari simpliciter, sicut actualiter ex duobus componitur, scilicet ente potentia quadam scilicet respectiva et hac forma vel ista penitus signata et individuali.</w:t>
      </w:r>
      <w:r>
        <w:rPr>
          <w:rStyle w:val="Zkladntextdkovn0pt"/>
          <w:rFonts w:ascii="Calibri" w:eastAsia="Times" w:hAnsi="Calibri" w:cs="Times New Roman"/>
          <w:spacing w:val="0"/>
          <w:sz w:val="21"/>
          <w:u w:val="none"/>
          <w:lang w:val="cs-CZ"/>
        </w:rPr>
        <w:t>“ (</w:t>
      </w:r>
      <w:r w:rsidRPr="007A3BEE">
        <w:rPr>
          <w:rStyle w:val="Zkladntextdkovn0pt"/>
          <w:rFonts w:ascii="Calibri" w:eastAsia="Times" w:hAnsi="Calibri" w:cs="Times New Roman"/>
          <w:i/>
          <w:spacing w:val="0"/>
          <w:sz w:val="21"/>
          <w:u w:val="none"/>
          <w:lang w:val="cs-CZ"/>
        </w:rPr>
        <w:t>Summa philosophiae</w:t>
      </w:r>
      <w:r>
        <w:rPr>
          <w:rStyle w:val="Zkladntextdkovn0pt"/>
          <w:rFonts w:ascii="Calibri" w:eastAsia="Times" w:hAnsi="Calibri" w:cs="Times New Roman"/>
          <w:spacing w:val="0"/>
          <w:sz w:val="21"/>
          <w:u w:val="none"/>
          <w:lang w:val="cs-CZ"/>
        </w:rPr>
        <w:t xml:space="preserve"> XIX.4; ed. Baur, p. 306.11‒18</w:t>
      </w:r>
      <w:r>
        <w:rPr>
          <w:rFonts w:eastAsia="Times" w:cs="Calibri"/>
        </w:rPr>
        <w:fldChar w:fldCharType="begin"/>
      </w:r>
      <w:r>
        <w:instrText xml:space="preserve"> XE "</w:instrText>
      </w:r>
      <w:r w:rsidRPr="004C7CC7">
        <w:instrText>Pseu</w:instrText>
      </w:r>
      <w:r w:rsidRPr="004C7CC7">
        <w:rPr>
          <w:lang w:val="cs-CZ"/>
        </w:rPr>
        <w:instrText>d</w:instrText>
      </w:r>
      <w:r w:rsidRPr="004C7CC7">
        <w:instrText>o-Grosseteste:</w:instrText>
      </w:r>
      <w:r w:rsidRPr="00AD7E34">
        <w:rPr>
          <w:rFonts w:eastAsia="Times"/>
          <w:i/>
        </w:rPr>
        <w:instrText>Summa philosophiae</w:instrText>
      </w:r>
      <w:r w:rsidRPr="00AD7E34">
        <w:rPr>
          <w:rFonts w:eastAsia="Times"/>
        </w:rPr>
        <w:instrText xml:space="preserve"> </w:instrText>
      </w:r>
      <w:r>
        <w:rPr>
          <w:rStyle w:val="Zkladntextdkovn0pt"/>
          <w:rFonts w:ascii="Calibri" w:eastAsia="Times" w:hAnsi="Calibri" w:cs="Times New Roman"/>
          <w:spacing w:val="0"/>
          <w:sz w:val="21"/>
          <w:u w:val="none"/>
          <w:lang w:val="cs-CZ"/>
        </w:rPr>
        <w:instrText>306.11‒18</w:instrText>
      </w:r>
      <w:r>
        <w:instrText xml:space="preserve">" </w:instrText>
      </w:r>
      <w:r>
        <w:rPr>
          <w:rFonts w:eastAsia="Times" w:cs="Calibri"/>
        </w:rPr>
        <w:fldChar w:fldCharType="end"/>
      </w:r>
      <w:r>
        <w:rPr>
          <w:rStyle w:val="Zkladntextdkovn0pt"/>
          <w:rFonts w:ascii="Calibri" w:eastAsia="Times" w:hAnsi="Calibri" w:cs="Times New Roman"/>
          <w:spacing w:val="0"/>
          <w:sz w:val="21"/>
          <w:u w:val="none"/>
          <w:lang w:val="cs-CZ"/>
        </w:rPr>
        <w:t>)</w:t>
      </w:r>
    </w:p>
  </w:footnote>
  <w:footnote w:id="337">
    <w:p w14:paraId="27441C26" w14:textId="77777777" w:rsidR="00CD2817" w:rsidRPr="005D1A2F" w:rsidRDefault="00CD2817">
      <w:pPr>
        <w:pStyle w:val="Textpoznpodarou"/>
      </w:pPr>
      <w:r>
        <w:rPr>
          <w:rStyle w:val="Znakapoznpodarou"/>
        </w:rPr>
        <w:footnoteRef/>
      </w:r>
      <w:r>
        <w:t xml:space="preserve"> </w:t>
      </w:r>
      <w:r w:rsidRPr="005D1A2F">
        <w:t xml:space="preserve">„Et manifestum est, quod adaequatio actualis vel etiam habitualis respectus est intellectus ad scibile intellectui obiectum vel intelligibile omnino relati. </w:t>
      </w:r>
      <w:r w:rsidRPr="005D1A2F">
        <w:rPr>
          <w:rFonts w:eastAsia="Times"/>
        </w:rPr>
        <w:t>Scientia enim de genere est relativorum. ‒ Adaequatio vero intellectus et rei in sola potentia tantum vel potest considerari a parte intellectus tantum, aut a parte rei tantum, aut a parte utriusque.</w:t>
      </w:r>
      <w:r w:rsidRPr="005D1A2F">
        <w:t>“ (</w:t>
      </w:r>
      <w:r w:rsidRPr="005D1A2F">
        <w:rPr>
          <w:rFonts w:eastAsia="Times"/>
          <w:i/>
        </w:rPr>
        <w:t>Summa philosophiae</w:t>
      </w:r>
      <w:r>
        <w:rPr>
          <w:rFonts w:eastAsia="Times"/>
        </w:rPr>
        <w:t xml:space="preserve"> </w:t>
      </w:r>
      <w:r>
        <w:rPr>
          <w:rFonts w:eastAsia="Times"/>
          <w:lang w:val="cs-CZ"/>
        </w:rPr>
        <w:t>19</w:t>
      </w:r>
      <w:r w:rsidRPr="005D1A2F">
        <w:rPr>
          <w:rFonts w:eastAsia="Times"/>
        </w:rPr>
        <w:t>, ed. Baur, p. 293.1‒6</w:t>
      </w:r>
      <w:r>
        <w:rPr>
          <w:rFonts w:eastAsia="Times" w:cs="Calibri"/>
        </w:rPr>
        <w:fldChar w:fldCharType="begin"/>
      </w:r>
      <w:r>
        <w:instrText xml:space="preserve"> XE "</w:instrText>
      </w:r>
      <w:r w:rsidRPr="004C7CC7">
        <w:instrText>Pseu</w:instrText>
      </w:r>
      <w:r w:rsidRPr="004C7CC7">
        <w:rPr>
          <w:lang w:val="cs-CZ"/>
        </w:rPr>
        <w:instrText>d</w:instrText>
      </w:r>
      <w:r w:rsidRPr="004C7CC7">
        <w:instrText>o-Grosseteste:</w:instrText>
      </w:r>
      <w:r w:rsidRPr="00AD7E34">
        <w:rPr>
          <w:rFonts w:eastAsia="Times"/>
          <w:i/>
        </w:rPr>
        <w:instrText>Summa philosophiae</w:instrText>
      </w:r>
      <w:r w:rsidRPr="00AD7E34">
        <w:rPr>
          <w:rFonts w:eastAsia="Times"/>
        </w:rPr>
        <w:instrText xml:space="preserve"> </w:instrText>
      </w:r>
      <w:r>
        <w:rPr>
          <w:rStyle w:val="Zkladntextdkovn0pt"/>
          <w:rFonts w:ascii="Calibri" w:eastAsia="Times" w:hAnsi="Calibri" w:cs="Times New Roman"/>
          <w:spacing w:val="0"/>
          <w:sz w:val="21"/>
          <w:u w:val="none"/>
          <w:lang w:val="cs-CZ"/>
        </w:rPr>
        <w:instrText>293.1‒6</w:instrText>
      </w:r>
      <w:r>
        <w:instrText xml:space="preserve">" </w:instrText>
      </w:r>
      <w:r>
        <w:rPr>
          <w:rFonts w:eastAsia="Times" w:cs="Calibri"/>
        </w:rPr>
        <w:fldChar w:fldCharType="end"/>
      </w:r>
      <w:r w:rsidRPr="005D1A2F">
        <w:t>)</w:t>
      </w:r>
    </w:p>
  </w:footnote>
  <w:footnote w:id="338">
    <w:p w14:paraId="7AF89938" w14:textId="77777777" w:rsidR="00CD2817" w:rsidRDefault="00CD2817">
      <w:pPr>
        <w:pStyle w:val="Textpoznpodarou"/>
      </w:pPr>
      <w:r>
        <w:rPr>
          <w:rStyle w:val="Znakapoznpodarou"/>
        </w:rPr>
        <w:footnoteRef/>
      </w:r>
      <w:r>
        <w:t xml:space="preserve"> „</w:t>
      </w:r>
      <w:r w:rsidRPr="006F1D3B">
        <w:t xml:space="preserve">Scias quod, sicut prima forma quando coniungitur altiori materiae, constituit speciem </w:t>
      </w:r>
      <w:r>
        <w:t>intelligentiae et eam ducit ad</w:t>
      </w:r>
      <w:r w:rsidRPr="006F1D3B">
        <w:t xml:space="preserve"> esse, similiter forma quantitatis cum coniungitur materiae inferiori, constituit speciem </w:t>
      </w:r>
      <w:r>
        <w:t>corporis et eam ducit ad esse. E</w:t>
      </w:r>
      <w:r w:rsidRPr="006F1D3B">
        <w:t>rgo forma quantitatis erit conferibilis formae intelligentiae.</w:t>
      </w:r>
      <w:r>
        <w:t xml:space="preserve">“ </w:t>
      </w:r>
      <w:r w:rsidRPr="005D14A7">
        <w:t>(</w:t>
      </w:r>
      <w:r w:rsidRPr="007235EC">
        <w:rPr>
          <w:i/>
        </w:rPr>
        <w:t>Avencebrolis Fons Vitae</w:t>
      </w:r>
      <w:r>
        <w:t xml:space="preserve"> II.8, ed. Bae</w:t>
      </w:r>
      <w:r w:rsidRPr="005D14A7">
        <w:t>umker</w:t>
      </w:r>
      <w:r>
        <w:t>, p. 38.9‒13</w:t>
      </w:r>
      <w:r>
        <w:fldChar w:fldCharType="begin"/>
      </w:r>
      <w:r>
        <w:instrText xml:space="preserve"> XE "</w:instrText>
      </w:r>
      <w:r>
        <w:rPr>
          <w:lang w:val="cs-CZ"/>
        </w:rPr>
        <w:instrText>Avicebron:</w:instrText>
      </w:r>
      <w:r w:rsidRPr="006D7F75">
        <w:rPr>
          <w:i/>
        </w:rPr>
        <w:instrText>Avencebrolis Fons Vitae</w:instrText>
      </w:r>
      <w:r w:rsidRPr="006D7F75">
        <w:instrText xml:space="preserve"> 38.9‒13</w:instrText>
      </w:r>
      <w:r>
        <w:instrText xml:space="preserve">" </w:instrText>
      </w:r>
      <w:r>
        <w:fldChar w:fldCharType="end"/>
      </w:r>
      <w:r>
        <w:t>)</w:t>
      </w:r>
    </w:p>
  </w:footnote>
  <w:footnote w:id="339">
    <w:p w14:paraId="2E1AFB1F" w14:textId="77777777" w:rsidR="00CD2817" w:rsidRPr="08E81439" w:rsidRDefault="00CD2817" w:rsidP="08E81439">
      <w:pPr>
        <w:pStyle w:val="Textpoznpodarou"/>
        <w:rPr>
          <w:lang w:val="cs-CZ"/>
        </w:rPr>
      </w:pPr>
      <w:r>
        <w:rPr>
          <w:rStyle w:val="Znakapoznpodarou"/>
        </w:rPr>
        <w:footnoteRef/>
      </w:r>
      <w:r>
        <w:rPr>
          <w:lang w:val="cs-CZ"/>
        </w:rPr>
        <w:t xml:space="preserve"> „</w:t>
      </w:r>
      <w:r>
        <w:rPr>
          <w:rFonts w:eastAsia="TimesNewRoman,Italic"/>
        </w:rPr>
        <w:t>Si inferius defluxum est ab altiori, tunc totum quod est in inferiori</w:t>
      </w:r>
      <w:r>
        <w:rPr>
          <w:rFonts w:eastAsia="TimesNewRoman,Italic"/>
          <w:lang w:val="cs-CZ"/>
        </w:rPr>
        <w:t xml:space="preserve"> </w:t>
      </w:r>
      <w:r>
        <w:rPr>
          <w:rFonts w:eastAsia="TimesNewRoman,Italic"/>
        </w:rPr>
        <w:t>debet ut sit in altiori.”</w:t>
      </w:r>
      <w:r>
        <w:rPr>
          <w:rFonts w:eastAsia="TimesNewRoman,Italic"/>
          <w:lang w:val="cs-CZ"/>
        </w:rPr>
        <w:t xml:space="preserve"> </w:t>
      </w:r>
      <w:r w:rsidRPr="005D14A7">
        <w:t>(</w:t>
      </w:r>
      <w:r w:rsidRPr="007235EC">
        <w:rPr>
          <w:i/>
        </w:rPr>
        <w:t>Avencebrolis Fons Vitae</w:t>
      </w:r>
      <w:r>
        <w:t xml:space="preserve"> I</w:t>
      </w:r>
      <w:r>
        <w:rPr>
          <w:lang w:val="cs-CZ"/>
        </w:rPr>
        <w:t>V</w:t>
      </w:r>
      <w:r>
        <w:t>.</w:t>
      </w:r>
      <w:r>
        <w:rPr>
          <w:lang w:val="cs-CZ"/>
        </w:rPr>
        <w:t>1</w:t>
      </w:r>
      <w:r>
        <w:t>, ed. Bae</w:t>
      </w:r>
      <w:r w:rsidRPr="005D14A7">
        <w:t>umker</w:t>
      </w:r>
      <w:r>
        <w:t xml:space="preserve">, p. </w:t>
      </w:r>
      <w:r>
        <w:rPr>
          <w:lang w:val="cs-CZ"/>
        </w:rPr>
        <w:t>211</w:t>
      </w:r>
      <w:r>
        <w:t>.</w:t>
      </w:r>
      <w:r>
        <w:rPr>
          <w:lang w:val="cs-CZ"/>
        </w:rPr>
        <w:t>12</w:t>
      </w:r>
      <w:r>
        <w:t>‒13</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211</w:instrText>
      </w:r>
      <w:r>
        <w:instrText>.</w:instrText>
      </w:r>
      <w:r>
        <w:rPr>
          <w:lang w:val="cs-CZ"/>
        </w:rPr>
        <w:instrText>12</w:instrText>
      </w:r>
      <w:r w:rsidRPr="006D7F75">
        <w:instrText>‒13</w:instrText>
      </w:r>
      <w:r>
        <w:instrText xml:space="preserve">" </w:instrText>
      </w:r>
      <w:r>
        <w:fldChar w:fldCharType="end"/>
      </w:r>
      <w:r>
        <w:t>)</w:t>
      </w:r>
    </w:p>
  </w:footnote>
  <w:footnote w:id="340">
    <w:p w14:paraId="5C209ED0" w14:textId="77777777" w:rsidR="00CD2817" w:rsidRPr="08B749C6" w:rsidRDefault="00CD2817">
      <w:pPr>
        <w:pStyle w:val="Textpoznpodarou"/>
        <w:rPr>
          <w:lang w:val="cs-CZ"/>
        </w:rPr>
      </w:pPr>
      <w:r>
        <w:rPr>
          <w:rStyle w:val="Znakapoznpodarou"/>
        </w:rPr>
        <w:footnoteRef/>
      </w:r>
      <w:r>
        <w:t xml:space="preserve"> </w:t>
      </w:r>
      <w:r>
        <w:rPr>
          <w:lang w:val="cs-CZ"/>
        </w:rPr>
        <w:t xml:space="preserve">„Haec sunt substantiae spirituales, continentes substantiam sustinentem nouem praedicamenta, quae sunt natura  et res animae et inteligentia.“ </w:t>
      </w:r>
      <w:r w:rsidRPr="005D14A7">
        <w:t>(</w:t>
      </w:r>
      <w:r w:rsidRPr="007235EC">
        <w:rPr>
          <w:i/>
        </w:rPr>
        <w:t>Avencebrolis Fons Vitae</w:t>
      </w:r>
      <w:r>
        <w:t xml:space="preserve"> I</w:t>
      </w:r>
      <w:r>
        <w:rPr>
          <w:lang w:val="cs-CZ"/>
        </w:rPr>
        <w:t>I</w:t>
      </w:r>
      <w:r>
        <w:t>.</w:t>
      </w:r>
      <w:r>
        <w:rPr>
          <w:lang w:val="cs-CZ"/>
        </w:rPr>
        <w:t>24</w:t>
      </w:r>
      <w:r>
        <w:t>, ed. Bae</w:t>
      </w:r>
      <w:r w:rsidRPr="005D14A7">
        <w:t>umker</w:t>
      </w:r>
      <w:r>
        <w:t xml:space="preserve">, p. </w:t>
      </w:r>
      <w:r>
        <w:rPr>
          <w:lang w:val="cs-CZ"/>
        </w:rPr>
        <w:t>69</w:t>
      </w:r>
      <w:r>
        <w:t>.</w:t>
      </w:r>
      <w:r>
        <w:rPr>
          <w:lang w:val="cs-CZ"/>
        </w:rPr>
        <w:t>16</w:t>
      </w:r>
      <w:r>
        <w:t>‒1</w:t>
      </w:r>
      <w:r>
        <w:rPr>
          <w:lang w:val="cs-CZ"/>
        </w:rPr>
        <w:t>8</w:t>
      </w:r>
      <w:r>
        <w:fldChar w:fldCharType="begin"/>
      </w:r>
      <w:r>
        <w:instrText xml:space="preserve"> XE "</w:instrText>
      </w:r>
      <w:r>
        <w:rPr>
          <w:lang w:val="cs-CZ"/>
        </w:rPr>
        <w:instrText>Avicebron:</w:instrText>
      </w:r>
      <w:r w:rsidRPr="006D7F75">
        <w:rPr>
          <w:i/>
        </w:rPr>
        <w:instrText>Avencebrolis Fons Vitae</w:instrText>
      </w:r>
      <w:r>
        <w:instrText xml:space="preserve"> </w:instrText>
      </w:r>
      <w:r>
        <w:rPr>
          <w:lang w:val="cs-CZ"/>
        </w:rPr>
        <w:instrText>69</w:instrText>
      </w:r>
      <w:r>
        <w:instrText>.</w:instrText>
      </w:r>
      <w:r>
        <w:rPr>
          <w:lang w:val="cs-CZ"/>
        </w:rPr>
        <w:instrText>16</w:instrText>
      </w:r>
      <w:r w:rsidRPr="006D7F75">
        <w:instrText>‒1</w:instrText>
      </w:r>
      <w:r>
        <w:rPr>
          <w:lang w:val="cs-CZ"/>
        </w:rPr>
        <w:instrText>8</w:instrText>
      </w:r>
      <w:r>
        <w:instrText xml:space="preserve">" </w:instrText>
      </w:r>
      <w:r>
        <w:fldChar w:fldCharType="end"/>
      </w:r>
      <w:r>
        <w:t>)</w:t>
      </w:r>
    </w:p>
  </w:footnote>
  <w:footnote w:id="341">
    <w:p w14:paraId="6A79877F" w14:textId="77777777" w:rsidR="00CD2817" w:rsidRDefault="00CD2817">
      <w:pPr>
        <w:pStyle w:val="Textpoznpodarou"/>
      </w:pPr>
      <w:r>
        <w:rPr>
          <w:rStyle w:val="Znakapoznpodarou"/>
        </w:rPr>
        <w:footnoteRef/>
      </w:r>
      <w:r>
        <w:t xml:space="preserve"> „</w:t>
      </w:r>
      <w:r>
        <w:rPr>
          <w:lang w:val="cs-CZ"/>
        </w:rPr>
        <w:t>F</w:t>
      </w:r>
      <w:r w:rsidRPr="006F1D3B">
        <w:t>orma intelligentiae est una simplex, forma uero quantitatis est multae unae compositae. Et sicut forma intelligentiae est propinquior materiae altiori inter omnes formas, similiter forma quantitatis est propinquior materiae inferiori inter omnes formas.</w:t>
      </w:r>
      <w:r>
        <w:t xml:space="preserve">“ </w:t>
      </w:r>
      <w:r w:rsidRPr="005D14A7">
        <w:t>(</w:t>
      </w:r>
      <w:r w:rsidRPr="007235EC">
        <w:rPr>
          <w:i/>
        </w:rPr>
        <w:t>Avencebrolis Fons Vitae</w:t>
      </w:r>
      <w:r>
        <w:t xml:space="preserve"> II.8, ed.</w:t>
      </w:r>
      <w:r w:rsidRPr="00BE0B1F">
        <w:t xml:space="preserve"> </w:t>
      </w:r>
      <w:r>
        <w:t>Bäumker, p. 38.13‒19</w:t>
      </w:r>
      <w:r>
        <w:fldChar w:fldCharType="begin"/>
      </w:r>
      <w:r>
        <w:instrText xml:space="preserve"> XE "</w:instrText>
      </w:r>
      <w:r>
        <w:rPr>
          <w:lang w:val="cs-CZ"/>
        </w:rPr>
        <w:instrText>Avicebron:</w:instrText>
      </w:r>
      <w:r w:rsidRPr="006D7F75">
        <w:rPr>
          <w:i/>
        </w:rPr>
        <w:instrText>Avencebrolis Fons Vitae</w:instrText>
      </w:r>
      <w:r>
        <w:instrText xml:space="preserve"> 38.</w:instrText>
      </w:r>
      <w:r>
        <w:rPr>
          <w:lang w:val="cs-CZ"/>
        </w:rPr>
        <w:instrText>13</w:instrText>
      </w:r>
      <w:r>
        <w:instrText>‒1</w:instrText>
      </w:r>
      <w:r>
        <w:rPr>
          <w:lang w:val="cs-CZ"/>
        </w:rPr>
        <w:instrText>9</w:instrText>
      </w:r>
      <w:r>
        <w:instrText xml:space="preserve">" </w:instrText>
      </w:r>
      <w:r>
        <w:fldChar w:fldCharType="end"/>
      </w:r>
      <w:r>
        <w:t>)</w:t>
      </w:r>
    </w:p>
  </w:footnote>
  <w:footnote w:id="342">
    <w:p w14:paraId="53500F97" w14:textId="77777777" w:rsidR="00CD2817" w:rsidRPr="08821935" w:rsidRDefault="00CD2817" w:rsidP="00A81BF8">
      <w:pPr>
        <w:pStyle w:val="Textpoznpodarou"/>
      </w:pPr>
      <w:r>
        <w:rPr>
          <w:rStyle w:val="Znakapoznpodarou"/>
        </w:rPr>
        <w:footnoteRef/>
      </w:r>
      <w:r>
        <w:rPr>
          <w:lang w:val="cs-CZ"/>
        </w:rPr>
        <w:t xml:space="preserve"> „</w:t>
      </w:r>
      <w:r>
        <w:t>Il</w:t>
      </w:r>
      <w:r>
        <w:rPr>
          <w:lang w:val="cs-CZ"/>
        </w:rPr>
        <w:t>l</w:t>
      </w:r>
      <w:r w:rsidRPr="08821935">
        <w:t>ud enim quod prius est inter animas est in potencia respectu posterioris et aliquo modo perfectibile ab ipso. Et quod virtus sensitiva sit in potencia respectu intellective patet per hoc quod ymacinacio, que est ultima virtus sensitiva, perfeccior est et magis determinata in</w:t>
      </w:r>
      <w:r>
        <w:t xml:space="preserve"> homine quam in aliis animalibus</w:t>
      </w:r>
      <w:r w:rsidRPr="08821935">
        <w:t>; quod non esset nisi esset in potencia respectu forme nobilioris et aliquo modo perfectibilis ab ipsa.</w:t>
      </w:r>
      <w:r>
        <w:t>“ (</w:t>
      </w:r>
      <w:r w:rsidRPr="001D29A6">
        <w:rPr>
          <w:i/>
        </w:rPr>
        <w:t>Sentencia super librum de Anima</w:t>
      </w:r>
      <w:r w:rsidRPr="00B14DAF">
        <w:t xml:space="preserve">, </w:t>
      </w:r>
      <w:r>
        <w:t>Ms. Merton College 272</w:t>
      </w:r>
      <w:r>
        <w:rPr>
          <w:lang w:val="cs-CZ"/>
        </w:rPr>
        <w:t xml:space="preserve">, </w:t>
      </w:r>
      <w:r>
        <w:t>f. 7</w:t>
      </w:r>
      <w:r w:rsidRPr="00B14DAF">
        <w:t>rb</w:t>
      </w:r>
      <w:r>
        <w:rPr>
          <w:lang w:val="cs-CZ"/>
        </w:rPr>
        <w:t xml:space="preserve">; </w:t>
      </w:r>
      <w:r>
        <w:t xml:space="preserve">ed. Callus, </w:t>
      </w:r>
      <w:r>
        <w:rPr>
          <w:lang w:val="cs-CZ"/>
        </w:rPr>
        <w:t xml:space="preserve">p. </w:t>
      </w:r>
      <w:r>
        <w:t>438.134‒41</w:t>
      </w:r>
      <w:r>
        <w:fldChar w:fldCharType="begin"/>
      </w:r>
      <w:r>
        <w:instrText xml:space="preserve"> XE "Adam </w:instrText>
      </w:r>
      <w:r>
        <w:rPr>
          <w:lang w:val="cs-CZ"/>
        </w:rPr>
        <w:instrText>de</w:instrText>
      </w:r>
      <w:r>
        <w:instrText xml:space="preserve"> Buckfield</w:instrText>
      </w:r>
      <w:r>
        <w:rPr>
          <w:i/>
          <w:lang w:val="cs-CZ"/>
        </w:rPr>
        <w:instrText>:</w:instrText>
      </w:r>
      <w:r w:rsidRPr="00B954F3">
        <w:rPr>
          <w:i/>
        </w:rPr>
        <w:instrText>Sentencia super librum de Anima</w:instrText>
      </w:r>
      <w:r>
        <w:rPr>
          <w:i/>
          <w:lang w:val="cs-CZ"/>
        </w:rPr>
        <w:instrText xml:space="preserve"> </w:instrText>
      </w:r>
      <w:r w:rsidRPr="00B954F3">
        <w:instrText>438.134‒141</w:instrText>
      </w:r>
      <w:r>
        <w:instrText xml:space="preserve">" </w:instrText>
      </w:r>
      <w:r>
        <w:fldChar w:fldCharType="end"/>
      </w:r>
      <w:r>
        <w:t>)</w:t>
      </w:r>
    </w:p>
  </w:footnote>
  <w:footnote w:id="343">
    <w:p w14:paraId="417308BE" w14:textId="77777777" w:rsidR="00CD2817" w:rsidRDefault="00CD2817" w:rsidP="003E4CC5">
      <w:pPr>
        <w:pStyle w:val="Textpoznpodarou"/>
      </w:pPr>
      <w:r>
        <w:rPr>
          <w:rStyle w:val="Znakapoznpodarou"/>
        </w:rPr>
        <w:footnoteRef/>
      </w:r>
      <w:r>
        <w:t xml:space="preserve"> „</w:t>
      </w:r>
      <w:r w:rsidRPr="00FD7853">
        <w:t>Ad ultimum potest dici quod non similiter se habet virtus intellectiva ad alias sicut diff</w:t>
      </w:r>
      <w:r>
        <w:t>e</w:t>
      </w:r>
      <w:r w:rsidRPr="00FD7853">
        <w:t>rencia completiva se habet ad genus. Diff</w:t>
      </w:r>
      <w:r>
        <w:t>e</w:t>
      </w:r>
      <w:r w:rsidRPr="00FD7853">
        <w:t>rencia enim nichil dicit adveniens ab extrinseco, set solum actualitatem et perfeccionem eiusdem quod prius fuit imperfectum.</w:t>
      </w:r>
      <w:r>
        <w:t>“ (</w:t>
      </w:r>
      <w:r w:rsidRPr="001D29A6">
        <w:rPr>
          <w:i/>
        </w:rPr>
        <w:t>Sentencia super librum de Anima</w:t>
      </w:r>
      <w:r>
        <w:t>, Ms. Merton College 272</w:t>
      </w:r>
      <w:r>
        <w:rPr>
          <w:lang w:val="cs-CZ"/>
        </w:rPr>
        <w:t xml:space="preserve">, </w:t>
      </w:r>
      <w:r>
        <w:t>f. 7</w:t>
      </w:r>
      <w:r w:rsidRPr="00B14DAF">
        <w:t>rb</w:t>
      </w:r>
      <w:r>
        <w:rPr>
          <w:lang w:val="cs-CZ"/>
        </w:rPr>
        <w:t>;</w:t>
      </w:r>
      <w:r>
        <w:t xml:space="preserve"> ed. Callus, p. 438.149‒53</w:t>
      </w:r>
      <w:r>
        <w:fldChar w:fldCharType="begin"/>
      </w:r>
      <w:r>
        <w:instrText xml:space="preserve"> XE "Adam </w:instrText>
      </w:r>
      <w:r>
        <w:rPr>
          <w:lang w:val="cs-CZ"/>
        </w:rPr>
        <w:instrText>de</w:instrText>
      </w:r>
      <w:r>
        <w:instrText xml:space="preserve"> Buckfield</w:instrText>
      </w:r>
      <w:r>
        <w:rPr>
          <w:i/>
          <w:lang w:val="cs-CZ"/>
        </w:rPr>
        <w:instrText>:</w:instrText>
      </w:r>
      <w:r w:rsidRPr="00B954F3">
        <w:rPr>
          <w:i/>
        </w:rPr>
        <w:instrText>Sentencia super librum de Anima</w:instrText>
      </w:r>
      <w:r>
        <w:rPr>
          <w:i/>
          <w:lang w:val="cs-CZ"/>
        </w:rPr>
        <w:instrText xml:space="preserve"> </w:instrText>
      </w:r>
      <w:r>
        <w:instrText>438.1</w:instrText>
      </w:r>
      <w:r>
        <w:rPr>
          <w:lang w:val="cs-CZ"/>
        </w:rPr>
        <w:instrText>49</w:instrText>
      </w:r>
      <w:r>
        <w:instrText>‒1</w:instrText>
      </w:r>
      <w:r>
        <w:rPr>
          <w:lang w:val="cs-CZ"/>
        </w:rPr>
        <w:instrText>53</w:instrText>
      </w:r>
      <w:r>
        <w:instrText xml:space="preserve">" </w:instrText>
      </w:r>
      <w:r>
        <w:fldChar w:fldCharType="end"/>
      </w:r>
      <w:r>
        <w:t>)</w:t>
      </w:r>
    </w:p>
  </w:footnote>
  <w:footnote w:id="344">
    <w:p w14:paraId="752348A5" w14:textId="77777777" w:rsidR="00CD2817" w:rsidRDefault="00CD2817">
      <w:pPr>
        <w:pStyle w:val="Textpoznpodarou"/>
      </w:pPr>
      <w:r>
        <w:rPr>
          <w:rStyle w:val="Znakapoznpodarou"/>
        </w:rPr>
        <w:footnoteRef/>
      </w:r>
      <w:r>
        <w:t xml:space="preserve"> „</w:t>
      </w:r>
      <w:r w:rsidRPr="00B14DAF">
        <w:t>Relinquitur igitur quod vult animam intellectivam secundum suam substanciam</w:t>
      </w:r>
      <w:r>
        <w:t xml:space="preserve"> </w:t>
      </w:r>
      <w:r w:rsidRPr="00B14DAF">
        <w:t>separari a corpore, substanciam autem sensitive et vegetative non; per quod patet quod non est eadem substancia, set alia et alia.</w:t>
      </w:r>
      <w:r>
        <w:t>“ (</w:t>
      </w:r>
      <w:r w:rsidRPr="001D29A6">
        <w:rPr>
          <w:i/>
        </w:rPr>
        <w:t>Sentencia super librum de Anima</w:t>
      </w:r>
      <w:r w:rsidRPr="00B14DAF">
        <w:t xml:space="preserve">, </w:t>
      </w:r>
      <w:r>
        <w:t>Ms. Merton College 272</w:t>
      </w:r>
      <w:r>
        <w:rPr>
          <w:lang w:val="cs-CZ"/>
        </w:rPr>
        <w:t xml:space="preserve">, </w:t>
      </w:r>
      <w:r w:rsidRPr="00B14DAF">
        <w:t>f. 8rb</w:t>
      </w:r>
      <w:r>
        <w:rPr>
          <w:lang w:val="cs-CZ"/>
        </w:rPr>
        <w:t xml:space="preserve">; </w:t>
      </w:r>
      <w:r>
        <w:t>ed. Callus, p. 438.9‒13</w:t>
      </w:r>
      <w:r>
        <w:fldChar w:fldCharType="begin"/>
      </w:r>
      <w:r>
        <w:instrText xml:space="preserve"> XE "Adam </w:instrText>
      </w:r>
      <w:r>
        <w:rPr>
          <w:lang w:val="cs-CZ"/>
        </w:rPr>
        <w:instrText>de</w:instrText>
      </w:r>
      <w:r>
        <w:instrText xml:space="preserve"> Buckfield</w:instrText>
      </w:r>
      <w:r>
        <w:rPr>
          <w:i/>
          <w:lang w:val="cs-CZ"/>
        </w:rPr>
        <w:instrText>:</w:instrText>
      </w:r>
      <w:r w:rsidRPr="00B954F3">
        <w:rPr>
          <w:i/>
        </w:rPr>
        <w:instrText>Sentencia super librum de Anima</w:instrText>
      </w:r>
      <w:r>
        <w:rPr>
          <w:i/>
          <w:lang w:val="cs-CZ"/>
        </w:rPr>
        <w:instrText xml:space="preserve"> </w:instrText>
      </w:r>
      <w:r>
        <w:instrText>438.</w:instrText>
      </w:r>
      <w:r>
        <w:rPr>
          <w:lang w:val="cs-CZ"/>
        </w:rPr>
        <w:instrText>9</w:instrText>
      </w:r>
      <w:r>
        <w:instrText>‒1</w:instrText>
      </w:r>
      <w:r>
        <w:rPr>
          <w:lang w:val="cs-CZ"/>
        </w:rPr>
        <w:instrText>3</w:instrText>
      </w:r>
      <w:r>
        <w:instrText xml:space="preserve">" </w:instrText>
      </w:r>
      <w:r>
        <w:fldChar w:fldCharType="end"/>
      </w:r>
      <w:r>
        <w:t>)</w:t>
      </w:r>
    </w:p>
  </w:footnote>
  <w:footnote w:id="345">
    <w:p w14:paraId="65A6EA29" w14:textId="77777777" w:rsidR="00CD2817" w:rsidRPr="08C250D8" w:rsidRDefault="00CD2817" w:rsidP="005E2610">
      <w:pPr>
        <w:pStyle w:val="Textpoznpodarou"/>
      </w:pPr>
      <w:r>
        <w:rPr>
          <w:rStyle w:val="Znakapoznpodarou"/>
        </w:rPr>
        <w:footnoteRef/>
      </w:r>
      <w:r>
        <w:t xml:space="preserve"> „</w:t>
      </w:r>
      <w:r w:rsidRPr="00F703C4">
        <w:rPr>
          <w:szCs w:val="19"/>
        </w:rPr>
        <w:t xml:space="preserve">Quod </w:t>
      </w:r>
      <w:r w:rsidRPr="00F703C4">
        <w:rPr>
          <w:szCs w:val="10"/>
        </w:rPr>
        <w:t xml:space="preserve">si </w:t>
      </w:r>
      <w:r w:rsidRPr="00F703C4">
        <w:rPr>
          <w:szCs w:val="13"/>
        </w:rPr>
        <w:t xml:space="preserve">dixerit quis, </w:t>
      </w:r>
      <w:r w:rsidRPr="00F703C4">
        <w:rPr>
          <w:szCs w:val="15"/>
        </w:rPr>
        <w:t xml:space="preserve">quia </w:t>
      </w:r>
      <w:r w:rsidRPr="00F703C4">
        <w:rPr>
          <w:szCs w:val="13"/>
        </w:rPr>
        <w:t xml:space="preserve">intellectus </w:t>
      </w:r>
      <w:r w:rsidRPr="00F703C4">
        <w:rPr>
          <w:szCs w:val="17"/>
        </w:rPr>
        <w:t xml:space="preserve">omnino </w:t>
      </w:r>
      <w:r w:rsidRPr="00F703C4">
        <w:rPr>
          <w:szCs w:val="18"/>
        </w:rPr>
        <w:t xml:space="preserve">non </w:t>
      </w:r>
      <w:r w:rsidRPr="00F703C4">
        <w:rPr>
          <w:szCs w:val="13"/>
        </w:rPr>
        <w:t xml:space="preserve">est </w:t>
      </w:r>
      <w:r w:rsidRPr="00F703C4">
        <w:rPr>
          <w:szCs w:val="17"/>
        </w:rPr>
        <w:t xml:space="preserve">forma </w:t>
      </w:r>
      <w:r>
        <w:rPr>
          <w:szCs w:val="15"/>
        </w:rPr>
        <w:t xml:space="preserve">nec </w:t>
      </w:r>
      <w:r w:rsidRPr="00F703C4">
        <w:rPr>
          <w:szCs w:val="16"/>
        </w:rPr>
        <w:t xml:space="preserve">habens </w:t>
      </w:r>
      <w:r w:rsidRPr="00F703C4">
        <w:rPr>
          <w:szCs w:val="17"/>
        </w:rPr>
        <w:t xml:space="preserve">formam, </w:t>
      </w:r>
      <w:r w:rsidRPr="00F703C4">
        <w:rPr>
          <w:szCs w:val="12"/>
        </w:rPr>
        <w:t xml:space="preserve">et </w:t>
      </w:r>
      <w:r w:rsidRPr="00F703C4">
        <w:rPr>
          <w:szCs w:val="14"/>
        </w:rPr>
        <w:t xml:space="preserve">ideo impossibile </w:t>
      </w:r>
      <w:r w:rsidRPr="00F703C4">
        <w:rPr>
          <w:szCs w:val="13"/>
        </w:rPr>
        <w:t xml:space="preserve">est </w:t>
      </w:r>
      <w:r w:rsidRPr="00F703C4">
        <w:rPr>
          <w:szCs w:val="17"/>
        </w:rPr>
        <w:t xml:space="preserve">ipsum </w:t>
      </w:r>
      <w:r>
        <w:rPr>
          <w:szCs w:val="15"/>
        </w:rPr>
        <w:t>agere</w:t>
      </w:r>
      <w:r w:rsidRPr="00F703C4">
        <w:rPr>
          <w:szCs w:val="5"/>
        </w:rPr>
        <w:t xml:space="preserve">: </w:t>
      </w:r>
      <w:r>
        <w:rPr>
          <w:szCs w:val="15"/>
        </w:rPr>
        <w:t>respond</w:t>
      </w:r>
      <w:r w:rsidRPr="00F703C4">
        <w:rPr>
          <w:szCs w:val="15"/>
        </w:rPr>
        <w:t>emus,</w:t>
      </w:r>
      <w:r>
        <w:rPr>
          <w:szCs w:val="15"/>
        </w:rPr>
        <w:t xml:space="preserve"> </w:t>
      </w:r>
      <w:r w:rsidRPr="00F703C4">
        <w:rPr>
          <w:szCs w:val="15"/>
        </w:rPr>
        <w:t xml:space="preserve">quia </w:t>
      </w:r>
      <w:r w:rsidRPr="00F703C4">
        <w:rPr>
          <w:szCs w:val="13"/>
        </w:rPr>
        <w:t xml:space="preserve">intellectus in </w:t>
      </w:r>
      <w:r w:rsidRPr="00F703C4">
        <w:rPr>
          <w:szCs w:val="14"/>
        </w:rPr>
        <w:t xml:space="preserve">se </w:t>
      </w:r>
      <w:r w:rsidRPr="00F703C4">
        <w:rPr>
          <w:szCs w:val="13"/>
        </w:rPr>
        <w:t xml:space="preserve">ipso, in </w:t>
      </w:r>
      <w:r w:rsidRPr="00F703C4">
        <w:rPr>
          <w:szCs w:val="14"/>
        </w:rPr>
        <w:t xml:space="preserve">esse </w:t>
      </w:r>
      <w:r w:rsidRPr="00F703C4">
        <w:rPr>
          <w:szCs w:val="16"/>
        </w:rPr>
        <w:t xml:space="preserve">suo </w:t>
      </w:r>
      <w:r w:rsidRPr="00F703C4">
        <w:rPr>
          <w:szCs w:val="12"/>
        </w:rPr>
        <w:t xml:space="preserve">et </w:t>
      </w:r>
      <w:r w:rsidRPr="00F703C4">
        <w:rPr>
          <w:szCs w:val="13"/>
        </w:rPr>
        <w:t xml:space="preserve">in </w:t>
      </w:r>
      <w:r w:rsidRPr="00F703C4">
        <w:rPr>
          <w:szCs w:val="14"/>
        </w:rPr>
        <w:t xml:space="preserve">specie sua, </w:t>
      </w:r>
      <w:r w:rsidRPr="00F703C4">
        <w:rPr>
          <w:szCs w:val="17"/>
        </w:rPr>
        <w:t xml:space="preserve">forma </w:t>
      </w:r>
      <w:r w:rsidRPr="00F703C4">
        <w:rPr>
          <w:szCs w:val="11"/>
        </w:rPr>
        <w:t>est.</w:t>
      </w:r>
      <w:r>
        <w:t>“ (</w:t>
      </w:r>
      <w:r w:rsidRPr="00D943B9">
        <w:rPr>
          <w:i/>
        </w:rPr>
        <w:t>De immortalitate animae</w:t>
      </w:r>
      <w:r>
        <w:rPr>
          <w:lang w:val="cs-CZ"/>
        </w:rPr>
        <w:t xml:space="preserve">; </w:t>
      </w:r>
      <w:r>
        <w:t>ed. Bü</w:t>
      </w:r>
      <w:r w:rsidRPr="00F703C4">
        <w:t>low</w:t>
      </w:r>
      <w:r>
        <w:t>, p. 31.11‒13</w:t>
      </w:r>
      <w:r>
        <w:fldChar w:fldCharType="begin"/>
      </w:r>
      <w:r>
        <w:instrText xml:space="preserve"> XE "Gundissalin</w:instrText>
      </w:r>
      <w:r>
        <w:rPr>
          <w:lang w:val="cs-CZ"/>
        </w:rPr>
        <w:instrText>us:</w:instrText>
      </w:r>
      <w:r w:rsidRPr="00910C8F">
        <w:rPr>
          <w:i/>
        </w:rPr>
        <w:instrText>De immortalitate animae</w:instrText>
      </w:r>
      <w:r w:rsidRPr="00910C8F">
        <w:instrText xml:space="preserve"> 31.11‒13</w:instrText>
      </w:r>
      <w:r>
        <w:instrText xml:space="preserve">" </w:instrText>
      </w:r>
      <w:r>
        <w:fldChar w:fldCharType="end"/>
      </w:r>
      <w:r>
        <w:t>)</w:t>
      </w:r>
    </w:p>
  </w:footnote>
  <w:footnote w:id="346">
    <w:p w14:paraId="4F72096D" w14:textId="77777777" w:rsidR="00CD2817" w:rsidRPr="086E59A8" w:rsidRDefault="00CD2817" w:rsidP="007B7229">
      <w:pPr>
        <w:pStyle w:val="Textpoznpodarou"/>
      </w:pPr>
      <w:r>
        <w:rPr>
          <w:rStyle w:val="Znakapoznpodarou"/>
        </w:rPr>
        <w:footnoteRef/>
      </w:r>
      <w:r>
        <w:t xml:space="preserve"> </w:t>
      </w:r>
      <w:r w:rsidRPr="086E59A8">
        <w:t xml:space="preserve">K roli materie vzaté </w:t>
      </w:r>
      <w:r w:rsidRPr="00942065">
        <w:rPr>
          <w:i/>
        </w:rPr>
        <w:t>simpliciter</w:t>
      </w:r>
      <w:r w:rsidRPr="086E59A8">
        <w:t xml:space="preserve"> </w:t>
      </w:r>
      <w:r>
        <w:rPr>
          <w:lang w:val="cs-CZ"/>
        </w:rPr>
        <w:t xml:space="preserve"> pro atomární substanci třetího druhu </w:t>
      </w:r>
      <w:r w:rsidRPr="086E59A8">
        <w:t>je důl</w:t>
      </w:r>
      <w:r>
        <w:t xml:space="preserve">ežitá poznámka ke vzniku slova </w:t>
      </w:r>
      <w:r w:rsidRPr="082153A3">
        <w:rPr>
          <w:i/>
        </w:rPr>
        <w:t>helyatin</w:t>
      </w:r>
      <w:r>
        <w:t xml:space="preserve"> (Albert </w:t>
      </w:r>
      <w:r>
        <w:rPr>
          <w:lang w:val="cs-CZ"/>
        </w:rPr>
        <w:t xml:space="preserve">používá termín </w:t>
      </w:r>
      <w:r w:rsidRPr="086E59A8">
        <w:rPr>
          <w:i/>
        </w:rPr>
        <w:t>hyleachim</w:t>
      </w:r>
      <w:r w:rsidRPr="086E59A8">
        <w:t>)</w:t>
      </w:r>
      <w:r>
        <w:t xml:space="preserve"> vyjadřující arabské slovo pro celek</w:t>
      </w:r>
      <w:r w:rsidRPr="086E59A8">
        <w:t xml:space="preserve"> a vztažené k látce skrze latinský překlad </w:t>
      </w:r>
      <w:r w:rsidRPr="082153A3">
        <w:rPr>
          <w:i/>
        </w:rPr>
        <w:t>Liber de causis</w:t>
      </w:r>
      <w:r w:rsidRPr="086E59A8">
        <w:t xml:space="preserve"> (§ 8) od Gerharda</w:t>
      </w:r>
      <w:r>
        <w:t xml:space="preserve"> z Cremony (Baeumker 1898, 124)</w:t>
      </w:r>
      <w:r w:rsidRPr="086E59A8">
        <w:t>.</w:t>
      </w:r>
      <w:r>
        <w:t xml:space="preserve"> </w:t>
      </w:r>
      <w:r>
        <w:rPr>
          <w:lang w:val="cs-CZ"/>
        </w:rPr>
        <w:t>Tento vznik</w:t>
      </w:r>
      <w:r>
        <w:t xml:space="preserve"> </w:t>
      </w:r>
      <w:r>
        <w:rPr>
          <w:lang w:val="cs-CZ"/>
        </w:rPr>
        <w:t xml:space="preserve">termínu </w:t>
      </w:r>
      <w:r w:rsidRPr="002A7229">
        <w:rPr>
          <w:i/>
          <w:lang w:val="cs-CZ"/>
        </w:rPr>
        <w:t>hyle</w:t>
      </w:r>
      <w:r>
        <w:rPr>
          <w:lang w:val="cs-CZ"/>
        </w:rPr>
        <w:t xml:space="preserve"> </w:t>
      </w:r>
      <w:r>
        <w:t xml:space="preserve">doložili </w:t>
      </w:r>
      <w:r>
        <w:rPr>
          <w:lang w:val="cs-CZ"/>
        </w:rPr>
        <w:t xml:space="preserve">nezávisle na </w:t>
      </w:r>
      <w:r>
        <w:t>Baeumker</w:t>
      </w:r>
      <w:r>
        <w:rPr>
          <w:lang w:val="cs-CZ"/>
        </w:rPr>
        <w:t xml:space="preserve">ovi </w:t>
      </w:r>
      <w:r>
        <w:t>i další autoři (Pessin 2013, 174).</w:t>
      </w:r>
    </w:p>
  </w:footnote>
  <w:footnote w:id="347">
    <w:p w14:paraId="64E06EF7" w14:textId="77777777" w:rsidR="00CD2817" w:rsidRPr="00FD6466" w:rsidRDefault="00CD2817" w:rsidP="0033119A">
      <w:pPr>
        <w:pStyle w:val="Textpoznpodarou"/>
      </w:pPr>
      <w:r>
        <w:rPr>
          <w:rStyle w:val="Znakapoznpodarou"/>
        </w:rPr>
        <w:footnoteRef/>
      </w:r>
      <w:r>
        <w:rPr>
          <w:lang w:val="cs-CZ"/>
        </w:rPr>
        <w:t xml:space="preserve"> </w:t>
      </w:r>
      <w:r>
        <w:t>„</w:t>
      </w:r>
      <w:r w:rsidRPr="00BA63C4">
        <w:t>O</w:t>
      </w:r>
      <w:r w:rsidRPr="001E646A">
        <w:rPr>
          <w:rStyle w:val="Zkladntext1"/>
          <w:rFonts w:ascii="Calibri" w:hAnsi="Calibri"/>
          <w:color w:val="auto"/>
          <w:spacing w:val="0"/>
          <w:sz w:val="20"/>
          <w:u w:val="none"/>
          <w:lang w:val="en-US"/>
        </w:rPr>
        <w:t>n the other hand, if matter, despite being one in</w:t>
      </w:r>
      <w:r w:rsidRPr="00BA63C4">
        <w:t xml:space="preserve"> </w:t>
      </w:r>
      <w:r w:rsidRPr="001E646A">
        <w:rPr>
          <w:rStyle w:val="Zkladntext1"/>
          <w:rFonts w:ascii="Calibri" w:hAnsi="Calibri"/>
          <w:color w:val="auto"/>
          <w:spacing w:val="0"/>
          <w:sz w:val="20"/>
          <w:u w:val="none"/>
          <w:lang w:val="en-US"/>
        </w:rPr>
        <w:t>number, were not potentially many, then it would never have been</w:t>
      </w:r>
      <w:r w:rsidRPr="00BA63C4">
        <w:t xml:space="preserve"> denuded of that form of which it happened to be the recipient and that form would have been in the very essence of that underlying matter,</w:t>
      </w:r>
      <w:r>
        <w:t xml:space="preserve"> should be completely denuded of its form or that it should lose this form and obtain another.“  (</w:t>
      </w:r>
      <w:r>
        <w:rPr>
          <w:i/>
        </w:rPr>
        <w:t>De substantia o</w:t>
      </w:r>
      <w:r w:rsidRPr="00B57122">
        <w:rPr>
          <w:i/>
        </w:rPr>
        <w:t>rbis</w:t>
      </w:r>
      <w:r>
        <w:t xml:space="preserve"> I</w:t>
      </w:r>
      <w:r>
        <w:rPr>
          <w:lang w:val="cs-CZ"/>
        </w:rPr>
        <w:t xml:space="preserve">; </w:t>
      </w:r>
      <w:r>
        <w:t>ed. Hyman, p</w:t>
      </w:r>
      <w:r>
        <w:rPr>
          <w:lang w:val="cs-CZ"/>
        </w:rPr>
        <w:t>p</w:t>
      </w:r>
      <w:r>
        <w:t>. 60.95‒61.101</w:t>
      </w:r>
      <w:r>
        <w:fldChar w:fldCharType="begin"/>
      </w:r>
      <w:r>
        <w:instrText xml:space="preserve"> XE "</w:instrText>
      </w:r>
      <w:r>
        <w:rPr>
          <w:lang w:val="cs-CZ"/>
        </w:rPr>
        <w:instrText>Averroes:</w:instrText>
      </w:r>
      <w:r w:rsidRPr="009D770B">
        <w:rPr>
          <w:i/>
        </w:rPr>
        <w:instrText>De substantia orbis</w:instrText>
      </w:r>
      <w:r w:rsidRPr="009D770B">
        <w:instrText xml:space="preserve"> 60.95‒61.101</w:instrText>
      </w:r>
      <w:r>
        <w:instrText xml:space="preserve">" </w:instrText>
      </w:r>
      <w:r>
        <w:fldChar w:fldCharType="end"/>
      </w:r>
      <w:r>
        <w:t>)</w:t>
      </w:r>
    </w:p>
  </w:footnote>
  <w:footnote w:id="348">
    <w:p w14:paraId="110DE7CE" w14:textId="77777777" w:rsidR="00CD2817" w:rsidRPr="00EE49B6" w:rsidRDefault="00CD2817" w:rsidP="00EE49B6">
      <w:pPr>
        <w:pStyle w:val="Textpoznpodarou"/>
        <w:rPr>
          <w:lang w:val="cs-CZ"/>
        </w:rPr>
      </w:pPr>
      <w:r>
        <w:rPr>
          <w:rStyle w:val="Znakapoznpodarou"/>
        </w:rPr>
        <w:footnoteRef/>
      </w:r>
      <w:r>
        <w:rPr>
          <w:lang w:val="cs-CZ"/>
        </w:rPr>
        <w:t xml:space="preserve"> „</w:t>
      </w:r>
      <w:r w:rsidRPr="00EE49B6">
        <w:rPr>
          <w:rFonts w:eastAsia="Code2000"/>
          <w:szCs w:val="24"/>
        </w:rPr>
        <w:t>Tercii sunt qui volunt concordare philosophos cum theologis,</w:t>
      </w:r>
      <w:r>
        <w:rPr>
          <w:rFonts w:eastAsia="Code2000"/>
          <w:szCs w:val="24"/>
          <w:lang w:val="cs-CZ"/>
        </w:rPr>
        <w:t xml:space="preserve"> </w:t>
      </w:r>
      <w:r w:rsidRPr="00EE49B6">
        <w:rPr>
          <w:rFonts w:eastAsia="Code2000"/>
          <w:szCs w:val="24"/>
        </w:rPr>
        <w:t>et dicunt in homine esse sensitivam et vegetativam dupliciter; sunt enim hee due sicut dicunt theologi potencie tan</w:t>
      </w:r>
      <w:r>
        <w:rPr>
          <w:rFonts w:eastAsia="Code2000"/>
          <w:szCs w:val="24"/>
          <w:lang w:val="cs-CZ"/>
        </w:rPr>
        <w:t>t</w:t>
      </w:r>
      <w:r w:rsidRPr="00EE49B6">
        <w:rPr>
          <w:rFonts w:eastAsia="Code2000"/>
          <w:szCs w:val="24"/>
        </w:rPr>
        <w:t>u</w:t>
      </w:r>
      <w:r>
        <w:rPr>
          <w:rFonts w:eastAsia="Code2000"/>
          <w:szCs w:val="24"/>
          <w:lang w:val="cs-CZ"/>
        </w:rPr>
        <w:t>m</w:t>
      </w:r>
      <w:r w:rsidRPr="00EE49B6">
        <w:rPr>
          <w:rFonts w:eastAsia="Code2000"/>
          <w:szCs w:val="24"/>
        </w:rPr>
        <w:t xml:space="preserve"> et eadem substancia num</w:t>
      </w:r>
      <w:r>
        <w:rPr>
          <w:rFonts w:eastAsia="Code2000"/>
          <w:szCs w:val="24"/>
          <w:lang w:val="cs-CZ"/>
        </w:rPr>
        <w:t>e</w:t>
      </w:r>
      <w:r w:rsidRPr="00EE49B6">
        <w:rPr>
          <w:rFonts w:eastAsia="Code2000"/>
          <w:szCs w:val="24"/>
        </w:rPr>
        <w:t>ro cum intellectiva, unde et</w:t>
      </w:r>
      <w:r>
        <w:rPr>
          <w:rFonts w:eastAsia="Code2000"/>
          <w:szCs w:val="24"/>
          <w:lang w:val="cs-CZ"/>
        </w:rPr>
        <w:t xml:space="preserve"> </w:t>
      </w:r>
      <w:r w:rsidRPr="00EE49B6">
        <w:rPr>
          <w:rFonts w:eastAsia="Code2000"/>
          <w:szCs w:val="24"/>
        </w:rPr>
        <w:t>veniunt ab extrinseco.</w:t>
      </w:r>
      <w:r>
        <w:rPr>
          <w:rFonts w:eastAsia="Code2000"/>
          <w:szCs w:val="24"/>
          <w:lang w:val="cs-CZ"/>
        </w:rPr>
        <w:t xml:space="preserve">“ </w:t>
      </w:r>
      <w:r>
        <w:t>(</w:t>
      </w:r>
      <w:r w:rsidRPr="001D29A6">
        <w:rPr>
          <w:i/>
        </w:rPr>
        <w:t>Sentencia super librum de Anima</w:t>
      </w:r>
      <w:r>
        <w:t>, Ms. Merton College 272</w:t>
      </w:r>
      <w:r>
        <w:rPr>
          <w:lang w:val="cs-CZ"/>
        </w:rPr>
        <w:t xml:space="preserve">, </w:t>
      </w:r>
      <w:r>
        <w:t>f. 7</w:t>
      </w:r>
      <w:r w:rsidRPr="00B14DAF">
        <w:t>rb</w:t>
      </w:r>
      <w:r>
        <w:rPr>
          <w:lang w:val="cs-CZ"/>
        </w:rPr>
        <w:t>;</w:t>
      </w:r>
      <w:r>
        <w:t xml:space="preserve"> ed. Callus, p. </w:t>
      </w:r>
      <w:r>
        <w:rPr>
          <w:lang w:val="cs-CZ"/>
        </w:rPr>
        <w:t>443</w:t>
      </w:r>
      <w:r>
        <w:t>.1</w:t>
      </w:r>
      <w:r>
        <w:rPr>
          <w:lang w:val="cs-CZ"/>
        </w:rPr>
        <w:t>57</w:t>
      </w:r>
      <w:r>
        <w:t>‒</w:t>
      </w:r>
      <w:r>
        <w:rPr>
          <w:lang w:val="cs-CZ"/>
        </w:rPr>
        <w:t>62</w:t>
      </w:r>
      <w:r>
        <w:fldChar w:fldCharType="begin"/>
      </w:r>
      <w:r>
        <w:instrText xml:space="preserve"> XE "Adam </w:instrText>
      </w:r>
      <w:r>
        <w:rPr>
          <w:lang w:val="cs-CZ"/>
        </w:rPr>
        <w:instrText>de</w:instrText>
      </w:r>
      <w:r>
        <w:instrText xml:space="preserve"> Buckfield</w:instrText>
      </w:r>
      <w:r>
        <w:rPr>
          <w:i/>
          <w:lang w:val="cs-CZ"/>
        </w:rPr>
        <w:instrText>:</w:instrText>
      </w:r>
      <w:r w:rsidRPr="00B954F3">
        <w:rPr>
          <w:i/>
        </w:rPr>
        <w:instrText>Sentencia super librum de Anima</w:instrText>
      </w:r>
      <w:r>
        <w:rPr>
          <w:i/>
          <w:lang w:val="cs-CZ"/>
        </w:rPr>
        <w:instrText xml:space="preserve"> </w:instrText>
      </w:r>
      <w:r>
        <w:instrText>4</w:instrText>
      </w:r>
      <w:r>
        <w:rPr>
          <w:lang w:val="cs-CZ"/>
        </w:rPr>
        <w:instrText>43</w:instrText>
      </w:r>
      <w:r>
        <w:instrText>.</w:instrText>
      </w:r>
      <w:r>
        <w:rPr>
          <w:lang w:val="cs-CZ"/>
        </w:rPr>
        <w:instrText>157</w:instrText>
      </w:r>
      <w:r>
        <w:instrText>‒</w:instrText>
      </w:r>
      <w:r>
        <w:rPr>
          <w:lang w:val="cs-CZ"/>
        </w:rPr>
        <w:instrText>62</w:instrText>
      </w:r>
      <w:r>
        <w:instrText xml:space="preserve">" </w:instrText>
      </w:r>
      <w:r>
        <w:fldChar w:fldCharType="end"/>
      </w:r>
      <w:r>
        <w:t>)</w:t>
      </w:r>
    </w:p>
  </w:footnote>
  <w:footnote w:id="349">
    <w:p w14:paraId="5D8276CB" w14:textId="77777777" w:rsidR="00CD2817" w:rsidRPr="003A3096" w:rsidRDefault="00CD2817" w:rsidP="08AE102D">
      <w:pPr>
        <w:pStyle w:val="Textpoznpodarou"/>
        <w:rPr>
          <w:lang w:val="cs-CZ"/>
        </w:rPr>
      </w:pPr>
      <w:r>
        <w:rPr>
          <w:rStyle w:val="Znakapoznpodarou"/>
        </w:rPr>
        <w:footnoteRef/>
      </w:r>
      <w:r>
        <w:rPr>
          <w:lang w:val="cs-CZ"/>
        </w:rPr>
        <w:t xml:space="preserve"> „</w:t>
      </w:r>
      <w:r w:rsidRPr="00AD1C0B">
        <w:rPr>
          <w:lang w:val="cs-CZ"/>
        </w:rPr>
        <w:t xml:space="preserve">Ad ultimum dicimus, quod duplex est medium; scilicet medium </w:t>
      </w:r>
      <w:r w:rsidRPr="00AD1C0B">
        <w:rPr>
          <w:i/>
          <w:lang w:val="cs-CZ"/>
        </w:rPr>
        <w:t>participans</w:t>
      </w:r>
      <w:r w:rsidRPr="00AD1C0B">
        <w:rPr>
          <w:lang w:val="cs-CZ"/>
        </w:rPr>
        <w:t xml:space="preserve">, ut medius color et medium </w:t>
      </w:r>
      <w:r w:rsidRPr="00AD1C0B">
        <w:rPr>
          <w:i/>
          <w:lang w:val="cs-CZ"/>
        </w:rPr>
        <w:t>ordinans</w:t>
      </w:r>
      <w:r w:rsidRPr="00AD1C0B">
        <w:rPr>
          <w:lang w:val="cs-CZ"/>
        </w:rPr>
        <w:t xml:space="preserve"> unum extremorum ad aliud. Et tali modo c</w:t>
      </w:r>
      <w:r>
        <w:rPr>
          <w:lang w:val="cs-CZ"/>
        </w:rPr>
        <w:t>omponitur anima corpori, non cu</w:t>
      </w:r>
      <w:r w:rsidRPr="00AD1C0B">
        <w:rPr>
          <w:lang w:val="cs-CZ"/>
        </w:rPr>
        <w:t>i</w:t>
      </w:r>
      <w:r>
        <w:rPr>
          <w:lang w:val="cs-CZ"/>
        </w:rPr>
        <w:t>li</w:t>
      </w:r>
      <w:r w:rsidRPr="00AD1C0B">
        <w:rPr>
          <w:lang w:val="cs-CZ"/>
        </w:rPr>
        <w:t>bet, sed aptato. Quid autem dicitur medium? Dicimus, quod vegetativum et sensitivum; sed alterum remotius alterum propinquius.</w:t>
      </w:r>
      <w:r>
        <w:rPr>
          <w:lang w:val="cs-CZ"/>
        </w:rPr>
        <w:t>“ (</w:t>
      </w:r>
      <w:r w:rsidRPr="005505EE">
        <w:rPr>
          <w:i/>
          <w:lang w:val="cs-CZ"/>
        </w:rPr>
        <w:t>De anima</w:t>
      </w:r>
      <w:r>
        <w:rPr>
          <w:lang w:val="cs-CZ"/>
        </w:rPr>
        <w:t>, cap. IV, solutio; ed. Baur, p. 251.37‒41</w:t>
      </w:r>
      <w:r>
        <w:rPr>
          <w:lang w:val="cs-CZ"/>
        </w:rPr>
        <w:fldChar w:fldCharType="begin"/>
      </w:r>
      <w:r>
        <w:instrText xml:space="preserve"> XE "</w:instrText>
      </w:r>
      <w:r>
        <w:rPr>
          <w:lang w:val="cs-CZ"/>
        </w:rPr>
        <w:instrText>Grosseteste:</w:instrText>
      </w:r>
      <w:r w:rsidRPr="00694005">
        <w:rPr>
          <w:i/>
          <w:lang w:val="cs-CZ"/>
        </w:rPr>
        <w:instrText>De anima</w:instrText>
      </w:r>
      <w:r>
        <w:rPr>
          <w:lang w:val="cs-CZ"/>
        </w:rPr>
        <w:instrText xml:space="preserve"> 251.37‒41</w:instrText>
      </w:r>
      <w:r>
        <w:instrText xml:space="preserve">" </w:instrText>
      </w:r>
      <w:r>
        <w:rPr>
          <w:lang w:val="cs-CZ"/>
        </w:rPr>
        <w:fldChar w:fldCharType="end"/>
      </w:r>
      <w:r>
        <w:rPr>
          <w:lang w:val="cs-CZ"/>
        </w:rPr>
        <w:t>)</w:t>
      </w:r>
    </w:p>
  </w:footnote>
  <w:footnote w:id="350">
    <w:p w14:paraId="2C8F0433" w14:textId="77777777" w:rsidR="00CD2817" w:rsidRPr="005505EE" w:rsidRDefault="00CD2817" w:rsidP="0899223B">
      <w:pPr>
        <w:pStyle w:val="Textpoznpodarou"/>
        <w:rPr>
          <w:lang w:val="cs-CZ"/>
        </w:rPr>
      </w:pPr>
      <w:r>
        <w:rPr>
          <w:rStyle w:val="Znakapoznpodarou"/>
        </w:rPr>
        <w:footnoteRef/>
      </w:r>
      <w:r>
        <w:t xml:space="preserve"> </w:t>
      </w:r>
      <w:r>
        <w:rPr>
          <w:lang w:val="cs-CZ"/>
        </w:rPr>
        <w:t>„</w:t>
      </w:r>
      <w:r w:rsidRPr="005505EE">
        <w:rPr>
          <w:lang w:val="cs-CZ"/>
        </w:rPr>
        <w:t xml:space="preserve">Quidam concedunt, quod anima composita est ex spirituali materia et spirituali forma et angelus similiter. Sed </w:t>
      </w:r>
      <w:r>
        <w:rPr>
          <w:lang w:val="cs-CZ"/>
        </w:rPr>
        <w:t>contra hoc Augustinus in libro 'de definitione animae'</w:t>
      </w:r>
      <w:r w:rsidRPr="005505EE">
        <w:rPr>
          <w:lang w:val="cs-CZ"/>
        </w:rPr>
        <w:t>, ubi dicit expresse, quod anima non est ex materia, immo ex nihilo, ut praeostensum est.</w:t>
      </w:r>
      <w:r>
        <w:rPr>
          <w:lang w:val="cs-CZ"/>
        </w:rPr>
        <w:t>“ (</w:t>
      </w:r>
      <w:r w:rsidRPr="005505EE">
        <w:rPr>
          <w:i/>
          <w:lang w:val="cs-CZ"/>
        </w:rPr>
        <w:t>De anima</w:t>
      </w:r>
      <w:r>
        <w:rPr>
          <w:lang w:val="cs-CZ"/>
        </w:rPr>
        <w:t>, cap. I, solutio; ed. Baur, p. 243.28‒31</w:t>
      </w:r>
      <w:r>
        <w:rPr>
          <w:lang w:val="cs-CZ"/>
        </w:rPr>
        <w:fldChar w:fldCharType="begin"/>
      </w:r>
      <w:r>
        <w:instrText xml:space="preserve"> XE "</w:instrText>
      </w:r>
      <w:r>
        <w:rPr>
          <w:lang w:val="cs-CZ"/>
        </w:rPr>
        <w:instrText>Grosseteste:</w:instrText>
      </w:r>
      <w:r w:rsidRPr="00694005">
        <w:rPr>
          <w:i/>
          <w:lang w:val="cs-CZ"/>
        </w:rPr>
        <w:instrText>De anima</w:instrText>
      </w:r>
      <w:r w:rsidRPr="00694005">
        <w:rPr>
          <w:lang w:val="cs-CZ"/>
        </w:rPr>
        <w:instrText xml:space="preserve"> 243.28‒31</w:instrText>
      </w:r>
      <w:r>
        <w:instrText xml:space="preserve">" </w:instrText>
      </w:r>
      <w:r>
        <w:rPr>
          <w:lang w:val="cs-CZ"/>
        </w:rPr>
        <w:fldChar w:fldCharType="end"/>
      </w:r>
      <w:r>
        <w:rPr>
          <w:lang w:val="cs-CZ"/>
        </w:rPr>
        <w:t>)</w:t>
      </w:r>
    </w:p>
  </w:footnote>
  <w:footnote w:id="351">
    <w:p w14:paraId="05A0ECAD" w14:textId="77777777" w:rsidR="00CD2817" w:rsidRDefault="00CD2817" w:rsidP="00A53189">
      <w:pPr>
        <w:pStyle w:val="Textpoznpodarou"/>
      </w:pPr>
      <w:r>
        <w:rPr>
          <w:rStyle w:val="Znakapoznpodarou"/>
        </w:rPr>
        <w:footnoteRef/>
      </w:r>
      <w:r>
        <w:t xml:space="preserve"> „Et etiam intendit, quod motus eorum est causa exitus eius, quod est in potentia in illis formis abstractis ad actum scil. ad formas materiales. Istae enim formae videntur habere duplex esse, scilicet esse in actu, quod intelligo materiale, et esse in potentia, quod habent in abstractione.“ (</w:t>
      </w:r>
      <w:r w:rsidRPr="001D06F3">
        <w:rPr>
          <w:i/>
        </w:rPr>
        <w:t>De motu supercaelestium</w:t>
      </w:r>
      <w:r>
        <w:rPr>
          <w:lang w:val="cs-CZ"/>
        </w:rPr>
        <w:t>;</w:t>
      </w:r>
      <w:r>
        <w:t xml:space="preserve"> ed. Baur, p. 95.32‒96.3</w:t>
      </w:r>
      <w:r>
        <w:fldChar w:fldCharType="begin"/>
      </w:r>
      <w:r>
        <w:instrText xml:space="preserve"> XE "</w:instrText>
      </w:r>
      <w:r w:rsidRPr="004568E7">
        <w:instrText>Grosseteste</w:instrText>
      </w:r>
      <w:r>
        <w:rPr>
          <w:i/>
          <w:lang w:val="cs-CZ"/>
        </w:rPr>
        <w:instrText>:</w:instrText>
      </w:r>
      <w:r w:rsidRPr="00CF7EDB">
        <w:rPr>
          <w:i/>
        </w:rPr>
        <w:instrText>De motu supercaelestium</w:instrText>
      </w:r>
      <w:r>
        <w:rPr>
          <w:i/>
          <w:lang w:val="cs-CZ"/>
        </w:rPr>
        <w:instrText xml:space="preserve"> </w:instrText>
      </w:r>
      <w:r w:rsidRPr="00CF7EDB">
        <w:instrText>95.32‒96.3</w:instrText>
      </w:r>
      <w:r>
        <w:instrText xml:space="preserve">" </w:instrText>
      </w:r>
      <w:r>
        <w:fldChar w:fldCharType="end"/>
      </w:r>
      <w:r>
        <w:t>)</w:t>
      </w:r>
    </w:p>
  </w:footnote>
  <w:footnote w:id="352">
    <w:p w14:paraId="09A45BA7" w14:textId="77777777" w:rsidR="00CD2817" w:rsidRDefault="00CD2817" w:rsidP="00A53189">
      <w:pPr>
        <w:pStyle w:val="Textpoznpodarou"/>
      </w:pPr>
      <w:r>
        <w:rPr>
          <w:rStyle w:val="Znakapoznpodarou"/>
        </w:rPr>
        <w:footnoteRef/>
      </w:r>
      <w:r>
        <w:t xml:space="preserve"> </w:t>
      </w:r>
      <w:r w:rsidRPr="00B75C16">
        <w:t>„Nulla enim pars plantae est planta, nec animalis animal, sed unaquaeque pars plantae vegetatur et unaquaeque pars animalis sentit. Alio modo est anima intellectiva forma superveniens his, de quibus iam dictum est; quae quia immediate advenit formae non situali, necesse fuit, ut non educeretur in esse</w:t>
      </w:r>
      <w:r>
        <w:t xml:space="preserve"> </w:t>
      </w:r>
      <w:r w:rsidRPr="00B75C16">
        <w:t>immediate a forma substantiali, sed immediate a forma non situale, scilicet prima...“</w:t>
      </w:r>
      <w:r>
        <w:t xml:space="preserve"> (</w:t>
      </w:r>
      <w:r w:rsidRPr="00B75C16">
        <w:rPr>
          <w:i/>
        </w:rPr>
        <w:t>De statu causarum</w:t>
      </w:r>
      <w:r>
        <w:rPr>
          <w:i/>
          <w:lang w:val="cs-CZ"/>
        </w:rPr>
        <w:t>;</w:t>
      </w:r>
      <w:r w:rsidRPr="00B75C16">
        <w:t xml:space="preserve"> ed. Baur, p. 125</w:t>
      </w:r>
      <w:r>
        <w:t>.4‒10</w:t>
      </w:r>
      <w:r>
        <w:fldChar w:fldCharType="begin"/>
      </w:r>
      <w:r>
        <w:instrText xml:space="preserve"> XE "</w:instrText>
      </w:r>
      <w:r>
        <w:rPr>
          <w:lang w:val="cs-CZ"/>
        </w:rPr>
        <w:instrText>Grosseteste:</w:instrText>
      </w:r>
      <w:r w:rsidRPr="00382736">
        <w:rPr>
          <w:i/>
        </w:rPr>
        <w:instrText>De statu causarum</w:instrText>
      </w:r>
      <w:r w:rsidRPr="00382736">
        <w:instrText xml:space="preserve"> 125.4‒10</w:instrText>
      </w:r>
      <w:r>
        <w:instrText xml:space="preserve">" </w:instrText>
      </w:r>
      <w:r>
        <w:fldChar w:fldCharType="end"/>
      </w:r>
      <w:r w:rsidRPr="00B75C16">
        <w:t>)</w:t>
      </w:r>
    </w:p>
  </w:footnote>
  <w:footnote w:id="353">
    <w:p w14:paraId="015CCEFE" w14:textId="77777777" w:rsidR="00CD2817" w:rsidRPr="00097BFD" w:rsidRDefault="00CD2817" w:rsidP="08DF4746">
      <w:pPr>
        <w:pStyle w:val="Textpoznpodarou"/>
      </w:pPr>
      <w:r>
        <w:rPr>
          <w:rStyle w:val="Znakapoznpodarou"/>
        </w:rPr>
        <w:footnoteRef/>
      </w:r>
      <w:r>
        <w:t xml:space="preserve"> „Et propterea simul cum formis situalibus perimitur; et a tali forma non dicitur pars eiusdem speciei cum toto, sed eiusdem operationis.“ (</w:t>
      </w:r>
      <w:r w:rsidRPr="00B75C16">
        <w:rPr>
          <w:i/>
        </w:rPr>
        <w:t>De statu causarum</w:t>
      </w:r>
      <w:r>
        <w:t>, ed. Baur, p. 125.2‒4</w:t>
      </w:r>
      <w:r>
        <w:fldChar w:fldCharType="begin"/>
      </w:r>
      <w:r>
        <w:instrText xml:space="preserve"> XE "</w:instrText>
      </w:r>
      <w:r>
        <w:rPr>
          <w:lang w:val="cs-CZ"/>
        </w:rPr>
        <w:instrText>Grosseteste:</w:instrText>
      </w:r>
      <w:r w:rsidRPr="00925035">
        <w:rPr>
          <w:i/>
        </w:rPr>
        <w:instrText>De statu causarum</w:instrText>
      </w:r>
      <w:r>
        <w:rPr>
          <w:i/>
          <w:lang w:val="cs-CZ"/>
        </w:rPr>
        <w:instrText xml:space="preserve"> </w:instrText>
      </w:r>
      <w:r w:rsidRPr="00925035">
        <w:instrText>125.2‒4</w:instrText>
      </w:r>
      <w:r>
        <w:instrText xml:space="preserve">" </w:instrText>
      </w:r>
      <w:r>
        <w:fldChar w:fldCharType="end"/>
      </w:r>
      <w:r>
        <w:t>).</w:t>
      </w:r>
    </w:p>
  </w:footnote>
  <w:footnote w:id="354">
    <w:p w14:paraId="607D9806" w14:textId="77777777" w:rsidR="00CD2817" w:rsidRDefault="00CD2817" w:rsidP="00A53189">
      <w:pPr>
        <w:pStyle w:val="Textpoznpodarou"/>
      </w:pPr>
      <w:r>
        <w:rPr>
          <w:rStyle w:val="Znakapoznpodarou"/>
        </w:rPr>
        <w:footnoteRef/>
      </w:r>
      <w:r>
        <w:t xml:space="preserve"> „</w:t>
      </w:r>
      <w:r w:rsidRPr="009915B6">
        <w:t>Anima vero rationalis non solum unitur corpori humano sicut motor, sed etiam sicut intelligens mediante virtute corporea. Intelligit enim non sine phantasmate, quod est actus virtutis sensitivae.</w:t>
      </w:r>
      <w:r>
        <w:rPr>
          <w:lang w:val="cs-CZ"/>
        </w:rPr>
        <w:t>“</w:t>
      </w:r>
      <w:r w:rsidRPr="009915B6">
        <w:t xml:space="preserve"> </w:t>
      </w:r>
      <w:r>
        <w:t>(</w:t>
      </w:r>
      <w:r w:rsidRPr="00B75C16">
        <w:rPr>
          <w:i/>
        </w:rPr>
        <w:t>De statu causarum</w:t>
      </w:r>
      <w:r w:rsidRPr="00B75C16">
        <w:t>, ed. Baur, p. 125</w:t>
      </w:r>
      <w:r>
        <w:t>.20‒2</w:t>
      </w:r>
      <w:r>
        <w:rPr>
          <w:lang w:val="cs-CZ"/>
        </w:rPr>
        <w:t>2</w:t>
      </w:r>
      <w:r>
        <w:fldChar w:fldCharType="begin"/>
      </w:r>
      <w:r>
        <w:instrText xml:space="preserve"> XE "</w:instrText>
      </w:r>
      <w:r>
        <w:rPr>
          <w:lang w:val="cs-CZ"/>
        </w:rPr>
        <w:instrText>Grosseteste:</w:instrText>
      </w:r>
      <w:r w:rsidRPr="00925035">
        <w:rPr>
          <w:i/>
        </w:rPr>
        <w:instrText>De statu causarum</w:instrText>
      </w:r>
      <w:r>
        <w:rPr>
          <w:i/>
          <w:lang w:val="cs-CZ"/>
        </w:rPr>
        <w:instrText xml:space="preserve"> </w:instrText>
      </w:r>
      <w:r w:rsidRPr="00925035">
        <w:instrText>125.2</w:instrText>
      </w:r>
      <w:r>
        <w:rPr>
          <w:lang w:val="cs-CZ"/>
        </w:rPr>
        <w:instrText>0</w:instrText>
      </w:r>
      <w:r>
        <w:instrText>‒</w:instrText>
      </w:r>
      <w:r>
        <w:rPr>
          <w:lang w:val="cs-CZ"/>
        </w:rPr>
        <w:instrText>22</w:instrText>
      </w:r>
      <w:r>
        <w:instrText xml:space="preserve">" </w:instrText>
      </w:r>
      <w:r>
        <w:fldChar w:fldCharType="end"/>
      </w:r>
      <w:r w:rsidRPr="00B75C16">
        <w:t>)</w:t>
      </w:r>
    </w:p>
  </w:footnote>
  <w:footnote w:id="355">
    <w:p w14:paraId="4D3E0F66" w14:textId="77777777" w:rsidR="00CD2817" w:rsidRPr="08A258C0" w:rsidRDefault="00CD2817">
      <w:pPr>
        <w:pStyle w:val="Textpoznpodarou"/>
        <w:rPr>
          <w:lang w:val="cs-CZ"/>
        </w:rPr>
      </w:pPr>
      <w:r>
        <w:rPr>
          <w:rStyle w:val="Znakapoznpodarou"/>
        </w:rPr>
        <w:footnoteRef/>
      </w:r>
      <w:r>
        <w:t xml:space="preserve"> </w:t>
      </w:r>
      <w:r>
        <w:rPr>
          <w:noProof/>
          <w:szCs w:val="22"/>
          <w:lang w:val="cs-CZ"/>
        </w:rPr>
        <w:t>„</w:t>
      </w:r>
      <w:r w:rsidRPr="009915B6">
        <w:t>Fo</w:t>
      </w:r>
      <w:r>
        <w:t>rma vero, quae simul est exempla</w:t>
      </w:r>
      <w:r w:rsidRPr="009915B6">
        <w:t>r et quo res est, non est coniuncta rei, sed abstracta, simplex et separata. Haec est forma prima, quae qualiter sit forma prima, difficile est explanare.</w:t>
      </w:r>
      <w:r>
        <w:t>“ (</w:t>
      </w:r>
      <w:r w:rsidRPr="00B75C16">
        <w:rPr>
          <w:i/>
        </w:rPr>
        <w:t>De statu causarum</w:t>
      </w:r>
      <w:r w:rsidRPr="00B75C16">
        <w:t>, ed. Baur, p. 125</w:t>
      </w:r>
      <w:r>
        <w:t>.2</w:t>
      </w:r>
      <w:r>
        <w:rPr>
          <w:lang w:val="cs-CZ"/>
        </w:rPr>
        <w:t>3</w:t>
      </w:r>
      <w:r>
        <w:t>‒25</w:t>
      </w:r>
      <w:r>
        <w:fldChar w:fldCharType="begin"/>
      </w:r>
      <w:r>
        <w:instrText xml:space="preserve"> XE "</w:instrText>
      </w:r>
      <w:r>
        <w:rPr>
          <w:lang w:val="cs-CZ"/>
        </w:rPr>
        <w:instrText>Grosseteste:</w:instrText>
      </w:r>
      <w:r w:rsidRPr="00925035">
        <w:rPr>
          <w:i/>
        </w:rPr>
        <w:instrText>De statu causarum</w:instrText>
      </w:r>
      <w:r>
        <w:rPr>
          <w:i/>
          <w:lang w:val="cs-CZ"/>
        </w:rPr>
        <w:instrText xml:space="preserve"> </w:instrText>
      </w:r>
      <w:r w:rsidRPr="00925035">
        <w:instrText>125.2</w:instrText>
      </w:r>
      <w:r>
        <w:rPr>
          <w:lang w:val="cs-CZ"/>
        </w:rPr>
        <w:instrText>3</w:instrText>
      </w:r>
      <w:r>
        <w:instrText>‒</w:instrText>
      </w:r>
      <w:r>
        <w:rPr>
          <w:lang w:val="cs-CZ"/>
        </w:rPr>
        <w:instrText>25</w:instrText>
      </w:r>
      <w:r>
        <w:instrText xml:space="preserve">" </w:instrText>
      </w:r>
      <w:r>
        <w:fldChar w:fldCharType="end"/>
      </w:r>
      <w:r w:rsidRPr="00B75C16">
        <w:t>)</w:t>
      </w:r>
    </w:p>
  </w:footnote>
  <w:footnote w:id="356">
    <w:p w14:paraId="60E18C9A" w14:textId="77777777" w:rsidR="00CD2817" w:rsidRDefault="00CD2817">
      <w:pPr>
        <w:pStyle w:val="Textpoznpodarou"/>
      </w:pPr>
      <w:r>
        <w:rPr>
          <w:rStyle w:val="Znakapoznpodarou"/>
        </w:rPr>
        <w:footnoteRef/>
      </w:r>
      <w:r>
        <w:t xml:space="preserve"> „Anima igitur duplicem habet totalitatem perfectionis et potentialitem. Unde dicitur totum dupliciter, scilicet totum perfectum et totum potentiale sive virtuale. — Totalitas perfectionis inest animae ex parte essentiae eius. Totalitas virtualis ex parte potentiae. Et ita patet, quod non sequitur: anima habet totalitatem ergo quantitatem.“ (</w:t>
      </w:r>
      <w:r w:rsidRPr="00D13B37">
        <w:rPr>
          <w:i/>
        </w:rPr>
        <w:t>Tractatus beati Roberti Grostesto Lincolnienis episcopi de anima</w:t>
      </w:r>
      <w:r>
        <w:rPr>
          <w:lang w:val="cs-CZ"/>
        </w:rPr>
        <w:t xml:space="preserve"> </w:t>
      </w:r>
      <w:r>
        <w:t xml:space="preserve">II, solutio; </w:t>
      </w:r>
      <w:r>
        <w:rPr>
          <w:rStyle w:val="Zkladntextdkovn0pt"/>
          <w:rFonts w:ascii="Calibri" w:eastAsia="Times" w:hAnsi="Calibri" w:cs="Times New Roman"/>
          <w:spacing w:val="0"/>
          <w:sz w:val="21"/>
          <w:u w:val="none"/>
          <w:lang w:val="cs-CZ"/>
        </w:rPr>
        <w:t xml:space="preserve"> ed. Baur, p. </w:t>
      </w:r>
      <w:r>
        <w:t>250.5‒13</w:t>
      </w:r>
      <w:r>
        <w:fldChar w:fldCharType="begin"/>
      </w:r>
      <w:r>
        <w:instrText xml:space="preserve"> XE "</w:instrText>
      </w:r>
      <w:r>
        <w:rPr>
          <w:lang w:val="cs-CZ"/>
        </w:rPr>
        <w:instrText>Grosseteste:</w:instrText>
      </w:r>
      <w:r>
        <w:rPr>
          <w:i/>
          <w:lang w:val="cs-CZ"/>
        </w:rPr>
        <w:instrText>D</w:instrText>
      </w:r>
      <w:r w:rsidRPr="00C547EE">
        <w:rPr>
          <w:i/>
        </w:rPr>
        <w:instrText>e anima</w:instrText>
      </w:r>
      <w:r w:rsidRPr="00C547EE">
        <w:rPr>
          <w:rStyle w:val="Zkladntextdkovn0pt"/>
          <w:rFonts w:ascii="Calibri" w:eastAsia="Times" w:hAnsi="Calibri" w:cs="Times New Roman"/>
          <w:spacing w:val="0"/>
          <w:sz w:val="21"/>
          <w:u w:val="none"/>
          <w:lang w:val="cs-CZ"/>
        </w:rPr>
        <w:instrText xml:space="preserve"> </w:instrText>
      </w:r>
      <w:r w:rsidRPr="00C547EE">
        <w:instrText>250.5‒13</w:instrText>
      </w:r>
      <w:r>
        <w:instrText xml:space="preserve">" </w:instrText>
      </w:r>
      <w:r>
        <w:fldChar w:fldCharType="end"/>
      </w:r>
      <w:r>
        <w:t>)</w:t>
      </w:r>
    </w:p>
  </w:footnote>
  <w:footnote w:id="357">
    <w:p w14:paraId="555AE876" w14:textId="77777777" w:rsidR="00CD2817" w:rsidRPr="08A55321" w:rsidRDefault="00CD2817" w:rsidP="008E1BDE">
      <w:pPr>
        <w:pStyle w:val="Textpoznpodarou"/>
        <w:rPr>
          <w:lang w:val="cs-CZ"/>
        </w:rPr>
      </w:pPr>
      <w:r>
        <w:rPr>
          <w:rStyle w:val="Znakapoznpodarou"/>
        </w:rPr>
        <w:footnoteRef/>
      </w:r>
      <w:r>
        <w:t xml:space="preserve"> </w:t>
      </w:r>
      <w:r>
        <w:rPr>
          <w:szCs w:val="11"/>
        </w:rPr>
        <w:t xml:space="preserve">Pro dataci </w:t>
      </w:r>
      <w:r w:rsidRPr="003B146E">
        <w:rPr>
          <w:i/>
        </w:rPr>
        <w:t>Distinccio tercia de anima</w:t>
      </w:r>
      <w:r>
        <w:rPr>
          <w:i/>
          <w:lang w:val="cs-CZ"/>
        </w:rPr>
        <w:t xml:space="preserve"> </w:t>
      </w:r>
      <w:r w:rsidRPr="08A55321">
        <w:rPr>
          <w:lang w:val="cs-CZ"/>
        </w:rPr>
        <w:t>do roku 1268</w:t>
      </w:r>
      <w:r>
        <w:t xml:space="preserve">, viz Hackett 1997, 290. </w:t>
      </w:r>
      <w:r>
        <w:rPr>
          <w:lang w:val="cs-CZ"/>
        </w:rPr>
        <w:t xml:space="preserve">Tato studie z pochopitelných důvodů </w:t>
      </w:r>
      <w:r>
        <w:t xml:space="preserve">nesdílí jeho závěr, </w:t>
      </w:r>
      <w:r>
        <w:rPr>
          <w:lang w:val="cs-CZ"/>
        </w:rPr>
        <w:t xml:space="preserve">podle něhož </w:t>
      </w:r>
      <w:r>
        <w:t>Baconov</w:t>
      </w:r>
      <w:r>
        <w:rPr>
          <w:lang w:val="cs-CZ"/>
        </w:rPr>
        <w:t>a</w:t>
      </w:r>
      <w:r>
        <w:t xml:space="preserve"> kritik</w:t>
      </w:r>
      <w:r>
        <w:rPr>
          <w:lang w:val="cs-CZ"/>
        </w:rPr>
        <w:t>a</w:t>
      </w:r>
      <w:r>
        <w:t xml:space="preserve"> míří na známé pařížské averroisty</w:t>
      </w:r>
      <w:r>
        <w:rPr>
          <w:lang w:val="cs-CZ"/>
        </w:rPr>
        <w:t xml:space="preserve"> z let </w:t>
      </w:r>
      <w:r>
        <w:t>1270‒77.</w:t>
      </w:r>
    </w:p>
  </w:footnote>
  <w:footnote w:id="358">
    <w:p w14:paraId="575D043B" w14:textId="77777777" w:rsidR="00CD2817" w:rsidRPr="00E21878" w:rsidRDefault="00CD2817">
      <w:pPr>
        <w:pStyle w:val="Textpoznpodarou"/>
        <w:rPr>
          <w:i/>
          <w:szCs w:val="32"/>
          <w:lang w:val="cs-CZ"/>
        </w:rPr>
      </w:pPr>
      <w:r>
        <w:rPr>
          <w:rStyle w:val="Znakapoznpodarou"/>
        </w:rPr>
        <w:footnoteRef/>
      </w:r>
      <w:r>
        <w:t xml:space="preserve"> </w:t>
      </w:r>
      <w:r>
        <w:rPr>
          <w:sz w:val="24"/>
        </w:rPr>
        <w:t>„</w:t>
      </w:r>
      <w:r w:rsidRPr="00693187">
        <w:rPr>
          <w:szCs w:val="16"/>
        </w:rPr>
        <w:t xml:space="preserve">Omnes </w:t>
      </w:r>
      <w:r w:rsidRPr="00693187">
        <w:t xml:space="preserve">enim </w:t>
      </w:r>
      <w:r w:rsidRPr="00693187">
        <w:rPr>
          <w:szCs w:val="12"/>
        </w:rPr>
        <w:t xml:space="preserve">ante </w:t>
      </w:r>
      <w:r w:rsidRPr="00693187">
        <w:rPr>
          <w:szCs w:val="10"/>
        </w:rPr>
        <w:t xml:space="preserve">viginti </w:t>
      </w:r>
      <w:r w:rsidRPr="00693187">
        <w:rPr>
          <w:szCs w:val="13"/>
        </w:rPr>
        <w:t xml:space="preserve">annos </w:t>
      </w:r>
      <w:r w:rsidRPr="00693187">
        <w:rPr>
          <w:szCs w:val="12"/>
        </w:rPr>
        <w:t xml:space="preserve">posuerunt </w:t>
      </w:r>
      <w:r w:rsidRPr="00693187">
        <w:t xml:space="preserve">quod </w:t>
      </w:r>
      <w:r w:rsidRPr="00693187">
        <w:rPr>
          <w:szCs w:val="11"/>
        </w:rPr>
        <w:t xml:space="preserve">sola </w:t>
      </w:r>
      <w:r w:rsidRPr="00693187">
        <w:t xml:space="preserve">anima </w:t>
      </w:r>
      <w:r w:rsidRPr="00693187">
        <w:rPr>
          <w:szCs w:val="10"/>
        </w:rPr>
        <w:t xml:space="preserve">intellectiva </w:t>
      </w:r>
      <w:r w:rsidRPr="00693187">
        <w:rPr>
          <w:szCs w:val="11"/>
        </w:rPr>
        <w:t xml:space="preserve">detur, </w:t>
      </w:r>
      <w:r w:rsidRPr="00693187">
        <w:rPr>
          <w:szCs w:val="10"/>
        </w:rPr>
        <w:t xml:space="preserve">et </w:t>
      </w:r>
      <w:r w:rsidRPr="00693187">
        <w:t xml:space="preserve">quod </w:t>
      </w:r>
      <w:r w:rsidRPr="00693187">
        <w:rPr>
          <w:szCs w:val="12"/>
        </w:rPr>
        <w:t xml:space="preserve">vegetativa </w:t>
      </w:r>
      <w:r w:rsidRPr="00693187">
        <w:rPr>
          <w:szCs w:val="10"/>
        </w:rPr>
        <w:t xml:space="preserve">et </w:t>
      </w:r>
      <w:r w:rsidRPr="00693187">
        <w:rPr>
          <w:szCs w:val="11"/>
        </w:rPr>
        <w:t xml:space="preserve">sensitiva </w:t>
      </w:r>
      <w:r w:rsidRPr="00693187">
        <w:rPr>
          <w:szCs w:val="10"/>
        </w:rPr>
        <w:t xml:space="preserve">in </w:t>
      </w:r>
      <w:r w:rsidRPr="00693187">
        <w:t xml:space="preserve">homine </w:t>
      </w:r>
      <w:r w:rsidRPr="00693187">
        <w:rPr>
          <w:szCs w:val="13"/>
        </w:rPr>
        <w:t xml:space="preserve">producantur de </w:t>
      </w:r>
      <w:r w:rsidRPr="00693187">
        <w:rPr>
          <w:szCs w:val="12"/>
        </w:rPr>
        <w:t xml:space="preserve">potencia materie per </w:t>
      </w:r>
      <w:r w:rsidRPr="00693187">
        <w:t xml:space="preserve">viam </w:t>
      </w:r>
      <w:r w:rsidRPr="00693187">
        <w:rPr>
          <w:szCs w:val="11"/>
        </w:rPr>
        <w:t xml:space="preserve">nature. </w:t>
      </w:r>
      <w:r w:rsidRPr="00693187">
        <w:t xml:space="preserve">Et </w:t>
      </w:r>
      <w:r w:rsidRPr="00693187">
        <w:rPr>
          <w:szCs w:val="13"/>
        </w:rPr>
        <w:t xml:space="preserve">adhuc </w:t>
      </w:r>
      <w:r w:rsidRPr="00693187">
        <w:rPr>
          <w:szCs w:val="12"/>
        </w:rPr>
        <w:t xml:space="preserve">theologi </w:t>
      </w:r>
      <w:r w:rsidRPr="00693187">
        <w:rPr>
          <w:szCs w:val="13"/>
        </w:rPr>
        <w:t xml:space="preserve">de Anglia </w:t>
      </w:r>
      <w:r w:rsidRPr="00693187">
        <w:rPr>
          <w:szCs w:val="10"/>
        </w:rPr>
        <w:t xml:space="preserve">et </w:t>
      </w:r>
      <w:r w:rsidRPr="00693187">
        <w:t xml:space="preserve">omnes </w:t>
      </w:r>
      <w:r w:rsidRPr="00693187">
        <w:rPr>
          <w:szCs w:val="12"/>
        </w:rPr>
        <w:t xml:space="preserve">philosophantes </w:t>
      </w:r>
      <w:r w:rsidRPr="00693187">
        <w:rPr>
          <w:szCs w:val="13"/>
        </w:rPr>
        <w:t xml:space="preserve">hoc </w:t>
      </w:r>
      <w:r w:rsidRPr="00693187">
        <w:rPr>
          <w:szCs w:val="11"/>
        </w:rPr>
        <w:t>celebrant.</w:t>
      </w:r>
      <w:r>
        <w:rPr>
          <w:szCs w:val="11"/>
        </w:rPr>
        <w:t>“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dist. III de anima, cap. 1m; ed. Steele, </w:t>
      </w:r>
      <w:r w:rsidRPr="00552137">
        <w:rPr>
          <w:szCs w:val="31"/>
        </w:rPr>
        <w:t>p</w:t>
      </w:r>
      <w:r>
        <w:rPr>
          <w:szCs w:val="31"/>
          <w:lang w:val="cs-CZ"/>
        </w:rPr>
        <w:t>p</w:t>
      </w:r>
      <w:r w:rsidRPr="00552137">
        <w:rPr>
          <w:szCs w:val="31"/>
        </w:rPr>
        <w:t>.</w:t>
      </w:r>
      <w:r>
        <w:rPr>
          <w:i/>
          <w:szCs w:val="31"/>
        </w:rPr>
        <w:t xml:space="preserve"> </w:t>
      </w:r>
      <w:r>
        <w:rPr>
          <w:szCs w:val="11"/>
        </w:rPr>
        <w:t>281.34‒282.3</w:t>
      </w:r>
      <w:r>
        <w:rPr>
          <w:szCs w:val="11"/>
        </w:rPr>
        <w:fldChar w:fldCharType="begin"/>
      </w:r>
      <w:r>
        <w:instrText xml:space="preserve"> XE "</w:instrText>
      </w:r>
      <w:r>
        <w:rPr>
          <w:lang w:val="cs-CZ"/>
        </w:rPr>
        <w:instrText>Bacon:</w:instrText>
      </w:r>
      <w:r w:rsidRPr="0024556E">
        <w:rPr>
          <w:i/>
          <w:lang w:val="cs-CZ"/>
        </w:rPr>
        <w:instrText>Communium naturalium</w:instrText>
      </w:r>
      <w:r>
        <w:rPr>
          <w:lang w:val="cs-CZ"/>
        </w:rPr>
        <w:instrText>.2</w:instrText>
      </w:r>
      <w:r w:rsidRPr="00826E14">
        <w:rPr>
          <w:szCs w:val="11"/>
        </w:rPr>
        <w:instrText>81.34‒282.3</w:instrText>
      </w:r>
      <w:r>
        <w:instrText xml:space="preserve">" </w:instrText>
      </w:r>
      <w:r>
        <w:rPr>
          <w:szCs w:val="11"/>
        </w:rPr>
        <w:fldChar w:fldCharType="end"/>
      </w:r>
      <w:r>
        <w:rPr>
          <w:szCs w:val="11"/>
        </w:rPr>
        <w:t>)</w:t>
      </w:r>
    </w:p>
  </w:footnote>
  <w:footnote w:id="359">
    <w:p w14:paraId="267837EF" w14:textId="77777777" w:rsidR="00CD2817" w:rsidRPr="00A54ECE" w:rsidRDefault="00CD2817">
      <w:pPr>
        <w:pStyle w:val="Textpoznpodarou"/>
        <w:rPr>
          <w:szCs w:val="11"/>
        </w:rPr>
      </w:pPr>
      <w:r>
        <w:rPr>
          <w:rStyle w:val="Znakapoznpodarou"/>
        </w:rPr>
        <w:footnoteRef/>
      </w:r>
      <w:r>
        <w:t xml:space="preserve"> „</w:t>
      </w:r>
      <w:r w:rsidRPr="00E41358">
        <w:t xml:space="preserve">Tota </w:t>
      </w:r>
      <w:r w:rsidRPr="00E41358">
        <w:rPr>
          <w:szCs w:val="10"/>
        </w:rPr>
        <w:t xml:space="preserve">igitur </w:t>
      </w:r>
      <w:r w:rsidRPr="00E41358">
        <w:rPr>
          <w:szCs w:val="12"/>
        </w:rPr>
        <w:t xml:space="preserve">philosophia clamat </w:t>
      </w:r>
      <w:r w:rsidRPr="00E41358">
        <w:t xml:space="preserve">quod </w:t>
      </w:r>
      <w:r w:rsidRPr="00E41358">
        <w:rPr>
          <w:szCs w:val="11"/>
        </w:rPr>
        <w:t xml:space="preserve">solus intellectus creatur, </w:t>
      </w:r>
      <w:r>
        <w:rPr>
          <w:szCs w:val="10"/>
        </w:rPr>
        <w:t>e</w:t>
      </w:r>
      <w:r w:rsidRPr="00E41358">
        <w:rPr>
          <w:szCs w:val="10"/>
        </w:rPr>
        <w:t xml:space="preserve">t </w:t>
      </w:r>
      <w:r w:rsidRPr="00E41358">
        <w:t xml:space="preserve">omnes </w:t>
      </w:r>
      <w:r w:rsidRPr="00E41358">
        <w:rPr>
          <w:szCs w:val="12"/>
        </w:rPr>
        <w:t xml:space="preserve">theologi </w:t>
      </w:r>
      <w:r w:rsidRPr="00E41358">
        <w:rPr>
          <w:szCs w:val="11"/>
        </w:rPr>
        <w:t xml:space="preserve">alicujus valoris </w:t>
      </w:r>
      <w:r w:rsidRPr="00E41358">
        <w:rPr>
          <w:szCs w:val="10"/>
        </w:rPr>
        <w:t xml:space="preserve">et </w:t>
      </w:r>
      <w:r w:rsidRPr="00E41358">
        <w:rPr>
          <w:szCs w:val="12"/>
        </w:rPr>
        <w:t xml:space="preserve">philosophantes ante </w:t>
      </w:r>
      <w:r w:rsidRPr="00E41358">
        <w:rPr>
          <w:szCs w:val="11"/>
        </w:rPr>
        <w:t xml:space="preserve">viginti </w:t>
      </w:r>
      <w:r w:rsidRPr="00E41358">
        <w:rPr>
          <w:szCs w:val="12"/>
        </w:rPr>
        <w:t xml:space="preserve">annos, </w:t>
      </w:r>
      <w:r w:rsidRPr="00E41358">
        <w:rPr>
          <w:szCs w:val="10"/>
        </w:rPr>
        <w:t xml:space="preserve">et </w:t>
      </w:r>
      <w:r>
        <w:t>adhuc omnes Angli</w:t>
      </w:r>
      <w:r w:rsidRPr="00E41358">
        <w:t xml:space="preserve">cani </w:t>
      </w:r>
      <w:r w:rsidRPr="00E41358">
        <w:rPr>
          <w:szCs w:val="12"/>
        </w:rPr>
        <w:t xml:space="preserve">qui </w:t>
      </w:r>
      <w:r w:rsidRPr="00E41358">
        <w:rPr>
          <w:szCs w:val="10"/>
        </w:rPr>
        <w:t xml:space="preserve">satis </w:t>
      </w:r>
      <w:r w:rsidRPr="00E41358">
        <w:rPr>
          <w:szCs w:val="11"/>
        </w:rPr>
        <w:t xml:space="preserve">inter </w:t>
      </w:r>
      <w:r w:rsidRPr="00E41358">
        <w:rPr>
          <w:szCs w:val="10"/>
        </w:rPr>
        <w:t xml:space="preserve">alios </w:t>
      </w:r>
      <w:r w:rsidRPr="00E41358">
        <w:rPr>
          <w:szCs w:val="13"/>
        </w:rPr>
        <w:t xml:space="preserve">homines </w:t>
      </w:r>
      <w:r w:rsidRPr="00E41358">
        <w:rPr>
          <w:szCs w:val="12"/>
        </w:rPr>
        <w:t xml:space="preserve">sunt </w:t>
      </w:r>
      <w:r w:rsidRPr="00E41358">
        <w:rPr>
          <w:szCs w:val="10"/>
        </w:rPr>
        <w:t xml:space="preserve">et </w:t>
      </w:r>
      <w:r w:rsidRPr="00E41358">
        <w:rPr>
          <w:szCs w:val="12"/>
        </w:rPr>
        <w:t xml:space="preserve">fuerunt </w:t>
      </w:r>
      <w:r w:rsidRPr="00E41358">
        <w:rPr>
          <w:szCs w:val="10"/>
        </w:rPr>
        <w:t xml:space="preserve">studiosi. </w:t>
      </w:r>
      <w:r w:rsidRPr="00E41358">
        <w:t xml:space="preserve">Et </w:t>
      </w:r>
      <w:r w:rsidRPr="00E41358">
        <w:rPr>
          <w:szCs w:val="13"/>
        </w:rPr>
        <w:t xml:space="preserve">arguunt ad hoc non solum </w:t>
      </w:r>
      <w:r w:rsidRPr="00E41358">
        <w:rPr>
          <w:szCs w:val="12"/>
        </w:rPr>
        <w:t xml:space="preserve">per </w:t>
      </w:r>
      <w:r w:rsidRPr="00E41358">
        <w:rPr>
          <w:szCs w:val="11"/>
        </w:rPr>
        <w:t xml:space="preserve">auctoritates Aristotelis </w:t>
      </w:r>
      <w:r w:rsidRPr="00E41358">
        <w:rPr>
          <w:szCs w:val="10"/>
        </w:rPr>
        <w:t xml:space="preserve">et </w:t>
      </w:r>
      <w:r w:rsidRPr="00E41358">
        <w:rPr>
          <w:szCs w:val="12"/>
        </w:rPr>
        <w:t xml:space="preserve">aliorum </w:t>
      </w:r>
      <w:r w:rsidRPr="00E41358">
        <w:rPr>
          <w:szCs w:val="13"/>
        </w:rPr>
        <w:t>philosophorum,</w:t>
      </w:r>
      <w:r>
        <w:rPr>
          <w:szCs w:val="13"/>
        </w:rPr>
        <w:t xml:space="preserve"> </w:t>
      </w:r>
      <w:r w:rsidRPr="00E41358">
        <w:rPr>
          <w:szCs w:val="10"/>
        </w:rPr>
        <w:t xml:space="preserve">set </w:t>
      </w:r>
      <w:r w:rsidRPr="00E41358">
        <w:rPr>
          <w:szCs w:val="12"/>
        </w:rPr>
        <w:t xml:space="preserve">per </w:t>
      </w:r>
      <w:r w:rsidRPr="00E41358">
        <w:rPr>
          <w:szCs w:val="11"/>
        </w:rPr>
        <w:t>raciones.</w:t>
      </w:r>
      <w:r>
        <w:rPr>
          <w:szCs w:val="11"/>
        </w:rPr>
        <w:t>“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ibid, </w:t>
      </w:r>
      <w:r w:rsidRPr="00552137">
        <w:rPr>
          <w:szCs w:val="31"/>
        </w:rPr>
        <w:t>p.</w:t>
      </w:r>
      <w:r>
        <w:rPr>
          <w:i/>
          <w:szCs w:val="31"/>
        </w:rPr>
        <w:t xml:space="preserve"> </w:t>
      </w:r>
      <w:r>
        <w:rPr>
          <w:szCs w:val="11"/>
        </w:rPr>
        <w:t>283.8‒13</w:t>
      </w:r>
      <w:r>
        <w:rPr>
          <w:szCs w:val="11"/>
        </w:rPr>
        <w:fldChar w:fldCharType="begin"/>
      </w:r>
      <w:r>
        <w:instrText xml:space="preserve"> XE "</w:instrText>
      </w:r>
      <w:r>
        <w:rPr>
          <w:lang w:val="cs-CZ"/>
        </w:rPr>
        <w:instrText>Bacon:</w:instrText>
      </w:r>
      <w:r w:rsidRPr="0024556E">
        <w:rPr>
          <w:i/>
          <w:lang w:val="cs-CZ"/>
        </w:rPr>
        <w:instrText>Communium naturalium</w:instrText>
      </w:r>
      <w:r>
        <w:rPr>
          <w:lang w:val="cs-CZ"/>
        </w:rPr>
        <w:instrText>.</w:instrText>
      </w:r>
      <w:r>
        <w:rPr>
          <w:szCs w:val="11"/>
        </w:rPr>
        <w:instrText>283.8‒13</w:instrText>
      </w:r>
      <w:r>
        <w:instrText xml:space="preserve">" </w:instrText>
      </w:r>
      <w:r>
        <w:rPr>
          <w:szCs w:val="11"/>
        </w:rPr>
        <w:fldChar w:fldCharType="end"/>
      </w:r>
      <w:r>
        <w:rPr>
          <w:szCs w:val="11"/>
        </w:rPr>
        <w:t>)</w:t>
      </w:r>
    </w:p>
  </w:footnote>
  <w:footnote w:id="360">
    <w:p w14:paraId="6D067FE6" w14:textId="77777777" w:rsidR="00CD2817" w:rsidRDefault="00CD2817">
      <w:pPr>
        <w:pStyle w:val="Textpoznpodarou"/>
      </w:pPr>
      <w:r>
        <w:rPr>
          <w:rStyle w:val="Znakapoznpodarou"/>
        </w:rPr>
        <w:footnoteRef/>
      </w:r>
      <w:r>
        <w:t xml:space="preserve"> </w:t>
      </w:r>
      <w:r>
        <w:rPr>
          <w:szCs w:val="15"/>
        </w:rPr>
        <w:t>„</w:t>
      </w:r>
      <w:r w:rsidRPr="00B5299B">
        <w:rPr>
          <w:szCs w:val="15"/>
        </w:rPr>
        <w:t xml:space="preserve">Quoniam </w:t>
      </w:r>
      <w:r w:rsidRPr="00B5299B">
        <w:t xml:space="preserve">vero </w:t>
      </w:r>
      <w:r>
        <w:rPr>
          <w:szCs w:val="16"/>
        </w:rPr>
        <w:t>null</w:t>
      </w:r>
      <w:r w:rsidRPr="00B5299B">
        <w:rPr>
          <w:szCs w:val="16"/>
        </w:rPr>
        <w:t xml:space="preserve">am </w:t>
      </w:r>
      <w:r w:rsidRPr="00B5299B">
        <w:rPr>
          <w:szCs w:val="13"/>
        </w:rPr>
        <w:t xml:space="preserve">habent racionem ad hanc insaniam que </w:t>
      </w:r>
      <w:r w:rsidRPr="00B5299B">
        <w:rPr>
          <w:szCs w:val="9"/>
        </w:rPr>
        <w:t xml:space="preserve">sit </w:t>
      </w:r>
      <w:r w:rsidRPr="00B5299B">
        <w:rPr>
          <w:szCs w:val="13"/>
        </w:rPr>
        <w:t xml:space="preserve">digna </w:t>
      </w:r>
      <w:r w:rsidRPr="00B5299B">
        <w:rPr>
          <w:szCs w:val="11"/>
        </w:rPr>
        <w:t xml:space="preserve">solucione, </w:t>
      </w:r>
      <w:r w:rsidRPr="00B5299B">
        <w:rPr>
          <w:szCs w:val="10"/>
        </w:rPr>
        <w:t xml:space="preserve">et </w:t>
      </w:r>
      <w:r w:rsidRPr="00B5299B">
        <w:rPr>
          <w:szCs w:val="13"/>
        </w:rPr>
        <w:t xml:space="preserve">magis </w:t>
      </w:r>
      <w:r w:rsidRPr="00B5299B">
        <w:t xml:space="preserve">asserunt </w:t>
      </w:r>
      <w:r w:rsidRPr="00B5299B">
        <w:rPr>
          <w:szCs w:val="16"/>
        </w:rPr>
        <w:t xml:space="preserve">quam </w:t>
      </w:r>
      <w:r w:rsidRPr="00B5299B">
        <w:rPr>
          <w:szCs w:val="11"/>
        </w:rPr>
        <w:t xml:space="preserve">racionentur. </w:t>
      </w:r>
      <w:r w:rsidRPr="00B5299B">
        <w:rPr>
          <w:szCs w:val="15"/>
        </w:rPr>
        <w:t xml:space="preserve">Nec </w:t>
      </w:r>
      <w:r w:rsidRPr="00B5299B">
        <w:t xml:space="preserve">video </w:t>
      </w:r>
      <w:r>
        <w:rPr>
          <w:szCs w:val="13"/>
        </w:rPr>
        <w:t>ali</w:t>
      </w:r>
      <w:r w:rsidRPr="00B5299B">
        <w:rPr>
          <w:szCs w:val="13"/>
        </w:rPr>
        <w:t xml:space="preserve">quid </w:t>
      </w:r>
      <w:r w:rsidRPr="00B5299B">
        <w:rPr>
          <w:szCs w:val="14"/>
        </w:rPr>
        <w:t xml:space="preserve">quod </w:t>
      </w:r>
      <w:r>
        <w:t>posset racionabili</w:t>
      </w:r>
      <w:r w:rsidRPr="00B5299B">
        <w:t xml:space="preserve">ter adduci pro </w:t>
      </w:r>
      <w:r w:rsidRPr="00B5299B">
        <w:rPr>
          <w:szCs w:val="13"/>
        </w:rPr>
        <w:t xml:space="preserve">hac </w:t>
      </w:r>
      <w:r w:rsidRPr="00B5299B">
        <w:rPr>
          <w:szCs w:val="10"/>
        </w:rPr>
        <w:t xml:space="preserve">fantasia, </w:t>
      </w:r>
      <w:r w:rsidRPr="00B5299B">
        <w:t xml:space="preserve">ideo transeo </w:t>
      </w:r>
      <w:r w:rsidRPr="00B5299B">
        <w:rPr>
          <w:szCs w:val="13"/>
        </w:rPr>
        <w:t xml:space="preserve">ad </w:t>
      </w:r>
      <w:r>
        <w:rPr>
          <w:szCs w:val="14"/>
        </w:rPr>
        <w:t>ali</w:t>
      </w:r>
      <w:r w:rsidRPr="00B5299B">
        <w:rPr>
          <w:szCs w:val="14"/>
        </w:rPr>
        <w:t xml:space="preserve">ud quod </w:t>
      </w:r>
      <w:r w:rsidRPr="00B5299B">
        <w:rPr>
          <w:szCs w:val="10"/>
        </w:rPr>
        <w:t xml:space="preserve">est </w:t>
      </w:r>
      <w:r w:rsidRPr="00B5299B">
        <w:rPr>
          <w:szCs w:val="13"/>
        </w:rPr>
        <w:t xml:space="preserve">majus </w:t>
      </w:r>
      <w:r w:rsidRPr="00B5299B">
        <w:t xml:space="preserve">inconveniens, </w:t>
      </w:r>
      <w:r w:rsidRPr="00B5299B">
        <w:rPr>
          <w:szCs w:val="10"/>
        </w:rPr>
        <w:t xml:space="preserve">et </w:t>
      </w:r>
      <w:r w:rsidRPr="00B5299B">
        <w:rPr>
          <w:szCs w:val="11"/>
        </w:rPr>
        <w:t xml:space="preserve">error pejor, </w:t>
      </w:r>
      <w:r w:rsidRPr="00B5299B">
        <w:rPr>
          <w:szCs w:val="10"/>
        </w:rPr>
        <w:t xml:space="preserve">et </w:t>
      </w:r>
      <w:r>
        <w:rPr>
          <w:szCs w:val="11"/>
        </w:rPr>
        <w:t xml:space="preserve">heresis </w:t>
      </w:r>
      <w:r w:rsidRPr="00B5299B">
        <w:t xml:space="preserve">nequior, </w:t>
      </w:r>
      <w:r w:rsidRPr="00B5299B">
        <w:rPr>
          <w:szCs w:val="16"/>
        </w:rPr>
        <w:t xml:space="preserve">immo </w:t>
      </w:r>
      <w:r w:rsidRPr="00B5299B">
        <w:t xml:space="preserve">nequissima. </w:t>
      </w:r>
      <w:r w:rsidRPr="00B5299B">
        <w:rPr>
          <w:szCs w:val="14"/>
        </w:rPr>
        <w:t xml:space="preserve">Temporibus autem </w:t>
      </w:r>
      <w:r w:rsidRPr="00B5299B">
        <w:t xml:space="preserve">meis </w:t>
      </w:r>
      <w:r w:rsidRPr="00B5299B">
        <w:rPr>
          <w:szCs w:val="14"/>
        </w:rPr>
        <w:t xml:space="preserve">non </w:t>
      </w:r>
      <w:r w:rsidRPr="00B5299B">
        <w:rPr>
          <w:szCs w:val="10"/>
        </w:rPr>
        <w:t xml:space="preserve">fiebat </w:t>
      </w:r>
      <w:r w:rsidRPr="00B5299B">
        <w:rPr>
          <w:szCs w:val="13"/>
        </w:rPr>
        <w:t xml:space="preserve">mencio de </w:t>
      </w:r>
      <w:r w:rsidRPr="00B5299B">
        <w:rPr>
          <w:szCs w:val="9"/>
        </w:rPr>
        <w:t xml:space="preserve">istis </w:t>
      </w:r>
      <w:r w:rsidRPr="00B5299B">
        <w:rPr>
          <w:szCs w:val="11"/>
        </w:rPr>
        <w:t xml:space="preserve">erroribus, </w:t>
      </w:r>
      <w:r>
        <w:t>quia cuili</w:t>
      </w:r>
      <w:r w:rsidRPr="00B5299B">
        <w:t xml:space="preserve">bet </w:t>
      </w:r>
      <w:r w:rsidRPr="00B5299B">
        <w:rPr>
          <w:szCs w:val="9"/>
        </w:rPr>
        <w:t xml:space="preserve">fuit </w:t>
      </w:r>
      <w:r w:rsidRPr="00B5299B">
        <w:rPr>
          <w:szCs w:val="13"/>
        </w:rPr>
        <w:t xml:space="preserve">manifestum </w:t>
      </w:r>
      <w:r w:rsidRPr="00B5299B">
        <w:rPr>
          <w:szCs w:val="14"/>
        </w:rPr>
        <w:t xml:space="preserve">quod </w:t>
      </w:r>
      <w:r w:rsidRPr="00B5299B">
        <w:rPr>
          <w:szCs w:val="11"/>
        </w:rPr>
        <w:t xml:space="preserve">heretica fuerunt, </w:t>
      </w:r>
      <w:r w:rsidRPr="00B5299B">
        <w:rPr>
          <w:szCs w:val="10"/>
        </w:rPr>
        <w:t xml:space="preserve">sicut </w:t>
      </w:r>
      <w:r>
        <w:rPr>
          <w:szCs w:val="14"/>
        </w:rPr>
        <w:t>quodlibet ali</w:t>
      </w:r>
      <w:r w:rsidRPr="00B5299B">
        <w:rPr>
          <w:szCs w:val="14"/>
        </w:rPr>
        <w:t xml:space="preserve">ud </w:t>
      </w:r>
      <w:r w:rsidRPr="00B5299B">
        <w:t xml:space="preserve">contra </w:t>
      </w:r>
      <w:r w:rsidRPr="00B5299B">
        <w:rPr>
          <w:szCs w:val="13"/>
        </w:rPr>
        <w:t xml:space="preserve">fidem </w:t>
      </w:r>
      <w:r w:rsidRPr="00B5299B">
        <w:rPr>
          <w:szCs w:val="10"/>
        </w:rPr>
        <w:t xml:space="preserve">et </w:t>
      </w:r>
      <w:r w:rsidRPr="00B5299B">
        <w:t xml:space="preserve">philosophiam, nec </w:t>
      </w:r>
      <w:r w:rsidRPr="00B5299B">
        <w:rPr>
          <w:szCs w:val="11"/>
        </w:rPr>
        <w:t xml:space="preserve">dignati </w:t>
      </w:r>
      <w:r w:rsidRPr="00B5299B">
        <w:rPr>
          <w:szCs w:val="14"/>
        </w:rPr>
        <w:t xml:space="preserve">sumus movere </w:t>
      </w:r>
      <w:r w:rsidRPr="00B5299B">
        <w:rPr>
          <w:szCs w:val="13"/>
        </w:rPr>
        <w:t xml:space="preserve">questionem de </w:t>
      </w:r>
      <w:r w:rsidRPr="00B5299B">
        <w:rPr>
          <w:szCs w:val="10"/>
        </w:rPr>
        <w:t xml:space="preserve">hiis </w:t>
      </w:r>
      <w:r w:rsidRPr="00B5299B">
        <w:t xml:space="preserve">propter </w:t>
      </w:r>
      <w:r w:rsidRPr="00B5299B">
        <w:rPr>
          <w:szCs w:val="10"/>
        </w:rPr>
        <w:t xml:space="preserve">stulticie </w:t>
      </w:r>
      <w:r w:rsidRPr="00B5299B">
        <w:rPr>
          <w:szCs w:val="13"/>
        </w:rPr>
        <w:t>magnitudinem.</w:t>
      </w:r>
      <w:r>
        <w:rPr>
          <w:szCs w:val="13"/>
        </w:rPr>
        <w:t xml:space="preserve">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sidRPr="00552137">
        <w:rPr>
          <w:szCs w:val="31"/>
        </w:rPr>
        <w:t xml:space="preserve">III, </w:t>
      </w:r>
      <w:r>
        <w:rPr>
          <w:szCs w:val="31"/>
        </w:rPr>
        <w:t xml:space="preserve">dist. III de anima, cap. 2m, ed. Steele, </w:t>
      </w:r>
      <w:r w:rsidRPr="00552137">
        <w:rPr>
          <w:szCs w:val="31"/>
        </w:rPr>
        <w:t>p.</w:t>
      </w:r>
      <w:r>
        <w:rPr>
          <w:i/>
          <w:szCs w:val="31"/>
        </w:rPr>
        <w:t xml:space="preserve"> </w:t>
      </w:r>
      <w:r>
        <w:rPr>
          <w:szCs w:val="11"/>
        </w:rPr>
        <w:t>286.</w:t>
      </w:r>
      <w:r>
        <w:rPr>
          <w:szCs w:val="13"/>
        </w:rPr>
        <w:t>14‒25</w:t>
      </w:r>
      <w:r>
        <w:rPr>
          <w:szCs w:val="11"/>
        </w:rPr>
        <w:fldChar w:fldCharType="begin"/>
      </w:r>
      <w:r>
        <w:instrText xml:space="preserve"> XE "</w:instrText>
      </w:r>
      <w:r>
        <w:rPr>
          <w:lang w:val="cs-CZ"/>
        </w:rPr>
        <w:instrText>Bacon:</w:instrText>
      </w:r>
      <w:r w:rsidRPr="0024556E">
        <w:rPr>
          <w:i/>
          <w:lang w:val="cs-CZ"/>
        </w:rPr>
        <w:instrText>Communium naturalium</w:instrText>
      </w:r>
      <w:r>
        <w:rPr>
          <w:lang w:val="cs-CZ"/>
        </w:rPr>
        <w:instrText xml:space="preserve"> </w:instrText>
      </w:r>
      <w:r>
        <w:rPr>
          <w:szCs w:val="11"/>
        </w:rPr>
        <w:instrText>286.</w:instrText>
      </w:r>
      <w:r>
        <w:rPr>
          <w:szCs w:val="13"/>
        </w:rPr>
        <w:instrText>14‒25</w:instrText>
      </w:r>
      <w:r>
        <w:instrText xml:space="preserve">" </w:instrText>
      </w:r>
      <w:r>
        <w:rPr>
          <w:szCs w:val="11"/>
        </w:rPr>
        <w:fldChar w:fldCharType="end"/>
      </w:r>
      <w:r>
        <w:rPr>
          <w:szCs w:val="13"/>
        </w:rPr>
        <w:t>)</w:t>
      </w:r>
    </w:p>
  </w:footnote>
  <w:footnote w:id="361">
    <w:p w14:paraId="2D657D9D" w14:textId="77777777" w:rsidR="00CD2817" w:rsidRPr="00544700" w:rsidRDefault="00CD2817">
      <w:pPr>
        <w:pStyle w:val="Textpoznpodarou"/>
      </w:pPr>
      <w:r>
        <w:rPr>
          <w:rStyle w:val="Znakapoznpodarou"/>
        </w:rPr>
        <w:footnoteRef/>
      </w:r>
      <w:r>
        <w:t xml:space="preserve"> „</w:t>
      </w:r>
      <w:r w:rsidRPr="00544700">
        <w:t>Unde dominus Robertus quondam episcopus Lincolniensis sanctae memoriae neglexit omnes libros Aristotelis</w:t>
      </w:r>
      <w:r>
        <w:t xml:space="preserve"> et vias eorum, et per experienti</w:t>
      </w:r>
      <w:r w:rsidRPr="00544700">
        <w:t>am propriam et auctores alios et per alias scientias negotiatus est i</w:t>
      </w:r>
      <w:r>
        <w:t>n sapientialibus Aristotelis...“ (</w:t>
      </w:r>
      <w:r w:rsidRPr="00544700">
        <w:rPr>
          <w:i/>
        </w:rPr>
        <w:t>Compe</w:t>
      </w:r>
      <w:r>
        <w:rPr>
          <w:i/>
          <w:lang w:val="cs-CZ"/>
        </w:rPr>
        <w:t>n</w:t>
      </w:r>
      <w:r w:rsidRPr="00544700">
        <w:rPr>
          <w:i/>
        </w:rPr>
        <w:t>dium studii philosophiae</w:t>
      </w:r>
      <w:r w:rsidRPr="00544700">
        <w:t>, cap. VIII; ed. Brewer, OHI 1, 469</w:t>
      </w:r>
      <w:r>
        <w:fldChar w:fldCharType="begin"/>
      </w:r>
      <w:r>
        <w:instrText xml:space="preserve"> XE "</w:instrText>
      </w:r>
      <w:r>
        <w:rPr>
          <w:lang w:val="cs-CZ"/>
        </w:rPr>
        <w:instrText>Bacon:</w:instrText>
      </w:r>
      <w:r w:rsidRPr="089045BB">
        <w:rPr>
          <w:i/>
        </w:rPr>
        <w:instrText>Compe</w:instrText>
      </w:r>
      <w:r w:rsidRPr="089045BB">
        <w:rPr>
          <w:i/>
          <w:lang w:val="cs-CZ"/>
        </w:rPr>
        <w:instrText>n</w:instrText>
      </w:r>
      <w:r w:rsidRPr="089045BB">
        <w:rPr>
          <w:i/>
        </w:rPr>
        <w:instrText>dium studii philosophiae</w:instrText>
      </w:r>
      <w:r w:rsidRPr="089045BB">
        <w:instrText xml:space="preserve"> 469</w:instrText>
      </w:r>
      <w:r>
        <w:instrText xml:space="preserve">" </w:instrText>
      </w:r>
      <w:r>
        <w:fldChar w:fldCharType="end"/>
      </w:r>
      <w:r w:rsidRPr="00544700">
        <w:t>)</w:t>
      </w:r>
    </w:p>
  </w:footnote>
  <w:footnote w:id="362">
    <w:p w14:paraId="2990A89C" w14:textId="77777777" w:rsidR="00CD2817" w:rsidRDefault="00CD2817">
      <w:pPr>
        <w:pStyle w:val="Textpoznpodarou"/>
      </w:pPr>
      <w:r>
        <w:rPr>
          <w:rStyle w:val="Znakapoznpodarou"/>
        </w:rPr>
        <w:footnoteRef/>
      </w:r>
      <w:r>
        <w:t xml:space="preserve"> </w:t>
      </w:r>
      <w:r>
        <w:rPr>
          <w:szCs w:val="14"/>
        </w:rPr>
        <w:t>„</w:t>
      </w:r>
      <w:r w:rsidRPr="002378D6">
        <w:rPr>
          <w:szCs w:val="14"/>
        </w:rPr>
        <w:t xml:space="preserve">Et Avicenna </w:t>
      </w:r>
      <w:r w:rsidRPr="002378D6">
        <w:t xml:space="preserve">et </w:t>
      </w:r>
      <w:r w:rsidRPr="002378D6">
        <w:rPr>
          <w:szCs w:val="12"/>
        </w:rPr>
        <w:t xml:space="preserve">Averrois </w:t>
      </w:r>
      <w:r w:rsidRPr="002378D6">
        <w:rPr>
          <w:szCs w:val="11"/>
        </w:rPr>
        <w:t xml:space="preserve">et </w:t>
      </w:r>
      <w:r w:rsidRPr="002378D6">
        <w:rPr>
          <w:szCs w:val="14"/>
        </w:rPr>
        <w:t xml:space="preserve">omnes </w:t>
      </w:r>
      <w:r w:rsidRPr="002378D6">
        <w:rPr>
          <w:szCs w:val="12"/>
        </w:rPr>
        <w:t xml:space="preserve">philosophi dicunt </w:t>
      </w:r>
      <w:r w:rsidRPr="002378D6">
        <w:t xml:space="preserve">illud </w:t>
      </w:r>
      <w:r w:rsidRPr="002378D6">
        <w:rPr>
          <w:szCs w:val="12"/>
        </w:rPr>
        <w:t xml:space="preserve">idem, </w:t>
      </w:r>
      <w:r w:rsidRPr="002378D6">
        <w:t xml:space="preserve">et </w:t>
      </w:r>
      <w:r w:rsidRPr="002378D6">
        <w:rPr>
          <w:szCs w:val="13"/>
        </w:rPr>
        <w:t xml:space="preserve">hoc concordat </w:t>
      </w:r>
      <w:r w:rsidRPr="002378D6">
        <w:rPr>
          <w:szCs w:val="16"/>
        </w:rPr>
        <w:t xml:space="preserve">cum </w:t>
      </w:r>
      <w:r w:rsidRPr="002378D6">
        <w:rPr>
          <w:szCs w:val="9"/>
        </w:rPr>
        <w:t xml:space="preserve">fide, </w:t>
      </w:r>
      <w:r w:rsidRPr="002378D6">
        <w:rPr>
          <w:szCs w:val="11"/>
        </w:rPr>
        <w:t xml:space="preserve">ut sola </w:t>
      </w:r>
      <w:r w:rsidRPr="002378D6">
        <w:rPr>
          <w:szCs w:val="16"/>
        </w:rPr>
        <w:t xml:space="preserve">ymago </w:t>
      </w:r>
      <w:r w:rsidRPr="002378D6">
        <w:rPr>
          <w:szCs w:val="13"/>
        </w:rPr>
        <w:t xml:space="preserve">Dei </w:t>
      </w:r>
      <w:r w:rsidRPr="002378D6">
        <w:rPr>
          <w:szCs w:val="11"/>
        </w:rPr>
        <w:t xml:space="preserve">creetur, set </w:t>
      </w:r>
      <w:r w:rsidRPr="002378D6">
        <w:rPr>
          <w:szCs w:val="13"/>
        </w:rPr>
        <w:t xml:space="preserve">hec </w:t>
      </w:r>
      <w:r w:rsidRPr="002378D6">
        <w:t xml:space="preserve">est </w:t>
      </w:r>
      <w:r w:rsidRPr="002378D6">
        <w:rPr>
          <w:szCs w:val="14"/>
        </w:rPr>
        <w:t xml:space="preserve">anima </w:t>
      </w:r>
      <w:r w:rsidRPr="002378D6">
        <w:t xml:space="preserve">intellectiva. </w:t>
      </w:r>
      <w:r w:rsidRPr="002378D6">
        <w:rPr>
          <w:szCs w:val="15"/>
        </w:rPr>
        <w:t xml:space="preserve">Nec </w:t>
      </w:r>
      <w:r w:rsidRPr="002378D6">
        <w:rPr>
          <w:szCs w:val="11"/>
        </w:rPr>
        <w:t xml:space="preserve">est aliquid </w:t>
      </w:r>
      <w:r w:rsidRPr="002378D6">
        <w:rPr>
          <w:szCs w:val="12"/>
        </w:rPr>
        <w:t xml:space="preserve">contra </w:t>
      </w:r>
      <w:r w:rsidRPr="002378D6">
        <w:rPr>
          <w:szCs w:val="13"/>
        </w:rPr>
        <w:t xml:space="preserve">hoc </w:t>
      </w:r>
      <w:r w:rsidRPr="002378D6">
        <w:t xml:space="preserve">nisi </w:t>
      </w:r>
      <w:r w:rsidRPr="002378D6">
        <w:rPr>
          <w:szCs w:val="15"/>
        </w:rPr>
        <w:t xml:space="preserve">quedam </w:t>
      </w:r>
      <w:r w:rsidRPr="002378D6">
        <w:rPr>
          <w:szCs w:val="11"/>
        </w:rPr>
        <w:t xml:space="preserve">auctoritates </w:t>
      </w:r>
      <w:r w:rsidRPr="002378D6">
        <w:rPr>
          <w:szCs w:val="15"/>
        </w:rPr>
        <w:t xml:space="preserve">duorum </w:t>
      </w:r>
      <w:r>
        <w:rPr>
          <w:szCs w:val="14"/>
        </w:rPr>
        <w:t>li</w:t>
      </w:r>
      <w:r w:rsidRPr="002378D6">
        <w:rPr>
          <w:szCs w:val="14"/>
        </w:rPr>
        <w:t xml:space="preserve">brorum </w:t>
      </w:r>
      <w:r w:rsidRPr="002378D6">
        <w:rPr>
          <w:szCs w:val="12"/>
        </w:rPr>
        <w:t xml:space="preserve">qui </w:t>
      </w:r>
      <w:r w:rsidRPr="002378D6">
        <w:rPr>
          <w:szCs w:val="13"/>
        </w:rPr>
        <w:t xml:space="preserve">non </w:t>
      </w:r>
      <w:r w:rsidRPr="002378D6">
        <w:rPr>
          <w:szCs w:val="12"/>
        </w:rPr>
        <w:t xml:space="preserve">sunt </w:t>
      </w:r>
      <w:r w:rsidRPr="002378D6">
        <w:rPr>
          <w:szCs w:val="11"/>
        </w:rPr>
        <w:t xml:space="preserve">autentici, </w:t>
      </w:r>
      <w:r w:rsidRPr="002378D6">
        <w:rPr>
          <w:szCs w:val="9"/>
        </w:rPr>
        <w:t xml:space="preserve">scilicet, </w:t>
      </w:r>
      <w:r w:rsidRPr="002378D6">
        <w:rPr>
          <w:szCs w:val="16"/>
        </w:rPr>
        <w:t>D</w:t>
      </w:r>
      <w:r>
        <w:rPr>
          <w:szCs w:val="16"/>
        </w:rPr>
        <w:t>e</w:t>
      </w:r>
      <w:r w:rsidRPr="002378D6">
        <w:rPr>
          <w:szCs w:val="16"/>
        </w:rPr>
        <w:t xml:space="preserve"> </w:t>
      </w:r>
      <w:r>
        <w:rPr>
          <w:szCs w:val="14"/>
        </w:rPr>
        <w:t>Spiritu</w:t>
      </w:r>
      <w:r w:rsidRPr="002378D6">
        <w:rPr>
          <w:szCs w:val="14"/>
        </w:rPr>
        <w:t xml:space="preserve"> </w:t>
      </w:r>
      <w:r w:rsidRPr="002378D6">
        <w:t xml:space="preserve">et </w:t>
      </w:r>
      <w:r w:rsidRPr="002378D6">
        <w:rPr>
          <w:szCs w:val="14"/>
        </w:rPr>
        <w:t xml:space="preserve">Anima, </w:t>
      </w:r>
      <w:r w:rsidRPr="002378D6">
        <w:rPr>
          <w:szCs w:val="11"/>
        </w:rPr>
        <w:t xml:space="preserve">et </w:t>
      </w:r>
      <w:r w:rsidRPr="002378D6">
        <w:rPr>
          <w:szCs w:val="17"/>
        </w:rPr>
        <w:t xml:space="preserve">De </w:t>
      </w:r>
      <w:r w:rsidRPr="002378D6">
        <w:rPr>
          <w:szCs w:val="11"/>
        </w:rPr>
        <w:t xml:space="preserve">Ecclesiasticis </w:t>
      </w:r>
      <w:r w:rsidRPr="002378D6">
        <w:rPr>
          <w:szCs w:val="13"/>
        </w:rPr>
        <w:t>Dogmatib</w:t>
      </w:r>
      <w:r>
        <w:rPr>
          <w:szCs w:val="13"/>
        </w:rPr>
        <w:t>u</w:t>
      </w:r>
      <w:r w:rsidRPr="002378D6">
        <w:rPr>
          <w:szCs w:val="13"/>
        </w:rPr>
        <w:t xml:space="preserve">s. </w:t>
      </w:r>
      <w:r w:rsidRPr="002378D6">
        <w:rPr>
          <w:szCs w:val="16"/>
        </w:rPr>
        <w:t xml:space="preserve">Non </w:t>
      </w:r>
      <w:r w:rsidRPr="002378D6">
        <w:rPr>
          <w:szCs w:val="14"/>
        </w:rPr>
        <w:t xml:space="preserve">enim </w:t>
      </w:r>
      <w:r w:rsidRPr="002378D6">
        <w:rPr>
          <w:szCs w:val="12"/>
        </w:rPr>
        <w:t xml:space="preserve">sunt Augustini, ut </w:t>
      </w:r>
      <w:r w:rsidRPr="002378D6">
        <w:t xml:space="preserve">periti </w:t>
      </w:r>
      <w:r w:rsidRPr="002378D6">
        <w:rPr>
          <w:szCs w:val="12"/>
        </w:rPr>
        <w:t xml:space="preserve">theologi </w:t>
      </w:r>
      <w:r w:rsidRPr="002378D6">
        <w:rPr>
          <w:szCs w:val="11"/>
        </w:rPr>
        <w:t xml:space="preserve">sciunt, </w:t>
      </w:r>
      <w:r w:rsidRPr="002378D6">
        <w:t xml:space="preserve">licet </w:t>
      </w:r>
      <w:r w:rsidRPr="002378D6">
        <w:rPr>
          <w:szCs w:val="11"/>
        </w:rPr>
        <w:t xml:space="preserve">aliqui </w:t>
      </w:r>
      <w:r w:rsidRPr="002378D6">
        <w:rPr>
          <w:szCs w:val="12"/>
        </w:rPr>
        <w:t xml:space="preserve">estimare solebant </w:t>
      </w:r>
      <w:r w:rsidRPr="002378D6">
        <w:rPr>
          <w:szCs w:val="14"/>
        </w:rPr>
        <w:t xml:space="preserve">quod </w:t>
      </w:r>
      <w:r w:rsidRPr="002378D6">
        <w:rPr>
          <w:szCs w:val="12"/>
        </w:rPr>
        <w:t>essent Augustini.</w:t>
      </w:r>
      <w:r>
        <w:rPr>
          <w:szCs w:val="12"/>
        </w:rPr>
        <w:t xml:space="preserve">“ </w:t>
      </w:r>
      <w:r>
        <w:rPr>
          <w:szCs w:val="11"/>
        </w:rPr>
        <w:t>(</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Pr>
          <w:szCs w:val="31"/>
        </w:rPr>
        <w:t>III, dist. III de anima, cap. 1m; ed. Steele</w:t>
      </w:r>
      <w:r>
        <w:rPr>
          <w:szCs w:val="31"/>
          <w:lang w:val="cs-CZ"/>
        </w:rPr>
        <w:t xml:space="preserve">, </w:t>
      </w:r>
      <w:r>
        <w:rPr>
          <w:szCs w:val="31"/>
        </w:rPr>
        <w:t xml:space="preserve">p. </w:t>
      </w:r>
      <w:r>
        <w:rPr>
          <w:szCs w:val="11"/>
        </w:rPr>
        <w:t>282.8‒14</w:t>
      </w:r>
      <w:r>
        <w:rPr>
          <w:szCs w:val="11"/>
        </w:rPr>
        <w:fldChar w:fldCharType="begin"/>
      </w:r>
      <w:r>
        <w:instrText xml:space="preserve"> XE "</w:instrText>
      </w:r>
      <w:r>
        <w:rPr>
          <w:lang w:val="cs-CZ"/>
        </w:rPr>
        <w:instrText>Bacon:</w:instrText>
      </w:r>
      <w:r w:rsidRPr="0024556E">
        <w:rPr>
          <w:i/>
          <w:lang w:val="cs-CZ"/>
        </w:rPr>
        <w:instrText>Communium naturalium</w:instrText>
      </w:r>
      <w:r>
        <w:rPr>
          <w:szCs w:val="11"/>
        </w:rPr>
        <w:instrText xml:space="preserve"> 28</w:instrText>
      </w:r>
      <w:r>
        <w:rPr>
          <w:szCs w:val="11"/>
          <w:lang w:val="cs-CZ"/>
        </w:rPr>
        <w:instrText>2</w:instrText>
      </w:r>
      <w:r>
        <w:rPr>
          <w:szCs w:val="11"/>
        </w:rPr>
        <w:instrText>.</w:instrText>
      </w:r>
      <w:r>
        <w:rPr>
          <w:szCs w:val="13"/>
          <w:lang w:val="cs-CZ"/>
        </w:rPr>
        <w:instrText>8</w:instrText>
      </w:r>
      <w:r>
        <w:rPr>
          <w:szCs w:val="13"/>
        </w:rPr>
        <w:instrText>‒</w:instrText>
      </w:r>
      <w:r>
        <w:rPr>
          <w:szCs w:val="13"/>
          <w:lang w:val="cs-CZ"/>
        </w:rPr>
        <w:instrText>14</w:instrText>
      </w:r>
      <w:r>
        <w:instrText xml:space="preserve">" </w:instrText>
      </w:r>
      <w:r>
        <w:rPr>
          <w:szCs w:val="11"/>
        </w:rPr>
        <w:fldChar w:fldCharType="end"/>
      </w:r>
      <w:r>
        <w:rPr>
          <w:szCs w:val="11"/>
        </w:rPr>
        <w:t>)</w:t>
      </w:r>
    </w:p>
  </w:footnote>
  <w:footnote w:id="363">
    <w:p w14:paraId="2DA12178" w14:textId="77777777" w:rsidR="00CD2817" w:rsidRDefault="00CD2817">
      <w:pPr>
        <w:pStyle w:val="Textpoznpodarou"/>
      </w:pPr>
      <w:r>
        <w:rPr>
          <w:rStyle w:val="Znakapoznpodarou"/>
        </w:rPr>
        <w:footnoteRef/>
      </w:r>
      <w:r>
        <w:t xml:space="preserve"> „Ab annis decem igitur inolevit opinio per hominem erroneum et famosum quod ante animam racionalem presupponitur differencia substancialis specifica educta de potencia materie que ponit hominem sub specie animalis, ita quod intellectiva non faciat hoc, set anima sensitiva specialis addita ad naturam sensitivam animalis communem, sicut anima sensitiva specialis asini additur super animalitatem ut fiat asinus species animalis. Set istud porro est contra totam philosophiam Aristotelis et omnium auctorum.“ (</w:t>
      </w:r>
      <w:r w:rsidRPr="002D16A2">
        <w:rPr>
          <w:i/>
          <w:szCs w:val="35"/>
        </w:rPr>
        <w:t xml:space="preserve">Opera </w:t>
      </w:r>
      <w:r w:rsidRPr="002D16A2">
        <w:rPr>
          <w:i/>
          <w:szCs w:val="32"/>
        </w:rPr>
        <w:t xml:space="preserve">hactenus </w:t>
      </w:r>
      <w:r w:rsidRPr="002D16A2">
        <w:rPr>
          <w:i/>
          <w:szCs w:val="28"/>
        </w:rPr>
        <w:t xml:space="preserve">inedita </w:t>
      </w:r>
      <w:r w:rsidRPr="002D16A2">
        <w:rPr>
          <w:i/>
          <w:szCs w:val="30"/>
        </w:rPr>
        <w:t xml:space="preserve">Rogeri </w:t>
      </w:r>
      <w:r w:rsidRPr="002D16A2">
        <w:rPr>
          <w:i/>
          <w:szCs w:val="32"/>
        </w:rPr>
        <w:t>Baconi</w:t>
      </w:r>
      <w:r w:rsidRPr="002D16A2">
        <w:rPr>
          <w:i/>
          <w:szCs w:val="28"/>
        </w:rPr>
        <w:t xml:space="preserve"> </w:t>
      </w:r>
      <w:r>
        <w:rPr>
          <w:szCs w:val="31"/>
        </w:rPr>
        <w:t>III</w:t>
      </w:r>
      <w:r>
        <w:rPr>
          <w:szCs w:val="31"/>
          <w:lang w:val="cs-CZ"/>
        </w:rPr>
        <w:t xml:space="preserve">, ibid; </w:t>
      </w:r>
      <w:r>
        <w:rPr>
          <w:szCs w:val="31"/>
        </w:rPr>
        <w:t xml:space="preserve">ed. Steele, p. </w:t>
      </w:r>
      <w:r>
        <w:rPr>
          <w:szCs w:val="11"/>
        </w:rPr>
        <w:t>283.1‒9</w:t>
      </w:r>
      <w:r>
        <w:rPr>
          <w:szCs w:val="11"/>
        </w:rPr>
        <w:fldChar w:fldCharType="begin"/>
      </w:r>
      <w:r>
        <w:instrText xml:space="preserve"> XE "</w:instrText>
      </w:r>
      <w:r>
        <w:rPr>
          <w:lang w:val="cs-CZ"/>
        </w:rPr>
        <w:instrText>Bacon:</w:instrText>
      </w:r>
      <w:r w:rsidRPr="0024556E">
        <w:rPr>
          <w:i/>
          <w:lang w:val="cs-CZ"/>
        </w:rPr>
        <w:instrText>Communium naturalium</w:instrText>
      </w:r>
      <w:r>
        <w:rPr>
          <w:i/>
          <w:lang w:val="cs-CZ"/>
        </w:rPr>
        <w:instrText xml:space="preserve"> </w:instrText>
      </w:r>
      <w:r>
        <w:rPr>
          <w:szCs w:val="11"/>
        </w:rPr>
        <w:instrText>28</w:instrText>
      </w:r>
      <w:r>
        <w:rPr>
          <w:szCs w:val="11"/>
          <w:lang w:val="cs-CZ"/>
        </w:rPr>
        <w:instrText>3</w:instrText>
      </w:r>
      <w:r>
        <w:rPr>
          <w:szCs w:val="11"/>
        </w:rPr>
        <w:instrText>.</w:instrText>
      </w:r>
      <w:r>
        <w:rPr>
          <w:szCs w:val="13"/>
        </w:rPr>
        <w:instrText>1‒</w:instrText>
      </w:r>
      <w:r>
        <w:rPr>
          <w:szCs w:val="13"/>
          <w:lang w:val="cs-CZ"/>
        </w:rPr>
        <w:instrText>9</w:instrText>
      </w:r>
      <w:r>
        <w:instrText xml:space="preserve">" </w:instrText>
      </w:r>
      <w:r>
        <w:rPr>
          <w:szCs w:val="11"/>
        </w:rPr>
        <w:fldChar w:fldCharType="end"/>
      </w:r>
      <w:r>
        <w:t>)</w:t>
      </w:r>
    </w:p>
  </w:footnote>
  <w:footnote w:id="364">
    <w:p w14:paraId="198DC64C" w14:textId="77777777" w:rsidR="00CD2817" w:rsidRPr="08A94E64" w:rsidRDefault="00CD2817" w:rsidP="08636F07">
      <w:pPr>
        <w:pStyle w:val="Textpoznpodarou"/>
      </w:pPr>
      <w:r>
        <w:rPr>
          <w:rStyle w:val="Znakapoznpodarou"/>
        </w:rPr>
        <w:footnoteRef/>
      </w:r>
      <w:r>
        <w:t xml:space="preserve"> „</w:t>
      </w:r>
      <w:r w:rsidRPr="08A94E64">
        <w:t>Adhuc videtur quod anima intellectiva in homine sit perficiens ipsam animam sensitivam, et sensitiva vegetativam, sicut forma que est differencia perficit et complet formam generis. Cum igitur eadem sit substancia generis et differencie, non differens nisi sicut completum et incompletum, videtur quod eadem sit substancia anime intellective, sensitive et vegetative solum differens secundum complecionem et incomplecionem.</w:t>
      </w:r>
      <w:r>
        <w:t>“ (</w:t>
      </w:r>
      <w:r w:rsidRPr="001D29A6">
        <w:rPr>
          <w:i/>
        </w:rPr>
        <w:t>Sentencia super librum de Anima</w:t>
      </w:r>
      <w:r>
        <w:t>, Ms. Merton College 272, f. 7</w:t>
      </w:r>
      <w:r w:rsidRPr="00B14DAF">
        <w:t>rb</w:t>
      </w:r>
      <w:r>
        <w:rPr>
          <w:lang w:val="cs-CZ"/>
        </w:rPr>
        <w:t>;</w:t>
      </w:r>
      <w:r>
        <w:t xml:space="preserve"> ed. Callus, p. 435.59‒436.66</w:t>
      </w:r>
      <w:r>
        <w:fldChar w:fldCharType="begin"/>
      </w:r>
      <w:r>
        <w:instrText xml:space="preserve"> XE "</w:instrText>
      </w:r>
      <w:r>
        <w:rPr>
          <w:lang w:val="cs-CZ"/>
        </w:rPr>
        <w:instrText>Adam de Buckfield:</w:instrText>
      </w:r>
      <w:r w:rsidRPr="00B97BCB">
        <w:rPr>
          <w:i/>
        </w:rPr>
        <w:instrText>Sentencia super librum de Anima</w:instrText>
      </w:r>
      <w:r w:rsidRPr="00B97BCB">
        <w:instrText xml:space="preserve"> 435.59‒436.66</w:instrText>
      </w:r>
      <w:r>
        <w:instrText xml:space="preserve">" </w:instrText>
      </w:r>
      <w:r>
        <w:fldChar w:fldCharType="end"/>
      </w:r>
      <w:r>
        <w:t>)</w:t>
      </w:r>
    </w:p>
  </w:footnote>
  <w:footnote w:id="365">
    <w:p w14:paraId="6EFD12F2" w14:textId="77777777" w:rsidR="00CD2817" w:rsidRPr="08F964E2" w:rsidRDefault="00CD2817" w:rsidP="00E20041">
      <w:pPr>
        <w:pStyle w:val="Textpoznpodarou"/>
      </w:pPr>
      <w:r>
        <w:rPr>
          <w:rStyle w:val="Znakapoznpodarou"/>
        </w:rPr>
        <w:footnoteRef/>
      </w:r>
      <w:r>
        <w:t xml:space="preserve"> „</w:t>
      </w:r>
      <w:r w:rsidRPr="08F964E2">
        <w:t>Quia si animal est genus ad hominem, et sensus facit anim</w:t>
      </w:r>
      <w:r>
        <w:t>al, racionale vero hominem; tunc</w:t>
      </w:r>
      <w:r w:rsidRPr="08F964E2">
        <w:t xml:space="preserve"> videtur quod sensus vel sensitivum genus sit ad racionalem seu intellectivam partem anime. </w:t>
      </w:r>
      <w:r>
        <w:t xml:space="preserve">(...) </w:t>
      </w:r>
      <w:r w:rsidRPr="08F964E2">
        <w:t>Nam nunquam invenitur quod gen</w:t>
      </w:r>
      <w:r>
        <w:t>us veniat ab intrinseco et diffe</w:t>
      </w:r>
      <w:r w:rsidRPr="08F964E2">
        <w:t>rencia ab</w:t>
      </w:r>
      <w:r>
        <w:t xml:space="preserve"> extrinseco, nec e converso, sed</w:t>
      </w:r>
      <w:r w:rsidRPr="08F964E2">
        <w:t xml:space="preserve"> semper per unam viam procedunt ad esse.</w:t>
      </w:r>
      <w:r>
        <w:t>“ (</w:t>
      </w:r>
      <w:r w:rsidRPr="089350E4">
        <w:rPr>
          <w:i/>
        </w:rPr>
        <w:t>In II Sent</w:t>
      </w:r>
      <w:r>
        <w:t xml:space="preserve">., dist. 17; Ms. Oxford 62, </w:t>
      </w:r>
      <w:r>
        <w:rPr>
          <w:rFonts w:eastAsia="Code2000"/>
        </w:rPr>
        <w:t>f. 145ra‒</w:t>
      </w:r>
      <w:r w:rsidRPr="08F964E2">
        <w:rPr>
          <w:rFonts w:eastAsia="Code2000"/>
        </w:rPr>
        <w:t>5</w:t>
      </w:r>
      <w:r>
        <w:rPr>
          <w:rFonts w:eastAsia="Code2000"/>
        </w:rPr>
        <w:t>vb</w:t>
      </w:r>
      <w:r>
        <w:rPr>
          <w:lang w:val="cs-CZ"/>
        </w:rPr>
        <w:t xml:space="preserve">; </w:t>
      </w:r>
      <w:r>
        <w:t>ed. Callus, p. 441.86‒96</w:t>
      </w:r>
      <w:r>
        <w:fldChar w:fldCharType="begin"/>
      </w:r>
      <w:r>
        <w:instrText xml:space="preserve"> XE "</w:instrText>
      </w:r>
      <w:r>
        <w:rPr>
          <w:lang w:val="cs-CZ"/>
        </w:rPr>
        <w:instrText>Rufus:</w:instrText>
      </w:r>
      <w:r w:rsidRPr="00643B4D">
        <w:rPr>
          <w:i/>
        </w:rPr>
        <w:instrText>In II Sent</w:instrText>
      </w:r>
      <w:r>
        <w:rPr>
          <w:i/>
          <w:lang w:val="cs-CZ"/>
        </w:rPr>
        <w:instrText xml:space="preserve">. </w:instrText>
      </w:r>
      <w:r w:rsidRPr="00643B4D">
        <w:instrText>441.86‒96</w:instrText>
      </w:r>
      <w:r>
        <w:instrText xml:space="preserve">" </w:instrText>
      </w:r>
      <w:r>
        <w:fldChar w:fldCharType="end"/>
      </w:r>
      <w:r>
        <w:t>)</w:t>
      </w:r>
    </w:p>
  </w:footnote>
  <w:footnote w:id="366">
    <w:p w14:paraId="7DCCB6BC" w14:textId="77777777" w:rsidR="00CD2817" w:rsidRDefault="00CD2817" w:rsidP="00435DC3">
      <w:pPr>
        <w:pStyle w:val="Textpoznpodarou"/>
      </w:pPr>
      <w:r>
        <w:rPr>
          <w:rStyle w:val="Znakapoznpodarou"/>
        </w:rPr>
        <w:footnoteRef/>
      </w:r>
      <w:r>
        <w:t xml:space="preserve"> </w:t>
      </w:r>
      <w:r>
        <w:rPr>
          <w:szCs w:val="22"/>
        </w:rPr>
        <w:t>„</w:t>
      </w:r>
      <w:r w:rsidRPr="00817A1F">
        <w:rPr>
          <w:szCs w:val="22"/>
        </w:rPr>
        <w:t xml:space="preserve">Ex </w:t>
      </w:r>
      <w:r w:rsidRPr="00817A1F">
        <w:t>ignorancia</w:t>
      </w:r>
      <w:r>
        <w:t xml:space="preserve"> </w:t>
      </w:r>
      <w:r w:rsidRPr="00817A1F">
        <w:rPr>
          <w:szCs w:val="16"/>
        </w:rPr>
        <w:t xml:space="preserve">istorum </w:t>
      </w:r>
      <w:r w:rsidRPr="00817A1F">
        <w:rPr>
          <w:szCs w:val="19"/>
        </w:rPr>
        <w:t xml:space="preserve">duorum </w:t>
      </w:r>
      <w:r w:rsidRPr="00817A1F">
        <w:rPr>
          <w:szCs w:val="18"/>
        </w:rPr>
        <w:t xml:space="preserve">problematum </w:t>
      </w:r>
      <w:r w:rsidRPr="00817A1F">
        <w:t xml:space="preserve">tenet </w:t>
      </w:r>
      <w:r w:rsidRPr="00817A1F">
        <w:rPr>
          <w:szCs w:val="16"/>
        </w:rPr>
        <w:t xml:space="preserve">multitudo </w:t>
      </w:r>
      <w:r w:rsidRPr="00817A1F">
        <w:rPr>
          <w:szCs w:val="18"/>
        </w:rPr>
        <w:t xml:space="preserve">quod </w:t>
      </w:r>
      <w:r w:rsidRPr="00817A1F">
        <w:rPr>
          <w:szCs w:val="16"/>
        </w:rPr>
        <w:t>Cesar</w:t>
      </w:r>
      <w:r>
        <w:rPr>
          <w:szCs w:val="16"/>
        </w:rPr>
        <w:t xml:space="preserve"> </w:t>
      </w:r>
      <w:r w:rsidRPr="00817A1F">
        <w:t xml:space="preserve">mortuus </w:t>
      </w:r>
      <w:r w:rsidRPr="00817A1F">
        <w:rPr>
          <w:szCs w:val="11"/>
        </w:rPr>
        <w:t xml:space="preserve">sit </w:t>
      </w:r>
      <w:r w:rsidRPr="00817A1F">
        <w:t xml:space="preserve">homo, </w:t>
      </w:r>
      <w:r w:rsidRPr="00817A1F">
        <w:rPr>
          <w:szCs w:val="13"/>
        </w:rPr>
        <w:t xml:space="preserve">et </w:t>
      </w:r>
      <w:r w:rsidRPr="00817A1F">
        <w:rPr>
          <w:szCs w:val="18"/>
        </w:rPr>
        <w:t xml:space="preserve">quod </w:t>
      </w:r>
      <w:r w:rsidRPr="00817A1F">
        <w:t xml:space="preserve">homo mortuus </w:t>
      </w:r>
      <w:r w:rsidRPr="00817A1F">
        <w:rPr>
          <w:szCs w:val="11"/>
        </w:rPr>
        <w:t xml:space="preserve">sit </w:t>
      </w:r>
      <w:r w:rsidRPr="00817A1F">
        <w:t xml:space="preserve">animal, </w:t>
      </w:r>
      <w:r w:rsidRPr="00817A1F">
        <w:rPr>
          <w:szCs w:val="13"/>
        </w:rPr>
        <w:t xml:space="preserve">et </w:t>
      </w:r>
      <w:r w:rsidRPr="00817A1F">
        <w:rPr>
          <w:szCs w:val="18"/>
        </w:rPr>
        <w:t>quod</w:t>
      </w:r>
      <w:r>
        <w:rPr>
          <w:szCs w:val="18"/>
        </w:rPr>
        <w:t xml:space="preserve"> </w:t>
      </w:r>
      <w:r w:rsidRPr="00817A1F">
        <w:t xml:space="preserve">Christus </w:t>
      </w:r>
      <w:r w:rsidRPr="00817A1F">
        <w:rPr>
          <w:szCs w:val="13"/>
        </w:rPr>
        <w:t xml:space="preserve">in </w:t>
      </w:r>
      <w:r w:rsidRPr="00817A1F">
        <w:rPr>
          <w:szCs w:val="14"/>
        </w:rPr>
        <w:t xml:space="preserve">triduo </w:t>
      </w:r>
      <w:r w:rsidRPr="00817A1F">
        <w:rPr>
          <w:szCs w:val="12"/>
        </w:rPr>
        <w:t xml:space="preserve">fuit </w:t>
      </w:r>
      <w:r w:rsidRPr="00817A1F">
        <w:t xml:space="preserve">homo, </w:t>
      </w:r>
      <w:r w:rsidRPr="00817A1F">
        <w:rPr>
          <w:szCs w:val="13"/>
        </w:rPr>
        <w:t xml:space="preserve">et alia infinita </w:t>
      </w:r>
      <w:r w:rsidRPr="00817A1F">
        <w:rPr>
          <w:szCs w:val="14"/>
        </w:rPr>
        <w:t xml:space="preserve">falsissima </w:t>
      </w:r>
      <w:r w:rsidRPr="00817A1F">
        <w:rPr>
          <w:szCs w:val="13"/>
        </w:rPr>
        <w:t>et stul</w:t>
      </w:r>
      <w:r w:rsidRPr="00817A1F">
        <w:rPr>
          <w:szCs w:val="14"/>
        </w:rPr>
        <w:t>tissima</w:t>
      </w:r>
      <w:r>
        <w:rPr>
          <w:szCs w:val="14"/>
        </w:rPr>
        <w:t xml:space="preserve"> </w:t>
      </w:r>
      <w:r w:rsidRPr="00817A1F">
        <w:rPr>
          <w:szCs w:val="13"/>
        </w:rPr>
        <w:t xml:space="preserve">circa restrictiones et </w:t>
      </w:r>
      <w:r w:rsidRPr="00817A1F">
        <w:rPr>
          <w:szCs w:val="16"/>
        </w:rPr>
        <w:t xml:space="preserve">amplitudines </w:t>
      </w:r>
      <w:r w:rsidRPr="00817A1F">
        <w:rPr>
          <w:szCs w:val="13"/>
        </w:rPr>
        <w:t xml:space="preserve">in </w:t>
      </w:r>
      <w:r>
        <w:t xml:space="preserve">proposicionibus </w:t>
      </w:r>
      <w:r w:rsidRPr="00817A1F">
        <w:rPr>
          <w:szCs w:val="13"/>
        </w:rPr>
        <w:t xml:space="preserve">et circa </w:t>
      </w:r>
      <w:r w:rsidRPr="00817A1F">
        <w:rPr>
          <w:szCs w:val="14"/>
        </w:rPr>
        <w:t xml:space="preserve">necessitates </w:t>
      </w:r>
      <w:r w:rsidRPr="00817A1F">
        <w:rPr>
          <w:szCs w:val="13"/>
        </w:rPr>
        <w:t xml:space="preserve">et </w:t>
      </w:r>
      <w:r w:rsidRPr="00817A1F">
        <w:t>contingencias,</w:t>
      </w:r>
      <w:r w:rsidRPr="00817A1F">
        <w:rPr>
          <w:szCs w:val="9"/>
        </w:rPr>
        <w:t xml:space="preserve"> </w:t>
      </w:r>
      <w:r w:rsidRPr="00817A1F">
        <w:rPr>
          <w:szCs w:val="13"/>
        </w:rPr>
        <w:t xml:space="preserve">et </w:t>
      </w:r>
      <w:r w:rsidRPr="00817A1F">
        <w:rPr>
          <w:szCs w:val="11"/>
        </w:rPr>
        <w:t>alia</w:t>
      </w:r>
      <w:r>
        <w:rPr>
          <w:szCs w:val="11"/>
          <w:lang w:val="cs-CZ"/>
        </w:rPr>
        <w:t>...</w:t>
      </w:r>
      <w:r>
        <w:rPr>
          <w:szCs w:val="11"/>
        </w:rPr>
        <w:t>“</w:t>
      </w:r>
      <w:r w:rsidRPr="00817A1F">
        <w:t xml:space="preserve"> </w:t>
      </w:r>
      <w:r>
        <w:t>(</w:t>
      </w:r>
      <w:r w:rsidRPr="00844D7E">
        <w:rPr>
          <w:i/>
        </w:rPr>
        <w:t>Compendium studii theologiae</w:t>
      </w:r>
      <w:r>
        <w:t xml:space="preserve">, pars II, cap. IV; </w:t>
      </w:r>
      <w:r w:rsidRPr="00817A1F">
        <w:t xml:space="preserve">ed. Rashdall, </w:t>
      </w:r>
      <w:r>
        <w:t>p. 52</w:t>
      </w:r>
      <w:r>
        <w:fldChar w:fldCharType="begin"/>
      </w:r>
      <w:r>
        <w:instrText xml:space="preserve"> XE "</w:instrText>
      </w:r>
      <w:r>
        <w:rPr>
          <w:lang w:val="cs-CZ"/>
        </w:rPr>
        <w:instrText>Bacon:</w:instrText>
      </w:r>
      <w:r w:rsidRPr="00625684">
        <w:rPr>
          <w:i/>
        </w:rPr>
        <w:instrText>Compendium studii theologiae</w:instrText>
      </w:r>
      <w:r>
        <w:rPr>
          <w:i/>
          <w:lang w:val="cs-CZ"/>
        </w:rPr>
        <w:instrText xml:space="preserve"> </w:instrText>
      </w:r>
      <w:r w:rsidRPr="00625684">
        <w:instrText>52</w:instrText>
      </w:r>
      <w:r>
        <w:instrText xml:space="preserve">" </w:instrText>
      </w:r>
      <w:r>
        <w:fldChar w:fldCharType="end"/>
      </w:r>
      <w:r>
        <w:t>)</w:t>
      </w:r>
    </w:p>
  </w:footnote>
  <w:footnote w:id="367">
    <w:p w14:paraId="318B4EFF" w14:textId="77777777" w:rsidR="00CD2817" w:rsidRDefault="00CD2817">
      <w:pPr>
        <w:pStyle w:val="Textpoznpodarou"/>
      </w:pPr>
      <w:r>
        <w:rPr>
          <w:rStyle w:val="Znakapoznpodarou"/>
        </w:rPr>
        <w:footnoteRef/>
      </w:r>
      <w:r>
        <w:t xml:space="preserve"> „</w:t>
      </w:r>
      <w:r>
        <w:rPr>
          <w:lang w:val="cs-CZ"/>
        </w:rPr>
        <w:t>E</w:t>
      </w:r>
      <w:r w:rsidRPr="00817A1F">
        <w:rPr>
          <w:szCs w:val="13"/>
        </w:rPr>
        <w:t xml:space="preserve">t </w:t>
      </w:r>
      <w:r w:rsidRPr="00817A1F">
        <w:t xml:space="preserve">optime </w:t>
      </w:r>
      <w:r w:rsidRPr="00817A1F">
        <w:rPr>
          <w:szCs w:val="15"/>
        </w:rPr>
        <w:t>noui</w:t>
      </w:r>
      <w:r>
        <w:rPr>
          <w:szCs w:val="15"/>
        </w:rPr>
        <w:t xml:space="preserve"> </w:t>
      </w:r>
      <w:r w:rsidRPr="00817A1F">
        <w:rPr>
          <w:szCs w:val="18"/>
        </w:rPr>
        <w:t xml:space="preserve">pessimum </w:t>
      </w:r>
      <w:r w:rsidRPr="00817A1F">
        <w:rPr>
          <w:szCs w:val="13"/>
        </w:rPr>
        <w:t xml:space="preserve">et </w:t>
      </w:r>
      <w:r w:rsidRPr="00817A1F">
        <w:rPr>
          <w:szCs w:val="15"/>
        </w:rPr>
        <w:t xml:space="preserve">stultissimum istorum </w:t>
      </w:r>
      <w:r w:rsidRPr="00817A1F">
        <w:t xml:space="preserve">errorum </w:t>
      </w:r>
      <w:r>
        <w:rPr>
          <w:szCs w:val="16"/>
        </w:rPr>
        <w:t>autorem</w:t>
      </w:r>
      <w:r w:rsidRPr="00817A1F">
        <w:rPr>
          <w:szCs w:val="8"/>
        </w:rPr>
        <w:t xml:space="preserve">, </w:t>
      </w:r>
      <w:r w:rsidRPr="00817A1F">
        <w:rPr>
          <w:szCs w:val="15"/>
        </w:rPr>
        <w:t>qui</w:t>
      </w:r>
      <w:r>
        <w:rPr>
          <w:szCs w:val="15"/>
        </w:rPr>
        <w:t xml:space="preserve"> </w:t>
      </w:r>
      <w:r w:rsidRPr="00817A1F">
        <w:rPr>
          <w:szCs w:val="15"/>
        </w:rPr>
        <w:t xml:space="preserve">vocatus </w:t>
      </w:r>
      <w:r w:rsidRPr="00817A1F">
        <w:rPr>
          <w:szCs w:val="13"/>
        </w:rPr>
        <w:t xml:space="preserve">est </w:t>
      </w:r>
      <w:r w:rsidRPr="00817A1F">
        <w:rPr>
          <w:szCs w:val="16"/>
        </w:rPr>
        <w:t xml:space="preserve">Ricardus </w:t>
      </w:r>
      <w:r w:rsidRPr="00817A1F">
        <w:rPr>
          <w:szCs w:val="15"/>
        </w:rPr>
        <w:t xml:space="preserve">Cornubiensis, </w:t>
      </w:r>
      <w:r w:rsidRPr="00817A1F">
        <w:rPr>
          <w:szCs w:val="16"/>
        </w:rPr>
        <w:t xml:space="preserve">famosissimus </w:t>
      </w:r>
      <w:r w:rsidRPr="00817A1F">
        <w:t xml:space="preserve">apud </w:t>
      </w:r>
      <w:r w:rsidRPr="00817A1F">
        <w:rPr>
          <w:szCs w:val="15"/>
        </w:rPr>
        <w:t>stultam</w:t>
      </w:r>
      <w:r>
        <w:rPr>
          <w:szCs w:val="15"/>
        </w:rPr>
        <w:t xml:space="preserve"> </w:t>
      </w:r>
      <w:r>
        <w:rPr>
          <w:szCs w:val="16"/>
        </w:rPr>
        <w:t>multitudinem</w:t>
      </w:r>
      <w:r w:rsidRPr="00817A1F">
        <w:rPr>
          <w:szCs w:val="5"/>
        </w:rPr>
        <w:t xml:space="preserve">; </w:t>
      </w:r>
      <w:r w:rsidRPr="00817A1F">
        <w:rPr>
          <w:szCs w:val="13"/>
        </w:rPr>
        <w:t xml:space="preserve">set </w:t>
      </w:r>
      <w:r w:rsidRPr="00817A1F">
        <w:t xml:space="preserve">apud </w:t>
      </w:r>
      <w:r w:rsidRPr="00817A1F">
        <w:rPr>
          <w:szCs w:val="14"/>
        </w:rPr>
        <w:t xml:space="preserve">sapientes </w:t>
      </w:r>
      <w:r w:rsidRPr="00817A1F">
        <w:rPr>
          <w:szCs w:val="12"/>
        </w:rPr>
        <w:t xml:space="preserve">fuit </w:t>
      </w:r>
      <w:r w:rsidRPr="00817A1F">
        <w:rPr>
          <w:szCs w:val="14"/>
        </w:rPr>
        <w:t xml:space="preserve">insanus, </w:t>
      </w:r>
      <w:r w:rsidRPr="00817A1F">
        <w:rPr>
          <w:szCs w:val="13"/>
        </w:rPr>
        <w:t xml:space="preserve">et </w:t>
      </w:r>
      <w:r w:rsidRPr="00817A1F">
        <w:rPr>
          <w:szCs w:val="15"/>
        </w:rPr>
        <w:t>reprobatus</w:t>
      </w:r>
      <w:r>
        <w:rPr>
          <w:szCs w:val="15"/>
        </w:rPr>
        <w:t xml:space="preserve"> </w:t>
      </w:r>
      <w:r w:rsidRPr="00817A1F">
        <w:rPr>
          <w:szCs w:val="14"/>
        </w:rPr>
        <w:t xml:space="preserve">Parisius </w:t>
      </w:r>
      <w:r w:rsidRPr="00817A1F">
        <w:rPr>
          <w:szCs w:val="15"/>
        </w:rPr>
        <w:t xml:space="preserve">propter </w:t>
      </w:r>
      <w:r w:rsidRPr="00817A1F">
        <w:rPr>
          <w:szCs w:val="14"/>
        </w:rPr>
        <w:t xml:space="preserve">errores </w:t>
      </w:r>
      <w:r w:rsidRPr="00817A1F">
        <w:rPr>
          <w:szCs w:val="16"/>
        </w:rPr>
        <w:t xml:space="preserve">quos </w:t>
      </w:r>
      <w:r w:rsidRPr="00817A1F">
        <w:rPr>
          <w:szCs w:val="14"/>
        </w:rPr>
        <w:t xml:space="preserve">invenerat, </w:t>
      </w:r>
      <w:r w:rsidRPr="00817A1F">
        <w:rPr>
          <w:szCs w:val="12"/>
        </w:rPr>
        <w:t xml:space="preserve">[et] </w:t>
      </w:r>
      <w:r w:rsidRPr="00817A1F">
        <w:rPr>
          <w:szCs w:val="16"/>
        </w:rPr>
        <w:t>promulgauerat</w:t>
      </w:r>
      <w:r>
        <w:rPr>
          <w:szCs w:val="16"/>
        </w:rPr>
        <w:t xml:space="preserve"> </w:t>
      </w:r>
      <w:r w:rsidRPr="00817A1F">
        <w:rPr>
          <w:szCs w:val="18"/>
        </w:rPr>
        <w:t xml:space="preserve">quando </w:t>
      </w:r>
      <w:r>
        <w:rPr>
          <w:szCs w:val="15"/>
        </w:rPr>
        <w:t>solem</w:t>
      </w:r>
      <w:r w:rsidRPr="00817A1F">
        <w:rPr>
          <w:szCs w:val="15"/>
        </w:rPr>
        <w:t xml:space="preserve">niter legebat </w:t>
      </w:r>
      <w:r w:rsidRPr="00817A1F">
        <w:rPr>
          <w:szCs w:val="14"/>
        </w:rPr>
        <w:t xml:space="preserve">sentencias </w:t>
      </w:r>
      <w:r w:rsidRPr="00817A1F">
        <w:rPr>
          <w:szCs w:val="16"/>
        </w:rPr>
        <w:t xml:space="preserve">ibidem </w:t>
      </w:r>
      <w:r w:rsidRPr="00817A1F">
        <w:t xml:space="preserve">postquam </w:t>
      </w:r>
      <w:r>
        <w:t xml:space="preserve">legerat </w:t>
      </w:r>
      <w:r w:rsidRPr="00817A1F">
        <w:t>sententias Oxonie ab anno Domini 1250.</w:t>
      </w:r>
      <w:r>
        <w:t>“ (</w:t>
      </w:r>
      <w:r w:rsidRPr="00844D7E">
        <w:rPr>
          <w:i/>
        </w:rPr>
        <w:t>Compendium studii theologiae</w:t>
      </w:r>
      <w:r>
        <w:t xml:space="preserve">, pars II, cap. IV; </w:t>
      </w:r>
      <w:r w:rsidRPr="00817A1F">
        <w:t xml:space="preserve">ed. Rashdall, </w:t>
      </w:r>
      <w:r>
        <w:t>p. 52–53</w:t>
      </w:r>
      <w:r>
        <w:fldChar w:fldCharType="begin"/>
      </w:r>
      <w:r>
        <w:instrText xml:space="preserve"> XE "</w:instrText>
      </w:r>
      <w:r>
        <w:rPr>
          <w:lang w:val="cs-CZ"/>
        </w:rPr>
        <w:instrText>Bacon:</w:instrText>
      </w:r>
      <w:r w:rsidRPr="00625684">
        <w:rPr>
          <w:i/>
        </w:rPr>
        <w:instrText>Compendium studii theologiae</w:instrText>
      </w:r>
      <w:r>
        <w:rPr>
          <w:i/>
          <w:lang w:val="cs-CZ"/>
        </w:rPr>
        <w:instrText xml:space="preserve"> </w:instrText>
      </w:r>
      <w:r w:rsidRPr="00625684">
        <w:instrText>52</w:instrText>
      </w:r>
      <w:r>
        <w:instrText>‒</w:instrText>
      </w:r>
      <w:r>
        <w:rPr>
          <w:lang w:val="cs-CZ"/>
        </w:rPr>
        <w:instrText>53</w:instrText>
      </w:r>
      <w:r>
        <w:instrText xml:space="preserve">" </w:instrText>
      </w:r>
      <w:r>
        <w:fldChar w:fldCharType="end"/>
      </w:r>
      <w:r>
        <w:t>)</w:t>
      </w:r>
    </w:p>
  </w:footnote>
  <w:footnote w:id="368">
    <w:p w14:paraId="48625A7D" w14:textId="77777777" w:rsidR="00CD2817" w:rsidRPr="005801F0" w:rsidRDefault="00CD2817" w:rsidP="00AE5AA5">
      <w:pPr>
        <w:pStyle w:val="Textpoznpodarou"/>
        <w:rPr>
          <w:lang w:val="cs-CZ"/>
        </w:rPr>
      </w:pPr>
      <w:r>
        <w:rPr>
          <w:rStyle w:val="Znakapoznpodarou"/>
        </w:rPr>
        <w:footnoteRef/>
      </w:r>
      <w:r>
        <w:t xml:space="preserve"> Libera poznamenává v edici </w:t>
      </w:r>
      <w:r>
        <w:rPr>
          <w:lang w:val="cs-CZ"/>
        </w:rPr>
        <w:t xml:space="preserve">Baconových </w:t>
      </w:r>
      <w:r w:rsidRPr="00E0170F">
        <w:rPr>
          <w:i/>
        </w:rPr>
        <w:t>Summulae dialectices</w:t>
      </w:r>
      <w:r>
        <w:rPr>
          <w:i/>
        </w:rPr>
        <w:t xml:space="preserve"> I-II</w:t>
      </w:r>
      <w:r>
        <w:t xml:space="preserve">, že toto dílo </w:t>
      </w:r>
      <w:r>
        <w:rPr>
          <w:lang w:val="cs-CZ"/>
        </w:rPr>
        <w:t xml:space="preserve">bylo </w:t>
      </w:r>
      <w:r>
        <w:t>redakčně upravené kolem 1250 v Oxfordu</w:t>
      </w:r>
      <w:r>
        <w:rPr>
          <w:lang w:val="cs-CZ"/>
        </w:rPr>
        <w:t xml:space="preserve">, ale </w:t>
      </w:r>
      <w:r>
        <w:t>recipuje debaty v Paříži z předešlé dekády (Libera 1986, 152). To podporuje předloženou tezi o klíčové epoše kolem 1240, kdy Rufus studoval a přednášel za biskupa Alverna v Paříži a kdy zde byli shromážděni všichni mladí bakaláři pozdějšího sporu mezi prvním a druhým averroismem.</w:t>
      </w:r>
    </w:p>
  </w:footnote>
  <w:footnote w:id="369">
    <w:p w14:paraId="00363CB0" w14:textId="77777777" w:rsidR="00CD2817" w:rsidRDefault="00CD2817">
      <w:pPr>
        <w:pStyle w:val="Textpoznpodarou"/>
      </w:pPr>
      <w:r>
        <w:rPr>
          <w:rStyle w:val="Znakapoznpodarou"/>
        </w:rPr>
        <w:footnoteRef/>
      </w:r>
      <w:r>
        <w:t xml:space="preserve"> „</w:t>
      </w:r>
      <w:r w:rsidRPr="00C83D6B">
        <w:t>Tertio modo dicitur quod nec actu nec potentia habet esse in pluribus formaliter, set solum causaliter, et hoc est universale per causalitatem et non per predicationem formalem, et tale</w:t>
      </w:r>
      <w:r>
        <w:t xml:space="preserve"> universale est non</w:t>
      </w:r>
      <w:r>
        <w:rPr>
          <w:lang w:val="cs-CZ"/>
        </w:rPr>
        <w:noBreakHyphen/>
      </w:r>
      <w:r>
        <w:t>predicabile.“  (</w:t>
      </w:r>
      <w:r>
        <w:rPr>
          <w:i/>
        </w:rPr>
        <w:t>Quaestiones</w:t>
      </w:r>
      <w:r w:rsidRPr="00C91D0D">
        <w:rPr>
          <w:i/>
        </w:rPr>
        <w:t xml:space="preserve"> </w:t>
      </w:r>
      <w:r w:rsidRPr="00C91D0D">
        <w:rPr>
          <w:bCs/>
          <w:i/>
        </w:rPr>
        <w:t xml:space="preserve">altere supra </w:t>
      </w:r>
      <w:r>
        <w:rPr>
          <w:bCs/>
          <w:i/>
        </w:rPr>
        <w:t>Met</w:t>
      </w:r>
      <w:r>
        <w:rPr>
          <w:bCs/>
          <w:i/>
          <w:lang w:val="cs-CZ"/>
        </w:rPr>
        <w:t>aphysicae IV</w:t>
      </w:r>
      <w:r w:rsidRPr="00EB64E4">
        <w:t xml:space="preserve">, </w:t>
      </w:r>
      <w:r>
        <w:t>ad 14; ed. Steele OHI 11, 153.17‒20</w:t>
      </w:r>
      <w:r>
        <w:fldChar w:fldCharType="begin"/>
      </w:r>
      <w:r>
        <w:instrText xml:space="preserve"> XE "</w:instrText>
      </w:r>
      <w:r w:rsidRPr="005F7963">
        <w:instrText>Bacon:</w:instrText>
      </w:r>
      <w:r>
        <w:rPr>
          <w:i/>
        </w:rPr>
        <w:instrText>Quaestiones</w:instrText>
      </w:r>
      <w:r w:rsidRPr="00C91D0D">
        <w:rPr>
          <w:i/>
        </w:rPr>
        <w:instrText xml:space="preserve"> </w:instrText>
      </w:r>
      <w:r w:rsidRPr="00C91D0D">
        <w:rPr>
          <w:bCs/>
          <w:i/>
        </w:rPr>
        <w:instrText xml:space="preserve">altere supra </w:instrText>
      </w:r>
      <w:r>
        <w:rPr>
          <w:bCs/>
          <w:i/>
        </w:rPr>
        <w:instrText>Met</w:instrText>
      </w:r>
      <w:r>
        <w:rPr>
          <w:bCs/>
          <w:i/>
          <w:lang w:val="cs-CZ"/>
        </w:rPr>
        <w:instrText>. IV</w:instrText>
      </w:r>
      <w:r w:rsidRPr="005F7963">
        <w:instrText xml:space="preserve"> 153.17‒20</w:instrText>
      </w:r>
      <w:r>
        <w:instrText xml:space="preserve">" </w:instrText>
      </w:r>
      <w:r>
        <w:fldChar w:fldCharType="end"/>
      </w:r>
      <w:r>
        <w:t>)</w:t>
      </w:r>
    </w:p>
  </w:footnote>
  <w:footnote w:id="370">
    <w:p w14:paraId="3BC2E628" w14:textId="77777777" w:rsidR="00CD2817" w:rsidRPr="007F7A86" w:rsidRDefault="00CD2817" w:rsidP="087A5BA6">
      <w:pPr>
        <w:pStyle w:val="Textpoznpodarou"/>
      </w:pPr>
      <w:r>
        <w:rPr>
          <w:rStyle w:val="Znakapoznpodarou"/>
        </w:rPr>
        <w:footnoteRef/>
      </w:r>
      <w:r>
        <w:t xml:space="preserve"> Kompletní latinský překlad </w:t>
      </w:r>
      <w:r w:rsidRPr="08FA61B5">
        <w:rPr>
          <w:i/>
        </w:rPr>
        <w:t>Etiky Nikomachovy</w:t>
      </w:r>
      <w:r>
        <w:t xml:space="preserve"> (</w:t>
      </w:r>
      <w:r w:rsidRPr="007F7A86">
        <w:rPr>
          <w:i/>
        </w:rPr>
        <w:t>Translatio hispanica</w:t>
      </w:r>
      <w:r>
        <w:t xml:space="preserve">) je dokončen v červnu roku 1240. Hermannus Teutonicus z Toleda použil k arabsko-latinskému překladu Averroesův střední komentář k </w:t>
      </w:r>
      <w:r w:rsidRPr="001E1D93">
        <w:rPr>
          <w:i/>
        </w:rPr>
        <w:t>Etice Nikomachově</w:t>
      </w:r>
      <w:r>
        <w:t xml:space="preserve">. V Paříži se objevila tato přepracovaná vydání </w:t>
      </w:r>
      <w:r>
        <w:rPr>
          <w:rStyle w:val="Zvraznn"/>
        </w:rPr>
        <w:t>Ethica Vetus</w:t>
      </w:r>
      <w:r>
        <w:t xml:space="preserve"> s poslední částí III. knihy už kolem 1240 (</w:t>
      </w:r>
      <w:r>
        <w:rPr>
          <w:rStyle w:val="Zvraznn"/>
        </w:rPr>
        <w:t>versio longuior</w:t>
      </w:r>
      <w:r>
        <w:t>).</w:t>
      </w:r>
      <w:r w:rsidRPr="00E24835">
        <w:t xml:space="preserve"> </w:t>
      </w:r>
      <w:r>
        <w:rPr>
          <w:lang w:val="cs-CZ"/>
        </w:rPr>
        <w:t>D</w:t>
      </w:r>
      <w:r>
        <w:t xml:space="preserve">alší kompilace </w:t>
      </w:r>
      <w:r w:rsidRPr="001E1D93">
        <w:rPr>
          <w:i/>
        </w:rPr>
        <w:t>Etiky</w:t>
      </w:r>
      <w:r>
        <w:t xml:space="preserve">, opět pod vlivem </w:t>
      </w:r>
      <w:r>
        <w:rPr>
          <w:lang w:val="cs-CZ"/>
        </w:rPr>
        <w:t xml:space="preserve">Toledského výkladu </w:t>
      </w:r>
      <w:r>
        <w:t>Averroese, je doložena kolem 1243–44 (</w:t>
      </w:r>
      <w:r w:rsidRPr="007F7A86">
        <w:rPr>
          <w:i/>
        </w:rPr>
        <w:t>Translatio alexandrina</w:t>
      </w:r>
      <w:r>
        <w:t>).</w:t>
      </w:r>
    </w:p>
  </w:footnote>
  <w:footnote w:id="371">
    <w:p w14:paraId="3F046B8B" w14:textId="77777777" w:rsidR="00CD2817" w:rsidRPr="00CD4B44" w:rsidRDefault="00CD2817" w:rsidP="00221596">
      <w:pPr>
        <w:pStyle w:val="Textpoznpodarou"/>
      </w:pPr>
      <w:r w:rsidRPr="00700C67">
        <w:rPr>
          <w:rStyle w:val="Znakapoznpodarou"/>
        </w:rPr>
        <w:footnoteRef/>
      </w:r>
      <w:r>
        <w:rPr>
          <w:lang w:val="cs-CZ"/>
        </w:rPr>
        <w:t xml:space="preserve"> </w:t>
      </w:r>
      <w:r>
        <w:t>„</w:t>
      </w:r>
      <w:r>
        <w:rPr>
          <w:lang w:val="cs-CZ"/>
        </w:rPr>
        <w:t>S</w:t>
      </w:r>
      <w:r w:rsidRPr="00CD4B44">
        <w:t>icut anima secundum partem specul</w:t>
      </w:r>
      <w:r>
        <w:t xml:space="preserve">atiuam habet duplicem naturam, </w:t>
      </w:r>
      <w:r w:rsidRPr="00CD4B44">
        <w:t>unam secundum quam comparatur ad superiora et hec uocatur intellectus  agens, aliam habet secundum quam comparatur ad inferiora et hec uocatur intellectus possibilis et secundum  intellectum agentem  semper  est  in  anima ueritas, secundum possibilem non</w:t>
      </w:r>
      <w:r w:rsidRPr="00CD4B44">
        <w:rPr>
          <w:rFonts w:eastAsia="TeXGyreTermes-Regular"/>
        </w:rPr>
        <w:t>...“ (cit. podle Zavattero  2012, 10)</w:t>
      </w:r>
    </w:p>
  </w:footnote>
  <w:footnote w:id="372">
    <w:p w14:paraId="279E81A6" w14:textId="77777777" w:rsidR="00CD2817" w:rsidRDefault="00CD2817">
      <w:pPr>
        <w:pStyle w:val="Textpoznpodarou"/>
      </w:pPr>
      <w:r>
        <w:rPr>
          <w:rStyle w:val="Znakapoznpodarou"/>
        </w:rPr>
        <w:footnoteRef/>
      </w:r>
      <w:r>
        <w:t xml:space="preserve"> „</w:t>
      </w:r>
      <w:r w:rsidRPr="00AE08EC">
        <w:t>Avempace autem post hos veniens, addidit quod homo secundum intellectum habet duas vires: unam humanam quam habet in quantum colligatur phantasmatibus, alteram autem divinam quam habet secundum quod est vestigium intelligentiae separatae. Per humanam intelligit concepta cum materia, per divinam autem separata.</w:t>
      </w:r>
      <w:r>
        <w:t>“ (</w:t>
      </w:r>
      <w:r>
        <w:rPr>
          <w:i/>
        </w:rPr>
        <w:t>Liber III D</w:t>
      </w:r>
      <w:r w:rsidRPr="000D2CA0">
        <w:rPr>
          <w:i/>
        </w:rPr>
        <w:t>e anima</w:t>
      </w:r>
      <w:r>
        <w:t>, tract. III, cap. 8; ed. Bo</w:t>
      </w:r>
      <w:r>
        <w:rPr>
          <w:lang w:val="cs-CZ"/>
        </w:rPr>
        <w:t>r</w:t>
      </w:r>
      <w:r>
        <w:t>gnet</w:t>
      </w:r>
      <w:r>
        <w:rPr>
          <w:lang w:val="cs-CZ"/>
        </w:rPr>
        <w:t xml:space="preserve"> </w:t>
      </w:r>
      <w:r>
        <w:t>5, 381b</w:t>
      </w:r>
      <w:r>
        <w:fldChar w:fldCharType="begin"/>
      </w:r>
      <w:r>
        <w:instrText xml:space="preserve"> XE "</w:instrText>
      </w:r>
      <w:r>
        <w:rPr>
          <w:lang w:val="cs-CZ"/>
        </w:rPr>
        <w:instrText>Albert:</w:instrText>
      </w:r>
      <w:r w:rsidRPr="006754CB">
        <w:rPr>
          <w:i/>
        </w:rPr>
        <w:instrText>Liber III De anima</w:instrText>
      </w:r>
      <w:r w:rsidRPr="006754CB">
        <w:instrText xml:space="preserve"> 381b</w:instrText>
      </w:r>
      <w:r>
        <w:instrText xml:space="preserve">" </w:instrText>
      </w:r>
      <w:r>
        <w:fldChar w:fldCharType="end"/>
      </w:r>
      <w:r>
        <w:t>)</w:t>
      </w:r>
    </w:p>
  </w:footnote>
  <w:footnote w:id="373">
    <w:p w14:paraId="06E08218" w14:textId="77777777" w:rsidR="00CD2817" w:rsidRPr="006C613D" w:rsidRDefault="00CD2817" w:rsidP="0063275E">
      <w:pPr>
        <w:pStyle w:val="Textpoznpodarou"/>
      </w:pPr>
      <w:r>
        <w:rPr>
          <w:rStyle w:val="Znakapoznpodarou"/>
        </w:rPr>
        <w:footnoteRef/>
      </w:r>
      <w:r>
        <w:t xml:space="preserve"> </w:t>
      </w:r>
      <w:r w:rsidRPr="00DB6FEF">
        <w:rPr>
          <w:rStyle w:val="TextpoznpodarouChar"/>
        </w:rPr>
        <w:t xml:space="preserve">Rufusovy spisy </w:t>
      </w:r>
      <w:r w:rsidRPr="00CE6D8D">
        <w:rPr>
          <w:rStyle w:val="TextpoznpodarouChar"/>
          <w:i/>
        </w:rPr>
        <w:t xml:space="preserve">In </w:t>
      </w:r>
      <w:r>
        <w:rPr>
          <w:rStyle w:val="TextpoznpodarouChar"/>
          <w:i/>
        </w:rPr>
        <w:t>Aristoteli Analytica posteriora</w:t>
      </w:r>
      <w:r w:rsidRPr="00DB6FEF">
        <w:rPr>
          <w:rStyle w:val="TextpoznpodarouChar"/>
        </w:rPr>
        <w:t xml:space="preserve"> (ed. Rega Wood) a </w:t>
      </w:r>
      <w:r w:rsidRPr="00CE6D8D">
        <w:rPr>
          <w:rStyle w:val="TextpoznpodarouChar"/>
          <w:i/>
        </w:rPr>
        <w:t>Memoriale in Metaphysicam Aristotelis</w:t>
      </w:r>
      <w:r w:rsidRPr="00DB6FEF">
        <w:rPr>
          <w:rStyle w:val="TextpoznpodarouChar"/>
        </w:rPr>
        <w:t xml:space="preserve"> (eds. Rega Wood &amp; Neil Lewis, 2013) a první Rufusův komentář k </w:t>
      </w:r>
      <w:r>
        <w:rPr>
          <w:rStyle w:val="TextpoznpodarouChar"/>
        </w:rPr>
        <w:t>De anima</w:t>
      </w:r>
      <w:r w:rsidRPr="00DB6FEF">
        <w:rPr>
          <w:rStyle w:val="TextpoznpodarouChar"/>
        </w:rPr>
        <w:t xml:space="preserve"> (</w:t>
      </w:r>
      <w:r w:rsidRPr="00CE6D8D">
        <w:rPr>
          <w:rStyle w:val="TextpoznpodarouChar"/>
          <w:i/>
        </w:rPr>
        <w:t>In Aristotel</w:t>
      </w:r>
      <w:r>
        <w:rPr>
          <w:rStyle w:val="TextpoznpodarouChar"/>
          <w:i/>
        </w:rPr>
        <w:t>is De anima. Redactio brevior. L</w:t>
      </w:r>
      <w:r w:rsidRPr="00CE6D8D">
        <w:rPr>
          <w:rStyle w:val="TextpoznpodarouChar"/>
          <w:i/>
        </w:rPr>
        <w:t>iber 1–3</w:t>
      </w:r>
      <w:r>
        <w:rPr>
          <w:rStyle w:val="TextpoznpodarouChar"/>
        </w:rPr>
        <w:t>. E</w:t>
      </w:r>
      <w:r w:rsidRPr="00DB6FEF">
        <w:rPr>
          <w:rStyle w:val="TextpoznpodarouChar"/>
        </w:rPr>
        <w:t xml:space="preserve">ds. Christopher J. Martin, Neil Lewis, Rega Wood 2007) citujeme podle </w:t>
      </w:r>
      <w:r>
        <w:rPr>
          <w:rStyle w:val="TextpoznpodarouChar"/>
        </w:rPr>
        <w:t xml:space="preserve">internetového </w:t>
      </w:r>
      <w:r w:rsidRPr="00DB6FEF">
        <w:rPr>
          <w:rStyle w:val="TextpoznpodarouChar"/>
        </w:rPr>
        <w:t>vydání těchto sp</w:t>
      </w:r>
      <w:r>
        <w:rPr>
          <w:rStyle w:val="TextpoznpodarouChar"/>
        </w:rPr>
        <w:t xml:space="preserve">isů </w:t>
      </w:r>
      <w:r w:rsidRPr="00DB6FEF">
        <w:rPr>
          <w:rStyle w:val="TextpoznpodarouChar"/>
        </w:rPr>
        <w:t xml:space="preserve">publikovaných </w:t>
      </w:r>
      <w:r>
        <w:rPr>
          <w:rStyle w:val="TextpoznpodarouChar"/>
          <w:lang w:val="cs-CZ"/>
        </w:rPr>
        <w:t xml:space="preserve">na </w:t>
      </w:r>
      <w:r w:rsidRPr="00CD2C21">
        <w:rPr>
          <w:rStyle w:val="TextpoznpodarouChar"/>
          <w:i/>
        </w:rPr>
        <w:t>The University of Stanford</w:t>
      </w:r>
      <w:r>
        <w:rPr>
          <w:rStyle w:val="TextpoznpodarouChar"/>
        </w:rPr>
        <w:t xml:space="preserve"> </w:t>
      </w:r>
      <w:r w:rsidRPr="00DB6FEF">
        <w:rPr>
          <w:rStyle w:val="TextpoznpodarouChar"/>
        </w:rPr>
        <w:t xml:space="preserve">v rámci </w:t>
      </w:r>
      <w:r w:rsidRPr="00BF10F0">
        <w:rPr>
          <w:rStyle w:val="TextpoznpodarouChar"/>
          <w:i/>
        </w:rPr>
        <w:t>The Richard Rufus of Cornwall Projec</w:t>
      </w:r>
      <w:r w:rsidRPr="00DB6FEF">
        <w:rPr>
          <w:rStyle w:val="TextpoznpodarouChar"/>
        </w:rPr>
        <w:t>t (</w:t>
      </w:r>
      <w:hyperlink r:id="rId1" w:history="1">
        <w:r w:rsidRPr="00DB6FEF">
          <w:rPr>
            <w:rStyle w:val="TextpoznpodarouChar"/>
          </w:rPr>
          <w:t>http://rrp.stanford.edu</w:t>
        </w:r>
      </w:hyperlink>
      <w:r w:rsidRPr="00DB6FEF">
        <w:rPr>
          <w:rStyle w:val="TextpoznpodarouChar"/>
        </w:rPr>
        <w:t>).</w:t>
      </w:r>
      <w:r>
        <w:rPr>
          <w:rStyle w:val="TextpoznpodarouChar"/>
        </w:rPr>
        <w:t xml:space="preserve"> Tyto spisy jsou dále citovány pod zkratkou „RRP</w:t>
      </w:r>
      <w:r>
        <w:rPr>
          <w:rStyle w:val="TextpoznpodarouChar"/>
          <w:lang w:val="cs-CZ"/>
        </w:rPr>
        <w:t>“</w:t>
      </w:r>
      <w:r>
        <w:rPr>
          <w:rStyle w:val="TextpoznpodarouChar"/>
        </w:rPr>
        <w:t>.</w:t>
      </w:r>
    </w:p>
  </w:footnote>
  <w:footnote w:id="374">
    <w:p w14:paraId="6DEB7C74" w14:textId="77777777" w:rsidR="00CD2817" w:rsidRPr="08EE75E3" w:rsidRDefault="00CD2817">
      <w:pPr>
        <w:pStyle w:val="Textpoznpodarou"/>
        <w:rPr>
          <w:lang w:val="cs-CZ"/>
        </w:rPr>
      </w:pPr>
      <w:r>
        <w:rPr>
          <w:rStyle w:val="Znakapoznpodarou"/>
        </w:rPr>
        <w:footnoteRef/>
      </w:r>
      <w:r>
        <w:t xml:space="preserve"> </w:t>
      </w:r>
      <w:r>
        <w:rPr>
          <w:lang w:val="cs-CZ"/>
        </w:rPr>
        <w:t>„</w:t>
      </w:r>
      <w:r w:rsidRPr="08EE75E3">
        <w:rPr>
          <w:lang w:val="cs-CZ"/>
        </w:rPr>
        <w:t>Probably it was the intention of the university to seek privileges from the legate Cardinal Otto de Monteferrato when he visited Oxford in April 1238. But any such plans were thwarted by the murderous brawl that broke out at Oseney Abbey between members of the university and the legate's household. Oxford was placed under interdict and the schools were suspended for the summer. So instead of asking for privileges the regent masters had to placate the cardinal with a public act of penance.</w:t>
      </w:r>
      <w:r>
        <w:rPr>
          <w:lang w:val="cs-CZ"/>
        </w:rPr>
        <w:t>“ (</w:t>
      </w:r>
      <w:r w:rsidRPr="08B613A6">
        <w:t>Aston</w:t>
      </w:r>
      <w:r>
        <w:rPr>
          <w:lang w:val="cs-CZ"/>
        </w:rPr>
        <w:t xml:space="preserve"> 1984, 103)</w:t>
      </w:r>
    </w:p>
  </w:footnote>
  <w:footnote w:id="375">
    <w:p w14:paraId="7E124EA5" w14:textId="77777777" w:rsidR="00CD2817" w:rsidRPr="008C1656" w:rsidRDefault="00CD2817">
      <w:pPr>
        <w:pStyle w:val="Textpoznpodarou"/>
      </w:pPr>
      <w:r>
        <w:rPr>
          <w:rStyle w:val="Znakapoznpodarou"/>
        </w:rPr>
        <w:footnoteRef/>
      </w:r>
      <w:r>
        <w:t xml:space="preserve"> „</w:t>
      </w:r>
      <w:r>
        <w:rPr>
          <w:lang w:val="cs-CZ"/>
        </w:rPr>
        <w:t>I</w:t>
      </w:r>
      <w:r w:rsidRPr="00A146E7">
        <w:t>ntellectus sit sicut tabula nuda, et omni careat cognitione, est simplex respectu cuiuscumque cognitionis in potentia. Sed intelligendum quod potentia duplex est, essentialis et accidentalis. Intelligendum ergo quod illud quod primo modo est in potentia proprie dicitur fieri cum exit in actum. Quod autem secundo modo est in potentia non proprie dicitur fieri tale, sed esse tale...</w:t>
      </w:r>
      <w:r>
        <w:rPr>
          <w:i/>
        </w:rPr>
        <w:t xml:space="preserve">“ </w:t>
      </w:r>
      <w:r w:rsidRPr="00272828">
        <w:t>(</w:t>
      </w:r>
      <w:r w:rsidRPr="004E51AC">
        <w:rPr>
          <w:i/>
        </w:rPr>
        <w:t>In APos</w:t>
      </w:r>
      <w:r>
        <w:t xml:space="preserve"> I.1; ed. </w:t>
      </w:r>
      <w:r>
        <w:rPr>
          <w:rStyle w:val="TextpoznpodarouChar"/>
        </w:rPr>
        <w:t>RRP</w:t>
      </w:r>
      <w:r>
        <w:t>, 1.S1.3</w:t>
      </w:r>
      <w:r>
        <w:fldChar w:fldCharType="begin"/>
      </w:r>
      <w:r>
        <w:instrText xml:space="preserve"> XE "</w:instrText>
      </w:r>
      <w:r>
        <w:rPr>
          <w:lang w:val="cs-CZ"/>
        </w:rPr>
        <w:instrText>Rufus:</w:instrText>
      </w:r>
      <w:r w:rsidRPr="00A73BD1">
        <w:rPr>
          <w:i/>
        </w:rPr>
        <w:instrText>In APos</w:instrText>
      </w:r>
      <w:r>
        <w:rPr>
          <w:lang w:val="cs-CZ"/>
        </w:rPr>
        <w:instrText xml:space="preserve"> </w:instrText>
      </w:r>
      <w:r w:rsidRPr="00A73BD1">
        <w:instrText>1.S1.3</w:instrText>
      </w:r>
      <w:r>
        <w:instrText xml:space="preserve">" </w:instrText>
      </w:r>
      <w:r>
        <w:fldChar w:fldCharType="end"/>
      </w:r>
      <w:r>
        <w:t>)</w:t>
      </w:r>
    </w:p>
  </w:footnote>
  <w:footnote w:id="376">
    <w:p w14:paraId="1F600E59" w14:textId="77777777" w:rsidR="00CD2817" w:rsidRDefault="00CD2817" w:rsidP="007B7809">
      <w:pPr>
        <w:pStyle w:val="Textpoznpodarou"/>
      </w:pPr>
      <w:r>
        <w:rPr>
          <w:rStyle w:val="Znakapoznpodarou"/>
        </w:rPr>
        <w:footnoteRef/>
      </w:r>
      <w:r>
        <w:rPr>
          <w:lang w:val="cs-CZ"/>
        </w:rPr>
        <w:t xml:space="preserve"> </w:t>
      </w:r>
      <w:r>
        <w:t>„</w:t>
      </w:r>
      <w:r>
        <w:rPr>
          <w:lang w:val="cs-CZ"/>
        </w:rPr>
        <w:t>F</w:t>
      </w:r>
      <w:r w:rsidRPr="00272828">
        <w:t>orte impossibile est hominem in statu isto uti intellectu simpliciter et sine phantasia.</w:t>
      </w:r>
      <w:r>
        <w:t>..</w:t>
      </w:r>
      <w:r>
        <w:rPr>
          <w:i/>
        </w:rPr>
        <w:t>“</w:t>
      </w:r>
      <w:r>
        <w:t xml:space="preserve"> (</w:t>
      </w:r>
      <w:r w:rsidRPr="00272828">
        <w:rPr>
          <w:i/>
        </w:rPr>
        <w:t>Memoriale</w:t>
      </w:r>
      <w:r>
        <w:t>, Prooem.; ed. RRP, Prooem. 7</w:t>
      </w:r>
      <w:r>
        <w:fldChar w:fldCharType="begin"/>
      </w:r>
      <w:r>
        <w:instrText xml:space="preserve"> XE "</w:instrText>
      </w:r>
      <w:r>
        <w:rPr>
          <w:lang w:val="cs-CZ"/>
        </w:rPr>
        <w:instrText>Rufus:</w:instrText>
      </w:r>
      <w:r w:rsidRPr="009F2E4C">
        <w:rPr>
          <w:i/>
        </w:rPr>
        <w:instrText>Memoriale</w:instrText>
      </w:r>
      <w:r>
        <w:rPr>
          <w:i/>
          <w:lang w:val="cs-CZ"/>
        </w:rPr>
        <w:instrText xml:space="preserve"> </w:instrText>
      </w:r>
      <w:r w:rsidRPr="009F2E4C">
        <w:instrText>Prooem. 7</w:instrText>
      </w:r>
      <w:r>
        <w:instrText xml:space="preserve">" </w:instrText>
      </w:r>
      <w:r>
        <w:fldChar w:fldCharType="end"/>
      </w:r>
      <w:r w:rsidRPr="00030AD3">
        <w:t>)</w:t>
      </w:r>
    </w:p>
  </w:footnote>
  <w:footnote w:id="377">
    <w:p w14:paraId="4313304B" w14:textId="28AE47FA" w:rsidR="00CD2817" w:rsidRPr="08206383" w:rsidRDefault="00CD2817" w:rsidP="001634A5">
      <w:pPr>
        <w:pStyle w:val="Textpoznpodarou"/>
        <w:rPr>
          <w:lang w:val="cs-CZ"/>
        </w:rPr>
      </w:pPr>
      <w:r>
        <w:rPr>
          <w:rStyle w:val="Znakapoznpodarou"/>
        </w:rPr>
        <w:footnoteRef/>
      </w:r>
      <w:r>
        <w:t xml:space="preserve"> </w:t>
      </w:r>
      <w:r>
        <w:rPr>
          <w:lang w:val="cs-CZ"/>
        </w:rPr>
        <w:t xml:space="preserve">Kantovo dílo </w:t>
      </w:r>
      <w:r w:rsidRPr="00DB695B">
        <w:rPr>
          <w:i/>
          <w:lang w:val="cs-CZ"/>
        </w:rPr>
        <w:t>Kritika čistého rozumu</w:t>
      </w:r>
      <w:r>
        <w:rPr>
          <w:lang w:val="cs-CZ"/>
        </w:rPr>
        <w:t xml:space="preserve"> vytváří hypostázovanou potenci reálně poznávajícího intelektu </w:t>
      </w:r>
      <w:r>
        <w:t xml:space="preserve">pomocí termínu </w:t>
      </w:r>
      <w:r w:rsidRPr="001A2013">
        <w:rPr>
          <w:i/>
        </w:rPr>
        <w:t>Kategorien der reinen Verstand</w:t>
      </w:r>
      <w:r>
        <w:rPr>
          <w:lang w:val="cs-CZ"/>
        </w:rPr>
        <w:t xml:space="preserve">. Tato postmoderní forma porretánských kategorií </w:t>
      </w:r>
      <w:r>
        <w:t xml:space="preserve">tvoří </w:t>
      </w:r>
      <w:r>
        <w:rPr>
          <w:lang w:val="cs-CZ"/>
        </w:rPr>
        <w:t>formální a syntetický princip všech empirických zkušeností (</w:t>
      </w:r>
      <w:r w:rsidRPr="00AB3B9A">
        <w:rPr>
          <w:i/>
        </w:rPr>
        <w:t>ein formales und synthetisches Prinzipium aller Erfahrungen</w:t>
      </w:r>
      <w:r>
        <w:rPr>
          <w:lang w:val="cs-CZ"/>
        </w:rPr>
        <w:t xml:space="preserve">, </w:t>
      </w:r>
      <w:r w:rsidRPr="00DB4A0F">
        <w:t>KdRV</w:t>
      </w:r>
      <w:r>
        <w:t>, A 119</w:t>
      </w:r>
      <w:r>
        <w:fldChar w:fldCharType="begin"/>
      </w:r>
      <w:r>
        <w:instrText xml:space="preserve"> XE "</w:instrText>
      </w:r>
      <w:r>
        <w:rPr>
          <w:lang w:val="cs-CZ"/>
        </w:rPr>
        <w:instrText>Kant:</w:instrText>
      </w:r>
      <w:r w:rsidRPr="00302E1D">
        <w:instrText>KdRV, A 119</w:instrText>
      </w:r>
      <w:r>
        <w:instrText xml:space="preserve">" </w:instrText>
      </w:r>
      <w:r>
        <w:fldChar w:fldCharType="end"/>
      </w:r>
      <w:r>
        <w:t>)</w:t>
      </w:r>
      <w:r>
        <w:rPr>
          <w:lang w:val="cs-CZ"/>
        </w:rPr>
        <w:t>. Tyto zkušenosti jsou dány na apriorní úrovni intelektu pouze v možnosti, ale trvale.</w:t>
      </w:r>
    </w:p>
  </w:footnote>
  <w:footnote w:id="378">
    <w:p w14:paraId="52307D6B" w14:textId="77777777" w:rsidR="00CD2817" w:rsidRDefault="00CD2817" w:rsidP="00350D04">
      <w:pPr>
        <w:pStyle w:val="Textpoznpodarou"/>
      </w:pPr>
      <w:r>
        <w:rPr>
          <w:rStyle w:val="Znakapoznpodarou"/>
        </w:rPr>
        <w:footnoteRef/>
      </w:r>
      <w:r>
        <w:t xml:space="preserve"> „Sciendum quod in respectu acceptionis subiecti et praedicati est in potentia essentiali et indiget agente.“ (</w:t>
      </w:r>
      <w:r w:rsidRPr="00E8175F">
        <w:rPr>
          <w:i/>
        </w:rPr>
        <w:t>In APos</w:t>
      </w:r>
      <w:r>
        <w:t xml:space="preserve"> I.1</w:t>
      </w:r>
      <w:r>
        <w:rPr>
          <w:lang w:val="cs-CZ"/>
        </w:rPr>
        <w:t xml:space="preserve">; </w:t>
      </w:r>
      <w:r>
        <w:t xml:space="preserve">ed. RRP, </w:t>
      </w:r>
      <w:r w:rsidRPr="00B83770">
        <w:t>1.S1.</w:t>
      </w:r>
      <w:r>
        <w:t>1.</w:t>
      </w:r>
      <w:r w:rsidRPr="00B83770">
        <w:t>3</w:t>
      </w:r>
      <w:r>
        <w:fldChar w:fldCharType="begin"/>
      </w:r>
      <w:r>
        <w:instrText xml:space="preserve"> XE "</w:instrText>
      </w:r>
      <w:r>
        <w:rPr>
          <w:lang w:val="cs-CZ"/>
        </w:rPr>
        <w:instrText>Rufus:</w:instrText>
      </w:r>
      <w:r w:rsidRPr="007238D9">
        <w:rPr>
          <w:i/>
        </w:rPr>
        <w:instrText>In APos</w:instrText>
      </w:r>
      <w:r w:rsidRPr="007238D9">
        <w:instrText xml:space="preserve"> 1.S1.1.3</w:instrText>
      </w:r>
      <w:r>
        <w:instrText xml:space="preserve">" </w:instrText>
      </w:r>
      <w:r>
        <w:fldChar w:fldCharType="end"/>
      </w:r>
      <w:r>
        <w:t>)</w:t>
      </w:r>
    </w:p>
  </w:footnote>
  <w:footnote w:id="379">
    <w:p w14:paraId="29485959" w14:textId="77777777" w:rsidR="00CD2817" w:rsidRPr="00367315" w:rsidRDefault="00CD2817" w:rsidP="08205BE8">
      <w:pPr>
        <w:pStyle w:val="Textpoznpodarou"/>
      </w:pPr>
      <w:r>
        <w:rPr>
          <w:rStyle w:val="Znakapoznpodarou"/>
        </w:rPr>
        <w:footnoteRef/>
      </w:r>
      <w:r>
        <w:t xml:space="preserve"> </w:t>
      </w:r>
      <w:r w:rsidRPr="00367315">
        <w:t>„Causa vero, quare videntur haec moveri a se, est latentia motoris propter mixtionem potentiae essentialis ad motum cum potentia, quam habet accidentaliter teste Averroe, id est potentia essentialis in materia, ex qua mobile generatur atque naturalis.“ (</w:t>
      </w:r>
      <w:r w:rsidRPr="009C3D11">
        <w:rPr>
          <w:rStyle w:val="Zkladntextdkovn0pt"/>
          <w:rFonts w:ascii="Calibri" w:eastAsia="Times" w:hAnsi="Calibri" w:cs="Times New Roman"/>
          <w:i/>
          <w:spacing w:val="0"/>
          <w:sz w:val="21"/>
          <w:u w:val="none"/>
        </w:rPr>
        <w:t>Summa philosophiae</w:t>
      </w:r>
      <w:r w:rsidRPr="00B256D6">
        <w:rPr>
          <w:rStyle w:val="Zkladntextdkovn0pt"/>
          <w:rFonts w:ascii="Calibri" w:eastAsia="Times" w:hAnsi="Calibri" w:cs="Times New Roman"/>
          <w:spacing w:val="0"/>
          <w:sz w:val="21"/>
          <w:u w:val="none"/>
        </w:rPr>
        <w:t xml:space="preserve"> X</w:t>
      </w:r>
      <w:r>
        <w:rPr>
          <w:rStyle w:val="Zkladntextdkovn0pt"/>
          <w:rFonts w:ascii="Calibri" w:eastAsia="Times" w:hAnsi="Calibri" w:cs="Times New Roman"/>
          <w:spacing w:val="0"/>
          <w:sz w:val="21"/>
          <w:u w:val="none"/>
          <w:lang w:val="cs-CZ"/>
        </w:rPr>
        <w:t>X</w:t>
      </w:r>
      <w:r>
        <w:rPr>
          <w:rStyle w:val="Zkladntextdkovn0pt"/>
          <w:rFonts w:ascii="Calibri" w:eastAsia="Times" w:hAnsi="Calibri" w:cs="Times New Roman"/>
          <w:spacing w:val="0"/>
          <w:sz w:val="21"/>
          <w:u w:val="none"/>
        </w:rPr>
        <w:t xml:space="preserve">IX; ed. </w:t>
      </w:r>
      <w:r w:rsidRPr="00BD33DE">
        <w:rPr>
          <w:rStyle w:val="Zkladntextdkovn0pt"/>
          <w:rFonts w:ascii="Calibri" w:eastAsia="Times" w:hAnsi="Calibri" w:cs="Times New Roman"/>
          <w:spacing w:val="0"/>
          <w:sz w:val="21"/>
          <w:u w:val="none"/>
          <w:lang w:val="fr-FR"/>
        </w:rPr>
        <w:t xml:space="preserve">Baur, p. </w:t>
      </w:r>
      <w:r>
        <w:rPr>
          <w:rStyle w:val="Zkladntextdkovn0pt"/>
          <w:rFonts w:ascii="Calibri" w:eastAsia="Times" w:hAnsi="Calibri" w:cs="Times New Roman"/>
          <w:spacing w:val="0"/>
          <w:sz w:val="21"/>
          <w:u w:val="none"/>
          <w:lang w:val="cs-CZ"/>
        </w:rPr>
        <w:t>611</w:t>
      </w:r>
      <w:r w:rsidRPr="00BD33DE">
        <w:rPr>
          <w:rStyle w:val="Zkladntextdkovn0pt"/>
          <w:rFonts w:ascii="Calibri" w:eastAsia="Times" w:hAnsi="Calibri" w:cs="Times New Roman"/>
          <w:spacing w:val="0"/>
          <w:sz w:val="21"/>
          <w:u w:val="none"/>
          <w:lang w:val="fr-FR"/>
        </w:rPr>
        <w:t>.</w:t>
      </w:r>
      <w:r>
        <w:rPr>
          <w:rStyle w:val="Zkladntextdkovn0pt"/>
          <w:rFonts w:ascii="Calibri" w:eastAsia="Times" w:hAnsi="Calibri" w:cs="Times New Roman"/>
          <w:spacing w:val="0"/>
          <w:sz w:val="21"/>
          <w:u w:val="none"/>
          <w:lang w:val="cs-CZ"/>
        </w:rPr>
        <w:t>28</w:t>
      </w:r>
      <w:r w:rsidRPr="00BD33DE">
        <w:rPr>
          <w:rStyle w:val="Zkladntextdkovn0pt"/>
          <w:rFonts w:ascii="Calibri" w:eastAsia="Times" w:hAnsi="Calibri" w:cs="Times New Roman"/>
          <w:spacing w:val="0"/>
          <w:sz w:val="21"/>
          <w:u w:val="none"/>
          <w:lang w:val="fr-FR"/>
        </w:rPr>
        <w:t>‒</w:t>
      </w:r>
      <w:r>
        <w:rPr>
          <w:rStyle w:val="Zkladntextdkovn0pt"/>
          <w:rFonts w:ascii="Calibri" w:eastAsia="Times" w:hAnsi="Calibri" w:cs="Times New Roman"/>
          <w:spacing w:val="0"/>
          <w:sz w:val="21"/>
          <w:u w:val="none"/>
          <w:lang w:val="cs-CZ"/>
        </w:rPr>
        <w:t>31</w:t>
      </w:r>
      <w:r>
        <w:rPr>
          <w:rStyle w:val="Zkladntextdkovn0pt"/>
          <w:rFonts w:ascii="Calibri" w:eastAsia="Times" w:hAnsi="Calibri" w:cs="Times New Roman"/>
          <w:spacing w:val="0"/>
          <w:sz w:val="21"/>
          <w:u w:val="none"/>
          <w:lang w:val="cs-CZ"/>
        </w:rPr>
        <w:fldChar w:fldCharType="begin"/>
      </w:r>
      <w:r>
        <w:instrText xml:space="preserve"> XE "</w:instrText>
      </w:r>
      <w:r>
        <w:rPr>
          <w:lang w:val="cs-CZ"/>
        </w:rPr>
        <w:instrText>Grosseteste:</w:instrText>
      </w:r>
      <w:r w:rsidRPr="00BD33DE">
        <w:rPr>
          <w:rStyle w:val="Zkladntextdkovn0pt"/>
          <w:rFonts w:ascii="Calibri" w:eastAsia="Times" w:hAnsi="Calibri" w:cs="Times New Roman"/>
          <w:i/>
          <w:spacing w:val="0"/>
          <w:sz w:val="21"/>
          <w:u w:val="none"/>
          <w:lang w:val="fr-FR"/>
        </w:rPr>
        <w:instrText>Summa philosophiae</w:instrText>
      </w:r>
      <w:r w:rsidRPr="00BD33DE">
        <w:rPr>
          <w:rStyle w:val="Zkladntextdkovn0pt"/>
          <w:rFonts w:ascii="Calibri" w:eastAsia="Times" w:hAnsi="Calibri" w:cs="Times New Roman"/>
          <w:spacing w:val="0"/>
          <w:sz w:val="21"/>
          <w:u w:val="none"/>
          <w:lang w:val="fr-FR"/>
        </w:rPr>
        <w:instrText xml:space="preserve"> </w:instrText>
      </w:r>
      <w:r w:rsidRPr="0000503E">
        <w:rPr>
          <w:rStyle w:val="Zkladntextdkovn0pt"/>
          <w:rFonts w:ascii="Calibri" w:eastAsia="Times" w:hAnsi="Calibri" w:cs="Times New Roman"/>
          <w:spacing w:val="0"/>
          <w:sz w:val="21"/>
          <w:u w:val="none"/>
          <w:lang w:val="cs-CZ"/>
        </w:rPr>
        <w:instrText>611</w:instrText>
      </w:r>
      <w:r w:rsidRPr="00BD33DE">
        <w:rPr>
          <w:rStyle w:val="Zkladntextdkovn0pt"/>
          <w:rFonts w:ascii="Calibri" w:eastAsia="Times" w:hAnsi="Calibri" w:cs="Times New Roman"/>
          <w:spacing w:val="0"/>
          <w:sz w:val="21"/>
          <w:u w:val="none"/>
          <w:lang w:val="fr-FR"/>
        </w:rPr>
        <w:instrText>.</w:instrText>
      </w:r>
      <w:r w:rsidRPr="0000503E">
        <w:rPr>
          <w:rStyle w:val="Zkladntextdkovn0pt"/>
          <w:rFonts w:ascii="Calibri" w:eastAsia="Times" w:hAnsi="Calibri" w:cs="Times New Roman"/>
          <w:spacing w:val="0"/>
          <w:sz w:val="21"/>
          <w:u w:val="none"/>
          <w:lang w:val="cs-CZ"/>
        </w:rPr>
        <w:instrText>28</w:instrText>
      </w:r>
      <w:r w:rsidRPr="00BD33DE">
        <w:rPr>
          <w:rStyle w:val="Zkladntextdkovn0pt"/>
          <w:rFonts w:ascii="Calibri" w:eastAsia="Times" w:hAnsi="Calibri" w:cs="Times New Roman"/>
          <w:spacing w:val="0"/>
          <w:sz w:val="21"/>
          <w:u w:val="none"/>
          <w:lang w:val="fr-FR"/>
        </w:rPr>
        <w:instrText>‒</w:instrText>
      </w:r>
      <w:r w:rsidRPr="0000503E">
        <w:rPr>
          <w:rStyle w:val="Zkladntextdkovn0pt"/>
          <w:rFonts w:ascii="Calibri" w:eastAsia="Times" w:hAnsi="Calibri" w:cs="Times New Roman"/>
          <w:spacing w:val="0"/>
          <w:sz w:val="21"/>
          <w:u w:val="none"/>
          <w:lang w:val="cs-CZ"/>
        </w:rPr>
        <w:instrText>31</w:instrText>
      </w:r>
      <w:r>
        <w:instrText xml:space="preserve">" </w:instrText>
      </w:r>
      <w:r>
        <w:rPr>
          <w:rStyle w:val="Zkladntextdkovn0pt"/>
          <w:rFonts w:ascii="Calibri" w:eastAsia="Times" w:hAnsi="Calibri" w:cs="Times New Roman"/>
          <w:spacing w:val="0"/>
          <w:sz w:val="21"/>
          <w:u w:val="none"/>
          <w:lang w:val="cs-CZ"/>
        </w:rPr>
        <w:fldChar w:fldCharType="end"/>
      </w:r>
      <w:r w:rsidRPr="00367315">
        <w:t>)</w:t>
      </w:r>
    </w:p>
  </w:footnote>
  <w:footnote w:id="380">
    <w:p w14:paraId="57987F40" w14:textId="77777777" w:rsidR="00CD2817" w:rsidRDefault="00CD2817">
      <w:pPr>
        <w:pStyle w:val="Textpoznpodarou"/>
      </w:pPr>
      <w:r>
        <w:rPr>
          <w:rStyle w:val="Znakapoznpodarou"/>
        </w:rPr>
        <w:footnoteRef/>
      </w:r>
      <w:r>
        <w:t xml:space="preserve"> „</w:t>
      </w:r>
      <w:r w:rsidRPr="009B102A">
        <w:t>Sciendum igitur quod intellectus respectu cognitionis principiorum est in potentia accidentali; sed respectu cognitionis conclusio</w:t>
      </w:r>
      <w:r>
        <w:t>num est in potentia essentiali. Et sic licet ex sua creatione careat omni cognitione principiorum, et sit in potentia respectu eorum, tamen exit in actum cognoscendi ea. Non dicitur proprie quod hic cognitio fiat, sed solum est hoc dictum de cognitione conclusionis.“ (</w:t>
      </w:r>
      <w:r w:rsidRPr="003777A2">
        <w:rPr>
          <w:i/>
        </w:rPr>
        <w:t>In APos</w:t>
      </w:r>
      <w:r>
        <w:t xml:space="preserve"> I.1; ed. </w:t>
      </w:r>
      <w:r w:rsidRPr="00A2238E">
        <w:t xml:space="preserve">RRP, </w:t>
      </w:r>
      <w:r w:rsidRPr="00B83770">
        <w:t>1.</w:t>
      </w:r>
      <w:r>
        <w:rPr>
          <w:lang w:val="cs-CZ"/>
        </w:rPr>
        <w:t>1.</w:t>
      </w:r>
      <w:r w:rsidRPr="00B83770">
        <w:t>S1.</w:t>
      </w:r>
      <w:r>
        <w:t>1.</w:t>
      </w:r>
      <w:r w:rsidRPr="00B83770">
        <w:t>3</w:t>
      </w:r>
      <w:r>
        <w:fldChar w:fldCharType="begin"/>
      </w:r>
      <w:r>
        <w:instrText xml:space="preserve"> XE "</w:instrText>
      </w:r>
      <w:r>
        <w:rPr>
          <w:lang w:val="cs-CZ"/>
        </w:rPr>
        <w:instrText>Rufus:</w:instrText>
      </w:r>
      <w:r w:rsidRPr="007238D9">
        <w:rPr>
          <w:i/>
        </w:rPr>
        <w:instrText>In APos</w:instrText>
      </w:r>
      <w:r w:rsidRPr="007238D9">
        <w:instrText xml:space="preserve"> 1.S1.1.3</w:instrText>
      </w:r>
      <w:r>
        <w:instrText xml:space="preserve">" </w:instrText>
      </w:r>
      <w:r>
        <w:fldChar w:fldCharType="end"/>
      </w:r>
      <w:r>
        <w:t>)</w:t>
      </w:r>
    </w:p>
  </w:footnote>
  <w:footnote w:id="381">
    <w:p w14:paraId="1056A4E0" w14:textId="77777777" w:rsidR="00CD2817" w:rsidRPr="001727C8" w:rsidRDefault="00CD2817" w:rsidP="08EF0A87">
      <w:pPr>
        <w:pStyle w:val="Textpoznpodarou"/>
      </w:pPr>
      <w:r>
        <w:rPr>
          <w:rStyle w:val="Znakapoznpodarou"/>
        </w:rPr>
        <w:footnoteRef/>
      </w:r>
      <w:r>
        <w:t xml:space="preserve"> „In this example, the middle term is ‘having the sun as the cause of light’, the secondary intelligible is the proposition 'the moon shines only on the side facing the sun' ‒ which is not an observation but knowledge resting upon understanding the cause.“ (Hasse 2000, 181) </w:t>
      </w:r>
    </w:p>
  </w:footnote>
  <w:footnote w:id="382">
    <w:p w14:paraId="66FFEB0E" w14:textId="77777777" w:rsidR="00CD2817" w:rsidRDefault="00CD2817">
      <w:pPr>
        <w:pStyle w:val="Textpoznpodarou"/>
      </w:pPr>
      <w:r>
        <w:rPr>
          <w:rStyle w:val="Znakapoznpodarou"/>
        </w:rPr>
        <w:footnoteRef/>
      </w:r>
      <w:r>
        <w:t xml:space="preserve"> „</w:t>
      </w:r>
      <w:r w:rsidRPr="00FD6E88">
        <w:t>Dicendum quod scire est quidam effectus et causatur a demonstratione; et propterea habet definiri per demonstrationem. Sed hoc dupliciter: Aut secundum quod demonstratio consideratur ut in sua radice, et sic nihil aliud est quam ipsum medium sive causa, secundum quod dic</w:t>
      </w:r>
      <w:r>
        <w:t>itur quod 'medium et causa idem'</w:t>
      </w:r>
      <w:r w:rsidRPr="00FD6E88">
        <w:t>; et sic datur definitio prima. Aut secundum quod demonstratio consideratur ut in actu, et sic secunda.</w:t>
      </w:r>
      <w:r>
        <w:t>“ (</w:t>
      </w:r>
      <w:r w:rsidRPr="0019289D">
        <w:rPr>
          <w:i/>
        </w:rPr>
        <w:t>In APos</w:t>
      </w:r>
      <w:r>
        <w:t xml:space="preserve"> I.2</w:t>
      </w:r>
      <w:r>
        <w:rPr>
          <w:lang w:val="cs-CZ"/>
        </w:rPr>
        <w:t>;</w:t>
      </w:r>
      <w:r>
        <w:t xml:space="preserve"> ed. </w:t>
      </w:r>
      <w:r w:rsidRPr="0019289D">
        <w:t xml:space="preserve">RRP, </w:t>
      </w:r>
      <w:r>
        <w:t>1.2.S1.ad1</w:t>
      </w:r>
      <w:r>
        <w:fldChar w:fldCharType="begin"/>
      </w:r>
      <w:r>
        <w:instrText xml:space="preserve"> XE "</w:instrText>
      </w:r>
      <w:r>
        <w:rPr>
          <w:lang w:val="cs-CZ"/>
        </w:rPr>
        <w:instrText>Rufus:</w:instrText>
      </w:r>
      <w:r w:rsidRPr="005B55DB">
        <w:rPr>
          <w:i/>
        </w:rPr>
        <w:instrText>In APos</w:instrText>
      </w:r>
      <w:r w:rsidRPr="005B55DB">
        <w:instrText xml:space="preserve"> 1.2.S1.ad1</w:instrText>
      </w:r>
      <w:r>
        <w:instrText xml:space="preserve">" </w:instrText>
      </w:r>
      <w:r>
        <w:fldChar w:fldCharType="end"/>
      </w:r>
      <w:r>
        <w:t>)</w:t>
      </w:r>
    </w:p>
  </w:footnote>
  <w:footnote w:id="383">
    <w:p w14:paraId="02E97572" w14:textId="77777777" w:rsidR="00CD2817" w:rsidRDefault="00CD2817" w:rsidP="00164FFD">
      <w:pPr>
        <w:pStyle w:val="Textpoznpodarou"/>
      </w:pPr>
      <w:r>
        <w:rPr>
          <w:rStyle w:val="Znakapoznpodarou"/>
        </w:rPr>
        <w:footnoteRef/>
      </w:r>
      <w:r>
        <w:t xml:space="preserve"> „</w:t>
      </w:r>
      <w:r w:rsidRPr="00C348B4">
        <w:t>Ad aliud dicendum quod ex hoc quod scire est cognoscere praemissae quae sunt causa, oportet praemissa esse vera. Aliter enim non cognoscerentur vel scirentur. Et h</w:t>
      </w:r>
      <w:r>
        <w:t xml:space="preserve">oc tangit in littera cum dicit 'verum igitur' </w:t>
      </w:r>
      <w:r w:rsidRPr="00C348B4">
        <w:t>etc. Ex hoc autem quod praemissae sunt causae completae -- in illo genere dico -- sequitur quod sint immediata in eodem, quia si essent mediata, haberent medium et causam, et sic non essent complet</w:t>
      </w:r>
      <w:r>
        <w:t>a causa. Et hoc est quod dicit 'ex praemissis autem' etc.“ (</w:t>
      </w:r>
      <w:r w:rsidRPr="00351961">
        <w:rPr>
          <w:i/>
        </w:rPr>
        <w:t>In APos</w:t>
      </w:r>
      <w:r>
        <w:t xml:space="preserve"> I.2; ed. </w:t>
      </w:r>
      <w:r>
        <w:rPr>
          <w:rStyle w:val="TextpoznpodarouChar"/>
        </w:rPr>
        <w:t>RRP</w:t>
      </w:r>
      <w:r>
        <w:t>, 1.2.S2.ad2</w:t>
      </w:r>
      <w:r>
        <w:fldChar w:fldCharType="begin"/>
      </w:r>
      <w:r>
        <w:instrText xml:space="preserve"> XE "</w:instrText>
      </w:r>
      <w:r>
        <w:rPr>
          <w:lang w:val="cs-CZ"/>
        </w:rPr>
        <w:instrText>Rufus:</w:instrText>
      </w:r>
      <w:r w:rsidRPr="00D56AFC">
        <w:rPr>
          <w:i/>
        </w:rPr>
        <w:instrText>In APos</w:instrText>
      </w:r>
      <w:r>
        <w:instrText xml:space="preserve"> </w:instrText>
      </w:r>
      <w:r w:rsidRPr="00D56AFC">
        <w:instrText>1.2.S2.ad2</w:instrText>
      </w:r>
      <w:r>
        <w:instrText xml:space="preserve">" </w:instrText>
      </w:r>
      <w:r>
        <w:fldChar w:fldCharType="end"/>
      </w:r>
      <w:r>
        <w:t>)</w:t>
      </w:r>
    </w:p>
  </w:footnote>
  <w:footnote w:id="384">
    <w:p w14:paraId="514B4578" w14:textId="77777777" w:rsidR="00CD2817" w:rsidRPr="00AF2D36" w:rsidRDefault="00CD2817" w:rsidP="009A3F15">
      <w:pPr>
        <w:pStyle w:val="Textpoznpodarou"/>
      </w:pPr>
      <w:r>
        <w:rPr>
          <w:rStyle w:val="Znakapoznpodarou"/>
        </w:rPr>
        <w:footnoteRef/>
      </w:r>
      <w:r>
        <w:t xml:space="preserve"> </w:t>
      </w:r>
      <w:r w:rsidRPr="00AF2D36">
        <w:t>„Item, videtur quod ad salvationem scientiae exigitur et sufficit exsistentia scientis et habitus scibilis. His enim exsistentibus, universaliter manebit scientia, sicut est actu imaginatio ex praesentia speciei imaginabiliter apud imaginationem, etiam non exsistente re imaginata extra; et similiter intellectus ex praesentia speciei intellectuali apud virtutem intellectivam.“ (</w:t>
      </w:r>
      <w:r w:rsidRPr="00351961">
        <w:rPr>
          <w:i/>
        </w:rPr>
        <w:t>In APos</w:t>
      </w:r>
      <w:r w:rsidRPr="00AF2D36">
        <w:t xml:space="preserve"> </w:t>
      </w:r>
      <w:r>
        <w:t xml:space="preserve">I.3; ed. </w:t>
      </w:r>
      <w:r>
        <w:rPr>
          <w:rStyle w:val="TextpoznpodarouChar"/>
        </w:rPr>
        <w:t>RRP,</w:t>
      </w:r>
      <w:r>
        <w:t xml:space="preserve"> 1.3.S1.3</w:t>
      </w:r>
      <w:r>
        <w:fldChar w:fldCharType="begin"/>
      </w:r>
      <w:r>
        <w:instrText xml:space="preserve"> XE "</w:instrText>
      </w:r>
      <w:r>
        <w:rPr>
          <w:lang w:val="cs-CZ"/>
        </w:rPr>
        <w:instrText>Rufus:</w:instrText>
      </w:r>
      <w:r w:rsidRPr="00480090">
        <w:rPr>
          <w:i/>
        </w:rPr>
        <w:instrText>In APos</w:instrText>
      </w:r>
      <w:r w:rsidRPr="00480090">
        <w:instrText xml:space="preserve"> 1.3.S1.3</w:instrText>
      </w:r>
      <w:r>
        <w:instrText xml:space="preserve">" </w:instrText>
      </w:r>
      <w:r>
        <w:fldChar w:fldCharType="end"/>
      </w:r>
      <w:r w:rsidRPr="00AF2D36">
        <w:t>)</w:t>
      </w:r>
    </w:p>
  </w:footnote>
  <w:footnote w:id="385">
    <w:p w14:paraId="26877BF9" w14:textId="09D1CADC" w:rsidR="00CD2817" w:rsidRPr="00C16B72" w:rsidRDefault="00CD2817" w:rsidP="00BE055C">
      <w:pPr>
        <w:pStyle w:val="Textpoznpodarou"/>
        <w:rPr>
          <w:lang w:val="cs-CZ"/>
        </w:rPr>
      </w:pPr>
      <w:r>
        <w:rPr>
          <w:rStyle w:val="Znakapoznpodarou"/>
        </w:rPr>
        <w:footnoteRef/>
      </w:r>
      <w:r>
        <w:t xml:space="preserve"> </w:t>
      </w:r>
      <w:r>
        <w:rPr>
          <w:lang w:val="cs-CZ"/>
        </w:rPr>
        <w:t xml:space="preserve">„Il suffit en effet de mettre a l’oeuvre cette technique pour voir qu’elle </w:t>
      </w:r>
      <w:r w:rsidRPr="00E4682B">
        <w:rPr>
          <w:i/>
          <w:lang w:val="cs-CZ"/>
        </w:rPr>
        <w:t>reproduit</w:t>
      </w:r>
      <w:r>
        <w:rPr>
          <w:lang w:val="cs-CZ"/>
        </w:rPr>
        <w:t xml:space="preserve"> la logique même du jeu qu’elle est censée arbitrer : les différents « juges » </w:t>
      </w:r>
      <w:r>
        <w:rPr>
          <w:rFonts w:cs="Calibri"/>
          <w:lang w:val="cs-CZ"/>
        </w:rPr>
        <w:t>—</w:t>
      </w:r>
      <w:r>
        <w:rPr>
          <w:lang w:val="cs-CZ"/>
        </w:rPr>
        <w:t xml:space="preserve"> et le même « juge » </w:t>
      </w:r>
      <w:r>
        <w:rPr>
          <w:rFonts w:cs="Calibri"/>
          <w:lang w:val="cs-CZ"/>
        </w:rPr>
        <w:t>—</w:t>
      </w:r>
      <w:r>
        <w:rPr>
          <w:lang w:val="cs-CZ"/>
        </w:rPr>
        <w:t xml:space="preserve"> a différents moments </w:t>
      </w:r>
      <w:r>
        <w:rPr>
          <w:rFonts w:cs="Calibri"/>
          <w:lang w:val="cs-CZ"/>
        </w:rPr>
        <w:t>—</w:t>
      </w:r>
      <w:r>
        <w:rPr>
          <w:lang w:val="cs-CZ"/>
        </w:rPr>
        <w:t xml:space="preserve"> mettent en œuvre des critères différents, voire incompatibles reproduisant ainsi, mais seulement de manière imparfaite, parce qu’</w:t>
      </w:r>
      <w:r w:rsidRPr="00E4682B">
        <w:rPr>
          <w:i/>
          <w:lang w:val="cs-CZ"/>
        </w:rPr>
        <w:t>en situation artificielle</w:t>
      </w:r>
      <w:r>
        <w:rPr>
          <w:lang w:val="cs-CZ"/>
        </w:rPr>
        <w:t>, la logique des jugements classificatoires que les agents produisent dans l’existence ordinaire.“  (Bourdieu 1984, 27)</w:t>
      </w:r>
    </w:p>
  </w:footnote>
  <w:footnote w:id="386">
    <w:p w14:paraId="4FB4E922" w14:textId="77777777" w:rsidR="00CD2817" w:rsidRPr="00FC2058" w:rsidRDefault="00CD2817" w:rsidP="009A3F15">
      <w:pPr>
        <w:pStyle w:val="Textpoznpodarou"/>
      </w:pPr>
      <w:r>
        <w:rPr>
          <w:rStyle w:val="Znakapoznpodarou"/>
        </w:rPr>
        <w:footnoteRef/>
      </w:r>
      <w:r>
        <w:t xml:space="preserve"> „</w:t>
      </w:r>
      <w:r>
        <w:rPr>
          <w:lang w:val="cs-CZ"/>
        </w:rPr>
        <w:t>S</w:t>
      </w:r>
      <w:r w:rsidRPr="00351961">
        <w:t>ecundum naturam habet potestatem complendi materiam et faciendi individuum; et tunc est individuum habitualiter...“</w:t>
      </w:r>
      <w:r>
        <w:t xml:space="preserve"> (</w:t>
      </w:r>
      <w:r w:rsidRPr="00351961">
        <w:rPr>
          <w:i/>
        </w:rPr>
        <w:t>In APos</w:t>
      </w:r>
      <w:r>
        <w:t xml:space="preserve"> I.3</w:t>
      </w:r>
      <w:r>
        <w:rPr>
          <w:lang w:val="cs-CZ"/>
        </w:rPr>
        <w:t>;</w:t>
      </w:r>
      <w:r>
        <w:t xml:space="preserve"> ed. </w:t>
      </w:r>
      <w:r>
        <w:rPr>
          <w:rStyle w:val="TextpoznpodarouChar"/>
        </w:rPr>
        <w:t>RRP, 1.</w:t>
      </w:r>
      <w:r>
        <w:t>3.S5.ad2</w:t>
      </w:r>
      <w:r>
        <w:fldChar w:fldCharType="begin"/>
      </w:r>
      <w:r>
        <w:instrText xml:space="preserve"> XE "</w:instrText>
      </w:r>
      <w:r>
        <w:rPr>
          <w:lang w:val="cs-CZ"/>
        </w:rPr>
        <w:instrText>Rufus:</w:instrText>
      </w:r>
      <w:r w:rsidRPr="005C49B8">
        <w:rPr>
          <w:i/>
        </w:rPr>
        <w:instrText>In APos</w:instrText>
      </w:r>
      <w:r w:rsidRPr="005C49B8">
        <w:instrText xml:space="preserve"> </w:instrText>
      </w:r>
      <w:r w:rsidRPr="005C49B8">
        <w:rPr>
          <w:rStyle w:val="TextpoznpodarouChar"/>
        </w:rPr>
        <w:instrText>1.</w:instrText>
      </w:r>
      <w:r w:rsidRPr="005C49B8">
        <w:instrText>3.S5.ad2</w:instrText>
      </w:r>
      <w:r>
        <w:instrText xml:space="preserve">" </w:instrText>
      </w:r>
      <w:r>
        <w:fldChar w:fldCharType="end"/>
      </w:r>
      <w:r>
        <w:t>).</w:t>
      </w:r>
    </w:p>
  </w:footnote>
  <w:footnote w:id="387">
    <w:p w14:paraId="6A609457" w14:textId="77777777" w:rsidR="00CD2817" w:rsidRPr="00880759" w:rsidRDefault="00CD2817" w:rsidP="00990FA4">
      <w:pPr>
        <w:pStyle w:val="Textpoznpodarou"/>
      </w:pPr>
      <w:r>
        <w:rPr>
          <w:rStyle w:val="Znakapoznpodarou"/>
        </w:rPr>
        <w:footnoteRef/>
      </w:r>
      <w:r>
        <w:t xml:space="preserve"> </w:t>
      </w:r>
      <w:r w:rsidRPr="00AF2D36">
        <w:t>„Ad primum dicendum quod modi per se quidam sunt praedicandi, quidam essendi.“ (</w:t>
      </w:r>
      <w:r w:rsidRPr="00E857FF">
        <w:rPr>
          <w:i/>
        </w:rPr>
        <w:t>In APos</w:t>
      </w:r>
      <w:r w:rsidRPr="00AF2D36">
        <w:t xml:space="preserve"> </w:t>
      </w:r>
      <w:r>
        <w:t xml:space="preserve">I.2; ed. </w:t>
      </w:r>
      <w:r>
        <w:rPr>
          <w:rStyle w:val="TextpoznpodarouChar"/>
        </w:rPr>
        <w:t>RRP, 1.</w:t>
      </w:r>
      <w:r>
        <w:t>2.S7.ad1</w:t>
      </w:r>
      <w:r w:rsidRPr="00AF2D36">
        <w:t>)</w:t>
      </w:r>
    </w:p>
  </w:footnote>
  <w:footnote w:id="388">
    <w:p w14:paraId="1627C964" w14:textId="77777777" w:rsidR="00CD2817" w:rsidRPr="085656BA" w:rsidRDefault="00CD2817" w:rsidP="085656BA">
      <w:pPr>
        <w:pStyle w:val="Textpoznpodarou"/>
        <w:rPr>
          <w:lang w:val="cs-CZ"/>
        </w:rPr>
      </w:pPr>
      <w:r w:rsidRPr="085656BA">
        <w:rPr>
          <w:rStyle w:val="Znakapoznpodarou"/>
        </w:rPr>
        <w:footnoteRef/>
      </w:r>
      <w:r w:rsidRPr="085656BA">
        <w:t xml:space="preserve"> „Wohin ist Gott? rief er, ich will es euch sagen! </w:t>
      </w:r>
      <w:r>
        <w:t>Wir haben ihn getötet</w:t>
      </w:r>
      <w:r>
        <w:rPr>
          <w:lang w:val="cs-CZ"/>
        </w:rPr>
        <w:t xml:space="preserve"> </w:t>
      </w:r>
      <w:r>
        <w:t>‒</w:t>
      </w:r>
      <w:r>
        <w:rPr>
          <w:lang w:val="cs-CZ"/>
        </w:rPr>
        <w:t xml:space="preserve"> </w:t>
      </w:r>
      <w:r w:rsidRPr="085656BA">
        <w:t xml:space="preserve">ihr und ich!  </w:t>
      </w:r>
      <w:r w:rsidRPr="085656BA">
        <w:br/>
        <w:t>Wir sind seine Mörder! Aber wie haben wir das gemacht?</w:t>
      </w:r>
      <w:r w:rsidRPr="085656BA">
        <w:rPr>
          <w:szCs w:val="24"/>
        </w:rPr>
        <w:t>“</w:t>
      </w:r>
      <w:r>
        <w:rPr>
          <w:szCs w:val="24"/>
          <w:lang w:val="cs-CZ"/>
        </w:rPr>
        <w:t xml:space="preserve"> (</w:t>
      </w:r>
      <w:r>
        <w:rPr>
          <w:rStyle w:val="reference-text"/>
          <w:i/>
          <w:iCs/>
        </w:rPr>
        <w:t>Die fröhliche Wissenschaft</w:t>
      </w:r>
      <w:r>
        <w:rPr>
          <w:rStyle w:val="reference-text"/>
        </w:rPr>
        <w:t>, Drittes Buch, Aphorismus 125</w:t>
      </w:r>
      <w:r>
        <w:rPr>
          <w:rStyle w:val="reference-text"/>
          <w:lang w:val="cs-CZ"/>
        </w:rPr>
        <w:t xml:space="preserve">; </w:t>
      </w:r>
      <w:r>
        <w:rPr>
          <w:rStyle w:val="reference-text"/>
        </w:rPr>
        <w:t>KSA 3, 480</w:t>
      </w:r>
      <w:r>
        <w:rPr>
          <w:rStyle w:val="reference-text"/>
        </w:rPr>
        <w:fldChar w:fldCharType="begin"/>
      </w:r>
      <w:r>
        <w:instrText xml:space="preserve"> XE "</w:instrText>
      </w:r>
      <w:r>
        <w:rPr>
          <w:lang w:val="cs-CZ"/>
        </w:rPr>
        <w:instrText>Nietzsche:</w:instrText>
      </w:r>
      <w:r>
        <w:rPr>
          <w:rStyle w:val="reference-text"/>
          <w:i/>
          <w:iCs/>
        </w:rPr>
        <w:instrText>Die fröhliche Wissen</w:instrText>
      </w:r>
      <w:r>
        <w:rPr>
          <w:rStyle w:val="reference-text"/>
          <w:i/>
          <w:iCs/>
          <w:lang w:val="cs-CZ"/>
        </w:rPr>
        <w:instrText>schaft</w:instrText>
      </w:r>
      <w:r w:rsidRPr="084077A1">
        <w:rPr>
          <w:rStyle w:val="reference-text"/>
        </w:rPr>
        <w:instrText xml:space="preserve"> 3, 480</w:instrText>
      </w:r>
      <w:r>
        <w:instrText xml:space="preserve">" </w:instrText>
      </w:r>
      <w:r>
        <w:rPr>
          <w:rStyle w:val="reference-text"/>
        </w:rPr>
        <w:fldChar w:fldCharType="end"/>
      </w:r>
      <w:r>
        <w:rPr>
          <w:rStyle w:val="reference-text"/>
        </w:rPr>
        <w:t>)</w:t>
      </w:r>
    </w:p>
  </w:footnote>
  <w:footnote w:id="389">
    <w:p w14:paraId="0F65B781" w14:textId="77777777" w:rsidR="00CD2817" w:rsidRPr="008666D9" w:rsidRDefault="00CD2817" w:rsidP="08C7626A">
      <w:pPr>
        <w:pStyle w:val="Textpoznpodarou"/>
      </w:pPr>
      <w:r>
        <w:rPr>
          <w:rStyle w:val="Znakapoznpodarou"/>
        </w:rPr>
        <w:footnoteRef/>
      </w:r>
      <w:r>
        <w:t xml:space="preserve"> </w:t>
      </w:r>
      <w:r w:rsidRPr="00C32DD3">
        <w:rPr>
          <w:rStyle w:val="TextpoznpodarouChar"/>
        </w:rPr>
        <w:t>„We cannot, for instance, prove geometrical truths by arithmetic</w:t>
      </w:r>
      <w:r>
        <w:rPr>
          <w:rStyle w:val="TextpoznpodarouChar"/>
        </w:rPr>
        <w:t xml:space="preserve"> (</w:t>
      </w:r>
      <w:r>
        <w:t>οἷον τὸ γεωμετρικὸν ἀριθμητικῆι</w:t>
      </w:r>
      <w:r>
        <w:rPr>
          <w:rStyle w:val="TextpoznpodarouChar"/>
        </w:rPr>
        <w:t>)</w:t>
      </w:r>
      <w:r w:rsidRPr="00C32DD3">
        <w:rPr>
          <w:rStyle w:val="TextpoznpodarouChar"/>
        </w:rPr>
        <w:t>.</w:t>
      </w:r>
      <w:r>
        <w:rPr>
          <w:rStyle w:val="TextpoznpodarouChar"/>
        </w:rPr>
        <w:t>“ (</w:t>
      </w:r>
      <w:r w:rsidRPr="008E4382">
        <w:rPr>
          <w:rStyle w:val="TextpoznpodarouChar"/>
          <w:i/>
        </w:rPr>
        <w:t>Anal. Post</w:t>
      </w:r>
      <w:r>
        <w:rPr>
          <w:rStyle w:val="TextpoznpodarouChar"/>
        </w:rPr>
        <w:t>. 75a38</w:t>
      </w:r>
      <w:r>
        <w:rPr>
          <w:rStyle w:val="TextpoznpodarouChar"/>
          <w:rFonts w:ascii="Georgia" w:hAnsi="Georgia"/>
        </w:rPr>
        <w:t>–</w:t>
      </w:r>
      <w:r>
        <w:rPr>
          <w:rStyle w:val="TextpoznpodarouChar"/>
        </w:rPr>
        <w:t>39</w:t>
      </w:r>
      <w:r>
        <w:fldChar w:fldCharType="begin"/>
      </w:r>
      <w:r>
        <w:instrText xml:space="preserve"> XE "</w:instrText>
      </w:r>
      <w:r>
        <w:rPr>
          <w:lang w:val="cs-CZ"/>
        </w:rPr>
        <w:instrText>Aristoteles:</w:instrText>
      </w:r>
      <w:r w:rsidRPr="00945B63">
        <w:rPr>
          <w:i/>
        </w:rPr>
        <w:instrText>Anal. Post</w:instrText>
      </w:r>
      <w:r w:rsidRPr="00945B63">
        <w:instrText>. 7</w:instrText>
      </w:r>
      <w:r>
        <w:rPr>
          <w:lang w:val="cs-CZ"/>
        </w:rPr>
        <w:instrText>5a38</w:instrText>
      </w:r>
      <w:r>
        <w:instrText>–</w:instrText>
      </w:r>
      <w:r>
        <w:rPr>
          <w:lang w:val="cs-CZ"/>
        </w:rPr>
        <w:instrText>39</w:instrText>
      </w:r>
      <w:r>
        <w:instrText xml:space="preserve">" </w:instrText>
      </w:r>
      <w:r>
        <w:fldChar w:fldCharType="end"/>
      </w:r>
      <w:r>
        <w:rPr>
          <w:rStyle w:val="TextpoznpodarouChar"/>
        </w:rPr>
        <w:t>; WA 1, trad. Mure)</w:t>
      </w:r>
    </w:p>
  </w:footnote>
  <w:footnote w:id="390">
    <w:p w14:paraId="4C3D8FDA" w14:textId="77777777" w:rsidR="00CD2817" w:rsidRDefault="00CD2817" w:rsidP="00636CDB">
      <w:pPr>
        <w:pStyle w:val="Textpoznpodarou"/>
      </w:pPr>
      <w:r>
        <w:rPr>
          <w:rStyle w:val="Znakapoznpodarou"/>
        </w:rPr>
        <w:footnoteRef/>
      </w:r>
      <w:r>
        <w:t xml:space="preserve"> „</w:t>
      </w:r>
      <w:r w:rsidRPr="00851A6A">
        <w:t>Proprie autem dicitur per se secundum quod in sua relatione completam facit definitionem, et sic per-se convenit aliquid alicui secundum se totum, et non per aliquid sui convenit ei. Primo modo no</w:t>
      </w:r>
      <w:r>
        <w:t>n fuit idem per-se et secundum-</w:t>
      </w:r>
      <w:r w:rsidRPr="00851A6A">
        <w:t>quod-ipsum-est; secundo modo sunt idem; secundum ergo quod sunt diversa veniunt in definitionem.</w:t>
      </w:r>
      <w:r>
        <w:t>“ (</w:t>
      </w:r>
      <w:r w:rsidRPr="00051F3C">
        <w:rPr>
          <w:i/>
        </w:rPr>
        <w:t xml:space="preserve">In APos </w:t>
      </w:r>
      <w:r w:rsidRPr="002A7BF6">
        <w:t>I.2</w:t>
      </w:r>
      <w:r>
        <w:t xml:space="preserve">; ed. </w:t>
      </w:r>
      <w:r w:rsidRPr="00051F3C">
        <w:t xml:space="preserve">RRP, </w:t>
      </w:r>
      <w:r>
        <w:t>1.2.S8.2</w:t>
      </w:r>
      <w:r>
        <w:fldChar w:fldCharType="begin"/>
      </w:r>
      <w:r>
        <w:instrText xml:space="preserve"> XE "</w:instrText>
      </w:r>
      <w:r>
        <w:rPr>
          <w:lang w:val="cs-CZ"/>
        </w:rPr>
        <w:instrText>Rufus:</w:instrText>
      </w:r>
      <w:r w:rsidRPr="00D45D35">
        <w:rPr>
          <w:i/>
        </w:rPr>
        <w:instrText xml:space="preserve">In APos </w:instrText>
      </w:r>
      <w:r w:rsidRPr="00D45D35">
        <w:instrText>1.2.S8.2</w:instrText>
      </w:r>
      <w:r>
        <w:instrText xml:space="preserve">" </w:instrText>
      </w:r>
      <w:r>
        <w:fldChar w:fldCharType="end"/>
      </w:r>
      <w:r>
        <w:t>)</w:t>
      </w:r>
    </w:p>
  </w:footnote>
  <w:footnote w:id="391">
    <w:p w14:paraId="70C47CAD" w14:textId="77777777" w:rsidR="00CD2817" w:rsidRDefault="00CD2817" w:rsidP="00535A6F">
      <w:pPr>
        <w:pStyle w:val="Textpoznpodarou"/>
      </w:pPr>
      <w:r>
        <w:rPr>
          <w:rStyle w:val="Znakapoznpodarou"/>
        </w:rPr>
        <w:footnoteRef/>
      </w:r>
      <w:r>
        <w:t xml:space="preserve"> „</w:t>
      </w:r>
      <w:r w:rsidRPr="00893B02">
        <w:t>Et h</w:t>
      </w:r>
      <w:r>
        <w:t>oc tangitur per hoc quod dicit '</w:t>
      </w:r>
      <w:r w:rsidRPr="00893B02">
        <w:t>per</w:t>
      </w:r>
      <w:r>
        <w:t xml:space="preserve"> se et secundum quod ipsum est.'</w:t>
      </w:r>
      <w:r w:rsidRPr="00893B02">
        <w:t xml:space="preserve"> Et in hoc tangitur illa universalitas, scilicet ut praedicatum non recipit solum subiectum sub suis partibus subiectivis sed pro partibus constitutivis. Si namque insit secundum-quod-ipsum-est et primo, tunc totum praedicatum ab universo subiecto egreditur.</w:t>
      </w:r>
      <w:r>
        <w:t>“ (</w:t>
      </w:r>
      <w:r w:rsidRPr="00FE329A">
        <w:rPr>
          <w:i/>
        </w:rPr>
        <w:t>In APos</w:t>
      </w:r>
      <w:r>
        <w:t xml:space="preserve"> I.2; ed. RRP, 1.</w:t>
      </w:r>
      <w:r w:rsidRPr="000D03CF">
        <w:t>2.S8.ad1</w:t>
      </w:r>
      <w:r>
        <w:fldChar w:fldCharType="begin"/>
      </w:r>
      <w:r>
        <w:instrText xml:space="preserve"> XE "</w:instrText>
      </w:r>
      <w:r>
        <w:rPr>
          <w:lang w:val="cs-CZ"/>
        </w:rPr>
        <w:instrText>Rufus:</w:instrText>
      </w:r>
      <w:r w:rsidRPr="005D7F57">
        <w:rPr>
          <w:i/>
        </w:rPr>
        <w:instrText>In APos</w:instrText>
      </w:r>
      <w:r w:rsidRPr="005D7F57">
        <w:instrText xml:space="preserve"> 1.2.S8.ad1</w:instrText>
      </w:r>
      <w:r>
        <w:instrText xml:space="preserve">" </w:instrText>
      </w:r>
      <w:r>
        <w:fldChar w:fldCharType="end"/>
      </w:r>
      <w:r>
        <w:t>)</w:t>
      </w:r>
    </w:p>
  </w:footnote>
  <w:footnote w:id="392">
    <w:p w14:paraId="3CEFFAEC" w14:textId="77777777" w:rsidR="00CD2817" w:rsidRDefault="00CD2817">
      <w:pPr>
        <w:pStyle w:val="Textpoznpodarou"/>
      </w:pPr>
      <w:r>
        <w:rPr>
          <w:rStyle w:val="Znakapoznpodarou"/>
        </w:rPr>
        <w:footnoteRef/>
      </w:r>
      <w:r>
        <w:t xml:space="preserve"> „Ad primum dicendum quod duplex est subiectum ‒ scilicet commune vel proprium. De communi non quaeritur neque ostenditur in aliqua scientia quid sit; de proprio ostenditur. Sed tamen intelligendum quod </w:t>
      </w:r>
      <w:r w:rsidRPr="009866E9">
        <w:t xml:space="preserve">ipsum </w:t>
      </w:r>
      <w:r w:rsidRPr="00E33ED5">
        <w:t>non est subiectum in illa ostensione in qua ostenditur esse, neque ostenditur esse ex principali, sed ex consequenti. Unde ubi est subiectum, non ostenditur, sed supponitur.</w:t>
      </w:r>
      <w:r>
        <w:t xml:space="preserve">“ </w:t>
      </w:r>
      <w:r w:rsidRPr="009866E9">
        <w:t xml:space="preserve"> </w:t>
      </w:r>
      <w:r>
        <w:t>(</w:t>
      </w:r>
      <w:r w:rsidRPr="007F7A57">
        <w:rPr>
          <w:i/>
        </w:rPr>
        <w:t>In APos</w:t>
      </w:r>
      <w:r w:rsidRPr="00DC3D96">
        <w:t xml:space="preserve"> </w:t>
      </w:r>
      <w:r>
        <w:t>I.3; ed. RRP, 1.</w:t>
      </w:r>
      <w:r>
        <w:rPr>
          <w:rStyle w:val="linemarker-marked-line"/>
        </w:rPr>
        <w:t>3.S7</w:t>
      </w:r>
      <w:r w:rsidRPr="00DC3D96">
        <w:rPr>
          <w:rStyle w:val="linemarker-marked-line"/>
        </w:rPr>
        <w:t>.ad</w:t>
      </w:r>
      <w:r>
        <w:rPr>
          <w:rStyle w:val="linemarker-marked-line"/>
        </w:rPr>
        <w:t>1</w:t>
      </w:r>
      <w:r>
        <w:rPr>
          <w:rStyle w:val="linemarker-marked-line"/>
        </w:rPr>
        <w:fldChar w:fldCharType="begin"/>
      </w:r>
      <w:r>
        <w:instrText xml:space="preserve"> XE "</w:instrText>
      </w:r>
      <w:r>
        <w:rPr>
          <w:lang w:val="cs-CZ"/>
        </w:rPr>
        <w:instrText>Rufus:</w:instrText>
      </w:r>
      <w:r w:rsidRPr="00147E3A">
        <w:rPr>
          <w:i/>
        </w:rPr>
        <w:instrText>In APos</w:instrText>
      </w:r>
      <w:r w:rsidRPr="00147E3A">
        <w:instrText xml:space="preserve"> 1.</w:instrText>
      </w:r>
      <w:r w:rsidRPr="00147E3A">
        <w:rPr>
          <w:rStyle w:val="linemarker-marked-line"/>
        </w:rPr>
        <w:instrText>3.S7.ad1</w:instrText>
      </w:r>
      <w:r>
        <w:instrText xml:space="preserve">" </w:instrText>
      </w:r>
      <w:r>
        <w:rPr>
          <w:rStyle w:val="linemarker-marked-line"/>
        </w:rPr>
        <w:fldChar w:fldCharType="end"/>
      </w:r>
      <w:r>
        <w:t>)</w:t>
      </w:r>
    </w:p>
  </w:footnote>
  <w:footnote w:id="393">
    <w:p w14:paraId="5D7A1629" w14:textId="77777777" w:rsidR="00CD2817" w:rsidRDefault="00CD2817">
      <w:pPr>
        <w:pStyle w:val="Textpoznpodarou"/>
      </w:pPr>
      <w:r>
        <w:rPr>
          <w:rStyle w:val="Znakapoznpodarou"/>
        </w:rPr>
        <w:footnoteRef/>
      </w:r>
      <w:r>
        <w:t xml:space="preserve"> „</w:t>
      </w:r>
      <w:r w:rsidRPr="0020605C">
        <w:t>Ad aliud dicendum secundum quosdam quod definitio illa quae est forma vel substantia, dicens principia subiecti et facta ex genere et differentia illius subiecti, haec eadem est passioni materialis.</w:t>
      </w:r>
      <w:r>
        <w:t>“ (</w:t>
      </w:r>
      <w:r w:rsidRPr="007F7A57">
        <w:rPr>
          <w:i/>
        </w:rPr>
        <w:t>In APos</w:t>
      </w:r>
      <w:r w:rsidRPr="00DC3D96">
        <w:t xml:space="preserve"> </w:t>
      </w:r>
      <w:r>
        <w:t xml:space="preserve">III.5; ed. RRP, </w:t>
      </w:r>
      <w:r>
        <w:rPr>
          <w:rStyle w:val="linemarker-marked-line"/>
        </w:rPr>
        <w:t>3.S5</w:t>
      </w:r>
      <w:r w:rsidRPr="00DC3D96">
        <w:rPr>
          <w:rStyle w:val="linemarker-marked-line"/>
        </w:rPr>
        <w:t>.ad</w:t>
      </w:r>
      <w:r>
        <w:rPr>
          <w:rStyle w:val="linemarker-marked-line"/>
        </w:rPr>
        <w:t>4</w:t>
      </w:r>
      <w:r>
        <w:rPr>
          <w:rStyle w:val="linemarker-marked-line"/>
        </w:rPr>
        <w:fldChar w:fldCharType="begin"/>
      </w:r>
      <w:r>
        <w:instrText xml:space="preserve"> XE "</w:instrText>
      </w:r>
      <w:r>
        <w:rPr>
          <w:lang w:val="cs-CZ"/>
        </w:rPr>
        <w:instrText>Rufus:</w:instrText>
      </w:r>
      <w:r w:rsidRPr="00A26A9C">
        <w:rPr>
          <w:i/>
        </w:rPr>
        <w:instrText>In APos</w:instrText>
      </w:r>
      <w:r w:rsidRPr="00A26A9C">
        <w:instrText xml:space="preserve"> </w:instrText>
      </w:r>
      <w:r w:rsidRPr="00A26A9C">
        <w:rPr>
          <w:rStyle w:val="linemarker-marked-line"/>
        </w:rPr>
        <w:instrText>3.S5.ad4</w:instrText>
      </w:r>
      <w:r>
        <w:instrText xml:space="preserve">" </w:instrText>
      </w:r>
      <w:r>
        <w:rPr>
          <w:rStyle w:val="linemarker-marked-line"/>
        </w:rPr>
        <w:fldChar w:fldCharType="end"/>
      </w:r>
      <w:r>
        <w:t>)</w:t>
      </w:r>
    </w:p>
  </w:footnote>
  <w:footnote w:id="394">
    <w:p w14:paraId="1A6C53C0" w14:textId="77777777" w:rsidR="00CD2817" w:rsidRPr="000A5637" w:rsidRDefault="00CD2817" w:rsidP="00D8456D">
      <w:pPr>
        <w:pStyle w:val="Textpoznpodarou"/>
        <w:rPr>
          <w:lang w:val="cs-CZ"/>
        </w:rPr>
      </w:pPr>
      <w:r>
        <w:rPr>
          <w:rStyle w:val="Znakapoznpodarou"/>
        </w:rPr>
        <w:footnoteRef/>
      </w:r>
      <w:r>
        <w:t xml:space="preserve"> </w:t>
      </w:r>
      <w:r>
        <w:rPr>
          <w:lang w:val="cs-CZ"/>
        </w:rPr>
        <w:t>„</w:t>
      </w:r>
      <w:r>
        <w:t>Von der Eigentümlichkeit unseres Verstandes aber, nur vermittelst der Kategorien und gerade durch diese Art und Zahl derselben Einheit der Apperzeption a priori zu Stande zu bringen, lässt sich eben so wenig ferner ein Grund angeben, als warum wir gerade diese und keine andere Funktion zu Urteilen haben, oder warum Zeit und Raum die einzigen Formen unserer möglichen Anschauung sind.“ (</w:t>
      </w:r>
      <w:r>
        <w:rPr>
          <w:lang w:val="cs-CZ"/>
        </w:rPr>
        <w:t xml:space="preserve">KdRV, </w:t>
      </w:r>
      <w:r>
        <w:t>B 145</w:t>
      </w:r>
      <w:r>
        <w:fldChar w:fldCharType="begin"/>
      </w:r>
      <w:r>
        <w:instrText xml:space="preserve"> XE "</w:instrText>
      </w:r>
      <w:r w:rsidRPr="0032481D">
        <w:rPr>
          <w:lang w:val="cs-CZ"/>
        </w:rPr>
        <w:instrText xml:space="preserve">Kant:KdRV, </w:instrText>
      </w:r>
      <w:r w:rsidRPr="0032481D">
        <w:instrText>B 145</w:instrText>
      </w:r>
      <w:r>
        <w:instrText xml:space="preserve">" </w:instrText>
      </w:r>
      <w:r>
        <w:fldChar w:fldCharType="end"/>
      </w:r>
      <w:r>
        <w:t>)</w:t>
      </w:r>
    </w:p>
  </w:footnote>
  <w:footnote w:id="395">
    <w:p w14:paraId="2FB10859" w14:textId="77777777" w:rsidR="00CD2817" w:rsidRPr="08840ADC" w:rsidRDefault="00CD2817" w:rsidP="00476731">
      <w:pPr>
        <w:pStyle w:val="Textpoznpodarou"/>
      </w:pPr>
      <w:r>
        <w:rPr>
          <w:rStyle w:val="Znakapoznpodarou"/>
        </w:rPr>
        <w:footnoteRef/>
      </w:r>
      <w:r>
        <w:t xml:space="preserve"> „</w:t>
      </w:r>
      <w:r w:rsidRPr="00562AB1">
        <w:t>Ad aliud dicendum quod quattuor sunt modi praedicandi communiter: Aut enim cum fuerit una intentio reperta in pluribus, et per naturam eandem; et tunc omnino univoce. Aut non una intentio, nec natura eadem, et tunc pure aequivoce.</w:t>
      </w:r>
      <w:r>
        <w:t>“ (</w:t>
      </w:r>
      <w:r w:rsidRPr="005765ED">
        <w:rPr>
          <w:i/>
        </w:rPr>
        <w:t>In APos</w:t>
      </w:r>
      <w:r w:rsidRPr="00DC3D96">
        <w:t xml:space="preserve"> </w:t>
      </w:r>
      <w:r>
        <w:t xml:space="preserve">II.10; ed. </w:t>
      </w:r>
      <w:r>
        <w:rPr>
          <w:rStyle w:val="TextpoznpodarouChar"/>
        </w:rPr>
        <w:t>RRP,</w:t>
      </w:r>
      <w:r>
        <w:t xml:space="preserve"> </w:t>
      </w:r>
      <w:r w:rsidRPr="0086327E">
        <w:t>2.S10</w:t>
      </w:r>
      <w:r>
        <w:t>.8.</w:t>
      </w:r>
      <w:r w:rsidRPr="00DC3D96">
        <w:rPr>
          <w:rStyle w:val="linemarker-marked-line"/>
        </w:rPr>
        <w:t>ad</w:t>
      </w:r>
      <w:r>
        <w:rPr>
          <w:rStyle w:val="linemarker-marked-line"/>
        </w:rPr>
        <w:t xml:space="preserve"> 3</w:t>
      </w:r>
      <w:r>
        <w:rPr>
          <w:rStyle w:val="linemarker-marked-line"/>
        </w:rPr>
        <w:fldChar w:fldCharType="begin"/>
      </w:r>
      <w:r>
        <w:instrText xml:space="preserve"> XE "</w:instrText>
      </w:r>
      <w:r>
        <w:rPr>
          <w:lang w:val="cs-CZ"/>
        </w:rPr>
        <w:instrText>Rufus:</w:instrText>
      </w:r>
      <w:r w:rsidRPr="00A73617">
        <w:rPr>
          <w:i/>
        </w:rPr>
        <w:instrText>In APos</w:instrText>
      </w:r>
      <w:r w:rsidRPr="00A73617">
        <w:instrText xml:space="preserve"> 2.S10.8.</w:instrText>
      </w:r>
      <w:r w:rsidRPr="00A73617">
        <w:rPr>
          <w:rStyle w:val="linemarker-marked-line"/>
        </w:rPr>
        <w:instrText>ad 3</w:instrText>
      </w:r>
      <w:r>
        <w:instrText xml:space="preserve">" </w:instrText>
      </w:r>
      <w:r>
        <w:rPr>
          <w:rStyle w:val="linemarker-marked-line"/>
        </w:rPr>
        <w:fldChar w:fldCharType="end"/>
      </w:r>
      <w:r>
        <w:t>)</w:t>
      </w:r>
    </w:p>
  </w:footnote>
  <w:footnote w:id="396">
    <w:p w14:paraId="359A15ED" w14:textId="77777777" w:rsidR="00CD2817" w:rsidRPr="0097748D" w:rsidRDefault="00CD2817" w:rsidP="00F842C4">
      <w:pPr>
        <w:pStyle w:val="Textpoznpodarou"/>
      </w:pPr>
      <w:r>
        <w:rPr>
          <w:rStyle w:val="Znakapoznpodarou"/>
        </w:rPr>
        <w:footnoteRef/>
      </w:r>
      <w:r w:rsidRPr="0097748D">
        <w:t xml:space="preserve"> „Dicendum quod individuum habet propriam essentiam superadditam essentiae speciei, sed illa essentia superaddita non est natura praedicabilis, et propterea individuum non habet naturam praedicabilem nisi per naturam speciei.“ (</w:t>
      </w:r>
      <w:r w:rsidRPr="00662285">
        <w:rPr>
          <w:i/>
        </w:rPr>
        <w:t>Memoriale</w:t>
      </w:r>
      <w:r>
        <w:rPr>
          <w:lang w:val="cs-CZ"/>
        </w:rPr>
        <w:t xml:space="preserve"> </w:t>
      </w:r>
      <w:r>
        <w:t xml:space="preserve">VII, ed. </w:t>
      </w:r>
      <w:r>
        <w:rPr>
          <w:rStyle w:val="TextpoznpodarouChar"/>
        </w:rPr>
        <w:t>RRP, 7.</w:t>
      </w:r>
      <w:r w:rsidRPr="0097748D">
        <w:t>12.5.b</w:t>
      </w:r>
      <w:r>
        <w:fldChar w:fldCharType="begin"/>
      </w:r>
      <w:r>
        <w:instrText xml:space="preserve"> XE "</w:instrText>
      </w:r>
      <w:r>
        <w:rPr>
          <w:lang w:val="cs-CZ"/>
        </w:rPr>
        <w:instrText>Rufus:</w:instrText>
      </w:r>
      <w:r w:rsidRPr="0005411C">
        <w:rPr>
          <w:i/>
        </w:rPr>
        <w:instrText>Memoriale</w:instrText>
      </w:r>
      <w:r w:rsidRPr="0005411C">
        <w:rPr>
          <w:lang w:val="cs-CZ"/>
        </w:rPr>
        <w:instrText xml:space="preserve"> </w:instrText>
      </w:r>
      <w:r w:rsidRPr="0005411C">
        <w:rPr>
          <w:rStyle w:val="TextpoznpodarouChar"/>
        </w:rPr>
        <w:instrText>7.</w:instrText>
      </w:r>
      <w:r w:rsidRPr="0005411C">
        <w:instrText>12.5.b</w:instrText>
      </w:r>
      <w:r>
        <w:instrText xml:space="preserve">" </w:instrText>
      </w:r>
      <w:r>
        <w:fldChar w:fldCharType="end"/>
      </w:r>
      <w:r w:rsidRPr="0097748D">
        <w:t>)</w:t>
      </w:r>
    </w:p>
  </w:footnote>
  <w:footnote w:id="397">
    <w:p w14:paraId="7347E588" w14:textId="77777777" w:rsidR="00CD2817" w:rsidRDefault="00CD2817">
      <w:pPr>
        <w:pStyle w:val="Textpoznpodarou"/>
      </w:pPr>
      <w:r>
        <w:rPr>
          <w:rStyle w:val="Znakapoznpodarou"/>
        </w:rPr>
        <w:footnoteRef/>
      </w:r>
      <w:r>
        <w:t xml:space="preserve"> „</w:t>
      </w:r>
      <w:r w:rsidRPr="00562AB1">
        <w:t>Aut medio modo, et hoc dupliciter: aut scilicet cum intentio eadem in pluribus sed per naturam diversam, ut in hoc nomine 'quantitas', quia omnis quantitas communicat in hac intentione quae est mensura. Sed haec intentio in numero causatur a natura unitatis: in magnitudine autem a natura puncti; in tempore autem a natura instantis.</w:t>
      </w:r>
      <w:r>
        <w:t>“ (</w:t>
      </w:r>
      <w:r w:rsidRPr="001B0960">
        <w:rPr>
          <w:i/>
        </w:rPr>
        <w:t>In APos</w:t>
      </w:r>
      <w:r w:rsidRPr="00DC3D96">
        <w:t xml:space="preserve"> </w:t>
      </w:r>
      <w:r>
        <w:t xml:space="preserve">II.10; ed. </w:t>
      </w:r>
      <w:r w:rsidRPr="00DD39FF">
        <w:t xml:space="preserve">RRP, </w:t>
      </w:r>
      <w:r w:rsidRPr="0086327E">
        <w:t>2.S10</w:t>
      </w:r>
      <w:r>
        <w:t>.8.</w:t>
      </w:r>
      <w:r w:rsidRPr="00DC3D96">
        <w:rPr>
          <w:rStyle w:val="linemarker-marked-line"/>
        </w:rPr>
        <w:t>ad</w:t>
      </w:r>
      <w:r>
        <w:rPr>
          <w:rStyle w:val="linemarker-marked-line"/>
        </w:rPr>
        <w:t xml:space="preserve"> 3</w:t>
      </w:r>
      <w:r>
        <w:rPr>
          <w:rStyle w:val="linemarker-marked-line"/>
        </w:rPr>
        <w:fldChar w:fldCharType="begin"/>
      </w:r>
      <w:r>
        <w:instrText xml:space="preserve"> XE "</w:instrText>
      </w:r>
      <w:r>
        <w:rPr>
          <w:lang w:val="cs-CZ"/>
        </w:rPr>
        <w:instrText>Rufus:</w:instrText>
      </w:r>
      <w:r w:rsidRPr="001F3B9C">
        <w:rPr>
          <w:i/>
        </w:rPr>
        <w:instrText>In APos</w:instrText>
      </w:r>
      <w:r w:rsidRPr="001F3B9C">
        <w:instrText xml:space="preserve"> 2.S10.8.</w:instrText>
      </w:r>
      <w:r w:rsidRPr="001F3B9C">
        <w:rPr>
          <w:rStyle w:val="linemarker-marked-line"/>
        </w:rPr>
        <w:instrText>ad 3</w:instrText>
      </w:r>
      <w:r>
        <w:instrText xml:space="preserve">" </w:instrText>
      </w:r>
      <w:r>
        <w:rPr>
          <w:rStyle w:val="linemarker-marked-line"/>
        </w:rPr>
        <w:fldChar w:fldCharType="end"/>
      </w:r>
      <w:r w:rsidRPr="00DD39FF">
        <w:t>)</w:t>
      </w:r>
    </w:p>
  </w:footnote>
  <w:footnote w:id="398">
    <w:p w14:paraId="283D9AB4" w14:textId="77777777" w:rsidR="00CD2817" w:rsidRDefault="00CD2817" w:rsidP="008570B0">
      <w:pPr>
        <w:pStyle w:val="Textpoznpodarou"/>
      </w:pPr>
      <w:r>
        <w:rPr>
          <w:rStyle w:val="Znakapoznpodarou"/>
        </w:rPr>
        <w:footnoteRef/>
      </w:r>
      <w:r>
        <w:t xml:space="preserve"> „</w:t>
      </w:r>
      <w:r>
        <w:rPr>
          <w:lang w:val="cs-CZ"/>
        </w:rPr>
        <w:t>D</w:t>
      </w:r>
      <w:r>
        <w:t>ico 'homo'</w:t>
      </w:r>
      <w:r w:rsidRPr="00E46C62">
        <w:t>, et quaelibet species specialissima</w:t>
      </w:r>
      <w:r>
        <w:fldChar w:fldCharType="begin"/>
      </w:r>
      <w:r>
        <w:instrText xml:space="preserve"> XE "</w:instrText>
      </w:r>
      <w:r w:rsidRPr="00A94442">
        <w:rPr>
          <w:i/>
        </w:rPr>
        <w:instrText>species specialissima</w:instrText>
      </w:r>
      <w:r>
        <w:instrText xml:space="preserve">" </w:instrText>
      </w:r>
      <w:r>
        <w:fldChar w:fldCharType="end"/>
      </w:r>
      <w:r w:rsidRPr="00E46C62">
        <w:t>, dupliciter potest dividi per individua: aut scilicet per individua actualiter exsistentia, aut habitualiter. Licet ergo non semper dividatur per individua actualiter exsistentia, dividitur tamen per indiv</w:t>
      </w:r>
      <w:r>
        <w:t>idua habitualiter exsistentia ‒</w:t>
      </w:r>
      <w:r w:rsidRPr="00E46C62">
        <w:t xml:space="preserve"> ut homo in Sorte et homo in Platone.</w:t>
      </w:r>
      <w:r>
        <w:t>“ (</w:t>
      </w:r>
      <w:r w:rsidRPr="00E46566">
        <w:rPr>
          <w:i/>
        </w:rPr>
        <w:t>In APos</w:t>
      </w:r>
      <w:r>
        <w:t xml:space="preserve"> I.2</w:t>
      </w:r>
      <w:r>
        <w:rPr>
          <w:lang w:val="cs-CZ"/>
        </w:rPr>
        <w:t>;</w:t>
      </w:r>
      <w:r>
        <w:t xml:space="preserve"> ed. RRP, 1.2.S6.ad3</w:t>
      </w:r>
      <w:r>
        <w:fldChar w:fldCharType="begin"/>
      </w:r>
      <w:r>
        <w:instrText xml:space="preserve"> XE "</w:instrText>
      </w:r>
      <w:r>
        <w:rPr>
          <w:lang w:val="cs-CZ"/>
        </w:rPr>
        <w:instrText>Rufus:</w:instrText>
      </w:r>
      <w:r w:rsidRPr="00633DCF">
        <w:rPr>
          <w:i/>
        </w:rPr>
        <w:instrText>In APos</w:instrText>
      </w:r>
      <w:r w:rsidRPr="00633DCF">
        <w:instrText xml:space="preserve"> 1.2.S6.ad3</w:instrText>
      </w:r>
      <w:r>
        <w:instrText xml:space="preserve">" </w:instrText>
      </w:r>
      <w:r>
        <w:fldChar w:fldCharType="end"/>
      </w:r>
      <w:r>
        <w:t>)</w:t>
      </w:r>
    </w:p>
  </w:footnote>
  <w:footnote w:id="399">
    <w:p w14:paraId="2D1F0A7B" w14:textId="77777777" w:rsidR="00CD2817" w:rsidRPr="006C736B" w:rsidRDefault="00CD2817" w:rsidP="00E80316">
      <w:pPr>
        <w:pStyle w:val="Textpoznpodarou"/>
      </w:pPr>
      <w:r>
        <w:rPr>
          <w:rStyle w:val="Znakapoznpodarou"/>
        </w:rPr>
        <w:footnoteRef/>
      </w:r>
      <w:r>
        <w:rPr>
          <w:rStyle w:val="linemarker-marked-line"/>
        </w:rPr>
        <w:t xml:space="preserve"> </w:t>
      </w:r>
      <w:r>
        <w:rPr>
          <w:rStyle w:val="linemarker-marked-line"/>
          <w:lang w:val="cs-CZ"/>
        </w:rPr>
        <w:t>„I</w:t>
      </w:r>
      <w:r w:rsidRPr="006C736B">
        <w:t xml:space="preserve">ndividuum non est huiusmodi (non enim habet formam praedicabilem aliam a forma speciei), et omnis talis est definitio </w:t>
      </w:r>
      <w:r w:rsidRPr="006C736B">
        <w:rPr>
          <w:rStyle w:val="linemarker-marked-line"/>
        </w:rPr>
        <w:t>quod habet formam praedicabilem per se et completam, cuiusmodi est species specialissima et nihil aliud, propterea sciendum quod individuum non habet definitionem.“</w:t>
      </w:r>
      <w:r>
        <w:rPr>
          <w:rStyle w:val="linemarker-marked-line"/>
        </w:rPr>
        <w:t xml:space="preserve"> (</w:t>
      </w:r>
      <w:r w:rsidRPr="0021688D">
        <w:rPr>
          <w:rStyle w:val="linemarker-marked-line"/>
          <w:i/>
        </w:rPr>
        <w:t>Memoriale</w:t>
      </w:r>
      <w:r>
        <w:rPr>
          <w:rStyle w:val="linemarker-marked-line"/>
          <w:lang w:val="cs-CZ"/>
        </w:rPr>
        <w:t xml:space="preserve"> </w:t>
      </w:r>
      <w:r>
        <w:rPr>
          <w:rStyle w:val="linemarker-marked-line"/>
        </w:rPr>
        <w:t>VII</w:t>
      </w:r>
      <w:r>
        <w:t xml:space="preserve">; ed. </w:t>
      </w:r>
      <w:r>
        <w:rPr>
          <w:rStyle w:val="TextpoznpodarouChar"/>
        </w:rPr>
        <w:t xml:space="preserve">RRP, </w:t>
      </w:r>
      <w:r>
        <w:rPr>
          <w:rStyle w:val="linemarker-marked-line"/>
        </w:rPr>
        <w:t>7.14</w:t>
      </w:r>
      <w:r>
        <w:rPr>
          <w:rStyle w:val="linemarker-marked-line"/>
        </w:rPr>
        <w:fldChar w:fldCharType="begin"/>
      </w:r>
      <w:r>
        <w:instrText xml:space="preserve"> XE "</w:instrText>
      </w:r>
      <w:r>
        <w:rPr>
          <w:lang w:val="cs-CZ"/>
        </w:rPr>
        <w:instrText>Rufus:</w:instrText>
      </w:r>
      <w:r w:rsidRPr="000F2237">
        <w:rPr>
          <w:rStyle w:val="linemarker-marked-line"/>
          <w:i/>
        </w:rPr>
        <w:instrText>Memoriale</w:instrText>
      </w:r>
      <w:r w:rsidRPr="000F2237">
        <w:rPr>
          <w:rStyle w:val="linemarker-marked-line"/>
          <w:lang w:val="cs-CZ"/>
        </w:rPr>
        <w:instrText xml:space="preserve"> </w:instrText>
      </w:r>
      <w:r w:rsidRPr="000F2237">
        <w:rPr>
          <w:rStyle w:val="linemarker-marked-line"/>
        </w:rPr>
        <w:instrText>7.14</w:instrText>
      </w:r>
      <w:r>
        <w:instrText xml:space="preserve">" </w:instrText>
      </w:r>
      <w:r>
        <w:rPr>
          <w:rStyle w:val="linemarker-marked-line"/>
        </w:rPr>
        <w:fldChar w:fldCharType="end"/>
      </w:r>
      <w:r>
        <w:rPr>
          <w:rStyle w:val="linemarker-marked-line"/>
        </w:rPr>
        <w:t>)</w:t>
      </w:r>
    </w:p>
  </w:footnote>
  <w:footnote w:id="400">
    <w:p w14:paraId="5785616B" w14:textId="77777777" w:rsidR="00CD2817" w:rsidRDefault="00CD2817" w:rsidP="006643C0">
      <w:pPr>
        <w:pStyle w:val="Textpoznpodarou"/>
      </w:pPr>
      <w:r>
        <w:rPr>
          <w:rStyle w:val="Znakapoznpodarou"/>
        </w:rPr>
        <w:footnoteRef/>
      </w:r>
      <w:r>
        <w:t xml:space="preserve"> </w:t>
      </w:r>
      <w:r>
        <w:rPr>
          <w:rStyle w:val="linemarker-marked-line"/>
        </w:rPr>
        <w:t>„</w:t>
      </w:r>
      <w:r w:rsidRPr="00DC3D96">
        <w:rPr>
          <w:rStyle w:val="linemarker-marked-line"/>
        </w:rPr>
        <w:t>Sed potest melius dici quod nomine definitionis i</w:t>
      </w:r>
      <w:r>
        <w:rPr>
          <w:rStyle w:val="linemarker-marked-line"/>
        </w:rPr>
        <w:t>ntelligit huiusmodi orationes '</w:t>
      </w:r>
      <w:r w:rsidRPr="00DC3D96">
        <w:rPr>
          <w:rStyle w:val="linemarker-marked-line"/>
        </w:rPr>
        <w:t>ho</w:t>
      </w:r>
      <w:r>
        <w:rPr>
          <w:rStyle w:val="linemarker-marked-line"/>
        </w:rPr>
        <w:t>mo est animal rationale mortale'</w:t>
      </w:r>
      <w:r w:rsidRPr="00DC3D96">
        <w:rPr>
          <w:rStyle w:val="linemarker-marked-line"/>
        </w:rPr>
        <w:t xml:space="preserve">. </w:t>
      </w:r>
      <w:r w:rsidRPr="00DC3D96">
        <w:t xml:space="preserve">Et licet huiusmodi oratio intendat probare et componere hoc de hoc, tamen </w:t>
      </w:r>
      <w:r w:rsidRPr="00DC3D96">
        <w:rPr>
          <w:rStyle w:val="linemarker-marked-line"/>
        </w:rPr>
        <w:t>ultima intentio est ut cognoscatur primum subiectum simpliciter in se.</w:t>
      </w:r>
      <w:r>
        <w:rPr>
          <w:rStyle w:val="linemarker-marked-line"/>
        </w:rPr>
        <w:t>“</w:t>
      </w:r>
      <w:r w:rsidRPr="00DC3D96">
        <w:rPr>
          <w:rStyle w:val="linemarker-marked-line"/>
        </w:rPr>
        <w:t xml:space="preserve"> (</w:t>
      </w:r>
      <w:r w:rsidRPr="00E90F89">
        <w:rPr>
          <w:i/>
        </w:rPr>
        <w:t>In APos</w:t>
      </w:r>
      <w:r w:rsidRPr="00DC3D96">
        <w:t xml:space="preserve"> </w:t>
      </w:r>
      <w:r>
        <w:t xml:space="preserve">I.2; ed. </w:t>
      </w:r>
      <w:r w:rsidRPr="00123FB4">
        <w:t xml:space="preserve">RRP, </w:t>
      </w:r>
      <w:r>
        <w:t>1.</w:t>
      </w:r>
      <w:r w:rsidRPr="00DC3D96">
        <w:rPr>
          <w:rStyle w:val="linemarker-marked-line"/>
        </w:rPr>
        <w:t>2.S4.ad4</w:t>
      </w:r>
      <w:r>
        <w:rPr>
          <w:rStyle w:val="linemarker-marked-line"/>
        </w:rPr>
        <w:fldChar w:fldCharType="begin"/>
      </w:r>
      <w:r>
        <w:instrText xml:space="preserve"> XE "</w:instrText>
      </w:r>
      <w:r>
        <w:rPr>
          <w:lang w:val="cs-CZ"/>
        </w:rPr>
        <w:instrText>Rufus:</w:instrText>
      </w:r>
      <w:r w:rsidRPr="00F468CC">
        <w:rPr>
          <w:i/>
        </w:rPr>
        <w:instrText>In APos</w:instrText>
      </w:r>
      <w:r w:rsidRPr="00F468CC">
        <w:instrText xml:space="preserve"> 1.</w:instrText>
      </w:r>
      <w:r w:rsidRPr="00F468CC">
        <w:rPr>
          <w:rStyle w:val="linemarker-marked-line"/>
        </w:rPr>
        <w:instrText>2.S4.ad4</w:instrText>
      </w:r>
      <w:r>
        <w:instrText xml:space="preserve">" </w:instrText>
      </w:r>
      <w:r>
        <w:rPr>
          <w:rStyle w:val="linemarker-marked-line"/>
        </w:rPr>
        <w:fldChar w:fldCharType="end"/>
      </w:r>
      <w:r w:rsidRPr="00DC3D96">
        <w:rPr>
          <w:rStyle w:val="linemarker-marked-line"/>
        </w:rPr>
        <w:t>)</w:t>
      </w:r>
    </w:p>
  </w:footnote>
  <w:footnote w:id="401">
    <w:p w14:paraId="32F73870" w14:textId="77777777" w:rsidR="00CD2817" w:rsidRDefault="00CD2817" w:rsidP="08313FAC">
      <w:pPr>
        <w:pStyle w:val="Textpoznpodarou"/>
      </w:pPr>
      <w:r>
        <w:rPr>
          <w:rStyle w:val="Znakapoznpodarou"/>
        </w:rPr>
        <w:footnoteRef/>
      </w:r>
      <w:r>
        <w:t xml:space="preserve"> </w:t>
      </w:r>
      <w:r w:rsidRPr="00F71D66">
        <w:t>„</w:t>
      </w:r>
      <w:r>
        <w:t>Ad aliud</w:t>
      </w:r>
      <w:r w:rsidRPr="00244C5B">
        <w:t xml:space="preserve"> dicendum quod est notificare individuum per propria principia individuantia, et sic non intellexit Porphyrius; aut per principia exterius ad cognitionem conferentia, et sic intellexit Porphyrius, secundum quod habetu</w:t>
      </w:r>
      <w:r>
        <w:t xml:space="preserve">r ab Aristotele in I De anima: </w:t>
      </w:r>
      <w:r w:rsidRPr="00244C5B">
        <w:t xml:space="preserve">«accidentia magnam partem conferunt ad cognoscendum quod quid est»…” </w:t>
      </w:r>
      <w:r w:rsidRPr="00F71D66">
        <w:t>(</w:t>
      </w:r>
      <w:r w:rsidRPr="009B426C">
        <w:rPr>
          <w:i/>
        </w:rPr>
        <w:t>Memoriale</w:t>
      </w:r>
      <w:r>
        <w:rPr>
          <w:lang w:val="cs-CZ"/>
        </w:rPr>
        <w:t xml:space="preserve"> </w:t>
      </w:r>
      <w:r>
        <w:t>VII</w:t>
      </w:r>
      <w:r>
        <w:rPr>
          <w:lang w:val="cs-CZ"/>
        </w:rPr>
        <w:t>;</w:t>
      </w:r>
      <w:r>
        <w:t xml:space="preserve"> ed. </w:t>
      </w:r>
      <w:r w:rsidRPr="007E4353">
        <w:t>RRP, 7.</w:t>
      </w:r>
      <w:r>
        <w:t>10.3</w:t>
      </w:r>
      <w:r>
        <w:fldChar w:fldCharType="begin"/>
      </w:r>
      <w:r>
        <w:instrText xml:space="preserve"> XE "</w:instrText>
      </w:r>
      <w:r>
        <w:rPr>
          <w:lang w:val="cs-CZ"/>
        </w:rPr>
        <w:instrText>Rufus:</w:instrText>
      </w:r>
      <w:r w:rsidRPr="00F82569">
        <w:rPr>
          <w:i/>
        </w:rPr>
        <w:instrText>Memoriale</w:instrText>
      </w:r>
      <w:r w:rsidRPr="00F82569">
        <w:rPr>
          <w:lang w:val="cs-CZ"/>
        </w:rPr>
        <w:instrText xml:space="preserve"> </w:instrText>
      </w:r>
      <w:r w:rsidRPr="00F82569">
        <w:instrText>7.10.3</w:instrText>
      </w:r>
      <w:r>
        <w:instrText xml:space="preserve">" </w:instrText>
      </w:r>
      <w:r>
        <w:fldChar w:fldCharType="end"/>
      </w:r>
      <w:r>
        <w:t>)</w:t>
      </w:r>
    </w:p>
  </w:footnote>
  <w:footnote w:id="402">
    <w:p w14:paraId="513CF01C" w14:textId="77777777" w:rsidR="00CD2817" w:rsidRDefault="00CD2817" w:rsidP="082B2511">
      <w:pPr>
        <w:pStyle w:val="Textpoznpodarou"/>
      </w:pPr>
      <w:r>
        <w:rPr>
          <w:rStyle w:val="Znakapoznpodarou"/>
        </w:rPr>
        <w:footnoteRef/>
      </w:r>
      <w:r>
        <w:t xml:space="preserve"> </w:t>
      </w:r>
      <w:r>
        <w:rPr>
          <w:szCs w:val="29"/>
        </w:rPr>
        <w:t>„Q</w:t>
      </w:r>
      <w:r w:rsidRPr="00C26001">
        <w:rPr>
          <w:szCs w:val="24"/>
        </w:rPr>
        <w:t xml:space="preserve">uedam </w:t>
      </w:r>
      <w:r w:rsidRPr="00C26001">
        <w:t xml:space="preserve">est </w:t>
      </w:r>
      <w:r w:rsidRPr="00C26001">
        <w:rPr>
          <w:szCs w:val="18"/>
        </w:rPr>
        <w:t xml:space="preserve">veritas </w:t>
      </w:r>
      <w:r w:rsidRPr="00C26001">
        <w:t>in</w:t>
      </w:r>
      <w:r w:rsidRPr="00C26001">
        <w:rPr>
          <w:szCs w:val="21"/>
        </w:rPr>
        <w:t>complexa,</w:t>
      </w:r>
      <w:r>
        <w:rPr>
          <w:szCs w:val="21"/>
        </w:rPr>
        <w:t xml:space="preserve"> </w:t>
      </w:r>
      <w:r w:rsidRPr="00C26001">
        <w:rPr>
          <w:szCs w:val="21"/>
        </w:rPr>
        <w:t xml:space="preserve">de </w:t>
      </w:r>
      <w:r w:rsidRPr="00C26001">
        <w:rPr>
          <w:szCs w:val="22"/>
        </w:rPr>
        <w:t xml:space="preserve">qua </w:t>
      </w:r>
      <w:r w:rsidRPr="00C26001">
        <w:t xml:space="preserve">dicitur </w:t>
      </w:r>
      <w:r w:rsidRPr="00C26001">
        <w:rPr>
          <w:szCs w:val="24"/>
        </w:rPr>
        <w:t xml:space="preserve">quod </w:t>
      </w:r>
      <w:r w:rsidRPr="00C26001">
        <w:rPr>
          <w:szCs w:val="18"/>
        </w:rPr>
        <w:t xml:space="preserve">veritas </w:t>
      </w:r>
      <w:r w:rsidRPr="00C26001">
        <w:t xml:space="preserve">est </w:t>
      </w:r>
      <w:r w:rsidRPr="00C26001">
        <w:rPr>
          <w:szCs w:val="16"/>
        </w:rPr>
        <w:t xml:space="preserve">rei </w:t>
      </w:r>
      <w:r>
        <w:rPr>
          <w:szCs w:val="18"/>
        </w:rPr>
        <w:t>entitas</w:t>
      </w:r>
      <w:r w:rsidRPr="00C26001">
        <w:rPr>
          <w:szCs w:val="6"/>
        </w:rPr>
        <w:t xml:space="preserve">; </w:t>
      </w:r>
      <w:r w:rsidRPr="00C26001">
        <w:rPr>
          <w:szCs w:val="16"/>
        </w:rPr>
        <w:t>alia</w:t>
      </w:r>
      <w:r>
        <w:rPr>
          <w:szCs w:val="16"/>
        </w:rPr>
        <w:t xml:space="preserve"> </w:t>
      </w:r>
      <w:r w:rsidRPr="00C26001">
        <w:t xml:space="preserve">est </w:t>
      </w:r>
      <w:r w:rsidRPr="00C26001">
        <w:rPr>
          <w:szCs w:val="21"/>
        </w:rPr>
        <w:t xml:space="preserve">complexa. </w:t>
      </w:r>
      <w:r w:rsidRPr="00C26001">
        <w:rPr>
          <w:szCs w:val="22"/>
        </w:rPr>
        <w:t xml:space="preserve">Et </w:t>
      </w:r>
      <w:r w:rsidRPr="00C26001">
        <w:rPr>
          <w:szCs w:val="21"/>
        </w:rPr>
        <w:t xml:space="preserve">hec </w:t>
      </w:r>
      <w:r>
        <w:rPr>
          <w:szCs w:val="18"/>
        </w:rPr>
        <w:t>dupliciter refertur</w:t>
      </w:r>
      <w:r w:rsidRPr="00C26001">
        <w:rPr>
          <w:szCs w:val="6"/>
        </w:rPr>
        <w:t xml:space="preserve">; </w:t>
      </w:r>
      <w:r w:rsidRPr="00C26001">
        <w:rPr>
          <w:szCs w:val="19"/>
        </w:rPr>
        <w:t xml:space="preserve">potest </w:t>
      </w:r>
      <w:r w:rsidRPr="00C26001">
        <w:rPr>
          <w:szCs w:val="22"/>
        </w:rPr>
        <w:t>enim</w:t>
      </w:r>
      <w:r>
        <w:rPr>
          <w:szCs w:val="22"/>
        </w:rPr>
        <w:t xml:space="preserve"> </w:t>
      </w:r>
      <w:r w:rsidRPr="00C26001">
        <w:t xml:space="preserve">referri </w:t>
      </w:r>
      <w:r w:rsidRPr="00C26001">
        <w:rPr>
          <w:szCs w:val="22"/>
        </w:rPr>
        <w:t xml:space="preserve">ad </w:t>
      </w:r>
      <w:r w:rsidRPr="00C26001">
        <w:t xml:space="preserve">res </w:t>
      </w:r>
      <w:r w:rsidRPr="00C26001">
        <w:rPr>
          <w:szCs w:val="23"/>
        </w:rPr>
        <w:t xml:space="preserve">tanquam </w:t>
      </w:r>
      <w:r w:rsidRPr="00C26001">
        <w:rPr>
          <w:szCs w:val="21"/>
        </w:rPr>
        <w:t xml:space="preserve">ad </w:t>
      </w:r>
      <w:r w:rsidRPr="00C26001">
        <w:t xml:space="preserve">subjectum, </w:t>
      </w:r>
      <w:r w:rsidRPr="00C26001">
        <w:rPr>
          <w:szCs w:val="16"/>
        </w:rPr>
        <w:t xml:space="preserve">et </w:t>
      </w:r>
      <w:r w:rsidRPr="00C26001">
        <w:rPr>
          <w:szCs w:val="21"/>
        </w:rPr>
        <w:t xml:space="preserve">hoc </w:t>
      </w:r>
      <w:r w:rsidRPr="00C26001">
        <w:rPr>
          <w:szCs w:val="26"/>
        </w:rPr>
        <w:t xml:space="preserve">modo </w:t>
      </w:r>
      <w:r w:rsidRPr="00C26001">
        <w:rPr>
          <w:szCs w:val="18"/>
        </w:rPr>
        <w:t>dicitur</w:t>
      </w:r>
      <w:r>
        <w:rPr>
          <w:szCs w:val="18"/>
        </w:rPr>
        <w:t xml:space="preserve"> </w:t>
      </w:r>
      <w:r>
        <w:t>'</w:t>
      </w:r>
      <w:r w:rsidRPr="00C26001">
        <w:rPr>
          <w:szCs w:val="18"/>
        </w:rPr>
        <w:t xml:space="preserve">veritas </w:t>
      </w:r>
      <w:r w:rsidRPr="00C26001">
        <w:t xml:space="preserve">est adequatio </w:t>
      </w:r>
      <w:r>
        <w:rPr>
          <w:szCs w:val="22"/>
        </w:rPr>
        <w:t>rerum</w:t>
      </w:r>
      <w:r w:rsidRPr="00C26001">
        <w:rPr>
          <w:szCs w:val="5"/>
        </w:rPr>
        <w:t>'</w:t>
      </w:r>
      <w:r w:rsidRPr="00C26001">
        <w:rPr>
          <w:szCs w:val="6"/>
        </w:rPr>
        <w:t xml:space="preserve">; </w:t>
      </w:r>
      <w:r w:rsidRPr="00C26001">
        <w:rPr>
          <w:szCs w:val="18"/>
        </w:rPr>
        <w:t xml:space="preserve">vel refertur </w:t>
      </w:r>
      <w:r w:rsidRPr="00C26001">
        <w:rPr>
          <w:szCs w:val="22"/>
        </w:rPr>
        <w:t xml:space="preserve">ad </w:t>
      </w:r>
      <w:r w:rsidRPr="00C26001">
        <w:rPr>
          <w:szCs w:val="24"/>
        </w:rPr>
        <w:t xml:space="preserve">animam </w:t>
      </w:r>
      <w:r w:rsidRPr="00C26001">
        <w:rPr>
          <w:szCs w:val="21"/>
        </w:rPr>
        <w:t xml:space="preserve">cognoscentem, </w:t>
      </w:r>
      <w:r w:rsidRPr="00C26001">
        <w:t xml:space="preserve">et </w:t>
      </w:r>
      <w:r w:rsidRPr="00C26001">
        <w:rPr>
          <w:szCs w:val="16"/>
        </w:rPr>
        <w:t xml:space="preserve">sic </w:t>
      </w:r>
      <w:r w:rsidRPr="00C26001">
        <w:rPr>
          <w:szCs w:val="18"/>
        </w:rPr>
        <w:t xml:space="preserve">dicitur </w:t>
      </w:r>
      <w:r>
        <w:rPr>
          <w:szCs w:val="18"/>
        </w:rPr>
        <w:t>'</w:t>
      </w:r>
      <w:r w:rsidRPr="00C26001">
        <w:t xml:space="preserve">veritas est </w:t>
      </w:r>
      <w:r>
        <w:rPr>
          <w:szCs w:val="19"/>
        </w:rPr>
        <w:t>rectitudo'</w:t>
      </w:r>
      <w:r w:rsidRPr="00C26001">
        <w:rPr>
          <w:szCs w:val="14"/>
        </w:rPr>
        <w:t>.</w:t>
      </w:r>
      <w:r>
        <w:rPr>
          <w:szCs w:val="14"/>
        </w:rPr>
        <w:t>“ (</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2, solutio; ed. Steele, </w:t>
      </w:r>
      <w:r w:rsidRPr="08423348">
        <w:rPr>
          <w:szCs w:val="35"/>
        </w:rPr>
        <w:t xml:space="preserve">OHI </w:t>
      </w:r>
      <w:r>
        <w:rPr>
          <w:szCs w:val="35"/>
        </w:rPr>
        <w:t xml:space="preserve">11, </w:t>
      </w:r>
      <w:r>
        <w:rPr>
          <w:szCs w:val="14"/>
        </w:rPr>
        <w:t>34.11‒16</w:t>
      </w:r>
      <w:r>
        <w:fldChar w:fldCharType="begin"/>
      </w:r>
      <w:r>
        <w:instrText xml:space="preserve"> XE "</w:instrText>
      </w:r>
      <w:r>
        <w:rPr>
          <w:lang w:val="cs-CZ"/>
        </w:rPr>
        <w:instrText>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lang w:val="cs-CZ"/>
        </w:rPr>
        <w:instrText xml:space="preserve"> </w:instrText>
      </w:r>
      <w:r>
        <w:rPr>
          <w:szCs w:val="14"/>
        </w:rPr>
        <w:instrText>34.11‒16</w:instrText>
      </w:r>
      <w:r>
        <w:instrText xml:space="preserve">" </w:instrText>
      </w:r>
      <w:r>
        <w:fldChar w:fldCharType="end"/>
      </w:r>
      <w:r>
        <w:rPr>
          <w:szCs w:val="14"/>
        </w:rPr>
        <w:t>)</w:t>
      </w:r>
    </w:p>
  </w:footnote>
  <w:footnote w:id="403">
    <w:p w14:paraId="29D450B1" w14:textId="77777777" w:rsidR="00CD2817" w:rsidRPr="08CB6543" w:rsidRDefault="00CD2817" w:rsidP="08CB6543">
      <w:pPr>
        <w:pStyle w:val="Textpoznpodarou"/>
        <w:rPr>
          <w:lang w:val="cs-CZ"/>
        </w:rPr>
      </w:pPr>
      <w:r>
        <w:rPr>
          <w:rStyle w:val="Znakapoznpodarou"/>
        </w:rPr>
        <w:footnoteRef/>
      </w:r>
      <w:r>
        <w:t xml:space="preserve"> </w:t>
      </w:r>
      <w:r>
        <w:rPr>
          <w:lang w:val="cs-CZ"/>
        </w:rPr>
        <w:t>„</w:t>
      </w:r>
      <w:r w:rsidRPr="08CB6543">
        <w:rPr>
          <w:lang w:val="cs-CZ"/>
        </w:rPr>
        <w:t>Set quia methaphysicus considerat primum exitum, propter hoc unam solam causam efficientem secundum methaphysicum est ponere, scilicet primam causam. Ad primam rationem contra hoc dicendum, quod quedam sunt principia ad que stat resolutio esse actualis et naturalis rerum, et sic stat ad materiam et formam ; alia est reductio entium in quantum entia sunt ad principium eorum productivum et non componens, et sic</w:t>
      </w:r>
      <w:r>
        <w:rPr>
          <w:lang w:val="cs-CZ"/>
        </w:rPr>
        <w:t xml:space="preserve"> </w:t>
      </w:r>
      <w:r w:rsidRPr="08CB6543">
        <w:rPr>
          <w:lang w:val="cs-CZ"/>
        </w:rPr>
        <w:t>omnia ad principium reducuntur vel resolvuntur.</w:t>
      </w:r>
      <w:r>
        <w:rPr>
          <w:lang w:val="cs-CZ"/>
        </w:rPr>
        <w:t xml:space="preserve">“ </w:t>
      </w:r>
      <w:r>
        <w:rPr>
          <w:szCs w:val="14"/>
        </w:rPr>
        <w:t>(</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w:t>
      </w:r>
      <w:r>
        <w:rPr>
          <w:szCs w:val="31"/>
          <w:lang w:val="cs-CZ"/>
        </w:rPr>
        <w:t>10</w:t>
      </w:r>
      <w:r>
        <w:rPr>
          <w:szCs w:val="31"/>
        </w:rPr>
        <w:t xml:space="preserve">, solutio; ed. Steele, </w:t>
      </w:r>
      <w:r w:rsidRPr="08423348">
        <w:rPr>
          <w:szCs w:val="35"/>
        </w:rPr>
        <w:t xml:space="preserve">OHI </w:t>
      </w:r>
      <w:r>
        <w:rPr>
          <w:szCs w:val="35"/>
        </w:rPr>
        <w:t xml:space="preserve">11, </w:t>
      </w:r>
      <w:r>
        <w:rPr>
          <w:szCs w:val="14"/>
          <w:lang w:val="cs-CZ"/>
        </w:rPr>
        <w:t>51</w:t>
      </w:r>
      <w:r>
        <w:rPr>
          <w:szCs w:val="14"/>
        </w:rPr>
        <w:t>.</w:t>
      </w:r>
      <w:r>
        <w:rPr>
          <w:szCs w:val="14"/>
          <w:lang w:val="cs-CZ"/>
        </w:rPr>
        <w:t>27</w:t>
      </w:r>
      <w:r>
        <w:rPr>
          <w:szCs w:val="14"/>
        </w:rPr>
        <w:t>‒</w:t>
      </w:r>
      <w:r>
        <w:rPr>
          <w:szCs w:val="14"/>
          <w:lang w:val="cs-CZ"/>
        </w:rPr>
        <w:t>35</w:t>
      </w:r>
      <w:r>
        <w:fldChar w:fldCharType="begin"/>
      </w:r>
      <w:r>
        <w:instrText xml:space="preserve"> XE "</w:instrText>
      </w:r>
      <w:r>
        <w:rPr>
          <w:lang w:val="cs-CZ"/>
        </w:rPr>
        <w:instrText>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lang w:val="cs-CZ"/>
        </w:rPr>
        <w:instrText xml:space="preserve"> </w:instrText>
      </w:r>
      <w:r>
        <w:rPr>
          <w:szCs w:val="14"/>
          <w:lang w:val="cs-CZ"/>
        </w:rPr>
        <w:instrText>51</w:instrText>
      </w:r>
      <w:r>
        <w:rPr>
          <w:szCs w:val="14"/>
        </w:rPr>
        <w:instrText>.</w:instrText>
      </w:r>
      <w:r>
        <w:rPr>
          <w:szCs w:val="14"/>
          <w:lang w:val="cs-CZ"/>
        </w:rPr>
        <w:instrText>27</w:instrText>
      </w:r>
      <w:r>
        <w:rPr>
          <w:szCs w:val="14"/>
        </w:rPr>
        <w:instrText>‒</w:instrText>
      </w:r>
      <w:r>
        <w:rPr>
          <w:szCs w:val="14"/>
          <w:lang w:val="cs-CZ"/>
        </w:rPr>
        <w:instrText>35</w:instrText>
      </w:r>
      <w:r>
        <w:instrText xml:space="preserve">" </w:instrText>
      </w:r>
      <w:r>
        <w:fldChar w:fldCharType="end"/>
      </w:r>
      <w:r>
        <w:rPr>
          <w:szCs w:val="14"/>
        </w:rPr>
        <w:t>)</w:t>
      </w:r>
    </w:p>
  </w:footnote>
  <w:footnote w:id="404">
    <w:p w14:paraId="51286D11" w14:textId="77777777" w:rsidR="00CD2817" w:rsidRDefault="00CD2817">
      <w:pPr>
        <w:pStyle w:val="Textpoznpodarou"/>
      </w:pPr>
      <w:r>
        <w:rPr>
          <w:rStyle w:val="Znakapoznpodarou"/>
        </w:rPr>
        <w:footnoteRef/>
      </w:r>
      <w:r>
        <w:t xml:space="preserve"> „</w:t>
      </w:r>
      <w:r w:rsidRPr="00886315">
        <w:t>Videtur enim esse certissima, cum sit de causis certissimis; est enim de causa omnium prima quae certissima est“.</w:t>
      </w:r>
      <w:r>
        <w:t xml:space="preserve"> (</w:t>
      </w:r>
      <w:r w:rsidRPr="00662285">
        <w:rPr>
          <w:i/>
        </w:rPr>
        <w:t>Memoriale</w:t>
      </w:r>
      <w:r>
        <w:t xml:space="preserve">, Prooem; ed. </w:t>
      </w:r>
      <w:r w:rsidRPr="007A4C08">
        <w:t xml:space="preserve">RRP, </w:t>
      </w:r>
      <w:r>
        <w:t>Prooem. 4</w:t>
      </w:r>
      <w:r>
        <w:fldChar w:fldCharType="begin"/>
      </w:r>
      <w:r>
        <w:instrText xml:space="preserve"> XE "</w:instrText>
      </w:r>
      <w:r>
        <w:rPr>
          <w:lang w:val="cs-CZ"/>
        </w:rPr>
        <w:instrText>Rufus:</w:instrText>
      </w:r>
      <w:r w:rsidRPr="00A93677">
        <w:rPr>
          <w:i/>
        </w:rPr>
        <w:instrText>Memoriale</w:instrText>
      </w:r>
      <w:r w:rsidRPr="00A93677">
        <w:instrText xml:space="preserve"> Prooem. 4</w:instrText>
      </w:r>
      <w:r>
        <w:instrText xml:space="preserve">" </w:instrText>
      </w:r>
      <w:r>
        <w:fldChar w:fldCharType="end"/>
      </w:r>
      <w:r>
        <w:t>)</w:t>
      </w:r>
    </w:p>
  </w:footnote>
  <w:footnote w:id="405">
    <w:p w14:paraId="16ED0C0E" w14:textId="77777777" w:rsidR="00CD2817" w:rsidRDefault="00CD2817">
      <w:pPr>
        <w:pStyle w:val="Textpoznpodarou"/>
      </w:pPr>
      <w:r>
        <w:rPr>
          <w:rStyle w:val="Znakapoznpodarou"/>
        </w:rPr>
        <w:footnoteRef/>
      </w:r>
      <w:r>
        <w:t xml:space="preserve"> </w:t>
      </w:r>
      <w:r w:rsidRPr="00123B5C">
        <w:t>„</w:t>
      </w:r>
      <w:r>
        <w:rPr>
          <w:lang w:val="cs-CZ"/>
        </w:rPr>
        <w:t>S</w:t>
      </w:r>
      <w:r w:rsidRPr="00123B5C">
        <w:rPr>
          <w:rStyle w:val="linemarker-marked-line"/>
        </w:rPr>
        <w:t>cientia non est tantum per praesentiam speciei scibilis apud virtutem scitivam, sicut est imaginatio per praesentiam imaginabilis speciei apud virtutem imaginativam, sed est per praesentiam ipsius speciei apud intellectum inquantum per aequalitatem respondet scibili, qu</w:t>
      </w:r>
      <w:r>
        <w:rPr>
          <w:rStyle w:val="linemarker-marked-line"/>
        </w:rPr>
        <w:t>am aequalitatem tango cum dico '</w:t>
      </w:r>
      <w:r w:rsidRPr="00123B5C">
        <w:rPr>
          <w:rStyle w:val="linemarker-marked-line"/>
        </w:rPr>
        <w:t>ver</w:t>
      </w:r>
      <w:r w:rsidRPr="00123B5C">
        <w:t xml:space="preserve">itas est rerum et </w:t>
      </w:r>
      <w:r w:rsidRPr="00123B5C">
        <w:rPr>
          <w:rStyle w:val="linemarker-marked-line"/>
        </w:rPr>
        <w:t>intellectuum</w:t>
      </w:r>
      <w:r>
        <w:rPr>
          <w:rStyle w:val="linemarker-marked-line"/>
        </w:rPr>
        <w:t>'</w:t>
      </w:r>
      <w:r w:rsidRPr="00123B5C">
        <w:t>.“ (</w:t>
      </w:r>
      <w:r w:rsidRPr="00DB73EB">
        <w:rPr>
          <w:i/>
        </w:rPr>
        <w:t>In APos</w:t>
      </w:r>
      <w:r w:rsidRPr="00123B5C">
        <w:t xml:space="preserve"> </w:t>
      </w:r>
      <w:r>
        <w:t xml:space="preserve">I.3; ed. </w:t>
      </w:r>
      <w:r w:rsidRPr="00DB73EB">
        <w:t xml:space="preserve">RRP, </w:t>
      </w:r>
      <w:r>
        <w:rPr>
          <w:rStyle w:val="linemarker-marked-line"/>
        </w:rPr>
        <w:t>1.</w:t>
      </w:r>
      <w:r w:rsidRPr="00123B5C">
        <w:rPr>
          <w:rStyle w:val="linemarker-marked-line"/>
        </w:rPr>
        <w:t>3.S1.ad3</w:t>
      </w:r>
      <w:r>
        <w:rPr>
          <w:rStyle w:val="linemarker-marked-line"/>
        </w:rPr>
        <w:fldChar w:fldCharType="begin"/>
      </w:r>
      <w:r>
        <w:instrText xml:space="preserve"> XE "</w:instrText>
      </w:r>
      <w:r>
        <w:rPr>
          <w:lang w:val="cs-CZ"/>
        </w:rPr>
        <w:instrText>Rufus:</w:instrText>
      </w:r>
      <w:r w:rsidRPr="007F4479">
        <w:rPr>
          <w:i/>
        </w:rPr>
        <w:instrText>In APos</w:instrText>
      </w:r>
      <w:r w:rsidRPr="007F4479">
        <w:instrText xml:space="preserve"> </w:instrText>
      </w:r>
      <w:r w:rsidRPr="007F4479">
        <w:rPr>
          <w:rStyle w:val="linemarker-marked-line"/>
        </w:rPr>
        <w:instrText>1.3.S1.ad3</w:instrText>
      </w:r>
      <w:r>
        <w:instrText xml:space="preserve">" </w:instrText>
      </w:r>
      <w:r>
        <w:rPr>
          <w:rStyle w:val="linemarker-marked-line"/>
        </w:rPr>
        <w:fldChar w:fldCharType="end"/>
      </w:r>
      <w:r w:rsidRPr="00123B5C">
        <w:t>)</w:t>
      </w:r>
    </w:p>
  </w:footnote>
  <w:footnote w:id="406">
    <w:p w14:paraId="1EF437A0" w14:textId="77777777" w:rsidR="00CD2817" w:rsidRDefault="00CD2817" w:rsidP="00265971">
      <w:pPr>
        <w:pStyle w:val="Textpoznpodarou"/>
      </w:pPr>
      <w:r>
        <w:rPr>
          <w:rStyle w:val="Znakapoznpodarou"/>
        </w:rPr>
        <w:footnoteRef/>
      </w:r>
      <w:r>
        <w:t xml:space="preserve"> </w:t>
      </w:r>
      <w:r w:rsidRPr="00A86E09">
        <w:t>„Ad primum respondit Ans</w:t>
      </w:r>
      <w:r>
        <w:t>elmus, dicens quod veritas est '</w:t>
      </w:r>
      <w:r w:rsidRPr="00A86E09">
        <w:t>rectitudo sola mente perceptibilis</w:t>
      </w:r>
      <w:r>
        <w:t>'</w:t>
      </w:r>
      <w:r w:rsidRPr="00A86E09">
        <w:t>, et es</w:t>
      </w:r>
      <w:r>
        <w:t>t alia eius definitio quae est '</w:t>
      </w:r>
      <w:r w:rsidRPr="00A86E09">
        <w:t>veritas est coaequatio rerum et intellectuum</w:t>
      </w:r>
      <w:r>
        <w:t>'</w:t>
      </w:r>
      <w:r w:rsidRPr="00A86E09">
        <w:t>.</w:t>
      </w:r>
      <w:r>
        <w:t>“</w:t>
      </w:r>
      <w:r w:rsidRPr="00A86E09">
        <w:rPr>
          <w:rStyle w:val="notenum"/>
        </w:rPr>
        <w:t xml:space="preserve"> (</w:t>
      </w:r>
      <w:r w:rsidRPr="00662285">
        <w:rPr>
          <w:i/>
        </w:rPr>
        <w:t>Memoriale</w:t>
      </w:r>
      <w:r>
        <w:t xml:space="preserve">, lib. </w:t>
      </w:r>
      <w:r>
        <w:rPr>
          <w:rStyle w:val="notenum"/>
        </w:rPr>
        <w:t>I</w:t>
      </w:r>
      <w:r>
        <w:rPr>
          <w:lang w:val="cs-CZ"/>
        </w:rPr>
        <w:t>;</w:t>
      </w:r>
      <w:r>
        <w:t xml:space="preserve"> ed. </w:t>
      </w:r>
      <w:r w:rsidRPr="00770E95">
        <w:t>RRP</w:t>
      </w:r>
      <w:r>
        <w:rPr>
          <w:rStyle w:val="TextpoznpodarouChar"/>
        </w:rPr>
        <w:t>, 1.1</w:t>
      </w:r>
      <w:r>
        <w:rPr>
          <w:rStyle w:val="TextpoznpodarouChar"/>
        </w:rPr>
        <w:fldChar w:fldCharType="begin"/>
      </w:r>
      <w:r>
        <w:instrText xml:space="preserve"> XE "</w:instrText>
      </w:r>
      <w:r>
        <w:rPr>
          <w:lang w:val="cs-CZ"/>
        </w:rPr>
        <w:instrText>Rufus:</w:instrText>
      </w:r>
      <w:r w:rsidRPr="00817BC6">
        <w:rPr>
          <w:i/>
        </w:rPr>
        <w:instrText>Memoriale</w:instrText>
      </w:r>
      <w:r w:rsidRPr="00817BC6">
        <w:rPr>
          <w:rStyle w:val="TextpoznpodarouChar"/>
        </w:rPr>
        <w:instrText xml:space="preserve"> 1.1</w:instrText>
      </w:r>
      <w:r>
        <w:instrText xml:space="preserve">" </w:instrText>
      </w:r>
      <w:r>
        <w:rPr>
          <w:rStyle w:val="TextpoznpodarouChar"/>
        </w:rPr>
        <w:fldChar w:fldCharType="end"/>
      </w:r>
      <w:r w:rsidRPr="00A86E09">
        <w:rPr>
          <w:rStyle w:val="notenum"/>
        </w:rPr>
        <w:t>)</w:t>
      </w:r>
    </w:p>
  </w:footnote>
  <w:footnote w:id="407">
    <w:p w14:paraId="1A06B3FE" w14:textId="77777777" w:rsidR="00CD2817" w:rsidRPr="086A7B16" w:rsidRDefault="00CD2817" w:rsidP="08082D9D">
      <w:pPr>
        <w:pStyle w:val="Textpoznpodarou"/>
        <w:rPr>
          <w:lang w:val="cs-CZ"/>
        </w:rPr>
      </w:pPr>
      <w:r>
        <w:rPr>
          <w:rStyle w:val="Znakapoznpodarou"/>
        </w:rPr>
        <w:footnoteRef/>
      </w:r>
      <w:r>
        <w:t xml:space="preserve"> </w:t>
      </w:r>
      <w:r>
        <w:rPr>
          <w:lang w:val="cs-CZ"/>
        </w:rPr>
        <w:t>„</w:t>
      </w:r>
      <w:r w:rsidRPr="086A7B16">
        <w:rPr>
          <w:lang w:val="cs-CZ"/>
        </w:rPr>
        <w:t>Ad secundam dicendum, quod duplex est rectitudo ; quedam est que est regula operationis ordinate ad aliquem finem, et talis rectitudo est operationis ; alia est que est recta rerum apprehensio, et talis est veritas.</w:t>
      </w:r>
      <w:r>
        <w:rPr>
          <w:lang w:val="cs-CZ"/>
        </w:rPr>
        <w:t xml:space="preserve"> </w:t>
      </w:r>
      <w:r w:rsidRPr="086A7B16">
        <w:rPr>
          <w:lang w:val="cs-CZ"/>
        </w:rPr>
        <w:t>Ad rationem ostendentem quod veritas non sit sola mente perceptibilis dicendum, quod rei veritatem apprehendere, hoc est dupliciter...</w:t>
      </w:r>
      <w:r>
        <w:rPr>
          <w:lang w:val="cs-CZ"/>
        </w:rPr>
        <w:t xml:space="preserve">“ </w:t>
      </w:r>
      <w:r>
        <w:rPr>
          <w:szCs w:val="14"/>
        </w:rPr>
        <w:t>(</w:t>
      </w:r>
      <w:r>
        <w:rPr>
          <w:i/>
        </w:rPr>
        <w:t>Quaestiones</w:t>
      </w:r>
      <w:r w:rsidRPr="00C91D0D">
        <w:rPr>
          <w:i/>
        </w:rPr>
        <w:t xml:space="preserve"> </w:t>
      </w:r>
      <w:r w:rsidRPr="00C91D0D">
        <w:rPr>
          <w:bCs/>
          <w:i/>
        </w:rPr>
        <w:t>altere</w:t>
      </w:r>
      <w:r>
        <w:rPr>
          <w:bCs/>
          <w:i/>
        </w:rPr>
        <w:t xml:space="preserve"> supra Met. II</w:t>
      </w:r>
      <w:r w:rsidRPr="08423348">
        <w:rPr>
          <w:bCs/>
        </w:rPr>
        <w:t xml:space="preserve">, </w:t>
      </w:r>
      <w:r>
        <w:rPr>
          <w:szCs w:val="31"/>
        </w:rPr>
        <w:t xml:space="preserve">q. 2, ad </w:t>
      </w:r>
      <w:r>
        <w:rPr>
          <w:szCs w:val="31"/>
          <w:lang w:val="cs-CZ"/>
        </w:rPr>
        <w:t>2</w:t>
      </w:r>
      <w:r>
        <w:rPr>
          <w:szCs w:val="31"/>
        </w:rPr>
        <w:t xml:space="preserve">, solutio; ed. Steele, </w:t>
      </w:r>
      <w:r w:rsidRPr="08423348">
        <w:rPr>
          <w:szCs w:val="35"/>
        </w:rPr>
        <w:t xml:space="preserve">OHI </w:t>
      </w:r>
      <w:r>
        <w:rPr>
          <w:szCs w:val="35"/>
        </w:rPr>
        <w:t xml:space="preserve">11, </w:t>
      </w:r>
      <w:r>
        <w:rPr>
          <w:szCs w:val="14"/>
          <w:lang w:val="cs-CZ"/>
        </w:rPr>
        <w:t>34</w:t>
      </w:r>
      <w:r>
        <w:rPr>
          <w:szCs w:val="14"/>
        </w:rPr>
        <w:t>.</w:t>
      </w:r>
      <w:r>
        <w:rPr>
          <w:szCs w:val="14"/>
          <w:lang w:val="cs-CZ"/>
        </w:rPr>
        <w:t>30</w:t>
      </w:r>
      <w:r>
        <w:rPr>
          <w:szCs w:val="14"/>
        </w:rPr>
        <w:t>‒</w:t>
      </w:r>
      <w:r>
        <w:rPr>
          <w:szCs w:val="14"/>
          <w:lang w:val="cs-CZ"/>
        </w:rPr>
        <w:t>35</w:t>
      </w:r>
      <w:r>
        <w:fldChar w:fldCharType="begin"/>
      </w:r>
      <w:r>
        <w:instrText xml:space="preserve"> XE "</w:instrText>
      </w:r>
      <w:r>
        <w:rPr>
          <w:lang w:val="cs-CZ"/>
        </w:rPr>
        <w:instrText>Bacon:</w:instrText>
      </w:r>
      <w:r>
        <w:rPr>
          <w:i/>
        </w:rPr>
        <w:instrText>Quaestiones</w:instrText>
      </w:r>
      <w:r w:rsidRPr="00C91D0D">
        <w:rPr>
          <w:i/>
        </w:rPr>
        <w:instrText xml:space="preserve"> </w:instrText>
      </w:r>
      <w:r w:rsidRPr="00C91D0D">
        <w:rPr>
          <w:bCs/>
          <w:i/>
        </w:rPr>
        <w:instrText>altere</w:instrText>
      </w:r>
      <w:r>
        <w:rPr>
          <w:bCs/>
          <w:i/>
        </w:rPr>
        <w:instrText xml:space="preserve"> supra Met. II</w:instrText>
      </w:r>
      <w:r>
        <w:rPr>
          <w:i/>
          <w:lang w:val="cs-CZ"/>
        </w:rPr>
        <w:instrText xml:space="preserve"> </w:instrText>
      </w:r>
      <w:r>
        <w:rPr>
          <w:szCs w:val="14"/>
          <w:lang w:val="cs-CZ"/>
        </w:rPr>
        <w:instrText>34</w:instrText>
      </w:r>
      <w:r>
        <w:rPr>
          <w:szCs w:val="14"/>
        </w:rPr>
        <w:instrText>.</w:instrText>
      </w:r>
      <w:r>
        <w:rPr>
          <w:szCs w:val="14"/>
          <w:lang w:val="cs-CZ"/>
        </w:rPr>
        <w:instrText>30</w:instrText>
      </w:r>
      <w:r>
        <w:rPr>
          <w:szCs w:val="14"/>
        </w:rPr>
        <w:instrText>‒</w:instrText>
      </w:r>
      <w:r>
        <w:rPr>
          <w:szCs w:val="14"/>
          <w:lang w:val="cs-CZ"/>
        </w:rPr>
        <w:instrText>35</w:instrText>
      </w:r>
      <w:r>
        <w:instrText xml:space="preserve">" </w:instrText>
      </w:r>
      <w:r>
        <w:fldChar w:fldCharType="end"/>
      </w:r>
      <w:r>
        <w:rPr>
          <w:szCs w:val="14"/>
        </w:rPr>
        <w:t>)</w:t>
      </w:r>
    </w:p>
  </w:footnote>
  <w:footnote w:id="408">
    <w:p w14:paraId="0E33D9F7" w14:textId="77777777" w:rsidR="00CD2817" w:rsidRPr="00901D3B" w:rsidRDefault="00CD2817" w:rsidP="00032084">
      <w:pPr>
        <w:pStyle w:val="Textpoznpodarou"/>
      </w:pPr>
      <w:r>
        <w:rPr>
          <w:rStyle w:val="Znakapoznpodarou"/>
        </w:rPr>
        <w:footnoteRef/>
      </w:r>
      <w:r>
        <w:t xml:space="preserve"> </w:t>
      </w:r>
      <w:r w:rsidRPr="009A10E1">
        <w:t>„But in the case of two different genera such as arithmetic and geometry you cannot apply arithmetical demonstration to the properties of magnitudes unless the magnitudes in question are numbers</w:t>
      </w:r>
      <w:r>
        <w:t xml:space="preserve"> (εἰ μὴ τὰ μεγέθη ἀριθμοί εἰσι)</w:t>
      </w:r>
      <w:r w:rsidRPr="009A10E1">
        <w:t>.“ (</w:t>
      </w:r>
      <w:r w:rsidRPr="00B62408">
        <w:rPr>
          <w:rStyle w:val="TextpoznpodarouChar"/>
          <w:i/>
        </w:rPr>
        <w:t>Anal. Post</w:t>
      </w:r>
      <w:r>
        <w:rPr>
          <w:rStyle w:val="TextpoznpodarouChar"/>
        </w:rPr>
        <w:t>. 75b3</w:t>
      </w:r>
      <w:r>
        <w:rPr>
          <w:rStyle w:val="TextpoznpodarouChar"/>
          <w:rFonts w:ascii="Georgia" w:hAnsi="Georgia"/>
        </w:rPr>
        <w:t>–</w:t>
      </w:r>
      <w:r>
        <w:rPr>
          <w:rStyle w:val="TextpoznpodarouChar"/>
        </w:rPr>
        <w:t>6</w:t>
      </w:r>
      <w:r>
        <w:rPr>
          <w:rStyle w:val="TextpoznpodarouChar"/>
        </w:rPr>
        <w:fldChar w:fldCharType="begin"/>
      </w:r>
      <w:r>
        <w:instrText xml:space="preserve"> XE "</w:instrText>
      </w:r>
      <w:r>
        <w:rPr>
          <w:lang w:val="cs-CZ"/>
        </w:rPr>
        <w:instrText>Aristoteles:</w:instrText>
      </w:r>
      <w:r w:rsidRPr="00FA490B">
        <w:rPr>
          <w:rStyle w:val="TextpoznpodarouChar"/>
          <w:i/>
        </w:rPr>
        <w:instrText>Anal. Post</w:instrText>
      </w:r>
      <w:r w:rsidRPr="00FA490B">
        <w:rPr>
          <w:rStyle w:val="TextpoznpodarouChar"/>
        </w:rPr>
        <w:instrText>. 75b3</w:instrText>
      </w:r>
      <w:r w:rsidRPr="00FA490B">
        <w:rPr>
          <w:rStyle w:val="TextpoznpodarouChar"/>
          <w:rFonts w:ascii="Georgia" w:hAnsi="Georgia"/>
        </w:rPr>
        <w:instrText>–</w:instrText>
      </w:r>
      <w:r w:rsidRPr="00FA490B">
        <w:rPr>
          <w:rStyle w:val="TextpoznpodarouChar"/>
        </w:rPr>
        <w:instrText>6</w:instrText>
      </w:r>
      <w:r>
        <w:instrText xml:space="preserve">" </w:instrText>
      </w:r>
      <w:r>
        <w:rPr>
          <w:rStyle w:val="TextpoznpodarouChar"/>
        </w:rPr>
        <w:fldChar w:fldCharType="end"/>
      </w:r>
      <w:r>
        <w:rPr>
          <w:rStyle w:val="TextpoznpodarouChar"/>
        </w:rPr>
        <w:t>; WA 1, trad. Mure</w:t>
      </w:r>
      <w:r w:rsidRPr="009A10E1">
        <w:t>)</w:t>
      </w:r>
    </w:p>
  </w:footnote>
  <w:footnote w:id="409">
    <w:p w14:paraId="763D7F2A" w14:textId="77777777" w:rsidR="00CD2817" w:rsidRPr="00071612" w:rsidRDefault="00CD2817" w:rsidP="00255350">
      <w:pPr>
        <w:pStyle w:val="Textpoznpodarou"/>
      </w:pPr>
      <w:r>
        <w:rPr>
          <w:rStyle w:val="Znakapoznpodarou"/>
        </w:rPr>
        <w:footnoteRef/>
      </w:r>
      <w:r>
        <w:t xml:space="preserve"> „</w:t>
      </w:r>
      <w:r w:rsidRPr="00071612">
        <w:t>Dicendum ergo quod magnitudo naturam numeri aliquo modo participat, et scientia quae secundum hoc est de magnitudine arithmet</w:t>
      </w:r>
      <w:r>
        <w:t>icae subalternatur, ut patebit.“ (</w:t>
      </w:r>
      <w:r w:rsidRPr="00994B3F">
        <w:rPr>
          <w:i/>
        </w:rPr>
        <w:t>In APos</w:t>
      </w:r>
      <w:r>
        <w:t xml:space="preserve"> I.3</w:t>
      </w:r>
      <w:r>
        <w:rPr>
          <w:lang w:val="cs-CZ"/>
        </w:rPr>
        <w:t>;</w:t>
      </w:r>
      <w:r>
        <w:t xml:space="preserve"> ed. </w:t>
      </w:r>
      <w:r>
        <w:rPr>
          <w:rStyle w:val="TextpoznpodarouChar"/>
        </w:rPr>
        <w:t>RRP, 1.</w:t>
      </w:r>
      <w:r>
        <w:rPr>
          <w:rStyle w:val="linemarker-marked-line"/>
        </w:rPr>
        <w:t>3.S4.ad4</w:t>
      </w:r>
      <w:r>
        <w:rPr>
          <w:rStyle w:val="linemarker-marked-line"/>
        </w:rPr>
        <w:fldChar w:fldCharType="begin"/>
      </w:r>
      <w:r>
        <w:instrText xml:space="preserve"> XE "</w:instrText>
      </w:r>
      <w:r>
        <w:rPr>
          <w:lang w:val="cs-CZ"/>
        </w:rPr>
        <w:instrText>Rufus:</w:instrText>
      </w:r>
      <w:r w:rsidRPr="00D863C3">
        <w:rPr>
          <w:i/>
        </w:rPr>
        <w:instrText>In APos</w:instrText>
      </w:r>
      <w:r w:rsidRPr="00D863C3">
        <w:instrText xml:space="preserve"> </w:instrText>
      </w:r>
      <w:r w:rsidRPr="00D863C3">
        <w:rPr>
          <w:rStyle w:val="TextpoznpodarouChar"/>
        </w:rPr>
        <w:instrText>1.</w:instrText>
      </w:r>
      <w:r w:rsidRPr="00D863C3">
        <w:rPr>
          <w:rStyle w:val="linemarker-marked-line"/>
        </w:rPr>
        <w:instrText>3.S4.ad4</w:instrText>
      </w:r>
      <w:r>
        <w:instrText xml:space="preserve">" </w:instrText>
      </w:r>
      <w:r>
        <w:rPr>
          <w:rStyle w:val="linemarker-marked-line"/>
        </w:rPr>
        <w:fldChar w:fldCharType="end"/>
      </w:r>
      <w:r>
        <w:rPr>
          <w:rStyle w:val="linemarker-marked-line"/>
        </w:rPr>
        <w:t>)</w:t>
      </w:r>
    </w:p>
  </w:footnote>
  <w:footnote w:id="410">
    <w:p w14:paraId="3044756E" w14:textId="77777777" w:rsidR="00CD2817" w:rsidRDefault="00CD2817">
      <w:pPr>
        <w:pStyle w:val="Textpoznpodarou"/>
      </w:pPr>
      <w:r>
        <w:rPr>
          <w:rStyle w:val="Znakapoznpodarou"/>
        </w:rPr>
        <w:footnoteRef/>
      </w:r>
      <w:r>
        <w:t xml:space="preserve"> </w:t>
      </w:r>
      <w:r>
        <w:rPr>
          <w:rStyle w:val="linemarker-marked-line"/>
        </w:rPr>
        <w:t>„</w:t>
      </w:r>
      <w:r>
        <w:rPr>
          <w:rStyle w:val="linemarker-marked-line"/>
          <w:lang w:val="cs-CZ"/>
        </w:rPr>
        <w:t>N</w:t>
      </w:r>
      <w:r w:rsidRPr="005259B4">
        <w:rPr>
          <w:rStyle w:val="linemarker-marked-line"/>
        </w:rPr>
        <w:t>umerus, qui est accidens, universaliter causatur ex individuatione formae; magnitudo autem ex individuatione formae in materia, non quacumque, sed situali et extensibili. Et sic numerus a priori secundum naturam causatur quam in aggregando, et sic ipsum prius est secundum naturam.</w:t>
      </w:r>
      <w:r>
        <w:rPr>
          <w:rStyle w:val="linemarker-marked-line"/>
        </w:rPr>
        <w:t>“ (</w:t>
      </w:r>
      <w:r w:rsidRPr="002C1387">
        <w:rPr>
          <w:i/>
        </w:rPr>
        <w:t>In APos</w:t>
      </w:r>
      <w:r>
        <w:t xml:space="preserve"> I.3; ed. </w:t>
      </w:r>
      <w:r w:rsidRPr="00B971D6">
        <w:t xml:space="preserve">RRP, </w:t>
      </w:r>
      <w:r>
        <w:t>1.</w:t>
      </w:r>
      <w:r>
        <w:rPr>
          <w:rStyle w:val="linemarker-marked-line"/>
        </w:rPr>
        <w:t>3.S4.ad5</w:t>
      </w:r>
      <w:r>
        <w:rPr>
          <w:rStyle w:val="linemarker-marked-line"/>
        </w:rPr>
        <w:fldChar w:fldCharType="begin"/>
      </w:r>
      <w:r>
        <w:instrText xml:space="preserve"> XE "</w:instrText>
      </w:r>
      <w:r>
        <w:rPr>
          <w:lang w:val="cs-CZ"/>
        </w:rPr>
        <w:instrText>Rufus:</w:instrText>
      </w:r>
      <w:r w:rsidRPr="00E10469">
        <w:rPr>
          <w:i/>
        </w:rPr>
        <w:instrText>In APos</w:instrText>
      </w:r>
      <w:r w:rsidRPr="00E10469">
        <w:instrText xml:space="preserve"> 1.</w:instrText>
      </w:r>
      <w:r w:rsidRPr="00E10469">
        <w:rPr>
          <w:rStyle w:val="linemarker-marked-line"/>
        </w:rPr>
        <w:instrText>3.S4.ad5</w:instrText>
      </w:r>
      <w:r>
        <w:instrText xml:space="preserve">" </w:instrText>
      </w:r>
      <w:r>
        <w:rPr>
          <w:rStyle w:val="linemarker-marked-line"/>
        </w:rPr>
        <w:fldChar w:fldCharType="end"/>
      </w:r>
      <w:r>
        <w:rPr>
          <w:rStyle w:val="linemarker-marked-line"/>
        </w:rPr>
        <w:t>)</w:t>
      </w:r>
    </w:p>
  </w:footnote>
  <w:footnote w:id="411">
    <w:p w14:paraId="4D59CA83" w14:textId="77777777" w:rsidR="00CD2817" w:rsidRDefault="00CD2817" w:rsidP="08051005">
      <w:pPr>
        <w:pStyle w:val="Textpoznpodarou"/>
      </w:pPr>
      <w:r>
        <w:rPr>
          <w:rStyle w:val="Znakapoznpodarou"/>
        </w:rPr>
        <w:footnoteRef/>
      </w:r>
      <w:r>
        <w:t xml:space="preserve"> „In genere igitur quantitatis potest mensura esse quantum in potentia et non oportet quod sit quantitas in actu.“ (</w:t>
      </w:r>
      <w:r w:rsidRPr="009B426C">
        <w:rPr>
          <w:i/>
        </w:rPr>
        <w:t>Memoriale</w:t>
      </w:r>
      <w:r>
        <w:t>, lib. X</w:t>
      </w:r>
      <w:r>
        <w:rPr>
          <w:lang w:val="cs-CZ"/>
        </w:rPr>
        <w:t xml:space="preserve">; </w:t>
      </w:r>
      <w:r>
        <w:t xml:space="preserve">ed. </w:t>
      </w:r>
      <w:r w:rsidRPr="00DB4772">
        <w:t xml:space="preserve">RRP, </w:t>
      </w:r>
      <w:r>
        <w:t>10.5</w:t>
      </w:r>
      <w:r>
        <w:fldChar w:fldCharType="begin"/>
      </w:r>
      <w:r>
        <w:instrText xml:space="preserve"> XE "</w:instrText>
      </w:r>
      <w:r>
        <w:rPr>
          <w:lang w:val="cs-CZ"/>
        </w:rPr>
        <w:instrText>Rufus:</w:instrText>
      </w:r>
      <w:r w:rsidRPr="00EB56A6">
        <w:rPr>
          <w:i/>
        </w:rPr>
        <w:instrText>Memoriale</w:instrText>
      </w:r>
      <w:r>
        <w:rPr>
          <w:lang w:val="cs-CZ"/>
        </w:rPr>
        <w:instrText xml:space="preserve"> </w:instrText>
      </w:r>
      <w:r w:rsidRPr="00EB56A6">
        <w:instrText>10.5</w:instrText>
      </w:r>
      <w:r>
        <w:instrText xml:space="preserve">" </w:instrText>
      </w:r>
      <w:r>
        <w:fldChar w:fldCharType="end"/>
      </w:r>
      <w:r>
        <w:t>)</w:t>
      </w:r>
    </w:p>
  </w:footnote>
  <w:footnote w:id="412">
    <w:p w14:paraId="08BADD5C" w14:textId="77777777" w:rsidR="00CD2817" w:rsidRDefault="00CD2817" w:rsidP="085637DA">
      <w:pPr>
        <w:pStyle w:val="Textpoznpodarou"/>
      </w:pPr>
      <w:r>
        <w:rPr>
          <w:rStyle w:val="Znakapoznpodarou"/>
        </w:rPr>
        <w:footnoteRef/>
      </w:r>
      <w:r>
        <w:t xml:space="preserve"> </w:t>
      </w:r>
      <w:r w:rsidRPr="009762F0">
        <w:t>„Est enim propositio quaedam dimensio inter subiectum et praedicatum, ut alias patet.“ (</w:t>
      </w:r>
      <w:r w:rsidRPr="00F466F4">
        <w:rPr>
          <w:i/>
        </w:rPr>
        <w:t>In APos</w:t>
      </w:r>
      <w:r>
        <w:t xml:space="preserve"> I.2; ed. RRP, 1.2.S3.ad4</w:t>
      </w:r>
      <w:r>
        <w:rPr>
          <w:rStyle w:val="linemarker-marked-line"/>
        </w:rPr>
        <w:fldChar w:fldCharType="begin"/>
      </w:r>
      <w:r>
        <w:instrText xml:space="preserve"> XE "</w:instrText>
      </w:r>
      <w:r>
        <w:rPr>
          <w:lang w:val="cs-CZ"/>
        </w:rPr>
        <w:instrText>Rufus:</w:instrText>
      </w:r>
      <w:r w:rsidRPr="00E10469">
        <w:rPr>
          <w:i/>
        </w:rPr>
        <w:instrText>In APos</w:instrText>
      </w:r>
      <w:r w:rsidRPr="00E10469">
        <w:instrText xml:space="preserve"> 1.</w:instrText>
      </w:r>
      <w:r>
        <w:rPr>
          <w:rStyle w:val="linemarker-marked-line"/>
          <w:lang w:val="cs-CZ"/>
        </w:rPr>
        <w:instrText>2</w:instrText>
      </w:r>
      <w:r>
        <w:rPr>
          <w:rStyle w:val="linemarker-marked-line"/>
        </w:rPr>
        <w:instrText>.S</w:instrText>
      </w:r>
      <w:r>
        <w:rPr>
          <w:rStyle w:val="linemarker-marked-line"/>
          <w:lang w:val="cs-CZ"/>
        </w:rPr>
        <w:instrText>3</w:instrText>
      </w:r>
      <w:r w:rsidRPr="00E10469">
        <w:rPr>
          <w:rStyle w:val="linemarker-marked-line"/>
        </w:rPr>
        <w:instrText>.ad</w:instrText>
      </w:r>
      <w:r>
        <w:rPr>
          <w:rStyle w:val="linemarker-marked-line"/>
          <w:lang w:val="cs-CZ"/>
        </w:rPr>
        <w:instrText>4</w:instrText>
      </w:r>
      <w:r>
        <w:instrText xml:space="preserve">" </w:instrText>
      </w:r>
      <w:r>
        <w:rPr>
          <w:rStyle w:val="linemarker-marked-line"/>
        </w:rPr>
        <w:fldChar w:fldCharType="end"/>
      </w:r>
      <w:r w:rsidRPr="009762F0">
        <w:t>)</w:t>
      </w:r>
    </w:p>
  </w:footnote>
  <w:footnote w:id="413">
    <w:p w14:paraId="03CAB6C4" w14:textId="77777777" w:rsidR="00CD2817" w:rsidRDefault="00CD2817" w:rsidP="085637DA">
      <w:pPr>
        <w:pStyle w:val="Textpoznpodarou"/>
      </w:pPr>
      <w:r>
        <w:rPr>
          <w:rStyle w:val="Znakapoznpodarou"/>
        </w:rPr>
        <w:footnoteRef/>
      </w:r>
      <w:r>
        <w:rPr>
          <w:rStyle w:val="TextpoznpodarouChar"/>
          <w:lang w:val="cs-CZ"/>
        </w:rPr>
        <w:t xml:space="preserve"> </w:t>
      </w:r>
      <w:r w:rsidRPr="00AE66B0">
        <w:rPr>
          <w:rStyle w:val="TextpoznpodarouChar"/>
        </w:rPr>
        <w:t xml:space="preserve">„Ergo essentia magnitudinis naturaliter praecedit omnes condiciones materiales a privatione causatas.“ </w:t>
      </w:r>
      <w:r w:rsidRPr="00F72517">
        <w:rPr>
          <w:rStyle w:val="TextpoznpodarouChar"/>
        </w:rPr>
        <w:t>(</w:t>
      </w:r>
      <w:r w:rsidRPr="00AE66B0">
        <w:rPr>
          <w:rStyle w:val="TextpoznpodarouChar"/>
          <w:i/>
        </w:rPr>
        <w:t>In DAn</w:t>
      </w:r>
      <w:r w:rsidRPr="00F72517">
        <w:rPr>
          <w:rStyle w:val="TextpoznpodarouChar"/>
        </w:rPr>
        <w:t xml:space="preserve"> 3.2.3</w:t>
      </w:r>
      <w:r>
        <w:rPr>
          <w:rStyle w:val="TextpoznpodarouChar"/>
        </w:rPr>
        <w:fldChar w:fldCharType="begin"/>
      </w:r>
      <w:r>
        <w:instrText xml:space="preserve"> XE "</w:instrText>
      </w:r>
      <w:r>
        <w:rPr>
          <w:lang w:val="cs-CZ"/>
        </w:rPr>
        <w:instrText>Rufus:</w:instrText>
      </w:r>
      <w:r w:rsidRPr="006459C0">
        <w:rPr>
          <w:rStyle w:val="TextpoznpodarouChar"/>
          <w:i/>
        </w:rPr>
        <w:instrText>In DAn</w:instrText>
      </w:r>
      <w:r w:rsidRPr="006459C0">
        <w:rPr>
          <w:rStyle w:val="TextpoznpodarouChar"/>
        </w:rPr>
        <w:instrText xml:space="preserve"> 3.2.3</w:instrText>
      </w:r>
      <w:r>
        <w:instrText xml:space="preserve">" </w:instrText>
      </w:r>
      <w:r>
        <w:rPr>
          <w:rStyle w:val="TextpoznpodarouChar"/>
        </w:rPr>
        <w:fldChar w:fldCharType="end"/>
      </w:r>
      <w:r>
        <w:rPr>
          <w:rStyle w:val="TextpoznpodarouChar"/>
        </w:rPr>
        <w:t>;</w:t>
      </w:r>
      <w:r w:rsidRPr="00981531">
        <w:rPr>
          <w:rStyle w:val="TextpoznpodarouChar"/>
        </w:rPr>
        <w:t xml:space="preserve"> </w:t>
      </w:r>
      <w:r>
        <w:rPr>
          <w:rStyle w:val="TextpoznpodarouChar"/>
        </w:rPr>
        <w:t>cit. podle Wood 2001, 142</w:t>
      </w:r>
      <w:r w:rsidRPr="00F72517">
        <w:rPr>
          <w:rStyle w:val="TextpoznpodarouChar"/>
        </w:rPr>
        <w:t>)</w:t>
      </w:r>
    </w:p>
  </w:footnote>
  <w:footnote w:id="414">
    <w:p w14:paraId="12D2345A" w14:textId="77777777" w:rsidR="00CD2817" w:rsidRDefault="00CD2817" w:rsidP="087F4916">
      <w:pPr>
        <w:pStyle w:val="Textpoznpodarou"/>
      </w:pPr>
      <w:r>
        <w:rPr>
          <w:rStyle w:val="Znakapoznpodarou"/>
        </w:rPr>
        <w:footnoteRef/>
      </w:r>
      <w:r>
        <w:t xml:space="preserve"> „Dicendum quod numerus mathematicus potest considerari prout habet esse in rebus; et hoc modo multiplicabilis est binarius per multiplicationem rerum et est species numeri et multiplicatur per individua.“ (</w:t>
      </w:r>
      <w:r w:rsidRPr="009B426C">
        <w:rPr>
          <w:i/>
        </w:rPr>
        <w:t>Memoriale</w:t>
      </w:r>
      <w:r>
        <w:rPr>
          <w:lang w:val="cs-CZ"/>
        </w:rPr>
        <w:t xml:space="preserve"> </w:t>
      </w:r>
      <w:r>
        <w:t>III</w:t>
      </w:r>
      <w:r>
        <w:rPr>
          <w:lang w:val="cs-CZ"/>
        </w:rPr>
        <w:t>;</w:t>
      </w:r>
      <w:r>
        <w:t xml:space="preserve"> ed. </w:t>
      </w:r>
      <w:r w:rsidRPr="00534F3A">
        <w:t xml:space="preserve">RRP, </w:t>
      </w:r>
      <w:r>
        <w:t>3.2</w:t>
      </w:r>
      <w:r>
        <w:fldChar w:fldCharType="begin"/>
      </w:r>
      <w:r>
        <w:instrText xml:space="preserve"> XE "</w:instrText>
      </w:r>
      <w:r>
        <w:rPr>
          <w:lang w:val="cs-CZ"/>
        </w:rPr>
        <w:instrText>Rufus:</w:instrText>
      </w:r>
      <w:r w:rsidRPr="006706B3">
        <w:rPr>
          <w:i/>
        </w:rPr>
        <w:instrText>Memoriale</w:instrText>
      </w:r>
      <w:r w:rsidRPr="006706B3">
        <w:rPr>
          <w:lang w:val="cs-CZ"/>
        </w:rPr>
        <w:instrText xml:space="preserve"> </w:instrText>
      </w:r>
      <w:r w:rsidRPr="006706B3">
        <w:instrText>3.2</w:instrText>
      </w:r>
      <w:r>
        <w:instrText xml:space="preserve">" </w:instrText>
      </w:r>
      <w:r>
        <w:fldChar w:fldCharType="end"/>
      </w:r>
      <w:r>
        <w:t>)</w:t>
      </w:r>
    </w:p>
  </w:footnote>
  <w:footnote w:id="415">
    <w:p w14:paraId="252F2E8C" w14:textId="77777777" w:rsidR="00CD2817" w:rsidRPr="084614D8" w:rsidRDefault="00CD2817" w:rsidP="00AF4584">
      <w:pPr>
        <w:pStyle w:val="Textpoznpodarou"/>
      </w:pPr>
      <w:r>
        <w:rPr>
          <w:rStyle w:val="Znakapoznpodarou"/>
        </w:rPr>
        <w:footnoteRef/>
      </w:r>
      <w:r>
        <w:t xml:space="preserve"> </w:t>
      </w:r>
      <w:r w:rsidRPr="003E52BF">
        <w:t>„Unde unitas essentialis concretive di</w:t>
      </w:r>
      <w:r>
        <w:t>citur de omni forma.“ (</w:t>
      </w:r>
      <w:r w:rsidRPr="003E52BF">
        <w:rPr>
          <w:i/>
          <w:iCs/>
        </w:rPr>
        <w:t xml:space="preserve">Scriptum in </w:t>
      </w:r>
      <w:r w:rsidRPr="003E52BF">
        <w:rPr>
          <w:i/>
        </w:rPr>
        <w:t>Met</w:t>
      </w:r>
      <w:r>
        <w:rPr>
          <w:i/>
        </w:rPr>
        <w:t xml:space="preserve">. </w:t>
      </w:r>
      <w:r w:rsidRPr="003E52BF">
        <w:rPr>
          <w:i/>
        </w:rPr>
        <w:t>Arist</w:t>
      </w:r>
      <w:r>
        <w:rPr>
          <w:i/>
        </w:rPr>
        <w:t>.</w:t>
      </w:r>
      <w:r>
        <w:t xml:space="preserve">, ms. </w:t>
      </w:r>
      <w:r w:rsidRPr="003E52BF">
        <w:t>Q290.31vb-32ra</w:t>
      </w:r>
      <w:r>
        <w:fldChar w:fldCharType="begin"/>
      </w:r>
      <w:r>
        <w:instrText xml:space="preserve"> XE "</w:instrText>
      </w:r>
      <w:r>
        <w:rPr>
          <w:lang w:val="cs-CZ"/>
        </w:rPr>
        <w:instrText>Rufus:</w:instrText>
      </w:r>
      <w:r w:rsidRPr="00B0454B">
        <w:rPr>
          <w:i/>
          <w:iCs/>
        </w:rPr>
        <w:instrText xml:space="preserve">Scriptum in </w:instrText>
      </w:r>
      <w:r w:rsidRPr="00B0454B">
        <w:rPr>
          <w:i/>
        </w:rPr>
        <w:instrText>Met. Arist.</w:instrText>
      </w:r>
      <w:r w:rsidRPr="00B0454B">
        <w:instrText>, ms. Q290.31vb-32ra</w:instrText>
      </w:r>
      <w:r>
        <w:instrText xml:space="preserve">" </w:instrText>
      </w:r>
      <w:r>
        <w:fldChar w:fldCharType="end"/>
      </w:r>
      <w:r>
        <w:t xml:space="preserve">, ed. </w:t>
      </w:r>
      <w:r w:rsidRPr="003E52BF">
        <w:t>Wood</w:t>
      </w:r>
      <w:r>
        <w:t>, cit. podle RRP</w:t>
      </w:r>
      <w:r w:rsidRPr="003E52BF">
        <w:t>)</w:t>
      </w:r>
    </w:p>
  </w:footnote>
  <w:footnote w:id="416">
    <w:p w14:paraId="1E198023" w14:textId="77777777" w:rsidR="00CD2817" w:rsidRPr="0067226A" w:rsidRDefault="00CD2817" w:rsidP="00AF4584">
      <w:pPr>
        <w:pStyle w:val="Textpoznpodarou"/>
        <w:rPr>
          <w:lang w:val="cs-CZ"/>
        </w:rPr>
      </w:pPr>
      <w:r>
        <w:rPr>
          <w:rStyle w:val="Znakapoznpodarou"/>
        </w:rPr>
        <w:footnoteRef/>
      </w:r>
      <w:r>
        <w:rPr>
          <w:lang w:val="cs-CZ"/>
        </w:rPr>
        <w:t xml:space="preserve"> „</w:t>
      </w:r>
      <w:r w:rsidRPr="00D12FDE">
        <w:rPr>
          <w:lang w:val="cs-CZ"/>
        </w:rPr>
        <w:t>Item est compositio accidentium ad subiectum que proprie dicitur concretio; et est compositio potentie ad actum; et est compositio cause ad effectum secundum omne genus cause ut uere dicatur compositum quod ab alio est, uel quod sub alio est, uel quod in alio est, uel quod ad aliud est.</w:t>
      </w:r>
      <w:r>
        <w:rPr>
          <w:lang w:val="cs-CZ"/>
        </w:rPr>
        <w:t xml:space="preserve">“ </w:t>
      </w:r>
      <w:r>
        <w:t>(</w:t>
      </w:r>
      <w:r>
        <w:rPr>
          <w:lang w:val="cs-CZ"/>
        </w:rPr>
        <w:t xml:space="preserve">ms. </w:t>
      </w:r>
      <w:r>
        <w:rPr>
          <w:rFonts w:eastAsia="Code2000"/>
        </w:rPr>
        <w:t>Douai 434, f. 108vb‒1</w:t>
      </w:r>
      <w:r w:rsidRPr="0067226A">
        <w:rPr>
          <w:rFonts w:eastAsia="Code2000"/>
        </w:rPr>
        <w:t>09ra</w:t>
      </w:r>
      <w:r>
        <w:rPr>
          <w:rFonts w:eastAsia="Code2000"/>
        </w:rPr>
        <w:fldChar w:fldCharType="begin"/>
      </w:r>
      <w:r>
        <w:instrText xml:space="preserve"> XE "</w:instrText>
      </w:r>
      <w:r w:rsidRPr="00336FD4">
        <w:rPr>
          <w:i/>
        </w:rPr>
        <w:instrText>Summa Duacensis</w:instrText>
      </w:r>
      <w:r w:rsidRPr="001A6B7D">
        <w:instrText xml:space="preserve"> </w:instrText>
      </w:r>
      <w:r w:rsidRPr="001A6B7D">
        <w:rPr>
          <w:rFonts w:eastAsia="Code2000"/>
        </w:rPr>
        <w:instrText>f. 108vb‒109ra</w:instrText>
      </w:r>
      <w:r>
        <w:instrText xml:space="preserve">" </w:instrText>
      </w:r>
      <w:r>
        <w:rPr>
          <w:rFonts w:eastAsia="Code2000"/>
        </w:rPr>
        <w:fldChar w:fldCharType="end"/>
      </w:r>
      <w:r>
        <w:rPr>
          <w:rFonts w:eastAsia="Code2000"/>
          <w:lang w:val="cs-CZ"/>
        </w:rPr>
        <w:t xml:space="preserve">; </w:t>
      </w:r>
      <w:r>
        <w:rPr>
          <w:lang w:val="cs-CZ"/>
        </w:rPr>
        <w:t>ed. Lottin, p. 470.13‒17)</w:t>
      </w:r>
    </w:p>
  </w:footnote>
  <w:footnote w:id="417">
    <w:p w14:paraId="535578EF" w14:textId="77777777" w:rsidR="00CD2817" w:rsidRPr="00BC3814" w:rsidRDefault="00CD2817" w:rsidP="00AF4584">
      <w:pPr>
        <w:pStyle w:val="Textpoznpodarou"/>
      </w:pPr>
      <w:r>
        <w:rPr>
          <w:rStyle w:val="Znakapoznpodarou"/>
        </w:rPr>
        <w:footnoteRef/>
      </w:r>
      <w:r>
        <w:t xml:space="preserve"> „</w:t>
      </w:r>
      <w:r w:rsidRPr="00A03D91">
        <w:t>Primo modo [forma] in se simpliciter et in abstractione, ut ens et hoc-aliquid et natura et substantia, ex qua cum alia, scilicet materia, fit compositum. Secundum istum modum nullo modo praedicatur de composito vel materia, sicut verbi gratia non possum dicere quod homo vel caro sit anima.</w:t>
      </w:r>
      <w:r>
        <w:t>“ (</w:t>
      </w:r>
      <w:r w:rsidRPr="00D413B2">
        <w:rPr>
          <w:i/>
        </w:rPr>
        <w:t>Speculum animae</w:t>
      </w:r>
      <w:r>
        <w:t xml:space="preserve">, q. 3; </w:t>
      </w:r>
      <w:r w:rsidRPr="00950D92">
        <w:t xml:space="preserve">ed. </w:t>
      </w:r>
      <w:r>
        <w:t>Etchemendy&amp;Wood</w:t>
      </w:r>
      <w:r w:rsidRPr="00950D92">
        <w:t>,</w:t>
      </w:r>
      <w:r>
        <w:t xml:space="preserve"> p. 128.305‒8</w:t>
      </w:r>
      <w:r>
        <w:fldChar w:fldCharType="begin"/>
      </w:r>
      <w:r>
        <w:instrText xml:space="preserve"> XE "</w:instrText>
      </w:r>
      <w:r>
        <w:rPr>
          <w:lang w:val="cs-CZ"/>
        </w:rPr>
        <w:instrText>Rufus:</w:instrText>
      </w:r>
      <w:r w:rsidRPr="009C6656">
        <w:rPr>
          <w:i/>
        </w:rPr>
        <w:instrText>Speculum animae</w:instrText>
      </w:r>
      <w:r>
        <w:rPr>
          <w:i/>
          <w:lang w:val="cs-CZ"/>
        </w:rPr>
        <w:instrText xml:space="preserve"> </w:instrText>
      </w:r>
      <w:r w:rsidRPr="009C6656">
        <w:instrText>128.305‒308</w:instrText>
      </w:r>
      <w:r>
        <w:instrText xml:space="preserve">" </w:instrText>
      </w:r>
      <w:r>
        <w:fldChar w:fldCharType="end"/>
      </w:r>
      <w:r>
        <w:t>)</w:t>
      </w:r>
      <w:r w:rsidRPr="00A71CAC">
        <w:t xml:space="preserve"> </w:t>
      </w:r>
    </w:p>
  </w:footnote>
  <w:footnote w:id="418">
    <w:p w14:paraId="110D47D6" w14:textId="77777777" w:rsidR="00CD2817" w:rsidRDefault="00CD2817" w:rsidP="00AF4584">
      <w:pPr>
        <w:pStyle w:val="Textpoznpodarou"/>
      </w:pPr>
      <w:r>
        <w:rPr>
          <w:rStyle w:val="Znakapoznpodarou"/>
        </w:rPr>
        <w:footnoteRef/>
      </w:r>
      <w:r>
        <w:t xml:space="preserve"> „</w:t>
      </w:r>
      <w:r w:rsidRPr="00A03D91">
        <w:t>Secundo modo recipit ipsa natura formae esse et modum concretum, modum qualitatis et adiacentis et inhaerentis et nominantis, nomine scilicet suo materiam notantis; et isto modo praedicatur de sua materia.</w:t>
      </w:r>
      <w:r>
        <w:t>“ (</w:t>
      </w:r>
      <w:r w:rsidRPr="00D413B2">
        <w:rPr>
          <w:i/>
        </w:rPr>
        <w:t>Speculum animae</w:t>
      </w:r>
      <w:r>
        <w:t xml:space="preserve">, q. 2; </w:t>
      </w:r>
      <w:r w:rsidRPr="00950D92">
        <w:t xml:space="preserve">ed. </w:t>
      </w:r>
      <w:r>
        <w:t>Etchemendy&amp;Wood</w:t>
      </w:r>
      <w:r w:rsidRPr="00950D92">
        <w:t>,</w:t>
      </w:r>
      <w:r>
        <w:t xml:space="preserve"> p. 128.309‒11</w:t>
      </w:r>
      <w:r>
        <w:fldChar w:fldCharType="begin"/>
      </w:r>
      <w:r>
        <w:instrText xml:space="preserve"> XE "</w:instrText>
      </w:r>
      <w:r>
        <w:rPr>
          <w:lang w:val="cs-CZ"/>
        </w:rPr>
        <w:instrText>Rufus:</w:instrText>
      </w:r>
      <w:r w:rsidRPr="009C6656">
        <w:rPr>
          <w:i/>
        </w:rPr>
        <w:instrText>Speculum animae</w:instrText>
      </w:r>
      <w:r>
        <w:rPr>
          <w:i/>
          <w:lang w:val="cs-CZ"/>
        </w:rPr>
        <w:instrText xml:space="preserve"> </w:instrText>
      </w:r>
      <w:r>
        <w:instrText>128.30</w:instrText>
      </w:r>
      <w:r>
        <w:rPr>
          <w:lang w:val="cs-CZ"/>
        </w:rPr>
        <w:instrText>9</w:instrText>
      </w:r>
      <w:r>
        <w:instrText>‒</w:instrText>
      </w:r>
      <w:r>
        <w:rPr>
          <w:lang w:val="cs-CZ"/>
        </w:rPr>
        <w:instrText>11</w:instrText>
      </w:r>
      <w:r>
        <w:instrText xml:space="preserve">" </w:instrText>
      </w:r>
      <w:r>
        <w:fldChar w:fldCharType="end"/>
      </w:r>
      <w:r>
        <w:t>)</w:t>
      </w:r>
    </w:p>
  </w:footnote>
  <w:footnote w:id="419">
    <w:p w14:paraId="45899C82" w14:textId="77777777" w:rsidR="00CD2817" w:rsidRPr="00524E35" w:rsidRDefault="00CD2817" w:rsidP="08DF7FD3">
      <w:pPr>
        <w:pStyle w:val="Textpoznpodarou"/>
        <w:rPr>
          <w:lang w:val="cs-CZ"/>
        </w:rPr>
      </w:pPr>
      <w:r>
        <w:rPr>
          <w:rStyle w:val="Znakapoznpodarou"/>
        </w:rPr>
        <w:footnoteRef/>
      </w:r>
      <w:r>
        <w:t xml:space="preserve"> </w:t>
      </w:r>
      <w:r>
        <w:rPr>
          <w:lang w:val="cs-CZ"/>
        </w:rPr>
        <w:t>„Proprium vero nomen, ut 'Socrates'</w:t>
      </w:r>
      <w:r w:rsidRPr="00524E35">
        <w:rPr>
          <w:lang w:val="cs-CZ"/>
        </w:rPr>
        <w:t>, quia substantiam designat solum per modum subsistentis et fundamenti, et ita ens secundum quod ens et non esse designat, de nullo per se praedicatur nisi de se ipso, et hoc solum</w:t>
      </w:r>
      <w:r>
        <w:rPr>
          <w:lang w:val="cs-CZ"/>
        </w:rPr>
        <w:t xml:space="preserve"> per accidens. Bene vides quod 'esse' et 'est' concretiva sunt; 'ens'</w:t>
      </w:r>
      <w:r w:rsidRPr="00524E35">
        <w:rPr>
          <w:lang w:val="cs-CZ"/>
        </w:rPr>
        <w:t xml:space="preserve">, vero abstractum, et </w:t>
      </w:r>
      <w:r>
        <w:rPr>
          <w:lang w:val="cs-CZ"/>
        </w:rPr>
        <w:t>tamen si in praedicato ponatur 'ens' et 'homo'</w:t>
      </w:r>
      <w:r w:rsidRPr="00524E35">
        <w:rPr>
          <w:lang w:val="cs-CZ"/>
        </w:rPr>
        <w:t>, modum concretum accipiunt.</w:t>
      </w:r>
      <w:r>
        <w:rPr>
          <w:lang w:val="cs-CZ"/>
        </w:rPr>
        <w:t>“ (</w:t>
      </w:r>
      <w:r w:rsidRPr="00632B71">
        <w:rPr>
          <w:i/>
        </w:rPr>
        <w:t>Speculum animae</w:t>
      </w:r>
      <w:r>
        <w:rPr>
          <w:lang w:val="cs-CZ"/>
        </w:rPr>
        <w:t xml:space="preserve">, q. 3; ed.  </w:t>
      </w:r>
      <w:r>
        <w:t>Etchemendy&amp;</w:t>
      </w:r>
      <w:r w:rsidRPr="00601922">
        <w:t>Wood</w:t>
      </w:r>
      <w:r>
        <w:rPr>
          <w:lang w:val="cs-CZ"/>
        </w:rPr>
        <w:t>, p. 127.288‒93</w:t>
      </w:r>
      <w:r>
        <w:rPr>
          <w:lang w:val="cs-CZ"/>
        </w:rPr>
        <w:fldChar w:fldCharType="begin"/>
      </w:r>
      <w:r>
        <w:instrText xml:space="preserve"> XE "</w:instrText>
      </w:r>
      <w:r>
        <w:rPr>
          <w:lang w:val="cs-CZ"/>
        </w:rPr>
        <w:instrText>Rufus:</w:instrText>
      </w:r>
      <w:r w:rsidRPr="001A7C08">
        <w:rPr>
          <w:i/>
        </w:rPr>
        <w:instrText>Speculum animae</w:instrText>
      </w:r>
      <w:r>
        <w:rPr>
          <w:lang w:val="cs-CZ"/>
        </w:rPr>
        <w:instrText xml:space="preserve"> 127.288‒</w:instrText>
      </w:r>
      <w:r w:rsidRPr="001A7C08">
        <w:rPr>
          <w:lang w:val="cs-CZ"/>
        </w:rPr>
        <w:instrText>93</w:instrText>
      </w:r>
      <w:r>
        <w:instrText xml:space="preserve">" </w:instrText>
      </w:r>
      <w:r>
        <w:rPr>
          <w:lang w:val="cs-CZ"/>
        </w:rPr>
        <w:fldChar w:fldCharType="end"/>
      </w:r>
      <w:r>
        <w:rPr>
          <w:lang w:val="cs-CZ"/>
        </w:rPr>
        <w:t>)</w:t>
      </w:r>
    </w:p>
  </w:footnote>
  <w:footnote w:id="420">
    <w:p w14:paraId="4B45F0CE" w14:textId="77777777" w:rsidR="00CD2817" w:rsidRDefault="00CD2817">
      <w:pPr>
        <w:pStyle w:val="Textpoznpodarou"/>
      </w:pPr>
      <w:r>
        <w:rPr>
          <w:rStyle w:val="Znakapoznpodarou"/>
        </w:rPr>
        <w:footnoteRef/>
      </w:r>
      <w:r>
        <w:t xml:space="preserve"> </w:t>
      </w:r>
      <w:r w:rsidRPr="006C76E1">
        <w:t xml:space="preserve">„Propterea dicendum quod aliqua causa est ita ordinata in suum effectum quod impossibile est ipsam prohiberi. Tales causae sunt in mathematicis; formam enim trianguli respectu habitus triangulorum impossibile est prohibere. Sed aliqua est causa quae cum in aliquem effectum sit ordinata, tamen potest prohiberi, et tales </w:t>
      </w:r>
      <w:r w:rsidRPr="00C77469">
        <w:t xml:space="preserve">sunt naturales. Verbi gratia: determinata est oliva ut generet olivam, nec tamen semper ita est, sed potest per inoboedientiam materiae prohiberi, ut dicit </w:t>
      </w:r>
      <w:r>
        <w:t>Aristoteles</w:t>
      </w:r>
      <w:r w:rsidRPr="00C77469">
        <w:t xml:space="preserve"> in Philosophia prima.“ (</w:t>
      </w:r>
      <w:r w:rsidRPr="009604D0">
        <w:rPr>
          <w:i/>
        </w:rPr>
        <w:t>In APos</w:t>
      </w:r>
      <w:r w:rsidRPr="00C77469">
        <w:t xml:space="preserve"> </w:t>
      </w:r>
      <w:r>
        <w:t>I.3</w:t>
      </w:r>
      <w:r>
        <w:rPr>
          <w:lang w:val="cs-CZ"/>
        </w:rPr>
        <w:t xml:space="preserve">; </w:t>
      </w:r>
      <w:r>
        <w:t xml:space="preserve">ed. </w:t>
      </w:r>
      <w:r w:rsidRPr="009604D0">
        <w:t xml:space="preserve">RRP, </w:t>
      </w:r>
      <w:r>
        <w:t>1.</w:t>
      </w:r>
      <w:r w:rsidRPr="00C77469">
        <w:t>3.S5.ad1</w:t>
      </w:r>
      <w:r>
        <w:fldChar w:fldCharType="begin"/>
      </w:r>
      <w:r>
        <w:instrText xml:space="preserve"> XE "</w:instrText>
      </w:r>
      <w:r>
        <w:rPr>
          <w:lang w:val="cs-CZ"/>
        </w:rPr>
        <w:instrText>Rufus:</w:instrText>
      </w:r>
      <w:r w:rsidRPr="00036E7C">
        <w:rPr>
          <w:i/>
        </w:rPr>
        <w:instrText>In APos</w:instrText>
      </w:r>
      <w:r w:rsidRPr="00036E7C">
        <w:instrText xml:space="preserve"> 1.3.S5.ad1</w:instrText>
      </w:r>
      <w:r>
        <w:instrText xml:space="preserve">" </w:instrText>
      </w:r>
      <w:r>
        <w:fldChar w:fldCharType="end"/>
      </w:r>
      <w:r>
        <w:t>)</w:t>
      </w:r>
    </w:p>
  </w:footnote>
  <w:footnote w:id="421">
    <w:p w14:paraId="5533F6E9" w14:textId="77777777" w:rsidR="00CD2817" w:rsidRDefault="00CD2817">
      <w:pPr>
        <w:pStyle w:val="Textpoznpodarou"/>
      </w:pPr>
      <w:r>
        <w:rPr>
          <w:rStyle w:val="Znakapoznpodarou"/>
        </w:rPr>
        <w:footnoteRef/>
      </w:r>
      <w:r>
        <w:t xml:space="preserve"> „</w:t>
      </w:r>
      <w:r w:rsidRPr="001F5714">
        <w:t>Passio autem a materia habet definitionem factam ex genere et differentia, et haec eadem dicit essentiam eandem cum passione, sed non causam. Alia autem dicit causam passionis, et non essentiam. Prima ergo secundum quod est subiecti tantum principium est demonstrationis; secunda quod non est tantum subiecti, sed et passionis, sic est tota virtus demonstrationis et sic ipsa demonstratio, sed positione differens.</w:t>
      </w:r>
      <w:r>
        <w:t>“ (</w:t>
      </w:r>
      <w:r w:rsidRPr="00F76D9B">
        <w:rPr>
          <w:i/>
        </w:rPr>
        <w:t>In APos</w:t>
      </w:r>
      <w:r>
        <w:t xml:space="preserve"> I.3; ed. RRP, 1.3.S5.ad4</w:t>
      </w:r>
      <w:r>
        <w:fldChar w:fldCharType="begin"/>
      </w:r>
      <w:r>
        <w:instrText xml:space="preserve"> XE "</w:instrText>
      </w:r>
      <w:r>
        <w:rPr>
          <w:lang w:val="cs-CZ"/>
        </w:rPr>
        <w:instrText>Rufus:</w:instrText>
      </w:r>
      <w:r w:rsidRPr="0040490B">
        <w:rPr>
          <w:i/>
        </w:rPr>
        <w:instrText>In APos</w:instrText>
      </w:r>
      <w:r w:rsidRPr="0040490B">
        <w:instrText xml:space="preserve"> 1.3.S5.ad4</w:instrText>
      </w:r>
      <w:r>
        <w:instrText xml:space="preserve">" </w:instrText>
      </w:r>
      <w:r>
        <w:fldChar w:fldCharType="end"/>
      </w:r>
      <w:r>
        <w:t>)</w:t>
      </w:r>
    </w:p>
  </w:footnote>
  <w:footnote w:id="422">
    <w:p w14:paraId="45942DF3" w14:textId="77777777" w:rsidR="00CD2817" w:rsidRPr="00B232E4" w:rsidRDefault="00CD2817" w:rsidP="00FF6F78">
      <w:pPr>
        <w:pStyle w:val="Textpoznpodarou"/>
      </w:pPr>
      <w:r>
        <w:rPr>
          <w:rStyle w:val="Znakapoznpodarou"/>
        </w:rPr>
        <w:footnoteRef/>
      </w:r>
      <w:r>
        <w:t xml:space="preserve"> „</w:t>
      </w:r>
      <w:r w:rsidRPr="00B232E4">
        <w:t>Weiter besteht dann die Unwahrheit des unmittelbaren Urteils darin, daß dessen Form und Inhalt einander nich</w:t>
      </w:r>
      <w:r>
        <w:t xml:space="preserve">t entsprechen. Wenn wir sagen: </w:t>
      </w:r>
      <w:r w:rsidRPr="00B232E4">
        <w:t>'diese Rose is</w:t>
      </w:r>
      <w:r>
        <w:t xml:space="preserve">t rot', so liegt in der Kopula </w:t>
      </w:r>
      <w:r w:rsidRPr="00B232E4">
        <w:t>'ist', daß Subjekt und Prädikat miteinander übereinstimmen. Nun ist aber die Rose als ein Konkretes nicht bloß rot, sondern sie duftet auch, hat eine bestimmte Form und vielerlei andere Bestimmungen, die in dem Prädika</w:t>
      </w:r>
      <w:r>
        <w:t xml:space="preserve">t </w:t>
      </w:r>
      <w:r w:rsidRPr="00B232E4">
        <w:t>'rot' nich</w:t>
      </w:r>
      <w:r>
        <w:t>t enthalten sind.“ (Hegel 8,</w:t>
      </w:r>
      <w:r>
        <w:rPr>
          <w:lang w:val="cs-CZ"/>
        </w:rPr>
        <w:t xml:space="preserve"> </w:t>
      </w:r>
      <w:r>
        <w:t>323‒</w:t>
      </w:r>
      <w:r w:rsidRPr="00B232E4">
        <w:t>24</w:t>
      </w:r>
      <w:r w:rsidRPr="00273106">
        <w:rPr>
          <w:rStyle w:val="Zvraznn"/>
          <w:i w:val="0"/>
          <w:iCs w:val="0"/>
        </w:rPr>
        <w:fldChar w:fldCharType="begin"/>
      </w:r>
      <w:r w:rsidRPr="00273106">
        <w:instrText xml:space="preserve"> XE "</w:instrText>
      </w:r>
      <w:r w:rsidRPr="00617CF1">
        <w:rPr>
          <w:rStyle w:val="Zvraznn"/>
          <w:i w:val="0"/>
        </w:rPr>
        <w:instrText>Hegel</w:instrText>
      </w:r>
      <w:r>
        <w:rPr>
          <w:rStyle w:val="Zvraznn"/>
          <w:i w:val="0"/>
          <w:iCs w:val="0"/>
        </w:rPr>
        <w:instrText>:</w:instrText>
      </w:r>
      <w:r w:rsidRPr="00273106">
        <w:rPr>
          <w:rStyle w:val="st"/>
          <w:bCs/>
          <w:i/>
        </w:rPr>
        <w:instrText>Enzyklopädie</w:instrText>
      </w:r>
      <w:r w:rsidRPr="00273106">
        <w:rPr>
          <w:rStyle w:val="st"/>
          <w:i/>
        </w:rPr>
        <w:instrText xml:space="preserve"> der philosophischen </w:instrText>
      </w:r>
      <w:r w:rsidRPr="00273106">
        <w:rPr>
          <w:rStyle w:val="st"/>
          <w:bCs/>
          <w:i/>
        </w:rPr>
        <w:instrText>Wissenschaften</w:instrText>
      </w:r>
      <w:r>
        <w:instrText xml:space="preserve"> 8</w:instrText>
      </w:r>
      <w:r>
        <w:rPr>
          <w:lang w:val="cs-CZ"/>
        </w:rPr>
        <w:instrText>.</w:instrText>
      </w:r>
      <w:r>
        <w:instrText>323‒</w:instrText>
      </w:r>
      <w:r w:rsidRPr="00B232E4">
        <w:instrText>24</w:instrText>
      </w:r>
      <w:r w:rsidRPr="00273106">
        <w:instrText xml:space="preserve">" </w:instrText>
      </w:r>
      <w:r w:rsidRPr="00273106">
        <w:rPr>
          <w:rStyle w:val="Zvraznn"/>
          <w:i w:val="0"/>
          <w:iCs w:val="0"/>
        </w:rPr>
        <w:fldChar w:fldCharType="end"/>
      </w:r>
      <w:r w:rsidRPr="00B232E4">
        <w:t>)</w:t>
      </w:r>
    </w:p>
  </w:footnote>
  <w:footnote w:id="423">
    <w:p w14:paraId="60B38CEE" w14:textId="77777777" w:rsidR="00CD2817" w:rsidRDefault="00CD2817">
      <w:pPr>
        <w:pStyle w:val="Textpoznpodarou"/>
      </w:pPr>
      <w:r>
        <w:rPr>
          <w:rStyle w:val="Znakapoznpodarou"/>
        </w:rPr>
        <w:footnoteRef/>
      </w:r>
      <w:r>
        <w:t xml:space="preserve"> „</w:t>
      </w:r>
      <w:r w:rsidRPr="00C07AF4">
        <w:t>Virtus enim visiva, cum immutetur a colore, non solum percipit colorem, sed et suam immutationem. A simili, virtus scitiva ex hoc quod immutatur a specie alicuius scibilis aut informatur, non solum percipit suum scibile, sed et suam informationem.</w:t>
      </w:r>
      <w:r>
        <w:t>“ (</w:t>
      </w:r>
      <w:r w:rsidRPr="0058796D">
        <w:rPr>
          <w:i/>
        </w:rPr>
        <w:t>In APos</w:t>
      </w:r>
      <w:r>
        <w:t xml:space="preserve"> I.3</w:t>
      </w:r>
      <w:r>
        <w:rPr>
          <w:lang w:val="cs-CZ"/>
        </w:rPr>
        <w:t>;</w:t>
      </w:r>
      <w:r>
        <w:t xml:space="preserve"> ed. RRP, 1.3.S6.4</w:t>
      </w:r>
      <w:r>
        <w:fldChar w:fldCharType="begin"/>
      </w:r>
      <w:r>
        <w:instrText xml:space="preserve"> XE "</w:instrText>
      </w:r>
      <w:r>
        <w:rPr>
          <w:lang w:val="cs-CZ"/>
        </w:rPr>
        <w:instrText>Rufus:</w:instrText>
      </w:r>
      <w:r w:rsidRPr="00103A24">
        <w:rPr>
          <w:i/>
        </w:rPr>
        <w:instrText>In APos</w:instrText>
      </w:r>
      <w:r w:rsidRPr="00103A24">
        <w:instrText xml:space="preserve"> 1.3.S6.4</w:instrText>
      </w:r>
      <w:r>
        <w:instrText xml:space="preserve">" </w:instrText>
      </w:r>
      <w:r>
        <w:fldChar w:fldCharType="end"/>
      </w:r>
      <w:r>
        <w:t>)</w:t>
      </w:r>
    </w:p>
  </w:footnote>
  <w:footnote w:id="424">
    <w:p w14:paraId="63327581" w14:textId="77777777" w:rsidR="00CD2817" w:rsidRPr="00851A05" w:rsidRDefault="00CD2817" w:rsidP="080A0B36">
      <w:pPr>
        <w:pStyle w:val="Textpoznpodarou"/>
        <w:rPr>
          <w:lang w:val="cs-CZ"/>
        </w:rPr>
      </w:pPr>
      <w:r>
        <w:rPr>
          <w:rStyle w:val="Znakapoznpodarou"/>
        </w:rPr>
        <w:footnoteRef/>
      </w:r>
      <w:r>
        <w:t xml:space="preserve"> </w:t>
      </w:r>
      <w:r>
        <w:rPr>
          <w:lang w:val="cs-CZ"/>
        </w:rPr>
        <w:t>„Sed in hoc quod dico 'proportionale'</w:t>
      </w:r>
      <w:r w:rsidRPr="00851A05">
        <w:rPr>
          <w:lang w:val="cs-CZ"/>
        </w:rPr>
        <w:t xml:space="preserve"> tangitur eadem natura semper et eadem intentio secundum substantiam, diversificata tamen secundum propinquius et remotius ad illam naturam. Praedicat enim ubique certitudinem habitudinis, habitam per naturam numeri, et </w:t>
      </w:r>
      <w:r>
        <w:rPr>
          <w:lang w:val="cs-CZ"/>
        </w:rPr>
        <w:t>est hoc quod dico '</w:t>
      </w:r>
      <w:r w:rsidRPr="00851A05">
        <w:rPr>
          <w:lang w:val="cs-CZ"/>
        </w:rPr>
        <w:t>certitudo</w:t>
      </w:r>
      <w:r>
        <w:rPr>
          <w:lang w:val="cs-CZ"/>
        </w:rPr>
        <w:t>'</w:t>
      </w:r>
      <w:r w:rsidRPr="00851A05">
        <w:rPr>
          <w:lang w:val="cs-CZ"/>
        </w:rPr>
        <w:t xml:space="preserve"> i</w:t>
      </w:r>
      <w:r>
        <w:rPr>
          <w:lang w:val="cs-CZ"/>
        </w:rPr>
        <w:t>ntentio numeri. Et cum dicitur 'numerus'</w:t>
      </w:r>
      <w:r w:rsidRPr="00851A05">
        <w:rPr>
          <w:lang w:val="cs-CZ"/>
        </w:rPr>
        <w:t>, tangitur illud per cuius naturam tangitur et reperitur hoc in omnibus.</w:t>
      </w:r>
      <w:r>
        <w:rPr>
          <w:lang w:val="cs-CZ"/>
        </w:rPr>
        <w:t>“ (</w:t>
      </w:r>
      <w:r w:rsidRPr="0058796D">
        <w:rPr>
          <w:i/>
        </w:rPr>
        <w:t>In APos</w:t>
      </w:r>
      <w:r>
        <w:t xml:space="preserve"> I.</w:t>
      </w:r>
      <w:r>
        <w:rPr>
          <w:lang w:val="cs-CZ"/>
        </w:rPr>
        <w:t>2;</w:t>
      </w:r>
      <w:r>
        <w:t xml:space="preserve"> ed. RRP,</w:t>
      </w:r>
      <w:r>
        <w:rPr>
          <w:lang w:val="cs-CZ"/>
        </w:rPr>
        <w:t xml:space="preserve"> 1.2.</w:t>
      </w:r>
      <w:r w:rsidRPr="00273106">
        <w:t>S10.ad3</w:t>
      </w:r>
      <w:r>
        <w:fldChar w:fldCharType="begin"/>
      </w:r>
      <w:r>
        <w:instrText xml:space="preserve"> XE "</w:instrText>
      </w:r>
      <w:r>
        <w:rPr>
          <w:lang w:val="cs-CZ"/>
        </w:rPr>
        <w:instrText>Rufus:</w:instrText>
      </w:r>
      <w:r w:rsidRPr="00850821">
        <w:rPr>
          <w:i/>
        </w:rPr>
        <w:instrText>In APos</w:instrText>
      </w:r>
      <w:r w:rsidRPr="00850821">
        <w:instrText xml:space="preserve"> </w:instrText>
      </w:r>
      <w:r w:rsidRPr="00850821">
        <w:rPr>
          <w:lang w:val="cs-CZ"/>
        </w:rPr>
        <w:instrText>1.2.</w:instrText>
      </w:r>
      <w:r w:rsidRPr="00850821">
        <w:instrText>S10.ad3</w:instrText>
      </w:r>
      <w:r>
        <w:instrText xml:space="preserve">" </w:instrText>
      </w:r>
      <w:r>
        <w:fldChar w:fldCharType="end"/>
      </w:r>
      <w:r>
        <w:rPr>
          <w:lang w:val="cs-CZ"/>
        </w:rPr>
        <w:t>)</w:t>
      </w:r>
    </w:p>
  </w:footnote>
  <w:footnote w:id="425">
    <w:p w14:paraId="21D2B70C" w14:textId="77777777" w:rsidR="00CD2817" w:rsidRPr="002C1AD0" w:rsidRDefault="00CD2817" w:rsidP="08F364F0">
      <w:pPr>
        <w:pStyle w:val="Textpoznpodarou"/>
        <w:rPr>
          <w:lang w:val="cs-CZ"/>
        </w:rPr>
      </w:pPr>
      <w:r>
        <w:rPr>
          <w:rStyle w:val="Znakapoznpodarou"/>
        </w:rPr>
        <w:footnoteRef/>
      </w:r>
      <w:r>
        <w:t xml:space="preserve"> </w:t>
      </w:r>
      <w:r>
        <w:rPr>
          <w:lang w:val="cs-CZ"/>
        </w:rPr>
        <w:t xml:space="preserve">Základní Carnapova teze jeho </w:t>
      </w:r>
      <w:r w:rsidRPr="002C1AD0">
        <w:rPr>
          <w:i/>
        </w:rPr>
        <w:t>Metaphysikkritik</w:t>
      </w:r>
      <w:r>
        <w:rPr>
          <w:i/>
          <w:lang w:val="cs-CZ"/>
        </w:rPr>
        <w:t xml:space="preserve"> </w:t>
      </w:r>
      <w:r>
        <w:rPr>
          <w:lang w:val="cs-CZ"/>
        </w:rPr>
        <w:t>zní následovně: „</w:t>
      </w:r>
      <w:r w:rsidRPr="00B200AB">
        <w:t xml:space="preserve">Auf dem Gebiet der </w:t>
      </w:r>
      <w:r w:rsidRPr="00B200AB">
        <w:rPr>
          <w:rStyle w:val="ZkladntextKurzvadkovn0pt"/>
          <w:rFonts w:ascii="Calibri" w:hAnsi="Calibri"/>
          <w:iCs w:val="0"/>
          <w:color w:val="auto"/>
          <w:spacing w:val="0"/>
          <w:sz w:val="20"/>
          <w:u w:val="none"/>
          <w:lang w:val="x-none"/>
        </w:rPr>
        <w:t>Metaphysik</w:t>
      </w:r>
      <w:r w:rsidRPr="00B200AB">
        <w:t xml:space="preserve"> (einschließlich aller Wertphilosophie und Normwissenschaft) führt die logische Analyse zu dem negativen Ergebnis, daß </w:t>
      </w:r>
      <w:r w:rsidRPr="00B200AB">
        <w:rPr>
          <w:rStyle w:val="ZkladntextKurzvadkovn0pt"/>
          <w:rFonts w:ascii="Calibri" w:hAnsi="Calibri"/>
          <w:iCs w:val="0"/>
          <w:color w:val="auto"/>
          <w:spacing w:val="0"/>
          <w:sz w:val="20"/>
          <w:u w:val="none"/>
          <w:lang w:val="x-none"/>
        </w:rPr>
        <w:t>d</w:t>
      </w:r>
      <w:r>
        <w:rPr>
          <w:rStyle w:val="ZkladntextKurzvadkovn0pt"/>
          <w:rFonts w:ascii="Calibri" w:hAnsi="Calibri"/>
          <w:iCs w:val="0"/>
          <w:color w:val="auto"/>
          <w:spacing w:val="0"/>
          <w:sz w:val="20"/>
          <w:u w:val="none"/>
          <w:lang w:val="x-none"/>
        </w:rPr>
        <w:t>ie vorgeblichen Sätze dieses Ge</w:t>
      </w:r>
      <w:r w:rsidRPr="00B200AB">
        <w:rPr>
          <w:rStyle w:val="ZkladntextKurzvadkovn0pt"/>
          <w:rFonts w:ascii="Calibri" w:hAnsi="Calibri"/>
          <w:iCs w:val="0"/>
          <w:color w:val="auto"/>
          <w:spacing w:val="0"/>
          <w:sz w:val="20"/>
          <w:u w:val="none"/>
          <w:lang w:val="x-none"/>
        </w:rPr>
        <w:t>bietes gänzlich sinnlos sind</w:t>
      </w:r>
      <w:r w:rsidRPr="00B200AB">
        <w:rPr>
          <w:rStyle w:val="ZkladntextKurzvadkovn0pt"/>
          <w:rFonts w:ascii="Calibri" w:hAnsi="Calibri"/>
          <w:i w:val="0"/>
          <w:iCs w:val="0"/>
          <w:color w:val="auto"/>
          <w:spacing w:val="0"/>
          <w:sz w:val="20"/>
          <w:u w:val="none"/>
          <w:lang w:val="x-none"/>
        </w:rPr>
        <w:t>.</w:t>
      </w:r>
      <w:r w:rsidRPr="00B200AB">
        <w:t xml:space="preserve"> Damit ist eine radikale Überwindung der Metaphysik erreicht, die von den früheren antimetaphysischen Standpunkten aus noch nicht möglich war.</w:t>
      </w:r>
      <w:r>
        <w:rPr>
          <w:lang w:val="cs-CZ"/>
        </w:rPr>
        <w:t>“ (Carnap 1931, 220)</w:t>
      </w:r>
    </w:p>
  </w:footnote>
  <w:footnote w:id="426">
    <w:p w14:paraId="2BC51164" w14:textId="77777777" w:rsidR="00CD2817" w:rsidRPr="008C019F" w:rsidRDefault="00CD2817" w:rsidP="081E5044">
      <w:pPr>
        <w:pStyle w:val="Textpoznpodarou"/>
        <w:rPr>
          <w:lang w:val="cs-CZ"/>
        </w:rPr>
      </w:pPr>
      <w:r>
        <w:rPr>
          <w:rStyle w:val="Znakapoznpodarou"/>
        </w:rPr>
        <w:footnoteRef/>
      </w:r>
      <w:r>
        <w:rPr>
          <w:lang w:val="cs-CZ"/>
        </w:rPr>
        <w:t xml:space="preserve"> „</w:t>
      </w:r>
      <w:r w:rsidRPr="00ED24AA">
        <w:rPr>
          <w:i/>
          <w:lang w:val="cs-CZ"/>
        </w:rPr>
        <w:t>1.</w:t>
      </w:r>
      <w:r w:rsidRPr="008C019F">
        <w:rPr>
          <w:lang w:val="cs-CZ"/>
        </w:rPr>
        <w:t xml:space="preserve"> Die Welt ist alles, was der Fall ist. </w:t>
      </w:r>
      <w:r w:rsidRPr="00ED24AA">
        <w:rPr>
          <w:i/>
          <w:lang w:val="cs-CZ"/>
        </w:rPr>
        <w:t>1.1</w:t>
      </w:r>
      <w:r w:rsidRPr="008C019F">
        <w:rPr>
          <w:lang w:val="cs-CZ"/>
        </w:rPr>
        <w:t xml:space="preserve"> Die Welt ist die Gesamtheit der Tatsachen, nicht der Dinge.</w:t>
      </w:r>
      <w:r>
        <w:rPr>
          <w:lang w:val="cs-CZ"/>
        </w:rPr>
        <w:t>“</w:t>
      </w:r>
      <w:r w:rsidRPr="008C019F">
        <w:rPr>
          <w:lang w:val="cs-CZ"/>
        </w:rPr>
        <w:t xml:space="preserve"> (</w:t>
      </w:r>
      <w:r w:rsidRPr="00217F4F">
        <w:rPr>
          <w:i/>
          <w:lang w:val="cs-CZ"/>
        </w:rPr>
        <w:t>Logisch-Philosophische Abhandlung</w:t>
      </w:r>
      <w:r>
        <w:rPr>
          <w:lang w:val="cs-CZ"/>
        </w:rPr>
        <w:t xml:space="preserve"> 1.1</w:t>
      </w:r>
      <w:r>
        <w:rPr>
          <w:lang w:val="cs-CZ"/>
        </w:rPr>
        <w:fldChar w:fldCharType="begin"/>
      </w:r>
      <w:r>
        <w:instrText xml:space="preserve"> XE "</w:instrText>
      </w:r>
      <w:r>
        <w:rPr>
          <w:lang w:val="cs-CZ"/>
        </w:rPr>
        <w:instrText>Wittgenstein:</w:instrText>
      </w:r>
      <w:r w:rsidRPr="00217F4F">
        <w:rPr>
          <w:i/>
          <w:lang w:val="cs-CZ"/>
        </w:rPr>
        <w:instrText>Logisch-Philosophische Abhandlung</w:instrText>
      </w:r>
      <w:r>
        <w:rPr>
          <w:i/>
          <w:lang w:val="cs-CZ"/>
        </w:rPr>
        <w:instrText xml:space="preserve"> </w:instrText>
      </w:r>
      <w:r>
        <w:rPr>
          <w:lang w:val="cs-CZ"/>
        </w:rPr>
        <w:instrText>1.1</w:instrText>
      </w:r>
      <w:r>
        <w:instrText xml:space="preserve">" </w:instrText>
      </w:r>
      <w:r>
        <w:rPr>
          <w:lang w:val="cs-CZ"/>
        </w:rPr>
        <w:fldChar w:fldCharType="end"/>
      </w:r>
      <w:r w:rsidRPr="008C019F">
        <w:rPr>
          <w:lang w:val="cs-CZ"/>
        </w:rPr>
        <w:t>)</w:t>
      </w:r>
    </w:p>
  </w:footnote>
  <w:footnote w:id="427">
    <w:p w14:paraId="4BFF2C67" w14:textId="77777777" w:rsidR="00CD2817" w:rsidRPr="00F71424" w:rsidRDefault="00CD2817" w:rsidP="00723746">
      <w:pPr>
        <w:pStyle w:val="Textpoznpodarou"/>
      </w:pPr>
      <w:r>
        <w:rPr>
          <w:rStyle w:val="Znakapoznpodarou"/>
        </w:rPr>
        <w:footnoteRef/>
      </w:r>
      <w:r>
        <w:t xml:space="preserve"> </w:t>
      </w:r>
      <w:r>
        <w:rPr>
          <w:lang w:val="cs-CZ"/>
        </w:rPr>
        <w:t>„</w:t>
      </w:r>
      <w:r>
        <w:t>Induktionsprinzip w</w:t>
      </w:r>
      <w:r>
        <w:rPr>
          <w:rFonts w:cs="Calibri"/>
        </w:rPr>
        <w:t>ä</w:t>
      </w:r>
      <w:r w:rsidRPr="008B5EC4">
        <w:t>re mit jedem wissenschaftlichen Fortschritt</w:t>
      </w:r>
      <w:r>
        <w:rPr>
          <w:lang w:val="cs-CZ"/>
        </w:rPr>
        <w:t xml:space="preserve"> </w:t>
      </w:r>
      <w:r>
        <w:t>von neuem falsifiziert. Man m</w:t>
      </w:r>
      <w:r>
        <w:rPr>
          <w:rFonts w:cs="Calibri"/>
        </w:rPr>
        <w:t>üβ</w:t>
      </w:r>
      <w:r w:rsidRPr="008B5EC4">
        <w:t>te deshalb ein Induktionsprinzip</w:t>
      </w:r>
      <w:r>
        <w:rPr>
          <w:lang w:val="cs-CZ"/>
        </w:rPr>
        <w:t xml:space="preserve"> </w:t>
      </w:r>
      <w:r>
        <w:t>einf</w:t>
      </w:r>
      <w:r>
        <w:rPr>
          <w:rFonts w:cs="Calibri"/>
        </w:rPr>
        <w:t>ü</w:t>
      </w:r>
      <w:r w:rsidRPr="008B5EC4">
        <w:t>hren, das nicht falsifizierbar ist. So kommt man zu dem</w:t>
      </w:r>
      <w:r>
        <w:rPr>
          <w:lang w:val="cs-CZ"/>
        </w:rPr>
        <w:t xml:space="preserve"> </w:t>
      </w:r>
      <w:r>
        <w:t xml:space="preserve">Unbegriff </w:t>
      </w:r>
      <w:r w:rsidRPr="008B5EC4">
        <w:t>eines synthetischen Urteils "a priori", d. h. einer unwiderleglichen</w:t>
      </w:r>
      <w:r>
        <w:rPr>
          <w:lang w:val="cs-CZ"/>
        </w:rPr>
        <w:t xml:space="preserve"> </w:t>
      </w:r>
      <w:r>
        <w:t xml:space="preserve">Aussage </w:t>
      </w:r>
      <w:r>
        <w:rPr>
          <w:rFonts w:cs="Calibri"/>
        </w:rPr>
        <w:t>ü</w:t>
      </w:r>
      <w:r>
        <w:t>ber die Wirklichkeit</w:t>
      </w:r>
      <w:r>
        <w:rPr>
          <w:lang w:val="cs-CZ"/>
        </w:rPr>
        <w:t>.</w:t>
      </w:r>
      <w:r w:rsidRPr="008B5EC4">
        <w:t xml:space="preserve"> Versucht man, aus dem metaphysischen Glauben an die</w:t>
      </w:r>
      <w:r>
        <w:rPr>
          <w:lang w:val="cs-CZ"/>
        </w:rPr>
        <w:t xml:space="preserve"> </w:t>
      </w:r>
      <w:r>
        <w:t>Gesetzm</w:t>
      </w:r>
      <w:r>
        <w:rPr>
          <w:rFonts w:cs="Calibri"/>
        </w:rPr>
        <w:t>äβ</w:t>
      </w:r>
      <w:r w:rsidRPr="008B5EC4">
        <w:t>igkeit der Welt, an die Verifizierbarkeit der Theorien,</w:t>
      </w:r>
      <w:r>
        <w:rPr>
          <w:lang w:val="cs-CZ"/>
        </w:rPr>
        <w:t xml:space="preserve"> </w:t>
      </w:r>
      <w:r w:rsidRPr="008B5EC4">
        <w:t>eine Theorie der Erkenntnis zu machen, eine Logik der Induktion,</w:t>
      </w:r>
      <w:r>
        <w:rPr>
          <w:lang w:val="cs-CZ"/>
        </w:rPr>
        <w:t xml:space="preserve"> </w:t>
      </w:r>
      <w:r w:rsidRPr="008B5EC4">
        <w:t>so hat man nur die Wahl zwischen dem unendlichen</w:t>
      </w:r>
      <w:r>
        <w:rPr>
          <w:lang w:val="cs-CZ"/>
        </w:rPr>
        <w:t xml:space="preserve"> </w:t>
      </w:r>
      <w:r>
        <w:t>Regre</w:t>
      </w:r>
      <w:r>
        <w:rPr>
          <w:rFonts w:cs="Calibri"/>
        </w:rPr>
        <w:t>β</w:t>
      </w:r>
      <w:r w:rsidRPr="008B5EC4">
        <w:t xml:space="preserve"> und dem Apriorismus.</w:t>
      </w:r>
      <w:r>
        <w:rPr>
          <w:lang w:val="cs-CZ"/>
        </w:rPr>
        <w:t xml:space="preserve">“ </w:t>
      </w:r>
      <w:r>
        <w:rPr>
          <w:rFonts w:eastAsia="TimesNewRomanPSMT"/>
          <w:szCs w:val="24"/>
        </w:rPr>
        <w:t xml:space="preserve">(Popper 1935, </w:t>
      </w:r>
      <w:r>
        <w:rPr>
          <w:rFonts w:eastAsia="TimesNewRomanPSMT"/>
          <w:szCs w:val="24"/>
          <w:lang w:val="cs-CZ"/>
        </w:rPr>
        <w:t>188</w:t>
      </w:r>
      <w:r w:rsidRPr="00F71424">
        <w:rPr>
          <w:rFonts w:eastAsia="TimesNewRomanPSMT"/>
          <w:szCs w:val="24"/>
        </w:rPr>
        <w:t>).</w:t>
      </w:r>
    </w:p>
  </w:footnote>
  <w:footnote w:id="428">
    <w:p w14:paraId="1D21FDFD" w14:textId="77777777" w:rsidR="00CD2817" w:rsidRPr="00131F72" w:rsidRDefault="00CD2817" w:rsidP="084D4ADF">
      <w:pPr>
        <w:pStyle w:val="Textpoznpodarou"/>
      </w:pPr>
      <w:r>
        <w:rPr>
          <w:rStyle w:val="Znakapoznpodarou"/>
        </w:rPr>
        <w:footnoteRef/>
      </w:r>
      <w:r>
        <w:rPr>
          <w:lang w:val="cs-CZ"/>
        </w:rPr>
        <w:t xml:space="preserve"> „</w:t>
      </w:r>
      <w:r>
        <w:t xml:space="preserve">Unter den allgemeinsten Wesenseigentümlichkeiten der reinen Erlebnissphere behandeln wir an erster Stelle die </w:t>
      </w:r>
      <w:r w:rsidRPr="00D932CA">
        <w:rPr>
          <w:i/>
        </w:rPr>
        <w:t>Reflexion</w:t>
      </w:r>
      <w:r>
        <w:t xml:space="preserve">. Wir tun es um ihrer </w:t>
      </w:r>
      <w:r w:rsidRPr="00D932CA">
        <w:rPr>
          <w:i/>
        </w:rPr>
        <w:t>universellen</w:t>
      </w:r>
      <w:r>
        <w:t xml:space="preserve"> methodologischen Funktion willen: die phänomenologische Methode bewegt sich durchaus in Akten der Reflexion.“ (</w:t>
      </w:r>
      <w:r w:rsidRPr="08184A75">
        <w:rPr>
          <w:i/>
        </w:rPr>
        <w:t>Ideen zu einer reinen Phänomenologie und phänomenologischen Philosophie</w:t>
      </w:r>
      <w:r>
        <w:rPr>
          <w:rStyle w:val="st"/>
        </w:rPr>
        <w:t xml:space="preserve"> I, </w:t>
      </w:r>
      <w:r>
        <w:t xml:space="preserve">Husserliana III/1, § </w:t>
      </w:r>
      <w:r>
        <w:rPr>
          <w:lang w:val="cs-CZ"/>
        </w:rPr>
        <w:t>77</w:t>
      </w:r>
      <w:r>
        <w:t>; ed. Schuhmann, p. 1</w:t>
      </w:r>
      <w:r>
        <w:rPr>
          <w:lang w:val="cs-CZ"/>
        </w:rPr>
        <w:t>62</w:t>
      </w:r>
      <w:r>
        <w:t>.</w:t>
      </w:r>
      <w:r>
        <w:rPr>
          <w:lang w:val="cs-CZ"/>
        </w:rPr>
        <w:t>1</w:t>
      </w:r>
      <w:r>
        <w:t>‒</w:t>
      </w:r>
      <w:r>
        <w:rPr>
          <w:lang w:val="cs-CZ"/>
        </w:rPr>
        <w:t>7</w:t>
      </w:r>
      <w:r>
        <w:rPr>
          <w:lang w:val="cs-CZ"/>
        </w:rPr>
        <w:fldChar w:fldCharType="begin"/>
      </w:r>
      <w:r>
        <w:instrText xml:space="preserve"> XE "</w:instrText>
      </w:r>
      <w:r>
        <w:rPr>
          <w:lang w:val="cs-CZ"/>
        </w:rPr>
        <w:instrText>Husserl:</w:instrText>
      </w:r>
      <w:r w:rsidRPr="00CC23CA">
        <w:rPr>
          <w:i/>
        </w:rPr>
        <w:instrText>Ideen zu einer reinen Phänomenologie und phänomenologischen Philosophie</w:instrText>
      </w:r>
      <w:r w:rsidRPr="00CC23CA">
        <w:rPr>
          <w:rStyle w:val="st"/>
        </w:rPr>
        <w:instrText xml:space="preserve"> I</w:instrText>
      </w:r>
      <w:r>
        <w:rPr>
          <w:rStyle w:val="st"/>
          <w:lang w:val="cs-CZ"/>
        </w:rPr>
        <w:instrText xml:space="preserve"> </w:instrText>
      </w:r>
      <w:r w:rsidRPr="00CC23CA">
        <w:instrText>1</w:instrText>
      </w:r>
      <w:r w:rsidRPr="00CC23CA">
        <w:rPr>
          <w:lang w:val="cs-CZ"/>
        </w:rPr>
        <w:instrText>62</w:instrText>
      </w:r>
      <w:r w:rsidRPr="00CC23CA">
        <w:instrText>.</w:instrText>
      </w:r>
      <w:r w:rsidRPr="00CC23CA">
        <w:rPr>
          <w:lang w:val="cs-CZ"/>
        </w:rPr>
        <w:instrText>1</w:instrText>
      </w:r>
      <w:r w:rsidRPr="00CC23CA">
        <w:instrText>‒</w:instrText>
      </w:r>
      <w:r w:rsidRPr="00CC23CA">
        <w:rPr>
          <w:lang w:val="cs-CZ"/>
        </w:rPr>
        <w:instrText>7</w:instrText>
      </w:r>
      <w:r>
        <w:instrText xml:space="preserve">" </w:instrText>
      </w:r>
      <w:r>
        <w:rPr>
          <w:lang w:val="cs-CZ"/>
        </w:rPr>
        <w:fldChar w:fldCharType="end"/>
      </w:r>
      <w:r>
        <w:rPr>
          <w:lang w:val="cs-CZ"/>
        </w:rPr>
        <w:t>)</w:t>
      </w:r>
    </w:p>
  </w:footnote>
  <w:footnote w:id="429">
    <w:p w14:paraId="3C199ED0" w14:textId="77777777" w:rsidR="00CD2817" w:rsidRPr="082D1F82" w:rsidRDefault="00CD2817" w:rsidP="084D4ADF">
      <w:pPr>
        <w:pStyle w:val="Textpoznpodarou"/>
      </w:pPr>
      <w:r>
        <w:rPr>
          <w:rStyle w:val="Znakapoznpodarou"/>
        </w:rPr>
        <w:footnoteRef/>
      </w:r>
      <w:r>
        <w:t xml:space="preserve"> „</w:t>
      </w:r>
      <w:r w:rsidRPr="082D1F82">
        <w:t>Das Wesen (Eidos) ist ein neuartiger Gegenstand. So wie das Gegebe</w:t>
      </w:r>
      <w:r>
        <w:t xml:space="preserve">ne der individuellen oder erfahrenden </w:t>
      </w:r>
      <w:r w:rsidRPr="082D1F82">
        <w:t>Anschauung ein individueller Gegenstand ist, so das Gegebene der Wesensanschauung ein reines Wesen. Hier liegt nicht ei</w:t>
      </w:r>
      <w:r>
        <w:t>ne bloß äußerliche Analogie vor, sondern r</w:t>
      </w:r>
      <w:r w:rsidRPr="082D1F82">
        <w:t>adikale Gemeinsamkeit. Auch Wesenserschauung ist eben Anschauung, wie eidetischer Gegenstand eben Gegenstand ist.</w:t>
      </w:r>
      <w:r>
        <w:t>“ (</w:t>
      </w:r>
      <w:r w:rsidRPr="08184A75">
        <w:rPr>
          <w:i/>
        </w:rPr>
        <w:t>Ideen zu einer reinen Phänomenologie und phänomenologischen Philosophie</w:t>
      </w:r>
      <w:r>
        <w:rPr>
          <w:rStyle w:val="st"/>
        </w:rPr>
        <w:t xml:space="preserve"> I, </w:t>
      </w:r>
      <w:r>
        <w:t>Husserliana III/1, § 3; ed. Schuhmann, p. 14.20‒26</w:t>
      </w:r>
      <w:r>
        <w:rPr>
          <w:lang w:val="cs-CZ"/>
        </w:rPr>
        <w:fldChar w:fldCharType="begin"/>
      </w:r>
      <w:r>
        <w:instrText xml:space="preserve"> XE "</w:instrText>
      </w:r>
      <w:r>
        <w:rPr>
          <w:lang w:val="cs-CZ"/>
        </w:rPr>
        <w:instrText>Husserl:</w:instrText>
      </w:r>
      <w:r w:rsidRPr="00CC23CA">
        <w:rPr>
          <w:i/>
        </w:rPr>
        <w:instrText>Ideen zu einer reinen Phänomenologie und phänomenologischen Philosophie</w:instrText>
      </w:r>
      <w:r w:rsidRPr="00CC23CA">
        <w:rPr>
          <w:rStyle w:val="st"/>
        </w:rPr>
        <w:instrText xml:space="preserve"> I,</w:instrText>
      </w:r>
      <w:r>
        <w:rPr>
          <w:rStyle w:val="st"/>
          <w:lang w:val="cs-CZ"/>
        </w:rPr>
        <w:instrText xml:space="preserve"> 14</w:instrText>
      </w:r>
      <w:r w:rsidRPr="00CC23CA">
        <w:instrText>.</w:instrText>
      </w:r>
      <w:r>
        <w:rPr>
          <w:lang w:val="cs-CZ"/>
        </w:rPr>
        <w:instrText>20</w:instrText>
      </w:r>
      <w:r w:rsidRPr="00CC23CA">
        <w:instrText>‒</w:instrText>
      </w:r>
      <w:r>
        <w:rPr>
          <w:lang w:val="cs-CZ"/>
        </w:rPr>
        <w:instrText>26</w:instrText>
      </w:r>
      <w:r>
        <w:instrText xml:space="preserve">" </w:instrText>
      </w:r>
      <w:r>
        <w:rPr>
          <w:lang w:val="cs-CZ"/>
        </w:rPr>
        <w:fldChar w:fldCharType="end"/>
      </w:r>
      <w:r>
        <w:t xml:space="preserve">) K podobnosti Rufusova a Husselova eidetického náhledu v činném intelektu viz příslušné poznámky v kap. </w:t>
      </w:r>
      <w:r>
        <w:rPr>
          <w:lang w:val="cs-CZ"/>
        </w:rPr>
        <w:t>3</w:t>
      </w:r>
      <w:r>
        <w:t>.3.3.</w:t>
      </w:r>
    </w:p>
  </w:footnote>
  <w:footnote w:id="430">
    <w:p w14:paraId="3DEE6B7A" w14:textId="77777777" w:rsidR="00CD2817" w:rsidRPr="00F64572" w:rsidRDefault="00CD2817" w:rsidP="08373ACC">
      <w:pPr>
        <w:pStyle w:val="Textpoznpodarou"/>
      </w:pPr>
      <w:r>
        <w:rPr>
          <w:rStyle w:val="Znakapoznpodarou"/>
        </w:rPr>
        <w:footnoteRef/>
      </w:r>
      <w:r>
        <w:rPr>
          <w:lang w:val="cs-CZ"/>
        </w:rPr>
        <w:t xml:space="preserve"> </w:t>
      </w:r>
      <w:r>
        <w:t>„</w:t>
      </w:r>
      <w:r>
        <w:rPr>
          <w:lang w:val="cs-CZ"/>
        </w:rPr>
        <w:t>D</w:t>
      </w:r>
      <w:r w:rsidRPr="00BB154B">
        <w:t>icendo quod materia non est causa receptionis simpliciter, sed causa receptionis transmutabilis, scilicet receptionis huius entis individualis; unde necesse est ut illud quod non recipit receptione individuali non sit materiale aliquo modo.“ (</w:t>
      </w:r>
      <w:r>
        <w:t>CMDA III.28</w:t>
      </w:r>
      <w:r>
        <w:rPr>
          <w:lang w:val="cs-CZ"/>
        </w:rPr>
        <w:t xml:space="preserve">; </w:t>
      </w:r>
      <w:r>
        <w:t>467.43‒47</w:t>
      </w:r>
      <w:r>
        <w:fldChar w:fldCharType="begin"/>
      </w:r>
      <w:r>
        <w:instrText xml:space="preserve"> XE "</w:instrText>
      </w:r>
      <w:r>
        <w:rPr>
          <w:lang w:val="cs-CZ"/>
        </w:rPr>
        <w:instrText>Averroes:</w:instrText>
      </w:r>
      <w:r w:rsidRPr="00A863A5">
        <w:instrText>CMDA 467.43‒47</w:instrText>
      </w:r>
      <w:r>
        <w:instrText xml:space="preserve">" </w:instrText>
      </w:r>
      <w:r>
        <w:fldChar w:fldCharType="end"/>
      </w:r>
      <w:r w:rsidRPr="00BB154B">
        <w:t>)</w:t>
      </w:r>
    </w:p>
  </w:footnote>
  <w:footnote w:id="431">
    <w:p w14:paraId="7E9DFFF5" w14:textId="77777777" w:rsidR="00CD2817" w:rsidRDefault="00CD2817">
      <w:pPr>
        <w:pStyle w:val="Textpoznpodarou"/>
      </w:pPr>
      <w:r>
        <w:rPr>
          <w:rStyle w:val="Znakapoznpodarou"/>
        </w:rPr>
        <w:footnoteRef/>
      </w:r>
      <w:r>
        <w:t xml:space="preserve"> </w:t>
      </w:r>
      <w:r w:rsidRPr="00107C33">
        <w:t>„Quaeritur de redargutione Aristotelis quam ponit contra Platonem ponentem species separatas esse causas singularium, quia super hoc dicit Commentator quod nullum materiale transmutatur nisi a materiali, et propterea cum species sint immateriales et singularia materialia, non poterunt singularia transmutari a speciebus. Sed hoc vide</w:t>
      </w:r>
      <w:r>
        <w:rPr>
          <w:lang w:val="cs-CZ"/>
        </w:rPr>
        <w:t>t</w:t>
      </w:r>
      <w:r w:rsidRPr="00107C33">
        <w:t>ur falsum…“ (</w:t>
      </w:r>
      <w:r w:rsidRPr="00A41EDF">
        <w:rPr>
          <w:i/>
        </w:rPr>
        <w:t>Memoriale</w:t>
      </w:r>
      <w:r>
        <w:rPr>
          <w:lang w:val="cs-CZ"/>
        </w:rPr>
        <w:t xml:space="preserve"> </w:t>
      </w:r>
      <w:r>
        <w:t>II</w:t>
      </w:r>
      <w:r>
        <w:rPr>
          <w:lang w:val="cs-CZ"/>
        </w:rPr>
        <w:t>;</w:t>
      </w:r>
      <w:r>
        <w:t xml:space="preserve"> ed. </w:t>
      </w:r>
      <w:r w:rsidRPr="006831E5">
        <w:t xml:space="preserve">RRP, </w:t>
      </w:r>
      <w:r>
        <w:t>2</w:t>
      </w:r>
      <w:r w:rsidRPr="00107C33">
        <w:t>.7</w:t>
      </w:r>
      <w:r>
        <w:fldChar w:fldCharType="begin"/>
      </w:r>
      <w:r>
        <w:instrText xml:space="preserve"> XE "</w:instrText>
      </w:r>
      <w:r>
        <w:rPr>
          <w:lang w:val="cs-CZ"/>
        </w:rPr>
        <w:instrText>Rufus:</w:instrText>
      </w:r>
      <w:r w:rsidRPr="008D584D">
        <w:rPr>
          <w:i/>
        </w:rPr>
        <w:instrText>Memoriale</w:instrText>
      </w:r>
      <w:r w:rsidRPr="008D584D">
        <w:rPr>
          <w:lang w:val="cs-CZ"/>
        </w:rPr>
        <w:instrText xml:space="preserve"> </w:instrText>
      </w:r>
      <w:r w:rsidRPr="008D584D">
        <w:instrText>2.7</w:instrText>
      </w:r>
      <w:r>
        <w:instrText xml:space="preserve">" </w:instrText>
      </w:r>
      <w:r>
        <w:fldChar w:fldCharType="end"/>
      </w:r>
      <w:r w:rsidRPr="00107C33">
        <w:t>)</w:t>
      </w:r>
    </w:p>
  </w:footnote>
  <w:footnote w:id="432">
    <w:p w14:paraId="0E7155A4" w14:textId="77777777" w:rsidR="00CD2817" w:rsidRDefault="00CD2817">
      <w:pPr>
        <w:pStyle w:val="Textpoznpodarou"/>
      </w:pPr>
      <w:r>
        <w:rPr>
          <w:rStyle w:val="Znakapoznpodarou"/>
        </w:rPr>
        <w:footnoteRef/>
      </w:r>
      <w:r>
        <w:t xml:space="preserve"> </w:t>
      </w:r>
      <w:r>
        <w:rPr>
          <w:rStyle w:val="yellow"/>
        </w:rPr>
        <w:t>„Expositio</w:t>
      </w:r>
      <w:r>
        <w:t xml:space="preserve"> autem Commentatoris fuit dicentis contrarium, quod materiale principium non cedit in idem numero prius resoluto propter multas transmutationes et variationes factas in ipso quae sunt </w:t>
      </w:r>
      <w:r w:rsidRPr="008E363D">
        <w:t>substantiales, et ita non videtur principium manere idem numero – cum tamen hoc sit falsum, ut credo.</w:t>
      </w:r>
      <w:r>
        <w:t>“ (</w:t>
      </w:r>
      <w:r w:rsidRPr="00A41EDF">
        <w:rPr>
          <w:i/>
        </w:rPr>
        <w:t>Memoriale</w:t>
      </w:r>
      <w:r>
        <w:rPr>
          <w:lang w:val="cs-CZ"/>
        </w:rPr>
        <w:t xml:space="preserve"> </w:t>
      </w:r>
      <w:r>
        <w:t>IV</w:t>
      </w:r>
      <w:r>
        <w:rPr>
          <w:lang w:val="cs-CZ"/>
        </w:rPr>
        <w:t>;</w:t>
      </w:r>
      <w:r>
        <w:t xml:space="preserve"> ed. </w:t>
      </w:r>
      <w:r w:rsidRPr="00583E9E">
        <w:t>RRP</w:t>
      </w:r>
      <w:r>
        <w:rPr>
          <w:rStyle w:val="TextpoznpodarouChar"/>
        </w:rPr>
        <w:t>, 4.1</w:t>
      </w:r>
      <w:r>
        <w:rPr>
          <w:rStyle w:val="TextpoznpodarouChar"/>
        </w:rPr>
        <w:fldChar w:fldCharType="begin"/>
      </w:r>
      <w:r>
        <w:instrText xml:space="preserve"> XE "</w:instrText>
      </w:r>
      <w:r>
        <w:rPr>
          <w:lang w:val="cs-CZ"/>
        </w:rPr>
        <w:instrText>Rufus:</w:instrText>
      </w:r>
      <w:r w:rsidRPr="008D7A0A">
        <w:rPr>
          <w:i/>
        </w:rPr>
        <w:instrText>Memoriale</w:instrText>
      </w:r>
      <w:r w:rsidRPr="008D7A0A">
        <w:rPr>
          <w:lang w:val="cs-CZ"/>
        </w:rPr>
        <w:instrText xml:space="preserve"> </w:instrText>
      </w:r>
      <w:r w:rsidRPr="008D7A0A">
        <w:rPr>
          <w:rStyle w:val="TextpoznpodarouChar"/>
        </w:rPr>
        <w:instrText>4.1</w:instrText>
      </w:r>
      <w:r>
        <w:instrText xml:space="preserve">" </w:instrText>
      </w:r>
      <w:r>
        <w:rPr>
          <w:rStyle w:val="TextpoznpodarouChar"/>
        </w:rPr>
        <w:fldChar w:fldCharType="end"/>
      </w:r>
      <w:r>
        <w:t>)</w:t>
      </w:r>
    </w:p>
  </w:footnote>
  <w:footnote w:id="433">
    <w:p w14:paraId="2CEF1CF7" w14:textId="77777777" w:rsidR="00CD2817" w:rsidRPr="00BD1627" w:rsidRDefault="00CD2817" w:rsidP="00C100A7">
      <w:pPr>
        <w:pStyle w:val="Textpoznpodarou"/>
      </w:pPr>
      <w:r w:rsidRPr="00BD1627">
        <w:rPr>
          <w:rStyle w:val="Znakapoznpodarou"/>
        </w:rPr>
        <w:footnoteRef/>
      </w:r>
      <w:r>
        <w:t xml:space="preserve"> </w:t>
      </w:r>
      <w:r w:rsidRPr="00BD1627">
        <w:t>„</w:t>
      </w:r>
      <w:r w:rsidRPr="00BD1627">
        <w:rPr>
          <w:szCs w:val="22"/>
        </w:rPr>
        <w:t xml:space="preserve">Ratio huius sermonis forte esse potest quod omnis substantia, si vere et perfecte sciatur, </w:t>
      </w:r>
      <w:r w:rsidRPr="006A4E8D">
        <w:rPr>
          <w:szCs w:val="22"/>
        </w:rPr>
        <w:t>inquantum est substantia erit scita, et prima omnium substantia, quia illa prima vera est species et vera forma omnis naturae concreatae</w:t>
      </w:r>
      <w:r w:rsidRPr="00BD1627">
        <w:rPr>
          <w:szCs w:val="22"/>
        </w:rPr>
        <w:t>.“ (</w:t>
      </w:r>
      <w:r w:rsidRPr="006A4E8D">
        <w:rPr>
          <w:rStyle w:val="TextpoznpodarouChar"/>
          <w:i/>
        </w:rPr>
        <w:t>Contra Averroem</w:t>
      </w:r>
      <w:r>
        <w:rPr>
          <w:rStyle w:val="TextpoznpodarouChar"/>
        </w:rPr>
        <w:t xml:space="preserve"> 1.4.2</w:t>
      </w:r>
      <w:r>
        <w:rPr>
          <w:rStyle w:val="TextpoznpodarouChar"/>
          <w:lang w:val="cs-CZ"/>
        </w:rPr>
        <w:t xml:space="preserve">; </w:t>
      </w:r>
      <w:r w:rsidRPr="00BD1627">
        <w:rPr>
          <w:rStyle w:val="TextpoznpodarouChar"/>
        </w:rPr>
        <w:t>ed. Wood</w:t>
      </w:r>
      <w:r>
        <w:rPr>
          <w:rStyle w:val="TextpoznpodarouChar"/>
        </w:rPr>
        <w:t>&amp;Nonne, p. 8.170‒</w:t>
      </w:r>
      <w:r w:rsidRPr="00BD1627">
        <w:rPr>
          <w:rStyle w:val="TextpoznpodarouChar"/>
        </w:rPr>
        <w:t>73</w:t>
      </w:r>
      <w:r>
        <w:rPr>
          <w:rStyle w:val="TextpoznpodarouChar"/>
        </w:rPr>
        <w:fldChar w:fldCharType="begin"/>
      </w:r>
      <w:r>
        <w:instrText xml:space="preserve"> XE "</w:instrText>
      </w:r>
      <w:r>
        <w:rPr>
          <w:lang w:val="cs-CZ"/>
        </w:rPr>
        <w:instrText>Rufus:</w:instrText>
      </w:r>
      <w:r w:rsidRPr="00A04792">
        <w:rPr>
          <w:rStyle w:val="TextpoznpodarouChar"/>
          <w:i/>
        </w:rPr>
        <w:instrText>Contra Averroem</w:instrText>
      </w:r>
      <w:r>
        <w:rPr>
          <w:rStyle w:val="TextpoznpodarouChar"/>
        </w:rPr>
        <w:instrText xml:space="preserve"> 8.170‒</w:instrText>
      </w:r>
      <w:r w:rsidRPr="00A04792">
        <w:rPr>
          <w:rStyle w:val="TextpoznpodarouChar"/>
        </w:rPr>
        <w:instrText>73</w:instrText>
      </w:r>
      <w:r>
        <w:instrText xml:space="preserve">" </w:instrText>
      </w:r>
      <w:r>
        <w:rPr>
          <w:rStyle w:val="TextpoznpodarouChar"/>
        </w:rPr>
        <w:fldChar w:fldCharType="end"/>
      </w:r>
      <w:r w:rsidRPr="00BD1627">
        <w:rPr>
          <w:szCs w:val="22"/>
        </w:rPr>
        <w:t>)</w:t>
      </w:r>
    </w:p>
  </w:footnote>
  <w:footnote w:id="434">
    <w:p w14:paraId="6C3705E5" w14:textId="77777777" w:rsidR="00CD2817" w:rsidRDefault="00CD2817">
      <w:pPr>
        <w:pStyle w:val="Textpoznpodarou"/>
      </w:pPr>
      <w:r>
        <w:rPr>
          <w:rStyle w:val="Znakapoznpodarou"/>
        </w:rPr>
        <w:footnoteRef/>
      </w:r>
      <w:r>
        <w:t xml:space="preserve"> </w:t>
      </w:r>
      <w:r w:rsidRPr="00044C5E">
        <w:t>„Et sic patens est quod ad individuationem requiruntur tria: [agens], materia et virtus disponens. Et ista virtus ponitur medium inter substantiam et accidens, quia neque est complete substantia neque complete accidens. Et secundum hanc positionem dicendum quod materia coexigitur ad individuationem, non tamen est principium efficiens individuationis.“ (</w:t>
      </w:r>
      <w:r w:rsidRPr="006A4E8D">
        <w:rPr>
          <w:i/>
        </w:rPr>
        <w:t>Memoriale</w:t>
      </w:r>
      <w:r>
        <w:rPr>
          <w:lang w:val="cs-CZ"/>
        </w:rPr>
        <w:t xml:space="preserve"> </w:t>
      </w:r>
      <w:r>
        <w:t>VII</w:t>
      </w:r>
      <w:r>
        <w:rPr>
          <w:lang w:val="cs-CZ"/>
        </w:rPr>
        <w:t>;</w:t>
      </w:r>
      <w:r>
        <w:t xml:space="preserve"> ed. </w:t>
      </w:r>
      <w:r w:rsidRPr="005A6C3B">
        <w:t xml:space="preserve">RRP, </w:t>
      </w:r>
      <w:r>
        <w:t>7.11.5.c</w:t>
      </w:r>
      <w:r>
        <w:fldChar w:fldCharType="begin"/>
      </w:r>
      <w:r>
        <w:instrText xml:space="preserve"> XE "</w:instrText>
      </w:r>
      <w:r>
        <w:rPr>
          <w:lang w:val="cs-CZ"/>
        </w:rPr>
        <w:instrText>Rufus:</w:instrText>
      </w:r>
      <w:r w:rsidRPr="00981D71">
        <w:rPr>
          <w:i/>
        </w:rPr>
        <w:instrText>Memoriale</w:instrText>
      </w:r>
      <w:r w:rsidRPr="00981D71">
        <w:rPr>
          <w:lang w:val="cs-CZ"/>
        </w:rPr>
        <w:instrText xml:space="preserve"> </w:instrText>
      </w:r>
      <w:r w:rsidRPr="00981D71">
        <w:instrText>7.11.5.c</w:instrText>
      </w:r>
      <w:r>
        <w:instrText xml:space="preserve">" </w:instrText>
      </w:r>
      <w:r>
        <w:fldChar w:fldCharType="end"/>
      </w:r>
      <w:r>
        <w:t>)</w:t>
      </w:r>
    </w:p>
  </w:footnote>
  <w:footnote w:id="435">
    <w:p w14:paraId="15EA1E0D" w14:textId="77777777" w:rsidR="00CD2817" w:rsidRPr="00E43203" w:rsidRDefault="00CD2817" w:rsidP="082D7CD5">
      <w:pPr>
        <w:pStyle w:val="Textpoznpodarou"/>
      </w:pPr>
      <w:r w:rsidRPr="00E43203">
        <w:rPr>
          <w:rStyle w:val="Znakapoznpodarou"/>
        </w:rPr>
        <w:footnoteRef/>
      </w:r>
      <w:r>
        <w:t xml:space="preserve"> „</w:t>
      </w:r>
      <w:r w:rsidRPr="00E43203">
        <w:t xml:space="preserve">Deinde dixit: </w:t>
      </w:r>
      <w:r w:rsidRPr="00E43203">
        <w:rPr>
          <w:rFonts w:eastAsia="Sylfaen"/>
          <w:i/>
        </w:rPr>
        <w:t>Vivum autem universale</w:t>
      </w:r>
      <w:r w:rsidRPr="00E43203">
        <w:t xml:space="preserve">, etc. Demonstratur per hoc quod ipse non opinatur quod diffinitiones generum et specierum sunt diffinitiones rerum universalium existentium extra animam; sed sunt diffinitiones rerum particularium extra intellectum, sed intellectus est qui agit in eis </w:t>
      </w:r>
      <w:r>
        <w:t>universalitatem.“</w:t>
      </w:r>
      <w:r w:rsidRPr="00E43203">
        <w:t xml:space="preserve"> (</w:t>
      </w:r>
      <w:r>
        <w:t>CMDA I.8</w:t>
      </w:r>
      <w:r>
        <w:rPr>
          <w:lang w:val="cs-CZ"/>
        </w:rPr>
        <w:t>;</w:t>
      </w:r>
      <w:r>
        <w:t xml:space="preserve"> 12.21‒24</w:t>
      </w:r>
      <w:r>
        <w:fldChar w:fldCharType="begin"/>
      </w:r>
      <w:r>
        <w:instrText xml:space="preserve"> XE "</w:instrText>
      </w:r>
      <w:r>
        <w:rPr>
          <w:lang w:val="cs-CZ"/>
        </w:rPr>
        <w:instrText>Averroes:</w:instrText>
      </w:r>
      <w:r w:rsidRPr="00B438AD">
        <w:instrText>CMDA 12.21‒24</w:instrText>
      </w:r>
      <w:r>
        <w:instrText xml:space="preserve">" </w:instrText>
      </w:r>
      <w:r>
        <w:fldChar w:fldCharType="end"/>
      </w:r>
      <w:r>
        <w:t>)</w:t>
      </w:r>
    </w:p>
  </w:footnote>
  <w:footnote w:id="436">
    <w:p w14:paraId="518F95F0" w14:textId="77777777" w:rsidR="00CD2817" w:rsidRDefault="00CD2817">
      <w:pPr>
        <w:pStyle w:val="Textpoznpodarou"/>
      </w:pPr>
      <w:r>
        <w:rPr>
          <w:rStyle w:val="Znakapoznpodarou"/>
        </w:rPr>
        <w:footnoteRef/>
      </w:r>
      <w:r>
        <w:t xml:space="preserve"> „</w:t>
      </w:r>
      <w:r w:rsidRPr="00FE524F">
        <w:t xml:space="preserve">Quia tamen </w:t>
      </w:r>
      <w:r>
        <w:t>Aristoteles</w:t>
      </w:r>
      <w:r w:rsidRPr="00FE524F">
        <w:t xml:space="preserve"> non solum dicit formam esse universale prout habet esse in anima sed prout habet esse extra animam, et hoc sive ipsa consideretur inquantum est in multis et non in singulis, sive consideretur inquantum est in singulis, ideo potest dici universale habere esse in anima et extra animam.</w:t>
      </w:r>
      <w:r>
        <w:t>“</w:t>
      </w:r>
      <w:r w:rsidRPr="00FE524F">
        <w:t xml:space="preserve"> (</w:t>
      </w:r>
      <w:r w:rsidRPr="006A4E8D">
        <w:rPr>
          <w:i/>
        </w:rPr>
        <w:t>Memoriale</w:t>
      </w:r>
      <w:r w:rsidRPr="006F225E">
        <w:t xml:space="preserve"> </w:t>
      </w:r>
      <w:r>
        <w:t xml:space="preserve">VII, ed. </w:t>
      </w:r>
      <w:r w:rsidRPr="006F225E">
        <w:t>RRP, 7.8</w:t>
      </w:r>
      <w:r>
        <w:fldChar w:fldCharType="begin"/>
      </w:r>
      <w:r>
        <w:instrText xml:space="preserve"> XE "</w:instrText>
      </w:r>
      <w:r>
        <w:rPr>
          <w:lang w:val="cs-CZ"/>
        </w:rPr>
        <w:instrText>Rufus:</w:instrText>
      </w:r>
      <w:r w:rsidRPr="005D6C56">
        <w:rPr>
          <w:i/>
        </w:rPr>
        <w:instrText>Memoriale</w:instrText>
      </w:r>
      <w:r w:rsidRPr="005D6C56">
        <w:instrText xml:space="preserve"> 7.8</w:instrText>
      </w:r>
      <w:r>
        <w:instrText xml:space="preserve">" </w:instrText>
      </w:r>
      <w:r>
        <w:fldChar w:fldCharType="end"/>
      </w:r>
      <w:r w:rsidRPr="00FE524F">
        <w:t>)</w:t>
      </w:r>
    </w:p>
  </w:footnote>
  <w:footnote w:id="437">
    <w:p w14:paraId="0C780164" w14:textId="77777777" w:rsidR="00CD2817" w:rsidRDefault="00CD2817">
      <w:pPr>
        <w:pStyle w:val="Textpoznpodarou"/>
      </w:pPr>
      <w:r>
        <w:rPr>
          <w:rStyle w:val="Znakapoznpodarou"/>
        </w:rPr>
        <w:footnoteRef/>
      </w:r>
      <w:r>
        <w:t xml:space="preserve"> </w:t>
      </w:r>
      <w:r w:rsidRPr="00D063F2">
        <w:t>„Item, natura speciei specialissimae per se est intelligibilis, et illud additum super formam speciei specialissimae quod est causa individuationis (quicquid illud fuerit) est scibile; alioquin enim esset quaestio insolubilis, quaerens causam individuationis.“ (</w:t>
      </w:r>
      <w:r w:rsidRPr="00BD2066">
        <w:rPr>
          <w:i/>
        </w:rPr>
        <w:t>Contra Averroem</w:t>
      </w:r>
      <w:r>
        <w:t xml:space="preserve"> 1.4.3, ed. Wood&amp;Nonne, p. 8.176‒</w:t>
      </w:r>
      <w:r w:rsidRPr="00BD2066">
        <w:t>79</w:t>
      </w:r>
      <w:r>
        <w:fldChar w:fldCharType="begin"/>
      </w:r>
      <w:r>
        <w:instrText xml:space="preserve"> XE "</w:instrText>
      </w:r>
      <w:r>
        <w:rPr>
          <w:lang w:val="cs-CZ"/>
        </w:rPr>
        <w:instrText>Rufus:</w:instrText>
      </w:r>
      <w:r w:rsidRPr="001E5FC5">
        <w:rPr>
          <w:i/>
        </w:rPr>
        <w:instrText>Contra Averroem</w:instrText>
      </w:r>
      <w:r>
        <w:instrText xml:space="preserve"> 8.176‒</w:instrText>
      </w:r>
      <w:r w:rsidRPr="001E5FC5">
        <w:instrText>79</w:instrText>
      </w:r>
      <w:r>
        <w:instrText xml:space="preserve">" </w:instrText>
      </w:r>
      <w:r>
        <w:fldChar w:fldCharType="end"/>
      </w:r>
      <w:r w:rsidRPr="00D063F2">
        <w:t>)</w:t>
      </w:r>
    </w:p>
  </w:footnote>
  <w:footnote w:id="438">
    <w:p w14:paraId="72DA0DB3" w14:textId="77777777" w:rsidR="00CD2817" w:rsidRDefault="00CD2817">
      <w:pPr>
        <w:pStyle w:val="Textpoznpodarou"/>
      </w:pPr>
      <w:r>
        <w:rPr>
          <w:rStyle w:val="Znakapoznpodarou"/>
        </w:rPr>
        <w:footnoteRef/>
      </w:r>
      <w:r>
        <w:t xml:space="preserve"> </w:t>
      </w:r>
      <w:r w:rsidRPr="00110ECA">
        <w:t xml:space="preserve">„Loquor enim de materia circumscripta ab </w:t>
      </w:r>
      <w:r w:rsidRPr="00110ECA">
        <w:rPr>
          <w:szCs w:val="12"/>
        </w:rPr>
        <w:t xml:space="preserve"> </w:t>
      </w:r>
      <w:r w:rsidRPr="00110ECA">
        <w:t>ea omni forma communi et propria et communissima – scilicet, forma generis generissimi; hanc enim omnium primo recipit, et</w:t>
      </w:r>
      <w:r>
        <w:t xml:space="preserve"> </w:t>
      </w:r>
      <w:r w:rsidRPr="00110ECA">
        <w:t>mediante hac alias per ordinem usque ad individualem.“ (</w:t>
      </w:r>
      <w:r w:rsidRPr="00537F79">
        <w:rPr>
          <w:i/>
        </w:rPr>
        <w:t>Contra Averroem</w:t>
      </w:r>
      <w:r w:rsidRPr="00537F79">
        <w:t xml:space="preserve"> </w:t>
      </w:r>
      <w:r>
        <w:t>1.4.1, ed. Wood&amp;Nonne, p. 9.9‒12</w:t>
      </w:r>
      <w:r>
        <w:fldChar w:fldCharType="begin"/>
      </w:r>
      <w:r>
        <w:instrText xml:space="preserve"> XE "</w:instrText>
      </w:r>
      <w:r>
        <w:rPr>
          <w:lang w:val="cs-CZ"/>
        </w:rPr>
        <w:instrText>Rufus:</w:instrText>
      </w:r>
      <w:r w:rsidRPr="00003118">
        <w:rPr>
          <w:i/>
        </w:rPr>
        <w:instrText>Contra Averroem</w:instrText>
      </w:r>
      <w:r w:rsidRPr="00003118">
        <w:instrText xml:space="preserve"> 9.9‒12</w:instrText>
      </w:r>
      <w:r>
        <w:instrText xml:space="preserve">" </w:instrText>
      </w:r>
      <w:r>
        <w:fldChar w:fldCharType="end"/>
      </w:r>
      <w:r w:rsidRPr="00110ECA">
        <w:t>)</w:t>
      </w:r>
    </w:p>
  </w:footnote>
  <w:footnote w:id="439">
    <w:p w14:paraId="324C8AF5" w14:textId="77777777" w:rsidR="00CD2817" w:rsidRPr="08350612" w:rsidRDefault="00CD2817" w:rsidP="08350612">
      <w:pPr>
        <w:pStyle w:val="Textpoznpodarou"/>
      </w:pPr>
      <w:r w:rsidRPr="08350612">
        <w:rPr>
          <w:rStyle w:val="Znakapoznpodarou"/>
        </w:rPr>
        <w:footnoteRef/>
      </w:r>
      <w:r w:rsidRPr="08350612">
        <w:t xml:space="preserve"> „Prima autem ratio solum procedebat de individuatione quoad distinctionem unius ab alio, de qua iam praedicti auctores fatentur non oriri a materia. Adverto tamen argumenta facta non convincere de omni distinctione, nam, ut infra dicam, materia suo modo habet unde distinguat unum ab alio, quatenus ipsa habet aliquem actum entitativum; probant tamen non esse cur prima ratio totius distinctionis numericae illi potius quam alicui formae attribuatur.“ (</w:t>
      </w:r>
      <w:r>
        <w:rPr>
          <w:rStyle w:val="txt12"/>
          <w:i/>
        </w:rPr>
        <w:t xml:space="preserve">Disputationes </w:t>
      </w:r>
      <w:r>
        <w:rPr>
          <w:rStyle w:val="txt12"/>
          <w:i/>
          <w:lang w:val="cs-CZ"/>
        </w:rPr>
        <w:t>m</w:t>
      </w:r>
      <w:r w:rsidRPr="08350612">
        <w:rPr>
          <w:rStyle w:val="txt12"/>
          <w:i/>
        </w:rPr>
        <w:t>etaphysicae</w:t>
      </w:r>
      <w:r w:rsidRPr="08350612">
        <w:rPr>
          <w:rStyle w:val="txt12"/>
        </w:rPr>
        <w:t xml:space="preserve"> </w:t>
      </w:r>
      <w:r w:rsidRPr="08350612">
        <w:t>5.3.5</w:t>
      </w:r>
      <w:r w:rsidRPr="08350612">
        <w:fldChar w:fldCharType="begin"/>
      </w:r>
      <w:r w:rsidRPr="08350612">
        <w:instrText xml:space="preserve"> XE "Suárez:</w:instrText>
      </w:r>
      <w:r w:rsidRPr="083550C7">
        <w:rPr>
          <w:rStyle w:val="txt12"/>
          <w:i/>
        </w:rPr>
        <w:instrText xml:space="preserve">Disputationes </w:instrText>
      </w:r>
      <w:r w:rsidRPr="083550C7">
        <w:rPr>
          <w:rStyle w:val="txt12"/>
          <w:i/>
          <w:lang w:val="cs-CZ"/>
        </w:rPr>
        <w:instrText>m</w:instrText>
      </w:r>
      <w:r w:rsidRPr="083550C7">
        <w:rPr>
          <w:rStyle w:val="txt12"/>
          <w:i/>
        </w:rPr>
        <w:instrText>etaphysicae</w:instrText>
      </w:r>
      <w:r w:rsidRPr="08350612">
        <w:rPr>
          <w:rStyle w:val="txt12"/>
        </w:rPr>
        <w:instrText xml:space="preserve"> </w:instrText>
      </w:r>
      <w:r w:rsidRPr="08350612">
        <w:instrText xml:space="preserve">5.3.15" </w:instrText>
      </w:r>
      <w:r w:rsidRPr="08350612">
        <w:fldChar w:fldCharType="end"/>
      </w:r>
      <w:r w:rsidRPr="08350612">
        <w:t>, editio digitalis Renemann et. al.)</w:t>
      </w:r>
    </w:p>
  </w:footnote>
  <w:footnote w:id="440">
    <w:p w14:paraId="3D7BA774" w14:textId="77777777" w:rsidR="00CD2817" w:rsidRPr="00E9267E" w:rsidRDefault="00CD2817">
      <w:pPr>
        <w:pStyle w:val="Textpoznpodarou"/>
        <w:rPr>
          <w:lang w:val="cs-CZ"/>
        </w:rPr>
      </w:pPr>
      <w:r>
        <w:rPr>
          <w:rStyle w:val="Znakapoznpodarou"/>
        </w:rPr>
        <w:footnoteRef/>
      </w:r>
      <w:r>
        <w:rPr>
          <w:lang w:val="cs-CZ"/>
        </w:rPr>
        <w:t xml:space="preserve"> „</w:t>
      </w:r>
      <w:r>
        <w:rPr>
          <w:color w:val="000000"/>
          <w:lang w:val="la"/>
        </w:rPr>
        <w:t>Hanc eludendae Aristotelis authoritati appellabat Materiam Totius. Nam, inquiebat, est forma totius, v.g., humanitas tanquam abstractum hominis, cui opponitur materia totius, nempe Haecceitas; et forma partis, anima rationalis, cui corpus ut materia partis opponitur. Sed id nihil est, nam Haecceitas, si est materia totius, debet cum humanitate concretum constituere, Hominem.</w:t>
      </w:r>
      <w:r>
        <w:rPr>
          <w:color w:val="000000"/>
          <w:lang w:val="cs-CZ"/>
        </w:rPr>
        <w:t>“ (</w:t>
      </w:r>
      <w:r w:rsidRPr="00123596">
        <w:rPr>
          <w:i/>
        </w:rPr>
        <w:t>Disputatio metaph</w:t>
      </w:r>
      <w:r>
        <w:rPr>
          <w:i/>
        </w:rPr>
        <w:t>ysica de principi</w:t>
      </w:r>
      <w:r>
        <w:rPr>
          <w:i/>
          <w:lang w:val="cs-CZ"/>
        </w:rPr>
        <w:t>o</w:t>
      </w:r>
      <w:r w:rsidRPr="00123596">
        <w:rPr>
          <w:i/>
        </w:rPr>
        <w:t xml:space="preserve"> individui</w:t>
      </w:r>
      <w:r>
        <w:rPr>
          <w:lang w:val="cs-CZ"/>
        </w:rPr>
        <w:t xml:space="preserve">, </w:t>
      </w:r>
      <w:r w:rsidRPr="00E9267E">
        <w:rPr>
          <w:lang w:val="cs-CZ"/>
        </w:rPr>
        <w:t>§ 18</w:t>
      </w:r>
      <w:r>
        <w:rPr>
          <w:lang w:val="cs-CZ"/>
        </w:rPr>
        <w:t>;</w:t>
      </w:r>
      <w:r w:rsidRPr="00E9267E">
        <w:rPr>
          <w:lang w:val="cs-CZ"/>
        </w:rPr>
        <w:t xml:space="preserve"> </w:t>
      </w:r>
      <w:r>
        <w:rPr>
          <w:lang w:val="cs-CZ"/>
        </w:rPr>
        <w:t xml:space="preserve">ed. Lipsiae </w:t>
      </w:r>
      <w:r w:rsidRPr="00E9267E">
        <w:rPr>
          <w:lang w:val="cs-CZ"/>
        </w:rPr>
        <w:t>1663,</w:t>
      </w:r>
      <w:r>
        <w:rPr>
          <w:lang w:val="cs-CZ"/>
        </w:rPr>
        <w:t xml:space="preserve"> p. 9</w:t>
      </w:r>
      <w:r>
        <w:rPr>
          <w:lang w:val="cs-CZ"/>
        </w:rPr>
        <w:fldChar w:fldCharType="begin"/>
      </w:r>
      <w:r>
        <w:instrText xml:space="preserve"> XE "</w:instrText>
      </w:r>
      <w:r>
        <w:rPr>
          <w:lang w:val="cs-CZ"/>
        </w:rPr>
        <w:instrText>Leibniz:</w:instrText>
      </w:r>
      <w:r w:rsidRPr="000E64E9">
        <w:rPr>
          <w:i/>
        </w:rPr>
        <w:instrText>Disputatio metaphysica de principium individui</w:instrText>
      </w:r>
      <w:r w:rsidRPr="000E64E9">
        <w:rPr>
          <w:lang w:val="cs-CZ"/>
        </w:rPr>
        <w:instrText xml:space="preserve"> 9</w:instrText>
      </w:r>
      <w:r>
        <w:instrText xml:space="preserve">" </w:instrText>
      </w:r>
      <w:r>
        <w:rPr>
          <w:lang w:val="cs-CZ"/>
        </w:rPr>
        <w:fldChar w:fldCharType="end"/>
      </w:r>
      <w:r>
        <w:rPr>
          <w:color w:val="000000"/>
          <w:lang w:val="cs-CZ"/>
        </w:rPr>
        <w:t>)</w:t>
      </w:r>
    </w:p>
  </w:footnote>
  <w:footnote w:id="441">
    <w:p w14:paraId="4BD3EDCC" w14:textId="77777777" w:rsidR="00CD2817" w:rsidRDefault="00CD2817" w:rsidP="007162D8">
      <w:pPr>
        <w:pStyle w:val="Textpoznpodarou"/>
      </w:pPr>
      <w:r w:rsidRPr="00954B8A">
        <w:rPr>
          <w:rStyle w:val="Znakapoznpodarou"/>
        </w:rPr>
        <w:footnoteRef/>
      </w:r>
      <w:r>
        <w:t xml:space="preserve"> „Species enim rei scibilis recepta in anima sive scientia, prout est aliquid absolutum </w:t>
      </w:r>
      <w:r>
        <w:rPr>
          <w:rStyle w:val="pink"/>
        </w:rPr>
        <w:t>et non prout est</w:t>
      </w:r>
      <w:r>
        <w:t xml:space="preserve"> imago rei scibilis, nunquam esset principium cognoscendi ipsam rem.“ (</w:t>
      </w:r>
      <w:r w:rsidRPr="00854511">
        <w:rPr>
          <w:i/>
        </w:rPr>
        <w:t>In DA</w:t>
      </w:r>
      <w:r>
        <w:t xml:space="preserve"> I.2; ed. </w:t>
      </w:r>
      <w:r w:rsidRPr="00854511">
        <w:t xml:space="preserve">RRP, </w:t>
      </w:r>
      <w:r>
        <w:t>I.2.5.ad aliud 2</w:t>
      </w:r>
      <w:r>
        <w:fldChar w:fldCharType="begin"/>
      </w:r>
      <w:r>
        <w:instrText xml:space="preserve"> XE "</w:instrText>
      </w:r>
      <w:r>
        <w:rPr>
          <w:lang w:val="cs-CZ"/>
        </w:rPr>
        <w:instrText>Rufus:</w:instrText>
      </w:r>
      <w:r w:rsidRPr="000E162E">
        <w:rPr>
          <w:i/>
        </w:rPr>
        <w:instrText>In DA</w:instrText>
      </w:r>
      <w:r w:rsidRPr="000E162E">
        <w:instrText xml:space="preserve"> </w:instrText>
      </w:r>
      <w:r>
        <w:rPr>
          <w:lang w:val="cs-CZ"/>
        </w:rPr>
        <w:instrText>1</w:instrText>
      </w:r>
      <w:r w:rsidRPr="000E162E">
        <w:instrText>.2.5.ad aliud 2</w:instrText>
      </w:r>
      <w:r>
        <w:instrText xml:space="preserve">" </w:instrText>
      </w:r>
      <w:r>
        <w:fldChar w:fldCharType="end"/>
      </w:r>
      <w:r>
        <w:t>)</w:t>
      </w:r>
    </w:p>
  </w:footnote>
  <w:footnote w:id="442">
    <w:p w14:paraId="1C569117" w14:textId="77777777" w:rsidR="00CD2817" w:rsidRPr="088B5E39" w:rsidRDefault="00CD2817">
      <w:pPr>
        <w:pStyle w:val="Textpoznpodarou"/>
        <w:rPr>
          <w:lang w:val="cs-CZ"/>
        </w:rPr>
      </w:pPr>
      <w:r>
        <w:rPr>
          <w:rStyle w:val="Znakapoznpodarou"/>
        </w:rPr>
        <w:footnoteRef/>
      </w:r>
      <w:r>
        <w:t xml:space="preserve"> </w:t>
      </w:r>
      <w:r>
        <w:rPr>
          <w:lang w:val="cs-CZ"/>
        </w:rPr>
        <w:t>„</w:t>
      </w:r>
      <w:r w:rsidRPr="088B5E39">
        <w:rPr>
          <w:lang w:val="cs-CZ"/>
        </w:rPr>
        <w:t>Quid autem voluerit Plato intendere secundum veritatem per hoc quod ponit animam secundum quod cognoscit esse sicut lineam rectam, in movendo autem circulum sit distinctum secundum octo circulos, sic poterit imaginari, et primo de anima mundi.</w:t>
      </w:r>
      <w:r>
        <w:rPr>
          <w:lang w:val="cs-CZ"/>
        </w:rPr>
        <w:t xml:space="preserve">“ </w:t>
      </w:r>
      <w:r>
        <w:t>(</w:t>
      </w:r>
      <w:r w:rsidRPr="00854511">
        <w:rPr>
          <w:i/>
        </w:rPr>
        <w:t>In DA</w:t>
      </w:r>
      <w:r>
        <w:t xml:space="preserve"> I.</w:t>
      </w:r>
      <w:r>
        <w:rPr>
          <w:lang w:val="cs-CZ"/>
        </w:rPr>
        <w:t>7</w:t>
      </w:r>
      <w:r>
        <w:t xml:space="preserve">; ed. </w:t>
      </w:r>
      <w:r w:rsidRPr="00854511">
        <w:t xml:space="preserve">RRP, </w:t>
      </w:r>
      <w:r>
        <w:t>I.</w:t>
      </w:r>
      <w:r>
        <w:rPr>
          <w:lang w:val="cs-CZ"/>
        </w:rPr>
        <w:t>7</w:t>
      </w:r>
      <w:r>
        <w:t>.</w:t>
      </w:r>
      <w:r>
        <w:rPr>
          <w:lang w:val="cs-CZ"/>
        </w:rPr>
        <w:t>4</w:t>
      </w:r>
      <w:r>
        <w:t>.</w:t>
      </w:r>
      <w:r>
        <w:rPr>
          <w:lang w:val="cs-CZ"/>
        </w:rPr>
        <w:t>Q.1</w:t>
      </w:r>
      <w:r>
        <w:fldChar w:fldCharType="begin"/>
      </w:r>
      <w:r>
        <w:instrText xml:space="preserve"> XE "</w:instrText>
      </w:r>
      <w:r>
        <w:rPr>
          <w:lang w:val="cs-CZ"/>
        </w:rPr>
        <w:instrText>Rufus:</w:instrText>
      </w:r>
      <w:r w:rsidRPr="000E162E">
        <w:rPr>
          <w:i/>
        </w:rPr>
        <w:instrText>In DA</w:instrText>
      </w:r>
      <w:r w:rsidRPr="000E162E">
        <w:instrText xml:space="preserve"> </w:instrText>
      </w:r>
      <w:r>
        <w:instrText>I.</w:instrText>
      </w:r>
      <w:r>
        <w:rPr>
          <w:lang w:val="cs-CZ"/>
        </w:rPr>
        <w:instrText>7</w:instrText>
      </w:r>
      <w:r>
        <w:instrText>.</w:instrText>
      </w:r>
      <w:r>
        <w:rPr>
          <w:lang w:val="cs-CZ"/>
        </w:rPr>
        <w:instrText>4</w:instrText>
      </w:r>
      <w:r>
        <w:instrText>.</w:instrText>
      </w:r>
      <w:r>
        <w:rPr>
          <w:lang w:val="cs-CZ"/>
        </w:rPr>
        <w:instrText>Q.1</w:instrText>
      </w:r>
      <w:r>
        <w:instrText xml:space="preserve">" </w:instrText>
      </w:r>
      <w:r>
        <w:fldChar w:fldCharType="end"/>
      </w:r>
      <w:r>
        <w:t>)</w:t>
      </w:r>
    </w:p>
  </w:footnote>
  <w:footnote w:id="443">
    <w:p w14:paraId="4008DB00" w14:textId="77777777" w:rsidR="00CD2817" w:rsidRDefault="00CD2817" w:rsidP="002A71AE">
      <w:pPr>
        <w:pStyle w:val="Textpoznpodarou"/>
      </w:pPr>
      <w:r>
        <w:rPr>
          <w:rStyle w:val="Znakapoznpodarou"/>
        </w:rPr>
        <w:footnoteRef/>
      </w:r>
      <w:r>
        <w:t xml:space="preserve"> „</w:t>
      </w:r>
      <w:r w:rsidRPr="00097BFF">
        <w:t>Anima ergo sic alterata a coloris specie convertit se supra se ipsam ut est eius similitudo, nihil eius recipiendo sed solam eius similitudinem actualem. (...) Similiter nihil ipsius sensibilis transfertur usque in animam, sed solum fit quod anima quae prius in potentia fuit eius similitudo fiat actu eius similitudo, quando convertit se supra ipsam.</w:t>
      </w:r>
      <w:r>
        <w:t>“ (</w:t>
      </w:r>
      <w:r w:rsidRPr="00514840">
        <w:rPr>
          <w:i/>
        </w:rPr>
        <w:t>In DA</w:t>
      </w:r>
      <w:r>
        <w:t xml:space="preserve"> II.9, ed. </w:t>
      </w:r>
      <w:r w:rsidRPr="00514840">
        <w:t xml:space="preserve">RRP, </w:t>
      </w:r>
      <w:r>
        <w:t>2.9.34</w:t>
      </w:r>
      <w:r>
        <w:fldChar w:fldCharType="begin"/>
      </w:r>
      <w:r>
        <w:instrText xml:space="preserve"> XE "</w:instrText>
      </w:r>
      <w:r>
        <w:rPr>
          <w:lang w:val="cs-CZ"/>
        </w:rPr>
        <w:instrText>Rufus:</w:instrText>
      </w:r>
      <w:r w:rsidRPr="00E960FE">
        <w:rPr>
          <w:i/>
        </w:rPr>
        <w:instrText>In DA</w:instrText>
      </w:r>
      <w:r w:rsidRPr="00E960FE">
        <w:instrText xml:space="preserve"> 2.9.34</w:instrText>
      </w:r>
      <w:r>
        <w:instrText xml:space="preserve">" </w:instrText>
      </w:r>
      <w:r>
        <w:fldChar w:fldCharType="end"/>
      </w:r>
      <w:r>
        <w:t>)</w:t>
      </w:r>
    </w:p>
  </w:footnote>
  <w:footnote w:id="444">
    <w:p w14:paraId="2EC658F5" w14:textId="77777777" w:rsidR="00CD2817" w:rsidRDefault="00CD2817" w:rsidP="002A71AE">
      <w:pPr>
        <w:pStyle w:val="Textpoznpodarou"/>
      </w:pPr>
      <w:r>
        <w:rPr>
          <w:rStyle w:val="Znakapoznpodarou"/>
        </w:rPr>
        <w:footnoteRef/>
      </w:r>
      <w:r>
        <w:t xml:space="preserve"> „</w:t>
      </w:r>
      <w:r w:rsidRPr="00A84AAB">
        <w:t>Nota quod species sensibilis nullo modo potest immutare animam immediate nec agere in ipsam, sed solum in corpus agit immediate. Unde ultima actio ipsius sensibilis immediate est in organum.</w:t>
      </w:r>
      <w:r>
        <w:t>“ (</w:t>
      </w:r>
      <w:r w:rsidRPr="0097440B">
        <w:rPr>
          <w:i/>
        </w:rPr>
        <w:t>In DA</w:t>
      </w:r>
      <w:r>
        <w:t xml:space="preserve"> II.9</w:t>
      </w:r>
      <w:r>
        <w:rPr>
          <w:lang w:val="cs-CZ"/>
        </w:rPr>
        <w:t>;</w:t>
      </w:r>
      <w:r>
        <w:t xml:space="preserve"> ed. </w:t>
      </w:r>
      <w:r w:rsidRPr="0097440B">
        <w:t xml:space="preserve">RRP, </w:t>
      </w:r>
      <w:r>
        <w:t>2.9.34</w:t>
      </w:r>
      <w:r>
        <w:fldChar w:fldCharType="begin"/>
      </w:r>
      <w:r>
        <w:instrText xml:space="preserve"> XE "</w:instrText>
      </w:r>
      <w:r>
        <w:rPr>
          <w:lang w:val="cs-CZ"/>
        </w:rPr>
        <w:instrText>Rufus:</w:instrText>
      </w:r>
      <w:r w:rsidRPr="00E960FE">
        <w:rPr>
          <w:i/>
        </w:rPr>
        <w:instrText>In DA</w:instrText>
      </w:r>
      <w:r w:rsidRPr="00E960FE">
        <w:instrText xml:space="preserve"> 2.9.34</w:instrText>
      </w:r>
      <w:r>
        <w:instrText xml:space="preserve">" </w:instrText>
      </w:r>
      <w:r>
        <w:fldChar w:fldCharType="end"/>
      </w:r>
      <w:r>
        <w:t>)</w:t>
      </w:r>
    </w:p>
  </w:footnote>
  <w:footnote w:id="445">
    <w:p w14:paraId="0A4F6D33" w14:textId="23BB847E" w:rsidR="00CD2817" w:rsidRDefault="00CD2817" w:rsidP="002A71AE">
      <w:pPr>
        <w:pStyle w:val="Textpoznpodarou"/>
      </w:pPr>
      <w:r>
        <w:rPr>
          <w:rStyle w:val="Znakapoznpodarou"/>
        </w:rPr>
        <w:footnoteRef/>
      </w:r>
      <w:r>
        <w:t xml:space="preserve"> </w:t>
      </w:r>
      <w:r w:rsidRPr="008179AE">
        <w:rPr>
          <w:szCs w:val="24"/>
        </w:rPr>
        <w:t>„</w:t>
      </w:r>
      <w:r w:rsidRPr="008179AE">
        <w:t>Quod solum est in potentia non habet actum exsistendi; sed intellectus possibilis ante omne intelligere, ut in puero, habet actum exsistendi; ergo non est solum in potentia, igitur antequam intelligat non est solum in potentia. Item, intellectus quo intelligit homo sive anima intellect</w:t>
      </w:r>
      <w:r>
        <w:t>iva non est solum forma sed hoc</w:t>
      </w:r>
      <w:r>
        <w:rPr>
          <w:lang w:val="cs-CZ"/>
        </w:rPr>
        <w:t>–</w:t>
      </w:r>
      <w:r w:rsidRPr="008179AE">
        <w:t>aliquid</w:t>
      </w:r>
      <w:r w:rsidRPr="008179AE">
        <w:rPr>
          <w:szCs w:val="24"/>
        </w:rPr>
        <w:t xml:space="preserve">. </w:t>
      </w:r>
      <w:r w:rsidRPr="008179AE">
        <w:t xml:space="preserve">Sed omne </w:t>
      </w:r>
      <w:r>
        <w:t xml:space="preserve">tale causatum habet duo in se </w:t>
      </w:r>
      <w:r>
        <w:rPr>
          <w:rFonts w:cs="Calibri"/>
        </w:rPr>
        <w:t>—</w:t>
      </w:r>
      <w:r w:rsidRPr="008179AE">
        <w:t xml:space="preserve"> scilicet unum materiale et reliquum formale</w:t>
      </w:r>
      <w:r w:rsidRPr="008179AE">
        <w:rPr>
          <w:szCs w:val="24"/>
        </w:rPr>
        <w:t xml:space="preserve">. </w:t>
      </w:r>
      <w:r w:rsidRPr="008179AE">
        <w:t>Ergo intellectus noster habet formam, ergo non est solum in potentia.“</w:t>
      </w:r>
      <w:r>
        <w:t xml:space="preserve"> (</w:t>
      </w:r>
      <w:r w:rsidRPr="00E63CE6">
        <w:rPr>
          <w:i/>
        </w:rPr>
        <w:t>In DA</w:t>
      </w:r>
      <w:r>
        <w:t xml:space="preserve"> III.4</w:t>
      </w:r>
      <w:r>
        <w:rPr>
          <w:lang w:val="cs-CZ"/>
        </w:rPr>
        <w:t>;</w:t>
      </w:r>
      <w:r>
        <w:t xml:space="preserve"> ed. </w:t>
      </w:r>
      <w:r w:rsidRPr="00E63CE6">
        <w:t>RRP</w:t>
      </w:r>
      <w:r>
        <w:t>, 3.4.9</w:t>
      </w:r>
      <w:r>
        <w:fldChar w:fldCharType="begin"/>
      </w:r>
      <w:r>
        <w:instrText xml:space="preserve"> XE "</w:instrText>
      </w:r>
      <w:r>
        <w:rPr>
          <w:lang w:val="cs-CZ"/>
        </w:rPr>
        <w:instrText>Rufus:</w:instrText>
      </w:r>
      <w:r w:rsidRPr="00305CE7">
        <w:rPr>
          <w:i/>
        </w:rPr>
        <w:instrText>In DA</w:instrText>
      </w:r>
      <w:r w:rsidRPr="00305CE7">
        <w:instrText xml:space="preserve"> 3.4.9</w:instrText>
      </w:r>
      <w:r>
        <w:instrText xml:space="preserve">" </w:instrText>
      </w:r>
      <w:r>
        <w:fldChar w:fldCharType="end"/>
      </w:r>
      <w:r>
        <w:t>)</w:t>
      </w:r>
    </w:p>
  </w:footnote>
  <w:footnote w:id="446">
    <w:p w14:paraId="241CE7DD" w14:textId="77777777" w:rsidR="00CD2817" w:rsidRDefault="00CD2817" w:rsidP="002A71AE">
      <w:pPr>
        <w:pStyle w:val="Textpoznpodarou"/>
      </w:pPr>
      <w:r>
        <w:rPr>
          <w:rStyle w:val="Znakapoznpodarou"/>
        </w:rPr>
        <w:footnoteRef/>
      </w:r>
      <w:r>
        <w:t xml:space="preserve"> „</w:t>
      </w:r>
      <w:r w:rsidRPr="007320AB">
        <w:t>Intellectus autem agens abstrahit hanc speciem sive similitudinem ab his condicionibus appropriantibus per eius praesentiam super imaginabile. Et sicut cera, cum sit susceptiva cuiuscumque figurae indifferenter de se, per praesentiam sigilli supra ipsam recipit figuram sigilli, similiter cum intellectus possibilis de se sit possibilis ut sit similitudo cuiuscumque formae, per praesentiam similitudinis alicuius formae super ipsam fit similitudo illius formae in actu, per praesentiam tamen intellectus agentis manifestantis intentiones universalium et eorum similitudines,</w:t>
      </w:r>
      <w:r>
        <w:t xml:space="preserve"> </w:t>
      </w:r>
      <w:r w:rsidRPr="007320AB">
        <w:t>praetermissis condicionibus materialibus appropriantibus.</w:t>
      </w:r>
      <w:r>
        <w:t>“ (</w:t>
      </w:r>
      <w:r w:rsidRPr="00097382">
        <w:rPr>
          <w:i/>
        </w:rPr>
        <w:t>In DA</w:t>
      </w:r>
      <w:r>
        <w:t xml:space="preserve"> III.4</w:t>
      </w:r>
      <w:r>
        <w:rPr>
          <w:lang w:val="cs-CZ"/>
        </w:rPr>
        <w:t>;</w:t>
      </w:r>
      <w:r>
        <w:t xml:space="preserve"> ed. </w:t>
      </w:r>
      <w:r w:rsidRPr="00097382">
        <w:t xml:space="preserve">RRP, </w:t>
      </w:r>
      <w:r>
        <w:t>3.4.12</w:t>
      </w:r>
      <w:r>
        <w:fldChar w:fldCharType="begin"/>
      </w:r>
      <w:r>
        <w:instrText xml:space="preserve"> XE "</w:instrText>
      </w:r>
      <w:r>
        <w:rPr>
          <w:lang w:val="cs-CZ"/>
        </w:rPr>
        <w:instrText>Rufus:</w:instrText>
      </w:r>
      <w:r w:rsidRPr="0025638F">
        <w:rPr>
          <w:i/>
        </w:rPr>
        <w:instrText>In DA</w:instrText>
      </w:r>
      <w:r w:rsidRPr="0025638F">
        <w:instrText xml:space="preserve"> 3.4.12</w:instrText>
      </w:r>
      <w:r>
        <w:instrText xml:space="preserve">" </w:instrText>
      </w:r>
      <w:r>
        <w:fldChar w:fldCharType="end"/>
      </w:r>
      <w:r>
        <w:t>)</w:t>
      </w:r>
    </w:p>
  </w:footnote>
  <w:footnote w:id="447">
    <w:p w14:paraId="03F7D4D1" w14:textId="77777777" w:rsidR="00CD2817" w:rsidRPr="005C6DFF" w:rsidRDefault="00CD2817" w:rsidP="004804E0">
      <w:pPr>
        <w:pStyle w:val="Textpoznpodarou"/>
      </w:pPr>
      <w:r>
        <w:rPr>
          <w:rStyle w:val="Znakapoznpodarou"/>
        </w:rPr>
        <w:footnoteRef/>
      </w:r>
      <w:r>
        <w:t xml:space="preserve"> </w:t>
      </w:r>
      <w:r>
        <w:rPr>
          <w:lang w:val="cs-CZ"/>
        </w:rPr>
        <w:t>„S</w:t>
      </w:r>
      <w:r>
        <w:t xml:space="preserve">ensus omnes externos, in quantum sunt partes corporis, etiamsi illos applicemus ad objecta per actionem, nempe per motum localem, proprie tamen sentire per passionem tantum, eadem ratione qua cera recipit figuram a sigillo.“ </w:t>
      </w:r>
      <w:r w:rsidRPr="005C6DFF">
        <w:t>(</w:t>
      </w:r>
      <w:r w:rsidRPr="005C6DFF">
        <w:rPr>
          <w:i/>
        </w:rPr>
        <w:t>Regulae</w:t>
      </w:r>
      <w:r w:rsidRPr="005C6DFF">
        <w:t xml:space="preserve"> XII</w:t>
      </w:r>
      <w:r>
        <w:t>.5</w:t>
      </w:r>
      <w:r w:rsidRPr="005C6DFF">
        <w:t xml:space="preserve">; </w:t>
      </w:r>
      <w:r>
        <w:t>ed. Tannery</w:t>
      </w:r>
      <w:r>
        <w:rPr>
          <w:lang w:val="cs-CZ"/>
        </w:rPr>
        <w:t xml:space="preserve"> 10</w:t>
      </w:r>
      <w:r>
        <w:t>,</w:t>
      </w:r>
      <w:r>
        <w:rPr>
          <w:lang w:val="cs-CZ"/>
        </w:rPr>
        <w:t xml:space="preserve"> </w:t>
      </w:r>
      <w:r w:rsidRPr="005C6DFF">
        <w:t>412</w:t>
      </w:r>
      <w:r>
        <w:rPr>
          <w:lang w:val="cs-CZ"/>
        </w:rPr>
        <w:t>.14‒19</w:t>
      </w:r>
      <w:r>
        <w:rPr>
          <w:lang w:val="cs-CZ"/>
        </w:rPr>
        <w:fldChar w:fldCharType="begin"/>
      </w:r>
      <w:r>
        <w:instrText xml:space="preserve"> XE "</w:instrText>
      </w:r>
      <w:r>
        <w:rPr>
          <w:lang w:val="cs-CZ"/>
        </w:rPr>
        <w:instrText>Descartes:</w:instrText>
      </w:r>
      <w:r w:rsidRPr="007950CA">
        <w:rPr>
          <w:rStyle w:val="TextpoznpodarouChar"/>
          <w:i/>
        </w:rPr>
        <w:instrText xml:space="preserve"> </w:instrText>
      </w:r>
      <w:r w:rsidRPr="00205693">
        <w:rPr>
          <w:rStyle w:val="TextpoznpodarouChar"/>
          <w:i/>
        </w:rPr>
        <w:instrText>Regulae ad directionem ingenii</w:instrText>
      </w:r>
      <w:r>
        <w:rPr>
          <w:rStyle w:val="TextpoznpodarouChar"/>
          <w:lang w:val="cs-CZ"/>
        </w:rPr>
        <w:instrText xml:space="preserve"> </w:instrText>
      </w:r>
      <w:r w:rsidRPr="00C70ADE">
        <w:instrText>412</w:instrText>
      </w:r>
      <w:r w:rsidRPr="00C70ADE">
        <w:rPr>
          <w:lang w:val="cs-CZ"/>
        </w:rPr>
        <w:instrText>.14‒19</w:instrText>
      </w:r>
      <w:r>
        <w:instrText xml:space="preserve">" </w:instrText>
      </w:r>
      <w:r>
        <w:rPr>
          <w:lang w:val="cs-CZ"/>
        </w:rPr>
        <w:fldChar w:fldCharType="end"/>
      </w:r>
      <w:r w:rsidRPr="005C6DFF">
        <w:t xml:space="preserve">) </w:t>
      </w:r>
    </w:p>
  </w:footnote>
  <w:footnote w:id="448">
    <w:p w14:paraId="55AC0CFF" w14:textId="77777777" w:rsidR="00CD2817" w:rsidRDefault="00CD2817" w:rsidP="08F553C7">
      <w:pPr>
        <w:pStyle w:val="Textpoznpodarou"/>
      </w:pPr>
      <w:r>
        <w:rPr>
          <w:rStyle w:val="Znakapoznpodarou"/>
        </w:rPr>
        <w:footnoteRef/>
      </w:r>
      <w:r>
        <w:t xml:space="preserve"> </w:t>
      </w:r>
      <w:r w:rsidRPr="0073643F">
        <w:t>„Igitur illud quod est materiale in ipsa anima creata est intellectus possibilis; illud autem quod est formale in ipsa est intellectus agens</w:t>
      </w:r>
      <w:r>
        <w:t xml:space="preserve">.“ </w:t>
      </w:r>
      <w:r w:rsidRPr="0073643F">
        <w:t>(</w:t>
      </w:r>
      <w:r w:rsidRPr="0073643F">
        <w:rPr>
          <w:i/>
        </w:rPr>
        <w:t>In DA</w:t>
      </w:r>
      <w:r w:rsidRPr="0073643F">
        <w:t xml:space="preserve"> III.4</w:t>
      </w:r>
      <w:r>
        <w:rPr>
          <w:lang w:val="cs-CZ"/>
        </w:rPr>
        <w:t>;</w:t>
      </w:r>
      <w:r>
        <w:t xml:space="preserve"> ed. </w:t>
      </w:r>
      <w:r w:rsidRPr="0073643F">
        <w:t>RRP, 3.4.10</w:t>
      </w:r>
      <w:r>
        <w:fldChar w:fldCharType="begin"/>
      </w:r>
      <w:r>
        <w:instrText xml:space="preserve"> XE "</w:instrText>
      </w:r>
      <w:r>
        <w:rPr>
          <w:lang w:val="cs-CZ"/>
        </w:rPr>
        <w:instrText>Rufus:</w:instrText>
      </w:r>
      <w:r w:rsidRPr="00D8673C">
        <w:rPr>
          <w:i/>
        </w:rPr>
        <w:instrText>In DA</w:instrText>
      </w:r>
      <w:r w:rsidRPr="00D8673C">
        <w:instrText xml:space="preserve"> 3.4.10</w:instrText>
      </w:r>
      <w:r>
        <w:instrText xml:space="preserve">" </w:instrText>
      </w:r>
      <w:r>
        <w:fldChar w:fldCharType="end"/>
      </w:r>
      <w:r w:rsidRPr="0073643F">
        <w:t>)</w:t>
      </w:r>
    </w:p>
  </w:footnote>
  <w:footnote w:id="449">
    <w:p w14:paraId="447B7FE2" w14:textId="77777777" w:rsidR="00CD2817" w:rsidRPr="08395C3A" w:rsidRDefault="00CD2817" w:rsidP="083C572F">
      <w:pPr>
        <w:pStyle w:val="Textpoznpodarou"/>
      </w:pPr>
      <w:r>
        <w:rPr>
          <w:rStyle w:val="Znakapoznpodarou"/>
        </w:rPr>
        <w:footnoteRef/>
      </w:r>
      <w:r>
        <w:t xml:space="preserve"> „Wir merken hierdurch, daß</w:t>
      </w:r>
      <w:r w:rsidRPr="08395C3A">
        <w:t xml:space="preserve"> wir innerhalb des vollen Noema (in der Tat, wie</w:t>
      </w:r>
      <w:r>
        <w:t xml:space="preserve"> </w:t>
      </w:r>
      <w:r w:rsidRPr="08395C3A">
        <w:t>wir</w:t>
      </w:r>
      <w:r>
        <w:t xml:space="preserve"> </w:t>
      </w:r>
      <w:r w:rsidRPr="08395C3A">
        <w:t>es</w:t>
      </w:r>
      <w:r>
        <w:t xml:space="preserve"> </w:t>
      </w:r>
      <w:r w:rsidRPr="08395C3A">
        <w:t>im vorau</w:t>
      </w:r>
      <w:r>
        <w:t>s angekü</w:t>
      </w:r>
      <w:r w:rsidRPr="08395C3A">
        <w:t>ndigt</w:t>
      </w:r>
      <w:r>
        <w:t xml:space="preserve"> hatten) wesentlich </w:t>
      </w:r>
      <w:r w:rsidRPr="08395C3A">
        <w:t>ve</w:t>
      </w:r>
      <w:r>
        <w:t>rschiedene Schichten sondern mü</w:t>
      </w:r>
      <w:r w:rsidRPr="08395C3A">
        <w:t>ssen, die sich</w:t>
      </w:r>
      <w:r>
        <w:t xml:space="preserve"> urn einen zentralen 'Kern', um den puren 'gegenständlichen Sinn' gruppieren ‒ um</w:t>
      </w:r>
      <w:r w:rsidRPr="08395C3A">
        <w:t xml:space="preserve"> d</w:t>
      </w:r>
      <w:r>
        <w:t>as, was in unseren Beispielen ü</w:t>
      </w:r>
      <w:r w:rsidRPr="08395C3A">
        <w:t>berall ein mit laute</w:t>
      </w:r>
      <w:r>
        <w:t>r identischen objektiven Ausdrücken Beschreibbares.“ (</w:t>
      </w:r>
      <w:r w:rsidRPr="08184A75">
        <w:rPr>
          <w:i/>
        </w:rPr>
        <w:t>Ideen zu einer reinen Phänomenologie und phänomenologischen Philosophie</w:t>
      </w:r>
      <w:r>
        <w:rPr>
          <w:rStyle w:val="st"/>
        </w:rPr>
        <w:t xml:space="preserve"> I</w:t>
      </w:r>
      <w:r>
        <w:rPr>
          <w:rStyle w:val="st"/>
          <w:lang w:val="cs-CZ"/>
        </w:rPr>
        <w:t xml:space="preserve">, </w:t>
      </w:r>
      <w:r>
        <w:t>§ 91</w:t>
      </w:r>
      <w:r>
        <w:rPr>
          <w:rStyle w:val="st"/>
          <w:lang w:val="cs-CZ"/>
        </w:rPr>
        <w:t xml:space="preserve">; </w:t>
      </w:r>
      <w:r>
        <w:t>Husserliana III</w:t>
      </w:r>
      <w:r>
        <w:rPr>
          <w:lang w:val="cs-CZ"/>
        </w:rPr>
        <w:t>.</w:t>
      </w:r>
      <w:r>
        <w:t>1,</w:t>
      </w:r>
      <w:r>
        <w:rPr>
          <w:lang w:val="cs-CZ"/>
        </w:rPr>
        <w:t xml:space="preserve"> p. </w:t>
      </w:r>
      <w:r>
        <w:t>210.33‒38</w:t>
      </w:r>
      <w:r>
        <w:fldChar w:fldCharType="begin"/>
      </w:r>
      <w:r>
        <w:instrText xml:space="preserve"> XE "</w:instrText>
      </w:r>
      <w:r>
        <w:rPr>
          <w:lang w:val="cs-CZ"/>
        </w:rPr>
        <w:instrText>Husserl:</w:instrText>
      </w:r>
      <w:r w:rsidRPr="00844A4E">
        <w:rPr>
          <w:i/>
        </w:rPr>
        <w:instrText>Ideen zu einer reinen Phänomenologie und phänomenologischen Philosophie</w:instrText>
      </w:r>
      <w:r w:rsidRPr="00844A4E">
        <w:rPr>
          <w:rStyle w:val="st"/>
        </w:rPr>
        <w:instrText xml:space="preserve"> I</w:instrText>
      </w:r>
      <w:r w:rsidRPr="00844A4E">
        <w:rPr>
          <w:lang w:val="cs-CZ"/>
        </w:rPr>
        <w:instrText xml:space="preserve"> </w:instrText>
      </w:r>
      <w:r w:rsidRPr="00844A4E">
        <w:instrText>210.33‒38</w:instrText>
      </w:r>
      <w:r>
        <w:instrText xml:space="preserve">" </w:instrText>
      </w:r>
      <w:r>
        <w:fldChar w:fldCharType="end"/>
      </w:r>
      <w:r>
        <w:t>)</w:t>
      </w:r>
    </w:p>
  </w:footnote>
  <w:footnote w:id="450">
    <w:p w14:paraId="50E5D47F" w14:textId="77777777" w:rsidR="00CD2817" w:rsidRPr="003D4BEA" w:rsidRDefault="00CD2817" w:rsidP="08E17808">
      <w:pPr>
        <w:pStyle w:val="Textpoznpodarou"/>
      </w:pPr>
      <w:r>
        <w:rPr>
          <w:rStyle w:val="Znakapoznpodarou"/>
        </w:rPr>
        <w:footnoteRef/>
      </w:r>
      <w:r>
        <w:t xml:space="preserve"> </w:t>
      </w:r>
      <w:r w:rsidRPr="003D4BEA">
        <w:t>„Et sicut in forma singulari est forma universalis cum condicionibus appropriantibus ipsam, similiter in similitudine formae singularis est similitudo formae universalis sive intentio cum condicionibus appropriantibus et facientibus illud, ut h</w:t>
      </w:r>
      <w:r>
        <w:t>ic et nunc.“ (</w:t>
      </w:r>
      <w:r w:rsidRPr="00C66D2B">
        <w:rPr>
          <w:i/>
        </w:rPr>
        <w:t>In DA</w:t>
      </w:r>
      <w:r>
        <w:t xml:space="preserve"> III.4</w:t>
      </w:r>
      <w:r>
        <w:rPr>
          <w:lang w:val="cs-CZ"/>
        </w:rPr>
        <w:t>;</w:t>
      </w:r>
      <w:r>
        <w:t xml:space="preserve"> ed. </w:t>
      </w:r>
      <w:r>
        <w:rPr>
          <w:rStyle w:val="TextpoznpodarouChar"/>
        </w:rPr>
        <w:t>RRP, 3.4.12</w:t>
      </w:r>
      <w:r>
        <w:rPr>
          <w:rStyle w:val="TextpoznpodarouChar"/>
        </w:rPr>
        <w:fldChar w:fldCharType="begin"/>
      </w:r>
      <w:r>
        <w:instrText xml:space="preserve"> XE "</w:instrText>
      </w:r>
      <w:r>
        <w:rPr>
          <w:lang w:val="cs-CZ"/>
        </w:rPr>
        <w:instrText>Rufus:</w:instrText>
      </w:r>
      <w:r w:rsidRPr="00257E3F">
        <w:rPr>
          <w:i/>
        </w:rPr>
        <w:instrText>In DA</w:instrText>
      </w:r>
      <w:r w:rsidRPr="00257E3F">
        <w:instrText xml:space="preserve"> </w:instrText>
      </w:r>
      <w:r w:rsidRPr="00257E3F">
        <w:rPr>
          <w:rStyle w:val="TextpoznpodarouChar"/>
        </w:rPr>
        <w:instrText>3.4.12</w:instrText>
      </w:r>
      <w:r>
        <w:instrText xml:space="preserve">" </w:instrText>
      </w:r>
      <w:r>
        <w:rPr>
          <w:rStyle w:val="TextpoznpodarouChar"/>
        </w:rPr>
        <w:fldChar w:fldCharType="end"/>
      </w:r>
      <w:r w:rsidRPr="003D4BEA">
        <w:t>)</w:t>
      </w:r>
    </w:p>
  </w:footnote>
  <w:footnote w:id="451">
    <w:p w14:paraId="1C15EC59" w14:textId="77777777" w:rsidR="00CD2817" w:rsidRDefault="00CD2817" w:rsidP="002A71AE">
      <w:pPr>
        <w:pStyle w:val="Textpoznpodarou"/>
      </w:pPr>
      <w:r>
        <w:rPr>
          <w:rStyle w:val="Znakapoznpodarou"/>
        </w:rPr>
        <w:footnoteRef/>
      </w:r>
      <w:r>
        <w:t xml:space="preserve"> „</w:t>
      </w:r>
      <w:r w:rsidRPr="00C32BAC">
        <w:t>Nota quod intellectus possibilis est ab extra et est quiddam divinum et copulatur cum homine per substantiae infusionem. Simul enim creatur et infunditur, et ipse infusus est enumeratus et individuatus ex se et ex sua essentia in hominibus in quibus infunditur.</w:t>
      </w:r>
      <w:r>
        <w:t>“ (</w:t>
      </w:r>
      <w:r w:rsidRPr="00EF0E65">
        <w:rPr>
          <w:i/>
        </w:rPr>
        <w:t>In DA</w:t>
      </w:r>
      <w:r>
        <w:t xml:space="preserve"> III.4</w:t>
      </w:r>
      <w:r>
        <w:rPr>
          <w:lang w:val="cs-CZ"/>
        </w:rPr>
        <w:t>;</w:t>
      </w:r>
      <w:r>
        <w:t xml:space="preserve"> ed. </w:t>
      </w:r>
      <w:r w:rsidRPr="00EF0E65">
        <w:t xml:space="preserve">RRP, </w:t>
      </w:r>
      <w:r>
        <w:t>3.4.12</w:t>
      </w:r>
      <w:r>
        <w:fldChar w:fldCharType="begin"/>
      </w:r>
      <w:r>
        <w:instrText xml:space="preserve"> XE "</w:instrText>
      </w:r>
      <w:r>
        <w:rPr>
          <w:lang w:val="cs-CZ"/>
        </w:rPr>
        <w:instrText>Rufus:</w:instrText>
      </w:r>
      <w:r w:rsidRPr="000846CB">
        <w:rPr>
          <w:i/>
        </w:rPr>
        <w:instrText>In DA</w:instrText>
      </w:r>
      <w:r w:rsidRPr="000846CB">
        <w:instrText xml:space="preserve"> 3.4.12</w:instrText>
      </w:r>
      <w:r>
        <w:instrText xml:space="preserve">" </w:instrText>
      </w:r>
      <w:r>
        <w:fldChar w:fldCharType="end"/>
      </w:r>
      <w:r>
        <w:t>)</w:t>
      </w:r>
    </w:p>
  </w:footnote>
  <w:footnote w:id="452">
    <w:p w14:paraId="2E203EDF" w14:textId="77777777" w:rsidR="00CD2817" w:rsidRDefault="00CD2817" w:rsidP="00AD1188">
      <w:pPr>
        <w:pStyle w:val="Textpoznpodarou"/>
      </w:pPr>
      <w:r>
        <w:rPr>
          <w:rStyle w:val="Znakapoznpodarou"/>
        </w:rPr>
        <w:footnoteRef/>
      </w:r>
      <w:r>
        <w:t xml:space="preserve"> „</w:t>
      </w:r>
      <w:r w:rsidRPr="0077660A">
        <w:t>Unde quando per tentatio</w:t>
      </w:r>
      <w:r>
        <w:t>nem et derisionem aliqui Minores praesumptuosi quaesiverunt a fratre Adam, 'Quid est intellectus agens?' respondit, 'Corvus Eliae'; volens</w:t>
      </w:r>
      <w:r w:rsidRPr="0077660A">
        <w:t xml:space="preserve"> per hoc dicere quod fuit Deus vel angelus. Sed noluit exprimere, quia tentan</w:t>
      </w:r>
      <w:r>
        <w:t>do et non propter sapientiam quaes</w:t>
      </w:r>
      <w:r w:rsidRPr="0077660A">
        <w:t>iverunt</w:t>
      </w:r>
      <w:r>
        <w:t>.“ (</w:t>
      </w:r>
      <w:r w:rsidRPr="00390EF6">
        <w:rPr>
          <w:i/>
        </w:rPr>
        <w:t>Opus tertium</w:t>
      </w:r>
      <w:r>
        <w:t>, cap. XXIII</w:t>
      </w:r>
      <w:r>
        <w:rPr>
          <w:lang w:val="cs-CZ"/>
        </w:rPr>
        <w:t xml:space="preserve">; </w:t>
      </w:r>
      <w:r>
        <w:t>ed.</w:t>
      </w:r>
      <w:r>
        <w:rPr>
          <w:lang w:val="cs-CZ"/>
        </w:rPr>
        <w:t xml:space="preserve"> </w:t>
      </w:r>
      <w:r>
        <w:t xml:space="preserve">Bridges, </w:t>
      </w:r>
      <w:r>
        <w:rPr>
          <w:lang w:val="cs-CZ"/>
        </w:rPr>
        <w:t xml:space="preserve">OHI 1, </w:t>
      </w:r>
      <w:r>
        <w:t>75</w:t>
      </w:r>
      <w:r>
        <w:fldChar w:fldCharType="begin"/>
      </w:r>
      <w:r>
        <w:instrText xml:space="preserve"> XE "</w:instrText>
      </w:r>
      <w:r>
        <w:rPr>
          <w:lang w:val="cs-CZ"/>
        </w:rPr>
        <w:instrText>Bacon:</w:instrText>
      </w:r>
      <w:r w:rsidRPr="003213BD">
        <w:rPr>
          <w:i/>
        </w:rPr>
        <w:instrText>Opus tertium</w:instrText>
      </w:r>
      <w:r w:rsidRPr="003213BD">
        <w:instrText xml:space="preserve"> 75</w:instrText>
      </w:r>
      <w:r>
        <w:instrText xml:space="preserve">" </w:instrText>
      </w:r>
      <w:r>
        <w:fldChar w:fldCharType="end"/>
      </w:r>
      <w:r>
        <w:t>)</w:t>
      </w:r>
    </w:p>
  </w:footnote>
  <w:footnote w:id="453">
    <w:p w14:paraId="22B6D8DF" w14:textId="77777777" w:rsidR="00CD2817" w:rsidRPr="08B41628" w:rsidRDefault="00CD2817" w:rsidP="08FE15B5">
      <w:pPr>
        <w:pStyle w:val="Textpoznpodarou"/>
      </w:pPr>
      <w:r>
        <w:rPr>
          <w:rStyle w:val="Znakapoznpodarou"/>
        </w:rPr>
        <w:footnoteRef/>
      </w:r>
      <w:r>
        <w:rPr>
          <w:lang w:val="cs-CZ"/>
        </w:rPr>
        <w:t xml:space="preserve"> </w:t>
      </w:r>
      <w:r>
        <w:t>„</w:t>
      </w:r>
      <w:r w:rsidRPr="08B41628">
        <w:t>Die objektive Welt ist für mich immerfort schon fertig da, Gegebenheit meiner lebendig fortlaufenden objektiven Erfahrung, und auch nach dem Nicht-mehr-Erfahren in habitueller Fortgeltung. Es handelt sich darum, diese Erfahrung selbst zu befragen und die Weise ihrer Sinngebung intentional zu enthüllen...</w:t>
      </w:r>
      <w:r>
        <w:t xml:space="preserve">“ </w:t>
      </w:r>
      <w:r>
        <w:rPr>
          <w:rFonts w:cs="TimesNewRomanPSMT"/>
          <w:szCs w:val="24"/>
        </w:rPr>
        <w:t>(</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136.22‒32</w:t>
      </w:r>
      <w:r>
        <w:rPr>
          <w:rFonts w:cs="TimesNewRomanPSMT"/>
          <w:szCs w:val="24"/>
        </w:rPr>
        <w:fldChar w:fldCharType="begin"/>
      </w:r>
      <w:r>
        <w:instrText xml:space="preserve"> XE "</w:instrText>
      </w:r>
      <w:r>
        <w:rPr>
          <w:lang w:val="cs-CZ"/>
        </w:rPr>
        <w:instrText>Husserl:</w:instrText>
      </w:r>
      <w:r w:rsidRPr="00B60500">
        <w:rPr>
          <w:rFonts w:cs="TimesNewRomanPSMT"/>
          <w:i/>
          <w:szCs w:val="24"/>
        </w:rPr>
        <w:instrText>Cartesianische Mediationen und Pariser Vorträge</w:instrText>
      </w:r>
      <w:r w:rsidRPr="00B60500">
        <w:rPr>
          <w:rFonts w:cs="TimesNewRomanPSMT"/>
          <w:szCs w:val="24"/>
        </w:rPr>
        <w:instrText xml:space="preserve"> 136.22‒32</w:instrText>
      </w:r>
      <w:r>
        <w:instrText xml:space="preserve">" </w:instrText>
      </w:r>
      <w:r>
        <w:rPr>
          <w:rFonts w:cs="TimesNewRomanPSMT"/>
          <w:szCs w:val="24"/>
        </w:rPr>
        <w:fldChar w:fldCharType="end"/>
      </w:r>
      <w:r>
        <w:rPr>
          <w:rFonts w:cs="TimesNewRomanPSMT"/>
          <w:szCs w:val="24"/>
        </w:rPr>
        <w:t>)</w:t>
      </w:r>
    </w:p>
  </w:footnote>
  <w:footnote w:id="454">
    <w:p w14:paraId="5BAAAAB7" w14:textId="77777777" w:rsidR="00CD2817" w:rsidRPr="00C877D3" w:rsidRDefault="00CD2817" w:rsidP="00AD3891">
      <w:pPr>
        <w:pStyle w:val="Textpoznpodarou"/>
        <w:rPr>
          <w:lang w:val="cs-CZ"/>
        </w:rPr>
      </w:pPr>
      <w:r>
        <w:rPr>
          <w:rStyle w:val="Znakapoznpodarou"/>
        </w:rPr>
        <w:footnoteRef/>
      </w:r>
      <w:r>
        <w:t xml:space="preserve"> </w:t>
      </w:r>
      <w:r>
        <w:rPr>
          <w:lang w:val="cs-CZ"/>
        </w:rPr>
        <w:t>„S</w:t>
      </w:r>
      <w:r w:rsidRPr="00C877D3">
        <w:t>ecundum Commentatorem si sit in potentia ad hominem, hoc erit ad alterum hominem, et non ad eundem numero</w:t>
      </w:r>
      <w:r>
        <w:rPr>
          <w:lang w:val="cs-CZ"/>
        </w:rPr>
        <w:t>...“ (</w:t>
      </w:r>
      <w:r w:rsidRPr="00C877D3">
        <w:rPr>
          <w:i/>
        </w:rPr>
        <w:t>Memoriale</w:t>
      </w:r>
      <w:r>
        <w:rPr>
          <w:lang w:val="cs-CZ"/>
        </w:rPr>
        <w:t xml:space="preserve"> IV; ed. RPP, </w:t>
      </w:r>
      <w:r>
        <w:t xml:space="preserve"> 4.1</w:t>
      </w:r>
      <w:r>
        <w:fldChar w:fldCharType="begin"/>
      </w:r>
      <w:r>
        <w:instrText xml:space="preserve"> XE "</w:instrText>
      </w:r>
      <w:r>
        <w:rPr>
          <w:lang w:val="cs-CZ"/>
        </w:rPr>
        <w:instrText>Rufus:</w:instrText>
      </w:r>
      <w:r w:rsidRPr="00BC13E4">
        <w:rPr>
          <w:i/>
        </w:rPr>
        <w:instrText>Memoriale</w:instrText>
      </w:r>
      <w:r w:rsidRPr="00BC13E4">
        <w:rPr>
          <w:lang w:val="cs-CZ"/>
        </w:rPr>
        <w:instrText xml:space="preserve"> </w:instrText>
      </w:r>
      <w:r w:rsidRPr="00BC13E4">
        <w:instrText>4.1</w:instrText>
      </w:r>
      <w:r>
        <w:instrText xml:space="preserve">" </w:instrText>
      </w:r>
      <w:r>
        <w:fldChar w:fldCharType="end"/>
      </w:r>
      <w:r>
        <w:t>)</w:t>
      </w:r>
    </w:p>
  </w:footnote>
  <w:footnote w:id="455">
    <w:p w14:paraId="3D64282A" w14:textId="77777777" w:rsidR="00CD2817" w:rsidRDefault="00CD2817">
      <w:pPr>
        <w:pStyle w:val="Textpoznpodarou"/>
      </w:pPr>
      <w:r>
        <w:rPr>
          <w:rStyle w:val="Znakapoznpodarou"/>
        </w:rPr>
        <w:footnoteRef/>
      </w:r>
      <w:r>
        <w:t xml:space="preserve"> „Materia prima nata est ut recipiat formas individuales; intellectus possibilis natus est ut recipiat formas universales. Et materia prima una numero est et res singularis; alioquin non reciperet formas singulares. Intellectus possibilis erit intentio non individualis aut non recipiet formas universales.“ </w:t>
      </w:r>
      <w:r>
        <w:rPr>
          <w:szCs w:val="22"/>
        </w:rPr>
        <w:t>(</w:t>
      </w:r>
      <w:r w:rsidRPr="009B067B">
        <w:rPr>
          <w:i/>
        </w:rPr>
        <w:t>Contra Averroem</w:t>
      </w:r>
      <w:r w:rsidRPr="009B067B">
        <w:t xml:space="preserve"> 1.2.3</w:t>
      </w:r>
      <w:r>
        <w:rPr>
          <w:lang w:val="cs-CZ"/>
        </w:rPr>
        <w:t>;</w:t>
      </w:r>
      <w:r w:rsidRPr="009B067B">
        <w:t xml:space="preserve"> ed. </w:t>
      </w:r>
      <w:r>
        <w:t>Wood&amp;Nonne</w:t>
      </w:r>
      <w:r w:rsidRPr="009B067B">
        <w:t>, p. 5.95‒99</w:t>
      </w:r>
      <w:r>
        <w:fldChar w:fldCharType="begin"/>
      </w:r>
      <w:r>
        <w:instrText xml:space="preserve"> XE "</w:instrText>
      </w:r>
      <w:r>
        <w:rPr>
          <w:lang w:val="cs-CZ"/>
        </w:rPr>
        <w:instrText>Rufus:</w:instrText>
      </w:r>
      <w:r w:rsidRPr="0081685D">
        <w:rPr>
          <w:i/>
        </w:rPr>
        <w:instrText>Contra Averroem</w:instrText>
      </w:r>
      <w:r w:rsidRPr="0081685D">
        <w:instrText xml:space="preserve"> 5.95‒99</w:instrText>
      </w:r>
      <w:r>
        <w:instrText xml:space="preserve">" </w:instrText>
      </w:r>
      <w:r>
        <w:fldChar w:fldCharType="end"/>
      </w:r>
      <w:r>
        <w:rPr>
          <w:szCs w:val="22"/>
        </w:rPr>
        <w:t>)</w:t>
      </w:r>
    </w:p>
  </w:footnote>
  <w:footnote w:id="456">
    <w:p w14:paraId="4665AC7F" w14:textId="77777777" w:rsidR="00CD2817" w:rsidRDefault="00CD2817" w:rsidP="088A517A">
      <w:pPr>
        <w:pStyle w:val="Textpoznpodarou"/>
      </w:pPr>
      <w:r>
        <w:rPr>
          <w:rStyle w:val="Znakapoznpodarou"/>
        </w:rPr>
        <w:footnoteRef/>
      </w:r>
      <w:r>
        <w:t xml:space="preserve"> „</w:t>
      </w:r>
      <w:r w:rsidRPr="00CF5FA4">
        <w:t>Non est ergo intellectus possibilis alius et alius</w:t>
      </w:r>
      <w:r>
        <w:t xml:space="preserve"> </w:t>
      </w:r>
      <w:r w:rsidRPr="00CF5FA4">
        <w:t>numero in ipsis individuis. Erit ergo (ut videtur) unus numero in</w:t>
      </w:r>
      <w:r>
        <w:t xml:space="preserve"> o</w:t>
      </w:r>
      <w:r w:rsidRPr="00CF5FA4">
        <w:t>mnibus individuis, aut etiam unus numero et universale sub quo</w:t>
      </w:r>
      <w:r>
        <w:t xml:space="preserve"> </w:t>
      </w:r>
      <w:r w:rsidRPr="00CF5FA4">
        <w:t xml:space="preserve">non est invenire plusquam unum individuum. </w:t>
      </w:r>
      <w:r>
        <w:t>(...) Quia si invenirentur plura individua, esset forma illorum individuorum multiplex numerata secundum multiplicationem et numerationem plurium materierum.“ (</w:t>
      </w:r>
      <w:r w:rsidRPr="00786FC6">
        <w:rPr>
          <w:i/>
        </w:rPr>
        <w:t>Contra Averroem</w:t>
      </w:r>
      <w:r w:rsidRPr="00786FC6">
        <w:t xml:space="preserve"> 1.2.4</w:t>
      </w:r>
      <w:r>
        <w:rPr>
          <w:lang w:val="cs-CZ"/>
        </w:rPr>
        <w:t>;</w:t>
      </w:r>
      <w:r w:rsidRPr="00786FC6">
        <w:t xml:space="preserve"> ed. </w:t>
      </w:r>
      <w:r>
        <w:t>Wood&amp;Nonne</w:t>
      </w:r>
      <w:r w:rsidRPr="00786FC6">
        <w:t>, p</w:t>
      </w:r>
      <w:r>
        <w:rPr>
          <w:lang w:val="cs-CZ"/>
        </w:rPr>
        <w:t>p</w:t>
      </w:r>
      <w:r>
        <w:t>. 5.105‒6.</w:t>
      </w:r>
      <w:r>
        <w:rPr>
          <w:lang w:val="cs-CZ"/>
        </w:rPr>
        <w:t>1</w:t>
      </w:r>
      <w:r w:rsidRPr="00786FC6">
        <w:t>14</w:t>
      </w:r>
      <w:r>
        <w:fldChar w:fldCharType="begin"/>
      </w:r>
      <w:r>
        <w:instrText xml:space="preserve"> XE "</w:instrText>
      </w:r>
      <w:r>
        <w:rPr>
          <w:lang w:val="cs-CZ"/>
        </w:rPr>
        <w:instrText>Rufus:</w:instrText>
      </w:r>
      <w:r w:rsidRPr="007E79FE">
        <w:rPr>
          <w:i/>
        </w:rPr>
        <w:instrText>Contra Averroem</w:instrText>
      </w:r>
      <w:r w:rsidRPr="007E79FE">
        <w:instrText xml:space="preserve"> 5.105‒6.114</w:instrText>
      </w:r>
      <w:r>
        <w:instrText xml:space="preserve">" </w:instrText>
      </w:r>
      <w:r>
        <w:fldChar w:fldCharType="end"/>
      </w:r>
      <w:r>
        <w:t>)</w:t>
      </w:r>
    </w:p>
  </w:footnote>
  <w:footnote w:id="457">
    <w:p w14:paraId="45976ACA" w14:textId="77777777" w:rsidR="00CD2817" w:rsidRDefault="00CD2817" w:rsidP="088A517A">
      <w:pPr>
        <w:pStyle w:val="Textpoznpodarou"/>
      </w:pPr>
      <w:r>
        <w:rPr>
          <w:rStyle w:val="Znakapoznpodarou"/>
        </w:rPr>
        <w:footnoteRef/>
      </w:r>
      <w:r>
        <w:t xml:space="preserve"> „Ergo hoc videtur movisse ipsum Averroem et rationabiliter in ponendo intellectum possibilem in nobis omnibus unum et etiam universale, sicut prius dictum est.“ (</w:t>
      </w:r>
      <w:r w:rsidRPr="00F56B0D">
        <w:rPr>
          <w:i/>
        </w:rPr>
        <w:t>Contra Averroem</w:t>
      </w:r>
      <w:r w:rsidRPr="00F56B0D">
        <w:t xml:space="preserve"> 1.2.4</w:t>
      </w:r>
      <w:r>
        <w:rPr>
          <w:lang w:val="cs-CZ"/>
        </w:rPr>
        <w:t>;</w:t>
      </w:r>
      <w:r w:rsidRPr="00F56B0D">
        <w:t xml:space="preserve"> ed. </w:t>
      </w:r>
      <w:r>
        <w:t>Wood&amp;Nonne, p. 6.117‒</w:t>
      </w:r>
      <w:r w:rsidRPr="00F56B0D">
        <w:t>19</w:t>
      </w:r>
      <w:r>
        <w:fldChar w:fldCharType="begin"/>
      </w:r>
      <w:r>
        <w:instrText xml:space="preserve"> XE "</w:instrText>
      </w:r>
      <w:r>
        <w:rPr>
          <w:lang w:val="cs-CZ"/>
        </w:rPr>
        <w:instrText>Rufus:</w:instrText>
      </w:r>
      <w:r w:rsidRPr="002401FF">
        <w:rPr>
          <w:i/>
        </w:rPr>
        <w:instrText>Contra Averroem</w:instrText>
      </w:r>
      <w:r>
        <w:instrText xml:space="preserve"> 6.117‒</w:instrText>
      </w:r>
      <w:r w:rsidRPr="002401FF">
        <w:instrText>19</w:instrText>
      </w:r>
      <w:r>
        <w:instrText xml:space="preserve">" </w:instrText>
      </w:r>
      <w:r>
        <w:fldChar w:fldCharType="end"/>
      </w:r>
      <w:r>
        <w:t>)</w:t>
      </w:r>
    </w:p>
  </w:footnote>
  <w:footnote w:id="458">
    <w:p w14:paraId="5CE89B60" w14:textId="71A77809" w:rsidR="00CD2817" w:rsidRDefault="00CD2817" w:rsidP="088A517A">
      <w:pPr>
        <w:pStyle w:val="Textpoznpodarou"/>
      </w:pPr>
      <w:r>
        <w:rPr>
          <w:rStyle w:val="Znakapoznpodarou"/>
        </w:rPr>
        <w:footnoteRef/>
      </w:r>
      <w:r>
        <w:t xml:space="preserve"> „Ergo hoc videtur movisse ipsum Averroem et rationabiliter in ponendo intellectum possibilem in nobis omnibus unum et etiam universale, sicut prius dictum est. Hoc, inquam, secundum rationem dictam videtur, quod sit necesse intellectum possibilem vel unum numero, et tamen sic universale in multis individuis esse; aut in singulis diversis individuis numero et specie differre</w:t>
      </w:r>
      <w:r>
        <w:rPr>
          <w:lang w:val="cs-CZ"/>
        </w:rPr>
        <w:t>..</w:t>
      </w:r>
      <w:r>
        <w:t xml:space="preserve">.“ </w:t>
      </w:r>
      <w:r>
        <w:rPr>
          <w:szCs w:val="22"/>
        </w:rPr>
        <w:t>(</w:t>
      </w:r>
      <w:r w:rsidRPr="00963A5C">
        <w:rPr>
          <w:i/>
        </w:rPr>
        <w:t>Contra Averroem</w:t>
      </w:r>
      <w:r>
        <w:t xml:space="preserve"> 1.2.4</w:t>
      </w:r>
      <w:r>
        <w:rPr>
          <w:lang w:val="cs-CZ"/>
        </w:rPr>
        <w:t>;</w:t>
      </w:r>
      <w:r w:rsidRPr="00963A5C">
        <w:t xml:space="preserve"> ed. </w:t>
      </w:r>
      <w:r>
        <w:t>Wood&amp;Nonne, p. 6.117‒</w:t>
      </w:r>
      <w:r w:rsidRPr="00963A5C">
        <w:t>24</w:t>
      </w:r>
      <w:r>
        <w:fldChar w:fldCharType="begin"/>
      </w:r>
      <w:r>
        <w:instrText xml:space="preserve"> XE "</w:instrText>
      </w:r>
      <w:r>
        <w:rPr>
          <w:lang w:val="cs-CZ"/>
        </w:rPr>
        <w:instrText>Rufus:</w:instrText>
      </w:r>
      <w:r w:rsidRPr="00E266ED">
        <w:rPr>
          <w:i/>
        </w:rPr>
        <w:instrText>Contra Averroem</w:instrText>
      </w:r>
      <w:r>
        <w:instrText xml:space="preserve"> 6.117‒</w:instrText>
      </w:r>
      <w:r w:rsidRPr="00E266ED">
        <w:instrText>24</w:instrText>
      </w:r>
      <w:r>
        <w:instrText xml:space="preserve">" </w:instrText>
      </w:r>
      <w:r>
        <w:fldChar w:fldCharType="end"/>
      </w:r>
      <w:r>
        <w:rPr>
          <w:szCs w:val="22"/>
        </w:rPr>
        <w:t>)</w:t>
      </w:r>
    </w:p>
  </w:footnote>
  <w:footnote w:id="459">
    <w:p w14:paraId="629DA377" w14:textId="77777777" w:rsidR="00CD2817" w:rsidRPr="00E87718" w:rsidRDefault="00CD2817" w:rsidP="084F1BDA">
      <w:pPr>
        <w:pStyle w:val="Textpoznpodarou"/>
      </w:pPr>
      <w:r w:rsidRPr="00E87718">
        <w:rPr>
          <w:rStyle w:val="Znakapoznpodarou"/>
        </w:rPr>
        <w:footnoteRef/>
      </w:r>
      <w:r w:rsidRPr="00E87718">
        <w:t xml:space="preserve"> „Totalitarian rulers rely on the compulsion with which we can compel ourselves, for the limited mobilization of people which even they still need; this inner compulsion is the tyranny of logicality against which nothing</w:t>
      </w:r>
      <w:r>
        <w:t xml:space="preserve"> </w:t>
      </w:r>
      <w:r w:rsidRPr="00E87718">
        <w:t>stands but the great capacity of men to start something new. The tyranny of logicality begins with the mind's submission to logic as a never-ending process, on which man relies in order to engender his thoughts. By this submission, he surrenders his inner freedom as he surrenders his freedom of movement when he bows down to an outward tyranny.“ (Arendt 1962, 473)</w:t>
      </w:r>
    </w:p>
  </w:footnote>
  <w:footnote w:id="460">
    <w:p w14:paraId="5494F428" w14:textId="77777777" w:rsidR="00CD2817" w:rsidRDefault="00CD2817" w:rsidP="00DA4524">
      <w:pPr>
        <w:pStyle w:val="Textpoznpodarou"/>
      </w:pPr>
      <w:r>
        <w:rPr>
          <w:rStyle w:val="Znakapoznpodarou"/>
        </w:rPr>
        <w:footnoteRef/>
      </w:r>
      <w:r>
        <w:t xml:space="preserve"> </w:t>
      </w:r>
      <w:r w:rsidRPr="002836EF">
        <w:t>„Scimus enim quod temporibus nostris Parisiis diu fuit contradictum naturali philosophiae et metaphysicae Aristotelis per Avicennae et Averrois expositores, et ob densam ignorantiam fuerunt libri eorum excommunicati, et utentes eis per tempora satis longa.“ (</w:t>
      </w:r>
      <w:r w:rsidRPr="002836EF">
        <w:rPr>
          <w:i/>
        </w:rPr>
        <w:t>The Opus Maius of Roger Bacon</w:t>
      </w:r>
      <w:r>
        <w:t xml:space="preserve"> I.9</w:t>
      </w:r>
      <w:r>
        <w:rPr>
          <w:lang w:val="cs-CZ"/>
        </w:rPr>
        <w:t>;</w:t>
      </w:r>
      <w:r>
        <w:t xml:space="preserve"> </w:t>
      </w:r>
      <w:r w:rsidRPr="002836EF">
        <w:t>ed. Bridges, p. 20</w:t>
      </w:r>
      <w:r>
        <w:fldChar w:fldCharType="begin"/>
      </w:r>
      <w:r>
        <w:instrText xml:space="preserve"> XE "</w:instrText>
      </w:r>
      <w:r>
        <w:rPr>
          <w:lang w:val="cs-CZ"/>
        </w:rPr>
        <w:instrText>Bacon:</w:instrText>
      </w:r>
      <w:r>
        <w:rPr>
          <w:i/>
        </w:rPr>
        <w:instrText xml:space="preserve">Opus </w:instrText>
      </w:r>
      <w:r>
        <w:rPr>
          <w:i/>
          <w:lang w:val="cs-CZ"/>
        </w:rPr>
        <w:instrText>m</w:instrText>
      </w:r>
      <w:r w:rsidRPr="002836EF">
        <w:rPr>
          <w:i/>
        </w:rPr>
        <w:instrText xml:space="preserve">aius </w:instrText>
      </w:r>
      <w:r w:rsidRPr="0026727C">
        <w:instrText>20</w:instrText>
      </w:r>
      <w:r>
        <w:instrText xml:space="preserve">" </w:instrText>
      </w:r>
      <w:r>
        <w:fldChar w:fldCharType="end"/>
      </w:r>
      <w:r w:rsidRPr="002836EF">
        <w:t>)</w:t>
      </w:r>
    </w:p>
  </w:footnote>
  <w:footnote w:id="461">
    <w:p w14:paraId="716779E5" w14:textId="77777777" w:rsidR="00CD2817" w:rsidRPr="08172019" w:rsidRDefault="00CD2817" w:rsidP="00DA4524">
      <w:pPr>
        <w:pStyle w:val="Textpoznpodarou"/>
      </w:pPr>
      <w:r>
        <w:rPr>
          <w:rStyle w:val="Znakapoznpodarou"/>
        </w:rPr>
        <w:footnoteRef/>
      </w:r>
      <w:r>
        <w:t xml:space="preserve"> „Adam Marsh, considered him an exemplary friar (</w:t>
      </w:r>
      <w:r>
        <w:rPr>
          <w:rStyle w:val="Zvraznn"/>
        </w:rPr>
        <w:t>Epistle</w:t>
      </w:r>
      <w:r>
        <w:t xml:space="preserve"> 205) and noticed that younger friars were glad to work with him because he let them use his books (</w:t>
      </w:r>
      <w:r>
        <w:rPr>
          <w:rStyle w:val="Zvraznn"/>
        </w:rPr>
        <w:t>Epistle</w:t>
      </w:r>
      <w:r>
        <w:t xml:space="preserve"> 192). Finally, we know one of Rufus' dreams, or rather his nightmare: intellectual pride. Rufus once dreamed that St. Francis himself appeared to him. In this dream Francis told Rufus that the Franciscan Order's most celebrated priestly lecturers had less merit than a humble lay contemplative brother (</w:t>
      </w:r>
      <w:r>
        <w:rPr>
          <w:rStyle w:val="Zvraznn"/>
        </w:rPr>
        <w:t>De adventu Fratrum Minorum in Angliam</w:t>
      </w:r>
      <w:r>
        <w:t xml:space="preserve"> 11; </w:t>
      </w:r>
      <w:r w:rsidRPr="08172019">
        <w:rPr>
          <w:i/>
        </w:rPr>
        <w:t>Life of Richard Rufus</w:t>
      </w:r>
      <w:r>
        <w:t>, ed. RRP)</w:t>
      </w:r>
    </w:p>
  </w:footnote>
  <w:footnote w:id="462">
    <w:p w14:paraId="29BC3E74" w14:textId="77777777" w:rsidR="00CD2817" w:rsidRDefault="00CD2817">
      <w:pPr>
        <w:pStyle w:val="Textpoznpodarou"/>
      </w:pPr>
      <w:r>
        <w:rPr>
          <w:rStyle w:val="Znakapoznpodarou"/>
        </w:rPr>
        <w:footnoteRef/>
      </w:r>
      <w:r>
        <w:t xml:space="preserve"> </w:t>
      </w:r>
      <w:r w:rsidRPr="00950D92">
        <w:t>„Vir Dei, garrulus sum et loquax et expedire nescio. Diu te tenui in istis, sed de cetero procedam. Et quaero a te: quid est quod praedicatur et quid est de quo praedicatur?“ (</w:t>
      </w:r>
      <w:r>
        <w:rPr>
          <w:i/>
        </w:rPr>
        <w:t>Speculum a</w:t>
      </w:r>
      <w:r w:rsidRPr="00015D09">
        <w:rPr>
          <w:i/>
        </w:rPr>
        <w:t>nima</w:t>
      </w:r>
      <w:r>
        <w:rPr>
          <w:i/>
        </w:rPr>
        <w:t>e</w:t>
      </w:r>
      <w:r w:rsidRPr="00950D92">
        <w:t>, q</w:t>
      </w:r>
      <w:r>
        <w:t>. 3</w:t>
      </w:r>
      <w:r>
        <w:rPr>
          <w:lang w:val="cs-CZ"/>
        </w:rPr>
        <w:t>;</w:t>
      </w:r>
      <w:r w:rsidRPr="00950D92">
        <w:t xml:space="preserve"> ed. </w:t>
      </w:r>
      <w:r>
        <w:t>Etchemendy&amp;Wood</w:t>
      </w:r>
      <w:r w:rsidRPr="00950D92">
        <w:t>, p. 127.</w:t>
      </w:r>
      <w:r>
        <w:t>272–</w:t>
      </w:r>
      <w:r>
        <w:rPr>
          <w:lang w:val="cs-CZ"/>
        </w:rPr>
        <w:t>7</w:t>
      </w:r>
      <w:r>
        <w:t>4</w:t>
      </w:r>
      <w:r>
        <w:fldChar w:fldCharType="begin"/>
      </w:r>
      <w:r>
        <w:instrText xml:space="preserve"> XE "</w:instrText>
      </w:r>
      <w:r>
        <w:rPr>
          <w:lang w:val="cs-CZ"/>
        </w:rPr>
        <w:instrText>Rufus:</w:instrText>
      </w:r>
      <w:r w:rsidRPr="08291963">
        <w:rPr>
          <w:i/>
        </w:rPr>
        <w:instrText>Speculum animae</w:instrText>
      </w:r>
      <w:r w:rsidRPr="08291963">
        <w:instrText xml:space="preserve"> 127.272–</w:instrText>
      </w:r>
      <w:r w:rsidRPr="08291963">
        <w:rPr>
          <w:lang w:val="cs-CZ"/>
        </w:rPr>
        <w:instrText>7</w:instrText>
      </w:r>
      <w:r w:rsidRPr="08291963">
        <w:instrText>4</w:instrText>
      </w:r>
      <w:r>
        <w:instrText xml:space="preserve">" </w:instrText>
      </w:r>
      <w:r>
        <w:fldChar w:fldCharType="end"/>
      </w:r>
      <w:r>
        <w:t>)</w:t>
      </w:r>
    </w:p>
  </w:footnote>
  <w:footnote w:id="463">
    <w:p w14:paraId="35B4B026" w14:textId="77777777" w:rsidR="00CD2817" w:rsidRPr="009B5ADF" w:rsidRDefault="00CD2817" w:rsidP="002042B6">
      <w:pPr>
        <w:pStyle w:val="Textpoznpodarou"/>
        <w:rPr>
          <w:lang w:val="cs-CZ"/>
        </w:rPr>
      </w:pPr>
      <w:r>
        <w:rPr>
          <w:rStyle w:val="Znakapoznpodarou"/>
        </w:rPr>
        <w:footnoteRef/>
      </w:r>
      <w:r>
        <w:t xml:space="preserve"> „</w:t>
      </w:r>
      <w:r w:rsidRPr="007B00E5">
        <w:t>Quomodo est sensus ipsa sensibilia et intellectus ipsa intelligibilia?</w:t>
      </w:r>
      <w:r>
        <w:t>“ (</w:t>
      </w:r>
      <w:r w:rsidRPr="009B5ADF">
        <w:rPr>
          <w:i/>
        </w:rPr>
        <w:t>Speculum animae</w:t>
      </w:r>
      <w:r w:rsidRPr="00950D92">
        <w:t>,</w:t>
      </w:r>
      <w:r>
        <w:t xml:space="preserve"> q. </w:t>
      </w:r>
      <w:r>
        <w:rPr>
          <w:lang w:val="cs-CZ"/>
        </w:rPr>
        <w:t>1</w:t>
      </w:r>
      <w:r>
        <w:t xml:space="preserve">;  </w:t>
      </w:r>
      <w:r w:rsidRPr="00950D92">
        <w:t xml:space="preserve">ed. </w:t>
      </w:r>
      <w:r>
        <w:t>Etchemendy&amp;Wood, p. 1</w:t>
      </w:r>
      <w:r>
        <w:rPr>
          <w:lang w:val="cs-CZ"/>
        </w:rPr>
        <w:t>18</w:t>
      </w:r>
      <w:r>
        <w:t>.</w:t>
      </w:r>
      <w:r>
        <w:rPr>
          <w:lang w:val="cs-CZ"/>
        </w:rPr>
        <w:t>27</w:t>
      </w:r>
      <w:r>
        <w:rPr>
          <w:lang w:val="cs-CZ"/>
        </w:rPr>
        <w:fldChar w:fldCharType="begin"/>
      </w:r>
      <w:r>
        <w:instrText xml:space="preserve"> XE "</w:instrText>
      </w:r>
      <w:r>
        <w:rPr>
          <w:lang w:val="cs-CZ"/>
        </w:rPr>
        <w:instrText>Rufus:</w:instrText>
      </w:r>
      <w:r w:rsidRPr="00D32532">
        <w:rPr>
          <w:i/>
        </w:rPr>
        <w:instrText>Speculum animae</w:instrText>
      </w:r>
      <w:r w:rsidRPr="00D32532">
        <w:instrText xml:space="preserve"> 1</w:instrText>
      </w:r>
      <w:r w:rsidRPr="00D32532">
        <w:rPr>
          <w:lang w:val="cs-CZ"/>
        </w:rPr>
        <w:instrText>18</w:instrText>
      </w:r>
      <w:r w:rsidRPr="00D32532">
        <w:instrText>.</w:instrText>
      </w:r>
      <w:r w:rsidRPr="00D32532">
        <w:rPr>
          <w:lang w:val="cs-CZ"/>
        </w:rPr>
        <w:instrText>27</w:instrText>
      </w:r>
      <w:r>
        <w:instrText xml:space="preserve">" </w:instrText>
      </w:r>
      <w:r>
        <w:rPr>
          <w:lang w:val="cs-CZ"/>
        </w:rPr>
        <w:fldChar w:fldCharType="end"/>
      </w:r>
      <w:r>
        <w:t>)</w:t>
      </w:r>
    </w:p>
  </w:footnote>
  <w:footnote w:id="464">
    <w:p w14:paraId="6FD66AA2" w14:textId="77777777" w:rsidR="00CD2817" w:rsidRPr="007952F1" w:rsidRDefault="00CD2817">
      <w:pPr>
        <w:pStyle w:val="Textpoznpodarou"/>
        <w:rPr>
          <w:lang w:val="cs-CZ"/>
        </w:rPr>
      </w:pPr>
      <w:r>
        <w:rPr>
          <w:rStyle w:val="Znakapoznpodarou"/>
        </w:rPr>
        <w:footnoteRef/>
      </w:r>
      <w:r>
        <w:t xml:space="preserve"> </w:t>
      </w:r>
      <w:r w:rsidRPr="00CC52A9">
        <w:t>„Vir Dei, dices mihi, colligendo ex ips</w:t>
      </w:r>
      <w:r>
        <w:t>o eodem auctore, et respondebis</w:t>
      </w:r>
      <w:r w:rsidRPr="00CC52A9">
        <w:rPr>
          <w:szCs w:val="17"/>
        </w:rPr>
        <w:t xml:space="preserve"> </w:t>
      </w:r>
      <w:r w:rsidRPr="00CC52A9">
        <w:t>mihi cum quaero: sensus quomodo est ipsum sensibile? Respondebis cum Philosopho, quia hoc mod</w:t>
      </w:r>
      <w:r>
        <w:t>o, scilicet quod '</w:t>
      </w:r>
      <w:r w:rsidRPr="00CC52A9">
        <w:t>sensus est in potentia tale qu</w:t>
      </w:r>
      <w:r>
        <w:t>ale est ipsum sensibile in actu'</w:t>
      </w:r>
      <w:r w:rsidRPr="00CC52A9">
        <w:t>,</w:t>
      </w:r>
      <w:r w:rsidRPr="00CC52A9">
        <w:rPr>
          <w:szCs w:val="12"/>
        </w:rPr>
        <w:t xml:space="preserve"> </w:t>
      </w:r>
      <w:r w:rsidRPr="00CC52A9">
        <w:t xml:space="preserve">et illud pertractabis ad singulos sensus et sensibilia.“ </w:t>
      </w:r>
      <w:r w:rsidRPr="00950D92">
        <w:t>(</w:t>
      </w:r>
      <w:r w:rsidRPr="00015D09">
        <w:rPr>
          <w:i/>
        </w:rPr>
        <w:t xml:space="preserve">Speculum </w:t>
      </w:r>
      <w:r>
        <w:rPr>
          <w:i/>
        </w:rPr>
        <w:t>a</w:t>
      </w:r>
      <w:r w:rsidRPr="00015D09">
        <w:rPr>
          <w:i/>
        </w:rPr>
        <w:t>nima</w:t>
      </w:r>
      <w:r>
        <w:rPr>
          <w:i/>
        </w:rPr>
        <w:t>e</w:t>
      </w:r>
      <w:r w:rsidRPr="00950D92">
        <w:t>,</w:t>
      </w:r>
      <w:r>
        <w:t xml:space="preserve"> q. 1;  </w:t>
      </w:r>
      <w:r w:rsidRPr="00950D92">
        <w:t xml:space="preserve">ed. </w:t>
      </w:r>
      <w:r>
        <w:t>Etchemendy&amp;Wood</w:t>
      </w:r>
      <w:r>
        <w:rPr>
          <w:lang w:val="cs-CZ"/>
        </w:rPr>
        <w:t xml:space="preserve">, </w:t>
      </w:r>
      <w:r>
        <w:t>p. 118</w:t>
      </w:r>
      <w:r w:rsidRPr="00950D92">
        <w:t>.</w:t>
      </w:r>
      <w:r>
        <w:t>40</w:t>
      </w:r>
      <w:r w:rsidRPr="00950D92">
        <w:t>–</w:t>
      </w:r>
      <w:r>
        <w:t>45</w:t>
      </w:r>
      <w:r>
        <w:rPr>
          <w:lang w:val="cs-CZ"/>
        </w:rPr>
        <w:fldChar w:fldCharType="begin"/>
      </w:r>
      <w:r>
        <w:instrText xml:space="preserve"> XE "</w:instrText>
      </w:r>
      <w:r>
        <w:rPr>
          <w:lang w:val="cs-CZ"/>
        </w:rPr>
        <w:instrText>Rufus:</w:instrText>
      </w:r>
      <w:r w:rsidRPr="00D32532">
        <w:rPr>
          <w:i/>
        </w:rPr>
        <w:instrText>Speculum animae</w:instrText>
      </w:r>
      <w:r w:rsidRPr="00D32532">
        <w:instrText xml:space="preserve"> </w:instrText>
      </w:r>
      <w:r>
        <w:instrText>118</w:instrText>
      </w:r>
      <w:r w:rsidRPr="00950D92">
        <w:instrText>.</w:instrText>
      </w:r>
      <w:r>
        <w:instrText>40</w:instrText>
      </w:r>
      <w:r w:rsidRPr="00950D92">
        <w:instrText>–</w:instrText>
      </w:r>
      <w:r>
        <w:instrText xml:space="preserve">45" </w:instrText>
      </w:r>
      <w:r>
        <w:rPr>
          <w:lang w:val="cs-CZ"/>
        </w:rPr>
        <w:fldChar w:fldCharType="end"/>
      </w:r>
      <w:r>
        <w:rPr>
          <w:lang w:val="cs-CZ"/>
        </w:rPr>
        <w:t>)</w:t>
      </w:r>
    </w:p>
  </w:footnote>
  <w:footnote w:id="465">
    <w:p w14:paraId="0FC5B7F9" w14:textId="77777777" w:rsidR="00CD2817" w:rsidRPr="00DD633E" w:rsidRDefault="00CD2817">
      <w:pPr>
        <w:pStyle w:val="Textpoznpodarou"/>
        <w:rPr>
          <w:lang w:val="cs-CZ"/>
        </w:rPr>
      </w:pPr>
      <w:r>
        <w:rPr>
          <w:rStyle w:val="Znakapoznpodarou"/>
        </w:rPr>
        <w:footnoteRef/>
      </w:r>
      <w:r>
        <w:t xml:space="preserve"> „</w:t>
      </w:r>
      <w:r w:rsidRPr="00B77AA2">
        <w:t>Et iterum, cum tam variae et multiplices substantiarum et accidentium species intelligibiles recipiantur in uno et eodem intellectu possibili, consequitur quod nulla earum sit forma substantialis ex qua cum ipso intellectu fiat vere unum individuum, una substantia, una persona.</w:t>
      </w:r>
      <w:r>
        <w:t>“</w:t>
      </w:r>
      <w:r w:rsidRPr="00B77AA2">
        <w:t xml:space="preserve"> </w:t>
      </w:r>
      <w:r>
        <w:t>(</w:t>
      </w:r>
      <w:r w:rsidRPr="00015D09">
        <w:rPr>
          <w:i/>
        </w:rPr>
        <w:t xml:space="preserve">Speculum </w:t>
      </w:r>
      <w:r>
        <w:rPr>
          <w:i/>
        </w:rPr>
        <w:t>a</w:t>
      </w:r>
      <w:r w:rsidRPr="00015D09">
        <w:rPr>
          <w:i/>
        </w:rPr>
        <w:t>nima</w:t>
      </w:r>
      <w:r>
        <w:rPr>
          <w:i/>
        </w:rPr>
        <w:t>e</w:t>
      </w:r>
      <w:r w:rsidRPr="00950D92">
        <w:t xml:space="preserve">, </w:t>
      </w:r>
      <w:r>
        <w:t>q. 2</w:t>
      </w:r>
      <w:r>
        <w:rPr>
          <w:lang w:val="cs-CZ"/>
        </w:rPr>
        <w:t>;</w:t>
      </w:r>
      <w:r>
        <w:t xml:space="preserve"> </w:t>
      </w:r>
      <w:r w:rsidRPr="00950D92">
        <w:t xml:space="preserve">ed. </w:t>
      </w:r>
      <w:r>
        <w:t>Etchemendy&amp;Wood, p. 123</w:t>
      </w:r>
      <w:r w:rsidRPr="00950D92">
        <w:t>.</w:t>
      </w:r>
      <w:r>
        <w:t>173</w:t>
      </w:r>
      <w:r w:rsidRPr="00950D92">
        <w:t>–</w:t>
      </w:r>
      <w:r>
        <w:t>77</w:t>
      </w:r>
      <w:r>
        <w:fldChar w:fldCharType="begin"/>
      </w:r>
      <w:r>
        <w:instrText xml:space="preserve"> XE "</w:instrText>
      </w:r>
      <w:r>
        <w:rPr>
          <w:lang w:val="cs-CZ"/>
        </w:rPr>
        <w:instrText>Rufus:</w:instrText>
      </w:r>
      <w:r w:rsidRPr="00AB2A0E">
        <w:rPr>
          <w:i/>
        </w:rPr>
        <w:instrText>Speculum animae</w:instrText>
      </w:r>
      <w:r w:rsidRPr="00AB2A0E">
        <w:instrText xml:space="preserve"> 123.173–77</w:instrText>
      </w:r>
      <w:r>
        <w:instrText xml:space="preserve">" </w:instrText>
      </w:r>
      <w:r>
        <w:fldChar w:fldCharType="end"/>
      </w:r>
      <w:r>
        <w:t>)</w:t>
      </w:r>
    </w:p>
  </w:footnote>
  <w:footnote w:id="466">
    <w:p w14:paraId="2F2F8D52" w14:textId="77777777" w:rsidR="00CD2817" w:rsidRPr="003B2DD8" w:rsidRDefault="00CD2817">
      <w:pPr>
        <w:pStyle w:val="Textpoznpodarou"/>
        <w:rPr>
          <w:lang w:val="cs-CZ"/>
        </w:rPr>
      </w:pPr>
      <w:r>
        <w:rPr>
          <w:rStyle w:val="Znakapoznpodarou"/>
        </w:rPr>
        <w:footnoteRef/>
      </w:r>
      <w:r>
        <w:t xml:space="preserve"> „</w:t>
      </w:r>
      <w:r w:rsidRPr="003B2DD8">
        <w:t>Ipsa autem natura forinseca, a qua ista species abstrahitur, dicitur potentia intelligibile. Et dictus intellectus possibilis recipere potentia est similis, actu autem habens ipsum receptum actu efficitur similis et speciei infusae et proicienti extrinseco.</w:t>
      </w:r>
      <w:r>
        <w:t>“ (</w:t>
      </w:r>
      <w:r w:rsidRPr="00015D09">
        <w:rPr>
          <w:i/>
        </w:rPr>
        <w:t xml:space="preserve">Speculum </w:t>
      </w:r>
      <w:r>
        <w:rPr>
          <w:i/>
        </w:rPr>
        <w:t>a</w:t>
      </w:r>
      <w:r w:rsidRPr="00015D09">
        <w:rPr>
          <w:i/>
        </w:rPr>
        <w:t>nima</w:t>
      </w:r>
      <w:r>
        <w:rPr>
          <w:i/>
        </w:rPr>
        <w:t>e</w:t>
      </w:r>
      <w:r w:rsidRPr="00950D92">
        <w:t xml:space="preserve">, </w:t>
      </w:r>
      <w:r>
        <w:t xml:space="preserve">q. </w:t>
      </w:r>
      <w:r>
        <w:rPr>
          <w:lang w:val="cs-CZ"/>
        </w:rPr>
        <w:t>3;</w:t>
      </w:r>
      <w:r>
        <w:t xml:space="preserve"> </w:t>
      </w:r>
      <w:r w:rsidRPr="00950D92">
        <w:t xml:space="preserve">ed. </w:t>
      </w:r>
      <w:r>
        <w:t xml:space="preserve">Etchemendy&amp;Wood, p. </w:t>
      </w:r>
      <w:r>
        <w:rPr>
          <w:lang w:val="cs-CZ"/>
        </w:rPr>
        <w:t>133.449</w:t>
      </w:r>
      <w:r w:rsidRPr="00950D92">
        <w:t>–</w:t>
      </w:r>
      <w:r>
        <w:rPr>
          <w:lang w:val="cs-CZ"/>
        </w:rPr>
        <w:t>52</w:t>
      </w:r>
      <w:r>
        <w:fldChar w:fldCharType="begin"/>
      </w:r>
      <w:r>
        <w:instrText xml:space="preserve"> XE "</w:instrText>
      </w:r>
      <w:r>
        <w:rPr>
          <w:lang w:val="cs-CZ"/>
        </w:rPr>
        <w:instrText>Rufus:</w:instrText>
      </w:r>
      <w:r w:rsidRPr="00AB2A0E">
        <w:rPr>
          <w:i/>
        </w:rPr>
        <w:instrText>Speculum animae</w:instrText>
      </w:r>
      <w:r>
        <w:instrText xml:space="preserve"> 1</w:instrText>
      </w:r>
      <w:r>
        <w:rPr>
          <w:lang w:val="cs-CZ"/>
        </w:rPr>
        <w:instrText>3</w:instrText>
      </w:r>
      <w:r w:rsidRPr="00AB2A0E">
        <w:instrText>3.</w:instrText>
      </w:r>
      <w:r>
        <w:rPr>
          <w:lang w:val="cs-CZ"/>
        </w:rPr>
        <w:instrText>449</w:instrText>
      </w:r>
      <w:r w:rsidRPr="00AB2A0E">
        <w:instrText>–</w:instrText>
      </w:r>
      <w:r>
        <w:rPr>
          <w:lang w:val="cs-CZ"/>
        </w:rPr>
        <w:instrText>52</w:instrText>
      </w:r>
      <w:r>
        <w:instrText xml:space="preserve">" </w:instrText>
      </w:r>
      <w:r>
        <w:fldChar w:fldCharType="end"/>
      </w:r>
      <w:r>
        <w:t>)</w:t>
      </w:r>
    </w:p>
  </w:footnote>
  <w:footnote w:id="467">
    <w:p w14:paraId="4E4D4FAA" w14:textId="77777777" w:rsidR="00CD2817" w:rsidRPr="08801975" w:rsidRDefault="00CD2817" w:rsidP="009A1F29">
      <w:pPr>
        <w:pStyle w:val="Textpoznpodarou"/>
      </w:pPr>
      <w:r>
        <w:rPr>
          <w:rStyle w:val="Znakapoznpodarou"/>
        </w:rPr>
        <w:footnoteRef/>
      </w:r>
      <w:r>
        <w:t xml:space="preserve"> „Non erit igitur in intelligentia agente ex sola causa hujusmodi, ut faciat relucere in speculo virtutis nostrae intellectivae formam aliquam intelligibilem.“ (</w:t>
      </w:r>
      <w:r w:rsidRPr="00A97383">
        <w:rPr>
          <w:i/>
        </w:rPr>
        <w:t>De universo</w:t>
      </w:r>
      <w:r>
        <w:rPr>
          <w:i/>
        </w:rPr>
        <w:t xml:space="preserve"> </w:t>
      </w:r>
      <w:r>
        <w:t>2.1.14</w:t>
      </w:r>
      <w:r>
        <w:rPr>
          <w:lang w:val="cs-CZ"/>
        </w:rPr>
        <w:t xml:space="preserve">; </w:t>
      </w:r>
      <w:r>
        <w:t>ed. Le Feron, t. I, p. 822F</w:t>
      </w:r>
      <w:r>
        <w:fldChar w:fldCharType="begin"/>
      </w:r>
      <w:r>
        <w:instrText xml:space="preserve"> XE "</w:instrText>
      </w:r>
      <w:r>
        <w:rPr>
          <w:lang w:val="cs-CZ"/>
        </w:rPr>
        <w:instrText>Alvernus:</w:instrText>
      </w:r>
      <w:r w:rsidRPr="00C63F9D">
        <w:rPr>
          <w:i/>
        </w:rPr>
        <w:instrText xml:space="preserve">De universo </w:instrText>
      </w:r>
      <w:r w:rsidRPr="00C63F9D">
        <w:instrText>822F</w:instrText>
      </w:r>
      <w:r>
        <w:instrText xml:space="preserve">" </w:instrText>
      </w:r>
      <w:r>
        <w:fldChar w:fldCharType="end"/>
      </w:r>
      <w:r>
        <w:t>)</w:t>
      </w:r>
    </w:p>
  </w:footnote>
  <w:footnote w:id="468">
    <w:p w14:paraId="06F6148A" w14:textId="77777777" w:rsidR="00CD2817" w:rsidRPr="00677231" w:rsidRDefault="00CD2817">
      <w:pPr>
        <w:pStyle w:val="Textpoznpodarou"/>
      </w:pPr>
      <w:r>
        <w:rPr>
          <w:rStyle w:val="Znakapoznpodarou"/>
        </w:rPr>
        <w:footnoteRef/>
      </w:r>
      <w:r>
        <w:t xml:space="preserve"> </w:t>
      </w:r>
      <w:r w:rsidRPr="00AE1CA3">
        <w:t>„Et tu, convertens, dices sic: ‘lux est intentio lucidi, praesens in diaphono’. Et quid hoc est dictu, nisi quod ipsum lumen genitum ab origine, corpore luminoso, receptum in materia extranea, scilicet in aere diaphono?</w:t>
      </w:r>
      <w:r>
        <w:t xml:space="preserve"> </w:t>
      </w:r>
      <w:r w:rsidRPr="00D413B2">
        <w:t>Hic, inquam, receptum sit</w:t>
      </w:r>
      <w:r>
        <w:t xml:space="preserve"> species et similitudo expressa, </w:t>
      </w:r>
      <w:r w:rsidRPr="00D413B2">
        <w:t>non vana, non imaginaria similitudo, sed quantum possibile est accedens secundum identitatem et appropinquans ad formam lucidi fontanei, sicut supra audisti ex specie coloris ad ipsum colorem.</w:t>
      </w:r>
      <w:r>
        <w:t>“</w:t>
      </w:r>
      <w:r w:rsidRPr="00AE1CA3">
        <w:t xml:space="preserve"> (</w:t>
      </w:r>
      <w:r w:rsidRPr="00D413B2">
        <w:rPr>
          <w:i/>
        </w:rPr>
        <w:t>Speculum animae</w:t>
      </w:r>
      <w:r w:rsidRPr="000529B4">
        <w:rPr>
          <w:lang w:val="cs-CZ"/>
        </w:rPr>
        <w:t>, q. 2;</w:t>
      </w:r>
      <w:r w:rsidRPr="00AE1CA3">
        <w:t xml:space="preserve"> </w:t>
      </w:r>
      <w:r w:rsidRPr="00950D92">
        <w:t xml:space="preserve">ed. </w:t>
      </w:r>
      <w:r>
        <w:t>Etchemendy&amp;Wood, p. 126.248–</w:t>
      </w:r>
      <w:r w:rsidRPr="00AE1CA3">
        <w:t>5</w:t>
      </w:r>
      <w:r>
        <w:t>6</w:t>
      </w:r>
      <w:r>
        <w:fldChar w:fldCharType="begin"/>
      </w:r>
      <w:r>
        <w:instrText xml:space="preserve"> XE "</w:instrText>
      </w:r>
      <w:r>
        <w:rPr>
          <w:lang w:val="cs-CZ"/>
        </w:rPr>
        <w:instrText>Rufus:</w:instrText>
      </w:r>
      <w:r w:rsidRPr="003F2781">
        <w:rPr>
          <w:i/>
        </w:rPr>
        <w:instrText>Speculum animae</w:instrText>
      </w:r>
      <w:r w:rsidRPr="003F2781">
        <w:rPr>
          <w:lang w:val="cs-CZ"/>
        </w:rPr>
        <w:instrText xml:space="preserve"> </w:instrText>
      </w:r>
      <w:r w:rsidRPr="003F2781">
        <w:instrText>126.248–56</w:instrText>
      </w:r>
      <w:r>
        <w:instrText xml:space="preserve">" </w:instrText>
      </w:r>
      <w:r>
        <w:fldChar w:fldCharType="end"/>
      </w:r>
      <w:r w:rsidRPr="00AE1CA3">
        <w:t>)</w:t>
      </w:r>
    </w:p>
  </w:footnote>
  <w:footnote w:id="469">
    <w:p w14:paraId="297E9533" w14:textId="77777777" w:rsidR="00CD2817" w:rsidRPr="00B410CA" w:rsidRDefault="00CD2817" w:rsidP="00933E65">
      <w:pPr>
        <w:pStyle w:val="Textpoznpodarou"/>
      </w:pPr>
      <w:r w:rsidRPr="00933E65">
        <w:rPr>
          <w:rStyle w:val="Znakapoznpodarou"/>
        </w:rPr>
        <w:footnoteRef/>
      </w:r>
      <w:r w:rsidRPr="00933E65">
        <w:t xml:space="preserve"> </w:t>
      </w:r>
      <w:r>
        <w:rPr>
          <w:lang w:val="cs-CZ"/>
        </w:rPr>
        <w:t>„</w:t>
      </w:r>
      <w:r w:rsidRPr="00933E65">
        <w:t>Iuxta praedicta forte dices quod gratia in anima iusta sit forma non sub-stantialis, ex qua cum materia fit hoc-aliquid, sed nec forma accidentalis, sed est ibi forma-habitus, et fit unum ex ipsa et anima sicut ex subiecto et forma-habitu.</w:t>
      </w:r>
      <w:r>
        <w:rPr>
          <w:lang w:val="cs-CZ"/>
        </w:rPr>
        <w:t>“ (</w:t>
      </w:r>
      <w:r w:rsidRPr="00D413B2">
        <w:rPr>
          <w:i/>
        </w:rPr>
        <w:t>Speculum animae</w:t>
      </w:r>
      <w:r w:rsidRPr="00AE1CA3">
        <w:t xml:space="preserve">, </w:t>
      </w:r>
      <w:r>
        <w:rPr>
          <w:lang w:val="cs-CZ"/>
        </w:rPr>
        <w:t xml:space="preserve">q. 2; </w:t>
      </w:r>
      <w:r w:rsidRPr="00950D92">
        <w:t xml:space="preserve">ed. </w:t>
      </w:r>
      <w:r>
        <w:t xml:space="preserve">Etchemendy&amp;Wood, </w:t>
      </w:r>
      <w:r w:rsidRPr="00AE1CA3">
        <w:t>p. 12</w:t>
      </w:r>
      <w:r>
        <w:rPr>
          <w:lang w:val="cs-CZ"/>
        </w:rPr>
        <w:t>6</w:t>
      </w:r>
      <w:r w:rsidRPr="00AE1CA3">
        <w:t>.</w:t>
      </w:r>
      <w:r>
        <w:rPr>
          <w:lang w:val="cs-CZ"/>
        </w:rPr>
        <w:t>265‒68</w:t>
      </w:r>
      <w:r>
        <w:rPr>
          <w:lang w:val="cs-CZ"/>
        </w:rPr>
        <w:fldChar w:fldCharType="begin"/>
      </w:r>
      <w:r>
        <w:instrText xml:space="preserve"> XE "</w:instrText>
      </w:r>
      <w:r>
        <w:rPr>
          <w:lang w:val="cs-CZ"/>
        </w:rPr>
        <w:instrText>Rufus:</w:instrText>
      </w:r>
      <w:r w:rsidRPr="00AE4C43">
        <w:rPr>
          <w:i/>
        </w:rPr>
        <w:instrText>Speculum animae</w:instrText>
      </w:r>
      <w:r>
        <w:rPr>
          <w:i/>
          <w:lang w:val="cs-CZ"/>
        </w:rPr>
        <w:instrText xml:space="preserve"> </w:instrText>
      </w:r>
      <w:r w:rsidRPr="00AE4C43">
        <w:instrText>12</w:instrText>
      </w:r>
      <w:r w:rsidRPr="00AE4C43">
        <w:rPr>
          <w:lang w:val="cs-CZ"/>
        </w:rPr>
        <w:instrText>6</w:instrText>
      </w:r>
      <w:r w:rsidRPr="00AE4C43">
        <w:instrText>.</w:instrText>
      </w:r>
      <w:r w:rsidRPr="00AE4C43">
        <w:rPr>
          <w:lang w:val="cs-CZ"/>
        </w:rPr>
        <w:instrText>265‒68</w:instrText>
      </w:r>
      <w:r>
        <w:instrText xml:space="preserve">" </w:instrText>
      </w:r>
      <w:r>
        <w:rPr>
          <w:lang w:val="cs-CZ"/>
        </w:rPr>
        <w:fldChar w:fldCharType="end"/>
      </w:r>
      <w:r>
        <w:rPr>
          <w:lang w:val="cs-CZ"/>
        </w:rPr>
        <w:t>)</w:t>
      </w:r>
    </w:p>
  </w:footnote>
  <w:footnote w:id="470">
    <w:p w14:paraId="782E9FAA" w14:textId="77777777" w:rsidR="00CD2817" w:rsidRPr="00B8058A" w:rsidRDefault="00CD2817">
      <w:pPr>
        <w:pStyle w:val="Textpoznpodarou"/>
        <w:rPr>
          <w:lang w:val="cs-CZ"/>
        </w:rPr>
      </w:pPr>
      <w:r>
        <w:rPr>
          <w:rStyle w:val="Znakapoznpodarou"/>
        </w:rPr>
        <w:footnoteRef/>
      </w:r>
      <w:r>
        <w:t xml:space="preserve"> „</w:t>
      </w:r>
      <w:r w:rsidRPr="00D75A2C">
        <w:t>Ex praedictis accipe quod ‘Socrates est homo’, ‘homo est homo’, idem est dictu acsi dicerem ‘Socrates vel materia Socratis humanatur’, ‘homo vel materia hominis humanatur’. Et proprie videtur dictum ‘humanatur’, ut per hoc verbum ‘humanatur’, quod concretum est, intelligatur ipsa forma per modum concretionis et qualificantis.</w:t>
      </w:r>
      <w:r>
        <w:t>“</w:t>
      </w:r>
      <w:r w:rsidRPr="00D75A2C">
        <w:t xml:space="preserve"> </w:t>
      </w:r>
      <w:r>
        <w:t>(</w:t>
      </w:r>
      <w:r w:rsidRPr="00D413B2">
        <w:rPr>
          <w:i/>
        </w:rPr>
        <w:t>Speculum animae</w:t>
      </w:r>
      <w:r w:rsidRPr="00AE1CA3">
        <w:t xml:space="preserve">, </w:t>
      </w:r>
      <w:r>
        <w:rPr>
          <w:lang w:val="cs-CZ"/>
        </w:rPr>
        <w:t xml:space="preserve">q. 3; </w:t>
      </w:r>
      <w:r w:rsidRPr="00950D92">
        <w:t xml:space="preserve">ed. </w:t>
      </w:r>
      <w:r>
        <w:t xml:space="preserve">Etchemendy&amp;Wood, </w:t>
      </w:r>
      <w:r w:rsidRPr="00AE1CA3">
        <w:t>p. 12</w:t>
      </w:r>
      <w:r>
        <w:t>8</w:t>
      </w:r>
      <w:r w:rsidRPr="00AE1CA3">
        <w:t>.</w:t>
      </w:r>
      <w:r>
        <w:t>327</w:t>
      </w:r>
      <w:r w:rsidRPr="00AE1CA3">
        <w:t>–</w:t>
      </w:r>
      <w:r>
        <w:t>31</w:t>
      </w:r>
      <w:r>
        <w:rPr>
          <w:lang w:val="cs-CZ"/>
        </w:rPr>
        <w:fldChar w:fldCharType="begin"/>
      </w:r>
      <w:r>
        <w:instrText xml:space="preserve"> XE "</w:instrText>
      </w:r>
      <w:r>
        <w:rPr>
          <w:lang w:val="cs-CZ"/>
        </w:rPr>
        <w:instrText>Rufus:</w:instrText>
      </w:r>
      <w:r w:rsidRPr="00AE4C43">
        <w:rPr>
          <w:i/>
        </w:rPr>
        <w:instrText>Speculum animae</w:instrText>
      </w:r>
      <w:r>
        <w:rPr>
          <w:i/>
          <w:lang w:val="cs-CZ"/>
        </w:rPr>
        <w:instrText xml:space="preserve"> </w:instrText>
      </w:r>
      <w:r w:rsidRPr="00AE4C43">
        <w:instrText>12</w:instrText>
      </w:r>
      <w:r>
        <w:rPr>
          <w:lang w:val="cs-CZ"/>
        </w:rPr>
        <w:instrText>8</w:instrText>
      </w:r>
      <w:r w:rsidRPr="00AE4C43">
        <w:instrText>.</w:instrText>
      </w:r>
      <w:r>
        <w:rPr>
          <w:lang w:val="cs-CZ"/>
        </w:rPr>
        <w:instrText>327‒31</w:instrText>
      </w:r>
      <w:r>
        <w:instrText xml:space="preserve">" </w:instrText>
      </w:r>
      <w:r>
        <w:rPr>
          <w:lang w:val="cs-CZ"/>
        </w:rPr>
        <w:fldChar w:fldCharType="end"/>
      </w:r>
      <w:r>
        <w:t>)</w:t>
      </w:r>
    </w:p>
  </w:footnote>
  <w:footnote w:id="471">
    <w:p w14:paraId="2FB02A4E" w14:textId="77777777" w:rsidR="00CD2817" w:rsidRPr="00BB79ED" w:rsidRDefault="00CD2817" w:rsidP="00D52A1E">
      <w:pPr>
        <w:pStyle w:val="Textpoznpodarou"/>
      </w:pPr>
      <w:r>
        <w:rPr>
          <w:rStyle w:val="Znakapoznpodarou"/>
        </w:rPr>
        <w:footnoteRef/>
      </w:r>
      <w:r>
        <w:t xml:space="preserve"> </w:t>
      </w:r>
      <w:r>
        <w:rPr>
          <w:lang w:val="cs-CZ"/>
        </w:rPr>
        <w:t>Citujme t</w:t>
      </w:r>
      <w:r>
        <w:t>ypick</w:t>
      </w:r>
      <w:r>
        <w:rPr>
          <w:lang w:val="cs-CZ"/>
        </w:rPr>
        <w:t>ou</w:t>
      </w:r>
      <w:r>
        <w:t xml:space="preserve"> vět</w:t>
      </w:r>
      <w:r>
        <w:rPr>
          <w:lang w:val="cs-CZ"/>
        </w:rPr>
        <w:t>u</w:t>
      </w:r>
      <w:r>
        <w:t xml:space="preserve"> moderního nominalismu </w:t>
      </w:r>
      <w:r>
        <w:rPr>
          <w:lang w:val="cs-CZ"/>
        </w:rPr>
        <w:t>hypostázujícího existenci první substance podle Rufusova „</w:t>
      </w:r>
      <w:r w:rsidRPr="0082359A">
        <w:rPr>
          <w:i/>
          <w:lang w:val="cs-CZ"/>
        </w:rPr>
        <w:t>scibile</w:t>
      </w:r>
      <w:r>
        <w:rPr>
          <w:lang w:val="cs-CZ"/>
        </w:rPr>
        <w:t>“</w:t>
      </w:r>
      <w:r>
        <w:t>: „Realists attribute existence to properties; anti</w:t>
      </w:r>
      <w:r>
        <w:rPr>
          <w:lang w:val="cs-CZ"/>
        </w:rPr>
        <w:noBreakHyphen/>
      </w:r>
      <w:r>
        <w:t xml:space="preserve">realists deny it.“ (Poli </w:t>
      </w:r>
      <w:r>
        <w:rPr>
          <w:rFonts w:ascii="Georgia" w:hAnsi="Georgia"/>
        </w:rPr>
        <w:t>–</w:t>
      </w:r>
      <w:r>
        <w:t xml:space="preserve"> Seibt 2010, 139)</w:t>
      </w:r>
    </w:p>
  </w:footnote>
  <w:footnote w:id="472">
    <w:p w14:paraId="1453BB65" w14:textId="77777777" w:rsidR="00CD2817" w:rsidRPr="006C3248" w:rsidRDefault="00CD2817">
      <w:pPr>
        <w:pStyle w:val="Textpoznpodarou"/>
        <w:rPr>
          <w:lang w:val="cs-CZ"/>
        </w:rPr>
      </w:pPr>
      <w:r>
        <w:rPr>
          <w:rStyle w:val="Znakapoznpodarou"/>
        </w:rPr>
        <w:footnoteRef/>
      </w:r>
      <w:r>
        <w:t xml:space="preserve"> „</w:t>
      </w:r>
      <w:r w:rsidRPr="00FE01C2">
        <w:t>Nunc redeo ad formam quae est species obi</w:t>
      </w:r>
      <w:r>
        <w:t>ecti exsistentis. Et dico commu</w:t>
      </w:r>
      <w:r w:rsidRPr="00FE01C2">
        <w:t>niter, sive sit sensibilis sive intelligibilis, quod ipsa etiam de sua materia nova in qua novum esse acquisivit per abstractionem, scilicet ab obiecto forinseco, grosso corporali. Praedicatur consimiliter, comproportionaliter concretive de sua, scilicet materia subtiliori, sicut et illa forma obiecta, extrinsecus exsistens</w:t>
      </w:r>
      <w:r>
        <w:t xml:space="preserve"> in materia grossiori.“ (</w:t>
      </w:r>
      <w:r w:rsidRPr="00D413B2">
        <w:rPr>
          <w:i/>
        </w:rPr>
        <w:t>Speculum animae</w:t>
      </w:r>
      <w:r w:rsidRPr="00AE1CA3">
        <w:t xml:space="preserve">, </w:t>
      </w:r>
      <w:r>
        <w:t xml:space="preserve">q. 3; </w:t>
      </w:r>
      <w:r w:rsidRPr="00950D92">
        <w:t xml:space="preserve">ed. </w:t>
      </w:r>
      <w:r>
        <w:t xml:space="preserve">Etchemendy&amp;Wood, </w:t>
      </w:r>
      <w:r w:rsidRPr="00AE1CA3">
        <w:t>p. 1</w:t>
      </w:r>
      <w:r>
        <w:t>30</w:t>
      </w:r>
      <w:r w:rsidRPr="00AE1CA3">
        <w:t>.</w:t>
      </w:r>
      <w:r>
        <w:t>368</w:t>
      </w:r>
      <w:r w:rsidRPr="00AE1CA3">
        <w:t>–</w:t>
      </w:r>
      <w:r>
        <w:t>72</w:t>
      </w:r>
      <w:r>
        <w:fldChar w:fldCharType="begin"/>
      </w:r>
      <w:r>
        <w:instrText xml:space="preserve"> XE "</w:instrText>
      </w:r>
      <w:r>
        <w:rPr>
          <w:lang w:val="cs-CZ"/>
        </w:rPr>
        <w:instrText>Rufus:</w:instrText>
      </w:r>
      <w:r w:rsidRPr="008E1716">
        <w:rPr>
          <w:i/>
        </w:rPr>
        <w:instrText>Speculum animae</w:instrText>
      </w:r>
      <w:r w:rsidRPr="008E1716">
        <w:instrText xml:space="preserve"> 130.368–72</w:instrText>
      </w:r>
      <w:r>
        <w:instrText xml:space="preserve">" </w:instrText>
      </w:r>
      <w:r>
        <w:fldChar w:fldCharType="end"/>
      </w:r>
      <w:r>
        <w:rPr>
          <w:lang w:val="cs-CZ"/>
        </w:rPr>
        <w:t>)</w:t>
      </w:r>
    </w:p>
  </w:footnote>
  <w:footnote w:id="473">
    <w:p w14:paraId="6B48C8FC" w14:textId="77777777" w:rsidR="00CD2817" w:rsidRPr="004B019E" w:rsidRDefault="00CD2817" w:rsidP="001B3168">
      <w:pPr>
        <w:pStyle w:val="Textpoznpodarou"/>
        <w:rPr>
          <w:lang w:val="cs-CZ"/>
        </w:rPr>
      </w:pPr>
      <w:r>
        <w:rPr>
          <w:rStyle w:val="Znakapoznpodarou"/>
        </w:rPr>
        <w:footnoteRef/>
      </w:r>
      <w:r>
        <w:t xml:space="preserve"> „</w:t>
      </w:r>
      <w:r w:rsidRPr="00FE01C2">
        <w:t>Et hoc dico, neque secundum abstractionem neque secundum concretionem habentur simplicia vocabula quibus designentur species formarum sensibilium et intelligibilium rerum obiectarum, sed per circumlocutionem quoquomodo adnotamus eas.</w:t>
      </w:r>
      <w:r>
        <w:t>“ (</w:t>
      </w:r>
      <w:r w:rsidRPr="00D413B2">
        <w:rPr>
          <w:i/>
        </w:rPr>
        <w:t>Speculum animae</w:t>
      </w:r>
      <w:r w:rsidRPr="00AE1CA3">
        <w:t xml:space="preserve">, </w:t>
      </w:r>
      <w:r>
        <w:t xml:space="preserve">q. 3; </w:t>
      </w:r>
      <w:r w:rsidRPr="00950D92">
        <w:t xml:space="preserve">ed. </w:t>
      </w:r>
      <w:r>
        <w:t>Etchemendy&amp;Wood</w:t>
      </w:r>
      <w:r>
        <w:rPr>
          <w:lang w:val="cs-CZ"/>
        </w:rPr>
        <w:t>,</w:t>
      </w:r>
      <w:r>
        <w:t xml:space="preserve"> p. 130.374‒77</w:t>
      </w:r>
      <w:r>
        <w:fldChar w:fldCharType="begin"/>
      </w:r>
      <w:r>
        <w:instrText xml:space="preserve"> XE "</w:instrText>
      </w:r>
      <w:r>
        <w:rPr>
          <w:lang w:val="cs-CZ"/>
        </w:rPr>
        <w:instrText>Rufus:</w:instrText>
      </w:r>
      <w:r w:rsidRPr="000340CC">
        <w:rPr>
          <w:i/>
        </w:rPr>
        <w:instrText>Speculum animae</w:instrText>
      </w:r>
      <w:r>
        <w:instrText xml:space="preserve"> 130.374‒</w:instrText>
      </w:r>
      <w:r w:rsidRPr="000340CC">
        <w:instrText>77</w:instrText>
      </w:r>
      <w:r>
        <w:instrText xml:space="preserve">" </w:instrText>
      </w:r>
      <w:r>
        <w:fldChar w:fldCharType="end"/>
      </w:r>
      <w:r>
        <w:t>)</w:t>
      </w:r>
    </w:p>
  </w:footnote>
  <w:footnote w:id="474">
    <w:p w14:paraId="722A97C7" w14:textId="361A05A8" w:rsidR="00CD2817" w:rsidRPr="003C0109" w:rsidRDefault="00CD2817">
      <w:pPr>
        <w:pStyle w:val="Textpoznpodarou"/>
        <w:rPr>
          <w:lang w:val="cs-CZ"/>
        </w:rPr>
      </w:pPr>
      <w:r>
        <w:rPr>
          <w:rStyle w:val="Znakapoznpodarou"/>
        </w:rPr>
        <w:footnoteRef/>
      </w:r>
      <w:r>
        <w:t xml:space="preserve"> </w:t>
      </w:r>
      <w:r>
        <w:rPr>
          <w:lang w:val="cs-CZ"/>
        </w:rPr>
        <w:t xml:space="preserve">Je dobré vědět, </w:t>
      </w:r>
      <w:r w:rsidRPr="00BF7088">
        <w:t>že MANIAC (Mathematical Analyzer Numerical Integrator and Automatic Computer Model) byl název prvního počítače ve vědecké laboratoři v Los Alamos. První varianta (ENIAC, 1945) a druhá (MANIAC</w:t>
      </w:r>
      <w:r>
        <w:rPr>
          <w:lang w:val="cs-CZ"/>
        </w:rPr>
        <w:t>, 1953</w:t>
      </w:r>
      <w:r w:rsidRPr="00BF7088">
        <w:t xml:space="preserve">) sloužila </w:t>
      </w:r>
      <w:r>
        <w:t xml:space="preserve">mimo jiné k výpočtu na základě </w:t>
      </w:r>
      <w:r w:rsidRPr="000F31C7">
        <w:rPr>
          <w:rFonts w:eastAsia="Times"/>
          <w:i/>
          <w:lang w:val="cs-CZ"/>
        </w:rPr>
        <w:t>Monte Carlo method</w:t>
      </w:r>
      <w:r>
        <w:t>, zda nekontrolovatel</w:t>
      </w:r>
      <w:r>
        <w:rPr>
          <w:lang w:val="cs-CZ"/>
        </w:rPr>
        <w:t xml:space="preserve">né štěpení nevyvolá kritickou mez </w:t>
      </w:r>
      <w:r w:rsidRPr="00BF7088">
        <w:t>neutron</w:t>
      </w:r>
      <w:r>
        <w:t>ů při termonukleárním štěpení (</w:t>
      </w:r>
      <w:r w:rsidRPr="000F31C7">
        <w:rPr>
          <w:rStyle w:val="ky2igmncmogjharherah"/>
          <w:i/>
        </w:rPr>
        <w:t>criticality accident</w:t>
      </w:r>
      <w:r w:rsidRPr="00BF7088">
        <w:t>)</w:t>
      </w:r>
      <w:r>
        <w:rPr>
          <w:lang w:val="cs-CZ"/>
        </w:rPr>
        <w:t xml:space="preserve">. To by vedlo k </w:t>
      </w:r>
      <w:r w:rsidRPr="00BF7088">
        <w:t xml:space="preserve">nekontrolovatelné řetězové reakci, která by zničila </w:t>
      </w:r>
      <w:r>
        <w:rPr>
          <w:lang w:val="cs-CZ"/>
        </w:rPr>
        <w:t xml:space="preserve">celý </w:t>
      </w:r>
      <w:r w:rsidRPr="00BF7088">
        <w:t>svět.</w:t>
      </w:r>
    </w:p>
  </w:footnote>
  <w:footnote w:id="475">
    <w:p w14:paraId="62536DB2" w14:textId="77777777" w:rsidR="00CD2817" w:rsidRPr="00375E38" w:rsidRDefault="00CD2817">
      <w:pPr>
        <w:pStyle w:val="Textpoznpodarou"/>
        <w:rPr>
          <w:lang w:val="cs-CZ"/>
        </w:rPr>
      </w:pPr>
      <w:r>
        <w:rPr>
          <w:rStyle w:val="Znakapoznpodarou"/>
        </w:rPr>
        <w:footnoteRef/>
      </w:r>
      <w:r>
        <w:t xml:space="preserve"> „</w:t>
      </w:r>
      <w:r w:rsidRPr="004808D3">
        <w:t>Comproportionaliter ergo accipe quod species animae, sive animalitatis sive humanitatis sive lapideitatis et sic de aliis – species, inquam, intelligibilis, abstracta scilicet ab omni situ et corporeitate</w:t>
      </w:r>
      <w:r>
        <w:t xml:space="preserve"> – de ipso intellectu possibili </w:t>
      </w:r>
      <w:r w:rsidRPr="004808D3">
        <w:t>praedicatur concretive et vere; ut possis scili</w:t>
      </w:r>
      <w:r>
        <w:t>cet dicere quod intellectus pos</w:t>
      </w:r>
      <w:r w:rsidRPr="004808D3">
        <w:t>sibilis, cum intelligit lapidem, vere ut lapideitatur; cum hominem, vere ut humanatur. Hoc est dicere quod vere perficitur et formatur, non forma hominis, sed ut forma hominis.</w:t>
      </w:r>
      <w:r>
        <w:rPr>
          <w:lang w:val="cs-CZ"/>
        </w:rPr>
        <w:t>“</w:t>
      </w:r>
      <w:r w:rsidRPr="004808D3">
        <w:t xml:space="preserve"> </w:t>
      </w:r>
      <w:r>
        <w:t>(</w:t>
      </w:r>
      <w:r w:rsidRPr="00D413B2">
        <w:rPr>
          <w:i/>
        </w:rPr>
        <w:t>Speculum animae</w:t>
      </w:r>
      <w:r w:rsidRPr="00AE1CA3">
        <w:t xml:space="preserve">, </w:t>
      </w:r>
      <w:r>
        <w:rPr>
          <w:lang w:val="cs-CZ"/>
        </w:rPr>
        <w:t xml:space="preserve">q. 3; </w:t>
      </w:r>
      <w:r w:rsidRPr="00950D92">
        <w:t xml:space="preserve">ed. </w:t>
      </w:r>
      <w:r>
        <w:t xml:space="preserve">Etchemendy&amp;Wood, </w:t>
      </w:r>
      <w:r w:rsidRPr="00AE1CA3">
        <w:t>p. 1</w:t>
      </w:r>
      <w:r>
        <w:t>3</w:t>
      </w:r>
      <w:r>
        <w:rPr>
          <w:lang w:val="cs-CZ"/>
        </w:rPr>
        <w:t>2</w:t>
      </w:r>
      <w:r>
        <w:t>.408‒14</w:t>
      </w:r>
      <w:r>
        <w:fldChar w:fldCharType="begin"/>
      </w:r>
      <w:r>
        <w:instrText xml:space="preserve"> XE "</w:instrText>
      </w:r>
      <w:r>
        <w:rPr>
          <w:lang w:val="cs-CZ"/>
        </w:rPr>
        <w:instrText>Rufus:</w:instrText>
      </w:r>
      <w:r w:rsidRPr="00A17BFD">
        <w:rPr>
          <w:i/>
        </w:rPr>
        <w:instrText>Speculum animae</w:instrText>
      </w:r>
      <w:r w:rsidRPr="00A17BFD">
        <w:instrText xml:space="preserve"> 13</w:instrText>
      </w:r>
      <w:r w:rsidRPr="00A17BFD">
        <w:rPr>
          <w:lang w:val="cs-CZ"/>
        </w:rPr>
        <w:instrText>2</w:instrText>
      </w:r>
      <w:r>
        <w:instrText>.408‒</w:instrText>
      </w:r>
      <w:r w:rsidRPr="00A17BFD">
        <w:instrText>14</w:instrText>
      </w:r>
      <w:r>
        <w:instrText xml:space="preserve">" </w:instrText>
      </w:r>
      <w:r>
        <w:fldChar w:fldCharType="end"/>
      </w:r>
      <w:r>
        <w:t>)</w:t>
      </w:r>
    </w:p>
  </w:footnote>
  <w:footnote w:id="476">
    <w:p w14:paraId="779225C7" w14:textId="77777777" w:rsidR="00CD2817" w:rsidRPr="00F76659" w:rsidRDefault="00CD2817" w:rsidP="000311B8">
      <w:pPr>
        <w:pStyle w:val="Textpoznpodarou"/>
      </w:pPr>
      <w:r>
        <w:rPr>
          <w:rStyle w:val="Znakapoznpodarou"/>
        </w:rPr>
        <w:footnoteRef/>
      </w:r>
      <w:r>
        <w:t xml:space="preserve"> „</w:t>
      </w:r>
      <w:r w:rsidRPr="00F76659">
        <w:t>Adeo enim apta et cognata eis speciebus, scilicet intelligibilibus sic abstractis, est materia istius intellectus possibilis qui est non situalis, aptus natus tamen tangibiles species et formas suscipere; adeo, inquam, cognatae et comproportionales istis speciebus, sic et qualis est ipsa materia forinseca ipsis formis-naturis et esse naturae habentibus in ipsa. Et tu scis quod ego divido esse speciei contra esse naturae.</w:t>
      </w:r>
      <w:r>
        <w:t>“ (</w:t>
      </w:r>
      <w:r w:rsidRPr="00D413B2">
        <w:rPr>
          <w:i/>
        </w:rPr>
        <w:t>Speculum animae</w:t>
      </w:r>
      <w:r w:rsidRPr="00AE1CA3">
        <w:t xml:space="preserve">, </w:t>
      </w:r>
      <w:r>
        <w:t xml:space="preserve">q. 3; </w:t>
      </w:r>
      <w:r w:rsidRPr="00950D92">
        <w:t xml:space="preserve">ed. </w:t>
      </w:r>
      <w:r>
        <w:t>Etchemendy&amp;Wood, p. 132.425‒31</w:t>
      </w:r>
      <w:r>
        <w:fldChar w:fldCharType="begin"/>
      </w:r>
      <w:r>
        <w:instrText xml:space="preserve"> XE "Rufus:</w:instrText>
      </w:r>
      <w:r w:rsidRPr="006C4608">
        <w:rPr>
          <w:i/>
        </w:rPr>
        <w:instrText>Speculum animae</w:instrText>
      </w:r>
      <w:r w:rsidRPr="006C4608">
        <w:instrText xml:space="preserve"> 132.425</w:instrText>
      </w:r>
      <w:r>
        <w:instrText>‒</w:instrText>
      </w:r>
      <w:r w:rsidRPr="006C4608">
        <w:instrText>31</w:instrText>
      </w:r>
      <w:r>
        <w:instrText xml:space="preserve">" </w:instrText>
      </w:r>
      <w:r>
        <w:fldChar w:fldCharType="end"/>
      </w:r>
      <w:r>
        <w:t>)</w:t>
      </w:r>
    </w:p>
  </w:footnote>
  <w:footnote w:id="477">
    <w:p w14:paraId="774A87A6" w14:textId="77777777" w:rsidR="00CD2817" w:rsidRPr="00E54FB4" w:rsidRDefault="00CD2817">
      <w:pPr>
        <w:pStyle w:val="Textpoznpodarou"/>
        <w:rPr>
          <w:lang w:val="cs-CZ"/>
        </w:rPr>
      </w:pPr>
      <w:r>
        <w:rPr>
          <w:rStyle w:val="Znakapoznpodarou"/>
        </w:rPr>
        <w:footnoteRef/>
      </w:r>
      <w:r>
        <w:t xml:space="preserve"> „</w:t>
      </w:r>
      <w:r w:rsidRPr="009B4A1C">
        <w:t>Ad plenam cognitionem uniuersalis habendam et quid dicat hec particula 'secundum quod ipsum est' et quid addat supra 'per se', notandum quod</w:t>
      </w:r>
      <w:r>
        <w:t xml:space="preserve"> </w:t>
      </w:r>
      <w:r w:rsidRPr="009B4A1C">
        <w:t>uterque modorum inherendi per se dupliciter est, quia, cum duo sic se habent, quod a quiditate unius egrediatur quiditas alterius, aut ita est quod</w:t>
      </w:r>
      <w:r>
        <w:t xml:space="preserve"> </w:t>
      </w:r>
      <w:r w:rsidRPr="009B4A1C">
        <w:t>neutri aliquid superadditur quod sit ut causa uel ut causatum respectu alterius, aut quod alteri aliquid tale superadditur.</w:t>
      </w:r>
      <w:r>
        <w:t>“ (</w:t>
      </w:r>
      <w:r w:rsidRPr="0899106B">
        <w:rPr>
          <w:rStyle w:val="Zvraznn"/>
          <w:iCs w:val="0"/>
        </w:rPr>
        <w:t>Notule Libri Posteriorum</w:t>
      </w:r>
      <w:r>
        <w:rPr>
          <w:rStyle w:val="Zvraznn"/>
          <w:i w:val="0"/>
          <w:iCs w:val="0"/>
          <w:lang w:val="cs-CZ"/>
        </w:rPr>
        <w:t>;</w:t>
      </w:r>
      <w:r>
        <w:rPr>
          <w:rStyle w:val="Zvraznn"/>
          <w:i w:val="0"/>
          <w:iCs w:val="0"/>
        </w:rPr>
        <w:t xml:space="preserve"> ed. Cannone</w:t>
      </w:r>
      <w:r>
        <w:rPr>
          <w:lang w:val="cs-CZ"/>
        </w:rPr>
        <w:t>,</w:t>
      </w:r>
      <w:r>
        <w:t xml:space="preserve"> p. 134.470‒75</w:t>
      </w:r>
      <w:r>
        <w:fldChar w:fldCharType="begin"/>
      </w:r>
      <w:r>
        <w:instrText xml:space="preserve"> XE "</w:instrText>
      </w:r>
      <w:r>
        <w:rPr>
          <w:lang w:val="cs-CZ"/>
        </w:rPr>
        <w:instrText>Kilwardby:</w:instrText>
      </w:r>
      <w:r w:rsidRPr="00B7477B">
        <w:rPr>
          <w:rStyle w:val="Zvraznn"/>
          <w:iCs w:val="0"/>
        </w:rPr>
        <w:instrText>Notule Libri Posteriorum</w:instrText>
      </w:r>
      <w:r>
        <w:instrText xml:space="preserve"> 134.470‒</w:instrText>
      </w:r>
      <w:r w:rsidRPr="00B7477B">
        <w:instrText>75</w:instrText>
      </w:r>
      <w:r>
        <w:instrText xml:space="preserve">" </w:instrText>
      </w:r>
      <w:r>
        <w:fldChar w:fldCharType="end"/>
      </w:r>
      <w:r>
        <w:t>)</w:t>
      </w:r>
    </w:p>
  </w:footnote>
  <w:footnote w:id="478">
    <w:p w14:paraId="0142E584" w14:textId="77777777" w:rsidR="00CD2817" w:rsidRPr="0039071D" w:rsidRDefault="00CD2817">
      <w:pPr>
        <w:pStyle w:val="Textpoznpodarou"/>
        <w:rPr>
          <w:lang w:val="cs-CZ"/>
        </w:rPr>
      </w:pPr>
      <w:r>
        <w:rPr>
          <w:rStyle w:val="Znakapoznpodarou"/>
        </w:rPr>
        <w:footnoteRef/>
      </w:r>
      <w:r>
        <w:t xml:space="preserve"> „</w:t>
      </w:r>
      <w:r w:rsidRPr="00395EE5">
        <w:t>Et sic quando demonstratur passio, minor resoluitur proprie in duos modos per se, scilicet in secundum et primum, uel in tertium et quartum.</w:t>
      </w:r>
      <w:r>
        <w:t>“ (</w:t>
      </w:r>
      <w:r w:rsidRPr="0039071D">
        <w:rPr>
          <w:i/>
          <w:lang w:val="cs-CZ"/>
        </w:rPr>
        <w:t>Notule</w:t>
      </w:r>
      <w:r>
        <w:rPr>
          <w:lang w:val="cs-CZ"/>
        </w:rPr>
        <w:t xml:space="preserve"> </w:t>
      </w:r>
      <w:r w:rsidRPr="0899106B">
        <w:rPr>
          <w:rStyle w:val="Zvraznn"/>
          <w:iCs w:val="0"/>
        </w:rPr>
        <w:t>Libri Posteriorum</w:t>
      </w:r>
      <w:r>
        <w:rPr>
          <w:rStyle w:val="Zvraznn"/>
          <w:i w:val="0"/>
          <w:iCs w:val="0"/>
          <w:lang w:val="cs-CZ"/>
        </w:rPr>
        <w:t xml:space="preserve">; </w:t>
      </w:r>
      <w:r>
        <w:rPr>
          <w:rStyle w:val="Zvraznn"/>
          <w:i w:val="0"/>
          <w:iCs w:val="0"/>
        </w:rPr>
        <w:t>ed. Cannone</w:t>
      </w:r>
      <w:r>
        <w:rPr>
          <w:rStyle w:val="Zvraznn"/>
          <w:i w:val="0"/>
        </w:rPr>
        <w:t>, p. 127.274‒78</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rPr>
          <w:rStyle w:val="Zvraznn"/>
          <w:i w:val="0"/>
        </w:rPr>
        <w:instrText>127.274‒78</w:instrText>
      </w:r>
      <w:r>
        <w:instrText xml:space="preserve">" </w:instrText>
      </w:r>
      <w:r>
        <w:fldChar w:fldCharType="end"/>
      </w:r>
      <w:r>
        <w:t>)</w:t>
      </w:r>
    </w:p>
  </w:footnote>
  <w:footnote w:id="479">
    <w:p w14:paraId="7E6BB651" w14:textId="77777777" w:rsidR="00CD2817" w:rsidRPr="0081135F" w:rsidRDefault="00CD2817" w:rsidP="00EC154F">
      <w:pPr>
        <w:pStyle w:val="Textpoznpodarou"/>
        <w:rPr>
          <w:lang w:val="cs-CZ"/>
        </w:rPr>
      </w:pPr>
      <w:r>
        <w:rPr>
          <w:rStyle w:val="Znakapoznpodarou"/>
        </w:rPr>
        <w:footnoteRef/>
      </w:r>
      <w:r>
        <w:t xml:space="preserve"> „</w:t>
      </w:r>
      <w:r w:rsidRPr="00561C09">
        <w:t>Numerus autem modorum 'per se' sic sumitur: in natura rerum non sunt nisi tria, scilicet quod est et quod inest et causa propter quam inest.</w:t>
      </w:r>
      <w:r>
        <w:t>“ (</w:t>
      </w:r>
      <w:r w:rsidRPr="0039071D">
        <w:rPr>
          <w:i/>
          <w:lang w:val="cs-CZ"/>
        </w:rPr>
        <w:t>Notule</w:t>
      </w:r>
      <w:r>
        <w:rPr>
          <w:lang w:val="cs-CZ"/>
        </w:rPr>
        <w:t xml:space="preserve"> </w:t>
      </w:r>
      <w:r w:rsidRPr="0899106B">
        <w:rPr>
          <w:rStyle w:val="Zvraznn"/>
          <w:iCs w:val="0"/>
        </w:rPr>
        <w:t>Libri Posteriorum</w:t>
      </w:r>
      <w:r>
        <w:rPr>
          <w:rStyle w:val="Zvraznn"/>
          <w:i w:val="0"/>
          <w:iCs w:val="0"/>
          <w:lang w:val="cs-CZ"/>
        </w:rPr>
        <w:t xml:space="preserve">; </w:t>
      </w:r>
      <w:r>
        <w:rPr>
          <w:rStyle w:val="Zvraznn"/>
          <w:i w:val="0"/>
          <w:iCs w:val="0"/>
        </w:rPr>
        <w:t>ed. Cannone</w:t>
      </w:r>
      <w:r>
        <w:rPr>
          <w:rStyle w:val="Zvraznn"/>
          <w:i w:val="0"/>
        </w:rPr>
        <w:t xml:space="preserve">, </w:t>
      </w:r>
      <w:r>
        <w:t>p. 130.367‒68</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instrText xml:space="preserve">130.367‒68" </w:instrText>
      </w:r>
      <w:r>
        <w:fldChar w:fldCharType="end"/>
      </w:r>
      <w:r>
        <w:t>)</w:t>
      </w:r>
    </w:p>
  </w:footnote>
  <w:footnote w:id="480">
    <w:p w14:paraId="053E3891" w14:textId="77777777" w:rsidR="00CD2817" w:rsidRPr="00D50D5D" w:rsidRDefault="00CD2817" w:rsidP="00EC154F">
      <w:pPr>
        <w:pStyle w:val="Textpoznpodarou"/>
      </w:pPr>
      <w:r>
        <w:rPr>
          <w:rStyle w:val="Znakapoznpodarou"/>
        </w:rPr>
        <w:footnoteRef/>
      </w:r>
      <w:r>
        <w:t xml:space="preserve"> Ke Kilwardbyho redukci základních principů </w:t>
      </w:r>
      <w:r w:rsidRPr="006B4CE9">
        <w:rPr>
          <w:i/>
        </w:rPr>
        <w:t>Druhých analytik</w:t>
      </w:r>
      <w:r>
        <w:t>, viz Corbini 2013, 174‒77. Citujme klíčovou část závěru: „</w:t>
      </w:r>
      <w:r w:rsidRPr="00627A81">
        <w:t xml:space="preserve">First and foremost, </w:t>
      </w:r>
      <w:r w:rsidRPr="001E646A">
        <w:rPr>
          <w:rStyle w:val="Zkladntext1"/>
          <w:rFonts w:ascii="Calibri" w:hAnsi="Calibri"/>
          <w:color w:val="auto"/>
          <w:spacing w:val="0"/>
          <w:sz w:val="20"/>
          <w:u w:val="none"/>
          <w:lang w:val="en-US"/>
        </w:rPr>
        <w:t>Ki</w:t>
      </w:r>
      <w:r>
        <w:rPr>
          <w:rStyle w:val="Zkladntext1"/>
          <w:rFonts w:ascii="Calibri" w:hAnsi="Calibri"/>
          <w:color w:val="auto"/>
          <w:spacing w:val="0"/>
          <w:sz w:val="20"/>
          <w:u w:val="none"/>
          <w:lang w:val="cs-CZ"/>
        </w:rPr>
        <w:t>lw</w:t>
      </w:r>
      <w:r w:rsidRPr="001E646A">
        <w:rPr>
          <w:rStyle w:val="Zkladntext1"/>
          <w:rFonts w:ascii="Calibri" w:hAnsi="Calibri"/>
          <w:color w:val="auto"/>
          <w:spacing w:val="0"/>
          <w:sz w:val="20"/>
          <w:u w:val="none"/>
          <w:lang w:val="en-US"/>
        </w:rPr>
        <w:t>ardby takes for granted that a principle must be</w:t>
      </w:r>
      <w:r w:rsidRPr="00627A81">
        <w:t xml:space="preserve"> </w:t>
      </w:r>
      <w:r w:rsidRPr="001E646A">
        <w:rPr>
          <w:rStyle w:val="Zkladntext1"/>
          <w:rFonts w:ascii="Calibri" w:hAnsi="Calibri"/>
          <w:color w:val="auto"/>
          <w:spacing w:val="0"/>
          <w:sz w:val="20"/>
          <w:u w:val="none"/>
          <w:lang w:val="en-US"/>
        </w:rPr>
        <w:t>true: because as is known in Aristotle, the true simply coincides with th</w:t>
      </w:r>
      <w:r w:rsidRPr="00627A81">
        <w:t xml:space="preserve">at </w:t>
      </w:r>
      <w:r w:rsidRPr="001E646A">
        <w:rPr>
          <w:rStyle w:val="Zkladntext1"/>
          <w:rFonts w:ascii="Calibri" w:hAnsi="Calibri"/>
          <w:color w:val="auto"/>
          <w:spacing w:val="0"/>
          <w:sz w:val="20"/>
          <w:u w:val="none"/>
          <w:lang w:val="en-US"/>
        </w:rPr>
        <w:t>which is, and also because the truth of principles obviously constitutes a</w:t>
      </w:r>
      <w:r w:rsidRPr="00627A81">
        <w:t xml:space="preserve"> </w:t>
      </w:r>
      <w:r w:rsidRPr="001E646A">
        <w:rPr>
          <w:rStyle w:val="Zkladntext1"/>
          <w:rFonts w:ascii="Calibri" w:hAnsi="Calibri"/>
          <w:color w:val="auto"/>
          <w:spacing w:val="0"/>
          <w:sz w:val="20"/>
          <w:u w:val="none"/>
          <w:lang w:val="en-US"/>
        </w:rPr>
        <w:t>necessary condition for the possibility of the demonstrative conclusio</w:t>
      </w:r>
      <w:r w:rsidRPr="00627A81">
        <w:t xml:space="preserve">n </w:t>
      </w:r>
      <w:r w:rsidRPr="001E646A">
        <w:rPr>
          <w:rStyle w:val="Zkladntext1"/>
          <w:rFonts w:ascii="Calibri" w:hAnsi="Calibri"/>
          <w:color w:val="auto"/>
          <w:spacing w:val="0"/>
          <w:sz w:val="20"/>
          <w:u w:val="none"/>
          <w:lang w:val="en-US"/>
        </w:rPr>
        <w:t>bein</w:t>
      </w:r>
      <w:r>
        <w:rPr>
          <w:rStyle w:val="Zkladntext1"/>
          <w:rFonts w:ascii="Calibri" w:hAnsi="Calibri"/>
          <w:color w:val="auto"/>
          <w:spacing w:val="0"/>
          <w:sz w:val="20"/>
          <w:u w:val="none"/>
          <w:lang w:val="cs-CZ"/>
        </w:rPr>
        <w:t>g</w:t>
      </w:r>
      <w:r w:rsidRPr="001E646A">
        <w:rPr>
          <w:rStyle w:val="Zkladntext1"/>
          <w:rFonts w:ascii="Calibri" w:hAnsi="Calibri"/>
          <w:color w:val="auto"/>
          <w:spacing w:val="0"/>
          <w:sz w:val="20"/>
          <w:u w:val="none"/>
          <w:lang w:val="en-US"/>
        </w:rPr>
        <w:t xml:space="preserve"> true as well.</w:t>
      </w:r>
      <w:r w:rsidRPr="00627A81">
        <w:t xml:space="preserve"> In any case, i</w:t>
      </w:r>
      <w:r w:rsidRPr="001E646A">
        <w:rPr>
          <w:rStyle w:val="Zkladntext1"/>
          <w:rFonts w:ascii="Calibri" w:hAnsi="Calibri"/>
          <w:color w:val="auto"/>
          <w:spacing w:val="0"/>
          <w:sz w:val="20"/>
          <w:u w:val="none"/>
          <w:lang w:val="en-US"/>
        </w:rPr>
        <w:t>t is impossible to have false demonstra</w:t>
      </w:r>
      <w:r w:rsidRPr="00627A81">
        <w:softHyphen/>
      </w:r>
      <w:r w:rsidRPr="001E646A">
        <w:rPr>
          <w:rStyle w:val="Zkladntext1"/>
          <w:rFonts w:ascii="Calibri" w:hAnsi="Calibri"/>
          <w:color w:val="auto"/>
          <w:spacing w:val="0"/>
          <w:sz w:val="20"/>
          <w:u w:val="none"/>
          <w:lang w:val="en-US"/>
        </w:rPr>
        <w:t>tive knowledge.</w:t>
      </w:r>
      <w:r>
        <w:rPr>
          <w:rStyle w:val="Zkladntext1"/>
          <w:rFonts w:ascii="Calibri" w:hAnsi="Calibri"/>
          <w:color w:val="auto"/>
          <w:spacing w:val="0"/>
          <w:sz w:val="20"/>
          <w:u w:val="none"/>
          <w:lang w:val="cs-CZ"/>
        </w:rPr>
        <w:t xml:space="preserve"> </w:t>
      </w:r>
      <w:r>
        <w:t>What is more, Kilwardby claims, that, as far as the principles are concerned, to be primitive and to be immediate in fact coincide.“ (Corbini 2013, 175)</w:t>
      </w:r>
    </w:p>
  </w:footnote>
  <w:footnote w:id="481">
    <w:p w14:paraId="3F0CCA59" w14:textId="77777777" w:rsidR="00CD2817" w:rsidRPr="00A77D69" w:rsidRDefault="00CD2817" w:rsidP="00EC154F">
      <w:pPr>
        <w:pStyle w:val="Textpoznpodarou"/>
        <w:rPr>
          <w:lang w:val="cs-CZ"/>
        </w:rPr>
      </w:pPr>
      <w:r>
        <w:rPr>
          <w:rStyle w:val="Znakapoznpodarou"/>
        </w:rPr>
        <w:footnoteRef/>
      </w:r>
      <w:r>
        <w:t xml:space="preserve"> </w:t>
      </w:r>
      <w:r>
        <w:rPr>
          <w:lang w:val="cs-CZ"/>
        </w:rPr>
        <w:t xml:space="preserve">Klášter zvaný „Couvent des Jacobins“ byl postaven 1218 na ulici svatého Jakuba </w:t>
      </w:r>
      <w:r w:rsidRPr="00A77D69">
        <w:rPr>
          <w:lang w:val="cs-CZ"/>
        </w:rPr>
        <w:t>(rue Saint-Jacques)</w:t>
      </w:r>
      <w:r>
        <w:rPr>
          <w:lang w:val="cs-CZ"/>
        </w:rPr>
        <w:t xml:space="preserve"> a byl prvním sídlem dominikánů ve Francii. Proto dostali francouzští dominikáni předívku „jakobíni“, podle umístění jejich klauzury.</w:t>
      </w:r>
    </w:p>
  </w:footnote>
  <w:footnote w:id="482">
    <w:p w14:paraId="68BB9098" w14:textId="77777777" w:rsidR="00CD2817" w:rsidRPr="00545F44" w:rsidRDefault="00CD2817">
      <w:pPr>
        <w:pStyle w:val="Textpoznpodarou"/>
        <w:rPr>
          <w:lang w:val="cs-CZ"/>
        </w:rPr>
      </w:pPr>
      <w:r>
        <w:rPr>
          <w:rStyle w:val="Znakapoznpodarou"/>
        </w:rPr>
        <w:footnoteRef/>
      </w:r>
      <w:r>
        <w:t xml:space="preserve"> „</w:t>
      </w:r>
      <w:r w:rsidRPr="00954985">
        <w:t xml:space="preserve">Huius rationis primo ponit conclusionem, et hoc est: </w:t>
      </w:r>
      <w:r w:rsidRPr="00407959">
        <w:rPr>
          <w:i/>
        </w:rPr>
        <w:t>que</w:t>
      </w:r>
      <w:r w:rsidRPr="00954985">
        <w:t xml:space="preserve"> </w:t>
      </w:r>
      <w:r w:rsidRPr="00785C69">
        <w:rPr>
          <w:i/>
        </w:rPr>
        <w:t>insunt ex necessitate</w:t>
      </w:r>
      <w:r>
        <w:t>.“ (</w:t>
      </w:r>
      <w:r w:rsidRPr="0039071D">
        <w:rPr>
          <w:i/>
          <w:lang w:val="cs-CZ"/>
        </w:rPr>
        <w:t>Notule</w:t>
      </w:r>
      <w:r>
        <w:rPr>
          <w:lang w:val="cs-CZ"/>
        </w:rPr>
        <w:t xml:space="preserve"> </w:t>
      </w:r>
      <w:r w:rsidRPr="0899106B">
        <w:rPr>
          <w:rStyle w:val="Zvraznn"/>
          <w:iCs w:val="0"/>
        </w:rPr>
        <w:t>Libri Posteriorum</w:t>
      </w:r>
      <w:r>
        <w:rPr>
          <w:rStyle w:val="Zvraznn"/>
          <w:i w:val="0"/>
          <w:iCs w:val="0"/>
          <w:lang w:val="cs-CZ"/>
        </w:rPr>
        <w:t>;</w:t>
      </w:r>
      <w:r>
        <w:rPr>
          <w:rStyle w:val="Zvraznn"/>
          <w:i w:val="0"/>
          <w:iCs w:val="0"/>
        </w:rPr>
        <w:t xml:space="preserve"> ed. Cannone</w:t>
      </w:r>
      <w:r>
        <w:t>, p. 129.341‒342</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instrText xml:space="preserve">129.341‒42" </w:instrText>
      </w:r>
      <w:r>
        <w:fldChar w:fldCharType="end"/>
      </w:r>
      <w:r>
        <w:t>).</w:t>
      </w:r>
    </w:p>
  </w:footnote>
  <w:footnote w:id="483">
    <w:p w14:paraId="7EA7165E" w14:textId="77777777" w:rsidR="00CD2817" w:rsidRPr="000C73AB" w:rsidRDefault="00CD2817" w:rsidP="00E93365">
      <w:pPr>
        <w:pStyle w:val="Textpoznpodarou"/>
        <w:rPr>
          <w:lang w:val="cs-CZ"/>
        </w:rPr>
      </w:pPr>
      <w:r>
        <w:rPr>
          <w:rStyle w:val="Znakapoznpodarou"/>
        </w:rPr>
        <w:footnoteRef/>
      </w:r>
      <w:r>
        <w:t xml:space="preserve"> „Dico ergo quod tota intentio logici stat supra syllogismum universaliter: unde secundum descensum istius et divisionem, descendit in suas partes. Partes autem syllogismi sunt dupliciter, scilicet priores ipso et posteriores: priores, materia et forma; et materia habet divisionem in possibilem et est dicibile simpliciter...“ (</w:t>
      </w:r>
      <w:r w:rsidRPr="00F52F04">
        <w:rPr>
          <w:i/>
        </w:rPr>
        <w:t>Notulae super librum praedicamentorum</w:t>
      </w:r>
      <w:r>
        <w:t xml:space="preserve">, </w:t>
      </w:r>
      <w:r w:rsidRPr="00B860D6">
        <w:t>proemium</w:t>
      </w:r>
      <w:r>
        <w:rPr>
          <w:lang w:val="cs-CZ"/>
        </w:rPr>
        <w:t>;</w:t>
      </w:r>
      <w:r>
        <w:t xml:space="preserve"> ed. Conti, p. 5.15‒19</w:t>
      </w:r>
      <w:r>
        <w:fldChar w:fldCharType="begin"/>
      </w:r>
      <w:r>
        <w:instrText xml:space="preserve"> XE "</w:instrText>
      </w:r>
      <w:r>
        <w:rPr>
          <w:lang w:val="cs-CZ"/>
        </w:rPr>
        <w:instrText>Kilwardby:</w:instrText>
      </w:r>
      <w:r w:rsidRPr="00265A98">
        <w:rPr>
          <w:i/>
        </w:rPr>
        <w:instrText>Notulae super librum praedicamentorum</w:instrText>
      </w:r>
      <w:r>
        <w:rPr>
          <w:lang w:val="cs-CZ"/>
        </w:rPr>
        <w:instrText xml:space="preserve"> </w:instrText>
      </w:r>
      <w:r w:rsidRPr="00265A98">
        <w:instrText>5.15‒19</w:instrText>
      </w:r>
      <w:r>
        <w:instrText xml:space="preserve">" </w:instrText>
      </w:r>
      <w:r>
        <w:fldChar w:fldCharType="end"/>
      </w:r>
      <w:r>
        <w:t>)</w:t>
      </w:r>
    </w:p>
  </w:footnote>
  <w:footnote w:id="484">
    <w:p w14:paraId="6B121DB7" w14:textId="77777777" w:rsidR="00CD2817" w:rsidRPr="00AB0DF2" w:rsidRDefault="00CD2817">
      <w:pPr>
        <w:pStyle w:val="Textpoznpodarou"/>
        <w:rPr>
          <w:lang w:val="cs-CZ"/>
        </w:rPr>
      </w:pPr>
      <w:r>
        <w:rPr>
          <w:rStyle w:val="Znakapoznpodarou"/>
        </w:rPr>
        <w:footnoteRef/>
      </w:r>
      <w:r>
        <w:t xml:space="preserve"> „</w:t>
      </w:r>
      <w:r w:rsidRPr="08E64705">
        <w:t>Ordo patet, quia tres primi sumuntur absolute, quartus cum reduplicatione caus</w:t>
      </w:r>
      <w:r>
        <w:rPr>
          <w:lang w:val="cs-CZ"/>
        </w:rPr>
        <w:t>a</w:t>
      </w:r>
      <w:r w:rsidRPr="08E64705">
        <w:t>e. Item, primi duo principaliter pertinent ad demonstrationem et cadunt in simpliciter scibilibus, tertius autem non sic. Item, primus es</w:t>
      </w:r>
      <w:r>
        <w:t>t</w:t>
      </w:r>
      <w:r w:rsidRPr="08E64705">
        <w:t xml:space="preserve"> essentialior quam secundus, et ideo sic ordinantur ad inuicem.</w:t>
      </w:r>
      <w:r>
        <w:t>“ (</w:t>
      </w:r>
      <w:r w:rsidRPr="0039071D">
        <w:rPr>
          <w:i/>
          <w:lang w:val="cs-CZ"/>
        </w:rPr>
        <w:t>Notule</w:t>
      </w:r>
      <w:r>
        <w:rPr>
          <w:lang w:val="cs-CZ"/>
        </w:rPr>
        <w:t xml:space="preserve"> </w:t>
      </w:r>
      <w:r w:rsidRPr="0899106B">
        <w:rPr>
          <w:rStyle w:val="Zvraznn"/>
          <w:iCs w:val="0"/>
        </w:rPr>
        <w:t>Libri Posteriorum</w:t>
      </w:r>
      <w:r>
        <w:rPr>
          <w:rStyle w:val="Zvraznn"/>
          <w:i w:val="0"/>
          <w:iCs w:val="0"/>
          <w:lang w:val="cs-CZ"/>
        </w:rPr>
        <w:t>;</w:t>
      </w:r>
      <w:r>
        <w:rPr>
          <w:rStyle w:val="Zvraznn"/>
          <w:i w:val="0"/>
          <w:iCs w:val="0"/>
        </w:rPr>
        <w:t xml:space="preserve"> ed. Cannone</w:t>
      </w:r>
      <w:r>
        <w:t>, p. 130.381‒85</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instrText>130.3</w:instrText>
      </w:r>
      <w:r>
        <w:rPr>
          <w:lang w:val="cs-CZ"/>
        </w:rPr>
        <w:instrText>81</w:instrText>
      </w:r>
      <w:r>
        <w:instrText>‒</w:instrText>
      </w:r>
      <w:r>
        <w:rPr>
          <w:lang w:val="cs-CZ"/>
        </w:rPr>
        <w:instrText>85</w:instrText>
      </w:r>
      <w:r>
        <w:instrText xml:space="preserve">" </w:instrText>
      </w:r>
      <w:r>
        <w:fldChar w:fldCharType="end"/>
      </w:r>
      <w:r>
        <w:t>)</w:t>
      </w:r>
    </w:p>
  </w:footnote>
  <w:footnote w:id="485">
    <w:p w14:paraId="310AE234" w14:textId="77777777" w:rsidR="00CD2817" w:rsidRPr="002956D1" w:rsidRDefault="00CD2817" w:rsidP="00270CCD">
      <w:pPr>
        <w:pStyle w:val="Textpoznpodarou"/>
        <w:rPr>
          <w:lang w:val="cs-CZ"/>
        </w:rPr>
      </w:pPr>
      <w:r>
        <w:rPr>
          <w:rStyle w:val="Znakapoznpodarou"/>
        </w:rPr>
        <w:footnoteRef/>
      </w:r>
      <w:r>
        <w:t xml:space="preserve"> „</w:t>
      </w:r>
      <w:r w:rsidRPr="000F6A57">
        <w:t>In premissis autem illius demonstrat</w:t>
      </w:r>
      <w:r>
        <w:t>ionis que concludit passionem d</w:t>
      </w:r>
      <w:r w:rsidRPr="000F6A57">
        <w:t>e subiecto, si diffinitio passionis sit medium, cum illa exprimat causam passionis, dico quod in maiori propositione est quartus modu</w:t>
      </w:r>
      <w:r>
        <w:t>s, quia illa</w:t>
      </w:r>
      <w:r w:rsidRPr="000F6A57">
        <w:t xml:space="preserve"> comparat causam ad causatum, uel modus primus conuersus; in minori autem dupliciter contingere potest: causa enim passionis per medium expressa, uel est aliquid subiecti, et tunc in minori est primus modus, uel aliquid consequens ad ipsum, et sic est secundus modus.</w:t>
      </w:r>
      <w:r>
        <w:t>“ (</w:t>
      </w:r>
      <w:r w:rsidRPr="00D35606">
        <w:rPr>
          <w:rStyle w:val="Zvraznn"/>
        </w:rPr>
        <w:t xml:space="preserve">Notule Libri </w:t>
      </w:r>
      <w:r w:rsidRPr="009968EB">
        <w:rPr>
          <w:rStyle w:val="Zvraznn"/>
        </w:rPr>
        <w:t>Posteriorum</w:t>
      </w:r>
      <w:r>
        <w:rPr>
          <w:rStyle w:val="Zvraznn"/>
          <w:i w:val="0"/>
          <w:lang w:val="cs-CZ"/>
        </w:rPr>
        <w:t>;</w:t>
      </w:r>
      <w:r>
        <w:rPr>
          <w:rStyle w:val="Zvraznn"/>
          <w:i w:val="0"/>
        </w:rPr>
        <w:t xml:space="preserve"> </w:t>
      </w:r>
      <w:r w:rsidRPr="00022203">
        <w:rPr>
          <w:rStyle w:val="Zvraznn"/>
          <w:i w:val="0"/>
        </w:rPr>
        <w:t>ed. Cannone</w:t>
      </w:r>
      <w:r>
        <w:t>, p. 131.402‒</w:t>
      </w:r>
      <w:r>
        <w:rPr>
          <w:lang w:val="cs-CZ"/>
        </w:rPr>
        <w:t>40</w:t>
      </w:r>
      <w:r>
        <w:t>8</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instrText xml:space="preserve">131.402‒408" </w:instrText>
      </w:r>
      <w:r>
        <w:fldChar w:fldCharType="end"/>
      </w:r>
      <w:r>
        <w:t>)</w:t>
      </w:r>
    </w:p>
  </w:footnote>
  <w:footnote w:id="486">
    <w:p w14:paraId="0994ADF3" w14:textId="77777777" w:rsidR="00CD2817" w:rsidRPr="08D45541" w:rsidRDefault="00CD2817" w:rsidP="005C0451">
      <w:pPr>
        <w:pStyle w:val="Textpoznpodarou"/>
      </w:pPr>
      <w:r>
        <w:rPr>
          <w:rStyle w:val="Znakapoznpodarou"/>
        </w:rPr>
        <w:footnoteRef/>
      </w:r>
      <w:r>
        <w:rPr>
          <w:lang w:val="cs-CZ"/>
        </w:rPr>
        <w:t xml:space="preserve"> </w:t>
      </w:r>
      <w:r w:rsidRPr="00F25B50">
        <w:t>„</w:t>
      </w:r>
      <w:r>
        <w:t xml:space="preserve">Si </w:t>
      </w:r>
      <w:r w:rsidRPr="00F25B50">
        <w:t>autem in demonstratione, que concludit passionem, sit diffinitio formalis subiecti medium, sicut putant quidam, tunc in maiori propositione es</w:t>
      </w:r>
      <w:r>
        <w:t>t</w:t>
      </w:r>
      <w:r w:rsidRPr="00F25B50">
        <w:t xml:space="preserve"> secundus modus, quia predicatur passio de dif</w:t>
      </w:r>
      <w:r>
        <w:t>finitione subiecti, et eadem est</w:t>
      </w:r>
      <w:r w:rsidRPr="00F25B50">
        <w:t xml:space="preserve"> comparatio passionis ad subiectum et ad subiecti diffinitionem.“</w:t>
      </w:r>
      <w:r>
        <w:t xml:space="preserve"> (</w:t>
      </w:r>
      <w:r w:rsidRPr="0039071D">
        <w:rPr>
          <w:i/>
          <w:lang w:val="cs-CZ"/>
        </w:rPr>
        <w:t>Notule</w:t>
      </w:r>
      <w:r>
        <w:rPr>
          <w:lang w:val="cs-CZ"/>
        </w:rPr>
        <w:t xml:space="preserve"> </w:t>
      </w:r>
      <w:r w:rsidRPr="0899106B">
        <w:rPr>
          <w:rStyle w:val="Zvraznn"/>
          <w:iCs w:val="0"/>
        </w:rPr>
        <w:t>Libri Posteriorum</w:t>
      </w:r>
      <w:r>
        <w:rPr>
          <w:rStyle w:val="Zvraznn"/>
          <w:i w:val="0"/>
          <w:iCs w:val="0"/>
          <w:lang w:val="cs-CZ"/>
        </w:rPr>
        <w:t>;</w:t>
      </w:r>
      <w:r>
        <w:rPr>
          <w:rStyle w:val="Zvraznn"/>
          <w:i w:val="0"/>
          <w:iCs w:val="0"/>
        </w:rPr>
        <w:t xml:space="preserve"> ed. Cannone</w:t>
      </w:r>
      <w:r>
        <w:t>, p. 131.411‒15</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instrText>131.4</w:instrText>
      </w:r>
      <w:r>
        <w:rPr>
          <w:lang w:val="cs-CZ"/>
        </w:rPr>
        <w:instrText>11</w:instrText>
      </w:r>
      <w:r>
        <w:instrText>‒</w:instrText>
      </w:r>
      <w:r>
        <w:rPr>
          <w:lang w:val="cs-CZ"/>
        </w:rPr>
        <w:instrText>15</w:instrText>
      </w:r>
      <w:r>
        <w:instrText xml:space="preserve">" </w:instrText>
      </w:r>
      <w:r>
        <w:fldChar w:fldCharType="end"/>
      </w:r>
      <w:r>
        <w:t>)</w:t>
      </w:r>
    </w:p>
  </w:footnote>
  <w:footnote w:id="487">
    <w:p w14:paraId="27E1FA94" w14:textId="77777777" w:rsidR="00CD2817" w:rsidRPr="08685D70" w:rsidRDefault="00CD2817" w:rsidP="08A66F23">
      <w:pPr>
        <w:pStyle w:val="Textpoznpodarou"/>
      </w:pPr>
      <w:r>
        <w:rPr>
          <w:rStyle w:val="Znakapoznpodarou"/>
        </w:rPr>
        <w:footnoteRef/>
      </w:r>
      <w:r>
        <w:t xml:space="preserve"> „Aut secundum quod demonstratio consideratur ut in sua radice, et sic nihil aliud est quam ipsum medium.“ (</w:t>
      </w:r>
      <w:r w:rsidRPr="00FC6938">
        <w:rPr>
          <w:i/>
        </w:rPr>
        <w:t>In APos</w:t>
      </w:r>
      <w:r>
        <w:t xml:space="preserve"> I.2</w:t>
      </w:r>
      <w:r>
        <w:rPr>
          <w:lang w:val="cs-CZ"/>
        </w:rPr>
        <w:t>;</w:t>
      </w:r>
      <w:r>
        <w:t xml:space="preserve"> ed. </w:t>
      </w:r>
      <w:r>
        <w:rPr>
          <w:rStyle w:val="TextpoznpodarouChar"/>
        </w:rPr>
        <w:t>RRP, 1.</w:t>
      </w:r>
      <w:r>
        <w:t>2.S1.ad1</w:t>
      </w:r>
      <w:r>
        <w:fldChar w:fldCharType="begin"/>
      </w:r>
      <w:r>
        <w:instrText xml:space="preserve"> XE "</w:instrText>
      </w:r>
      <w:r>
        <w:rPr>
          <w:lang w:val="cs-CZ"/>
        </w:rPr>
        <w:instrText>Rufus:</w:instrText>
      </w:r>
      <w:r w:rsidRPr="00FF4FDB">
        <w:rPr>
          <w:i/>
        </w:rPr>
        <w:instrText>In APos</w:instrText>
      </w:r>
      <w:r w:rsidRPr="00FF4FDB">
        <w:instrText xml:space="preserve"> </w:instrText>
      </w:r>
      <w:r w:rsidRPr="00FF4FDB">
        <w:rPr>
          <w:rStyle w:val="TextpoznpodarouChar"/>
        </w:rPr>
        <w:instrText>1.</w:instrText>
      </w:r>
      <w:r w:rsidRPr="00FF4FDB">
        <w:instrText>2.S1.ad1</w:instrText>
      </w:r>
      <w:r>
        <w:instrText xml:space="preserve">" </w:instrText>
      </w:r>
      <w:r>
        <w:fldChar w:fldCharType="end"/>
      </w:r>
      <w:r>
        <w:t>)</w:t>
      </w:r>
    </w:p>
  </w:footnote>
  <w:footnote w:id="488">
    <w:p w14:paraId="2356B531" w14:textId="77777777" w:rsidR="00CD2817" w:rsidRPr="00FA418B" w:rsidRDefault="00CD2817" w:rsidP="00F32DC7">
      <w:pPr>
        <w:pStyle w:val="Textpoznpodarou"/>
        <w:rPr>
          <w:lang w:val="cs-CZ"/>
        </w:rPr>
      </w:pPr>
      <w:r>
        <w:rPr>
          <w:rStyle w:val="Znakapoznpodarou"/>
        </w:rPr>
        <w:footnoteRef/>
      </w:r>
      <w:r>
        <w:t xml:space="preserve"> </w:t>
      </w:r>
      <w:r w:rsidRPr="0899106B">
        <w:t>„Partes patent et ordo similiter patet, quia 'per se' addit supra 'de omni' et 'uniuersale' supra 'per se'. Et iterum, tam 'de omni' quam 'per se' cadit in diffinitione uniuersalis, et ideo prius determinantur.“ (</w:t>
      </w:r>
      <w:r w:rsidRPr="0899106B">
        <w:rPr>
          <w:rStyle w:val="Zvraznn"/>
          <w:iCs w:val="0"/>
        </w:rPr>
        <w:t>Notule Libri Posteriorum</w:t>
      </w:r>
      <w:r w:rsidRPr="0899106B">
        <w:rPr>
          <w:rStyle w:val="Zvraznn"/>
          <w:i w:val="0"/>
          <w:iCs w:val="0"/>
        </w:rPr>
        <w:t>, ed. Cannone, p.</w:t>
      </w:r>
      <w:r>
        <w:rPr>
          <w:rStyle w:val="Zvraznn"/>
          <w:i w:val="0"/>
          <w:iCs w:val="0"/>
        </w:rPr>
        <w:t xml:space="preserve"> 117.47</w:t>
      </w:r>
      <w:r w:rsidRPr="0899106B">
        <w:rPr>
          <w:rStyle w:val="Zvraznn"/>
          <w:i w:val="0"/>
          <w:iCs w:val="0"/>
        </w:rPr>
        <w:t>‒4</w:t>
      </w:r>
      <w:r>
        <w:rPr>
          <w:rStyle w:val="Zvraznn"/>
          <w:i w:val="0"/>
          <w:iCs w:val="0"/>
          <w:lang w:val="cs-CZ"/>
        </w:rPr>
        <w:t>9</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rPr>
          <w:rStyle w:val="Zvraznn"/>
          <w:i w:val="0"/>
          <w:iCs w:val="0"/>
        </w:rPr>
        <w:instrText>117.47</w:instrText>
      </w:r>
      <w:r w:rsidRPr="0899106B">
        <w:rPr>
          <w:rStyle w:val="Zvraznn"/>
          <w:i w:val="0"/>
          <w:iCs w:val="0"/>
        </w:rPr>
        <w:instrText>‒4</w:instrText>
      </w:r>
      <w:r>
        <w:rPr>
          <w:rStyle w:val="Zvraznn"/>
          <w:i w:val="0"/>
          <w:iCs w:val="0"/>
          <w:lang w:val="cs-CZ"/>
        </w:rPr>
        <w:instrText>9</w:instrText>
      </w:r>
      <w:r>
        <w:instrText xml:space="preserve">" </w:instrText>
      </w:r>
      <w:r>
        <w:fldChar w:fldCharType="end"/>
      </w:r>
      <w:r w:rsidRPr="0899106B">
        <w:t>)</w:t>
      </w:r>
    </w:p>
  </w:footnote>
  <w:footnote w:id="489">
    <w:p w14:paraId="5071DFD5" w14:textId="77777777" w:rsidR="00CD2817" w:rsidRPr="00B07F9D" w:rsidRDefault="00CD2817" w:rsidP="002C06BA">
      <w:pPr>
        <w:pStyle w:val="Textpoznpodarou"/>
        <w:rPr>
          <w:lang w:val="cs-CZ"/>
        </w:rPr>
      </w:pPr>
      <w:r>
        <w:rPr>
          <w:rStyle w:val="Znakapoznpodarou"/>
        </w:rPr>
        <w:footnoteRef/>
      </w:r>
      <w:r>
        <w:t xml:space="preserve"> „</w:t>
      </w:r>
      <w:r w:rsidRPr="008E5664">
        <w:t>Si autem queratur quomodo iste modus se habet ad demonstrationem, dicendum est quod semper cadit in maio</w:t>
      </w:r>
      <w:r>
        <w:t>ri propositione demonstrationis</w:t>
      </w:r>
      <w:r w:rsidRPr="008E5664">
        <w:t>; et hoc siue debeat demonstrari passio de subiecto, siue diffinitio materialis per formalem; et hoc est, quia in maiori semper est subiectum precisa et inmediata causa predicati; et hoc dico, cum sit demonstratio ex inmediatis. Primus autem et secundus incidunt in conclusione semper, quia, ubi demonstratur diffinitio materialis de subiecto per formalem, incidit in conclusione primus modus, et, ubi demonstratur passio de subiecto, cadit in conclusione secundus modus.</w:t>
      </w:r>
      <w:r>
        <w:t xml:space="preserve"> Exempla ponentur post.“ (</w:t>
      </w:r>
      <w:r w:rsidRPr="00D35606">
        <w:rPr>
          <w:rStyle w:val="Zvraznn"/>
        </w:rPr>
        <w:t xml:space="preserve">Notule Libri </w:t>
      </w:r>
      <w:r w:rsidRPr="009968EB">
        <w:rPr>
          <w:rStyle w:val="Zvraznn"/>
        </w:rPr>
        <w:t>Posteriorum</w:t>
      </w:r>
      <w:r>
        <w:rPr>
          <w:rStyle w:val="Zvraznn"/>
          <w:i w:val="0"/>
        </w:rPr>
        <w:t xml:space="preserve">, </w:t>
      </w:r>
      <w:r w:rsidRPr="00022203">
        <w:rPr>
          <w:rStyle w:val="Zvraznn"/>
          <w:i w:val="0"/>
        </w:rPr>
        <w:t>ed. Cannone</w:t>
      </w:r>
      <w:r>
        <w:rPr>
          <w:rStyle w:val="Zvraznn"/>
          <w:i w:val="0"/>
        </w:rPr>
        <w:t>, p. 126.259‒64</w:t>
      </w:r>
      <w:r>
        <w:fldChar w:fldCharType="begin"/>
      </w:r>
      <w:r>
        <w:instrText xml:space="preserve"> XE "</w:instrText>
      </w:r>
      <w:r>
        <w:rPr>
          <w:lang w:val="cs-CZ"/>
        </w:rPr>
        <w:instrText>Kilwardby:</w:instrText>
      </w:r>
      <w:r w:rsidRPr="00B7477B">
        <w:rPr>
          <w:rStyle w:val="Zvraznn"/>
          <w:iCs w:val="0"/>
        </w:rPr>
        <w:instrText>Notule Libri Posteriorum</w:instrText>
      </w:r>
      <w:r w:rsidRPr="00B7477B">
        <w:instrText xml:space="preserve"> </w:instrText>
      </w:r>
      <w:r>
        <w:rPr>
          <w:rStyle w:val="Zvraznn"/>
          <w:i w:val="0"/>
        </w:rPr>
        <w:instrText>126.259‒64</w:instrText>
      </w:r>
      <w:r>
        <w:instrText xml:space="preserve">" </w:instrText>
      </w:r>
      <w:r>
        <w:fldChar w:fldCharType="end"/>
      </w:r>
      <w:r>
        <w:rPr>
          <w:lang w:val="cs-CZ"/>
        </w:rPr>
        <w:t>)</w:t>
      </w:r>
    </w:p>
  </w:footnote>
  <w:footnote w:id="490">
    <w:p w14:paraId="3BA4CFB6" w14:textId="77777777" w:rsidR="00CD2817" w:rsidRPr="000D794E" w:rsidRDefault="00CD2817">
      <w:pPr>
        <w:pStyle w:val="Textpoznpodarou"/>
        <w:rPr>
          <w:lang w:val="cs-CZ"/>
        </w:rPr>
      </w:pPr>
      <w:r>
        <w:rPr>
          <w:rStyle w:val="Znakapoznpodarou"/>
        </w:rPr>
        <w:footnoteRef/>
      </w:r>
      <w:r>
        <w:t xml:space="preserve"> </w:t>
      </w:r>
      <w:r w:rsidRPr="000407B3">
        <w:t>„</w:t>
      </w:r>
      <w:r>
        <w:rPr>
          <w:lang w:val="cs-CZ"/>
        </w:rPr>
        <w:t>M</w:t>
      </w:r>
      <w:r w:rsidRPr="000407B3">
        <w:t>etaphysica et mathematica conveniunt in hoc, quod utraque habet considerare quantitatem.“ (</w:t>
      </w:r>
      <w:r w:rsidRPr="000407B3">
        <w:rPr>
          <w:i/>
        </w:rPr>
        <w:t>De ortu scientiarum</w:t>
      </w:r>
      <w:r>
        <w:rPr>
          <w:lang w:val="cs-CZ"/>
        </w:rPr>
        <w:t>, cap. 29;</w:t>
      </w:r>
      <w:r w:rsidRPr="000407B3">
        <w:t xml:space="preserve"> ed. Judy, </w:t>
      </w:r>
      <w:r>
        <w:t>p. 89.30‒31</w:t>
      </w:r>
      <w:r>
        <w:fldChar w:fldCharType="begin"/>
      </w:r>
      <w:r>
        <w:instrText xml:space="preserve"> XE "</w:instrText>
      </w:r>
      <w:r>
        <w:rPr>
          <w:lang w:val="cs-CZ"/>
        </w:rPr>
        <w:instrText>Kilwardby:</w:instrText>
      </w:r>
      <w:r w:rsidRPr="00F529DF">
        <w:rPr>
          <w:i/>
        </w:rPr>
        <w:instrText>De ortu scientiarum</w:instrText>
      </w:r>
      <w:r w:rsidRPr="00F529DF">
        <w:instrText xml:space="preserve"> 89.30‒31</w:instrText>
      </w:r>
      <w:r>
        <w:instrText xml:space="preserve">" </w:instrText>
      </w:r>
      <w:r>
        <w:fldChar w:fldCharType="end"/>
      </w:r>
      <w:r>
        <w:rPr>
          <w:lang w:val="cs-CZ"/>
        </w:rPr>
        <w:t>)</w:t>
      </w:r>
    </w:p>
  </w:footnote>
  <w:footnote w:id="491">
    <w:p w14:paraId="3CC15115" w14:textId="77777777" w:rsidR="00CD2817" w:rsidRPr="00B96F92" w:rsidRDefault="00CD2817">
      <w:pPr>
        <w:pStyle w:val="Textpoznpodarou"/>
        <w:rPr>
          <w:lang w:val="cs-CZ"/>
        </w:rPr>
      </w:pPr>
      <w:r>
        <w:rPr>
          <w:rStyle w:val="Znakapoznpodarou"/>
        </w:rPr>
        <w:footnoteRef/>
      </w:r>
      <w:r>
        <w:t xml:space="preserve"> </w:t>
      </w:r>
      <w:r w:rsidRPr="006F25B2">
        <w:t>„Patet igitur quod conveniunt metaphysicus et mathematicus in hoc, quod uterque quantitatem considerat. Sed differunt in hoc, quod mathematicus quantitatem ponit subiectum ubique et de ea demonstrat et perquirit proprietates et propria accidentia. Metaphysicus autem eam considerat in quantum ens est et proprietates eius communes quae rationem entitatis eius consequuntur. Cum enim quantitas ens sit et ens tale, quod entis est capit metaphysicus, quod talis entis, mathematicus.</w:t>
      </w:r>
      <w:r>
        <w:t>“ (</w:t>
      </w:r>
      <w:r w:rsidRPr="000407B3">
        <w:rPr>
          <w:i/>
        </w:rPr>
        <w:t>De ortu scientiarum</w:t>
      </w:r>
      <w:r>
        <w:t xml:space="preserve"> </w:t>
      </w:r>
      <w:r>
        <w:rPr>
          <w:lang w:val="cs-CZ"/>
        </w:rPr>
        <w:t>29</w:t>
      </w:r>
      <w:r>
        <w:t>.239</w:t>
      </w:r>
      <w:r>
        <w:rPr>
          <w:lang w:val="cs-CZ"/>
        </w:rPr>
        <w:t>;</w:t>
      </w:r>
      <w:r w:rsidRPr="000407B3">
        <w:t xml:space="preserve"> ed. Judy, p. 9</w:t>
      </w:r>
      <w:r>
        <w:t>0</w:t>
      </w:r>
      <w:r w:rsidRPr="000407B3">
        <w:t>.</w:t>
      </w:r>
      <w:r>
        <w:t>2</w:t>
      </w:r>
      <w:r w:rsidRPr="000407B3">
        <w:t>0‒</w:t>
      </w:r>
      <w:r>
        <w:t>27</w:t>
      </w:r>
      <w:r>
        <w:fldChar w:fldCharType="begin"/>
      </w:r>
      <w:r>
        <w:instrText xml:space="preserve"> XE "</w:instrText>
      </w:r>
      <w:r>
        <w:rPr>
          <w:lang w:val="cs-CZ"/>
        </w:rPr>
        <w:instrText>Kilwardby:</w:instrText>
      </w:r>
      <w:r w:rsidRPr="00F529DF">
        <w:rPr>
          <w:i/>
        </w:rPr>
        <w:instrText>De ortu scientiarum</w:instrText>
      </w:r>
      <w:r w:rsidRPr="00F529DF">
        <w:instrText xml:space="preserve"> </w:instrText>
      </w:r>
      <w:r>
        <w:rPr>
          <w:lang w:val="cs-CZ"/>
        </w:rPr>
        <w:instrText>90</w:instrText>
      </w:r>
      <w:r>
        <w:instrText>.</w:instrText>
      </w:r>
      <w:r>
        <w:rPr>
          <w:lang w:val="cs-CZ"/>
        </w:rPr>
        <w:instrText>2</w:instrText>
      </w:r>
      <w:r>
        <w:instrText>0‒</w:instrText>
      </w:r>
      <w:r>
        <w:rPr>
          <w:lang w:val="cs-CZ"/>
        </w:rPr>
        <w:instrText>27</w:instrText>
      </w:r>
      <w:r>
        <w:instrText xml:space="preserve">" </w:instrText>
      </w:r>
      <w:r>
        <w:fldChar w:fldCharType="end"/>
      </w:r>
      <w:r>
        <w:rPr>
          <w:lang w:val="cs-CZ"/>
        </w:rPr>
        <w:t>)</w:t>
      </w:r>
    </w:p>
  </w:footnote>
  <w:footnote w:id="492">
    <w:p w14:paraId="5F5075E8" w14:textId="77777777" w:rsidR="00CD2817" w:rsidRPr="00054E65" w:rsidRDefault="00CD2817" w:rsidP="00F25351">
      <w:pPr>
        <w:pStyle w:val="Textpoznpodarou"/>
        <w:rPr>
          <w:lang w:val="cs-CZ"/>
        </w:rPr>
      </w:pPr>
      <w:r>
        <w:rPr>
          <w:rStyle w:val="Znakapoznpodarou"/>
        </w:rPr>
        <w:footnoteRef/>
      </w:r>
      <w:r>
        <w:t xml:space="preserve"> </w:t>
      </w:r>
      <w:r w:rsidRPr="0000252C">
        <w:t xml:space="preserve">„Et ideo huiusmodi substantia deferens quantitatem et causans eam dicitur </w:t>
      </w:r>
      <w:r w:rsidRPr="009F3468">
        <w:t>materia mathematica</w:t>
      </w:r>
      <w:r w:rsidRPr="0000252C">
        <w:t>.“ (</w:t>
      </w:r>
      <w:r w:rsidRPr="000407B3">
        <w:rPr>
          <w:i/>
        </w:rPr>
        <w:t>De ortu scientiarum</w:t>
      </w:r>
      <w:r>
        <w:rPr>
          <w:lang w:val="cs-CZ"/>
        </w:rPr>
        <w:t>, cap. 29</w:t>
      </w:r>
      <w:r>
        <w:t>,</w:t>
      </w:r>
      <w:r w:rsidRPr="000407B3">
        <w:t xml:space="preserve"> ed. Judy,</w:t>
      </w:r>
      <w:r>
        <w:t xml:space="preserve"> </w:t>
      </w:r>
      <w:r w:rsidRPr="0000252C">
        <w:t>p. 93.6‒7</w:t>
      </w:r>
      <w:r>
        <w:fldChar w:fldCharType="begin"/>
      </w:r>
      <w:r>
        <w:instrText xml:space="preserve"> XE "</w:instrText>
      </w:r>
      <w:r>
        <w:rPr>
          <w:lang w:val="cs-CZ"/>
        </w:rPr>
        <w:instrText>Kilwardby:</w:instrText>
      </w:r>
      <w:r w:rsidRPr="004B71E5">
        <w:rPr>
          <w:i/>
        </w:rPr>
        <w:instrText>De ortu scientiarum</w:instrText>
      </w:r>
      <w:r w:rsidRPr="004B71E5">
        <w:instrText xml:space="preserve"> 93.6‒7</w:instrText>
      </w:r>
      <w:r>
        <w:instrText xml:space="preserve">" </w:instrText>
      </w:r>
      <w:r>
        <w:fldChar w:fldCharType="end"/>
      </w:r>
      <w:r w:rsidRPr="0000252C">
        <w:t>)</w:t>
      </w:r>
    </w:p>
  </w:footnote>
  <w:footnote w:id="493">
    <w:p w14:paraId="2CC838F9" w14:textId="77777777" w:rsidR="00CD2817" w:rsidRPr="00830ACF" w:rsidRDefault="00CD2817">
      <w:pPr>
        <w:pStyle w:val="Textpoznpodarou"/>
        <w:rPr>
          <w:lang w:val="cs-CZ"/>
        </w:rPr>
      </w:pPr>
      <w:r>
        <w:rPr>
          <w:rStyle w:val="Znakapoznpodarou"/>
        </w:rPr>
        <w:footnoteRef/>
      </w:r>
      <w:r>
        <w:t xml:space="preserve"> „</w:t>
      </w:r>
      <w:r w:rsidRPr="00191D54">
        <w:t>Consequenter autem tertio gradu recipit dicta materia differentias speciales corporum, scilicet circulare et rectum et huiusmodi, cum quibus differentiis etiam recipit quasdam qualitates activas et passivas</w:t>
      </w:r>
      <w:r>
        <w:t xml:space="preserve">. </w:t>
      </w:r>
      <w:r w:rsidRPr="00191D54">
        <w:t>Et ista corpora specialia physica dicuntur quia in his incohatur physica speculatio.</w:t>
      </w:r>
      <w:r>
        <w:t>“ (</w:t>
      </w:r>
      <w:r w:rsidRPr="000407B3">
        <w:rPr>
          <w:i/>
        </w:rPr>
        <w:t>De ortu scientiarum</w:t>
      </w:r>
      <w:r>
        <w:rPr>
          <w:lang w:val="cs-CZ"/>
        </w:rPr>
        <w:t>, cap. 29;</w:t>
      </w:r>
      <w:r>
        <w:t xml:space="preserve"> ed. Judy</w:t>
      </w:r>
      <w:r>
        <w:rPr>
          <w:szCs w:val="22"/>
        </w:rPr>
        <w:t xml:space="preserve">, </w:t>
      </w:r>
      <w:r w:rsidRPr="000407B3">
        <w:t>p. 9</w:t>
      </w:r>
      <w:r>
        <w:t>3</w:t>
      </w:r>
      <w:r w:rsidRPr="000407B3">
        <w:t>.</w:t>
      </w:r>
      <w:r>
        <w:t>8</w:t>
      </w:r>
      <w:r w:rsidRPr="000407B3">
        <w:t>‒</w:t>
      </w:r>
      <w:r>
        <w:t>12</w:t>
      </w:r>
      <w:r>
        <w:fldChar w:fldCharType="begin"/>
      </w:r>
      <w:r>
        <w:instrText xml:space="preserve"> XE "</w:instrText>
      </w:r>
      <w:r>
        <w:rPr>
          <w:lang w:val="cs-CZ"/>
        </w:rPr>
        <w:instrText>Kilwardby:</w:instrText>
      </w:r>
      <w:r w:rsidRPr="004B71E5">
        <w:rPr>
          <w:i/>
        </w:rPr>
        <w:instrText>De ortu scientiarum</w:instrText>
      </w:r>
      <w:r w:rsidRPr="004B71E5">
        <w:instrText xml:space="preserve"> </w:instrText>
      </w:r>
      <w:r>
        <w:instrText>93.</w:instrText>
      </w:r>
      <w:r>
        <w:rPr>
          <w:lang w:val="cs-CZ"/>
        </w:rPr>
        <w:instrText>8</w:instrText>
      </w:r>
      <w:r>
        <w:instrText>‒</w:instrText>
      </w:r>
      <w:r>
        <w:rPr>
          <w:lang w:val="cs-CZ"/>
        </w:rPr>
        <w:instrText>12</w:instrText>
      </w:r>
      <w:r>
        <w:instrText xml:space="preserve">" </w:instrText>
      </w:r>
      <w:r>
        <w:fldChar w:fldCharType="end"/>
      </w:r>
      <w:r>
        <w:t>)</w:t>
      </w:r>
    </w:p>
  </w:footnote>
  <w:footnote w:id="494">
    <w:p w14:paraId="329ADA2D" w14:textId="77777777" w:rsidR="00CD2817" w:rsidRPr="00891D69" w:rsidRDefault="00CD2817" w:rsidP="00FA3BB5">
      <w:pPr>
        <w:pStyle w:val="Textpoznpodarou"/>
        <w:rPr>
          <w:lang w:val="cs-CZ"/>
        </w:rPr>
      </w:pPr>
      <w:r>
        <w:rPr>
          <w:rStyle w:val="Znakapoznpodarou"/>
        </w:rPr>
        <w:footnoteRef/>
      </w:r>
      <w:r>
        <w:t xml:space="preserve"> „To make the distinction between internal questions (where the answers</w:t>
      </w:r>
      <w:r>
        <w:rPr>
          <w:lang w:val="cs-CZ"/>
        </w:rPr>
        <w:t xml:space="preserve"> </w:t>
      </w:r>
      <w:r>
        <w:t>are given within the culture, the theory, the story, the</w:t>
      </w:r>
      <w:r>
        <w:rPr>
          <w:lang w:val="cs-CZ"/>
        </w:rPr>
        <w:t xml:space="preserve"> </w:t>
      </w:r>
      <w:r>
        <w:t>game) and external ones (answered by whether it is a culture</w:t>
      </w:r>
      <w:r>
        <w:rPr>
          <w:lang w:val="cs-CZ"/>
        </w:rPr>
        <w:t xml:space="preserve"> </w:t>
      </w:r>
      <w:r>
        <w:t>we are members of, a theory we accept, a story we</w:t>
      </w:r>
      <w:r>
        <w:rPr>
          <w:lang w:val="cs-CZ"/>
        </w:rPr>
        <w:t xml:space="preserve"> </w:t>
      </w:r>
      <w:r>
        <w:t>believe, a game we play), we can get along with the notion</w:t>
      </w:r>
      <w:r>
        <w:rPr>
          <w:lang w:val="cs-CZ"/>
        </w:rPr>
        <w:t xml:space="preserve"> </w:t>
      </w:r>
      <w:r>
        <w:t xml:space="preserve">of </w:t>
      </w:r>
      <w:r>
        <w:rPr>
          <w:lang w:val="cs-CZ"/>
        </w:rPr>
        <w:t>"</w:t>
      </w:r>
      <w:r>
        <w:t>reference" and skip that of "meaning." "Meaning" only</w:t>
      </w:r>
      <w:r>
        <w:rPr>
          <w:lang w:val="cs-CZ"/>
        </w:rPr>
        <w:t xml:space="preserve"> </w:t>
      </w:r>
      <w:r>
        <w:t>seemed important because it provided a way to pick out an</w:t>
      </w:r>
      <w:r>
        <w:rPr>
          <w:lang w:val="cs-CZ"/>
        </w:rPr>
        <w:t xml:space="preserve"> </w:t>
      </w:r>
      <w:r>
        <w:t>object in the world, which we could then determine to be</w:t>
      </w:r>
      <w:r>
        <w:rPr>
          <w:lang w:val="cs-CZ"/>
        </w:rPr>
        <w:t xml:space="preserve"> </w:t>
      </w:r>
      <w:r>
        <w:t>the same or not the same as some object countenanced by</w:t>
      </w:r>
      <w:r>
        <w:rPr>
          <w:lang w:val="cs-CZ"/>
        </w:rPr>
        <w:t xml:space="preserve"> </w:t>
      </w:r>
      <w:r>
        <w:t>our own culture, theory, story, or game.</w:t>
      </w:r>
      <w:r>
        <w:rPr>
          <w:lang w:val="cs-CZ"/>
        </w:rPr>
        <w:t>“ (Rorty 1979, 274)</w:t>
      </w:r>
    </w:p>
    <w:p w14:paraId="79B0C46A" w14:textId="77777777" w:rsidR="00CD2817" w:rsidRPr="00891D69" w:rsidRDefault="00CD2817" w:rsidP="00FA3BB5">
      <w:pPr>
        <w:pStyle w:val="Textpoznpodarou"/>
        <w:rPr>
          <w:lang w:val="cs-CZ"/>
        </w:rPr>
      </w:pPr>
    </w:p>
  </w:footnote>
  <w:footnote w:id="495">
    <w:p w14:paraId="183E6D52" w14:textId="77777777" w:rsidR="00CD2817" w:rsidRPr="00424C97" w:rsidRDefault="00CD2817" w:rsidP="007A0B3E">
      <w:pPr>
        <w:pStyle w:val="Textpoznpodarou"/>
        <w:rPr>
          <w:lang w:val="cs-CZ"/>
        </w:rPr>
      </w:pPr>
      <w:r>
        <w:rPr>
          <w:rStyle w:val="Znakapoznpodarou"/>
        </w:rPr>
        <w:footnoteRef/>
      </w:r>
      <w:r>
        <w:rPr>
          <w:lang w:val="cs-CZ"/>
        </w:rPr>
        <w:t xml:space="preserve"> „</w:t>
      </w:r>
      <w:r w:rsidRPr="00424C97">
        <w:t xml:space="preserve">Haec videtur esse sententia Aristotelis et Averrois. Dicit enim Aristoteles in II Metaphysicae versus finem </w:t>
      </w:r>
      <w:r w:rsidRPr="00424C97">
        <w:rPr>
          <w:szCs w:val="18"/>
        </w:rPr>
        <w:t>[</w:t>
      </w:r>
      <w:r w:rsidRPr="00424C97">
        <w:rPr>
          <w:i/>
          <w:szCs w:val="18"/>
        </w:rPr>
        <w:t>Met</w:t>
      </w:r>
      <w:r>
        <w:rPr>
          <w:szCs w:val="18"/>
        </w:rPr>
        <w:t>. I</w:t>
      </w:r>
      <w:r>
        <w:rPr>
          <w:szCs w:val="18"/>
          <w:lang w:val="cs-CZ"/>
        </w:rPr>
        <w:t>.</w:t>
      </w:r>
      <w:r w:rsidRPr="00424C97">
        <w:rPr>
          <w:szCs w:val="18"/>
        </w:rPr>
        <w:t>9, 992</w:t>
      </w:r>
      <w:r w:rsidRPr="00424C97">
        <w:rPr>
          <w:szCs w:val="12"/>
        </w:rPr>
        <w:t>b12</w:t>
      </w:r>
      <w:r w:rsidRPr="00424C97">
        <w:rPr>
          <w:szCs w:val="18"/>
        </w:rPr>
        <w:t>‒15</w:t>
      </w:r>
      <w:r>
        <w:rPr>
          <w:szCs w:val="18"/>
        </w:rPr>
        <w:fldChar w:fldCharType="begin"/>
      </w:r>
      <w:r>
        <w:instrText xml:space="preserve"> XE "</w:instrText>
      </w:r>
      <w:r>
        <w:rPr>
          <w:lang w:val="cs-CZ"/>
        </w:rPr>
        <w:instrText>Aristoteles:</w:instrText>
      </w:r>
      <w:r w:rsidRPr="004F3D67">
        <w:rPr>
          <w:i/>
          <w:lang w:val="cs-CZ"/>
        </w:rPr>
        <w:instrText>Met</w:instrText>
      </w:r>
      <w:r>
        <w:rPr>
          <w:lang w:val="cs-CZ"/>
        </w:rPr>
        <w:instrText xml:space="preserve">. </w:instrText>
      </w:r>
      <w:r w:rsidRPr="00007097">
        <w:rPr>
          <w:szCs w:val="18"/>
        </w:rPr>
        <w:instrText>992</w:instrText>
      </w:r>
      <w:r w:rsidRPr="00007097">
        <w:rPr>
          <w:szCs w:val="12"/>
        </w:rPr>
        <w:instrText>b12</w:instrText>
      </w:r>
      <w:r w:rsidRPr="00007097">
        <w:rPr>
          <w:szCs w:val="18"/>
        </w:rPr>
        <w:instrText>‒15</w:instrText>
      </w:r>
      <w:r>
        <w:instrText xml:space="preserve">" </w:instrText>
      </w:r>
      <w:r>
        <w:rPr>
          <w:szCs w:val="18"/>
        </w:rPr>
        <w:fldChar w:fldCharType="end"/>
      </w:r>
      <w:r w:rsidRPr="00424C97">
        <w:rPr>
          <w:szCs w:val="18"/>
        </w:rPr>
        <w:t>];</w:t>
      </w:r>
      <w:r w:rsidRPr="00424C97">
        <w:t xml:space="preserve"> quod </w:t>
      </w:r>
      <w:r w:rsidRPr="00424C97">
        <w:rPr>
          <w:i/>
        </w:rPr>
        <w:t xml:space="preserve">non invenitur una definitio communis eis quae sunt cum numeris et lineis, </w:t>
      </w:r>
      <w:r w:rsidRPr="00424C97">
        <w:t>et Commentator ibidem</w:t>
      </w:r>
      <w:r w:rsidRPr="00424C97">
        <w:rPr>
          <w:szCs w:val="14"/>
        </w:rPr>
        <w:t xml:space="preserve"> </w:t>
      </w:r>
      <w:r w:rsidRPr="00424C97">
        <w:t>sic dicit</w:t>
      </w:r>
      <w:r w:rsidRPr="00424C97">
        <w:rPr>
          <w:i/>
        </w:rPr>
        <w:t xml:space="preserve">, quod impossibile est ut numerus et superficies et linea </w:t>
      </w:r>
      <w:r>
        <w:rPr>
          <w:i/>
        </w:rPr>
        <w:t>h</w:t>
      </w:r>
      <w:r>
        <w:rPr>
          <w:i/>
          <w:lang w:val="cs-CZ"/>
        </w:rPr>
        <w:t>a</w:t>
      </w:r>
      <w:r w:rsidRPr="00424C97">
        <w:rPr>
          <w:i/>
        </w:rPr>
        <w:t xml:space="preserve">beant unum </w:t>
      </w:r>
      <w:r>
        <w:rPr>
          <w:i/>
        </w:rPr>
        <w:t>genus</w:t>
      </w:r>
      <w:r w:rsidRPr="00424C97">
        <w:rPr>
          <w:i/>
        </w:rPr>
        <w:t xml:space="preserve"> commune nisi aequivoce, verbi gratia quantitatem. Manifestum est enim quod hoc nomen quantitas dicitur de eis aequivoce,</w:t>
      </w:r>
      <w:r>
        <w:rPr>
          <w:i/>
          <w:lang w:val="cs-CZ"/>
        </w:rPr>
        <w:t xml:space="preserve"> </w:t>
      </w:r>
      <w:r w:rsidRPr="00424C97">
        <w:rPr>
          <w:i/>
        </w:rPr>
        <w:t>et ideo artes doctrinales consider antes de eis non sunt unum sed plures</w:t>
      </w:r>
      <w:r w:rsidRPr="00424C97">
        <w:t>.</w:t>
      </w:r>
      <w:r w:rsidRPr="00424C97">
        <w:rPr>
          <w:lang w:val="cs-CZ"/>
        </w:rPr>
        <w:t>“</w:t>
      </w:r>
      <w:r>
        <w:rPr>
          <w:lang w:val="cs-CZ"/>
        </w:rPr>
        <w:t xml:space="preserve"> </w:t>
      </w:r>
      <w:r>
        <w:t>(</w:t>
      </w:r>
      <w:r w:rsidRPr="000407B3">
        <w:rPr>
          <w:i/>
        </w:rPr>
        <w:t>De ortu scientiarum</w:t>
      </w:r>
      <w:r>
        <w:t xml:space="preserve"> 24.168</w:t>
      </w:r>
      <w:r>
        <w:rPr>
          <w:lang w:val="cs-CZ"/>
        </w:rPr>
        <w:t>;</w:t>
      </w:r>
      <w:r>
        <w:t xml:space="preserve"> ed. Judy</w:t>
      </w:r>
      <w:r>
        <w:rPr>
          <w:szCs w:val="22"/>
        </w:rPr>
        <w:t>,</w:t>
      </w:r>
      <w:r>
        <w:rPr>
          <w:szCs w:val="22"/>
          <w:lang w:val="cs-CZ"/>
        </w:rPr>
        <w:t xml:space="preserve"> </w:t>
      </w:r>
      <w:r>
        <w:t>p</w:t>
      </w:r>
      <w:r>
        <w:rPr>
          <w:lang w:val="cs-CZ"/>
        </w:rPr>
        <w:t>p</w:t>
      </w:r>
      <w:r>
        <w:t>. 65.32‒</w:t>
      </w:r>
      <w:r>
        <w:rPr>
          <w:lang w:val="cs-CZ"/>
        </w:rPr>
        <w:t>66.5</w:t>
      </w:r>
      <w:r>
        <w:fldChar w:fldCharType="begin"/>
      </w:r>
      <w:r>
        <w:instrText xml:space="preserve"> XE "</w:instrText>
      </w:r>
      <w:r>
        <w:rPr>
          <w:lang w:val="cs-CZ"/>
        </w:rPr>
        <w:instrText>Kilwardby:</w:instrText>
      </w:r>
      <w:r w:rsidRPr="004B71E5">
        <w:rPr>
          <w:i/>
        </w:rPr>
        <w:instrText>De ortu scientiarum</w:instrText>
      </w:r>
      <w:r w:rsidRPr="004B71E5">
        <w:instrText xml:space="preserve"> </w:instrText>
      </w:r>
      <w:r>
        <w:instrText>65.32‒</w:instrText>
      </w:r>
      <w:r>
        <w:rPr>
          <w:lang w:val="cs-CZ"/>
        </w:rPr>
        <w:instrText>66.5</w:instrText>
      </w:r>
      <w:r>
        <w:instrText xml:space="preserve">" </w:instrText>
      </w:r>
      <w:r>
        <w:fldChar w:fldCharType="end"/>
      </w:r>
      <w:r>
        <w:t>)</w:t>
      </w:r>
    </w:p>
  </w:footnote>
  <w:footnote w:id="496">
    <w:p w14:paraId="2DF4937E" w14:textId="77777777" w:rsidR="00CD2817" w:rsidRPr="007B6394" w:rsidRDefault="00CD2817">
      <w:pPr>
        <w:pStyle w:val="Textpoznpodarou"/>
        <w:rPr>
          <w:lang w:val="cs-CZ"/>
        </w:rPr>
      </w:pPr>
      <w:r>
        <w:rPr>
          <w:rStyle w:val="Znakapoznpodarou"/>
        </w:rPr>
        <w:footnoteRef/>
      </w:r>
      <w:r>
        <w:t xml:space="preserve"> „</w:t>
      </w:r>
      <w:r>
        <w:rPr>
          <w:lang w:val="cs-CZ"/>
        </w:rPr>
        <w:t>E</w:t>
      </w:r>
      <w:r>
        <w:t>rravit Commentator ponens materiam primam omnium unam numero, vel quod non intendit aliquid positivum per hoc quod dicit unum numero, sed solum privativum, scilicet carentiam pluralitatis formarum individualium et indistinctionem formalem.“ (</w:t>
      </w:r>
      <w:r w:rsidRPr="000407B3">
        <w:rPr>
          <w:i/>
        </w:rPr>
        <w:t>De ortu scientiarum</w:t>
      </w:r>
      <w:r>
        <w:rPr>
          <w:lang w:val="cs-CZ"/>
        </w:rPr>
        <w:t>, cap. 30;</w:t>
      </w:r>
      <w:r>
        <w:rPr>
          <w:szCs w:val="22"/>
        </w:rPr>
        <w:t xml:space="preserve"> </w:t>
      </w:r>
      <w:r>
        <w:t>ed. Judy</w:t>
      </w:r>
      <w:r>
        <w:rPr>
          <w:szCs w:val="22"/>
        </w:rPr>
        <w:t xml:space="preserve">, </w:t>
      </w:r>
      <w:r w:rsidRPr="000407B3">
        <w:t xml:space="preserve">p. </w:t>
      </w:r>
      <w:r>
        <w:t>106</w:t>
      </w:r>
      <w:r w:rsidRPr="000407B3">
        <w:t>.</w:t>
      </w:r>
      <w:r>
        <w:t>14</w:t>
      </w:r>
      <w:r w:rsidRPr="000407B3">
        <w:t>‒</w:t>
      </w:r>
      <w:r>
        <w:t>18</w:t>
      </w:r>
      <w:r>
        <w:fldChar w:fldCharType="begin"/>
      </w:r>
      <w:r>
        <w:instrText xml:space="preserve"> XE "</w:instrText>
      </w:r>
      <w:r>
        <w:rPr>
          <w:lang w:val="cs-CZ"/>
        </w:rPr>
        <w:instrText>Kilwardby:</w:instrText>
      </w:r>
      <w:r w:rsidRPr="004B71E5">
        <w:rPr>
          <w:i/>
        </w:rPr>
        <w:instrText>De ortu scientiarum</w:instrText>
      </w:r>
      <w:r w:rsidRPr="004B71E5">
        <w:instrText xml:space="preserve"> </w:instrText>
      </w:r>
      <w:r>
        <w:rPr>
          <w:lang w:val="cs-CZ"/>
        </w:rPr>
        <w:instrText>106</w:instrText>
      </w:r>
      <w:r>
        <w:instrText>.</w:instrText>
      </w:r>
      <w:r>
        <w:rPr>
          <w:lang w:val="cs-CZ"/>
        </w:rPr>
        <w:instrText>14</w:instrText>
      </w:r>
      <w:r>
        <w:instrText>‒</w:instrText>
      </w:r>
      <w:r>
        <w:rPr>
          <w:lang w:val="cs-CZ"/>
        </w:rPr>
        <w:instrText>18</w:instrText>
      </w:r>
      <w:r>
        <w:instrText xml:space="preserve">" </w:instrText>
      </w:r>
      <w:r>
        <w:fldChar w:fldCharType="end"/>
      </w:r>
      <w:r>
        <w:t>)</w:t>
      </w:r>
    </w:p>
  </w:footnote>
  <w:footnote w:id="497">
    <w:p w14:paraId="1ACB252A" w14:textId="77777777" w:rsidR="00CD2817" w:rsidRPr="005B2D70" w:rsidRDefault="00CD2817">
      <w:pPr>
        <w:pStyle w:val="Textpoznpodarou"/>
        <w:rPr>
          <w:lang w:val="cs-CZ"/>
        </w:rPr>
      </w:pPr>
      <w:r>
        <w:rPr>
          <w:rStyle w:val="Znakapoznpodarou"/>
        </w:rPr>
        <w:footnoteRef/>
      </w:r>
      <w:r>
        <w:t xml:space="preserve"> </w:t>
      </w:r>
      <w:r w:rsidRPr="005B2D70">
        <w:rPr>
          <w:rFonts w:eastAsia="Times"/>
        </w:rPr>
        <w:t xml:space="preserve">„Quod autem est unum numero primo modo est res in potentia tantum et non in actu, et ideo formam quam in se recipit secundum quod huiusmodi non individuat. Et ideo forma universalis quae est res ens in potentia, ut dicit Averroes super XI Metaphysicae, suscipitur in materia prima una numero unitate essentiali tantum, manens universalis, et ita scientia nostra non est animae figmentum cum sit de universali.“ </w:t>
      </w:r>
      <w:r w:rsidRPr="005B2D70">
        <w:t>(</w:t>
      </w:r>
      <w:r w:rsidRPr="005B2D70">
        <w:rPr>
          <w:i/>
        </w:rPr>
        <w:t>De ortu scientiarum</w:t>
      </w:r>
      <w:r>
        <w:rPr>
          <w:lang w:val="cs-CZ"/>
        </w:rPr>
        <w:t xml:space="preserve"> 31</w:t>
      </w:r>
      <w:r>
        <w:t>.303</w:t>
      </w:r>
      <w:r>
        <w:rPr>
          <w:lang w:val="cs-CZ"/>
        </w:rPr>
        <w:t>;</w:t>
      </w:r>
      <w:r w:rsidRPr="005B2D70">
        <w:t xml:space="preserve"> </w:t>
      </w:r>
      <w:r>
        <w:t>ed. Judy</w:t>
      </w:r>
      <w:r>
        <w:rPr>
          <w:lang w:val="cs-CZ"/>
        </w:rPr>
        <w:t xml:space="preserve">, </w:t>
      </w:r>
      <w:r w:rsidRPr="005B2D70">
        <w:t>p. 110.6‒13</w:t>
      </w:r>
      <w:r>
        <w:fldChar w:fldCharType="begin"/>
      </w:r>
      <w:r>
        <w:instrText xml:space="preserve"> XE "</w:instrText>
      </w:r>
      <w:r>
        <w:rPr>
          <w:lang w:val="cs-CZ"/>
        </w:rPr>
        <w:instrText>Kilwardby:</w:instrText>
      </w:r>
      <w:r w:rsidRPr="000B7252">
        <w:rPr>
          <w:i/>
        </w:rPr>
        <w:instrText>De ortu scientiarum</w:instrText>
      </w:r>
      <w:r>
        <w:rPr>
          <w:lang w:val="cs-CZ"/>
        </w:rPr>
        <w:instrText xml:space="preserve"> </w:instrText>
      </w:r>
      <w:r w:rsidRPr="000B7252">
        <w:instrText>110.6‒13</w:instrText>
      </w:r>
      <w:r>
        <w:instrText xml:space="preserve">" </w:instrText>
      </w:r>
      <w:r>
        <w:fldChar w:fldCharType="end"/>
      </w:r>
      <w:r w:rsidRPr="005B2D70">
        <w:t>)</w:t>
      </w:r>
    </w:p>
  </w:footnote>
  <w:footnote w:id="498">
    <w:p w14:paraId="7E5D6E4E" w14:textId="77777777" w:rsidR="00CD2817" w:rsidRPr="00AD1AB8" w:rsidRDefault="00CD2817" w:rsidP="00AD1AB8">
      <w:pPr>
        <w:pStyle w:val="Textpoznpodarou"/>
        <w:rPr>
          <w:rFonts w:eastAsia="Times"/>
          <w:color w:val="000000"/>
          <w:sz w:val="21"/>
          <w:szCs w:val="17"/>
          <w:lang w:val="cs-CZ"/>
        </w:rPr>
      </w:pPr>
      <w:r>
        <w:rPr>
          <w:rStyle w:val="Znakapoznpodarou"/>
        </w:rPr>
        <w:footnoteRef/>
      </w:r>
      <w:r>
        <w:t xml:space="preserve"> </w:t>
      </w:r>
      <w:r w:rsidRPr="00684D7B">
        <w:rPr>
          <w:rStyle w:val="Zkladntext31dkovn0pt"/>
          <w:rFonts w:ascii="Calibri" w:eastAsia="Times" w:hAnsi="Calibri" w:cs="Times New Roman"/>
          <w:spacing w:val="0"/>
          <w:sz w:val="21"/>
        </w:rPr>
        <w:t>„</w:t>
      </w:r>
      <w:r w:rsidRPr="00AD1AB8">
        <w:t xml:space="preserve">Quia autem, ut dicit Averroes super III Metaphysicae </w:t>
      </w:r>
      <w:r w:rsidRPr="00AA6EB7">
        <w:rPr>
          <w:i/>
        </w:rPr>
        <w:t>illud quod disponitur per bonum est causa finalis</w:t>
      </w:r>
      <w:r w:rsidRPr="00AD1AB8">
        <w:t xml:space="preserve">, ideo ordo scientiarum penes fines attendendus est penes bonitatem finium. </w:t>
      </w:r>
      <w:r w:rsidRPr="00AD1AB8">
        <w:rPr>
          <w:rStyle w:val="Zkladntext31dkovn0pt"/>
          <w:rFonts w:ascii="Calibri" w:eastAsia="Times" w:hAnsi="Calibri" w:cs="Times New Roman"/>
          <w:color w:val="auto"/>
          <w:spacing w:val="0"/>
          <w:sz w:val="20"/>
        </w:rPr>
        <w:t xml:space="preserve">In ipsis autem speculativis tanto melior est veritas quae intenditur quanto ipsa certior est et de certiori; certior autem est veritas et de certiori quae cum sit certa est de simpliciori et priori et abstractiori, et ideo speculativae in ordine finium servant ordinem subiectorum, de quo supra dictum est.“ </w:t>
      </w:r>
      <w:r w:rsidRPr="00AD1AB8">
        <w:t>(</w:t>
      </w:r>
      <w:r w:rsidRPr="00AA6EB7">
        <w:rPr>
          <w:i/>
        </w:rPr>
        <w:t>De ortu scientiarum</w:t>
      </w:r>
      <w:r>
        <w:rPr>
          <w:lang w:val="cs-CZ"/>
        </w:rPr>
        <w:t xml:space="preserve">, cap. </w:t>
      </w:r>
      <w:r w:rsidRPr="00AD1AB8">
        <w:t>63</w:t>
      </w:r>
      <w:r>
        <w:rPr>
          <w:lang w:val="cs-CZ"/>
        </w:rPr>
        <w:t>;</w:t>
      </w:r>
      <w:r w:rsidRPr="00AD1AB8">
        <w:t xml:space="preserve"> ed. Judy, p. 217.14‒1</w:t>
      </w:r>
      <w:r>
        <w:rPr>
          <w:lang w:val="cs-CZ"/>
        </w:rPr>
        <w:t>8</w:t>
      </w:r>
      <w:r>
        <w:fldChar w:fldCharType="begin"/>
      </w:r>
      <w:r>
        <w:instrText xml:space="preserve"> XE "</w:instrText>
      </w:r>
      <w:r>
        <w:rPr>
          <w:lang w:val="cs-CZ"/>
        </w:rPr>
        <w:instrText>Kilwardby:</w:instrText>
      </w:r>
      <w:r w:rsidRPr="000B7252">
        <w:rPr>
          <w:i/>
        </w:rPr>
        <w:instrText>De ortu scientiarum</w:instrText>
      </w:r>
      <w:r>
        <w:rPr>
          <w:lang w:val="cs-CZ"/>
        </w:rPr>
        <w:instrText xml:space="preserve"> 217</w:instrText>
      </w:r>
      <w:r>
        <w:instrText>.</w:instrText>
      </w:r>
      <w:r>
        <w:rPr>
          <w:lang w:val="cs-CZ"/>
        </w:rPr>
        <w:instrText>14</w:instrText>
      </w:r>
      <w:r>
        <w:instrText>‒1</w:instrText>
      </w:r>
      <w:r>
        <w:rPr>
          <w:lang w:val="cs-CZ"/>
        </w:rPr>
        <w:instrText>8</w:instrText>
      </w:r>
      <w:r>
        <w:instrText xml:space="preserve">" </w:instrText>
      </w:r>
      <w:r>
        <w:fldChar w:fldCharType="end"/>
      </w:r>
      <w:r w:rsidRPr="00AD1AB8">
        <w:t>)</w:t>
      </w:r>
    </w:p>
  </w:footnote>
  <w:footnote w:id="499">
    <w:p w14:paraId="615DB36D" w14:textId="77777777" w:rsidR="00CD2817" w:rsidRPr="005D4C40" w:rsidRDefault="00CD2817" w:rsidP="009B4486">
      <w:pPr>
        <w:pStyle w:val="Textpoznpodarou"/>
        <w:rPr>
          <w:lang w:val="cs-CZ"/>
        </w:rPr>
      </w:pPr>
      <w:r>
        <w:rPr>
          <w:rStyle w:val="Znakapoznpodarou"/>
        </w:rPr>
        <w:footnoteRef/>
      </w:r>
      <w:r>
        <w:t xml:space="preserve"> </w:t>
      </w:r>
      <w:r>
        <w:rPr>
          <w:szCs w:val="29"/>
        </w:rPr>
        <w:t>„</w:t>
      </w:r>
      <w:r w:rsidRPr="001D4071">
        <w:rPr>
          <w:szCs w:val="29"/>
        </w:rPr>
        <w:t xml:space="preserve">Ad </w:t>
      </w:r>
      <w:r w:rsidRPr="001D4071">
        <w:t xml:space="preserve">tertiam </w:t>
      </w:r>
      <w:r w:rsidRPr="001D4071">
        <w:rPr>
          <w:szCs w:val="21"/>
        </w:rPr>
        <w:t xml:space="preserve">dicendum, </w:t>
      </w:r>
      <w:r w:rsidRPr="001D4071">
        <w:rPr>
          <w:szCs w:val="24"/>
        </w:rPr>
        <w:t>quod</w:t>
      </w:r>
      <w:r>
        <w:rPr>
          <w:szCs w:val="24"/>
        </w:rPr>
        <w:t xml:space="preserve"> </w:t>
      </w:r>
      <w:r w:rsidRPr="001D4071">
        <w:rPr>
          <w:szCs w:val="21"/>
        </w:rPr>
        <w:t xml:space="preserve">de </w:t>
      </w:r>
      <w:r w:rsidRPr="001D4071">
        <w:t xml:space="preserve">quantitate </w:t>
      </w:r>
      <w:r w:rsidRPr="001D4071">
        <w:rPr>
          <w:szCs w:val="23"/>
        </w:rPr>
        <w:t xml:space="preserve">non </w:t>
      </w:r>
      <w:r w:rsidRPr="001D4071">
        <w:rPr>
          <w:szCs w:val="17"/>
        </w:rPr>
        <w:t xml:space="preserve">est </w:t>
      </w:r>
      <w:r w:rsidRPr="001D4071">
        <w:rPr>
          <w:szCs w:val="22"/>
        </w:rPr>
        <w:t xml:space="preserve">una </w:t>
      </w:r>
      <w:r w:rsidRPr="001D4071">
        <w:rPr>
          <w:szCs w:val="16"/>
        </w:rPr>
        <w:t xml:space="preserve">scientia, </w:t>
      </w:r>
      <w:r w:rsidRPr="001D4071">
        <w:rPr>
          <w:szCs w:val="23"/>
        </w:rPr>
        <w:t xml:space="preserve">tamen </w:t>
      </w:r>
      <w:r w:rsidRPr="001D4071">
        <w:rPr>
          <w:szCs w:val="21"/>
        </w:rPr>
        <w:t xml:space="preserve">de </w:t>
      </w:r>
      <w:r w:rsidRPr="001D4071">
        <w:t xml:space="preserve">ente </w:t>
      </w:r>
      <w:r w:rsidRPr="001D4071">
        <w:rPr>
          <w:szCs w:val="17"/>
        </w:rPr>
        <w:t xml:space="preserve">est </w:t>
      </w:r>
      <w:r w:rsidRPr="001D4071">
        <w:rPr>
          <w:szCs w:val="23"/>
        </w:rPr>
        <w:t>una</w:t>
      </w:r>
      <w:r>
        <w:rPr>
          <w:szCs w:val="23"/>
        </w:rPr>
        <w:t xml:space="preserve"> </w:t>
      </w:r>
      <w:r w:rsidRPr="001D4071">
        <w:rPr>
          <w:szCs w:val="17"/>
        </w:rPr>
        <w:t xml:space="preserve">scientia, </w:t>
      </w:r>
      <w:r w:rsidRPr="001D4071">
        <w:rPr>
          <w:szCs w:val="16"/>
        </w:rPr>
        <w:t xml:space="preserve">et </w:t>
      </w:r>
      <w:r w:rsidRPr="001D4071">
        <w:t xml:space="preserve">hujus </w:t>
      </w:r>
      <w:r w:rsidRPr="001D4071">
        <w:rPr>
          <w:szCs w:val="17"/>
        </w:rPr>
        <w:t xml:space="preserve">ratio est </w:t>
      </w:r>
      <w:r w:rsidRPr="001D4071">
        <w:t xml:space="preserve">quia quantitas </w:t>
      </w:r>
      <w:r w:rsidRPr="001D4071">
        <w:rPr>
          <w:szCs w:val="18"/>
        </w:rPr>
        <w:t xml:space="preserve">dividitur </w:t>
      </w:r>
      <w:r w:rsidRPr="001D4071">
        <w:rPr>
          <w:szCs w:val="21"/>
        </w:rPr>
        <w:t xml:space="preserve">per </w:t>
      </w:r>
      <w:r>
        <w:rPr>
          <w:szCs w:val="16"/>
        </w:rPr>
        <w:t xml:space="preserve">talia </w:t>
      </w:r>
      <w:r w:rsidRPr="001D4071">
        <w:rPr>
          <w:szCs w:val="25"/>
        </w:rPr>
        <w:t xml:space="preserve">quorum </w:t>
      </w:r>
      <w:r w:rsidRPr="001D4071">
        <w:rPr>
          <w:szCs w:val="26"/>
        </w:rPr>
        <w:t xml:space="preserve">unum </w:t>
      </w:r>
      <w:r w:rsidRPr="001D4071">
        <w:rPr>
          <w:szCs w:val="22"/>
        </w:rPr>
        <w:t xml:space="preserve">ad </w:t>
      </w:r>
      <w:r w:rsidRPr="001D4071">
        <w:t xml:space="preserve">alterum nec </w:t>
      </w:r>
      <w:r w:rsidRPr="001D4071">
        <w:rPr>
          <w:szCs w:val="17"/>
        </w:rPr>
        <w:t xml:space="preserve">essentialiter </w:t>
      </w:r>
      <w:r w:rsidRPr="001D4071">
        <w:t xml:space="preserve">nec </w:t>
      </w:r>
      <w:r w:rsidRPr="001D4071">
        <w:rPr>
          <w:szCs w:val="18"/>
        </w:rPr>
        <w:t>causaliter</w:t>
      </w:r>
      <w:r>
        <w:rPr>
          <w:szCs w:val="18"/>
        </w:rPr>
        <w:t xml:space="preserve"> </w:t>
      </w:r>
      <w:r>
        <w:t>reducitur</w:t>
      </w:r>
      <w:r w:rsidRPr="001D4071">
        <w:rPr>
          <w:szCs w:val="6"/>
        </w:rPr>
        <w:t xml:space="preserve">; </w:t>
      </w:r>
      <w:r>
        <w:rPr>
          <w:szCs w:val="17"/>
        </w:rPr>
        <w:t>sed</w:t>
      </w:r>
      <w:r w:rsidRPr="001D4071">
        <w:rPr>
          <w:szCs w:val="17"/>
        </w:rPr>
        <w:t xml:space="preserve"> </w:t>
      </w:r>
      <w:r w:rsidRPr="001D4071">
        <w:t xml:space="preserve">ens </w:t>
      </w:r>
      <w:r w:rsidRPr="001D4071">
        <w:rPr>
          <w:szCs w:val="18"/>
        </w:rPr>
        <w:t xml:space="preserve">dividitur </w:t>
      </w:r>
      <w:r w:rsidRPr="001D4071">
        <w:rPr>
          <w:szCs w:val="21"/>
        </w:rPr>
        <w:t xml:space="preserve">per </w:t>
      </w:r>
      <w:r w:rsidRPr="001D4071">
        <w:t xml:space="preserve">ea </w:t>
      </w:r>
      <w:r w:rsidRPr="001D4071">
        <w:rPr>
          <w:szCs w:val="24"/>
        </w:rPr>
        <w:t xml:space="preserve">quorum </w:t>
      </w:r>
      <w:r w:rsidRPr="001D4071">
        <w:rPr>
          <w:szCs w:val="26"/>
        </w:rPr>
        <w:t xml:space="preserve">unum </w:t>
      </w:r>
      <w:r w:rsidRPr="001D4071">
        <w:rPr>
          <w:szCs w:val="22"/>
        </w:rPr>
        <w:t>ad</w:t>
      </w:r>
      <w:r>
        <w:rPr>
          <w:szCs w:val="22"/>
        </w:rPr>
        <w:t xml:space="preserve"> </w:t>
      </w:r>
      <w:r w:rsidRPr="001D4071">
        <w:t xml:space="preserve">alterum, </w:t>
      </w:r>
      <w:r w:rsidRPr="001D4071">
        <w:rPr>
          <w:szCs w:val="17"/>
        </w:rPr>
        <w:t xml:space="preserve">et </w:t>
      </w:r>
      <w:r w:rsidRPr="001D4071">
        <w:rPr>
          <w:szCs w:val="13"/>
        </w:rPr>
        <w:t xml:space="preserve">si </w:t>
      </w:r>
      <w:r w:rsidRPr="001D4071">
        <w:rPr>
          <w:szCs w:val="22"/>
        </w:rPr>
        <w:t xml:space="preserve">non </w:t>
      </w:r>
      <w:r w:rsidRPr="001D4071">
        <w:rPr>
          <w:szCs w:val="16"/>
        </w:rPr>
        <w:t xml:space="preserve">essentialiter, </w:t>
      </w:r>
      <w:r w:rsidRPr="001D4071">
        <w:rPr>
          <w:szCs w:val="22"/>
        </w:rPr>
        <w:t xml:space="preserve">tamen </w:t>
      </w:r>
      <w:r w:rsidRPr="001D4071">
        <w:rPr>
          <w:szCs w:val="17"/>
        </w:rPr>
        <w:t xml:space="preserve">causaliter, </w:t>
      </w:r>
      <w:r w:rsidRPr="001D4071">
        <w:t>reducitur</w:t>
      </w:r>
      <w:r>
        <w:t xml:space="preserve"> </w:t>
      </w:r>
      <w:r w:rsidRPr="001D4071">
        <w:t xml:space="preserve">ut accidens </w:t>
      </w:r>
      <w:r w:rsidRPr="001D4071">
        <w:rPr>
          <w:szCs w:val="22"/>
        </w:rPr>
        <w:t xml:space="preserve">ad </w:t>
      </w:r>
      <w:r w:rsidRPr="001D4071">
        <w:t>substantiam.</w:t>
      </w:r>
      <w:r>
        <w:t>“</w:t>
      </w:r>
      <w:r>
        <w:rPr>
          <w:szCs w:val="14"/>
        </w:rPr>
        <w:t xml:space="preserve"> (</w:t>
      </w:r>
      <w:r>
        <w:rPr>
          <w:i/>
        </w:rPr>
        <w:t>Quaestiones</w:t>
      </w:r>
      <w:r w:rsidRPr="00C91D0D">
        <w:rPr>
          <w:i/>
        </w:rPr>
        <w:t xml:space="preserve"> </w:t>
      </w:r>
      <w:r w:rsidRPr="00C91D0D">
        <w:rPr>
          <w:bCs/>
          <w:i/>
        </w:rPr>
        <w:t>altere supra libros prime philosophie Aristotelis</w:t>
      </w:r>
      <w:r>
        <w:rPr>
          <w:i/>
          <w:szCs w:val="35"/>
        </w:rPr>
        <w:t xml:space="preserve"> IV</w:t>
      </w:r>
      <w:r>
        <w:rPr>
          <w:szCs w:val="35"/>
          <w:lang w:val="cs-CZ"/>
        </w:rPr>
        <w:t xml:space="preserve">; </w:t>
      </w:r>
      <w:r>
        <w:rPr>
          <w:szCs w:val="31"/>
        </w:rPr>
        <w:t>ed. Steele</w:t>
      </w:r>
      <w:r w:rsidRPr="08423348">
        <w:rPr>
          <w:szCs w:val="31"/>
        </w:rPr>
        <w:t xml:space="preserve">, </w:t>
      </w:r>
      <w:r w:rsidRPr="08423348">
        <w:rPr>
          <w:szCs w:val="35"/>
        </w:rPr>
        <w:t>OHI</w:t>
      </w:r>
      <w:r>
        <w:rPr>
          <w:szCs w:val="35"/>
        </w:rPr>
        <w:t xml:space="preserve"> 11</w:t>
      </w:r>
      <w:r w:rsidRPr="08423348">
        <w:rPr>
          <w:szCs w:val="35"/>
        </w:rPr>
        <w:t>,</w:t>
      </w:r>
      <w:r>
        <w:rPr>
          <w:szCs w:val="35"/>
          <w:lang w:val="cs-CZ"/>
        </w:rPr>
        <w:t xml:space="preserve"> </w:t>
      </w:r>
      <w:r>
        <w:rPr>
          <w:szCs w:val="14"/>
        </w:rPr>
        <w:t>90.13‒19</w:t>
      </w:r>
      <w:r>
        <w:fldChar w:fldCharType="begin"/>
      </w:r>
      <w:r>
        <w:instrText xml:space="preserve"> XE "</w:instrText>
      </w:r>
      <w:r>
        <w:rPr>
          <w:lang w:val="cs-CZ"/>
        </w:rPr>
        <w:instrText>Bacon:</w:instrText>
      </w:r>
      <w:r>
        <w:rPr>
          <w:i/>
        </w:rPr>
        <w:instrText>Quaestiones</w:instrText>
      </w:r>
      <w:r w:rsidRPr="00C91D0D">
        <w:rPr>
          <w:i/>
        </w:rPr>
        <w:instrText xml:space="preserve"> </w:instrText>
      </w:r>
      <w:r w:rsidRPr="00C91D0D">
        <w:rPr>
          <w:bCs/>
          <w:i/>
        </w:rPr>
        <w:instrText>altere</w:instrText>
      </w:r>
      <w:r>
        <w:rPr>
          <w:bCs/>
          <w:i/>
        </w:rPr>
        <w:instrText xml:space="preserve"> supra Met. I</w:instrText>
      </w:r>
      <w:r>
        <w:rPr>
          <w:bCs/>
          <w:i/>
          <w:lang w:val="cs-CZ"/>
        </w:rPr>
        <w:instrText>V</w:instrText>
      </w:r>
      <w:r>
        <w:rPr>
          <w:i/>
          <w:lang w:val="cs-CZ"/>
        </w:rPr>
        <w:instrText xml:space="preserve"> </w:instrText>
      </w:r>
      <w:r>
        <w:rPr>
          <w:szCs w:val="14"/>
          <w:lang w:val="cs-CZ"/>
        </w:rPr>
        <w:instrText>90</w:instrText>
      </w:r>
      <w:r>
        <w:rPr>
          <w:szCs w:val="14"/>
        </w:rPr>
        <w:instrText>.1</w:instrText>
      </w:r>
      <w:r>
        <w:rPr>
          <w:szCs w:val="14"/>
          <w:lang w:val="cs-CZ"/>
        </w:rPr>
        <w:instrText>3</w:instrText>
      </w:r>
      <w:r>
        <w:rPr>
          <w:szCs w:val="14"/>
        </w:rPr>
        <w:instrText>‒1</w:instrText>
      </w:r>
      <w:r>
        <w:rPr>
          <w:szCs w:val="14"/>
          <w:lang w:val="cs-CZ"/>
        </w:rPr>
        <w:instrText>9</w:instrText>
      </w:r>
      <w:r>
        <w:instrText xml:space="preserve">" </w:instrText>
      </w:r>
      <w:r>
        <w:fldChar w:fldCharType="end"/>
      </w:r>
      <w:r>
        <w:rPr>
          <w:szCs w:val="14"/>
        </w:rPr>
        <w:t>)</w:t>
      </w:r>
    </w:p>
  </w:footnote>
  <w:footnote w:id="500">
    <w:p w14:paraId="62B937A2" w14:textId="77777777" w:rsidR="00CD2817" w:rsidRPr="004110EB" w:rsidRDefault="00CD2817" w:rsidP="009B4486">
      <w:pPr>
        <w:pStyle w:val="Textpoznpodarou"/>
        <w:rPr>
          <w:lang w:val="cs-CZ"/>
        </w:rPr>
      </w:pPr>
      <w:r>
        <w:rPr>
          <w:rStyle w:val="Znakapoznpodarou"/>
        </w:rPr>
        <w:footnoteRef/>
      </w:r>
      <w:r>
        <w:t xml:space="preserve"> </w:t>
      </w:r>
      <w:r>
        <w:rPr>
          <w:szCs w:val="17"/>
        </w:rPr>
        <w:t>„</w:t>
      </w:r>
      <w:r w:rsidRPr="00071EF2">
        <w:rPr>
          <w:szCs w:val="17"/>
        </w:rPr>
        <w:t xml:space="preserve">Item </w:t>
      </w:r>
      <w:r w:rsidRPr="00071EF2">
        <w:t xml:space="preserve">ad hoc </w:t>
      </w:r>
      <w:r w:rsidRPr="00071EF2">
        <w:rPr>
          <w:szCs w:val="15"/>
        </w:rPr>
        <w:t xml:space="preserve">insaniunt contra veritatem </w:t>
      </w:r>
      <w:r w:rsidRPr="00071EF2">
        <w:rPr>
          <w:szCs w:val="14"/>
        </w:rPr>
        <w:t xml:space="preserve">dicentes </w:t>
      </w:r>
      <w:r w:rsidRPr="00071EF2">
        <w:rPr>
          <w:szCs w:val="18"/>
        </w:rPr>
        <w:t xml:space="preserve">quod </w:t>
      </w:r>
      <w:r w:rsidRPr="00071EF2">
        <w:rPr>
          <w:szCs w:val="15"/>
        </w:rPr>
        <w:t>ens</w:t>
      </w:r>
      <w:r>
        <w:rPr>
          <w:szCs w:val="15"/>
        </w:rPr>
        <w:t xml:space="preserve"> </w:t>
      </w:r>
      <w:r w:rsidRPr="00071EF2">
        <w:rPr>
          <w:szCs w:val="15"/>
        </w:rPr>
        <w:t xml:space="preserve">per </w:t>
      </w:r>
      <w:r w:rsidRPr="00071EF2">
        <w:t xml:space="preserve">quantumlibet </w:t>
      </w:r>
      <w:r w:rsidRPr="00071EF2">
        <w:rPr>
          <w:szCs w:val="13"/>
        </w:rPr>
        <w:t xml:space="preserve">significet </w:t>
      </w:r>
      <w:r w:rsidRPr="00071EF2">
        <w:rPr>
          <w:szCs w:val="14"/>
        </w:rPr>
        <w:t xml:space="preserve">esse </w:t>
      </w:r>
      <w:r w:rsidRPr="00071EF2">
        <w:rPr>
          <w:szCs w:val="15"/>
        </w:rPr>
        <w:t xml:space="preserve">presens </w:t>
      </w:r>
      <w:r w:rsidRPr="00071EF2">
        <w:rPr>
          <w:szCs w:val="13"/>
        </w:rPr>
        <w:t xml:space="preserve">et </w:t>
      </w:r>
      <w:r w:rsidRPr="00071EF2">
        <w:rPr>
          <w:szCs w:val="14"/>
        </w:rPr>
        <w:t xml:space="preserve">esse actuale </w:t>
      </w:r>
      <w:r w:rsidRPr="00071EF2">
        <w:rPr>
          <w:szCs w:val="13"/>
        </w:rPr>
        <w:t xml:space="preserve">in </w:t>
      </w:r>
      <w:r w:rsidRPr="00071EF2">
        <w:rPr>
          <w:szCs w:val="14"/>
        </w:rPr>
        <w:t>pre</w:t>
      </w:r>
      <w:r w:rsidRPr="00071EF2">
        <w:rPr>
          <w:szCs w:val="12"/>
        </w:rPr>
        <w:t>terito,</w:t>
      </w:r>
      <w:r>
        <w:rPr>
          <w:szCs w:val="12"/>
        </w:rPr>
        <w:t xml:space="preserve"> </w:t>
      </w:r>
      <w:r w:rsidRPr="00071EF2">
        <w:rPr>
          <w:szCs w:val="18"/>
        </w:rPr>
        <w:t xml:space="preserve">tamen </w:t>
      </w:r>
      <w:r w:rsidRPr="00071EF2">
        <w:rPr>
          <w:szCs w:val="15"/>
        </w:rPr>
        <w:t xml:space="preserve">ens </w:t>
      </w:r>
      <w:r w:rsidRPr="00071EF2">
        <w:rPr>
          <w:szCs w:val="19"/>
        </w:rPr>
        <w:t xml:space="preserve">nomen </w:t>
      </w:r>
      <w:r w:rsidRPr="00071EF2">
        <w:rPr>
          <w:szCs w:val="13"/>
        </w:rPr>
        <w:t xml:space="preserve">significat </w:t>
      </w:r>
      <w:r w:rsidRPr="00071EF2">
        <w:rPr>
          <w:szCs w:val="14"/>
        </w:rPr>
        <w:t xml:space="preserve">abstracte </w:t>
      </w:r>
      <w:r w:rsidRPr="00071EF2">
        <w:t xml:space="preserve">ab </w:t>
      </w:r>
      <w:r w:rsidRPr="00071EF2">
        <w:rPr>
          <w:szCs w:val="14"/>
        </w:rPr>
        <w:t xml:space="preserve">esse </w:t>
      </w:r>
      <w:r w:rsidRPr="00071EF2">
        <w:rPr>
          <w:szCs w:val="13"/>
        </w:rPr>
        <w:t>actuali et</w:t>
      </w:r>
      <w:r>
        <w:rPr>
          <w:szCs w:val="13"/>
        </w:rPr>
        <w:t xml:space="preserve"> </w:t>
      </w:r>
      <w:r w:rsidRPr="00071EF2">
        <w:t xml:space="preserve">cum </w:t>
      </w:r>
      <w:r w:rsidRPr="00071EF2">
        <w:rPr>
          <w:szCs w:val="17"/>
        </w:rPr>
        <w:t xml:space="preserve">communitate </w:t>
      </w:r>
      <w:r w:rsidRPr="00071EF2">
        <w:rPr>
          <w:szCs w:val="19"/>
        </w:rPr>
        <w:t xml:space="preserve">quadam </w:t>
      </w:r>
      <w:r w:rsidRPr="00071EF2">
        <w:rPr>
          <w:szCs w:val="17"/>
        </w:rPr>
        <w:t xml:space="preserve">ad </w:t>
      </w:r>
      <w:r w:rsidRPr="00071EF2">
        <w:rPr>
          <w:szCs w:val="15"/>
        </w:rPr>
        <w:t xml:space="preserve">ens </w:t>
      </w:r>
      <w:r w:rsidRPr="00071EF2">
        <w:rPr>
          <w:szCs w:val="14"/>
        </w:rPr>
        <w:t xml:space="preserve">et </w:t>
      </w:r>
      <w:r w:rsidRPr="00071EF2">
        <w:rPr>
          <w:szCs w:val="18"/>
        </w:rPr>
        <w:t xml:space="preserve">non </w:t>
      </w:r>
      <w:r w:rsidRPr="00071EF2">
        <w:rPr>
          <w:szCs w:val="15"/>
        </w:rPr>
        <w:t xml:space="preserve">ens </w:t>
      </w:r>
      <w:r w:rsidRPr="00071EF2">
        <w:rPr>
          <w:szCs w:val="14"/>
        </w:rPr>
        <w:t>actu.</w:t>
      </w:r>
      <w:r>
        <w:rPr>
          <w:szCs w:val="14"/>
        </w:rPr>
        <w:t>“ (</w:t>
      </w:r>
      <w:r w:rsidRPr="00844D7E">
        <w:rPr>
          <w:i/>
        </w:rPr>
        <w:t>Compendium studii theologiae</w:t>
      </w:r>
      <w:r>
        <w:t>, pars II, cap. IV</w:t>
      </w:r>
      <w:r>
        <w:rPr>
          <w:lang w:val="cs-CZ"/>
        </w:rPr>
        <w:t xml:space="preserve">; </w:t>
      </w:r>
      <w:r w:rsidRPr="00817A1F">
        <w:t xml:space="preserve">ed. Rashdall, </w:t>
      </w:r>
      <w:r>
        <w:t>p. 56</w:t>
      </w:r>
      <w:r>
        <w:fldChar w:fldCharType="begin"/>
      </w:r>
      <w:r>
        <w:instrText xml:space="preserve"> XE "</w:instrText>
      </w:r>
      <w:r>
        <w:rPr>
          <w:lang w:val="cs-CZ"/>
        </w:rPr>
        <w:instrText>Bacon:</w:instrText>
      </w:r>
      <w:r w:rsidRPr="00AE0079">
        <w:rPr>
          <w:i/>
        </w:rPr>
        <w:instrText>Compendium studii theologiae</w:instrText>
      </w:r>
      <w:r w:rsidRPr="00AE0079">
        <w:instrText xml:space="preserve"> 56</w:instrText>
      </w:r>
      <w:r>
        <w:instrText xml:space="preserve">" </w:instrText>
      </w:r>
      <w:r>
        <w:fldChar w:fldCharType="end"/>
      </w:r>
      <w:r>
        <w:t>)</w:t>
      </w:r>
    </w:p>
  </w:footnote>
  <w:footnote w:id="501">
    <w:p w14:paraId="7698364A" w14:textId="77777777" w:rsidR="00CD2817" w:rsidRPr="001821D3" w:rsidRDefault="00CD2817" w:rsidP="00F2264B">
      <w:pPr>
        <w:pStyle w:val="Textpoznpodarou"/>
        <w:rPr>
          <w:lang w:val="cs-CZ"/>
        </w:rPr>
      </w:pPr>
      <w:r>
        <w:rPr>
          <w:rStyle w:val="Znakapoznpodarou"/>
        </w:rPr>
        <w:footnoteRef/>
      </w:r>
      <w:r>
        <w:t xml:space="preserve"> </w:t>
      </w:r>
      <w:r>
        <w:rPr>
          <w:lang w:val="cs-CZ"/>
        </w:rPr>
        <w:t>„H</w:t>
      </w:r>
      <w:r>
        <w:t>ec est vera «</w:t>
      </w:r>
      <w:r w:rsidRPr="00730614">
        <w:t>omnis homo de necessitate est animal» et illa</w:t>
      </w:r>
      <w:r>
        <w:t xml:space="preserve"> «homo est animal</w:t>
      </w:r>
      <w:r w:rsidRPr="00730614">
        <w:t>» nullo homine existente, sicut ostendebat quaedam ratio,</w:t>
      </w:r>
      <w:r>
        <w:t xml:space="preserve"> </w:t>
      </w:r>
      <w:r w:rsidRPr="00730614">
        <w:t>quoniam ad veritatem propositionis in naturali materia non exigitur existentia</w:t>
      </w:r>
      <w:r>
        <w:t xml:space="preserve"> </w:t>
      </w:r>
      <w:r w:rsidRPr="00730614">
        <w:t>extremorum actu.</w:t>
      </w:r>
      <w:r>
        <w:t>“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lang w:val="cs-CZ"/>
        </w:rPr>
        <w:instrText xml:space="preserve"> </w:instrText>
      </w:r>
      <w:r>
        <w:rPr>
          <w:szCs w:val="18"/>
          <w:lang w:val="cs-CZ"/>
        </w:rPr>
        <w:instrText>fol. 9rb</w:instrText>
      </w:r>
      <w:r>
        <w:instrText xml:space="preserve">" </w:instrText>
      </w:r>
      <w:r>
        <w:rPr>
          <w:i/>
          <w:szCs w:val="18"/>
        </w:rPr>
        <w:fldChar w:fldCharType="end"/>
      </w:r>
      <w:r w:rsidRPr="00422055">
        <w:rPr>
          <w:szCs w:val="18"/>
        </w:rPr>
        <w:t xml:space="preserve">, </w:t>
      </w:r>
      <w:r>
        <w:rPr>
          <w:szCs w:val="18"/>
          <w:lang w:val="cs-CZ"/>
        </w:rPr>
        <w:t xml:space="preserve">fol. 9rb, ed. </w:t>
      </w:r>
      <w:r>
        <w:t>Libera</w:t>
      </w:r>
      <w:r>
        <w:rPr>
          <w:lang w:val="cs-CZ"/>
        </w:rPr>
        <w:t xml:space="preserve">, p. </w:t>
      </w:r>
      <w:r>
        <w:t>2</w:t>
      </w:r>
      <w:r>
        <w:rPr>
          <w:lang w:val="cs-CZ"/>
        </w:rPr>
        <w:t>3</w:t>
      </w:r>
      <w:r w:rsidRPr="00913539">
        <w:t>4</w:t>
      </w:r>
      <w:r>
        <w:t>)</w:t>
      </w:r>
    </w:p>
  </w:footnote>
  <w:footnote w:id="502">
    <w:p w14:paraId="48679910" w14:textId="77777777" w:rsidR="00CD2817" w:rsidRPr="0024277F" w:rsidRDefault="00CD2817" w:rsidP="002B0354">
      <w:pPr>
        <w:pStyle w:val="Textpoznpodarou"/>
      </w:pPr>
      <w:r>
        <w:rPr>
          <w:rStyle w:val="Znakapoznpodarou"/>
        </w:rPr>
        <w:footnoteRef/>
      </w:r>
      <w:r>
        <w:rPr>
          <w:szCs w:val="18"/>
          <w:lang w:val="cs-CZ"/>
        </w:rPr>
        <w:t xml:space="preserve"> </w:t>
      </w:r>
      <w:r>
        <w:rPr>
          <w:szCs w:val="18"/>
        </w:rPr>
        <w:t>„</w:t>
      </w:r>
      <w:r>
        <w:t>Haec propositio «omnis homo est animal» est vera, et semper erit vera, et semper fuit vera, semper enim fuit verum dicere «omnis homo est animal», et semper erit verum dicere; ergo est necessaria, et videtur ibi esse locus ab expositione huius vocabulum «necessarium».“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lang w:val="cs-CZ"/>
        </w:rPr>
        <w:instrText xml:space="preserve"> </w:instrText>
      </w:r>
      <w:r>
        <w:rPr>
          <w:szCs w:val="18"/>
          <w:lang w:val="cs-CZ"/>
        </w:rPr>
        <w:instrText>fol. 7vb</w:instrText>
      </w:r>
      <w:r>
        <w:instrText xml:space="preserve">" </w:instrText>
      </w:r>
      <w:r>
        <w:rPr>
          <w:i/>
          <w:szCs w:val="18"/>
        </w:rPr>
        <w:fldChar w:fldCharType="end"/>
      </w:r>
      <w:r w:rsidRPr="00422055">
        <w:rPr>
          <w:szCs w:val="18"/>
        </w:rPr>
        <w:t xml:space="preserve">, </w:t>
      </w:r>
      <w:r>
        <w:rPr>
          <w:szCs w:val="18"/>
          <w:lang w:val="cs-CZ"/>
        </w:rPr>
        <w:t>fol. 7vb;</w:t>
      </w:r>
      <w:r w:rsidRPr="00422055">
        <w:rPr>
          <w:szCs w:val="18"/>
        </w:rPr>
        <w:t xml:space="preserve"> </w:t>
      </w:r>
      <w:r>
        <w:rPr>
          <w:szCs w:val="18"/>
        </w:rPr>
        <w:t>ed. Libera</w:t>
      </w:r>
      <w:r>
        <w:rPr>
          <w:szCs w:val="18"/>
          <w:lang w:val="cs-CZ"/>
        </w:rPr>
        <w:t xml:space="preserve"> </w:t>
      </w:r>
      <w:r w:rsidRPr="00913539">
        <w:t>2002</w:t>
      </w:r>
      <w:r>
        <w:rPr>
          <w:lang w:val="cs-CZ"/>
        </w:rPr>
        <w:t xml:space="preserve">, </w:t>
      </w:r>
      <w:r>
        <w:rPr>
          <w:szCs w:val="18"/>
        </w:rPr>
        <w:t>219</w:t>
      </w:r>
      <w:r w:rsidRPr="00422055">
        <w:rPr>
          <w:szCs w:val="18"/>
        </w:rPr>
        <w:t>)</w:t>
      </w:r>
    </w:p>
  </w:footnote>
  <w:footnote w:id="503">
    <w:p w14:paraId="4967CF1B" w14:textId="10B3E094" w:rsidR="00CD2817" w:rsidRPr="009A2605" w:rsidRDefault="00CD2817" w:rsidP="08D34A2C">
      <w:pPr>
        <w:pStyle w:val="Textpoznpodarou"/>
        <w:rPr>
          <w:lang w:val="cs-CZ"/>
        </w:rPr>
      </w:pPr>
      <w:r>
        <w:rPr>
          <w:rStyle w:val="Znakapoznpodarou"/>
        </w:rPr>
        <w:footnoteRef/>
      </w:r>
      <w:r>
        <w:rPr>
          <w:lang w:val="cs-CZ"/>
        </w:rPr>
        <w:t xml:space="preserve"> „Roger Bacon, </w:t>
      </w:r>
      <w:r w:rsidRPr="009A2605">
        <w:rPr>
          <w:i/>
          <w:szCs w:val="16"/>
        </w:rPr>
        <w:t>Summulae dialectices</w:t>
      </w:r>
      <w:r>
        <w:rPr>
          <w:szCs w:val="16"/>
        </w:rPr>
        <w:t>, 3.1.4</w:t>
      </w:r>
      <w:r>
        <w:rPr>
          <w:szCs w:val="16"/>
        </w:rPr>
        <w:fldChar w:fldCharType="begin"/>
      </w:r>
      <w:r>
        <w:instrText xml:space="preserve"> XE "</w:instrText>
      </w:r>
      <w:r>
        <w:rPr>
          <w:lang w:val="cs-CZ"/>
        </w:rPr>
        <w:instrText>Bacon:</w:instrText>
      </w:r>
      <w:r w:rsidRPr="00182E99">
        <w:rPr>
          <w:i/>
          <w:szCs w:val="16"/>
        </w:rPr>
        <w:instrText>Summulae dialectices</w:instrText>
      </w:r>
      <w:r w:rsidRPr="00182E99">
        <w:rPr>
          <w:szCs w:val="16"/>
        </w:rPr>
        <w:instrText xml:space="preserve"> 3.1.4</w:instrText>
      </w:r>
      <w:r>
        <w:instrText xml:space="preserve">" </w:instrText>
      </w:r>
      <w:r>
        <w:rPr>
          <w:szCs w:val="16"/>
        </w:rPr>
        <w:fldChar w:fldCharType="end"/>
      </w:r>
      <w:r>
        <w:rPr>
          <w:szCs w:val="16"/>
        </w:rPr>
        <w:t>., §. 222‒</w:t>
      </w:r>
      <w:r w:rsidRPr="009A2605">
        <w:rPr>
          <w:szCs w:val="16"/>
        </w:rPr>
        <w:t xml:space="preserve">24 : « ad hoc dico quod </w:t>
      </w:r>
      <w:r w:rsidRPr="009A2605">
        <w:rPr>
          <w:i/>
          <w:szCs w:val="16"/>
        </w:rPr>
        <w:t>necessitas</w:t>
      </w:r>
      <w:r>
        <w:rPr>
          <w:szCs w:val="16"/>
          <w:lang w:val="cs-CZ"/>
        </w:rPr>
        <w:t xml:space="preserve"> </w:t>
      </w:r>
      <w:r w:rsidRPr="009A2605">
        <w:rPr>
          <w:szCs w:val="16"/>
        </w:rPr>
        <w:t xml:space="preserve">propositionis </w:t>
      </w:r>
      <w:r w:rsidRPr="009A2605">
        <w:rPr>
          <w:i/>
          <w:szCs w:val="16"/>
        </w:rPr>
        <w:t>non extenditur ultra existentiam subiecti</w:t>
      </w:r>
      <w:r w:rsidRPr="009A2605">
        <w:rPr>
          <w:szCs w:val="16"/>
        </w:rPr>
        <w:t xml:space="preserve"> » ; </w:t>
      </w:r>
      <w:r w:rsidRPr="009A2605">
        <w:rPr>
          <w:i/>
          <w:szCs w:val="16"/>
        </w:rPr>
        <w:t>contra</w:t>
      </w:r>
      <w:r w:rsidRPr="009A2605">
        <w:rPr>
          <w:szCs w:val="16"/>
        </w:rPr>
        <w:t>, R</w:t>
      </w:r>
      <w:r>
        <w:rPr>
          <w:szCs w:val="16"/>
          <w:lang w:val="cs-CZ"/>
        </w:rPr>
        <w:t xml:space="preserve">obert Kilwardby, </w:t>
      </w:r>
      <w:r w:rsidRPr="009A2605">
        <w:rPr>
          <w:szCs w:val="16"/>
        </w:rPr>
        <w:t>Syllabus [18</w:t>
      </w:r>
      <w:r>
        <w:rPr>
          <w:szCs w:val="16"/>
          <w:lang w:val="cs-CZ"/>
        </w:rPr>
        <w:t xml:space="preserve"> </w:t>
      </w:r>
      <w:r w:rsidRPr="009A2605">
        <w:rPr>
          <w:szCs w:val="16"/>
        </w:rPr>
        <w:t xml:space="preserve">mars 1277, Oxford]. </w:t>
      </w:r>
      <w:r w:rsidRPr="009A2605">
        <w:rPr>
          <w:i/>
          <w:szCs w:val="16"/>
        </w:rPr>
        <w:t>Errores in logicalibus</w:t>
      </w:r>
      <w:r w:rsidRPr="009A2605">
        <w:rPr>
          <w:szCs w:val="16"/>
        </w:rPr>
        <w:t xml:space="preserve"> n°6 [</w:t>
      </w:r>
      <w:r w:rsidRPr="08B72A6E">
        <w:rPr>
          <w:i/>
          <w:szCs w:val="16"/>
        </w:rPr>
        <w:t>Chartularium Universitatis Parisiensis</w:t>
      </w:r>
      <w:r w:rsidRPr="009A2605">
        <w:rPr>
          <w:szCs w:val="16"/>
        </w:rPr>
        <w:t xml:space="preserve"> </w:t>
      </w:r>
      <w:r>
        <w:rPr>
          <w:szCs w:val="16"/>
        </w:rPr>
        <w:t>I,</w:t>
      </w:r>
      <w:r>
        <w:rPr>
          <w:szCs w:val="16"/>
          <w:lang w:val="cs-CZ"/>
        </w:rPr>
        <w:t xml:space="preserve"> no.</w:t>
      </w:r>
      <w:r>
        <w:rPr>
          <w:szCs w:val="16"/>
        </w:rPr>
        <w:t>474</w:t>
      </w:r>
      <w:r>
        <w:rPr>
          <w:szCs w:val="16"/>
        </w:rPr>
        <w:fldChar w:fldCharType="begin"/>
      </w:r>
      <w:r>
        <w:instrText xml:space="preserve"> XE "</w:instrText>
      </w:r>
      <w:r w:rsidRPr="00CA1BD2">
        <w:instrText>Chartularium</w:instrText>
      </w:r>
      <w:r>
        <w:rPr>
          <w:lang w:val="cs-CZ"/>
        </w:rPr>
        <w:instrText xml:space="preserve"> I, </w:instrText>
      </w:r>
      <w:r>
        <w:rPr>
          <w:szCs w:val="16"/>
          <w:lang w:val="cs-CZ"/>
        </w:rPr>
        <w:instrText>no.</w:instrText>
      </w:r>
      <w:r>
        <w:rPr>
          <w:szCs w:val="16"/>
        </w:rPr>
        <w:instrText>474</w:instrText>
      </w:r>
      <w:r>
        <w:instrText xml:space="preserve">" </w:instrText>
      </w:r>
      <w:r>
        <w:rPr>
          <w:szCs w:val="16"/>
        </w:rPr>
        <w:fldChar w:fldCharType="end"/>
      </w:r>
      <w:r>
        <w:rPr>
          <w:szCs w:val="16"/>
        </w:rPr>
        <w:t>)]</w:t>
      </w:r>
      <w:r w:rsidRPr="009A2605">
        <w:rPr>
          <w:szCs w:val="16"/>
        </w:rPr>
        <w:t>: « Quod veritas cum necessitate tantum est cum constantia subiecti ».</w:t>
      </w:r>
      <w:r>
        <w:rPr>
          <w:szCs w:val="16"/>
          <w:lang w:val="cs-CZ"/>
        </w:rPr>
        <w:t xml:space="preserve">“ </w:t>
      </w:r>
      <w:r>
        <w:t>(Libera 2002, 2</w:t>
      </w:r>
      <w:r>
        <w:rPr>
          <w:lang w:val="cs-CZ"/>
        </w:rPr>
        <w:t>3</w:t>
      </w:r>
      <w:r>
        <w:t>4</w:t>
      </w:r>
      <w:r>
        <w:fldChar w:fldCharType="begin"/>
      </w:r>
      <w:r>
        <w:instrText xml:space="preserve"> XE "</w:instrText>
      </w:r>
      <w:r w:rsidRPr="00E90EF0">
        <w:instrText>Libera, A.</w:instrText>
      </w:r>
      <w:r>
        <w:instrText xml:space="preserve">" </w:instrText>
      </w:r>
      <w:r>
        <w:fldChar w:fldCharType="end"/>
      </w:r>
      <w:r>
        <w:t>).</w:t>
      </w:r>
    </w:p>
  </w:footnote>
  <w:footnote w:id="504">
    <w:p w14:paraId="2E8125E9" w14:textId="77777777" w:rsidR="00CD2817" w:rsidRPr="00340D05" w:rsidRDefault="00CD2817" w:rsidP="08140703">
      <w:pPr>
        <w:pStyle w:val="Textpoznpodarou"/>
        <w:rPr>
          <w:lang w:val="cs-CZ"/>
        </w:rPr>
      </w:pPr>
      <w:r>
        <w:rPr>
          <w:rStyle w:val="Znakapoznpodarou"/>
        </w:rPr>
        <w:footnoteRef/>
      </w:r>
      <w:r>
        <w:t xml:space="preserve"> „Et quod sequatur «homo est substantia, ergo homo est ens» probatio: quoniam sicut se habet hoc verbum «est» ad res significatas per modum actus, ita se habet «ens» ad res significatas per modum habitus, et in quolibet verbo intelligitur «est». (...) Ergo in quolibet nomine, cum significet per modum habitus, intelligetur «ens». Cum ergo substantia sit nomen, in substantia intelligetur.“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lang w:val="cs-CZ"/>
        </w:rPr>
        <w:instrText xml:space="preserve"> </w:instrText>
      </w:r>
      <w:r>
        <w:rPr>
          <w:szCs w:val="18"/>
          <w:lang w:val="cs-CZ"/>
        </w:rPr>
        <w:instrText>fol. 8va</w:instrText>
      </w:r>
      <w:r>
        <w:instrText xml:space="preserve"> " </w:instrText>
      </w:r>
      <w:r>
        <w:rPr>
          <w:i/>
          <w:szCs w:val="18"/>
        </w:rPr>
        <w:fldChar w:fldCharType="end"/>
      </w:r>
      <w:r>
        <w:rPr>
          <w:szCs w:val="18"/>
        </w:rPr>
        <w:t xml:space="preserve">, </w:t>
      </w:r>
      <w:r>
        <w:rPr>
          <w:szCs w:val="18"/>
          <w:lang w:val="cs-CZ"/>
        </w:rPr>
        <w:t xml:space="preserve">fol. 8va; </w:t>
      </w:r>
      <w:r>
        <w:rPr>
          <w:szCs w:val="18"/>
        </w:rPr>
        <w:t>ed. Libera</w:t>
      </w:r>
      <w:r>
        <w:rPr>
          <w:szCs w:val="18"/>
          <w:lang w:val="cs-CZ"/>
        </w:rPr>
        <w:t xml:space="preserve"> 2002</w:t>
      </w:r>
      <w:r>
        <w:rPr>
          <w:szCs w:val="18"/>
        </w:rPr>
        <w:t>, 224</w:t>
      </w:r>
      <w:r>
        <w:rPr>
          <w:lang w:val="cs-CZ"/>
        </w:rPr>
        <w:t>)</w:t>
      </w:r>
    </w:p>
  </w:footnote>
  <w:footnote w:id="505">
    <w:p w14:paraId="2B983316" w14:textId="421F9467" w:rsidR="00CD2817" w:rsidRPr="003A41FC" w:rsidRDefault="00CD2817" w:rsidP="008460DA">
      <w:pPr>
        <w:pStyle w:val="Textpoznpodarou"/>
        <w:rPr>
          <w:lang w:val="cs-CZ"/>
        </w:rPr>
      </w:pPr>
      <w:r>
        <w:rPr>
          <w:rStyle w:val="Znakapoznpodarou"/>
        </w:rPr>
        <w:footnoteRef/>
      </w:r>
      <w:r>
        <w:t xml:space="preserve"> V Liberově studii věnované rozboru </w:t>
      </w:r>
      <w:r w:rsidR="00782FCA" w:rsidRPr="00073AD6">
        <w:rPr>
          <w:i/>
          <w:szCs w:val="18"/>
        </w:rPr>
        <w:t>Anonymus Erfordensis</w:t>
      </w:r>
      <w:r w:rsidR="00782FCA">
        <w:rPr>
          <w:i/>
          <w:szCs w:val="18"/>
          <w:lang w:val="cs-CZ"/>
        </w:rPr>
        <w:t xml:space="preserve"> </w:t>
      </w:r>
      <w:r>
        <w:t xml:space="preserve">spojené s kritickým vydáním tohoto komentáře je </w:t>
      </w:r>
      <w:r>
        <w:rPr>
          <w:lang w:val="cs-CZ"/>
        </w:rPr>
        <w:t xml:space="preserve">zásadně </w:t>
      </w:r>
      <w:r>
        <w:t>sporné následující tvrzení: „</w:t>
      </w:r>
      <w:r w:rsidRPr="003220C8">
        <w:rPr>
          <w:i/>
        </w:rPr>
        <w:t>L’équation constantia = existentia ne pose pas de problème majeur</w:t>
      </w:r>
      <w:r w:rsidRPr="00D91227">
        <w:t>.</w:t>
      </w:r>
      <w:r>
        <w:rPr>
          <w:rFonts w:cs="S60-RomanA"/>
        </w:rPr>
        <w:t xml:space="preserve">“ (Libera 2002, 204). </w:t>
      </w:r>
      <w:r>
        <w:rPr>
          <w:rFonts w:cs="S60-RomanA"/>
          <w:lang w:val="cs-CZ"/>
        </w:rPr>
        <w:t>H</w:t>
      </w:r>
      <w:r>
        <w:rPr>
          <w:rFonts w:cs="S60-RomanA"/>
        </w:rPr>
        <w:t xml:space="preserve">ermeneutika </w:t>
      </w:r>
      <w:r>
        <w:rPr>
          <w:rFonts w:cs="S60-RomanA"/>
          <w:lang w:val="cs-CZ"/>
        </w:rPr>
        <w:t xml:space="preserve">naopak </w:t>
      </w:r>
      <w:r>
        <w:rPr>
          <w:rFonts w:cs="S60-RomanA"/>
        </w:rPr>
        <w:t>považuje tuto univocitu za zásadní problém</w:t>
      </w:r>
      <w:r>
        <w:rPr>
          <w:rFonts w:cs="S60-RomanA"/>
          <w:lang w:val="cs-CZ"/>
        </w:rPr>
        <w:t>, protože první a druhý averroismus měl od samého začátku zcela rozdílné kategoriální pojetí substance a existence</w:t>
      </w:r>
      <w:r>
        <w:rPr>
          <w:rFonts w:cs="S60-RomanA"/>
        </w:rPr>
        <w:t>.</w:t>
      </w:r>
    </w:p>
  </w:footnote>
  <w:footnote w:id="506">
    <w:p w14:paraId="08ECABDC" w14:textId="77777777" w:rsidR="00CD2817" w:rsidRPr="00FC206E" w:rsidRDefault="00CD2817" w:rsidP="00AC2DF4">
      <w:pPr>
        <w:pStyle w:val="Textpoznpodarou"/>
        <w:rPr>
          <w:lang w:val="cs-CZ"/>
        </w:rPr>
      </w:pPr>
      <w:r>
        <w:rPr>
          <w:rStyle w:val="Znakapoznpodarou"/>
        </w:rPr>
        <w:footnoteRef/>
      </w:r>
      <w:r>
        <w:t xml:space="preserve"> „Quando ergo tu dicis «quaestio quid est praesupponit quaestionem si est», ego dico quod quaestio quid est res supponit quaestionem si est res et etiam si est intellectus. Sed quaestio quid est intellectus non supponit quaestionem si est res, sed si est intellectus. Sed ista «homo est animal» nullo homine existente est sumpta a quaestione si est intellectus et non si est res.“ (</w:t>
      </w:r>
      <w:r w:rsidRPr="00073AD6">
        <w:rPr>
          <w:i/>
          <w:szCs w:val="18"/>
        </w:rPr>
        <w:t>Anonymus Erfordensis</w:t>
      </w:r>
      <w:r>
        <w:rPr>
          <w:i/>
          <w:szCs w:val="18"/>
        </w:rPr>
        <w:fldChar w:fldCharType="begin"/>
      </w:r>
      <w:r>
        <w:instrText xml:space="preserve"> XE "</w:instrText>
      </w:r>
      <w:r w:rsidRPr="00F8633A">
        <w:rPr>
          <w:i/>
          <w:szCs w:val="18"/>
        </w:rPr>
        <w:instrText>Anonymus Erfordensis</w:instrText>
      </w:r>
      <w:r>
        <w:rPr>
          <w:i/>
          <w:szCs w:val="18"/>
          <w:lang w:val="cs-CZ"/>
        </w:rPr>
        <w:instrText xml:space="preserve"> </w:instrText>
      </w:r>
      <w:r>
        <w:rPr>
          <w:szCs w:val="18"/>
          <w:lang w:val="cs-CZ"/>
        </w:rPr>
        <w:instrText>fol. 10rb</w:instrText>
      </w:r>
      <w:r>
        <w:instrText xml:space="preserve">" </w:instrText>
      </w:r>
      <w:r>
        <w:rPr>
          <w:i/>
          <w:szCs w:val="18"/>
        </w:rPr>
        <w:fldChar w:fldCharType="end"/>
      </w:r>
      <w:r>
        <w:rPr>
          <w:szCs w:val="18"/>
        </w:rPr>
        <w:t>,</w:t>
      </w:r>
      <w:r>
        <w:rPr>
          <w:szCs w:val="18"/>
          <w:lang w:val="cs-CZ"/>
        </w:rPr>
        <w:t xml:space="preserve"> fol. 10rb; </w:t>
      </w:r>
      <w:r>
        <w:rPr>
          <w:szCs w:val="18"/>
        </w:rPr>
        <w:t>ed. Libera, p</w:t>
      </w:r>
      <w:r>
        <w:rPr>
          <w:szCs w:val="18"/>
          <w:lang w:val="cs-CZ"/>
        </w:rPr>
        <w:t>p</w:t>
      </w:r>
      <w:r>
        <w:rPr>
          <w:szCs w:val="18"/>
        </w:rPr>
        <w:t>. 236‒237)</w:t>
      </w:r>
    </w:p>
  </w:footnote>
  <w:footnote w:id="507">
    <w:p w14:paraId="7A89DABB" w14:textId="77777777" w:rsidR="00CD2817" w:rsidRPr="00127A93" w:rsidRDefault="00CD2817">
      <w:pPr>
        <w:pStyle w:val="Textpoznpodarou"/>
        <w:rPr>
          <w:lang w:val="cs-CZ"/>
        </w:rPr>
      </w:pPr>
      <w:r>
        <w:rPr>
          <w:rStyle w:val="Znakapoznpodarou"/>
        </w:rPr>
        <w:footnoteRef/>
      </w:r>
      <w:r>
        <w:t xml:space="preserve"> </w:t>
      </w:r>
      <w:r w:rsidRPr="00273106">
        <w:t>„</w:t>
      </w:r>
      <w:r>
        <w:rPr>
          <w:lang w:val="cs-CZ"/>
        </w:rPr>
        <w:t>Primus error q</w:t>
      </w:r>
      <w:r w:rsidRPr="00273106">
        <w:t>uod divina essentia in se nec ab homine nec ab angelo videbitur</w:t>
      </w:r>
      <w:r>
        <w:t>.</w:t>
      </w:r>
      <w:r w:rsidRPr="00273106">
        <w:t>“ (</w:t>
      </w:r>
      <w:r w:rsidRPr="00273106">
        <w:rPr>
          <w:rFonts w:cs="Calibri"/>
          <w:i/>
          <w:szCs w:val="22"/>
        </w:rPr>
        <w:t>Chartularium Universitatis Parisiensis I</w:t>
      </w:r>
      <w:r>
        <w:t xml:space="preserve">, </w:t>
      </w:r>
      <w:r>
        <w:rPr>
          <w:lang w:val="cs-CZ"/>
        </w:rPr>
        <w:t>n</w:t>
      </w:r>
      <w:r>
        <w:t>o. 128</w:t>
      </w:r>
      <w:r>
        <w:rPr>
          <w:lang w:val="cs-CZ"/>
        </w:rPr>
        <w:t>, p. 170</w:t>
      </w:r>
      <w:r>
        <w:fldChar w:fldCharType="begin"/>
      </w:r>
      <w:r>
        <w:instrText xml:space="preserve"> XE "</w:instrText>
      </w:r>
      <w:r w:rsidRPr="0010379C">
        <w:rPr>
          <w:rFonts w:cs="Calibri"/>
          <w:i/>
          <w:szCs w:val="22"/>
        </w:rPr>
        <w:instrText xml:space="preserve">Chartularium </w:instrText>
      </w:r>
      <w:r>
        <w:rPr>
          <w:rFonts w:cs="Calibri"/>
          <w:szCs w:val="22"/>
          <w:lang w:val="cs-CZ"/>
        </w:rPr>
        <w:instrText xml:space="preserve">I, </w:instrText>
      </w:r>
      <w:r>
        <w:rPr>
          <w:lang w:val="cs-CZ"/>
        </w:rPr>
        <w:instrText>n</w:instrText>
      </w:r>
      <w:r>
        <w:instrText>o. 128</w:instrText>
      </w:r>
      <w:r>
        <w:rPr>
          <w:lang w:val="cs-CZ"/>
        </w:rPr>
        <w:instrText>, p. 170</w:instrText>
      </w:r>
      <w:r>
        <w:instrText xml:space="preserve">" </w:instrText>
      </w:r>
      <w:r>
        <w:fldChar w:fldCharType="end"/>
      </w:r>
      <w:r>
        <w:t>)</w:t>
      </w:r>
    </w:p>
  </w:footnote>
  <w:footnote w:id="508">
    <w:p w14:paraId="15992089" w14:textId="77777777" w:rsidR="00CD2817" w:rsidRPr="008C1C3B" w:rsidRDefault="00CD2817" w:rsidP="008C1C3B">
      <w:pPr>
        <w:pStyle w:val="Textpoznpodarou"/>
        <w:rPr>
          <w:lang w:val="cs-CZ"/>
        </w:rPr>
      </w:pPr>
      <w:r>
        <w:rPr>
          <w:rStyle w:val="Znakapoznpodarou"/>
        </w:rPr>
        <w:footnoteRef/>
      </w:r>
      <w:r>
        <w:t xml:space="preserve"> </w:t>
      </w:r>
      <w:r w:rsidRPr="008C1C3B">
        <w:t>„Menti igitur nostrae in statu viae convenire non potest visio Dei per essentiam secundum primum modum. Mens enim nostra naturali cognitione phantasmata respicit quasi obiecta, a quibus species intelligibiles accipit, ut dicitur in III de anima; unde omne quod intelligit secundum statum viae, intelligit per huiusmodi species a phantasmatibus abstractas. Nulla autem huiusmodi species sufficiens est ad repraesentandam divinam essentiam, vel etiam cuiuscumque alterius essentiae separatae...“ (</w:t>
      </w:r>
      <w:r w:rsidRPr="00B500D0">
        <w:rPr>
          <w:i/>
        </w:rPr>
        <w:t>De veritate</w:t>
      </w:r>
      <w:r w:rsidRPr="008C1C3B">
        <w:t>, q. 10, a. 11, resp.; ed. Leonina</w:t>
      </w:r>
      <w:r>
        <w:rPr>
          <w:lang w:val="cs-CZ"/>
        </w:rPr>
        <w:t xml:space="preserve"> 22/2, 336.157‒67</w:t>
      </w:r>
      <w:r>
        <w:rPr>
          <w:lang w:val="cs-CZ"/>
        </w:rPr>
        <w:fldChar w:fldCharType="begin"/>
      </w:r>
      <w:r>
        <w:instrText xml:space="preserve"> XE "</w:instrText>
      </w:r>
      <w:r>
        <w:rPr>
          <w:lang w:val="cs-CZ"/>
        </w:rPr>
        <w:instrText>Akvinský:</w:instrText>
      </w:r>
      <w:r w:rsidRPr="00A81DA5">
        <w:rPr>
          <w:i/>
        </w:rPr>
        <w:instrText>De veritate</w:instrText>
      </w:r>
      <w:r>
        <w:rPr>
          <w:lang w:val="cs-CZ"/>
        </w:rPr>
        <w:instrText xml:space="preserve"> 336.157‒</w:instrText>
      </w:r>
      <w:r w:rsidRPr="00A81DA5">
        <w:rPr>
          <w:lang w:val="cs-CZ"/>
        </w:rPr>
        <w:instrText>67</w:instrText>
      </w:r>
      <w:r>
        <w:instrText xml:space="preserve">" </w:instrText>
      </w:r>
      <w:r>
        <w:rPr>
          <w:lang w:val="cs-CZ"/>
        </w:rPr>
        <w:fldChar w:fldCharType="end"/>
      </w:r>
      <w:r w:rsidRPr="008C1C3B">
        <w:t>)</w:t>
      </w:r>
    </w:p>
  </w:footnote>
  <w:footnote w:id="509">
    <w:p w14:paraId="2E81F120" w14:textId="77777777" w:rsidR="00CD2817" w:rsidRPr="006638A2" w:rsidRDefault="00CD2817" w:rsidP="08B07C64">
      <w:pPr>
        <w:pStyle w:val="Textpoznpodarou"/>
        <w:rPr>
          <w:lang w:val="cs-CZ"/>
        </w:rPr>
      </w:pPr>
      <w:r>
        <w:rPr>
          <w:rStyle w:val="Znakapoznpodarou"/>
        </w:rPr>
        <w:footnoteRef/>
      </w:r>
      <w:r>
        <w:t xml:space="preserve"> </w:t>
      </w:r>
      <w:r w:rsidRPr="00881C5D">
        <w:t>„Et maxime ille qui vivit habet nomen doctoris Parisius; et allegatur in studio sicut auctor, quod non postest fieri sine confusione et destructione sapientiae, quia ejus scripta plena sunt falsitatibus et vinatatibus infinitis. Numquam talis abusio fuit in hoc mundo.“  (</w:t>
      </w:r>
      <w:r w:rsidRPr="00881C5D">
        <w:rPr>
          <w:i/>
        </w:rPr>
        <w:t>Opus minus</w:t>
      </w:r>
      <w:r>
        <w:rPr>
          <w:lang w:val="cs-CZ"/>
        </w:rPr>
        <w:t xml:space="preserve">; </w:t>
      </w:r>
      <w:r w:rsidRPr="00881C5D">
        <w:t>ed. Brewer, p. 3</w:t>
      </w:r>
      <w:r>
        <w:t>27‒</w:t>
      </w:r>
      <w:r w:rsidRPr="00881C5D">
        <w:t>28</w:t>
      </w:r>
      <w:r>
        <w:fldChar w:fldCharType="begin"/>
      </w:r>
      <w:r>
        <w:instrText xml:space="preserve"> XE "Bacon:</w:instrText>
      </w:r>
      <w:r w:rsidRPr="004E091A">
        <w:rPr>
          <w:i/>
        </w:rPr>
        <w:instrText>Opus minus</w:instrText>
      </w:r>
      <w:r w:rsidRPr="004E091A">
        <w:instrText xml:space="preserve"> </w:instrText>
      </w:r>
      <w:r>
        <w:instrText>327‒</w:instrText>
      </w:r>
      <w:r w:rsidRPr="00881C5D">
        <w:instrText>28</w:instrText>
      </w:r>
      <w:r>
        <w:instrText xml:space="preserve">" </w:instrText>
      </w:r>
      <w:r>
        <w:fldChar w:fldCharType="end"/>
      </w:r>
      <w:r>
        <w:rPr>
          <w:lang w:val="cs-CZ"/>
        </w:rPr>
        <w:t>)</w:t>
      </w:r>
    </w:p>
  </w:footnote>
  <w:footnote w:id="510">
    <w:p w14:paraId="4A0C2BCC" w14:textId="77777777" w:rsidR="00CD2817" w:rsidRPr="087C0892" w:rsidRDefault="00CD2817">
      <w:pPr>
        <w:pStyle w:val="Textpoznpodarou"/>
        <w:rPr>
          <w:lang w:val="en-US"/>
        </w:rPr>
      </w:pPr>
      <w:r>
        <w:rPr>
          <w:rStyle w:val="Znakapoznpodarou"/>
        </w:rPr>
        <w:footnoteRef/>
      </w:r>
      <w:r>
        <w:t xml:space="preserve"> P</w:t>
      </w:r>
      <w:r w:rsidRPr="00273106">
        <w:t>ředložená teze o zařazení Alberta a Bacona do proudu prvního averroismu</w:t>
      </w:r>
      <w:r>
        <w:t xml:space="preserve"> vyvrací tezi</w:t>
      </w:r>
      <w:r w:rsidRPr="00273106">
        <w:t xml:space="preserve">, </w:t>
      </w:r>
      <w:r>
        <w:t xml:space="preserve">že </w:t>
      </w:r>
      <w:r w:rsidRPr="00273106">
        <w:t xml:space="preserve">Albert </w:t>
      </w:r>
      <w:r>
        <w:t xml:space="preserve">je </w:t>
      </w:r>
      <w:r w:rsidRPr="00273106">
        <w:t xml:space="preserve"> cílem </w:t>
      </w:r>
      <w:r>
        <w:t xml:space="preserve">Baconovy </w:t>
      </w:r>
      <w:r w:rsidRPr="00273106">
        <w:t>kritiky</w:t>
      </w:r>
      <w:r>
        <w:t xml:space="preserve"> (Easton 1971, 210‒</w:t>
      </w:r>
      <w:r w:rsidRPr="00273106">
        <w:t>31).</w:t>
      </w:r>
      <w:r>
        <w:rPr>
          <w:lang w:val="cs-CZ"/>
        </w:rPr>
        <w:t xml:space="preserve"> </w:t>
      </w:r>
      <w:r>
        <w:t xml:space="preserve">Dalším kandidátem Baconovy kritiky mohl být Rufus během jeho regentování v Paříži nebo magistr </w:t>
      </w:r>
      <w:r>
        <w:rPr>
          <w:bCs/>
        </w:rPr>
        <w:t>Gilbert z</w:t>
      </w:r>
      <w:r w:rsidRPr="007C4221">
        <w:rPr>
          <w:bCs/>
        </w:rPr>
        <w:t xml:space="preserve"> Tournai</w:t>
      </w:r>
      <w:r>
        <w:rPr>
          <w:bCs/>
        </w:rPr>
        <w:fldChar w:fldCharType="begin"/>
      </w:r>
      <w:r>
        <w:instrText xml:space="preserve"> XE "</w:instrText>
      </w:r>
      <w:r w:rsidRPr="004967EE">
        <w:rPr>
          <w:bCs/>
        </w:rPr>
        <w:instrText>Gilbert z Tournai</w:instrText>
      </w:r>
      <w:r>
        <w:instrText xml:space="preserve">" </w:instrText>
      </w:r>
      <w:r>
        <w:rPr>
          <w:bCs/>
        </w:rPr>
        <w:fldChar w:fldCharType="end"/>
      </w:r>
      <w:r>
        <w:rPr>
          <w:bCs/>
        </w:rPr>
        <w:t xml:space="preserve"> (†1284), který po jmenování Bonaventury generálem přebírá funkci regenta františkánské koleje v Paříži (1257‒61). Byl především literát, pedagog a věnoval se politické a společenské výchově vládců (</w:t>
      </w:r>
      <w:r>
        <w:rPr>
          <w:i/>
          <w:iCs/>
        </w:rPr>
        <w:t>Eruditio regum et principum</w:t>
      </w:r>
      <w:r w:rsidRPr="008E46ED">
        <w:rPr>
          <w:iCs/>
        </w:rPr>
        <w:t>, 1259</w:t>
      </w:r>
      <w:r>
        <w:rPr>
          <w:bCs/>
        </w:rPr>
        <w:t>)</w:t>
      </w:r>
      <w:r>
        <w:t xml:space="preserve">. Tento žánr v podobě tzv. „zrcadel vládců“ </w:t>
      </w:r>
      <w:r w:rsidRPr="008969E7">
        <w:t>(</w:t>
      </w:r>
      <w:r w:rsidRPr="008969E7">
        <w:rPr>
          <w:i/>
          <w:iCs/>
        </w:rPr>
        <w:t>principum specula</w:t>
      </w:r>
      <w:r>
        <w:rPr>
          <w:i/>
          <w:iCs/>
        </w:rPr>
        <w:t xml:space="preserve">, </w:t>
      </w:r>
      <w:r w:rsidRPr="00E55BC8">
        <w:rPr>
          <w:rStyle w:val="st"/>
          <w:i/>
        </w:rPr>
        <w:t>Fürstenspiegel</w:t>
      </w:r>
      <w:r>
        <w:t>) existoval</w:t>
      </w:r>
      <w:r w:rsidRPr="008969E7">
        <w:t xml:space="preserve"> </w:t>
      </w:r>
      <w:r>
        <w:rPr>
          <w:bCs/>
        </w:rPr>
        <w:t xml:space="preserve">od Senecova díla </w:t>
      </w:r>
      <w:r w:rsidRPr="00A84CCC">
        <w:rPr>
          <w:bCs/>
          <w:i/>
        </w:rPr>
        <w:t>De clementia</w:t>
      </w:r>
      <w:r>
        <w:rPr>
          <w:bCs/>
        </w:rPr>
        <w:t xml:space="preserve"> až do renesesance, viz Machiavelliho dílo </w:t>
      </w:r>
      <w:r w:rsidRPr="00B42F8D">
        <w:rPr>
          <w:bCs/>
          <w:i/>
        </w:rPr>
        <w:t>Vladař</w:t>
      </w:r>
      <w:r>
        <w:rPr>
          <w:bCs/>
          <w:lang w:val="cs-CZ"/>
        </w:rPr>
        <w:t xml:space="preserve"> </w:t>
      </w:r>
      <w:r w:rsidRPr="087C0892">
        <w:rPr>
          <w:lang w:val="en-US"/>
        </w:rPr>
        <w:t>(</w:t>
      </w:r>
      <w:r>
        <w:rPr>
          <w:i/>
          <w:iCs/>
        </w:rPr>
        <w:t>Il Principe</w:t>
      </w:r>
      <w:r w:rsidRPr="00695D4B">
        <w:rPr>
          <w:iCs/>
        </w:rPr>
        <w:t>, 1513</w:t>
      </w:r>
      <w:r w:rsidRPr="087C0892">
        <w:rPr>
          <w:lang w:val="en-US"/>
        </w:rPr>
        <w:t>)</w:t>
      </w:r>
      <w:r>
        <w:rPr>
          <w:lang w:val="en-US"/>
        </w:rPr>
        <w:t>.</w:t>
      </w:r>
    </w:p>
  </w:footnote>
  <w:footnote w:id="511">
    <w:p w14:paraId="4FF8FC69" w14:textId="77777777" w:rsidR="00CD2817" w:rsidRPr="00B60FB5" w:rsidRDefault="00CD2817" w:rsidP="08324611">
      <w:pPr>
        <w:pStyle w:val="Textpoznpodarou"/>
        <w:rPr>
          <w:lang w:val="cs-CZ"/>
        </w:rPr>
      </w:pPr>
      <w:r>
        <w:rPr>
          <w:rStyle w:val="Znakapoznpodarou"/>
        </w:rPr>
        <w:footnoteRef/>
      </w:r>
      <w:r>
        <w:t xml:space="preserve"> </w:t>
      </w:r>
      <w:r>
        <w:rPr>
          <w:lang w:val="cs-CZ"/>
        </w:rPr>
        <w:t>„</w:t>
      </w:r>
      <w:r w:rsidRPr="00B60FB5">
        <w:rPr>
          <w:lang w:val="cs-CZ"/>
        </w:rPr>
        <w:t xml:space="preserve">Preter tamen errores philosophi, arguendus est quia uituperauit omnem legem, ut patet ex II. et XI. </w:t>
      </w:r>
      <w:r>
        <w:rPr>
          <w:lang w:val="cs-CZ"/>
        </w:rPr>
        <w:t>[Metaphysica]</w:t>
      </w:r>
      <w:r w:rsidRPr="00B60FB5">
        <w:rPr>
          <w:lang w:val="cs-CZ"/>
        </w:rPr>
        <w:t>, vbi uituperat legem cristianorum,</w:t>
      </w:r>
      <w:r>
        <w:rPr>
          <w:lang w:val="cs-CZ"/>
        </w:rPr>
        <w:t xml:space="preserve"> </w:t>
      </w:r>
      <w:r w:rsidRPr="00B60FB5">
        <w:rPr>
          <w:lang w:val="cs-CZ"/>
        </w:rPr>
        <w:t>scilicet legem catholicam nostram, et etiam legem sarracenorum, quia ponunt creationem rerum et aliquid posse fieri ex nichilo.</w:t>
      </w:r>
      <w:r>
        <w:rPr>
          <w:lang w:val="cs-CZ"/>
        </w:rPr>
        <w:t>“ (</w:t>
      </w:r>
      <w:r>
        <w:rPr>
          <w:i/>
        </w:rPr>
        <w:t xml:space="preserve">De erroribus </w:t>
      </w:r>
      <w:r>
        <w:rPr>
          <w:i/>
          <w:lang w:val="cs-CZ"/>
        </w:rPr>
        <w:t>P</w:t>
      </w:r>
      <w:r w:rsidRPr="00DD41B7">
        <w:rPr>
          <w:i/>
        </w:rPr>
        <w:t>hilosophorum</w:t>
      </w:r>
      <w:r>
        <w:rPr>
          <w:i/>
          <w:lang w:val="cs-CZ"/>
        </w:rPr>
        <w:t xml:space="preserve"> </w:t>
      </w:r>
      <w:r w:rsidRPr="00B60FB5">
        <w:rPr>
          <w:lang w:val="cs-CZ"/>
        </w:rPr>
        <w:t>cap</w:t>
      </w:r>
      <w:r>
        <w:rPr>
          <w:lang w:val="cs-CZ"/>
        </w:rPr>
        <w:t>. IV.30, ed. Mandonnet, p. 9.23‒</w:t>
      </w:r>
      <w:r w:rsidRPr="00B60FB5">
        <w:rPr>
          <w:lang w:val="cs-CZ"/>
        </w:rPr>
        <w:t>26</w:t>
      </w:r>
      <w:r>
        <w:rPr>
          <w:lang w:val="cs-CZ"/>
        </w:rPr>
        <w:fldChar w:fldCharType="begin"/>
      </w:r>
      <w:r>
        <w:instrText xml:space="preserve"> XE "</w:instrText>
      </w:r>
      <w:r>
        <w:rPr>
          <w:lang w:val="cs-CZ"/>
        </w:rPr>
        <w:instrText>Aegidius Romanus:</w:instrText>
      </w:r>
      <w:r>
        <w:rPr>
          <w:i/>
        </w:rPr>
        <w:instrText xml:space="preserve">De erroribus </w:instrText>
      </w:r>
      <w:r>
        <w:rPr>
          <w:i/>
          <w:lang w:val="cs-CZ"/>
        </w:rPr>
        <w:instrText>P</w:instrText>
      </w:r>
      <w:r w:rsidRPr="00D03BED">
        <w:rPr>
          <w:i/>
        </w:rPr>
        <w:instrText>hilosophorum</w:instrText>
      </w:r>
      <w:r w:rsidRPr="00D03BED">
        <w:rPr>
          <w:i/>
          <w:lang w:val="cs-CZ"/>
        </w:rPr>
        <w:instrText xml:space="preserve"> </w:instrText>
      </w:r>
      <w:r w:rsidRPr="00D03BED">
        <w:rPr>
          <w:lang w:val="cs-CZ"/>
        </w:rPr>
        <w:instrText>9.23‒26</w:instrText>
      </w:r>
      <w:r>
        <w:instrText xml:space="preserve">" </w:instrText>
      </w:r>
      <w:r>
        <w:rPr>
          <w:lang w:val="cs-CZ"/>
        </w:rPr>
        <w:fldChar w:fldCharType="end"/>
      </w:r>
      <w:r>
        <w:rPr>
          <w:lang w:val="cs-CZ"/>
        </w:rPr>
        <w:t>)</w:t>
      </w:r>
    </w:p>
  </w:footnote>
  <w:footnote w:id="512">
    <w:p w14:paraId="1DF8370A" w14:textId="77777777" w:rsidR="00CD2817" w:rsidRPr="005C028A" w:rsidRDefault="00CD2817" w:rsidP="004D0CBF">
      <w:pPr>
        <w:pStyle w:val="Textpoznpodarou"/>
        <w:rPr>
          <w:lang w:val="cs-CZ"/>
        </w:rPr>
      </w:pPr>
      <w:r w:rsidRPr="00DB7532">
        <w:rPr>
          <w:rStyle w:val="Znakapoznpodarou"/>
        </w:rPr>
        <w:footnoteRef/>
      </w:r>
      <w:r>
        <w:rPr>
          <w:lang w:val="cs-CZ"/>
        </w:rPr>
        <w:t xml:space="preserve"> </w:t>
      </w:r>
      <w:r w:rsidRPr="00C74FFA">
        <w:t>„Maius autem periculum est descendere ad Summas magistrorum, quia aliquando est in eis error; et credunt se intelligere originalia [sc. sanctorum] et non intelligunt, immo eis contradicunt. Unde sicut fatuus esset qui vellet semper immorari circa tractatus et nunquam ascendere ad textum; sic est de Summis magistrorum.“ (</w:t>
      </w:r>
      <w:r w:rsidRPr="00657FFE">
        <w:rPr>
          <w:i/>
        </w:rPr>
        <w:t>Collationes in Hexaëmeron</w:t>
      </w:r>
      <w:r>
        <w:t xml:space="preserve"> </w:t>
      </w:r>
      <w:r w:rsidRPr="00C74FFA">
        <w:t>19</w:t>
      </w:r>
      <w:r>
        <w:rPr>
          <w:lang w:val="cs-CZ"/>
        </w:rPr>
        <w:t>.11</w:t>
      </w:r>
      <w:r w:rsidRPr="00C74FFA">
        <w:t xml:space="preserve">; </w:t>
      </w:r>
      <w:r w:rsidRPr="00970BE9">
        <w:rPr>
          <w:i/>
        </w:rPr>
        <w:t>Opera omnia</w:t>
      </w:r>
      <w:r>
        <w:t xml:space="preserve"> </w:t>
      </w:r>
      <w:r>
        <w:rPr>
          <w:lang w:val="cs-CZ"/>
        </w:rPr>
        <w:t>5</w:t>
      </w:r>
      <w:r>
        <w:t xml:space="preserve">, </w:t>
      </w:r>
      <w:r w:rsidRPr="00C74FFA">
        <w:t>422</w:t>
      </w:r>
      <w:r>
        <w:rPr>
          <w:lang w:val="cs-CZ"/>
        </w:rPr>
        <w:t>a</w:t>
      </w:r>
      <w:r>
        <w:rPr>
          <w:lang w:val="cs-CZ"/>
        </w:rPr>
        <w:fldChar w:fldCharType="begin"/>
      </w:r>
      <w:r>
        <w:instrText xml:space="preserve"> XE "</w:instrText>
      </w:r>
      <w:r>
        <w:rPr>
          <w:lang w:val="cs-CZ"/>
        </w:rPr>
        <w:instrText>Bonaventura:</w:instrText>
      </w:r>
      <w:r w:rsidRPr="00E9706E">
        <w:rPr>
          <w:i/>
        </w:rPr>
        <w:instrText>Collationes in Hexaëmeron</w:instrText>
      </w:r>
      <w:r w:rsidRPr="00E9706E">
        <w:instrText xml:space="preserve"> 422</w:instrText>
      </w:r>
      <w:r w:rsidRPr="00E9706E">
        <w:rPr>
          <w:lang w:val="cs-CZ"/>
        </w:rPr>
        <w:instrText>a</w:instrText>
      </w:r>
      <w:r>
        <w:instrText xml:space="preserve">" </w:instrText>
      </w:r>
      <w:r>
        <w:rPr>
          <w:lang w:val="cs-CZ"/>
        </w:rPr>
        <w:fldChar w:fldCharType="end"/>
      </w:r>
      <w:r w:rsidRPr="00C74FFA">
        <w:t>)</w:t>
      </w:r>
    </w:p>
  </w:footnote>
  <w:footnote w:id="513">
    <w:p w14:paraId="56644DE1" w14:textId="77777777" w:rsidR="00CD2817" w:rsidRPr="00166FB2" w:rsidRDefault="00CD2817" w:rsidP="004D0CBF">
      <w:pPr>
        <w:pStyle w:val="Textpoznpodarou"/>
        <w:rPr>
          <w:lang w:val="cs-CZ"/>
        </w:rPr>
      </w:pPr>
      <w:r>
        <w:rPr>
          <w:rStyle w:val="Znakapoznpodarou"/>
        </w:rPr>
        <w:footnoteRef/>
      </w:r>
      <w:r>
        <w:t xml:space="preserve"> </w:t>
      </w:r>
      <w:r w:rsidRPr="00C74FFA">
        <w:t>„</w:t>
      </w:r>
      <w:r>
        <w:t>...</w:t>
      </w:r>
      <w:r w:rsidRPr="00C74FFA">
        <w:t>philosophica scientia est</w:t>
      </w:r>
      <w:r>
        <w:t xml:space="preserve"> </w:t>
      </w:r>
      <w:r w:rsidRPr="00C74FFA">
        <w:t>ad alias scientias; sed qui vult stare cadit in tenebras</w:t>
      </w:r>
      <w:r>
        <w:rPr>
          <w:lang w:val="cs-CZ"/>
        </w:rPr>
        <w:t>...</w:t>
      </w:r>
      <w:r w:rsidRPr="00C74FFA">
        <w:t>“</w:t>
      </w:r>
      <w:r>
        <w:t xml:space="preserve"> (</w:t>
      </w:r>
      <w:r w:rsidRPr="00C74FFA">
        <w:rPr>
          <w:i/>
        </w:rPr>
        <w:t>Opera omnia</w:t>
      </w:r>
      <w:r>
        <w:t xml:space="preserve"> </w:t>
      </w:r>
      <w:r>
        <w:rPr>
          <w:lang w:val="cs-CZ"/>
        </w:rPr>
        <w:t>5</w:t>
      </w:r>
      <w:r>
        <w:t xml:space="preserve">, </w:t>
      </w:r>
      <w:r w:rsidRPr="00C74FFA">
        <w:t>476</w:t>
      </w:r>
      <w:r>
        <w:t>a)</w:t>
      </w:r>
      <w:r>
        <w:rPr>
          <w:lang w:val="cs-CZ"/>
        </w:rPr>
        <w:t xml:space="preserve">; </w:t>
      </w:r>
      <w:r>
        <w:t>„...</w:t>
      </w:r>
      <w:r w:rsidRPr="00C74FFA">
        <w:t>sunt qui scire volunt tantum, ut sciant, et turpis curiositas est</w:t>
      </w:r>
      <w:r>
        <w:rPr>
          <w:lang w:val="cs-CZ"/>
        </w:rPr>
        <w:t>...</w:t>
      </w:r>
      <w:r w:rsidRPr="00C74FFA">
        <w:t>“</w:t>
      </w:r>
      <w:r>
        <w:rPr>
          <w:lang w:val="cs-CZ"/>
        </w:rPr>
        <w:t xml:space="preserve"> (</w:t>
      </w:r>
      <w:r>
        <w:t xml:space="preserve">ibid, </w:t>
      </w:r>
      <w:r w:rsidRPr="00C74FFA">
        <w:t>478</w:t>
      </w:r>
      <w:r>
        <w:t>b</w:t>
      </w:r>
      <w:r>
        <w:rPr>
          <w:lang w:val="cs-CZ"/>
        </w:rPr>
        <w:fldChar w:fldCharType="begin"/>
      </w:r>
      <w:r>
        <w:instrText xml:space="preserve"> XE "</w:instrText>
      </w:r>
      <w:r>
        <w:rPr>
          <w:lang w:val="cs-CZ"/>
        </w:rPr>
        <w:instrText>Bonaventura:</w:instrText>
      </w:r>
      <w:r w:rsidRPr="00C74FFA">
        <w:rPr>
          <w:i/>
        </w:rPr>
        <w:instrText xml:space="preserve">Collationes de </w:instrText>
      </w:r>
      <w:r>
        <w:rPr>
          <w:i/>
          <w:lang w:val="cs-CZ"/>
        </w:rPr>
        <w:instrText xml:space="preserve">septem </w:instrText>
      </w:r>
      <w:r w:rsidRPr="00C74FFA">
        <w:rPr>
          <w:i/>
        </w:rPr>
        <w:instrText>donis Spiritus sancti</w:instrText>
      </w:r>
      <w:r>
        <w:rPr>
          <w:i/>
          <w:lang w:val="cs-CZ"/>
        </w:rPr>
        <w:instrText xml:space="preserve"> </w:instrText>
      </w:r>
      <w:r w:rsidRPr="00C74FFA">
        <w:instrText>478</w:instrText>
      </w:r>
      <w:r>
        <w:instrText xml:space="preserve">b" </w:instrText>
      </w:r>
      <w:r>
        <w:rPr>
          <w:lang w:val="cs-CZ"/>
        </w:rPr>
        <w:fldChar w:fldCharType="end"/>
      </w:r>
      <w:r w:rsidRPr="00C74FFA">
        <w:t>)</w:t>
      </w:r>
    </w:p>
  </w:footnote>
  <w:footnote w:id="514">
    <w:p w14:paraId="610C8302" w14:textId="77777777" w:rsidR="00CD2817" w:rsidRPr="00637691" w:rsidRDefault="00CD2817">
      <w:pPr>
        <w:pStyle w:val="Textpoznpodarou"/>
        <w:rPr>
          <w:lang w:val="cs-CZ"/>
        </w:rPr>
      </w:pPr>
      <w:r>
        <w:rPr>
          <w:rStyle w:val="Znakapoznpodarou"/>
        </w:rPr>
        <w:footnoteRef/>
      </w:r>
      <w:r>
        <w:t xml:space="preserve"> „Sunt vero septem peccata studii principalis quod est theologiae; unum est quod philosophia dominatur in usu theologiam. Sed in nulla facultate extranea debet dominari; et maxime hic ubi domina scientiarum reperitur; immo etiam cujus dignitatis philosophia non habet usum; nam scientia Dei est, et ad vitam perducit aeternam.“ (</w:t>
      </w:r>
      <w:r w:rsidRPr="00B92DCB">
        <w:rPr>
          <w:i/>
        </w:rPr>
        <w:t>Opus minus</w:t>
      </w:r>
      <w:r>
        <w:t>, ed. Brewer, p. 322</w:t>
      </w:r>
      <w:r>
        <w:fldChar w:fldCharType="begin"/>
      </w:r>
      <w:r>
        <w:instrText xml:space="preserve"> XE "</w:instrText>
      </w:r>
      <w:r>
        <w:rPr>
          <w:lang w:val="cs-CZ"/>
        </w:rPr>
        <w:instrText>Bacon:</w:instrText>
      </w:r>
      <w:r w:rsidRPr="00053C80">
        <w:rPr>
          <w:i/>
        </w:rPr>
        <w:instrText>Opus minus</w:instrText>
      </w:r>
      <w:r w:rsidRPr="00053C80">
        <w:instrText xml:space="preserve"> 322</w:instrText>
      </w:r>
      <w:r>
        <w:instrText xml:space="preserve">" </w:instrText>
      </w:r>
      <w:r>
        <w:fldChar w:fldCharType="end"/>
      </w:r>
      <w:r>
        <w:t>)</w:t>
      </w:r>
    </w:p>
  </w:footnote>
  <w:footnote w:id="515">
    <w:p w14:paraId="1A365D36" w14:textId="77777777" w:rsidR="00CD2817" w:rsidRPr="08030CD9" w:rsidRDefault="00CD2817" w:rsidP="00B5518A">
      <w:pPr>
        <w:pStyle w:val="Textpoznpodarou"/>
        <w:rPr>
          <w:lang w:val="cs-CZ"/>
        </w:rPr>
      </w:pPr>
      <w:r>
        <w:rPr>
          <w:rStyle w:val="Znakapoznpodarou"/>
        </w:rPr>
        <w:footnoteRef/>
      </w:r>
      <w:r>
        <w:t xml:space="preserve"> </w:t>
      </w:r>
      <w:r>
        <w:rPr>
          <w:lang w:val="cs-CZ"/>
        </w:rPr>
        <w:t xml:space="preserve">Moderní subjekt </w:t>
      </w:r>
      <w:r>
        <w:t xml:space="preserve">má mnohem starší historii zahájenou </w:t>
      </w:r>
      <w:r>
        <w:rPr>
          <w:lang w:val="cs-CZ"/>
        </w:rPr>
        <w:t xml:space="preserve">mimo jiné vlivy i </w:t>
      </w:r>
      <w:r>
        <w:t>zavedením</w:t>
      </w:r>
      <w:r>
        <w:rPr>
          <w:lang w:val="cs-CZ"/>
        </w:rPr>
        <w:t xml:space="preserve"> </w:t>
      </w:r>
      <w:r>
        <w:t xml:space="preserve">osobní zpovědi skrze obnovený církevní zákoník </w:t>
      </w:r>
      <w:r w:rsidRPr="08BC53E5">
        <w:rPr>
          <w:i/>
        </w:rPr>
        <w:t>Decretum Gratiani</w:t>
      </w:r>
      <w:r>
        <w:t xml:space="preserve"> (1140).  Od 12. století vzniká nová oblast interiority subjektu vázaná na zavedení osobní zpovědi v místní</w:t>
      </w:r>
      <w:r>
        <w:rPr>
          <w:lang w:val="cs-CZ"/>
        </w:rPr>
        <w:t>ch</w:t>
      </w:r>
      <w:r>
        <w:t xml:space="preserve"> jazyc</w:t>
      </w:r>
      <w:r>
        <w:rPr>
          <w:lang w:val="cs-CZ"/>
        </w:rPr>
        <w:t xml:space="preserve">ích </w:t>
      </w:r>
      <w:r>
        <w:t>(</w:t>
      </w:r>
      <w:r w:rsidRPr="08695131">
        <w:t>Rusconi</w:t>
      </w:r>
      <w:r>
        <w:t xml:space="preserve"> 1981)</w:t>
      </w:r>
      <w:r>
        <w:rPr>
          <w:lang w:val="cs-CZ"/>
        </w:rPr>
        <w:t>. Takto utvářený institucionální prostor subjektivity navazuje na vznik očistcové mentality v porretánské teologii (kap. 1.6).</w:t>
      </w:r>
    </w:p>
  </w:footnote>
  <w:footnote w:id="516">
    <w:p w14:paraId="11A0D820" w14:textId="77777777" w:rsidR="00CD2817" w:rsidRPr="00DA4E91" w:rsidRDefault="00CD2817" w:rsidP="089647CA">
      <w:pPr>
        <w:pStyle w:val="Textpoznpodarou"/>
        <w:rPr>
          <w:lang w:val="cs-CZ"/>
        </w:rPr>
      </w:pPr>
      <w:r>
        <w:rPr>
          <w:rStyle w:val="Znakapoznpodarou"/>
        </w:rPr>
        <w:footnoteRef/>
      </w:r>
      <w:r>
        <w:rPr>
          <w:lang w:val="cs-CZ"/>
        </w:rPr>
        <w:t xml:space="preserve"> „I</w:t>
      </w:r>
      <w:r w:rsidRPr="00DA4E91">
        <w:t>llud quod disponitur per bonum est causa finalis; bonum enim est desiderabile, et causa finalis est desiderabilis</w:t>
      </w:r>
      <w:r>
        <w:rPr>
          <w:lang w:val="cs-CZ"/>
        </w:rPr>
        <w:t>... si hoc concedatur, quod omne quod est bonum secundum se et propter suam naturam, est finis.“ (</w:t>
      </w:r>
      <w:r w:rsidRPr="001D3706">
        <w:rPr>
          <w:i/>
        </w:rPr>
        <w:t>De dictinctionibus</w:t>
      </w:r>
      <w:r>
        <w:rPr>
          <w:i/>
          <w:lang w:val="cs-CZ"/>
        </w:rPr>
        <w:t xml:space="preserve">, </w:t>
      </w:r>
      <w:r w:rsidRPr="00936EC5">
        <w:rPr>
          <w:lang w:val="cs-CZ"/>
        </w:rPr>
        <w:t>Venetiis 1510</w:t>
      </w:r>
      <w:r>
        <w:rPr>
          <w:i/>
          <w:lang w:val="cs-CZ"/>
        </w:rPr>
        <w:t xml:space="preserve">, </w:t>
      </w:r>
      <w:r w:rsidRPr="001D3706">
        <w:rPr>
          <w:lang w:val="cs-CZ"/>
        </w:rPr>
        <w:t>f</w:t>
      </w:r>
      <w:r>
        <w:rPr>
          <w:lang w:val="cs-CZ"/>
        </w:rPr>
        <w:t xml:space="preserve">ol. </w:t>
      </w:r>
      <w:r w:rsidRPr="001D3706">
        <w:rPr>
          <w:lang w:val="cs-CZ"/>
        </w:rPr>
        <w:t>164</w:t>
      </w:r>
      <w:r>
        <w:rPr>
          <w:lang w:val="cs-CZ"/>
        </w:rPr>
        <w:t xml:space="preserve">; cit. podle </w:t>
      </w:r>
      <w:r>
        <w:rPr>
          <w:rStyle w:val="addmd"/>
        </w:rPr>
        <w:t>Matsen</w:t>
      </w:r>
      <w:r>
        <w:rPr>
          <w:rStyle w:val="addmd"/>
          <w:lang w:val="cs-CZ"/>
        </w:rPr>
        <w:t xml:space="preserve"> 1974, pp. </w:t>
      </w:r>
      <w:r>
        <w:rPr>
          <w:lang w:val="cs-CZ"/>
        </w:rPr>
        <w:t>282‒83</w:t>
      </w:r>
      <w:r>
        <w:rPr>
          <w:lang w:val="cs-CZ"/>
        </w:rPr>
        <w:fldChar w:fldCharType="begin"/>
      </w:r>
      <w:r>
        <w:instrText xml:space="preserve"> XE "</w:instrText>
      </w:r>
      <w:r w:rsidRPr="009976F1">
        <w:instrText>Achillini:</w:instrText>
      </w:r>
      <w:r w:rsidRPr="001D3706">
        <w:rPr>
          <w:i/>
        </w:rPr>
        <w:instrText>De dictinctionibus</w:instrText>
      </w:r>
      <w:r>
        <w:rPr>
          <w:i/>
          <w:lang w:val="cs-CZ"/>
        </w:rPr>
        <w:instrText xml:space="preserve">, </w:instrText>
      </w:r>
      <w:r w:rsidRPr="001D3706">
        <w:rPr>
          <w:lang w:val="cs-CZ"/>
        </w:rPr>
        <w:instrText>f</w:instrText>
      </w:r>
      <w:r>
        <w:rPr>
          <w:lang w:val="cs-CZ"/>
        </w:rPr>
        <w:instrText xml:space="preserve">ol. </w:instrText>
      </w:r>
      <w:r w:rsidRPr="001D3706">
        <w:rPr>
          <w:lang w:val="cs-CZ"/>
        </w:rPr>
        <w:instrText>164</w:instrText>
      </w:r>
      <w:r>
        <w:instrText xml:space="preserve">" </w:instrText>
      </w:r>
      <w:r>
        <w:rPr>
          <w:lang w:val="cs-CZ"/>
        </w:rPr>
        <w:fldChar w:fldCharType="end"/>
      </w:r>
      <w:r>
        <w:rPr>
          <w:lang w:val="cs-CZ"/>
        </w:rPr>
        <w:t xml:space="preserve">) </w:t>
      </w:r>
    </w:p>
  </w:footnote>
  <w:footnote w:id="517">
    <w:p w14:paraId="6CD71B84" w14:textId="77777777" w:rsidR="00CD2817" w:rsidRPr="00275F67" w:rsidRDefault="00CD2817" w:rsidP="00002869">
      <w:pPr>
        <w:pStyle w:val="Textpoznpodarou"/>
        <w:rPr>
          <w:lang w:val="cs-CZ"/>
        </w:rPr>
      </w:pPr>
      <w:r>
        <w:rPr>
          <w:rStyle w:val="Znakapoznpodarou"/>
        </w:rPr>
        <w:footnoteRef/>
      </w:r>
      <w:r>
        <w:rPr>
          <w:lang w:val="cs-CZ"/>
        </w:rPr>
        <w:t xml:space="preserve"> </w:t>
      </w:r>
      <w:r>
        <w:t>„</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518">
    <w:p w14:paraId="487C73B8" w14:textId="77777777" w:rsidR="00CD2817" w:rsidRPr="00E76E06" w:rsidRDefault="00CD2817" w:rsidP="00AA6333">
      <w:pPr>
        <w:pStyle w:val="Textpoznpodarou"/>
        <w:rPr>
          <w:lang w:val="cs-CZ"/>
        </w:rPr>
      </w:pPr>
      <w:r>
        <w:rPr>
          <w:rStyle w:val="Znakapoznpodarou"/>
        </w:rPr>
        <w:footnoteRef/>
      </w:r>
      <w:r>
        <w:rPr>
          <w:lang w:val="cs-CZ"/>
        </w:rPr>
        <w:t xml:space="preserve"> „</w:t>
      </w:r>
      <w:r w:rsidRPr="00E76E06">
        <w:rPr>
          <w:rStyle w:val="Zvraznn"/>
          <w:i w:val="0"/>
          <w:iCs w:val="0"/>
        </w:rPr>
        <w:t>Fundierung leistet insofern für Vorstellungen idealer Gegenstände dasselbe, wie Wahrnehmung für Vorstellungen realer Gegenstände; und d</w:t>
      </w:r>
      <w:r>
        <w:rPr>
          <w:rStyle w:val="Zvraznn"/>
          <w:i w:val="0"/>
          <w:iCs w:val="0"/>
        </w:rPr>
        <w:t>as alte erkenntnistheoretisch-</w:t>
      </w:r>
      <w:r w:rsidRPr="00E76E06">
        <w:rPr>
          <w:rStyle w:val="Zvraznn"/>
          <w:i w:val="0"/>
          <w:iCs w:val="0"/>
        </w:rPr>
        <w:t xml:space="preserve">psychologische Prinzip von Intellectus und Sensus </w:t>
      </w:r>
      <w:bookmarkStart w:id="148" w:name="24a"/>
      <w:bookmarkEnd w:id="148"/>
      <w:r w:rsidRPr="00E76E06">
        <w:rPr>
          <w:rStyle w:val="Zvraznn"/>
          <w:i w:val="0"/>
          <w:iCs w:val="0"/>
        </w:rPr>
        <w:t>leidet am fundamentalen Mangel, mit der Fundi</w:t>
      </w:r>
      <w:r>
        <w:rPr>
          <w:rStyle w:val="Zvraznn"/>
          <w:i w:val="0"/>
          <w:iCs w:val="0"/>
        </w:rPr>
        <w:t>erung sozusagen die eine Hälfte</w:t>
      </w:r>
      <w:r w:rsidRPr="00E76E06">
        <w:rPr>
          <w:rStyle w:val="Zvraznn"/>
          <w:i w:val="0"/>
          <w:iCs w:val="0"/>
        </w:rPr>
        <w:t xml:space="preserve"> der Tatsachen zu vernachlässigen.</w:t>
      </w:r>
      <w:r>
        <w:rPr>
          <w:rStyle w:val="Zvraznn"/>
          <w:i w:val="0"/>
          <w:iCs w:val="0"/>
          <w:lang w:val="cs-CZ"/>
        </w:rPr>
        <w:t>“ (</w:t>
      </w:r>
      <w:r w:rsidRPr="00545727">
        <w:rPr>
          <w:i/>
        </w:rPr>
        <w:t>Über Gegenstände höherer Ordnung un</w:t>
      </w:r>
      <w:r>
        <w:rPr>
          <w:i/>
        </w:rPr>
        <w:t xml:space="preserve">d deren Verhältnis zur inneren </w:t>
      </w:r>
      <w:r w:rsidRPr="00545727">
        <w:rPr>
          <w:i/>
        </w:rPr>
        <w:t>Wahrnehmung</w:t>
      </w:r>
      <w:r>
        <w:rPr>
          <w:i/>
          <w:lang w:val="cs-CZ"/>
        </w:rPr>
        <w:t>,</w:t>
      </w:r>
      <w:r>
        <w:rPr>
          <w:rStyle w:val="Zvraznn"/>
          <w:i w:val="0"/>
          <w:iCs w:val="0"/>
          <w:lang w:val="cs-CZ"/>
        </w:rPr>
        <w:t xml:space="preserve"> §7; Meinong 1899, 203</w:t>
      </w:r>
      <w:r>
        <w:rPr>
          <w:rStyle w:val="Zvraznn"/>
          <w:i w:val="0"/>
          <w:iCs w:val="0"/>
          <w:lang w:val="cs-CZ"/>
        </w:rPr>
        <w:fldChar w:fldCharType="begin"/>
      </w:r>
      <w:r>
        <w:instrText xml:space="preserve"> XE "</w:instrText>
      </w:r>
      <w:r w:rsidRPr="008D533C">
        <w:instrText>Meinong:</w:instrText>
      </w:r>
      <w:r w:rsidRPr="00545727">
        <w:rPr>
          <w:i/>
        </w:rPr>
        <w:instrText>Über Gegenstände höherer Ordnung un</w:instrText>
      </w:r>
      <w:r>
        <w:rPr>
          <w:i/>
        </w:rPr>
        <w:instrText xml:space="preserve">d deren Verhältnis zur inneren </w:instrText>
      </w:r>
      <w:r w:rsidRPr="00545727">
        <w:rPr>
          <w:i/>
        </w:rPr>
        <w:instrText>Wahrnehmung</w:instrText>
      </w:r>
      <w:r>
        <w:rPr>
          <w:i/>
          <w:lang w:val="cs-CZ"/>
        </w:rPr>
        <w:instrText xml:space="preserve"> </w:instrText>
      </w:r>
      <w:r w:rsidRPr="084D17D4">
        <w:rPr>
          <w:lang w:val="cs-CZ"/>
        </w:rPr>
        <w:instrText>203</w:instrText>
      </w:r>
      <w:r>
        <w:instrText xml:space="preserve">" </w:instrText>
      </w:r>
      <w:r>
        <w:rPr>
          <w:rStyle w:val="Zvraznn"/>
          <w:i w:val="0"/>
          <w:iCs w:val="0"/>
          <w:lang w:val="cs-CZ"/>
        </w:rPr>
        <w:fldChar w:fldCharType="end"/>
      </w:r>
      <w:r>
        <w:rPr>
          <w:rStyle w:val="Zvraznn"/>
          <w:i w:val="0"/>
          <w:iCs w:val="0"/>
          <w:lang w:val="cs-CZ"/>
        </w:rPr>
        <w:t>)</w:t>
      </w:r>
    </w:p>
  </w:footnote>
  <w:footnote w:id="519">
    <w:p w14:paraId="69703421" w14:textId="77777777" w:rsidR="00CD2817" w:rsidRPr="00753A6D" w:rsidRDefault="00CD2817" w:rsidP="00AA6333">
      <w:pPr>
        <w:pStyle w:val="Textpoznpodarou"/>
        <w:rPr>
          <w:lang w:val="cs-CZ"/>
        </w:rPr>
      </w:pPr>
      <w:r>
        <w:rPr>
          <w:rStyle w:val="Znakapoznpodarou"/>
        </w:rPr>
        <w:footnoteRef/>
      </w:r>
      <w:r>
        <w:rPr>
          <w:lang w:val="cs-CZ"/>
        </w:rPr>
        <w:t xml:space="preserve"> „</w:t>
      </w:r>
      <w:r w:rsidRPr="00753A6D">
        <w:rPr>
          <w:szCs w:val="24"/>
        </w:rPr>
        <w:t>Das Streben nach einer wissenschaftlichen Fundierung der philosophischen Disziplinen führte zur logischen Betrachtung der Mathematik als der einzig sicheren und exakten Wissenschaft. Im Hinblick auf sie sucht die Philosophie sich zu orientieren, sichere Haltung und wissenschaftliche Methode zu gewinnen.</w:t>
      </w:r>
      <w:r>
        <w:rPr>
          <w:szCs w:val="24"/>
          <w:lang w:val="cs-CZ"/>
        </w:rPr>
        <w:t>“ (</w:t>
      </w:r>
      <w:r w:rsidRPr="00067A17">
        <w:rPr>
          <w:i/>
          <w:szCs w:val="24"/>
          <w:lang w:val="cs-CZ"/>
        </w:rPr>
        <w:t>Geschichtliche</w:t>
      </w:r>
      <w:r>
        <w:rPr>
          <w:i/>
          <w:szCs w:val="24"/>
          <w:lang w:val="cs-CZ"/>
        </w:rPr>
        <w:t>r</w:t>
      </w:r>
      <w:r w:rsidRPr="00067A17">
        <w:rPr>
          <w:i/>
          <w:szCs w:val="24"/>
          <w:lang w:val="cs-CZ"/>
        </w:rPr>
        <w:t xml:space="preserve"> Überblick über die Philosophie</w:t>
      </w:r>
      <w:r>
        <w:rPr>
          <w:i/>
          <w:szCs w:val="24"/>
          <w:lang w:val="cs-CZ"/>
        </w:rPr>
        <w:t xml:space="preserve"> der Mathematik</w:t>
      </w:r>
      <w:r w:rsidRPr="00067A17">
        <w:rPr>
          <w:szCs w:val="24"/>
          <w:lang w:val="cs-CZ"/>
        </w:rPr>
        <w:t>;</w:t>
      </w:r>
      <w:r>
        <w:rPr>
          <w:szCs w:val="24"/>
          <w:lang w:val="cs-CZ"/>
        </w:rPr>
        <w:t xml:space="preserve"> Husserliana 21, 227.26‒29</w:t>
      </w:r>
      <w:r>
        <w:rPr>
          <w:szCs w:val="24"/>
          <w:lang w:val="cs-CZ"/>
        </w:rPr>
        <w:fldChar w:fldCharType="begin"/>
      </w:r>
      <w:r>
        <w:instrText xml:space="preserve"> XE "</w:instrText>
      </w:r>
      <w:r>
        <w:rPr>
          <w:lang w:val="cs-CZ"/>
        </w:rPr>
        <w:instrText>Husserl:</w:instrText>
      </w:r>
      <w:r w:rsidRPr="006120AD">
        <w:rPr>
          <w:i/>
          <w:szCs w:val="24"/>
          <w:lang w:val="cs-CZ"/>
        </w:rPr>
        <w:instrText>Geschichtlicher Überblick über die Philosophie der Mathematik</w:instrText>
      </w:r>
      <w:r>
        <w:rPr>
          <w:lang w:val="cs-CZ"/>
        </w:rPr>
        <w:instrText xml:space="preserve"> </w:instrText>
      </w:r>
      <w:r w:rsidRPr="006120AD">
        <w:rPr>
          <w:szCs w:val="24"/>
          <w:lang w:val="cs-CZ"/>
        </w:rPr>
        <w:instrText>227.26‒29</w:instrText>
      </w:r>
      <w:r>
        <w:instrText xml:space="preserve">" </w:instrText>
      </w:r>
      <w:r>
        <w:rPr>
          <w:szCs w:val="24"/>
          <w:lang w:val="cs-CZ"/>
        </w:rPr>
        <w:fldChar w:fldCharType="end"/>
      </w:r>
      <w:r>
        <w:rPr>
          <w:szCs w:val="24"/>
          <w:lang w:val="cs-CZ"/>
        </w:rPr>
        <w:t>)</w:t>
      </w:r>
    </w:p>
  </w:footnote>
  <w:footnote w:id="520">
    <w:p w14:paraId="108CD179" w14:textId="77777777" w:rsidR="00CD2817" w:rsidRPr="08877A79" w:rsidRDefault="00CD2817" w:rsidP="00AA6333">
      <w:pPr>
        <w:pStyle w:val="Textpoznpodarou"/>
        <w:rPr>
          <w:lang w:val="cs-CZ"/>
        </w:rPr>
      </w:pPr>
      <w:r>
        <w:rPr>
          <w:rStyle w:val="Znakapoznpodarou"/>
        </w:rPr>
        <w:footnoteRef/>
      </w:r>
      <w:r>
        <w:t xml:space="preserve"> </w:t>
      </w:r>
      <w:r>
        <w:rPr>
          <w:szCs w:val="24"/>
          <w:lang w:val="cs-CZ"/>
        </w:rPr>
        <w:t>„</w:t>
      </w:r>
      <w:r>
        <w:rPr>
          <w:color w:val="000000"/>
          <w:lang w:val="de-DE"/>
        </w:rPr>
        <w:t>Die Möglich</w:t>
      </w:r>
      <w:r>
        <w:rPr>
          <w:color w:val="000000"/>
          <w:lang w:val="de-DE"/>
        </w:rPr>
        <w:softHyphen/>
        <w:t xml:space="preserve">keit bleibt offen, daß eine andere Wissenschaft und vielleicht in ungleich bedeutsamerer Weise zu ihrer Fundirung beitrüge.“ </w:t>
      </w:r>
      <w:r>
        <w:rPr>
          <w:szCs w:val="24"/>
          <w:lang w:val="cs-CZ"/>
        </w:rPr>
        <w:t xml:space="preserve"> (</w:t>
      </w:r>
      <w:r w:rsidRPr="00D4620D">
        <w:rPr>
          <w:i/>
          <w:szCs w:val="24"/>
          <w:lang w:val="cs-CZ"/>
        </w:rPr>
        <w:t>Logische Untersuchungen</w:t>
      </w:r>
      <w:r>
        <w:rPr>
          <w:szCs w:val="24"/>
          <w:lang w:val="cs-CZ"/>
        </w:rPr>
        <w:t xml:space="preserve"> I, § 20, p. 59</w:t>
      </w:r>
      <w:r>
        <w:rPr>
          <w:szCs w:val="24"/>
          <w:lang w:val="cs-CZ"/>
        </w:rPr>
        <w:fldChar w:fldCharType="begin"/>
      </w:r>
      <w:r>
        <w:instrText xml:space="preserve"> XE "</w:instrText>
      </w:r>
      <w:r>
        <w:rPr>
          <w:lang w:val="cs-CZ"/>
        </w:rPr>
        <w:instrText>Husserl:</w:instrText>
      </w:r>
      <w:r w:rsidRPr="00F53AFF">
        <w:rPr>
          <w:i/>
          <w:szCs w:val="24"/>
          <w:lang w:val="cs-CZ"/>
        </w:rPr>
        <w:instrText>Logische Untersuchungen</w:instrText>
      </w:r>
      <w:r w:rsidRPr="00F53AFF">
        <w:rPr>
          <w:szCs w:val="24"/>
          <w:lang w:val="cs-CZ"/>
        </w:rPr>
        <w:instrText xml:space="preserve"> 59</w:instrText>
      </w:r>
      <w:r>
        <w:instrText xml:space="preserve">" </w:instrText>
      </w:r>
      <w:r>
        <w:rPr>
          <w:szCs w:val="24"/>
          <w:lang w:val="cs-CZ"/>
        </w:rPr>
        <w:fldChar w:fldCharType="end"/>
      </w:r>
      <w:r>
        <w:rPr>
          <w:szCs w:val="24"/>
          <w:lang w:val="cs-CZ"/>
        </w:rPr>
        <w:t>)</w:t>
      </w:r>
    </w:p>
  </w:footnote>
  <w:footnote w:id="521">
    <w:p w14:paraId="36590119" w14:textId="77777777" w:rsidR="00CD2817" w:rsidRPr="080A5630" w:rsidRDefault="00CD2817" w:rsidP="08E649ED">
      <w:pPr>
        <w:pStyle w:val="Textpoznpodarou"/>
      </w:pPr>
      <w:r>
        <w:rPr>
          <w:rStyle w:val="Znakapoznpodarou"/>
        </w:rPr>
        <w:footnoteRef/>
      </w:r>
      <w:r>
        <w:t xml:space="preserve"> „</w:t>
      </w:r>
      <w:r w:rsidRPr="080A5630">
        <w:t>Das principium rationis ist für Leibniz, streng gedacht, das principi</w:t>
      </w:r>
      <w:r>
        <w:t>um reddendae rationis. Rationem</w:t>
      </w:r>
      <w:r w:rsidRPr="080A5630">
        <w:t xml:space="preserve"> reddere heißt: den Grund zurückgeben. Weshalb zurück und wohin zurück? Weil es sich in den Beweisgängen, allgemein</w:t>
      </w:r>
      <w:r>
        <w:t xml:space="preserve"> gesprochen im Erkennen um das </w:t>
      </w:r>
      <w:r w:rsidRPr="080A5630">
        <w:rPr>
          <w:i/>
        </w:rPr>
        <w:t>Vor</w:t>
      </w:r>
      <w:r w:rsidRPr="080A5630">
        <w:t xml:space="preserve">stellen der </w:t>
      </w:r>
      <w:r w:rsidRPr="080A5630">
        <w:rPr>
          <w:i/>
        </w:rPr>
        <w:t>Gegen</w:t>
      </w:r>
      <w:r w:rsidRPr="080A5630">
        <w:t>stände handelt, kommt dieses »zu-rück« ins Spiel. Die lateinische Sprache der Philosophie sagt es deutlicher: das Vorstellen ist re-praesentatio. Das Begegnende wird auf das vorstellende Ich zu, auf es zurück und ihm entge-gen praesentiert, in eine Gegenwart gestellt.</w:t>
      </w:r>
      <w:r>
        <w:t>“ (</w:t>
      </w:r>
      <w:r w:rsidRPr="08800089">
        <w:rPr>
          <w:i/>
        </w:rPr>
        <w:t>Der Satz vom Grund</w:t>
      </w:r>
      <w:r>
        <w:t>, GA 10, 34</w:t>
      </w:r>
      <w:r>
        <w:fldChar w:fldCharType="begin"/>
      </w:r>
      <w:r>
        <w:instrText xml:space="preserve"> XE "</w:instrText>
      </w:r>
      <w:r>
        <w:rPr>
          <w:lang w:val="cs-CZ"/>
        </w:rPr>
        <w:instrText>Heidegger:GA 1</w:instrText>
      </w:r>
      <w:r w:rsidRPr="00FA315B">
        <w:instrText>0, 34</w:instrText>
      </w:r>
      <w:r>
        <w:instrText xml:space="preserve">" </w:instrText>
      </w:r>
      <w:r>
        <w:fldChar w:fldCharType="end"/>
      </w:r>
      <w:r>
        <w:t>)</w:t>
      </w:r>
    </w:p>
  </w:footnote>
  <w:footnote w:id="522">
    <w:p w14:paraId="0F8BFE51" w14:textId="77777777" w:rsidR="00CD2817" w:rsidRPr="00414CC5" w:rsidRDefault="00CD2817" w:rsidP="08E649ED">
      <w:pPr>
        <w:pStyle w:val="Textpoznpodarou"/>
        <w:rPr>
          <w:lang w:val="cs-CZ"/>
        </w:rPr>
      </w:pPr>
      <w:r>
        <w:rPr>
          <w:rStyle w:val="Znakapoznpodarou"/>
        </w:rPr>
        <w:footnoteRef/>
      </w:r>
      <w:r>
        <w:t xml:space="preserve"> „Jusqu’ici nous n’avons parlé qu’en simples physiciens: maintenant </w:t>
      </w:r>
      <w:r w:rsidRPr="08966992">
        <w:rPr>
          <w:i/>
        </w:rPr>
        <w:t>il faut s’élever à la métaphysique, en nous servant du grand principe, peu employé communément</w:t>
      </w:r>
      <w:r>
        <w:t xml:space="preserve">, qui porte que rien ne se fait sans raison suffisante, c’est-à-dire que rien n’arrive sans qu’il soit possible à celui qui connaîtrait assez les choses de rendre une raison qui suffise pour déterminer pourquoi il en est ainsi, et non pas autrement. Ce principe posé, la première question qu’on a droit de faire sera : </w:t>
      </w:r>
      <w:r w:rsidRPr="08966992">
        <w:rPr>
          <w:i/>
        </w:rPr>
        <w:t>pourquoi il y a plutôt quelque chose que rien</w:t>
      </w:r>
      <w:r>
        <w:t xml:space="preserve">? Car le rien est plus simple et plus facile que quelque chose. De plus, supposé que des choses doivent exister, il faut qu’on puisse rendre raison pourquoi elles </w:t>
      </w:r>
      <w:r w:rsidRPr="08966992">
        <w:rPr>
          <w:i/>
        </w:rPr>
        <w:t>doivent exister ainsi</w:t>
      </w:r>
      <w:r>
        <w:t>, et non autrement. (</w:t>
      </w:r>
      <w:r w:rsidRPr="08966992">
        <w:rPr>
          <w:i/>
        </w:rPr>
        <w:t>Principes de la nature et de la grâce fondés en raiso</w:t>
      </w:r>
      <w:r w:rsidRPr="08966992">
        <w:t>n (1714)</w:t>
      </w:r>
      <w:r>
        <w:t xml:space="preserve">, kap. 7; </w:t>
      </w:r>
      <w:r w:rsidRPr="08FC0424">
        <w:rPr>
          <w:i/>
        </w:rPr>
        <w:t>Oeuvres</w:t>
      </w:r>
      <w:r>
        <w:t xml:space="preserve"> I, ed. Janet, p. 727</w:t>
      </w:r>
      <w:r>
        <w:fldChar w:fldCharType="begin"/>
      </w:r>
      <w:r>
        <w:instrText xml:space="preserve"> XE "</w:instrText>
      </w:r>
      <w:r>
        <w:rPr>
          <w:lang w:val="cs-CZ"/>
        </w:rPr>
        <w:instrText>Leibniz:</w:instrText>
      </w:r>
      <w:r w:rsidRPr="003F046E">
        <w:rPr>
          <w:i/>
        </w:rPr>
        <w:instrText>Principes de la nature et de la grâce fondés en raiso</w:instrText>
      </w:r>
      <w:r w:rsidRPr="003F046E">
        <w:instrText>n 727</w:instrText>
      </w:r>
      <w:r>
        <w:instrText xml:space="preserve">" </w:instrText>
      </w:r>
      <w:r>
        <w:fldChar w:fldCharType="end"/>
      </w:r>
      <w:r>
        <w:t>)</w:t>
      </w:r>
      <w:r>
        <w:rPr>
          <w:lang w:val="cs-CZ"/>
        </w:rPr>
        <w:t xml:space="preserve"> Kurzíva je moje vlastní.</w:t>
      </w:r>
    </w:p>
  </w:footnote>
  <w:footnote w:id="523">
    <w:p w14:paraId="2493F1F4" w14:textId="77777777" w:rsidR="001873EA" w:rsidRPr="00257A6E" w:rsidRDefault="001873EA" w:rsidP="001873EA">
      <w:pPr>
        <w:pStyle w:val="Textpoznpodarou"/>
        <w:rPr>
          <w:lang w:val="cs-CZ"/>
        </w:rPr>
      </w:pPr>
      <w:r>
        <w:rPr>
          <w:rStyle w:val="Znakapoznpodarou"/>
        </w:rPr>
        <w:footnoteRef/>
      </w:r>
      <w:r>
        <w:rPr>
          <w:szCs w:val="22"/>
          <w:lang w:val="cs-CZ"/>
        </w:rPr>
        <w:t xml:space="preserve"> „</w:t>
      </w:r>
      <w:r>
        <w:rPr>
          <w:szCs w:val="22"/>
        </w:rPr>
        <w:t>Die Natur thut nämlich nichts überflüssig und ist im Gebrauche der Mittel zu ihren Zwecken nicht verschwenderisch. Da sie dem Menschen Vernunft und darauf sich gründende Freiheit des Willens gab, so war das schon eine klare Anzeige ihrer Absicht in Ansehung seiner Ausstattung. Er sollte nämlich nun nicht durch Instinct geleitet, oder durch anerschaffene Kenntniß versorgt und unterrichtet sein; er sollte vielmehr alles aus sich selbst herausbringen.“ (AK 8, 19</w:t>
      </w:r>
      <w:r>
        <w:rPr>
          <w:szCs w:val="22"/>
        </w:rPr>
        <w:fldChar w:fldCharType="begin"/>
      </w:r>
      <w:r>
        <w:instrText xml:space="preserve"> XE "</w:instrText>
      </w:r>
      <w:r>
        <w:rPr>
          <w:lang w:val="cs-CZ"/>
        </w:rPr>
        <w:instrText>Kant:</w:instrText>
      </w:r>
      <w:r w:rsidRPr="00734C05">
        <w:rPr>
          <w:i/>
          <w:iCs/>
        </w:rPr>
        <w:instrText>Idee zu einer allgemeinen Geschichte in weltbürgerlicher Absicht</w:instrText>
      </w:r>
      <w:r>
        <w:instrText xml:space="preserve"> </w:instrText>
      </w:r>
      <w:r>
        <w:rPr>
          <w:lang w:val="cs-CZ"/>
        </w:rPr>
        <w:instrText>8.</w:instrText>
      </w:r>
      <w:r w:rsidRPr="00DD34DB">
        <w:rPr>
          <w:szCs w:val="22"/>
        </w:rPr>
        <w:instrText>19</w:instrText>
      </w:r>
      <w:r>
        <w:instrText xml:space="preserve">" </w:instrText>
      </w:r>
      <w:r>
        <w:rPr>
          <w:szCs w:val="22"/>
        </w:rPr>
        <w:fldChar w:fldCharType="end"/>
      </w:r>
      <w:r>
        <w:rPr>
          <w:szCs w:val="22"/>
        </w:rPr>
        <w:t xml:space="preserve">) </w:t>
      </w:r>
    </w:p>
  </w:footnote>
  <w:footnote w:id="524">
    <w:p w14:paraId="6BA88052" w14:textId="77777777" w:rsidR="00C8481E" w:rsidRPr="00E851D0" w:rsidRDefault="00C8481E" w:rsidP="00C8481E">
      <w:pPr>
        <w:pStyle w:val="Textpoznpodarou"/>
        <w:rPr>
          <w:lang w:val="cs-CZ"/>
        </w:rPr>
      </w:pPr>
      <w:r>
        <w:rPr>
          <w:rStyle w:val="Znakapoznpodarou"/>
        </w:rPr>
        <w:footnoteRef/>
      </w:r>
      <w:r>
        <w:rPr>
          <w:lang w:val="cs-CZ"/>
        </w:rPr>
        <w:t xml:space="preserve"> „</w:t>
      </w:r>
      <w:r>
        <w:t>Take up the White Man's burden</w:t>
      </w:r>
      <w:r>
        <w:rPr>
          <w:lang w:val="cs-CZ"/>
        </w:rPr>
        <w:t xml:space="preserve">, </w:t>
      </w:r>
      <w:r>
        <w:t>Send forth the best ye breed</w:t>
      </w:r>
      <w:r>
        <w:rPr>
          <w:lang w:val="cs-CZ"/>
        </w:rPr>
        <w:t xml:space="preserve"> / </w:t>
      </w:r>
      <w:r>
        <w:t>Go bind your sons to exile, to serve your captives' need;</w:t>
      </w:r>
      <w:r>
        <w:rPr>
          <w:lang w:val="cs-CZ"/>
        </w:rPr>
        <w:t xml:space="preserve"> / </w:t>
      </w:r>
      <w:r>
        <w:t>To wait in heavy harness, On fluttered folk and wild—</w:t>
      </w:r>
      <w:r>
        <w:rPr>
          <w:lang w:val="cs-CZ"/>
        </w:rPr>
        <w:t xml:space="preserve"> / </w:t>
      </w:r>
      <w:r>
        <w:t>Your new-caught, sullen peoples, Half-devil and half-child.</w:t>
      </w:r>
      <w:r>
        <w:rPr>
          <w:lang w:val="cs-CZ"/>
        </w:rPr>
        <w:t>“ (</w:t>
      </w:r>
      <w:r w:rsidRPr="00273106">
        <w:rPr>
          <w:i/>
        </w:rPr>
        <w:t>The White Man's Burden</w:t>
      </w:r>
      <w:r>
        <w:t>, R. Kip</w:t>
      </w:r>
      <w:r w:rsidRPr="00273106">
        <w:t>ling 1899</w:t>
      </w:r>
      <w:r>
        <w:rPr>
          <w:lang w:val="cs-CZ"/>
        </w:rPr>
        <w:t>)</w:t>
      </w:r>
    </w:p>
  </w:footnote>
  <w:footnote w:id="525">
    <w:p w14:paraId="5EAF915D" w14:textId="77777777" w:rsidR="00CD2817" w:rsidRPr="00F71D95" w:rsidRDefault="00CD2817" w:rsidP="00FA6EF4">
      <w:pPr>
        <w:pStyle w:val="Textpoznpodarou"/>
        <w:rPr>
          <w:lang w:val="cs-CZ"/>
        </w:rPr>
      </w:pPr>
      <w:r w:rsidRPr="00F71D95">
        <w:rPr>
          <w:rStyle w:val="Znakapoznpodarou"/>
        </w:rPr>
        <w:footnoteRef/>
      </w:r>
      <w:r w:rsidRPr="00F71D95">
        <w:t xml:space="preserve"> „Une chose en tout cas est certaine : c’est que l’homme n’est pas le plus vieux problème ni le</w:t>
      </w:r>
      <w:r>
        <w:rPr>
          <w:lang w:val="cs-CZ"/>
        </w:rPr>
        <w:t xml:space="preserve"> </w:t>
      </w:r>
      <w:r w:rsidRPr="00F71D95">
        <w:t>plus constant qui se soit posé au savoir humain. En prenant une chronologie relativement</w:t>
      </w:r>
      <w:r>
        <w:rPr>
          <w:lang w:val="cs-CZ"/>
        </w:rPr>
        <w:t xml:space="preserve"> </w:t>
      </w:r>
      <w:r w:rsidRPr="00F71D95">
        <w:t>courte, et un découpage géographique restreint – la culture européenne depuis la fin du XVIe</w:t>
      </w:r>
      <w:r>
        <w:rPr>
          <w:lang w:val="cs-CZ"/>
        </w:rPr>
        <w:t xml:space="preserve"> </w:t>
      </w:r>
      <w:r w:rsidRPr="00F71D95">
        <w:t xml:space="preserve">siècle – on peut être sûr que l’homme est une invention récente. (...) </w:t>
      </w:r>
      <w:r>
        <w:rPr>
          <w:lang w:val="cs-CZ"/>
        </w:rPr>
        <w:t>C</w:t>
      </w:r>
      <w:r w:rsidRPr="00F71D95">
        <w:t>’était l’effet d’un changement dans les dispositions fondamentales du</w:t>
      </w:r>
      <w:r>
        <w:rPr>
          <w:lang w:val="cs-CZ"/>
        </w:rPr>
        <w:t xml:space="preserve"> </w:t>
      </w:r>
      <w:r w:rsidRPr="00F71D95">
        <w:t>savoir. L’homme est une invention dont l’archéologie de notre pensée montre aisément la date</w:t>
      </w:r>
      <w:r>
        <w:rPr>
          <w:lang w:val="cs-CZ"/>
        </w:rPr>
        <w:t xml:space="preserve"> </w:t>
      </w:r>
      <w:r w:rsidRPr="00F71D95">
        <w:t>récente. Et peut-être la fin prochaine.</w:t>
      </w:r>
      <w:r>
        <w:rPr>
          <w:lang w:val="cs-CZ"/>
        </w:rPr>
        <w:t>“ (Foucault 1966, 398)</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EE81D34"/>
    <w:multiLevelType w:val="hybridMultilevel"/>
    <w:tmpl w:val="031CB26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22F9615D"/>
    <w:multiLevelType w:val="hybridMultilevel"/>
    <w:tmpl w:val="F264B1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2D2653EC"/>
    <w:multiLevelType w:val="hybridMultilevel"/>
    <w:tmpl w:val="0100C63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36ED6393"/>
    <w:multiLevelType w:val="hybridMultilevel"/>
    <w:tmpl w:val="AAC021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12267D4"/>
    <w:multiLevelType w:val="hybridMultilevel"/>
    <w:tmpl w:val="DC88FF0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45B56F7D"/>
    <w:multiLevelType w:val="hybridMultilevel"/>
    <w:tmpl w:val="AED800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4D3419B9"/>
    <w:multiLevelType w:val="hybridMultilevel"/>
    <w:tmpl w:val="4C6E8A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F7D32EB"/>
    <w:multiLevelType w:val="hybridMultilevel"/>
    <w:tmpl w:val="393AD0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564F696F"/>
    <w:multiLevelType w:val="hybridMultilevel"/>
    <w:tmpl w:val="07E092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9AE054A"/>
    <w:multiLevelType w:val="hybridMultilevel"/>
    <w:tmpl w:val="04D8517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7A6843FD"/>
    <w:multiLevelType w:val="hybridMultilevel"/>
    <w:tmpl w:val="E64EDB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5"/>
  </w:num>
  <w:num w:numId="4">
    <w:abstractNumId w:val="11"/>
  </w:num>
  <w:num w:numId="5">
    <w:abstractNumId w:val="13"/>
  </w:num>
  <w:num w:numId="6">
    <w:abstractNumId w:val="10"/>
  </w:num>
  <w:num w:numId="7">
    <w:abstractNumId w:val="9"/>
  </w:num>
  <w:num w:numId="8">
    <w:abstractNumId w:val="8"/>
  </w:num>
  <w:num w:numId="9">
    <w:abstractNumId w:val="6"/>
  </w:num>
  <w:num w:numId="10">
    <w:abstractNumId w:val="12"/>
  </w:num>
  <w:num w:numId="11">
    <w:abstractNumId w:val="14"/>
  </w:num>
  <w:num w:numId="12">
    <w:abstractNumId w:val="7"/>
  </w:num>
  <w:num w:numId="13">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1" w:allStyles="1" w:customStyles="0" w:latentStyles="0"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9420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41"/>
    <w:rsid w:val="000000B9"/>
    <w:rsid w:val="000000C6"/>
    <w:rsid w:val="000000DD"/>
    <w:rsid w:val="000000F7"/>
    <w:rsid w:val="00000110"/>
    <w:rsid w:val="00000113"/>
    <w:rsid w:val="00000121"/>
    <w:rsid w:val="00000150"/>
    <w:rsid w:val="000001BC"/>
    <w:rsid w:val="000001D9"/>
    <w:rsid w:val="00000219"/>
    <w:rsid w:val="00000255"/>
    <w:rsid w:val="00000276"/>
    <w:rsid w:val="000002A1"/>
    <w:rsid w:val="00000344"/>
    <w:rsid w:val="0000037C"/>
    <w:rsid w:val="000003E0"/>
    <w:rsid w:val="000003EF"/>
    <w:rsid w:val="00000410"/>
    <w:rsid w:val="00000415"/>
    <w:rsid w:val="000004BB"/>
    <w:rsid w:val="000004C3"/>
    <w:rsid w:val="00000592"/>
    <w:rsid w:val="00000611"/>
    <w:rsid w:val="00000616"/>
    <w:rsid w:val="0000065F"/>
    <w:rsid w:val="00000690"/>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4"/>
    <w:rsid w:val="00000B1F"/>
    <w:rsid w:val="00000B9B"/>
    <w:rsid w:val="00000BAD"/>
    <w:rsid w:val="00000BDE"/>
    <w:rsid w:val="00000BEF"/>
    <w:rsid w:val="00000C71"/>
    <w:rsid w:val="00000CC7"/>
    <w:rsid w:val="00000CCC"/>
    <w:rsid w:val="00000CD5"/>
    <w:rsid w:val="00000D04"/>
    <w:rsid w:val="00000D3C"/>
    <w:rsid w:val="00000D52"/>
    <w:rsid w:val="00000D68"/>
    <w:rsid w:val="00000D69"/>
    <w:rsid w:val="00000DAA"/>
    <w:rsid w:val="00000E3F"/>
    <w:rsid w:val="00000EAB"/>
    <w:rsid w:val="00000EDF"/>
    <w:rsid w:val="00000F40"/>
    <w:rsid w:val="00000FC2"/>
    <w:rsid w:val="00000FEA"/>
    <w:rsid w:val="00000FFE"/>
    <w:rsid w:val="000010F3"/>
    <w:rsid w:val="00001155"/>
    <w:rsid w:val="00001191"/>
    <w:rsid w:val="000011EE"/>
    <w:rsid w:val="00001240"/>
    <w:rsid w:val="0000128C"/>
    <w:rsid w:val="000012B8"/>
    <w:rsid w:val="000012C1"/>
    <w:rsid w:val="0000131A"/>
    <w:rsid w:val="00001347"/>
    <w:rsid w:val="00001363"/>
    <w:rsid w:val="000013C6"/>
    <w:rsid w:val="000013CE"/>
    <w:rsid w:val="000013EE"/>
    <w:rsid w:val="000013F5"/>
    <w:rsid w:val="0000140E"/>
    <w:rsid w:val="0000141E"/>
    <w:rsid w:val="00001432"/>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DE"/>
    <w:rsid w:val="00001854"/>
    <w:rsid w:val="00001863"/>
    <w:rsid w:val="00001875"/>
    <w:rsid w:val="000018B9"/>
    <w:rsid w:val="000018D7"/>
    <w:rsid w:val="000018F2"/>
    <w:rsid w:val="0000195F"/>
    <w:rsid w:val="0000197F"/>
    <w:rsid w:val="00001982"/>
    <w:rsid w:val="000019B0"/>
    <w:rsid w:val="000019B4"/>
    <w:rsid w:val="000019D3"/>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7"/>
    <w:rsid w:val="00001D91"/>
    <w:rsid w:val="00001DEF"/>
    <w:rsid w:val="00001E06"/>
    <w:rsid w:val="00001E72"/>
    <w:rsid w:val="00001E75"/>
    <w:rsid w:val="00001EB3"/>
    <w:rsid w:val="00001EF1"/>
    <w:rsid w:val="00001F49"/>
    <w:rsid w:val="00001F51"/>
    <w:rsid w:val="00001F7E"/>
    <w:rsid w:val="00002025"/>
    <w:rsid w:val="00002045"/>
    <w:rsid w:val="0000204B"/>
    <w:rsid w:val="00002079"/>
    <w:rsid w:val="00002082"/>
    <w:rsid w:val="000020A1"/>
    <w:rsid w:val="000020D6"/>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731"/>
    <w:rsid w:val="00002869"/>
    <w:rsid w:val="0000286F"/>
    <w:rsid w:val="000028B5"/>
    <w:rsid w:val="000028CB"/>
    <w:rsid w:val="000028E6"/>
    <w:rsid w:val="00002909"/>
    <w:rsid w:val="00002A0A"/>
    <w:rsid w:val="00002A17"/>
    <w:rsid w:val="00002A6F"/>
    <w:rsid w:val="00002A70"/>
    <w:rsid w:val="00002AB2"/>
    <w:rsid w:val="00002AB5"/>
    <w:rsid w:val="00002ACB"/>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15"/>
    <w:rsid w:val="0000342D"/>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BBE"/>
    <w:rsid w:val="00003C54"/>
    <w:rsid w:val="00003CB6"/>
    <w:rsid w:val="00003CBB"/>
    <w:rsid w:val="00003CBD"/>
    <w:rsid w:val="00003CD9"/>
    <w:rsid w:val="00003CE3"/>
    <w:rsid w:val="00003D13"/>
    <w:rsid w:val="00003DC0"/>
    <w:rsid w:val="00003DDB"/>
    <w:rsid w:val="00003DDF"/>
    <w:rsid w:val="00003EA7"/>
    <w:rsid w:val="00003EC6"/>
    <w:rsid w:val="00003F6F"/>
    <w:rsid w:val="00003F72"/>
    <w:rsid w:val="00003FD5"/>
    <w:rsid w:val="00003FE5"/>
    <w:rsid w:val="00003FE8"/>
    <w:rsid w:val="00004089"/>
    <w:rsid w:val="000040AA"/>
    <w:rsid w:val="000040F5"/>
    <w:rsid w:val="00004100"/>
    <w:rsid w:val="00004139"/>
    <w:rsid w:val="00004178"/>
    <w:rsid w:val="0000418C"/>
    <w:rsid w:val="000041B0"/>
    <w:rsid w:val="000041F3"/>
    <w:rsid w:val="00004217"/>
    <w:rsid w:val="00004231"/>
    <w:rsid w:val="00004292"/>
    <w:rsid w:val="00004294"/>
    <w:rsid w:val="000042A9"/>
    <w:rsid w:val="000042B2"/>
    <w:rsid w:val="00004312"/>
    <w:rsid w:val="00004370"/>
    <w:rsid w:val="000043B0"/>
    <w:rsid w:val="000043CD"/>
    <w:rsid w:val="00004420"/>
    <w:rsid w:val="000044EB"/>
    <w:rsid w:val="00004540"/>
    <w:rsid w:val="0000458E"/>
    <w:rsid w:val="000045D1"/>
    <w:rsid w:val="000045EA"/>
    <w:rsid w:val="000045F2"/>
    <w:rsid w:val="0000463B"/>
    <w:rsid w:val="0000463C"/>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A0"/>
    <w:rsid w:val="00004F25"/>
    <w:rsid w:val="00004F35"/>
    <w:rsid w:val="00004F42"/>
    <w:rsid w:val="00004F81"/>
    <w:rsid w:val="00004F90"/>
    <w:rsid w:val="00004FBE"/>
    <w:rsid w:val="00004FDB"/>
    <w:rsid w:val="00004FF2"/>
    <w:rsid w:val="00004FF6"/>
    <w:rsid w:val="00005083"/>
    <w:rsid w:val="00005209"/>
    <w:rsid w:val="0000527C"/>
    <w:rsid w:val="000052C6"/>
    <w:rsid w:val="00005317"/>
    <w:rsid w:val="000053D2"/>
    <w:rsid w:val="000053EA"/>
    <w:rsid w:val="00005455"/>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4E"/>
    <w:rsid w:val="00005F78"/>
    <w:rsid w:val="00005FAD"/>
    <w:rsid w:val="00005FD6"/>
    <w:rsid w:val="00005FE1"/>
    <w:rsid w:val="00006056"/>
    <w:rsid w:val="00006058"/>
    <w:rsid w:val="0000605D"/>
    <w:rsid w:val="0000609B"/>
    <w:rsid w:val="00006152"/>
    <w:rsid w:val="00006174"/>
    <w:rsid w:val="000061EA"/>
    <w:rsid w:val="00006236"/>
    <w:rsid w:val="000062C9"/>
    <w:rsid w:val="00006322"/>
    <w:rsid w:val="00006358"/>
    <w:rsid w:val="00006373"/>
    <w:rsid w:val="00006406"/>
    <w:rsid w:val="0000642E"/>
    <w:rsid w:val="00006486"/>
    <w:rsid w:val="000064F6"/>
    <w:rsid w:val="000064FB"/>
    <w:rsid w:val="0000657D"/>
    <w:rsid w:val="00006582"/>
    <w:rsid w:val="000065A2"/>
    <w:rsid w:val="00006643"/>
    <w:rsid w:val="0000664E"/>
    <w:rsid w:val="00006652"/>
    <w:rsid w:val="00006668"/>
    <w:rsid w:val="00006674"/>
    <w:rsid w:val="000066B2"/>
    <w:rsid w:val="000066C8"/>
    <w:rsid w:val="000066F1"/>
    <w:rsid w:val="0000672F"/>
    <w:rsid w:val="00006730"/>
    <w:rsid w:val="00006776"/>
    <w:rsid w:val="0000677F"/>
    <w:rsid w:val="000067C9"/>
    <w:rsid w:val="000067E9"/>
    <w:rsid w:val="000067FA"/>
    <w:rsid w:val="00006808"/>
    <w:rsid w:val="00006832"/>
    <w:rsid w:val="0000683C"/>
    <w:rsid w:val="0000685B"/>
    <w:rsid w:val="0000685F"/>
    <w:rsid w:val="000068E0"/>
    <w:rsid w:val="000068F0"/>
    <w:rsid w:val="0000691F"/>
    <w:rsid w:val="000069BD"/>
    <w:rsid w:val="000069C1"/>
    <w:rsid w:val="000069EF"/>
    <w:rsid w:val="00006A24"/>
    <w:rsid w:val="00006A3C"/>
    <w:rsid w:val="00006A5C"/>
    <w:rsid w:val="00006A7C"/>
    <w:rsid w:val="00006AC7"/>
    <w:rsid w:val="00006AD8"/>
    <w:rsid w:val="00006AE2"/>
    <w:rsid w:val="00006B0B"/>
    <w:rsid w:val="00006B3A"/>
    <w:rsid w:val="00006B3C"/>
    <w:rsid w:val="00006BB0"/>
    <w:rsid w:val="00006BDF"/>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9D"/>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8B"/>
    <w:rsid w:val="00007796"/>
    <w:rsid w:val="000077F4"/>
    <w:rsid w:val="00007886"/>
    <w:rsid w:val="000078A9"/>
    <w:rsid w:val="00007936"/>
    <w:rsid w:val="0000793C"/>
    <w:rsid w:val="00007964"/>
    <w:rsid w:val="0000797E"/>
    <w:rsid w:val="00007989"/>
    <w:rsid w:val="000079A7"/>
    <w:rsid w:val="000079A9"/>
    <w:rsid w:val="000079B3"/>
    <w:rsid w:val="000079E6"/>
    <w:rsid w:val="00007A42"/>
    <w:rsid w:val="00007ADF"/>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C"/>
    <w:rsid w:val="000105EA"/>
    <w:rsid w:val="00010625"/>
    <w:rsid w:val="0001062E"/>
    <w:rsid w:val="00010783"/>
    <w:rsid w:val="000107C4"/>
    <w:rsid w:val="000107D5"/>
    <w:rsid w:val="00010825"/>
    <w:rsid w:val="00010857"/>
    <w:rsid w:val="000108AA"/>
    <w:rsid w:val="000108FC"/>
    <w:rsid w:val="00010921"/>
    <w:rsid w:val="0001097D"/>
    <w:rsid w:val="00010985"/>
    <w:rsid w:val="00010A21"/>
    <w:rsid w:val="00010A2D"/>
    <w:rsid w:val="00010A5B"/>
    <w:rsid w:val="00010A9A"/>
    <w:rsid w:val="00010AB6"/>
    <w:rsid w:val="00010ACD"/>
    <w:rsid w:val="00010B19"/>
    <w:rsid w:val="00010B78"/>
    <w:rsid w:val="00010B8E"/>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A8"/>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D9"/>
    <w:rsid w:val="000110F0"/>
    <w:rsid w:val="000110FB"/>
    <w:rsid w:val="000111A8"/>
    <w:rsid w:val="000111D1"/>
    <w:rsid w:val="0001120C"/>
    <w:rsid w:val="00011222"/>
    <w:rsid w:val="0001124B"/>
    <w:rsid w:val="0001124C"/>
    <w:rsid w:val="00011271"/>
    <w:rsid w:val="00011283"/>
    <w:rsid w:val="000112A5"/>
    <w:rsid w:val="000112CC"/>
    <w:rsid w:val="000112DD"/>
    <w:rsid w:val="000112EA"/>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7FA"/>
    <w:rsid w:val="00011815"/>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7F"/>
    <w:rsid w:val="00011CCE"/>
    <w:rsid w:val="00011D1B"/>
    <w:rsid w:val="00011D55"/>
    <w:rsid w:val="00011DD4"/>
    <w:rsid w:val="00011DEA"/>
    <w:rsid w:val="00011E0C"/>
    <w:rsid w:val="00011E58"/>
    <w:rsid w:val="00011EDC"/>
    <w:rsid w:val="00011F0E"/>
    <w:rsid w:val="00011F24"/>
    <w:rsid w:val="00011F41"/>
    <w:rsid w:val="00012020"/>
    <w:rsid w:val="00012021"/>
    <w:rsid w:val="00012046"/>
    <w:rsid w:val="00012057"/>
    <w:rsid w:val="00012065"/>
    <w:rsid w:val="0001207B"/>
    <w:rsid w:val="000120B0"/>
    <w:rsid w:val="00012109"/>
    <w:rsid w:val="00012135"/>
    <w:rsid w:val="000121E7"/>
    <w:rsid w:val="000122BA"/>
    <w:rsid w:val="000122BF"/>
    <w:rsid w:val="000122D1"/>
    <w:rsid w:val="000122D5"/>
    <w:rsid w:val="0001236C"/>
    <w:rsid w:val="0001237E"/>
    <w:rsid w:val="0001240C"/>
    <w:rsid w:val="00012491"/>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BDE"/>
    <w:rsid w:val="00012C1B"/>
    <w:rsid w:val="00012D1A"/>
    <w:rsid w:val="00012D69"/>
    <w:rsid w:val="00012DE2"/>
    <w:rsid w:val="00012DFF"/>
    <w:rsid w:val="00012E03"/>
    <w:rsid w:val="00012EB1"/>
    <w:rsid w:val="00012EF2"/>
    <w:rsid w:val="00012F37"/>
    <w:rsid w:val="00012FA8"/>
    <w:rsid w:val="00012FAE"/>
    <w:rsid w:val="00013017"/>
    <w:rsid w:val="0001304F"/>
    <w:rsid w:val="00013058"/>
    <w:rsid w:val="0001306A"/>
    <w:rsid w:val="00013075"/>
    <w:rsid w:val="000130B7"/>
    <w:rsid w:val="000130BD"/>
    <w:rsid w:val="00013107"/>
    <w:rsid w:val="00013169"/>
    <w:rsid w:val="0001316D"/>
    <w:rsid w:val="00013174"/>
    <w:rsid w:val="000131F5"/>
    <w:rsid w:val="000132A0"/>
    <w:rsid w:val="000132EF"/>
    <w:rsid w:val="00013335"/>
    <w:rsid w:val="000133D5"/>
    <w:rsid w:val="00013461"/>
    <w:rsid w:val="000134B0"/>
    <w:rsid w:val="0001354B"/>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4"/>
    <w:rsid w:val="000140BE"/>
    <w:rsid w:val="000140CF"/>
    <w:rsid w:val="000140E2"/>
    <w:rsid w:val="000140FB"/>
    <w:rsid w:val="0001419A"/>
    <w:rsid w:val="000141E0"/>
    <w:rsid w:val="000141ED"/>
    <w:rsid w:val="00014205"/>
    <w:rsid w:val="00014213"/>
    <w:rsid w:val="00014221"/>
    <w:rsid w:val="0001424E"/>
    <w:rsid w:val="00014290"/>
    <w:rsid w:val="000142E6"/>
    <w:rsid w:val="000142F7"/>
    <w:rsid w:val="0001430E"/>
    <w:rsid w:val="0001433C"/>
    <w:rsid w:val="000143BA"/>
    <w:rsid w:val="000143F2"/>
    <w:rsid w:val="00014442"/>
    <w:rsid w:val="00014536"/>
    <w:rsid w:val="000145BA"/>
    <w:rsid w:val="000146B0"/>
    <w:rsid w:val="000146B5"/>
    <w:rsid w:val="000146CF"/>
    <w:rsid w:val="00014718"/>
    <w:rsid w:val="0001472B"/>
    <w:rsid w:val="00014754"/>
    <w:rsid w:val="00014777"/>
    <w:rsid w:val="0001479A"/>
    <w:rsid w:val="000147C9"/>
    <w:rsid w:val="000147ED"/>
    <w:rsid w:val="0001480F"/>
    <w:rsid w:val="0001481E"/>
    <w:rsid w:val="0001482F"/>
    <w:rsid w:val="00014866"/>
    <w:rsid w:val="000148BD"/>
    <w:rsid w:val="00014914"/>
    <w:rsid w:val="0001493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19"/>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0C7"/>
    <w:rsid w:val="00015175"/>
    <w:rsid w:val="0001517D"/>
    <w:rsid w:val="000151FD"/>
    <w:rsid w:val="0001522E"/>
    <w:rsid w:val="000152CA"/>
    <w:rsid w:val="000152EE"/>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18"/>
    <w:rsid w:val="0001562B"/>
    <w:rsid w:val="00015693"/>
    <w:rsid w:val="000156C3"/>
    <w:rsid w:val="00015735"/>
    <w:rsid w:val="00015739"/>
    <w:rsid w:val="0001573E"/>
    <w:rsid w:val="00015808"/>
    <w:rsid w:val="00015809"/>
    <w:rsid w:val="00015830"/>
    <w:rsid w:val="00015857"/>
    <w:rsid w:val="000158D4"/>
    <w:rsid w:val="0001590A"/>
    <w:rsid w:val="00015952"/>
    <w:rsid w:val="000159FE"/>
    <w:rsid w:val="00015A71"/>
    <w:rsid w:val="00015A76"/>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601D"/>
    <w:rsid w:val="00016048"/>
    <w:rsid w:val="00016108"/>
    <w:rsid w:val="0001610D"/>
    <w:rsid w:val="00016111"/>
    <w:rsid w:val="00016132"/>
    <w:rsid w:val="0001617E"/>
    <w:rsid w:val="00016184"/>
    <w:rsid w:val="000161FF"/>
    <w:rsid w:val="0001627B"/>
    <w:rsid w:val="0001628B"/>
    <w:rsid w:val="000162D9"/>
    <w:rsid w:val="0001630B"/>
    <w:rsid w:val="0001636D"/>
    <w:rsid w:val="00016371"/>
    <w:rsid w:val="0001638B"/>
    <w:rsid w:val="00016408"/>
    <w:rsid w:val="0001645E"/>
    <w:rsid w:val="00016490"/>
    <w:rsid w:val="000164A0"/>
    <w:rsid w:val="000164BF"/>
    <w:rsid w:val="000164C4"/>
    <w:rsid w:val="000164EB"/>
    <w:rsid w:val="0001655E"/>
    <w:rsid w:val="0001657B"/>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98"/>
    <w:rsid w:val="000171D1"/>
    <w:rsid w:val="000172AA"/>
    <w:rsid w:val="000172AF"/>
    <w:rsid w:val="00017328"/>
    <w:rsid w:val="00017331"/>
    <w:rsid w:val="0001733C"/>
    <w:rsid w:val="00017374"/>
    <w:rsid w:val="00017386"/>
    <w:rsid w:val="000173BC"/>
    <w:rsid w:val="000173CA"/>
    <w:rsid w:val="00017407"/>
    <w:rsid w:val="00017475"/>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F1"/>
    <w:rsid w:val="00017B66"/>
    <w:rsid w:val="00017B83"/>
    <w:rsid w:val="00017C43"/>
    <w:rsid w:val="00017C53"/>
    <w:rsid w:val="00017C93"/>
    <w:rsid w:val="00017CE2"/>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1F1"/>
    <w:rsid w:val="00020229"/>
    <w:rsid w:val="00020240"/>
    <w:rsid w:val="00020259"/>
    <w:rsid w:val="00020266"/>
    <w:rsid w:val="0002028C"/>
    <w:rsid w:val="0002029D"/>
    <w:rsid w:val="000202BD"/>
    <w:rsid w:val="000202EA"/>
    <w:rsid w:val="000202FD"/>
    <w:rsid w:val="00020312"/>
    <w:rsid w:val="00020315"/>
    <w:rsid w:val="0002035E"/>
    <w:rsid w:val="0002041B"/>
    <w:rsid w:val="00020427"/>
    <w:rsid w:val="0002044A"/>
    <w:rsid w:val="00020464"/>
    <w:rsid w:val="00020472"/>
    <w:rsid w:val="000204BE"/>
    <w:rsid w:val="000204E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7E"/>
    <w:rsid w:val="000207E8"/>
    <w:rsid w:val="0002080B"/>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CF"/>
    <w:rsid w:val="00020E68"/>
    <w:rsid w:val="00020E93"/>
    <w:rsid w:val="00020EB5"/>
    <w:rsid w:val="00020ECB"/>
    <w:rsid w:val="00020EF6"/>
    <w:rsid w:val="00020F14"/>
    <w:rsid w:val="00020F1A"/>
    <w:rsid w:val="00020F36"/>
    <w:rsid w:val="00021057"/>
    <w:rsid w:val="0002109E"/>
    <w:rsid w:val="000210B5"/>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98"/>
    <w:rsid w:val="000218A5"/>
    <w:rsid w:val="000218DA"/>
    <w:rsid w:val="0002191A"/>
    <w:rsid w:val="0002191B"/>
    <w:rsid w:val="0002197D"/>
    <w:rsid w:val="00021988"/>
    <w:rsid w:val="000219EF"/>
    <w:rsid w:val="00021ABD"/>
    <w:rsid w:val="00021AC6"/>
    <w:rsid w:val="00021AE5"/>
    <w:rsid w:val="00021B44"/>
    <w:rsid w:val="00021BD0"/>
    <w:rsid w:val="00021BF7"/>
    <w:rsid w:val="00021C01"/>
    <w:rsid w:val="00021C16"/>
    <w:rsid w:val="00021C2A"/>
    <w:rsid w:val="00021C9A"/>
    <w:rsid w:val="00021CA2"/>
    <w:rsid w:val="00021CBE"/>
    <w:rsid w:val="00021CEF"/>
    <w:rsid w:val="00021CFF"/>
    <w:rsid w:val="00021D0E"/>
    <w:rsid w:val="00021D69"/>
    <w:rsid w:val="00021D86"/>
    <w:rsid w:val="00021DFC"/>
    <w:rsid w:val="00021E5C"/>
    <w:rsid w:val="00021EAD"/>
    <w:rsid w:val="00021EC0"/>
    <w:rsid w:val="00021F07"/>
    <w:rsid w:val="00021F24"/>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B1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3033"/>
    <w:rsid w:val="00023050"/>
    <w:rsid w:val="0002309E"/>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636"/>
    <w:rsid w:val="000236DE"/>
    <w:rsid w:val="00023737"/>
    <w:rsid w:val="00023756"/>
    <w:rsid w:val="0002381B"/>
    <w:rsid w:val="00023829"/>
    <w:rsid w:val="0002386D"/>
    <w:rsid w:val="00023891"/>
    <w:rsid w:val="000238C7"/>
    <w:rsid w:val="000238DA"/>
    <w:rsid w:val="00023900"/>
    <w:rsid w:val="00023928"/>
    <w:rsid w:val="00023966"/>
    <w:rsid w:val="000239E8"/>
    <w:rsid w:val="00023A09"/>
    <w:rsid w:val="00023A57"/>
    <w:rsid w:val="00023A7E"/>
    <w:rsid w:val="00023AC2"/>
    <w:rsid w:val="00023B79"/>
    <w:rsid w:val="00023BAB"/>
    <w:rsid w:val="00023BBD"/>
    <w:rsid w:val="00023BDC"/>
    <w:rsid w:val="00023BF1"/>
    <w:rsid w:val="00023C0D"/>
    <w:rsid w:val="00023C43"/>
    <w:rsid w:val="00023C4E"/>
    <w:rsid w:val="00023C51"/>
    <w:rsid w:val="00023C91"/>
    <w:rsid w:val="00023CAE"/>
    <w:rsid w:val="00023DAC"/>
    <w:rsid w:val="00023DB2"/>
    <w:rsid w:val="00023E12"/>
    <w:rsid w:val="00023E2B"/>
    <w:rsid w:val="00023E9B"/>
    <w:rsid w:val="00023EA8"/>
    <w:rsid w:val="00023ED7"/>
    <w:rsid w:val="00023F5A"/>
    <w:rsid w:val="00023F67"/>
    <w:rsid w:val="00023F80"/>
    <w:rsid w:val="00023FEA"/>
    <w:rsid w:val="00023FFB"/>
    <w:rsid w:val="0002405E"/>
    <w:rsid w:val="00024070"/>
    <w:rsid w:val="00024087"/>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E6"/>
    <w:rsid w:val="0002444F"/>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1E"/>
    <w:rsid w:val="00024749"/>
    <w:rsid w:val="000247A5"/>
    <w:rsid w:val="000247E5"/>
    <w:rsid w:val="000247F6"/>
    <w:rsid w:val="00024820"/>
    <w:rsid w:val="00024822"/>
    <w:rsid w:val="00024843"/>
    <w:rsid w:val="00024849"/>
    <w:rsid w:val="00024888"/>
    <w:rsid w:val="00024891"/>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6A"/>
    <w:rsid w:val="00025184"/>
    <w:rsid w:val="00025242"/>
    <w:rsid w:val="00025298"/>
    <w:rsid w:val="000252FC"/>
    <w:rsid w:val="000252FF"/>
    <w:rsid w:val="0002530E"/>
    <w:rsid w:val="00025353"/>
    <w:rsid w:val="00025374"/>
    <w:rsid w:val="000253F3"/>
    <w:rsid w:val="00025470"/>
    <w:rsid w:val="00025486"/>
    <w:rsid w:val="00025495"/>
    <w:rsid w:val="0002549F"/>
    <w:rsid w:val="000254C9"/>
    <w:rsid w:val="000254EC"/>
    <w:rsid w:val="0002559C"/>
    <w:rsid w:val="000255A0"/>
    <w:rsid w:val="000255C0"/>
    <w:rsid w:val="000255E6"/>
    <w:rsid w:val="00025604"/>
    <w:rsid w:val="00025632"/>
    <w:rsid w:val="00025642"/>
    <w:rsid w:val="00025696"/>
    <w:rsid w:val="000256FD"/>
    <w:rsid w:val="00025729"/>
    <w:rsid w:val="0002572F"/>
    <w:rsid w:val="0002579B"/>
    <w:rsid w:val="0002579D"/>
    <w:rsid w:val="000257FA"/>
    <w:rsid w:val="0002586F"/>
    <w:rsid w:val="000258C8"/>
    <w:rsid w:val="000258DE"/>
    <w:rsid w:val="000258FA"/>
    <w:rsid w:val="000259C7"/>
    <w:rsid w:val="000259E0"/>
    <w:rsid w:val="000259ED"/>
    <w:rsid w:val="000259FB"/>
    <w:rsid w:val="00025A66"/>
    <w:rsid w:val="00025A7C"/>
    <w:rsid w:val="00025AC3"/>
    <w:rsid w:val="00025AD9"/>
    <w:rsid w:val="00025B18"/>
    <w:rsid w:val="00025B26"/>
    <w:rsid w:val="00025BF0"/>
    <w:rsid w:val="00025C09"/>
    <w:rsid w:val="00025C12"/>
    <w:rsid w:val="00025C59"/>
    <w:rsid w:val="00025CC3"/>
    <w:rsid w:val="00025CD1"/>
    <w:rsid w:val="00025CDD"/>
    <w:rsid w:val="00025D2B"/>
    <w:rsid w:val="00025D33"/>
    <w:rsid w:val="00025D42"/>
    <w:rsid w:val="00025D4D"/>
    <w:rsid w:val="00025D60"/>
    <w:rsid w:val="00025E07"/>
    <w:rsid w:val="00025E35"/>
    <w:rsid w:val="00025E50"/>
    <w:rsid w:val="00025EDD"/>
    <w:rsid w:val="00025F11"/>
    <w:rsid w:val="0002600F"/>
    <w:rsid w:val="0002606B"/>
    <w:rsid w:val="00026099"/>
    <w:rsid w:val="00026122"/>
    <w:rsid w:val="00026172"/>
    <w:rsid w:val="00026193"/>
    <w:rsid w:val="000261B5"/>
    <w:rsid w:val="000261E1"/>
    <w:rsid w:val="000262AA"/>
    <w:rsid w:val="00026371"/>
    <w:rsid w:val="00026447"/>
    <w:rsid w:val="00026475"/>
    <w:rsid w:val="0002652E"/>
    <w:rsid w:val="000265A3"/>
    <w:rsid w:val="000265B7"/>
    <w:rsid w:val="000265FF"/>
    <w:rsid w:val="00026691"/>
    <w:rsid w:val="000266D7"/>
    <w:rsid w:val="000266E8"/>
    <w:rsid w:val="0002678B"/>
    <w:rsid w:val="00026798"/>
    <w:rsid w:val="000267B9"/>
    <w:rsid w:val="000267C7"/>
    <w:rsid w:val="0002680E"/>
    <w:rsid w:val="00026871"/>
    <w:rsid w:val="00026897"/>
    <w:rsid w:val="00026899"/>
    <w:rsid w:val="0002692C"/>
    <w:rsid w:val="00026967"/>
    <w:rsid w:val="00026969"/>
    <w:rsid w:val="00026974"/>
    <w:rsid w:val="0002697F"/>
    <w:rsid w:val="000269AA"/>
    <w:rsid w:val="000269C9"/>
    <w:rsid w:val="000269CB"/>
    <w:rsid w:val="00026A06"/>
    <w:rsid w:val="00026A07"/>
    <w:rsid w:val="00026A0B"/>
    <w:rsid w:val="00026A1E"/>
    <w:rsid w:val="00026A27"/>
    <w:rsid w:val="00026A56"/>
    <w:rsid w:val="00026A84"/>
    <w:rsid w:val="00026A91"/>
    <w:rsid w:val="00026B0C"/>
    <w:rsid w:val="00026B1E"/>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5"/>
    <w:rsid w:val="00027006"/>
    <w:rsid w:val="00027120"/>
    <w:rsid w:val="0002712F"/>
    <w:rsid w:val="00027147"/>
    <w:rsid w:val="000271B1"/>
    <w:rsid w:val="000271C8"/>
    <w:rsid w:val="000271E8"/>
    <w:rsid w:val="000271F7"/>
    <w:rsid w:val="00027214"/>
    <w:rsid w:val="00027243"/>
    <w:rsid w:val="00027247"/>
    <w:rsid w:val="00027275"/>
    <w:rsid w:val="0002728F"/>
    <w:rsid w:val="0002729F"/>
    <w:rsid w:val="000273AA"/>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7EF"/>
    <w:rsid w:val="00027832"/>
    <w:rsid w:val="000278AD"/>
    <w:rsid w:val="00027930"/>
    <w:rsid w:val="00027954"/>
    <w:rsid w:val="0002798F"/>
    <w:rsid w:val="000279A5"/>
    <w:rsid w:val="000279C3"/>
    <w:rsid w:val="00027A5A"/>
    <w:rsid w:val="00027A62"/>
    <w:rsid w:val="00027A7D"/>
    <w:rsid w:val="00027AA6"/>
    <w:rsid w:val="00027AB2"/>
    <w:rsid w:val="00027ADC"/>
    <w:rsid w:val="00027AE2"/>
    <w:rsid w:val="00027B50"/>
    <w:rsid w:val="00027BBA"/>
    <w:rsid w:val="00027C16"/>
    <w:rsid w:val="00027C96"/>
    <w:rsid w:val="00027CAE"/>
    <w:rsid w:val="00027CC0"/>
    <w:rsid w:val="00027CE9"/>
    <w:rsid w:val="00027CFF"/>
    <w:rsid w:val="00027D30"/>
    <w:rsid w:val="00027D49"/>
    <w:rsid w:val="00027D6F"/>
    <w:rsid w:val="00027D75"/>
    <w:rsid w:val="00027D8E"/>
    <w:rsid w:val="00027D9C"/>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4F"/>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B8"/>
    <w:rsid w:val="000311C6"/>
    <w:rsid w:val="0003121A"/>
    <w:rsid w:val="00031267"/>
    <w:rsid w:val="000312BE"/>
    <w:rsid w:val="000312ED"/>
    <w:rsid w:val="00031378"/>
    <w:rsid w:val="0003137D"/>
    <w:rsid w:val="00031418"/>
    <w:rsid w:val="000314C5"/>
    <w:rsid w:val="00031515"/>
    <w:rsid w:val="0003153E"/>
    <w:rsid w:val="0003155B"/>
    <w:rsid w:val="000315D2"/>
    <w:rsid w:val="00031615"/>
    <w:rsid w:val="00031647"/>
    <w:rsid w:val="0003167E"/>
    <w:rsid w:val="0003169D"/>
    <w:rsid w:val="0003171F"/>
    <w:rsid w:val="00031753"/>
    <w:rsid w:val="00031763"/>
    <w:rsid w:val="0003189B"/>
    <w:rsid w:val="00031972"/>
    <w:rsid w:val="00031986"/>
    <w:rsid w:val="000319DD"/>
    <w:rsid w:val="000319F6"/>
    <w:rsid w:val="00031A12"/>
    <w:rsid w:val="00031AB4"/>
    <w:rsid w:val="00031B57"/>
    <w:rsid w:val="00031B6E"/>
    <w:rsid w:val="00031BAC"/>
    <w:rsid w:val="00031C05"/>
    <w:rsid w:val="00031C68"/>
    <w:rsid w:val="00031CAE"/>
    <w:rsid w:val="00031CE9"/>
    <w:rsid w:val="00031D4B"/>
    <w:rsid w:val="00031D5A"/>
    <w:rsid w:val="00031D69"/>
    <w:rsid w:val="00031E0B"/>
    <w:rsid w:val="00031E64"/>
    <w:rsid w:val="00031E83"/>
    <w:rsid w:val="00031EAF"/>
    <w:rsid w:val="00031F7B"/>
    <w:rsid w:val="00031F8A"/>
    <w:rsid w:val="00031FD9"/>
    <w:rsid w:val="0003204A"/>
    <w:rsid w:val="00032057"/>
    <w:rsid w:val="00032084"/>
    <w:rsid w:val="000320D4"/>
    <w:rsid w:val="000320E8"/>
    <w:rsid w:val="00032101"/>
    <w:rsid w:val="0003214F"/>
    <w:rsid w:val="00032170"/>
    <w:rsid w:val="00032180"/>
    <w:rsid w:val="000321AB"/>
    <w:rsid w:val="000321F5"/>
    <w:rsid w:val="00032221"/>
    <w:rsid w:val="00032223"/>
    <w:rsid w:val="0003222E"/>
    <w:rsid w:val="0003228A"/>
    <w:rsid w:val="000322A3"/>
    <w:rsid w:val="000322A7"/>
    <w:rsid w:val="000322E6"/>
    <w:rsid w:val="000322F5"/>
    <w:rsid w:val="000322F8"/>
    <w:rsid w:val="0003231D"/>
    <w:rsid w:val="0003232E"/>
    <w:rsid w:val="00032363"/>
    <w:rsid w:val="000323B3"/>
    <w:rsid w:val="0003243C"/>
    <w:rsid w:val="00032448"/>
    <w:rsid w:val="0003245B"/>
    <w:rsid w:val="0003247B"/>
    <w:rsid w:val="0003255D"/>
    <w:rsid w:val="0003257F"/>
    <w:rsid w:val="0003265E"/>
    <w:rsid w:val="0003266E"/>
    <w:rsid w:val="000326BF"/>
    <w:rsid w:val="000326C3"/>
    <w:rsid w:val="0003271D"/>
    <w:rsid w:val="00032744"/>
    <w:rsid w:val="0003275B"/>
    <w:rsid w:val="0003275C"/>
    <w:rsid w:val="000327A2"/>
    <w:rsid w:val="000327C2"/>
    <w:rsid w:val="000327C6"/>
    <w:rsid w:val="0003283F"/>
    <w:rsid w:val="0003291E"/>
    <w:rsid w:val="00032963"/>
    <w:rsid w:val="000329AA"/>
    <w:rsid w:val="00032A01"/>
    <w:rsid w:val="00032A0D"/>
    <w:rsid w:val="00032A17"/>
    <w:rsid w:val="00032A49"/>
    <w:rsid w:val="00032A52"/>
    <w:rsid w:val="00032A9A"/>
    <w:rsid w:val="00032AA6"/>
    <w:rsid w:val="00032AAE"/>
    <w:rsid w:val="00032AB9"/>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4"/>
    <w:rsid w:val="00032EF8"/>
    <w:rsid w:val="00032F39"/>
    <w:rsid w:val="00032FF9"/>
    <w:rsid w:val="00032FFB"/>
    <w:rsid w:val="0003303A"/>
    <w:rsid w:val="0003304A"/>
    <w:rsid w:val="00033056"/>
    <w:rsid w:val="000330A3"/>
    <w:rsid w:val="0003313F"/>
    <w:rsid w:val="0003315D"/>
    <w:rsid w:val="00033161"/>
    <w:rsid w:val="000331E2"/>
    <w:rsid w:val="000331E6"/>
    <w:rsid w:val="000331E7"/>
    <w:rsid w:val="000331EF"/>
    <w:rsid w:val="00033262"/>
    <w:rsid w:val="000332CD"/>
    <w:rsid w:val="000332D3"/>
    <w:rsid w:val="0003332B"/>
    <w:rsid w:val="00033354"/>
    <w:rsid w:val="000333B8"/>
    <w:rsid w:val="0003346C"/>
    <w:rsid w:val="000334A8"/>
    <w:rsid w:val="000334C5"/>
    <w:rsid w:val="000334E6"/>
    <w:rsid w:val="00033515"/>
    <w:rsid w:val="00033554"/>
    <w:rsid w:val="0003356C"/>
    <w:rsid w:val="0003359C"/>
    <w:rsid w:val="000335D2"/>
    <w:rsid w:val="000335F1"/>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BF1"/>
    <w:rsid w:val="00033C22"/>
    <w:rsid w:val="00033C45"/>
    <w:rsid w:val="00033C4B"/>
    <w:rsid w:val="00033C73"/>
    <w:rsid w:val="00033C74"/>
    <w:rsid w:val="00033C84"/>
    <w:rsid w:val="00033CCE"/>
    <w:rsid w:val="00033D79"/>
    <w:rsid w:val="00033DA2"/>
    <w:rsid w:val="00033DAC"/>
    <w:rsid w:val="00033DC1"/>
    <w:rsid w:val="00033E23"/>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25"/>
    <w:rsid w:val="00034155"/>
    <w:rsid w:val="0003419C"/>
    <w:rsid w:val="0003420A"/>
    <w:rsid w:val="00034221"/>
    <w:rsid w:val="000342D4"/>
    <w:rsid w:val="00034320"/>
    <w:rsid w:val="00034326"/>
    <w:rsid w:val="00034329"/>
    <w:rsid w:val="00034361"/>
    <w:rsid w:val="00034364"/>
    <w:rsid w:val="0003442F"/>
    <w:rsid w:val="00034462"/>
    <w:rsid w:val="0003447C"/>
    <w:rsid w:val="0003447E"/>
    <w:rsid w:val="000344E0"/>
    <w:rsid w:val="000344F2"/>
    <w:rsid w:val="0003454A"/>
    <w:rsid w:val="0003454E"/>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0A"/>
    <w:rsid w:val="00034938"/>
    <w:rsid w:val="00034942"/>
    <w:rsid w:val="0003494B"/>
    <w:rsid w:val="0003494C"/>
    <w:rsid w:val="0003499D"/>
    <w:rsid w:val="000349B9"/>
    <w:rsid w:val="000349D9"/>
    <w:rsid w:val="000349DD"/>
    <w:rsid w:val="00034A28"/>
    <w:rsid w:val="00034A8D"/>
    <w:rsid w:val="00034AE0"/>
    <w:rsid w:val="00034B38"/>
    <w:rsid w:val="00034B46"/>
    <w:rsid w:val="00034B50"/>
    <w:rsid w:val="00034B59"/>
    <w:rsid w:val="00034B7D"/>
    <w:rsid w:val="00034B9A"/>
    <w:rsid w:val="00034BE4"/>
    <w:rsid w:val="00034C3C"/>
    <w:rsid w:val="00034C45"/>
    <w:rsid w:val="00034C5E"/>
    <w:rsid w:val="00034CB3"/>
    <w:rsid w:val="00034CDC"/>
    <w:rsid w:val="00034D0D"/>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16"/>
    <w:rsid w:val="00035648"/>
    <w:rsid w:val="0003564D"/>
    <w:rsid w:val="00035663"/>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B00"/>
    <w:rsid w:val="00035B23"/>
    <w:rsid w:val="00035B95"/>
    <w:rsid w:val="00035BCA"/>
    <w:rsid w:val="00035BE2"/>
    <w:rsid w:val="00035C45"/>
    <w:rsid w:val="00035C5F"/>
    <w:rsid w:val="00035C66"/>
    <w:rsid w:val="00035CBA"/>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0FE"/>
    <w:rsid w:val="0003612A"/>
    <w:rsid w:val="0003613C"/>
    <w:rsid w:val="00036143"/>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76"/>
    <w:rsid w:val="00036495"/>
    <w:rsid w:val="0003649A"/>
    <w:rsid w:val="000364EB"/>
    <w:rsid w:val="00036541"/>
    <w:rsid w:val="0003655D"/>
    <w:rsid w:val="00036586"/>
    <w:rsid w:val="000365BB"/>
    <w:rsid w:val="000365EA"/>
    <w:rsid w:val="000365EC"/>
    <w:rsid w:val="0003665C"/>
    <w:rsid w:val="000366A8"/>
    <w:rsid w:val="000366AD"/>
    <w:rsid w:val="000366B9"/>
    <w:rsid w:val="000366C0"/>
    <w:rsid w:val="000366DD"/>
    <w:rsid w:val="00036713"/>
    <w:rsid w:val="00036758"/>
    <w:rsid w:val="000367AA"/>
    <w:rsid w:val="000367BB"/>
    <w:rsid w:val="00036814"/>
    <w:rsid w:val="00036847"/>
    <w:rsid w:val="000368A1"/>
    <w:rsid w:val="000368F9"/>
    <w:rsid w:val="00036906"/>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E1C"/>
    <w:rsid w:val="00036E73"/>
    <w:rsid w:val="00036E81"/>
    <w:rsid w:val="00036EE1"/>
    <w:rsid w:val="00037042"/>
    <w:rsid w:val="00037082"/>
    <w:rsid w:val="000370E0"/>
    <w:rsid w:val="00037102"/>
    <w:rsid w:val="00037129"/>
    <w:rsid w:val="00037185"/>
    <w:rsid w:val="000371A7"/>
    <w:rsid w:val="000371C2"/>
    <w:rsid w:val="0003733D"/>
    <w:rsid w:val="00037358"/>
    <w:rsid w:val="000373B4"/>
    <w:rsid w:val="000373BA"/>
    <w:rsid w:val="000373D3"/>
    <w:rsid w:val="00037409"/>
    <w:rsid w:val="00037433"/>
    <w:rsid w:val="000374B0"/>
    <w:rsid w:val="000374C1"/>
    <w:rsid w:val="000375C3"/>
    <w:rsid w:val="00037653"/>
    <w:rsid w:val="00037665"/>
    <w:rsid w:val="00037698"/>
    <w:rsid w:val="0003772B"/>
    <w:rsid w:val="00037737"/>
    <w:rsid w:val="00037770"/>
    <w:rsid w:val="000377BE"/>
    <w:rsid w:val="000377BF"/>
    <w:rsid w:val="000377F5"/>
    <w:rsid w:val="00037801"/>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17"/>
    <w:rsid w:val="00037B3B"/>
    <w:rsid w:val="00037B81"/>
    <w:rsid w:val="00037BCE"/>
    <w:rsid w:val="00037BDC"/>
    <w:rsid w:val="00037BF4"/>
    <w:rsid w:val="00037C18"/>
    <w:rsid w:val="00037C1F"/>
    <w:rsid w:val="00037C5A"/>
    <w:rsid w:val="00037CCD"/>
    <w:rsid w:val="00037CFC"/>
    <w:rsid w:val="00037D51"/>
    <w:rsid w:val="00037DC4"/>
    <w:rsid w:val="00037DF1"/>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65"/>
    <w:rsid w:val="000407B3"/>
    <w:rsid w:val="000407D2"/>
    <w:rsid w:val="0004084A"/>
    <w:rsid w:val="0004086D"/>
    <w:rsid w:val="0004088E"/>
    <w:rsid w:val="000408F2"/>
    <w:rsid w:val="00040901"/>
    <w:rsid w:val="0004090C"/>
    <w:rsid w:val="00040915"/>
    <w:rsid w:val="00040921"/>
    <w:rsid w:val="00040940"/>
    <w:rsid w:val="0004094D"/>
    <w:rsid w:val="000409A0"/>
    <w:rsid w:val="000409AD"/>
    <w:rsid w:val="00040A86"/>
    <w:rsid w:val="00040AED"/>
    <w:rsid w:val="00040B3D"/>
    <w:rsid w:val="00040B4F"/>
    <w:rsid w:val="00040B52"/>
    <w:rsid w:val="00040B99"/>
    <w:rsid w:val="00040CB0"/>
    <w:rsid w:val="00040D2A"/>
    <w:rsid w:val="00040D46"/>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81"/>
    <w:rsid w:val="00041987"/>
    <w:rsid w:val="00041998"/>
    <w:rsid w:val="000419A4"/>
    <w:rsid w:val="000419F9"/>
    <w:rsid w:val="00041A20"/>
    <w:rsid w:val="00041A83"/>
    <w:rsid w:val="00041A95"/>
    <w:rsid w:val="00041B11"/>
    <w:rsid w:val="00041B1C"/>
    <w:rsid w:val="00041BAA"/>
    <w:rsid w:val="00041BBA"/>
    <w:rsid w:val="00041BE7"/>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D5"/>
    <w:rsid w:val="000421FB"/>
    <w:rsid w:val="00042206"/>
    <w:rsid w:val="00042228"/>
    <w:rsid w:val="00042239"/>
    <w:rsid w:val="00042262"/>
    <w:rsid w:val="000422F7"/>
    <w:rsid w:val="000422FA"/>
    <w:rsid w:val="00042301"/>
    <w:rsid w:val="0004233C"/>
    <w:rsid w:val="000423AB"/>
    <w:rsid w:val="000423D9"/>
    <w:rsid w:val="0004247C"/>
    <w:rsid w:val="000424A8"/>
    <w:rsid w:val="000424DC"/>
    <w:rsid w:val="000425B4"/>
    <w:rsid w:val="000425D3"/>
    <w:rsid w:val="00042644"/>
    <w:rsid w:val="000426B4"/>
    <w:rsid w:val="000426B6"/>
    <w:rsid w:val="000426D3"/>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5C"/>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C7"/>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294"/>
    <w:rsid w:val="000432EF"/>
    <w:rsid w:val="00043324"/>
    <w:rsid w:val="00043335"/>
    <w:rsid w:val="0004336C"/>
    <w:rsid w:val="00043393"/>
    <w:rsid w:val="0004344E"/>
    <w:rsid w:val="000434EB"/>
    <w:rsid w:val="00043512"/>
    <w:rsid w:val="00043536"/>
    <w:rsid w:val="00043565"/>
    <w:rsid w:val="000435A4"/>
    <w:rsid w:val="000435F2"/>
    <w:rsid w:val="000435F5"/>
    <w:rsid w:val="00043600"/>
    <w:rsid w:val="00043797"/>
    <w:rsid w:val="000437D5"/>
    <w:rsid w:val="00043810"/>
    <w:rsid w:val="0004386B"/>
    <w:rsid w:val="00043898"/>
    <w:rsid w:val="000438C5"/>
    <w:rsid w:val="000438CC"/>
    <w:rsid w:val="000438ED"/>
    <w:rsid w:val="00043904"/>
    <w:rsid w:val="00043949"/>
    <w:rsid w:val="0004394C"/>
    <w:rsid w:val="00043953"/>
    <w:rsid w:val="0004399C"/>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FD"/>
    <w:rsid w:val="00043E2B"/>
    <w:rsid w:val="00043EF0"/>
    <w:rsid w:val="00043EF3"/>
    <w:rsid w:val="00043F44"/>
    <w:rsid w:val="00044069"/>
    <w:rsid w:val="00044076"/>
    <w:rsid w:val="0004407E"/>
    <w:rsid w:val="000440D7"/>
    <w:rsid w:val="000440DB"/>
    <w:rsid w:val="000440F2"/>
    <w:rsid w:val="0004411A"/>
    <w:rsid w:val="000441E1"/>
    <w:rsid w:val="000441E9"/>
    <w:rsid w:val="00044315"/>
    <w:rsid w:val="00044335"/>
    <w:rsid w:val="0004433E"/>
    <w:rsid w:val="00044354"/>
    <w:rsid w:val="000443C3"/>
    <w:rsid w:val="000443E2"/>
    <w:rsid w:val="000443EC"/>
    <w:rsid w:val="00044404"/>
    <w:rsid w:val="0004441A"/>
    <w:rsid w:val="0004442F"/>
    <w:rsid w:val="00044487"/>
    <w:rsid w:val="000444B9"/>
    <w:rsid w:val="0004452E"/>
    <w:rsid w:val="00044563"/>
    <w:rsid w:val="0004459C"/>
    <w:rsid w:val="000445BA"/>
    <w:rsid w:val="000445C3"/>
    <w:rsid w:val="000445D4"/>
    <w:rsid w:val="00044649"/>
    <w:rsid w:val="00044698"/>
    <w:rsid w:val="0004469C"/>
    <w:rsid w:val="000446F8"/>
    <w:rsid w:val="00044747"/>
    <w:rsid w:val="0004477F"/>
    <w:rsid w:val="00044780"/>
    <w:rsid w:val="000447D8"/>
    <w:rsid w:val="0004481F"/>
    <w:rsid w:val="00044824"/>
    <w:rsid w:val="0004483C"/>
    <w:rsid w:val="00044840"/>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99"/>
    <w:rsid w:val="00044CA2"/>
    <w:rsid w:val="00044CE1"/>
    <w:rsid w:val="00044D12"/>
    <w:rsid w:val="00044D37"/>
    <w:rsid w:val="00044D55"/>
    <w:rsid w:val="00044D6F"/>
    <w:rsid w:val="00044D7C"/>
    <w:rsid w:val="00044D87"/>
    <w:rsid w:val="00044DB0"/>
    <w:rsid w:val="00044DB2"/>
    <w:rsid w:val="00044DBB"/>
    <w:rsid w:val="00044DD7"/>
    <w:rsid w:val="00044DE5"/>
    <w:rsid w:val="00044E5E"/>
    <w:rsid w:val="00044E69"/>
    <w:rsid w:val="00044EF8"/>
    <w:rsid w:val="00044F10"/>
    <w:rsid w:val="00044F26"/>
    <w:rsid w:val="00045009"/>
    <w:rsid w:val="0004503C"/>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B6"/>
    <w:rsid w:val="00045643"/>
    <w:rsid w:val="0004564A"/>
    <w:rsid w:val="000456AF"/>
    <w:rsid w:val="000456D3"/>
    <w:rsid w:val="00045738"/>
    <w:rsid w:val="0004574A"/>
    <w:rsid w:val="00045770"/>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33"/>
    <w:rsid w:val="00045AB2"/>
    <w:rsid w:val="00045AF9"/>
    <w:rsid w:val="00045B23"/>
    <w:rsid w:val="00045B4B"/>
    <w:rsid w:val="00045BBE"/>
    <w:rsid w:val="00045C10"/>
    <w:rsid w:val="00045C1B"/>
    <w:rsid w:val="00045C84"/>
    <w:rsid w:val="00045CB4"/>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6045"/>
    <w:rsid w:val="0004606D"/>
    <w:rsid w:val="0004610C"/>
    <w:rsid w:val="0004610D"/>
    <w:rsid w:val="00046125"/>
    <w:rsid w:val="00046157"/>
    <w:rsid w:val="0004615F"/>
    <w:rsid w:val="0004617E"/>
    <w:rsid w:val="00046198"/>
    <w:rsid w:val="0004623B"/>
    <w:rsid w:val="00046291"/>
    <w:rsid w:val="00046304"/>
    <w:rsid w:val="0004642E"/>
    <w:rsid w:val="0004648C"/>
    <w:rsid w:val="00046587"/>
    <w:rsid w:val="000465DB"/>
    <w:rsid w:val="000465F8"/>
    <w:rsid w:val="00046634"/>
    <w:rsid w:val="00046635"/>
    <w:rsid w:val="0004663D"/>
    <w:rsid w:val="00046645"/>
    <w:rsid w:val="00046759"/>
    <w:rsid w:val="000467C2"/>
    <w:rsid w:val="000467DF"/>
    <w:rsid w:val="0004681C"/>
    <w:rsid w:val="0004685E"/>
    <w:rsid w:val="0004685F"/>
    <w:rsid w:val="00046871"/>
    <w:rsid w:val="0004687A"/>
    <w:rsid w:val="000468EF"/>
    <w:rsid w:val="00046901"/>
    <w:rsid w:val="00046953"/>
    <w:rsid w:val="0004695A"/>
    <w:rsid w:val="0004697F"/>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1"/>
    <w:rsid w:val="0004754C"/>
    <w:rsid w:val="000475BD"/>
    <w:rsid w:val="000475C8"/>
    <w:rsid w:val="0004762A"/>
    <w:rsid w:val="0004767A"/>
    <w:rsid w:val="000476B2"/>
    <w:rsid w:val="0004771D"/>
    <w:rsid w:val="00047737"/>
    <w:rsid w:val="00047761"/>
    <w:rsid w:val="000477C3"/>
    <w:rsid w:val="000477DA"/>
    <w:rsid w:val="000477DB"/>
    <w:rsid w:val="000477E8"/>
    <w:rsid w:val="000477F6"/>
    <w:rsid w:val="00047808"/>
    <w:rsid w:val="00047883"/>
    <w:rsid w:val="0004789A"/>
    <w:rsid w:val="000478A9"/>
    <w:rsid w:val="000478DF"/>
    <w:rsid w:val="000478FC"/>
    <w:rsid w:val="0004796D"/>
    <w:rsid w:val="0004799D"/>
    <w:rsid w:val="000479AB"/>
    <w:rsid w:val="000479BA"/>
    <w:rsid w:val="000479E7"/>
    <w:rsid w:val="00047A2F"/>
    <w:rsid w:val="00047A35"/>
    <w:rsid w:val="00047A76"/>
    <w:rsid w:val="00047AF5"/>
    <w:rsid w:val="00047B25"/>
    <w:rsid w:val="00047B5F"/>
    <w:rsid w:val="00047B69"/>
    <w:rsid w:val="00047BB1"/>
    <w:rsid w:val="00047BD2"/>
    <w:rsid w:val="00047BF8"/>
    <w:rsid w:val="00047C1C"/>
    <w:rsid w:val="00047C58"/>
    <w:rsid w:val="00047C76"/>
    <w:rsid w:val="00047CE6"/>
    <w:rsid w:val="00047CF2"/>
    <w:rsid w:val="00047D19"/>
    <w:rsid w:val="00047D4D"/>
    <w:rsid w:val="00047D51"/>
    <w:rsid w:val="00047D71"/>
    <w:rsid w:val="00047D7A"/>
    <w:rsid w:val="00047D7D"/>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1F8"/>
    <w:rsid w:val="00050233"/>
    <w:rsid w:val="00050245"/>
    <w:rsid w:val="00050255"/>
    <w:rsid w:val="00050296"/>
    <w:rsid w:val="0005029A"/>
    <w:rsid w:val="000502E7"/>
    <w:rsid w:val="00050307"/>
    <w:rsid w:val="00050329"/>
    <w:rsid w:val="000503AB"/>
    <w:rsid w:val="00050404"/>
    <w:rsid w:val="00050458"/>
    <w:rsid w:val="00050485"/>
    <w:rsid w:val="0005049B"/>
    <w:rsid w:val="000504FE"/>
    <w:rsid w:val="00050506"/>
    <w:rsid w:val="0005052B"/>
    <w:rsid w:val="00050532"/>
    <w:rsid w:val="00050538"/>
    <w:rsid w:val="00050590"/>
    <w:rsid w:val="000505C7"/>
    <w:rsid w:val="000505D0"/>
    <w:rsid w:val="000505DA"/>
    <w:rsid w:val="0005060D"/>
    <w:rsid w:val="00050628"/>
    <w:rsid w:val="00050657"/>
    <w:rsid w:val="00050675"/>
    <w:rsid w:val="0005067F"/>
    <w:rsid w:val="0005068E"/>
    <w:rsid w:val="0005068F"/>
    <w:rsid w:val="000506AE"/>
    <w:rsid w:val="00050714"/>
    <w:rsid w:val="00050719"/>
    <w:rsid w:val="00050720"/>
    <w:rsid w:val="00050749"/>
    <w:rsid w:val="00050796"/>
    <w:rsid w:val="000507EF"/>
    <w:rsid w:val="0005093F"/>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B2"/>
    <w:rsid w:val="00050EE7"/>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46"/>
    <w:rsid w:val="000517CC"/>
    <w:rsid w:val="000517F7"/>
    <w:rsid w:val="00051885"/>
    <w:rsid w:val="000518A2"/>
    <w:rsid w:val="000518CC"/>
    <w:rsid w:val="000518E0"/>
    <w:rsid w:val="00051905"/>
    <w:rsid w:val="00051912"/>
    <w:rsid w:val="00051961"/>
    <w:rsid w:val="000519B8"/>
    <w:rsid w:val="000519F0"/>
    <w:rsid w:val="00051A01"/>
    <w:rsid w:val="00051A6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EB1"/>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318"/>
    <w:rsid w:val="00052320"/>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3F"/>
    <w:rsid w:val="00052655"/>
    <w:rsid w:val="00052659"/>
    <w:rsid w:val="00052680"/>
    <w:rsid w:val="000526CF"/>
    <w:rsid w:val="000526D4"/>
    <w:rsid w:val="00052734"/>
    <w:rsid w:val="00052772"/>
    <w:rsid w:val="00052784"/>
    <w:rsid w:val="000527B7"/>
    <w:rsid w:val="000527F2"/>
    <w:rsid w:val="000528B7"/>
    <w:rsid w:val="000528F8"/>
    <w:rsid w:val="00052930"/>
    <w:rsid w:val="0005294C"/>
    <w:rsid w:val="00052975"/>
    <w:rsid w:val="0005297B"/>
    <w:rsid w:val="000529B4"/>
    <w:rsid w:val="00052A0E"/>
    <w:rsid w:val="00052A17"/>
    <w:rsid w:val="00052A6A"/>
    <w:rsid w:val="00052AF1"/>
    <w:rsid w:val="00052B1E"/>
    <w:rsid w:val="00052B2C"/>
    <w:rsid w:val="00052BA1"/>
    <w:rsid w:val="00052BC9"/>
    <w:rsid w:val="00052C12"/>
    <w:rsid w:val="00052C2A"/>
    <w:rsid w:val="00052C3A"/>
    <w:rsid w:val="00052C6B"/>
    <w:rsid w:val="00052C9D"/>
    <w:rsid w:val="00052CB1"/>
    <w:rsid w:val="00052CC2"/>
    <w:rsid w:val="00052D2E"/>
    <w:rsid w:val="00052D51"/>
    <w:rsid w:val="00052D86"/>
    <w:rsid w:val="00052D9C"/>
    <w:rsid w:val="00052DE6"/>
    <w:rsid w:val="00052E84"/>
    <w:rsid w:val="00052E99"/>
    <w:rsid w:val="00052ED8"/>
    <w:rsid w:val="00052EFC"/>
    <w:rsid w:val="00052F05"/>
    <w:rsid w:val="00052F24"/>
    <w:rsid w:val="00052F5E"/>
    <w:rsid w:val="00052FBD"/>
    <w:rsid w:val="00052FD3"/>
    <w:rsid w:val="00053041"/>
    <w:rsid w:val="0005306E"/>
    <w:rsid w:val="0005309A"/>
    <w:rsid w:val="000530C6"/>
    <w:rsid w:val="000530D2"/>
    <w:rsid w:val="000530E0"/>
    <w:rsid w:val="000530FF"/>
    <w:rsid w:val="0005312E"/>
    <w:rsid w:val="0005312F"/>
    <w:rsid w:val="000531B2"/>
    <w:rsid w:val="000531B4"/>
    <w:rsid w:val="000531C3"/>
    <w:rsid w:val="000531DA"/>
    <w:rsid w:val="00053224"/>
    <w:rsid w:val="0005323A"/>
    <w:rsid w:val="00053257"/>
    <w:rsid w:val="00053297"/>
    <w:rsid w:val="000532CC"/>
    <w:rsid w:val="000532E8"/>
    <w:rsid w:val="000532EF"/>
    <w:rsid w:val="000533B8"/>
    <w:rsid w:val="000533C5"/>
    <w:rsid w:val="000533E8"/>
    <w:rsid w:val="00053411"/>
    <w:rsid w:val="000534F7"/>
    <w:rsid w:val="0005352B"/>
    <w:rsid w:val="0005354E"/>
    <w:rsid w:val="00053592"/>
    <w:rsid w:val="000535F9"/>
    <w:rsid w:val="00053636"/>
    <w:rsid w:val="00053662"/>
    <w:rsid w:val="00053776"/>
    <w:rsid w:val="00053782"/>
    <w:rsid w:val="000537E0"/>
    <w:rsid w:val="00053829"/>
    <w:rsid w:val="00053919"/>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2"/>
    <w:rsid w:val="00053F56"/>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84"/>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B8"/>
    <w:rsid w:val="000547E6"/>
    <w:rsid w:val="000547F3"/>
    <w:rsid w:val="0005486B"/>
    <w:rsid w:val="00054891"/>
    <w:rsid w:val="000548BA"/>
    <w:rsid w:val="00054939"/>
    <w:rsid w:val="00054961"/>
    <w:rsid w:val="0005497D"/>
    <w:rsid w:val="00054980"/>
    <w:rsid w:val="000549B9"/>
    <w:rsid w:val="00054A0C"/>
    <w:rsid w:val="00054A16"/>
    <w:rsid w:val="00054A58"/>
    <w:rsid w:val="00054A86"/>
    <w:rsid w:val="00054A87"/>
    <w:rsid w:val="00054A91"/>
    <w:rsid w:val="00054A9B"/>
    <w:rsid w:val="00054B57"/>
    <w:rsid w:val="00054B7E"/>
    <w:rsid w:val="00054BE3"/>
    <w:rsid w:val="00054C7B"/>
    <w:rsid w:val="00054CC9"/>
    <w:rsid w:val="00054CCD"/>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E7"/>
    <w:rsid w:val="00055740"/>
    <w:rsid w:val="00055781"/>
    <w:rsid w:val="00055793"/>
    <w:rsid w:val="000557A8"/>
    <w:rsid w:val="00055826"/>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7"/>
    <w:rsid w:val="00055BA7"/>
    <w:rsid w:val="00055BBB"/>
    <w:rsid w:val="00055BC7"/>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1C"/>
    <w:rsid w:val="00056250"/>
    <w:rsid w:val="0005629D"/>
    <w:rsid w:val="000562B9"/>
    <w:rsid w:val="000562FC"/>
    <w:rsid w:val="00056315"/>
    <w:rsid w:val="00056380"/>
    <w:rsid w:val="00056393"/>
    <w:rsid w:val="000563BB"/>
    <w:rsid w:val="00056465"/>
    <w:rsid w:val="00056498"/>
    <w:rsid w:val="000564A9"/>
    <w:rsid w:val="000564D0"/>
    <w:rsid w:val="000564D5"/>
    <w:rsid w:val="00056522"/>
    <w:rsid w:val="00056526"/>
    <w:rsid w:val="0005660C"/>
    <w:rsid w:val="00056633"/>
    <w:rsid w:val="0005666D"/>
    <w:rsid w:val="0005669A"/>
    <w:rsid w:val="000566EC"/>
    <w:rsid w:val="00056767"/>
    <w:rsid w:val="0005676F"/>
    <w:rsid w:val="00056797"/>
    <w:rsid w:val="00056806"/>
    <w:rsid w:val="0005680C"/>
    <w:rsid w:val="0005681B"/>
    <w:rsid w:val="0005682F"/>
    <w:rsid w:val="00056845"/>
    <w:rsid w:val="0005688B"/>
    <w:rsid w:val="000568CA"/>
    <w:rsid w:val="00056932"/>
    <w:rsid w:val="0005693B"/>
    <w:rsid w:val="00056961"/>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A0"/>
    <w:rsid w:val="00056CB4"/>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67"/>
    <w:rsid w:val="00057CDA"/>
    <w:rsid w:val="00057D00"/>
    <w:rsid w:val="00057D52"/>
    <w:rsid w:val="00057D8A"/>
    <w:rsid w:val="00057DA3"/>
    <w:rsid w:val="00057DC5"/>
    <w:rsid w:val="00057DD3"/>
    <w:rsid w:val="00057DD7"/>
    <w:rsid w:val="00057DE6"/>
    <w:rsid w:val="00057E09"/>
    <w:rsid w:val="00057E0D"/>
    <w:rsid w:val="00057E78"/>
    <w:rsid w:val="00057E85"/>
    <w:rsid w:val="00057EDC"/>
    <w:rsid w:val="00057EFB"/>
    <w:rsid w:val="00057F39"/>
    <w:rsid w:val="00057F92"/>
    <w:rsid w:val="00057FE1"/>
    <w:rsid w:val="00060045"/>
    <w:rsid w:val="000600D5"/>
    <w:rsid w:val="0006011E"/>
    <w:rsid w:val="00060167"/>
    <w:rsid w:val="000601B9"/>
    <w:rsid w:val="000601D3"/>
    <w:rsid w:val="00060204"/>
    <w:rsid w:val="0006023E"/>
    <w:rsid w:val="00060273"/>
    <w:rsid w:val="000602DB"/>
    <w:rsid w:val="00060321"/>
    <w:rsid w:val="0006032B"/>
    <w:rsid w:val="00060371"/>
    <w:rsid w:val="000603F8"/>
    <w:rsid w:val="0006040B"/>
    <w:rsid w:val="0006040E"/>
    <w:rsid w:val="00060467"/>
    <w:rsid w:val="00060477"/>
    <w:rsid w:val="0006049B"/>
    <w:rsid w:val="000604B9"/>
    <w:rsid w:val="0006051E"/>
    <w:rsid w:val="00060563"/>
    <w:rsid w:val="00060575"/>
    <w:rsid w:val="0006057F"/>
    <w:rsid w:val="00060584"/>
    <w:rsid w:val="0006059A"/>
    <w:rsid w:val="000605CC"/>
    <w:rsid w:val="000605D6"/>
    <w:rsid w:val="000605F5"/>
    <w:rsid w:val="00060619"/>
    <w:rsid w:val="00060659"/>
    <w:rsid w:val="00060749"/>
    <w:rsid w:val="00060758"/>
    <w:rsid w:val="000607C2"/>
    <w:rsid w:val="0006083E"/>
    <w:rsid w:val="0006085B"/>
    <w:rsid w:val="0006089B"/>
    <w:rsid w:val="000608EA"/>
    <w:rsid w:val="000609B1"/>
    <w:rsid w:val="00060A76"/>
    <w:rsid w:val="00060A8F"/>
    <w:rsid w:val="00060AA6"/>
    <w:rsid w:val="00060AB6"/>
    <w:rsid w:val="00060B2E"/>
    <w:rsid w:val="00060B45"/>
    <w:rsid w:val="00060B85"/>
    <w:rsid w:val="00060B88"/>
    <w:rsid w:val="00060C48"/>
    <w:rsid w:val="00060C52"/>
    <w:rsid w:val="00060C5F"/>
    <w:rsid w:val="00060C64"/>
    <w:rsid w:val="00060CEF"/>
    <w:rsid w:val="00060D10"/>
    <w:rsid w:val="00060D7B"/>
    <w:rsid w:val="00060D7D"/>
    <w:rsid w:val="00060DB0"/>
    <w:rsid w:val="00060E59"/>
    <w:rsid w:val="00060E9C"/>
    <w:rsid w:val="00060EAB"/>
    <w:rsid w:val="00060EB2"/>
    <w:rsid w:val="00060EF6"/>
    <w:rsid w:val="00060EF8"/>
    <w:rsid w:val="00060F1B"/>
    <w:rsid w:val="00060F3B"/>
    <w:rsid w:val="00060F52"/>
    <w:rsid w:val="00060F90"/>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50"/>
    <w:rsid w:val="00061786"/>
    <w:rsid w:val="000617B2"/>
    <w:rsid w:val="00061842"/>
    <w:rsid w:val="0006184F"/>
    <w:rsid w:val="00061857"/>
    <w:rsid w:val="0006189E"/>
    <w:rsid w:val="000618C4"/>
    <w:rsid w:val="000618DC"/>
    <w:rsid w:val="000618FE"/>
    <w:rsid w:val="0006191E"/>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C1B"/>
    <w:rsid w:val="00061C6A"/>
    <w:rsid w:val="00061CEA"/>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10C"/>
    <w:rsid w:val="00062153"/>
    <w:rsid w:val="0006217F"/>
    <w:rsid w:val="000621D9"/>
    <w:rsid w:val="000621DA"/>
    <w:rsid w:val="00062206"/>
    <w:rsid w:val="0006222D"/>
    <w:rsid w:val="0006224A"/>
    <w:rsid w:val="0006224F"/>
    <w:rsid w:val="0006225A"/>
    <w:rsid w:val="000622A7"/>
    <w:rsid w:val="00062386"/>
    <w:rsid w:val="00062416"/>
    <w:rsid w:val="00062467"/>
    <w:rsid w:val="0006249E"/>
    <w:rsid w:val="000624D2"/>
    <w:rsid w:val="000624DA"/>
    <w:rsid w:val="00062510"/>
    <w:rsid w:val="0006251A"/>
    <w:rsid w:val="00062575"/>
    <w:rsid w:val="000625CD"/>
    <w:rsid w:val="00062613"/>
    <w:rsid w:val="00062669"/>
    <w:rsid w:val="0006269C"/>
    <w:rsid w:val="000626BC"/>
    <w:rsid w:val="000626CC"/>
    <w:rsid w:val="00062713"/>
    <w:rsid w:val="0006276F"/>
    <w:rsid w:val="000627CF"/>
    <w:rsid w:val="0006280D"/>
    <w:rsid w:val="00062821"/>
    <w:rsid w:val="00062833"/>
    <w:rsid w:val="00062834"/>
    <w:rsid w:val="00062920"/>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5B"/>
    <w:rsid w:val="00062DA5"/>
    <w:rsid w:val="00062E85"/>
    <w:rsid w:val="00062E8A"/>
    <w:rsid w:val="00062ECD"/>
    <w:rsid w:val="00062F34"/>
    <w:rsid w:val="00062F35"/>
    <w:rsid w:val="00062F7F"/>
    <w:rsid w:val="00062F81"/>
    <w:rsid w:val="00062FA2"/>
    <w:rsid w:val="0006303C"/>
    <w:rsid w:val="0006304A"/>
    <w:rsid w:val="0006308C"/>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B"/>
    <w:rsid w:val="0006360D"/>
    <w:rsid w:val="000636A4"/>
    <w:rsid w:val="000636E2"/>
    <w:rsid w:val="0006374F"/>
    <w:rsid w:val="0006376F"/>
    <w:rsid w:val="0006381A"/>
    <w:rsid w:val="0006398B"/>
    <w:rsid w:val="00063993"/>
    <w:rsid w:val="000639CF"/>
    <w:rsid w:val="000639DC"/>
    <w:rsid w:val="00063A47"/>
    <w:rsid w:val="00063AA2"/>
    <w:rsid w:val="00063AA5"/>
    <w:rsid w:val="00063B61"/>
    <w:rsid w:val="00063BA9"/>
    <w:rsid w:val="00063BCE"/>
    <w:rsid w:val="00063BFC"/>
    <w:rsid w:val="00063C17"/>
    <w:rsid w:val="00063C7A"/>
    <w:rsid w:val="00063C97"/>
    <w:rsid w:val="00063C98"/>
    <w:rsid w:val="00063C99"/>
    <w:rsid w:val="00063CA9"/>
    <w:rsid w:val="00063D35"/>
    <w:rsid w:val="00063D82"/>
    <w:rsid w:val="00063DF3"/>
    <w:rsid w:val="00063E4E"/>
    <w:rsid w:val="00063E4F"/>
    <w:rsid w:val="00063F03"/>
    <w:rsid w:val="00063F0E"/>
    <w:rsid w:val="00063F41"/>
    <w:rsid w:val="00063F81"/>
    <w:rsid w:val="00063F87"/>
    <w:rsid w:val="00063F91"/>
    <w:rsid w:val="00064007"/>
    <w:rsid w:val="0006403F"/>
    <w:rsid w:val="00064046"/>
    <w:rsid w:val="00064051"/>
    <w:rsid w:val="000640BB"/>
    <w:rsid w:val="00064142"/>
    <w:rsid w:val="00064158"/>
    <w:rsid w:val="000641D7"/>
    <w:rsid w:val="000641F4"/>
    <w:rsid w:val="00064282"/>
    <w:rsid w:val="000642A2"/>
    <w:rsid w:val="000642F4"/>
    <w:rsid w:val="00064314"/>
    <w:rsid w:val="00064326"/>
    <w:rsid w:val="0006436F"/>
    <w:rsid w:val="0006437C"/>
    <w:rsid w:val="00064396"/>
    <w:rsid w:val="000643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11"/>
    <w:rsid w:val="00064B4F"/>
    <w:rsid w:val="00064B63"/>
    <w:rsid w:val="00064B76"/>
    <w:rsid w:val="00064B94"/>
    <w:rsid w:val="00064B9E"/>
    <w:rsid w:val="00064BB5"/>
    <w:rsid w:val="00064BD3"/>
    <w:rsid w:val="00064BD6"/>
    <w:rsid w:val="00064C1F"/>
    <w:rsid w:val="00064C79"/>
    <w:rsid w:val="00064CAE"/>
    <w:rsid w:val="00064CEE"/>
    <w:rsid w:val="00064CF5"/>
    <w:rsid w:val="00064CFC"/>
    <w:rsid w:val="00064D35"/>
    <w:rsid w:val="00064D4F"/>
    <w:rsid w:val="00064D64"/>
    <w:rsid w:val="00064D86"/>
    <w:rsid w:val="00064DE0"/>
    <w:rsid w:val="00064DEE"/>
    <w:rsid w:val="00064E6B"/>
    <w:rsid w:val="00064E90"/>
    <w:rsid w:val="00064E98"/>
    <w:rsid w:val="00064E9C"/>
    <w:rsid w:val="00064ECE"/>
    <w:rsid w:val="00064EDD"/>
    <w:rsid w:val="00064F43"/>
    <w:rsid w:val="00064F72"/>
    <w:rsid w:val="00064F7D"/>
    <w:rsid w:val="00064FCA"/>
    <w:rsid w:val="00065007"/>
    <w:rsid w:val="0006506A"/>
    <w:rsid w:val="00065084"/>
    <w:rsid w:val="000651A3"/>
    <w:rsid w:val="000651A7"/>
    <w:rsid w:val="000651B9"/>
    <w:rsid w:val="000651CB"/>
    <w:rsid w:val="00065205"/>
    <w:rsid w:val="00065242"/>
    <w:rsid w:val="00065297"/>
    <w:rsid w:val="000652AC"/>
    <w:rsid w:val="000652F0"/>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6DB"/>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C1"/>
    <w:rsid w:val="00065CCE"/>
    <w:rsid w:val="00065CD1"/>
    <w:rsid w:val="00065CDE"/>
    <w:rsid w:val="00065D33"/>
    <w:rsid w:val="00065DFE"/>
    <w:rsid w:val="00065E4B"/>
    <w:rsid w:val="00065E4F"/>
    <w:rsid w:val="00065E93"/>
    <w:rsid w:val="00065EA0"/>
    <w:rsid w:val="00065EA6"/>
    <w:rsid w:val="0006601B"/>
    <w:rsid w:val="00066049"/>
    <w:rsid w:val="00066091"/>
    <w:rsid w:val="000660B2"/>
    <w:rsid w:val="00066132"/>
    <w:rsid w:val="00066174"/>
    <w:rsid w:val="000661AA"/>
    <w:rsid w:val="000661CD"/>
    <w:rsid w:val="000661E0"/>
    <w:rsid w:val="00066214"/>
    <w:rsid w:val="0006622E"/>
    <w:rsid w:val="0006624B"/>
    <w:rsid w:val="000662BC"/>
    <w:rsid w:val="000662F6"/>
    <w:rsid w:val="000662FD"/>
    <w:rsid w:val="00066389"/>
    <w:rsid w:val="000663C0"/>
    <w:rsid w:val="000663F4"/>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84A"/>
    <w:rsid w:val="00066876"/>
    <w:rsid w:val="00066893"/>
    <w:rsid w:val="00066895"/>
    <w:rsid w:val="000668BD"/>
    <w:rsid w:val="000668DB"/>
    <w:rsid w:val="00066956"/>
    <w:rsid w:val="00066967"/>
    <w:rsid w:val="0006699E"/>
    <w:rsid w:val="000669B8"/>
    <w:rsid w:val="000669BA"/>
    <w:rsid w:val="00066A10"/>
    <w:rsid w:val="00066A22"/>
    <w:rsid w:val="00066A49"/>
    <w:rsid w:val="00066A58"/>
    <w:rsid w:val="00066AF5"/>
    <w:rsid w:val="00066B0F"/>
    <w:rsid w:val="00066B74"/>
    <w:rsid w:val="00066C64"/>
    <w:rsid w:val="00066C75"/>
    <w:rsid w:val="00066CCE"/>
    <w:rsid w:val="00066D02"/>
    <w:rsid w:val="00066D44"/>
    <w:rsid w:val="00066D70"/>
    <w:rsid w:val="00066DF4"/>
    <w:rsid w:val="00066E91"/>
    <w:rsid w:val="00066ED0"/>
    <w:rsid w:val="00066ED4"/>
    <w:rsid w:val="00066F04"/>
    <w:rsid w:val="00066F08"/>
    <w:rsid w:val="00066F0F"/>
    <w:rsid w:val="00066F23"/>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5"/>
    <w:rsid w:val="00067AC3"/>
    <w:rsid w:val="00067B3B"/>
    <w:rsid w:val="00067B59"/>
    <w:rsid w:val="00067BF6"/>
    <w:rsid w:val="00067C2C"/>
    <w:rsid w:val="00067C56"/>
    <w:rsid w:val="00067CA8"/>
    <w:rsid w:val="00067CD8"/>
    <w:rsid w:val="00067CDF"/>
    <w:rsid w:val="00067CE4"/>
    <w:rsid w:val="00067CEA"/>
    <w:rsid w:val="00067CED"/>
    <w:rsid w:val="00067DAA"/>
    <w:rsid w:val="00067DC6"/>
    <w:rsid w:val="00067DF5"/>
    <w:rsid w:val="00067DF7"/>
    <w:rsid w:val="00067E38"/>
    <w:rsid w:val="00067E97"/>
    <w:rsid w:val="00067EAB"/>
    <w:rsid w:val="00067F1A"/>
    <w:rsid w:val="00067F31"/>
    <w:rsid w:val="00067F91"/>
    <w:rsid w:val="00067FBF"/>
    <w:rsid w:val="00067FC0"/>
    <w:rsid w:val="00067FFC"/>
    <w:rsid w:val="0007000B"/>
    <w:rsid w:val="00070011"/>
    <w:rsid w:val="0007005A"/>
    <w:rsid w:val="0007005F"/>
    <w:rsid w:val="00070094"/>
    <w:rsid w:val="00070117"/>
    <w:rsid w:val="00070126"/>
    <w:rsid w:val="00070150"/>
    <w:rsid w:val="00070158"/>
    <w:rsid w:val="000701C7"/>
    <w:rsid w:val="000701F5"/>
    <w:rsid w:val="00070202"/>
    <w:rsid w:val="00070246"/>
    <w:rsid w:val="00070265"/>
    <w:rsid w:val="000702AD"/>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18"/>
    <w:rsid w:val="00070676"/>
    <w:rsid w:val="00070681"/>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8B"/>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F1"/>
    <w:rsid w:val="00071508"/>
    <w:rsid w:val="00071542"/>
    <w:rsid w:val="000715B2"/>
    <w:rsid w:val="000715F0"/>
    <w:rsid w:val="00071612"/>
    <w:rsid w:val="00071663"/>
    <w:rsid w:val="00071708"/>
    <w:rsid w:val="00071723"/>
    <w:rsid w:val="00071742"/>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17D"/>
    <w:rsid w:val="00072220"/>
    <w:rsid w:val="00072253"/>
    <w:rsid w:val="000722C7"/>
    <w:rsid w:val="00072318"/>
    <w:rsid w:val="00072347"/>
    <w:rsid w:val="0007238A"/>
    <w:rsid w:val="00072423"/>
    <w:rsid w:val="000724FA"/>
    <w:rsid w:val="0007255F"/>
    <w:rsid w:val="0007256D"/>
    <w:rsid w:val="00072582"/>
    <w:rsid w:val="00072585"/>
    <w:rsid w:val="000725D4"/>
    <w:rsid w:val="0007264A"/>
    <w:rsid w:val="00072652"/>
    <w:rsid w:val="000726D6"/>
    <w:rsid w:val="00072736"/>
    <w:rsid w:val="00072749"/>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303B"/>
    <w:rsid w:val="00073097"/>
    <w:rsid w:val="000730FD"/>
    <w:rsid w:val="00073141"/>
    <w:rsid w:val="0007319B"/>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1"/>
    <w:rsid w:val="00073AC5"/>
    <w:rsid w:val="00073AD6"/>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38"/>
    <w:rsid w:val="00074576"/>
    <w:rsid w:val="000745BE"/>
    <w:rsid w:val="000745BF"/>
    <w:rsid w:val="000745F2"/>
    <w:rsid w:val="00074650"/>
    <w:rsid w:val="00074659"/>
    <w:rsid w:val="00074668"/>
    <w:rsid w:val="000746CC"/>
    <w:rsid w:val="000746E6"/>
    <w:rsid w:val="00074719"/>
    <w:rsid w:val="00074726"/>
    <w:rsid w:val="0007474A"/>
    <w:rsid w:val="000747AD"/>
    <w:rsid w:val="000747EB"/>
    <w:rsid w:val="00074872"/>
    <w:rsid w:val="00074879"/>
    <w:rsid w:val="00074893"/>
    <w:rsid w:val="000748D2"/>
    <w:rsid w:val="00074935"/>
    <w:rsid w:val="00074992"/>
    <w:rsid w:val="00074A00"/>
    <w:rsid w:val="00074A6F"/>
    <w:rsid w:val="00074AB4"/>
    <w:rsid w:val="00074AD3"/>
    <w:rsid w:val="00074B0D"/>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94"/>
    <w:rsid w:val="00074DB0"/>
    <w:rsid w:val="00074DF2"/>
    <w:rsid w:val="00074E52"/>
    <w:rsid w:val="00074F1D"/>
    <w:rsid w:val="00074F3A"/>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1A"/>
    <w:rsid w:val="00075747"/>
    <w:rsid w:val="00075777"/>
    <w:rsid w:val="00075783"/>
    <w:rsid w:val="00075792"/>
    <w:rsid w:val="000757A3"/>
    <w:rsid w:val="000757DD"/>
    <w:rsid w:val="000757FB"/>
    <w:rsid w:val="0007584B"/>
    <w:rsid w:val="000758BA"/>
    <w:rsid w:val="000758C6"/>
    <w:rsid w:val="000758CC"/>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86"/>
    <w:rsid w:val="00075BA0"/>
    <w:rsid w:val="00075BC9"/>
    <w:rsid w:val="00075C37"/>
    <w:rsid w:val="00075C72"/>
    <w:rsid w:val="00075C83"/>
    <w:rsid w:val="00075C85"/>
    <w:rsid w:val="00075CA4"/>
    <w:rsid w:val="00075CDD"/>
    <w:rsid w:val="00075D5B"/>
    <w:rsid w:val="00075E08"/>
    <w:rsid w:val="00075E37"/>
    <w:rsid w:val="00075E9E"/>
    <w:rsid w:val="00075F22"/>
    <w:rsid w:val="00075F4B"/>
    <w:rsid w:val="00075F5C"/>
    <w:rsid w:val="00075F71"/>
    <w:rsid w:val="00075F7B"/>
    <w:rsid w:val="00075FCC"/>
    <w:rsid w:val="00076010"/>
    <w:rsid w:val="00076021"/>
    <w:rsid w:val="0007612B"/>
    <w:rsid w:val="0007616B"/>
    <w:rsid w:val="0007617C"/>
    <w:rsid w:val="000761C9"/>
    <w:rsid w:val="0007626C"/>
    <w:rsid w:val="0007631B"/>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85"/>
    <w:rsid w:val="000767A5"/>
    <w:rsid w:val="000767B3"/>
    <w:rsid w:val="000767C0"/>
    <w:rsid w:val="000767D4"/>
    <w:rsid w:val="000767FA"/>
    <w:rsid w:val="0007680E"/>
    <w:rsid w:val="00076810"/>
    <w:rsid w:val="00076815"/>
    <w:rsid w:val="0007682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5E"/>
    <w:rsid w:val="00076BDB"/>
    <w:rsid w:val="00076BED"/>
    <w:rsid w:val="00076C06"/>
    <w:rsid w:val="00076C62"/>
    <w:rsid w:val="00076CCA"/>
    <w:rsid w:val="00076CEE"/>
    <w:rsid w:val="00076D10"/>
    <w:rsid w:val="00076D67"/>
    <w:rsid w:val="00076E19"/>
    <w:rsid w:val="00076E6D"/>
    <w:rsid w:val="00076E8D"/>
    <w:rsid w:val="00076E92"/>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4D2"/>
    <w:rsid w:val="00077545"/>
    <w:rsid w:val="00077636"/>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5"/>
    <w:rsid w:val="00077CFF"/>
    <w:rsid w:val="00077D4F"/>
    <w:rsid w:val="00077D5A"/>
    <w:rsid w:val="00077D6F"/>
    <w:rsid w:val="00077D74"/>
    <w:rsid w:val="00077D96"/>
    <w:rsid w:val="00077DB6"/>
    <w:rsid w:val="00077DF9"/>
    <w:rsid w:val="00077E2B"/>
    <w:rsid w:val="00077EAB"/>
    <w:rsid w:val="00077EB1"/>
    <w:rsid w:val="00077EC2"/>
    <w:rsid w:val="00077EE0"/>
    <w:rsid w:val="00077EE4"/>
    <w:rsid w:val="00077F09"/>
    <w:rsid w:val="00077F18"/>
    <w:rsid w:val="00077F7A"/>
    <w:rsid w:val="00077FC2"/>
    <w:rsid w:val="0008003B"/>
    <w:rsid w:val="0008004C"/>
    <w:rsid w:val="0008005F"/>
    <w:rsid w:val="000800C4"/>
    <w:rsid w:val="000800CA"/>
    <w:rsid w:val="00080158"/>
    <w:rsid w:val="00080185"/>
    <w:rsid w:val="000801BB"/>
    <w:rsid w:val="000801C4"/>
    <w:rsid w:val="0008026E"/>
    <w:rsid w:val="000802BD"/>
    <w:rsid w:val="000802C4"/>
    <w:rsid w:val="0008035E"/>
    <w:rsid w:val="000803A1"/>
    <w:rsid w:val="00080453"/>
    <w:rsid w:val="00080478"/>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B7"/>
    <w:rsid w:val="000808C1"/>
    <w:rsid w:val="000808E2"/>
    <w:rsid w:val="00080901"/>
    <w:rsid w:val="00080906"/>
    <w:rsid w:val="00080940"/>
    <w:rsid w:val="00080946"/>
    <w:rsid w:val="000809BE"/>
    <w:rsid w:val="000809CA"/>
    <w:rsid w:val="00080A1E"/>
    <w:rsid w:val="00080AE1"/>
    <w:rsid w:val="00080AE4"/>
    <w:rsid w:val="00080B5E"/>
    <w:rsid w:val="00080B83"/>
    <w:rsid w:val="00080C9B"/>
    <w:rsid w:val="00080CC6"/>
    <w:rsid w:val="00080D36"/>
    <w:rsid w:val="00080D50"/>
    <w:rsid w:val="00080D59"/>
    <w:rsid w:val="00080DA7"/>
    <w:rsid w:val="00080DBE"/>
    <w:rsid w:val="00080E21"/>
    <w:rsid w:val="00080E32"/>
    <w:rsid w:val="00080E73"/>
    <w:rsid w:val="00080EA4"/>
    <w:rsid w:val="00080F3B"/>
    <w:rsid w:val="00080FA1"/>
    <w:rsid w:val="00080FCA"/>
    <w:rsid w:val="00080FF6"/>
    <w:rsid w:val="00081046"/>
    <w:rsid w:val="0008116D"/>
    <w:rsid w:val="00081216"/>
    <w:rsid w:val="0008122D"/>
    <w:rsid w:val="0008123F"/>
    <w:rsid w:val="00081248"/>
    <w:rsid w:val="00081264"/>
    <w:rsid w:val="000812BB"/>
    <w:rsid w:val="000812CB"/>
    <w:rsid w:val="000812CD"/>
    <w:rsid w:val="000812E1"/>
    <w:rsid w:val="000812F3"/>
    <w:rsid w:val="0008134F"/>
    <w:rsid w:val="0008139A"/>
    <w:rsid w:val="000813BD"/>
    <w:rsid w:val="0008140C"/>
    <w:rsid w:val="0008142F"/>
    <w:rsid w:val="00081441"/>
    <w:rsid w:val="00081442"/>
    <w:rsid w:val="000814BC"/>
    <w:rsid w:val="000814EA"/>
    <w:rsid w:val="00081539"/>
    <w:rsid w:val="00081571"/>
    <w:rsid w:val="00081629"/>
    <w:rsid w:val="00081689"/>
    <w:rsid w:val="000816B8"/>
    <w:rsid w:val="00081723"/>
    <w:rsid w:val="00081730"/>
    <w:rsid w:val="000817BC"/>
    <w:rsid w:val="000817C2"/>
    <w:rsid w:val="00081831"/>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CE"/>
    <w:rsid w:val="00082067"/>
    <w:rsid w:val="00082116"/>
    <w:rsid w:val="00082143"/>
    <w:rsid w:val="0008214A"/>
    <w:rsid w:val="000821C5"/>
    <w:rsid w:val="000821FF"/>
    <w:rsid w:val="00082214"/>
    <w:rsid w:val="0008230F"/>
    <w:rsid w:val="00082330"/>
    <w:rsid w:val="00082341"/>
    <w:rsid w:val="00082370"/>
    <w:rsid w:val="00082408"/>
    <w:rsid w:val="00082479"/>
    <w:rsid w:val="000824DB"/>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35"/>
    <w:rsid w:val="00082946"/>
    <w:rsid w:val="00082980"/>
    <w:rsid w:val="000829B1"/>
    <w:rsid w:val="00082A45"/>
    <w:rsid w:val="00082A90"/>
    <w:rsid w:val="00082AC1"/>
    <w:rsid w:val="00082B3A"/>
    <w:rsid w:val="00082B3B"/>
    <w:rsid w:val="00082B3D"/>
    <w:rsid w:val="00082B4A"/>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B2"/>
    <w:rsid w:val="000833FE"/>
    <w:rsid w:val="0008342D"/>
    <w:rsid w:val="0008346A"/>
    <w:rsid w:val="000834BB"/>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D4"/>
    <w:rsid w:val="00083914"/>
    <w:rsid w:val="0008398A"/>
    <w:rsid w:val="000839A5"/>
    <w:rsid w:val="000839E8"/>
    <w:rsid w:val="000839F0"/>
    <w:rsid w:val="00083A6B"/>
    <w:rsid w:val="00083A9A"/>
    <w:rsid w:val="00083AB1"/>
    <w:rsid w:val="00083B1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1BE"/>
    <w:rsid w:val="00084241"/>
    <w:rsid w:val="00084255"/>
    <w:rsid w:val="00084285"/>
    <w:rsid w:val="000842E1"/>
    <w:rsid w:val="00084305"/>
    <w:rsid w:val="00084381"/>
    <w:rsid w:val="0008442C"/>
    <w:rsid w:val="0008448C"/>
    <w:rsid w:val="000844C0"/>
    <w:rsid w:val="00084503"/>
    <w:rsid w:val="0008453A"/>
    <w:rsid w:val="0008454D"/>
    <w:rsid w:val="00084553"/>
    <w:rsid w:val="00084564"/>
    <w:rsid w:val="0008457B"/>
    <w:rsid w:val="000845D6"/>
    <w:rsid w:val="000845E1"/>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7D"/>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57"/>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0FE"/>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8B7"/>
    <w:rsid w:val="0008591E"/>
    <w:rsid w:val="00085934"/>
    <w:rsid w:val="0008593D"/>
    <w:rsid w:val="00085959"/>
    <w:rsid w:val="000859A4"/>
    <w:rsid w:val="000859B3"/>
    <w:rsid w:val="000859BA"/>
    <w:rsid w:val="000859F5"/>
    <w:rsid w:val="00085A10"/>
    <w:rsid w:val="00085A70"/>
    <w:rsid w:val="00085A85"/>
    <w:rsid w:val="00085ABE"/>
    <w:rsid w:val="00085ADA"/>
    <w:rsid w:val="00085AE8"/>
    <w:rsid w:val="00085AEB"/>
    <w:rsid w:val="00085AF8"/>
    <w:rsid w:val="00085B12"/>
    <w:rsid w:val="00085B15"/>
    <w:rsid w:val="00085B3D"/>
    <w:rsid w:val="00085B6D"/>
    <w:rsid w:val="00085B9D"/>
    <w:rsid w:val="00085BB5"/>
    <w:rsid w:val="00085BE0"/>
    <w:rsid w:val="00085BF1"/>
    <w:rsid w:val="00085C84"/>
    <w:rsid w:val="00085C98"/>
    <w:rsid w:val="00085CC0"/>
    <w:rsid w:val="00085CC3"/>
    <w:rsid w:val="00085DC6"/>
    <w:rsid w:val="00085DDB"/>
    <w:rsid w:val="00085DF2"/>
    <w:rsid w:val="00085E0E"/>
    <w:rsid w:val="00085E5B"/>
    <w:rsid w:val="00085EBD"/>
    <w:rsid w:val="00085F06"/>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6"/>
    <w:rsid w:val="0008636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0"/>
    <w:rsid w:val="0008670C"/>
    <w:rsid w:val="00086732"/>
    <w:rsid w:val="00086738"/>
    <w:rsid w:val="0008677C"/>
    <w:rsid w:val="000867B1"/>
    <w:rsid w:val="000867CE"/>
    <w:rsid w:val="00086818"/>
    <w:rsid w:val="00086854"/>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BA"/>
    <w:rsid w:val="000877D8"/>
    <w:rsid w:val="000878C7"/>
    <w:rsid w:val="000878F4"/>
    <w:rsid w:val="000878F8"/>
    <w:rsid w:val="000879BA"/>
    <w:rsid w:val="000879DC"/>
    <w:rsid w:val="000879E3"/>
    <w:rsid w:val="00087A07"/>
    <w:rsid w:val="00087A74"/>
    <w:rsid w:val="00087A7B"/>
    <w:rsid w:val="00087AC7"/>
    <w:rsid w:val="00087B41"/>
    <w:rsid w:val="00087BC0"/>
    <w:rsid w:val="00087BCE"/>
    <w:rsid w:val="00087D87"/>
    <w:rsid w:val="00087E2D"/>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1"/>
    <w:rsid w:val="00090063"/>
    <w:rsid w:val="0009006D"/>
    <w:rsid w:val="000900B7"/>
    <w:rsid w:val="000900C1"/>
    <w:rsid w:val="000900E0"/>
    <w:rsid w:val="000900E1"/>
    <w:rsid w:val="00090119"/>
    <w:rsid w:val="00090121"/>
    <w:rsid w:val="00090144"/>
    <w:rsid w:val="00090146"/>
    <w:rsid w:val="0009015D"/>
    <w:rsid w:val="0009017F"/>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4BB"/>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1F"/>
    <w:rsid w:val="0009082C"/>
    <w:rsid w:val="00090834"/>
    <w:rsid w:val="00090862"/>
    <w:rsid w:val="00090865"/>
    <w:rsid w:val="00090866"/>
    <w:rsid w:val="00090979"/>
    <w:rsid w:val="0009097C"/>
    <w:rsid w:val="0009097E"/>
    <w:rsid w:val="0009098E"/>
    <w:rsid w:val="00090992"/>
    <w:rsid w:val="00090994"/>
    <w:rsid w:val="0009099B"/>
    <w:rsid w:val="000909C2"/>
    <w:rsid w:val="000909E4"/>
    <w:rsid w:val="00090A02"/>
    <w:rsid w:val="00090A0C"/>
    <w:rsid w:val="00090AA9"/>
    <w:rsid w:val="00090ABF"/>
    <w:rsid w:val="00090AE0"/>
    <w:rsid w:val="00090B3C"/>
    <w:rsid w:val="00090B6F"/>
    <w:rsid w:val="00090B71"/>
    <w:rsid w:val="00090BAE"/>
    <w:rsid w:val="00090BE6"/>
    <w:rsid w:val="00090BE8"/>
    <w:rsid w:val="00090C0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708"/>
    <w:rsid w:val="0009171F"/>
    <w:rsid w:val="00091729"/>
    <w:rsid w:val="00091769"/>
    <w:rsid w:val="000917C5"/>
    <w:rsid w:val="000917CB"/>
    <w:rsid w:val="0009180D"/>
    <w:rsid w:val="0009180E"/>
    <w:rsid w:val="00091814"/>
    <w:rsid w:val="00091843"/>
    <w:rsid w:val="00091847"/>
    <w:rsid w:val="00091866"/>
    <w:rsid w:val="00091886"/>
    <w:rsid w:val="000918B7"/>
    <w:rsid w:val="000918DF"/>
    <w:rsid w:val="000918F2"/>
    <w:rsid w:val="000918FF"/>
    <w:rsid w:val="00091941"/>
    <w:rsid w:val="00091996"/>
    <w:rsid w:val="00091A3E"/>
    <w:rsid w:val="00091A62"/>
    <w:rsid w:val="00091A66"/>
    <w:rsid w:val="00091A69"/>
    <w:rsid w:val="00091A89"/>
    <w:rsid w:val="00091A99"/>
    <w:rsid w:val="00091AA7"/>
    <w:rsid w:val="00091AE3"/>
    <w:rsid w:val="00091AEC"/>
    <w:rsid w:val="00091B6A"/>
    <w:rsid w:val="00091BD5"/>
    <w:rsid w:val="00091BF4"/>
    <w:rsid w:val="00091C6D"/>
    <w:rsid w:val="00091C79"/>
    <w:rsid w:val="00091D82"/>
    <w:rsid w:val="00091D97"/>
    <w:rsid w:val="00091E4D"/>
    <w:rsid w:val="00091F04"/>
    <w:rsid w:val="00091F23"/>
    <w:rsid w:val="00092026"/>
    <w:rsid w:val="0009202D"/>
    <w:rsid w:val="0009207A"/>
    <w:rsid w:val="00092091"/>
    <w:rsid w:val="00092102"/>
    <w:rsid w:val="00092146"/>
    <w:rsid w:val="0009227E"/>
    <w:rsid w:val="00092295"/>
    <w:rsid w:val="000922C6"/>
    <w:rsid w:val="000922E9"/>
    <w:rsid w:val="00092311"/>
    <w:rsid w:val="0009232D"/>
    <w:rsid w:val="0009237A"/>
    <w:rsid w:val="000923BD"/>
    <w:rsid w:val="000923C6"/>
    <w:rsid w:val="000923EC"/>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73"/>
    <w:rsid w:val="00092782"/>
    <w:rsid w:val="0009279B"/>
    <w:rsid w:val="000927B3"/>
    <w:rsid w:val="000927E8"/>
    <w:rsid w:val="0009281B"/>
    <w:rsid w:val="00092825"/>
    <w:rsid w:val="0009286F"/>
    <w:rsid w:val="00092898"/>
    <w:rsid w:val="0009289C"/>
    <w:rsid w:val="00092914"/>
    <w:rsid w:val="0009291E"/>
    <w:rsid w:val="0009291F"/>
    <w:rsid w:val="00092920"/>
    <w:rsid w:val="000929B7"/>
    <w:rsid w:val="000929F6"/>
    <w:rsid w:val="00092AB5"/>
    <w:rsid w:val="00092AD4"/>
    <w:rsid w:val="00092AE5"/>
    <w:rsid w:val="00092B43"/>
    <w:rsid w:val="00092B73"/>
    <w:rsid w:val="00092B89"/>
    <w:rsid w:val="00092CB2"/>
    <w:rsid w:val="00092CB4"/>
    <w:rsid w:val="00092CC2"/>
    <w:rsid w:val="00092CC7"/>
    <w:rsid w:val="00092CE0"/>
    <w:rsid w:val="00092CEC"/>
    <w:rsid w:val="00092D22"/>
    <w:rsid w:val="00092D60"/>
    <w:rsid w:val="00092D6D"/>
    <w:rsid w:val="00092D90"/>
    <w:rsid w:val="00092E7D"/>
    <w:rsid w:val="00092EA5"/>
    <w:rsid w:val="00092EBE"/>
    <w:rsid w:val="00092EE4"/>
    <w:rsid w:val="00092F1A"/>
    <w:rsid w:val="00092F21"/>
    <w:rsid w:val="00092F25"/>
    <w:rsid w:val="00092FB8"/>
    <w:rsid w:val="00092FCC"/>
    <w:rsid w:val="00092FE9"/>
    <w:rsid w:val="0009303F"/>
    <w:rsid w:val="00093056"/>
    <w:rsid w:val="000930C6"/>
    <w:rsid w:val="000930CC"/>
    <w:rsid w:val="00093101"/>
    <w:rsid w:val="00093102"/>
    <w:rsid w:val="00093142"/>
    <w:rsid w:val="00093172"/>
    <w:rsid w:val="0009317B"/>
    <w:rsid w:val="00093185"/>
    <w:rsid w:val="000931A4"/>
    <w:rsid w:val="000931D1"/>
    <w:rsid w:val="000931F4"/>
    <w:rsid w:val="00093205"/>
    <w:rsid w:val="0009322F"/>
    <w:rsid w:val="00093235"/>
    <w:rsid w:val="0009323D"/>
    <w:rsid w:val="00093250"/>
    <w:rsid w:val="00093256"/>
    <w:rsid w:val="00093259"/>
    <w:rsid w:val="000932E6"/>
    <w:rsid w:val="000932F7"/>
    <w:rsid w:val="0009332A"/>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D3"/>
    <w:rsid w:val="000938DB"/>
    <w:rsid w:val="000938E4"/>
    <w:rsid w:val="00093938"/>
    <w:rsid w:val="000939A4"/>
    <w:rsid w:val="000939C5"/>
    <w:rsid w:val="000939C6"/>
    <w:rsid w:val="00093A5A"/>
    <w:rsid w:val="00093A69"/>
    <w:rsid w:val="00093AEA"/>
    <w:rsid w:val="00093B24"/>
    <w:rsid w:val="00093B36"/>
    <w:rsid w:val="00093BE9"/>
    <w:rsid w:val="00093C01"/>
    <w:rsid w:val="00093C04"/>
    <w:rsid w:val="00093C22"/>
    <w:rsid w:val="00093C89"/>
    <w:rsid w:val="00093CB7"/>
    <w:rsid w:val="00093CC3"/>
    <w:rsid w:val="00093D2C"/>
    <w:rsid w:val="00093D63"/>
    <w:rsid w:val="00093D84"/>
    <w:rsid w:val="00093DD8"/>
    <w:rsid w:val="00093DF4"/>
    <w:rsid w:val="00093E65"/>
    <w:rsid w:val="00093E77"/>
    <w:rsid w:val="00093EC7"/>
    <w:rsid w:val="00093ECB"/>
    <w:rsid w:val="00093ECD"/>
    <w:rsid w:val="00093F4D"/>
    <w:rsid w:val="00094056"/>
    <w:rsid w:val="0009406D"/>
    <w:rsid w:val="00094085"/>
    <w:rsid w:val="000940CE"/>
    <w:rsid w:val="0009415E"/>
    <w:rsid w:val="0009416B"/>
    <w:rsid w:val="0009416C"/>
    <w:rsid w:val="000941B8"/>
    <w:rsid w:val="000941FB"/>
    <w:rsid w:val="0009421E"/>
    <w:rsid w:val="00094270"/>
    <w:rsid w:val="0009430D"/>
    <w:rsid w:val="00094325"/>
    <w:rsid w:val="00094351"/>
    <w:rsid w:val="00094357"/>
    <w:rsid w:val="000943E9"/>
    <w:rsid w:val="000943F9"/>
    <w:rsid w:val="000944AA"/>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CB"/>
    <w:rsid w:val="000949F0"/>
    <w:rsid w:val="00094A05"/>
    <w:rsid w:val="00094A0B"/>
    <w:rsid w:val="00094A3A"/>
    <w:rsid w:val="00094A4A"/>
    <w:rsid w:val="00094A6D"/>
    <w:rsid w:val="00094B22"/>
    <w:rsid w:val="00094B31"/>
    <w:rsid w:val="00094B45"/>
    <w:rsid w:val="00094B5B"/>
    <w:rsid w:val="00094B68"/>
    <w:rsid w:val="00094B73"/>
    <w:rsid w:val="00094BEF"/>
    <w:rsid w:val="00094CB3"/>
    <w:rsid w:val="00094CC6"/>
    <w:rsid w:val="00094CD9"/>
    <w:rsid w:val="00094D1A"/>
    <w:rsid w:val="00094D29"/>
    <w:rsid w:val="00094D3C"/>
    <w:rsid w:val="00094D4B"/>
    <w:rsid w:val="00094DCC"/>
    <w:rsid w:val="00094DE8"/>
    <w:rsid w:val="00094E06"/>
    <w:rsid w:val="00094E56"/>
    <w:rsid w:val="00094E6A"/>
    <w:rsid w:val="00094E7F"/>
    <w:rsid w:val="00094EB3"/>
    <w:rsid w:val="00094EC2"/>
    <w:rsid w:val="00094F73"/>
    <w:rsid w:val="00094F8B"/>
    <w:rsid w:val="000950A0"/>
    <w:rsid w:val="000950A5"/>
    <w:rsid w:val="000950E1"/>
    <w:rsid w:val="000950E8"/>
    <w:rsid w:val="00095135"/>
    <w:rsid w:val="00095143"/>
    <w:rsid w:val="0009518B"/>
    <w:rsid w:val="000951A4"/>
    <w:rsid w:val="000951B4"/>
    <w:rsid w:val="00095200"/>
    <w:rsid w:val="0009523F"/>
    <w:rsid w:val="00095246"/>
    <w:rsid w:val="00095266"/>
    <w:rsid w:val="000952B7"/>
    <w:rsid w:val="000952E9"/>
    <w:rsid w:val="000952F8"/>
    <w:rsid w:val="000952F9"/>
    <w:rsid w:val="000952FD"/>
    <w:rsid w:val="00095311"/>
    <w:rsid w:val="00095318"/>
    <w:rsid w:val="00095335"/>
    <w:rsid w:val="0009533F"/>
    <w:rsid w:val="0009536D"/>
    <w:rsid w:val="000953D1"/>
    <w:rsid w:val="00095435"/>
    <w:rsid w:val="0009549B"/>
    <w:rsid w:val="000954AB"/>
    <w:rsid w:val="00095512"/>
    <w:rsid w:val="00095523"/>
    <w:rsid w:val="00095551"/>
    <w:rsid w:val="00095558"/>
    <w:rsid w:val="00095586"/>
    <w:rsid w:val="0009558B"/>
    <w:rsid w:val="000955A8"/>
    <w:rsid w:val="000955EB"/>
    <w:rsid w:val="000955EE"/>
    <w:rsid w:val="000955FF"/>
    <w:rsid w:val="00095625"/>
    <w:rsid w:val="0009567D"/>
    <w:rsid w:val="000956D5"/>
    <w:rsid w:val="000956F6"/>
    <w:rsid w:val="00095715"/>
    <w:rsid w:val="0009577B"/>
    <w:rsid w:val="000958AF"/>
    <w:rsid w:val="000958BA"/>
    <w:rsid w:val="00095955"/>
    <w:rsid w:val="0009596B"/>
    <w:rsid w:val="00095980"/>
    <w:rsid w:val="000959F9"/>
    <w:rsid w:val="00095A00"/>
    <w:rsid w:val="00095A2B"/>
    <w:rsid w:val="00095A61"/>
    <w:rsid w:val="00095A8D"/>
    <w:rsid w:val="00095AC4"/>
    <w:rsid w:val="00095AC9"/>
    <w:rsid w:val="00095B23"/>
    <w:rsid w:val="00095B2C"/>
    <w:rsid w:val="00095B77"/>
    <w:rsid w:val="00095B96"/>
    <w:rsid w:val="00095C06"/>
    <w:rsid w:val="00095C3F"/>
    <w:rsid w:val="00095C5C"/>
    <w:rsid w:val="00095C8E"/>
    <w:rsid w:val="00095CA5"/>
    <w:rsid w:val="00095CE6"/>
    <w:rsid w:val="00095D23"/>
    <w:rsid w:val="00095D4D"/>
    <w:rsid w:val="00095D7C"/>
    <w:rsid w:val="00095DD6"/>
    <w:rsid w:val="00095E2F"/>
    <w:rsid w:val="00095E64"/>
    <w:rsid w:val="00095E8D"/>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B8"/>
    <w:rsid w:val="000963CF"/>
    <w:rsid w:val="000963D2"/>
    <w:rsid w:val="000963E4"/>
    <w:rsid w:val="000963F3"/>
    <w:rsid w:val="0009642D"/>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1B"/>
    <w:rsid w:val="000969BD"/>
    <w:rsid w:val="000969E6"/>
    <w:rsid w:val="000969FC"/>
    <w:rsid w:val="00096A11"/>
    <w:rsid w:val="00096A5A"/>
    <w:rsid w:val="00096A63"/>
    <w:rsid w:val="00096B0E"/>
    <w:rsid w:val="00096B36"/>
    <w:rsid w:val="00096B59"/>
    <w:rsid w:val="00096B81"/>
    <w:rsid w:val="00096C57"/>
    <w:rsid w:val="00096C77"/>
    <w:rsid w:val="00096CCF"/>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A5"/>
    <w:rsid w:val="00097DEC"/>
    <w:rsid w:val="00097E2B"/>
    <w:rsid w:val="00097E63"/>
    <w:rsid w:val="00097E93"/>
    <w:rsid w:val="00097EA3"/>
    <w:rsid w:val="00097EBA"/>
    <w:rsid w:val="00097EBD"/>
    <w:rsid w:val="00097EFD"/>
    <w:rsid w:val="00097F37"/>
    <w:rsid w:val="00097F7C"/>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97"/>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6A"/>
    <w:rsid w:val="000A0C97"/>
    <w:rsid w:val="000A0CB8"/>
    <w:rsid w:val="000A0CD8"/>
    <w:rsid w:val="000A0CF6"/>
    <w:rsid w:val="000A0D38"/>
    <w:rsid w:val="000A0D62"/>
    <w:rsid w:val="000A0E66"/>
    <w:rsid w:val="000A0E8C"/>
    <w:rsid w:val="000A0EF7"/>
    <w:rsid w:val="000A0F1E"/>
    <w:rsid w:val="000A0F2E"/>
    <w:rsid w:val="000A0F5B"/>
    <w:rsid w:val="000A0F67"/>
    <w:rsid w:val="000A0FB7"/>
    <w:rsid w:val="000A0FD0"/>
    <w:rsid w:val="000A0FE3"/>
    <w:rsid w:val="000A105B"/>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662"/>
    <w:rsid w:val="000A167F"/>
    <w:rsid w:val="000A16AA"/>
    <w:rsid w:val="000A16DE"/>
    <w:rsid w:val="000A1771"/>
    <w:rsid w:val="000A1781"/>
    <w:rsid w:val="000A17E2"/>
    <w:rsid w:val="000A17F6"/>
    <w:rsid w:val="000A18C7"/>
    <w:rsid w:val="000A194C"/>
    <w:rsid w:val="000A195D"/>
    <w:rsid w:val="000A1980"/>
    <w:rsid w:val="000A19AF"/>
    <w:rsid w:val="000A19B3"/>
    <w:rsid w:val="000A1A04"/>
    <w:rsid w:val="000A1A1F"/>
    <w:rsid w:val="000A1A71"/>
    <w:rsid w:val="000A1A8E"/>
    <w:rsid w:val="000A1AAF"/>
    <w:rsid w:val="000A1AD3"/>
    <w:rsid w:val="000A1AE5"/>
    <w:rsid w:val="000A1B14"/>
    <w:rsid w:val="000A1B35"/>
    <w:rsid w:val="000A1B75"/>
    <w:rsid w:val="000A1C2B"/>
    <w:rsid w:val="000A1C5C"/>
    <w:rsid w:val="000A1CEE"/>
    <w:rsid w:val="000A1CF6"/>
    <w:rsid w:val="000A1D03"/>
    <w:rsid w:val="000A1D1E"/>
    <w:rsid w:val="000A1D73"/>
    <w:rsid w:val="000A1D8A"/>
    <w:rsid w:val="000A1DA5"/>
    <w:rsid w:val="000A1E06"/>
    <w:rsid w:val="000A1E3F"/>
    <w:rsid w:val="000A1E5A"/>
    <w:rsid w:val="000A1E7F"/>
    <w:rsid w:val="000A1F2A"/>
    <w:rsid w:val="000A1F39"/>
    <w:rsid w:val="000A1F62"/>
    <w:rsid w:val="000A1FB8"/>
    <w:rsid w:val="000A1FE5"/>
    <w:rsid w:val="000A1FF9"/>
    <w:rsid w:val="000A2019"/>
    <w:rsid w:val="000A203F"/>
    <w:rsid w:val="000A208F"/>
    <w:rsid w:val="000A209F"/>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74"/>
    <w:rsid w:val="000A25A3"/>
    <w:rsid w:val="000A25C2"/>
    <w:rsid w:val="000A25CE"/>
    <w:rsid w:val="000A260C"/>
    <w:rsid w:val="000A261B"/>
    <w:rsid w:val="000A2633"/>
    <w:rsid w:val="000A263C"/>
    <w:rsid w:val="000A2646"/>
    <w:rsid w:val="000A26DD"/>
    <w:rsid w:val="000A26F7"/>
    <w:rsid w:val="000A2716"/>
    <w:rsid w:val="000A2732"/>
    <w:rsid w:val="000A273D"/>
    <w:rsid w:val="000A274C"/>
    <w:rsid w:val="000A2765"/>
    <w:rsid w:val="000A279F"/>
    <w:rsid w:val="000A27DB"/>
    <w:rsid w:val="000A2811"/>
    <w:rsid w:val="000A2815"/>
    <w:rsid w:val="000A281E"/>
    <w:rsid w:val="000A283F"/>
    <w:rsid w:val="000A2851"/>
    <w:rsid w:val="000A2875"/>
    <w:rsid w:val="000A28E6"/>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5"/>
    <w:rsid w:val="000A35EE"/>
    <w:rsid w:val="000A360D"/>
    <w:rsid w:val="000A3664"/>
    <w:rsid w:val="000A3763"/>
    <w:rsid w:val="000A378F"/>
    <w:rsid w:val="000A3794"/>
    <w:rsid w:val="000A37A1"/>
    <w:rsid w:val="000A37A7"/>
    <w:rsid w:val="000A37C3"/>
    <w:rsid w:val="000A37DB"/>
    <w:rsid w:val="000A3833"/>
    <w:rsid w:val="000A38D1"/>
    <w:rsid w:val="000A38EA"/>
    <w:rsid w:val="000A390B"/>
    <w:rsid w:val="000A392E"/>
    <w:rsid w:val="000A39A2"/>
    <w:rsid w:val="000A39F1"/>
    <w:rsid w:val="000A39F6"/>
    <w:rsid w:val="000A3A3C"/>
    <w:rsid w:val="000A3A6B"/>
    <w:rsid w:val="000A3AC8"/>
    <w:rsid w:val="000A3AE6"/>
    <w:rsid w:val="000A3B24"/>
    <w:rsid w:val="000A3B7D"/>
    <w:rsid w:val="000A3B8B"/>
    <w:rsid w:val="000A3B9F"/>
    <w:rsid w:val="000A3BBC"/>
    <w:rsid w:val="000A3C5C"/>
    <w:rsid w:val="000A3C7F"/>
    <w:rsid w:val="000A3C9A"/>
    <w:rsid w:val="000A3CF2"/>
    <w:rsid w:val="000A3CF9"/>
    <w:rsid w:val="000A3DBD"/>
    <w:rsid w:val="000A3E15"/>
    <w:rsid w:val="000A3E37"/>
    <w:rsid w:val="000A3E3D"/>
    <w:rsid w:val="000A3ED4"/>
    <w:rsid w:val="000A3EF3"/>
    <w:rsid w:val="000A3F23"/>
    <w:rsid w:val="000A3F30"/>
    <w:rsid w:val="000A3F41"/>
    <w:rsid w:val="000A3F5C"/>
    <w:rsid w:val="000A3FCC"/>
    <w:rsid w:val="000A3FDB"/>
    <w:rsid w:val="000A4033"/>
    <w:rsid w:val="000A408C"/>
    <w:rsid w:val="000A4145"/>
    <w:rsid w:val="000A4165"/>
    <w:rsid w:val="000A41B0"/>
    <w:rsid w:val="000A41DA"/>
    <w:rsid w:val="000A4244"/>
    <w:rsid w:val="000A427B"/>
    <w:rsid w:val="000A4282"/>
    <w:rsid w:val="000A42A1"/>
    <w:rsid w:val="000A42DD"/>
    <w:rsid w:val="000A42F7"/>
    <w:rsid w:val="000A4306"/>
    <w:rsid w:val="000A4399"/>
    <w:rsid w:val="000A43B0"/>
    <w:rsid w:val="000A43EF"/>
    <w:rsid w:val="000A440D"/>
    <w:rsid w:val="000A4473"/>
    <w:rsid w:val="000A44D3"/>
    <w:rsid w:val="000A44F1"/>
    <w:rsid w:val="000A44F3"/>
    <w:rsid w:val="000A450D"/>
    <w:rsid w:val="000A458C"/>
    <w:rsid w:val="000A45A1"/>
    <w:rsid w:val="000A45D8"/>
    <w:rsid w:val="000A46FF"/>
    <w:rsid w:val="000A4777"/>
    <w:rsid w:val="000A478B"/>
    <w:rsid w:val="000A4829"/>
    <w:rsid w:val="000A4889"/>
    <w:rsid w:val="000A4971"/>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D2"/>
    <w:rsid w:val="000A4DD9"/>
    <w:rsid w:val="000A4E06"/>
    <w:rsid w:val="000A4E07"/>
    <w:rsid w:val="000A4E7F"/>
    <w:rsid w:val="000A4E8A"/>
    <w:rsid w:val="000A4E91"/>
    <w:rsid w:val="000A4E96"/>
    <w:rsid w:val="000A4E9D"/>
    <w:rsid w:val="000A4EDE"/>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4C"/>
    <w:rsid w:val="000A5853"/>
    <w:rsid w:val="000A585E"/>
    <w:rsid w:val="000A5877"/>
    <w:rsid w:val="000A5883"/>
    <w:rsid w:val="000A58B9"/>
    <w:rsid w:val="000A594D"/>
    <w:rsid w:val="000A5957"/>
    <w:rsid w:val="000A598E"/>
    <w:rsid w:val="000A59BC"/>
    <w:rsid w:val="000A5A60"/>
    <w:rsid w:val="000A5AB9"/>
    <w:rsid w:val="000A5AC3"/>
    <w:rsid w:val="000A5AF3"/>
    <w:rsid w:val="000A5B99"/>
    <w:rsid w:val="000A5BB5"/>
    <w:rsid w:val="000A5C1A"/>
    <w:rsid w:val="000A5C4A"/>
    <w:rsid w:val="000A5D31"/>
    <w:rsid w:val="000A5E52"/>
    <w:rsid w:val="000A5E5E"/>
    <w:rsid w:val="000A5ED8"/>
    <w:rsid w:val="000A5F37"/>
    <w:rsid w:val="000A5F3E"/>
    <w:rsid w:val="000A5F52"/>
    <w:rsid w:val="000A5FEE"/>
    <w:rsid w:val="000A603A"/>
    <w:rsid w:val="000A603B"/>
    <w:rsid w:val="000A606A"/>
    <w:rsid w:val="000A60F9"/>
    <w:rsid w:val="000A6125"/>
    <w:rsid w:val="000A614B"/>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60F"/>
    <w:rsid w:val="000A6621"/>
    <w:rsid w:val="000A663D"/>
    <w:rsid w:val="000A664C"/>
    <w:rsid w:val="000A664F"/>
    <w:rsid w:val="000A6653"/>
    <w:rsid w:val="000A66BE"/>
    <w:rsid w:val="000A66C7"/>
    <w:rsid w:val="000A66D7"/>
    <w:rsid w:val="000A6722"/>
    <w:rsid w:val="000A67E8"/>
    <w:rsid w:val="000A67EE"/>
    <w:rsid w:val="000A6821"/>
    <w:rsid w:val="000A6865"/>
    <w:rsid w:val="000A6878"/>
    <w:rsid w:val="000A6895"/>
    <w:rsid w:val="000A68B0"/>
    <w:rsid w:val="000A68C5"/>
    <w:rsid w:val="000A6902"/>
    <w:rsid w:val="000A696C"/>
    <w:rsid w:val="000A69B7"/>
    <w:rsid w:val="000A6A0C"/>
    <w:rsid w:val="000A6A57"/>
    <w:rsid w:val="000A6AC2"/>
    <w:rsid w:val="000A6AC7"/>
    <w:rsid w:val="000A6AD5"/>
    <w:rsid w:val="000A6B74"/>
    <w:rsid w:val="000A6BEE"/>
    <w:rsid w:val="000A6C04"/>
    <w:rsid w:val="000A6C3C"/>
    <w:rsid w:val="000A6C3D"/>
    <w:rsid w:val="000A6C8A"/>
    <w:rsid w:val="000A6CB9"/>
    <w:rsid w:val="000A6CF1"/>
    <w:rsid w:val="000A6D4C"/>
    <w:rsid w:val="000A6D84"/>
    <w:rsid w:val="000A6D8E"/>
    <w:rsid w:val="000A6D93"/>
    <w:rsid w:val="000A6DA1"/>
    <w:rsid w:val="000A6DCB"/>
    <w:rsid w:val="000A6DEC"/>
    <w:rsid w:val="000A6E58"/>
    <w:rsid w:val="000A6E92"/>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C9"/>
    <w:rsid w:val="000A70CC"/>
    <w:rsid w:val="000A70DD"/>
    <w:rsid w:val="000A70EC"/>
    <w:rsid w:val="000A70F5"/>
    <w:rsid w:val="000A70F9"/>
    <w:rsid w:val="000A7106"/>
    <w:rsid w:val="000A715B"/>
    <w:rsid w:val="000A71F1"/>
    <w:rsid w:val="000A71F2"/>
    <w:rsid w:val="000A7208"/>
    <w:rsid w:val="000A7259"/>
    <w:rsid w:val="000A7263"/>
    <w:rsid w:val="000A7296"/>
    <w:rsid w:val="000A72C0"/>
    <w:rsid w:val="000A72CC"/>
    <w:rsid w:val="000A72F5"/>
    <w:rsid w:val="000A7306"/>
    <w:rsid w:val="000A7321"/>
    <w:rsid w:val="000A739A"/>
    <w:rsid w:val="000A73A1"/>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21"/>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7"/>
    <w:rsid w:val="000B0679"/>
    <w:rsid w:val="000B06CE"/>
    <w:rsid w:val="000B06FD"/>
    <w:rsid w:val="000B0710"/>
    <w:rsid w:val="000B071A"/>
    <w:rsid w:val="000B079E"/>
    <w:rsid w:val="000B0807"/>
    <w:rsid w:val="000B083A"/>
    <w:rsid w:val="000B0863"/>
    <w:rsid w:val="000B087E"/>
    <w:rsid w:val="000B0885"/>
    <w:rsid w:val="000B08AD"/>
    <w:rsid w:val="000B08F2"/>
    <w:rsid w:val="000B0982"/>
    <w:rsid w:val="000B0985"/>
    <w:rsid w:val="000B09C2"/>
    <w:rsid w:val="000B09C9"/>
    <w:rsid w:val="000B0A06"/>
    <w:rsid w:val="000B0A27"/>
    <w:rsid w:val="000B0A3A"/>
    <w:rsid w:val="000B0A55"/>
    <w:rsid w:val="000B0A64"/>
    <w:rsid w:val="000B0A76"/>
    <w:rsid w:val="000B0A90"/>
    <w:rsid w:val="000B0AEA"/>
    <w:rsid w:val="000B0B0B"/>
    <w:rsid w:val="000B0B74"/>
    <w:rsid w:val="000B0C3C"/>
    <w:rsid w:val="000B0C74"/>
    <w:rsid w:val="000B0CBB"/>
    <w:rsid w:val="000B0CCC"/>
    <w:rsid w:val="000B0CCE"/>
    <w:rsid w:val="000B0D2F"/>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5"/>
    <w:rsid w:val="000B16DE"/>
    <w:rsid w:val="000B1719"/>
    <w:rsid w:val="000B1792"/>
    <w:rsid w:val="000B17E5"/>
    <w:rsid w:val="000B181A"/>
    <w:rsid w:val="000B1844"/>
    <w:rsid w:val="000B1858"/>
    <w:rsid w:val="000B185C"/>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11B"/>
    <w:rsid w:val="000B2161"/>
    <w:rsid w:val="000B21D5"/>
    <w:rsid w:val="000B21D9"/>
    <w:rsid w:val="000B2225"/>
    <w:rsid w:val="000B2240"/>
    <w:rsid w:val="000B2241"/>
    <w:rsid w:val="000B22B7"/>
    <w:rsid w:val="000B22F4"/>
    <w:rsid w:val="000B235D"/>
    <w:rsid w:val="000B2396"/>
    <w:rsid w:val="000B23BD"/>
    <w:rsid w:val="000B2415"/>
    <w:rsid w:val="000B245C"/>
    <w:rsid w:val="000B255E"/>
    <w:rsid w:val="000B2581"/>
    <w:rsid w:val="000B25BF"/>
    <w:rsid w:val="000B25F7"/>
    <w:rsid w:val="000B261B"/>
    <w:rsid w:val="000B265E"/>
    <w:rsid w:val="000B26A2"/>
    <w:rsid w:val="000B26C0"/>
    <w:rsid w:val="000B26D5"/>
    <w:rsid w:val="000B276D"/>
    <w:rsid w:val="000B2778"/>
    <w:rsid w:val="000B27B6"/>
    <w:rsid w:val="000B27DD"/>
    <w:rsid w:val="000B27E7"/>
    <w:rsid w:val="000B2827"/>
    <w:rsid w:val="000B2843"/>
    <w:rsid w:val="000B285C"/>
    <w:rsid w:val="000B2884"/>
    <w:rsid w:val="000B2893"/>
    <w:rsid w:val="000B28D7"/>
    <w:rsid w:val="000B28DB"/>
    <w:rsid w:val="000B28F1"/>
    <w:rsid w:val="000B2902"/>
    <w:rsid w:val="000B2951"/>
    <w:rsid w:val="000B295E"/>
    <w:rsid w:val="000B2A75"/>
    <w:rsid w:val="000B2A9E"/>
    <w:rsid w:val="000B2B5A"/>
    <w:rsid w:val="000B2B5E"/>
    <w:rsid w:val="000B2BBA"/>
    <w:rsid w:val="000B2C1A"/>
    <w:rsid w:val="000B2C27"/>
    <w:rsid w:val="000B2C33"/>
    <w:rsid w:val="000B2C9F"/>
    <w:rsid w:val="000B2D0F"/>
    <w:rsid w:val="000B2D15"/>
    <w:rsid w:val="000B2D20"/>
    <w:rsid w:val="000B2D9F"/>
    <w:rsid w:val="000B2DA0"/>
    <w:rsid w:val="000B2DD0"/>
    <w:rsid w:val="000B2DD1"/>
    <w:rsid w:val="000B2E11"/>
    <w:rsid w:val="000B2E55"/>
    <w:rsid w:val="000B2E85"/>
    <w:rsid w:val="000B2EA7"/>
    <w:rsid w:val="000B2ED6"/>
    <w:rsid w:val="000B2F6B"/>
    <w:rsid w:val="000B2F77"/>
    <w:rsid w:val="000B2FDE"/>
    <w:rsid w:val="000B3001"/>
    <w:rsid w:val="000B3050"/>
    <w:rsid w:val="000B30A1"/>
    <w:rsid w:val="000B30F3"/>
    <w:rsid w:val="000B30F8"/>
    <w:rsid w:val="000B3104"/>
    <w:rsid w:val="000B3112"/>
    <w:rsid w:val="000B312D"/>
    <w:rsid w:val="000B319C"/>
    <w:rsid w:val="000B3214"/>
    <w:rsid w:val="000B32FC"/>
    <w:rsid w:val="000B3335"/>
    <w:rsid w:val="000B3358"/>
    <w:rsid w:val="000B3378"/>
    <w:rsid w:val="000B3385"/>
    <w:rsid w:val="000B339E"/>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4D"/>
    <w:rsid w:val="000B36E2"/>
    <w:rsid w:val="000B37AA"/>
    <w:rsid w:val="000B37FA"/>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B08"/>
    <w:rsid w:val="000B3B0E"/>
    <w:rsid w:val="000B3B27"/>
    <w:rsid w:val="000B3B38"/>
    <w:rsid w:val="000B3B53"/>
    <w:rsid w:val="000B3B56"/>
    <w:rsid w:val="000B3C23"/>
    <w:rsid w:val="000B3C45"/>
    <w:rsid w:val="000B3C9C"/>
    <w:rsid w:val="000B3D02"/>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B4"/>
    <w:rsid w:val="000B41E8"/>
    <w:rsid w:val="000B4209"/>
    <w:rsid w:val="000B4299"/>
    <w:rsid w:val="000B42A5"/>
    <w:rsid w:val="000B42E2"/>
    <w:rsid w:val="000B4331"/>
    <w:rsid w:val="000B4342"/>
    <w:rsid w:val="000B43B7"/>
    <w:rsid w:val="000B43BA"/>
    <w:rsid w:val="000B43DF"/>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C9"/>
    <w:rsid w:val="000B48E8"/>
    <w:rsid w:val="000B4901"/>
    <w:rsid w:val="000B49E0"/>
    <w:rsid w:val="000B4A0A"/>
    <w:rsid w:val="000B4A13"/>
    <w:rsid w:val="000B4A4F"/>
    <w:rsid w:val="000B4A65"/>
    <w:rsid w:val="000B4B25"/>
    <w:rsid w:val="000B4B58"/>
    <w:rsid w:val="000B4B67"/>
    <w:rsid w:val="000B4B6E"/>
    <w:rsid w:val="000B4B7B"/>
    <w:rsid w:val="000B4BB5"/>
    <w:rsid w:val="000B4BBE"/>
    <w:rsid w:val="000B4C3A"/>
    <w:rsid w:val="000B4C6F"/>
    <w:rsid w:val="000B4CBA"/>
    <w:rsid w:val="000B4D1F"/>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76"/>
    <w:rsid w:val="000B54DD"/>
    <w:rsid w:val="000B5516"/>
    <w:rsid w:val="000B5561"/>
    <w:rsid w:val="000B559F"/>
    <w:rsid w:val="000B55D5"/>
    <w:rsid w:val="000B55FD"/>
    <w:rsid w:val="000B5679"/>
    <w:rsid w:val="000B5697"/>
    <w:rsid w:val="000B56A0"/>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0"/>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17F"/>
    <w:rsid w:val="000B6249"/>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3B"/>
    <w:rsid w:val="000B67B7"/>
    <w:rsid w:val="000B686B"/>
    <w:rsid w:val="000B6874"/>
    <w:rsid w:val="000B6921"/>
    <w:rsid w:val="000B6944"/>
    <w:rsid w:val="000B6951"/>
    <w:rsid w:val="000B69A3"/>
    <w:rsid w:val="000B69A5"/>
    <w:rsid w:val="000B69F2"/>
    <w:rsid w:val="000B6A05"/>
    <w:rsid w:val="000B6A12"/>
    <w:rsid w:val="000B6A34"/>
    <w:rsid w:val="000B6A3F"/>
    <w:rsid w:val="000B6A4C"/>
    <w:rsid w:val="000B6A7B"/>
    <w:rsid w:val="000B6AD2"/>
    <w:rsid w:val="000B6AE0"/>
    <w:rsid w:val="000B6B10"/>
    <w:rsid w:val="000B6B3F"/>
    <w:rsid w:val="000B6B5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20"/>
    <w:rsid w:val="000B6FB1"/>
    <w:rsid w:val="000B6FCA"/>
    <w:rsid w:val="000B7088"/>
    <w:rsid w:val="000B708D"/>
    <w:rsid w:val="000B7181"/>
    <w:rsid w:val="000B71F7"/>
    <w:rsid w:val="000B7206"/>
    <w:rsid w:val="000B7258"/>
    <w:rsid w:val="000B7296"/>
    <w:rsid w:val="000B72B0"/>
    <w:rsid w:val="000B72E6"/>
    <w:rsid w:val="000B7302"/>
    <w:rsid w:val="000B7312"/>
    <w:rsid w:val="000B7357"/>
    <w:rsid w:val="000B7385"/>
    <w:rsid w:val="000B73B6"/>
    <w:rsid w:val="000B7419"/>
    <w:rsid w:val="000B7455"/>
    <w:rsid w:val="000B74A2"/>
    <w:rsid w:val="000B74BE"/>
    <w:rsid w:val="000B74E7"/>
    <w:rsid w:val="000B7500"/>
    <w:rsid w:val="000B7644"/>
    <w:rsid w:val="000B7648"/>
    <w:rsid w:val="000B766B"/>
    <w:rsid w:val="000B7683"/>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4E"/>
    <w:rsid w:val="000B7E5B"/>
    <w:rsid w:val="000B7EE1"/>
    <w:rsid w:val="000B7EF3"/>
    <w:rsid w:val="000B7F3F"/>
    <w:rsid w:val="000B7F77"/>
    <w:rsid w:val="000B7F7F"/>
    <w:rsid w:val="000B7F9C"/>
    <w:rsid w:val="000B7FB0"/>
    <w:rsid w:val="000B7FFD"/>
    <w:rsid w:val="000C0004"/>
    <w:rsid w:val="000C0080"/>
    <w:rsid w:val="000C00B3"/>
    <w:rsid w:val="000C00BE"/>
    <w:rsid w:val="000C0107"/>
    <w:rsid w:val="000C01A0"/>
    <w:rsid w:val="000C01A8"/>
    <w:rsid w:val="000C01F5"/>
    <w:rsid w:val="000C0201"/>
    <w:rsid w:val="000C0301"/>
    <w:rsid w:val="000C0336"/>
    <w:rsid w:val="000C039E"/>
    <w:rsid w:val="000C03B0"/>
    <w:rsid w:val="000C03B3"/>
    <w:rsid w:val="000C03BB"/>
    <w:rsid w:val="000C03D0"/>
    <w:rsid w:val="000C03DB"/>
    <w:rsid w:val="000C0419"/>
    <w:rsid w:val="000C041C"/>
    <w:rsid w:val="000C0440"/>
    <w:rsid w:val="000C0466"/>
    <w:rsid w:val="000C047F"/>
    <w:rsid w:val="000C04A2"/>
    <w:rsid w:val="000C04AF"/>
    <w:rsid w:val="000C04CC"/>
    <w:rsid w:val="000C0500"/>
    <w:rsid w:val="000C051B"/>
    <w:rsid w:val="000C052B"/>
    <w:rsid w:val="000C0545"/>
    <w:rsid w:val="000C05C3"/>
    <w:rsid w:val="000C05F9"/>
    <w:rsid w:val="000C06B0"/>
    <w:rsid w:val="000C06DB"/>
    <w:rsid w:val="000C074C"/>
    <w:rsid w:val="000C0750"/>
    <w:rsid w:val="000C0759"/>
    <w:rsid w:val="000C0765"/>
    <w:rsid w:val="000C0789"/>
    <w:rsid w:val="000C07AE"/>
    <w:rsid w:val="000C07EB"/>
    <w:rsid w:val="000C07FE"/>
    <w:rsid w:val="000C0816"/>
    <w:rsid w:val="000C082D"/>
    <w:rsid w:val="000C083C"/>
    <w:rsid w:val="000C0874"/>
    <w:rsid w:val="000C0881"/>
    <w:rsid w:val="000C0889"/>
    <w:rsid w:val="000C0920"/>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1F"/>
    <w:rsid w:val="000C0D5E"/>
    <w:rsid w:val="000C0D6E"/>
    <w:rsid w:val="000C0D6F"/>
    <w:rsid w:val="000C0D7B"/>
    <w:rsid w:val="000C0E02"/>
    <w:rsid w:val="000C0E05"/>
    <w:rsid w:val="000C0E1E"/>
    <w:rsid w:val="000C0E25"/>
    <w:rsid w:val="000C0E39"/>
    <w:rsid w:val="000C0E4D"/>
    <w:rsid w:val="000C0E56"/>
    <w:rsid w:val="000C0E57"/>
    <w:rsid w:val="000C0E60"/>
    <w:rsid w:val="000C0E6A"/>
    <w:rsid w:val="000C0E78"/>
    <w:rsid w:val="000C0E7B"/>
    <w:rsid w:val="000C0EA3"/>
    <w:rsid w:val="000C0EA9"/>
    <w:rsid w:val="000C0EE4"/>
    <w:rsid w:val="000C0EE9"/>
    <w:rsid w:val="000C0EEE"/>
    <w:rsid w:val="000C0F08"/>
    <w:rsid w:val="000C0F95"/>
    <w:rsid w:val="000C1006"/>
    <w:rsid w:val="000C1035"/>
    <w:rsid w:val="000C103D"/>
    <w:rsid w:val="000C1074"/>
    <w:rsid w:val="000C107C"/>
    <w:rsid w:val="000C10FA"/>
    <w:rsid w:val="000C118A"/>
    <w:rsid w:val="000C11A4"/>
    <w:rsid w:val="000C11A9"/>
    <w:rsid w:val="000C11EE"/>
    <w:rsid w:val="000C125A"/>
    <w:rsid w:val="000C1271"/>
    <w:rsid w:val="000C1299"/>
    <w:rsid w:val="000C12D5"/>
    <w:rsid w:val="000C12D9"/>
    <w:rsid w:val="000C1322"/>
    <w:rsid w:val="000C133F"/>
    <w:rsid w:val="000C1359"/>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BA"/>
    <w:rsid w:val="000C19BD"/>
    <w:rsid w:val="000C19E8"/>
    <w:rsid w:val="000C1A0B"/>
    <w:rsid w:val="000C1A1F"/>
    <w:rsid w:val="000C1A2F"/>
    <w:rsid w:val="000C1A38"/>
    <w:rsid w:val="000C1A4B"/>
    <w:rsid w:val="000C1A8F"/>
    <w:rsid w:val="000C1AAC"/>
    <w:rsid w:val="000C1AD0"/>
    <w:rsid w:val="000C1BC5"/>
    <w:rsid w:val="000C1BF1"/>
    <w:rsid w:val="000C1C06"/>
    <w:rsid w:val="000C1C3B"/>
    <w:rsid w:val="000C1C3C"/>
    <w:rsid w:val="000C1C9E"/>
    <w:rsid w:val="000C1CCF"/>
    <w:rsid w:val="000C1CF9"/>
    <w:rsid w:val="000C1D24"/>
    <w:rsid w:val="000C1D77"/>
    <w:rsid w:val="000C1D9F"/>
    <w:rsid w:val="000C1DB5"/>
    <w:rsid w:val="000C1DFC"/>
    <w:rsid w:val="000C1E2F"/>
    <w:rsid w:val="000C1E55"/>
    <w:rsid w:val="000C1EC7"/>
    <w:rsid w:val="000C1EE4"/>
    <w:rsid w:val="000C1F24"/>
    <w:rsid w:val="000C1F2A"/>
    <w:rsid w:val="000C1F48"/>
    <w:rsid w:val="000C1F8C"/>
    <w:rsid w:val="000C1FC1"/>
    <w:rsid w:val="000C2006"/>
    <w:rsid w:val="000C200B"/>
    <w:rsid w:val="000C2013"/>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B4"/>
    <w:rsid w:val="000C2758"/>
    <w:rsid w:val="000C2759"/>
    <w:rsid w:val="000C275B"/>
    <w:rsid w:val="000C27AD"/>
    <w:rsid w:val="000C27D3"/>
    <w:rsid w:val="000C27E2"/>
    <w:rsid w:val="000C27FA"/>
    <w:rsid w:val="000C282B"/>
    <w:rsid w:val="000C283F"/>
    <w:rsid w:val="000C2886"/>
    <w:rsid w:val="000C2896"/>
    <w:rsid w:val="000C291E"/>
    <w:rsid w:val="000C2941"/>
    <w:rsid w:val="000C299E"/>
    <w:rsid w:val="000C29C7"/>
    <w:rsid w:val="000C29DB"/>
    <w:rsid w:val="000C29EF"/>
    <w:rsid w:val="000C2A1C"/>
    <w:rsid w:val="000C2A1D"/>
    <w:rsid w:val="000C2A46"/>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AD"/>
    <w:rsid w:val="000C2E13"/>
    <w:rsid w:val="000C2E50"/>
    <w:rsid w:val="000C2E9D"/>
    <w:rsid w:val="000C2ECF"/>
    <w:rsid w:val="000C2EF5"/>
    <w:rsid w:val="000C2F11"/>
    <w:rsid w:val="000C2F5D"/>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22"/>
    <w:rsid w:val="000C326C"/>
    <w:rsid w:val="000C326E"/>
    <w:rsid w:val="000C3298"/>
    <w:rsid w:val="000C33B3"/>
    <w:rsid w:val="000C33C6"/>
    <w:rsid w:val="000C3419"/>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2C"/>
    <w:rsid w:val="000C3774"/>
    <w:rsid w:val="000C3783"/>
    <w:rsid w:val="000C37A5"/>
    <w:rsid w:val="000C37CA"/>
    <w:rsid w:val="000C3843"/>
    <w:rsid w:val="000C38A3"/>
    <w:rsid w:val="000C38C7"/>
    <w:rsid w:val="000C38F8"/>
    <w:rsid w:val="000C3901"/>
    <w:rsid w:val="000C392D"/>
    <w:rsid w:val="000C3930"/>
    <w:rsid w:val="000C3977"/>
    <w:rsid w:val="000C39C0"/>
    <w:rsid w:val="000C39E8"/>
    <w:rsid w:val="000C3A27"/>
    <w:rsid w:val="000C3AB3"/>
    <w:rsid w:val="000C3ACC"/>
    <w:rsid w:val="000C3AD8"/>
    <w:rsid w:val="000C3AFD"/>
    <w:rsid w:val="000C3BD1"/>
    <w:rsid w:val="000C3BD9"/>
    <w:rsid w:val="000C3BFB"/>
    <w:rsid w:val="000C3BFE"/>
    <w:rsid w:val="000C3C5D"/>
    <w:rsid w:val="000C3C61"/>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C5"/>
    <w:rsid w:val="000C43CE"/>
    <w:rsid w:val="000C440A"/>
    <w:rsid w:val="000C4448"/>
    <w:rsid w:val="000C455F"/>
    <w:rsid w:val="000C45BA"/>
    <w:rsid w:val="000C4657"/>
    <w:rsid w:val="000C4683"/>
    <w:rsid w:val="000C4708"/>
    <w:rsid w:val="000C472B"/>
    <w:rsid w:val="000C4753"/>
    <w:rsid w:val="000C4760"/>
    <w:rsid w:val="000C47C6"/>
    <w:rsid w:val="000C484C"/>
    <w:rsid w:val="000C485D"/>
    <w:rsid w:val="000C487E"/>
    <w:rsid w:val="000C48DC"/>
    <w:rsid w:val="000C490F"/>
    <w:rsid w:val="000C4925"/>
    <w:rsid w:val="000C49B2"/>
    <w:rsid w:val="000C49B7"/>
    <w:rsid w:val="000C49E8"/>
    <w:rsid w:val="000C4A1C"/>
    <w:rsid w:val="000C4A20"/>
    <w:rsid w:val="000C4A4D"/>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EB"/>
    <w:rsid w:val="000C4EA9"/>
    <w:rsid w:val="000C4EF5"/>
    <w:rsid w:val="000C4F23"/>
    <w:rsid w:val="000C4F2E"/>
    <w:rsid w:val="000C4F5E"/>
    <w:rsid w:val="000C4F89"/>
    <w:rsid w:val="000C4FA7"/>
    <w:rsid w:val="000C4FC8"/>
    <w:rsid w:val="000C4FE6"/>
    <w:rsid w:val="000C5018"/>
    <w:rsid w:val="000C5044"/>
    <w:rsid w:val="000C50FD"/>
    <w:rsid w:val="000C5107"/>
    <w:rsid w:val="000C51BF"/>
    <w:rsid w:val="000C51C9"/>
    <w:rsid w:val="000C51CF"/>
    <w:rsid w:val="000C51EF"/>
    <w:rsid w:val="000C5215"/>
    <w:rsid w:val="000C5221"/>
    <w:rsid w:val="000C522C"/>
    <w:rsid w:val="000C5232"/>
    <w:rsid w:val="000C523A"/>
    <w:rsid w:val="000C524E"/>
    <w:rsid w:val="000C528F"/>
    <w:rsid w:val="000C52B8"/>
    <w:rsid w:val="000C52DE"/>
    <w:rsid w:val="000C52FF"/>
    <w:rsid w:val="000C5304"/>
    <w:rsid w:val="000C531F"/>
    <w:rsid w:val="000C5362"/>
    <w:rsid w:val="000C53A0"/>
    <w:rsid w:val="000C53A8"/>
    <w:rsid w:val="000C53CA"/>
    <w:rsid w:val="000C5412"/>
    <w:rsid w:val="000C5444"/>
    <w:rsid w:val="000C5458"/>
    <w:rsid w:val="000C54A1"/>
    <w:rsid w:val="000C550D"/>
    <w:rsid w:val="000C553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3C"/>
    <w:rsid w:val="000C5A6D"/>
    <w:rsid w:val="000C5A71"/>
    <w:rsid w:val="000C5A9D"/>
    <w:rsid w:val="000C5BB1"/>
    <w:rsid w:val="000C5BB4"/>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A"/>
    <w:rsid w:val="000C5F18"/>
    <w:rsid w:val="000C5FD6"/>
    <w:rsid w:val="000C6041"/>
    <w:rsid w:val="000C6070"/>
    <w:rsid w:val="000C6090"/>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ED"/>
    <w:rsid w:val="000C68FA"/>
    <w:rsid w:val="000C68FF"/>
    <w:rsid w:val="000C6906"/>
    <w:rsid w:val="000C6910"/>
    <w:rsid w:val="000C6912"/>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63"/>
    <w:rsid w:val="000C6D66"/>
    <w:rsid w:val="000C6D71"/>
    <w:rsid w:val="000C6D9C"/>
    <w:rsid w:val="000C6DD2"/>
    <w:rsid w:val="000C6DE0"/>
    <w:rsid w:val="000C6E51"/>
    <w:rsid w:val="000C6EB3"/>
    <w:rsid w:val="000C6F21"/>
    <w:rsid w:val="000C6F42"/>
    <w:rsid w:val="000C6F43"/>
    <w:rsid w:val="000C6F64"/>
    <w:rsid w:val="000C6FB8"/>
    <w:rsid w:val="000C7038"/>
    <w:rsid w:val="000C708B"/>
    <w:rsid w:val="000C708F"/>
    <w:rsid w:val="000C70A0"/>
    <w:rsid w:val="000C70CA"/>
    <w:rsid w:val="000C7132"/>
    <w:rsid w:val="000C7204"/>
    <w:rsid w:val="000C720D"/>
    <w:rsid w:val="000C7214"/>
    <w:rsid w:val="000C72EC"/>
    <w:rsid w:val="000C733E"/>
    <w:rsid w:val="000C7342"/>
    <w:rsid w:val="000C7351"/>
    <w:rsid w:val="000C73A5"/>
    <w:rsid w:val="000C73AB"/>
    <w:rsid w:val="000C7450"/>
    <w:rsid w:val="000C7484"/>
    <w:rsid w:val="000C74E6"/>
    <w:rsid w:val="000C7541"/>
    <w:rsid w:val="000C759D"/>
    <w:rsid w:val="000C75B3"/>
    <w:rsid w:val="000C7606"/>
    <w:rsid w:val="000C7649"/>
    <w:rsid w:val="000C766F"/>
    <w:rsid w:val="000C768E"/>
    <w:rsid w:val="000C76A4"/>
    <w:rsid w:val="000C76F3"/>
    <w:rsid w:val="000C774A"/>
    <w:rsid w:val="000C77A9"/>
    <w:rsid w:val="000C77ED"/>
    <w:rsid w:val="000C7885"/>
    <w:rsid w:val="000C78A4"/>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52"/>
    <w:rsid w:val="000C7F7D"/>
    <w:rsid w:val="000C7F81"/>
    <w:rsid w:val="000C7F91"/>
    <w:rsid w:val="000C7FDD"/>
    <w:rsid w:val="000C7FE7"/>
    <w:rsid w:val="000C7FF7"/>
    <w:rsid w:val="000D003D"/>
    <w:rsid w:val="000D0041"/>
    <w:rsid w:val="000D005A"/>
    <w:rsid w:val="000D006C"/>
    <w:rsid w:val="000D0075"/>
    <w:rsid w:val="000D00A0"/>
    <w:rsid w:val="000D00B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56"/>
    <w:rsid w:val="000D0957"/>
    <w:rsid w:val="000D09A0"/>
    <w:rsid w:val="000D0A80"/>
    <w:rsid w:val="000D0AF9"/>
    <w:rsid w:val="000D0B19"/>
    <w:rsid w:val="000D0BBD"/>
    <w:rsid w:val="000D0BFC"/>
    <w:rsid w:val="000D0C00"/>
    <w:rsid w:val="000D0D44"/>
    <w:rsid w:val="000D0D52"/>
    <w:rsid w:val="000D0D5F"/>
    <w:rsid w:val="000D0D6E"/>
    <w:rsid w:val="000D0D83"/>
    <w:rsid w:val="000D0DBE"/>
    <w:rsid w:val="000D0DCC"/>
    <w:rsid w:val="000D0E48"/>
    <w:rsid w:val="000D0E4D"/>
    <w:rsid w:val="000D0EA4"/>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D7"/>
    <w:rsid w:val="000D1D47"/>
    <w:rsid w:val="000D1D61"/>
    <w:rsid w:val="000D1D62"/>
    <w:rsid w:val="000D1D8F"/>
    <w:rsid w:val="000D1DB2"/>
    <w:rsid w:val="000D1DF0"/>
    <w:rsid w:val="000D1DF9"/>
    <w:rsid w:val="000D1E62"/>
    <w:rsid w:val="000D1E6A"/>
    <w:rsid w:val="000D1E8D"/>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B1"/>
    <w:rsid w:val="000D23D2"/>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911"/>
    <w:rsid w:val="000D2934"/>
    <w:rsid w:val="000D2942"/>
    <w:rsid w:val="000D294A"/>
    <w:rsid w:val="000D294F"/>
    <w:rsid w:val="000D298A"/>
    <w:rsid w:val="000D2992"/>
    <w:rsid w:val="000D29B4"/>
    <w:rsid w:val="000D29C9"/>
    <w:rsid w:val="000D29E9"/>
    <w:rsid w:val="000D2A4C"/>
    <w:rsid w:val="000D2ABD"/>
    <w:rsid w:val="000D2ACE"/>
    <w:rsid w:val="000D2AE0"/>
    <w:rsid w:val="000D2B0C"/>
    <w:rsid w:val="000D2B6A"/>
    <w:rsid w:val="000D2BD4"/>
    <w:rsid w:val="000D2C48"/>
    <w:rsid w:val="000D2C5D"/>
    <w:rsid w:val="000D2CA0"/>
    <w:rsid w:val="000D2CA7"/>
    <w:rsid w:val="000D2CCC"/>
    <w:rsid w:val="000D2D13"/>
    <w:rsid w:val="000D2D19"/>
    <w:rsid w:val="000D2D28"/>
    <w:rsid w:val="000D2D3A"/>
    <w:rsid w:val="000D2D3E"/>
    <w:rsid w:val="000D2D65"/>
    <w:rsid w:val="000D2D76"/>
    <w:rsid w:val="000D2D8C"/>
    <w:rsid w:val="000D2EA6"/>
    <w:rsid w:val="000D2EAA"/>
    <w:rsid w:val="000D2F39"/>
    <w:rsid w:val="000D2F71"/>
    <w:rsid w:val="000D2F90"/>
    <w:rsid w:val="000D2FA1"/>
    <w:rsid w:val="000D2FA9"/>
    <w:rsid w:val="000D2FC6"/>
    <w:rsid w:val="000D3016"/>
    <w:rsid w:val="000D3029"/>
    <w:rsid w:val="000D3051"/>
    <w:rsid w:val="000D30CD"/>
    <w:rsid w:val="000D30F7"/>
    <w:rsid w:val="000D30FE"/>
    <w:rsid w:val="000D3107"/>
    <w:rsid w:val="000D3160"/>
    <w:rsid w:val="000D319C"/>
    <w:rsid w:val="000D324B"/>
    <w:rsid w:val="000D3280"/>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4"/>
    <w:rsid w:val="000D344A"/>
    <w:rsid w:val="000D3479"/>
    <w:rsid w:val="000D3498"/>
    <w:rsid w:val="000D34B4"/>
    <w:rsid w:val="000D3514"/>
    <w:rsid w:val="000D353B"/>
    <w:rsid w:val="000D3575"/>
    <w:rsid w:val="000D35D9"/>
    <w:rsid w:val="000D3637"/>
    <w:rsid w:val="000D3658"/>
    <w:rsid w:val="000D3685"/>
    <w:rsid w:val="000D3690"/>
    <w:rsid w:val="000D36A1"/>
    <w:rsid w:val="000D36D8"/>
    <w:rsid w:val="000D36F0"/>
    <w:rsid w:val="000D374A"/>
    <w:rsid w:val="000D3792"/>
    <w:rsid w:val="000D37A0"/>
    <w:rsid w:val="000D37D4"/>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89"/>
    <w:rsid w:val="000D3E39"/>
    <w:rsid w:val="000D3E48"/>
    <w:rsid w:val="000D3E78"/>
    <w:rsid w:val="000D3EA6"/>
    <w:rsid w:val="000D3EBD"/>
    <w:rsid w:val="000D3EC2"/>
    <w:rsid w:val="000D3F0F"/>
    <w:rsid w:val="000D3F1B"/>
    <w:rsid w:val="000D3F6E"/>
    <w:rsid w:val="000D3FCF"/>
    <w:rsid w:val="000D3FF3"/>
    <w:rsid w:val="000D3FF8"/>
    <w:rsid w:val="000D403E"/>
    <w:rsid w:val="000D4068"/>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51C"/>
    <w:rsid w:val="000D455B"/>
    <w:rsid w:val="000D45E7"/>
    <w:rsid w:val="000D4616"/>
    <w:rsid w:val="000D461F"/>
    <w:rsid w:val="000D465D"/>
    <w:rsid w:val="000D46B8"/>
    <w:rsid w:val="000D46D8"/>
    <w:rsid w:val="000D471B"/>
    <w:rsid w:val="000D4728"/>
    <w:rsid w:val="000D4729"/>
    <w:rsid w:val="000D4734"/>
    <w:rsid w:val="000D4788"/>
    <w:rsid w:val="000D47AD"/>
    <w:rsid w:val="000D47E1"/>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F1"/>
    <w:rsid w:val="000D4D1B"/>
    <w:rsid w:val="000D4D2E"/>
    <w:rsid w:val="000D4D3D"/>
    <w:rsid w:val="000D4D53"/>
    <w:rsid w:val="000D4D73"/>
    <w:rsid w:val="000D4DC1"/>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CD"/>
    <w:rsid w:val="000D52DF"/>
    <w:rsid w:val="000D532F"/>
    <w:rsid w:val="000D5335"/>
    <w:rsid w:val="000D53A1"/>
    <w:rsid w:val="000D53DF"/>
    <w:rsid w:val="000D53E2"/>
    <w:rsid w:val="000D53F2"/>
    <w:rsid w:val="000D5438"/>
    <w:rsid w:val="000D5459"/>
    <w:rsid w:val="000D545D"/>
    <w:rsid w:val="000D54AE"/>
    <w:rsid w:val="000D54E5"/>
    <w:rsid w:val="000D554A"/>
    <w:rsid w:val="000D55AB"/>
    <w:rsid w:val="000D55CA"/>
    <w:rsid w:val="000D55E3"/>
    <w:rsid w:val="000D55F1"/>
    <w:rsid w:val="000D55FC"/>
    <w:rsid w:val="000D5681"/>
    <w:rsid w:val="000D568E"/>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ABA"/>
    <w:rsid w:val="000D5B48"/>
    <w:rsid w:val="000D5B4D"/>
    <w:rsid w:val="000D5B52"/>
    <w:rsid w:val="000D5B5C"/>
    <w:rsid w:val="000D5BA0"/>
    <w:rsid w:val="000D5C18"/>
    <w:rsid w:val="000D5C46"/>
    <w:rsid w:val="000D5C7B"/>
    <w:rsid w:val="000D5D3B"/>
    <w:rsid w:val="000D5D44"/>
    <w:rsid w:val="000D5DBB"/>
    <w:rsid w:val="000D5E45"/>
    <w:rsid w:val="000D5E89"/>
    <w:rsid w:val="000D5EB7"/>
    <w:rsid w:val="000D5F1F"/>
    <w:rsid w:val="000D5F2E"/>
    <w:rsid w:val="000D5F3B"/>
    <w:rsid w:val="000D5FA4"/>
    <w:rsid w:val="000D5FE9"/>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505"/>
    <w:rsid w:val="000D651D"/>
    <w:rsid w:val="000D6579"/>
    <w:rsid w:val="000D65B9"/>
    <w:rsid w:val="000D65BC"/>
    <w:rsid w:val="000D65D1"/>
    <w:rsid w:val="000D65EB"/>
    <w:rsid w:val="000D65FC"/>
    <w:rsid w:val="000D662D"/>
    <w:rsid w:val="000D6660"/>
    <w:rsid w:val="000D6664"/>
    <w:rsid w:val="000D668B"/>
    <w:rsid w:val="000D6691"/>
    <w:rsid w:val="000D66F2"/>
    <w:rsid w:val="000D673D"/>
    <w:rsid w:val="000D6782"/>
    <w:rsid w:val="000D6788"/>
    <w:rsid w:val="000D67D9"/>
    <w:rsid w:val="000D6848"/>
    <w:rsid w:val="000D6933"/>
    <w:rsid w:val="000D6946"/>
    <w:rsid w:val="000D6990"/>
    <w:rsid w:val="000D6AF3"/>
    <w:rsid w:val="000D6AF9"/>
    <w:rsid w:val="000D6B4D"/>
    <w:rsid w:val="000D6BA3"/>
    <w:rsid w:val="000D6BCB"/>
    <w:rsid w:val="000D6C16"/>
    <w:rsid w:val="000D6C4F"/>
    <w:rsid w:val="000D6C52"/>
    <w:rsid w:val="000D6C5A"/>
    <w:rsid w:val="000D6C63"/>
    <w:rsid w:val="000D6C6C"/>
    <w:rsid w:val="000D6C97"/>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8"/>
    <w:rsid w:val="000D7170"/>
    <w:rsid w:val="000D718C"/>
    <w:rsid w:val="000D7226"/>
    <w:rsid w:val="000D7284"/>
    <w:rsid w:val="000D729B"/>
    <w:rsid w:val="000D7314"/>
    <w:rsid w:val="000D73A3"/>
    <w:rsid w:val="000D741E"/>
    <w:rsid w:val="000D746A"/>
    <w:rsid w:val="000D7475"/>
    <w:rsid w:val="000D7482"/>
    <w:rsid w:val="000D748B"/>
    <w:rsid w:val="000D751F"/>
    <w:rsid w:val="000D753A"/>
    <w:rsid w:val="000D753C"/>
    <w:rsid w:val="000D7541"/>
    <w:rsid w:val="000D7543"/>
    <w:rsid w:val="000D7578"/>
    <w:rsid w:val="000D75A9"/>
    <w:rsid w:val="000D75CF"/>
    <w:rsid w:val="000D75F5"/>
    <w:rsid w:val="000D770D"/>
    <w:rsid w:val="000D770E"/>
    <w:rsid w:val="000D7718"/>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26"/>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89"/>
    <w:rsid w:val="000D7F9B"/>
    <w:rsid w:val="000E0011"/>
    <w:rsid w:val="000E009B"/>
    <w:rsid w:val="000E00C8"/>
    <w:rsid w:val="000E00FD"/>
    <w:rsid w:val="000E0102"/>
    <w:rsid w:val="000E0111"/>
    <w:rsid w:val="000E0155"/>
    <w:rsid w:val="000E016D"/>
    <w:rsid w:val="000E0179"/>
    <w:rsid w:val="000E01C6"/>
    <w:rsid w:val="000E0277"/>
    <w:rsid w:val="000E0297"/>
    <w:rsid w:val="000E02A7"/>
    <w:rsid w:val="000E031C"/>
    <w:rsid w:val="000E0339"/>
    <w:rsid w:val="000E0362"/>
    <w:rsid w:val="000E0396"/>
    <w:rsid w:val="000E03AB"/>
    <w:rsid w:val="000E03C9"/>
    <w:rsid w:val="000E0418"/>
    <w:rsid w:val="000E0427"/>
    <w:rsid w:val="000E0447"/>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8"/>
    <w:rsid w:val="000E143E"/>
    <w:rsid w:val="000E1454"/>
    <w:rsid w:val="000E14FB"/>
    <w:rsid w:val="000E1594"/>
    <w:rsid w:val="000E1652"/>
    <w:rsid w:val="000E16FE"/>
    <w:rsid w:val="000E1725"/>
    <w:rsid w:val="000E1726"/>
    <w:rsid w:val="000E17CE"/>
    <w:rsid w:val="000E1809"/>
    <w:rsid w:val="000E180F"/>
    <w:rsid w:val="000E184E"/>
    <w:rsid w:val="000E1859"/>
    <w:rsid w:val="000E185B"/>
    <w:rsid w:val="000E1873"/>
    <w:rsid w:val="000E1895"/>
    <w:rsid w:val="000E18D9"/>
    <w:rsid w:val="000E18E6"/>
    <w:rsid w:val="000E1908"/>
    <w:rsid w:val="000E1912"/>
    <w:rsid w:val="000E1930"/>
    <w:rsid w:val="000E197A"/>
    <w:rsid w:val="000E19D1"/>
    <w:rsid w:val="000E19DF"/>
    <w:rsid w:val="000E1A0D"/>
    <w:rsid w:val="000E1A5B"/>
    <w:rsid w:val="000E1A60"/>
    <w:rsid w:val="000E1B59"/>
    <w:rsid w:val="000E1B5F"/>
    <w:rsid w:val="000E1B64"/>
    <w:rsid w:val="000E1BA3"/>
    <w:rsid w:val="000E1BCB"/>
    <w:rsid w:val="000E1C2C"/>
    <w:rsid w:val="000E1C81"/>
    <w:rsid w:val="000E1C82"/>
    <w:rsid w:val="000E1CFB"/>
    <w:rsid w:val="000E1D65"/>
    <w:rsid w:val="000E1D90"/>
    <w:rsid w:val="000E1DD7"/>
    <w:rsid w:val="000E1DEC"/>
    <w:rsid w:val="000E1EAF"/>
    <w:rsid w:val="000E1F1C"/>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C7"/>
    <w:rsid w:val="000E2417"/>
    <w:rsid w:val="000E2488"/>
    <w:rsid w:val="000E24A1"/>
    <w:rsid w:val="000E24B8"/>
    <w:rsid w:val="000E250C"/>
    <w:rsid w:val="000E255E"/>
    <w:rsid w:val="000E25B6"/>
    <w:rsid w:val="000E25D4"/>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79"/>
    <w:rsid w:val="000E33CE"/>
    <w:rsid w:val="000E33D8"/>
    <w:rsid w:val="000E346E"/>
    <w:rsid w:val="000E34E1"/>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25"/>
    <w:rsid w:val="000E3A42"/>
    <w:rsid w:val="000E3A47"/>
    <w:rsid w:val="000E3A8E"/>
    <w:rsid w:val="000E3B09"/>
    <w:rsid w:val="000E3BBB"/>
    <w:rsid w:val="000E3C67"/>
    <w:rsid w:val="000E3CB9"/>
    <w:rsid w:val="000E3D43"/>
    <w:rsid w:val="000E3D52"/>
    <w:rsid w:val="000E3D68"/>
    <w:rsid w:val="000E3D71"/>
    <w:rsid w:val="000E3E27"/>
    <w:rsid w:val="000E3E3D"/>
    <w:rsid w:val="000E3E61"/>
    <w:rsid w:val="000E3E9A"/>
    <w:rsid w:val="000E3ED9"/>
    <w:rsid w:val="000E3EDB"/>
    <w:rsid w:val="000E3EEB"/>
    <w:rsid w:val="000E3F0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C9"/>
    <w:rsid w:val="000E43DA"/>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D"/>
    <w:rsid w:val="000E492E"/>
    <w:rsid w:val="000E4944"/>
    <w:rsid w:val="000E494F"/>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68"/>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7"/>
    <w:rsid w:val="000E504F"/>
    <w:rsid w:val="000E509B"/>
    <w:rsid w:val="000E50AC"/>
    <w:rsid w:val="000E50B1"/>
    <w:rsid w:val="000E50D9"/>
    <w:rsid w:val="000E510D"/>
    <w:rsid w:val="000E5111"/>
    <w:rsid w:val="000E514A"/>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E5"/>
    <w:rsid w:val="000E55F4"/>
    <w:rsid w:val="000E5605"/>
    <w:rsid w:val="000E561A"/>
    <w:rsid w:val="000E5633"/>
    <w:rsid w:val="000E564E"/>
    <w:rsid w:val="000E5665"/>
    <w:rsid w:val="000E568F"/>
    <w:rsid w:val="000E56A3"/>
    <w:rsid w:val="000E56D4"/>
    <w:rsid w:val="000E5737"/>
    <w:rsid w:val="000E5769"/>
    <w:rsid w:val="000E5773"/>
    <w:rsid w:val="000E5787"/>
    <w:rsid w:val="000E57CD"/>
    <w:rsid w:val="000E5838"/>
    <w:rsid w:val="000E583A"/>
    <w:rsid w:val="000E5847"/>
    <w:rsid w:val="000E5876"/>
    <w:rsid w:val="000E5893"/>
    <w:rsid w:val="000E590E"/>
    <w:rsid w:val="000E59AE"/>
    <w:rsid w:val="000E59CF"/>
    <w:rsid w:val="000E5A32"/>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CD5"/>
    <w:rsid w:val="000E5D3D"/>
    <w:rsid w:val="000E5D49"/>
    <w:rsid w:val="000E5D95"/>
    <w:rsid w:val="000E5DA0"/>
    <w:rsid w:val="000E5E08"/>
    <w:rsid w:val="000E5E21"/>
    <w:rsid w:val="000E5E2F"/>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9"/>
    <w:rsid w:val="000E77D9"/>
    <w:rsid w:val="000E77FF"/>
    <w:rsid w:val="000E782C"/>
    <w:rsid w:val="000E784F"/>
    <w:rsid w:val="000E788B"/>
    <w:rsid w:val="000E78AD"/>
    <w:rsid w:val="000E7908"/>
    <w:rsid w:val="000E7952"/>
    <w:rsid w:val="000E7984"/>
    <w:rsid w:val="000E79A9"/>
    <w:rsid w:val="000E7A57"/>
    <w:rsid w:val="000E7A85"/>
    <w:rsid w:val="000E7AC2"/>
    <w:rsid w:val="000E7AF2"/>
    <w:rsid w:val="000E7B7E"/>
    <w:rsid w:val="000E7BB1"/>
    <w:rsid w:val="000E7C0B"/>
    <w:rsid w:val="000E7C0C"/>
    <w:rsid w:val="000E7C6A"/>
    <w:rsid w:val="000E7C71"/>
    <w:rsid w:val="000E7C84"/>
    <w:rsid w:val="000E7C89"/>
    <w:rsid w:val="000E7C99"/>
    <w:rsid w:val="000E7CCE"/>
    <w:rsid w:val="000E7CED"/>
    <w:rsid w:val="000E7D4C"/>
    <w:rsid w:val="000E7D5E"/>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1B"/>
    <w:rsid w:val="000F0634"/>
    <w:rsid w:val="000F064E"/>
    <w:rsid w:val="000F068F"/>
    <w:rsid w:val="000F06A3"/>
    <w:rsid w:val="000F06C0"/>
    <w:rsid w:val="000F06D2"/>
    <w:rsid w:val="000F06ED"/>
    <w:rsid w:val="000F07A2"/>
    <w:rsid w:val="000F07AD"/>
    <w:rsid w:val="000F0812"/>
    <w:rsid w:val="000F088B"/>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DAA"/>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1D4"/>
    <w:rsid w:val="000F1210"/>
    <w:rsid w:val="000F1220"/>
    <w:rsid w:val="000F122B"/>
    <w:rsid w:val="000F123D"/>
    <w:rsid w:val="000F1251"/>
    <w:rsid w:val="000F1252"/>
    <w:rsid w:val="000F12B5"/>
    <w:rsid w:val="000F12D5"/>
    <w:rsid w:val="000F12ED"/>
    <w:rsid w:val="000F12FE"/>
    <w:rsid w:val="000F1301"/>
    <w:rsid w:val="000F130A"/>
    <w:rsid w:val="000F1314"/>
    <w:rsid w:val="000F13BD"/>
    <w:rsid w:val="000F142D"/>
    <w:rsid w:val="000F147D"/>
    <w:rsid w:val="000F148D"/>
    <w:rsid w:val="000F149B"/>
    <w:rsid w:val="000F1567"/>
    <w:rsid w:val="000F1584"/>
    <w:rsid w:val="000F1589"/>
    <w:rsid w:val="000F15FE"/>
    <w:rsid w:val="000F160B"/>
    <w:rsid w:val="000F167E"/>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22"/>
    <w:rsid w:val="000F1A9B"/>
    <w:rsid w:val="000F1AD5"/>
    <w:rsid w:val="000F1C07"/>
    <w:rsid w:val="000F1D7D"/>
    <w:rsid w:val="000F1D7E"/>
    <w:rsid w:val="000F1DE5"/>
    <w:rsid w:val="000F1DF5"/>
    <w:rsid w:val="000F1E02"/>
    <w:rsid w:val="000F1E28"/>
    <w:rsid w:val="000F1E71"/>
    <w:rsid w:val="000F1E84"/>
    <w:rsid w:val="000F1EE4"/>
    <w:rsid w:val="000F200E"/>
    <w:rsid w:val="000F2011"/>
    <w:rsid w:val="000F2066"/>
    <w:rsid w:val="000F2070"/>
    <w:rsid w:val="000F20E6"/>
    <w:rsid w:val="000F214F"/>
    <w:rsid w:val="000F2154"/>
    <w:rsid w:val="000F21BF"/>
    <w:rsid w:val="000F2204"/>
    <w:rsid w:val="000F2214"/>
    <w:rsid w:val="000F2300"/>
    <w:rsid w:val="000F2324"/>
    <w:rsid w:val="000F2336"/>
    <w:rsid w:val="000F234F"/>
    <w:rsid w:val="000F2364"/>
    <w:rsid w:val="000F23D9"/>
    <w:rsid w:val="000F23E1"/>
    <w:rsid w:val="000F23E3"/>
    <w:rsid w:val="000F240D"/>
    <w:rsid w:val="000F241D"/>
    <w:rsid w:val="000F2451"/>
    <w:rsid w:val="000F2466"/>
    <w:rsid w:val="000F24A3"/>
    <w:rsid w:val="000F24A4"/>
    <w:rsid w:val="000F24FA"/>
    <w:rsid w:val="000F2517"/>
    <w:rsid w:val="000F2589"/>
    <w:rsid w:val="000F25DF"/>
    <w:rsid w:val="000F25EA"/>
    <w:rsid w:val="000F25EB"/>
    <w:rsid w:val="000F26A3"/>
    <w:rsid w:val="000F27D0"/>
    <w:rsid w:val="000F287F"/>
    <w:rsid w:val="000F2885"/>
    <w:rsid w:val="000F2896"/>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4C"/>
    <w:rsid w:val="000F2E6B"/>
    <w:rsid w:val="000F2E81"/>
    <w:rsid w:val="000F2FEB"/>
    <w:rsid w:val="000F3069"/>
    <w:rsid w:val="000F3072"/>
    <w:rsid w:val="000F313B"/>
    <w:rsid w:val="000F313C"/>
    <w:rsid w:val="000F315A"/>
    <w:rsid w:val="000F3167"/>
    <w:rsid w:val="000F3182"/>
    <w:rsid w:val="000F31C7"/>
    <w:rsid w:val="000F31C9"/>
    <w:rsid w:val="000F31DC"/>
    <w:rsid w:val="000F320F"/>
    <w:rsid w:val="000F3227"/>
    <w:rsid w:val="000F3250"/>
    <w:rsid w:val="000F326E"/>
    <w:rsid w:val="000F327D"/>
    <w:rsid w:val="000F32AE"/>
    <w:rsid w:val="000F32B6"/>
    <w:rsid w:val="000F3323"/>
    <w:rsid w:val="000F333C"/>
    <w:rsid w:val="000F3351"/>
    <w:rsid w:val="000F3369"/>
    <w:rsid w:val="000F336B"/>
    <w:rsid w:val="000F3381"/>
    <w:rsid w:val="000F3392"/>
    <w:rsid w:val="000F33D0"/>
    <w:rsid w:val="000F3410"/>
    <w:rsid w:val="000F3419"/>
    <w:rsid w:val="000F3426"/>
    <w:rsid w:val="000F342C"/>
    <w:rsid w:val="000F344F"/>
    <w:rsid w:val="000F3472"/>
    <w:rsid w:val="000F34DF"/>
    <w:rsid w:val="000F34FD"/>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C3"/>
    <w:rsid w:val="000F39E8"/>
    <w:rsid w:val="000F3A07"/>
    <w:rsid w:val="000F3A0B"/>
    <w:rsid w:val="000F3A3F"/>
    <w:rsid w:val="000F3A6B"/>
    <w:rsid w:val="000F3ACC"/>
    <w:rsid w:val="000F3ADD"/>
    <w:rsid w:val="000F3B15"/>
    <w:rsid w:val="000F3B68"/>
    <w:rsid w:val="000F3BCA"/>
    <w:rsid w:val="000F3BCE"/>
    <w:rsid w:val="000F3C07"/>
    <w:rsid w:val="000F3C4B"/>
    <w:rsid w:val="000F3CA5"/>
    <w:rsid w:val="000F3CB4"/>
    <w:rsid w:val="000F3CDC"/>
    <w:rsid w:val="000F3D32"/>
    <w:rsid w:val="000F3D63"/>
    <w:rsid w:val="000F3D9E"/>
    <w:rsid w:val="000F3DA7"/>
    <w:rsid w:val="000F3DD2"/>
    <w:rsid w:val="000F3DF9"/>
    <w:rsid w:val="000F3DFC"/>
    <w:rsid w:val="000F3E16"/>
    <w:rsid w:val="000F3E48"/>
    <w:rsid w:val="000F3E83"/>
    <w:rsid w:val="000F3EA0"/>
    <w:rsid w:val="000F3EC0"/>
    <w:rsid w:val="000F3EEF"/>
    <w:rsid w:val="000F3F22"/>
    <w:rsid w:val="000F3F49"/>
    <w:rsid w:val="000F3FE3"/>
    <w:rsid w:val="000F3FEA"/>
    <w:rsid w:val="000F4017"/>
    <w:rsid w:val="000F40D3"/>
    <w:rsid w:val="000F40F6"/>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AA"/>
    <w:rsid w:val="000F4DEE"/>
    <w:rsid w:val="000F4E76"/>
    <w:rsid w:val="000F4EA5"/>
    <w:rsid w:val="000F4EB8"/>
    <w:rsid w:val="000F4EE3"/>
    <w:rsid w:val="000F4EEA"/>
    <w:rsid w:val="000F4EF7"/>
    <w:rsid w:val="000F4F4E"/>
    <w:rsid w:val="000F4F7A"/>
    <w:rsid w:val="000F4FDA"/>
    <w:rsid w:val="000F4FE3"/>
    <w:rsid w:val="000F4FE6"/>
    <w:rsid w:val="000F502E"/>
    <w:rsid w:val="000F503A"/>
    <w:rsid w:val="000F5050"/>
    <w:rsid w:val="000F505C"/>
    <w:rsid w:val="000F5064"/>
    <w:rsid w:val="000F509B"/>
    <w:rsid w:val="000F5140"/>
    <w:rsid w:val="000F515C"/>
    <w:rsid w:val="000F51A3"/>
    <w:rsid w:val="000F51A4"/>
    <w:rsid w:val="000F51BC"/>
    <w:rsid w:val="000F5244"/>
    <w:rsid w:val="000F5257"/>
    <w:rsid w:val="000F525E"/>
    <w:rsid w:val="000F5261"/>
    <w:rsid w:val="000F526F"/>
    <w:rsid w:val="000F52C3"/>
    <w:rsid w:val="000F52CE"/>
    <w:rsid w:val="000F52DB"/>
    <w:rsid w:val="000F52FF"/>
    <w:rsid w:val="000F5345"/>
    <w:rsid w:val="000F5346"/>
    <w:rsid w:val="000F535E"/>
    <w:rsid w:val="000F5369"/>
    <w:rsid w:val="000F53CD"/>
    <w:rsid w:val="000F53E6"/>
    <w:rsid w:val="000F541B"/>
    <w:rsid w:val="000F5426"/>
    <w:rsid w:val="000F5486"/>
    <w:rsid w:val="000F5509"/>
    <w:rsid w:val="000F555C"/>
    <w:rsid w:val="000F55A0"/>
    <w:rsid w:val="000F55D0"/>
    <w:rsid w:val="000F55DB"/>
    <w:rsid w:val="000F55DF"/>
    <w:rsid w:val="000F55E7"/>
    <w:rsid w:val="000F55F5"/>
    <w:rsid w:val="000F5631"/>
    <w:rsid w:val="000F5668"/>
    <w:rsid w:val="000F572E"/>
    <w:rsid w:val="000F573F"/>
    <w:rsid w:val="000F576D"/>
    <w:rsid w:val="000F580D"/>
    <w:rsid w:val="000F5811"/>
    <w:rsid w:val="000F581A"/>
    <w:rsid w:val="000F5850"/>
    <w:rsid w:val="000F5861"/>
    <w:rsid w:val="000F589D"/>
    <w:rsid w:val="000F58A6"/>
    <w:rsid w:val="000F58FD"/>
    <w:rsid w:val="000F5943"/>
    <w:rsid w:val="000F59DE"/>
    <w:rsid w:val="000F5A1A"/>
    <w:rsid w:val="000F5A1E"/>
    <w:rsid w:val="000F5A6D"/>
    <w:rsid w:val="000F5B0F"/>
    <w:rsid w:val="000F5B32"/>
    <w:rsid w:val="000F5B73"/>
    <w:rsid w:val="000F5BA7"/>
    <w:rsid w:val="000F5BC5"/>
    <w:rsid w:val="000F5C00"/>
    <w:rsid w:val="000F5C58"/>
    <w:rsid w:val="000F5C65"/>
    <w:rsid w:val="000F5C8A"/>
    <w:rsid w:val="000F5C9F"/>
    <w:rsid w:val="000F5CDF"/>
    <w:rsid w:val="000F5D0E"/>
    <w:rsid w:val="000F5D54"/>
    <w:rsid w:val="000F5D70"/>
    <w:rsid w:val="000F5D81"/>
    <w:rsid w:val="000F5DCE"/>
    <w:rsid w:val="000F5E5C"/>
    <w:rsid w:val="000F5E7B"/>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7E"/>
    <w:rsid w:val="000F61E5"/>
    <w:rsid w:val="000F620A"/>
    <w:rsid w:val="000F6290"/>
    <w:rsid w:val="000F62BC"/>
    <w:rsid w:val="000F6309"/>
    <w:rsid w:val="000F6388"/>
    <w:rsid w:val="000F6392"/>
    <w:rsid w:val="000F63B2"/>
    <w:rsid w:val="000F63B3"/>
    <w:rsid w:val="000F6410"/>
    <w:rsid w:val="000F6424"/>
    <w:rsid w:val="000F6442"/>
    <w:rsid w:val="000F646E"/>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97"/>
    <w:rsid w:val="000F6A9E"/>
    <w:rsid w:val="000F6B12"/>
    <w:rsid w:val="000F6B36"/>
    <w:rsid w:val="000F6B4D"/>
    <w:rsid w:val="000F6BAE"/>
    <w:rsid w:val="000F6BE4"/>
    <w:rsid w:val="000F6C5F"/>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EAE"/>
    <w:rsid w:val="000F6FE5"/>
    <w:rsid w:val="000F7092"/>
    <w:rsid w:val="000F7179"/>
    <w:rsid w:val="000F7182"/>
    <w:rsid w:val="000F719C"/>
    <w:rsid w:val="000F71B1"/>
    <w:rsid w:val="000F71C8"/>
    <w:rsid w:val="000F71DA"/>
    <w:rsid w:val="000F7285"/>
    <w:rsid w:val="000F72BB"/>
    <w:rsid w:val="000F72DF"/>
    <w:rsid w:val="000F733F"/>
    <w:rsid w:val="000F737E"/>
    <w:rsid w:val="000F73DB"/>
    <w:rsid w:val="000F7406"/>
    <w:rsid w:val="000F7468"/>
    <w:rsid w:val="000F7496"/>
    <w:rsid w:val="000F74A9"/>
    <w:rsid w:val="000F7544"/>
    <w:rsid w:val="000F7545"/>
    <w:rsid w:val="000F759C"/>
    <w:rsid w:val="000F75E3"/>
    <w:rsid w:val="000F760D"/>
    <w:rsid w:val="000F7612"/>
    <w:rsid w:val="000F7637"/>
    <w:rsid w:val="000F763C"/>
    <w:rsid w:val="000F770D"/>
    <w:rsid w:val="000F772A"/>
    <w:rsid w:val="000F772E"/>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E4"/>
    <w:rsid w:val="0010033C"/>
    <w:rsid w:val="0010036D"/>
    <w:rsid w:val="0010042D"/>
    <w:rsid w:val="00100441"/>
    <w:rsid w:val="0010046C"/>
    <w:rsid w:val="001004AC"/>
    <w:rsid w:val="0010050B"/>
    <w:rsid w:val="00100538"/>
    <w:rsid w:val="00100595"/>
    <w:rsid w:val="001005A5"/>
    <w:rsid w:val="001005AB"/>
    <w:rsid w:val="001005EA"/>
    <w:rsid w:val="001005F7"/>
    <w:rsid w:val="001006B4"/>
    <w:rsid w:val="001006E2"/>
    <w:rsid w:val="001006F5"/>
    <w:rsid w:val="0010074F"/>
    <w:rsid w:val="0010076E"/>
    <w:rsid w:val="0010078E"/>
    <w:rsid w:val="00100792"/>
    <w:rsid w:val="001007F2"/>
    <w:rsid w:val="00100828"/>
    <w:rsid w:val="00100836"/>
    <w:rsid w:val="0010084A"/>
    <w:rsid w:val="001008AA"/>
    <w:rsid w:val="001008D1"/>
    <w:rsid w:val="0010094F"/>
    <w:rsid w:val="001009AD"/>
    <w:rsid w:val="001009BB"/>
    <w:rsid w:val="001009DC"/>
    <w:rsid w:val="00100A89"/>
    <w:rsid w:val="00100AA7"/>
    <w:rsid w:val="00100AF5"/>
    <w:rsid w:val="00100B26"/>
    <w:rsid w:val="00100B51"/>
    <w:rsid w:val="00100B97"/>
    <w:rsid w:val="00100BDD"/>
    <w:rsid w:val="00100BE3"/>
    <w:rsid w:val="00100C36"/>
    <w:rsid w:val="00100C55"/>
    <w:rsid w:val="00100CE7"/>
    <w:rsid w:val="00100D39"/>
    <w:rsid w:val="00100D71"/>
    <w:rsid w:val="00100DB9"/>
    <w:rsid w:val="00100E05"/>
    <w:rsid w:val="00100EB1"/>
    <w:rsid w:val="00100EBC"/>
    <w:rsid w:val="00100F1C"/>
    <w:rsid w:val="00100F31"/>
    <w:rsid w:val="00100F40"/>
    <w:rsid w:val="00100F92"/>
    <w:rsid w:val="00100FDA"/>
    <w:rsid w:val="001010D4"/>
    <w:rsid w:val="001010FE"/>
    <w:rsid w:val="00101112"/>
    <w:rsid w:val="00101115"/>
    <w:rsid w:val="00101119"/>
    <w:rsid w:val="0010119E"/>
    <w:rsid w:val="0010125D"/>
    <w:rsid w:val="00101274"/>
    <w:rsid w:val="0010130E"/>
    <w:rsid w:val="00101323"/>
    <w:rsid w:val="00101340"/>
    <w:rsid w:val="0010134E"/>
    <w:rsid w:val="00101350"/>
    <w:rsid w:val="0010136A"/>
    <w:rsid w:val="001013B2"/>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2"/>
    <w:rsid w:val="00101CD0"/>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1"/>
    <w:rsid w:val="00101FC4"/>
    <w:rsid w:val="00102020"/>
    <w:rsid w:val="001020C1"/>
    <w:rsid w:val="00102109"/>
    <w:rsid w:val="001021C4"/>
    <w:rsid w:val="001021D3"/>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814"/>
    <w:rsid w:val="00102834"/>
    <w:rsid w:val="00102887"/>
    <w:rsid w:val="001028A9"/>
    <w:rsid w:val="001028DB"/>
    <w:rsid w:val="001028EE"/>
    <w:rsid w:val="00102930"/>
    <w:rsid w:val="001029DD"/>
    <w:rsid w:val="00102A29"/>
    <w:rsid w:val="00102A34"/>
    <w:rsid w:val="00102A60"/>
    <w:rsid w:val="00102A63"/>
    <w:rsid w:val="00102AE5"/>
    <w:rsid w:val="00102AF3"/>
    <w:rsid w:val="00102B7F"/>
    <w:rsid w:val="00102BC1"/>
    <w:rsid w:val="00102BD0"/>
    <w:rsid w:val="00102C44"/>
    <w:rsid w:val="00102CCA"/>
    <w:rsid w:val="00102D08"/>
    <w:rsid w:val="00102D11"/>
    <w:rsid w:val="00102D1B"/>
    <w:rsid w:val="00102E8C"/>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523"/>
    <w:rsid w:val="00103562"/>
    <w:rsid w:val="00103597"/>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AD"/>
    <w:rsid w:val="001039B6"/>
    <w:rsid w:val="00103A08"/>
    <w:rsid w:val="00103A0C"/>
    <w:rsid w:val="00103A12"/>
    <w:rsid w:val="00103A23"/>
    <w:rsid w:val="00103A4F"/>
    <w:rsid w:val="00103AE0"/>
    <w:rsid w:val="00103B1E"/>
    <w:rsid w:val="00103B29"/>
    <w:rsid w:val="00103B32"/>
    <w:rsid w:val="00103B57"/>
    <w:rsid w:val="00103B77"/>
    <w:rsid w:val="00103C42"/>
    <w:rsid w:val="00103C6F"/>
    <w:rsid w:val="00103CA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78"/>
    <w:rsid w:val="0010449B"/>
    <w:rsid w:val="001044E7"/>
    <w:rsid w:val="001044F0"/>
    <w:rsid w:val="00104556"/>
    <w:rsid w:val="00104596"/>
    <w:rsid w:val="0010459F"/>
    <w:rsid w:val="001045E7"/>
    <w:rsid w:val="001045F6"/>
    <w:rsid w:val="00104601"/>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CF5"/>
    <w:rsid w:val="00104D06"/>
    <w:rsid w:val="00104D18"/>
    <w:rsid w:val="00104DAA"/>
    <w:rsid w:val="00104DB7"/>
    <w:rsid w:val="00104DE4"/>
    <w:rsid w:val="00104E18"/>
    <w:rsid w:val="00104E19"/>
    <w:rsid w:val="00104E28"/>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80"/>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4D"/>
    <w:rsid w:val="00105451"/>
    <w:rsid w:val="0010545A"/>
    <w:rsid w:val="0010546E"/>
    <w:rsid w:val="001054DE"/>
    <w:rsid w:val="001054EC"/>
    <w:rsid w:val="00105502"/>
    <w:rsid w:val="00105549"/>
    <w:rsid w:val="0010559D"/>
    <w:rsid w:val="001055A2"/>
    <w:rsid w:val="001055D4"/>
    <w:rsid w:val="001055FD"/>
    <w:rsid w:val="00105665"/>
    <w:rsid w:val="0010568C"/>
    <w:rsid w:val="0010570B"/>
    <w:rsid w:val="0010574F"/>
    <w:rsid w:val="00105772"/>
    <w:rsid w:val="001057D0"/>
    <w:rsid w:val="001057DE"/>
    <w:rsid w:val="001057F4"/>
    <w:rsid w:val="00105809"/>
    <w:rsid w:val="00105826"/>
    <w:rsid w:val="00105855"/>
    <w:rsid w:val="0010585C"/>
    <w:rsid w:val="00105887"/>
    <w:rsid w:val="001058C4"/>
    <w:rsid w:val="0010593E"/>
    <w:rsid w:val="0010594A"/>
    <w:rsid w:val="0010595E"/>
    <w:rsid w:val="00105A55"/>
    <w:rsid w:val="00105A71"/>
    <w:rsid w:val="00105B2A"/>
    <w:rsid w:val="00105B33"/>
    <w:rsid w:val="00105B39"/>
    <w:rsid w:val="00105B53"/>
    <w:rsid w:val="00105B5D"/>
    <w:rsid w:val="00105B63"/>
    <w:rsid w:val="00105BB9"/>
    <w:rsid w:val="00105C0B"/>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B1"/>
    <w:rsid w:val="001060FD"/>
    <w:rsid w:val="00106103"/>
    <w:rsid w:val="0010610A"/>
    <w:rsid w:val="00106175"/>
    <w:rsid w:val="001061A0"/>
    <w:rsid w:val="001061A7"/>
    <w:rsid w:val="001061AD"/>
    <w:rsid w:val="001061FB"/>
    <w:rsid w:val="00106215"/>
    <w:rsid w:val="0010622C"/>
    <w:rsid w:val="00106238"/>
    <w:rsid w:val="0010623E"/>
    <w:rsid w:val="0010627D"/>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28"/>
    <w:rsid w:val="00106B5C"/>
    <w:rsid w:val="00106B77"/>
    <w:rsid w:val="00106BC4"/>
    <w:rsid w:val="00106BFA"/>
    <w:rsid w:val="00106C35"/>
    <w:rsid w:val="00106C71"/>
    <w:rsid w:val="00106C7C"/>
    <w:rsid w:val="00106C96"/>
    <w:rsid w:val="00106CBE"/>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C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4D"/>
    <w:rsid w:val="001078A5"/>
    <w:rsid w:val="001078BE"/>
    <w:rsid w:val="001078BF"/>
    <w:rsid w:val="001078FD"/>
    <w:rsid w:val="00107919"/>
    <w:rsid w:val="00107962"/>
    <w:rsid w:val="0010796E"/>
    <w:rsid w:val="00107992"/>
    <w:rsid w:val="00107A0C"/>
    <w:rsid w:val="00107A30"/>
    <w:rsid w:val="00107A50"/>
    <w:rsid w:val="00107B28"/>
    <w:rsid w:val="00107B41"/>
    <w:rsid w:val="00107B5F"/>
    <w:rsid w:val="00107B8A"/>
    <w:rsid w:val="00107B9E"/>
    <w:rsid w:val="00107BD2"/>
    <w:rsid w:val="00107BED"/>
    <w:rsid w:val="00107C33"/>
    <w:rsid w:val="00107C3F"/>
    <w:rsid w:val="00107C49"/>
    <w:rsid w:val="00107C91"/>
    <w:rsid w:val="00107CAC"/>
    <w:rsid w:val="00107CE6"/>
    <w:rsid w:val="00107D0D"/>
    <w:rsid w:val="00107D41"/>
    <w:rsid w:val="00107D83"/>
    <w:rsid w:val="00107DB4"/>
    <w:rsid w:val="00107DBB"/>
    <w:rsid w:val="00107DD9"/>
    <w:rsid w:val="00107E63"/>
    <w:rsid w:val="00107E74"/>
    <w:rsid w:val="00107E8A"/>
    <w:rsid w:val="00107EA4"/>
    <w:rsid w:val="00107ED0"/>
    <w:rsid w:val="00107EFF"/>
    <w:rsid w:val="00107FD3"/>
    <w:rsid w:val="00107FE1"/>
    <w:rsid w:val="00110002"/>
    <w:rsid w:val="001100F3"/>
    <w:rsid w:val="0011015A"/>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C6"/>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4D"/>
    <w:rsid w:val="00111C62"/>
    <w:rsid w:val="00111C87"/>
    <w:rsid w:val="00111CD0"/>
    <w:rsid w:val="00111CFB"/>
    <w:rsid w:val="00111D13"/>
    <w:rsid w:val="00111D2A"/>
    <w:rsid w:val="00111D35"/>
    <w:rsid w:val="00111D42"/>
    <w:rsid w:val="00111D50"/>
    <w:rsid w:val="00111D6B"/>
    <w:rsid w:val="00111D6F"/>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3A"/>
    <w:rsid w:val="001129B6"/>
    <w:rsid w:val="00112A0A"/>
    <w:rsid w:val="00112A27"/>
    <w:rsid w:val="00112A50"/>
    <w:rsid w:val="00112A78"/>
    <w:rsid w:val="00112A83"/>
    <w:rsid w:val="00112B1F"/>
    <w:rsid w:val="00112B3C"/>
    <w:rsid w:val="00112B46"/>
    <w:rsid w:val="00112B6C"/>
    <w:rsid w:val="00112BF3"/>
    <w:rsid w:val="00112C33"/>
    <w:rsid w:val="00112C52"/>
    <w:rsid w:val="00112C65"/>
    <w:rsid w:val="00112D39"/>
    <w:rsid w:val="00112D7F"/>
    <w:rsid w:val="00112D9E"/>
    <w:rsid w:val="00112DCB"/>
    <w:rsid w:val="00112F13"/>
    <w:rsid w:val="00112F1E"/>
    <w:rsid w:val="00112F44"/>
    <w:rsid w:val="00112F7E"/>
    <w:rsid w:val="00112F97"/>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60"/>
    <w:rsid w:val="001133FC"/>
    <w:rsid w:val="0011341C"/>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78"/>
    <w:rsid w:val="00113782"/>
    <w:rsid w:val="001137B8"/>
    <w:rsid w:val="001137BE"/>
    <w:rsid w:val="001137C1"/>
    <w:rsid w:val="001137D6"/>
    <w:rsid w:val="001137E3"/>
    <w:rsid w:val="001137F0"/>
    <w:rsid w:val="001137F5"/>
    <w:rsid w:val="00113824"/>
    <w:rsid w:val="00113853"/>
    <w:rsid w:val="00113890"/>
    <w:rsid w:val="001138D8"/>
    <w:rsid w:val="001138E5"/>
    <w:rsid w:val="001138F2"/>
    <w:rsid w:val="00113922"/>
    <w:rsid w:val="00113940"/>
    <w:rsid w:val="00113A11"/>
    <w:rsid w:val="00113A2A"/>
    <w:rsid w:val="00113A45"/>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1"/>
    <w:rsid w:val="001142D4"/>
    <w:rsid w:val="001142FF"/>
    <w:rsid w:val="00114333"/>
    <w:rsid w:val="00114335"/>
    <w:rsid w:val="0011434A"/>
    <w:rsid w:val="0011435C"/>
    <w:rsid w:val="0011438D"/>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9"/>
    <w:rsid w:val="001149DD"/>
    <w:rsid w:val="00114A4F"/>
    <w:rsid w:val="00114A55"/>
    <w:rsid w:val="00114A75"/>
    <w:rsid w:val="00114AAB"/>
    <w:rsid w:val="00114AF2"/>
    <w:rsid w:val="00114B06"/>
    <w:rsid w:val="00114B9E"/>
    <w:rsid w:val="00114BB7"/>
    <w:rsid w:val="00114BF9"/>
    <w:rsid w:val="00114C21"/>
    <w:rsid w:val="00114C28"/>
    <w:rsid w:val="00114CCC"/>
    <w:rsid w:val="00114CE8"/>
    <w:rsid w:val="00114CEE"/>
    <w:rsid w:val="00114CFB"/>
    <w:rsid w:val="00114D1E"/>
    <w:rsid w:val="00114D5B"/>
    <w:rsid w:val="00114DA5"/>
    <w:rsid w:val="00114DEA"/>
    <w:rsid w:val="00114DF6"/>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773"/>
    <w:rsid w:val="001157C5"/>
    <w:rsid w:val="0011582D"/>
    <w:rsid w:val="00115850"/>
    <w:rsid w:val="00115869"/>
    <w:rsid w:val="001158C6"/>
    <w:rsid w:val="0011594A"/>
    <w:rsid w:val="00115982"/>
    <w:rsid w:val="001159A4"/>
    <w:rsid w:val="001159E2"/>
    <w:rsid w:val="00115A65"/>
    <w:rsid w:val="00115A66"/>
    <w:rsid w:val="00115ACC"/>
    <w:rsid w:val="00115ACE"/>
    <w:rsid w:val="00115B20"/>
    <w:rsid w:val="00115B62"/>
    <w:rsid w:val="00115BA0"/>
    <w:rsid w:val="00115C28"/>
    <w:rsid w:val="00115C50"/>
    <w:rsid w:val="00115C80"/>
    <w:rsid w:val="00115CCA"/>
    <w:rsid w:val="00115D53"/>
    <w:rsid w:val="00115D90"/>
    <w:rsid w:val="00115DC8"/>
    <w:rsid w:val="00115E25"/>
    <w:rsid w:val="00115E47"/>
    <w:rsid w:val="00115ECF"/>
    <w:rsid w:val="00115EFD"/>
    <w:rsid w:val="00115F1B"/>
    <w:rsid w:val="00115F75"/>
    <w:rsid w:val="00115FB8"/>
    <w:rsid w:val="001160B0"/>
    <w:rsid w:val="0011614E"/>
    <w:rsid w:val="0011615A"/>
    <w:rsid w:val="001161B6"/>
    <w:rsid w:val="001161CE"/>
    <w:rsid w:val="00116261"/>
    <w:rsid w:val="00116276"/>
    <w:rsid w:val="00116288"/>
    <w:rsid w:val="0011628F"/>
    <w:rsid w:val="00116332"/>
    <w:rsid w:val="0011633C"/>
    <w:rsid w:val="00116370"/>
    <w:rsid w:val="001163CD"/>
    <w:rsid w:val="00116481"/>
    <w:rsid w:val="001164BB"/>
    <w:rsid w:val="00116540"/>
    <w:rsid w:val="001165FC"/>
    <w:rsid w:val="001166DF"/>
    <w:rsid w:val="001166E7"/>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2A"/>
    <w:rsid w:val="00116AA1"/>
    <w:rsid w:val="00116AB4"/>
    <w:rsid w:val="00116B38"/>
    <w:rsid w:val="00116B6E"/>
    <w:rsid w:val="00116BAC"/>
    <w:rsid w:val="00116BE0"/>
    <w:rsid w:val="00116C31"/>
    <w:rsid w:val="00116C40"/>
    <w:rsid w:val="00116C79"/>
    <w:rsid w:val="00116CBF"/>
    <w:rsid w:val="00116CCA"/>
    <w:rsid w:val="00116D2B"/>
    <w:rsid w:val="00116D9D"/>
    <w:rsid w:val="00116DCC"/>
    <w:rsid w:val="00116DD7"/>
    <w:rsid w:val="00116DD9"/>
    <w:rsid w:val="00116E00"/>
    <w:rsid w:val="00116E4E"/>
    <w:rsid w:val="00116E59"/>
    <w:rsid w:val="00116E5D"/>
    <w:rsid w:val="00116E73"/>
    <w:rsid w:val="00116EE3"/>
    <w:rsid w:val="00116EE8"/>
    <w:rsid w:val="00116F26"/>
    <w:rsid w:val="00117031"/>
    <w:rsid w:val="00117054"/>
    <w:rsid w:val="00117073"/>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AC"/>
    <w:rsid w:val="00117DCD"/>
    <w:rsid w:val="00117E23"/>
    <w:rsid w:val="00117E3C"/>
    <w:rsid w:val="00117E9F"/>
    <w:rsid w:val="00117EB1"/>
    <w:rsid w:val="00117EC7"/>
    <w:rsid w:val="00117EDD"/>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A9"/>
    <w:rsid w:val="001205DD"/>
    <w:rsid w:val="0012065D"/>
    <w:rsid w:val="001206DE"/>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0C"/>
    <w:rsid w:val="00120D4B"/>
    <w:rsid w:val="00120D8C"/>
    <w:rsid w:val="00120DFE"/>
    <w:rsid w:val="00120E3E"/>
    <w:rsid w:val="00120EEE"/>
    <w:rsid w:val="00120F15"/>
    <w:rsid w:val="00120F4E"/>
    <w:rsid w:val="00120F56"/>
    <w:rsid w:val="00120F7B"/>
    <w:rsid w:val="00120FBA"/>
    <w:rsid w:val="00120FBD"/>
    <w:rsid w:val="00120FC8"/>
    <w:rsid w:val="00120FD9"/>
    <w:rsid w:val="00120FF4"/>
    <w:rsid w:val="00121007"/>
    <w:rsid w:val="0012105D"/>
    <w:rsid w:val="00121131"/>
    <w:rsid w:val="00121148"/>
    <w:rsid w:val="00121153"/>
    <w:rsid w:val="001211A9"/>
    <w:rsid w:val="00121204"/>
    <w:rsid w:val="001212C3"/>
    <w:rsid w:val="001212E1"/>
    <w:rsid w:val="001212E6"/>
    <w:rsid w:val="001212FF"/>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B5"/>
    <w:rsid w:val="001215F9"/>
    <w:rsid w:val="00121623"/>
    <w:rsid w:val="0012164E"/>
    <w:rsid w:val="00121659"/>
    <w:rsid w:val="0012166B"/>
    <w:rsid w:val="0012169A"/>
    <w:rsid w:val="00121707"/>
    <w:rsid w:val="00121730"/>
    <w:rsid w:val="00121756"/>
    <w:rsid w:val="00121773"/>
    <w:rsid w:val="0012178D"/>
    <w:rsid w:val="001217E7"/>
    <w:rsid w:val="00121875"/>
    <w:rsid w:val="0012189F"/>
    <w:rsid w:val="001218A8"/>
    <w:rsid w:val="001218F1"/>
    <w:rsid w:val="0012191C"/>
    <w:rsid w:val="00121955"/>
    <w:rsid w:val="0012198A"/>
    <w:rsid w:val="001219B4"/>
    <w:rsid w:val="001219CC"/>
    <w:rsid w:val="00121A5D"/>
    <w:rsid w:val="00121A82"/>
    <w:rsid w:val="00121A89"/>
    <w:rsid w:val="00121B7F"/>
    <w:rsid w:val="00121B8E"/>
    <w:rsid w:val="00121BA5"/>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90"/>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23"/>
    <w:rsid w:val="00122DC1"/>
    <w:rsid w:val="00122DC8"/>
    <w:rsid w:val="00122E03"/>
    <w:rsid w:val="00122E2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4B6"/>
    <w:rsid w:val="0012351B"/>
    <w:rsid w:val="0012352A"/>
    <w:rsid w:val="00123596"/>
    <w:rsid w:val="0012359B"/>
    <w:rsid w:val="001235A6"/>
    <w:rsid w:val="001235A8"/>
    <w:rsid w:val="001235C7"/>
    <w:rsid w:val="001235C9"/>
    <w:rsid w:val="001235CA"/>
    <w:rsid w:val="001235D0"/>
    <w:rsid w:val="001235D5"/>
    <w:rsid w:val="0012362D"/>
    <w:rsid w:val="0012367B"/>
    <w:rsid w:val="001237CD"/>
    <w:rsid w:val="00123805"/>
    <w:rsid w:val="0012386E"/>
    <w:rsid w:val="0012389D"/>
    <w:rsid w:val="001238AE"/>
    <w:rsid w:val="0012394E"/>
    <w:rsid w:val="0012397A"/>
    <w:rsid w:val="001239CC"/>
    <w:rsid w:val="001239DF"/>
    <w:rsid w:val="00123A03"/>
    <w:rsid w:val="00123A41"/>
    <w:rsid w:val="00123AD4"/>
    <w:rsid w:val="00123AEC"/>
    <w:rsid w:val="00123B06"/>
    <w:rsid w:val="00123B0A"/>
    <w:rsid w:val="00123B0E"/>
    <w:rsid w:val="00123B20"/>
    <w:rsid w:val="00123B43"/>
    <w:rsid w:val="00123B51"/>
    <w:rsid w:val="00123B5C"/>
    <w:rsid w:val="00123BD2"/>
    <w:rsid w:val="00123C10"/>
    <w:rsid w:val="00123C8A"/>
    <w:rsid w:val="00123C8F"/>
    <w:rsid w:val="00123CD5"/>
    <w:rsid w:val="00123D64"/>
    <w:rsid w:val="00123D6A"/>
    <w:rsid w:val="00123DF3"/>
    <w:rsid w:val="00123E48"/>
    <w:rsid w:val="00123E55"/>
    <w:rsid w:val="00123E81"/>
    <w:rsid w:val="00123F13"/>
    <w:rsid w:val="00123F3C"/>
    <w:rsid w:val="00123FB4"/>
    <w:rsid w:val="00123FEF"/>
    <w:rsid w:val="00124023"/>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F5"/>
    <w:rsid w:val="00124412"/>
    <w:rsid w:val="001244C4"/>
    <w:rsid w:val="001244EC"/>
    <w:rsid w:val="00124575"/>
    <w:rsid w:val="00124595"/>
    <w:rsid w:val="0012459C"/>
    <w:rsid w:val="001245F9"/>
    <w:rsid w:val="00124622"/>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86"/>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B7"/>
    <w:rsid w:val="00124FD8"/>
    <w:rsid w:val="00124FDB"/>
    <w:rsid w:val="0012503F"/>
    <w:rsid w:val="0012509C"/>
    <w:rsid w:val="001250B3"/>
    <w:rsid w:val="00125126"/>
    <w:rsid w:val="00125128"/>
    <w:rsid w:val="00125139"/>
    <w:rsid w:val="0012516A"/>
    <w:rsid w:val="001251EA"/>
    <w:rsid w:val="001251F6"/>
    <w:rsid w:val="00125285"/>
    <w:rsid w:val="001252B0"/>
    <w:rsid w:val="001252D3"/>
    <w:rsid w:val="00125348"/>
    <w:rsid w:val="0012534E"/>
    <w:rsid w:val="00125361"/>
    <w:rsid w:val="0012536F"/>
    <w:rsid w:val="001253EE"/>
    <w:rsid w:val="001253FB"/>
    <w:rsid w:val="00125411"/>
    <w:rsid w:val="0012545E"/>
    <w:rsid w:val="00125461"/>
    <w:rsid w:val="001254B8"/>
    <w:rsid w:val="001254F3"/>
    <w:rsid w:val="00125505"/>
    <w:rsid w:val="001255A0"/>
    <w:rsid w:val="001255A2"/>
    <w:rsid w:val="0012562E"/>
    <w:rsid w:val="00125673"/>
    <w:rsid w:val="00125695"/>
    <w:rsid w:val="0012569D"/>
    <w:rsid w:val="001256BC"/>
    <w:rsid w:val="001256BD"/>
    <w:rsid w:val="001256C8"/>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6F"/>
    <w:rsid w:val="00125EA8"/>
    <w:rsid w:val="00125ECC"/>
    <w:rsid w:val="00125F47"/>
    <w:rsid w:val="00125F68"/>
    <w:rsid w:val="00125F83"/>
    <w:rsid w:val="00125F98"/>
    <w:rsid w:val="00125FC4"/>
    <w:rsid w:val="00125FEA"/>
    <w:rsid w:val="00125FFE"/>
    <w:rsid w:val="00126033"/>
    <w:rsid w:val="00126056"/>
    <w:rsid w:val="001260A2"/>
    <w:rsid w:val="001260A3"/>
    <w:rsid w:val="0012612D"/>
    <w:rsid w:val="0012612F"/>
    <w:rsid w:val="001261BA"/>
    <w:rsid w:val="001261BC"/>
    <w:rsid w:val="00126288"/>
    <w:rsid w:val="0012628C"/>
    <w:rsid w:val="0012628D"/>
    <w:rsid w:val="001262F6"/>
    <w:rsid w:val="00126301"/>
    <w:rsid w:val="001263C9"/>
    <w:rsid w:val="001263E5"/>
    <w:rsid w:val="001263FB"/>
    <w:rsid w:val="001263FE"/>
    <w:rsid w:val="00126414"/>
    <w:rsid w:val="0012644D"/>
    <w:rsid w:val="0012655A"/>
    <w:rsid w:val="001265A3"/>
    <w:rsid w:val="001265EE"/>
    <w:rsid w:val="00126607"/>
    <w:rsid w:val="0012668D"/>
    <w:rsid w:val="001266C7"/>
    <w:rsid w:val="001266C8"/>
    <w:rsid w:val="001266C9"/>
    <w:rsid w:val="001267A8"/>
    <w:rsid w:val="001267D2"/>
    <w:rsid w:val="001267E5"/>
    <w:rsid w:val="001267E7"/>
    <w:rsid w:val="001267EE"/>
    <w:rsid w:val="001268BA"/>
    <w:rsid w:val="001268C3"/>
    <w:rsid w:val="001268E0"/>
    <w:rsid w:val="001268F9"/>
    <w:rsid w:val="0012690F"/>
    <w:rsid w:val="00126944"/>
    <w:rsid w:val="001269BD"/>
    <w:rsid w:val="00126A25"/>
    <w:rsid w:val="00126B22"/>
    <w:rsid w:val="00126B3B"/>
    <w:rsid w:val="00126B40"/>
    <w:rsid w:val="00126B5A"/>
    <w:rsid w:val="00126B7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D5"/>
    <w:rsid w:val="00126F16"/>
    <w:rsid w:val="00126F33"/>
    <w:rsid w:val="00126F51"/>
    <w:rsid w:val="00126F54"/>
    <w:rsid w:val="00126F77"/>
    <w:rsid w:val="00126F9E"/>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96"/>
    <w:rsid w:val="001272B7"/>
    <w:rsid w:val="001272EC"/>
    <w:rsid w:val="00127355"/>
    <w:rsid w:val="00127373"/>
    <w:rsid w:val="001273BE"/>
    <w:rsid w:val="001273CF"/>
    <w:rsid w:val="001273DF"/>
    <w:rsid w:val="00127421"/>
    <w:rsid w:val="00127423"/>
    <w:rsid w:val="00127448"/>
    <w:rsid w:val="00127463"/>
    <w:rsid w:val="0012746F"/>
    <w:rsid w:val="001274DE"/>
    <w:rsid w:val="001274ED"/>
    <w:rsid w:val="00127501"/>
    <w:rsid w:val="00127514"/>
    <w:rsid w:val="00127539"/>
    <w:rsid w:val="00127587"/>
    <w:rsid w:val="00127595"/>
    <w:rsid w:val="001275F5"/>
    <w:rsid w:val="0012761E"/>
    <w:rsid w:val="0012762D"/>
    <w:rsid w:val="00127678"/>
    <w:rsid w:val="0012768E"/>
    <w:rsid w:val="001276C1"/>
    <w:rsid w:val="001276F9"/>
    <w:rsid w:val="00127752"/>
    <w:rsid w:val="00127761"/>
    <w:rsid w:val="00127768"/>
    <w:rsid w:val="001277A5"/>
    <w:rsid w:val="001277C9"/>
    <w:rsid w:val="00127815"/>
    <w:rsid w:val="00127816"/>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66"/>
    <w:rsid w:val="00127C73"/>
    <w:rsid w:val="00127CA7"/>
    <w:rsid w:val="00127CCC"/>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CB"/>
    <w:rsid w:val="001302BD"/>
    <w:rsid w:val="001302E5"/>
    <w:rsid w:val="0013031A"/>
    <w:rsid w:val="0013034C"/>
    <w:rsid w:val="0013039C"/>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5C"/>
    <w:rsid w:val="00130768"/>
    <w:rsid w:val="00130772"/>
    <w:rsid w:val="001307A9"/>
    <w:rsid w:val="0013081D"/>
    <w:rsid w:val="00130828"/>
    <w:rsid w:val="0013082F"/>
    <w:rsid w:val="00130854"/>
    <w:rsid w:val="0013085A"/>
    <w:rsid w:val="00130867"/>
    <w:rsid w:val="00130883"/>
    <w:rsid w:val="00130885"/>
    <w:rsid w:val="00130947"/>
    <w:rsid w:val="00130956"/>
    <w:rsid w:val="00130961"/>
    <w:rsid w:val="00130A2F"/>
    <w:rsid w:val="00130AB2"/>
    <w:rsid w:val="00130ACC"/>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B1"/>
    <w:rsid w:val="00130EE1"/>
    <w:rsid w:val="00130EE5"/>
    <w:rsid w:val="00130F07"/>
    <w:rsid w:val="00130F11"/>
    <w:rsid w:val="00130F5B"/>
    <w:rsid w:val="00130FB9"/>
    <w:rsid w:val="00130FD3"/>
    <w:rsid w:val="00131056"/>
    <w:rsid w:val="00131069"/>
    <w:rsid w:val="00131096"/>
    <w:rsid w:val="001310C1"/>
    <w:rsid w:val="001310C9"/>
    <w:rsid w:val="001310FF"/>
    <w:rsid w:val="00131188"/>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BFC"/>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16A"/>
    <w:rsid w:val="00132183"/>
    <w:rsid w:val="001321B7"/>
    <w:rsid w:val="001321C9"/>
    <w:rsid w:val="001321D9"/>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95"/>
    <w:rsid w:val="0013289B"/>
    <w:rsid w:val="00132984"/>
    <w:rsid w:val="0013298D"/>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DE7"/>
    <w:rsid w:val="00132E08"/>
    <w:rsid w:val="00132E73"/>
    <w:rsid w:val="00132E92"/>
    <w:rsid w:val="00132E9F"/>
    <w:rsid w:val="00132EAD"/>
    <w:rsid w:val="00132ED6"/>
    <w:rsid w:val="00132F32"/>
    <w:rsid w:val="00132F37"/>
    <w:rsid w:val="00132F5B"/>
    <w:rsid w:val="00132F5E"/>
    <w:rsid w:val="00133014"/>
    <w:rsid w:val="0013307F"/>
    <w:rsid w:val="001330C8"/>
    <w:rsid w:val="001330D4"/>
    <w:rsid w:val="001330D8"/>
    <w:rsid w:val="001330F6"/>
    <w:rsid w:val="0013312F"/>
    <w:rsid w:val="0013316A"/>
    <w:rsid w:val="00133173"/>
    <w:rsid w:val="0013317C"/>
    <w:rsid w:val="0013317F"/>
    <w:rsid w:val="0013319A"/>
    <w:rsid w:val="001331A7"/>
    <w:rsid w:val="001331B0"/>
    <w:rsid w:val="001331D9"/>
    <w:rsid w:val="00133202"/>
    <w:rsid w:val="00133239"/>
    <w:rsid w:val="0013323E"/>
    <w:rsid w:val="00133260"/>
    <w:rsid w:val="0013326B"/>
    <w:rsid w:val="001332EB"/>
    <w:rsid w:val="00133315"/>
    <w:rsid w:val="00133320"/>
    <w:rsid w:val="00133326"/>
    <w:rsid w:val="00133360"/>
    <w:rsid w:val="001333E1"/>
    <w:rsid w:val="0013342F"/>
    <w:rsid w:val="0013345D"/>
    <w:rsid w:val="00133479"/>
    <w:rsid w:val="00133481"/>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43"/>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74"/>
    <w:rsid w:val="00133E29"/>
    <w:rsid w:val="00133E2B"/>
    <w:rsid w:val="00133E38"/>
    <w:rsid w:val="00133E5A"/>
    <w:rsid w:val="00133E5F"/>
    <w:rsid w:val="00133EAA"/>
    <w:rsid w:val="00133ED1"/>
    <w:rsid w:val="00133ED2"/>
    <w:rsid w:val="00133EE6"/>
    <w:rsid w:val="00133F0A"/>
    <w:rsid w:val="00133F14"/>
    <w:rsid w:val="00133F71"/>
    <w:rsid w:val="00133FB6"/>
    <w:rsid w:val="00133FC7"/>
    <w:rsid w:val="00133FD9"/>
    <w:rsid w:val="00133FE7"/>
    <w:rsid w:val="0013400B"/>
    <w:rsid w:val="00134070"/>
    <w:rsid w:val="001340D3"/>
    <w:rsid w:val="001340E9"/>
    <w:rsid w:val="00134114"/>
    <w:rsid w:val="0013419E"/>
    <w:rsid w:val="001341C2"/>
    <w:rsid w:val="0013425A"/>
    <w:rsid w:val="001342A3"/>
    <w:rsid w:val="00134318"/>
    <w:rsid w:val="0013432D"/>
    <w:rsid w:val="00134332"/>
    <w:rsid w:val="00134347"/>
    <w:rsid w:val="0013435F"/>
    <w:rsid w:val="0013439A"/>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AB"/>
    <w:rsid w:val="00134BE4"/>
    <w:rsid w:val="00134C4A"/>
    <w:rsid w:val="00134CA5"/>
    <w:rsid w:val="00134D5B"/>
    <w:rsid w:val="00134D66"/>
    <w:rsid w:val="00134E0E"/>
    <w:rsid w:val="00134E26"/>
    <w:rsid w:val="00134E3D"/>
    <w:rsid w:val="00134E49"/>
    <w:rsid w:val="00134E8E"/>
    <w:rsid w:val="00134EB1"/>
    <w:rsid w:val="00134F81"/>
    <w:rsid w:val="00134FB8"/>
    <w:rsid w:val="00135062"/>
    <w:rsid w:val="00135094"/>
    <w:rsid w:val="00135113"/>
    <w:rsid w:val="00135140"/>
    <w:rsid w:val="00135160"/>
    <w:rsid w:val="001351AB"/>
    <w:rsid w:val="001351B4"/>
    <w:rsid w:val="001351E8"/>
    <w:rsid w:val="00135238"/>
    <w:rsid w:val="001352CB"/>
    <w:rsid w:val="001352E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DD"/>
    <w:rsid w:val="001356EB"/>
    <w:rsid w:val="00135763"/>
    <w:rsid w:val="0013577C"/>
    <w:rsid w:val="0013578B"/>
    <w:rsid w:val="001357B8"/>
    <w:rsid w:val="001357C5"/>
    <w:rsid w:val="001357E9"/>
    <w:rsid w:val="00135857"/>
    <w:rsid w:val="00135876"/>
    <w:rsid w:val="00135895"/>
    <w:rsid w:val="00135898"/>
    <w:rsid w:val="00135901"/>
    <w:rsid w:val="00135910"/>
    <w:rsid w:val="00135921"/>
    <w:rsid w:val="0013593C"/>
    <w:rsid w:val="00135980"/>
    <w:rsid w:val="00135981"/>
    <w:rsid w:val="001359EE"/>
    <w:rsid w:val="00135A6A"/>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B3"/>
    <w:rsid w:val="00135EBE"/>
    <w:rsid w:val="00135EE5"/>
    <w:rsid w:val="00135F09"/>
    <w:rsid w:val="00135F50"/>
    <w:rsid w:val="00135F79"/>
    <w:rsid w:val="00135F98"/>
    <w:rsid w:val="00135FA6"/>
    <w:rsid w:val="00135FCE"/>
    <w:rsid w:val="0013602B"/>
    <w:rsid w:val="00136033"/>
    <w:rsid w:val="00136045"/>
    <w:rsid w:val="001360A4"/>
    <w:rsid w:val="001360D3"/>
    <w:rsid w:val="001360E3"/>
    <w:rsid w:val="001361C6"/>
    <w:rsid w:val="001361CD"/>
    <w:rsid w:val="001361D6"/>
    <w:rsid w:val="001361DD"/>
    <w:rsid w:val="00136220"/>
    <w:rsid w:val="0013622B"/>
    <w:rsid w:val="00136248"/>
    <w:rsid w:val="0013627C"/>
    <w:rsid w:val="001362B4"/>
    <w:rsid w:val="001362F5"/>
    <w:rsid w:val="001362F7"/>
    <w:rsid w:val="0013630A"/>
    <w:rsid w:val="00136320"/>
    <w:rsid w:val="00136370"/>
    <w:rsid w:val="0013637D"/>
    <w:rsid w:val="00136464"/>
    <w:rsid w:val="0013658F"/>
    <w:rsid w:val="00136646"/>
    <w:rsid w:val="00136648"/>
    <w:rsid w:val="00136663"/>
    <w:rsid w:val="00136682"/>
    <w:rsid w:val="0013668E"/>
    <w:rsid w:val="00136796"/>
    <w:rsid w:val="001367A2"/>
    <w:rsid w:val="001368D7"/>
    <w:rsid w:val="001368DD"/>
    <w:rsid w:val="001368EC"/>
    <w:rsid w:val="0013690C"/>
    <w:rsid w:val="00136946"/>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A6"/>
    <w:rsid w:val="00137005"/>
    <w:rsid w:val="00137075"/>
    <w:rsid w:val="001370CB"/>
    <w:rsid w:val="001370D7"/>
    <w:rsid w:val="001370EB"/>
    <w:rsid w:val="00137121"/>
    <w:rsid w:val="00137126"/>
    <w:rsid w:val="00137133"/>
    <w:rsid w:val="0013714E"/>
    <w:rsid w:val="0013717F"/>
    <w:rsid w:val="001371A8"/>
    <w:rsid w:val="001371C0"/>
    <w:rsid w:val="001371C7"/>
    <w:rsid w:val="001371E5"/>
    <w:rsid w:val="00137208"/>
    <w:rsid w:val="0013724F"/>
    <w:rsid w:val="001372AE"/>
    <w:rsid w:val="001372C7"/>
    <w:rsid w:val="001372E2"/>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59"/>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31"/>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414"/>
    <w:rsid w:val="0014043F"/>
    <w:rsid w:val="00140482"/>
    <w:rsid w:val="00140498"/>
    <w:rsid w:val="001404EC"/>
    <w:rsid w:val="0014052F"/>
    <w:rsid w:val="00140588"/>
    <w:rsid w:val="001405B4"/>
    <w:rsid w:val="001405B7"/>
    <w:rsid w:val="00140634"/>
    <w:rsid w:val="00140659"/>
    <w:rsid w:val="00140660"/>
    <w:rsid w:val="00140695"/>
    <w:rsid w:val="001406A2"/>
    <w:rsid w:val="001406D7"/>
    <w:rsid w:val="001406E5"/>
    <w:rsid w:val="00140702"/>
    <w:rsid w:val="00140780"/>
    <w:rsid w:val="00140784"/>
    <w:rsid w:val="001407A6"/>
    <w:rsid w:val="001407E4"/>
    <w:rsid w:val="001407EC"/>
    <w:rsid w:val="00140877"/>
    <w:rsid w:val="00140881"/>
    <w:rsid w:val="00140890"/>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98"/>
    <w:rsid w:val="001411E6"/>
    <w:rsid w:val="00141244"/>
    <w:rsid w:val="00141253"/>
    <w:rsid w:val="00141257"/>
    <w:rsid w:val="00141296"/>
    <w:rsid w:val="001412B3"/>
    <w:rsid w:val="0014143C"/>
    <w:rsid w:val="00141451"/>
    <w:rsid w:val="00141471"/>
    <w:rsid w:val="001414A1"/>
    <w:rsid w:val="001414B2"/>
    <w:rsid w:val="001414D0"/>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1A"/>
    <w:rsid w:val="00141F44"/>
    <w:rsid w:val="00141F71"/>
    <w:rsid w:val="00141F81"/>
    <w:rsid w:val="00141F92"/>
    <w:rsid w:val="00141FA1"/>
    <w:rsid w:val="00141FA3"/>
    <w:rsid w:val="00141FE7"/>
    <w:rsid w:val="00141FEF"/>
    <w:rsid w:val="001420E5"/>
    <w:rsid w:val="00142137"/>
    <w:rsid w:val="0014219E"/>
    <w:rsid w:val="001421E6"/>
    <w:rsid w:val="0014221C"/>
    <w:rsid w:val="0014222D"/>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729"/>
    <w:rsid w:val="00142737"/>
    <w:rsid w:val="00142787"/>
    <w:rsid w:val="00142789"/>
    <w:rsid w:val="001427A5"/>
    <w:rsid w:val="001427A8"/>
    <w:rsid w:val="001427A9"/>
    <w:rsid w:val="001427CD"/>
    <w:rsid w:val="0014280D"/>
    <w:rsid w:val="0014280F"/>
    <w:rsid w:val="00142856"/>
    <w:rsid w:val="0014286A"/>
    <w:rsid w:val="0014287F"/>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D26"/>
    <w:rsid w:val="00142E29"/>
    <w:rsid w:val="00142E52"/>
    <w:rsid w:val="00142E57"/>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3"/>
    <w:rsid w:val="00143685"/>
    <w:rsid w:val="001436BD"/>
    <w:rsid w:val="0014377C"/>
    <w:rsid w:val="00143798"/>
    <w:rsid w:val="001437BA"/>
    <w:rsid w:val="001437D8"/>
    <w:rsid w:val="00143802"/>
    <w:rsid w:val="0014382E"/>
    <w:rsid w:val="0014384D"/>
    <w:rsid w:val="001438D3"/>
    <w:rsid w:val="00143922"/>
    <w:rsid w:val="00143957"/>
    <w:rsid w:val="0014399F"/>
    <w:rsid w:val="00143A03"/>
    <w:rsid w:val="00143A28"/>
    <w:rsid w:val="00143A4D"/>
    <w:rsid w:val="00143A98"/>
    <w:rsid w:val="00143AB9"/>
    <w:rsid w:val="00143B24"/>
    <w:rsid w:val="00143B3A"/>
    <w:rsid w:val="00143B76"/>
    <w:rsid w:val="00143BAB"/>
    <w:rsid w:val="00143BD4"/>
    <w:rsid w:val="00143C54"/>
    <w:rsid w:val="00143C56"/>
    <w:rsid w:val="00143C5D"/>
    <w:rsid w:val="00143CAA"/>
    <w:rsid w:val="00143CB0"/>
    <w:rsid w:val="00143CC4"/>
    <w:rsid w:val="00143CCF"/>
    <w:rsid w:val="00143D2B"/>
    <w:rsid w:val="00143E5E"/>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1E5"/>
    <w:rsid w:val="001442C7"/>
    <w:rsid w:val="001442E4"/>
    <w:rsid w:val="0014430E"/>
    <w:rsid w:val="0014437B"/>
    <w:rsid w:val="00144416"/>
    <w:rsid w:val="00144458"/>
    <w:rsid w:val="00144497"/>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7F0"/>
    <w:rsid w:val="00144817"/>
    <w:rsid w:val="0014486E"/>
    <w:rsid w:val="001448DC"/>
    <w:rsid w:val="001448E7"/>
    <w:rsid w:val="001448F0"/>
    <w:rsid w:val="00144931"/>
    <w:rsid w:val="0014493D"/>
    <w:rsid w:val="001449F2"/>
    <w:rsid w:val="00144A6B"/>
    <w:rsid w:val="00144A6F"/>
    <w:rsid w:val="00144A91"/>
    <w:rsid w:val="00144AB0"/>
    <w:rsid w:val="00144AF1"/>
    <w:rsid w:val="00144B2A"/>
    <w:rsid w:val="00144B32"/>
    <w:rsid w:val="00144B51"/>
    <w:rsid w:val="00144C3B"/>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D3"/>
    <w:rsid w:val="00145307"/>
    <w:rsid w:val="0014536D"/>
    <w:rsid w:val="00145381"/>
    <w:rsid w:val="001453B7"/>
    <w:rsid w:val="00145437"/>
    <w:rsid w:val="00145491"/>
    <w:rsid w:val="001454A8"/>
    <w:rsid w:val="001454F9"/>
    <w:rsid w:val="00145579"/>
    <w:rsid w:val="001455CE"/>
    <w:rsid w:val="001455E3"/>
    <w:rsid w:val="00145610"/>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7E"/>
    <w:rsid w:val="00145BB7"/>
    <w:rsid w:val="00145BE3"/>
    <w:rsid w:val="00145C54"/>
    <w:rsid w:val="00145C91"/>
    <w:rsid w:val="00145C98"/>
    <w:rsid w:val="00145CA0"/>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C6"/>
    <w:rsid w:val="001460EE"/>
    <w:rsid w:val="001460F1"/>
    <w:rsid w:val="001461CC"/>
    <w:rsid w:val="001461D0"/>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39"/>
    <w:rsid w:val="00146892"/>
    <w:rsid w:val="001468A7"/>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F01"/>
    <w:rsid w:val="00146F14"/>
    <w:rsid w:val="00146F66"/>
    <w:rsid w:val="00146F83"/>
    <w:rsid w:val="00146F90"/>
    <w:rsid w:val="00146FDF"/>
    <w:rsid w:val="00146FF0"/>
    <w:rsid w:val="00146FF5"/>
    <w:rsid w:val="00147013"/>
    <w:rsid w:val="0014702F"/>
    <w:rsid w:val="00147062"/>
    <w:rsid w:val="00147077"/>
    <w:rsid w:val="001470A0"/>
    <w:rsid w:val="001470A6"/>
    <w:rsid w:val="001470C6"/>
    <w:rsid w:val="00147166"/>
    <w:rsid w:val="001471E2"/>
    <w:rsid w:val="001471FC"/>
    <w:rsid w:val="00147263"/>
    <w:rsid w:val="00147283"/>
    <w:rsid w:val="001472AE"/>
    <w:rsid w:val="001472C8"/>
    <w:rsid w:val="001472CA"/>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2B"/>
    <w:rsid w:val="00150473"/>
    <w:rsid w:val="00150475"/>
    <w:rsid w:val="0015047F"/>
    <w:rsid w:val="001504C7"/>
    <w:rsid w:val="001504FD"/>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ED"/>
    <w:rsid w:val="001509F9"/>
    <w:rsid w:val="00150A09"/>
    <w:rsid w:val="00150A16"/>
    <w:rsid w:val="00150A27"/>
    <w:rsid w:val="00150A38"/>
    <w:rsid w:val="00150A4D"/>
    <w:rsid w:val="00150A8E"/>
    <w:rsid w:val="00150A9C"/>
    <w:rsid w:val="00150AA5"/>
    <w:rsid w:val="00150BE6"/>
    <w:rsid w:val="00150C40"/>
    <w:rsid w:val="00150C49"/>
    <w:rsid w:val="00150CC6"/>
    <w:rsid w:val="00150D2C"/>
    <w:rsid w:val="00150D6D"/>
    <w:rsid w:val="00150DAB"/>
    <w:rsid w:val="00150DB7"/>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33F"/>
    <w:rsid w:val="00151368"/>
    <w:rsid w:val="0015137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AFE"/>
    <w:rsid w:val="00151B4C"/>
    <w:rsid w:val="00151B56"/>
    <w:rsid w:val="00151B96"/>
    <w:rsid w:val="00151BD4"/>
    <w:rsid w:val="00151BF7"/>
    <w:rsid w:val="00151BFD"/>
    <w:rsid w:val="00151C0B"/>
    <w:rsid w:val="00151CC6"/>
    <w:rsid w:val="00151CD5"/>
    <w:rsid w:val="00151CE0"/>
    <w:rsid w:val="00151DCF"/>
    <w:rsid w:val="00151E41"/>
    <w:rsid w:val="00151E96"/>
    <w:rsid w:val="00151ECA"/>
    <w:rsid w:val="00151EDD"/>
    <w:rsid w:val="00151EFB"/>
    <w:rsid w:val="00151F29"/>
    <w:rsid w:val="00151F58"/>
    <w:rsid w:val="00151F9F"/>
    <w:rsid w:val="00151FAC"/>
    <w:rsid w:val="00151FED"/>
    <w:rsid w:val="00152005"/>
    <w:rsid w:val="0015200E"/>
    <w:rsid w:val="00152063"/>
    <w:rsid w:val="00152069"/>
    <w:rsid w:val="001520FF"/>
    <w:rsid w:val="00152154"/>
    <w:rsid w:val="001521CE"/>
    <w:rsid w:val="001521D3"/>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8C"/>
    <w:rsid w:val="00152A91"/>
    <w:rsid w:val="00152AD9"/>
    <w:rsid w:val="00152AF5"/>
    <w:rsid w:val="00152B1E"/>
    <w:rsid w:val="00152B73"/>
    <w:rsid w:val="00152BAC"/>
    <w:rsid w:val="00152BAF"/>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29"/>
    <w:rsid w:val="00152F43"/>
    <w:rsid w:val="00152F5C"/>
    <w:rsid w:val="00152F80"/>
    <w:rsid w:val="0015300A"/>
    <w:rsid w:val="00153010"/>
    <w:rsid w:val="00153155"/>
    <w:rsid w:val="001531B9"/>
    <w:rsid w:val="001531DB"/>
    <w:rsid w:val="001531FB"/>
    <w:rsid w:val="001531FC"/>
    <w:rsid w:val="0015320A"/>
    <w:rsid w:val="0015324C"/>
    <w:rsid w:val="00153274"/>
    <w:rsid w:val="001532F3"/>
    <w:rsid w:val="00153336"/>
    <w:rsid w:val="001534A1"/>
    <w:rsid w:val="001534CF"/>
    <w:rsid w:val="0015352C"/>
    <w:rsid w:val="00153555"/>
    <w:rsid w:val="00153572"/>
    <w:rsid w:val="001535B1"/>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80"/>
    <w:rsid w:val="001539AE"/>
    <w:rsid w:val="00153A48"/>
    <w:rsid w:val="00153A61"/>
    <w:rsid w:val="00153AA6"/>
    <w:rsid w:val="00153AAD"/>
    <w:rsid w:val="00153AF0"/>
    <w:rsid w:val="00153B00"/>
    <w:rsid w:val="00153B19"/>
    <w:rsid w:val="00153B30"/>
    <w:rsid w:val="00153B43"/>
    <w:rsid w:val="00153B45"/>
    <w:rsid w:val="00153B60"/>
    <w:rsid w:val="00153B6D"/>
    <w:rsid w:val="00153B7C"/>
    <w:rsid w:val="00153B89"/>
    <w:rsid w:val="00153BCC"/>
    <w:rsid w:val="00153BD6"/>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0"/>
    <w:rsid w:val="00154655"/>
    <w:rsid w:val="00154663"/>
    <w:rsid w:val="001546D1"/>
    <w:rsid w:val="001546D6"/>
    <w:rsid w:val="00154712"/>
    <w:rsid w:val="00154784"/>
    <w:rsid w:val="001547BD"/>
    <w:rsid w:val="001547EF"/>
    <w:rsid w:val="001547FB"/>
    <w:rsid w:val="0015483A"/>
    <w:rsid w:val="00154895"/>
    <w:rsid w:val="001548DC"/>
    <w:rsid w:val="001548F6"/>
    <w:rsid w:val="00154958"/>
    <w:rsid w:val="0015499C"/>
    <w:rsid w:val="001549D0"/>
    <w:rsid w:val="00154A20"/>
    <w:rsid w:val="00154AA0"/>
    <w:rsid w:val="00154AD1"/>
    <w:rsid w:val="00154ADF"/>
    <w:rsid w:val="00154B17"/>
    <w:rsid w:val="00154B91"/>
    <w:rsid w:val="00154BFE"/>
    <w:rsid w:val="00154C43"/>
    <w:rsid w:val="00154C4B"/>
    <w:rsid w:val="00154C6E"/>
    <w:rsid w:val="00154C92"/>
    <w:rsid w:val="00154C93"/>
    <w:rsid w:val="00154CA2"/>
    <w:rsid w:val="00154DA5"/>
    <w:rsid w:val="00154DA6"/>
    <w:rsid w:val="00154DC7"/>
    <w:rsid w:val="00154DF9"/>
    <w:rsid w:val="00154E5C"/>
    <w:rsid w:val="00154E70"/>
    <w:rsid w:val="00154E7B"/>
    <w:rsid w:val="00154EAB"/>
    <w:rsid w:val="00154F2D"/>
    <w:rsid w:val="00154F68"/>
    <w:rsid w:val="00154F70"/>
    <w:rsid w:val="00155047"/>
    <w:rsid w:val="00155085"/>
    <w:rsid w:val="001550FD"/>
    <w:rsid w:val="0015510E"/>
    <w:rsid w:val="00155122"/>
    <w:rsid w:val="001551C3"/>
    <w:rsid w:val="00155236"/>
    <w:rsid w:val="00155275"/>
    <w:rsid w:val="0015532F"/>
    <w:rsid w:val="001553DC"/>
    <w:rsid w:val="00155444"/>
    <w:rsid w:val="00155498"/>
    <w:rsid w:val="001554AB"/>
    <w:rsid w:val="001554AF"/>
    <w:rsid w:val="001554C6"/>
    <w:rsid w:val="001554D8"/>
    <w:rsid w:val="001555AD"/>
    <w:rsid w:val="001555F4"/>
    <w:rsid w:val="00155650"/>
    <w:rsid w:val="00155675"/>
    <w:rsid w:val="001556FF"/>
    <w:rsid w:val="0015574D"/>
    <w:rsid w:val="00155756"/>
    <w:rsid w:val="0015578B"/>
    <w:rsid w:val="001557DE"/>
    <w:rsid w:val="001557FA"/>
    <w:rsid w:val="00155828"/>
    <w:rsid w:val="00155880"/>
    <w:rsid w:val="00155889"/>
    <w:rsid w:val="0015596D"/>
    <w:rsid w:val="001559A1"/>
    <w:rsid w:val="001559B2"/>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7B"/>
    <w:rsid w:val="00155EB9"/>
    <w:rsid w:val="00155F00"/>
    <w:rsid w:val="00155F07"/>
    <w:rsid w:val="00155F42"/>
    <w:rsid w:val="00155F4B"/>
    <w:rsid w:val="00155F51"/>
    <w:rsid w:val="00155F87"/>
    <w:rsid w:val="00156021"/>
    <w:rsid w:val="00156059"/>
    <w:rsid w:val="001560C0"/>
    <w:rsid w:val="001560D3"/>
    <w:rsid w:val="001560D4"/>
    <w:rsid w:val="001560F6"/>
    <w:rsid w:val="00156188"/>
    <w:rsid w:val="001561CC"/>
    <w:rsid w:val="0015622A"/>
    <w:rsid w:val="0015623D"/>
    <w:rsid w:val="00156284"/>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62F"/>
    <w:rsid w:val="00156639"/>
    <w:rsid w:val="001566AB"/>
    <w:rsid w:val="00156704"/>
    <w:rsid w:val="0015671A"/>
    <w:rsid w:val="00156746"/>
    <w:rsid w:val="0015676C"/>
    <w:rsid w:val="00156781"/>
    <w:rsid w:val="00156784"/>
    <w:rsid w:val="001567A7"/>
    <w:rsid w:val="0015691C"/>
    <w:rsid w:val="0015693A"/>
    <w:rsid w:val="0015695E"/>
    <w:rsid w:val="0015697E"/>
    <w:rsid w:val="001569BB"/>
    <w:rsid w:val="001569C1"/>
    <w:rsid w:val="001569C2"/>
    <w:rsid w:val="00156A32"/>
    <w:rsid w:val="00156A38"/>
    <w:rsid w:val="00156A72"/>
    <w:rsid w:val="00156AB3"/>
    <w:rsid w:val="00156AC7"/>
    <w:rsid w:val="00156AD6"/>
    <w:rsid w:val="00156B14"/>
    <w:rsid w:val="00156B98"/>
    <w:rsid w:val="00156C43"/>
    <w:rsid w:val="00156C8B"/>
    <w:rsid w:val="00156CEC"/>
    <w:rsid w:val="00156D68"/>
    <w:rsid w:val="00156D97"/>
    <w:rsid w:val="00156DB4"/>
    <w:rsid w:val="00156DF9"/>
    <w:rsid w:val="00156E04"/>
    <w:rsid w:val="00156E32"/>
    <w:rsid w:val="00156E85"/>
    <w:rsid w:val="00156EEF"/>
    <w:rsid w:val="00156F16"/>
    <w:rsid w:val="00156F2C"/>
    <w:rsid w:val="00156F62"/>
    <w:rsid w:val="00156FCF"/>
    <w:rsid w:val="00156FF7"/>
    <w:rsid w:val="00157069"/>
    <w:rsid w:val="00157076"/>
    <w:rsid w:val="0015709B"/>
    <w:rsid w:val="00157126"/>
    <w:rsid w:val="0015715E"/>
    <w:rsid w:val="00157180"/>
    <w:rsid w:val="00157182"/>
    <w:rsid w:val="0015718F"/>
    <w:rsid w:val="00157198"/>
    <w:rsid w:val="001571D3"/>
    <w:rsid w:val="001571DC"/>
    <w:rsid w:val="00157207"/>
    <w:rsid w:val="00157299"/>
    <w:rsid w:val="001572AE"/>
    <w:rsid w:val="001572DA"/>
    <w:rsid w:val="001572EC"/>
    <w:rsid w:val="001572FB"/>
    <w:rsid w:val="00157354"/>
    <w:rsid w:val="00157356"/>
    <w:rsid w:val="0015735D"/>
    <w:rsid w:val="001573B4"/>
    <w:rsid w:val="001573BB"/>
    <w:rsid w:val="001573CA"/>
    <w:rsid w:val="00157486"/>
    <w:rsid w:val="00157508"/>
    <w:rsid w:val="0015751C"/>
    <w:rsid w:val="00157522"/>
    <w:rsid w:val="0015752E"/>
    <w:rsid w:val="00157545"/>
    <w:rsid w:val="0015756D"/>
    <w:rsid w:val="00157572"/>
    <w:rsid w:val="001575B6"/>
    <w:rsid w:val="0015765C"/>
    <w:rsid w:val="00157664"/>
    <w:rsid w:val="0015768C"/>
    <w:rsid w:val="001576AA"/>
    <w:rsid w:val="001576AE"/>
    <w:rsid w:val="001576C4"/>
    <w:rsid w:val="001576E1"/>
    <w:rsid w:val="00157711"/>
    <w:rsid w:val="00157729"/>
    <w:rsid w:val="00157746"/>
    <w:rsid w:val="00157788"/>
    <w:rsid w:val="001577A5"/>
    <w:rsid w:val="001577A6"/>
    <w:rsid w:val="001577DE"/>
    <w:rsid w:val="00157822"/>
    <w:rsid w:val="00157850"/>
    <w:rsid w:val="00157872"/>
    <w:rsid w:val="001578F8"/>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B7"/>
    <w:rsid w:val="001600D3"/>
    <w:rsid w:val="001600FF"/>
    <w:rsid w:val="0016011B"/>
    <w:rsid w:val="00160184"/>
    <w:rsid w:val="001601A8"/>
    <w:rsid w:val="001601BE"/>
    <w:rsid w:val="001601C8"/>
    <w:rsid w:val="001601E3"/>
    <w:rsid w:val="001601F1"/>
    <w:rsid w:val="00160217"/>
    <w:rsid w:val="0016021C"/>
    <w:rsid w:val="00160244"/>
    <w:rsid w:val="00160275"/>
    <w:rsid w:val="0016027E"/>
    <w:rsid w:val="001602C3"/>
    <w:rsid w:val="001602F3"/>
    <w:rsid w:val="001603B0"/>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48"/>
    <w:rsid w:val="0016097D"/>
    <w:rsid w:val="001609B9"/>
    <w:rsid w:val="001609E3"/>
    <w:rsid w:val="00160A2B"/>
    <w:rsid w:val="00160A2C"/>
    <w:rsid w:val="00160A5D"/>
    <w:rsid w:val="00160AE3"/>
    <w:rsid w:val="00160B60"/>
    <w:rsid w:val="00160B80"/>
    <w:rsid w:val="00160B85"/>
    <w:rsid w:val="00160C02"/>
    <w:rsid w:val="00160C05"/>
    <w:rsid w:val="00160C49"/>
    <w:rsid w:val="00160C6E"/>
    <w:rsid w:val="00160CC0"/>
    <w:rsid w:val="00160D3C"/>
    <w:rsid w:val="00160DE2"/>
    <w:rsid w:val="00160E12"/>
    <w:rsid w:val="00160E23"/>
    <w:rsid w:val="00160E79"/>
    <w:rsid w:val="00160E81"/>
    <w:rsid w:val="00160ECA"/>
    <w:rsid w:val="00160EF5"/>
    <w:rsid w:val="00160F54"/>
    <w:rsid w:val="00160F77"/>
    <w:rsid w:val="00160F7B"/>
    <w:rsid w:val="00160FAF"/>
    <w:rsid w:val="0016100C"/>
    <w:rsid w:val="001610A3"/>
    <w:rsid w:val="001610E7"/>
    <w:rsid w:val="00161103"/>
    <w:rsid w:val="00161123"/>
    <w:rsid w:val="00161190"/>
    <w:rsid w:val="001611A6"/>
    <w:rsid w:val="001611E7"/>
    <w:rsid w:val="0016120E"/>
    <w:rsid w:val="00161233"/>
    <w:rsid w:val="00161245"/>
    <w:rsid w:val="00161295"/>
    <w:rsid w:val="001612B7"/>
    <w:rsid w:val="00161389"/>
    <w:rsid w:val="001613CE"/>
    <w:rsid w:val="00161409"/>
    <w:rsid w:val="00161413"/>
    <w:rsid w:val="00161448"/>
    <w:rsid w:val="0016145B"/>
    <w:rsid w:val="001614C4"/>
    <w:rsid w:val="001614D2"/>
    <w:rsid w:val="00161502"/>
    <w:rsid w:val="001615A7"/>
    <w:rsid w:val="001615F6"/>
    <w:rsid w:val="0016163F"/>
    <w:rsid w:val="001616EC"/>
    <w:rsid w:val="0016171E"/>
    <w:rsid w:val="00161726"/>
    <w:rsid w:val="00161736"/>
    <w:rsid w:val="001617A4"/>
    <w:rsid w:val="001617AF"/>
    <w:rsid w:val="0016181A"/>
    <w:rsid w:val="0016182A"/>
    <w:rsid w:val="0016183A"/>
    <w:rsid w:val="00161848"/>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82"/>
    <w:rsid w:val="00161B90"/>
    <w:rsid w:val="00161C03"/>
    <w:rsid w:val="00161C06"/>
    <w:rsid w:val="00161C33"/>
    <w:rsid w:val="00161C3C"/>
    <w:rsid w:val="00161C54"/>
    <w:rsid w:val="00161C7F"/>
    <w:rsid w:val="00161CD5"/>
    <w:rsid w:val="00161D7D"/>
    <w:rsid w:val="00161E9D"/>
    <w:rsid w:val="00161F15"/>
    <w:rsid w:val="00161F37"/>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3FD"/>
    <w:rsid w:val="00162428"/>
    <w:rsid w:val="00162489"/>
    <w:rsid w:val="001624F7"/>
    <w:rsid w:val="0016253E"/>
    <w:rsid w:val="001625BA"/>
    <w:rsid w:val="00162606"/>
    <w:rsid w:val="00162607"/>
    <w:rsid w:val="0016260D"/>
    <w:rsid w:val="0016267E"/>
    <w:rsid w:val="001626CF"/>
    <w:rsid w:val="00162731"/>
    <w:rsid w:val="0016278D"/>
    <w:rsid w:val="0016279B"/>
    <w:rsid w:val="00162832"/>
    <w:rsid w:val="0016289C"/>
    <w:rsid w:val="001628FF"/>
    <w:rsid w:val="00162901"/>
    <w:rsid w:val="00162922"/>
    <w:rsid w:val="0016298D"/>
    <w:rsid w:val="00162997"/>
    <w:rsid w:val="00162998"/>
    <w:rsid w:val="0016299C"/>
    <w:rsid w:val="001629B0"/>
    <w:rsid w:val="001629D0"/>
    <w:rsid w:val="001629FA"/>
    <w:rsid w:val="00162A4A"/>
    <w:rsid w:val="00162A8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11"/>
    <w:rsid w:val="00162F52"/>
    <w:rsid w:val="00162F7C"/>
    <w:rsid w:val="00162F81"/>
    <w:rsid w:val="00162FAC"/>
    <w:rsid w:val="00163025"/>
    <w:rsid w:val="00163054"/>
    <w:rsid w:val="001630D4"/>
    <w:rsid w:val="001630EB"/>
    <w:rsid w:val="001630F7"/>
    <w:rsid w:val="001631CB"/>
    <w:rsid w:val="001631DB"/>
    <w:rsid w:val="001631E0"/>
    <w:rsid w:val="00163228"/>
    <w:rsid w:val="00163284"/>
    <w:rsid w:val="001632A3"/>
    <w:rsid w:val="001632B3"/>
    <w:rsid w:val="001632B8"/>
    <w:rsid w:val="001632C7"/>
    <w:rsid w:val="00163329"/>
    <w:rsid w:val="00163332"/>
    <w:rsid w:val="0016335C"/>
    <w:rsid w:val="00163366"/>
    <w:rsid w:val="00163370"/>
    <w:rsid w:val="00163375"/>
    <w:rsid w:val="001633D2"/>
    <w:rsid w:val="001633E0"/>
    <w:rsid w:val="001633F1"/>
    <w:rsid w:val="00163465"/>
    <w:rsid w:val="00163491"/>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F5"/>
    <w:rsid w:val="0016375D"/>
    <w:rsid w:val="001637AD"/>
    <w:rsid w:val="001637C2"/>
    <w:rsid w:val="001637EF"/>
    <w:rsid w:val="0016383A"/>
    <w:rsid w:val="0016389A"/>
    <w:rsid w:val="001638B6"/>
    <w:rsid w:val="001638C6"/>
    <w:rsid w:val="001638E9"/>
    <w:rsid w:val="0016393C"/>
    <w:rsid w:val="00163986"/>
    <w:rsid w:val="00163992"/>
    <w:rsid w:val="00163A14"/>
    <w:rsid w:val="00163A4B"/>
    <w:rsid w:val="00163AA2"/>
    <w:rsid w:val="00163AB3"/>
    <w:rsid w:val="00163AF0"/>
    <w:rsid w:val="00163B04"/>
    <w:rsid w:val="00163B11"/>
    <w:rsid w:val="00163B2D"/>
    <w:rsid w:val="00163B45"/>
    <w:rsid w:val="00163B77"/>
    <w:rsid w:val="00163BB0"/>
    <w:rsid w:val="00163BF6"/>
    <w:rsid w:val="00163C09"/>
    <w:rsid w:val="00163C3E"/>
    <w:rsid w:val="00163C5F"/>
    <w:rsid w:val="00163CA5"/>
    <w:rsid w:val="00163CBC"/>
    <w:rsid w:val="00163D02"/>
    <w:rsid w:val="00163D80"/>
    <w:rsid w:val="00163D8D"/>
    <w:rsid w:val="00163D91"/>
    <w:rsid w:val="00163DC3"/>
    <w:rsid w:val="00163EA0"/>
    <w:rsid w:val="00163EA9"/>
    <w:rsid w:val="00163F21"/>
    <w:rsid w:val="00163F2E"/>
    <w:rsid w:val="00163F46"/>
    <w:rsid w:val="00164076"/>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21"/>
    <w:rsid w:val="0016489E"/>
    <w:rsid w:val="001648B5"/>
    <w:rsid w:val="001648C7"/>
    <w:rsid w:val="001648FA"/>
    <w:rsid w:val="00164903"/>
    <w:rsid w:val="00164915"/>
    <w:rsid w:val="0016491C"/>
    <w:rsid w:val="00164974"/>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DA6"/>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6F"/>
    <w:rsid w:val="00165770"/>
    <w:rsid w:val="0016579E"/>
    <w:rsid w:val="001657A4"/>
    <w:rsid w:val="001657CD"/>
    <w:rsid w:val="00165856"/>
    <w:rsid w:val="0016588C"/>
    <w:rsid w:val="001658FC"/>
    <w:rsid w:val="0016591E"/>
    <w:rsid w:val="00165945"/>
    <w:rsid w:val="00165988"/>
    <w:rsid w:val="001659B2"/>
    <w:rsid w:val="00165A64"/>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5E"/>
    <w:rsid w:val="00165F87"/>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3DF"/>
    <w:rsid w:val="0016643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BF"/>
    <w:rsid w:val="001666F1"/>
    <w:rsid w:val="001667AF"/>
    <w:rsid w:val="001667BC"/>
    <w:rsid w:val="00166810"/>
    <w:rsid w:val="0016686A"/>
    <w:rsid w:val="0016688E"/>
    <w:rsid w:val="001668AC"/>
    <w:rsid w:val="001668CD"/>
    <w:rsid w:val="00166964"/>
    <w:rsid w:val="001669B6"/>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00"/>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6"/>
    <w:rsid w:val="001674AB"/>
    <w:rsid w:val="00167507"/>
    <w:rsid w:val="0016750E"/>
    <w:rsid w:val="0016750F"/>
    <w:rsid w:val="00167524"/>
    <w:rsid w:val="00167551"/>
    <w:rsid w:val="00167552"/>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7D"/>
    <w:rsid w:val="00167881"/>
    <w:rsid w:val="00167891"/>
    <w:rsid w:val="001678AE"/>
    <w:rsid w:val="00167901"/>
    <w:rsid w:val="0016791F"/>
    <w:rsid w:val="00167983"/>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E07"/>
    <w:rsid w:val="00167E16"/>
    <w:rsid w:val="00167E37"/>
    <w:rsid w:val="00167E3D"/>
    <w:rsid w:val="00167E4B"/>
    <w:rsid w:val="00167E50"/>
    <w:rsid w:val="00167EBC"/>
    <w:rsid w:val="00167F11"/>
    <w:rsid w:val="00167F51"/>
    <w:rsid w:val="00167FC6"/>
    <w:rsid w:val="00167FE6"/>
    <w:rsid w:val="00167FEB"/>
    <w:rsid w:val="00170011"/>
    <w:rsid w:val="00170059"/>
    <w:rsid w:val="001700C5"/>
    <w:rsid w:val="001700CA"/>
    <w:rsid w:val="00170108"/>
    <w:rsid w:val="0017017F"/>
    <w:rsid w:val="00170187"/>
    <w:rsid w:val="001701BF"/>
    <w:rsid w:val="001701FC"/>
    <w:rsid w:val="00170248"/>
    <w:rsid w:val="001702B3"/>
    <w:rsid w:val="0017036B"/>
    <w:rsid w:val="001703BB"/>
    <w:rsid w:val="001703D4"/>
    <w:rsid w:val="00170408"/>
    <w:rsid w:val="00170427"/>
    <w:rsid w:val="001704A4"/>
    <w:rsid w:val="00170541"/>
    <w:rsid w:val="001705D2"/>
    <w:rsid w:val="001705D9"/>
    <w:rsid w:val="001705DD"/>
    <w:rsid w:val="00170627"/>
    <w:rsid w:val="00170629"/>
    <w:rsid w:val="0017063F"/>
    <w:rsid w:val="00170688"/>
    <w:rsid w:val="00170693"/>
    <w:rsid w:val="001706A2"/>
    <w:rsid w:val="001706BF"/>
    <w:rsid w:val="001706E2"/>
    <w:rsid w:val="0017073A"/>
    <w:rsid w:val="001707C3"/>
    <w:rsid w:val="00170824"/>
    <w:rsid w:val="0017084F"/>
    <w:rsid w:val="00170894"/>
    <w:rsid w:val="00170952"/>
    <w:rsid w:val="001709EA"/>
    <w:rsid w:val="001709FA"/>
    <w:rsid w:val="001709FD"/>
    <w:rsid w:val="00170A52"/>
    <w:rsid w:val="00170AD5"/>
    <w:rsid w:val="00170B6E"/>
    <w:rsid w:val="00170B76"/>
    <w:rsid w:val="00170BFA"/>
    <w:rsid w:val="00170C1E"/>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F1"/>
    <w:rsid w:val="0017139C"/>
    <w:rsid w:val="0017147D"/>
    <w:rsid w:val="00171531"/>
    <w:rsid w:val="0017153F"/>
    <w:rsid w:val="0017158F"/>
    <w:rsid w:val="001715AA"/>
    <w:rsid w:val="001715B6"/>
    <w:rsid w:val="0017164F"/>
    <w:rsid w:val="0017166A"/>
    <w:rsid w:val="0017167A"/>
    <w:rsid w:val="001716C6"/>
    <w:rsid w:val="0017173F"/>
    <w:rsid w:val="00171752"/>
    <w:rsid w:val="0017176C"/>
    <w:rsid w:val="00171788"/>
    <w:rsid w:val="001717BA"/>
    <w:rsid w:val="001717F6"/>
    <w:rsid w:val="00171800"/>
    <w:rsid w:val="00171837"/>
    <w:rsid w:val="00171867"/>
    <w:rsid w:val="00171873"/>
    <w:rsid w:val="0017189F"/>
    <w:rsid w:val="00171917"/>
    <w:rsid w:val="00171918"/>
    <w:rsid w:val="00171929"/>
    <w:rsid w:val="00171977"/>
    <w:rsid w:val="0017199A"/>
    <w:rsid w:val="001719B8"/>
    <w:rsid w:val="001719E1"/>
    <w:rsid w:val="001719F0"/>
    <w:rsid w:val="00171AD6"/>
    <w:rsid w:val="00171B29"/>
    <w:rsid w:val="00171B78"/>
    <w:rsid w:val="00171B97"/>
    <w:rsid w:val="00171C13"/>
    <w:rsid w:val="00171C46"/>
    <w:rsid w:val="00171CA1"/>
    <w:rsid w:val="00171CB2"/>
    <w:rsid w:val="00171CCC"/>
    <w:rsid w:val="00171CDE"/>
    <w:rsid w:val="00171CF9"/>
    <w:rsid w:val="00171D87"/>
    <w:rsid w:val="00171D8C"/>
    <w:rsid w:val="00171DAA"/>
    <w:rsid w:val="00171DB1"/>
    <w:rsid w:val="00171DEA"/>
    <w:rsid w:val="00171E4D"/>
    <w:rsid w:val="00171E66"/>
    <w:rsid w:val="00171E89"/>
    <w:rsid w:val="00171F27"/>
    <w:rsid w:val="00171FCE"/>
    <w:rsid w:val="0017202F"/>
    <w:rsid w:val="0017203E"/>
    <w:rsid w:val="0017209C"/>
    <w:rsid w:val="001720F9"/>
    <w:rsid w:val="001720FA"/>
    <w:rsid w:val="0017215F"/>
    <w:rsid w:val="00172189"/>
    <w:rsid w:val="0017219D"/>
    <w:rsid w:val="001721D7"/>
    <w:rsid w:val="00172299"/>
    <w:rsid w:val="00172305"/>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20"/>
    <w:rsid w:val="0017285D"/>
    <w:rsid w:val="001728B3"/>
    <w:rsid w:val="001728BC"/>
    <w:rsid w:val="001728D2"/>
    <w:rsid w:val="0017295C"/>
    <w:rsid w:val="00172991"/>
    <w:rsid w:val="001729AB"/>
    <w:rsid w:val="001729C6"/>
    <w:rsid w:val="001729E8"/>
    <w:rsid w:val="001729FB"/>
    <w:rsid w:val="00172A0F"/>
    <w:rsid w:val="00172A52"/>
    <w:rsid w:val="00172A6D"/>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A5"/>
    <w:rsid w:val="00172FC2"/>
    <w:rsid w:val="00172FD1"/>
    <w:rsid w:val="00172FF1"/>
    <w:rsid w:val="0017303A"/>
    <w:rsid w:val="00173125"/>
    <w:rsid w:val="001731F1"/>
    <w:rsid w:val="00173271"/>
    <w:rsid w:val="001732AF"/>
    <w:rsid w:val="00173332"/>
    <w:rsid w:val="0017334D"/>
    <w:rsid w:val="00173403"/>
    <w:rsid w:val="001734BF"/>
    <w:rsid w:val="00173500"/>
    <w:rsid w:val="0017352D"/>
    <w:rsid w:val="00173541"/>
    <w:rsid w:val="001735FD"/>
    <w:rsid w:val="0017361F"/>
    <w:rsid w:val="0017365D"/>
    <w:rsid w:val="0017368E"/>
    <w:rsid w:val="001736BB"/>
    <w:rsid w:val="001736CA"/>
    <w:rsid w:val="001736E2"/>
    <w:rsid w:val="001736E8"/>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7A"/>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A8"/>
    <w:rsid w:val="001740DF"/>
    <w:rsid w:val="00174113"/>
    <w:rsid w:val="00174125"/>
    <w:rsid w:val="0017414C"/>
    <w:rsid w:val="001741A4"/>
    <w:rsid w:val="001741E7"/>
    <w:rsid w:val="001741EA"/>
    <w:rsid w:val="0017422D"/>
    <w:rsid w:val="0017423F"/>
    <w:rsid w:val="00174279"/>
    <w:rsid w:val="001742F0"/>
    <w:rsid w:val="001742FF"/>
    <w:rsid w:val="00174351"/>
    <w:rsid w:val="00174381"/>
    <w:rsid w:val="0017439F"/>
    <w:rsid w:val="001743D9"/>
    <w:rsid w:val="0017442D"/>
    <w:rsid w:val="00174437"/>
    <w:rsid w:val="001744D3"/>
    <w:rsid w:val="0017458C"/>
    <w:rsid w:val="00174627"/>
    <w:rsid w:val="001746A6"/>
    <w:rsid w:val="001746A9"/>
    <w:rsid w:val="001746B8"/>
    <w:rsid w:val="001746F5"/>
    <w:rsid w:val="00174713"/>
    <w:rsid w:val="00174733"/>
    <w:rsid w:val="001747AD"/>
    <w:rsid w:val="001747B4"/>
    <w:rsid w:val="001747F0"/>
    <w:rsid w:val="00174813"/>
    <w:rsid w:val="00174828"/>
    <w:rsid w:val="00174878"/>
    <w:rsid w:val="00174879"/>
    <w:rsid w:val="0017488E"/>
    <w:rsid w:val="001748C3"/>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7A"/>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D3"/>
    <w:rsid w:val="001751E3"/>
    <w:rsid w:val="0017522D"/>
    <w:rsid w:val="00175235"/>
    <w:rsid w:val="00175279"/>
    <w:rsid w:val="00175284"/>
    <w:rsid w:val="001752C2"/>
    <w:rsid w:val="001752EC"/>
    <w:rsid w:val="0017536C"/>
    <w:rsid w:val="00175389"/>
    <w:rsid w:val="00175420"/>
    <w:rsid w:val="001754A1"/>
    <w:rsid w:val="001754D9"/>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B3"/>
    <w:rsid w:val="00175ACB"/>
    <w:rsid w:val="00175ADF"/>
    <w:rsid w:val="00175B11"/>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5E"/>
    <w:rsid w:val="00175E77"/>
    <w:rsid w:val="00175EA7"/>
    <w:rsid w:val="00175EBC"/>
    <w:rsid w:val="00175ED4"/>
    <w:rsid w:val="00175EF1"/>
    <w:rsid w:val="00175F20"/>
    <w:rsid w:val="00175F5B"/>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5C7"/>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9D"/>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CC"/>
    <w:rsid w:val="001772CD"/>
    <w:rsid w:val="00177308"/>
    <w:rsid w:val="00177331"/>
    <w:rsid w:val="00177414"/>
    <w:rsid w:val="00177450"/>
    <w:rsid w:val="0017745F"/>
    <w:rsid w:val="00177480"/>
    <w:rsid w:val="001774D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31"/>
    <w:rsid w:val="00177975"/>
    <w:rsid w:val="001779C4"/>
    <w:rsid w:val="001779FC"/>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40"/>
    <w:rsid w:val="00177D6C"/>
    <w:rsid w:val="00177E2D"/>
    <w:rsid w:val="00177E76"/>
    <w:rsid w:val="00177EF4"/>
    <w:rsid w:val="00177F22"/>
    <w:rsid w:val="00177FC4"/>
    <w:rsid w:val="00180012"/>
    <w:rsid w:val="001800FC"/>
    <w:rsid w:val="00180120"/>
    <w:rsid w:val="0018015C"/>
    <w:rsid w:val="0018016F"/>
    <w:rsid w:val="00180175"/>
    <w:rsid w:val="0018024D"/>
    <w:rsid w:val="00180260"/>
    <w:rsid w:val="00180285"/>
    <w:rsid w:val="001802CA"/>
    <w:rsid w:val="001802D3"/>
    <w:rsid w:val="00180319"/>
    <w:rsid w:val="0018032D"/>
    <w:rsid w:val="00180330"/>
    <w:rsid w:val="0018039F"/>
    <w:rsid w:val="001803BA"/>
    <w:rsid w:val="00180459"/>
    <w:rsid w:val="0018047A"/>
    <w:rsid w:val="00180480"/>
    <w:rsid w:val="00180499"/>
    <w:rsid w:val="00180543"/>
    <w:rsid w:val="00180586"/>
    <w:rsid w:val="0018059C"/>
    <w:rsid w:val="001805A4"/>
    <w:rsid w:val="001805BC"/>
    <w:rsid w:val="001805F1"/>
    <w:rsid w:val="0018064E"/>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A87"/>
    <w:rsid w:val="00180B17"/>
    <w:rsid w:val="00180BC8"/>
    <w:rsid w:val="00180BE2"/>
    <w:rsid w:val="00180C48"/>
    <w:rsid w:val="00180CFB"/>
    <w:rsid w:val="00180D01"/>
    <w:rsid w:val="00180D57"/>
    <w:rsid w:val="00180DC5"/>
    <w:rsid w:val="00180DE6"/>
    <w:rsid w:val="00180E63"/>
    <w:rsid w:val="00180EB6"/>
    <w:rsid w:val="00180EC9"/>
    <w:rsid w:val="00180EE5"/>
    <w:rsid w:val="00180F1F"/>
    <w:rsid w:val="00180F3C"/>
    <w:rsid w:val="00180FB9"/>
    <w:rsid w:val="00180FC0"/>
    <w:rsid w:val="00180FDF"/>
    <w:rsid w:val="00180FE1"/>
    <w:rsid w:val="00181001"/>
    <w:rsid w:val="00181037"/>
    <w:rsid w:val="001810CC"/>
    <w:rsid w:val="001810E1"/>
    <w:rsid w:val="0018111E"/>
    <w:rsid w:val="001811AA"/>
    <w:rsid w:val="001811B6"/>
    <w:rsid w:val="001811C0"/>
    <w:rsid w:val="001811E7"/>
    <w:rsid w:val="00181208"/>
    <w:rsid w:val="00181215"/>
    <w:rsid w:val="00181230"/>
    <w:rsid w:val="00181259"/>
    <w:rsid w:val="00181295"/>
    <w:rsid w:val="0018129F"/>
    <w:rsid w:val="001812B9"/>
    <w:rsid w:val="001812C1"/>
    <w:rsid w:val="001812D4"/>
    <w:rsid w:val="00181308"/>
    <w:rsid w:val="0018131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909"/>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E26"/>
    <w:rsid w:val="00181E2D"/>
    <w:rsid w:val="00181E68"/>
    <w:rsid w:val="00181ED3"/>
    <w:rsid w:val="00181EE8"/>
    <w:rsid w:val="00181F2B"/>
    <w:rsid w:val="00181F2E"/>
    <w:rsid w:val="00181F64"/>
    <w:rsid w:val="00181FAA"/>
    <w:rsid w:val="00181FE4"/>
    <w:rsid w:val="00182009"/>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82"/>
    <w:rsid w:val="00182197"/>
    <w:rsid w:val="001821AC"/>
    <w:rsid w:val="001821AD"/>
    <w:rsid w:val="001821C9"/>
    <w:rsid w:val="001821D3"/>
    <w:rsid w:val="0018224A"/>
    <w:rsid w:val="0018227C"/>
    <w:rsid w:val="00182295"/>
    <w:rsid w:val="001822E2"/>
    <w:rsid w:val="001822F0"/>
    <w:rsid w:val="00182341"/>
    <w:rsid w:val="00182359"/>
    <w:rsid w:val="00182365"/>
    <w:rsid w:val="00182394"/>
    <w:rsid w:val="0018239D"/>
    <w:rsid w:val="00182450"/>
    <w:rsid w:val="001824BB"/>
    <w:rsid w:val="001824FE"/>
    <w:rsid w:val="00182513"/>
    <w:rsid w:val="0018258F"/>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FB"/>
    <w:rsid w:val="00182AFF"/>
    <w:rsid w:val="00182B3E"/>
    <w:rsid w:val="00182BB1"/>
    <w:rsid w:val="00182C09"/>
    <w:rsid w:val="00182C0B"/>
    <w:rsid w:val="00182C35"/>
    <w:rsid w:val="00182C3D"/>
    <w:rsid w:val="00182C3F"/>
    <w:rsid w:val="00182C59"/>
    <w:rsid w:val="00182C67"/>
    <w:rsid w:val="00182CA5"/>
    <w:rsid w:val="00182CB8"/>
    <w:rsid w:val="00182CFB"/>
    <w:rsid w:val="00182DB1"/>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9"/>
    <w:rsid w:val="0018392E"/>
    <w:rsid w:val="00183957"/>
    <w:rsid w:val="001839AA"/>
    <w:rsid w:val="001839B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68"/>
    <w:rsid w:val="00183F84"/>
    <w:rsid w:val="00183FA8"/>
    <w:rsid w:val="00183FCC"/>
    <w:rsid w:val="00184046"/>
    <w:rsid w:val="0018407C"/>
    <w:rsid w:val="00184174"/>
    <w:rsid w:val="00184196"/>
    <w:rsid w:val="001841C5"/>
    <w:rsid w:val="0018426C"/>
    <w:rsid w:val="0018428B"/>
    <w:rsid w:val="001842CC"/>
    <w:rsid w:val="00184313"/>
    <w:rsid w:val="0018434E"/>
    <w:rsid w:val="0018439C"/>
    <w:rsid w:val="001843E1"/>
    <w:rsid w:val="001843EC"/>
    <w:rsid w:val="00184409"/>
    <w:rsid w:val="0018441A"/>
    <w:rsid w:val="00184443"/>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B"/>
    <w:rsid w:val="00184818"/>
    <w:rsid w:val="0018489A"/>
    <w:rsid w:val="00184932"/>
    <w:rsid w:val="001849C9"/>
    <w:rsid w:val="001849EA"/>
    <w:rsid w:val="00184A4E"/>
    <w:rsid w:val="00184AB9"/>
    <w:rsid w:val="00184AFF"/>
    <w:rsid w:val="00184B2F"/>
    <w:rsid w:val="00184BE4"/>
    <w:rsid w:val="00184BE5"/>
    <w:rsid w:val="00184C0B"/>
    <w:rsid w:val="00184C36"/>
    <w:rsid w:val="00184C6A"/>
    <w:rsid w:val="00184CB9"/>
    <w:rsid w:val="00184CC6"/>
    <w:rsid w:val="00184D34"/>
    <w:rsid w:val="00184D5F"/>
    <w:rsid w:val="00184E45"/>
    <w:rsid w:val="00184E4D"/>
    <w:rsid w:val="00184E53"/>
    <w:rsid w:val="00184EC2"/>
    <w:rsid w:val="00184ED0"/>
    <w:rsid w:val="00184EE2"/>
    <w:rsid w:val="00184EFA"/>
    <w:rsid w:val="00184F33"/>
    <w:rsid w:val="00184F85"/>
    <w:rsid w:val="00185033"/>
    <w:rsid w:val="0018503A"/>
    <w:rsid w:val="00185049"/>
    <w:rsid w:val="0018508F"/>
    <w:rsid w:val="00185102"/>
    <w:rsid w:val="00185137"/>
    <w:rsid w:val="00185257"/>
    <w:rsid w:val="0018527E"/>
    <w:rsid w:val="00185287"/>
    <w:rsid w:val="0018529F"/>
    <w:rsid w:val="001852FD"/>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212"/>
    <w:rsid w:val="00186245"/>
    <w:rsid w:val="00186269"/>
    <w:rsid w:val="0018627A"/>
    <w:rsid w:val="0018629D"/>
    <w:rsid w:val="001862D7"/>
    <w:rsid w:val="00186317"/>
    <w:rsid w:val="0018635B"/>
    <w:rsid w:val="00186375"/>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AC"/>
    <w:rsid w:val="001867C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31"/>
    <w:rsid w:val="00186DB0"/>
    <w:rsid w:val="00186DC7"/>
    <w:rsid w:val="00186DED"/>
    <w:rsid w:val="00186DF6"/>
    <w:rsid w:val="00186E02"/>
    <w:rsid w:val="00186E5B"/>
    <w:rsid w:val="00186E89"/>
    <w:rsid w:val="00186ED6"/>
    <w:rsid w:val="00186EF5"/>
    <w:rsid w:val="00186EFB"/>
    <w:rsid w:val="00186F08"/>
    <w:rsid w:val="00186F77"/>
    <w:rsid w:val="00186F7E"/>
    <w:rsid w:val="00186F98"/>
    <w:rsid w:val="00186FB1"/>
    <w:rsid w:val="00186FDA"/>
    <w:rsid w:val="00187020"/>
    <w:rsid w:val="0018707D"/>
    <w:rsid w:val="001870F8"/>
    <w:rsid w:val="00187139"/>
    <w:rsid w:val="0018715C"/>
    <w:rsid w:val="00187287"/>
    <w:rsid w:val="001872F1"/>
    <w:rsid w:val="001873A6"/>
    <w:rsid w:val="001873EA"/>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8A"/>
    <w:rsid w:val="00187BA8"/>
    <w:rsid w:val="00187BAF"/>
    <w:rsid w:val="00187BEA"/>
    <w:rsid w:val="00187C29"/>
    <w:rsid w:val="00187C2A"/>
    <w:rsid w:val="00187C31"/>
    <w:rsid w:val="00187C43"/>
    <w:rsid w:val="00187C8D"/>
    <w:rsid w:val="00187CCE"/>
    <w:rsid w:val="00187CD2"/>
    <w:rsid w:val="00187D00"/>
    <w:rsid w:val="00187D28"/>
    <w:rsid w:val="00187D48"/>
    <w:rsid w:val="00187D53"/>
    <w:rsid w:val="00187DC5"/>
    <w:rsid w:val="00187E01"/>
    <w:rsid w:val="00187E08"/>
    <w:rsid w:val="00187E3C"/>
    <w:rsid w:val="00187E7E"/>
    <w:rsid w:val="00187EBA"/>
    <w:rsid w:val="00187ED7"/>
    <w:rsid w:val="00187EE3"/>
    <w:rsid w:val="00187F05"/>
    <w:rsid w:val="00187F28"/>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A2"/>
    <w:rsid w:val="001903BE"/>
    <w:rsid w:val="0019042D"/>
    <w:rsid w:val="00190486"/>
    <w:rsid w:val="001904F2"/>
    <w:rsid w:val="00190505"/>
    <w:rsid w:val="0019051C"/>
    <w:rsid w:val="0019051E"/>
    <w:rsid w:val="00190524"/>
    <w:rsid w:val="0019055B"/>
    <w:rsid w:val="00190591"/>
    <w:rsid w:val="00190599"/>
    <w:rsid w:val="00190603"/>
    <w:rsid w:val="0019061A"/>
    <w:rsid w:val="00190620"/>
    <w:rsid w:val="00190638"/>
    <w:rsid w:val="00190652"/>
    <w:rsid w:val="001906D4"/>
    <w:rsid w:val="001906FC"/>
    <w:rsid w:val="0019071A"/>
    <w:rsid w:val="00190741"/>
    <w:rsid w:val="0019076C"/>
    <w:rsid w:val="00190775"/>
    <w:rsid w:val="0019083D"/>
    <w:rsid w:val="0019083E"/>
    <w:rsid w:val="0019090E"/>
    <w:rsid w:val="00190918"/>
    <w:rsid w:val="00190938"/>
    <w:rsid w:val="00190999"/>
    <w:rsid w:val="001909E6"/>
    <w:rsid w:val="00190A07"/>
    <w:rsid w:val="00190A69"/>
    <w:rsid w:val="00190A82"/>
    <w:rsid w:val="00190A84"/>
    <w:rsid w:val="00190AAD"/>
    <w:rsid w:val="00190AB1"/>
    <w:rsid w:val="00190B7A"/>
    <w:rsid w:val="00190B7E"/>
    <w:rsid w:val="00190BAA"/>
    <w:rsid w:val="00190BB6"/>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5F"/>
    <w:rsid w:val="00190E79"/>
    <w:rsid w:val="00190E7B"/>
    <w:rsid w:val="00190EA4"/>
    <w:rsid w:val="00190EAC"/>
    <w:rsid w:val="00190EE4"/>
    <w:rsid w:val="00190EFE"/>
    <w:rsid w:val="00190F0E"/>
    <w:rsid w:val="00190F21"/>
    <w:rsid w:val="00190F5F"/>
    <w:rsid w:val="00190F65"/>
    <w:rsid w:val="00190F73"/>
    <w:rsid w:val="00190F75"/>
    <w:rsid w:val="00190FC1"/>
    <w:rsid w:val="00190FC6"/>
    <w:rsid w:val="00191013"/>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2C6"/>
    <w:rsid w:val="0019135B"/>
    <w:rsid w:val="0019137B"/>
    <w:rsid w:val="001913B9"/>
    <w:rsid w:val="00191440"/>
    <w:rsid w:val="00191452"/>
    <w:rsid w:val="00191479"/>
    <w:rsid w:val="00191489"/>
    <w:rsid w:val="0019154E"/>
    <w:rsid w:val="001915ED"/>
    <w:rsid w:val="001916BB"/>
    <w:rsid w:val="001916DB"/>
    <w:rsid w:val="001916EC"/>
    <w:rsid w:val="001916FA"/>
    <w:rsid w:val="00191702"/>
    <w:rsid w:val="0019173D"/>
    <w:rsid w:val="001917D6"/>
    <w:rsid w:val="001917E7"/>
    <w:rsid w:val="001917FE"/>
    <w:rsid w:val="001918A5"/>
    <w:rsid w:val="001918C2"/>
    <w:rsid w:val="00191919"/>
    <w:rsid w:val="00191924"/>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D8F"/>
    <w:rsid w:val="00191E0F"/>
    <w:rsid w:val="00191E52"/>
    <w:rsid w:val="00191E9A"/>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85"/>
    <w:rsid w:val="001926DD"/>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41"/>
    <w:rsid w:val="00192B70"/>
    <w:rsid w:val="00192B87"/>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3FB"/>
    <w:rsid w:val="00193421"/>
    <w:rsid w:val="0019348F"/>
    <w:rsid w:val="001934BF"/>
    <w:rsid w:val="001934C9"/>
    <w:rsid w:val="001934FE"/>
    <w:rsid w:val="00193503"/>
    <w:rsid w:val="0019355B"/>
    <w:rsid w:val="00193588"/>
    <w:rsid w:val="001935B7"/>
    <w:rsid w:val="0019363E"/>
    <w:rsid w:val="00193686"/>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7A"/>
    <w:rsid w:val="00193993"/>
    <w:rsid w:val="001939E4"/>
    <w:rsid w:val="001939EA"/>
    <w:rsid w:val="001939FD"/>
    <w:rsid w:val="00193A00"/>
    <w:rsid w:val="00193A34"/>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E1"/>
    <w:rsid w:val="00193F11"/>
    <w:rsid w:val="00193F1F"/>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2BB"/>
    <w:rsid w:val="001942CA"/>
    <w:rsid w:val="0019436D"/>
    <w:rsid w:val="00194383"/>
    <w:rsid w:val="001943C3"/>
    <w:rsid w:val="0019441C"/>
    <w:rsid w:val="0019441D"/>
    <w:rsid w:val="00194447"/>
    <w:rsid w:val="0019449C"/>
    <w:rsid w:val="001944A2"/>
    <w:rsid w:val="001944EF"/>
    <w:rsid w:val="0019451A"/>
    <w:rsid w:val="0019455D"/>
    <w:rsid w:val="00194562"/>
    <w:rsid w:val="00194574"/>
    <w:rsid w:val="001945A5"/>
    <w:rsid w:val="001945E0"/>
    <w:rsid w:val="001946A0"/>
    <w:rsid w:val="001946EC"/>
    <w:rsid w:val="001946F3"/>
    <w:rsid w:val="00194707"/>
    <w:rsid w:val="00194769"/>
    <w:rsid w:val="00194782"/>
    <w:rsid w:val="001947AC"/>
    <w:rsid w:val="001947B2"/>
    <w:rsid w:val="001947BD"/>
    <w:rsid w:val="001947C8"/>
    <w:rsid w:val="001947E3"/>
    <w:rsid w:val="001947EE"/>
    <w:rsid w:val="00194853"/>
    <w:rsid w:val="0019486B"/>
    <w:rsid w:val="0019498E"/>
    <w:rsid w:val="00194A3F"/>
    <w:rsid w:val="00194A44"/>
    <w:rsid w:val="00194A47"/>
    <w:rsid w:val="00194A7B"/>
    <w:rsid w:val="00194AD6"/>
    <w:rsid w:val="00194B2D"/>
    <w:rsid w:val="00194B50"/>
    <w:rsid w:val="00194B81"/>
    <w:rsid w:val="00194BB9"/>
    <w:rsid w:val="00194BEA"/>
    <w:rsid w:val="00194C12"/>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6"/>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9"/>
    <w:rsid w:val="0019558E"/>
    <w:rsid w:val="00195622"/>
    <w:rsid w:val="00195648"/>
    <w:rsid w:val="0019564C"/>
    <w:rsid w:val="0019567F"/>
    <w:rsid w:val="00195749"/>
    <w:rsid w:val="00195752"/>
    <w:rsid w:val="0019575C"/>
    <w:rsid w:val="0019576C"/>
    <w:rsid w:val="00195794"/>
    <w:rsid w:val="001957A3"/>
    <w:rsid w:val="00195815"/>
    <w:rsid w:val="00195818"/>
    <w:rsid w:val="00195846"/>
    <w:rsid w:val="00195847"/>
    <w:rsid w:val="0019585C"/>
    <w:rsid w:val="0019588B"/>
    <w:rsid w:val="00195896"/>
    <w:rsid w:val="001958F6"/>
    <w:rsid w:val="00195A03"/>
    <w:rsid w:val="00195A54"/>
    <w:rsid w:val="00195A78"/>
    <w:rsid w:val="00195B3C"/>
    <w:rsid w:val="00195B47"/>
    <w:rsid w:val="00195B4F"/>
    <w:rsid w:val="00195B57"/>
    <w:rsid w:val="00195B59"/>
    <w:rsid w:val="00195B8E"/>
    <w:rsid w:val="00195B8F"/>
    <w:rsid w:val="00195BD0"/>
    <w:rsid w:val="00195BDB"/>
    <w:rsid w:val="00195BFE"/>
    <w:rsid w:val="00195C7C"/>
    <w:rsid w:val="00195C92"/>
    <w:rsid w:val="00195C9F"/>
    <w:rsid w:val="00195CD9"/>
    <w:rsid w:val="00195CE9"/>
    <w:rsid w:val="00195D1C"/>
    <w:rsid w:val="00195D46"/>
    <w:rsid w:val="00195D55"/>
    <w:rsid w:val="00195D73"/>
    <w:rsid w:val="00195D80"/>
    <w:rsid w:val="00195DE6"/>
    <w:rsid w:val="00195E40"/>
    <w:rsid w:val="00195EB1"/>
    <w:rsid w:val="00195EEA"/>
    <w:rsid w:val="00195F3A"/>
    <w:rsid w:val="00195F7D"/>
    <w:rsid w:val="00195F8F"/>
    <w:rsid w:val="00195FA1"/>
    <w:rsid w:val="00195FC9"/>
    <w:rsid w:val="00195FFA"/>
    <w:rsid w:val="00196072"/>
    <w:rsid w:val="00196084"/>
    <w:rsid w:val="001960DD"/>
    <w:rsid w:val="00196101"/>
    <w:rsid w:val="00196123"/>
    <w:rsid w:val="00196176"/>
    <w:rsid w:val="0019617A"/>
    <w:rsid w:val="001961A9"/>
    <w:rsid w:val="001961BF"/>
    <w:rsid w:val="001961C1"/>
    <w:rsid w:val="001961D8"/>
    <w:rsid w:val="0019620E"/>
    <w:rsid w:val="00196288"/>
    <w:rsid w:val="001962F6"/>
    <w:rsid w:val="0019634D"/>
    <w:rsid w:val="00196381"/>
    <w:rsid w:val="001963BF"/>
    <w:rsid w:val="00196434"/>
    <w:rsid w:val="0019648B"/>
    <w:rsid w:val="001964B7"/>
    <w:rsid w:val="0019651B"/>
    <w:rsid w:val="00196566"/>
    <w:rsid w:val="00196591"/>
    <w:rsid w:val="0019659A"/>
    <w:rsid w:val="00196600"/>
    <w:rsid w:val="001966B5"/>
    <w:rsid w:val="001966D1"/>
    <w:rsid w:val="00196710"/>
    <w:rsid w:val="00196723"/>
    <w:rsid w:val="0019673F"/>
    <w:rsid w:val="00196780"/>
    <w:rsid w:val="00196788"/>
    <w:rsid w:val="001967A3"/>
    <w:rsid w:val="00196807"/>
    <w:rsid w:val="00196879"/>
    <w:rsid w:val="00196880"/>
    <w:rsid w:val="001968BA"/>
    <w:rsid w:val="001968BF"/>
    <w:rsid w:val="001968DA"/>
    <w:rsid w:val="00196914"/>
    <w:rsid w:val="00196932"/>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ECD"/>
    <w:rsid w:val="00196F0A"/>
    <w:rsid w:val="00196F16"/>
    <w:rsid w:val="00196F18"/>
    <w:rsid w:val="00196F26"/>
    <w:rsid w:val="00196F2A"/>
    <w:rsid w:val="00196F44"/>
    <w:rsid w:val="00196F8C"/>
    <w:rsid w:val="00196F93"/>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A5"/>
    <w:rsid w:val="001975A8"/>
    <w:rsid w:val="001975BF"/>
    <w:rsid w:val="001975EB"/>
    <w:rsid w:val="00197607"/>
    <w:rsid w:val="0019760A"/>
    <w:rsid w:val="0019766A"/>
    <w:rsid w:val="00197675"/>
    <w:rsid w:val="00197693"/>
    <w:rsid w:val="00197743"/>
    <w:rsid w:val="0019776E"/>
    <w:rsid w:val="001977AE"/>
    <w:rsid w:val="001977CB"/>
    <w:rsid w:val="001977E2"/>
    <w:rsid w:val="00197820"/>
    <w:rsid w:val="0019783D"/>
    <w:rsid w:val="00197867"/>
    <w:rsid w:val="00197877"/>
    <w:rsid w:val="0019788A"/>
    <w:rsid w:val="001978F0"/>
    <w:rsid w:val="0019793C"/>
    <w:rsid w:val="0019795F"/>
    <w:rsid w:val="001979A9"/>
    <w:rsid w:val="001979ED"/>
    <w:rsid w:val="00197A0A"/>
    <w:rsid w:val="00197AE0"/>
    <w:rsid w:val="00197AE7"/>
    <w:rsid w:val="00197B3F"/>
    <w:rsid w:val="00197B44"/>
    <w:rsid w:val="00197B5C"/>
    <w:rsid w:val="00197B69"/>
    <w:rsid w:val="00197B70"/>
    <w:rsid w:val="00197BC9"/>
    <w:rsid w:val="00197C2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1F"/>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8D"/>
    <w:rsid w:val="001A05D8"/>
    <w:rsid w:val="001A0627"/>
    <w:rsid w:val="001A0677"/>
    <w:rsid w:val="001A0685"/>
    <w:rsid w:val="001A069B"/>
    <w:rsid w:val="001A06C0"/>
    <w:rsid w:val="001A06D5"/>
    <w:rsid w:val="001A07AA"/>
    <w:rsid w:val="001A07AF"/>
    <w:rsid w:val="001A081D"/>
    <w:rsid w:val="001A08F3"/>
    <w:rsid w:val="001A0917"/>
    <w:rsid w:val="001A0939"/>
    <w:rsid w:val="001A0948"/>
    <w:rsid w:val="001A095F"/>
    <w:rsid w:val="001A0970"/>
    <w:rsid w:val="001A09B0"/>
    <w:rsid w:val="001A09C3"/>
    <w:rsid w:val="001A09D5"/>
    <w:rsid w:val="001A0A06"/>
    <w:rsid w:val="001A0A0F"/>
    <w:rsid w:val="001A0A1D"/>
    <w:rsid w:val="001A0A62"/>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D0E"/>
    <w:rsid w:val="001A0DA4"/>
    <w:rsid w:val="001A0DA7"/>
    <w:rsid w:val="001A0E27"/>
    <w:rsid w:val="001A0E7C"/>
    <w:rsid w:val="001A0EC2"/>
    <w:rsid w:val="001A0F32"/>
    <w:rsid w:val="001A0F3C"/>
    <w:rsid w:val="001A0F65"/>
    <w:rsid w:val="001A0F7D"/>
    <w:rsid w:val="001A0F94"/>
    <w:rsid w:val="001A0F95"/>
    <w:rsid w:val="001A0FAF"/>
    <w:rsid w:val="001A0FFA"/>
    <w:rsid w:val="001A100F"/>
    <w:rsid w:val="001A1034"/>
    <w:rsid w:val="001A1099"/>
    <w:rsid w:val="001A10C8"/>
    <w:rsid w:val="001A114A"/>
    <w:rsid w:val="001A1151"/>
    <w:rsid w:val="001A1156"/>
    <w:rsid w:val="001A115F"/>
    <w:rsid w:val="001A11C9"/>
    <w:rsid w:val="001A1216"/>
    <w:rsid w:val="001A121C"/>
    <w:rsid w:val="001A1228"/>
    <w:rsid w:val="001A123E"/>
    <w:rsid w:val="001A129C"/>
    <w:rsid w:val="001A1391"/>
    <w:rsid w:val="001A13B0"/>
    <w:rsid w:val="001A13EB"/>
    <w:rsid w:val="001A14BD"/>
    <w:rsid w:val="001A1502"/>
    <w:rsid w:val="001A1510"/>
    <w:rsid w:val="001A1512"/>
    <w:rsid w:val="001A1569"/>
    <w:rsid w:val="001A156F"/>
    <w:rsid w:val="001A1573"/>
    <w:rsid w:val="001A15A8"/>
    <w:rsid w:val="001A15C4"/>
    <w:rsid w:val="001A15CB"/>
    <w:rsid w:val="001A15D5"/>
    <w:rsid w:val="001A15D8"/>
    <w:rsid w:val="001A1638"/>
    <w:rsid w:val="001A1643"/>
    <w:rsid w:val="001A16E2"/>
    <w:rsid w:val="001A16F2"/>
    <w:rsid w:val="001A16FD"/>
    <w:rsid w:val="001A171C"/>
    <w:rsid w:val="001A174E"/>
    <w:rsid w:val="001A17A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B"/>
    <w:rsid w:val="001A1E7B"/>
    <w:rsid w:val="001A1E93"/>
    <w:rsid w:val="001A1ECF"/>
    <w:rsid w:val="001A1ED2"/>
    <w:rsid w:val="001A1F72"/>
    <w:rsid w:val="001A1FA4"/>
    <w:rsid w:val="001A1FAC"/>
    <w:rsid w:val="001A2013"/>
    <w:rsid w:val="001A2043"/>
    <w:rsid w:val="001A2084"/>
    <w:rsid w:val="001A20CF"/>
    <w:rsid w:val="001A2132"/>
    <w:rsid w:val="001A2178"/>
    <w:rsid w:val="001A217D"/>
    <w:rsid w:val="001A21AC"/>
    <w:rsid w:val="001A21CE"/>
    <w:rsid w:val="001A2212"/>
    <w:rsid w:val="001A2292"/>
    <w:rsid w:val="001A22E2"/>
    <w:rsid w:val="001A2368"/>
    <w:rsid w:val="001A23E3"/>
    <w:rsid w:val="001A2424"/>
    <w:rsid w:val="001A244B"/>
    <w:rsid w:val="001A2452"/>
    <w:rsid w:val="001A2463"/>
    <w:rsid w:val="001A2483"/>
    <w:rsid w:val="001A2546"/>
    <w:rsid w:val="001A25B0"/>
    <w:rsid w:val="001A25D1"/>
    <w:rsid w:val="001A2610"/>
    <w:rsid w:val="001A266D"/>
    <w:rsid w:val="001A2679"/>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AFF"/>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BE"/>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36F"/>
    <w:rsid w:val="001A33C4"/>
    <w:rsid w:val="001A33F2"/>
    <w:rsid w:val="001A3425"/>
    <w:rsid w:val="001A3426"/>
    <w:rsid w:val="001A3462"/>
    <w:rsid w:val="001A3542"/>
    <w:rsid w:val="001A3555"/>
    <w:rsid w:val="001A35C0"/>
    <w:rsid w:val="001A367B"/>
    <w:rsid w:val="001A3688"/>
    <w:rsid w:val="001A36FD"/>
    <w:rsid w:val="001A371F"/>
    <w:rsid w:val="001A3720"/>
    <w:rsid w:val="001A375C"/>
    <w:rsid w:val="001A3765"/>
    <w:rsid w:val="001A3778"/>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A1"/>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1DB"/>
    <w:rsid w:val="001A4201"/>
    <w:rsid w:val="001A4216"/>
    <w:rsid w:val="001A4283"/>
    <w:rsid w:val="001A42EA"/>
    <w:rsid w:val="001A430E"/>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BC"/>
    <w:rsid w:val="001A46F1"/>
    <w:rsid w:val="001A4754"/>
    <w:rsid w:val="001A47D1"/>
    <w:rsid w:val="001A47E1"/>
    <w:rsid w:val="001A47E6"/>
    <w:rsid w:val="001A480F"/>
    <w:rsid w:val="001A482E"/>
    <w:rsid w:val="001A483B"/>
    <w:rsid w:val="001A484B"/>
    <w:rsid w:val="001A48A3"/>
    <w:rsid w:val="001A48FE"/>
    <w:rsid w:val="001A4910"/>
    <w:rsid w:val="001A491A"/>
    <w:rsid w:val="001A493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A0"/>
    <w:rsid w:val="001A4CD2"/>
    <w:rsid w:val="001A4CEC"/>
    <w:rsid w:val="001A4D87"/>
    <w:rsid w:val="001A4E89"/>
    <w:rsid w:val="001A4EFD"/>
    <w:rsid w:val="001A4FA8"/>
    <w:rsid w:val="001A500B"/>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9D"/>
    <w:rsid w:val="001A55B9"/>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5E"/>
    <w:rsid w:val="001A5BF3"/>
    <w:rsid w:val="001A5C1B"/>
    <w:rsid w:val="001A5CB3"/>
    <w:rsid w:val="001A5CE2"/>
    <w:rsid w:val="001A5CE5"/>
    <w:rsid w:val="001A5D05"/>
    <w:rsid w:val="001A5D14"/>
    <w:rsid w:val="001A5D37"/>
    <w:rsid w:val="001A5D4D"/>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27"/>
    <w:rsid w:val="001A627C"/>
    <w:rsid w:val="001A62D8"/>
    <w:rsid w:val="001A62F5"/>
    <w:rsid w:val="001A631E"/>
    <w:rsid w:val="001A6338"/>
    <w:rsid w:val="001A6371"/>
    <w:rsid w:val="001A6374"/>
    <w:rsid w:val="001A639C"/>
    <w:rsid w:val="001A63AF"/>
    <w:rsid w:val="001A63BC"/>
    <w:rsid w:val="001A63EA"/>
    <w:rsid w:val="001A6449"/>
    <w:rsid w:val="001A6491"/>
    <w:rsid w:val="001A64C9"/>
    <w:rsid w:val="001A64CA"/>
    <w:rsid w:val="001A65CA"/>
    <w:rsid w:val="001A65CB"/>
    <w:rsid w:val="001A6639"/>
    <w:rsid w:val="001A6684"/>
    <w:rsid w:val="001A6696"/>
    <w:rsid w:val="001A66D7"/>
    <w:rsid w:val="001A6700"/>
    <w:rsid w:val="001A6789"/>
    <w:rsid w:val="001A681F"/>
    <w:rsid w:val="001A6832"/>
    <w:rsid w:val="001A6846"/>
    <w:rsid w:val="001A68E4"/>
    <w:rsid w:val="001A693A"/>
    <w:rsid w:val="001A695B"/>
    <w:rsid w:val="001A696B"/>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87"/>
    <w:rsid w:val="001A6DA7"/>
    <w:rsid w:val="001A6DBA"/>
    <w:rsid w:val="001A6E74"/>
    <w:rsid w:val="001A6EE2"/>
    <w:rsid w:val="001A6EF2"/>
    <w:rsid w:val="001A6F8B"/>
    <w:rsid w:val="001A7005"/>
    <w:rsid w:val="001A7011"/>
    <w:rsid w:val="001A7021"/>
    <w:rsid w:val="001A702B"/>
    <w:rsid w:val="001A7045"/>
    <w:rsid w:val="001A70A5"/>
    <w:rsid w:val="001A7113"/>
    <w:rsid w:val="001A7185"/>
    <w:rsid w:val="001A719A"/>
    <w:rsid w:val="001A71AA"/>
    <w:rsid w:val="001A71BF"/>
    <w:rsid w:val="001A71D4"/>
    <w:rsid w:val="001A722F"/>
    <w:rsid w:val="001A7308"/>
    <w:rsid w:val="001A7311"/>
    <w:rsid w:val="001A734F"/>
    <w:rsid w:val="001A744B"/>
    <w:rsid w:val="001A7455"/>
    <w:rsid w:val="001A74E5"/>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2E"/>
    <w:rsid w:val="001B0536"/>
    <w:rsid w:val="001B0667"/>
    <w:rsid w:val="001B06FC"/>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92"/>
    <w:rsid w:val="001B0DCB"/>
    <w:rsid w:val="001B0E03"/>
    <w:rsid w:val="001B0E3F"/>
    <w:rsid w:val="001B0E4B"/>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A7"/>
    <w:rsid w:val="001B142E"/>
    <w:rsid w:val="001B1453"/>
    <w:rsid w:val="001B1490"/>
    <w:rsid w:val="001B14AE"/>
    <w:rsid w:val="001B14CE"/>
    <w:rsid w:val="001B14D5"/>
    <w:rsid w:val="001B14D9"/>
    <w:rsid w:val="001B14EA"/>
    <w:rsid w:val="001B14EC"/>
    <w:rsid w:val="001B1502"/>
    <w:rsid w:val="001B1569"/>
    <w:rsid w:val="001B156E"/>
    <w:rsid w:val="001B159B"/>
    <w:rsid w:val="001B161C"/>
    <w:rsid w:val="001B165C"/>
    <w:rsid w:val="001B16BA"/>
    <w:rsid w:val="001B170D"/>
    <w:rsid w:val="001B173F"/>
    <w:rsid w:val="001B1770"/>
    <w:rsid w:val="001B17BC"/>
    <w:rsid w:val="001B17C3"/>
    <w:rsid w:val="001B17DD"/>
    <w:rsid w:val="001B1829"/>
    <w:rsid w:val="001B182E"/>
    <w:rsid w:val="001B1831"/>
    <w:rsid w:val="001B1832"/>
    <w:rsid w:val="001B185A"/>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E04"/>
    <w:rsid w:val="001B1E16"/>
    <w:rsid w:val="001B1E21"/>
    <w:rsid w:val="001B1EDE"/>
    <w:rsid w:val="001B1EE0"/>
    <w:rsid w:val="001B1EF9"/>
    <w:rsid w:val="001B1F40"/>
    <w:rsid w:val="001B1FFA"/>
    <w:rsid w:val="001B200D"/>
    <w:rsid w:val="001B2044"/>
    <w:rsid w:val="001B209E"/>
    <w:rsid w:val="001B20BB"/>
    <w:rsid w:val="001B20D5"/>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39"/>
    <w:rsid w:val="001B2668"/>
    <w:rsid w:val="001B2671"/>
    <w:rsid w:val="001B26E2"/>
    <w:rsid w:val="001B26E4"/>
    <w:rsid w:val="001B26F2"/>
    <w:rsid w:val="001B272E"/>
    <w:rsid w:val="001B2739"/>
    <w:rsid w:val="001B2760"/>
    <w:rsid w:val="001B27F0"/>
    <w:rsid w:val="001B280B"/>
    <w:rsid w:val="001B282C"/>
    <w:rsid w:val="001B289F"/>
    <w:rsid w:val="001B28F9"/>
    <w:rsid w:val="001B291B"/>
    <w:rsid w:val="001B2960"/>
    <w:rsid w:val="001B29BE"/>
    <w:rsid w:val="001B2A03"/>
    <w:rsid w:val="001B2A2E"/>
    <w:rsid w:val="001B2A60"/>
    <w:rsid w:val="001B2AE0"/>
    <w:rsid w:val="001B2B31"/>
    <w:rsid w:val="001B2B5A"/>
    <w:rsid w:val="001B2B6F"/>
    <w:rsid w:val="001B2BB9"/>
    <w:rsid w:val="001B2C3A"/>
    <w:rsid w:val="001B2C6D"/>
    <w:rsid w:val="001B2C8B"/>
    <w:rsid w:val="001B2CA6"/>
    <w:rsid w:val="001B2CC4"/>
    <w:rsid w:val="001B2CCC"/>
    <w:rsid w:val="001B2CE4"/>
    <w:rsid w:val="001B2D26"/>
    <w:rsid w:val="001B2D54"/>
    <w:rsid w:val="001B2D78"/>
    <w:rsid w:val="001B2D7E"/>
    <w:rsid w:val="001B2D90"/>
    <w:rsid w:val="001B2D99"/>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C"/>
    <w:rsid w:val="001B3115"/>
    <w:rsid w:val="001B3139"/>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D3"/>
    <w:rsid w:val="001B3A34"/>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E3"/>
    <w:rsid w:val="001B3DE8"/>
    <w:rsid w:val="001B3DF7"/>
    <w:rsid w:val="001B3E41"/>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BB"/>
    <w:rsid w:val="001B43D7"/>
    <w:rsid w:val="001B4411"/>
    <w:rsid w:val="001B444B"/>
    <w:rsid w:val="001B44E2"/>
    <w:rsid w:val="001B4514"/>
    <w:rsid w:val="001B4546"/>
    <w:rsid w:val="001B45AD"/>
    <w:rsid w:val="001B45D5"/>
    <w:rsid w:val="001B464D"/>
    <w:rsid w:val="001B466D"/>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FB"/>
    <w:rsid w:val="001B4B0D"/>
    <w:rsid w:val="001B4B11"/>
    <w:rsid w:val="001B4B4C"/>
    <w:rsid w:val="001B4BB2"/>
    <w:rsid w:val="001B4BC9"/>
    <w:rsid w:val="001B4BE0"/>
    <w:rsid w:val="001B4C1E"/>
    <w:rsid w:val="001B4C71"/>
    <w:rsid w:val="001B4C9A"/>
    <w:rsid w:val="001B4D29"/>
    <w:rsid w:val="001B4D66"/>
    <w:rsid w:val="001B4DA1"/>
    <w:rsid w:val="001B4E0F"/>
    <w:rsid w:val="001B4E14"/>
    <w:rsid w:val="001B4E3B"/>
    <w:rsid w:val="001B4E3C"/>
    <w:rsid w:val="001B4E64"/>
    <w:rsid w:val="001B4ECC"/>
    <w:rsid w:val="001B4F2A"/>
    <w:rsid w:val="001B4F30"/>
    <w:rsid w:val="001B4FF4"/>
    <w:rsid w:val="001B4FFD"/>
    <w:rsid w:val="001B505C"/>
    <w:rsid w:val="001B5070"/>
    <w:rsid w:val="001B5079"/>
    <w:rsid w:val="001B5092"/>
    <w:rsid w:val="001B50F6"/>
    <w:rsid w:val="001B519D"/>
    <w:rsid w:val="001B5201"/>
    <w:rsid w:val="001B523E"/>
    <w:rsid w:val="001B5276"/>
    <w:rsid w:val="001B5280"/>
    <w:rsid w:val="001B5282"/>
    <w:rsid w:val="001B538D"/>
    <w:rsid w:val="001B539E"/>
    <w:rsid w:val="001B53BA"/>
    <w:rsid w:val="001B53C5"/>
    <w:rsid w:val="001B541C"/>
    <w:rsid w:val="001B5425"/>
    <w:rsid w:val="001B545A"/>
    <w:rsid w:val="001B549B"/>
    <w:rsid w:val="001B54BE"/>
    <w:rsid w:val="001B55D7"/>
    <w:rsid w:val="001B5679"/>
    <w:rsid w:val="001B568B"/>
    <w:rsid w:val="001B5691"/>
    <w:rsid w:val="001B56DB"/>
    <w:rsid w:val="001B56F8"/>
    <w:rsid w:val="001B5706"/>
    <w:rsid w:val="001B5779"/>
    <w:rsid w:val="001B57A6"/>
    <w:rsid w:val="001B57AF"/>
    <w:rsid w:val="001B57B7"/>
    <w:rsid w:val="001B57BE"/>
    <w:rsid w:val="001B5803"/>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ABF"/>
    <w:rsid w:val="001B5B04"/>
    <w:rsid w:val="001B5B63"/>
    <w:rsid w:val="001B5BDC"/>
    <w:rsid w:val="001B5C03"/>
    <w:rsid w:val="001B5C57"/>
    <w:rsid w:val="001B5D59"/>
    <w:rsid w:val="001B5DE2"/>
    <w:rsid w:val="001B5DEF"/>
    <w:rsid w:val="001B5E5B"/>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58"/>
    <w:rsid w:val="001B63A8"/>
    <w:rsid w:val="001B6425"/>
    <w:rsid w:val="001B64B8"/>
    <w:rsid w:val="001B6521"/>
    <w:rsid w:val="001B65DF"/>
    <w:rsid w:val="001B667C"/>
    <w:rsid w:val="001B66A1"/>
    <w:rsid w:val="001B66A9"/>
    <w:rsid w:val="001B66B9"/>
    <w:rsid w:val="001B66D2"/>
    <w:rsid w:val="001B670A"/>
    <w:rsid w:val="001B672B"/>
    <w:rsid w:val="001B677A"/>
    <w:rsid w:val="001B67C7"/>
    <w:rsid w:val="001B67F9"/>
    <w:rsid w:val="001B6882"/>
    <w:rsid w:val="001B68B4"/>
    <w:rsid w:val="001B690A"/>
    <w:rsid w:val="001B6922"/>
    <w:rsid w:val="001B6948"/>
    <w:rsid w:val="001B6994"/>
    <w:rsid w:val="001B69C5"/>
    <w:rsid w:val="001B6A36"/>
    <w:rsid w:val="001B6A39"/>
    <w:rsid w:val="001B6AAE"/>
    <w:rsid w:val="001B6AEC"/>
    <w:rsid w:val="001B6B49"/>
    <w:rsid w:val="001B6B4B"/>
    <w:rsid w:val="001B6BAC"/>
    <w:rsid w:val="001B6C98"/>
    <w:rsid w:val="001B6CD4"/>
    <w:rsid w:val="001B6CE2"/>
    <w:rsid w:val="001B6D6B"/>
    <w:rsid w:val="001B6DE2"/>
    <w:rsid w:val="001B6E03"/>
    <w:rsid w:val="001B6E13"/>
    <w:rsid w:val="001B6E3C"/>
    <w:rsid w:val="001B6E79"/>
    <w:rsid w:val="001B6EF1"/>
    <w:rsid w:val="001B6EF3"/>
    <w:rsid w:val="001B6F4D"/>
    <w:rsid w:val="001B6FB2"/>
    <w:rsid w:val="001B7028"/>
    <w:rsid w:val="001B7091"/>
    <w:rsid w:val="001B70A6"/>
    <w:rsid w:val="001B7155"/>
    <w:rsid w:val="001B7183"/>
    <w:rsid w:val="001B7195"/>
    <w:rsid w:val="001B71B4"/>
    <w:rsid w:val="001B71DA"/>
    <w:rsid w:val="001B7263"/>
    <w:rsid w:val="001B7292"/>
    <w:rsid w:val="001B736D"/>
    <w:rsid w:val="001B738F"/>
    <w:rsid w:val="001B739D"/>
    <w:rsid w:val="001B73B1"/>
    <w:rsid w:val="001B73C5"/>
    <w:rsid w:val="001B73ED"/>
    <w:rsid w:val="001B740B"/>
    <w:rsid w:val="001B741D"/>
    <w:rsid w:val="001B7481"/>
    <w:rsid w:val="001B748B"/>
    <w:rsid w:val="001B74B3"/>
    <w:rsid w:val="001B74B4"/>
    <w:rsid w:val="001B74EC"/>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68"/>
    <w:rsid w:val="001B7873"/>
    <w:rsid w:val="001B793F"/>
    <w:rsid w:val="001B7956"/>
    <w:rsid w:val="001B7965"/>
    <w:rsid w:val="001B7986"/>
    <w:rsid w:val="001B79E5"/>
    <w:rsid w:val="001B7A51"/>
    <w:rsid w:val="001B7AD5"/>
    <w:rsid w:val="001B7AFA"/>
    <w:rsid w:val="001B7B49"/>
    <w:rsid w:val="001B7B60"/>
    <w:rsid w:val="001B7B73"/>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CF"/>
    <w:rsid w:val="001C13D4"/>
    <w:rsid w:val="001C140E"/>
    <w:rsid w:val="001C1435"/>
    <w:rsid w:val="001C14A9"/>
    <w:rsid w:val="001C14AB"/>
    <w:rsid w:val="001C15B2"/>
    <w:rsid w:val="001C15F6"/>
    <w:rsid w:val="001C1604"/>
    <w:rsid w:val="001C16D1"/>
    <w:rsid w:val="001C16FF"/>
    <w:rsid w:val="001C1718"/>
    <w:rsid w:val="001C1723"/>
    <w:rsid w:val="001C1756"/>
    <w:rsid w:val="001C1768"/>
    <w:rsid w:val="001C1779"/>
    <w:rsid w:val="001C17EA"/>
    <w:rsid w:val="001C17FD"/>
    <w:rsid w:val="001C1808"/>
    <w:rsid w:val="001C18A0"/>
    <w:rsid w:val="001C18A7"/>
    <w:rsid w:val="001C1906"/>
    <w:rsid w:val="001C1948"/>
    <w:rsid w:val="001C1958"/>
    <w:rsid w:val="001C1975"/>
    <w:rsid w:val="001C1987"/>
    <w:rsid w:val="001C1A44"/>
    <w:rsid w:val="001C1A4C"/>
    <w:rsid w:val="001C1AB4"/>
    <w:rsid w:val="001C1B4E"/>
    <w:rsid w:val="001C1B7E"/>
    <w:rsid w:val="001C1BC8"/>
    <w:rsid w:val="001C1BE9"/>
    <w:rsid w:val="001C1C0D"/>
    <w:rsid w:val="001C1C4D"/>
    <w:rsid w:val="001C1C61"/>
    <w:rsid w:val="001C1C89"/>
    <w:rsid w:val="001C1CB9"/>
    <w:rsid w:val="001C1D29"/>
    <w:rsid w:val="001C1D4C"/>
    <w:rsid w:val="001C1D4F"/>
    <w:rsid w:val="001C1D6E"/>
    <w:rsid w:val="001C1E41"/>
    <w:rsid w:val="001C1E93"/>
    <w:rsid w:val="001C1ECC"/>
    <w:rsid w:val="001C1F02"/>
    <w:rsid w:val="001C1F17"/>
    <w:rsid w:val="001C1F41"/>
    <w:rsid w:val="001C1F42"/>
    <w:rsid w:val="001C1F88"/>
    <w:rsid w:val="001C1FFE"/>
    <w:rsid w:val="001C20A2"/>
    <w:rsid w:val="001C20D0"/>
    <w:rsid w:val="001C20F3"/>
    <w:rsid w:val="001C2194"/>
    <w:rsid w:val="001C2214"/>
    <w:rsid w:val="001C22AD"/>
    <w:rsid w:val="001C22C6"/>
    <w:rsid w:val="001C22D6"/>
    <w:rsid w:val="001C22FF"/>
    <w:rsid w:val="001C2336"/>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0D"/>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57"/>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D"/>
    <w:rsid w:val="001C2D3A"/>
    <w:rsid w:val="001C2D4D"/>
    <w:rsid w:val="001C2D6E"/>
    <w:rsid w:val="001C2D84"/>
    <w:rsid w:val="001C2DA8"/>
    <w:rsid w:val="001C2DC0"/>
    <w:rsid w:val="001C2EA3"/>
    <w:rsid w:val="001C2EBD"/>
    <w:rsid w:val="001C2EC7"/>
    <w:rsid w:val="001C2EF8"/>
    <w:rsid w:val="001C2F08"/>
    <w:rsid w:val="001C2F6C"/>
    <w:rsid w:val="001C2F83"/>
    <w:rsid w:val="001C2FC4"/>
    <w:rsid w:val="001C3001"/>
    <w:rsid w:val="001C301D"/>
    <w:rsid w:val="001C3043"/>
    <w:rsid w:val="001C30A7"/>
    <w:rsid w:val="001C30C1"/>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700"/>
    <w:rsid w:val="001C3703"/>
    <w:rsid w:val="001C3757"/>
    <w:rsid w:val="001C37B0"/>
    <w:rsid w:val="001C37D7"/>
    <w:rsid w:val="001C3843"/>
    <w:rsid w:val="001C385A"/>
    <w:rsid w:val="001C3862"/>
    <w:rsid w:val="001C3886"/>
    <w:rsid w:val="001C3889"/>
    <w:rsid w:val="001C3899"/>
    <w:rsid w:val="001C389C"/>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D2"/>
    <w:rsid w:val="001C3DD7"/>
    <w:rsid w:val="001C3DDF"/>
    <w:rsid w:val="001C3DE3"/>
    <w:rsid w:val="001C3E24"/>
    <w:rsid w:val="001C3E2A"/>
    <w:rsid w:val="001C3EE3"/>
    <w:rsid w:val="001C3EE6"/>
    <w:rsid w:val="001C3F34"/>
    <w:rsid w:val="001C3F4E"/>
    <w:rsid w:val="001C3F95"/>
    <w:rsid w:val="001C3F98"/>
    <w:rsid w:val="001C3FCD"/>
    <w:rsid w:val="001C3FD4"/>
    <w:rsid w:val="001C3FD6"/>
    <w:rsid w:val="001C4010"/>
    <w:rsid w:val="001C4099"/>
    <w:rsid w:val="001C40D8"/>
    <w:rsid w:val="001C4106"/>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C"/>
    <w:rsid w:val="001C45A0"/>
    <w:rsid w:val="001C45C0"/>
    <w:rsid w:val="001C45C1"/>
    <w:rsid w:val="001C4600"/>
    <w:rsid w:val="001C4622"/>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6A"/>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4A6"/>
    <w:rsid w:val="001C554F"/>
    <w:rsid w:val="001C556E"/>
    <w:rsid w:val="001C5576"/>
    <w:rsid w:val="001C557B"/>
    <w:rsid w:val="001C56B7"/>
    <w:rsid w:val="001C56C8"/>
    <w:rsid w:val="001C5714"/>
    <w:rsid w:val="001C57BF"/>
    <w:rsid w:val="001C580C"/>
    <w:rsid w:val="001C58D5"/>
    <w:rsid w:val="001C5992"/>
    <w:rsid w:val="001C599D"/>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62"/>
    <w:rsid w:val="001C6977"/>
    <w:rsid w:val="001C69E9"/>
    <w:rsid w:val="001C69EC"/>
    <w:rsid w:val="001C6A0E"/>
    <w:rsid w:val="001C6A13"/>
    <w:rsid w:val="001C6A71"/>
    <w:rsid w:val="001C6A95"/>
    <w:rsid w:val="001C6AA0"/>
    <w:rsid w:val="001C6ACA"/>
    <w:rsid w:val="001C6AD6"/>
    <w:rsid w:val="001C6B0A"/>
    <w:rsid w:val="001C6B17"/>
    <w:rsid w:val="001C6B5A"/>
    <w:rsid w:val="001C6B7C"/>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18C"/>
    <w:rsid w:val="001C71C3"/>
    <w:rsid w:val="001C71D4"/>
    <w:rsid w:val="001C7212"/>
    <w:rsid w:val="001C7226"/>
    <w:rsid w:val="001C726E"/>
    <w:rsid w:val="001C72CE"/>
    <w:rsid w:val="001C746B"/>
    <w:rsid w:val="001C7498"/>
    <w:rsid w:val="001C759D"/>
    <w:rsid w:val="001C75A1"/>
    <w:rsid w:val="001C75B9"/>
    <w:rsid w:val="001C75DF"/>
    <w:rsid w:val="001C75F2"/>
    <w:rsid w:val="001C7624"/>
    <w:rsid w:val="001C7634"/>
    <w:rsid w:val="001C764F"/>
    <w:rsid w:val="001C76D4"/>
    <w:rsid w:val="001C76D5"/>
    <w:rsid w:val="001C7723"/>
    <w:rsid w:val="001C773D"/>
    <w:rsid w:val="001C7763"/>
    <w:rsid w:val="001C778B"/>
    <w:rsid w:val="001C77E2"/>
    <w:rsid w:val="001C780E"/>
    <w:rsid w:val="001C7822"/>
    <w:rsid w:val="001C784D"/>
    <w:rsid w:val="001C7899"/>
    <w:rsid w:val="001C78B8"/>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2E"/>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7FC"/>
    <w:rsid w:val="001D081B"/>
    <w:rsid w:val="001D082A"/>
    <w:rsid w:val="001D0872"/>
    <w:rsid w:val="001D08B9"/>
    <w:rsid w:val="001D090D"/>
    <w:rsid w:val="001D0984"/>
    <w:rsid w:val="001D0986"/>
    <w:rsid w:val="001D09AC"/>
    <w:rsid w:val="001D09F5"/>
    <w:rsid w:val="001D0A10"/>
    <w:rsid w:val="001D0A44"/>
    <w:rsid w:val="001D0AA6"/>
    <w:rsid w:val="001D0B30"/>
    <w:rsid w:val="001D0BBA"/>
    <w:rsid w:val="001D0BFA"/>
    <w:rsid w:val="001D0C09"/>
    <w:rsid w:val="001D0C2A"/>
    <w:rsid w:val="001D0C2E"/>
    <w:rsid w:val="001D0C2F"/>
    <w:rsid w:val="001D0C45"/>
    <w:rsid w:val="001D0C4D"/>
    <w:rsid w:val="001D0C5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37"/>
    <w:rsid w:val="001D1651"/>
    <w:rsid w:val="001D169E"/>
    <w:rsid w:val="001D16A4"/>
    <w:rsid w:val="001D16BA"/>
    <w:rsid w:val="001D16E5"/>
    <w:rsid w:val="001D1718"/>
    <w:rsid w:val="001D1747"/>
    <w:rsid w:val="001D1770"/>
    <w:rsid w:val="001D179E"/>
    <w:rsid w:val="001D17BE"/>
    <w:rsid w:val="001D17C7"/>
    <w:rsid w:val="001D1813"/>
    <w:rsid w:val="001D18EB"/>
    <w:rsid w:val="001D194C"/>
    <w:rsid w:val="001D194F"/>
    <w:rsid w:val="001D1A1D"/>
    <w:rsid w:val="001D1A37"/>
    <w:rsid w:val="001D1A93"/>
    <w:rsid w:val="001D1AEF"/>
    <w:rsid w:val="001D1AF8"/>
    <w:rsid w:val="001D1B32"/>
    <w:rsid w:val="001D1B3E"/>
    <w:rsid w:val="001D1B43"/>
    <w:rsid w:val="001D1B63"/>
    <w:rsid w:val="001D1B89"/>
    <w:rsid w:val="001D1B96"/>
    <w:rsid w:val="001D1BB1"/>
    <w:rsid w:val="001D1BE2"/>
    <w:rsid w:val="001D1CA5"/>
    <w:rsid w:val="001D1CBD"/>
    <w:rsid w:val="001D1CBE"/>
    <w:rsid w:val="001D1CDC"/>
    <w:rsid w:val="001D1CEC"/>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655"/>
    <w:rsid w:val="001D2666"/>
    <w:rsid w:val="001D266B"/>
    <w:rsid w:val="001D26AD"/>
    <w:rsid w:val="001D26E9"/>
    <w:rsid w:val="001D26EE"/>
    <w:rsid w:val="001D277C"/>
    <w:rsid w:val="001D286E"/>
    <w:rsid w:val="001D287E"/>
    <w:rsid w:val="001D28A1"/>
    <w:rsid w:val="001D28ED"/>
    <w:rsid w:val="001D2909"/>
    <w:rsid w:val="001D297B"/>
    <w:rsid w:val="001D297F"/>
    <w:rsid w:val="001D2987"/>
    <w:rsid w:val="001D29A6"/>
    <w:rsid w:val="001D29C5"/>
    <w:rsid w:val="001D29C6"/>
    <w:rsid w:val="001D29D3"/>
    <w:rsid w:val="001D2A62"/>
    <w:rsid w:val="001D2A7E"/>
    <w:rsid w:val="001D2A98"/>
    <w:rsid w:val="001D2AAE"/>
    <w:rsid w:val="001D2B30"/>
    <w:rsid w:val="001D2B32"/>
    <w:rsid w:val="001D2B3B"/>
    <w:rsid w:val="001D2B72"/>
    <w:rsid w:val="001D2B93"/>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F36"/>
    <w:rsid w:val="001D2F3A"/>
    <w:rsid w:val="001D2F58"/>
    <w:rsid w:val="001D2F7F"/>
    <w:rsid w:val="001D2FC2"/>
    <w:rsid w:val="001D3053"/>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E6"/>
    <w:rsid w:val="001D33EC"/>
    <w:rsid w:val="001D33FC"/>
    <w:rsid w:val="001D340E"/>
    <w:rsid w:val="001D3425"/>
    <w:rsid w:val="001D3455"/>
    <w:rsid w:val="001D34A4"/>
    <w:rsid w:val="001D34FF"/>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A"/>
    <w:rsid w:val="001D37FC"/>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9B"/>
    <w:rsid w:val="001D42EF"/>
    <w:rsid w:val="001D430E"/>
    <w:rsid w:val="001D4368"/>
    <w:rsid w:val="001D436C"/>
    <w:rsid w:val="001D4387"/>
    <w:rsid w:val="001D43B9"/>
    <w:rsid w:val="001D43D8"/>
    <w:rsid w:val="001D443B"/>
    <w:rsid w:val="001D44D2"/>
    <w:rsid w:val="001D44EF"/>
    <w:rsid w:val="001D4506"/>
    <w:rsid w:val="001D4562"/>
    <w:rsid w:val="001D45C5"/>
    <w:rsid w:val="001D45E2"/>
    <w:rsid w:val="001D461F"/>
    <w:rsid w:val="001D462F"/>
    <w:rsid w:val="001D4668"/>
    <w:rsid w:val="001D4697"/>
    <w:rsid w:val="001D46A1"/>
    <w:rsid w:val="001D46C7"/>
    <w:rsid w:val="001D46EA"/>
    <w:rsid w:val="001D4735"/>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E2"/>
    <w:rsid w:val="001D4FE6"/>
    <w:rsid w:val="001D4FED"/>
    <w:rsid w:val="001D5022"/>
    <w:rsid w:val="001D509F"/>
    <w:rsid w:val="001D50F3"/>
    <w:rsid w:val="001D5124"/>
    <w:rsid w:val="001D513A"/>
    <w:rsid w:val="001D5155"/>
    <w:rsid w:val="001D51E4"/>
    <w:rsid w:val="001D51F0"/>
    <w:rsid w:val="001D51F2"/>
    <w:rsid w:val="001D5203"/>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E"/>
    <w:rsid w:val="001D59F4"/>
    <w:rsid w:val="001D5A5F"/>
    <w:rsid w:val="001D5AA3"/>
    <w:rsid w:val="001D5AD0"/>
    <w:rsid w:val="001D5B18"/>
    <w:rsid w:val="001D5B27"/>
    <w:rsid w:val="001D5B2C"/>
    <w:rsid w:val="001D5B3E"/>
    <w:rsid w:val="001D5B8E"/>
    <w:rsid w:val="001D5BAD"/>
    <w:rsid w:val="001D5BE8"/>
    <w:rsid w:val="001D5CE8"/>
    <w:rsid w:val="001D5D10"/>
    <w:rsid w:val="001D5DB6"/>
    <w:rsid w:val="001D5E64"/>
    <w:rsid w:val="001D5E72"/>
    <w:rsid w:val="001D5F15"/>
    <w:rsid w:val="001D5F45"/>
    <w:rsid w:val="001D5F6F"/>
    <w:rsid w:val="001D5FDC"/>
    <w:rsid w:val="001D6004"/>
    <w:rsid w:val="001D6096"/>
    <w:rsid w:val="001D60FC"/>
    <w:rsid w:val="001D6135"/>
    <w:rsid w:val="001D6177"/>
    <w:rsid w:val="001D6208"/>
    <w:rsid w:val="001D6218"/>
    <w:rsid w:val="001D621D"/>
    <w:rsid w:val="001D6249"/>
    <w:rsid w:val="001D626C"/>
    <w:rsid w:val="001D627D"/>
    <w:rsid w:val="001D6281"/>
    <w:rsid w:val="001D628A"/>
    <w:rsid w:val="001D629F"/>
    <w:rsid w:val="001D6345"/>
    <w:rsid w:val="001D634A"/>
    <w:rsid w:val="001D6381"/>
    <w:rsid w:val="001D63A1"/>
    <w:rsid w:val="001D63AE"/>
    <w:rsid w:val="001D63C2"/>
    <w:rsid w:val="001D63C4"/>
    <w:rsid w:val="001D63F0"/>
    <w:rsid w:val="001D63FE"/>
    <w:rsid w:val="001D6434"/>
    <w:rsid w:val="001D6449"/>
    <w:rsid w:val="001D649B"/>
    <w:rsid w:val="001D64A2"/>
    <w:rsid w:val="001D64FF"/>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95"/>
    <w:rsid w:val="001D6A9B"/>
    <w:rsid w:val="001D6AEC"/>
    <w:rsid w:val="001D6B4D"/>
    <w:rsid w:val="001D6B60"/>
    <w:rsid w:val="001D6BB9"/>
    <w:rsid w:val="001D6BD1"/>
    <w:rsid w:val="001D6C08"/>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8D"/>
    <w:rsid w:val="001D6F94"/>
    <w:rsid w:val="001D6FD6"/>
    <w:rsid w:val="001D7008"/>
    <w:rsid w:val="001D704C"/>
    <w:rsid w:val="001D70A9"/>
    <w:rsid w:val="001D70AF"/>
    <w:rsid w:val="001D71C5"/>
    <w:rsid w:val="001D7212"/>
    <w:rsid w:val="001D7223"/>
    <w:rsid w:val="001D72F3"/>
    <w:rsid w:val="001D7306"/>
    <w:rsid w:val="001D7313"/>
    <w:rsid w:val="001D732C"/>
    <w:rsid w:val="001D7353"/>
    <w:rsid w:val="001D7372"/>
    <w:rsid w:val="001D737D"/>
    <w:rsid w:val="001D738C"/>
    <w:rsid w:val="001D73CD"/>
    <w:rsid w:val="001D73FC"/>
    <w:rsid w:val="001D746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B"/>
    <w:rsid w:val="001D7C4D"/>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74"/>
    <w:rsid w:val="001E027E"/>
    <w:rsid w:val="001E030B"/>
    <w:rsid w:val="001E03AB"/>
    <w:rsid w:val="001E03BF"/>
    <w:rsid w:val="001E03CD"/>
    <w:rsid w:val="001E03D6"/>
    <w:rsid w:val="001E03EE"/>
    <w:rsid w:val="001E0442"/>
    <w:rsid w:val="001E04D8"/>
    <w:rsid w:val="001E0525"/>
    <w:rsid w:val="001E0539"/>
    <w:rsid w:val="001E0548"/>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7F"/>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1E"/>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D5"/>
    <w:rsid w:val="001E19DA"/>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8A"/>
    <w:rsid w:val="001E2012"/>
    <w:rsid w:val="001E2085"/>
    <w:rsid w:val="001E2098"/>
    <w:rsid w:val="001E20DE"/>
    <w:rsid w:val="001E20F0"/>
    <w:rsid w:val="001E2115"/>
    <w:rsid w:val="001E215C"/>
    <w:rsid w:val="001E2186"/>
    <w:rsid w:val="001E21A7"/>
    <w:rsid w:val="001E21B4"/>
    <w:rsid w:val="001E225F"/>
    <w:rsid w:val="001E2275"/>
    <w:rsid w:val="001E22A0"/>
    <w:rsid w:val="001E22A6"/>
    <w:rsid w:val="001E2383"/>
    <w:rsid w:val="001E2386"/>
    <w:rsid w:val="001E241B"/>
    <w:rsid w:val="001E2429"/>
    <w:rsid w:val="001E247A"/>
    <w:rsid w:val="001E2519"/>
    <w:rsid w:val="001E257B"/>
    <w:rsid w:val="001E2590"/>
    <w:rsid w:val="001E25A4"/>
    <w:rsid w:val="001E25DC"/>
    <w:rsid w:val="001E25ED"/>
    <w:rsid w:val="001E25F7"/>
    <w:rsid w:val="001E2648"/>
    <w:rsid w:val="001E26BB"/>
    <w:rsid w:val="001E26C3"/>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F3"/>
    <w:rsid w:val="001E2D1E"/>
    <w:rsid w:val="001E2D40"/>
    <w:rsid w:val="001E2DC1"/>
    <w:rsid w:val="001E2DD7"/>
    <w:rsid w:val="001E2E01"/>
    <w:rsid w:val="001E2E29"/>
    <w:rsid w:val="001E2EB7"/>
    <w:rsid w:val="001E2ED9"/>
    <w:rsid w:val="001E2EE7"/>
    <w:rsid w:val="001E2F5D"/>
    <w:rsid w:val="001E2F76"/>
    <w:rsid w:val="001E2F87"/>
    <w:rsid w:val="001E2FB7"/>
    <w:rsid w:val="001E2FDD"/>
    <w:rsid w:val="001E3012"/>
    <w:rsid w:val="001E303B"/>
    <w:rsid w:val="001E3043"/>
    <w:rsid w:val="001E308D"/>
    <w:rsid w:val="001E309B"/>
    <w:rsid w:val="001E30A5"/>
    <w:rsid w:val="001E30C4"/>
    <w:rsid w:val="001E30EA"/>
    <w:rsid w:val="001E30F5"/>
    <w:rsid w:val="001E3154"/>
    <w:rsid w:val="001E317B"/>
    <w:rsid w:val="001E3195"/>
    <w:rsid w:val="001E31A1"/>
    <w:rsid w:val="001E31EC"/>
    <w:rsid w:val="001E3219"/>
    <w:rsid w:val="001E3331"/>
    <w:rsid w:val="001E3343"/>
    <w:rsid w:val="001E339A"/>
    <w:rsid w:val="001E33C1"/>
    <w:rsid w:val="001E33C2"/>
    <w:rsid w:val="001E3432"/>
    <w:rsid w:val="001E3488"/>
    <w:rsid w:val="001E3498"/>
    <w:rsid w:val="001E34A7"/>
    <w:rsid w:val="001E3516"/>
    <w:rsid w:val="001E3548"/>
    <w:rsid w:val="001E359A"/>
    <w:rsid w:val="001E35A4"/>
    <w:rsid w:val="001E35CA"/>
    <w:rsid w:val="001E362F"/>
    <w:rsid w:val="001E36A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5C"/>
    <w:rsid w:val="001E440E"/>
    <w:rsid w:val="001E443E"/>
    <w:rsid w:val="001E446B"/>
    <w:rsid w:val="001E448A"/>
    <w:rsid w:val="001E44C3"/>
    <w:rsid w:val="001E44C6"/>
    <w:rsid w:val="001E44CE"/>
    <w:rsid w:val="001E44E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8E4"/>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4D"/>
    <w:rsid w:val="001E5E7A"/>
    <w:rsid w:val="001E5EFC"/>
    <w:rsid w:val="001E5F0D"/>
    <w:rsid w:val="001E606D"/>
    <w:rsid w:val="001E60BD"/>
    <w:rsid w:val="001E61AD"/>
    <w:rsid w:val="001E61AE"/>
    <w:rsid w:val="001E61CB"/>
    <w:rsid w:val="001E627A"/>
    <w:rsid w:val="001E6298"/>
    <w:rsid w:val="001E62A0"/>
    <w:rsid w:val="001E6319"/>
    <w:rsid w:val="001E6345"/>
    <w:rsid w:val="001E6362"/>
    <w:rsid w:val="001E6386"/>
    <w:rsid w:val="001E63EC"/>
    <w:rsid w:val="001E63F8"/>
    <w:rsid w:val="001E645C"/>
    <w:rsid w:val="001E6465"/>
    <w:rsid w:val="001E646A"/>
    <w:rsid w:val="001E648D"/>
    <w:rsid w:val="001E6491"/>
    <w:rsid w:val="001E64B9"/>
    <w:rsid w:val="001E6506"/>
    <w:rsid w:val="001E650C"/>
    <w:rsid w:val="001E653C"/>
    <w:rsid w:val="001E655A"/>
    <w:rsid w:val="001E655D"/>
    <w:rsid w:val="001E6576"/>
    <w:rsid w:val="001E657B"/>
    <w:rsid w:val="001E6592"/>
    <w:rsid w:val="001E65ED"/>
    <w:rsid w:val="001E65F9"/>
    <w:rsid w:val="001E6655"/>
    <w:rsid w:val="001E6658"/>
    <w:rsid w:val="001E6694"/>
    <w:rsid w:val="001E66F1"/>
    <w:rsid w:val="001E66F8"/>
    <w:rsid w:val="001E6747"/>
    <w:rsid w:val="001E67F3"/>
    <w:rsid w:val="001E6819"/>
    <w:rsid w:val="001E6850"/>
    <w:rsid w:val="001E6851"/>
    <w:rsid w:val="001E685C"/>
    <w:rsid w:val="001E68AB"/>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B8"/>
    <w:rsid w:val="001E6CCD"/>
    <w:rsid w:val="001E6CD9"/>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25"/>
    <w:rsid w:val="001E7057"/>
    <w:rsid w:val="001E7071"/>
    <w:rsid w:val="001E707B"/>
    <w:rsid w:val="001E70C6"/>
    <w:rsid w:val="001E70FB"/>
    <w:rsid w:val="001E7152"/>
    <w:rsid w:val="001E717C"/>
    <w:rsid w:val="001E718B"/>
    <w:rsid w:val="001E71A1"/>
    <w:rsid w:val="001E72C8"/>
    <w:rsid w:val="001E72DB"/>
    <w:rsid w:val="001E7324"/>
    <w:rsid w:val="001E732D"/>
    <w:rsid w:val="001E7343"/>
    <w:rsid w:val="001E7344"/>
    <w:rsid w:val="001E7351"/>
    <w:rsid w:val="001E73B1"/>
    <w:rsid w:val="001E73BB"/>
    <w:rsid w:val="001E73DC"/>
    <w:rsid w:val="001E7402"/>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63"/>
    <w:rsid w:val="001E7D67"/>
    <w:rsid w:val="001E7DCE"/>
    <w:rsid w:val="001E7DEB"/>
    <w:rsid w:val="001E7E09"/>
    <w:rsid w:val="001E7E26"/>
    <w:rsid w:val="001E7E65"/>
    <w:rsid w:val="001E7EAB"/>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49D"/>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5B"/>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29"/>
    <w:rsid w:val="001F0EB4"/>
    <w:rsid w:val="001F0F1E"/>
    <w:rsid w:val="001F0F54"/>
    <w:rsid w:val="001F0F78"/>
    <w:rsid w:val="001F0F79"/>
    <w:rsid w:val="001F0F7C"/>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AB"/>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0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02"/>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4F"/>
    <w:rsid w:val="001F2293"/>
    <w:rsid w:val="001F229A"/>
    <w:rsid w:val="001F22CE"/>
    <w:rsid w:val="001F22D4"/>
    <w:rsid w:val="001F22DE"/>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6E"/>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24"/>
    <w:rsid w:val="001F2E32"/>
    <w:rsid w:val="001F2EC1"/>
    <w:rsid w:val="001F2F42"/>
    <w:rsid w:val="001F2F48"/>
    <w:rsid w:val="001F2F57"/>
    <w:rsid w:val="001F2F93"/>
    <w:rsid w:val="001F2FBC"/>
    <w:rsid w:val="001F3030"/>
    <w:rsid w:val="001F304F"/>
    <w:rsid w:val="001F3085"/>
    <w:rsid w:val="001F3094"/>
    <w:rsid w:val="001F3188"/>
    <w:rsid w:val="001F3202"/>
    <w:rsid w:val="001F3211"/>
    <w:rsid w:val="001F3238"/>
    <w:rsid w:val="001F3292"/>
    <w:rsid w:val="001F32DA"/>
    <w:rsid w:val="001F32F7"/>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E4"/>
    <w:rsid w:val="001F372D"/>
    <w:rsid w:val="001F3754"/>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95"/>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BB"/>
    <w:rsid w:val="001F3EE5"/>
    <w:rsid w:val="001F3F51"/>
    <w:rsid w:val="001F3F55"/>
    <w:rsid w:val="001F3F85"/>
    <w:rsid w:val="001F3FB4"/>
    <w:rsid w:val="001F3FB6"/>
    <w:rsid w:val="001F3FC9"/>
    <w:rsid w:val="001F400F"/>
    <w:rsid w:val="001F4035"/>
    <w:rsid w:val="001F4049"/>
    <w:rsid w:val="001F40DF"/>
    <w:rsid w:val="001F4115"/>
    <w:rsid w:val="001F41CA"/>
    <w:rsid w:val="001F41DC"/>
    <w:rsid w:val="001F4246"/>
    <w:rsid w:val="001F428C"/>
    <w:rsid w:val="001F4292"/>
    <w:rsid w:val="001F429B"/>
    <w:rsid w:val="001F42BD"/>
    <w:rsid w:val="001F42D8"/>
    <w:rsid w:val="001F42F5"/>
    <w:rsid w:val="001F4349"/>
    <w:rsid w:val="001F4353"/>
    <w:rsid w:val="001F43AA"/>
    <w:rsid w:val="001F441C"/>
    <w:rsid w:val="001F442B"/>
    <w:rsid w:val="001F446A"/>
    <w:rsid w:val="001F447E"/>
    <w:rsid w:val="001F4482"/>
    <w:rsid w:val="001F44C6"/>
    <w:rsid w:val="001F4510"/>
    <w:rsid w:val="001F4569"/>
    <w:rsid w:val="001F456A"/>
    <w:rsid w:val="001F4577"/>
    <w:rsid w:val="001F45D8"/>
    <w:rsid w:val="001F4616"/>
    <w:rsid w:val="001F4649"/>
    <w:rsid w:val="001F467A"/>
    <w:rsid w:val="001F4681"/>
    <w:rsid w:val="001F4730"/>
    <w:rsid w:val="001F4749"/>
    <w:rsid w:val="001F475F"/>
    <w:rsid w:val="001F4760"/>
    <w:rsid w:val="001F4823"/>
    <w:rsid w:val="001F482E"/>
    <w:rsid w:val="001F486C"/>
    <w:rsid w:val="001F488C"/>
    <w:rsid w:val="001F489B"/>
    <w:rsid w:val="001F48D6"/>
    <w:rsid w:val="001F48D8"/>
    <w:rsid w:val="001F48E2"/>
    <w:rsid w:val="001F4923"/>
    <w:rsid w:val="001F4970"/>
    <w:rsid w:val="001F49C3"/>
    <w:rsid w:val="001F49D4"/>
    <w:rsid w:val="001F4A22"/>
    <w:rsid w:val="001F4AE7"/>
    <w:rsid w:val="001F4AF8"/>
    <w:rsid w:val="001F4B3B"/>
    <w:rsid w:val="001F4B60"/>
    <w:rsid w:val="001F4B83"/>
    <w:rsid w:val="001F4BE0"/>
    <w:rsid w:val="001F4BE1"/>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6D"/>
    <w:rsid w:val="001F517B"/>
    <w:rsid w:val="001F51B0"/>
    <w:rsid w:val="001F51BD"/>
    <w:rsid w:val="001F51E7"/>
    <w:rsid w:val="001F51FA"/>
    <w:rsid w:val="001F5234"/>
    <w:rsid w:val="001F52CC"/>
    <w:rsid w:val="001F531A"/>
    <w:rsid w:val="001F534B"/>
    <w:rsid w:val="001F53C8"/>
    <w:rsid w:val="001F543D"/>
    <w:rsid w:val="001F546E"/>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949"/>
    <w:rsid w:val="001F594C"/>
    <w:rsid w:val="001F594E"/>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70"/>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9B"/>
    <w:rsid w:val="001F61DE"/>
    <w:rsid w:val="001F61E7"/>
    <w:rsid w:val="001F61F1"/>
    <w:rsid w:val="001F61F6"/>
    <w:rsid w:val="001F621E"/>
    <w:rsid w:val="001F6230"/>
    <w:rsid w:val="001F62CF"/>
    <w:rsid w:val="001F62F6"/>
    <w:rsid w:val="001F62F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62"/>
    <w:rsid w:val="001F6895"/>
    <w:rsid w:val="001F6899"/>
    <w:rsid w:val="001F690F"/>
    <w:rsid w:val="001F6949"/>
    <w:rsid w:val="001F6970"/>
    <w:rsid w:val="001F6975"/>
    <w:rsid w:val="001F69BB"/>
    <w:rsid w:val="001F69C2"/>
    <w:rsid w:val="001F69FC"/>
    <w:rsid w:val="001F6A1A"/>
    <w:rsid w:val="001F6A1D"/>
    <w:rsid w:val="001F6A7C"/>
    <w:rsid w:val="001F6A98"/>
    <w:rsid w:val="001F6AF5"/>
    <w:rsid w:val="001F6B16"/>
    <w:rsid w:val="001F6BFA"/>
    <w:rsid w:val="001F6C02"/>
    <w:rsid w:val="001F6C08"/>
    <w:rsid w:val="001F6C49"/>
    <w:rsid w:val="001F6C4A"/>
    <w:rsid w:val="001F6CE8"/>
    <w:rsid w:val="001F6CF6"/>
    <w:rsid w:val="001F6D16"/>
    <w:rsid w:val="001F6D6D"/>
    <w:rsid w:val="001F6D70"/>
    <w:rsid w:val="001F6D9B"/>
    <w:rsid w:val="001F6DC1"/>
    <w:rsid w:val="001F6E01"/>
    <w:rsid w:val="001F6E86"/>
    <w:rsid w:val="001F6EAA"/>
    <w:rsid w:val="001F6EB1"/>
    <w:rsid w:val="001F6ECC"/>
    <w:rsid w:val="001F6F17"/>
    <w:rsid w:val="001F6F4F"/>
    <w:rsid w:val="001F6FB4"/>
    <w:rsid w:val="001F7018"/>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D9"/>
    <w:rsid w:val="001F7EDF"/>
    <w:rsid w:val="001F7F04"/>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4D"/>
    <w:rsid w:val="00200750"/>
    <w:rsid w:val="00200776"/>
    <w:rsid w:val="002007A1"/>
    <w:rsid w:val="002007B8"/>
    <w:rsid w:val="002007C7"/>
    <w:rsid w:val="002007EE"/>
    <w:rsid w:val="002008D4"/>
    <w:rsid w:val="002008D5"/>
    <w:rsid w:val="00200904"/>
    <w:rsid w:val="00200967"/>
    <w:rsid w:val="0020099C"/>
    <w:rsid w:val="00200A17"/>
    <w:rsid w:val="00200A30"/>
    <w:rsid w:val="00200AC6"/>
    <w:rsid w:val="00200BAC"/>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20F"/>
    <w:rsid w:val="00201306"/>
    <w:rsid w:val="0020131C"/>
    <w:rsid w:val="00201368"/>
    <w:rsid w:val="002013B4"/>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64"/>
    <w:rsid w:val="00201A03"/>
    <w:rsid w:val="00201A09"/>
    <w:rsid w:val="00201A1C"/>
    <w:rsid w:val="00201A98"/>
    <w:rsid w:val="00201AB9"/>
    <w:rsid w:val="00201B06"/>
    <w:rsid w:val="00201B69"/>
    <w:rsid w:val="00201B94"/>
    <w:rsid w:val="00201BC3"/>
    <w:rsid w:val="00201C59"/>
    <w:rsid w:val="00201CE7"/>
    <w:rsid w:val="00201D0C"/>
    <w:rsid w:val="00201DB2"/>
    <w:rsid w:val="00201DCB"/>
    <w:rsid w:val="00201DD3"/>
    <w:rsid w:val="00201DE2"/>
    <w:rsid w:val="00201DEF"/>
    <w:rsid w:val="00201DF7"/>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2E4"/>
    <w:rsid w:val="00202376"/>
    <w:rsid w:val="00202432"/>
    <w:rsid w:val="00202441"/>
    <w:rsid w:val="00202472"/>
    <w:rsid w:val="002024A0"/>
    <w:rsid w:val="002024C2"/>
    <w:rsid w:val="00202555"/>
    <w:rsid w:val="002025C6"/>
    <w:rsid w:val="002025FC"/>
    <w:rsid w:val="00202602"/>
    <w:rsid w:val="0020260A"/>
    <w:rsid w:val="0020260D"/>
    <w:rsid w:val="00202640"/>
    <w:rsid w:val="00202642"/>
    <w:rsid w:val="00202690"/>
    <w:rsid w:val="0020269F"/>
    <w:rsid w:val="002026A5"/>
    <w:rsid w:val="002026AC"/>
    <w:rsid w:val="00202706"/>
    <w:rsid w:val="00202723"/>
    <w:rsid w:val="00202754"/>
    <w:rsid w:val="002027CD"/>
    <w:rsid w:val="002027F4"/>
    <w:rsid w:val="00202850"/>
    <w:rsid w:val="0020288A"/>
    <w:rsid w:val="002028E3"/>
    <w:rsid w:val="00202913"/>
    <w:rsid w:val="0020296A"/>
    <w:rsid w:val="0020296F"/>
    <w:rsid w:val="00202971"/>
    <w:rsid w:val="00202972"/>
    <w:rsid w:val="0020298C"/>
    <w:rsid w:val="00202A81"/>
    <w:rsid w:val="00202A9E"/>
    <w:rsid w:val="00202ACD"/>
    <w:rsid w:val="00202AEB"/>
    <w:rsid w:val="00202AFA"/>
    <w:rsid w:val="00202B67"/>
    <w:rsid w:val="00202B99"/>
    <w:rsid w:val="00202BD7"/>
    <w:rsid w:val="00202C01"/>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78"/>
    <w:rsid w:val="00202F8A"/>
    <w:rsid w:val="00202F95"/>
    <w:rsid w:val="00202FCF"/>
    <w:rsid w:val="00203016"/>
    <w:rsid w:val="002030A3"/>
    <w:rsid w:val="002030BE"/>
    <w:rsid w:val="002030DA"/>
    <w:rsid w:val="0020318B"/>
    <w:rsid w:val="00203210"/>
    <w:rsid w:val="0020322B"/>
    <w:rsid w:val="0020322F"/>
    <w:rsid w:val="00203269"/>
    <w:rsid w:val="0020326C"/>
    <w:rsid w:val="0020327D"/>
    <w:rsid w:val="002032AC"/>
    <w:rsid w:val="002032E3"/>
    <w:rsid w:val="0020330F"/>
    <w:rsid w:val="0020331C"/>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F7"/>
    <w:rsid w:val="00203A2B"/>
    <w:rsid w:val="00203A8E"/>
    <w:rsid w:val="00203ADA"/>
    <w:rsid w:val="00203AF1"/>
    <w:rsid w:val="00203B24"/>
    <w:rsid w:val="00203B9B"/>
    <w:rsid w:val="00203BEB"/>
    <w:rsid w:val="00203BEF"/>
    <w:rsid w:val="00203C26"/>
    <w:rsid w:val="00203CBB"/>
    <w:rsid w:val="00203CC0"/>
    <w:rsid w:val="00203CC3"/>
    <w:rsid w:val="00203D01"/>
    <w:rsid w:val="00203D13"/>
    <w:rsid w:val="00203D35"/>
    <w:rsid w:val="00203D3B"/>
    <w:rsid w:val="00203D84"/>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F8"/>
    <w:rsid w:val="0020413E"/>
    <w:rsid w:val="00204202"/>
    <w:rsid w:val="0020424C"/>
    <w:rsid w:val="00204250"/>
    <w:rsid w:val="00204294"/>
    <w:rsid w:val="002042B6"/>
    <w:rsid w:val="002042BD"/>
    <w:rsid w:val="002042CC"/>
    <w:rsid w:val="002042F8"/>
    <w:rsid w:val="00204330"/>
    <w:rsid w:val="00204474"/>
    <w:rsid w:val="002044AB"/>
    <w:rsid w:val="002044C9"/>
    <w:rsid w:val="00204507"/>
    <w:rsid w:val="0020453A"/>
    <w:rsid w:val="00204579"/>
    <w:rsid w:val="00204597"/>
    <w:rsid w:val="00204605"/>
    <w:rsid w:val="00204627"/>
    <w:rsid w:val="0020463F"/>
    <w:rsid w:val="00204646"/>
    <w:rsid w:val="0020464F"/>
    <w:rsid w:val="002046C4"/>
    <w:rsid w:val="002046D7"/>
    <w:rsid w:val="002046F8"/>
    <w:rsid w:val="00204768"/>
    <w:rsid w:val="00204777"/>
    <w:rsid w:val="0020478E"/>
    <w:rsid w:val="00204797"/>
    <w:rsid w:val="002047A8"/>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8D"/>
    <w:rsid w:val="00204DC1"/>
    <w:rsid w:val="00204E1B"/>
    <w:rsid w:val="00204EA9"/>
    <w:rsid w:val="00204ECF"/>
    <w:rsid w:val="00204F14"/>
    <w:rsid w:val="00204FAD"/>
    <w:rsid w:val="00204FD1"/>
    <w:rsid w:val="00204FED"/>
    <w:rsid w:val="00205075"/>
    <w:rsid w:val="00205082"/>
    <w:rsid w:val="00205129"/>
    <w:rsid w:val="002051E6"/>
    <w:rsid w:val="00205201"/>
    <w:rsid w:val="00205219"/>
    <w:rsid w:val="0020523A"/>
    <w:rsid w:val="0020525B"/>
    <w:rsid w:val="002052BC"/>
    <w:rsid w:val="002052F0"/>
    <w:rsid w:val="002052FC"/>
    <w:rsid w:val="00205315"/>
    <w:rsid w:val="002053B2"/>
    <w:rsid w:val="002053DF"/>
    <w:rsid w:val="002053E4"/>
    <w:rsid w:val="0020544F"/>
    <w:rsid w:val="0020545F"/>
    <w:rsid w:val="00205465"/>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3E"/>
    <w:rsid w:val="00205C42"/>
    <w:rsid w:val="00205C73"/>
    <w:rsid w:val="00205D18"/>
    <w:rsid w:val="00205D34"/>
    <w:rsid w:val="00205DB9"/>
    <w:rsid w:val="00205DFE"/>
    <w:rsid w:val="00205E4C"/>
    <w:rsid w:val="00205E96"/>
    <w:rsid w:val="00205EA7"/>
    <w:rsid w:val="00205EBD"/>
    <w:rsid w:val="00205EC8"/>
    <w:rsid w:val="00205ED2"/>
    <w:rsid w:val="00205EE1"/>
    <w:rsid w:val="00205F47"/>
    <w:rsid w:val="00205F8E"/>
    <w:rsid w:val="00205FA6"/>
    <w:rsid w:val="00205FBA"/>
    <w:rsid w:val="00206035"/>
    <w:rsid w:val="0020605C"/>
    <w:rsid w:val="0020609A"/>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44"/>
    <w:rsid w:val="00206470"/>
    <w:rsid w:val="0020647D"/>
    <w:rsid w:val="00206490"/>
    <w:rsid w:val="002064AE"/>
    <w:rsid w:val="002064D4"/>
    <w:rsid w:val="00206507"/>
    <w:rsid w:val="00206567"/>
    <w:rsid w:val="0020658B"/>
    <w:rsid w:val="0020659E"/>
    <w:rsid w:val="002065D2"/>
    <w:rsid w:val="00206613"/>
    <w:rsid w:val="0020661E"/>
    <w:rsid w:val="00206623"/>
    <w:rsid w:val="00206716"/>
    <w:rsid w:val="002067BD"/>
    <w:rsid w:val="002067C0"/>
    <w:rsid w:val="002067D6"/>
    <w:rsid w:val="0020685D"/>
    <w:rsid w:val="00206864"/>
    <w:rsid w:val="00206896"/>
    <w:rsid w:val="002068E8"/>
    <w:rsid w:val="002068E9"/>
    <w:rsid w:val="002068EE"/>
    <w:rsid w:val="00206932"/>
    <w:rsid w:val="002069CE"/>
    <w:rsid w:val="00206A20"/>
    <w:rsid w:val="00206A21"/>
    <w:rsid w:val="00206A4E"/>
    <w:rsid w:val="00206AB0"/>
    <w:rsid w:val="00206B15"/>
    <w:rsid w:val="00206B69"/>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59"/>
    <w:rsid w:val="0020705F"/>
    <w:rsid w:val="00207083"/>
    <w:rsid w:val="002070C2"/>
    <w:rsid w:val="002070E6"/>
    <w:rsid w:val="002070EA"/>
    <w:rsid w:val="002070F7"/>
    <w:rsid w:val="00207101"/>
    <w:rsid w:val="0020712B"/>
    <w:rsid w:val="0020714B"/>
    <w:rsid w:val="00207189"/>
    <w:rsid w:val="0020718C"/>
    <w:rsid w:val="002071E6"/>
    <w:rsid w:val="002071F0"/>
    <w:rsid w:val="00207215"/>
    <w:rsid w:val="00207224"/>
    <w:rsid w:val="0020722F"/>
    <w:rsid w:val="0020723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29"/>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B01"/>
    <w:rsid w:val="00210B04"/>
    <w:rsid w:val="00210BAE"/>
    <w:rsid w:val="00210BB4"/>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8A"/>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15C"/>
    <w:rsid w:val="00211271"/>
    <w:rsid w:val="00211287"/>
    <w:rsid w:val="0021131B"/>
    <w:rsid w:val="00211332"/>
    <w:rsid w:val="002113AD"/>
    <w:rsid w:val="002113CE"/>
    <w:rsid w:val="002113FB"/>
    <w:rsid w:val="00211421"/>
    <w:rsid w:val="00211495"/>
    <w:rsid w:val="002114CD"/>
    <w:rsid w:val="002114F6"/>
    <w:rsid w:val="00211515"/>
    <w:rsid w:val="00211571"/>
    <w:rsid w:val="0021157F"/>
    <w:rsid w:val="0021161E"/>
    <w:rsid w:val="00211623"/>
    <w:rsid w:val="00211694"/>
    <w:rsid w:val="002116AB"/>
    <w:rsid w:val="002116BC"/>
    <w:rsid w:val="00211736"/>
    <w:rsid w:val="0021175A"/>
    <w:rsid w:val="002117C9"/>
    <w:rsid w:val="002117CD"/>
    <w:rsid w:val="002117CE"/>
    <w:rsid w:val="002117D4"/>
    <w:rsid w:val="002117EC"/>
    <w:rsid w:val="002117F9"/>
    <w:rsid w:val="002117FA"/>
    <w:rsid w:val="00211807"/>
    <w:rsid w:val="00211810"/>
    <w:rsid w:val="0021185A"/>
    <w:rsid w:val="00211873"/>
    <w:rsid w:val="00211884"/>
    <w:rsid w:val="00211886"/>
    <w:rsid w:val="0021188F"/>
    <w:rsid w:val="002118AC"/>
    <w:rsid w:val="00211924"/>
    <w:rsid w:val="0021199A"/>
    <w:rsid w:val="00211A35"/>
    <w:rsid w:val="00211A38"/>
    <w:rsid w:val="00211A62"/>
    <w:rsid w:val="00211AF6"/>
    <w:rsid w:val="00211B18"/>
    <w:rsid w:val="00211B9D"/>
    <w:rsid w:val="00211BA5"/>
    <w:rsid w:val="00211C3F"/>
    <w:rsid w:val="00211C5F"/>
    <w:rsid w:val="00211C65"/>
    <w:rsid w:val="00211C70"/>
    <w:rsid w:val="00211CA1"/>
    <w:rsid w:val="00211CD6"/>
    <w:rsid w:val="00211D8D"/>
    <w:rsid w:val="00211DAA"/>
    <w:rsid w:val="00211DCA"/>
    <w:rsid w:val="00211DFA"/>
    <w:rsid w:val="00211EAA"/>
    <w:rsid w:val="00211F1D"/>
    <w:rsid w:val="00211F2F"/>
    <w:rsid w:val="00211F9B"/>
    <w:rsid w:val="00211FA6"/>
    <w:rsid w:val="0021200A"/>
    <w:rsid w:val="0021206C"/>
    <w:rsid w:val="002120A9"/>
    <w:rsid w:val="002120FB"/>
    <w:rsid w:val="00212107"/>
    <w:rsid w:val="00212136"/>
    <w:rsid w:val="0021213C"/>
    <w:rsid w:val="002121A2"/>
    <w:rsid w:val="002121A9"/>
    <w:rsid w:val="002121BB"/>
    <w:rsid w:val="00212218"/>
    <w:rsid w:val="0021224C"/>
    <w:rsid w:val="002122F4"/>
    <w:rsid w:val="00212335"/>
    <w:rsid w:val="00212337"/>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8A"/>
    <w:rsid w:val="002127A4"/>
    <w:rsid w:val="002127AA"/>
    <w:rsid w:val="00212828"/>
    <w:rsid w:val="0021286C"/>
    <w:rsid w:val="002128A2"/>
    <w:rsid w:val="002128DD"/>
    <w:rsid w:val="0021294D"/>
    <w:rsid w:val="0021296F"/>
    <w:rsid w:val="002129BC"/>
    <w:rsid w:val="002129CF"/>
    <w:rsid w:val="00212A6B"/>
    <w:rsid w:val="00212AA4"/>
    <w:rsid w:val="00212AB3"/>
    <w:rsid w:val="00212B6D"/>
    <w:rsid w:val="00212BBB"/>
    <w:rsid w:val="00212BCD"/>
    <w:rsid w:val="00212BCE"/>
    <w:rsid w:val="00212CBC"/>
    <w:rsid w:val="00212D0A"/>
    <w:rsid w:val="00212D28"/>
    <w:rsid w:val="00212D8A"/>
    <w:rsid w:val="00212DEC"/>
    <w:rsid w:val="00212DF0"/>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AB"/>
    <w:rsid w:val="002143F5"/>
    <w:rsid w:val="00214421"/>
    <w:rsid w:val="0021442F"/>
    <w:rsid w:val="0021448F"/>
    <w:rsid w:val="00214495"/>
    <w:rsid w:val="002144A3"/>
    <w:rsid w:val="002144C1"/>
    <w:rsid w:val="0021451D"/>
    <w:rsid w:val="002145BA"/>
    <w:rsid w:val="002145F9"/>
    <w:rsid w:val="002146EC"/>
    <w:rsid w:val="002146ED"/>
    <w:rsid w:val="002146F3"/>
    <w:rsid w:val="00214720"/>
    <w:rsid w:val="0021472C"/>
    <w:rsid w:val="00214787"/>
    <w:rsid w:val="002147AB"/>
    <w:rsid w:val="00214847"/>
    <w:rsid w:val="002148B1"/>
    <w:rsid w:val="002148D7"/>
    <w:rsid w:val="002148DE"/>
    <w:rsid w:val="002148DF"/>
    <w:rsid w:val="002148F8"/>
    <w:rsid w:val="00214930"/>
    <w:rsid w:val="002149E4"/>
    <w:rsid w:val="00214A56"/>
    <w:rsid w:val="00214A75"/>
    <w:rsid w:val="00214A7D"/>
    <w:rsid w:val="00214A84"/>
    <w:rsid w:val="00214B6D"/>
    <w:rsid w:val="00214BB9"/>
    <w:rsid w:val="00214BED"/>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4"/>
    <w:rsid w:val="0021560B"/>
    <w:rsid w:val="00215646"/>
    <w:rsid w:val="00215652"/>
    <w:rsid w:val="002156CE"/>
    <w:rsid w:val="002156DD"/>
    <w:rsid w:val="00215718"/>
    <w:rsid w:val="00215733"/>
    <w:rsid w:val="0021573B"/>
    <w:rsid w:val="0021577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C4"/>
    <w:rsid w:val="00215CD7"/>
    <w:rsid w:val="00215D13"/>
    <w:rsid w:val="00215D6B"/>
    <w:rsid w:val="00215D75"/>
    <w:rsid w:val="00215D84"/>
    <w:rsid w:val="00215DA2"/>
    <w:rsid w:val="00215DD6"/>
    <w:rsid w:val="00215DE7"/>
    <w:rsid w:val="00215E09"/>
    <w:rsid w:val="00215E6E"/>
    <w:rsid w:val="00215EAF"/>
    <w:rsid w:val="00215EC8"/>
    <w:rsid w:val="00215F11"/>
    <w:rsid w:val="00215F77"/>
    <w:rsid w:val="00215FC7"/>
    <w:rsid w:val="00215FE6"/>
    <w:rsid w:val="00215FF8"/>
    <w:rsid w:val="00216066"/>
    <w:rsid w:val="00216092"/>
    <w:rsid w:val="002160E9"/>
    <w:rsid w:val="0021610E"/>
    <w:rsid w:val="00216151"/>
    <w:rsid w:val="0021615A"/>
    <w:rsid w:val="002161BB"/>
    <w:rsid w:val="002161C5"/>
    <w:rsid w:val="00216225"/>
    <w:rsid w:val="00216253"/>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17"/>
    <w:rsid w:val="0021652F"/>
    <w:rsid w:val="00216605"/>
    <w:rsid w:val="00216613"/>
    <w:rsid w:val="0021665B"/>
    <w:rsid w:val="0021668C"/>
    <w:rsid w:val="002166C0"/>
    <w:rsid w:val="002166C4"/>
    <w:rsid w:val="002166CF"/>
    <w:rsid w:val="002166D9"/>
    <w:rsid w:val="00216710"/>
    <w:rsid w:val="0021671E"/>
    <w:rsid w:val="00216783"/>
    <w:rsid w:val="00216887"/>
    <w:rsid w:val="0021688D"/>
    <w:rsid w:val="00216895"/>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A0"/>
    <w:rsid w:val="00216EDC"/>
    <w:rsid w:val="00216EF9"/>
    <w:rsid w:val="00216FCC"/>
    <w:rsid w:val="00216FCD"/>
    <w:rsid w:val="00216FE6"/>
    <w:rsid w:val="00216FF5"/>
    <w:rsid w:val="00217035"/>
    <w:rsid w:val="00217055"/>
    <w:rsid w:val="00217096"/>
    <w:rsid w:val="002170A9"/>
    <w:rsid w:val="002170DD"/>
    <w:rsid w:val="002171FC"/>
    <w:rsid w:val="00217227"/>
    <w:rsid w:val="0021729D"/>
    <w:rsid w:val="002172AA"/>
    <w:rsid w:val="002172C7"/>
    <w:rsid w:val="002172E5"/>
    <w:rsid w:val="00217333"/>
    <w:rsid w:val="0021733A"/>
    <w:rsid w:val="00217345"/>
    <w:rsid w:val="00217352"/>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3"/>
    <w:rsid w:val="00217826"/>
    <w:rsid w:val="0021783F"/>
    <w:rsid w:val="00217844"/>
    <w:rsid w:val="00217846"/>
    <w:rsid w:val="00217852"/>
    <w:rsid w:val="00217855"/>
    <w:rsid w:val="0021786A"/>
    <w:rsid w:val="00217874"/>
    <w:rsid w:val="0021787B"/>
    <w:rsid w:val="00217884"/>
    <w:rsid w:val="002178C4"/>
    <w:rsid w:val="00217900"/>
    <w:rsid w:val="0021793E"/>
    <w:rsid w:val="00217941"/>
    <w:rsid w:val="0021794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35"/>
    <w:rsid w:val="002200B4"/>
    <w:rsid w:val="002200DD"/>
    <w:rsid w:val="00220132"/>
    <w:rsid w:val="00220187"/>
    <w:rsid w:val="00220196"/>
    <w:rsid w:val="002201B2"/>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75C"/>
    <w:rsid w:val="002207BE"/>
    <w:rsid w:val="002207BF"/>
    <w:rsid w:val="002207C0"/>
    <w:rsid w:val="002207E9"/>
    <w:rsid w:val="002207EA"/>
    <w:rsid w:val="0022083C"/>
    <w:rsid w:val="00220843"/>
    <w:rsid w:val="002208A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F7"/>
    <w:rsid w:val="00220C05"/>
    <w:rsid w:val="00220C20"/>
    <w:rsid w:val="00220C5C"/>
    <w:rsid w:val="00220CB3"/>
    <w:rsid w:val="00220CD7"/>
    <w:rsid w:val="00220CD9"/>
    <w:rsid w:val="00220CFF"/>
    <w:rsid w:val="00220D04"/>
    <w:rsid w:val="00220D42"/>
    <w:rsid w:val="00220D4D"/>
    <w:rsid w:val="00220D7C"/>
    <w:rsid w:val="00220E2F"/>
    <w:rsid w:val="00220E4B"/>
    <w:rsid w:val="00220E83"/>
    <w:rsid w:val="0022100A"/>
    <w:rsid w:val="0022100D"/>
    <w:rsid w:val="00221024"/>
    <w:rsid w:val="0022104D"/>
    <w:rsid w:val="00221070"/>
    <w:rsid w:val="00221098"/>
    <w:rsid w:val="002210C8"/>
    <w:rsid w:val="0022112A"/>
    <w:rsid w:val="00221141"/>
    <w:rsid w:val="00221190"/>
    <w:rsid w:val="002211CC"/>
    <w:rsid w:val="002211E9"/>
    <w:rsid w:val="00221230"/>
    <w:rsid w:val="00221254"/>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F3"/>
    <w:rsid w:val="0022171E"/>
    <w:rsid w:val="0022176F"/>
    <w:rsid w:val="00221794"/>
    <w:rsid w:val="00221797"/>
    <w:rsid w:val="002217B4"/>
    <w:rsid w:val="00221842"/>
    <w:rsid w:val="00221853"/>
    <w:rsid w:val="002218D1"/>
    <w:rsid w:val="00221A2E"/>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A2"/>
    <w:rsid w:val="00221EBC"/>
    <w:rsid w:val="00221F13"/>
    <w:rsid w:val="00221F16"/>
    <w:rsid w:val="00221FD0"/>
    <w:rsid w:val="00221FE8"/>
    <w:rsid w:val="00221FEA"/>
    <w:rsid w:val="0022204B"/>
    <w:rsid w:val="0022204F"/>
    <w:rsid w:val="002220A4"/>
    <w:rsid w:val="002220A9"/>
    <w:rsid w:val="0022210F"/>
    <w:rsid w:val="00222147"/>
    <w:rsid w:val="0022214A"/>
    <w:rsid w:val="00222194"/>
    <w:rsid w:val="002221B7"/>
    <w:rsid w:val="002221D4"/>
    <w:rsid w:val="002221E6"/>
    <w:rsid w:val="00222232"/>
    <w:rsid w:val="0022226D"/>
    <w:rsid w:val="0022227D"/>
    <w:rsid w:val="002222B5"/>
    <w:rsid w:val="002222C4"/>
    <w:rsid w:val="002222F0"/>
    <w:rsid w:val="00222307"/>
    <w:rsid w:val="00222364"/>
    <w:rsid w:val="00222384"/>
    <w:rsid w:val="0022240F"/>
    <w:rsid w:val="00222416"/>
    <w:rsid w:val="0022241A"/>
    <w:rsid w:val="0022242C"/>
    <w:rsid w:val="002224AF"/>
    <w:rsid w:val="002224BD"/>
    <w:rsid w:val="002224E2"/>
    <w:rsid w:val="00222579"/>
    <w:rsid w:val="0022259D"/>
    <w:rsid w:val="0022266D"/>
    <w:rsid w:val="00222726"/>
    <w:rsid w:val="0022277F"/>
    <w:rsid w:val="002227AE"/>
    <w:rsid w:val="00222811"/>
    <w:rsid w:val="0022282C"/>
    <w:rsid w:val="00222837"/>
    <w:rsid w:val="002228D6"/>
    <w:rsid w:val="0022291C"/>
    <w:rsid w:val="00222926"/>
    <w:rsid w:val="00222A6D"/>
    <w:rsid w:val="00222A77"/>
    <w:rsid w:val="00222A89"/>
    <w:rsid w:val="00222A95"/>
    <w:rsid w:val="00222ACA"/>
    <w:rsid w:val="00222AF8"/>
    <w:rsid w:val="00222B0D"/>
    <w:rsid w:val="00222B68"/>
    <w:rsid w:val="00222B8A"/>
    <w:rsid w:val="00222BCE"/>
    <w:rsid w:val="00222BE2"/>
    <w:rsid w:val="00222BF8"/>
    <w:rsid w:val="00222BFF"/>
    <w:rsid w:val="00222C2E"/>
    <w:rsid w:val="00222C59"/>
    <w:rsid w:val="00222C70"/>
    <w:rsid w:val="00222C96"/>
    <w:rsid w:val="00222D4C"/>
    <w:rsid w:val="00222D56"/>
    <w:rsid w:val="00222D67"/>
    <w:rsid w:val="00222D74"/>
    <w:rsid w:val="00222DCC"/>
    <w:rsid w:val="00222E1A"/>
    <w:rsid w:val="00222F3B"/>
    <w:rsid w:val="00222F72"/>
    <w:rsid w:val="00222F8F"/>
    <w:rsid w:val="00222FC8"/>
    <w:rsid w:val="00222FE9"/>
    <w:rsid w:val="00222FF0"/>
    <w:rsid w:val="00222FF4"/>
    <w:rsid w:val="0022301B"/>
    <w:rsid w:val="00223079"/>
    <w:rsid w:val="002230D1"/>
    <w:rsid w:val="00223126"/>
    <w:rsid w:val="00223150"/>
    <w:rsid w:val="00223265"/>
    <w:rsid w:val="0022327A"/>
    <w:rsid w:val="0022332D"/>
    <w:rsid w:val="00223367"/>
    <w:rsid w:val="00223393"/>
    <w:rsid w:val="00223423"/>
    <w:rsid w:val="0022344D"/>
    <w:rsid w:val="00223459"/>
    <w:rsid w:val="002234DA"/>
    <w:rsid w:val="0022352C"/>
    <w:rsid w:val="00223543"/>
    <w:rsid w:val="002235B4"/>
    <w:rsid w:val="002235C0"/>
    <w:rsid w:val="002235DE"/>
    <w:rsid w:val="00223611"/>
    <w:rsid w:val="00223621"/>
    <w:rsid w:val="0022367D"/>
    <w:rsid w:val="00223699"/>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AA"/>
    <w:rsid w:val="002239BB"/>
    <w:rsid w:val="002239CD"/>
    <w:rsid w:val="002239E1"/>
    <w:rsid w:val="002239F9"/>
    <w:rsid w:val="00223A33"/>
    <w:rsid w:val="00223B83"/>
    <w:rsid w:val="00223CA8"/>
    <w:rsid w:val="00223CDC"/>
    <w:rsid w:val="00223CDD"/>
    <w:rsid w:val="00223CFE"/>
    <w:rsid w:val="00223D32"/>
    <w:rsid w:val="00223E71"/>
    <w:rsid w:val="00223E86"/>
    <w:rsid w:val="00223ED5"/>
    <w:rsid w:val="00223EFD"/>
    <w:rsid w:val="00223F54"/>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9CB"/>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74"/>
    <w:rsid w:val="002252B0"/>
    <w:rsid w:val="00225306"/>
    <w:rsid w:val="0022531C"/>
    <w:rsid w:val="00225334"/>
    <w:rsid w:val="00225535"/>
    <w:rsid w:val="0022557D"/>
    <w:rsid w:val="002255A8"/>
    <w:rsid w:val="002255AA"/>
    <w:rsid w:val="002255AD"/>
    <w:rsid w:val="002255BB"/>
    <w:rsid w:val="002255C9"/>
    <w:rsid w:val="0022560F"/>
    <w:rsid w:val="0022564F"/>
    <w:rsid w:val="00225689"/>
    <w:rsid w:val="002256D8"/>
    <w:rsid w:val="0022570E"/>
    <w:rsid w:val="00225797"/>
    <w:rsid w:val="002257B0"/>
    <w:rsid w:val="00225816"/>
    <w:rsid w:val="00225831"/>
    <w:rsid w:val="0022584B"/>
    <w:rsid w:val="0022586E"/>
    <w:rsid w:val="00225970"/>
    <w:rsid w:val="002259A4"/>
    <w:rsid w:val="002259E5"/>
    <w:rsid w:val="00225A08"/>
    <w:rsid w:val="00225A39"/>
    <w:rsid w:val="00225A54"/>
    <w:rsid w:val="00225A58"/>
    <w:rsid w:val="00225A5C"/>
    <w:rsid w:val="00225A68"/>
    <w:rsid w:val="00225A95"/>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5F56"/>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BF"/>
    <w:rsid w:val="002268C5"/>
    <w:rsid w:val="002268EC"/>
    <w:rsid w:val="0022693C"/>
    <w:rsid w:val="00226964"/>
    <w:rsid w:val="0022698D"/>
    <w:rsid w:val="002269BF"/>
    <w:rsid w:val="002269C5"/>
    <w:rsid w:val="002269CB"/>
    <w:rsid w:val="002269EE"/>
    <w:rsid w:val="00226A0F"/>
    <w:rsid w:val="00226A1E"/>
    <w:rsid w:val="00226A61"/>
    <w:rsid w:val="00226A75"/>
    <w:rsid w:val="00226B45"/>
    <w:rsid w:val="00226B70"/>
    <w:rsid w:val="00226B76"/>
    <w:rsid w:val="00226B8F"/>
    <w:rsid w:val="00226BF7"/>
    <w:rsid w:val="00226C39"/>
    <w:rsid w:val="00226C45"/>
    <w:rsid w:val="00226C51"/>
    <w:rsid w:val="00226C9C"/>
    <w:rsid w:val="00226CBA"/>
    <w:rsid w:val="00226CF2"/>
    <w:rsid w:val="00226D12"/>
    <w:rsid w:val="00226D27"/>
    <w:rsid w:val="00226D2F"/>
    <w:rsid w:val="00226D42"/>
    <w:rsid w:val="00226D62"/>
    <w:rsid w:val="00226D7F"/>
    <w:rsid w:val="00226DAB"/>
    <w:rsid w:val="00226DB3"/>
    <w:rsid w:val="00226DCE"/>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62"/>
    <w:rsid w:val="00227599"/>
    <w:rsid w:val="002275A8"/>
    <w:rsid w:val="00227659"/>
    <w:rsid w:val="0022767F"/>
    <w:rsid w:val="002276B2"/>
    <w:rsid w:val="002276FA"/>
    <w:rsid w:val="00227760"/>
    <w:rsid w:val="00227799"/>
    <w:rsid w:val="00227825"/>
    <w:rsid w:val="0022784F"/>
    <w:rsid w:val="00227876"/>
    <w:rsid w:val="002278BB"/>
    <w:rsid w:val="0022791F"/>
    <w:rsid w:val="00227940"/>
    <w:rsid w:val="0022799F"/>
    <w:rsid w:val="002279C9"/>
    <w:rsid w:val="002279FA"/>
    <w:rsid w:val="00227A0A"/>
    <w:rsid w:val="00227A26"/>
    <w:rsid w:val="00227A54"/>
    <w:rsid w:val="00227AA4"/>
    <w:rsid w:val="00227AF0"/>
    <w:rsid w:val="00227AFB"/>
    <w:rsid w:val="00227B83"/>
    <w:rsid w:val="00227BAE"/>
    <w:rsid w:val="00227C05"/>
    <w:rsid w:val="00227C57"/>
    <w:rsid w:val="00227C7A"/>
    <w:rsid w:val="00227CD0"/>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35"/>
    <w:rsid w:val="00230060"/>
    <w:rsid w:val="00230061"/>
    <w:rsid w:val="002300AD"/>
    <w:rsid w:val="002300D4"/>
    <w:rsid w:val="002301A2"/>
    <w:rsid w:val="00230212"/>
    <w:rsid w:val="0023021A"/>
    <w:rsid w:val="00230245"/>
    <w:rsid w:val="0023026E"/>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70A"/>
    <w:rsid w:val="00230846"/>
    <w:rsid w:val="00230852"/>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A"/>
    <w:rsid w:val="00230DEB"/>
    <w:rsid w:val="00230E09"/>
    <w:rsid w:val="00230E3A"/>
    <w:rsid w:val="00230E73"/>
    <w:rsid w:val="00230F27"/>
    <w:rsid w:val="00230F4F"/>
    <w:rsid w:val="00230FB1"/>
    <w:rsid w:val="00230FE5"/>
    <w:rsid w:val="00231084"/>
    <w:rsid w:val="002310C4"/>
    <w:rsid w:val="00231121"/>
    <w:rsid w:val="00231144"/>
    <w:rsid w:val="00231166"/>
    <w:rsid w:val="00231171"/>
    <w:rsid w:val="0023119C"/>
    <w:rsid w:val="0023126A"/>
    <w:rsid w:val="00231290"/>
    <w:rsid w:val="002312C3"/>
    <w:rsid w:val="002312D1"/>
    <w:rsid w:val="0023130A"/>
    <w:rsid w:val="00231313"/>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8FC"/>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49"/>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418"/>
    <w:rsid w:val="0023248E"/>
    <w:rsid w:val="00232501"/>
    <w:rsid w:val="00232542"/>
    <w:rsid w:val="00232553"/>
    <w:rsid w:val="0023261A"/>
    <w:rsid w:val="0023261E"/>
    <w:rsid w:val="00232639"/>
    <w:rsid w:val="0023269C"/>
    <w:rsid w:val="002326DC"/>
    <w:rsid w:val="0023280D"/>
    <w:rsid w:val="00232815"/>
    <w:rsid w:val="00232873"/>
    <w:rsid w:val="002328D8"/>
    <w:rsid w:val="0023292A"/>
    <w:rsid w:val="0023293F"/>
    <w:rsid w:val="00232946"/>
    <w:rsid w:val="0023299A"/>
    <w:rsid w:val="00232A0C"/>
    <w:rsid w:val="00232A3C"/>
    <w:rsid w:val="00232A45"/>
    <w:rsid w:val="00232A51"/>
    <w:rsid w:val="00232AA2"/>
    <w:rsid w:val="00232AC2"/>
    <w:rsid w:val="00232AC4"/>
    <w:rsid w:val="00232B23"/>
    <w:rsid w:val="00232B4E"/>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2E"/>
    <w:rsid w:val="00233251"/>
    <w:rsid w:val="0023326B"/>
    <w:rsid w:val="00233355"/>
    <w:rsid w:val="0023338F"/>
    <w:rsid w:val="0023342A"/>
    <w:rsid w:val="0023349B"/>
    <w:rsid w:val="002334A2"/>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6"/>
    <w:rsid w:val="00233E85"/>
    <w:rsid w:val="00233E8C"/>
    <w:rsid w:val="00233EB1"/>
    <w:rsid w:val="00233EB4"/>
    <w:rsid w:val="00233ECF"/>
    <w:rsid w:val="00233ED9"/>
    <w:rsid w:val="00233F82"/>
    <w:rsid w:val="00233F89"/>
    <w:rsid w:val="00234047"/>
    <w:rsid w:val="0023409E"/>
    <w:rsid w:val="002340B3"/>
    <w:rsid w:val="002340BA"/>
    <w:rsid w:val="0023411A"/>
    <w:rsid w:val="002341A4"/>
    <w:rsid w:val="002341F6"/>
    <w:rsid w:val="0023420F"/>
    <w:rsid w:val="00234268"/>
    <w:rsid w:val="0023426F"/>
    <w:rsid w:val="0023428C"/>
    <w:rsid w:val="00234315"/>
    <w:rsid w:val="0023437B"/>
    <w:rsid w:val="0023438E"/>
    <w:rsid w:val="00234391"/>
    <w:rsid w:val="002343B1"/>
    <w:rsid w:val="002343C1"/>
    <w:rsid w:val="002343FA"/>
    <w:rsid w:val="0023445B"/>
    <w:rsid w:val="0023445C"/>
    <w:rsid w:val="002344C3"/>
    <w:rsid w:val="00234522"/>
    <w:rsid w:val="00234534"/>
    <w:rsid w:val="00234551"/>
    <w:rsid w:val="0023458F"/>
    <w:rsid w:val="002345AB"/>
    <w:rsid w:val="002345EA"/>
    <w:rsid w:val="0023461A"/>
    <w:rsid w:val="00234657"/>
    <w:rsid w:val="0023466B"/>
    <w:rsid w:val="002346A6"/>
    <w:rsid w:val="002346AC"/>
    <w:rsid w:val="00234726"/>
    <w:rsid w:val="00234776"/>
    <w:rsid w:val="00234780"/>
    <w:rsid w:val="002347D2"/>
    <w:rsid w:val="00234836"/>
    <w:rsid w:val="00234851"/>
    <w:rsid w:val="002348DA"/>
    <w:rsid w:val="002348DB"/>
    <w:rsid w:val="0023493E"/>
    <w:rsid w:val="002349B8"/>
    <w:rsid w:val="00234A0A"/>
    <w:rsid w:val="00234A3E"/>
    <w:rsid w:val="00234A8D"/>
    <w:rsid w:val="00234A90"/>
    <w:rsid w:val="00234B40"/>
    <w:rsid w:val="00234B4F"/>
    <w:rsid w:val="00234B7C"/>
    <w:rsid w:val="00234BA9"/>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17"/>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7"/>
    <w:rsid w:val="002354E4"/>
    <w:rsid w:val="0023550D"/>
    <w:rsid w:val="0023553F"/>
    <w:rsid w:val="00235549"/>
    <w:rsid w:val="0023554C"/>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41"/>
    <w:rsid w:val="00235957"/>
    <w:rsid w:val="002359D5"/>
    <w:rsid w:val="002359DE"/>
    <w:rsid w:val="002359F4"/>
    <w:rsid w:val="00235A3D"/>
    <w:rsid w:val="00235A64"/>
    <w:rsid w:val="00235A9B"/>
    <w:rsid w:val="00235AD6"/>
    <w:rsid w:val="00235B44"/>
    <w:rsid w:val="00235B76"/>
    <w:rsid w:val="00235C3B"/>
    <w:rsid w:val="00235C6E"/>
    <w:rsid w:val="00235CA1"/>
    <w:rsid w:val="00235CC6"/>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50"/>
    <w:rsid w:val="002365EE"/>
    <w:rsid w:val="00236601"/>
    <w:rsid w:val="00236617"/>
    <w:rsid w:val="00236649"/>
    <w:rsid w:val="00236692"/>
    <w:rsid w:val="002366AF"/>
    <w:rsid w:val="00236714"/>
    <w:rsid w:val="00236744"/>
    <w:rsid w:val="0023675A"/>
    <w:rsid w:val="0023675D"/>
    <w:rsid w:val="00236768"/>
    <w:rsid w:val="002367CE"/>
    <w:rsid w:val="00236859"/>
    <w:rsid w:val="002368AF"/>
    <w:rsid w:val="002368DA"/>
    <w:rsid w:val="002368E7"/>
    <w:rsid w:val="00236950"/>
    <w:rsid w:val="0023697B"/>
    <w:rsid w:val="002369C0"/>
    <w:rsid w:val="002369E6"/>
    <w:rsid w:val="00236AA4"/>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BD"/>
    <w:rsid w:val="00236FDC"/>
    <w:rsid w:val="00236FF1"/>
    <w:rsid w:val="00237065"/>
    <w:rsid w:val="0023707B"/>
    <w:rsid w:val="00237141"/>
    <w:rsid w:val="00237142"/>
    <w:rsid w:val="002371C8"/>
    <w:rsid w:val="002371FC"/>
    <w:rsid w:val="0023720A"/>
    <w:rsid w:val="00237260"/>
    <w:rsid w:val="00237279"/>
    <w:rsid w:val="00237291"/>
    <w:rsid w:val="00237299"/>
    <w:rsid w:val="002372C4"/>
    <w:rsid w:val="002372DE"/>
    <w:rsid w:val="0023730A"/>
    <w:rsid w:val="00237369"/>
    <w:rsid w:val="0023738B"/>
    <w:rsid w:val="002373B9"/>
    <w:rsid w:val="002373DE"/>
    <w:rsid w:val="002373FB"/>
    <w:rsid w:val="002374C2"/>
    <w:rsid w:val="00237501"/>
    <w:rsid w:val="00237534"/>
    <w:rsid w:val="0023755B"/>
    <w:rsid w:val="00237567"/>
    <w:rsid w:val="00237576"/>
    <w:rsid w:val="002375AA"/>
    <w:rsid w:val="002375AB"/>
    <w:rsid w:val="002375BF"/>
    <w:rsid w:val="0023763C"/>
    <w:rsid w:val="0023767D"/>
    <w:rsid w:val="002376CA"/>
    <w:rsid w:val="00237713"/>
    <w:rsid w:val="0023778E"/>
    <w:rsid w:val="00237793"/>
    <w:rsid w:val="002377DF"/>
    <w:rsid w:val="00237853"/>
    <w:rsid w:val="0023789C"/>
    <w:rsid w:val="002378A1"/>
    <w:rsid w:val="002378D6"/>
    <w:rsid w:val="00237927"/>
    <w:rsid w:val="0023793F"/>
    <w:rsid w:val="00237947"/>
    <w:rsid w:val="00237A0D"/>
    <w:rsid w:val="00237A1C"/>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D5"/>
    <w:rsid w:val="00237EDA"/>
    <w:rsid w:val="00237F06"/>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BF"/>
    <w:rsid w:val="002406F3"/>
    <w:rsid w:val="0024072D"/>
    <w:rsid w:val="0024073C"/>
    <w:rsid w:val="00240772"/>
    <w:rsid w:val="00240796"/>
    <w:rsid w:val="002407EB"/>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76"/>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2"/>
    <w:rsid w:val="002419E7"/>
    <w:rsid w:val="00241A23"/>
    <w:rsid w:val="00241A3A"/>
    <w:rsid w:val="00241A6B"/>
    <w:rsid w:val="00241AC7"/>
    <w:rsid w:val="00241ADC"/>
    <w:rsid w:val="00241B31"/>
    <w:rsid w:val="00241B7C"/>
    <w:rsid w:val="00241C55"/>
    <w:rsid w:val="00241C8D"/>
    <w:rsid w:val="00241D18"/>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1"/>
    <w:rsid w:val="0024206D"/>
    <w:rsid w:val="00242081"/>
    <w:rsid w:val="0024208D"/>
    <w:rsid w:val="002420AD"/>
    <w:rsid w:val="002420BF"/>
    <w:rsid w:val="002420CE"/>
    <w:rsid w:val="002420E8"/>
    <w:rsid w:val="002420F2"/>
    <w:rsid w:val="00242161"/>
    <w:rsid w:val="00242185"/>
    <w:rsid w:val="002421D4"/>
    <w:rsid w:val="002421F9"/>
    <w:rsid w:val="00242240"/>
    <w:rsid w:val="00242281"/>
    <w:rsid w:val="002422D5"/>
    <w:rsid w:val="00242300"/>
    <w:rsid w:val="00242349"/>
    <w:rsid w:val="002423DE"/>
    <w:rsid w:val="002423EF"/>
    <w:rsid w:val="002423F5"/>
    <w:rsid w:val="00242450"/>
    <w:rsid w:val="00242451"/>
    <w:rsid w:val="00242469"/>
    <w:rsid w:val="0024249D"/>
    <w:rsid w:val="0024249E"/>
    <w:rsid w:val="002424C0"/>
    <w:rsid w:val="002424D5"/>
    <w:rsid w:val="002424DE"/>
    <w:rsid w:val="0024255A"/>
    <w:rsid w:val="00242565"/>
    <w:rsid w:val="00242572"/>
    <w:rsid w:val="002425AF"/>
    <w:rsid w:val="002425E9"/>
    <w:rsid w:val="00242633"/>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7E"/>
    <w:rsid w:val="002432BF"/>
    <w:rsid w:val="00243311"/>
    <w:rsid w:val="0024337E"/>
    <w:rsid w:val="00243458"/>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B5"/>
    <w:rsid w:val="002439E0"/>
    <w:rsid w:val="002439F0"/>
    <w:rsid w:val="00243A2F"/>
    <w:rsid w:val="00243A3C"/>
    <w:rsid w:val="00243AA7"/>
    <w:rsid w:val="00243AAD"/>
    <w:rsid w:val="00243ACB"/>
    <w:rsid w:val="00243AD5"/>
    <w:rsid w:val="00243AEE"/>
    <w:rsid w:val="00243B79"/>
    <w:rsid w:val="00243BA0"/>
    <w:rsid w:val="00243BB1"/>
    <w:rsid w:val="00243BC4"/>
    <w:rsid w:val="00243C5D"/>
    <w:rsid w:val="00243C77"/>
    <w:rsid w:val="00243C9F"/>
    <w:rsid w:val="00243CC4"/>
    <w:rsid w:val="00243D72"/>
    <w:rsid w:val="00243DCE"/>
    <w:rsid w:val="00243E06"/>
    <w:rsid w:val="00243E35"/>
    <w:rsid w:val="00243E52"/>
    <w:rsid w:val="00243E69"/>
    <w:rsid w:val="00243E88"/>
    <w:rsid w:val="00243ED2"/>
    <w:rsid w:val="00243ED3"/>
    <w:rsid w:val="00243EF6"/>
    <w:rsid w:val="00243F12"/>
    <w:rsid w:val="00243F3B"/>
    <w:rsid w:val="00243F48"/>
    <w:rsid w:val="00243F8F"/>
    <w:rsid w:val="00244000"/>
    <w:rsid w:val="0024404B"/>
    <w:rsid w:val="0024406A"/>
    <w:rsid w:val="0024407A"/>
    <w:rsid w:val="0024407E"/>
    <w:rsid w:val="002440BF"/>
    <w:rsid w:val="002440C3"/>
    <w:rsid w:val="002440CA"/>
    <w:rsid w:val="00244168"/>
    <w:rsid w:val="0024416D"/>
    <w:rsid w:val="00244190"/>
    <w:rsid w:val="00244238"/>
    <w:rsid w:val="002442BF"/>
    <w:rsid w:val="002442D4"/>
    <w:rsid w:val="002442F7"/>
    <w:rsid w:val="00244302"/>
    <w:rsid w:val="00244362"/>
    <w:rsid w:val="00244390"/>
    <w:rsid w:val="002443B0"/>
    <w:rsid w:val="00244444"/>
    <w:rsid w:val="00244464"/>
    <w:rsid w:val="0024447F"/>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25"/>
    <w:rsid w:val="00244749"/>
    <w:rsid w:val="00244766"/>
    <w:rsid w:val="00244849"/>
    <w:rsid w:val="0024485B"/>
    <w:rsid w:val="00244871"/>
    <w:rsid w:val="00244896"/>
    <w:rsid w:val="00244906"/>
    <w:rsid w:val="00244933"/>
    <w:rsid w:val="00244953"/>
    <w:rsid w:val="0024499C"/>
    <w:rsid w:val="002449BE"/>
    <w:rsid w:val="00244A66"/>
    <w:rsid w:val="00244A7D"/>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1E4"/>
    <w:rsid w:val="0024522B"/>
    <w:rsid w:val="00245235"/>
    <w:rsid w:val="00245260"/>
    <w:rsid w:val="0024526E"/>
    <w:rsid w:val="00245278"/>
    <w:rsid w:val="0024528F"/>
    <w:rsid w:val="0024529C"/>
    <w:rsid w:val="002452A8"/>
    <w:rsid w:val="002452D0"/>
    <w:rsid w:val="002452D4"/>
    <w:rsid w:val="002452E5"/>
    <w:rsid w:val="002452EE"/>
    <w:rsid w:val="00245333"/>
    <w:rsid w:val="0024534F"/>
    <w:rsid w:val="0024538A"/>
    <w:rsid w:val="002453EE"/>
    <w:rsid w:val="002453F9"/>
    <w:rsid w:val="00245422"/>
    <w:rsid w:val="0024542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7EF"/>
    <w:rsid w:val="0024581E"/>
    <w:rsid w:val="00245867"/>
    <w:rsid w:val="00245868"/>
    <w:rsid w:val="0024586A"/>
    <w:rsid w:val="00245874"/>
    <w:rsid w:val="0024588F"/>
    <w:rsid w:val="002458A5"/>
    <w:rsid w:val="002458AC"/>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8"/>
    <w:rsid w:val="002468CC"/>
    <w:rsid w:val="00246907"/>
    <w:rsid w:val="00246911"/>
    <w:rsid w:val="00246961"/>
    <w:rsid w:val="00246AB7"/>
    <w:rsid w:val="00246AE0"/>
    <w:rsid w:val="00246B00"/>
    <w:rsid w:val="00246BA9"/>
    <w:rsid w:val="00246BCC"/>
    <w:rsid w:val="00246BCE"/>
    <w:rsid w:val="00246C15"/>
    <w:rsid w:val="00246C38"/>
    <w:rsid w:val="00246C63"/>
    <w:rsid w:val="00246CD5"/>
    <w:rsid w:val="00246D28"/>
    <w:rsid w:val="00246D86"/>
    <w:rsid w:val="00246DA5"/>
    <w:rsid w:val="00246DD5"/>
    <w:rsid w:val="00246DE8"/>
    <w:rsid w:val="00246DFE"/>
    <w:rsid w:val="00246E0A"/>
    <w:rsid w:val="00246E15"/>
    <w:rsid w:val="00246E35"/>
    <w:rsid w:val="00246E3B"/>
    <w:rsid w:val="00246E6C"/>
    <w:rsid w:val="00246F06"/>
    <w:rsid w:val="00246F42"/>
    <w:rsid w:val="00246F71"/>
    <w:rsid w:val="00246F8A"/>
    <w:rsid w:val="00247009"/>
    <w:rsid w:val="0024700E"/>
    <w:rsid w:val="0024702C"/>
    <w:rsid w:val="00247032"/>
    <w:rsid w:val="00247052"/>
    <w:rsid w:val="002470A5"/>
    <w:rsid w:val="002470AC"/>
    <w:rsid w:val="002470CF"/>
    <w:rsid w:val="00247115"/>
    <w:rsid w:val="00247145"/>
    <w:rsid w:val="00247182"/>
    <w:rsid w:val="00247185"/>
    <w:rsid w:val="002471D8"/>
    <w:rsid w:val="00247254"/>
    <w:rsid w:val="0024727A"/>
    <w:rsid w:val="002472D3"/>
    <w:rsid w:val="00247301"/>
    <w:rsid w:val="00247388"/>
    <w:rsid w:val="002473A5"/>
    <w:rsid w:val="002473CF"/>
    <w:rsid w:val="002473D2"/>
    <w:rsid w:val="002474AE"/>
    <w:rsid w:val="002474BB"/>
    <w:rsid w:val="0024750E"/>
    <w:rsid w:val="0024757E"/>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984"/>
    <w:rsid w:val="00247989"/>
    <w:rsid w:val="002479C6"/>
    <w:rsid w:val="002479C7"/>
    <w:rsid w:val="002479D1"/>
    <w:rsid w:val="00247AB4"/>
    <w:rsid w:val="00247AF3"/>
    <w:rsid w:val="00247B6C"/>
    <w:rsid w:val="00247BC2"/>
    <w:rsid w:val="00247C0E"/>
    <w:rsid w:val="00247CBA"/>
    <w:rsid w:val="00247CF0"/>
    <w:rsid w:val="00247CF9"/>
    <w:rsid w:val="00247CFB"/>
    <w:rsid w:val="00247D42"/>
    <w:rsid w:val="00247D49"/>
    <w:rsid w:val="00247DD4"/>
    <w:rsid w:val="00247E01"/>
    <w:rsid w:val="00247E28"/>
    <w:rsid w:val="00247E80"/>
    <w:rsid w:val="00247E9B"/>
    <w:rsid w:val="00247EC6"/>
    <w:rsid w:val="00247EF8"/>
    <w:rsid w:val="00250006"/>
    <w:rsid w:val="0025000C"/>
    <w:rsid w:val="0025003A"/>
    <w:rsid w:val="00250041"/>
    <w:rsid w:val="002500A3"/>
    <w:rsid w:val="002500B1"/>
    <w:rsid w:val="0025010C"/>
    <w:rsid w:val="0025013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76"/>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30B"/>
    <w:rsid w:val="00251328"/>
    <w:rsid w:val="00251389"/>
    <w:rsid w:val="002513CE"/>
    <w:rsid w:val="0025142B"/>
    <w:rsid w:val="002514D8"/>
    <w:rsid w:val="0025150E"/>
    <w:rsid w:val="0025151F"/>
    <w:rsid w:val="00251593"/>
    <w:rsid w:val="002515EE"/>
    <w:rsid w:val="0025162E"/>
    <w:rsid w:val="00251638"/>
    <w:rsid w:val="0025163F"/>
    <w:rsid w:val="002516F0"/>
    <w:rsid w:val="00251725"/>
    <w:rsid w:val="002517DB"/>
    <w:rsid w:val="002517F1"/>
    <w:rsid w:val="00251817"/>
    <w:rsid w:val="0025182F"/>
    <w:rsid w:val="0025187D"/>
    <w:rsid w:val="002518A7"/>
    <w:rsid w:val="002518B9"/>
    <w:rsid w:val="002518E5"/>
    <w:rsid w:val="00251904"/>
    <w:rsid w:val="0025190D"/>
    <w:rsid w:val="00251940"/>
    <w:rsid w:val="00251941"/>
    <w:rsid w:val="00251977"/>
    <w:rsid w:val="002519C0"/>
    <w:rsid w:val="00251ABB"/>
    <w:rsid w:val="00251AD8"/>
    <w:rsid w:val="00251AE0"/>
    <w:rsid w:val="00251AEA"/>
    <w:rsid w:val="00251B0A"/>
    <w:rsid w:val="00251B12"/>
    <w:rsid w:val="00251B1F"/>
    <w:rsid w:val="00251B2D"/>
    <w:rsid w:val="00251B4B"/>
    <w:rsid w:val="00251B4D"/>
    <w:rsid w:val="00251BC5"/>
    <w:rsid w:val="00251C01"/>
    <w:rsid w:val="00251C98"/>
    <w:rsid w:val="00251C9D"/>
    <w:rsid w:val="00251CA1"/>
    <w:rsid w:val="00251CC3"/>
    <w:rsid w:val="00251CF2"/>
    <w:rsid w:val="00251D25"/>
    <w:rsid w:val="00251D75"/>
    <w:rsid w:val="00251D84"/>
    <w:rsid w:val="00251DE2"/>
    <w:rsid w:val="00251E33"/>
    <w:rsid w:val="00251E3C"/>
    <w:rsid w:val="00251EBC"/>
    <w:rsid w:val="00251EFD"/>
    <w:rsid w:val="00251F25"/>
    <w:rsid w:val="00251F3F"/>
    <w:rsid w:val="0025202A"/>
    <w:rsid w:val="0025207A"/>
    <w:rsid w:val="002520BD"/>
    <w:rsid w:val="002520C5"/>
    <w:rsid w:val="0025211B"/>
    <w:rsid w:val="00252138"/>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78"/>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53"/>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C1B"/>
    <w:rsid w:val="00252C1C"/>
    <w:rsid w:val="00252C4A"/>
    <w:rsid w:val="00252C5C"/>
    <w:rsid w:val="00252C60"/>
    <w:rsid w:val="00252C7A"/>
    <w:rsid w:val="00252C8F"/>
    <w:rsid w:val="00252C93"/>
    <w:rsid w:val="00252CA1"/>
    <w:rsid w:val="00252CA4"/>
    <w:rsid w:val="00252CB7"/>
    <w:rsid w:val="00252CD7"/>
    <w:rsid w:val="00252CD8"/>
    <w:rsid w:val="00252CDF"/>
    <w:rsid w:val="00252D79"/>
    <w:rsid w:val="00252D84"/>
    <w:rsid w:val="00252E6E"/>
    <w:rsid w:val="00252E75"/>
    <w:rsid w:val="00252ED7"/>
    <w:rsid w:val="00252F14"/>
    <w:rsid w:val="00252F48"/>
    <w:rsid w:val="00252FA1"/>
    <w:rsid w:val="00252FB4"/>
    <w:rsid w:val="00252FC4"/>
    <w:rsid w:val="00252FFD"/>
    <w:rsid w:val="00253002"/>
    <w:rsid w:val="00253032"/>
    <w:rsid w:val="0025303B"/>
    <w:rsid w:val="0025305C"/>
    <w:rsid w:val="002530B0"/>
    <w:rsid w:val="0025311F"/>
    <w:rsid w:val="00253149"/>
    <w:rsid w:val="0025316F"/>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C3"/>
    <w:rsid w:val="002538DF"/>
    <w:rsid w:val="00253929"/>
    <w:rsid w:val="00253A47"/>
    <w:rsid w:val="00253AFF"/>
    <w:rsid w:val="00253B07"/>
    <w:rsid w:val="00253B09"/>
    <w:rsid w:val="00253B80"/>
    <w:rsid w:val="00253B89"/>
    <w:rsid w:val="00253B8A"/>
    <w:rsid w:val="00253BFE"/>
    <w:rsid w:val="00253C17"/>
    <w:rsid w:val="00253C2A"/>
    <w:rsid w:val="00253C6D"/>
    <w:rsid w:val="00253D3D"/>
    <w:rsid w:val="00253DEC"/>
    <w:rsid w:val="00253DF3"/>
    <w:rsid w:val="00253E52"/>
    <w:rsid w:val="00253E61"/>
    <w:rsid w:val="00253E65"/>
    <w:rsid w:val="00253E6A"/>
    <w:rsid w:val="00253EC1"/>
    <w:rsid w:val="00253EDB"/>
    <w:rsid w:val="00253F6C"/>
    <w:rsid w:val="00253F7C"/>
    <w:rsid w:val="00253F98"/>
    <w:rsid w:val="00253FAA"/>
    <w:rsid w:val="00254096"/>
    <w:rsid w:val="002540ED"/>
    <w:rsid w:val="0025416F"/>
    <w:rsid w:val="00254176"/>
    <w:rsid w:val="002541DC"/>
    <w:rsid w:val="002541F8"/>
    <w:rsid w:val="00254206"/>
    <w:rsid w:val="0025421B"/>
    <w:rsid w:val="00254226"/>
    <w:rsid w:val="00254234"/>
    <w:rsid w:val="0025426A"/>
    <w:rsid w:val="00254270"/>
    <w:rsid w:val="00254295"/>
    <w:rsid w:val="002542C2"/>
    <w:rsid w:val="002542E7"/>
    <w:rsid w:val="002542E8"/>
    <w:rsid w:val="0025434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48"/>
    <w:rsid w:val="0025466E"/>
    <w:rsid w:val="0025467E"/>
    <w:rsid w:val="002546B0"/>
    <w:rsid w:val="002546C8"/>
    <w:rsid w:val="00254726"/>
    <w:rsid w:val="00254743"/>
    <w:rsid w:val="00254786"/>
    <w:rsid w:val="002547BA"/>
    <w:rsid w:val="002547C1"/>
    <w:rsid w:val="002547C4"/>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43"/>
    <w:rsid w:val="00254DA4"/>
    <w:rsid w:val="00254DC7"/>
    <w:rsid w:val="00254DE5"/>
    <w:rsid w:val="00254E6D"/>
    <w:rsid w:val="00254E76"/>
    <w:rsid w:val="00254EDE"/>
    <w:rsid w:val="00254F1B"/>
    <w:rsid w:val="00254F20"/>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4A"/>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77F"/>
    <w:rsid w:val="002567A7"/>
    <w:rsid w:val="002567BC"/>
    <w:rsid w:val="002567D8"/>
    <w:rsid w:val="00256810"/>
    <w:rsid w:val="0025682B"/>
    <w:rsid w:val="00256841"/>
    <w:rsid w:val="00256868"/>
    <w:rsid w:val="0025687C"/>
    <w:rsid w:val="002568A2"/>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D8"/>
    <w:rsid w:val="00256DE6"/>
    <w:rsid w:val="00256E82"/>
    <w:rsid w:val="00256FCD"/>
    <w:rsid w:val="002570C7"/>
    <w:rsid w:val="00257176"/>
    <w:rsid w:val="00257180"/>
    <w:rsid w:val="002571B8"/>
    <w:rsid w:val="002571C7"/>
    <w:rsid w:val="0025721D"/>
    <w:rsid w:val="00257225"/>
    <w:rsid w:val="00257239"/>
    <w:rsid w:val="00257247"/>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9A"/>
    <w:rsid w:val="002579C3"/>
    <w:rsid w:val="002579FD"/>
    <w:rsid w:val="00257A68"/>
    <w:rsid w:val="00257A6E"/>
    <w:rsid w:val="00257AD2"/>
    <w:rsid w:val="00257AD3"/>
    <w:rsid w:val="00257B3A"/>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239"/>
    <w:rsid w:val="0026025A"/>
    <w:rsid w:val="00260286"/>
    <w:rsid w:val="0026028D"/>
    <w:rsid w:val="00260318"/>
    <w:rsid w:val="00260331"/>
    <w:rsid w:val="00260350"/>
    <w:rsid w:val="0026037B"/>
    <w:rsid w:val="0026037D"/>
    <w:rsid w:val="002603AE"/>
    <w:rsid w:val="002603B0"/>
    <w:rsid w:val="002603FA"/>
    <w:rsid w:val="002603FC"/>
    <w:rsid w:val="00260421"/>
    <w:rsid w:val="00260424"/>
    <w:rsid w:val="00260429"/>
    <w:rsid w:val="00260436"/>
    <w:rsid w:val="00260444"/>
    <w:rsid w:val="002604C4"/>
    <w:rsid w:val="002604F7"/>
    <w:rsid w:val="00260506"/>
    <w:rsid w:val="00260549"/>
    <w:rsid w:val="00260555"/>
    <w:rsid w:val="00260597"/>
    <w:rsid w:val="00260598"/>
    <w:rsid w:val="002605B6"/>
    <w:rsid w:val="0026069C"/>
    <w:rsid w:val="00260731"/>
    <w:rsid w:val="0026075A"/>
    <w:rsid w:val="00260802"/>
    <w:rsid w:val="0026086F"/>
    <w:rsid w:val="002608C1"/>
    <w:rsid w:val="002608F0"/>
    <w:rsid w:val="0026095D"/>
    <w:rsid w:val="002609C5"/>
    <w:rsid w:val="002609DE"/>
    <w:rsid w:val="00260A0A"/>
    <w:rsid w:val="00260A72"/>
    <w:rsid w:val="00260AB7"/>
    <w:rsid w:val="00260ACF"/>
    <w:rsid w:val="00260B70"/>
    <w:rsid w:val="00260C1E"/>
    <w:rsid w:val="00260C34"/>
    <w:rsid w:val="00260C4D"/>
    <w:rsid w:val="00260C57"/>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41"/>
    <w:rsid w:val="00261963"/>
    <w:rsid w:val="002619B9"/>
    <w:rsid w:val="002619EA"/>
    <w:rsid w:val="00261A0C"/>
    <w:rsid w:val="00261A39"/>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8A"/>
    <w:rsid w:val="00261EE1"/>
    <w:rsid w:val="00261F04"/>
    <w:rsid w:val="00261F4A"/>
    <w:rsid w:val="00261F7B"/>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4A"/>
    <w:rsid w:val="00262874"/>
    <w:rsid w:val="00262892"/>
    <w:rsid w:val="002628B3"/>
    <w:rsid w:val="00262938"/>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D9"/>
    <w:rsid w:val="0026318E"/>
    <w:rsid w:val="002631C1"/>
    <w:rsid w:val="00263217"/>
    <w:rsid w:val="00263220"/>
    <w:rsid w:val="0026325E"/>
    <w:rsid w:val="0026328B"/>
    <w:rsid w:val="002632B1"/>
    <w:rsid w:val="002632C8"/>
    <w:rsid w:val="002632D6"/>
    <w:rsid w:val="002632FE"/>
    <w:rsid w:val="00263460"/>
    <w:rsid w:val="00263464"/>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B0"/>
    <w:rsid w:val="002638C4"/>
    <w:rsid w:val="002638FC"/>
    <w:rsid w:val="002638FE"/>
    <w:rsid w:val="00263912"/>
    <w:rsid w:val="00263929"/>
    <w:rsid w:val="0026394A"/>
    <w:rsid w:val="0026394D"/>
    <w:rsid w:val="00263963"/>
    <w:rsid w:val="002639B3"/>
    <w:rsid w:val="002639D1"/>
    <w:rsid w:val="002639E1"/>
    <w:rsid w:val="00263A04"/>
    <w:rsid w:val="00263A15"/>
    <w:rsid w:val="00263A37"/>
    <w:rsid w:val="00263A93"/>
    <w:rsid w:val="00263AA7"/>
    <w:rsid w:val="00263AE8"/>
    <w:rsid w:val="00263B01"/>
    <w:rsid w:val="00263B60"/>
    <w:rsid w:val="00263C1D"/>
    <w:rsid w:val="00263C31"/>
    <w:rsid w:val="00263C34"/>
    <w:rsid w:val="00263C5D"/>
    <w:rsid w:val="00263C71"/>
    <w:rsid w:val="00263C7D"/>
    <w:rsid w:val="00263CE2"/>
    <w:rsid w:val="00263D2A"/>
    <w:rsid w:val="00263D9B"/>
    <w:rsid w:val="00263DC5"/>
    <w:rsid w:val="00263DD3"/>
    <w:rsid w:val="00263E03"/>
    <w:rsid w:val="00263E42"/>
    <w:rsid w:val="00263EE0"/>
    <w:rsid w:val="00263EFA"/>
    <w:rsid w:val="00263EFE"/>
    <w:rsid w:val="00263F8A"/>
    <w:rsid w:val="00263F8C"/>
    <w:rsid w:val="00263F95"/>
    <w:rsid w:val="00263FA8"/>
    <w:rsid w:val="00264009"/>
    <w:rsid w:val="0026401A"/>
    <w:rsid w:val="00264128"/>
    <w:rsid w:val="00264171"/>
    <w:rsid w:val="00264174"/>
    <w:rsid w:val="0026419D"/>
    <w:rsid w:val="00264201"/>
    <w:rsid w:val="0026421D"/>
    <w:rsid w:val="00264222"/>
    <w:rsid w:val="00264250"/>
    <w:rsid w:val="002642E1"/>
    <w:rsid w:val="002642FA"/>
    <w:rsid w:val="0026432D"/>
    <w:rsid w:val="0026434E"/>
    <w:rsid w:val="002643A0"/>
    <w:rsid w:val="002643A7"/>
    <w:rsid w:val="002643C5"/>
    <w:rsid w:val="002643E1"/>
    <w:rsid w:val="002643FE"/>
    <w:rsid w:val="0026442C"/>
    <w:rsid w:val="00264432"/>
    <w:rsid w:val="00264498"/>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B7"/>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CFD"/>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71C"/>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D2"/>
    <w:rsid w:val="00265EED"/>
    <w:rsid w:val="00265F1A"/>
    <w:rsid w:val="00265F26"/>
    <w:rsid w:val="00265F53"/>
    <w:rsid w:val="00265FC9"/>
    <w:rsid w:val="00265FCB"/>
    <w:rsid w:val="00265FF9"/>
    <w:rsid w:val="00266005"/>
    <w:rsid w:val="0026600D"/>
    <w:rsid w:val="00266065"/>
    <w:rsid w:val="002660B9"/>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83"/>
    <w:rsid w:val="002664B1"/>
    <w:rsid w:val="002664BF"/>
    <w:rsid w:val="002664CC"/>
    <w:rsid w:val="00266511"/>
    <w:rsid w:val="0026653A"/>
    <w:rsid w:val="00266547"/>
    <w:rsid w:val="0026656F"/>
    <w:rsid w:val="0026659E"/>
    <w:rsid w:val="0026659F"/>
    <w:rsid w:val="002665BF"/>
    <w:rsid w:val="0026661D"/>
    <w:rsid w:val="00266650"/>
    <w:rsid w:val="00266686"/>
    <w:rsid w:val="002666C2"/>
    <w:rsid w:val="00266701"/>
    <w:rsid w:val="00266703"/>
    <w:rsid w:val="00266724"/>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C5"/>
    <w:rsid w:val="00266DE3"/>
    <w:rsid w:val="00266E10"/>
    <w:rsid w:val="00266E23"/>
    <w:rsid w:val="00266EC9"/>
    <w:rsid w:val="00266EFF"/>
    <w:rsid w:val="00266F68"/>
    <w:rsid w:val="00266FD4"/>
    <w:rsid w:val="00266FDE"/>
    <w:rsid w:val="00266FF0"/>
    <w:rsid w:val="00267017"/>
    <w:rsid w:val="00267020"/>
    <w:rsid w:val="0026704C"/>
    <w:rsid w:val="00267063"/>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724"/>
    <w:rsid w:val="002677E9"/>
    <w:rsid w:val="002677F5"/>
    <w:rsid w:val="0026781D"/>
    <w:rsid w:val="0026785F"/>
    <w:rsid w:val="00267861"/>
    <w:rsid w:val="00267863"/>
    <w:rsid w:val="0026788A"/>
    <w:rsid w:val="0026788D"/>
    <w:rsid w:val="002678E8"/>
    <w:rsid w:val="00267902"/>
    <w:rsid w:val="0026790C"/>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C7"/>
    <w:rsid w:val="002700D6"/>
    <w:rsid w:val="00270133"/>
    <w:rsid w:val="00270190"/>
    <w:rsid w:val="002701A6"/>
    <w:rsid w:val="002701B6"/>
    <w:rsid w:val="002701DF"/>
    <w:rsid w:val="002701F8"/>
    <w:rsid w:val="00270202"/>
    <w:rsid w:val="00270238"/>
    <w:rsid w:val="002702A3"/>
    <w:rsid w:val="002702A8"/>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3"/>
    <w:rsid w:val="00270A1F"/>
    <w:rsid w:val="00270A85"/>
    <w:rsid w:val="00270AB5"/>
    <w:rsid w:val="00270ADC"/>
    <w:rsid w:val="00270B3A"/>
    <w:rsid w:val="00270B4B"/>
    <w:rsid w:val="00270B71"/>
    <w:rsid w:val="00270BC3"/>
    <w:rsid w:val="00270C26"/>
    <w:rsid w:val="00270C5E"/>
    <w:rsid w:val="00270C82"/>
    <w:rsid w:val="00270CCD"/>
    <w:rsid w:val="00270CD6"/>
    <w:rsid w:val="00270D07"/>
    <w:rsid w:val="00270D29"/>
    <w:rsid w:val="00270D5E"/>
    <w:rsid w:val="00270D97"/>
    <w:rsid w:val="00270DFA"/>
    <w:rsid w:val="00270E08"/>
    <w:rsid w:val="00270E20"/>
    <w:rsid w:val="00270E50"/>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E4"/>
    <w:rsid w:val="00271210"/>
    <w:rsid w:val="002712DB"/>
    <w:rsid w:val="002712E2"/>
    <w:rsid w:val="00271302"/>
    <w:rsid w:val="0027130F"/>
    <w:rsid w:val="00271340"/>
    <w:rsid w:val="0027135F"/>
    <w:rsid w:val="00271361"/>
    <w:rsid w:val="00271379"/>
    <w:rsid w:val="00271396"/>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3"/>
    <w:rsid w:val="00271926"/>
    <w:rsid w:val="00271987"/>
    <w:rsid w:val="00271991"/>
    <w:rsid w:val="002719DA"/>
    <w:rsid w:val="00271A14"/>
    <w:rsid w:val="00271A83"/>
    <w:rsid w:val="00271A90"/>
    <w:rsid w:val="00271AB1"/>
    <w:rsid w:val="00271AC3"/>
    <w:rsid w:val="00271AE8"/>
    <w:rsid w:val="00271B89"/>
    <w:rsid w:val="00271C22"/>
    <w:rsid w:val="00271C60"/>
    <w:rsid w:val="00271C6D"/>
    <w:rsid w:val="00271C71"/>
    <w:rsid w:val="00271CC0"/>
    <w:rsid w:val="00271CD3"/>
    <w:rsid w:val="00271D9D"/>
    <w:rsid w:val="00271DD6"/>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828"/>
    <w:rsid w:val="00272870"/>
    <w:rsid w:val="00272883"/>
    <w:rsid w:val="002728A2"/>
    <w:rsid w:val="002728B5"/>
    <w:rsid w:val="002728F7"/>
    <w:rsid w:val="00272929"/>
    <w:rsid w:val="00272967"/>
    <w:rsid w:val="0027297A"/>
    <w:rsid w:val="00272988"/>
    <w:rsid w:val="00272A01"/>
    <w:rsid w:val="00272A2E"/>
    <w:rsid w:val="00272A2F"/>
    <w:rsid w:val="00272A34"/>
    <w:rsid w:val="00272A65"/>
    <w:rsid w:val="00272ACC"/>
    <w:rsid w:val="00272ADB"/>
    <w:rsid w:val="00272AE6"/>
    <w:rsid w:val="00272B74"/>
    <w:rsid w:val="00272C06"/>
    <w:rsid w:val="00272C51"/>
    <w:rsid w:val="00272C95"/>
    <w:rsid w:val="00272CDD"/>
    <w:rsid w:val="00272DBA"/>
    <w:rsid w:val="00272E0A"/>
    <w:rsid w:val="00272E3D"/>
    <w:rsid w:val="00272E76"/>
    <w:rsid w:val="00272EAC"/>
    <w:rsid w:val="00272EB5"/>
    <w:rsid w:val="00272ED3"/>
    <w:rsid w:val="00272EEE"/>
    <w:rsid w:val="00272F48"/>
    <w:rsid w:val="00272F81"/>
    <w:rsid w:val="00272FBC"/>
    <w:rsid w:val="00272FC0"/>
    <w:rsid w:val="00272FC2"/>
    <w:rsid w:val="00272FF7"/>
    <w:rsid w:val="00273001"/>
    <w:rsid w:val="0027301E"/>
    <w:rsid w:val="0027302A"/>
    <w:rsid w:val="00273080"/>
    <w:rsid w:val="00273104"/>
    <w:rsid w:val="00273106"/>
    <w:rsid w:val="00273109"/>
    <w:rsid w:val="00273110"/>
    <w:rsid w:val="0027314C"/>
    <w:rsid w:val="002731C0"/>
    <w:rsid w:val="002731C5"/>
    <w:rsid w:val="0027323C"/>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34"/>
    <w:rsid w:val="00273D3A"/>
    <w:rsid w:val="00273D42"/>
    <w:rsid w:val="00273D55"/>
    <w:rsid w:val="00273D98"/>
    <w:rsid w:val="00273DA7"/>
    <w:rsid w:val="00273DB2"/>
    <w:rsid w:val="00273DDF"/>
    <w:rsid w:val="00273E0C"/>
    <w:rsid w:val="00273E0E"/>
    <w:rsid w:val="00273E27"/>
    <w:rsid w:val="00273E4C"/>
    <w:rsid w:val="00273EA2"/>
    <w:rsid w:val="00273EA5"/>
    <w:rsid w:val="00273F64"/>
    <w:rsid w:val="00273F70"/>
    <w:rsid w:val="00273FA4"/>
    <w:rsid w:val="00273FCC"/>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06"/>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28"/>
    <w:rsid w:val="00274E40"/>
    <w:rsid w:val="00274E43"/>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083"/>
    <w:rsid w:val="00275129"/>
    <w:rsid w:val="00275133"/>
    <w:rsid w:val="00275187"/>
    <w:rsid w:val="0027518B"/>
    <w:rsid w:val="002751BA"/>
    <w:rsid w:val="002751C2"/>
    <w:rsid w:val="002751EC"/>
    <w:rsid w:val="00275237"/>
    <w:rsid w:val="00275254"/>
    <w:rsid w:val="00275279"/>
    <w:rsid w:val="00275296"/>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3D"/>
    <w:rsid w:val="00275674"/>
    <w:rsid w:val="00275676"/>
    <w:rsid w:val="0027568A"/>
    <w:rsid w:val="00275693"/>
    <w:rsid w:val="002756AD"/>
    <w:rsid w:val="002756EE"/>
    <w:rsid w:val="00275719"/>
    <w:rsid w:val="002757F2"/>
    <w:rsid w:val="00275802"/>
    <w:rsid w:val="002758CB"/>
    <w:rsid w:val="002758D5"/>
    <w:rsid w:val="00275977"/>
    <w:rsid w:val="002759EC"/>
    <w:rsid w:val="002759EF"/>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9E"/>
    <w:rsid w:val="00275DA9"/>
    <w:rsid w:val="00275DE9"/>
    <w:rsid w:val="00275E3B"/>
    <w:rsid w:val="00275E7F"/>
    <w:rsid w:val="00275E9A"/>
    <w:rsid w:val="00275ECB"/>
    <w:rsid w:val="00275F16"/>
    <w:rsid w:val="00275F67"/>
    <w:rsid w:val="00275F91"/>
    <w:rsid w:val="00275F96"/>
    <w:rsid w:val="00275FC0"/>
    <w:rsid w:val="00275FD0"/>
    <w:rsid w:val="00275FD5"/>
    <w:rsid w:val="00276013"/>
    <w:rsid w:val="0027602E"/>
    <w:rsid w:val="00276072"/>
    <w:rsid w:val="0027607D"/>
    <w:rsid w:val="002760E5"/>
    <w:rsid w:val="00276102"/>
    <w:rsid w:val="0027610C"/>
    <w:rsid w:val="002761F4"/>
    <w:rsid w:val="0027621B"/>
    <w:rsid w:val="00276237"/>
    <w:rsid w:val="002762AD"/>
    <w:rsid w:val="002762D4"/>
    <w:rsid w:val="00276318"/>
    <w:rsid w:val="00276335"/>
    <w:rsid w:val="0027634C"/>
    <w:rsid w:val="00276367"/>
    <w:rsid w:val="00276396"/>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0D"/>
    <w:rsid w:val="002768F4"/>
    <w:rsid w:val="002768F8"/>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BA"/>
    <w:rsid w:val="00276DBF"/>
    <w:rsid w:val="00276DC8"/>
    <w:rsid w:val="00276DDB"/>
    <w:rsid w:val="00276E18"/>
    <w:rsid w:val="00276E38"/>
    <w:rsid w:val="00276E97"/>
    <w:rsid w:val="00276EAC"/>
    <w:rsid w:val="00276ED1"/>
    <w:rsid w:val="00276F0F"/>
    <w:rsid w:val="00276F31"/>
    <w:rsid w:val="00276F84"/>
    <w:rsid w:val="00276FBA"/>
    <w:rsid w:val="00276FDC"/>
    <w:rsid w:val="00277005"/>
    <w:rsid w:val="0027701E"/>
    <w:rsid w:val="0027704D"/>
    <w:rsid w:val="0027708A"/>
    <w:rsid w:val="002770A7"/>
    <w:rsid w:val="002770B5"/>
    <w:rsid w:val="002770B9"/>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5C6"/>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7A"/>
    <w:rsid w:val="00277B8E"/>
    <w:rsid w:val="00277B8F"/>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80035"/>
    <w:rsid w:val="0028007B"/>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9"/>
    <w:rsid w:val="002805B9"/>
    <w:rsid w:val="002805CA"/>
    <w:rsid w:val="002805F0"/>
    <w:rsid w:val="00280600"/>
    <w:rsid w:val="00280620"/>
    <w:rsid w:val="0028068C"/>
    <w:rsid w:val="00280690"/>
    <w:rsid w:val="002806B2"/>
    <w:rsid w:val="002806BC"/>
    <w:rsid w:val="0028074C"/>
    <w:rsid w:val="002807DC"/>
    <w:rsid w:val="00280839"/>
    <w:rsid w:val="0028084C"/>
    <w:rsid w:val="0028086C"/>
    <w:rsid w:val="002808CF"/>
    <w:rsid w:val="00280977"/>
    <w:rsid w:val="00280981"/>
    <w:rsid w:val="00280985"/>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DDC"/>
    <w:rsid w:val="00280E0A"/>
    <w:rsid w:val="00280E35"/>
    <w:rsid w:val="00280EB3"/>
    <w:rsid w:val="00280F23"/>
    <w:rsid w:val="00280F66"/>
    <w:rsid w:val="00280FA0"/>
    <w:rsid w:val="00280FEB"/>
    <w:rsid w:val="00281004"/>
    <w:rsid w:val="0028102F"/>
    <w:rsid w:val="00281035"/>
    <w:rsid w:val="0028103F"/>
    <w:rsid w:val="0028104A"/>
    <w:rsid w:val="0028107E"/>
    <w:rsid w:val="002810A3"/>
    <w:rsid w:val="002810BD"/>
    <w:rsid w:val="00281158"/>
    <w:rsid w:val="002812BC"/>
    <w:rsid w:val="0028132A"/>
    <w:rsid w:val="00281384"/>
    <w:rsid w:val="00281390"/>
    <w:rsid w:val="0028139F"/>
    <w:rsid w:val="0028141E"/>
    <w:rsid w:val="00281445"/>
    <w:rsid w:val="0028148E"/>
    <w:rsid w:val="002814A6"/>
    <w:rsid w:val="002814B3"/>
    <w:rsid w:val="0028151B"/>
    <w:rsid w:val="0028158B"/>
    <w:rsid w:val="0028158C"/>
    <w:rsid w:val="0028159D"/>
    <w:rsid w:val="002815A3"/>
    <w:rsid w:val="00281619"/>
    <w:rsid w:val="002816A7"/>
    <w:rsid w:val="00281712"/>
    <w:rsid w:val="00281735"/>
    <w:rsid w:val="00281738"/>
    <w:rsid w:val="0028177E"/>
    <w:rsid w:val="002817B1"/>
    <w:rsid w:val="002817B6"/>
    <w:rsid w:val="00281830"/>
    <w:rsid w:val="0028187B"/>
    <w:rsid w:val="002818A3"/>
    <w:rsid w:val="002818AC"/>
    <w:rsid w:val="00281942"/>
    <w:rsid w:val="00281944"/>
    <w:rsid w:val="00281994"/>
    <w:rsid w:val="002819AF"/>
    <w:rsid w:val="002819DD"/>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37"/>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36"/>
    <w:rsid w:val="00282842"/>
    <w:rsid w:val="00282882"/>
    <w:rsid w:val="0028288F"/>
    <w:rsid w:val="002828F2"/>
    <w:rsid w:val="0028295F"/>
    <w:rsid w:val="0028296C"/>
    <w:rsid w:val="0028299C"/>
    <w:rsid w:val="002829B5"/>
    <w:rsid w:val="002829C0"/>
    <w:rsid w:val="002829C1"/>
    <w:rsid w:val="002829CE"/>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39"/>
    <w:rsid w:val="00283443"/>
    <w:rsid w:val="0028348F"/>
    <w:rsid w:val="002834BE"/>
    <w:rsid w:val="002834DB"/>
    <w:rsid w:val="002834E4"/>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6"/>
    <w:rsid w:val="00283918"/>
    <w:rsid w:val="00283978"/>
    <w:rsid w:val="002839B0"/>
    <w:rsid w:val="002839ED"/>
    <w:rsid w:val="00283A60"/>
    <w:rsid w:val="00283A9B"/>
    <w:rsid w:val="00283AB3"/>
    <w:rsid w:val="00283AFB"/>
    <w:rsid w:val="00283B6E"/>
    <w:rsid w:val="00283B8A"/>
    <w:rsid w:val="00283BAA"/>
    <w:rsid w:val="00283BCF"/>
    <w:rsid w:val="00283C54"/>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CD"/>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19"/>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A"/>
    <w:rsid w:val="0028576E"/>
    <w:rsid w:val="002857B2"/>
    <w:rsid w:val="002857BD"/>
    <w:rsid w:val="002857C0"/>
    <w:rsid w:val="002857C7"/>
    <w:rsid w:val="002857E2"/>
    <w:rsid w:val="002857F9"/>
    <w:rsid w:val="00285819"/>
    <w:rsid w:val="0028582D"/>
    <w:rsid w:val="00285844"/>
    <w:rsid w:val="002858CB"/>
    <w:rsid w:val="002858FE"/>
    <w:rsid w:val="00285912"/>
    <w:rsid w:val="00285915"/>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EE"/>
    <w:rsid w:val="00285D06"/>
    <w:rsid w:val="00285D3D"/>
    <w:rsid w:val="00285E0E"/>
    <w:rsid w:val="00285E28"/>
    <w:rsid w:val="00285E6F"/>
    <w:rsid w:val="00285F12"/>
    <w:rsid w:val="00285F8D"/>
    <w:rsid w:val="00285FA3"/>
    <w:rsid w:val="00285FB1"/>
    <w:rsid w:val="00285FBE"/>
    <w:rsid w:val="00285FFA"/>
    <w:rsid w:val="00286050"/>
    <w:rsid w:val="002860B3"/>
    <w:rsid w:val="002860C7"/>
    <w:rsid w:val="00286117"/>
    <w:rsid w:val="0028611F"/>
    <w:rsid w:val="00286145"/>
    <w:rsid w:val="00286181"/>
    <w:rsid w:val="0028618A"/>
    <w:rsid w:val="0028619A"/>
    <w:rsid w:val="002861A6"/>
    <w:rsid w:val="00286229"/>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56"/>
    <w:rsid w:val="00286F71"/>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5C"/>
    <w:rsid w:val="00287860"/>
    <w:rsid w:val="00287886"/>
    <w:rsid w:val="00287921"/>
    <w:rsid w:val="0028792C"/>
    <w:rsid w:val="0028794D"/>
    <w:rsid w:val="00287A12"/>
    <w:rsid w:val="00287A3D"/>
    <w:rsid w:val="00287A6F"/>
    <w:rsid w:val="00287A8F"/>
    <w:rsid w:val="00287AB8"/>
    <w:rsid w:val="00287AD5"/>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41"/>
    <w:rsid w:val="00287EEE"/>
    <w:rsid w:val="00287F4D"/>
    <w:rsid w:val="00287F55"/>
    <w:rsid w:val="00287FA7"/>
    <w:rsid w:val="00287FE5"/>
    <w:rsid w:val="00287FF7"/>
    <w:rsid w:val="00290065"/>
    <w:rsid w:val="0029007A"/>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98"/>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E1"/>
    <w:rsid w:val="00290C14"/>
    <w:rsid w:val="00290C69"/>
    <w:rsid w:val="00290C96"/>
    <w:rsid w:val="00290CB3"/>
    <w:rsid w:val="00290CD3"/>
    <w:rsid w:val="00290CF7"/>
    <w:rsid w:val="00290D31"/>
    <w:rsid w:val="00290D45"/>
    <w:rsid w:val="00290D83"/>
    <w:rsid w:val="00290DE6"/>
    <w:rsid w:val="00290DE7"/>
    <w:rsid w:val="00290E68"/>
    <w:rsid w:val="00290EE3"/>
    <w:rsid w:val="00290F89"/>
    <w:rsid w:val="00290F99"/>
    <w:rsid w:val="0029105D"/>
    <w:rsid w:val="00291080"/>
    <w:rsid w:val="00291093"/>
    <w:rsid w:val="002910B8"/>
    <w:rsid w:val="002910C3"/>
    <w:rsid w:val="002910E8"/>
    <w:rsid w:val="002910FF"/>
    <w:rsid w:val="00291101"/>
    <w:rsid w:val="0029110D"/>
    <w:rsid w:val="00291132"/>
    <w:rsid w:val="002911A0"/>
    <w:rsid w:val="002911BA"/>
    <w:rsid w:val="002911D4"/>
    <w:rsid w:val="00291276"/>
    <w:rsid w:val="00291277"/>
    <w:rsid w:val="00291278"/>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8F9"/>
    <w:rsid w:val="00291922"/>
    <w:rsid w:val="00291931"/>
    <w:rsid w:val="00291986"/>
    <w:rsid w:val="002919A6"/>
    <w:rsid w:val="002919BB"/>
    <w:rsid w:val="002919DA"/>
    <w:rsid w:val="002919DC"/>
    <w:rsid w:val="00291A38"/>
    <w:rsid w:val="00291A68"/>
    <w:rsid w:val="00291AEF"/>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04"/>
    <w:rsid w:val="00291F17"/>
    <w:rsid w:val="00291F2E"/>
    <w:rsid w:val="00291FC1"/>
    <w:rsid w:val="00291FDE"/>
    <w:rsid w:val="00291FE9"/>
    <w:rsid w:val="00292035"/>
    <w:rsid w:val="0029205F"/>
    <w:rsid w:val="00292084"/>
    <w:rsid w:val="00292098"/>
    <w:rsid w:val="002920A2"/>
    <w:rsid w:val="002920BF"/>
    <w:rsid w:val="002920E7"/>
    <w:rsid w:val="002920F8"/>
    <w:rsid w:val="00292103"/>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EB"/>
    <w:rsid w:val="002927F3"/>
    <w:rsid w:val="00292841"/>
    <w:rsid w:val="002928AB"/>
    <w:rsid w:val="00292915"/>
    <w:rsid w:val="00292922"/>
    <w:rsid w:val="00292928"/>
    <w:rsid w:val="002929AC"/>
    <w:rsid w:val="002929AD"/>
    <w:rsid w:val="002929BF"/>
    <w:rsid w:val="002929EA"/>
    <w:rsid w:val="00292A88"/>
    <w:rsid w:val="00292A8F"/>
    <w:rsid w:val="00292A93"/>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ED"/>
    <w:rsid w:val="002933F1"/>
    <w:rsid w:val="00293421"/>
    <w:rsid w:val="00293422"/>
    <w:rsid w:val="0029342E"/>
    <w:rsid w:val="00293495"/>
    <w:rsid w:val="002934A2"/>
    <w:rsid w:val="00293533"/>
    <w:rsid w:val="00293592"/>
    <w:rsid w:val="002935BA"/>
    <w:rsid w:val="00293649"/>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C1C"/>
    <w:rsid w:val="00293CDE"/>
    <w:rsid w:val="00293D36"/>
    <w:rsid w:val="00293D63"/>
    <w:rsid w:val="00293D95"/>
    <w:rsid w:val="00293DD5"/>
    <w:rsid w:val="00293DDC"/>
    <w:rsid w:val="00293E0B"/>
    <w:rsid w:val="00293ECA"/>
    <w:rsid w:val="00293F55"/>
    <w:rsid w:val="00293FCD"/>
    <w:rsid w:val="00293FCF"/>
    <w:rsid w:val="00293FE4"/>
    <w:rsid w:val="00294020"/>
    <w:rsid w:val="00294056"/>
    <w:rsid w:val="00294061"/>
    <w:rsid w:val="00294158"/>
    <w:rsid w:val="0029420B"/>
    <w:rsid w:val="00294239"/>
    <w:rsid w:val="00294245"/>
    <w:rsid w:val="00294277"/>
    <w:rsid w:val="00294284"/>
    <w:rsid w:val="002942D0"/>
    <w:rsid w:val="00294322"/>
    <w:rsid w:val="00294326"/>
    <w:rsid w:val="00294398"/>
    <w:rsid w:val="00294399"/>
    <w:rsid w:val="00294418"/>
    <w:rsid w:val="002944ED"/>
    <w:rsid w:val="002944F6"/>
    <w:rsid w:val="00294512"/>
    <w:rsid w:val="00294525"/>
    <w:rsid w:val="00294526"/>
    <w:rsid w:val="00294536"/>
    <w:rsid w:val="00294538"/>
    <w:rsid w:val="0029453C"/>
    <w:rsid w:val="0029455E"/>
    <w:rsid w:val="0029455F"/>
    <w:rsid w:val="0029457F"/>
    <w:rsid w:val="0029459F"/>
    <w:rsid w:val="00294607"/>
    <w:rsid w:val="00294635"/>
    <w:rsid w:val="002946E6"/>
    <w:rsid w:val="00294792"/>
    <w:rsid w:val="002947DB"/>
    <w:rsid w:val="00294889"/>
    <w:rsid w:val="00294897"/>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147"/>
    <w:rsid w:val="0029515D"/>
    <w:rsid w:val="002951A0"/>
    <w:rsid w:val="002951FF"/>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C9"/>
    <w:rsid w:val="00295BF9"/>
    <w:rsid w:val="00295C01"/>
    <w:rsid w:val="00295C07"/>
    <w:rsid w:val="00295C11"/>
    <w:rsid w:val="00295C9F"/>
    <w:rsid w:val="00295CF9"/>
    <w:rsid w:val="00295D43"/>
    <w:rsid w:val="00295D56"/>
    <w:rsid w:val="00295DA7"/>
    <w:rsid w:val="00295DE7"/>
    <w:rsid w:val="00295E0D"/>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2D3"/>
    <w:rsid w:val="002962D9"/>
    <w:rsid w:val="002962DA"/>
    <w:rsid w:val="00296304"/>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AA"/>
    <w:rsid w:val="00296BE1"/>
    <w:rsid w:val="00296BF1"/>
    <w:rsid w:val="00296C26"/>
    <w:rsid w:val="00296C36"/>
    <w:rsid w:val="00296C6B"/>
    <w:rsid w:val="00296C6C"/>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2ED"/>
    <w:rsid w:val="00297320"/>
    <w:rsid w:val="0029733D"/>
    <w:rsid w:val="00297366"/>
    <w:rsid w:val="002973F6"/>
    <w:rsid w:val="00297400"/>
    <w:rsid w:val="0029743E"/>
    <w:rsid w:val="00297480"/>
    <w:rsid w:val="002974A7"/>
    <w:rsid w:val="002974C7"/>
    <w:rsid w:val="002974F6"/>
    <w:rsid w:val="00297505"/>
    <w:rsid w:val="00297515"/>
    <w:rsid w:val="00297525"/>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5D"/>
    <w:rsid w:val="00297AF7"/>
    <w:rsid w:val="00297B72"/>
    <w:rsid w:val="00297BB2"/>
    <w:rsid w:val="00297BDA"/>
    <w:rsid w:val="00297C03"/>
    <w:rsid w:val="00297C96"/>
    <w:rsid w:val="00297CAF"/>
    <w:rsid w:val="00297CC9"/>
    <w:rsid w:val="00297D12"/>
    <w:rsid w:val="00297D4D"/>
    <w:rsid w:val="00297D66"/>
    <w:rsid w:val="00297DC6"/>
    <w:rsid w:val="00297E47"/>
    <w:rsid w:val="00297ED0"/>
    <w:rsid w:val="00297EF9"/>
    <w:rsid w:val="00297F22"/>
    <w:rsid w:val="00297F5E"/>
    <w:rsid w:val="00297F63"/>
    <w:rsid w:val="002A003A"/>
    <w:rsid w:val="002A009C"/>
    <w:rsid w:val="002A00FD"/>
    <w:rsid w:val="002A012E"/>
    <w:rsid w:val="002A01A4"/>
    <w:rsid w:val="002A01CE"/>
    <w:rsid w:val="002A01D4"/>
    <w:rsid w:val="002A0269"/>
    <w:rsid w:val="002A02AD"/>
    <w:rsid w:val="002A02C1"/>
    <w:rsid w:val="002A02D5"/>
    <w:rsid w:val="002A02FB"/>
    <w:rsid w:val="002A0348"/>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B00"/>
    <w:rsid w:val="002A0B55"/>
    <w:rsid w:val="002A0B56"/>
    <w:rsid w:val="002A0B77"/>
    <w:rsid w:val="002A0BA2"/>
    <w:rsid w:val="002A0BDE"/>
    <w:rsid w:val="002A0BF4"/>
    <w:rsid w:val="002A0C08"/>
    <w:rsid w:val="002A0C09"/>
    <w:rsid w:val="002A0C75"/>
    <w:rsid w:val="002A0CEB"/>
    <w:rsid w:val="002A0D45"/>
    <w:rsid w:val="002A0D63"/>
    <w:rsid w:val="002A0E64"/>
    <w:rsid w:val="002A0E85"/>
    <w:rsid w:val="002A0E97"/>
    <w:rsid w:val="002A0EDB"/>
    <w:rsid w:val="002A0F98"/>
    <w:rsid w:val="002A0FA3"/>
    <w:rsid w:val="002A1008"/>
    <w:rsid w:val="002A1089"/>
    <w:rsid w:val="002A10B1"/>
    <w:rsid w:val="002A10C2"/>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1D"/>
    <w:rsid w:val="002A1637"/>
    <w:rsid w:val="002A1657"/>
    <w:rsid w:val="002A16A3"/>
    <w:rsid w:val="002A16BE"/>
    <w:rsid w:val="002A1702"/>
    <w:rsid w:val="002A174E"/>
    <w:rsid w:val="002A17AB"/>
    <w:rsid w:val="002A17EF"/>
    <w:rsid w:val="002A1889"/>
    <w:rsid w:val="002A189F"/>
    <w:rsid w:val="002A18B2"/>
    <w:rsid w:val="002A190C"/>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D9"/>
    <w:rsid w:val="002A22E4"/>
    <w:rsid w:val="002A22FC"/>
    <w:rsid w:val="002A232F"/>
    <w:rsid w:val="002A234F"/>
    <w:rsid w:val="002A235E"/>
    <w:rsid w:val="002A2398"/>
    <w:rsid w:val="002A23A9"/>
    <w:rsid w:val="002A2410"/>
    <w:rsid w:val="002A2478"/>
    <w:rsid w:val="002A24A0"/>
    <w:rsid w:val="002A24B7"/>
    <w:rsid w:val="002A24C0"/>
    <w:rsid w:val="002A24F5"/>
    <w:rsid w:val="002A24F6"/>
    <w:rsid w:val="002A24F7"/>
    <w:rsid w:val="002A253A"/>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31"/>
    <w:rsid w:val="002A2938"/>
    <w:rsid w:val="002A295B"/>
    <w:rsid w:val="002A29A9"/>
    <w:rsid w:val="002A29D5"/>
    <w:rsid w:val="002A2A03"/>
    <w:rsid w:val="002A2A0E"/>
    <w:rsid w:val="002A2A16"/>
    <w:rsid w:val="002A2A3C"/>
    <w:rsid w:val="002A2B2F"/>
    <w:rsid w:val="002A2B31"/>
    <w:rsid w:val="002A2B49"/>
    <w:rsid w:val="002A2B75"/>
    <w:rsid w:val="002A2BAD"/>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EA"/>
    <w:rsid w:val="002A33FB"/>
    <w:rsid w:val="002A3404"/>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31"/>
    <w:rsid w:val="002A3768"/>
    <w:rsid w:val="002A37D8"/>
    <w:rsid w:val="002A37FB"/>
    <w:rsid w:val="002A3874"/>
    <w:rsid w:val="002A390A"/>
    <w:rsid w:val="002A3925"/>
    <w:rsid w:val="002A3948"/>
    <w:rsid w:val="002A397E"/>
    <w:rsid w:val="002A3991"/>
    <w:rsid w:val="002A399F"/>
    <w:rsid w:val="002A3A0B"/>
    <w:rsid w:val="002A3A3A"/>
    <w:rsid w:val="002A3A85"/>
    <w:rsid w:val="002A3AC6"/>
    <w:rsid w:val="002A3ADC"/>
    <w:rsid w:val="002A3AEA"/>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1E7"/>
    <w:rsid w:val="002A4215"/>
    <w:rsid w:val="002A4247"/>
    <w:rsid w:val="002A42C3"/>
    <w:rsid w:val="002A4363"/>
    <w:rsid w:val="002A4378"/>
    <w:rsid w:val="002A43F4"/>
    <w:rsid w:val="002A4400"/>
    <w:rsid w:val="002A440D"/>
    <w:rsid w:val="002A445C"/>
    <w:rsid w:val="002A44C7"/>
    <w:rsid w:val="002A4524"/>
    <w:rsid w:val="002A452A"/>
    <w:rsid w:val="002A4558"/>
    <w:rsid w:val="002A4571"/>
    <w:rsid w:val="002A45AD"/>
    <w:rsid w:val="002A4639"/>
    <w:rsid w:val="002A46FA"/>
    <w:rsid w:val="002A474C"/>
    <w:rsid w:val="002A47D8"/>
    <w:rsid w:val="002A47F0"/>
    <w:rsid w:val="002A47FE"/>
    <w:rsid w:val="002A4826"/>
    <w:rsid w:val="002A483A"/>
    <w:rsid w:val="002A4844"/>
    <w:rsid w:val="002A48B3"/>
    <w:rsid w:val="002A48FA"/>
    <w:rsid w:val="002A4913"/>
    <w:rsid w:val="002A4928"/>
    <w:rsid w:val="002A49AE"/>
    <w:rsid w:val="002A49B9"/>
    <w:rsid w:val="002A49C7"/>
    <w:rsid w:val="002A49F1"/>
    <w:rsid w:val="002A4A1F"/>
    <w:rsid w:val="002A4A76"/>
    <w:rsid w:val="002A4AA8"/>
    <w:rsid w:val="002A4B67"/>
    <w:rsid w:val="002A4B86"/>
    <w:rsid w:val="002A4B8D"/>
    <w:rsid w:val="002A4BFC"/>
    <w:rsid w:val="002A4C18"/>
    <w:rsid w:val="002A4C5E"/>
    <w:rsid w:val="002A4CA8"/>
    <w:rsid w:val="002A4D06"/>
    <w:rsid w:val="002A4D44"/>
    <w:rsid w:val="002A4E06"/>
    <w:rsid w:val="002A4E50"/>
    <w:rsid w:val="002A4E7C"/>
    <w:rsid w:val="002A4EB6"/>
    <w:rsid w:val="002A4FB3"/>
    <w:rsid w:val="002A4FB7"/>
    <w:rsid w:val="002A5058"/>
    <w:rsid w:val="002A50E1"/>
    <w:rsid w:val="002A50FE"/>
    <w:rsid w:val="002A513F"/>
    <w:rsid w:val="002A5149"/>
    <w:rsid w:val="002A5188"/>
    <w:rsid w:val="002A5190"/>
    <w:rsid w:val="002A51BF"/>
    <w:rsid w:val="002A5201"/>
    <w:rsid w:val="002A522E"/>
    <w:rsid w:val="002A5264"/>
    <w:rsid w:val="002A5268"/>
    <w:rsid w:val="002A527D"/>
    <w:rsid w:val="002A5317"/>
    <w:rsid w:val="002A5333"/>
    <w:rsid w:val="002A5336"/>
    <w:rsid w:val="002A538E"/>
    <w:rsid w:val="002A53AB"/>
    <w:rsid w:val="002A54AA"/>
    <w:rsid w:val="002A54C1"/>
    <w:rsid w:val="002A54FC"/>
    <w:rsid w:val="002A551A"/>
    <w:rsid w:val="002A5567"/>
    <w:rsid w:val="002A55E0"/>
    <w:rsid w:val="002A568F"/>
    <w:rsid w:val="002A56AB"/>
    <w:rsid w:val="002A56B1"/>
    <w:rsid w:val="002A56CC"/>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EC"/>
    <w:rsid w:val="002A5FF8"/>
    <w:rsid w:val="002A6052"/>
    <w:rsid w:val="002A6177"/>
    <w:rsid w:val="002A61AD"/>
    <w:rsid w:val="002A61B4"/>
    <w:rsid w:val="002A6209"/>
    <w:rsid w:val="002A6222"/>
    <w:rsid w:val="002A6228"/>
    <w:rsid w:val="002A622C"/>
    <w:rsid w:val="002A6249"/>
    <w:rsid w:val="002A635A"/>
    <w:rsid w:val="002A63C5"/>
    <w:rsid w:val="002A640C"/>
    <w:rsid w:val="002A6428"/>
    <w:rsid w:val="002A6451"/>
    <w:rsid w:val="002A64D1"/>
    <w:rsid w:val="002A64FB"/>
    <w:rsid w:val="002A6529"/>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6B"/>
    <w:rsid w:val="002A6C71"/>
    <w:rsid w:val="002A6DEA"/>
    <w:rsid w:val="002A6E01"/>
    <w:rsid w:val="002A6E48"/>
    <w:rsid w:val="002A6E60"/>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7F"/>
    <w:rsid w:val="002A7288"/>
    <w:rsid w:val="002A72D3"/>
    <w:rsid w:val="002A7337"/>
    <w:rsid w:val="002A738C"/>
    <w:rsid w:val="002A7393"/>
    <w:rsid w:val="002A7399"/>
    <w:rsid w:val="002A739E"/>
    <w:rsid w:val="002A73EB"/>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6D"/>
    <w:rsid w:val="002A7A75"/>
    <w:rsid w:val="002A7AAF"/>
    <w:rsid w:val="002A7AD8"/>
    <w:rsid w:val="002A7B25"/>
    <w:rsid w:val="002A7B58"/>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02"/>
    <w:rsid w:val="002B013D"/>
    <w:rsid w:val="002B0148"/>
    <w:rsid w:val="002B0183"/>
    <w:rsid w:val="002B01AC"/>
    <w:rsid w:val="002B01C7"/>
    <w:rsid w:val="002B029E"/>
    <w:rsid w:val="002B030F"/>
    <w:rsid w:val="002B0337"/>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BE"/>
    <w:rsid w:val="002B07CF"/>
    <w:rsid w:val="002B07D7"/>
    <w:rsid w:val="002B0802"/>
    <w:rsid w:val="002B0822"/>
    <w:rsid w:val="002B085F"/>
    <w:rsid w:val="002B0860"/>
    <w:rsid w:val="002B08BD"/>
    <w:rsid w:val="002B08ED"/>
    <w:rsid w:val="002B08F7"/>
    <w:rsid w:val="002B0902"/>
    <w:rsid w:val="002B09D2"/>
    <w:rsid w:val="002B09F5"/>
    <w:rsid w:val="002B0A1B"/>
    <w:rsid w:val="002B0A21"/>
    <w:rsid w:val="002B0A9E"/>
    <w:rsid w:val="002B0AAD"/>
    <w:rsid w:val="002B0B02"/>
    <w:rsid w:val="002B0C2A"/>
    <w:rsid w:val="002B0CA1"/>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21"/>
    <w:rsid w:val="002B1241"/>
    <w:rsid w:val="002B124B"/>
    <w:rsid w:val="002B1255"/>
    <w:rsid w:val="002B125B"/>
    <w:rsid w:val="002B1267"/>
    <w:rsid w:val="002B129D"/>
    <w:rsid w:val="002B12B9"/>
    <w:rsid w:val="002B1303"/>
    <w:rsid w:val="002B130D"/>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74"/>
    <w:rsid w:val="002B1AB2"/>
    <w:rsid w:val="002B1AF5"/>
    <w:rsid w:val="002B1B04"/>
    <w:rsid w:val="002B1B22"/>
    <w:rsid w:val="002B1B3A"/>
    <w:rsid w:val="002B1B4A"/>
    <w:rsid w:val="002B1B4D"/>
    <w:rsid w:val="002B1B60"/>
    <w:rsid w:val="002B1B8E"/>
    <w:rsid w:val="002B1B94"/>
    <w:rsid w:val="002B1BA3"/>
    <w:rsid w:val="002B1BDE"/>
    <w:rsid w:val="002B1BEB"/>
    <w:rsid w:val="002B1D19"/>
    <w:rsid w:val="002B1D33"/>
    <w:rsid w:val="002B1D46"/>
    <w:rsid w:val="002B1D6A"/>
    <w:rsid w:val="002B1D6E"/>
    <w:rsid w:val="002B1D7F"/>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F"/>
    <w:rsid w:val="002B2B25"/>
    <w:rsid w:val="002B2B2F"/>
    <w:rsid w:val="002B2B37"/>
    <w:rsid w:val="002B2B45"/>
    <w:rsid w:val="002B2BA9"/>
    <w:rsid w:val="002B2BB0"/>
    <w:rsid w:val="002B2C80"/>
    <w:rsid w:val="002B2C86"/>
    <w:rsid w:val="002B2CE3"/>
    <w:rsid w:val="002B2D5C"/>
    <w:rsid w:val="002B2E23"/>
    <w:rsid w:val="002B2E30"/>
    <w:rsid w:val="002B2E4B"/>
    <w:rsid w:val="002B2E83"/>
    <w:rsid w:val="002B2E85"/>
    <w:rsid w:val="002B2EA3"/>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BA"/>
    <w:rsid w:val="002B3CC7"/>
    <w:rsid w:val="002B3CCB"/>
    <w:rsid w:val="002B3CDE"/>
    <w:rsid w:val="002B3D16"/>
    <w:rsid w:val="002B3D5F"/>
    <w:rsid w:val="002B3D68"/>
    <w:rsid w:val="002B3D73"/>
    <w:rsid w:val="002B3D90"/>
    <w:rsid w:val="002B3E3C"/>
    <w:rsid w:val="002B3E3F"/>
    <w:rsid w:val="002B3EF5"/>
    <w:rsid w:val="002B3FB6"/>
    <w:rsid w:val="002B3FBB"/>
    <w:rsid w:val="002B3FDB"/>
    <w:rsid w:val="002B3FEE"/>
    <w:rsid w:val="002B402C"/>
    <w:rsid w:val="002B402D"/>
    <w:rsid w:val="002B402F"/>
    <w:rsid w:val="002B4082"/>
    <w:rsid w:val="002B4096"/>
    <w:rsid w:val="002B40DE"/>
    <w:rsid w:val="002B40EA"/>
    <w:rsid w:val="002B40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A"/>
    <w:rsid w:val="002B4FBE"/>
    <w:rsid w:val="002B4FEC"/>
    <w:rsid w:val="002B5024"/>
    <w:rsid w:val="002B5064"/>
    <w:rsid w:val="002B50B5"/>
    <w:rsid w:val="002B5104"/>
    <w:rsid w:val="002B5117"/>
    <w:rsid w:val="002B511A"/>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34"/>
    <w:rsid w:val="002B5684"/>
    <w:rsid w:val="002B56DB"/>
    <w:rsid w:val="002B56E0"/>
    <w:rsid w:val="002B5781"/>
    <w:rsid w:val="002B57B3"/>
    <w:rsid w:val="002B57E2"/>
    <w:rsid w:val="002B5832"/>
    <w:rsid w:val="002B58B3"/>
    <w:rsid w:val="002B58C6"/>
    <w:rsid w:val="002B58D4"/>
    <w:rsid w:val="002B58D5"/>
    <w:rsid w:val="002B5933"/>
    <w:rsid w:val="002B5942"/>
    <w:rsid w:val="002B5974"/>
    <w:rsid w:val="002B599E"/>
    <w:rsid w:val="002B59DD"/>
    <w:rsid w:val="002B5A13"/>
    <w:rsid w:val="002B5A1F"/>
    <w:rsid w:val="002B5A66"/>
    <w:rsid w:val="002B5A7E"/>
    <w:rsid w:val="002B5A80"/>
    <w:rsid w:val="002B5AB1"/>
    <w:rsid w:val="002B5AEF"/>
    <w:rsid w:val="002B5AFE"/>
    <w:rsid w:val="002B5B7B"/>
    <w:rsid w:val="002B5B97"/>
    <w:rsid w:val="002B5BBE"/>
    <w:rsid w:val="002B5C0D"/>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AA"/>
    <w:rsid w:val="002B61F7"/>
    <w:rsid w:val="002B6203"/>
    <w:rsid w:val="002B622A"/>
    <w:rsid w:val="002B629D"/>
    <w:rsid w:val="002B62F1"/>
    <w:rsid w:val="002B62FC"/>
    <w:rsid w:val="002B633D"/>
    <w:rsid w:val="002B6392"/>
    <w:rsid w:val="002B6399"/>
    <w:rsid w:val="002B63AE"/>
    <w:rsid w:val="002B63BE"/>
    <w:rsid w:val="002B6426"/>
    <w:rsid w:val="002B6463"/>
    <w:rsid w:val="002B6499"/>
    <w:rsid w:val="002B64E4"/>
    <w:rsid w:val="002B64F1"/>
    <w:rsid w:val="002B657D"/>
    <w:rsid w:val="002B6598"/>
    <w:rsid w:val="002B65A6"/>
    <w:rsid w:val="002B65F9"/>
    <w:rsid w:val="002B6619"/>
    <w:rsid w:val="002B6641"/>
    <w:rsid w:val="002B66A3"/>
    <w:rsid w:val="002B66B0"/>
    <w:rsid w:val="002B66D6"/>
    <w:rsid w:val="002B6703"/>
    <w:rsid w:val="002B6716"/>
    <w:rsid w:val="002B6727"/>
    <w:rsid w:val="002B6772"/>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4A"/>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62"/>
    <w:rsid w:val="002B71A0"/>
    <w:rsid w:val="002B720D"/>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71"/>
    <w:rsid w:val="002B7581"/>
    <w:rsid w:val="002B75A0"/>
    <w:rsid w:val="002B75B2"/>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904"/>
    <w:rsid w:val="002B79A7"/>
    <w:rsid w:val="002B7A4C"/>
    <w:rsid w:val="002B7A56"/>
    <w:rsid w:val="002B7A59"/>
    <w:rsid w:val="002B7A67"/>
    <w:rsid w:val="002B7A7F"/>
    <w:rsid w:val="002B7A81"/>
    <w:rsid w:val="002B7A88"/>
    <w:rsid w:val="002B7B46"/>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57"/>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D4"/>
    <w:rsid w:val="002C0DDE"/>
    <w:rsid w:val="002C0DFC"/>
    <w:rsid w:val="002C0E18"/>
    <w:rsid w:val="002C0E29"/>
    <w:rsid w:val="002C0E43"/>
    <w:rsid w:val="002C0E49"/>
    <w:rsid w:val="002C0E50"/>
    <w:rsid w:val="002C0E5C"/>
    <w:rsid w:val="002C0E74"/>
    <w:rsid w:val="002C0EFB"/>
    <w:rsid w:val="002C0F23"/>
    <w:rsid w:val="002C0FD7"/>
    <w:rsid w:val="002C1038"/>
    <w:rsid w:val="002C104B"/>
    <w:rsid w:val="002C1063"/>
    <w:rsid w:val="002C10A3"/>
    <w:rsid w:val="002C10F1"/>
    <w:rsid w:val="002C111F"/>
    <w:rsid w:val="002C1188"/>
    <w:rsid w:val="002C11AD"/>
    <w:rsid w:val="002C11C3"/>
    <w:rsid w:val="002C11EB"/>
    <w:rsid w:val="002C1239"/>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B6"/>
    <w:rsid w:val="002C18D3"/>
    <w:rsid w:val="002C1926"/>
    <w:rsid w:val="002C199E"/>
    <w:rsid w:val="002C19C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9E"/>
    <w:rsid w:val="002C2DB4"/>
    <w:rsid w:val="002C2DD9"/>
    <w:rsid w:val="002C2E0C"/>
    <w:rsid w:val="002C2E4D"/>
    <w:rsid w:val="002C2E58"/>
    <w:rsid w:val="002C2E80"/>
    <w:rsid w:val="002C2E97"/>
    <w:rsid w:val="002C2F7A"/>
    <w:rsid w:val="002C3022"/>
    <w:rsid w:val="002C3037"/>
    <w:rsid w:val="002C3052"/>
    <w:rsid w:val="002C308D"/>
    <w:rsid w:val="002C30AC"/>
    <w:rsid w:val="002C3105"/>
    <w:rsid w:val="002C314C"/>
    <w:rsid w:val="002C31F7"/>
    <w:rsid w:val="002C321B"/>
    <w:rsid w:val="002C3263"/>
    <w:rsid w:val="002C329B"/>
    <w:rsid w:val="002C32A6"/>
    <w:rsid w:val="002C32AF"/>
    <w:rsid w:val="002C3312"/>
    <w:rsid w:val="002C337F"/>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811"/>
    <w:rsid w:val="002C383D"/>
    <w:rsid w:val="002C3849"/>
    <w:rsid w:val="002C38BB"/>
    <w:rsid w:val="002C38EF"/>
    <w:rsid w:val="002C3984"/>
    <w:rsid w:val="002C398E"/>
    <w:rsid w:val="002C39A5"/>
    <w:rsid w:val="002C39AB"/>
    <w:rsid w:val="002C39BC"/>
    <w:rsid w:val="002C39C0"/>
    <w:rsid w:val="002C39CE"/>
    <w:rsid w:val="002C39DC"/>
    <w:rsid w:val="002C39F4"/>
    <w:rsid w:val="002C3A2E"/>
    <w:rsid w:val="002C3A9E"/>
    <w:rsid w:val="002C3AB8"/>
    <w:rsid w:val="002C3BB0"/>
    <w:rsid w:val="002C3BB5"/>
    <w:rsid w:val="002C3BD3"/>
    <w:rsid w:val="002C3BE3"/>
    <w:rsid w:val="002C3C3F"/>
    <w:rsid w:val="002C3C40"/>
    <w:rsid w:val="002C3C83"/>
    <w:rsid w:val="002C3C95"/>
    <w:rsid w:val="002C3CE0"/>
    <w:rsid w:val="002C3D01"/>
    <w:rsid w:val="002C3D7F"/>
    <w:rsid w:val="002C3D8A"/>
    <w:rsid w:val="002C3E60"/>
    <w:rsid w:val="002C3EA2"/>
    <w:rsid w:val="002C3F59"/>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85"/>
    <w:rsid w:val="002C43AE"/>
    <w:rsid w:val="002C43E9"/>
    <w:rsid w:val="002C43EF"/>
    <w:rsid w:val="002C4451"/>
    <w:rsid w:val="002C4492"/>
    <w:rsid w:val="002C4497"/>
    <w:rsid w:val="002C455B"/>
    <w:rsid w:val="002C4571"/>
    <w:rsid w:val="002C4664"/>
    <w:rsid w:val="002C4708"/>
    <w:rsid w:val="002C4733"/>
    <w:rsid w:val="002C4739"/>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81"/>
    <w:rsid w:val="002C4A96"/>
    <w:rsid w:val="002C4B40"/>
    <w:rsid w:val="002C4B84"/>
    <w:rsid w:val="002C4B9A"/>
    <w:rsid w:val="002C4BBE"/>
    <w:rsid w:val="002C4C46"/>
    <w:rsid w:val="002C4CBC"/>
    <w:rsid w:val="002C4CEE"/>
    <w:rsid w:val="002C4D48"/>
    <w:rsid w:val="002C4D50"/>
    <w:rsid w:val="002C4D61"/>
    <w:rsid w:val="002C4DFA"/>
    <w:rsid w:val="002C4E0E"/>
    <w:rsid w:val="002C4EE2"/>
    <w:rsid w:val="002C4EE9"/>
    <w:rsid w:val="002C4FAE"/>
    <w:rsid w:val="002C505C"/>
    <w:rsid w:val="002C5099"/>
    <w:rsid w:val="002C50BD"/>
    <w:rsid w:val="002C50FD"/>
    <w:rsid w:val="002C5102"/>
    <w:rsid w:val="002C5104"/>
    <w:rsid w:val="002C5105"/>
    <w:rsid w:val="002C5117"/>
    <w:rsid w:val="002C512B"/>
    <w:rsid w:val="002C5153"/>
    <w:rsid w:val="002C5166"/>
    <w:rsid w:val="002C51B7"/>
    <w:rsid w:val="002C51D7"/>
    <w:rsid w:val="002C51F2"/>
    <w:rsid w:val="002C520C"/>
    <w:rsid w:val="002C522A"/>
    <w:rsid w:val="002C5232"/>
    <w:rsid w:val="002C52B1"/>
    <w:rsid w:val="002C52CF"/>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66F"/>
    <w:rsid w:val="002C56ED"/>
    <w:rsid w:val="002C572B"/>
    <w:rsid w:val="002C5777"/>
    <w:rsid w:val="002C57F9"/>
    <w:rsid w:val="002C581C"/>
    <w:rsid w:val="002C58BC"/>
    <w:rsid w:val="002C58DD"/>
    <w:rsid w:val="002C5962"/>
    <w:rsid w:val="002C5966"/>
    <w:rsid w:val="002C598C"/>
    <w:rsid w:val="002C599E"/>
    <w:rsid w:val="002C59A0"/>
    <w:rsid w:val="002C5A9E"/>
    <w:rsid w:val="002C5B30"/>
    <w:rsid w:val="002C5B45"/>
    <w:rsid w:val="002C5B60"/>
    <w:rsid w:val="002C5BEE"/>
    <w:rsid w:val="002C5C6B"/>
    <w:rsid w:val="002C5C7A"/>
    <w:rsid w:val="002C5CBB"/>
    <w:rsid w:val="002C5CC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A8"/>
    <w:rsid w:val="002C646D"/>
    <w:rsid w:val="002C64FA"/>
    <w:rsid w:val="002C6506"/>
    <w:rsid w:val="002C650F"/>
    <w:rsid w:val="002C6569"/>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7D"/>
    <w:rsid w:val="002C68F4"/>
    <w:rsid w:val="002C69FF"/>
    <w:rsid w:val="002C6A6F"/>
    <w:rsid w:val="002C6A74"/>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46B"/>
    <w:rsid w:val="002C7475"/>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05"/>
    <w:rsid w:val="002C7819"/>
    <w:rsid w:val="002C786F"/>
    <w:rsid w:val="002C78B3"/>
    <w:rsid w:val="002C78FA"/>
    <w:rsid w:val="002C790B"/>
    <w:rsid w:val="002C7942"/>
    <w:rsid w:val="002C794A"/>
    <w:rsid w:val="002C799F"/>
    <w:rsid w:val="002C79E5"/>
    <w:rsid w:val="002C79F2"/>
    <w:rsid w:val="002C7AA7"/>
    <w:rsid w:val="002C7AAE"/>
    <w:rsid w:val="002C7AD5"/>
    <w:rsid w:val="002C7B12"/>
    <w:rsid w:val="002C7B38"/>
    <w:rsid w:val="002C7B48"/>
    <w:rsid w:val="002C7BDA"/>
    <w:rsid w:val="002C7C12"/>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AA"/>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F21"/>
    <w:rsid w:val="002D0F52"/>
    <w:rsid w:val="002D0F57"/>
    <w:rsid w:val="002D0F7D"/>
    <w:rsid w:val="002D0F91"/>
    <w:rsid w:val="002D102D"/>
    <w:rsid w:val="002D1032"/>
    <w:rsid w:val="002D103D"/>
    <w:rsid w:val="002D104B"/>
    <w:rsid w:val="002D106C"/>
    <w:rsid w:val="002D10BA"/>
    <w:rsid w:val="002D1118"/>
    <w:rsid w:val="002D122B"/>
    <w:rsid w:val="002D122D"/>
    <w:rsid w:val="002D1239"/>
    <w:rsid w:val="002D12A9"/>
    <w:rsid w:val="002D12AF"/>
    <w:rsid w:val="002D12C6"/>
    <w:rsid w:val="002D12DA"/>
    <w:rsid w:val="002D1307"/>
    <w:rsid w:val="002D13F7"/>
    <w:rsid w:val="002D1439"/>
    <w:rsid w:val="002D149A"/>
    <w:rsid w:val="002D14A1"/>
    <w:rsid w:val="002D14AF"/>
    <w:rsid w:val="002D14CD"/>
    <w:rsid w:val="002D14FA"/>
    <w:rsid w:val="002D1531"/>
    <w:rsid w:val="002D15D7"/>
    <w:rsid w:val="002D15E3"/>
    <w:rsid w:val="002D15FE"/>
    <w:rsid w:val="002D168B"/>
    <w:rsid w:val="002D16A2"/>
    <w:rsid w:val="002D16DD"/>
    <w:rsid w:val="002D1710"/>
    <w:rsid w:val="002D17A6"/>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27"/>
    <w:rsid w:val="002D2287"/>
    <w:rsid w:val="002D22E8"/>
    <w:rsid w:val="002D22F2"/>
    <w:rsid w:val="002D2302"/>
    <w:rsid w:val="002D231B"/>
    <w:rsid w:val="002D232E"/>
    <w:rsid w:val="002D239A"/>
    <w:rsid w:val="002D239F"/>
    <w:rsid w:val="002D23B8"/>
    <w:rsid w:val="002D24D9"/>
    <w:rsid w:val="002D24F0"/>
    <w:rsid w:val="002D24F9"/>
    <w:rsid w:val="002D2526"/>
    <w:rsid w:val="002D256F"/>
    <w:rsid w:val="002D259D"/>
    <w:rsid w:val="002D25E7"/>
    <w:rsid w:val="002D264C"/>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65"/>
    <w:rsid w:val="002D3391"/>
    <w:rsid w:val="002D33DE"/>
    <w:rsid w:val="002D3423"/>
    <w:rsid w:val="002D344B"/>
    <w:rsid w:val="002D3490"/>
    <w:rsid w:val="002D34C5"/>
    <w:rsid w:val="002D34C9"/>
    <w:rsid w:val="002D34F4"/>
    <w:rsid w:val="002D3502"/>
    <w:rsid w:val="002D3584"/>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43"/>
    <w:rsid w:val="002D3978"/>
    <w:rsid w:val="002D39A5"/>
    <w:rsid w:val="002D39BC"/>
    <w:rsid w:val="002D3A48"/>
    <w:rsid w:val="002D3A8A"/>
    <w:rsid w:val="002D3A9E"/>
    <w:rsid w:val="002D3AD9"/>
    <w:rsid w:val="002D3B05"/>
    <w:rsid w:val="002D3B48"/>
    <w:rsid w:val="002D3B86"/>
    <w:rsid w:val="002D3B95"/>
    <w:rsid w:val="002D3BA7"/>
    <w:rsid w:val="002D3BB6"/>
    <w:rsid w:val="002D3BDC"/>
    <w:rsid w:val="002D3BEB"/>
    <w:rsid w:val="002D3C25"/>
    <w:rsid w:val="002D3C34"/>
    <w:rsid w:val="002D3C3F"/>
    <w:rsid w:val="002D3C76"/>
    <w:rsid w:val="002D3C88"/>
    <w:rsid w:val="002D3CA2"/>
    <w:rsid w:val="002D3CCD"/>
    <w:rsid w:val="002D3CFB"/>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4003"/>
    <w:rsid w:val="002D4059"/>
    <w:rsid w:val="002D4076"/>
    <w:rsid w:val="002D40CC"/>
    <w:rsid w:val="002D418A"/>
    <w:rsid w:val="002D41B6"/>
    <w:rsid w:val="002D4273"/>
    <w:rsid w:val="002D427B"/>
    <w:rsid w:val="002D427E"/>
    <w:rsid w:val="002D429F"/>
    <w:rsid w:val="002D42B9"/>
    <w:rsid w:val="002D42FA"/>
    <w:rsid w:val="002D434D"/>
    <w:rsid w:val="002D43CB"/>
    <w:rsid w:val="002D444A"/>
    <w:rsid w:val="002D4487"/>
    <w:rsid w:val="002D44A9"/>
    <w:rsid w:val="002D44AB"/>
    <w:rsid w:val="002D455F"/>
    <w:rsid w:val="002D4565"/>
    <w:rsid w:val="002D45E4"/>
    <w:rsid w:val="002D4635"/>
    <w:rsid w:val="002D46E4"/>
    <w:rsid w:val="002D475A"/>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42"/>
    <w:rsid w:val="002D4D70"/>
    <w:rsid w:val="002D4D7A"/>
    <w:rsid w:val="002D4D8B"/>
    <w:rsid w:val="002D4D9E"/>
    <w:rsid w:val="002D4E7A"/>
    <w:rsid w:val="002D4E81"/>
    <w:rsid w:val="002D4EA8"/>
    <w:rsid w:val="002D4EAE"/>
    <w:rsid w:val="002D4EC4"/>
    <w:rsid w:val="002D4F36"/>
    <w:rsid w:val="002D4FA2"/>
    <w:rsid w:val="002D5024"/>
    <w:rsid w:val="002D503C"/>
    <w:rsid w:val="002D506A"/>
    <w:rsid w:val="002D50D8"/>
    <w:rsid w:val="002D5165"/>
    <w:rsid w:val="002D516D"/>
    <w:rsid w:val="002D519A"/>
    <w:rsid w:val="002D51A4"/>
    <w:rsid w:val="002D5207"/>
    <w:rsid w:val="002D5209"/>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72"/>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BF"/>
    <w:rsid w:val="002D5AE9"/>
    <w:rsid w:val="002D5B35"/>
    <w:rsid w:val="002D5BF9"/>
    <w:rsid w:val="002D5BFF"/>
    <w:rsid w:val="002D5C31"/>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53"/>
    <w:rsid w:val="002D6A56"/>
    <w:rsid w:val="002D6A57"/>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CE"/>
    <w:rsid w:val="002D71F1"/>
    <w:rsid w:val="002D71FE"/>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744"/>
    <w:rsid w:val="002D7746"/>
    <w:rsid w:val="002D775D"/>
    <w:rsid w:val="002D77AB"/>
    <w:rsid w:val="002D77C2"/>
    <w:rsid w:val="002D77C5"/>
    <w:rsid w:val="002D78C1"/>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AA"/>
    <w:rsid w:val="002D7CB3"/>
    <w:rsid w:val="002D7CEF"/>
    <w:rsid w:val="002D7CF0"/>
    <w:rsid w:val="002D7CF1"/>
    <w:rsid w:val="002D7DD0"/>
    <w:rsid w:val="002D7DE6"/>
    <w:rsid w:val="002D7E4D"/>
    <w:rsid w:val="002D7E4E"/>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60"/>
    <w:rsid w:val="002E017F"/>
    <w:rsid w:val="002E01A1"/>
    <w:rsid w:val="002E01A7"/>
    <w:rsid w:val="002E01D3"/>
    <w:rsid w:val="002E01D9"/>
    <w:rsid w:val="002E01E6"/>
    <w:rsid w:val="002E020A"/>
    <w:rsid w:val="002E024F"/>
    <w:rsid w:val="002E028C"/>
    <w:rsid w:val="002E02A7"/>
    <w:rsid w:val="002E030C"/>
    <w:rsid w:val="002E031B"/>
    <w:rsid w:val="002E031E"/>
    <w:rsid w:val="002E0326"/>
    <w:rsid w:val="002E032B"/>
    <w:rsid w:val="002E035E"/>
    <w:rsid w:val="002E0373"/>
    <w:rsid w:val="002E0386"/>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9"/>
    <w:rsid w:val="002E074A"/>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34"/>
    <w:rsid w:val="002E0A7B"/>
    <w:rsid w:val="002E0A80"/>
    <w:rsid w:val="002E0A97"/>
    <w:rsid w:val="002E0B40"/>
    <w:rsid w:val="002E0B48"/>
    <w:rsid w:val="002E0B65"/>
    <w:rsid w:val="002E0BAF"/>
    <w:rsid w:val="002E0BC0"/>
    <w:rsid w:val="002E0BDE"/>
    <w:rsid w:val="002E0BE7"/>
    <w:rsid w:val="002E0C0B"/>
    <w:rsid w:val="002E0C2D"/>
    <w:rsid w:val="002E0C81"/>
    <w:rsid w:val="002E0C91"/>
    <w:rsid w:val="002E0D86"/>
    <w:rsid w:val="002E0D97"/>
    <w:rsid w:val="002E0DBB"/>
    <w:rsid w:val="002E0E4D"/>
    <w:rsid w:val="002E0EB2"/>
    <w:rsid w:val="002E0EB8"/>
    <w:rsid w:val="002E0F36"/>
    <w:rsid w:val="002E0FA7"/>
    <w:rsid w:val="002E0FE1"/>
    <w:rsid w:val="002E100F"/>
    <w:rsid w:val="002E104A"/>
    <w:rsid w:val="002E1062"/>
    <w:rsid w:val="002E1067"/>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462"/>
    <w:rsid w:val="002E148B"/>
    <w:rsid w:val="002E1498"/>
    <w:rsid w:val="002E14A2"/>
    <w:rsid w:val="002E14A3"/>
    <w:rsid w:val="002E14C6"/>
    <w:rsid w:val="002E14CF"/>
    <w:rsid w:val="002E1578"/>
    <w:rsid w:val="002E1616"/>
    <w:rsid w:val="002E161F"/>
    <w:rsid w:val="002E171B"/>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28"/>
    <w:rsid w:val="002E1CAD"/>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0FF"/>
    <w:rsid w:val="002E312C"/>
    <w:rsid w:val="002E31BD"/>
    <w:rsid w:val="002E3206"/>
    <w:rsid w:val="002E3213"/>
    <w:rsid w:val="002E3220"/>
    <w:rsid w:val="002E32C8"/>
    <w:rsid w:val="002E32DA"/>
    <w:rsid w:val="002E338A"/>
    <w:rsid w:val="002E33B4"/>
    <w:rsid w:val="002E33EF"/>
    <w:rsid w:val="002E344D"/>
    <w:rsid w:val="002E346F"/>
    <w:rsid w:val="002E3471"/>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D6"/>
    <w:rsid w:val="002E37FA"/>
    <w:rsid w:val="002E384B"/>
    <w:rsid w:val="002E3870"/>
    <w:rsid w:val="002E3899"/>
    <w:rsid w:val="002E38A0"/>
    <w:rsid w:val="002E3907"/>
    <w:rsid w:val="002E3946"/>
    <w:rsid w:val="002E3968"/>
    <w:rsid w:val="002E399A"/>
    <w:rsid w:val="002E39E6"/>
    <w:rsid w:val="002E3A44"/>
    <w:rsid w:val="002E3A5D"/>
    <w:rsid w:val="002E3A69"/>
    <w:rsid w:val="002E3B62"/>
    <w:rsid w:val="002E3B90"/>
    <w:rsid w:val="002E3BC9"/>
    <w:rsid w:val="002E3BF0"/>
    <w:rsid w:val="002E3BF9"/>
    <w:rsid w:val="002E3C47"/>
    <w:rsid w:val="002E3C5E"/>
    <w:rsid w:val="002E3C88"/>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1A"/>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A4"/>
    <w:rsid w:val="002E43D3"/>
    <w:rsid w:val="002E4429"/>
    <w:rsid w:val="002E4463"/>
    <w:rsid w:val="002E4465"/>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76E"/>
    <w:rsid w:val="002E4788"/>
    <w:rsid w:val="002E4821"/>
    <w:rsid w:val="002E4845"/>
    <w:rsid w:val="002E4896"/>
    <w:rsid w:val="002E48CD"/>
    <w:rsid w:val="002E4915"/>
    <w:rsid w:val="002E4923"/>
    <w:rsid w:val="002E49B4"/>
    <w:rsid w:val="002E49CF"/>
    <w:rsid w:val="002E49D8"/>
    <w:rsid w:val="002E49F8"/>
    <w:rsid w:val="002E4AB7"/>
    <w:rsid w:val="002E4B71"/>
    <w:rsid w:val="002E4BD8"/>
    <w:rsid w:val="002E4C41"/>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5D"/>
    <w:rsid w:val="002E5080"/>
    <w:rsid w:val="002E50A5"/>
    <w:rsid w:val="002E50BA"/>
    <w:rsid w:val="002E50DA"/>
    <w:rsid w:val="002E50E7"/>
    <w:rsid w:val="002E50EF"/>
    <w:rsid w:val="002E5120"/>
    <w:rsid w:val="002E512D"/>
    <w:rsid w:val="002E513E"/>
    <w:rsid w:val="002E5163"/>
    <w:rsid w:val="002E5190"/>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8"/>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6B9"/>
    <w:rsid w:val="002E5708"/>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A9"/>
    <w:rsid w:val="002E6AB3"/>
    <w:rsid w:val="002E6BAA"/>
    <w:rsid w:val="002E6C5D"/>
    <w:rsid w:val="002E6CE6"/>
    <w:rsid w:val="002E6D43"/>
    <w:rsid w:val="002E6D57"/>
    <w:rsid w:val="002E6DAC"/>
    <w:rsid w:val="002E6DDD"/>
    <w:rsid w:val="002E6E2E"/>
    <w:rsid w:val="002E6E42"/>
    <w:rsid w:val="002E6EC0"/>
    <w:rsid w:val="002E6EE9"/>
    <w:rsid w:val="002E6F67"/>
    <w:rsid w:val="002E6F7E"/>
    <w:rsid w:val="002E6FA9"/>
    <w:rsid w:val="002E6FBE"/>
    <w:rsid w:val="002E705C"/>
    <w:rsid w:val="002E7098"/>
    <w:rsid w:val="002E709C"/>
    <w:rsid w:val="002E70AC"/>
    <w:rsid w:val="002E70DB"/>
    <w:rsid w:val="002E70DF"/>
    <w:rsid w:val="002E70E1"/>
    <w:rsid w:val="002E711F"/>
    <w:rsid w:val="002E7172"/>
    <w:rsid w:val="002E71EC"/>
    <w:rsid w:val="002E7207"/>
    <w:rsid w:val="002E7233"/>
    <w:rsid w:val="002E7237"/>
    <w:rsid w:val="002E7348"/>
    <w:rsid w:val="002E73B3"/>
    <w:rsid w:val="002E73FA"/>
    <w:rsid w:val="002E7408"/>
    <w:rsid w:val="002E745F"/>
    <w:rsid w:val="002E7475"/>
    <w:rsid w:val="002E7508"/>
    <w:rsid w:val="002E7520"/>
    <w:rsid w:val="002E755A"/>
    <w:rsid w:val="002E7569"/>
    <w:rsid w:val="002E758A"/>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E4"/>
    <w:rsid w:val="002E7B07"/>
    <w:rsid w:val="002E7B17"/>
    <w:rsid w:val="002E7B34"/>
    <w:rsid w:val="002E7B35"/>
    <w:rsid w:val="002E7B6E"/>
    <w:rsid w:val="002E7B7C"/>
    <w:rsid w:val="002E7BFB"/>
    <w:rsid w:val="002E7C94"/>
    <w:rsid w:val="002E7CFA"/>
    <w:rsid w:val="002E7D53"/>
    <w:rsid w:val="002E7D7F"/>
    <w:rsid w:val="002E7DB4"/>
    <w:rsid w:val="002E7E06"/>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C"/>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51"/>
    <w:rsid w:val="002F0978"/>
    <w:rsid w:val="002F09C6"/>
    <w:rsid w:val="002F0A08"/>
    <w:rsid w:val="002F0A1E"/>
    <w:rsid w:val="002F0A3B"/>
    <w:rsid w:val="002F0A41"/>
    <w:rsid w:val="002F0A69"/>
    <w:rsid w:val="002F0ACB"/>
    <w:rsid w:val="002F0AE9"/>
    <w:rsid w:val="002F0AF8"/>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D5"/>
    <w:rsid w:val="002F0DD7"/>
    <w:rsid w:val="002F0E82"/>
    <w:rsid w:val="002F0E8E"/>
    <w:rsid w:val="002F0EB2"/>
    <w:rsid w:val="002F0F2B"/>
    <w:rsid w:val="002F0F41"/>
    <w:rsid w:val="002F1015"/>
    <w:rsid w:val="002F10B3"/>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76A"/>
    <w:rsid w:val="002F1773"/>
    <w:rsid w:val="002F17A8"/>
    <w:rsid w:val="002F17F4"/>
    <w:rsid w:val="002F1827"/>
    <w:rsid w:val="002F185A"/>
    <w:rsid w:val="002F18C0"/>
    <w:rsid w:val="002F18D5"/>
    <w:rsid w:val="002F18D9"/>
    <w:rsid w:val="002F1960"/>
    <w:rsid w:val="002F19CF"/>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2"/>
    <w:rsid w:val="002F2470"/>
    <w:rsid w:val="002F2487"/>
    <w:rsid w:val="002F24E5"/>
    <w:rsid w:val="002F2563"/>
    <w:rsid w:val="002F256A"/>
    <w:rsid w:val="002F25AA"/>
    <w:rsid w:val="002F25B9"/>
    <w:rsid w:val="002F2603"/>
    <w:rsid w:val="002F2651"/>
    <w:rsid w:val="002F2663"/>
    <w:rsid w:val="002F2669"/>
    <w:rsid w:val="002F270D"/>
    <w:rsid w:val="002F2723"/>
    <w:rsid w:val="002F2729"/>
    <w:rsid w:val="002F2762"/>
    <w:rsid w:val="002F277F"/>
    <w:rsid w:val="002F27F8"/>
    <w:rsid w:val="002F27F9"/>
    <w:rsid w:val="002F2822"/>
    <w:rsid w:val="002F2867"/>
    <w:rsid w:val="002F28C5"/>
    <w:rsid w:val="002F28C7"/>
    <w:rsid w:val="002F290B"/>
    <w:rsid w:val="002F2972"/>
    <w:rsid w:val="002F29C3"/>
    <w:rsid w:val="002F2A04"/>
    <w:rsid w:val="002F2A62"/>
    <w:rsid w:val="002F2B88"/>
    <w:rsid w:val="002F2B97"/>
    <w:rsid w:val="002F2BB6"/>
    <w:rsid w:val="002F2C83"/>
    <w:rsid w:val="002F2C99"/>
    <w:rsid w:val="002F2CA8"/>
    <w:rsid w:val="002F2D14"/>
    <w:rsid w:val="002F2D24"/>
    <w:rsid w:val="002F2D51"/>
    <w:rsid w:val="002F2D86"/>
    <w:rsid w:val="002F2E4C"/>
    <w:rsid w:val="002F2EE5"/>
    <w:rsid w:val="002F2F58"/>
    <w:rsid w:val="002F2FC8"/>
    <w:rsid w:val="002F300E"/>
    <w:rsid w:val="002F3042"/>
    <w:rsid w:val="002F309F"/>
    <w:rsid w:val="002F30F2"/>
    <w:rsid w:val="002F30F5"/>
    <w:rsid w:val="002F3172"/>
    <w:rsid w:val="002F3176"/>
    <w:rsid w:val="002F31F4"/>
    <w:rsid w:val="002F31FD"/>
    <w:rsid w:val="002F323E"/>
    <w:rsid w:val="002F32F5"/>
    <w:rsid w:val="002F332A"/>
    <w:rsid w:val="002F3336"/>
    <w:rsid w:val="002F334A"/>
    <w:rsid w:val="002F3368"/>
    <w:rsid w:val="002F33A1"/>
    <w:rsid w:val="002F33AE"/>
    <w:rsid w:val="002F33EE"/>
    <w:rsid w:val="002F3414"/>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B7"/>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F"/>
    <w:rsid w:val="002F40F2"/>
    <w:rsid w:val="002F41D5"/>
    <w:rsid w:val="002F41F8"/>
    <w:rsid w:val="002F423E"/>
    <w:rsid w:val="002F4270"/>
    <w:rsid w:val="002F4294"/>
    <w:rsid w:val="002F4301"/>
    <w:rsid w:val="002F4380"/>
    <w:rsid w:val="002F4411"/>
    <w:rsid w:val="002F4473"/>
    <w:rsid w:val="002F4493"/>
    <w:rsid w:val="002F44B6"/>
    <w:rsid w:val="002F454B"/>
    <w:rsid w:val="002F45B8"/>
    <w:rsid w:val="002F45BB"/>
    <w:rsid w:val="002F45F0"/>
    <w:rsid w:val="002F4617"/>
    <w:rsid w:val="002F4652"/>
    <w:rsid w:val="002F4686"/>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B2"/>
    <w:rsid w:val="002F4B18"/>
    <w:rsid w:val="002F4B60"/>
    <w:rsid w:val="002F4BD6"/>
    <w:rsid w:val="002F4BE5"/>
    <w:rsid w:val="002F4C00"/>
    <w:rsid w:val="002F4C24"/>
    <w:rsid w:val="002F4C55"/>
    <w:rsid w:val="002F4C66"/>
    <w:rsid w:val="002F4C85"/>
    <w:rsid w:val="002F4CF9"/>
    <w:rsid w:val="002F4D2C"/>
    <w:rsid w:val="002F4D79"/>
    <w:rsid w:val="002F4D93"/>
    <w:rsid w:val="002F4D9A"/>
    <w:rsid w:val="002F4DDE"/>
    <w:rsid w:val="002F4E0A"/>
    <w:rsid w:val="002F4E1A"/>
    <w:rsid w:val="002F4EFB"/>
    <w:rsid w:val="002F4F31"/>
    <w:rsid w:val="002F4F49"/>
    <w:rsid w:val="002F4F82"/>
    <w:rsid w:val="002F4FA4"/>
    <w:rsid w:val="002F4FB2"/>
    <w:rsid w:val="002F50B8"/>
    <w:rsid w:val="002F50BF"/>
    <w:rsid w:val="002F50EE"/>
    <w:rsid w:val="002F50F4"/>
    <w:rsid w:val="002F5116"/>
    <w:rsid w:val="002F5117"/>
    <w:rsid w:val="002F5181"/>
    <w:rsid w:val="002F519A"/>
    <w:rsid w:val="002F5205"/>
    <w:rsid w:val="002F52DA"/>
    <w:rsid w:val="002F534F"/>
    <w:rsid w:val="002F5378"/>
    <w:rsid w:val="002F5389"/>
    <w:rsid w:val="002F5413"/>
    <w:rsid w:val="002F543C"/>
    <w:rsid w:val="002F5440"/>
    <w:rsid w:val="002F5520"/>
    <w:rsid w:val="002F552D"/>
    <w:rsid w:val="002F5544"/>
    <w:rsid w:val="002F556F"/>
    <w:rsid w:val="002F5651"/>
    <w:rsid w:val="002F567E"/>
    <w:rsid w:val="002F56E1"/>
    <w:rsid w:val="002F5709"/>
    <w:rsid w:val="002F5714"/>
    <w:rsid w:val="002F576B"/>
    <w:rsid w:val="002F57AA"/>
    <w:rsid w:val="002F5863"/>
    <w:rsid w:val="002F5897"/>
    <w:rsid w:val="002F58AE"/>
    <w:rsid w:val="002F58C0"/>
    <w:rsid w:val="002F590C"/>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92"/>
    <w:rsid w:val="002F62A4"/>
    <w:rsid w:val="002F62EA"/>
    <w:rsid w:val="002F6323"/>
    <w:rsid w:val="002F633D"/>
    <w:rsid w:val="002F6341"/>
    <w:rsid w:val="002F635D"/>
    <w:rsid w:val="002F63BF"/>
    <w:rsid w:val="002F63D2"/>
    <w:rsid w:val="002F63D6"/>
    <w:rsid w:val="002F6457"/>
    <w:rsid w:val="002F64C0"/>
    <w:rsid w:val="002F65A9"/>
    <w:rsid w:val="002F65E6"/>
    <w:rsid w:val="002F65FE"/>
    <w:rsid w:val="002F6608"/>
    <w:rsid w:val="002F663C"/>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94"/>
    <w:rsid w:val="002F6D26"/>
    <w:rsid w:val="002F6D42"/>
    <w:rsid w:val="002F6D74"/>
    <w:rsid w:val="002F6D97"/>
    <w:rsid w:val="002F6DA8"/>
    <w:rsid w:val="002F6DCB"/>
    <w:rsid w:val="002F6DE4"/>
    <w:rsid w:val="002F6E59"/>
    <w:rsid w:val="002F6E83"/>
    <w:rsid w:val="002F6EDD"/>
    <w:rsid w:val="002F6F3A"/>
    <w:rsid w:val="002F6F61"/>
    <w:rsid w:val="002F7025"/>
    <w:rsid w:val="002F708D"/>
    <w:rsid w:val="002F70A1"/>
    <w:rsid w:val="002F70C9"/>
    <w:rsid w:val="002F70D3"/>
    <w:rsid w:val="002F7101"/>
    <w:rsid w:val="002F7105"/>
    <w:rsid w:val="002F7126"/>
    <w:rsid w:val="002F7132"/>
    <w:rsid w:val="002F713D"/>
    <w:rsid w:val="002F715F"/>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537"/>
    <w:rsid w:val="002F75F7"/>
    <w:rsid w:val="002F763E"/>
    <w:rsid w:val="002F766A"/>
    <w:rsid w:val="002F76FB"/>
    <w:rsid w:val="002F776C"/>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68"/>
    <w:rsid w:val="002F7BEB"/>
    <w:rsid w:val="002F7BF6"/>
    <w:rsid w:val="002F7C08"/>
    <w:rsid w:val="002F7D90"/>
    <w:rsid w:val="002F7E00"/>
    <w:rsid w:val="002F7E17"/>
    <w:rsid w:val="002F7E36"/>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5B"/>
    <w:rsid w:val="00300298"/>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1F"/>
    <w:rsid w:val="00300721"/>
    <w:rsid w:val="0030074E"/>
    <w:rsid w:val="00300761"/>
    <w:rsid w:val="003007AA"/>
    <w:rsid w:val="003007C3"/>
    <w:rsid w:val="003007C7"/>
    <w:rsid w:val="00300811"/>
    <w:rsid w:val="0030082D"/>
    <w:rsid w:val="00300869"/>
    <w:rsid w:val="00300878"/>
    <w:rsid w:val="00300884"/>
    <w:rsid w:val="003008C5"/>
    <w:rsid w:val="003008FD"/>
    <w:rsid w:val="00300970"/>
    <w:rsid w:val="00300980"/>
    <w:rsid w:val="003009BB"/>
    <w:rsid w:val="003009C9"/>
    <w:rsid w:val="003009E5"/>
    <w:rsid w:val="003009EA"/>
    <w:rsid w:val="003009FB"/>
    <w:rsid w:val="00300ABC"/>
    <w:rsid w:val="00300ABE"/>
    <w:rsid w:val="00300BBA"/>
    <w:rsid w:val="00300C14"/>
    <w:rsid w:val="00300C4B"/>
    <w:rsid w:val="00300C62"/>
    <w:rsid w:val="00300C9F"/>
    <w:rsid w:val="00300CDA"/>
    <w:rsid w:val="00300D1A"/>
    <w:rsid w:val="00300D6E"/>
    <w:rsid w:val="00300DB0"/>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73"/>
    <w:rsid w:val="003015C4"/>
    <w:rsid w:val="003015DF"/>
    <w:rsid w:val="003015E2"/>
    <w:rsid w:val="003015FA"/>
    <w:rsid w:val="00301610"/>
    <w:rsid w:val="0030166C"/>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CF"/>
    <w:rsid w:val="00301A8E"/>
    <w:rsid w:val="00301AAC"/>
    <w:rsid w:val="00301AC2"/>
    <w:rsid w:val="00301AD9"/>
    <w:rsid w:val="00301B09"/>
    <w:rsid w:val="00301B31"/>
    <w:rsid w:val="00301B82"/>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E6"/>
    <w:rsid w:val="00303042"/>
    <w:rsid w:val="003030AC"/>
    <w:rsid w:val="003030DB"/>
    <w:rsid w:val="003030E9"/>
    <w:rsid w:val="0030310B"/>
    <w:rsid w:val="00303141"/>
    <w:rsid w:val="00303159"/>
    <w:rsid w:val="0030315E"/>
    <w:rsid w:val="00303173"/>
    <w:rsid w:val="0030321F"/>
    <w:rsid w:val="00303272"/>
    <w:rsid w:val="00303317"/>
    <w:rsid w:val="0030332E"/>
    <w:rsid w:val="0030332F"/>
    <w:rsid w:val="0030337F"/>
    <w:rsid w:val="00303395"/>
    <w:rsid w:val="00303399"/>
    <w:rsid w:val="003033FD"/>
    <w:rsid w:val="00303474"/>
    <w:rsid w:val="00303480"/>
    <w:rsid w:val="00303500"/>
    <w:rsid w:val="0030350E"/>
    <w:rsid w:val="00303534"/>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CD"/>
    <w:rsid w:val="003037E9"/>
    <w:rsid w:val="0030380E"/>
    <w:rsid w:val="00303870"/>
    <w:rsid w:val="003038BB"/>
    <w:rsid w:val="003038E5"/>
    <w:rsid w:val="003038EE"/>
    <w:rsid w:val="00303907"/>
    <w:rsid w:val="00303940"/>
    <w:rsid w:val="003039A7"/>
    <w:rsid w:val="00303A03"/>
    <w:rsid w:val="00303A13"/>
    <w:rsid w:val="00303A94"/>
    <w:rsid w:val="00303A97"/>
    <w:rsid w:val="00303AAB"/>
    <w:rsid w:val="00303B0D"/>
    <w:rsid w:val="00303B13"/>
    <w:rsid w:val="00303B22"/>
    <w:rsid w:val="00303B2B"/>
    <w:rsid w:val="00303BB6"/>
    <w:rsid w:val="00303BC5"/>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F58"/>
    <w:rsid w:val="00303F68"/>
    <w:rsid w:val="0030400A"/>
    <w:rsid w:val="00304016"/>
    <w:rsid w:val="003040A9"/>
    <w:rsid w:val="003040B6"/>
    <w:rsid w:val="0030416F"/>
    <w:rsid w:val="003041EB"/>
    <w:rsid w:val="003042C6"/>
    <w:rsid w:val="003042DB"/>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687"/>
    <w:rsid w:val="0030473C"/>
    <w:rsid w:val="0030473D"/>
    <w:rsid w:val="00304780"/>
    <w:rsid w:val="00304794"/>
    <w:rsid w:val="0030479C"/>
    <w:rsid w:val="003047BF"/>
    <w:rsid w:val="003047E9"/>
    <w:rsid w:val="0030481C"/>
    <w:rsid w:val="0030483A"/>
    <w:rsid w:val="00304894"/>
    <w:rsid w:val="003048E4"/>
    <w:rsid w:val="003048F2"/>
    <w:rsid w:val="00304908"/>
    <w:rsid w:val="00304925"/>
    <w:rsid w:val="00304956"/>
    <w:rsid w:val="00304976"/>
    <w:rsid w:val="00304A08"/>
    <w:rsid w:val="00304A2E"/>
    <w:rsid w:val="00304A30"/>
    <w:rsid w:val="00304AB1"/>
    <w:rsid w:val="00304AE9"/>
    <w:rsid w:val="00304B71"/>
    <w:rsid w:val="00304B82"/>
    <w:rsid w:val="00304B96"/>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E"/>
    <w:rsid w:val="0030512C"/>
    <w:rsid w:val="00305244"/>
    <w:rsid w:val="0030526B"/>
    <w:rsid w:val="003052AE"/>
    <w:rsid w:val="00305318"/>
    <w:rsid w:val="0030535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0B"/>
    <w:rsid w:val="00305955"/>
    <w:rsid w:val="00305959"/>
    <w:rsid w:val="00305990"/>
    <w:rsid w:val="003059F1"/>
    <w:rsid w:val="00305A63"/>
    <w:rsid w:val="00305A8A"/>
    <w:rsid w:val="00305AD6"/>
    <w:rsid w:val="00305B17"/>
    <w:rsid w:val="00305BD6"/>
    <w:rsid w:val="00305C0E"/>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1"/>
    <w:rsid w:val="00306205"/>
    <w:rsid w:val="0030628A"/>
    <w:rsid w:val="003062A8"/>
    <w:rsid w:val="003062E2"/>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74"/>
    <w:rsid w:val="0030668F"/>
    <w:rsid w:val="003066DB"/>
    <w:rsid w:val="003066EC"/>
    <w:rsid w:val="003066F3"/>
    <w:rsid w:val="00306716"/>
    <w:rsid w:val="00306751"/>
    <w:rsid w:val="0030675D"/>
    <w:rsid w:val="003067A2"/>
    <w:rsid w:val="003067A7"/>
    <w:rsid w:val="0030680C"/>
    <w:rsid w:val="00306867"/>
    <w:rsid w:val="00306876"/>
    <w:rsid w:val="0030687D"/>
    <w:rsid w:val="003068B5"/>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65"/>
    <w:rsid w:val="003073EE"/>
    <w:rsid w:val="00307413"/>
    <w:rsid w:val="00307429"/>
    <w:rsid w:val="00307448"/>
    <w:rsid w:val="0030749C"/>
    <w:rsid w:val="003074D4"/>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12"/>
    <w:rsid w:val="0030792E"/>
    <w:rsid w:val="003079F2"/>
    <w:rsid w:val="00307A7D"/>
    <w:rsid w:val="00307A93"/>
    <w:rsid w:val="00307AD2"/>
    <w:rsid w:val="00307AD3"/>
    <w:rsid w:val="00307AFD"/>
    <w:rsid w:val="00307B11"/>
    <w:rsid w:val="00307B3B"/>
    <w:rsid w:val="00307B47"/>
    <w:rsid w:val="00307B68"/>
    <w:rsid w:val="00307B70"/>
    <w:rsid w:val="00307C12"/>
    <w:rsid w:val="00307C37"/>
    <w:rsid w:val="00307C5F"/>
    <w:rsid w:val="00307CA7"/>
    <w:rsid w:val="00307CA8"/>
    <w:rsid w:val="00307CFC"/>
    <w:rsid w:val="00307D19"/>
    <w:rsid w:val="00307D41"/>
    <w:rsid w:val="00307D43"/>
    <w:rsid w:val="00307DC6"/>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234"/>
    <w:rsid w:val="003102F8"/>
    <w:rsid w:val="0031031A"/>
    <w:rsid w:val="00310369"/>
    <w:rsid w:val="00310390"/>
    <w:rsid w:val="00310396"/>
    <w:rsid w:val="003103D2"/>
    <w:rsid w:val="003103EA"/>
    <w:rsid w:val="003103FE"/>
    <w:rsid w:val="0031043D"/>
    <w:rsid w:val="00310452"/>
    <w:rsid w:val="00310466"/>
    <w:rsid w:val="00310477"/>
    <w:rsid w:val="003104A5"/>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119"/>
    <w:rsid w:val="0031111A"/>
    <w:rsid w:val="0031112E"/>
    <w:rsid w:val="00311197"/>
    <w:rsid w:val="003111A2"/>
    <w:rsid w:val="003111D5"/>
    <w:rsid w:val="003111E5"/>
    <w:rsid w:val="0031121F"/>
    <w:rsid w:val="00311235"/>
    <w:rsid w:val="00311240"/>
    <w:rsid w:val="00311243"/>
    <w:rsid w:val="00311268"/>
    <w:rsid w:val="0031128A"/>
    <w:rsid w:val="0031128E"/>
    <w:rsid w:val="003112A4"/>
    <w:rsid w:val="00311310"/>
    <w:rsid w:val="00311332"/>
    <w:rsid w:val="0031135E"/>
    <w:rsid w:val="003113B7"/>
    <w:rsid w:val="003113E6"/>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D3"/>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27"/>
    <w:rsid w:val="0031183D"/>
    <w:rsid w:val="00311852"/>
    <w:rsid w:val="00311863"/>
    <w:rsid w:val="00311882"/>
    <w:rsid w:val="003118D1"/>
    <w:rsid w:val="003119A9"/>
    <w:rsid w:val="003119D8"/>
    <w:rsid w:val="00311AA2"/>
    <w:rsid w:val="00311AEC"/>
    <w:rsid w:val="00311B62"/>
    <w:rsid w:val="00311B70"/>
    <w:rsid w:val="00311BBE"/>
    <w:rsid w:val="00311BF7"/>
    <w:rsid w:val="00311C2C"/>
    <w:rsid w:val="00311C5D"/>
    <w:rsid w:val="00311C98"/>
    <w:rsid w:val="00311CAB"/>
    <w:rsid w:val="00311CCC"/>
    <w:rsid w:val="00311CF4"/>
    <w:rsid w:val="00311D06"/>
    <w:rsid w:val="00311D19"/>
    <w:rsid w:val="00311D5B"/>
    <w:rsid w:val="00311DC1"/>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4F6"/>
    <w:rsid w:val="00312502"/>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09"/>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91"/>
    <w:rsid w:val="00312C40"/>
    <w:rsid w:val="00312C86"/>
    <w:rsid w:val="00312CA9"/>
    <w:rsid w:val="00312CD8"/>
    <w:rsid w:val="00312DB7"/>
    <w:rsid w:val="00312E3A"/>
    <w:rsid w:val="00312E43"/>
    <w:rsid w:val="00312E6E"/>
    <w:rsid w:val="00312EF6"/>
    <w:rsid w:val="00312F1C"/>
    <w:rsid w:val="00312F44"/>
    <w:rsid w:val="00312F7B"/>
    <w:rsid w:val="00312FBF"/>
    <w:rsid w:val="00313027"/>
    <w:rsid w:val="0031302C"/>
    <w:rsid w:val="0031303C"/>
    <w:rsid w:val="0031305C"/>
    <w:rsid w:val="00313079"/>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D6"/>
    <w:rsid w:val="003135E4"/>
    <w:rsid w:val="003135E9"/>
    <w:rsid w:val="003135F8"/>
    <w:rsid w:val="0031361B"/>
    <w:rsid w:val="00313635"/>
    <w:rsid w:val="00313637"/>
    <w:rsid w:val="003136D3"/>
    <w:rsid w:val="003136EE"/>
    <w:rsid w:val="003137F9"/>
    <w:rsid w:val="003138FA"/>
    <w:rsid w:val="00313908"/>
    <w:rsid w:val="0031392E"/>
    <w:rsid w:val="003139FB"/>
    <w:rsid w:val="00313A15"/>
    <w:rsid w:val="00313A2B"/>
    <w:rsid w:val="00313A7C"/>
    <w:rsid w:val="00313A7D"/>
    <w:rsid w:val="00313ACA"/>
    <w:rsid w:val="00313B1A"/>
    <w:rsid w:val="00313B4A"/>
    <w:rsid w:val="00313BAC"/>
    <w:rsid w:val="00313BAF"/>
    <w:rsid w:val="00313BBD"/>
    <w:rsid w:val="00313BC6"/>
    <w:rsid w:val="00313BE8"/>
    <w:rsid w:val="00313C2B"/>
    <w:rsid w:val="00313C41"/>
    <w:rsid w:val="00313C8C"/>
    <w:rsid w:val="00313CD0"/>
    <w:rsid w:val="00313CEF"/>
    <w:rsid w:val="00313D61"/>
    <w:rsid w:val="00313D68"/>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69"/>
    <w:rsid w:val="00314C74"/>
    <w:rsid w:val="00314C99"/>
    <w:rsid w:val="00314CF5"/>
    <w:rsid w:val="00314D2F"/>
    <w:rsid w:val="00314EFF"/>
    <w:rsid w:val="00314F54"/>
    <w:rsid w:val="00314F7F"/>
    <w:rsid w:val="00314F8C"/>
    <w:rsid w:val="00314FCF"/>
    <w:rsid w:val="00314FD3"/>
    <w:rsid w:val="00314FDA"/>
    <w:rsid w:val="0031500F"/>
    <w:rsid w:val="003150BF"/>
    <w:rsid w:val="0031518A"/>
    <w:rsid w:val="003151C1"/>
    <w:rsid w:val="003151E8"/>
    <w:rsid w:val="00315260"/>
    <w:rsid w:val="00315293"/>
    <w:rsid w:val="00315299"/>
    <w:rsid w:val="003152D8"/>
    <w:rsid w:val="003152E3"/>
    <w:rsid w:val="00315315"/>
    <w:rsid w:val="00315356"/>
    <w:rsid w:val="0031535E"/>
    <w:rsid w:val="00315401"/>
    <w:rsid w:val="00315406"/>
    <w:rsid w:val="00315414"/>
    <w:rsid w:val="00315444"/>
    <w:rsid w:val="0031547C"/>
    <w:rsid w:val="00315493"/>
    <w:rsid w:val="003154AA"/>
    <w:rsid w:val="0031550E"/>
    <w:rsid w:val="00315546"/>
    <w:rsid w:val="0031556D"/>
    <w:rsid w:val="00315570"/>
    <w:rsid w:val="00315590"/>
    <w:rsid w:val="00315591"/>
    <w:rsid w:val="003155C6"/>
    <w:rsid w:val="00315615"/>
    <w:rsid w:val="0031564F"/>
    <w:rsid w:val="003156CE"/>
    <w:rsid w:val="00315737"/>
    <w:rsid w:val="003157B0"/>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4"/>
    <w:rsid w:val="00315DF8"/>
    <w:rsid w:val="00315E8B"/>
    <w:rsid w:val="00315EB2"/>
    <w:rsid w:val="00315EB6"/>
    <w:rsid w:val="00315ECC"/>
    <w:rsid w:val="00315EE6"/>
    <w:rsid w:val="00315EEF"/>
    <w:rsid w:val="00315F4C"/>
    <w:rsid w:val="00315FC7"/>
    <w:rsid w:val="00315FD3"/>
    <w:rsid w:val="00315FDC"/>
    <w:rsid w:val="00315FE6"/>
    <w:rsid w:val="00316041"/>
    <w:rsid w:val="0031609A"/>
    <w:rsid w:val="003160B3"/>
    <w:rsid w:val="003160B6"/>
    <w:rsid w:val="003160C9"/>
    <w:rsid w:val="003160CD"/>
    <w:rsid w:val="003160FB"/>
    <w:rsid w:val="00316121"/>
    <w:rsid w:val="00316146"/>
    <w:rsid w:val="003161EC"/>
    <w:rsid w:val="00316247"/>
    <w:rsid w:val="0031624B"/>
    <w:rsid w:val="0031629B"/>
    <w:rsid w:val="0031629F"/>
    <w:rsid w:val="003162BD"/>
    <w:rsid w:val="003162C7"/>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57"/>
    <w:rsid w:val="0031689C"/>
    <w:rsid w:val="003168D0"/>
    <w:rsid w:val="003168FB"/>
    <w:rsid w:val="00316962"/>
    <w:rsid w:val="00316A19"/>
    <w:rsid w:val="00316A2D"/>
    <w:rsid w:val="00316A30"/>
    <w:rsid w:val="00316A3E"/>
    <w:rsid w:val="00316A40"/>
    <w:rsid w:val="00316A80"/>
    <w:rsid w:val="00316A8C"/>
    <w:rsid w:val="00316A90"/>
    <w:rsid w:val="00316AB1"/>
    <w:rsid w:val="00316ACD"/>
    <w:rsid w:val="00316BB1"/>
    <w:rsid w:val="00316C33"/>
    <w:rsid w:val="00316CC1"/>
    <w:rsid w:val="00316D2F"/>
    <w:rsid w:val="00316D61"/>
    <w:rsid w:val="00316DB6"/>
    <w:rsid w:val="00316DE7"/>
    <w:rsid w:val="00316DF0"/>
    <w:rsid w:val="00316E11"/>
    <w:rsid w:val="00316E12"/>
    <w:rsid w:val="00316E41"/>
    <w:rsid w:val="00316E49"/>
    <w:rsid w:val="00316E57"/>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272"/>
    <w:rsid w:val="003173A3"/>
    <w:rsid w:val="003173D1"/>
    <w:rsid w:val="0031741F"/>
    <w:rsid w:val="00317430"/>
    <w:rsid w:val="0031745B"/>
    <w:rsid w:val="00317473"/>
    <w:rsid w:val="0031753C"/>
    <w:rsid w:val="0031755C"/>
    <w:rsid w:val="00317598"/>
    <w:rsid w:val="003175BA"/>
    <w:rsid w:val="003175F4"/>
    <w:rsid w:val="003176D7"/>
    <w:rsid w:val="003176ED"/>
    <w:rsid w:val="00317711"/>
    <w:rsid w:val="00317724"/>
    <w:rsid w:val="00317729"/>
    <w:rsid w:val="00317745"/>
    <w:rsid w:val="0031774E"/>
    <w:rsid w:val="00317754"/>
    <w:rsid w:val="0031779C"/>
    <w:rsid w:val="003177AF"/>
    <w:rsid w:val="003177CC"/>
    <w:rsid w:val="003177DB"/>
    <w:rsid w:val="003177EB"/>
    <w:rsid w:val="00317829"/>
    <w:rsid w:val="0031783B"/>
    <w:rsid w:val="0031784A"/>
    <w:rsid w:val="00317860"/>
    <w:rsid w:val="00317873"/>
    <w:rsid w:val="00317890"/>
    <w:rsid w:val="00317897"/>
    <w:rsid w:val="003178A3"/>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B76"/>
    <w:rsid w:val="00317C71"/>
    <w:rsid w:val="00317CAB"/>
    <w:rsid w:val="00317D22"/>
    <w:rsid w:val="00317DB5"/>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A"/>
    <w:rsid w:val="00320062"/>
    <w:rsid w:val="00320080"/>
    <w:rsid w:val="003200D1"/>
    <w:rsid w:val="003200F3"/>
    <w:rsid w:val="0032016F"/>
    <w:rsid w:val="00320179"/>
    <w:rsid w:val="00320235"/>
    <w:rsid w:val="00320261"/>
    <w:rsid w:val="003202E1"/>
    <w:rsid w:val="0032036F"/>
    <w:rsid w:val="00320373"/>
    <w:rsid w:val="00320379"/>
    <w:rsid w:val="0032038D"/>
    <w:rsid w:val="00320418"/>
    <w:rsid w:val="00320433"/>
    <w:rsid w:val="00320436"/>
    <w:rsid w:val="00320447"/>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0"/>
    <w:rsid w:val="00320807"/>
    <w:rsid w:val="0032082A"/>
    <w:rsid w:val="0032084E"/>
    <w:rsid w:val="00320869"/>
    <w:rsid w:val="0032086D"/>
    <w:rsid w:val="00320888"/>
    <w:rsid w:val="0032089C"/>
    <w:rsid w:val="00320901"/>
    <w:rsid w:val="0032092C"/>
    <w:rsid w:val="003209BB"/>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111A"/>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53"/>
    <w:rsid w:val="0032175A"/>
    <w:rsid w:val="0032175D"/>
    <w:rsid w:val="003217A6"/>
    <w:rsid w:val="003217ED"/>
    <w:rsid w:val="00321816"/>
    <w:rsid w:val="0032183B"/>
    <w:rsid w:val="00321863"/>
    <w:rsid w:val="00321889"/>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BA"/>
    <w:rsid w:val="003220C1"/>
    <w:rsid w:val="003220C8"/>
    <w:rsid w:val="00322107"/>
    <w:rsid w:val="00322155"/>
    <w:rsid w:val="00322199"/>
    <w:rsid w:val="0032221B"/>
    <w:rsid w:val="00322239"/>
    <w:rsid w:val="00322340"/>
    <w:rsid w:val="0032238E"/>
    <w:rsid w:val="003223AF"/>
    <w:rsid w:val="003223D8"/>
    <w:rsid w:val="003223F7"/>
    <w:rsid w:val="00322456"/>
    <w:rsid w:val="0032245D"/>
    <w:rsid w:val="00322461"/>
    <w:rsid w:val="00322468"/>
    <w:rsid w:val="0032246E"/>
    <w:rsid w:val="00322472"/>
    <w:rsid w:val="00322474"/>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5F"/>
    <w:rsid w:val="00322964"/>
    <w:rsid w:val="00322971"/>
    <w:rsid w:val="003229BB"/>
    <w:rsid w:val="003229C4"/>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E9B"/>
    <w:rsid w:val="00322F57"/>
    <w:rsid w:val="00322F7B"/>
    <w:rsid w:val="00322F9F"/>
    <w:rsid w:val="00322FB3"/>
    <w:rsid w:val="00323069"/>
    <w:rsid w:val="003230EC"/>
    <w:rsid w:val="00323178"/>
    <w:rsid w:val="0032319F"/>
    <w:rsid w:val="003231EA"/>
    <w:rsid w:val="00323207"/>
    <w:rsid w:val="0032321A"/>
    <w:rsid w:val="00323284"/>
    <w:rsid w:val="003232B9"/>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2D"/>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72"/>
    <w:rsid w:val="003238E3"/>
    <w:rsid w:val="003238F9"/>
    <w:rsid w:val="00323916"/>
    <w:rsid w:val="00323921"/>
    <w:rsid w:val="00323925"/>
    <w:rsid w:val="00323951"/>
    <w:rsid w:val="00323955"/>
    <w:rsid w:val="0032399F"/>
    <w:rsid w:val="003239C2"/>
    <w:rsid w:val="003239EB"/>
    <w:rsid w:val="003239F8"/>
    <w:rsid w:val="00323A11"/>
    <w:rsid w:val="00323A1B"/>
    <w:rsid w:val="00323A4F"/>
    <w:rsid w:val="00323B02"/>
    <w:rsid w:val="00323B9E"/>
    <w:rsid w:val="00323BCB"/>
    <w:rsid w:val="00323BD1"/>
    <w:rsid w:val="00323BDD"/>
    <w:rsid w:val="00323BDF"/>
    <w:rsid w:val="00323BF1"/>
    <w:rsid w:val="00323C15"/>
    <w:rsid w:val="00323C5F"/>
    <w:rsid w:val="00323C60"/>
    <w:rsid w:val="00323C83"/>
    <w:rsid w:val="00323C9B"/>
    <w:rsid w:val="00323CA1"/>
    <w:rsid w:val="00323DBB"/>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29"/>
    <w:rsid w:val="00324161"/>
    <w:rsid w:val="00324192"/>
    <w:rsid w:val="00324196"/>
    <w:rsid w:val="003241D3"/>
    <w:rsid w:val="003241E5"/>
    <w:rsid w:val="003241F5"/>
    <w:rsid w:val="0032427E"/>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47"/>
    <w:rsid w:val="00324767"/>
    <w:rsid w:val="00324768"/>
    <w:rsid w:val="00324790"/>
    <w:rsid w:val="003247BB"/>
    <w:rsid w:val="0032483C"/>
    <w:rsid w:val="0032486C"/>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285"/>
    <w:rsid w:val="003252A8"/>
    <w:rsid w:val="0032532E"/>
    <w:rsid w:val="0032534D"/>
    <w:rsid w:val="0032544E"/>
    <w:rsid w:val="0032544F"/>
    <w:rsid w:val="003254C8"/>
    <w:rsid w:val="003254C9"/>
    <w:rsid w:val="003254EE"/>
    <w:rsid w:val="003254FD"/>
    <w:rsid w:val="003255B5"/>
    <w:rsid w:val="0032561F"/>
    <w:rsid w:val="00325629"/>
    <w:rsid w:val="00325645"/>
    <w:rsid w:val="00325671"/>
    <w:rsid w:val="003256E2"/>
    <w:rsid w:val="0032570F"/>
    <w:rsid w:val="00325721"/>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CA"/>
    <w:rsid w:val="00325BD8"/>
    <w:rsid w:val="00325BDA"/>
    <w:rsid w:val="00325C54"/>
    <w:rsid w:val="00325C59"/>
    <w:rsid w:val="00325CDD"/>
    <w:rsid w:val="00325CEA"/>
    <w:rsid w:val="00325D78"/>
    <w:rsid w:val="00325DDB"/>
    <w:rsid w:val="00325DFA"/>
    <w:rsid w:val="00325E65"/>
    <w:rsid w:val="00325E90"/>
    <w:rsid w:val="00325E9F"/>
    <w:rsid w:val="00325EC1"/>
    <w:rsid w:val="00325EE6"/>
    <w:rsid w:val="00325EF1"/>
    <w:rsid w:val="00325FB8"/>
    <w:rsid w:val="00326035"/>
    <w:rsid w:val="0032605C"/>
    <w:rsid w:val="0032609A"/>
    <w:rsid w:val="003260B6"/>
    <w:rsid w:val="003260B9"/>
    <w:rsid w:val="003260BE"/>
    <w:rsid w:val="0032611E"/>
    <w:rsid w:val="00326148"/>
    <w:rsid w:val="00326264"/>
    <w:rsid w:val="0032629C"/>
    <w:rsid w:val="003262C3"/>
    <w:rsid w:val="0032632A"/>
    <w:rsid w:val="0032633B"/>
    <w:rsid w:val="0032634E"/>
    <w:rsid w:val="00326380"/>
    <w:rsid w:val="00326468"/>
    <w:rsid w:val="0032647A"/>
    <w:rsid w:val="0032647F"/>
    <w:rsid w:val="0032653F"/>
    <w:rsid w:val="00326551"/>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134"/>
    <w:rsid w:val="00327149"/>
    <w:rsid w:val="003271B3"/>
    <w:rsid w:val="003271C7"/>
    <w:rsid w:val="003271CC"/>
    <w:rsid w:val="0032720F"/>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0"/>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4A"/>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E3D"/>
    <w:rsid w:val="00327E6C"/>
    <w:rsid w:val="00327EF5"/>
    <w:rsid w:val="00327F10"/>
    <w:rsid w:val="00327F2C"/>
    <w:rsid w:val="00327F94"/>
    <w:rsid w:val="00327FA2"/>
    <w:rsid w:val="00327FC7"/>
    <w:rsid w:val="00327FD4"/>
    <w:rsid w:val="00330022"/>
    <w:rsid w:val="0033008A"/>
    <w:rsid w:val="003300C3"/>
    <w:rsid w:val="003300F6"/>
    <w:rsid w:val="00330102"/>
    <w:rsid w:val="0033013B"/>
    <w:rsid w:val="003301FC"/>
    <w:rsid w:val="00330253"/>
    <w:rsid w:val="0033026B"/>
    <w:rsid w:val="003302A7"/>
    <w:rsid w:val="003302AE"/>
    <w:rsid w:val="00330320"/>
    <w:rsid w:val="0033036D"/>
    <w:rsid w:val="00330386"/>
    <w:rsid w:val="00330400"/>
    <w:rsid w:val="00330406"/>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BF8"/>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39"/>
    <w:rsid w:val="00330EF0"/>
    <w:rsid w:val="00330F1A"/>
    <w:rsid w:val="00330F5B"/>
    <w:rsid w:val="00330F9B"/>
    <w:rsid w:val="00330FC9"/>
    <w:rsid w:val="00331052"/>
    <w:rsid w:val="00331078"/>
    <w:rsid w:val="003310AC"/>
    <w:rsid w:val="00331116"/>
    <w:rsid w:val="00331121"/>
    <w:rsid w:val="0033112B"/>
    <w:rsid w:val="0033119A"/>
    <w:rsid w:val="003311A7"/>
    <w:rsid w:val="003311B2"/>
    <w:rsid w:val="003311CB"/>
    <w:rsid w:val="00331209"/>
    <w:rsid w:val="0033121B"/>
    <w:rsid w:val="00331252"/>
    <w:rsid w:val="00331305"/>
    <w:rsid w:val="00331319"/>
    <w:rsid w:val="0033131A"/>
    <w:rsid w:val="0033133E"/>
    <w:rsid w:val="00331357"/>
    <w:rsid w:val="00331366"/>
    <w:rsid w:val="0033141E"/>
    <w:rsid w:val="003314B0"/>
    <w:rsid w:val="003314B3"/>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66"/>
    <w:rsid w:val="00331926"/>
    <w:rsid w:val="00331927"/>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A5"/>
    <w:rsid w:val="00331CC0"/>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1FDC"/>
    <w:rsid w:val="00332033"/>
    <w:rsid w:val="00332064"/>
    <w:rsid w:val="003320A7"/>
    <w:rsid w:val="003321A1"/>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82B"/>
    <w:rsid w:val="0033287F"/>
    <w:rsid w:val="003328B6"/>
    <w:rsid w:val="003328BF"/>
    <w:rsid w:val="003328E9"/>
    <w:rsid w:val="00332924"/>
    <w:rsid w:val="0033292C"/>
    <w:rsid w:val="0033295F"/>
    <w:rsid w:val="003329B2"/>
    <w:rsid w:val="00332A4E"/>
    <w:rsid w:val="00332A8C"/>
    <w:rsid w:val="00332AF0"/>
    <w:rsid w:val="00332B2F"/>
    <w:rsid w:val="00332B77"/>
    <w:rsid w:val="00332B91"/>
    <w:rsid w:val="00332BD9"/>
    <w:rsid w:val="00332BEB"/>
    <w:rsid w:val="00332C19"/>
    <w:rsid w:val="00332C4C"/>
    <w:rsid w:val="00332C56"/>
    <w:rsid w:val="00332C6C"/>
    <w:rsid w:val="00332CAA"/>
    <w:rsid w:val="00332CB8"/>
    <w:rsid w:val="00332D65"/>
    <w:rsid w:val="00332DC0"/>
    <w:rsid w:val="00332DC9"/>
    <w:rsid w:val="00332E28"/>
    <w:rsid w:val="00332E4E"/>
    <w:rsid w:val="00332E6E"/>
    <w:rsid w:val="00332E8F"/>
    <w:rsid w:val="00332E96"/>
    <w:rsid w:val="00332EE5"/>
    <w:rsid w:val="00332EEF"/>
    <w:rsid w:val="00332EF1"/>
    <w:rsid w:val="00332EFC"/>
    <w:rsid w:val="00332F5F"/>
    <w:rsid w:val="00332F8C"/>
    <w:rsid w:val="00332FF0"/>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1B"/>
    <w:rsid w:val="0033344B"/>
    <w:rsid w:val="00333463"/>
    <w:rsid w:val="003334C9"/>
    <w:rsid w:val="003334DC"/>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00"/>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6D"/>
    <w:rsid w:val="00333C8B"/>
    <w:rsid w:val="00333CF3"/>
    <w:rsid w:val="00333CFF"/>
    <w:rsid w:val="00333D49"/>
    <w:rsid w:val="00333D72"/>
    <w:rsid w:val="00333DBB"/>
    <w:rsid w:val="00333E00"/>
    <w:rsid w:val="00333ED9"/>
    <w:rsid w:val="00333F58"/>
    <w:rsid w:val="00333F9D"/>
    <w:rsid w:val="00333FE9"/>
    <w:rsid w:val="00333FEC"/>
    <w:rsid w:val="00333FF5"/>
    <w:rsid w:val="0033405C"/>
    <w:rsid w:val="003340A2"/>
    <w:rsid w:val="003340FB"/>
    <w:rsid w:val="00334117"/>
    <w:rsid w:val="0033415D"/>
    <w:rsid w:val="00334163"/>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70"/>
    <w:rsid w:val="003345C4"/>
    <w:rsid w:val="003345D9"/>
    <w:rsid w:val="003345E5"/>
    <w:rsid w:val="0033460F"/>
    <w:rsid w:val="0033464D"/>
    <w:rsid w:val="0033464F"/>
    <w:rsid w:val="003346A0"/>
    <w:rsid w:val="003346B9"/>
    <w:rsid w:val="003346BB"/>
    <w:rsid w:val="003346C8"/>
    <w:rsid w:val="003346ED"/>
    <w:rsid w:val="003347A4"/>
    <w:rsid w:val="003347F5"/>
    <w:rsid w:val="00334810"/>
    <w:rsid w:val="00334812"/>
    <w:rsid w:val="0033481D"/>
    <w:rsid w:val="003348AB"/>
    <w:rsid w:val="00334908"/>
    <w:rsid w:val="00334917"/>
    <w:rsid w:val="00334946"/>
    <w:rsid w:val="00334970"/>
    <w:rsid w:val="003349E4"/>
    <w:rsid w:val="003349F7"/>
    <w:rsid w:val="00334A18"/>
    <w:rsid w:val="00334A4F"/>
    <w:rsid w:val="00334A80"/>
    <w:rsid w:val="00334A85"/>
    <w:rsid w:val="00334A9B"/>
    <w:rsid w:val="00334AB1"/>
    <w:rsid w:val="00334ACC"/>
    <w:rsid w:val="00334AF5"/>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1"/>
    <w:rsid w:val="00334E6E"/>
    <w:rsid w:val="00334EC7"/>
    <w:rsid w:val="00334F4E"/>
    <w:rsid w:val="00334F70"/>
    <w:rsid w:val="00334F8E"/>
    <w:rsid w:val="00334FC7"/>
    <w:rsid w:val="00334FE1"/>
    <w:rsid w:val="00334FEC"/>
    <w:rsid w:val="00335084"/>
    <w:rsid w:val="00335093"/>
    <w:rsid w:val="003350B7"/>
    <w:rsid w:val="00335109"/>
    <w:rsid w:val="003351A3"/>
    <w:rsid w:val="00335215"/>
    <w:rsid w:val="0033521D"/>
    <w:rsid w:val="0033522D"/>
    <w:rsid w:val="00335232"/>
    <w:rsid w:val="0033523E"/>
    <w:rsid w:val="00335263"/>
    <w:rsid w:val="00335275"/>
    <w:rsid w:val="003352A2"/>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729"/>
    <w:rsid w:val="0033573E"/>
    <w:rsid w:val="00335756"/>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BA"/>
    <w:rsid w:val="00335AD4"/>
    <w:rsid w:val="00335B1F"/>
    <w:rsid w:val="00335B23"/>
    <w:rsid w:val="00335B3F"/>
    <w:rsid w:val="00335B70"/>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89"/>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404"/>
    <w:rsid w:val="0033649C"/>
    <w:rsid w:val="003364CE"/>
    <w:rsid w:val="003364D2"/>
    <w:rsid w:val="003364EC"/>
    <w:rsid w:val="003364FE"/>
    <w:rsid w:val="00336507"/>
    <w:rsid w:val="0033651A"/>
    <w:rsid w:val="0033651E"/>
    <w:rsid w:val="00336541"/>
    <w:rsid w:val="003365E5"/>
    <w:rsid w:val="00336617"/>
    <w:rsid w:val="0033664B"/>
    <w:rsid w:val="00336692"/>
    <w:rsid w:val="003366D1"/>
    <w:rsid w:val="00336715"/>
    <w:rsid w:val="0033674A"/>
    <w:rsid w:val="0033676C"/>
    <w:rsid w:val="003367E2"/>
    <w:rsid w:val="003367F7"/>
    <w:rsid w:val="003368A2"/>
    <w:rsid w:val="003368D0"/>
    <w:rsid w:val="003368E3"/>
    <w:rsid w:val="00336927"/>
    <w:rsid w:val="00336A19"/>
    <w:rsid w:val="00336A9E"/>
    <w:rsid w:val="00336B3C"/>
    <w:rsid w:val="00336B4C"/>
    <w:rsid w:val="00336B54"/>
    <w:rsid w:val="00336B67"/>
    <w:rsid w:val="00336B8C"/>
    <w:rsid w:val="00336BD7"/>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85"/>
    <w:rsid w:val="00336FB1"/>
    <w:rsid w:val="00336FD4"/>
    <w:rsid w:val="00337000"/>
    <w:rsid w:val="0033702C"/>
    <w:rsid w:val="0033702E"/>
    <w:rsid w:val="003370BD"/>
    <w:rsid w:val="003370FB"/>
    <w:rsid w:val="00337145"/>
    <w:rsid w:val="003371AF"/>
    <w:rsid w:val="003371FB"/>
    <w:rsid w:val="0033720A"/>
    <w:rsid w:val="0033722E"/>
    <w:rsid w:val="00337259"/>
    <w:rsid w:val="00337265"/>
    <w:rsid w:val="00337270"/>
    <w:rsid w:val="00337277"/>
    <w:rsid w:val="00337291"/>
    <w:rsid w:val="00337297"/>
    <w:rsid w:val="0033734B"/>
    <w:rsid w:val="0033734F"/>
    <w:rsid w:val="00337439"/>
    <w:rsid w:val="0033743F"/>
    <w:rsid w:val="0033744F"/>
    <w:rsid w:val="0033745A"/>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0B"/>
    <w:rsid w:val="00340167"/>
    <w:rsid w:val="00340176"/>
    <w:rsid w:val="0034017F"/>
    <w:rsid w:val="00340199"/>
    <w:rsid w:val="003401B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DD"/>
    <w:rsid w:val="0034053D"/>
    <w:rsid w:val="00340542"/>
    <w:rsid w:val="00340551"/>
    <w:rsid w:val="0034055A"/>
    <w:rsid w:val="00340580"/>
    <w:rsid w:val="003405A0"/>
    <w:rsid w:val="003405BD"/>
    <w:rsid w:val="003405CF"/>
    <w:rsid w:val="003405E0"/>
    <w:rsid w:val="003406ED"/>
    <w:rsid w:val="00340710"/>
    <w:rsid w:val="00340722"/>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B06"/>
    <w:rsid w:val="00340B63"/>
    <w:rsid w:val="00340B8F"/>
    <w:rsid w:val="00340BA1"/>
    <w:rsid w:val="00340C2E"/>
    <w:rsid w:val="00340C59"/>
    <w:rsid w:val="00340CAA"/>
    <w:rsid w:val="00340CC0"/>
    <w:rsid w:val="00340CD1"/>
    <w:rsid w:val="00340CF1"/>
    <w:rsid w:val="00340CF2"/>
    <w:rsid w:val="00340D05"/>
    <w:rsid w:val="00340D9A"/>
    <w:rsid w:val="00340DDA"/>
    <w:rsid w:val="00340E37"/>
    <w:rsid w:val="00340E7E"/>
    <w:rsid w:val="00340EFC"/>
    <w:rsid w:val="00340F16"/>
    <w:rsid w:val="00340F36"/>
    <w:rsid w:val="00340F4C"/>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3A"/>
    <w:rsid w:val="00341857"/>
    <w:rsid w:val="003418ED"/>
    <w:rsid w:val="0034191B"/>
    <w:rsid w:val="00341942"/>
    <w:rsid w:val="00341967"/>
    <w:rsid w:val="003419AA"/>
    <w:rsid w:val="00341A68"/>
    <w:rsid w:val="00341AF7"/>
    <w:rsid w:val="00341B46"/>
    <w:rsid w:val="00341BC6"/>
    <w:rsid w:val="00341C0E"/>
    <w:rsid w:val="00341C55"/>
    <w:rsid w:val="00341CD8"/>
    <w:rsid w:val="00341D02"/>
    <w:rsid w:val="00341D2A"/>
    <w:rsid w:val="00341D4B"/>
    <w:rsid w:val="00341DA3"/>
    <w:rsid w:val="00341E4D"/>
    <w:rsid w:val="00341E86"/>
    <w:rsid w:val="00341EBA"/>
    <w:rsid w:val="00341F28"/>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2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F3"/>
    <w:rsid w:val="0034292B"/>
    <w:rsid w:val="00342960"/>
    <w:rsid w:val="0034297B"/>
    <w:rsid w:val="00342990"/>
    <w:rsid w:val="003429B0"/>
    <w:rsid w:val="003429D6"/>
    <w:rsid w:val="003429F0"/>
    <w:rsid w:val="003429F1"/>
    <w:rsid w:val="003429FA"/>
    <w:rsid w:val="00342A16"/>
    <w:rsid w:val="00342A22"/>
    <w:rsid w:val="00342A7A"/>
    <w:rsid w:val="00342B22"/>
    <w:rsid w:val="00342B74"/>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9A"/>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7F"/>
    <w:rsid w:val="00343DAB"/>
    <w:rsid w:val="00343DAE"/>
    <w:rsid w:val="00343E2E"/>
    <w:rsid w:val="00343E60"/>
    <w:rsid w:val="00343EDD"/>
    <w:rsid w:val="00343F17"/>
    <w:rsid w:val="00343F4B"/>
    <w:rsid w:val="00343F50"/>
    <w:rsid w:val="00343FB0"/>
    <w:rsid w:val="0034400A"/>
    <w:rsid w:val="0034401B"/>
    <w:rsid w:val="00344029"/>
    <w:rsid w:val="003440B3"/>
    <w:rsid w:val="003440B5"/>
    <w:rsid w:val="003440CC"/>
    <w:rsid w:val="00344150"/>
    <w:rsid w:val="0034415C"/>
    <w:rsid w:val="00344195"/>
    <w:rsid w:val="003441AE"/>
    <w:rsid w:val="003441DF"/>
    <w:rsid w:val="00344259"/>
    <w:rsid w:val="00344274"/>
    <w:rsid w:val="003442BC"/>
    <w:rsid w:val="003442F2"/>
    <w:rsid w:val="00344301"/>
    <w:rsid w:val="00344334"/>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EE2"/>
    <w:rsid w:val="00344F26"/>
    <w:rsid w:val="00344FEE"/>
    <w:rsid w:val="0034506F"/>
    <w:rsid w:val="003451BE"/>
    <w:rsid w:val="003451D5"/>
    <w:rsid w:val="003451E7"/>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DA"/>
    <w:rsid w:val="003456DD"/>
    <w:rsid w:val="003456F4"/>
    <w:rsid w:val="003457E6"/>
    <w:rsid w:val="0034581F"/>
    <w:rsid w:val="0034582A"/>
    <w:rsid w:val="00345835"/>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B1"/>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6A"/>
    <w:rsid w:val="003462A8"/>
    <w:rsid w:val="00346328"/>
    <w:rsid w:val="00346348"/>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845"/>
    <w:rsid w:val="00346861"/>
    <w:rsid w:val="00346891"/>
    <w:rsid w:val="003468AD"/>
    <w:rsid w:val="003468C2"/>
    <w:rsid w:val="003468E7"/>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D25"/>
    <w:rsid w:val="00346D70"/>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E1"/>
    <w:rsid w:val="00347112"/>
    <w:rsid w:val="00347191"/>
    <w:rsid w:val="00347198"/>
    <w:rsid w:val="00347234"/>
    <w:rsid w:val="00347274"/>
    <w:rsid w:val="00347282"/>
    <w:rsid w:val="003472BE"/>
    <w:rsid w:val="003472FE"/>
    <w:rsid w:val="00347307"/>
    <w:rsid w:val="00347313"/>
    <w:rsid w:val="00347314"/>
    <w:rsid w:val="00347321"/>
    <w:rsid w:val="003473C5"/>
    <w:rsid w:val="003473DD"/>
    <w:rsid w:val="00347412"/>
    <w:rsid w:val="003474C2"/>
    <w:rsid w:val="00347527"/>
    <w:rsid w:val="00347562"/>
    <w:rsid w:val="00347565"/>
    <w:rsid w:val="00347599"/>
    <w:rsid w:val="0034759C"/>
    <w:rsid w:val="003475AE"/>
    <w:rsid w:val="003475B4"/>
    <w:rsid w:val="0034763C"/>
    <w:rsid w:val="00347663"/>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57"/>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6"/>
    <w:rsid w:val="00347F69"/>
    <w:rsid w:val="00347FA0"/>
    <w:rsid w:val="00347FFE"/>
    <w:rsid w:val="0035007A"/>
    <w:rsid w:val="00350090"/>
    <w:rsid w:val="003500A2"/>
    <w:rsid w:val="003500D1"/>
    <w:rsid w:val="0035016E"/>
    <w:rsid w:val="003501B7"/>
    <w:rsid w:val="003501B9"/>
    <w:rsid w:val="003501BA"/>
    <w:rsid w:val="00350234"/>
    <w:rsid w:val="00350295"/>
    <w:rsid w:val="003502BD"/>
    <w:rsid w:val="00350387"/>
    <w:rsid w:val="003503B5"/>
    <w:rsid w:val="00350407"/>
    <w:rsid w:val="00350449"/>
    <w:rsid w:val="003504A5"/>
    <w:rsid w:val="003504D9"/>
    <w:rsid w:val="00350547"/>
    <w:rsid w:val="003505AC"/>
    <w:rsid w:val="003505CB"/>
    <w:rsid w:val="003505D4"/>
    <w:rsid w:val="0035069C"/>
    <w:rsid w:val="003506F9"/>
    <w:rsid w:val="00350706"/>
    <w:rsid w:val="00350736"/>
    <w:rsid w:val="00350760"/>
    <w:rsid w:val="00350787"/>
    <w:rsid w:val="0035079E"/>
    <w:rsid w:val="003507B8"/>
    <w:rsid w:val="003507DC"/>
    <w:rsid w:val="00350806"/>
    <w:rsid w:val="0035080D"/>
    <w:rsid w:val="00350887"/>
    <w:rsid w:val="0035088A"/>
    <w:rsid w:val="00350895"/>
    <w:rsid w:val="00350944"/>
    <w:rsid w:val="00350950"/>
    <w:rsid w:val="0035095C"/>
    <w:rsid w:val="003509C9"/>
    <w:rsid w:val="00350A45"/>
    <w:rsid w:val="00350A72"/>
    <w:rsid w:val="00350AA0"/>
    <w:rsid w:val="00350AD4"/>
    <w:rsid w:val="00350B60"/>
    <w:rsid w:val="00350B96"/>
    <w:rsid w:val="00350B98"/>
    <w:rsid w:val="00350BE8"/>
    <w:rsid w:val="00350BF0"/>
    <w:rsid w:val="00350BF5"/>
    <w:rsid w:val="00350C02"/>
    <w:rsid w:val="00350C14"/>
    <w:rsid w:val="00350C92"/>
    <w:rsid w:val="00350CA4"/>
    <w:rsid w:val="00350CDA"/>
    <w:rsid w:val="00350D04"/>
    <w:rsid w:val="00350D06"/>
    <w:rsid w:val="00350D54"/>
    <w:rsid w:val="00350D6B"/>
    <w:rsid w:val="00350D73"/>
    <w:rsid w:val="00350DF2"/>
    <w:rsid w:val="00350E4C"/>
    <w:rsid w:val="00350E61"/>
    <w:rsid w:val="00350E8F"/>
    <w:rsid w:val="00350EA4"/>
    <w:rsid w:val="00350ECE"/>
    <w:rsid w:val="00350F4A"/>
    <w:rsid w:val="00350F54"/>
    <w:rsid w:val="00350FB0"/>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4E"/>
    <w:rsid w:val="00351549"/>
    <w:rsid w:val="0035154D"/>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D"/>
    <w:rsid w:val="003519D8"/>
    <w:rsid w:val="00351A3E"/>
    <w:rsid w:val="00351A47"/>
    <w:rsid w:val="00351A48"/>
    <w:rsid w:val="00351A59"/>
    <w:rsid w:val="00351A5D"/>
    <w:rsid w:val="00351A87"/>
    <w:rsid w:val="00351ACB"/>
    <w:rsid w:val="00351AEA"/>
    <w:rsid w:val="00351AF8"/>
    <w:rsid w:val="00351B01"/>
    <w:rsid w:val="00351B6E"/>
    <w:rsid w:val="00351BCD"/>
    <w:rsid w:val="00351C26"/>
    <w:rsid w:val="00351C41"/>
    <w:rsid w:val="00351C5E"/>
    <w:rsid w:val="00351C6A"/>
    <w:rsid w:val="00351C8F"/>
    <w:rsid w:val="00351CAA"/>
    <w:rsid w:val="00351D38"/>
    <w:rsid w:val="00351D3E"/>
    <w:rsid w:val="00351DA5"/>
    <w:rsid w:val="00351DB3"/>
    <w:rsid w:val="00351DB9"/>
    <w:rsid w:val="00351DBD"/>
    <w:rsid w:val="00351DF3"/>
    <w:rsid w:val="00351E41"/>
    <w:rsid w:val="00351E44"/>
    <w:rsid w:val="00351E55"/>
    <w:rsid w:val="00351EAC"/>
    <w:rsid w:val="00351EC9"/>
    <w:rsid w:val="00351EE2"/>
    <w:rsid w:val="00351EFA"/>
    <w:rsid w:val="00351F07"/>
    <w:rsid w:val="00351F8B"/>
    <w:rsid w:val="00351F93"/>
    <w:rsid w:val="00351FA2"/>
    <w:rsid w:val="00351FAB"/>
    <w:rsid w:val="0035203E"/>
    <w:rsid w:val="00352086"/>
    <w:rsid w:val="003520EB"/>
    <w:rsid w:val="0035214C"/>
    <w:rsid w:val="00352152"/>
    <w:rsid w:val="0035215A"/>
    <w:rsid w:val="00352195"/>
    <w:rsid w:val="00352237"/>
    <w:rsid w:val="00352290"/>
    <w:rsid w:val="0035231A"/>
    <w:rsid w:val="00352348"/>
    <w:rsid w:val="00352357"/>
    <w:rsid w:val="00352395"/>
    <w:rsid w:val="003523DB"/>
    <w:rsid w:val="003523E5"/>
    <w:rsid w:val="00352469"/>
    <w:rsid w:val="0035247E"/>
    <w:rsid w:val="00352492"/>
    <w:rsid w:val="0035251B"/>
    <w:rsid w:val="0035251D"/>
    <w:rsid w:val="00352551"/>
    <w:rsid w:val="00352565"/>
    <w:rsid w:val="003525BA"/>
    <w:rsid w:val="00352657"/>
    <w:rsid w:val="00352685"/>
    <w:rsid w:val="003526BB"/>
    <w:rsid w:val="003526C9"/>
    <w:rsid w:val="0035271C"/>
    <w:rsid w:val="0035273C"/>
    <w:rsid w:val="00352753"/>
    <w:rsid w:val="00352796"/>
    <w:rsid w:val="003527AA"/>
    <w:rsid w:val="003527BC"/>
    <w:rsid w:val="003527FF"/>
    <w:rsid w:val="0035280A"/>
    <w:rsid w:val="0035282C"/>
    <w:rsid w:val="00352875"/>
    <w:rsid w:val="003528B2"/>
    <w:rsid w:val="003528D6"/>
    <w:rsid w:val="003528D9"/>
    <w:rsid w:val="003528DD"/>
    <w:rsid w:val="003528E7"/>
    <w:rsid w:val="0035295F"/>
    <w:rsid w:val="003529AF"/>
    <w:rsid w:val="003529C4"/>
    <w:rsid w:val="003529C5"/>
    <w:rsid w:val="00352A11"/>
    <w:rsid w:val="00352A23"/>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2"/>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4C"/>
    <w:rsid w:val="00353253"/>
    <w:rsid w:val="003532F3"/>
    <w:rsid w:val="00353313"/>
    <w:rsid w:val="003533B2"/>
    <w:rsid w:val="003533B5"/>
    <w:rsid w:val="003533E4"/>
    <w:rsid w:val="00353452"/>
    <w:rsid w:val="00353477"/>
    <w:rsid w:val="00353499"/>
    <w:rsid w:val="003534D1"/>
    <w:rsid w:val="00353560"/>
    <w:rsid w:val="003535C5"/>
    <w:rsid w:val="003535DF"/>
    <w:rsid w:val="00353611"/>
    <w:rsid w:val="0035368B"/>
    <w:rsid w:val="003536A5"/>
    <w:rsid w:val="00353743"/>
    <w:rsid w:val="003537F7"/>
    <w:rsid w:val="003537FF"/>
    <w:rsid w:val="0035383B"/>
    <w:rsid w:val="003538F8"/>
    <w:rsid w:val="0035398E"/>
    <w:rsid w:val="00353991"/>
    <w:rsid w:val="00353A52"/>
    <w:rsid w:val="00353A55"/>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B5"/>
    <w:rsid w:val="00353ED2"/>
    <w:rsid w:val="00353F2C"/>
    <w:rsid w:val="00353F49"/>
    <w:rsid w:val="00353F8E"/>
    <w:rsid w:val="00353FA9"/>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550"/>
    <w:rsid w:val="00354557"/>
    <w:rsid w:val="0035455D"/>
    <w:rsid w:val="00354560"/>
    <w:rsid w:val="00354571"/>
    <w:rsid w:val="003545B4"/>
    <w:rsid w:val="00354618"/>
    <w:rsid w:val="00354621"/>
    <w:rsid w:val="00354623"/>
    <w:rsid w:val="00354636"/>
    <w:rsid w:val="0035467C"/>
    <w:rsid w:val="00354693"/>
    <w:rsid w:val="00354706"/>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F7A"/>
    <w:rsid w:val="00354FC0"/>
    <w:rsid w:val="00354FEC"/>
    <w:rsid w:val="00355003"/>
    <w:rsid w:val="00355010"/>
    <w:rsid w:val="0035505E"/>
    <w:rsid w:val="003550C4"/>
    <w:rsid w:val="003550C6"/>
    <w:rsid w:val="003550E1"/>
    <w:rsid w:val="003551B9"/>
    <w:rsid w:val="0035521E"/>
    <w:rsid w:val="003552A5"/>
    <w:rsid w:val="003552AD"/>
    <w:rsid w:val="0035533D"/>
    <w:rsid w:val="003553E1"/>
    <w:rsid w:val="0035540E"/>
    <w:rsid w:val="00355455"/>
    <w:rsid w:val="0035549F"/>
    <w:rsid w:val="003554E7"/>
    <w:rsid w:val="0035550F"/>
    <w:rsid w:val="00355588"/>
    <w:rsid w:val="0035559B"/>
    <w:rsid w:val="003555A2"/>
    <w:rsid w:val="003555C9"/>
    <w:rsid w:val="003555DC"/>
    <w:rsid w:val="00355604"/>
    <w:rsid w:val="00355619"/>
    <w:rsid w:val="00355631"/>
    <w:rsid w:val="00355687"/>
    <w:rsid w:val="003556A0"/>
    <w:rsid w:val="003556AA"/>
    <w:rsid w:val="003556EA"/>
    <w:rsid w:val="00355723"/>
    <w:rsid w:val="00355779"/>
    <w:rsid w:val="003557B8"/>
    <w:rsid w:val="003557DC"/>
    <w:rsid w:val="003557FE"/>
    <w:rsid w:val="003558CA"/>
    <w:rsid w:val="0035591B"/>
    <w:rsid w:val="00355920"/>
    <w:rsid w:val="0035593D"/>
    <w:rsid w:val="0035596D"/>
    <w:rsid w:val="00355995"/>
    <w:rsid w:val="003559BE"/>
    <w:rsid w:val="003559F4"/>
    <w:rsid w:val="003559FB"/>
    <w:rsid w:val="00355A15"/>
    <w:rsid w:val="00355A4D"/>
    <w:rsid w:val="00355A57"/>
    <w:rsid w:val="00355A7A"/>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D0"/>
    <w:rsid w:val="00355EF3"/>
    <w:rsid w:val="00355F28"/>
    <w:rsid w:val="00355F2C"/>
    <w:rsid w:val="00355F2F"/>
    <w:rsid w:val="00355FE6"/>
    <w:rsid w:val="00356036"/>
    <w:rsid w:val="00356062"/>
    <w:rsid w:val="00356087"/>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5B"/>
    <w:rsid w:val="0035645F"/>
    <w:rsid w:val="003564B9"/>
    <w:rsid w:val="003564BE"/>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7C"/>
    <w:rsid w:val="003568E4"/>
    <w:rsid w:val="00356947"/>
    <w:rsid w:val="0035696B"/>
    <w:rsid w:val="0035697A"/>
    <w:rsid w:val="003569EB"/>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251"/>
    <w:rsid w:val="00357379"/>
    <w:rsid w:val="00357394"/>
    <w:rsid w:val="003573A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A2"/>
    <w:rsid w:val="003578C8"/>
    <w:rsid w:val="003578DA"/>
    <w:rsid w:val="00357980"/>
    <w:rsid w:val="00357996"/>
    <w:rsid w:val="00357A46"/>
    <w:rsid w:val="00357A94"/>
    <w:rsid w:val="00357AC8"/>
    <w:rsid w:val="00357ACD"/>
    <w:rsid w:val="00357AFF"/>
    <w:rsid w:val="00357B49"/>
    <w:rsid w:val="00357BA7"/>
    <w:rsid w:val="00357C3C"/>
    <w:rsid w:val="00357C78"/>
    <w:rsid w:val="00357C80"/>
    <w:rsid w:val="00357CA4"/>
    <w:rsid w:val="00357D2A"/>
    <w:rsid w:val="00357D39"/>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53"/>
    <w:rsid w:val="0036035A"/>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BC"/>
    <w:rsid w:val="003609DA"/>
    <w:rsid w:val="003609E6"/>
    <w:rsid w:val="003609EB"/>
    <w:rsid w:val="00360A38"/>
    <w:rsid w:val="00360C0B"/>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92"/>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0CC"/>
    <w:rsid w:val="0036111B"/>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667"/>
    <w:rsid w:val="00361689"/>
    <w:rsid w:val="0036169C"/>
    <w:rsid w:val="00361705"/>
    <w:rsid w:val="0036176B"/>
    <w:rsid w:val="00361840"/>
    <w:rsid w:val="00361869"/>
    <w:rsid w:val="003618DF"/>
    <w:rsid w:val="00361910"/>
    <w:rsid w:val="00361920"/>
    <w:rsid w:val="00361937"/>
    <w:rsid w:val="00361997"/>
    <w:rsid w:val="003619AB"/>
    <w:rsid w:val="00361B7D"/>
    <w:rsid w:val="00361B84"/>
    <w:rsid w:val="00361BA4"/>
    <w:rsid w:val="00361BC7"/>
    <w:rsid w:val="00361BE7"/>
    <w:rsid w:val="00361C05"/>
    <w:rsid w:val="00361C27"/>
    <w:rsid w:val="00361C91"/>
    <w:rsid w:val="00361CAF"/>
    <w:rsid w:val="00361CBE"/>
    <w:rsid w:val="00361CE2"/>
    <w:rsid w:val="00361D97"/>
    <w:rsid w:val="00361DD2"/>
    <w:rsid w:val="00361DE4"/>
    <w:rsid w:val="00361DF2"/>
    <w:rsid w:val="00361E1B"/>
    <w:rsid w:val="00361E25"/>
    <w:rsid w:val="00361E40"/>
    <w:rsid w:val="00361E6E"/>
    <w:rsid w:val="00361ECD"/>
    <w:rsid w:val="00361F0D"/>
    <w:rsid w:val="00361F0F"/>
    <w:rsid w:val="00361F27"/>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0F9"/>
    <w:rsid w:val="0036212B"/>
    <w:rsid w:val="00362212"/>
    <w:rsid w:val="0036222B"/>
    <w:rsid w:val="00362244"/>
    <w:rsid w:val="0036225C"/>
    <w:rsid w:val="003622BB"/>
    <w:rsid w:val="003622E1"/>
    <w:rsid w:val="00362308"/>
    <w:rsid w:val="0036231D"/>
    <w:rsid w:val="00362326"/>
    <w:rsid w:val="00362384"/>
    <w:rsid w:val="003623AF"/>
    <w:rsid w:val="003623B1"/>
    <w:rsid w:val="003623C3"/>
    <w:rsid w:val="0036242F"/>
    <w:rsid w:val="0036245C"/>
    <w:rsid w:val="003624D8"/>
    <w:rsid w:val="0036251D"/>
    <w:rsid w:val="00362541"/>
    <w:rsid w:val="00362598"/>
    <w:rsid w:val="003625A4"/>
    <w:rsid w:val="003625C7"/>
    <w:rsid w:val="00362662"/>
    <w:rsid w:val="0036268B"/>
    <w:rsid w:val="003627C7"/>
    <w:rsid w:val="003627D7"/>
    <w:rsid w:val="003627D9"/>
    <w:rsid w:val="0036285F"/>
    <w:rsid w:val="003628DA"/>
    <w:rsid w:val="003628E0"/>
    <w:rsid w:val="003628E1"/>
    <w:rsid w:val="003628F3"/>
    <w:rsid w:val="00362944"/>
    <w:rsid w:val="003629A1"/>
    <w:rsid w:val="003629AD"/>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5F"/>
    <w:rsid w:val="00362FD2"/>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271"/>
    <w:rsid w:val="0036332F"/>
    <w:rsid w:val="0036334B"/>
    <w:rsid w:val="00363411"/>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C9"/>
    <w:rsid w:val="003637E6"/>
    <w:rsid w:val="00363833"/>
    <w:rsid w:val="00363899"/>
    <w:rsid w:val="003638A2"/>
    <w:rsid w:val="003638BC"/>
    <w:rsid w:val="003638C8"/>
    <w:rsid w:val="003638CC"/>
    <w:rsid w:val="003638E6"/>
    <w:rsid w:val="00363910"/>
    <w:rsid w:val="00363931"/>
    <w:rsid w:val="00363988"/>
    <w:rsid w:val="003639BD"/>
    <w:rsid w:val="003639CD"/>
    <w:rsid w:val="00363A12"/>
    <w:rsid w:val="00363A68"/>
    <w:rsid w:val="00363A75"/>
    <w:rsid w:val="00363AA3"/>
    <w:rsid w:val="00363AFC"/>
    <w:rsid w:val="00363BA5"/>
    <w:rsid w:val="00363BC0"/>
    <w:rsid w:val="00363BC5"/>
    <w:rsid w:val="00363C01"/>
    <w:rsid w:val="00363C1A"/>
    <w:rsid w:val="00363C65"/>
    <w:rsid w:val="00363C95"/>
    <w:rsid w:val="00363CAB"/>
    <w:rsid w:val="00363CAD"/>
    <w:rsid w:val="00363CC2"/>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5F"/>
    <w:rsid w:val="00363F89"/>
    <w:rsid w:val="00363FA6"/>
    <w:rsid w:val="00363FDB"/>
    <w:rsid w:val="00363FF8"/>
    <w:rsid w:val="0036404C"/>
    <w:rsid w:val="00364106"/>
    <w:rsid w:val="003641D2"/>
    <w:rsid w:val="0036420B"/>
    <w:rsid w:val="003642B8"/>
    <w:rsid w:val="003642D6"/>
    <w:rsid w:val="003642EC"/>
    <w:rsid w:val="003642EF"/>
    <w:rsid w:val="0036436B"/>
    <w:rsid w:val="0036438E"/>
    <w:rsid w:val="003643B5"/>
    <w:rsid w:val="003643BA"/>
    <w:rsid w:val="003643BD"/>
    <w:rsid w:val="003643D7"/>
    <w:rsid w:val="003643DD"/>
    <w:rsid w:val="003643F6"/>
    <w:rsid w:val="0036443A"/>
    <w:rsid w:val="003644AF"/>
    <w:rsid w:val="003644FC"/>
    <w:rsid w:val="00364545"/>
    <w:rsid w:val="003645CD"/>
    <w:rsid w:val="003646B3"/>
    <w:rsid w:val="003646C3"/>
    <w:rsid w:val="00364767"/>
    <w:rsid w:val="00364813"/>
    <w:rsid w:val="00364819"/>
    <w:rsid w:val="003648BE"/>
    <w:rsid w:val="0036496A"/>
    <w:rsid w:val="003649B4"/>
    <w:rsid w:val="003649D0"/>
    <w:rsid w:val="00364A19"/>
    <w:rsid w:val="00364A34"/>
    <w:rsid w:val="00364A36"/>
    <w:rsid w:val="00364A3D"/>
    <w:rsid w:val="00364A4F"/>
    <w:rsid w:val="00364A50"/>
    <w:rsid w:val="00364A98"/>
    <w:rsid w:val="00364AF7"/>
    <w:rsid w:val="00364B5A"/>
    <w:rsid w:val="00364BA6"/>
    <w:rsid w:val="00364BFA"/>
    <w:rsid w:val="00364C05"/>
    <w:rsid w:val="00364C6D"/>
    <w:rsid w:val="00364C8E"/>
    <w:rsid w:val="00364C98"/>
    <w:rsid w:val="00364CB9"/>
    <w:rsid w:val="00364D4A"/>
    <w:rsid w:val="00364D84"/>
    <w:rsid w:val="00364D88"/>
    <w:rsid w:val="00364D9D"/>
    <w:rsid w:val="00364DD5"/>
    <w:rsid w:val="00364DFF"/>
    <w:rsid w:val="00364E07"/>
    <w:rsid w:val="00364EA3"/>
    <w:rsid w:val="00364F4E"/>
    <w:rsid w:val="00364F5A"/>
    <w:rsid w:val="00364F6B"/>
    <w:rsid w:val="00364F72"/>
    <w:rsid w:val="00364FBA"/>
    <w:rsid w:val="00364FEF"/>
    <w:rsid w:val="0036503D"/>
    <w:rsid w:val="0036505D"/>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83"/>
    <w:rsid w:val="003656A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8B"/>
    <w:rsid w:val="00365ABD"/>
    <w:rsid w:val="00365B25"/>
    <w:rsid w:val="00365B31"/>
    <w:rsid w:val="00365B4B"/>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64"/>
    <w:rsid w:val="00365E98"/>
    <w:rsid w:val="00365ECD"/>
    <w:rsid w:val="00365ED2"/>
    <w:rsid w:val="00365F37"/>
    <w:rsid w:val="00365F49"/>
    <w:rsid w:val="00365F7C"/>
    <w:rsid w:val="00366057"/>
    <w:rsid w:val="0036606E"/>
    <w:rsid w:val="0036607A"/>
    <w:rsid w:val="003660A5"/>
    <w:rsid w:val="003660BF"/>
    <w:rsid w:val="00366106"/>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6FE"/>
    <w:rsid w:val="00366708"/>
    <w:rsid w:val="00366725"/>
    <w:rsid w:val="0036672F"/>
    <w:rsid w:val="00366780"/>
    <w:rsid w:val="003667A5"/>
    <w:rsid w:val="003667EC"/>
    <w:rsid w:val="003667F4"/>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9"/>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B7"/>
    <w:rsid w:val="00366EDE"/>
    <w:rsid w:val="00366F00"/>
    <w:rsid w:val="00366F0E"/>
    <w:rsid w:val="00366F48"/>
    <w:rsid w:val="00366F66"/>
    <w:rsid w:val="00366FBC"/>
    <w:rsid w:val="00366FC0"/>
    <w:rsid w:val="00366FCE"/>
    <w:rsid w:val="00367002"/>
    <w:rsid w:val="0036700D"/>
    <w:rsid w:val="0036704D"/>
    <w:rsid w:val="00367078"/>
    <w:rsid w:val="0036709C"/>
    <w:rsid w:val="00367110"/>
    <w:rsid w:val="00367154"/>
    <w:rsid w:val="00367180"/>
    <w:rsid w:val="003671C1"/>
    <w:rsid w:val="0036722B"/>
    <w:rsid w:val="00367245"/>
    <w:rsid w:val="003672B1"/>
    <w:rsid w:val="003672ED"/>
    <w:rsid w:val="003672F7"/>
    <w:rsid w:val="00367308"/>
    <w:rsid w:val="00367315"/>
    <w:rsid w:val="00367382"/>
    <w:rsid w:val="0036738B"/>
    <w:rsid w:val="003673CD"/>
    <w:rsid w:val="0036748A"/>
    <w:rsid w:val="003674BC"/>
    <w:rsid w:val="003674F6"/>
    <w:rsid w:val="00367612"/>
    <w:rsid w:val="00367622"/>
    <w:rsid w:val="0036767E"/>
    <w:rsid w:val="003676A6"/>
    <w:rsid w:val="00367705"/>
    <w:rsid w:val="00367706"/>
    <w:rsid w:val="00367709"/>
    <w:rsid w:val="00367759"/>
    <w:rsid w:val="0036776C"/>
    <w:rsid w:val="0036777A"/>
    <w:rsid w:val="00367784"/>
    <w:rsid w:val="003677D5"/>
    <w:rsid w:val="0036782C"/>
    <w:rsid w:val="00367830"/>
    <w:rsid w:val="0036783B"/>
    <w:rsid w:val="00367844"/>
    <w:rsid w:val="0036784E"/>
    <w:rsid w:val="0036789D"/>
    <w:rsid w:val="003678A1"/>
    <w:rsid w:val="003678C5"/>
    <w:rsid w:val="003678CE"/>
    <w:rsid w:val="00367999"/>
    <w:rsid w:val="0036799B"/>
    <w:rsid w:val="00367A53"/>
    <w:rsid w:val="00367A6E"/>
    <w:rsid w:val="00367A88"/>
    <w:rsid w:val="00367B58"/>
    <w:rsid w:val="00367B61"/>
    <w:rsid w:val="00367B74"/>
    <w:rsid w:val="00367BA6"/>
    <w:rsid w:val="00367BAF"/>
    <w:rsid w:val="00367C42"/>
    <w:rsid w:val="00367CA5"/>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20E"/>
    <w:rsid w:val="00370217"/>
    <w:rsid w:val="00370253"/>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B"/>
    <w:rsid w:val="003705AE"/>
    <w:rsid w:val="00370605"/>
    <w:rsid w:val="00370699"/>
    <w:rsid w:val="003706DD"/>
    <w:rsid w:val="00370867"/>
    <w:rsid w:val="00370894"/>
    <w:rsid w:val="0037091D"/>
    <w:rsid w:val="0037091E"/>
    <w:rsid w:val="00370941"/>
    <w:rsid w:val="0037095A"/>
    <w:rsid w:val="0037097A"/>
    <w:rsid w:val="003709AD"/>
    <w:rsid w:val="00370A61"/>
    <w:rsid w:val="00370A7E"/>
    <w:rsid w:val="00370ABB"/>
    <w:rsid w:val="00370B1C"/>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6FC"/>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90"/>
    <w:rsid w:val="003722D5"/>
    <w:rsid w:val="003722FB"/>
    <w:rsid w:val="00372318"/>
    <w:rsid w:val="0037231D"/>
    <w:rsid w:val="00372329"/>
    <w:rsid w:val="00372384"/>
    <w:rsid w:val="00372420"/>
    <w:rsid w:val="00372427"/>
    <w:rsid w:val="003724BA"/>
    <w:rsid w:val="003724EA"/>
    <w:rsid w:val="0037251D"/>
    <w:rsid w:val="00372522"/>
    <w:rsid w:val="003725AC"/>
    <w:rsid w:val="003725DF"/>
    <w:rsid w:val="00372602"/>
    <w:rsid w:val="00372661"/>
    <w:rsid w:val="003726AC"/>
    <w:rsid w:val="003726B9"/>
    <w:rsid w:val="003726F7"/>
    <w:rsid w:val="003726FC"/>
    <w:rsid w:val="0037271E"/>
    <w:rsid w:val="00372728"/>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F8"/>
    <w:rsid w:val="00372BFB"/>
    <w:rsid w:val="00372C87"/>
    <w:rsid w:val="00372C90"/>
    <w:rsid w:val="00372CA6"/>
    <w:rsid w:val="00372CAA"/>
    <w:rsid w:val="00372D02"/>
    <w:rsid w:val="00372D1F"/>
    <w:rsid w:val="00372D55"/>
    <w:rsid w:val="00372D6A"/>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EC"/>
    <w:rsid w:val="0037311B"/>
    <w:rsid w:val="0037314C"/>
    <w:rsid w:val="00373166"/>
    <w:rsid w:val="00373183"/>
    <w:rsid w:val="00373219"/>
    <w:rsid w:val="0037322A"/>
    <w:rsid w:val="00373265"/>
    <w:rsid w:val="003732B9"/>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B8"/>
    <w:rsid w:val="003737C9"/>
    <w:rsid w:val="00373829"/>
    <w:rsid w:val="00373856"/>
    <w:rsid w:val="00373864"/>
    <w:rsid w:val="0037389A"/>
    <w:rsid w:val="003738C2"/>
    <w:rsid w:val="00373936"/>
    <w:rsid w:val="00373943"/>
    <w:rsid w:val="00373970"/>
    <w:rsid w:val="0037398A"/>
    <w:rsid w:val="00373997"/>
    <w:rsid w:val="003739D2"/>
    <w:rsid w:val="00373A0F"/>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4E"/>
    <w:rsid w:val="00373C8D"/>
    <w:rsid w:val="00373D0C"/>
    <w:rsid w:val="00373D23"/>
    <w:rsid w:val="00373DB5"/>
    <w:rsid w:val="00373DB9"/>
    <w:rsid w:val="00373DD2"/>
    <w:rsid w:val="00373DDD"/>
    <w:rsid w:val="00373E0E"/>
    <w:rsid w:val="00373E6F"/>
    <w:rsid w:val="00373E82"/>
    <w:rsid w:val="00373E9A"/>
    <w:rsid w:val="00373EBE"/>
    <w:rsid w:val="00373F10"/>
    <w:rsid w:val="00373F3C"/>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44"/>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7F"/>
    <w:rsid w:val="003758D5"/>
    <w:rsid w:val="00375982"/>
    <w:rsid w:val="003759AB"/>
    <w:rsid w:val="003759E9"/>
    <w:rsid w:val="003759F0"/>
    <w:rsid w:val="00375A3F"/>
    <w:rsid w:val="00375A67"/>
    <w:rsid w:val="00375AB4"/>
    <w:rsid w:val="00375AE8"/>
    <w:rsid w:val="00375B43"/>
    <w:rsid w:val="00375B48"/>
    <w:rsid w:val="00375B51"/>
    <w:rsid w:val="00375B93"/>
    <w:rsid w:val="00375BA5"/>
    <w:rsid w:val="00375BB8"/>
    <w:rsid w:val="00375BEA"/>
    <w:rsid w:val="00375BEB"/>
    <w:rsid w:val="00375C70"/>
    <w:rsid w:val="00375CBA"/>
    <w:rsid w:val="00375CD1"/>
    <w:rsid w:val="00375D80"/>
    <w:rsid w:val="00375DC3"/>
    <w:rsid w:val="00375DD6"/>
    <w:rsid w:val="00375DEF"/>
    <w:rsid w:val="00375E1E"/>
    <w:rsid w:val="00375E2F"/>
    <w:rsid w:val="00375E38"/>
    <w:rsid w:val="00375EBF"/>
    <w:rsid w:val="00375EF2"/>
    <w:rsid w:val="00375F61"/>
    <w:rsid w:val="00375F85"/>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F1"/>
    <w:rsid w:val="0037670F"/>
    <w:rsid w:val="00376719"/>
    <w:rsid w:val="003767B1"/>
    <w:rsid w:val="003767BD"/>
    <w:rsid w:val="003767F3"/>
    <w:rsid w:val="00376803"/>
    <w:rsid w:val="00376828"/>
    <w:rsid w:val="0037684A"/>
    <w:rsid w:val="0037685C"/>
    <w:rsid w:val="00376866"/>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53"/>
    <w:rsid w:val="00376D60"/>
    <w:rsid w:val="00376E1D"/>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6B"/>
    <w:rsid w:val="00377375"/>
    <w:rsid w:val="00377386"/>
    <w:rsid w:val="0037740E"/>
    <w:rsid w:val="0037741D"/>
    <w:rsid w:val="00377429"/>
    <w:rsid w:val="0037742C"/>
    <w:rsid w:val="0037744D"/>
    <w:rsid w:val="003774B5"/>
    <w:rsid w:val="003774DF"/>
    <w:rsid w:val="00377520"/>
    <w:rsid w:val="0037752F"/>
    <w:rsid w:val="00377549"/>
    <w:rsid w:val="00377570"/>
    <w:rsid w:val="00377670"/>
    <w:rsid w:val="00377696"/>
    <w:rsid w:val="003776F3"/>
    <w:rsid w:val="00377701"/>
    <w:rsid w:val="0037771F"/>
    <w:rsid w:val="00377737"/>
    <w:rsid w:val="0037774C"/>
    <w:rsid w:val="00377757"/>
    <w:rsid w:val="003777A2"/>
    <w:rsid w:val="00377835"/>
    <w:rsid w:val="0037784F"/>
    <w:rsid w:val="00377855"/>
    <w:rsid w:val="0037785D"/>
    <w:rsid w:val="0037786F"/>
    <w:rsid w:val="00377873"/>
    <w:rsid w:val="00377883"/>
    <w:rsid w:val="003778A2"/>
    <w:rsid w:val="003778F0"/>
    <w:rsid w:val="003779A9"/>
    <w:rsid w:val="003779C2"/>
    <w:rsid w:val="003779F4"/>
    <w:rsid w:val="00377A19"/>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44"/>
    <w:rsid w:val="00377EC0"/>
    <w:rsid w:val="00377F4A"/>
    <w:rsid w:val="00377F53"/>
    <w:rsid w:val="00377F9F"/>
    <w:rsid w:val="00377FFC"/>
    <w:rsid w:val="00380033"/>
    <w:rsid w:val="00380098"/>
    <w:rsid w:val="003800BE"/>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02"/>
    <w:rsid w:val="00380636"/>
    <w:rsid w:val="00380644"/>
    <w:rsid w:val="00380671"/>
    <w:rsid w:val="003806AB"/>
    <w:rsid w:val="003806E9"/>
    <w:rsid w:val="00380702"/>
    <w:rsid w:val="00380752"/>
    <w:rsid w:val="003807B9"/>
    <w:rsid w:val="00380854"/>
    <w:rsid w:val="00380876"/>
    <w:rsid w:val="0038087F"/>
    <w:rsid w:val="003808A2"/>
    <w:rsid w:val="003808DF"/>
    <w:rsid w:val="00380942"/>
    <w:rsid w:val="0038095A"/>
    <w:rsid w:val="00380969"/>
    <w:rsid w:val="0038097B"/>
    <w:rsid w:val="003809BB"/>
    <w:rsid w:val="00380A32"/>
    <w:rsid w:val="00380A33"/>
    <w:rsid w:val="00380A79"/>
    <w:rsid w:val="00380B60"/>
    <w:rsid w:val="00380B99"/>
    <w:rsid w:val="00380BF2"/>
    <w:rsid w:val="00380C0A"/>
    <w:rsid w:val="00380C5B"/>
    <w:rsid w:val="00380C6A"/>
    <w:rsid w:val="00380CAC"/>
    <w:rsid w:val="00380D00"/>
    <w:rsid w:val="00380D06"/>
    <w:rsid w:val="00380D31"/>
    <w:rsid w:val="00380D73"/>
    <w:rsid w:val="00380DAA"/>
    <w:rsid w:val="00380DF2"/>
    <w:rsid w:val="00380E5B"/>
    <w:rsid w:val="00380E5E"/>
    <w:rsid w:val="00380E6A"/>
    <w:rsid w:val="00380E6C"/>
    <w:rsid w:val="00380E6D"/>
    <w:rsid w:val="00380E70"/>
    <w:rsid w:val="00380EFA"/>
    <w:rsid w:val="00380F12"/>
    <w:rsid w:val="00380F5E"/>
    <w:rsid w:val="00380F67"/>
    <w:rsid w:val="0038102A"/>
    <w:rsid w:val="00381099"/>
    <w:rsid w:val="003810AA"/>
    <w:rsid w:val="003810C0"/>
    <w:rsid w:val="003810F5"/>
    <w:rsid w:val="00381117"/>
    <w:rsid w:val="00381133"/>
    <w:rsid w:val="003811BD"/>
    <w:rsid w:val="0038127E"/>
    <w:rsid w:val="003812F9"/>
    <w:rsid w:val="003812FB"/>
    <w:rsid w:val="003812FC"/>
    <w:rsid w:val="0038130A"/>
    <w:rsid w:val="00381392"/>
    <w:rsid w:val="00381421"/>
    <w:rsid w:val="003814A5"/>
    <w:rsid w:val="003814C5"/>
    <w:rsid w:val="003814F4"/>
    <w:rsid w:val="00381503"/>
    <w:rsid w:val="00381583"/>
    <w:rsid w:val="00381593"/>
    <w:rsid w:val="003815C8"/>
    <w:rsid w:val="003815E2"/>
    <w:rsid w:val="0038162C"/>
    <w:rsid w:val="00381652"/>
    <w:rsid w:val="00381676"/>
    <w:rsid w:val="003816BE"/>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92"/>
    <w:rsid w:val="00381D0F"/>
    <w:rsid w:val="00381D18"/>
    <w:rsid w:val="00381D3D"/>
    <w:rsid w:val="00381DAB"/>
    <w:rsid w:val="00381E29"/>
    <w:rsid w:val="00381E73"/>
    <w:rsid w:val="00381E98"/>
    <w:rsid w:val="00381E9B"/>
    <w:rsid w:val="00381ED5"/>
    <w:rsid w:val="00381F03"/>
    <w:rsid w:val="00381F06"/>
    <w:rsid w:val="00381FDC"/>
    <w:rsid w:val="0038203B"/>
    <w:rsid w:val="00382086"/>
    <w:rsid w:val="00382098"/>
    <w:rsid w:val="003820D3"/>
    <w:rsid w:val="0038211D"/>
    <w:rsid w:val="00382152"/>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77"/>
    <w:rsid w:val="003829A1"/>
    <w:rsid w:val="003829B6"/>
    <w:rsid w:val="003829BD"/>
    <w:rsid w:val="00382A81"/>
    <w:rsid w:val="00382A8B"/>
    <w:rsid w:val="00382B16"/>
    <w:rsid w:val="00382B6F"/>
    <w:rsid w:val="00382B7C"/>
    <w:rsid w:val="00382B82"/>
    <w:rsid w:val="00382C11"/>
    <w:rsid w:val="00382C20"/>
    <w:rsid w:val="00382C2B"/>
    <w:rsid w:val="00382C3F"/>
    <w:rsid w:val="00382C49"/>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A3"/>
    <w:rsid w:val="003838F6"/>
    <w:rsid w:val="0038393A"/>
    <w:rsid w:val="0038397D"/>
    <w:rsid w:val="00383982"/>
    <w:rsid w:val="003839BE"/>
    <w:rsid w:val="00383B5B"/>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41"/>
    <w:rsid w:val="0038424A"/>
    <w:rsid w:val="00384264"/>
    <w:rsid w:val="0038429F"/>
    <w:rsid w:val="003842CA"/>
    <w:rsid w:val="00384300"/>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B31"/>
    <w:rsid w:val="00384BBD"/>
    <w:rsid w:val="00384C68"/>
    <w:rsid w:val="00384C6B"/>
    <w:rsid w:val="00384C7D"/>
    <w:rsid w:val="00384C94"/>
    <w:rsid w:val="00384CAA"/>
    <w:rsid w:val="00384CB8"/>
    <w:rsid w:val="00384CD7"/>
    <w:rsid w:val="00384CF2"/>
    <w:rsid w:val="00384D78"/>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6B"/>
    <w:rsid w:val="00385081"/>
    <w:rsid w:val="003850AB"/>
    <w:rsid w:val="003850D2"/>
    <w:rsid w:val="003850F2"/>
    <w:rsid w:val="00385124"/>
    <w:rsid w:val="00385156"/>
    <w:rsid w:val="0038516C"/>
    <w:rsid w:val="00385181"/>
    <w:rsid w:val="003851DC"/>
    <w:rsid w:val="00385247"/>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7FC"/>
    <w:rsid w:val="0038581C"/>
    <w:rsid w:val="0038582C"/>
    <w:rsid w:val="00385830"/>
    <w:rsid w:val="0038586C"/>
    <w:rsid w:val="0038587C"/>
    <w:rsid w:val="003858D3"/>
    <w:rsid w:val="003858F0"/>
    <w:rsid w:val="003858FF"/>
    <w:rsid w:val="00385901"/>
    <w:rsid w:val="00385946"/>
    <w:rsid w:val="00385973"/>
    <w:rsid w:val="0038597C"/>
    <w:rsid w:val="0038598C"/>
    <w:rsid w:val="003859D5"/>
    <w:rsid w:val="00385A3B"/>
    <w:rsid w:val="00385A72"/>
    <w:rsid w:val="00385AF5"/>
    <w:rsid w:val="00385B44"/>
    <w:rsid w:val="00385B4E"/>
    <w:rsid w:val="00385B89"/>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0"/>
    <w:rsid w:val="00385EE6"/>
    <w:rsid w:val="00385F53"/>
    <w:rsid w:val="00385F6B"/>
    <w:rsid w:val="00385FEA"/>
    <w:rsid w:val="00386005"/>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B2"/>
    <w:rsid w:val="003863EF"/>
    <w:rsid w:val="00386421"/>
    <w:rsid w:val="0038644B"/>
    <w:rsid w:val="00386489"/>
    <w:rsid w:val="003864A8"/>
    <w:rsid w:val="003864AD"/>
    <w:rsid w:val="003864FA"/>
    <w:rsid w:val="00386569"/>
    <w:rsid w:val="00386630"/>
    <w:rsid w:val="003866B3"/>
    <w:rsid w:val="003866C5"/>
    <w:rsid w:val="003866E4"/>
    <w:rsid w:val="0038686F"/>
    <w:rsid w:val="00386918"/>
    <w:rsid w:val="00386945"/>
    <w:rsid w:val="00386950"/>
    <w:rsid w:val="00386954"/>
    <w:rsid w:val="00386986"/>
    <w:rsid w:val="003869A4"/>
    <w:rsid w:val="003869DD"/>
    <w:rsid w:val="003869E5"/>
    <w:rsid w:val="00386A06"/>
    <w:rsid w:val="00386A26"/>
    <w:rsid w:val="00386A86"/>
    <w:rsid w:val="00386AA0"/>
    <w:rsid w:val="00386AA5"/>
    <w:rsid w:val="00386AAF"/>
    <w:rsid w:val="00386AEC"/>
    <w:rsid w:val="00386B41"/>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17"/>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1"/>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32"/>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752"/>
    <w:rsid w:val="00390836"/>
    <w:rsid w:val="0039084D"/>
    <w:rsid w:val="00390869"/>
    <w:rsid w:val="00390893"/>
    <w:rsid w:val="003908DD"/>
    <w:rsid w:val="003908F7"/>
    <w:rsid w:val="0039093D"/>
    <w:rsid w:val="00390999"/>
    <w:rsid w:val="003909B9"/>
    <w:rsid w:val="00390A48"/>
    <w:rsid w:val="00390ABB"/>
    <w:rsid w:val="00390AF5"/>
    <w:rsid w:val="00390AF6"/>
    <w:rsid w:val="00390B31"/>
    <w:rsid w:val="00390B5F"/>
    <w:rsid w:val="00390B74"/>
    <w:rsid w:val="00390B7B"/>
    <w:rsid w:val="00390BB1"/>
    <w:rsid w:val="00390BC6"/>
    <w:rsid w:val="00390C04"/>
    <w:rsid w:val="00390C29"/>
    <w:rsid w:val="00390C3A"/>
    <w:rsid w:val="00390C80"/>
    <w:rsid w:val="00390C96"/>
    <w:rsid w:val="00390CD5"/>
    <w:rsid w:val="00390D30"/>
    <w:rsid w:val="00390D5A"/>
    <w:rsid w:val="00390DBA"/>
    <w:rsid w:val="00390DC8"/>
    <w:rsid w:val="00390DD9"/>
    <w:rsid w:val="00390E4F"/>
    <w:rsid w:val="00390E6A"/>
    <w:rsid w:val="00390EF6"/>
    <w:rsid w:val="00390F35"/>
    <w:rsid w:val="00390F58"/>
    <w:rsid w:val="00390F79"/>
    <w:rsid w:val="00390F98"/>
    <w:rsid w:val="00390F9F"/>
    <w:rsid w:val="00390FC4"/>
    <w:rsid w:val="00391027"/>
    <w:rsid w:val="00391034"/>
    <w:rsid w:val="00391041"/>
    <w:rsid w:val="00391080"/>
    <w:rsid w:val="003910AC"/>
    <w:rsid w:val="003910BC"/>
    <w:rsid w:val="00391175"/>
    <w:rsid w:val="003911D5"/>
    <w:rsid w:val="003911EE"/>
    <w:rsid w:val="003911F1"/>
    <w:rsid w:val="003911F6"/>
    <w:rsid w:val="0039121A"/>
    <w:rsid w:val="0039123C"/>
    <w:rsid w:val="00391257"/>
    <w:rsid w:val="0039126C"/>
    <w:rsid w:val="003912A8"/>
    <w:rsid w:val="003912CB"/>
    <w:rsid w:val="0039133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84"/>
    <w:rsid w:val="00391791"/>
    <w:rsid w:val="00391796"/>
    <w:rsid w:val="003917AF"/>
    <w:rsid w:val="003917EC"/>
    <w:rsid w:val="00391800"/>
    <w:rsid w:val="00391805"/>
    <w:rsid w:val="0039192F"/>
    <w:rsid w:val="003919AC"/>
    <w:rsid w:val="003919CA"/>
    <w:rsid w:val="003919D5"/>
    <w:rsid w:val="00391A0C"/>
    <w:rsid w:val="00391A29"/>
    <w:rsid w:val="00391A7B"/>
    <w:rsid w:val="00391B58"/>
    <w:rsid w:val="00391B96"/>
    <w:rsid w:val="00391BAC"/>
    <w:rsid w:val="00391BC4"/>
    <w:rsid w:val="00391C04"/>
    <w:rsid w:val="00391C18"/>
    <w:rsid w:val="00391C4A"/>
    <w:rsid w:val="00391C67"/>
    <w:rsid w:val="00391CF1"/>
    <w:rsid w:val="00391CF7"/>
    <w:rsid w:val="00391D05"/>
    <w:rsid w:val="00391D41"/>
    <w:rsid w:val="00391D4C"/>
    <w:rsid w:val="00391D78"/>
    <w:rsid w:val="00391DE8"/>
    <w:rsid w:val="00391DEC"/>
    <w:rsid w:val="00391E14"/>
    <w:rsid w:val="00391EED"/>
    <w:rsid w:val="00391EF3"/>
    <w:rsid w:val="00391F23"/>
    <w:rsid w:val="00391F33"/>
    <w:rsid w:val="00391F54"/>
    <w:rsid w:val="00391F56"/>
    <w:rsid w:val="00391FF7"/>
    <w:rsid w:val="00391FF9"/>
    <w:rsid w:val="0039203E"/>
    <w:rsid w:val="0039207A"/>
    <w:rsid w:val="003920D2"/>
    <w:rsid w:val="00392101"/>
    <w:rsid w:val="0039213B"/>
    <w:rsid w:val="0039215B"/>
    <w:rsid w:val="003921E1"/>
    <w:rsid w:val="003921EA"/>
    <w:rsid w:val="0039220F"/>
    <w:rsid w:val="00392212"/>
    <w:rsid w:val="0039224F"/>
    <w:rsid w:val="00392270"/>
    <w:rsid w:val="00392305"/>
    <w:rsid w:val="00392307"/>
    <w:rsid w:val="00392336"/>
    <w:rsid w:val="0039233C"/>
    <w:rsid w:val="00392372"/>
    <w:rsid w:val="003923B0"/>
    <w:rsid w:val="003923ED"/>
    <w:rsid w:val="003924C0"/>
    <w:rsid w:val="003924C4"/>
    <w:rsid w:val="003924CE"/>
    <w:rsid w:val="003925D7"/>
    <w:rsid w:val="003925F0"/>
    <w:rsid w:val="00392658"/>
    <w:rsid w:val="0039267D"/>
    <w:rsid w:val="003926AA"/>
    <w:rsid w:val="003926AE"/>
    <w:rsid w:val="0039278D"/>
    <w:rsid w:val="003927D4"/>
    <w:rsid w:val="003927D9"/>
    <w:rsid w:val="00392834"/>
    <w:rsid w:val="00392846"/>
    <w:rsid w:val="0039286B"/>
    <w:rsid w:val="003928A7"/>
    <w:rsid w:val="003928BB"/>
    <w:rsid w:val="003928CD"/>
    <w:rsid w:val="00392971"/>
    <w:rsid w:val="003929A3"/>
    <w:rsid w:val="003929A7"/>
    <w:rsid w:val="00392A80"/>
    <w:rsid w:val="00392AAD"/>
    <w:rsid w:val="00392ABD"/>
    <w:rsid w:val="00392AED"/>
    <w:rsid w:val="00392B21"/>
    <w:rsid w:val="00392B23"/>
    <w:rsid w:val="00392B77"/>
    <w:rsid w:val="00392BAD"/>
    <w:rsid w:val="00392BE7"/>
    <w:rsid w:val="00392BEB"/>
    <w:rsid w:val="00392BF6"/>
    <w:rsid w:val="00392C82"/>
    <w:rsid w:val="00392D1E"/>
    <w:rsid w:val="00392D5C"/>
    <w:rsid w:val="00392D5D"/>
    <w:rsid w:val="00392D75"/>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D3"/>
    <w:rsid w:val="003938FA"/>
    <w:rsid w:val="00393915"/>
    <w:rsid w:val="00393961"/>
    <w:rsid w:val="003939BC"/>
    <w:rsid w:val="00393A19"/>
    <w:rsid w:val="00393A1F"/>
    <w:rsid w:val="00393A2A"/>
    <w:rsid w:val="00393A56"/>
    <w:rsid w:val="00393A85"/>
    <w:rsid w:val="00393A87"/>
    <w:rsid w:val="00393AA0"/>
    <w:rsid w:val="00393AB1"/>
    <w:rsid w:val="00393AFF"/>
    <w:rsid w:val="00393B06"/>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54"/>
    <w:rsid w:val="00393E79"/>
    <w:rsid w:val="00393EC8"/>
    <w:rsid w:val="00393F55"/>
    <w:rsid w:val="00393F69"/>
    <w:rsid w:val="00393FAF"/>
    <w:rsid w:val="0039400E"/>
    <w:rsid w:val="00394022"/>
    <w:rsid w:val="00394029"/>
    <w:rsid w:val="0039403D"/>
    <w:rsid w:val="00394050"/>
    <w:rsid w:val="00394075"/>
    <w:rsid w:val="00394088"/>
    <w:rsid w:val="00394092"/>
    <w:rsid w:val="00394176"/>
    <w:rsid w:val="003941E0"/>
    <w:rsid w:val="0039423C"/>
    <w:rsid w:val="00394287"/>
    <w:rsid w:val="0039428E"/>
    <w:rsid w:val="003942AB"/>
    <w:rsid w:val="003942C4"/>
    <w:rsid w:val="003942D0"/>
    <w:rsid w:val="00394310"/>
    <w:rsid w:val="00394321"/>
    <w:rsid w:val="00394324"/>
    <w:rsid w:val="00394392"/>
    <w:rsid w:val="00394428"/>
    <w:rsid w:val="00394442"/>
    <w:rsid w:val="0039448D"/>
    <w:rsid w:val="003944B0"/>
    <w:rsid w:val="003944C6"/>
    <w:rsid w:val="00394585"/>
    <w:rsid w:val="003945BF"/>
    <w:rsid w:val="0039462A"/>
    <w:rsid w:val="00394653"/>
    <w:rsid w:val="003946BA"/>
    <w:rsid w:val="00394711"/>
    <w:rsid w:val="00394712"/>
    <w:rsid w:val="003947A7"/>
    <w:rsid w:val="003947B3"/>
    <w:rsid w:val="003947C3"/>
    <w:rsid w:val="003947F9"/>
    <w:rsid w:val="0039484A"/>
    <w:rsid w:val="00394855"/>
    <w:rsid w:val="0039486B"/>
    <w:rsid w:val="00394874"/>
    <w:rsid w:val="003948B3"/>
    <w:rsid w:val="003948FE"/>
    <w:rsid w:val="0039492C"/>
    <w:rsid w:val="00394957"/>
    <w:rsid w:val="00394962"/>
    <w:rsid w:val="00394995"/>
    <w:rsid w:val="003949A5"/>
    <w:rsid w:val="003949BE"/>
    <w:rsid w:val="00394A03"/>
    <w:rsid w:val="00394A05"/>
    <w:rsid w:val="00394AC1"/>
    <w:rsid w:val="00394AF3"/>
    <w:rsid w:val="00394B06"/>
    <w:rsid w:val="00394B1D"/>
    <w:rsid w:val="00394B79"/>
    <w:rsid w:val="00394BBF"/>
    <w:rsid w:val="00394C21"/>
    <w:rsid w:val="00394C42"/>
    <w:rsid w:val="00394C9E"/>
    <w:rsid w:val="00394CC9"/>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8F"/>
    <w:rsid w:val="0039529B"/>
    <w:rsid w:val="0039529D"/>
    <w:rsid w:val="0039532A"/>
    <w:rsid w:val="0039534D"/>
    <w:rsid w:val="00395352"/>
    <w:rsid w:val="00395396"/>
    <w:rsid w:val="0039543E"/>
    <w:rsid w:val="00395492"/>
    <w:rsid w:val="003954E0"/>
    <w:rsid w:val="00395520"/>
    <w:rsid w:val="00395523"/>
    <w:rsid w:val="00395597"/>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53"/>
    <w:rsid w:val="0039598C"/>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E"/>
    <w:rsid w:val="00395EE5"/>
    <w:rsid w:val="00395F31"/>
    <w:rsid w:val="00395F42"/>
    <w:rsid w:val="00395F73"/>
    <w:rsid w:val="00395F98"/>
    <w:rsid w:val="00395FF3"/>
    <w:rsid w:val="0039601A"/>
    <w:rsid w:val="0039604E"/>
    <w:rsid w:val="0039607C"/>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6"/>
    <w:rsid w:val="0039638D"/>
    <w:rsid w:val="00396391"/>
    <w:rsid w:val="00396409"/>
    <w:rsid w:val="00396465"/>
    <w:rsid w:val="003964A2"/>
    <w:rsid w:val="003964FC"/>
    <w:rsid w:val="00396561"/>
    <w:rsid w:val="0039656B"/>
    <w:rsid w:val="003965BC"/>
    <w:rsid w:val="003965D2"/>
    <w:rsid w:val="003965D3"/>
    <w:rsid w:val="00396624"/>
    <w:rsid w:val="00396666"/>
    <w:rsid w:val="003966BB"/>
    <w:rsid w:val="0039676D"/>
    <w:rsid w:val="0039677F"/>
    <w:rsid w:val="003968B9"/>
    <w:rsid w:val="003968CC"/>
    <w:rsid w:val="003968CE"/>
    <w:rsid w:val="003968D2"/>
    <w:rsid w:val="00396930"/>
    <w:rsid w:val="00396945"/>
    <w:rsid w:val="00396946"/>
    <w:rsid w:val="0039694D"/>
    <w:rsid w:val="00396968"/>
    <w:rsid w:val="00396B0B"/>
    <w:rsid w:val="00396B28"/>
    <w:rsid w:val="00396B48"/>
    <w:rsid w:val="00396B58"/>
    <w:rsid w:val="00396BD3"/>
    <w:rsid w:val="00396C28"/>
    <w:rsid w:val="00396C39"/>
    <w:rsid w:val="00396DAC"/>
    <w:rsid w:val="00396DB4"/>
    <w:rsid w:val="00396DDB"/>
    <w:rsid w:val="00396DE4"/>
    <w:rsid w:val="00396E0C"/>
    <w:rsid w:val="00396E3C"/>
    <w:rsid w:val="00396E53"/>
    <w:rsid w:val="00396EFD"/>
    <w:rsid w:val="00396F2C"/>
    <w:rsid w:val="00396F56"/>
    <w:rsid w:val="00396F85"/>
    <w:rsid w:val="00396F87"/>
    <w:rsid w:val="00396FB7"/>
    <w:rsid w:val="00396FE3"/>
    <w:rsid w:val="0039701B"/>
    <w:rsid w:val="003970CE"/>
    <w:rsid w:val="00397142"/>
    <w:rsid w:val="003971A2"/>
    <w:rsid w:val="003971E3"/>
    <w:rsid w:val="003971FA"/>
    <w:rsid w:val="0039720E"/>
    <w:rsid w:val="00397254"/>
    <w:rsid w:val="00397270"/>
    <w:rsid w:val="00397272"/>
    <w:rsid w:val="00397307"/>
    <w:rsid w:val="00397353"/>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23"/>
    <w:rsid w:val="003978C3"/>
    <w:rsid w:val="00397908"/>
    <w:rsid w:val="00397937"/>
    <w:rsid w:val="00397971"/>
    <w:rsid w:val="0039799C"/>
    <w:rsid w:val="003979E4"/>
    <w:rsid w:val="00397A24"/>
    <w:rsid w:val="00397AE3"/>
    <w:rsid w:val="00397B00"/>
    <w:rsid w:val="00397B19"/>
    <w:rsid w:val="00397B4B"/>
    <w:rsid w:val="00397BFD"/>
    <w:rsid w:val="00397C12"/>
    <w:rsid w:val="00397D1D"/>
    <w:rsid w:val="00397D39"/>
    <w:rsid w:val="00397D8C"/>
    <w:rsid w:val="00397D96"/>
    <w:rsid w:val="00397E83"/>
    <w:rsid w:val="00397EF8"/>
    <w:rsid w:val="00397F1F"/>
    <w:rsid w:val="00397F3F"/>
    <w:rsid w:val="00397F43"/>
    <w:rsid w:val="00397F8C"/>
    <w:rsid w:val="00397FF8"/>
    <w:rsid w:val="003A001D"/>
    <w:rsid w:val="003A0022"/>
    <w:rsid w:val="003A002F"/>
    <w:rsid w:val="003A00BA"/>
    <w:rsid w:val="003A00BD"/>
    <w:rsid w:val="003A00D9"/>
    <w:rsid w:val="003A0110"/>
    <w:rsid w:val="003A011F"/>
    <w:rsid w:val="003A017C"/>
    <w:rsid w:val="003A018A"/>
    <w:rsid w:val="003A018C"/>
    <w:rsid w:val="003A020E"/>
    <w:rsid w:val="003A0300"/>
    <w:rsid w:val="003A0309"/>
    <w:rsid w:val="003A03A2"/>
    <w:rsid w:val="003A03C1"/>
    <w:rsid w:val="003A04B3"/>
    <w:rsid w:val="003A04B6"/>
    <w:rsid w:val="003A04FA"/>
    <w:rsid w:val="003A0531"/>
    <w:rsid w:val="003A0590"/>
    <w:rsid w:val="003A05FB"/>
    <w:rsid w:val="003A0637"/>
    <w:rsid w:val="003A06BA"/>
    <w:rsid w:val="003A0703"/>
    <w:rsid w:val="003A0756"/>
    <w:rsid w:val="003A0757"/>
    <w:rsid w:val="003A0764"/>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D1F"/>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5B"/>
    <w:rsid w:val="003A1067"/>
    <w:rsid w:val="003A109E"/>
    <w:rsid w:val="003A10C9"/>
    <w:rsid w:val="003A10CE"/>
    <w:rsid w:val="003A10FE"/>
    <w:rsid w:val="003A1101"/>
    <w:rsid w:val="003A1148"/>
    <w:rsid w:val="003A1169"/>
    <w:rsid w:val="003A119D"/>
    <w:rsid w:val="003A11B3"/>
    <w:rsid w:val="003A11C1"/>
    <w:rsid w:val="003A11E8"/>
    <w:rsid w:val="003A1204"/>
    <w:rsid w:val="003A1355"/>
    <w:rsid w:val="003A1363"/>
    <w:rsid w:val="003A1398"/>
    <w:rsid w:val="003A13A2"/>
    <w:rsid w:val="003A13EE"/>
    <w:rsid w:val="003A1410"/>
    <w:rsid w:val="003A14E9"/>
    <w:rsid w:val="003A150B"/>
    <w:rsid w:val="003A1564"/>
    <w:rsid w:val="003A15C6"/>
    <w:rsid w:val="003A15E5"/>
    <w:rsid w:val="003A15F4"/>
    <w:rsid w:val="003A162A"/>
    <w:rsid w:val="003A162D"/>
    <w:rsid w:val="003A1652"/>
    <w:rsid w:val="003A165E"/>
    <w:rsid w:val="003A167B"/>
    <w:rsid w:val="003A16A6"/>
    <w:rsid w:val="003A16DA"/>
    <w:rsid w:val="003A171A"/>
    <w:rsid w:val="003A1772"/>
    <w:rsid w:val="003A178A"/>
    <w:rsid w:val="003A17C7"/>
    <w:rsid w:val="003A17EB"/>
    <w:rsid w:val="003A17EC"/>
    <w:rsid w:val="003A180B"/>
    <w:rsid w:val="003A181C"/>
    <w:rsid w:val="003A18AF"/>
    <w:rsid w:val="003A1916"/>
    <w:rsid w:val="003A1967"/>
    <w:rsid w:val="003A1A03"/>
    <w:rsid w:val="003A1A08"/>
    <w:rsid w:val="003A1A27"/>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2C"/>
    <w:rsid w:val="003A1F36"/>
    <w:rsid w:val="003A1F60"/>
    <w:rsid w:val="003A1F77"/>
    <w:rsid w:val="003A201A"/>
    <w:rsid w:val="003A2053"/>
    <w:rsid w:val="003A20D3"/>
    <w:rsid w:val="003A2109"/>
    <w:rsid w:val="003A2116"/>
    <w:rsid w:val="003A2144"/>
    <w:rsid w:val="003A2145"/>
    <w:rsid w:val="003A214F"/>
    <w:rsid w:val="003A217F"/>
    <w:rsid w:val="003A21AE"/>
    <w:rsid w:val="003A21BC"/>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4F5"/>
    <w:rsid w:val="003A2503"/>
    <w:rsid w:val="003A2534"/>
    <w:rsid w:val="003A2565"/>
    <w:rsid w:val="003A256D"/>
    <w:rsid w:val="003A259A"/>
    <w:rsid w:val="003A25B5"/>
    <w:rsid w:val="003A25E1"/>
    <w:rsid w:val="003A262F"/>
    <w:rsid w:val="003A2633"/>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60"/>
    <w:rsid w:val="003A2B7E"/>
    <w:rsid w:val="003A2BCD"/>
    <w:rsid w:val="003A2C05"/>
    <w:rsid w:val="003A2C57"/>
    <w:rsid w:val="003A2DF7"/>
    <w:rsid w:val="003A2E28"/>
    <w:rsid w:val="003A2E2F"/>
    <w:rsid w:val="003A2E30"/>
    <w:rsid w:val="003A2E3D"/>
    <w:rsid w:val="003A2EDD"/>
    <w:rsid w:val="003A2EE9"/>
    <w:rsid w:val="003A2F3D"/>
    <w:rsid w:val="003A2F62"/>
    <w:rsid w:val="003A2F77"/>
    <w:rsid w:val="003A3001"/>
    <w:rsid w:val="003A305D"/>
    <w:rsid w:val="003A3096"/>
    <w:rsid w:val="003A31A9"/>
    <w:rsid w:val="003A3200"/>
    <w:rsid w:val="003A3257"/>
    <w:rsid w:val="003A328B"/>
    <w:rsid w:val="003A32B4"/>
    <w:rsid w:val="003A32D8"/>
    <w:rsid w:val="003A32E5"/>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608"/>
    <w:rsid w:val="003A3612"/>
    <w:rsid w:val="003A365E"/>
    <w:rsid w:val="003A36A0"/>
    <w:rsid w:val="003A36A2"/>
    <w:rsid w:val="003A36C4"/>
    <w:rsid w:val="003A36C8"/>
    <w:rsid w:val="003A37DF"/>
    <w:rsid w:val="003A3809"/>
    <w:rsid w:val="003A3880"/>
    <w:rsid w:val="003A38D2"/>
    <w:rsid w:val="003A38FE"/>
    <w:rsid w:val="003A394F"/>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D7"/>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B8"/>
    <w:rsid w:val="003A4CFF"/>
    <w:rsid w:val="003A4E65"/>
    <w:rsid w:val="003A4EFE"/>
    <w:rsid w:val="003A4F1B"/>
    <w:rsid w:val="003A4F4D"/>
    <w:rsid w:val="003A4F57"/>
    <w:rsid w:val="003A4F69"/>
    <w:rsid w:val="003A4F72"/>
    <w:rsid w:val="003A4FCC"/>
    <w:rsid w:val="003A500D"/>
    <w:rsid w:val="003A5052"/>
    <w:rsid w:val="003A5076"/>
    <w:rsid w:val="003A5086"/>
    <w:rsid w:val="003A50DA"/>
    <w:rsid w:val="003A5100"/>
    <w:rsid w:val="003A513F"/>
    <w:rsid w:val="003A517E"/>
    <w:rsid w:val="003A51B2"/>
    <w:rsid w:val="003A51C1"/>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C2"/>
    <w:rsid w:val="003A54DF"/>
    <w:rsid w:val="003A5533"/>
    <w:rsid w:val="003A55D4"/>
    <w:rsid w:val="003A565E"/>
    <w:rsid w:val="003A567A"/>
    <w:rsid w:val="003A56CB"/>
    <w:rsid w:val="003A56D4"/>
    <w:rsid w:val="003A56FD"/>
    <w:rsid w:val="003A570D"/>
    <w:rsid w:val="003A5737"/>
    <w:rsid w:val="003A5747"/>
    <w:rsid w:val="003A5786"/>
    <w:rsid w:val="003A5817"/>
    <w:rsid w:val="003A58A5"/>
    <w:rsid w:val="003A595E"/>
    <w:rsid w:val="003A595F"/>
    <w:rsid w:val="003A5987"/>
    <w:rsid w:val="003A59B2"/>
    <w:rsid w:val="003A59D4"/>
    <w:rsid w:val="003A5A17"/>
    <w:rsid w:val="003A5A66"/>
    <w:rsid w:val="003A5AEF"/>
    <w:rsid w:val="003A5B04"/>
    <w:rsid w:val="003A5B08"/>
    <w:rsid w:val="003A5B5B"/>
    <w:rsid w:val="003A5B63"/>
    <w:rsid w:val="003A5B91"/>
    <w:rsid w:val="003A5BD0"/>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0"/>
    <w:rsid w:val="003A661E"/>
    <w:rsid w:val="003A6636"/>
    <w:rsid w:val="003A6652"/>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A7"/>
    <w:rsid w:val="003A6B2B"/>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68"/>
    <w:rsid w:val="003A708B"/>
    <w:rsid w:val="003A70AE"/>
    <w:rsid w:val="003A70AF"/>
    <w:rsid w:val="003A70C7"/>
    <w:rsid w:val="003A70EE"/>
    <w:rsid w:val="003A70EF"/>
    <w:rsid w:val="003A7159"/>
    <w:rsid w:val="003A716A"/>
    <w:rsid w:val="003A71A0"/>
    <w:rsid w:val="003A71E0"/>
    <w:rsid w:val="003A721A"/>
    <w:rsid w:val="003A724A"/>
    <w:rsid w:val="003A725A"/>
    <w:rsid w:val="003A72C7"/>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47"/>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3E"/>
    <w:rsid w:val="003A7C8B"/>
    <w:rsid w:val="003A7C9B"/>
    <w:rsid w:val="003A7C9C"/>
    <w:rsid w:val="003A7CA2"/>
    <w:rsid w:val="003A7CD6"/>
    <w:rsid w:val="003A7CE9"/>
    <w:rsid w:val="003A7CF7"/>
    <w:rsid w:val="003A7D15"/>
    <w:rsid w:val="003A7D30"/>
    <w:rsid w:val="003A7D72"/>
    <w:rsid w:val="003A7D99"/>
    <w:rsid w:val="003A7DBC"/>
    <w:rsid w:val="003A7DE7"/>
    <w:rsid w:val="003A7F63"/>
    <w:rsid w:val="003A7F78"/>
    <w:rsid w:val="003A7FB1"/>
    <w:rsid w:val="003B000E"/>
    <w:rsid w:val="003B0063"/>
    <w:rsid w:val="003B009B"/>
    <w:rsid w:val="003B00A3"/>
    <w:rsid w:val="003B011D"/>
    <w:rsid w:val="003B0147"/>
    <w:rsid w:val="003B015F"/>
    <w:rsid w:val="003B0174"/>
    <w:rsid w:val="003B01DB"/>
    <w:rsid w:val="003B01FC"/>
    <w:rsid w:val="003B0208"/>
    <w:rsid w:val="003B023B"/>
    <w:rsid w:val="003B027F"/>
    <w:rsid w:val="003B028C"/>
    <w:rsid w:val="003B0297"/>
    <w:rsid w:val="003B02AD"/>
    <w:rsid w:val="003B02B6"/>
    <w:rsid w:val="003B02DA"/>
    <w:rsid w:val="003B0300"/>
    <w:rsid w:val="003B030E"/>
    <w:rsid w:val="003B0322"/>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30"/>
    <w:rsid w:val="003B0643"/>
    <w:rsid w:val="003B06CD"/>
    <w:rsid w:val="003B06FC"/>
    <w:rsid w:val="003B0726"/>
    <w:rsid w:val="003B073B"/>
    <w:rsid w:val="003B07C2"/>
    <w:rsid w:val="003B0811"/>
    <w:rsid w:val="003B0833"/>
    <w:rsid w:val="003B0838"/>
    <w:rsid w:val="003B083F"/>
    <w:rsid w:val="003B085E"/>
    <w:rsid w:val="003B0868"/>
    <w:rsid w:val="003B08F3"/>
    <w:rsid w:val="003B0918"/>
    <w:rsid w:val="003B0995"/>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A1"/>
    <w:rsid w:val="003B172F"/>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A24"/>
    <w:rsid w:val="003B1A27"/>
    <w:rsid w:val="003B1A3C"/>
    <w:rsid w:val="003B1A47"/>
    <w:rsid w:val="003B1A8C"/>
    <w:rsid w:val="003B1B4F"/>
    <w:rsid w:val="003B1C1B"/>
    <w:rsid w:val="003B1C3F"/>
    <w:rsid w:val="003B1C45"/>
    <w:rsid w:val="003B1C74"/>
    <w:rsid w:val="003B1C77"/>
    <w:rsid w:val="003B1C87"/>
    <w:rsid w:val="003B1CF8"/>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BD"/>
    <w:rsid w:val="003B21D9"/>
    <w:rsid w:val="003B21F5"/>
    <w:rsid w:val="003B2257"/>
    <w:rsid w:val="003B2275"/>
    <w:rsid w:val="003B2292"/>
    <w:rsid w:val="003B22CB"/>
    <w:rsid w:val="003B22E5"/>
    <w:rsid w:val="003B2357"/>
    <w:rsid w:val="003B237B"/>
    <w:rsid w:val="003B23DF"/>
    <w:rsid w:val="003B2410"/>
    <w:rsid w:val="003B24B5"/>
    <w:rsid w:val="003B255B"/>
    <w:rsid w:val="003B256A"/>
    <w:rsid w:val="003B25BE"/>
    <w:rsid w:val="003B25CF"/>
    <w:rsid w:val="003B2615"/>
    <w:rsid w:val="003B2624"/>
    <w:rsid w:val="003B2626"/>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AB"/>
    <w:rsid w:val="003B29D9"/>
    <w:rsid w:val="003B2A10"/>
    <w:rsid w:val="003B2A15"/>
    <w:rsid w:val="003B2A1A"/>
    <w:rsid w:val="003B2A59"/>
    <w:rsid w:val="003B2A5F"/>
    <w:rsid w:val="003B2AB0"/>
    <w:rsid w:val="003B2AD9"/>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30"/>
    <w:rsid w:val="003B2E3A"/>
    <w:rsid w:val="003B2EB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B1"/>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F4"/>
    <w:rsid w:val="003B3A55"/>
    <w:rsid w:val="003B3A98"/>
    <w:rsid w:val="003B3AC8"/>
    <w:rsid w:val="003B3AD2"/>
    <w:rsid w:val="003B3B63"/>
    <w:rsid w:val="003B3B7E"/>
    <w:rsid w:val="003B3C81"/>
    <w:rsid w:val="003B3C9C"/>
    <w:rsid w:val="003B3C9D"/>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18"/>
    <w:rsid w:val="003B427B"/>
    <w:rsid w:val="003B4282"/>
    <w:rsid w:val="003B42B4"/>
    <w:rsid w:val="003B4324"/>
    <w:rsid w:val="003B4349"/>
    <w:rsid w:val="003B43EF"/>
    <w:rsid w:val="003B4414"/>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7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2"/>
    <w:rsid w:val="003B5188"/>
    <w:rsid w:val="003B51C7"/>
    <w:rsid w:val="003B51CD"/>
    <w:rsid w:val="003B51E0"/>
    <w:rsid w:val="003B5223"/>
    <w:rsid w:val="003B5258"/>
    <w:rsid w:val="003B525C"/>
    <w:rsid w:val="003B529F"/>
    <w:rsid w:val="003B52FD"/>
    <w:rsid w:val="003B5317"/>
    <w:rsid w:val="003B5329"/>
    <w:rsid w:val="003B5363"/>
    <w:rsid w:val="003B536E"/>
    <w:rsid w:val="003B53BB"/>
    <w:rsid w:val="003B53F5"/>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6A6"/>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D8"/>
    <w:rsid w:val="003B5CE6"/>
    <w:rsid w:val="003B5D28"/>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B1"/>
    <w:rsid w:val="003B6142"/>
    <w:rsid w:val="003B6146"/>
    <w:rsid w:val="003B6174"/>
    <w:rsid w:val="003B619D"/>
    <w:rsid w:val="003B6220"/>
    <w:rsid w:val="003B622A"/>
    <w:rsid w:val="003B62B6"/>
    <w:rsid w:val="003B62D9"/>
    <w:rsid w:val="003B638D"/>
    <w:rsid w:val="003B63A3"/>
    <w:rsid w:val="003B6445"/>
    <w:rsid w:val="003B6452"/>
    <w:rsid w:val="003B6466"/>
    <w:rsid w:val="003B653D"/>
    <w:rsid w:val="003B657D"/>
    <w:rsid w:val="003B6598"/>
    <w:rsid w:val="003B65B6"/>
    <w:rsid w:val="003B664A"/>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B37"/>
    <w:rsid w:val="003B6B59"/>
    <w:rsid w:val="003B6B9D"/>
    <w:rsid w:val="003B6BA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701F"/>
    <w:rsid w:val="003B70AC"/>
    <w:rsid w:val="003B7113"/>
    <w:rsid w:val="003B7133"/>
    <w:rsid w:val="003B7166"/>
    <w:rsid w:val="003B71A2"/>
    <w:rsid w:val="003B71AB"/>
    <w:rsid w:val="003B71AD"/>
    <w:rsid w:val="003B7230"/>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30"/>
    <w:rsid w:val="003B798E"/>
    <w:rsid w:val="003B799A"/>
    <w:rsid w:val="003B79F7"/>
    <w:rsid w:val="003B7A34"/>
    <w:rsid w:val="003B7A65"/>
    <w:rsid w:val="003B7A98"/>
    <w:rsid w:val="003B7A9C"/>
    <w:rsid w:val="003B7ABB"/>
    <w:rsid w:val="003B7AC2"/>
    <w:rsid w:val="003B7AD6"/>
    <w:rsid w:val="003B7B40"/>
    <w:rsid w:val="003B7B7B"/>
    <w:rsid w:val="003B7C41"/>
    <w:rsid w:val="003B7C69"/>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21"/>
    <w:rsid w:val="003C002A"/>
    <w:rsid w:val="003C0033"/>
    <w:rsid w:val="003C006B"/>
    <w:rsid w:val="003C0083"/>
    <w:rsid w:val="003C0091"/>
    <w:rsid w:val="003C00B2"/>
    <w:rsid w:val="003C00C6"/>
    <w:rsid w:val="003C00D6"/>
    <w:rsid w:val="003C00D8"/>
    <w:rsid w:val="003C00DE"/>
    <w:rsid w:val="003C00E0"/>
    <w:rsid w:val="003C0109"/>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77"/>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AF"/>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3"/>
    <w:rsid w:val="003C1575"/>
    <w:rsid w:val="003C157B"/>
    <w:rsid w:val="003C169C"/>
    <w:rsid w:val="003C16A6"/>
    <w:rsid w:val="003C16DB"/>
    <w:rsid w:val="003C16EA"/>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4D"/>
    <w:rsid w:val="003C1F60"/>
    <w:rsid w:val="003C1F74"/>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BA"/>
    <w:rsid w:val="003C22C3"/>
    <w:rsid w:val="003C235A"/>
    <w:rsid w:val="003C2392"/>
    <w:rsid w:val="003C242B"/>
    <w:rsid w:val="003C2435"/>
    <w:rsid w:val="003C2457"/>
    <w:rsid w:val="003C24A4"/>
    <w:rsid w:val="003C24AE"/>
    <w:rsid w:val="003C2533"/>
    <w:rsid w:val="003C254B"/>
    <w:rsid w:val="003C2565"/>
    <w:rsid w:val="003C2566"/>
    <w:rsid w:val="003C2570"/>
    <w:rsid w:val="003C25CB"/>
    <w:rsid w:val="003C2638"/>
    <w:rsid w:val="003C267A"/>
    <w:rsid w:val="003C26A0"/>
    <w:rsid w:val="003C2731"/>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38"/>
    <w:rsid w:val="003C2B46"/>
    <w:rsid w:val="003C2BBE"/>
    <w:rsid w:val="003C2C15"/>
    <w:rsid w:val="003C2CD2"/>
    <w:rsid w:val="003C2D60"/>
    <w:rsid w:val="003C2D85"/>
    <w:rsid w:val="003C2DC2"/>
    <w:rsid w:val="003C2DE9"/>
    <w:rsid w:val="003C2DEE"/>
    <w:rsid w:val="003C2DFE"/>
    <w:rsid w:val="003C2E1E"/>
    <w:rsid w:val="003C2E5B"/>
    <w:rsid w:val="003C2EE1"/>
    <w:rsid w:val="003C2F29"/>
    <w:rsid w:val="003C2F39"/>
    <w:rsid w:val="003C2F6F"/>
    <w:rsid w:val="003C2F96"/>
    <w:rsid w:val="003C2FC5"/>
    <w:rsid w:val="003C2FCF"/>
    <w:rsid w:val="003C2FFC"/>
    <w:rsid w:val="003C3003"/>
    <w:rsid w:val="003C3028"/>
    <w:rsid w:val="003C309E"/>
    <w:rsid w:val="003C30B0"/>
    <w:rsid w:val="003C3132"/>
    <w:rsid w:val="003C3150"/>
    <w:rsid w:val="003C3153"/>
    <w:rsid w:val="003C31DA"/>
    <w:rsid w:val="003C31FB"/>
    <w:rsid w:val="003C3278"/>
    <w:rsid w:val="003C32E8"/>
    <w:rsid w:val="003C33CF"/>
    <w:rsid w:val="003C33EC"/>
    <w:rsid w:val="003C3401"/>
    <w:rsid w:val="003C341A"/>
    <w:rsid w:val="003C341F"/>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D4"/>
    <w:rsid w:val="003C3BF3"/>
    <w:rsid w:val="003C3C03"/>
    <w:rsid w:val="003C3C28"/>
    <w:rsid w:val="003C3C31"/>
    <w:rsid w:val="003C3C48"/>
    <w:rsid w:val="003C3C56"/>
    <w:rsid w:val="003C3C9C"/>
    <w:rsid w:val="003C3CB6"/>
    <w:rsid w:val="003C3CC9"/>
    <w:rsid w:val="003C3CDF"/>
    <w:rsid w:val="003C3D18"/>
    <w:rsid w:val="003C3D61"/>
    <w:rsid w:val="003C3DA4"/>
    <w:rsid w:val="003C3DC0"/>
    <w:rsid w:val="003C3E47"/>
    <w:rsid w:val="003C3F1E"/>
    <w:rsid w:val="003C3F22"/>
    <w:rsid w:val="003C3F37"/>
    <w:rsid w:val="003C3F3C"/>
    <w:rsid w:val="003C3F4E"/>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58"/>
    <w:rsid w:val="003C457F"/>
    <w:rsid w:val="003C458A"/>
    <w:rsid w:val="003C46DC"/>
    <w:rsid w:val="003C484A"/>
    <w:rsid w:val="003C485D"/>
    <w:rsid w:val="003C4943"/>
    <w:rsid w:val="003C494B"/>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E03"/>
    <w:rsid w:val="003C4E18"/>
    <w:rsid w:val="003C4E73"/>
    <w:rsid w:val="003C4EAF"/>
    <w:rsid w:val="003C4FC9"/>
    <w:rsid w:val="003C5034"/>
    <w:rsid w:val="003C505D"/>
    <w:rsid w:val="003C5062"/>
    <w:rsid w:val="003C508E"/>
    <w:rsid w:val="003C50AF"/>
    <w:rsid w:val="003C51B8"/>
    <w:rsid w:val="003C51EE"/>
    <w:rsid w:val="003C524F"/>
    <w:rsid w:val="003C52F2"/>
    <w:rsid w:val="003C5367"/>
    <w:rsid w:val="003C537C"/>
    <w:rsid w:val="003C53A0"/>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9A"/>
    <w:rsid w:val="003C5702"/>
    <w:rsid w:val="003C5755"/>
    <w:rsid w:val="003C577C"/>
    <w:rsid w:val="003C577E"/>
    <w:rsid w:val="003C57A2"/>
    <w:rsid w:val="003C5808"/>
    <w:rsid w:val="003C5832"/>
    <w:rsid w:val="003C5835"/>
    <w:rsid w:val="003C5860"/>
    <w:rsid w:val="003C58BF"/>
    <w:rsid w:val="003C58CD"/>
    <w:rsid w:val="003C58EA"/>
    <w:rsid w:val="003C58F3"/>
    <w:rsid w:val="003C5962"/>
    <w:rsid w:val="003C5A16"/>
    <w:rsid w:val="003C5A4D"/>
    <w:rsid w:val="003C5A74"/>
    <w:rsid w:val="003C5ACF"/>
    <w:rsid w:val="003C5ADB"/>
    <w:rsid w:val="003C5AEC"/>
    <w:rsid w:val="003C5AFC"/>
    <w:rsid w:val="003C5B01"/>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E7"/>
    <w:rsid w:val="003C6114"/>
    <w:rsid w:val="003C6130"/>
    <w:rsid w:val="003C614D"/>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81"/>
    <w:rsid w:val="003C65EA"/>
    <w:rsid w:val="003C66EB"/>
    <w:rsid w:val="003C6774"/>
    <w:rsid w:val="003C67FC"/>
    <w:rsid w:val="003C682E"/>
    <w:rsid w:val="003C683C"/>
    <w:rsid w:val="003C68BE"/>
    <w:rsid w:val="003C68D9"/>
    <w:rsid w:val="003C6913"/>
    <w:rsid w:val="003C6951"/>
    <w:rsid w:val="003C695D"/>
    <w:rsid w:val="003C69B1"/>
    <w:rsid w:val="003C69C2"/>
    <w:rsid w:val="003C6A7B"/>
    <w:rsid w:val="003C6AEF"/>
    <w:rsid w:val="003C6B81"/>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37"/>
    <w:rsid w:val="003C718C"/>
    <w:rsid w:val="003C71A1"/>
    <w:rsid w:val="003C71B3"/>
    <w:rsid w:val="003C7220"/>
    <w:rsid w:val="003C7283"/>
    <w:rsid w:val="003C72D8"/>
    <w:rsid w:val="003C7371"/>
    <w:rsid w:val="003C73B1"/>
    <w:rsid w:val="003C7406"/>
    <w:rsid w:val="003C741D"/>
    <w:rsid w:val="003C7449"/>
    <w:rsid w:val="003C744D"/>
    <w:rsid w:val="003C7489"/>
    <w:rsid w:val="003C749A"/>
    <w:rsid w:val="003C7524"/>
    <w:rsid w:val="003C754B"/>
    <w:rsid w:val="003C7567"/>
    <w:rsid w:val="003C7574"/>
    <w:rsid w:val="003C758D"/>
    <w:rsid w:val="003C75A9"/>
    <w:rsid w:val="003C75BF"/>
    <w:rsid w:val="003C75C3"/>
    <w:rsid w:val="003C75DB"/>
    <w:rsid w:val="003C760A"/>
    <w:rsid w:val="003C7616"/>
    <w:rsid w:val="003C7642"/>
    <w:rsid w:val="003C76A0"/>
    <w:rsid w:val="003C76B6"/>
    <w:rsid w:val="003C77C7"/>
    <w:rsid w:val="003C77E9"/>
    <w:rsid w:val="003C7809"/>
    <w:rsid w:val="003C7822"/>
    <w:rsid w:val="003C7837"/>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01"/>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ED7"/>
    <w:rsid w:val="003C7FC0"/>
    <w:rsid w:val="003D0003"/>
    <w:rsid w:val="003D005C"/>
    <w:rsid w:val="003D008C"/>
    <w:rsid w:val="003D0098"/>
    <w:rsid w:val="003D00C6"/>
    <w:rsid w:val="003D00D0"/>
    <w:rsid w:val="003D00F1"/>
    <w:rsid w:val="003D0121"/>
    <w:rsid w:val="003D014B"/>
    <w:rsid w:val="003D0157"/>
    <w:rsid w:val="003D0186"/>
    <w:rsid w:val="003D01A4"/>
    <w:rsid w:val="003D01CE"/>
    <w:rsid w:val="003D01EB"/>
    <w:rsid w:val="003D020C"/>
    <w:rsid w:val="003D0261"/>
    <w:rsid w:val="003D02A7"/>
    <w:rsid w:val="003D02AD"/>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33"/>
    <w:rsid w:val="003D0C3C"/>
    <w:rsid w:val="003D0C78"/>
    <w:rsid w:val="003D0C81"/>
    <w:rsid w:val="003D0C97"/>
    <w:rsid w:val="003D0D22"/>
    <w:rsid w:val="003D0D37"/>
    <w:rsid w:val="003D0DA4"/>
    <w:rsid w:val="003D0DE2"/>
    <w:rsid w:val="003D0E20"/>
    <w:rsid w:val="003D0E45"/>
    <w:rsid w:val="003D0E74"/>
    <w:rsid w:val="003D0ED3"/>
    <w:rsid w:val="003D0F0B"/>
    <w:rsid w:val="003D0F2A"/>
    <w:rsid w:val="003D0F35"/>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33"/>
    <w:rsid w:val="003D158F"/>
    <w:rsid w:val="003D1627"/>
    <w:rsid w:val="003D1634"/>
    <w:rsid w:val="003D1683"/>
    <w:rsid w:val="003D168A"/>
    <w:rsid w:val="003D16AB"/>
    <w:rsid w:val="003D16D8"/>
    <w:rsid w:val="003D16FF"/>
    <w:rsid w:val="003D1717"/>
    <w:rsid w:val="003D172A"/>
    <w:rsid w:val="003D176C"/>
    <w:rsid w:val="003D17B1"/>
    <w:rsid w:val="003D183B"/>
    <w:rsid w:val="003D1842"/>
    <w:rsid w:val="003D187D"/>
    <w:rsid w:val="003D188D"/>
    <w:rsid w:val="003D18B6"/>
    <w:rsid w:val="003D18E1"/>
    <w:rsid w:val="003D18E9"/>
    <w:rsid w:val="003D1903"/>
    <w:rsid w:val="003D192A"/>
    <w:rsid w:val="003D198C"/>
    <w:rsid w:val="003D19C6"/>
    <w:rsid w:val="003D1AD7"/>
    <w:rsid w:val="003D1AEC"/>
    <w:rsid w:val="003D1AF8"/>
    <w:rsid w:val="003D1B63"/>
    <w:rsid w:val="003D1BB1"/>
    <w:rsid w:val="003D1BCB"/>
    <w:rsid w:val="003D1BE4"/>
    <w:rsid w:val="003D1C42"/>
    <w:rsid w:val="003D1C84"/>
    <w:rsid w:val="003D1CB8"/>
    <w:rsid w:val="003D1D02"/>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22B"/>
    <w:rsid w:val="003D2240"/>
    <w:rsid w:val="003D2246"/>
    <w:rsid w:val="003D225B"/>
    <w:rsid w:val="003D2276"/>
    <w:rsid w:val="003D22A0"/>
    <w:rsid w:val="003D22CF"/>
    <w:rsid w:val="003D22EC"/>
    <w:rsid w:val="003D238C"/>
    <w:rsid w:val="003D23D8"/>
    <w:rsid w:val="003D2400"/>
    <w:rsid w:val="003D2449"/>
    <w:rsid w:val="003D2496"/>
    <w:rsid w:val="003D24D4"/>
    <w:rsid w:val="003D252E"/>
    <w:rsid w:val="003D257F"/>
    <w:rsid w:val="003D25DF"/>
    <w:rsid w:val="003D25E0"/>
    <w:rsid w:val="003D25EE"/>
    <w:rsid w:val="003D2618"/>
    <w:rsid w:val="003D2620"/>
    <w:rsid w:val="003D26E2"/>
    <w:rsid w:val="003D26F2"/>
    <w:rsid w:val="003D2708"/>
    <w:rsid w:val="003D272A"/>
    <w:rsid w:val="003D276B"/>
    <w:rsid w:val="003D2787"/>
    <w:rsid w:val="003D279A"/>
    <w:rsid w:val="003D2863"/>
    <w:rsid w:val="003D288E"/>
    <w:rsid w:val="003D28BA"/>
    <w:rsid w:val="003D2938"/>
    <w:rsid w:val="003D295D"/>
    <w:rsid w:val="003D2975"/>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34"/>
    <w:rsid w:val="003D2D60"/>
    <w:rsid w:val="003D2D93"/>
    <w:rsid w:val="003D2DC3"/>
    <w:rsid w:val="003D2E4A"/>
    <w:rsid w:val="003D2EFB"/>
    <w:rsid w:val="003D2F07"/>
    <w:rsid w:val="003D2F58"/>
    <w:rsid w:val="003D2F7F"/>
    <w:rsid w:val="003D2F90"/>
    <w:rsid w:val="003D304B"/>
    <w:rsid w:val="003D3056"/>
    <w:rsid w:val="003D30A8"/>
    <w:rsid w:val="003D313A"/>
    <w:rsid w:val="003D314B"/>
    <w:rsid w:val="003D3185"/>
    <w:rsid w:val="003D31AE"/>
    <w:rsid w:val="003D3222"/>
    <w:rsid w:val="003D322F"/>
    <w:rsid w:val="003D32EC"/>
    <w:rsid w:val="003D3308"/>
    <w:rsid w:val="003D3323"/>
    <w:rsid w:val="003D3324"/>
    <w:rsid w:val="003D33D1"/>
    <w:rsid w:val="003D33E4"/>
    <w:rsid w:val="003D3431"/>
    <w:rsid w:val="003D3436"/>
    <w:rsid w:val="003D3441"/>
    <w:rsid w:val="003D347E"/>
    <w:rsid w:val="003D34B3"/>
    <w:rsid w:val="003D3540"/>
    <w:rsid w:val="003D3553"/>
    <w:rsid w:val="003D35B6"/>
    <w:rsid w:val="003D35E8"/>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98"/>
    <w:rsid w:val="003D39CA"/>
    <w:rsid w:val="003D39FD"/>
    <w:rsid w:val="003D3A25"/>
    <w:rsid w:val="003D3A38"/>
    <w:rsid w:val="003D3B45"/>
    <w:rsid w:val="003D3B83"/>
    <w:rsid w:val="003D3B89"/>
    <w:rsid w:val="003D3B90"/>
    <w:rsid w:val="003D3BD2"/>
    <w:rsid w:val="003D3C59"/>
    <w:rsid w:val="003D3C8B"/>
    <w:rsid w:val="003D3CC8"/>
    <w:rsid w:val="003D3D03"/>
    <w:rsid w:val="003D3D38"/>
    <w:rsid w:val="003D3D68"/>
    <w:rsid w:val="003D3DEA"/>
    <w:rsid w:val="003D3E01"/>
    <w:rsid w:val="003D3E75"/>
    <w:rsid w:val="003D3E85"/>
    <w:rsid w:val="003D3E8C"/>
    <w:rsid w:val="003D3E9C"/>
    <w:rsid w:val="003D3EC3"/>
    <w:rsid w:val="003D3F10"/>
    <w:rsid w:val="003D3F23"/>
    <w:rsid w:val="003D3F5D"/>
    <w:rsid w:val="003D3F80"/>
    <w:rsid w:val="003D3FF3"/>
    <w:rsid w:val="003D3FF5"/>
    <w:rsid w:val="003D4002"/>
    <w:rsid w:val="003D4033"/>
    <w:rsid w:val="003D406B"/>
    <w:rsid w:val="003D40DB"/>
    <w:rsid w:val="003D4119"/>
    <w:rsid w:val="003D416F"/>
    <w:rsid w:val="003D41B1"/>
    <w:rsid w:val="003D4229"/>
    <w:rsid w:val="003D4232"/>
    <w:rsid w:val="003D4254"/>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AF"/>
    <w:rsid w:val="003D47CF"/>
    <w:rsid w:val="003D47F4"/>
    <w:rsid w:val="003D47FD"/>
    <w:rsid w:val="003D4834"/>
    <w:rsid w:val="003D484C"/>
    <w:rsid w:val="003D486A"/>
    <w:rsid w:val="003D48A2"/>
    <w:rsid w:val="003D48AA"/>
    <w:rsid w:val="003D48E9"/>
    <w:rsid w:val="003D4A71"/>
    <w:rsid w:val="003D4ABC"/>
    <w:rsid w:val="003D4ACA"/>
    <w:rsid w:val="003D4AE4"/>
    <w:rsid w:val="003D4AFC"/>
    <w:rsid w:val="003D4B44"/>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61C"/>
    <w:rsid w:val="003D5638"/>
    <w:rsid w:val="003D5699"/>
    <w:rsid w:val="003D56CE"/>
    <w:rsid w:val="003D5722"/>
    <w:rsid w:val="003D57CD"/>
    <w:rsid w:val="003D57E1"/>
    <w:rsid w:val="003D57F0"/>
    <w:rsid w:val="003D5823"/>
    <w:rsid w:val="003D5826"/>
    <w:rsid w:val="003D583A"/>
    <w:rsid w:val="003D58AA"/>
    <w:rsid w:val="003D58E1"/>
    <w:rsid w:val="003D5948"/>
    <w:rsid w:val="003D59C1"/>
    <w:rsid w:val="003D5A1E"/>
    <w:rsid w:val="003D5A26"/>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72"/>
    <w:rsid w:val="003D5E82"/>
    <w:rsid w:val="003D5F10"/>
    <w:rsid w:val="003D5F2C"/>
    <w:rsid w:val="003D5F33"/>
    <w:rsid w:val="003D5FB2"/>
    <w:rsid w:val="003D5FF9"/>
    <w:rsid w:val="003D5FFD"/>
    <w:rsid w:val="003D600D"/>
    <w:rsid w:val="003D6016"/>
    <w:rsid w:val="003D601F"/>
    <w:rsid w:val="003D6036"/>
    <w:rsid w:val="003D60DC"/>
    <w:rsid w:val="003D6106"/>
    <w:rsid w:val="003D6134"/>
    <w:rsid w:val="003D618C"/>
    <w:rsid w:val="003D61E5"/>
    <w:rsid w:val="003D622D"/>
    <w:rsid w:val="003D6256"/>
    <w:rsid w:val="003D6265"/>
    <w:rsid w:val="003D6287"/>
    <w:rsid w:val="003D62A0"/>
    <w:rsid w:val="003D633A"/>
    <w:rsid w:val="003D63A7"/>
    <w:rsid w:val="003D6434"/>
    <w:rsid w:val="003D643E"/>
    <w:rsid w:val="003D6454"/>
    <w:rsid w:val="003D6477"/>
    <w:rsid w:val="003D6592"/>
    <w:rsid w:val="003D66D5"/>
    <w:rsid w:val="003D671E"/>
    <w:rsid w:val="003D6779"/>
    <w:rsid w:val="003D679D"/>
    <w:rsid w:val="003D67A8"/>
    <w:rsid w:val="003D67D3"/>
    <w:rsid w:val="003D690F"/>
    <w:rsid w:val="003D6928"/>
    <w:rsid w:val="003D692C"/>
    <w:rsid w:val="003D6995"/>
    <w:rsid w:val="003D69B0"/>
    <w:rsid w:val="003D69E9"/>
    <w:rsid w:val="003D6AA0"/>
    <w:rsid w:val="003D6ADD"/>
    <w:rsid w:val="003D6B35"/>
    <w:rsid w:val="003D6B51"/>
    <w:rsid w:val="003D6BDA"/>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F71"/>
    <w:rsid w:val="003D6FC8"/>
    <w:rsid w:val="003D6FFB"/>
    <w:rsid w:val="003D7026"/>
    <w:rsid w:val="003D707A"/>
    <w:rsid w:val="003D7085"/>
    <w:rsid w:val="003D70B1"/>
    <w:rsid w:val="003D70BB"/>
    <w:rsid w:val="003D70F8"/>
    <w:rsid w:val="003D714B"/>
    <w:rsid w:val="003D71E5"/>
    <w:rsid w:val="003D727E"/>
    <w:rsid w:val="003D72C1"/>
    <w:rsid w:val="003D7402"/>
    <w:rsid w:val="003D7432"/>
    <w:rsid w:val="003D747F"/>
    <w:rsid w:val="003D74E7"/>
    <w:rsid w:val="003D7502"/>
    <w:rsid w:val="003D7511"/>
    <w:rsid w:val="003D755A"/>
    <w:rsid w:val="003D7669"/>
    <w:rsid w:val="003D767D"/>
    <w:rsid w:val="003D76F2"/>
    <w:rsid w:val="003D77B9"/>
    <w:rsid w:val="003D7858"/>
    <w:rsid w:val="003D78B6"/>
    <w:rsid w:val="003D78C0"/>
    <w:rsid w:val="003D7903"/>
    <w:rsid w:val="003D7924"/>
    <w:rsid w:val="003D794D"/>
    <w:rsid w:val="003D7989"/>
    <w:rsid w:val="003D7A59"/>
    <w:rsid w:val="003D7AEE"/>
    <w:rsid w:val="003D7B62"/>
    <w:rsid w:val="003D7B6F"/>
    <w:rsid w:val="003D7BA2"/>
    <w:rsid w:val="003D7BD7"/>
    <w:rsid w:val="003D7BF1"/>
    <w:rsid w:val="003D7BF3"/>
    <w:rsid w:val="003D7BF6"/>
    <w:rsid w:val="003D7C2A"/>
    <w:rsid w:val="003D7CB2"/>
    <w:rsid w:val="003D7CB7"/>
    <w:rsid w:val="003D7CED"/>
    <w:rsid w:val="003D7D8D"/>
    <w:rsid w:val="003D7DB2"/>
    <w:rsid w:val="003D7E1C"/>
    <w:rsid w:val="003D7E31"/>
    <w:rsid w:val="003D7E55"/>
    <w:rsid w:val="003D7F1B"/>
    <w:rsid w:val="003D7F77"/>
    <w:rsid w:val="003D7FA4"/>
    <w:rsid w:val="003D7FBD"/>
    <w:rsid w:val="003D7FEE"/>
    <w:rsid w:val="003E0032"/>
    <w:rsid w:val="003E0057"/>
    <w:rsid w:val="003E00B5"/>
    <w:rsid w:val="003E00C6"/>
    <w:rsid w:val="003E0114"/>
    <w:rsid w:val="003E0146"/>
    <w:rsid w:val="003E0233"/>
    <w:rsid w:val="003E02A3"/>
    <w:rsid w:val="003E030C"/>
    <w:rsid w:val="003E033C"/>
    <w:rsid w:val="003E0342"/>
    <w:rsid w:val="003E03F9"/>
    <w:rsid w:val="003E03FD"/>
    <w:rsid w:val="003E0417"/>
    <w:rsid w:val="003E0419"/>
    <w:rsid w:val="003E0520"/>
    <w:rsid w:val="003E0528"/>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B1"/>
    <w:rsid w:val="003E09CE"/>
    <w:rsid w:val="003E09F1"/>
    <w:rsid w:val="003E0A3C"/>
    <w:rsid w:val="003E0A5A"/>
    <w:rsid w:val="003E0B4F"/>
    <w:rsid w:val="003E0B6A"/>
    <w:rsid w:val="003E0C31"/>
    <w:rsid w:val="003E0C32"/>
    <w:rsid w:val="003E0C6B"/>
    <w:rsid w:val="003E0CBD"/>
    <w:rsid w:val="003E0CF0"/>
    <w:rsid w:val="003E0D25"/>
    <w:rsid w:val="003E0D29"/>
    <w:rsid w:val="003E0D33"/>
    <w:rsid w:val="003E0D6D"/>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1EE"/>
    <w:rsid w:val="003E1262"/>
    <w:rsid w:val="003E126D"/>
    <w:rsid w:val="003E1273"/>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91A"/>
    <w:rsid w:val="003E1945"/>
    <w:rsid w:val="003E1967"/>
    <w:rsid w:val="003E19A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DDB"/>
    <w:rsid w:val="003E1E01"/>
    <w:rsid w:val="003E1E24"/>
    <w:rsid w:val="003E1E35"/>
    <w:rsid w:val="003E1F2C"/>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C4"/>
    <w:rsid w:val="003E25FC"/>
    <w:rsid w:val="003E2612"/>
    <w:rsid w:val="003E2627"/>
    <w:rsid w:val="003E2650"/>
    <w:rsid w:val="003E2661"/>
    <w:rsid w:val="003E271D"/>
    <w:rsid w:val="003E2756"/>
    <w:rsid w:val="003E276F"/>
    <w:rsid w:val="003E27A1"/>
    <w:rsid w:val="003E27B1"/>
    <w:rsid w:val="003E27C7"/>
    <w:rsid w:val="003E27CA"/>
    <w:rsid w:val="003E27D0"/>
    <w:rsid w:val="003E27DE"/>
    <w:rsid w:val="003E2816"/>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B"/>
    <w:rsid w:val="003E3191"/>
    <w:rsid w:val="003E3196"/>
    <w:rsid w:val="003E320C"/>
    <w:rsid w:val="003E3213"/>
    <w:rsid w:val="003E3253"/>
    <w:rsid w:val="003E327A"/>
    <w:rsid w:val="003E32CA"/>
    <w:rsid w:val="003E32CE"/>
    <w:rsid w:val="003E32DF"/>
    <w:rsid w:val="003E3300"/>
    <w:rsid w:val="003E3348"/>
    <w:rsid w:val="003E33C2"/>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7B"/>
    <w:rsid w:val="003E3998"/>
    <w:rsid w:val="003E3A0E"/>
    <w:rsid w:val="003E3A3A"/>
    <w:rsid w:val="003E3A76"/>
    <w:rsid w:val="003E3AA0"/>
    <w:rsid w:val="003E3AA2"/>
    <w:rsid w:val="003E3AB7"/>
    <w:rsid w:val="003E3AC0"/>
    <w:rsid w:val="003E3ADC"/>
    <w:rsid w:val="003E3B40"/>
    <w:rsid w:val="003E3B6E"/>
    <w:rsid w:val="003E3C15"/>
    <w:rsid w:val="003E3C68"/>
    <w:rsid w:val="003E3D7F"/>
    <w:rsid w:val="003E3D97"/>
    <w:rsid w:val="003E3DF5"/>
    <w:rsid w:val="003E3E98"/>
    <w:rsid w:val="003E3EF6"/>
    <w:rsid w:val="003E3F10"/>
    <w:rsid w:val="003E3F69"/>
    <w:rsid w:val="003E407D"/>
    <w:rsid w:val="003E408E"/>
    <w:rsid w:val="003E40CF"/>
    <w:rsid w:val="003E40FB"/>
    <w:rsid w:val="003E417D"/>
    <w:rsid w:val="003E41D5"/>
    <w:rsid w:val="003E41F4"/>
    <w:rsid w:val="003E420E"/>
    <w:rsid w:val="003E4223"/>
    <w:rsid w:val="003E4296"/>
    <w:rsid w:val="003E42A3"/>
    <w:rsid w:val="003E42BF"/>
    <w:rsid w:val="003E42E7"/>
    <w:rsid w:val="003E4365"/>
    <w:rsid w:val="003E4398"/>
    <w:rsid w:val="003E43D7"/>
    <w:rsid w:val="003E4404"/>
    <w:rsid w:val="003E4472"/>
    <w:rsid w:val="003E44DC"/>
    <w:rsid w:val="003E44E1"/>
    <w:rsid w:val="003E4536"/>
    <w:rsid w:val="003E4545"/>
    <w:rsid w:val="003E45D1"/>
    <w:rsid w:val="003E4631"/>
    <w:rsid w:val="003E4648"/>
    <w:rsid w:val="003E4664"/>
    <w:rsid w:val="003E46A0"/>
    <w:rsid w:val="003E46B7"/>
    <w:rsid w:val="003E46BA"/>
    <w:rsid w:val="003E46BF"/>
    <w:rsid w:val="003E46C9"/>
    <w:rsid w:val="003E46E3"/>
    <w:rsid w:val="003E46E9"/>
    <w:rsid w:val="003E474F"/>
    <w:rsid w:val="003E47AD"/>
    <w:rsid w:val="003E4899"/>
    <w:rsid w:val="003E4929"/>
    <w:rsid w:val="003E49A1"/>
    <w:rsid w:val="003E49A8"/>
    <w:rsid w:val="003E49ED"/>
    <w:rsid w:val="003E49F5"/>
    <w:rsid w:val="003E4A8F"/>
    <w:rsid w:val="003E4AD6"/>
    <w:rsid w:val="003E4B14"/>
    <w:rsid w:val="003E4B65"/>
    <w:rsid w:val="003E4BBD"/>
    <w:rsid w:val="003E4BC5"/>
    <w:rsid w:val="003E4C16"/>
    <w:rsid w:val="003E4C69"/>
    <w:rsid w:val="003E4C71"/>
    <w:rsid w:val="003E4C74"/>
    <w:rsid w:val="003E4C92"/>
    <w:rsid w:val="003E4CB9"/>
    <w:rsid w:val="003E4CC5"/>
    <w:rsid w:val="003E4CED"/>
    <w:rsid w:val="003E4CF3"/>
    <w:rsid w:val="003E4D00"/>
    <w:rsid w:val="003E4D04"/>
    <w:rsid w:val="003E4D07"/>
    <w:rsid w:val="003E4D1A"/>
    <w:rsid w:val="003E4D65"/>
    <w:rsid w:val="003E4D9C"/>
    <w:rsid w:val="003E4DA3"/>
    <w:rsid w:val="003E4DCE"/>
    <w:rsid w:val="003E4E1B"/>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32"/>
    <w:rsid w:val="003E5256"/>
    <w:rsid w:val="003E5269"/>
    <w:rsid w:val="003E528A"/>
    <w:rsid w:val="003E52A9"/>
    <w:rsid w:val="003E52BF"/>
    <w:rsid w:val="003E52D2"/>
    <w:rsid w:val="003E52D9"/>
    <w:rsid w:val="003E52ED"/>
    <w:rsid w:val="003E5366"/>
    <w:rsid w:val="003E536A"/>
    <w:rsid w:val="003E5381"/>
    <w:rsid w:val="003E538B"/>
    <w:rsid w:val="003E53A5"/>
    <w:rsid w:val="003E53BE"/>
    <w:rsid w:val="003E5403"/>
    <w:rsid w:val="003E5409"/>
    <w:rsid w:val="003E540F"/>
    <w:rsid w:val="003E5413"/>
    <w:rsid w:val="003E54AE"/>
    <w:rsid w:val="003E54DF"/>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CD"/>
    <w:rsid w:val="003E5CF6"/>
    <w:rsid w:val="003E5D1A"/>
    <w:rsid w:val="003E5DC7"/>
    <w:rsid w:val="003E5DDC"/>
    <w:rsid w:val="003E5E01"/>
    <w:rsid w:val="003E5E28"/>
    <w:rsid w:val="003E5EA4"/>
    <w:rsid w:val="003E5ECA"/>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D7"/>
    <w:rsid w:val="003E6913"/>
    <w:rsid w:val="003E6914"/>
    <w:rsid w:val="003E6974"/>
    <w:rsid w:val="003E69AB"/>
    <w:rsid w:val="003E6A37"/>
    <w:rsid w:val="003E6B02"/>
    <w:rsid w:val="003E6B2E"/>
    <w:rsid w:val="003E6B8C"/>
    <w:rsid w:val="003E6BAD"/>
    <w:rsid w:val="003E6BE4"/>
    <w:rsid w:val="003E6BEA"/>
    <w:rsid w:val="003E6C3B"/>
    <w:rsid w:val="003E6C83"/>
    <w:rsid w:val="003E6C8F"/>
    <w:rsid w:val="003E6CAA"/>
    <w:rsid w:val="003E6CBF"/>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226"/>
    <w:rsid w:val="003E7260"/>
    <w:rsid w:val="003E726A"/>
    <w:rsid w:val="003E735C"/>
    <w:rsid w:val="003E737E"/>
    <w:rsid w:val="003E73B0"/>
    <w:rsid w:val="003E73B7"/>
    <w:rsid w:val="003E73BD"/>
    <w:rsid w:val="003E7414"/>
    <w:rsid w:val="003E7452"/>
    <w:rsid w:val="003E7461"/>
    <w:rsid w:val="003E7483"/>
    <w:rsid w:val="003E74AA"/>
    <w:rsid w:val="003E752D"/>
    <w:rsid w:val="003E7583"/>
    <w:rsid w:val="003E75BE"/>
    <w:rsid w:val="003E75FF"/>
    <w:rsid w:val="003E7634"/>
    <w:rsid w:val="003E7658"/>
    <w:rsid w:val="003E76A8"/>
    <w:rsid w:val="003E76D0"/>
    <w:rsid w:val="003E76F6"/>
    <w:rsid w:val="003E7727"/>
    <w:rsid w:val="003E778F"/>
    <w:rsid w:val="003E7838"/>
    <w:rsid w:val="003E784B"/>
    <w:rsid w:val="003E78BD"/>
    <w:rsid w:val="003E7954"/>
    <w:rsid w:val="003E7A0A"/>
    <w:rsid w:val="003E7A59"/>
    <w:rsid w:val="003E7A8F"/>
    <w:rsid w:val="003E7ACD"/>
    <w:rsid w:val="003E7AD5"/>
    <w:rsid w:val="003E7ADF"/>
    <w:rsid w:val="003E7AE7"/>
    <w:rsid w:val="003E7B00"/>
    <w:rsid w:val="003E7B36"/>
    <w:rsid w:val="003E7B4D"/>
    <w:rsid w:val="003E7B68"/>
    <w:rsid w:val="003E7B99"/>
    <w:rsid w:val="003E7BDD"/>
    <w:rsid w:val="003E7BF9"/>
    <w:rsid w:val="003E7C15"/>
    <w:rsid w:val="003E7C37"/>
    <w:rsid w:val="003E7C40"/>
    <w:rsid w:val="003E7C73"/>
    <w:rsid w:val="003E7CAB"/>
    <w:rsid w:val="003E7D21"/>
    <w:rsid w:val="003E7D42"/>
    <w:rsid w:val="003E7D43"/>
    <w:rsid w:val="003E7D81"/>
    <w:rsid w:val="003E7DFE"/>
    <w:rsid w:val="003E7E24"/>
    <w:rsid w:val="003E7E4D"/>
    <w:rsid w:val="003E7EA0"/>
    <w:rsid w:val="003E7EA3"/>
    <w:rsid w:val="003E7EAA"/>
    <w:rsid w:val="003E7F16"/>
    <w:rsid w:val="003E7F1B"/>
    <w:rsid w:val="003E7F1C"/>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C"/>
    <w:rsid w:val="003F03EE"/>
    <w:rsid w:val="003F042A"/>
    <w:rsid w:val="003F0462"/>
    <w:rsid w:val="003F0469"/>
    <w:rsid w:val="003F04CA"/>
    <w:rsid w:val="003F04CD"/>
    <w:rsid w:val="003F04E9"/>
    <w:rsid w:val="003F04F6"/>
    <w:rsid w:val="003F051C"/>
    <w:rsid w:val="003F058B"/>
    <w:rsid w:val="003F05D9"/>
    <w:rsid w:val="003F05F8"/>
    <w:rsid w:val="003F0630"/>
    <w:rsid w:val="003F0650"/>
    <w:rsid w:val="003F0661"/>
    <w:rsid w:val="003F066C"/>
    <w:rsid w:val="003F0677"/>
    <w:rsid w:val="003F068E"/>
    <w:rsid w:val="003F06AD"/>
    <w:rsid w:val="003F06BE"/>
    <w:rsid w:val="003F06F1"/>
    <w:rsid w:val="003F0738"/>
    <w:rsid w:val="003F0761"/>
    <w:rsid w:val="003F0797"/>
    <w:rsid w:val="003F07F3"/>
    <w:rsid w:val="003F0825"/>
    <w:rsid w:val="003F08CA"/>
    <w:rsid w:val="003F08CD"/>
    <w:rsid w:val="003F0904"/>
    <w:rsid w:val="003F098A"/>
    <w:rsid w:val="003F09AF"/>
    <w:rsid w:val="003F0A44"/>
    <w:rsid w:val="003F0A78"/>
    <w:rsid w:val="003F0B22"/>
    <w:rsid w:val="003F0B7E"/>
    <w:rsid w:val="003F0B9E"/>
    <w:rsid w:val="003F0C08"/>
    <w:rsid w:val="003F0C1F"/>
    <w:rsid w:val="003F0D64"/>
    <w:rsid w:val="003F0DB0"/>
    <w:rsid w:val="003F0DD7"/>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3"/>
    <w:rsid w:val="003F1402"/>
    <w:rsid w:val="003F141F"/>
    <w:rsid w:val="003F1498"/>
    <w:rsid w:val="003F14E3"/>
    <w:rsid w:val="003F1530"/>
    <w:rsid w:val="003F1583"/>
    <w:rsid w:val="003F15B6"/>
    <w:rsid w:val="003F15C5"/>
    <w:rsid w:val="003F15EA"/>
    <w:rsid w:val="003F1616"/>
    <w:rsid w:val="003F1660"/>
    <w:rsid w:val="003F16A5"/>
    <w:rsid w:val="003F16DB"/>
    <w:rsid w:val="003F171D"/>
    <w:rsid w:val="003F173D"/>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09"/>
    <w:rsid w:val="003F1F46"/>
    <w:rsid w:val="003F1FAC"/>
    <w:rsid w:val="003F1FE3"/>
    <w:rsid w:val="003F1FE5"/>
    <w:rsid w:val="003F2017"/>
    <w:rsid w:val="003F2039"/>
    <w:rsid w:val="003F20A9"/>
    <w:rsid w:val="003F20F3"/>
    <w:rsid w:val="003F20FD"/>
    <w:rsid w:val="003F2120"/>
    <w:rsid w:val="003F2131"/>
    <w:rsid w:val="003F216B"/>
    <w:rsid w:val="003F21E2"/>
    <w:rsid w:val="003F21E5"/>
    <w:rsid w:val="003F2250"/>
    <w:rsid w:val="003F2258"/>
    <w:rsid w:val="003F225F"/>
    <w:rsid w:val="003F226D"/>
    <w:rsid w:val="003F2296"/>
    <w:rsid w:val="003F22A3"/>
    <w:rsid w:val="003F22C7"/>
    <w:rsid w:val="003F2317"/>
    <w:rsid w:val="003F2334"/>
    <w:rsid w:val="003F2357"/>
    <w:rsid w:val="003F23F0"/>
    <w:rsid w:val="003F2424"/>
    <w:rsid w:val="003F2465"/>
    <w:rsid w:val="003F24C2"/>
    <w:rsid w:val="003F252A"/>
    <w:rsid w:val="003F254F"/>
    <w:rsid w:val="003F259E"/>
    <w:rsid w:val="003F25A3"/>
    <w:rsid w:val="003F25DB"/>
    <w:rsid w:val="003F2615"/>
    <w:rsid w:val="003F2650"/>
    <w:rsid w:val="003F26D5"/>
    <w:rsid w:val="003F276A"/>
    <w:rsid w:val="003F27E7"/>
    <w:rsid w:val="003F2829"/>
    <w:rsid w:val="003F2866"/>
    <w:rsid w:val="003F2887"/>
    <w:rsid w:val="003F288E"/>
    <w:rsid w:val="003F28BF"/>
    <w:rsid w:val="003F28E5"/>
    <w:rsid w:val="003F2932"/>
    <w:rsid w:val="003F2958"/>
    <w:rsid w:val="003F295D"/>
    <w:rsid w:val="003F2961"/>
    <w:rsid w:val="003F2983"/>
    <w:rsid w:val="003F29A2"/>
    <w:rsid w:val="003F29A5"/>
    <w:rsid w:val="003F29D2"/>
    <w:rsid w:val="003F2A02"/>
    <w:rsid w:val="003F2A40"/>
    <w:rsid w:val="003F2A62"/>
    <w:rsid w:val="003F2ADF"/>
    <w:rsid w:val="003F2B44"/>
    <w:rsid w:val="003F2B48"/>
    <w:rsid w:val="003F2B6B"/>
    <w:rsid w:val="003F2BC9"/>
    <w:rsid w:val="003F2BF4"/>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F82"/>
    <w:rsid w:val="003F2FB9"/>
    <w:rsid w:val="003F2FC3"/>
    <w:rsid w:val="003F2FD7"/>
    <w:rsid w:val="003F2FDF"/>
    <w:rsid w:val="003F2FF6"/>
    <w:rsid w:val="003F3022"/>
    <w:rsid w:val="003F306E"/>
    <w:rsid w:val="003F30C7"/>
    <w:rsid w:val="003F30FF"/>
    <w:rsid w:val="003F31A2"/>
    <w:rsid w:val="003F31D3"/>
    <w:rsid w:val="003F326E"/>
    <w:rsid w:val="003F3283"/>
    <w:rsid w:val="003F337D"/>
    <w:rsid w:val="003F33C1"/>
    <w:rsid w:val="003F3407"/>
    <w:rsid w:val="003F347F"/>
    <w:rsid w:val="003F3486"/>
    <w:rsid w:val="003F34C8"/>
    <w:rsid w:val="003F34E8"/>
    <w:rsid w:val="003F3517"/>
    <w:rsid w:val="003F3521"/>
    <w:rsid w:val="003F357C"/>
    <w:rsid w:val="003F35AA"/>
    <w:rsid w:val="003F35CB"/>
    <w:rsid w:val="003F3740"/>
    <w:rsid w:val="003F3759"/>
    <w:rsid w:val="003F375F"/>
    <w:rsid w:val="003F3791"/>
    <w:rsid w:val="003F37BC"/>
    <w:rsid w:val="003F37E9"/>
    <w:rsid w:val="003F380B"/>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06"/>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13"/>
    <w:rsid w:val="003F4751"/>
    <w:rsid w:val="003F475E"/>
    <w:rsid w:val="003F477F"/>
    <w:rsid w:val="003F4785"/>
    <w:rsid w:val="003F4789"/>
    <w:rsid w:val="003F483C"/>
    <w:rsid w:val="003F483E"/>
    <w:rsid w:val="003F484A"/>
    <w:rsid w:val="003F489E"/>
    <w:rsid w:val="003F48C0"/>
    <w:rsid w:val="003F48D6"/>
    <w:rsid w:val="003F4921"/>
    <w:rsid w:val="003F4928"/>
    <w:rsid w:val="003F492D"/>
    <w:rsid w:val="003F4943"/>
    <w:rsid w:val="003F498D"/>
    <w:rsid w:val="003F4993"/>
    <w:rsid w:val="003F49C1"/>
    <w:rsid w:val="003F4ACC"/>
    <w:rsid w:val="003F4B11"/>
    <w:rsid w:val="003F4B26"/>
    <w:rsid w:val="003F4BE3"/>
    <w:rsid w:val="003F4BFE"/>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32"/>
    <w:rsid w:val="003F4FA8"/>
    <w:rsid w:val="003F5102"/>
    <w:rsid w:val="003F5109"/>
    <w:rsid w:val="003F5152"/>
    <w:rsid w:val="003F51B6"/>
    <w:rsid w:val="003F528B"/>
    <w:rsid w:val="003F52D6"/>
    <w:rsid w:val="003F5362"/>
    <w:rsid w:val="003F538B"/>
    <w:rsid w:val="003F542F"/>
    <w:rsid w:val="003F5430"/>
    <w:rsid w:val="003F5454"/>
    <w:rsid w:val="003F5467"/>
    <w:rsid w:val="003F5496"/>
    <w:rsid w:val="003F54E3"/>
    <w:rsid w:val="003F551B"/>
    <w:rsid w:val="003F555E"/>
    <w:rsid w:val="003F557C"/>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A0"/>
    <w:rsid w:val="003F58B6"/>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22"/>
    <w:rsid w:val="003F5D88"/>
    <w:rsid w:val="003F5D8A"/>
    <w:rsid w:val="003F5DEB"/>
    <w:rsid w:val="003F5DF3"/>
    <w:rsid w:val="003F5E03"/>
    <w:rsid w:val="003F5E0B"/>
    <w:rsid w:val="003F5E35"/>
    <w:rsid w:val="003F5E3B"/>
    <w:rsid w:val="003F5EE7"/>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CAB"/>
    <w:rsid w:val="003F6D33"/>
    <w:rsid w:val="003F6D35"/>
    <w:rsid w:val="003F6E0E"/>
    <w:rsid w:val="003F6E21"/>
    <w:rsid w:val="003F6E4B"/>
    <w:rsid w:val="003F6E6E"/>
    <w:rsid w:val="003F6E89"/>
    <w:rsid w:val="003F6EB5"/>
    <w:rsid w:val="003F6EC2"/>
    <w:rsid w:val="003F6F19"/>
    <w:rsid w:val="003F6F2C"/>
    <w:rsid w:val="003F6F2E"/>
    <w:rsid w:val="003F6F30"/>
    <w:rsid w:val="003F6F4B"/>
    <w:rsid w:val="003F6F52"/>
    <w:rsid w:val="003F6F99"/>
    <w:rsid w:val="003F6FB2"/>
    <w:rsid w:val="003F6FD3"/>
    <w:rsid w:val="003F70B4"/>
    <w:rsid w:val="003F7144"/>
    <w:rsid w:val="003F7161"/>
    <w:rsid w:val="003F71F3"/>
    <w:rsid w:val="003F7204"/>
    <w:rsid w:val="003F7234"/>
    <w:rsid w:val="003F7245"/>
    <w:rsid w:val="003F726E"/>
    <w:rsid w:val="003F72AA"/>
    <w:rsid w:val="003F72AE"/>
    <w:rsid w:val="003F7328"/>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E"/>
    <w:rsid w:val="003F7A48"/>
    <w:rsid w:val="003F7A8C"/>
    <w:rsid w:val="003F7AA4"/>
    <w:rsid w:val="003F7AE8"/>
    <w:rsid w:val="003F7B90"/>
    <w:rsid w:val="003F7BA3"/>
    <w:rsid w:val="003F7BB7"/>
    <w:rsid w:val="003F7C13"/>
    <w:rsid w:val="003F7C1A"/>
    <w:rsid w:val="003F7C42"/>
    <w:rsid w:val="003F7CA5"/>
    <w:rsid w:val="003F7CC6"/>
    <w:rsid w:val="003F7CD3"/>
    <w:rsid w:val="003F7E3A"/>
    <w:rsid w:val="003F7E5E"/>
    <w:rsid w:val="003F7E7F"/>
    <w:rsid w:val="003F7E99"/>
    <w:rsid w:val="003F7EA1"/>
    <w:rsid w:val="003F7ED7"/>
    <w:rsid w:val="003F7EDF"/>
    <w:rsid w:val="003F7EED"/>
    <w:rsid w:val="003F7F1E"/>
    <w:rsid w:val="003F7F25"/>
    <w:rsid w:val="003F7FBA"/>
    <w:rsid w:val="003F7FD7"/>
    <w:rsid w:val="00400030"/>
    <w:rsid w:val="00400048"/>
    <w:rsid w:val="00400071"/>
    <w:rsid w:val="00400077"/>
    <w:rsid w:val="0040007D"/>
    <w:rsid w:val="00400089"/>
    <w:rsid w:val="0040009E"/>
    <w:rsid w:val="004000C3"/>
    <w:rsid w:val="004000FA"/>
    <w:rsid w:val="00400139"/>
    <w:rsid w:val="0040014D"/>
    <w:rsid w:val="0040015F"/>
    <w:rsid w:val="00400170"/>
    <w:rsid w:val="004001A7"/>
    <w:rsid w:val="00400225"/>
    <w:rsid w:val="00400239"/>
    <w:rsid w:val="00400264"/>
    <w:rsid w:val="00400267"/>
    <w:rsid w:val="00400284"/>
    <w:rsid w:val="00400293"/>
    <w:rsid w:val="004002A1"/>
    <w:rsid w:val="004002A2"/>
    <w:rsid w:val="004002B9"/>
    <w:rsid w:val="004002E8"/>
    <w:rsid w:val="00400302"/>
    <w:rsid w:val="0040030E"/>
    <w:rsid w:val="00400347"/>
    <w:rsid w:val="00400381"/>
    <w:rsid w:val="004003D9"/>
    <w:rsid w:val="0040042C"/>
    <w:rsid w:val="004004C6"/>
    <w:rsid w:val="004004D2"/>
    <w:rsid w:val="004004EF"/>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EE9"/>
    <w:rsid w:val="00400F12"/>
    <w:rsid w:val="00400F4A"/>
    <w:rsid w:val="00400F68"/>
    <w:rsid w:val="00400F88"/>
    <w:rsid w:val="00400FA9"/>
    <w:rsid w:val="00400FC6"/>
    <w:rsid w:val="00400FDA"/>
    <w:rsid w:val="00401043"/>
    <w:rsid w:val="0040107C"/>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85"/>
    <w:rsid w:val="004015C0"/>
    <w:rsid w:val="004015D1"/>
    <w:rsid w:val="004015EF"/>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8E"/>
    <w:rsid w:val="00401AAB"/>
    <w:rsid w:val="00401ABC"/>
    <w:rsid w:val="00401B56"/>
    <w:rsid w:val="00401B92"/>
    <w:rsid w:val="00401C5F"/>
    <w:rsid w:val="00401C8C"/>
    <w:rsid w:val="00401CF3"/>
    <w:rsid w:val="00401D0B"/>
    <w:rsid w:val="00401D9E"/>
    <w:rsid w:val="00401DB9"/>
    <w:rsid w:val="00401DEB"/>
    <w:rsid w:val="00401DF8"/>
    <w:rsid w:val="00401E45"/>
    <w:rsid w:val="00401E65"/>
    <w:rsid w:val="00401E99"/>
    <w:rsid w:val="00401EC2"/>
    <w:rsid w:val="00401EC6"/>
    <w:rsid w:val="00401F65"/>
    <w:rsid w:val="00401F6E"/>
    <w:rsid w:val="0040200C"/>
    <w:rsid w:val="0040202A"/>
    <w:rsid w:val="004020BA"/>
    <w:rsid w:val="004020FC"/>
    <w:rsid w:val="00402143"/>
    <w:rsid w:val="0040216A"/>
    <w:rsid w:val="0040217F"/>
    <w:rsid w:val="004021C2"/>
    <w:rsid w:val="004021F5"/>
    <w:rsid w:val="00402219"/>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F7"/>
    <w:rsid w:val="00402F0C"/>
    <w:rsid w:val="00402F31"/>
    <w:rsid w:val="00402F4C"/>
    <w:rsid w:val="00402F76"/>
    <w:rsid w:val="00402F8A"/>
    <w:rsid w:val="00402F9B"/>
    <w:rsid w:val="00402FAD"/>
    <w:rsid w:val="00402FE6"/>
    <w:rsid w:val="004030AE"/>
    <w:rsid w:val="004030E7"/>
    <w:rsid w:val="00403128"/>
    <w:rsid w:val="00403135"/>
    <w:rsid w:val="00403167"/>
    <w:rsid w:val="00403184"/>
    <w:rsid w:val="00403185"/>
    <w:rsid w:val="004031B5"/>
    <w:rsid w:val="0040320B"/>
    <w:rsid w:val="0040325B"/>
    <w:rsid w:val="00403302"/>
    <w:rsid w:val="0040335D"/>
    <w:rsid w:val="00403360"/>
    <w:rsid w:val="0040338B"/>
    <w:rsid w:val="0040343B"/>
    <w:rsid w:val="004034B2"/>
    <w:rsid w:val="004034C7"/>
    <w:rsid w:val="00403545"/>
    <w:rsid w:val="0040355C"/>
    <w:rsid w:val="00403580"/>
    <w:rsid w:val="00403620"/>
    <w:rsid w:val="00403641"/>
    <w:rsid w:val="0040365B"/>
    <w:rsid w:val="00403681"/>
    <w:rsid w:val="004037D9"/>
    <w:rsid w:val="004037F7"/>
    <w:rsid w:val="00403871"/>
    <w:rsid w:val="004038BC"/>
    <w:rsid w:val="0040391D"/>
    <w:rsid w:val="0040398D"/>
    <w:rsid w:val="0040399A"/>
    <w:rsid w:val="004039E6"/>
    <w:rsid w:val="00403A2B"/>
    <w:rsid w:val="00403A76"/>
    <w:rsid w:val="00403AC2"/>
    <w:rsid w:val="00403B97"/>
    <w:rsid w:val="00403BCE"/>
    <w:rsid w:val="00403C40"/>
    <w:rsid w:val="00403C5B"/>
    <w:rsid w:val="00403CA8"/>
    <w:rsid w:val="00403CC4"/>
    <w:rsid w:val="00403CC7"/>
    <w:rsid w:val="00403D0E"/>
    <w:rsid w:val="00403D74"/>
    <w:rsid w:val="00403DBD"/>
    <w:rsid w:val="00403F49"/>
    <w:rsid w:val="00403F72"/>
    <w:rsid w:val="00403FCD"/>
    <w:rsid w:val="00403FDA"/>
    <w:rsid w:val="0040400E"/>
    <w:rsid w:val="00404015"/>
    <w:rsid w:val="0040405B"/>
    <w:rsid w:val="0040408C"/>
    <w:rsid w:val="004040C2"/>
    <w:rsid w:val="004040CC"/>
    <w:rsid w:val="00404139"/>
    <w:rsid w:val="0040418B"/>
    <w:rsid w:val="004041DF"/>
    <w:rsid w:val="00404207"/>
    <w:rsid w:val="00404218"/>
    <w:rsid w:val="0040428D"/>
    <w:rsid w:val="004042D1"/>
    <w:rsid w:val="00404350"/>
    <w:rsid w:val="0040437B"/>
    <w:rsid w:val="00404387"/>
    <w:rsid w:val="004043A8"/>
    <w:rsid w:val="004043C5"/>
    <w:rsid w:val="004043DE"/>
    <w:rsid w:val="004043DF"/>
    <w:rsid w:val="004043F1"/>
    <w:rsid w:val="0040444F"/>
    <w:rsid w:val="0040446D"/>
    <w:rsid w:val="00404488"/>
    <w:rsid w:val="004044A5"/>
    <w:rsid w:val="004044B6"/>
    <w:rsid w:val="004044C1"/>
    <w:rsid w:val="004044EF"/>
    <w:rsid w:val="004044F0"/>
    <w:rsid w:val="00404544"/>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BC8"/>
    <w:rsid w:val="00404C58"/>
    <w:rsid w:val="00404C7A"/>
    <w:rsid w:val="00404CB4"/>
    <w:rsid w:val="00404CDE"/>
    <w:rsid w:val="00404D0A"/>
    <w:rsid w:val="00404D6A"/>
    <w:rsid w:val="00404D72"/>
    <w:rsid w:val="00404D77"/>
    <w:rsid w:val="00404E1B"/>
    <w:rsid w:val="00404E35"/>
    <w:rsid w:val="00404E68"/>
    <w:rsid w:val="00404E6E"/>
    <w:rsid w:val="00404E9C"/>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202"/>
    <w:rsid w:val="0040520F"/>
    <w:rsid w:val="0040521E"/>
    <w:rsid w:val="004052DC"/>
    <w:rsid w:val="00405321"/>
    <w:rsid w:val="00405358"/>
    <w:rsid w:val="00405362"/>
    <w:rsid w:val="00405397"/>
    <w:rsid w:val="004053D6"/>
    <w:rsid w:val="004053D8"/>
    <w:rsid w:val="00405490"/>
    <w:rsid w:val="004054AD"/>
    <w:rsid w:val="0040555C"/>
    <w:rsid w:val="0040556C"/>
    <w:rsid w:val="004055DC"/>
    <w:rsid w:val="00405620"/>
    <w:rsid w:val="00405632"/>
    <w:rsid w:val="00405645"/>
    <w:rsid w:val="00405658"/>
    <w:rsid w:val="004056D2"/>
    <w:rsid w:val="004056EA"/>
    <w:rsid w:val="004056EF"/>
    <w:rsid w:val="00405750"/>
    <w:rsid w:val="004057C7"/>
    <w:rsid w:val="004057C9"/>
    <w:rsid w:val="0040587B"/>
    <w:rsid w:val="00405899"/>
    <w:rsid w:val="004058DF"/>
    <w:rsid w:val="004059A0"/>
    <w:rsid w:val="00405A65"/>
    <w:rsid w:val="00405A7D"/>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F7"/>
    <w:rsid w:val="00405F16"/>
    <w:rsid w:val="00405F45"/>
    <w:rsid w:val="00405FD5"/>
    <w:rsid w:val="00405FF5"/>
    <w:rsid w:val="00406026"/>
    <w:rsid w:val="00406050"/>
    <w:rsid w:val="00406078"/>
    <w:rsid w:val="00406085"/>
    <w:rsid w:val="0040614A"/>
    <w:rsid w:val="004061A4"/>
    <w:rsid w:val="004061B2"/>
    <w:rsid w:val="0040620D"/>
    <w:rsid w:val="00406221"/>
    <w:rsid w:val="004062EA"/>
    <w:rsid w:val="004062F9"/>
    <w:rsid w:val="004063CA"/>
    <w:rsid w:val="0040646C"/>
    <w:rsid w:val="00406498"/>
    <w:rsid w:val="004064A6"/>
    <w:rsid w:val="004064BD"/>
    <w:rsid w:val="004064E8"/>
    <w:rsid w:val="004064F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62"/>
    <w:rsid w:val="00406DB9"/>
    <w:rsid w:val="00406DE3"/>
    <w:rsid w:val="00406E10"/>
    <w:rsid w:val="00406E43"/>
    <w:rsid w:val="00406E56"/>
    <w:rsid w:val="00406E7D"/>
    <w:rsid w:val="00406E80"/>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77"/>
    <w:rsid w:val="0040732D"/>
    <w:rsid w:val="00407333"/>
    <w:rsid w:val="00407359"/>
    <w:rsid w:val="00407383"/>
    <w:rsid w:val="00407428"/>
    <w:rsid w:val="0040748B"/>
    <w:rsid w:val="004074B0"/>
    <w:rsid w:val="004074E2"/>
    <w:rsid w:val="0040752D"/>
    <w:rsid w:val="00407543"/>
    <w:rsid w:val="00407545"/>
    <w:rsid w:val="004075BB"/>
    <w:rsid w:val="00407624"/>
    <w:rsid w:val="0040763A"/>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AFB"/>
    <w:rsid w:val="00407B12"/>
    <w:rsid w:val="00407B3E"/>
    <w:rsid w:val="00407BFC"/>
    <w:rsid w:val="00407C0E"/>
    <w:rsid w:val="00407C23"/>
    <w:rsid w:val="00407C5A"/>
    <w:rsid w:val="00407D3D"/>
    <w:rsid w:val="00407DC0"/>
    <w:rsid w:val="00407E06"/>
    <w:rsid w:val="00407E51"/>
    <w:rsid w:val="00407E71"/>
    <w:rsid w:val="00407E95"/>
    <w:rsid w:val="00407EBE"/>
    <w:rsid w:val="00407F01"/>
    <w:rsid w:val="00407F14"/>
    <w:rsid w:val="00407F96"/>
    <w:rsid w:val="00407FCC"/>
    <w:rsid w:val="00407FE1"/>
    <w:rsid w:val="00410009"/>
    <w:rsid w:val="00410095"/>
    <w:rsid w:val="00410096"/>
    <w:rsid w:val="004101AA"/>
    <w:rsid w:val="004101FE"/>
    <w:rsid w:val="004102AD"/>
    <w:rsid w:val="004102B7"/>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D8"/>
    <w:rsid w:val="004106E3"/>
    <w:rsid w:val="00410753"/>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7"/>
    <w:rsid w:val="00410A58"/>
    <w:rsid w:val="00410A73"/>
    <w:rsid w:val="00410A9D"/>
    <w:rsid w:val="00410AA6"/>
    <w:rsid w:val="00410BAD"/>
    <w:rsid w:val="00410C0D"/>
    <w:rsid w:val="00410C49"/>
    <w:rsid w:val="00410CA4"/>
    <w:rsid w:val="00410D1D"/>
    <w:rsid w:val="00410D93"/>
    <w:rsid w:val="00410DD8"/>
    <w:rsid w:val="00410E24"/>
    <w:rsid w:val="00410EF0"/>
    <w:rsid w:val="00410F22"/>
    <w:rsid w:val="00410F32"/>
    <w:rsid w:val="00410F51"/>
    <w:rsid w:val="00410F5A"/>
    <w:rsid w:val="00410F7A"/>
    <w:rsid w:val="00410F9B"/>
    <w:rsid w:val="00410FB7"/>
    <w:rsid w:val="00410FD3"/>
    <w:rsid w:val="00410FF1"/>
    <w:rsid w:val="00411033"/>
    <w:rsid w:val="00411039"/>
    <w:rsid w:val="00411086"/>
    <w:rsid w:val="004110B0"/>
    <w:rsid w:val="004110D1"/>
    <w:rsid w:val="004110EB"/>
    <w:rsid w:val="00411107"/>
    <w:rsid w:val="0041113E"/>
    <w:rsid w:val="00411171"/>
    <w:rsid w:val="004111CA"/>
    <w:rsid w:val="00411235"/>
    <w:rsid w:val="00411263"/>
    <w:rsid w:val="0041129F"/>
    <w:rsid w:val="004112AF"/>
    <w:rsid w:val="0041136B"/>
    <w:rsid w:val="004113F2"/>
    <w:rsid w:val="00411403"/>
    <w:rsid w:val="0041143D"/>
    <w:rsid w:val="00411479"/>
    <w:rsid w:val="00411485"/>
    <w:rsid w:val="004114A0"/>
    <w:rsid w:val="004114B7"/>
    <w:rsid w:val="00411508"/>
    <w:rsid w:val="00411533"/>
    <w:rsid w:val="004115F1"/>
    <w:rsid w:val="004115F6"/>
    <w:rsid w:val="00411614"/>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8B"/>
    <w:rsid w:val="00411CC8"/>
    <w:rsid w:val="00411CE3"/>
    <w:rsid w:val="00411D31"/>
    <w:rsid w:val="00411E10"/>
    <w:rsid w:val="00411E81"/>
    <w:rsid w:val="00411E87"/>
    <w:rsid w:val="00411EA3"/>
    <w:rsid w:val="00411ED6"/>
    <w:rsid w:val="00411F15"/>
    <w:rsid w:val="00411F3C"/>
    <w:rsid w:val="00411FB3"/>
    <w:rsid w:val="0041204B"/>
    <w:rsid w:val="004120A5"/>
    <w:rsid w:val="004120A6"/>
    <w:rsid w:val="00412152"/>
    <w:rsid w:val="00412187"/>
    <w:rsid w:val="0041219D"/>
    <w:rsid w:val="00412295"/>
    <w:rsid w:val="00412304"/>
    <w:rsid w:val="00412325"/>
    <w:rsid w:val="0041234F"/>
    <w:rsid w:val="00412374"/>
    <w:rsid w:val="004123A9"/>
    <w:rsid w:val="004123AE"/>
    <w:rsid w:val="004123FD"/>
    <w:rsid w:val="00412417"/>
    <w:rsid w:val="0041246E"/>
    <w:rsid w:val="004124A0"/>
    <w:rsid w:val="004124DA"/>
    <w:rsid w:val="004124DE"/>
    <w:rsid w:val="004124E5"/>
    <w:rsid w:val="00412509"/>
    <w:rsid w:val="00412576"/>
    <w:rsid w:val="00412581"/>
    <w:rsid w:val="0041258B"/>
    <w:rsid w:val="004125A0"/>
    <w:rsid w:val="00412613"/>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6"/>
    <w:rsid w:val="0041317F"/>
    <w:rsid w:val="0041318B"/>
    <w:rsid w:val="004131A6"/>
    <w:rsid w:val="004131D9"/>
    <w:rsid w:val="004131F3"/>
    <w:rsid w:val="00413221"/>
    <w:rsid w:val="0041322D"/>
    <w:rsid w:val="00413237"/>
    <w:rsid w:val="00413242"/>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65"/>
    <w:rsid w:val="004138A7"/>
    <w:rsid w:val="004138B0"/>
    <w:rsid w:val="004138C2"/>
    <w:rsid w:val="004138ED"/>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3FD2"/>
    <w:rsid w:val="00413FF8"/>
    <w:rsid w:val="00414043"/>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A"/>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8"/>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4"/>
    <w:rsid w:val="0041496B"/>
    <w:rsid w:val="00414973"/>
    <w:rsid w:val="00414986"/>
    <w:rsid w:val="00414997"/>
    <w:rsid w:val="0041499C"/>
    <w:rsid w:val="004149A2"/>
    <w:rsid w:val="00414A3F"/>
    <w:rsid w:val="00414A98"/>
    <w:rsid w:val="00414AC3"/>
    <w:rsid w:val="00414ACE"/>
    <w:rsid w:val="00414B1A"/>
    <w:rsid w:val="00414B68"/>
    <w:rsid w:val="00414BB1"/>
    <w:rsid w:val="00414C3E"/>
    <w:rsid w:val="00414C81"/>
    <w:rsid w:val="00414C9C"/>
    <w:rsid w:val="00414CC5"/>
    <w:rsid w:val="00414D29"/>
    <w:rsid w:val="00414D31"/>
    <w:rsid w:val="00414D34"/>
    <w:rsid w:val="00414D5C"/>
    <w:rsid w:val="00414D7D"/>
    <w:rsid w:val="00414DC2"/>
    <w:rsid w:val="00414E4D"/>
    <w:rsid w:val="00414EA7"/>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6"/>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89"/>
    <w:rsid w:val="004155AB"/>
    <w:rsid w:val="00415623"/>
    <w:rsid w:val="00415691"/>
    <w:rsid w:val="004156B9"/>
    <w:rsid w:val="004156BD"/>
    <w:rsid w:val="004156E6"/>
    <w:rsid w:val="0041574C"/>
    <w:rsid w:val="00415753"/>
    <w:rsid w:val="00415776"/>
    <w:rsid w:val="00415794"/>
    <w:rsid w:val="00415805"/>
    <w:rsid w:val="00415912"/>
    <w:rsid w:val="004159A9"/>
    <w:rsid w:val="004159FB"/>
    <w:rsid w:val="00415A2F"/>
    <w:rsid w:val="00415A3E"/>
    <w:rsid w:val="00415A44"/>
    <w:rsid w:val="00415A89"/>
    <w:rsid w:val="00415AB2"/>
    <w:rsid w:val="00415B19"/>
    <w:rsid w:val="00415B43"/>
    <w:rsid w:val="00415B5D"/>
    <w:rsid w:val="00415BB8"/>
    <w:rsid w:val="00415BCB"/>
    <w:rsid w:val="00415BDA"/>
    <w:rsid w:val="00415C9A"/>
    <w:rsid w:val="00415CC4"/>
    <w:rsid w:val="00415D43"/>
    <w:rsid w:val="00415D66"/>
    <w:rsid w:val="00415DA2"/>
    <w:rsid w:val="00415DC4"/>
    <w:rsid w:val="00415E81"/>
    <w:rsid w:val="00415EAB"/>
    <w:rsid w:val="00415EB1"/>
    <w:rsid w:val="00415EC5"/>
    <w:rsid w:val="00415EED"/>
    <w:rsid w:val="00415F05"/>
    <w:rsid w:val="00415F62"/>
    <w:rsid w:val="00416099"/>
    <w:rsid w:val="004160C6"/>
    <w:rsid w:val="0041610B"/>
    <w:rsid w:val="004161B6"/>
    <w:rsid w:val="0041620E"/>
    <w:rsid w:val="00416214"/>
    <w:rsid w:val="0041622D"/>
    <w:rsid w:val="0041625B"/>
    <w:rsid w:val="00416295"/>
    <w:rsid w:val="004162CB"/>
    <w:rsid w:val="004162D7"/>
    <w:rsid w:val="00416363"/>
    <w:rsid w:val="004163EF"/>
    <w:rsid w:val="00416445"/>
    <w:rsid w:val="00416459"/>
    <w:rsid w:val="0041646B"/>
    <w:rsid w:val="00416501"/>
    <w:rsid w:val="00416614"/>
    <w:rsid w:val="0041669E"/>
    <w:rsid w:val="00416734"/>
    <w:rsid w:val="00416745"/>
    <w:rsid w:val="0041674E"/>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F1C"/>
    <w:rsid w:val="00416F24"/>
    <w:rsid w:val="00416F5C"/>
    <w:rsid w:val="00417005"/>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12"/>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20031"/>
    <w:rsid w:val="004200F8"/>
    <w:rsid w:val="004200FC"/>
    <w:rsid w:val="004201AB"/>
    <w:rsid w:val="004201EF"/>
    <w:rsid w:val="0042020E"/>
    <w:rsid w:val="00420274"/>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C2"/>
    <w:rsid w:val="004206E9"/>
    <w:rsid w:val="0042070E"/>
    <w:rsid w:val="00420712"/>
    <w:rsid w:val="00420762"/>
    <w:rsid w:val="00420771"/>
    <w:rsid w:val="00420786"/>
    <w:rsid w:val="004207D6"/>
    <w:rsid w:val="004207D9"/>
    <w:rsid w:val="0042080E"/>
    <w:rsid w:val="0042082B"/>
    <w:rsid w:val="00420884"/>
    <w:rsid w:val="004208FF"/>
    <w:rsid w:val="00420913"/>
    <w:rsid w:val="00420931"/>
    <w:rsid w:val="0042095A"/>
    <w:rsid w:val="00420974"/>
    <w:rsid w:val="00420977"/>
    <w:rsid w:val="004209B9"/>
    <w:rsid w:val="00420A3F"/>
    <w:rsid w:val="00420A5C"/>
    <w:rsid w:val="00420AFC"/>
    <w:rsid w:val="00420BE9"/>
    <w:rsid w:val="00420C2D"/>
    <w:rsid w:val="00420C38"/>
    <w:rsid w:val="00420C6A"/>
    <w:rsid w:val="00420D34"/>
    <w:rsid w:val="00420D70"/>
    <w:rsid w:val="00420D89"/>
    <w:rsid w:val="00420DB6"/>
    <w:rsid w:val="00420DDF"/>
    <w:rsid w:val="00420DEC"/>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488"/>
    <w:rsid w:val="004214E2"/>
    <w:rsid w:val="00421546"/>
    <w:rsid w:val="0042155A"/>
    <w:rsid w:val="00421574"/>
    <w:rsid w:val="00421583"/>
    <w:rsid w:val="004215A6"/>
    <w:rsid w:val="004215A8"/>
    <w:rsid w:val="00421608"/>
    <w:rsid w:val="00421623"/>
    <w:rsid w:val="004216AE"/>
    <w:rsid w:val="004216E9"/>
    <w:rsid w:val="004216EB"/>
    <w:rsid w:val="00421745"/>
    <w:rsid w:val="004217AF"/>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FC"/>
    <w:rsid w:val="00421F34"/>
    <w:rsid w:val="00421F61"/>
    <w:rsid w:val="00421F72"/>
    <w:rsid w:val="00422055"/>
    <w:rsid w:val="00422125"/>
    <w:rsid w:val="004221BD"/>
    <w:rsid w:val="004221F0"/>
    <w:rsid w:val="00422286"/>
    <w:rsid w:val="00422298"/>
    <w:rsid w:val="004222CB"/>
    <w:rsid w:val="00422344"/>
    <w:rsid w:val="0042238A"/>
    <w:rsid w:val="004223B4"/>
    <w:rsid w:val="004223DF"/>
    <w:rsid w:val="004224A1"/>
    <w:rsid w:val="004224BC"/>
    <w:rsid w:val="00422504"/>
    <w:rsid w:val="00422518"/>
    <w:rsid w:val="00422543"/>
    <w:rsid w:val="00422560"/>
    <w:rsid w:val="004225AE"/>
    <w:rsid w:val="004225E3"/>
    <w:rsid w:val="00422672"/>
    <w:rsid w:val="00422683"/>
    <w:rsid w:val="00422692"/>
    <w:rsid w:val="0042269D"/>
    <w:rsid w:val="004226B7"/>
    <w:rsid w:val="004226D4"/>
    <w:rsid w:val="00422713"/>
    <w:rsid w:val="00422761"/>
    <w:rsid w:val="004227AE"/>
    <w:rsid w:val="004227C7"/>
    <w:rsid w:val="00422817"/>
    <w:rsid w:val="0042286E"/>
    <w:rsid w:val="00422872"/>
    <w:rsid w:val="00422888"/>
    <w:rsid w:val="004228BA"/>
    <w:rsid w:val="004228FD"/>
    <w:rsid w:val="0042294B"/>
    <w:rsid w:val="00422976"/>
    <w:rsid w:val="004229DB"/>
    <w:rsid w:val="00422A0A"/>
    <w:rsid w:val="00422A0F"/>
    <w:rsid w:val="00422A6C"/>
    <w:rsid w:val="00422A71"/>
    <w:rsid w:val="00422A8A"/>
    <w:rsid w:val="00422ADF"/>
    <w:rsid w:val="00422AE4"/>
    <w:rsid w:val="00422B44"/>
    <w:rsid w:val="00422B88"/>
    <w:rsid w:val="00422BDD"/>
    <w:rsid w:val="00422C39"/>
    <w:rsid w:val="00422C40"/>
    <w:rsid w:val="00422C99"/>
    <w:rsid w:val="00422C9D"/>
    <w:rsid w:val="00422D2F"/>
    <w:rsid w:val="00422D43"/>
    <w:rsid w:val="00422D58"/>
    <w:rsid w:val="00422D87"/>
    <w:rsid w:val="00422D96"/>
    <w:rsid w:val="00422E1C"/>
    <w:rsid w:val="00422E61"/>
    <w:rsid w:val="00422E86"/>
    <w:rsid w:val="00422EB9"/>
    <w:rsid w:val="00422F29"/>
    <w:rsid w:val="00422FF9"/>
    <w:rsid w:val="00423032"/>
    <w:rsid w:val="00423034"/>
    <w:rsid w:val="004230B2"/>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F"/>
    <w:rsid w:val="004234E8"/>
    <w:rsid w:val="004234ED"/>
    <w:rsid w:val="0042353B"/>
    <w:rsid w:val="004235F9"/>
    <w:rsid w:val="00423632"/>
    <w:rsid w:val="0042368E"/>
    <w:rsid w:val="004236B1"/>
    <w:rsid w:val="004236B5"/>
    <w:rsid w:val="004236CF"/>
    <w:rsid w:val="00423787"/>
    <w:rsid w:val="0042379B"/>
    <w:rsid w:val="0042386C"/>
    <w:rsid w:val="004238A5"/>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E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4C"/>
    <w:rsid w:val="00424091"/>
    <w:rsid w:val="004240D1"/>
    <w:rsid w:val="004240D9"/>
    <w:rsid w:val="00424132"/>
    <w:rsid w:val="004241D5"/>
    <w:rsid w:val="004241F5"/>
    <w:rsid w:val="00424223"/>
    <w:rsid w:val="00424259"/>
    <w:rsid w:val="004242B0"/>
    <w:rsid w:val="0042430F"/>
    <w:rsid w:val="00424318"/>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B5"/>
    <w:rsid w:val="004247BC"/>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D"/>
    <w:rsid w:val="00424BA0"/>
    <w:rsid w:val="00424BBA"/>
    <w:rsid w:val="00424BCD"/>
    <w:rsid w:val="00424C0B"/>
    <w:rsid w:val="00424C15"/>
    <w:rsid w:val="00424C20"/>
    <w:rsid w:val="00424C70"/>
    <w:rsid w:val="00424C87"/>
    <w:rsid w:val="00424C97"/>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A2"/>
    <w:rsid w:val="004251EC"/>
    <w:rsid w:val="0042529D"/>
    <w:rsid w:val="0042530C"/>
    <w:rsid w:val="0042536F"/>
    <w:rsid w:val="004253E3"/>
    <w:rsid w:val="004253FE"/>
    <w:rsid w:val="0042541D"/>
    <w:rsid w:val="00425424"/>
    <w:rsid w:val="00425432"/>
    <w:rsid w:val="00425434"/>
    <w:rsid w:val="0042546B"/>
    <w:rsid w:val="004254E1"/>
    <w:rsid w:val="00425500"/>
    <w:rsid w:val="00425525"/>
    <w:rsid w:val="00425526"/>
    <w:rsid w:val="0042554B"/>
    <w:rsid w:val="004255BD"/>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C4"/>
    <w:rsid w:val="00425DEE"/>
    <w:rsid w:val="00425E1B"/>
    <w:rsid w:val="00425E20"/>
    <w:rsid w:val="00425E50"/>
    <w:rsid w:val="00425EEF"/>
    <w:rsid w:val="00425F12"/>
    <w:rsid w:val="00425F1A"/>
    <w:rsid w:val="00425F26"/>
    <w:rsid w:val="00425F27"/>
    <w:rsid w:val="00425F78"/>
    <w:rsid w:val="00425F8D"/>
    <w:rsid w:val="00426032"/>
    <w:rsid w:val="0042603A"/>
    <w:rsid w:val="00426043"/>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BE"/>
    <w:rsid w:val="004268C3"/>
    <w:rsid w:val="004268EE"/>
    <w:rsid w:val="0042690D"/>
    <w:rsid w:val="00426955"/>
    <w:rsid w:val="00426963"/>
    <w:rsid w:val="00426972"/>
    <w:rsid w:val="00426980"/>
    <w:rsid w:val="004269C5"/>
    <w:rsid w:val="00426A07"/>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BA"/>
    <w:rsid w:val="00426DC3"/>
    <w:rsid w:val="00426DDB"/>
    <w:rsid w:val="00426F74"/>
    <w:rsid w:val="00426F9C"/>
    <w:rsid w:val="00426FBE"/>
    <w:rsid w:val="0042702E"/>
    <w:rsid w:val="00427045"/>
    <w:rsid w:val="004270BF"/>
    <w:rsid w:val="004270EC"/>
    <w:rsid w:val="00427109"/>
    <w:rsid w:val="0042711D"/>
    <w:rsid w:val="00427156"/>
    <w:rsid w:val="00427167"/>
    <w:rsid w:val="0042718B"/>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61A"/>
    <w:rsid w:val="0042761C"/>
    <w:rsid w:val="00427634"/>
    <w:rsid w:val="00427698"/>
    <w:rsid w:val="004276BC"/>
    <w:rsid w:val="004276FF"/>
    <w:rsid w:val="00427746"/>
    <w:rsid w:val="004277B8"/>
    <w:rsid w:val="00427815"/>
    <w:rsid w:val="0042783C"/>
    <w:rsid w:val="00427850"/>
    <w:rsid w:val="00427867"/>
    <w:rsid w:val="00427876"/>
    <w:rsid w:val="00427885"/>
    <w:rsid w:val="004278BD"/>
    <w:rsid w:val="00427973"/>
    <w:rsid w:val="004279A2"/>
    <w:rsid w:val="004279B8"/>
    <w:rsid w:val="00427A14"/>
    <w:rsid w:val="00427A1C"/>
    <w:rsid w:val="00427A44"/>
    <w:rsid w:val="00427A4D"/>
    <w:rsid w:val="00427A60"/>
    <w:rsid w:val="00427A62"/>
    <w:rsid w:val="00427A75"/>
    <w:rsid w:val="00427AD8"/>
    <w:rsid w:val="00427AE5"/>
    <w:rsid w:val="00427B14"/>
    <w:rsid w:val="00427B94"/>
    <w:rsid w:val="00427BA4"/>
    <w:rsid w:val="00427BBE"/>
    <w:rsid w:val="00427BDA"/>
    <w:rsid w:val="00427C27"/>
    <w:rsid w:val="00427C93"/>
    <w:rsid w:val="00427C9B"/>
    <w:rsid w:val="00427CE2"/>
    <w:rsid w:val="00427CEC"/>
    <w:rsid w:val="00427E05"/>
    <w:rsid w:val="00427E16"/>
    <w:rsid w:val="00427E1E"/>
    <w:rsid w:val="00427E58"/>
    <w:rsid w:val="00427ECA"/>
    <w:rsid w:val="00427EE3"/>
    <w:rsid w:val="00427F2D"/>
    <w:rsid w:val="00427F30"/>
    <w:rsid w:val="00427F37"/>
    <w:rsid w:val="00427F45"/>
    <w:rsid w:val="00427F4F"/>
    <w:rsid w:val="00427F6A"/>
    <w:rsid w:val="00427F71"/>
    <w:rsid w:val="00427F97"/>
    <w:rsid w:val="00427FAD"/>
    <w:rsid w:val="00427FDB"/>
    <w:rsid w:val="00427FFA"/>
    <w:rsid w:val="0043000C"/>
    <w:rsid w:val="00430014"/>
    <w:rsid w:val="00430032"/>
    <w:rsid w:val="00430065"/>
    <w:rsid w:val="004300EF"/>
    <w:rsid w:val="00430102"/>
    <w:rsid w:val="00430156"/>
    <w:rsid w:val="0043016C"/>
    <w:rsid w:val="004301EA"/>
    <w:rsid w:val="004301F4"/>
    <w:rsid w:val="0043023E"/>
    <w:rsid w:val="0043025E"/>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9FF"/>
    <w:rsid w:val="00430A78"/>
    <w:rsid w:val="00430A88"/>
    <w:rsid w:val="00430BBD"/>
    <w:rsid w:val="00430BC4"/>
    <w:rsid w:val="00430C35"/>
    <w:rsid w:val="00430C3A"/>
    <w:rsid w:val="00430C49"/>
    <w:rsid w:val="00430C6F"/>
    <w:rsid w:val="00430CFE"/>
    <w:rsid w:val="00430D41"/>
    <w:rsid w:val="00430D49"/>
    <w:rsid w:val="00430D61"/>
    <w:rsid w:val="00430DB1"/>
    <w:rsid w:val="00430E0D"/>
    <w:rsid w:val="00430E32"/>
    <w:rsid w:val="00430E6F"/>
    <w:rsid w:val="00430E99"/>
    <w:rsid w:val="00430EAD"/>
    <w:rsid w:val="00430EB7"/>
    <w:rsid w:val="00430EE4"/>
    <w:rsid w:val="00430F08"/>
    <w:rsid w:val="00430F83"/>
    <w:rsid w:val="00430F88"/>
    <w:rsid w:val="00430F8C"/>
    <w:rsid w:val="00430FD2"/>
    <w:rsid w:val="00431037"/>
    <w:rsid w:val="004310B5"/>
    <w:rsid w:val="004310E7"/>
    <w:rsid w:val="004310EB"/>
    <w:rsid w:val="00431130"/>
    <w:rsid w:val="00431198"/>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F5"/>
    <w:rsid w:val="00431B3D"/>
    <w:rsid w:val="00431B76"/>
    <w:rsid w:val="00431BCE"/>
    <w:rsid w:val="00431C6B"/>
    <w:rsid w:val="00431CF2"/>
    <w:rsid w:val="00431CF4"/>
    <w:rsid w:val="00431D40"/>
    <w:rsid w:val="00431D48"/>
    <w:rsid w:val="00431E20"/>
    <w:rsid w:val="00431E58"/>
    <w:rsid w:val="00431F09"/>
    <w:rsid w:val="00431F0E"/>
    <w:rsid w:val="00431F6C"/>
    <w:rsid w:val="00431FCE"/>
    <w:rsid w:val="00431FF7"/>
    <w:rsid w:val="0043201D"/>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3C"/>
    <w:rsid w:val="00432260"/>
    <w:rsid w:val="00432275"/>
    <w:rsid w:val="00432282"/>
    <w:rsid w:val="004322FC"/>
    <w:rsid w:val="00432305"/>
    <w:rsid w:val="0043239F"/>
    <w:rsid w:val="004323CE"/>
    <w:rsid w:val="004323EF"/>
    <w:rsid w:val="00432425"/>
    <w:rsid w:val="00432431"/>
    <w:rsid w:val="00432443"/>
    <w:rsid w:val="004324A3"/>
    <w:rsid w:val="004324AE"/>
    <w:rsid w:val="004324F0"/>
    <w:rsid w:val="00432514"/>
    <w:rsid w:val="00432589"/>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98"/>
    <w:rsid w:val="004329BA"/>
    <w:rsid w:val="004329C8"/>
    <w:rsid w:val="00432A1B"/>
    <w:rsid w:val="00432A4C"/>
    <w:rsid w:val="00432A9E"/>
    <w:rsid w:val="00432AA5"/>
    <w:rsid w:val="00432AB1"/>
    <w:rsid w:val="00432AD1"/>
    <w:rsid w:val="00432AE1"/>
    <w:rsid w:val="00432B2A"/>
    <w:rsid w:val="00432B63"/>
    <w:rsid w:val="00432BC8"/>
    <w:rsid w:val="00432BE3"/>
    <w:rsid w:val="00432BE8"/>
    <w:rsid w:val="00432C84"/>
    <w:rsid w:val="00432D0F"/>
    <w:rsid w:val="00432D15"/>
    <w:rsid w:val="00432D4C"/>
    <w:rsid w:val="00432D51"/>
    <w:rsid w:val="00432D60"/>
    <w:rsid w:val="00432E92"/>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2FE"/>
    <w:rsid w:val="00433376"/>
    <w:rsid w:val="00433379"/>
    <w:rsid w:val="004334A6"/>
    <w:rsid w:val="004334AC"/>
    <w:rsid w:val="00433542"/>
    <w:rsid w:val="0043354A"/>
    <w:rsid w:val="0043359E"/>
    <w:rsid w:val="004335B3"/>
    <w:rsid w:val="004335D6"/>
    <w:rsid w:val="004335F8"/>
    <w:rsid w:val="004335FF"/>
    <w:rsid w:val="0043362E"/>
    <w:rsid w:val="00433640"/>
    <w:rsid w:val="00433658"/>
    <w:rsid w:val="004336B0"/>
    <w:rsid w:val="00433718"/>
    <w:rsid w:val="00433729"/>
    <w:rsid w:val="0043372E"/>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F0"/>
    <w:rsid w:val="00433A2E"/>
    <w:rsid w:val="00433A46"/>
    <w:rsid w:val="00433A9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4004"/>
    <w:rsid w:val="004340DE"/>
    <w:rsid w:val="004340F6"/>
    <w:rsid w:val="004341A5"/>
    <w:rsid w:val="004341AC"/>
    <w:rsid w:val="004341C0"/>
    <w:rsid w:val="004341E3"/>
    <w:rsid w:val="00434200"/>
    <w:rsid w:val="00434203"/>
    <w:rsid w:val="0043423A"/>
    <w:rsid w:val="00434271"/>
    <w:rsid w:val="004342B2"/>
    <w:rsid w:val="004342B3"/>
    <w:rsid w:val="004342EF"/>
    <w:rsid w:val="0043436C"/>
    <w:rsid w:val="00434371"/>
    <w:rsid w:val="00434375"/>
    <w:rsid w:val="004343CF"/>
    <w:rsid w:val="00434463"/>
    <w:rsid w:val="00434491"/>
    <w:rsid w:val="004344A0"/>
    <w:rsid w:val="004344BB"/>
    <w:rsid w:val="00434505"/>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FA"/>
    <w:rsid w:val="00434F09"/>
    <w:rsid w:val="00434F29"/>
    <w:rsid w:val="00434FB3"/>
    <w:rsid w:val="00434FD4"/>
    <w:rsid w:val="00435034"/>
    <w:rsid w:val="0043505D"/>
    <w:rsid w:val="00435093"/>
    <w:rsid w:val="00435166"/>
    <w:rsid w:val="00435182"/>
    <w:rsid w:val="00435191"/>
    <w:rsid w:val="004351BB"/>
    <w:rsid w:val="004351C7"/>
    <w:rsid w:val="00435205"/>
    <w:rsid w:val="00435218"/>
    <w:rsid w:val="00435239"/>
    <w:rsid w:val="00435294"/>
    <w:rsid w:val="004352BA"/>
    <w:rsid w:val="004352C5"/>
    <w:rsid w:val="004352F8"/>
    <w:rsid w:val="00435300"/>
    <w:rsid w:val="00435310"/>
    <w:rsid w:val="00435361"/>
    <w:rsid w:val="00435370"/>
    <w:rsid w:val="004353A1"/>
    <w:rsid w:val="0043542B"/>
    <w:rsid w:val="0043547B"/>
    <w:rsid w:val="00435497"/>
    <w:rsid w:val="004354A1"/>
    <w:rsid w:val="004354AA"/>
    <w:rsid w:val="0043552A"/>
    <w:rsid w:val="00435544"/>
    <w:rsid w:val="00435587"/>
    <w:rsid w:val="004355B9"/>
    <w:rsid w:val="004355FC"/>
    <w:rsid w:val="00435605"/>
    <w:rsid w:val="00435628"/>
    <w:rsid w:val="00435641"/>
    <w:rsid w:val="004356D3"/>
    <w:rsid w:val="004356F1"/>
    <w:rsid w:val="00435705"/>
    <w:rsid w:val="00435763"/>
    <w:rsid w:val="0043576A"/>
    <w:rsid w:val="004357F9"/>
    <w:rsid w:val="0043585A"/>
    <w:rsid w:val="004358F7"/>
    <w:rsid w:val="004358F8"/>
    <w:rsid w:val="00435929"/>
    <w:rsid w:val="004359B1"/>
    <w:rsid w:val="004359D7"/>
    <w:rsid w:val="00435A3F"/>
    <w:rsid w:val="00435A96"/>
    <w:rsid w:val="00435AF8"/>
    <w:rsid w:val="00435B21"/>
    <w:rsid w:val="00435B45"/>
    <w:rsid w:val="00435BBC"/>
    <w:rsid w:val="00435C14"/>
    <w:rsid w:val="00435C36"/>
    <w:rsid w:val="00435C80"/>
    <w:rsid w:val="00435C83"/>
    <w:rsid w:val="00435CAB"/>
    <w:rsid w:val="00435CB1"/>
    <w:rsid w:val="00435CD2"/>
    <w:rsid w:val="00435DC3"/>
    <w:rsid w:val="00435DF6"/>
    <w:rsid w:val="00435E57"/>
    <w:rsid w:val="00435E68"/>
    <w:rsid w:val="00435F33"/>
    <w:rsid w:val="00435FB3"/>
    <w:rsid w:val="00435FE0"/>
    <w:rsid w:val="0043605D"/>
    <w:rsid w:val="004360D1"/>
    <w:rsid w:val="004360F4"/>
    <w:rsid w:val="00436102"/>
    <w:rsid w:val="0043610B"/>
    <w:rsid w:val="0043617C"/>
    <w:rsid w:val="004361C5"/>
    <w:rsid w:val="004361EA"/>
    <w:rsid w:val="004361F0"/>
    <w:rsid w:val="004361F9"/>
    <w:rsid w:val="004362BB"/>
    <w:rsid w:val="00436305"/>
    <w:rsid w:val="00436338"/>
    <w:rsid w:val="004363AD"/>
    <w:rsid w:val="004363C9"/>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F3"/>
    <w:rsid w:val="00436AF8"/>
    <w:rsid w:val="00436B13"/>
    <w:rsid w:val="00436B1C"/>
    <w:rsid w:val="00436B2E"/>
    <w:rsid w:val="00436B34"/>
    <w:rsid w:val="00436B3F"/>
    <w:rsid w:val="00436B4B"/>
    <w:rsid w:val="00436B58"/>
    <w:rsid w:val="00436B5E"/>
    <w:rsid w:val="00436B71"/>
    <w:rsid w:val="00436B85"/>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F6"/>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F"/>
    <w:rsid w:val="0043791B"/>
    <w:rsid w:val="00437969"/>
    <w:rsid w:val="00437970"/>
    <w:rsid w:val="004379C4"/>
    <w:rsid w:val="004379DC"/>
    <w:rsid w:val="00437A22"/>
    <w:rsid w:val="00437A3A"/>
    <w:rsid w:val="00437A6B"/>
    <w:rsid w:val="00437AB4"/>
    <w:rsid w:val="00437AE3"/>
    <w:rsid w:val="00437B1C"/>
    <w:rsid w:val="00437B63"/>
    <w:rsid w:val="00437BBF"/>
    <w:rsid w:val="00437BE4"/>
    <w:rsid w:val="00437BE7"/>
    <w:rsid w:val="00437C03"/>
    <w:rsid w:val="00437C48"/>
    <w:rsid w:val="00437CEA"/>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392"/>
    <w:rsid w:val="004403AA"/>
    <w:rsid w:val="004403B1"/>
    <w:rsid w:val="004403C5"/>
    <w:rsid w:val="004403CA"/>
    <w:rsid w:val="00440435"/>
    <w:rsid w:val="00440460"/>
    <w:rsid w:val="0044046C"/>
    <w:rsid w:val="004404BD"/>
    <w:rsid w:val="00440544"/>
    <w:rsid w:val="0044054B"/>
    <w:rsid w:val="0044059A"/>
    <w:rsid w:val="00440622"/>
    <w:rsid w:val="00440684"/>
    <w:rsid w:val="0044068D"/>
    <w:rsid w:val="004406EF"/>
    <w:rsid w:val="0044070E"/>
    <w:rsid w:val="0044077A"/>
    <w:rsid w:val="004407DC"/>
    <w:rsid w:val="00440840"/>
    <w:rsid w:val="00440847"/>
    <w:rsid w:val="004408A4"/>
    <w:rsid w:val="004408B1"/>
    <w:rsid w:val="004408E3"/>
    <w:rsid w:val="004408E7"/>
    <w:rsid w:val="00440929"/>
    <w:rsid w:val="00440949"/>
    <w:rsid w:val="004409AB"/>
    <w:rsid w:val="00440A86"/>
    <w:rsid w:val="00440B0C"/>
    <w:rsid w:val="00440B2B"/>
    <w:rsid w:val="00440B3B"/>
    <w:rsid w:val="00440B54"/>
    <w:rsid w:val="00440B91"/>
    <w:rsid w:val="00440BAC"/>
    <w:rsid w:val="00440CAC"/>
    <w:rsid w:val="00440D62"/>
    <w:rsid w:val="00440DF0"/>
    <w:rsid w:val="00440E49"/>
    <w:rsid w:val="00440E5B"/>
    <w:rsid w:val="00440EBC"/>
    <w:rsid w:val="00440EBF"/>
    <w:rsid w:val="00440F25"/>
    <w:rsid w:val="00440F68"/>
    <w:rsid w:val="00440FB6"/>
    <w:rsid w:val="00440FED"/>
    <w:rsid w:val="00440FF3"/>
    <w:rsid w:val="00440FFF"/>
    <w:rsid w:val="00441042"/>
    <w:rsid w:val="00441059"/>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54"/>
    <w:rsid w:val="00441979"/>
    <w:rsid w:val="004419AC"/>
    <w:rsid w:val="00441A0C"/>
    <w:rsid w:val="00441A0E"/>
    <w:rsid w:val="00441A11"/>
    <w:rsid w:val="00441A81"/>
    <w:rsid w:val="00441ABD"/>
    <w:rsid w:val="00441AC5"/>
    <w:rsid w:val="00441AD9"/>
    <w:rsid w:val="00441B26"/>
    <w:rsid w:val="00441B82"/>
    <w:rsid w:val="00441C5D"/>
    <w:rsid w:val="00441D4F"/>
    <w:rsid w:val="00441D61"/>
    <w:rsid w:val="00441DB5"/>
    <w:rsid w:val="00441DBC"/>
    <w:rsid w:val="00441DF9"/>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3A"/>
    <w:rsid w:val="00442CC1"/>
    <w:rsid w:val="00442D01"/>
    <w:rsid w:val="00442D90"/>
    <w:rsid w:val="00442DA5"/>
    <w:rsid w:val="00442DAE"/>
    <w:rsid w:val="00442DE2"/>
    <w:rsid w:val="00442E07"/>
    <w:rsid w:val="00442E28"/>
    <w:rsid w:val="00442E95"/>
    <w:rsid w:val="00442EE1"/>
    <w:rsid w:val="00442FA4"/>
    <w:rsid w:val="00442FB2"/>
    <w:rsid w:val="00442FF8"/>
    <w:rsid w:val="00443019"/>
    <w:rsid w:val="00443054"/>
    <w:rsid w:val="0044307E"/>
    <w:rsid w:val="00443082"/>
    <w:rsid w:val="00443089"/>
    <w:rsid w:val="00443129"/>
    <w:rsid w:val="0044313D"/>
    <w:rsid w:val="00443285"/>
    <w:rsid w:val="004432F3"/>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EE"/>
    <w:rsid w:val="004436FD"/>
    <w:rsid w:val="00443720"/>
    <w:rsid w:val="00443732"/>
    <w:rsid w:val="00443739"/>
    <w:rsid w:val="0044374A"/>
    <w:rsid w:val="00443763"/>
    <w:rsid w:val="0044376F"/>
    <w:rsid w:val="004437B8"/>
    <w:rsid w:val="004437E8"/>
    <w:rsid w:val="00443819"/>
    <w:rsid w:val="0044381D"/>
    <w:rsid w:val="0044386B"/>
    <w:rsid w:val="00443880"/>
    <w:rsid w:val="004438BC"/>
    <w:rsid w:val="00443953"/>
    <w:rsid w:val="00443967"/>
    <w:rsid w:val="00443981"/>
    <w:rsid w:val="004439BE"/>
    <w:rsid w:val="004439D2"/>
    <w:rsid w:val="00443AF9"/>
    <w:rsid w:val="00443B56"/>
    <w:rsid w:val="00443B58"/>
    <w:rsid w:val="00443B72"/>
    <w:rsid w:val="00443B92"/>
    <w:rsid w:val="00443BEC"/>
    <w:rsid w:val="00443CAE"/>
    <w:rsid w:val="00443CDF"/>
    <w:rsid w:val="00443D28"/>
    <w:rsid w:val="00443D73"/>
    <w:rsid w:val="00443DBC"/>
    <w:rsid w:val="00443DD3"/>
    <w:rsid w:val="00443E37"/>
    <w:rsid w:val="00443E4E"/>
    <w:rsid w:val="00443E5F"/>
    <w:rsid w:val="00443ED9"/>
    <w:rsid w:val="00443F65"/>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C3"/>
    <w:rsid w:val="004444FF"/>
    <w:rsid w:val="00444502"/>
    <w:rsid w:val="0044451D"/>
    <w:rsid w:val="00444529"/>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51"/>
    <w:rsid w:val="00444A78"/>
    <w:rsid w:val="00444AF9"/>
    <w:rsid w:val="00444B12"/>
    <w:rsid w:val="00444BCA"/>
    <w:rsid w:val="00444BD7"/>
    <w:rsid w:val="00444C16"/>
    <w:rsid w:val="00444C1E"/>
    <w:rsid w:val="00444C31"/>
    <w:rsid w:val="00444C4A"/>
    <w:rsid w:val="00444C60"/>
    <w:rsid w:val="00444C8C"/>
    <w:rsid w:val="00444CAE"/>
    <w:rsid w:val="00444D2E"/>
    <w:rsid w:val="00444D7C"/>
    <w:rsid w:val="00444DAB"/>
    <w:rsid w:val="00444DB4"/>
    <w:rsid w:val="00444E4F"/>
    <w:rsid w:val="00444E6D"/>
    <w:rsid w:val="00444E7B"/>
    <w:rsid w:val="00444E87"/>
    <w:rsid w:val="00444E91"/>
    <w:rsid w:val="00444E96"/>
    <w:rsid w:val="00444F0F"/>
    <w:rsid w:val="00444F16"/>
    <w:rsid w:val="00444FBE"/>
    <w:rsid w:val="00444FC2"/>
    <w:rsid w:val="004450A3"/>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8D"/>
    <w:rsid w:val="0044548F"/>
    <w:rsid w:val="004454B5"/>
    <w:rsid w:val="004454D0"/>
    <w:rsid w:val="004454FA"/>
    <w:rsid w:val="00445531"/>
    <w:rsid w:val="004455D0"/>
    <w:rsid w:val="004455DE"/>
    <w:rsid w:val="0044562A"/>
    <w:rsid w:val="0044562E"/>
    <w:rsid w:val="0044563A"/>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8"/>
    <w:rsid w:val="00445A44"/>
    <w:rsid w:val="00445A54"/>
    <w:rsid w:val="00445A62"/>
    <w:rsid w:val="00445AC7"/>
    <w:rsid w:val="00445ACB"/>
    <w:rsid w:val="00445ACD"/>
    <w:rsid w:val="00445B1C"/>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30"/>
    <w:rsid w:val="00445E6C"/>
    <w:rsid w:val="00445E76"/>
    <w:rsid w:val="00445E94"/>
    <w:rsid w:val="00445EAC"/>
    <w:rsid w:val="00445F77"/>
    <w:rsid w:val="00445FA7"/>
    <w:rsid w:val="00445FB5"/>
    <w:rsid w:val="00446011"/>
    <w:rsid w:val="00446057"/>
    <w:rsid w:val="004460A2"/>
    <w:rsid w:val="004460B5"/>
    <w:rsid w:val="004460F2"/>
    <w:rsid w:val="0044611F"/>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20"/>
    <w:rsid w:val="00446599"/>
    <w:rsid w:val="004465CF"/>
    <w:rsid w:val="00446673"/>
    <w:rsid w:val="0044668C"/>
    <w:rsid w:val="00446692"/>
    <w:rsid w:val="004466B5"/>
    <w:rsid w:val="004466BA"/>
    <w:rsid w:val="004466C0"/>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E"/>
    <w:rsid w:val="00446C3C"/>
    <w:rsid w:val="00446C4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0A"/>
    <w:rsid w:val="00446F19"/>
    <w:rsid w:val="00446F1D"/>
    <w:rsid w:val="00446F82"/>
    <w:rsid w:val="00446F99"/>
    <w:rsid w:val="00446FE5"/>
    <w:rsid w:val="00447010"/>
    <w:rsid w:val="00447094"/>
    <w:rsid w:val="0044714F"/>
    <w:rsid w:val="0044715D"/>
    <w:rsid w:val="00447193"/>
    <w:rsid w:val="004471ED"/>
    <w:rsid w:val="0044724F"/>
    <w:rsid w:val="004472B0"/>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22"/>
    <w:rsid w:val="00447746"/>
    <w:rsid w:val="00447772"/>
    <w:rsid w:val="00447833"/>
    <w:rsid w:val="0044783D"/>
    <w:rsid w:val="0044785E"/>
    <w:rsid w:val="004478A5"/>
    <w:rsid w:val="0044791B"/>
    <w:rsid w:val="00447969"/>
    <w:rsid w:val="004479FF"/>
    <w:rsid w:val="00447A42"/>
    <w:rsid w:val="00447A4E"/>
    <w:rsid w:val="00447A58"/>
    <w:rsid w:val="00447A66"/>
    <w:rsid w:val="00447AC1"/>
    <w:rsid w:val="00447AE6"/>
    <w:rsid w:val="00447B1E"/>
    <w:rsid w:val="00447B2E"/>
    <w:rsid w:val="00447B34"/>
    <w:rsid w:val="00447B3A"/>
    <w:rsid w:val="00447B4A"/>
    <w:rsid w:val="00447B52"/>
    <w:rsid w:val="00447B5C"/>
    <w:rsid w:val="00447B71"/>
    <w:rsid w:val="00447B8B"/>
    <w:rsid w:val="00447BAB"/>
    <w:rsid w:val="00447C00"/>
    <w:rsid w:val="00447C27"/>
    <w:rsid w:val="00447CA7"/>
    <w:rsid w:val="00447CDF"/>
    <w:rsid w:val="00447D24"/>
    <w:rsid w:val="00447D2B"/>
    <w:rsid w:val="00447D36"/>
    <w:rsid w:val="00447D47"/>
    <w:rsid w:val="00447D7E"/>
    <w:rsid w:val="00447D8D"/>
    <w:rsid w:val="00447D9E"/>
    <w:rsid w:val="00447DA9"/>
    <w:rsid w:val="00447DB9"/>
    <w:rsid w:val="00447DBA"/>
    <w:rsid w:val="00447E32"/>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617"/>
    <w:rsid w:val="0045065E"/>
    <w:rsid w:val="00450684"/>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AB1"/>
    <w:rsid w:val="00450B80"/>
    <w:rsid w:val="00450B95"/>
    <w:rsid w:val="00450BAA"/>
    <w:rsid w:val="00450C06"/>
    <w:rsid w:val="00450C23"/>
    <w:rsid w:val="00450C2B"/>
    <w:rsid w:val="00450C52"/>
    <w:rsid w:val="00450C5A"/>
    <w:rsid w:val="00450CA5"/>
    <w:rsid w:val="00450CBE"/>
    <w:rsid w:val="00450D04"/>
    <w:rsid w:val="00450D9D"/>
    <w:rsid w:val="00450DDB"/>
    <w:rsid w:val="00450DF5"/>
    <w:rsid w:val="00450E09"/>
    <w:rsid w:val="00450E24"/>
    <w:rsid w:val="00450E44"/>
    <w:rsid w:val="00450EED"/>
    <w:rsid w:val="00450F6A"/>
    <w:rsid w:val="00450F8E"/>
    <w:rsid w:val="00450FBE"/>
    <w:rsid w:val="00451038"/>
    <w:rsid w:val="0045103C"/>
    <w:rsid w:val="0045104A"/>
    <w:rsid w:val="0045104D"/>
    <w:rsid w:val="0045106E"/>
    <w:rsid w:val="0045118A"/>
    <w:rsid w:val="0045126E"/>
    <w:rsid w:val="00451291"/>
    <w:rsid w:val="004512FB"/>
    <w:rsid w:val="0045130E"/>
    <w:rsid w:val="00451315"/>
    <w:rsid w:val="0045131F"/>
    <w:rsid w:val="004513A4"/>
    <w:rsid w:val="004513E9"/>
    <w:rsid w:val="0045140F"/>
    <w:rsid w:val="0045144D"/>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CA"/>
    <w:rsid w:val="00451ADA"/>
    <w:rsid w:val="00451ADB"/>
    <w:rsid w:val="00451AF7"/>
    <w:rsid w:val="00451B34"/>
    <w:rsid w:val="00451B81"/>
    <w:rsid w:val="00451BC7"/>
    <w:rsid w:val="00451C0D"/>
    <w:rsid w:val="00451C26"/>
    <w:rsid w:val="00451C27"/>
    <w:rsid w:val="00451C2D"/>
    <w:rsid w:val="00451CCA"/>
    <w:rsid w:val="00451CD7"/>
    <w:rsid w:val="00451D33"/>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A"/>
    <w:rsid w:val="00452166"/>
    <w:rsid w:val="0045219D"/>
    <w:rsid w:val="004521CB"/>
    <w:rsid w:val="00452205"/>
    <w:rsid w:val="0045228C"/>
    <w:rsid w:val="004522A7"/>
    <w:rsid w:val="004522D8"/>
    <w:rsid w:val="00452303"/>
    <w:rsid w:val="0045232D"/>
    <w:rsid w:val="004523D9"/>
    <w:rsid w:val="00452447"/>
    <w:rsid w:val="00452483"/>
    <w:rsid w:val="00452497"/>
    <w:rsid w:val="0045249F"/>
    <w:rsid w:val="004524B1"/>
    <w:rsid w:val="004524EA"/>
    <w:rsid w:val="004524F6"/>
    <w:rsid w:val="004524F9"/>
    <w:rsid w:val="0045250C"/>
    <w:rsid w:val="00452582"/>
    <w:rsid w:val="004525E8"/>
    <w:rsid w:val="0045260F"/>
    <w:rsid w:val="00452648"/>
    <w:rsid w:val="004526D5"/>
    <w:rsid w:val="00452724"/>
    <w:rsid w:val="0045273F"/>
    <w:rsid w:val="00452741"/>
    <w:rsid w:val="004527A3"/>
    <w:rsid w:val="004528F1"/>
    <w:rsid w:val="0045292B"/>
    <w:rsid w:val="00452955"/>
    <w:rsid w:val="00452986"/>
    <w:rsid w:val="0045299F"/>
    <w:rsid w:val="004529CA"/>
    <w:rsid w:val="00452A04"/>
    <w:rsid w:val="00452A11"/>
    <w:rsid w:val="00452A2E"/>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CF3"/>
    <w:rsid w:val="00452D23"/>
    <w:rsid w:val="00452D27"/>
    <w:rsid w:val="00452D6C"/>
    <w:rsid w:val="00452DFA"/>
    <w:rsid w:val="00452E03"/>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73"/>
    <w:rsid w:val="004539B4"/>
    <w:rsid w:val="004539F4"/>
    <w:rsid w:val="00453A3D"/>
    <w:rsid w:val="00453AE4"/>
    <w:rsid w:val="00453AE8"/>
    <w:rsid w:val="00453AF9"/>
    <w:rsid w:val="00453B2B"/>
    <w:rsid w:val="00453B35"/>
    <w:rsid w:val="00453B9C"/>
    <w:rsid w:val="00453B9F"/>
    <w:rsid w:val="00453C45"/>
    <w:rsid w:val="00453C6C"/>
    <w:rsid w:val="00453C7D"/>
    <w:rsid w:val="00453CC6"/>
    <w:rsid w:val="00453CD1"/>
    <w:rsid w:val="00453D04"/>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28"/>
    <w:rsid w:val="00454056"/>
    <w:rsid w:val="00454096"/>
    <w:rsid w:val="00454097"/>
    <w:rsid w:val="004540B2"/>
    <w:rsid w:val="00454162"/>
    <w:rsid w:val="004541A9"/>
    <w:rsid w:val="0045423D"/>
    <w:rsid w:val="00454298"/>
    <w:rsid w:val="004543A3"/>
    <w:rsid w:val="004543DA"/>
    <w:rsid w:val="004543EA"/>
    <w:rsid w:val="00454428"/>
    <w:rsid w:val="0045447C"/>
    <w:rsid w:val="004544BC"/>
    <w:rsid w:val="004544E0"/>
    <w:rsid w:val="00454537"/>
    <w:rsid w:val="00454538"/>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DE9"/>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465"/>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24"/>
    <w:rsid w:val="0045584D"/>
    <w:rsid w:val="00455858"/>
    <w:rsid w:val="004558AD"/>
    <w:rsid w:val="004558FF"/>
    <w:rsid w:val="0045595C"/>
    <w:rsid w:val="00455992"/>
    <w:rsid w:val="00455A2D"/>
    <w:rsid w:val="00455A62"/>
    <w:rsid w:val="00455A95"/>
    <w:rsid w:val="00455A98"/>
    <w:rsid w:val="00455A9C"/>
    <w:rsid w:val="00455AC8"/>
    <w:rsid w:val="00455AD6"/>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B7"/>
    <w:rsid w:val="004565E8"/>
    <w:rsid w:val="004565F0"/>
    <w:rsid w:val="0045665C"/>
    <w:rsid w:val="0045671B"/>
    <w:rsid w:val="00456748"/>
    <w:rsid w:val="00456759"/>
    <w:rsid w:val="0045675E"/>
    <w:rsid w:val="004568A0"/>
    <w:rsid w:val="004568ED"/>
    <w:rsid w:val="00456910"/>
    <w:rsid w:val="00456967"/>
    <w:rsid w:val="00456979"/>
    <w:rsid w:val="004569A2"/>
    <w:rsid w:val="004569BC"/>
    <w:rsid w:val="004569E1"/>
    <w:rsid w:val="004569F4"/>
    <w:rsid w:val="00456A4B"/>
    <w:rsid w:val="00456A94"/>
    <w:rsid w:val="00456AC2"/>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71"/>
    <w:rsid w:val="004573DB"/>
    <w:rsid w:val="004573F6"/>
    <w:rsid w:val="0045742E"/>
    <w:rsid w:val="0045743E"/>
    <w:rsid w:val="004574A5"/>
    <w:rsid w:val="004574B4"/>
    <w:rsid w:val="004574D6"/>
    <w:rsid w:val="004574F4"/>
    <w:rsid w:val="00457536"/>
    <w:rsid w:val="0045757B"/>
    <w:rsid w:val="00457586"/>
    <w:rsid w:val="00457588"/>
    <w:rsid w:val="0045758D"/>
    <w:rsid w:val="004575B6"/>
    <w:rsid w:val="004575C6"/>
    <w:rsid w:val="00457602"/>
    <w:rsid w:val="00457668"/>
    <w:rsid w:val="00457686"/>
    <w:rsid w:val="004576BF"/>
    <w:rsid w:val="004576D1"/>
    <w:rsid w:val="00457704"/>
    <w:rsid w:val="004577E5"/>
    <w:rsid w:val="00457838"/>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C39"/>
    <w:rsid w:val="00457C98"/>
    <w:rsid w:val="00457C9C"/>
    <w:rsid w:val="00457D00"/>
    <w:rsid w:val="00457D3C"/>
    <w:rsid w:val="00457DA6"/>
    <w:rsid w:val="00457DBA"/>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146"/>
    <w:rsid w:val="004601B1"/>
    <w:rsid w:val="004601DA"/>
    <w:rsid w:val="0046020D"/>
    <w:rsid w:val="00460229"/>
    <w:rsid w:val="0046022E"/>
    <w:rsid w:val="0046027E"/>
    <w:rsid w:val="00460299"/>
    <w:rsid w:val="004602B6"/>
    <w:rsid w:val="004602D7"/>
    <w:rsid w:val="004602DF"/>
    <w:rsid w:val="00460358"/>
    <w:rsid w:val="00460376"/>
    <w:rsid w:val="004603D2"/>
    <w:rsid w:val="0046043A"/>
    <w:rsid w:val="0046046A"/>
    <w:rsid w:val="00460497"/>
    <w:rsid w:val="004604A1"/>
    <w:rsid w:val="004604A5"/>
    <w:rsid w:val="004604CA"/>
    <w:rsid w:val="004604ED"/>
    <w:rsid w:val="004605D0"/>
    <w:rsid w:val="004605FD"/>
    <w:rsid w:val="00460619"/>
    <w:rsid w:val="0046063C"/>
    <w:rsid w:val="00460640"/>
    <w:rsid w:val="0046066A"/>
    <w:rsid w:val="0046066E"/>
    <w:rsid w:val="004606C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24"/>
    <w:rsid w:val="00460B44"/>
    <w:rsid w:val="00460B8D"/>
    <w:rsid w:val="00460BBE"/>
    <w:rsid w:val="00460BC9"/>
    <w:rsid w:val="00460BD3"/>
    <w:rsid w:val="00460BEA"/>
    <w:rsid w:val="00460C57"/>
    <w:rsid w:val="00460D2B"/>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52"/>
    <w:rsid w:val="0046118A"/>
    <w:rsid w:val="004611BF"/>
    <w:rsid w:val="004611CE"/>
    <w:rsid w:val="0046124D"/>
    <w:rsid w:val="004612B0"/>
    <w:rsid w:val="004612B8"/>
    <w:rsid w:val="004612DB"/>
    <w:rsid w:val="00461310"/>
    <w:rsid w:val="00461335"/>
    <w:rsid w:val="004613C2"/>
    <w:rsid w:val="00461445"/>
    <w:rsid w:val="0046145D"/>
    <w:rsid w:val="004614A6"/>
    <w:rsid w:val="004614BD"/>
    <w:rsid w:val="004614F0"/>
    <w:rsid w:val="00461500"/>
    <w:rsid w:val="00461502"/>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A1C"/>
    <w:rsid w:val="00461A22"/>
    <w:rsid w:val="00461A27"/>
    <w:rsid w:val="00461B02"/>
    <w:rsid w:val="00461B20"/>
    <w:rsid w:val="00461B30"/>
    <w:rsid w:val="00461B47"/>
    <w:rsid w:val="00461B6B"/>
    <w:rsid w:val="00461B85"/>
    <w:rsid w:val="00461B9C"/>
    <w:rsid w:val="00461BA4"/>
    <w:rsid w:val="00461BA5"/>
    <w:rsid w:val="00461BCF"/>
    <w:rsid w:val="00461BD3"/>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31"/>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0A"/>
    <w:rsid w:val="00462888"/>
    <w:rsid w:val="004628FF"/>
    <w:rsid w:val="00462933"/>
    <w:rsid w:val="00462975"/>
    <w:rsid w:val="0046299F"/>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5F"/>
    <w:rsid w:val="00462DBF"/>
    <w:rsid w:val="00462DDD"/>
    <w:rsid w:val="00462E1B"/>
    <w:rsid w:val="00462ECF"/>
    <w:rsid w:val="00462EF7"/>
    <w:rsid w:val="00462F6A"/>
    <w:rsid w:val="00462F70"/>
    <w:rsid w:val="00462F93"/>
    <w:rsid w:val="00462FB1"/>
    <w:rsid w:val="00462FB6"/>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5AB"/>
    <w:rsid w:val="004636A3"/>
    <w:rsid w:val="004636EB"/>
    <w:rsid w:val="0046374F"/>
    <w:rsid w:val="0046377B"/>
    <w:rsid w:val="00463794"/>
    <w:rsid w:val="004637F1"/>
    <w:rsid w:val="0046382C"/>
    <w:rsid w:val="00463853"/>
    <w:rsid w:val="00463867"/>
    <w:rsid w:val="004638F6"/>
    <w:rsid w:val="00463907"/>
    <w:rsid w:val="0046393B"/>
    <w:rsid w:val="00463941"/>
    <w:rsid w:val="00463944"/>
    <w:rsid w:val="00463966"/>
    <w:rsid w:val="00463969"/>
    <w:rsid w:val="0046397D"/>
    <w:rsid w:val="004639E3"/>
    <w:rsid w:val="00463A3A"/>
    <w:rsid w:val="00463A45"/>
    <w:rsid w:val="00463A5E"/>
    <w:rsid w:val="00463A66"/>
    <w:rsid w:val="00463B50"/>
    <w:rsid w:val="00463BF5"/>
    <w:rsid w:val="00463C1D"/>
    <w:rsid w:val="00463D4E"/>
    <w:rsid w:val="00463D51"/>
    <w:rsid w:val="00463DA6"/>
    <w:rsid w:val="00463DC3"/>
    <w:rsid w:val="00463DDC"/>
    <w:rsid w:val="00463FB1"/>
    <w:rsid w:val="00463FB2"/>
    <w:rsid w:val="00464052"/>
    <w:rsid w:val="0046406F"/>
    <w:rsid w:val="004640AD"/>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B0"/>
    <w:rsid w:val="004649B9"/>
    <w:rsid w:val="00464A3D"/>
    <w:rsid w:val="00464A5C"/>
    <w:rsid w:val="00464A8C"/>
    <w:rsid w:val="00464A96"/>
    <w:rsid w:val="00464AB8"/>
    <w:rsid w:val="00464B67"/>
    <w:rsid w:val="00464BB1"/>
    <w:rsid w:val="00464BE6"/>
    <w:rsid w:val="00464BEC"/>
    <w:rsid w:val="00464C12"/>
    <w:rsid w:val="00464C41"/>
    <w:rsid w:val="00464C44"/>
    <w:rsid w:val="00464C70"/>
    <w:rsid w:val="00464C96"/>
    <w:rsid w:val="00464CAD"/>
    <w:rsid w:val="00464CBE"/>
    <w:rsid w:val="00464CDC"/>
    <w:rsid w:val="00464D14"/>
    <w:rsid w:val="00464D28"/>
    <w:rsid w:val="00464E26"/>
    <w:rsid w:val="00464E47"/>
    <w:rsid w:val="00464F05"/>
    <w:rsid w:val="00464F26"/>
    <w:rsid w:val="00464F45"/>
    <w:rsid w:val="00464F4B"/>
    <w:rsid w:val="00464F61"/>
    <w:rsid w:val="00464F6E"/>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99"/>
    <w:rsid w:val="004652C5"/>
    <w:rsid w:val="004652E2"/>
    <w:rsid w:val="00465323"/>
    <w:rsid w:val="00465328"/>
    <w:rsid w:val="0046533F"/>
    <w:rsid w:val="0046536F"/>
    <w:rsid w:val="00465409"/>
    <w:rsid w:val="0046540B"/>
    <w:rsid w:val="00465494"/>
    <w:rsid w:val="004654A5"/>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65"/>
    <w:rsid w:val="004659B2"/>
    <w:rsid w:val="00465A40"/>
    <w:rsid w:val="00465A73"/>
    <w:rsid w:val="00465A8F"/>
    <w:rsid w:val="00465B27"/>
    <w:rsid w:val="00465B58"/>
    <w:rsid w:val="00465B9E"/>
    <w:rsid w:val="00465BA7"/>
    <w:rsid w:val="00465BEC"/>
    <w:rsid w:val="00465BF8"/>
    <w:rsid w:val="00465C86"/>
    <w:rsid w:val="00465C9E"/>
    <w:rsid w:val="00465CF2"/>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C"/>
    <w:rsid w:val="00466259"/>
    <w:rsid w:val="0046625E"/>
    <w:rsid w:val="00466325"/>
    <w:rsid w:val="004663A2"/>
    <w:rsid w:val="004663F1"/>
    <w:rsid w:val="004663F9"/>
    <w:rsid w:val="00466479"/>
    <w:rsid w:val="004664A9"/>
    <w:rsid w:val="00466540"/>
    <w:rsid w:val="00466548"/>
    <w:rsid w:val="00466573"/>
    <w:rsid w:val="00466596"/>
    <w:rsid w:val="004665DC"/>
    <w:rsid w:val="004665EA"/>
    <w:rsid w:val="00466617"/>
    <w:rsid w:val="00466632"/>
    <w:rsid w:val="004666B6"/>
    <w:rsid w:val="004666DB"/>
    <w:rsid w:val="00466742"/>
    <w:rsid w:val="0046674E"/>
    <w:rsid w:val="00466787"/>
    <w:rsid w:val="0046680A"/>
    <w:rsid w:val="00466810"/>
    <w:rsid w:val="0046683B"/>
    <w:rsid w:val="00466853"/>
    <w:rsid w:val="0046685C"/>
    <w:rsid w:val="00466928"/>
    <w:rsid w:val="0046696D"/>
    <w:rsid w:val="0046699B"/>
    <w:rsid w:val="004669FE"/>
    <w:rsid w:val="00466A4C"/>
    <w:rsid w:val="00466A67"/>
    <w:rsid w:val="00466AC5"/>
    <w:rsid w:val="00466B02"/>
    <w:rsid w:val="00466B21"/>
    <w:rsid w:val="00466B29"/>
    <w:rsid w:val="00466C0D"/>
    <w:rsid w:val="00466C24"/>
    <w:rsid w:val="00466C28"/>
    <w:rsid w:val="00466C3E"/>
    <w:rsid w:val="00466C88"/>
    <w:rsid w:val="00466C91"/>
    <w:rsid w:val="00466D28"/>
    <w:rsid w:val="00466D58"/>
    <w:rsid w:val="00466D8E"/>
    <w:rsid w:val="00466DB1"/>
    <w:rsid w:val="00466DE6"/>
    <w:rsid w:val="00466E22"/>
    <w:rsid w:val="00466F43"/>
    <w:rsid w:val="00466F6B"/>
    <w:rsid w:val="00466FE3"/>
    <w:rsid w:val="00466FF4"/>
    <w:rsid w:val="00467027"/>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1C"/>
    <w:rsid w:val="00467328"/>
    <w:rsid w:val="00467335"/>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C56"/>
    <w:rsid w:val="00467CC3"/>
    <w:rsid w:val="00467CDC"/>
    <w:rsid w:val="00467D19"/>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FF"/>
    <w:rsid w:val="00470E4C"/>
    <w:rsid w:val="00470E5F"/>
    <w:rsid w:val="00470E9C"/>
    <w:rsid w:val="00470F41"/>
    <w:rsid w:val="00470FCE"/>
    <w:rsid w:val="00471060"/>
    <w:rsid w:val="004710BF"/>
    <w:rsid w:val="004711E1"/>
    <w:rsid w:val="004711FE"/>
    <w:rsid w:val="00471210"/>
    <w:rsid w:val="004712D4"/>
    <w:rsid w:val="004712DA"/>
    <w:rsid w:val="004712FA"/>
    <w:rsid w:val="0047132A"/>
    <w:rsid w:val="0047134B"/>
    <w:rsid w:val="00471369"/>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51"/>
    <w:rsid w:val="0047195E"/>
    <w:rsid w:val="004719AD"/>
    <w:rsid w:val="004719B6"/>
    <w:rsid w:val="004719C1"/>
    <w:rsid w:val="004719F1"/>
    <w:rsid w:val="00471A6E"/>
    <w:rsid w:val="00471A92"/>
    <w:rsid w:val="00471A9D"/>
    <w:rsid w:val="00471B30"/>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63"/>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9"/>
    <w:rsid w:val="004720A1"/>
    <w:rsid w:val="004720AF"/>
    <w:rsid w:val="004720B9"/>
    <w:rsid w:val="004720D2"/>
    <w:rsid w:val="004720E7"/>
    <w:rsid w:val="004720F9"/>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518"/>
    <w:rsid w:val="00472539"/>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9F"/>
    <w:rsid w:val="00472AA2"/>
    <w:rsid w:val="00472AF2"/>
    <w:rsid w:val="00472B2F"/>
    <w:rsid w:val="00472B30"/>
    <w:rsid w:val="00472B77"/>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418"/>
    <w:rsid w:val="00473427"/>
    <w:rsid w:val="00473471"/>
    <w:rsid w:val="00473489"/>
    <w:rsid w:val="0047348E"/>
    <w:rsid w:val="00473494"/>
    <w:rsid w:val="004734C5"/>
    <w:rsid w:val="004734E9"/>
    <w:rsid w:val="004734EC"/>
    <w:rsid w:val="004734EF"/>
    <w:rsid w:val="004734F1"/>
    <w:rsid w:val="004734F3"/>
    <w:rsid w:val="0047351A"/>
    <w:rsid w:val="0047361D"/>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4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23"/>
    <w:rsid w:val="00473B83"/>
    <w:rsid w:val="00473BBC"/>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21"/>
    <w:rsid w:val="0047424F"/>
    <w:rsid w:val="004742AB"/>
    <w:rsid w:val="00474302"/>
    <w:rsid w:val="00474361"/>
    <w:rsid w:val="0047439F"/>
    <w:rsid w:val="004743DF"/>
    <w:rsid w:val="004743E9"/>
    <w:rsid w:val="00474452"/>
    <w:rsid w:val="00474474"/>
    <w:rsid w:val="00474478"/>
    <w:rsid w:val="00474481"/>
    <w:rsid w:val="00474482"/>
    <w:rsid w:val="00474619"/>
    <w:rsid w:val="00474633"/>
    <w:rsid w:val="00474663"/>
    <w:rsid w:val="00474696"/>
    <w:rsid w:val="004746C6"/>
    <w:rsid w:val="004747A0"/>
    <w:rsid w:val="00474895"/>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8"/>
    <w:rsid w:val="00474D6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AA"/>
    <w:rsid w:val="004752F9"/>
    <w:rsid w:val="00475329"/>
    <w:rsid w:val="0047534A"/>
    <w:rsid w:val="00475367"/>
    <w:rsid w:val="004753D1"/>
    <w:rsid w:val="00475425"/>
    <w:rsid w:val="004754B4"/>
    <w:rsid w:val="004754D8"/>
    <w:rsid w:val="00475553"/>
    <w:rsid w:val="00475586"/>
    <w:rsid w:val="004755D4"/>
    <w:rsid w:val="004755DE"/>
    <w:rsid w:val="004755FF"/>
    <w:rsid w:val="00475616"/>
    <w:rsid w:val="00475647"/>
    <w:rsid w:val="00475676"/>
    <w:rsid w:val="004756DA"/>
    <w:rsid w:val="004756DE"/>
    <w:rsid w:val="00475816"/>
    <w:rsid w:val="0047582E"/>
    <w:rsid w:val="00475848"/>
    <w:rsid w:val="0047588C"/>
    <w:rsid w:val="00475890"/>
    <w:rsid w:val="00475948"/>
    <w:rsid w:val="004759B7"/>
    <w:rsid w:val="004759CC"/>
    <w:rsid w:val="004759F1"/>
    <w:rsid w:val="00475A2C"/>
    <w:rsid w:val="00475A83"/>
    <w:rsid w:val="00475AA7"/>
    <w:rsid w:val="00475AB7"/>
    <w:rsid w:val="00475ADC"/>
    <w:rsid w:val="00475ADD"/>
    <w:rsid w:val="00475AE4"/>
    <w:rsid w:val="00475AF5"/>
    <w:rsid w:val="00475B95"/>
    <w:rsid w:val="00475BBA"/>
    <w:rsid w:val="00475BEF"/>
    <w:rsid w:val="00475C14"/>
    <w:rsid w:val="00475C46"/>
    <w:rsid w:val="00475CBE"/>
    <w:rsid w:val="00475D39"/>
    <w:rsid w:val="00475D53"/>
    <w:rsid w:val="00475D58"/>
    <w:rsid w:val="00475D6A"/>
    <w:rsid w:val="00475E01"/>
    <w:rsid w:val="00475E4C"/>
    <w:rsid w:val="00475E96"/>
    <w:rsid w:val="00475ED0"/>
    <w:rsid w:val="00475ED5"/>
    <w:rsid w:val="00475ED6"/>
    <w:rsid w:val="00475F28"/>
    <w:rsid w:val="00475F5A"/>
    <w:rsid w:val="00475F74"/>
    <w:rsid w:val="00475F8E"/>
    <w:rsid w:val="0047602A"/>
    <w:rsid w:val="0047604E"/>
    <w:rsid w:val="00476072"/>
    <w:rsid w:val="00476132"/>
    <w:rsid w:val="00476174"/>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4F4"/>
    <w:rsid w:val="0047651E"/>
    <w:rsid w:val="00476546"/>
    <w:rsid w:val="00476573"/>
    <w:rsid w:val="00476600"/>
    <w:rsid w:val="00476641"/>
    <w:rsid w:val="00476674"/>
    <w:rsid w:val="004766B1"/>
    <w:rsid w:val="0047671F"/>
    <w:rsid w:val="00476731"/>
    <w:rsid w:val="00476769"/>
    <w:rsid w:val="004767BA"/>
    <w:rsid w:val="00476893"/>
    <w:rsid w:val="004768B6"/>
    <w:rsid w:val="004768DB"/>
    <w:rsid w:val="0047690B"/>
    <w:rsid w:val="0047697F"/>
    <w:rsid w:val="00476A0A"/>
    <w:rsid w:val="00476A0E"/>
    <w:rsid w:val="00476AA1"/>
    <w:rsid w:val="00476AA5"/>
    <w:rsid w:val="00476AE0"/>
    <w:rsid w:val="00476AE6"/>
    <w:rsid w:val="00476B53"/>
    <w:rsid w:val="00476C4B"/>
    <w:rsid w:val="00476C75"/>
    <w:rsid w:val="00476CEC"/>
    <w:rsid w:val="00476D09"/>
    <w:rsid w:val="00476D2C"/>
    <w:rsid w:val="00476D75"/>
    <w:rsid w:val="00476D7A"/>
    <w:rsid w:val="00476DC1"/>
    <w:rsid w:val="00476E1E"/>
    <w:rsid w:val="00476E55"/>
    <w:rsid w:val="00476EEF"/>
    <w:rsid w:val="00476F00"/>
    <w:rsid w:val="00476F12"/>
    <w:rsid w:val="00476F89"/>
    <w:rsid w:val="00476FBA"/>
    <w:rsid w:val="00476FBC"/>
    <w:rsid w:val="00476FCB"/>
    <w:rsid w:val="00477063"/>
    <w:rsid w:val="00477094"/>
    <w:rsid w:val="004770C8"/>
    <w:rsid w:val="00477110"/>
    <w:rsid w:val="00477139"/>
    <w:rsid w:val="0047718C"/>
    <w:rsid w:val="0047718D"/>
    <w:rsid w:val="0047719F"/>
    <w:rsid w:val="004771B9"/>
    <w:rsid w:val="004771F5"/>
    <w:rsid w:val="00477206"/>
    <w:rsid w:val="00477298"/>
    <w:rsid w:val="0047729B"/>
    <w:rsid w:val="004772C3"/>
    <w:rsid w:val="004772EF"/>
    <w:rsid w:val="00477308"/>
    <w:rsid w:val="00477364"/>
    <w:rsid w:val="00477371"/>
    <w:rsid w:val="00477463"/>
    <w:rsid w:val="00477484"/>
    <w:rsid w:val="00477491"/>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23"/>
    <w:rsid w:val="00477966"/>
    <w:rsid w:val="0047798B"/>
    <w:rsid w:val="004779A9"/>
    <w:rsid w:val="004779AE"/>
    <w:rsid w:val="004779B5"/>
    <w:rsid w:val="00477A1D"/>
    <w:rsid w:val="00477A32"/>
    <w:rsid w:val="00477A6E"/>
    <w:rsid w:val="00477A73"/>
    <w:rsid w:val="00477A91"/>
    <w:rsid w:val="00477AA8"/>
    <w:rsid w:val="00477AFB"/>
    <w:rsid w:val="00477B8E"/>
    <w:rsid w:val="00477BB3"/>
    <w:rsid w:val="00477BDD"/>
    <w:rsid w:val="00477BF4"/>
    <w:rsid w:val="00477C54"/>
    <w:rsid w:val="00477C9C"/>
    <w:rsid w:val="00477CFA"/>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DE"/>
    <w:rsid w:val="004808FD"/>
    <w:rsid w:val="00480914"/>
    <w:rsid w:val="0048095C"/>
    <w:rsid w:val="00480984"/>
    <w:rsid w:val="00480A2E"/>
    <w:rsid w:val="00480A59"/>
    <w:rsid w:val="00480A60"/>
    <w:rsid w:val="00480AAB"/>
    <w:rsid w:val="00480AB3"/>
    <w:rsid w:val="00480AF9"/>
    <w:rsid w:val="00480B16"/>
    <w:rsid w:val="00480B3A"/>
    <w:rsid w:val="00480B5F"/>
    <w:rsid w:val="00480B92"/>
    <w:rsid w:val="00480B97"/>
    <w:rsid w:val="00480BBD"/>
    <w:rsid w:val="00480CFE"/>
    <w:rsid w:val="00480D03"/>
    <w:rsid w:val="00480D11"/>
    <w:rsid w:val="00480D9C"/>
    <w:rsid w:val="00480DCB"/>
    <w:rsid w:val="00480E58"/>
    <w:rsid w:val="00480E60"/>
    <w:rsid w:val="00480EDD"/>
    <w:rsid w:val="00480F47"/>
    <w:rsid w:val="00480FF4"/>
    <w:rsid w:val="00481007"/>
    <w:rsid w:val="0048101C"/>
    <w:rsid w:val="0048102C"/>
    <w:rsid w:val="0048109E"/>
    <w:rsid w:val="004810AA"/>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D"/>
    <w:rsid w:val="004815B2"/>
    <w:rsid w:val="004815BB"/>
    <w:rsid w:val="00481601"/>
    <w:rsid w:val="00481614"/>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71"/>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60F"/>
    <w:rsid w:val="00482634"/>
    <w:rsid w:val="0048266D"/>
    <w:rsid w:val="004826AD"/>
    <w:rsid w:val="004826B7"/>
    <w:rsid w:val="0048271F"/>
    <w:rsid w:val="00482751"/>
    <w:rsid w:val="00482769"/>
    <w:rsid w:val="00482772"/>
    <w:rsid w:val="004827AE"/>
    <w:rsid w:val="004827EC"/>
    <w:rsid w:val="0048280F"/>
    <w:rsid w:val="004828AF"/>
    <w:rsid w:val="00482934"/>
    <w:rsid w:val="00482967"/>
    <w:rsid w:val="0048297B"/>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BD"/>
    <w:rsid w:val="00482D12"/>
    <w:rsid w:val="00482D5A"/>
    <w:rsid w:val="00482DB9"/>
    <w:rsid w:val="00482E2C"/>
    <w:rsid w:val="00482EDE"/>
    <w:rsid w:val="00482F12"/>
    <w:rsid w:val="00482F20"/>
    <w:rsid w:val="00482F54"/>
    <w:rsid w:val="00482F64"/>
    <w:rsid w:val="00482F9A"/>
    <w:rsid w:val="00482FFD"/>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9C"/>
    <w:rsid w:val="004836C7"/>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DC"/>
    <w:rsid w:val="00483F04"/>
    <w:rsid w:val="00483FB1"/>
    <w:rsid w:val="00483FF0"/>
    <w:rsid w:val="00484025"/>
    <w:rsid w:val="00484029"/>
    <w:rsid w:val="004840A9"/>
    <w:rsid w:val="004840CA"/>
    <w:rsid w:val="004840E7"/>
    <w:rsid w:val="004840EF"/>
    <w:rsid w:val="0048414E"/>
    <w:rsid w:val="00484157"/>
    <w:rsid w:val="0048419A"/>
    <w:rsid w:val="004841D9"/>
    <w:rsid w:val="0048420E"/>
    <w:rsid w:val="0048422D"/>
    <w:rsid w:val="0048424D"/>
    <w:rsid w:val="004842CE"/>
    <w:rsid w:val="00484387"/>
    <w:rsid w:val="004843D0"/>
    <w:rsid w:val="004843E7"/>
    <w:rsid w:val="004843F2"/>
    <w:rsid w:val="004843FA"/>
    <w:rsid w:val="00484447"/>
    <w:rsid w:val="00484453"/>
    <w:rsid w:val="00484459"/>
    <w:rsid w:val="004844DE"/>
    <w:rsid w:val="004844ED"/>
    <w:rsid w:val="00484534"/>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CD"/>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7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25"/>
    <w:rsid w:val="0048543A"/>
    <w:rsid w:val="0048545C"/>
    <w:rsid w:val="0048545D"/>
    <w:rsid w:val="00485463"/>
    <w:rsid w:val="004854AF"/>
    <w:rsid w:val="004854C9"/>
    <w:rsid w:val="004854E5"/>
    <w:rsid w:val="004854EF"/>
    <w:rsid w:val="0048554F"/>
    <w:rsid w:val="00485555"/>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6D"/>
    <w:rsid w:val="004859B3"/>
    <w:rsid w:val="004859BB"/>
    <w:rsid w:val="004859E5"/>
    <w:rsid w:val="00485A30"/>
    <w:rsid w:val="00485A50"/>
    <w:rsid w:val="00485A52"/>
    <w:rsid w:val="00485A5F"/>
    <w:rsid w:val="00485AD3"/>
    <w:rsid w:val="00485B55"/>
    <w:rsid w:val="00485BDD"/>
    <w:rsid w:val="00485BE5"/>
    <w:rsid w:val="00485BE6"/>
    <w:rsid w:val="00485C08"/>
    <w:rsid w:val="00485C27"/>
    <w:rsid w:val="00485C3A"/>
    <w:rsid w:val="00485C49"/>
    <w:rsid w:val="00485C52"/>
    <w:rsid w:val="00485C6D"/>
    <w:rsid w:val="00485C7F"/>
    <w:rsid w:val="00485C8D"/>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6004"/>
    <w:rsid w:val="00486008"/>
    <w:rsid w:val="00486019"/>
    <w:rsid w:val="00486021"/>
    <w:rsid w:val="0048603E"/>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4E9"/>
    <w:rsid w:val="00486511"/>
    <w:rsid w:val="0048659B"/>
    <w:rsid w:val="004865CD"/>
    <w:rsid w:val="004865DC"/>
    <w:rsid w:val="004865DF"/>
    <w:rsid w:val="00486662"/>
    <w:rsid w:val="004866B1"/>
    <w:rsid w:val="004866BC"/>
    <w:rsid w:val="00486713"/>
    <w:rsid w:val="00486718"/>
    <w:rsid w:val="0048671D"/>
    <w:rsid w:val="00486724"/>
    <w:rsid w:val="004867BC"/>
    <w:rsid w:val="00486803"/>
    <w:rsid w:val="0048683D"/>
    <w:rsid w:val="0048689B"/>
    <w:rsid w:val="0048690B"/>
    <w:rsid w:val="00486933"/>
    <w:rsid w:val="00486951"/>
    <w:rsid w:val="0048697F"/>
    <w:rsid w:val="004869FA"/>
    <w:rsid w:val="00486A2A"/>
    <w:rsid w:val="00486A55"/>
    <w:rsid w:val="00486A6F"/>
    <w:rsid w:val="00486A96"/>
    <w:rsid w:val="00486AC9"/>
    <w:rsid w:val="00486B13"/>
    <w:rsid w:val="00486B24"/>
    <w:rsid w:val="00486B30"/>
    <w:rsid w:val="00486B43"/>
    <w:rsid w:val="00486B4E"/>
    <w:rsid w:val="00486BCA"/>
    <w:rsid w:val="00486C20"/>
    <w:rsid w:val="00486D1B"/>
    <w:rsid w:val="00486DAE"/>
    <w:rsid w:val="00486E6D"/>
    <w:rsid w:val="00486E92"/>
    <w:rsid w:val="00486EE9"/>
    <w:rsid w:val="00486F50"/>
    <w:rsid w:val="00486F7D"/>
    <w:rsid w:val="00486FA5"/>
    <w:rsid w:val="00486FC0"/>
    <w:rsid w:val="00487081"/>
    <w:rsid w:val="00487199"/>
    <w:rsid w:val="004871E3"/>
    <w:rsid w:val="00487217"/>
    <w:rsid w:val="00487241"/>
    <w:rsid w:val="00487271"/>
    <w:rsid w:val="004872DE"/>
    <w:rsid w:val="00487305"/>
    <w:rsid w:val="00487334"/>
    <w:rsid w:val="00487340"/>
    <w:rsid w:val="00487374"/>
    <w:rsid w:val="0048738B"/>
    <w:rsid w:val="00487390"/>
    <w:rsid w:val="004873A6"/>
    <w:rsid w:val="00487409"/>
    <w:rsid w:val="00487471"/>
    <w:rsid w:val="00487475"/>
    <w:rsid w:val="00487492"/>
    <w:rsid w:val="004875A5"/>
    <w:rsid w:val="004875C7"/>
    <w:rsid w:val="00487701"/>
    <w:rsid w:val="0048770D"/>
    <w:rsid w:val="00487786"/>
    <w:rsid w:val="004877D2"/>
    <w:rsid w:val="004877DD"/>
    <w:rsid w:val="00487844"/>
    <w:rsid w:val="00487861"/>
    <w:rsid w:val="00487896"/>
    <w:rsid w:val="004878A0"/>
    <w:rsid w:val="004878C7"/>
    <w:rsid w:val="004878C8"/>
    <w:rsid w:val="004878CA"/>
    <w:rsid w:val="00487907"/>
    <w:rsid w:val="00487952"/>
    <w:rsid w:val="0048798C"/>
    <w:rsid w:val="004879A5"/>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DF"/>
    <w:rsid w:val="00487EFC"/>
    <w:rsid w:val="00487F72"/>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0"/>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83"/>
    <w:rsid w:val="0049109A"/>
    <w:rsid w:val="004910A3"/>
    <w:rsid w:val="004910AD"/>
    <w:rsid w:val="004910B6"/>
    <w:rsid w:val="004910D6"/>
    <w:rsid w:val="004910DA"/>
    <w:rsid w:val="004910F5"/>
    <w:rsid w:val="0049111C"/>
    <w:rsid w:val="00491156"/>
    <w:rsid w:val="0049118D"/>
    <w:rsid w:val="004911CD"/>
    <w:rsid w:val="0049120B"/>
    <w:rsid w:val="0049122B"/>
    <w:rsid w:val="0049124E"/>
    <w:rsid w:val="004912AB"/>
    <w:rsid w:val="004912E7"/>
    <w:rsid w:val="00491300"/>
    <w:rsid w:val="0049130E"/>
    <w:rsid w:val="0049133D"/>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18"/>
    <w:rsid w:val="00491A9E"/>
    <w:rsid w:val="00491ADB"/>
    <w:rsid w:val="00491AE7"/>
    <w:rsid w:val="00491B9C"/>
    <w:rsid w:val="00491BD3"/>
    <w:rsid w:val="00491BDA"/>
    <w:rsid w:val="00491BE8"/>
    <w:rsid w:val="00491C1D"/>
    <w:rsid w:val="00491C5F"/>
    <w:rsid w:val="00491C71"/>
    <w:rsid w:val="00491C7B"/>
    <w:rsid w:val="00491CAF"/>
    <w:rsid w:val="00491CCD"/>
    <w:rsid w:val="00491D13"/>
    <w:rsid w:val="00491D54"/>
    <w:rsid w:val="00491DA0"/>
    <w:rsid w:val="00491DBC"/>
    <w:rsid w:val="00491DF8"/>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70"/>
    <w:rsid w:val="0049259F"/>
    <w:rsid w:val="0049260D"/>
    <w:rsid w:val="0049269E"/>
    <w:rsid w:val="004926AA"/>
    <w:rsid w:val="00492711"/>
    <w:rsid w:val="004927A2"/>
    <w:rsid w:val="004927AF"/>
    <w:rsid w:val="004927F9"/>
    <w:rsid w:val="0049288A"/>
    <w:rsid w:val="004928F8"/>
    <w:rsid w:val="00492948"/>
    <w:rsid w:val="00492991"/>
    <w:rsid w:val="004929CA"/>
    <w:rsid w:val="004929F8"/>
    <w:rsid w:val="00492A39"/>
    <w:rsid w:val="00492A99"/>
    <w:rsid w:val="00492AE3"/>
    <w:rsid w:val="00492B0E"/>
    <w:rsid w:val="00492B5B"/>
    <w:rsid w:val="00492B61"/>
    <w:rsid w:val="00492B63"/>
    <w:rsid w:val="00492B8C"/>
    <w:rsid w:val="00492B99"/>
    <w:rsid w:val="00492BD5"/>
    <w:rsid w:val="00492BE3"/>
    <w:rsid w:val="00492C2B"/>
    <w:rsid w:val="00492C40"/>
    <w:rsid w:val="00492C65"/>
    <w:rsid w:val="00492C7F"/>
    <w:rsid w:val="00492C87"/>
    <w:rsid w:val="00492CFA"/>
    <w:rsid w:val="00492D54"/>
    <w:rsid w:val="00492DB7"/>
    <w:rsid w:val="00492DEE"/>
    <w:rsid w:val="00492E59"/>
    <w:rsid w:val="00492F1C"/>
    <w:rsid w:val="00492F32"/>
    <w:rsid w:val="00492F3E"/>
    <w:rsid w:val="00492F9A"/>
    <w:rsid w:val="0049300C"/>
    <w:rsid w:val="00493018"/>
    <w:rsid w:val="00493063"/>
    <w:rsid w:val="004930DE"/>
    <w:rsid w:val="004930E8"/>
    <w:rsid w:val="004930ED"/>
    <w:rsid w:val="004930F2"/>
    <w:rsid w:val="004932A1"/>
    <w:rsid w:val="004932AE"/>
    <w:rsid w:val="00493335"/>
    <w:rsid w:val="0049333B"/>
    <w:rsid w:val="00493357"/>
    <w:rsid w:val="00493361"/>
    <w:rsid w:val="004933DF"/>
    <w:rsid w:val="0049345D"/>
    <w:rsid w:val="00493497"/>
    <w:rsid w:val="004934BB"/>
    <w:rsid w:val="004934BF"/>
    <w:rsid w:val="004935B8"/>
    <w:rsid w:val="004935C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06"/>
    <w:rsid w:val="00493919"/>
    <w:rsid w:val="00493944"/>
    <w:rsid w:val="00493993"/>
    <w:rsid w:val="00493A16"/>
    <w:rsid w:val="00493A4F"/>
    <w:rsid w:val="00493A95"/>
    <w:rsid w:val="00493AAD"/>
    <w:rsid w:val="00493B4F"/>
    <w:rsid w:val="00493B55"/>
    <w:rsid w:val="00493B5E"/>
    <w:rsid w:val="00493B6F"/>
    <w:rsid w:val="00493BE7"/>
    <w:rsid w:val="00493CD6"/>
    <w:rsid w:val="00493D1F"/>
    <w:rsid w:val="00493D64"/>
    <w:rsid w:val="00493D6C"/>
    <w:rsid w:val="00493DCD"/>
    <w:rsid w:val="00493E1D"/>
    <w:rsid w:val="00493E53"/>
    <w:rsid w:val="00493E72"/>
    <w:rsid w:val="00493F08"/>
    <w:rsid w:val="00493F57"/>
    <w:rsid w:val="00494009"/>
    <w:rsid w:val="0049406F"/>
    <w:rsid w:val="004940B5"/>
    <w:rsid w:val="004940BE"/>
    <w:rsid w:val="0049426B"/>
    <w:rsid w:val="00494298"/>
    <w:rsid w:val="004942A7"/>
    <w:rsid w:val="00494322"/>
    <w:rsid w:val="00494354"/>
    <w:rsid w:val="00494397"/>
    <w:rsid w:val="004943A5"/>
    <w:rsid w:val="004943BB"/>
    <w:rsid w:val="004943DE"/>
    <w:rsid w:val="00494401"/>
    <w:rsid w:val="0049441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14"/>
    <w:rsid w:val="0049476C"/>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1E"/>
    <w:rsid w:val="0049516E"/>
    <w:rsid w:val="004951FD"/>
    <w:rsid w:val="00495231"/>
    <w:rsid w:val="0049533A"/>
    <w:rsid w:val="00495368"/>
    <w:rsid w:val="0049539F"/>
    <w:rsid w:val="00495408"/>
    <w:rsid w:val="00495426"/>
    <w:rsid w:val="00495443"/>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B3"/>
    <w:rsid w:val="004959B9"/>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0D"/>
    <w:rsid w:val="00495F4D"/>
    <w:rsid w:val="00495F52"/>
    <w:rsid w:val="00495F81"/>
    <w:rsid w:val="00496006"/>
    <w:rsid w:val="0049602D"/>
    <w:rsid w:val="004960B4"/>
    <w:rsid w:val="004960DB"/>
    <w:rsid w:val="0049610F"/>
    <w:rsid w:val="0049618F"/>
    <w:rsid w:val="0049619C"/>
    <w:rsid w:val="004961DA"/>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D7"/>
    <w:rsid w:val="004965E2"/>
    <w:rsid w:val="004965FB"/>
    <w:rsid w:val="00496603"/>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7F2"/>
    <w:rsid w:val="00496892"/>
    <w:rsid w:val="0049689D"/>
    <w:rsid w:val="004968A8"/>
    <w:rsid w:val="00496918"/>
    <w:rsid w:val="00496947"/>
    <w:rsid w:val="00496988"/>
    <w:rsid w:val="0049698C"/>
    <w:rsid w:val="004969AC"/>
    <w:rsid w:val="004969BC"/>
    <w:rsid w:val="004969CD"/>
    <w:rsid w:val="00496A2C"/>
    <w:rsid w:val="00496ABF"/>
    <w:rsid w:val="00496AE6"/>
    <w:rsid w:val="00496AF8"/>
    <w:rsid w:val="00496B04"/>
    <w:rsid w:val="00496B06"/>
    <w:rsid w:val="00496B14"/>
    <w:rsid w:val="00496B1A"/>
    <w:rsid w:val="00496B5D"/>
    <w:rsid w:val="00496B92"/>
    <w:rsid w:val="00496C1D"/>
    <w:rsid w:val="00496C35"/>
    <w:rsid w:val="00496C83"/>
    <w:rsid w:val="00496C87"/>
    <w:rsid w:val="00496CC0"/>
    <w:rsid w:val="00496D3C"/>
    <w:rsid w:val="00496D53"/>
    <w:rsid w:val="00496D70"/>
    <w:rsid w:val="00496D8E"/>
    <w:rsid w:val="00496DEB"/>
    <w:rsid w:val="00496E0C"/>
    <w:rsid w:val="00496EB7"/>
    <w:rsid w:val="00496F21"/>
    <w:rsid w:val="00496F9A"/>
    <w:rsid w:val="00496FA8"/>
    <w:rsid w:val="00496FD1"/>
    <w:rsid w:val="00496FD3"/>
    <w:rsid w:val="0049702A"/>
    <w:rsid w:val="00497043"/>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2CA"/>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AC"/>
    <w:rsid w:val="004976DC"/>
    <w:rsid w:val="00497726"/>
    <w:rsid w:val="0049772B"/>
    <w:rsid w:val="00497730"/>
    <w:rsid w:val="004977E2"/>
    <w:rsid w:val="004977F3"/>
    <w:rsid w:val="0049784E"/>
    <w:rsid w:val="0049787B"/>
    <w:rsid w:val="0049789B"/>
    <w:rsid w:val="004978BC"/>
    <w:rsid w:val="004978EB"/>
    <w:rsid w:val="0049790C"/>
    <w:rsid w:val="004979DB"/>
    <w:rsid w:val="00497A03"/>
    <w:rsid w:val="00497A06"/>
    <w:rsid w:val="00497A32"/>
    <w:rsid w:val="00497A3E"/>
    <w:rsid w:val="00497A91"/>
    <w:rsid w:val="00497AB3"/>
    <w:rsid w:val="00497AB4"/>
    <w:rsid w:val="00497AF8"/>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79"/>
    <w:rsid w:val="004A028B"/>
    <w:rsid w:val="004A02B0"/>
    <w:rsid w:val="004A02D9"/>
    <w:rsid w:val="004A02FC"/>
    <w:rsid w:val="004A0305"/>
    <w:rsid w:val="004A0346"/>
    <w:rsid w:val="004A0350"/>
    <w:rsid w:val="004A0412"/>
    <w:rsid w:val="004A04A4"/>
    <w:rsid w:val="004A050B"/>
    <w:rsid w:val="004A052F"/>
    <w:rsid w:val="004A055A"/>
    <w:rsid w:val="004A0574"/>
    <w:rsid w:val="004A05A2"/>
    <w:rsid w:val="004A05AB"/>
    <w:rsid w:val="004A05CC"/>
    <w:rsid w:val="004A05CF"/>
    <w:rsid w:val="004A05E3"/>
    <w:rsid w:val="004A05E8"/>
    <w:rsid w:val="004A060B"/>
    <w:rsid w:val="004A069A"/>
    <w:rsid w:val="004A0758"/>
    <w:rsid w:val="004A075F"/>
    <w:rsid w:val="004A0785"/>
    <w:rsid w:val="004A07B5"/>
    <w:rsid w:val="004A085F"/>
    <w:rsid w:val="004A08B9"/>
    <w:rsid w:val="004A0901"/>
    <w:rsid w:val="004A092F"/>
    <w:rsid w:val="004A0933"/>
    <w:rsid w:val="004A0947"/>
    <w:rsid w:val="004A0958"/>
    <w:rsid w:val="004A09EF"/>
    <w:rsid w:val="004A0A3E"/>
    <w:rsid w:val="004A0A6F"/>
    <w:rsid w:val="004A0ABF"/>
    <w:rsid w:val="004A0AE9"/>
    <w:rsid w:val="004A0B86"/>
    <w:rsid w:val="004A0B94"/>
    <w:rsid w:val="004A0CD5"/>
    <w:rsid w:val="004A0CFD"/>
    <w:rsid w:val="004A0D58"/>
    <w:rsid w:val="004A0D81"/>
    <w:rsid w:val="004A0DA2"/>
    <w:rsid w:val="004A0E03"/>
    <w:rsid w:val="004A0E3B"/>
    <w:rsid w:val="004A0EB3"/>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A3"/>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9F"/>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F18"/>
    <w:rsid w:val="004A1F8E"/>
    <w:rsid w:val="004A1F90"/>
    <w:rsid w:val="004A1F98"/>
    <w:rsid w:val="004A2019"/>
    <w:rsid w:val="004A2074"/>
    <w:rsid w:val="004A20BD"/>
    <w:rsid w:val="004A20C5"/>
    <w:rsid w:val="004A2112"/>
    <w:rsid w:val="004A2118"/>
    <w:rsid w:val="004A21DB"/>
    <w:rsid w:val="004A2201"/>
    <w:rsid w:val="004A227B"/>
    <w:rsid w:val="004A22EF"/>
    <w:rsid w:val="004A2308"/>
    <w:rsid w:val="004A233C"/>
    <w:rsid w:val="004A239A"/>
    <w:rsid w:val="004A23A3"/>
    <w:rsid w:val="004A23C3"/>
    <w:rsid w:val="004A23C7"/>
    <w:rsid w:val="004A2428"/>
    <w:rsid w:val="004A2474"/>
    <w:rsid w:val="004A248F"/>
    <w:rsid w:val="004A2497"/>
    <w:rsid w:val="004A24A7"/>
    <w:rsid w:val="004A24FA"/>
    <w:rsid w:val="004A2509"/>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1AA"/>
    <w:rsid w:val="004A3209"/>
    <w:rsid w:val="004A320C"/>
    <w:rsid w:val="004A3218"/>
    <w:rsid w:val="004A3228"/>
    <w:rsid w:val="004A3264"/>
    <w:rsid w:val="004A326A"/>
    <w:rsid w:val="004A32A8"/>
    <w:rsid w:val="004A32B2"/>
    <w:rsid w:val="004A32E6"/>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1E"/>
    <w:rsid w:val="004A3726"/>
    <w:rsid w:val="004A37E8"/>
    <w:rsid w:val="004A380B"/>
    <w:rsid w:val="004A3820"/>
    <w:rsid w:val="004A383B"/>
    <w:rsid w:val="004A3858"/>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31"/>
    <w:rsid w:val="004A3B9C"/>
    <w:rsid w:val="004A3BDF"/>
    <w:rsid w:val="004A3BE0"/>
    <w:rsid w:val="004A3C3F"/>
    <w:rsid w:val="004A3C6B"/>
    <w:rsid w:val="004A3C8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97"/>
    <w:rsid w:val="004A40FA"/>
    <w:rsid w:val="004A410B"/>
    <w:rsid w:val="004A41A1"/>
    <w:rsid w:val="004A41A5"/>
    <w:rsid w:val="004A41CD"/>
    <w:rsid w:val="004A41FB"/>
    <w:rsid w:val="004A421D"/>
    <w:rsid w:val="004A4240"/>
    <w:rsid w:val="004A426A"/>
    <w:rsid w:val="004A427F"/>
    <w:rsid w:val="004A4312"/>
    <w:rsid w:val="004A4379"/>
    <w:rsid w:val="004A4394"/>
    <w:rsid w:val="004A439D"/>
    <w:rsid w:val="004A4492"/>
    <w:rsid w:val="004A449C"/>
    <w:rsid w:val="004A44B0"/>
    <w:rsid w:val="004A44E3"/>
    <w:rsid w:val="004A4503"/>
    <w:rsid w:val="004A4517"/>
    <w:rsid w:val="004A452C"/>
    <w:rsid w:val="004A458D"/>
    <w:rsid w:val="004A45B6"/>
    <w:rsid w:val="004A4619"/>
    <w:rsid w:val="004A4622"/>
    <w:rsid w:val="004A462B"/>
    <w:rsid w:val="004A4631"/>
    <w:rsid w:val="004A4644"/>
    <w:rsid w:val="004A465E"/>
    <w:rsid w:val="004A4661"/>
    <w:rsid w:val="004A4665"/>
    <w:rsid w:val="004A46BF"/>
    <w:rsid w:val="004A46EA"/>
    <w:rsid w:val="004A4713"/>
    <w:rsid w:val="004A4720"/>
    <w:rsid w:val="004A4741"/>
    <w:rsid w:val="004A474B"/>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6F"/>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89"/>
    <w:rsid w:val="004A4FB0"/>
    <w:rsid w:val="004A4FBF"/>
    <w:rsid w:val="004A5097"/>
    <w:rsid w:val="004A50A8"/>
    <w:rsid w:val="004A50AE"/>
    <w:rsid w:val="004A5141"/>
    <w:rsid w:val="004A519B"/>
    <w:rsid w:val="004A51CD"/>
    <w:rsid w:val="004A521B"/>
    <w:rsid w:val="004A5249"/>
    <w:rsid w:val="004A5267"/>
    <w:rsid w:val="004A5332"/>
    <w:rsid w:val="004A539B"/>
    <w:rsid w:val="004A53DB"/>
    <w:rsid w:val="004A53ED"/>
    <w:rsid w:val="004A542F"/>
    <w:rsid w:val="004A54BE"/>
    <w:rsid w:val="004A54C8"/>
    <w:rsid w:val="004A54DC"/>
    <w:rsid w:val="004A54EF"/>
    <w:rsid w:val="004A55F9"/>
    <w:rsid w:val="004A5605"/>
    <w:rsid w:val="004A5644"/>
    <w:rsid w:val="004A565D"/>
    <w:rsid w:val="004A567A"/>
    <w:rsid w:val="004A5698"/>
    <w:rsid w:val="004A56A2"/>
    <w:rsid w:val="004A5703"/>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D5"/>
    <w:rsid w:val="004A5B9B"/>
    <w:rsid w:val="004A5C25"/>
    <w:rsid w:val="004A5C41"/>
    <w:rsid w:val="004A5C55"/>
    <w:rsid w:val="004A5C8D"/>
    <w:rsid w:val="004A5C9E"/>
    <w:rsid w:val="004A5CB5"/>
    <w:rsid w:val="004A5D24"/>
    <w:rsid w:val="004A5D33"/>
    <w:rsid w:val="004A5D4F"/>
    <w:rsid w:val="004A5D6B"/>
    <w:rsid w:val="004A5D77"/>
    <w:rsid w:val="004A5D95"/>
    <w:rsid w:val="004A5DE1"/>
    <w:rsid w:val="004A5DFE"/>
    <w:rsid w:val="004A5E16"/>
    <w:rsid w:val="004A5E26"/>
    <w:rsid w:val="004A5EA0"/>
    <w:rsid w:val="004A5EFD"/>
    <w:rsid w:val="004A5F04"/>
    <w:rsid w:val="004A5F14"/>
    <w:rsid w:val="004A5FAE"/>
    <w:rsid w:val="004A5FB7"/>
    <w:rsid w:val="004A6055"/>
    <w:rsid w:val="004A606C"/>
    <w:rsid w:val="004A60E0"/>
    <w:rsid w:val="004A6105"/>
    <w:rsid w:val="004A6146"/>
    <w:rsid w:val="004A6154"/>
    <w:rsid w:val="004A61B2"/>
    <w:rsid w:val="004A61D2"/>
    <w:rsid w:val="004A627C"/>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78"/>
    <w:rsid w:val="004A6990"/>
    <w:rsid w:val="004A69CD"/>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EA9"/>
    <w:rsid w:val="004A6F72"/>
    <w:rsid w:val="004A6F9C"/>
    <w:rsid w:val="004A6FA5"/>
    <w:rsid w:val="004A6FF7"/>
    <w:rsid w:val="004A7016"/>
    <w:rsid w:val="004A7017"/>
    <w:rsid w:val="004A708B"/>
    <w:rsid w:val="004A70AC"/>
    <w:rsid w:val="004A7170"/>
    <w:rsid w:val="004A71CC"/>
    <w:rsid w:val="004A7207"/>
    <w:rsid w:val="004A725C"/>
    <w:rsid w:val="004A7271"/>
    <w:rsid w:val="004A72E6"/>
    <w:rsid w:val="004A7322"/>
    <w:rsid w:val="004A733A"/>
    <w:rsid w:val="004A7432"/>
    <w:rsid w:val="004A7457"/>
    <w:rsid w:val="004A745F"/>
    <w:rsid w:val="004A746E"/>
    <w:rsid w:val="004A748E"/>
    <w:rsid w:val="004A7522"/>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38"/>
    <w:rsid w:val="004A7A49"/>
    <w:rsid w:val="004A7AFA"/>
    <w:rsid w:val="004A7B0C"/>
    <w:rsid w:val="004A7B1F"/>
    <w:rsid w:val="004A7B4A"/>
    <w:rsid w:val="004A7B70"/>
    <w:rsid w:val="004A7B84"/>
    <w:rsid w:val="004A7BA2"/>
    <w:rsid w:val="004A7BF8"/>
    <w:rsid w:val="004A7C1F"/>
    <w:rsid w:val="004A7CEA"/>
    <w:rsid w:val="004A7CF6"/>
    <w:rsid w:val="004A7CFA"/>
    <w:rsid w:val="004A7D04"/>
    <w:rsid w:val="004A7D54"/>
    <w:rsid w:val="004A7DB1"/>
    <w:rsid w:val="004A7DEF"/>
    <w:rsid w:val="004A7E43"/>
    <w:rsid w:val="004A7E69"/>
    <w:rsid w:val="004A7E78"/>
    <w:rsid w:val="004A7E99"/>
    <w:rsid w:val="004A7EFA"/>
    <w:rsid w:val="004A7EFD"/>
    <w:rsid w:val="004A7F08"/>
    <w:rsid w:val="004A7FE7"/>
    <w:rsid w:val="004B0033"/>
    <w:rsid w:val="004B0060"/>
    <w:rsid w:val="004B0084"/>
    <w:rsid w:val="004B009C"/>
    <w:rsid w:val="004B00B0"/>
    <w:rsid w:val="004B00E4"/>
    <w:rsid w:val="004B00F2"/>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595"/>
    <w:rsid w:val="004B0617"/>
    <w:rsid w:val="004B068D"/>
    <w:rsid w:val="004B06A2"/>
    <w:rsid w:val="004B06C8"/>
    <w:rsid w:val="004B07C4"/>
    <w:rsid w:val="004B086B"/>
    <w:rsid w:val="004B0877"/>
    <w:rsid w:val="004B08F2"/>
    <w:rsid w:val="004B096C"/>
    <w:rsid w:val="004B09A7"/>
    <w:rsid w:val="004B09AF"/>
    <w:rsid w:val="004B0A3D"/>
    <w:rsid w:val="004B0A3F"/>
    <w:rsid w:val="004B0B10"/>
    <w:rsid w:val="004B0B14"/>
    <w:rsid w:val="004B0B37"/>
    <w:rsid w:val="004B0B40"/>
    <w:rsid w:val="004B0B45"/>
    <w:rsid w:val="004B0B52"/>
    <w:rsid w:val="004B0CC1"/>
    <w:rsid w:val="004B0D06"/>
    <w:rsid w:val="004B0D41"/>
    <w:rsid w:val="004B0D8D"/>
    <w:rsid w:val="004B0DD5"/>
    <w:rsid w:val="004B0E1D"/>
    <w:rsid w:val="004B0E80"/>
    <w:rsid w:val="004B0EC9"/>
    <w:rsid w:val="004B0ED0"/>
    <w:rsid w:val="004B0EF5"/>
    <w:rsid w:val="004B0F19"/>
    <w:rsid w:val="004B0FA7"/>
    <w:rsid w:val="004B1092"/>
    <w:rsid w:val="004B10AF"/>
    <w:rsid w:val="004B1173"/>
    <w:rsid w:val="004B1197"/>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FC"/>
    <w:rsid w:val="004B1512"/>
    <w:rsid w:val="004B1522"/>
    <w:rsid w:val="004B154F"/>
    <w:rsid w:val="004B1637"/>
    <w:rsid w:val="004B164A"/>
    <w:rsid w:val="004B1692"/>
    <w:rsid w:val="004B169B"/>
    <w:rsid w:val="004B16C8"/>
    <w:rsid w:val="004B1758"/>
    <w:rsid w:val="004B1775"/>
    <w:rsid w:val="004B1838"/>
    <w:rsid w:val="004B1896"/>
    <w:rsid w:val="004B18FD"/>
    <w:rsid w:val="004B196D"/>
    <w:rsid w:val="004B19FA"/>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EE"/>
    <w:rsid w:val="004B1E0D"/>
    <w:rsid w:val="004B1E37"/>
    <w:rsid w:val="004B1E69"/>
    <w:rsid w:val="004B1EA0"/>
    <w:rsid w:val="004B1EAA"/>
    <w:rsid w:val="004B1EE5"/>
    <w:rsid w:val="004B1F17"/>
    <w:rsid w:val="004B1F2F"/>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76"/>
    <w:rsid w:val="004B26D2"/>
    <w:rsid w:val="004B26FE"/>
    <w:rsid w:val="004B2708"/>
    <w:rsid w:val="004B2718"/>
    <w:rsid w:val="004B2755"/>
    <w:rsid w:val="004B277A"/>
    <w:rsid w:val="004B2790"/>
    <w:rsid w:val="004B282F"/>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E6B"/>
    <w:rsid w:val="004B2E76"/>
    <w:rsid w:val="004B2E7C"/>
    <w:rsid w:val="004B2E8E"/>
    <w:rsid w:val="004B2E99"/>
    <w:rsid w:val="004B2EAD"/>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0EF"/>
    <w:rsid w:val="004B3107"/>
    <w:rsid w:val="004B3118"/>
    <w:rsid w:val="004B3143"/>
    <w:rsid w:val="004B3150"/>
    <w:rsid w:val="004B3157"/>
    <w:rsid w:val="004B316F"/>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8A9"/>
    <w:rsid w:val="004B38C0"/>
    <w:rsid w:val="004B38F9"/>
    <w:rsid w:val="004B393B"/>
    <w:rsid w:val="004B3956"/>
    <w:rsid w:val="004B398C"/>
    <w:rsid w:val="004B3998"/>
    <w:rsid w:val="004B39BC"/>
    <w:rsid w:val="004B3A46"/>
    <w:rsid w:val="004B3A77"/>
    <w:rsid w:val="004B3A80"/>
    <w:rsid w:val="004B3BA5"/>
    <w:rsid w:val="004B3BAB"/>
    <w:rsid w:val="004B3BF7"/>
    <w:rsid w:val="004B3C3D"/>
    <w:rsid w:val="004B3C56"/>
    <w:rsid w:val="004B3CAE"/>
    <w:rsid w:val="004B3D02"/>
    <w:rsid w:val="004B3D53"/>
    <w:rsid w:val="004B3D75"/>
    <w:rsid w:val="004B3DC9"/>
    <w:rsid w:val="004B3E17"/>
    <w:rsid w:val="004B3E1C"/>
    <w:rsid w:val="004B3ED5"/>
    <w:rsid w:val="004B3F3D"/>
    <w:rsid w:val="004B3FAC"/>
    <w:rsid w:val="004B400D"/>
    <w:rsid w:val="004B4081"/>
    <w:rsid w:val="004B4092"/>
    <w:rsid w:val="004B40AD"/>
    <w:rsid w:val="004B40B7"/>
    <w:rsid w:val="004B40F6"/>
    <w:rsid w:val="004B4150"/>
    <w:rsid w:val="004B41AA"/>
    <w:rsid w:val="004B41B0"/>
    <w:rsid w:val="004B41D2"/>
    <w:rsid w:val="004B4250"/>
    <w:rsid w:val="004B42E2"/>
    <w:rsid w:val="004B432B"/>
    <w:rsid w:val="004B434E"/>
    <w:rsid w:val="004B437B"/>
    <w:rsid w:val="004B43DF"/>
    <w:rsid w:val="004B4427"/>
    <w:rsid w:val="004B4483"/>
    <w:rsid w:val="004B44A1"/>
    <w:rsid w:val="004B4515"/>
    <w:rsid w:val="004B45E6"/>
    <w:rsid w:val="004B45F9"/>
    <w:rsid w:val="004B4610"/>
    <w:rsid w:val="004B466B"/>
    <w:rsid w:val="004B4676"/>
    <w:rsid w:val="004B4681"/>
    <w:rsid w:val="004B46C2"/>
    <w:rsid w:val="004B47AA"/>
    <w:rsid w:val="004B47C7"/>
    <w:rsid w:val="004B47FB"/>
    <w:rsid w:val="004B482D"/>
    <w:rsid w:val="004B484C"/>
    <w:rsid w:val="004B4851"/>
    <w:rsid w:val="004B4856"/>
    <w:rsid w:val="004B4892"/>
    <w:rsid w:val="004B4894"/>
    <w:rsid w:val="004B49A0"/>
    <w:rsid w:val="004B49B6"/>
    <w:rsid w:val="004B49BC"/>
    <w:rsid w:val="004B49E0"/>
    <w:rsid w:val="004B4A1F"/>
    <w:rsid w:val="004B4AA4"/>
    <w:rsid w:val="004B4ABB"/>
    <w:rsid w:val="004B4B64"/>
    <w:rsid w:val="004B4B6B"/>
    <w:rsid w:val="004B4B8C"/>
    <w:rsid w:val="004B4D52"/>
    <w:rsid w:val="004B4D6D"/>
    <w:rsid w:val="004B4D8D"/>
    <w:rsid w:val="004B4DC7"/>
    <w:rsid w:val="004B4DEE"/>
    <w:rsid w:val="004B4DF9"/>
    <w:rsid w:val="004B4E0B"/>
    <w:rsid w:val="004B4E11"/>
    <w:rsid w:val="004B4E4C"/>
    <w:rsid w:val="004B4ECD"/>
    <w:rsid w:val="004B4EEB"/>
    <w:rsid w:val="004B4F2A"/>
    <w:rsid w:val="004B4F5C"/>
    <w:rsid w:val="004B5009"/>
    <w:rsid w:val="004B5021"/>
    <w:rsid w:val="004B5029"/>
    <w:rsid w:val="004B5031"/>
    <w:rsid w:val="004B503C"/>
    <w:rsid w:val="004B5042"/>
    <w:rsid w:val="004B5067"/>
    <w:rsid w:val="004B50CE"/>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99"/>
    <w:rsid w:val="004B55C2"/>
    <w:rsid w:val="004B55F5"/>
    <w:rsid w:val="004B55F8"/>
    <w:rsid w:val="004B5602"/>
    <w:rsid w:val="004B560E"/>
    <w:rsid w:val="004B5611"/>
    <w:rsid w:val="004B562E"/>
    <w:rsid w:val="004B566B"/>
    <w:rsid w:val="004B5681"/>
    <w:rsid w:val="004B5710"/>
    <w:rsid w:val="004B58D1"/>
    <w:rsid w:val="004B58D7"/>
    <w:rsid w:val="004B593F"/>
    <w:rsid w:val="004B5968"/>
    <w:rsid w:val="004B59A1"/>
    <w:rsid w:val="004B59AE"/>
    <w:rsid w:val="004B59EB"/>
    <w:rsid w:val="004B59EF"/>
    <w:rsid w:val="004B5A71"/>
    <w:rsid w:val="004B5A96"/>
    <w:rsid w:val="004B5AA2"/>
    <w:rsid w:val="004B5AEB"/>
    <w:rsid w:val="004B5AFA"/>
    <w:rsid w:val="004B5BA3"/>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20A"/>
    <w:rsid w:val="004B6215"/>
    <w:rsid w:val="004B6282"/>
    <w:rsid w:val="004B62DD"/>
    <w:rsid w:val="004B632E"/>
    <w:rsid w:val="004B635A"/>
    <w:rsid w:val="004B636D"/>
    <w:rsid w:val="004B640D"/>
    <w:rsid w:val="004B6420"/>
    <w:rsid w:val="004B643F"/>
    <w:rsid w:val="004B647F"/>
    <w:rsid w:val="004B64BA"/>
    <w:rsid w:val="004B6520"/>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C2"/>
    <w:rsid w:val="004B6CBD"/>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E7"/>
    <w:rsid w:val="004B72ED"/>
    <w:rsid w:val="004B7326"/>
    <w:rsid w:val="004B7371"/>
    <w:rsid w:val="004B739B"/>
    <w:rsid w:val="004B73C0"/>
    <w:rsid w:val="004B73EA"/>
    <w:rsid w:val="004B7413"/>
    <w:rsid w:val="004B742A"/>
    <w:rsid w:val="004B7454"/>
    <w:rsid w:val="004B7455"/>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84"/>
    <w:rsid w:val="004B7C87"/>
    <w:rsid w:val="004B7CD2"/>
    <w:rsid w:val="004B7CD6"/>
    <w:rsid w:val="004B7D26"/>
    <w:rsid w:val="004B7D7C"/>
    <w:rsid w:val="004B7D8E"/>
    <w:rsid w:val="004B7DE4"/>
    <w:rsid w:val="004B7DED"/>
    <w:rsid w:val="004B7E3F"/>
    <w:rsid w:val="004B7E98"/>
    <w:rsid w:val="004B7EAE"/>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357"/>
    <w:rsid w:val="004C03A9"/>
    <w:rsid w:val="004C03DC"/>
    <w:rsid w:val="004C0445"/>
    <w:rsid w:val="004C045E"/>
    <w:rsid w:val="004C047C"/>
    <w:rsid w:val="004C047D"/>
    <w:rsid w:val="004C048D"/>
    <w:rsid w:val="004C04A8"/>
    <w:rsid w:val="004C04E2"/>
    <w:rsid w:val="004C051C"/>
    <w:rsid w:val="004C052E"/>
    <w:rsid w:val="004C0561"/>
    <w:rsid w:val="004C058F"/>
    <w:rsid w:val="004C059D"/>
    <w:rsid w:val="004C05B1"/>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77"/>
    <w:rsid w:val="004C0F91"/>
    <w:rsid w:val="004C0FAF"/>
    <w:rsid w:val="004C0FD9"/>
    <w:rsid w:val="004C0FFA"/>
    <w:rsid w:val="004C1052"/>
    <w:rsid w:val="004C1124"/>
    <w:rsid w:val="004C117A"/>
    <w:rsid w:val="004C117E"/>
    <w:rsid w:val="004C11A7"/>
    <w:rsid w:val="004C1212"/>
    <w:rsid w:val="004C1265"/>
    <w:rsid w:val="004C1267"/>
    <w:rsid w:val="004C12FB"/>
    <w:rsid w:val="004C1329"/>
    <w:rsid w:val="004C1355"/>
    <w:rsid w:val="004C135D"/>
    <w:rsid w:val="004C1386"/>
    <w:rsid w:val="004C13C7"/>
    <w:rsid w:val="004C1434"/>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D7"/>
    <w:rsid w:val="004C182F"/>
    <w:rsid w:val="004C1878"/>
    <w:rsid w:val="004C1886"/>
    <w:rsid w:val="004C18E8"/>
    <w:rsid w:val="004C1998"/>
    <w:rsid w:val="004C1A51"/>
    <w:rsid w:val="004C1A6B"/>
    <w:rsid w:val="004C1A83"/>
    <w:rsid w:val="004C1AC3"/>
    <w:rsid w:val="004C1B4E"/>
    <w:rsid w:val="004C1BDE"/>
    <w:rsid w:val="004C1C77"/>
    <w:rsid w:val="004C1CCD"/>
    <w:rsid w:val="004C1D06"/>
    <w:rsid w:val="004C1D08"/>
    <w:rsid w:val="004C1D6B"/>
    <w:rsid w:val="004C1E0A"/>
    <w:rsid w:val="004C1E1D"/>
    <w:rsid w:val="004C1E23"/>
    <w:rsid w:val="004C1E46"/>
    <w:rsid w:val="004C1EBC"/>
    <w:rsid w:val="004C1F1E"/>
    <w:rsid w:val="004C1F29"/>
    <w:rsid w:val="004C1F57"/>
    <w:rsid w:val="004C1F91"/>
    <w:rsid w:val="004C1F9A"/>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C1"/>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BA"/>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C7"/>
    <w:rsid w:val="004C32EF"/>
    <w:rsid w:val="004C33E5"/>
    <w:rsid w:val="004C3405"/>
    <w:rsid w:val="004C347D"/>
    <w:rsid w:val="004C3487"/>
    <w:rsid w:val="004C34BB"/>
    <w:rsid w:val="004C3532"/>
    <w:rsid w:val="004C3543"/>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E"/>
    <w:rsid w:val="004C38B8"/>
    <w:rsid w:val="004C38D0"/>
    <w:rsid w:val="004C38D5"/>
    <w:rsid w:val="004C3916"/>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52"/>
    <w:rsid w:val="004C3ED6"/>
    <w:rsid w:val="004C3F08"/>
    <w:rsid w:val="004C3F96"/>
    <w:rsid w:val="004C3FFE"/>
    <w:rsid w:val="004C4037"/>
    <w:rsid w:val="004C4043"/>
    <w:rsid w:val="004C404A"/>
    <w:rsid w:val="004C40B1"/>
    <w:rsid w:val="004C4188"/>
    <w:rsid w:val="004C419B"/>
    <w:rsid w:val="004C4259"/>
    <w:rsid w:val="004C427C"/>
    <w:rsid w:val="004C4392"/>
    <w:rsid w:val="004C4419"/>
    <w:rsid w:val="004C447F"/>
    <w:rsid w:val="004C44C0"/>
    <w:rsid w:val="004C44C1"/>
    <w:rsid w:val="004C44C7"/>
    <w:rsid w:val="004C4505"/>
    <w:rsid w:val="004C4513"/>
    <w:rsid w:val="004C4587"/>
    <w:rsid w:val="004C468F"/>
    <w:rsid w:val="004C46AF"/>
    <w:rsid w:val="004C46B6"/>
    <w:rsid w:val="004C46CC"/>
    <w:rsid w:val="004C46D3"/>
    <w:rsid w:val="004C46F0"/>
    <w:rsid w:val="004C46F4"/>
    <w:rsid w:val="004C46F6"/>
    <w:rsid w:val="004C4715"/>
    <w:rsid w:val="004C4733"/>
    <w:rsid w:val="004C4794"/>
    <w:rsid w:val="004C4796"/>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9C"/>
    <w:rsid w:val="004C4BE7"/>
    <w:rsid w:val="004C4BF4"/>
    <w:rsid w:val="004C4C3A"/>
    <w:rsid w:val="004C4CCC"/>
    <w:rsid w:val="004C4D15"/>
    <w:rsid w:val="004C4D4F"/>
    <w:rsid w:val="004C4D7D"/>
    <w:rsid w:val="004C4D7F"/>
    <w:rsid w:val="004C4D84"/>
    <w:rsid w:val="004C4D99"/>
    <w:rsid w:val="004C4DA8"/>
    <w:rsid w:val="004C4DBD"/>
    <w:rsid w:val="004C4DD5"/>
    <w:rsid w:val="004C4DE9"/>
    <w:rsid w:val="004C4DF7"/>
    <w:rsid w:val="004C4E36"/>
    <w:rsid w:val="004C4E3A"/>
    <w:rsid w:val="004C4EFF"/>
    <w:rsid w:val="004C4F30"/>
    <w:rsid w:val="004C4F5E"/>
    <w:rsid w:val="004C4F79"/>
    <w:rsid w:val="004C4F93"/>
    <w:rsid w:val="004C4FC1"/>
    <w:rsid w:val="004C4FE6"/>
    <w:rsid w:val="004C5037"/>
    <w:rsid w:val="004C5047"/>
    <w:rsid w:val="004C506A"/>
    <w:rsid w:val="004C5092"/>
    <w:rsid w:val="004C5119"/>
    <w:rsid w:val="004C516F"/>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7D"/>
    <w:rsid w:val="004C578E"/>
    <w:rsid w:val="004C57DD"/>
    <w:rsid w:val="004C583C"/>
    <w:rsid w:val="004C58DE"/>
    <w:rsid w:val="004C58F5"/>
    <w:rsid w:val="004C590E"/>
    <w:rsid w:val="004C5939"/>
    <w:rsid w:val="004C5943"/>
    <w:rsid w:val="004C5971"/>
    <w:rsid w:val="004C599B"/>
    <w:rsid w:val="004C59CD"/>
    <w:rsid w:val="004C5A00"/>
    <w:rsid w:val="004C5A2C"/>
    <w:rsid w:val="004C5A60"/>
    <w:rsid w:val="004C5A7F"/>
    <w:rsid w:val="004C5AA5"/>
    <w:rsid w:val="004C5AB2"/>
    <w:rsid w:val="004C5B0A"/>
    <w:rsid w:val="004C5B1A"/>
    <w:rsid w:val="004C5B1D"/>
    <w:rsid w:val="004C5B3B"/>
    <w:rsid w:val="004C5B3E"/>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0F"/>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23"/>
    <w:rsid w:val="004C6342"/>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6"/>
    <w:rsid w:val="004C76D3"/>
    <w:rsid w:val="004C770B"/>
    <w:rsid w:val="004C7717"/>
    <w:rsid w:val="004C7729"/>
    <w:rsid w:val="004C7791"/>
    <w:rsid w:val="004C77F8"/>
    <w:rsid w:val="004C7819"/>
    <w:rsid w:val="004C7828"/>
    <w:rsid w:val="004C783B"/>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9F"/>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1E2"/>
    <w:rsid w:val="004D020C"/>
    <w:rsid w:val="004D0267"/>
    <w:rsid w:val="004D026E"/>
    <w:rsid w:val="004D0274"/>
    <w:rsid w:val="004D02A2"/>
    <w:rsid w:val="004D0329"/>
    <w:rsid w:val="004D0375"/>
    <w:rsid w:val="004D037E"/>
    <w:rsid w:val="004D041C"/>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3"/>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9D"/>
    <w:rsid w:val="004D0DA3"/>
    <w:rsid w:val="004D0DBE"/>
    <w:rsid w:val="004D0E60"/>
    <w:rsid w:val="004D0E77"/>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3B"/>
    <w:rsid w:val="004D129A"/>
    <w:rsid w:val="004D12AD"/>
    <w:rsid w:val="004D12B2"/>
    <w:rsid w:val="004D12DB"/>
    <w:rsid w:val="004D132A"/>
    <w:rsid w:val="004D15B8"/>
    <w:rsid w:val="004D15E3"/>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44"/>
    <w:rsid w:val="004D1A6E"/>
    <w:rsid w:val="004D1A9E"/>
    <w:rsid w:val="004D1AA0"/>
    <w:rsid w:val="004D1AED"/>
    <w:rsid w:val="004D1B34"/>
    <w:rsid w:val="004D1B3C"/>
    <w:rsid w:val="004D1B95"/>
    <w:rsid w:val="004D1B9E"/>
    <w:rsid w:val="004D1CDF"/>
    <w:rsid w:val="004D1CEF"/>
    <w:rsid w:val="004D1D04"/>
    <w:rsid w:val="004D1D05"/>
    <w:rsid w:val="004D1D39"/>
    <w:rsid w:val="004D1DAD"/>
    <w:rsid w:val="004D1DD4"/>
    <w:rsid w:val="004D1DF0"/>
    <w:rsid w:val="004D1DF2"/>
    <w:rsid w:val="004D1E1C"/>
    <w:rsid w:val="004D1E62"/>
    <w:rsid w:val="004D1E88"/>
    <w:rsid w:val="004D1ECF"/>
    <w:rsid w:val="004D1EDC"/>
    <w:rsid w:val="004D1EF1"/>
    <w:rsid w:val="004D1F13"/>
    <w:rsid w:val="004D1F32"/>
    <w:rsid w:val="004D1FAD"/>
    <w:rsid w:val="004D1FFE"/>
    <w:rsid w:val="004D201A"/>
    <w:rsid w:val="004D203F"/>
    <w:rsid w:val="004D2056"/>
    <w:rsid w:val="004D2077"/>
    <w:rsid w:val="004D20A1"/>
    <w:rsid w:val="004D2149"/>
    <w:rsid w:val="004D2151"/>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A1"/>
    <w:rsid w:val="004D27ED"/>
    <w:rsid w:val="004D290A"/>
    <w:rsid w:val="004D2928"/>
    <w:rsid w:val="004D2989"/>
    <w:rsid w:val="004D2996"/>
    <w:rsid w:val="004D29A3"/>
    <w:rsid w:val="004D29FB"/>
    <w:rsid w:val="004D2A48"/>
    <w:rsid w:val="004D2A79"/>
    <w:rsid w:val="004D2AA7"/>
    <w:rsid w:val="004D2ADF"/>
    <w:rsid w:val="004D2B0D"/>
    <w:rsid w:val="004D2B22"/>
    <w:rsid w:val="004D2B3A"/>
    <w:rsid w:val="004D2B43"/>
    <w:rsid w:val="004D2B99"/>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76"/>
    <w:rsid w:val="004D3392"/>
    <w:rsid w:val="004D341B"/>
    <w:rsid w:val="004D3422"/>
    <w:rsid w:val="004D3432"/>
    <w:rsid w:val="004D3435"/>
    <w:rsid w:val="004D3470"/>
    <w:rsid w:val="004D34B9"/>
    <w:rsid w:val="004D34CC"/>
    <w:rsid w:val="004D3518"/>
    <w:rsid w:val="004D3538"/>
    <w:rsid w:val="004D3540"/>
    <w:rsid w:val="004D358C"/>
    <w:rsid w:val="004D3598"/>
    <w:rsid w:val="004D35B2"/>
    <w:rsid w:val="004D35CF"/>
    <w:rsid w:val="004D35EF"/>
    <w:rsid w:val="004D361E"/>
    <w:rsid w:val="004D376B"/>
    <w:rsid w:val="004D376E"/>
    <w:rsid w:val="004D377C"/>
    <w:rsid w:val="004D378F"/>
    <w:rsid w:val="004D384B"/>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B67"/>
    <w:rsid w:val="004D3C04"/>
    <w:rsid w:val="004D3C0D"/>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B3"/>
    <w:rsid w:val="004D44C1"/>
    <w:rsid w:val="004D4525"/>
    <w:rsid w:val="004D454C"/>
    <w:rsid w:val="004D45BB"/>
    <w:rsid w:val="004D460C"/>
    <w:rsid w:val="004D460E"/>
    <w:rsid w:val="004D464F"/>
    <w:rsid w:val="004D4653"/>
    <w:rsid w:val="004D46AB"/>
    <w:rsid w:val="004D46D3"/>
    <w:rsid w:val="004D46DC"/>
    <w:rsid w:val="004D471B"/>
    <w:rsid w:val="004D475E"/>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D4"/>
    <w:rsid w:val="004D4CF3"/>
    <w:rsid w:val="004D4D19"/>
    <w:rsid w:val="004D4D3E"/>
    <w:rsid w:val="004D4D5A"/>
    <w:rsid w:val="004D4D5C"/>
    <w:rsid w:val="004D4D61"/>
    <w:rsid w:val="004D4D7A"/>
    <w:rsid w:val="004D4D8C"/>
    <w:rsid w:val="004D4DAD"/>
    <w:rsid w:val="004D4DAF"/>
    <w:rsid w:val="004D4DF5"/>
    <w:rsid w:val="004D4E65"/>
    <w:rsid w:val="004D4E77"/>
    <w:rsid w:val="004D4E7A"/>
    <w:rsid w:val="004D4F01"/>
    <w:rsid w:val="004D4F64"/>
    <w:rsid w:val="004D4FA8"/>
    <w:rsid w:val="004D501B"/>
    <w:rsid w:val="004D50B4"/>
    <w:rsid w:val="004D50C3"/>
    <w:rsid w:val="004D50DD"/>
    <w:rsid w:val="004D50F8"/>
    <w:rsid w:val="004D512F"/>
    <w:rsid w:val="004D5176"/>
    <w:rsid w:val="004D51B4"/>
    <w:rsid w:val="004D5239"/>
    <w:rsid w:val="004D5250"/>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5FD"/>
    <w:rsid w:val="004D570A"/>
    <w:rsid w:val="004D571B"/>
    <w:rsid w:val="004D573F"/>
    <w:rsid w:val="004D5740"/>
    <w:rsid w:val="004D57A7"/>
    <w:rsid w:val="004D57AB"/>
    <w:rsid w:val="004D57B4"/>
    <w:rsid w:val="004D57B8"/>
    <w:rsid w:val="004D57C9"/>
    <w:rsid w:val="004D57D1"/>
    <w:rsid w:val="004D57DB"/>
    <w:rsid w:val="004D57ED"/>
    <w:rsid w:val="004D586D"/>
    <w:rsid w:val="004D589B"/>
    <w:rsid w:val="004D58C9"/>
    <w:rsid w:val="004D58EE"/>
    <w:rsid w:val="004D5957"/>
    <w:rsid w:val="004D5997"/>
    <w:rsid w:val="004D5A20"/>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91"/>
    <w:rsid w:val="004D5F94"/>
    <w:rsid w:val="004D5FBB"/>
    <w:rsid w:val="004D5FF0"/>
    <w:rsid w:val="004D602E"/>
    <w:rsid w:val="004D60DE"/>
    <w:rsid w:val="004D6141"/>
    <w:rsid w:val="004D614E"/>
    <w:rsid w:val="004D615B"/>
    <w:rsid w:val="004D6179"/>
    <w:rsid w:val="004D618B"/>
    <w:rsid w:val="004D6199"/>
    <w:rsid w:val="004D6206"/>
    <w:rsid w:val="004D622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9DE"/>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E21"/>
    <w:rsid w:val="004D6E99"/>
    <w:rsid w:val="004D6EA1"/>
    <w:rsid w:val="004D6EBA"/>
    <w:rsid w:val="004D6F08"/>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6A"/>
    <w:rsid w:val="004D7389"/>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41"/>
    <w:rsid w:val="004D7879"/>
    <w:rsid w:val="004D789D"/>
    <w:rsid w:val="004D78A8"/>
    <w:rsid w:val="004D78C8"/>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70"/>
    <w:rsid w:val="004D7C75"/>
    <w:rsid w:val="004D7C80"/>
    <w:rsid w:val="004D7CAF"/>
    <w:rsid w:val="004D7CE4"/>
    <w:rsid w:val="004D7D08"/>
    <w:rsid w:val="004D7D0D"/>
    <w:rsid w:val="004D7D59"/>
    <w:rsid w:val="004D7D98"/>
    <w:rsid w:val="004D7DB7"/>
    <w:rsid w:val="004D7DEB"/>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5E"/>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602"/>
    <w:rsid w:val="004E065C"/>
    <w:rsid w:val="004E06B8"/>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5F5"/>
    <w:rsid w:val="004E1638"/>
    <w:rsid w:val="004E167A"/>
    <w:rsid w:val="004E16D8"/>
    <w:rsid w:val="004E1770"/>
    <w:rsid w:val="004E1774"/>
    <w:rsid w:val="004E17A5"/>
    <w:rsid w:val="004E17A9"/>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C17"/>
    <w:rsid w:val="004E1C26"/>
    <w:rsid w:val="004E1C48"/>
    <w:rsid w:val="004E1C6F"/>
    <w:rsid w:val="004E1C77"/>
    <w:rsid w:val="004E1CAD"/>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124"/>
    <w:rsid w:val="004E2171"/>
    <w:rsid w:val="004E218D"/>
    <w:rsid w:val="004E21EC"/>
    <w:rsid w:val="004E21FD"/>
    <w:rsid w:val="004E2206"/>
    <w:rsid w:val="004E229E"/>
    <w:rsid w:val="004E2300"/>
    <w:rsid w:val="004E235B"/>
    <w:rsid w:val="004E237D"/>
    <w:rsid w:val="004E23DA"/>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F6"/>
    <w:rsid w:val="004E2804"/>
    <w:rsid w:val="004E28F3"/>
    <w:rsid w:val="004E294F"/>
    <w:rsid w:val="004E29EA"/>
    <w:rsid w:val="004E2A33"/>
    <w:rsid w:val="004E2A70"/>
    <w:rsid w:val="004E2A86"/>
    <w:rsid w:val="004E2AAB"/>
    <w:rsid w:val="004E2AB5"/>
    <w:rsid w:val="004E2B3E"/>
    <w:rsid w:val="004E2B46"/>
    <w:rsid w:val="004E2B53"/>
    <w:rsid w:val="004E2B81"/>
    <w:rsid w:val="004E2B9E"/>
    <w:rsid w:val="004E2BC4"/>
    <w:rsid w:val="004E2BFE"/>
    <w:rsid w:val="004E2CCF"/>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0D"/>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D"/>
    <w:rsid w:val="004E37CC"/>
    <w:rsid w:val="004E37EE"/>
    <w:rsid w:val="004E380E"/>
    <w:rsid w:val="004E3828"/>
    <w:rsid w:val="004E383A"/>
    <w:rsid w:val="004E3872"/>
    <w:rsid w:val="004E3885"/>
    <w:rsid w:val="004E391B"/>
    <w:rsid w:val="004E3959"/>
    <w:rsid w:val="004E39A0"/>
    <w:rsid w:val="004E39EC"/>
    <w:rsid w:val="004E39ED"/>
    <w:rsid w:val="004E3A29"/>
    <w:rsid w:val="004E3AA8"/>
    <w:rsid w:val="004E3AF1"/>
    <w:rsid w:val="004E3B6C"/>
    <w:rsid w:val="004E3B90"/>
    <w:rsid w:val="004E3BA2"/>
    <w:rsid w:val="004E3C35"/>
    <w:rsid w:val="004E3C6F"/>
    <w:rsid w:val="004E3C7B"/>
    <w:rsid w:val="004E3C86"/>
    <w:rsid w:val="004E3CCD"/>
    <w:rsid w:val="004E3D68"/>
    <w:rsid w:val="004E3D77"/>
    <w:rsid w:val="004E3E1B"/>
    <w:rsid w:val="004E3E5A"/>
    <w:rsid w:val="004E3EFC"/>
    <w:rsid w:val="004E3F53"/>
    <w:rsid w:val="004E3F65"/>
    <w:rsid w:val="004E4024"/>
    <w:rsid w:val="004E4048"/>
    <w:rsid w:val="004E4056"/>
    <w:rsid w:val="004E407C"/>
    <w:rsid w:val="004E4174"/>
    <w:rsid w:val="004E417B"/>
    <w:rsid w:val="004E41DC"/>
    <w:rsid w:val="004E41FB"/>
    <w:rsid w:val="004E4213"/>
    <w:rsid w:val="004E4262"/>
    <w:rsid w:val="004E4278"/>
    <w:rsid w:val="004E4294"/>
    <w:rsid w:val="004E42A8"/>
    <w:rsid w:val="004E42B9"/>
    <w:rsid w:val="004E42C4"/>
    <w:rsid w:val="004E42D2"/>
    <w:rsid w:val="004E4336"/>
    <w:rsid w:val="004E4361"/>
    <w:rsid w:val="004E43B9"/>
    <w:rsid w:val="004E43BD"/>
    <w:rsid w:val="004E43EE"/>
    <w:rsid w:val="004E43FA"/>
    <w:rsid w:val="004E4403"/>
    <w:rsid w:val="004E440A"/>
    <w:rsid w:val="004E4416"/>
    <w:rsid w:val="004E447C"/>
    <w:rsid w:val="004E44CE"/>
    <w:rsid w:val="004E44FF"/>
    <w:rsid w:val="004E454F"/>
    <w:rsid w:val="004E4569"/>
    <w:rsid w:val="004E462C"/>
    <w:rsid w:val="004E463F"/>
    <w:rsid w:val="004E4642"/>
    <w:rsid w:val="004E46EF"/>
    <w:rsid w:val="004E46F8"/>
    <w:rsid w:val="004E4731"/>
    <w:rsid w:val="004E47A3"/>
    <w:rsid w:val="004E47BC"/>
    <w:rsid w:val="004E47DB"/>
    <w:rsid w:val="004E47EA"/>
    <w:rsid w:val="004E480E"/>
    <w:rsid w:val="004E4848"/>
    <w:rsid w:val="004E4871"/>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EB"/>
    <w:rsid w:val="004E4F19"/>
    <w:rsid w:val="004E4F37"/>
    <w:rsid w:val="004E4F52"/>
    <w:rsid w:val="004E4F53"/>
    <w:rsid w:val="004E4FCF"/>
    <w:rsid w:val="004E502B"/>
    <w:rsid w:val="004E5037"/>
    <w:rsid w:val="004E5043"/>
    <w:rsid w:val="004E5075"/>
    <w:rsid w:val="004E50B0"/>
    <w:rsid w:val="004E5102"/>
    <w:rsid w:val="004E5104"/>
    <w:rsid w:val="004E5125"/>
    <w:rsid w:val="004E5126"/>
    <w:rsid w:val="004E5134"/>
    <w:rsid w:val="004E5138"/>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C1"/>
    <w:rsid w:val="004E55FC"/>
    <w:rsid w:val="004E561B"/>
    <w:rsid w:val="004E567F"/>
    <w:rsid w:val="004E568C"/>
    <w:rsid w:val="004E56EE"/>
    <w:rsid w:val="004E56EF"/>
    <w:rsid w:val="004E5721"/>
    <w:rsid w:val="004E5736"/>
    <w:rsid w:val="004E574E"/>
    <w:rsid w:val="004E57E5"/>
    <w:rsid w:val="004E580E"/>
    <w:rsid w:val="004E5819"/>
    <w:rsid w:val="004E5859"/>
    <w:rsid w:val="004E585A"/>
    <w:rsid w:val="004E585E"/>
    <w:rsid w:val="004E58E9"/>
    <w:rsid w:val="004E590C"/>
    <w:rsid w:val="004E5972"/>
    <w:rsid w:val="004E5974"/>
    <w:rsid w:val="004E5989"/>
    <w:rsid w:val="004E59A6"/>
    <w:rsid w:val="004E59CB"/>
    <w:rsid w:val="004E59EC"/>
    <w:rsid w:val="004E5AD6"/>
    <w:rsid w:val="004E5B38"/>
    <w:rsid w:val="004E5B3B"/>
    <w:rsid w:val="004E5BB3"/>
    <w:rsid w:val="004E5C84"/>
    <w:rsid w:val="004E5CCB"/>
    <w:rsid w:val="004E5D3B"/>
    <w:rsid w:val="004E5DC5"/>
    <w:rsid w:val="004E5E3B"/>
    <w:rsid w:val="004E5E45"/>
    <w:rsid w:val="004E5E58"/>
    <w:rsid w:val="004E5E59"/>
    <w:rsid w:val="004E5E9C"/>
    <w:rsid w:val="004E5EA5"/>
    <w:rsid w:val="004E5ED5"/>
    <w:rsid w:val="004E5EEB"/>
    <w:rsid w:val="004E5EED"/>
    <w:rsid w:val="004E5F16"/>
    <w:rsid w:val="004E5F4F"/>
    <w:rsid w:val="004E5F97"/>
    <w:rsid w:val="004E5F9E"/>
    <w:rsid w:val="004E5FD8"/>
    <w:rsid w:val="004E603C"/>
    <w:rsid w:val="004E6061"/>
    <w:rsid w:val="004E60C1"/>
    <w:rsid w:val="004E60CC"/>
    <w:rsid w:val="004E60EA"/>
    <w:rsid w:val="004E60F1"/>
    <w:rsid w:val="004E6124"/>
    <w:rsid w:val="004E6135"/>
    <w:rsid w:val="004E6145"/>
    <w:rsid w:val="004E616A"/>
    <w:rsid w:val="004E61AF"/>
    <w:rsid w:val="004E61E6"/>
    <w:rsid w:val="004E62D2"/>
    <w:rsid w:val="004E630C"/>
    <w:rsid w:val="004E6347"/>
    <w:rsid w:val="004E6358"/>
    <w:rsid w:val="004E63D9"/>
    <w:rsid w:val="004E63F7"/>
    <w:rsid w:val="004E64AE"/>
    <w:rsid w:val="004E6501"/>
    <w:rsid w:val="004E658D"/>
    <w:rsid w:val="004E668E"/>
    <w:rsid w:val="004E669E"/>
    <w:rsid w:val="004E66A2"/>
    <w:rsid w:val="004E6705"/>
    <w:rsid w:val="004E671C"/>
    <w:rsid w:val="004E6742"/>
    <w:rsid w:val="004E679F"/>
    <w:rsid w:val="004E67A6"/>
    <w:rsid w:val="004E6874"/>
    <w:rsid w:val="004E6880"/>
    <w:rsid w:val="004E6906"/>
    <w:rsid w:val="004E6929"/>
    <w:rsid w:val="004E6930"/>
    <w:rsid w:val="004E69B3"/>
    <w:rsid w:val="004E69CE"/>
    <w:rsid w:val="004E6A40"/>
    <w:rsid w:val="004E6A4C"/>
    <w:rsid w:val="004E6AD2"/>
    <w:rsid w:val="004E6AEF"/>
    <w:rsid w:val="004E6AFC"/>
    <w:rsid w:val="004E6B02"/>
    <w:rsid w:val="004E6B09"/>
    <w:rsid w:val="004E6B1E"/>
    <w:rsid w:val="004E6B46"/>
    <w:rsid w:val="004E6B6A"/>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E9"/>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BE"/>
    <w:rsid w:val="004E7F1D"/>
    <w:rsid w:val="004E7F79"/>
    <w:rsid w:val="004E7FF3"/>
    <w:rsid w:val="004F0039"/>
    <w:rsid w:val="004F0058"/>
    <w:rsid w:val="004F00AA"/>
    <w:rsid w:val="004F00AD"/>
    <w:rsid w:val="004F0110"/>
    <w:rsid w:val="004F0151"/>
    <w:rsid w:val="004F0182"/>
    <w:rsid w:val="004F0186"/>
    <w:rsid w:val="004F0220"/>
    <w:rsid w:val="004F0245"/>
    <w:rsid w:val="004F0263"/>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98"/>
    <w:rsid w:val="004F06CA"/>
    <w:rsid w:val="004F06DA"/>
    <w:rsid w:val="004F06EB"/>
    <w:rsid w:val="004F0764"/>
    <w:rsid w:val="004F0779"/>
    <w:rsid w:val="004F07A9"/>
    <w:rsid w:val="004F07B9"/>
    <w:rsid w:val="004F07CB"/>
    <w:rsid w:val="004F084C"/>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9D"/>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0C"/>
    <w:rsid w:val="004F1786"/>
    <w:rsid w:val="004F17F4"/>
    <w:rsid w:val="004F1881"/>
    <w:rsid w:val="004F1889"/>
    <w:rsid w:val="004F1909"/>
    <w:rsid w:val="004F1938"/>
    <w:rsid w:val="004F193D"/>
    <w:rsid w:val="004F19C7"/>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CAD"/>
    <w:rsid w:val="004F1D5F"/>
    <w:rsid w:val="004F1DA7"/>
    <w:rsid w:val="004F1E1B"/>
    <w:rsid w:val="004F1E59"/>
    <w:rsid w:val="004F1E5B"/>
    <w:rsid w:val="004F1E7F"/>
    <w:rsid w:val="004F1F30"/>
    <w:rsid w:val="004F1F8A"/>
    <w:rsid w:val="004F1FE7"/>
    <w:rsid w:val="004F2010"/>
    <w:rsid w:val="004F2017"/>
    <w:rsid w:val="004F2039"/>
    <w:rsid w:val="004F203C"/>
    <w:rsid w:val="004F20D5"/>
    <w:rsid w:val="004F21D4"/>
    <w:rsid w:val="004F223A"/>
    <w:rsid w:val="004F22AB"/>
    <w:rsid w:val="004F22CF"/>
    <w:rsid w:val="004F22F3"/>
    <w:rsid w:val="004F2318"/>
    <w:rsid w:val="004F235B"/>
    <w:rsid w:val="004F2387"/>
    <w:rsid w:val="004F238D"/>
    <w:rsid w:val="004F2399"/>
    <w:rsid w:val="004F242B"/>
    <w:rsid w:val="004F242C"/>
    <w:rsid w:val="004F2440"/>
    <w:rsid w:val="004F2467"/>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A9"/>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96"/>
    <w:rsid w:val="004F34C5"/>
    <w:rsid w:val="004F34D2"/>
    <w:rsid w:val="004F353E"/>
    <w:rsid w:val="004F356B"/>
    <w:rsid w:val="004F35C4"/>
    <w:rsid w:val="004F366A"/>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43"/>
    <w:rsid w:val="004F3B53"/>
    <w:rsid w:val="004F3BA3"/>
    <w:rsid w:val="004F3BAE"/>
    <w:rsid w:val="004F3BB1"/>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B0"/>
    <w:rsid w:val="004F3FE6"/>
    <w:rsid w:val="004F4022"/>
    <w:rsid w:val="004F4047"/>
    <w:rsid w:val="004F40C4"/>
    <w:rsid w:val="004F40D4"/>
    <w:rsid w:val="004F4102"/>
    <w:rsid w:val="004F4163"/>
    <w:rsid w:val="004F419B"/>
    <w:rsid w:val="004F4212"/>
    <w:rsid w:val="004F4242"/>
    <w:rsid w:val="004F4247"/>
    <w:rsid w:val="004F426B"/>
    <w:rsid w:val="004F42AD"/>
    <w:rsid w:val="004F42B4"/>
    <w:rsid w:val="004F42ED"/>
    <w:rsid w:val="004F43AA"/>
    <w:rsid w:val="004F440A"/>
    <w:rsid w:val="004F4412"/>
    <w:rsid w:val="004F447F"/>
    <w:rsid w:val="004F449F"/>
    <w:rsid w:val="004F44BA"/>
    <w:rsid w:val="004F44C1"/>
    <w:rsid w:val="004F4509"/>
    <w:rsid w:val="004F4537"/>
    <w:rsid w:val="004F455B"/>
    <w:rsid w:val="004F45DC"/>
    <w:rsid w:val="004F4616"/>
    <w:rsid w:val="004F4658"/>
    <w:rsid w:val="004F4674"/>
    <w:rsid w:val="004F46A4"/>
    <w:rsid w:val="004F46CF"/>
    <w:rsid w:val="004F46F3"/>
    <w:rsid w:val="004F4760"/>
    <w:rsid w:val="004F47BC"/>
    <w:rsid w:val="004F48C0"/>
    <w:rsid w:val="004F48C1"/>
    <w:rsid w:val="004F4903"/>
    <w:rsid w:val="004F491A"/>
    <w:rsid w:val="004F4948"/>
    <w:rsid w:val="004F494D"/>
    <w:rsid w:val="004F49DA"/>
    <w:rsid w:val="004F4A07"/>
    <w:rsid w:val="004F4A38"/>
    <w:rsid w:val="004F4A3C"/>
    <w:rsid w:val="004F4A7E"/>
    <w:rsid w:val="004F4AAB"/>
    <w:rsid w:val="004F4B2D"/>
    <w:rsid w:val="004F4B4A"/>
    <w:rsid w:val="004F4B4D"/>
    <w:rsid w:val="004F4BB5"/>
    <w:rsid w:val="004F4C1A"/>
    <w:rsid w:val="004F4C28"/>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70"/>
    <w:rsid w:val="004F4FA3"/>
    <w:rsid w:val="004F4FD7"/>
    <w:rsid w:val="004F4FDB"/>
    <w:rsid w:val="004F5036"/>
    <w:rsid w:val="004F504E"/>
    <w:rsid w:val="004F507B"/>
    <w:rsid w:val="004F50BB"/>
    <w:rsid w:val="004F50E5"/>
    <w:rsid w:val="004F5147"/>
    <w:rsid w:val="004F5149"/>
    <w:rsid w:val="004F5174"/>
    <w:rsid w:val="004F5220"/>
    <w:rsid w:val="004F5250"/>
    <w:rsid w:val="004F52BA"/>
    <w:rsid w:val="004F52BF"/>
    <w:rsid w:val="004F52C6"/>
    <w:rsid w:val="004F52FA"/>
    <w:rsid w:val="004F5311"/>
    <w:rsid w:val="004F5313"/>
    <w:rsid w:val="004F532A"/>
    <w:rsid w:val="004F53C6"/>
    <w:rsid w:val="004F53CB"/>
    <w:rsid w:val="004F540A"/>
    <w:rsid w:val="004F542A"/>
    <w:rsid w:val="004F542C"/>
    <w:rsid w:val="004F5467"/>
    <w:rsid w:val="004F5500"/>
    <w:rsid w:val="004F552A"/>
    <w:rsid w:val="004F553A"/>
    <w:rsid w:val="004F5582"/>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97"/>
    <w:rsid w:val="004F58C5"/>
    <w:rsid w:val="004F595D"/>
    <w:rsid w:val="004F59B7"/>
    <w:rsid w:val="004F5A11"/>
    <w:rsid w:val="004F5A19"/>
    <w:rsid w:val="004F5A35"/>
    <w:rsid w:val="004F5ABE"/>
    <w:rsid w:val="004F5AD9"/>
    <w:rsid w:val="004F5B22"/>
    <w:rsid w:val="004F5B4D"/>
    <w:rsid w:val="004F5BFC"/>
    <w:rsid w:val="004F5C19"/>
    <w:rsid w:val="004F5C2E"/>
    <w:rsid w:val="004F5C48"/>
    <w:rsid w:val="004F5C5C"/>
    <w:rsid w:val="004F5C73"/>
    <w:rsid w:val="004F5C87"/>
    <w:rsid w:val="004F5CBE"/>
    <w:rsid w:val="004F5D20"/>
    <w:rsid w:val="004F5D77"/>
    <w:rsid w:val="004F5DAA"/>
    <w:rsid w:val="004F5DEE"/>
    <w:rsid w:val="004F5DF6"/>
    <w:rsid w:val="004F5DF9"/>
    <w:rsid w:val="004F5E1B"/>
    <w:rsid w:val="004F5E74"/>
    <w:rsid w:val="004F5E9A"/>
    <w:rsid w:val="004F5EA0"/>
    <w:rsid w:val="004F5EBB"/>
    <w:rsid w:val="004F5F19"/>
    <w:rsid w:val="004F5FC9"/>
    <w:rsid w:val="004F600D"/>
    <w:rsid w:val="004F6052"/>
    <w:rsid w:val="004F6060"/>
    <w:rsid w:val="004F606D"/>
    <w:rsid w:val="004F6076"/>
    <w:rsid w:val="004F60F1"/>
    <w:rsid w:val="004F60F7"/>
    <w:rsid w:val="004F613C"/>
    <w:rsid w:val="004F6171"/>
    <w:rsid w:val="004F617B"/>
    <w:rsid w:val="004F6197"/>
    <w:rsid w:val="004F61A2"/>
    <w:rsid w:val="004F61AC"/>
    <w:rsid w:val="004F61E2"/>
    <w:rsid w:val="004F61E7"/>
    <w:rsid w:val="004F6203"/>
    <w:rsid w:val="004F6258"/>
    <w:rsid w:val="004F6270"/>
    <w:rsid w:val="004F62FA"/>
    <w:rsid w:val="004F6320"/>
    <w:rsid w:val="004F63E6"/>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C7"/>
    <w:rsid w:val="004F66E2"/>
    <w:rsid w:val="004F675E"/>
    <w:rsid w:val="004F67EC"/>
    <w:rsid w:val="004F6812"/>
    <w:rsid w:val="004F6828"/>
    <w:rsid w:val="004F688A"/>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703D"/>
    <w:rsid w:val="004F7061"/>
    <w:rsid w:val="004F70C8"/>
    <w:rsid w:val="004F70EB"/>
    <w:rsid w:val="004F717F"/>
    <w:rsid w:val="004F719E"/>
    <w:rsid w:val="004F71E3"/>
    <w:rsid w:val="004F7213"/>
    <w:rsid w:val="004F724A"/>
    <w:rsid w:val="004F72E1"/>
    <w:rsid w:val="004F72E3"/>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56"/>
    <w:rsid w:val="004F7857"/>
    <w:rsid w:val="004F78F5"/>
    <w:rsid w:val="004F78F6"/>
    <w:rsid w:val="004F78FA"/>
    <w:rsid w:val="004F7915"/>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58"/>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9B"/>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66"/>
    <w:rsid w:val="0050028A"/>
    <w:rsid w:val="005002CC"/>
    <w:rsid w:val="005002D2"/>
    <w:rsid w:val="0050036E"/>
    <w:rsid w:val="00500373"/>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797"/>
    <w:rsid w:val="0050079F"/>
    <w:rsid w:val="005007AB"/>
    <w:rsid w:val="005007B5"/>
    <w:rsid w:val="005007BC"/>
    <w:rsid w:val="0050081C"/>
    <w:rsid w:val="0050082D"/>
    <w:rsid w:val="00500837"/>
    <w:rsid w:val="0050086D"/>
    <w:rsid w:val="00500891"/>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C"/>
    <w:rsid w:val="00500E11"/>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54"/>
    <w:rsid w:val="005017CA"/>
    <w:rsid w:val="005017CC"/>
    <w:rsid w:val="005017E3"/>
    <w:rsid w:val="0050181F"/>
    <w:rsid w:val="00501823"/>
    <w:rsid w:val="0050183D"/>
    <w:rsid w:val="00501859"/>
    <w:rsid w:val="0050186E"/>
    <w:rsid w:val="005018BF"/>
    <w:rsid w:val="005018CD"/>
    <w:rsid w:val="005018DB"/>
    <w:rsid w:val="005018EB"/>
    <w:rsid w:val="00501901"/>
    <w:rsid w:val="00501931"/>
    <w:rsid w:val="0050194C"/>
    <w:rsid w:val="00501967"/>
    <w:rsid w:val="00501989"/>
    <w:rsid w:val="005019A1"/>
    <w:rsid w:val="005019AC"/>
    <w:rsid w:val="005019CA"/>
    <w:rsid w:val="005019DB"/>
    <w:rsid w:val="00501ACF"/>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80"/>
    <w:rsid w:val="00501D90"/>
    <w:rsid w:val="00501D98"/>
    <w:rsid w:val="00501DF7"/>
    <w:rsid w:val="00501E6A"/>
    <w:rsid w:val="00501EDA"/>
    <w:rsid w:val="00501F07"/>
    <w:rsid w:val="00501F59"/>
    <w:rsid w:val="00501F91"/>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3BC"/>
    <w:rsid w:val="00502433"/>
    <w:rsid w:val="005024CC"/>
    <w:rsid w:val="005024E5"/>
    <w:rsid w:val="005024F0"/>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8A"/>
    <w:rsid w:val="00502B33"/>
    <w:rsid w:val="00502B44"/>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C8"/>
    <w:rsid w:val="00502FE3"/>
    <w:rsid w:val="0050301B"/>
    <w:rsid w:val="00503045"/>
    <w:rsid w:val="00503050"/>
    <w:rsid w:val="00503087"/>
    <w:rsid w:val="005030AD"/>
    <w:rsid w:val="005030D6"/>
    <w:rsid w:val="00503104"/>
    <w:rsid w:val="0050311D"/>
    <w:rsid w:val="0050313A"/>
    <w:rsid w:val="00503162"/>
    <w:rsid w:val="00503178"/>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2B"/>
    <w:rsid w:val="00503550"/>
    <w:rsid w:val="005035A3"/>
    <w:rsid w:val="005035E5"/>
    <w:rsid w:val="005035F7"/>
    <w:rsid w:val="0050360B"/>
    <w:rsid w:val="00503685"/>
    <w:rsid w:val="005036A2"/>
    <w:rsid w:val="005036AF"/>
    <w:rsid w:val="005036C9"/>
    <w:rsid w:val="005036E7"/>
    <w:rsid w:val="0050377F"/>
    <w:rsid w:val="005037F9"/>
    <w:rsid w:val="0050389A"/>
    <w:rsid w:val="005038DB"/>
    <w:rsid w:val="005038F0"/>
    <w:rsid w:val="00503929"/>
    <w:rsid w:val="0050392D"/>
    <w:rsid w:val="00503935"/>
    <w:rsid w:val="00503975"/>
    <w:rsid w:val="005039B6"/>
    <w:rsid w:val="00503A19"/>
    <w:rsid w:val="00503A5B"/>
    <w:rsid w:val="00503A85"/>
    <w:rsid w:val="00503B5D"/>
    <w:rsid w:val="00503B8E"/>
    <w:rsid w:val="00503BCF"/>
    <w:rsid w:val="00503C73"/>
    <w:rsid w:val="00503CBC"/>
    <w:rsid w:val="00503CC6"/>
    <w:rsid w:val="00503CD4"/>
    <w:rsid w:val="00503D52"/>
    <w:rsid w:val="00503DB9"/>
    <w:rsid w:val="00503DC5"/>
    <w:rsid w:val="00503DC6"/>
    <w:rsid w:val="00503E0C"/>
    <w:rsid w:val="00503EEF"/>
    <w:rsid w:val="00503F11"/>
    <w:rsid w:val="00503F1A"/>
    <w:rsid w:val="00503F60"/>
    <w:rsid w:val="00503FF1"/>
    <w:rsid w:val="0050406B"/>
    <w:rsid w:val="005040A1"/>
    <w:rsid w:val="005040C6"/>
    <w:rsid w:val="00504117"/>
    <w:rsid w:val="00504118"/>
    <w:rsid w:val="00504133"/>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31"/>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ED5"/>
    <w:rsid w:val="00504F5C"/>
    <w:rsid w:val="00504F82"/>
    <w:rsid w:val="00504F8A"/>
    <w:rsid w:val="00504F8D"/>
    <w:rsid w:val="00504FBB"/>
    <w:rsid w:val="00504FBE"/>
    <w:rsid w:val="00504FF9"/>
    <w:rsid w:val="00504FFE"/>
    <w:rsid w:val="00505010"/>
    <w:rsid w:val="0050506E"/>
    <w:rsid w:val="00505122"/>
    <w:rsid w:val="0050515B"/>
    <w:rsid w:val="005051B2"/>
    <w:rsid w:val="005051D9"/>
    <w:rsid w:val="005051EA"/>
    <w:rsid w:val="00505260"/>
    <w:rsid w:val="005052C2"/>
    <w:rsid w:val="005052CC"/>
    <w:rsid w:val="005052DB"/>
    <w:rsid w:val="00505382"/>
    <w:rsid w:val="00505435"/>
    <w:rsid w:val="00505446"/>
    <w:rsid w:val="00505494"/>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9"/>
    <w:rsid w:val="005058AB"/>
    <w:rsid w:val="005058B9"/>
    <w:rsid w:val="005058C1"/>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F78"/>
    <w:rsid w:val="00505F85"/>
    <w:rsid w:val="00505F87"/>
    <w:rsid w:val="00505FCC"/>
    <w:rsid w:val="00505FF0"/>
    <w:rsid w:val="005060EE"/>
    <w:rsid w:val="00506101"/>
    <w:rsid w:val="00506107"/>
    <w:rsid w:val="0050611E"/>
    <w:rsid w:val="00506135"/>
    <w:rsid w:val="005061AC"/>
    <w:rsid w:val="005061AE"/>
    <w:rsid w:val="005061AF"/>
    <w:rsid w:val="005061B3"/>
    <w:rsid w:val="0050623A"/>
    <w:rsid w:val="00506276"/>
    <w:rsid w:val="005062F9"/>
    <w:rsid w:val="00506313"/>
    <w:rsid w:val="00506327"/>
    <w:rsid w:val="0050637E"/>
    <w:rsid w:val="0050638E"/>
    <w:rsid w:val="005063F1"/>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7F8"/>
    <w:rsid w:val="0050680B"/>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D3"/>
    <w:rsid w:val="00506CF8"/>
    <w:rsid w:val="00506D53"/>
    <w:rsid w:val="00506D73"/>
    <w:rsid w:val="00506DBF"/>
    <w:rsid w:val="00506DE3"/>
    <w:rsid w:val="00506DFF"/>
    <w:rsid w:val="00506E24"/>
    <w:rsid w:val="00506E4F"/>
    <w:rsid w:val="00506E84"/>
    <w:rsid w:val="00506EAB"/>
    <w:rsid w:val="00506ED4"/>
    <w:rsid w:val="00506ED8"/>
    <w:rsid w:val="00506EE4"/>
    <w:rsid w:val="00506F2D"/>
    <w:rsid w:val="00506FF9"/>
    <w:rsid w:val="00507042"/>
    <w:rsid w:val="0050707F"/>
    <w:rsid w:val="0050717E"/>
    <w:rsid w:val="00507194"/>
    <w:rsid w:val="005071A2"/>
    <w:rsid w:val="005071AE"/>
    <w:rsid w:val="005071BC"/>
    <w:rsid w:val="005071E5"/>
    <w:rsid w:val="005071E9"/>
    <w:rsid w:val="0050721F"/>
    <w:rsid w:val="00507274"/>
    <w:rsid w:val="005072C7"/>
    <w:rsid w:val="005072C8"/>
    <w:rsid w:val="005072D2"/>
    <w:rsid w:val="005072E2"/>
    <w:rsid w:val="00507322"/>
    <w:rsid w:val="0050737C"/>
    <w:rsid w:val="005073D4"/>
    <w:rsid w:val="00507424"/>
    <w:rsid w:val="00507432"/>
    <w:rsid w:val="00507437"/>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3"/>
    <w:rsid w:val="00507818"/>
    <w:rsid w:val="00507858"/>
    <w:rsid w:val="00507865"/>
    <w:rsid w:val="005078FB"/>
    <w:rsid w:val="0050798B"/>
    <w:rsid w:val="00507995"/>
    <w:rsid w:val="005079DC"/>
    <w:rsid w:val="00507A58"/>
    <w:rsid w:val="00507A9C"/>
    <w:rsid w:val="00507ACF"/>
    <w:rsid w:val="00507B3E"/>
    <w:rsid w:val="00507B97"/>
    <w:rsid w:val="00507C1F"/>
    <w:rsid w:val="00507CAD"/>
    <w:rsid w:val="00507CD4"/>
    <w:rsid w:val="00507CDE"/>
    <w:rsid w:val="00507D46"/>
    <w:rsid w:val="00507D60"/>
    <w:rsid w:val="00507DCC"/>
    <w:rsid w:val="00507DF0"/>
    <w:rsid w:val="00507E49"/>
    <w:rsid w:val="00507E4D"/>
    <w:rsid w:val="00507EBB"/>
    <w:rsid w:val="00507EE9"/>
    <w:rsid w:val="00507F10"/>
    <w:rsid w:val="00507FB1"/>
    <w:rsid w:val="0051003F"/>
    <w:rsid w:val="0051008B"/>
    <w:rsid w:val="00510090"/>
    <w:rsid w:val="005100D0"/>
    <w:rsid w:val="00510164"/>
    <w:rsid w:val="0051018F"/>
    <w:rsid w:val="005101C4"/>
    <w:rsid w:val="005101F7"/>
    <w:rsid w:val="0051025F"/>
    <w:rsid w:val="0051028B"/>
    <w:rsid w:val="00510292"/>
    <w:rsid w:val="0051032F"/>
    <w:rsid w:val="00510374"/>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42"/>
    <w:rsid w:val="00510E4E"/>
    <w:rsid w:val="00510E92"/>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F3"/>
    <w:rsid w:val="0051140D"/>
    <w:rsid w:val="0051143A"/>
    <w:rsid w:val="00511481"/>
    <w:rsid w:val="00511497"/>
    <w:rsid w:val="00511509"/>
    <w:rsid w:val="005115FD"/>
    <w:rsid w:val="00511611"/>
    <w:rsid w:val="00511645"/>
    <w:rsid w:val="0051166E"/>
    <w:rsid w:val="0051167B"/>
    <w:rsid w:val="0051170A"/>
    <w:rsid w:val="0051172C"/>
    <w:rsid w:val="00511734"/>
    <w:rsid w:val="00511738"/>
    <w:rsid w:val="00511764"/>
    <w:rsid w:val="00511792"/>
    <w:rsid w:val="005117A6"/>
    <w:rsid w:val="005117EE"/>
    <w:rsid w:val="005118D9"/>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ED"/>
    <w:rsid w:val="0051232F"/>
    <w:rsid w:val="00512333"/>
    <w:rsid w:val="0051233E"/>
    <w:rsid w:val="00512384"/>
    <w:rsid w:val="00512390"/>
    <w:rsid w:val="005123E9"/>
    <w:rsid w:val="005123ED"/>
    <w:rsid w:val="0051242C"/>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9B"/>
    <w:rsid w:val="005128C3"/>
    <w:rsid w:val="005128D3"/>
    <w:rsid w:val="005128EA"/>
    <w:rsid w:val="00512903"/>
    <w:rsid w:val="00512928"/>
    <w:rsid w:val="00512948"/>
    <w:rsid w:val="005129AB"/>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C9"/>
    <w:rsid w:val="005130F2"/>
    <w:rsid w:val="0051310A"/>
    <w:rsid w:val="00513138"/>
    <w:rsid w:val="0051313A"/>
    <w:rsid w:val="0051319B"/>
    <w:rsid w:val="005131A3"/>
    <w:rsid w:val="005131E9"/>
    <w:rsid w:val="005131F4"/>
    <w:rsid w:val="0051321E"/>
    <w:rsid w:val="0051327D"/>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FE"/>
    <w:rsid w:val="0051365E"/>
    <w:rsid w:val="0051366A"/>
    <w:rsid w:val="00513676"/>
    <w:rsid w:val="0051375A"/>
    <w:rsid w:val="00513764"/>
    <w:rsid w:val="00513842"/>
    <w:rsid w:val="0051387A"/>
    <w:rsid w:val="00513881"/>
    <w:rsid w:val="00513926"/>
    <w:rsid w:val="00513928"/>
    <w:rsid w:val="00513949"/>
    <w:rsid w:val="0051396E"/>
    <w:rsid w:val="005139BF"/>
    <w:rsid w:val="00513A6D"/>
    <w:rsid w:val="00513A8F"/>
    <w:rsid w:val="00513ACF"/>
    <w:rsid w:val="00513B10"/>
    <w:rsid w:val="00513BF3"/>
    <w:rsid w:val="00513C14"/>
    <w:rsid w:val="00513C65"/>
    <w:rsid w:val="00513C70"/>
    <w:rsid w:val="00513C9A"/>
    <w:rsid w:val="00513CCA"/>
    <w:rsid w:val="00513CDD"/>
    <w:rsid w:val="00513D6D"/>
    <w:rsid w:val="00513D77"/>
    <w:rsid w:val="00513D7E"/>
    <w:rsid w:val="00513DC6"/>
    <w:rsid w:val="00513DCC"/>
    <w:rsid w:val="00513DE5"/>
    <w:rsid w:val="00513DE9"/>
    <w:rsid w:val="00513E15"/>
    <w:rsid w:val="00513E5E"/>
    <w:rsid w:val="00513EA3"/>
    <w:rsid w:val="00513EF6"/>
    <w:rsid w:val="00514036"/>
    <w:rsid w:val="00514066"/>
    <w:rsid w:val="0051407A"/>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22"/>
    <w:rsid w:val="005144DA"/>
    <w:rsid w:val="005144F3"/>
    <w:rsid w:val="0051456A"/>
    <w:rsid w:val="00514619"/>
    <w:rsid w:val="0051461B"/>
    <w:rsid w:val="0051463D"/>
    <w:rsid w:val="00514679"/>
    <w:rsid w:val="005146A7"/>
    <w:rsid w:val="005146C8"/>
    <w:rsid w:val="00514758"/>
    <w:rsid w:val="0051479C"/>
    <w:rsid w:val="00514840"/>
    <w:rsid w:val="00514880"/>
    <w:rsid w:val="00514895"/>
    <w:rsid w:val="005148AA"/>
    <w:rsid w:val="005148DE"/>
    <w:rsid w:val="00514907"/>
    <w:rsid w:val="00514917"/>
    <w:rsid w:val="0051492D"/>
    <w:rsid w:val="0051498E"/>
    <w:rsid w:val="00514999"/>
    <w:rsid w:val="005149AC"/>
    <w:rsid w:val="00514A44"/>
    <w:rsid w:val="00514AAE"/>
    <w:rsid w:val="00514B28"/>
    <w:rsid w:val="00514B35"/>
    <w:rsid w:val="00514B5B"/>
    <w:rsid w:val="00514B85"/>
    <w:rsid w:val="00514B86"/>
    <w:rsid w:val="00514BB5"/>
    <w:rsid w:val="00514BC4"/>
    <w:rsid w:val="00514BDC"/>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14"/>
    <w:rsid w:val="005150BE"/>
    <w:rsid w:val="005150C2"/>
    <w:rsid w:val="005150F3"/>
    <w:rsid w:val="005150FB"/>
    <w:rsid w:val="00515177"/>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7E3"/>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D9"/>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CC"/>
    <w:rsid w:val="00516711"/>
    <w:rsid w:val="0051673B"/>
    <w:rsid w:val="0051673F"/>
    <w:rsid w:val="00516768"/>
    <w:rsid w:val="00516769"/>
    <w:rsid w:val="005167BF"/>
    <w:rsid w:val="0051682E"/>
    <w:rsid w:val="00516842"/>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F09"/>
    <w:rsid w:val="00516F67"/>
    <w:rsid w:val="00516FA6"/>
    <w:rsid w:val="00516FA9"/>
    <w:rsid w:val="00516FC4"/>
    <w:rsid w:val="00517102"/>
    <w:rsid w:val="00517107"/>
    <w:rsid w:val="0051715B"/>
    <w:rsid w:val="00517201"/>
    <w:rsid w:val="0051720B"/>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72"/>
    <w:rsid w:val="005178E9"/>
    <w:rsid w:val="00517941"/>
    <w:rsid w:val="005179BC"/>
    <w:rsid w:val="00517A44"/>
    <w:rsid w:val="00517A70"/>
    <w:rsid w:val="00517A81"/>
    <w:rsid w:val="00517AB7"/>
    <w:rsid w:val="00517AD0"/>
    <w:rsid w:val="00517AE3"/>
    <w:rsid w:val="00517B8F"/>
    <w:rsid w:val="00517BF6"/>
    <w:rsid w:val="00517BFB"/>
    <w:rsid w:val="00517C2E"/>
    <w:rsid w:val="00517D6F"/>
    <w:rsid w:val="00517DA6"/>
    <w:rsid w:val="00517DC9"/>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1BD"/>
    <w:rsid w:val="00520263"/>
    <w:rsid w:val="005202BB"/>
    <w:rsid w:val="00520318"/>
    <w:rsid w:val="005203DF"/>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B"/>
    <w:rsid w:val="00520683"/>
    <w:rsid w:val="005206BD"/>
    <w:rsid w:val="005206C7"/>
    <w:rsid w:val="005206C9"/>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61"/>
    <w:rsid w:val="005209B6"/>
    <w:rsid w:val="005209FD"/>
    <w:rsid w:val="00520A0B"/>
    <w:rsid w:val="00520A4A"/>
    <w:rsid w:val="00520A85"/>
    <w:rsid w:val="00520AB7"/>
    <w:rsid w:val="00520B09"/>
    <w:rsid w:val="00520B35"/>
    <w:rsid w:val="00520B72"/>
    <w:rsid w:val="00520B93"/>
    <w:rsid w:val="00520BB3"/>
    <w:rsid w:val="00520C4E"/>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88"/>
    <w:rsid w:val="005211DF"/>
    <w:rsid w:val="005211F0"/>
    <w:rsid w:val="005212A8"/>
    <w:rsid w:val="005212B6"/>
    <w:rsid w:val="005212C6"/>
    <w:rsid w:val="005212C7"/>
    <w:rsid w:val="005212DD"/>
    <w:rsid w:val="00521348"/>
    <w:rsid w:val="00521364"/>
    <w:rsid w:val="00521372"/>
    <w:rsid w:val="00521380"/>
    <w:rsid w:val="005214CD"/>
    <w:rsid w:val="00521575"/>
    <w:rsid w:val="0052159F"/>
    <w:rsid w:val="005215FD"/>
    <w:rsid w:val="00521645"/>
    <w:rsid w:val="005216CA"/>
    <w:rsid w:val="00521746"/>
    <w:rsid w:val="00521753"/>
    <w:rsid w:val="0052178B"/>
    <w:rsid w:val="005217B5"/>
    <w:rsid w:val="005217CB"/>
    <w:rsid w:val="005217CE"/>
    <w:rsid w:val="005217E5"/>
    <w:rsid w:val="00521805"/>
    <w:rsid w:val="00521910"/>
    <w:rsid w:val="0052191A"/>
    <w:rsid w:val="00521945"/>
    <w:rsid w:val="00521951"/>
    <w:rsid w:val="00521958"/>
    <w:rsid w:val="0052199D"/>
    <w:rsid w:val="005219B5"/>
    <w:rsid w:val="005219D9"/>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96"/>
    <w:rsid w:val="005220E9"/>
    <w:rsid w:val="005220EE"/>
    <w:rsid w:val="0052212A"/>
    <w:rsid w:val="00522151"/>
    <w:rsid w:val="0052215D"/>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43F"/>
    <w:rsid w:val="0052248A"/>
    <w:rsid w:val="005224BF"/>
    <w:rsid w:val="0052252C"/>
    <w:rsid w:val="0052253E"/>
    <w:rsid w:val="0052255C"/>
    <w:rsid w:val="005225A3"/>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9"/>
    <w:rsid w:val="005229E5"/>
    <w:rsid w:val="005229FB"/>
    <w:rsid w:val="00522A73"/>
    <w:rsid w:val="00522AA7"/>
    <w:rsid w:val="00522BA7"/>
    <w:rsid w:val="00522C3C"/>
    <w:rsid w:val="00522CC4"/>
    <w:rsid w:val="00522D2C"/>
    <w:rsid w:val="00522D55"/>
    <w:rsid w:val="00522D67"/>
    <w:rsid w:val="00522D71"/>
    <w:rsid w:val="00522D7F"/>
    <w:rsid w:val="00522D8D"/>
    <w:rsid w:val="00522D92"/>
    <w:rsid w:val="00522D95"/>
    <w:rsid w:val="00522DAE"/>
    <w:rsid w:val="00522DF9"/>
    <w:rsid w:val="00522DFB"/>
    <w:rsid w:val="00522E03"/>
    <w:rsid w:val="00522EBF"/>
    <w:rsid w:val="00522EF9"/>
    <w:rsid w:val="00522F0A"/>
    <w:rsid w:val="00522F19"/>
    <w:rsid w:val="00522F35"/>
    <w:rsid w:val="00522F49"/>
    <w:rsid w:val="00522FD1"/>
    <w:rsid w:val="00523035"/>
    <w:rsid w:val="0052307D"/>
    <w:rsid w:val="00523080"/>
    <w:rsid w:val="00523097"/>
    <w:rsid w:val="005230E1"/>
    <w:rsid w:val="005230E8"/>
    <w:rsid w:val="0052312E"/>
    <w:rsid w:val="0052317C"/>
    <w:rsid w:val="00523185"/>
    <w:rsid w:val="0052319B"/>
    <w:rsid w:val="00523202"/>
    <w:rsid w:val="0052321D"/>
    <w:rsid w:val="0052324D"/>
    <w:rsid w:val="0052325D"/>
    <w:rsid w:val="00523296"/>
    <w:rsid w:val="005232EA"/>
    <w:rsid w:val="0052331E"/>
    <w:rsid w:val="005233B3"/>
    <w:rsid w:val="005233E7"/>
    <w:rsid w:val="005233F7"/>
    <w:rsid w:val="0052341F"/>
    <w:rsid w:val="0052343B"/>
    <w:rsid w:val="0052343F"/>
    <w:rsid w:val="00523443"/>
    <w:rsid w:val="00523482"/>
    <w:rsid w:val="0052348C"/>
    <w:rsid w:val="00523492"/>
    <w:rsid w:val="00523497"/>
    <w:rsid w:val="00523498"/>
    <w:rsid w:val="005234B1"/>
    <w:rsid w:val="00523501"/>
    <w:rsid w:val="005236C3"/>
    <w:rsid w:val="005236C5"/>
    <w:rsid w:val="005236FE"/>
    <w:rsid w:val="0052370E"/>
    <w:rsid w:val="00523725"/>
    <w:rsid w:val="00523733"/>
    <w:rsid w:val="00523779"/>
    <w:rsid w:val="00523829"/>
    <w:rsid w:val="00523832"/>
    <w:rsid w:val="00523835"/>
    <w:rsid w:val="0052383C"/>
    <w:rsid w:val="005238D4"/>
    <w:rsid w:val="0052390E"/>
    <w:rsid w:val="00523923"/>
    <w:rsid w:val="005239D4"/>
    <w:rsid w:val="00523A30"/>
    <w:rsid w:val="00523A5A"/>
    <w:rsid w:val="00523A8A"/>
    <w:rsid w:val="00523A8E"/>
    <w:rsid w:val="00523AA0"/>
    <w:rsid w:val="00523AAC"/>
    <w:rsid w:val="00523AD0"/>
    <w:rsid w:val="00523B1B"/>
    <w:rsid w:val="00523B1C"/>
    <w:rsid w:val="00523B8A"/>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402E"/>
    <w:rsid w:val="005240C4"/>
    <w:rsid w:val="0052413F"/>
    <w:rsid w:val="0052417B"/>
    <w:rsid w:val="00524184"/>
    <w:rsid w:val="00524204"/>
    <w:rsid w:val="00524224"/>
    <w:rsid w:val="0052424E"/>
    <w:rsid w:val="0052427A"/>
    <w:rsid w:val="005242FE"/>
    <w:rsid w:val="0052432D"/>
    <w:rsid w:val="00524346"/>
    <w:rsid w:val="00524376"/>
    <w:rsid w:val="0052439D"/>
    <w:rsid w:val="005243AA"/>
    <w:rsid w:val="005243CB"/>
    <w:rsid w:val="005243E9"/>
    <w:rsid w:val="00524403"/>
    <w:rsid w:val="0052442C"/>
    <w:rsid w:val="00524449"/>
    <w:rsid w:val="0052446C"/>
    <w:rsid w:val="00524499"/>
    <w:rsid w:val="005244B8"/>
    <w:rsid w:val="005244BF"/>
    <w:rsid w:val="0052451E"/>
    <w:rsid w:val="00524535"/>
    <w:rsid w:val="00524555"/>
    <w:rsid w:val="00524580"/>
    <w:rsid w:val="00524599"/>
    <w:rsid w:val="005245A2"/>
    <w:rsid w:val="005245CA"/>
    <w:rsid w:val="005245CF"/>
    <w:rsid w:val="005245E7"/>
    <w:rsid w:val="005245ED"/>
    <w:rsid w:val="0052464A"/>
    <w:rsid w:val="005246D6"/>
    <w:rsid w:val="005246DE"/>
    <w:rsid w:val="00524702"/>
    <w:rsid w:val="00524706"/>
    <w:rsid w:val="005247C6"/>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52"/>
    <w:rsid w:val="00524A72"/>
    <w:rsid w:val="00524AE1"/>
    <w:rsid w:val="00524AE2"/>
    <w:rsid w:val="00524AED"/>
    <w:rsid w:val="00524B11"/>
    <w:rsid w:val="00524BA3"/>
    <w:rsid w:val="00524BD0"/>
    <w:rsid w:val="00524BD2"/>
    <w:rsid w:val="00524BDA"/>
    <w:rsid w:val="00524C0D"/>
    <w:rsid w:val="00524C37"/>
    <w:rsid w:val="00524C53"/>
    <w:rsid w:val="00524C88"/>
    <w:rsid w:val="00524D3D"/>
    <w:rsid w:val="00524DCB"/>
    <w:rsid w:val="00524DDB"/>
    <w:rsid w:val="00524E18"/>
    <w:rsid w:val="00524E35"/>
    <w:rsid w:val="00524E37"/>
    <w:rsid w:val="00524E9D"/>
    <w:rsid w:val="00524EAB"/>
    <w:rsid w:val="00524EC8"/>
    <w:rsid w:val="00524F44"/>
    <w:rsid w:val="00524F8A"/>
    <w:rsid w:val="00524F92"/>
    <w:rsid w:val="00524FC9"/>
    <w:rsid w:val="00524FFE"/>
    <w:rsid w:val="00524FFF"/>
    <w:rsid w:val="00525001"/>
    <w:rsid w:val="00525044"/>
    <w:rsid w:val="0052504F"/>
    <w:rsid w:val="0052512A"/>
    <w:rsid w:val="00525138"/>
    <w:rsid w:val="00525143"/>
    <w:rsid w:val="0052514D"/>
    <w:rsid w:val="00525170"/>
    <w:rsid w:val="00525186"/>
    <w:rsid w:val="005251D2"/>
    <w:rsid w:val="005251FA"/>
    <w:rsid w:val="00525226"/>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156"/>
    <w:rsid w:val="005261D0"/>
    <w:rsid w:val="005262BE"/>
    <w:rsid w:val="005262D6"/>
    <w:rsid w:val="005262EE"/>
    <w:rsid w:val="00526344"/>
    <w:rsid w:val="00526373"/>
    <w:rsid w:val="00526399"/>
    <w:rsid w:val="005263A8"/>
    <w:rsid w:val="005263BE"/>
    <w:rsid w:val="00526415"/>
    <w:rsid w:val="00526469"/>
    <w:rsid w:val="0052646F"/>
    <w:rsid w:val="005264B1"/>
    <w:rsid w:val="005264C2"/>
    <w:rsid w:val="005264E0"/>
    <w:rsid w:val="005264E2"/>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A03"/>
    <w:rsid w:val="00526A1F"/>
    <w:rsid w:val="00526A4D"/>
    <w:rsid w:val="00526A6F"/>
    <w:rsid w:val="00526A76"/>
    <w:rsid w:val="00526B98"/>
    <w:rsid w:val="00526BD7"/>
    <w:rsid w:val="00526BE9"/>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5D4"/>
    <w:rsid w:val="00527650"/>
    <w:rsid w:val="00527674"/>
    <w:rsid w:val="00527687"/>
    <w:rsid w:val="005276DE"/>
    <w:rsid w:val="005276FF"/>
    <w:rsid w:val="00527706"/>
    <w:rsid w:val="0052770D"/>
    <w:rsid w:val="00527715"/>
    <w:rsid w:val="00527744"/>
    <w:rsid w:val="00527897"/>
    <w:rsid w:val="0052796F"/>
    <w:rsid w:val="00527996"/>
    <w:rsid w:val="005279C5"/>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BC"/>
    <w:rsid w:val="00527DE5"/>
    <w:rsid w:val="00527E51"/>
    <w:rsid w:val="00527E53"/>
    <w:rsid w:val="00527ECB"/>
    <w:rsid w:val="00527EF0"/>
    <w:rsid w:val="00527F0A"/>
    <w:rsid w:val="00527F0E"/>
    <w:rsid w:val="00527F2A"/>
    <w:rsid w:val="00527F36"/>
    <w:rsid w:val="00527F4B"/>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E9"/>
    <w:rsid w:val="005305F3"/>
    <w:rsid w:val="00530624"/>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FC"/>
    <w:rsid w:val="00530C22"/>
    <w:rsid w:val="00530C3A"/>
    <w:rsid w:val="00530C51"/>
    <w:rsid w:val="00530C92"/>
    <w:rsid w:val="00530C9F"/>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DD"/>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18"/>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60"/>
    <w:rsid w:val="00532097"/>
    <w:rsid w:val="005320BA"/>
    <w:rsid w:val="005320BE"/>
    <w:rsid w:val="00532123"/>
    <w:rsid w:val="0053212A"/>
    <w:rsid w:val="0053212C"/>
    <w:rsid w:val="0053215F"/>
    <w:rsid w:val="00532177"/>
    <w:rsid w:val="00532179"/>
    <w:rsid w:val="005321A9"/>
    <w:rsid w:val="0053220E"/>
    <w:rsid w:val="00532365"/>
    <w:rsid w:val="0053238B"/>
    <w:rsid w:val="00532394"/>
    <w:rsid w:val="005323A7"/>
    <w:rsid w:val="005323AB"/>
    <w:rsid w:val="0053247D"/>
    <w:rsid w:val="0053248D"/>
    <w:rsid w:val="005324AD"/>
    <w:rsid w:val="005324BA"/>
    <w:rsid w:val="005324EA"/>
    <w:rsid w:val="0053250E"/>
    <w:rsid w:val="00532525"/>
    <w:rsid w:val="00532528"/>
    <w:rsid w:val="0053252D"/>
    <w:rsid w:val="00532599"/>
    <w:rsid w:val="005325A4"/>
    <w:rsid w:val="005325A9"/>
    <w:rsid w:val="0053262F"/>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77"/>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A"/>
    <w:rsid w:val="005334CB"/>
    <w:rsid w:val="005334ED"/>
    <w:rsid w:val="005334F4"/>
    <w:rsid w:val="005334FB"/>
    <w:rsid w:val="00533505"/>
    <w:rsid w:val="00533513"/>
    <w:rsid w:val="0053353D"/>
    <w:rsid w:val="0053354B"/>
    <w:rsid w:val="0053356C"/>
    <w:rsid w:val="00533592"/>
    <w:rsid w:val="00533600"/>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67"/>
    <w:rsid w:val="00533C36"/>
    <w:rsid w:val="00533C78"/>
    <w:rsid w:val="00533C82"/>
    <w:rsid w:val="00533CCE"/>
    <w:rsid w:val="00533D50"/>
    <w:rsid w:val="00533D76"/>
    <w:rsid w:val="00533D9B"/>
    <w:rsid w:val="00533DF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62"/>
    <w:rsid w:val="00534164"/>
    <w:rsid w:val="0053418B"/>
    <w:rsid w:val="00534212"/>
    <w:rsid w:val="005342B3"/>
    <w:rsid w:val="005342DD"/>
    <w:rsid w:val="005342E6"/>
    <w:rsid w:val="0053431F"/>
    <w:rsid w:val="0053432E"/>
    <w:rsid w:val="00534374"/>
    <w:rsid w:val="005343CD"/>
    <w:rsid w:val="005344D0"/>
    <w:rsid w:val="005344FA"/>
    <w:rsid w:val="00534502"/>
    <w:rsid w:val="00534552"/>
    <w:rsid w:val="005345D4"/>
    <w:rsid w:val="00534642"/>
    <w:rsid w:val="0053465A"/>
    <w:rsid w:val="00534677"/>
    <w:rsid w:val="005346C3"/>
    <w:rsid w:val="005346DA"/>
    <w:rsid w:val="005346EF"/>
    <w:rsid w:val="00534727"/>
    <w:rsid w:val="00534764"/>
    <w:rsid w:val="00534849"/>
    <w:rsid w:val="00534884"/>
    <w:rsid w:val="005348D5"/>
    <w:rsid w:val="005348E9"/>
    <w:rsid w:val="005348F2"/>
    <w:rsid w:val="00534928"/>
    <w:rsid w:val="0053495E"/>
    <w:rsid w:val="0053497A"/>
    <w:rsid w:val="0053497F"/>
    <w:rsid w:val="00534991"/>
    <w:rsid w:val="005349A8"/>
    <w:rsid w:val="005349CE"/>
    <w:rsid w:val="00534A1E"/>
    <w:rsid w:val="00534AAB"/>
    <w:rsid w:val="00534B20"/>
    <w:rsid w:val="00534B4B"/>
    <w:rsid w:val="00534B59"/>
    <w:rsid w:val="00534B9B"/>
    <w:rsid w:val="00534BB0"/>
    <w:rsid w:val="00534C07"/>
    <w:rsid w:val="00534C27"/>
    <w:rsid w:val="00534C56"/>
    <w:rsid w:val="00534C64"/>
    <w:rsid w:val="00534C9E"/>
    <w:rsid w:val="00534D77"/>
    <w:rsid w:val="00534D8F"/>
    <w:rsid w:val="00534DF0"/>
    <w:rsid w:val="00534E63"/>
    <w:rsid w:val="00534E70"/>
    <w:rsid w:val="00534E9C"/>
    <w:rsid w:val="00534EA6"/>
    <w:rsid w:val="00534ED5"/>
    <w:rsid w:val="00534F3A"/>
    <w:rsid w:val="00534F41"/>
    <w:rsid w:val="00534F90"/>
    <w:rsid w:val="00535053"/>
    <w:rsid w:val="00535090"/>
    <w:rsid w:val="005350D1"/>
    <w:rsid w:val="00535284"/>
    <w:rsid w:val="00535297"/>
    <w:rsid w:val="005352C0"/>
    <w:rsid w:val="005352D9"/>
    <w:rsid w:val="00535306"/>
    <w:rsid w:val="005353AB"/>
    <w:rsid w:val="005353B0"/>
    <w:rsid w:val="005353B7"/>
    <w:rsid w:val="00535401"/>
    <w:rsid w:val="00535407"/>
    <w:rsid w:val="00535418"/>
    <w:rsid w:val="0053541F"/>
    <w:rsid w:val="00535475"/>
    <w:rsid w:val="005354B7"/>
    <w:rsid w:val="005354DE"/>
    <w:rsid w:val="005354E1"/>
    <w:rsid w:val="0053550A"/>
    <w:rsid w:val="00535554"/>
    <w:rsid w:val="00535581"/>
    <w:rsid w:val="00535597"/>
    <w:rsid w:val="00535608"/>
    <w:rsid w:val="00535642"/>
    <w:rsid w:val="0053567B"/>
    <w:rsid w:val="005356CB"/>
    <w:rsid w:val="005357BF"/>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05"/>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7E"/>
    <w:rsid w:val="00535DC5"/>
    <w:rsid w:val="00535DE2"/>
    <w:rsid w:val="00535E40"/>
    <w:rsid w:val="00535E4C"/>
    <w:rsid w:val="00535F0C"/>
    <w:rsid w:val="00535F13"/>
    <w:rsid w:val="00535F22"/>
    <w:rsid w:val="00535F56"/>
    <w:rsid w:val="00535F74"/>
    <w:rsid w:val="00535F89"/>
    <w:rsid w:val="00535FAE"/>
    <w:rsid w:val="00535FC1"/>
    <w:rsid w:val="00535FCF"/>
    <w:rsid w:val="0053602E"/>
    <w:rsid w:val="005360A8"/>
    <w:rsid w:val="005360AE"/>
    <w:rsid w:val="0053615A"/>
    <w:rsid w:val="0053616C"/>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92C"/>
    <w:rsid w:val="0053692D"/>
    <w:rsid w:val="00536960"/>
    <w:rsid w:val="0053698E"/>
    <w:rsid w:val="00536997"/>
    <w:rsid w:val="00536A55"/>
    <w:rsid w:val="00536A9C"/>
    <w:rsid w:val="00536ADE"/>
    <w:rsid w:val="00536B0B"/>
    <w:rsid w:val="00536B4F"/>
    <w:rsid w:val="00536B5A"/>
    <w:rsid w:val="00536B90"/>
    <w:rsid w:val="00536BB6"/>
    <w:rsid w:val="00536C33"/>
    <w:rsid w:val="00536C3C"/>
    <w:rsid w:val="00536C4B"/>
    <w:rsid w:val="00536C8C"/>
    <w:rsid w:val="00536CAD"/>
    <w:rsid w:val="00536CFA"/>
    <w:rsid w:val="00536DA3"/>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6D"/>
    <w:rsid w:val="00537B72"/>
    <w:rsid w:val="00537B73"/>
    <w:rsid w:val="00537B75"/>
    <w:rsid w:val="00537B95"/>
    <w:rsid w:val="00537BD9"/>
    <w:rsid w:val="00537C03"/>
    <w:rsid w:val="00537C2F"/>
    <w:rsid w:val="00537C5C"/>
    <w:rsid w:val="00537CA0"/>
    <w:rsid w:val="00537CB2"/>
    <w:rsid w:val="00537CE3"/>
    <w:rsid w:val="00537CF2"/>
    <w:rsid w:val="00537D81"/>
    <w:rsid w:val="00537E1F"/>
    <w:rsid w:val="00537E66"/>
    <w:rsid w:val="00537E79"/>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4F3"/>
    <w:rsid w:val="00540519"/>
    <w:rsid w:val="00540550"/>
    <w:rsid w:val="00540553"/>
    <w:rsid w:val="00540589"/>
    <w:rsid w:val="005405B0"/>
    <w:rsid w:val="005405E1"/>
    <w:rsid w:val="0054060D"/>
    <w:rsid w:val="00540645"/>
    <w:rsid w:val="0054065D"/>
    <w:rsid w:val="0054066A"/>
    <w:rsid w:val="005406AE"/>
    <w:rsid w:val="00540729"/>
    <w:rsid w:val="00540732"/>
    <w:rsid w:val="00540843"/>
    <w:rsid w:val="00540878"/>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D"/>
    <w:rsid w:val="00540BA1"/>
    <w:rsid w:val="00540BB5"/>
    <w:rsid w:val="00540BD4"/>
    <w:rsid w:val="00540BE4"/>
    <w:rsid w:val="00540BE6"/>
    <w:rsid w:val="00540BE8"/>
    <w:rsid w:val="00540BFF"/>
    <w:rsid w:val="00540C31"/>
    <w:rsid w:val="00540C32"/>
    <w:rsid w:val="00540C4E"/>
    <w:rsid w:val="00540C62"/>
    <w:rsid w:val="00540D02"/>
    <w:rsid w:val="00540D44"/>
    <w:rsid w:val="00540DBC"/>
    <w:rsid w:val="00540DFA"/>
    <w:rsid w:val="00540DFE"/>
    <w:rsid w:val="00540DFF"/>
    <w:rsid w:val="00540E51"/>
    <w:rsid w:val="00540E77"/>
    <w:rsid w:val="00540E87"/>
    <w:rsid w:val="00540E9A"/>
    <w:rsid w:val="00540F1E"/>
    <w:rsid w:val="00540F99"/>
    <w:rsid w:val="00540FD5"/>
    <w:rsid w:val="0054101F"/>
    <w:rsid w:val="0054105A"/>
    <w:rsid w:val="005410A9"/>
    <w:rsid w:val="005410DA"/>
    <w:rsid w:val="00541111"/>
    <w:rsid w:val="00541125"/>
    <w:rsid w:val="0054112A"/>
    <w:rsid w:val="0054116C"/>
    <w:rsid w:val="00541176"/>
    <w:rsid w:val="005411C1"/>
    <w:rsid w:val="005411F3"/>
    <w:rsid w:val="005411F4"/>
    <w:rsid w:val="0054122C"/>
    <w:rsid w:val="005412AD"/>
    <w:rsid w:val="00541378"/>
    <w:rsid w:val="00541395"/>
    <w:rsid w:val="0054139E"/>
    <w:rsid w:val="0054143F"/>
    <w:rsid w:val="0054145C"/>
    <w:rsid w:val="005414B7"/>
    <w:rsid w:val="005414D8"/>
    <w:rsid w:val="00541517"/>
    <w:rsid w:val="00541534"/>
    <w:rsid w:val="00541544"/>
    <w:rsid w:val="00541546"/>
    <w:rsid w:val="00541556"/>
    <w:rsid w:val="0054155E"/>
    <w:rsid w:val="00541573"/>
    <w:rsid w:val="00541579"/>
    <w:rsid w:val="005415C8"/>
    <w:rsid w:val="005415F4"/>
    <w:rsid w:val="00541666"/>
    <w:rsid w:val="005416BD"/>
    <w:rsid w:val="0054173B"/>
    <w:rsid w:val="0054183A"/>
    <w:rsid w:val="0054185E"/>
    <w:rsid w:val="0054188C"/>
    <w:rsid w:val="005418AD"/>
    <w:rsid w:val="005418C0"/>
    <w:rsid w:val="005418DF"/>
    <w:rsid w:val="0054192B"/>
    <w:rsid w:val="0054199C"/>
    <w:rsid w:val="005419FA"/>
    <w:rsid w:val="00541A08"/>
    <w:rsid w:val="00541A20"/>
    <w:rsid w:val="00541A24"/>
    <w:rsid w:val="00541A40"/>
    <w:rsid w:val="00541A6F"/>
    <w:rsid w:val="00541A7D"/>
    <w:rsid w:val="00541A7F"/>
    <w:rsid w:val="00541B1C"/>
    <w:rsid w:val="00541B2A"/>
    <w:rsid w:val="00541BBC"/>
    <w:rsid w:val="00541C64"/>
    <w:rsid w:val="00541C89"/>
    <w:rsid w:val="00541CB2"/>
    <w:rsid w:val="00541CBD"/>
    <w:rsid w:val="00541CC0"/>
    <w:rsid w:val="00541CCF"/>
    <w:rsid w:val="00541D1C"/>
    <w:rsid w:val="00541D32"/>
    <w:rsid w:val="00541E07"/>
    <w:rsid w:val="00541E19"/>
    <w:rsid w:val="00541E61"/>
    <w:rsid w:val="00541E73"/>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818"/>
    <w:rsid w:val="0054283F"/>
    <w:rsid w:val="005428EE"/>
    <w:rsid w:val="0054292C"/>
    <w:rsid w:val="00542957"/>
    <w:rsid w:val="00542964"/>
    <w:rsid w:val="0054296D"/>
    <w:rsid w:val="0054298D"/>
    <w:rsid w:val="005429BD"/>
    <w:rsid w:val="005429E5"/>
    <w:rsid w:val="00542A08"/>
    <w:rsid w:val="00542A15"/>
    <w:rsid w:val="00542A4D"/>
    <w:rsid w:val="00542A52"/>
    <w:rsid w:val="00542A64"/>
    <w:rsid w:val="00542B18"/>
    <w:rsid w:val="00542B54"/>
    <w:rsid w:val="00542B57"/>
    <w:rsid w:val="00542B70"/>
    <w:rsid w:val="00542B8F"/>
    <w:rsid w:val="00542BA8"/>
    <w:rsid w:val="00542BBB"/>
    <w:rsid w:val="00542BD5"/>
    <w:rsid w:val="00542BDB"/>
    <w:rsid w:val="00542BEA"/>
    <w:rsid w:val="00542C7E"/>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D"/>
    <w:rsid w:val="00542F81"/>
    <w:rsid w:val="00542F96"/>
    <w:rsid w:val="00543098"/>
    <w:rsid w:val="0054312C"/>
    <w:rsid w:val="005431B4"/>
    <w:rsid w:val="00543228"/>
    <w:rsid w:val="00543356"/>
    <w:rsid w:val="00543357"/>
    <w:rsid w:val="005433EE"/>
    <w:rsid w:val="005433F6"/>
    <w:rsid w:val="00543409"/>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94"/>
    <w:rsid w:val="005438A1"/>
    <w:rsid w:val="005438E0"/>
    <w:rsid w:val="0054392A"/>
    <w:rsid w:val="0054395E"/>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B"/>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420"/>
    <w:rsid w:val="0054447B"/>
    <w:rsid w:val="005444B6"/>
    <w:rsid w:val="005444BC"/>
    <w:rsid w:val="005444C8"/>
    <w:rsid w:val="0054454A"/>
    <w:rsid w:val="0054455B"/>
    <w:rsid w:val="00544575"/>
    <w:rsid w:val="00544594"/>
    <w:rsid w:val="005445D1"/>
    <w:rsid w:val="005445D6"/>
    <w:rsid w:val="005445FD"/>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9B"/>
    <w:rsid w:val="005449AF"/>
    <w:rsid w:val="00544A2B"/>
    <w:rsid w:val="00544A68"/>
    <w:rsid w:val="00544AD8"/>
    <w:rsid w:val="00544B21"/>
    <w:rsid w:val="00544B52"/>
    <w:rsid w:val="00544B7F"/>
    <w:rsid w:val="00544B8B"/>
    <w:rsid w:val="00544BE4"/>
    <w:rsid w:val="00544C2F"/>
    <w:rsid w:val="00544C8A"/>
    <w:rsid w:val="00544CA0"/>
    <w:rsid w:val="00544D9E"/>
    <w:rsid w:val="00544DD5"/>
    <w:rsid w:val="00544E42"/>
    <w:rsid w:val="00544E45"/>
    <w:rsid w:val="00544EDA"/>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FB"/>
    <w:rsid w:val="005457FD"/>
    <w:rsid w:val="00545800"/>
    <w:rsid w:val="00545811"/>
    <w:rsid w:val="0054583F"/>
    <w:rsid w:val="005458D1"/>
    <w:rsid w:val="00545935"/>
    <w:rsid w:val="005459BC"/>
    <w:rsid w:val="005459E6"/>
    <w:rsid w:val="00545A78"/>
    <w:rsid w:val="00545AC7"/>
    <w:rsid w:val="00545AE4"/>
    <w:rsid w:val="00545AEA"/>
    <w:rsid w:val="00545B60"/>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86"/>
    <w:rsid w:val="00545EB3"/>
    <w:rsid w:val="00545EF2"/>
    <w:rsid w:val="00545F30"/>
    <w:rsid w:val="00545F44"/>
    <w:rsid w:val="00545F65"/>
    <w:rsid w:val="00545F94"/>
    <w:rsid w:val="00545FC1"/>
    <w:rsid w:val="00545FD1"/>
    <w:rsid w:val="00545FFA"/>
    <w:rsid w:val="0054604F"/>
    <w:rsid w:val="0054605F"/>
    <w:rsid w:val="005460CB"/>
    <w:rsid w:val="005460D7"/>
    <w:rsid w:val="005460D9"/>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56"/>
    <w:rsid w:val="00546B97"/>
    <w:rsid w:val="00546BE2"/>
    <w:rsid w:val="00546BFE"/>
    <w:rsid w:val="00546C45"/>
    <w:rsid w:val="00546C7A"/>
    <w:rsid w:val="00546CE2"/>
    <w:rsid w:val="00546D17"/>
    <w:rsid w:val="00546D4C"/>
    <w:rsid w:val="00546E05"/>
    <w:rsid w:val="00546E16"/>
    <w:rsid w:val="00546E2C"/>
    <w:rsid w:val="00546E33"/>
    <w:rsid w:val="00546E3B"/>
    <w:rsid w:val="00546EBC"/>
    <w:rsid w:val="00546F0D"/>
    <w:rsid w:val="00546F2B"/>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7F"/>
    <w:rsid w:val="00547298"/>
    <w:rsid w:val="005472CC"/>
    <w:rsid w:val="005472F3"/>
    <w:rsid w:val="0054730D"/>
    <w:rsid w:val="00547329"/>
    <w:rsid w:val="0054733F"/>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BFF"/>
    <w:rsid w:val="00547C81"/>
    <w:rsid w:val="00547D41"/>
    <w:rsid w:val="00547D62"/>
    <w:rsid w:val="00547D6A"/>
    <w:rsid w:val="00547DF0"/>
    <w:rsid w:val="00547EB2"/>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9C"/>
    <w:rsid w:val="0055090A"/>
    <w:rsid w:val="00550953"/>
    <w:rsid w:val="005509E1"/>
    <w:rsid w:val="00550A25"/>
    <w:rsid w:val="00550A4D"/>
    <w:rsid w:val="00550AB2"/>
    <w:rsid w:val="00550ABE"/>
    <w:rsid w:val="00550ADC"/>
    <w:rsid w:val="00550ADF"/>
    <w:rsid w:val="00550B0D"/>
    <w:rsid w:val="00550B21"/>
    <w:rsid w:val="00550C90"/>
    <w:rsid w:val="00550CAB"/>
    <w:rsid w:val="00550CAF"/>
    <w:rsid w:val="00550CCF"/>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D7"/>
    <w:rsid w:val="00551703"/>
    <w:rsid w:val="00551734"/>
    <w:rsid w:val="00551754"/>
    <w:rsid w:val="0055178B"/>
    <w:rsid w:val="005517C0"/>
    <w:rsid w:val="005517D4"/>
    <w:rsid w:val="005517DF"/>
    <w:rsid w:val="0055182D"/>
    <w:rsid w:val="00551835"/>
    <w:rsid w:val="00551841"/>
    <w:rsid w:val="0055186C"/>
    <w:rsid w:val="005518C8"/>
    <w:rsid w:val="005518E5"/>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04"/>
    <w:rsid w:val="0055222E"/>
    <w:rsid w:val="0055225F"/>
    <w:rsid w:val="00552283"/>
    <w:rsid w:val="00552325"/>
    <w:rsid w:val="00552327"/>
    <w:rsid w:val="0055232C"/>
    <w:rsid w:val="0055238B"/>
    <w:rsid w:val="005523A9"/>
    <w:rsid w:val="005523BA"/>
    <w:rsid w:val="005523C6"/>
    <w:rsid w:val="0055243F"/>
    <w:rsid w:val="00552488"/>
    <w:rsid w:val="005524C7"/>
    <w:rsid w:val="0055251E"/>
    <w:rsid w:val="005525A3"/>
    <w:rsid w:val="005525E3"/>
    <w:rsid w:val="005525E5"/>
    <w:rsid w:val="00552643"/>
    <w:rsid w:val="00552669"/>
    <w:rsid w:val="0055274B"/>
    <w:rsid w:val="00552755"/>
    <w:rsid w:val="0055275F"/>
    <w:rsid w:val="005527B4"/>
    <w:rsid w:val="005527BF"/>
    <w:rsid w:val="00552846"/>
    <w:rsid w:val="00552853"/>
    <w:rsid w:val="005528E7"/>
    <w:rsid w:val="00552913"/>
    <w:rsid w:val="00552924"/>
    <w:rsid w:val="00552925"/>
    <w:rsid w:val="00552999"/>
    <w:rsid w:val="005529A5"/>
    <w:rsid w:val="005529DA"/>
    <w:rsid w:val="005529DB"/>
    <w:rsid w:val="00552A18"/>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31"/>
    <w:rsid w:val="00553B58"/>
    <w:rsid w:val="00553BA6"/>
    <w:rsid w:val="00553C0A"/>
    <w:rsid w:val="00553CB9"/>
    <w:rsid w:val="00553D2C"/>
    <w:rsid w:val="00553D7E"/>
    <w:rsid w:val="00553E30"/>
    <w:rsid w:val="00553E92"/>
    <w:rsid w:val="00553E96"/>
    <w:rsid w:val="00553EE3"/>
    <w:rsid w:val="00553F8C"/>
    <w:rsid w:val="00553FEF"/>
    <w:rsid w:val="0055400A"/>
    <w:rsid w:val="00554018"/>
    <w:rsid w:val="00554042"/>
    <w:rsid w:val="00554059"/>
    <w:rsid w:val="005540E6"/>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EB"/>
    <w:rsid w:val="005546F5"/>
    <w:rsid w:val="005546F9"/>
    <w:rsid w:val="005547F5"/>
    <w:rsid w:val="0055482B"/>
    <w:rsid w:val="00554934"/>
    <w:rsid w:val="0055493E"/>
    <w:rsid w:val="0055494C"/>
    <w:rsid w:val="00554978"/>
    <w:rsid w:val="0055499D"/>
    <w:rsid w:val="005549D0"/>
    <w:rsid w:val="005549E7"/>
    <w:rsid w:val="00554A30"/>
    <w:rsid w:val="00554A66"/>
    <w:rsid w:val="00554A77"/>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AF"/>
    <w:rsid w:val="005555CE"/>
    <w:rsid w:val="005555D5"/>
    <w:rsid w:val="005555E2"/>
    <w:rsid w:val="0055566D"/>
    <w:rsid w:val="005556A7"/>
    <w:rsid w:val="005556FC"/>
    <w:rsid w:val="00555755"/>
    <w:rsid w:val="005557A8"/>
    <w:rsid w:val="005557AF"/>
    <w:rsid w:val="005557D0"/>
    <w:rsid w:val="005557E1"/>
    <w:rsid w:val="00555801"/>
    <w:rsid w:val="0055580B"/>
    <w:rsid w:val="00555844"/>
    <w:rsid w:val="00555881"/>
    <w:rsid w:val="00555898"/>
    <w:rsid w:val="005558A0"/>
    <w:rsid w:val="005558D4"/>
    <w:rsid w:val="0055591E"/>
    <w:rsid w:val="00555945"/>
    <w:rsid w:val="005559A5"/>
    <w:rsid w:val="005559DC"/>
    <w:rsid w:val="005559EF"/>
    <w:rsid w:val="00555A81"/>
    <w:rsid w:val="00555A8E"/>
    <w:rsid w:val="00555A95"/>
    <w:rsid w:val="00555AD5"/>
    <w:rsid w:val="00555ADA"/>
    <w:rsid w:val="00555AF0"/>
    <w:rsid w:val="00555B2D"/>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25"/>
    <w:rsid w:val="00555E32"/>
    <w:rsid w:val="00555ED9"/>
    <w:rsid w:val="00555F18"/>
    <w:rsid w:val="00555FAC"/>
    <w:rsid w:val="00556013"/>
    <w:rsid w:val="00556017"/>
    <w:rsid w:val="00556044"/>
    <w:rsid w:val="00556052"/>
    <w:rsid w:val="0055606E"/>
    <w:rsid w:val="005560A4"/>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E9"/>
    <w:rsid w:val="00556F33"/>
    <w:rsid w:val="00556F65"/>
    <w:rsid w:val="00556F86"/>
    <w:rsid w:val="00556F9D"/>
    <w:rsid w:val="00557055"/>
    <w:rsid w:val="0055707A"/>
    <w:rsid w:val="005570AB"/>
    <w:rsid w:val="005570D2"/>
    <w:rsid w:val="0055710A"/>
    <w:rsid w:val="00557134"/>
    <w:rsid w:val="00557142"/>
    <w:rsid w:val="0055714A"/>
    <w:rsid w:val="0055719D"/>
    <w:rsid w:val="005571A1"/>
    <w:rsid w:val="005571BB"/>
    <w:rsid w:val="005571EE"/>
    <w:rsid w:val="005571F6"/>
    <w:rsid w:val="00557229"/>
    <w:rsid w:val="005572BA"/>
    <w:rsid w:val="005572FD"/>
    <w:rsid w:val="0055735F"/>
    <w:rsid w:val="005573A1"/>
    <w:rsid w:val="005573EA"/>
    <w:rsid w:val="005574BB"/>
    <w:rsid w:val="005575F8"/>
    <w:rsid w:val="00557671"/>
    <w:rsid w:val="0055768D"/>
    <w:rsid w:val="005576A2"/>
    <w:rsid w:val="005576CB"/>
    <w:rsid w:val="005576EA"/>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BD"/>
    <w:rsid w:val="00557BDD"/>
    <w:rsid w:val="00557C0A"/>
    <w:rsid w:val="00557C12"/>
    <w:rsid w:val="00557C2D"/>
    <w:rsid w:val="00557C39"/>
    <w:rsid w:val="00557C5D"/>
    <w:rsid w:val="00557C66"/>
    <w:rsid w:val="00557C70"/>
    <w:rsid w:val="00557C87"/>
    <w:rsid w:val="00557D05"/>
    <w:rsid w:val="00557D2F"/>
    <w:rsid w:val="00557D3C"/>
    <w:rsid w:val="00557D5F"/>
    <w:rsid w:val="00557D76"/>
    <w:rsid w:val="00557DCE"/>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095"/>
    <w:rsid w:val="0056011A"/>
    <w:rsid w:val="00560139"/>
    <w:rsid w:val="005601A6"/>
    <w:rsid w:val="005601DF"/>
    <w:rsid w:val="0056020D"/>
    <w:rsid w:val="00560281"/>
    <w:rsid w:val="005602A8"/>
    <w:rsid w:val="005602BF"/>
    <w:rsid w:val="005602F1"/>
    <w:rsid w:val="005602F7"/>
    <w:rsid w:val="0056036B"/>
    <w:rsid w:val="005603A2"/>
    <w:rsid w:val="005603DE"/>
    <w:rsid w:val="0056043D"/>
    <w:rsid w:val="00560489"/>
    <w:rsid w:val="00560494"/>
    <w:rsid w:val="00560495"/>
    <w:rsid w:val="0056049C"/>
    <w:rsid w:val="005604CB"/>
    <w:rsid w:val="00560544"/>
    <w:rsid w:val="0056058A"/>
    <w:rsid w:val="0056060D"/>
    <w:rsid w:val="0056065B"/>
    <w:rsid w:val="00560660"/>
    <w:rsid w:val="00560691"/>
    <w:rsid w:val="0056069B"/>
    <w:rsid w:val="005606C8"/>
    <w:rsid w:val="005606D4"/>
    <w:rsid w:val="005606E8"/>
    <w:rsid w:val="005607BD"/>
    <w:rsid w:val="005608DA"/>
    <w:rsid w:val="0056092C"/>
    <w:rsid w:val="0056094D"/>
    <w:rsid w:val="00560988"/>
    <w:rsid w:val="005609AF"/>
    <w:rsid w:val="005609EE"/>
    <w:rsid w:val="00560A00"/>
    <w:rsid w:val="00560A70"/>
    <w:rsid w:val="00560AC8"/>
    <w:rsid w:val="00560ADC"/>
    <w:rsid w:val="00560AE3"/>
    <w:rsid w:val="00560BD3"/>
    <w:rsid w:val="00560C11"/>
    <w:rsid w:val="00560C29"/>
    <w:rsid w:val="00560C96"/>
    <w:rsid w:val="00560CB8"/>
    <w:rsid w:val="00560DD0"/>
    <w:rsid w:val="00560E05"/>
    <w:rsid w:val="00560E7F"/>
    <w:rsid w:val="00560ECC"/>
    <w:rsid w:val="00560F12"/>
    <w:rsid w:val="00560F90"/>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7D"/>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83"/>
    <w:rsid w:val="005617A1"/>
    <w:rsid w:val="005617F1"/>
    <w:rsid w:val="0056188C"/>
    <w:rsid w:val="005618BF"/>
    <w:rsid w:val="005618F5"/>
    <w:rsid w:val="0056191C"/>
    <w:rsid w:val="0056193B"/>
    <w:rsid w:val="00561942"/>
    <w:rsid w:val="00561964"/>
    <w:rsid w:val="00561975"/>
    <w:rsid w:val="00561984"/>
    <w:rsid w:val="005619C4"/>
    <w:rsid w:val="005619DE"/>
    <w:rsid w:val="005619EC"/>
    <w:rsid w:val="00561A39"/>
    <w:rsid w:val="00561B17"/>
    <w:rsid w:val="00561B5E"/>
    <w:rsid w:val="00561BCF"/>
    <w:rsid w:val="00561BE3"/>
    <w:rsid w:val="00561C09"/>
    <w:rsid w:val="00561C47"/>
    <w:rsid w:val="00561C7C"/>
    <w:rsid w:val="00561CBB"/>
    <w:rsid w:val="00561D76"/>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3E"/>
    <w:rsid w:val="00562353"/>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8C3"/>
    <w:rsid w:val="005629BE"/>
    <w:rsid w:val="005629D9"/>
    <w:rsid w:val="00562A26"/>
    <w:rsid w:val="00562A45"/>
    <w:rsid w:val="00562A4E"/>
    <w:rsid w:val="00562A5B"/>
    <w:rsid w:val="00562A62"/>
    <w:rsid w:val="00562AB1"/>
    <w:rsid w:val="00562B58"/>
    <w:rsid w:val="00562BA7"/>
    <w:rsid w:val="00562C74"/>
    <w:rsid w:val="00562CB6"/>
    <w:rsid w:val="00562CBC"/>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0DC"/>
    <w:rsid w:val="00563118"/>
    <w:rsid w:val="0056313A"/>
    <w:rsid w:val="0056314E"/>
    <w:rsid w:val="0056314F"/>
    <w:rsid w:val="005631A6"/>
    <w:rsid w:val="00563201"/>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711"/>
    <w:rsid w:val="00563712"/>
    <w:rsid w:val="0056377B"/>
    <w:rsid w:val="005637BF"/>
    <w:rsid w:val="005637E7"/>
    <w:rsid w:val="00563801"/>
    <w:rsid w:val="0056383F"/>
    <w:rsid w:val="005638B0"/>
    <w:rsid w:val="00563918"/>
    <w:rsid w:val="0056396A"/>
    <w:rsid w:val="00563977"/>
    <w:rsid w:val="005639A2"/>
    <w:rsid w:val="005639A9"/>
    <w:rsid w:val="005639D1"/>
    <w:rsid w:val="00563A56"/>
    <w:rsid w:val="00563A70"/>
    <w:rsid w:val="00563A92"/>
    <w:rsid w:val="00563B09"/>
    <w:rsid w:val="00563B1C"/>
    <w:rsid w:val="00563B2A"/>
    <w:rsid w:val="00563BB5"/>
    <w:rsid w:val="00563C20"/>
    <w:rsid w:val="00563C52"/>
    <w:rsid w:val="00563CFA"/>
    <w:rsid w:val="00563D2C"/>
    <w:rsid w:val="00563D54"/>
    <w:rsid w:val="00563D7E"/>
    <w:rsid w:val="00563DB0"/>
    <w:rsid w:val="00563DB7"/>
    <w:rsid w:val="00563DC3"/>
    <w:rsid w:val="00563DE9"/>
    <w:rsid w:val="00563DF4"/>
    <w:rsid w:val="00563DFE"/>
    <w:rsid w:val="00563E5D"/>
    <w:rsid w:val="00563EB9"/>
    <w:rsid w:val="00563EBA"/>
    <w:rsid w:val="00563EF6"/>
    <w:rsid w:val="00563EFA"/>
    <w:rsid w:val="00563F27"/>
    <w:rsid w:val="00563F2A"/>
    <w:rsid w:val="00563F69"/>
    <w:rsid w:val="00563FF5"/>
    <w:rsid w:val="00564070"/>
    <w:rsid w:val="00564076"/>
    <w:rsid w:val="0056407C"/>
    <w:rsid w:val="005640A1"/>
    <w:rsid w:val="005640BE"/>
    <w:rsid w:val="005640EF"/>
    <w:rsid w:val="00564113"/>
    <w:rsid w:val="00564163"/>
    <w:rsid w:val="00564234"/>
    <w:rsid w:val="0056424A"/>
    <w:rsid w:val="00564264"/>
    <w:rsid w:val="00564271"/>
    <w:rsid w:val="005642E9"/>
    <w:rsid w:val="005642FE"/>
    <w:rsid w:val="00564323"/>
    <w:rsid w:val="00564362"/>
    <w:rsid w:val="00564368"/>
    <w:rsid w:val="00564374"/>
    <w:rsid w:val="005643B0"/>
    <w:rsid w:val="005643FC"/>
    <w:rsid w:val="00564402"/>
    <w:rsid w:val="0056445B"/>
    <w:rsid w:val="00564468"/>
    <w:rsid w:val="005644A0"/>
    <w:rsid w:val="005644B7"/>
    <w:rsid w:val="005644D9"/>
    <w:rsid w:val="0056454D"/>
    <w:rsid w:val="00564584"/>
    <w:rsid w:val="005645BF"/>
    <w:rsid w:val="005645D3"/>
    <w:rsid w:val="0056463C"/>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B12"/>
    <w:rsid w:val="00564B8C"/>
    <w:rsid w:val="00564B9C"/>
    <w:rsid w:val="00564BF2"/>
    <w:rsid w:val="00564C0B"/>
    <w:rsid w:val="00564C25"/>
    <w:rsid w:val="00564CB8"/>
    <w:rsid w:val="00564CE7"/>
    <w:rsid w:val="00564D56"/>
    <w:rsid w:val="00564D69"/>
    <w:rsid w:val="00564D94"/>
    <w:rsid w:val="00564DC6"/>
    <w:rsid w:val="00564E85"/>
    <w:rsid w:val="00564EDC"/>
    <w:rsid w:val="00564FD8"/>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35"/>
    <w:rsid w:val="00565C72"/>
    <w:rsid w:val="00565C76"/>
    <w:rsid w:val="00565C8C"/>
    <w:rsid w:val="00565CB8"/>
    <w:rsid w:val="00565CCF"/>
    <w:rsid w:val="00565CD5"/>
    <w:rsid w:val="00565D0E"/>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5D3"/>
    <w:rsid w:val="00566649"/>
    <w:rsid w:val="00566671"/>
    <w:rsid w:val="0056669C"/>
    <w:rsid w:val="005666CF"/>
    <w:rsid w:val="0056671E"/>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30"/>
    <w:rsid w:val="00566B45"/>
    <w:rsid w:val="00566B46"/>
    <w:rsid w:val="00566B5A"/>
    <w:rsid w:val="00566B97"/>
    <w:rsid w:val="00566BBA"/>
    <w:rsid w:val="00566BD8"/>
    <w:rsid w:val="00566C11"/>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E6"/>
    <w:rsid w:val="00566FEA"/>
    <w:rsid w:val="00567001"/>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6E"/>
    <w:rsid w:val="00567484"/>
    <w:rsid w:val="00567489"/>
    <w:rsid w:val="005674A5"/>
    <w:rsid w:val="005674C9"/>
    <w:rsid w:val="00567567"/>
    <w:rsid w:val="0056756C"/>
    <w:rsid w:val="005675C0"/>
    <w:rsid w:val="005675E3"/>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62"/>
    <w:rsid w:val="00567A7E"/>
    <w:rsid w:val="00567ADD"/>
    <w:rsid w:val="00567B2E"/>
    <w:rsid w:val="00567BA6"/>
    <w:rsid w:val="00567BA8"/>
    <w:rsid w:val="00567C71"/>
    <w:rsid w:val="00567CE1"/>
    <w:rsid w:val="00567D01"/>
    <w:rsid w:val="00567E12"/>
    <w:rsid w:val="00567EBE"/>
    <w:rsid w:val="00567EEB"/>
    <w:rsid w:val="00567F32"/>
    <w:rsid w:val="00567F3D"/>
    <w:rsid w:val="00567F47"/>
    <w:rsid w:val="00567F4C"/>
    <w:rsid w:val="00567F5D"/>
    <w:rsid w:val="00567F87"/>
    <w:rsid w:val="00567FAC"/>
    <w:rsid w:val="00567FC8"/>
    <w:rsid w:val="00567FD1"/>
    <w:rsid w:val="00567FDE"/>
    <w:rsid w:val="00567FF3"/>
    <w:rsid w:val="00570005"/>
    <w:rsid w:val="00570007"/>
    <w:rsid w:val="0057000E"/>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848"/>
    <w:rsid w:val="0057084A"/>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1B"/>
    <w:rsid w:val="00570D35"/>
    <w:rsid w:val="00570D3E"/>
    <w:rsid w:val="00570D40"/>
    <w:rsid w:val="00570D48"/>
    <w:rsid w:val="00570D88"/>
    <w:rsid w:val="00570DAB"/>
    <w:rsid w:val="00570DBB"/>
    <w:rsid w:val="00570DC7"/>
    <w:rsid w:val="00570E48"/>
    <w:rsid w:val="00570ECE"/>
    <w:rsid w:val="00570F08"/>
    <w:rsid w:val="00570F79"/>
    <w:rsid w:val="00570F9C"/>
    <w:rsid w:val="0057100B"/>
    <w:rsid w:val="0057104C"/>
    <w:rsid w:val="0057104D"/>
    <w:rsid w:val="00571082"/>
    <w:rsid w:val="00571089"/>
    <w:rsid w:val="005710C2"/>
    <w:rsid w:val="0057112C"/>
    <w:rsid w:val="0057119D"/>
    <w:rsid w:val="005711B6"/>
    <w:rsid w:val="005711CF"/>
    <w:rsid w:val="005711D8"/>
    <w:rsid w:val="005711EB"/>
    <w:rsid w:val="00571243"/>
    <w:rsid w:val="00571260"/>
    <w:rsid w:val="005712A1"/>
    <w:rsid w:val="005712BB"/>
    <w:rsid w:val="005712DE"/>
    <w:rsid w:val="0057133B"/>
    <w:rsid w:val="00571361"/>
    <w:rsid w:val="00571367"/>
    <w:rsid w:val="005713E4"/>
    <w:rsid w:val="00571424"/>
    <w:rsid w:val="00571452"/>
    <w:rsid w:val="00571460"/>
    <w:rsid w:val="0057149C"/>
    <w:rsid w:val="00571550"/>
    <w:rsid w:val="0057158C"/>
    <w:rsid w:val="005715B3"/>
    <w:rsid w:val="005715C2"/>
    <w:rsid w:val="005715FC"/>
    <w:rsid w:val="00571640"/>
    <w:rsid w:val="00571684"/>
    <w:rsid w:val="005716E1"/>
    <w:rsid w:val="00571730"/>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DB"/>
    <w:rsid w:val="00571EEF"/>
    <w:rsid w:val="00571F6C"/>
    <w:rsid w:val="00571F90"/>
    <w:rsid w:val="0057200B"/>
    <w:rsid w:val="0057200D"/>
    <w:rsid w:val="0057205A"/>
    <w:rsid w:val="0057210A"/>
    <w:rsid w:val="0057213F"/>
    <w:rsid w:val="00572199"/>
    <w:rsid w:val="005721B3"/>
    <w:rsid w:val="005721D4"/>
    <w:rsid w:val="005721E2"/>
    <w:rsid w:val="005721FF"/>
    <w:rsid w:val="0057223E"/>
    <w:rsid w:val="005722C9"/>
    <w:rsid w:val="005723AC"/>
    <w:rsid w:val="005723EE"/>
    <w:rsid w:val="005723F8"/>
    <w:rsid w:val="00572403"/>
    <w:rsid w:val="00572447"/>
    <w:rsid w:val="00572481"/>
    <w:rsid w:val="005724C1"/>
    <w:rsid w:val="00572500"/>
    <w:rsid w:val="0057250E"/>
    <w:rsid w:val="00572527"/>
    <w:rsid w:val="0057256A"/>
    <w:rsid w:val="0057257A"/>
    <w:rsid w:val="005725CB"/>
    <w:rsid w:val="005725D4"/>
    <w:rsid w:val="005725E2"/>
    <w:rsid w:val="0057263E"/>
    <w:rsid w:val="00572665"/>
    <w:rsid w:val="005726C4"/>
    <w:rsid w:val="005726E9"/>
    <w:rsid w:val="005728A5"/>
    <w:rsid w:val="00572967"/>
    <w:rsid w:val="005729C0"/>
    <w:rsid w:val="005729D4"/>
    <w:rsid w:val="005729DD"/>
    <w:rsid w:val="00572A2E"/>
    <w:rsid w:val="00572A37"/>
    <w:rsid w:val="00572A58"/>
    <w:rsid w:val="00572ABF"/>
    <w:rsid w:val="00572AD3"/>
    <w:rsid w:val="00572AFA"/>
    <w:rsid w:val="00572B4C"/>
    <w:rsid w:val="00572B9F"/>
    <w:rsid w:val="00572BA1"/>
    <w:rsid w:val="00572CA0"/>
    <w:rsid w:val="00572CA8"/>
    <w:rsid w:val="00572CB8"/>
    <w:rsid w:val="00572CDD"/>
    <w:rsid w:val="00572CE4"/>
    <w:rsid w:val="00572D4D"/>
    <w:rsid w:val="00572D5E"/>
    <w:rsid w:val="00572D7D"/>
    <w:rsid w:val="00572D91"/>
    <w:rsid w:val="00572E3B"/>
    <w:rsid w:val="00572E44"/>
    <w:rsid w:val="00572ECF"/>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BA"/>
    <w:rsid w:val="005730DD"/>
    <w:rsid w:val="0057310B"/>
    <w:rsid w:val="00573161"/>
    <w:rsid w:val="00573186"/>
    <w:rsid w:val="00573188"/>
    <w:rsid w:val="00573220"/>
    <w:rsid w:val="00573263"/>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6"/>
    <w:rsid w:val="0057377F"/>
    <w:rsid w:val="005737F9"/>
    <w:rsid w:val="00573873"/>
    <w:rsid w:val="00573881"/>
    <w:rsid w:val="0057394A"/>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2D5"/>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71C"/>
    <w:rsid w:val="00574759"/>
    <w:rsid w:val="0057478C"/>
    <w:rsid w:val="005747F0"/>
    <w:rsid w:val="00574809"/>
    <w:rsid w:val="00574817"/>
    <w:rsid w:val="00574868"/>
    <w:rsid w:val="00574874"/>
    <w:rsid w:val="005748A0"/>
    <w:rsid w:val="005749C8"/>
    <w:rsid w:val="005749CB"/>
    <w:rsid w:val="005749CF"/>
    <w:rsid w:val="00574AA2"/>
    <w:rsid w:val="00574AB6"/>
    <w:rsid w:val="00574AD7"/>
    <w:rsid w:val="00574B4A"/>
    <w:rsid w:val="00574B5A"/>
    <w:rsid w:val="00574B6D"/>
    <w:rsid w:val="00574B88"/>
    <w:rsid w:val="00574B8E"/>
    <w:rsid w:val="00574BAD"/>
    <w:rsid w:val="00574C5E"/>
    <w:rsid w:val="00574C6F"/>
    <w:rsid w:val="00574C70"/>
    <w:rsid w:val="00574C72"/>
    <w:rsid w:val="00574C8D"/>
    <w:rsid w:val="00574CB7"/>
    <w:rsid w:val="00574CF8"/>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09"/>
    <w:rsid w:val="0057500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62"/>
    <w:rsid w:val="00575474"/>
    <w:rsid w:val="0057549E"/>
    <w:rsid w:val="005754FD"/>
    <w:rsid w:val="0057556B"/>
    <w:rsid w:val="0057558E"/>
    <w:rsid w:val="00575640"/>
    <w:rsid w:val="0057564C"/>
    <w:rsid w:val="00575674"/>
    <w:rsid w:val="00575677"/>
    <w:rsid w:val="00575695"/>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AE9"/>
    <w:rsid w:val="00575BC6"/>
    <w:rsid w:val="00575C67"/>
    <w:rsid w:val="00575C9A"/>
    <w:rsid w:val="00575CE3"/>
    <w:rsid w:val="00575D4D"/>
    <w:rsid w:val="00575DB2"/>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32"/>
    <w:rsid w:val="005763EE"/>
    <w:rsid w:val="00576435"/>
    <w:rsid w:val="00576465"/>
    <w:rsid w:val="0057648C"/>
    <w:rsid w:val="005764CC"/>
    <w:rsid w:val="005764DE"/>
    <w:rsid w:val="005764E8"/>
    <w:rsid w:val="005764FD"/>
    <w:rsid w:val="00576527"/>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B8B"/>
    <w:rsid w:val="00576BD1"/>
    <w:rsid w:val="00576C1C"/>
    <w:rsid w:val="00576C49"/>
    <w:rsid w:val="00576CD3"/>
    <w:rsid w:val="00576CE6"/>
    <w:rsid w:val="00576CFC"/>
    <w:rsid w:val="00576DBA"/>
    <w:rsid w:val="00576E6F"/>
    <w:rsid w:val="00576EC4"/>
    <w:rsid w:val="00576ED8"/>
    <w:rsid w:val="00576F08"/>
    <w:rsid w:val="00576F27"/>
    <w:rsid w:val="00576F5F"/>
    <w:rsid w:val="00576FB9"/>
    <w:rsid w:val="00576FC5"/>
    <w:rsid w:val="0057701A"/>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34"/>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8"/>
    <w:rsid w:val="0057791B"/>
    <w:rsid w:val="00577A03"/>
    <w:rsid w:val="00577A10"/>
    <w:rsid w:val="00577A12"/>
    <w:rsid w:val="00577A34"/>
    <w:rsid w:val="00577A6F"/>
    <w:rsid w:val="00577AC7"/>
    <w:rsid w:val="00577B68"/>
    <w:rsid w:val="00577BAB"/>
    <w:rsid w:val="00577BB1"/>
    <w:rsid w:val="00577BB7"/>
    <w:rsid w:val="00577C7B"/>
    <w:rsid w:val="00577DA1"/>
    <w:rsid w:val="00577DB6"/>
    <w:rsid w:val="00577DF1"/>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3E"/>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C37"/>
    <w:rsid w:val="00580C48"/>
    <w:rsid w:val="00580C5B"/>
    <w:rsid w:val="00580C76"/>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38"/>
    <w:rsid w:val="00581089"/>
    <w:rsid w:val="00581092"/>
    <w:rsid w:val="005810A2"/>
    <w:rsid w:val="005810AC"/>
    <w:rsid w:val="005810C8"/>
    <w:rsid w:val="005810E6"/>
    <w:rsid w:val="00581136"/>
    <w:rsid w:val="00581312"/>
    <w:rsid w:val="0058136E"/>
    <w:rsid w:val="005813C3"/>
    <w:rsid w:val="005813E9"/>
    <w:rsid w:val="00581485"/>
    <w:rsid w:val="005814DC"/>
    <w:rsid w:val="00581565"/>
    <w:rsid w:val="005815D2"/>
    <w:rsid w:val="0058162C"/>
    <w:rsid w:val="00581651"/>
    <w:rsid w:val="00581654"/>
    <w:rsid w:val="005816B5"/>
    <w:rsid w:val="0058171F"/>
    <w:rsid w:val="0058183A"/>
    <w:rsid w:val="0058183B"/>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AB"/>
    <w:rsid w:val="00581BBD"/>
    <w:rsid w:val="00581BEF"/>
    <w:rsid w:val="00581C26"/>
    <w:rsid w:val="00581C68"/>
    <w:rsid w:val="00581C73"/>
    <w:rsid w:val="00581C80"/>
    <w:rsid w:val="00581CC9"/>
    <w:rsid w:val="00581CFF"/>
    <w:rsid w:val="00581D57"/>
    <w:rsid w:val="00581D5A"/>
    <w:rsid w:val="00581DF5"/>
    <w:rsid w:val="00581E0F"/>
    <w:rsid w:val="00581E42"/>
    <w:rsid w:val="00581E49"/>
    <w:rsid w:val="00581E82"/>
    <w:rsid w:val="00581E8D"/>
    <w:rsid w:val="00581EA7"/>
    <w:rsid w:val="00581EB1"/>
    <w:rsid w:val="00581EC0"/>
    <w:rsid w:val="00581EDB"/>
    <w:rsid w:val="00581F0E"/>
    <w:rsid w:val="00581FD5"/>
    <w:rsid w:val="00581FF2"/>
    <w:rsid w:val="00582014"/>
    <w:rsid w:val="00582021"/>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11"/>
    <w:rsid w:val="00582663"/>
    <w:rsid w:val="005826B8"/>
    <w:rsid w:val="005826BE"/>
    <w:rsid w:val="005826C4"/>
    <w:rsid w:val="00582741"/>
    <w:rsid w:val="0058274D"/>
    <w:rsid w:val="0058275F"/>
    <w:rsid w:val="00582780"/>
    <w:rsid w:val="00582786"/>
    <w:rsid w:val="005827F3"/>
    <w:rsid w:val="00582857"/>
    <w:rsid w:val="005828A1"/>
    <w:rsid w:val="005828D0"/>
    <w:rsid w:val="00582949"/>
    <w:rsid w:val="0058295E"/>
    <w:rsid w:val="005829A8"/>
    <w:rsid w:val="005829B6"/>
    <w:rsid w:val="005829D3"/>
    <w:rsid w:val="00582A5B"/>
    <w:rsid w:val="00582ACE"/>
    <w:rsid w:val="00582B1B"/>
    <w:rsid w:val="00582B65"/>
    <w:rsid w:val="00582B6B"/>
    <w:rsid w:val="00582B6F"/>
    <w:rsid w:val="00582B88"/>
    <w:rsid w:val="00582B89"/>
    <w:rsid w:val="00582B98"/>
    <w:rsid w:val="00582BE9"/>
    <w:rsid w:val="00582C0D"/>
    <w:rsid w:val="00582C6B"/>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D4"/>
    <w:rsid w:val="005831F5"/>
    <w:rsid w:val="00583209"/>
    <w:rsid w:val="0058325C"/>
    <w:rsid w:val="005832FA"/>
    <w:rsid w:val="00583314"/>
    <w:rsid w:val="0058333C"/>
    <w:rsid w:val="00583369"/>
    <w:rsid w:val="00583373"/>
    <w:rsid w:val="00583384"/>
    <w:rsid w:val="00583389"/>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2B"/>
    <w:rsid w:val="00583A4E"/>
    <w:rsid w:val="00583A51"/>
    <w:rsid w:val="00583A7B"/>
    <w:rsid w:val="00583AC8"/>
    <w:rsid w:val="00583B07"/>
    <w:rsid w:val="00583B52"/>
    <w:rsid w:val="00583B66"/>
    <w:rsid w:val="00583BA3"/>
    <w:rsid w:val="00583BED"/>
    <w:rsid w:val="00583C61"/>
    <w:rsid w:val="00583C9B"/>
    <w:rsid w:val="00583CD3"/>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1C"/>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73"/>
    <w:rsid w:val="005848F8"/>
    <w:rsid w:val="005848F9"/>
    <w:rsid w:val="00584934"/>
    <w:rsid w:val="0058495C"/>
    <w:rsid w:val="0058498A"/>
    <w:rsid w:val="0058498D"/>
    <w:rsid w:val="00584991"/>
    <w:rsid w:val="005849A1"/>
    <w:rsid w:val="005849CB"/>
    <w:rsid w:val="00584A2C"/>
    <w:rsid w:val="00584A45"/>
    <w:rsid w:val="00584A89"/>
    <w:rsid w:val="00584AAC"/>
    <w:rsid w:val="00584B4D"/>
    <w:rsid w:val="00584B67"/>
    <w:rsid w:val="00584B96"/>
    <w:rsid w:val="00584BAD"/>
    <w:rsid w:val="00584BF3"/>
    <w:rsid w:val="00584BFD"/>
    <w:rsid w:val="00584C15"/>
    <w:rsid w:val="00584C16"/>
    <w:rsid w:val="00584C21"/>
    <w:rsid w:val="00584C30"/>
    <w:rsid w:val="00584C61"/>
    <w:rsid w:val="00584C7F"/>
    <w:rsid w:val="00584C86"/>
    <w:rsid w:val="00584CB8"/>
    <w:rsid w:val="00584CCB"/>
    <w:rsid w:val="00584D18"/>
    <w:rsid w:val="00584D8F"/>
    <w:rsid w:val="00584DD5"/>
    <w:rsid w:val="00584DF2"/>
    <w:rsid w:val="00584E6B"/>
    <w:rsid w:val="00584F7A"/>
    <w:rsid w:val="00584FCA"/>
    <w:rsid w:val="00584FEF"/>
    <w:rsid w:val="0058500E"/>
    <w:rsid w:val="00585056"/>
    <w:rsid w:val="00585072"/>
    <w:rsid w:val="005850B5"/>
    <w:rsid w:val="00585111"/>
    <w:rsid w:val="00585119"/>
    <w:rsid w:val="00585192"/>
    <w:rsid w:val="00585220"/>
    <w:rsid w:val="0058529F"/>
    <w:rsid w:val="005852A3"/>
    <w:rsid w:val="005852B8"/>
    <w:rsid w:val="005852B9"/>
    <w:rsid w:val="00585389"/>
    <w:rsid w:val="005853F3"/>
    <w:rsid w:val="00585426"/>
    <w:rsid w:val="00585428"/>
    <w:rsid w:val="0058546A"/>
    <w:rsid w:val="0058549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843"/>
    <w:rsid w:val="0058587A"/>
    <w:rsid w:val="005858BB"/>
    <w:rsid w:val="005858F8"/>
    <w:rsid w:val="00585958"/>
    <w:rsid w:val="0058595D"/>
    <w:rsid w:val="0058595E"/>
    <w:rsid w:val="0058597E"/>
    <w:rsid w:val="0058598B"/>
    <w:rsid w:val="005859FE"/>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0"/>
    <w:rsid w:val="00585F2B"/>
    <w:rsid w:val="00585F70"/>
    <w:rsid w:val="00585FC4"/>
    <w:rsid w:val="00585FF8"/>
    <w:rsid w:val="00585FFC"/>
    <w:rsid w:val="00586019"/>
    <w:rsid w:val="0058601E"/>
    <w:rsid w:val="00586085"/>
    <w:rsid w:val="005860A6"/>
    <w:rsid w:val="005860B2"/>
    <w:rsid w:val="005860C6"/>
    <w:rsid w:val="005860C9"/>
    <w:rsid w:val="00586102"/>
    <w:rsid w:val="00586134"/>
    <w:rsid w:val="00586174"/>
    <w:rsid w:val="00586177"/>
    <w:rsid w:val="00586199"/>
    <w:rsid w:val="005861C7"/>
    <w:rsid w:val="005861E4"/>
    <w:rsid w:val="0058623E"/>
    <w:rsid w:val="00586276"/>
    <w:rsid w:val="005862CE"/>
    <w:rsid w:val="005862D7"/>
    <w:rsid w:val="005862D8"/>
    <w:rsid w:val="005862DF"/>
    <w:rsid w:val="005862E7"/>
    <w:rsid w:val="00586311"/>
    <w:rsid w:val="0058635C"/>
    <w:rsid w:val="005863CD"/>
    <w:rsid w:val="005863D7"/>
    <w:rsid w:val="005863E1"/>
    <w:rsid w:val="005863E9"/>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C4"/>
    <w:rsid w:val="00586839"/>
    <w:rsid w:val="005868CE"/>
    <w:rsid w:val="00586915"/>
    <w:rsid w:val="00586927"/>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A0"/>
    <w:rsid w:val="00586CD0"/>
    <w:rsid w:val="00586CD3"/>
    <w:rsid w:val="00586CD4"/>
    <w:rsid w:val="00586CFA"/>
    <w:rsid w:val="00586D4F"/>
    <w:rsid w:val="00586D57"/>
    <w:rsid w:val="00586D75"/>
    <w:rsid w:val="00586DA3"/>
    <w:rsid w:val="00586DB3"/>
    <w:rsid w:val="00586DB7"/>
    <w:rsid w:val="00586E08"/>
    <w:rsid w:val="00586E12"/>
    <w:rsid w:val="00586EFD"/>
    <w:rsid w:val="00586F35"/>
    <w:rsid w:val="00586F7C"/>
    <w:rsid w:val="00586FDA"/>
    <w:rsid w:val="00587037"/>
    <w:rsid w:val="00587040"/>
    <w:rsid w:val="00587095"/>
    <w:rsid w:val="005870BF"/>
    <w:rsid w:val="00587174"/>
    <w:rsid w:val="005871C0"/>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0"/>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D4"/>
    <w:rsid w:val="00587AE2"/>
    <w:rsid w:val="00587B0D"/>
    <w:rsid w:val="00587B3F"/>
    <w:rsid w:val="00587B6F"/>
    <w:rsid w:val="00587BAA"/>
    <w:rsid w:val="00587BC4"/>
    <w:rsid w:val="00587C08"/>
    <w:rsid w:val="00587C67"/>
    <w:rsid w:val="00587C7C"/>
    <w:rsid w:val="00587CCE"/>
    <w:rsid w:val="00587CD0"/>
    <w:rsid w:val="00587CFD"/>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F1"/>
    <w:rsid w:val="00590018"/>
    <w:rsid w:val="0059004F"/>
    <w:rsid w:val="00590065"/>
    <w:rsid w:val="005900B6"/>
    <w:rsid w:val="005900EE"/>
    <w:rsid w:val="00590104"/>
    <w:rsid w:val="00590202"/>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8B"/>
    <w:rsid w:val="0059069B"/>
    <w:rsid w:val="005906AF"/>
    <w:rsid w:val="005906CB"/>
    <w:rsid w:val="005906FC"/>
    <w:rsid w:val="005907A9"/>
    <w:rsid w:val="00590839"/>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AA"/>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DFC"/>
    <w:rsid w:val="00591E7A"/>
    <w:rsid w:val="00591EB5"/>
    <w:rsid w:val="00591EDD"/>
    <w:rsid w:val="00591EF8"/>
    <w:rsid w:val="00591EF9"/>
    <w:rsid w:val="00591F38"/>
    <w:rsid w:val="00591F5A"/>
    <w:rsid w:val="00591FE2"/>
    <w:rsid w:val="00591FF4"/>
    <w:rsid w:val="0059209E"/>
    <w:rsid w:val="005920BE"/>
    <w:rsid w:val="005920C0"/>
    <w:rsid w:val="00592135"/>
    <w:rsid w:val="005921BA"/>
    <w:rsid w:val="005921F2"/>
    <w:rsid w:val="005921F9"/>
    <w:rsid w:val="00592200"/>
    <w:rsid w:val="0059222E"/>
    <w:rsid w:val="00592244"/>
    <w:rsid w:val="005922EC"/>
    <w:rsid w:val="00592316"/>
    <w:rsid w:val="0059232F"/>
    <w:rsid w:val="00592385"/>
    <w:rsid w:val="005923BE"/>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53"/>
    <w:rsid w:val="00592BEC"/>
    <w:rsid w:val="00592BF5"/>
    <w:rsid w:val="00592C8A"/>
    <w:rsid w:val="00592C9A"/>
    <w:rsid w:val="00592C9C"/>
    <w:rsid w:val="00592CA3"/>
    <w:rsid w:val="00592D17"/>
    <w:rsid w:val="00592D35"/>
    <w:rsid w:val="00592DB7"/>
    <w:rsid w:val="00592DD7"/>
    <w:rsid w:val="00592E3F"/>
    <w:rsid w:val="00592E9D"/>
    <w:rsid w:val="00592ED9"/>
    <w:rsid w:val="00592F16"/>
    <w:rsid w:val="00592F97"/>
    <w:rsid w:val="00592FB7"/>
    <w:rsid w:val="00592FB8"/>
    <w:rsid w:val="00593003"/>
    <w:rsid w:val="0059303E"/>
    <w:rsid w:val="00593077"/>
    <w:rsid w:val="00593091"/>
    <w:rsid w:val="005930CF"/>
    <w:rsid w:val="005931B7"/>
    <w:rsid w:val="005931BF"/>
    <w:rsid w:val="005931CA"/>
    <w:rsid w:val="00593204"/>
    <w:rsid w:val="00593253"/>
    <w:rsid w:val="00593297"/>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46"/>
    <w:rsid w:val="00593582"/>
    <w:rsid w:val="005935B4"/>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C80"/>
    <w:rsid w:val="00593D98"/>
    <w:rsid w:val="00593DA8"/>
    <w:rsid w:val="00593DD1"/>
    <w:rsid w:val="00593E08"/>
    <w:rsid w:val="00593E3E"/>
    <w:rsid w:val="00593E86"/>
    <w:rsid w:val="00593F2A"/>
    <w:rsid w:val="00593F89"/>
    <w:rsid w:val="0059402D"/>
    <w:rsid w:val="0059402E"/>
    <w:rsid w:val="00594035"/>
    <w:rsid w:val="005940B1"/>
    <w:rsid w:val="005940B5"/>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477"/>
    <w:rsid w:val="0059448D"/>
    <w:rsid w:val="005944A1"/>
    <w:rsid w:val="005944D5"/>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D5"/>
    <w:rsid w:val="00594EE4"/>
    <w:rsid w:val="00594F47"/>
    <w:rsid w:val="00594F4D"/>
    <w:rsid w:val="00594F6E"/>
    <w:rsid w:val="00594FA5"/>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DC"/>
    <w:rsid w:val="005953F3"/>
    <w:rsid w:val="0059542B"/>
    <w:rsid w:val="0059546E"/>
    <w:rsid w:val="0059547F"/>
    <w:rsid w:val="0059549B"/>
    <w:rsid w:val="005954E8"/>
    <w:rsid w:val="005954F8"/>
    <w:rsid w:val="0059552C"/>
    <w:rsid w:val="005955DB"/>
    <w:rsid w:val="0059560F"/>
    <w:rsid w:val="005956C9"/>
    <w:rsid w:val="005956D5"/>
    <w:rsid w:val="00595715"/>
    <w:rsid w:val="005957E4"/>
    <w:rsid w:val="005957FF"/>
    <w:rsid w:val="0059581E"/>
    <w:rsid w:val="0059589A"/>
    <w:rsid w:val="005958CB"/>
    <w:rsid w:val="005958D1"/>
    <w:rsid w:val="0059591B"/>
    <w:rsid w:val="0059592A"/>
    <w:rsid w:val="00595996"/>
    <w:rsid w:val="005959D1"/>
    <w:rsid w:val="00595A00"/>
    <w:rsid w:val="00595A09"/>
    <w:rsid w:val="00595A36"/>
    <w:rsid w:val="00595A65"/>
    <w:rsid w:val="00595A98"/>
    <w:rsid w:val="00595ADA"/>
    <w:rsid w:val="00595B3E"/>
    <w:rsid w:val="00595B6D"/>
    <w:rsid w:val="00595B8C"/>
    <w:rsid w:val="00595BD0"/>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20A"/>
    <w:rsid w:val="0059627F"/>
    <w:rsid w:val="0059631B"/>
    <w:rsid w:val="00596332"/>
    <w:rsid w:val="0059637F"/>
    <w:rsid w:val="005963CA"/>
    <w:rsid w:val="005963D7"/>
    <w:rsid w:val="005963F5"/>
    <w:rsid w:val="00596425"/>
    <w:rsid w:val="00596465"/>
    <w:rsid w:val="005964A7"/>
    <w:rsid w:val="005964CD"/>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38"/>
    <w:rsid w:val="00596FAD"/>
    <w:rsid w:val="00596FF1"/>
    <w:rsid w:val="00597028"/>
    <w:rsid w:val="0059703F"/>
    <w:rsid w:val="00597045"/>
    <w:rsid w:val="005970DA"/>
    <w:rsid w:val="00597106"/>
    <w:rsid w:val="00597124"/>
    <w:rsid w:val="00597151"/>
    <w:rsid w:val="0059717E"/>
    <w:rsid w:val="005971B8"/>
    <w:rsid w:val="005971FD"/>
    <w:rsid w:val="00597217"/>
    <w:rsid w:val="0059723B"/>
    <w:rsid w:val="0059724F"/>
    <w:rsid w:val="00597259"/>
    <w:rsid w:val="005972BE"/>
    <w:rsid w:val="005972CF"/>
    <w:rsid w:val="00597353"/>
    <w:rsid w:val="005973AD"/>
    <w:rsid w:val="005973B7"/>
    <w:rsid w:val="005973C5"/>
    <w:rsid w:val="005973E0"/>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59"/>
    <w:rsid w:val="00597877"/>
    <w:rsid w:val="00597884"/>
    <w:rsid w:val="0059794F"/>
    <w:rsid w:val="00597968"/>
    <w:rsid w:val="00597995"/>
    <w:rsid w:val="005979F2"/>
    <w:rsid w:val="00597A0F"/>
    <w:rsid w:val="00597A2C"/>
    <w:rsid w:val="00597B8D"/>
    <w:rsid w:val="00597BC6"/>
    <w:rsid w:val="00597BF3"/>
    <w:rsid w:val="00597C11"/>
    <w:rsid w:val="00597C5F"/>
    <w:rsid w:val="00597C7C"/>
    <w:rsid w:val="00597C8B"/>
    <w:rsid w:val="00597CA3"/>
    <w:rsid w:val="00597CC5"/>
    <w:rsid w:val="00597CDE"/>
    <w:rsid w:val="00597D35"/>
    <w:rsid w:val="00597D47"/>
    <w:rsid w:val="00597D6F"/>
    <w:rsid w:val="00597E16"/>
    <w:rsid w:val="00597E75"/>
    <w:rsid w:val="00597EAF"/>
    <w:rsid w:val="00597F0B"/>
    <w:rsid w:val="00597F21"/>
    <w:rsid w:val="00597F45"/>
    <w:rsid w:val="00597F61"/>
    <w:rsid w:val="00597F6E"/>
    <w:rsid w:val="00597F9D"/>
    <w:rsid w:val="00597FC1"/>
    <w:rsid w:val="00597FDD"/>
    <w:rsid w:val="005A000E"/>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46"/>
    <w:rsid w:val="005A069A"/>
    <w:rsid w:val="005A06CF"/>
    <w:rsid w:val="005A06D0"/>
    <w:rsid w:val="005A06EB"/>
    <w:rsid w:val="005A06FE"/>
    <w:rsid w:val="005A0700"/>
    <w:rsid w:val="005A0732"/>
    <w:rsid w:val="005A073C"/>
    <w:rsid w:val="005A07BB"/>
    <w:rsid w:val="005A07D2"/>
    <w:rsid w:val="005A07EB"/>
    <w:rsid w:val="005A0812"/>
    <w:rsid w:val="005A0824"/>
    <w:rsid w:val="005A0830"/>
    <w:rsid w:val="005A087E"/>
    <w:rsid w:val="005A0887"/>
    <w:rsid w:val="005A08AC"/>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E08"/>
    <w:rsid w:val="005A0E8D"/>
    <w:rsid w:val="005A0E9C"/>
    <w:rsid w:val="005A0EA3"/>
    <w:rsid w:val="005A0EEC"/>
    <w:rsid w:val="005A0F20"/>
    <w:rsid w:val="005A0F3D"/>
    <w:rsid w:val="005A0F57"/>
    <w:rsid w:val="005A0FA2"/>
    <w:rsid w:val="005A0FAC"/>
    <w:rsid w:val="005A100E"/>
    <w:rsid w:val="005A1049"/>
    <w:rsid w:val="005A106B"/>
    <w:rsid w:val="005A113B"/>
    <w:rsid w:val="005A11D8"/>
    <w:rsid w:val="005A1203"/>
    <w:rsid w:val="005A126F"/>
    <w:rsid w:val="005A1270"/>
    <w:rsid w:val="005A1272"/>
    <w:rsid w:val="005A1276"/>
    <w:rsid w:val="005A12F7"/>
    <w:rsid w:val="005A136A"/>
    <w:rsid w:val="005A1372"/>
    <w:rsid w:val="005A137E"/>
    <w:rsid w:val="005A1389"/>
    <w:rsid w:val="005A13C2"/>
    <w:rsid w:val="005A13CA"/>
    <w:rsid w:val="005A13E3"/>
    <w:rsid w:val="005A1465"/>
    <w:rsid w:val="005A1514"/>
    <w:rsid w:val="005A154C"/>
    <w:rsid w:val="005A1614"/>
    <w:rsid w:val="005A1627"/>
    <w:rsid w:val="005A174B"/>
    <w:rsid w:val="005A174C"/>
    <w:rsid w:val="005A1753"/>
    <w:rsid w:val="005A17B1"/>
    <w:rsid w:val="005A17D9"/>
    <w:rsid w:val="005A17F0"/>
    <w:rsid w:val="005A1801"/>
    <w:rsid w:val="005A186A"/>
    <w:rsid w:val="005A189E"/>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2FC"/>
    <w:rsid w:val="005A243F"/>
    <w:rsid w:val="005A2486"/>
    <w:rsid w:val="005A24B8"/>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D8"/>
    <w:rsid w:val="005A274E"/>
    <w:rsid w:val="005A276B"/>
    <w:rsid w:val="005A27A2"/>
    <w:rsid w:val="005A2804"/>
    <w:rsid w:val="005A280A"/>
    <w:rsid w:val="005A2817"/>
    <w:rsid w:val="005A281D"/>
    <w:rsid w:val="005A2828"/>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CD"/>
    <w:rsid w:val="005A2BE2"/>
    <w:rsid w:val="005A2C8A"/>
    <w:rsid w:val="005A2C9D"/>
    <w:rsid w:val="005A2CBA"/>
    <w:rsid w:val="005A2CC4"/>
    <w:rsid w:val="005A2CEF"/>
    <w:rsid w:val="005A2D91"/>
    <w:rsid w:val="005A2E1F"/>
    <w:rsid w:val="005A2E6C"/>
    <w:rsid w:val="005A2E75"/>
    <w:rsid w:val="005A2EF2"/>
    <w:rsid w:val="005A2F06"/>
    <w:rsid w:val="005A2F1C"/>
    <w:rsid w:val="005A2F3B"/>
    <w:rsid w:val="005A2F55"/>
    <w:rsid w:val="005A2F71"/>
    <w:rsid w:val="005A2FEA"/>
    <w:rsid w:val="005A3010"/>
    <w:rsid w:val="005A3017"/>
    <w:rsid w:val="005A3055"/>
    <w:rsid w:val="005A30E7"/>
    <w:rsid w:val="005A316A"/>
    <w:rsid w:val="005A31A0"/>
    <w:rsid w:val="005A31C7"/>
    <w:rsid w:val="005A3216"/>
    <w:rsid w:val="005A3218"/>
    <w:rsid w:val="005A3241"/>
    <w:rsid w:val="005A325E"/>
    <w:rsid w:val="005A32E1"/>
    <w:rsid w:val="005A32E9"/>
    <w:rsid w:val="005A33D3"/>
    <w:rsid w:val="005A33E9"/>
    <w:rsid w:val="005A3401"/>
    <w:rsid w:val="005A340B"/>
    <w:rsid w:val="005A3431"/>
    <w:rsid w:val="005A347F"/>
    <w:rsid w:val="005A3495"/>
    <w:rsid w:val="005A34D1"/>
    <w:rsid w:val="005A3508"/>
    <w:rsid w:val="005A350E"/>
    <w:rsid w:val="005A3579"/>
    <w:rsid w:val="005A35AD"/>
    <w:rsid w:val="005A35B0"/>
    <w:rsid w:val="005A3640"/>
    <w:rsid w:val="005A3660"/>
    <w:rsid w:val="005A369C"/>
    <w:rsid w:val="005A36F9"/>
    <w:rsid w:val="005A370C"/>
    <w:rsid w:val="005A3717"/>
    <w:rsid w:val="005A3817"/>
    <w:rsid w:val="005A386D"/>
    <w:rsid w:val="005A38A9"/>
    <w:rsid w:val="005A38FA"/>
    <w:rsid w:val="005A3935"/>
    <w:rsid w:val="005A3943"/>
    <w:rsid w:val="005A3968"/>
    <w:rsid w:val="005A3992"/>
    <w:rsid w:val="005A39E1"/>
    <w:rsid w:val="005A3A60"/>
    <w:rsid w:val="005A3A63"/>
    <w:rsid w:val="005A3A7E"/>
    <w:rsid w:val="005A3AE0"/>
    <w:rsid w:val="005A3B35"/>
    <w:rsid w:val="005A3B43"/>
    <w:rsid w:val="005A3B9F"/>
    <w:rsid w:val="005A3BB3"/>
    <w:rsid w:val="005A3BE6"/>
    <w:rsid w:val="005A3C66"/>
    <w:rsid w:val="005A3C7B"/>
    <w:rsid w:val="005A3C7F"/>
    <w:rsid w:val="005A3CAA"/>
    <w:rsid w:val="005A3CB0"/>
    <w:rsid w:val="005A3CFB"/>
    <w:rsid w:val="005A3D11"/>
    <w:rsid w:val="005A3D1E"/>
    <w:rsid w:val="005A3D4E"/>
    <w:rsid w:val="005A3D92"/>
    <w:rsid w:val="005A3D99"/>
    <w:rsid w:val="005A3D9E"/>
    <w:rsid w:val="005A3DC4"/>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51"/>
    <w:rsid w:val="005A41D0"/>
    <w:rsid w:val="005A41ED"/>
    <w:rsid w:val="005A4205"/>
    <w:rsid w:val="005A4270"/>
    <w:rsid w:val="005A42C6"/>
    <w:rsid w:val="005A42FC"/>
    <w:rsid w:val="005A4336"/>
    <w:rsid w:val="005A4346"/>
    <w:rsid w:val="005A43A2"/>
    <w:rsid w:val="005A43ED"/>
    <w:rsid w:val="005A443A"/>
    <w:rsid w:val="005A444B"/>
    <w:rsid w:val="005A44A3"/>
    <w:rsid w:val="005A458B"/>
    <w:rsid w:val="005A4597"/>
    <w:rsid w:val="005A45A9"/>
    <w:rsid w:val="005A463B"/>
    <w:rsid w:val="005A46B8"/>
    <w:rsid w:val="005A46E3"/>
    <w:rsid w:val="005A46EC"/>
    <w:rsid w:val="005A46EF"/>
    <w:rsid w:val="005A4721"/>
    <w:rsid w:val="005A47AF"/>
    <w:rsid w:val="005A47B5"/>
    <w:rsid w:val="005A47E1"/>
    <w:rsid w:val="005A47EF"/>
    <w:rsid w:val="005A482F"/>
    <w:rsid w:val="005A4835"/>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80"/>
    <w:rsid w:val="005A4B81"/>
    <w:rsid w:val="005A4B8B"/>
    <w:rsid w:val="005A4BC9"/>
    <w:rsid w:val="005A4BED"/>
    <w:rsid w:val="005A4C09"/>
    <w:rsid w:val="005A4C1D"/>
    <w:rsid w:val="005A4C3E"/>
    <w:rsid w:val="005A4C67"/>
    <w:rsid w:val="005A4C6A"/>
    <w:rsid w:val="005A4CF3"/>
    <w:rsid w:val="005A4D13"/>
    <w:rsid w:val="005A4D1F"/>
    <w:rsid w:val="005A4D36"/>
    <w:rsid w:val="005A4D9D"/>
    <w:rsid w:val="005A4E22"/>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2C"/>
    <w:rsid w:val="005A5266"/>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4EC"/>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31D"/>
    <w:rsid w:val="005A7397"/>
    <w:rsid w:val="005A73D1"/>
    <w:rsid w:val="005A741C"/>
    <w:rsid w:val="005A7441"/>
    <w:rsid w:val="005A7447"/>
    <w:rsid w:val="005A74FC"/>
    <w:rsid w:val="005A7519"/>
    <w:rsid w:val="005A751D"/>
    <w:rsid w:val="005A75EC"/>
    <w:rsid w:val="005A7611"/>
    <w:rsid w:val="005A7636"/>
    <w:rsid w:val="005A76AF"/>
    <w:rsid w:val="005A7750"/>
    <w:rsid w:val="005A77A0"/>
    <w:rsid w:val="005A7833"/>
    <w:rsid w:val="005A7835"/>
    <w:rsid w:val="005A7861"/>
    <w:rsid w:val="005A7924"/>
    <w:rsid w:val="005A796C"/>
    <w:rsid w:val="005A7996"/>
    <w:rsid w:val="005A7A87"/>
    <w:rsid w:val="005A7ADF"/>
    <w:rsid w:val="005A7AFC"/>
    <w:rsid w:val="005A7B50"/>
    <w:rsid w:val="005A7BA7"/>
    <w:rsid w:val="005A7BCF"/>
    <w:rsid w:val="005A7BF9"/>
    <w:rsid w:val="005A7C2E"/>
    <w:rsid w:val="005A7C9D"/>
    <w:rsid w:val="005A7D91"/>
    <w:rsid w:val="005A7DD1"/>
    <w:rsid w:val="005A7DFE"/>
    <w:rsid w:val="005A7E2E"/>
    <w:rsid w:val="005A7E78"/>
    <w:rsid w:val="005A7E99"/>
    <w:rsid w:val="005A7F14"/>
    <w:rsid w:val="005A7F75"/>
    <w:rsid w:val="005B002F"/>
    <w:rsid w:val="005B0080"/>
    <w:rsid w:val="005B0128"/>
    <w:rsid w:val="005B014F"/>
    <w:rsid w:val="005B018F"/>
    <w:rsid w:val="005B01AA"/>
    <w:rsid w:val="005B0245"/>
    <w:rsid w:val="005B027F"/>
    <w:rsid w:val="005B02A2"/>
    <w:rsid w:val="005B02B9"/>
    <w:rsid w:val="005B02E7"/>
    <w:rsid w:val="005B0301"/>
    <w:rsid w:val="005B03E9"/>
    <w:rsid w:val="005B03F5"/>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42"/>
    <w:rsid w:val="005B085F"/>
    <w:rsid w:val="005B0871"/>
    <w:rsid w:val="005B0890"/>
    <w:rsid w:val="005B0945"/>
    <w:rsid w:val="005B095A"/>
    <w:rsid w:val="005B0965"/>
    <w:rsid w:val="005B097B"/>
    <w:rsid w:val="005B09A3"/>
    <w:rsid w:val="005B09C1"/>
    <w:rsid w:val="005B0A2E"/>
    <w:rsid w:val="005B0A6E"/>
    <w:rsid w:val="005B0A91"/>
    <w:rsid w:val="005B0ADB"/>
    <w:rsid w:val="005B0AF7"/>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F7"/>
    <w:rsid w:val="005B1107"/>
    <w:rsid w:val="005B1117"/>
    <w:rsid w:val="005B114E"/>
    <w:rsid w:val="005B1176"/>
    <w:rsid w:val="005B121C"/>
    <w:rsid w:val="005B12A4"/>
    <w:rsid w:val="005B12B9"/>
    <w:rsid w:val="005B12CB"/>
    <w:rsid w:val="005B12D9"/>
    <w:rsid w:val="005B1358"/>
    <w:rsid w:val="005B137C"/>
    <w:rsid w:val="005B13C8"/>
    <w:rsid w:val="005B1463"/>
    <w:rsid w:val="005B1468"/>
    <w:rsid w:val="005B1485"/>
    <w:rsid w:val="005B14C7"/>
    <w:rsid w:val="005B151A"/>
    <w:rsid w:val="005B1547"/>
    <w:rsid w:val="005B1591"/>
    <w:rsid w:val="005B1609"/>
    <w:rsid w:val="005B164E"/>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9"/>
    <w:rsid w:val="005B1B5E"/>
    <w:rsid w:val="005B1C2A"/>
    <w:rsid w:val="005B1C34"/>
    <w:rsid w:val="005B1C38"/>
    <w:rsid w:val="005B1C83"/>
    <w:rsid w:val="005B1D10"/>
    <w:rsid w:val="005B1D13"/>
    <w:rsid w:val="005B1D60"/>
    <w:rsid w:val="005B1D75"/>
    <w:rsid w:val="005B1D98"/>
    <w:rsid w:val="005B1DDA"/>
    <w:rsid w:val="005B1DFC"/>
    <w:rsid w:val="005B1E39"/>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35F"/>
    <w:rsid w:val="005B2366"/>
    <w:rsid w:val="005B2382"/>
    <w:rsid w:val="005B2383"/>
    <w:rsid w:val="005B2400"/>
    <w:rsid w:val="005B2445"/>
    <w:rsid w:val="005B251C"/>
    <w:rsid w:val="005B2526"/>
    <w:rsid w:val="005B2538"/>
    <w:rsid w:val="005B253D"/>
    <w:rsid w:val="005B25F7"/>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04"/>
    <w:rsid w:val="005B2911"/>
    <w:rsid w:val="005B299F"/>
    <w:rsid w:val="005B2A63"/>
    <w:rsid w:val="005B2AA8"/>
    <w:rsid w:val="005B2AAF"/>
    <w:rsid w:val="005B2ACF"/>
    <w:rsid w:val="005B2AD6"/>
    <w:rsid w:val="005B2AF8"/>
    <w:rsid w:val="005B2B22"/>
    <w:rsid w:val="005B2B7D"/>
    <w:rsid w:val="005B2B93"/>
    <w:rsid w:val="005B2BB7"/>
    <w:rsid w:val="005B2C20"/>
    <w:rsid w:val="005B2C2A"/>
    <w:rsid w:val="005B2C80"/>
    <w:rsid w:val="005B2CAA"/>
    <w:rsid w:val="005B2CB3"/>
    <w:rsid w:val="005B2CD8"/>
    <w:rsid w:val="005B2D0E"/>
    <w:rsid w:val="005B2D10"/>
    <w:rsid w:val="005B2D6E"/>
    <w:rsid w:val="005B2D70"/>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C"/>
    <w:rsid w:val="005B34A2"/>
    <w:rsid w:val="005B34B5"/>
    <w:rsid w:val="005B34DF"/>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09"/>
    <w:rsid w:val="005B3D7F"/>
    <w:rsid w:val="005B3D8B"/>
    <w:rsid w:val="005B3D96"/>
    <w:rsid w:val="005B3DC7"/>
    <w:rsid w:val="005B3DE3"/>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AF"/>
    <w:rsid w:val="005B45C4"/>
    <w:rsid w:val="005B4619"/>
    <w:rsid w:val="005B463C"/>
    <w:rsid w:val="005B4664"/>
    <w:rsid w:val="005B46D2"/>
    <w:rsid w:val="005B46DB"/>
    <w:rsid w:val="005B479E"/>
    <w:rsid w:val="005B47F8"/>
    <w:rsid w:val="005B4801"/>
    <w:rsid w:val="005B4814"/>
    <w:rsid w:val="005B4830"/>
    <w:rsid w:val="005B4881"/>
    <w:rsid w:val="005B488F"/>
    <w:rsid w:val="005B48D0"/>
    <w:rsid w:val="005B4921"/>
    <w:rsid w:val="005B4945"/>
    <w:rsid w:val="005B49FF"/>
    <w:rsid w:val="005B4A8F"/>
    <w:rsid w:val="005B4ADA"/>
    <w:rsid w:val="005B4ADB"/>
    <w:rsid w:val="005B4B00"/>
    <w:rsid w:val="005B4B4E"/>
    <w:rsid w:val="005B4B5A"/>
    <w:rsid w:val="005B4BCC"/>
    <w:rsid w:val="005B4BE7"/>
    <w:rsid w:val="005B4C56"/>
    <w:rsid w:val="005B4C6B"/>
    <w:rsid w:val="005B4D5E"/>
    <w:rsid w:val="005B4D8C"/>
    <w:rsid w:val="005B4DB4"/>
    <w:rsid w:val="005B4DCF"/>
    <w:rsid w:val="005B4DD8"/>
    <w:rsid w:val="005B4E0E"/>
    <w:rsid w:val="005B4E5D"/>
    <w:rsid w:val="005B4F2A"/>
    <w:rsid w:val="005B4F71"/>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1FB"/>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92"/>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ED6"/>
    <w:rsid w:val="005B5F1D"/>
    <w:rsid w:val="005B5F47"/>
    <w:rsid w:val="005B5F8B"/>
    <w:rsid w:val="005B5F90"/>
    <w:rsid w:val="005B5F9F"/>
    <w:rsid w:val="005B6004"/>
    <w:rsid w:val="005B6032"/>
    <w:rsid w:val="005B604C"/>
    <w:rsid w:val="005B60A0"/>
    <w:rsid w:val="005B60D9"/>
    <w:rsid w:val="005B611F"/>
    <w:rsid w:val="005B61F4"/>
    <w:rsid w:val="005B61FA"/>
    <w:rsid w:val="005B6245"/>
    <w:rsid w:val="005B624B"/>
    <w:rsid w:val="005B6264"/>
    <w:rsid w:val="005B6277"/>
    <w:rsid w:val="005B62B4"/>
    <w:rsid w:val="005B6310"/>
    <w:rsid w:val="005B6319"/>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A18"/>
    <w:rsid w:val="005B6A27"/>
    <w:rsid w:val="005B6A58"/>
    <w:rsid w:val="005B6A63"/>
    <w:rsid w:val="005B6A76"/>
    <w:rsid w:val="005B6AD9"/>
    <w:rsid w:val="005B6AF3"/>
    <w:rsid w:val="005B6B54"/>
    <w:rsid w:val="005B6BC7"/>
    <w:rsid w:val="005B6C07"/>
    <w:rsid w:val="005B6C08"/>
    <w:rsid w:val="005B6C71"/>
    <w:rsid w:val="005B6C8F"/>
    <w:rsid w:val="005B6D0E"/>
    <w:rsid w:val="005B6D12"/>
    <w:rsid w:val="005B6D32"/>
    <w:rsid w:val="005B6D3F"/>
    <w:rsid w:val="005B6D9E"/>
    <w:rsid w:val="005B6DBE"/>
    <w:rsid w:val="005B6ECC"/>
    <w:rsid w:val="005B6F4B"/>
    <w:rsid w:val="005B6F69"/>
    <w:rsid w:val="005B6F6B"/>
    <w:rsid w:val="005B6F95"/>
    <w:rsid w:val="005B700D"/>
    <w:rsid w:val="005B702F"/>
    <w:rsid w:val="005B7053"/>
    <w:rsid w:val="005B7075"/>
    <w:rsid w:val="005B7117"/>
    <w:rsid w:val="005B711E"/>
    <w:rsid w:val="005B7127"/>
    <w:rsid w:val="005B712B"/>
    <w:rsid w:val="005B7155"/>
    <w:rsid w:val="005B7199"/>
    <w:rsid w:val="005B719C"/>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BA"/>
    <w:rsid w:val="005B76F6"/>
    <w:rsid w:val="005B7736"/>
    <w:rsid w:val="005B773C"/>
    <w:rsid w:val="005B7770"/>
    <w:rsid w:val="005B77B9"/>
    <w:rsid w:val="005B7807"/>
    <w:rsid w:val="005B7810"/>
    <w:rsid w:val="005B7814"/>
    <w:rsid w:val="005B783D"/>
    <w:rsid w:val="005B786D"/>
    <w:rsid w:val="005B7927"/>
    <w:rsid w:val="005B7947"/>
    <w:rsid w:val="005B795B"/>
    <w:rsid w:val="005B799D"/>
    <w:rsid w:val="005B79A4"/>
    <w:rsid w:val="005B79F7"/>
    <w:rsid w:val="005B7A69"/>
    <w:rsid w:val="005B7A98"/>
    <w:rsid w:val="005B7AA7"/>
    <w:rsid w:val="005B7B50"/>
    <w:rsid w:val="005B7B56"/>
    <w:rsid w:val="005B7BA5"/>
    <w:rsid w:val="005B7BC2"/>
    <w:rsid w:val="005B7BE8"/>
    <w:rsid w:val="005B7C04"/>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DF"/>
    <w:rsid w:val="005C01F3"/>
    <w:rsid w:val="005C0213"/>
    <w:rsid w:val="005C022F"/>
    <w:rsid w:val="005C0247"/>
    <w:rsid w:val="005C028A"/>
    <w:rsid w:val="005C0354"/>
    <w:rsid w:val="005C035A"/>
    <w:rsid w:val="005C03AA"/>
    <w:rsid w:val="005C0451"/>
    <w:rsid w:val="005C04C4"/>
    <w:rsid w:val="005C051E"/>
    <w:rsid w:val="005C054B"/>
    <w:rsid w:val="005C05AB"/>
    <w:rsid w:val="005C05E1"/>
    <w:rsid w:val="005C0608"/>
    <w:rsid w:val="005C0644"/>
    <w:rsid w:val="005C067E"/>
    <w:rsid w:val="005C06AE"/>
    <w:rsid w:val="005C0714"/>
    <w:rsid w:val="005C0768"/>
    <w:rsid w:val="005C0783"/>
    <w:rsid w:val="005C07DD"/>
    <w:rsid w:val="005C07E4"/>
    <w:rsid w:val="005C097E"/>
    <w:rsid w:val="005C09A6"/>
    <w:rsid w:val="005C09E6"/>
    <w:rsid w:val="005C0AB8"/>
    <w:rsid w:val="005C0AC5"/>
    <w:rsid w:val="005C0B16"/>
    <w:rsid w:val="005C0B40"/>
    <w:rsid w:val="005C0B41"/>
    <w:rsid w:val="005C0B9A"/>
    <w:rsid w:val="005C0BA1"/>
    <w:rsid w:val="005C0C15"/>
    <w:rsid w:val="005C0C2A"/>
    <w:rsid w:val="005C0C4D"/>
    <w:rsid w:val="005C0CA7"/>
    <w:rsid w:val="005C0CF3"/>
    <w:rsid w:val="005C0D41"/>
    <w:rsid w:val="005C0D42"/>
    <w:rsid w:val="005C0D4D"/>
    <w:rsid w:val="005C0D9A"/>
    <w:rsid w:val="005C0DC6"/>
    <w:rsid w:val="005C0E02"/>
    <w:rsid w:val="005C0E82"/>
    <w:rsid w:val="005C0EA0"/>
    <w:rsid w:val="005C0EB2"/>
    <w:rsid w:val="005C0EC8"/>
    <w:rsid w:val="005C0EFE"/>
    <w:rsid w:val="005C0F0C"/>
    <w:rsid w:val="005C0F1D"/>
    <w:rsid w:val="005C0F2D"/>
    <w:rsid w:val="005C0F5D"/>
    <w:rsid w:val="005C0F8F"/>
    <w:rsid w:val="005C101B"/>
    <w:rsid w:val="005C1033"/>
    <w:rsid w:val="005C1074"/>
    <w:rsid w:val="005C10F7"/>
    <w:rsid w:val="005C1195"/>
    <w:rsid w:val="005C11D1"/>
    <w:rsid w:val="005C1213"/>
    <w:rsid w:val="005C1215"/>
    <w:rsid w:val="005C1221"/>
    <w:rsid w:val="005C1270"/>
    <w:rsid w:val="005C12C3"/>
    <w:rsid w:val="005C12C6"/>
    <w:rsid w:val="005C12E8"/>
    <w:rsid w:val="005C1344"/>
    <w:rsid w:val="005C139E"/>
    <w:rsid w:val="005C13EA"/>
    <w:rsid w:val="005C1411"/>
    <w:rsid w:val="005C142D"/>
    <w:rsid w:val="005C149C"/>
    <w:rsid w:val="005C14A7"/>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35"/>
    <w:rsid w:val="005C1846"/>
    <w:rsid w:val="005C1858"/>
    <w:rsid w:val="005C189A"/>
    <w:rsid w:val="005C18B6"/>
    <w:rsid w:val="005C18C2"/>
    <w:rsid w:val="005C18CD"/>
    <w:rsid w:val="005C18D0"/>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AC"/>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3D"/>
    <w:rsid w:val="005C256C"/>
    <w:rsid w:val="005C258E"/>
    <w:rsid w:val="005C25AB"/>
    <w:rsid w:val="005C2608"/>
    <w:rsid w:val="005C2619"/>
    <w:rsid w:val="005C2659"/>
    <w:rsid w:val="005C2823"/>
    <w:rsid w:val="005C2839"/>
    <w:rsid w:val="005C2845"/>
    <w:rsid w:val="005C2884"/>
    <w:rsid w:val="005C28B4"/>
    <w:rsid w:val="005C28E4"/>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17"/>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4E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AF3"/>
    <w:rsid w:val="005C3B24"/>
    <w:rsid w:val="005C3B6E"/>
    <w:rsid w:val="005C3B84"/>
    <w:rsid w:val="005C3BB7"/>
    <w:rsid w:val="005C3BFD"/>
    <w:rsid w:val="005C3CB8"/>
    <w:rsid w:val="005C3CD1"/>
    <w:rsid w:val="005C3CDF"/>
    <w:rsid w:val="005C3D6B"/>
    <w:rsid w:val="005C3E0B"/>
    <w:rsid w:val="005C3E3C"/>
    <w:rsid w:val="005C3ECE"/>
    <w:rsid w:val="005C3F53"/>
    <w:rsid w:val="005C3F56"/>
    <w:rsid w:val="005C3F58"/>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4"/>
    <w:rsid w:val="005C4466"/>
    <w:rsid w:val="005C4471"/>
    <w:rsid w:val="005C4476"/>
    <w:rsid w:val="005C4514"/>
    <w:rsid w:val="005C4522"/>
    <w:rsid w:val="005C452F"/>
    <w:rsid w:val="005C4535"/>
    <w:rsid w:val="005C4548"/>
    <w:rsid w:val="005C4561"/>
    <w:rsid w:val="005C45B5"/>
    <w:rsid w:val="005C4605"/>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A29"/>
    <w:rsid w:val="005C4AF6"/>
    <w:rsid w:val="005C4B49"/>
    <w:rsid w:val="005C4B4A"/>
    <w:rsid w:val="005C4B96"/>
    <w:rsid w:val="005C4BE8"/>
    <w:rsid w:val="005C4C1F"/>
    <w:rsid w:val="005C4C2A"/>
    <w:rsid w:val="005C4C37"/>
    <w:rsid w:val="005C4CB1"/>
    <w:rsid w:val="005C4D1F"/>
    <w:rsid w:val="005C4D53"/>
    <w:rsid w:val="005C4D6E"/>
    <w:rsid w:val="005C4DD4"/>
    <w:rsid w:val="005C4E3D"/>
    <w:rsid w:val="005C4E79"/>
    <w:rsid w:val="005C4E7C"/>
    <w:rsid w:val="005C4EC9"/>
    <w:rsid w:val="005C4ED8"/>
    <w:rsid w:val="005C4F53"/>
    <w:rsid w:val="005C4F5B"/>
    <w:rsid w:val="005C4F89"/>
    <w:rsid w:val="005C4F90"/>
    <w:rsid w:val="005C4FC3"/>
    <w:rsid w:val="005C4FCB"/>
    <w:rsid w:val="005C4FF0"/>
    <w:rsid w:val="005C5009"/>
    <w:rsid w:val="005C50A8"/>
    <w:rsid w:val="005C5102"/>
    <w:rsid w:val="005C5134"/>
    <w:rsid w:val="005C51D1"/>
    <w:rsid w:val="005C5249"/>
    <w:rsid w:val="005C5274"/>
    <w:rsid w:val="005C5299"/>
    <w:rsid w:val="005C52D5"/>
    <w:rsid w:val="005C52F7"/>
    <w:rsid w:val="005C5321"/>
    <w:rsid w:val="005C543C"/>
    <w:rsid w:val="005C5470"/>
    <w:rsid w:val="005C5482"/>
    <w:rsid w:val="005C54D5"/>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7B"/>
    <w:rsid w:val="005C648B"/>
    <w:rsid w:val="005C648E"/>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BC7"/>
    <w:rsid w:val="005C6BFA"/>
    <w:rsid w:val="005C6C38"/>
    <w:rsid w:val="005C6C53"/>
    <w:rsid w:val="005C6C6D"/>
    <w:rsid w:val="005C6D76"/>
    <w:rsid w:val="005C6D7C"/>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25"/>
    <w:rsid w:val="005C7A84"/>
    <w:rsid w:val="005C7A8E"/>
    <w:rsid w:val="005C7AAE"/>
    <w:rsid w:val="005C7AE9"/>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AE"/>
    <w:rsid w:val="005C7FD6"/>
    <w:rsid w:val="005C7FE4"/>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21"/>
    <w:rsid w:val="005D063A"/>
    <w:rsid w:val="005D068A"/>
    <w:rsid w:val="005D06BA"/>
    <w:rsid w:val="005D0717"/>
    <w:rsid w:val="005D075C"/>
    <w:rsid w:val="005D07C3"/>
    <w:rsid w:val="005D0802"/>
    <w:rsid w:val="005D0870"/>
    <w:rsid w:val="005D08D0"/>
    <w:rsid w:val="005D0904"/>
    <w:rsid w:val="005D0966"/>
    <w:rsid w:val="005D0A1D"/>
    <w:rsid w:val="005D0A78"/>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67"/>
    <w:rsid w:val="005D0E8B"/>
    <w:rsid w:val="005D0F87"/>
    <w:rsid w:val="005D105B"/>
    <w:rsid w:val="005D10B8"/>
    <w:rsid w:val="005D10F0"/>
    <w:rsid w:val="005D1136"/>
    <w:rsid w:val="005D113B"/>
    <w:rsid w:val="005D11A9"/>
    <w:rsid w:val="005D11AD"/>
    <w:rsid w:val="005D11B3"/>
    <w:rsid w:val="005D121F"/>
    <w:rsid w:val="005D1250"/>
    <w:rsid w:val="005D12CC"/>
    <w:rsid w:val="005D12E7"/>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8FF"/>
    <w:rsid w:val="005D1933"/>
    <w:rsid w:val="005D193B"/>
    <w:rsid w:val="005D1986"/>
    <w:rsid w:val="005D19C9"/>
    <w:rsid w:val="005D19D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3D"/>
    <w:rsid w:val="005D23B2"/>
    <w:rsid w:val="005D244C"/>
    <w:rsid w:val="005D2485"/>
    <w:rsid w:val="005D2486"/>
    <w:rsid w:val="005D24B3"/>
    <w:rsid w:val="005D2514"/>
    <w:rsid w:val="005D253D"/>
    <w:rsid w:val="005D2553"/>
    <w:rsid w:val="005D2570"/>
    <w:rsid w:val="005D25AB"/>
    <w:rsid w:val="005D25B9"/>
    <w:rsid w:val="005D260C"/>
    <w:rsid w:val="005D2697"/>
    <w:rsid w:val="005D2731"/>
    <w:rsid w:val="005D275D"/>
    <w:rsid w:val="005D276F"/>
    <w:rsid w:val="005D27EF"/>
    <w:rsid w:val="005D2846"/>
    <w:rsid w:val="005D284B"/>
    <w:rsid w:val="005D2859"/>
    <w:rsid w:val="005D2912"/>
    <w:rsid w:val="005D2920"/>
    <w:rsid w:val="005D2992"/>
    <w:rsid w:val="005D29BB"/>
    <w:rsid w:val="005D29E7"/>
    <w:rsid w:val="005D29F3"/>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7C"/>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EA"/>
    <w:rsid w:val="005D3299"/>
    <w:rsid w:val="005D32DA"/>
    <w:rsid w:val="005D334B"/>
    <w:rsid w:val="005D338C"/>
    <w:rsid w:val="005D3397"/>
    <w:rsid w:val="005D33B5"/>
    <w:rsid w:val="005D33CA"/>
    <w:rsid w:val="005D3400"/>
    <w:rsid w:val="005D3453"/>
    <w:rsid w:val="005D3466"/>
    <w:rsid w:val="005D347B"/>
    <w:rsid w:val="005D34E4"/>
    <w:rsid w:val="005D357D"/>
    <w:rsid w:val="005D359D"/>
    <w:rsid w:val="005D35D0"/>
    <w:rsid w:val="005D3648"/>
    <w:rsid w:val="005D36C0"/>
    <w:rsid w:val="005D3735"/>
    <w:rsid w:val="005D373E"/>
    <w:rsid w:val="005D3742"/>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EE"/>
    <w:rsid w:val="005D3BF9"/>
    <w:rsid w:val="005D3C4D"/>
    <w:rsid w:val="005D3C5F"/>
    <w:rsid w:val="005D3CD2"/>
    <w:rsid w:val="005D3D20"/>
    <w:rsid w:val="005D3D3C"/>
    <w:rsid w:val="005D3D4F"/>
    <w:rsid w:val="005D3D6D"/>
    <w:rsid w:val="005D3DA7"/>
    <w:rsid w:val="005D3EEF"/>
    <w:rsid w:val="005D3F19"/>
    <w:rsid w:val="005D3F1C"/>
    <w:rsid w:val="005D3F55"/>
    <w:rsid w:val="005D3FB5"/>
    <w:rsid w:val="005D3FDD"/>
    <w:rsid w:val="005D3FF5"/>
    <w:rsid w:val="005D4025"/>
    <w:rsid w:val="005D4035"/>
    <w:rsid w:val="005D4086"/>
    <w:rsid w:val="005D409F"/>
    <w:rsid w:val="005D40E5"/>
    <w:rsid w:val="005D4155"/>
    <w:rsid w:val="005D41AC"/>
    <w:rsid w:val="005D41D8"/>
    <w:rsid w:val="005D41EA"/>
    <w:rsid w:val="005D420B"/>
    <w:rsid w:val="005D4285"/>
    <w:rsid w:val="005D42A1"/>
    <w:rsid w:val="005D42B5"/>
    <w:rsid w:val="005D42B7"/>
    <w:rsid w:val="005D42EA"/>
    <w:rsid w:val="005D42FA"/>
    <w:rsid w:val="005D42FE"/>
    <w:rsid w:val="005D434A"/>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99"/>
    <w:rsid w:val="005D47A5"/>
    <w:rsid w:val="005D489C"/>
    <w:rsid w:val="005D48D6"/>
    <w:rsid w:val="005D49A1"/>
    <w:rsid w:val="005D49A3"/>
    <w:rsid w:val="005D49CB"/>
    <w:rsid w:val="005D49FE"/>
    <w:rsid w:val="005D4A36"/>
    <w:rsid w:val="005D4A98"/>
    <w:rsid w:val="005D4AF1"/>
    <w:rsid w:val="005D4B71"/>
    <w:rsid w:val="005D4B8A"/>
    <w:rsid w:val="005D4BBC"/>
    <w:rsid w:val="005D4BF8"/>
    <w:rsid w:val="005D4C04"/>
    <w:rsid w:val="005D4C16"/>
    <w:rsid w:val="005D4C40"/>
    <w:rsid w:val="005D4C7D"/>
    <w:rsid w:val="005D4CA4"/>
    <w:rsid w:val="005D4D70"/>
    <w:rsid w:val="005D4D98"/>
    <w:rsid w:val="005D4DBF"/>
    <w:rsid w:val="005D4DD6"/>
    <w:rsid w:val="005D4DDB"/>
    <w:rsid w:val="005D4DEC"/>
    <w:rsid w:val="005D4E0E"/>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0"/>
    <w:rsid w:val="005D5294"/>
    <w:rsid w:val="005D52CA"/>
    <w:rsid w:val="005D52CD"/>
    <w:rsid w:val="005D52F5"/>
    <w:rsid w:val="005D533E"/>
    <w:rsid w:val="005D5377"/>
    <w:rsid w:val="005D537F"/>
    <w:rsid w:val="005D53E6"/>
    <w:rsid w:val="005D549F"/>
    <w:rsid w:val="005D54A9"/>
    <w:rsid w:val="005D54AE"/>
    <w:rsid w:val="005D550C"/>
    <w:rsid w:val="005D551C"/>
    <w:rsid w:val="005D5543"/>
    <w:rsid w:val="005D560E"/>
    <w:rsid w:val="005D5688"/>
    <w:rsid w:val="005D56A4"/>
    <w:rsid w:val="005D5714"/>
    <w:rsid w:val="005D571A"/>
    <w:rsid w:val="005D57B1"/>
    <w:rsid w:val="005D582D"/>
    <w:rsid w:val="005D584D"/>
    <w:rsid w:val="005D5852"/>
    <w:rsid w:val="005D5868"/>
    <w:rsid w:val="005D5967"/>
    <w:rsid w:val="005D597F"/>
    <w:rsid w:val="005D5A17"/>
    <w:rsid w:val="005D5A46"/>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503"/>
    <w:rsid w:val="005D6523"/>
    <w:rsid w:val="005D6525"/>
    <w:rsid w:val="005D6541"/>
    <w:rsid w:val="005D6542"/>
    <w:rsid w:val="005D655E"/>
    <w:rsid w:val="005D65C4"/>
    <w:rsid w:val="005D6612"/>
    <w:rsid w:val="005D667B"/>
    <w:rsid w:val="005D66E9"/>
    <w:rsid w:val="005D671A"/>
    <w:rsid w:val="005D6765"/>
    <w:rsid w:val="005D677C"/>
    <w:rsid w:val="005D67AB"/>
    <w:rsid w:val="005D6811"/>
    <w:rsid w:val="005D6853"/>
    <w:rsid w:val="005D68A4"/>
    <w:rsid w:val="005D6932"/>
    <w:rsid w:val="005D6970"/>
    <w:rsid w:val="005D69B8"/>
    <w:rsid w:val="005D6A1B"/>
    <w:rsid w:val="005D6A44"/>
    <w:rsid w:val="005D6A8C"/>
    <w:rsid w:val="005D6AA6"/>
    <w:rsid w:val="005D6ABF"/>
    <w:rsid w:val="005D6B0D"/>
    <w:rsid w:val="005D6BC8"/>
    <w:rsid w:val="005D6BEF"/>
    <w:rsid w:val="005D6BF5"/>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5D"/>
    <w:rsid w:val="005D6F7F"/>
    <w:rsid w:val="005D6F9A"/>
    <w:rsid w:val="005D7013"/>
    <w:rsid w:val="005D7047"/>
    <w:rsid w:val="005D7064"/>
    <w:rsid w:val="005D70A0"/>
    <w:rsid w:val="005D715A"/>
    <w:rsid w:val="005D7209"/>
    <w:rsid w:val="005D725E"/>
    <w:rsid w:val="005D732C"/>
    <w:rsid w:val="005D733F"/>
    <w:rsid w:val="005D736A"/>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74"/>
    <w:rsid w:val="005D778F"/>
    <w:rsid w:val="005D77A6"/>
    <w:rsid w:val="005D783F"/>
    <w:rsid w:val="005D78FD"/>
    <w:rsid w:val="005D7907"/>
    <w:rsid w:val="005D79C6"/>
    <w:rsid w:val="005D79E9"/>
    <w:rsid w:val="005D7A28"/>
    <w:rsid w:val="005D7A5D"/>
    <w:rsid w:val="005D7A6A"/>
    <w:rsid w:val="005D7A88"/>
    <w:rsid w:val="005D7A9E"/>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99"/>
    <w:rsid w:val="005D7DC4"/>
    <w:rsid w:val="005D7E05"/>
    <w:rsid w:val="005D7E0E"/>
    <w:rsid w:val="005D7EA6"/>
    <w:rsid w:val="005D7EC6"/>
    <w:rsid w:val="005D7F1F"/>
    <w:rsid w:val="005D7F33"/>
    <w:rsid w:val="005D7F63"/>
    <w:rsid w:val="005D7F68"/>
    <w:rsid w:val="005D7F9D"/>
    <w:rsid w:val="005D7FA6"/>
    <w:rsid w:val="005D7FB4"/>
    <w:rsid w:val="005E0008"/>
    <w:rsid w:val="005E00BE"/>
    <w:rsid w:val="005E01A6"/>
    <w:rsid w:val="005E01D4"/>
    <w:rsid w:val="005E01EF"/>
    <w:rsid w:val="005E0273"/>
    <w:rsid w:val="005E027D"/>
    <w:rsid w:val="005E030B"/>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CA6"/>
    <w:rsid w:val="005E0DB3"/>
    <w:rsid w:val="005E0E44"/>
    <w:rsid w:val="005E0E79"/>
    <w:rsid w:val="005E0F09"/>
    <w:rsid w:val="005E0F2D"/>
    <w:rsid w:val="005E0FC4"/>
    <w:rsid w:val="005E100E"/>
    <w:rsid w:val="005E1021"/>
    <w:rsid w:val="005E1099"/>
    <w:rsid w:val="005E10CF"/>
    <w:rsid w:val="005E1105"/>
    <w:rsid w:val="005E1109"/>
    <w:rsid w:val="005E112B"/>
    <w:rsid w:val="005E117A"/>
    <w:rsid w:val="005E11ED"/>
    <w:rsid w:val="005E1268"/>
    <w:rsid w:val="005E128B"/>
    <w:rsid w:val="005E12D0"/>
    <w:rsid w:val="005E13B2"/>
    <w:rsid w:val="005E13CD"/>
    <w:rsid w:val="005E1452"/>
    <w:rsid w:val="005E1458"/>
    <w:rsid w:val="005E149A"/>
    <w:rsid w:val="005E14A2"/>
    <w:rsid w:val="005E1551"/>
    <w:rsid w:val="005E156D"/>
    <w:rsid w:val="005E15A7"/>
    <w:rsid w:val="005E15E8"/>
    <w:rsid w:val="005E1657"/>
    <w:rsid w:val="005E1678"/>
    <w:rsid w:val="005E1689"/>
    <w:rsid w:val="005E177A"/>
    <w:rsid w:val="005E17B6"/>
    <w:rsid w:val="005E17C6"/>
    <w:rsid w:val="005E1814"/>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5"/>
    <w:rsid w:val="005E1D7E"/>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12C"/>
    <w:rsid w:val="005E2151"/>
    <w:rsid w:val="005E220A"/>
    <w:rsid w:val="005E223A"/>
    <w:rsid w:val="005E224F"/>
    <w:rsid w:val="005E227B"/>
    <w:rsid w:val="005E22E7"/>
    <w:rsid w:val="005E22F9"/>
    <w:rsid w:val="005E2333"/>
    <w:rsid w:val="005E2340"/>
    <w:rsid w:val="005E23AB"/>
    <w:rsid w:val="005E23C0"/>
    <w:rsid w:val="005E2401"/>
    <w:rsid w:val="005E241A"/>
    <w:rsid w:val="005E24B1"/>
    <w:rsid w:val="005E24E5"/>
    <w:rsid w:val="005E257E"/>
    <w:rsid w:val="005E25B9"/>
    <w:rsid w:val="005E25C9"/>
    <w:rsid w:val="005E25D7"/>
    <w:rsid w:val="005E2610"/>
    <w:rsid w:val="005E2727"/>
    <w:rsid w:val="005E2779"/>
    <w:rsid w:val="005E28BE"/>
    <w:rsid w:val="005E2978"/>
    <w:rsid w:val="005E29E1"/>
    <w:rsid w:val="005E2A15"/>
    <w:rsid w:val="005E2B29"/>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300E"/>
    <w:rsid w:val="005E304B"/>
    <w:rsid w:val="005E3050"/>
    <w:rsid w:val="005E30CA"/>
    <w:rsid w:val="005E30DC"/>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CB"/>
    <w:rsid w:val="005E3638"/>
    <w:rsid w:val="005E363D"/>
    <w:rsid w:val="005E36A1"/>
    <w:rsid w:val="005E36F0"/>
    <w:rsid w:val="005E373C"/>
    <w:rsid w:val="005E3743"/>
    <w:rsid w:val="005E3755"/>
    <w:rsid w:val="005E3757"/>
    <w:rsid w:val="005E3847"/>
    <w:rsid w:val="005E3853"/>
    <w:rsid w:val="005E385B"/>
    <w:rsid w:val="005E38A0"/>
    <w:rsid w:val="005E38DA"/>
    <w:rsid w:val="005E393A"/>
    <w:rsid w:val="005E3968"/>
    <w:rsid w:val="005E398E"/>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C6"/>
    <w:rsid w:val="005E3DCF"/>
    <w:rsid w:val="005E3DEA"/>
    <w:rsid w:val="005E3DF5"/>
    <w:rsid w:val="005E3DF7"/>
    <w:rsid w:val="005E3E04"/>
    <w:rsid w:val="005E3E05"/>
    <w:rsid w:val="005E3E2B"/>
    <w:rsid w:val="005E3E61"/>
    <w:rsid w:val="005E3EE8"/>
    <w:rsid w:val="005E3EF0"/>
    <w:rsid w:val="005E3F28"/>
    <w:rsid w:val="005E3F79"/>
    <w:rsid w:val="005E3FE4"/>
    <w:rsid w:val="005E4007"/>
    <w:rsid w:val="005E4010"/>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29"/>
    <w:rsid w:val="005E4E60"/>
    <w:rsid w:val="005E4F2D"/>
    <w:rsid w:val="005E4F57"/>
    <w:rsid w:val="005E4F9E"/>
    <w:rsid w:val="005E4FA3"/>
    <w:rsid w:val="005E4FB8"/>
    <w:rsid w:val="005E4FE9"/>
    <w:rsid w:val="005E4FEA"/>
    <w:rsid w:val="005E500E"/>
    <w:rsid w:val="005E5063"/>
    <w:rsid w:val="005E508C"/>
    <w:rsid w:val="005E50CC"/>
    <w:rsid w:val="005E5120"/>
    <w:rsid w:val="005E5188"/>
    <w:rsid w:val="005E51DA"/>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72"/>
    <w:rsid w:val="005E5586"/>
    <w:rsid w:val="005E55D9"/>
    <w:rsid w:val="005E564D"/>
    <w:rsid w:val="005E5654"/>
    <w:rsid w:val="005E5716"/>
    <w:rsid w:val="005E573C"/>
    <w:rsid w:val="005E575D"/>
    <w:rsid w:val="005E5765"/>
    <w:rsid w:val="005E5781"/>
    <w:rsid w:val="005E57B0"/>
    <w:rsid w:val="005E5800"/>
    <w:rsid w:val="005E5809"/>
    <w:rsid w:val="005E580B"/>
    <w:rsid w:val="005E5872"/>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48"/>
    <w:rsid w:val="005E6D49"/>
    <w:rsid w:val="005E6D5F"/>
    <w:rsid w:val="005E6DB6"/>
    <w:rsid w:val="005E6E07"/>
    <w:rsid w:val="005E6E2D"/>
    <w:rsid w:val="005E6E52"/>
    <w:rsid w:val="005E6EED"/>
    <w:rsid w:val="005E6F19"/>
    <w:rsid w:val="005E6F1F"/>
    <w:rsid w:val="005E708C"/>
    <w:rsid w:val="005E7095"/>
    <w:rsid w:val="005E709A"/>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81"/>
    <w:rsid w:val="005E7897"/>
    <w:rsid w:val="005E78CA"/>
    <w:rsid w:val="005E78EC"/>
    <w:rsid w:val="005E790C"/>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66"/>
    <w:rsid w:val="005E7F97"/>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35C"/>
    <w:rsid w:val="005F0475"/>
    <w:rsid w:val="005F04EC"/>
    <w:rsid w:val="005F0593"/>
    <w:rsid w:val="005F05B3"/>
    <w:rsid w:val="005F05BB"/>
    <w:rsid w:val="005F0612"/>
    <w:rsid w:val="005F0617"/>
    <w:rsid w:val="005F0649"/>
    <w:rsid w:val="005F0664"/>
    <w:rsid w:val="005F0696"/>
    <w:rsid w:val="005F06AB"/>
    <w:rsid w:val="005F074B"/>
    <w:rsid w:val="005F074F"/>
    <w:rsid w:val="005F0757"/>
    <w:rsid w:val="005F079F"/>
    <w:rsid w:val="005F07C5"/>
    <w:rsid w:val="005F07CC"/>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0FE9"/>
    <w:rsid w:val="005F109F"/>
    <w:rsid w:val="005F10D3"/>
    <w:rsid w:val="005F10E3"/>
    <w:rsid w:val="005F10F8"/>
    <w:rsid w:val="005F1131"/>
    <w:rsid w:val="005F113F"/>
    <w:rsid w:val="005F1165"/>
    <w:rsid w:val="005F1171"/>
    <w:rsid w:val="005F118F"/>
    <w:rsid w:val="005F11FE"/>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04"/>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55"/>
    <w:rsid w:val="005F1E75"/>
    <w:rsid w:val="005F1EC1"/>
    <w:rsid w:val="005F1EDC"/>
    <w:rsid w:val="005F1F33"/>
    <w:rsid w:val="005F1F39"/>
    <w:rsid w:val="005F1F42"/>
    <w:rsid w:val="005F1FBC"/>
    <w:rsid w:val="005F1FFA"/>
    <w:rsid w:val="005F2007"/>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28"/>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88F"/>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3F"/>
    <w:rsid w:val="005F2F75"/>
    <w:rsid w:val="005F2F7F"/>
    <w:rsid w:val="005F2FA2"/>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75"/>
    <w:rsid w:val="005F3D8B"/>
    <w:rsid w:val="005F3DE0"/>
    <w:rsid w:val="005F3E34"/>
    <w:rsid w:val="005F3E83"/>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3BA"/>
    <w:rsid w:val="005F442F"/>
    <w:rsid w:val="005F444C"/>
    <w:rsid w:val="005F444E"/>
    <w:rsid w:val="005F44A5"/>
    <w:rsid w:val="005F44B4"/>
    <w:rsid w:val="005F44DE"/>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B8"/>
    <w:rsid w:val="005F4BC1"/>
    <w:rsid w:val="005F4C09"/>
    <w:rsid w:val="005F4C27"/>
    <w:rsid w:val="005F4C3E"/>
    <w:rsid w:val="005F4C8C"/>
    <w:rsid w:val="005F4CD1"/>
    <w:rsid w:val="005F4D00"/>
    <w:rsid w:val="005F4D99"/>
    <w:rsid w:val="005F4DA6"/>
    <w:rsid w:val="005F4DAF"/>
    <w:rsid w:val="005F4DF5"/>
    <w:rsid w:val="005F4E25"/>
    <w:rsid w:val="005F4E29"/>
    <w:rsid w:val="005F4E99"/>
    <w:rsid w:val="005F4EC1"/>
    <w:rsid w:val="005F4EC8"/>
    <w:rsid w:val="005F4EE7"/>
    <w:rsid w:val="005F4F45"/>
    <w:rsid w:val="005F4F7C"/>
    <w:rsid w:val="005F4FA1"/>
    <w:rsid w:val="005F4FEA"/>
    <w:rsid w:val="005F5025"/>
    <w:rsid w:val="005F506A"/>
    <w:rsid w:val="005F5090"/>
    <w:rsid w:val="005F50AB"/>
    <w:rsid w:val="005F50AE"/>
    <w:rsid w:val="005F50F5"/>
    <w:rsid w:val="005F513C"/>
    <w:rsid w:val="005F51CE"/>
    <w:rsid w:val="005F5224"/>
    <w:rsid w:val="005F5255"/>
    <w:rsid w:val="005F5271"/>
    <w:rsid w:val="005F5276"/>
    <w:rsid w:val="005F529F"/>
    <w:rsid w:val="005F52B1"/>
    <w:rsid w:val="005F52BC"/>
    <w:rsid w:val="005F5330"/>
    <w:rsid w:val="005F537A"/>
    <w:rsid w:val="005F53DD"/>
    <w:rsid w:val="005F53E8"/>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A8"/>
    <w:rsid w:val="005F57CC"/>
    <w:rsid w:val="005F5841"/>
    <w:rsid w:val="005F5861"/>
    <w:rsid w:val="005F590A"/>
    <w:rsid w:val="005F5951"/>
    <w:rsid w:val="005F5973"/>
    <w:rsid w:val="005F59A2"/>
    <w:rsid w:val="005F5A76"/>
    <w:rsid w:val="005F5B13"/>
    <w:rsid w:val="005F5B1B"/>
    <w:rsid w:val="005F5B45"/>
    <w:rsid w:val="005F5BB7"/>
    <w:rsid w:val="005F5BE7"/>
    <w:rsid w:val="005F5BFB"/>
    <w:rsid w:val="005F5C0E"/>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57"/>
    <w:rsid w:val="005F6159"/>
    <w:rsid w:val="005F61A7"/>
    <w:rsid w:val="005F61EC"/>
    <w:rsid w:val="005F61ED"/>
    <w:rsid w:val="005F622B"/>
    <w:rsid w:val="005F62C5"/>
    <w:rsid w:val="005F62E1"/>
    <w:rsid w:val="005F632B"/>
    <w:rsid w:val="005F633E"/>
    <w:rsid w:val="005F6362"/>
    <w:rsid w:val="005F6379"/>
    <w:rsid w:val="005F63F1"/>
    <w:rsid w:val="005F6411"/>
    <w:rsid w:val="005F6458"/>
    <w:rsid w:val="005F64E4"/>
    <w:rsid w:val="005F64F7"/>
    <w:rsid w:val="005F6501"/>
    <w:rsid w:val="005F650B"/>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7B"/>
    <w:rsid w:val="005F6883"/>
    <w:rsid w:val="005F6890"/>
    <w:rsid w:val="005F68A0"/>
    <w:rsid w:val="005F68AE"/>
    <w:rsid w:val="005F68BB"/>
    <w:rsid w:val="005F68D9"/>
    <w:rsid w:val="005F690F"/>
    <w:rsid w:val="005F6915"/>
    <w:rsid w:val="005F6923"/>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C10"/>
    <w:rsid w:val="005F6C96"/>
    <w:rsid w:val="005F6C9A"/>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83"/>
    <w:rsid w:val="005F6FB8"/>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03"/>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F4"/>
    <w:rsid w:val="005F7C29"/>
    <w:rsid w:val="005F7C2F"/>
    <w:rsid w:val="005F7C36"/>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8F"/>
    <w:rsid w:val="00600091"/>
    <w:rsid w:val="00600092"/>
    <w:rsid w:val="0060009A"/>
    <w:rsid w:val="006000F1"/>
    <w:rsid w:val="00600116"/>
    <w:rsid w:val="00600126"/>
    <w:rsid w:val="006001AD"/>
    <w:rsid w:val="00600217"/>
    <w:rsid w:val="0060024D"/>
    <w:rsid w:val="00600251"/>
    <w:rsid w:val="0060026A"/>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3E"/>
    <w:rsid w:val="00600548"/>
    <w:rsid w:val="00600567"/>
    <w:rsid w:val="00600572"/>
    <w:rsid w:val="0060058D"/>
    <w:rsid w:val="006005B3"/>
    <w:rsid w:val="006005C2"/>
    <w:rsid w:val="00600609"/>
    <w:rsid w:val="0060068C"/>
    <w:rsid w:val="006006C2"/>
    <w:rsid w:val="006006E2"/>
    <w:rsid w:val="0060073C"/>
    <w:rsid w:val="0060074F"/>
    <w:rsid w:val="00600794"/>
    <w:rsid w:val="00600799"/>
    <w:rsid w:val="006007F0"/>
    <w:rsid w:val="00600803"/>
    <w:rsid w:val="0060087C"/>
    <w:rsid w:val="0060088B"/>
    <w:rsid w:val="006008EC"/>
    <w:rsid w:val="00600907"/>
    <w:rsid w:val="0060090C"/>
    <w:rsid w:val="00600993"/>
    <w:rsid w:val="006009AF"/>
    <w:rsid w:val="00600ABC"/>
    <w:rsid w:val="00600B0F"/>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5"/>
    <w:rsid w:val="00600EC6"/>
    <w:rsid w:val="00600EF5"/>
    <w:rsid w:val="00600F18"/>
    <w:rsid w:val="00600F9E"/>
    <w:rsid w:val="00600FBB"/>
    <w:rsid w:val="0060104E"/>
    <w:rsid w:val="00601078"/>
    <w:rsid w:val="0060107D"/>
    <w:rsid w:val="00601091"/>
    <w:rsid w:val="006010B5"/>
    <w:rsid w:val="00601117"/>
    <w:rsid w:val="00601124"/>
    <w:rsid w:val="0060115E"/>
    <w:rsid w:val="00601166"/>
    <w:rsid w:val="00601172"/>
    <w:rsid w:val="006011C7"/>
    <w:rsid w:val="006011F6"/>
    <w:rsid w:val="0060126B"/>
    <w:rsid w:val="0060126E"/>
    <w:rsid w:val="0060127D"/>
    <w:rsid w:val="00601287"/>
    <w:rsid w:val="006012BD"/>
    <w:rsid w:val="00601306"/>
    <w:rsid w:val="00601343"/>
    <w:rsid w:val="00601363"/>
    <w:rsid w:val="00601368"/>
    <w:rsid w:val="00601385"/>
    <w:rsid w:val="006013B8"/>
    <w:rsid w:val="0060143C"/>
    <w:rsid w:val="00601468"/>
    <w:rsid w:val="006014B8"/>
    <w:rsid w:val="0060154E"/>
    <w:rsid w:val="0060155D"/>
    <w:rsid w:val="006015F5"/>
    <w:rsid w:val="00601640"/>
    <w:rsid w:val="00601673"/>
    <w:rsid w:val="00601675"/>
    <w:rsid w:val="006016A9"/>
    <w:rsid w:val="00601715"/>
    <w:rsid w:val="0060171D"/>
    <w:rsid w:val="00601752"/>
    <w:rsid w:val="0060175B"/>
    <w:rsid w:val="0060175C"/>
    <w:rsid w:val="006017AE"/>
    <w:rsid w:val="00601815"/>
    <w:rsid w:val="00601830"/>
    <w:rsid w:val="00601882"/>
    <w:rsid w:val="0060189F"/>
    <w:rsid w:val="006018A5"/>
    <w:rsid w:val="006018CC"/>
    <w:rsid w:val="006018F0"/>
    <w:rsid w:val="00601922"/>
    <w:rsid w:val="00601933"/>
    <w:rsid w:val="00601970"/>
    <w:rsid w:val="006019C0"/>
    <w:rsid w:val="00601A77"/>
    <w:rsid w:val="00601A7D"/>
    <w:rsid w:val="00601A91"/>
    <w:rsid w:val="00601B27"/>
    <w:rsid w:val="00601B54"/>
    <w:rsid w:val="00601BC1"/>
    <w:rsid w:val="00601BC6"/>
    <w:rsid w:val="00601C17"/>
    <w:rsid w:val="00601C5C"/>
    <w:rsid w:val="00601C7D"/>
    <w:rsid w:val="00601CAD"/>
    <w:rsid w:val="00601D6F"/>
    <w:rsid w:val="00601D79"/>
    <w:rsid w:val="00601D7F"/>
    <w:rsid w:val="00601D88"/>
    <w:rsid w:val="00601DD9"/>
    <w:rsid w:val="00601DFE"/>
    <w:rsid w:val="00601EFC"/>
    <w:rsid w:val="00601F4A"/>
    <w:rsid w:val="00601F66"/>
    <w:rsid w:val="00601FAD"/>
    <w:rsid w:val="00601FF7"/>
    <w:rsid w:val="00601FFF"/>
    <w:rsid w:val="00602002"/>
    <w:rsid w:val="0060200F"/>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CC"/>
    <w:rsid w:val="0060351E"/>
    <w:rsid w:val="0060359E"/>
    <w:rsid w:val="0060362D"/>
    <w:rsid w:val="0060363A"/>
    <w:rsid w:val="00603675"/>
    <w:rsid w:val="0060369C"/>
    <w:rsid w:val="006036B5"/>
    <w:rsid w:val="006036E7"/>
    <w:rsid w:val="006036ED"/>
    <w:rsid w:val="00603753"/>
    <w:rsid w:val="0060377A"/>
    <w:rsid w:val="006037D3"/>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C3B"/>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4C"/>
    <w:rsid w:val="0060439C"/>
    <w:rsid w:val="00604408"/>
    <w:rsid w:val="0060440A"/>
    <w:rsid w:val="00604420"/>
    <w:rsid w:val="0060442A"/>
    <w:rsid w:val="00604463"/>
    <w:rsid w:val="006044B8"/>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C6"/>
    <w:rsid w:val="00604ADE"/>
    <w:rsid w:val="00604B0E"/>
    <w:rsid w:val="00604B33"/>
    <w:rsid w:val="00604B58"/>
    <w:rsid w:val="00604B6B"/>
    <w:rsid w:val="00604BDF"/>
    <w:rsid w:val="00604BEA"/>
    <w:rsid w:val="00604C01"/>
    <w:rsid w:val="00604C15"/>
    <w:rsid w:val="00604C22"/>
    <w:rsid w:val="00604C2A"/>
    <w:rsid w:val="00604C4E"/>
    <w:rsid w:val="00604DD9"/>
    <w:rsid w:val="00604E7F"/>
    <w:rsid w:val="00604EB0"/>
    <w:rsid w:val="00604F05"/>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5FA"/>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AE"/>
    <w:rsid w:val="006059D8"/>
    <w:rsid w:val="00605A34"/>
    <w:rsid w:val="00605A5C"/>
    <w:rsid w:val="00605A6E"/>
    <w:rsid w:val="00605A89"/>
    <w:rsid w:val="00605AA1"/>
    <w:rsid w:val="00605B1C"/>
    <w:rsid w:val="00605B2A"/>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637"/>
    <w:rsid w:val="00606697"/>
    <w:rsid w:val="006066A1"/>
    <w:rsid w:val="006066D0"/>
    <w:rsid w:val="006066D9"/>
    <w:rsid w:val="0060676F"/>
    <w:rsid w:val="0060680B"/>
    <w:rsid w:val="0060682E"/>
    <w:rsid w:val="00606856"/>
    <w:rsid w:val="0060686B"/>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BEE"/>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38A"/>
    <w:rsid w:val="00607394"/>
    <w:rsid w:val="0060739C"/>
    <w:rsid w:val="006073A4"/>
    <w:rsid w:val="006073F5"/>
    <w:rsid w:val="006073F6"/>
    <w:rsid w:val="00607470"/>
    <w:rsid w:val="006074BE"/>
    <w:rsid w:val="006074C4"/>
    <w:rsid w:val="006074D4"/>
    <w:rsid w:val="006074F1"/>
    <w:rsid w:val="0060752D"/>
    <w:rsid w:val="0060752F"/>
    <w:rsid w:val="0060754E"/>
    <w:rsid w:val="0060757E"/>
    <w:rsid w:val="006075B1"/>
    <w:rsid w:val="00607608"/>
    <w:rsid w:val="00607626"/>
    <w:rsid w:val="0060765D"/>
    <w:rsid w:val="006076BC"/>
    <w:rsid w:val="006076D7"/>
    <w:rsid w:val="0060772C"/>
    <w:rsid w:val="0060775A"/>
    <w:rsid w:val="00607772"/>
    <w:rsid w:val="00607777"/>
    <w:rsid w:val="006077FA"/>
    <w:rsid w:val="00607804"/>
    <w:rsid w:val="00607831"/>
    <w:rsid w:val="00607854"/>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C0"/>
    <w:rsid w:val="006101CF"/>
    <w:rsid w:val="006101D2"/>
    <w:rsid w:val="006101F7"/>
    <w:rsid w:val="00610232"/>
    <w:rsid w:val="0061024B"/>
    <w:rsid w:val="00610260"/>
    <w:rsid w:val="0061026A"/>
    <w:rsid w:val="00610282"/>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9F5"/>
    <w:rsid w:val="00610A16"/>
    <w:rsid w:val="00610A5C"/>
    <w:rsid w:val="00610A93"/>
    <w:rsid w:val="00610B2E"/>
    <w:rsid w:val="00610B38"/>
    <w:rsid w:val="00610B43"/>
    <w:rsid w:val="00610B83"/>
    <w:rsid w:val="00610B8A"/>
    <w:rsid w:val="00610BD1"/>
    <w:rsid w:val="00610BF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BF"/>
    <w:rsid w:val="006111C8"/>
    <w:rsid w:val="006111D3"/>
    <w:rsid w:val="006111DD"/>
    <w:rsid w:val="00611263"/>
    <w:rsid w:val="00611270"/>
    <w:rsid w:val="006112B2"/>
    <w:rsid w:val="006112C2"/>
    <w:rsid w:val="006112E9"/>
    <w:rsid w:val="00611303"/>
    <w:rsid w:val="00611317"/>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5B"/>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69"/>
    <w:rsid w:val="006125A5"/>
    <w:rsid w:val="006125C3"/>
    <w:rsid w:val="006125DB"/>
    <w:rsid w:val="006125ED"/>
    <w:rsid w:val="00612625"/>
    <w:rsid w:val="0061264F"/>
    <w:rsid w:val="006126B1"/>
    <w:rsid w:val="006126F0"/>
    <w:rsid w:val="00612708"/>
    <w:rsid w:val="0061270C"/>
    <w:rsid w:val="0061274A"/>
    <w:rsid w:val="0061276C"/>
    <w:rsid w:val="0061276E"/>
    <w:rsid w:val="006127D1"/>
    <w:rsid w:val="006127EF"/>
    <w:rsid w:val="006127F2"/>
    <w:rsid w:val="00612892"/>
    <w:rsid w:val="006128B4"/>
    <w:rsid w:val="0061292C"/>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C53"/>
    <w:rsid w:val="00612D5A"/>
    <w:rsid w:val="00612D71"/>
    <w:rsid w:val="00612DA8"/>
    <w:rsid w:val="00612DAF"/>
    <w:rsid w:val="00612E00"/>
    <w:rsid w:val="00612E2B"/>
    <w:rsid w:val="00612E7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DE"/>
    <w:rsid w:val="006130E1"/>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60C"/>
    <w:rsid w:val="006136AB"/>
    <w:rsid w:val="006136F3"/>
    <w:rsid w:val="00613734"/>
    <w:rsid w:val="00613743"/>
    <w:rsid w:val="0061387C"/>
    <w:rsid w:val="006138DF"/>
    <w:rsid w:val="00613974"/>
    <w:rsid w:val="006139DD"/>
    <w:rsid w:val="006139F0"/>
    <w:rsid w:val="00613A1C"/>
    <w:rsid w:val="00613A3F"/>
    <w:rsid w:val="00613A4E"/>
    <w:rsid w:val="00613A7A"/>
    <w:rsid w:val="00613A9A"/>
    <w:rsid w:val="00613AAB"/>
    <w:rsid w:val="00613B01"/>
    <w:rsid w:val="00613B15"/>
    <w:rsid w:val="00613B57"/>
    <w:rsid w:val="00613BAD"/>
    <w:rsid w:val="00613BF1"/>
    <w:rsid w:val="00613CD2"/>
    <w:rsid w:val="00613D11"/>
    <w:rsid w:val="00613D1E"/>
    <w:rsid w:val="00613D73"/>
    <w:rsid w:val="00613D76"/>
    <w:rsid w:val="00613E3B"/>
    <w:rsid w:val="00613E65"/>
    <w:rsid w:val="00613E9E"/>
    <w:rsid w:val="00613EB0"/>
    <w:rsid w:val="00613ECD"/>
    <w:rsid w:val="00613EEA"/>
    <w:rsid w:val="00613EFF"/>
    <w:rsid w:val="00613F07"/>
    <w:rsid w:val="00613F54"/>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C"/>
    <w:rsid w:val="00614B4D"/>
    <w:rsid w:val="00614B71"/>
    <w:rsid w:val="00614B80"/>
    <w:rsid w:val="00614BAF"/>
    <w:rsid w:val="00614BED"/>
    <w:rsid w:val="00614C04"/>
    <w:rsid w:val="00614C7C"/>
    <w:rsid w:val="00614CE4"/>
    <w:rsid w:val="00614CFA"/>
    <w:rsid w:val="00614D1C"/>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41"/>
    <w:rsid w:val="00615069"/>
    <w:rsid w:val="00615075"/>
    <w:rsid w:val="0061507D"/>
    <w:rsid w:val="00615087"/>
    <w:rsid w:val="00615091"/>
    <w:rsid w:val="006150A5"/>
    <w:rsid w:val="0061510A"/>
    <w:rsid w:val="00615114"/>
    <w:rsid w:val="00615170"/>
    <w:rsid w:val="0061518F"/>
    <w:rsid w:val="0061520B"/>
    <w:rsid w:val="00615256"/>
    <w:rsid w:val="006152C7"/>
    <w:rsid w:val="00615311"/>
    <w:rsid w:val="0061533B"/>
    <w:rsid w:val="00615343"/>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8EE"/>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A"/>
    <w:rsid w:val="00615EB4"/>
    <w:rsid w:val="00615F1B"/>
    <w:rsid w:val="00615F34"/>
    <w:rsid w:val="00615F78"/>
    <w:rsid w:val="00615F9F"/>
    <w:rsid w:val="00616037"/>
    <w:rsid w:val="00616058"/>
    <w:rsid w:val="00616094"/>
    <w:rsid w:val="00616098"/>
    <w:rsid w:val="006160B9"/>
    <w:rsid w:val="006160EA"/>
    <w:rsid w:val="006160F5"/>
    <w:rsid w:val="00616111"/>
    <w:rsid w:val="00616116"/>
    <w:rsid w:val="00616123"/>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48"/>
    <w:rsid w:val="006168A3"/>
    <w:rsid w:val="00616907"/>
    <w:rsid w:val="00616913"/>
    <w:rsid w:val="00616922"/>
    <w:rsid w:val="00616934"/>
    <w:rsid w:val="006169AC"/>
    <w:rsid w:val="00616A39"/>
    <w:rsid w:val="00616A64"/>
    <w:rsid w:val="00616A74"/>
    <w:rsid w:val="00616AF5"/>
    <w:rsid w:val="00616B2F"/>
    <w:rsid w:val="00616B5C"/>
    <w:rsid w:val="00616B9B"/>
    <w:rsid w:val="00616BDE"/>
    <w:rsid w:val="00616C01"/>
    <w:rsid w:val="00616C18"/>
    <w:rsid w:val="00616C41"/>
    <w:rsid w:val="00616C46"/>
    <w:rsid w:val="00616C68"/>
    <w:rsid w:val="00616CA9"/>
    <w:rsid w:val="00616CC7"/>
    <w:rsid w:val="00616CD4"/>
    <w:rsid w:val="00616CF2"/>
    <w:rsid w:val="00616D18"/>
    <w:rsid w:val="00616D63"/>
    <w:rsid w:val="00616D7B"/>
    <w:rsid w:val="00616D84"/>
    <w:rsid w:val="00616DA8"/>
    <w:rsid w:val="00616DC5"/>
    <w:rsid w:val="00616DC6"/>
    <w:rsid w:val="00616E0E"/>
    <w:rsid w:val="00616E15"/>
    <w:rsid w:val="00616E3A"/>
    <w:rsid w:val="00616EA2"/>
    <w:rsid w:val="00616ECD"/>
    <w:rsid w:val="00616F0B"/>
    <w:rsid w:val="00616F9D"/>
    <w:rsid w:val="00616FB4"/>
    <w:rsid w:val="00616FEF"/>
    <w:rsid w:val="0061700A"/>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C8"/>
    <w:rsid w:val="00617504"/>
    <w:rsid w:val="00617545"/>
    <w:rsid w:val="00617606"/>
    <w:rsid w:val="0061762E"/>
    <w:rsid w:val="00617648"/>
    <w:rsid w:val="00617654"/>
    <w:rsid w:val="0061765F"/>
    <w:rsid w:val="006176DB"/>
    <w:rsid w:val="006177C6"/>
    <w:rsid w:val="00617814"/>
    <w:rsid w:val="00617879"/>
    <w:rsid w:val="006178F1"/>
    <w:rsid w:val="0061791D"/>
    <w:rsid w:val="0061794E"/>
    <w:rsid w:val="006179A2"/>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4"/>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6C"/>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3B"/>
    <w:rsid w:val="00620C6C"/>
    <w:rsid w:val="00620C7F"/>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46"/>
    <w:rsid w:val="00621067"/>
    <w:rsid w:val="0062106F"/>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E"/>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8B"/>
    <w:rsid w:val="0062179A"/>
    <w:rsid w:val="0062179C"/>
    <w:rsid w:val="006217CA"/>
    <w:rsid w:val="00621834"/>
    <w:rsid w:val="006218EF"/>
    <w:rsid w:val="00621955"/>
    <w:rsid w:val="0062197B"/>
    <w:rsid w:val="0062199A"/>
    <w:rsid w:val="00621A58"/>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F5"/>
    <w:rsid w:val="0062230A"/>
    <w:rsid w:val="00622332"/>
    <w:rsid w:val="00622335"/>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07"/>
    <w:rsid w:val="00622931"/>
    <w:rsid w:val="00622978"/>
    <w:rsid w:val="006229BE"/>
    <w:rsid w:val="006229EA"/>
    <w:rsid w:val="00622A0E"/>
    <w:rsid w:val="00622A66"/>
    <w:rsid w:val="00622AB3"/>
    <w:rsid w:val="00622AF5"/>
    <w:rsid w:val="00622B98"/>
    <w:rsid w:val="00622BC8"/>
    <w:rsid w:val="00622C09"/>
    <w:rsid w:val="00622C0C"/>
    <w:rsid w:val="00622CB7"/>
    <w:rsid w:val="00622CE8"/>
    <w:rsid w:val="00622CEE"/>
    <w:rsid w:val="00622D11"/>
    <w:rsid w:val="00622D17"/>
    <w:rsid w:val="00622D1C"/>
    <w:rsid w:val="00622D66"/>
    <w:rsid w:val="00622D7E"/>
    <w:rsid w:val="00622DD3"/>
    <w:rsid w:val="00622DE2"/>
    <w:rsid w:val="00622DF8"/>
    <w:rsid w:val="00622DFF"/>
    <w:rsid w:val="00622E11"/>
    <w:rsid w:val="00622E5A"/>
    <w:rsid w:val="00622E6B"/>
    <w:rsid w:val="00622E86"/>
    <w:rsid w:val="00622E8D"/>
    <w:rsid w:val="00622EAF"/>
    <w:rsid w:val="00622F18"/>
    <w:rsid w:val="00622F19"/>
    <w:rsid w:val="0062305D"/>
    <w:rsid w:val="0062309F"/>
    <w:rsid w:val="006230FE"/>
    <w:rsid w:val="00623103"/>
    <w:rsid w:val="00623119"/>
    <w:rsid w:val="0062312F"/>
    <w:rsid w:val="00623136"/>
    <w:rsid w:val="0062313B"/>
    <w:rsid w:val="0062314C"/>
    <w:rsid w:val="00623184"/>
    <w:rsid w:val="00623203"/>
    <w:rsid w:val="0062321A"/>
    <w:rsid w:val="00623262"/>
    <w:rsid w:val="00623263"/>
    <w:rsid w:val="00623307"/>
    <w:rsid w:val="00623314"/>
    <w:rsid w:val="0062332C"/>
    <w:rsid w:val="00623338"/>
    <w:rsid w:val="00623387"/>
    <w:rsid w:val="0062340D"/>
    <w:rsid w:val="00623413"/>
    <w:rsid w:val="00623480"/>
    <w:rsid w:val="00623497"/>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2C"/>
    <w:rsid w:val="006238A9"/>
    <w:rsid w:val="006238B8"/>
    <w:rsid w:val="006238C9"/>
    <w:rsid w:val="0062394C"/>
    <w:rsid w:val="00623963"/>
    <w:rsid w:val="00623976"/>
    <w:rsid w:val="00623998"/>
    <w:rsid w:val="00623A60"/>
    <w:rsid w:val="00623AA3"/>
    <w:rsid w:val="00623B01"/>
    <w:rsid w:val="00623B23"/>
    <w:rsid w:val="00623B33"/>
    <w:rsid w:val="00623B7A"/>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C3"/>
    <w:rsid w:val="00623FD7"/>
    <w:rsid w:val="00623FE2"/>
    <w:rsid w:val="00624024"/>
    <w:rsid w:val="00624028"/>
    <w:rsid w:val="006240AD"/>
    <w:rsid w:val="006240C6"/>
    <w:rsid w:val="006240D0"/>
    <w:rsid w:val="006240EC"/>
    <w:rsid w:val="006240F2"/>
    <w:rsid w:val="0062412C"/>
    <w:rsid w:val="0062413D"/>
    <w:rsid w:val="00624158"/>
    <w:rsid w:val="006241E9"/>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4A"/>
    <w:rsid w:val="00624476"/>
    <w:rsid w:val="0062447D"/>
    <w:rsid w:val="006244E9"/>
    <w:rsid w:val="00624502"/>
    <w:rsid w:val="00624514"/>
    <w:rsid w:val="00624560"/>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67"/>
    <w:rsid w:val="00624BDC"/>
    <w:rsid w:val="00624C29"/>
    <w:rsid w:val="00624C93"/>
    <w:rsid w:val="00624C94"/>
    <w:rsid w:val="00624CB9"/>
    <w:rsid w:val="00624CBC"/>
    <w:rsid w:val="00624CBD"/>
    <w:rsid w:val="00624CD6"/>
    <w:rsid w:val="00624D17"/>
    <w:rsid w:val="00624D1E"/>
    <w:rsid w:val="00624D45"/>
    <w:rsid w:val="00624D71"/>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AD"/>
    <w:rsid w:val="0062530B"/>
    <w:rsid w:val="006253A7"/>
    <w:rsid w:val="006253A8"/>
    <w:rsid w:val="006253BD"/>
    <w:rsid w:val="006253EB"/>
    <w:rsid w:val="00625458"/>
    <w:rsid w:val="0062548A"/>
    <w:rsid w:val="006254B5"/>
    <w:rsid w:val="006254DD"/>
    <w:rsid w:val="006254F5"/>
    <w:rsid w:val="006254F8"/>
    <w:rsid w:val="00625513"/>
    <w:rsid w:val="0062558F"/>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02"/>
    <w:rsid w:val="00625B30"/>
    <w:rsid w:val="00625B88"/>
    <w:rsid w:val="00625BD1"/>
    <w:rsid w:val="00625BFE"/>
    <w:rsid w:val="00625C6B"/>
    <w:rsid w:val="00625C98"/>
    <w:rsid w:val="00625C9D"/>
    <w:rsid w:val="00625CBB"/>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872"/>
    <w:rsid w:val="00626943"/>
    <w:rsid w:val="0062694B"/>
    <w:rsid w:val="0062695A"/>
    <w:rsid w:val="006269A4"/>
    <w:rsid w:val="006269B9"/>
    <w:rsid w:val="006269DF"/>
    <w:rsid w:val="00626A6A"/>
    <w:rsid w:val="00626ABE"/>
    <w:rsid w:val="00626B0F"/>
    <w:rsid w:val="00626B2C"/>
    <w:rsid w:val="00626B34"/>
    <w:rsid w:val="00626B7F"/>
    <w:rsid w:val="00626B9C"/>
    <w:rsid w:val="00626BB5"/>
    <w:rsid w:val="00626BCA"/>
    <w:rsid w:val="00626C18"/>
    <w:rsid w:val="00626CA8"/>
    <w:rsid w:val="00626CA9"/>
    <w:rsid w:val="00626CDC"/>
    <w:rsid w:val="00626CFD"/>
    <w:rsid w:val="00626D4B"/>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C9"/>
    <w:rsid w:val="006273DC"/>
    <w:rsid w:val="00627423"/>
    <w:rsid w:val="00627450"/>
    <w:rsid w:val="0062747C"/>
    <w:rsid w:val="006274A8"/>
    <w:rsid w:val="00627549"/>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5D"/>
    <w:rsid w:val="0063058F"/>
    <w:rsid w:val="006305E2"/>
    <w:rsid w:val="006305EB"/>
    <w:rsid w:val="006305FB"/>
    <w:rsid w:val="0063060B"/>
    <w:rsid w:val="00630621"/>
    <w:rsid w:val="00630671"/>
    <w:rsid w:val="006306BA"/>
    <w:rsid w:val="006306E9"/>
    <w:rsid w:val="00630714"/>
    <w:rsid w:val="0063072E"/>
    <w:rsid w:val="00630739"/>
    <w:rsid w:val="00630740"/>
    <w:rsid w:val="00630747"/>
    <w:rsid w:val="006307F6"/>
    <w:rsid w:val="00630863"/>
    <w:rsid w:val="00630865"/>
    <w:rsid w:val="006308E8"/>
    <w:rsid w:val="00630991"/>
    <w:rsid w:val="006309D4"/>
    <w:rsid w:val="00630A37"/>
    <w:rsid w:val="00630A84"/>
    <w:rsid w:val="00630AB2"/>
    <w:rsid w:val="00630ACC"/>
    <w:rsid w:val="00630AE7"/>
    <w:rsid w:val="00630B2A"/>
    <w:rsid w:val="00630B8C"/>
    <w:rsid w:val="00630B8E"/>
    <w:rsid w:val="00630BFE"/>
    <w:rsid w:val="00630CBD"/>
    <w:rsid w:val="00630CE9"/>
    <w:rsid w:val="00630D09"/>
    <w:rsid w:val="00630D0F"/>
    <w:rsid w:val="00630D3E"/>
    <w:rsid w:val="00630D51"/>
    <w:rsid w:val="00630D94"/>
    <w:rsid w:val="00630D96"/>
    <w:rsid w:val="00630D9E"/>
    <w:rsid w:val="00630DBF"/>
    <w:rsid w:val="00630DE3"/>
    <w:rsid w:val="00630DE5"/>
    <w:rsid w:val="00630E36"/>
    <w:rsid w:val="00630E9D"/>
    <w:rsid w:val="00630F96"/>
    <w:rsid w:val="00630FAC"/>
    <w:rsid w:val="00630FB2"/>
    <w:rsid w:val="00630FC0"/>
    <w:rsid w:val="00631054"/>
    <w:rsid w:val="0063105C"/>
    <w:rsid w:val="00631094"/>
    <w:rsid w:val="00631197"/>
    <w:rsid w:val="006311A8"/>
    <w:rsid w:val="006311B1"/>
    <w:rsid w:val="0063123F"/>
    <w:rsid w:val="00631335"/>
    <w:rsid w:val="00631364"/>
    <w:rsid w:val="00631394"/>
    <w:rsid w:val="00631443"/>
    <w:rsid w:val="00631461"/>
    <w:rsid w:val="00631512"/>
    <w:rsid w:val="0063151A"/>
    <w:rsid w:val="00631546"/>
    <w:rsid w:val="0063157E"/>
    <w:rsid w:val="00631594"/>
    <w:rsid w:val="006315CF"/>
    <w:rsid w:val="006315DA"/>
    <w:rsid w:val="006315F8"/>
    <w:rsid w:val="00631623"/>
    <w:rsid w:val="0063168C"/>
    <w:rsid w:val="00631696"/>
    <w:rsid w:val="006316A3"/>
    <w:rsid w:val="006316AB"/>
    <w:rsid w:val="006316C7"/>
    <w:rsid w:val="006316DA"/>
    <w:rsid w:val="006316F3"/>
    <w:rsid w:val="00631720"/>
    <w:rsid w:val="00631724"/>
    <w:rsid w:val="006317BB"/>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C11"/>
    <w:rsid w:val="00631C1E"/>
    <w:rsid w:val="00631C49"/>
    <w:rsid w:val="00631C4E"/>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1FE3"/>
    <w:rsid w:val="006321B2"/>
    <w:rsid w:val="006321D7"/>
    <w:rsid w:val="00632212"/>
    <w:rsid w:val="006322D2"/>
    <w:rsid w:val="0063236A"/>
    <w:rsid w:val="00632431"/>
    <w:rsid w:val="0063245A"/>
    <w:rsid w:val="0063245B"/>
    <w:rsid w:val="00632487"/>
    <w:rsid w:val="006324E5"/>
    <w:rsid w:val="00632527"/>
    <w:rsid w:val="0063252E"/>
    <w:rsid w:val="0063258C"/>
    <w:rsid w:val="00632617"/>
    <w:rsid w:val="00632684"/>
    <w:rsid w:val="006326E4"/>
    <w:rsid w:val="0063275E"/>
    <w:rsid w:val="0063278E"/>
    <w:rsid w:val="006327C8"/>
    <w:rsid w:val="006327F9"/>
    <w:rsid w:val="00632809"/>
    <w:rsid w:val="0063288C"/>
    <w:rsid w:val="0063288D"/>
    <w:rsid w:val="006328A7"/>
    <w:rsid w:val="006328B0"/>
    <w:rsid w:val="006328B7"/>
    <w:rsid w:val="0063290A"/>
    <w:rsid w:val="00632931"/>
    <w:rsid w:val="00632966"/>
    <w:rsid w:val="006329D7"/>
    <w:rsid w:val="00632A05"/>
    <w:rsid w:val="00632A1A"/>
    <w:rsid w:val="00632A24"/>
    <w:rsid w:val="00632A5A"/>
    <w:rsid w:val="00632A6B"/>
    <w:rsid w:val="00632AF9"/>
    <w:rsid w:val="00632B2C"/>
    <w:rsid w:val="00632B38"/>
    <w:rsid w:val="00632B3B"/>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40"/>
    <w:rsid w:val="00633475"/>
    <w:rsid w:val="006334D6"/>
    <w:rsid w:val="006334EC"/>
    <w:rsid w:val="00633502"/>
    <w:rsid w:val="0063351A"/>
    <w:rsid w:val="00633537"/>
    <w:rsid w:val="00633555"/>
    <w:rsid w:val="0063359C"/>
    <w:rsid w:val="006335C5"/>
    <w:rsid w:val="006335DE"/>
    <w:rsid w:val="006335FE"/>
    <w:rsid w:val="00633633"/>
    <w:rsid w:val="0063367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B4"/>
    <w:rsid w:val="00633CBB"/>
    <w:rsid w:val="00633D66"/>
    <w:rsid w:val="00633DA6"/>
    <w:rsid w:val="00633DC0"/>
    <w:rsid w:val="00633DFA"/>
    <w:rsid w:val="00633E0C"/>
    <w:rsid w:val="00633E5F"/>
    <w:rsid w:val="00633EB0"/>
    <w:rsid w:val="00633EE6"/>
    <w:rsid w:val="00633EF9"/>
    <w:rsid w:val="00633F0B"/>
    <w:rsid w:val="00633F32"/>
    <w:rsid w:val="00633F98"/>
    <w:rsid w:val="00633FBC"/>
    <w:rsid w:val="00633FD3"/>
    <w:rsid w:val="00633FD8"/>
    <w:rsid w:val="00634040"/>
    <w:rsid w:val="00634081"/>
    <w:rsid w:val="006340A8"/>
    <w:rsid w:val="006340BA"/>
    <w:rsid w:val="006340E4"/>
    <w:rsid w:val="006340F3"/>
    <w:rsid w:val="0063410C"/>
    <w:rsid w:val="0063414B"/>
    <w:rsid w:val="006341AB"/>
    <w:rsid w:val="006341B9"/>
    <w:rsid w:val="006341D4"/>
    <w:rsid w:val="006341F4"/>
    <w:rsid w:val="006341F7"/>
    <w:rsid w:val="00634203"/>
    <w:rsid w:val="0063421F"/>
    <w:rsid w:val="006342BC"/>
    <w:rsid w:val="00634313"/>
    <w:rsid w:val="00634376"/>
    <w:rsid w:val="0063443B"/>
    <w:rsid w:val="00634481"/>
    <w:rsid w:val="006344EB"/>
    <w:rsid w:val="006344F1"/>
    <w:rsid w:val="006344FA"/>
    <w:rsid w:val="00634500"/>
    <w:rsid w:val="0063452D"/>
    <w:rsid w:val="00634567"/>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1B"/>
    <w:rsid w:val="00635311"/>
    <w:rsid w:val="00635364"/>
    <w:rsid w:val="0063543E"/>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32"/>
    <w:rsid w:val="00635C47"/>
    <w:rsid w:val="00635C4B"/>
    <w:rsid w:val="00635C5A"/>
    <w:rsid w:val="00635C89"/>
    <w:rsid w:val="00635CB4"/>
    <w:rsid w:val="00635CBA"/>
    <w:rsid w:val="00635CDD"/>
    <w:rsid w:val="00635D33"/>
    <w:rsid w:val="00635D42"/>
    <w:rsid w:val="00635D86"/>
    <w:rsid w:val="00635D93"/>
    <w:rsid w:val="00635E0D"/>
    <w:rsid w:val="00635E54"/>
    <w:rsid w:val="00635ECC"/>
    <w:rsid w:val="00635F13"/>
    <w:rsid w:val="00635F14"/>
    <w:rsid w:val="00635F7A"/>
    <w:rsid w:val="00635F9D"/>
    <w:rsid w:val="00636078"/>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5"/>
    <w:rsid w:val="006367C9"/>
    <w:rsid w:val="006367DC"/>
    <w:rsid w:val="0063682A"/>
    <w:rsid w:val="00636841"/>
    <w:rsid w:val="00636899"/>
    <w:rsid w:val="006368B7"/>
    <w:rsid w:val="00636917"/>
    <w:rsid w:val="0063696A"/>
    <w:rsid w:val="00636A18"/>
    <w:rsid w:val="00636A44"/>
    <w:rsid w:val="00636A4E"/>
    <w:rsid w:val="00636AAE"/>
    <w:rsid w:val="00636B73"/>
    <w:rsid w:val="00636BAC"/>
    <w:rsid w:val="00636BB7"/>
    <w:rsid w:val="00636BBD"/>
    <w:rsid w:val="00636BFF"/>
    <w:rsid w:val="00636C1B"/>
    <w:rsid w:val="00636C2F"/>
    <w:rsid w:val="00636C47"/>
    <w:rsid w:val="00636C7A"/>
    <w:rsid w:val="00636CA5"/>
    <w:rsid w:val="00636CC9"/>
    <w:rsid w:val="00636CDB"/>
    <w:rsid w:val="00636D15"/>
    <w:rsid w:val="00636D3E"/>
    <w:rsid w:val="00636D44"/>
    <w:rsid w:val="00636D7F"/>
    <w:rsid w:val="00636DCE"/>
    <w:rsid w:val="00636E00"/>
    <w:rsid w:val="00636E26"/>
    <w:rsid w:val="00636E27"/>
    <w:rsid w:val="00636E30"/>
    <w:rsid w:val="00636E50"/>
    <w:rsid w:val="00636E5A"/>
    <w:rsid w:val="00636E61"/>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27"/>
    <w:rsid w:val="0063723E"/>
    <w:rsid w:val="00637247"/>
    <w:rsid w:val="006372C5"/>
    <w:rsid w:val="00637306"/>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6B"/>
    <w:rsid w:val="00637881"/>
    <w:rsid w:val="0063789E"/>
    <w:rsid w:val="006378AE"/>
    <w:rsid w:val="00637926"/>
    <w:rsid w:val="0063794B"/>
    <w:rsid w:val="006379C8"/>
    <w:rsid w:val="006379FE"/>
    <w:rsid w:val="00637A0D"/>
    <w:rsid w:val="00637A32"/>
    <w:rsid w:val="00637A3B"/>
    <w:rsid w:val="00637A4F"/>
    <w:rsid w:val="00637A7A"/>
    <w:rsid w:val="00637B10"/>
    <w:rsid w:val="00637B5F"/>
    <w:rsid w:val="00637B7A"/>
    <w:rsid w:val="00637B84"/>
    <w:rsid w:val="00637CC8"/>
    <w:rsid w:val="00637CD4"/>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9B"/>
    <w:rsid w:val="006401B9"/>
    <w:rsid w:val="006401D0"/>
    <w:rsid w:val="006401EF"/>
    <w:rsid w:val="00640245"/>
    <w:rsid w:val="0064024A"/>
    <w:rsid w:val="0064027E"/>
    <w:rsid w:val="006402CB"/>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4F1"/>
    <w:rsid w:val="0064053F"/>
    <w:rsid w:val="006405C5"/>
    <w:rsid w:val="006405CB"/>
    <w:rsid w:val="006405DC"/>
    <w:rsid w:val="00640600"/>
    <w:rsid w:val="00640663"/>
    <w:rsid w:val="006406CA"/>
    <w:rsid w:val="006406CD"/>
    <w:rsid w:val="00640700"/>
    <w:rsid w:val="00640702"/>
    <w:rsid w:val="0064070D"/>
    <w:rsid w:val="00640825"/>
    <w:rsid w:val="00640851"/>
    <w:rsid w:val="00640854"/>
    <w:rsid w:val="00640917"/>
    <w:rsid w:val="0064092C"/>
    <w:rsid w:val="0064093E"/>
    <w:rsid w:val="00640952"/>
    <w:rsid w:val="00640995"/>
    <w:rsid w:val="006409E1"/>
    <w:rsid w:val="00640A00"/>
    <w:rsid w:val="00640A31"/>
    <w:rsid w:val="00640A3F"/>
    <w:rsid w:val="00640B5B"/>
    <w:rsid w:val="00640BB2"/>
    <w:rsid w:val="00640BCE"/>
    <w:rsid w:val="00640BD8"/>
    <w:rsid w:val="00640BE5"/>
    <w:rsid w:val="00640C0A"/>
    <w:rsid w:val="00640C4E"/>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19C"/>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50D"/>
    <w:rsid w:val="006415E2"/>
    <w:rsid w:val="006416A5"/>
    <w:rsid w:val="006416D0"/>
    <w:rsid w:val="00641831"/>
    <w:rsid w:val="006418BA"/>
    <w:rsid w:val="00641918"/>
    <w:rsid w:val="00641966"/>
    <w:rsid w:val="006419F5"/>
    <w:rsid w:val="00641B3B"/>
    <w:rsid w:val="00641B9A"/>
    <w:rsid w:val="00641CCC"/>
    <w:rsid w:val="00641CDD"/>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66B"/>
    <w:rsid w:val="006426C3"/>
    <w:rsid w:val="00642719"/>
    <w:rsid w:val="00642733"/>
    <w:rsid w:val="00642785"/>
    <w:rsid w:val="00642788"/>
    <w:rsid w:val="0064278F"/>
    <w:rsid w:val="00642805"/>
    <w:rsid w:val="00642809"/>
    <w:rsid w:val="00642834"/>
    <w:rsid w:val="00642838"/>
    <w:rsid w:val="006428A8"/>
    <w:rsid w:val="006428B3"/>
    <w:rsid w:val="006428B8"/>
    <w:rsid w:val="006428C4"/>
    <w:rsid w:val="006429BD"/>
    <w:rsid w:val="006429C7"/>
    <w:rsid w:val="00642A18"/>
    <w:rsid w:val="00642A4C"/>
    <w:rsid w:val="00642A81"/>
    <w:rsid w:val="00642AC4"/>
    <w:rsid w:val="00642ADB"/>
    <w:rsid w:val="00642AE1"/>
    <w:rsid w:val="00642B15"/>
    <w:rsid w:val="00642B39"/>
    <w:rsid w:val="00642B41"/>
    <w:rsid w:val="00642B68"/>
    <w:rsid w:val="00642B6B"/>
    <w:rsid w:val="00642B6E"/>
    <w:rsid w:val="00642B9D"/>
    <w:rsid w:val="00642BC5"/>
    <w:rsid w:val="00642BF0"/>
    <w:rsid w:val="00642C06"/>
    <w:rsid w:val="00642C25"/>
    <w:rsid w:val="00642D8C"/>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13"/>
    <w:rsid w:val="00643228"/>
    <w:rsid w:val="0064333D"/>
    <w:rsid w:val="0064335E"/>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43"/>
    <w:rsid w:val="00643870"/>
    <w:rsid w:val="00643917"/>
    <w:rsid w:val="00643949"/>
    <w:rsid w:val="00643952"/>
    <w:rsid w:val="00643961"/>
    <w:rsid w:val="00643963"/>
    <w:rsid w:val="0064396E"/>
    <w:rsid w:val="006439A5"/>
    <w:rsid w:val="006439B8"/>
    <w:rsid w:val="00643A0C"/>
    <w:rsid w:val="00643A7A"/>
    <w:rsid w:val="00643A81"/>
    <w:rsid w:val="00643AAC"/>
    <w:rsid w:val="00643AF7"/>
    <w:rsid w:val="00643B0F"/>
    <w:rsid w:val="00643B10"/>
    <w:rsid w:val="00643B1E"/>
    <w:rsid w:val="00643B49"/>
    <w:rsid w:val="00643BA5"/>
    <w:rsid w:val="00643BA6"/>
    <w:rsid w:val="00643BB9"/>
    <w:rsid w:val="00643BE4"/>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5D"/>
    <w:rsid w:val="00644587"/>
    <w:rsid w:val="006445A4"/>
    <w:rsid w:val="0064469F"/>
    <w:rsid w:val="0064471F"/>
    <w:rsid w:val="006447A8"/>
    <w:rsid w:val="0064483D"/>
    <w:rsid w:val="006448BE"/>
    <w:rsid w:val="006448CB"/>
    <w:rsid w:val="00644905"/>
    <w:rsid w:val="0064491E"/>
    <w:rsid w:val="00644935"/>
    <w:rsid w:val="0064497A"/>
    <w:rsid w:val="00644986"/>
    <w:rsid w:val="006449C7"/>
    <w:rsid w:val="006449F4"/>
    <w:rsid w:val="006449F5"/>
    <w:rsid w:val="00644A0B"/>
    <w:rsid w:val="00644A3E"/>
    <w:rsid w:val="00644A4E"/>
    <w:rsid w:val="00644A5B"/>
    <w:rsid w:val="00644A6D"/>
    <w:rsid w:val="00644A77"/>
    <w:rsid w:val="00644B1A"/>
    <w:rsid w:val="00644B2E"/>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A7"/>
    <w:rsid w:val="00644EE2"/>
    <w:rsid w:val="00644F24"/>
    <w:rsid w:val="00644F2D"/>
    <w:rsid w:val="00644F46"/>
    <w:rsid w:val="00644F5C"/>
    <w:rsid w:val="00644F5F"/>
    <w:rsid w:val="00644F76"/>
    <w:rsid w:val="00644FA5"/>
    <w:rsid w:val="00644FBF"/>
    <w:rsid w:val="00644FC7"/>
    <w:rsid w:val="00644FD1"/>
    <w:rsid w:val="006450C2"/>
    <w:rsid w:val="0064514E"/>
    <w:rsid w:val="0064518B"/>
    <w:rsid w:val="0064520B"/>
    <w:rsid w:val="00645238"/>
    <w:rsid w:val="006452D7"/>
    <w:rsid w:val="00645308"/>
    <w:rsid w:val="00645339"/>
    <w:rsid w:val="00645340"/>
    <w:rsid w:val="006453F6"/>
    <w:rsid w:val="0064542E"/>
    <w:rsid w:val="00645459"/>
    <w:rsid w:val="00645491"/>
    <w:rsid w:val="006454E0"/>
    <w:rsid w:val="00645507"/>
    <w:rsid w:val="00645520"/>
    <w:rsid w:val="0064553E"/>
    <w:rsid w:val="00645554"/>
    <w:rsid w:val="00645577"/>
    <w:rsid w:val="0064557F"/>
    <w:rsid w:val="006455D0"/>
    <w:rsid w:val="006455E2"/>
    <w:rsid w:val="006455EA"/>
    <w:rsid w:val="006455FC"/>
    <w:rsid w:val="006455FF"/>
    <w:rsid w:val="0064563B"/>
    <w:rsid w:val="0064564F"/>
    <w:rsid w:val="0064567B"/>
    <w:rsid w:val="006456AC"/>
    <w:rsid w:val="006456AD"/>
    <w:rsid w:val="006456BD"/>
    <w:rsid w:val="00645729"/>
    <w:rsid w:val="0064573B"/>
    <w:rsid w:val="0064580A"/>
    <w:rsid w:val="00645815"/>
    <w:rsid w:val="0064581A"/>
    <w:rsid w:val="0064582D"/>
    <w:rsid w:val="00645830"/>
    <w:rsid w:val="00645891"/>
    <w:rsid w:val="00645896"/>
    <w:rsid w:val="006458A3"/>
    <w:rsid w:val="006458AB"/>
    <w:rsid w:val="00645985"/>
    <w:rsid w:val="006459BE"/>
    <w:rsid w:val="006459E9"/>
    <w:rsid w:val="00645A45"/>
    <w:rsid w:val="00645A47"/>
    <w:rsid w:val="00645A60"/>
    <w:rsid w:val="00645B0E"/>
    <w:rsid w:val="00645B64"/>
    <w:rsid w:val="00645BAF"/>
    <w:rsid w:val="00645BBF"/>
    <w:rsid w:val="00645BD2"/>
    <w:rsid w:val="00645BE0"/>
    <w:rsid w:val="00645C1E"/>
    <w:rsid w:val="00645C45"/>
    <w:rsid w:val="00645C6D"/>
    <w:rsid w:val="00645CF0"/>
    <w:rsid w:val="00645D48"/>
    <w:rsid w:val="00645DCE"/>
    <w:rsid w:val="00645E25"/>
    <w:rsid w:val="00645E2F"/>
    <w:rsid w:val="00645E54"/>
    <w:rsid w:val="00645E62"/>
    <w:rsid w:val="00645E8A"/>
    <w:rsid w:val="00645E8E"/>
    <w:rsid w:val="00645F57"/>
    <w:rsid w:val="00645FBA"/>
    <w:rsid w:val="00645FC2"/>
    <w:rsid w:val="00646043"/>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37A"/>
    <w:rsid w:val="00646407"/>
    <w:rsid w:val="00646442"/>
    <w:rsid w:val="00646443"/>
    <w:rsid w:val="00646448"/>
    <w:rsid w:val="00646452"/>
    <w:rsid w:val="00646499"/>
    <w:rsid w:val="006464B7"/>
    <w:rsid w:val="006464E9"/>
    <w:rsid w:val="006464ED"/>
    <w:rsid w:val="006464FF"/>
    <w:rsid w:val="00646531"/>
    <w:rsid w:val="0064653A"/>
    <w:rsid w:val="0064654A"/>
    <w:rsid w:val="0064655C"/>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61"/>
    <w:rsid w:val="00646DBC"/>
    <w:rsid w:val="00646E8C"/>
    <w:rsid w:val="00646EBB"/>
    <w:rsid w:val="00646F3D"/>
    <w:rsid w:val="00646F8E"/>
    <w:rsid w:val="00646FF1"/>
    <w:rsid w:val="00647066"/>
    <w:rsid w:val="0064707C"/>
    <w:rsid w:val="00647099"/>
    <w:rsid w:val="0064727B"/>
    <w:rsid w:val="00647290"/>
    <w:rsid w:val="006472AE"/>
    <w:rsid w:val="006472FE"/>
    <w:rsid w:val="006473A2"/>
    <w:rsid w:val="00647420"/>
    <w:rsid w:val="006474F4"/>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90B"/>
    <w:rsid w:val="0064798C"/>
    <w:rsid w:val="006479FB"/>
    <w:rsid w:val="00647A0A"/>
    <w:rsid w:val="00647A0E"/>
    <w:rsid w:val="00647A4D"/>
    <w:rsid w:val="00647A8B"/>
    <w:rsid w:val="00647A8C"/>
    <w:rsid w:val="00647A9E"/>
    <w:rsid w:val="00647AA0"/>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F"/>
    <w:rsid w:val="00650298"/>
    <w:rsid w:val="00650325"/>
    <w:rsid w:val="00650352"/>
    <w:rsid w:val="00650383"/>
    <w:rsid w:val="006503C7"/>
    <w:rsid w:val="006504A8"/>
    <w:rsid w:val="00650595"/>
    <w:rsid w:val="006505DB"/>
    <w:rsid w:val="0065060D"/>
    <w:rsid w:val="00650628"/>
    <w:rsid w:val="0065062A"/>
    <w:rsid w:val="00650652"/>
    <w:rsid w:val="00650668"/>
    <w:rsid w:val="006506B0"/>
    <w:rsid w:val="0065088F"/>
    <w:rsid w:val="006508A9"/>
    <w:rsid w:val="006508B1"/>
    <w:rsid w:val="00650928"/>
    <w:rsid w:val="0065092E"/>
    <w:rsid w:val="0065095C"/>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A4"/>
    <w:rsid w:val="00650CBC"/>
    <w:rsid w:val="00650D0C"/>
    <w:rsid w:val="00650D50"/>
    <w:rsid w:val="00650DB0"/>
    <w:rsid w:val="00650DC2"/>
    <w:rsid w:val="00650DED"/>
    <w:rsid w:val="00650DEE"/>
    <w:rsid w:val="00650DF2"/>
    <w:rsid w:val="00650ECA"/>
    <w:rsid w:val="00650EDD"/>
    <w:rsid w:val="00650EE7"/>
    <w:rsid w:val="00650EEA"/>
    <w:rsid w:val="00650F5C"/>
    <w:rsid w:val="00650FBB"/>
    <w:rsid w:val="00650FD8"/>
    <w:rsid w:val="00650FF0"/>
    <w:rsid w:val="0065100C"/>
    <w:rsid w:val="0065105E"/>
    <w:rsid w:val="0065108B"/>
    <w:rsid w:val="0065108D"/>
    <w:rsid w:val="00651133"/>
    <w:rsid w:val="0065114D"/>
    <w:rsid w:val="006511CE"/>
    <w:rsid w:val="0065122C"/>
    <w:rsid w:val="006512C0"/>
    <w:rsid w:val="00651303"/>
    <w:rsid w:val="0065135C"/>
    <w:rsid w:val="00651365"/>
    <w:rsid w:val="00651386"/>
    <w:rsid w:val="00651399"/>
    <w:rsid w:val="0065140A"/>
    <w:rsid w:val="00651484"/>
    <w:rsid w:val="00651494"/>
    <w:rsid w:val="00651517"/>
    <w:rsid w:val="00651535"/>
    <w:rsid w:val="0065153A"/>
    <w:rsid w:val="00651623"/>
    <w:rsid w:val="00651637"/>
    <w:rsid w:val="0065165B"/>
    <w:rsid w:val="00651673"/>
    <w:rsid w:val="00651683"/>
    <w:rsid w:val="0065168B"/>
    <w:rsid w:val="00651751"/>
    <w:rsid w:val="00651774"/>
    <w:rsid w:val="0065177A"/>
    <w:rsid w:val="0065179C"/>
    <w:rsid w:val="006517F9"/>
    <w:rsid w:val="0065181A"/>
    <w:rsid w:val="006518EE"/>
    <w:rsid w:val="00651923"/>
    <w:rsid w:val="0065194B"/>
    <w:rsid w:val="0065195A"/>
    <w:rsid w:val="0065196E"/>
    <w:rsid w:val="006519F4"/>
    <w:rsid w:val="006519F7"/>
    <w:rsid w:val="006519F8"/>
    <w:rsid w:val="00651A0E"/>
    <w:rsid w:val="00651A12"/>
    <w:rsid w:val="00651A2F"/>
    <w:rsid w:val="00651A30"/>
    <w:rsid w:val="00651AA3"/>
    <w:rsid w:val="00651AB5"/>
    <w:rsid w:val="00651B16"/>
    <w:rsid w:val="00651B28"/>
    <w:rsid w:val="00651B60"/>
    <w:rsid w:val="00651B70"/>
    <w:rsid w:val="00651B9C"/>
    <w:rsid w:val="00651BA2"/>
    <w:rsid w:val="00651C66"/>
    <w:rsid w:val="00651CA2"/>
    <w:rsid w:val="00651CDA"/>
    <w:rsid w:val="00651D0C"/>
    <w:rsid w:val="00651D10"/>
    <w:rsid w:val="00651D15"/>
    <w:rsid w:val="00651D64"/>
    <w:rsid w:val="00651E28"/>
    <w:rsid w:val="00651E4F"/>
    <w:rsid w:val="00651E6D"/>
    <w:rsid w:val="00651EA9"/>
    <w:rsid w:val="00651EB2"/>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40"/>
    <w:rsid w:val="00652372"/>
    <w:rsid w:val="006523A7"/>
    <w:rsid w:val="006523B0"/>
    <w:rsid w:val="006523C0"/>
    <w:rsid w:val="00652414"/>
    <w:rsid w:val="00652415"/>
    <w:rsid w:val="00652431"/>
    <w:rsid w:val="00652436"/>
    <w:rsid w:val="006524A1"/>
    <w:rsid w:val="006524D6"/>
    <w:rsid w:val="006524EE"/>
    <w:rsid w:val="00652528"/>
    <w:rsid w:val="00652529"/>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C3"/>
    <w:rsid w:val="006528F6"/>
    <w:rsid w:val="00652939"/>
    <w:rsid w:val="006529D8"/>
    <w:rsid w:val="00652AC2"/>
    <w:rsid w:val="00652AD4"/>
    <w:rsid w:val="00652AED"/>
    <w:rsid w:val="00652BAB"/>
    <w:rsid w:val="00652BB2"/>
    <w:rsid w:val="00652BC8"/>
    <w:rsid w:val="00652BC9"/>
    <w:rsid w:val="00652BE3"/>
    <w:rsid w:val="00652C03"/>
    <w:rsid w:val="00652C4F"/>
    <w:rsid w:val="00652C68"/>
    <w:rsid w:val="00652C93"/>
    <w:rsid w:val="00652CAF"/>
    <w:rsid w:val="00652CE6"/>
    <w:rsid w:val="00652D27"/>
    <w:rsid w:val="00652D9D"/>
    <w:rsid w:val="00652E0D"/>
    <w:rsid w:val="00652E5C"/>
    <w:rsid w:val="00652E94"/>
    <w:rsid w:val="00652EC6"/>
    <w:rsid w:val="00652F42"/>
    <w:rsid w:val="00652F43"/>
    <w:rsid w:val="00652F59"/>
    <w:rsid w:val="00652F79"/>
    <w:rsid w:val="00652FD1"/>
    <w:rsid w:val="00652FE6"/>
    <w:rsid w:val="0065312B"/>
    <w:rsid w:val="0065313C"/>
    <w:rsid w:val="0065316A"/>
    <w:rsid w:val="00653190"/>
    <w:rsid w:val="0065328F"/>
    <w:rsid w:val="00653336"/>
    <w:rsid w:val="00653369"/>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E15"/>
    <w:rsid w:val="00653E22"/>
    <w:rsid w:val="00653E3A"/>
    <w:rsid w:val="00653E41"/>
    <w:rsid w:val="00653E56"/>
    <w:rsid w:val="00653E5D"/>
    <w:rsid w:val="00653E7D"/>
    <w:rsid w:val="00653EBD"/>
    <w:rsid w:val="00653EF4"/>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24"/>
    <w:rsid w:val="00654634"/>
    <w:rsid w:val="00654662"/>
    <w:rsid w:val="00654670"/>
    <w:rsid w:val="00654699"/>
    <w:rsid w:val="006546BA"/>
    <w:rsid w:val="006546D9"/>
    <w:rsid w:val="0065470F"/>
    <w:rsid w:val="0065472B"/>
    <w:rsid w:val="00654738"/>
    <w:rsid w:val="0065474C"/>
    <w:rsid w:val="00654778"/>
    <w:rsid w:val="00654794"/>
    <w:rsid w:val="006547CE"/>
    <w:rsid w:val="00654809"/>
    <w:rsid w:val="00654865"/>
    <w:rsid w:val="00654895"/>
    <w:rsid w:val="006548A3"/>
    <w:rsid w:val="00654948"/>
    <w:rsid w:val="00654968"/>
    <w:rsid w:val="0065498A"/>
    <w:rsid w:val="00654992"/>
    <w:rsid w:val="00654A3C"/>
    <w:rsid w:val="00654AC2"/>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8F"/>
    <w:rsid w:val="00654FCD"/>
    <w:rsid w:val="0065504B"/>
    <w:rsid w:val="0065508B"/>
    <w:rsid w:val="006550A6"/>
    <w:rsid w:val="006550BA"/>
    <w:rsid w:val="00655122"/>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5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918"/>
    <w:rsid w:val="0065594D"/>
    <w:rsid w:val="00655962"/>
    <w:rsid w:val="006559B1"/>
    <w:rsid w:val="00655A8A"/>
    <w:rsid w:val="00655AAF"/>
    <w:rsid w:val="00655AD5"/>
    <w:rsid w:val="00655B32"/>
    <w:rsid w:val="00655B37"/>
    <w:rsid w:val="00655B5D"/>
    <w:rsid w:val="00655C10"/>
    <w:rsid w:val="00655C37"/>
    <w:rsid w:val="00655CFB"/>
    <w:rsid w:val="00655D2F"/>
    <w:rsid w:val="00655D42"/>
    <w:rsid w:val="00655D8F"/>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200"/>
    <w:rsid w:val="00656215"/>
    <w:rsid w:val="0065625C"/>
    <w:rsid w:val="00656292"/>
    <w:rsid w:val="006562EC"/>
    <w:rsid w:val="00656328"/>
    <w:rsid w:val="0065639A"/>
    <w:rsid w:val="00656402"/>
    <w:rsid w:val="006564AE"/>
    <w:rsid w:val="0065651F"/>
    <w:rsid w:val="0065654B"/>
    <w:rsid w:val="00656565"/>
    <w:rsid w:val="006565A7"/>
    <w:rsid w:val="00656669"/>
    <w:rsid w:val="0065667C"/>
    <w:rsid w:val="00656702"/>
    <w:rsid w:val="00656719"/>
    <w:rsid w:val="00656739"/>
    <w:rsid w:val="006567BC"/>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C4E"/>
    <w:rsid w:val="00656C5A"/>
    <w:rsid w:val="00656CC5"/>
    <w:rsid w:val="00656D42"/>
    <w:rsid w:val="00656DC7"/>
    <w:rsid w:val="00656E1A"/>
    <w:rsid w:val="00656E38"/>
    <w:rsid w:val="00656E5A"/>
    <w:rsid w:val="00656EB8"/>
    <w:rsid w:val="00656F6F"/>
    <w:rsid w:val="00656F7F"/>
    <w:rsid w:val="00656F88"/>
    <w:rsid w:val="00656FA3"/>
    <w:rsid w:val="00656FEA"/>
    <w:rsid w:val="0065705A"/>
    <w:rsid w:val="006570AC"/>
    <w:rsid w:val="006570FE"/>
    <w:rsid w:val="00657171"/>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D4"/>
    <w:rsid w:val="006574D7"/>
    <w:rsid w:val="00657501"/>
    <w:rsid w:val="00657556"/>
    <w:rsid w:val="00657574"/>
    <w:rsid w:val="00657579"/>
    <w:rsid w:val="0065757A"/>
    <w:rsid w:val="006575D9"/>
    <w:rsid w:val="006575FE"/>
    <w:rsid w:val="00657607"/>
    <w:rsid w:val="00657628"/>
    <w:rsid w:val="0065763B"/>
    <w:rsid w:val="00657674"/>
    <w:rsid w:val="006576A4"/>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95"/>
    <w:rsid w:val="00657AEE"/>
    <w:rsid w:val="00657B75"/>
    <w:rsid w:val="00657BA6"/>
    <w:rsid w:val="00657BB7"/>
    <w:rsid w:val="00657BCC"/>
    <w:rsid w:val="00657C17"/>
    <w:rsid w:val="00657C6A"/>
    <w:rsid w:val="00657C9D"/>
    <w:rsid w:val="00657CF4"/>
    <w:rsid w:val="00657D26"/>
    <w:rsid w:val="00657D37"/>
    <w:rsid w:val="00657D38"/>
    <w:rsid w:val="00657E4E"/>
    <w:rsid w:val="00657E9D"/>
    <w:rsid w:val="00657EC7"/>
    <w:rsid w:val="00657ED4"/>
    <w:rsid w:val="00657ED9"/>
    <w:rsid w:val="00657F3A"/>
    <w:rsid w:val="00657F68"/>
    <w:rsid w:val="00657F72"/>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71"/>
    <w:rsid w:val="0066048C"/>
    <w:rsid w:val="006604C7"/>
    <w:rsid w:val="006604E3"/>
    <w:rsid w:val="006604E6"/>
    <w:rsid w:val="00660507"/>
    <w:rsid w:val="0066053A"/>
    <w:rsid w:val="00660559"/>
    <w:rsid w:val="00660560"/>
    <w:rsid w:val="00660595"/>
    <w:rsid w:val="006605A0"/>
    <w:rsid w:val="00660603"/>
    <w:rsid w:val="0066061F"/>
    <w:rsid w:val="0066067D"/>
    <w:rsid w:val="006606C3"/>
    <w:rsid w:val="006606EC"/>
    <w:rsid w:val="00660733"/>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0"/>
    <w:rsid w:val="00660D15"/>
    <w:rsid w:val="00660D23"/>
    <w:rsid w:val="00660D79"/>
    <w:rsid w:val="00660D80"/>
    <w:rsid w:val="00660D8B"/>
    <w:rsid w:val="00660DAD"/>
    <w:rsid w:val="00660DB4"/>
    <w:rsid w:val="00660DC6"/>
    <w:rsid w:val="00660E35"/>
    <w:rsid w:val="00660E42"/>
    <w:rsid w:val="00660E52"/>
    <w:rsid w:val="00660E68"/>
    <w:rsid w:val="00660EBF"/>
    <w:rsid w:val="00660EE6"/>
    <w:rsid w:val="00660F14"/>
    <w:rsid w:val="00660FB4"/>
    <w:rsid w:val="00660FB5"/>
    <w:rsid w:val="00661002"/>
    <w:rsid w:val="00661024"/>
    <w:rsid w:val="00661036"/>
    <w:rsid w:val="00661053"/>
    <w:rsid w:val="00661065"/>
    <w:rsid w:val="00661092"/>
    <w:rsid w:val="006610B4"/>
    <w:rsid w:val="00661115"/>
    <w:rsid w:val="0066111E"/>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36"/>
    <w:rsid w:val="00661667"/>
    <w:rsid w:val="0066166A"/>
    <w:rsid w:val="00661684"/>
    <w:rsid w:val="00661688"/>
    <w:rsid w:val="0066168F"/>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ABA"/>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C"/>
    <w:rsid w:val="00662089"/>
    <w:rsid w:val="006620B8"/>
    <w:rsid w:val="00662121"/>
    <w:rsid w:val="0066214F"/>
    <w:rsid w:val="0066217E"/>
    <w:rsid w:val="00662194"/>
    <w:rsid w:val="00662285"/>
    <w:rsid w:val="00662287"/>
    <w:rsid w:val="0066229F"/>
    <w:rsid w:val="006622C7"/>
    <w:rsid w:val="006622DE"/>
    <w:rsid w:val="00662343"/>
    <w:rsid w:val="00662345"/>
    <w:rsid w:val="0066235C"/>
    <w:rsid w:val="00662361"/>
    <w:rsid w:val="00662382"/>
    <w:rsid w:val="006623B3"/>
    <w:rsid w:val="006623BA"/>
    <w:rsid w:val="00662431"/>
    <w:rsid w:val="00662440"/>
    <w:rsid w:val="00662448"/>
    <w:rsid w:val="00662461"/>
    <w:rsid w:val="00662503"/>
    <w:rsid w:val="0066253B"/>
    <w:rsid w:val="00662583"/>
    <w:rsid w:val="006625F5"/>
    <w:rsid w:val="00662601"/>
    <w:rsid w:val="0066264A"/>
    <w:rsid w:val="00662669"/>
    <w:rsid w:val="00662676"/>
    <w:rsid w:val="006626BC"/>
    <w:rsid w:val="006626CE"/>
    <w:rsid w:val="006627C1"/>
    <w:rsid w:val="006627CF"/>
    <w:rsid w:val="006627D1"/>
    <w:rsid w:val="006627D9"/>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85"/>
    <w:rsid w:val="00662BA4"/>
    <w:rsid w:val="00662BC7"/>
    <w:rsid w:val="00662C0C"/>
    <w:rsid w:val="00662C1B"/>
    <w:rsid w:val="00662CA5"/>
    <w:rsid w:val="00662CBC"/>
    <w:rsid w:val="00662D9F"/>
    <w:rsid w:val="00662DC4"/>
    <w:rsid w:val="00662E08"/>
    <w:rsid w:val="00662E43"/>
    <w:rsid w:val="00662E4B"/>
    <w:rsid w:val="00662E6E"/>
    <w:rsid w:val="00662EA6"/>
    <w:rsid w:val="00662F1B"/>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300"/>
    <w:rsid w:val="00663322"/>
    <w:rsid w:val="00663376"/>
    <w:rsid w:val="006633B0"/>
    <w:rsid w:val="006633B5"/>
    <w:rsid w:val="006633CC"/>
    <w:rsid w:val="00663427"/>
    <w:rsid w:val="00663582"/>
    <w:rsid w:val="00663645"/>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73"/>
    <w:rsid w:val="00663A94"/>
    <w:rsid w:val="00663AD6"/>
    <w:rsid w:val="00663AE9"/>
    <w:rsid w:val="00663B5D"/>
    <w:rsid w:val="00663BCC"/>
    <w:rsid w:val="00663BE3"/>
    <w:rsid w:val="00663C16"/>
    <w:rsid w:val="00663C54"/>
    <w:rsid w:val="00663CA5"/>
    <w:rsid w:val="00663CB8"/>
    <w:rsid w:val="00663CFC"/>
    <w:rsid w:val="00663D21"/>
    <w:rsid w:val="00663D4E"/>
    <w:rsid w:val="00663D8D"/>
    <w:rsid w:val="00663E0E"/>
    <w:rsid w:val="00663EC1"/>
    <w:rsid w:val="00663ED5"/>
    <w:rsid w:val="00663EE3"/>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13"/>
    <w:rsid w:val="00664738"/>
    <w:rsid w:val="0066473A"/>
    <w:rsid w:val="00664778"/>
    <w:rsid w:val="00664793"/>
    <w:rsid w:val="006647E3"/>
    <w:rsid w:val="00664816"/>
    <w:rsid w:val="00664827"/>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84"/>
    <w:rsid w:val="00664FA4"/>
    <w:rsid w:val="00665011"/>
    <w:rsid w:val="0066506A"/>
    <w:rsid w:val="0066506D"/>
    <w:rsid w:val="0066508B"/>
    <w:rsid w:val="006650E8"/>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62D"/>
    <w:rsid w:val="00665674"/>
    <w:rsid w:val="0066568E"/>
    <w:rsid w:val="006656BF"/>
    <w:rsid w:val="006656FF"/>
    <w:rsid w:val="00665736"/>
    <w:rsid w:val="006657E6"/>
    <w:rsid w:val="00665817"/>
    <w:rsid w:val="0066585A"/>
    <w:rsid w:val="006658D7"/>
    <w:rsid w:val="00665931"/>
    <w:rsid w:val="0066597C"/>
    <w:rsid w:val="0066597F"/>
    <w:rsid w:val="00665986"/>
    <w:rsid w:val="006659A4"/>
    <w:rsid w:val="006659C9"/>
    <w:rsid w:val="00665A02"/>
    <w:rsid w:val="00665A37"/>
    <w:rsid w:val="00665A4C"/>
    <w:rsid w:val="00665AD9"/>
    <w:rsid w:val="00665AEA"/>
    <w:rsid w:val="00665B0D"/>
    <w:rsid w:val="00665B21"/>
    <w:rsid w:val="00665B8E"/>
    <w:rsid w:val="00665BD4"/>
    <w:rsid w:val="00665BD7"/>
    <w:rsid w:val="00665C19"/>
    <w:rsid w:val="00665C1A"/>
    <w:rsid w:val="00665C1B"/>
    <w:rsid w:val="00665C68"/>
    <w:rsid w:val="00665C7E"/>
    <w:rsid w:val="00665CF5"/>
    <w:rsid w:val="00665CFF"/>
    <w:rsid w:val="00665D17"/>
    <w:rsid w:val="00665D19"/>
    <w:rsid w:val="00665D3D"/>
    <w:rsid w:val="00665D9B"/>
    <w:rsid w:val="00665D9D"/>
    <w:rsid w:val="00665DD8"/>
    <w:rsid w:val="00665E29"/>
    <w:rsid w:val="00665E3C"/>
    <w:rsid w:val="00665E9B"/>
    <w:rsid w:val="00665EBD"/>
    <w:rsid w:val="00665EDE"/>
    <w:rsid w:val="00665EF1"/>
    <w:rsid w:val="00665F45"/>
    <w:rsid w:val="00665F48"/>
    <w:rsid w:val="00665F84"/>
    <w:rsid w:val="00666011"/>
    <w:rsid w:val="0066603B"/>
    <w:rsid w:val="0066608A"/>
    <w:rsid w:val="006660C3"/>
    <w:rsid w:val="006660CA"/>
    <w:rsid w:val="006660D7"/>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85"/>
    <w:rsid w:val="006668A2"/>
    <w:rsid w:val="006668D9"/>
    <w:rsid w:val="006668FF"/>
    <w:rsid w:val="0066693C"/>
    <w:rsid w:val="0066698F"/>
    <w:rsid w:val="00666991"/>
    <w:rsid w:val="0066699B"/>
    <w:rsid w:val="00666AA0"/>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C1"/>
    <w:rsid w:val="00666DD9"/>
    <w:rsid w:val="00666E2B"/>
    <w:rsid w:val="00666E30"/>
    <w:rsid w:val="00666E33"/>
    <w:rsid w:val="00666E5F"/>
    <w:rsid w:val="00666E8B"/>
    <w:rsid w:val="00666E8D"/>
    <w:rsid w:val="00666ECC"/>
    <w:rsid w:val="00666F0E"/>
    <w:rsid w:val="00666F34"/>
    <w:rsid w:val="00666F47"/>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D"/>
    <w:rsid w:val="00667583"/>
    <w:rsid w:val="00667598"/>
    <w:rsid w:val="006675EC"/>
    <w:rsid w:val="0066763A"/>
    <w:rsid w:val="0066767C"/>
    <w:rsid w:val="00667681"/>
    <w:rsid w:val="006676C0"/>
    <w:rsid w:val="006676EF"/>
    <w:rsid w:val="00667727"/>
    <w:rsid w:val="0066772A"/>
    <w:rsid w:val="0066775F"/>
    <w:rsid w:val="00667779"/>
    <w:rsid w:val="00667784"/>
    <w:rsid w:val="006677A0"/>
    <w:rsid w:val="00667809"/>
    <w:rsid w:val="00667824"/>
    <w:rsid w:val="0066782A"/>
    <w:rsid w:val="00667852"/>
    <w:rsid w:val="006678E6"/>
    <w:rsid w:val="00667919"/>
    <w:rsid w:val="006679B4"/>
    <w:rsid w:val="006679CB"/>
    <w:rsid w:val="006679EA"/>
    <w:rsid w:val="006679EF"/>
    <w:rsid w:val="00667A01"/>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54"/>
    <w:rsid w:val="00670577"/>
    <w:rsid w:val="0067057A"/>
    <w:rsid w:val="006705D7"/>
    <w:rsid w:val="0067063D"/>
    <w:rsid w:val="00670648"/>
    <w:rsid w:val="0067064F"/>
    <w:rsid w:val="006706CB"/>
    <w:rsid w:val="006706DA"/>
    <w:rsid w:val="006706E3"/>
    <w:rsid w:val="006706E5"/>
    <w:rsid w:val="006706E9"/>
    <w:rsid w:val="0067072B"/>
    <w:rsid w:val="00670770"/>
    <w:rsid w:val="0067078A"/>
    <w:rsid w:val="006707CD"/>
    <w:rsid w:val="00670854"/>
    <w:rsid w:val="0067088D"/>
    <w:rsid w:val="006708ED"/>
    <w:rsid w:val="006708F6"/>
    <w:rsid w:val="00670948"/>
    <w:rsid w:val="00670A07"/>
    <w:rsid w:val="00670A25"/>
    <w:rsid w:val="00670A56"/>
    <w:rsid w:val="00670A66"/>
    <w:rsid w:val="00670A85"/>
    <w:rsid w:val="00670AA9"/>
    <w:rsid w:val="00670AFB"/>
    <w:rsid w:val="00670B27"/>
    <w:rsid w:val="00670C5E"/>
    <w:rsid w:val="00670C63"/>
    <w:rsid w:val="00670C75"/>
    <w:rsid w:val="00670C90"/>
    <w:rsid w:val="00670C92"/>
    <w:rsid w:val="00670CE1"/>
    <w:rsid w:val="00670CE9"/>
    <w:rsid w:val="00670D5C"/>
    <w:rsid w:val="00670D89"/>
    <w:rsid w:val="00670D92"/>
    <w:rsid w:val="00670D9D"/>
    <w:rsid w:val="00670E17"/>
    <w:rsid w:val="00670E3D"/>
    <w:rsid w:val="00670EBE"/>
    <w:rsid w:val="00670EFF"/>
    <w:rsid w:val="00670FBA"/>
    <w:rsid w:val="006710B9"/>
    <w:rsid w:val="00671125"/>
    <w:rsid w:val="00671129"/>
    <w:rsid w:val="006711AD"/>
    <w:rsid w:val="006711C4"/>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48"/>
    <w:rsid w:val="00671B95"/>
    <w:rsid w:val="00671C07"/>
    <w:rsid w:val="00671C12"/>
    <w:rsid w:val="00671C20"/>
    <w:rsid w:val="00671C26"/>
    <w:rsid w:val="00671C41"/>
    <w:rsid w:val="00671C42"/>
    <w:rsid w:val="00671C52"/>
    <w:rsid w:val="00671C8C"/>
    <w:rsid w:val="00671C92"/>
    <w:rsid w:val="00671CCF"/>
    <w:rsid w:val="00671CE2"/>
    <w:rsid w:val="00671D0A"/>
    <w:rsid w:val="00671D72"/>
    <w:rsid w:val="00671D99"/>
    <w:rsid w:val="00671DA0"/>
    <w:rsid w:val="00671DCC"/>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26A"/>
    <w:rsid w:val="0067229B"/>
    <w:rsid w:val="006722AC"/>
    <w:rsid w:val="006722D7"/>
    <w:rsid w:val="00672300"/>
    <w:rsid w:val="0067232E"/>
    <w:rsid w:val="00672359"/>
    <w:rsid w:val="00672387"/>
    <w:rsid w:val="00672392"/>
    <w:rsid w:val="00672393"/>
    <w:rsid w:val="0067239E"/>
    <w:rsid w:val="006723B1"/>
    <w:rsid w:val="006723BD"/>
    <w:rsid w:val="006723F7"/>
    <w:rsid w:val="006723F9"/>
    <w:rsid w:val="00672406"/>
    <w:rsid w:val="00672453"/>
    <w:rsid w:val="0067247D"/>
    <w:rsid w:val="006724A9"/>
    <w:rsid w:val="00672544"/>
    <w:rsid w:val="00672559"/>
    <w:rsid w:val="00672595"/>
    <w:rsid w:val="006725D4"/>
    <w:rsid w:val="0067260C"/>
    <w:rsid w:val="00672636"/>
    <w:rsid w:val="00672648"/>
    <w:rsid w:val="00672649"/>
    <w:rsid w:val="00672681"/>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170"/>
    <w:rsid w:val="006731C8"/>
    <w:rsid w:val="006731F4"/>
    <w:rsid w:val="00673239"/>
    <w:rsid w:val="00673261"/>
    <w:rsid w:val="006732AA"/>
    <w:rsid w:val="006732BC"/>
    <w:rsid w:val="006732F2"/>
    <w:rsid w:val="00673308"/>
    <w:rsid w:val="00673362"/>
    <w:rsid w:val="00673423"/>
    <w:rsid w:val="00673467"/>
    <w:rsid w:val="0067349A"/>
    <w:rsid w:val="006734AC"/>
    <w:rsid w:val="006734F5"/>
    <w:rsid w:val="006734FC"/>
    <w:rsid w:val="006735CF"/>
    <w:rsid w:val="006735EB"/>
    <w:rsid w:val="00673622"/>
    <w:rsid w:val="00673633"/>
    <w:rsid w:val="00673648"/>
    <w:rsid w:val="006736B2"/>
    <w:rsid w:val="006736DC"/>
    <w:rsid w:val="0067370D"/>
    <w:rsid w:val="00673760"/>
    <w:rsid w:val="00673795"/>
    <w:rsid w:val="006737A0"/>
    <w:rsid w:val="006737AD"/>
    <w:rsid w:val="006737B0"/>
    <w:rsid w:val="006737C7"/>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E0"/>
    <w:rsid w:val="00673CB6"/>
    <w:rsid w:val="00673CBB"/>
    <w:rsid w:val="00673CD5"/>
    <w:rsid w:val="00673CD9"/>
    <w:rsid w:val="00673CDA"/>
    <w:rsid w:val="00673D82"/>
    <w:rsid w:val="00673DA1"/>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D5"/>
    <w:rsid w:val="006742EB"/>
    <w:rsid w:val="00674301"/>
    <w:rsid w:val="0067432B"/>
    <w:rsid w:val="006743B4"/>
    <w:rsid w:val="00674427"/>
    <w:rsid w:val="00674444"/>
    <w:rsid w:val="006744B8"/>
    <w:rsid w:val="006744DD"/>
    <w:rsid w:val="006744E9"/>
    <w:rsid w:val="006745BE"/>
    <w:rsid w:val="006745D2"/>
    <w:rsid w:val="006745F2"/>
    <w:rsid w:val="00674605"/>
    <w:rsid w:val="0067461C"/>
    <w:rsid w:val="00674626"/>
    <w:rsid w:val="0067465C"/>
    <w:rsid w:val="006746A5"/>
    <w:rsid w:val="006746AC"/>
    <w:rsid w:val="006746CC"/>
    <w:rsid w:val="006746D6"/>
    <w:rsid w:val="006746D7"/>
    <w:rsid w:val="00674706"/>
    <w:rsid w:val="006747FB"/>
    <w:rsid w:val="0067481C"/>
    <w:rsid w:val="00674836"/>
    <w:rsid w:val="0067487C"/>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41"/>
    <w:rsid w:val="00674C94"/>
    <w:rsid w:val="00674C95"/>
    <w:rsid w:val="00674CD1"/>
    <w:rsid w:val="00674D20"/>
    <w:rsid w:val="00674D34"/>
    <w:rsid w:val="00674DAE"/>
    <w:rsid w:val="00674DD4"/>
    <w:rsid w:val="00674DE0"/>
    <w:rsid w:val="00674E0D"/>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7C1"/>
    <w:rsid w:val="00675845"/>
    <w:rsid w:val="0067584F"/>
    <w:rsid w:val="00675874"/>
    <w:rsid w:val="0067589A"/>
    <w:rsid w:val="006758A1"/>
    <w:rsid w:val="006758FA"/>
    <w:rsid w:val="0067593A"/>
    <w:rsid w:val="0067594D"/>
    <w:rsid w:val="0067595D"/>
    <w:rsid w:val="00675981"/>
    <w:rsid w:val="006759BE"/>
    <w:rsid w:val="006759FD"/>
    <w:rsid w:val="00675A18"/>
    <w:rsid w:val="00675A28"/>
    <w:rsid w:val="00675A3C"/>
    <w:rsid w:val="00675A4C"/>
    <w:rsid w:val="00675A65"/>
    <w:rsid w:val="00675A7C"/>
    <w:rsid w:val="00675B30"/>
    <w:rsid w:val="00675B31"/>
    <w:rsid w:val="00675B3B"/>
    <w:rsid w:val="00675C1F"/>
    <w:rsid w:val="00675C44"/>
    <w:rsid w:val="00675D37"/>
    <w:rsid w:val="00675D38"/>
    <w:rsid w:val="00675D57"/>
    <w:rsid w:val="00675D61"/>
    <w:rsid w:val="00675D62"/>
    <w:rsid w:val="00675D91"/>
    <w:rsid w:val="00675E16"/>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82"/>
    <w:rsid w:val="006762D0"/>
    <w:rsid w:val="006762E7"/>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A9"/>
    <w:rsid w:val="006769B1"/>
    <w:rsid w:val="006769C1"/>
    <w:rsid w:val="006769E0"/>
    <w:rsid w:val="006769F8"/>
    <w:rsid w:val="00676A48"/>
    <w:rsid w:val="00676A4A"/>
    <w:rsid w:val="00676A67"/>
    <w:rsid w:val="00676A78"/>
    <w:rsid w:val="00676A96"/>
    <w:rsid w:val="00676ACB"/>
    <w:rsid w:val="00676B07"/>
    <w:rsid w:val="00676B10"/>
    <w:rsid w:val="00676B52"/>
    <w:rsid w:val="00676B98"/>
    <w:rsid w:val="00676BC8"/>
    <w:rsid w:val="00676C4E"/>
    <w:rsid w:val="00676C88"/>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D01"/>
    <w:rsid w:val="00677D05"/>
    <w:rsid w:val="00677D46"/>
    <w:rsid w:val="00677D47"/>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5"/>
    <w:rsid w:val="006805C8"/>
    <w:rsid w:val="006805DA"/>
    <w:rsid w:val="00680676"/>
    <w:rsid w:val="00680679"/>
    <w:rsid w:val="0068068F"/>
    <w:rsid w:val="006806A4"/>
    <w:rsid w:val="006806E1"/>
    <w:rsid w:val="0068074E"/>
    <w:rsid w:val="00680759"/>
    <w:rsid w:val="0068075C"/>
    <w:rsid w:val="00680792"/>
    <w:rsid w:val="00680830"/>
    <w:rsid w:val="00680834"/>
    <w:rsid w:val="00680869"/>
    <w:rsid w:val="00680891"/>
    <w:rsid w:val="006808BD"/>
    <w:rsid w:val="0068090C"/>
    <w:rsid w:val="00680963"/>
    <w:rsid w:val="00680A04"/>
    <w:rsid w:val="00680A0E"/>
    <w:rsid w:val="00680A23"/>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E73"/>
    <w:rsid w:val="00680EB5"/>
    <w:rsid w:val="00680EC4"/>
    <w:rsid w:val="0068100E"/>
    <w:rsid w:val="00681031"/>
    <w:rsid w:val="00681051"/>
    <w:rsid w:val="006810BD"/>
    <w:rsid w:val="00681110"/>
    <w:rsid w:val="00681148"/>
    <w:rsid w:val="00681158"/>
    <w:rsid w:val="00681163"/>
    <w:rsid w:val="006811C4"/>
    <w:rsid w:val="00681287"/>
    <w:rsid w:val="006812BC"/>
    <w:rsid w:val="006812FF"/>
    <w:rsid w:val="0068131E"/>
    <w:rsid w:val="00681363"/>
    <w:rsid w:val="006813C1"/>
    <w:rsid w:val="0068140C"/>
    <w:rsid w:val="0068142A"/>
    <w:rsid w:val="00681433"/>
    <w:rsid w:val="00681435"/>
    <w:rsid w:val="00681440"/>
    <w:rsid w:val="00681457"/>
    <w:rsid w:val="0068152E"/>
    <w:rsid w:val="00681563"/>
    <w:rsid w:val="0068156A"/>
    <w:rsid w:val="006815C6"/>
    <w:rsid w:val="006815CB"/>
    <w:rsid w:val="006815D7"/>
    <w:rsid w:val="00681680"/>
    <w:rsid w:val="006816B1"/>
    <w:rsid w:val="006816B6"/>
    <w:rsid w:val="0068174F"/>
    <w:rsid w:val="0068177F"/>
    <w:rsid w:val="006817E9"/>
    <w:rsid w:val="006817ED"/>
    <w:rsid w:val="0068186D"/>
    <w:rsid w:val="00681887"/>
    <w:rsid w:val="006818CE"/>
    <w:rsid w:val="00681914"/>
    <w:rsid w:val="0068192D"/>
    <w:rsid w:val="00681941"/>
    <w:rsid w:val="00681985"/>
    <w:rsid w:val="006819FD"/>
    <w:rsid w:val="00681A14"/>
    <w:rsid w:val="00681A1E"/>
    <w:rsid w:val="00681A2B"/>
    <w:rsid w:val="00681A62"/>
    <w:rsid w:val="00681A6E"/>
    <w:rsid w:val="00681ABB"/>
    <w:rsid w:val="00681B8B"/>
    <w:rsid w:val="00681BB2"/>
    <w:rsid w:val="00681BBF"/>
    <w:rsid w:val="00681BE9"/>
    <w:rsid w:val="00681BFF"/>
    <w:rsid w:val="00681C43"/>
    <w:rsid w:val="00681CCA"/>
    <w:rsid w:val="00681CD4"/>
    <w:rsid w:val="00681CE8"/>
    <w:rsid w:val="00681D9C"/>
    <w:rsid w:val="00681DA0"/>
    <w:rsid w:val="00681DCE"/>
    <w:rsid w:val="00681DE5"/>
    <w:rsid w:val="00681DF0"/>
    <w:rsid w:val="00681E24"/>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7"/>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DC0"/>
    <w:rsid w:val="00682E10"/>
    <w:rsid w:val="00682ED0"/>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98"/>
    <w:rsid w:val="006836AF"/>
    <w:rsid w:val="006836D0"/>
    <w:rsid w:val="006836F0"/>
    <w:rsid w:val="00683704"/>
    <w:rsid w:val="00683713"/>
    <w:rsid w:val="00683721"/>
    <w:rsid w:val="00683731"/>
    <w:rsid w:val="0068375F"/>
    <w:rsid w:val="00683795"/>
    <w:rsid w:val="00683799"/>
    <w:rsid w:val="006837A8"/>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B2"/>
    <w:rsid w:val="00683BFF"/>
    <w:rsid w:val="00683C3C"/>
    <w:rsid w:val="00683C40"/>
    <w:rsid w:val="00683C49"/>
    <w:rsid w:val="00683C68"/>
    <w:rsid w:val="00683C79"/>
    <w:rsid w:val="00683CA7"/>
    <w:rsid w:val="00683D89"/>
    <w:rsid w:val="00683DBA"/>
    <w:rsid w:val="00683DC4"/>
    <w:rsid w:val="00683E14"/>
    <w:rsid w:val="00683E1D"/>
    <w:rsid w:val="00683E49"/>
    <w:rsid w:val="00683E66"/>
    <w:rsid w:val="00683E6B"/>
    <w:rsid w:val="00683EB9"/>
    <w:rsid w:val="00683EBF"/>
    <w:rsid w:val="00683F20"/>
    <w:rsid w:val="00683F8D"/>
    <w:rsid w:val="00683F92"/>
    <w:rsid w:val="00684005"/>
    <w:rsid w:val="0068400A"/>
    <w:rsid w:val="00684058"/>
    <w:rsid w:val="00684059"/>
    <w:rsid w:val="00684074"/>
    <w:rsid w:val="006840F5"/>
    <w:rsid w:val="00684131"/>
    <w:rsid w:val="0068418A"/>
    <w:rsid w:val="00684194"/>
    <w:rsid w:val="006841FE"/>
    <w:rsid w:val="00684236"/>
    <w:rsid w:val="00684257"/>
    <w:rsid w:val="00684265"/>
    <w:rsid w:val="00684266"/>
    <w:rsid w:val="006842C4"/>
    <w:rsid w:val="006842E0"/>
    <w:rsid w:val="0068434B"/>
    <w:rsid w:val="00684365"/>
    <w:rsid w:val="006843CA"/>
    <w:rsid w:val="00684403"/>
    <w:rsid w:val="00684404"/>
    <w:rsid w:val="006844B8"/>
    <w:rsid w:val="006844C6"/>
    <w:rsid w:val="006844FA"/>
    <w:rsid w:val="0068453D"/>
    <w:rsid w:val="0068454E"/>
    <w:rsid w:val="006846AB"/>
    <w:rsid w:val="006846FB"/>
    <w:rsid w:val="0068471F"/>
    <w:rsid w:val="00684724"/>
    <w:rsid w:val="0068473F"/>
    <w:rsid w:val="00684752"/>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54A"/>
    <w:rsid w:val="0068556C"/>
    <w:rsid w:val="0068557F"/>
    <w:rsid w:val="00685584"/>
    <w:rsid w:val="00685588"/>
    <w:rsid w:val="0068558B"/>
    <w:rsid w:val="006855A9"/>
    <w:rsid w:val="006855B0"/>
    <w:rsid w:val="006855B4"/>
    <w:rsid w:val="006855F2"/>
    <w:rsid w:val="006855FC"/>
    <w:rsid w:val="00685661"/>
    <w:rsid w:val="00685680"/>
    <w:rsid w:val="00685681"/>
    <w:rsid w:val="00685692"/>
    <w:rsid w:val="0068569C"/>
    <w:rsid w:val="006856FD"/>
    <w:rsid w:val="0068570C"/>
    <w:rsid w:val="00685733"/>
    <w:rsid w:val="0068574A"/>
    <w:rsid w:val="0068577D"/>
    <w:rsid w:val="0068579A"/>
    <w:rsid w:val="006857DA"/>
    <w:rsid w:val="006857F5"/>
    <w:rsid w:val="0068586C"/>
    <w:rsid w:val="0068586F"/>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CF3"/>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F6"/>
    <w:rsid w:val="00686142"/>
    <w:rsid w:val="006861CF"/>
    <w:rsid w:val="006861DF"/>
    <w:rsid w:val="00686212"/>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AD"/>
    <w:rsid w:val="006866C6"/>
    <w:rsid w:val="006866CD"/>
    <w:rsid w:val="00686726"/>
    <w:rsid w:val="006867A1"/>
    <w:rsid w:val="006867D0"/>
    <w:rsid w:val="00686811"/>
    <w:rsid w:val="00686816"/>
    <w:rsid w:val="0068685E"/>
    <w:rsid w:val="006868A6"/>
    <w:rsid w:val="006868FD"/>
    <w:rsid w:val="00686902"/>
    <w:rsid w:val="00686920"/>
    <w:rsid w:val="0068698F"/>
    <w:rsid w:val="00686A48"/>
    <w:rsid w:val="00686A6D"/>
    <w:rsid w:val="00686C34"/>
    <w:rsid w:val="00686C4B"/>
    <w:rsid w:val="00686C68"/>
    <w:rsid w:val="00686C78"/>
    <w:rsid w:val="00686CAD"/>
    <w:rsid w:val="00686D12"/>
    <w:rsid w:val="00686E5A"/>
    <w:rsid w:val="00686E6E"/>
    <w:rsid w:val="00686E81"/>
    <w:rsid w:val="00686EF7"/>
    <w:rsid w:val="00686F12"/>
    <w:rsid w:val="00686F69"/>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A7"/>
    <w:rsid w:val="0068749B"/>
    <w:rsid w:val="006874B1"/>
    <w:rsid w:val="006874B4"/>
    <w:rsid w:val="006874D6"/>
    <w:rsid w:val="00687567"/>
    <w:rsid w:val="0068758B"/>
    <w:rsid w:val="00687601"/>
    <w:rsid w:val="0068766F"/>
    <w:rsid w:val="00687682"/>
    <w:rsid w:val="006876AA"/>
    <w:rsid w:val="006876DC"/>
    <w:rsid w:val="0068777A"/>
    <w:rsid w:val="00687812"/>
    <w:rsid w:val="00687823"/>
    <w:rsid w:val="0068784B"/>
    <w:rsid w:val="006878AA"/>
    <w:rsid w:val="006878DA"/>
    <w:rsid w:val="00687948"/>
    <w:rsid w:val="00687A1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FB"/>
    <w:rsid w:val="00687F1E"/>
    <w:rsid w:val="00687FAD"/>
    <w:rsid w:val="006900A1"/>
    <w:rsid w:val="00690151"/>
    <w:rsid w:val="00690166"/>
    <w:rsid w:val="006901FB"/>
    <w:rsid w:val="00690209"/>
    <w:rsid w:val="00690235"/>
    <w:rsid w:val="0069026F"/>
    <w:rsid w:val="0069027C"/>
    <w:rsid w:val="0069027D"/>
    <w:rsid w:val="006902A3"/>
    <w:rsid w:val="006902BC"/>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7DA"/>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7C"/>
    <w:rsid w:val="006911BB"/>
    <w:rsid w:val="00691230"/>
    <w:rsid w:val="006912CB"/>
    <w:rsid w:val="006912FC"/>
    <w:rsid w:val="00691328"/>
    <w:rsid w:val="00691335"/>
    <w:rsid w:val="00691351"/>
    <w:rsid w:val="00691386"/>
    <w:rsid w:val="00691389"/>
    <w:rsid w:val="0069143E"/>
    <w:rsid w:val="00691441"/>
    <w:rsid w:val="0069147D"/>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CF"/>
    <w:rsid w:val="006917E4"/>
    <w:rsid w:val="006917F6"/>
    <w:rsid w:val="0069182D"/>
    <w:rsid w:val="00691887"/>
    <w:rsid w:val="006918AF"/>
    <w:rsid w:val="00691915"/>
    <w:rsid w:val="00691965"/>
    <w:rsid w:val="0069196A"/>
    <w:rsid w:val="0069199A"/>
    <w:rsid w:val="006919E4"/>
    <w:rsid w:val="00691A21"/>
    <w:rsid w:val="00691A8D"/>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D9"/>
    <w:rsid w:val="006921DB"/>
    <w:rsid w:val="006921E4"/>
    <w:rsid w:val="006921FB"/>
    <w:rsid w:val="0069221B"/>
    <w:rsid w:val="00692233"/>
    <w:rsid w:val="00692238"/>
    <w:rsid w:val="00692293"/>
    <w:rsid w:val="006922B8"/>
    <w:rsid w:val="006922E9"/>
    <w:rsid w:val="00692302"/>
    <w:rsid w:val="00692339"/>
    <w:rsid w:val="006923D1"/>
    <w:rsid w:val="006923F1"/>
    <w:rsid w:val="006923F5"/>
    <w:rsid w:val="00692456"/>
    <w:rsid w:val="0069248E"/>
    <w:rsid w:val="0069249F"/>
    <w:rsid w:val="006924CB"/>
    <w:rsid w:val="006924F8"/>
    <w:rsid w:val="0069255C"/>
    <w:rsid w:val="0069258B"/>
    <w:rsid w:val="006925B3"/>
    <w:rsid w:val="006925B5"/>
    <w:rsid w:val="006925C0"/>
    <w:rsid w:val="006925D8"/>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C9"/>
    <w:rsid w:val="006927DC"/>
    <w:rsid w:val="00692806"/>
    <w:rsid w:val="00692810"/>
    <w:rsid w:val="00692827"/>
    <w:rsid w:val="00692858"/>
    <w:rsid w:val="0069289E"/>
    <w:rsid w:val="006928C6"/>
    <w:rsid w:val="006928E7"/>
    <w:rsid w:val="00692978"/>
    <w:rsid w:val="00692987"/>
    <w:rsid w:val="00692A05"/>
    <w:rsid w:val="00692A27"/>
    <w:rsid w:val="00692A62"/>
    <w:rsid w:val="00692AF5"/>
    <w:rsid w:val="00692B1F"/>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2F9E"/>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C9"/>
    <w:rsid w:val="006933F0"/>
    <w:rsid w:val="006933FF"/>
    <w:rsid w:val="00693430"/>
    <w:rsid w:val="0069344E"/>
    <w:rsid w:val="00693451"/>
    <w:rsid w:val="006934E1"/>
    <w:rsid w:val="0069352C"/>
    <w:rsid w:val="00693563"/>
    <w:rsid w:val="006935BB"/>
    <w:rsid w:val="00693600"/>
    <w:rsid w:val="00693677"/>
    <w:rsid w:val="00693724"/>
    <w:rsid w:val="00693768"/>
    <w:rsid w:val="0069377B"/>
    <w:rsid w:val="006937B3"/>
    <w:rsid w:val="00693830"/>
    <w:rsid w:val="00693874"/>
    <w:rsid w:val="006938C3"/>
    <w:rsid w:val="006938C8"/>
    <w:rsid w:val="006938CB"/>
    <w:rsid w:val="0069397B"/>
    <w:rsid w:val="00693A1A"/>
    <w:rsid w:val="00693A63"/>
    <w:rsid w:val="00693AC2"/>
    <w:rsid w:val="00693B0D"/>
    <w:rsid w:val="00693B89"/>
    <w:rsid w:val="00693B9F"/>
    <w:rsid w:val="00693BD7"/>
    <w:rsid w:val="00693BFE"/>
    <w:rsid w:val="00693C07"/>
    <w:rsid w:val="00693C75"/>
    <w:rsid w:val="00693CA1"/>
    <w:rsid w:val="00693CA7"/>
    <w:rsid w:val="00693CFA"/>
    <w:rsid w:val="00693D82"/>
    <w:rsid w:val="00693D98"/>
    <w:rsid w:val="00693DDD"/>
    <w:rsid w:val="00693E1A"/>
    <w:rsid w:val="00693E6C"/>
    <w:rsid w:val="00693E80"/>
    <w:rsid w:val="00693FE4"/>
    <w:rsid w:val="00694050"/>
    <w:rsid w:val="00694059"/>
    <w:rsid w:val="00694062"/>
    <w:rsid w:val="006940D8"/>
    <w:rsid w:val="00694102"/>
    <w:rsid w:val="00694106"/>
    <w:rsid w:val="00694128"/>
    <w:rsid w:val="0069412F"/>
    <w:rsid w:val="0069415D"/>
    <w:rsid w:val="006941C8"/>
    <w:rsid w:val="006941EC"/>
    <w:rsid w:val="00694241"/>
    <w:rsid w:val="00694265"/>
    <w:rsid w:val="006942D3"/>
    <w:rsid w:val="00694380"/>
    <w:rsid w:val="00694401"/>
    <w:rsid w:val="00694427"/>
    <w:rsid w:val="0069448E"/>
    <w:rsid w:val="006944F0"/>
    <w:rsid w:val="006944F3"/>
    <w:rsid w:val="0069454D"/>
    <w:rsid w:val="0069458C"/>
    <w:rsid w:val="006945A9"/>
    <w:rsid w:val="006945C2"/>
    <w:rsid w:val="0069460B"/>
    <w:rsid w:val="00694633"/>
    <w:rsid w:val="00694647"/>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40"/>
    <w:rsid w:val="00694A52"/>
    <w:rsid w:val="00694AA6"/>
    <w:rsid w:val="00694ABC"/>
    <w:rsid w:val="00694AC0"/>
    <w:rsid w:val="00694AD0"/>
    <w:rsid w:val="00694BAB"/>
    <w:rsid w:val="00694BD6"/>
    <w:rsid w:val="00694BDC"/>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4FDF"/>
    <w:rsid w:val="0069507F"/>
    <w:rsid w:val="00695090"/>
    <w:rsid w:val="00695091"/>
    <w:rsid w:val="006950C6"/>
    <w:rsid w:val="006950EA"/>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C3"/>
    <w:rsid w:val="0069562E"/>
    <w:rsid w:val="00695656"/>
    <w:rsid w:val="00695660"/>
    <w:rsid w:val="006956B4"/>
    <w:rsid w:val="006956CB"/>
    <w:rsid w:val="00695752"/>
    <w:rsid w:val="00695783"/>
    <w:rsid w:val="006957A7"/>
    <w:rsid w:val="006957EF"/>
    <w:rsid w:val="006957FF"/>
    <w:rsid w:val="0069585A"/>
    <w:rsid w:val="0069587B"/>
    <w:rsid w:val="0069589B"/>
    <w:rsid w:val="0069589D"/>
    <w:rsid w:val="006958A5"/>
    <w:rsid w:val="006958BC"/>
    <w:rsid w:val="006958F8"/>
    <w:rsid w:val="00695913"/>
    <w:rsid w:val="006959CC"/>
    <w:rsid w:val="00695A02"/>
    <w:rsid w:val="00695A0A"/>
    <w:rsid w:val="00695A30"/>
    <w:rsid w:val="00695A49"/>
    <w:rsid w:val="00695ADA"/>
    <w:rsid w:val="00695B0C"/>
    <w:rsid w:val="00695B62"/>
    <w:rsid w:val="00695B97"/>
    <w:rsid w:val="00695BB7"/>
    <w:rsid w:val="00695CA2"/>
    <w:rsid w:val="00695CAD"/>
    <w:rsid w:val="00695CB7"/>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26"/>
    <w:rsid w:val="0069615F"/>
    <w:rsid w:val="006961F3"/>
    <w:rsid w:val="006962D7"/>
    <w:rsid w:val="00696326"/>
    <w:rsid w:val="00696387"/>
    <w:rsid w:val="006963EF"/>
    <w:rsid w:val="00696405"/>
    <w:rsid w:val="00696433"/>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D"/>
    <w:rsid w:val="00696BD1"/>
    <w:rsid w:val="00696BE2"/>
    <w:rsid w:val="00696C45"/>
    <w:rsid w:val="00696CD5"/>
    <w:rsid w:val="00696CE9"/>
    <w:rsid w:val="00696CF5"/>
    <w:rsid w:val="00696D14"/>
    <w:rsid w:val="00696D32"/>
    <w:rsid w:val="00696DC6"/>
    <w:rsid w:val="00696DDC"/>
    <w:rsid w:val="00696E21"/>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32"/>
    <w:rsid w:val="0069744E"/>
    <w:rsid w:val="00697467"/>
    <w:rsid w:val="006974A9"/>
    <w:rsid w:val="006974E6"/>
    <w:rsid w:val="00697532"/>
    <w:rsid w:val="00697561"/>
    <w:rsid w:val="006975B6"/>
    <w:rsid w:val="006975D0"/>
    <w:rsid w:val="006975DF"/>
    <w:rsid w:val="00697649"/>
    <w:rsid w:val="0069766F"/>
    <w:rsid w:val="0069767C"/>
    <w:rsid w:val="006976A2"/>
    <w:rsid w:val="006976A5"/>
    <w:rsid w:val="006976DD"/>
    <w:rsid w:val="0069775B"/>
    <w:rsid w:val="00697797"/>
    <w:rsid w:val="006977D3"/>
    <w:rsid w:val="006977DC"/>
    <w:rsid w:val="006977DD"/>
    <w:rsid w:val="006977FD"/>
    <w:rsid w:val="00697805"/>
    <w:rsid w:val="00697824"/>
    <w:rsid w:val="0069783D"/>
    <w:rsid w:val="00697865"/>
    <w:rsid w:val="006978C2"/>
    <w:rsid w:val="006978C9"/>
    <w:rsid w:val="006978CC"/>
    <w:rsid w:val="00697982"/>
    <w:rsid w:val="006979B5"/>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2F"/>
    <w:rsid w:val="00697D5D"/>
    <w:rsid w:val="00697DCF"/>
    <w:rsid w:val="00697E29"/>
    <w:rsid w:val="00697EB0"/>
    <w:rsid w:val="00697F0F"/>
    <w:rsid w:val="00697F27"/>
    <w:rsid w:val="00697F6C"/>
    <w:rsid w:val="00697FB8"/>
    <w:rsid w:val="006A0065"/>
    <w:rsid w:val="006A0070"/>
    <w:rsid w:val="006A008E"/>
    <w:rsid w:val="006A0092"/>
    <w:rsid w:val="006A0149"/>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C6"/>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05"/>
    <w:rsid w:val="006A0A27"/>
    <w:rsid w:val="006A0A57"/>
    <w:rsid w:val="006A0B0E"/>
    <w:rsid w:val="006A0B66"/>
    <w:rsid w:val="006A0BA6"/>
    <w:rsid w:val="006A0BC3"/>
    <w:rsid w:val="006A0BDA"/>
    <w:rsid w:val="006A0C88"/>
    <w:rsid w:val="006A0C8A"/>
    <w:rsid w:val="006A0CA9"/>
    <w:rsid w:val="006A0CAA"/>
    <w:rsid w:val="006A0CC5"/>
    <w:rsid w:val="006A0CC8"/>
    <w:rsid w:val="006A0CF4"/>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120"/>
    <w:rsid w:val="006A116E"/>
    <w:rsid w:val="006A117C"/>
    <w:rsid w:val="006A1182"/>
    <w:rsid w:val="006A11E4"/>
    <w:rsid w:val="006A11E6"/>
    <w:rsid w:val="006A1231"/>
    <w:rsid w:val="006A1251"/>
    <w:rsid w:val="006A126A"/>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35"/>
    <w:rsid w:val="006A1693"/>
    <w:rsid w:val="006A16B4"/>
    <w:rsid w:val="006A1762"/>
    <w:rsid w:val="006A177F"/>
    <w:rsid w:val="006A1859"/>
    <w:rsid w:val="006A1860"/>
    <w:rsid w:val="006A1886"/>
    <w:rsid w:val="006A18C6"/>
    <w:rsid w:val="006A18FA"/>
    <w:rsid w:val="006A191C"/>
    <w:rsid w:val="006A1934"/>
    <w:rsid w:val="006A19E1"/>
    <w:rsid w:val="006A19EF"/>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3C"/>
    <w:rsid w:val="006A1E4B"/>
    <w:rsid w:val="006A1E5A"/>
    <w:rsid w:val="006A1E71"/>
    <w:rsid w:val="006A1E90"/>
    <w:rsid w:val="006A1ECF"/>
    <w:rsid w:val="006A1F36"/>
    <w:rsid w:val="006A1F59"/>
    <w:rsid w:val="006A1F60"/>
    <w:rsid w:val="006A203F"/>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633"/>
    <w:rsid w:val="006A270D"/>
    <w:rsid w:val="006A276F"/>
    <w:rsid w:val="006A280C"/>
    <w:rsid w:val="006A2811"/>
    <w:rsid w:val="006A2850"/>
    <w:rsid w:val="006A28FD"/>
    <w:rsid w:val="006A2945"/>
    <w:rsid w:val="006A298F"/>
    <w:rsid w:val="006A29B2"/>
    <w:rsid w:val="006A29FE"/>
    <w:rsid w:val="006A2A3A"/>
    <w:rsid w:val="006A2A57"/>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40"/>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2F"/>
    <w:rsid w:val="006A3345"/>
    <w:rsid w:val="006A337D"/>
    <w:rsid w:val="006A33C4"/>
    <w:rsid w:val="006A3457"/>
    <w:rsid w:val="006A3458"/>
    <w:rsid w:val="006A34CE"/>
    <w:rsid w:val="006A34DA"/>
    <w:rsid w:val="006A34DC"/>
    <w:rsid w:val="006A34EF"/>
    <w:rsid w:val="006A3556"/>
    <w:rsid w:val="006A3586"/>
    <w:rsid w:val="006A359D"/>
    <w:rsid w:val="006A3730"/>
    <w:rsid w:val="006A382E"/>
    <w:rsid w:val="006A3870"/>
    <w:rsid w:val="006A3A1C"/>
    <w:rsid w:val="006A3AC4"/>
    <w:rsid w:val="006A3AC8"/>
    <w:rsid w:val="006A3ACD"/>
    <w:rsid w:val="006A3AF4"/>
    <w:rsid w:val="006A3B6D"/>
    <w:rsid w:val="006A3B7E"/>
    <w:rsid w:val="006A3B91"/>
    <w:rsid w:val="006A3B95"/>
    <w:rsid w:val="006A3C12"/>
    <w:rsid w:val="006A3C60"/>
    <w:rsid w:val="006A3C7F"/>
    <w:rsid w:val="006A3CD2"/>
    <w:rsid w:val="006A3CF6"/>
    <w:rsid w:val="006A3D02"/>
    <w:rsid w:val="006A3D06"/>
    <w:rsid w:val="006A3D0A"/>
    <w:rsid w:val="006A3D76"/>
    <w:rsid w:val="006A3D7B"/>
    <w:rsid w:val="006A3DF5"/>
    <w:rsid w:val="006A3E01"/>
    <w:rsid w:val="006A3E15"/>
    <w:rsid w:val="006A3E2D"/>
    <w:rsid w:val="006A3E9D"/>
    <w:rsid w:val="006A3ED8"/>
    <w:rsid w:val="006A3F30"/>
    <w:rsid w:val="006A3FE7"/>
    <w:rsid w:val="006A4022"/>
    <w:rsid w:val="006A40BF"/>
    <w:rsid w:val="006A40D2"/>
    <w:rsid w:val="006A411C"/>
    <w:rsid w:val="006A415E"/>
    <w:rsid w:val="006A418D"/>
    <w:rsid w:val="006A41DD"/>
    <w:rsid w:val="006A41E6"/>
    <w:rsid w:val="006A424B"/>
    <w:rsid w:val="006A428A"/>
    <w:rsid w:val="006A42BD"/>
    <w:rsid w:val="006A42BE"/>
    <w:rsid w:val="006A4328"/>
    <w:rsid w:val="006A435C"/>
    <w:rsid w:val="006A4361"/>
    <w:rsid w:val="006A43AE"/>
    <w:rsid w:val="006A43C8"/>
    <w:rsid w:val="006A4411"/>
    <w:rsid w:val="006A4476"/>
    <w:rsid w:val="006A44EE"/>
    <w:rsid w:val="006A4507"/>
    <w:rsid w:val="006A45BC"/>
    <w:rsid w:val="006A46C0"/>
    <w:rsid w:val="006A4786"/>
    <w:rsid w:val="006A478E"/>
    <w:rsid w:val="006A47EE"/>
    <w:rsid w:val="006A47F5"/>
    <w:rsid w:val="006A4888"/>
    <w:rsid w:val="006A488D"/>
    <w:rsid w:val="006A48F1"/>
    <w:rsid w:val="006A497B"/>
    <w:rsid w:val="006A499B"/>
    <w:rsid w:val="006A49C6"/>
    <w:rsid w:val="006A4A40"/>
    <w:rsid w:val="006A4A53"/>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DF9"/>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BA"/>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4D"/>
    <w:rsid w:val="006A573B"/>
    <w:rsid w:val="006A57DC"/>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A5"/>
    <w:rsid w:val="006A5CAC"/>
    <w:rsid w:val="006A5CBE"/>
    <w:rsid w:val="006A5CDB"/>
    <w:rsid w:val="006A5D15"/>
    <w:rsid w:val="006A5DA0"/>
    <w:rsid w:val="006A5DA5"/>
    <w:rsid w:val="006A5DAF"/>
    <w:rsid w:val="006A5DEE"/>
    <w:rsid w:val="006A5E63"/>
    <w:rsid w:val="006A5E72"/>
    <w:rsid w:val="006A5F35"/>
    <w:rsid w:val="006A5F87"/>
    <w:rsid w:val="006A5FA3"/>
    <w:rsid w:val="006A5FA5"/>
    <w:rsid w:val="006A5FFC"/>
    <w:rsid w:val="006A6022"/>
    <w:rsid w:val="006A607B"/>
    <w:rsid w:val="006A609A"/>
    <w:rsid w:val="006A60E2"/>
    <w:rsid w:val="006A60F9"/>
    <w:rsid w:val="006A6126"/>
    <w:rsid w:val="006A615B"/>
    <w:rsid w:val="006A61E4"/>
    <w:rsid w:val="006A620C"/>
    <w:rsid w:val="006A621A"/>
    <w:rsid w:val="006A62A0"/>
    <w:rsid w:val="006A62F7"/>
    <w:rsid w:val="006A6314"/>
    <w:rsid w:val="006A6335"/>
    <w:rsid w:val="006A635F"/>
    <w:rsid w:val="006A63A5"/>
    <w:rsid w:val="006A63BA"/>
    <w:rsid w:val="006A640E"/>
    <w:rsid w:val="006A6447"/>
    <w:rsid w:val="006A6488"/>
    <w:rsid w:val="006A64D2"/>
    <w:rsid w:val="006A654B"/>
    <w:rsid w:val="006A6576"/>
    <w:rsid w:val="006A657A"/>
    <w:rsid w:val="006A65CC"/>
    <w:rsid w:val="006A65F9"/>
    <w:rsid w:val="006A661B"/>
    <w:rsid w:val="006A6627"/>
    <w:rsid w:val="006A6667"/>
    <w:rsid w:val="006A6690"/>
    <w:rsid w:val="006A684C"/>
    <w:rsid w:val="006A685E"/>
    <w:rsid w:val="006A6888"/>
    <w:rsid w:val="006A68AC"/>
    <w:rsid w:val="006A68B1"/>
    <w:rsid w:val="006A69BB"/>
    <w:rsid w:val="006A69D1"/>
    <w:rsid w:val="006A6A79"/>
    <w:rsid w:val="006A6A87"/>
    <w:rsid w:val="006A6B99"/>
    <w:rsid w:val="006A6C16"/>
    <w:rsid w:val="006A6C36"/>
    <w:rsid w:val="006A6CA6"/>
    <w:rsid w:val="006A6CBB"/>
    <w:rsid w:val="006A6CF2"/>
    <w:rsid w:val="006A6D12"/>
    <w:rsid w:val="006A6D15"/>
    <w:rsid w:val="006A6D2E"/>
    <w:rsid w:val="006A6D36"/>
    <w:rsid w:val="006A6D7D"/>
    <w:rsid w:val="006A6D8C"/>
    <w:rsid w:val="006A6DA1"/>
    <w:rsid w:val="006A6DAC"/>
    <w:rsid w:val="006A6E3C"/>
    <w:rsid w:val="006A6E48"/>
    <w:rsid w:val="006A6E5A"/>
    <w:rsid w:val="006A6E5E"/>
    <w:rsid w:val="006A6E93"/>
    <w:rsid w:val="006A6EEB"/>
    <w:rsid w:val="006A6F3D"/>
    <w:rsid w:val="006A6F96"/>
    <w:rsid w:val="006A6F9A"/>
    <w:rsid w:val="006A6FA0"/>
    <w:rsid w:val="006A6FAC"/>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07"/>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9"/>
    <w:rsid w:val="006B024D"/>
    <w:rsid w:val="006B026F"/>
    <w:rsid w:val="006B02AA"/>
    <w:rsid w:val="006B02C0"/>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6FF"/>
    <w:rsid w:val="006B0713"/>
    <w:rsid w:val="006B071E"/>
    <w:rsid w:val="006B077B"/>
    <w:rsid w:val="006B07D7"/>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AD0"/>
    <w:rsid w:val="006B0B23"/>
    <w:rsid w:val="006B0B86"/>
    <w:rsid w:val="006B0B9A"/>
    <w:rsid w:val="006B0BA5"/>
    <w:rsid w:val="006B0BEF"/>
    <w:rsid w:val="006B0CA8"/>
    <w:rsid w:val="006B0CCD"/>
    <w:rsid w:val="006B0CE8"/>
    <w:rsid w:val="006B0CFB"/>
    <w:rsid w:val="006B0D1E"/>
    <w:rsid w:val="006B0D22"/>
    <w:rsid w:val="006B0DCE"/>
    <w:rsid w:val="006B0DE0"/>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B9"/>
    <w:rsid w:val="006B17D9"/>
    <w:rsid w:val="006B17E1"/>
    <w:rsid w:val="006B17EC"/>
    <w:rsid w:val="006B1810"/>
    <w:rsid w:val="006B183A"/>
    <w:rsid w:val="006B1898"/>
    <w:rsid w:val="006B18CB"/>
    <w:rsid w:val="006B1917"/>
    <w:rsid w:val="006B19A1"/>
    <w:rsid w:val="006B19B1"/>
    <w:rsid w:val="006B19FE"/>
    <w:rsid w:val="006B1A59"/>
    <w:rsid w:val="006B1B0D"/>
    <w:rsid w:val="006B1B15"/>
    <w:rsid w:val="006B1B38"/>
    <w:rsid w:val="006B1B6F"/>
    <w:rsid w:val="006B1BC3"/>
    <w:rsid w:val="006B1CDE"/>
    <w:rsid w:val="006B1CE1"/>
    <w:rsid w:val="006B1D57"/>
    <w:rsid w:val="006B1D5B"/>
    <w:rsid w:val="006B1D66"/>
    <w:rsid w:val="006B1D8E"/>
    <w:rsid w:val="006B1D9D"/>
    <w:rsid w:val="006B1E37"/>
    <w:rsid w:val="006B1EA9"/>
    <w:rsid w:val="006B1ECF"/>
    <w:rsid w:val="006B1EF9"/>
    <w:rsid w:val="006B206C"/>
    <w:rsid w:val="006B20C8"/>
    <w:rsid w:val="006B2111"/>
    <w:rsid w:val="006B211C"/>
    <w:rsid w:val="006B2139"/>
    <w:rsid w:val="006B2267"/>
    <w:rsid w:val="006B2271"/>
    <w:rsid w:val="006B22AE"/>
    <w:rsid w:val="006B22FA"/>
    <w:rsid w:val="006B23AE"/>
    <w:rsid w:val="006B23B7"/>
    <w:rsid w:val="006B23EF"/>
    <w:rsid w:val="006B2475"/>
    <w:rsid w:val="006B24B3"/>
    <w:rsid w:val="006B24E5"/>
    <w:rsid w:val="006B2527"/>
    <w:rsid w:val="006B25AC"/>
    <w:rsid w:val="006B25D7"/>
    <w:rsid w:val="006B25F8"/>
    <w:rsid w:val="006B2635"/>
    <w:rsid w:val="006B266C"/>
    <w:rsid w:val="006B26C7"/>
    <w:rsid w:val="006B270D"/>
    <w:rsid w:val="006B2744"/>
    <w:rsid w:val="006B2748"/>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95"/>
    <w:rsid w:val="006B29A8"/>
    <w:rsid w:val="006B29C3"/>
    <w:rsid w:val="006B2A66"/>
    <w:rsid w:val="006B2AB0"/>
    <w:rsid w:val="006B2ABB"/>
    <w:rsid w:val="006B2AE1"/>
    <w:rsid w:val="006B2AF3"/>
    <w:rsid w:val="006B2B4D"/>
    <w:rsid w:val="006B2B68"/>
    <w:rsid w:val="006B2B77"/>
    <w:rsid w:val="006B2B92"/>
    <w:rsid w:val="006B2BEF"/>
    <w:rsid w:val="006B2C26"/>
    <w:rsid w:val="006B2CB7"/>
    <w:rsid w:val="006B2CFD"/>
    <w:rsid w:val="006B2D12"/>
    <w:rsid w:val="006B2D4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20"/>
    <w:rsid w:val="006B303A"/>
    <w:rsid w:val="006B3065"/>
    <w:rsid w:val="006B3092"/>
    <w:rsid w:val="006B30BC"/>
    <w:rsid w:val="006B30EA"/>
    <w:rsid w:val="006B3146"/>
    <w:rsid w:val="006B31B7"/>
    <w:rsid w:val="006B320A"/>
    <w:rsid w:val="006B3221"/>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B"/>
    <w:rsid w:val="006B3A5E"/>
    <w:rsid w:val="006B3A5F"/>
    <w:rsid w:val="006B3A66"/>
    <w:rsid w:val="006B3A7D"/>
    <w:rsid w:val="006B3AE2"/>
    <w:rsid w:val="006B3B40"/>
    <w:rsid w:val="006B3B50"/>
    <w:rsid w:val="006B3B54"/>
    <w:rsid w:val="006B3C21"/>
    <w:rsid w:val="006B3C3D"/>
    <w:rsid w:val="006B3C5A"/>
    <w:rsid w:val="006B3E05"/>
    <w:rsid w:val="006B3E28"/>
    <w:rsid w:val="006B3E42"/>
    <w:rsid w:val="006B3E44"/>
    <w:rsid w:val="006B3E4B"/>
    <w:rsid w:val="006B3E53"/>
    <w:rsid w:val="006B3E7E"/>
    <w:rsid w:val="006B3EAF"/>
    <w:rsid w:val="006B3EE3"/>
    <w:rsid w:val="006B3F77"/>
    <w:rsid w:val="006B3FAE"/>
    <w:rsid w:val="006B4004"/>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50E"/>
    <w:rsid w:val="006B4512"/>
    <w:rsid w:val="006B454B"/>
    <w:rsid w:val="006B4558"/>
    <w:rsid w:val="006B4583"/>
    <w:rsid w:val="006B45D0"/>
    <w:rsid w:val="006B45E2"/>
    <w:rsid w:val="006B45E3"/>
    <w:rsid w:val="006B45E4"/>
    <w:rsid w:val="006B4632"/>
    <w:rsid w:val="006B4717"/>
    <w:rsid w:val="006B471E"/>
    <w:rsid w:val="006B475B"/>
    <w:rsid w:val="006B478D"/>
    <w:rsid w:val="006B47CD"/>
    <w:rsid w:val="006B47CE"/>
    <w:rsid w:val="006B47D2"/>
    <w:rsid w:val="006B47F1"/>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9"/>
    <w:rsid w:val="006B4CED"/>
    <w:rsid w:val="006B4D02"/>
    <w:rsid w:val="006B4D3B"/>
    <w:rsid w:val="006B4D50"/>
    <w:rsid w:val="006B4DB0"/>
    <w:rsid w:val="006B4DDC"/>
    <w:rsid w:val="006B4E8C"/>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FC"/>
    <w:rsid w:val="006B5504"/>
    <w:rsid w:val="006B554F"/>
    <w:rsid w:val="006B559B"/>
    <w:rsid w:val="006B55B2"/>
    <w:rsid w:val="006B55EF"/>
    <w:rsid w:val="006B55F7"/>
    <w:rsid w:val="006B5601"/>
    <w:rsid w:val="006B561A"/>
    <w:rsid w:val="006B5673"/>
    <w:rsid w:val="006B56E9"/>
    <w:rsid w:val="006B5727"/>
    <w:rsid w:val="006B5791"/>
    <w:rsid w:val="006B57C3"/>
    <w:rsid w:val="006B587B"/>
    <w:rsid w:val="006B5888"/>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5C"/>
    <w:rsid w:val="006B5C64"/>
    <w:rsid w:val="006B5C74"/>
    <w:rsid w:val="006B5C7D"/>
    <w:rsid w:val="006B5CD3"/>
    <w:rsid w:val="006B5D39"/>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303"/>
    <w:rsid w:val="006B6339"/>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C39"/>
    <w:rsid w:val="006B6C7A"/>
    <w:rsid w:val="006B6C7B"/>
    <w:rsid w:val="006B6C81"/>
    <w:rsid w:val="006B6C97"/>
    <w:rsid w:val="006B6CB2"/>
    <w:rsid w:val="006B6CC8"/>
    <w:rsid w:val="006B6CF5"/>
    <w:rsid w:val="006B6D04"/>
    <w:rsid w:val="006B6D16"/>
    <w:rsid w:val="006B6D19"/>
    <w:rsid w:val="006B6D6A"/>
    <w:rsid w:val="006B6DB6"/>
    <w:rsid w:val="006B6DBB"/>
    <w:rsid w:val="006B6DC5"/>
    <w:rsid w:val="006B6E3F"/>
    <w:rsid w:val="006B6E4F"/>
    <w:rsid w:val="006B6EA5"/>
    <w:rsid w:val="006B6EBA"/>
    <w:rsid w:val="006B6F7B"/>
    <w:rsid w:val="006B6F97"/>
    <w:rsid w:val="006B6F9D"/>
    <w:rsid w:val="006B7027"/>
    <w:rsid w:val="006B7028"/>
    <w:rsid w:val="006B7071"/>
    <w:rsid w:val="006B70C8"/>
    <w:rsid w:val="006B70E6"/>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73"/>
    <w:rsid w:val="006B76A8"/>
    <w:rsid w:val="006B76E3"/>
    <w:rsid w:val="006B7747"/>
    <w:rsid w:val="006B77A0"/>
    <w:rsid w:val="006B7802"/>
    <w:rsid w:val="006B7821"/>
    <w:rsid w:val="006B785E"/>
    <w:rsid w:val="006B78A7"/>
    <w:rsid w:val="006B78F2"/>
    <w:rsid w:val="006B7908"/>
    <w:rsid w:val="006B793E"/>
    <w:rsid w:val="006B7A0A"/>
    <w:rsid w:val="006B7A4F"/>
    <w:rsid w:val="006B7A5C"/>
    <w:rsid w:val="006B7A7D"/>
    <w:rsid w:val="006B7AFA"/>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C0024"/>
    <w:rsid w:val="006C0033"/>
    <w:rsid w:val="006C005F"/>
    <w:rsid w:val="006C00BA"/>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2C"/>
    <w:rsid w:val="006C0333"/>
    <w:rsid w:val="006C03B0"/>
    <w:rsid w:val="006C03B5"/>
    <w:rsid w:val="006C03B6"/>
    <w:rsid w:val="006C03D0"/>
    <w:rsid w:val="006C0409"/>
    <w:rsid w:val="006C0412"/>
    <w:rsid w:val="006C0429"/>
    <w:rsid w:val="006C04E8"/>
    <w:rsid w:val="006C04FC"/>
    <w:rsid w:val="006C04FF"/>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4"/>
    <w:rsid w:val="006C08C5"/>
    <w:rsid w:val="006C08C6"/>
    <w:rsid w:val="006C0932"/>
    <w:rsid w:val="006C094B"/>
    <w:rsid w:val="006C09AC"/>
    <w:rsid w:val="006C09E0"/>
    <w:rsid w:val="006C09F4"/>
    <w:rsid w:val="006C0A36"/>
    <w:rsid w:val="006C0A53"/>
    <w:rsid w:val="006C0A5F"/>
    <w:rsid w:val="006C0A64"/>
    <w:rsid w:val="006C0AD7"/>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AB"/>
    <w:rsid w:val="006C0EC8"/>
    <w:rsid w:val="006C0F7B"/>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28"/>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76"/>
    <w:rsid w:val="006C1D8D"/>
    <w:rsid w:val="006C1EB6"/>
    <w:rsid w:val="006C1EBC"/>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DA"/>
    <w:rsid w:val="006C24FB"/>
    <w:rsid w:val="006C2514"/>
    <w:rsid w:val="006C2553"/>
    <w:rsid w:val="006C255B"/>
    <w:rsid w:val="006C257F"/>
    <w:rsid w:val="006C2593"/>
    <w:rsid w:val="006C25B8"/>
    <w:rsid w:val="006C2607"/>
    <w:rsid w:val="006C2650"/>
    <w:rsid w:val="006C2694"/>
    <w:rsid w:val="006C26A3"/>
    <w:rsid w:val="006C270A"/>
    <w:rsid w:val="006C270B"/>
    <w:rsid w:val="006C2785"/>
    <w:rsid w:val="006C27CD"/>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67"/>
    <w:rsid w:val="006C2D83"/>
    <w:rsid w:val="006C2DEC"/>
    <w:rsid w:val="006C2E82"/>
    <w:rsid w:val="006C2E97"/>
    <w:rsid w:val="006C2EB8"/>
    <w:rsid w:val="006C2EBF"/>
    <w:rsid w:val="006C2F59"/>
    <w:rsid w:val="006C2F8A"/>
    <w:rsid w:val="006C2F98"/>
    <w:rsid w:val="006C3000"/>
    <w:rsid w:val="006C304D"/>
    <w:rsid w:val="006C305E"/>
    <w:rsid w:val="006C306A"/>
    <w:rsid w:val="006C30C6"/>
    <w:rsid w:val="006C30E8"/>
    <w:rsid w:val="006C3105"/>
    <w:rsid w:val="006C313E"/>
    <w:rsid w:val="006C31AE"/>
    <w:rsid w:val="006C31FC"/>
    <w:rsid w:val="006C320F"/>
    <w:rsid w:val="006C3226"/>
    <w:rsid w:val="006C3248"/>
    <w:rsid w:val="006C32A0"/>
    <w:rsid w:val="006C3307"/>
    <w:rsid w:val="006C3385"/>
    <w:rsid w:val="006C339A"/>
    <w:rsid w:val="006C33A2"/>
    <w:rsid w:val="006C33D5"/>
    <w:rsid w:val="006C33D8"/>
    <w:rsid w:val="006C33F6"/>
    <w:rsid w:val="006C3421"/>
    <w:rsid w:val="006C34A1"/>
    <w:rsid w:val="006C34B8"/>
    <w:rsid w:val="006C34D5"/>
    <w:rsid w:val="006C34E1"/>
    <w:rsid w:val="006C353B"/>
    <w:rsid w:val="006C3541"/>
    <w:rsid w:val="006C357F"/>
    <w:rsid w:val="006C35D3"/>
    <w:rsid w:val="006C35EB"/>
    <w:rsid w:val="006C35F6"/>
    <w:rsid w:val="006C363D"/>
    <w:rsid w:val="006C3643"/>
    <w:rsid w:val="006C368A"/>
    <w:rsid w:val="006C3698"/>
    <w:rsid w:val="006C36D1"/>
    <w:rsid w:val="006C370A"/>
    <w:rsid w:val="006C374B"/>
    <w:rsid w:val="006C3760"/>
    <w:rsid w:val="006C3765"/>
    <w:rsid w:val="006C3778"/>
    <w:rsid w:val="006C3779"/>
    <w:rsid w:val="006C378D"/>
    <w:rsid w:val="006C3793"/>
    <w:rsid w:val="006C37D4"/>
    <w:rsid w:val="006C389C"/>
    <w:rsid w:val="006C38AE"/>
    <w:rsid w:val="006C396C"/>
    <w:rsid w:val="006C398D"/>
    <w:rsid w:val="006C39C5"/>
    <w:rsid w:val="006C39E6"/>
    <w:rsid w:val="006C3A4A"/>
    <w:rsid w:val="006C3A63"/>
    <w:rsid w:val="006C3A6A"/>
    <w:rsid w:val="006C3A71"/>
    <w:rsid w:val="006C3AA8"/>
    <w:rsid w:val="006C3B52"/>
    <w:rsid w:val="006C3C0B"/>
    <w:rsid w:val="006C3C0C"/>
    <w:rsid w:val="006C3C37"/>
    <w:rsid w:val="006C3C3A"/>
    <w:rsid w:val="006C3C40"/>
    <w:rsid w:val="006C3C42"/>
    <w:rsid w:val="006C3C9A"/>
    <w:rsid w:val="006C3C9B"/>
    <w:rsid w:val="006C3CC6"/>
    <w:rsid w:val="006C3D3C"/>
    <w:rsid w:val="006C3D90"/>
    <w:rsid w:val="006C3DB7"/>
    <w:rsid w:val="006C3DFA"/>
    <w:rsid w:val="006C3E19"/>
    <w:rsid w:val="006C3E3C"/>
    <w:rsid w:val="006C3E6A"/>
    <w:rsid w:val="006C3E99"/>
    <w:rsid w:val="006C3EC9"/>
    <w:rsid w:val="006C3ED3"/>
    <w:rsid w:val="006C3EF1"/>
    <w:rsid w:val="006C3FA0"/>
    <w:rsid w:val="006C3FD8"/>
    <w:rsid w:val="006C4009"/>
    <w:rsid w:val="006C401F"/>
    <w:rsid w:val="006C4054"/>
    <w:rsid w:val="006C4063"/>
    <w:rsid w:val="006C409B"/>
    <w:rsid w:val="006C409C"/>
    <w:rsid w:val="006C40B4"/>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BB"/>
    <w:rsid w:val="006C45E1"/>
    <w:rsid w:val="006C4613"/>
    <w:rsid w:val="006C464D"/>
    <w:rsid w:val="006C4665"/>
    <w:rsid w:val="006C4679"/>
    <w:rsid w:val="006C46A8"/>
    <w:rsid w:val="006C46DE"/>
    <w:rsid w:val="006C4756"/>
    <w:rsid w:val="006C4778"/>
    <w:rsid w:val="006C47C5"/>
    <w:rsid w:val="006C47D6"/>
    <w:rsid w:val="006C47FA"/>
    <w:rsid w:val="006C4887"/>
    <w:rsid w:val="006C48E8"/>
    <w:rsid w:val="006C4910"/>
    <w:rsid w:val="006C4913"/>
    <w:rsid w:val="006C492F"/>
    <w:rsid w:val="006C496B"/>
    <w:rsid w:val="006C4988"/>
    <w:rsid w:val="006C49A0"/>
    <w:rsid w:val="006C49E0"/>
    <w:rsid w:val="006C4A11"/>
    <w:rsid w:val="006C4A98"/>
    <w:rsid w:val="006C4AA5"/>
    <w:rsid w:val="006C4AAF"/>
    <w:rsid w:val="006C4B2C"/>
    <w:rsid w:val="006C4B38"/>
    <w:rsid w:val="006C4B45"/>
    <w:rsid w:val="006C4B5E"/>
    <w:rsid w:val="006C4B73"/>
    <w:rsid w:val="006C4B89"/>
    <w:rsid w:val="006C4BE3"/>
    <w:rsid w:val="006C4C01"/>
    <w:rsid w:val="006C4C29"/>
    <w:rsid w:val="006C4C39"/>
    <w:rsid w:val="006C4E22"/>
    <w:rsid w:val="006C4E38"/>
    <w:rsid w:val="006C4E8F"/>
    <w:rsid w:val="006C4ED1"/>
    <w:rsid w:val="006C4FD1"/>
    <w:rsid w:val="006C500A"/>
    <w:rsid w:val="006C5073"/>
    <w:rsid w:val="006C5130"/>
    <w:rsid w:val="006C519F"/>
    <w:rsid w:val="006C5200"/>
    <w:rsid w:val="006C5247"/>
    <w:rsid w:val="006C5250"/>
    <w:rsid w:val="006C526A"/>
    <w:rsid w:val="006C5270"/>
    <w:rsid w:val="006C52EA"/>
    <w:rsid w:val="006C539F"/>
    <w:rsid w:val="006C53BF"/>
    <w:rsid w:val="006C53CC"/>
    <w:rsid w:val="006C5408"/>
    <w:rsid w:val="006C5493"/>
    <w:rsid w:val="006C549D"/>
    <w:rsid w:val="006C54A2"/>
    <w:rsid w:val="006C54C3"/>
    <w:rsid w:val="006C54D7"/>
    <w:rsid w:val="006C553C"/>
    <w:rsid w:val="006C557B"/>
    <w:rsid w:val="006C5593"/>
    <w:rsid w:val="006C5643"/>
    <w:rsid w:val="006C5645"/>
    <w:rsid w:val="006C5672"/>
    <w:rsid w:val="006C5679"/>
    <w:rsid w:val="006C568B"/>
    <w:rsid w:val="006C56CC"/>
    <w:rsid w:val="006C5745"/>
    <w:rsid w:val="006C57E9"/>
    <w:rsid w:val="006C57EE"/>
    <w:rsid w:val="006C5827"/>
    <w:rsid w:val="006C5863"/>
    <w:rsid w:val="006C58D9"/>
    <w:rsid w:val="006C58FD"/>
    <w:rsid w:val="006C5905"/>
    <w:rsid w:val="006C59A7"/>
    <w:rsid w:val="006C59C4"/>
    <w:rsid w:val="006C5A47"/>
    <w:rsid w:val="006C5A50"/>
    <w:rsid w:val="006C5A64"/>
    <w:rsid w:val="006C5A72"/>
    <w:rsid w:val="006C5A7C"/>
    <w:rsid w:val="006C5B06"/>
    <w:rsid w:val="006C5BB8"/>
    <w:rsid w:val="006C5BBD"/>
    <w:rsid w:val="006C5C7D"/>
    <w:rsid w:val="006C5D17"/>
    <w:rsid w:val="006C5D19"/>
    <w:rsid w:val="006C5D86"/>
    <w:rsid w:val="006C5DDD"/>
    <w:rsid w:val="006C5E8E"/>
    <w:rsid w:val="006C5F11"/>
    <w:rsid w:val="006C5F1B"/>
    <w:rsid w:val="006C5F45"/>
    <w:rsid w:val="006C5F56"/>
    <w:rsid w:val="006C5F77"/>
    <w:rsid w:val="006C5F7A"/>
    <w:rsid w:val="006C5F7E"/>
    <w:rsid w:val="006C5FAC"/>
    <w:rsid w:val="006C5FD6"/>
    <w:rsid w:val="006C5FEA"/>
    <w:rsid w:val="006C601A"/>
    <w:rsid w:val="006C609D"/>
    <w:rsid w:val="006C6130"/>
    <w:rsid w:val="006C613D"/>
    <w:rsid w:val="006C614A"/>
    <w:rsid w:val="006C6176"/>
    <w:rsid w:val="006C618E"/>
    <w:rsid w:val="006C621A"/>
    <w:rsid w:val="006C6261"/>
    <w:rsid w:val="006C62BA"/>
    <w:rsid w:val="006C632D"/>
    <w:rsid w:val="006C635A"/>
    <w:rsid w:val="006C63F7"/>
    <w:rsid w:val="006C6437"/>
    <w:rsid w:val="006C6485"/>
    <w:rsid w:val="006C648D"/>
    <w:rsid w:val="006C64B8"/>
    <w:rsid w:val="006C64DF"/>
    <w:rsid w:val="006C64E3"/>
    <w:rsid w:val="006C6549"/>
    <w:rsid w:val="006C6573"/>
    <w:rsid w:val="006C65DD"/>
    <w:rsid w:val="006C65E1"/>
    <w:rsid w:val="006C65FD"/>
    <w:rsid w:val="006C661A"/>
    <w:rsid w:val="006C6667"/>
    <w:rsid w:val="006C6692"/>
    <w:rsid w:val="006C66B0"/>
    <w:rsid w:val="006C671D"/>
    <w:rsid w:val="006C6730"/>
    <w:rsid w:val="006C6768"/>
    <w:rsid w:val="006C679D"/>
    <w:rsid w:val="006C67D6"/>
    <w:rsid w:val="006C684B"/>
    <w:rsid w:val="006C68C8"/>
    <w:rsid w:val="006C692B"/>
    <w:rsid w:val="006C6A00"/>
    <w:rsid w:val="006C6A01"/>
    <w:rsid w:val="006C6A04"/>
    <w:rsid w:val="006C6A29"/>
    <w:rsid w:val="006C6A2A"/>
    <w:rsid w:val="006C6A8C"/>
    <w:rsid w:val="006C6AB8"/>
    <w:rsid w:val="006C6ACA"/>
    <w:rsid w:val="006C6ADD"/>
    <w:rsid w:val="006C6B3B"/>
    <w:rsid w:val="006C6B7B"/>
    <w:rsid w:val="006C6BEE"/>
    <w:rsid w:val="006C6C34"/>
    <w:rsid w:val="006C6C36"/>
    <w:rsid w:val="006C6C5C"/>
    <w:rsid w:val="006C6C97"/>
    <w:rsid w:val="006C6CA9"/>
    <w:rsid w:val="006C6D21"/>
    <w:rsid w:val="006C6D47"/>
    <w:rsid w:val="006C6D70"/>
    <w:rsid w:val="006C6D82"/>
    <w:rsid w:val="006C6DF6"/>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1C2"/>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6EE"/>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B7"/>
    <w:rsid w:val="006D00CE"/>
    <w:rsid w:val="006D0113"/>
    <w:rsid w:val="006D0133"/>
    <w:rsid w:val="006D0139"/>
    <w:rsid w:val="006D014B"/>
    <w:rsid w:val="006D01AD"/>
    <w:rsid w:val="006D01B3"/>
    <w:rsid w:val="006D01CC"/>
    <w:rsid w:val="006D01E0"/>
    <w:rsid w:val="006D0236"/>
    <w:rsid w:val="006D0257"/>
    <w:rsid w:val="006D028E"/>
    <w:rsid w:val="006D0305"/>
    <w:rsid w:val="006D0372"/>
    <w:rsid w:val="006D038D"/>
    <w:rsid w:val="006D03A3"/>
    <w:rsid w:val="006D03D0"/>
    <w:rsid w:val="006D03D2"/>
    <w:rsid w:val="006D03DE"/>
    <w:rsid w:val="006D041E"/>
    <w:rsid w:val="006D0425"/>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EB"/>
    <w:rsid w:val="006D07FA"/>
    <w:rsid w:val="006D0814"/>
    <w:rsid w:val="006D0848"/>
    <w:rsid w:val="006D089D"/>
    <w:rsid w:val="006D0959"/>
    <w:rsid w:val="006D0963"/>
    <w:rsid w:val="006D09E8"/>
    <w:rsid w:val="006D0A0C"/>
    <w:rsid w:val="006D0A1D"/>
    <w:rsid w:val="006D0AF4"/>
    <w:rsid w:val="006D0B11"/>
    <w:rsid w:val="006D0B8D"/>
    <w:rsid w:val="006D0C2D"/>
    <w:rsid w:val="006D0C38"/>
    <w:rsid w:val="006D0C42"/>
    <w:rsid w:val="006D0C60"/>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0E"/>
    <w:rsid w:val="006D1C6E"/>
    <w:rsid w:val="006D1C7D"/>
    <w:rsid w:val="006D1C7F"/>
    <w:rsid w:val="006D1CB0"/>
    <w:rsid w:val="006D1CEB"/>
    <w:rsid w:val="006D1D42"/>
    <w:rsid w:val="006D1D44"/>
    <w:rsid w:val="006D1D45"/>
    <w:rsid w:val="006D1D64"/>
    <w:rsid w:val="006D1DA6"/>
    <w:rsid w:val="006D1DFE"/>
    <w:rsid w:val="006D1E0C"/>
    <w:rsid w:val="006D1EBC"/>
    <w:rsid w:val="006D1ECC"/>
    <w:rsid w:val="006D1EE0"/>
    <w:rsid w:val="006D1EFC"/>
    <w:rsid w:val="006D1F3B"/>
    <w:rsid w:val="006D1F59"/>
    <w:rsid w:val="006D1FAF"/>
    <w:rsid w:val="006D1FDF"/>
    <w:rsid w:val="006D1FE3"/>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B37"/>
    <w:rsid w:val="006D2B45"/>
    <w:rsid w:val="006D2B5F"/>
    <w:rsid w:val="006D2C3B"/>
    <w:rsid w:val="006D2C7A"/>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D1"/>
    <w:rsid w:val="006D32D8"/>
    <w:rsid w:val="006D3314"/>
    <w:rsid w:val="006D3350"/>
    <w:rsid w:val="006D3352"/>
    <w:rsid w:val="006D33E4"/>
    <w:rsid w:val="006D33E9"/>
    <w:rsid w:val="006D3425"/>
    <w:rsid w:val="006D3433"/>
    <w:rsid w:val="006D345A"/>
    <w:rsid w:val="006D346C"/>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263"/>
    <w:rsid w:val="006D4284"/>
    <w:rsid w:val="006D4287"/>
    <w:rsid w:val="006D42AF"/>
    <w:rsid w:val="006D42B8"/>
    <w:rsid w:val="006D4328"/>
    <w:rsid w:val="006D4368"/>
    <w:rsid w:val="006D436A"/>
    <w:rsid w:val="006D44DC"/>
    <w:rsid w:val="006D4503"/>
    <w:rsid w:val="006D4522"/>
    <w:rsid w:val="006D4540"/>
    <w:rsid w:val="006D4546"/>
    <w:rsid w:val="006D4595"/>
    <w:rsid w:val="006D4615"/>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AF8"/>
    <w:rsid w:val="006D4B23"/>
    <w:rsid w:val="006D4B37"/>
    <w:rsid w:val="006D4B4D"/>
    <w:rsid w:val="006D4B73"/>
    <w:rsid w:val="006D4B9A"/>
    <w:rsid w:val="006D4BD3"/>
    <w:rsid w:val="006D4C06"/>
    <w:rsid w:val="006D4C12"/>
    <w:rsid w:val="006D4C89"/>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86"/>
    <w:rsid w:val="006D50A6"/>
    <w:rsid w:val="006D5145"/>
    <w:rsid w:val="006D5148"/>
    <w:rsid w:val="006D517B"/>
    <w:rsid w:val="006D5199"/>
    <w:rsid w:val="006D51CE"/>
    <w:rsid w:val="006D51D9"/>
    <w:rsid w:val="006D5264"/>
    <w:rsid w:val="006D5284"/>
    <w:rsid w:val="006D532D"/>
    <w:rsid w:val="006D5345"/>
    <w:rsid w:val="006D5384"/>
    <w:rsid w:val="006D538A"/>
    <w:rsid w:val="006D539E"/>
    <w:rsid w:val="006D53BC"/>
    <w:rsid w:val="006D53F6"/>
    <w:rsid w:val="006D541B"/>
    <w:rsid w:val="006D546B"/>
    <w:rsid w:val="006D548A"/>
    <w:rsid w:val="006D548D"/>
    <w:rsid w:val="006D54AC"/>
    <w:rsid w:val="006D54CC"/>
    <w:rsid w:val="006D553E"/>
    <w:rsid w:val="006D5581"/>
    <w:rsid w:val="006D55A6"/>
    <w:rsid w:val="006D55AA"/>
    <w:rsid w:val="006D55D5"/>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CD"/>
    <w:rsid w:val="006D5917"/>
    <w:rsid w:val="006D598C"/>
    <w:rsid w:val="006D5993"/>
    <w:rsid w:val="006D5995"/>
    <w:rsid w:val="006D5997"/>
    <w:rsid w:val="006D59C3"/>
    <w:rsid w:val="006D5A1E"/>
    <w:rsid w:val="006D5A96"/>
    <w:rsid w:val="006D5AFA"/>
    <w:rsid w:val="006D5B10"/>
    <w:rsid w:val="006D5B85"/>
    <w:rsid w:val="006D5BD2"/>
    <w:rsid w:val="006D5C05"/>
    <w:rsid w:val="006D5C1C"/>
    <w:rsid w:val="006D5C32"/>
    <w:rsid w:val="006D5CB4"/>
    <w:rsid w:val="006D5D16"/>
    <w:rsid w:val="006D5D5E"/>
    <w:rsid w:val="006D5E15"/>
    <w:rsid w:val="006D5E17"/>
    <w:rsid w:val="006D5E28"/>
    <w:rsid w:val="006D5E35"/>
    <w:rsid w:val="006D5E50"/>
    <w:rsid w:val="006D5E6B"/>
    <w:rsid w:val="006D5E6E"/>
    <w:rsid w:val="006D5E7B"/>
    <w:rsid w:val="006D5EA5"/>
    <w:rsid w:val="006D5EC4"/>
    <w:rsid w:val="006D5EDB"/>
    <w:rsid w:val="006D5F07"/>
    <w:rsid w:val="006D5F0E"/>
    <w:rsid w:val="006D5F1B"/>
    <w:rsid w:val="006D5FA1"/>
    <w:rsid w:val="006D5FAC"/>
    <w:rsid w:val="006D5FE1"/>
    <w:rsid w:val="006D5FF5"/>
    <w:rsid w:val="006D600B"/>
    <w:rsid w:val="006D6033"/>
    <w:rsid w:val="006D6072"/>
    <w:rsid w:val="006D60B9"/>
    <w:rsid w:val="006D6147"/>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C"/>
    <w:rsid w:val="006D6383"/>
    <w:rsid w:val="006D6399"/>
    <w:rsid w:val="006D6427"/>
    <w:rsid w:val="006D6468"/>
    <w:rsid w:val="006D646D"/>
    <w:rsid w:val="006D6490"/>
    <w:rsid w:val="006D653A"/>
    <w:rsid w:val="006D653C"/>
    <w:rsid w:val="006D655D"/>
    <w:rsid w:val="006D6590"/>
    <w:rsid w:val="006D6614"/>
    <w:rsid w:val="006D6649"/>
    <w:rsid w:val="006D669A"/>
    <w:rsid w:val="006D66C8"/>
    <w:rsid w:val="006D66E5"/>
    <w:rsid w:val="006D672B"/>
    <w:rsid w:val="006D673B"/>
    <w:rsid w:val="006D67B0"/>
    <w:rsid w:val="006D67EF"/>
    <w:rsid w:val="006D6808"/>
    <w:rsid w:val="006D686A"/>
    <w:rsid w:val="006D687C"/>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3FA"/>
    <w:rsid w:val="006D7424"/>
    <w:rsid w:val="006D74AF"/>
    <w:rsid w:val="006D74BA"/>
    <w:rsid w:val="006D7536"/>
    <w:rsid w:val="006D753E"/>
    <w:rsid w:val="006D75DE"/>
    <w:rsid w:val="006D7654"/>
    <w:rsid w:val="006D767D"/>
    <w:rsid w:val="006D76A1"/>
    <w:rsid w:val="006D7717"/>
    <w:rsid w:val="006D77B2"/>
    <w:rsid w:val="006D77BB"/>
    <w:rsid w:val="006D77E8"/>
    <w:rsid w:val="006D77FC"/>
    <w:rsid w:val="006D785A"/>
    <w:rsid w:val="006D787D"/>
    <w:rsid w:val="006D78D2"/>
    <w:rsid w:val="006D78ED"/>
    <w:rsid w:val="006D7911"/>
    <w:rsid w:val="006D7952"/>
    <w:rsid w:val="006D79E6"/>
    <w:rsid w:val="006D79F5"/>
    <w:rsid w:val="006D7A7C"/>
    <w:rsid w:val="006D7B20"/>
    <w:rsid w:val="006D7B6E"/>
    <w:rsid w:val="006D7BC3"/>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EE"/>
    <w:rsid w:val="006D7EF6"/>
    <w:rsid w:val="006D7F10"/>
    <w:rsid w:val="006D7F16"/>
    <w:rsid w:val="006D7F32"/>
    <w:rsid w:val="006D7F46"/>
    <w:rsid w:val="006D7FB6"/>
    <w:rsid w:val="006D7FDC"/>
    <w:rsid w:val="006E002D"/>
    <w:rsid w:val="006E0031"/>
    <w:rsid w:val="006E0038"/>
    <w:rsid w:val="006E0090"/>
    <w:rsid w:val="006E00B3"/>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2"/>
    <w:rsid w:val="006E0475"/>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126"/>
    <w:rsid w:val="006E1175"/>
    <w:rsid w:val="006E117C"/>
    <w:rsid w:val="006E11A9"/>
    <w:rsid w:val="006E11B8"/>
    <w:rsid w:val="006E11EF"/>
    <w:rsid w:val="006E11FD"/>
    <w:rsid w:val="006E11FF"/>
    <w:rsid w:val="006E123E"/>
    <w:rsid w:val="006E12B0"/>
    <w:rsid w:val="006E12FD"/>
    <w:rsid w:val="006E130C"/>
    <w:rsid w:val="006E130F"/>
    <w:rsid w:val="006E138E"/>
    <w:rsid w:val="006E1395"/>
    <w:rsid w:val="006E139E"/>
    <w:rsid w:val="006E13B2"/>
    <w:rsid w:val="006E1403"/>
    <w:rsid w:val="006E1451"/>
    <w:rsid w:val="006E147C"/>
    <w:rsid w:val="006E148A"/>
    <w:rsid w:val="006E158E"/>
    <w:rsid w:val="006E15A0"/>
    <w:rsid w:val="006E1667"/>
    <w:rsid w:val="006E1678"/>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B5"/>
    <w:rsid w:val="006E1AC7"/>
    <w:rsid w:val="006E1AF9"/>
    <w:rsid w:val="006E1B09"/>
    <w:rsid w:val="006E1BC4"/>
    <w:rsid w:val="006E1BF3"/>
    <w:rsid w:val="006E1C05"/>
    <w:rsid w:val="006E1C1F"/>
    <w:rsid w:val="006E1C38"/>
    <w:rsid w:val="006E1C3E"/>
    <w:rsid w:val="006E1C9B"/>
    <w:rsid w:val="006E1CF4"/>
    <w:rsid w:val="006E1D00"/>
    <w:rsid w:val="006E1D4D"/>
    <w:rsid w:val="006E1DC7"/>
    <w:rsid w:val="006E1DCE"/>
    <w:rsid w:val="006E1DF3"/>
    <w:rsid w:val="006E1DFC"/>
    <w:rsid w:val="006E1E06"/>
    <w:rsid w:val="006E1E1C"/>
    <w:rsid w:val="006E1E22"/>
    <w:rsid w:val="006E1E25"/>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141"/>
    <w:rsid w:val="006E2145"/>
    <w:rsid w:val="006E21A9"/>
    <w:rsid w:val="006E21DC"/>
    <w:rsid w:val="006E220E"/>
    <w:rsid w:val="006E222E"/>
    <w:rsid w:val="006E2256"/>
    <w:rsid w:val="006E2265"/>
    <w:rsid w:val="006E2286"/>
    <w:rsid w:val="006E22C9"/>
    <w:rsid w:val="006E2372"/>
    <w:rsid w:val="006E23AB"/>
    <w:rsid w:val="006E23D7"/>
    <w:rsid w:val="006E2421"/>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8E5"/>
    <w:rsid w:val="006E28E8"/>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FB"/>
    <w:rsid w:val="006E2F09"/>
    <w:rsid w:val="006E2F1D"/>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9C8"/>
    <w:rsid w:val="006E3A11"/>
    <w:rsid w:val="006E3A57"/>
    <w:rsid w:val="006E3A9C"/>
    <w:rsid w:val="006E3AFB"/>
    <w:rsid w:val="006E3B34"/>
    <w:rsid w:val="006E3B4D"/>
    <w:rsid w:val="006E3B69"/>
    <w:rsid w:val="006E3BC8"/>
    <w:rsid w:val="006E3BD3"/>
    <w:rsid w:val="006E3CA0"/>
    <w:rsid w:val="006E3CE2"/>
    <w:rsid w:val="006E3D18"/>
    <w:rsid w:val="006E3D31"/>
    <w:rsid w:val="006E3D35"/>
    <w:rsid w:val="006E3D3C"/>
    <w:rsid w:val="006E3D54"/>
    <w:rsid w:val="006E3D94"/>
    <w:rsid w:val="006E3DBA"/>
    <w:rsid w:val="006E3DFD"/>
    <w:rsid w:val="006E3E55"/>
    <w:rsid w:val="006E3E59"/>
    <w:rsid w:val="006E3E86"/>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A"/>
    <w:rsid w:val="006E41AB"/>
    <w:rsid w:val="006E4214"/>
    <w:rsid w:val="006E4250"/>
    <w:rsid w:val="006E428C"/>
    <w:rsid w:val="006E429D"/>
    <w:rsid w:val="006E4348"/>
    <w:rsid w:val="006E4363"/>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877"/>
    <w:rsid w:val="006E48F5"/>
    <w:rsid w:val="006E4904"/>
    <w:rsid w:val="006E494F"/>
    <w:rsid w:val="006E4956"/>
    <w:rsid w:val="006E4968"/>
    <w:rsid w:val="006E4979"/>
    <w:rsid w:val="006E4991"/>
    <w:rsid w:val="006E49BA"/>
    <w:rsid w:val="006E49C6"/>
    <w:rsid w:val="006E4A11"/>
    <w:rsid w:val="006E4A18"/>
    <w:rsid w:val="006E4A57"/>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C3"/>
    <w:rsid w:val="006E5101"/>
    <w:rsid w:val="006E5172"/>
    <w:rsid w:val="006E5194"/>
    <w:rsid w:val="006E51BC"/>
    <w:rsid w:val="006E51D8"/>
    <w:rsid w:val="006E5277"/>
    <w:rsid w:val="006E52A6"/>
    <w:rsid w:val="006E52F7"/>
    <w:rsid w:val="006E535D"/>
    <w:rsid w:val="006E5380"/>
    <w:rsid w:val="006E538F"/>
    <w:rsid w:val="006E53A5"/>
    <w:rsid w:val="006E53B1"/>
    <w:rsid w:val="006E53C4"/>
    <w:rsid w:val="006E53F7"/>
    <w:rsid w:val="006E5412"/>
    <w:rsid w:val="006E5499"/>
    <w:rsid w:val="006E54DB"/>
    <w:rsid w:val="006E5510"/>
    <w:rsid w:val="006E553C"/>
    <w:rsid w:val="006E5561"/>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0B"/>
    <w:rsid w:val="006E5B19"/>
    <w:rsid w:val="006E5B72"/>
    <w:rsid w:val="006E5B7B"/>
    <w:rsid w:val="006E5C09"/>
    <w:rsid w:val="006E5C1E"/>
    <w:rsid w:val="006E5C36"/>
    <w:rsid w:val="006E5C38"/>
    <w:rsid w:val="006E5C48"/>
    <w:rsid w:val="006E5C5D"/>
    <w:rsid w:val="006E5CB8"/>
    <w:rsid w:val="006E5CDA"/>
    <w:rsid w:val="006E5CF3"/>
    <w:rsid w:val="006E5D54"/>
    <w:rsid w:val="006E5D5A"/>
    <w:rsid w:val="006E5DA5"/>
    <w:rsid w:val="006E5DB0"/>
    <w:rsid w:val="006E5DED"/>
    <w:rsid w:val="006E5E3B"/>
    <w:rsid w:val="006E5E50"/>
    <w:rsid w:val="006E5E52"/>
    <w:rsid w:val="006E5E57"/>
    <w:rsid w:val="006E5E5A"/>
    <w:rsid w:val="006E5ECE"/>
    <w:rsid w:val="006E5F02"/>
    <w:rsid w:val="006E5F49"/>
    <w:rsid w:val="006E5F78"/>
    <w:rsid w:val="006E5F84"/>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55"/>
    <w:rsid w:val="006E6177"/>
    <w:rsid w:val="006E61BE"/>
    <w:rsid w:val="006E61F0"/>
    <w:rsid w:val="006E6202"/>
    <w:rsid w:val="006E6206"/>
    <w:rsid w:val="006E6236"/>
    <w:rsid w:val="006E6249"/>
    <w:rsid w:val="006E625A"/>
    <w:rsid w:val="006E6268"/>
    <w:rsid w:val="006E62BE"/>
    <w:rsid w:val="006E62DE"/>
    <w:rsid w:val="006E62F7"/>
    <w:rsid w:val="006E6377"/>
    <w:rsid w:val="006E63FC"/>
    <w:rsid w:val="006E644A"/>
    <w:rsid w:val="006E6459"/>
    <w:rsid w:val="006E645F"/>
    <w:rsid w:val="006E646F"/>
    <w:rsid w:val="006E6489"/>
    <w:rsid w:val="006E64DC"/>
    <w:rsid w:val="006E651A"/>
    <w:rsid w:val="006E655A"/>
    <w:rsid w:val="006E655B"/>
    <w:rsid w:val="006E6627"/>
    <w:rsid w:val="006E6642"/>
    <w:rsid w:val="006E664B"/>
    <w:rsid w:val="006E6664"/>
    <w:rsid w:val="006E6683"/>
    <w:rsid w:val="006E66A2"/>
    <w:rsid w:val="006E66A6"/>
    <w:rsid w:val="006E66B3"/>
    <w:rsid w:val="006E66C2"/>
    <w:rsid w:val="006E66C4"/>
    <w:rsid w:val="006E6755"/>
    <w:rsid w:val="006E6767"/>
    <w:rsid w:val="006E6775"/>
    <w:rsid w:val="006E6780"/>
    <w:rsid w:val="006E67AD"/>
    <w:rsid w:val="006E6831"/>
    <w:rsid w:val="006E6873"/>
    <w:rsid w:val="006E689F"/>
    <w:rsid w:val="006E68E0"/>
    <w:rsid w:val="006E692D"/>
    <w:rsid w:val="006E69A8"/>
    <w:rsid w:val="006E69DE"/>
    <w:rsid w:val="006E6A2B"/>
    <w:rsid w:val="006E6ADE"/>
    <w:rsid w:val="006E6AE6"/>
    <w:rsid w:val="006E6AFB"/>
    <w:rsid w:val="006E6B0C"/>
    <w:rsid w:val="006E6B1D"/>
    <w:rsid w:val="006E6B1E"/>
    <w:rsid w:val="006E6B92"/>
    <w:rsid w:val="006E6BA0"/>
    <w:rsid w:val="006E6BB5"/>
    <w:rsid w:val="006E6BD1"/>
    <w:rsid w:val="006E6BFB"/>
    <w:rsid w:val="006E6CC5"/>
    <w:rsid w:val="006E6D48"/>
    <w:rsid w:val="006E6D49"/>
    <w:rsid w:val="006E6D8E"/>
    <w:rsid w:val="006E6DA3"/>
    <w:rsid w:val="006E6DF9"/>
    <w:rsid w:val="006E6E53"/>
    <w:rsid w:val="006E6EB7"/>
    <w:rsid w:val="006E6EF4"/>
    <w:rsid w:val="006E7032"/>
    <w:rsid w:val="006E70AD"/>
    <w:rsid w:val="006E70AF"/>
    <w:rsid w:val="006E7139"/>
    <w:rsid w:val="006E717F"/>
    <w:rsid w:val="006E7192"/>
    <w:rsid w:val="006E71AF"/>
    <w:rsid w:val="006E71B3"/>
    <w:rsid w:val="006E71DE"/>
    <w:rsid w:val="006E722C"/>
    <w:rsid w:val="006E7289"/>
    <w:rsid w:val="006E72A2"/>
    <w:rsid w:val="006E72CC"/>
    <w:rsid w:val="006E730A"/>
    <w:rsid w:val="006E733F"/>
    <w:rsid w:val="006E734C"/>
    <w:rsid w:val="006E7387"/>
    <w:rsid w:val="006E73A3"/>
    <w:rsid w:val="006E73E3"/>
    <w:rsid w:val="006E73EE"/>
    <w:rsid w:val="006E7400"/>
    <w:rsid w:val="006E7437"/>
    <w:rsid w:val="006E7446"/>
    <w:rsid w:val="006E74A4"/>
    <w:rsid w:val="006E74AF"/>
    <w:rsid w:val="006E74BE"/>
    <w:rsid w:val="006E74D9"/>
    <w:rsid w:val="006E750A"/>
    <w:rsid w:val="006E7554"/>
    <w:rsid w:val="006E7591"/>
    <w:rsid w:val="006E75BE"/>
    <w:rsid w:val="006E7661"/>
    <w:rsid w:val="006E766B"/>
    <w:rsid w:val="006E7683"/>
    <w:rsid w:val="006E76E7"/>
    <w:rsid w:val="006E776B"/>
    <w:rsid w:val="006E77CC"/>
    <w:rsid w:val="006E782A"/>
    <w:rsid w:val="006E7838"/>
    <w:rsid w:val="006E785E"/>
    <w:rsid w:val="006E7860"/>
    <w:rsid w:val="006E787F"/>
    <w:rsid w:val="006E78A9"/>
    <w:rsid w:val="006E78E2"/>
    <w:rsid w:val="006E7900"/>
    <w:rsid w:val="006E7969"/>
    <w:rsid w:val="006E798E"/>
    <w:rsid w:val="006E79B6"/>
    <w:rsid w:val="006E79FF"/>
    <w:rsid w:val="006E7A0B"/>
    <w:rsid w:val="006E7A3F"/>
    <w:rsid w:val="006E7A56"/>
    <w:rsid w:val="006E7AA0"/>
    <w:rsid w:val="006E7AC3"/>
    <w:rsid w:val="006E7AC8"/>
    <w:rsid w:val="006E7B29"/>
    <w:rsid w:val="006E7BAD"/>
    <w:rsid w:val="006E7BD1"/>
    <w:rsid w:val="006E7BD7"/>
    <w:rsid w:val="006E7C0E"/>
    <w:rsid w:val="006E7C63"/>
    <w:rsid w:val="006E7C7C"/>
    <w:rsid w:val="006E7C93"/>
    <w:rsid w:val="006E7CAB"/>
    <w:rsid w:val="006E7CCF"/>
    <w:rsid w:val="006E7CDC"/>
    <w:rsid w:val="006E7CE2"/>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87"/>
    <w:rsid w:val="006F0088"/>
    <w:rsid w:val="006F00B2"/>
    <w:rsid w:val="006F00B3"/>
    <w:rsid w:val="006F00F1"/>
    <w:rsid w:val="006F0108"/>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70F"/>
    <w:rsid w:val="006F0740"/>
    <w:rsid w:val="006F077A"/>
    <w:rsid w:val="006F07DC"/>
    <w:rsid w:val="006F082E"/>
    <w:rsid w:val="006F0848"/>
    <w:rsid w:val="006F0854"/>
    <w:rsid w:val="006F08B3"/>
    <w:rsid w:val="006F095A"/>
    <w:rsid w:val="006F0983"/>
    <w:rsid w:val="006F098E"/>
    <w:rsid w:val="006F09C8"/>
    <w:rsid w:val="006F09E8"/>
    <w:rsid w:val="006F0A17"/>
    <w:rsid w:val="006F0A93"/>
    <w:rsid w:val="006F0A97"/>
    <w:rsid w:val="006F0AC0"/>
    <w:rsid w:val="006F0AED"/>
    <w:rsid w:val="006F0AFE"/>
    <w:rsid w:val="006F0B29"/>
    <w:rsid w:val="006F0B97"/>
    <w:rsid w:val="006F0BC1"/>
    <w:rsid w:val="006F0C4E"/>
    <w:rsid w:val="006F0CF1"/>
    <w:rsid w:val="006F0D17"/>
    <w:rsid w:val="006F0D81"/>
    <w:rsid w:val="006F0DCE"/>
    <w:rsid w:val="006F0E7A"/>
    <w:rsid w:val="006F0E80"/>
    <w:rsid w:val="006F0EA7"/>
    <w:rsid w:val="006F0EEA"/>
    <w:rsid w:val="006F0F34"/>
    <w:rsid w:val="006F0F61"/>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5FA"/>
    <w:rsid w:val="006F1609"/>
    <w:rsid w:val="006F1698"/>
    <w:rsid w:val="006F16B8"/>
    <w:rsid w:val="006F172F"/>
    <w:rsid w:val="006F174D"/>
    <w:rsid w:val="006F17A7"/>
    <w:rsid w:val="006F17CB"/>
    <w:rsid w:val="006F17E7"/>
    <w:rsid w:val="006F1875"/>
    <w:rsid w:val="006F18FC"/>
    <w:rsid w:val="006F199C"/>
    <w:rsid w:val="006F199E"/>
    <w:rsid w:val="006F19E1"/>
    <w:rsid w:val="006F1A57"/>
    <w:rsid w:val="006F1A69"/>
    <w:rsid w:val="006F1A96"/>
    <w:rsid w:val="006F1B19"/>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1F"/>
    <w:rsid w:val="006F1FD9"/>
    <w:rsid w:val="006F1FFD"/>
    <w:rsid w:val="006F201C"/>
    <w:rsid w:val="006F2056"/>
    <w:rsid w:val="006F217E"/>
    <w:rsid w:val="006F21BB"/>
    <w:rsid w:val="006F2202"/>
    <w:rsid w:val="006F224B"/>
    <w:rsid w:val="006F225E"/>
    <w:rsid w:val="006F22F2"/>
    <w:rsid w:val="006F2451"/>
    <w:rsid w:val="006F2457"/>
    <w:rsid w:val="006F247F"/>
    <w:rsid w:val="006F24F3"/>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9C"/>
    <w:rsid w:val="006F28E7"/>
    <w:rsid w:val="006F2A2E"/>
    <w:rsid w:val="006F2A34"/>
    <w:rsid w:val="006F2A36"/>
    <w:rsid w:val="006F2A99"/>
    <w:rsid w:val="006F2ACC"/>
    <w:rsid w:val="006F2B5E"/>
    <w:rsid w:val="006F2B8D"/>
    <w:rsid w:val="006F2BD8"/>
    <w:rsid w:val="006F2BDE"/>
    <w:rsid w:val="006F2C2A"/>
    <w:rsid w:val="006F2CA7"/>
    <w:rsid w:val="006F2CC7"/>
    <w:rsid w:val="006F2CD0"/>
    <w:rsid w:val="006F2D04"/>
    <w:rsid w:val="006F2D16"/>
    <w:rsid w:val="006F2D29"/>
    <w:rsid w:val="006F2D5B"/>
    <w:rsid w:val="006F2D69"/>
    <w:rsid w:val="006F2E10"/>
    <w:rsid w:val="006F2E18"/>
    <w:rsid w:val="006F2E3B"/>
    <w:rsid w:val="006F2E58"/>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AD"/>
    <w:rsid w:val="006F31CF"/>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5A"/>
    <w:rsid w:val="006F3967"/>
    <w:rsid w:val="006F39D3"/>
    <w:rsid w:val="006F3A64"/>
    <w:rsid w:val="006F3A66"/>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CC"/>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C9"/>
    <w:rsid w:val="006F4114"/>
    <w:rsid w:val="006F4169"/>
    <w:rsid w:val="006F4220"/>
    <w:rsid w:val="006F4232"/>
    <w:rsid w:val="006F426D"/>
    <w:rsid w:val="006F428B"/>
    <w:rsid w:val="006F42C8"/>
    <w:rsid w:val="006F42F7"/>
    <w:rsid w:val="006F4304"/>
    <w:rsid w:val="006F435B"/>
    <w:rsid w:val="006F4378"/>
    <w:rsid w:val="006F4421"/>
    <w:rsid w:val="006F449F"/>
    <w:rsid w:val="006F44D7"/>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5A"/>
    <w:rsid w:val="006F4C7D"/>
    <w:rsid w:val="006F4C8C"/>
    <w:rsid w:val="006F4CB6"/>
    <w:rsid w:val="006F4D0E"/>
    <w:rsid w:val="006F4D1F"/>
    <w:rsid w:val="006F4D86"/>
    <w:rsid w:val="006F4DDD"/>
    <w:rsid w:val="006F4E01"/>
    <w:rsid w:val="006F4EE8"/>
    <w:rsid w:val="006F4F3E"/>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491"/>
    <w:rsid w:val="006F54AD"/>
    <w:rsid w:val="006F54BF"/>
    <w:rsid w:val="006F55B0"/>
    <w:rsid w:val="006F55D4"/>
    <w:rsid w:val="006F5607"/>
    <w:rsid w:val="006F5615"/>
    <w:rsid w:val="006F5632"/>
    <w:rsid w:val="006F5635"/>
    <w:rsid w:val="006F5636"/>
    <w:rsid w:val="006F568B"/>
    <w:rsid w:val="006F56F3"/>
    <w:rsid w:val="006F5756"/>
    <w:rsid w:val="006F5778"/>
    <w:rsid w:val="006F57C0"/>
    <w:rsid w:val="006F57D2"/>
    <w:rsid w:val="006F57E3"/>
    <w:rsid w:val="006F57FA"/>
    <w:rsid w:val="006F5820"/>
    <w:rsid w:val="006F5863"/>
    <w:rsid w:val="006F5898"/>
    <w:rsid w:val="006F589D"/>
    <w:rsid w:val="006F5938"/>
    <w:rsid w:val="006F5970"/>
    <w:rsid w:val="006F599E"/>
    <w:rsid w:val="006F59A1"/>
    <w:rsid w:val="006F59BF"/>
    <w:rsid w:val="006F5A41"/>
    <w:rsid w:val="006F5ADC"/>
    <w:rsid w:val="006F5B1B"/>
    <w:rsid w:val="006F5B3F"/>
    <w:rsid w:val="006F5BBB"/>
    <w:rsid w:val="006F5C32"/>
    <w:rsid w:val="006F5C35"/>
    <w:rsid w:val="006F5C74"/>
    <w:rsid w:val="006F5C7C"/>
    <w:rsid w:val="006F5DBE"/>
    <w:rsid w:val="006F5E5A"/>
    <w:rsid w:val="006F5E9E"/>
    <w:rsid w:val="006F5EA7"/>
    <w:rsid w:val="006F5EBD"/>
    <w:rsid w:val="006F5F5A"/>
    <w:rsid w:val="006F5F66"/>
    <w:rsid w:val="006F5FA1"/>
    <w:rsid w:val="006F6013"/>
    <w:rsid w:val="006F602A"/>
    <w:rsid w:val="006F60BB"/>
    <w:rsid w:val="006F618C"/>
    <w:rsid w:val="006F61A2"/>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94"/>
    <w:rsid w:val="006F67A6"/>
    <w:rsid w:val="006F6810"/>
    <w:rsid w:val="006F6813"/>
    <w:rsid w:val="006F6887"/>
    <w:rsid w:val="006F68C1"/>
    <w:rsid w:val="006F68F3"/>
    <w:rsid w:val="006F695A"/>
    <w:rsid w:val="006F69E2"/>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F5D"/>
    <w:rsid w:val="006F6FE6"/>
    <w:rsid w:val="006F704A"/>
    <w:rsid w:val="006F707F"/>
    <w:rsid w:val="006F70A8"/>
    <w:rsid w:val="006F7103"/>
    <w:rsid w:val="006F710A"/>
    <w:rsid w:val="006F7180"/>
    <w:rsid w:val="006F71D8"/>
    <w:rsid w:val="006F71E4"/>
    <w:rsid w:val="006F720A"/>
    <w:rsid w:val="006F7212"/>
    <w:rsid w:val="006F7248"/>
    <w:rsid w:val="006F7292"/>
    <w:rsid w:val="006F72F6"/>
    <w:rsid w:val="006F7324"/>
    <w:rsid w:val="006F73BA"/>
    <w:rsid w:val="006F73EE"/>
    <w:rsid w:val="006F7410"/>
    <w:rsid w:val="006F744B"/>
    <w:rsid w:val="006F74CC"/>
    <w:rsid w:val="006F74D1"/>
    <w:rsid w:val="006F74D9"/>
    <w:rsid w:val="006F7530"/>
    <w:rsid w:val="006F7554"/>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58"/>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3D"/>
    <w:rsid w:val="00700475"/>
    <w:rsid w:val="007004BE"/>
    <w:rsid w:val="007004CB"/>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505"/>
    <w:rsid w:val="00701535"/>
    <w:rsid w:val="0070154C"/>
    <w:rsid w:val="00701577"/>
    <w:rsid w:val="00701582"/>
    <w:rsid w:val="007015EB"/>
    <w:rsid w:val="007016BD"/>
    <w:rsid w:val="007016EB"/>
    <w:rsid w:val="007016F9"/>
    <w:rsid w:val="0070172C"/>
    <w:rsid w:val="00701738"/>
    <w:rsid w:val="00701758"/>
    <w:rsid w:val="007017AB"/>
    <w:rsid w:val="007017E1"/>
    <w:rsid w:val="00701922"/>
    <w:rsid w:val="00701A06"/>
    <w:rsid w:val="00701A37"/>
    <w:rsid w:val="00701AB0"/>
    <w:rsid w:val="00701AD3"/>
    <w:rsid w:val="00701B07"/>
    <w:rsid w:val="00701B2C"/>
    <w:rsid w:val="00701B3E"/>
    <w:rsid w:val="00701B54"/>
    <w:rsid w:val="00701BAE"/>
    <w:rsid w:val="00701BB2"/>
    <w:rsid w:val="00701BD7"/>
    <w:rsid w:val="00701C01"/>
    <w:rsid w:val="00701C5A"/>
    <w:rsid w:val="00701C82"/>
    <w:rsid w:val="00701CC2"/>
    <w:rsid w:val="00701D4D"/>
    <w:rsid w:val="00701D69"/>
    <w:rsid w:val="00701D9A"/>
    <w:rsid w:val="00701DD2"/>
    <w:rsid w:val="00701E14"/>
    <w:rsid w:val="00701E84"/>
    <w:rsid w:val="00701F29"/>
    <w:rsid w:val="00701F6E"/>
    <w:rsid w:val="00701F7A"/>
    <w:rsid w:val="00701FF1"/>
    <w:rsid w:val="00702040"/>
    <w:rsid w:val="0070208B"/>
    <w:rsid w:val="007020A6"/>
    <w:rsid w:val="007020DE"/>
    <w:rsid w:val="007020E7"/>
    <w:rsid w:val="007020F3"/>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B7"/>
    <w:rsid w:val="00702636"/>
    <w:rsid w:val="00702645"/>
    <w:rsid w:val="00702670"/>
    <w:rsid w:val="007026D1"/>
    <w:rsid w:val="007026DD"/>
    <w:rsid w:val="0070277D"/>
    <w:rsid w:val="007027BC"/>
    <w:rsid w:val="0070283C"/>
    <w:rsid w:val="00702853"/>
    <w:rsid w:val="007028C5"/>
    <w:rsid w:val="00702908"/>
    <w:rsid w:val="00702962"/>
    <w:rsid w:val="00702964"/>
    <w:rsid w:val="007029CB"/>
    <w:rsid w:val="00702A06"/>
    <w:rsid w:val="00702A1E"/>
    <w:rsid w:val="00702A1F"/>
    <w:rsid w:val="00702A63"/>
    <w:rsid w:val="00702A6C"/>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32"/>
    <w:rsid w:val="00702E64"/>
    <w:rsid w:val="00702EB1"/>
    <w:rsid w:val="007030B8"/>
    <w:rsid w:val="007030F2"/>
    <w:rsid w:val="00703160"/>
    <w:rsid w:val="00703165"/>
    <w:rsid w:val="0070316E"/>
    <w:rsid w:val="0070317A"/>
    <w:rsid w:val="007031AB"/>
    <w:rsid w:val="007031D0"/>
    <w:rsid w:val="00703233"/>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E0"/>
    <w:rsid w:val="007034F3"/>
    <w:rsid w:val="0070351F"/>
    <w:rsid w:val="0070353A"/>
    <w:rsid w:val="00703573"/>
    <w:rsid w:val="007035B9"/>
    <w:rsid w:val="007035C5"/>
    <w:rsid w:val="0070366B"/>
    <w:rsid w:val="007036BB"/>
    <w:rsid w:val="0070375C"/>
    <w:rsid w:val="007037A9"/>
    <w:rsid w:val="007037DA"/>
    <w:rsid w:val="007037E4"/>
    <w:rsid w:val="0070381D"/>
    <w:rsid w:val="0070386A"/>
    <w:rsid w:val="00703879"/>
    <w:rsid w:val="007038E9"/>
    <w:rsid w:val="00703936"/>
    <w:rsid w:val="00703976"/>
    <w:rsid w:val="007039DA"/>
    <w:rsid w:val="00703A08"/>
    <w:rsid w:val="00703A2F"/>
    <w:rsid w:val="00703A3B"/>
    <w:rsid w:val="00703A51"/>
    <w:rsid w:val="00703A61"/>
    <w:rsid w:val="00703A8E"/>
    <w:rsid w:val="00703B4D"/>
    <w:rsid w:val="00703B6D"/>
    <w:rsid w:val="00703BB3"/>
    <w:rsid w:val="00703BDA"/>
    <w:rsid w:val="00703BED"/>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C5"/>
    <w:rsid w:val="007044CE"/>
    <w:rsid w:val="007044DD"/>
    <w:rsid w:val="007044FA"/>
    <w:rsid w:val="007044FC"/>
    <w:rsid w:val="00704501"/>
    <w:rsid w:val="00704517"/>
    <w:rsid w:val="0070453A"/>
    <w:rsid w:val="0070455B"/>
    <w:rsid w:val="0070456C"/>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AC"/>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AE"/>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89"/>
    <w:rsid w:val="007060B6"/>
    <w:rsid w:val="007060C6"/>
    <w:rsid w:val="007060E5"/>
    <w:rsid w:val="00706109"/>
    <w:rsid w:val="00706160"/>
    <w:rsid w:val="00706174"/>
    <w:rsid w:val="00706192"/>
    <w:rsid w:val="007061A6"/>
    <w:rsid w:val="007061BD"/>
    <w:rsid w:val="007061C1"/>
    <w:rsid w:val="0070622C"/>
    <w:rsid w:val="00706242"/>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7F6"/>
    <w:rsid w:val="0070680E"/>
    <w:rsid w:val="007068A6"/>
    <w:rsid w:val="007068A9"/>
    <w:rsid w:val="00706903"/>
    <w:rsid w:val="0070693E"/>
    <w:rsid w:val="00706951"/>
    <w:rsid w:val="0070695C"/>
    <w:rsid w:val="00706A0D"/>
    <w:rsid w:val="00706A7B"/>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62"/>
    <w:rsid w:val="007070F5"/>
    <w:rsid w:val="00707122"/>
    <w:rsid w:val="00707178"/>
    <w:rsid w:val="00707189"/>
    <w:rsid w:val="007071B9"/>
    <w:rsid w:val="0070724C"/>
    <w:rsid w:val="0070725B"/>
    <w:rsid w:val="00707290"/>
    <w:rsid w:val="0070729E"/>
    <w:rsid w:val="007072DD"/>
    <w:rsid w:val="007072E6"/>
    <w:rsid w:val="0070732D"/>
    <w:rsid w:val="00707356"/>
    <w:rsid w:val="007073B2"/>
    <w:rsid w:val="007073BB"/>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C"/>
    <w:rsid w:val="0070787C"/>
    <w:rsid w:val="007078D9"/>
    <w:rsid w:val="00707989"/>
    <w:rsid w:val="00707995"/>
    <w:rsid w:val="007079F8"/>
    <w:rsid w:val="00707A04"/>
    <w:rsid w:val="00707A0A"/>
    <w:rsid w:val="00707A8B"/>
    <w:rsid w:val="00707AB4"/>
    <w:rsid w:val="00707AB7"/>
    <w:rsid w:val="00707AC6"/>
    <w:rsid w:val="00707AFD"/>
    <w:rsid w:val="00707B2B"/>
    <w:rsid w:val="00707B56"/>
    <w:rsid w:val="00707B5B"/>
    <w:rsid w:val="00707BFF"/>
    <w:rsid w:val="00707C80"/>
    <w:rsid w:val="00707D39"/>
    <w:rsid w:val="00707D5E"/>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5"/>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4F"/>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54"/>
    <w:rsid w:val="00710B95"/>
    <w:rsid w:val="00710B9B"/>
    <w:rsid w:val="00710BA2"/>
    <w:rsid w:val="00710BD1"/>
    <w:rsid w:val="00710C9C"/>
    <w:rsid w:val="00710CDE"/>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8C"/>
    <w:rsid w:val="00711102"/>
    <w:rsid w:val="0071111E"/>
    <w:rsid w:val="00711123"/>
    <w:rsid w:val="00711164"/>
    <w:rsid w:val="00711175"/>
    <w:rsid w:val="00711180"/>
    <w:rsid w:val="0071119F"/>
    <w:rsid w:val="007111A3"/>
    <w:rsid w:val="007111C5"/>
    <w:rsid w:val="007111E2"/>
    <w:rsid w:val="00711249"/>
    <w:rsid w:val="007112A2"/>
    <w:rsid w:val="007112A9"/>
    <w:rsid w:val="00711362"/>
    <w:rsid w:val="0071137B"/>
    <w:rsid w:val="00711389"/>
    <w:rsid w:val="0071140B"/>
    <w:rsid w:val="0071142C"/>
    <w:rsid w:val="0071144C"/>
    <w:rsid w:val="007114B9"/>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63"/>
    <w:rsid w:val="0071199D"/>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92"/>
    <w:rsid w:val="00711EC4"/>
    <w:rsid w:val="00711EC9"/>
    <w:rsid w:val="00711F0E"/>
    <w:rsid w:val="00711F70"/>
    <w:rsid w:val="00711FA0"/>
    <w:rsid w:val="00711FAC"/>
    <w:rsid w:val="00711FC8"/>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6"/>
    <w:rsid w:val="0071221C"/>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EF"/>
    <w:rsid w:val="00712908"/>
    <w:rsid w:val="0071294E"/>
    <w:rsid w:val="0071299C"/>
    <w:rsid w:val="007129BD"/>
    <w:rsid w:val="007129C2"/>
    <w:rsid w:val="007129EB"/>
    <w:rsid w:val="00712A1B"/>
    <w:rsid w:val="00712A45"/>
    <w:rsid w:val="00712A67"/>
    <w:rsid w:val="00712AA3"/>
    <w:rsid w:val="00712AAA"/>
    <w:rsid w:val="00712AE2"/>
    <w:rsid w:val="00712B95"/>
    <w:rsid w:val="00712BC8"/>
    <w:rsid w:val="00712BD5"/>
    <w:rsid w:val="00712C14"/>
    <w:rsid w:val="00712C4A"/>
    <w:rsid w:val="00712C78"/>
    <w:rsid w:val="00712C7C"/>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2FAF"/>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7FC"/>
    <w:rsid w:val="0071380F"/>
    <w:rsid w:val="00713846"/>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E70"/>
    <w:rsid w:val="00713EDD"/>
    <w:rsid w:val="00713EE5"/>
    <w:rsid w:val="00713F27"/>
    <w:rsid w:val="00713F29"/>
    <w:rsid w:val="00713FAD"/>
    <w:rsid w:val="00713FC2"/>
    <w:rsid w:val="00714027"/>
    <w:rsid w:val="00714050"/>
    <w:rsid w:val="0071407D"/>
    <w:rsid w:val="007140D7"/>
    <w:rsid w:val="007140E0"/>
    <w:rsid w:val="007140EB"/>
    <w:rsid w:val="007140FC"/>
    <w:rsid w:val="00714115"/>
    <w:rsid w:val="00714184"/>
    <w:rsid w:val="00714249"/>
    <w:rsid w:val="0071424A"/>
    <w:rsid w:val="00714253"/>
    <w:rsid w:val="00714254"/>
    <w:rsid w:val="00714255"/>
    <w:rsid w:val="0071425F"/>
    <w:rsid w:val="00714266"/>
    <w:rsid w:val="00714268"/>
    <w:rsid w:val="00714299"/>
    <w:rsid w:val="007142A7"/>
    <w:rsid w:val="007142C0"/>
    <w:rsid w:val="007142FD"/>
    <w:rsid w:val="00714329"/>
    <w:rsid w:val="00714331"/>
    <w:rsid w:val="00714364"/>
    <w:rsid w:val="007143A9"/>
    <w:rsid w:val="007143BC"/>
    <w:rsid w:val="007143F9"/>
    <w:rsid w:val="00714403"/>
    <w:rsid w:val="00714457"/>
    <w:rsid w:val="0071446E"/>
    <w:rsid w:val="007144C8"/>
    <w:rsid w:val="0071451F"/>
    <w:rsid w:val="0071457A"/>
    <w:rsid w:val="00714623"/>
    <w:rsid w:val="00714655"/>
    <w:rsid w:val="0071465E"/>
    <w:rsid w:val="007146BD"/>
    <w:rsid w:val="007146CA"/>
    <w:rsid w:val="00714760"/>
    <w:rsid w:val="00714761"/>
    <w:rsid w:val="00714806"/>
    <w:rsid w:val="00714870"/>
    <w:rsid w:val="00714880"/>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E2F"/>
    <w:rsid w:val="00714E3E"/>
    <w:rsid w:val="00714ECC"/>
    <w:rsid w:val="00714EE2"/>
    <w:rsid w:val="00714EF2"/>
    <w:rsid w:val="00714F28"/>
    <w:rsid w:val="00714F2B"/>
    <w:rsid w:val="00714F3D"/>
    <w:rsid w:val="00714F44"/>
    <w:rsid w:val="00714F49"/>
    <w:rsid w:val="00714F62"/>
    <w:rsid w:val="00714FAF"/>
    <w:rsid w:val="00714FF1"/>
    <w:rsid w:val="00715022"/>
    <w:rsid w:val="00715051"/>
    <w:rsid w:val="007150A3"/>
    <w:rsid w:val="0071512A"/>
    <w:rsid w:val="0071513B"/>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A4"/>
    <w:rsid w:val="007156C6"/>
    <w:rsid w:val="007156D2"/>
    <w:rsid w:val="0071570C"/>
    <w:rsid w:val="00715759"/>
    <w:rsid w:val="007157EC"/>
    <w:rsid w:val="007157F8"/>
    <w:rsid w:val="00715825"/>
    <w:rsid w:val="0071586C"/>
    <w:rsid w:val="00715874"/>
    <w:rsid w:val="00715890"/>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7B"/>
    <w:rsid w:val="007161CD"/>
    <w:rsid w:val="007161E8"/>
    <w:rsid w:val="00716205"/>
    <w:rsid w:val="00716209"/>
    <w:rsid w:val="0071622B"/>
    <w:rsid w:val="0071622D"/>
    <w:rsid w:val="00716231"/>
    <w:rsid w:val="0071629D"/>
    <w:rsid w:val="007162D8"/>
    <w:rsid w:val="0071630D"/>
    <w:rsid w:val="00716376"/>
    <w:rsid w:val="007163EF"/>
    <w:rsid w:val="0071641C"/>
    <w:rsid w:val="00716426"/>
    <w:rsid w:val="0071645A"/>
    <w:rsid w:val="007164EE"/>
    <w:rsid w:val="00716521"/>
    <w:rsid w:val="0071654C"/>
    <w:rsid w:val="0071657C"/>
    <w:rsid w:val="00716584"/>
    <w:rsid w:val="007165A6"/>
    <w:rsid w:val="007165B4"/>
    <w:rsid w:val="007165F5"/>
    <w:rsid w:val="0071666C"/>
    <w:rsid w:val="00716675"/>
    <w:rsid w:val="007166CA"/>
    <w:rsid w:val="00716720"/>
    <w:rsid w:val="0071675B"/>
    <w:rsid w:val="007167FB"/>
    <w:rsid w:val="00716812"/>
    <w:rsid w:val="00716938"/>
    <w:rsid w:val="0071696C"/>
    <w:rsid w:val="007169A7"/>
    <w:rsid w:val="007169D9"/>
    <w:rsid w:val="00716A8B"/>
    <w:rsid w:val="00716B53"/>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97"/>
    <w:rsid w:val="007171DB"/>
    <w:rsid w:val="0071721E"/>
    <w:rsid w:val="00717235"/>
    <w:rsid w:val="00717290"/>
    <w:rsid w:val="0071729E"/>
    <w:rsid w:val="007172BF"/>
    <w:rsid w:val="007172E0"/>
    <w:rsid w:val="00717319"/>
    <w:rsid w:val="00717351"/>
    <w:rsid w:val="007173AC"/>
    <w:rsid w:val="0071741E"/>
    <w:rsid w:val="00717458"/>
    <w:rsid w:val="0071758D"/>
    <w:rsid w:val="0071760D"/>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BE9"/>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34"/>
    <w:rsid w:val="007202A2"/>
    <w:rsid w:val="007202D5"/>
    <w:rsid w:val="00720350"/>
    <w:rsid w:val="007203BA"/>
    <w:rsid w:val="007203C0"/>
    <w:rsid w:val="007204DD"/>
    <w:rsid w:val="00720588"/>
    <w:rsid w:val="007205F3"/>
    <w:rsid w:val="007205FB"/>
    <w:rsid w:val="007205FE"/>
    <w:rsid w:val="0072063F"/>
    <w:rsid w:val="00720655"/>
    <w:rsid w:val="0072065B"/>
    <w:rsid w:val="0072071D"/>
    <w:rsid w:val="0072078B"/>
    <w:rsid w:val="007207A0"/>
    <w:rsid w:val="007207AB"/>
    <w:rsid w:val="007207D5"/>
    <w:rsid w:val="007207FE"/>
    <w:rsid w:val="0072082F"/>
    <w:rsid w:val="00720854"/>
    <w:rsid w:val="00720890"/>
    <w:rsid w:val="00720892"/>
    <w:rsid w:val="0072091F"/>
    <w:rsid w:val="0072093B"/>
    <w:rsid w:val="00720A10"/>
    <w:rsid w:val="00720A12"/>
    <w:rsid w:val="00720A13"/>
    <w:rsid w:val="00720AB2"/>
    <w:rsid w:val="00720AB5"/>
    <w:rsid w:val="00720AC7"/>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A4"/>
    <w:rsid w:val="007210BE"/>
    <w:rsid w:val="00721128"/>
    <w:rsid w:val="00721188"/>
    <w:rsid w:val="007211A8"/>
    <w:rsid w:val="007211CB"/>
    <w:rsid w:val="007211FE"/>
    <w:rsid w:val="0072120F"/>
    <w:rsid w:val="007212D2"/>
    <w:rsid w:val="007212EC"/>
    <w:rsid w:val="00721391"/>
    <w:rsid w:val="007213DE"/>
    <w:rsid w:val="007213EF"/>
    <w:rsid w:val="00721412"/>
    <w:rsid w:val="00721429"/>
    <w:rsid w:val="00721455"/>
    <w:rsid w:val="0072146F"/>
    <w:rsid w:val="00721486"/>
    <w:rsid w:val="00721494"/>
    <w:rsid w:val="00721501"/>
    <w:rsid w:val="00721585"/>
    <w:rsid w:val="00721593"/>
    <w:rsid w:val="007215C0"/>
    <w:rsid w:val="00721653"/>
    <w:rsid w:val="0072167D"/>
    <w:rsid w:val="007216B9"/>
    <w:rsid w:val="007216E9"/>
    <w:rsid w:val="00721703"/>
    <w:rsid w:val="00721783"/>
    <w:rsid w:val="0072178C"/>
    <w:rsid w:val="0072179A"/>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A3"/>
    <w:rsid w:val="00721CCC"/>
    <w:rsid w:val="00721CD6"/>
    <w:rsid w:val="00721D60"/>
    <w:rsid w:val="00721D73"/>
    <w:rsid w:val="00721D7C"/>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11"/>
    <w:rsid w:val="0072274B"/>
    <w:rsid w:val="00722798"/>
    <w:rsid w:val="007227B0"/>
    <w:rsid w:val="007227C3"/>
    <w:rsid w:val="007227F6"/>
    <w:rsid w:val="0072280D"/>
    <w:rsid w:val="00722870"/>
    <w:rsid w:val="007228A1"/>
    <w:rsid w:val="00722926"/>
    <w:rsid w:val="00722978"/>
    <w:rsid w:val="007229EC"/>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C5"/>
    <w:rsid w:val="007236F3"/>
    <w:rsid w:val="00723722"/>
    <w:rsid w:val="00723739"/>
    <w:rsid w:val="00723746"/>
    <w:rsid w:val="00723759"/>
    <w:rsid w:val="00723779"/>
    <w:rsid w:val="007237BA"/>
    <w:rsid w:val="007237BE"/>
    <w:rsid w:val="007237F4"/>
    <w:rsid w:val="0072382F"/>
    <w:rsid w:val="0072386C"/>
    <w:rsid w:val="0072387C"/>
    <w:rsid w:val="00723893"/>
    <w:rsid w:val="007238E2"/>
    <w:rsid w:val="0072391A"/>
    <w:rsid w:val="00723982"/>
    <w:rsid w:val="0072398A"/>
    <w:rsid w:val="007239A0"/>
    <w:rsid w:val="007239DC"/>
    <w:rsid w:val="00723A19"/>
    <w:rsid w:val="00723ABE"/>
    <w:rsid w:val="00723ACF"/>
    <w:rsid w:val="00723AF8"/>
    <w:rsid w:val="00723B07"/>
    <w:rsid w:val="00723B0A"/>
    <w:rsid w:val="00723C36"/>
    <w:rsid w:val="00723CDB"/>
    <w:rsid w:val="00723D0B"/>
    <w:rsid w:val="00723D7A"/>
    <w:rsid w:val="00723D80"/>
    <w:rsid w:val="00723E21"/>
    <w:rsid w:val="00723E83"/>
    <w:rsid w:val="00723ED7"/>
    <w:rsid w:val="00723F05"/>
    <w:rsid w:val="00723F2C"/>
    <w:rsid w:val="00723F38"/>
    <w:rsid w:val="00723FB3"/>
    <w:rsid w:val="00724036"/>
    <w:rsid w:val="00724089"/>
    <w:rsid w:val="0072409B"/>
    <w:rsid w:val="007240A2"/>
    <w:rsid w:val="007240D7"/>
    <w:rsid w:val="007240DB"/>
    <w:rsid w:val="00724135"/>
    <w:rsid w:val="00724149"/>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8"/>
    <w:rsid w:val="00724489"/>
    <w:rsid w:val="007244C0"/>
    <w:rsid w:val="007244F8"/>
    <w:rsid w:val="00724602"/>
    <w:rsid w:val="00724605"/>
    <w:rsid w:val="0072464A"/>
    <w:rsid w:val="00724675"/>
    <w:rsid w:val="007246AE"/>
    <w:rsid w:val="007246BF"/>
    <w:rsid w:val="007246E5"/>
    <w:rsid w:val="007246F1"/>
    <w:rsid w:val="00724702"/>
    <w:rsid w:val="0072476A"/>
    <w:rsid w:val="00724770"/>
    <w:rsid w:val="007247BB"/>
    <w:rsid w:val="00724897"/>
    <w:rsid w:val="007248A9"/>
    <w:rsid w:val="007248C3"/>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D9C"/>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ABC"/>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F"/>
    <w:rsid w:val="007265C0"/>
    <w:rsid w:val="007265C8"/>
    <w:rsid w:val="007265CB"/>
    <w:rsid w:val="007265DB"/>
    <w:rsid w:val="00726615"/>
    <w:rsid w:val="007266E5"/>
    <w:rsid w:val="00726700"/>
    <w:rsid w:val="00726813"/>
    <w:rsid w:val="00726820"/>
    <w:rsid w:val="0072684B"/>
    <w:rsid w:val="0072686A"/>
    <w:rsid w:val="0072688E"/>
    <w:rsid w:val="007268A3"/>
    <w:rsid w:val="00726959"/>
    <w:rsid w:val="0072695A"/>
    <w:rsid w:val="00726A1E"/>
    <w:rsid w:val="00726AC7"/>
    <w:rsid w:val="00726AD1"/>
    <w:rsid w:val="00726B04"/>
    <w:rsid w:val="00726B41"/>
    <w:rsid w:val="00726B6B"/>
    <w:rsid w:val="00726BB5"/>
    <w:rsid w:val="00726C13"/>
    <w:rsid w:val="00726C5B"/>
    <w:rsid w:val="00726CDB"/>
    <w:rsid w:val="00726CF2"/>
    <w:rsid w:val="00726CF8"/>
    <w:rsid w:val="00726D3C"/>
    <w:rsid w:val="00726D41"/>
    <w:rsid w:val="00726D61"/>
    <w:rsid w:val="00726DD1"/>
    <w:rsid w:val="00726DE1"/>
    <w:rsid w:val="00726E38"/>
    <w:rsid w:val="00726E3E"/>
    <w:rsid w:val="00726E44"/>
    <w:rsid w:val="00726EAF"/>
    <w:rsid w:val="00726EBB"/>
    <w:rsid w:val="00726EBF"/>
    <w:rsid w:val="00726EC0"/>
    <w:rsid w:val="00726ECD"/>
    <w:rsid w:val="00726EDE"/>
    <w:rsid w:val="00726EED"/>
    <w:rsid w:val="00726F41"/>
    <w:rsid w:val="00726FA9"/>
    <w:rsid w:val="00726FDB"/>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DA"/>
    <w:rsid w:val="007273F6"/>
    <w:rsid w:val="00727411"/>
    <w:rsid w:val="0072742A"/>
    <w:rsid w:val="00727448"/>
    <w:rsid w:val="007274B5"/>
    <w:rsid w:val="007274D0"/>
    <w:rsid w:val="007274D1"/>
    <w:rsid w:val="0072754B"/>
    <w:rsid w:val="00727581"/>
    <w:rsid w:val="007275AA"/>
    <w:rsid w:val="00727624"/>
    <w:rsid w:val="0072763C"/>
    <w:rsid w:val="007276E8"/>
    <w:rsid w:val="007276EE"/>
    <w:rsid w:val="00727701"/>
    <w:rsid w:val="0072771B"/>
    <w:rsid w:val="00727783"/>
    <w:rsid w:val="007277B5"/>
    <w:rsid w:val="007277C7"/>
    <w:rsid w:val="0072781A"/>
    <w:rsid w:val="0072787D"/>
    <w:rsid w:val="00727926"/>
    <w:rsid w:val="00727931"/>
    <w:rsid w:val="0072796F"/>
    <w:rsid w:val="0072797A"/>
    <w:rsid w:val="007279AD"/>
    <w:rsid w:val="007279D6"/>
    <w:rsid w:val="007279E7"/>
    <w:rsid w:val="007279F1"/>
    <w:rsid w:val="00727A0F"/>
    <w:rsid w:val="00727A2E"/>
    <w:rsid w:val="00727ABD"/>
    <w:rsid w:val="00727AFD"/>
    <w:rsid w:val="00727B08"/>
    <w:rsid w:val="00727B65"/>
    <w:rsid w:val="00727B7C"/>
    <w:rsid w:val="00727BB5"/>
    <w:rsid w:val="00727C73"/>
    <w:rsid w:val="00727C75"/>
    <w:rsid w:val="00727CEC"/>
    <w:rsid w:val="00727CFD"/>
    <w:rsid w:val="00727D6E"/>
    <w:rsid w:val="00727DAF"/>
    <w:rsid w:val="00727DDE"/>
    <w:rsid w:val="00727E55"/>
    <w:rsid w:val="00727E6C"/>
    <w:rsid w:val="00727E99"/>
    <w:rsid w:val="00727F46"/>
    <w:rsid w:val="00727F50"/>
    <w:rsid w:val="00727F5B"/>
    <w:rsid w:val="00727F65"/>
    <w:rsid w:val="00727F89"/>
    <w:rsid w:val="00727FC9"/>
    <w:rsid w:val="00727FD8"/>
    <w:rsid w:val="00727FED"/>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AE"/>
    <w:rsid w:val="00730AC3"/>
    <w:rsid w:val="00730AD0"/>
    <w:rsid w:val="00730B0C"/>
    <w:rsid w:val="00730B46"/>
    <w:rsid w:val="00730B61"/>
    <w:rsid w:val="00730BF9"/>
    <w:rsid w:val="00730C00"/>
    <w:rsid w:val="00730C0E"/>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8E"/>
    <w:rsid w:val="007314BB"/>
    <w:rsid w:val="00731523"/>
    <w:rsid w:val="00731554"/>
    <w:rsid w:val="00731570"/>
    <w:rsid w:val="0073159A"/>
    <w:rsid w:val="007315C5"/>
    <w:rsid w:val="007315DA"/>
    <w:rsid w:val="0073168D"/>
    <w:rsid w:val="007316B9"/>
    <w:rsid w:val="0073174A"/>
    <w:rsid w:val="007317A1"/>
    <w:rsid w:val="007317AE"/>
    <w:rsid w:val="007317BB"/>
    <w:rsid w:val="007317EC"/>
    <w:rsid w:val="00731851"/>
    <w:rsid w:val="00731988"/>
    <w:rsid w:val="007319E6"/>
    <w:rsid w:val="00731A88"/>
    <w:rsid w:val="00731AAA"/>
    <w:rsid w:val="00731B16"/>
    <w:rsid w:val="00731B65"/>
    <w:rsid w:val="00731B69"/>
    <w:rsid w:val="00731B79"/>
    <w:rsid w:val="00731B91"/>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2A6"/>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6B5"/>
    <w:rsid w:val="0073276D"/>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D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E4"/>
    <w:rsid w:val="007336FC"/>
    <w:rsid w:val="0073372C"/>
    <w:rsid w:val="007337A4"/>
    <w:rsid w:val="0073381B"/>
    <w:rsid w:val="0073381C"/>
    <w:rsid w:val="00733838"/>
    <w:rsid w:val="00733866"/>
    <w:rsid w:val="00733889"/>
    <w:rsid w:val="0073388D"/>
    <w:rsid w:val="007338CB"/>
    <w:rsid w:val="00733915"/>
    <w:rsid w:val="0073399A"/>
    <w:rsid w:val="007339B4"/>
    <w:rsid w:val="007339ED"/>
    <w:rsid w:val="00733A21"/>
    <w:rsid w:val="00733AB9"/>
    <w:rsid w:val="00733B1E"/>
    <w:rsid w:val="00733B41"/>
    <w:rsid w:val="00733B7E"/>
    <w:rsid w:val="00733BA3"/>
    <w:rsid w:val="00733BE1"/>
    <w:rsid w:val="00733BF8"/>
    <w:rsid w:val="00733C1C"/>
    <w:rsid w:val="00733C1E"/>
    <w:rsid w:val="00733C38"/>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11"/>
    <w:rsid w:val="00734436"/>
    <w:rsid w:val="00734457"/>
    <w:rsid w:val="0073447F"/>
    <w:rsid w:val="00734495"/>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97"/>
    <w:rsid w:val="00734DCA"/>
    <w:rsid w:val="00734DED"/>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0"/>
    <w:rsid w:val="00735675"/>
    <w:rsid w:val="007356E2"/>
    <w:rsid w:val="0073572F"/>
    <w:rsid w:val="00735737"/>
    <w:rsid w:val="00735744"/>
    <w:rsid w:val="00735783"/>
    <w:rsid w:val="00735808"/>
    <w:rsid w:val="0073583A"/>
    <w:rsid w:val="007358C8"/>
    <w:rsid w:val="007358E5"/>
    <w:rsid w:val="00735901"/>
    <w:rsid w:val="0073591B"/>
    <w:rsid w:val="0073593C"/>
    <w:rsid w:val="00735984"/>
    <w:rsid w:val="007359BC"/>
    <w:rsid w:val="00735A4F"/>
    <w:rsid w:val="00735AB1"/>
    <w:rsid w:val="00735B03"/>
    <w:rsid w:val="00735B26"/>
    <w:rsid w:val="00735B4A"/>
    <w:rsid w:val="00735B73"/>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B7"/>
    <w:rsid w:val="007362BA"/>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72"/>
    <w:rsid w:val="0073657B"/>
    <w:rsid w:val="0073659A"/>
    <w:rsid w:val="007365A3"/>
    <w:rsid w:val="00736606"/>
    <w:rsid w:val="00736617"/>
    <w:rsid w:val="00736644"/>
    <w:rsid w:val="00736659"/>
    <w:rsid w:val="00736665"/>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1C"/>
    <w:rsid w:val="00736D57"/>
    <w:rsid w:val="00736D85"/>
    <w:rsid w:val="00736E34"/>
    <w:rsid w:val="00736E39"/>
    <w:rsid w:val="00736EA0"/>
    <w:rsid w:val="00736EA6"/>
    <w:rsid w:val="00736EAB"/>
    <w:rsid w:val="00736ED4"/>
    <w:rsid w:val="00736F6E"/>
    <w:rsid w:val="00736F71"/>
    <w:rsid w:val="00736F72"/>
    <w:rsid w:val="00736F9E"/>
    <w:rsid w:val="00736FCB"/>
    <w:rsid w:val="00736FDA"/>
    <w:rsid w:val="00736FE7"/>
    <w:rsid w:val="0073706A"/>
    <w:rsid w:val="007370BB"/>
    <w:rsid w:val="007370C0"/>
    <w:rsid w:val="00737128"/>
    <w:rsid w:val="00737161"/>
    <w:rsid w:val="00737170"/>
    <w:rsid w:val="00737186"/>
    <w:rsid w:val="0073724A"/>
    <w:rsid w:val="007372FD"/>
    <w:rsid w:val="00737310"/>
    <w:rsid w:val="00737342"/>
    <w:rsid w:val="00737357"/>
    <w:rsid w:val="00737397"/>
    <w:rsid w:val="00737430"/>
    <w:rsid w:val="00737442"/>
    <w:rsid w:val="00737484"/>
    <w:rsid w:val="007374A7"/>
    <w:rsid w:val="007374A8"/>
    <w:rsid w:val="007374A9"/>
    <w:rsid w:val="007374CA"/>
    <w:rsid w:val="007374FE"/>
    <w:rsid w:val="00737556"/>
    <w:rsid w:val="00737578"/>
    <w:rsid w:val="0073768C"/>
    <w:rsid w:val="007376CA"/>
    <w:rsid w:val="007376CE"/>
    <w:rsid w:val="00737783"/>
    <w:rsid w:val="0073779F"/>
    <w:rsid w:val="007377C6"/>
    <w:rsid w:val="007377F4"/>
    <w:rsid w:val="0073783C"/>
    <w:rsid w:val="00737852"/>
    <w:rsid w:val="0073786C"/>
    <w:rsid w:val="00737886"/>
    <w:rsid w:val="007378F4"/>
    <w:rsid w:val="00737908"/>
    <w:rsid w:val="00737914"/>
    <w:rsid w:val="0073792A"/>
    <w:rsid w:val="00737933"/>
    <w:rsid w:val="00737934"/>
    <w:rsid w:val="007379F3"/>
    <w:rsid w:val="00737A6C"/>
    <w:rsid w:val="00737A99"/>
    <w:rsid w:val="00737A9F"/>
    <w:rsid w:val="00737AE9"/>
    <w:rsid w:val="00737B5C"/>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C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0"/>
    <w:rsid w:val="00740445"/>
    <w:rsid w:val="00740457"/>
    <w:rsid w:val="0074047A"/>
    <w:rsid w:val="00740518"/>
    <w:rsid w:val="00740523"/>
    <w:rsid w:val="00740587"/>
    <w:rsid w:val="0074058A"/>
    <w:rsid w:val="007405B0"/>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37"/>
    <w:rsid w:val="007413B8"/>
    <w:rsid w:val="007413D0"/>
    <w:rsid w:val="007413E7"/>
    <w:rsid w:val="007413FB"/>
    <w:rsid w:val="00741427"/>
    <w:rsid w:val="00741438"/>
    <w:rsid w:val="0074144D"/>
    <w:rsid w:val="00741491"/>
    <w:rsid w:val="007414A4"/>
    <w:rsid w:val="00741500"/>
    <w:rsid w:val="00741569"/>
    <w:rsid w:val="007415A9"/>
    <w:rsid w:val="00741650"/>
    <w:rsid w:val="0074168B"/>
    <w:rsid w:val="00741699"/>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A51"/>
    <w:rsid w:val="00741B34"/>
    <w:rsid w:val="00741B52"/>
    <w:rsid w:val="00741B68"/>
    <w:rsid w:val="00741B9E"/>
    <w:rsid w:val="00741BA8"/>
    <w:rsid w:val="00741BCB"/>
    <w:rsid w:val="00741BED"/>
    <w:rsid w:val="00741C4C"/>
    <w:rsid w:val="00741C5B"/>
    <w:rsid w:val="00741C9B"/>
    <w:rsid w:val="00741D2A"/>
    <w:rsid w:val="00741D44"/>
    <w:rsid w:val="00741DA9"/>
    <w:rsid w:val="00741DAD"/>
    <w:rsid w:val="00741DF7"/>
    <w:rsid w:val="00741E0A"/>
    <w:rsid w:val="00741E67"/>
    <w:rsid w:val="00741EBF"/>
    <w:rsid w:val="00741ED7"/>
    <w:rsid w:val="00741F35"/>
    <w:rsid w:val="00741F8A"/>
    <w:rsid w:val="00741FB7"/>
    <w:rsid w:val="00741FBD"/>
    <w:rsid w:val="00741FDA"/>
    <w:rsid w:val="00742069"/>
    <w:rsid w:val="007420DE"/>
    <w:rsid w:val="00742144"/>
    <w:rsid w:val="00742186"/>
    <w:rsid w:val="0074219B"/>
    <w:rsid w:val="007421AE"/>
    <w:rsid w:val="007421B5"/>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32"/>
    <w:rsid w:val="007424AE"/>
    <w:rsid w:val="007424D6"/>
    <w:rsid w:val="00742526"/>
    <w:rsid w:val="00742544"/>
    <w:rsid w:val="007425DB"/>
    <w:rsid w:val="007425DD"/>
    <w:rsid w:val="00742607"/>
    <w:rsid w:val="0074263F"/>
    <w:rsid w:val="0074267E"/>
    <w:rsid w:val="007426C3"/>
    <w:rsid w:val="00742735"/>
    <w:rsid w:val="0074277E"/>
    <w:rsid w:val="0074279A"/>
    <w:rsid w:val="007427E2"/>
    <w:rsid w:val="00742809"/>
    <w:rsid w:val="0074280A"/>
    <w:rsid w:val="0074282E"/>
    <w:rsid w:val="00742861"/>
    <w:rsid w:val="00742873"/>
    <w:rsid w:val="00742885"/>
    <w:rsid w:val="007428A2"/>
    <w:rsid w:val="007428B5"/>
    <w:rsid w:val="007428C1"/>
    <w:rsid w:val="007428C7"/>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C5"/>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D1"/>
    <w:rsid w:val="007432F0"/>
    <w:rsid w:val="007432F3"/>
    <w:rsid w:val="00743323"/>
    <w:rsid w:val="00743355"/>
    <w:rsid w:val="0074336F"/>
    <w:rsid w:val="00743372"/>
    <w:rsid w:val="00743389"/>
    <w:rsid w:val="007433BE"/>
    <w:rsid w:val="007433FD"/>
    <w:rsid w:val="0074344F"/>
    <w:rsid w:val="0074346B"/>
    <w:rsid w:val="007434A3"/>
    <w:rsid w:val="007434BE"/>
    <w:rsid w:val="0074350D"/>
    <w:rsid w:val="00743588"/>
    <w:rsid w:val="007435EA"/>
    <w:rsid w:val="0074360F"/>
    <w:rsid w:val="00743612"/>
    <w:rsid w:val="0074363F"/>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D3"/>
    <w:rsid w:val="00743EDF"/>
    <w:rsid w:val="00743F59"/>
    <w:rsid w:val="00743FE5"/>
    <w:rsid w:val="00744044"/>
    <w:rsid w:val="007440C3"/>
    <w:rsid w:val="007440D2"/>
    <w:rsid w:val="00744115"/>
    <w:rsid w:val="00744117"/>
    <w:rsid w:val="00744206"/>
    <w:rsid w:val="00744249"/>
    <w:rsid w:val="007442CA"/>
    <w:rsid w:val="007442F6"/>
    <w:rsid w:val="007442F8"/>
    <w:rsid w:val="007442F9"/>
    <w:rsid w:val="00744305"/>
    <w:rsid w:val="0074431F"/>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A8E"/>
    <w:rsid w:val="00744A94"/>
    <w:rsid w:val="00744A97"/>
    <w:rsid w:val="00744B36"/>
    <w:rsid w:val="00744B46"/>
    <w:rsid w:val="00744BCB"/>
    <w:rsid w:val="00744BF3"/>
    <w:rsid w:val="00744BF7"/>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A5"/>
    <w:rsid w:val="007453D9"/>
    <w:rsid w:val="0074546D"/>
    <w:rsid w:val="00745478"/>
    <w:rsid w:val="0074549F"/>
    <w:rsid w:val="00745546"/>
    <w:rsid w:val="00745549"/>
    <w:rsid w:val="0074554E"/>
    <w:rsid w:val="00745567"/>
    <w:rsid w:val="0074559E"/>
    <w:rsid w:val="0074562C"/>
    <w:rsid w:val="00745683"/>
    <w:rsid w:val="00745696"/>
    <w:rsid w:val="007456DB"/>
    <w:rsid w:val="007456FF"/>
    <w:rsid w:val="007457A1"/>
    <w:rsid w:val="007457AE"/>
    <w:rsid w:val="007457BD"/>
    <w:rsid w:val="007457E6"/>
    <w:rsid w:val="00745826"/>
    <w:rsid w:val="00745867"/>
    <w:rsid w:val="007458E7"/>
    <w:rsid w:val="007458F0"/>
    <w:rsid w:val="00745925"/>
    <w:rsid w:val="00745947"/>
    <w:rsid w:val="00745A27"/>
    <w:rsid w:val="00745A6E"/>
    <w:rsid w:val="00745A8B"/>
    <w:rsid w:val="00745A9C"/>
    <w:rsid w:val="00745ABA"/>
    <w:rsid w:val="00745ABF"/>
    <w:rsid w:val="00745AD7"/>
    <w:rsid w:val="00745B42"/>
    <w:rsid w:val="00745B77"/>
    <w:rsid w:val="00745B87"/>
    <w:rsid w:val="00745C49"/>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5F7"/>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936"/>
    <w:rsid w:val="00746994"/>
    <w:rsid w:val="0074699C"/>
    <w:rsid w:val="007469A9"/>
    <w:rsid w:val="007469CC"/>
    <w:rsid w:val="00746A02"/>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CF"/>
    <w:rsid w:val="007470DE"/>
    <w:rsid w:val="0074711B"/>
    <w:rsid w:val="00747134"/>
    <w:rsid w:val="00747169"/>
    <w:rsid w:val="0074718A"/>
    <w:rsid w:val="007471C3"/>
    <w:rsid w:val="00747277"/>
    <w:rsid w:val="007472F3"/>
    <w:rsid w:val="007472F8"/>
    <w:rsid w:val="007472FB"/>
    <w:rsid w:val="00747312"/>
    <w:rsid w:val="00747316"/>
    <w:rsid w:val="0074735B"/>
    <w:rsid w:val="00747377"/>
    <w:rsid w:val="00747389"/>
    <w:rsid w:val="007473A2"/>
    <w:rsid w:val="007473A9"/>
    <w:rsid w:val="007473CC"/>
    <w:rsid w:val="007473D1"/>
    <w:rsid w:val="0074740C"/>
    <w:rsid w:val="00747466"/>
    <w:rsid w:val="00747479"/>
    <w:rsid w:val="00747493"/>
    <w:rsid w:val="007474DA"/>
    <w:rsid w:val="00747502"/>
    <w:rsid w:val="007475E1"/>
    <w:rsid w:val="0074764B"/>
    <w:rsid w:val="007476AC"/>
    <w:rsid w:val="007476BE"/>
    <w:rsid w:val="00747780"/>
    <w:rsid w:val="00747781"/>
    <w:rsid w:val="00747791"/>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C"/>
    <w:rsid w:val="00747AC5"/>
    <w:rsid w:val="00747AD7"/>
    <w:rsid w:val="00747AF2"/>
    <w:rsid w:val="00747B1B"/>
    <w:rsid w:val="00747B6D"/>
    <w:rsid w:val="00747B74"/>
    <w:rsid w:val="00747BEE"/>
    <w:rsid w:val="00747C35"/>
    <w:rsid w:val="00747C63"/>
    <w:rsid w:val="00747C7D"/>
    <w:rsid w:val="00747CEB"/>
    <w:rsid w:val="00747CF6"/>
    <w:rsid w:val="00747D03"/>
    <w:rsid w:val="00747D07"/>
    <w:rsid w:val="00747D1C"/>
    <w:rsid w:val="00747D31"/>
    <w:rsid w:val="00747D36"/>
    <w:rsid w:val="00747D3E"/>
    <w:rsid w:val="00747D60"/>
    <w:rsid w:val="00747D61"/>
    <w:rsid w:val="00747DF6"/>
    <w:rsid w:val="00747E32"/>
    <w:rsid w:val="00747E50"/>
    <w:rsid w:val="00747EB5"/>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1E"/>
    <w:rsid w:val="0075029F"/>
    <w:rsid w:val="007502E0"/>
    <w:rsid w:val="00750316"/>
    <w:rsid w:val="00750358"/>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9E"/>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97"/>
    <w:rsid w:val="00750BAA"/>
    <w:rsid w:val="00750BF9"/>
    <w:rsid w:val="00750C1E"/>
    <w:rsid w:val="00750C22"/>
    <w:rsid w:val="00750C2F"/>
    <w:rsid w:val="00750C44"/>
    <w:rsid w:val="00750CE6"/>
    <w:rsid w:val="00750CFB"/>
    <w:rsid w:val="00750D61"/>
    <w:rsid w:val="00750DC0"/>
    <w:rsid w:val="00750DC5"/>
    <w:rsid w:val="00750E18"/>
    <w:rsid w:val="00750E8C"/>
    <w:rsid w:val="00750E9D"/>
    <w:rsid w:val="00750EE5"/>
    <w:rsid w:val="00750EFF"/>
    <w:rsid w:val="00750F78"/>
    <w:rsid w:val="00750FA8"/>
    <w:rsid w:val="00750FDD"/>
    <w:rsid w:val="00751001"/>
    <w:rsid w:val="00751027"/>
    <w:rsid w:val="00751091"/>
    <w:rsid w:val="00751109"/>
    <w:rsid w:val="0075111E"/>
    <w:rsid w:val="00751132"/>
    <w:rsid w:val="00751165"/>
    <w:rsid w:val="0075116D"/>
    <w:rsid w:val="00751182"/>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F3"/>
    <w:rsid w:val="0075150A"/>
    <w:rsid w:val="00751582"/>
    <w:rsid w:val="007515C8"/>
    <w:rsid w:val="007515ED"/>
    <w:rsid w:val="007515F5"/>
    <w:rsid w:val="0075166C"/>
    <w:rsid w:val="00751679"/>
    <w:rsid w:val="007516B9"/>
    <w:rsid w:val="007516FD"/>
    <w:rsid w:val="0075171E"/>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67"/>
    <w:rsid w:val="00751EA3"/>
    <w:rsid w:val="00751F17"/>
    <w:rsid w:val="00751F3A"/>
    <w:rsid w:val="00751FA4"/>
    <w:rsid w:val="00751FD6"/>
    <w:rsid w:val="00751FEA"/>
    <w:rsid w:val="00752033"/>
    <w:rsid w:val="00752076"/>
    <w:rsid w:val="007520A4"/>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2B"/>
    <w:rsid w:val="00752683"/>
    <w:rsid w:val="007526B5"/>
    <w:rsid w:val="00752725"/>
    <w:rsid w:val="0075278C"/>
    <w:rsid w:val="00752873"/>
    <w:rsid w:val="007528A8"/>
    <w:rsid w:val="0075290F"/>
    <w:rsid w:val="00752986"/>
    <w:rsid w:val="00752A0F"/>
    <w:rsid w:val="00752A4F"/>
    <w:rsid w:val="00752A50"/>
    <w:rsid w:val="00752A7E"/>
    <w:rsid w:val="00752AB2"/>
    <w:rsid w:val="00752AC7"/>
    <w:rsid w:val="00752AEF"/>
    <w:rsid w:val="00752B22"/>
    <w:rsid w:val="00752B29"/>
    <w:rsid w:val="00752B4F"/>
    <w:rsid w:val="00752BA0"/>
    <w:rsid w:val="00752BA1"/>
    <w:rsid w:val="00752BAF"/>
    <w:rsid w:val="00752BD0"/>
    <w:rsid w:val="00752BF1"/>
    <w:rsid w:val="00752C5B"/>
    <w:rsid w:val="00752C6E"/>
    <w:rsid w:val="00752C83"/>
    <w:rsid w:val="00752C9D"/>
    <w:rsid w:val="00752CB2"/>
    <w:rsid w:val="00752D61"/>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F0"/>
    <w:rsid w:val="00753146"/>
    <w:rsid w:val="0075317C"/>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A09"/>
    <w:rsid w:val="00753A28"/>
    <w:rsid w:val="00753A52"/>
    <w:rsid w:val="00753A6D"/>
    <w:rsid w:val="00753A92"/>
    <w:rsid w:val="00753AA5"/>
    <w:rsid w:val="00753AD6"/>
    <w:rsid w:val="00753AEB"/>
    <w:rsid w:val="00753AEE"/>
    <w:rsid w:val="00753B2E"/>
    <w:rsid w:val="00753B31"/>
    <w:rsid w:val="00753B7D"/>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A0"/>
    <w:rsid w:val="00753FBE"/>
    <w:rsid w:val="00753FDD"/>
    <w:rsid w:val="00753FE0"/>
    <w:rsid w:val="0075401D"/>
    <w:rsid w:val="0075405C"/>
    <w:rsid w:val="0075406D"/>
    <w:rsid w:val="007540BE"/>
    <w:rsid w:val="00754104"/>
    <w:rsid w:val="00754136"/>
    <w:rsid w:val="00754142"/>
    <w:rsid w:val="0075414A"/>
    <w:rsid w:val="00754177"/>
    <w:rsid w:val="00754197"/>
    <w:rsid w:val="007541A3"/>
    <w:rsid w:val="0075420F"/>
    <w:rsid w:val="00754211"/>
    <w:rsid w:val="00754218"/>
    <w:rsid w:val="007542D2"/>
    <w:rsid w:val="007542DA"/>
    <w:rsid w:val="007543E6"/>
    <w:rsid w:val="00754408"/>
    <w:rsid w:val="00754418"/>
    <w:rsid w:val="0075441D"/>
    <w:rsid w:val="00754443"/>
    <w:rsid w:val="00754501"/>
    <w:rsid w:val="0075456B"/>
    <w:rsid w:val="0075458A"/>
    <w:rsid w:val="0075460F"/>
    <w:rsid w:val="00754633"/>
    <w:rsid w:val="00754661"/>
    <w:rsid w:val="00754719"/>
    <w:rsid w:val="0075473C"/>
    <w:rsid w:val="0075476C"/>
    <w:rsid w:val="0075476E"/>
    <w:rsid w:val="0075478F"/>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A4"/>
    <w:rsid w:val="00754DF8"/>
    <w:rsid w:val="00754E09"/>
    <w:rsid w:val="00754E12"/>
    <w:rsid w:val="00754EEE"/>
    <w:rsid w:val="00754EF5"/>
    <w:rsid w:val="00754F03"/>
    <w:rsid w:val="00754F2F"/>
    <w:rsid w:val="00754F55"/>
    <w:rsid w:val="00754FE8"/>
    <w:rsid w:val="00755004"/>
    <w:rsid w:val="0075501E"/>
    <w:rsid w:val="00755071"/>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6A"/>
    <w:rsid w:val="00755698"/>
    <w:rsid w:val="0075569F"/>
    <w:rsid w:val="007556B6"/>
    <w:rsid w:val="007556BB"/>
    <w:rsid w:val="007556C9"/>
    <w:rsid w:val="00755717"/>
    <w:rsid w:val="00755726"/>
    <w:rsid w:val="00755731"/>
    <w:rsid w:val="00755765"/>
    <w:rsid w:val="0075577E"/>
    <w:rsid w:val="007557DE"/>
    <w:rsid w:val="00755831"/>
    <w:rsid w:val="0075583D"/>
    <w:rsid w:val="00755884"/>
    <w:rsid w:val="007558AC"/>
    <w:rsid w:val="007558B7"/>
    <w:rsid w:val="0075593D"/>
    <w:rsid w:val="00755962"/>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BA8"/>
    <w:rsid w:val="00755C4A"/>
    <w:rsid w:val="00755CD8"/>
    <w:rsid w:val="00755D6F"/>
    <w:rsid w:val="00755DFF"/>
    <w:rsid w:val="00755E0A"/>
    <w:rsid w:val="00755E73"/>
    <w:rsid w:val="00755E99"/>
    <w:rsid w:val="00755ECB"/>
    <w:rsid w:val="00755EE7"/>
    <w:rsid w:val="00755F98"/>
    <w:rsid w:val="00755FA4"/>
    <w:rsid w:val="00755FBA"/>
    <w:rsid w:val="00755FE7"/>
    <w:rsid w:val="00755FF6"/>
    <w:rsid w:val="00756040"/>
    <w:rsid w:val="0075604F"/>
    <w:rsid w:val="0075606E"/>
    <w:rsid w:val="0075608C"/>
    <w:rsid w:val="007560C3"/>
    <w:rsid w:val="007560CA"/>
    <w:rsid w:val="007560D0"/>
    <w:rsid w:val="007560E7"/>
    <w:rsid w:val="007560F7"/>
    <w:rsid w:val="007561B9"/>
    <w:rsid w:val="007561EF"/>
    <w:rsid w:val="007561FF"/>
    <w:rsid w:val="00756255"/>
    <w:rsid w:val="00756297"/>
    <w:rsid w:val="0075629C"/>
    <w:rsid w:val="007562B4"/>
    <w:rsid w:val="007562CF"/>
    <w:rsid w:val="007562DC"/>
    <w:rsid w:val="007562ED"/>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E8"/>
    <w:rsid w:val="00756924"/>
    <w:rsid w:val="0075694C"/>
    <w:rsid w:val="00756965"/>
    <w:rsid w:val="00756994"/>
    <w:rsid w:val="00756A25"/>
    <w:rsid w:val="00756A49"/>
    <w:rsid w:val="00756A71"/>
    <w:rsid w:val="00756A79"/>
    <w:rsid w:val="00756AA1"/>
    <w:rsid w:val="00756ABC"/>
    <w:rsid w:val="00756B1B"/>
    <w:rsid w:val="00756B23"/>
    <w:rsid w:val="00756B3B"/>
    <w:rsid w:val="00756BBF"/>
    <w:rsid w:val="00756C7A"/>
    <w:rsid w:val="00756CA9"/>
    <w:rsid w:val="00756CAB"/>
    <w:rsid w:val="00756CBF"/>
    <w:rsid w:val="00756D10"/>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E5"/>
    <w:rsid w:val="007570EE"/>
    <w:rsid w:val="007570FD"/>
    <w:rsid w:val="00757118"/>
    <w:rsid w:val="00757159"/>
    <w:rsid w:val="007571F6"/>
    <w:rsid w:val="007571F9"/>
    <w:rsid w:val="0075723D"/>
    <w:rsid w:val="0075728C"/>
    <w:rsid w:val="007572B1"/>
    <w:rsid w:val="007572BF"/>
    <w:rsid w:val="007572D9"/>
    <w:rsid w:val="00757349"/>
    <w:rsid w:val="0075735B"/>
    <w:rsid w:val="007573CF"/>
    <w:rsid w:val="00757455"/>
    <w:rsid w:val="00757486"/>
    <w:rsid w:val="00757642"/>
    <w:rsid w:val="0075764A"/>
    <w:rsid w:val="00757661"/>
    <w:rsid w:val="007576D5"/>
    <w:rsid w:val="007576F0"/>
    <w:rsid w:val="007577A4"/>
    <w:rsid w:val="007577B1"/>
    <w:rsid w:val="007577E5"/>
    <w:rsid w:val="00757814"/>
    <w:rsid w:val="00757825"/>
    <w:rsid w:val="00757872"/>
    <w:rsid w:val="0075790C"/>
    <w:rsid w:val="00757923"/>
    <w:rsid w:val="0075792A"/>
    <w:rsid w:val="0075796A"/>
    <w:rsid w:val="00757990"/>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60"/>
    <w:rsid w:val="00757D92"/>
    <w:rsid w:val="00757DEE"/>
    <w:rsid w:val="00757E20"/>
    <w:rsid w:val="00757E3F"/>
    <w:rsid w:val="00757E43"/>
    <w:rsid w:val="00757E99"/>
    <w:rsid w:val="00757EB9"/>
    <w:rsid w:val="00757EBD"/>
    <w:rsid w:val="00757EEE"/>
    <w:rsid w:val="00757EFD"/>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FE"/>
    <w:rsid w:val="0076049C"/>
    <w:rsid w:val="00760545"/>
    <w:rsid w:val="00760548"/>
    <w:rsid w:val="0076054A"/>
    <w:rsid w:val="007605A7"/>
    <w:rsid w:val="007605EC"/>
    <w:rsid w:val="00760606"/>
    <w:rsid w:val="00760607"/>
    <w:rsid w:val="00760651"/>
    <w:rsid w:val="00760686"/>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E8"/>
    <w:rsid w:val="007609F3"/>
    <w:rsid w:val="00760A43"/>
    <w:rsid w:val="00760A51"/>
    <w:rsid w:val="00760A89"/>
    <w:rsid w:val="00760AF8"/>
    <w:rsid w:val="00760B45"/>
    <w:rsid w:val="00760BBD"/>
    <w:rsid w:val="00760BCC"/>
    <w:rsid w:val="00760BCD"/>
    <w:rsid w:val="00760BD2"/>
    <w:rsid w:val="00760C32"/>
    <w:rsid w:val="00760C36"/>
    <w:rsid w:val="00760C39"/>
    <w:rsid w:val="00760C7B"/>
    <w:rsid w:val="00760CAD"/>
    <w:rsid w:val="00760CD2"/>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0FC3"/>
    <w:rsid w:val="00761037"/>
    <w:rsid w:val="00761073"/>
    <w:rsid w:val="00761074"/>
    <w:rsid w:val="00761078"/>
    <w:rsid w:val="007610A0"/>
    <w:rsid w:val="007610E7"/>
    <w:rsid w:val="00761127"/>
    <w:rsid w:val="0076112F"/>
    <w:rsid w:val="00761184"/>
    <w:rsid w:val="007611A1"/>
    <w:rsid w:val="007611DA"/>
    <w:rsid w:val="007611EC"/>
    <w:rsid w:val="00761270"/>
    <w:rsid w:val="0076128A"/>
    <w:rsid w:val="00761290"/>
    <w:rsid w:val="007612BD"/>
    <w:rsid w:val="007612CD"/>
    <w:rsid w:val="007612DF"/>
    <w:rsid w:val="00761316"/>
    <w:rsid w:val="00761354"/>
    <w:rsid w:val="00761359"/>
    <w:rsid w:val="0076136B"/>
    <w:rsid w:val="007613A7"/>
    <w:rsid w:val="007613B0"/>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B0"/>
    <w:rsid w:val="00761F1C"/>
    <w:rsid w:val="00761F1F"/>
    <w:rsid w:val="00761F2D"/>
    <w:rsid w:val="00761F63"/>
    <w:rsid w:val="00761F84"/>
    <w:rsid w:val="00761FBC"/>
    <w:rsid w:val="00761FD6"/>
    <w:rsid w:val="00761FF8"/>
    <w:rsid w:val="0076205B"/>
    <w:rsid w:val="00762061"/>
    <w:rsid w:val="00762075"/>
    <w:rsid w:val="007620CC"/>
    <w:rsid w:val="007620D6"/>
    <w:rsid w:val="007620E7"/>
    <w:rsid w:val="00762171"/>
    <w:rsid w:val="00762177"/>
    <w:rsid w:val="0076217C"/>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9"/>
    <w:rsid w:val="0076244A"/>
    <w:rsid w:val="00762488"/>
    <w:rsid w:val="0076248C"/>
    <w:rsid w:val="00762494"/>
    <w:rsid w:val="00762497"/>
    <w:rsid w:val="007624B8"/>
    <w:rsid w:val="007624E6"/>
    <w:rsid w:val="00762520"/>
    <w:rsid w:val="00762534"/>
    <w:rsid w:val="00762541"/>
    <w:rsid w:val="00762598"/>
    <w:rsid w:val="007625FD"/>
    <w:rsid w:val="0076260B"/>
    <w:rsid w:val="0076260C"/>
    <w:rsid w:val="007626EB"/>
    <w:rsid w:val="0076270C"/>
    <w:rsid w:val="00762746"/>
    <w:rsid w:val="0076276A"/>
    <w:rsid w:val="0076277E"/>
    <w:rsid w:val="0076278A"/>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B25"/>
    <w:rsid w:val="00762B5B"/>
    <w:rsid w:val="00762B66"/>
    <w:rsid w:val="00762B76"/>
    <w:rsid w:val="00762BD3"/>
    <w:rsid w:val="00762CFE"/>
    <w:rsid w:val="00762D6F"/>
    <w:rsid w:val="00762DA3"/>
    <w:rsid w:val="00762E0A"/>
    <w:rsid w:val="00762E2C"/>
    <w:rsid w:val="00762E38"/>
    <w:rsid w:val="00762EC2"/>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44"/>
    <w:rsid w:val="00763576"/>
    <w:rsid w:val="0076359A"/>
    <w:rsid w:val="0076359F"/>
    <w:rsid w:val="007635B2"/>
    <w:rsid w:val="007635C3"/>
    <w:rsid w:val="00763600"/>
    <w:rsid w:val="0076369E"/>
    <w:rsid w:val="007636F3"/>
    <w:rsid w:val="007636F4"/>
    <w:rsid w:val="0076370B"/>
    <w:rsid w:val="0076376F"/>
    <w:rsid w:val="007637BA"/>
    <w:rsid w:val="007637C5"/>
    <w:rsid w:val="007637DA"/>
    <w:rsid w:val="00763817"/>
    <w:rsid w:val="0076381B"/>
    <w:rsid w:val="00763838"/>
    <w:rsid w:val="00763892"/>
    <w:rsid w:val="007638D4"/>
    <w:rsid w:val="007638F5"/>
    <w:rsid w:val="0076399B"/>
    <w:rsid w:val="007639DF"/>
    <w:rsid w:val="007639E6"/>
    <w:rsid w:val="00763A3F"/>
    <w:rsid w:val="00763A86"/>
    <w:rsid w:val="00763AC3"/>
    <w:rsid w:val="00763B18"/>
    <w:rsid w:val="00763B33"/>
    <w:rsid w:val="00763B7C"/>
    <w:rsid w:val="00763BB3"/>
    <w:rsid w:val="00763C21"/>
    <w:rsid w:val="00763C2E"/>
    <w:rsid w:val="00763CC5"/>
    <w:rsid w:val="00763CDD"/>
    <w:rsid w:val="00763CF0"/>
    <w:rsid w:val="00763D15"/>
    <w:rsid w:val="00763D17"/>
    <w:rsid w:val="00763D4A"/>
    <w:rsid w:val="00763D5D"/>
    <w:rsid w:val="00763D67"/>
    <w:rsid w:val="00763D6F"/>
    <w:rsid w:val="00763D72"/>
    <w:rsid w:val="00763DD8"/>
    <w:rsid w:val="00763DE2"/>
    <w:rsid w:val="00763E46"/>
    <w:rsid w:val="00763E4A"/>
    <w:rsid w:val="00763E53"/>
    <w:rsid w:val="00763E57"/>
    <w:rsid w:val="00763E8C"/>
    <w:rsid w:val="00763E9D"/>
    <w:rsid w:val="00763EB6"/>
    <w:rsid w:val="00763ED4"/>
    <w:rsid w:val="00763F0C"/>
    <w:rsid w:val="00763F28"/>
    <w:rsid w:val="00763F3B"/>
    <w:rsid w:val="00763F4D"/>
    <w:rsid w:val="00763F86"/>
    <w:rsid w:val="00763FEF"/>
    <w:rsid w:val="00764002"/>
    <w:rsid w:val="0076401E"/>
    <w:rsid w:val="007640C6"/>
    <w:rsid w:val="007640DB"/>
    <w:rsid w:val="007640F7"/>
    <w:rsid w:val="00764141"/>
    <w:rsid w:val="0076425D"/>
    <w:rsid w:val="0076426E"/>
    <w:rsid w:val="0076430D"/>
    <w:rsid w:val="00764384"/>
    <w:rsid w:val="00764396"/>
    <w:rsid w:val="007643AB"/>
    <w:rsid w:val="007643EA"/>
    <w:rsid w:val="0076440A"/>
    <w:rsid w:val="00764438"/>
    <w:rsid w:val="00764462"/>
    <w:rsid w:val="0076449C"/>
    <w:rsid w:val="007644B5"/>
    <w:rsid w:val="007644CF"/>
    <w:rsid w:val="0076450F"/>
    <w:rsid w:val="00764541"/>
    <w:rsid w:val="007645D2"/>
    <w:rsid w:val="007645E0"/>
    <w:rsid w:val="007645EE"/>
    <w:rsid w:val="00764630"/>
    <w:rsid w:val="00764684"/>
    <w:rsid w:val="007646DC"/>
    <w:rsid w:val="00764706"/>
    <w:rsid w:val="00764734"/>
    <w:rsid w:val="00764794"/>
    <w:rsid w:val="007647C5"/>
    <w:rsid w:val="007647CE"/>
    <w:rsid w:val="00764817"/>
    <w:rsid w:val="00764867"/>
    <w:rsid w:val="00764870"/>
    <w:rsid w:val="00764896"/>
    <w:rsid w:val="00764953"/>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6A"/>
    <w:rsid w:val="00764D81"/>
    <w:rsid w:val="00764D9D"/>
    <w:rsid w:val="00764DB9"/>
    <w:rsid w:val="00764DD2"/>
    <w:rsid w:val="00764ED0"/>
    <w:rsid w:val="00764F15"/>
    <w:rsid w:val="00764F4E"/>
    <w:rsid w:val="00764FE2"/>
    <w:rsid w:val="00765030"/>
    <w:rsid w:val="0076504A"/>
    <w:rsid w:val="00765065"/>
    <w:rsid w:val="00765080"/>
    <w:rsid w:val="0076509C"/>
    <w:rsid w:val="007650B5"/>
    <w:rsid w:val="007650E0"/>
    <w:rsid w:val="007650E9"/>
    <w:rsid w:val="00765140"/>
    <w:rsid w:val="0076514C"/>
    <w:rsid w:val="0076518F"/>
    <w:rsid w:val="007651A0"/>
    <w:rsid w:val="007651BB"/>
    <w:rsid w:val="007651EF"/>
    <w:rsid w:val="007652C5"/>
    <w:rsid w:val="00765308"/>
    <w:rsid w:val="007653A1"/>
    <w:rsid w:val="007653A8"/>
    <w:rsid w:val="007653FE"/>
    <w:rsid w:val="00765412"/>
    <w:rsid w:val="0076548B"/>
    <w:rsid w:val="0076549F"/>
    <w:rsid w:val="007654AD"/>
    <w:rsid w:val="007654C3"/>
    <w:rsid w:val="007654EA"/>
    <w:rsid w:val="007654FF"/>
    <w:rsid w:val="0076550B"/>
    <w:rsid w:val="00765541"/>
    <w:rsid w:val="00765618"/>
    <w:rsid w:val="00765622"/>
    <w:rsid w:val="0076565D"/>
    <w:rsid w:val="00765670"/>
    <w:rsid w:val="007656C1"/>
    <w:rsid w:val="007656D5"/>
    <w:rsid w:val="007656E5"/>
    <w:rsid w:val="0076572E"/>
    <w:rsid w:val="0076578A"/>
    <w:rsid w:val="007657CF"/>
    <w:rsid w:val="007657EE"/>
    <w:rsid w:val="007657FF"/>
    <w:rsid w:val="0076580D"/>
    <w:rsid w:val="0076582F"/>
    <w:rsid w:val="00765869"/>
    <w:rsid w:val="00765897"/>
    <w:rsid w:val="007658A2"/>
    <w:rsid w:val="007658AE"/>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B25"/>
    <w:rsid w:val="00765C51"/>
    <w:rsid w:val="00765C99"/>
    <w:rsid w:val="00765D4F"/>
    <w:rsid w:val="00765D64"/>
    <w:rsid w:val="00765D77"/>
    <w:rsid w:val="00765E1A"/>
    <w:rsid w:val="00765E47"/>
    <w:rsid w:val="00765E83"/>
    <w:rsid w:val="00765EB2"/>
    <w:rsid w:val="00765F34"/>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E8"/>
    <w:rsid w:val="007661ED"/>
    <w:rsid w:val="00766200"/>
    <w:rsid w:val="00766206"/>
    <w:rsid w:val="00766229"/>
    <w:rsid w:val="007662B8"/>
    <w:rsid w:val="00766334"/>
    <w:rsid w:val="0076634A"/>
    <w:rsid w:val="0076639C"/>
    <w:rsid w:val="007663BE"/>
    <w:rsid w:val="007663C2"/>
    <w:rsid w:val="00766436"/>
    <w:rsid w:val="00766439"/>
    <w:rsid w:val="00766448"/>
    <w:rsid w:val="0076644E"/>
    <w:rsid w:val="007664AD"/>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A32"/>
    <w:rsid w:val="00766A67"/>
    <w:rsid w:val="00766A6D"/>
    <w:rsid w:val="00766AC2"/>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93"/>
    <w:rsid w:val="00766ED4"/>
    <w:rsid w:val="00766F03"/>
    <w:rsid w:val="00766F20"/>
    <w:rsid w:val="00766F22"/>
    <w:rsid w:val="00766F55"/>
    <w:rsid w:val="00766F8A"/>
    <w:rsid w:val="00766F98"/>
    <w:rsid w:val="00766FB9"/>
    <w:rsid w:val="00766FD6"/>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08"/>
    <w:rsid w:val="00767818"/>
    <w:rsid w:val="007678A6"/>
    <w:rsid w:val="007678FE"/>
    <w:rsid w:val="0076795C"/>
    <w:rsid w:val="0076796A"/>
    <w:rsid w:val="00767973"/>
    <w:rsid w:val="0076798E"/>
    <w:rsid w:val="00767990"/>
    <w:rsid w:val="007679E8"/>
    <w:rsid w:val="007679F7"/>
    <w:rsid w:val="00767A0E"/>
    <w:rsid w:val="00767A2B"/>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15"/>
    <w:rsid w:val="0077022E"/>
    <w:rsid w:val="0077024C"/>
    <w:rsid w:val="0077029D"/>
    <w:rsid w:val="00770300"/>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2B"/>
    <w:rsid w:val="00770785"/>
    <w:rsid w:val="0077078E"/>
    <w:rsid w:val="007707F7"/>
    <w:rsid w:val="0077082C"/>
    <w:rsid w:val="00770858"/>
    <w:rsid w:val="0077086C"/>
    <w:rsid w:val="00770875"/>
    <w:rsid w:val="007708DC"/>
    <w:rsid w:val="007708F0"/>
    <w:rsid w:val="00770908"/>
    <w:rsid w:val="00770968"/>
    <w:rsid w:val="0077098C"/>
    <w:rsid w:val="00770A30"/>
    <w:rsid w:val="00770A58"/>
    <w:rsid w:val="00770B11"/>
    <w:rsid w:val="00770B12"/>
    <w:rsid w:val="00770B23"/>
    <w:rsid w:val="00770B42"/>
    <w:rsid w:val="00770B6E"/>
    <w:rsid w:val="00770B78"/>
    <w:rsid w:val="00770B7C"/>
    <w:rsid w:val="00770B86"/>
    <w:rsid w:val="00770B9A"/>
    <w:rsid w:val="00770BC8"/>
    <w:rsid w:val="00770BE3"/>
    <w:rsid w:val="00770CDE"/>
    <w:rsid w:val="00770D29"/>
    <w:rsid w:val="00770D7C"/>
    <w:rsid w:val="00770D89"/>
    <w:rsid w:val="00770D96"/>
    <w:rsid w:val="00770E2C"/>
    <w:rsid w:val="00770E95"/>
    <w:rsid w:val="00770EEE"/>
    <w:rsid w:val="00770F0B"/>
    <w:rsid w:val="00770F6A"/>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A0"/>
    <w:rsid w:val="007724F6"/>
    <w:rsid w:val="00772541"/>
    <w:rsid w:val="00772560"/>
    <w:rsid w:val="00772576"/>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E00"/>
    <w:rsid w:val="00772E29"/>
    <w:rsid w:val="00772E78"/>
    <w:rsid w:val="00772EF8"/>
    <w:rsid w:val="00772F12"/>
    <w:rsid w:val="00772F2C"/>
    <w:rsid w:val="00772F40"/>
    <w:rsid w:val="00772F57"/>
    <w:rsid w:val="00772F83"/>
    <w:rsid w:val="00773010"/>
    <w:rsid w:val="00773080"/>
    <w:rsid w:val="00773095"/>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1F"/>
    <w:rsid w:val="0077352B"/>
    <w:rsid w:val="0077354A"/>
    <w:rsid w:val="0077355C"/>
    <w:rsid w:val="0077355E"/>
    <w:rsid w:val="0077358C"/>
    <w:rsid w:val="00773625"/>
    <w:rsid w:val="00773637"/>
    <w:rsid w:val="007736AA"/>
    <w:rsid w:val="00773718"/>
    <w:rsid w:val="0077377B"/>
    <w:rsid w:val="00773782"/>
    <w:rsid w:val="0077378F"/>
    <w:rsid w:val="007737A9"/>
    <w:rsid w:val="007737C4"/>
    <w:rsid w:val="007737FB"/>
    <w:rsid w:val="00773824"/>
    <w:rsid w:val="0077384B"/>
    <w:rsid w:val="0077386F"/>
    <w:rsid w:val="00773889"/>
    <w:rsid w:val="007738C9"/>
    <w:rsid w:val="00773904"/>
    <w:rsid w:val="007739D4"/>
    <w:rsid w:val="007739FD"/>
    <w:rsid w:val="00773A78"/>
    <w:rsid w:val="00773A84"/>
    <w:rsid w:val="00773AA9"/>
    <w:rsid w:val="00773AE6"/>
    <w:rsid w:val="00773AF9"/>
    <w:rsid w:val="00773B48"/>
    <w:rsid w:val="00773B58"/>
    <w:rsid w:val="00773B5F"/>
    <w:rsid w:val="00773B8B"/>
    <w:rsid w:val="00773B9D"/>
    <w:rsid w:val="00773BEC"/>
    <w:rsid w:val="00773C04"/>
    <w:rsid w:val="00773C2A"/>
    <w:rsid w:val="00773C3A"/>
    <w:rsid w:val="00773C6C"/>
    <w:rsid w:val="00773C8B"/>
    <w:rsid w:val="00773CB4"/>
    <w:rsid w:val="00773CF8"/>
    <w:rsid w:val="00773CFB"/>
    <w:rsid w:val="00773CFF"/>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37"/>
    <w:rsid w:val="00774378"/>
    <w:rsid w:val="007743AE"/>
    <w:rsid w:val="007743C2"/>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10"/>
    <w:rsid w:val="00774928"/>
    <w:rsid w:val="00774966"/>
    <w:rsid w:val="00774994"/>
    <w:rsid w:val="007749DB"/>
    <w:rsid w:val="007749E2"/>
    <w:rsid w:val="00774A29"/>
    <w:rsid w:val="00774A32"/>
    <w:rsid w:val="00774A3F"/>
    <w:rsid w:val="00774A43"/>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F06"/>
    <w:rsid w:val="00774F33"/>
    <w:rsid w:val="00774F50"/>
    <w:rsid w:val="00774FD4"/>
    <w:rsid w:val="00774FD8"/>
    <w:rsid w:val="00774FDC"/>
    <w:rsid w:val="0077501C"/>
    <w:rsid w:val="00775067"/>
    <w:rsid w:val="00775080"/>
    <w:rsid w:val="0077509C"/>
    <w:rsid w:val="007750D9"/>
    <w:rsid w:val="00775112"/>
    <w:rsid w:val="007751A6"/>
    <w:rsid w:val="007751DD"/>
    <w:rsid w:val="00775232"/>
    <w:rsid w:val="007752A5"/>
    <w:rsid w:val="00775395"/>
    <w:rsid w:val="0077539B"/>
    <w:rsid w:val="007753A8"/>
    <w:rsid w:val="007753EE"/>
    <w:rsid w:val="007753F4"/>
    <w:rsid w:val="00775402"/>
    <w:rsid w:val="00775476"/>
    <w:rsid w:val="007754EC"/>
    <w:rsid w:val="007754FF"/>
    <w:rsid w:val="00775507"/>
    <w:rsid w:val="00775568"/>
    <w:rsid w:val="007755B1"/>
    <w:rsid w:val="007755B6"/>
    <w:rsid w:val="007755CE"/>
    <w:rsid w:val="007755E3"/>
    <w:rsid w:val="00775627"/>
    <w:rsid w:val="00775654"/>
    <w:rsid w:val="00775665"/>
    <w:rsid w:val="00775756"/>
    <w:rsid w:val="0077575F"/>
    <w:rsid w:val="00775785"/>
    <w:rsid w:val="007757A6"/>
    <w:rsid w:val="007757C5"/>
    <w:rsid w:val="007757CF"/>
    <w:rsid w:val="007757D6"/>
    <w:rsid w:val="0077585B"/>
    <w:rsid w:val="0077585C"/>
    <w:rsid w:val="00775895"/>
    <w:rsid w:val="007758C1"/>
    <w:rsid w:val="00775904"/>
    <w:rsid w:val="0077591E"/>
    <w:rsid w:val="00775929"/>
    <w:rsid w:val="0077594E"/>
    <w:rsid w:val="00775951"/>
    <w:rsid w:val="00775969"/>
    <w:rsid w:val="00775983"/>
    <w:rsid w:val="007759CE"/>
    <w:rsid w:val="00775A3C"/>
    <w:rsid w:val="00775A90"/>
    <w:rsid w:val="00775AE0"/>
    <w:rsid w:val="00775B48"/>
    <w:rsid w:val="00775B74"/>
    <w:rsid w:val="00775B9B"/>
    <w:rsid w:val="00775C42"/>
    <w:rsid w:val="00775C48"/>
    <w:rsid w:val="00775C72"/>
    <w:rsid w:val="00775D29"/>
    <w:rsid w:val="00775D4C"/>
    <w:rsid w:val="00775D5D"/>
    <w:rsid w:val="00775D70"/>
    <w:rsid w:val="00775D7B"/>
    <w:rsid w:val="00775D9F"/>
    <w:rsid w:val="00775E1E"/>
    <w:rsid w:val="00775E33"/>
    <w:rsid w:val="00775E54"/>
    <w:rsid w:val="00775E87"/>
    <w:rsid w:val="00775E89"/>
    <w:rsid w:val="00775ED5"/>
    <w:rsid w:val="00775F5E"/>
    <w:rsid w:val="00775F61"/>
    <w:rsid w:val="00775F77"/>
    <w:rsid w:val="00775FD4"/>
    <w:rsid w:val="00775FDC"/>
    <w:rsid w:val="00775FF8"/>
    <w:rsid w:val="00775FFF"/>
    <w:rsid w:val="00776005"/>
    <w:rsid w:val="0077608A"/>
    <w:rsid w:val="0077609B"/>
    <w:rsid w:val="007760EF"/>
    <w:rsid w:val="00776125"/>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D"/>
    <w:rsid w:val="0077665F"/>
    <w:rsid w:val="00776679"/>
    <w:rsid w:val="0077668E"/>
    <w:rsid w:val="0077673D"/>
    <w:rsid w:val="0077676B"/>
    <w:rsid w:val="00776795"/>
    <w:rsid w:val="00776829"/>
    <w:rsid w:val="00776830"/>
    <w:rsid w:val="00776867"/>
    <w:rsid w:val="007768DB"/>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C03"/>
    <w:rsid w:val="00776D93"/>
    <w:rsid w:val="00776DD2"/>
    <w:rsid w:val="00776E2D"/>
    <w:rsid w:val="00776E55"/>
    <w:rsid w:val="00776F02"/>
    <w:rsid w:val="00776F07"/>
    <w:rsid w:val="00776F2C"/>
    <w:rsid w:val="00776F58"/>
    <w:rsid w:val="00776FC4"/>
    <w:rsid w:val="00776FDD"/>
    <w:rsid w:val="00776FE7"/>
    <w:rsid w:val="00777031"/>
    <w:rsid w:val="00777033"/>
    <w:rsid w:val="00777038"/>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3A"/>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D"/>
    <w:rsid w:val="00780182"/>
    <w:rsid w:val="00780254"/>
    <w:rsid w:val="00780296"/>
    <w:rsid w:val="007802BE"/>
    <w:rsid w:val="007802E8"/>
    <w:rsid w:val="00780306"/>
    <w:rsid w:val="00780309"/>
    <w:rsid w:val="0078031D"/>
    <w:rsid w:val="0078033D"/>
    <w:rsid w:val="0078035B"/>
    <w:rsid w:val="007803F5"/>
    <w:rsid w:val="007803F7"/>
    <w:rsid w:val="0078043D"/>
    <w:rsid w:val="00780484"/>
    <w:rsid w:val="007804EA"/>
    <w:rsid w:val="0078051A"/>
    <w:rsid w:val="00780553"/>
    <w:rsid w:val="007805F2"/>
    <w:rsid w:val="0078069C"/>
    <w:rsid w:val="007806FC"/>
    <w:rsid w:val="00780758"/>
    <w:rsid w:val="00780796"/>
    <w:rsid w:val="0078081E"/>
    <w:rsid w:val="00780835"/>
    <w:rsid w:val="00780843"/>
    <w:rsid w:val="0078084C"/>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E"/>
    <w:rsid w:val="00780ED3"/>
    <w:rsid w:val="00780F09"/>
    <w:rsid w:val="00780F20"/>
    <w:rsid w:val="00780F42"/>
    <w:rsid w:val="00780F56"/>
    <w:rsid w:val="00780F57"/>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4"/>
    <w:rsid w:val="00781608"/>
    <w:rsid w:val="00781682"/>
    <w:rsid w:val="007816A6"/>
    <w:rsid w:val="007816BD"/>
    <w:rsid w:val="007817A7"/>
    <w:rsid w:val="007817BD"/>
    <w:rsid w:val="00781868"/>
    <w:rsid w:val="0078187A"/>
    <w:rsid w:val="007818DE"/>
    <w:rsid w:val="00781928"/>
    <w:rsid w:val="00781941"/>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DEC"/>
    <w:rsid w:val="00781E5E"/>
    <w:rsid w:val="00781E8A"/>
    <w:rsid w:val="00781F02"/>
    <w:rsid w:val="00781F3F"/>
    <w:rsid w:val="00781FAF"/>
    <w:rsid w:val="00781FBA"/>
    <w:rsid w:val="00782015"/>
    <w:rsid w:val="00782057"/>
    <w:rsid w:val="0078206C"/>
    <w:rsid w:val="0078208E"/>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C"/>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790"/>
    <w:rsid w:val="0078284A"/>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F5"/>
    <w:rsid w:val="00782C21"/>
    <w:rsid w:val="00782CD2"/>
    <w:rsid w:val="00782D05"/>
    <w:rsid w:val="00782D40"/>
    <w:rsid w:val="00782D46"/>
    <w:rsid w:val="00782D51"/>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CA"/>
    <w:rsid w:val="00782FFB"/>
    <w:rsid w:val="0078301F"/>
    <w:rsid w:val="007830B9"/>
    <w:rsid w:val="00783132"/>
    <w:rsid w:val="0078318B"/>
    <w:rsid w:val="00783195"/>
    <w:rsid w:val="007831B2"/>
    <w:rsid w:val="007831E1"/>
    <w:rsid w:val="00783243"/>
    <w:rsid w:val="00783245"/>
    <w:rsid w:val="0078332D"/>
    <w:rsid w:val="00783335"/>
    <w:rsid w:val="0078334C"/>
    <w:rsid w:val="00783382"/>
    <w:rsid w:val="00783409"/>
    <w:rsid w:val="0078341F"/>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BF"/>
    <w:rsid w:val="007836F7"/>
    <w:rsid w:val="00783717"/>
    <w:rsid w:val="0078375A"/>
    <w:rsid w:val="00783796"/>
    <w:rsid w:val="007837AC"/>
    <w:rsid w:val="007837C0"/>
    <w:rsid w:val="007837E9"/>
    <w:rsid w:val="00783827"/>
    <w:rsid w:val="0078383F"/>
    <w:rsid w:val="00783856"/>
    <w:rsid w:val="0078397A"/>
    <w:rsid w:val="007839E7"/>
    <w:rsid w:val="007839FC"/>
    <w:rsid w:val="00783A06"/>
    <w:rsid w:val="00783A27"/>
    <w:rsid w:val="00783AAE"/>
    <w:rsid w:val="00783AEB"/>
    <w:rsid w:val="00783B21"/>
    <w:rsid w:val="00783B71"/>
    <w:rsid w:val="00783B7B"/>
    <w:rsid w:val="00783BA7"/>
    <w:rsid w:val="00783BCB"/>
    <w:rsid w:val="00783BEA"/>
    <w:rsid w:val="00783BEC"/>
    <w:rsid w:val="00783C21"/>
    <w:rsid w:val="00783C40"/>
    <w:rsid w:val="00783C49"/>
    <w:rsid w:val="00783C6B"/>
    <w:rsid w:val="00783C79"/>
    <w:rsid w:val="00783C85"/>
    <w:rsid w:val="00783CA2"/>
    <w:rsid w:val="00783D9F"/>
    <w:rsid w:val="00783DB5"/>
    <w:rsid w:val="00783DD1"/>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66"/>
    <w:rsid w:val="00784395"/>
    <w:rsid w:val="007843B2"/>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64"/>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3"/>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A3"/>
    <w:rsid w:val="00784F59"/>
    <w:rsid w:val="00784F76"/>
    <w:rsid w:val="00784FB2"/>
    <w:rsid w:val="0078501B"/>
    <w:rsid w:val="00785045"/>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C0"/>
    <w:rsid w:val="007853DC"/>
    <w:rsid w:val="007853E3"/>
    <w:rsid w:val="00785430"/>
    <w:rsid w:val="0078543F"/>
    <w:rsid w:val="00785485"/>
    <w:rsid w:val="00785497"/>
    <w:rsid w:val="007854B3"/>
    <w:rsid w:val="00785524"/>
    <w:rsid w:val="007855D4"/>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BF"/>
    <w:rsid w:val="00785F0A"/>
    <w:rsid w:val="00785F75"/>
    <w:rsid w:val="00785FF0"/>
    <w:rsid w:val="0078601D"/>
    <w:rsid w:val="00786028"/>
    <w:rsid w:val="00786135"/>
    <w:rsid w:val="007861B4"/>
    <w:rsid w:val="007861CF"/>
    <w:rsid w:val="0078620B"/>
    <w:rsid w:val="00786288"/>
    <w:rsid w:val="00786291"/>
    <w:rsid w:val="0078634C"/>
    <w:rsid w:val="00786356"/>
    <w:rsid w:val="007863F8"/>
    <w:rsid w:val="00786444"/>
    <w:rsid w:val="00786463"/>
    <w:rsid w:val="00786470"/>
    <w:rsid w:val="00786473"/>
    <w:rsid w:val="00786486"/>
    <w:rsid w:val="007864D0"/>
    <w:rsid w:val="007864E7"/>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52"/>
    <w:rsid w:val="00786C63"/>
    <w:rsid w:val="00786C77"/>
    <w:rsid w:val="00786CEE"/>
    <w:rsid w:val="00786E06"/>
    <w:rsid w:val="00786E0B"/>
    <w:rsid w:val="00786E29"/>
    <w:rsid w:val="00786E46"/>
    <w:rsid w:val="00786E7B"/>
    <w:rsid w:val="00786ECA"/>
    <w:rsid w:val="00786EF9"/>
    <w:rsid w:val="00786F21"/>
    <w:rsid w:val="00786F62"/>
    <w:rsid w:val="00786F7F"/>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42"/>
    <w:rsid w:val="0078745E"/>
    <w:rsid w:val="007874A9"/>
    <w:rsid w:val="00787516"/>
    <w:rsid w:val="00787517"/>
    <w:rsid w:val="007875C0"/>
    <w:rsid w:val="007876BA"/>
    <w:rsid w:val="007876F2"/>
    <w:rsid w:val="00787727"/>
    <w:rsid w:val="00787743"/>
    <w:rsid w:val="00787750"/>
    <w:rsid w:val="00787798"/>
    <w:rsid w:val="007877A2"/>
    <w:rsid w:val="007877CB"/>
    <w:rsid w:val="007877D2"/>
    <w:rsid w:val="007877F0"/>
    <w:rsid w:val="00787802"/>
    <w:rsid w:val="00787823"/>
    <w:rsid w:val="0078782A"/>
    <w:rsid w:val="0078788C"/>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11"/>
    <w:rsid w:val="00787C20"/>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75"/>
    <w:rsid w:val="00787FFA"/>
    <w:rsid w:val="0079006E"/>
    <w:rsid w:val="00790164"/>
    <w:rsid w:val="007901AB"/>
    <w:rsid w:val="007901E6"/>
    <w:rsid w:val="00790240"/>
    <w:rsid w:val="00790265"/>
    <w:rsid w:val="0079027B"/>
    <w:rsid w:val="00790280"/>
    <w:rsid w:val="007902A4"/>
    <w:rsid w:val="007902B4"/>
    <w:rsid w:val="0079031E"/>
    <w:rsid w:val="00790395"/>
    <w:rsid w:val="0079039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55"/>
    <w:rsid w:val="00790673"/>
    <w:rsid w:val="007906C9"/>
    <w:rsid w:val="0079076D"/>
    <w:rsid w:val="0079080B"/>
    <w:rsid w:val="00790845"/>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6FD"/>
    <w:rsid w:val="007917A9"/>
    <w:rsid w:val="00791860"/>
    <w:rsid w:val="00791867"/>
    <w:rsid w:val="0079187B"/>
    <w:rsid w:val="00791895"/>
    <w:rsid w:val="007918AA"/>
    <w:rsid w:val="00791956"/>
    <w:rsid w:val="0079199A"/>
    <w:rsid w:val="0079199D"/>
    <w:rsid w:val="007919BE"/>
    <w:rsid w:val="007919F7"/>
    <w:rsid w:val="00791A48"/>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D6"/>
    <w:rsid w:val="00791EE0"/>
    <w:rsid w:val="00791F0C"/>
    <w:rsid w:val="00791F5B"/>
    <w:rsid w:val="00791F75"/>
    <w:rsid w:val="00791FAF"/>
    <w:rsid w:val="00792022"/>
    <w:rsid w:val="00792039"/>
    <w:rsid w:val="007920A8"/>
    <w:rsid w:val="007920B7"/>
    <w:rsid w:val="007920C5"/>
    <w:rsid w:val="007920DD"/>
    <w:rsid w:val="007921AC"/>
    <w:rsid w:val="00792219"/>
    <w:rsid w:val="0079223A"/>
    <w:rsid w:val="0079224D"/>
    <w:rsid w:val="00792253"/>
    <w:rsid w:val="0079227D"/>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6"/>
    <w:rsid w:val="00792AAE"/>
    <w:rsid w:val="00792AD3"/>
    <w:rsid w:val="00792B17"/>
    <w:rsid w:val="00792B5C"/>
    <w:rsid w:val="00792BA9"/>
    <w:rsid w:val="00792C0D"/>
    <w:rsid w:val="00792C35"/>
    <w:rsid w:val="00792C57"/>
    <w:rsid w:val="00792C7A"/>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12C"/>
    <w:rsid w:val="00793192"/>
    <w:rsid w:val="007931C5"/>
    <w:rsid w:val="0079324D"/>
    <w:rsid w:val="0079326C"/>
    <w:rsid w:val="0079327B"/>
    <w:rsid w:val="007932D6"/>
    <w:rsid w:val="007932E5"/>
    <w:rsid w:val="007932F0"/>
    <w:rsid w:val="0079333B"/>
    <w:rsid w:val="00793352"/>
    <w:rsid w:val="007933B0"/>
    <w:rsid w:val="007933BE"/>
    <w:rsid w:val="00793415"/>
    <w:rsid w:val="0079341E"/>
    <w:rsid w:val="0079343F"/>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86"/>
    <w:rsid w:val="00793A9F"/>
    <w:rsid w:val="00793AF6"/>
    <w:rsid w:val="00793B93"/>
    <w:rsid w:val="00793C05"/>
    <w:rsid w:val="00793C14"/>
    <w:rsid w:val="00793C1B"/>
    <w:rsid w:val="00793C52"/>
    <w:rsid w:val="00793C5A"/>
    <w:rsid w:val="00793C6F"/>
    <w:rsid w:val="00793C88"/>
    <w:rsid w:val="00793DDA"/>
    <w:rsid w:val="00793E99"/>
    <w:rsid w:val="00793EC0"/>
    <w:rsid w:val="00793F08"/>
    <w:rsid w:val="00793F09"/>
    <w:rsid w:val="00794014"/>
    <w:rsid w:val="00794034"/>
    <w:rsid w:val="0079406A"/>
    <w:rsid w:val="0079408B"/>
    <w:rsid w:val="007940A6"/>
    <w:rsid w:val="007940C2"/>
    <w:rsid w:val="007940D4"/>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3F9"/>
    <w:rsid w:val="00794400"/>
    <w:rsid w:val="00794414"/>
    <w:rsid w:val="0079441F"/>
    <w:rsid w:val="007944A2"/>
    <w:rsid w:val="0079452C"/>
    <w:rsid w:val="00794541"/>
    <w:rsid w:val="00794593"/>
    <w:rsid w:val="00794598"/>
    <w:rsid w:val="007945BB"/>
    <w:rsid w:val="0079460B"/>
    <w:rsid w:val="0079463C"/>
    <w:rsid w:val="00794667"/>
    <w:rsid w:val="007947C2"/>
    <w:rsid w:val="0079485F"/>
    <w:rsid w:val="00794875"/>
    <w:rsid w:val="00794894"/>
    <w:rsid w:val="007948A8"/>
    <w:rsid w:val="007948D5"/>
    <w:rsid w:val="0079490F"/>
    <w:rsid w:val="007949A0"/>
    <w:rsid w:val="007949A1"/>
    <w:rsid w:val="007949D7"/>
    <w:rsid w:val="00794A07"/>
    <w:rsid w:val="00794A1E"/>
    <w:rsid w:val="00794A2D"/>
    <w:rsid w:val="00794A3A"/>
    <w:rsid w:val="00794A47"/>
    <w:rsid w:val="00794A75"/>
    <w:rsid w:val="00794A7C"/>
    <w:rsid w:val="00794A81"/>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EF"/>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57"/>
    <w:rsid w:val="0079586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E4"/>
    <w:rsid w:val="00795D22"/>
    <w:rsid w:val="00795D3A"/>
    <w:rsid w:val="00795D7A"/>
    <w:rsid w:val="00795DB7"/>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1C"/>
    <w:rsid w:val="0079642D"/>
    <w:rsid w:val="00796456"/>
    <w:rsid w:val="0079646B"/>
    <w:rsid w:val="00796498"/>
    <w:rsid w:val="007964A6"/>
    <w:rsid w:val="007964C4"/>
    <w:rsid w:val="007964F4"/>
    <w:rsid w:val="0079656E"/>
    <w:rsid w:val="007965E9"/>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D09"/>
    <w:rsid w:val="00796D22"/>
    <w:rsid w:val="00796D99"/>
    <w:rsid w:val="00796E61"/>
    <w:rsid w:val="00796E65"/>
    <w:rsid w:val="00796E71"/>
    <w:rsid w:val="00796E96"/>
    <w:rsid w:val="00796F41"/>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18"/>
    <w:rsid w:val="00797531"/>
    <w:rsid w:val="00797578"/>
    <w:rsid w:val="0079759F"/>
    <w:rsid w:val="007975B8"/>
    <w:rsid w:val="007975DD"/>
    <w:rsid w:val="007975F2"/>
    <w:rsid w:val="0079763A"/>
    <w:rsid w:val="00797646"/>
    <w:rsid w:val="00797676"/>
    <w:rsid w:val="0079767C"/>
    <w:rsid w:val="00797687"/>
    <w:rsid w:val="00797697"/>
    <w:rsid w:val="007976AA"/>
    <w:rsid w:val="007976FD"/>
    <w:rsid w:val="00797744"/>
    <w:rsid w:val="0079776D"/>
    <w:rsid w:val="007977C2"/>
    <w:rsid w:val="007977D2"/>
    <w:rsid w:val="007977F4"/>
    <w:rsid w:val="0079781D"/>
    <w:rsid w:val="00797822"/>
    <w:rsid w:val="00797861"/>
    <w:rsid w:val="00797864"/>
    <w:rsid w:val="00797873"/>
    <w:rsid w:val="007978B1"/>
    <w:rsid w:val="007978D4"/>
    <w:rsid w:val="007978F8"/>
    <w:rsid w:val="00797927"/>
    <w:rsid w:val="0079792D"/>
    <w:rsid w:val="00797931"/>
    <w:rsid w:val="00797933"/>
    <w:rsid w:val="0079795A"/>
    <w:rsid w:val="00797979"/>
    <w:rsid w:val="0079797F"/>
    <w:rsid w:val="007979DE"/>
    <w:rsid w:val="00797A20"/>
    <w:rsid w:val="00797A71"/>
    <w:rsid w:val="00797A98"/>
    <w:rsid w:val="00797AB0"/>
    <w:rsid w:val="00797ADC"/>
    <w:rsid w:val="00797AF6"/>
    <w:rsid w:val="00797B28"/>
    <w:rsid w:val="00797B40"/>
    <w:rsid w:val="00797B9E"/>
    <w:rsid w:val="00797C2C"/>
    <w:rsid w:val="00797C58"/>
    <w:rsid w:val="00797C68"/>
    <w:rsid w:val="00797CCB"/>
    <w:rsid w:val="00797D20"/>
    <w:rsid w:val="00797D24"/>
    <w:rsid w:val="00797DBB"/>
    <w:rsid w:val="00797DCC"/>
    <w:rsid w:val="00797E36"/>
    <w:rsid w:val="00797E9A"/>
    <w:rsid w:val="00797EA1"/>
    <w:rsid w:val="00797F80"/>
    <w:rsid w:val="00797F8A"/>
    <w:rsid w:val="00797FDE"/>
    <w:rsid w:val="007A00EC"/>
    <w:rsid w:val="007A00F6"/>
    <w:rsid w:val="007A00F7"/>
    <w:rsid w:val="007A010C"/>
    <w:rsid w:val="007A0129"/>
    <w:rsid w:val="007A012E"/>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10"/>
    <w:rsid w:val="007A0432"/>
    <w:rsid w:val="007A0462"/>
    <w:rsid w:val="007A047B"/>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C5"/>
    <w:rsid w:val="007A07E7"/>
    <w:rsid w:val="007A082B"/>
    <w:rsid w:val="007A0858"/>
    <w:rsid w:val="007A087A"/>
    <w:rsid w:val="007A087B"/>
    <w:rsid w:val="007A08B6"/>
    <w:rsid w:val="007A08DC"/>
    <w:rsid w:val="007A09E0"/>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AD"/>
    <w:rsid w:val="007A10C0"/>
    <w:rsid w:val="007A10C4"/>
    <w:rsid w:val="007A10E2"/>
    <w:rsid w:val="007A10EA"/>
    <w:rsid w:val="007A112A"/>
    <w:rsid w:val="007A1176"/>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1"/>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A9"/>
    <w:rsid w:val="007A1F6E"/>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B7"/>
    <w:rsid w:val="007A22E4"/>
    <w:rsid w:val="007A22F9"/>
    <w:rsid w:val="007A230E"/>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6FB"/>
    <w:rsid w:val="007A2709"/>
    <w:rsid w:val="007A273D"/>
    <w:rsid w:val="007A2766"/>
    <w:rsid w:val="007A278F"/>
    <w:rsid w:val="007A280B"/>
    <w:rsid w:val="007A280E"/>
    <w:rsid w:val="007A2838"/>
    <w:rsid w:val="007A2848"/>
    <w:rsid w:val="007A287C"/>
    <w:rsid w:val="007A287F"/>
    <w:rsid w:val="007A28A7"/>
    <w:rsid w:val="007A28B5"/>
    <w:rsid w:val="007A28CD"/>
    <w:rsid w:val="007A28D0"/>
    <w:rsid w:val="007A28E2"/>
    <w:rsid w:val="007A2905"/>
    <w:rsid w:val="007A296F"/>
    <w:rsid w:val="007A29D2"/>
    <w:rsid w:val="007A2A37"/>
    <w:rsid w:val="007A2ACD"/>
    <w:rsid w:val="007A2AD1"/>
    <w:rsid w:val="007A2B62"/>
    <w:rsid w:val="007A2BCD"/>
    <w:rsid w:val="007A2C42"/>
    <w:rsid w:val="007A2C59"/>
    <w:rsid w:val="007A2CAB"/>
    <w:rsid w:val="007A2D15"/>
    <w:rsid w:val="007A2D62"/>
    <w:rsid w:val="007A2D8A"/>
    <w:rsid w:val="007A2DA4"/>
    <w:rsid w:val="007A2DD8"/>
    <w:rsid w:val="007A2E0B"/>
    <w:rsid w:val="007A2E35"/>
    <w:rsid w:val="007A2E4F"/>
    <w:rsid w:val="007A2E6A"/>
    <w:rsid w:val="007A2F22"/>
    <w:rsid w:val="007A2F2A"/>
    <w:rsid w:val="007A2F64"/>
    <w:rsid w:val="007A2FA4"/>
    <w:rsid w:val="007A2FB3"/>
    <w:rsid w:val="007A2FBE"/>
    <w:rsid w:val="007A2FC7"/>
    <w:rsid w:val="007A3059"/>
    <w:rsid w:val="007A30C3"/>
    <w:rsid w:val="007A30E0"/>
    <w:rsid w:val="007A30EE"/>
    <w:rsid w:val="007A3130"/>
    <w:rsid w:val="007A313C"/>
    <w:rsid w:val="007A319F"/>
    <w:rsid w:val="007A31D1"/>
    <w:rsid w:val="007A31D6"/>
    <w:rsid w:val="007A3208"/>
    <w:rsid w:val="007A320C"/>
    <w:rsid w:val="007A321B"/>
    <w:rsid w:val="007A3223"/>
    <w:rsid w:val="007A3267"/>
    <w:rsid w:val="007A327D"/>
    <w:rsid w:val="007A32DA"/>
    <w:rsid w:val="007A333B"/>
    <w:rsid w:val="007A3363"/>
    <w:rsid w:val="007A339F"/>
    <w:rsid w:val="007A33C3"/>
    <w:rsid w:val="007A33CA"/>
    <w:rsid w:val="007A33F4"/>
    <w:rsid w:val="007A340D"/>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94"/>
    <w:rsid w:val="007A38A1"/>
    <w:rsid w:val="007A38FA"/>
    <w:rsid w:val="007A3903"/>
    <w:rsid w:val="007A3928"/>
    <w:rsid w:val="007A3952"/>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E3"/>
    <w:rsid w:val="007A56EC"/>
    <w:rsid w:val="007A5735"/>
    <w:rsid w:val="007A57C2"/>
    <w:rsid w:val="007A586E"/>
    <w:rsid w:val="007A587A"/>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4F"/>
    <w:rsid w:val="007A5C7E"/>
    <w:rsid w:val="007A5C98"/>
    <w:rsid w:val="007A5D0B"/>
    <w:rsid w:val="007A5DB0"/>
    <w:rsid w:val="007A5DEA"/>
    <w:rsid w:val="007A5E82"/>
    <w:rsid w:val="007A5E85"/>
    <w:rsid w:val="007A5EB3"/>
    <w:rsid w:val="007A5EE5"/>
    <w:rsid w:val="007A5F05"/>
    <w:rsid w:val="007A5F0D"/>
    <w:rsid w:val="007A5F1E"/>
    <w:rsid w:val="007A5F37"/>
    <w:rsid w:val="007A5F3C"/>
    <w:rsid w:val="007A5F5B"/>
    <w:rsid w:val="007A5F91"/>
    <w:rsid w:val="007A5FA2"/>
    <w:rsid w:val="007A5FDE"/>
    <w:rsid w:val="007A5FF0"/>
    <w:rsid w:val="007A603B"/>
    <w:rsid w:val="007A604B"/>
    <w:rsid w:val="007A604E"/>
    <w:rsid w:val="007A6052"/>
    <w:rsid w:val="007A60C7"/>
    <w:rsid w:val="007A60D6"/>
    <w:rsid w:val="007A60EC"/>
    <w:rsid w:val="007A60F2"/>
    <w:rsid w:val="007A610D"/>
    <w:rsid w:val="007A6165"/>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C4"/>
    <w:rsid w:val="007A6530"/>
    <w:rsid w:val="007A6560"/>
    <w:rsid w:val="007A65E3"/>
    <w:rsid w:val="007A66CF"/>
    <w:rsid w:val="007A6735"/>
    <w:rsid w:val="007A675A"/>
    <w:rsid w:val="007A6762"/>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AF"/>
    <w:rsid w:val="007A72C1"/>
    <w:rsid w:val="007A72CC"/>
    <w:rsid w:val="007A72CE"/>
    <w:rsid w:val="007A730B"/>
    <w:rsid w:val="007A73C1"/>
    <w:rsid w:val="007A73E0"/>
    <w:rsid w:val="007A73EC"/>
    <w:rsid w:val="007A7438"/>
    <w:rsid w:val="007A7501"/>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9F8"/>
    <w:rsid w:val="007A7A26"/>
    <w:rsid w:val="007A7A55"/>
    <w:rsid w:val="007A7A7A"/>
    <w:rsid w:val="007A7A80"/>
    <w:rsid w:val="007A7AA1"/>
    <w:rsid w:val="007A7ABD"/>
    <w:rsid w:val="007A7B90"/>
    <w:rsid w:val="007A7BB3"/>
    <w:rsid w:val="007A7BC4"/>
    <w:rsid w:val="007A7BDC"/>
    <w:rsid w:val="007A7C23"/>
    <w:rsid w:val="007A7C49"/>
    <w:rsid w:val="007A7CE7"/>
    <w:rsid w:val="007A7D5C"/>
    <w:rsid w:val="007A7DAB"/>
    <w:rsid w:val="007A7DAE"/>
    <w:rsid w:val="007A7DBA"/>
    <w:rsid w:val="007A7DE0"/>
    <w:rsid w:val="007A7E14"/>
    <w:rsid w:val="007A7E2B"/>
    <w:rsid w:val="007A7E33"/>
    <w:rsid w:val="007A7E4F"/>
    <w:rsid w:val="007A7E54"/>
    <w:rsid w:val="007A7E65"/>
    <w:rsid w:val="007A7EB1"/>
    <w:rsid w:val="007A7F23"/>
    <w:rsid w:val="007A7F3D"/>
    <w:rsid w:val="007A7F42"/>
    <w:rsid w:val="007A7F60"/>
    <w:rsid w:val="007A7F91"/>
    <w:rsid w:val="007A7FBF"/>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502"/>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A9F"/>
    <w:rsid w:val="007B0AC8"/>
    <w:rsid w:val="007B0B01"/>
    <w:rsid w:val="007B0B02"/>
    <w:rsid w:val="007B0B39"/>
    <w:rsid w:val="007B0BAF"/>
    <w:rsid w:val="007B0BC8"/>
    <w:rsid w:val="007B0BDD"/>
    <w:rsid w:val="007B0C17"/>
    <w:rsid w:val="007B0C34"/>
    <w:rsid w:val="007B0C56"/>
    <w:rsid w:val="007B0C78"/>
    <w:rsid w:val="007B0CB7"/>
    <w:rsid w:val="007B0CC6"/>
    <w:rsid w:val="007B0CF8"/>
    <w:rsid w:val="007B0D07"/>
    <w:rsid w:val="007B0D0E"/>
    <w:rsid w:val="007B0DB4"/>
    <w:rsid w:val="007B0E53"/>
    <w:rsid w:val="007B0E64"/>
    <w:rsid w:val="007B0E66"/>
    <w:rsid w:val="007B0E7A"/>
    <w:rsid w:val="007B0ED1"/>
    <w:rsid w:val="007B0F05"/>
    <w:rsid w:val="007B0F2A"/>
    <w:rsid w:val="007B0FB8"/>
    <w:rsid w:val="007B109F"/>
    <w:rsid w:val="007B10B6"/>
    <w:rsid w:val="007B10F4"/>
    <w:rsid w:val="007B114B"/>
    <w:rsid w:val="007B115B"/>
    <w:rsid w:val="007B119A"/>
    <w:rsid w:val="007B11CA"/>
    <w:rsid w:val="007B11D2"/>
    <w:rsid w:val="007B1265"/>
    <w:rsid w:val="007B126D"/>
    <w:rsid w:val="007B12E5"/>
    <w:rsid w:val="007B133F"/>
    <w:rsid w:val="007B139F"/>
    <w:rsid w:val="007B13B6"/>
    <w:rsid w:val="007B13E0"/>
    <w:rsid w:val="007B140B"/>
    <w:rsid w:val="007B1481"/>
    <w:rsid w:val="007B1487"/>
    <w:rsid w:val="007B14BF"/>
    <w:rsid w:val="007B1505"/>
    <w:rsid w:val="007B1517"/>
    <w:rsid w:val="007B15A1"/>
    <w:rsid w:val="007B1625"/>
    <w:rsid w:val="007B1637"/>
    <w:rsid w:val="007B164B"/>
    <w:rsid w:val="007B16C5"/>
    <w:rsid w:val="007B1737"/>
    <w:rsid w:val="007B174E"/>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D8"/>
    <w:rsid w:val="007B1BEE"/>
    <w:rsid w:val="007B1BF3"/>
    <w:rsid w:val="007B1C06"/>
    <w:rsid w:val="007B1C33"/>
    <w:rsid w:val="007B1C6F"/>
    <w:rsid w:val="007B1CBE"/>
    <w:rsid w:val="007B1D73"/>
    <w:rsid w:val="007B1DFF"/>
    <w:rsid w:val="007B1E31"/>
    <w:rsid w:val="007B1F1C"/>
    <w:rsid w:val="007B1F1E"/>
    <w:rsid w:val="007B1FC1"/>
    <w:rsid w:val="007B1FEA"/>
    <w:rsid w:val="007B1FF5"/>
    <w:rsid w:val="007B203E"/>
    <w:rsid w:val="007B204F"/>
    <w:rsid w:val="007B20BF"/>
    <w:rsid w:val="007B210D"/>
    <w:rsid w:val="007B2143"/>
    <w:rsid w:val="007B21AD"/>
    <w:rsid w:val="007B21B8"/>
    <w:rsid w:val="007B2238"/>
    <w:rsid w:val="007B2249"/>
    <w:rsid w:val="007B2255"/>
    <w:rsid w:val="007B2271"/>
    <w:rsid w:val="007B2326"/>
    <w:rsid w:val="007B2342"/>
    <w:rsid w:val="007B23CB"/>
    <w:rsid w:val="007B243B"/>
    <w:rsid w:val="007B244E"/>
    <w:rsid w:val="007B2475"/>
    <w:rsid w:val="007B2487"/>
    <w:rsid w:val="007B25C5"/>
    <w:rsid w:val="007B25E9"/>
    <w:rsid w:val="007B25F1"/>
    <w:rsid w:val="007B2603"/>
    <w:rsid w:val="007B260C"/>
    <w:rsid w:val="007B261A"/>
    <w:rsid w:val="007B2646"/>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56"/>
    <w:rsid w:val="007B2B59"/>
    <w:rsid w:val="007B2BD3"/>
    <w:rsid w:val="007B2C50"/>
    <w:rsid w:val="007B2CC0"/>
    <w:rsid w:val="007B2CE8"/>
    <w:rsid w:val="007B2CFA"/>
    <w:rsid w:val="007B2D4C"/>
    <w:rsid w:val="007B2D68"/>
    <w:rsid w:val="007B2D82"/>
    <w:rsid w:val="007B2D9F"/>
    <w:rsid w:val="007B2DFC"/>
    <w:rsid w:val="007B2E78"/>
    <w:rsid w:val="007B2E80"/>
    <w:rsid w:val="007B2E93"/>
    <w:rsid w:val="007B2F5E"/>
    <w:rsid w:val="007B2F85"/>
    <w:rsid w:val="007B2F87"/>
    <w:rsid w:val="007B2FB2"/>
    <w:rsid w:val="007B2FC3"/>
    <w:rsid w:val="007B2FC6"/>
    <w:rsid w:val="007B2FFE"/>
    <w:rsid w:val="007B3038"/>
    <w:rsid w:val="007B303A"/>
    <w:rsid w:val="007B3063"/>
    <w:rsid w:val="007B308C"/>
    <w:rsid w:val="007B3099"/>
    <w:rsid w:val="007B30AB"/>
    <w:rsid w:val="007B30E8"/>
    <w:rsid w:val="007B30FE"/>
    <w:rsid w:val="007B315B"/>
    <w:rsid w:val="007B31E3"/>
    <w:rsid w:val="007B31F5"/>
    <w:rsid w:val="007B3238"/>
    <w:rsid w:val="007B32A9"/>
    <w:rsid w:val="007B32F0"/>
    <w:rsid w:val="007B32FD"/>
    <w:rsid w:val="007B333C"/>
    <w:rsid w:val="007B3368"/>
    <w:rsid w:val="007B33EA"/>
    <w:rsid w:val="007B342B"/>
    <w:rsid w:val="007B348F"/>
    <w:rsid w:val="007B34A7"/>
    <w:rsid w:val="007B34B5"/>
    <w:rsid w:val="007B34E5"/>
    <w:rsid w:val="007B34E8"/>
    <w:rsid w:val="007B351A"/>
    <w:rsid w:val="007B3569"/>
    <w:rsid w:val="007B3597"/>
    <w:rsid w:val="007B35C1"/>
    <w:rsid w:val="007B35C5"/>
    <w:rsid w:val="007B35CE"/>
    <w:rsid w:val="007B361C"/>
    <w:rsid w:val="007B36A1"/>
    <w:rsid w:val="007B36D1"/>
    <w:rsid w:val="007B371B"/>
    <w:rsid w:val="007B3727"/>
    <w:rsid w:val="007B373D"/>
    <w:rsid w:val="007B375C"/>
    <w:rsid w:val="007B381A"/>
    <w:rsid w:val="007B388F"/>
    <w:rsid w:val="007B38F9"/>
    <w:rsid w:val="007B3904"/>
    <w:rsid w:val="007B3955"/>
    <w:rsid w:val="007B3956"/>
    <w:rsid w:val="007B3987"/>
    <w:rsid w:val="007B39D3"/>
    <w:rsid w:val="007B3A21"/>
    <w:rsid w:val="007B3A80"/>
    <w:rsid w:val="007B3AC3"/>
    <w:rsid w:val="007B3AEA"/>
    <w:rsid w:val="007B3B22"/>
    <w:rsid w:val="007B3B6C"/>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4018"/>
    <w:rsid w:val="007B4045"/>
    <w:rsid w:val="007B404E"/>
    <w:rsid w:val="007B4077"/>
    <w:rsid w:val="007B40F7"/>
    <w:rsid w:val="007B40FB"/>
    <w:rsid w:val="007B4108"/>
    <w:rsid w:val="007B415F"/>
    <w:rsid w:val="007B41B5"/>
    <w:rsid w:val="007B41DA"/>
    <w:rsid w:val="007B4248"/>
    <w:rsid w:val="007B4249"/>
    <w:rsid w:val="007B4260"/>
    <w:rsid w:val="007B4281"/>
    <w:rsid w:val="007B4288"/>
    <w:rsid w:val="007B429C"/>
    <w:rsid w:val="007B42B9"/>
    <w:rsid w:val="007B42F6"/>
    <w:rsid w:val="007B430E"/>
    <w:rsid w:val="007B433D"/>
    <w:rsid w:val="007B43CA"/>
    <w:rsid w:val="007B442C"/>
    <w:rsid w:val="007B44B1"/>
    <w:rsid w:val="007B44C7"/>
    <w:rsid w:val="007B44E2"/>
    <w:rsid w:val="007B44F9"/>
    <w:rsid w:val="007B44FF"/>
    <w:rsid w:val="007B455B"/>
    <w:rsid w:val="007B455C"/>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BD"/>
    <w:rsid w:val="007B4DC1"/>
    <w:rsid w:val="007B4DEC"/>
    <w:rsid w:val="007B4DFE"/>
    <w:rsid w:val="007B4E10"/>
    <w:rsid w:val="007B4E56"/>
    <w:rsid w:val="007B4F1F"/>
    <w:rsid w:val="007B4F40"/>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64"/>
    <w:rsid w:val="007B5395"/>
    <w:rsid w:val="007B5396"/>
    <w:rsid w:val="007B53B6"/>
    <w:rsid w:val="007B53C0"/>
    <w:rsid w:val="007B53D3"/>
    <w:rsid w:val="007B53D4"/>
    <w:rsid w:val="007B5474"/>
    <w:rsid w:val="007B547D"/>
    <w:rsid w:val="007B5484"/>
    <w:rsid w:val="007B5513"/>
    <w:rsid w:val="007B55E1"/>
    <w:rsid w:val="007B55F0"/>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44"/>
    <w:rsid w:val="007B5956"/>
    <w:rsid w:val="007B59AC"/>
    <w:rsid w:val="007B59DA"/>
    <w:rsid w:val="007B5A93"/>
    <w:rsid w:val="007B5B5A"/>
    <w:rsid w:val="007B5B73"/>
    <w:rsid w:val="007B5B9E"/>
    <w:rsid w:val="007B5BA3"/>
    <w:rsid w:val="007B5BDA"/>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8"/>
    <w:rsid w:val="007B6489"/>
    <w:rsid w:val="007B64DD"/>
    <w:rsid w:val="007B6507"/>
    <w:rsid w:val="007B6526"/>
    <w:rsid w:val="007B6529"/>
    <w:rsid w:val="007B652F"/>
    <w:rsid w:val="007B6581"/>
    <w:rsid w:val="007B65D2"/>
    <w:rsid w:val="007B65DA"/>
    <w:rsid w:val="007B666A"/>
    <w:rsid w:val="007B6695"/>
    <w:rsid w:val="007B66C4"/>
    <w:rsid w:val="007B66E3"/>
    <w:rsid w:val="007B66F5"/>
    <w:rsid w:val="007B66F9"/>
    <w:rsid w:val="007B670E"/>
    <w:rsid w:val="007B6728"/>
    <w:rsid w:val="007B6733"/>
    <w:rsid w:val="007B6776"/>
    <w:rsid w:val="007B677F"/>
    <w:rsid w:val="007B678B"/>
    <w:rsid w:val="007B67B4"/>
    <w:rsid w:val="007B67D9"/>
    <w:rsid w:val="007B680A"/>
    <w:rsid w:val="007B6854"/>
    <w:rsid w:val="007B68A6"/>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C5"/>
    <w:rsid w:val="007B70DB"/>
    <w:rsid w:val="007B70F2"/>
    <w:rsid w:val="007B70FE"/>
    <w:rsid w:val="007B711C"/>
    <w:rsid w:val="007B71A3"/>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9"/>
    <w:rsid w:val="007B76E7"/>
    <w:rsid w:val="007B772A"/>
    <w:rsid w:val="007B7767"/>
    <w:rsid w:val="007B7779"/>
    <w:rsid w:val="007B77DE"/>
    <w:rsid w:val="007B77F1"/>
    <w:rsid w:val="007B7809"/>
    <w:rsid w:val="007B7821"/>
    <w:rsid w:val="007B7937"/>
    <w:rsid w:val="007B795E"/>
    <w:rsid w:val="007B7980"/>
    <w:rsid w:val="007B79B2"/>
    <w:rsid w:val="007B79FA"/>
    <w:rsid w:val="007B7A4A"/>
    <w:rsid w:val="007B7A50"/>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DE"/>
    <w:rsid w:val="007B7FE8"/>
    <w:rsid w:val="007C0038"/>
    <w:rsid w:val="007C0061"/>
    <w:rsid w:val="007C0079"/>
    <w:rsid w:val="007C00A8"/>
    <w:rsid w:val="007C00AC"/>
    <w:rsid w:val="007C00D8"/>
    <w:rsid w:val="007C00E6"/>
    <w:rsid w:val="007C0142"/>
    <w:rsid w:val="007C0149"/>
    <w:rsid w:val="007C0165"/>
    <w:rsid w:val="007C019C"/>
    <w:rsid w:val="007C01C7"/>
    <w:rsid w:val="007C01EA"/>
    <w:rsid w:val="007C01FC"/>
    <w:rsid w:val="007C027D"/>
    <w:rsid w:val="007C02A7"/>
    <w:rsid w:val="007C0308"/>
    <w:rsid w:val="007C033D"/>
    <w:rsid w:val="007C0347"/>
    <w:rsid w:val="007C0372"/>
    <w:rsid w:val="007C03A1"/>
    <w:rsid w:val="007C03AA"/>
    <w:rsid w:val="007C03BE"/>
    <w:rsid w:val="007C03D0"/>
    <w:rsid w:val="007C03FA"/>
    <w:rsid w:val="007C044C"/>
    <w:rsid w:val="007C04CC"/>
    <w:rsid w:val="007C04F5"/>
    <w:rsid w:val="007C04FB"/>
    <w:rsid w:val="007C04FE"/>
    <w:rsid w:val="007C0509"/>
    <w:rsid w:val="007C0516"/>
    <w:rsid w:val="007C0527"/>
    <w:rsid w:val="007C054E"/>
    <w:rsid w:val="007C0576"/>
    <w:rsid w:val="007C0582"/>
    <w:rsid w:val="007C05AC"/>
    <w:rsid w:val="007C0610"/>
    <w:rsid w:val="007C0616"/>
    <w:rsid w:val="007C063F"/>
    <w:rsid w:val="007C0645"/>
    <w:rsid w:val="007C065D"/>
    <w:rsid w:val="007C0696"/>
    <w:rsid w:val="007C06F5"/>
    <w:rsid w:val="007C0708"/>
    <w:rsid w:val="007C070E"/>
    <w:rsid w:val="007C071D"/>
    <w:rsid w:val="007C073B"/>
    <w:rsid w:val="007C0757"/>
    <w:rsid w:val="007C07CC"/>
    <w:rsid w:val="007C08A3"/>
    <w:rsid w:val="007C0950"/>
    <w:rsid w:val="007C096B"/>
    <w:rsid w:val="007C096D"/>
    <w:rsid w:val="007C09BC"/>
    <w:rsid w:val="007C0A02"/>
    <w:rsid w:val="007C0A0B"/>
    <w:rsid w:val="007C0A10"/>
    <w:rsid w:val="007C0AC0"/>
    <w:rsid w:val="007C0AF3"/>
    <w:rsid w:val="007C0AF8"/>
    <w:rsid w:val="007C0AF9"/>
    <w:rsid w:val="007C0AFD"/>
    <w:rsid w:val="007C0B18"/>
    <w:rsid w:val="007C0B3A"/>
    <w:rsid w:val="007C0B81"/>
    <w:rsid w:val="007C0C03"/>
    <w:rsid w:val="007C0C23"/>
    <w:rsid w:val="007C0C8D"/>
    <w:rsid w:val="007C0D12"/>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A6"/>
    <w:rsid w:val="007C10CD"/>
    <w:rsid w:val="007C10D5"/>
    <w:rsid w:val="007C10E1"/>
    <w:rsid w:val="007C10E8"/>
    <w:rsid w:val="007C1146"/>
    <w:rsid w:val="007C1152"/>
    <w:rsid w:val="007C11A6"/>
    <w:rsid w:val="007C11BA"/>
    <w:rsid w:val="007C11F3"/>
    <w:rsid w:val="007C1293"/>
    <w:rsid w:val="007C12AF"/>
    <w:rsid w:val="007C12C4"/>
    <w:rsid w:val="007C12F5"/>
    <w:rsid w:val="007C1311"/>
    <w:rsid w:val="007C1318"/>
    <w:rsid w:val="007C1342"/>
    <w:rsid w:val="007C1362"/>
    <w:rsid w:val="007C1367"/>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39"/>
    <w:rsid w:val="007C1BBE"/>
    <w:rsid w:val="007C1BEA"/>
    <w:rsid w:val="007C1C51"/>
    <w:rsid w:val="007C1C54"/>
    <w:rsid w:val="007C1C9A"/>
    <w:rsid w:val="007C1CCD"/>
    <w:rsid w:val="007C1CD9"/>
    <w:rsid w:val="007C1CFB"/>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9E"/>
    <w:rsid w:val="007C1FC7"/>
    <w:rsid w:val="007C1FCE"/>
    <w:rsid w:val="007C1FD4"/>
    <w:rsid w:val="007C1FEB"/>
    <w:rsid w:val="007C2005"/>
    <w:rsid w:val="007C2023"/>
    <w:rsid w:val="007C2029"/>
    <w:rsid w:val="007C205E"/>
    <w:rsid w:val="007C207D"/>
    <w:rsid w:val="007C212B"/>
    <w:rsid w:val="007C212D"/>
    <w:rsid w:val="007C2149"/>
    <w:rsid w:val="007C2160"/>
    <w:rsid w:val="007C2169"/>
    <w:rsid w:val="007C219E"/>
    <w:rsid w:val="007C21B6"/>
    <w:rsid w:val="007C21D0"/>
    <w:rsid w:val="007C2233"/>
    <w:rsid w:val="007C223D"/>
    <w:rsid w:val="007C224A"/>
    <w:rsid w:val="007C22B0"/>
    <w:rsid w:val="007C22B3"/>
    <w:rsid w:val="007C231E"/>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9E"/>
    <w:rsid w:val="007C2A5E"/>
    <w:rsid w:val="007C2AA7"/>
    <w:rsid w:val="007C2AA8"/>
    <w:rsid w:val="007C2B01"/>
    <w:rsid w:val="007C2B1D"/>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F0B"/>
    <w:rsid w:val="007C2F7B"/>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9A"/>
    <w:rsid w:val="007C33C2"/>
    <w:rsid w:val="007C33FF"/>
    <w:rsid w:val="007C3446"/>
    <w:rsid w:val="007C3464"/>
    <w:rsid w:val="007C3481"/>
    <w:rsid w:val="007C3485"/>
    <w:rsid w:val="007C3599"/>
    <w:rsid w:val="007C35FA"/>
    <w:rsid w:val="007C3606"/>
    <w:rsid w:val="007C362E"/>
    <w:rsid w:val="007C36E1"/>
    <w:rsid w:val="007C3703"/>
    <w:rsid w:val="007C3755"/>
    <w:rsid w:val="007C3762"/>
    <w:rsid w:val="007C3787"/>
    <w:rsid w:val="007C3801"/>
    <w:rsid w:val="007C3823"/>
    <w:rsid w:val="007C382B"/>
    <w:rsid w:val="007C386B"/>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1B8"/>
    <w:rsid w:val="007C4200"/>
    <w:rsid w:val="007C4220"/>
    <w:rsid w:val="007C4221"/>
    <w:rsid w:val="007C4243"/>
    <w:rsid w:val="007C4291"/>
    <w:rsid w:val="007C42B7"/>
    <w:rsid w:val="007C42D4"/>
    <w:rsid w:val="007C4305"/>
    <w:rsid w:val="007C435E"/>
    <w:rsid w:val="007C438D"/>
    <w:rsid w:val="007C43FB"/>
    <w:rsid w:val="007C4495"/>
    <w:rsid w:val="007C44F3"/>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F"/>
    <w:rsid w:val="007C48E5"/>
    <w:rsid w:val="007C492F"/>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48"/>
    <w:rsid w:val="007C4DE0"/>
    <w:rsid w:val="007C4E0C"/>
    <w:rsid w:val="007C4E34"/>
    <w:rsid w:val="007C4EE9"/>
    <w:rsid w:val="007C4F3A"/>
    <w:rsid w:val="007C4F66"/>
    <w:rsid w:val="007C5032"/>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C"/>
    <w:rsid w:val="007C537F"/>
    <w:rsid w:val="007C5387"/>
    <w:rsid w:val="007C5399"/>
    <w:rsid w:val="007C539E"/>
    <w:rsid w:val="007C53E4"/>
    <w:rsid w:val="007C5417"/>
    <w:rsid w:val="007C543C"/>
    <w:rsid w:val="007C543E"/>
    <w:rsid w:val="007C5451"/>
    <w:rsid w:val="007C5498"/>
    <w:rsid w:val="007C54B1"/>
    <w:rsid w:val="007C54BA"/>
    <w:rsid w:val="007C54C3"/>
    <w:rsid w:val="007C54EA"/>
    <w:rsid w:val="007C5529"/>
    <w:rsid w:val="007C5532"/>
    <w:rsid w:val="007C5582"/>
    <w:rsid w:val="007C560F"/>
    <w:rsid w:val="007C5651"/>
    <w:rsid w:val="007C566A"/>
    <w:rsid w:val="007C56EC"/>
    <w:rsid w:val="007C570B"/>
    <w:rsid w:val="007C5743"/>
    <w:rsid w:val="007C5783"/>
    <w:rsid w:val="007C5784"/>
    <w:rsid w:val="007C5794"/>
    <w:rsid w:val="007C5825"/>
    <w:rsid w:val="007C586A"/>
    <w:rsid w:val="007C58D1"/>
    <w:rsid w:val="007C58DB"/>
    <w:rsid w:val="007C595D"/>
    <w:rsid w:val="007C598F"/>
    <w:rsid w:val="007C5994"/>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4A"/>
    <w:rsid w:val="007C5F68"/>
    <w:rsid w:val="007C5F6B"/>
    <w:rsid w:val="007C5FCD"/>
    <w:rsid w:val="007C5FE1"/>
    <w:rsid w:val="007C6067"/>
    <w:rsid w:val="007C6071"/>
    <w:rsid w:val="007C6104"/>
    <w:rsid w:val="007C6112"/>
    <w:rsid w:val="007C6134"/>
    <w:rsid w:val="007C6155"/>
    <w:rsid w:val="007C6190"/>
    <w:rsid w:val="007C61C1"/>
    <w:rsid w:val="007C61D3"/>
    <w:rsid w:val="007C634E"/>
    <w:rsid w:val="007C643A"/>
    <w:rsid w:val="007C644C"/>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CB"/>
    <w:rsid w:val="007C67E7"/>
    <w:rsid w:val="007C680A"/>
    <w:rsid w:val="007C688D"/>
    <w:rsid w:val="007C6912"/>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0B"/>
    <w:rsid w:val="007C6E7D"/>
    <w:rsid w:val="007C6E90"/>
    <w:rsid w:val="007C6E9F"/>
    <w:rsid w:val="007C6EA6"/>
    <w:rsid w:val="007C6ED0"/>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A"/>
    <w:rsid w:val="007C716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952"/>
    <w:rsid w:val="007C795A"/>
    <w:rsid w:val="007C795C"/>
    <w:rsid w:val="007C7977"/>
    <w:rsid w:val="007C79A9"/>
    <w:rsid w:val="007C7A70"/>
    <w:rsid w:val="007C7B13"/>
    <w:rsid w:val="007C7B2C"/>
    <w:rsid w:val="007C7C0A"/>
    <w:rsid w:val="007C7C24"/>
    <w:rsid w:val="007C7C49"/>
    <w:rsid w:val="007C7C97"/>
    <w:rsid w:val="007C7CCC"/>
    <w:rsid w:val="007C7CCD"/>
    <w:rsid w:val="007C7D30"/>
    <w:rsid w:val="007C7D3B"/>
    <w:rsid w:val="007C7D3E"/>
    <w:rsid w:val="007C7D74"/>
    <w:rsid w:val="007C7DB2"/>
    <w:rsid w:val="007C7DD8"/>
    <w:rsid w:val="007C7DD9"/>
    <w:rsid w:val="007C7E0D"/>
    <w:rsid w:val="007C7E18"/>
    <w:rsid w:val="007C7F00"/>
    <w:rsid w:val="007C7F06"/>
    <w:rsid w:val="007C7F0B"/>
    <w:rsid w:val="007C7F14"/>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B2"/>
    <w:rsid w:val="007D06BA"/>
    <w:rsid w:val="007D06FA"/>
    <w:rsid w:val="007D071A"/>
    <w:rsid w:val="007D0762"/>
    <w:rsid w:val="007D0771"/>
    <w:rsid w:val="007D0797"/>
    <w:rsid w:val="007D07C3"/>
    <w:rsid w:val="007D07C5"/>
    <w:rsid w:val="007D07CB"/>
    <w:rsid w:val="007D07EA"/>
    <w:rsid w:val="007D0804"/>
    <w:rsid w:val="007D0807"/>
    <w:rsid w:val="007D0809"/>
    <w:rsid w:val="007D0817"/>
    <w:rsid w:val="007D084A"/>
    <w:rsid w:val="007D089A"/>
    <w:rsid w:val="007D089C"/>
    <w:rsid w:val="007D08D2"/>
    <w:rsid w:val="007D08D3"/>
    <w:rsid w:val="007D08E5"/>
    <w:rsid w:val="007D0944"/>
    <w:rsid w:val="007D09C1"/>
    <w:rsid w:val="007D0A21"/>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412"/>
    <w:rsid w:val="007D1419"/>
    <w:rsid w:val="007D1429"/>
    <w:rsid w:val="007D143B"/>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F"/>
    <w:rsid w:val="007D1939"/>
    <w:rsid w:val="007D1989"/>
    <w:rsid w:val="007D19D1"/>
    <w:rsid w:val="007D1A74"/>
    <w:rsid w:val="007D1A85"/>
    <w:rsid w:val="007D1A89"/>
    <w:rsid w:val="007D1B56"/>
    <w:rsid w:val="007D1B70"/>
    <w:rsid w:val="007D1B80"/>
    <w:rsid w:val="007D1C98"/>
    <w:rsid w:val="007D1CB5"/>
    <w:rsid w:val="007D1CF0"/>
    <w:rsid w:val="007D1D2D"/>
    <w:rsid w:val="007D1D46"/>
    <w:rsid w:val="007D1D6C"/>
    <w:rsid w:val="007D1E69"/>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705"/>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8F"/>
    <w:rsid w:val="007D2AA4"/>
    <w:rsid w:val="007D2B51"/>
    <w:rsid w:val="007D2B7E"/>
    <w:rsid w:val="007D2B8E"/>
    <w:rsid w:val="007D2B91"/>
    <w:rsid w:val="007D2BFC"/>
    <w:rsid w:val="007D2BFD"/>
    <w:rsid w:val="007D2C4E"/>
    <w:rsid w:val="007D2C70"/>
    <w:rsid w:val="007D2C77"/>
    <w:rsid w:val="007D2CAF"/>
    <w:rsid w:val="007D2CC3"/>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5C"/>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A"/>
    <w:rsid w:val="007D342D"/>
    <w:rsid w:val="007D3445"/>
    <w:rsid w:val="007D346B"/>
    <w:rsid w:val="007D3494"/>
    <w:rsid w:val="007D34C0"/>
    <w:rsid w:val="007D34E1"/>
    <w:rsid w:val="007D3515"/>
    <w:rsid w:val="007D3532"/>
    <w:rsid w:val="007D35BC"/>
    <w:rsid w:val="007D35D8"/>
    <w:rsid w:val="007D366E"/>
    <w:rsid w:val="007D3672"/>
    <w:rsid w:val="007D3697"/>
    <w:rsid w:val="007D3701"/>
    <w:rsid w:val="007D3719"/>
    <w:rsid w:val="007D37D3"/>
    <w:rsid w:val="007D37F6"/>
    <w:rsid w:val="007D3812"/>
    <w:rsid w:val="007D3829"/>
    <w:rsid w:val="007D3868"/>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95"/>
    <w:rsid w:val="007D3ED0"/>
    <w:rsid w:val="007D3F01"/>
    <w:rsid w:val="007D3F42"/>
    <w:rsid w:val="007D3F60"/>
    <w:rsid w:val="007D3F73"/>
    <w:rsid w:val="007D3F84"/>
    <w:rsid w:val="007D3FE7"/>
    <w:rsid w:val="007D401A"/>
    <w:rsid w:val="007D4025"/>
    <w:rsid w:val="007D404F"/>
    <w:rsid w:val="007D4060"/>
    <w:rsid w:val="007D4079"/>
    <w:rsid w:val="007D40A0"/>
    <w:rsid w:val="007D40EB"/>
    <w:rsid w:val="007D4118"/>
    <w:rsid w:val="007D4144"/>
    <w:rsid w:val="007D414F"/>
    <w:rsid w:val="007D419E"/>
    <w:rsid w:val="007D41BD"/>
    <w:rsid w:val="007D41D6"/>
    <w:rsid w:val="007D4204"/>
    <w:rsid w:val="007D423F"/>
    <w:rsid w:val="007D4271"/>
    <w:rsid w:val="007D42B7"/>
    <w:rsid w:val="007D42BC"/>
    <w:rsid w:val="007D42CB"/>
    <w:rsid w:val="007D42E0"/>
    <w:rsid w:val="007D42E2"/>
    <w:rsid w:val="007D4350"/>
    <w:rsid w:val="007D43A1"/>
    <w:rsid w:val="007D43DE"/>
    <w:rsid w:val="007D4427"/>
    <w:rsid w:val="007D444C"/>
    <w:rsid w:val="007D4454"/>
    <w:rsid w:val="007D447D"/>
    <w:rsid w:val="007D44AD"/>
    <w:rsid w:val="007D44C1"/>
    <w:rsid w:val="007D4501"/>
    <w:rsid w:val="007D45B6"/>
    <w:rsid w:val="007D45C3"/>
    <w:rsid w:val="007D462F"/>
    <w:rsid w:val="007D4643"/>
    <w:rsid w:val="007D467B"/>
    <w:rsid w:val="007D46B2"/>
    <w:rsid w:val="007D47D0"/>
    <w:rsid w:val="007D4800"/>
    <w:rsid w:val="007D4810"/>
    <w:rsid w:val="007D4857"/>
    <w:rsid w:val="007D4870"/>
    <w:rsid w:val="007D4898"/>
    <w:rsid w:val="007D48E3"/>
    <w:rsid w:val="007D48E4"/>
    <w:rsid w:val="007D48F3"/>
    <w:rsid w:val="007D4962"/>
    <w:rsid w:val="007D4975"/>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32"/>
    <w:rsid w:val="007D4C95"/>
    <w:rsid w:val="007D4D62"/>
    <w:rsid w:val="007D4D87"/>
    <w:rsid w:val="007D4D95"/>
    <w:rsid w:val="007D4DBA"/>
    <w:rsid w:val="007D4DCA"/>
    <w:rsid w:val="007D4DE3"/>
    <w:rsid w:val="007D4E0B"/>
    <w:rsid w:val="007D4E7C"/>
    <w:rsid w:val="007D4EAA"/>
    <w:rsid w:val="007D4EC1"/>
    <w:rsid w:val="007D4F68"/>
    <w:rsid w:val="007D4FAD"/>
    <w:rsid w:val="007D5090"/>
    <w:rsid w:val="007D50D1"/>
    <w:rsid w:val="007D50D8"/>
    <w:rsid w:val="007D50DD"/>
    <w:rsid w:val="007D50E1"/>
    <w:rsid w:val="007D50E5"/>
    <w:rsid w:val="007D5167"/>
    <w:rsid w:val="007D5188"/>
    <w:rsid w:val="007D51A2"/>
    <w:rsid w:val="007D51B0"/>
    <w:rsid w:val="007D51DB"/>
    <w:rsid w:val="007D529C"/>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3F"/>
    <w:rsid w:val="007D59A3"/>
    <w:rsid w:val="007D59B6"/>
    <w:rsid w:val="007D59C6"/>
    <w:rsid w:val="007D5A02"/>
    <w:rsid w:val="007D5A3A"/>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77"/>
    <w:rsid w:val="007D6182"/>
    <w:rsid w:val="007D61E1"/>
    <w:rsid w:val="007D6236"/>
    <w:rsid w:val="007D6253"/>
    <w:rsid w:val="007D62D5"/>
    <w:rsid w:val="007D62F9"/>
    <w:rsid w:val="007D632B"/>
    <w:rsid w:val="007D6352"/>
    <w:rsid w:val="007D6398"/>
    <w:rsid w:val="007D63AA"/>
    <w:rsid w:val="007D63C6"/>
    <w:rsid w:val="007D6443"/>
    <w:rsid w:val="007D6476"/>
    <w:rsid w:val="007D647B"/>
    <w:rsid w:val="007D64D5"/>
    <w:rsid w:val="007D652F"/>
    <w:rsid w:val="007D653A"/>
    <w:rsid w:val="007D655F"/>
    <w:rsid w:val="007D65C6"/>
    <w:rsid w:val="007D65FE"/>
    <w:rsid w:val="007D6611"/>
    <w:rsid w:val="007D6658"/>
    <w:rsid w:val="007D6679"/>
    <w:rsid w:val="007D669F"/>
    <w:rsid w:val="007D6762"/>
    <w:rsid w:val="007D676D"/>
    <w:rsid w:val="007D676E"/>
    <w:rsid w:val="007D67AF"/>
    <w:rsid w:val="007D67FA"/>
    <w:rsid w:val="007D681E"/>
    <w:rsid w:val="007D687F"/>
    <w:rsid w:val="007D6891"/>
    <w:rsid w:val="007D68AE"/>
    <w:rsid w:val="007D6903"/>
    <w:rsid w:val="007D6983"/>
    <w:rsid w:val="007D6A00"/>
    <w:rsid w:val="007D6AF6"/>
    <w:rsid w:val="007D6B05"/>
    <w:rsid w:val="007D6B60"/>
    <w:rsid w:val="007D6B7C"/>
    <w:rsid w:val="007D6B90"/>
    <w:rsid w:val="007D6BA1"/>
    <w:rsid w:val="007D6BB2"/>
    <w:rsid w:val="007D6C14"/>
    <w:rsid w:val="007D6C19"/>
    <w:rsid w:val="007D6C35"/>
    <w:rsid w:val="007D6C9A"/>
    <w:rsid w:val="007D6CCD"/>
    <w:rsid w:val="007D6D4D"/>
    <w:rsid w:val="007D6D5D"/>
    <w:rsid w:val="007D6E2E"/>
    <w:rsid w:val="007D6E66"/>
    <w:rsid w:val="007D6E78"/>
    <w:rsid w:val="007D6F13"/>
    <w:rsid w:val="007D6F60"/>
    <w:rsid w:val="007D6F6E"/>
    <w:rsid w:val="007D6F93"/>
    <w:rsid w:val="007D6FC3"/>
    <w:rsid w:val="007D700C"/>
    <w:rsid w:val="007D70A2"/>
    <w:rsid w:val="007D70CF"/>
    <w:rsid w:val="007D711F"/>
    <w:rsid w:val="007D713D"/>
    <w:rsid w:val="007D71B0"/>
    <w:rsid w:val="007D71EB"/>
    <w:rsid w:val="007D71EE"/>
    <w:rsid w:val="007D720D"/>
    <w:rsid w:val="007D724E"/>
    <w:rsid w:val="007D72B3"/>
    <w:rsid w:val="007D72B9"/>
    <w:rsid w:val="007D72DE"/>
    <w:rsid w:val="007D7303"/>
    <w:rsid w:val="007D7306"/>
    <w:rsid w:val="007D7314"/>
    <w:rsid w:val="007D7342"/>
    <w:rsid w:val="007D73D4"/>
    <w:rsid w:val="007D73E7"/>
    <w:rsid w:val="007D7419"/>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BE"/>
    <w:rsid w:val="007D78E0"/>
    <w:rsid w:val="007D78FB"/>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E0"/>
    <w:rsid w:val="007D7CF6"/>
    <w:rsid w:val="007D7D2D"/>
    <w:rsid w:val="007D7D93"/>
    <w:rsid w:val="007D7D9C"/>
    <w:rsid w:val="007D7DCD"/>
    <w:rsid w:val="007D7E31"/>
    <w:rsid w:val="007D7E43"/>
    <w:rsid w:val="007E007E"/>
    <w:rsid w:val="007E00FA"/>
    <w:rsid w:val="007E0132"/>
    <w:rsid w:val="007E017D"/>
    <w:rsid w:val="007E01B2"/>
    <w:rsid w:val="007E01C5"/>
    <w:rsid w:val="007E01F8"/>
    <w:rsid w:val="007E021F"/>
    <w:rsid w:val="007E0221"/>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71B"/>
    <w:rsid w:val="007E0734"/>
    <w:rsid w:val="007E0739"/>
    <w:rsid w:val="007E074C"/>
    <w:rsid w:val="007E076A"/>
    <w:rsid w:val="007E0779"/>
    <w:rsid w:val="007E0793"/>
    <w:rsid w:val="007E07A7"/>
    <w:rsid w:val="007E080C"/>
    <w:rsid w:val="007E085D"/>
    <w:rsid w:val="007E0863"/>
    <w:rsid w:val="007E086E"/>
    <w:rsid w:val="007E0870"/>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D"/>
    <w:rsid w:val="007E0D42"/>
    <w:rsid w:val="007E0D95"/>
    <w:rsid w:val="007E0DA1"/>
    <w:rsid w:val="007E0DB9"/>
    <w:rsid w:val="007E0DEF"/>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3D8"/>
    <w:rsid w:val="007E141C"/>
    <w:rsid w:val="007E143E"/>
    <w:rsid w:val="007E1456"/>
    <w:rsid w:val="007E146B"/>
    <w:rsid w:val="007E146C"/>
    <w:rsid w:val="007E1486"/>
    <w:rsid w:val="007E14D6"/>
    <w:rsid w:val="007E1566"/>
    <w:rsid w:val="007E1577"/>
    <w:rsid w:val="007E163A"/>
    <w:rsid w:val="007E164E"/>
    <w:rsid w:val="007E1655"/>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D1"/>
    <w:rsid w:val="007E1BFA"/>
    <w:rsid w:val="007E1C79"/>
    <w:rsid w:val="007E1CEA"/>
    <w:rsid w:val="007E1D37"/>
    <w:rsid w:val="007E1D7E"/>
    <w:rsid w:val="007E1D94"/>
    <w:rsid w:val="007E1DF7"/>
    <w:rsid w:val="007E1E01"/>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E30"/>
    <w:rsid w:val="007E2E5A"/>
    <w:rsid w:val="007E2F4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6D"/>
    <w:rsid w:val="007E3387"/>
    <w:rsid w:val="007E343E"/>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67"/>
    <w:rsid w:val="007E39F9"/>
    <w:rsid w:val="007E3A20"/>
    <w:rsid w:val="007E3A2A"/>
    <w:rsid w:val="007E3A31"/>
    <w:rsid w:val="007E3A40"/>
    <w:rsid w:val="007E3A6F"/>
    <w:rsid w:val="007E3A81"/>
    <w:rsid w:val="007E3A89"/>
    <w:rsid w:val="007E3A8D"/>
    <w:rsid w:val="007E3A94"/>
    <w:rsid w:val="007E3AB6"/>
    <w:rsid w:val="007E3AD1"/>
    <w:rsid w:val="007E3BB3"/>
    <w:rsid w:val="007E3BCD"/>
    <w:rsid w:val="007E3BD9"/>
    <w:rsid w:val="007E3BF9"/>
    <w:rsid w:val="007E3BFD"/>
    <w:rsid w:val="007E3C11"/>
    <w:rsid w:val="007E3C93"/>
    <w:rsid w:val="007E3CA0"/>
    <w:rsid w:val="007E3CAA"/>
    <w:rsid w:val="007E3CE5"/>
    <w:rsid w:val="007E3D3B"/>
    <w:rsid w:val="007E3DE1"/>
    <w:rsid w:val="007E3DF5"/>
    <w:rsid w:val="007E3E35"/>
    <w:rsid w:val="007E3E85"/>
    <w:rsid w:val="007E3EA6"/>
    <w:rsid w:val="007E3ED9"/>
    <w:rsid w:val="007E3F2C"/>
    <w:rsid w:val="007E3F40"/>
    <w:rsid w:val="007E3F90"/>
    <w:rsid w:val="007E3FD6"/>
    <w:rsid w:val="007E4015"/>
    <w:rsid w:val="007E4023"/>
    <w:rsid w:val="007E4030"/>
    <w:rsid w:val="007E4094"/>
    <w:rsid w:val="007E40A4"/>
    <w:rsid w:val="007E40DE"/>
    <w:rsid w:val="007E40E3"/>
    <w:rsid w:val="007E414E"/>
    <w:rsid w:val="007E4182"/>
    <w:rsid w:val="007E41B1"/>
    <w:rsid w:val="007E41C3"/>
    <w:rsid w:val="007E41F4"/>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8"/>
    <w:rsid w:val="007E479C"/>
    <w:rsid w:val="007E47A9"/>
    <w:rsid w:val="007E47CA"/>
    <w:rsid w:val="007E47CC"/>
    <w:rsid w:val="007E47CD"/>
    <w:rsid w:val="007E47F8"/>
    <w:rsid w:val="007E483E"/>
    <w:rsid w:val="007E486C"/>
    <w:rsid w:val="007E487C"/>
    <w:rsid w:val="007E487F"/>
    <w:rsid w:val="007E4887"/>
    <w:rsid w:val="007E4895"/>
    <w:rsid w:val="007E48AC"/>
    <w:rsid w:val="007E48C8"/>
    <w:rsid w:val="007E4945"/>
    <w:rsid w:val="007E4948"/>
    <w:rsid w:val="007E4953"/>
    <w:rsid w:val="007E4A86"/>
    <w:rsid w:val="007E4ABE"/>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93"/>
    <w:rsid w:val="007E4FF6"/>
    <w:rsid w:val="007E4FFC"/>
    <w:rsid w:val="007E5000"/>
    <w:rsid w:val="007E50B4"/>
    <w:rsid w:val="007E50D6"/>
    <w:rsid w:val="007E511C"/>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D5"/>
    <w:rsid w:val="007E56E1"/>
    <w:rsid w:val="007E571B"/>
    <w:rsid w:val="007E571E"/>
    <w:rsid w:val="007E5723"/>
    <w:rsid w:val="007E575A"/>
    <w:rsid w:val="007E5762"/>
    <w:rsid w:val="007E5793"/>
    <w:rsid w:val="007E57AF"/>
    <w:rsid w:val="007E5840"/>
    <w:rsid w:val="007E5855"/>
    <w:rsid w:val="007E585E"/>
    <w:rsid w:val="007E5903"/>
    <w:rsid w:val="007E594A"/>
    <w:rsid w:val="007E5978"/>
    <w:rsid w:val="007E59A8"/>
    <w:rsid w:val="007E59AB"/>
    <w:rsid w:val="007E59CA"/>
    <w:rsid w:val="007E59E0"/>
    <w:rsid w:val="007E59F2"/>
    <w:rsid w:val="007E59F3"/>
    <w:rsid w:val="007E5A36"/>
    <w:rsid w:val="007E5A3D"/>
    <w:rsid w:val="007E5A51"/>
    <w:rsid w:val="007E5AFD"/>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A7"/>
    <w:rsid w:val="007E60EC"/>
    <w:rsid w:val="007E6179"/>
    <w:rsid w:val="007E618B"/>
    <w:rsid w:val="007E61E4"/>
    <w:rsid w:val="007E6212"/>
    <w:rsid w:val="007E623F"/>
    <w:rsid w:val="007E624B"/>
    <w:rsid w:val="007E6251"/>
    <w:rsid w:val="007E6268"/>
    <w:rsid w:val="007E626D"/>
    <w:rsid w:val="007E62AF"/>
    <w:rsid w:val="007E62EA"/>
    <w:rsid w:val="007E6336"/>
    <w:rsid w:val="007E634E"/>
    <w:rsid w:val="007E6397"/>
    <w:rsid w:val="007E63A9"/>
    <w:rsid w:val="007E63D6"/>
    <w:rsid w:val="007E6441"/>
    <w:rsid w:val="007E6457"/>
    <w:rsid w:val="007E6485"/>
    <w:rsid w:val="007E64BB"/>
    <w:rsid w:val="007E64C4"/>
    <w:rsid w:val="007E64DC"/>
    <w:rsid w:val="007E64E4"/>
    <w:rsid w:val="007E6513"/>
    <w:rsid w:val="007E657B"/>
    <w:rsid w:val="007E658C"/>
    <w:rsid w:val="007E658F"/>
    <w:rsid w:val="007E65A5"/>
    <w:rsid w:val="007E65B0"/>
    <w:rsid w:val="007E6603"/>
    <w:rsid w:val="007E662B"/>
    <w:rsid w:val="007E66C8"/>
    <w:rsid w:val="007E6764"/>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4"/>
    <w:rsid w:val="007E6A2E"/>
    <w:rsid w:val="007E6A56"/>
    <w:rsid w:val="007E6A65"/>
    <w:rsid w:val="007E6A70"/>
    <w:rsid w:val="007E6A71"/>
    <w:rsid w:val="007E6A8E"/>
    <w:rsid w:val="007E6B51"/>
    <w:rsid w:val="007E6B53"/>
    <w:rsid w:val="007E6B5F"/>
    <w:rsid w:val="007E6B75"/>
    <w:rsid w:val="007E6BC2"/>
    <w:rsid w:val="007E6BE9"/>
    <w:rsid w:val="007E6BF4"/>
    <w:rsid w:val="007E6C0E"/>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089"/>
    <w:rsid w:val="007E7152"/>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613"/>
    <w:rsid w:val="007E7617"/>
    <w:rsid w:val="007E7646"/>
    <w:rsid w:val="007E7695"/>
    <w:rsid w:val="007E76B9"/>
    <w:rsid w:val="007E76CA"/>
    <w:rsid w:val="007E781C"/>
    <w:rsid w:val="007E78B3"/>
    <w:rsid w:val="007E78E6"/>
    <w:rsid w:val="007E790E"/>
    <w:rsid w:val="007E7933"/>
    <w:rsid w:val="007E7961"/>
    <w:rsid w:val="007E79D3"/>
    <w:rsid w:val="007E79E4"/>
    <w:rsid w:val="007E7A4B"/>
    <w:rsid w:val="007E7AF1"/>
    <w:rsid w:val="007E7B48"/>
    <w:rsid w:val="007E7BEA"/>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95"/>
    <w:rsid w:val="007F02E1"/>
    <w:rsid w:val="007F03B2"/>
    <w:rsid w:val="007F03C6"/>
    <w:rsid w:val="007F0435"/>
    <w:rsid w:val="007F04AA"/>
    <w:rsid w:val="007F0518"/>
    <w:rsid w:val="007F0573"/>
    <w:rsid w:val="007F057D"/>
    <w:rsid w:val="007F05A3"/>
    <w:rsid w:val="007F064F"/>
    <w:rsid w:val="007F0674"/>
    <w:rsid w:val="007F0749"/>
    <w:rsid w:val="007F0757"/>
    <w:rsid w:val="007F0778"/>
    <w:rsid w:val="007F07D8"/>
    <w:rsid w:val="007F07E6"/>
    <w:rsid w:val="007F07F1"/>
    <w:rsid w:val="007F0800"/>
    <w:rsid w:val="007F0837"/>
    <w:rsid w:val="007F0858"/>
    <w:rsid w:val="007F0899"/>
    <w:rsid w:val="007F089B"/>
    <w:rsid w:val="007F08BE"/>
    <w:rsid w:val="007F09A4"/>
    <w:rsid w:val="007F09EE"/>
    <w:rsid w:val="007F09FD"/>
    <w:rsid w:val="007F0A1F"/>
    <w:rsid w:val="007F0AA5"/>
    <w:rsid w:val="007F0B1A"/>
    <w:rsid w:val="007F0B4F"/>
    <w:rsid w:val="007F0BF6"/>
    <w:rsid w:val="007F0C03"/>
    <w:rsid w:val="007F0C0E"/>
    <w:rsid w:val="007F0CA1"/>
    <w:rsid w:val="007F0CC0"/>
    <w:rsid w:val="007F0CCD"/>
    <w:rsid w:val="007F0D2F"/>
    <w:rsid w:val="007F0DB7"/>
    <w:rsid w:val="007F0E0C"/>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2FF"/>
    <w:rsid w:val="007F13BD"/>
    <w:rsid w:val="007F13F3"/>
    <w:rsid w:val="007F145D"/>
    <w:rsid w:val="007F1461"/>
    <w:rsid w:val="007F14B1"/>
    <w:rsid w:val="007F151C"/>
    <w:rsid w:val="007F1587"/>
    <w:rsid w:val="007F158A"/>
    <w:rsid w:val="007F15DB"/>
    <w:rsid w:val="007F15DD"/>
    <w:rsid w:val="007F1643"/>
    <w:rsid w:val="007F1659"/>
    <w:rsid w:val="007F1676"/>
    <w:rsid w:val="007F16CA"/>
    <w:rsid w:val="007F16D7"/>
    <w:rsid w:val="007F1708"/>
    <w:rsid w:val="007F1715"/>
    <w:rsid w:val="007F1727"/>
    <w:rsid w:val="007F1781"/>
    <w:rsid w:val="007F17BD"/>
    <w:rsid w:val="007F17E2"/>
    <w:rsid w:val="007F17F8"/>
    <w:rsid w:val="007F1821"/>
    <w:rsid w:val="007F1832"/>
    <w:rsid w:val="007F183E"/>
    <w:rsid w:val="007F186F"/>
    <w:rsid w:val="007F1875"/>
    <w:rsid w:val="007F1877"/>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9D"/>
    <w:rsid w:val="007F1DB2"/>
    <w:rsid w:val="007F1E38"/>
    <w:rsid w:val="007F1E66"/>
    <w:rsid w:val="007F1E6F"/>
    <w:rsid w:val="007F1EB3"/>
    <w:rsid w:val="007F1EE5"/>
    <w:rsid w:val="007F1EFC"/>
    <w:rsid w:val="007F1F55"/>
    <w:rsid w:val="007F1F7A"/>
    <w:rsid w:val="007F1FE4"/>
    <w:rsid w:val="007F2033"/>
    <w:rsid w:val="007F2048"/>
    <w:rsid w:val="007F205E"/>
    <w:rsid w:val="007F20EE"/>
    <w:rsid w:val="007F213F"/>
    <w:rsid w:val="007F2167"/>
    <w:rsid w:val="007F2178"/>
    <w:rsid w:val="007F21F4"/>
    <w:rsid w:val="007F21F8"/>
    <w:rsid w:val="007F2202"/>
    <w:rsid w:val="007F2206"/>
    <w:rsid w:val="007F2218"/>
    <w:rsid w:val="007F2244"/>
    <w:rsid w:val="007F2270"/>
    <w:rsid w:val="007F2357"/>
    <w:rsid w:val="007F235A"/>
    <w:rsid w:val="007F235C"/>
    <w:rsid w:val="007F2370"/>
    <w:rsid w:val="007F23D3"/>
    <w:rsid w:val="007F23EE"/>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B37"/>
    <w:rsid w:val="007F2BB5"/>
    <w:rsid w:val="007F2C7E"/>
    <w:rsid w:val="007F2CEA"/>
    <w:rsid w:val="007F2CF4"/>
    <w:rsid w:val="007F2D0D"/>
    <w:rsid w:val="007F2D39"/>
    <w:rsid w:val="007F2D98"/>
    <w:rsid w:val="007F2DA1"/>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73"/>
    <w:rsid w:val="007F31CE"/>
    <w:rsid w:val="007F31DF"/>
    <w:rsid w:val="007F31F5"/>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CD"/>
    <w:rsid w:val="007F35DD"/>
    <w:rsid w:val="007F365F"/>
    <w:rsid w:val="007F3681"/>
    <w:rsid w:val="007F368A"/>
    <w:rsid w:val="007F371C"/>
    <w:rsid w:val="007F37B7"/>
    <w:rsid w:val="007F37E1"/>
    <w:rsid w:val="007F3811"/>
    <w:rsid w:val="007F381D"/>
    <w:rsid w:val="007F3893"/>
    <w:rsid w:val="007F38DD"/>
    <w:rsid w:val="007F3916"/>
    <w:rsid w:val="007F39C1"/>
    <w:rsid w:val="007F39C6"/>
    <w:rsid w:val="007F3A08"/>
    <w:rsid w:val="007F3A4C"/>
    <w:rsid w:val="007F3AA0"/>
    <w:rsid w:val="007F3B04"/>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A0"/>
    <w:rsid w:val="007F3DC4"/>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85"/>
    <w:rsid w:val="007F45BE"/>
    <w:rsid w:val="007F4612"/>
    <w:rsid w:val="007F461F"/>
    <w:rsid w:val="007F4656"/>
    <w:rsid w:val="007F46BB"/>
    <w:rsid w:val="007F46D4"/>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F1"/>
    <w:rsid w:val="007F4AF7"/>
    <w:rsid w:val="007F4B49"/>
    <w:rsid w:val="007F4BAB"/>
    <w:rsid w:val="007F4C9D"/>
    <w:rsid w:val="007F4D38"/>
    <w:rsid w:val="007F4D46"/>
    <w:rsid w:val="007F4D6F"/>
    <w:rsid w:val="007F4DDC"/>
    <w:rsid w:val="007F4DE2"/>
    <w:rsid w:val="007F4DF5"/>
    <w:rsid w:val="007F4E04"/>
    <w:rsid w:val="007F4E50"/>
    <w:rsid w:val="007F4EDB"/>
    <w:rsid w:val="007F4F2B"/>
    <w:rsid w:val="007F4F5D"/>
    <w:rsid w:val="007F4F84"/>
    <w:rsid w:val="007F5015"/>
    <w:rsid w:val="007F5025"/>
    <w:rsid w:val="007F5033"/>
    <w:rsid w:val="007F5057"/>
    <w:rsid w:val="007F50A7"/>
    <w:rsid w:val="007F50A9"/>
    <w:rsid w:val="007F50DE"/>
    <w:rsid w:val="007F50E8"/>
    <w:rsid w:val="007F5115"/>
    <w:rsid w:val="007F5158"/>
    <w:rsid w:val="007F51C2"/>
    <w:rsid w:val="007F52B7"/>
    <w:rsid w:val="007F52E6"/>
    <w:rsid w:val="007F52FC"/>
    <w:rsid w:val="007F52FF"/>
    <w:rsid w:val="007F5341"/>
    <w:rsid w:val="007F5358"/>
    <w:rsid w:val="007F541D"/>
    <w:rsid w:val="007F5432"/>
    <w:rsid w:val="007F544B"/>
    <w:rsid w:val="007F545B"/>
    <w:rsid w:val="007F5465"/>
    <w:rsid w:val="007F5496"/>
    <w:rsid w:val="007F54A5"/>
    <w:rsid w:val="007F5558"/>
    <w:rsid w:val="007F55A2"/>
    <w:rsid w:val="007F55E8"/>
    <w:rsid w:val="007F55F5"/>
    <w:rsid w:val="007F561F"/>
    <w:rsid w:val="007F562F"/>
    <w:rsid w:val="007F5633"/>
    <w:rsid w:val="007F569A"/>
    <w:rsid w:val="007F5741"/>
    <w:rsid w:val="007F577A"/>
    <w:rsid w:val="007F5792"/>
    <w:rsid w:val="007F57C3"/>
    <w:rsid w:val="007F57F5"/>
    <w:rsid w:val="007F5826"/>
    <w:rsid w:val="007F585C"/>
    <w:rsid w:val="007F58C3"/>
    <w:rsid w:val="007F58DF"/>
    <w:rsid w:val="007F58F4"/>
    <w:rsid w:val="007F5933"/>
    <w:rsid w:val="007F5953"/>
    <w:rsid w:val="007F59B5"/>
    <w:rsid w:val="007F59CC"/>
    <w:rsid w:val="007F5A45"/>
    <w:rsid w:val="007F5A46"/>
    <w:rsid w:val="007F5A4C"/>
    <w:rsid w:val="007F5A7B"/>
    <w:rsid w:val="007F5AFC"/>
    <w:rsid w:val="007F5AFF"/>
    <w:rsid w:val="007F5B6B"/>
    <w:rsid w:val="007F5B70"/>
    <w:rsid w:val="007F5C27"/>
    <w:rsid w:val="007F5C30"/>
    <w:rsid w:val="007F5CE8"/>
    <w:rsid w:val="007F5D08"/>
    <w:rsid w:val="007F5D42"/>
    <w:rsid w:val="007F5D70"/>
    <w:rsid w:val="007F5DCC"/>
    <w:rsid w:val="007F5DD7"/>
    <w:rsid w:val="007F5E4D"/>
    <w:rsid w:val="007F5E56"/>
    <w:rsid w:val="007F5E77"/>
    <w:rsid w:val="007F5E9F"/>
    <w:rsid w:val="007F5F68"/>
    <w:rsid w:val="007F5F91"/>
    <w:rsid w:val="007F5F9C"/>
    <w:rsid w:val="007F5FA8"/>
    <w:rsid w:val="007F5FDC"/>
    <w:rsid w:val="007F5FE2"/>
    <w:rsid w:val="007F6065"/>
    <w:rsid w:val="007F6082"/>
    <w:rsid w:val="007F6088"/>
    <w:rsid w:val="007F60CC"/>
    <w:rsid w:val="007F60E2"/>
    <w:rsid w:val="007F618A"/>
    <w:rsid w:val="007F6199"/>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27"/>
    <w:rsid w:val="007F6837"/>
    <w:rsid w:val="007F685B"/>
    <w:rsid w:val="007F6886"/>
    <w:rsid w:val="007F688D"/>
    <w:rsid w:val="007F6900"/>
    <w:rsid w:val="007F6910"/>
    <w:rsid w:val="007F691B"/>
    <w:rsid w:val="007F698B"/>
    <w:rsid w:val="007F69BE"/>
    <w:rsid w:val="007F69FD"/>
    <w:rsid w:val="007F6A4A"/>
    <w:rsid w:val="007F6A69"/>
    <w:rsid w:val="007F6A78"/>
    <w:rsid w:val="007F6A86"/>
    <w:rsid w:val="007F6AE6"/>
    <w:rsid w:val="007F6B20"/>
    <w:rsid w:val="007F6B76"/>
    <w:rsid w:val="007F6BC1"/>
    <w:rsid w:val="007F6BDC"/>
    <w:rsid w:val="007F6BE9"/>
    <w:rsid w:val="007F6C9F"/>
    <w:rsid w:val="007F6CE2"/>
    <w:rsid w:val="007F6D40"/>
    <w:rsid w:val="007F6EFD"/>
    <w:rsid w:val="007F6F0C"/>
    <w:rsid w:val="007F6F1D"/>
    <w:rsid w:val="007F701F"/>
    <w:rsid w:val="007F7023"/>
    <w:rsid w:val="007F7029"/>
    <w:rsid w:val="007F7056"/>
    <w:rsid w:val="007F70E1"/>
    <w:rsid w:val="007F7102"/>
    <w:rsid w:val="007F7140"/>
    <w:rsid w:val="007F7163"/>
    <w:rsid w:val="007F71B9"/>
    <w:rsid w:val="007F71DF"/>
    <w:rsid w:val="007F723F"/>
    <w:rsid w:val="007F724D"/>
    <w:rsid w:val="007F72B6"/>
    <w:rsid w:val="007F72E4"/>
    <w:rsid w:val="007F73A8"/>
    <w:rsid w:val="007F73B7"/>
    <w:rsid w:val="007F7403"/>
    <w:rsid w:val="007F742E"/>
    <w:rsid w:val="007F7441"/>
    <w:rsid w:val="007F74CF"/>
    <w:rsid w:val="007F74D6"/>
    <w:rsid w:val="007F74DA"/>
    <w:rsid w:val="007F74EC"/>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7F1"/>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47"/>
    <w:rsid w:val="00800661"/>
    <w:rsid w:val="00800699"/>
    <w:rsid w:val="008006B4"/>
    <w:rsid w:val="0080077C"/>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2F"/>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D4"/>
    <w:rsid w:val="008010F6"/>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D1"/>
    <w:rsid w:val="008016EF"/>
    <w:rsid w:val="0080170B"/>
    <w:rsid w:val="00801714"/>
    <w:rsid w:val="00801758"/>
    <w:rsid w:val="0080176C"/>
    <w:rsid w:val="0080179C"/>
    <w:rsid w:val="008017C8"/>
    <w:rsid w:val="008017D4"/>
    <w:rsid w:val="008017E5"/>
    <w:rsid w:val="008017E6"/>
    <w:rsid w:val="008017EE"/>
    <w:rsid w:val="00801838"/>
    <w:rsid w:val="00801855"/>
    <w:rsid w:val="0080185F"/>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EF"/>
    <w:rsid w:val="00801D0E"/>
    <w:rsid w:val="00801D1B"/>
    <w:rsid w:val="00801D65"/>
    <w:rsid w:val="00801D6F"/>
    <w:rsid w:val="00801D7C"/>
    <w:rsid w:val="00801D7F"/>
    <w:rsid w:val="00801DF9"/>
    <w:rsid w:val="00801E41"/>
    <w:rsid w:val="00801E6C"/>
    <w:rsid w:val="00801EDA"/>
    <w:rsid w:val="00801F44"/>
    <w:rsid w:val="00801F65"/>
    <w:rsid w:val="00801FAF"/>
    <w:rsid w:val="00801FBA"/>
    <w:rsid w:val="00801FC2"/>
    <w:rsid w:val="00801FCC"/>
    <w:rsid w:val="00802017"/>
    <w:rsid w:val="0080203B"/>
    <w:rsid w:val="00802057"/>
    <w:rsid w:val="00802075"/>
    <w:rsid w:val="0080207B"/>
    <w:rsid w:val="0080207F"/>
    <w:rsid w:val="00802106"/>
    <w:rsid w:val="008021B9"/>
    <w:rsid w:val="008021C2"/>
    <w:rsid w:val="008022E0"/>
    <w:rsid w:val="00802303"/>
    <w:rsid w:val="00802322"/>
    <w:rsid w:val="0080237A"/>
    <w:rsid w:val="008023A9"/>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47"/>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5"/>
    <w:rsid w:val="00803339"/>
    <w:rsid w:val="00803353"/>
    <w:rsid w:val="0080338C"/>
    <w:rsid w:val="008033C4"/>
    <w:rsid w:val="008033EA"/>
    <w:rsid w:val="008034C3"/>
    <w:rsid w:val="0080354B"/>
    <w:rsid w:val="00803558"/>
    <w:rsid w:val="00803590"/>
    <w:rsid w:val="008035FE"/>
    <w:rsid w:val="00803600"/>
    <w:rsid w:val="0080365E"/>
    <w:rsid w:val="00803672"/>
    <w:rsid w:val="00803673"/>
    <w:rsid w:val="008036A4"/>
    <w:rsid w:val="008036FA"/>
    <w:rsid w:val="008036FC"/>
    <w:rsid w:val="0080372D"/>
    <w:rsid w:val="00803750"/>
    <w:rsid w:val="00803751"/>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E"/>
    <w:rsid w:val="00803DE8"/>
    <w:rsid w:val="00803E0A"/>
    <w:rsid w:val="00803E3B"/>
    <w:rsid w:val="00803E3F"/>
    <w:rsid w:val="00803E55"/>
    <w:rsid w:val="00803E9C"/>
    <w:rsid w:val="00803EF5"/>
    <w:rsid w:val="00803F01"/>
    <w:rsid w:val="00803F65"/>
    <w:rsid w:val="00803F6E"/>
    <w:rsid w:val="00803F73"/>
    <w:rsid w:val="00803F98"/>
    <w:rsid w:val="00803F9F"/>
    <w:rsid w:val="00803FC2"/>
    <w:rsid w:val="0080401C"/>
    <w:rsid w:val="00804044"/>
    <w:rsid w:val="00804078"/>
    <w:rsid w:val="0080408F"/>
    <w:rsid w:val="008040A2"/>
    <w:rsid w:val="008040A4"/>
    <w:rsid w:val="00804104"/>
    <w:rsid w:val="00804135"/>
    <w:rsid w:val="0080413D"/>
    <w:rsid w:val="0080415D"/>
    <w:rsid w:val="0080416C"/>
    <w:rsid w:val="00804173"/>
    <w:rsid w:val="008041F7"/>
    <w:rsid w:val="00804236"/>
    <w:rsid w:val="00804245"/>
    <w:rsid w:val="0080425B"/>
    <w:rsid w:val="00804273"/>
    <w:rsid w:val="0080429E"/>
    <w:rsid w:val="0080430A"/>
    <w:rsid w:val="008043A3"/>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62"/>
    <w:rsid w:val="00804CA2"/>
    <w:rsid w:val="00804CD7"/>
    <w:rsid w:val="00804DD2"/>
    <w:rsid w:val="00804DD9"/>
    <w:rsid w:val="00804E33"/>
    <w:rsid w:val="00804E5D"/>
    <w:rsid w:val="00804E8F"/>
    <w:rsid w:val="00804EF3"/>
    <w:rsid w:val="00804EF9"/>
    <w:rsid w:val="00804F2B"/>
    <w:rsid w:val="00804F2F"/>
    <w:rsid w:val="00804FB1"/>
    <w:rsid w:val="00805017"/>
    <w:rsid w:val="008050A4"/>
    <w:rsid w:val="008050A8"/>
    <w:rsid w:val="008050B6"/>
    <w:rsid w:val="00805104"/>
    <w:rsid w:val="00805107"/>
    <w:rsid w:val="00805125"/>
    <w:rsid w:val="0080513D"/>
    <w:rsid w:val="00805145"/>
    <w:rsid w:val="0080514C"/>
    <w:rsid w:val="0080516A"/>
    <w:rsid w:val="008051EC"/>
    <w:rsid w:val="0080520E"/>
    <w:rsid w:val="0080521C"/>
    <w:rsid w:val="0080522E"/>
    <w:rsid w:val="00805231"/>
    <w:rsid w:val="00805289"/>
    <w:rsid w:val="0080533C"/>
    <w:rsid w:val="00805352"/>
    <w:rsid w:val="00805444"/>
    <w:rsid w:val="0080544E"/>
    <w:rsid w:val="00805455"/>
    <w:rsid w:val="00805496"/>
    <w:rsid w:val="008054CC"/>
    <w:rsid w:val="008054EE"/>
    <w:rsid w:val="0080550E"/>
    <w:rsid w:val="00805553"/>
    <w:rsid w:val="008055D9"/>
    <w:rsid w:val="00805600"/>
    <w:rsid w:val="0080560A"/>
    <w:rsid w:val="00805653"/>
    <w:rsid w:val="00805692"/>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7F"/>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E3"/>
    <w:rsid w:val="00806400"/>
    <w:rsid w:val="00806441"/>
    <w:rsid w:val="008064DA"/>
    <w:rsid w:val="0080652C"/>
    <w:rsid w:val="00806538"/>
    <w:rsid w:val="00806547"/>
    <w:rsid w:val="0080657D"/>
    <w:rsid w:val="008065CF"/>
    <w:rsid w:val="008065D6"/>
    <w:rsid w:val="008065FE"/>
    <w:rsid w:val="00806602"/>
    <w:rsid w:val="00806669"/>
    <w:rsid w:val="00806681"/>
    <w:rsid w:val="008066E9"/>
    <w:rsid w:val="008066EC"/>
    <w:rsid w:val="0080679B"/>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A8"/>
    <w:rsid w:val="00806CBC"/>
    <w:rsid w:val="00806CF5"/>
    <w:rsid w:val="00806D3C"/>
    <w:rsid w:val="00806D40"/>
    <w:rsid w:val="00806DC2"/>
    <w:rsid w:val="00806DF4"/>
    <w:rsid w:val="00806EEC"/>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BA"/>
    <w:rsid w:val="00807502"/>
    <w:rsid w:val="00807509"/>
    <w:rsid w:val="0080750A"/>
    <w:rsid w:val="00807517"/>
    <w:rsid w:val="00807595"/>
    <w:rsid w:val="00807596"/>
    <w:rsid w:val="008075AA"/>
    <w:rsid w:val="00807635"/>
    <w:rsid w:val="00807671"/>
    <w:rsid w:val="00807698"/>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84"/>
    <w:rsid w:val="00810510"/>
    <w:rsid w:val="0081051B"/>
    <w:rsid w:val="0081051F"/>
    <w:rsid w:val="00810525"/>
    <w:rsid w:val="00810588"/>
    <w:rsid w:val="008105E5"/>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A2"/>
    <w:rsid w:val="008110D4"/>
    <w:rsid w:val="008110E4"/>
    <w:rsid w:val="00811106"/>
    <w:rsid w:val="00811167"/>
    <w:rsid w:val="008111C5"/>
    <w:rsid w:val="00811218"/>
    <w:rsid w:val="00811297"/>
    <w:rsid w:val="008112C8"/>
    <w:rsid w:val="008112E2"/>
    <w:rsid w:val="008112FF"/>
    <w:rsid w:val="00811321"/>
    <w:rsid w:val="0081135F"/>
    <w:rsid w:val="00811360"/>
    <w:rsid w:val="00811395"/>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43"/>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9D"/>
    <w:rsid w:val="00812A02"/>
    <w:rsid w:val="00812ADE"/>
    <w:rsid w:val="00812BB0"/>
    <w:rsid w:val="00812BDA"/>
    <w:rsid w:val="00812C07"/>
    <w:rsid w:val="00812CE1"/>
    <w:rsid w:val="00812CF1"/>
    <w:rsid w:val="00812D3A"/>
    <w:rsid w:val="00812D70"/>
    <w:rsid w:val="00812E63"/>
    <w:rsid w:val="00812E6A"/>
    <w:rsid w:val="00812E7C"/>
    <w:rsid w:val="00812EBE"/>
    <w:rsid w:val="00812EC2"/>
    <w:rsid w:val="00812EFD"/>
    <w:rsid w:val="00812F11"/>
    <w:rsid w:val="00812F3E"/>
    <w:rsid w:val="00812F7D"/>
    <w:rsid w:val="00812F89"/>
    <w:rsid w:val="00812FA4"/>
    <w:rsid w:val="0081303F"/>
    <w:rsid w:val="008130A0"/>
    <w:rsid w:val="008130CD"/>
    <w:rsid w:val="0081311C"/>
    <w:rsid w:val="00813164"/>
    <w:rsid w:val="00813175"/>
    <w:rsid w:val="008131F0"/>
    <w:rsid w:val="00813200"/>
    <w:rsid w:val="0081323E"/>
    <w:rsid w:val="0081325A"/>
    <w:rsid w:val="00813285"/>
    <w:rsid w:val="00813364"/>
    <w:rsid w:val="008133BF"/>
    <w:rsid w:val="00813475"/>
    <w:rsid w:val="008134FE"/>
    <w:rsid w:val="00813541"/>
    <w:rsid w:val="00813573"/>
    <w:rsid w:val="008135BE"/>
    <w:rsid w:val="008135FE"/>
    <w:rsid w:val="0081363F"/>
    <w:rsid w:val="00813669"/>
    <w:rsid w:val="00813680"/>
    <w:rsid w:val="008136B0"/>
    <w:rsid w:val="008136F1"/>
    <w:rsid w:val="00813728"/>
    <w:rsid w:val="00813762"/>
    <w:rsid w:val="00813779"/>
    <w:rsid w:val="00813813"/>
    <w:rsid w:val="00813822"/>
    <w:rsid w:val="00813872"/>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1A"/>
    <w:rsid w:val="00813C34"/>
    <w:rsid w:val="00813C3A"/>
    <w:rsid w:val="00813C71"/>
    <w:rsid w:val="00813C90"/>
    <w:rsid w:val="00813CF9"/>
    <w:rsid w:val="00813CFA"/>
    <w:rsid w:val="00813D34"/>
    <w:rsid w:val="00813D78"/>
    <w:rsid w:val="00813D9B"/>
    <w:rsid w:val="00813E06"/>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C"/>
    <w:rsid w:val="0081429F"/>
    <w:rsid w:val="008142C4"/>
    <w:rsid w:val="008142D1"/>
    <w:rsid w:val="0081435A"/>
    <w:rsid w:val="00814376"/>
    <w:rsid w:val="00814382"/>
    <w:rsid w:val="008143A5"/>
    <w:rsid w:val="00814433"/>
    <w:rsid w:val="00814449"/>
    <w:rsid w:val="0081447B"/>
    <w:rsid w:val="008144BC"/>
    <w:rsid w:val="0081456D"/>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E4"/>
    <w:rsid w:val="008148EB"/>
    <w:rsid w:val="00814953"/>
    <w:rsid w:val="00814962"/>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C6"/>
    <w:rsid w:val="00815BFC"/>
    <w:rsid w:val="00815C38"/>
    <w:rsid w:val="00815C4F"/>
    <w:rsid w:val="00815CC1"/>
    <w:rsid w:val="00815D23"/>
    <w:rsid w:val="00815D5A"/>
    <w:rsid w:val="00815E13"/>
    <w:rsid w:val="00815E3E"/>
    <w:rsid w:val="00815E49"/>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C"/>
    <w:rsid w:val="00816437"/>
    <w:rsid w:val="00816439"/>
    <w:rsid w:val="0081645B"/>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7FD"/>
    <w:rsid w:val="00816871"/>
    <w:rsid w:val="008168B6"/>
    <w:rsid w:val="008168E1"/>
    <w:rsid w:val="00816956"/>
    <w:rsid w:val="008169C5"/>
    <w:rsid w:val="008169FD"/>
    <w:rsid w:val="00816A1F"/>
    <w:rsid w:val="00816A76"/>
    <w:rsid w:val="00816AE4"/>
    <w:rsid w:val="00816BFC"/>
    <w:rsid w:val="00816C1E"/>
    <w:rsid w:val="00816C4B"/>
    <w:rsid w:val="00816C80"/>
    <w:rsid w:val="00816C89"/>
    <w:rsid w:val="00816D01"/>
    <w:rsid w:val="00816D49"/>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59"/>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B3"/>
    <w:rsid w:val="008173CD"/>
    <w:rsid w:val="0081740B"/>
    <w:rsid w:val="00817420"/>
    <w:rsid w:val="00817454"/>
    <w:rsid w:val="008174C4"/>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0B"/>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45"/>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E4"/>
    <w:rsid w:val="008203E5"/>
    <w:rsid w:val="00820411"/>
    <w:rsid w:val="0082042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34"/>
    <w:rsid w:val="0082063D"/>
    <w:rsid w:val="00820668"/>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B"/>
    <w:rsid w:val="0082102C"/>
    <w:rsid w:val="0082103B"/>
    <w:rsid w:val="0082104A"/>
    <w:rsid w:val="00821050"/>
    <w:rsid w:val="00821087"/>
    <w:rsid w:val="008210D1"/>
    <w:rsid w:val="00821111"/>
    <w:rsid w:val="00821122"/>
    <w:rsid w:val="00821171"/>
    <w:rsid w:val="008211F9"/>
    <w:rsid w:val="00821295"/>
    <w:rsid w:val="00821347"/>
    <w:rsid w:val="0082138B"/>
    <w:rsid w:val="0082141C"/>
    <w:rsid w:val="00821444"/>
    <w:rsid w:val="00821471"/>
    <w:rsid w:val="00821512"/>
    <w:rsid w:val="00821516"/>
    <w:rsid w:val="00821529"/>
    <w:rsid w:val="00821561"/>
    <w:rsid w:val="008215D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D1A"/>
    <w:rsid w:val="00821D66"/>
    <w:rsid w:val="00821D98"/>
    <w:rsid w:val="00821DAD"/>
    <w:rsid w:val="00821DF4"/>
    <w:rsid w:val="00821E11"/>
    <w:rsid w:val="00821EAC"/>
    <w:rsid w:val="00821F0F"/>
    <w:rsid w:val="00821F12"/>
    <w:rsid w:val="00821F3F"/>
    <w:rsid w:val="00821F50"/>
    <w:rsid w:val="00821F7F"/>
    <w:rsid w:val="00821FA1"/>
    <w:rsid w:val="00821FAE"/>
    <w:rsid w:val="00821FAF"/>
    <w:rsid w:val="00821FD5"/>
    <w:rsid w:val="00822036"/>
    <w:rsid w:val="0082203A"/>
    <w:rsid w:val="0082204B"/>
    <w:rsid w:val="008220EF"/>
    <w:rsid w:val="008220FC"/>
    <w:rsid w:val="00822130"/>
    <w:rsid w:val="00822139"/>
    <w:rsid w:val="00822147"/>
    <w:rsid w:val="0082215B"/>
    <w:rsid w:val="0082215E"/>
    <w:rsid w:val="008221A0"/>
    <w:rsid w:val="0082220B"/>
    <w:rsid w:val="0082226A"/>
    <w:rsid w:val="0082232D"/>
    <w:rsid w:val="008223A8"/>
    <w:rsid w:val="008223B7"/>
    <w:rsid w:val="008223BB"/>
    <w:rsid w:val="008223BE"/>
    <w:rsid w:val="00822431"/>
    <w:rsid w:val="00822446"/>
    <w:rsid w:val="00822459"/>
    <w:rsid w:val="008224BC"/>
    <w:rsid w:val="008224D4"/>
    <w:rsid w:val="008224DF"/>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1B"/>
    <w:rsid w:val="0082294F"/>
    <w:rsid w:val="00822983"/>
    <w:rsid w:val="00822994"/>
    <w:rsid w:val="00822A40"/>
    <w:rsid w:val="00822A5A"/>
    <w:rsid w:val="00822A64"/>
    <w:rsid w:val="00822A71"/>
    <w:rsid w:val="00822A72"/>
    <w:rsid w:val="00822ADA"/>
    <w:rsid w:val="00822AFC"/>
    <w:rsid w:val="00822B3E"/>
    <w:rsid w:val="00822B48"/>
    <w:rsid w:val="00822B6F"/>
    <w:rsid w:val="00822BA2"/>
    <w:rsid w:val="00822BA5"/>
    <w:rsid w:val="00822BC0"/>
    <w:rsid w:val="00822BC5"/>
    <w:rsid w:val="00822BFA"/>
    <w:rsid w:val="00822BFC"/>
    <w:rsid w:val="00822C4B"/>
    <w:rsid w:val="00822C5D"/>
    <w:rsid w:val="00822C96"/>
    <w:rsid w:val="00822CCB"/>
    <w:rsid w:val="00822CD3"/>
    <w:rsid w:val="00822CE1"/>
    <w:rsid w:val="00822CE3"/>
    <w:rsid w:val="00822CF4"/>
    <w:rsid w:val="00822CFE"/>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5C"/>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32"/>
    <w:rsid w:val="00824073"/>
    <w:rsid w:val="0082409E"/>
    <w:rsid w:val="00824100"/>
    <w:rsid w:val="00824146"/>
    <w:rsid w:val="0082414A"/>
    <w:rsid w:val="00824197"/>
    <w:rsid w:val="008241D6"/>
    <w:rsid w:val="0082420E"/>
    <w:rsid w:val="00824220"/>
    <w:rsid w:val="0082424B"/>
    <w:rsid w:val="00824267"/>
    <w:rsid w:val="00824269"/>
    <w:rsid w:val="0082426F"/>
    <w:rsid w:val="00824296"/>
    <w:rsid w:val="00824354"/>
    <w:rsid w:val="008243EC"/>
    <w:rsid w:val="008243F3"/>
    <w:rsid w:val="0082442C"/>
    <w:rsid w:val="00824448"/>
    <w:rsid w:val="00824456"/>
    <w:rsid w:val="008244C4"/>
    <w:rsid w:val="00824510"/>
    <w:rsid w:val="0082454C"/>
    <w:rsid w:val="00824578"/>
    <w:rsid w:val="008245CE"/>
    <w:rsid w:val="008245E6"/>
    <w:rsid w:val="00824628"/>
    <w:rsid w:val="00824729"/>
    <w:rsid w:val="00824736"/>
    <w:rsid w:val="0082476A"/>
    <w:rsid w:val="0082476D"/>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0D5"/>
    <w:rsid w:val="00825173"/>
    <w:rsid w:val="00825202"/>
    <w:rsid w:val="00825208"/>
    <w:rsid w:val="00825279"/>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6F6"/>
    <w:rsid w:val="00825702"/>
    <w:rsid w:val="0082573E"/>
    <w:rsid w:val="0082574B"/>
    <w:rsid w:val="00825772"/>
    <w:rsid w:val="00825797"/>
    <w:rsid w:val="008257B6"/>
    <w:rsid w:val="008257CA"/>
    <w:rsid w:val="008257D3"/>
    <w:rsid w:val="00825843"/>
    <w:rsid w:val="0082584E"/>
    <w:rsid w:val="00825881"/>
    <w:rsid w:val="008258D6"/>
    <w:rsid w:val="0082598D"/>
    <w:rsid w:val="008259A7"/>
    <w:rsid w:val="00825A03"/>
    <w:rsid w:val="00825A67"/>
    <w:rsid w:val="00825AAC"/>
    <w:rsid w:val="00825AC7"/>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EB0"/>
    <w:rsid w:val="00825F32"/>
    <w:rsid w:val="00825F5D"/>
    <w:rsid w:val="00825FB0"/>
    <w:rsid w:val="00825FDD"/>
    <w:rsid w:val="00825FE6"/>
    <w:rsid w:val="00825FF7"/>
    <w:rsid w:val="008260A0"/>
    <w:rsid w:val="008260DC"/>
    <w:rsid w:val="008260EF"/>
    <w:rsid w:val="0082612C"/>
    <w:rsid w:val="0082615D"/>
    <w:rsid w:val="00826187"/>
    <w:rsid w:val="00826208"/>
    <w:rsid w:val="00826296"/>
    <w:rsid w:val="008262BC"/>
    <w:rsid w:val="008262C1"/>
    <w:rsid w:val="008262E6"/>
    <w:rsid w:val="008262EC"/>
    <w:rsid w:val="00826373"/>
    <w:rsid w:val="008263C0"/>
    <w:rsid w:val="008263FC"/>
    <w:rsid w:val="00826422"/>
    <w:rsid w:val="00826464"/>
    <w:rsid w:val="0082646A"/>
    <w:rsid w:val="00826486"/>
    <w:rsid w:val="008264BB"/>
    <w:rsid w:val="008264FD"/>
    <w:rsid w:val="00826568"/>
    <w:rsid w:val="00826569"/>
    <w:rsid w:val="0082657F"/>
    <w:rsid w:val="008265A4"/>
    <w:rsid w:val="008265EF"/>
    <w:rsid w:val="008265F1"/>
    <w:rsid w:val="008265F4"/>
    <w:rsid w:val="00826604"/>
    <w:rsid w:val="00826642"/>
    <w:rsid w:val="008267A5"/>
    <w:rsid w:val="008267FE"/>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E5"/>
    <w:rsid w:val="00826DE9"/>
    <w:rsid w:val="00826E34"/>
    <w:rsid w:val="00826E68"/>
    <w:rsid w:val="00826E82"/>
    <w:rsid w:val="00826EF8"/>
    <w:rsid w:val="00826EFB"/>
    <w:rsid w:val="00826F38"/>
    <w:rsid w:val="00826F8E"/>
    <w:rsid w:val="00826F9D"/>
    <w:rsid w:val="0082704D"/>
    <w:rsid w:val="0082706E"/>
    <w:rsid w:val="008270A8"/>
    <w:rsid w:val="0082710C"/>
    <w:rsid w:val="00827171"/>
    <w:rsid w:val="00827180"/>
    <w:rsid w:val="008271D6"/>
    <w:rsid w:val="00827204"/>
    <w:rsid w:val="00827248"/>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6E"/>
    <w:rsid w:val="00827F75"/>
    <w:rsid w:val="00827FAB"/>
    <w:rsid w:val="00827FE2"/>
    <w:rsid w:val="00827FFD"/>
    <w:rsid w:val="00830032"/>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9E"/>
    <w:rsid w:val="008308A8"/>
    <w:rsid w:val="008308E4"/>
    <w:rsid w:val="00830903"/>
    <w:rsid w:val="0083091E"/>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32"/>
    <w:rsid w:val="00830C4E"/>
    <w:rsid w:val="00830C50"/>
    <w:rsid w:val="00830C6D"/>
    <w:rsid w:val="00830CF4"/>
    <w:rsid w:val="00830D7E"/>
    <w:rsid w:val="00830D82"/>
    <w:rsid w:val="00830DD6"/>
    <w:rsid w:val="00830DE3"/>
    <w:rsid w:val="00830E83"/>
    <w:rsid w:val="00830F30"/>
    <w:rsid w:val="00830FC9"/>
    <w:rsid w:val="008310EC"/>
    <w:rsid w:val="00831124"/>
    <w:rsid w:val="00831136"/>
    <w:rsid w:val="00831173"/>
    <w:rsid w:val="008311B1"/>
    <w:rsid w:val="008311FE"/>
    <w:rsid w:val="00831210"/>
    <w:rsid w:val="00831272"/>
    <w:rsid w:val="008312C7"/>
    <w:rsid w:val="008312E7"/>
    <w:rsid w:val="00831377"/>
    <w:rsid w:val="008313F1"/>
    <w:rsid w:val="00831434"/>
    <w:rsid w:val="0083149D"/>
    <w:rsid w:val="008314FA"/>
    <w:rsid w:val="00831507"/>
    <w:rsid w:val="00831576"/>
    <w:rsid w:val="00831578"/>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50"/>
    <w:rsid w:val="00831AFB"/>
    <w:rsid w:val="00831B1F"/>
    <w:rsid w:val="00831B28"/>
    <w:rsid w:val="00831B55"/>
    <w:rsid w:val="00831B86"/>
    <w:rsid w:val="00831B8B"/>
    <w:rsid w:val="00831BD7"/>
    <w:rsid w:val="00831BED"/>
    <w:rsid w:val="00831BF1"/>
    <w:rsid w:val="00831C2F"/>
    <w:rsid w:val="00831C3A"/>
    <w:rsid w:val="00831C54"/>
    <w:rsid w:val="00831C74"/>
    <w:rsid w:val="00831D23"/>
    <w:rsid w:val="00831D6C"/>
    <w:rsid w:val="00831D7C"/>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1FA"/>
    <w:rsid w:val="00832237"/>
    <w:rsid w:val="0083224A"/>
    <w:rsid w:val="00832256"/>
    <w:rsid w:val="008322BB"/>
    <w:rsid w:val="008322DD"/>
    <w:rsid w:val="0083231D"/>
    <w:rsid w:val="00832531"/>
    <w:rsid w:val="008325B6"/>
    <w:rsid w:val="008326A0"/>
    <w:rsid w:val="008326BC"/>
    <w:rsid w:val="008326F2"/>
    <w:rsid w:val="0083276C"/>
    <w:rsid w:val="008327AD"/>
    <w:rsid w:val="008327B4"/>
    <w:rsid w:val="0083289B"/>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7"/>
    <w:rsid w:val="00832E3C"/>
    <w:rsid w:val="00832E40"/>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80"/>
    <w:rsid w:val="00833384"/>
    <w:rsid w:val="008333A4"/>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3FB0"/>
    <w:rsid w:val="00834007"/>
    <w:rsid w:val="00834010"/>
    <w:rsid w:val="00834094"/>
    <w:rsid w:val="00834099"/>
    <w:rsid w:val="0083409B"/>
    <w:rsid w:val="008340DB"/>
    <w:rsid w:val="008340F4"/>
    <w:rsid w:val="008340FB"/>
    <w:rsid w:val="0083412B"/>
    <w:rsid w:val="0083413D"/>
    <w:rsid w:val="00834160"/>
    <w:rsid w:val="00834172"/>
    <w:rsid w:val="008341B6"/>
    <w:rsid w:val="008341C6"/>
    <w:rsid w:val="008341E5"/>
    <w:rsid w:val="008341F8"/>
    <w:rsid w:val="00834202"/>
    <w:rsid w:val="008342AD"/>
    <w:rsid w:val="008342BF"/>
    <w:rsid w:val="008342C1"/>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2"/>
    <w:rsid w:val="008346A6"/>
    <w:rsid w:val="008346F2"/>
    <w:rsid w:val="00834716"/>
    <w:rsid w:val="0083471F"/>
    <w:rsid w:val="00834742"/>
    <w:rsid w:val="00834755"/>
    <w:rsid w:val="00834775"/>
    <w:rsid w:val="0083478E"/>
    <w:rsid w:val="008347A8"/>
    <w:rsid w:val="008347D9"/>
    <w:rsid w:val="0083485A"/>
    <w:rsid w:val="00834894"/>
    <w:rsid w:val="008348EF"/>
    <w:rsid w:val="0083490B"/>
    <w:rsid w:val="0083491F"/>
    <w:rsid w:val="00834936"/>
    <w:rsid w:val="00834939"/>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1E"/>
    <w:rsid w:val="00834C26"/>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29"/>
    <w:rsid w:val="00835053"/>
    <w:rsid w:val="00835133"/>
    <w:rsid w:val="0083518C"/>
    <w:rsid w:val="0083523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45"/>
    <w:rsid w:val="0083565C"/>
    <w:rsid w:val="008356E8"/>
    <w:rsid w:val="008356F5"/>
    <w:rsid w:val="00835753"/>
    <w:rsid w:val="0083576D"/>
    <w:rsid w:val="008357AC"/>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C"/>
    <w:rsid w:val="00835EFF"/>
    <w:rsid w:val="00835F02"/>
    <w:rsid w:val="00835F28"/>
    <w:rsid w:val="00835F6F"/>
    <w:rsid w:val="00835FB4"/>
    <w:rsid w:val="00835FFD"/>
    <w:rsid w:val="0083600A"/>
    <w:rsid w:val="0083602E"/>
    <w:rsid w:val="00836039"/>
    <w:rsid w:val="00836144"/>
    <w:rsid w:val="0083614D"/>
    <w:rsid w:val="0083617F"/>
    <w:rsid w:val="00836191"/>
    <w:rsid w:val="00836195"/>
    <w:rsid w:val="00836196"/>
    <w:rsid w:val="008361AC"/>
    <w:rsid w:val="008361B6"/>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9C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4"/>
    <w:rsid w:val="00836E4B"/>
    <w:rsid w:val="00836E72"/>
    <w:rsid w:val="00836E78"/>
    <w:rsid w:val="00836EBB"/>
    <w:rsid w:val="00836F47"/>
    <w:rsid w:val="00836FB9"/>
    <w:rsid w:val="00836FD9"/>
    <w:rsid w:val="00836FFA"/>
    <w:rsid w:val="00836FFF"/>
    <w:rsid w:val="00837034"/>
    <w:rsid w:val="00837055"/>
    <w:rsid w:val="00837085"/>
    <w:rsid w:val="008370A3"/>
    <w:rsid w:val="008370B6"/>
    <w:rsid w:val="0083715C"/>
    <w:rsid w:val="008371A1"/>
    <w:rsid w:val="008371F1"/>
    <w:rsid w:val="008371F8"/>
    <w:rsid w:val="008371FC"/>
    <w:rsid w:val="0083720E"/>
    <w:rsid w:val="00837215"/>
    <w:rsid w:val="00837244"/>
    <w:rsid w:val="0083726D"/>
    <w:rsid w:val="0083729A"/>
    <w:rsid w:val="008372A9"/>
    <w:rsid w:val="008372B3"/>
    <w:rsid w:val="008372C0"/>
    <w:rsid w:val="00837347"/>
    <w:rsid w:val="00837364"/>
    <w:rsid w:val="00837398"/>
    <w:rsid w:val="008373B4"/>
    <w:rsid w:val="008373BE"/>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3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70"/>
    <w:rsid w:val="0084007E"/>
    <w:rsid w:val="00840090"/>
    <w:rsid w:val="008400BC"/>
    <w:rsid w:val="00840219"/>
    <w:rsid w:val="00840238"/>
    <w:rsid w:val="0084025D"/>
    <w:rsid w:val="00840276"/>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5D5"/>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9C"/>
    <w:rsid w:val="00840DC7"/>
    <w:rsid w:val="00840DF9"/>
    <w:rsid w:val="00840E0C"/>
    <w:rsid w:val="00840E4B"/>
    <w:rsid w:val="00840E8A"/>
    <w:rsid w:val="00840E9C"/>
    <w:rsid w:val="00840EA3"/>
    <w:rsid w:val="00840EA8"/>
    <w:rsid w:val="00840EAA"/>
    <w:rsid w:val="00840EB1"/>
    <w:rsid w:val="00840EBE"/>
    <w:rsid w:val="00840EC0"/>
    <w:rsid w:val="00840F1B"/>
    <w:rsid w:val="00840FA0"/>
    <w:rsid w:val="00840FA6"/>
    <w:rsid w:val="00840FAA"/>
    <w:rsid w:val="00840FBC"/>
    <w:rsid w:val="00841011"/>
    <w:rsid w:val="00841030"/>
    <w:rsid w:val="0084107A"/>
    <w:rsid w:val="00841096"/>
    <w:rsid w:val="008410C3"/>
    <w:rsid w:val="008410F2"/>
    <w:rsid w:val="008410FC"/>
    <w:rsid w:val="00841127"/>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8"/>
    <w:rsid w:val="0084176E"/>
    <w:rsid w:val="00841816"/>
    <w:rsid w:val="00841845"/>
    <w:rsid w:val="00841863"/>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54"/>
    <w:rsid w:val="00842567"/>
    <w:rsid w:val="008425CD"/>
    <w:rsid w:val="008425FC"/>
    <w:rsid w:val="0084261A"/>
    <w:rsid w:val="0084268D"/>
    <w:rsid w:val="008426AA"/>
    <w:rsid w:val="008426CD"/>
    <w:rsid w:val="0084271C"/>
    <w:rsid w:val="00842730"/>
    <w:rsid w:val="0084274F"/>
    <w:rsid w:val="008427B4"/>
    <w:rsid w:val="008427DF"/>
    <w:rsid w:val="008427E9"/>
    <w:rsid w:val="0084280F"/>
    <w:rsid w:val="00842850"/>
    <w:rsid w:val="008428A1"/>
    <w:rsid w:val="008428AC"/>
    <w:rsid w:val="008428BD"/>
    <w:rsid w:val="008428D8"/>
    <w:rsid w:val="008429F2"/>
    <w:rsid w:val="00842A37"/>
    <w:rsid w:val="00842A52"/>
    <w:rsid w:val="00842AB5"/>
    <w:rsid w:val="00842ABA"/>
    <w:rsid w:val="00842AC9"/>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EA"/>
    <w:rsid w:val="00842E09"/>
    <w:rsid w:val="00842E75"/>
    <w:rsid w:val="00842E91"/>
    <w:rsid w:val="00842E97"/>
    <w:rsid w:val="00842EA1"/>
    <w:rsid w:val="00842EA4"/>
    <w:rsid w:val="00842F19"/>
    <w:rsid w:val="00842FCF"/>
    <w:rsid w:val="00843011"/>
    <w:rsid w:val="00843015"/>
    <w:rsid w:val="00843070"/>
    <w:rsid w:val="0084307C"/>
    <w:rsid w:val="008430A1"/>
    <w:rsid w:val="008430A9"/>
    <w:rsid w:val="008430B7"/>
    <w:rsid w:val="008430CD"/>
    <w:rsid w:val="008430F5"/>
    <w:rsid w:val="00843113"/>
    <w:rsid w:val="0084311D"/>
    <w:rsid w:val="00843144"/>
    <w:rsid w:val="00843164"/>
    <w:rsid w:val="00843166"/>
    <w:rsid w:val="00843198"/>
    <w:rsid w:val="008431AB"/>
    <w:rsid w:val="008431B1"/>
    <w:rsid w:val="008431B8"/>
    <w:rsid w:val="008431D4"/>
    <w:rsid w:val="008431F0"/>
    <w:rsid w:val="00843210"/>
    <w:rsid w:val="00843245"/>
    <w:rsid w:val="0084324D"/>
    <w:rsid w:val="0084328C"/>
    <w:rsid w:val="008432A7"/>
    <w:rsid w:val="008432C4"/>
    <w:rsid w:val="008432DA"/>
    <w:rsid w:val="00843331"/>
    <w:rsid w:val="0084333F"/>
    <w:rsid w:val="008433A0"/>
    <w:rsid w:val="008433DB"/>
    <w:rsid w:val="00843407"/>
    <w:rsid w:val="00843409"/>
    <w:rsid w:val="0084341F"/>
    <w:rsid w:val="00843461"/>
    <w:rsid w:val="0084346E"/>
    <w:rsid w:val="00843486"/>
    <w:rsid w:val="00843487"/>
    <w:rsid w:val="0084357F"/>
    <w:rsid w:val="008435A3"/>
    <w:rsid w:val="008435C6"/>
    <w:rsid w:val="008435E9"/>
    <w:rsid w:val="00843689"/>
    <w:rsid w:val="008436E4"/>
    <w:rsid w:val="0084370D"/>
    <w:rsid w:val="00843728"/>
    <w:rsid w:val="0084373E"/>
    <w:rsid w:val="00843751"/>
    <w:rsid w:val="0084375B"/>
    <w:rsid w:val="0084379D"/>
    <w:rsid w:val="008437A4"/>
    <w:rsid w:val="008437A6"/>
    <w:rsid w:val="008437C4"/>
    <w:rsid w:val="00843816"/>
    <w:rsid w:val="00843894"/>
    <w:rsid w:val="0084389B"/>
    <w:rsid w:val="008438AC"/>
    <w:rsid w:val="008438EB"/>
    <w:rsid w:val="008438FF"/>
    <w:rsid w:val="00843911"/>
    <w:rsid w:val="0084393E"/>
    <w:rsid w:val="0084395F"/>
    <w:rsid w:val="008439F9"/>
    <w:rsid w:val="00843A36"/>
    <w:rsid w:val="00843A60"/>
    <w:rsid w:val="00843AAC"/>
    <w:rsid w:val="00843ABB"/>
    <w:rsid w:val="00843AE9"/>
    <w:rsid w:val="00843B0D"/>
    <w:rsid w:val="00843B40"/>
    <w:rsid w:val="00843B49"/>
    <w:rsid w:val="00843B88"/>
    <w:rsid w:val="00843BB1"/>
    <w:rsid w:val="00843BE7"/>
    <w:rsid w:val="00843BEE"/>
    <w:rsid w:val="00843D10"/>
    <w:rsid w:val="00843DB3"/>
    <w:rsid w:val="00843DBC"/>
    <w:rsid w:val="00843E32"/>
    <w:rsid w:val="00843E33"/>
    <w:rsid w:val="00843E3F"/>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C"/>
    <w:rsid w:val="00844380"/>
    <w:rsid w:val="008443BB"/>
    <w:rsid w:val="008443C7"/>
    <w:rsid w:val="008443E6"/>
    <w:rsid w:val="00844472"/>
    <w:rsid w:val="00844473"/>
    <w:rsid w:val="008444A2"/>
    <w:rsid w:val="008444E3"/>
    <w:rsid w:val="008444FA"/>
    <w:rsid w:val="00844505"/>
    <w:rsid w:val="008445B0"/>
    <w:rsid w:val="008445D9"/>
    <w:rsid w:val="008445E0"/>
    <w:rsid w:val="008445E1"/>
    <w:rsid w:val="00844672"/>
    <w:rsid w:val="008446B3"/>
    <w:rsid w:val="008446B5"/>
    <w:rsid w:val="00844710"/>
    <w:rsid w:val="00844738"/>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73"/>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FB"/>
    <w:rsid w:val="00844F00"/>
    <w:rsid w:val="00844F1E"/>
    <w:rsid w:val="00844F39"/>
    <w:rsid w:val="00844F5E"/>
    <w:rsid w:val="00844F7D"/>
    <w:rsid w:val="00844F8E"/>
    <w:rsid w:val="00845011"/>
    <w:rsid w:val="00845045"/>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5B"/>
    <w:rsid w:val="00845461"/>
    <w:rsid w:val="008454BA"/>
    <w:rsid w:val="00845520"/>
    <w:rsid w:val="0084557B"/>
    <w:rsid w:val="00845582"/>
    <w:rsid w:val="008455B3"/>
    <w:rsid w:val="008455E5"/>
    <w:rsid w:val="008456B9"/>
    <w:rsid w:val="008456C2"/>
    <w:rsid w:val="008456C6"/>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51"/>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50"/>
    <w:rsid w:val="00846758"/>
    <w:rsid w:val="00846767"/>
    <w:rsid w:val="00846789"/>
    <w:rsid w:val="008467F4"/>
    <w:rsid w:val="00846820"/>
    <w:rsid w:val="00846825"/>
    <w:rsid w:val="00846829"/>
    <w:rsid w:val="008468C0"/>
    <w:rsid w:val="008468E4"/>
    <w:rsid w:val="0084697D"/>
    <w:rsid w:val="008469BB"/>
    <w:rsid w:val="00846A20"/>
    <w:rsid w:val="00846A26"/>
    <w:rsid w:val="00846A42"/>
    <w:rsid w:val="00846A5D"/>
    <w:rsid w:val="00846A82"/>
    <w:rsid w:val="00846ACB"/>
    <w:rsid w:val="00846AFA"/>
    <w:rsid w:val="00846B8D"/>
    <w:rsid w:val="00846BAD"/>
    <w:rsid w:val="00846BB3"/>
    <w:rsid w:val="00846BE8"/>
    <w:rsid w:val="00846BF1"/>
    <w:rsid w:val="00846C2D"/>
    <w:rsid w:val="00846C95"/>
    <w:rsid w:val="00846CB0"/>
    <w:rsid w:val="00846CD5"/>
    <w:rsid w:val="00846D12"/>
    <w:rsid w:val="00846D19"/>
    <w:rsid w:val="00846D5A"/>
    <w:rsid w:val="00846DF9"/>
    <w:rsid w:val="00846DFE"/>
    <w:rsid w:val="00846E0E"/>
    <w:rsid w:val="00846E45"/>
    <w:rsid w:val="00846E73"/>
    <w:rsid w:val="00846E7A"/>
    <w:rsid w:val="00846EE6"/>
    <w:rsid w:val="00846F01"/>
    <w:rsid w:val="00846F3C"/>
    <w:rsid w:val="00846F91"/>
    <w:rsid w:val="00846F9E"/>
    <w:rsid w:val="00846F9F"/>
    <w:rsid w:val="00846FA5"/>
    <w:rsid w:val="00846FC0"/>
    <w:rsid w:val="00847047"/>
    <w:rsid w:val="00847079"/>
    <w:rsid w:val="0084707C"/>
    <w:rsid w:val="008470D2"/>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93"/>
    <w:rsid w:val="008476AB"/>
    <w:rsid w:val="008476B0"/>
    <w:rsid w:val="008476FA"/>
    <w:rsid w:val="00847703"/>
    <w:rsid w:val="00847777"/>
    <w:rsid w:val="008477C1"/>
    <w:rsid w:val="008477C6"/>
    <w:rsid w:val="008477E0"/>
    <w:rsid w:val="0084788F"/>
    <w:rsid w:val="008478C1"/>
    <w:rsid w:val="008478C9"/>
    <w:rsid w:val="008478E0"/>
    <w:rsid w:val="0084798E"/>
    <w:rsid w:val="008479CA"/>
    <w:rsid w:val="00847A00"/>
    <w:rsid w:val="00847A02"/>
    <w:rsid w:val="00847A16"/>
    <w:rsid w:val="00847A39"/>
    <w:rsid w:val="00847A91"/>
    <w:rsid w:val="00847AF4"/>
    <w:rsid w:val="00847B56"/>
    <w:rsid w:val="00847B6F"/>
    <w:rsid w:val="00847BB4"/>
    <w:rsid w:val="00847BFC"/>
    <w:rsid w:val="00847C16"/>
    <w:rsid w:val="00847C22"/>
    <w:rsid w:val="00847C3F"/>
    <w:rsid w:val="00847C56"/>
    <w:rsid w:val="00847C94"/>
    <w:rsid w:val="00847CCE"/>
    <w:rsid w:val="00847CF7"/>
    <w:rsid w:val="00847D3C"/>
    <w:rsid w:val="00847DA9"/>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68"/>
    <w:rsid w:val="00850688"/>
    <w:rsid w:val="00850694"/>
    <w:rsid w:val="008506BB"/>
    <w:rsid w:val="008506BC"/>
    <w:rsid w:val="00850712"/>
    <w:rsid w:val="00850732"/>
    <w:rsid w:val="00850746"/>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C0B"/>
    <w:rsid w:val="00850C2F"/>
    <w:rsid w:val="00850C93"/>
    <w:rsid w:val="00850D2A"/>
    <w:rsid w:val="00850D3E"/>
    <w:rsid w:val="00850D52"/>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D1"/>
    <w:rsid w:val="008511D8"/>
    <w:rsid w:val="008511E9"/>
    <w:rsid w:val="008512B9"/>
    <w:rsid w:val="008512C6"/>
    <w:rsid w:val="008512C8"/>
    <w:rsid w:val="008512EA"/>
    <w:rsid w:val="00851326"/>
    <w:rsid w:val="008513AD"/>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9B"/>
    <w:rsid w:val="00851DA9"/>
    <w:rsid w:val="00851DDB"/>
    <w:rsid w:val="00851E06"/>
    <w:rsid w:val="00851E3C"/>
    <w:rsid w:val="00851E8C"/>
    <w:rsid w:val="00851E9A"/>
    <w:rsid w:val="00851EDC"/>
    <w:rsid w:val="00851F01"/>
    <w:rsid w:val="00851F18"/>
    <w:rsid w:val="00851F76"/>
    <w:rsid w:val="00851FCA"/>
    <w:rsid w:val="00852036"/>
    <w:rsid w:val="00852065"/>
    <w:rsid w:val="00852085"/>
    <w:rsid w:val="00852086"/>
    <w:rsid w:val="00852087"/>
    <w:rsid w:val="008520A2"/>
    <w:rsid w:val="008520B1"/>
    <w:rsid w:val="008520CE"/>
    <w:rsid w:val="008520DB"/>
    <w:rsid w:val="008520F8"/>
    <w:rsid w:val="008520FF"/>
    <w:rsid w:val="00852119"/>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71A"/>
    <w:rsid w:val="0085272D"/>
    <w:rsid w:val="0085273B"/>
    <w:rsid w:val="0085275F"/>
    <w:rsid w:val="008527B2"/>
    <w:rsid w:val="008527DC"/>
    <w:rsid w:val="0085280F"/>
    <w:rsid w:val="00852874"/>
    <w:rsid w:val="00852879"/>
    <w:rsid w:val="00852881"/>
    <w:rsid w:val="0085288A"/>
    <w:rsid w:val="008528A3"/>
    <w:rsid w:val="008528DF"/>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83"/>
    <w:rsid w:val="00852A8D"/>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B5"/>
    <w:rsid w:val="008530C6"/>
    <w:rsid w:val="008530D0"/>
    <w:rsid w:val="00853111"/>
    <w:rsid w:val="00853175"/>
    <w:rsid w:val="0085319F"/>
    <w:rsid w:val="00853235"/>
    <w:rsid w:val="00853273"/>
    <w:rsid w:val="0085329F"/>
    <w:rsid w:val="008532AE"/>
    <w:rsid w:val="008532D5"/>
    <w:rsid w:val="00853304"/>
    <w:rsid w:val="00853342"/>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A0"/>
    <w:rsid w:val="008539CA"/>
    <w:rsid w:val="00853A12"/>
    <w:rsid w:val="00853A21"/>
    <w:rsid w:val="00853A6D"/>
    <w:rsid w:val="00853A6F"/>
    <w:rsid w:val="00853A84"/>
    <w:rsid w:val="00853AF6"/>
    <w:rsid w:val="00853B1C"/>
    <w:rsid w:val="00853B26"/>
    <w:rsid w:val="00853B62"/>
    <w:rsid w:val="00853B6C"/>
    <w:rsid w:val="00853BAC"/>
    <w:rsid w:val="00853BFA"/>
    <w:rsid w:val="00853BFE"/>
    <w:rsid w:val="00853C3D"/>
    <w:rsid w:val="00853C8A"/>
    <w:rsid w:val="00853C8D"/>
    <w:rsid w:val="00853CF6"/>
    <w:rsid w:val="00853D32"/>
    <w:rsid w:val="00853DC8"/>
    <w:rsid w:val="00853E33"/>
    <w:rsid w:val="00853E3C"/>
    <w:rsid w:val="00853E56"/>
    <w:rsid w:val="00853EF0"/>
    <w:rsid w:val="00853EF2"/>
    <w:rsid w:val="00853F10"/>
    <w:rsid w:val="00853F51"/>
    <w:rsid w:val="00853F97"/>
    <w:rsid w:val="00853FE0"/>
    <w:rsid w:val="0085401F"/>
    <w:rsid w:val="00854020"/>
    <w:rsid w:val="0085402B"/>
    <w:rsid w:val="00854056"/>
    <w:rsid w:val="00854070"/>
    <w:rsid w:val="008540BB"/>
    <w:rsid w:val="00854154"/>
    <w:rsid w:val="008541B3"/>
    <w:rsid w:val="008541C7"/>
    <w:rsid w:val="008541D4"/>
    <w:rsid w:val="00854205"/>
    <w:rsid w:val="00854210"/>
    <w:rsid w:val="00854280"/>
    <w:rsid w:val="008542B7"/>
    <w:rsid w:val="008542D9"/>
    <w:rsid w:val="008542EB"/>
    <w:rsid w:val="0085432F"/>
    <w:rsid w:val="00854392"/>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C4"/>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46"/>
    <w:rsid w:val="00854EC0"/>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A5"/>
    <w:rsid w:val="008557C2"/>
    <w:rsid w:val="0085583C"/>
    <w:rsid w:val="00855879"/>
    <w:rsid w:val="008558F4"/>
    <w:rsid w:val="0085590C"/>
    <w:rsid w:val="00855932"/>
    <w:rsid w:val="00855965"/>
    <w:rsid w:val="008559A3"/>
    <w:rsid w:val="008559B5"/>
    <w:rsid w:val="008559FC"/>
    <w:rsid w:val="00855AB3"/>
    <w:rsid w:val="00855AE0"/>
    <w:rsid w:val="00855AE6"/>
    <w:rsid w:val="00855B02"/>
    <w:rsid w:val="00855B25"/>
    <w:rsid w:val="00855B40"/>
    <w:rsid w:val="00855B5C"/>
    <w:rsid w:val="00855BF7"/>
    <w:rsid w:val="00855C3B"/>
    <w:rsid w:val="00855C48"/>
    <w:rsid w:val="00855C6F"/>
    <w:rsid w:val="00855C73"/>
    <w:rsid w:val="00855D21"/>
    <w:rsid w:val="00855D23"/>
    <w:rsid w:val="00855D8B"/>
    <w:rsid w:val="00855DA8"/>
    <w:rsid w:val="00855DC1"/>
    <w:rsid w:val="00855DEE"/>
    <w:rsid w:val="00855E1F"/>
    <w:rsid w:val="00855E3C"/>
    <w:rsid w:val="00855EB9"/>
    <w:rsid w:val="00855F16"/>
    <w:rsid w:val="00855F48"/>
    <w:rsid w:val="00855F4A"/>
    <w:rsid w:val="00855F55"/>
    <w:rsid w:val="00855F77"/>
    <w:rsid w:val="00855F7E"/>
    <w:rsid w:val="00855F93"/>
    <w:rsid w:val="00855F9E"/>
    <w:rsid w:val="00856014"/>
    <w:rsid w:val="00856032"/>
    <w:rsid w:val="00856071"/>
    <w:rsid w:val="0085607A"/>
    <w:rsid w:val="008561AB"/>
    <w:rsid w:val="0085625E"/>
    <w:rsid w:val="00856273"/>
    <w:rsid w:val="0085629D"/>
    <w:rsid w:val="008562F4"/>
    <w:rsid w:val="00856317"/>
    <w:rsid w:val="0085643D"/>
    <w:rsid w:val="00856444"/>
    <w:rsid w:val="0085647A"/>
    <w:rsid w:val="008564CE"/>
    <w:rsid w:val="008564F1"/>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DC9"/>
    <w:rsid w:val="00856E0B"/>
    <w:rsid w:val="00856E21"/>
    <w:rsid w:val="00856E3B"/>
    <w:rsid w:val="00856E8A"/>
    <w:rsid w:val="00856EC8"/>
    <w:rsid w:val="00856ECB"/>
    <w:rsid w:val="00856EF3"/>
    <w:rsid w:val="00856F72"/>
    <w:rsid w:val="00856F89"/>
    <w:rsid w:val="00856FC0"/>
    <w:rsid w:val="00856FC1"/>
    <w:rsid w:val="00856FEC"/>
    <w:rsid w:val="00856FF2"/>
    <w:rsid w:val="00857044"/>
    <w:rsid w:val="00857053"/>
    <w:rsid w:val="00857069"/>
    <w:rsid w:val="008570B0"/>
    <w:rsid w:val="008570C0"/>
    <w:rsid w:val="00857140"/>
    <w:rsid w:val="00857165"/>
    <w:rsid w:val="008571C3"/>
    <w:rsid w:val="008571C8"/>
    <w:rsid w:val="008571EB"/>
    <w:rsid w:val="00857211"/>
    <w:rsid w:val="00857224"/>
    <w:rsid w:val="0085722C"/>
    <w:rsid w:val="0085726E"/>
    <w:rsid w:val="008572B7"/>
    <w:rsid w:val="0085732A"/>
    <w:rsid w:val="0085733D"/>
    <w:rsid w:val="00857354"/>
    <w:rsid w:val="00857396"/>
    <w:rsid w:val="0085739F"/>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22"/>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B24"/>
    <w:rsid w:val="00857B40"/>
    <w:rsid w:val="00857C3E"/>
    <w:rsid w:val="00857C6E"/>
    <w:rsid w:val="00857CAD"/>
    <w:rsid w:val="00857D2D"/>
    <w:rsid w:val="00857D35"/>
    <w:rsid w:val="00857D57"/>
    <w:rsid w:val="00857D77"/>
    <w:rsid w:val="00857E17"/>
    <w:rsid w:val="00857E1E"/>
    <w:rsid w:val="00857E6C"/>
    <w:rsid w:val="00857E8C"/>
    <w:rsid w:val="00857E8F"/>
    <w:rsid w:val="00857E98"/>
    <w:rsid w:val="00857F0C"/>
    <w:rsid w:val="00857F3A"/>
    <w:rsid w:val="00857F9C"/>
    <w:rsid w:val="00857FCB"/>
    <w:rsid w:val="00857FD2"/>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762"/>
    <w:rsid w:val="008607E3"/>
    <w:rsid w:val="00860816"/>
    <w:rsid w:val="0086086D"/>
    <w:rsid w:val="0086089B"/>
    <w:rsid w:val="008608C3"/>
    <w:rsid w:val="008608F6"/>
    <w:rsid w:val="00860902"/>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1FB"/>
    <w:rsid w:val="0086126E"/>
    <w:rsid w:val="008612E0"/>
    <w:rsid w:val="00861307"/>
    <w:rsid w:val="00861339"/>
    <w:rsid w:val="0086135F"/>
    <w:rsid w:val="00861391"/>
    <w:rsid w:val="008613DA"/>
    <w:rsid w:val="0086145C"/>
    <w:rsid w:val="00861465"/>
    <w:rsid w:val="00861492"/>
    <w:rsid w:val="008614C5"/>
    <w:rsid w:val="008614FB"/>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17"/>
    <w:rsid w:val="00861A2A"/>
    <w:rsid w:val="00861A79"/>
    <w:rsid w:val="00861A8E"/>
    <w:rsid w:val="00861ADE"/>
    <w:rsid w:val="00861AED"/>
    <w:rsid w:val="00861B43"/>
    <w:rsid w:val="00861B4B"/>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A"/>
    <w:rsid w:val="00861E9E"/>
    <w:rsid w:val="00861ED1"/>
    <w:rsid w:val="00861EFC"/>
    <w:rsid w:val="00861F04"/>
    <w:rsid w:val="00861FD2"/>
    <w:rsid w:val="00862037"/>
    <w:rsid w:val="00862042"/>
    <w:rsid w:val="0086205D"/>
    <w:rsid w:val="00862072"/>
    <w:rsid w:val="0086207B"/>
    <w:rsid w:val="008620AF"/>
    <w:rsid w:val="008620B7"/>
    <w:rsid w:val="00862112"/>
    <w:rsid w:val="0086215D"/>
    <w:rsid w:val="00862216"/>
    <w:rsid w:val="008622F2"/>
    <w:rsid w:val="00862349"/>
    <w:rsid w:val="00862388"/>
    <w:rsid w:val="00862392"/>
    <w:rsid w:val="008623B5"/>
    <w:rsid w:val="0086241F"/>
    <w:rsid w:val="00862445"/>
    <w:rsid w:val="00862463"/>
    <w:rsid w:val="008624FD"/>
    <w:rsid w:val="00862581"/>
    <w:rsid w:val="008625A8"/>
    <w:rsid w:val="008625B5"/>
    <w:rsid w:val="008625D6"/>
    <w:rsid w:val="00862648"/>
    <w:rsid w:val="00862649"/>
    <w:rsid w:val="008626D4"/>
    <w:rsid w:val="00862743"/>
    <w:rsid w:val="0086278D"/>
    <w:rsid w:val="008627DC"/>
    <w:rsid w:val="008627E6"/>
    <w:rsid w:val="0086284E"/>
    <w:rsid w:val="00862881"/>
    <w:rsid w:val="008628AE"/>
    <w:rsid w:val="008628D9"/>
    <w:rsid w:val="008628F2"/>
    <w:rsid w:val="008629CA"/>
    <w:rsid w:val="00862A81"/>
    <w:rsid w:val="00862AAD"/>
    <w:rsid w:val="00862AC1"/>
    <w:rsid w:val="00862B04"/>
    <w:rsid w:val="00862B21"/>
    <w:rsid w:val="00862B70"/>
    <w:rsid w:val="00862BC4"/>
    <w:rsid w:val="00862C3C"/>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2D"/>
    <w:rsid w:val="00863040"/>
    <w:rsid w:val="00863053"/>
    <w:rsid w:val="00863084"/>
    <w:rsid w:val="008630BC"/>
    <w:rsid w:val="00863146"/>
    <w:rsid w:val="00863151"/>
    <w:rsid w:val="00863168"/>
    <w:rsid w:val="00863179"/>
    <w:rsid w:val="008631F3"/>
    <w:rsid w:val="00863263"/>
    <w:rsid w:val="0086327E"/>
    <w:rsid w:val="008632BC"/>
    <w:rsid w:val="008632CC"/>
    <w:rsid w:val="008632FE"/>
    <w:rsid w:val="0086330E"/>
    <w:rsid w:val="0086332E"/>
    <w:rsid w:val="00863336"/>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38"/>
    <w:rsid w:val="008637C2"/>
    <w:rsid w:val="00863839"/>
    <w:rsid w:val="00863888"/>
    <w:rsid w:val="008638DC"/>
    <w:rsid w:val="00863928"/>
    <w:rsid w:val="0086396F"/>
    <w:rsid w:val="008639E6"/>
    <w:rsid w:val="00863A04"/>
    <w:rsid w:val="00863A3D"/>
    <w:rsid w:val="00863A4D"/>
    <w:rsid w:val="00863A61"/>
    <w:rsid w:val="00863A69"/>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5D"/>
    <w:rsid w:val="008640D0"/>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83"/>
    <w:rsid w:val="008644C2"/>
    <w:rsid w:val="008644F5"/>
    <w:rsid w:val="0086451D"/>
    <w:rsid w:val="00864579"/>
    <w:rsid w:val="008645BC"/>
    <w:rsid w:val="008645EC"/>
    <w:rsid w:val="00864659"/>
    <w:rsid w:val="0086466D"/>
    <w:rsid w:val="00864694"/>
    <w:rsid w:val="008646E5"/>
    <w:rsid w:val="008646EB"/>
    <w:rsid w:val="008646ED"/>
    <w:rsid w:val="0086473F"/>
    <w:rsid w:val="00864785"/>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1E"/>
    <w:rsid w:val="00865630"/>
    <w:rsid w:val="0086566D"/>
    <w:rsid w:val="00865671"/>
    <w:rsid w:val="00865673"/>
    <w:rsid w:val="0086569F"/>
    <w:rsid w:val="008656B0"/>
    <w:rsid w:val="008656C3"/>
    <w:rsid w:val="0086571C"/>
    <w:rsid w:val="00865728"/>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44"/>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49"/>
    <w:rsid w:val="00866478"/>
    <w:rsid w:val="0086647E"/>
    <w:rsid w:val="00866492"/>
    <w:rsid w:val="0086649F"/>
    <w:rsid w:val="008664F7"/>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42"/>
    <w:rsid w:val="00866A65"/>
    <w:rsid w:val="00866B19"/>
    <w:rsid w:val="00866B23"/>
    <w:rsid w:val="00866BB3"/>
    <w:rsid w:val="00866BCD"/>
    <w:rsid w:val="00866BE4"/>
    <w:rsid w:val="00866C18"/>
    <w:rsid w:val="00866C1D"/>
    <w:rsid w:val="00866C21"/>
    <w:rsid w:val="00866C34"/>
    <w:rsid w:val="00866CAF"/>
    <w:rsid w:val="00866CD2"/>
    <w:rsid w:val="00866D3F"/>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30F"/>
    <w:rsid w:val="0086731C"/>
    <w:rsid w:val="0086731D"/>
    <w:rsid w:val="00867356"/>
    <w:rsid w:val="0086735D"/>
    <w:rsid w:val="00867395"/>
    <w:rsid w:val="008673AA"/>
    <w:rsid w:val="008673B1"/>
    <w:rsid w:val="008673D1"/>
    <w:rsid w:val="00867435"/>
    <w:rsid w:val="00867454"/>
    <w:rsid w:val="00867470"/>
    <w:rsid w:val="00867493"/>
    <w:rsid w:val="008674C1"/>
    <w:rsid w:val="008674E6"/>
    <w:rsid w:val="00867501"/>
    <w:rsid w:val="0086751B"/>
    <w:rsid w:val="0086751C"/>
    <w:rsid w:val="00867550"/>
    <w:rsid w:val="00867669"/>
    <w:rsid w:val="008676F8"/>
    <w:rsid w:val="0086772F"/>
    <w:rsid w:val="008677D1"/>
    <w:rsid w:val="00867890"/>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F"/>
    <w:rsid w:val="00867CBE"/>
    <w:rsid w:val="00867CED"/>
    <w:rsid w:val="00867D00"/>
    <w:rsid w:val="00867D0D"/>
    <w:rsid w:val="00867D36"/>
    <w:rsid w:val="00867D58"/>
    <w:rsid w:val="00867DD0"/>
    <w:rsid w:val="00867DDF"/>
    <w:rsid w:val="00867E16"/>
    <w:rsid w:val="00867E50"/>
    <w:rsid w:val="00867E60"/>
    <w:rsid w:val="00867EA8"/>
    <w:rsid w:val="00867F18"/>
    <w:rsid w:val="00867F63"/>
    <w:rsid w:val="00867F95"/>
    <w:rsid w:val="00867FA1"/>
    <w:rsid w:val="00867FE6"/>
    <w:rsid w:val="00867FEA"/>
    <w:rsid w:val="00870013"/>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DA"/>
    <w:rsid w:val="008705FA"/>
    <w:rsid w:val="0087063C"/>
    <w:rsid w:val="008706F1"/>
    <w:rsid w:val="00870702"/>
    <w:rsid w:val="00870705"/>
    <w:rsid w:val="00870717"/>
    <w:rsid w:val="0087076C"/>
    <w:rsid w:val="0087079C"/>
    <w:rsid w:val="00870825"/>
    <w:rsid w:val="00870947"/>
    <w:rsid w:val="0087096F"/>
    <w:rsid w:val="00870997"/>
    <w:rsid w:val="008709B1"/>
    <w:rsid w:val="008709C9"/>
    <w:rsid w:val="008709D3"/>
    <w:rsid w:val="00870A08"/>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0B"/>
    <w:rsid w:val="00870F20"/>
    <w:rsid w:val="00870F26"/>
    <w:rsid w:val="00870FC0"/>
    <w:rsid w:val="00870FD5"/>
    <w:rsid w:val="00870FE4"/>
    <w:rsid w:val="00871054"/>
    <w:rsid w:val="008710AD"/>
    <w:rsid w:val="0087113B"/>
    <w:rsid w:val="008711C7"/>
    <w:rsid w:val="008711D0"/>
    <w:rsid w:val="00871221"/>
    <w:rsid w:val="0087135B"/>
    <w:rsid w:val="0087136D"/>
    <w:rsid w:val="0087138F"/>
    <w:rsid w:val="008713CD"/>
    <w:rsid w:val="008713F0"/>
    <w:rsid w:val="008713F1"/>
    <w:rsid w:val="00871439"/>
    <w:rsid w:val="008714CF"/>
    <w:rsid w:val="008714D3"/>
    <w:rsid w:val="008714D9"/>
    <w:rsid w:val="00871529"/>
    <w:rsid w:val="00871556"/>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59"/>
    <w:rsid w:val="00871AA1"/>
    <w:rsid w:val="00871B1D"/>
    <w:rsid w:val="00871B5D"/>
    <w:rsid w:val="00871B60"/>
    <w:rsid w:val="00871BCF"/>
    <w:rsid w:val="00871C1B"/>
    <w:rsid w:val="00871C2B"/>
    <w:rsid w:val="00871C8A"/>
    <w:rsid w:val="00871CA1"/>
    <w:rsid w:val="00871CDF"/>
    <w:rsid w:val="00871D8A"/>
    <w:rsid w:val="00871DA0"/>
    <w:rsid w:val="00871DCB"/>
    <w:rsid w:val="00871E03"/>
    <w:rsid w:val="00871E0D"/>
    <w:rsid w:val="00871E13"/>
    <w:rsid w:val="00871E3D"/>
    <w:rsid w:val="00871E95"/>
    <w:rsid w:val="00871EA7"/>
    <w:rsid w:val="00871ED9"/>
    <w:rsid w:val="00871EE0"/>
    <w:rsid w:val="00871FC8"/>
    <w:rsid w:val="00871FFA"/>
    <w:rsid w:val="0087202F"/>
    <w:rsid w:val="008720B6"/>
    <w:rsid w:val="00872129"/>
    <w:rsid w:val="00872153"/>
    <w:rsid w:val="00872169"/>
    <w:rsid w:val="0087216B"/>
    <w:rsid w:val="00872176"/>
    <w:rsid w:val="008721CC"/>
    <w:rsid w:val="0087228E"/>
    <w:rsid w:val="00872296"/>
    <w:rsid w:val="00872299"/>
    <w:rsid w:val="008722E3"/>
    <w:rsid w:val="00872426"/>
    <w:rsid w:val="0087247A"/>
    <w:rsid w:val="00872503"/>
    <w:rsid w:val="00872577"/>
    <w:rsid w:val="00872578"/>
    <w:rsid w:val="0087257F"/>
    <w:rsid w:val="00872580"/>
    <w:rsid w:val="00872594"/>
    <w:rsid w:val="008725B4"/>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CCA"/>
    <w:rsid w:val="00872D26"/>
    <w:rsid w:val="00872D53"/>
    <w:rsid w:val="00872D6F"/>
    <w:rsid w:val="00872D73"/>
    <w:rsid w:val="00872DA6"/>
    <w:rsid w:val="00872DDF"/>
    <w:rsid w:val="00872E12"/>
    <w:rsid w:val="00872E13"/>
    <w:rsid w:val="00872EBE"/>
    <w:rsid w:val="00872F00"/>
    <w:rsid w:val="00872F1A"/>
    <w:rsid w:val="00872F2E"/>
    <w:rsid w:val="00872F4A"/>
    <w:rsid w:val="00872F55"/>
    <w:rsid w:val="00872F90"/>
    <w:rsid w:val="00872FB5"/>
    <w:rsid w:val="00872FF9"/>
    <w:rsid w:val="0087305A"/>
    <w:rsid w:val="008730D1"/>
    <w:rsid w:val="008730EB"/>
    <w:rsid w:val="0087311B"/>
    <w:rsid w:val="0087314A"/>
    <w:rsid w:val="00873163"/>
    <w:rsid w:val="00873193"/>
    <w:rsid w:val="008731A1"/>
    <w:rsid w:val="008731DC"/>
    <w:rsid w:val="0087321E"/>
    <w:rsid w:val="00873230"/>
    <w:rsid w:val="00873255"/>
    <w:rsid w:val="00873299"/>
    <w:rsid w:val="008732B4"/>
    <w:rsid w:val="008732BD"/>
    <w:rsid w:val="008732CE"/>
    <w:rsid w:val="00873370"/>
    <w:rsid w:val="00873398"/>
    <w:rsid w:val="0087339B"/>
    <w:rsid w:val="008733C9"/>
    <w:rsid w:val="0087345C"/>
    <w:rsid w:val="00873464"/>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BD"/>
    <w:rsid w:val="00873A30"/>
    <w:rsid w:val="00873A71"/>
    <w:rsid w:val="00873AE6"/>
    <w:rsid w:val="00873B36"/>
    <w:rsid w:val="00873B4D"/>
    <w:rsid w:val="00873B91"/>
    <w:rsid w:val="00873BA1"/>
    <w:rsid w:val="00873BA9"/>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8B"/>
    <w:rsid w:val="008742D3"/>
    <w:rsid w:val="008742D6"/>
    <w:rsid w:val="008742DA"/>
    <w:rsid w:val="008742F2"/>
    <w:rsid w:val="00874306"/>
    <w:rsid w:val="00874356"/>
    <w:rsid w:val="00874373"/>
    <w:rsid w:val="0087437B"/>
    <w:rsid w:val="008743B0"/>
    <w:rsid w:val="008743BE"/>
    <w:rsid w:val="008743DC"/>
    <w:rsid w:val="0087441C"/>
    <w:rsid w:val="0087446E"/>
    <w:rsid w:val="008744A4"/>
    <w:rsid w:val="008744AD"/>
    <w:rsid w:val="008744C5"/>
    <w:rsid w:val="008744D8"/>
    <w:rsid w:val="008744EB"/>
    <w:rsid w:val="00874513"/>
    <w:rsid w:val="00874565"/>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D2B"/>
    <w:rsid w:val="00874D53"/>
    <w:rsid w:val="00874D7B"/>
    <w:rsid w:val="00874D8C"/>
    <w:rsid w:val="00874E1D"/>
    <w:rsid w:val="00874E73"/>
    <w:rsid w:val="00874EB1"/>
    <w:rsid w:val="00874EF2"/>
    <w:rsid w:val="00874F06"/>
    <w:rsid w:val="00874F28"/>
    <w:rsid w:val="00874F4D"/>
    <w:rsid w:val="00874F4F"/>
    <w:rsid w:val="00874F5C"/>
    <w:rsid w:val="00874F9A"/>
    <w:rsid w:val="00874FB2"/>
    <w:rsid w:val="00875006"/>
    <w:rsid w:val="00875044"/>
    <w:rsid w:val="008750FD"/>
    <w:rsid w:val="0087511B"/>
    <w:rsid w:val="00875126"/>
    <w:rsid w:val="0087512C"/>
    <w:rsid w:val="0087512F"/>
    <w:rsid w:val="0087517E"/>
    <w:rsid w:val="00875199"/>
    <w:rsid w:val="008751B7"/>
    <w:rsid w:val="00875253"/>
    <w:rsid w:val="0087529A"/>
    <w:rsid w:val="0087533C"/>
    <w:rsid w:val="00875359"/>
    <w:rsid w:val="008753D9"/>
    <w:rsid w:val="00875418"/>
    <w:rsid w:val="00875432"/>
    <w:rsid w:val="0087544C"/>
    <w:rsid w:val="00875496"/>
    <w:rsid w:val="00875520"/>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90"/>
    <w:rsid w:val="008759E1"/>
    <w:rsid w:val="00875A9A"/>
    <w:rsid w:val="00875AF8"/>
    <w:rsid w:val="00875B7E"/>
    <w:rsid w:val="00875BD6"/>
    <w:rsid w:val="00875C51"/>
    <w:rsid w:val="00875C60"/>
    <w:rsid w:val="00875C9B"/>
    <w:rsid w:val="00875CB9"/>
    <w:rsid w:val="00875CE2"/>
    <w:rsid w:val="00875DD1"/>
    <w:rsid w:val="00875DFF"/>
    <w:rsid w:val="00875E14"/>
    <w:rsid w:val="00875E17"/>
    <w:rsid w:val="00875E49"/>
    <w:rsid w:val="00875ED0"/>
    <w:rsid w:val="00875F49"/>
    <w:rsid w:val="00875F75"/>
    <w:rsid w:val="00876055"/>
    <w:rsid w:val="00876089"/>
    <w:rsid w:val="00876091"/>
    <w:rsid w:val="008760E2"/>
    <w:rsid w:val="00876135"/>
    <w:rsid w:val="00876139"/>
    <w:rsid w:val="0087617D"/>
    <w:rsid w:val="008761C4"/>
    <w:rsid w:val="0087620F"/>
    <w:rsid w:val="00876241"/>
    <w:rsid w:val="0087624B"/>
    <w:rsid w:val="00876252"/>
    <w:rsid w:val="00876295"/>
    <w:rsid w:val="008762B5"/>
    <w:rsid w:val="00876307"/>
    <w:rsid w:val="00876346"/>
    <w:rsid w:val="0087635C"/>
    <w:rsid w:val="0087638F"/>
    <w:rsid w:val="00876445"/>
    <w:rsid w:val="0087644E"/>
    <w:rsid w:val="008764AC"/>
    <w:rsid w:val="00876501"/>
    <w:rsid w:val="0087651E"/>
    <w:rsid w:val="00876530"/>
    <w:rsid w:val="00876554"/>
    <w:rsid w:val="00876565"/>
    <w:rsid w:val="008765B2"/>
    <w:rsid w:val="00876612"/>
    <w:rsid w:val="00876645"/>
    <w:rsid w:val="008766DF"/>
    <w:rsid w:val="008766E7"/>
    <w:rsid w:val="0087671A"/>
    <w:rsid w:val="00876749"/>
    <w:rsid w:val="0087676E"/>
    <w:rsid w:val="0087677E"/>
    <w:rsid w:val="008767B4"/>
    <w:rsid w:val="008767BF"/>
    <w:rsid w:val="008767E3"/>
    <w:rsid w:val="0087683C"/>
    <w:rsid w:val="00876860"/>
    <w:rsid w:val="0087686B"/>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58"/>
    <w:rsid w:val="00876B6D"/>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B4"/>
    <w:rsid w:val="00876FC9"/>
    <w:rsid w:val="00876FFB"/>
    <w:rsid w:val="00877001"/>
    <w:rsid w:val="0087700F"/>
    <w:rsid w:val="0087701C"/>
    <w:rsid w:val="008770D7"/>
    <w:rsid w:val="008770E7"/>
    <w:rsid w:val="008770F6"/>
    <w:rsid w:val="00877126"/>
    <w:rsid w:val="00877179"/>
    <w:rsid w:val="00877192"/>
    <w:rsid w:val="0087720B"/>
    <w:rsid w:val="00877255"/>
    <w:rsid w:val="00877280"/>
    <w:rsid w:val="008772F0"/>
    <w:rsid w:val="0087738E"/>
    <w:rsid w:val="0087739C"/>
    <w:rsid w:val="008773BA"/>
    <w:rsid w:val="008773F8"/>
    <w:rsid w:val="00877413"/>
    <w:rsid w:val="0087748A"/>
    <w:rsid w:val="00877498"/>
    <w:rsid w:val="008774AD"/>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C2"/>
    <w:rsid w:val="00877E00"/>
    <w:rsid w:val="00877E0C"/>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4C"/>
    <w:rsid w:val="00880CCC"/>
    <w:rsid w:val="00880CD4"/>
    <w:rsid w:val="00880D2A"/>
    <w:rsid w:val="00880D45"/>
    <w:rsid w:val="00880D65"/>
    <w:rsid w:val="00880DFF"/>
    <w:rsid w:val="00880E24"/>
    <w:rsid w:val="00880E3E"/>
    <w:rsid w:val="00880EB5"/>
    <w:rsid w:val="00880EC7"/>
    <w:rsid w:val="00880F2A"/>
    <w:rsid w:val="00880F7F"/>
    <w:rsid w:val="00880FC9"/>
    <w:rsid w:val="00881046"/>
    <w:rsid w:val="00881069"/>
    <w:rsid w:val="00881074"/>
    <w:rsid w:val="008810B7"/>
    <w:rsid w:val="008810BF"/>
    <w:rsid w:val="008810C5"/>
    <w:rsid w:val="008810C7"/>
    <w:rsid w:val="008810CD"/>
    <w:rsid w:val="008811B8"/>
    <w:rsid w:val="00881264"/>
    <w:rsid w:val="008812AB"/>
    <w:rsid w:val="008812F2"/>
    <w:rsid w:val="00881304"/>
    <w:rsid w:val="0088131D"/>
    <w:rsid w:val="0088135A"/>
    <w:rsid w:val="00881366"/>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68A"/>
    <w:rsid w:val="0088175F"/>
    <w:rsid w:val="0088178C"/>
    <w:rsid w:val="008817C8"/>
    <w:rsid w:val="008817DC"/>
    <w:rsid w:val="00881819"/>
    <w:rsid w:val="00881893"/>
    <w:rsid w:val="008819DE"/>
    <w:rsid w:val="008819F3"/>
    <w:rsid w:val="00881A2D"/>
    <w:rsid w:val="00881A9E"/>
    <w:rsid w:val="00881AA4"/>
    <w:rsid w:val="00881AE7"/>
    <w:rsid w:val="00881B8A"/>
    <w:rsid w:val="00881B9D"/>
    <w:rsid w:val="00881BC0"/>
    <w:rsid w:val="00881BF7"/>
    <w:rsid w:val="00881C14"/>
    <w:rsid w:val="00881C38"/>
    <w:rsid w:val="00881C57"/>
    <w:rsid w:val="00881C5D"/>
    <w:rsid w:val="00881C82"/>
    <w:rsid w:val="00881CA5"/>
    <w:rsid w:val="00881CCE"/>
    <w:rsid w:val="00881D05"/>
    <w:rsid w:val="00881D59"/>
    <w:rsid w:val="00881D84"/>
    <w:rsid w:val="00881DA4"/>
    <w:rsid w:val="00881DE7"/>
    <w:rsid w:val="00881DE9"/>
    <w:rsid w:val="00881DEA"/>
    <w:rsid w:val="00881DF6"/>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B4"/>
    <w:rsid w:val="008822E6"/>
    <w:rsid w:val="00882310"/>
    <w:rsid w:val="00882322"/>
    <w:rsid w:val="00882374"/>
    <w:rsid w:val="00882376"/>
    <w:rsid w:val="0088238A"/>
    <w:rsid w:val="0088239E"/>
    <w:rsid w:val="008823AE"/>
    <w:rsid w:val="008823B7"/>
    <w:rsid w:val="008823D0"/>
    <w:rsid w:val="00882423"/>
    <w:rsid w:val="008824A9"/>
    <w:rsid w:val="008824C6"/>
    <w:rsid w:val="008824F8"/>
    <w:rsid w:val="008824FD"/>
    <w:rsid w:val="00882552"/>
    <w:rsid w:val="0088257A"/>
    <w:rsid w:val="00882582"/>
    <w:rsid w:val="008825BE"/>
    <w:rsid w:val="008825C7"/>
    <w:rsid w:val="008825D3"/>
    <w:rsid w:val="00882612"/>
    <w:rsid w:val="00882623"/>
    <w:rsid w:val="00882656"/>
    <w:rsid w:val="0088269C"/>
    <w:rsid w:val="008826AA"/>
    <w:rsid w:val="008826DF"/>
    <w:rsid w:val="00882703"/>
    <w:rsid w:val="008827CD"/>
    <w:rsid w:val="0088284F"/>
    <w:rsid w:val="00882891"/>
    <w:rsid w:val="0088290E"/>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17"/>
    <w:rsid w:val="00882E80"/>
    <w:rsid w:val="00882F8E"/>
    <w:rsid w:val="00882FC8"/>
    <w:rsid w:val="0088302B"/>
    <w:rsid w:val="00883060"/>
    <w:rsid w:val="008830A7"/>
    <w:rsid w:val="008830BD"/>
    <w:rsid w:val="00883143"/>
    <w:rsid w:val="00883156"/>
    <w:rsid w:val="00883170"/>
    <w:rsid w:val="008831E4"/>
    <w:rsid w:val="00883217"/>
    <w:rsid w:val="008832BC"/>
    <w:rsid w:val="008832DF"/>
    <w:rsid w:val="00883321"/>
    <w:rsid w:val="0088338B"/>
    <w:rsid w:val="008833FA"/>
    <w:rsid w:val="00883400"/>
    <w:rsid w:val="00883415"/>
    <w:rsid w:val="00883463"/>
    <w:rsid w:val="00883468"/>
    <w:rsid w:val="0088355B"/>
    <w:rsid w:val="0088358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5FB"/>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AF"/>
    <w:rsid w:val="00884AD5"/>
    <w:rsid w:val="00884ADF"/>
    <w:rsid w:val="00884AE5"/>
    <w:rsid w:val="00884AF9"/>
    <w:rsid w:val="00884B73"/>
    <w:rsid w:val="00884B8E"/>
    <w:rsid w:val="00884BC3"/>
    <w:rsid w:val="00884BC9"/>
    <w:rsid w:val="00884BCF"/>
    <w:rsid w:val="00884BD1"/>
    <w:rsid w:val="00884BD8"/>
    <w:rsid w:val="00884BEF"/>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0EA"/>
    <w:rsid w:val="00885136"/>
    <w:rsid w:val="0088515E"/>
    <w:rsid w:val="008851B1"/>
    <w:rsid w:val="008851D1"/>
    <w:rsid w:val="00885205"/>
    <w:rsid w:val="00885239"/>
    <w:rsid w:val="0088528F"/>
    <w:rsid w:val="008852A0"/>
    <w:rsid w:val="008852B0"/>
    <w:rsid w:val="008852D8"/>
    <w:rsid w:val="0088530B"/>
    <w:rsid w:val="00885322"/>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7B8"/>
    <w:rsid w:val="00885809"/>
    <w:rsid w:val="00885838"/>
    <w:rsid w:val="0088587E"/>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CF"/>
    <w:rsid w:val="00885E6A"/>
    <w:rsid w:val="00885E73"/>
    <w:rsid w:val="00885E85"/>
    <w:rsid w:val="00885E95"/>
    <w:rsid w:val="00885F1C"/>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24"/>
    <w:rsid w:val="00886C2E"/>
    <w:rsid w:val="00886CA8"/>
    <w:rsid w:val="00886CB3"/>
    <w:rsid w:val="00886D00"/>
    <w:rsid w:val="00886D3F"/>
    <w:rsid w:val="00886DBF"/>
    <w:rsid w:val="00886DE8"/>
    <w:rsid w:val="00886DFA"/>
    <w:rsid w:val="00886E54"/>
    <w:rsid w:val="00886FFC"/>
    <w:rsid w:val="00887005"/>
    <w:rsid w:val="0088705B"/>
    <w:rsid w:val="00887078"/>
    <w:rsid w:val="008870B0"/>
    <w:rsid w:val="008870CD"/>
    <w:rsid w:val="0088712A"/>
    <w:rsid w:val="0088712E"/>
    <w:rsid w:val="00887151"/>
    <w:rsid w:val="0088722F"/>
    <w:rsid w:val="0088723F"/>
    <w:rsid w:val="00887251"/>
    <w:rsid w:val="00887253"/>
    <w:rsid w:val="008872A5"/>
    <w:rsid w:val="008872B3"/>
    <w:rsid w:val="008872D0"/>
    <w:rsid w:val="008872F1"/>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9EE"/>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2D"/>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5"/>
    <w:rsid w:val="0089021A"/>
    <w:rsid w:val="0089023A"/>
    <w:rsid w:val="00890248"/>
    <w:rsid w:val="00890254"/>
    <w:rsid w:val="00890261"/>
    <w:rsid w:val="00890263"/>
    <w:rsid w:val="0089030B"/>
    <w:rsid w:val="0089035B"/>
    <w:rsid w:val="0089037D"/>
    <w:rsid w:val="0089037E"/>
    <w:rsid w:val="0089038A"/>
    <w:rsid w:val="0089039D"/>
    <w:rsid w:val="008903A1"/>
    <w:rsid w:val="008903A3"/>
    <w:rsid w:val="008903C5"/>
    <w:rsid w:val="00890437"/>
    <w:rsid w:val="00890443"/>
    <w:rsid w:val="00890463"/>
    <w:rsid w:val="00890484"/>
    <w:rsid w:val="008904AE"/>
    <w:rsid w:val="008904BD"/>
    <w:rsid w:val="008904CC"/>
    <w:rsid w:val="008905DB"/>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A7"/>
    <w:rsid w:val="00890CBC"/>
    <w:rsid w:val="00890D32"/>
    <w:rsid w:val="00890D6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A"/>
    <w:rsid w:val="00891491"/>
    <w:rsid w:val="00891498"/>
    <w:rsid w:val="008914C6"/>
    <w:rsid w:val="0089151B"/>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E1"/>
    <w:rsid w:val="008918E7"/>
    <w:rsid w:val="008918ED"/>
    <w:rsid w:val="008918EE"/>
    <w:rsid w:val="0089190B"/>
    <w:rsid w:val="008919AE"/>
    <w:rsid w:val="008919C3"/>
    <w:rsid w:val="008919DA"/>
    <w:rsid w:val="00891A14"/>
    <w:rsid w:val="00891A57"/>
    <w:rsid w:val="00891A84"/>
    <w:rsid w:val="00891B89"/>
    <w:rsid w:val="00891BFB"/>
    <w:rsid w:val="00891C2E"/>
    <w:rsid w:val="00891C4E"/>
    <w:rsid w:val="00891CE2"/>
    <w:rsid w:val="00891D2B"/>
    <w:rsid w:val="00891D39"/>
    <w:rsid w:val="00891DA1"/>
    <w:rsid w:val="00891DAA"/>
    <w:rsid w:val="00891DFB"/>
    <w:rsid w:val="00891E45"/>
    <w:rsid w:val="00891E93"/>
    <w:rsid w:val="00891F10"/>
    <w:rsid w:val="00891FBE"/>
    <w:rsid w:val="00891FEA"/>
    <w:rsid w:val="00892015"/>
    <w:rsid w:val="00892025"/>
    <w:rsid w:val="0089208A"/>
    <w:rsid w:val="008920B5"/>
    <w:rsid w:val="008920B9"/>
    <w:rsid w:val="00892147"/>
    <w:rsid w:val="00892262"/>
    <w:rsid w:val="0089226E"/>
    <w:rsid w:val="00892279"/>
    <w:rsid w:val="008922E2"/>
    <w:rsid w:val="008922FE"/>
    <w:rsid w:val="00892305"/>
    <w:rsid w:val="00892386"/>
    <w:rsid w:val="0089243B"/>
    <w:rsid w:val="008924BA"/>
    <w:rsid w:val="0089251E"/>
    <w:rsid w:val="0089256D"/>
    <w:rsid w:val="008925A8"/>
    <w:rsid w:val="008925B6"/>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89"/>
    <w:rsid w:val="00892BD8"/>
    <w:rsid w:val="00892C71"/>
    <w:rsid w:val="00892CB3"/>
    <w:rsid w:val="00892D52"/>
    <w:rsid w:val="00892D64"/>
    <w:rsid w:val="00892D72"/>
    <w:rsid w:val="00892D78"/>
    <w:rsid w:val="00892D8F"/>
    <w:rsid w:val="00892E60"/>
    <w:rsid w:val="00892E9E"/>
    <w:rsid w:val="00892EC6"/>
    <w:rsid w:val="00892EE9"/>
    <w:rsid w:val="00892F10"/>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52"/>
    <w:rsid w:val="008937AD"/>
    <w:rsid w:val="008937C8"/>
    <w:rsid w:val="00893825"/>
    <w:rsid w:val="008938B3"/>
    <w:rsid w:val="008938D0"/>
    <w:rsid w:val="0089391E"/>
    <w:rsid w:val="00893945"/>
    <w:rsid w:val="00893968"/>
    <w:rsid w:val="008939A4"/>
    <w:rsid w:val="008939C8"/>
    <w:rsid w:val="00893A55"/>
    <w:rsid w:val="00893A7C"/>
    <w:rsid w:val="00893B02"/>
    <w:rsid w:val="00893B19"/>
    <w:rsid w:val="00893B5C"/>
    <w:rsid w:val="00893BF8"/>
    <w:rsid w:val="00893CE0"/>
    <w:rsid w:val="00893CED"/>
    <w:rsid w:val="00893CF8"/>
    <w:rsid w:val="00893D1A"/>
    <w:rsid w:val="00893D67"/>
    <w:rsid w:val="00893D99"/>
    <w:rsid w:val="00893DB8"/>
    <w:rsid w:val="00893E24"/>
    <w:rsid w:val="00893E2A"/>
    <w:rsid w:val="00893E45"/>
    <w:rsid w:val="00893E9E"/>
    <w:rsid w:val="00893EC9"/>
    <w:rsid w:val="00893EE4"/>
    <w:rsid w:val="00893F06"/>
    <w:rsid w:val="00893F0E"/>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91E"/>
    <w:rsid w:val="0089492C"/>
    <w:rsid w:val="0089497C"/>
    <w:rsid w:val="0089497F"/>
    <w:rsid w:val="008949CA"/>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511"/>
    <w:rsid w:val="00895558"/>
    <w:rsid w:val="00895584"/>
    <w:rsid w:val="008955CD"/>
    <w:rsid w:val="0089560B"/>
    <w:rsid w:val="0089578D"/>
    <w:rsid w:val="0089579E"/>
    <w:rsid w:val="008957CC"/>
    <w:rsid w:val="008957DC"/>
    <w:rsid w:val="00895802"/>
    <w:rsid w:val="00895804"/>
    <w:rsid w:val="008958CB"/>
    <w:rsid w:val="00895900"/>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4D"/>
    <w:rsid w:val="00895D8E"/>
    <w:rsid w:val="00895DC1"/>
    <w:rsid w:val="00895DD1"/>
    <w:rsid w:val="00895E4C"/>
    <w:rsid w:val="00895E9E"/>
    <w:rsid w:val="00895EC1"/>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628"/>
    <w:rsid w:val="00896636"/>
    <w:rsid w:val="008966D4"/>
    <w:rsid w:val="008966DB"/>
    <w:rsid w:val="008966DC"/>
    <w:rsid w:val="00896735"/>
    <w:rsid w:val="0089674B"/>
    <w:rsid w:val="00896796"/>
    <w:rsid w:val="008967B0"/>
    <w:rsid w:val="008967BC"/>
    <w:rsid w:val="0089682F"/>
    <w:rsid w:val="00896869"/>
    <w:rsid w:val="008968A0"/>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78"/>
    <w:rsid w:val="00896C9B"/>
    <w:rsid w:val="00896CB9"/>
    <w:rsid w:val="00896CBE"/>
    <w:rsid w:val="00896D47"/>
    <w:rsid w:val="00896D9E"/>
    <w:rsid w:val="00896DA2"/>
    <w:rsid w:val="00896DA6"/>
    <w:rsid w:val="00896DD4"/>
    <w:rsid w:val="00896E2E"/>
    <w:rsid w:val="00896E56"/>
    <w:rsid w:val="00896EDF"/>
    <w:rsid w:val="00896EEE"/>
    <w:rsid w:val="00896F27"/>
    <w:rsid w:val="00896F45"/>
    <w:rsid w:val="00896F54"/>
    <w:rsid w:val="00896F62"/>
    <w:rsid w:val="00896F7D"/>
    <w:rsid w:val="00896FF6"/>
    <w:rsid w:val="0089702E"/>
    <w:rsid w:val="00897060"/>
    <w:rsid w:val="00897068"/>
    <w:rsid w:val="0089707E"/>
    <w:rsid w:val="008970AB"/>
    <w:rsid w:val="0089712D"/>
    <w:rsid w:val="00897130"/>
    <w:rsid w:val="00897132"/>
    <w:rsid w:val="0089716B"/>
    <w:rsid w:val="008971AA"/>
    <w:rsid w:val="008971B4"/>
    <w:rsid w:val="008971C5"/>
    <w:rsid w:val="008971D3"/>
    <w:rsid w:val="008971D9"/>
    <w:rsid w:val="008971E9"/>
    <w:rsid w:val="00897222"/>
    <w:rsid w:val="0089727A"/>
    <w:rsid w:val="008972B1"/>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DE"/>
    <w:rsid w:val="008976EF"/>
    <w:rsid w:val="00897741"/>
    <w:rsid w:val="0089774B"/>
    <w:rsid w:val="0089775D"/>
    <w:rsid w:val="008977B4"/>
    <w:rsid w:val="00897818"/>
    <w:rsid w:val="0089781C"/>
    <w:rsid w:val="0089783C"/>
    <w:rsid w:val="00897840"/>
    <w:rsid w:val="008978A7"/>
    <w:rsid w:val="008978E3"/>
    <w:rsid w:val="008978E5"/>
    <w:rsid w:val="008978EB"/>
    <w:rsid w:val="008978EE"/>
    <w:rsid w:val="00897923"/>
    <w:rsid w:val="00897934"/>
    <w:rsid w:val="008979AB"/>
    <w:rsid w:val="008979BB"/>
    <w:rsid w:val="008979C2"/>
    <w:rsid w:val="008979D6"/>
    <w:rsid w:val="008979DC"/>
    <w:rsid w:val="008979E5"/>
    <w:rsid w:val="008979E9"/>
    <w:rsid w:val="00897A14"/>
    <w:rsid w:val="00897A5B"/>
    <w:rsid w:val="00897A89"/>
    <w:rsid w:val="00897AC1"/>
    <w:rsid w:val="00897ACB"/>
    <w:rsid w:val="00897AF1"/>
    <w:rsid w:val="00897B16"/>
    <w:rsid w:val="00897B5E"/>
    <w:rsid w:val="00897BA8"/>
    <w:rsid w:val="00897C0D"/>
    <w:rsid w:val="00897C94"/>
    <w:rsid w:val="00897C96"/>
    <w:rsid w:val="00897CAB"/>
    <w:rsid w:val="00897D40"/>
    <w:rsid w:val="00897D88"/>
    <w:rsid w:val="00897DA2"/>
    <w:rsid w:val="00897DA7"/>
    <w:rsid w:val="00897DB6"/>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57"/>
    <w:rsid w:val="008A013A"/>
    <w:rsid w:val="008A014B"/>
    <w:rsid w:val="008A01A6"/>
    <w:rsid w:val="008A02B1"/>
    <w:rsid w:val="008A02C1"/>
    <w:rsid w:val="008A02C2"/>
    <w:rsid w:val="008A02CD"/>
    <w:rsid w:val="008A02D0"/>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A1"/>
    <w:rsid w:val="008A06FE"/>
    <w:rsid w:val="008A07A7"/>
    <w:rsid w:val="008A081A"/>
    <w:rsid w:val="008A086B"/>
    <w:rsid w:val="008A0886"/>
    <w:rsid w:val="008A08C5"/>
    <w:rsid w:val="008A08CB"/>
    <w:rsid w:val="008A08DD"/>
    <w:rsid w:val="008A0984"/>
    <w:rsid w:val="008A09AD"/>
    <w:rsid w:val="008A0A23"/>
    <w:rsid w:val="008A0A3D"/>
    <w:rsid w:val="008A0A3E"/>
    <w:rsid w:val="008A0A55"/>
    <w:rsid w:val="008A0A5A"/>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DCC"/>
    <w:rsid w:val="008A0E03"/>
    <w:rsid w:val="008A0E1B"/>
    <w:rsid w:val="008A0E61"/>
    <w:rsid w:val="008A0E77"/>
    <w:rsid w:val="008A0EF1"/>
    <w:rsid w:val="008A0F0A"/>
    <w:rsid w:val="008A0F29"/>
    <w:rsid w:val="008A0F2B"/>
    <w:rsid w:val="008A0F86"/>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52"/>
    <w:rsid w:val="008A15AA"/>
    <w:rsid w:val="008A16D2"/>
    <w:rsid w:val="008A16E0"/>
    <w:rsid w:val="008A1722"/>
    <w:rsid w:val="008A1797"/>
    <w:rsid w:val="008A17F0"/>
    <w:rsid w:val="008A1884"/>
    <w:rsid w:val="008A18E8"/>
    <w:rsid w:val="008A1907"/>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58"/>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E6"/>
    <w:rsid w:val="008A2242"/>
    <w:rsid w:val="008A225E"/>
    <w:rsid w:val="008A2292"/>
    <w:rsid w:val="008A22A0"/>
    <w:rsid w:val="008A22A5"/>
    <w:rsid w:val="008A22E0"/>
    <w:rsid w:val="008A22E3"/>
    <w:rsid w:val="008A2344"/>
    <w:rsid w:val="008A237B"/>
    <w:rsid w:val="008A23B3"/>
    <w:rsid w:val="008A2405"/>
    <w:rsid w:val="008A240D"/>
    <w:rsid w:val="008A2449"/>
    <w:rsid w:val="008A25E9"/>
    <w:rsid w:val="008A266A"/>
    <w:rsid w:val="008A2671"/>
    <w:rsid w:val="008A267D"/>
    <w:rsid w:val="008A26AC"/>
    <w:rsid w:val="008A26BF"/>
    <w:rsid w:val="008A26FF"/>
    <w:rsid w:val="008A2702"/>
    <w:rsid w:val="008A2768"/>
    <w:rsid w:val="008A2787"/>
    <w:rsid w:val="008A2822"/>
    <w:rsid w:val="008A282B"/>
    <w:rsid w:val="008A285E"/>
    <w:rsid w:val="008A2861"/>
    <w:rsid w:val="008A288F"/>
    <w:rsid w:val="008A2893"/>
    <w:rsid w:val="008A28D8"/>
    <w:rsid w:val="008A2915"/>
    <w:rsid w:val="008A298C"/>
    <w:rsid w:val="008A2990"/>
    <w:rsid w:val="008A29B7"/>
    <w:rsid w:val="008A2A3A"/>
    <w:rsid w:val="008A2B65"/>
    <w:rsid w:val="008A2B69"/>
    <w:rsid w:val="008A2B94"/>
    <w:rsid w:val="008A2BD0"/>
    <w:rsid w:val="008A2CA2"/>
    <w:rsid w:val="008A2CA5"/>
    <w:rsid w:val="008A2D12"/>
    <w:rsid w:val="008A2D22"/>
    <w:rsid w:val="008A2D3D"/>
    <w:rsid w:val="008A2D96"/>
    <w:rsid w:val="008A2D9A"/>
    <w:rsid w:val="008A2DA7"/>
    <w:rsid w:val="008A2DF6"/>
    <w:rsid w:val="008A2E0B"/>
    <w:rsid w:val="008A2E84"/>
    <w:rsid w:val="008A2E86"/>
    <w:rsid w:val="008A2EBF"/>
    <w:rsid w:val="008A2F20"/>
    <w:rsid w:val="008A2F57"/>
    <w:rsid w:val="008A2F58"/>
    <w:rsid w:val="008A2F5F"/>
    <w:rsid w:val="008A2F7B"/>
    <w:rsid w:val="008A2F90"/>
    <w:rsid w:val="008A2FC5"/>
    <w:rsid w:val="008A302F"/>
    <w:rsid w:val="008A3052"/>
    <w:rsid w:val="008A306F"/>
    <w:rsid w:val="008A308C"/>
    <w:rsid w:val="008A30F3"/>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CF"/>
    <w:rsid w:val="008A36D9"/>
    <w:rsid w:val="008A36E8"/>
    <w:rsid w:val="008A372B"/>
    <w:rsid w:val="008A3735"/>
    <w:rsid w:val="008A3737"/>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CF"/>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E6"/>
    <w:rsid w:val="008A3FFA"/>
    <w:rsid w:val="008A4010"/>
    <w:rsid w:val="008A4031"/>
    <w:rsid w:val="008A40A8"/>
    <w:rsid w:val="008A40E7"/>
    <w:rsid w:val="008A40FD"/>
    <w:rsid w:val="008A4147"/>
    <w:rsid w:val="008A421C"/>
    <w:rsid w:val="008A424C"/>
    <w:rsid w:val="008A42AF"/>
    <w:rsid w:val="008A42D4"/>
    <w:rsid w:val="008A4309"/>
    <w:rsid w:val="008A4330"/>
    <w:rsid w:val="008A4377"/>
    <w:rsid w:val="008A437B"/>
    <w:rsid w:val="008A443D"/>
    <w:rsid w:val="008A4475"/>
    <w:rsid w:val="008A44E4"/>
    <w:rsid w:val="008A4516"/>
    <w:rsid w:val="008A452D"/>
    <w:rsid w:val="008A453F"/>
    <w:rsid w:val="008A454B"/>
    <w:rsid w:val="008A4608"/>
    <w:rsid w:val="008A463A"/>
    <w:rsid w:val="008A4646"/>
    <w:rsid w:val="008A467B"/>
    <w:rsid w:val="008A46A6"/>
    <w:rsid w:val="008A46DE"/>
    <w:rsid w:val="008A46FD"/>
    <w:rsid w:val="008A4730"/>
    <w:rsid w:val="008A4793"/>
    <w:rsid w:val="008A47A7"/>
    <w:rsid w:val="008A47AE"/>
    <w:rsid w:val="008A47BD"/>
    <w:rsid w:val="008A4862"/>
    <w:rsid w:val="008A48A3"/>
    <w:rsid w:val="008A4901"/>
    <w:rsid w:val="008A4916"/>
    <w:rsid w:val="008A4991"/>
    <w:rsid w:val="008A49CA"/>
    <w:rsid w:val="008A4AF2"/>
    <w:rsid w:val="008A4B65"/>
    <w:rsid w:val="008A4BB9"/>
    <w:rsid w:val="008A4BC7"/>
    <w:rsid w:val="008A4BCA"/>
    <w:rsid w:val="008A4C34"/>
    <w:rsid w:val="008A4C4E"/>
    <w:rsid w:val="008A4C91"/>
    <w:rsid w:val="008A4CCA"/>
    <w:rsid w:val="008A4CF5"/>
    <w:rsid w:val="008A4CFC"/>
    <w:rsid w:val="008A4D66"/>
    <w:rsid w:val="008A4DAF"/>
    <w:rsid w:val="008A4DB1"/>
    <w:rsid w:val="008A4DC1"/>
    <w:rsid w:val="008A4DF6"/>
    <w:rsid w:val="008A4E04"/>
    <w:rsid w:val="008A4E3C"/>
    <w:rsid w:val="008A4E42"/>
    <w:rsid w:val="008A4E4F"/>
    <w:rsid w:val="008A4E83"/>
    <w:rsid w:val="008A4EDE"/>
    <w:rsid w:val="008A4F31"/>
    <w:rsid w:val="008A4F82"/>
    <w:rsid w:val="008A4FA4"/>
    <w:rsid w:val="008A4FB4"/>
    <w:rsid w:val="008A4FB9"/>
    <w:rsid w:val="008A4FBF"/>
    <w:rsid w:val="008A4FEA"/>
    <w:rsid w:val="008A500B"/>
    <w:rsid w:val="008A5094"/>
    <w:rsid w:val="008A5109"/>
    <w:rsid w:val="008A5146"/>
    <w:rsid w:val="008A51CB"/>
    <w:rsid w:val="008A525D"/>
    <w:rsid w:val="008A5278"/>
    <w:rsid w:val="008A52FC"/>
    <w:rsid w:val="008A533B"/>
    <w:rsid w:val="008A5364"/>
    <w:rsid w:val="008A53BA"/>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35"/>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60"/>
    <w:rsid w:val="008A6773"/>
    <w:rsid w:val="008A6788"/>
    <w:rsid w:val="008A679B"/>
    <w:rsid w:val="008A67EF"/>
    <w:rsid w:val="008A67FF"/>
    <w:rsid w:val="008A6842"/>
    <w:rsid w:val="008A6863"/>
    <w:rsid w:val="008A6865"/>
    <w:rsid w:val="008A6887"/>
    <w:rsid w:val="008A68CC"/>
    <w:rsid w:val="008A6933"/>
    <w:rsid w:val="008A696D"/>
    <w:rsid w:val="008A69CD"/>
    <w:rsid w:val="008A69D7"/>
    <w:rsid w:val="008A6A41"/>
    <w:rsid w:val="008A6A54"/>
    <w:rsid w:val="008A6A87"/>
    <w:rsid w:val="008A6A9B"/>
    <w:rsid w:val="008A6AAC"/>
    <w:rsid w:val="008A6ADB"/>
    <w:rsid w:val="008A6B1A"/>
    <w:rsid w:val="008A6B26"/>
    <w:rsid w:val="008A6B31"/>
    <w:rsid w:val="008A6B61"/>
    <w:rsid w:val="008A6BF9"/>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1FD"/>
    <w:rsid w:val="008A722F"/>
    <w:rsid w:val="008A7285"/>
    <w:rsid w:val="008A7292"/>
    <w:rsid w:val="008A72C3"/>
    <w:rsid w:val="008A72DD"/>
    <w:rsid w:val="008A7305"/>
    <w:rsid w:val="008A737A"/>
    <w:rsid w:val="008A73C0"/>
    <w:rsid w:val="008A7425"/>
    <w:rsid w:val="008A7443"/>
    <w:rsid w:val="008A74A1"/>
    <w:rsid w:val="008A74B9"/>
    <w:rsid w:val="008A74DC"/>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CD"/>
    <w:rsid w:val="008A7AD5"/>
    <w:rsid w:val="008A7AF6"/>
    <w:rsid w:val="008A7B04"/>
    <w:rsid w:val="008A7CF7"/>
    <w:rsid w:val="008A7D48"/>
    <w:rsid w:val="008A7DA9"/>
    <w:rsid w:val="008A7DBC"/>
    <w:rsid w:val="008A7DF0"/>
    <w:rsid w:val="008A7E53"/>
    <w:rsid w:val="008A7E84"/>
    <w:rsid w:val="008A7E8D"/>
    <w:rsid w:val="008A7E9F"/>
    <w:rsid w:val="008A7EEF"/>
    <w:rsid w:val="008A7F2C"/>
    <w:rsid w:val="008A7FE0"/>
    <w:rsid w:val="008B0030"/>
    <w:rsid w:val="008B0050"/>
    <w:rsid w:val="008B0106"/>
    <w:rsid w:val="008B013A"/>
    <w:rsid w:val="008B0155"/>
    <w:rsid w:val="008B0161"/>
    <w:rsid w:val="008B017E"/>
    <w:rsid w:val="008B0194"/>
    <w:rsid w:val="008B0204"/>
    <w:rsid w:val="008B021A"/>
    <w:rsid w:val="008B0241"/>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7DB"/>
    <w:rsid w:val="008B0815"/>
    <w:rsid w:val="008B0821"/>
    <w:rsid w:val="008B0846"/>
    <w:rsid w:val="008B0890"/>
    <w:rsid w:val="008B08F9"/>
    <w:rsid w:val="008B08FB"/>
    <w:rsid w:val="008B0955"/>
    <w:rsid w:val="008B096D"/>
    <w:rsid w:val="008B09EB"/>
    <w:rsid w:val="008B0A4A"/>
    <w:rsid w:val="008B0A86"/>
    <w:rsid w:val="008B0B09"/>
    <w:rsid w:val="008B0B32"/>
    <w:rsid w:val="008B0B6F"/>
    <w:rsid w:val="008B0BF3"/>
    <w:rsid w:val="008B0C1E"/>
    <w:rsid w:val="008B0C62"/>
    <w:rsid w:val="008B0C80"/>
    <w:rsid w:val="008B0C98"/>
    <w:rsid w:val="008B0CDA"/>
    <w:rsid w:val="008B0D01"/>
    <w:rsid w:val="008B0D03"/>
    <w:rsid w:val="008B0D2B"/>
    <w:rsid w:val="008B0D69"/>
    <w:rsid w:val="008B0DD9"/>
    <w:rsid w:val="008B0DDD"/>
    <w:rsid w:val="008B0E54"/>
    <w:rsid w:val="008B0E6F"/>
    <w:rsid w:val="008B0EB5"/>
    <w:rsid w:val="008B0F47"/>
    <w:rsid w:val="008B0F7F"/>
    <w:rsid w:val="008B0F89"/>
    <w:rsid w:val="008B1033"/>
    <w:rsid w:val="008B104C"/>
    <w:rsid w:val="008B1053"/>
    <w:rsid w:val="008B106D"/>
    <w:rsid w:val="008B10A9"/>
    <w:rsid w:val="008B10B9"/>
    <w:rsid w:val="008B11EA"/>
    <w:rsid w:val="008B124B"/>
    <w:rsid w:val="008B1257"/>
    <w:rsid w:val="008B1266"/>
    <w:rsid w:val="008B12A6"/>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B4"/>
    <w:rsid w:val="008B1AD0"/>
    <w:rsid w:val="008B1B54"/>
    <w:rsid w:val="008B1B74"/>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BF"/>
    <w:rsid w:val="008B24E2"/>
    <w:rsid w:val="008B250D"/>
    <w:rsid w:val="008B25BA"/>
    <w:rsid w:val="008B25CA"/>
    <w:rsid w:val="008B25E8"/>
    <w:rsid w:val="008B25F3"/>
    <w:rsid w:val="008B2612"/>
    <w:rsid w:val="008B2653"/>
    <w:rsid w:val="008B26DD"/>
    <w:rsid w:val="008B2705"/>
    <w:rsid w:val="008B273A"/>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BE"/>
    <w:rsid w:val="008B2FF7"/>
    <w:rsid w:val="008B305C"/>
    <w:rsid w:val="008B3074"/>
    <w:rsid w:val="008B3080"/>
    <w:rsid w:val="008B30DB"/>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6DC"/>
    <w:rsid w:val="008B371A"/>
    <w:rsid w:val="008B37C4"/>
    <w:rsid w:val="008B37C9"/>
    <w:rsid w:val="008B380F"/>
    <w:rsid w:val="008B3815"/>
    <w:rsid w:val="008B3821"/>
    <w:rsid w:val="008B383E"/>
    <w:rsid w:val="008B390C"/>
    <w:rsid w:val="008B396B"/>
    <w:rsid w:val="008B3970"/>
    <w:rsid w:val="008B3A24"/>
    <w:rsid w:val="008B3B20"/>
    <w:rsid w:val="008B3B34"/>
    <w:rsid w:val="008B3BBA"/>
    <w:rsid w:val="008B3C11"/>
    <w:rsid w:val="008B3C2E"/>
    <w:rsid w:val="008B3C48"/>
    <w:rsid w:val="008B3C67"/>
    <w:rsid w:val="008B3C6E"/>
    <w:rsid w:val="008B3C81"/>
    <w:rsid w:val="008B3D58"/>
    <w:rsid w:val="008B3D85"/>
    <w:rsid w:val="008B3DAF"/>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92"/>
    <w:rsid w:val="008B43BF"/>
    <w:rsid w:val="008B43E5"/>
    <w:rsid w:val="008B44C2"/>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3E"/>
    <w:rsid w:val="008B4842"/>
    <w:rsid w:val="008B4850"/>
    <w:rsid w:val="008B486C"/>
    <w:rsid w:val="008B48B4"/>
    <w:rsid w:val="008B48F1"/>
    <w:rsid w:val="008B4900"/>
    <w:rsid w:val="008B4960"/>
    <w:rsid w:val="008B49A2"/>
    <w:rsid w:val="008B49EA"/>
    <w:rsid w:val="008B49F1"/>
    <w:rsid w:val="008B4A5A"/>
    <w:rsid w:val="008B4AC5"/>
    <w:rsid w:val="008B4AE7"/>
    <w:rsid w:val="008B4AF0"/>
    <w:rsid w:val="008B4B1E"/>
    <w:rsid w:val="008B4B3E"/>
    <w:rsid w:val="008B4C14"/>
    <w:rsid w:val="008B4C62"/>
    <w:rsid w:val="008B4CFD"/>
    <w:rsid w:val="008B4D98"/>
    <w:rsid w:val="008B4DC2"/>
    <w:rsid w:val="008B4F47"/>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7C"/>
    <w:rsid w:val="008B5296"/>
    <w:rsid w:val="008B52E0"/>
    <w:rsid w:val="008B5325"/>
    <w:rsid w:val="008B538C"/>
    <w:rsid w:val="008B5391"/>
    <w:rsid w:val="008B53B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0F"/>
    <w:rsid w:val="008B5A4A"/>
    <w:rsid w:val="008B5A5C"/>
    <w:rsid w:val="008B5ACA"/>
    <w:rsid w:val="008B5AD2"/>
    <w:rsid w:val="008B5AF6"/>
    <w:rsid w:val="008B5B00"/>
    <w:rsid w:val="008B5B14"/>
    <w:rsid w:val="008B5B2E"/>
    <w:rsid w:val="008B5B3D"/>
    <w:rsid w:val="008B5B49"/>
    <w:rsid w:val="008B5B4E"/>
    <w:rsid w:val="008B5B53"/>
    <w:rsid w:val="008B5B92"/>
    <w:rsid w:val="008B5BDC"/>
    <w:rsid w:val="008B5BF2"/>
    <w:rsid w:val="008B5BFC"/>
    <w:rsid w:val="008B5C17"/>
    <w:rsid w:val="008B5C1D"/>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75"/>
    <w:rsid w:val="008B6287"/>
    <w:rsid w:val="008B628C"/>
    <w:rsid w:val="008B62D4"/>
    <w:rsid w:val="008B62F9"/>
    <w:rsid w:val="008B637F"/>
    <w:rsid w:val="008B63D4"/>
    <w:rsid w:val="008B63D5"/>
    <w:rsid w:val="008B6484"/>
    <w:rsid w:val="008B6517"/>
    <w:rsid w:val="008B657D"/>
    <w:rsid w:val="008B6585"/>
    <w:rsid w:val="008B659A"/>
    <w:rsid w:val="008B65A5"/>
    <w:rsid w:val="008B661D"/>
    <w:rsid w:val="008B66BE"/>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7C"/>
    <w:rsid w:val="008B6DB0"/>
    <w:rsid w:val="008B6DF5"/>
    <w:rsid w:val="008B6E04"/>
    <w:rsid w:val="008B6E30"/>
    <w:rsid w:val="008B6EC6"/>
    <w:rsid w:val="008B6EDF"/>
    <w:rsid w:val="008B6EF2"/>
    <w:rsid w:val="008B6EFA"/>
    <w:rsid w:val="008B6F49"/>
    <w:rsid w:val="008B6F5D"/>
    <w:rsid w:val="008B6FB6"/>
    <w:rsid w:val="008B6FCD"/>
    <w:rsid w:val="008B7037"/>
    <w:rsid w:val="008B7065"/>
    <w:rsid w:val="008B7070"/>
    <w:rsid w:val="008B7073"/>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B5"/>
    <w:rsid w:val="008B74C9"/>
    <w:rsid w:val="008B74FA"/>
    <w:rsid w:val="008B74FF"/>
    <w:rsid w:val="008B750B"/>
    <w:rsid w:val="008B7536"/>
    <w:rsid w:val="008B754A"/>
    <w:rsid w:val="008B7566"/>
    <w:rsid w:val="008B7585"/>
    <w:rsid w:val="008B761E"/>
    <w:rsid w:val="008B762E"/>
    <w:rsid w:val="008B7654"/>
    <w:rsid w:val="008B7676"/>
    <w:rsid w:val="008B771D"/>
    <w:rsid w:val="008B771E"/>
    <w:rsid w:val="008B772A"/>
    <w:rsid w:val="008B77A3"/>
    <w:rsid w:val="008B77B6"/>
    <w:rsid w:val="008B77B9"/>
    <w:rsid w:val="008B77D2"/>
    <w:rsid w:val="008B77DE"/>
    <w:rsid w:val="008B77E5"/>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25"/>
    <w:rsid w:val="008B7D37"/>
    <w:rsid w:val="008B7D4E"/>
    <w:rsid w:val="008B7D52"/>
    <w:rsid w:val="008B7E31"/>
    <w:rsid w:val="008B7E38"/>
    <w:rsid w:val="008B7E6B"/>
    <w:rsid w:val="008B7EEB"/>
    <w:rsid w:val="008B7F67"/>
    <w:rsid w:val="008B7FCA"/>
    <w:rsid w:val="008C00A7"/>
    <w:rsid w:val="008C00CB"/>
    <w:rsid w:val="008C00E7"/>
    <w:rsid w:val="008C011C"/>
    <w:rsid w:val="008C0122"/>
    <w:rsid w:val="008C012D"/>
    <w:rsid w:val="008C0167"/>
    <w:rsid w:val="008C0179"/>
    <w:rsid w:val="008C019F"/>
    <w:rsid w:val="008C01C9"/>
    <w:rsid w:val="008C01FD"/>
    <w:rsid w:val="008C0253"/>
    <w:rsid w:val="008C0283"/>
    <w:rsid w:val="008C02C9"/>
    <w:rsid w:val="008C02EB"/>
    <w:rsid w:val="008C036A"/>
    <w:rsid w:val="008C039F"/>
    <w:rsid w:val="008C03B2"/>
    <w:rsid w:val="008C03C5"/>
    <w:rsid w:val="008C0422"/>
    <w:rsid w:val="008C0471"/>
    <w:rsid w:val="008C0479"/>
    <w:rsid w:val="008C04B3"/>
    <w:rsid w:val="008C053A"/>
    <w:rsid w:val="008C059E"/>
    <w:rsid w:val="008C05B1"/>
    <w:rsid w:val="008C05F7"/>
    <w:rsid w:val="008C0610"/>
    <w:rsid w:val="008C0613"/>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EC"/>
    <w:rsid w:val="008C07F0"/>
    <w:rsid w:val="008C085C"/>
    <w:rsid w:val="008C08E7"/>
    <w:rsid w:val="008C094F"/>
    <w:rsid w:val="008C0953"/>
    <w:rsid w:val="008C095F"/>
    <w:rsid w:val="008C0968"/>
    <w:rsid w:val="008C0974"/>
    <w:rsid w:val="008C0A2D"/>
    <w:rsid w:val="008C0A2F"/>
    <w:rsid w:val="008C0A71"/>
    <w:rsid w:val="008C0AA2"/>
    <w:rsid w:val="008C0AB6"/>
    <w:rsid w:val="008C0AC0"/>
    <w:rsid w:val="008C0ACB"/>
    <w:rsid w:val="008C0B22"/>
    <w:rsid w:val="008C0B3F"/>
    <w:rsid w:val="008C0B5D"/>
    <w:rsid w:val="008C0B7C"/>
    <w:rsid w:val="008C0C34"/>
    <w:rsid w:val="008C0C4A"/>
    <w:rsid w:val="008C0C53"/>
    <w:rsid w:val="008C0C61"/>
    <w:rsid w:val="008C0C8A"/>
    <w:rsid w:val="008C0CB0"/>
    <w:rsid w:val="008C0CB5"/>
    <w:rsid w:val="008C0CB7"/>
    <w:rsid w:val="008C0D0B"/>
    <w:rsid w:val="008C0D53"/>
    <w:rsid w:val="008C0D8B"/>
    <w:rsid w:val="008C0DD5"/>
    <w:rsid w:val="008C0E1D"/>
    <w:rsid w:val="008C0E29"/>
    <w:rsid w:val="008C0E62"/>
    <w:rsid w:val="008C0E7A"/>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78"/>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B25"/>
    <w:rsid w:val="008C1C07"/>
    <w:rsid w:val="008C1C08"/>
    <w:rsid w:val="008C1C33"/>
    <w:rsid w:val="008C1C3B"/>
    <w:rsid w:val="008C1C6A"/>
    <w:rsid w:val="008C1CA6"/>
    <w:rsid w:val="008C1CEB"/>
    <w:rsid w:val="008C1D0D"/>
    <w:rsid w:val="008C1D0E"/>
    <w:rsid w:val="008C1D9F"/>
    <w:rsid w:val="008C1DCB"/>
    <w:rsid w:val="008C1DEB"/>
    <w:rsid w:val="008C1E0B"/>
    <w:rsid w:val="008C1E68"/>
    <w:rsid w:val="008C1F1C"/>
    <w:rsid w:val="008C1F3B"/>
    <w:rsid w:val="008C1F99"/>
    <w:rsid w:val="008C1FD3"/>
    <w:rsid w:val="008C1FEE"/>
    <w:rsid w:val="008C2040"/>
    <w:rsid w:val="008C2070"/>
    <w:rsid w:val="008C2087"/>
    <w:rsid w:val="008C2096"/>
    <w:rsid w:val="008C20F9"/>
    <w:rsid w:val="008C2146"/>
    <w:rsid w:val="008C2203"/>
    <w:rsid w:val="008C226B"/>
    <w:rsid w:val="008C226D"/>
    <w:rsid w:val="008C230E"/>
    <w:rsid w:val="008C2316"/>
    <w:rsid w:val="008C2331"/>
    <w:rsid w:val="008C2357"/>
    <w:rsid w:val="008C23C9"/>
    <w:rsid w:val="008C23EF"/>
    <w:rsid w:val="008C2430"/>
    <w:rsid w:val="008C2472"/>
    <w:rsid w:val="008C24AE"/>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7C"/>
    <w:rsid w:val="008C2A95"/>
    <w:rsid w:val="008C2AA1"/>
    <w:rsid w:val="008C2ADA"/>
    <w:rsid w:val="008C2AF5"/>
    <w:rsid w:val="008C2AFD"/>
    <w:rsid w:val="008C2B35"/>
    <w:rsid w:val="008C2B59"/>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D"/>
    <w:rsid w:val="008C2E9E"/>
    <w:rsid w:val="008C2EB8"/>
    <w:rsid w:val="008C2ED5"/>
    <w:rsid w:val="008C2EE3"/>
    <w:rsid w:val="008C2F04"/>
    <w:rsid w:val="008C2F17"/>
    <w:rsid w:val="008C2F72"/>
    <w:rsid w:val="008C2FB6"/>
    <w:rsid w:val="008C2FC7"/>
    <w:rsid w:val="008C2FF8"/>
    <w:rsid w:val="008C2FFD"/>
    <w:rsid w:val="008C30AD"/>
    <w:rsid w:val="008C30CF"/>
    <w:rsid w:val="008C310A"/>
    <w:rsid w:val="008C310F"/>
    <w:rsid w:val="008C3123"/>
    <w:rsid w:val="008C3168"/>
    <w:rsid w:val="008C31D1"/>
    <w:rsid w:val="008C31E5"/>
    <w:rsid w:val="008C31FE"/>
    <w:rsid w:val="008C328D"/>
    <w:rsid w:val="008C329E"/>
    <w:rsid w:val="008C334D"/>
    <w:rsid w:val="008C33E9"/>
    <w:rsid w:val="008C344D"/>
    <w:rsid w:val="008C34BF"/>
    <w:rsid w:val="008C3515"/>
    <w:rsid w:val="008C3517"/>
    <w:rsid w:val="008C3541"/>
    <w:rsid w:val="008C3575"/>
    <w:rsid w:val="008C3586"/>
    <w:rsid w:val="008C358B"/>
    <w:rsid w:val="008C3599"/>
    <w:rsid w:val="008C35B6"/>
    <w:rsid w:val="008C35C4"/>
    <w:rsid w:val="008C35D2"/>
    <w:rsid w:val="008C35EB"/>
    <w:rsid w:val="008C35FA"/>
    <w:rsid w:val="008C3607"/>
    <w:rsid w:val="008C365A"/>
    <w:rsid w:val="008C365F"/>
    <w:rsid w:val="008C3668"/>
    <w:rsid w:val="008C3700"/>
    <w:rsid w:val="008C3707"/>
    <w:rsid w:val="008C370E"/>
    <w:rsid w:val="008C3730"/>
    <w:rsid w:val="008C3787"/>
    <w:rsid w:val="008C37AA"/>
    <w:rsid w:val="008C37B2"/>
    <w:rsid w:val="008C37B6"/>
    <w:rsid w:val="008C37FD"/>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E9"/>
    <w:rsid w:val="008C3C05"/>
    <w:rsid w:val="008C3C6E"/>
    <w:rsid w:val="008C3C71"/>
    <w:rsid w:val="008C3CA8"/>
    <w:rsid w:val="008C3CB7"/>
    <w:rsid w:val="008C3CCC"/>
    <w:rsid w:val="008C3CED"/>
    <w:rsid w:val="008C3CFB"/>
    <w:rsid w:val="008C3D12"/>
    <w:rsid w:val="008C3D1F"/>
    <w:rsid w:val="008C3DA2"/>
    <w:rsid w:val="008C3DCA"/>
    <w:rsid w:val="008C3E76"/>
    <w:rsid w:val="008C3E8A"/>
    <w:rsid w:val="008C3EBA"/>
    <w:rsid w:val="008C3EC8"/>
    <w:rsid w:val="008C3F01"/>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524"/>
    <w:rsid w:val="008C452F"/>
    <w:rsid w:val="008C4538"/>
    <w:rsid w:val="008C453E"/>
    <w:rsid w:val="008C4580"/>
    <w:rsid w:val="008C45E8"/>
    <w:rsid w:val="008C4610"/>
    <w:rsid w:val="008C4615"/>
    <w:rsid w:val="008C4629"/>
    <w:rsid w:val="008C4655"/>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FE"/>
    <w:rsid w:val="008C4B01"/>
    <w:rsid w:val="008C4B32"/>
    <w:rsid w:val="008C4B36"/>
    <w:rsid w:val="008C4B4E"/>
    <w:rsid w:val="008C4B66"/>
    <w:rsid w:val="008C4B87"/>
    <w:rsid w:val="008C4B92"/>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603"/>
    <w:rsid w:val="008C56A3"/>
    <w:rsid w:val="008C572D"/>
    <w:rsid w:val="008C57F7"/>
    <w:rsid w:val="008C581E"/>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61"/>
    <w:rsid w:val="008C5B9D"/>
    <w:rsid w:val="008C5C01"/>
    <w:rsid w:val="008C5C4B"/>
    <w:rsid w:val="008C5C64"/>
    <w:rsid w:val="008C5C9C"/>
    <w:rsid w:val="008C5D2C"/>
    <w:rsid w:val="008C5DDD"/>
    <w:rsid w:val="008C5E3B"/>
    <w:rsid w:val="008C5E4A"/>
    <w:rsid w:val="008C5E5C"/>
    <w:rsid w:val="008C5E75"/>
    <w:rsid w:val="008C5EAB"/>
    <w:rsid w:val="008C5EE6"/>
    <w:rsid w:val="008C5F11"/>
    <w:rsid w:val="008C6027"/>
    <w:rsid w:val="008C602D"/>
    <w:rsid w:val="008C6047"/>
    <w:rsid w:val="008C6056"/>
    <w:rsid w:val="008C6076"/>
    <w:rsid w:val="008C6080"/>
    <w:rsid w:val="008C6091"/>
    <w:rsid w:val="008C60C7"/>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90"/>
    <w:rsid w:val="008C65A7"/>
    <w:rsid w:val="008C65BA"/>
    <w:rsid w:val="008C65C0"/>
    <w:rsid w:val="008C663E"/>
    <w:rsid w:val="008C66BA"/>
    <w:rsid w:val="008C66E9"/>
    <w:rsid w:val="008C66FE"/>
    <w:rsid w:val="008C6756"/>
    <w:rsid w:val="008C6779"/>
    <w:rsid w:val="008C677C"/>
    <w:rsid w:val="008C6820"/>
    <w:rsid w:val="008C6825"/>
    <w:rsid w:val="008C6830"/>
    <w:rsid w:val="008C6910"/>
    <w:rsid w:val="008C694E"/>
    <w:rsid w:val="008C69C4"/>
    <w:rsid w:val="008C69ED"/>
    <w:rsid w:val="008C6A15"/>
    <w:rsid w:val="008C6A23"/>
    <w:rsid w:val="008C6A2A"/>
    <w:rsid w:val="008C6A9E"/>
    <w:rsid w:val="008C6AB0"/>
    <w:rsid w:val="008C6ACD"/>
    <w:rsid w:val="008C6B20"/>
    <w:rsid w:val="008C6B44"/>
    <w:rsid w:val="008C6B4D"/>
    <w:rsid w:val="008C6BB5"/>
    <w:rsid w:val="008C6BBF"/>
    <w:rsid w:val="008C6BD3"/>
    <w:rsid w:val="008C6BE6"/>
    <w:rsid w:val="008C6BFC"/>
    <w:rsid w:val="008C6C03"/>
    <w:rsid w:val="008C6C72"/>
    <w:rsid w:val="008C6C7B"/>
    <w:rsid w:val="008C6C99"/>
    <w:rsid w:val="008C6CC3"/>
    <w:rsid w:val="008C6D10"/>
    <w:rsid w:val="008C6D65"/>
    <w:rsid w:val="008C6D90"/>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47"/>
    <w:rsid w:val="008C718E"/>
    <w:rsid w:val="008C71B9"/>
    <w:rsid w:val="008C732F"/>
    <w:rsid w:val="008C7352"/>
    <w:rsid w:val="008C73E2"/>
    <w:rsid w:val="008C7424"/>
    <w:rsid w:val="008C7477"/>
    <w:rsid w:val="008C747B"/>
    <w:rsid w:val="008C74DA"/>
    <w:rsid w:val="008C74F2"/>
    <w:rsid w:val="008C750A"/>
    <w:rsid w:val="008C750C"/>
    <w:rsid w:val="008C75AD"/>
    <w:rsid w:val="008C75DF"/>
    <w:rsid w:val="008C75F9"/>
    <w:rsid w:val="008C7670"/>
    <w:rsid w:val="008C7677"/>
    <w:rsid w:val="008C76DD"/>
    <w:rsid w:val="008C7721"/>
    <w:rsid w:val="008C777E"/>
    <w:rsid w:val="008C7783"/>
    <w:rsid w:val="008C77A5"/>
    <w:rsid w:val="008C7801"/>
    <w:rsid w:val="008C783E"/>
    <w:rsid w:val="008C78C0"/>
    <w:rsid w:val="008C7929"/>
    <w:rsid w:val="008C796C"/>
    <w:rsid w:val="008C7978"/>
    <w:rsid w:val="008C79DA"/>
    <w:rsid w:val="008C7A0C"/>
    <w:rsid w:val="008C7A2B"/>
    <w:rsid w:val="008C7A2E"/>
    <w:rsid w:val="008C7A7C"/>
    <w:rsid w:val="008C7A89"/>
    <w:rsid w:val="008C7ABB"/>
    <w:rsid w:val="008C7ADA"/>
    <w:rsid w:val="008C7B6E"/>
    <w:rsid w:val="008C7BF6"/>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8D"/>
    <w:rsid w:val="008D01A1"/>
    <w:rsid w:val="008D01A4"/>
    <w:rsid w:val="008D0215"/>
    <w:rsid w:val="008D028A"/>
    <w:rsid w:val="008D02C6"/>
    <w:rsid w:val="008D02FB"/>
    <w:rsid w:val="008D034A"/>
    <w:rsid w:val="008D03B2"/>
    <w:rsid w:val="008D03F5"/>
    <w:rsid w:val="008D0438"/>
    <w:rsid w:val="008D045F"/>
    <w:rsid w:val="008D0460"/>
    <w:rsid w:val="008D04C0"/>
    <w:rsid w:val="008D0544"/>
    <w:rsid w:val="008D054C"/>
    <w:rsid w:val="008D055F"/>
    <w:rsid w:val="008D0571"/>
    <w:rsid w:val="008D05C2"/>
    <w:rsid w:val="008D0667"/>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B18"/>
    <w:rsid w:val="008D0B25"/>
    <w:rsid w:val="008D0B31"/>
    <w:rsid w:val="008D0B5C"/>
    <w:rsid w:val="008D0B6A"/>
    <w:rsid w:val="008D0BB4"/>
    <w:rsid w:val="008D0BE5"/>
    <w:rsid w:val="008D0BF8"/>
    <w:rsid w:val="008D0C07"/>
    <w:rsid w:val="008D0C77"/>
    <w:rsid w:val="008D0CA0"/>
    <w:rsid w:val="008D0CE2"/>
    <w:rsid w:val="008D0CE9"/>
    <w:rsid w:val="008D0D0B"/>
    <w:rsid w:val="008D0D1B"/>
    <w:rsid w:val="008D0D5B"/>
    <w:rsid w:val="008D0D5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90"/>
    <w:rsid w:val="008D16BB"/>
    <w:rsid w:val="008D16E2"/>
    <w:rsid w:val="008D1705"/>
    <w:rsid w:val="008D1723"/>
    <w:rsid w:val="008D1724"/>
    <w:rsid w:val="008D1750"/>
    <w:rsid w:val="008D1783"/>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DF"/>
    <w:rsid w:val="008D1C14"/>
    <w:rsid w:val="008D1CBD"/>
    <w:rsid w:val="008D1D5D"/>
    <w:rsid w:val="008D1DCB"/>
    <w:rsid w:val="008D1DF3"/>
    <w:rsid w:val="008D1E3D"/>
    <w:rsid w:val="008D1E61"/>
    <w:rsid w:val="008D1EFA"/>
    <w:rsid w:val="008D1FAC"/>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17"/>
    <w:rsid w:val="008D2336"/>
    <w:rsid w:val="008D233F"/>
    <w:rsid w:val="008D235E"/>
    <w:rsid w:val="008D23BF"/>
    <w:rsid w:val="008D23CE"/>
    <w:rsid w:val="008D23D8"/>
    <w:rsid w:val="008D23F3"/>
    <w:rsid w:val="008D241E"/>
    <w:rsid w:val="008D2424"/>
    <w:rsid w:val="008D2428"/>
    <w:rsid w:val="008D2475"/>
    <w:rsid w:val="008D2508"/>
    <w:rsid w:val="008D259D"/>
    <w:rsid w:val="008D25DF"/>
    <w:rsid w:val="008D25E2"/>
    <w:rsid w:val="008D25EC"/>
    <w:rsid w:val="008D2683"/>
    <w:rsid w:val="008D26AA"/>
    <w:rsid w:val="008D2731"/>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8E"/>
    <w:rsid w:val="008D3625"/>
    <w:rsid w:val="008D3685"/>
    <w:rsid w:val="008D36E1"/>
    <w:rsid w:val="008D3711"/>
    <w:rsid w:val="008D3759"/>
    <w:rsid w:val="008D3786"/>
    <w:rsid w:val="008D37C6"/>
    <w:rsid w:val="008D3823"/>
    <w:rsid w:val="008D3841"/>
    <w:rsid w:val="008D38A5"/>
    <w:rsid w:val="008D38BE"/>
    <w:rsid w:val="008D3931"/>
    <w:rsid w:val="008D3943"/>
    <w:rsid w:val="008D3997"/>
    <w:rsid w:val="008D39D4"/>
    <w:rsid w:val="008D39F9"/>
    <w:rsid w:val="008D3A30"/>
    <w:rsid w:val="008D3A39"/>
    <w:rsid w:val="008D3A49"/>
    <w:rsid w:val="008D3AA6"/>
    <w:rsid w:val="008D3ABD"/>
    <w:rsid w:val="008D3AC9"/>
    <w:rsid w:val="008D3B06"/>
    <w:rsid w:val="008D3B0F"/>
    <w:rsid w:val="008D3B14"/>
    <w:rsid w:val="008D3B71"/>
    <w:rsid w:val="008D3B78"/>
    <w:rsid w:val="008D3C13"/>
    <w:rsid w:val="008D3C38"/>
    <w:rsid w:val="008D3C8B"/>
    <w:rsid w:val="008D3C91"/>
    <w:rsid w:val="008D3D21"/>
    <w:rsid w:val="008D3D35"/>
    <w:rsid w:val="008D3D41"/>
    <w:rsid w:val="008D3D6B"/>
    <w:rsid w:val="008D3DCB"/>
    <w:rsid w:val="008D3DFD"/>
    <w:rsid w:val="008D3E05"/>
    <w:rsid w:val="008D3E23"/>
    <w:rsid w:val="008D3E46"/>
    <w:rsid w:val="008D3E48"/>
    <w:rsid w:val="008D3E6B"/>
    <w:rsid w:val="008D3E84"/>
    <w:rsid w:val="008D3EA4"/>
    <w:rsid w:val="008D3F3D"/>
    <w:rsid w:val="008D3F54"/>
    <w:rsid w:val="008D3F88"/>
    <w:rsid w:val="008D4005"/>
    <w:rsid w:val="008D4029"/>
    <w:rsid w:val="008D4042"/>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A1"/>
    <w:rsid w:val="008D46D2"/>
    <w:rsid w:val="008D46F3"/>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53"/>
    <w:rsid w:val="008D50A8"/>
    <w:rsid w:val="008D514F"/>
    <w:rsid w:val="008D517A"/>
    <w:rsid w:val="008D5189"/>
    <w:rsid w:val="008D51A5"/>
    <w:rsid w:val="008D51BE"/>
    <w:rsid w:val="008D5216"/>
    <w:rsid w:val="008D5232"/>
    <w:rsid w:val="008D5267"/>
    <w:rsid w:val="008D526C"/>
    <w:rsid w:val="008D5298"/>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E"/>
    <w:rsid w:val="008D5D4F"/>
    <w:rsid w:val="008D5D53"/>
    <w:rsid w:val="008D5D73"/>
    <w:rsid w:val="008D5D90"/>
    <w:rsid w:val="008D5DA3"/>
    <w:rsid w:val="008D5DBB"/>
    <w:rsid w:val="008D5DCC"/>
    <w:rsid w:val="008D5E27"/>
    <w:rsid w:val="008D5E48"/>
    <w:rsid w:val="008D5E55"/>
    <w:rsid w:val="008D5E64"/>
    <w:rsid w:val="008D5E9A"/>
    <w:rsid w:val="008D5E9C"/>
    <w:rsid w:val="008D5ECD"/>
    <w:rsid w:val="008D5F26"/>
    <w:rsid w:val="008D5FFD"/>
    <w:rsid w:val="008D601B"/>
    <w:rsid w:val="008D60DA"/>
    <w:rsid w:val="008D60DD"/>
    <w:rsid w:val="008D60DF"/>
    <w:rsid w:val="008D60EE"/>
    <w:rsid w:val="008D6104"/>
    <w:rsid w:val="008D6114"/>
    <w:rsid w:val="008D6118"/>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31"/>
    <w:rsid w:val="008D6A82"/>
    <w:rsid w:val="008D6AA0"/>
    <w:rsid w:val="008D6AC0"/>
    <w:rsid w:val="008D6B4F"/>
    <w:rsid w:val="008D6B53"/>
    <w:rsid w:val="008D6B7F"/>
    <w:rsid w:val="008D6BC8"/>
    <w:rsid w:val="008D6BF9"/>
    <w:rsid w:val="008D6C01"/>
    <w:rsid w:val="008D6C66"/>
    <w:rsid w:val="008D6CAF"/>
    <w:rsid w:val="008D6CD2"/>
    <w:rsid w:val="008D6D3B"/>
    <w:rsid w:val="008D6D6F"/>
    <w:rsid w:val="008D6DB7"/>
    <w:rsid w:val="008D6E05"/>
    <w:rsid w:val="008D6E66"/>
    <w:rsid w:val="008D6E77"/>
    <w:rsid w:val="008D6EC6"/>
    <w:rsid w:val="008D6EEA"/>
    <w:rsid w:val="008D6F37"/>
    <w:rsid w:val="008D6F48"/>
    <w:rsid w:val="008D6FB5"/>
    <w:rsid w:val="008D702F"/>
    <w:rsid w:val="008D7042"/>
    <w:rsid w:val="008D704A"/>
    <w:rsid w:val="008D7091"/>
    <w:rsid w:val="008D70D5"/>
    <w:rsid w:val="008D7105"/>
    <w:rsid w:val="008D710E"/>
    <w:rsid w:val="008D7125"/>
    <w:rsid w:val="008D7126"/>
    <w:rsid w:val="008D714B"/>
    <w:rsid w:val="008D7162"/>
    <w:rsid w:val="008D7197"/>
    <w:rsid w:val="008D71B2"/>
    <w:rsid w:val="008D7256"/>
    <w:rsid w:val="008D726B"/>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829"/>
    <w:rsid w:val="008D782E"/>
    <w:rsid w:val="008D783F"/>
    <w:rsid w:val="008D7892"/>
    <w:rsid w:val="008D7903"/>
    <w:rsid w:val="008D7920"/>
    <w:rsid w:val="008D79D8"/>
    <w:rsid w:val="008D79E7"/>
    <w:rsid w:val="008D7A4C"/>
    <w:rsid w:val="008D7B0B"/>
    <w:rsid w:val="008D7B2D"/>
    <w:rsid w:val="008D7B80"/>
    <w:rsid w:val="008D7B9A"/>
    <w:rsid w:val="008D7BF3"/>
    <w:rsid w:val="008D7CD0"/>
    <w:rsid w:val="008D7CDB"/>
    <w:rsid w:val="008D7D24"/>
    <w:rsid w:val="008D7D91"/>
    <w:rsid w:val="008D7E24"/>
    <w:rsid w:val="008D7E45"/>
    <w:rsid w:val="008D7E72"/>
    <w:rsid w:val="008D7E92"/>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78"/>
    <w:rsid w:val="008E119A"/>
    <w:rsid w:val="008E11CD"/>
    <w:rsid w:val="008E11F8"/>
    <w:rsid w:val="008E1204"/>
    <w:rsid w:val="008E122E"/>
    <w:rsid w:val="008E1273"/>
    <w:rsid w:val="008E12A1"/>
    <w:rsid w:val="008E12A6"/>
    <w:rsid w:val="008E12BD"/>
    <w:rsid w:val="008E12EF"/>
    <w:rsid w:val="008E1343"/>
    <w:rsid w:val="008E1378"/>
    <w:rsid w:val="008E138B"/>
    <w:rsid w:val="008E13A5"/>
    <w:rsid w:val="008E13A8"/>
    <w:rsid w:val="008E13AA"/>
    <w:rsid w:val="008E13BD"/>
    <w:rsid w:val="008E13DD"/>
    <w:rsid w:val="008E13EB"/>
    <w:rsid w:val="008E1449"/>
    <w:rsid w:val="008E144B"/>
    <w:rsid w:val="008E14AD"/>
    <w:rsid w:val="008E14BE"/>
    <w:rsid w:val="008E14E0"/>
    <w:rsid w:val="008E14E5"/>
    <w:rsid w:val="008E1530"/>
    <w:rsid w:val="008E154F"/>
    <w:rsid w:val="008E1594"/>
    <w:rsid w:val="008E15AB"/>
    <w:rsid w:val="008E15B9"/>
    <w:rsid w:val="008E15F2"/>
    <w:rsid w:val="008E15F6"/>
    <w:rsid w:val="008E15FA"/>
    <w:rsid w:val="008E16CA"/>
    <w:rsid w:val="008E16E3"/>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DE"/>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7E"/>
    <w:rsid w:val="008E2285"/>
    <w:rsid w:val="008E2298"/>
    <w:rsid w:val="008E22B9"/>
    <w:rsid w:val="008E22C4"/>
    <w:rsid w:val="008E2370"/>
    <w:rsid w:val="008E2388"/>
    <w:rsid w:val="008E23A6"/>
    <w:rsid w:val="008E23CA"/>
    <w:rsid w:val="008E23F0"/>
    <w:rsid w:val="008E23FD"/>
    <w:rsid w:val="008E245F"/>
    <w:rsid w:val="008E24A2"/>
    <w:rsid w:val="008E25C6"/>
    <w:rsid w:val="008E2636"/>
    <w:rsid w:val="008E26A5"/>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BF6"/>
    <w:rsid w:val="008E2C0E"/>
    <w:rsid w:val="008E2C16"/>
    <w:rsid w:val="008E2C22"/>
    <w:rsid w:val="008E2C3A"/>
    <w:rsid w:val="008E2C44"/>
    <w:rsid w:val="008E2C45"/>
    <w:rsid w:val="008E2C48"/>
    <w:rsid w:val="008E2C4E"/>
    <w:rsid w:val="008E2C6E"/>
    <w:rsid w:val="008E2C9D"/>
    <w:rsid w:val="008E2CAB"/>
    <w:rsid w:val="008E2CAF"/>
    <w:rsid w:val="008E2D4C"/>
    <w:rsid w:val="008E2DEA"/>
    <w:rsid w:val="008E2E4C"/>
    <w:rsid w:val="008E2E78"/>
    <w:rsid w:val="008E2EAF"/>
    <w:rsid w:val="008E2EB3"/>
    <w:rsid w:val="008E2EFA"/>
    <w:rsid w:val="008E2F02"/>
    <w:rsid w:val="008E2F59"/>
    <w:rsid w:val="008E2F5F"/>
    <w:rsid w:val="008E2FA7"/>
    <w:rsid w:val="008E2FBD"/>
    <w:rsid w:val="008E2FBE"/>
    <w:rsid w:val="008E3058"/>
    <w:rsid w:val="008E3073"/>
    <w:rsid w:val="008E308F"/>
    <w:rsid w:val="008E30BD"/>
    <w:rsid w:val="008E30FD"/>
    <w:rsid w:val="008E3111"/>
    <w:rsid w:val="008E3146"/>
    <w:rsid w:val="008E3147"/>
    <w:rsid w:val="008E3178"/>
    <w:rsid w:val="008E319E"/>
    <w:rsid w:val="008E31CB"/>
    <w:rsid w:val="008E31CE"/>
    <w:rsid w:val="008E31EE"/>
    <w:rsid w:val="008E31F8"/>
    <w:rsid w:val="008E3216"/>
    <w:rsid w:val="008E321A"/>
    <w:rsid w:val="008E3220"/>
    <w:rsid w:val="008E32A0"/>
    <w:rsid w:val="008E333A"/>
    <w:rsid w:val="008E3356"/>
    <w:rsid w:val="008E336E"/>
    <w:rsid w:val="008E337E"/>
    <w:rsid w:val="008E33A1"/>
    <w:rsid w:val="008E33A7"/>
    <w:rsid w:val="008E33E1"/>
    <w:rsid w:val="008E33F0"/>
    <w:rsid w:val="008E3402"/>
    <w:rsid w:val="008E340D"/>
    <w:rsid w:val="008E3425"/>
    <w:rsid w:val="008E3437"/>
    <w:rsid w:val="008E34B7"/>
    <w:rsid w:val="008E34C0"/>
    <w:rsid w:val="008E358F"/>
    <w:rsid w:val="008E35B5"/>
    <w:rsid w:val="008E363D"/>
    <w:rsid w:val="008E36A5"/>
    <w:rsid w:val="008E36D5"/>
    <w:rsid w:val="008E3719"/>
    <w:rsid w:val="008E3734"/>
    <w:rsid w:val="008E37B1"/>
    <w:rsid w:val="008E37C3"/>
    <w:rsid w:val="008E37D5"/>
    <w:rsid w:val="008E3855"/>
    <w:rsid w:val="008E38B6"/>
    <w:rsid w:val="008E38E3"/>
    <w:rsid w:val="008E392B"/>
    <w:rsid w:val="008E396C"/>
    <w:rsid w:val="008E39A2"/>
    <w:rsid w:val="008E3A17"/>
    <w:rsid w:val="008E3A1E"/>
    <w:rsid w:val="008E3A2E"/>
    <w:rsid w:val="008E3A7E"/>
    <w:rsid w:val="008E3AE3"/>
    <w:rsid w:val="008E3B57"/>
    <w:rsid w:val="008E3B92"/>
    <w:rsid w:val="008E3C2C"/>
    <w:rsid w:val="008E3C2F"/>
    <w:rsid w:val="008E3C8C"/>
    <w:rsid w:val="008E3CC0"/>
    <w:rsid w:val="008E3CDC"/>
    <w:rsid w:val="008E3CE3"/>
    <w:rsid w:val="008E3D1B"/>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D0"/>
    <w:rsid w:val="008E42EB"/>
    <w:rsid w:val="008E4312"/>
    <w:rsid w:val="008E431F"/>
    <w:rsid w:val="008E436B"/>
    <w:rsid w:val="008E437D"/>
    <w:rsid w:val="008E4382"/>
    <w:rsid w:val="008E4390"/>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97"/>
    <w:rsid w:val="008E49EB"/>
    <w:rsid w:val="008E4A19"/>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26"/>
    <w:rsid w:val="008E53DB"/>
    <w:rsid w:val="008E5456"/>
    <w:rsid w:val="008E547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9A"/>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AB"/>
    <w:rsid w:val="008E5CBD"/>
    <w:rsid w:val="008E5CD1"/>
    <w:rsid w:val="008E5CD8"/>
    <w:rsid w:val="008E5DB8"/>
    <w:rsid w:val="008E5E14"/>
    <w:rsid w:val="008E5E5B"/>
    <w:rsid w:val="008E5E88"/>
    <w:rsid w:val="008E5E89"/>
    <w:rsid w:val="008E5EDC"/>
    <w:rsid w:val="008E5F0D"/>
    <w:rsid w:val="008E5F2D"/>
    <w:rsid w:val="008E5F43"/>
    <w:rsid w:val="008E5F91"/>
    <w:rsid w:val="008E5F92"/>
    <w:rsid w:val="008E5F99"/>
    <w:rsid w:val="008E5FE1"/>
    <w:rsid w:val="008E60EA"/>
    <w:rsid w:val="008E60F9"/>
    <w:rsid w:val="008E613F"/>
    <w:rsid w:val="008E6150"/>
    <w:rsid w:val="008E6151"/>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AD"/>
    <w:rsid w:val="008E64EC"/>
    <w:rsid w:val="008E64F7"/>
    <w:rsid w:val="008E6572"/>
    <w:rsid w:val="008E6593"/>
    <w:rsid w:val="008E667C"/>
    <w:rsid w:val="008E671F"/>
    <w:rsid w:val="008E6792"/>
    <w:rsid w:val="008E67A4"/>
    <w:rsid w:val="008E67F8"/>
    <w:rsid w:val="008E684A"/>
    <w:rsid w:val="008E686A"/>
    <w:rsid w:val="008E6878"/>
    <w:rsid w:val="008E68E1"/>
    <w:rsid w:val="008E68E4"/>
    <w:rsid w:val="008E690F"/>
    <w:rsid w:val="008E69D5"/>
    <w:rsid w:val="008E69E5"/>
    <w:rsid w:val="008E6A26"/>
    <w:rsid w:val="008E6A3C"/>
    <w:rsid w:val="008E6A44"/>
    <w:rsid w:val="008E6A48"/>
    <w:rsid w:val="008E6A62"/>
    <w:rsid w:val="008E6B1D"/>
    <w:rsid w:val="008E6B44"/>
    <w:rsid w:val="008E6B4D"/>
    <w:rsid w:val="008E6BAD"/>
    <w:rsid w:val="008E6BD3"/>
    <w:rsid w:val="008E6C2A"/>
    <w:rsid w:val="008E6C78"/>
    <w:rsid w:val="008E6D11"/>
    <w:rsid w:val="008E6D8D"/>
    <w:rsid w:val="008E6DF7"/>
    <w:rsid w:val="008E6E13"/>
    <w:rsid w:val="008E6E59"/>
    <w:rsid w:val="008E6E5A"/>
    <w:rsid w:val="008E6E5E"/>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28"/>
    <w:rsid w:val="008E72F8"/>
    <w:rsid w:val="008E7328"/>
    <w:rsid w:val="008E734B"/>
    <w:rsid w:val="008E738C"/>
    <w:rsid w:val="008E73A5"/>
    <w:rsid w:val="008E73AB"/>
    <w:rsid w:val="008E7458"/>
    <w:rsid w:val="008E746E"/>
    <w:rsid w:val="008E74F6"/>
    <w:rsid w:val="008E7514"/>
    <w:rsid w:val="008E7541"/>
    <w:rsid w:val="008E7597"/>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E59"/>
    <w:rsid w:val="008E7E8D"/>
    <w:rsid w:val="008E7ED2"/>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71"/>
    <w:rsid w:val="008F0297"/>
    <w:rsid w:val="008F02CA"/>
    <w:rsid w:val="008F030A"/>
    <w:rsid w:val="008F0334"/>
    <w:rsid w:val="008F041D"/>
    <w:rsid w:val="008F0486"/>
    <w:rsid w:val="008F0498"/>
    <w:rsid w:val="008F04A0"/>
    <w:rsid w:val="008F04CC"/>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8CA"/>
    <w:rsid w:val="008F0922"/>
    <w:rsid w:val="008F0975"/>
    <w:rsid w:val="008F09D9"/>
    <w:rsid w:val="008F0A12"/>
    <w:rsid w:val="008F0A51"/>
    <w:rsid w:val="008F0AAA"/>
    <w:rsid w:val="008F0B1D"/>
    <w:rsid w:val="008F0B3A"/>
    <w:rsid w:val="008F0B3F"/>
    <w:rsid w:val="008F0B55"/>
    <w:rsid w:val="008F0B95"/>
    <w:rsid w:val="008F0BEE"/>
    <w:rsid w:val="008F0BFC"/>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3B"/>
    <w:rsid w:val="008F1442"/>
    <w:rsid w:val="008F146B"/>
    <w:rsid w:val="008F148C"/>
    <w:rsid w:val="008F14A2"/>
    <w:rsid w:val="008F1508"/>
    <w:rsid w:val="008F1512"/>
    <w:rsid w:val="008F157B"/>
    <w:rsid w:val="008F1585"/>
    <w:rsid w:val="008F15AA"/>
    <w:rsid w:val="008F1628"/>
    <w:rsid w:val="008F16AC"/>
    <w:rsid w:val="008F1706"/>
    <w:rsid w:val="008F1753"/>
    <w:rsid w:val="008F1769"/>
    <w:rsid w:val="008F1779"/>
    <w:rsid w:val="008F17DD"/>
    <w:rsid w:val="008F17FB"/>
    <w:rsid w:val="008F188F"/>
    <w:rsid w:val="008F1893"/>
    <w:rsid w:val="008F18A4"/>
    <w:rsid w:val="008F18BD"/>
    <w:rsid w:val="008F1922"/>
    <w:rsid w:val="008F1996"/>
    <w:rsid w:val="008F19B4"/>
    <w:rsid w:val="008F19D4"/>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9E"/>
    <w:rsid w:val="008F23CB"/>
    <w:rsid w:val="008F23D2"/>
    <w:rsid w:val="008F23DB"/>
    <w:rsid w:val="008F2407"/>
    <w:rsid w:val="008F2481"/>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8E1"/>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70"/>
    <w:rsid w:val="008F2F89"/>
    <w:rsid w:val="008F3010"/>
    <w:rsid w:val="008F305A"/>
    <w:rsid w:val="008F3098"/>
    <w:rsid w:val="008F30BF"/>
    <w:rsid w:val="008F30C1"/>
    <w:rsid w:val="008F3125"/>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A5"/>
    <w:rsid w:val="008F39CC"/>
    <w:rsid w:val="008F39D3"/>
    <w:rsid w:val="008F39DC"/>
    <w:rsid w:val="008F39DD"/>
    <w:rsid w:val="008F39E9"/>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7"/>
    <w:rsid w:val="008F40AA"/>
    <w:rsid w:val="008F4102"/>
    <w:rsid w:val="008F4145"/>
    <w:rsid w:val="008F4156"/>
    <w:rsid w:val="008F4163"/>
    <w:rsid w:val="008F4188"/>
    <w:rsid w:val="008F41CD"/>
    <w:rsid w:val="008F4276"/>
    <w:rsid w:val="008F429C"/>
    <w:rsid w:val="008F429E"/>
    <w:rsid w:val="008F42A8"/>
    <w:rsid w:val="008F42C4"/>
    <w:rsid w:val="008F42E8"/>
    <w:rsid w:val="008F4331"/>
    <w:rsid w:val="008F4353"/>
    <w:rsid w:val="008F43BF"/>
    <w:rsid w:val="008F4401"/>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9E"/>
    <w:rsid w:val="008F47D2"/>
    <w:rsid w:val="008F47E1"/>
    <w:rsid w:val="008F480C"/>
    <w:rsid w:val="008F48BC"/>
    <w:rsid w:val="008F48C0"/>
    <w:rsid w:val="008F496F"/>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5E"/>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322"/>
    <w:rsid w:val="008F533D"/>
    <w:rsid w:val="008F5357"/>
    <w:rsid w:val="008F539F"/>
    <w:rsid w:val="008F53B8"/>
    <w:rsid w:val="008F5454"/>
    <w:rsid w:val="008F5472"/>
    <w:rsid w:val="008F5492"/>
    <w:rsid w:val="008F5514"/>
    <w:rsid w:val="008F5592"/>
    <w:rsid w:val="008F55EA"/>
    <w:rsid w:val="008F569A"/>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EA6"/>
    <w:rsid w:val="008F5F00"/>
    <w:rsid w:val="008F5F1A"/>
    <w:rsid w:val="008F5F70"/>
    <w:rsid w:val="008F5FBB"/>
    <w:rsid w:val="008F6012"/>
    <w:rsid w:val="008F6022"/>
    <w:rsid w:val="008F602A"/>
    <w:rsid w:val="008F6036"/>
    <w:rsid w:val="008F605A"/>
    <w:rsid w:val="008F606F"/>
    <w:rsid w:val="008F609C"/>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51"/>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91"/>
    <w:rsid w:val="008F6EB0"/>
    <w:rsid w:val="008F6ECC"/>
    <w:rsid w:val="008F6EFD"/>
    <w:rsid w:val="008F6F0D"/>
    <w:rsid w:val="008F6F2C"/>
    <w:rsid w:val="008F6F9E"/>
    <w:rsid w:val="008F6FC9"/>
    <w:rsid w:val="008F7089"/>
    <w:rsid w:val="008F7139"/>
    <w:rsid w:val="008F718B"/>
    <w:rsid w:val="008F7190"/>
    <w:rsid w:val="008F71FF"/>
    <w:rsid w:val="008F721A"/>
    <w:rsid w:val="008F721F"/>
    <w:rsid w:val="008F7222"/>
    <w:rsid w:val="008F7279"/>
    <w:rsid w:val="008F7288"/>
    <w:rsid w:val="008F72FF"/>
    <w:rsid w:val="008F7308"/>
    <w:rsid w:val="008F7334"/>
    <w:rsid w:val="008F736D"/>
    <w:rsid w:val="008F739E"/>
    <w:rsid w:val="008F73B4"/>
    <w:rsid w:val="008F73E8"/>
    <w:rsid w:val="008F7416"/>
    <w:rsid w:val="008F7447"/>
    <w:rsid w:val="008F744E"/>
    <w:rsid w:val="008F745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68"/>
    <w:rsid w:val="008F7879"/>
    <w:rsid w:val="008F78A2"/>
    <w:rsid w:val="008F78B0"/>
    <w:rsid w:val="008F78FC"/>
    <w:rsid w:val="008F7940"/>
    <w:rsid w:val="008F7997"/>
    <w:rsid w:val="008F79DE"/>
    <w:rsid w:val="008F79F2"/>
    <w:rsid w:val="008F7A97"/>
    <w:rsid w:val="008F7AAB"/>
    <w:rsid w:val="008F7AD1"/>
    <w:rsid w:val="008F7AF8"/>
    <w:rsid w:val="008F7B38"/>
    <w:rsid w:val="008F7B7D"/>
    <w:rsid w:val="008F7C28"/>
    <w:rsid w:val="008F7C8B"/>
    <w:rsid w:val="008F7CC5"/>
    <w:rsid w:val="008F7D22"/>
    <w:rsid w:val="008F7D37"/>
    <w:rsid w:val="008F7D47"/>
    <w:rsid w:val="008F7D5E"/>
    <w:rsid w:val="008F7D6A"/>
    <w:rsid w:val="008F7DA6"/>
    <w:rsid w:val="008F7DB0"/>
    <w:rsid w:val="008F7E01"/>
    <w:rsid w:val="008F7E4E"/>
    <w:rsid w:val="008F7E6B"/>
    <w:rsid w:val="008F7E7D"/>
    <w:rsid w:val="008F7E9D"/>
    <w:rsid w:val="008F7EAE"/>
    <w:rsid w:val="008F7EC4"/>
    <w:rsid w:val="008F7FCA"/>
    <w:rsid w:val="00900039"/>
    <w:rsid w:val="0090004B"/>
    <w:rsid w:val="00900063"/>
    <w:rsid w:val="00900078"/>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C10"/>
    <w:rsid w:val="00900C20"/>
    <w:rsid w:val="00900C2F"/>
    <w:rsid w:val="00900C4F"/>
    <w:rsid w:val="00900C57"/>
    <w:rsid w:val="00900C6A"/>
    <w:rsid w:val="00900CA2"/>
    <w:rsid w:val="00900CA8"/>
    <w:rsid w:val="00900CE4"/>
    <w:rsid w:val="00900CEB"/>
    <w:rsid w:val="00900D17"/>
    <w:rsid w:val="00900D7A"/>
    <w:rsid w:val="00900D8A"/>
    <w:rsid w:val="00900DC4"/>
    <w:rsid w:val="00900E18"/>
    <w:rsid w:val="00900E71"/>
    <w:rsid w:val="00900F39"/>
    <w:rsid w:val="00900FA7"/>
    <w:rsid w:val="00900FBE"/>
    <w:rsid w:val="00900FE7"/>
    <w:rsid w:val="00900FF3"/>
    <w:rsid w:val="00901032"/>
    <w:rsid w:val="00901038"/>
    <w:rsid w:val="00901046"/>
    <w:rsid w:val="009010DC"/>
    <w:rsid w:val="00901202"/>
    <w:rsid w:val="0090121A"/>
    <w:rsid w:val="00901221"/>
    <w:rsid w:val="009012D1"/>
    <w:rsid w:val="0090137A"/>
    <w:rsid w:val="009013FE"/>
    <w:rsid w:val="009013FF"/>
    <w:rsid w:val="00901412"/>
    <w:rsid w:val="0090145B"/>
    <w:rsid w:val="0090149B"/>
    <w:rsid w:val="00901517"/>
    <w:rsid w:val="0090153C"/>
    <w:rsid w:val="00901550"/>
    <w:rsid w:val="00901553"/>
    <w:rsid w:val="0090157C"/>
    <w:rsid w:val="009015A0"/>
    <w:rsid w:val="009015E7"/>
    <w:rsid w:val="00901633"/>
    <w:rsid w:val="00901663"/>
    <w:rsid w:val="009016A9"/>
    <w:rsid w:val="009016C5"/>
    <w:rsid w:val="00901736"/>
    <w:rsid w:val="00901741"/>
    <w:rsid w:val="00901763"/>
    <w:rsid w:val="00901782"/>
    <w:rsid w:val="00901793"/>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9A"/>
    <w:rsid w:val="009020C2"/>
    <w:rsid w:val="009020D2"/>
    <w:rsid w:val="009020D8"/>
    <w:rsid w:val="0090216E"/>
    <w:rsid w:val="009021C7"/>
    <w:rsid w:val="00902294"/>
    <w:rsid w:val="009022AE"/>
    <w:rsid w:val="009022B8"/>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52"/>
    <w:rsid w:val="009028CC"/>
    <w:rsid w:val="009028D9"/>
    <w:rsid w:val="009028E9"/>
    <w:rsid w:val="009029A2"/>
    <w:rsid w:val="00902A98"/>
    <w:rsid w:val="00902B2A"/>
    <w:rsid w:val="00902B58"/>
    <w:rsid w:val="00902B61"/>
    <w:rsid w:val="00902BEF"/>
    <w:rsid w:val="00902C84"/>
    <w:rsid w:val="00902CA4"/>
    <w:rsid w:val="00902CD8"/>
    <w:rsid w:val="00902D5B"/>
    <w:rsid w:val="00902D8D"/>
    <w:rsid w:val="00902DCA"/>
    <w:rsid w:val="00902DDD"/>
    <w:rsid w:val="00902E81"/>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D1"/>
    <w:rsid w:val="009034DC"/>
    <w:rsid w:val="009034F4"/>
    <w:rsid w:val="0090355A"/>
    <w:rsid w:val="00903588"/>
    <w:rsid w:val="009035C8"/>
    <w:rsid w:val="00903604"/>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C3"/>
    <w:rsid w:val="00903CCD"/>
    <w:rsid w:val="00903D32"/>
    <w:rsid w:val="00903D33"/>
    <w:rsid w:val="00903D36"/>
    <w:rsid w:val="00903D6C"/>
    <w:rsid w:val="00903D6F"/>
    <w:rsid w:val="00903D8D"/>
    <w:rsid w:val="00903D9B"/>
    <w:rsid w:val="00903DB3"/>
    <w:rsid w:val="00903DD9"/>
    <w:rsid w:val="00903E24"/>
    <w:rsid w:val="00903E56"/>
    <w:rsid w:val="00903F24"/>
    <w:rsid w:val="00903F2F"/>
    <w:rsid w:val="00903F66"/>
    <w:rsid w:val="00903FEF"/>
    <w:rsid w:val="00904085"/>
    <w:rsid w:val="009040BD"/>
    <w:rsid w:val="009040C8"/>
    <w:rsid w:val="0090410E"/>
    <w:rsid w:val="0090411B"/>
    <w:rsid w:val="00904149"/>
    <w:rsid w:val="009041C5"/>
    <w:rsid w:val="009041D3"/>
    <w:rsid w:val="009041E5"/>
    <w:rsid w:val="009041F8"/>
    <w:rsid w:val="0090425B"/>
    <w:rsid w:val="00904281"/>
    <w:rsid w:val="0090428D"/>
    <w:rsid w:val="009042B5"/>
    <w:rsid w:val="00904365"/>
    <w:rsid w:val="0090441A"/>
    <w:rsid w:val="00904517"/>
    <w:rsid w:val="0090451E"/>
    <w:rsid w:val="0090452B"/>
    <w:rsid w:val="009045FD"/>
    <w:rsid w:val="0090467C"/>
    <w:rsid w:val="0090468B"/>
    <w:rsid w:val="009046AF"/>
    <w:rsid w:val="009046C2"/>
    <w:rsid w:val="009046CB"/>
    <w:rsid w:val="009046F4"/>
    <w:rsid w:val="0090479E"/>
    <w:rsid w:val="0090479F"/>
    <w:rsid w:val="009047DC"/>
    <w:rsid w:val="009047EF"/>
    <w:rsid w:val="00904896"/>
    <w:rsid w:val="009048A7"/>
    <w:rsid w:val="009048B9"/>
    <w:rsid w:val="0090491B"/>
    <w:rsid w:val="00904999"/>
    <w:rsid w:val="009049A0"/>
    <w:rsid w:val="009049B1"/>
    <w:rsid w:val="009049C5"/>
    <w:rsid w:val="009049EE"/>
    <w:rsid w:val="00904A06"/>
    <w:rsid w:val="00904A69"/>
    <w:rsid w:val="00904AAF"/>
    <w:rsid w:val="00904ADD"/>
    <w:rsid w:val="00904AF5"/>
    <w:rsid w:val="00904B61"/>
    <w:rsid w:val="00904BBA"/>
    <w:rsid w:val="00904C6C"/>
    <w:rsid w:val="00904C80"/>
    <w:rsid w:val="00904CC0"/>
    <w:rsid w:val="00904CDA"/>
    <w:rsid w:val="00904CDC"/>
    <w:rsid w:val="00904D15"/>
    <w:rsid w:val="00904D28"/>
    <w:rsid w:val="00904D29"/>
    <w:rsid w:val="00904D57"/>
    <w:rsid w:val="00904DA8"/>
    <w:rsid w:val="00904DEB"/>
    <w:rsid w:val="00904DF9"/>
    <w:rsid w:val="00904E12"/>
    <w:rsid w:val="00904E25"/>
    <w:rsid w:val="00904E8A"/>
    <w:rsid w:val="00904F01"/>
    <w:rsid w:val="00904F36"/>
    <w:rsid w:val="00904F61"/>
    <w:rsid w:val="00904F7D"/>
    <w:rsid w:val="00904FD7"/>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EC"/>
    <w:rsid w:val="00905CF2"/>
    <w:rsid w:val="00905D07"/>
    <w:rsid w:val="00905D58"/>
    <w:rsid w:val="00905D90"/>
    <w:rsid w:val="00905DB2"/>
    <w:rsid w:val="00905E49"/>
    <w:rsid w:val="00905E7B"/>
    <w:rsid w:val="00905EA0"/>
    <w:rsid w:val="00905F93"/>
    <w:rsid w:val="00905FE9"/>
    <w:rsid w:val="00906045"/>
    <w:rsid w:val="00906066"/>
    <w:rsid w:val="00906074"/>
    <w:rsid w:val="009060A5"/>
    <w:rsid w:val="0090616C"/>
    <w:rsid w:val="00906173"/>
    <w:rsid w:val="0090618D"/>
    <w:rsid w:val="00906198"/>
    <w:rsid w:val="009061DA"/>
    <w:rsid w:val="0090624D"/>
    <w:rsid w:val="0090624E"/>
    <w:rsid w:val="0090626E"/>
    <w:rsid w:val="009062C9"/>
    <w:rsid w:val="009063E7"/>
    <w:rsid w:val="00906443"/>
    <w:rsid w:val="00906461"/>
    <w:rsid w:val="009064D6"/>
    <w:rsid w:val="009064F4"/>
    <w:rsid w:val="00906537"/>
    <w:rsid w:val="0090654F"/>
    <w:rsid w:val="009065FB"/>
    <w:rsid w:val="009065FE"/>
    <w:rsid w:val="0090664B"/>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EC7"/>
    <w:rsid w:val="00906F50"/>
    <w:rsid w:val="00906F76"/>
    <w:rsid w:val="00906F83"/>
    <w:rsid w:val="00906F86"/>
    <w:rsid w:val="0090703F"/>
    <w:rsid w:val="00907057"/>
    <w:rsid w:val="00907059"/>
    <w:rsid w:val="00907085"/>
    <w:rsid w:val="009070A8"/>
    <w:rsid w:val="009070AF"/>
    <w:rsid w:val="0090711A"/>
    <w:rsid w:val="00907123"/>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24"/>
    <w:rsid w:val="009074DE"/>
    <w:rsid w:val="009074F9"/>
    <w:rsid w:val="009074FF"/>
    <w:rsid w:val="009075CC"/>
    <w:rsid w:val="009075D9"/>
    <w:rsid w:val="009075F8"/>
    <w:rsid w:val="0090760C"/>
    <w:rsid w:val="009076C3"/>
    <w:rsid w:val="00907700"/>
    <w:rsid w:val="0090771D"/>
    <w:rsid w:val="00907742"/>
    <w:rsid w:val="00907757"/>
    <w:rsid w:val="0090779D"/>
    <w:rsid w:val="009077EC"/>
    <w:rsid w:val="00907802"/>
    <w:rsid w:val="0090780A"/>
    <w:rsid w:val="00907839"/>
    <w:rsid w:val="009078C4"/>
    <w:rsid w:val="009078C7"/>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A4"/>
    <w:rsid w:val="00907D3A"/>
    <w:rsid w:val="00907D46"/>
    <w:rsid w:val="00907D71"/>
    <w:rsid w:val="00907DD2"/>
    <w:rsid w:val="00907E31"/>
    <w:rsid w:val="00907EF0"/>
    <w:rsid w:val="00907F49"/>
    <w:rsid w:val="00907F63"/>
    <w:rsid w:val="00907F77"/>
    <w:rsid w:val="00907F92"/>
    <w:rsid w:val="00907FD8"/>
    <w:rsid w:val="00907FF7"/>
    <w:rsid w:val="00910023"/>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16"/>
    <w:rsid w:val="0091054D"/>
    <w:rsid w:val="0091057D"/>
    <w:rsid w:val="009105B6"/>
    <w:rsid w:val="009105DC"/>
    <w:rsid w:val="0091060B"/>
    <w:rsid w:val="00910619"/>
    <w:rsid w:val="0091061F"/>
    <w:rsid w:val="00910678"/>
    <w:rsid w:val="009106BA"/>
    <w:rsid w:val="00910771"/>
    <w:rsid w:val="00910794"/>
    <w:rsid w:val="00910892"/>
    <w:rsid w:val="009108DF"/>
    <w:rsid w:val="009108F6"/>
    <w:rsid w:val="009109B1"/>
    <w:rsid w:val="009109C5"/>
    <w:rsid w:val="009109F0"/>
    <w:rsid w:val="00910A30"/>
    <w:rsid w:val="00910A51"/>
    <w:rsid w:val="00910A53"/>
    <w:rsid w:val="00910AD1"/>
    <w:rsid w:val="00910B34"/>
    <w:rsid w:val="00910B8B"/>
    <w:rsid w:val="00910BB8"/>
    <w:rsid w:val="00910BC6"/>
    <w:rsid w:val="00910BFE"/>
    <w:rsid w:val="00910C0D"/>
    <w:rsid w:val="00910C86"/>
    <w:rsid w:val="00910CFC"/>
    <w:rsid w:val="00910D18"/>
    <w:rsid w:val="00910D25"/>
    <w:rsid w:val="00910DAB"/>
    <w:rsid w:val="00910E1A"/>
    <w:rsid w:val="00910E47"/>
    <w:rsid w:val="00910E50"/>
    <w:rsid w:val="00910E68"/>
    <w:rsid w:val="00910EB3"/>
    <w:rsid w:val="00910EEF"/>
    <w:rsid w:val="00910F3F"/>
    <w:rsid w:val="00910F5D"/>
    <w:rsid w:val="00910FD1"/>
    <w:rsid w:val="00910FDF"/>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4F"/>
    <w:rsid w:val="00911A51"/>
    <w:rsid w:val="00911A59"/>
    <w:rsid w:val="00911A61"/>
    <w:rsid w:val="00911B30"/>
    <w:rsid w:val="00911B59"/>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E42"/>
    <w:rsid w:val="00911E99"/>
    <w:rsid w:val="00911EB3"/>
    <w:rsid w:val="00911F5F"/>
    <w:rsid w:val="00911F99"/>
    <w:rsid w:val="00911F9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DD"/>
    <w:rsid w:val="0091276B"/>
    <w:rsid w:val="0091278B"/>
    <w:rsid w:val="009127C0"/>
    <w:rsid w:val="009127D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6"/>
    <w:rsid w:val="0091333A"/>
    <w:rsid w:val="00913343"/>
    <w:rsid w:val="0091336B"/>
    <w:rsid w:val="00913373"/>
    <w:rsid w:val="00913377"/>
    <w:rsid w:val="00913395"/>
    <w:rsid w:val="00913399"/>
    <w:rsid w:val="0091339F"/>
    <w:rsid w:val="009133E3"/>
    <w:rsid w:val="009133E7"/>
    <w:rsid w:val="009133F3"/>
    <w:rsid w:val="009133F7"/>
    <w:rsid w:val="0091341F"/>
    <w:rsid w:val="0091342D"/>
    <w:rsid w:val="0091349D"/>
    <w:rsid w:val="009134AF"/>
    <w:rsid w:val="009134B1"/>
    <w:rsid w:val="00913516"/>
    <w:rsid w:val="00913535"/>
    <w:rsid w:val="00913539"/>
    <w:rsid w:val="0091353F"/>
    <w:rsid w:val="009135B8"/>
    <w:rsid w:val="009135FA"/>
    <w:rsid w:val="009136A6"/>
    <w:rsid w:val="0091370E"/>
    <w:rsid w:val="009137A5"/>
    <w:rsid w:val="009137AD"/>
    <w:rsid w:val="009137C5"/>
    <w:rsid w:val="00913823"/>
    <w:rsid w:val="0091384B"/>
    <w:rsid w:val="0091387A"/>
    <w:rsid w:val="009138F0"/>
    <w:rsid w:val="00913908"/>
    <w:rsid w:val="00913A65"/>
    <w:rsid w:val="00913AEE"/>
    <w:rsid w:val="00913B6F"/>
    <w:rsid w:val="00913BA0"/>
    <w:rsid w:val="00913BD7"/>
    <w:rsid w:val="00913BDB"/>
    <w:rsid w:val="00913C2A"/>
    <w:rsid w:val="00913C32"/>
    <w:rsid w:val="00913C33"/>
    <w:rsid w:val="00913C42"/>
    <w:rsid w:val="00913CBD"/>
    <w:rsid w:val="00913CF6"/>
    <w:rsid w:val="00913CF8"/>
    <w:rsid w:val="00913DD4"/>
    <w:rsid w:val="00913E49"/>
    <w:rsid w:val="00913F4B"/>
    <w:rsid w:val="00913FBB"/>
    <w:rsid w:val="00914016"/>
    <w:rsid w:val="00914018"/>
    <w:rsid w:val="0091401A"/>
    <w:rsid w:val="00914033"/>
    <w:rsid w:val="00914085"/>
    <w:rsid w:val="009140C9"/>
    <w:rsid w:val="009140D8"/>
    <w:rsid w:val="009140EB"/>
    <w:rsid w:val="00914128"/>
    <w:rsid w:val="00914153"/>
    <w:rsid w:val="0091417E"/>
    <w:rsid w:val="0091419F"/>
    <w:rsid w:val="009141E8"/>
    <w:rsid w:val="009141F1"/>
    <w:rsid w:val="0091426A"/>
    <w:rsid w:val="009142DF"/>
    <w:rsid w:val="0091435B"/>
    <w:rsid w:val="0091436E"/>
    <w:rsid w:val="0091438D"/>
    <w:rsid w:val="009143BC"/>
    <w:rsid w:val="0091445A"/>
    <w:rsid w:val="00914471"/>
    <w:rsid w:val="0091450C"/>
    <w:rsid w:val="00914514"/>
    <w:rsid w:val="00914516"/>
    <w:rsid w:val="0091452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0B"/>
    <w:rsid w:val="00914F20"/>
    <w:rsid w:val="00914F56"/>
    <w:rsid w:val="00914F7A"/>
    <w:rsid w:val="00914FB5"/>
    <w:rsid w:val="00915008"/>
    <w:rsid w:val="00915009"/>
    <w:rsid w:val="00915040"/>
    <w:rsid w:val="009150C3"/>
    <w:rsid w:val="009150C8"/>
    <w:rsid w:val="009150E4"/>
    <w:rsid w:val="009150F7"/>
    <w:rsid w:val="0091510C"/>
    <w:rsid w:val="00915130"/>
    <w:rsid w:val="0091519C"/>
    <w:rsid w:val="009151E7"/>
    <w:rsid w:val="00915204"/>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533"/>
    <w:rsid w:val="00915583"/>
    <w:rsid w:val="009155DB"/>
    <w:rsid w:val="0091562A"/>
    <w:rsid w:val="00915694"/>
    <w:rsid w:val="009156AA"/>
    <w:rsid w:val="009156F9"/>
    <w:rsid w:val="00915707"/>
    <w:rsid w:val="00915741"/>
    <w:rsid w:val="009157B2"/>
    <w:rsid w:val="009157DD"/>
    <w:rsid w:val="009157F5"/>
    <w:rsid w:val="00915837"/>
    <w:rsid w:val="00915866"/>
    <w:rsid w:val="009158A4"/>
    <w:rsid w:val="009158AE"/>
    <w:rsid w:val="00915912"/>
    <w:rsid w:val="0091593C"/>
    <w:rsid w:val="009159CD"/>
    <w:rsid w:val="009159DC"/>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0FA"/>
    <w:rsid w:val="0091614A"/>
    <w:rsid w:val="00916166"/>
    <w:rsid w:val="00916203"/>
    <w:rsid w:val="00916205"/>
    <w:rsid w:val="00916222"/>
    <w:rsid w:val="00916249"/>
    <w:rsid w:val="00916250"/>
    <w:rsid w:val="0091629C"/>
    <w:rsid w:val="009162EB"/>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4D2"/>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57"/>
    <w:rsid w:val="00916DC7"/>
    <w:rsid w:val="00916E02"/>
    <w:rsid w:val="00916E1E"/>
    <w:rsid w:val="00916E33"/>
    <w:rsid w:val="00916E93"/>
    <w:rsid w:val="00916EBA"/>
    <w:rsid w:val="00916EE5"/>
    <w:rsid w:val="00916F03"/>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11A"/>
    <w:rsid w:val="0091714B"/>
    <w:rsid w:val="009171C1"/>
    <w:rsid w:val="00917214"/>
    <w:rsid w:val="00917237"/>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601"/>
    <w:rsid w:val="0091768A"/>
    <w:rsid w:val="0091768D"/>
    <w:rsid w:val="00917715"/>
    <w:rsid w:val="00917721"/>
    <w:rsid w:val="009177D0"/>
    <w:rsid w:val="009177F0"/>
    <w:rsid w:val="00917856"/>
    <w:rsid w:val="0091786D"/>
    <w:rsid w:val="0091788A"/>
    <w:rsid w:val="0091789B"/>
    <w:rsid w:val="009178AD"/>
    <w:rsid w:val="009178B0"/>
    <w:rsid w:val="009178DB"/>
    <w:rsid w:val="00917918"/>
    <w:rsid w:val="00917920"/>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BE0"/>
    <w:rsid w:val="00917C0C"/>
    <w:rsid w:val="00917C3E"/>
    <w:rsid w:val="00917C82"/>
    <w:rsid w:val="00917C95"/>
    <w:rsid w:val="00917CA0"/>
    <w:rsid w:val="00917CCF"/>
    <w:rsid w:val="00917D48"/>
    <w:rsid w:val="00917D58"/>
    <w:rsid w:val="00917D5A"/>
    <w:rsid w:val="00917D9C"/>
    <w:rsid w:val="00917DA6"/>
    <w:rsid w:val="00917DBE"/>
    <w:rsid w:val="00917F7A"/>
    <w:rsid w:val="00917FFB"/>
    <w:rsid w:val="00920069"/>
    <w:rsid w:val="00920089"/>
    <w:rsid w:val="00920095"/>
    <w:rsid w:val="009200AC"/>
    <w:rsid w:val="009200E3"/>
    <w:rsid w:val="009200EC"/>
    <w:rsid w:val="00920126"/>
    <w:rsid w:val="00920130"/>
    <w:rsid w:val="00920159"/>
    <w:rsid w:val="00920185"/>
    <w:rsid w:val="009201B0"/>
    <w:rsid w:val="009201C7"/>
    <w:rsid w:val="00920213"/>
    <w:rsid w:val="00920227"/>
    <w:rsid w:val="0092022E"/>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14"/>
    <w:rsid w:val="0092061C"/>
    <w:rsid w:val="0092064F"/>
    <w:rsid w:val="00920655"/>
    <w:rsid w:val="0092068C"/>
    <w:rsid w:val="00920690"/>
    <w:rsid w:val="00920737"/>
    <w:rsid w:val="00920744"/>
    <w:rsid w:val="0092075C"/>
    <w:rsid w:val="009207FC"/>
    <w:rsid w:val="00920827"/>
    <w:rsid w:val="00920837"/>
    <w:rsid w:val="0092084B"/>
    <w:rsid w:val="00920936"/>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CE"/>
    <w:rsid w:val="00920CD6"/>
    <w:rsid w:val="00920CDE"/>
    <w:rsid w:val="00920CE3"/>
    <w:rsid w:val="00920CEA"/>
    <w:rsid w:val="00920D42"/>
    <w:rsid w:val="00920D45"/>
    <w:rsid w:val="00920DAE"/>
    <w:rsid w:val="00920DF0"/>
    <w:rsid w:val="00920E83"/>
    <w:rsid w:val="00920E9A"/>
    <w:rsid w:val="00920EB3"/>
    <w:rsid w:val="00920EB6"/>
    <w:rsid w:val="00920FE0"/>
    <w:rsid w:val="00920FE5"/>
    <w:rsid w:val="00920FF9"/>
    <w:rsid w:val="00921023"/>
    <w:rsid w:val="0092106B"/>
    <w:rsid w:val="00921070"/>
    <w:rsid w:val="00921085"/>
    <w:rsid w:val="009210F0"/>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516"/>
    <w:rsid w:val="0092151B"/>
    <w:rsid w:val="0092151D"/>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0B"/>
    <w:rsid w:val="00921916"/>
    <w:rsid w:val="0092193C"/>
    <w:rsid w:val="0092198D"/>
    <w:rsid w:val="00921997"/>
    <w:rsid w:val="00921999"/>
    <w:rsid w:val="00921A26"/>
    <w:rsid w:val="00921A44"/>
    <w:rsid w:val="00921A8D"/>
    <w:rsid w:val="00921AA7"/>
    <w:rsid w:val="00921B11"/>
    <w:rsid w:val="00921B25"/>
    <w:rsid w:val="00921B3B"/>
    <w:rsid w:val="00921B40"/>
    <w:rsid w:val="00921B4E"/>
    <w:rsid w:val="00921B86"/>
    <w:rsid w:val="00921BBE"/>
    <w:rsid w:val="00921BE9"/>
    <w:rsid w:val="00921BEE"/>
    <w:rsid w:val="00921BFC"/>
    <w:rsid w:val="00921C38"/>
    <w:rsid w:val="00921C49"/>
    <w:rsid w:val="00921C4A"/>
    <w:rsid w:val="00921C85"/>
    <w:rsid w:val="00921C88"/>
    <w:rsid w:val="00921CD3"/>
    <w:rsid w:val="00921D12"/>
    <w:rsid w:val="00921D18"/>
    <w:rsid w:val="00921D8D"/>
    <w:rsid w:val="00921D92"/>
    <w:rsid w:val="00921DD3"/>
    <w:rsid w:val="00921DED"/>
    <w:rsid w:val="00921DEF"/>
    <w:rsid w:val="00921E07"/>
    <w:rsid w:val="00921E8A"/>
    <w:rsid w:val="00921EA6"/>
    <w:rsid w:val="00921EB8"/>
    <w:rsid w:val="00921F03"/>
    <w:rsid w:val="00921F37"/>
    <w:rsid w:val="00921F5A"/>
    <w:rsid w:val="00921F9A"/>
    <w:rsid w:val="00921FEA"/>
    <w:rsid w:val="00922079"/>
    <w:rsid w:val="00922097"/>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18"/>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56"/>
    <w:rsid w:val="00922997"/>
    <w:rsid w:val="009229CC"/>
    <w:rsid w:val="00922A14"/>
    <w:rsid w:val="00922A65"/>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3B"/>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20A"/>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D4"/>
    <w:rsid w:val="009244D7"/>
    <w:rsid w:val="009244DE"/>
    <w:rsid w:val="009245B4"/>
    <w:rsid w:val="00924669"/>
    <w:rsid w:val="00924694"/>
    <w:rsid w:val="00924769"/>
    <w:rsid w:val="00924770"/>
    <w:rsid w:val="0092478F"/>
    <w:rsid w:val="009247B7"/>
    <w:rsid w:val="009247BC"/>
    <w:rsid w:val="009247C6"/>
    <w:rsid w:val="009247C9"/>
    <w:rsid w:val="00924869"/>
    <w:rsid w:val="0092489A"/>
    <w:rsid w:val="0092489C"/>
    <w:rsid w:val="009248AE"/>
    <w:rsid w:val="0092497A"/>
    <w:rsid w:val="00924984"/>
    <w:rsid w:val="009249C4"/>
    <w:rsid w:val="009249E2"/>
    <w:rsid w:val="00924A0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8"/>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0"/>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69"/>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6B"/>
    <w:rsid w:val="00925A7E"/>
    <w:rsid w:val="00925ABD"/>
    <w:rsid w:val="00925B66"/>
    <w:rsid w:val="00925B73"/>
    <w:rsid w:val="00925C05"/>
    <w:rsid w:val="00925C42"/>
    <w:rsid w:val="00925C73"/>
    <w:rsid w:val="00925C98"/>
    <w:rsid w:val="00925CA9"/>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B5"/>
    <w:rsid w:val="009261CC"/>
    <w:rsid w:val="009261F7"/>
    <w:rsid w:val="00926240"/>
    <w:rsid w:val="0092627C"/>
    <w:rsid w:val="00926284"/>
    <w:rsid w:val="009262DB"/>
    <w:rsid w:val="0092630A"/>
    <w:rsid w:val="0092631D"/>
    <w:rsid w:val="00926399"/>
    <w:rsid w:val="009263EC"/>
    <w:rsid w:val="00926427"/>
    <w:rsid w:val="00926434"/>
    <w:rsid w:val="00926538"/>
    <w:rsid w:val="009265A6"/>
    <w:rsid w:val="009265B4"/>
    <w:rsid w:val="009265E3"/>
    <w:rsid w:val="009265E5"/>
    <w:rsid w:val="009265FC"/>
    <w:rsid w:val="0092666C"/>
    <w:rsid w:val="00926768"/>
    <w:rsid w:val="00926784"/>
    <w:rsid w:val="009267C6"/>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88"/>
    <w:rsid w:val="009272C0"/>
    <w:rsid w:val="0092736F"/>
    <w:rsid w:val="00927380"/>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957"/>
    <w:rsid w:val="009279AF"/>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B6"/>
    <w:rsid w:val="00927E08"/>
    <w:rsid w:val="00927E3E"/>
    <w:rsid w:val="00927E85"/>
    <w:rsid w:val="00927EC4"/>
    <w:rsid w:val="00927F11"/>
    <w:rsid w:val="00927F21"/>
    <w:rsid w:val="00927FD8"/>
    <w:rsid w:val="00927FE0"/>
    <w:rsid w:val="00927FE8"/>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40"/>
    <w:rsid w:val="00930A5C"/>
    <w:rsid w:val="00930A6D"/>
    <w:rsid w:val="00930A77"/>
    <w:rsid w:val="00930A94"/>
    <w:rsid w:val="00930A97"/>
    <w:rsid w:val="00930B2C"/>
    <w:rsid w:val="00930B46"/>
    <w:rsid w:val="00930B61"/>
    <w:rsid w:val="00930B87"/>
    <w:rsid w:val="00930B8E"/>
    <w:rsid w:val="00930BCE"/>
    <w:rsid w:val="00930C03"/>
    <w:rsid w:val="00930C89"/>
    <w:rsid w:val="00930CA5"/>
    <w:rsid w:val="00930D56"/>
    <w:rsid w:val="00930D74"/>
    <w:rsid w:val="00930D8B"/>
    <w:rsid w:val="00930DBE"/>
    <w:rsid w:val="00930DF1"/>
    <w:rsid w:val="00930E61"/>
    <w:rsid w:val="00930E76"/>
    <w:rsid w:val="00930EDC"/>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C3"/>
    <w:rsid w:val="009318C7"/>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BD"/>
    <w:rsid w:val="00931EC5"/>
    <w:rsid w:val="00931EF9"/>
    <w:rsid w:val="00931F1E"/>
    <w:rsid w:val="00931F61"/>
    <w:rsid w:val="00931F64"/>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8D"/>
    <w:rsid w:val="00932693"/>
    <w:rsid w:val="009326D0"/>
    <w:rsid w:val="009326D6"/>
    <w:rsid w:val="009326EA"/>
    <w:rsid w:val="00932718"/>
    <w:rsid w:val="00932762"/>
    <w:rsid w:val="00932786"/>
    <w:rsid w:val="0093279A"/>
    <w:rsid w:val="0093279F"/>
    <w:rsid w:val="009327D0"/>
    <w:rsid w:val="009328DE"/>
    <w:rsid w:val="00932947"/>
    <w:rsid w:val="0093295A"/>
    <w:rsid w:val="0093295E"/>
    <w:rsid w:val="009329CD"/>
    <w:rsid w:val="009329F6"/>
    <w:rsid w:val="00932A6B"/>
    <w:rsid w:val="00932AFC"/>
    <w:rsid w:val="00932B06"/>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62"/>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3F"/>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E6"/>
    <w:rsid w:val="00933840"/>
    <w:rsid w:val="00933846"/>
    <w:rsid w:val="0093384E"/>
    <w:rsid w:val="0093385B"/>
    <w:rsid w:val="009338B2"/>
    <w:rsid w:val="009338F0"/>
    <w:rsid w:val="0093390F"/>
    <w:rsid w:val="0093391A"/>
    <w:rsid w:val="00933965"/>
    <w:rsid w:val="0093399E"/>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BA"/>
    <w:rsid w:val="00933DC1"/>
    <w:rsid w:val="00933DE1"/>
    <w:rsid w:val="00933DFB"/>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18"/>
    <w:rsid w:val="00934220"/>
    <w:rsid w:val="00934270"/>
    <w:rsid w:val="009342F4"/>
    <w:rsid w:val="0093432C"/>
    <w:rsid w:val="00934336"/>
    <w:rsid w:val="0093433C"/>
    <w:rsid w:val="0093434F"/>
    <w:rsid w:val="00934378"/>
    <w:rsid w:val="009343A4"/>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7"/>
    <w:rsid w:val="00934754"/>
    <w:rsid w:val="00934798"/>
    <w:rsid w:val="009347C3"/>
    <w:rsid w:val="009347D7"/>
    <w:rsid w:val="009347FA"/>
    <w:rsid w:val="0093480A"/>
    <w:rsid w:val="00934823"/>
    <w:rsid w:val="009348CE"/>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9A"/>
    <w:rsid w:val="00935007"/>
    <w:rsid w:val="00935076"/>
    <w:rsid w:val="009350A0"/>
    <w:rsid w:val="00935123"/>
    <w:rsid w:val="00935180"/>
    <w:rsid w:val="00935186"/>
    <w:rsid w:val="00935188"/>
    <w:rsid w:val="00935190"/>
    <w:rsid w:val="009351AE"/>
    <w:rsid w:val="009351B0"/>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38"/>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7"/>
    <w:rsid w:val="00935AED"/>
    <w:rsid w:val="00935B1F"/>
    <w:rsid w:val="00935B21"/>
    <w:rsid w:val="00935BDF"/>
    <w:rsid w:val="00935BEF"/>
    <w:rsid w:val="00935C6E"/>
    <w:rsid w:val="00935C93"/>
    <w:rsid w:val="00935C98"/>
    <w:rsid w:val="00935CB6"/>
    <w:rsid w:val="00935D0D"/>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88"/>
    <w:rsid w:val="009364B5"/>
    <w:rsid w:val="009364D6"/>
    <w:rsid w:val="0093661E"/>
    <w:rsid w:val="00936665"/>
    <w:rsid w:val="009366A9"/>
    <w:rsid w:val="0093670A"/>
    <w:rsid w:val="00936717"/>
    <w:rsid w:val="0093674F"/>
    <w:rsid w:val="0093677C"/>
    <w:rsid w:val="009367C6"/>
    <w:rsid w:val="00936812"/>
    <w:rsid w:val="00936820"/>
    <w:rsid w:val="0093682A"/>
    <w:rsid w:val="00936846"/>
    <w:rsid w:val="0093686E"/>
    <w:rsid w:val="00936903"/>
    <w:rsid w:val="0093695E"/>
    <w:rsid w:val="0093697C"/>
    <w:rsid w:val="009369CC"/>
    <w:rsid w:val="009369D5"/>
    <w:rsid w:val="009369EE"/>
    <w:rsid w:val="00936A4E"/>
    <w:rsid w:val="00936B5E"/>
    <w:rsid w:val="00936B8F"/>
    <w:rsid w:val="00936C44"/>
    <w:rsid w:val="00936C83"/>
    <w:rsid w:val="00936C99"/>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9EC"/>
    <w:rsid w:val="00937A34"/>
    <w:rsid w:val="00937A4A"/>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2D"/>
    <w:rsid w:val="00940445"/>
    <w:rsid w:val="0094048D"/>
    <w:rsid w:val="009404BD"/>
    <w:rsid w:val="00940509"/>
    <w:rsid w:val="0094050B"/>
    <w:rsid w:val="00940530"/>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8F2"/>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8C"/>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28"/>
    <w:rsid w:val="0094114A"/>
    <w:rsid w:val="00941160"/>
    <w:rsid w:val="0094116F"/>
    <w:rsid w:val="009411A7"/>
    <w:rsid w:val="009411A9"/>
    <w:rsid w:val="009411C7"/>
    <w:rsid w:val="0094128D"/>
    <w:rsid w:val="009412C3"/>
    <w:rsid w:val="009412C6"/>
    <w:rsid w:val="0094138D"/>
    <w:rsid w:val="0094139A"/>
    <w:rsid w:val="0094139B"/>
    <w:rsid w:val="009413EE"/>
    <w:rsid w:val="009413F1"/>
    <w:rsid w:val="0094141D"/>
    <w:rsid w:val="0094142C"/>
    <w:rsid w:val="00941438"/>
    <w:rsid w:val="0094144F"/>
    <w:rsid w:val="00941450"/>
    <w:rsid w:val="0094148E"/>
    <w:rsid w:val="009414F4"/>
    <w:rsid w:val="009414F9"/>
    <w:rsid w:val="0094152F"/>
    <w:rsid w:val="0094155E"/>
    <w:rsid w:val="00941564"/>
    <w:rsid w:val="009415B8"/>
    <w:rsid w:val="009415C7"/>
    <w:rsid w:val="009415E1"/>
    <w:rsid w:val="00941613"/>
    <w:rsid w:val="00941633"/>
    <w:rsid w:val="00941656"/>
    <w:rsid w:val="00941673"/>
    <w:rsid w:val="009416DB"/>
    <w:rsid w:val="00941779"/>
    <w:rsid w:val="00941839"/>
    <w:rsid w:val="0094187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0"/>
    <w:rsid w:val="00941B92"/>
    <w:rsid w:val="00941BA7"/>
    <w:rsid w:val="00941BCA"/>
    <w:rsid w:val="00941C16"/>
    <w:rsid w:val="00941C1C"/>
    <w:rsid w:val="00941C40"/>
    <w:rsid w:val="00941CC4"/>
    <w:rsid w:val="00941DB8"/>
    <w:rsid w:val="00941E09"/>
    <w:rsid w:val="00941E82"/>
    <w:rsid w:val="00941E87"/>
    <w:rsid w:val="00941E9F"/>
    <w:rsid w:val="00941EB1"/>
    <w:rsid w:val="00941EEF"/>
    <w:rsid w:val="00941EFC"/>
    <w:rsid w:val="00941F64"/>
    <w:rsid w:val="00941F6A"/>
    <w:rsid w:val="00941F7B"/>
    <w:rsid w:val="0094202A"/>
    <w:rsid w:val="0094205A"/>
    <w:rsid w:val="00942065"/>
    <w:rsid w:val="00942084"/>
    <w:rsid w:val="00942089"/>
    <w:rsid w:val="009420E8"/>
    <w:rsid w:val="0094212B"/>
    <w:rsid w:val="00942133"/>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DD"/>
    <w:rsid w:val="00942860"/>
    <w:rsid w:val="0094286D"/>
    <w:rsid w:val="009428B5"/>
    <w:rsid w:val="009428D6"/>
    <w:rsid w:val="009428E8"/>
    <w:rsid w:val="00942907"/>
    <w:rsid w:val="00942994"/>
    <w:rsid w:val="009429A4"/>
    <w:rsid w:val="009429C5"/>
    <w:rsid w:val="00942A51"/>
    <w:rsid w:val="00942A6C"/>
    <w:rsid w:val="00942AAA"/>
    <w:rsid w:val="00942B51"/>
    <w:rsid w:val="00942B8D"/>
    <w:rsid w:val="00942BC2"/>
    <w:rsid w:val="00942BF0"/>
    <w:rsid w:val="00942BF5"/>
    <w:rsid w:val="00942BF8"/>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81"/>
    <w:rsid w:val="00942FB7"/>
    <w:rsid w:val="0094307B"/>
    <w:rsid w:val="0094309B"/>
    <w:rsid w:val="009430D3"/>
    <w:rsid w:val="0094313D"/>
    <w:rsid w:val="0094316F"/>
    <w:rsid w:val="009431B9"/>
    <w:rsid w:val="00943200"/>
    <w:rsid w:val="00943230"/>
    <w:rsid w:val="00943256"/>
    <w:rsid w:val="009432B1"/>
    <w:rsid w:val="009432FF"/>
    <w:rsid w:val="00943347"/>
    <w:rsid w:val="0094336A"/>
    <w:rsid w:val="00943371"/>
    <w:rsid w:val="00943393"/>
    <w:rsid w:val="0094339E"/>
    <w:rsid w:val="0094345A"/>
    <w:rsid w:val="00943494"/>
    <w:rsid w:val="009434B1"/>
    <w:rsid w:val="009434E2"/>
    <w:rsid w:val="00943502"/>
    <w:rsid w:val="00943516"/>
    <w:rsid w:val="00943526"/>
    <w:rsid w:val="00943560"/>
    <w:rsid w:val="00943567"/>
    <w:rsid w:val="0094357B"/>
    <w:rsid w:val="00943594"/>
    <w:rsid w:val="0094359F"/>
    <w:rsid w:val="0094364B"/>
    <w:rsid w:val="0094364F"/>
    <w:rsid w:val="00943667"/>
    <w:rsid w:val="00943669"/>
    <w:rsid w:val="00943676"/>
    <w:rsid w:val="009436E0"/>
    <w:rsid w:val="0094372B"/>
    <w:rsid w:val="0094373C"/>
    <w:rsid w:val="00943748"/>
    <w:rsid w:val="00943774"/>
    <w:rsid w:val="009437B2"/>
    <w:rsid w:val="009437C3"/>
    <w:rsid w:val="009437D6"/>
    <w:rsid w:val="009437D9"/>
    <w:rsid w:val="009437E3"/>
    <w:rsid w:val="00943815"/>
    <w:rsid w:val="00943834"/>
    <w:rsid w:val="009438FE"/>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61"/>
    <w:rsid w:val="00943F67"/>
    <w:rsid w:val="00943F97"/>
    <w:rsid w:val="00943FBE"/>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C10"/>
    <w:rsid w:val="00944C6F"/>
    <w:rsid w:val="00944CDF"/>
    <w:rsid w:val="00944D1B"/>
    <w:rsid w:val="00944D6C"/>
    <w:rsid w:val="00944E14"/>
    <w:rsid w:val="00944E23"/>
    <w:rsid w:val="00944E59"/>
    <w:rsid w:val="00944EA7"/>
    <w:rsid w:val="00944EDF"/>
    <w:rsid w:val="00944EED"/>
    <w:rsid w:val="00944F7A"/>
    <w:rsid w:val="00944FB1"/>
    <w:rsid w:val="00944FD5"/>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B"/>
    <w:rsid w:val="00945755"/>
    <w:rsid w:val="00945773"/>
    <w:rsid w:val="00945780"/>
    <w:rsid w:val="009457B5"/>
    <w:rsid w:val="009457D4"/>
    <w:rsid w:val="009457D7"/>
    <w:rsid w:val="009457F8"/>
    <w:rsid w:val="0094580D"/>
    <w:rsid w:val="00945810"/>
    <w:rsid w:val="00945872"/>
    <w:rsid w:val="0094588F"/>
    <w:rsid w:val="009458B6"/>
    <w:rsid w:val="009458DD"/>
    <w:rsid w:val="00945924"/>
    <w:rsid w:val="00945956"/>
    <w:rsid w:val="00945973"/>
    <w:rsid w:val="0094598C"/>
    <w:rsid w:val="009459B8"/>
    <w:rsid w:val="009459C1"/>
    <w:rsid w:val="009459D5"/>
    <w:rsid w:val="00945A17"/>
    <w:rsid w:val="00945A8B"/>
    <w:rsid w:val="00945AB8"/>
    <w:rsid w:val="00945B18"/>
    <w:rsid w:val="00945B1B"/>
    <w:rsid w:val="00945B69"/>
    <w:rsid w:val="00945BA9"/>
    <w:rsid w:val="00945BAB"/>
    <w:rsid w:val="00945BF6"/>
    <w:rsid w:val="00945C8F"/>
    <w:rsid w:val="00945CB9"/>
    <w:rsid w:val="00945CC6"/>
    <w:rsid w:val="00945CDF"/>
    <w:rsid w:val="00945D01"/>
    <w:rsid w:val="00945D02"/>
    <w:rsid w:val="00945D7E"/>
    <w:rsid w:val="00945D9B"/>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5D"/>
    <w:rsid w:val="00946199"/>
    <w:rsid w:val="009461AA"/>
    <w:rsid w:val="009461D8"/>
    <w:rsid w:val="009461F4"/>
    <w:rsid w:val="009461FA"/>
    <w:rsid w:val="00946203"/>
    <w:rsid w:val="0094621D"/>
    <w:rsid w:val="00946257"/>
    <w:rsid w:val="009462A4"/>
    <w:rsid w:val="009462C5"/>
    <w:rsid w:val="00946356"/>
    <w:rsid w:val="00946396"/>
    <w:rsid w:val="00946411"/>
    <w:rsid w:val="0094641D"/>
    <w:rsid w:val="0094645A"/>
    <w:rsid w:val="00946477"/>
    <w:rsid w:val="0094651A"/>
    <w:rsid w:val="00946553"/>
    <w:rsid w:val="0094658A"/>
    <w:rsid w:val="009465EC"/>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90"/>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90"/>
    <w:rsid w:val="00946CF2"/>
    <w:rsid w:val="00946D33"/>
    <w:rsid w:val="00946DBE"/>
    <w:rsid w:val="00946DCD"/>
    <w:rsid w:val="00946DE1"/>
    <w:rsid w:val="00946DE9"/>
    <w:rsid w:val="00946DF9"/>
    <w:rsid w:val="00946E33"/>
    <w:rsid w:val="00946E87"/>
    <w:rsid w:val="00946F34"/>
    <w:rsid w:val="00946FBA"/>
    <w:rsid w:val="00946FC8"/>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2E"/>
    <w:rsid w:val="00947531"/>
    <w:rsid w:val="0094753A"/>
    <w:rsid w:val="00947541"/>
    <w:rsid w:val="0094755E"/>
    <w:rsid w:val="00947563"/>
    <w:rsid w:val="009475E7"/>
    <w:rsid w:val="00947676"/>
    <w:rsid w:val="009476B1"/>
    <w:rsid w:val="0094772C"/>
    <w:rsid w:val="0094772F"/>
    <w:rsid w:val="0094774D"/>
    <w:rsid w:val="009477D6"/>
    <w:rsid w:val="009477E2"/>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66"/>
    <w:rsid w:val="00947E7F"/>
    <w:rsid w:val="00947E9A"/>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44"/>
    <w:rsid w:val="009503D3"/>
    <w:rsid w:val="00950412"/>
    <w:rsid w:val="00950413"/>
    <w:rsid w:val="0095043A"/>
    <w:rsid w:val="00950448"/>
    <w:rsid w:val="009504CA"/>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7EC"/>
    <w:rsid w:val="00951844"/>
    <w:rsid w:val="0095186A"/>
    <w:rsid w:val="0095189B"/>
    <w:rsid w:val="009518BA"/>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3E"/>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8B"/>
    <w:rsid w:val="00952296"/>
    <w:rsid w:val="00952304"/>
    <w:rsid w:val="009523DF"/>
    <w:rsid w:val="009524BB"/>
    <w:rsid w:val="009524D9"/>
    <w:rsid w:val="009524DD"/>
    <w:rsid w:val="009524E3"/>
    <w:rsid w:val="009524FF"/>
    <w:rsid w:val="00952507"/>
    <w:rsid w:val="0095250C"/>
    <w:rsid w:val="00952516"/>
    <w:rsid w:val="0095256A"/>
    <w:rsid w:val="009525AF"/>
    <w:rsid w:val="009525CF"/>
    <w:rsid w:val="009525F2"/>
    <w:rsid w:val="009525F8"/>
    <w:rsid w:val="00952608"/>
    <w:rsid w:val="00952611"/>
    <w:rsid w:val="00952635"/>
    <w:rsid w:val="00952644"/>
    <w:rsid w:val="009526B0"/>
    <w:rsid w:val="009526D2"/>
    <w:rsid w:val="00952720"/>
    <w:rsid w:val="00952733"/>
    <w:rsid w:val="00952768"/>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CA"/>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30"/>
    <w:rsid w:val="00952F7A"/>
    <w:rsid w:val="00952F99"/>
    <w:rsid w:val="00952FAE"/>
    <w:rsid w:val="00952FCE"/>
    <w:rsid w:val="00952FEC"/>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B"/>
    <w:rsid w:val="00953D57"/>
    <w:rsid w:val="00953D6E"/>
    <w:rsid w:val="00953D8E"/>
    <w:rsid w:val="00953DC4"/>
    <w:rsid w:val="00953E84"/>
    <w:rsid w:val="00953EE1"/>
    <w:rsid w:val="00953EE3"/>
    <w:rsid w:val="00953EF7"/>
    <w:rsid w:val="00953EFE"/>
    <w:rsid w:val="00953FD9"/>
    <w:rsid w:val="00954021"/>
    <w:rsid w:val="009540FD"/>
    <w:rsid w:val="0095411A"/>
    <w:rsid w:val="00954142"/>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E8"/>
    <w:rsid w:val="0095455E"/>
    <w:rsid w:val="00954598"/>
    <w:rsid w:val="009545C8"/>
    <w:rsid w:val="009545D2"/>
    <w:rsid w:val="009545F5"/>
    <w:rsid w:val="00954677"/>
    <w:rsid w:val="009546D1"/>
    <w:rsid w:val="00954777"/>
    <w:rsid w:val="00954784"/>
    <w:rsid w:val="009547A6"/>
    <w:rsid w:val="009547EA"/>
    <w:rsid w:val="009547FC"/>
    <w:rsid w:val="00954802"/>
    <w:rsid w:val="00954812"/>
    <w:rsid w:val="00954815"/>
    <w:rsid w:val="009548A0"/>
    <w:rsid w:val="009548C2"/>
    <w:rsid w:val="00954985"/>
    <w:rsid w:val="009549B3"/>
    <w:rsid w:val="00954AA2"/>
    <w:rsid w:val="00954AE2"/>
    <w:rsid w:val="00954AFC"/>
    <w:rsid w:val="00954B79"/>
    <w:rsid w:val="00954B8A"/>
    <w:rsid w:val="00954BF8"/>
    <w:rsid w:val="00954C36"/>
    <w:rsid w:val="00954C7A"/>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E1"/>
    <w:rsid w:val="00955104"/>
    <w:rsid w:val="0095511B"/>
    <w:rsid w:val="00955131"/>
    <w:rsid w:val="00955151"/>
    <w:rsid w:val="0095519A"/>
    <w:rsid w:val="009551DB"/>
    <w:rsid w:val="009551FD"/>
    <w:rsid w:val="00955231"/>
    <w:rsid w:val="009552B2"/>
    <w:rsid w:val="009552D1"/>
    <w:rsid w:val="0095535A"/>
    <w:rsid w:val="0095537A"/>
    <w:rsid w:val="00955383"/>
    <w:rsid w:val="0095538C"/>
    <w:rsid w:val="00955394"/>
    <w:rsid w:val="009553DA"/>
    <w:rsid w:val="009554AB"/>
    <w:rsid w:val="009554E6"/>
    <w:rsid w:val="0095556B"/>
    <w:rsid w:val="0095559A"/>
    <w:rsid w:val="009555AB"/>
    <w:rsid w:val="009555C4"/>
    <w:rsid w:val="009555CF"/>
    <w:rsid w:val="00955628"/>
    <w:rsid w:val="00955655"/>
    <w:rsid w:val="0095573F"/>
    <w:rsid w:val="009557C7"/>
    <w:rsid w:val="009557D7"/>
    <w:rsid w:val="009557FE"/>
    <w:rsid w:val="00955903"/>
    <w:rsid w:val="00955967"/>
    <w:rsid w:val="009559F7"/>
    <w:rsid w:val="00955A2A"/>
    <w:rsid w:val="00955A5D"/>
    <w:rsid w:val="00955A85"/>
    <w:rsid w:val="00955AD4"/>
    <w:rsid w:val="00955B09"/>
    <w:rsid w:val="00955BC4"/>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28"/>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E1"/>
    <w:rsid w:val="00956B70"/>
    <w:rsid w:val="00956BB7"/>
    <w:rsid w:val="00956BDA"/>
    <w:rsid w:val="00956C05"/>
    <w:rsid w:val="00956C47"/>
    <w:rsid w:val="00956CB6"/>
    <w:rsid w:val="00956D25"/>
    <w:rsid w:val="00956D2B"/>
    <w:rsid w:val="00956D62"/>
    <w:rsid w:val="00956D87"/>
    <w:rsid w:val="00956DEE"/>
    <w:rsid w:val="00956E2F"/>
    <w:rsid w:val="00956EC6"/>
    <w:rsid w:val="00956F3E"/>
    <w:rsid w:val="00956F66"/>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5C"/>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1E"/>
    <w:rsid w:val="0095782E"/>
    <w:rsid w:val="00957846"/>
    <w:rsid w:val="0095784B"/>
    <w:rsid w:val="0095784D"/>
    <w:rsid w:val="00957887"/>
    <w:rsid w:val="00957898"/>
    <w:rsid w:val="009578EA"/>
    <w:rsid w:val="0095796E"/>
    <w:rsid w:val="00957976"/>
    <w:rsid w:val="00957A00"/>
    <w:rsid w:val="00957A0C"/>
    <w:rsid w:val="00957A6E"/>
    <w:rsid w:val="00957A8C"/>
    <w:rsid w:val="00957A9A"/>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067"/>
    <w:rsid w:val="00960123"/>
    <w:rsid w:val="00960125"/>
    <w:rsid w:val="00960148"/>
    <w:rsid w:val="0096015D"/>
    <w:rsid w:val="0096018F"/>
    <w:rsid w:val="009601AA"/>
    <w:rsid w:val="0096022C"/>
    <w:rsid w:val="00960239"/>
    <w:rsid w:val="0096029F"/>
    <w:rsid w:val="009602C8"/>
    <w:rsid w:val="009602E4"/>
    <w:rsid w:val="0096035D"/>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A7"/>
    <w:rsid w:val="009607E2"/>
    <w:rsid w:val="009607E8"/>
    <w:rsid w:val="009607F1"/>
    <w:rsid w:val="0096083B"/>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31"/>
    <w:rsid w:val="009610D6"/>
    <w:rsid w:val="009610EB"/>
    <w:rsid w:val="00961127"/>
    <w:rsid w:val="00961195"/>
    <w:rsid w:val="00961226"/>
    <w:rsid w:val="00961229"/>
    <w:rsid w:val="0096125E"/>
    <w:rsid w:val="00961268"/>
    <w:rsid w:val="0096127B"/>
    <w:rsid w:val="00961297"/>
    <w:rsid w:val="009612BA"/>
    <w:rsid w:val="009612F1"/>
    <w:rsid w:val="00961348"/>
    <w:rsid w:val="0096136E"/>
    <w:rsid w:val="009613A7"/>
    <w:rsid w:val="0096140F"/>
    <w:rsid w:val="0096141E"/>
    <w:rsid w:val="0096142F"/>
    <w:rsid w:val="00961434"/>
    <w:rsid w:val="0096144F"/>
    <w:rsid w:val="0096145C"/>
    <w:rsid w:val="0096145E"/>
    <w:rsid w:val="009614B0"/>
    <w:rsid w:val="00961549"/>
    <w:rsid w:val="00961555"/>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1B"/>
    <w:rsid w:val="00961C5B"/>
    <w:rsid w:val="00961C6C"/>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44"/>
    <w:rsid w:val="00961F4E"/>
    <w:rsid w:val="00961F65"/>
    <w:rsid w:val="00961FC8"/>
    <w:rsid w:val="00961FD0"/>
    <w:rsid w:val="00961FDD"/>
    <w:rsid w:val="00962016"/>
    <w:rsid w:val="00962020"/>
    <w:rsid w:val="0096207A"/>
    <w:rsid w:val="009620D2"/>
    <w:rsid w:val="0096215B"/>
    <w:rsid w:val="00962193"/>
    <w:rsid w:val="009621E6"/>
    <w:rsid w:val="00962227"/>
    <w:rsid w:val="0096222F"/>
    <w:rsid w:val="0096225A"/>
    <w:rsid w:val="009622D5"/>
    <w:rsid w:val="00962350"/>
    <w:rsid w:val="00962361"/>
    <w:rsid w:val="00962427"/>
    <w:rsid w:val="0096245C"/>
    <w:rsid w:val="0096246B"/>
    <w:rsid w:val="0096248A"/>
    <w:rsid w:val="00962516"/>
    <w:rsid w:val="0096251D"/>
    <w:rsid w:val="00962556"/>
    <w:rsid w:val="009625D6"/>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28"/>
    <w:rsid w:val="00962C88"/>
    <w:rsid w:val="00962CAA"/>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4B"/>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B5"/>
    <w:rsid w:val="00963BC7"/>
    <w:rsid w:val="00963C3B"/>
    <w:rsid w:val="00963C9C"/>
    <w:rsid w:val="00963CA2"/>
    <w:rsid w:val="00963CB7"/>
    <w:rsid w:val="00963CBD"/>
    <w:rsid w:val="00963CC5"/>
    <w:rsid w:val="00963CF4"/>
    <w:rsid w:val="00963D0F"/>
    <w:rsid w:val="00963D75"/>
    <w:rsid w:val="00963D7F"/>
    <w:rsid w:val="00963D82"/>
    <w:rsid w:val="00963DAC"/>
    <w:rsid w:val="00963DE5"/>
    <w:rsid w:val="00963E30"/>
    <w:rsid w:val="00963F68"/>
    <w:rsid w:val="00963F71"/>
    <w:rsid w:val="00963FB0"/>
    <w:rsid w:val="00963FB3"/>
    <w:rsid w:val="0096403C"/>
    <w:rsid w:val="0096416B"/>
    <w:rsid w:val="009641BC"/>
    <w:rsid w:val="009641E6"/>
    <w:rsid w:val="009641ED"/>
    <w:rsid w:val="009641EF"/>
    <w:rsid w:val="00964210"/>
    <w:rsid w:val="0096422B"/>
    <w:rsid w:val="009642C7"/>
    <w:rsid w:val="009642F1"/>
    <w:rsid w:val="009642FD"/>
    <w:rsid w:val="00964366"/>
    <w:rsid w:val="009643E7"/>
    <w:rsid w:val="00964421"/>
    <w:rsid w:val="0096443E"/>
    <w:rsid w:val="00964505"/>
    <w:rsid w:val="00964547"/>
    <w:rsid w:val="0096459F"/>
    <w:rsid w:val="009645D5"/>
    <w:rsid w:val="009645D6"/>
    <w:rsid w:val="009645E0"/>
    <w:rsid w:val="009645ED"/>
    <w:rsid w:val="00964682"/>
    <w:rsid w:val="00964690"/>
    <w:rsid w:val="00964692"/>
    <w:rsid w:val="0096471F"/>
    <w:rsid w:val="009647A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30F"/>
    <w:rsid w:val="0096536A"/>
    <w:rsid w:val="00965379"/>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9A"/>
    <w:rsid w:val="009656B5"/>
    <w:rsid w:val="009656FD"/>
    <w:rsid w:val="00965722"/>
    <w:rsid w:val="00965765"/>
    <w:rsid w:val="009657BD"/>
    <w:rsid w:val="009657C6"/>
    <w:rsid w:val="009657D8"/>
    <w:rsid w:val="009657D9"/>
    <w:rsid w:val="00965834"/>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F"/>
    <w:rsid w:val="00965C3F"/>
    <w:rsid w:val="00965C89"/>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55"/>
    <w:rsid w:val="0096619B"/>
    <w:rsid w:val="009661E2"/>
    <w:rsid w:val="009661EF"/>
    <w:rsid w:val="00966242"/>
    <w:rsid w:val="00966252"/>
    <w:rsid w:val="00966329"/>
    <w:rsid w:val="00966335"/>
    <w:rsid w:val="00966366"/>
    <w:rsid w:val="0096636C"/>
    <w:rsid w:val="0096639A"/>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52"/>
    <w:rsid w:val="0096688C"/>
    <w:rsid w:val="00966891"/>
    <w:rsid w:val="009668F2"/>
    <w:rsid w:val="0096690B"/>
    <w:rsid w:val="00966926"/>
    <w:rsid w:val="009669F1"/>
    <w:rsid w:val="009669F9"/>
    <w:rsid w:val="00966A08"/>
    <w:rsid w:val="00966A45"/>
    <w:rsid w:val="00966A8E"/>
    <w:rsid w:val="00966AD2"/>
    <w:rsid w:val="00966AE3"/>
    <w:rsid w:val="00966B90"/>
    <w:rsid w:val="00966BCD"/>
    <w:rsid w:val="00966BD0"/>
    <w:rsid w:val="00966BF5"/>
    <w:rsid w:val="00966C8D"/>
    <w:rsid w:val="00966CF7"/>
    <w:rsid w:val="00966D70"/>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71"/>
    <w:rsid w:val="00967488"/>
    <w:rsid w:val="0096748D"/>
    <w:rsid w:val="00967491"/>
    <w:rsid w:val="009674A3"/>
    <w:rsid w:val="00967510"/>
    <w:rsid w:val="0096751D"/>
    <w:rsid w:val="0096758A"/>
    <w:rsid w:val="009675F3"/>
    <w:rsid w:val="009676D5"/>
    <w:rsid w:val="00967710"/>
    <w:rsid w:val="00967752"/>
    <w:rsid w:val="009677AE"/>
    <w:rsid w:val="009677B6"/>
    <w:rsid w:val="009677EF"/>
    <w:rsid w:val="0096780D"/>
    <w:rsid w:val="0096784A"/>
    <w:rsid w:val="009678BA"/>
    <w:rsid w:val="00967906"/>
    <w:rsid w:val="0096790C"/>
    <w:rsid w:val="0096793B"/>
    <w:rsid w:val="0096794E"/>
    <w:rsid w:val="0096797F"/>
    <w:rsid w:val="00967980"/>
    <w:rsid w:val="00967A0A"/>
    <w:rsid w:val="00967ABE"/>
    <w:rsid w:val="00967AE7"/>
    <w:rsid w:val="00967B10"/>
    <w:rsid w:val="00967BEE"/>
    <w:rsid w:val="00967C1C"/>
    <w:rsid w:val="00967C2D"/>
    <w:rsid w:val="00967C3B"/>
    <w:rsid w:val="00967C3C"/>
    <w:rsid w:val="00967C6F"/>
    <w:rsid w:val="00967CFC"/>
    <w:rsid w:val="00967D4A"/>
    <w:rsid w:val="00967E1C"/>
    <w:rsid w:val="00967E53"/>
    <w:rsid w:val="00967E5D"/>
    <w:rsid w:val="00967E98"/>
    <w:rsid w:val="00967EBA"/>
    <w:rsid w:val="00967EC9"/>
    <w:rsid w:val="00967EF1"/>
    <w:rsid w:val="00967F2C"/>
    <w:rsid w:val="00967F96"/>
    <w:rsid w:val="00967FCD"/>
    <w:rsid w:val="00970061"/>
    <w:rsid w:val="00970098"/>
    <w:rsid w:val="009700CF"/>
    <w:rsid w:val="009700FD"/>
    <w:rsid w:val="009700FE"/>
    <w:rsid w:val="0097010C"/>
    <w:rsid w:val="00970161"/>
    <w:rsid w:val="00970174"/>
    <w:rsid w:val="00970186"/>
    <w:rsid w:val="00970190"/>
    <w:rsid w:val="009701D1"/>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B"/>
    <w:rsid w:val="00970685"/>
    <w:rsid w:val="0097068F"/>
    <w:rsid w:val="0097069A"/>
    <w:rsid w:val="009706C1"/>
    <w:rsid w:val="009706F0"/>
    <w:rsid w:val="00970780"/>
    <w:rsid w:val="009707D6"/>
    <w:rsid w:val="0097081C"/>
    <w:rsid w:val="00970851"/>
    <w:rsid w:val="00970877"/>
    <w:rsid w:val="00970897"/>
    <w:rsid w:val="00970919"/>
    <w:rsid w:val="00970970"/>
    <w:rsid w:val="009709DB"/>
    <w:rsid w:val="009709F1"/>
    <w:rsid w:val="00970A04"/>
    <w:rsid w:val="00970B19"/>
    <w:rsid w:val="00970B81"/>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D"/>
    <w:rsid w:val="009711D9"/>
    <w:rsid w:val="0097124E"/>
    <w:rsid w:val="0097129B"/>
    <w:rsid w:val="009712B3"/>
    <w:rsid w:val="009712D6"/>
    <w:rsid w:val="009712E3"/>
    <w:rsid w:val="00971350"/>
    <w:rsid w:val="0097135A"/>
    <w:rsid w:val="009713AA"/>
    <w:rsid w:val="009713DD"/>
    <w:rsid w:val="0097143B"/>
    <w:rsid w:val="0097145B"/>
    <w:rsid w:val="00971460"/>
    <w:rsid w:val="009714EE"/>
    <w:rsid w:val="00971549"/>
    <w:rsid w:val="00971562"/>
    <w:rsid w:val="009715AB"/>
    <w:rsid w:val="009715EB"/>
    <w:rsid w:val="00971621"/>
    <w:rsid w:val="0097167E"/>
    <w:rsid w:val="009716CC"/>
    <w:rsid w:val="009716DD"/>
    <w:rsid w:val="0097173F"/>
    <w:rsid w:val="00971749"/>
    <w:rsid w:val="00971782"/>
    <w:rsid w:val="009717EB"/>
    <w:rsid w:val="00971838"/>
    <w:rsid w:val="009718BF"/>
    <w:rsid w:val="009719E3"/>
    <w:rsid w:val="009719E7"/>
    <w:rsid w:val="009719ED"/>
    <w:rsid w:val="00971A04"/>
    <w:rsid w:val="00971A6D"/>
    <w:rsid w:val="00971AC8"/>
    <w:rsid w:val="00971AE8"/>
    <w:rsid w:val="00971B18"/>
    <w:rsid w:val="00971BAC"/>
    <w:rsid w:val="00971BB2"/>
    <w:rsid w:val="00971BB4"/>
    <w:rsid w:val="00971BE4"/>
    <w:rsid w:val="00971C1D"/>
    <w:rsid w:val="00971C24"/>
    <w:rsid w:val="00971C27"/>
    <w:rsid w:val="00971C2D"/>
    <w:rsid w:val="00971C57"/>
    <w:rsid w:val="00971CBA"/>
    <w:rsid w:val="00971D02"/>
    <w:rsid w:val="00971D86"/>
    <w:rsid w:val="00971D98"/>
    <w:rsid w:val="00971DCD"/>
    <w:rsid w:val="00971E2D"/>
    <w:rsid w:val="00971E7D"/>
    <w:rsid w:val="00971E96"/>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9E"/>
    <w:rsid w:val="009722DE"/>
    <w:rsid w:val="00972317"/>
    <w:rsid w:val="0097236B"/>
    <w:rsid w:val="00972370"/>
    <w:rsid w:val="0097237B"/>
    <w:rsid w:val="00972392"/>
    <w:rsid w:val="009723D0"/>
    <w:rsid w:val="009723E4"/>
    <w:rsid w:val="00972450"/>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73"/>
    <w:rsid w:val="00972877"/>
    <w:rsid w:val="009728EA"/>
    <w:rsid w:val="00972912"/>
    <w:rsid w:val="00972972"/>
    <w:rsid w:val="009729A7"/>
    <w:rsid w:val="009729C0"/>
    <w:rsid w:val="00972A03"/>
    <w:rsid w:val="00972A05"/>
    <w:rsid w:val="00972A24"/>
    <w:rsid w:val="00972B1C"/>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C"/>
    <w:rsid w:val="00973088"/>
    <w:rsid w:val="0097309A"/>
    <w:rsid w:val="009730E1"/>
    <w:rsid w:val="009730FC"/>
    <w:rsid w:val="00973100"/>
    <w:rsid w:val="00973130"/>
    <w:rsid w:val="0097329F"/>
    <w:rsid w:val="00973316"/>
    <w:rsid w:val="0097331B"/>
    <w:rsid w:val="009733B6"/>
    <w:rsid w:val="009733D8"/>
    <w:rsid w:val="0097342A"/>
    <w:rsid w:val="00973432"/>
    <w:rsid w:val="0097345B"/>
    <w:rsid w:val="0097345F"/>
    <w:rsid w:val="009734AE"/>
    <w:rsid w:val="009734CC"/>
    <w:rsid w:val="009734EE"/>
    <w:rsid w:val="0097350E"/>
    <w:rsid w:val="00973516"/>
    <w:rsid w:val="00973525"/>
    <w:rsid w:val="00973547"/>
    <w:rsid w:val="009735A4"/>
    <w:rsid w:val="00973602"/>
    <w:rsid w:val="00973610"/>
    <w:rsid w:val="00973617"/>
    <w:rsid w:val="0097362C"/>
    <w:rsid w:val="009736BB"/>
    <w:rsid w:val="0097376E"/>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D5"/>
    <w:rsid w:val="00974090"/>
    <w:rsid w:val="009740A6"/>
    <w:rsid w:val="009740AB"/>
    <w:rsid w:val="009740D5"/>
    <w:rsid w:val="009740EC"/>
    <w:rsid w:val="009741A7"/>
    <w:rsid w:val="009741B2"/>
    <w:rsid w:val="0097420E"/>
    <w:rsid w:val="0097422A"/>
    <w:rsid w:val="00974268"/>
    <w:rsid w:val="009742A4"/>
    <w:rsid w:val="009742DE"/>
    <w:rsid w:val="0097433C"/>
    <w:rsid w:val="009743CA"/>
    <w:rsid w:val="009743F8"/>
    <w:rsid w:val="0097440B"/>
    <w:rsid w:val="00974434"/>
    <w:rsid w:val="009744BA"/>
    <w:rsid w:val="0097453D"/>
    <w:rsid w:val="0097456B"/>
    <w:rsid w:val="0097457B"/>
    <w:rsid w:val="009745F5"/>
    <w:rsid w:val="0097460B"/>
    <w:rsid w:val="00974635"/>
    <w:rsid w:val="009746C7"/>
    <w:rsid w:val="009746C8"/>
    <w:rsid w:val="009746E5"/>
    <w:rsid w:val="009746F2"/>
    <w:rsid w:val="009746F6"/>
    <w:rsid w:val="00974755"/>
    <w:rsid w:val="0097477D"/>
    <w:rsid w:val="009747B9"/>
    <w:rsid w:val="00974815"/>
    <w:rsid w:val="00974823"/>
    <w:rsid w:val="00974839"/>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EF"/>
    <w:rsid w:val="00974AF9"/>
    <w:rsid w:val="00974B11"/>
    <w:rsid w:val="00974B85"/>
    <w:rsid w:val="00974BA8"/>
    <w:rsid w:val="00974BAF"/>
    <w:rsid w:val="00974BEA"/>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F3D"/>
    <w:rsid w:val="00974F51"/>
    <w:rsid w:val="00974F77"/>
    <w:rsid w:val="00974FE3"/>
    <w:rsid w:val="00974FE7"/>
    <w:rsid w:val="0097503D"/>
    <w:rsid w:val="00975055"/>
    <w:rsid w:val="00975068"/>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FC"/>
    <w:rsid w:val="009755B4"/>
    <w:rsid w:val="00975601"/>
    <w:rsid w:val="00975622"/>
    <w:rsid w:val="0097563B"/>
    <w:rsid w:val="0097563D"/>
    <w:rsid w:val="00975655"/>
    <w:rsid w:val="009756A9"/>
    <w:rsid w:val="009756D2"/>
    <w:rsid w:val="009756E5"/>
    <w:rsid w:val="0097572C"/>
    <w:rsid w:val="0097579A"/>
    <w:rsid w:val="009757CC"/>
    <w:rsid w:val="009757FA"/>
    <w:rsid w:val="00975817"/>
    <w:rsid w:val="00975830"/>
    <w:rsid w:val="00975846"/>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CC"/>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1E"/>
    <w:rsid w:val="00976449"/>
    <w:rsid w:val="0097649C"/>
    <w:rsid w:val="009764A0"/>
    <w:rsid w:val="009764B7"/>
    <w:rsid w:val="00976553"/>
    <w:rsid w:val="00976574"/>
    <w:rsid w:val="009765FA"/>
    <w:rsid w:val="00976657"/>
    <w:rsid w:val="0097666D"/>
    <w:rsid w:val="0097680D"/>
    <w:rsid w:val="00976821"/>
    <w:rsid w:val="00976828"/>
    <w:rsid w:val="00976858"/>
    <w:rsid w:val="00976860"/>
    <w:rsid w:val="00976861"/>
    <w:rsid w:val="00976869"/>
    <w:rsid w:val="00976884"/>
    <w:rsid w:val="0097689A"/>
    <w:rsid w:val="009768C1"/>
    <w:rsid w:val="00976924"/>
    <w:rsid w:val="00976957"/>
    <w:rsid w:val="00976959"/>
    <w:rsid w:val="00976963"/>
    <w:rsid w:val="00976995"/>
    <w:rsid w:val="00976996"/>
    <w:rsid w:val="009769AB"/>
    <w:rsid w:val="009769C1"/>
    <w:rsid w:val="009769C5"/>
    <w:rsid w:val="009769F7"/>
    <w:rsid w:val="00976A31"/>
    <w:rsid w:val="00976A66"/>
    <w:rsid w:val="00976AF3"/>
    <w:rsid w:val="00976B5F"/>
    <w:rsid w:val="00976B80"/>
    <w:rsid w:val="00976B8B"/>
    <w:rsid w:val="00976BCF"/>
    <w:rsid w:val="00976BEC"/>
    <w:rsid w:val="00976BF0"/>
    <w:rsid w:val="00976C0C"/>
    <w:rsid w:val="00976C5C"/>
    <w:rsid w:val="00976CA3"/>
    <w:rsid w:val="00976CCF"/>
    <w:rsid w:val="00976D47"/>
    <w:rsid w:val="00976D6C"/>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D3"/>
    <w:rsid w:val="009772EC"/>
    <w:rsid w:val="00977335"/>
    <w:rsid w:val="00977391"/>
    <w:rsid w:val="00977399"/>
    <w:rsid w:val="009773B7"/>
    <w:rsid w:val="0097740B"/>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7F"/>
    <w:rsid w:val="00977899"/>
    <w:rsid w:val="009778A6"/>
    <w:rsid w:val="009778BF"/>
    <w:rsid w:val="009778D4"/>
    <w:rsid w:val="009778FD"/>
    <w:rsid w:val="00977907"/>
    <w:rsid w:val="00977911"/>
    <w:rsid w:val="00977931"/>
    <w:rsid w:val="009779E0"/>
    <w:rsid w:val="00977A7B"/>
    <w:rsid w:val="00977A99"/>
    <w:rsid w:val="00977B08"/>
    <w:rsid w:val="00977B68"/>
    <w:rsid w:val="00977BC8"/>
    <w:rsid w:val="00977BF3"/>
    <w:rsid w:val="00977BFD"/>
    <w:rsid w:val="00977C0D"/>
    <w:rsid w:val="00977C13"/>
    <w:rsid w:val="00977C42"/>
    <w:rsid w:val="00977C55"/>
    <w:rsid w:val="00977C5F"/>
    <w:rsid w:val="00977C69"/>
    <w:rsid w:val="00977C84"/>
    <w:rsid w:val="00977D0F"/>
    <w:rsid w:val="00977D2A"/>
    <w:rsid w:val="00977D48"/>
    <w:rsid w:val="00977D71"/>
    <w:rsid w:val="00977DF8"/>
    <w:rsid w:val="00977E3F"/>
    <w:rsid w:val="00977EB8"/>
    <w:rsid w:val="00977F08"/>
    <w:rsid w:val="00977F11"/>
    <w:rsid w:val="00977F17"/>
    <w:rsid w:val="00977F6B"/>
    <w:rsid w:val="00980033"/>
    <w:rsid w:val="0098003A"/>
    <w:rsid w:val="00980092"/>
    <w:rsid w:val="009800AA"/>
    <w:rsid w:val="009800AE"/>
    <w:rsid w:val="009801A9"/>
    <w:rsid w:val="009801BA"/>
    <w:rsid w:val="0098024C"/>
    <w:rsid w:val="00980259"/>
    <w:rsid w:val="00980263"/>
    <w:rsid w:val="00980295"/>
    <w:rsid w:val="009802CC"/>
    <w:rsid w:val="009802D7"/>
    <w:rsid w:val="009802D9"/>
    <w:rsid w:val="009802EB"/>
    <w:rsid w:val="00980324"/>
    <w:rsid w:val="00980325"/>
    <w:rsid w:val="009803A6"/>
    <w:rsid w:val="009803F4"/>
    <w:rsid w:val="00980404"/>
    <w:rsid w:val="0098040A"/>
    <w:rsid w:val="00980469"/>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4"/>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4"/>
    <w:rsid w:val="00980C27"/>
    <w:rsid w:val="00980C30"/>
    <w:rsid w:val="00980D01"/>
    <w:rsid w:val="00980D44"/>
    <w:rsid w:val="00980D7A"/>
    <w:rsid w:val="00980DAA"/>
    <w:rsid w:val="00980DF5"/>
    <w:rsid w:val="00980E2A"/>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2F"/>
    <w:rsid w:val="0098133A"/>
    <w:rsid w:val="00981360"/>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BA"/>
    <w:rsid w:val="009819FD"/>
    <w:rsid w:val="00981A11"/>
    <w:rsid w:val="00981A21"/>
    <w:rsid w:val="00981AEA"/>
    <w:rsid w:val="00981B09"/>
    <w:rsid w:val="00981B5F"/>
    <w:rsid w:val="00981B64"/>
    <w:rsid w:val="00981BC7"/>
    <w:rsid w:val="00981C52"/>
    <w:rsid w:val="00981C8F"/>
    <w:rsid w:val="00981D12"/>
    <w:rsid w:val="00981D76"/>
    <w:rsid w:val="00981D88"/>
    <w:rsid w:val="00981DAF"/>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A"/>
    <w:rsid w:val="0098299C"/>
    <w:rsid w:val="009829F9"/>
    <w:rsid w:val="00982A3E"/>
    <w:rsid w:val="00982A82"/>
    <w:rsid w:val="00982AC9"/>
    <w:rsid w:val="00982AFB"/>
    <w:rsid w:val="00982B08"/>
    <w:rsid w:val="00982B19"/>
    <w:rsid w:val="00982B1C"/>
    <w:rsid w:val="00982B21"/>
    <w:rsid w:val="00982B3F"/>
    <w:rsid w:val="00982B77"/>
    <w:rsid w:val="00982BE6"/>
    <w:rsid w:val="00982C89"/>
    <w:rsid w:val="00982C8E"/>
    <w:rsid w:val="00982C9C"/>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C0"/>
    <w:rsid w:val="009834EF"/>
    <w:rsid w:val="0098351C"/>
    <w:rsid w:val="0098352D"/>
    <w:rsid w:val="00983574"/>
    <w:rsid w:val="00983607"/>
    <w:rsid w:val="0098360C"/>
    <w:rsid w:val="00983631"/>
    <w:rsid w:val="00983670"/>
    <w:rsid w:val="00983694"/>
    <w:rsid w:val="0098370A"/>
    <w:rsid w:val="00983779"/>
    <w:rsid w:val="0098378C"/>
    <w:rsid w:val="00983837"/>
    <w:rsid w:val="009838E1"/>
    <w:rsid w:val="009838E4"/>
    <w:rsid w:val="009838FE"/>
    <w:rsid w:val="00983918"/>
    <w:rsid w:val="00983981"/>
    <w:rsid w:val="00983993"/>
    <w:rsid w:val="00983995"/>
    <w:rsid w:val="00983996"/>
    <w:rsid w:val="009839E4"/>
    <w:rsid w:val="009839F6"/>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1"/>
    <w:rsid w:val="00983E63"/>
    <w:rsid w:val="00983EA6"/>
    <w:rsid w:val="00983F0E"/>
    <w:rsid w:val="00983F4A"/>
    <w:rsid w:val="00983F99"/>
    <w:rsid w:val="00983FA2"/>
    <w:rsid w:val="00984007"/>
    <w:rsid w:val="00984015"/>
    <w:rsid w:val="009840A7"/>
    <w:rsid w:val="009840C1"/>
    <w:rsid w:val="009840E4"/>
    <w:rsid w:val="009840E9"/>
    <w:rsid w:val="009840EE"/>
    <w:rsid w:val="0098418B"/>
    <w:rsid w:val="009841DD"/>
    <w:rsid w:val="009841EF"/>
    <w:rsid w:val="00984204"/>
    <w:rsid w:val="00984264"/>
    <w:rsid w:val="00984287"/>
    <w:rsid w:val="009842CA"/>
    <w:rsid w:val="009842E9"/>
    <w:rsid w:val="0098432A"/>
    <w:rsid w:val="0098437E"/>
    <w:rsid w:val="00984390"/>
    <w:rsid w:val="009843DC"/>
    <w:rsid w:val="009843EA"/>
    <w:rsid w:val="009843EF"/>
    <w:rsid w:val="00984481"/>
    <w:rsid w:val="00984489"/>
    <w:rsid w:val="009844B1"/>
    <w:rsid w:val="00984530"/>
    <w:rsid w:val="00984543"/>
    <w:rsid w:val="00984556"/>
    <w:rsid w:val="00984580"/>
    <w:rsid w:val="009845BF"/>
    <w:rsid w:val="009845C6"/>
    <w:rsid w:val="009845FF"/>
    <w:rsid w:val="00984604"/>
    <w:rsid w:val="00984636"/>
    <w:rsid w:val="0098466F"/>
    <w:rsid w:val="009846BF"/>
    <w:rsid w:val="0098470A"/>
    <w:rsid w:val="0098470F"/>
    <w:rsid w:val="00984728"/>
    <w:rsid w:val="00984744"/>
    <w:rsid w:val="00984791"/>
    <w:rsid w:val="009847AE"/>
    <w:rsid w:val="009847B3"/>
    <w:rsid w:val="009847DE"/>
    <w:rsid w:val="009847FB"/>
    <w:rsid w:val="0098485D"/>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B9"/>
    <w:rsid w:val="00984DD3"/>
    <w:rsid w:val="00984E7F"/>
    <w:rsid w:val="00984EA5"/>
    <w:rsid w:val="00984EED"/>
    <w:rsid w:val="00984F11"/>
    <w:rsid w:val="00984FA1"/>
    <w:rsid w:val="00984FF5"/>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2F1"/>
    <w:rsid w:val="00985388"/>
    <w:rsid w:val="00985438"/>
    <w:rsid w:val="0098551C"/>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D"/>
    <w:rsid w:val="00985A03"/>
    <w:rsid w:val="00985A27"/>
    <w:rsid w:val="00985A40"/>
    <w:rsid w:val="00985A71"/>
    <w:rsid w:val="00985AF2"/>
    <w:rsid w:val="00985B06"/>
    <w:rsid w:val="00985B20"/>
    <w:rsid w:val="00985B7D"/>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54"/>
    <w:rsid w:val="00985E6F"/>
    <w:rsid w:val="00985EBA"/>
    <w:rsid w:val="00985ED6"/>
    <w:rsid w:val="00985EF2"/>
    <w:rsid w:val="00985F03"/>
    <w:rsid w:val="00985F07"/>
    <w:rsid w:val="00985F19"/>
    <w:rsid w:val="00985F27"/>
    <w:rsid w:val="00985FB2"/>
    <w:rsid w:val="00985FC8"/>
    <w:rsid w:val="00985FF2"/>
    <w:rsid w:val="0098609B"/>
    <w:rsid w:val="009860BC"/>
    <w:rsid w:val="009860CF"/>
    <w:rsid w:val="009860D1"/>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D4"/>
    <w:rsid w:val="009865F9"/>
    <w:rsid w:val="00986604"/>
    <w:rsid w:val="00986634"/>
    <w:rsid w:val="009866A7"/>
    <w:rsid w:val="009866AA"/>
    <w:rsid w:val="009866B4"/>
    <w:rsid w:val="009866C2"/>
    <w:rsid w:val="009866E9"/>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95"/>
    <w:rsid w:val="00986CA2"/>
    <w:rsid w:val="00986CAB"/>
    <w:rsid w:val="00986CC1"/>
    <w:rsid w:val="00986CC9"/>
    <w:rsid w:val="00986CCC"/>
    <w:rsid w:val="00986CCE"/>
    <w:rsid w:val="00986CE4"/>
    <w:rsid w:val="00986D10"/>
    <w:rsid w:val="00986D6C"/>
    <w:rsid w:val="00986D9C"/>
    <w:rsid w:val="00986DAD"/>
    <w:rsid w:val="00986DCE"/>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400"/>
    <w:rsid w:val="0098743B"/>
    <w:rsid w:val="00987446"/>
    <w:rsid w:val="00987472"/>
    <w:rsid w:val="009874C0"/>
    <w:rsid w:val="009874C7"/>
    <w:rsid w:val="009874CA"/>
    <w:rsid w:val="009874E5"/>
    <w:rsid w:val="00987500"/>
    <w:rsid w:val="00987505"/>
    <w:rsid w:val="0098751E"/>
    <w:rsid w:val="00987546"/>
    <w:rsid w:val="00987550"/>
    <w:rsid w:val="009875D0"/>
    <w:rsid w:val="009875D2"/>
    <w:rsid w:val="009875DC"/>
    <w:rsid w:val="009875E1"/>
    <w:rsid w:val="009875FB"/>
    <w:rsid w:val="00987697"/>
    <w:rsid w:val="009876A6"/>
    <w:rsid w:val="009876BD"/>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D5"/>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60"/>
    <w:rsid w:val="00990197"/>
    <w:rsid w:val="009901DB"/>
    <w:rsid w:val="009901F8"/>
    <w:rsid w:val="00990218"/>
    <w:rsid w:val="00990229"/>
    <w:rsid w:val="0099023C"/>
    <w:rsid w:val="0099025D"/>
    <w:rsid w:val="009902BA"/>
    <w:rsid w:val="00990301"/>
    <w:rsid w:val="0099030F"/>
    <w:rsid w:val="00990312"/>
    <w:rsid w:val="00990318"/>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22"/>
    <w:rsid w:val="00990924"/>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5"/>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D"/>
    <w:rsid w:val="009910FE"/>
    <w:rsid w:val="00991157"/>
    <w:rsid w:val="009911A5"/>
    <w:rsid w:val="009911B3"/>
    <w:rsid w:val="00991200"/>
    <w:rsid w:val="00991210"/>
    <w:rsid w:val="00991220"/>
    <w:rsid w:val="0099125D"/>
    <w:rsid w:val="00991272"/>
    <w:rsid w:val="009912A1"/>
    <w:rsid w:val="009912AF"/>
    <w:rsid w:val="00991329"/>
    <w:rsid w:val="00991366"/>
    <w:rsid w:val="00991373"/>
    <w:rsid w:val="0099138F"/>
    <w:rsid w:val="00991390"/>
    <w:rsid w:val="009913A3"/>
    <w:rsid w:val="009913D9"/>
    <w:rsid w:val="009913E2"/>
    <w:rsid w:val="00991415"/>
    <w:rsid w:val="00991437"/>
    <w:rsid w:val="00991439"/>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BB"/>
    <w:rsid w:val="009917CF"/>
    <w:rsid w:val="009917D5"/>
    <w:rsid w:val="009917DB"/>
    <w:rsid w:val="00991828"/>
    <w:rsid w:val="0099182E"/>
    <w:rsid w:val="00991867"/>
    <w:rsid w:val="0099189F"/>
    <w:rsid w:val="009918DE"/>
    <w:rsid w:val="00991994"/>
    <w:rsid w:val="00991A43"/>
    <w:rsid w:val="00991A44"/>
    <w:rsid w:val="00991A6A"/>
    <w:rsid w:val="00991AB5"/>
    <w:rsid w:val="00991ACA"/>
    <w:rsid w:val="00991B08"/>
    <w:rsid w:val="00991B13"/>
    <w:rsid w:val="00991B43"/>
    <w:rsid w:val="00991B71"/>
    <w:rsid w:val="00991BA1"/>
    <w:rsid w:val="00991C16"/>
    <w:rsid w:val="00991CA0"/>
    <w:rsid w:val="00991CEB"/>
    <w:rsid w:val="00991D30"/>
    <w:rsid w:val="00991DCE"/>
    <w:rsid w:val="00991E20"/>
    <w:rsid w:val="00991E4D"/>
    <w:rsid w:val="00991E66"/>
    <w:rsid w:val="00991EA0"/>
    <w:rsid w:val="00991EAC"/>
    <w:rsid w:val="00991EF3"/>
    <w:rsid w:val="00991F10"/>
    <w:rsid w:val="00991F3A"/>
    <w:rsid w:val="00991F6F"/>
    <w:rsid w:val="00991F99"/>
    <w:rsid w:val="00991FC8"/>
    <w:rsid w:val="0099200B"/>
    <w:rsid w:val="00992017"/>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9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A"/>
    <w:rsid w:val="00992F34"/>
    <w:rsid w:val="00992F78"/>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0D"/>
    <w:rsid w:val="00993514"/>
    <w:rsid w:val="0099351B"/>
    <w:rsid w:val="0099358A"/>
    <w:rsid w:val="0099360B"/>
    <w:rsid w:val="00993652"/>
    <w:rsid w:val="009936B5"/>
    <w:rsid w:val="0099370C"/>
    <w:rsid w:val="00993719"/>
    <w:rsid w:val="00993780"/>
    <w:rsid w:val="009937AA"/>
    <w:rsid w:val="009937C5"/>
    <w:rsid w:val="009937CD"/>
    <w:rsid w:val="0099381E"/>
    <w:rsid w:val="0099382F"/>
    <w:rsid w:val="0099384E"/>
    <w:rsid w:val="009938FB"/>
    <w:rsid w:val="0099391D"/>
    <w:rsid w:val="009939A5"/>
    <w:rsid w:val="009939AA"/>
    <w:rsid w:val="00993A15"/>
    <w:rsid w:val="00993A36"/>
    <w:rsid w:val="00993A71"/>
    <w:rsid w:val="00993A88"/>
    <w:rsid w:val="00993B26"/>
    <w:rsid w:val="00993B35"/>
    <w:rsid w:val="00993B58"/>
    <w:rsid w:val="00993BC1"/>
    <w:rsid w:val="00993C0C"/>
    <w:rsid w:val="00993C30"/>
    <w:rsid w:val="00993C5F"/>
    <w:rsid w:val="00993C66"/>
    <w:rsid w:val="00993CC9"/>
    <w:rsid w:val="00993CCF"/>
    <w:rsid w:val="00993D7F"/>
    <w:rsid w:val="00993E20"/>
    <w:rsid w:val="00993E60"/>
    <w:rsid w:val="00993E75"/>
    <w:rsid w:val="00993F59"/>
    <w:rsid w:val="00993F65"/>
    <w:rsid w:val="00993F9A"/>
    <w:rsid w:val="00993FCC"/>
    <w:rsid w:val="0099400E"/>
    <w:rsid w:val="0099402C"/>
    <w:rsid w:val="00994091"/>
    <w:rsid w:val="00994099"/>
    <w:rsid w:val="009940CA"/>
    <w:rsid w:val="009940D2"/>
    <w:rsid w:val="00994151"/>
    <w:rsid w:val="00994177"/>
    <w:rsid w:val="0099419B"/>
    <w:rsid w:val="009941E4"/>
    <w:rsid w:val="0099420C"/>
    <w:rsid w:val="00994216"/>
    <w:rsid w:val="00994221"/>
    <w:rsid w:val="00994271"/>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C"/>
    <w:rsid w:val="009945DF"/>
    <w:rsid w:val="009945F2"/>
    <w:rsid w:val="00994656"/>
    <w:rsid w:val="00994672"/>
    <w:rsid w:val="009946A5"/>
    <w:rsid w:val="009946A6"/>
    <w:rsid w:val="009946A9"/>
    <w:rsid w:val="00994722"/>
    <w:rsid w:val="0099474A"/>
    <w:rsid w:val="00994756"/>
    <w:rsid w:val="00994792"/>
    <w:rsid w:val="009947C2"/>
    <w:rsid w:val="009947D3"/>
    <w:rsid w:val="009948C9"/>
    <w:rsid w:val="009948FF"/>
    <w:rsid w:val="00994900"/>
    <w:rsid w:val="00994936"/>
    <w:rsid w:val="00994995"/>
    <w:rsid w:val="0099499A"/>
    <w:rsid w:val="00994A70"/>
    <w:rsid w:val="00994A76"/>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8"/>
    <w:rsid w:val="009950EF"/>
    <w:rsid w:val="0099510E"/>
    <w:rsid w:val="0099511C"/>
    <w:rsid w:val="00995142"/>
    <w:rsid w:val="009952EB"/>
    <w:rsid w:val="0099533C"/>
    <w:rsid w:val="00995345"/>
    <w:rsid w:val="0099535B"/>
    <w:rsid w:val="00995368"/>
    <w:rsid w:val="009953B6"/>
    <w:rsid w:val="009953D4"/>
    <w:rsid w:val="009953D6"/>
    <w:rsid w:val="009953DF"/>
    <w:rsid w:val="00995427"/>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91"/>
    <w:rsid w:val="00995FA3"/>
    <w:rsid w:val="00995FB3"/>
    <w:rsid w:val="00995FC3"/>
    <w:rsid w:val="00995FF1"/>
    <w:rsid w:val="00996021"/>
    <w:rsid w:val="0099602E"/>
    <w:rsid w:val="0099605E"/>
    <w:rsid w:val="00996127"/>
    <w:rsid w:val="00996185"/>
    <w:rsid w:val="00996191"/>
    <w:rsid w:val="009961D3"/>
    <w:rsid w:val="00996221"/>
    <w:rsid w:val="00996247"/>
    <w:rsid w:val="0099627B"/>
    <w:rsid w:val="0099630A"/>
    <w:rsid w:val="0099630C"/>
    <w:rsid w:val="00996310"/>
    <w:rsid w:val="00996350"/>
    <w:rsid w:val="00996369"/>
    <w:rsid w:val="0099637F"/>
    <w:rsid w:val="009963A8"/>
    <w:rsid w:val="00996446"/>
    <w:rsid w:val="00996465"/>
    <w:rsid w:val="009964DF"/>
    <w:rsid w:val="009964E9"/>
    <w:rsid w:val="009964F6"/>
    <w:rsid w:val="00996536"/>
    <w:rsid w:val="00996566"/>
    <w:rsid w:val="00996589"/>
    <w:rsid w:val="009965BD"/>
    <w:rsid w:val="009965D3"/>
    <w:rsid w:val="009966AA"/>
    <w:rsid w:val="009966C6"/>
    <w:rsid w:val="009966C8"/>
    <w:rsid w:val="0099671B"/>
    <w:rsid w:val="00996759"/>
    <w:rsid w:val="009967F8"/>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72"/>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F0"/>
    <w:rsid w:val="00996F25"/>
    <w:rsid w:val="00996F7C"/>
    <w:rsid w:val="00996FB7"/>
    <w:rsid w:val="00996FC1"/>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1"/>
    <w:rsid w:val="0099798E"/>
    <w:rsid w:val="009979EE"/>
    <w:rsid w:val="00997A39"/>
    <w:rsid w:val="00997A41"/>
    <w:rsid w:val="00997A55"/>
    <w:rsid w:val="00997A84"/>
    <w:rsid w:val="00997B12"/>
    <w:rsid w:val="00997B29"/>
    <w:rsid w:val="00997B58"/>
    <w:rsid w:val="00997C93"/>
    <w:rsid w:val="00997C95"/>
    <w:rsid w:val="00997CD0"/>
    <w:rsid w:val="00997CE6"/>
    <w:rsid w:val="00997D09"/>
    <w:rsid w:val="00997D17"/>
    <w:rsid w:val="00997DF1"/>
    <w:rsid w:val="00997E76"/>
    <w:rsid w:val="00997ECC"/>
    <w:rsid w:val="00997F05"/>
    <w:rsid w:val="00997F4D"/>
    <w:rsid w:val="00997F4E"/>
    <w:rsid w:val="00997F5A"/>
    <w:rsid w:val="00997F66"/>
    <w:rsid w:val="00997FD8"/>
    <w:rsid w:val="009A0002"/>
    <w:rsid w:val="009A0007"/>
    <w:rsid w:val="009A005E"/>
    <w:rsid w:val="009A0070"/>
    <w:rsid w:val="009A0075"/>
    <w:rsid w:val="009A0087"/>
    <w:rsid w:val="009A009E"/>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4F9"/>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21"/>
    <w:rsid w:val="009A0950"/>
    <w:rsid w:val="009A0961"/>
    <w:rsid w:val="009A0978"/>
    <w:rsid w:val="009A09EE"/>
    <w:rsid w:val="009A09FD"/>
    <w:rsid w:val="009A0A54"/>
    <w:rsid w:val="009A0A7A"/>
    <w:rsid w:val="009A0A9A"/>
    <w:rsid w:val="009A0ABF"/>
    <w:rsid w:val="009A0AD1"/>
    <w:rsid w:val="009A0B3C"/>
    <w:rsid w:val="009A0B48"/>
    <w:rsid w:val="009A0B97"/>
    <w:rsid w:val="009A0BD5"/>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5BD"/>
    <w:rsid w:val="009A1621"/>
    <w:rsid w:val="009A1656"/>
    <w:rsid w:val="009A16A4"/>
    <w:rsid w:val="009A16B8"/>
    <w:rsid w:val="009A16F2"/>
    <w:rsid w:val="009A176B"/>
    <w:rsid w:val="009A17D0"/>
    <w:rsid w:val="009A17FD"/>
    <w:rsid w:val="009A1836"/>
    <w:rsid w:val="009A1889"/>
    <w:rsid w:val="009A18C1"/>
    <w:rsid w:val="009A18EB"/>
    <w:rsid w:val="009A192B"/>
    <w:rsid w:val="009A19CA"/>
    <w:rsid w:val="009A19F0"/>
    <w:rsid w:val="009A1B0E"/>
    <w:rsid w:val="009A1BBE"/>
    <w:rsid w:val="009A1BD1"/>
    <w:rsid w:val="009A1C2C"/>
    <w:rsid w:val="009A1CAB"/>
    <w:rsid w:val="009A1CB0"/>
    <w:rsid w:val="009A1CC8"/>
    <w:rsid w:val="009A1CCF"/>
    <w:rsid w:val="009A1D35"/>
    <w:rsid w:val="009A1D80"/>
    <w:rsid w:val="009A1DCF"/>
    <w:rsid w:val="009A1DD2"/>
    <w:rsid w:val="009A1E65"/>
    <w:rsid w:val="009A1E79"/>
    <w:rsid w:val="009A1E7F"/>
    <w:rsid w:val="009A1EB4"/>
    <w:rsid w:val="009A1ED1"/>
    <w:rsid w:val="009A1F1F"/>
    <w:rsid w:val="009A1F29"/>
    <w:rsid w:val="009A1F5D"/>
    <w:rsid w:val="009A204A"/>
    <w:rsid w:val="009A204B"/>
    <w:rsid w:val="009A20BC"/>
    <w:rsid w:val="009A20C8"/>
    <w:rsid w:val="009A20CC"/>
    <w:rsid w:val="009A20E7"/>
    <w:rsid w:val="009A2127"/>
    <w:rsid w:val="009A2175"/>
    <w:rsid w:val="009A21BE"/>
    <w:rsid w:val="009A2203"/>
    <w:rsid w:val="009A222D"/>
    <w:rsid w:val="009A2233"/>
    <w:rsid w:val="009A2251"/>
    <w:rsid w:val="009A2291"/>
    <w:rsid w:val="009A22A1"/>
    <w:rsid w:val="009A22E8"/>
    <w:rsid w:val="009A234B"/>
    <w:rsid w:val="009A2377"/>
    <w:rsid w:val="009A238C"/>
    <w:rsid w:val="009A2398"/>
    <w:rsid w:val="009A23A5"/>
    <w:rsid w:val="009A23C6"/>
    <w:rsid w:val="009A2465"/>
    <w:rsid w:val="009A2468"/>
    <w:rsid w:val="009A25A6"/>
    <w:rsid w:val="009A25A7"/>
    <w:rsid w:val="009A25BD"/>
    <w:rsid w:val="009A25CB"/>
    <w:rsid w:val="009A2605"/>
    <w:rsid w:val="009A2615"/>
    <w:rsid w:val="009A2638"/>
    <w:rsid w:val="009A2641"/>
    <w:rsid w:val="009A264C"/>
    <w:rsid w:val="009A2664"/>
    <w:rsid w:val="009A26D2"/>
    <w:rsid w:val="009A26D7"/>
    <w:rsid w:val="009A26EE"/>
    <w:rsid w:val="009A2750"/>
    <w:rsid w:val="009A2767"/>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2C"/>
    <w:rsid w:val="009A2B32"/>
    <w:rsid w:val="009A2B55"/>
    <w:rsid w:val="009A2B5E"/>
    <w:rsid w:val="009A2BD4"/>
    <w:rsid w:val="009A2C26"/>
    <w:rsid w:val="009A2C37"/>
    <w:rsid w:val="009A2C41"/>
    <w:rsid w:val="009A2C62"/>
    <w:rsid w:val="009A2C7E"/>
    <w:rsid w:val="009A2C98"/>
    <w:rsid w:val="009A2CF8"/>
    <w:rsid w:val="009A2D0F"/>
    <w:rsid w:val="009A2D70"/>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4C"/>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5B"/>
    <w:rsid w:val="009A3777"/>
    <w:rsid w:val="009A379E"/>
    <w:rsid w:val="009A3804"/>
    <w:rsid w:val="009A380E"/>
    <w:rsid w:val="009A3889"/>
    <w:rsid w:val="009A38A6"/>
    <w:rsid w:val="009A3962"/>
    <w:rsid w:val="009A3970"/>
    <w:rsid w:val="009A3975"/>
    <w:rsid w:val="009A39DE"/>
    <w:rsid w:val="009A39DF"/>
    <w:rsid w:val="009A3A21"/>
    <w:rsid w:val="009A3A40"/>
    <w:rsid w:val="009A3A5E"/>
    <w:rsid w:val="009A3A67"/>
    <w:rsid w:val="009A3AB8"/>
    <w:rsid w:val="009A3AFA"/>
    <w:rsid w:val="009A3B03"/>
    <w:rsid w:val="009A3B10"/>
    <w:rsid w:val="009A3B1A"/>
    <w:rsid w:val="009A3B43"/>
    <w:rsid w:val="009A3BAA"/>
    <w:rsid w:val="009A3BB6"/>
    <w:rsid w:val="009A3C10"/>
    <w:rsid w:val="009A3C6D"/>
    <w:rsid w:val="009A3CAA"/>
    <w:rsid w:val="009A3D0D"/>
    <w:rsid w:val="009A3D55"/>
    <w:rsid w:val="009A3D7D"/>
    <w:rsid w:val="009A3D9D"/>
    <w:rsid w:val="009A3D9E"/>
    <w:rsid w:val="009A3DDF"/>
    <w:rsid w:val="009A3E18"/>
    <w:rsid w:val="009A3ECE"/>
    <w:rsid w:val="009A3EF0"/>
    <w:rsid w:val="009A3F15"/>
    <w:rsid w:val="009A3FC4"/>
    <w:rsid w:val="009A4038"/>
    <w:rsid w:val="009A4052"/>
    <w:rsid w:val="009A4078"/>
    <w:rsid w:val="009A4080"/>
    <w:rsid w:val="009A408C"/>
    <w:rsid w:val="009A40AB"/>
    <w:rsid w:val="009A40AE"/>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86"/>
    <w:rsid w:val="009A44B7"/>
    <w:rsid w:val="009A44D3"/>
    <w:rsid w:val="009A44DB"/>
    <w:rsid w:val="009A4527"/>
    <w:rsid w:val="009A456D"/>
    <w:rsid w:val="009A45AC"/>
    <w:rsid w:val="009A4617"/>
    <w:rsid w:val="009A467A"/>
    <w:rsid w:val="009A4699"/>
    <w:rsid w:val="009A46B0"/>
    <w:rsid w:val="009A4723"/>
    <w:rsid w:val="009A473D"/>
    <w:rsid w:val="009A479D"/>
    <w:rsid w:val="009A47A5"/>
    <w:rsid w:val="009A47EB"/>
    <w:rsid w:val="009A4800"/>
    <w:rsid w:val="009A4838"/>
    <w:rsid w:val="009A4903"/>
    <w:rsid w:val="009A490A"/>
    <w:rsid w:val="009A4945"/>
    <w:rsid w:val="009A497C"/>
    <w:rsid w:val="009A49BC"/>
    <w:rsid w:val="009A49C3"/>
    <w:rsid w:val="009A49F8"/>
    <w:rsid w:val="009A4A24"/>
    <w:rsid w:val="009A4A26"/>
    <w:rsid w:val="009A4A6A"/>
    <w:rsid w:val="009A4ACF"/>
    <w:rsid w:val="009A4ADE"/>
    <w:rsid w:val="009A4AF5"/>
    <w:rsid w:val="009A4B11"/>
    <w:rsid w:val="009A4B16"/>
    <w:rsid w:val="009A4B36"/>
    <w:rsid w:val="009A4B42"/>
    <w:rsid w:val="009A4B4D"/>
    <w:rsid w:val="009A4B77"/>
    <w:rsid w:val="009A4B8A"/>
    <w:rsid w:val="009A4B93"/>
    <w:rsid w:val="009A4B98"/>
    <w:rsid w:val="009A4BA0"/>
    <w:rsid w:val="009A4C2E"/>
    <w:rsid w:val="009A4C4A"/>
    <w:rsid w:val="009A4CBC"/>
    <w:rsid w:val="009A4CF6"/>
    <w:rsid w:val="009A4DC9"/>
    <w:rsid w:val="009A4DE2"/>
    <w:rsid w:val="009A4DF0"/>
    <w:rsid w:val="009A4E18"/>
    <w:rsid w:val="009A4E65"/>
    <w:rsid w:val="009A4E79"/>
    <w:rsid w:val="009A4EA4"/>
    <w:rsid w:val="009A4EAB"/>
    <w:rsid w:val="009A4ED5"/>
    <w:rsid w:val="009A4EE9"/>
    <w:rsid w:val="009A4F45"/>
    <w:rsid w:val="009A4F52"/>
    <w:rsid w:val="009A4F77"/>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8FF"/>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8A"/>
    <w:rsid w:val="009A5CEE"/>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8C"/>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AB9"/>
    <w:rsid w:val="009A6AC1"/>
    <w:rsid w:val="009A6ADE"/>
    <w:rsid w:val="009A6B0C"/>
    <w:rsid w:val="009A6BC2"/>
    <w:rsid w:val="009A6BCD"/>
    <w:rsid w:val="009A6C27"/>
    <w:rsid w:val="009A6C30"/>
    <w:rsid w:val="009A6C6C"/>
    <w:rsid w:val="009A6C89"/>
    <w:rsid w:val="009A6CC6"/>
    <w:rsid w:val="009A6D01"/>
    <w:rsid w:val="009A6D0B"/>
    <w:rsid w:val="009A6D68"/>
    <w:rsid w:val="009A6D6B"/>
    <w:rsid w:val="009A6D9C"/>
    <w:rsid w:val="009A6E15"/>
    <w:rsid w:val="009A6EA7"/>
    <w:rsid w:val="009A6EAF"/>
    <w:rsid w:val="009A6EE6"/>
    <w:rsid w:val="009A6EF9"/>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CE"/>
    <w:rsid w:val="009A72E3"/>
    <w:rsid w:val="009A72FA"/>
    <w:rsid w:val="009A7328"/>
    <w:rsid w:val="009A738E"/>
    <w:rsid w:val="009A73BF"/>
    <w:rsid w:val="009A73F3"/>
    <w:rsid w:val="009A741A"/>
    <w:rsid w:val="009A748F"/>
    <w:rsid w:val="009A7496"/>
    <w:rsid w:val="009A751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83"/>
    <w:rsid w:val="009B02BC"/>
    <w:rsid w:val="009B02F2"/>
    <w:rsid w:val="009B02FF"/>
    <w:rsid w:val="009B0324"/>
    <w:rsid w:val="009B0329"/>
    <w:rsid w:val="009B0384"/>
    <w:rsid w:val="009B0386"/>
    <w:rsid w:val="009B0393"/>
    <w:rsid w:val="009B03CB"/>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E1"/>
    <w:rsid w:val="009B09F1"/>
    <w:rsid w:val="009B0A2D"/>
    <w:rsid w:val="009B0AAD"/>
    <w:rsid w:val="009B0B75"/>
    <w:rsid w:val="009B0B8A"/>
    <w:rsid w:val="009B0BCD"/>
    <w:rsid w:val="009B0C03"/>
    <w:rsid w:val="009B0C41"/>
    <w:rsid w:val="009B0C51"/>
    <w:rsid w:val="009B0C66"/>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9F"/>
    <w:rsid w:val="009B12A5"/>
    <w:rsid w:val="009B1314"/>
    <w:rsid w:val="009B131D"/>
    <w:rsid w:val="009B1336"/>
    <w:rsid w:val="009B133A"/>
    <w:rsid w:val="009B136A"/>
    <w:rsid w:val="009B13A1"/>
    <w:rsid w:val="009B1417"/>
    <w:rsid w:val="009B1432"/>
    <w:rsid w:val="009B14FA"/>
    <w:rsid w:val="009B151A"/>
    <w:rsid w:val="009B1561"/>
    <w:rsid w:val="009B1565"/>
    <w:rsid w:val="009B156E"/>
    <w:rsid w:val="009B15F8"/>
    <w:rsid w:val="009B169E"/>
    <w:rsid w:val="009B16D3"/>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C6"/>
    <w:rsid w:val="009B1ECB"/>
    <w:rsid w:val="009B1EE3"/>
    <w:rsid w:val="009B1F02"/>
    <w:rsid w:val="009B1FB6"/>
    <w:rsid w:val="009B1FF5"/>
    <w:rsid w:val="009B209C"/>
    <w:rsid w:val="009B20A4"/>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99"/>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72"/>
    <w:rsid w:val="009B2B8F"/>
    <w:rsid w:val="009B2BB3"/>
    <w:rsid w:val="009B2BE5"/>
    <w:rsid w:val="009B2C0F"/>
    <w:rsid w:val="009B2C32"/>
    <w:rsid w:val="009B2C80"/>
    <w:rsid w:val="009B2CA8"/>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7"/>
    <w:rsid w:val="009B35DA"/>
    <w:rsid w:val="009B35E8"/>
    <w:rsid w:val="009B35F3"/>
    <w:rsid w:val="009B3600"/>
    <w:rsid w:val="009B361E"/>
    <w:rsid w:val="009B36B5"/>
    <w:rsid w:val="009B36C4"/>
    <w:rsid w:val="009B36D6"/>
    <w:rsid w:val="009B36D7"/>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2F"/>
    <w:rsid w:val="009B4533"/>
    <w:rsid w:val="009B4541"/>
    <w:rsid w:val="009B4577"/>
    <w:rsid w:val="009B4594"/>
    <w:rsid w:val="009B45AB"/>
    <w:rsid w:val="009B4655"/>
    <w:rsid w:val="009B4660"/>
    <w:rsid w:val="009B470D"/>
    <w:rsid w:val="009B471E"/>
    <w:rsid w:val="009B4756"/>
    <w:rsid w:val="009B479F"/>
    <w:rsid w:val="009B4809"/>
    <w:rsid w:val="009B4877"/>
    <w:rsid w:val="009B4882"/>
    <w:rsid w:val="009B48AC"/>
    <w:rsid w:val="009B48E8"/>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BE"/>
    <w:rsid w:val="009B4CED"/>
    <w:rsid w:val="009B4CFB"/>
    <w:rsid w:val="009B4D2A"/>
    <w:rsid w:val="009B4D8E"/>
    <w:rsid w:val="009B4DA5"/>
    <w:rsid w:val="009B4DEC"/>
    <w:rsid w:val="009B4E48"/>
    <w:rsid w:val="009B4E52"/>
    <w:rsid w:val="009B4E6D"/>
    <w:rsid w:val="009B4E89"/>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B1"/>
    <w:rsid w:val="009B542B"/>
    <w:rsid w:val="009B54A7"/>
    <w:rsid w:val="009B54C4"/>
    <w:rsid w:val="009B54E4"/>
    <w:rsid w:val="009B5507"/>
    <w:rsid w:val="009B5546"/>
    <w:rsid w:val="009B5562"/>
    <w:rsid w:val="009B55B8"/>
    <w:rsid w:val="009B5641"/>
    <w:rsid w:val="009B56D6"/>
    <w:rsid w:val="009B5724"/>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4"/>
    <w:rsid w:val="009B5B2B"/>
    <w:rsid w:val="009B5B48"/>
    <w:rsid w:val="009B5B90"/>
    <w:rsid w:val="009B5BBD"/>
    <w:rsid w:val="009B5C00"/>
    <w:rsid w:val="009B5C24"/>
    <w:rsid w:val="009B5CD7"/>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6"/>
    <w:rsid w:val="009B603B"/>
    <w:rsid w:val="009B604D"/>
    <w:rsid w:val="009B608C"/>
    <w:rsid w:val="009B6111"/>
    <w:rsid w:val="009B612E"/>
    <w:rsid w:val="009B6136"/>
    <w:rsid w:val="009B6150"/>
    <w:rsid w:val="009B6175"/>
    <w:rsid w:val="009B61A6"/>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A2"/>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A3"/>
    <w:rsid w:val="009B6FE7"/>
    <w:rsid w:val="009B6FEF"/>
    <w:rsid w:val="009B7094"/>
    <w:rsid w:val="009B709C"/>
    <w:rsid w:val="009B70A1"/>
    <w:rsid w:val="009B70AD"/>
    <w:rsid w:val="009B710A"/>
    <w:rsid w:val="009B7172"/>
    <w:rsid w:val="009B7177"/>
    <w:rsid w:val="009B7186"/>
    <w:rsid w:val="009B7195"/>
    <w:rsid w:val="009B71C2"/>
    <w:rsid w:val="009B7209"/>
    <w:rsid w:val="009B7249"/>
    <w:rsid w:val="009B729B"/>
    <w:rsid w:val="009B7374"/>
    <w:rsid w:val="009B737A"/>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33"/>
    <w:rsid w:val="009C044A"/>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F6F"/>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325"/>
    <w:rsid w:val="009C133D"/>
    <w:rsid w:val="009C1363"/>
    <w:rsid w:val="009C13A9"/>
    <w:rsid w:val="009C13C2"/>
    <w:rsid w:val="009C145E"/>
    <w:rsid w:val="009C1463"/>
    <w:rsid w:val="009C1494"/>
    <w:rsid w:val="009C14B7"/>
    <w:rsid w:val="009C14B9"/>
    <w:rsid w:val="009C150A"/>
    <w:rsid w:val="009C1554"/>
    <w:rsid w:val="009C156B"/>
    <w:rsid w:val="009C1588"/>
    <w:rsid w:val="009C1637"/>
    <w:rsid w:val="009C168E"/>
    <w:rsid w:val="009C16BA"/>
    <w:rsid w:val="009C16CC"/>
    <w:rsid w:val="009C171A"/>
    <w:rsid w:val="009C1737"/>
    <w:rsid w:val="009C175B"/>
    <w:rsid w:val="009C177B"/>
    <w:rsid w:val="009C179F"/>
    <w:rsid w:val="009C17D2"/>
    <w:rsid w:val="009C17FA"/>
    <w:rsid w:val="009C188E"/>
    <w:rsid w:val="009C1890"/>
    <w:rsid w:val="009C18C1"/>
    <w:rsid w:val="009C1955"/>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CF3"/>
    <w:rsid w:val="009C1D8C"/>
    <w:rsid w:val="009C1DB6"/>
    <w:rsid w:val="009C1DE9"/>
    <w:rsid w:val="009C1DF7"/>
    <w:rsid w:val="009C1E98"/>
    <w:rsid w:val="009C1EB1"/>
    <w:rsid w:val="009C1EBD"/>
    <w:rsid w:val="009C1ED6"/>
    <w:rsid w:val="009C1F11"/>
    <w:rsid w:val="009C1F18"/>
    <w:rsid w:val="009C1F26"/>
    <w:rsid w:val="009C1F98"/>
    <w:rsid w:val="009C2015"/>
    <w:rsid w:val="009C2079"/>
    <w:rsid w:val="009C211C"/>
    <w:rsid w:val="009C2133"/>
    <w:rsid w:val="009C2164"/>
    <w:rsid w:val="009C21F6"/>
    <w:rsid w:val="009C220D"/>
    <w:rsid w:val="009C2223"/>
    <w:rsid w:val="009C2261"/>
    <w:rsid w:val="009C2264"/>
    <w:rsid w:val="009C22AC"/>
    <w:rsid w:val="009C233D"/>
    <w:rsid w:val="009C2366"/>
    <w:rsid w:val="009C239B"/>
    <w:rsid w:val="009C23CB"/>
    <w:rsid w:val="009C240E"/>
    <w:rsid w:val="009C2439"/>
    <w:rsid w:val="009C2441"/>
    <w:rsid w:val="009C2459"/>
    <w:rsid w:val="009C2461"/>
    <w:rsid w:val="009C2483"/>
    <w:rsid w:val="009C24A4"/>
    <w:rsid w:val="009C24C0"/>
    <w:rsid w:val="009C2512"/>
    <w:rsid w:val="009C253E"/>
    <w:rsid w:val="009C25B2"/>
    <w:rsid w:val="009C2619"/>
    <w:rsid w:val="009C2621"/>
    <w:rsid w:val="009C266F"/>
    <w:rsid w:val="009C2689"/>
    <w:rsid w:val="009C26C1"/>
    <w:rsid w:val="009C2702"/>
    <w:rsid w:val="009C2748"/>
    <w:rsid w:val="009C2810"/>
    <w:rsid w:val="009C2821"/>
    <w:rsid w:val="009C2832"/>
    <w:rsid w:val="009C28C9"/>
    <w:rsid w:val="009C2927"/>
    <w:rsid w:val="009C292C"/>
    <w:rsid w:val="009C292E"/>
    <w:rsid w:val="009C2961"/>
    <w:rsid w:val="009C297E"/>
    <w:rsid w:val="009C29D8"/>
    <w:rsid w:val="009C2A06"/>
    <w:rsid w:val="009C2A1B"/>
    <w:rsid w:val="009C2A4A"/>
    <w:rsid w:val="009C2AF2"/>
    <w:rsid w:val="009C2AFC"/>
    <w:rsid w:val="009C2B20"/>
    <w:rsid w:val="009C2B34"/>
    <w:rsid w:val="009C2BA0"/>
    <w:rsid w:val="009C2BB5"/>
    <w:rsid w:val="009C2C02"/>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F29"/>
    <w:rsid w:val="009C2F36"/>
    <w:rsid w:val="009C2FED"/>
    <w:rsid w:val="009C3023"/>
    <w:rsid w:val="009C3029"/>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64"/>
    <w:rsid w:val="009C3488"/>
    <w:rsid w:val="009C34C2"/>
    <w:rsid w:val="009C34DF"/>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E"/>
    <w:rsid w:val="009C3789"/>
    <w:rsid w:val="009C37A3"/>
    <w:rsid w:val="009C37D3"/>
    <w:rsid w:val="009C3802"/>
    <w:rsid w:val="009C385D"/>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D2"/>
    <w:rsid w:val="009C3FE2"/>
    <w:rsid w:val="009C4007"/>
    <w:rsid w:val="009C4008"/>
    <w:rsid w:val="009C4037"/>
    <w:rsid w:val="009C405C"/>
    <w:rsid w:val="009C4092"/>
    <w:rsid w:val="009C40B2"/>
    <w:rsid w:val="009C40BD"/>
    <w:rsid w:val="009C40D2"/>
    <w:rsid w:val="009C412C"/>
    <w:rsid w:val="009C4131"/>
    <w:rsid w:val="009C416D"/>
    <w:rsid w:val="009C4187"/>
    <w:rsid w:val="009C41B4"/>
    <w:rsid w:val="009C41E6"/>
    <w:rsid w:val="009C4213"/>
    <w:rsid w:val="009C4248"/>
    <w:rsid w:val="009C429F"/>
    <w:rsid w:val="009C42AD"/>
    <w:rsid w:val="009C42EF"/>
    <w:rsid w:val="009C431B"/>
    <w:rsid w:val="009C432F"/>
    <w:rsid w:val="009C4344"/>
    <w:rsid w:val="009C436A"/>
    <w:rsid w:val="009C4375"/>
    <w:rsid w:val="009C438A"/>
    <w:rsid w:val="009C4392"/>
    <w:rsid w:val="009C4409"/>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A0"/>
    <w:rsid w:val="009C4BF5"/>
    <w:rsid w:val="009C4C4A"/>
    <w:rsid w:val="009C4C86"/>
    <w:rsid w:val="009C4CA1"/>
    <w:rsid w:val="009C4CF9"/>
    <w:rsid w:val="009C4D39"/>
    <w:rsid w:val="009C4D67"/>
    <w:rsid w:val="009C4DA9"/>
    <w:rsid w:val="009C4DEA"/>
    <w:rsid w:val="009C4E0B"/>
    <w:rsid w:val="009C4E97"/>
    <w:rsid w:val="009C4F30"/>
    <w:rsid w:val="009C4F32"/>
    <w:rsid w:val="009C4F4A"/>
    <w:rsid w:val="009C4F5C"/>
    <w:rsid w:val="009C4FF6"/>
    <w:rsid w:val="009C5040"/>
    <w:rsid w:val="009C505E"/>
    <w:rsid w:val="009C507F"/>
    <w:rsid w:val="009C50E9"/>
    <w:rsid w:val="009C50F2"/>
    <w:rsid w:val="009C5149"/>
    <w:rsid w:val="009C5188"/>
    <w:rsid w:val="009C520A"/>
    <w:rsid w:val="009C5253"/>
    <w:rsid w:val="009C528F"/>
    <w:rsid w:val="009C52A8"/>
    <w:rsid w:val="009C52DF"/>
    <w:rsid w:val="009C5318"/>
    <w:rsid w:val="009C5322"/>
    <w:rsid w:val="009C5333"/>
    <w:rsid w:val="009C5375"/>
    <w:rsid w:val="009C5427"/>
    <w:rsid w:val="009C54B8"/>
    <w:rsid w:val="009C54D0"/>
    <w:rsid w:val="009C54E7"/>
    <w:rsid w:val="009C5503"/>
    <w:rsid w:val="009C552C"/>
    <w:rsid w:val="009C55B3"/>
    <w:rsid w:val="009C5643"/>
    <w:rsid w:val="009C5660"/>
    <w:rsid w:val="009C569A"/>
    <w:rsid w:val="009C56B4"/>
    <w:rsid w:val="009C56ED"/>
    <w:rsid w:val="009C56F0"/>
    <w:rsid w:val="009C570F"/>
    <w:rsid w:val="009C5710"/>
    <w:rsid w:val="009C571F"/>
    <w:rsid w:val="009C572C"/>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8F"/>
    <w:rsid w:val="009C5DA9"/>
    <w:rsid w:val="009C5DB8"/>
    <w:rsid w:val="009C5E3E"/>
    <w:rsid w:val="009C5EBE"/>
    <w:rsid w:val="009C5EF7"/>
    <w:rsid w:val="009C5F99"/>
    <w:rsid w:val="009C6069"/>
    <w:rsid w:val="009C608C"/>
    <w:rsid w:val="009C60AA"/>
    <w:rsid w:val="009C60D3"/>
    <w:rsid w:val="009C6191"/>
    <w:rsid w:val="009C61CD"/>
    <w:rsid w:val="009C6208"/>
    <w:rsid w:val="009C6232"/>
    <w:rsid w:val="009C6267"/>
    <w:rsid w:val="009C628A"/>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8"/>
    <w:rsid w:val="009C673B"/>
    <w:rsid w:val="009C6774"/>
    <w:rsid w:val="009C6826"/>
    <w:rsid w:val="009C688D"/>
    <w:rsid w:val="009C68A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90"/>
    <w:rsid w:val="009C6F91"/>
    <w:rsid w:val="009C700A"/>
    <w:rsid w:val="009C7047"/>
    <w:rsid w:val="009C705D"/>
    <w:rsid w:val="009C70C1"/>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42"/>
    <w:rsid w:val="009C7485"/>
    <w:rsid w:val="009C74C3"/>
    <w:rsid w:val="009C74EF"/>
    <w:rsid w:val="009C74F3"/>
    <w:rsid w:val="009C750F"/>
    <w:rsid w:val="009C759F"/>
    <w:rsid w:val="009C75C9"/>
    <w:rsid w:val="009C75DF"/>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5"/>
    <w:rsid w:val="009C7D66"/>
    <w:rsid w:val="009C7D79"/>
    <w:rsid w:val="009C7D9A"/>
    <w:rsid w:val="009C7DA4"/>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D5"/>
    <w:rsid w:val="009D00D9"/>
    <w:rsid w:val="009D00DE"/>
    <w:rsid w:val="009D00ED"/>
    <w:rsid w:val="009D00F6"/>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424"/>
    <w:rsid w:val="009D049E"/>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AE"/>
    <w:rsid w:val="009D0AFA"/>
    <w:rsid w:val="009D0B00"/>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FD"/>
    <w:rsid w:val="009D0F2E"/>
    <w:rsid w:val="009D0F7C"/>
    <w:rsid w:val="009D0F89"/>
    <w:rsid w:val="009D0F8C"/>
    <w:rsid w:val="009D0FA6"/>
    <w:rsid w:val="009D0FD6"/>
    <w:rsid w:val="009D0FF7"/>
    <w:rsid w:val="009D1018"/>
    <w:rsid w:val="009D1095"/>
    <w:rsid w:val="009D10A3"/>
    <w:rsid w:val="009D10E0"/>
    <w:rsid w:val="009D10EB"/>
    <w:rsid w:val="009D1128"/>
    <w:rsid w:val="009D1147"/>
    <w:rsid w:val="009D115E"/>
    <w:rsid w:val="009D1166"/>
    <w:rsid w:val="009D11B2"/>
    <w:rsid w:val="009D1213"/>
    <w:rsid w:val="009D128F"/>
    <w:rsid w:val="009D1312"/>
    <w:rsid w:val="009D1319"/>
    <w:rsid w:val="009D135C"/>
    <w:rsid w:val="009D1383"/>
    <w:rsid w:val="009D13BC"/>
    <w:rsid w:val="009D13DD"/>
    <w:rsid w:val="009D1430"/>
    <w:rsid w:val="009D1446"/>
    <w:rsid w:val="009D1471"/>
    <w:rsid w:val="009D147A"/>
    <w:rsid w:val="009D1482"/>
    <w:rsid w:val="009D1497"/>
    <w:rsid w:val="009D14A6"/>
    <w:rsid w:val="009D1534"/>
    <w:rsid w:val="009D1573"/>
    <w:rsid w:val="009D15D5"/>
    <w:rsid w:val="009D15E0"/>
    <w:rsid w:val="009D15FC"/>
    <w:rsid w:val="009D1600"/>
    <w:rsid w:val="009D1683"/>
    <w:rsid w:val="009D16F6"/>
    <w:rsid w:val="009D1732"/>
    <w:rsid w:val="009D17A2"/>
    <w:rsid w:val="009D17F6"/>
    <w:rsid w:val="009D184A"/>
    <w:rsid w:val="009D1878"/>
    <w:rsid w:val="009D1931"/>
    <w:rsid w:val="009D196F"/>
    <w:rsid w:val="009D19A0"/>
    <w:rsid w:val="009D19C3"/>
    <w:rsid w:val="009D19D9"/>
    <w:rsid w:val="009D19DD"/>
    <w:rsid w:val="009D1A42"/>
    <w:rsid w:val="009D1AE3"/>
    <w:rsid w:val="009D1AFF"/>
    <w:rsid w:val="009D1B3C"/>
    <w:rsid w:val="009D1B47"/>
    <w:rsid w:val="009D1B74"/>
    <w:rsid w:val="009D1BA1"/>
    <w:rsid w:val="009D1BAA"/>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B8"/>
    <w:rsid w:val="009D1F18"/>
    <w:rsid w:val="009D1F41"/>
    <w:rsid w:val="009D1F61"/>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50"/>
    <w:rsid w:val="009D2461"/>
    <w:rsid w:val="009D24CB"/>
    <w:rsid w:val="009D24DF"/>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2A"/>
    <w:rsid w:val="009D2A3E"/>
    <w:rsid w:val="009D2A7E"/>
    <w:rsid w:val="009D2A90"/>
    <w:rsid w:val="009D2A9A"/>
    <w:rsid w:val="009D2ACC"/>
    <w:rsid w:val="009D2ACE"/>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25"/>
    <w:rsid w:val="009D2F3C"/>
    <w:rsid w:val="009D2F50"/>
    <w:rsid w:val="009D2FAD"/>
    <w:rsid w:val="009D2FEF"/>
    <w:rsid w:val="009D302A"/>
    <w:rsid w:val="009D3087"/>
    <w:rsid w:val="009D308F"/>
    <w:rsid w:val="009D3091"/>
    <w:rsid w:val="009D30A7"/>
    <w:rsid w:val="009D30BD"/>
    <w:rsid w:val="009D30E6"/>
    <w:rsid w:val="009D30EE"/>
    <w:rsid w:val="009D312F"/>
    <w:rsid w:val="009D3156"/>
    <w:rsid w:val="009D3168"/>
    <w:rsid w:val="009D3170"/>
    <w:rsid w:val="009D3193"/>
    <w:rsid w:val="009D319F"/>
    <w:rsid w:val="009D31DA"/>
    <w:rsid w:val="009D31EE"/>
    <w:rsid w:val="009D3235"/>
    <w:rsid w:val="009D323B"/>
    <w:rsid w:val="009D3259"/>
    <w:rsid w:val="009D329F"/>
    <w:rsid w:val="009D32EE"/>
    <w:rsid w:val="009D3402"/>
    <w:rsid w:val="009D3414"/>
    <w:rsid w:val="009D347F"/>
    <w:rsid w:val="009D3486"/>
    <w:rsid w:val="009D3494"/>
    <w:rsid w:val="009D34B9"/>
    <w:rsid w:val="009D353E"/>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D6"/>
    <w:rsid w:val="009D3916"/>
    <w:rsid w:val="009D399F"/>
    <w:rsid w:val="009D39D7"/>
    <w:rsid w:val="009D3A48"/>
    <w:rsid w:val="009D3A69"/>
    <w:rsid w:val="009D3A80"/>
    <w:rsid w:val="009D3A85"/>
    <w:rsid w:val="009D3AD7"/>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55"/>
    <w:rsid w:val="009D4081"/>
    <w:rsid w:val="009D40C5"/>
    <w:rsid w:val="009D4120"/>
    <w:rsid w:val="009D41A3"/>
    <w:rsid w:val="009D41C6"/>
    <w:rsid w:val="009D41DB"/>
    <w:rsid w:val="009D41E2"/>
    <w:rsid w:val="009D4206"/>
    <w:rsid w:val="009D4252"/>
    <w:rsid w:val="009D42B9"/>
    <w:rsid w:val="009D42D8"/>
    <w:rsid w:val="009D4337"/>
    <w:rsid w:val="009D4344"/>
    <w:rsid w:val="009D436B"/>
    <w:rsid w:val="009D43C5"/>
    <w:rsid w:val="009D4420"/>
    <w:rsid w:val="009D444F"/>
    <w:rsid w:val="009D44EF"/>
    <w:rsid w:val="009D4524"/>
    <w:rsid w:val="009D4555"/>
    <w:rsid w:val="009D4595"/>
    <w:rsid w:val="009D4747"/>
    <w:rsid w:val="009D4774"/>
    <w:rsid w:val="009D4795"/>
    <w:rsid w:val="009D47B6"/>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6"/>
    <w:rsid w:val="009D4CDF"/>
    <w:rsid w:val="009D4D0D"/>
    <w:rsid w:val="009D4D22"/>
    <w:rsid w:val="009D4D6A"/>
    <w:rsid w:val="009D4DAB"/>
    <w:rsid w:val="009D4DBA"/>
    <w:rsid w:val="009D4DE3"/>
    <w:rsid w:val="009D4E3B"/>
    <w:rsid w:val="009D4E64"/>
    <w:rsid w:val="009D4EDA"/>
    <w:rsid w:val="009D4F4C"/>
    <w:rsid w:val="009D4F7A"/>
    <w:rsid w:val="009D4FA4"/>
    <w:rsid w:val="009D4FD0"/>
    <w:rsid w:val="009D500B"/>
    <w:rsid w:val="009D5025"/>
    <w:rsid w:val="009D5099"/>
    <w:rsid w:val="009D510E"/>
    <w:rsid w:val="009D515B"/>
    <w:rsid w:val="009D5160"/>
    <w:rsid w:val="009D517B"/>
    <w:rsid w:val="009D5180"/>
    <w:rsid w:val="009D51D1"/>
    <w:rsid w:val="009D528F"/>
    <w:rsid w:val="009D529E"/>
    <w:rsid w:val="009D52D8"/>
    <w:rsid w:val="009D52D9"/>
    <w:rsid w:val="009D5348"/>
    <w:rsid w:val="009D53EC"/>
    <w:rsid w:val="009D53F0"/>
    <w:rsid w:val="009D5460"/>
    <w:rsid w:val="009D54CB"/>
    <w:rsid w:val="009D54DA"/>
    <w:rsid w:val="009D54EE"/>
    <w:rsid w:val="009D54FA"/>
    <w:rsid w:val="009D5532"/>
    <w:rsid w:val="009D554D"/>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905"/>
    <w:rsid w:val="009D59B4"/>
    <w:rsid w:val="009D59FF"/>
    <w:rsid w:val="009D5A01"/>
    <w:rsid w:val="009D5A29"/>
    <w:rsid w:val="009D5A2A"/>
    <w:rsid w:val="009D5A66"/>
    <w:rsid w:val="009D5A68"/>
    <w:rsid w:val="009D5AFF"/>
    <w:rsid w:val="009D5B17"/>
    <w:rsid w:val="009D5B58"/>
    <w:rsid w:val="009D5B5F"/>
    <w:rsid w:val="009D5BB0"/>
    <w:rsid w:val="009D5C2C"/>
    <w:rsid w:val="009D5C79"/>
    <w:rsid w:val="009D5CDC"/>
    <w:rsid w:val="009D5D05"/>
    <w:rsid w:val="009D5D06"/>
    <w:rsid w:val="009D5D18"/>
    <w:rsid w:val="009D5D3F"/>
    <w:rsid w:val="009D5DAB"/>
    <w:rsid w:val="009D5E0B"/>
    <w:rsid w:val="009D5E11"/>
    <w:rsid w:val="009D5E3C"/>
    <w:rsid w:val="009D5E82"/>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7C"/>
    <w:rsid w:val="009D65CC"/>
    <w:rsid w:val="009D65D9"/>
    <w:rsid w:val="009D66C1"/>
    <w:rsid w:val="009D66D6"/>
    <w:rsid w:val="009D6734"/>
    <w:rsid w:val="009D675A"/>
    <w:rsid w:val="009D677C"/>
    <w:rsid w:val="009D67BB"/>
    <w:rsid w:val="009D67FD"/>
    <w:rsid w:val="009D68A3"/>
    <w:rsid w:val="009D6924"/>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5A"/>
    <w:rsid w:val="009D706F"/>
    <w:rsid w:val="009D7087"/>
    <w:rsid w:val="009D70F9"/>
    <w:rsid w:val="009D710D"/>
    <w:rsid w:val="009D713B"/>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C7"/>
    <w:rsid w:val="009D76E5"/>
    <w:rsid w:val="009D76F1"/>
    <w:rsid w:val="009D7724"/>
    <w:rsid w:val="009D7785"/>
    <w:rsid w:val="009D77A3"/>
    <w:rsid w:val="009D77EB"/>
    <w:rsid w:val="009D782E"/>
    <w:rsid w:val="009D7833"/>
    <w:rsid w:val="009D7837"/>
    <w:rsid w:val="009D78AC"/>
    <w:rsid w:val="009D78B4"/>
    <w:rsid w:val="009D78E3"/>
    <w:rsid w:val="009D7947"/>
    <w:rsid w:val="009D797F"/>
    <w:rsid w:val="009D79B1"/>
    <w:rsid w:val="009D79D3"/>
    <w:rsid w:val="009D79F9"/>
    <w:rsid w:val="009D7A11"/>
    <w:rsid w:val="009D7A54"/>
    <w:rsid w:val="009D7A5B"/>
    <w:rsid w:val="009D7A6A"/>
    <w:rsid w:val="009D7A72"/>
    <w:rsid w:val="009D7B38"/>
    <w:rsid w:val="009D7B44"/>
    <w:rsid w:val="009D7B5E"/>
    <w:rsid w:val="009D7BBA"/>
    <w:rsid w:val="009D7BC5"/>
    <w:rsid w:val="009D7C39"/>
    <w:rsid w:val="009D7C71"/>
    <w:rsid w:val="009D7C90"/>
    <w:rsid w:val="009D7CC3"/>
    <w:rsid w:val="009D7CEA"/>
    <w:rsid w:val="009D7D23"/>
    <w:rsid w:val="009D7D39"/>
    <w:rsid w:val="009D7D46"/>
    <w:rsid w:val="009D7D75"/>
    <w:rsid w:val="009D7DD4"/>
    <w:rsid w:val="009D7DDE"/>
    <w:rsid w:val="009D7DF4"/>
    <w:rsid w:val="009D7E18"/>
    <w:rsid w:val="009D7E30"/>
    <w:rsid w:val="009D7E59"/>
    <w:rsid w:val="009D7E7F"/>
    <w:rsid w:val="009D7EBA"/>
    <w:rsid w:val="009D7EEE"/>
    <w:rsid w:val="009D7EFB"/>
    <w:rsid w:val="009D7F7F"/>
    <w:rsid w:val="009D7FBE"/>
    <w:rsid w:val="009D7FC2"/>
    <w:rsid w:val="009D7FC8"/>
    <w:rsid w:val="009E0006"/>
    <w:rsid w:val="009E000B"/>
    <w:rsid w:val="009E0019"/>
    <w:rsid w:val="009E00A2"/>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3F"/>
    <w:rsid w:val="009E0447"/>
    <w:rsid w:val="009E0451"/>
    <w:rsid w:val="009E0489"/>
    <w:rsid w:val="009E0490"/>
    <w:rsid w:val="009E04C4"/>
    <w:rsid w:val="009E04FA"/>
    <w:rsid w:val="009E0517"/>
    <w:rsid w:val="009E0554"/>
    <w:rsid w:val="009E05A8"/>
    <w:rsid w:val="009E05BA"/>
    <w:rsid w:val="009E05BD"/>
    <w:rsid w:val="009E05CD"/>
    <w:rsid w:val="009E0603"/>
    <w:rsid w:val="009E0615"/>
    <w:rsid w:val="009E0786"/>
    <w:rsid w:val="009E079C"/>
    <w:rsid w:val="009E081B"/>
    <w:rsid w:val="009E084B"/>
    <w:rsid w:val="009E09AD"/>
    <w:rsid w:val="009E0A36"/>
    <w:rsid w:val="009E0A65"/>
    <w:rsid w:val="009E0A80"/>
    <w:rsid w:val="009E0B12"/>
    <w:rsid w:val="009E0B26"/>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E0"/>
    <w:rsid w:val="009E1054"/>
    <w:rsid w:val="009E10B6"/>
    <w:rsid w:val="009E10B8"/>
    <w:rsid w:val="009E10E6"/>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EB"/>
    <w:rsid w:val="009E1537"/>
    <w:rsid w:val="009E1567"/>
    <w:rsid w:val="009E1604"/>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960"/>
    <w:rsid w:val="009E19EF"/>
    <w:rsid w:val="009E1A43"/>
    <w:rsid w:val="009E1A96"/>
    <w:rsid w:val="009E1B53"/>
    <w:rsid w:val="009E1B8E"/>
    <w:rsid w:val="009E1BBC"/>
    <w:rsid w:val="009E1BC6"/>
    <w:rsid w:val="009E1C05"/>
    <w:rsid w:val="009E1C30"/>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62"/>
    <w:rsid w:val="009E2272"/>
    <w:rsid w:val="009E22B0"/>
    <w:rsid w:val="009E22DE"/>
    <w:rsid w:val="009E231C"/>
    <w:rsid w:val="009E2415"/>
    <w:rsid w:val="009E245C"/>
    <w:rsid w:val="009E2462"/>
    <w:rsid w:val="009E24C1"/>
    <w:rsid w:val="009E2574"/>
    <w:rsid w:val="009E25F3"/>
    <w:rsid w:val="009E2609"/>
    <w:rsid w:val="009E261A"/>
    <w:rsid w:val="009E26A3"/>
    <w:rsid w:val="009E270C"/>
    <w:rsid w:val="009E27C0"/>
    <w:rsid w:val="009E280A"/>
    <w:rsid w:val="009E2889"/>
    <w:rsid w:val="009E28B6"/>
    <w:rsid w:val="009E28E3"/>
    <w:rsid w:val="009E28F9"/>
    <w:rsid w:val="009E2910"/>
    <w:rsid w:val="009E291C"/>
    <w:rsid w:val="009E2968"/>
    <w:rsid w:val="009E296F"/>
    <w:rsid w:val="009E2970"/>
    <w:rsid w:val="009E29B9"/>
    <w:rsid w:val="009E29C7"/>
    <w:rsid w:val="009E29CE"/>
    <w:rsid w:val="009E29DF"/>
    <w:rsid w:val="009E29ED"/>
    <w:rsid w:val="009E2A0F"/>
    <w:rsid w:val="009E2A1F"/>
    <w:rsid w:val="009E2A84"/>
    <w:rsid w:val="009E2A93"/>
    <w:rsid w:val="009E2AAD"/>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F24"/>
    <w:rsid w:val="009E2F26"/>
    <w:rsid w:val="009E2FA4"/>
    <w:rsid w:val="009E2FE5"/>
    <w:rsid w:val="009E3045"/>
    <w:rsid w:val="009E3061"/>
    <w:rsid w:val="009E308F"/>
    <w:rsid w:val="009E31B7"/>
    <w:rsid w:val="009E31E2"/>
    <w:rsid w:val="009E321B"/>
    <w:rsid w:val="009E328B"/>
    <w:rsid w:val="009E329B"/>
    <w:rsid w:val="009E32DA"/>
    <w:rsid w:val="009E32E9"/>
    <w:rsid w:val="009E32EA"/>
    <w:rsid w:val="009E3352"/>
    <w:rsid w:val="009E337A"/>
    <w:rsid w:val="009E33A6"/>
    <w:rsid w:val="009E33B0"/>
    <w:rsid w:val="009E33D0"/>
    <w:rsid w:val="009E341B"/>
    <w:rsid w:val="009E344F"/>
    <w:rsid w:val="009E34A2"/>
    <w:rsid w:val="009E34F1"/>
    <w:rsid w:val="009E3521"/>
    <w:rsid w:val="009E352A"/>
    <w:rsid w:val="009E3535"/>
    <w:rsid w:val="009E353B"/>
    <w:rsid w:val="009E358D"/>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18"/>
    <w:rsid w:val="009E3AEE"/>
    <w:rsid w:val="009E3B2F"/>
    <w:rsid w:val="009E3B50"/>
    <w:rsid w:val="009E3B6F"/>
    <w:rsid w:val="009E3C88"/>
    <w:rsid w:val="009E3CA3"/>
    <w:rsid w:val="009E3CEE"/>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9FA"/>
    <w:rsid w:val="009E4A06"/>
    <w:rsid w:val="009E4A2D"/>
    <w:rsid w:val="009E4A34"/>
    <w:rsid w:val="009E4A5F"/>
    <w:rsid w:val="009E4A79"/>
    <w:rsid w:val="009E4AB9"/>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D0"/>
    <w:rsid w:val="009E50EC"/>
    <w:rsid w:val="009E50FB"/>
    <w:rsid w:val="009E5125"/>
    <w:rsid w:val="009E5148"/>
    <w:rsid w:val="009E516F"/>
    <w:rsid w:val="009E519D"/>
    <w:rsid w:val="009E5252"/>
    <w:rsid w:val="009E5286"/>
    <w:rsid w:val="009E5298"/>
    <w:rsid w:val="009E52AB"/>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0C"/>
    <w:rsid w:val="009E622C"/>
    <w:rsid w:val="009E6274"/>
    <w:rsid w:val="009E62C4"/>
    <w:rsid w:val="009E62C9"/>
    <w:rsid w:val="009E634B"/>
    <w:rsid w:val="009E6363"/>
    <w:rsid w:val="009E636F"/>
    <w:rsid w:val="009E6372"/>
    <w:rsid w:val="009E6384"/>
    <w:rsid w:val="009E63C2"/>
    <w:rsid w:val="009E63FF"/>
    <w:rsid w:val="009E6409"/>
    <w:rsid w:val="009E6411"/>
    <w:rsid w:val="009E643D"/>
    <w:rsid w:val="009E644C"/>
    <w:rsid w:val="009E646F"/>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43"/>
    <w:rsid w:val="009E6D61"/>
    <w:rsid w:val="009E6D96"/>
    <w:rsid w:val="009E6D98"/>
    <w:rsid w:val="009E6DE1"/>
    <w:rsid w:val="009E6E76"/>
    <w:rsid w:val="009E6EA6"/>
    <w:rsid w:val="009E6EE0"/>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1"/>
    <w:rsid w:val="009E720B"/>
    <w:rsid w:val="009E7248"/>
    <w:rsid w:val="009E7296"/>
    <w:rsid w:val="009E729E"/>
    <w:rsid w:val="009E72A1"/>
    <w:rsid w:val="009E72AB"/>
    <w:rsid w:val="009E72FF"/>
    <w:rsid w:val="009E7331"/>
    <w:rsid w:val="009E7341"/>
    <w:rsid w:val="009E7374"/>
    <w:rsid w:val="009E73C8"/>
    <w:rsid w:val="009E73D8"/>
    <w:rsid w:val="009E73EA"/>
    <w:rsid w:val="009E7443"/>
    <w:rsid w:val="009E7490"/>
    <w:rsid w:val="009E74D6"/>
    <w:rsid w:val="009E7523"/>
    <w:rsid w:val="009E755C"/>
    <w:rsid w:val="009E75CB"/>
    <w:rsid w:val="009E7610"/>
    <w:rsid w:val="009E7632"/>
    <w:rsid w:val="009E7744"/>
    <w:rsid w:val="009E774A"/>
    <w:rsid w:val="009E775A"/>
    <w:rsid w:val="009E777E"/>
    <w:rsid w:val="009E77BB"/>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E7FD9"/>
    <w:rsid w:val="009F0030"/>
    <w:rsid w:val="009F0071"/>
    <w:rsid w:val="009F00BB"/>
    <w:rsid w:val="009F00F5"/>
    <w:rsid w:val="009F013C"/>
    <w:rsid w:val="009F0144"/>
    <w:rsid w:val="009F0188"/>
    <w:rsid w:val="009F01BB"/>
    <w:rsid w:val="009F01C0"/>
    <w:rsid w:val="009F01FC"/>
    <w:rsid w:val="009F0213"/>
    <w:rsid w:val="009F0222"/>
    <w:rsid w:val="009F0223"/>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79E"/>
    <w:rsid w:val="009F07A8"/>
    <w:rsid w:val="009F07B3"/>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CC"/>
    <w:rsid w:val="009F0DD4"/>
    <w:rsid w:val="009F0E67"/>
    <w:rsid w:val="009F0E8A"/>
    <w:rsid w:val="009F0EB7"/>
    <w:rsid w:val="009F0EF9"/>
    <w:rsid w:val="009F0F12"/>
    <w:rsid w:val="009F0F43"/>
    <w:rsid w:val="009F0F45"/>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86"/>
    <w:rsid w:val="009F1687"/>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50"/>
    <w:rsid w:val="009F1AA8"/>
    <w:rsid w:val="009F1B1D"/>
    <w:rsid w:val="009F1C8A"/>
    <w:rsid w:val="009F1D00"/>
    <w:rsid w:val="009F1D10"/>
    <w:rsid w:val="009F1D17"/>
    <w:rsid w:val="009F1D2A"/>
    <w:rsid w:val="009F1D89"/>
    <w:rsid w:val="009F1DBD"/>
    <w:rsid w:val="009F1E35"/>
    <w:rsid w:val="009F1EC5"/>
    <w:rsid w:val="009F1ECB"/>
    <w:rsid w:val="009F1F48"/>
    <w:rsid w:val="009F1F85"/>
    <w:rsid w:val="009F1F88"/>
    <w:rsid w:val="009F1F8B"/>
    <w:rsid w:val="009F2000"/>
    <w:rsid w:val="009F2015"/>
    <w:rsid w:val="009F2071"/>
    <w:rsid w:val="009F20DB"/>
    <w:rsid w:val="009F20E7"/>
    <w:rsid w:val="009F214C"/>
    <w:rsid w:val="009F2163"/>
    <w:rsid w:val="009F2172"/>
    <w:rsid w:val="009F2174"/>
    <w:rsid w:val="009F21A9"/>
    <w:rsid w:val="009F2263"/>
    <w:rsid w:val="009F22BD"/>
    <w:rsid w:val="009F22E2"/>
    <w:rsid w:val="009F232C"/>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B"/>
    <w:rsid w:val="009F356E"/>
    <w:rsid w:val="009F35D6"/>
    <w:rsid w:val="009F35FB"/>
    <w:rsid w:val="009F3621"/>
    <w:rsid w:val="009F365E"/>
    <w:rsid w:val="009F3665"/>
    <w:rsid w:val="009F3682"/>
    <w:rsid w:val="009F3696"/>
    <w:rsid w:val="009F3717"/>
    <w:rsid w:val="009F3721"/>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67"/>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7B"/>
    <w:rsid w:val="009F3CC2"/>
    <w:rsid w:val="009F3CF9"/>
    <w:rsid w:val="009F3CFA"/>
    <w:rsid w:val="009F3D2A"/>
    <w:rsid w:val="009F3D81"/>
    <w:rsid w:val="009F3DBD"/>
    <w:rsid w:val="009F3DDD"/>
    <w:rsid w:val="009F3E5C"/>
    <w:rsid w:val="009F3EA1"/>
    <w:rsid w:val="009F3F5D"/>
    <w:rsid w:val="009F3F66"/>
    <w:rsid w:val="009F3F72"/>
    <w:rsid w:val="009F3F73"/>
    <w:rsid w:val="009F3FE5"/>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5E"/>
    <w:rsid w:val="009F4568"/>
    <w:rsid w:val="009F45A0"/>
    <w:rsid w:val="009F45AF"/>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BF"/>
    <w:rsid w:val="009F4C4C"/>
    <w:rsid w:val="009F4CB5"/>
    <w:rsid w:val="009F4CE4"/>
    <w:rsid w:val="009F4D48"/>
    <w:rsid w:val="009F4D53"/>
    <w:rsid w:val="009F4DA9"/>
    <w:rsid w:val="009F4DD3"/>
    <w:rsid w:val="009F4E19"/>
    <w:rsid w:val="009F4E36"/>
    <w:rsid w:val="009F4E38"/>
    <w:rsid w:val="009F4E55"/>
    <w:rsid w:val="009F4E61"/>
    <w:rsid w:val="009F4EC9"/>
    <w:rsid w:val="009F4EE8"/>
    <w:rsid w:val="009F4F19"/>
    <w:rsid w:val="009F4F25"/>
    <w:rsid w:val="009F4F29"/>
    <w:rsid w:val="009F4F9E"/>
    <w:rsid w:val="009F5083"/>
    <w:rsid w:val="009F5085"/>
    <w:rsid w:val="009F5086"/>
    <w:rsid w:val="009F5138"/>
    <w:rsid w:val="009F5146"/>
    <w:rsid w:val="009F5148"/>
    <w:rsid w:val="009F5154"/>
    <w:rsid w:val="009F516A"/>
    <w:rsid w:val="009F5183"/>
    <w:rsid w:val="009F51AE"/>
    <w:rsid w:val="009F51C8"/>
    <w:rsid w:val="009F51FC"/>
    <w:rsid w:val="009F5208"/>
    <w:rsid w:val="009F523E"/>
    <w:rsid w:val="009F5282"/>
    <w:rsid w:val="009F52BE"/>
    <w:rsid w:val="009F52CB"/>
    <w:rsid w:val="009F530C"/>
    <w:rsid w:val="009F5336"/>
    <w:rsid w:val="009F535F"/>
    <w:rsid w:val="009F53BC"/>
    <w:rsid w:val="009F541D"/>
    <w:rsid w:val="009F5420"/>
    <w:rsid w:val="009F547E"/>
    <w:rsid w:val="009F548D"/>
    <w:rsid w:val="009F54B0"/>
    <w:rsid w:val="009F54E5"/>
    <w:rsid w:val="009F54F7"/>
    <w:rsid w:val="009F5542"/>
    <w:rsid w:val="009F55CA"/>
    <w:rsid w:val="009F5605"/>
    <w:rsid w:val="009F561A"/>
    <w:rsid w:val="009F56CD"/>
    <w:rsid w:val="009F5705"/>
    <w:rsid w:val="009F571C"/>
    <w:rsid w:val="009F572A"/>
    <w:rsid w:val="009F5733"/>
    <w:rsid w:val="009F574C"/>
    <w:rsid w:val="009F576B"/>
    <w:rsid w:val="009F5784"/>
    <w:rsid w:val="009F5790"/>
    <w:rsid w:val="009F5799"/>
    <w:rsid w:val="009F57A8"/>
    <w:rsid w:val="009F57EE"/>
    <w:rsid w:val="009F57FB"/>
    <w:rsid w:val="009F5806"/>
    <w:rsid w:val="009F5813"/>
    <w:rsid w:val="009F5817"/>
    <w:rsid w:val="009F581D"/>
    <w:rsid w:val="009F5890"/>
    <w:rsid w:val="009F589E"/>
    <w:rsid w:val="009F58DF"/>
    <w:rsid w:val="009F58E9"/>
    <w:rsid w:val="009F58EA"/>
    <w:rsid w:val="009F58ED"/>
    <w:rsid w:val="009F58F5"/>
    <w:rsid w:val="009F5929"/>
    <w:rsid w:val="009F592C"/>
    <w:rsid w:val="009F5949"/>
    <w:rsid w:val="009F5956"/>
    <w:rsid w:val="009F596E"/>
    <w:rsid w:val="009F5982"/>
    <w:rsid w:val="009F59AE"/>
    <w:rsid w:val="009F59E9"/>
    <w:rsid w:val="009F5A04"/>
    <w:rsid w:val="009F5A3F"/>
    <w:rsid w:val="009F5A91"/>
    <w:rsid w:val="009F5AC8"/>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E8"/>
    <w:rsid w:val="009F615F"/>
    <w:rsid w:val="009F61BD"/>
    <w:rsid w:val="009F61F6"/>
    <w:rsid w:val="009F6223"/>
    <w:rsid w:val="009F624F"/>
    <w:rsid w:val="009F62C1"/>
    <w:rsid w:val="009F6309"/>
    <w:rsid w:val="009F63B6"/>
    <w:rsid w:val="009F63E2"/>
    <w:rsid w:val="009F6416"/>
    <w:rsid w:val="009F644D"/>
    <w:rsid w:val="009F64A6"/>
    <w:rsid w:val="009F6529"/>
    <w:rsid w:val="009F655C"/>
    <w:rsid w:val="009F65A6"/>
    <w:rsid w:val="009F65D6"/>
    <w:rsid w:val="009F663C"/>
    <w:rsid w:val="009F663F"/>
    <w:rsid w:val="009F66A8"/>
    <w:rsid w:val="009F66B5"/>
    <w:rsid w:val="009F66D9"/>
    <w:rsid w:val="009F66EF"/>
    <w:rsid w:val="009F676B"/>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2D"/>
    <w:rsid w:val="009F6C81"/>
    <w:rsid w:val="009F6CC2"/>
    <w:rsid w:val="009F6CD5"/>
    <w:rsid w:val="009F6CD6"/>
    <w:rsid w:val="009F6CDB"/>
    <w:rsid w:val="009F6D06"/>
    <w:rsid w:val="009F6D1A"/>
    <w:rsid w:val="009F6D6B"/>
    <w:rsid w:val="009F6D7A"/>
    <w:rsid w:val="009F6E40"/>
    <w:rsid w:val="009F6E57"/>
    <w:rsid w:val="009F6E78"/>
    <w:rsid w:val="009F6EB4"/>
    <w:rsid w:val="009F6ED7"/>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8D"/>
    <w:rsid w:val="009F72B4"/>
    <w:rsid w:val="009F72CD"/>
    <w:rsid w:val="009F731E"/>
    <w:rsid w:val="009F734A"/>
    <w:rsid w:val="009F73CD"/>
    <w:rsid w:val="009F73F3"/>
    <w:rsid w:val="009F742E"/>
    <w:rsid w:val="009F7435"/>
    <w:rsid w:val="009F74C7"/>
    <w:rsid w:val="009F74E7"/>
    <w:rsid w:val="009F750E"/>
    <w:rsid w:val="009F75EC"/>
    <w:rsid w:val="009F7675"/>
    <w:rsid w:val="009F76DD"/>
    <w:rsid w:val="009F76EC"/>
    <w:rsid w:val="009F771C"/>
    <w:rsid w:val="009F772A"/>
    <w:rsid w:val="009F7746"/>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92"/>
    <w:rsid w:val="009F7D40"/>
    <w:rsid w:val="009F7D4B"/>
    <w:rsid w:val="009F7D85"/>
    <w:rsid w:val="009F7DAE"/>
    <w:rsid w:val="009F7DF3"/>
    <w:rsid w:val="009F7E0B"/>
    <w:rsid w:val="009F7E35"/>
    <w:rsid w:val="009F7E57"/>
    <w:rsid w:val="009F7EAB"/>
    <w:rsid w:val="009F7ECD"/>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46"/>
    <w:rsid w:val="00A001A9"/>
    <w:rsid w:val="00A001C6"/>
    <w:rsid w:val="00A001EC"/>
    <w:rsid w:val="00A00262"/>
    <w:rsid w:val="00A00279"/>
    <w:rsid w:val="00A002E2"/>
    <w:rsid w:val="00A0036F"/>
    <w:rsid w:val="00A00386"/>
    <w:rsid w:val="00A003A4"/>
    <w:rsid w:val="00A003A9"/>
    <w:rsid w:val="00A004C8"/>
    <w:rsid w:val="00A0052C"/>
    <w:rsid w:val="00A00576"/>
    <w:rsid w:val="00A005B0"/>
    <w:rsid w:val="00A005B1"/>
    <w:rsid w:val="00A005B6"/>
    <w:rsid w:val="00A00622"/>
    <w:rsid w:val="00A0065E"/>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74"/>
    <w:rsid w:val="00A00DD5"/>
    <w:rsid w:val="00A00E2A"/>
    <w:rsid w:val="00A00E50"/>
    <w:rsid w:val="00A00E61"/>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5C"/>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9"/>
    <w:rsid w:val="00A01B3E"/>
    <w:rsid w:val="00A01BB9"/>
    <w:rsid w:val="00A01C0B"/>
    <w:rsid w:val="00A01CB6"/>
    <w:rsid w:val="00A01CCB"/>
    <w:rsid w:val="00A01CCC"/>
    <w:rsid w:val="00A01CF6"/>
    <w:rsid w:val="00A01D1B"/>
    <w:rsid w:val="00A01D5E"/>
    <w:rsid w:val="00A01D7F"/>
    <w:rsid w:val="00A01D92"/>
    <w:rsid w:val="00A01DA9"/>
    <w:rsid w:val="00A01DD0"/>
    <w:rsid w:val="00A01E1A"/>
    <w:rsid w:val="00A01E20"/>
    <w:rsid w:val="00A01E2D"/>
    <w:rsid w:val="00A01F3A"/>
    <w:rsid w:val="00A01FAE"/>
    <w:rsid w:val="00A01FF9"/>
    <w:rsid w:val="00A02047"/>
    <w:rsid w:val="00A0205D"/>
    <w:rsid w:val="00A02074"/>
    <w:rsid w:val="00A02150"/>
    <w:rsid w:val="00A021D9"/>
    <w:rsid w:val="00A021E4"/>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26"/>
    <w:rsid w:val="00A02639"/>
    <w:rsid w:val="00A026D4"/>
    <w:rsid w:val="00A026F2"/>
    <w:rsid w:val="00A026FC"/>
    <w:rsid w:val="00A0272C"/>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7"/>
    <w:rsid w:val="00A03063"/>
    <w:rsid w:val="00A030A0"/>
    <w:rsid w:val="00A030A6"/>
    <w:rsid w:val="00A030AF"/>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4C"/>
    <w:rsid w:val="00A036B4"/>
    <w:rsid w:val="00A036BD"/>
    <w:rsid w:val="00A0373E"/>
    <w:rsid w:val="00A037AA"/>
    <w:rsid w:val="00A037DA"/>
    <w:rsid w:val="00A03801"/>
    <w:rsid w:val="00A03807"/>
    <w:rsid w:val="00A0381B"/>
    <w:rsid w:val="00A03899"/>
    <w:rsid w:val="00A03902"/>
    <w:rsid w:val="00A03938"/>
    <w:rsid w:val="00A0395D"/>
    <w:rsid w:val="00A03991"/>
    <w:rsid w:val="00A039C4"/>
    <w:rsid w:val="00A039C7"/>
    <w:rsid w:val="00A039EC"/>
    <w:rsid w:val="00A03AC2"/>
    <w:rsid w:val="00A03B4A"/>
    <w:rsid w:val="00A03B58"/>
    <w:rsid w:val="00A03B86"/>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63"/>
    <w:rsid w:val="00A04181"/>
    <w:rsid w:val="00A041E2"/>
    <w:rsid w:val="00A04235"/>
    <w:rsid w:val="00A04272"/>
    <w:rsid w:val="00A04304"/>
    <w:rsid w:val="00A043A7"/>
    <w:rsid w:val="00A043EC"/>
    <w:rsid w:val="00A043ED"/>
    <w:rsid w:val="00A04401"/>
    <w:rsid w:val="00A04413"/>
    <w:rsid w:val="00A044B3"/>
    <w:rsid w:val="00A04582"/>
    <w:rsid w:val="00A045CA"/>
    <w:rsid w:val="00A04613"/>
    <w:rsid w:val="00A04684"/>
    <w:rsid w:val="00A046F4"/>
    <w:rsid w:val="00A046F8"/>
    <w:rsid w:val="00A046FB"/>
    <w:rsid w:val="00A0471E"/>
    <w:rsid w:val="00A0474C"/>
    <w:rsid w:val="00A0475C"/>
    <w:rsid w:val="00A04770"/>
    <w:rsid w:val="00A04778"/>
    <w:rsid w:val="00A047A6"/>
    <w:rsid w:val="00A047D5"/>
    <w:rsid w:val="00A047DC"/>
    <w:rsid w:val="00A04824"/>
    <w:rsid w:val="00A04869"/>
    <w:rsid w:val="00A048BE"/>
    <w:rsid w:val="00A049C9"/>
    <w:rsid w:val="00A049DA"/>
    <w:rsid w:val="00A049ED"/>
    <w:rsid w:val="00A049F4"/>
    <w:rsid w:val="00A049FE"/>
    <w:rsid w:val="00A04A04"/>
    <w:rsid w:val="00A04A25"/>
    <w:rsid w:val="00A04ADE"/>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36"/>
    <w:rsid w:val="00A04F49"/>
    <w:rsid w:val="00A04F4C"/>
    <w:rsid w:val="00A04F54"/>
    <w:rsid w:val="00A04FC4"/>
    <w:rsid w:val="00A05001"/>
    <w:rsid w:val="00A05008"/>
    <w:rsid w:val="00A05015"/>
    <w:rsid w:val="00A0507B"/>
    <w:rsid w:val="00A05094"/>
    <w:rsid w:val="00A05096"/>
    <w:rsid w:val="00A050A6"/>
    <w:rsid w:val="00A050E8"/>
    <w:rsid w:val="00A0512C"/>
    <w:rsid w:val="00A05150"/>
    <w:rsid w:val="00A0517E"/>
    <w:rsid w:val="00A051B2"/>
    <w:rsid w:val="00A05271"/>
    <w:rsid w:val="00A0529E"/>
    <w:rsid w:val="00A05331"/>
    <w:rsid w:val="00A05379"/>
    <w:rsid w:val="00A05468"/>
    <w:rsid w:val="00A054C8"/>
    <w:rsid w:val="00A0555A"/>
    <w:rsid w:val="00A055AD"/>
    <w:rsid w:val="00A055EC"/>
    <w:rsid w:val="00A055F0"/>
    <w:rsid w:val="00A05628"/>
    <w:rsid w:val="00A05667"/>
    <w:rsid w:val="00A05677"/>
    <w:rsid w:val="00A056A8"/>
    <w:rsid w:val="00A056AD"/>
    <w:rsid w:val="00A056B4"/>
    <w:rsid w:val="00A056BD"/>
    <w:rsid w:val="00A056D1"/>
    <w:rsid w:val="00A056FF"/>
    <w:rsid w:val="00A05748"/>
    <w:rsid w:val="00A057A5"/>
    <w:rsid w:val="00A0580D"/>
    <w:rsid w:val="00A05888"/>
    <w:rsid w:val="00A05894"/>
    <w:rsid w:val="00A05899"/>
    <w:rsid w:val="00A058B3"/>
    <w:rsid w:val="00A058C1"/>
    <w:rsid w:val="00A058DC"/>
    <w:rsid w:val="00A0592A"/>
    <w:rsid w:val="00A05955"/>
    <w:rsid w:val="00A0596A"/>
    <w:rsid w:val="00A059BC"/>
    <w:rsid w:val="00A059C3"/>
    <w:rsid w:val="00A059F1"/>
    <w:rsid w:val="00A05A15"/>
    <w:rsid w:val="00A05A55"/>
    <w:rsid w:val="00A05A75"/>
    <w:rsid w:val="00A05AB4"/>
    <w:rsid w:val="00A05B76"/>
    <w:rsid w:val="00A05BAB"/>
    <w:rsid w:val="00A05BF2"/>
    <w:rsid w:val="00A05C12"/>
    <w:rsid w:val="00A05D1C"/>
    <w:rsid w:val="00A05DE3"/>
    <w:rsid w:val="00A05E09"/>
    <w:rsid w:val="00A05E5D"/>
    <w:rsid w:val="00A05EA7"/>
    <w:rsid w:val="00A05EFF"/>
    <w:rsid w:val="00A05F0C"/>
    <w:rsid w:val="00A05F31"/>
    <w:rsid w:val="00A05F60"/>
    <w:rsid w:val="00A05F8C"/>
    <w:rsid w:val="00A05FC6"/>
    <w:rsid w:val="00A0606B"/>
    <w:rsid w:val="00A060B7"/>
    <w:rsid w:val="00A060C7"/>
    <w:rsid w:val="00A06115"/>
    <w:rsid w:val="00A06124"/>
    <w:rsid w:val="00A061B9"/>
    <w:rsid w:val="00A06213"/>
    <w:rsid w:val="00A062A3"/>
    <w:rsid w:val="00A0632D"/>
    <w:rsid w:val="00A06398"/>
    <w:rsid w:val="00A063B9"/>
    <w:rsid w:val="00A06426"/>
    <w:rsid w:val="00A064DD"/>
    <w:rsid w:val="00A06502"/>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E5"/>
    <w:rsid w:val="00A069F2"/>
    <w:rsid w:val="00A069F8"/>
    <w:rsid w:val="00A06A67"/>
    <w:rsid w:val="00A06AB2"/>
    <w:rsid w:val="00A06AFB"/>
    <w:rsid w:val="00A06AFE"/>
    <w:rsid w:val="00A06B10"/>
    <w:rsid w:val="00A06B37"/>
    <w:rsid w:val="00A06B9D"/>
    <w:rsid w:val="00A06C01"/>
    <w:rsid w:val="00A06C5D"/>
    <w:rsid w:val="00A06CA5"/>
    <w:rsid w:val="00A06CD4"/>
    <w:rsid w:val="00A06D37"/>
    <w:rsid w:val="00A06D45"/>
    <w:rsid w:val="00A06E4D"/>
    <w:rsid w:val="00A06EE2"/>
    <w:rsid w:val="00A06F0B"/>
    <w:rsid w:val="00A06FB5"/>
    <w:rsid w:val="00A07024"/>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403"/>
    <w:rsid w:val="00A07425"/>
    <w:rsid w:val="00A07433"/>
    <w:rsid w:val="00A074D8"/>
    <w:rsid w:val="00A074F3"/>
    <w:rsid w:val="00A07518"/>
    <w:rsid w:val="00A0752E"/>
    <w:rsid w:val="00A07567"/>
    <w:rsid w:val="00A075A2"/>
    <w:rsid w:val="00A0768F"/>
    <w:rsid w:val="00A076CC"/>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D1A"/>
    <w:rsid w:val="00A07D6D"/>
    <w:rsid w:val="00A07DBC"/>
    <w:rsid w:val="00A07DBF"/>
    <w:rsid w:val="00A07E2F"/>
    <w:rsid w:val="00A07E4C"/>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40"/>
    <w:rsid w:val="00A10CC6"/>
    <w:rsid w:val="00A10D05"/>
    <w:rsid w:val="00A10D0C"/>
    <w:rsid w:val="00A10D2C"/>
    <w:rsid w:val="00A10D75"/>
    <w:rsid w:val="00A10DBC"/>
    <w:rsid w:val="00A10DE9"/>
    <w:rsid w:val="00A10E08"/>
    <w:rsid w:val="00A10E38"/>
    <w:rsid w:val="00A10E6B"/>
    <w:rsid w:val="00A10E77"/>
    <w:rsid w:val="00A10E81"/>
    <w:rsid w:val="00A10EC6"/>
    <w:rsid w:val="00A10ED0"/>
    <w:rsid w:val="00A10ED1"/>
    <w:rsid w:val="00A10F44"/>
    <w:rsid w:val="00A10F65"/>
    <w:rsid w:val="00A10F9E"/>
    <w:rsid w:val="00A10FAA"/>
    <w:rsid w:val="00A11002"/>
    <w:rsid w:val="00A11033"/>
    <w:rsid w:val="00A1106B"/>
    <w:rsid w:val="00A110C2"/>
    <w:rsid w:val="00A1111B"/>
    <w:rsid w:val="00A1115B"/>
    <w:rsid w:val="00A113C9"/>
    <w:rsid w:val="00A113F0"/>
    <w:rsid w:val="00A11402"/>
    <w:rsid w:val="00A11421"/>
    <w:rsid w:val="00A11453"/>
    <w:rsid w:val="00A11485"/>
    <w:rsid w:val="00A1149D"/>
    <w:rsid w:val="00A114A0"/>
    <w:rsid w:val="00A114BF"/>
    <w:rsid w:val="00A11579"/>
    <w:rsid w:val="00A11598"/>
    <w:rsid w:val="00A1159E"/>
    <w:rsid w:val="00A115DA"/>
    <w:rsid w:val="00A115F2"/>
    <w:rsid w:val="00A115FD"/>
    <w:rsid w:val="00A11620"/>
    <w:rsid w:val="00A1177A"/>
    <w:rsid w:val="00A117BE"/>
    <w:rsid w:val="00A117EB"/>
    <w:rsid w:val="00A11813"/>
    <w:rsid w:val="00A11819"/>
    <w:rsid w:val="00A11830"/>
    <w:rsid w:val="00A1186E"/>
    <w:rsid w:val="00A118F5"/>
    <w:rsid w:val="00A11975"/>
    <w:rsid w:val="00A1198F"/>
    <w:rsid w:val="00A119E9"/>
    <w:rsid w:val="00A11A0C"/>
    <w:rsid w:val="00A11A25"/>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35"/>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2C"/>
    <w:rsid w:val="00A12158"/>
    <w:rsid w:val="00A12172"/>
    <w:rsid w:val="00A12175"/>
    <w:rsid w:val="00A121C5"/>
    <w:rsid w:val="00A12242"/>
    <w:rsid w:val="00A12250"/>
    <w:rsid w:val="00A122C9"/>
    <w:rsid w:val="00A122E6"/>
    <w:rsid w:val="00A12303"/>
    <w:rsid w:val="00A12308"/>
    <w:rsid w:val="00A12342"/>
    <w:rsid w:val="00A12381"/>
    <w:rsid w:val="00A123DF"/>
    <w:rsid w:val="00A123EB"/>
    <w:rsid w:val="00A1242B"/>
    <w:rsid w:val="00A1248E"/>
    <w:rsid w:val="00A124B9"/>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9"/>
    <w:rsid w:val="00A129D9"/>
    <w:rsid w:val="00A12A1B"/>
    <w:rsid w:val="00A12A39"/>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22"/>
    <w:rsid w:val="00A12F47"/>
    <w:rsid w:val="00A12F5A"/>
    <w:rsid w:val="00A12FE9"/>
    <w:rsid w:val="00A13041"/>
    <w:rsid w:val="00A13058"/>
    <w:rsid w:val="00A130BD"/>
    <w:rsid w:val="00A130E5"/>
    <w:rsid w:val="00A13145"/>
    <w:rsid w:val="00A1314E"/>
    <w:rsid w:val="00A13156"/>
    <w:rsid w:val="00A131C3"/>
    <w:rsid w:val="00A131DB"/>
    <w:rsid w:val="00A131DE"/>
    <w:rsid w:val="00A131F8"/>
    <w:rsid w:val="00A1320B"/>
    <w:rsid w:val="00A1323D"/>
    <w:rsid w:val="00A132DB"/>
    <w:rsid w:val="00A132E3"/>
    <w:rsid w:val="00A13374"/>
    <w:rsid w:val="00A1339D"/>
    <w:rsid w:val="00A133A2"/>
    <w:rsid w:val="00A133EB"/>
    <w:rsid w:val="00A1342B"/>
    <w:rsid w:val="00A13468"/>
    <w:rsid w:val="00A1347F"/>
    <w:rsid w:val="00A13542"/>
    <w:rsid w:val="00A13635"/>
    <w:rsid w:val="00A1363F"/>
    <w:rsid w:val="00A13654"/>
    <w:rsid w:val="00A1366C"/>
    <w:rsid w:val="00A13673"/>
    <w:rsid w:val="00A136A3"/>
    <w:rsid w:val="00A13712"/>
    <w:rsid w:val="00A13751"/>
    <w:rsid w:val="00A1378C"/>
    <w:rsid w:val="00A137B8"/>
    <w:rsid w:val="00A137C2"/>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3"/>
    <w:rsid w:val="00A13D9E"/>
    <w:rsid w:val="00A13E03"/>
    <w:rsid w:val="00A13E2A"/>
    <w:rsid w:val="00A13E8F"/>
    <w:rsid w:val="00A13E95"/>
    <w:rsid w:val="00A13E9C"/>
    <w:rsid w:val="00A13EA5"/>
    <w:rsid w:val="00A13EAB"/>
    <w:rsid w:val="00A13F91"/>
    <w:rsid w:val="00A13F99"/>
    <w:rsid w:val="00A13FAA"/>
    <w:rsid w:val="00A13FB7"/>
    <w:rsid w:val="00A13FEB"/>
    <w:rsid w:val="00A14003"/>
    <w:rsid w:val="00A14065"/>
    <w:rsid w:val="00A1408A"/>
    <w:rsid w:val="00A140FA"/>
    <w:rsid w:val="00A1416F"/>
    <w:rsid w:val="00A1418B"/>
    <w:rsid w:val="00A141BD"/>
    <w:rsid w:val="00A141EA"/>
    <w:rsid w:val="00A141F9"/>
    <w:rsid w:val="00A1420D"/>
    <w:rsid w:val="00A1421F"/>
    <w:rsid w:val="00A1422E"/>
    <w:rsid w:val="00A1424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C"/>
    <w:rsid w:val="00A145AF"/>
    <w:rsid w:val="00A145D5"/>
    <w:rsid w:val="00A145F8"/>
    <w:rsid w:val="00A14690"/>
    <w:rsid w:val="00A146E7"/>
    <w:rsid w:val="00A1472A"/>
    <w:rsid w:val="00A1472B"/>
    <w:rsid w:val="00A14768"/>
    <w:rsid w:val="00A14782"/>
    <w:rsid w:val="00A1478B"/>
    <w:rsid w:val="00A147A0"/>
    <w:rsid w:val="00A147A8"/>
    <w:rsid w:val="00A147E1"/>
    <w:rsid w:val="00A147EF"/>
    <w:rsid w:val="00A14844"/>
    <w:rsid w:val="00A14853"/>
    <w:rsid w:val="00A14864"/>
    <w:rsid w:val="00A1488E"/>
    <w:rsid w:val="00A148DE"/>
    <w:rsid w:val="00A14A75"/>
    <w:rsid w:val="00A14A90"/>
    <w:rsid w:val="00A14A95"/>
    <w:rsid w:val="00A14AB0"/>
    <w:rsid w:val="00A14B00"/>
    <w:rsid w:val="00A14B40"/>
    <w:rsid w:val="00A14BA4"/>
    <w:rsid w:val="00A14BC5"/>
    <w:rsid w:val="00A14BC9"/>
    <w:rsid w:val="00A14C27"/>
    <w:rsid w:val="00A14C4B"/>
    <w:rsid w:val="00A14C6C"/>
    <w:rsid w:val="00A14CB9"/>
    <w:rsid w:val="00A14CF9"/>
    <w:rsid w:val="00A14D3B"/>
    <w:rsid w:val="00A14D69"/>
    <w:rsid w:val="00A14D77"/>
    <w:rsid w:val="00A14D7A"/>
    <w:rsid w:val="00A14DB5"/>
    <w:rsid w:val="00A14DEC"/>
    <w:rsid w:val="00A14E12"/>
    <w:rsid w:val="00A14E49"/>
    <w:rsid w:val="00A14E7D"/>
    <w:rsid w:val="00A14F1C"/>
    <w:rsid w:val="00A14F30"/>
    <w:rsid w:val="00A14F5D"/>
    <w:rsid w:val="00A14FC4"/>
    <w:rsid w:val="00A14FCA"/>
    <w:rsid w:val="00A15020"/>
    <w:rsid w:val="00A15036"/>
    <w:rsid w:val="00A1505F"/>
    <w:rsid w:val="00A15075"/>
    <w:rsid w:val="00A15086"/>
    <w:rsid w:val="00A150D1"/>
    <w:rsid w:val="00A1512E"/>
    <w:rsid w:val="00A15136"/>
    <w:rsid w:val="00A1513B"/>
    <w:rsid w:val="00A1513F"/>
    <w:rsid w:val="00A15141"/>
    <w:rsid w:val="00A15156"/>
    <w:rsid w:val="00A15161"/>
    <w:rsid w:val="00A151D5"/>
    <w:rsid w:val="00A151FA"/>
    <w:rsid w:val="00A15229"/>
    <w:rsid w:val="00A15241"/>
    <w:rsid w:val="00A1526D"/>
    <w:rsid w:val="00A15275"/>
    <w:rsid w:val="00A1527C"/>
    <w:rsid w:val="00A1531E"/>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CF"/>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62"/>
    <w:rsid w:val="00A15AC2"/>
    <w:rsid w:val="00A15B1D"/>
    <w:rsid w:val="00A15B39"/>
    <w:rsid w:val="00A15B66"/>
    <w:rsid w:val="00A15BA6"/>
    <w:rsid w:val="00A15C29"/>
    <w:rsid w:val="00A15C3B"/>
    <w:rsid w:val="00A15C4B"/>
    <w:rsid w:val="00A15CAA"/>
    <w:rsid w:val="00A15CB7"/>
    <w:rsid w:val="00A15CE8"/>
    <w:rsid w:val="00A15D17"/>
    <w:rsid w:val="00A15D23"/>
    <w:rsid w:val="00A15D6F"/>
    <w:rsid w:val="00A15D8F"/>
    <w:rsid w:val="00A15D98"/>
    <w:rsid w:val="00A15DD6"/>
    <w:rsid w:val="00A15DDD"/>
    <w:rsid w:val="00A15E74"/>
    <w:rsid w:val="00A15E86"/>
    <w:rsid w:val="00A15EDD"/>
    <w:rsid w:val="00A15F12"/>
    <w:rsid w:val="00A15F27"/>
    <w:rsid w:val="00A15F6E"/>
    <w:rsid w:val="00A15FA1"/>
    <w:rsid w:val="00A160A6"/>
    <w:rsid w:val="00A160D1"/>
    <w:rsid w:val="00A160D6"/>
    <w:rsid w:val="00A1610E"/>
    <w:rsid w:val="00A16128"/>
    <w:rsid w:val="00A16176"/>
    <w:rsid w:val="00A1618E"/>
    <w:rsid w:val="00A161BD"/>
    <w:rsid w:val="00A161D6"/>
    <w:rsid w:val="00A161EC"/>
    <w:rsid w:val="00A1626D"/>
    <w:rsid w:val="00A162C1"/>
    <w:rsid w:val="00A162C8"/>
    <w:rsid w:val="00A162F8"/>
    <w:rsid w:val="00A162FC"/>
    <w:rsid w:val="00A1633B"/>
    <w:rsid w:val="00A16345"/>
    <w:rsid w:val="00A16366"/>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7C"/>
    <w:rsid w:val="00A16727"/>
    <w:rsid w:val="00A16729"/>
    <w:rsid w:val="00A16753"/>
    <w:rsid w:val="00A167D1"/>
    <w:rsid w:val="00A1680E"/>
    <w:rsid w:val="00A16819"/>
    <w:rsid w:val="00A16879"/>
    <w:rsid w:val="00A16881"/>
    <w:rsid w:val="00A16893"/>
    <w:rsid w:val="00A168B6"/>
    <w:rsid w:val="00A16917"/>
    <w:rsid w:val="00A1694E"/>
    <w:rsid w:val="00A169A3"/>
    <w:rsid w:val="00A169B9"/>
    <w:rsid w:val="00A169D2"/>
    <w:rsid w:val="00A16A70"/>
    <w:rsid w:val="00A16A77"/>
    <w:rsid w:val="00A16AE4"/>
    <w:rsid w:val="00A16B49"/>
    <w:rsid w:val="00A16B96"/>
    <w:rsid w:val="00A16BB6"/>
    <w:rsid w:val="00A16BD4"/>
    <w:rsid w:val="00A16C4A"/>
    <w:rsid w:val="00A16C94"/>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20E"/>
    <w:rsid w:val="00A1728C"/>
    <w:rsid w:val="00A17293"/>
    <w:rsid w:val="00A17297"/>
    <w:rsid w:val="00A172AF"/>
    <w:rsid w:val="00A172BE"/>
    <w:rsid w:val="00A17300"/>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8"/>
    <w:rsid w:val="00A17724"/>
    <w:rsid w:val="00A1772D"/>
    <w:rsid w:val="00A17792"/>
    <w:rsid w:val="00A177A4"/>
    <w:rsid w:val="00A177B3"/>
    <w:rsid w:val="00A177D0"/>
    <w:rsid w:val="00A1785D"/>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DB"/>
    <w:rsid w:val="00A17C33"/>
    <w:rsid w:val="00A17C9C"/>
    <w:rsid w:val="00A17CA6"/>
    <w:rsid w:val="00A17CA9"/>
    <w:rsid w:val="00A17CC8"/>
    <w:rsid w:val="00A17CFA"/>
    <w:rsid w:val="00A17D5C"/>
    <w:rsid w:val="00A17DA5"/>
    <w:rsid w:val="00A17DC0"/>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6C"/>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49"/>
    <w:rsid w:val="00A20D94"/>
    <w:rsid w:val="00A20DC8"/>
    <w:rsid w:val="00A20DD4"/>
    <w:rsid w:val="00A20E13"/>
    <w:rsid w:val="00A20E18"/>
    <w:rsid w:val="00A20E49"/>
    <w:rsid w:val="00A20EBD"/>
    <w:rsid w:val="00A20ECD"/>
    <w:rsid w:val="00A20EE6"/>
    <w:rsid w:val="00A20EEE"/>
    <w:rsid w:val="00A20F3F"/>
    <w:rsid w:val="00A20FB6"/>
    <w:rsid w:val="00A20FE1"/>
    <w:rsid w:val="00A21026"/>
    <w:rsid w:val="00A21047"/>
    <w:rsid w:val="00A210D9"/>
    <w:rsid w:val="00A2112C"/>
    <w:rsid w:val="00A2120F"/>
    <w:rsid w:val="00A2123A"/>
    <w:rsid w:val="00A21243"/>
    <w:rsid w:val="00A21284"/>
    <w:rsid w:val="00A2130F"/>
    <w:rsid w:val="00A21338"/>
    <w:rsid w:val="00A21378"/>
    <w:rsid w:val="00A213C6"/>
    <w:rsid w:val="00A213D3"/>
    <w:rsid w:val="00A21475"/>
    <w:rsid w:val="00A21498"/>
    <w:rsid w:val="00A214EE"/>
    <w:rsid w:val="00A21532"/>
    <w:rsid w:val="00A21533"/>
    <w:rsid w:val="00A21548"/>
    <w:rsid w:val="00A2161B"/>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A8"/>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73"/>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1C2"/>
    <w:rsid w:val="00A22214"/>
    <w:rsid w:val="00A22319"/>
    <w:rsid w:val="00A2235E"/>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6ED"/>
    <w:rsid w:val="00A22757"/>
    <w:rsid w:val="00A22799"/>
    <w:rsid w:val="00A227C2"/>
    <w:rsid w:val="00A22838"/>
    <w:rsid w:val="00A22876"/>
    <w:rsid w:val="00A22889"/>
    <w:rsid w:val="00A228AA"/>
    <w:rsid w:val="00A22906"/>
    <w:rsid w:val="00A22921"/>
    <w:rsid w:val="00A2292C"/>
    <w:rsid w:val="00A22939"/>
    <w:rsid w:val="00A2298B"/>
    <w:rsid w:val="00A229AF"/>
    <w:rsid w:val="00A229B2"/>
    <w:rsid w:val="00A229E1"/>
    <w:rsid w:val="00A22A43"/>
    <w:rsid w:val="00A22A5E"/>
    <w:rsid w:val="00A22AD1"/>
    <w:rsid w:val="00A22AF5"/>
    <w:rsid w:val="00A22B3B"/>
    <w:rsid w:val="00A22B45"/>
    <w:rsid w:val="00A22B85"/>
    <w:rsid w:val="00A22B9F"/>
    <w:rsid w:val="00A22BCF"/>
    <w:rsid w:val="00A22BDD"/>
    <w:rsid w:val="00A22C91"/>
    <w:rsid w:val="00A22CC4"/>
    <w:rsid w:val="00A22CD0"/>
    <w:rsid w:val="00A22CD9"/>
    <w:rsid w:val="00A22DD4"/>
    <w:rsid w:val="00A22DD8"/>
    <w:rsid w:val="00A22E4F"/>
    <w:rsid w:val="00A22E5D"/>
    <w:rsid w:val="00A22E65"/>
    <w:rsid w:val="00A22E83"/>
    <w:rsid w:val="00A22EA6"/>
    <w:rsid w:val="00A22EF2"/>
    <w:rsid w:val="00A22EF5"/>
    <w:rsid w:val="00A22F56"/>
    <w:rsid w:val="00A22F57"/>
    <w:rsid w:val="00A22F5A"/>
    <w:rsid w:val="00A22FB0"/>
    <w:rsid w:val="00A22FBE"/>
    <w:rsid w:val="00A22FC9"/>
    <w:rsid w:val="00A22FF6"/>
    <w:rsid w:val="00A23014"/>
    <w:rsid w:val="00A23020"/>
    <w:rsid w:val="00A23083"/>
    <w:rsid w:val="00A23098"/>
    <w:rsid w:val="00A23194"/>
    <w:rsid w:val="00A231BD"/>
    <w:rsid w:val="00A231D0"/>
    <w:rsid w:val="00A231D3"/>
    <w:rsid w:val="00A231DA"/>
    <w:rsid w:val="00A231ED"/>
    <w:rsid w:val="00A23294"/>
    <w:rsid w:val="00A232E9"/>
    <w:rsid w:val="00A23360"/>
    <w:rsid w:val="00A23372"/>
    <w:rsid w:val="00A23393"/>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65"/>
    <w:rsid w:val="00A23777"/>
    <w:rsid w:val="00A23786"/>
    <w:rsid w:val="00A237A2"/>
    <w:rsid w:val="00A237D4"/>
    <w:rsid w:val="00A237F0"/>
    <w:rsid w:val="00A23815"/>
    <w:rsid w:val="00A2381F"/>
    <w:rsid w:val="00A23852"/>
    <w:rsid w:val="00A23888"/>
    <w:rsid w:val="00A23894"/>
    <w:rsid w:val="00A238BB"/>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E46"/>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20B"/>
    <w:rsid w:val="00A2426E"/>
    <w:rsid w:val="00A24282"/>
    <w:rsid w:val="00A242AB"/>
    <w:rsid w:val="00A242DF"/>
    <w:rsid w:val="00A242F8"/>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9C"/>
    <w:rsid w:val="00A247B5"/>
    <w:rsid w:val="00A247C0"/>
    <w:rsid w:val="00A247F3"/>
    <w:rsid w:val="00A247FE"/>
    <w:rsid w:val="00A24858"/>
    <w:rsid w:val="00A24869"/>
    <w:rsid w:val="00A24889"/>
    <w:rsid w:val="00A248A7"/>
    <w:rsid w:val="00A248A9"/>
    <w:rsid w:val="00A24911"/>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39"/>
    <w:rsid w:val="00A25E4C"/>
    <w:rsid w:val="00A25E56"/>
    <w:rsid w:val="00A25E62"/>
    <w:rsid w:val="00A25ED4"/>
    <w:rsid w:val="00A25EE1"/>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64"/>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4CB"/>
    <w:rsid w:val="00A26553"/>
    <w:rsid w:val="00A26588"/>
    <w:rsid w:val="00A265A5"/>
    <w:rsid w:val="00A265E3"/>
    <w:rsid w:val="00A265EF"/>
    <w:rsid w:val="00A265F4"/>
    <w:rsid w:val="00A26607"/>
    <w:rsid w:val="00A26622"/>
    <w:rsid w:val="00A266D1"/>
    <w:rsid w:val="00A266E9"/>
    <w:rsid w:val="00A266EF"/>
    <w:rsid w:val="00A26780"/>
    <w:rsid w:val="00A26792"/>
    <w:rsid w:val="00A26795"/>
    <w:rsid w:val="00A267CA"/>
    <w:rsid w:val="00A26823"/>
    <w:rsid w:val="00A26850"/>
    <w:rsid w:val="00A2688E"/>
    <w:rsid w:val="00A2690C"/>
    <w:rsid w:val="00A26965"/>
    <w:rsid w:val="00A269A9"/>
    <w:rsid w:val="00A269D4"/>
    <w:rsid w:val="00A26A2B"/>
    <w:rsid w:val="00A26A73"/>
    <w:rsid w:val="00A26A80"/>
    <w:rsid w:val="00A26AA7"/>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5E"/>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807"/>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F"/>
    <w:rsid w:val="00A30067"/>
    <w:rsid w:val="00A30070"/>
    <w:rsid w:val="00A3013C"/>
    <w:rsid w:val="00A3016B"/>
    <w:rsid w:val="00A301E1"/>
    <w:rsid w:val="00A3029B"/>
    <w:rsid w:val="00A302F5"/>
    <w:rsid w:val="00A30303"/>
    <w:rsid w:val="00A30313"/>
    <w:rsid w:val="00A30422"/>
    <w:rsid w:val="00A3048E"/>
    <w:rsid w:val="00A3049C"/>
    <w:rsid w:val="00A30503"/>
    <w:rsid w:val="00A30505"/>
    <w:rsid w:val="00A30563"/>
    <w:rsid w:val="00A30569"/>
    <w:rsid w:val="00A30586"/>
    <w:rsid w:val="00A305CC"/>
    <w:rsid w:val="00A305D6"/>
    <w:rsid w:val="00A305E0"/>
    <w:rsid w:val="00A30665"/>
    <w:rsid w:val="00A3069B"/>
    <w:rsid w:val="00A306E5"/>
    <w:rsid w:val="00A306ED"/>
    <w:rsid w:val="00A306FB"/>
    <w:rsid w:val="00A30702"/>
    <w:rsid w:val="00A30711"/>
    <w:rsid w:val="00A30753"/>
    <w:rsid w:val="00A3076F"/>
    <w:rsid w:val="00A30798"/>
    <w:rsid w:val="00A307A1"/>
    <w:rsid w:val="00A307C2"/>
    <w:rsid w:val="00A30816"/>
    <w:rsid w:val="00A3086B"/>
    <w:rsid w:val="00A30885"/>
    <w:rsid w:val="00A308AF"/>
    <w:rsid w:val="00A308B3"/>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108"/>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3B"/>
    <w:rsid w:val="00A31466"/>
    <w:rsid w:val="00A3148B"/>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2C"/>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E1F"/>
    <w:rsid w:val="00A31E84"/>
    <w:rsid w:val="00A31EB1"/>
    <w:rsid w:val="00A31F43"/>
    <w:rsid w:val="00A31FDB"/>
    <w:rsid w:val="00A31FDE"/>
    <w:rsid w:val="00A31FFD"/>
    <w:rsid w:val="00A3203A"/>
    <w:rsid w:val="00A3208A"/>
    <w:rsid w:val="00A320B0"/>
    <w:rsid w:val="00A320E5"/>
    <w:rsid w:val="00A320F6"/>
    <w:rsid w:val="00A320F7"/>
    <w:rsid w:val="00A3227F"/>
    <w:rsid w:val="00A322B2"/>
    <w:rsid w:val="00A322B8"/>
    <w:rsid w:val="00A322BF"/>
    <w:rsid w:val="00A322C1"/>
    <w:rsid w:val="00A32313"/>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77"/>
    <w:rsid w:val="00A326E4"/>
    <w:rsid w:val="00A32741"/>
    <w:rsid w:val="00A3274E"/>
    <w:rsid w:val="00A3278B"/>
    <w:rsid w:val="00A327A2"/>
    <w:rsid w:val="00A327AD"/>
    <w:rsid w:val="00A327DD"/>
    <w:rsid w:val="00A32828"/>
    <w:rsid w:val="00A328AA"/>
    <w:rsid w:val="00A3290A"/>
    <w:rsid w:val="00A32948"/>
    <w:rsid w:val="00A3295A"/>
    <w:rsid w:val="00A32989"/>
    <w:rsid w:val="00A32AAD"/>
    <w:rsid w:val="00A32AC0"/>
    <w:rsid w:val="00A32AC6"/>
    <w:rsid w:val="00A32ADE"/>
    <w:rsid w:val="00A32B1C"/>
    <w:rsid w:val="00A32B1E"/>
    <w:rsid w:val="00A32B55"/>
    <w:rsid w:val="00A32B5E"/>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A"/>
    <w:rsid w:val="00A32FC2"/>
    <w:rsid w:val="00A32FD7"/>
    <w:rsid w:val="00A330CB"/>
    <w:rsid w:val="00A33167"/>
    <w:rsid w:val="00A3318C"/>
    <w:rsid w:val="00A332F0"/>
    <w:rsid w:val="00A333B9"/>
    <w:rsid w:val="00A333BB"/>
    <w:rsid w:val="00A333EA"/>
    <w:rsid w:val="00A333F2"/>
    <w:rsid w:val="00A333FF"/>
    <w:rsid w:val="00A33418"/>
    <w:rsid w:val="00A33443"/>
    <w:rsid w:val="00A3345C"/>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36"/>
    <w:rsid w:val="00A33748"/>
    <w:rsid w:val="00A3374E"/>
    <w:rsid w:val="00A33771"/>
    <w:rsid w:val="00A337BB"/>
    <w:rsid w:val="00A337FD"/>
    <w:rsid w:val="00A3383D"/>
    <w:rsid w:val="00A33844"/>
    <w:rsid w:val="00A33898"/>
    <w:rsid w:val="00A338B4"/>
    <w:rsid w:val="00A338ED"/>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9D"/>
    <w:rsid w:val="00A347BF"/>
    <w:rsid w:val="00A347EF"/>
    <w:rsid w:val="00A347FC"/>
    <w:rsid w:val="00A34809"/>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5D"/>
    <w:rsid w:val="00A35081"/>
    <w:rsid w:val="00A3516B"/>
    <w:rsid w:val="00A3517E"/>
    <w:rsid w:val="00A351AE"/>
    <w:rsid w:val="00A351C3"/>
    <w:rsid w:val="00A351CB"/>
    <w:rsid w:val="00A351D6"/>
    <w:rsid w:val="00A352D1"/>
    <w:rsid w:val="00A352F5"/>
    <w:rsid w:val="00A3538E"/>
    <w:rsid w:val="00A353C2"/>
    <w:rsid w:val="00A353CF"/>
    <w:rsid w:val="00A35405"/>
    <w:rsid w:val="00A354A3"/>
    <w:rsid w:val="00A354B7"/>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A7"/>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6E"/>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BC"/>
    <w:rsid w:val="00A36CC7"/>
    <w:rsid w:val="00A36CC9"/>
    <w:rsid w:val="00A36CE1"/>
    <w:rsid w:val="00A36CEE"/>
    <w:rsid w:val="00A36D19"/>
    <w:rsid w:val="00A36D60"/>
    <w:rsid w:val="00A36DC4"/>
    <w:rsid w:val="00A36E4C"/>
    <w:rsid w:val="00A36E5F"/>
    <w:rsid w:val="00A36ECB"/>
    <w:rsid w:val="00A36F05"/>
    <w:rsid w:val="00A36F81"/>
    <w:rsid w:val="00A36FE0"/>
    <w:rsid w:val="00A37065"/>
    <w:rsid w:val="00A37069"/>
    <w:rsid w:val="00A370E3"/>
    <w:rsid w:val="00A37113"/>
    <w:rsid w:val="00A371D5"/>
    <w:rsid w:val="00A371FB"/>
    <w:rsid w:val="00A37248"/>
    <w:rsid w:val="00A372B1"/>
    <w:rsid w:val="00A3730D"/>
    <w:rsid w:val="00A37336"/>
    <w:rsid w:val="00A3734E"/>
    <w:rsid w:val="00A37369"/>
    <w:rsid w:val="00A373C1"/>
    <w:rsid w:val="00A373E6"/>
    <w:rsid w:val="00A373E9"/>
    <w:rsid w:val="00A37406"/>
    <w:rsid w:val="00A374D8"/>
    <w:rsid w:val="00A374F6"/>
    <w:rsid w:val="00A3751A"/>
    <w:rsid w:val="00A37552"/>
    <w:rsid w:val="00A3758A"/>
    <w:rsid w:val="00A375EB"/>
    <w:rsid w:val="00A376A5"/>
    <w:rsid w:val="00A376B3"/>
    <w:rsid w:val="00A376B5"/>
    <w:rsid w:val="00A376B9"/>
    <w:rsid w:val="00A376CD"/>
    <w:rsid w:val="00A3774B"/>
    <w:rsid w:val="00A37789"/>
    <w:rsid w:val="00A3778E"/>
    <w:rsid w:val="00A377AC"/>
    <w:rsid w:val="00A377EE"/>
    <w:rsid w:val="00A377F7"/>
    <w:rsid w:val="00A37840"/>
    <w:rsid w:val="00A378AC"/>
    <w:rsid w:val="00A378D6"/>
    <w:rsid w:val="00A37944"/>
    <w:rsid w:val="00A37955"/>
    <w:rsid w:val="00A379A3"/>
    <w:rsid w:val="00A37A65"/>
    <w:rsid w:val="00A37A97"/>
    <w:rsid w:val="00A37AA6"/>
    <w:rsid w:val="00A37AB0"/>
    <w:rsid w:val="00A37ACF"/>
    <w:rsid w:val="00A37AD1"/>
    <w:rsid w:val="00A37B28"/>
    <w:rsid w:val="00A37B58"/>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3F"/>
    <w:rsid w:val="00A4007E"/>
    <w:rsid w:val="00A40097"/>
    <w:rsid w:val="00A400D6"/>
    <w:rsid w:val="00A400E2"/>
    <w:rsid w:val="00A400EA"/>
    <w:rsid w:val="00A400F7"/>
    <w:rsid w:val="00A40133"/>
    <w:rsid w:val="00A40141"/>
    <w:rsid w:val="00A40144"/>
    <w:rsid w:val="00A40171"/>
    <w:rsid w:val="00A401E4"/>
    <w:rsid w:val="00A40206"/>
    <w:rsid w:val="00A4024B"/>
    <w:rsid w:val="00A40264"/>
    <w:rsid w:val="00A402D4"/>
    <w:rsid w:val="00A402F9"/>
    <w:rsid w:val="00A4032A"/>
    <w:rsid w:val="00A403AD"/>
    <w:rsid w:val="00A403DC"/>
    <w:rsid w:val="00A40479"/>
    <w:rsid w:val="00A40504"/>
    <w:rsid w:val="00A4054C"/>
    <w:rsid w:val="00A4059A"/>
    <w:rsid w:val="00A405A7"/>
    <w:rsid w:val="00A405B1"/>
    <w:rsid w:val="00A405C9"/>
    <w:rsid w:val="00A4069D"/>
    <w:rsid w:val="00A406DA"/>
    <w:rsid w:val="00A406E6"/>
    <w:rsid w:val="00A407AF"/>
    <w:rsid w:val="00A407F5"/>
    <w:rsid w:val="00A40839"/>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C03"/>
    <w:rsid w:val="00A40C49"/>
    <w:rsid w:val="00A40C4F"/>
    <w:rsid w:val="00A40C77"/>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86"/>
    <w:rsid w:val="00A414EA"/>
    <w:rsid w:val="00A41527"/>
    <w:rsid w:val="00A4160C"/>
    <w:rsid w:val="00A41610"/>
    <w:rsid w:val="00A41612"/>
    <w:rsid w:val="00A41663"/>
    <w:rsid w:val="00A41673"/>
    <w:rsid w:val="00A416A0"/>
    <w:rsid w:val="00A416CE"/>
    <w:rsid w:val="00A4172B"/>
    <w:rsid w:val="00A4173D"/>
    <w:rsid w:val="00A41746"/>
    <w:rsid w:val="00A4179B"/>
    <w:rsid w:val="00A417AD"/>
    <w:rsid w:val="00A417D1"/>
    <w:rsid w:val="00A417F8"/>
    <w:rsid w:val="00A417FF"/>
    <w:rsid w:val="00A41898"/>
    <w:rsid w:val="00A418CF"/>
    <w:rsid w:val="00A418DC"/>
    <w:rsid w:val="00A418E7"/>
    <w:rsid w:val="00A418F0"/>
    <w:rsid w:val="00A418F2"/>
    <w:rsid w:val="00A41905"/>
    <w:rsid w:val="00A4191F"/>
    <w:rsid w:val="00A4198B"/>
    <w:rsid w:val="00A419BE"/>
    <w:rsid w:val="00A419DA"/>
    <w:rsid w:val="00A419DC"/>
    <w:rsid w:val="00A41A0B"/>
    <w:rsid w:val="00A41A1F"/>
    <w:rsid w:val="00A41AA8"/>
    <w:rsid w:val="00A41AAB"/>
    <w:rsid w:val="00A41AB0"/>
    <w:rsid w:val="00A41AD0"/>
    <w:rsid w:val="00A41B10"/>
    <w:rsid w:val="00A41B14"/>
    <w:rsid w:val="00A41B2A"/>
    <w:rsid w:val="00A41BBB"/>
    <w:rsid w:val="00A41BF2"/>
    <w:rsid w:val="00A41C06"/>
    <w:rsid w:val="00A41C78"/>
    <w:rsid w:val="00A41C86"/>
    <w:rsid w:val="00A41C8C"/>
    <w:rsid w:val="00A41D05"/>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18"/>
    <w:rsid w:val="00A42331"/>
    <w:rsid w:val="00A4234C"/>
    <w:rsid w:val="00A4237F"/>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96"/>
    <w:rsid w:val="00A4311C"/>
    <w:rsid w:val="00A43128"/>
    <w:rsid w:val="00A43165"/>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3F"/>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B9"/>
    <w:rsid w:val="00A43ED5"/>
    <w:rsid w:val="00A43F2B"/>
    <w:rsid w:val="00A43F45"/>
    <w:rsid w:val="00A44051"/>
    <w:rsid w:val="00A44073"/>
    <w:rsid w:val="00A44091"/>
    <w:rsid w:val="00A440F0"/>
    <w:rsid w:val="00A440F4"/>
    <w:rsid w:val="00A4410D"/>
    <w:rsid w:val="00A44110"/>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60D"/>
    <w:rsid w:val="00A446FC"/>
    <w:rsid w:val="00A4470B"/>
    <w:rsid w:val="00A4471A"/>
    <w:rsid w:val="00A4471E"/>
    <w:rsid w:val="00A4479D"/>
    <w:rsid w:val="00A44805"/>
    <w:rsid w:val="00A4481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9"/>
    <w:rsid w:val="00A44A60"/>
    <w:rsid w:val="00A44A74"/>
    <w:rsid w:val="00A44AAF"/>
    <w:rsid w:val="00A44BC7"/>
    <w:rsid w:val="00A44BCF"/>
    <w:rsid w:val="00A44C04"/>
    <w:rsid w:val="00A44C24"/>
    <w:rsid w:val="00A44C8B"/>
    <w:rsid w:val="00A44CF2"/>
    <w:rsid w:val="00A44D0E"/>
    <w:rsid w:val="00A44D24"/>
    <w:rsid w:val="00A44D28"/>
    <w:rsid w:val="00A44D44"/>
    <w:rsid w:val="00A44D78"/>
    <w:rsid w:val="00A44D84"/>
    <w:rsid w:val="00A44DC2"/>
    <w:rsid w:val="00A44E53"/>
    <w:rsid w:val="00A44E5D"/>
    <w:rsid w:val="00A44E8B"/>
    <w:rsid w:val="00A44E8F"/>
    <w:rsid w:val="00A44F2D"/>
    <w:rsid w:val="00A44F5D"/>
    <w:rsid w:val="00A44F88"/>
    <w:rsid w:val="00A44FB0"/>
    <w:rsid w:val="00A45019"/>
    <w:rsid w:val="00A4506A"/>
    <w:rsid w:val="00A450DE"/>
    <w:rsid w:val="00A45120"/>
    <w:rsid w:val="00A45134"/>
    <w:rsid w:val="00A4514E"/>
    <w:rsid w:val="00A45156"/>
    <w:rsid w:val="00A4517C"/>
    <w:rsid w:val="00A451AD"/>
    <w:rsid w:val="00A451DE"/>
    <w:rsid w:val="00A45200"/>
    <w:rsid w:val="00A4524D"/>
    <w:rsid w:val="00A45284"/>
    <w:rsid w:val="00A452F9"/>
    <w:rsid w:val="00A4532A"/>
    <w:rsid w:val="00A453B7"/>
    <w:rsid w:val="00A453D5"/>
    <w:rsid w:val="00A453E9"/>
    <w:rsid w:val="00A453F5"/>
    <w:rsid w:val="00A453FC"/>
    <w:rsid w:val="00A453FF"/>
    <w:rsid w:val="00A4542D"/>
    <w:rsid w:val="00A45445"/>
    <w:rsid w:val="00A45449"/>
    <w:rsid w:val="00A45519"/>
    <w:rsid w:val="00A45534"/>
    <w:rsid w:val="00A455D9"/>
    <w:rsid w:val="00A45639"/>
    <w:rsid w:val="00A4578F"/>
    <w:rsid w:val="00A45798"/>
    <w:rsid w:val="00A457B3"/>
    <w:rsid w:val="00A457DE"/>
    <w:rsid w:val="00A4580B"/>
    <w:rsid w:val="00A45815"/>
    <w:rsid w:val="00A4583D"/>
    <w:rsid w:val="00A45866"/>
    <w:rsid w:val="00A45884"/>
    <w:rsid w:val="00A458B6"/>
    <w:rsid w:val="00A45936"/>
    <w:rsid w:val="00A459CD"/>
    <w:rsid w:val="00A459F9"/>
    <w:rsid w:val="00A45A11"/>
    <w:rsid w:val="00A45A3C"/>
    <w:rsid w:val="00A45A3F"/>
    <w:rsid w:val="00A45A51"/>
    <w:rsid w:val="00A45AA9"/>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148"/>
    <w:rsid w:val="00A46162"/>
    <w:rsid w:val="00A46228"/>
    <w:rsid w:val="00A46231"/>
    <w:rsid w:val="00A46254"/>
    <w:rsid w:val="00A4625B"/>
    <w:rsid w:val="00A462E1"/>
    <w:rsid w:val="00A46377"/>
    <w:rsid w:val="00A46388"/>
    <w:rsid w:val="00A46401"/>
    <w:rsid w:val="00A4640E"/>
    <w:rsid w:val="00A46456"/>
    <w:rsid w:val="00A46467"/>
    <w:rsid w:val="00A46490"/>
    <w:rsid w:val="00A464FA"/>
    <w:rsid w:val="00A46530"/>
    <w:rsid w:val="00A46554"/>
    <w:rsid w:val="00A46562"/>
    <w:rsid w:val="00A4657B"/>
    <w:rsid w:val="00A465AA"/>
    <w:rsid w:val="00A465BD"/>
    <w:rsid w:val="00A465BE"/>
    <w:rsid w:val="00A465C8"/>
    <w:rsid w:val="00A465DE"/>
    <w:rsid w:val="00A465E4"/>
    <w:rsid w:val="00A46603"/>
    <w:rsid w:val="00A4660A"/>
    <w:rsid w:val="00A4664B"/>
    <w:rsid w:val="00A466BA"/>
    <w:rsid w:val="00A466CE"/>
    <w:rsid w:val="00A466FC"/>
    <w:rsid w:val="00A46720"/>
    <w:rsid w:val="00A46732"/>
    <w:rsid w:val="00A46735"/>
    <w:rsid w:val="00A4673F"/>
    <w:rsid w:val="00A46751"/>
    <w:rsid w:val="00A46772"/>
    <w:rsid w:val="00A467C4"/>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62"/>
    <w:rsid w:val="00A46E72"/>
    <w:rsid w:val="00A46E9D"/>
    <w:rsid w:val="00A46EC5"/>
    <w:rsid w:val="00A46ED6"/>
    <w:rsid w:val="00A46EEE"/>
    <w:rsid w:val="00A46EF5"/>
    <w:rsid w:val="00A46F23"/>
    <w:rsid w:val="00A46F3D"/>
    <w:rsid w:val="00A46FB4"/>
    <w:rsid w:val="00A4701F"/>
    <w:rsid w:val="00A47047"/>
    <w:rsid w:val="00A47069"/>
    <w:rsid w:val="00A470B2"/>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A1"/>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A21"/>
    <w:rsid w:val="00A47A54"/>
    <w:rsid w:val="00A47AA6"/>
    <w:rsid w:val="00A47AB7"/>
    <w:rsid w:val="00A47AC4"/>
    <w:rsid w:val="00A47ACE"/>
    <w:rsid w:val="00A47B15"/>
    <w:rsid w:val="00A47BD9"/>
    <w:rsid w:val="00A47C12"/>
    <w:rsid w:val="00A47C4F"/>
    <w:rsid w:val="00A47C87"/>
    <w:rsid w:val="00A47C94"/>
    <w:rsid w:val="00A47CF3"/>
    <w:rsid w:val="00A47D71"/>
    <w:rsid w:val="00A47DA2"/>
    <w:rsid w:val="00A47DE1"/>
    <w:rsid w:val="00A47DE8"/>
    <w:rsid w:val="00A47DEA"/>
    <w:rsid w:val="00A47E06"/>
    <w:rsid w:val="00A47E17"/>
    <w:rsid w:val="00A47E48"/>
    <w:rsid w:val="00A47EAD"/>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5C"/>
    <w:rsid w:val="00A50568"/>
    <w:rsid w:val="00A505A9"/>
    <w:rsid w:val="00A505C0"/>
    <w:rsid w:val="00A505D2"/>
    <w:rsid w:val="00A505FD"/>
    <w:rsid w:val="00A5061F"/>
    <w:rsid w:val="00A50629"/>
    <w:rsid w:val="00A50642"/>
    <w:rsid w:val="00A50660"/>
    <w:rsid w:val="00A50692"/>
    <w:rsid w:val="00A506FA"/>
    <w:rsid w:val="00A50779"/>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F8"/>
    <w:rsid w:val="00A50F05"/>
    <w:rsid w:val="00A50F4F"/>
    <w:rsid w:val="00A50F6A"/>
    <w:rsid w:val="00A50F82"/>
    <w:rsid w:val="00A51012"/>
    <w:rsid w:val="00A51065"/>
    <w:rsid w:val="00A5106C"/>
    <w:rsid w:val="00A510B3"/>
    <w:rsid w:val="00A510BC"/>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B6"/>
    <w:rsid w:val="00A515B7"/>
    <w:rsid w:val="00A515FF"/>
    <w:rsid w:val="00A51632"/>
    <w:rsid w:val="00A51643"/>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E"/>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601"/>
    <w:rsid w:val="00A5261E"/>
    <w:rsid w:val="00A52632"/>
    <w:rsid w:val="00A526BD"/>
    <w:rsid w:val="00A5278E"/>
    <w:rsid w:val="00A527C1"/>
    <w:rsid w:val="00A527E2"/>
    <w:rsid w:val="00A527E5"/>
    <w:rsid w:val="00A527F1"/>
    <w:rsid w:val="00A528D3"/>
    <w:rsid w:val="00A528E8"/>
    <w:rsid w:val="00A52926"/>
    <w:rsid w:val="00A529AC"/>
    <w:rsid w:val="00A529AE"/>
    <w:rsid w:val="00A529BE"/>
    <w:rsid w:val="00A529C5"/>
    <w:rsid w:val="00A52A48"/>
    <w:rsid w:val="00A52A53"/>
    <w:rsid w:val="00A52A72"/>
    <w:rsid w:val="00A52A75"/>
    <w:rsid w:val="00A52A7A"/>
    <w:rsid w:val="00A52A88"/>
    <w:rsid w:val="00A52A89"/>
    <w:rsid w:val="00A52AD9"/>
    <w:rsid w:val="00A52B2E"/>
    <w:rsid w:val="00A52B40"/>
    <w:rsid w:val="00A52B52"/>
    <w:rsid w:val="00A52C19"/>
    <w:rsid w:val="00A52C6C"/>
    <w:rsid w:val="00A52CD2"/>
    <w:rsid w:val="00A52CF5"/>
    <w:rsid w:val="00A52D74"/>
    <w:rsid w:val="00A52D75"/>
    <w:rsid w:val="00A52DAE"/>
    <w:rsid w:val="00A52DC4"/>
    <w:rsid w:val="00A52E23"/>
    <w:rsid w:val="00A52E55"/>
    <w:rsid w:val="00A52E69"/>
    <w:rsid w:val="00A52EE3"/>
    <w:rsid w:val="00A52EF7"/>
    <w:rsid w:val="00A52F2E"/>
    <w:rsid w:val="00A52F73"/>
    <w:rsid w:val="00A52F87"/>
    <w:rsid w:val="00A52F8C"/>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E2"/>
    <w:rsid w:val="00A53488"/>
    <w:rsid w:val="00A534DA"/>
    <w:rsid w:val="00A5353E"/>
    <w:rsid w:val="00A53565"/>
    <w:rsid w:val="00A53576"/>
    <w:rsid w:val="00A53584"/>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55"/>
    <w:rsid w:val="00A53B9A"/>
    <w:rsid w:val="00A53BA7"/>
    <w:rsid w:val="00A53BE8"/>
    <w:rsid w:val="00A53C02"/>
    <w:rsid w:val="00A53C81"/>
    <w:rsid w:val="00A53C9D"/>
    <w:rsid w:val="00A53C9E"/>
    <w:rsid w:val="00A53CC0"/>
    <w:rsid w:val="00A53D0A"/>
    <w:rsid w:val="00A53D74"/>
    <w:rsid w:val="00A53DD2"/>
    <w:rsid w:val="00A53DE4"/>
    <w:rsid w:val="00A53DEF"/>
    <w:rsid w:val="00A53E1C"/>
    <w:rsid w:val="00A53E45"/>
    <w:rsid w:val="00A53E83"/>
    <w:rsid w:val="00A53E85"/>
    <w:rsid w:val="00A53ED8"/>
    <w:rsid w:val="00A53F45"/>
    <w:rsid w:val="00A53F7A"/>
    <w:rsid w:val="00A53FD4"/>
    <w:rsid w:val="00A53FE6"/>
    <w:rsid w:val="00A53FF0"/>
    <w:rsid w:val="00A53FFC"/>
    <w:rsid w:val="00A5400B"/>
    <w:rsid w:val="00A54015"/>
    <w:rsid w:val="00A54021"/>
    <w:rsid w:val="00A54054"/>
    <w:rsid w:val="00A54061"/>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4F6"/>
    <w:rsid w:val="00A5450A"/>
    <w:rsid w:val="00A5450F"/>
    <w:rsid w:val="00A54546"/>
    <w:rsid w:val="00A5454D"/>
    <w:rsid w:val="00A545B7"/>
    <w:rsid w:val="00A545DA"/>
    <w:rsid w:val="00A545E6"/>
    <w:rsid w:val="00A545EE"/>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C7D"/>
    <w:rsid w:val="00A54C7E"/>
    <w:rsid w:val="00A54CEC"/>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2A0"/>
    <w:rsid w:val="00A55304"/>
    <w:rsid w:val="00A55316"/>
    <w:rsid w:val="00A5537C"/>
    <w:rsid w:val="00A553BA"/>
    <w:rsid w:val="00A553C8"/>
    <w:rsid w:val="00A55414"/>
    <w:rsid w:val="00A55441"/>
    <w:rsid w:val="00A55448"/>
    <w:rsid w:val="00A55466"/>
    <w:rsid w:val="00A554C4"/>
    <w:rsid w:val="00A554DD"/>
    <w:rsid w:val="00A55546"/>
    <w:rsid w:val="00A55590"/>
    <w:rsid w:val="00A555BD"/>
    <w:rsid w:val="00A55610"/>
    <w:rsid w:val="00A5563B"/>
    <w:rsid w:val="00A5565E"/>
    <w:rsid w:val="00A55691"/>
    <w:rsid w:val="00A556B7"/>
    <w:rsid w:val="00A556E1"/>
    <w:rsid w:val="00A55748"/>
    <w:rsid w:val="00A557C5"/>
    <w:rsid w:val="00A5581D"/>
    <w:rsid w:val="00A55827"/>
    <w:rsid w:val="00A558B7"/>
    <w:rsid w:val="00A558D5"/>
    <w:rsid w:val="00A55933"/>
    <w:rsid w:val="00A55957"/>
    <w:rsid w:val="00A559B2"/>
    <w:rsid w:val="00A559B8"/>
    <w:rsid w:val="00A55A02"/>
    <w:rsid w:val="00A55A18"/>
    <w:rsid w:val="00A55A28"/>
    <w:rsid w:val="00A55A41"/>
    <w:rsid w:val="00A55AB2"/>
    <w:rsid w:val="00A55C25"/>
    <w:rsid w:val="00A55C56"/>
    <w:rsid w:val="00A55CA7"/>
    <w:rsid w:val="00A55D29"/>
    <w:rsid w:val="00A55D3A"/>
    <w:rsid w:val="00A55DD5"/>
    <w:rsid w:val="00A55DF6"/>
    <w:rsid w:val="00A55E2E"/>
    <w:rsid w:val="00A55E4C"/>
    <w:rsid w:val="00A55E66"/>
    <w:rsid w:val="00A55E9C"/>
    <w:rsid w:val="00A55EC8"/>
    <w:rsid w:val="00A55F01"/>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3A5"/>
    <w:rsid w:val="00A5644A"/>
    <w:rsid w:val="00A5645A"/>
    <w:rsid w:val="00A56477"/>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EF"/>
    <w:rsid w:val="00A56961"/>
    <w:rsid w:val="00A569ED"/>
    <w:rsid w:val="00A569F6"/>
    <w:rsid w:val="00A56A31"/>
    <w:rsid w:val="00A56AA4"/>
    <w:rsid w:val="00A56AAE"/>
    <w:rsid w:val="00A56AC1"/>
    <w:rsid w:val="00A56AC5"/>
    <w:rsid w:val="00A56B77"/>
    <w:rsid w:val="00A56BA3"/>
    <w:rsid w:val="00A56BCE"/>
    <w:rsid w:val="00A56BFE"/>
    <w:rsid w:val="00A56C0C"/>
    <w:rsid w:val="00A56C3D"/>
    <w:rsid w:val="00A56C4A"/>
    <w:rsid w:val="00A56C4D"/>
    <w:rsid w:val="00A56CB5"/>
    <w:rsid w:val="00A56CE6"/>
    <w:rsid w:val="00A56CFC"/>
    <w:rsid w:val="00A56D00"/>
    <w:rsid w:val="00A56D44"/>
    <w:rsid w:val="00A56D5A"/>
    <w:rsid w:val="00A56D7D"/>
    <w:rsid w:val="00A56DA0"/>
    <w:rsid w:val="00A56DE9"/>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2F4"/>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F53"/>
    <w:rsid w:val="00A57F97"/>
    <w:rsid w:val="00A60006"/>
    <w:rsid w:val="00A60055"/>
    <w:rsid w:val="00A6008B"/>
    <w:rsid w:val="00A600E6"/>
    <w:rsid w:val="00A601E2"/>
    <w:rsid w:val="00A6021F"/>
    <w:rsid w:val="00A60228"/>
    <w:rsid w:val="00A6023D"/>
    <w:rsid w:val="00A6024C"/>
    <w:rsid w:val="00A6027A"/>
    <w:rsid w:val="00A6027B"/>
    <w:rsid w:val="00A602B9"/>
    <w:rsid w:val="00A60325"/>
    <w:rsid w:val="00A6034F"/>
    <w:rsid w:val="00A60398"/>
    <w:rsid w:val="00A6039A"/>
    <w:rsid w:val="00A603A2"/>
    <w:rsid w:val="00A603CA"/>
    <w:rsid w:val="00A603CD"/>
    <w:rsid w:val="00A60454"/>
    <w:rsid w:val="00A6045E"/>
    <w:rsid w:val="00A60519"/>
    <w:rsid w:val="00A60534"/>
    <w:rsid w:val="00A605AB"/>
    <w:rsid w:val="00A605D0"/>
    <w:rsid w:val="00A605FD"/>
    <w:rsid w:val="00A60641"/>
    <w:rsid w:val="00A6064F"/>
    <w:rsid w:val="00A60658"/>
    <w:rsid w:val="00A606C7"/>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14"/>
    <w:rsid w:val="00A60F1E"/>
    <w:rsid w:val="00A60F30"/>
    <w:rsid w:val="00A60F8B"/>
    <w:rsid w:val="00A60FEB"/>
    <w:rsid w:val="00A6100A"/>
    <w:rsid w:val="00A61028"/>
    <w:rsid w:val="00A6102E"/>
    <w:rsid w:val="00A61066"/>
    <w:rsid w:val="00A61074"/>
    <w:rsid w:val="00A610A6"/>
    <w:rsid w:val="00A610D7"/>
    <w:rsid w:val="00A610F5"/>
    <w:rsid w:val="00A61125"/>
    <w:rsid w:val="00A61135"/>
    <w:rsid w:val="00A611BD"/>
    <w:rsid w:val="00A61205"/>
    <w:rsid w:val="00A61262"/>
    <w:rsid w:val="00A6128D"/>
    <w:rsid w:val="00A61312"/>
    <w:rsid w:val="00A61334"/>
    <w:rsid w:val="00A6138E"/>
    <w:rsid w:val="00A613FC"/>
    <w:rsid w:val="00A61408"/>
    <w:rsid w:val="00A61457"/>
    <w:rsid w:val="00A6146C"/>
    <w:rsid w:val="00A614F1"/>
    <w:rsid w:val="00A614F4"/>
    <w:rsid w:val="00A61503"/>
    <w:rsid w:val="00A615BA"/>
    <w:rsid w:val="00A615D1"/>
    <w:rsid w:val="00A615ED"/>
    <w:rsid w:val="00A6167D"/>
    <w:rsid w:val="00A616E7"/>
    <w:rsid w:val="00A616EC"/>
    <w:rsid w:val="00A616F2"/>
    <w:rsid w:val="00A6172D"/>
    <w:rsid w:val="00A61795"/>
    <w:rsid w:val="00A6179E"/>
    <w:rsid w:val="00A61860"/>
    <w:rsid w:val="00A61872"/>
    <w:rsid w:val="00A6188F"/>
    <w:rsid w:val="00A6193C"/>
    <w:rsid w:val="00A6197E"/>
    <w:rsid w:val="00A619A8"/>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5D"/>
    <w:rsid w:val="00A61F60"/>
    <w:rsid w:val="00A61FB5"/>
    <w:rsid w:val="00A61FED"/>
    <w:rsid w:val="00A620A4"/>
    <w:rsid w:val="00A620DD"/>
    <w:rsid w:val="00A6213C"/>
    <w:rsid w:val="00A621B6"/>
    <w:rsid w:val="00A6223A"/>
    <w:rsid w:val="00A622BB"/>
    <w:rsid w:val="00A622BC"/>
    <w:rsid w:val="00A6236C"/>
    <w:rsid w:val="00A623C6"/>
    <w:rsid w:val="00A6244D"/>
    <w:rsid w:val="00A624ED"/>
    <w:rsid w:val="00A62546"/>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10"/>
    <w:rsid w:val="00A62F57"/>
    <w:rsid w:val="00A62FE9"/>
    <w:rsid w:val="00A6302C"/>
    <w:rsid w:val="00A63030"/>
    <w:rsid w:val="00A63054"/>
    <w:rsid w:val="00A630F1"/>
    <w:rsid w:val="00A63115"/>
    <w:rsid w:val="00A632C9"/>
    <w:rsid w:val="00A632F0"/>
    <w:rsid w:val="00A632FF"/>
    <w:rsid w:val="00A63327"/>
    <w:rsid w:val="00A63329"/>
    <w:rsid w:val="00A63335"/>
    <w:rsid w:val="00A6336E"/>
    <w:rsid w:val="00A633CB"/>
    <w:rsid w:val="00A6340B"/>
    <w:rsid w:val="00A6348D"/>
    <w:rsid w:val="00A634A5"/>
    <w:rsid w:val="00A634D3"/>
    <w:rsid w:val="00A6351B"/>
    <w:rsid w:val="00A6352A"/>
    <w:rsid w:val="00A63533"/>
    <w:rsid w:val="00A63538"/>
    <w:rsid w:val="00A63586"/>
    <w:rsid w:val="00A635A0"/>
    <w:rsid w:val="00A635C6"/>
    <w:rsid w:val="00A635CD"/>
    <w:rsid w:val="00A635E0"/>
    <w:rsid w:val="00A635F8"/>
    <w:rsid w:val="00A635F9"/>
    <w:rsid w:val="00A63606"/>
    <w:rsid w:val="00A6360D"/>
    <w:rsid w:val="00A63625"/>
    <w:rsid w:val="00A6362B"/>
    <w:rsid w:val="00A63662"/>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41"/>
    <w:rsid w:val="00A63A5E"/>
    <w:rsid w:val="00A63A91"/>
    <w:rsid w:val="00A63AAC"/>
    <w:rsid w:val="00A63AD9"/>
    <w:rsid w:val="00A63B14"/>
    <w:rsid w:val="00A63B33"/>
    <w:rsid w:val="00A63B6F"/>
    <w:rsid w:val="00A63C00"/>
    <w:rsid w:val="00A63C6F"/>
    <w:rsid w:val="00A63D4D"/>
    <w:rsid w:val="00A63E36"/>
    <w:rsid w:val="00A63E49"/>
    <w:rsid w:val="00A63E4B"/>
    <w:rsid w:val="00A63E83"/>
    <w:rsid w:val="00A63EF5"/>
    <w:rsid w:val="00A63F18"/>
    <w:rsid w:val="00A63F22"/>
    <w:rsid w:val="00A63F8A"/>
    <w:rsid w:val="00A63F99"/>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7"/>
    <w:rsid w:val="00A648DD"/>
    <w:rsid w:val="00A648FC"/>
    <w:rsid w:val="00A64937"/>
    <w:rsid w:val="00A64988"/>
    <w:rsid w:val="00A649BB"/>
    <w:rsid w:val="00A649D6"/>
    <w:rsid w:val="00A649DA"/>
    <w:rsid w:val="00A64A04"/>
    <w:rsid w:val="00A64AD4"/>
    <w:rsid w:val="00A64B02"/>
    <w:rsid w:val="00A64B41"/>
    <w:rsid w:val="00A64BA1"/>
    <w:rsid w:val="00A64BA6"/>
    <w:rsid w:val="00A64BCE"/>
    <w:rsid w:val="00A64C95"/>
    <w:rsid w:val="00A64D0F"/>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8"/>
    <w:rsid w:val="00A65159"/>
    <w:rsid w:val="00A651AD"/>
    <w:rsid w:val="00A651B0"/>
    <w:rsid w:val="00A651DB"/>
    <w:rsid w:val="00A65203"/>
    <w:rsid w:val="00A65224"/>
    <w:rsid w:val="00A6523B"/>
    <w:rsid w:val="00A65246"/>
    <w:rsid w:val="00A6524D"/>
    <w:rsid w:val="00A6526B"/>
    <w:rsid w:val="00A652B0"/>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6C"/>
    <w:rsid w:val="00A656AC"/>
    <w:rsid w:val="00A6572B"/>
    <w:rsid w:val="00A65789"/>
    <w:rsid w:val="00A657BD"/>
    <w:rsid w:val="00A657EF"/>
    <w:rsid w:val="00A657F4"/>
    <w:rsid w:val="00A65870"/>
    <w:rsid w:val="00A65899"/>
    <w:rsid w:val="00A658D9"/>
    <w:rsid w:val="00A6596E"/>
    <w:rsid w:val="00A65987"/>
    <w:rsid w:val="00A65A01"/>
    <w:rsid w:val="00A65A5E"/>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1"/>
    <w:rsid w:val="00A6604F"/>
    <w:rsid w:val="00A66069"/>
    <w:rsid w:val="00A660B7"/>
    <w:rsid w:val="00A66115"/>
    <w:rsid w:val="00A66143"/>
    <w:rsid w:val="00A661C9"/>
    <w:rsid w:val="00A66237"/>
    <w:rsid w:val="00A66257"/>
    <w:rsid w:val="00A66264"/>
    <w:rsid w:val="00A662B4"/>
    <w:rsid w:val="00A66327"/>
    <w:rsid w:val="00A66360"/>
    <w:rsid w:val="00A66384"/>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8C"/>
    <w:rsid w:val="00A6679D"/>
    <w:rsid w:val="00A667D6"/>
    <w:rsid w:val="00A66941"/>
    <w:rsid w:val="00A6699C"/>
    <w:rsid w:val="00A669B6"/>
    <w:rsid w:val="00A669EB"/>
    <w:rsid w:val="00A66A12"/>
    <w:rsid w:val="00A66A1D"/>
    <w:rsid w:val="00A66A6A"/>
    <w:rsid w:val="00A66A85"/>
    <w:rsid w:val="00A66B18"/>
    <w:rsid w:val="00A66B9B"/>
    <w:rsid w:val="00A66BD0"/>
    <w:rsid w:val="00A66BE4"/>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7063"/>
    <w:rsid w:val="00A670B0"/>
    <w:rsid w:val="00A670D4"/>
    <w:rsid w:val="00A67107"/>
    <w:rsid w:val="00A67154"/>
    <w:rsid w:val="00A67177"/>
    <w:rsid w:val="00A671C0"/>
    <w:rsid w:val="00A671E6"/>
    <w:rsid w:val="00A671E7"/>
    <w:rsid w:val="00A67253"/>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2"/>
    <w:rsid w:val="00A67891"/>
    <w:rsid w:val="00A67927"/>
    <w:rsid w:val="00A67944"/>
    <w:rsid w:val="00A67963"/>
    <w:rsid w:val="00A679A1"/>
    <w:rsid w:val="00A67A1D"/>
    <w:rsid w:val="00A67A45"/>
    <w:rsid w:val="00A67A8A"/>
    <w:rsid w:val="00A67AC4"/>
    <w:rsid w:val="00A67B72"/>
    <w:rsid w:val="00A67B89"/>
    <w:rsid w:val="00A67BC0"/>
    <w:rsid w:val="00A67BEC"/>
    <w:rsid w:val="00A67BED"/>
    <w:rsid w:val="00A67C68"/>
    <w:rsid w:val="00A67C69"/>
    <w:rsid w:val="00A67CAB"/>
    <w:rsid w:val="00A67CF9"/>
    <w:rsid w:val="00A67D2D"/>
    <w:rsid w:val="00A67D73"/>
    <w:rsid w:val="00A67D81"/>
    <w:rsid w:val="00A67D85"/>
    <w:rsid w:val="00A67D99"/>
    <w:rsid w:val="00A67DAC"/>
    <w:rsid w:val="00A67DCB"/>
    <w:rsid w:val="00A67E01"/>
    <w:rsid w:val="00A67E5B"/>
    <w:rsid w:val="00A67E7F"/>
    <w:rsid w:val="00A67E87"/>
    <w:rsid w:val="00A67EED"/>
    <w:rsid w:val="00A67EF8"/>
    <w:rsid w:val="00A67F34"/>
    <w:rsid w:val="00A67F5D"/>
    <w:rsid w:val="00A67F71"/>
    <w:rsid w:val="00A67FA1"/>
    <w:rsid w:val="00A67FD6"/>
    <w:rsid w:val="00A67FD9"/>
    <w:rsid w:val="00A67FE8"/>
    <w:rsid w:val="00A70091"/>
    <w:rsid w:val="00A700E5"/>
    <w:rsid w:val="00A7017E"/>
    <w:rsid w:val="00A701BA"/>
    <w:rsid w:val="00A702C7"/>
    <w:rsid w:val="00A702C8"/>
    <w:rsid w:val="00A70329"/>
    <w:rsid w:val="00A70333"/>
    <w:rsid w:val="00A70345"/>
    <w:rsid w:val="00A703A7"/>
    <w:rsid w:val="00A703C9"/>
    <w:rsid w:val="00A7041B"/>
    <w:rsid w:val="00A7049F"/>
    <w:rsid w:val="00A705CE"/>
    <w:rsid w:val="00A705D7"/>
    <w:rsid w:val="00A705FF"/>
    <w:rsid w:val="00A70647"/>
    <w:rsid w:val="00A706C8"/>
    <w:rsid w:val="00A706D5"/>
    <w:rsid w:val="00A706D8"/>
    <w:rsid w:val="00A706E1"/>
    <w:rsid w:val="00A707A2"/>
    <w:rsid w:val="00A707B0"/>
    <w:rsid w:val="00A707C0"/>
    <w:rsid w:val="00A707C5"/>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B64"/>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12"/>
    <w:rsid w:val="00A71120"/>
    <w:rsid w:val="00A71155"/>
    <w:rsid w:val="00A71172"/>
    <w:rsid w:val="00A71271"/>
    <w:rsid w:val="00A712D9"/>
    <w:rsid w:val="00A712EF"/>
    <w:rsid w:val="00A71369"/>
    <w:rsid w:val="00A7145A"/>
    <w:rsid w:val="00A71476"/>
    <w:rsid w:val="00A7148E"/>
    <w:rsid w:val="00A71505"/>
    <w:rsid w:val="00A71518"/>
    <w:rsid w:val="00A71657"/>
    <w:rsid w:val="00A71667"/>
    <w:rsid w:val="00A71683"/>
    <w:rsid w:val="00A716D0"/>
    <w:rsid w:val="00A71721"/>
    <w:rsid w:val="00A7172A"/>
    <w:rsid w:val="00A7175F"/>
    <w:rsid w:val="00A71780"/>
    <w:rsid w:val="00A71879"/>
    <w:rsid w:val="00A7188E"/>
    <w:rsid w:val="00A71893"/>
    <w:rsid w:val="00A718C6"/>
    <w:rsid w:val="00A7190B"/>
    <w:rsid w:val="00A71912"/>
    <w:rsid w:val="00A7191A"/>
    <w:rsid w:val="00A71922"/>
    <w:rsid w:val="00A7197D"/>
    <w:rsid w:val="00A719B0"/>
    <w:rsid w:val="00A71A2B"/>
    <w:rsid w:val="00A71A6A"/>
    <w:rsid w:val="00A71AAA"/>
    <w:rsid w:val="00A71AB5"/>
    <w:rsid w:val="00A71AEC"/>
    <w:rsid w:val="00A71B1D"/>
    <w:rsid w:val="00A71B3B"/>
    <w:rsid w:val="00A71B59"/>
    <w:rsid w:val="00A71B8A"/>
    <w:rsid w:val="00A71B97"/>
    <w:rsid w:val="00A71B98"/>
    <w:rsid w:val="00A71B9B"/>
    <w:rsid w:val="00A71BB3"/>
    <w:rsid w:val="00A71BB5"/>
    <w:rsid w:val="00A71C0A"/>
    <w:rsid w:val="00A71C1D"/>
    <w:rsid w:val="00A71C96"/>
    <w:rsid w:val="00A71CAC"/>
    <w:rsid w:val="00A71CD4"/>
    <w:rsid w:val="00A71CE3"/>
    <w:rsid w:val="00A71D08"/>
    <w:rsid w:val="00A71D25"/>
    <w:rsid w:val="00A71D7C"/>
    <w:rsid w:val="00A71DD9"/>
    <w:rsid w:val="00A71DEB"/>
    <w:rsid w:val="00A71E6F"/>
    <w:rsid w:val="00A71E7D"/>
    <w:rsid w:val="00A71F2B"/>
    <w:rsid w:val="00A71FAA"/>
    <w:rsid w:val="00A71FAD"/>
    <w:rsid w:val="00A71FEC"/>
    <w:rsid w:val="00A71FF8"/>
    <w:rsid w:val="00A72012"/>
    <w:rsid w:val="00A72017"/>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2B"/>
    <w:rsid w:val="00A73050"/>
    <w:rsid w:val="00A73054"/>
    <w:rsid w:val="00A73097"/>
    <w:rsid w:val="00A730A9"/>
    <w:rsid w:val="00A7314E"/>
    <w:rsid w:val="00A7314F"/>
    <w:rsid w:val="00A73170"/>
    <w:rsid w:val="00A731B7"/>
    <w:rsid w:val="00A731E4"/>
    <w:rsid w:val="00A731EE"/>
    <w:rsid w:val="00A73260"/>
    <w:rsid w:val="00A732A8"/>
    <w:rsid w:val="00A732CB"/>
    <w:rsid w:val="00A732D0"/>
    <w:rsid w:val="00A732D7"/>
    <w:rsid w:val="00A7331A"/>
    <w:rsid w:val="00A7331B"/>
    <w:rsid w:val="00A73368"/>
    <w:rsid w:val="00A7337E"/>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729"/>
    <w:rsid w:val="00A7373E"/>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DD0"/>
    <w:rsid w:val="00A73E04"/>
    <w:rsid w:val="00A73E5C"/>
    <w:rsid w:val="00A73EA3"/>
    <w:rsid w:val="00A73EB3"/>
    <w:rsid w:val="00A73EC9"/>
    <w:rsid w:val="00A73EE5"/>
    <w:rsid w:val="00A73EFA"/>
    <w:rsid w:val="00A73F1A"/>
    <w:rsid w:val="00A73F55"/>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75"/>
    <w:rsid w:val="00A74879"/>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D9"/>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10E"/>
    <w:rsid w:val="00A75161"/>
    <w:rsid w:val="00A75175"/>
    <w:rsid w:val="00A75197"/>
    <w:rsid w:val="00A751EB"/>
    <w:rsid w:val="00A7523C"/>
    <w:rsid w:val="00A752D2"/>
    <w:rsid w:val="00A752EF"/>
    <w:rsid w:val="00A75310"/>
    <w:rsid w:val="00A75349"/>
    <w:rsid w:val="00A7535C"/>
    <w:rsid w:val="00A75371"/>
    <w:rsid w:val="00A7539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BC"/>
    <w:rsid w:val="00A75BE0"/>
    <w:rsid w:val="00A75BF6"/>
    <w:rsid w:val="00A75C05"/>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8D"/>
    <w:rsid w:val="00A75FA9"/>
    <w:rsid w:val="00A75FE3"/>
    <w:rsid w:val="00A75FE9"/>
    <w:rsid w:val="00A76002"/>
    <w:rsid w:val="00A76053"/>
    <w:rsid w:val="00A7605C"/>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61"/>
    <w:rsid w:val="00A764CD"/>
    <w:rsid w:val="00A764FE"/>
    <w:rsid w:val="00A7656B"/>
    <w:rsid w:val="00A76581"/>
    <w:rsid w:val="00A76643"/>
    <w:rsid w:val="00A76697"/>
    <w:rsid w:val="00A766BE"/>
    <w:rsid w:val="00A766D7"/>
    <w:rsid w:val="00A766E9"/>
    <w:rsid w:val="00A767BC"/>
    <w:rsid w:val="00A767CC"/>
    <w:rsid w:val="00A767FC"/>
    <w:rsid w:val="00A76838"/>
    <w:rsid w:val="00A7683A"/>
    <w:rsid w:val="00A76853"/>
    <w:rsid w:val="00A76856"/>
    <w:rsid w:val="00A7685C"/>
    <w:rsid w:val="00A768A9"/>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1A5"/>
    <w:rsid w:val="00A77258"/>
    <w:rsid w:val="00A772C9"/>
    <w:rsid w:val="00A7732D"/>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74E"/>
    <w:rsid w:val="00A77758"/>
    <w:rsid w:val="00A77766"/>
    <w:rsid w:val="00A77791"/>
    <w:rsid w:val="00A777AC"/>
    <w:rsid w:val="00A7785D"/>
    <w:rsid w:val="00A7788D"/>
    <w:rsid w:val="00A778FD"/>
    <w:rsid w:val="00A7797C"/>
    <w:rsid w:val="00A77985"/>
    <w:rsid w:val="00A779F9"/>
    <w:rsid w:val="00A77A00"/>
    <w:rsid w:val="00A77A0E"/>
    <w:rsid w:val="00A77A35"/>
    <w:rsid w:val="00A77B00"/>
    <w:rsid w:val="00A77B57"/>
    <w:rsid w:val="00A77B8A"/>
    <w:rsid w:val="00A77C3A"/>
    <w:rsid w:val="00A77C78"/>
    <w:rsid w:val="00A77C87"/>
    <w:rsid w:val="00A77C93"/>
    <w:rsid w:val="00A77CDE"/>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80091"/>
    <w:rsid w:val="00A800D8"/>
    <w:rsid w:val="00A800F2"/>
    <w:rsid w:val="00A8026E"/>
    <w:rsid w:val="00A80288"/>
    <w:rsid w:val="00A8028F"/>
    <w:rsid w:val="00A802C8"/>
    <w:rsid w:val="00A802D8"/>
    <w:rsid w:val="00A802F7"/>
    <w:rsid w:val="00A80339"/>
    <w:rsid w:val="00A80371"/>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75"/>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BE9"/>
    <w:rsid w:val="00A80C71"/>
    <w:rsid w:val="00A80CBE"/>
    <w:rsid w:val="00A80D40"/>
    <w:rsid w:val="00A80D77"/>
    <w:rsid w:val="00A80D81"/>
    <w:rsid w:val="00A80DB8"/>
    <w:rsid w:val="00A80DCA"/>
    <w:rsid w:val="00A80E31"/>
    <w:rsid w:val="00A80E84"/>
    <w:rsid w:val="00A80EBB"/>
    <w:rsid w:val="00A80EBD"/>
    <w:rsid w:val="00A80EDE"/>
    <w:rsid w:val="00A80EF1"/>
    <w:rsid w:val="00A80EFF"/>
    <w:rsid w:val="00A80F02"/>
    <w:rsid w:val="00A80F5C"/>
    <w:rsid w:val="00A80F72"/>
    <w:rsid w:val="00A80F93"/>
    <w:rsid w:val="00A80F9B"/>
    <w:rsid w:val="00A80FA1"/>
    <w:rsid w:val="00A80FCC"/>
    <w:rsid w:val="00A80FCD"/>
    <w:rsid w:val="00A80FDA"/>
    <w:rsid w:val="00A80FF8"/>
    <w:rsid w:val="00A81066"/>
    <w:rsid w:val="00A810AE"/>
    <w:rsid w:val="00A810C6"/>
    <w:rsid w:val="00A810E9"/>
    <w:rsid w:val="00A81113"/>
    <w:rsid w:val="00A81142"/>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817"/>
    <w:rsid w:val="00A81859"/>
    <w:rsid w:val="00A8185D"/>
    <w:rsid w:val="00A81891"/>
    <w:rsid w:val="00A819D6"/>
    <w:rsid w:val="00A81A4E"/>
    <w:rsid w:val="00A81ACF"/>
    <w:rsid w:val="00A81AEC"/>
    <w:rsid w:val="00A81AEE"/>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F8"/>
    <w:rsid w:val="00A82127"/>
    <w:rsid w:val="00A8214D"/>
    <w:rsid w:val="00A8218D"/>
    <w:rsid w:val="00A821B5"/>
    <w:rsid w:val="00A821C5"/>
    <w:rsid w:val="00A8224C"/>
    <w:rsid w:val="00A82262"/>
    <w:rsid w:val="00A8237F"/>
    <w:rsid w:val="00A82396"/>
    <w:rsid w:val="00A823BD"/>
    <w:rsid w:val="00A823DB"/>
    <w:rsid w:val="00A8241C"/>
    <w:rsid w:val="00A8247C"/>
    <w:rsid w:val="00A82487"/>
    <w:rsid w:val="00A824DE"/>
    <w:rsid w:val="00A8253D"/>
    <w:rsid w:val="00A8254B"/>
    <w:rsid w:val="00A82610"/>
    <w:rsid w:val="00A82652"/>
    <w:rsid w:val="00A82685"/>
    <w:rsid w:val="00A826C2"/>
    <w:rsid w:val="00A826DC"/>
    <w:rsid w:val="00A8270E"/>
    <w:rsid w:val="00A82727"/>
    <w:rsid w:val="00A8274C"/>
    <w:rsid w:val="00A827A1"/>
    <w:rsid w:val="00A827AF"/>
    <w:rsid w:val="00A827B7"/>
    <w:rsid w:val="00A827BD"/>
    <w:rsid w:val="00A827DD"/>
    <w:rsid w:val="00A82812"/>
    <w:rsid w:val="00A8285D"/>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E"/>
    <w:rsid w:val="00A82DC1"/>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D6"/>
    <w:rsid w:val="00A83123"/>
    <w:rsid w:val="00A8314E"/>
    <w:rsid w:val="00A831C7"/>
    <w:rsid w:val="00A8321A"/>
    <w:rsid w:val="00A83290"/>
    <w:rsid w:val="00A832A7"/>
    <w:rsid w:val="00A832B4"/>
    <w:rsid w:val="00A833C5"/>
    <w:rsid w:val="00A833F6"/>
    <w:rsid w:val="00A83415"/>
    <w:rsid w:val="00A8342F"/>
    <w:rsid w:val="00A8348A"/>
    <w:rsid w:val="00A834A2"/>
    <w:rsid w:val="00A834AD"/>
    <w:rsid w:val="00A834E4"/>
    <w:rsid w:val="00A834E8"/>
    <w:rsid w:val="00A834EC"/>
    <w:rsid w:val="00A83518"/>
    <w:rsid w:val="00A83524"/>
    <w:rsid w:val="00A83537"/>
    <w:rsid w:val="00A835C2"/>
    <w:rsid w:val="00A835F1"/>
    <w:rsid w:val="00A83622"/>
    <w:rsid w:val="00A83626"/>
    <w:rsid w:val="00A8365C"/>
    <w:rsid w:val="00A836B4"/>
    <w:rsid w:val="00A836BB"/>
    <w:rsid w:val="00A83707"/>
    <w:rsid w:val="00A83715"/>
    <w:rsid w:val="00A83757"/>
    <w:rsid w:val="00A837A9"/>
    <w:rsid w:val="00A837B8"/>
    <w:rsid w:val="00A83825"/>
    <w:rsid w:val="00A838B8"/>
    <w:rsid w:val="00A838FA"/>
    <w:rsid w:val="00A8398C"/>
    <w:rsid w:val="00A83991"/>
    <w:rsid w:val="00A83A35"/>
    <w:rsid w:val="00A83AB4"/>
    <w:rsid w:val="00A83AFA"/>
    <w:rsid w:val="00A83B0E"/>
    <w:rsid w:val="00A83BAA"/>
    <w:rsid w:val="00A83BC6"/>
    <w:rsid w:val="00A83BE8"/>
    <w:rsid w:val="00A83C2D"/>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6E8"/>
    <w:rsid w:val="00A84797"/>
    <w:rsid w:val="00A847A9"/>
    <w:rsid w:val="00A848A3"/>
    <w:rsid w:val="00A848F5"/>
    <w:rsid w:val="00A848F6"/>
    <w:rsid w:val="00A84915"/>
    <w:rsid w:val="00A84918"/>
    <w:rsid w:val="00A84920"/>
    <w:rsid w:val="00A84929"/>
    <w:rsid w:val="00A8499B"/>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9C"/>
    <w:rsid w:val="00A84FC1"/>
    <w:rsid w:val="00A85027"/>
    <w:rsid w:val="00A85031"/>
    <w:rsid w:val="00A8503B"/>
    <w:rsid w:val="00A8504E"/>
    <w:rsid w:val="00A8505E"/>
    <w:rsid w:val="00A85069"/>
    <w:rsid w:val="00A850C7"/>
    <w:rsid w:val="00A850CF"/>
    <w:rsid w:val="00A850E0"/>
    <w:rsid w:val="00A850E7"/>
    <w:rsid w:val="00A85115"/>
    <w:rsid w:val="00A8515F"/>
    <w:rsid w:val="00A85215"/>
    <w:rsid w:val="00A85258"/>
    <w:rsid w:val="00A85263"/>
    <w:rsid w:val="00A852B1"/>
    <w:rsid w:val="00A852CD"/>
    <w:rsid w:val="00A852F8"/>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7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16"/>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83"/>
    <w:rsid w:val="00A86489"/>
    <w:rsid w:val="00A8648C"/>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E1"/>
    <w:rsid w:val="00A86E09"/>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B4"/>
    <w:rsid w:val="00A873CE"/>
    <w:rsid w:val="00A873E3"/>
    <w:rsid w:val="00A87467"/>
    <w:rsid w:val="00A874C1"/>
    <w:rsid w:val="00A874CC"/>
    <w:rsid w:val="00A874D9"/>
    <w:rsid w:val="00A87510"/>
    <w:rsid w:val="00A87557"/>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91A"/>
    <w:rsid w:val="00A87960"/>
    <w:rsid w:val="00A879CA"/>
    <w:rsid w:val="00A87A14"/>
    <w:rsid w:val="00A87A2B"/>
    <w:rsid w:val="00A87A71"/>
    <w:rsid w:val="00A87AA6"/>
    <w:rsid w:val="00A87BA6"/>
    <w:rsid w:val="00A87BF4"/>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5E"/>
    <w:rsid w:val="00A90488"/>
    <w:rsid w:val="00A9049D"/>
    <w:rsid w:val="00A90503"/>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20"/>
    <w:rsid w:val="00A90EA7"/>
    <w:rsid w:val="00A90EB2"/>
    <w:rsid w:val="00A90F0A"/>
    <w:rsid w:val="00A90F23"/>
    <w:rsid w:val="00A90F63"/>
    <w:rsid w:val="00A90F72"/>
    <w:rsid w:val="00A90F87"/>
    <w:rsid w:val="00A90F95"/>
    <w:rsid w:val="00A90FA2"/>
    <w:rsid w:val="00A90FAB"/>
    <w:rsid w:val="00A90FAF"/>
    <w:rsid w:val="00A90FC4"/>
    <w:rsid w:val="00A90FE5"/>
    <w:rsid w:val="00A90FEC"/>
    <w:rsid w:val="00A9103B"/>
    <w:rsid w:val="00A9105B"/>
    <w:rsid w:val="00A9105E"/>
    <w:rsid w:val="00A91099"/>
    <w:rsid w:val="00A910D9"/>
    <w:rsid w:val="00A91150"/>
    <w:rsid w:val="00A9115E"/>
    <w:rsid w:val="00A91186"/>
    <w:rsid w:val="00A9122E"/>
    <w:rsid w:val="00A9124A"/>
    <w:rsid w:val="00A9124E"/>
    <w:rsid w:val="00A91283"/>
    <w:rsid w:val="00A9129F"/>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5B"/>
    <w:rsid w:val="00A91660"/>
    <w:rsid w:val="00A91688"/>
    <w:rsid w:val="00A916A8"/>
    <w:rsid w:val="00A916C1"/>
    <w:rsid w:val="00A91723"/>
    <w:rsid w:val="00A9172A"/>
    <w:rsid w:val="00A91731"/>
    <w:rsid w:val="00A91769"/>
    <w:rsid w:val="00A91770"/>
    <w:rsid w:val="00A917B4"/>
    <w:rsid w:val="00A9181C"/>
    <w:rsid w:val="00A91878"/>
    <w:rsid w:val="00A91897"/>
    <w:rsid w:val="00A918C4"/>
    <w:rsid w:val="00A918E4"/>
    <w:rsid w:val="00A9191D"/>
    <w:rsid w:val="00A9193A"/>
    <w:rsid w:val="00A9195B"/>
    <w:rsid w:val="00A9197B"/>
    <w:rsid w:val="00A91A35"/>
    <w:rsid w:val="00A91A6E"/>
    <w:rsid w:val="00A91AF9"/>
    <w:rsid w:val="00A91B53"/>
    <w:rsid w:val="00A91B8F"/>
    <w:rsid w:val="00A91BA2"/>
    <w:rsid w:val="00A91BAD"/>
    <w:rsid w:val="00A91BE8"/>
    <w:rsid w:val="00A91C1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1FD0"/>
    <w:rsid w:val="00A9201E"/>
    <w:rsid w:val="00A92023"/>
    <w:rsid w:val="00A92034"/>
    <w:rsid w:val="00A920A3"/>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A0"/>
    <w:rsid w:val="00A926C6"/>
    <w:rsid w:val="00A92702"/>
    <w:rsid w:val="00A9275C"/>
    <w:rsid w:val="00A9276D"/>
    <w:rsid w:val="00A927AC"/>
    <w:rsid w:val="00A927C7"/>
    <w:rsid w:val="00A9282F"/>
    <w:rsid w:val="00A92854"/>
    <w:rsid w:val="00A92884"/>
    <w:rsid w:val="00A92891"/>
    <w:rsid w:val="00A928F1"/>
    <w:rsid w:val="00A9291E"/>
    <w:rsid w:val="00A92953"/>
    <w:rsid w:val="00A92975"/>
    <w:rsid w:val="00A92978"/>
    <w:rsid w:val="00A9297C"/>
    <w:rsid w:val="00A929ED"/>
    <w:rsid w:val="00A92A3D"/>
    <w:rsid w:val="00A92A60"/>
    <w:rsid w:val="00A92A68"/>
    <w:rsid w:val="00A92B09"/>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8B"/>
    <w:rsid w:val="00A92D9F"/>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A0"/>
    <w:rsid w:val="00A93104"/>
    <w:rsid w:val="00A93116"/>
    <w:rsid w:val="00A93127"/>
    <w:rsid w:val="00A93142"/>
    <w:rsid w:val="00A9318B"/>
    <w:rsid w:val="00A931AE"/>
    <w:rsid w:val="00A9320F"/>
    <w:rsid w:val="00A93267"/>
    <w:rsid w:val="00A9327C"/>
    <w:rsid w:val="00A932B3"/>
    <w:rsid w:val="00A932ED"/>
    <w:rsid w:val="00A93311"/>
    <w:rsid w:val="00A9331A"/>
    <w:rsid w:val="00A9337C"/>
    <w:rsid w:val="00A933B8"/>
    <w:rsid w:val="00A933D5"/>
    <w:rsid w:val="00A93428"/>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AE"/>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D0"/>
    <w:rsid w:val="00A94BEC"/>
    <w:rsid w:val="00A94C3A"/>
    <w:rsid w:val="00A94C73"/>
    <w:rsid w:val="00A94D0D"/>
    <w:rsid w:val="00A94D25"/>
    <w:rsid w:val="00A94D74"/>
    <w:rsid w:val="00A94D7E"/>
    <w:rsid w:val="00A94D83"/>
    <w:rsid w:val="00A94DB3"/>
    <w:rsid w:val="00A94DDA"/>
    <w:rsid w:val="00A94DFC"/>
    <w:rsid w:val="00A94E4B"/>
    <w:rsid w:val="00A94E90"/>
    <w:rsid w:val="00A94E98"/>
    <w:rsid w:val="00A94F51"/>
    <w:rsid w:val="00A94F53"/>
    <w:rsid w:val="00A94F89"/>
    <w:rsid w:val="00A94F8A"/>
    <w:rsid w:val="00A94FB2"/>
    <w:rsid w:val="00A94FB5"/>
    <w:rsid w:val="00A94FC5"/>
    <w:rsid w:val="00A94FE0"/>
    <w:rsid w:val="00A9501B"/>
    <w:rsid w:val="00A95048"/>
    <w:rsid w:val="00A95077"/>
    <w:rsid w:val="00A9508D"/>
    <w:rsid w:val="00A9509F"/>
    <w:rsid w:val="00A950AF"/>
    <w:rsid w:val="00A950BF"/>
    <w:rsid w:val="00A95145"/>
    <w:rsid w:val="00A95181"/>
    <w:rsid w:val="00A95188"/>
    <w:rsid w:val="00A95210"/>
    <w:rsid w:val="00A95227"/>
    <w:rsid w:val="00A95277"/>
    <w:rsid w:val="00A95278"/>
    <w:rsid w:val="00A95297"/>
    <w:rsid w:val="00A952D6"/>
    <w:rsid w:val="00A952D9"/>
    <w:rsid w:val="00A952E7"/>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73C"/>
    <w:rsid w:val="00A957A8"/>
    <w:rsid w:val="00A95807"/>
    <w:rsid w:val="00A95889"/>
    <w:rsid w:val="00A95890"/>
    <w:rsid w:val="00A958A1"/>
    <w:rsid w:val="00A9594B"/>
    <w:rsid w:val="00A95964"/>
    <w:rsid w:val="00A95978"/>
    <w:rsid w:val="00A9599E"/>
    <w:rsid w:val="00A95A6D"/>
    <w:rsid w:val="00A95A81"/>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01"/>
    <w:rsid w:val="00A95E1D"/>
    <w:rsid w:val="00A95E68"/>
    <w:rsid w:val="00A95E76"/>
    <w:rsid w:val="00A95EA4"/>
    <w:rsid w:val="00A95EDD"/>
    <w:rsid w:val="00A95EE2"/>
    <w:rsid w:val="00A95EF2"/>
    <w:rsid w:val="00A95F38"/>
    <w:rsid w:val="00A95F45"/>
    <w:rsid w:val="00A95F4D"/>
    <w:rsid w:val="00A95F5E"/>
    <w:rsid w:val="00A95F9E"/>
    <w:rsid w:val="00A95FA7"/>
    <w:rsid w:val="00A95FD7"/>
    <w:rsid w:val="00A9602C"/>
    <w:rsid w:val="00A96072"/>
    <w:rsid w:val="00A960DE"/>
    <w:rsid w:val="00A960DF"/>
    <w:rsid w:val="00A96104"/>
    <w:rsid w:val="00A96134"/>
    <w:rsid w:val="00A9619C"/>
    <w:rsid w:val="00A961ED"/>
    <w:rsid w:val="00A96207"/>
    <w:rsid w:val="00A9623D"/>
    <w:rsid w:val="00A96268"/>
    <w:rsid w:val="00A962D9"/>
    <w:rsid w:val="00A9639E"/>
    <w:rsid w:val="00A963D1"/>
    <w:rsid w:val="00A963F0"/>
    <w:rsid w:val="00A96476"/>
    <w:rsid w:val="00A964BA"/>
    <w:rsid w:val="00A964BF"/>
    <w:rsid w:val="00A9653B"/>
    <w:rsid w:val="00A96546"/>
    <w:rsid w:val="00A96631"/>
    <w:rsid w:val="00A96638"/>
    <w:rsid w:val="00A9666C"/>
    <w:rsid w:val="00A96672"/>
    <w:rsid w:val="00A9669D"/>
    <w:rsid w:val="00A966A2"/>
    <w:rsid w:val="00A966E4"/>
    <w:rsid w:val="00A96711"/>
    <w:rsid w:val="00A9675E"/>
    <w:rsid w:val="00A9676B"/>
    <w:rsid w:val="00A967AB"/>
    <w:rsid w:val="00A967B6"/>
    <w:rsid w:val="00A967D9"/>
    <w:rsid w:val="00A96869"/>
    <w:rsid w:val="00A96892"/>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17C"/>
    <w:rsid w:val="00A971B0"/>
    <w:rsid w:val="00A971E3"/>
    <w:rsid w:val="00A971ED"/>
    <w:rsid w:val="00A9721C"/>
    <w:rsid w:val="00A97272"/>
    <w:rsid w:val="00A97383"/>
    <w:rsid w:val="00A9739B"/>
    <w:rsid w:val="00A97409"/>
    <w:rsid w:val="00A97419"/>
    <w:rsid w:val="00A97427"/>
    <w:rsid w:val="00A97447"/>
    <w:rsid w:val="00A97448"/>
    <w:rsid w:val="00A974EF"/>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FD"/>
    <w:rsid w:val="00A97F2C"/>
    <w:rsid w:val="00A97F43"/>
    <w:rsid w:val="00A97F5D"/>
    <w:rsid w:val="00A97F60"/>
    <w:rsid w:val="00A97FDC"/>
    <w:rsid w:val="00A97FEF"/>
    <w:rsid w:val="00AA004E"/>
    <w:rsid w:val="00AA0063"/>
    <w:rsid w:val="00AA0130"/>
    <w:rsid w:val="00AA014B"/>
    <w:rsid w:val="00AA0190"/>
    <w:rsid w:val="00AA01A8"/>
    <w:rsid w:val="00AA01BC"/>
    <w:rsid w:val="00AA0295"/>
    <w:rsid w:val="00AA02E3"/>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C62"/>
    <w:rsid w:val="00AA0CA8"/>
    <w:rsid w:val="00AA0D22"/>
    <w:rsid w:val="00AA0D40"/>
    <w:rsid w:val="00AA0E8B"/>
    <w:rsid w:val="00AA0EAE"/>
    <w:rsid w:val="00AA0EB1"/>
    <w:rsid w:val="00AA0EE4"/>
    <w:rsid w:val="00AA0F4F"/>
    <w:rsid w:val="00AA0F59"/>
    <w:rsid w:val="00AA0F94"/>
    <w:rsid w:val="00AA0FB9"/>
    <w:rsid w:val="00AA0FBD"/>
    <w:rsid w:val="00AA0FDB"/>
    <w:rsid w:val="00AA0FEA"/>
    <w:rsid w:val="00AA1024"/>
    <w:rsid w:val="00AA1089"/>
    <w:rsid w:val="00AA1099"/>
    <w:rsid w:val="00AA10E1"/>
    <w:rsid w:val="00AA112F"/>
    <w:rsid w:val="00AA1133"/>
    <w:rsid w:val="00AA115A"/>
    <w:rsid w:val="00AA121C"/>
    <w:rsid w:val="00AA1277"/>
    <w:rsid w:val="00AA1279"/>
    <w:rsid w:val="00AA1289"/>
    <w:rsid w:val="00AA12B3"/>
    <w:rsid w:val="00AA12BD"/>
    <w:rsid w:val="00AA1384"/>
    <w:rsid w:val="00AA13BE"/>
    <w:rsid w:val="00AA13F0"/>
    <w:rsid w:val="00AA145E"/>
    <w:rsid w:val="00AA14ED"/>
    <w:rsid w:val="00AA1511"/>
    <w:rsid w:val="00AA1528"/>
    <w:rsid w:val="00AA1583"/>
    <w:rsid w:val="00AA15BB"/>
    <w:rsid w:val="00AA15BD"/>
    <w:rsid w:val="00AA15BE"/>
    <w:rsid w:val="00AA1637"/>
    <w:rsid w:val="00AA1678"/>
    <w:rsid w:val="00AA16A1"/>
    <w:rsid w:val="00AA1811"/>
    <w:rsid w:val="00AA1848"/>
    <w:rsid w:val="00AA1852"/>
    <w:rsid w:val="00AA1895"/>
    <w:rsid w:val="00AA18BA"/>
    <w:rsid w:val="00AA18C3"/>
    <w:rsid w:val="00AA1908"/>
    <w:rsid w:val="00AA192B"/>
    <w:rsid w:val="00AA1952"/>
    <w:rsid w:val="00AA19CA"/>
    <w:rsid w:val="00AA19D2"/>
    <w:rsid w:val="00AA19D9"/>
    <w:rsid w:val="00AA19E9"/>
    <w:rsid w:val="00AA19F9"/>
    <w:rsid w:val="00AA1A0D"/>
    <w:rsid w:val="00AA1A76"/>
    <w:rsid w:val="00AA1AE2"/>
    <w:rsid w:val="00AA1AEA"/>
    <w:rsid w:val="00AA1B2E"/>
    <w:rsid w:val="00AA1B78"/>
    <w:rsid w:val="00AA1B85"/>
    <w:rsid w:val="00AA1BDB"/>
    <w:rsid w:val="00AA1BEE"/>
    <w:rsid w:val="00AA1C0B"/>
    <w:rsid w:val="00AA1C2E"/>
    <w:rsid w:val="00AA1C55"/>
    <w:rsid w:val="00AA1CE1"/>
    <w:rsid w:val="00AA1D36"/>
    <w:rsid w:val="00AA1D7F"/>
    <w:rsid w:val="00AA1D83"/>
    <w:rsid w:val="00AA1DB4"/>
    <w:rsid w:val="00AA1E71"/>
    <w:rsid w:val="00AA1E7A"/>
    <w:rsid w:val="00AA1E80"/>
    <w:rsid w:val="00AA1EA3"/>
    <w:rsid w:val="00AA1EAA"/>
    <w:rsid w:val="00AA1EC1"/>
    <w:rsid w:val="00AA1ED0"/>
    <w:rsid w:val="00AA1EF6"/>
    <w:rsid w:val="00AA1F24"/>
    <w:rsid w:val="00AA1FDD"/>
    <w:rsid w:val="00AA2011"/>
    <w:rsid w:val="00AA2031"/>
    <w:rsid w:val="00AA208F"/>
    <w:rsid w:val="00AA21EE"/>
    <w:rsid w:val="00AA2206"/>
    <w:rsid w:val="00AA220F"/>
    <w:rsid w:val="00AA221B"/>
    <w:rsid w:val="00AA2279"/>
    <w:rsid w:val="00AA2287"/>
    <w:rsid w:val="00AA229E"/>
    <w:rsid w:val="00AA22D0"/>
    <w:rsid w:val="00AA2354"/>
    <w:rsid w:val="00AA2359"/>
    <w:rsid w:val="00AA240E"/>
    <w:rsid w:val="00AA240F"/>
    <w:rsid w:val="00AA241F"/>
    <w:rsid w:val="00AA2425"/>
    <w:rsid w:val="00AA2458"/>
    <w:rsid w:val="00AA247D"/>
    <w:rsid w:val="00AA24C2"/>
    <w:rsid w:val="00AA24FE"/>
    <w:rsid w:val="00AA2500"/>
    <w:rsid w:val="00AA251C"/>
    <w:rsid w:val="00AA255D"/>
    <w:rsid w:val="00AA258F"/>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24"/>
    <w:rsid w:val="00AA3455"/>
    <w:rsid w:val="00AA3467"/>
    <w:rsid w:val="00AA3477"/>
    <w:rsid w:val="00AA34C1"/>
    <w:rsid w:val="00AA3565"/>
    <w:rsid w:val="00AA3575"/>
    <w:rsid w:val="00AA3597"/>
    <w:rsid w:val="00AA35AA"/>
    <w:rsid w:val="00AA35C0"/>
    <w:rsid w:val="00AA3635"/>
    <w:rsid w:val="00AA3677"/>
    <w:rsid w:val="00AA367E"/>
    <w:rsid w:val="00AA36A2"/>
    <w:rsid w:val="00AA36B6"/>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F1"/>
    <w:rsid w:val="00AA3A14"/>
    <w:rsid w:val="00AA3A6F"/>
    <w:rsid w:val="00AA3AA6"/>
    <w:rsid w:val="00AA3ADF"/>
    <w:rsid w:val="00AA3B29"/>
    <w:rsid w:val="00AA3B71"/>
    <w:rsid w:val="00AA3B73"/>
    <w:rsid w:val="00AA3BA9"/>
    <w:rsid w:val="00AA3BBF"/>
    <w:rsid w:val="00AA3C13"/>
    <w:rsid w:val="00AA3CA4"/>
    <w:rsid w:val="00AA3CF1"/>
    <w:rsid w:val="00AA3D9C"/>
    <w:rsid w:val="00AA3E21"/>
    <w:rsid w:val="00AA3E67"/>
    <w:rsid w:val="00AA3ECA"/>
    <w:rsid w:val="00AA3EF9"/>
    <w:rsid w:val="00AA3F30"/>
    <w:rsid w:val="00AA3F35"/>
    <w:rsid w:val="00AA3FF4"/>
    <w:rsid w:val="00AA3FF7"/>
    <w:rsid w:val="00AA4007"/>
    <w:rsid w:val="00AA4026"/>
    <w:rsid w:val="00AA4052"/>
    <w:rsid w:val="00AA4068"/>
    <w:rsid w:val="00AA40DF"/>
    <w:rsid w:val="00AA4102"/>
    <w:rsid w:val="00AA4170"/>
    <w:rsid w:val="00AA418E"/>
    <w:rsid w:val="00AA41A4"/>
    <w:rsid w:val="00AA41F5"/>
    <w:rsid w:val="00AA420C"/>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4C"/>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865"/>
    <w:rsid w:val="00AA4909"/>
    <w:rsid w:val="00AA4919"/>
    <w:rsid w:val="00AA491F"/>
    <w:rsid w:val="00AA4980"/>
    <w:rsid w:val="00AA498F"/>
    <w:rsid w:val="00AA49E0"/>
    <w:rsid w:val="00AA49F8"/>
    <w:rsid w:val="00AA4A5C"/>
    <w:rsid w:val="00AA4A80"/>
    <w:rsid w:val="00AA4A91"/>
    <w:rsid w:val="00AA4A9F"/>
    <w:rsid w:val="00AA4AD7"/>
    <w:rsid w:val="00AA4B1E"/>
    <w:rsid w:val="00AA4B77"/>
    <w:rsid w:val="00AA4BB8"/>
    <w:rsid w:val="00AA4BC2"/>
    <w:rsid w:val="00AA4BC5"/>
    <w:rsid w:val="00AA4BD9"/>
    <w:rsid w:val="00AA4BF3"/>
    <w:rsid w:val="00AA4C3F"/>
    <w:rsid w:val="00AA4C67"/>
    <w:rsid w:val="00AA4C7F"/>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3E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5A"/>
    <w:rsid w:val="00AA5A94"/>
    <w:rsid w:val="00AA5AAE"/>
    <w:rsid w:val="00AA5AC5"/>
    <w:rsid w:val="00AA5B0C"/>
    <w:rsid w:val="00AA5B16"/>
    <w:rsid w:val="00AA5BE8"/>
    <w:rsid w:val="00AA5BEA"/>
    <w:rsid w:val="00AA5C06"/>
    <w:rsid w:val="00AA5C1E"/>
    <w:rsid w:val="00AA5C25"/>
    <w:rsid w:val="00AA5C36"/>
    <w:rsid w:val="00AA5C56"/>
    <w:rsid w:val="00AA5C71"/>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C1"/>
    <w:rsid w:val="00AA6101"/>
    <w:rsid w:val="00AA6106"/>
    <w:rsid w:val="00AA610C"/>
    <w:rsid w:val="00AA613E"/>
    <w:rsid w:val="00AA6177"/>
    <w:rsid w:val="00AA61B4"/>
    <w:rsid w:val="00AA61C3"/>
    <w:rsid w:val="00AA61D4"/>
    <w:rsid w:val="00AA61EA"/>
    <w:rsid w:val="00AA628F"/>
    <w:rsid w:val="00AA62D7"/>
    <w:rsid w:val="00AA6314"/>
    <w:rsid w:val="00AA6333"/>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62E"/>
    <w:rsid w:val="00AA6657"/>
    <w:rsid w:val="00AA6706"/>
    <w:rsid w:val="00AA6718"/>
    <w:rsid w:val="00AA67EA"/>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B2F"/>
    <w:rsid w:val="00AA6B33"/>
    <w:rsid w:val="00AA6B35"/>
    <w:rsid w:val="00AA6B66"/>
    <w:rsid w:val="00AA6BE4"/>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4"/>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D07"/>
    <w:rsid w:val="00AA7D99"/>
    <w:rsid w:val="00AA7DCB"/>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5D"/>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A32"/>
    <w:rsid w:val="00AB0A7D"/>
    <w:rsid w:val="00AB0A88"/>
    <w:rsid w:val="00AB0A9A"/>
    <w:rsid w:val="00AB0AC9"/>
    <w:rsid w:val="00AB0B0C"/>
    <w:rsid w:val="00AB0B62"/>
    <w:rsid w:val="00AB0B78"/>
    <w:rsid w:val="00AB0BAC"/>
    <w:rsid w:val="00AB0BDD"/>
    <w:rsid w:val="00AB0BE1"/>
    <w:rsid w:val="00AB0BF2"/>
    <w:rsid w:val="00AB0D03"/>
    <w:rsid w:val="00AB0D0C"/>
    <w:rsid w:val="00AB0D70"/>
    <w:rsid w:val="00AB0D82"/>
    <w:rsid w:val="00AB0DAA"/>
    <w:rsid w:val="00AB0DB8"/>
    <w:rsid w:val="00AB0DBA"/>
    <w:rsid w:val="00AB0DBC"/>
    <w:rsid w:val="00AB0DF2"/>
    <w:rsid w:val="00AB0E3C"/>
    <w:rsid w:val="00AB0E9D"/>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B2"/>
    <w:rsid w:val="00AB12BC"/>
    <w:rsid w:val="00AB12D2"/>
    <w:rsid w:val="00AB12E8"/>
    <w:rsid w:val="00AB1302"/>
    <w:rsid w:val="00AB1359"/>
    <w:rsid w:val="00AB1386"/>
    <w:rsid w:val="00AB1390"/>
    <w:rsid w:val="00AB1395"/>
    <w:rsid w:val="00AB13EA"/>
    <w:rsid w:val="00AB1420"/>
    <w:rsid w:val="00AB148E"/>
    <w:rsid w:val="00AB14F7"/>
    <w:rsid w:val="00AB1559"/>
    <w:rsid w:val="00AB15CF"/>
    <w:rsid w:val="00AB16AB"/>
    <w:rsid w:val="00AB16E4"/>
    <w:rsid w:val="00AB16FE"/>
    <w:rsid w:val="00AB1710"/>
    <w:rsid w:val="00AB17B6"/>
    <w:rsid w:val="00AB1859"/>
    <w:rsid w:val="00AB1895"/>
    <w:rsid w:val="00AB18D3"/>
    <w:rsid w:val="00AB190A"/>
    <w:rsid w:val="00AB1923"/>
    <w:rsid w:val="00AB1937"/>
    <w:rsid w:val="00AB19A7"/>
    <w:rsid w:val="00AB19BB"/>
    <w:rsid w:val="00AB1A53"/>
    <w:rsid w:val="00AB1A6E"/>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A4"/>
    <w:rsid w:val="00AB20B9"/>
    <w:rsid w:val="00AB2103"/>
    <w:rsid w:val="00AB211C"/>
    <w:rsid w:val="00AB224B"/>
    <w:rsid w:val="00AB226B"/>
    <w:rsid w:val="00AB2280"/>
    <w:rsid w:val="00AB228B"/>
    <w:rsid w:val="00AB22F0"/>
    <w:rsid w:val="00AB2339"/>
    <w:rsid w:val="00AB2367"/>
    <w:rsid w:val="00AB239B"/>
    <w:rsid w:val="00AB23AF"/>
    <w:rsid w:val="00AB23F2"/>
    <w:rsid w:val="00AB2403"/>
    <w:rsid w:val="00AB24A6"/>
    <w:rsid w:val="00AB2506"/>
    <w:rsid w:val="00AB250E"/>
    <w:rsid w:val="00AB2564"/>
    <w:rsid w:val="00AB25DF"/>
    <w:rsid w:val="00AB2655"/>
    <w:rsid w:val="00AB269A"/>
    <w:rsid w:val="00AB26DA"/>
    <w:rsid w:val="00AB274A"/>
    <w:rsid w:val="00AB274B"/>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BF0"/>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04"/>
    <w:rsid w:val="00AB3316"/>
    <w:rsid w:val="00AB3331"/>
    <w:rsid w:val="00AB3332"/>
    <w:rsid w:val="00AB336D"/>
    <w:rsid w:val="00AB3381"/>
    <w:rsid w:val="00AB338D"/>
    <w:rsid w:val="00AB33BE"/>
    <w:rsid w:val="00AB33D3"/>
    <w:rsid w:val="00AB3444"/>
    <w:rsid w:val="00AB356B"/>
    <w:rsid w:val="00AB357C"/>
    <w:rsid w:val="00AB35F8"/>
    <w:rsid w:val="00AB3664"/>
    <w:rsid w:val="00AB36B3"/>
    <w:rsid w:val="00AB3775"/>
    <w:rsid w:val="00AB37E3"/>
    <w:rsid w:val="00AB37FB"/>
    <w:rsid w:val="00AB388F"/>
    <w:rsid w:val="00AB38D2"/>
    <w:rsid w:val="00AB38E7"/>
    <w:rsid w:val="00AB3916"/>
    <w:rsid w:val="00AB391A"/>
    <w:rsid w:val="00AB396B"/>
    <w:rsid w:val="00AB3982"/>
    <w:rsid w:val="00AB3A58"/>
    <w:rsid w:val="00AB3A80"/>
    <w:rsid w:val="00AB3AF5"/>
    <w:rsid w:val="00AB3B01"/>
    <w:rsid w:val="00AB3B52"/>
    <w:rsid w:val="00AB3B99"/>
    <w:rsid w:val="00AB3B9A"/>
    <w:rsid w:val="00AB3BC3"/>
    <w:rsid w:val="00AB3BFD"/>
    <w:rsid w:val="00AB3C4A"/>
    <w:rsid w:val="00AB3CB1"/>
    <w:rsid w:val="00AB3CFC"/>
    <w:rsid w:val="00AB3D0E"/>
    <w:rsid w:val="00AB3D1C"/>
    <w:rsid w:val="00AB3D28"/>
    <w:rsid w:val="00AB3D4C"/>
    <w:rsid w:val="00AB3DAA"/>
    <w:rsid w:val="00AB3E08"/>
    <w:rsid w:val="00AB3E78"/>
    <w:rsid w:val="00AB3E8E"/>
    <w:rsid w:val="00AB3E9F"/>
    <w:rsid w:val="00AB3EDE"/>
    <w:rsid w:val="00AB3F19"/>
    <w:rsid w:val="00AB3F1E"/>
    <w:rsid w:val="00AB3F60"/>
    <w:rsid w:val="00AB4012"/>
    <w:rsid w:val="00AB4038"/>
    <w:rsid w:val="00AB403E"/>
    <w:rsid w:val="00AB4095"/>
    <w:rsid w:val="00AB40A7"/>
    <w:rsid w:val="00AB40D5"/>
    <w:rsid w:val="00AB41B3"/>
    <w:rsid w:val="00AB4205"/>
    <w:rsid w:val="00AB426D"/>
    <w:rsid w:val="00AB42B4"/>
    <w:rsid w:val="00AB4313"/>
    <w:rsid w:val="00AB4321"/>
    <w:rsid w:val="00AB4361"/>
    <w:rsid w:val="00AB4368"/>
    <w:rsid w:val="00AB43E7"/>
    <w:rsid w:val="00AB4431"/>
    <w:rsid w:val="00AB44C1"/>
    <w:rsid w:val="00AB44EA"/>
    <w:rsid w:val="00AB459D"/>
    <w:rsid w:val="00AB45BA"/>
    <w:rsid w:val="00AB4621"/>
    <w:rsid w:val="00AB4644"/>
    <w:rsid w:val="00AB465E"/>
    <w:rsid w:val="00AB4663"/>
    <w:rsid w:val="00AB467E"/>
    <w:rsid w:val="00AB468F"/>
    <w:rsid w:val="00AB46B5"/>
    <w:rsid w:val="00AB46EC"/>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F9"/>
    <w:rsid w:val="00AB4CFE"/>
    <w:rsid w:val="00AB4D03"/>
    <w:rsid w:val="00AB4D52"/>
    <w:rsid w:val="00AB4D6B"/>
    <w:rsid w:val="00AB4D93"/>
    <w:rsid w:val="00AB4DF3"/>
    <w:rsid w:val="00AB4E8B"/>
    <w:rsid w:val="00AB4EA9"/>
    <w:rsid w:val="00AB4EF9"/>
    <w:rsid w:val="00AB4F05"/>
    <w:rsid w:val="00AB4F42"/>
    <w:rsid w:val="00AB4F47"/>
    <w:rsid w:val="00AB4FA5"/>
    <w:rsid w:val="00AB4FAD"/>
    <w:rsid w:val="00AB4FD7"/>
    <w:rsid w:val="00AB4FD8"/>
    <w:rsid w:val="00AB503A"/>
    <w:rsid w:val="00AB50BD"/>
    <w:rsid w:val="00AB50DA"/>
    <w:rsid w:val="00AB5178"/>
    <w:rsid w:val="00AB51AC"/>
    <w:rsid w:val="00AB51F0"/>
    <w:rsid w:val="00AB51F3"/>
    <w:rsid w:val="00AB5218"/>
    <w:rsid w:val="00AB5234"/>
    <w:rsid w:val="00AB5267"/>
    <w:rsid w:val="00AB52A8"/>
    <w:rsid w:val="00AB5317"/>
    <w:rsid w:val="00AB5336"/>
    <w:rsid w:val="00AB5337"/>
    <w:rsid w:val="00AB5338"/>
    <w:rsid w:val="00AB538F"/>
    <w:rsid w:val="00AB5391"/>
    <w:rsid w:val="00AB53A9"/>
    <w:rsid w:val="00AB53AA"/>
    <w:rsid w:val="00AB53C6"/>
    <w:rsid w:val="00AB53EF"/>
    <w:rsid w:val="00AB5400"/>
    <w:rsid w:val="00AB544D"/>
    <w:rsid w:val="00AB5455"/>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C"/>
    <w:rsid w:val="00AB577F"/>
    <w:rsid w:val="00AB57B3"/>
    <w:rsid w:val="00AB5816"/>
    <w:rsid w:val="00AB582A"/>
    <w:rsid w:val="00AB5848"/>
    <w:rsid w:val="00AB584B"/>
    <w:rsid w:val="00AB587C"/>
    <w:rsid w:val="00AB5884"/>
    <w:rsid w:val="00AB58B2"/>
    <w:rsid w:val="00AB58B8"/>
    <w:rsid w:val="00AB58E1"/>
    <w:rsid w:val="00AB592A"/>
    <w:rsid w:val="00AB594F"/>
    <w:rsid w:val="00AB5991"/>
    <w:rsid w:val="00AB59BD"/>
    <w:rsid w:val="00AB59DF"/>
    <w:rsid w:val="00AB5A55"/>
    <w:rsid w:val="00AB5A9D"/>
    <w:rsid w:val="00AB5A9F"/>
    <w:rsid w:val="00AB5AD4"/>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17"/>
    <w:rsid w:val="00AB5F2F"/>
    <w:rsid w:val="00AB5F39"/>
    <w:rsid w:val="00AB5F3A"/>
    <w:rsid w:val="00AB5F88"/>
    <w:rsid w:val="00AB5F9F"/>
    <w:rsid w:val="00AB5FD0"/>
    <w:rsid w:val="00AB5FD1"/>
    <w:rsid w:val="00AB5FE1"/>
    <w:rsid w:val="00AB6007"/>
    <w:rsid w:val="00AB6038"/>
    <w:rsid w:val="00AB6069"/>
    <w:rsid w:val="00AB6093"/>
    <w:rsid w:val="00AB6099"/>
    <w:rsid w:val="00AB60B7"/>
    <w:rsid w:val="00AB60DD"/>
    <w:rsid w:val="00AB60F3"/>
    <w:rsid w:val="00AB6106"/>
    <w:rsid w:val="00AB6150"/>
    <w:rsid w:val="00AB6182"/>
    <w:rsid w:val="00AB61A1"/>
    <w:rsid w:val="00AB61B9"/>
    <w:rsid w:val="00AB6261"/>
    <w:rsid w:val="00AB633B"/>
    <w:rsid w:val="00AB639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F"/>
    <w:rsid w:val="00AB71C0"/>
    <w:rsid w:val="00AB71EC"/>
    <w:rsid w:val="00AB7263"/>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C"/>
    <w:rsid w:val="00AB7770"/>
    <w:rsid w:val="00AB777A"/>
    <w:rsid w:val="00AB77B9"/>
    <w:rsid w:val="00AB780C"/>
    <w:rsid w:val="00AB7840"/>
    <w:rsid w:val="00AB78B7"/>
    <w:rsid w:val="00AB78BE"/>
    <w:rsid w:val="00AB78E6"/>
    <w:rsid w:val="00AB78F1"/>
    <w:rsid w:val="00AB7906"/>
    <w:rsid w:val="00AB7962"/>
    <w:rsid w:val="00AB799E"/>
    <w:rsid w:val="00AB79B5"/>
    <w:rsid w:val="00AB79B9"/>
    <w:rsid w:val="00AB79F5"/>
    <w:rsid w:val="00AB7A00"/>
    <w:rsid w:val="00AB7A10"/>
    <w:rsid w:val="00AB7A27"/>
    <w:rsid w:val="00AB7A90"/>
    <w:rsid w:val="00AB7AE6"/>
    <w:rsid w:val="00AB7B00"/>
    <w:rsid w:val="00AB7B02"/>
    <w:rsid w:val="00AB7B30"/>
    <w:rsid w:val="00AB7B97"/>
    <w:rsid w:val="00AB7BA0"/>
    <w:rsid w:val="00AB7BE9"/>
    <w:rsid w:val="00AB7C01"/>
    <w:rsid w:val="00AB7C38"/>
    <w:rsid w:val="00AB7C51"/>
    <w:rsid w:val="00AB7C57"/>
    <w:rsid w:val="00AB7C7A"/>
    <w:rsid w:val="00AB7CA5"/>
    <w:rsid w:val="00AB7D12"/>
    <w:rsid w:val="00AB7D1E"/>
    <w:rsid w:val="00AB7DD2"/>
    <w:rsid w:val="00AB7E0E"/>
    <w:rsid w:val="00AB7E1E"/>
    <w:rsid w:val="00AB7E37"/>
    <w:rsid w:val="00AB7E74"/>
    <w:rsid w:val="00AB7E97"/>
    <w:rsid w:val="00AB7EE3"/>
    <w:rsid w:val="00AB7EF6"/>
    <w:rsid w:val="00AB7F13"/>
    <w:rsid w:val="00AB7F63"/>
    <w:rsid w:val="00AB7FB6"/>
    <w:rsid w:val="00AC0042"/>
    <w:rsid w:val="00AC0063"/>
    <w:rsid w:val="00AC0095"/>
    <w:rsid w:val="00AC00C5"/>
    <w:rsid w:val="00AC00F8"/>
    <w:rsid w:val="00AC0174"/>
    <w:rsid w:val="00AC018B"/>
    <w:rsid w:val="00AC01CD"/>
    <w:rsid w:val="00AC01E6"/>
    <w:rsid w:val="00AC0240"/>
    <w:rsid w:val="00AC02DD"/>
    <w:rsid w:val="00AC02E0"/>
    <w:rsid w:val="00AC0358"/>
    <w:rsid w:val="00AC0372"/>
    <w:rsid w:val="00AC038E"/>
    <w:rsid w:val="00AC03B4"/>
    <w:rsid w:val="00AC03EF"/>
    <w:rsid w:val="00AC042F"/>
    <w:rsid w:val="00AC0431"/>
    <w:rsid w:val="00AC044A"/>
    <w:rsid w:val="00AC04CB"/>
    <w:rsid w:val="00AC04F5"/>
    <w:rsid w:val="00AC0525"/>
    <w:rsid w:val="00AC053C"/>
    <w:rsid w:val="00AC0569"/>
    <w:rsid w:val="00AC0571"/>
    <w:rsid w:val="00AC0577"/>
    <w:rsid w:val="00AC05C0"/>
    <w:rsid w:val="00AC05DC"/>
    <w:rsid w:val="00AC063A"/>
    <w:rsid w:val="00AC06A2"/>
    <w:rsid w:val="00AC06B3"/>
    <w:rsid w:val="00AC070F"/>
    <w:rsid w:val="00AC0765"/>
    <w:rsid w:val="00AC0778"/>
    <w:rsid w:val="00AC078C"/>
    <w:rsid w:val="00AC07D4"/>
    <w:rsid w:val="00AC0818"/>
    <w:rsid w:val="00AC0824"/>
    <w:rsid w:val="00AC0861"/>
    <w:rsid w:val="00AC0897"/>
    <w:rsid w:val="00AC093E"/>
    <w:rsid w:val="00AC0989"/>
    <w:rsid w:val="00AC09B4"/>
    <w:rsid w:val="00AC0A9F"/>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81"/>
    <w:rsid w:val="00AC14C4"/>
    <w:rsid w:val="00AC14E6"/>
    <w:rsid w:val="00AC1547"/>
    <w:rsid w:val="00AC1639"/>
    <w:rsid w:val="00AC1666"/>
    <w:rsid w:val="00AC166E"/>
    <w:rsid w:val="00AC16AB"/>
    <w:rsid w:val="00AC16C2"/>
    <w:rsid w:val="00AC16CC"/>
    <w:rsid w:val="00AC170C"/>
    <w:rsid w:val="00AC1788"/>
    <w:rsid w:val="00AC17CE"/>
    <w:rsid w:val="00AC17E3"/>
    <w:rsid w:val="00AC17F5"/>
    <w:rsid w:val="00AC181D"/>
    <w:rsid w:val="00AC182B"/>
    <w:rsid w:val="00AC1833"/>
    <w:rsid w:val="00AC1869"/>
    <w:rsid w:val="00AC186E"/>
    <w:rsid w:val="00AC188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0"/>
    <w:rsid w:val="00AC21CB"/>
    <w:rsid w:val="00AC2242"/>
    <w:rsid w:val="00AC224F"/>
    <w:rsid w:val="00AC2264"/>
    <w:rsid w:val="00AC22AB"/>
    <w:rsid w:val="00AC22AD"/>
    <w:rsid w:val="00AC22B3"/>
    <w:rsid w:val="00AC22C4"/>
    <w:rsid w:val="00AC22E1"/>
    <w:rsid w:val="00AC2300"/>
    <w:rsid w:val="00AC230C"/>
    <w:rsid w:val="00AC2331"/>
    <w:rsid w:val="00AC23A8"/>
    <w:rsid w:val="00AC23B6"/>
    <w:rsid w:val="00AC2423"/>
    <w:rsid w:val="00AC243D"/>
    <w:rsid w:val="00AC244C"/>
    <w:rsid w:val="00AC245F"/>
    <w:rsid w:val="00AC246B"/>
    <w:rsid w:val="00AC247B"/>
    <w:rsid w:val="00AC24B0"/>
    <w:rsid w:val="00AC24C1"/>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7F0"/>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38"/>
    <w:rsid w:val="00AC3685"/>
    <w:rsid w:val="00AC36ED"/>
    <w:rsid w:val="00AC3732"/>
    <w:rsid w:val="00AC379A"/>
    <w:rsid w:val="00AC37C9"/>
    <w:rsid w:val="00AC37D3"/>
    <w:rsid w:val="00AC37DC"/>
    <w:rsid w:val="00AC3823"/>
    <w:rsid w:val="00AC3942"/>
    <w:rsid w:val="00AC394E"/>
    <w:rsid w:val="00AC395E"/>
    <w:rsid w:val="00AC3988"/>
    <w:rsid w:val="00AC3A45"/>
    <w:rsid w:val="00AC3AA7"/>
    <w:rsid w:val="00AC3AB8"/>
    <w:rsid w:val="00AC3AD1"/>
    <w:rsid w:val="00AC3ADD"/>
    <w:rsid w:val="00AC3AF6"/>
    <w:rsid w:val="00AC3B16"/>
    <w:rsid w:val="00AC3BAE"/>
    <w:rsid w:val="00AC3BCB"/>
    <w:rsid w:val="00AC3BEB"/>
    <w:rsid w:val="00AC3C4E"/>
    <w:rsid w:val="00AC3CDB"/>
    <w:rsid w:val="00AC3D94"/>
    <w:rsid w:val="00AC3DAE"/>
    <w:rsid w:val="00AC3DFD"/>
    <w:rsid w:val="00AC3E4C"/>
    <w:rsid w:val="00AC3E84"/>
    <w:rsid w:val="00AC3EB0"/>
    <w:rsid w:val="00AC3F0E"/>
    <w:rsid w:val="00AC3F1D"/>
    <w:rsid w:val="00AC3F27"/>
    <w:rsid w:val="00AC3F3B"/>
    <w:rsid w:val="00AC3F4A"/>
    <w:rsid w:val="00AC3FDD"/>
    <w:rsid w:val="00AC4015"/>
    <w:rsid w:val="00AC4049"/>
    <w:rsid w:val="00AC4060"/>
    <w:rsid w:val="00AC406E"/>
    <w:rsid w:val="00AC40AC"/>
    <w:rsid w:val="00AC40F2"/>
    <w:rsid w:val="00AC4123"/>
    <w:rsid w:val="00AC4143"/>
    <w:rsid w:val="00AC417F"/>
    <w:rsid w:val="00AC41AA"/>
    <w:rsid w:val="00AC41A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48"/>
    <w:rsid w:val="00AC457D"/>
    <w:rsid w:val="00AC458E"/>
    <w:rsid w:val="00AC45ED"/>
    <w:rsid w:val="00AC461A"/>
    <w:rsid w:val="00AC466D"/>
    <w:rsid w:val="00AC4726"/>
    <w:rsid w:val="00AC4768"/>
    <w:rsid w:val="00AC4794"/>
    <w:rsid w:val="00AC47F5"/>
    <w:rsid w:val="00AC480A"/>
    <w:rsid w:val="00AC482F"/>
    <w:rsid w:val="00AC4865"/>
    <w:rsid w:val="00AC4869"/>
    <w:rsid w:val="00AC494F"/>
    <w:rsid w:val="00AC4953"/>
    <w:rsid w:val="00AC49A0"/>
    <w:rsid w:val="00AC49D4"/>
    <w:rsid w:val="00AC49E1"/>
    <w:rsid w:val="00AC4A23"/>
    <w:rsid w:val="00AC4AB4"/>
    <w:rsid w:val="00AC4B28"/>
    <w:rsid w:val="00AC4B50"/>
    <w:rsid w:val="00AC4B76"/>
    <w:rsid w:val="00AC4BAA"/>
    <w:rsid w:val="00AC4BD6"/>
    <w:rsid w:val="00AC4BE6"/>
    <w:rsid w:val="00AC4C4E"/>
    <w:rsid w:val="00AC4CC7"/>
    <w:rsid w:val="00AC4CF0"/>
    <w:rsid w:val="00AC4D47"/>
    <w:rsid w:val="00AC4D4B"/>
    <w:rsid w:val="00AC4D57"/>
    <w:rsid w:val="00AC4D69"/>
    <w:rsid w:val="00AC4DDC"/>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FD"/>
    <w:rsid w:val="00AC5157"/>
    <w:rsid w:val="00AC51C4"/>
    <w:rsid w:val="00AC529E"/>
    <w:rsid w:val="00AC5311"/>
    <w:rsid w:val="00AC5329"/>
    <w:rsid w:val="00AC532A"/>
    <w:rsid w:val="00AC5364"/>
    <w:rsid w:val="00AC53DB"/>
    <w:rsid w:val="00AC53F1"/>
    <w:rsid w:val="00AC5406"/>
    <w:rsid w:val="00AC54FC"/>
    <w:rsid w:val="00AC5552"/>
    <w:rsid w:val="00AC5575"/>
    <w:rsid w:val="00AC55B0"/>
    <w:rsid w:val="00AC55BF"/>
    <w:rsid w:val="00AC55EC"/>
    <w:rsid w:val="00AC5609"/>
    <w:rsid w:val="00AC562F"/>
    <w:rsid w:val="00AC56BE"/>
    <w:rsid w:val="00AC56BF"/>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A5"/>
    <w:rsid w:val="00AC5FC1"/>
    <w:rsid w:val="00AC5FEB"/>
    <w:rsid w:val="00AC5FF1"/>
    <w:rsid w:val="00AC6005"/>
    <w:rsid w:val="00AC6012"/>
    <w:rsid w:val="00AC603A"/>
    <w:rsid w:val="00AC6153"/>
    <w:rsid w:val="00AC61D8"/>
    <w:rsid w:val="00AC6309"/>
    <w:rsid w:val="00AC6323"/>
    <w:rsid w:val="00AC637A"/>
    <w:rsid w:val="00AC63DB"/>
    <w:rsid w:val="00AC644E"/>
    <w:rsid w:val="00AC6450"/>
    <w:rsid w:val="00AC648F"/>
    <w:rsid w:val="00AC64B0"/>
    <w:rsid w:val="00AC64C4"/>
    <w:rsid w:val="00AC64D6"/>
    <w:rsid w:val="00AC6538"/>
    <w:rsid w:val="00AC656C"/>
    <w:rsid w:val="00AC6580"/>
    <w:rsid w:val="00AC6593"/>
    <w:rsid w:val="00AC65CA"/>
    <w:rsid w:val="00AC671A"/>
    <w:rsid w:val="00AC6727"/>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50"/>
    <w:rsid w:val="00AC6AA2"/>
    <w:rsid w:val="00AC6ACB"/>
    <w:rsid w:val="00AC6B88"/>
    <w:rsid w:val="00AC6B8D"/>
    <w:rsid w:val="00AC6BA3"/>
    <w:rsid w:val="00AC6C04"/>
    <w:rsid w:val="00AC6C17"/>
    <w:rsid w:val="00AC6C18"/>
    <w:rsid w:val="00AC6C19"/>
    <w:rsid w:val="00AC6D1C"/>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9E"/>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D25"/>
    <w:rsid w:val="00AC7D33"/>
    <w:rsid w:val="00AC7D43"/>
    <w:rsid w:val="00AC7D4E"/>
    <w:rsid w:val="00AC7D9E"/>
    <w:rsid w:val="00AC7DB2"/>
    <w:rsid w:val="00AC7DB3"/>
    <w:rsid w:val="00AC7DC1"/>
    <w:rsid w:val="00AC7E5C"/>
    <w:rsid w:val="00AC7EA5"/>
    <w:rsid w:val="00AC7F3D"/>
    <w:rsid w:val="00AC7F57"/>
    <w:rsid w:val="00AD001E"/>
    <w:rsid w:val="00AD003D"/>
    <w:rsid w:val="00AD0087"/>
    <w:rsid w:val="00AD00A4"/>
    <w:rsid w:val="00AD00A5"/>
    <w:rsid w:val="00AD00B7"/>
    <w:rsid w:val="00AD0115"/>
    <w:rsid w:val="00AD0132"/>
    <w:rsid w:val="00AD0133"/>
    <w:rsid w:val="00AD0193"/>
    <w:rsid w:val="00AD0194"/>
    <w:rsid w:val="00AD01D6"/>
    <w:rsid w:val="00AD01DA"/>
    <w:rsid w:val="00AD01E9"/>
    <w:rsid w:val="00AD01F4"/>
    <w:rsid w:val="00AD01F8"/>
    <w:rsid w:val="00AD020E"/>
    <w:rsid w:val="00AD0286"/>
    <w:rsid w:val="00AD02BA"/>
    <w:rsid w:val="00AD035D"/>
    <w:rsid w:val="00AD0389"/>
    <w:rsid w:val="00AD03A2"/>
    <w:rsid w:val="00AD03F4"/>
    <w:rsid w:val="00AD03FE"/>
    <w:rsid w:val="00AD0419"/>
    <w:rsid w:val="00AD041D"/>
    <w:rsid w:val="00AD043D"/>
    <w:rsid w:val="00AD0531"/>
    <w:rsid w:val="00AD053A"/>
    <w:rsid w:val="00AD0579"/>
    <w:rsid w:val="00AD05A7"/>
    <w:rsid w:val="00AD05B9"/>
    <w:rsid w:val="00AD05D9"/>
    <w:rsid w:val="00AD06BE"/>
    <w:rsid w:val="00AD06DA"/>
    <w:rsid w:val="00AD06DF"/>
    <w:rsid w:val="00AD071D"/>
    <w:rsid w:val="00AD0722"/>
    <w:rsid w:val="00AD075A"/>
    <w:rsid w:val="00AD079C"/>
    <w:rsid w:val="00AD07B7"/>
    <w:rsid w:val="00AD08D6"/>
    <w:rsid w:val="00AD0916"/>
    <w:rsid w:val="00AD093A"/>
    <w:rsid w:val="00AD099D"/>
    <w:rsid w:val="00AD09B4"/>
    <w:rsid w:val="00AD09B5"/>
    <w:rsid w:val="00AD09C4"/>
    <w:rsid w:val="00AD09DD"/>
    <w:rsid w:val="00AD09E8"/>
    <w:rsid w:val="00AD0A1A"/>
    <w:rsid w:val="00AD0A6D"/>
    <w:rsid w:val="00AD0A94"/>
    <w:rsid w:val="00AD0AAA"/>
    <w:rsid w:val="00AD0AC4"/>
    <w:rsid w:val="00AD0B1D"/>
    <w:rsid w:val="00AD0B2B"/>
    <w:rsid w:val="00AD0BCF"/>
    <w:rsid w:val="00AD0C08"/>
    <w:rsid w:val="00AD0C45"/>
    <w:rsid w:val="00AD0D96"/>
    <w:rsid w:val="00AD0E0A"/>
    <w:rsid w:val="00AD0E86"/>
    <w:rsid w:val="00AD0E98"/>
    <w:rsid w:val="00AD0EE4"/>
    <w:rsid w:val="00AD0EE6"/>
    <w:rsid w:val="00AD0EFA"/>
    <w:rsid w:val="00AD0F10"/>
    <w:rsid w:val="00AD0F3A"/>
    <w:rsid w:val="00AD0F56"/>
    <w:rsid w:val="00AD0F88"/>
    <w:rsid w:val="00AD0FA9"/>
    <w:rsid w:val="00AD0FCE"/>
    <w:rsid w:val="00AD0FFF"/>
    <w:rsid w:val="00AD1000"/>
    <w:rsid w:val="00AD1015"/>
    <w:rsid w:val="00AD106E"/>
    <w:rsid w:val="00AD1071"/>
    <w:rsid w:val="00AD1079"/>
    <w:rsid w:val="00AD10A3"/>
    <w:rsid w:val="00AD10C3"/>
    <w:rsid w:val="00AD1188"/>
    <w:rsid w:val="00AD11D8"/>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E0"/>
    <w:rsid w:val="00AD15F2"/>
    <w:rsid w:val="00AD1620"/>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B9"/>
    <w:rsid w:val="00AD18D4"/>
    <w:rsid w:val="00AD18EB"/>
    <w:rsid w:val="00AD1941"/>
    <w:rsid w:val="00AD1944"/>
    <w:rsid w:val="00AD1968"/>
    <w:rsid w:val="00AD199F"/>
    <w:rsid w:val="00AD19C4"/>
    <w:rsid w:val="00AD19F2"/>
    <w:rsid w:val="00AD1A0A"/>
    <w:rsid w:val="00AD1A15"/>
    <w:rsid w:val="00AD1A3A"/>
    <w:rsid w:val="00AD1AB8"/>
    <w:rsid w:val="00AD1AC8"/>
    <w:rsid w:val="00AD1B0C"/>
    <w:rsid w:val="00AD1B36"/>
    <w:rsid w:val="00AD1B4A"/>
    <w:rsid w:val="00AD1B53"/>
    <w:rsid w:val="00AD1B54"/>
    <w:rsid w:val="00AD1B5F"/>
    <w:rsid w:val="00AD1BAD"/>
    <w:rsid w:val="00AD1BE2"/>
    <w:rsid w:val="00AD1C0B"/>
    <w:rsid w:val="00AD1C0F"/>
    <w:rsid w:val="00AD1C1F"/>
    <w:rsid w:val="00AD1C4D"/>
    <w:rsid w:val="00AD1C5D"/>
    <w:rsid w:val="00AD1C7D"/>
    <w:rsid w:val="00AD1CA1"/>
    <w:rsid w:val="00AD1CB4"/>
    <w:rsid w:val="00AD1CFC"/>
    <w:rsid w:val="00AD1D2A"/>
    <w:rsid w:val="00AD1D35"/>
    <w:rsid w:val="00AD1D3C"/>
    <w:rsid w:val="00AD1DFF"/>
    <w:rsid w:val="00AD1E1D"/>
    <w:rsid w:val="00AD1E31"/>
    <w:rsid w:val="00AD1E51"/>
    <w:rsid w:val="00AD1E56"/>
    <w:rsid w:val="00AD1E5E"/>
    <w:rsid w:val="00AD1E65"/>
    <w:rsid w:val="00AD1E69"/>
    <w:rsid w:val="00AD1E93"/>
    <w:rsid w:val="00AD1EA9"/>
    <w:rsid w:val="00AD1F01"/>
    <w:rsid w:val="00AD1FA0"/>
    <w:rsid w:val="00AD200A"/>
    <w:rsid w:val="00AD202D"/>
    <w:rsid w:val="00AD2036"/>
    <w:rsid w:val="00AD20C2"/>
    <w:rsid w:val="00AD20D9"/>
    <w:rsid w:val="00AD20F4"/>
    <w:rsid w:val="00AD21BE"/>
    <w:rsid w:val="00AD21E4"/>
    <w:rsid w:val="00AD2221"/>
    <w:rsid w:val="00AD223D"/>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6E7"/>
    <w:rsid w:val="00AD271D"/>
    <w:rsid w:val="00AD273C"/>
    <w:rsid w:val="00AD2760"/>
    <w:rsid w:val="00AD2767"/>
    <w:rsid w:val="00AD276D"/>
    <w:rsid w:val="00AD2775"/>
    <w:rsid w:val="00AD27B9"/>
    <w:rsid w:val="00AD27BA"/>
    <w:rsid w:val="00AD27E7"/>
    <w:rsid w:val="00AD27F0"/>
    <w:rsid w:val="00AD2853"/>
    <w:rsid w:val="00AD2883"/>
    <w:rsid w:val="00AD28AB"/>
    <w:rsid w:val="00AD28B6"/>
    <w:rsid w:val="00AD28D0"/>
    <w:rsid w:val="00AD28EA"/>
    <w:rsid w:val="00AD290E"/>
    <w:rsid w:val="00AD295F"/>
    <w:rsid w:val="00AD2967"/>
    <w:rsid w:val="00AD29A3"/>
    <w:rsid w:val="00AD2A1E"/>
    <w:rsid w:val="00AD2A73"/>
    <w:rsid w:val="00AD2B98"/>
    <w:rsid w:val="00AD2BC3"/>
    <w:rsid w:val="00AD2BD4"/>
    <w:rsid w:val="00AD2C99"/>
    <w:rsid w:val="00AD2CD2"/>
    <w:rsid w:val="00AD2D04"/>
    <w:rsid w:val="00AD2D33"/>
    <w:rsid w:val="00AD2D59"/>
    <w:rsid w:val="00AD2D7F"/>
    <w:rsid w:val="00AD2DF6"/>
    <w:rsid w:val="00AD2E5A"/>
    <w:rsid w:val="00AD2E7A"/>
    <w:rsid w:val="00AD2ED7"/>
    <w:rsid w:val="00AD2F32"/>
    <w:rsid w:val="00AD2F60"/>
    <w:rsid w:val="00AD2FA7"/>
    <w:rsid w:val="00AD2FB0"/>
    <w:rsid w:val="00AD2FE7"/>
    <w:rsid w:val="00AD2FEA"/>
    <w:rsid w:val="00AD3015"/>
    <w:rsid w:val="00AD3086"/>
    <w:rsid w:val="00AD308E"/>
    <w:rsid w:val="00AD30E0"/>
    <w:rsid w:val="00AD31FD"/>
    <w:rsid w:val="00AD3205"/>
    <w:rsid w:val="00AD3211"/>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50"/>
    <w:rsid w:val="00AD3864"/>
    <w:rsid w:val="00AD3891"/>
    <w:rsid w:val="00AD38A3"/>
    <w:rsid w:val="00AD38F5"/>
    <w:rsid w:val="00AD3983"/>
    <w:rsid w:val="00AD39A8"/>
    <w:rsid w:val="00AD39E2"/>
    <w:rsid w:val="00AD3A3E"/>
    <w:rsid w:val="00AD3A7B"/>
    <w:rsid w:val="00AD3A85"/>
    <w:rsid w:val="00AD3A88"/>
    <w:rsid w:val="00AD3AB7"/>
    <w:rsid w:val="00AD3AC0"/>
    <w:rsid w:val="00AD3B6E"/>
    <w:rsid w:val="00AD3BAC"/>
    <w:rsid w:val="00AD3BEB"/>
    <w:rsid w:val="00AD3BF0"/>
    <w:rsid w:val="00AD3C58"/>
    <w:rsid w:val="00AD3C8E"/>
    <w:rsid w:val="00AD3CA2"/>
    <w:rsid w:val="00AD3CE7"/>
    <w:rsid w:val="00AD3CE8"/>
    <w:rsid w:val="00AD3CF1"/>
    <w:rsid w:val="00AD3CF2"/>
    <w:rsid w:val="00AD3D37"/>
    <w:rsid w:val="00AD3D8C"/>
    <w:rsid w:val="00AD3DC0"/>
    <w:rsid w:val="00AD3E1E"/>
    <w:rsid w:val="00AD3E65"/>
    <w:rsid w:val="00AD3ED7"/>
    <w:rsid w:val="00AD3EF8"/>
    <w:rsid w:val="00AD3F0E"/>
    <w:rsid w:val="00AD3F11"/>
    <w:rsid w:val="00AD3F34"/>
    <w:rsid w:val="00AD3F45"/>
    <w:rsid w:val="00AD3FA9"/>
    <w:rsid w:val="00AD3FB9"/>
    <w:rsid w:val="00AD3FC7"/>
    <w:rsid w:val="00AD3FE2"/>
    <w:rsid w:val="00AD4045"/>
    <w:rsid w:val="00AD405B"/>
    <w:rsid w:val="00AD405F"/>
    <w:rsid w:val="00AD4084"/>
    <w:rsid w:val="00AD4089"/>
    <w:rsid w:val="00AD41B1"/>
    <w:rsid w:val="00AD4204"/>
    <w:rsid w:val="00AD4294"/>
    <w:rsid w:val="00AD429D"/>
    <w:rsid w:val="00AD42AB"/>
    <w:rsid w:val="00AD434B"/>
    <w:rsid w:val="00AD439A"/>
    <w:rsid w:val="00AD43B0"/>
    <w:rsid w:val="00AD43B8"/>
    <w:rsid w:val="00AD43EB"/>
    <w:rsid w:val="00AD4402"/>
    <w:rsid w:val="00AD4409"/>
    <w:rsid w:val="00AD4414"/>
    <w:rsid w:val="00AD4455"/>
    <w:rsid w:val="00AD4474"/>
    <w:rsid w:val="00AD44E2"/>
    <w:rsid w:val="00AD44E9"/>
    <w:rsid w:val="00AD451E"/>
    <w:rsid w:val="00AD4545"/>
    <w:rsid w:val="00AD45B3"/>
    <w:rsid w:val="00AD45D3"/>
    <w:rsid w:val="00AD45DF"/>
    <w:rsid w:val="00AD4626"/>
    <w:rsid w:val="00AD46AA"/>
    <w:rsid w:val="00AD46AE"/>
    <w:rsid w:val="00AD471F"/>
    <w:rsid w:val="00AD474B"/>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8"/>
    <w:rsid w:val="00AD4D1C"/>
    <w:rsid w:val="00AD4D35"/>
    <w:rsid w:val="00AD4D47"/>
    <w:rsid w:val="00AD4D77"/>
    <w:rsid w:val="00AD4DAB"/>
    <w:rsid w:val="00AD4DD8"/>
    <w:rsid w:val="00AD4E10"/>
    <w:rsid w:val="00AD4E2D"/>
    <w:rsid w:val="00AD4E59"/>
    <w:rsid w:val="00AD4E83"/>
    <w:rsid w:val="00AD4EB4"/>
    <w:rsid w:val="00AD4EBC"/>
    <w:rsid w:val="00AD4EE0"/>
    <w:rsid w:val="00AD4F12"/>
    <w:rsid w:val="00AD4F2D"/>
    <w:rsid w:val="00AD4F32"/>
    <w:rsid w:val="00AD4F51"/>
    <w:rsid w:val="00AD4FCA"/>
    <w:rsid w:val="00AD4FFD"/>
    <w:rsid w:val="00AD500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D"/>
    <w:rsid w:val="00AD583F"/>
    <w:rsid w:val="00AD584A"/>
    <w:rsid w:val="00AD58C1"/>
    <w:rsid w:val="00AD58C6"/>
    <w:rsid w:val="00AD58F0"/>
    <w:rsid w:val="00AD593C"/>
    <w:rsid w:val="00AD598B"/>
    <w:rsid w:val="00AD59AC"/>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2A"/>
    <w:rsid w:val="00AD6038"/>
    <w:rsid w:val="00AD6066"/>
    <w:rsid w:val="00AD6069"/>
    <w:rsid w:val="00AD60DF"/>
    <w:rsid w:val="00AD60EC"/>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B0"/>
    <w:rsid w:val="00AD6EC8"/>
    <w:rsid w:val="00AD6EE8"/>
    <w:rsid w:val="00AD6F37"/>
    <w:rsid w:val="00AD6F3C"/>
    <w:rsid w:val="00AD6F77"/>
    <w:rsid w:val="00AD6FDF"/>
    <w:rsid w:val="00AD6FFE"/>
    <w:rsid w:val="00AD7057"/>
    <w:rsid w:val="00AD7067"/>
    <w:rsid w:val="00AD707B"/>
    <w:rsid w:val="00AD70A3"/>
    <w:rsid w:val="00AD70BA"/>
    <w:rsid w:val="00AD7136"/>
    <w:rsid w:val="00AD713B"/>
    <w:rsid w:val="00AD7181"/>
    <w:rsid w:val="00AD7195"/>
    <w:rsid w:val="00AD71AB"/>
    <w:rsid w:val="00AD724E"/>
    <w:rsid w:val="00AD72AD"/>
    <w:rsid w:val="00AD7324"/>
    <w:rsid w:val="00AD73FF"/>
    <w:rsid w:val="00AD748D"/>
    <w:rsid w:val="00AD74DD"/>
    <w:rsid w:val="00AD756B"/>
    <w:rsid w:val="00AD766A"/>
    <w:rsid w:val="00AD7676"/>
    <w:rsid w:val="00AD7766"/>
    <w:rsid w:val="00AD776C"/>
    <w:rsid w:val="00AD777C"/>
    <w:rsid w:val="00AD7793"/>
    <w:rsid w:val="00AD77F1"/>
    <w:rsid w:val="00AD78A6"/>
    <w:rsid w:val="00AD78F9"/>
    <w:rsid w:val="00AD78FB"/>
    <w:rsid w:val="00AD7978"/>
    <w:rsid w:val="00AD79D3"/>
    <w:rsid w:val="00AD7ACB"/>
    <w:rsid w:val="00AD7AF9"/>
    <w:rsid w:val="00AD7B27"/>
    <w:rsid w:val="00AD7BC4"/>
    <w:rsid w:val="00AD7C37"/>
    <w:rsid w:val="00AD7C60"/>
    <w:rsid w:val="00AD7C86"/>
    <w:rsid w:val="00AD7CCE"/>
    <w:rsid w:val="00AD7CE7"/>
    <w:rsid w:val="00AD7CEC"/>
    <w:rsid w:val="00AD7D43"/>
    <w:rsid w:val="00AD7D76"/>
    <w:rsid w:val="00AD7D84"/>
    <w:rsid w:val="00AD7DE4"/>
    <w:rsid w:val="00AD7E01"/>
    <w:rsid w:val="00AD7E20"/>
    <w:rsid w:val="00AD7E23"/>
    <w:rsid w:val="00AD7E2B"/>
    <w:rsid w:val="00AD7E86"/>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BD"/>
    <w:rsid w:val="00AE02E0"/>
    <w:rsid w:val="00AE0317"/>
    <w:rsid w:val="00AE0334"/>
    <w:rsid w:val="00AE039A"/>
    <w:rsid w:val="00AE03C7"/>
    <w:rsid w:val="00AE0551"/>
    <w:rsid w:val="00AE0571"/>
    <w:rsid w:val="00AE05A0"/>
    <w:rsid w:val="00AE05A3"/>
    <w:rsid w:val="00AE05A4"/>
    <w:rsid w:val="00AE05D5"/>
    <w:rsid w:val="00AE05E6"/>
    <w:rsid w:val="00AE0612"/>
    <w:rsid w:val="00AE0640"/>
    <w:rsid w:val="00AE0645"/>
    <w:rsid w:val="00AE0680"/>
    <w:rsid w:val="00AE06A8"/>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999"/>
    <w:rsid w:val="00AE0A31"/>
    <w:rsid w:val="00AE0A36"/>
    <w:rsid w:val="00AE0A52"/>
    <w:rsid w:val="00AE0A83"/>
    <w:rsid w:val="00AE0ABC"/>
    <w:rsid w:val="00AE0ABE"/>
    <w:rsid w:val="00AE0ADD"/>
    <w:rsid w:val="00AE0B72"/>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A4"/>
    <w:rsid w:val="00AE10DE"/>
    <w:rsid w:val="00AE111C"/>
    <w:rsid w:val="00AE1151"/>
    <w:rsid w:val="00AE1161"/>
    <w:rsid w:val="00AE11C4"/>
    <w:rsid w:val="00AE11F3"/>
    <w:rsid w:val="00AE122A"/>
    <w:rsid w:val="00AE1288"/>
    <w:rsid w:val="00AE12B5"/>
    <w:rsid w:val="00AE1347"/>
    <w:rsid w:val="00AE138C"/>
    <w:rsid w:val="00AE13E9"/>
    <w:rsid w:val="00AE1417"/>
    <w:rsid w:val="00AE144D"/>
    <w:rsid w:val="00AE1454"/>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D5"/>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F1"/>
    <w:rsid w:val="00AE1B25"/>
    <w:rsid w:val="00AE1B2C"/>
    <w:rsid w:val="00AE1B3B"/>
    <w:rsid w:val="00AE1B3C"/>
    <w:rsid w:val="00AE1B4E"/>
    <w:rsid w:val="00AE1BA6"/>
    <w:rsid w:val="00AE1BB6"/>
    <w:rsid w:val="00AE1BDE"/>
    <w:rsid w:val="00AE1BF2"/>
    <w:rsid w:val="00AE1C2A"/>
    <w:rsid w:val="00AE1CA3"/>
    <w:rsid w:val="00AE1CEA"/>
    <w:rsid w:val="00AE1CEC"/>
    <w:rsid w:val="00AE1CF1"/>
    <w:rsid w:val="00AE1CFF"/>
    <w:rsid w:val="00AE1D29"/>
    <w:rsid w:val="00AE1D46"/>
    <w:rsid w:val="00AE1DA6"/>
    <w:rsid w:val="00AE1DEE"/>
    <w:rsid w:val="00AE1E95"/>
    <w:rsid w:val="00AE1ECD"/>
    <w:rsid w:val="00AE1EFE"/>
    <w:rsid w:val="00AE1EFF"/>
    <w:rsid w:val="00AE2014"/>
    <w:rsid w:val="00AE209E"/>
    <w:rsid w:val="00AE20A1"/>
    <w:rsid w:val="00AE20BE"/>
    <w:rsid w:val="00AE20FD"/>
    <w:rsid w:val="00AE2114"/>
    <w:rsid w:val="00AE217D"/>
    <w:rsid w:val="00AE219E"/>
    <w:rsid w:val="00AE21EA"/>
    <w:rsid w:val="00AE2291"/>
    <w:rsid w:val="00AE2336"/>
    <w:rsid w:val="00AE2368"/>
    <w:rsid w:val="00AE236F"/>
    <w:rsid w:val="00AE238D"/>
    <w:rsid w:val="00AE239A"/>
    <w:rsid w:val="00AE23D4"/>
    <w:rsid w:val="00AE2421"/>
    <w:rsid w:val="00AE2458"/>
    <w:rsid w:val="00AE24DB"/>
    <w:rsid w:val="00AE24EA"/>
    <w:rsid w:val="00AE251D"/>
    <w:rsid w:val="00AE2532"/>
    <w:rsid w:val="00AE2560"/>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20"/>
    <w:rsid w:val="00AE2C72"/>
    <w:rsid w:val="00AE2CA7"/>
    <w:rsid w:val="00AE2D06"/>
    <w:rsid w:val="00AE2D13"/>
    <w:rsid w:val="00AE2D43"/>
    <w:rsid w:val="00AE2D53"/>
    <w:rsid w:val="00AE2D8F"/>
    <w:rsid w:val="00AE2D97"/>
    <w:rsid w:val="00AE2E1C"/>
    <w:rsid w:val="00AE2E56"/>
    <w:rsid w:val="00AE2E87"/>
    <w:rsid w:val="00AE2EA1"/>
    <w:rsid w:val="00AE2F0F"/>
    <w:rsid w:val="00AE2F53"/>
    <w:rsid w:val="00AE2F76"/>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D"/>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76"/>
    <w:rsid w:val="00AE4982"/>
    <w:rsid w:val="00AE4998"/>
    <w:rsid w:val="00AE49EE"/>
    <w:rsid w:val="00AE4A00"/>
    <w:rsid w:val="00AE4A01"/>
    <w:rsid w:val="00AE4A0B"/>
    <w:rsid w:val="00AE4A2C"/>
    <w:rsid w:val="00AE4A52"/>
    <w:rsid w:val="00AE4AB9"/>
    <w:rsid w:val="00AE4AF5"/>
    <w:rsid w:val="00AE4B08"/>
    <w:rsid w:val="00AE4B0A"/>
    <w:rsid w:val="00AE4B48"/>
    <w:rsid w:val="00AE4BAA"/>
    <w:rsid w:val="00AE4BCB"/>
    <w:rsid w:val="00AE4C23"/>
    <w:rsid w:val="00AE4CA0"/>
    <w:rsid w:val="00AE4CC4"/>
    <w:rsid w:val="00AE4CE5"/>
    <w:rsid w:val="00AE4CE8"/>
    <w:rsid w:val="00AE4D7B"/>
    <w:rsid w:val="00AE4DAD"/>
    <w:rsid w:val="00AE4DED"/>
    <w:rsid w:val="00AE4E0C"/>
    <w:rsid w:val="00AE4E47"/>
    <w:rsid w:val="00AE4E96"/>
    <w:rsid w:val="00AE4EC4"/>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46"/>
    <w:rsid w:val="00AE5276"/>
    <w:rsid w:val="00AE52CF"/>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78C"/>
    <w:rsid w:val="00AE57FE"/>
    <w:rsid w:val="00AE5805"/>
    <w:rsid w:val="00AE5815"/>
    <w:rsid w:val="00AE5826"/>
    <w:rsid w:val="00AE5828"/>
    <w:rsid w:val="00AE583E"/>
    <w:rsid w:val="00AE584C"/>
    <w:rsid w:val="00AE5878"/>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E27"/>
    <w:rsid w:val="00AE5FC4"/>
    <w:rsid w:val="00AE5FFB"/>
    <w:rsid w:val="00AE6007"/>
    <w:rsid w:val="00AE605C"/>
    <w:rsid w:val="00AE6088"/>
    <w:rsid w:val="00AE60E5"/>
    <w:rsid w:val="00AE6107"/>
    <w:rsid w:val="00AE6124"/>
    <w:rsid w:val="00AE6128"/>
    <w:rsid w:val="00AE623E"/>
    <w:rsid w:val="00AE624A"/>
    <w:rsid w:val="00AE62AF"/>
    <w:rsid w:val="00AE62FE"/>
    <w:rsid w:val="00AE6381"/>
    <w:rsid w:val="00AE639A"/>
    <w:rsid w:val="00AE63D8"/>
    <w:rsid w:val="00AE63DB"/>
    <w:rsid w:val="00AE6404"/>
    <w:rsid w:val="00AE6445"/>
    <w:rsid w:val="00AE646C"/>
    <w:rsid w:val="00AE6491"/>
    <w:rsid w:val="00AE6519"/>
    <w:rsid w:val="00AE6546"/>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3"/>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47"/>
    <w:rsid w:val="00AE7068"/>
    <w:rsid w:val="00AE7079"/>
    <w:rsid w:val="00AE709B"/>
    <w:rsid w:val="00AE70C0"/>
    <w:rsid w:val="00AE7163"/>
    <w:rsid w:val="00AE71AD"/>
    <w:rsid w:val="00AE71E1"/>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DC5"/>
    <w:rsid w:val="00AE7E1B"/>
    <w:rsid w:val="00AE7E5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68"/>
    <w:rsid w:val="00AF02FE"/>
    <w:rsid w:val="00AF0359"/>
    <w:rsid w:val="00AF0375"/>
    <w:rsid w:val="00AF03E6"/>
    <w:rsid w:val="00AF03EA"/>
    <w:rsid w:val="00AF0439"/>
    <w:rsid w:val="00AF043E"/>
    <w:rsid w:val="00AF0447"/>
    <w:rsid w:val="00AF0449"/>
    <w:rsid w:val="00AF0514"/>
    <w:rsid w:val="00AF0533"/>
    <w:rsid w:val="00AF053A"/>
    <w:rsid w:val="00AF05E1"/>
    <w:rsid w:val="00AF05EA"/>
    <w:rsid w:val="00AF0622"/>
    <w:rsid w:val="00AF065F"/>
    <w:rsid w:val="00AF06BD"/>
    <w:rsid w:val="00AF074D"/>
    <w:rsid w:val="00AF07D8"/>
    <w:rsid w:val="00AF0847"/>
    <w:rsid w:val="00AF086B"/>
    <w:rsid w:val="00AF0970"/>
    <w:rsid w:val="00AF097B"/>
    <w:rsid w:val="00AF09A6"/>
    <w:rsid w:val="00AF09CF"/>
    <w:rsid w:val="00AF09D0"/>
    <w:rsid w:val="00AF09D5"/>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55"/>
    <w:rsid w:val="00AF1172"/>
    <w:rsid w:val="00AF11EA"/>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69"/>
    <w:rsid w:val="00AF20A4"/>
    <w:rsid w:val="00AF20C5"/>
    <w:rsid w:val="00AF20DD"/>
    <w:rsid w:val="00AF214B"/>
    <w:rsid w:val="00AF21C3"/>
    <w:rsid w:val="00AF21D3"/>
    <w:rsid w:val="00AF21ED"/>
    <w:rsid w:val="00AF2253"/>
    <w:rsid w:val="00AF2267"/>
    <w:rsid w:val="00AF22F8"/>
    <w:rsid w:val="00AF2353"/>
    <w:rsid w:val="00AF23AB"/>
    <w:rsid w:val="00AF23B4"/>
    <w:rsid w:val="00AF23CF"/>
    <w:rsid w:val="00AF2411"/>
    <w:rsid w:val="00AF2420"/>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7B"/>
    <w:rsid w:val="00AF289C"/>
    <w:rsid w:val="00AF28C4"/>
    <w:rsid w:val="00AF28C9"/>
    <w:rsid w:val="00AF28D0"/>
    <w:rsid w:val="00AF28DA"/>
    <w:rsid w:val="00AF28EB"/>
    <w:rsid w:val="00AF28EE"/>
    <w:rsid w:val="00AF2931"/>
    <w:rsid w:val="00AF2942"/>
    <w:rsid w:val="00AF29B0"/>
    <w:rsid w:val="00AF2A4C"/>
    <w:rsid w:val="00AF2A73"/>
    <w:rsid w:val="00AF2A7E"/>
    <w:rsid w:val="00AF2ACE"/>
    <w:rsid w:val="00AF2AD2"/>
    <w:rsid w:val="00AF2B42"/>
    <w:rsid w:val="00AF2B59"/>
    <w:rsid w:val="00AF2BDD"/>
    <w:rsid w:val="00AF2C87"/>
    <w:rsid w:val="00AF2CCD"/>
    <w:rsid w:val="00AF2D36"/>
    <w:rsid w:val="00AF2D58"/>
    <w:rsid w:val="00AF2D5E"/>
    <w:rsid w:val="00AF2D61"/>
    <w:rsid w:val="00AF2D70"/>
    <w:rsid w:val="00AF2DD2"/>
    <w:rsid w:val="00AF2DEF"/>
    <w:rsid w:val="00AF2E37"/>
    <w:rsid w:val="00AF2EBF"/>
    <w:rsid w:val="00AF2EDB"/>
    <w:rsid w:val="00AF2F85"/>
    <w:rsid w:val="00AF2FAF"/>
    <w:rsid w:val="00AF2FED"/>
    <w:rsid w:val="00AF3030"/>
    <w:rsid w:val="00AF3031"/>
    <w:rsid w:val="00AF3046"/>
    <w:rsid w:val="00AF3054"/>
    <w:rsid w:val="00AF3082"/>
    <w:rsid w:val="00AF3083"/>
    <w:rsid w:val="00AF3099"/>
    <w:rsid w:val="00AF30A8"/>
    <w:rsid w:val="00AF30CB"/>
    <w:rsid w:val="00AF30E1"/>
    <w:rsid w:val="00AF3148"/>
    <w:rsid w:val="00AF317B"/>
    <w:rsid w:val="00AF31E6"/>
    <w:rsid w:val="00AF321A"/>
    <w:rsid w:val="00AF3251"/>
    <w:rsid w:val="00AF32A1"/>
    <w:rsid w:val="00AF32A9"/>
    <w:rsid w:val="00AF3307"/>
    <w:rsid w:val="00AF33B6"/>
    <w:rsid w:val="00AF33BB"/>
    <w:rsid w:val="00AF33FE"/>
    <w:rsid w:val="00AF3435"/>
    <w:rsid w:val="00AF3447"/>
    <w:rsid w:val="00AF345E"/>
    <w:rsid w:val="00AF3468"/>
    <w:rsid w:val="00AF3549"/>
    <w:rsid w:val="00AF3568"/>
    <w:rsid w:val="00AF35B2"/>
    <w:rsid w:val="00AF35FB"/>
    <w:rsid w:val="00AF36C4"/>
    <w:rsid w:val="00AF36ED"/>
    <w:rsid w:val="00AF370C"/>
    <w:rsid w:val="00AF3730"/>
    <w:rsid w:val="00AF3735"/>
    <w:rsid w:val="00AF3781"/>
    <w:rsid w:val="00AF3809"/>
    <w:rsid w:val="00AF38EB"/>
    <w:rsid w:val="00AF38ED"/>
    <w:rsid w:val="00AF3991"/>
    <w:rsid w:val="00AF3A11"/>
    <w:rsid w:val="00AF3A51"/>
    <w:rsid w:val="00AF3AB9"/>
    <w:rsid w:val="00AF3B04"/>
    <w:rsid w:val="00AF3B1E"/>
    <w:rsid w:val="00AF3B34"/>
    <w:rsid w:val="00AF3B86"/>
    <w:rsid w:val="00AF3BEC"/>
    <w:rsid w:val="00AF3C3A"/>
    <w:rsid w:val="00AF3C44"/>
    <w:rsid w:val="00AF3C45"/>
    <w:rsid w:val="00AF3C4C"/>
    <w:rsid w:val="00AF3C54"/>
    <w:rsid w:val="00AF3CCB"/>
    <w:rsid w:val="00AF3D32"/>
    <w:rsid w:val="00AF3D4D"/>
    <w:rsid w:val="00AF3D64"/>
    <w:rsid w:val="00AF3D9F"/>
    <w:rsid w:val="00AF3E33"/>
    <w:rsid w:val="00AF3E36"/>
    <w:rsid w:val="00AF3E40"/>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49"/>
    <w:rsid w:val="00AF4454"/>
    <w:rsid w:val="00AF4460"/>
    <w:rsid w:val="00AF4485"/>
    <w:rsid w:val="00AF44B9"/>
    <w:rsid w:val="00AF44BD"/>
    <w:rsid w:val="00AF44C8"/>
    <w:rsid w:val="00AF4526"/>
    <w:rsid w:val="00AF455B"/>
    <w:rsid w:val="00AF4572"/>
    <w:rsid w:val="00AF4584"/>
    <w:rsid w:val="00AF46F1"/>
    <w:rsid w:val="00AF47CD"/>
    <w:rsid w:val="00AF4828"/>
    <w:rsid w:val="00AF48FE"/>
    <w:rsid w:val="00AF491E"/>
    <w:rsid w:val="00AF4938"/>
    <w:rsid w:val="00AF4972"/>
    <w:rsid w:val="00AF49D9"/>
    <w:rsid w:val="00AF4B08"/>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178"/>
    <w:rsid w:val="00AF517D"/>
    <w:rsid w:val="00AF5192"/>
    <w:rsid w:val="00AF519C"/>
    <w:rsid w:val="00AF51AC"/>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44"/>
    <w:rsid w:val="00AF585D"/>
    <w:rsid w:val="00AF5894"/>
    <w:rsid w:val="00AF58E9"/>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B3"/>
    <w:rsid w:val="00AF5DF5"/>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C2"/>
    <w:rsid w:val="00AF64D6"/>
    <w:rsid w:val="00AF64DA"/>
    <w:rsid w:val="00AF653A"/>
    <w:rsid w:val="00AF6543"/>
    <w:rsid w:val="00AF6560"/>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31"/>
    <w:rsid w:val="00AF6F52"/>
    <w:rsid w:val="00AF6F69"/>
    <w:rsid w:val="00AF6FB4"/>
    <w:rsid w:val="00AF6FEE"/>
    <w:rsid w:val="00AF7072"/>
    <w:rsid w:val="00AF719C"/>
    <w:rsid w:val="00AF71A8"/>
    <w:rsid w:val="00AF71DF"/>
    <w:rsid w:val="00AF71E7"/>
    <w:rsid w:val="00AF728F"/>
    <w:rsid w:val="00AF72B2"/>
    <w:rsid w:val="00AF72C1"/>
    <w:rsid w:val="00AF72CF"/>
    <w:rsid w:val="00AF72D7"/>
    <w:rsid w:val="00AF72E5"/>
    <w:rsid w:val="00AF72EC"/>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AC"/>
    <w:rsid w:val="00AF76DD"/>
    <w:rsid w:val="00AF7709"/>
    <w:rsid w:val="00AF7751"/>
    <w:rsid w:val="00AF776A"/>
    <w:rsid w:val="00AF77A6"/>
    <w:rsid w:val="00AF781F"/>
    <w:rsid w:val="00AF782C"/>
    <w:rsid w:val="00AF7896"/>
    <w:rsid w:val="00AF790A"/>
    <w:rsid w:val="00AF793B"/>
    <w:rsid w:val="00AF793F"/>
    <w:rsid w:val="00AF79C7"/>
    <w:rsid w:val="00AF79EB"/>
    <w:rsid w:val="00AF7A18"/>
    <w:rsid w:val="00AF7AA7"/>
    <w:rsid w:val="00AF7AD9"/>
    <w:rsid w:val="00AF7AFD"/>
    <w:rsid w:val="00AF7B31"/>
    <w:rsid w:val="00AF7B38"/>
    <w:rsid w:val="00AF7B5E"/>
    <w:rsid w:val="00AF7B70"/>
    <w:rsid w:val="00AF7BBC"/>
    <w:rsid w:val="00AF7C2C"/>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36"/>
    <w:rsid w:val="00B00673"/>
    <w:rsid w:val="00B0068E"/>
    <w:rsid w:val="00B00691"/>
    <w:rsid w:val="00B006CF"/>
    <w:rsid w:val="00B00706"/>
    <w:rsid w:val="00B0076B"/>
    <w:rsid w:val="00B0089A"/>
    <w:rsid w:val="00B008B4"/>
    <w:rsid w:val="00B008E0"/>
    <w:rsid w:val="00B0092B"/>
    <w:rsid w:val="00B0093F"/>
    <w:rsid w:val="00B009C3"/>
    <w:rsid w:val="00B009C9"/>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7"/>
    <w:rsid w:val="00B00CCE"/>
    <w:rsid w:val="00B00CF3"/>
    <w:rsid w:val="00B00D09"/>
    <w:rsid w:val="00B00D33"/>
    <w:rsid w:val="00B00D62"/>
    <w:rsid w:val="00B00D98"/>
    <w:rsid w:val="00B00DAC"/>
    <w:rsid w:val="00B00E3D"/>
    <w:rsid w:val="00B00E3E"/>
    <w:rsid w:val="00B00E58"/>
    <w:rsid w:val="00B00E72"/>
    <w:rsid w:val="00B00EA5"/>
    <w:rsid w:val="00B00ED8"/>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5B"/>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2A"/>
    <w:rsid w:val="00B01C3A"/>
    <w:rsid w:val="00B01C42"/>
    <w:rsid w:val="00B01C7D"/>
    <w:rsid w:val="00B01CA6"/>
    <w:rsid w:val="00B01D3A"/>
    <w:rsid w:val="00B01D4F"/>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E5"/>
    <w:rsid w:val="00B0204D"/>
    <w:rsid w:val="00B02069"/>
    <w:rsid w:val="00B0206A"/>
    <w:rsid w:val="00B020E8"/>
    <w:rsid w:val="00B02183"/>
    <w:rsid w:val="00B021AD"/>
    <w:rsid w:val="00B021B4"/>
    <w:rsid w:val="00B0221A"/>
    <w:rsid w:val="00B02240"/>
    <w:rsid w:val="00B0226D"/>
    <w:rsid w:val="00B02275"/>
    <w:rsid w:val="00B0227D"/>
    <w:rsid w:val="00B022B2"/>
    <w:rsid w:val="00B0232B"/>
    <w:rsid w:val="00B02339"/>
    <w:rsid w:val="00B023EE"/>
    <w:rsid w:val="00B0247B"/>
    <w:rsid w:val="00B024B1"/>
    <w:rsid w:val="00B02541"/>
    <w:rsid w:val="00B0255E"/>
    <w:rsid w:val="00B025BF"/>
    <w:rsid w:val="00B02604"/>
    <w:rsid w:val="00B02675"/>
    <w:rsid w:val="00B02678"/>
    <w:rsid w:val="00B026A9"/>
    <w:rsid w:val="00B0270A"/>
    <w:rsid w:val="00B0271E"/>
    <w:rsid w:val="00B02722"/>
    <w:rsid w:val="00B02754"/>
    <w:rsid w:val="00B02756"/>
    <w:rsid w:val="00B02797"/>
    <w:rsid w:val="00B027AF"/>
    <w:rsid w:val="00B02816"/>
    <w:rsid w:val="00B028AA"/>
    <w:rsid w:val="00B0290B"/>
    <w:rsid w:val="00B02913"/>
    <w:rsid w:val="00B02919"/>
    <w:rsid w:val="00B0293E"/>
    <w:rsid w:val="00B02953"/>
    <w:rsid w:val="00B02985"/>
    <w:rsid w:val="00B02992"/>
    <w:rsid w:val="00B029AB"/>
    <w:rsid w:val="00B029CD"/>
    <w:rsid w:val="00B029F1"/>
    <w:rsid w:val="00B02A5D"/>
    <w:rsid w:val="00B02A69"/>
    <w:rsid w:val="00B02A90"/>
    <w:rsid w:val="00B02AFD"/>
    <w:rsid w:val="00B02B4E"/>
    <w:rsid w:val="00B02B5C"/>
    <w:rsid w:val="00B02BDC"/>
    <w:rsid w:val="00B02BE1"/>
    <w:rsid w:val="00B02BF7"/>
    <w:rsid w:val="00B02C21"/>
    <w:rsid w:val="00B02C69"/>
    <w:rsid w:val="00B02C93"/>
    <w:rsid w:val="00B02CA3"/>
    <w:rsid w:val="00B02CA5"/>
    <w:rsid w:val="00B02CAF"/>
    <w:rsid w:val="00B02CD8"/>
    <w:rsid w:val="00B02D3B"/>
    <w:rsid w:val="00B02D5A"/>
    <w:rsid w:val="00B02D87"/>
    <w:rsid w:val="00B02D99"/>
    <w:rsid w:val="00B02E22"/>
    <w:rsid w:val="00B02E87"/>
    <w:rsid w:val="00B02EA8"/>
    <w:rsid w:val="00B02EF3"/>
    <w:rsid w:val="00B02EFF"/>
    <w:rsid w:val="00B02F43"/>
    <w:rsid w:val="00B02F71"/>
    <w:rsid w:val="00B02FAA"/>
    <w:rsid w:val="00B02FC3"/>
    <w:rsid w:val="00B02FD0"/>
    <w:rsid w:val="00B02FF1"/>
    <w:rsid w:val="00B03088"/>
    <w:rsid w:val="00B03112"/>
    <w:rsid w:val="00B0313D"/>
    <w:rsid w:val="00B03192"/>
    <w:rsid w:val="00B031A6"/>
    <w:rsid w:val="00B031E0"/>
    <w:rsid w:val="00B03276"/>
    <w:rsid w:val="00B033A8"/>
    <w:rsid w:val="00B033B2"/>
    <w:rsid w:val="00B033E6"/>
    <w:rsid w:val="00B03421"/>
    <w:rsid w:val="00B03424"/>
    <w:rsid w:val="00B0345F"/>
    <w:rsid w:val="00B03479"/>
    <w:rsid w:val="00B034A2"/>
    <w:rsid w:val="00B035B7"/>
    <w:rsid w:val="00B03611"/>
    <w:rsid w:val="00B0364F"/>
    <w:rsid w:val="00B0376A"/>
    <w:rsid w:val="00B0378B"/>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E34"/>
    <w:rsid w:val="00B03E69"/>
    <w:rsid w:val="00B03F0B"/>
    <w:rsid w:val="00B03F15"/>
    <w:rsid w:val="00B03F3E"/>
    <w:rsid w:val="00B03F46"/>
    <w:rsid w:val="00B03F54"/>
    <w:rsid w:val="00B03F5E"/>
    <w:rsid w:val="00B03F87"/>
    <w:rsid w:val="00B03F88"/>
    <w:rsid w:val="00B03FDD"/>
    <w:rsid w:val="00B040B6"/>
    <w:rsid w:val="00B040D3"/>
    <w:rsid w:val="00B04121"/>
    <w:rsid w:val="00B0412E"/>
    <w:rsid w:val="00B04140"/>
    <w:rsid w:val="00B04147"/>
    <w:rsid w:val="00B04209"/>
    <w:rsid w:val="00B0425F"/>
    <w:rsid w:val="00B04299"/>
    <w:rsid w:val="00B042B2"/>
    <w:rsid w:val="00B042F3"/>
    <w:rsid w:val="00B0434E"/>
    <w:rsid w:val="00B04381"/>
    <w:rsid w:val="00B043C4"/>
    <w:rsid w:val="00B04497"/>
    <w:rsid w:val="00B044DC"/>
    <w:rsid w:val="00B044E9"/>
    <w:rsid w:val="00B0452D"/>
    <w:rsid w:val="00B0453A"/>
    <w:rsid w:val="00B04551"/>
    <w:rsid w:val="00B045BF"/>
    <w:rsid w:val="00B045C5"/>
    <w:rsid w:val="00B045C8"/>
    <w:rsid w:val="00B045E4"/>
    <w:rsid w:val="00B046A7"/>
    <w:rsid w:val="00B04745"/>
    <w:rsid w:val="00B0474A"/>
    <w:rsid w:val="00B0475A"/>
    <w:rsid w:val="00B04775"/>
    <w:rsid w:val="00B0479D"/>
    <w:rsid w:val="00B0479F"/>
    <w:rsid w:val="00B047D9"/>
    <w:rsid w:val="00B047DF"/>
    <w:rsid w:val="00B047F0"/>
    <w:rsid w:val="00B0481C"/>
    <w:rsid w:val="00B04887"/>
    <w:rsid w:val="00B048A1"/>
    <w:rsid w:val="00B048FD"/>
    <w:rsid w:val="00B04996"/>
    <w:rsid w:val="00B04997"/>
    <w:rsid w:val="00B049D6"/>
    <w:rsid w:val="00B049E6"/>
    <w:rsid w:val="00B04A1D"/>
    <w:rsid w:val="00B04A1E"/>
    <w:rsid w:val="00B04A3E"/>
    <w:rsid w:val="00B04A91"/>
    <w:rsid w:val="00B04AA5"/>
    <w:rsid w:val="00B04AED"/>
    <w:rsid w:val="00B04B23"/>
    <w:rsid w:val="00B04BF2"/>
    <w:rsid w:val="00B04C21"/>
    <w:rsid w:val="00B04C77"/>
    <w:rsid w:val="00B04C81"/>
    <w:rsid w:val="00B04D09"/>
    <w:rsid w:val="00B04D59"/>
    <w:rsid w:val="00B04D64"/>
    <w:rsid w:val="00B04D91"/>
    <w:rsid w:val="00B04EAB"/>
    <w:rsid w:val="00B04EE1"/>
    <w:rsid w:val="00B04F7A"/>
    <w:rsid w:val="00B04F90"/>
    <w:rsid w:val="00B04FA1"/>
    <w:rsid w:val="00B04FEA"/>
    <w:rsid w:val="00B05034"/>
    <w:rsid w:val="00B0504B"/>
    <w:rsid w:val="00B050B0"/>
    <w:rsid w:val="00B050BE"/>
    <w:rsid w:val="00B050F0"/>
    <w:rsid w:val="00B05117"/>
    <w:rsid w:val="00B0512E"/>
    <w:rsid w:val="00B0514C"/>
    <w:rsid w:val="00B05172"/>
    <w:rsid w:val="00B0519B"/>
    <w:rsid w:val="00B051A2"/>
    <w:rsid w:val="00B051A3"/>
    <w:rsid w:val="00B051AA"/>
    <w:rsid w:val="00B051AB"/>
    <w:rsid w:val="00B051AC"/>
    <w:rsid w:val="00B051D9"/>
    <w:rsid w:val="00B0521A"/>
    <w:rsid w:val="00B05263"/>
    <w:rsid w:val="00B052A4"/>
    <w:rsid w:val="00B052A5"/>
    <w:rsid w:val="00B052CA"/>
    <w:rsid w:val="00B052DD"/>
    <w:rsid w:val="00B052FD"/>
    <w:rsid w:val="00B05306"/>
    <w:rsid w:val="00B05310"/>
    <w:rsid w:val="00B05311"/>
    <w:rsid w:val="00B0532E"/>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2F"/>
    <w:rsid w:val="00B05A3E"/>
    <w:rsid w:val="00B05AB2"/>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E0"/>
    <w:rsid w:val="00B063E1"/>
    <w:rsid w:val="00B063E7"/>
    <w:rsid w:val="00B06405"/>
    <w:rsid w:val="00B06408"/>
    <w:rsid w:val="00B06423"/>
    <w:rsid w:val="00B06427"/>
    <w:rsid w:val="00B06452"/>
    <w:rsid w:val="00B06502"/>
    <w:rsid w:val="00B06521"/>
    <w:rsid w:val="00B065A6"/>
    <w:rsid w:val="00B06696"/>
    <w:rsid w:val="00B0669E"/>
    <w:rsid w:val="00B066D6"/>
    <w:rsid w:val="00B066F0"/>
    <w:rsid w:val="00B06700"/>
    <w:rsid w:val="00B0671A"/>
    <w:rsid w:val="00B067A6"/>
    <w:rsid w:val="00B0688A"/>
    <w:rsid w:val="00B0688E"/>
    <w:rsid w:val="00B068C2"/>
    <w:rsid w:val="00B06915"/>
    <w:rsid w:val="00B06941"/>
    <w:rsid w:val="00B069CD"/>
    <w:rsid w:val="00B06A22"/>
    <w:rsid w:val="00B06A41"/>
    <w:rsid w:val="00B06ADE"/>
    <w:rsid w:val="00B06AE8"/>
    <w:rsid w:val="00B06AF2"/>
    <w:rsid w:val="00B06B27"/>
    <w:rsid w:val="00B06B4E"/>
    <w:rsid w:val="00B06B6F"/>
    <w:rsid w:val="00B06BA3"/>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10B"/>
    <w:rsid w:val="00B071FA"/>
    <w:rsid w:val="00B07222"/>
    <w:rsid w:val="00B072A4"/>
    <w:rsid w:val="00B0734A"/>
    <w:rsid w:val="00B0736B"/>
    <w:rsid w:val="00B0739B"/>
    <w:rsid w:val="00B073E8"/>
    <w:rsid w:val="00B0744D"/>
    <w:rsid w:val="00B074E3"/>
    <w:rsid w:val="00B074FF"/>
    <w:rsid w:val="00B07514"/>
    <w:rsid w:val="00B075BC"/>
    <w:rsid w:val="00B0761B"/>
    <w:rsid w:val="00B07673"/>
    <w:rsid w:val="00B0768C"/>
    <w:rsid w:val="00B07727"/>
    <w:rsid w:val="00B0772C"/>
    <w:rsid w:val="00B077E7"/>
    <w:rsid w:val="00B077F1"/>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DC9"/>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114"/>
    <w:rsid w:val="00B10135"/>
    <w:rsid w:val="00B101E8"/>
    <w:rsid w:val="00B1021B"/>
    <w:rsid w:val="00B10256"/>
    <w:rsid w:val="00B102C3"/>
    <w:rsid w:val="00B102D5"/>
    <w:rsid w:val="00B102F7"/>
    <w:rsid w:val="00B102FA"/>
    <w:rsid w:val="00B1030F"/>
    <w:rsid w:val="00B10320"/>
    <w:rsid w:val="00B10399"/>
    <w:rsid w:val="00B103A6"/>
    <w:rsid w:val="00B103CD"/>
    <w:rsid w:val="00B10427"/>
    <w:rsid w:val="00B10470"/>
    <w:rsid w:val="00B1047A"/>
    <w:rsid w:val="00B104A2"/>
    <w:rsid w:val="00B104A8"/>
    <w:rsid w:val="00B104D1"/>
    <w:rsid w:val="00B1051F"/>
    <w:rsid w:val="00B10525"/>
    <w:rsid w:val="00B10596"/>
    <w:rsid w:val="00B105A6"/>
    <w:rsid w:val="00B1063C"/>
    <w:rsid w:val="00B1064E"/>
    <w:rsid w:val="00B1069B"/>
    <w:rsid w:val="00B106F2"/>
    <w:rsid w:val="00B10723"/>
    <w:rsid w:val="00B1075A"/>
    <w:rsid w:val="00B10853"/>
    <w:rsid w:val="00B108D3"/>
    <w:rsid w:val="00B108D7"/>
    <w:rsid w:val="00B10916"/>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A0"/>
    <w:rsid w:val="00B10FB7"/>
    <w:rsid w:val="00B11017"/>
    <w:rsid w:val="00B11023"/>
    <w:rsid w:val="00B11071"/>
    <w:rsid w:val="00B1109B"/>
    <w:rsid w:val="00B110D4"/>
    <w:rsid w:val="00B11135"/>
    <w:rsid w:val="00B1117C"/>
    <w:rsid w:val="00B1118C"/>
    <w:rsid w:val="00B111A9"/>
    <w:rsid w:val="00B111C1"/>
    <w:rsid w:val="00B11213"/>
    <w:rsid w:val="00B1128D"/>
    <w:rsid w:val="00B11291"/>
    <w:rsid w:val="00B11296"/>
    <w:rsid w:val="00B112A3"/>
    <w:rsid w:val="00B112BE"/>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A13"/>
    <w:rsid w:val="00B11A43"/>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41"/>
    <w:rsid w:val="00B11E5E"/>
    <w:rsid w:val="00B11E8A"/>
    <w:rsid w:val="00B11E96"/>
    <w:rsid w:val="00B11E9E"/>
    <w:rsid w:val="00B11EAA"/>
    <w:rsid w:val="00B11EE0"/>
    <w:rsid w:val="00B11F03"/>
    <w:rsid w:val="00B11FD3"/>
    <w:rsid w:val="00B12008"/>
    <w:rsid w:val="00B1200F"/>
    <w:rsid w:val="00B12055"/>
    <w:rsid w:val="00B120D3"/>
    <w:rsid w:val="00B12108"/>
    <w:rsid w:val="00B12161"/>
    <w:rsid w:val="00B1218A"/>
    <w:rsid w:val="00B12259"/>
    <w:rsid w:val="00B12323"/>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8DA"/>
    <w:rsid w:val="00B1292B"/>
    <w:rsid w:val="00B12942"/>
    <w:rsid w:val="00B1298A"/>
    <w:rsid w:val="00B129B1"/>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1"/>
    <w:rsid w:val="00B12EBF"/>
    <w:rsid w:val="00B12ECD"/>
    <w:rsid w:val="00B12EFD"/>
    <w:rsid w:val="00B12F0F"/>
    <w:rsid w:val="00B12F6E"/>
    <w:rsid w:val="00B12FA3"/>
    <w:rsid w:val="00B12FA8"/>
    <w:rsid w:val="00B1306B"/>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67"/>
    <w:rsid w:val="00B13591"/>
    <w:rsid w:val="00B135E5"/>
    <w:rsid w:val="00B135F5"/>
    <w:rsid w:val="00B13613"/>
    <w:rsid w:val="00B1363C"/>
    <w:rsid w:val="00B13654"/>
    <w:rsid w:val="00B136DC"/>
    <w:rsid w:val="00B1374E"/>
    <w:rsid w:val="00B13760"/>
    <w:rsid w:val="00B13818"/>
    <w:rsid w:val="00B13822"/>
    <w:rsid w:val="00B13846"/>
    <w:rsid w:val="00B13849"/>
    <w:rsid w:val="00B13871"/>
    <w:rsid w:val="00B138B0"/>
    <w:rsid w:val="00B138C2"/>
    <w:rsid w:val="00B138CB"/>
    <w:rsid w:val="00B138D8"/>
    <w:rsid w:val="00B13944"/>
    <w:rsid w:val="00B1396F"/>
    <w:rsid w:val="00B13992"/>
    <w:rsid w:val="00B139A4"/>
    <w:rsid w:val="00B139CA"/>
    <w:rsid w:val="00B139D0"/>
    <w:rsid w:val="00B13A28"/>
    <w:rsid w:val="00B13AE1"/>
    <w:rsid w:val="00B13B1E"/>
    <w:rsid w:val="00B13B68"/>
    <w:rsid w:val="00B13BA9"/>
    <w:rsid w:val="00B13C08"/>
    <w:rsid w:val="00B13C26"/>
    <w:rsid w:val="00B13C3D"/>
    <w:rsid w:val="00B13C98"/>
    <w:rsid w:val="00B13D32"/>
    <w:rsid w:val="00B13D35"/>
    <w:rsid w:val="00B13DC9"/>
    <w:rsid w:val="00B13E09"/>
    <w:rsid w:val="00B13E19"/>
    <w:rsid w:val="00B13E83"/>
    <w:rsid w:val="00B13EA0"/>
    <w:rsid w:val="00B13EC3"/>
    <w:rsid w:val="00B13EF0"/>
    <w:rsid w:val="00B13F0A"/>
    <w:rsid w:val="00B13F2A"/>
    <w:rsid w:val="00B13F36"/>
    <w:rsid w:val="00B13FCA"/>
    <w:rsid w:val="00B14036"/>
    <w:rsid w:val="00B14045"/>
    <w:rsid w:val="00B140E8"/>
    <w:rsid w:val="00B141AB"/>
    <w:rsid w:val="00B1420A"/>
    <w:rsid w:val="00B14218"/>
    <w:rsid w:val="00B14259"/>
    <w:rsid w:val="00B14264"/>
    <w:rsid w:val="00B142B1"/>
    <w:rsid w:val="00B14321"/>
    <w:rsid w:val="00B14364"/>
    <w:rsid w:val="00B14382"/>
    <w:rsid w:val="00B143C7"/>
    <w:rsid w:val="00B143E2"/>
    <w:rsid w:val="00B14426"/>
    <w:rsid w:val="00B1444E"/>
    <w:rsid w:val="00B144B8"/>
    <w:rsid w:val="00B144C2"/>
    <w:rsid w:val="00B144D2"/>
    <w:rsid w:val="00B14524"/>
    <w:rsid w:val="00B14529"/>
    <w:rsid w:val="00B1454C"/>
    <w:rsid w:val="00B14561"/>
    <w:rsid w:val="00B1459C"/>
    <w:rsid w:val="00B145D8"/>
    <w:rsid w:val="00B145F2"/>
    <w:rsid w:val="00B145FC"/>
    <w:rsid w:val="00B14603"/>
    <w:rsid w:val="00B1461F"/>
    <w:rsid w:val="00B14664"/>
    <w:rsid w:val="00B14686"/>
    <w:rsid w:val="00B146AC"/>
    <w:rsid w:val="00B1471B"/>
    <w:rsid w:val="00B14738"/>
    <w:rsid w:val="00B14761"/>
    <w:rsid w:val="00B14791"/>
    <w:rsid w:val="00B14898"/>
    <w:rsid w:val="00B1489C"/>
    <w:rsid w:val="00B14908"/>
    <w:rsid w:val="00B14934"/>
    <w:rsid w:val="00B14971"/>
    <w:rsid w:val="00B14975"/>
    <w:rsid w:val="00B14994"/>
    <w:rsid w:val="00B149C0"/>
    <w:rsid w:val="00B14A3B"/>
    <w:rsid w:val="00B14A5F"/>
    <w:rsid w:val="00B14B26"/>
    <w:rsid w:val="00B14B5A"/>
    <w:rsid w:val="00B14B6B"/>
    <w:rsid w:val="00B14BEF"/>
    <w:rsid w:val="00B14C9A"/>
    <w:rsid w:val="00B14CBA"/>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A"/>
    <w:rsid w:val="00B15364"/>
    <w:rsid w:val="00B15379"/>
    <w:rsid w:val="00B153F1"/>
    <w:rsid w:val="00B153FB"/>
    <w:rsid w:val="00B15489"/>
    <w:rsid w:val="00B1548A"/>
    <w:rsid w:val="00B1555D"/>
    <w:rsid w:val="00B15561"/>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2A"/>
    <w:rsid w:val="00B15A82"/>
    <w:rsid w:val="00B15A8B"/>
    <w:rsid w:val="00B15A96"/>
    <w:rsid w:val="00B15AA9"/>
    <w:rsid w:val="00B15AC8"/>
    <w:rsid w:val="00B15AD4"/>
    <w:rsid w:val="00B15B66"/>
    <w:rsid w:val="00B15BB5"/>
    <w:rsid w:val="00B15BD8"/>
    <w:rsid w:val="00B15C41"/>
    <w:rsid w:val="00B15C8A"/>
    <w:rsid w:val="00B15D0B"/>
    <w:rsid w:val="00B15D24"/>
    <w:rsid w:val="00B15D2C"/>
    <w:rsid w:val="00B15D5C"/>
    <w:rsid w:val="00B15D85"/>
    <w:rsid w:val="00B15DCC"/>
    <w:rsid w:val="00B15E10"/>
    <w:rsid w:val="00B15E48"/>
    <w:rsid w:val="00B15EC1"/>
    <w:rsid w:val="00B15EDA"/>
    <w:rsid w:val="00B15F88"/>
    <w:rsid w:val="00B15FFD"/>
    <w:rsid w:val="00B16005"/>
    <w:rsid w:val="00B16024"/>
    <w:rsid w:val="00B160C0"/>
    <w:rsid w:val="00B160EB"/>
    <w:rsid w:val="00B160F1"/>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833"/>
    <w:rsid w:val="00B1688C"/>
    <w:rsid w:val="00B16892"/>
    <w:rsid w:val="00B16903"/>
    <w:rsid w:val="00B16914"/>
    <w:rsid w:val="00B16940"/>
    <w:rsid w:val="00B16989"/>
    <w:rsid w:val="00B169D8"/>
    <w:rsid w:val="00B16A21"/>
    <w:rsid w:val="00B16A53"/>
    <w:rsid w:val="00B16A55"/>
    <w:rsid w:val="00B16A8C"/>
    <w:rsid w:val="00B16B1A"/>
    <w:rsid w:val="00B16B37"/>
    <w:rsid w:val="00B16BC1"/>
    <w:rsid w:val="00B16BDD"/>
    <w:rsid w:val="00B16C59"/>
    <w:rsid w:val="00B16C9E"/>
    <w:rsid w:val="00B16CE0"/>
    <w:rsid w:val="00B16D64"/>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13"/>
    <w:rsid w:val="00B17168"/>
    <w:rsid w:val="00B171A6"/>
    <w:rsid w:val="00B17240"/>
    <w:rsid w:val="00B17289"/>
    <w:rsid w:val="00B172B1"/>
    <w:rsid w:val="00B172B8"/>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83"/>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B2"/>
    <w:rsid w:val="00B201CD"/>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7"/>
    <w:rsid w:val="00B20664"/>
    <w:rsid w:val="00B2066B"/>
    <w:rsid w:val="00B20696"/>
    <w:rsid w:val="00B206BD"/>
    <w:rsid w:val="00B20741"/>
    <w:rsid w:val="00B2078D"/>
    <w:rsid w:val="00B2079A"/>
    <w:rsid w:val="00B20882"/>
    <w:rsid w:val="00B2089E"/>
    <w:rsid w:val="00B208D9"/>
    <w:rsid w:val="00B20985"/>
    <w:rsid w:val="00B20A0C"/>
    <w:rsid w:val="00B20A1A"/>
    <w:rsid w:val="00B20A2E"/>
    <w:rsid w:val="00B20A30"/>
    <w:rsid w:val="00B20A40"/>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91"/>
    <w:rsid w:val="00B20DCA"/>
    <w:rsid w:val="00B20EB5"/>
    <w:rsid w:val="00B20EC5"/>
    <w:rsid w:val="00B20ED8"/>
    <w:rsid w:val="00B20EDF"/>
    <w:rsid w:val="00B20F20"/>
    <w:rsid w:val="00B20F24"/>
    <w:rsid w:val="00B21190"/>
    <w:rsid w:val="00B211C2"/>
    <w:rsid w:val="00B211DA"/>
    <w:rsid w:val="00B2122C"/>
    <w:rsid w:val="00B21242"/>
    <w:rsid w:val="00B21262"/>
    <w:rsid w:val="00B2126E"/>
    <w:rsid w:val="00B21291"/>
    <w:rsid w:val="00B212FF"/>
    <w:rsid w:val="00B2131D"/>
    <w:rsid w:val="00B2137C"/>
    <w:rsid w:val="00B213A5"/>
    <w:rsid w:val="00B213C8"/>
    <w:rsid w:val="00B21421"/>
    <w:rsid w:val="00B2143F"/>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DA"/>
    <w:rsid w:val="00B217E8"/>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0F"/>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130"/>
    <w:rsid w:val="00B22139"/>
    <w:rsid w:val="00B22166"/>
    <w:rsid w:val="00B22180"/>
    <w:rsid w:val="00B221AF"/>
    <w:rsid w:val="00B22253"/>
    <w:rsid w:val="00B22254"/>
    <w:rsid w:val="00B22259"/>
    <w:rsid w:val="00B2226C"/>
    <w:rsid w:val="00B22320"/>
    <w:rsid w:val="00B2233A"/>
    <w:rsid w:val="00B2237F"/>
    <w:rsid w:val="00B223C6"/>
    <w:rsid w:val="00B224B9"/>
    <w:rsid w:val="00B22553"/>
    <w:rsid w:val="00B225D2"/>
    <w:rsid w:val="00B225D9"/>
    <w:rsid w:val="00B225DD"/>
    <w:rsid w:val="00B226B5"/>
    <w:rsid w:val="00B2271D"/>
    <w:rsid w:val="00B22739"/>
    <w:rsid w:val="00B22743"/>
    <w:rsid w:val="00B22775"/>
    <w:rsid w:val="00B227A6"/>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2"/>
    <w:rsid w:val="00B23045"/>
    <w:rsid w:val="00B23070"/>
    <w:rsid w:val="00B230A4"/>
    <w:rsid w:val="00B23130"/>
    <w:rsid w:val="00B2315A"/>
    <w:rsid w:val="00B23188"/>
    <w:rsid w:val="00B231B6"/>
    <w:rsid w:val="00B23243"/>
    <w:rsid w:val="00B232E2"/>
    <w:rsid w:val="00B232E4"/>
    <w:rsid w:val="00B23335"/>
    <w:rsid w:val="00B233AF"/>
    <w:rsid w:val="00B233B1"/>
    <w:rsid w:val="00B23409"/>
    <w:rsid w:val="00B2340A"/>
    <w:rsid w:val="00B23418"/>
    <w:rsid w:val="00B2347C"/>
    <w:rsid w:val="00B234A1"/>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3B"/>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0F"/>
    <w:rsid w:val="00B249A3"/>
    <w:rsid w:val="00B24A08"/>
    <w:rsid w:val="00B24A4E"/>
    <w:rsid w:val="00B24A7F"/>
    <w:rsid w:val="00B24B01"/>
    <w:rsid w:val="00B24B06"/>
    <w:rsid w:val="00B24BDA"/>
    <w:rsid w:val="00B24BF1"/>
    <w:rsid w:val="00B24C36"/>
    <w:rsid w:val="00B24CB2"/>
    <w:rsid w:val="00B24CB8"/>
    <w:rsid w:val="00B24D7C"/>
    <w:rsid w:val="00B24DB0"/>
    <w:rsid w:val="00B24DD3"/>
    <w:rsid w:val="00B24DF0"/>
    <w:rsid w:val="00B24E03"/>
    <w:rsid w:val="00B24E05"/>
    <w:rsid w:val="00B24E5B"/>
    <w:rsid w:val="00B24EEC"/>
    <w:rsid w:val="00B24F18"/>
    <w:rsid w:val="00B24F25"/>
    <w:rsid w:val="00B24F38"/>
    <w:rsid w:val="00B24F8A"/>
    <w:rsid w:val="00B24FA1"/>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2F5"/>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79B"/>
    <w:rsid w:val="00B257DD"/>
    <w:rsid w:val="00B257F8"/>
    <w:rsid w:val="00B258A7"/>
    <w:rsid w:val="00B258D2"/>
    <w:rsid w:val="00B2590D"/>
    <w:rsid w:val="00B25918"/>
    <w:rsid w:val="00B2598B"/>
    <w:rsid w:val="00B2598F"/>
    <w:rsid w:val="00B25A10"/>
    <w:rsid w:val="00B25A31"/>
    <w:rsid w:val="00B25A39"/>
    <w:rsid w:val="00B25A54"/>
    <w:rsid w:val="00B25A7B"/>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33"/>
    <w:rsid w:val="00B26538"/>
    <w:rsid w:val="00B2655D"/>
    <w:rsid w:val="00B26563"/>
    <w:rsid w:val="00B26566"/>
    <w:rsid w:val="00B26586"/>
    <w:rsid w:val="00B265D5"/>
    <w:rsid w:val="00B265E3"/>
    <w:rsid w:val="00B265ED"/>
    <w:rsid w:val="00B26638"/>
    <w:rsid w:val="00B2667C"/>
    <w:rsid w:val="00B26726"/>
    <w:rsid w:val="00B267BD"/>
    <w:rsid w:val="00B267CD"/>
    <w:rsid w:val="00B267EC"/>
    <w:rsid w:val="00B2681E"/>
    <w:rsid w:val="00B2682A"/>
    <w:rsid w:val="00B26874"/>
    <w:rsid w:val="00B268B3"/>
    <w:rsid w:val="00B268E8"/>
    <w:rsid w:val="00B268FE"/>
    <w:rsid w:val="00B26901"/>
    <w:rsid w:val="00B2697E"/>
    <w:rsid w:val="00B26A03"/>
    <w:rsid w:val="00B26AA3"/>
    <w:rsid w:val="00B26ABD"/>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94"/>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2F0"/>
    <w:rsid w:val="00B27307"/>
    <w:rsid w:val="00B27330"/>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9"/>
    <w:rsid w:val="00B27D1A"/>
    <w:rsid w:val="00B27D6E"/>
    <w:rsid w:val="00B27D83"/>
    <w:rsid w:val="00B27DD2"/>
    <w:rsid w:val="00B27DF7"/>
    <w:rsid w:val="00B27E5A"/>
    <w:rsid w:val="00B27E77"/>
    <w:rsid w:val="00B27F0B"/>
    <w:rsid w:val="00B27F0F"/>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21"/>
    <w:rsid w:val="00B30234"/>
    <w:rsid w:val="00B3026D"/>
    <w:rsid w:val="00B30272"/>
    <w:rsid w:val="00B302E3"/>
    <w:rsid w:val="00B302FF"/>
    <w:rsid w:val="00B30333"/>
    <w:rsid w:val="00B30358"/>
    <w:rsid w:val="00B3037E"/>
    <w:rsid w:val="00B303F5"/>
    <w:rsid w:val="00B30402"/>
    <w:rsid w:val="00B30463"/>
    <w:rsid w:val="00B304B6"/>
    <w:rsid w:val="00B304BB"/>
    <w:rsid w:val="00B304E1"/>
    <w:rsid w:val="00B3050E"/>
    <w:rsid w:val="00B30551"/>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7C"/>
    <w:rsid w:val="00B30B7D"/>
    <w:rsid w:val="00B30BE5"/>
    <w:rsid w:val="00B30C13"/>
    <w:rsid w:val="00B30C58"/>
    <w:rsid w:val="00B30C65"/>
    <w:rsid w:val="00B30D09"/>
    <w:rsid w:val="00B30D73"/>
    <w:rsid w:val="00B30D76"/>
    <w:rsid w:val="00B30D80"/>
    <w:rsid w:val="00B30D95"/>
    <w:rsid w:val="00B30DCA"/>
    <w:rsid w:val="00B30E8C"/>
    <w:rsid w:val="00B30EB9"/>
    <w:rsid w:val="00B30EC7"/>
    <w:rsid w:val="00B30F14"/>
    <w:rsid w:val="00B30F3D"/>
    <w:rsid w:val="00B30F54"/>
    <w:rsid w:val="00B30FBC"/>
    <w:rsid w:val="00B30FD2"/>
    <w:rsid w:val="00B30FF2"/>
    <w:rsid w:val="00B3106D"/>
    <w:rsid w:val="00B310A6"/>
    <w:rsid w:val="00B31140"/>
    <w:rsid w:val="00B31142"/>
    <w:rsid w:val="00B31186"/>
    <w:rsid w:val="00B31197"/>
    <w:rsid w:val="00B311E1"/>
    <w:rsid w:val="00B31265"/>
    <w:rsid w:val="00B31278"/>
    <w:rsid w:val="00B313A6"/>
    <w:rsid w:val="00B3147F"/>
    <w:rsid w:val="00B314C8"/>
    <w:rsid w:val="00B314CC"/>
    <w:rsid w:val="00B31534"/>
    <w:rsid w:val="00B31541"/>
    <w:rsid w:val="00B31552"/>
    <w:rsid w:val="00B315E8"/>
    <w:rsid w:val="00B315FF"/>
    <w:rsid w:val="00B31616"/>
    <w:rsid w:val="00B3161A"/>
    <w:rsid w:val="00B31625"/>
    <w:rsid w:val="00B31632"/>
    <w:rsid w:val="00B31642"/>
    <w:rsid w:val="00B31652"/>
    <w:rsid w:val="00B31694"/>
    <w:rsid w:val="00B316BB"/>
    <w:rsid w:val="00B316DC"/>
    <w:rsid w:val="00B31771"/>
    <w:rsid w:val="00B31784"/>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8A"/>
    <w:rsid w:val="00B31CBD"/>
    <w:rsid w:val="00B31CC3"/>
    <w:rsid w:val="00B31CCD"/>
    <w:rsid w:val="00B31CF7"/>
    <w:rsid w:val="00B31D7D"/>
    <w:rsid w:val="00B31DC4"/>
    <w:rsid w:val="00B31DEC"/>
    <w:rsid w:val="00B31E12"/>
    <w:rsid w:val="00B31E17"/>
    <w:rsid w:val="00B31E8D"/>
    <w:rsid w:val="00B31EB3"/>
    <w:rsid w:val="00B31F5E"/>
    <w:rsid w:val="00B31FDB"/>
    <w:rsid w:val="00B31FF5"/>
    <w:rsid w:val="00B31FFD"/>
    <w:rsid w:val="00B320FD"/>
    <w:rsid w:val="00B32216"/>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607"/>
    <w:rsid w:val="00B3264C"/>
    <w:rsid w:val="00B3264D"/>
    <w:rsid w:val="00B326DB"/>
    <w:rsid w:val="00B326F0"/>
    <w:rsid w:val="00B327F1"/>
    <w:rsid w:val="00B32850"/>
    <w:rsid w:val="00B32885"/>
    <w:rsid w:val="00B328B4"/>
    <w:rsid w:val="00B328F0"/>
    <w:rsid w:val="00B32948"/>
    <w:rsid w:val="00B3296A"/>
    <w:rsid w:val="00B3296D"/>
    <w:rsid w:val="00B32999"/>
    <w:rsid w:val="00B329BB"/>
    <w:rsid w:val="00B329D4"/>
    <w:rsid w:val="00B32A57"/>
    <w:rsid w:val="00B32A84"/>
    <w:rsid w:val="00B32A89"/>
    <w:rsid w:val="00B32A9A"/>
    <w:rsid w:val="00B32A9B"/>
    <w:rsid w:val="00B32AA2"/>
    <w:rsid w:val="00B32B2E"/>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4B"/>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2"/>
    <w:rsid w:val="00B334C4"/>
    <w:rsid w:val="00B334EA"/>
    <w:rsid w:val="00B33534"/>
    <w:rsid w:val="00B33545"/>
    <w:rsid w:val="00B33591"/>
    <w:rsid w:val="00B335BE"/>
    <w:rsid w:val="00B3363F"/>
    <w:rsid w:val="00B33642"/>
    <w:rsid w:val="00B33645"/>
    <w:rsid w:val="00B336B0"/>
    <w:rsid w:val="00B33700"/>
    <w:rsid w:val="00B33872"/>
    <w:rsid w:val="00B33883"/>
    <w:rsid w:val="00B338B1"/>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3E"/>
    <w:rsid w:val="00B33FC1"/>
    <w:rsid w:val="00B34026"/>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48"/>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A13"/>
    <w:rsid w:val="00B34A80"/>
    <w:rsid w:val="00B34A98"/>
    <w:rsid w:val="00B34AAA"/>
    <w:rsid w:val="00B34AB5"/>
    <w:rsid w:val="00B34B05"/>
    <w:rsid w:val="00B34B8D"/>
    <w:rsid w:val="00B34B9C"/>
    <w:rsid w:val="00B34BFF"/>
    <w:rsid w:val="00B34C3F"/>
    <w:rsid w:val="00B34C8A"/>
    <w:rsid w:val="00B34CEA"/>
    <w:rsid w:val="00B34D0E"/>
    <w:rsid w:val="00B34D19"/>
    <w:rsid w:val="00B34D30"/>
    <w:rsid w:val="00B34D51"/>
    <w:rsid w:val="00B34D7A"/>
    <w:rsid w:val="00B34D97"/>
    <w:rsid w:val="00B34E43"/>
    <w:rsid w:val="00B34EA2"/>
    <w:rsid w:val="00B34ECC"/>
    <w:rsid w:val="00B34ED0"/>
    <w:rsid w:val="00B34EF5"/>
    <w:rsid w:val="00B34F5D"/>
    <w:rsid w:val="00B34FC9"/>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D8"/>
    <w:rsid w:val="00B353DD"/>
    <w:rsid w:val="00B353F3"/>
    <w:rsid w:val="00B3540C"/>
    <w:rsid w:val="00B35417"/>
    <w:rsid w:val="00B35433"/>
    <w:rsid w:val="00B3546D"/>
    <w:rsid w:val="00B354D6"/>
    <w:rsid w:val="00B35523"/>
    <w:rsid w:val="00B35563"/>
    <w:rsid w:val="00B355B6"/>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AE"/>
    <w:rsid w:val="00B35B20"/>
    <w:rsid w:val="00B35B22"/>
    <w:rsid w:val="00B35B28"/>
    <w:rsid w:val="00B35B63"/>
    <w:rsid w:val="00B35B7C"/>
    <w:rsid w:val="00B35C0E"/>
    <w:rsid w:val="00B35C1F"/>
    <w:rsid w:val="00B35C8C"/>
    <w:rsid w:val="00B35CA1"/>
    <w:rsid w:val="00B35CAB"/>
    <w:rsid w:val="00B35CF0"/>
    <w:rsid w:val="00B35D06"/>
    <w:rsid w:val="00B35D29"/>
    <w:rsid w:val="00B35D54"/>
    <w:rsid w:val="00B35D89"/>
    <w:rsid w:val="00B35E20"/>
    <w:rsid w:val="00B35E3F"/>
    <w:rsid w:val="00B35F18"/>
    <w:rsid w:val="00B35F6F"/>
    <w:rsid w:val="00B35F80"/>
    <w:rsid w:val="00B35FA7"/>
    <w:rsid w:val="00B35FB9"/>
    <w:rsid w:val="00B35FBD"/>
    <w:rsid w:val="00B36011"/>
    <w:rsid w:val="00B36018"/>
    <w:rsid w:val="00B36064"/>
    <w:rsid w:val="00B360B7"/>
    <w:rsid w:val="00B360D8"/>
    <w:rsid w:val="00B36141"/>
    <w:rsid w:val="00B36163"/>
    <w:rsid w:val="00B361C4"/>
    <w:rsid w:val="00B361C9"/>
    <w:rsid w:val="00B36227"/>
    <w:rsid w:val="00B36282"/>
    <w:rsid w:val="00B3629F"/>
    <w:rsid w:val="00B362CE"/>
    <w:rsid w:val="00B3631B"/>
    <w:rsid w:val="00B36370"/>
    <w:rsid w:val="00B363B2"/>
    <w:rsid w:val="00B36433"/>
    <w:rsid w:val="00B36438"/>
    <w:rsid w:val="00B3651E"/>
    <w:rsid w:val="00B36537"/>
    <w:rsid w:val="00B3653F"/>
    <w:rsid w:val="00B3655A"/>
    <w:rsid w:val="00B36565"/>
    <w:rsid w:val="00B36576"/>
    <w:rsid w:val="00B365C0"/>
    <w:rsid w:val="00B365CB"/>
    <w:rsid w:val="00B36610"/>
    <w:rsid w:val="00B3663B"/>
    <w:rsid w:val="00B366AE"/>
    <w:rsid w:val="00B367BB"/>
    <w:rsid w:val="00B36829"/>
    <w:rsid w:val="00B3684C"/>
    <w:rsid w:val="00B368E0"/>
    <w:rsid w:val="00B368E3"/>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9C"/>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9E"/>
    <w:rsid w:val="00B370D2"/>
    <w:rsid w:val="00B370DA"/>
    <w:rsid w:val="00B370EB"/>
    <w:rsid w:val="00B37147"/>
    <w:rsid w:val="00B37154"/>
    <w:rsid w:val="00B37173"/>
    <w:rsid w:val="00B37185"/>
    <w:rsid w:val="00B37188"/>
    <w:rsid w:val="00B3719F"/>
    <w:rsid w:val="00B371B2"/>
    <w:rsid w:val="00B371DB"/>
    <w:rsid w:val="00B371E6"/>
    <w:rsid w:val="00B371F5"/>
    <w:rsid w:val="00B3721D"/>
    <w:rsid w:val="00B37248"/>
    <w:rsid w:val="00B3728A"/>
    <w:rsid w:val="00B3728E"/>
    <w:rsid w:val="00B3729E"/>
    <w:rsid w:val="00B3733F"/>
    <w:rsid w:val="00B3734D"/>
    <w:rsid w:val="00B3735D"/>
    <w:rsid w:val="00B373D7"/>
    <w:rsid w:val="00B37455"/>
    <w:rsid w:val="00B3747B"/>
    <w:rsid w:val="00B374BB"/>
    <w:rsid w:val="00B374C3"/>
    <w:rsid w:val="00B37527"/>
    <w:rsid w:val="00B37579"/>
    <w:rsid w:val="00B375C5"/>
    <w:rsid w:val="00B375EB"/>
    <w:rsid w:val="00B37608"/>
    <w:rsid w:val="00B37653"/>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4A"/>
    <w:rsid w:val="00B40396"/>
    <w:rsid w:val="00B403DC"/>
    <w:rsid w:val="00B40405"/>
    <w:rsid w:val="00B4043F"/>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6C"/>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BD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6A"/>
    <w:rsid w:val="00B41296"/>
    <w:rsid w:val="00B412C5"/>
    <w:rsid w:val="00B412D0"/>
    <w:rsid w:val="00B412EC"/>
    <w:rsid w:val="00B413A7"/>
    <w:rsid w:val="00B4143A"/>
    <w:rsid w:val="00B414E5"/>
    <w:rsid w:val="00B41517"/>
    <w:rsid w:val="00B4151A"/>
    <w:rsid w:val="00B41556"/>
    <w:rsid w:val="00B41564"/>
    <w:rsid w:val="00B41572"/>
    <w:rsid w:val="00B41663"/>
    <w:rsid w:val="00B4168B"/>
    <w:rsid w:val="00B4178E"/>
    <w:rsid w:val="00B41792"/>
    <w:rsid w:val="00B41825"/>
    <w:rsid w:val="00B41838"/>
    <w:rsid w:val="00B41895"/>
    <w:rsid w:val="00B4196A"/>
    <w:rsid w:val="00B419AA"/>
    <w:rsid w:val="00B419D4"/>
    <w:rsid w:val="00B41A8D"/>
    <w:rsid w:val="00B41A9D"/>
    <w:rsid w:val="00B41AF9"/>
    <w:rsid w:val="00B41BB2"/>
    <w:rsid w:val="00B41BCB"/>
    <w:rsid w:val="00B41C23"/>
    <w:rsid w:val="00B41C47"/>
    <w:rsid w:val="00B41CC8"/>
    <w:rsid w:val="00B41D12"/>
    <w:rsid w:val="00B41DA3"/>
    <w:rsid w:val="00B41E2D"/>
    <w:rsid w:val="00B41E3A"/>
    <w:rsid w:val="00B41FCE"/>
    <w:rsid w:val="00B41FEB"/>
    <w:rsid w:val="00B42005"/>
    <w:rsid w:val="00B42047"/>
    <w:rsid w:val="00B4207D"/>
    <w:rsid w:val="00B420AC"/>
    <w:rsid w:val="00B420DD"/>
    <w:rsid w:val="00B42197"/>
    <w:rsid w:val="00B421AB"/>
    <w:rsid w:val="00B42247"/>
    <w:rsid w:val="00B42261"/>
    <w:rsid w:val="00B42281"/>
    <w:rsid w:val="00B422AC"/>
    <w:rsid w:val="00B422B2"/>
    <w:rsid w:val="00B422F7"/>
    <w:rsid w:val="00B42313"/>
    <w:rsid w:val="00B4235A"/>
    <w:rsid w:val="00B42375"/>
    <w:rsid w:val="00B4242D"/>
    <w:rsid w:val="00B42484"/>
    <w:rsid w:val="00B424C9"/>
    <w:rsid w:val="00B424D0"/>
    <w:rsid w:val="00B424E3"/>
    <w:rsid w:val="00B4255A"/>
    <w:rsid w:val="00B425AA"/>
    <w:rsid w:val="00B425E9"/>
    <w:rsid w:val="00B4268A"/>
    <w:rsid w:val="00B426AD"/>
    <w:rsid w:val="00B426C0"/>
    <w:rsid w:val="00B426D2"/>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5E"/>
    <w:rsid w:val="00B42979"/>
    <w:rsid w:val="00B429BF"/>
    <w:rsid w:val="00B42A0D"/>
    <w:rsid w:val="00B42A0F"/>
    <w:rsid w:val="00B42A52"/>
    <w:rsid w:val="00B42AE5"/>
    <w:rsid w:val="00B42B0E"/>
    <w:rsid w:val="00B42B34"/>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9B"/>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4E"/>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D2"/>
    <w:rsid w:val="00B43BFC"/>
    <w:rsid w:val="00B43C19"/>
    <w:rsid w:val="00B43C31"/>
    <w:rsid w:val="00B43D5E"/>
    <w:rsid w:val="00B43D6D"/>
    <w:rsid w:val="00B43DB9"/>
    <w:rsid w:val="00B43E83"/>
    <w:rsid w:val="00B43EF2"/>
    <w:rsid w:val="00B43F1A"/>
    <w:rsid w:val="00B43F47"/>
    <w:rsid w:val="00B43F6B"/>
    <w:rsid w:val="00B43FBA"/>
    <w:rsid w:val="00B44006"/>
    <w:rsid w:val="00B4400A"/>
    <w:rsid w:val="00B44028"/>
    <w:rsid w:val="00B4406C"/>
    <w:rsid w:val="00B44076"/>
    <w:rsid w:val="00B440BF"/>
    <w:rsid w:val="00B440C3"/>
    <w:rsid w:val="00B44144"/>
    <w:rsid w:val="00B44184"/>
    <w:rsid w:val="00B4419E"/>
    <w:rsid w:val="00B441E9"/>
    <w:rsid w:val="00B44203"/>
    <w:rsid w:val="00B44260"/>
    <w:rsid w:val="00B442B3"/>
    <w:rsid w:val="00B442F4"/>
    <w:rsid w:val="00B44322"/>
    <w:rsid w:val="00B4432B"/>
    <w:rsid w:val="00B44337"/>
    <w:rsid w:val="00B44352"/>
    <w:rsid w:val="00B443AA"/>
    <w:rsid w:val="00B443C2"/>
    <w:rsid w:val="00B443CA"/>
    <w:rsid w:val="00B444B0"/>
    <w:rsid w:val="00B444E1"/>
    <w:rsid w:val="00B444F5"/>
    <w:rsid w:val="00B44523"/>
    <w:rsid w:val="00B44567"/>
    <w:rsid w:val="00B445AE"/>
    <w:rsid w:val="00B44637"/>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B19"/>
    <w:rsid w:val="00B44B2D"/>
    <w:rsid w:val="00B44B37"/>
    <w:rsid w:val="00B44C2F"/>
    <w:rsid w:val="00B44C63"/>
    <w:rsid w:val="00B44C84"/>
    <w:rsid w:val="00B44C87"/>
    <w:rsid w:val="00B44C8F"/>
    <w:rsid w:val="00B44CC3"/>
    <w:rsid w:val="00B44D00"/>
    <w:rsid w:val="00B44D17"/>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C3"/>
    <w:rsid w:val="00B452C6"/>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4A"/>
    <w:rsid w:val="00B45657"/>
    <w:rsid w:val="00B45669"/>
    <w:rsid w:val="00B45671"/>
    <w:rsid w:val="00B456A6"/>
    <w:rsid w:val="00B456AD"/>
    <w:rsid w:val="00B456E7"/>
    <w:rsid w:val="00B456EA"/>
    <w:rsid w:val="00B45702"/>
    <w:rsid w:val="00B45758"/>
    <w:rsid w:val="00B45794"/>
    <w:rsid w:val="00B4579C"/>
    <w:rsid w:val="00B457A8"/>
    <w:rsid w:val="00B457C2"/>
    <w:rsid w:val="00B457F3"/>
    <w:rsid w:val="00B457FF"/>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E21"/>
    <w:rsid w:val="00B45E27"/>
    <w:rsid w:val="00B45E2E"/>
    <w:rsid w:val="00B45E51"/>
    <w:rsid w:val="00B45E74"/>
    <w:rsid w:val="00B45EAA"/>
    <w:rsid w:val="00B45ED4"/>
    <w:rsid w:val="00B45EDA"/>
    <w:rsid w:val="00B45EF2"/>
    <w:rsid w:val="00B45F42"/>
    <w:rsid w:val="00B45F90"/>
    <w:rsid w:val="00B45F98"/>
    <w:rsid w:val="00B45FBC"/>
    <w:rsid w:val="00B46036"/>
    <w:rsid w:val="00B4614F"/>
    <w:rsid w:val="00B46161"/>
    <w:rsid w:val="00B4616B"/>
    <w:rsid w:val="00B46187"/>
    <w:rsid w:val="00B4618F"/>
    <w:rsid w:val="00B461B0"/>
    <w:rsid w:val="00B46210"/>
    <w:rsid w:val="00B46273"/>
    <w:rsid w:val="00B462DB"/>
    <w:rsid w:val="00B462FE"/>
    <w:rsid w:val="00B46324"/>
    <w:rsid w:val="00B46327"/>
    <w:rsid w:val="00B46335"/>
    <w:rsid w:val="00B46363"/>
    <w:rsid w:val="00B4636E"/>
    <w:rsid w:val="00B4638D"/>
    <w:rsid w:val="00B463CE"/>
    <w:rsid w:val="00B46406"/>
    <w:rsid w:val="00B46409"/>
    <w:rsid w:val="00B4641C"/>
    <w:rsid w:val="00B46446"/>
    <w:rsid w:val="00B46486"/>
    <w:rsid w:val="00B4648A"/>
    <w:rsid w:val="00B464B6"/>
    <w:rsid w:val="00B464FD"/>
    <w:rsid w:val="00B4650C"/>
    <w:rsid w:val="00B46531"/>
    <w:rsid w:val="00B46550"/>
    <w:rsid w:val="00B4655E"/>
    <w:rsid w:val="00B465D7"/>
    <w:rsid w:val="00B465E6"/>
    <w:rsid w:val="00B4664E"/>
    <w:rsid w:val="00B4665F"/>
    <w:rsid w:val="00B46670"/>
    <w:rsid w:val="00B466F0"/>
    <w:rsid w:val="00B466F5"/>
    <w:rsid w:val="00B4676F"/>
    <w:rsid w:val="00B4677B"/>
    <w:rsid w:val="00B467BD"/>
    <w:rsid w:val="00B467C9"/>
    <w:rsid w:val="00B467E5"/>
    <w:rsid w:val="00B467EE"/>
    <w:rsid w:val="00B4680C"/>
    <w:rsid w:val="00B46859"/>
    <w:rsid w:val="00B46874"/>
    <w:rsid w:val="00B468DB"/>
    <w:rsid w:val="00B468E7"/>
    <w:rsid w:val="00B468F6"/>
    <w:rsid w:val="00B4692C"/>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D2"/>
    <w:rsid w:val="00B46E1A"/>
    <w:rsid w:val="00B46E3C"/>
    <w:rsid w:val="00B46E47"/>
    <w:rsid w:val="00B46F34"/>
    <w:rsid w:val="00B46F36"/>
    <w:rsid w:val="00B46F37"/>
    <w:rsid w:val="00B46F39"/>
    <w:rsid w:val="00B46F94"/>
    <w:rsid w:val="00B46FD0"/>
    <w:rsid w:val="00B470FB"/>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84"/>
    <w:rsid w:val="00B47CBE"/>
    <w:rsid w:val="00B47D04"/>
    <w:rsid w:val="00B47D19"/>
    <w:rsid w:val="00B47D2F"/>
    <w:rsid w:val="00B47D6B"/>
    <w:rsid w:val="00B47DB6"/>
    <w:rsid w:val="00B47DB8"/>
    <w:rsid w:val="00B47DC9"/>
    <w:rsid w:val="00B47DDE"/>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15F"/>
    <w:rsid w:val="00B50235"/>
    <w:rsid w:val="00B502FE"/>
    <w:rsid w:val="00B5031F"/>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C83"/>
    <w:rsid w:val="00B50CBE"/>
    <w:rsid w:val="00B50D5B"/>
    <w:rsid w:val="00B50D6C"/>
    <w:rsid w:val="00B50DC8"/>
    <w:rsid w:val="00B50DE0"/>
    <w:rsid w:val="00B50DFA"/>
    <w:rsid w:val="00B50E4D"/>
    <w:rsid w:val="00B50E6D"/>
    <w:rsid w:val="00B50E86"/>
    <w:rsid w:val="00B50EBC"/>
    <w:rsid w:val="00B50ED1"/>
    <w:rsid w:val="00B50EE9"/>
    <w:rsid w:val="00B50F09"/>
    <w:rsid w:val="00B50FD2"/>
    <w:rsid w:val="00B50FD4"/>
    <w:rsid w:val="00B51020"/>
    <w:rsid w:val="00B51069"/>
    <w:rsid w:val="00B51083"/>
    <w:rsid w:val="00B510C1"/>
    <w:rsid w:val="00B510E7"/>
    <w:rsid w:val="00B51136"/>
    <w:rsid w:val="00B511B4"/>
    <w:rsid w:val="00B51248"/>
    <w:rsid w:val="00B5124D"/>
    <w:rsid w:val="00B512F4"/>
    <w:rsid w:val="00B51311"/>
    <w:rsid w:val="00B51344"/>
    <w:rsid w:val="00B51375"/>
    <w:rsid w:val="00B5139F"/>
    <w:rsid w:val="00B513CE"/>
    <w:rsid w:val="00B51449"/>
    <w:rsid w:val="00B51470"/>
    <w:rsid w:val="00B514DB"/>
    <w:rsid w:val="00B514F4"/>
    <w:rsid w:val="00B51507"/>
    <w:rsid w:val="00B51526"/>
    <w:rsid w:val="00B5153B"/>
    <w:rsid w:val="00B515BA"/>
    <w:rsid w:val="00B515E5"/>
    <w:rsid w:val="00B5160E"/>
    <w:rsid w:val="00B51670"/>
    <w:rsid w:val="00B51710"/>
    <w:rsid w:val="00B5173D"/>
    <w:rsid w:val="00B51766"/>
    <w:rsid w:val="00B51771"/>
    <w:rsid w:val="00B51794"/>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51"/>
    <w:rsid w:val="00B521E6"/>
    <w:rsid w:val="00B52245"/>
    <w:rsid w:val="00B522A5"/>
    <w:rsid w:val="00B522B6"/>
    <w:rsid w:val="00B522BF"/>
    <w:rsid w:val="00B52313"/>
    <w:rsid w:val="00B52332"/>
    <w:rsid w:val="00B523DB"/>
    <w:rsid w:val="00B52461"/>
    <w:rsid w:val="00B524C9"/>
    <w:rsid w:val="00B52551"/>
    <w:rsid w:val="00B5261E"/>
    <w:rsid w:val="00B5262E"/>
    <w:rsid w:val="00B52699"/>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C2D"/>
    <w:rsid w:val="00B52C4C"/>
    <w:rsid w:val="00B52C9E"/>
    <w:rsid w:val="00B52CC3"/>
    <w:rsid w:val="00B52CCC"/>
    <w:rsid w:val="00B52D17"/>
    <w:rsid w:val="00B52D48"/>
    <w:rsid w:val="00B52D5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32B"/>
    <w:rsid w:val="00B53346"/>
    <w:rsid w:val="00B53373"/>
    <w:rsid w:val="00B5337C"/>
    <w:rsid w:val="00B533A9"/>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9CB"/>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4034"/>
    <w:rsid w:val="00B5408B"/>
    <w:rsid w:val="00B540B4"/>
    <w:rsid w:val="00B540C4"/>
    <w:rsid w:val="00B54153"/>
    <w:rsid w:val="00B5416A"/>
    <w:rsid w:val="00B541C9"/>
    <w:rsid w:val="00B5421B"/>
    <w:rsid w:val="00B5427A"/>
    <w:rsid w:val="00B5427B"/>
    <w:rsid w:val="00B5428F"/>
    <w:rsid w:val="00B542BF"/>
    <w:rsid w:val="00B542E9"/>
    <w:rsid w:val="00B542F5"/>
    <w:rsid w:val="00B54312"/>
    <w:rsid w:val="00B54326"/>
    <w:rsid w:val="00B5432A"/>
    <w:rsid w:val="00B5434C"/>
    <w:rsid w:val="00B5435C"/>
    <w:rsid w:val="00B54362"/>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A8"/>
    <w:rsid w:val="00B550B6"/>
    <w:rsid w:val="00B55153"/>
    <w:rsid w:val="00B55157"/>
    <w:rsid w:val="00B5516B"/>
    <w:rsid w:val="00B55178"/>
    <w:rsid w:val="00B5517D"/>
    <w:rsid w:val="00B55188"/>
    <w:rsid w:val="00B5518A"/>
    <w:rsid w:val="00B5518E"/>
    <w:rsid w:val="00B551A0"/>
    <w:rsid w:val="00B551A2"/>
    <w:rsid w:val="00B551CF"/>
    <w:rsid w:val="00B55200"/>
    <w:rsid w:val="00B55204"/>
    <w:rsid w:val="00B55212"/>
    <w:rsid w:val="00B55266"/>
    <w:rsid w:val="00B55276"/>
    <w:rsid w:val="00B552AF"/>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97"/>
    <w:rsid w:val="00B5651C"/>
    <w:rsid w:val="00B56527"/>
    <w:rsid w:val="00B565B5"/>
    <w:rsid w:val="00B565D8"/>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9"/>
    <w:rsid w:val="00B572E9"/>
    <w:rsid w:val="00B573DE"/>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56"/>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6EE"/>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4E"/>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C98"/>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90"/>
    <w:rsid w:val="00B60FB5"/>
    <w:rsid w:val="00B60FD3"/>
    <w:rsid w:val="00B60FDE"/>
    <w:rsid w:val="00B6105B"/>
    <w:rsid w:val="00B61071"/>
    <w:rsid w:val="00B6109E"/>
    <w:rsid w:val="00B610AE"/>
    <w:rsid w:val="00B610E9"/>
    <w:rsid w:val="00B61126"/>
    <w:rsid w:val="00B61152"/>
    <w:rsid w:val="00B6115C"/>
    <w:rsid w:val="00B6117A"/>
    <w:rsid w:val="00B61183"/>
    <w:rsid w:val="00B6119F"/>
    <w:rsid w:val="00B611D9"/>
    <w:rsid w:val="00B6125C"/>
    <w:rsid w:val="00B6129B"/>
    <w:rsid w:val="00B612BF"/>
    <w:rsid w:val="00B61335"/>
    <w:rsid w:val="00B613B7"/>
    <w:rsid w:val="00B61415"/>
    <w:rsid w:val="00B61472"/>
    <w:rsid w:val="00B614E1"/>
    <w:rsid w:val="00B614E4"/>
    <w:rsid w:val="00B61530"/>
    <w:rsid w:val="00B61563"/>
    <w:rsid w:val="00B6167A"/>
    <w:rsid w:val="00B61692"/>
    <w:rsid w:val="00B616FF"/>
    <w:rsid w:val="00B6173E"/>
    <w:rsid w:val="00B61755"/>
    <w:rsid w:val="00B61767"/>
    <w:rsid w:val="00B6176B"/>
    <w:rsid w:val="00B617A3"/>
    <w:rsid w:val="00B617BE"/>
    <w:rsid w:val="00B617FD"/>
    <w:rsid w:val="00B6182F"/>
    <w:rsid w:val="00B6183B"/>
    <w:rsid w:val="00B61897"/>
    <w:rsid w:val="00B618AD"/>
    <w:rsid w:val="00B618C5"/>
    <w:rsid w:val="00B61913"/>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55"/>
    <w:rsid w:val="00B61D7D"/>
    <w:rsid w:val="00B61DA6"/>
    <w:rsid w:val="00B61DFE"/>
    <w:rsid w:val="00B61E25"/>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11"/>
    <w:rsid w:val="00B62329"/>
    <w:rsid w:val="00B6232A"/>
    <w:rsid w:val="00B623BE"/>
    <w:rsid w:val="00B62408"/>
    <w:rsid w:val="00B62454"/>
    <w:rsid w:val="00B624AA"/>
    <w:rsid w:val="00B624CC"/>
    <w:rsid w:val="00B624D2"/>
    <w:rsid w:val="00B62525"/>
    <w:rsid w:val="00B62575"/>
    <w:rsid w:val="00B6257D"/>
    <w:rsid w:val="00B62583"/>
    <w:rsid w:val="00B625C9"/>
    <w:rsid w:val="00B626A4"/>
    <w:rsid w:val="00B626EA"/>
    <w:rsid w:val="00B62723"/>
    <w:rsid w:val="00B6274D"/>
    <w:rsid w:val="00B6275D"/>
    <w:rsid w:val="00B6275E"/>
    <w:rsid w:val="00B627C8"/>
    <w:rsid w:val="00B62881"/>
    <w:rsid w:val="00B6289D"/>
    <w:rsid w:val="00B628A6"/>
    <w:rsid w:val="00B628C1"/>
    <w:rsid w:val="00B6293A"/>
    <w:rsid w:val="00B62964"/>
    <w:rsid w:val="00B629B7"/>
    <w:rsid w:val="00B629BE"/>
    <w:rsid w:val="00B62A0A"/>
    <w:rsid w:val="00B62A21"/>
    <w:rsid w:val="00B62A2D"/>
    <w:rsid w:val="00B62A55"/>
    <w:rsid w:val="00B62A87"/>
    <w:rsid w:val="00B62AA4"/>
    <w:rsid w:val="00B62AA5"/>
    <w:rsid w:val="00B62B43"/>
    <w:rsid w:val="00B62B85"/>
    <w:rsid w:val="00B62B8B"/>
    <w:rsid w:val="00B62BBB"/>
    <w:rsid w:val="00B62C0E"/>
    <w:rsid w:val="00B62C2B"/>
    <w:rsid w:val="00B62C62"/>
    <w:rsid w:val="00B62C95"/>
    <w:rsid w:val="00B62CC0"/>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7D"/>
    <w:rsid w:val="00B632B6"/>
    <w:rsid w:val="00B632B8"/>
    <w:rsid w:val="00B632CD"/>
    <w:rsid w:val="00B6330D"/>
    <w:rsid w:val="00B6330E"/>
    <w:rsid w:val="00B6332E"/>
    <w:rsid w:val="00B63379"/>
    <w:rsid w:val="00B6339A"/>
    <w:rsid w:val="00B633C3"/>
    <w:rsid w:val="00B633DB"/>
    <w:rsid w:val="00B633F5"/>
    <w:rsid w:val="00B63450"/>
    <w:rsid w:val="00B63454"/>
    <w:rsid w:val="00B63494"/>
    <w:rsid w:val="00B634CC"/>
    <w:rsid w:val="00B634D3"/>
    <w:rsid w:val="00B634F8"/>
    <w:rsid w:val="00B635BD"/>
    <w:rsid w:val="00B635EF"/>
    <w:rsid w:val="00B6360D"/>
    <w:rsid w:val="00B63632"/>
    <w:rsid w:val="00B63660"/>
    <w:rsid w:val="00B63681"/>
    <w:rsid w:val="00B63687"/>
    <w:rsid w:val="00B636B4"/>
    <w:rsid w:val="00B636DB"/>
    <w:rsid w:val="00B6372E"/>
    <w:rsid w:val="00B6375C"/>
    <w:rsid w:val="00B63778"/>
    <w:rsid w:val="00B6377D"/>
    <w:rsid w:val="00B637F9"/>
    <w:rsid w:val="00B63800"/>
    <w:rsid w:val="00B63804"/>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BA4"/>
    <w:rsid w:val="00B63C3D"/>
    <w:rsid w:val="00B63C77"/>
    <w:rsid w:val="00B63CB7"/>
    <w:rsid w:val="00B63CF7"/>
    <w:rsid w:val="00B63D02"/>
    <w:rsid w:val="00B63D51"/>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31D"/>
    <w:rsid w:val="00B64327"/>
    <w:rsid w:val="00B64385"/>
    <w:rsid w:val="00B643E3"/>
    <w:rsid w:val="00B644C9"/>
    <w:rsid w:val="00B644D5"/>
    <w:rsid w:val="00B644E1"/>
    <w:rsid w:val="00B64506"/>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9A8"/>
    <w:rsid w:val="00B649F8"/>
    <w:rsid w:val="00B649FD"/>
    <w:rsid w:val="00B64AAA"/>
    <w:rsid w:val="00B64AB7"/>
    <w:rsid w:val="00B64ABA"/>
    <w:rsid w:val="00B64B0B"/>
    <w:rsid w:val="00B64B4B"/>
    <w:rsid w:val="00B64BAE"/>
    <w:rsid w:val="00B64BC5"/>
    <w:rsid w:val="00B64BF9"/>
    <w:rsid w:val="00B64C6C"/>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936"/>
    <w:rsid w:val="00B65A04"/>
    <w:rsid w:val="00B65A65"/>
    <w:rsid w:val="00B65A69"/>
    <w:rsid w:val="00B65A75"/>
    <w:rsid w:val="00B65A81"/>
    <w:rsid w:val="00B65A8B"/>
    <w:rsid w:val="00B65B4D"/>
    <w:rsid w:val="00B65B93"/>
    <w:rsid w:val="00B65C2A"/>
    <w:rsid w:val="00B65C9C"/>
    <w:rsid w:val="00B65CF8"/>
    <w:rsid w:val="00B65D3C"/>
    <w:rsid w:val="00B65D4A"/>
    <w:rsid w:val="00B65D5D"/>
    <w:rsid w:val="00B65D91"/>
    <w:rsid w:val="00B65D99"/>
    <w:rsid w:val="00B65DD7"/>
    <w:rsid w:val="00B65DF6"/>
    <w:rsid w:val="00B65DFD"/>
    <w:rsid w:val="00B65E10"/>
    <w:rsid w:val="00B65E1A"/>
    <w:rsid w:val="00B65E3E"/>
    <w:rsid w:val="00B65F07"/>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E4"/>
    <w:rsid w:val="00B661FA"/>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52"/>
    <w:rsid w:val="00B666DF"/>
    <w:rsid w:val="00B6675D"/>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6B"/>
    <w:rsid w:val="00B66BD3"/>
    <w:rsid w:val="00B66C14"/>
    <w:rsid w:val="00B66CE5"/>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151"/>
    <w:rsid w:val="00B6717C"/>
    <w:rsid w:val="00B67190"/>
    <w:rsid w:val="00B671E3"/>
    <w:rsid w:val="00B671EA"/>
    <w:rsid w:val="00B671F7"/>
    <w:rsid w:val="00B67228"/>
    <w:rsid w:val="00B672AC"/>
    <w:rsid w:val="00B672C9"/>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B9"/>
    <w:rsid w:val="00B708CC"/>
    <w:rsid w:val="00B708D0"/>
    <w:rsid w:val="00B708F0"/>
    <w:rsid w:val="00B70917"/>
    <w:rsid w:val="00B709A7"/>
    <w:rsid w:val="00B709BF"/>
    <w:rsid w:val="00B709F7"/>
    <w:rsid w:val="00B70A53"/>
    <w:rsid w:val="00B70AE3"/>
    <w:rsid w:val="00B70B3F"/>
    <w:rsid w:val="00B70B42"/>
    <w:rsid w:val="00B70B65"/>
    <w:rsid w:val="00B70BBA"/>
    <w:rsid w:val="00B70C1A"/>
    <w:rsid w:val="00B70C3C"/>
    <w:rsid w:val="00B70C50"/>
    <w:rsid w:val="00B70C5F"/>
    <w:rsid w:val="00B70CDA"/>
    <w:rsid w:val="00B70D16"/>
    <w:rsid w:val="00B70D18"/>
    <w:rsid w:val="00B70D48"/>
    <w:rsid w:val="00B70D73"/>
    <w:rsid w:val="00B70D92"/>
    <w:rsid w:val="00B70D96"/>
    <w:rsid w:val="00B70DAE"/>
    <w:rsid w:val="00B70DC5"/>
    <w:rsid w:val="00B70E1B"/>
    <w:rsid w:val="00B70E34"/>
    <w:rsid w:val="00B70E7C"/>
    <w:rsid w:val="00B70E7E"/>
    <w:rsid w:val="00B70E91"/>
    <w:rsid w:val="00B70EB6"/>
    <w:rsid w:val="00B70ECF"/>
    <w:rsid w:val="00B70EE1"/>
    <w:rsid w:val="00B70F08"/>
    <w:rsid w:val="00B70F12"/>
    <w:rsid w:val="00B70F3E"/>
    <w:rsid w:val="00B70F5C"/>
    <w:rsid w:val="00B70F7A"/>
    <w:rsid w:val="00B70FB4"/>
    <w:rsid w:val="00B70FF2"/>
    <w:rsid w:val="00B70FFB"/>
    <w:rsid w:val="00B7100A"/>
    <w:rsid w:val="00B7100E"/>
    <w:rsid w:val="00B71025"/>
    <w:rsid w:val="00B7103B"/>
    <w:rsid w:val="00B710B9"/>
    <w:rsid w:val="00B710C3"/>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425"/>
    <w:rsid w:val="00B7142B"/>
    <w:rsid w:val="00B71432"/>
    <w:rsid w:val="00B7146C"/>
    <w:rsid w:val="00B714B6"/>
    <w:rsid w:val="00B7155B"/>
    <w:rsid w:val="00B71560"/>
    <w:rsid w:val="00B715DB"/>
    <w:rsid w:val="00B7167E"/>
    <w:rsid w:val="00B716E3"/>
    <w:rsid w:val="00B717BC"/>
    <w:rsid w:val="00B717E7"/>
    <w:rsid w:val="00B717EB"/>
    <w:rsid w:val="00B717F9"/>
    <w:rsid w:val="00B7180A"/>
    <w:rsid w:val="00B71840"/>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53"/>
    <w:rsid w:val="00B71E61"/>
    <w:rsid w:val="00B71E65"/>
    <w:rsid w:val="00B71E99"/>
    <w:rsid w:val="00B71F3B"/>
    <w:rsid w:val="00B71F54"/>
    <w:rsid w:val="00B71F93"/>
    <w:rsid w:val="00B71F9A"/>
    <w:rsid w:val="00B71FA9"/>
    <w:rsid w:val="00B71FD3"/>
    <w:rsid w:val="00B71FFE"/>
    <w:rsid w:val="00B7200B"/>
    <w:rsid w:val="00B72021"/>
    <w:rsid w:val="00B7207F"/>
    <w:rsid w:val="00B720A7"/>
    <w:rsid w:val="00B720EB"/>
    <w:rsid w:val="00B7210C"/>
    <w:rsid w:val="00B72140"/>
    <w:rsid w:val="00B72175"/>
    <w:rsid w:val="00B72194"/>
    <w:rsid w:val="00B721A0"/>
    <w:rsid w:val="00B721A8"/>
    <w:rsid w:val="00B721BA"/>
    <w:rsid w:val="00B72201"/>
    <w:rsid w:val="00B7220D"/>
    <w:rsid w:val="00B72227"/>
    <w:rsid w:val="00B7223C"/>
    <w:rsid w:val="00B7228F"/>
    <w:rsid w:val="00B72296"/>
    <w:rsid w:val="00B722A0"/>
    <w:rsid w:val="00B722A2"/>
    <w:rsid w:val="00B722BE"/>
    <w:rsid w:val="00B72308"/>
    <w:rsid w:val="00B7234B"/>
    <w:rsid w:val="00B72383"/>
    <w:rsid w:val="00B723E4"/>
    <w:rsid w:val="00B723F7"/>
    <w:rsid w:val="00B72405"/>
    <w:rsid w:val="00B7246A"/>
    <w:rsid w:val="00B72491"/>
    <w:rsid w:val="00B724A8"/>
    <w:rsid w:val="00B724C0"/>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E4"/>
    <w:rsid w:val="00B727F1"/>
    <w:rsid w:val="00B7292B"/>
    <w:rsid w:val="00B72970"/>
    <w:rsid w:val="00B72998"/>
    <w:rsid w:val="00B729DC"/>
    <w:rsid w:val="00B72A16"/>
    <w:rsid w:val="00B72A9B"/>
    <w:rsid w:val="00B72AB4"/>
    <w:rsid w:val="00B72B94"/>
    <w:rsid w:val="00B72BA2"/>
    <w:rsid w:val="00B72BD9"/>
    <w:rsid w:val="00B72C15"/>
    <w:rsid w:val="00B72C2F"/>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BB"/>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71F"/>
    <w:rsid w:val="00B73747"/>
    <w:rsid w:val="00B73748"/>
    <w:rsid w:val="00B737B9"/>
    <w:rsid w:val="00B737DC"/>
    <w:rsid w:val="00B73873"/>
    <w:rsid w:val="00B738BF"/>
    <w:rsid w:val="00B738E3"/>
    <w:rsid w:val="00B73902"/>
    <w:rsid w:val="00B73914"/>
    <w:rsid w:val="00B7397C"/>
    <w:rsid w:val="00B7398D"/>
    <w:rsid w:val="00B739B3"/>
    <w:rsid w:val="00B73A0A"/>
    <w:rsid w:val="00B73A23"/>
    <w:rsid w:val="00B73A3E"/>
    <w:rsid w:val="00B73B00"/>
    <w:rsid w:val="00B73B48"/>
    <w:rsid w:val="00B73BAE"/>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DFD"/>
    <w:rsid w:val="00B73E40"/>
    <w:rsid w:val="00B73E44"/>
    <w:rsid w:val="00B73E5D"/>
    <w:rsid w:val="00B73EE1"/>
    <w:rsid w:val="00B73EF7"/>
    <w:rsid w:val="00B73F01"/>
    <w:rsid w:val="00B73F0A"/>
    <w:rsid w:val="00B73FAE"/>
    <w:rsid w:val="00B73FB7"/>
    <w:rsid w:val="00B73FDD"/>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CD"/>
    <w:rsid w:val="00B74986"/>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90"/>
    <w:rsid w:val="00B74DF1"/>
    <w:rsid w:val="00B74E73"/>
    <w:rsid w:val="00B74EA1"/>
    <w:rsid w:val="00B74EA5"/>
    <w:rsid w:val="00B74EB8"/>
    <w:rsid w:val="00B74EFA"/>
    <w:rsid w:val="00B74F0E"/>
    <w:rsid w:val="00B74F1D"/>
    <w:rsid w:val="00B74F4D"/>
    <w:rsid w:val="00B74F68"/>
    <w:rsid w:val="00B74F6B"/>
    <w:rsid w:val="00B74FF2"/>
    <w:rsid w:val="00B75053"/>
    <w:rsid w:val="00B7506D"/>
    <w:rsid w:val="00B751D4"/>
    <w:rsid w:val="00B75229"/>
    <w:rsid w:val="00B75274"/>
    <w:rsid w:val="00B75286"/>
    <w:rsid w:val="00B752CB"/>
    <w:rsid w:val="00B75319"/>
    <w:rsid w:val="00B7534A"/>
    <w:rsid w:val="00B7534E"/>
    <w:rsid w:val="00B7536D"/>
    <w:rsid w:val="00B753CD"/>
    <w:rsid w:val="00B75430"/>
    <w:rsid w:val="00B75453"/>
    <w:rsid w:val="00B7552E"/>
    <w:rsid w:val="00B75546"/>
    <w:rsid w:val="00B7554F"/>
    <w:rsid w:val="00B75557"/>
    <w:rsid w:val="00B755C9"/>
    <w:rsid w:val="00B755DB"/>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8FE"/>
    <w:rsid w:val="00B75945"/>
    <w:rsid w:val="00B7596A"/>
    <w:rsid w:val="00B75A05"/>
    <w:rsid w:val="00B75A78"/>
    <w:rsid w:val="00B75A8F"/>
    <w:rsid w:val="00B75AA6"/>
    <w:rsid w:val="00B75AD2"/>
    <w:rsid w:val="00B75AD5"/>
    <w:rsid w:val="00B75AF1"/>
    <w:rsid w:val="00B75B14"/>
    <w:rsid w:val="00B75B5F"/>
    <w:rsid w:val="00B75BEE"/>
    <w:rsid w:val="00B75C16"/>
    <w:rsid w:val="00B75C8A"/>
    <w:rsid w:val="00B75CAC"/>
    <w:rsid w:val="00B75D21"/>
    <w:rsid w:val="00B75D27"/>
    <w:rsid w:val="00B75E1C"/>
    <w:rsid w:val="00B75E30"/>
    <w:rsid w:val="00B75E62"/>
    <w:rsid w:val="00B75E9E"/>
    <w:rsid w:val="00B75EA1"/>
    <w:rsid w:val="00B75EC2"/>
    <w:rsid w:val="00B75F36"/>
    <w:rsid w:val="00B75F93"/>
    <w:rsid w:val="00B75FFC"/>
    <w:rsid w:val="00B76061"/>
    <w:rsid w:val="00B7608F"/>
    <w:rsid w:val="00B760A1"/>
    <w:rsid w:val="00B760A3"/>
    <w:rsid w:val="00B760AC"/>
    <w:rsid w:val="00B76102"/>
    <w:rsid w:val="00B76145"/>
    <w:rsid w:val="00B7615E"/>
    <w:rsid w:val="00B761CD"/>
    <w:rsid w:val="00B761E9"/>
    <w:rsid w:val="00B76203"/>
    <w:rsid w:val="00B7621C"/>
    <w:rsid w:val="00B76224"/>
    <w:rsid w:val="00B76275"/>
    <w:rsid w:val="00B76286"/>
    <w:rsid w:val="00B762A5"/>
    <w:rsid w:val="00B762DB"/>
    <w:rsid w:val="00B76302"/>
    <w:rsid w:val="00B76395"/>
    <w:rsid w:val="00B763A6"/>
    <w:rsid w:val="00B76476"/>
    <w:rsid w:val="00B764C0"/>
    <w:rsid w:val="00B764DF"/>
    <w:rsid w:val="00B7652A"/>
    <w:rsid w:val="00B765B2"/>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700B"/>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54"/>
    <w:rsid w:val="00B7745E"/>
    <w:rsid w:val="00B7751F"/>
    <w:rsid w:val="00B7753E"/>
    <w:rsid w:val="00B7757C"/>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8C5"/>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6C"/>
    <w:rsid w:val="00B77E75"/>
    <w:rsid w:val="00B77E91"/>
    <w:rsid w:val="00B77ED7"/>
    <w:rsid w:val="00B77EDA"/>
    <w:rsid w:val="00B77EEB"/>
    <w:rsid w:val="00B77F85"/>
    <w:rsid w:val="00B77FA2"/>
    <w:rsid w:val="00B80012"/>
    <w:rsid w:val="00B8005E"/>
    <w:rsid w:val="00B80074"/>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4E"/>
    <w:rsid w:val="00B806DA"/>
    <w:rsid w:val="00B806F2"/>
    <w:rsid w:val="00B80754"/>
    <w:rsid w:val="00B80761"/>
    <w:rsid w:val="00B80771"/>
    <w:rsid w:val="00B8077F"/>
    <w:rsid w:val="00B807AA"/>
    <w:rsid w:val="00B807BB"/>
    <w:rsid w:val="00B807CB"/>
    <w:rsid w:val="00B80875"/>
    <w:rsid w:val="00B808D6"/>
    <w:rsid w:val="00B808E3"/>
    <w:rsid w:val="00B8099E"/>
    <w:rsid w:val="00B8099F"/>
    <w:rsid w:val="00B809C0"/>
    <w:rsid w:val="00B809FE"/>
    <w:rsid w:val="00B80A1E"/>
    <w:rsid w:val="00B80A32"/>
    <w:rsid w:val="00B80A3E"/>
    <w:rsid w:val="00B80A64"/>
    <w:rsid w:val="00B80A67"/>
    <w:rsid w:val="00B80BEB"/>
    <w:rsid w:val="00B80C27"/>
    <w:rsid w:val="00B80C7F"/>
    <w:rsid w:val="00B80C9E"/>
    <w:rsid w:val="00B80CC5"/>
    <w:rsid w:val="00B80CDE"/>
    <w:rsid w:val="00B80D22"/>
    <w:rsid w:val="00B80E18"/>
    <w:rsid w:val="00B80EA9"/>
    <w:rsid w:val="00B80EB2"/>
    <w:rsid w:val="00B80EB6"/>
    <w:rsid w:val="00B80ECF"/>
    <w:rsid w:val="00B80ED1"/>
    <w:rsid w:val="00B80F5D"/>
    <w:rsid w:val="00B80F73"/>
    <w:rsid w:val="00B80FB4"/>
    <w:rsid w:val="00B80FCD"/>
    <w:rsid w:val="00B80FCF"/>
    <w:rsid w:val="00B80FDB"/>
    <w:rsid w:val="00B80FF7"/>
    <w:rsid w:val="00B810DA"/>
    <w:rsid w:val="00B81108"/>
    <w:rsid w:val="00B8110F"/>
    <w:rsid w:val="00B8112B"/>
    <w:rsid w:val="00B81148"/>
    <w:rsid w:val="00B8115E"/>
    <w:rsid w:val="00B811A8"/>
    <w:rsid w:val="00B811D2"/>
    <w:rsid w:val="00B811F9"/>
    <w:rsid w:val="00B81200"/>
    <w:rsid w:val="00B81265"/>
    <w:rsid w:val="00B812D4"/>
    <w:rsid w:val="00B812F1"/>
    <w:rsid w:val="00B8135D"/>
    <w:rsid w:val="00B8135F"/>
    <w:rsid w:val="00B81378"/>
    <w:rsid w:val="00B81413"/>
    <w:rsid w:val="00B8148D"/>
    <w:rsid w:val="00B8149A"/>
    <w:rsid w:val="00B814BB"/>
    <w:rsid w:val="00B814C8"/>
    <w:rsid w:val="00B81502"/>
    <w:rsid w:val="00B81533"/>
    <w:rsid w:val="00B81610"/>
    <w:rsid w:val="00B81645"/>
    <w:rsid w:val="00B81654"/>
    <w:rsid w:val="00B81671"/>
    <w:rsid w:val="00B816D0"/>
    <w:rsid w:val="00B816DE"/>
    <w:rsid w:val="00B8175C"/>
    <w:rsid w:val="00B818B0"/>
    <w:rsid w:val="00B818FF"/>
    <w:rsid w:val="00B81909"/>
    <w:rsid w:val="00B81942"/>
    <w:rsid w:val="00B81975"/>
    <w:rsid w:val="00B8199B"/>
    <w:rsid w:val="00B819E8"/>
    <w:rsid w:val="00B81A16"/>
    <w:rsid w:val="00B81A2E"/>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EC"/>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70"/>
    <w:rsid w:val="00B82DDD"/>
    <w:rsid w:val="00B82E00"/>
    <w:rsid w:val="00B82E11"/>
    <w:rsid w:val="00B82E38"/>
    <w:rsid w:val="00B82E47"/>
    <w:rsid w:val="00B82E97"/>
    <w:rsid w:val="00B82EA2"/>
    <w:rsid w:val="00B82F0C"/>
    <w:rsid w:val="00B82F4A"/>
    <w:rsid w:val="00B82F6F"/>
    <w:rsid w:val="00B83047"/>
    <w:rsid w:val="00B83082"/>
    <w:rsid w:val="00B830A3"/>
    <w:rsid w:val="00B830CB"/>
    <w:rsid w:val="00B83140"/>
    <w:rsid w:val="00B831AD"/>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A4"/>
    <w:rsid w:val="00B83DFE"/>
    <w:rsid w:val="00B83E32"/>
    <w:rsid w:val="00B83E55"/>
    <w:rsid w:val="00B83E79"/>
    <w:rsid w:val="00B83ECC"/>
    <w:rsid w:val="00B83F63"/>
    <w:rsid w:val="00B83FE6"/>
    <w:rsid w:val="00B84077"/>
    <w:rsid w:val="00B8408E"/>
    <w:rsid w:val="00B840AF"/>
    <w:rsid w:val="00B840DC"/>
    <w:rsid w:val="00B840FA"/>
    <w:rsid w:val="00B840FE"/>
    <w:rsid w:val="00B8413B"/>
    <w:rsid w:val="00B84167"/>
    <w:rsid w:val="00B84198"/>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1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8FC"/>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D19"/>
    <w:rsid w:val="00B84D1C"/>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5"/>
    <w:rsid w:val="00B8511F"/>
    <w:rsid w:val="00B85150"/>
    <w:rsid w:val="00B8516D"/>
    <w:rsid w:val="00B851A4"/>
    <w:rsid w:val="00B851DC"/>
    <w:rsid w:val="00B851F4"/>
    <w:rsid w:val="00B8520C"/>
    <w:rsid w:val="00B85254"/>
    <w:rsid w:val="00B8526A"/>
    <w:rsid w:val="00B852A7"/>
    <w:rsid w:val="00B852F0"/>
    <w:rsid w:val="00B8531A"/>
    <w:rsid w:val="00B85340"/>
    <w:rsid w:val="00B85359"/>
    <w:rsid w:val="00B853AB"/>
    <w:rsid w:val="00B8540A"/>
    <w:rsid w:val="00B85497"/>
    <w:rsid w:val="00B854A3"/>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FC"/>
    <w:rsid w:val="00B85912"/>
    <w:rsid w:val="00B8596F"/>
    <w:rsid w:val="00B859B9"/>
    <w:rsid w:val="00B85A35"/>
    <w:rsid w:val="00B85A3B"/>
    <w:rsid w:val="00B85A56"/>
    <w:rsid w:val="00B85AFC"/>
    <w:rsid w:val="00B85B4F"/>
    <w:rsid w:val="00B85BF3"/>
    <w:rsid w:val="00B85C0A"/>
    <w:rsid w:val="00B85C3C"/>
    <w:rsid w:val="00B85C43"/>
    <w:rsid w:val="00B85C60"/>
    <w:rsid w:val="00B85C95"/>
    <w:rsid w:val="00B85C98"/>
    <w:rsid w:val="00B85DAC"/>
    <w:rsid w:val="00B85DB4"/>
    <w:rsid w:val="00B85DC8"/>
    <w:rsid w:val="00B85DCF"/>
    <w:rsid w:val="00B85E85"/>
    <w:rsid w:val="00B85EA4"/>
    <w:rsid w:val="00B85EDA"/>
    <w:rsid w:val="00B86037"/>
    <w:rsid w:val="00B8604F"/>
    <w:rsid w:val="00B86066"/>
    <w:rsid w:val="00B860AF"/>
    <w:rsid w:val="00B860D6"/>
    <w:rsid w:val="00B860F2"/>
    <w:rsid w:val="00B861E2"/>
    <w:rsid w:val="00B86220"/>
    <w:rsid w:val="00B8623B"/>
    <w:rsid w:val="00B8625F"/>
    <w:rsid w:val="00B8629E"/>
    <w:rsid w:val="00B862E3"/>
    <w:rsid w:val="00B862E6"/>
    <w:rsid w:val="00B86338"/>
    <w:rsid w:val="00B86355"/>
    <w:rsid w:val="00B86370"/>
    <w:rsid w:val="00B863C0"/>
    <w:rsid w:val="00B8641F"/>
    <w:rsid w:val="00B86437"/>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B"/>
    <w:rsid w:val="00B868CC"/>
    <w:rsid w:val="00B868DA"/>
    <w:rsid w:val="00B8690C"/>
    <w:rsid w:val="00B86911"/>
    <w:rsid w:val="00B86928"/>
    <w:rsid w:val="00B86934"/>
    <w:rsid w:val="00B8697B"/>
    <w:rsid w:val="00B86998"/>
    <w:rsid w:val="00B869A9"/>
    <w:rsid w:val="00B869AE"/>
    <w:rsid w:val="00B869C9"/>
    <w:rsid w:val="00B869DE"/>
    <w:rsid w:val="00B86A24"/>
    <w:rsid w:val="00B86A33"/>
    <w:rsid w:val="00B86B03"/>
    <w:rsid w:val="00B86B2D"/>
    <w:rsid w:val="00B86B47"/>
    <w:rsid w:val="00B86B6E"/>
    <w:rsid w:val="00B86BEE"/>
    <w:rsid w:val="00B86BFA"/>
    <w:rsid w:val="00B86C02"/>
    <w:rsid w:val="00B86C34"/>
    <w:rsid w:val="00B86C7E"/>
    <w:rsid w:val="00B86C8D"/>
    <w:rsid w:val="00B86CDC"/>
    <w:rsid w:val="00B86D0F"/>
    <w:rsid w:val="00B86D2E"/>
    <w:rsid w:val="00B86D90"/>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3E"/>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695"/>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C12"/>
    <w:rsid w:val="00B87C33"/>
    <w:rsid w:val="00B87C93"/>
    <w:rsid w:val="00B87CD1"/>
    <w:rsid w:val="00B87D02"/>
    <w:rsid w:val="00B87D69"/>
    <w:rsid w:val="00B87D77"/>
    <w:rsid w:val="00B87E46"/>
    <w:rsid w:val="00B87E57"/>
    <w:rsid w:val="00B87E8C"/>
    <w:rsid w:val="00B87EB3"/>
    <w:rsid w:val="00B87EC3"/>
    <w:rsid w:val="00B87F41"/>
    <w:rsid w:val="00B9002E"/>
    <w:rsid w:val="00B9008C"/>
    <w:rsid w:val="00B900FA"/>
    <w:rsid w:val="00B9013C"/>
    <w:rsid w:val="00B90156"/>
    <w:rsid w:val="00B901A1"/>
    <w:rsid w:val="00B901A5"/>
    <w:rsid w:val="00B901B1"/>
    <w:rsid w:val="00B901BD"/>
    <w:rsid w:val="00B90203"/>
    <w:rsid w:val="00B90254"/>
    <w:rsid w:val="00B902AF"/>
    <w:rsid w:val="00B9030E"/>
    <w:rsid w:val="00B90310"/>
    <w:rsid w:val="00B9033D"/>
    <w:rsid w:val="00B9035A"/>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C5"/>
    <w:rsid w:val="00B907D4"/>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C06"/>
    <w:rsid w:val="00B90C0C"/>
    <w:rsid w:val="00B90C1B"/>
    <w:rsid w:val="00B90C21"/>
    <w:rsid w:val="00B90C63"/>
    <w:rsid w:val="00B90C9E"/>
    <w:rsid w:val="00B90D79"/>
    <w:rsid w:val="00B90D91"/>
    <w:rsid w:val="00B90DF2"/>
    <w:rsid w:val="00B90E0D"/>
    <w:rsid w:val="00B90E3F"/>
    <w:rsid w:val="00B90E4E"/>
    <w:rsid w:val="00B90E5F"/>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6D"/>
    <w:rsid w:val="00B91581"/>
    <w:rsid w:val="00B9162C"/>
    <w:rsid w:val="00B91655"/>
    <w:rsid w:val="00B91696"/>
    <w:rsid w:val="00B9174E"/>
    <w:rsid w:val="00B91751"/>
    <w:rsid w:val="00B91756"/>
    <w:rsid w:val="00B917D9"/>
    <w:rsid w:val="00B91823"/>
    <w:rsid w:val="00B9183D"/>
    <w:rsid w:val="00B9184C"/>
    <w:rsid w:val="00B91860"/>
    <w:rsid w:val="00B91869"/>
    <w:rsid w:val="00B9186D"/>
    <w:rsid w:val="00B91874"/>
    <w:rsid w:val="00B918A1"/>
    <w:rsid w:val="00B918C6"/>
    <w:rsid w:val="00B918E3"/>
    <w:rsid w:val="00B918FA"/>
    <w:rsid w:val="00B91937"/>
    <w:rsid w:val="00B9193F"/>
    <w:rsid w:val="00B91950"/>
    <w:rsid w:val="00B9195B"/>
    <w:rsid w:val="00B91988"/>
    <w:rsid w:val="00B919CD"/>
    <w:rsid w:val="00B919EA"/>
    <w:rsid w:val="00B91A2E"/>
    <w:rsid w:val="00B91A4B"/>
    <w:rsid w:val="00B91AE0"/>
    <w:rsid w:val="00B91AE6"/>
    <w:rsid w:val="00B91B1F"/>
    <w:rsid w:val="00B91B54"/>
    <w:rsid w:val="00B91B9A"/>
    <w:rsid w:val="00B91BD3"/>
    <w:rsid w:val="00B91BE9"/>
    <w:rsid w:val="00B91C02"/>
    <w:rsid w:val="00B91C85"/>
    <w:rsid w:val="00B91CC2"/>
    <w:rsid w:val="00B91CFF"/>
    <w:rsid w:val="00B91D1B"/>
    <w:rsid w:val="00B91D48"/>
    <w:rsid w:val="00B91D80"/>
    <w:rsid w:val="00B91D9C"/>
    <w:rsid w:val="00B91DB9"/>
    <w:rsid w:val="00B91DC6"/>
    <w:rsid w:val="00B91E36"/>
    <w:rsid w:val="00B91E44"/>
    <w:rsid w:val="00B91EE6"/>
    <w:rsid w:val="00B91EEA"/>
    <w:rsid w:val="00B91EF0"/>
    <w:rsid w:val="00B91F27"/>
    <w:rsid w:val="00B91F37"/>
    <w:rsid w:val="00B91F57"/>
    <w:rsid w:val="00B91FE8"/>
    <w:rsid w:val="00B9200E"/>
    <w:rsid w:val="00B9201D"/>
    <w:rsid w:val="00B9202F"/>
    <w:rsid w:val="00B92058"/>
    <w:rsid w:val="00B92085"/>
    <w:rsid w:val="00B920A3"/>
    <w:rsid w:val="00B920B1"/>
    <w:rsid w:val="00B920B8"/>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4"/>
    <w:rsid w:val="00B9236D"/>
    <w:rsid w:val="00B923C5"/>
    <w:rsid w:val="00B9246E"/>
    <w:rsid w:val="00B92486"/>
    <w:rsid w:val="00B92697"/>
    <w:rsid w:val="00B926D7"/>
    <w:rsid w:val="00B92704"/>
    <w:rsid w:val="00B9276D"/>
    <w:rsid w:val="00B92775"/>
    <w:rsid w:val="00B927D6"/>
    <w:rsid w:val="00B927D7"/>
    <w:rsid w:val="00B92894"/>
    <w:rsid w:val="00B928A5"/>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D5B"/>
    <w:rsid w:val="00B92D64"/>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70"/>
    <w:rsid w:val="00B934B5"/>
    <w:rsid w:val="00B934C8"/>
    <w:rsid w:val="00B935E2"/>
    <w:rsid w:val="00B93600"/>
    <w:rsid w:val="00B936B7"/>
    <w:rsid w:val="00B9370A"/>
    <w:rsid w:val="00B9370F"/>
    <w:rsid w:val="00B93734"/>
    <w:rsid w:val="00B93736"/>
    <w:rsid w:val="00B9373E"/>
    <w:rsid w:val="00B9376C"/>
    <w:rsid w:val="00B938C3"/>
    <w:rsid w:val="00B938D4"/>
    <w:rsid w:val="00B938E9"/>
    <w:rsid w:val="00B9398E"/>
    <w:rsid w:val="00B9399C"/>
    <w:rsid w:val="00B939D6"/>
    <w:rsid w:val="00B939DA"/>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311"/>
    <w:rsid w:val="00B94399"/>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4D"/>
    <w:rsid w:val="00B9477E"/>
    <w:rsid w:val="00B947A3"/>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46"/>
    <w:rsid w:val="00B94B54"/>
    <w:rsid w:val="00B94B88"/>
    <w:rsid w:val="00B94BD2"/>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3F6"/>
    <w:rsid w:val="00B9543A"/>
    <w:rsid w:val="00B9544D"/>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3E1"/>
    <w:rsid w:val="00B9643B"/>
    <w:rsid w:val="00B9645C"/>
    <w:rsid w:val="00B9645D"/>
    <w:rsid w:val="00B96469"/>
    <w:rsid w:val="00B96475"/>
    <w:rsid w:val="00B964BD"/>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5A"/>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65"/>
    <w:rsid w:val="00B96BA9"/>
    <w:rsid w:val="00B96BE7"/>
    <w:rsid w:val="00B96BE8"/>
    <w:rsid w:val="00B96BF4"/>
    <w:rsid w:val="00B96CE8"/>
    <w:rsid w:val="00B96D30"/>
    <w:rsid w:val="00B96D44"/>
    <w:rsid w:val="00B96D84"/>
    <w:rsid w:val="00B96DAD"/>
    <w:rsid w:val="00B96DB8"/>
    <w:rsid w:val="00B96DD4"/>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4"/>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6E1"/>
    <w:rsid w:val="00B9775B"/>
    <w:rsid w:val="00B97799"/>
    <w:rsid w:val="00B978B3"/>
    <w:rsid w:val="00B979E9"/>
    <w:rsid w:val="00B979FD"/>
    <w:rsid w:val="00B97A0A"/>
    <w:rsid w:val="00B97A25"/>
    <w:rsid w:val="00B97A4D"/>
    <w:rsid w:val="00B97A74"/>
    <w:rsid w:val="00B97AA7"/>
    <w:rsid w:val="00B97AB0"/>
    <w:rsid w:val="00B97AC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428"/>
    <w:rsid w:val="00BA0436"/>
    <w:rsid w:val="00BA044A"/>
    <w:rsid w:val="00BA0459"/>
    <w:rsid w:val="00BA04A0"/>
    <w:rsid w:val="00BA0536"/>
    <w:rsid w:val="00BA0574"/>
    <w:rsid w:val="00BA05E7"/>
    <w:rsid w:val="00BA061E"/>
    <w:rsid w:val="00BA0647"/>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B8"/>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E9"/>
    <w:rsid w:val="00BA101E"/>
    <w:rsid w:val="00BA1072"/>
    <w:rsid w:val="00BA10C2"/>
    <w:rsid w:val="00BA10C9"/>
    <w:rsid w:val="00BA10D4"/>
    <w:rsid w:val="00BA10FF"/>
    <w:rsid w:val="00BA1127"/>
    <w:rsid w:val="00BA11CA"/>
    <w:rsid w:val="00BA123C"/>
    <w:rsid w:val="00BA1261"/>
    <w:rsid w:val="00BA1291"/>
    <w:rsid w:val="00BA1294"/>
    <w:rsid w:val="00BA12D8"/>
    <w:rsid w:val="00BA130B"/>
    <w:rsid w:val="00BA1319"/>
    <w:rsid w:val="00BA1389"/>
    <w:rsid w:val="00BA13B9"/>
    <w:rsid w:val="00BA142F"/>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A2"/>
    <w:rsid w:val="00BA16E3"/>
    <w:rsid w:val="00BA16F6"/>
    <w:rsid w:val="00BA1718"/>
    <w:rsid w:val="00BA1726"/>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3A"/>
    <w:rsid w:val="00BA1B80"/>
    <w:rsid w:val="00BA1B89"/>
    <w:rsid w:val="00BA1C1F"/>
    <w:rsid w:val="00BA1C37"/>
    <w:rsid w:val="00BA1C44"/>
    <w:rsid w:val="00BA1CA9"/>
    <w:rsid w:val="00BA1CC0"/>
    <w:rsid w:val="00BA1D23"/>
    <w:rsid w:val="00BA1DE6"/>
    <w:rsid w:val="00BA1DFD"/>
    <w:rsid w:val="00BA1E37"/>
    <w:rsid w:val="00BA1EE5"/>
    <w:rsid w:val="00BA1EE6"/>
    <w:rsid w:val="00BA1F01"/>
    <w:rsid w:val="00BA1F13"/>
    <w:rsid w:val="00BA1FBE"/>
    <w:rsid w:val="00BA1FC0"/>
    <w:rsid w:val="00BA1FCD"/>
    <w:rsid w:val="00BA2006"/>
    <w:rsid w:val="00BA2021"/>
    <w:rsid w:val="00BA2096"/>
    <w:rsid w:val="00BA2102"/>
    <w:rsid w:val="00BA2122"/>
    <w:rsid w:val="00BA2148"/>
    <w:rsid w:val="00BA21EE"/>
    <w:rsid w:val="00BA222D"/>
    <w:rsid w:val="00BA2254"/>
    <w:rsid w:val="00BA2266"/>
    <w:rsid w:val="00BA229A"/>
    <w:rsid w:val="00BA22F8"/>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3A"/>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D7"/>
    <w:rsid w:val="00BA2EED"/>
    <w:rsid w:val="00BA2EEE"/>
    <w:rsid w:val="00BA2F9E"/>
    <w:rsid w:val="00BA3018"/>
    <w:rsid w:val="00BA3065"/>
    <w:rsid w:val="00BA3103"/>
    <w:rsid w:val="00BA3139"/>
    <w:rsid w:val="00BA31C1"/>
    <w:rsid w:val="00BA3256"/>
    <w:rsid w:val="00BA3269"/>
    <w:rsid w:val="00BA329D"/>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58"/>
    <w:rsid w:val="00BA36AF"/>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54"/>
    <w:rsid w:val="00BA3A9C"/>
    <w:rsid w:val="00BA3AD1"/>
    <w:rsid w:val="00BA3B0B"/>
    <w:rsid w:val="00BA3B64"/>
    <w:rsid w:val="00BA3BFA"/>
    <w:rsid w:val="00BA3C17"/>
    <w:rsid w:val="00BA3C19"/>
    <w:rsid w:val="00BA3C26"/>
    <w:rsid w:val="00BA3D14"/>
    <w:rsid w:val="00BA3D15"/>
    <w:rsid w:val="00BA3D32"/>
    <w:rsid w:val="00BA3D9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6D"/>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7004"/>
    <w:rsid w:val="00BA7054"/>
    <w:rsid w:val="00BA706F"/>
    <w:rsid w:val="00BA7078"/>
    <w:rsid w:val="00BA70E3"/>
    <w:rsid w:val="00BA70E8"/>
    <w:rsid w:val="00BA7174"/>
    <w:rsid w:val="00BA718A"/>
    <w:rsid w:val="00BA71AA"/>
    <w:rsid w:val="00BA71D9"/>
    <w:rsid w:val="00BA7212"/>
    <w:rsid w:val="00BA721F"/>
    <w:rsid w:val="00BA7222"/>
    <w:rsid w:val="00BA7233"/>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B51"/>
    <w:rsid w:val="00BA7B54"/>
    <w:rsid w:val="00BA7B80"/>
    <w:rsid w:val="00BA7B82"/>
    <w:rsid w:val="00BA7B85"/>
    <w:rsid w:val="00BA7B90"/>
    <w:rsid w:val="00BA7C6C"/>
    <w:rsid w:val="00BA7C8B"/>
    <w:rsid w:val="00BA7CAF"/>
    <w:rsid w:val="00BA7CB3"/>
    <w:rsid w:val="00BA7CBC"/>
    <w:rsid w:val="00BA7CFB"/>
    <w:rsid w:val="00BA7D54"/>
    <w:rsid w:val="00BA7D5E"/>
    <w:rsid w:val="00BA7DC0"/>
    <w:rsid w:val="00BA7DF6"/>
    <w:rsid w:val="00BA7E34"/>
    <w:rsid w:val="00BA7E69"/>
    <w:rsid w:val="00BA7EBC"/>
    <w:rsid w:val="00BA7F27"/>
    <w:rsid w:val="00BA7F37"/>
    <w:rsid w:val="00BA7FA3"/>
    <w:rsid w:val="00BA7FC2"/>
    <w:rsid w:val="00BB0040"/>
    <w:rsid w:val="00BB0062"/>
    <w:rsid w:val="00BB009A"/>
    <w:rsid w:val="00BB00AA"/>
    <w:rsid w:val="00BB0136"/>
    <w:rsid w:val="00BB0169"/>
    <w:rsid w:val="00BB01A6"/>
    <w:rsid w:val="00BB01B8"/>
    <w:rsid w:val="00BB026A"/>
    <w:rsid w:val="00BB026C"/>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AF"/>
    <w:rsid w:val="00BB04B0"/>
    <w:rsid w:val="00BB050B"/>
    <w:rsid w:val="00BB050D"/>
    <w:rsid w:val="00BB0523"/>
    <w:rsid w:val="00BB06B3"/>
    <w:rsid w:val="00BB06E9"/>
    <w:rsid w:val="00BB06EB"/>
    <w:rsid w:val="00BB0739"/>
    <w:rsid w:val="00BB0791"/>
    <w:rsid w:val="00BB07CB"/>
    <w:rsid w:val="00BB07CC"/>
    <w:rsid w:val="00BB0853"/>
    <w:rsid w:val="00BB0857"/>
    <w:rsid w:val="00BB087F"/>
    <w:rsid w:val="00BB08B0"/>
    <w:rsid w:val="00BB08CD"/>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A0"/>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704"/>
    <w:rsid w:val="00BB171E"/>
    <w:rsid w:val="00BB1735"/>
    <w:rsid w:val="00BB1788"/>
    <w:rsid w:val="00BB17B6"/>
    <w:rsid w:val="00BB1833"/>
    <w:rsid w:val="00BB183B"/>
    <w:rsid w:val="00BB184F"/>
    <w:rsid w:val="00BB1896"/>
    <w:rsid w:val="00BB18D8"/>
    <w:rsid w:val="00BB18E5"/>
    <w:rsid w:val="00BB18ED"/>
    <w:rsid w:val="00BB18EF"/>
    <w:rsid w:val="00BB19BA"/>
    <w:rsid w:val="00BB19BC"/>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DAA"/>
    <w:rsid w:val="00BB1E8E"/>
    <w:rsid w:val="00BB1EA0"/>
    <w:rsid w:val="00BB1EC0"/>
    <w:rsid w:val="00BB1EFF"/>
    <w:rsid w:val="00BB1F03"/>
    <w:rsid w:val="00BB1F12"/>
    <w:rsid w:val="00BB1F19"/>
    <w:rsid w:val="00BB1F74"/>
    <w:rsid w:val="00BB1F9E"/>
    <w:rsid w:val="00BB1FAB"/>
    <w:rsid w:val="00BB1FF7"/>
    <w:rsid w:val="00BB2033"/>
    <w:rsid w:val="00BB20CF"/>
    <w:rsid w:val="00BB20E1"/>
    <w:rsid w:val="00BB211F"/>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64"/>
    <w:rsid w:val="00BB246E"/>
    <w:rsid w:val="00BB248A"/>
    <w:rsid w:val="00BB24BF"/>
    <w:rsid w:val="00BB24CA"/>
    <w:rsid w:val="00BB24F0"/>
    <w:rsid w:val="00BB2567"/>
    <w:rsid w:val="00BB259E"/>
    <w:rsid w:val="00BB25E8"/>
    <w:rsid w:val="00BB25FB"/>
    <w:rsid w:val="00BB260F"/>
    <w:rsid w:val="00BB263B"/>
    <w:rsid w:val="00BB2658"/>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A6B"/>
    <w:rsid w:val="00BB2A8A"/>
    <w:rsid w:val="00BB2A9A"/>
    <w:rsid w:val="00BB2ACF"/>
    <w:rsid w:val="00BB2ADB"/>
    <w:rsid w:val="00BB2B05"/>
    <w:rsid w:val="00BB2B1D"/>
    <w:rsid w:val="00BB2B43"/>
    <w:rsid w:val="00BB2B9D"/>
    <w:rsid w:val="00BB2BA9"/>
    <w:rsid w:val="00BB2BEC"/>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9B"/>
    <w:rsid w:val="00BB2FAA"/>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2F"/>
    <w:rsid w:val="00BB345B"/>
    <w:rsid w:val="00BB3472"/>
    <w:rsid w:val="00BB34BE"/>
    <w:rsid w:val="00BB34CA"/>
    <w:rsid w:val="00BB34CF"/>
    <w:rsid w:val="00BB34F1"/>
    <w:rsid w:val="00BB350E"/>
    <w:rsid w:val="00BB353D"/>
    <w:rsid w:val="00BB355A"/>
    <w:rsid w:val="00BB356B"/>
    <w:rsid w:val="00BB358E"/>
    <w:rsid w:val="00BB35BA"/>
    <w:rsid w:val="00BB363F"/>
    <w:rsid w:val="00BB36D5"/>
    <w:rsid w:val="00BB3807"/>
    <w:rsid w:val="00BB38AE"/>
    <w:rsid w:val="00BB38B9"/>
    <w:rsid w:val="00BB38FE"/>
    <w:rsid w:val="00BB3951"/>
    <w:rsid w:val="00BB397F"/>
    <w:rsid w:val="00BB39F5"/>
    <w:rsid w:val="00BB39F6"/>
    <w:rsid w:val="00BB3A76"/>
    <w:rsid w:val="00BB3A96"/>
    <w:rsid w:val="00BB3B24"/>
    <w:rsid w:val="00BB3B72"/>
    <w:rsid w:val="00BB3B7D"/>
    <w:rsid w:val="00BB3C29"/>
    <w:rsid w:val="00BB3C70"/>
    <w:rsid w:val="00BB3CD1"/>
    <w:rsid w:val="00BB3D1E"/>
    <w:rsid w:val="00BB3D62"/>
    <w:rsid w:val="00BB3D9A"/>
    <w:rsid w:val="00BB3DCA"/>
    <w:rsid w:val="00BB3DD2"/>
    <w:rsid w:val="00BB3DE9"/>
    <w:rsid w:val="00BB3E0D"/>
    <w:rsid w:val="00BB3E43"/>
    <w:rsid w:val="00BB3ECD"/>
    <w:rsid w:val="00BB3ED8"/>
    <w:rsid w:val="00BB3EF1"/>
    <w:rsid w:val="00BB3FD9"/>
    <w:rsid w:val="00BB4015"/>
    <w:rsid w:val="00BB4043"/>
    <w:rsid w:val="00BB40FF"/>
    <w:rsid w:val="00BB4123"/>
    <w:rsid w:val="00BB4136"/>
    <w:rsid w:val="00BB4138"/>
    <w:rsid w:val="00BB41ED"/>
    <w:rsid w:val="00BB421B"/>
    <w:rsid w:val="00BB4233"/>
    <w:rsid w:val="00BB4239"/>
    <w:rsid w:val="00BB42D6"/>
    <w:rsid w:val="00BB42D7"/>
    <w:rsid w:val="00BB42E1"/>
    <w:rsid w:val="00BB431B"/>
    <w:rsid w:val="00BB434B"/>
    <w:rsid w:val="00BB43A6"/>
    <w:rsid w:val="00BB43C4"/>
    <w:rsid w:val="00BB43DD"/>
    <w:rsid w:val="00BB4443"/>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8"/>
    <w:rsid w:val="00BB479D"/>
    <w:rsid w:val="00BB47E0"/>
    <w:rsid w:val="00BB47EC"/>
    <w:rsid w:val="00BB488B"/>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0C"/>
    <w:rsid w:val="00BB4D48"/>
    <w:rsid w:val="00BB4D95"/>
    <w:rsid w:val="00BB4DB1"/>
    <w:rsid w:val="00BB4E3C"/>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3A"/>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BD"/>
    <w:rsid w:val="00BB59C5"/>
    <w:rsid w:val="00BB5A39"/>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D"/>
    <w:rsid w:val="00BB5CFE"/>
    <w:rsid w:val="00BB5D38"/>
    <w:rsid w:val="00BB5DA8"/>
    <w:rsid w:val="00BB5DFF"/>
    <w:rsid w:val="00BB5E36"/>
    <w:rsid w:val="00BB5E5F"/>
    <w:rsid w:val="00BB5E81"/>
    <w:rsid w:val="00BB5E90"/>
    <w:rsid w:val="00BB5EDE"/>
    <w:rsid w:val="00BB5EF5"/>
    <w:rsid w:val="00BB5F39"/>
    <w:rsid w:val="00BB5F5E"/>
    <w:rsid w:val="00BB5F71"/>
    <w:rsid w:val="00BB5F93"/>
    <w:rsid w:val="00BB5FB2"/>
    <w:rsid w:val="00BB5FE3"/>
    <w:rsid w:val="00BB6004"/>
    <w:rsid w:val="00BB601F"/>
    <w:rsid w:val="00BB6066"/>
    <w:rsid w:val="00BB607D"/>
    <w:rsid w:val="00BB6087"/>
    <w:rsid w:val="00BB60DB"/>
    <w:rsid w:val="00BB60F8"/>
    <w:rsid w:val="00BB613F"/>
    <w:rsid w:val="00BB61F9"/>
    <w:rsid w:val="00BB621C"/>
    <w:rsid w:val="00BB624E"/>
    <w:rsid w:val="00BB6251"/>
    <w:rsid w:val="00BB625E"/>
    <w:rsid w:val="00BB629F"/>
    <w:rsid w:val="00BB6302"/>
    <w:rsid w:val="00BB6335"/>
    <w:rsid w:val="00BB6350"/>
    <w:rsid w:val="00BB6379"/>
    <w:rsid w:val="00BB63C9"/>
    <w:rsid w:val="00BB6407"/>
    <w:rsid w:val="00BB642C"/>
    <w:rsid w:val="00BB6444"/>
    <w:rsid w:val="00BB6472"/>
    <w:rsid w:val="00BB6530"/>
    <w:rsid w:val="00BB6589"/>
    <w:rsid w:val="00BB65EF"/>
    <w:rsid w:val="00BB65F3"/>
    <w:rsid w:val="00BB6628"/>
    <w:rsid w:val="00BB6636"/>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BF"/>
    <w:rsid w:val="00BB6AD4"/>
    <w:rsid w:val="00BB6B3F"/>
    <w:rsid w:val="00BB6B84"/>
    <w:rsid w:val="00BB6BCB"/>
    <w:rsid w:val="00BB6BEB"/>
    <w:rsid w:val="00BB6CC8"/>
    <w:rsid w:val="00BB6CFF"/>
    <w:rsid w:val="00BB6DA6"/>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E8"/>
    <w:rsid w:val="00BB71F8"/>
    <w:rsid w:val="00BB72E4"/>
    <w:rsid w:val="00BB7317"/>
    <w:rsid w:val="00BB738F"/>
    <w:rsid w:val="00BB7394"/>
    <w:rsid w:val="00BB73A1"/>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820"/>
    <w:rsid w:val="00BB789F"/>
    <w:rsid w:val="00BB793D"/>
    <w:rsid w:val="00BB7955"/>
    <w:rsid w:val="00BB7984"/>
    <w:rsid w:val="00BB79D1"/>
    <w:rsid w:val="00BB79ED"/>
    <w:rsid w:val="00BB79EF"/>
    <w:rsid w:val="00BB7A8E"/>
    <w:rsid w:val="00BB7BBA"/>
    <w:rsid w:val="00BB7BF3"/>
    <w:rsid w:val="00BB7BFA"/>
    <w:rsid w:val="00BB7C04"/>
    <w:rsid w:val="00BB7C49"/>
    <w:rsid w:val="00BB7C6A"/>
    <w:rsid w:val="00BB7C90"/>
    <w:rsid w:val="00BB7CDE"/>
    <w:rsid w:val="00BB7CF8"/>
    <w:rsid w:val="00BB7DEE"/>
    <w:rsid w:val="00BB7E33"/>
    <w:rsid w:val="00BB7E44"/>
    <w:rsid w:val="00BB7E4A"/>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48"/>
    <w:rsid w:val="00BC0634"/>
    <w:rsid w:val="00BC065E"/>
    <w:rsid w:val="00BC0688"/>
    <w:rsid w:val="00BC06C8"/>
    <w:rsid w:val="00BC0726"/>
    <w:rsid w:val="00BC0735"/>
    <w:rsid w:val="00BC07C1"/>
    <w:rsid w:val="00BC087C"/>
    <w:rsid w:val="00BC089E"/>
    <w:rsid w:val="00BC08A7"/>
    <w:rsid w:val="00BC08AF"/>
    <w:rsid w:val="00BC094C"/>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6B"/>
    <w:rsid w:val="00BC0C9B"/>
    <w:rsid w:val="00BC0CC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B7"/>
    <w:rsid w:val="00BC14FA"/>
    <w:rsid w:val="00BC1508"/>
    <w:rsid w:val="00BC152B"/>
    <w:rsid w:val="00BC1580"/>
    <w:rsid w:val="00BC15EF"/>
    <w:rsid w:val="00BC160E"/>
    <w:rsid w:val="00BC160F"/>
    <w:rsid w:val="00BC168E"/>
    <w:rsid w:val="00BC16A2"/>
    <w:rsid w:val="00BC16D1"/>
    <w:rsid w:val="00BC16E5"/>
    <w:rsid w:val="00BC16F7"/>
    <w:rsid w:val="00BC1787"/>
    <w:rsid w:val="00BC1793"/>
    <w:rsid w:val="00BC17FC"/>
    <w:rsid w:val="00BC1828"/>
    <w:rsid w:val="00BC1847"/>
    <w:rsid w:val="00BC190C"/>
    <w:rsid w:val="00BC191F"/>
    <w:rsid w:val="00BC194C"/>
    <w:rsid w:val="00BC1951"/>
    <w:rsid w:val="00BC1978"/>
    <w:rsid w:val="00BC19A9"/>
    <w:rsid w:val="00BC19CA"/>
    <w:rsid w:val="00BC19DA"/>
    <w:rsid w:val="00BC19F8"/>
    <w:rsid w:val="00BC1A11"/>
    <w:rsid w:val="00BC1A1A"/>
    <w:rsid w:val="00BC1A74"/>
    <w:rsid w:val="00BC1AFB"/>
    <w:rsid w:val="00BC1B58"/>
    <w:rsid w:val="00BC1B7A"/>
    <w:rsid w:val="00BC1B81"/>
    <w:rsid w:val="00BC1B89"/>
    <w:rsid w:val="00BC1BF4"/>
    <w:rsid w:val="00BC1CED"/>
    <w:rsid w:val="00BC1D1A"/>
    <w:rsid w:val="00BC1D5E"/>
    <w:rsid w:val="00BC1D7B"/>
    <w:rsid w:val="00BC1D8E"/>
    <w:rsid w:val="00BC1DE1"/>
    <w:rsid w:val="00BC1E1A"/>
    <w:rsid w:val="00BC1E84"/>
    <w:rsid w:val="00BC1E9D"/>
    <w:rsid w:val="00BC1EC9"/>
    <w:rsid w:val="00BC1FB4"/>
    <w:rsid w:val="00BC1FB6"/>
    <w:rsid w:val="00BC200F"/>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AD"/>
    <w:rsid w:val="00BC23EF"/>
    <w:rsid w:val="00BC245B"/>
    <w:rsid w:val="00BC246E"/>
    <w:rsid w:val="00BC2471"/>
    <w:rsid w:val="00BC247E"/>
    <w:rsid w:val="00BC2480"/>
    <w:rsid w:val="00BC2484"/>
    <w:rsid w:val="00BC24B7"/>
    <w:rsid w:val="00BC24E1"/>
    <w:rsid w:val="00BC2506"/>
    <w:rsid w:val="00BC252C"/>
    <w:rsid w:val="00BC25BB"/>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A52"/>
    <w:rsid w:val="00BC2A67"/>
    <w:rsid w:val="00BC2AA8"/>
    <w:rsid w:val="00BC2AE4"/>
    <w:rsid w:val="00BC2B06"/>
    <w:rsid w:val="00BC2B31"/>
    <w:rsid w:val="00BC2B52"/>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5E"/>
    <w:rsid w:val="00BC31E8"/>
    <w:rsid w:val="00BC3238"/>
    <w:rsid w:val="00BC3281"/>
    <w:rsid w:val="00BC32DD"/>
    <w:rsid w:val="00BC32DE"/>
    <w:rsid w:val="00BC3311"/>
    <w:rsid w:val="00BC33BD"/>
    <w:rsid w:val="00BC346A"/>
    <w:rsid w:val="00BC3484"/>
    <w:rsid w:val="00BC348D"/>
    <w:rsid w:val="00BC34D8"/>
    <w:rsid w:val="00BC355D"/>
    <w:rsid w:val="00BC3573"/>
    <w:rsid w:val="00BC364B"/>
    <w:rsid w:val="00BC367A"/>
    <w:rsid w:val="00BC369B"/>
    <w:rsid w:val="00BC36EB"/>
    <w:rsid w:val="00BC3748"/>
    <w:rsid w:val="00BC375D"/>
    <w:rsid w:val="00BC376D"/>
    <w:rsid w:val="00BC37A6"/>
    <w:rsid w:val="00BC37A7"/>
    <w:rsid w:val="00BC37C4"/>
    <w:rsid w:val="00BC3814"/>
    <w:rsid w:val="00BC3819"/>
    <w:rsid w:val="00BC384F"/>
    <w:rsid w:val="00BC3857"/>
    <w:rsid w:val="00BC3934"/>
    <w:rsid w:val="00BC393E"/>
    <w:rsid w:val="00BC3950"/>
    <w:rsid w:val="00BC3981"/>
    <w:rsid w:val="00BC3995"/>
    <w:rsid w:val="00BC39B4"/>
    <w:rsid w:val="00BC39B8"/>
    <w:rsid w:val="00BC39CE"/>
    <w:rsid w:val="00BC39F0"/>
    <w:rsid w:val="00BC3AB9"/>
    <w:rsid w:val="00BC3ADA"/>
    <w:rsid w:val="00BC3B1C"/>
    <w:rsid w:val="00BC3B70"/>
    <w:rsid w:val="00BC3B94"/>
    <w:rsid w:val="00BC3BCA"/>
    <w:rsid w:val="00BC3BF2"/>
    <w:rsid w:val="00BC3C7F"/>
    <w:rsid w:val="00BC3C97"/>
    <w:rsid w:val="00BC3CB4"/>
    <w:rsid w:val="00BC3CFD"/>
    <w:rsid w:val="00BC3D40"/>
    <w:rsid w:val="00BC3DAB"/>
    <w:rsid w:val="00BC3DAF"/>
    <w:rsid w:val="00BC3DE4"/>
    <w:rsid w:val="00BC3EEF"/>
    <w:rsid w:val="00BC3F57"/>
    <w:rsid w:val="00BC3F67"/>
    <w:rsid w:val="00BC3F70"/>
    <w:rsid w:val="00BC3FCB"/>
    <w:rsid w:val="00BC3FEA"/>
    <w:rsid w:val="00BC409F"/>
    <w:rsid w:val="00BC40EE"/>
    <w:rsid w:val="00BC411F"/>
    <w:rsid w:val="00BC412E"/>
    <w:rsid w:val="00BC413D"/>
    <w:rsid w:val="00BC41EA"/>
    <w:rsid w:val="00BC41F6"/>
    <w:rsid w:val="00BC4209"/>
    <w:rsid w:val="00BC4238"/>
    <w:rsid w:val="00BC427E"/>
    <w:rsid w:val="00BC42D7"/>
    <w:rsid w:val="00BC4350"/>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A7"/>
    <w:rsid w:val="00BC4EB1"/>
    <w:rsid w:val="00BC4F37"/>
    <w:rsid w:val="00BC4F6E"/>
    <w:rsid w:val="00BC4F77"/>
    <w:rsid w:val="00BC4FE7"/>
    <w:rsid w:val="00BC4FFC"/>
    <w:rsid w:val="00BC5026"/>
    <w:rsid w:val="00BC5058"/>
    <w:rsid w:val="00BC50B3"/>
    <w:rsid w:val="00BC50DC"/>
    <w:rsid w:val="00BC50F2"/>
    <w:rsid w:val="00BC5104"/>
    <w:rsid w:val="00BC5155"/>
    <w:rsid w:val="00BC5160"/>
    <w:rsid w:val="00BC5172"/>
    <w:rsid w:val="00BC517C"/>
    <w:rsid w:val="00BC51DF"/>
    <w:rsid w:val="00BC520C"/>
    <w:rsid w:val="00BC524D"/>
    <w:rsid w:val="00BC526D"/>
    <w:rsid w:val="00BC52A3"/>
    <w:rsid w:val="00BC52C8"/>
    <w:rsid w:val="00BC52D8"/>
    <w:rsid w:val="00BC52FF"/>
    <w:rsid w:val="00BC5300"/>
    <w:rsid w:val="00BC5305"/>
    <w:rsid w:val="00BC542A"/>
    <w:rsid w:val="00BC5449"/>
    <w:rsid w:val="00BC547E"/>
    <w:rsid w:val="00BC548D"/>
    <w:rsid w:val="00BC54A3"/>
    <w:rsid w:val="00BC5529"/>
    <w:rsid w:val="00BC55EF"/>
    <w:rsid w:val="00BC55F3"/>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57"/>
    <w:rsid w:val="00BC5B99"/>
    <w:rsid w:val="00BC5BD9"/>
    <w:rsid w:val="00BC5C49"/>
    <w:rsid w:val="00BC5C9C"/>
    <w:rsid w:val="00BC5CA8"/>
    <w:rsid w:val="00BC5CC7"/>
    <w:rsid w:val="00BC5D32"/>
    <w:rsid w:val="00BC5DAA"/>
    <w:rsid w:val="00BC5DCD"/>
    <w:rsid w:val="00BC5E00"/>
    <w:rsid w:val="00BC5E22"/>
    <w:rsid w:val="00BC5E82"/>
    <w:rsid w:val="00BC5EDA"/>
    <w:rsid w:val="00BC5EE6"/>
    <w:rsid w:val="00BC5F24"/>
    <w:rsid w:val="00BC5F92"/>
    <w:rsid w:val="00BC5FA8"/>
    <w:rsid w:val="00BC600A"/>
    <w:rsid w:val="00BC6026"/>
    <w:rsid w:val="00BC6094"/>
    <w:rsid w:val="00BC60D3"/>
    <w:rsid w:val="00BC6155"/>
    <w:rsid w:val="00BC6170"/>
    <w:rsid w:val="00BC61EB"/>
    <w:rsid w:val="00BC62B7"/>
    <w:rsid w:val="00BC6314"/>
    <w:rsid w:val="00BC6366"/>
    <w:rsid w:val="00BC636B"/>
    <w:rsid w:val="00BC6422"/>
    <w:rsid w:val="00BC642E"/>
    <w:rsid w:val="00BC647C"/>
    <w:rsid w:val="00BC64AD"/>
    <w:rsid w:val="00BC6502"/>
    <w:rsid w:val="00BC6547"/>
    <w:rsid w:val="00BC654A"/>
    <w:rsid w:val="00BC657C"/>
    <w:rsid w:val="00BC657F"/>
    <w:rsid w:val="00BC65C4"/>
    <w:rsid w:val="00BC6663"/>
    <w:rsid w:val="00BC668C"/>
    <w:rsid w:val="00BC66AC"/>
    <w:rsid w:val="00BC66B4"/>
    <w:rsid w:val="00BC66C8"/>
    <w:rsid w:val="00BC66FE"/>
    <w:rsid w:val="00BC670D"/>
    <w:rsid w:val="00BC6728"/>
    <w:rsid w:val="00BC6748"/>
    <w:rsid w:val="00BC676D"/>
    <w:rsid w:val="00BC6775"/>
    <w:rsid w:val="00BC67D5"/>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15"/>
    <w:rsid w:val="00BC6C98"/>
    <w:rsid w:val="00BC6CDA"/>
    <w:rsid w:val="00BC6D32"/>
    <w:rsid w:val="00BC6D38"/>
    <w:rsid w:val="00BC6D59"/>
    <w:rsid w:val="00BC6D5E"/>
    <w:rsid w:val="00BC6DA1"/>
    <w:rsid w:val="00BC6DB4"/>
    <w:rsid w:val="00BC6DF7"/>
    <w:rsid w:val="00BC6E45"/>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BF"/>
    <w:rsid w:val="00BC71E2"/>
    <w:rsid w:val="00BC722C"/>
    <w:rsid w:val="00BC725C"/>
    <w:rsid w:val="00BC7264"/>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96"/>
    <w:rsid w:val="00BC77A9"/>
    <w:rsid w:val="00BC783D"/>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5C"/>
    <w:rsid w:val="00BD007B"/>
    <w:rsid w:val="00BD00CB"/>
    <w:rsid w:val="00BD00FC"/>
    <w:rsid w:val="00BD0136"/>
    <w:rsid w:val="00BD016F"/>
    <w:rsid w:val="00BD0191"/>
    <w:rsid w:val="00BD01C2"/>
    <w:rsid w:val="00BD01E4"/>
    <w:rsid w:val="00BD020C"/>
    <w:rsid w:val="00BD023A"/>
    <w:rsid w:val="00BD029B"/>
    <w:rsid w:val="00BD02CB"/>
    <w:rsid w:val="00BD02DF"/>
    <w:rsid w:val="00BD02FE"/>
    <w:rsid w:val="00BD030A"/>
    <w:rsid w:val="00BD0318"/>
    <w:rsid w:val="00BD03BC"/>
    <w:rsid w:val="00BD0446"/>
    <w:rsid w:val="00BD047C"/>
    <w:rsid w:val="00BD04AA"/>
    <w:rsid w:val="00BD050A"/>
    <w:rsid w:val="00BD058B"/>
    <w:rsid w:val="00BD0607"/>
    <w:rsid w:val="00BD0610"/>
    <w:rsid w:val="00BD0628"/>
    <w:rsid w:val="00BD063C"/>
    <w:rsid w:val="00BD064D"/>
    <w:rsid w:val="00BD0692"/>
    <w:rsid w:val="00BD06C8"/>
    <w:rsid w:val="00BD0728"/>
    <w:rsid w:val="00BD0776"/>
    <w:rsid w:val="00BD0837"/>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D7C"/>
    <w:rsid w:val="00BD0DA3"/>
    <w:rsid w:val="00BD0DC9"/>
    <w:rsid w:val="00BD0E2C"/>
    <w:rsid w:val="00BD0F86"/>
    <w:rsid w:val="00BD0FA4"/>
    <w:rsid w:val="00BD0FBF"/>
    <w:rsid w:val="00BD0FD0"/>
    <w:rsid w:val="00BD0FDF"/>
    <w:rsid w:val="00BD1022"/>
    <w:rsid w:val="00BD1045"/>
    <w:rsid w:val="00BD1067"/>
    <w:rsid w:val="00BD10AD"/>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A"/>
    <w:rsid w:val="00BD14EC"/>
    <w:rsid w:val="00BD151E"/>
    <w:rsid w:val="00BD1543"/>
    <w:rsid w:val="00BD15BC"/>
    <w:rsid w:val="00BD161B"/>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BC"/>
    <w:rsid w:val="00BD1A42"/>
    <w:rsid w:val="00BD1A75"/>
    <w:rsid w:val="00BD1AE3"/>
    <w:rsid w:val="00BD1AFB"/>
    <w:rsid w:val="00BD1B1C"/>
    <w:rsid w:val="00BD1B21"/>
    <w:rsid w:val="00BD1B48"/>
    <w:rsid w:val="00BD1BD2"/>
    <w:rsid w:val="00BD1BEC"/>
    <w:rsid w:val="00BD1C35"/>
    <w:rsid w:val="00BD1C3E"/>
    <w:rsid w:val="00BD1C62"/>
    <w:rsid w:val="00BD1C90"/>
    <w:rsid w:val="00BD1CC7"/>
    <w:rsid w:val="00BD1CE8"/>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5"/>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A0"/>
    <w:rsid w:val="00BD23A7"/>
    <w:rsid w:val="00BD240D"/>
    <w:rsid w:val="00BD2410"/>
    <w:rsid w:val="00BD246E"/>
    <w:rsid w:val="00BD2470"/>
    <w:rsid w:val="00BD2485"/>
    <w:rsid w:val="00BD2486"/>
    <w:rsid w:val="00BD2492"/>
    <w:rsid w:val="00BD249A"/>
    <w:rsid w:val="00BD24E2"/>
    <w:rsid w:val="00BD24F2"/>
    <w:rsid w:val="00BD2570"/>
    <w:rsid w:val="00BD2572"/>
    <w:rsid w:val="00BD2579"/>
    <w:rsid w:val="00BD25B6"/>
    <w:rsid w:val="00BD2610"/>
    <w:rsid w:val="00BD2629"/>
    <w:rsid w:val="00BD2648"/>
    <w:rsid w:val="00BD273D"/>
    <w:rsid w:val="00BD2746"/>
    <w:rsid w:val="00BD274C"/>
    <w:rsid w:val="00BD2803"/>
    <w:rsid w:val="00BD284C"/>
    <w:rsid w:val="00BD286D"/>
    <w:rsid w:val="00BD2899"/>
    <w:rsid w:val="00BD28AA"/>
    <w:rsid w:val="00BD28F1"/>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42"/>
    <w:rsid w:val="00BD2D9E"/>
    <w:rsid w:val="00BD2DD9"/>
    <w:rsid w:val="00BD2E3E"/>
    <w:rsid w:val="00BD2F78"/>
    <w:rsid w:val="00BD2FA4"/>
    <w:rsid w:val="00BD2FAA"/>
    <w:rsid w:val="00BD3005"/>
    <w:rsid w:val="00BD300A"/>
    <w:rsid w:val="00BD300E"/>
    <w:rsid w:val="00BD3015"/>
    <w:rsid w:val="00BD3021"/>
    <w:rsid w:val="00BD3027"/>
    <w:rsid w:val="00BD3042"/>
    <w:rsid w:val="00BD304E"/>
    <w:rsid w:val="00BD3065"/>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DE"/>
    <w:rsid w:val="00BD33EB"/>
    <w:rsid w:val="00BD3410"/>
    <w:rsid w:val="00BD3424"/>
    <w:rsid w:val="00BD343A"/>
    <w:rsid w:val="00BD34A1"/>
    <w:rsid w:val="00BD3553"/>
    <w:rsid w:val="00BD357A"/>
    <w:rsid w:val="00BD3591"/>
    <w:rsid w:val="00BD3598"/>
    <w:rsid w:val="00BD35B2"/>
    <w:rsid w:val="00BD3623"/>
    <w:rsid w:val="00BD364C"/>
    <w:rsid w:val="00BD3686"/>
    <w:rsid w:val="00BD36E0"/>
    <w:rsid w:val="00BD36F3"/>
    <w:rsid w:val="00BD37F3"/>
    <w:rsid w:val="00BD3818"/>
    <w:rsid w:val="00BD3885"/>
    <w:rsid w:val="00BD38B5"/>
    <w:rsid w:val="00BD38CB"/>
    <w:rsid w:val="00BD38FF"/>
    <w:rsid w:val="00BD3931"/>
    <w:rsid w:val="00BD393B"/>
    <w:rsid w:val="00BD396B"/>
    <w:rsid w:val="00BD3970"/>
    <w:rsid w:val="00BD3973"/>
    <w:rsid w:val="00BD397A"/>
    <w:rsid w:val="00BD397E"/>
    <w:rsid w:val="00BD3A0D"/>
    <w:rsid w:val="00BD3A33"/>
    <w:rsid w:val="00BD3A8B"/>
    <w:rsid w:val="00BD3A94"/>
    <w:rsid w:val="00BD3ADD"/>
    <w:rsid w:val="00BD3B06"/>
    <w:rsid w:val="00BD3B38"/>
    <w:rsid w:val="00BD3B46"/>
    <w:rsid w:val="00BD3B88"/>
    <w:rsid w:val="00BD3BC2"/>
    <w:rsid w:val="00BD3C31"/>
    <w:rsid w:val="00BD3C88"/>
    <w:rsid w:val="00BD3CBE"/>
    <w:rsid w:val="00BD3CE4"/>
    <w:rsid w:val="00BD3DDC"/>
    <w:rsid w:val="00BD3E11"/>
    <w:rsid w:val="00BD3E32"/>
    <w:rsid w:val="00BD3E6C"/>
    <w:rsid w:val="00BD3F6D"/>
    <w:rsid w:val="00BD3F91"/>
    <w:rsid w:val="00BD3FB7"/>
    <w:rsid w:val="00BD400B"/>
    <w:rsid w:val="00BD4012"/>
    <w:rsid w:val="00BD405D"/>
    <w:rsid w:val="00BD4064"/>
    <w:rsid w:val="00BD409A"/>
    <w:rsid w:val="00BD40A7"/>
    <w:rsid w:val="00BD412A"/>
    <w:rsid w:val="00BD41E6"/>
    <w:rsid w:val="00BD420F"/>
    <w:rsid w:val="00BD4236"/>
    <w:rsid w:val="00BD42A8"/>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65F"/>
    <w:rsid w:val="00BD46E1"/>
    <w:rsid w:val="00BD46EF"/>
    <w:rsid w:val="00BD46FB"/>
    <w:rsid w:val="00BD47AF"/>
    <w:rsid w:val="00BD47CB"/>
    <w:rsid w:val="00BD47DF"/>
    <w:rsid w:val="00BD4806"/>
    <w:rsid w:val="00BD480A"/>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8D"/>
    <w:rsid w:val="00BD4BC2"/>
    <w:rsid w:val="00BD4BD7"/>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0"/>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5F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D8"/>
    <w:rsid w:val="00BD58F3"/>
    <w:rsid w:val="00BD58FB"/>
    <w:rsid w:val="00BD5904"/>
    <w:rsid w:val="00BD591B"/>
    <w:rsid w:val="00BD5A35"/>
    <w:rsid w:val="00BD5A3A"/>
    <w:rsid w:val="00BD5AE3"/>
    <w:rsid w:val="00BD5B0C"/>
    <w:rsid w:val="00BD5B40"/>
    <w:rsid w:val="00BD5B80"/>
    <w:rsid w:val="00BD5BB8"/>
    <w:rsid w:val="00BD5BCC"/>
    <w:rsid w:val="00BD5BD7"/>
    <w:rsid w:val="00BD5BF3"/>
    <w:rsid w:val="00BD5BFD"/>
    <w:rsid w:val="00BD5C89"/>
    <w:rsid w:val="00BD5CC9"/>
    <w:rsid w:val="00BD5CEA"/>
    <w:rsid w:val="00BD5D7E"/>
    <w:rsid w:val="00BD5D8C"/>
    <w:rsid w:val="00BD5D91"/>
    <w:rsid w:val="00BD5D9B"/>
    <w:rsid w:val="00BD5DA5"/>
    <w:rsid w:val="00BD5E1A"/>
    <w:rsid w:val="00BD5EEE"/>
    <w:rsid w:val="00BD5EF7"/>
    <w:rsid w:val="00BD5F1B"/>
    <w:rsid w:val="00BD5F52"/>
    <w:rsid w:val="00BD5F6F"/>
    <w:rsid w:val="00BD5F89"/>
    <w:rsid w:val="00BD5FB9"/>
    <w:rsid w:val="00BD5FE2"/>
    <w:rsid w:val="00BD6015"/>
    <w:rsid w:val="00BD608D"/>
    <w:rsid w:val="00BD6097"/>
    <w:rsid w:val="00BD61AB"/>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80"/>
    <w:rsid w:val="00BD649E"/>
    <w:rsid w:val="00BD64EA"/>
    <w:rsid w:val="00BD64F0"/>
    <w:rsid w:val="00BD6505"/>
    <w:rsid w:val="00BD653F"/>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916"/>
    <w:rsid w:val="00BD6931"/>
    <w:rsid w:val="00BD69CA"/>
    <w:rsid w:val="00BD6A3D"/>
    <w:rsid w:val="00BD6AA1"/>
    <w:rsid w:val="00BD6AAA"/>
    <w:rsid w:val="00BD6AB7"/>
    <w:rsid w:val="00BD6ACB"/>
    <w:rsid w:val="00BD6AD1"/>
    <w:rsid w:val="00BD6BA5"/>
    <w:rsid w:val="00BD6BD4"/>
    <w:rsid w:val="00BD6CA7"/>
    <w:rsid w:val="00BD6D16"/>
    <w:rsid w:val="00BD6D1C"/>
    <w:rsid w:val="00BD6D82"/>
    <w:rsid w:val="00BD6E75"/>
    <w:rsid w:val="00BD6ECA"/>
    <w:rsid w:val="00BD6ED6"/>
    <w:rsid w:val="00BD6F45"/>
    <w:rsid w:val="00BD6F4B"/>
    <w:rsid w:val="00BD6F9B"/>
    <w:rsid w:val="00BD7039"/>
    <w:rsid w:val="00BD7087"/>
    <w:rsid w:val="00BD70E5"/>
    <w:rsid w:val="00BD7275"/>
    <w:rsid w:val="00BD729B"/>
    <w:rsid w:val="00BD72BC"/>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939"/>
    <w:rsid w:val="00BD7948"/>
    <w:rsid w:val="00BD7973"/>
    <w:rsid w:val="00BD7987"/>
    <w:rsid w:val="00BD79C8"/>
    <w:rsid w:val="00BD79CE"/>
    <w:rsid w:val="00BD79E8"/>
    <w:rsid w:val="00BD7A21"/>
    <w:rsid w:val="00BD7A5E"/>
    <w:rsid w:val="00BD7AA4"/>
    <w:rsid w:val="00BD7B18"/>
    <w:rsid w:val="00BD7B89"/>
    <w:rsid w:val="00BD7B9D"/>
    <w:rsid w:val="00BD7BE7"/>
    <w:rsid w:val="00BD7C2D"/>
    <w:rsid w:val="00BD7C74"/>
    <w:rsid w:val="00BD7C8A"/>
    <w:rsid w:val="00BD7CB2"/>
    <w:rsid w:val="00BD7D02"/>
    <w:rsid w:val="00BD7D15"/>
    <w:rsid w:val="00BD7DA3"/>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386"/>
    <w:rsid w:val="00BE042E"/>
    <w:rsid w:val="00BE0462"/>
    <w:rsid w:val="00BE047E"/>
    <w:rsid w:val="00BE049B"/>
    <w:rsid w:val="00BE0528"/>
    <w:rsid w:val="00BE0532"/>
    <w:rsid w:val="00BE054E"/>
    <w:rsid w:val="00BE055C"/>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DDA"/>
    <w:rsid w:val="00BE0E1B"/>
    <w:rsid w:val="00BE0E3E"/>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30B"/>
    <w:rsid w:val="00BE133F"/>
    <w:rsid w:val="00BE1344"/>
    <w:rsid w:val="00BE1346"/>
    <w:rsid w:val="00BE1381"/>
    <w:rsid w:val="00BE13D8"/>
    <w:rsid w:val="00BE13DF"/>
    <w:rsid w:val="00BE13F8"/>
    <w:rsid w:val="00BE13F9"/>
    <w:rsid w:val="00BE1412"/>
    <w:rsid w:val="00BE1502"/>
    <w:rsid w:val="00BE1508"/>
    <w:rsid w:val="00BE1535"/>
    <w:rsid w:val="00BE1547"/>
    <w:rsid w:val="00BE155B"/>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C9"/>
    <w:rsid w:val="00BE1C21"/>
    <w:rsid w:val="00BE1C2C"/>
    <w:rsid w:val="00BE1C63"/>
    <w:rsid w:val="00BE1C75"/>
    <w:rsid w:val="00BE1D3A"/>
    <w:rsid w:val="00BE1DA2"/>
    <w:rsid w:val="00BE1E15"/>
    <w:rsid w:val="00BE1E2E"/>
    <w:rsid w:val="00BE1E30"/>
    <w:rsid w:val="00BE1E5D"/>
    <w:rsid w:val="00BE1F05"/>
    <w:rsid w:val="00BE1FD7"/>
    <w:rsid w:val="00BE203F"/>
    <w:rsid w:val="00BE2046"/>
    <w:rsid w:val="00BE2069"/>
    <w:rsid w:val="00BE20A1"/>
    <w:rsid w:val="00BE20A4"/>
    <w:rsid w:val="00BE20CB"/>
    <w:rsid w:val="00BE210C"/>
    <w:rsid w:val="00BE2119"/>
    <w:rsid w:val="00BE2174"/>
    <w:rsid w:val="00BE230C"/>
    <w:rsid w:val="00BE231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BF4"/>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7C"/>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4"/>
    <w:rsid w:val="00BE39D7"/>
    <w:rsid w:val="00BE39D9"/>
    <w:rsid w:val="00BE39F3"/>
    <w:rsid w:val="00BE3A5D"/>
    <w:rsid w:val="00BE3A77"/>
    <w:rsid w:val="00BE3A8A"/>
    <w:rsid w:val="00BE3A8F"/>
    <w:rsid w:val="00BE3AD5"/>
    <w:rsid w:val="00BE3ADD"/>
    <w:rsid w:val="00BE3B41"/>
    <w:rsid w:val="00BE3B48"/>
    <w:rsid w:val="00BE3B55"/>
    <w:rsid w:val="00BE3BC5"/>
    <w:rsid w:val="00BE3BC9"/>
    <w:rsid w:val="00BE3C05"/>
    <w:rsid w:val="00BE3C32"/>
    <w:rsid w:val="00BE3C37"/>
    <w:rsid w:val="00BE3C54"/>
    <w:rsid w:val="00BE3C9D"/>
    <w:rsid w:val="00BE3CFB"/>
    <w:rsid w:val="00BE3D0A"/>
    <w:rsid w:val="00BE3D1B"/>
    <w:rsid w:val="00BE3DCE"/>
    <w:rsid w:val="00BE3E2C"/>
    <w:rsid w:val="00BE3E54"/>
    <w:rsid w:val="00BE3E5E"/>
    <w:rsid w:val="00BE3E76"/>
    <w:rsid w:val="00BE3EA8"/>
    <w:rsid w:val="00BE3EAC"/>
    <w:rsid w:val="00BE3EBB"/>
    <w:rsid w:val="00BE3F26"/>
    <w:rsid w:val="00BE3F63"/>
    <w:rsid w:val="00BE3FC3"/>
    <w:rsid w:val="00BE4002"/>
    <w:rsid w:val="00BE4047"/>
    <w:rsid w:val="00BE406B"/>
    <w:rsid w:val="00BE40F3"/>
    <w:rsid w:val="00BE4136"/>
    <w:rsid w:val="00BE4199"/>
    <w:rsid w:val="00BE419E"/>
    <w:rsid w:val="00BE41EF"/>
    <w:rsid w:val="00BE4200"/>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A"/>
    <w:rsid w:val="00BE4A8D"/>
    <w:rsid w:val="00BE4AA2"/>
    <w:rsid w:val="00BE4AC9"/>
    <w:rsid w:val="00BE4AD3"/>
    <w:rsid w:val="00BE4B8F"/>
    <w:rsid w:val="00BE4B97"/>
    <w:rsid w:val="00BE4BB1"/>
    <w:rsid w:val="00BE4BFD"/>
    <w:rsid w:val="00BE4C10"/>
    <w:rsid w:val="00BE4C34"/>
    <w:rsid w:val="00BE4CD8"/>
    <w:rsid w:val="00BE4CE3"/>
    <w:rsid w:val="00BE4D2A"/>
    <w:rsid w:val="00BE4D36"/>
    <w:rsid w:val="00BE4DBB"/>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4E9"/>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E"/>
    <w:rsid w:val="00BE58D0"/>
    <w:rsid w:val="00BE5971"/>
    <w:rsid w:val="00BE597C"/>
    <w:rsid w:val="00BE59AD"/>
    <w:rsid w:val="00BE5A22"/>
    <w:rsid w:val="00BE5A49"/>
    <w:rsid w:val="00BE5AA5"/>
    <w:rsid w:val="00BE5AA6"/>
    <w:rsid w:val="00BE5B07"/>
    <w:rsid w:val="00BE5B39"/>
    <w:rsid w:val="00BE5B9C"/>
    <w:rsid w:val="00BE5C4B"/>
    <w:rsid w:val="00BE5C8F"/>
    <w:rsid w:val="00BE5CB6"/>
    <w:rsid w:val="00BE5CD1"/>
    <w:rsid w:val="00BE5D39"/>
    <w:rsid w:val="00BE5D64"/>
    <w:rsid w:val="00BE5D91"/>
    <w:rsid w:val="00BE5D97"/>
    <w:rsid w:val="00BE5E54"/>
    <w:rsid w:val="00BE5EA6"/>
    <w:rsid w:val="00BE5EC7"/>
    <w:rsid w:val="00BE5ED1"/>
    <w:rsid w:val="00BE5EF5"/>
    <w:rsid w:val="00BE5EFC"/>
    <w:rsid w:val="00BE5F07"/>
    <w:rsid w:val="00BE5F14"/>
    <w:rsid w:val="00BE5F1C"/>
    <w:rsid w:val="00BE5F2D"/>
    <w:rsid w:val="00BE5F8F"/>
    <w:rsid w:val="00BE5FC4"/>
    <w:rsid w:val="00BE5FDB"/>
    <w:rsid w:val="00BE600F"/>
    <w:rsid w:val="00BE6033"/>
    <w:rsid w:val="00BE6045"/>
    <w:rsid w:val="00BE6086"/>
    <w:rsid w:val="00BE60B0"/>
    <w:rsid w:val="00BE60D9"/>
    <w:rsid w:val="00BE60E8"/>
    <w:rsid w:val="00BE6100"/>
    <w:rsid w:val="00BE6151"/>
    <w:rsid w:val="00BE617A"/>
    <w:rsid w:val="00BE61E3"/>
    <w:rsid w:val="00BE6242"/>
    <w:rsid w:val="00BE6246"/>
    <w:rsid w:val="00BE62EA"/>
    <w:rsid w:val="00BE6331"/>
    <w:rsid w:val="00BE6397"/>
    <w:rsid w:val="00BE639B"/>
    <w:rsid w:val="00BE63BA"/>
    <w:rsid w:val="00BE6420"/>
    <w:rsid w:val="00BE643D"/>
    <w:rsid w:val="00BE6474"/>
    <w:rsid w:val="00BE64A8"/>
    <w:rsid w:val="00BE64C8"/>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FB"/>
    <w:rsid w:val="00BE684F"/>
    <w:rsid w:val="00BE68CF"/>
    <w:rsid w:val="00BE68DC"/>
    <w:rsid w:val="00BE68DD"/>
    <w:rsid w:val="00BE6954"/>
    <w:rsid w:val="00BE6958"/>
    <w:rsid w:val="00BE6986"/>
    <w:rsid w:val="00BE69FD"/>
    <w:rsid w:val="00BE6A0C"/>
    <w:rsid w:val="00BE6A85"/>
    <w:rsid w:val="00BE6A9F"/>
    <w:rsid w:val="00BE6ABF"/>
    <w:rsid w:val="00BE6B40"/>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7A"/>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F7"/>
    <w:rsid w:val="00BE7100"/>
    <w:rsid w:val="00BE7170"/>
    <w:rsid w:val="00BE7194"/>
    <w:rsid w:val="00BE7199"/>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7F"/>
    <w:rsid w:val="00BE7BDB"/>
    <w:rsid w:val="00BE7BF0"/>
    <w:rsid w:val="00BE7BF5"/>
    <w:rsid w:val="00BE7C8C"/>
    <w:rsid w:val="00BE7CE6"/>
    <w:rsid w:val="00BE7D87"/>
    <w:rsid w:val="00BE7D93"/>
    <w:rsid w:val="00BE7DAE"/>
    <w:rsid w:val="00BE7DB3"/>
    <w:rsid w:val="00BE7E24"/>
    <w:rsid w:val="00BE7E65"/>
    <w:rsid w:val="00BE7E9D"/>
    <w:rsid w:val="00BE7EEE"/>
    <w:rsid w:val="00BE7F7B"/>
    <w:rsid w:val="00BE7FD0"/>
    <w:rsid w:val="00BF002F"/>
    <w:rsid w:val="00BF0048"/>
    <w:rsid w:val="00BF0064"/>
    <w:rsid w:val="00BF00A5"/>
    <w:rsid w:val="00BF00CA"/>
    <w:rsid w:val="00BF01C7"/>
    <w:rsid w:val="00BF01E0"/>
    <w:rsid w:val="00BF01EE"/>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5E"/>
    <w:rsid w:val="00BF0A9C"/>
    <w:rsid w:val="00BF0A9D"/>
    <w:rsid w:val="00BF0B5A"/>
    <w:rsid w:val="00BF0BBB"/>
    <w:rsid w:val="00BF0BC4"/>
    <w:rsid w:val="00BF0C03"/>
    <w:rsid w:val="00BF0C0C"/>
    <w:rsid w:val="00BF0C56"/>
    <w:rsid w:val="00BF0C67"/>
    <w:rsid w:val="00BF0CA2"/>
    <w:rsid w:val="00BF0D0C"/>
    <w:rsid w:val="00BF0D49"/>
    <w:rsid w:val="00BF0D81"/>
    <w:rsid w:val="00BF0DD3"/>
    <w:rsid w:val="00BF0DD7"/>
    <w:rsid w:val="00BF0E0E"/>
    <w:rsid w:val="00BF0E6B"/>
    <w:rsid w:val="00BF0EA5"/>
    <w:rsid w:val="00BF0EEE"/>
    <w:rsid w:val="00BF0EF1"/>
    <w:rsid w:val="00BF0EF8"/>
    <w:rsid w:val="00BF0F00"/>
    <w:rsid w:val="00BF0F01"/>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46B"/>
    <w:rsid w:val="00BF14C5"/>
    <w:rsid w:val="00BF14F1"/>
    <w:rsid w:val="00BF14F3"/>
    <w:rsid w:val="00BF14FB"/>
    <w:rsid w:val="00BF155B"/>
    <w:rsid w:val="00BF1579"/>
    <w:rsid w:val="00BF158A"/>
    <w:rsid w:val="00BF1599"/>
    <w:rsid w:val="00BF15A1"/>
    <w:rsid w:val="00BF15DE"/>
    <w:rsid w:val="00BF15E2"/>
    <w:rsid w:val="00BF1604"/>
    <w:rsid w:val="00BF161F"/>
    <w:rsid w:val="00BF164E"/>
    <w:rsid w:val="00BF165D"/>
    <w:rsid w:val="00BF168F"/>
    <w:rsid w:val="00BF170E"/>
    <w:rsid w:val="00BF1740"/>
    <w:rsid w:val="00BF179A"/>
    <w:rsid w:val="00BF17CF"/>
    <w:rsid w:val="00BF1811"/>
    <w:rsid w:val="00BF181D"/>
    <w:rsid w:val="00BF1859"/>
    <w:rsid w:val="00BF185E"/>
    <w:rsid w:val="00BF188E"/>
    <w:rsid w:val="00BF1911"/>
    <w:rsid w:val="00BF1939"/>
    <w:rsid w:val="00BF195E"/>
    <w:rsid w:val="00BF198D"/>
    <w:rsid w:val="00BF19FD"/>
    <w:rsid w:val="00BF1A36"/>
    <w:rsid w:val="00BF1A54"/>
    <w:rsid w:val="00BF1A67"/>
    <w:rsid w:val="00BF1A75"/>
    <w:rsid w:val="00BF1AC3"/>
    <w:rsid w:val="00BF1AD4"/>
    <w:rsid w:val="00BF1ADA"/>
    <w:rsid w:val="00BF1AF3"/>
    <w:rsid w:val="00BF1B21"/>
    <w:rsid w:val="00BF1B9B"/>
    <w:rsid w:val="00BF1C5B"/>
    <w:rsid w:val="00BF1C9A"/>
    <w:rsid w:val="00BF1CBE"/>
    <w:rsid w:val="00BF1CC9"/>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AC"/>
    <w:rsid w:val="00BF1FC0"/>
    <w:rsid w:val="00BF1FCA"/>
    <w:rsid w:val="00BF2022"/>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B2"/>
    <w:rsid w:val="00BF274A"/>
    <w:rsid w:val="00BF2773"/>
    <w:rsid w:val="00BF285F"/>
    <w:rsid w:val="00BF2871"/>
    <w:rsid w:val="00BF2895"/>
    <w:rsid w:val="00BF2929"/>
    <w:rsid w:val="00BF2933"/>
    <w:rsid w:val="00BF2959"/>
    <w:rsid w:val="00BF2977"/>
    <w:rsid w:val="00BF298A"/>
    <w:rsid w:val="00BF29AD"/>
    <w:rsid w:val="00BF29B3"/>
    <w:rsid w:val="00BF29B5"/>
    <w:rsid w:val="00BF29DC"/>
    <w:rsid w:val="00BF29E5"/>
    <w:rsid w:val="00BF29E9"/>
    <w:rsid w:val="00BF2A6D"/>
    <w:rsid w:val="00BF2A8A"/>
    <w:rsid w:val="00BF2B11"/>
    <w:rsid w:val="00BF2B5D"/>
    <w:rsid w:val="00BF2B5F"/>
    <w:rsid w:val="00BF2D2F"/>
    <w:rsid w:val="00BF2D33"/>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53"/>
    <w:rsid w:val="00BF397A"/>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3C"/>
    <w:rsid w:val="00BF3E58"/>
    <w:rsid w:val="00BF3E5D"/>
    <w:rsid w:val="00BF3F2B"/>
    <w:rsid w:val="00BF3F73"/>
    <w:rsid w:val="00BF3F74"/>
    <w:rsid w:val="00BF3FC5"/>
    <w:rsid w:val="00BF3FE2"/>
    <w:rsid w:val="00BF3FF9"/>
    <w:rsid w:val="00BF3FFF"/>
    <w:rsid w:val="00BF4046"/>
    <w:rsid w:val="00BF4063"/>
    <w:rsid w:val="00BF4084"/>
    <w:rsid w:val="00BF40A3"/>
    <w:rsid w:val="00BF40E5"/>
    <w:rsid w:val="00BF4119"/>
    <w:rsid w:val="00BF414B"/>
    <w:rsid w:val="00BF415B"/>
    <w:rsid w:val="00BF419F"/>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91"/>
    <w:rsid w:val="00BF4FD6"/>
    <w:rsid w:val="00BF501C"/>
    <w:rsid w:val="00BF5067"/>
    <w:rsid w:val="00BF50A2"/>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B8"/>
    <w:rsid w:val="00BF5503"/>
    <w:rsid w:val="00BF5513"/>
    <w:rsid w:val="00BF5535"/>
    <w:rsid w:val="00BF557A"/>
    <w:rsid w:val="00BF55FA"/>
    <w:rsid w:val="00BF5619"/>
    <w:rsid w:val="00BF5666"/>
    <w:rsid w:val="00BF5690"/>
    <w:rsid w:val="00BF5752"/>
    <w:rsid w:val="00BF5766"/>
    <w:rsid w:val="00BF5815"/>
    <w:rsid w:val="00BF5831"/>
    <w:rsid w:val="00BF5856"/>
    <w:rsid w:val="00BF5858"/>
    <w:rsid w:val="00BF5870"/>
    <w:rsid w:val="00BF58CE"/>
    <w:rsid w:val="00BF58E7"/>
    <w:rsid w:val="00BF58E9"/>
    <w:rsid w:val="00BF593A"/>
    <w:rsid w:val="00BF5940"/>
    <w:rsid w:val="00BF596F"/>
    <w:rsid w:val="00BF5A49"/>
    <w:rsid w:val="00BF5AD9"/>
    <w:rsid w:val="00BF5AE9"/>
    <w:rsid w:val="00BF5AEB"/>
    <w:rsid w:val="00BF5B24"/>
    <w:rsid w:val="00BF5B8F"/>
    <w:rsid w:val="00BF5BA7"/>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F1"/>
    <w:rsid w:val="00BF6146"/>
    <w:rsid w:val="00BF6179"/>
    <w:rsid w:val="00BF620C"/>
    <w:rsid w:val="00BF6220"/>
    <w:rsid w:val="00BF623D"/>
    <w:rsid w:val="00BF625C"/>
    <w:rsid w:val="00BF6264"/>
    <w:rsid w:val="00BF628B"/>
    <w:rsid w:val="00BF62BF"/>
    <w:rsid w:val="00BF62E2"/>
    <w:rsid w:val="00BF631B"/>
    <w:rsid w:val="00BF637B"/>
    <w:rsid w:val="00BF638B"/>
    <w:rsid w:val="00BF63C2"/>
    <w:rsid w:val="00BF63E0"/>
    <w:rsid w:val="00BF641E"/>
    <w:rsid w:val="00BF6428"/>
    <w:rsid w:val="00BF6459"/>
    <w:rsid w:val="00BF64A2"/>
    <w:rsid w:val="00BF6514"/>
    <w:rsid w:val="00BF6516"/>
    <w:rsid w:val="00BF6527"/>
    <w:rsid w:val="00BF655C"/>
    <w:rsid w:val="00BF65A5"/>
    <w:rsid w:val="00BF65B4"/>
    <w:rsid w:val="00BF65B7"/>
    <w:rsid w:val="00BF672D"/>
    <w:rsid w:val="00BF6740"/>
    <w:rsid w:val="00BF6747"/>
    <w:rsid w:val="00BF6752"/>
    <w:rsid w:val="00BF679F"/>
    <w:rsid w:val="00BF67D5"/>
    <w:rsid w:val="00BF67FF"/>
    <w:rsid w:val="00BF6806"/>
    <w:rsid w:val="00BF68A4"/>
    <w:rsid w:val="00BF68D6"/>
    <w:rsid w:val="00BF6997"/>
    <w:rsid w:val="00BF69AD"/>
    <w:rsid w:val="00BF69BC"/>
    <w:rsid w:val="00BF69D5"/>
    <w:rsid w:val="00BF6AF3"/>
    <w:rsid w:val="00BF6B30"/>
    <w:rsid w:val="00BF6BB2"/>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88"/>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43"/>
    <w:rsid w:val="00BF7953"/>
    <w:rsid w:val="00BF798C"/>
    <w:rsid w:val="00BF7998"/>
    <w:rsid w:val="00BF79F4"/>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72"/>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195"/>
    <w:rsid w:val="00C00200"/>
    <w:rsid w:val="00C00221"/>
    <w:rsid w:val="00C00236"/>
    <w:rsid w:val="00C0023A"/>
    <w:rsid w:val="00C00266"/>
    <w:rsid w:val="00C0027D"/>
    <w:rsid w:val="00C0029B"/>
    <w:rsid w:val="00C002D6"/>
    <w:rsid w:val="00C002DD"/>
    <w:rsid w:val="00C00315"/>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A6"/>
    <w:rsid w:val="00C008BA"/>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5A"/>
    <w:rsid w:val="00C00D80"/>
    <w:rsid w:val="00C00DA3"/>
    <w:rsid w:val="00C00DB6"/>
    <w:rsid w:val="00C00E07"/>
    <w:rsid w:val="00C00E45"/>
    <w:rsid w:val="00C00E6A"/>
    <w:rsid w:val="00C00E83"/>
    <w:rsid w:val="00C00E8C"/>
    <w:rsid w:val="00C00EC2"/>
    <w:rsid w:val="00C00EC3"/>
    <w:rsid w:val="00C00ED7"/>
    <w:rsid w:val="00C00EE5"/>
    <w:rsid w:val="00C00EF5"/>
    <w:rsid w:val="00C00F2A"/>
    <w:rsid w:val="00C00F43"/>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A3"/>
    <w:rsid w:val="00C012D5"/>
    <w:rsid w:val="00C01347"/>
    <w:rsid w:val="00C01353"/>
    <w:rsid w:val="00C01399"/>
    <w:rsid w:val="00C013A0"/>
    <w:rsid w:val="00C013C9"/>
    <w:rsid w:val="00C01443"/>
    <w:rsid w:val="00C0146D"/>
    <w:rsid w:val="00C014A0"/>
    <w:rsid w:val="00C014B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6E"/>
    <w:rsid w:val="00C01978"/>
    <w:rsid w:val="00C01985"/>
    <w:rsid w:val="00C019BA"/>
    <w:rsid w:val="00C019D0"/>
    <w:rsid w:val="00C019EF"/>
    <w:rsid w:val="00C01AB4"/>
    <w:rsid w:val="00C01B48"/>
    <w:rsid w:val="00C01B50"/>
    <w:rsid w:val="00C01B56"/>
    <w:rsid w:val="00C01C04"/>
    <w:rsid w:val="00C01C11"/>
    <w:rsid w:val="00C01C22"/>
    <w:rsid w:val="00C01C48"/>
    <w:rsid w:val="00C01C52"/>
    <w:rsid w:val="00C01C94"/>
    <w:rsid w:val="00C01CE3"/>
    <w:rsid w:val="00C01CE8"/>
    <w:rsid w:val="00C01D54"/>
    <w:rsid w:val="00C01D67"/>
    <w:rsid w:val="00C01D9C"/>
    <w:rsid w:val="00C01DAC"/>
    <w:rsid w:val="00C01DE6"/>
    <w:rsid w:val="00C01DE9"/>
    <w:rsid w:val="00C01DEA"/>
    <w:rsid w:val="00C01DFA"/>
    <w:rsid w:val="00C01DFE"/>
    <w:rsid w:val="00C01E01"/>
    <w:rsid w:val="00C01E5C"/>
    <w:rsid w:val="00C01E7F"/>
    <w:rsid w:val="00C01EA2"/>
    <w:rsid w:val="00C01EF3"/>
    <w:rsid w:val="00C01F01"/>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6"/>
    <w:rsid w:val="00C025BB"/>
    <w:rsid w:val="00C025F9"/>
    <w:rsid w:val="00C02610"/>
    <w:rsid w:val="00C02649"/>
    <w:rsid w:val="00C02679"/>
    <w:rsid w:val="00C0268A"/>
    <w:rsid w:val="00C02695"/>
    <w:rsid w:val="00C026C4"/>
    <w:rsid w:val="00C026EB"/>
    <w:rsid w:val="00C02702"/>
    <w:rsid w:val="00C02751"/>
    <w:rsid w:val="00C027E3"/>
    <w:rsid w:val="00C02882"/>
    <w:rsid w:val="00C028CF"/>
    <w:rsid w:val="00C02910"/>
    <w:rsid w:val="00C0294E"/>
    <w:rsid w:val="00C029A5"/>
    <w:rsid w:val="00C029AE"/>
    <w:rsid w:val="00C029BE"/>
    <w:rsid w:val="00C029CD"/>
    <w:rsid w:val="00C029DC"/>
    <w:rsid w:val="00C029F2"/>
    <w:rsid w:val="00C02B1C"/>
    <w:rsid w:val="00C02BFC"/>
    <w:rsid w:val="00C02C0C"/>
    <w:rsid w:val="00C02C74"/>
    <w:rsid w:val="00C02CAD"/>
    <w:rsid w:val="00C02D4E"/>
    <w:rsid w:val="00C02DCA"/>
    <w:rsid w:val="00C02E0D"/>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C37"/>
    <w:rsid w:val="00C03C4B"/>
    <w:rsid w:val="00C03C57"/>
    <w:rsid w:val="00C03C7E"/>
    <w:rsid w:val="00C03CB1"/>
    <w:rsid w:val="00C03D62"/>
    <w:rsid w:val="00C03DC3"/>
    <w:rsid w:val="00C03E75"/>
    <w:rsid w:val="00C03E83"/>
    <w:rsid w:val="00C03F15"/>
    <w:rsid w:val="00C03F35"/>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3A"/>
    <w:rsid w:val="00C048EE"/>
    <w:rsid w:val="00C0490B"/>
    <w:rsid w:val="00C04978"/>
    <w:rsid w:val="00C04979"/>
    <w:rsid w:val="00C04985"/>
    <w:rsid w:val="00C049D2"/>
    <w:rsid w:val="00C049EA"/>
    <w:rsid w:val="00C049EF"/>
    <w:rsid w:val="00C049F9"/>
    <w:rsid w:val="00C04A1B"/>
    <w:rsid w:val="00C04A49"/>
    <w:rsid w:val="00C04A6F"/>
    <w:rsid w:val="00C04AA4"/>
    <w:rsid w:val="00C04B41"/>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26"/>
    <w:rsid w:val="00C04F38"/>
    <w:rsid w:val="00C04F4E"/>
    <w:rsid w:val="00C04F5C"/>
    <w:rsid w:val="00C04F91"/>
    <w:rsid w:val="00C0500A"/>
    <w:rsid w:val="00C05068"/>
    <w:rsid w:val="00C05109"/>
    <w:rsid w:val="00C0510E"/>
    <w:rsid w:val="00C05118"/>
    <w:rsid w:val="00C05138"/>
    <w:rsid w:val="00C05139"/>
    <w:rsid w:val="00C0515D"/>
    <w:rsid w:val="00C0516B"/>
    <w:rsid w:val="00C05199"/>
    <w:rsid w:val="00C0519D"/>
    <w:rsid w:val="00C051AF"/>
    <w:rsid w:val="00C051EC"/>
    <w:rsid w:val="00C051ED"/>
    <w:rsid w:val="00C05237"/>
    <w:rsid w:val="00C05260"/>
    <w:rsid w:val="00C05294"/>
    <w:rsid w:val="00C052D8"/>
    <w:rsid w:val="00C05302"/>
    <w:rsid w:val="00C053AC"/>
    <w:rsid w:val="00C054A3"/>
    <w:rsid w:val="00C054E7"/>
    <w:rsid w:val="00C05508"/>
    <w:rsid w:val="00C05548"/>
    <w:rsid w:val="00C0555C"/>
    <w:rsid w:val="00C05573"/>
    <w:rsid w:val="00C0558A"/>
    <w:rsid w:val="00C055A3"/>
    <w:rsid w:val="00C055A8"/>
    <w:rsid w:val="00C055D4"/>
    <w:rsid w:val="00C05631"/>
    <w:rsid w:val="00C0564F"/>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AB"/>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03"/>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AC2"/>
    <w:rsid w:val="00C06B0F"/>
    <w:rsid w:val="00C06C38"/>
    <w:rsid w:val="00C06CC2"/>
    <w:rsid w:val="00C06D09"/>
    <w:rsid w:val="00C06D2B"/>
    <w:rsid w:val="00C06D40"/>
    <w:rsid w:val="00C06D43"/>
    <w:rsid w:val="00C06D55"/>
    <w:rsid w:val="00C06DA6"/>
    <w:rsid w:val="00C06DDE"/>
    <w:rsid w:val="00C06DEE"/>
    <w:rsid w:val="00C06E39"/>
    <w:rsid w:val="00C06E4C"/>
    <w:rsid w:val="00C06E60"/>
    <w:rsid w:val="00C06EE2"/>
    <w:rsid w:val="00C06F5C"/>
    <w:rsid w:val="00C06F6A"/>
    <w:rsid w:val="00C06F90"/>
    <w:rsid w:val="00C070CB"/>
    <w:rsid w:val="00C070EB"/>
    <w:rsid w:val="00C0710A"/>
    <w:rsid w:val="00C0712B"/>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C4"/>
    <w:rsid w:val="00C07A69"/>
    <w:rsid w:val="00C07A94"/>
    <w:rsid w:val="00C07AA1"/>
    <w:rsid w:val="00C07AB1"/>
    <w:rsid w:val="00C07AF4"/>
    <w:rsid w:val="00C07B25"/>
    <w:rsid w:val="00C07BB7"/>
    <w:rsid w:val="00C07BC8"/>
    <w:rsid w:val="00C07BE3"/>
    <w:rsid w:val="00C07BF4"/>
    <w:rsid w:val="00C07C22"/>
    <w:rsid w:val="00C07C38"/>
    <w:rsid w:val="00C07C9F"/>
    <w:rsid w:val="00C07CA0"/>
    <w:rsid w:val="00C07CBA"/>
    <w:rsid w:val="00C07CEE"/>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E"/>
    <w:rsid w:val="00C1039F"/>
    <w:rsid w:val="00C103D3"/>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BA"/>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7A0"/>
    <w:rsid w:val="00C1183E"/>
    <w:rsid w:val="00C1183F"/>
    <w:rsid w:val="00C1184F"/>
    <w:rsid w:val="00C11887"/>
    <w:rsid w:val="00C118E0"/>
    <w:rsid w:val="00C11958"/>
    <w:rsid w:val="00C11987"/>
    <w:rsid w:val="00C119BF"/>
    <w:rsid w:val="00C119CA"/>
    <w:rsid w:val="00C119DE"/>
    <w:rsid w:val="00C119F8"/>
    <w:rsid w:val="00C11A1F"/>
    <w:rsid w:val="00C11A33"/>
    <w:rsid w:val="00C11AF5"/>
    <w:rsid w:val="00C11B1A"/>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EE4"/>
    <w:rsid w:val="00C11F1E"/>
    <w:rsid w:val="00C11F6F"/>
    <w:rsid w:val="00C11FA9"/>
    <w:rsid w:val="00C11FCD"/>
    <w:rsid w:val="00C12033"/>
    <w:rsid w:val="00C12070"/>
    <w:rsid w:val="00C12099"/>
    <w:rsid w:val="00C120B3"/>
    <w:rsid w:val="00C120F3"/>
    <w:rsid w:val="00C12130"/>
    <w:rsid w:val="00C1214E"/>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B1"/>
    <w:rsid w:val="00C12DD7"/>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C1"/>
    <w:rsid w:val="00C13AF6"/>
    <w:rsid w:val="00C13B0A"/>
    <w:rsid w:val="00C13B1F"/>
    <w:rsid w:val="00C13B9C"/>
    <w:rsid w:val="00C13BB1"/>
    <w:rsid w:val="00C13BBA"/>
    <w:rsid w:val="00C13BF5"/>
    <w:rsid w:val="00C13BF7"/>
    <w:rsid w:val="00C13C07"/>
    <w:rsid w:val="00C13C5D"/>
    <w:rsid w:val="00C13CC7"/>
    <w:rsid w:val="00C13CCE"/>
    <w:rsid w:val="00C13CDB"/>
    <w:rsid w:val="00C13D64"/>
    <w:rsid w:val="00C13DE2"/>
    <w:rsid w:val="00C13E2C"/>
    <w:rsid w:val="00C13E32"/>
    <w:rsid w:val="00C13E8C"/>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D"/>
    <w:rsid w:val="00C142F7"/>
    <w:rsid w:val="00C14329"/>
    <w:rsid w:val="00C14337"/>
    <w:rsid w:val="00C14375"/>
    <w:rsid w:val="00C14397"/>
    <w:rsid w:val="00C14414"/>
    <w:rsid w:val="00C1442F"/>
    <w:rsid w:val="00C14542"/>
    <w:rsid w:val="00C145D5"/>
    <w:rsid w:val="00C145FD"/>
    <w:rsid w:val="00C14602"/>
    <w:rsid w:val="00C1461B"/>
    <w:rsid w:val="00C1464E"/>
    <w:rsid w:val="00C14658"/>
    <w:rsid w:val="00C1466B"/>
    <w:rsid w:val="00C14672"/>
    <w:rsid w:val="00C146AB"/>
    <w:rsid w:val="00C146C7"/>
    <w:rsid w:val="00C1472D"/>
    <w:rsid w:val="00C147F7"/>
    <w:rsid w:val="00C14872"/>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58"/>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700"/>
    <w:rsid w:val="00C15726"/>
    <w:rsid w:val="00C15734"/>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59"/>
    <w:rsid w:val="00C15978"/>
    <w:rsid w:val="00C15991"/>
    <w:rsid w:val="00C159D3"/>
    <w:rsid w:val="00C15A1D"/>
    <w:rsid w:val="00C15A85"/>
    <w:rsid w:val="00C15B16"/>
    <w:rsid w:val="00C15B8E"/>
    <w:rsid w:val="00C15BC1"/>
    <w:rsid w:val="00C15C14"/>
    <w:rsid w:val="00C15C2E"/>
    <w:rsid w:val="00C15C88"/>
    <w:rsid w:val="00C15C93"/>
    <w:rsid w:val="00C15C9A"/>
    <w:rsid w:val="00C15CDB"/>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5"/>
    <w:rsid w:val="00C163B6"/>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13"/>
    <w:rsid w:val="00C1684C"/>
    <w:rsid w:val="00C16890"/>
    <w:rsid w:val="00C168B7"/>
    <w:rsid w:val="00C168BE"/>
    <w:rsid w:val="00C168C1"/>
    <w:rsid w:val="00C168CF"/>
    <w:rsid w:val="00C168D1"/>
    <w:rsid w:val="00C1697A"/>
    <w:rsid w:val="00C169A0"/>
    <w:rsid w:val="00C169A2"/>
    <w:rsid w:val="00C16A0C"/>
    <w:rsid w:val="00C16AE6"/>
    <w:rsid w:val="00C16B07"/>
    <w:rsid w:val="00C16B48"/>
    <w:rsid w:val="00C16B8A"/>
    <w:rsid w:val="00C16BCE"/>
    <w:rsid w:val="00C16BE8"/>
    <w:rsid w:val="00C16C2B"/>
    <w:rsid w:val="00C16CAB"/>
    <w:rsid w:val="00C16CBD"/>
    <w:rsid w:val="00C16D35"/>
    <w:rsid w:val="00C16D55"/>
    <w:rsid w:val="00C16D65"/>
    <w:rsid w:val="00C16D72"/>
    <w:rsid w:val="00C16DA0"/>
    <w:rsid w:val="00C16DAD"/>
    <w:rsid w:val="00C16DFC"/>
    <w:rsid w:val="00C16E08"/>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5F"/>
    <w:rsid w:val="00C17197"/>
    <w:rsid w:val="00C171BA"/>
    <w:rsid w:val="00C171CC"/>
    <w:rsid w:val="00C17228"/>
    <w:rsid w:val="00C1722A"/>
    <w:rsid w:val="00C1723D"/>
    <w:rsid w:val="00C1726E"/>
    <w:rsid w:val="00C17282"/>
    <w:rsid w:val="00C1729E"/>
    <w:rsid w:val="00C1736D"/>
    <w:rsid w:val="00C1736E"/>
    <w:rsid w:val="00C17382"/>
    <w:rsid w:val="00C17390"/>
    <w:rsid w:val="00C17435"/>
    <w:rsid w:val="00C1743B"/>
    <w:rsid w:val="00C17447"/>
    <w:rsid w:val="00C17463"/>
    <w:rsid w:val="00C1746D"/>
    <w:rsid w:val="00C17489"/>
    <w:rsid w:val="00C174A3"/>
    <w:rsid w:val="00C174B5"/>
    <w:rsid w:val="00C17511"/>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322"/>
    <w:rsid w:val="00C20369"/>
    <w:rsid w:val="00C20383"/>
    <w:rsid w:val="00C203AD"/>
    <w:rsid w:val="00C203B1"/>
    <w:rsid w:val="00C203DA"/>
    <w:rsid w:val="00C203F2"/>
    <w:rsid w:val="00C204D7"/>
    <w:rsid w:val="00C204F1"/>
    <w:rsid w:val="00C204FB"/>
    <w:rsid w:val="00C20526"/>
    <w:rsid w:val="00C20578"/>
    <w:rsid w:val="00C205E8"/>
    <w:rsid w:val="00C2060F"/>
    <w:rsid w:val="00C206AB"/>
    <w:rsid w:val="00C206C6"/>
    <w:rsid w:val="00C206CE"/>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0FEF"/>
    <w:rsid w:val="00C210BF"/>
    <w:rsid w:val="00C210D0"/>
    <w:rsid w:val="00C210E8"/>
    <w:rsid w:val="00C21131"/>
    <w:rsid w:val="00C2113E"/>
    <w:rsid w:val="00C2115C"/>
    <w:rsid w:val="00C21179"/>
    <w:rsid w:val="00C21192"/>
    <w:rsid w:val="00C21210"/>
    <w:rsid w:val="00C21224"/>
    <w:rsid w:val="00C2122F"/>
    <w:rsid w:val="00C2125E"/>
    <w:rsid w:val="00C2132C"/>
    <w:rsid w:val="00C21375"/>
    <w:rsid w:val="00C21395"/>
    <w:rsid w:val="00C21399"/>
    <w:rsid w:val="00C2139F"/>
    <w:rsid w:val="00C214D7"/>
    <w:rsid w:val="00C215B2"/>
    <w:rsid w:val="00C215D1"/>
    <w:rsid w:val="00C21662"/>
    <w:rsid w:val="00C21664"/>
    <w:rsid w:val="00C216BF"/>
    <w:rsid w:val="00C216EA"/>
    <w:rsid w:val="00C21713"/>
    <w:rsid w:val="00C21743"/>
    <w:rsid w:val="00C21790"/>
    <w:rsid w:val="00C21799"/>
    <w:rsid w:val="00C2179F"/>
    <w:rsid w:val="00C217B4"/>
    <w:rsid w:val="00C2186F"/>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63"/>
    <w:rsid w:val="00C21C86"/>
    <w:rsid w:val="00C21CBB"/>
    <w:rsid w:val="00C21CE4"/>
    <w:rsid w:val="00C21CFF"/>
    <w:rsid w:val="00C21D72"/>
    <w:rsid w:val="00C21D79"/>
    <w:rsid w:val="00C21DB7"/>
    <w:rsid w:val="00C21DD6"/>
    <w:rsid w:val="00C21E02"/>
    <w:rsid w:val="00C21E27"/>
    <w:rsid w:val="00C21E2B"/>
    <w:rsid w:val="00C21E5E"/>
    <w:rsid w:val="00C21EAB"/>
    <w:rsid w:val="00C21EB5"/>
    <w:rsid w:val="00C21F6C"/>
    <w:rsid w:val="00C21FFF"/>
    <w:rsid w:val="00C22027"/>
    <w:rsid w:val="00C22041"/>
    <w:rsid w:val="00C22075"/>
    <w:rsid w:val="00C220C1"/>
    <w:rsid w:val="00C22123"/>
    <w:rsid w:val="00C22124"/>
    <w:rsid w:val="00C221C4"/>
    <w:rsid w:val="00C221FF"/>
    <w:rsid w:val="00C22259"/>
    <w:rsid w:val="00C22267"/>
    <w:rsid w:val="00C22275"/>
    <w:rsid w:val="00C22406"/>
    <w:rsid w:val="00C2240F"/>
    <w:rsid w:val="00C22414"/>
    <w:rsid w:val="00C2241F"/>
    <w:rsid w:val="00C2243A"/>
    <w:rsid w:val="00C22455"/>
    <w:rsid w:val="00C22464"/>
    <w:rsid w:val="00C2246B"/>
    <w:rsid w:val="00C224FC"/>
    <w:rsid w:val="00C22598"/>
    <w:rsid w:val="00C2259C"/>
    <w:rsid w:val="00C225DD"/>
    <w:rsid w:val="00C225F3"/>
    <w:rsid w:val="00C22669"/>
    <w:rsid w:val="00C226D4"/>
    <w:rsid w:val="00C22708"/>
    <w:rsid w:val="00C2271C"/>
    <w:rsid w:val="00C2271D"/>
    <w:rsid w:val="00C2272E"/>
    <w:rsid w:val="00C22738"/>
    <w:rsid w:val="00C227B1"/>
    <w:rsid w:val="00C227BD"/>
    <w:rsid w:val="00C22853"/>
    <w:rsid w:val="00C22873"/>
    <w:rsid w:val="00C2287E"/>
    <w:rsid w:val="00C22894"/>
    <w:rsid w:val="00C228B4"/>
    <w:rsid w:val="00C228E3"/>
    <w:rsid w:val="00C2293B"/>
    <w:rsid w:val="00C22954"/>
    <w:rsid w:val="00C22996"/>
    <w:rsid w:val="00C229B9"/>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D6"/>
    <w:rsid w:val="00C23104"/>
    <w:rsid w:val="00C2311A"/>
    <w:rsid w:val="00C2312E"/>
    <w:rsid w:val="00C23167"/>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20"/>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EC"/>
    <w:rsid w:val="00C23FEF"/>
    <w:rsid w:val="00C24077"/>
    <w:rsid w:val="00C240B7"/>
    <w:rsid w:val="00C240C3"/>
    <w:rsid w:val="00C24142"/>
    <w:rsid w:val="00C24161"/>
    <w:rsid w:val="00C24165"/>
    <w:rsid w:val="00C2419A"/>
    <w:rsid w:val="00C241EB"/>
    <w:rsid w:val="00C24211"/>
    <w:rsid w:val="00C2423A"/>
    <w:rsid w:val="00C2424B"/>
    <w:rsid w:val="00C242B7"/>
    <w:rsid w:val="00C242EC"/>
    <w:rsid w:val="00C24336"/>
    <w:rsid w:val="00C24346"/>
    <w:rsid w:val="00C2434B"/>
    <w:rsid w:val="00C243F2"/>
    <w:rsid w:val="00C243FD"/>
    <w:rsid w:val="00C24478"/>
    <w:rsid w:val="00C24485"/>
    <w:rsid w:val="00C244CE"/>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A02"/>
    <w:rsid w:val="00C24B04"/>
    <w:rsid w:val="00C24B1B"/>
    <w:rsid w:val="00C24B1E"/>
    <w:rsid w:val="00C24B3E"/>
    <w:rsid w:val="00C24B85"/>
    <w:rsid w:val="00C24B8E"/>
    <w:rsid w:val="00C24BAE"/>
    <w:rsid w:val="00C24CB3"/>
    <w:rsid w:val="00C24CCB"/>
    <w:rsid w:val="00C24CD3"/>
    <w:rsid w:val="00C24CEE"/>
    <w:rsid w:val="00C24CF0"/>
    <w:rsid w:val="00C24CFE"/>
    <w:rsid w:val="00C24D3C"/>
    <w:rsid w:val="00C24D40"/>
    <w:rsid w:val="00C24D51"/>
    <w:rsid w:val="00C24DC8"/>
    <w:rsid w:val="00C24DE8"/>
    <w:rsid w:val="00C24DEA"/>
    <w:rsid w:val="00C24E35"/>
    <w:rsid w:val="00C24E4A"/>
    <w:rsid w:val="00C24E61"/>
    <w:rsid w:val="00C24EA2"/>
    <w:rsid w:val="00C24F25"/>
    <w:rsid w:val="00C24F4D"/>
    <w:rsid w:val="00C24F9E"/>
    <w:rsid w:val="00C24FC5"/>
    <w:rsid w:val="00C24FFB"/>
    <w:rsid w:val="00C25003"/>
    <w:rsid w:val="00C25029"/>
    <w:rsid w:val="00C2509C"/>
    <w:rsid w:val="00C2513C"/>
    <w:rsid w:val="00C25148"/>
    <w:rsid w:val="00C251BA"/>
    <w:rsid w:val="00C251C1"/>
    <w:rsid w:val="00C251C5"/>
    <w:rsid w:val="00C251E0"/>
    <w:rsid w:val="00C2522F"/>
    <w:rsid w:val="00C25279"/>
    <w:rsid w:val="00C252BC"/>
    <w:rsid w:val="00C252C8"/>
    <w:rsid w:val="00C252D2"/>
    <w:rsid w:val="00C252E0"/>
    <w:rsid w:val="00C252F6"/>
    <w:rsid w:val="00C25316"/>
    <w:rsid w:val="00C25369"/>
    <w:rsid w:val="00C25385"/>
    <w:rsid w:val="00C25395"/>
    <w:rsid w:val="00C25397"/>
    <w:rsid w:val="00C253BE"/>
    <w:rsid w:val="00C253EC"/>
    <w:rsid w:val="00C25400"/>
    <w:rsid w:val="00C2541A"/>
    <w:rsid w:val="00C25473"/>
    <w:rsid w:val="00C254B5"/>
    <w:rsid w:val="00C25542"/>
    <w:rsid w:val="00C2554A"/>
    <w:rsid w:val="00C25587"/>
    <w:rsid w:val="00C25597"/>
    <w:rsid w:val="00C255CE"/>
    <w:rsid w:val="00C255DA"/>
    <w:rsid w:val="00C255E0"/>
    <w:rsid w:val="00C255F1"/>
    <w:rsid w:val="00C25612"/>
    <w:rsid w:val="00C25617"/>
    <w:rsid w:val="00C256A0"/>
    <w:rsid w:val="00C256F3"/>
    <w:rsid w:val="00C2570D"/>
    <w:rsid w:val="00C2573C"/>
    <w:rsid w:val="00C257AC"/>
    <w:rsid w:val="00C25858"/>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6E"/>
    <w:rsid w:val="00C25C7F"/>
    <w:rsid w:val="00C25C83"/>
    <w:rsid w:val="00C25CC8"/>
    <w:rsid w:val="00C25CDB"/>
    <w:rsid w:val="00C25CF8"/>
    <w:rsid w:val="00C25DFB"/>
    <w:rsid w:val="00C25E2E"/>
    <w:rsid w:val="00C25E35"/>
    <w:rsid w:val="00C25E85"/>
    <w:rsid w:val="00C25E94"/>
    <w:rsid w:val="00C25EAF"/>
    <w:rsid w:val="00C25F9C"/>
    <w:rsid w:val="00C26001"/>
    <w:rsid w:val="00C2601C"/>
    <w:rsid w:val="00C26043"/>
    <w:rsid w:val="00C26054"/>
    <w:rsid w:val="00C26063"/>
    <w:rsid w:val="00C2607D"/>
    <w:rsid w:val="00C26091"/>
    <w:rsid w:val="00C260C7"/>
    <w:rsid w:val="00C260D5"/>
    <w:rsid w:val="00C260E4"/>
    <w:rsid w:val="00C26149"/>
    <w:rsid w:val="00C261AA"/>
    <w:rsid w:val="00C261DA"/>
    <w:rsid w:val="00C26264"/>
    <w:rsid w:val="00C2632A"/>
    <w:rsid w:val="00C263DB"/>
    <w:rsid w:val="00C263E1"/>
    <w:rsid w:val="00C263F9"/>
    <w:rsid w:val="00C26412"/>
    <w:rsid w:val="00C2645A"/>
    <w:rsid w:val="00C26479"/>
    <w:rsid w:val="00C264B8"/>
    <w:rsid w:val="00C264DB"/>
    <w:rsid w:val="00C265AD"/>
    <w:rsid w:val="00C265B6"/>
    <w:rsid w:val="00C265E3"/>
    <w:rsid w:val="00C2661B"/>
    <w:rsid w:val="00C2664A"/>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2"/>
    <w:rsid w:val="00C26986"/>
    <w:rsid w:val="00C269A7"/>
    <w:rsid w:val="00C269D8"/>
    <w:rsid w:val="00C269EF"/>
    <w:rsid w:val="00C26A5B"/>
    <w:rsid w:val="00C26AAD"/>
    <w:rsid w:val="00C26ABD"/>
    <w:rsid w:val="00C26AC9"/>
    <w:rsid w:val="00C26ACF"/>
    <w:rsid w:val="00C26AE2"/>
    <w:rsid w:val="00C26AEC"/>
    <w:rsid w:val="00C26B1A"/>
    <w:rsid w:val="00C26B2B"/>
    <w:rsid w:val="00C26B75"/>
    <w:rsid w:val="00C26BAB"/>
    <w:rsid w:val="00C26BD7"/>
    <w:rsid w:val="00C26BDA"/>
    <w:rsid w:val="00C26BE7"/>
    <w:rsid w:val="00C26C7D"/>
    <w:rsid w:val="00C26CCC"/>
    <w:rsid w:val="00C26D2C"/>
    <w:rsid w:val="00C26D30"/>
    <w:rsid w:val="00C26D41"/>
    <w:rsid w:val="00C26D47"/>
    <w:rsid w:val="00C26D84"/>
    <w:rsid w:val="00C26DF3"/>
    <w:rsid w:val="00C26E5B"/>
    <w:rsid w:val="00C26F16"/>
    <w:rsid w:val="00C26F1C"/>
    <w:rsid w:val="00C26F71"/>
    <w:rsid w:val="00C26F7F"/>
    <w:rsid w:val="00C27050"/>
    <w:rsid w:val="00C2705B"/>
    <w:rsid w:val="00C27061"/>
    <w:rsid w:val="00C2707D"/>
    <w:rsid w:val="00C27095"/>
    <w:rsid w:val="00C270D4"/>
    <w:rsid w:val="00C27145"/>
    <w:rsid w:val="00C2714A"/>
    <w:rsid w:val="00C271AE"/>
    <w:rsid w:val="00C271AF"/>
    <w:rsid w:val="00C271F4"/>
    <w:rsid w:val="00C2729C"/>
    <w:rsid w:val="00C272AE"/>
    <w:rsid w:val="00C272BF"/>
    <w:rsid w:val="00C27321"/>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F"/>
    <w:rsid w:val="00C2794A"/>
    <w:rsid w:val="00C279A5"/>
    <w:rsid w:val="00C279C3"/>
    <w:rsid w:val="00C27A75"/>
    <w:rsid w:val="00C27A7C"/>
    <w:rsid w:val="00C27A8F"/>
    <w:rsid w:val="00C27AB0"/>
    <w:rsid w:val="00C27ADA"/>
    <w:rsid w:val="00C27ADD"/>
    <w:rsid w:val="00C27ADF"/>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9E"/>
    <w:rsid w:val="00C302AA"/>
    <w:rsid w:val="00C302D7"/>
    <w:rsid w:val="00C302DC"/>
    <w:rsid w:val="00C302EA"/>
    <w:rsid w:val="00C30312"/>
    <w:rsid w:val="00C30426"/>
    <w:rsid w:val="00C3045C"/>
    <w:rsid w:val="00C3049B"/>
    <w:rsid w:val="00C304AA"/>
    <w:rsid w:val="00C304EE"/>
    <w:rsid w:val="00C30556"/>
    <w:rsid w:val="00C3055B"/>
    <w:rsid w:val="00C30589"/>
    <w:rsid w:val="00C305EA"/>
    <w:rsid w:val="00C30600"/>
    <w:rsid w:val="00C3068A"/>
    <w:rsid w:val="00C306AC"/>
    <w:rsid w:val="00C306EE"/>
    <w:rsid w:val="00C306F9"/>
    <w:rsid w:val="00C30728"/>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351"/>
    <w:rsid w:val="00C31352"/>
    <w:rsid w:val="00C31369"/>
    <w:rsid w:val="00C3138C"/>
    <w:rsid w:val="00C3139C"/>
    <w:rsid w:val="00C3139D"/>
    <w:rsid w:val="00C313E2"/>
    <w:rsid w:val="00C31400"/>
    <w:rsid w:val="00C3143A"/>
    <w:rsid w:val="00C3143B"/>
    <w:rsid w:val="00C31474"/>
    <w:rsid w:val="00C3149C"/>
    <w:rsid w:val="00C31522"/>
    <w:rsid w:val="00C31524"/>
    <w:rsid w:val="00C31536"/>
    <w:rsid w:val="00C31584"/>
    <w:rsid w:val="00C31666"/>
    <w:rsid w:val="00C3168E"/>
    <w:rsid w:val="00C31694"/>
    <w:rsid w:val="00C31737"/>
    <w:rsid w:val="00C31793"/>
    <w:rsid w:val="00C31883"/>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6D"/>
    <w:rsid w:val="00C31CDB"/>
    <w:rsid w:val="00C31CE8"/>
    <w:rsid w:val="00C31D06"/>
    <w:rsid w:val="00C31D31"/>
    <w:rsid w:val="00C31D71"/>
    <w:rsid w:val="00C31DEC"/>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FC"/>
    <w:rsid w:val="00C3260F"/>
    <w:rsid w:val="00C3266B"/>
    <w:rsid w:val="00C326A8"/>
    <w:rsid w:val="00C326BD"/>
    <w:rsid w:val="00C32819"/>
    <w:rsid w:val="00C32826"/>
    <w:rsid w:val="00C32863"/>
    <w:rsid w:val="00C3286C"/>
    <w:rsid w:val="00C3288F"/>
    <w:rsid w:val="00C328D4"/>
    <w:rsid w:val="00C32903"/>
    <w:rsid w:val="00C32926"/>
    <w:rsid w:val="00C32937"/>
    <w:rsid w:val="00C32962"/>
    <w:rsid w:val="00C329BD"/>
    <w:rsid w:val="00C32A2C"/>
    <w:rsid w:val="00C32A39"/>
    <w:rsid w:val="00C32A3D"/>
    <w:rsid w:val="00C32A47"/>
    <w:rsid w:val="00C32A6B"/>
    <w:rsid w:val="00C32A87"/>
    <w:rsid w:val="00C32AD3"/>
    <w:rsid w:val="00C32B14"/>
    <w:rsid w:val="00C32B60"/>
    <w:rsid w:val="00C32B68"/>
    <w:rsid w:val="00C32B73"/>
    <w:rsid w:val="00C32BAC"/>
    <w:rsid w:val="00C32BEA"/>
    <w:rsid w:val="00C32C5E"/>
    <w:rsid w:val="00C32C69"/>
    <w:rsid w:val="00C32D2A"/>
    <w:rsid w:val="00C32DC6"/>
    <w:rsid w:val="00C32DD3"/>
    <w:rsid w:val="00C32DE9"/>
    <w:rsid w:val="00C32E7D"/>
    <w:rsid w:val="00C32F0F"/>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DE"/>
    <w:rsid w:val="00C334EE"/>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7"/>
    <w:rsid w:val="00C33A0D"/>
    <w:rsid w:val="00C33A29"/>
    <w:rsid w:val="00C33A47"/>
    <w:rsid w:val="00C33A5B"/>
    <w:rsid w:val="00C33A63"/>
    <w:rsid w:val="00C33A75"/>
    <w:rsid w:val="00C33AF1"/>
    <w:rsid w:val="00C33B2A"/>
    <w:rsid w:val="00C33B38"/>
    <w:rsid w:val="00C33B7A"/>
    <w:rsid w:val="00C33B92"/>
    <w:rsid w:val="00C33BE6"/>
    <w:rsid w:val="00C33C02"/>
    <w:rsid w:val="00C33C08"/>
    <w:rsid w:val="00C33C24"/>
    <w:rsid w:val="00C33C98"/>
    <w:rsid w:val="00C33D47"/>
    <w:rsid w:val="00C33DA7"/>
    <w:rsid w:val="00C33E1D"/>
    <w:rsid w:val="00C33E29"/>
    <w:rsid w:val="00C33E55"/>
    <w:rsid w:val="00C33E90"/>
    <w:rsid w:val="00C33EA1"/>
    <w:rsid w:val="00C33EDE"/>
    <w:rsid w:val="00C33FAF"/>
    <w:rsid w:val="00C33FB3"/>
    <w:rsid w:val="00C34013"/>
    <w:rsid w:val="00C34016"/>
    <w:rsid w:val="00C340B6"/>
    <w:rsid w:val="00C340D9"/>
    <w:rsid w:val="00C340DD"/>
    <w:rsid w:val="00C3416B"/>
    <w:rsid w:val="00C341A9"/>
    <w:rsid w:val="00C341B9"/>
    <w:rsid w:val="00C341D1"/>
    <w:rsid w:val="00C34243"/>
    <w:rsid w:val="00C34272"/>
    <w:rsid w:val="00C34286"/>
    <w:rsid w:val="00C3432C"/>
    <w:rsid w:val="00C34380"/>
    <w:rsid w:val="00C34394"/>
    <w:rsid w:val="00C3439E"/>
    <w:rsid w:val="00C343B4"/>
    <w:rsid w:val="00C343F3"/>
    <w:rsid w:val="00C3440C"/>
    <w:rsid w:val="00C3440D"/>
    <w:rsid w:val="00C34422"/>
    <w:rsid w:val="00C3442F"/>
    <w:rsid w:val="00C34454"/>
    <w:rsid w:val="00C3446C"/>
    <w:rsid w:val="00C3447C"/>
    <w:rsid w:val="00C344E2"/>
    <w:rsid w:val="00C3459C"/>
    <w:rsid w:val="00C345B6"/>
    <w:rsid w:val="00C345D2"/>
    <w:rsid w:val="00C345D8"/>
    <w:rsid w:val="00C34601"/>
    <w:rsid w:val="00C34618"/>
    <w:rsid w:val="00C346CD"/>
    <w:rsid w:val="00C346F7"/>
    <w:rsid w:val="00C347B0"/>
    <w:rsid w:val="00C347C8"/>
    <w:rsid w:val="00C34812"/>
    <w:rsid w:val="00C348B4"/>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2D5"/>
    <w:rsid w:val="00C35304"/>
    <w:rsid w:val="00C3537A"/>
    <w:rsid w:val="00C353C3"/>
    <w:rsid w:val="00C353E5"/>
    <w:rsid w:val="00C35408"/>
    <w:rsid w:val="00C35474"/>
    <w:rsid w:val="00C35475"/>
    <w:rsid w:val="00C3547E"/>
    <w:rsid w:val="00C3547F"/>
    <w:rsid w:val="00C354BC"/>
    <w:rsid w:val="00C354EE"/>
    <w:rsid w:val="00C354EF"/>
    <w:rsid w:val="00C354F2"/>
    <w:rsid w:val="00C3550D"/>
    <w:rsid w:val="00C3551F"/>
    <w:rsid w:val="00C3553A"/>
    <w:rsid w:val="00C35557"/>
    <w:rsid w:val="00C35584"/>
    <w:rsid w:val="00C3558A"/>
    <w:rsid w:val="00C355D4"/>
    <w:rsid w:val="00C3560E"/>
    <w:rsid w:val="00C35686"/>
    <w:rsid w:val="00C356A9"/>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F5"/>
    <w:rsid w:val="00C35A26"/>
    <w:rsid w:val="00C35A41"/>
    <w:rsid w:val="00C35A56"/>
    <w:rsid w:val="00C35AFF"/>
    <w:rsid w:val="00C35B14"/>
    <w:rsid w:val="00C35B42"/>
    <w:rsid w:val="00C35B9E"/>
    <w:rsid w:val="00C35C19"/>
    <w:rsid w:val="00C35C2D"/>
    <w:rsid w:val="00C35C77"/>
    <w:rsid w:val="00C35C87"/>
    <w:rsid w:val="00C35C97"/>
    <w:rsid w:val="00C35CCA"/>
    <w:rsid w:val="00C35CDB"/>
    <w:rsid w:val="00C35CE5"/>
    <w:rsid w:val="00C35D52"/>
    <w:rsid w:val="00C35D65"/>
    <w:rsid w:val="00C35D67"/>
    <w:rsid w:val="00C35DB4"/>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C4"/>
    <w:rsid w:val="00C361D9"/>
    <w:rsid w:val="00C36248"/>
    <w:rsid w:val="00C3626A"/>
    <w:rsid w:val="00C36277"/>
    <w:rsid w:val="00C3628C"/>
    <w:rsid w:val="00C3634F"/>
    <w:rsid w:val="00C363CB"/>
    <w:rsid w:val="00C3640B"/>
    <w:rsid w:val="00C36416"/>
    <w:rsid w:val="00C3647F"/>
    <w:rsid w:val="00C36487"/>
    <w:rsid w:val="00C3648A"/>
    <w:rsid w:val="00C3648D"/>
    <w:rsid w:val="00C36519"/>
    <w:rsid w:val="00C3657D"/>
    <w:rsid w:val="00C365AF"/>
    <w:rsid w:val="00C365B6"/>
    <w:rsid w:val="00C3663A"/>
    <w:rsid w:val="00C36697"/>
    <w:rsid w:val="00C3672B"/>
    <w:rsid w:val="00C3674F"/>
    <w:rsid w:val="00C36797"/>
    <w:rsid w:val="00C367B9"/>
    <w:rsid w:val="00C367E0"/>
    <w:rsid w:val="00C367EA"/>
    <w:rsid w:val="00C368AF"/>
    <w:rsid w:val="00C368CA"/>
    <w:rsid w:val="00C36979"/>
    <w:rsid w:val="00C36987"/>
    <w:rsid w:val="00C369A8"/>
    <w:rsid w:val="00C369C5"/>
    <w:rsid w:val="00C36A6E"/>
    <w:rsid w:val="00C36AA9"/>
    <w:rsid w:val="00C36AC4"/>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7038"/>
    <w:rsid w:val="00C37092"/>
    <w:rsid w:val="00C370AF"/>
    <w:rsid w:val="00C370DB"/>
    <w:rsid w:val="00C3719C"/>
    <w:rsid w:val="00C371D3"/>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4E0"/>
    <w:rsid w:val="00C37530"/>
    <w:rsid w:val="00C37531"/>
    <w:rsid w:val="00C3753A"/>
    <w:rsid w:val="00C37553"/>
    <w:rsid w:val="00C375A7"/>
    <w:rsid w:val="00C375DB"/>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7F"/>
    <w:rsid w:val="00C37D20"/>
    <w:rsid w:val="00C37D8F"/>
    <w:rsid w:val="00C37DAF"/>
    <w:rsid w:val="00C37DD8"/>
    <w:rsid w:val="00C37DF7"/>
    <w:rsid w:val="00C37E31"/>
    <w:rsid w:val="00C37E93"/>
    <w:rsid w:val="00C37F25"/>
    <w:rsid w:val="00C37F8B"/>
    <w:rsid w:val="00C37FB2"/>
    <w:rsid w:val="00C37FB6"/>
    <w:rsid w:val="00C37FBD"/>
    <w:rsid w:val="00C37FDF"/>
    <w:rsid w:val="00C40005"/>
    <w:rsid w:val="00C40038"/>
    <w:rsid w:val="00C40060"/>
    <w:rsid w:val="00C40062"/>
    <w:rsid w:val="00C4008F"/>
    <w:rsid w:val="00C400CA"/>
    <w:rsid w:val="00C400CB"/>
    <w:rsid w:val="00C400E2"/>
    <w:rsid w:val="00C400E3"/>
    <w:rsid w:val="00C40114"/>
    <w:rsid w:val="00C4012A"/>
    <w:rsid w:val="00C4012B"/>
    <w:rsid w:val="00C4015D"/>
    <w:rsid w:val="00C4018E"/>
    <w:rsid w:val="00C401A7"/>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2"/>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A68"/>
    <w:rsid w:val="00C40A80"/>
    <w:rsid w:val="00C40B2C"/>
    <w:rsid w:val="00C40B9A"/>
    <w:rsid w:val="00C40BA8"/>
    <w:rsid w:val="00C40C1E"/>
    <w:rsid w:val="00C40C3E"/>
    <w:rsid w:val="00C40C4F"/>
    <w:rsid w:val="00C40C73"/>
    <w:rsid w:val="00C40CAD"/>
    <w:rsid w:val="00C40CBA"/>
    <w:rsid w:val="00C40D14"/>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8A"/>
    <w:rsid w:val="00C40FDE"/>
    <w:rsid w:val="00C41072"/>
    <w:rsid w:val="00C410FC"/>
    <w:rsid w:val="00C41145"/>
    <w:rsid w:val="00C41193"/>
    <w:rsid w:val="00C4119A"/>
    <w:rsid w:val="00C411D5"/>
    <w:rsid w:val="00C4123E"/>
    <w:rsid w:val="00C412BC"/>
    <w:rsid w:val="00C412C2"/>
    <w:rsid w:val="00C412F5"/>
    <w:rsid w:val="00C41307"/>
    <w:rsid w:val="00C413CD"/>
    <w:rsid w:val="00C41436"/>
    <w:rsid w:val="00C414F5"/>
    <w:rsid w:val="00C41578"/>
    <w:rsid w:val="00C415AA"/>
    <w:rsid w:val="00C4160A"/>
    <w:rsid w:val="00C41617"/>
    <w:rsid w:val="00C4163D"/>
    <w:rsid w:val="00C41666"/>
    <w:rsid w:val="00C4169F"/>
    <w:rsid w:val="00C41707"/>
    <w:rsid w:val="00C417CA"/>
    <w:rsid w:val="00C41853"/>
    <w:rsid w:val="00C41863"/>
    <w:rsid w:val="00C4189F"/>
    <w:rsid w:val="00C41938"/>
    <w:rsid w:val="00C4195E"/>
    <w:rsid w:val="00C4196C"/>
    <w:rsid w:val="00C41985"/>
    <w:rsid w:val="00C41988"/>
    <w:rsid w:val="00C419BB"/>
    <w:rsid w:val="00C419BD"/>
    <w:rsid w:val="00C419D9"/>
    <w:rsid w:val="00C419E1"/>
    <w:rsid w:val="00C41B57"/>
    <w:rsid w:val="00C41B7C"/>
    <w:rsid w:val="00C41B97"/>
    <w:rsid w:val="00C41BB9"/>
    <w:rsid w:val="00C41C04"/>
    <w:rsid w:val="00C41C05"/>
    <w:rsid w:val="00C41C41"/>
    <w:rsid w:val="00C41C53"/>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59"/>
    <w:rsid w:val="00C4278D"/>
    <w:rsid w:val="00C427AD"/>
    <w:rsid w:val="00C427BD"/>
    <w:rsid w:val="00C427F0"/>
    <w:rsid w:val="00C42879"/>
    <w:rsid w:val="00C42912"/>
    <w:rsid w:val="00C42913"/>
    <w:rsid w:val="00C42923"/>
    <w:rsid w:val="00C42985"/>
    <w:rsid w:val="00C429C8"/>
    <w:rsid w:val="00C429F3"/>
    <w:rsid w:val="00C42A03"/>
    <w:rsid w:val="00C42A8A"/>
    <w:rsid w:val="00C42ACF"/>
    <w:rsid w:val="00C42B42"/>
    <w:rsid w:val="00C42B92"/>
    <w:rsid w:val="00C42BAF"/>
    <w:rsid w:val="00C42C19"/>
    <w:rsid w:val="00C42C60"/>
    <w:rsid w:val="00C42D03"/>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300F"/>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2A"/>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9F8"/>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1F7"/>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7"/>
    <w:rsid w:val="00C4447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CF"/>
    <w:rsid w:val="00C448E4"/>
    <w:rsid w:val="00C44956"/>
    <w:rsid w:val="00C4496D"/>
    <w:rsid w:val="00C44970"/>
    <w:rsid w:val="00C44971"/>
    <w:rsid w:val="00C449AC"/>
    <w:rsid w:val="00C449CF"/>
    <w:rsid w:val="00C449D9"/>
    <w:rsid w:val="00C44A05"/>
    <w:rsid w:val="00C44A3A"/>
    <w:rsid w:val="00C44AAB"/>
    <w:rsid w:val="00C44ADA"/>
    <w:rsid w:val="00C44AFE"/>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204"/>
    <w:rsid w:val="00C45220"/>
    <w:rsid w:val="00C45221"/>
    <w:rsid w:val="00C45226"/>
    <w:rsid w:val="00C452A7"/>
    <w:rsid w:val="00C452A8"/>
    <w:rsid w:val="00C452F8"/>
    <w:rsid w:val="00C453B9"/>
    <w:rsid w:val="00C453CB"/>
    <w:rsid w:val="00C4542C"/>
    <w:rsid w:val="00C4542D"/>
    <w:rsid w:val="00C45438"/>
    <w:rsid w:val="00C4544B"/>
    <w:rsid w:val="00C45471"/>
    <w:rsid w:val="00C45490"/>
    <w:rsid w:val="00C4549F"/>
    <w:rsid w:val="00C454A6"/>
    <w:rsid w:val="00C4554C"/>
    <w:rsid w:val="00C4557A"/>
    <w:rsid w:val="00C4558E"/>
    <w:rsid w:val="00C455E0"/>
    <w:rsid w:val="00C4560E"/>
    <w:rsid w:val="00C4560F"/>
    <w:rsid w:val="00C4562E"/>
    <w:rsid w:val="00C45665"/>
    <w:rsid w:val="00C456A5"/>
    <w:rsid w:val="00C456E3"/>
    <w:rsid w:val="00C456EF"/>
    <w:rsid w:val="00C45700"/>
    <w:rsid w:val="00C45720"/>
    <w:rsid w:val="00C4572E"/>
    <w:rsid w:val="00C45793"/>
    <w:rsid w:val="00C4581E"/>
    <w:rsid w:val="00C45899"/>
    <w:rsid w:val="00C458C6"/>
    <w:rsid w:val="00C45908"/>
    <w:rsid w:val="00C45920"/>
    <w:rsid w:val="00C45926"/>
    <w:rsid w:val="00C4592A"/>
    <w:rsid w:val="00C4595A"/>
    <w:rsid w:val="00C459A5"/>
    <w:rsid w:val="00C459FD"/>
    <w:rsid w:val="00C45A58"/>
    <w:rsid w:val="00C45A89"/>
    <w:rsid w:val="00C45AD6"/>
    <w:rsid w:val="00C45AFB"/>
    <w:rsid w:val="00C45B23"/>
    <w:rsid w:val="00C45B5B"/>
    <w:rsid w:val="00C45B7C"/>
    <w:rsid w:val="00C45B90"/>
    <w:rsid w:val="00C45B98"/>
    <w:rsid w:val="00C45BE8"/>
    <w:rsid w:val="00C45C3C"/>
    <w:rsid w:val="00C45C79"/>
    <w:rsid w:val="00C45CAA"/>
    <w:rsid w:val="00C45CC9"/>
    <w:rsid w:val="00C45D00"/>
    <w:rsid w:val="00C45D34"/>
    <w:rsid w:val="00C45D9A"/>
    <w:rsid w:val="00C45DA7"/>
    <w:rsid w:val="00C45E15"/>
    <w:rsid w:val="00C45E68"/>
    <w:rsid w:val="00C45E7D"/>
    <w:rsid w:val="00C45E9A"/>
    <w:rsid w:val="00C45EC4"/>
    <w:rsid w:val="00C45EC9"/>
    <w:rsid w:val="00C45EE7"/>
    <w:rsid w:val="00C45F17"/>
    <w:rsid w:val="00C45F18"/>
    <w:rsid w:val="00C45FDE"/>
    <w:rsid w:val="00C45FE4"/>
    <w:rsid w:val="00C45FF9"/>
    <w:rsid w:val="00C46074"/>
    <w:rsid w:val="00C460DB"/>
    <w:rsid w:val="00C46156"/>
    <w:rsid w:val="00C46179"/>
    <w:rsid w:val="00C461A1"/>
    <w:rsid w:val="00C461AD"/>
    <w:rsid w:val="00C46274"/>
    <w:rsid w:val="00C462CF"/>
    <w:rsid w:val="00C462D7"/>
    <w:rsid w:val="00C462E1"/>
    <w:rsid w:val="00C4638B"/>
    <w:rsid w:val="00C463A1"/>
    <w:rsid w:val="00C463B8"/>
    <w:rsid w:val="00C463D6"/>
    <w:rsid w:val="00C463FA"/>
    <w:rsid w:val="00C46410"/>
    <w:rsid w:val="00C464A6"/>
    <w:rsid w:val="00C464E3"/>
    <w:rsid w:val="00C46518"/>
    <w:rsid w:val="00C46541"/>
    <w:rsid w:val="00C46546"/>
    <w:rsid w:val="00C4655F"/>
    <w:rsid w:val="00C4662A"/>
    <w:rsid w:val="00C4662F"/>
    <w:rsid w:val="00C4665C"/>
    <w:rsid w:val="00C46693"/>
    <w:rsid w:val="00C46714"/>
    <w:rsid w:val="00C4671A"/>
    <w:rsid w:val="00C4671C"/>
    <w:rsid w:val="00C4673E"/>
    <w:rsid w:val="00C46789"/>
    <w:rsid w:val="00C4678B"/>
    <w:rsid w:val="00C467A4"/>
    <w:rsid w:val="00C46838"/>
    <w:rsid w:val="00C4685C"/>
    <w:rsid w:val="00C46886"/>
    <w:rsid w:val="00C46951"/>
    <w:rsid w:val="00C46974"/>
    <w:rsid w:val="00C46A17"/>
    <w:rsid w:val="00C46A4B"/>
    <w:rsid w:val="00C46A4D"/>
    <w:rsid w:val="00C46AD3"/>
    <w:rsid w:val="00C46AE1"/>
    <w:rsid w:val="00C46AF8"/>
    <w:rsid w:val="00C46B38"/>
    <w:rsid w:val="00C46C18"/>
    <w:rsid w:val="00C46C6F"/>
    <w:rsid w:val="00C46C72"/>
    <w:rsid w:val="00C46CA2"/>
    <w:rsid w:val="00C46CAA"/>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77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3A"/>
    <w:rsid w:val="00C47D62"/>
    <w:rsid w:val="00C47D94"/>
    <w:rsid w:val="00C47DE2"/>
    <w:rsid w:val="00C47DF8"/>
    <w:rsid w:val="00C47E19"/>
    <w:rsid w:val="00C47E6A"/>
    <w:rsid w:val="00C47E88"/>
    <w:rsid w:val="00C47EAE"/>
    <w:rsid w:val="00C47EC4"/>
    <w:rsid w:val="00C47EDB"/>
    <w:rsid w:val="00C47F02"/>
    <w:rsid w:val="00C47F25"/>
    <w:rsid w:val="00C47F57"/>
    <w:rsid w:val="00C50008"/>
    <w:rsid w:val="00C50035"/>
    <w:rsid w:val="00C500B8"/>
    <w:rsid w:val="00C500BE"/>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583"/>
    <w:rsid w:val="00C505B5"/>
    <w:rsid w:val="00C505CC"/>
    <w:rsid w:val="00C505D9"/>
    <w:rsid w:val="00C505F1"/>
    <w:rsid w:val="00C5066A"/>
    <w:rsid w:val="00C506BC"/>
    <w:rsid w:val="00C50727"/>
    <w:rsid w:val="00C50736"/>
    <w:rsid w:val="00C507FD"/>
    <w:rsid w:val="00C50891"/>
    <w:rsid w:val="00C508F0"/>
    <w:rsid w:val="00C50961"/>
    <w:rsid w:val="00C50967"/>
    <w:rsid w:val="00C509A9"/>
    <w:rsid w:val="00C509AC"/>
    <w:rsid w:val="00C509C5"/>
    <w:rsid w:val="00C509F4"/>
    <w:rsid w:val="00C50A0C"/>
    <w:rsid w:val="00C50A58"/>
    <w:rsid w:val="00C50A91"/>
    <w:rsid w:val="00C50AD3"/>
    <w:rsid w:val="00C50ADA"/>
    <w:rsid w:val="00C50AEC"/>
    <w:rsid w:val="00C50B0D"/>
    <w:rsid w:val="00C50B24"/>
    <w:rsid w:val="00C50B2A"/>
    <w:rsid w:val="00C50B2F"/>
    <w:rsid w:val="00C50B42"/>
    <w:rsid w:val="00C50B57"/>
    <w:rsid w:val="00C50C2A"/>
    <w:rsid w:val="00C50CBE"/>
    <w:rsid w:val="00C50D15"/>
    <w:rsid w:val="00C50D30"/>
    <w:rsid w:val="00C50D39"/>
    <w:rsid w:val="00C50D94"/>
    <w:rsid w:val="00C50E7E"/>
    <w:rsid w:val="00C50EA0"/>
    <w:rsid w:val="00C50EA1"/>
    <w:rsid w:val="00C50EB6"/>
    <w:rsid w:val="00C50F7C"/>
    <w:rsid w:val="00C50FB4"/>
    <w:rsid w:val="00C50FC5"/>
    <w:rsid w:val="00C50FF8"/>
    <w:rsid w:val="00C51027"/>
    <w:rsid w:val="00C51090"/>
    <w:rsid w:val="00C510B5"/>
    <w:rsid w:val="00C510C4"/>
    <w:rsid w:val="00C510D5"/>
    <w:rsid w:val="00C51114"/>
    <w:rsid w:val="00C5111E"/>
    <w:rsid w:val="00C5115A"/>
    <w:rsid w:val="00C5117A"/>
    <w:rsid w:val="00C5117C"/>
    <w:rsid w:val="00C511DD"/>
    <w:rsid w:val="00C5121F"/>
    <w:rsid w:val="00C51237"/>
    <w:rsid w:val="00C51248"/>
    <w:rsid w:val="00C5125D"/>
    <w:rsid w:val="00C51276"/>
    <w:rsid w:val="00C5133C"/>
    <w:rsid w:val="00C51342"/>
    <w:rsid w:val="00C513B8"/>
    <w:rsid w:val="00C513D9"/>
    <w:rsid w:val="00C51497"/>
    <w:rsid w:val="00C514AA"/>
    <w:rsid w:val="00C514D0"/>
    <w:rsid w:val="00C514F4"/>
    <w:rsid w:val="00C51500"/>
    <w:rsid w:val="00C51510"/>
    <w:rsid w:val="00C51553"/>
    <w:rsid w:val="00C51568"/>
    <w:rsid w:val="00C5157B"/>
    <w:rsid w:val="00C515DC"/>
    <w:rsid w:val="00C516AC"/>
    <w:rsid w:val="00C516B5"/>
    <w:rsid w:val="00C51741"/>
    <w:rsid w:val="00C51752"/>
    <w:rsid w:val="00C5175F"/>
    <w:rsid w:val="00C51765"/>
    <w:rsid w:val="00C51771"/>
    <w:rsid w:val="00C517AE"/>
    <w:rsid w:val="00C517CA"/>
    <w:rsid w:val="00C517D3"/>
    <w:rsid w:val="00C517E2"/>
    <w:rsid w:val="00C51828"/>
    <w:rsid w:val="00C5192C"/>
    <w:rsid w:val="00C5196B"/>
    <w:rsid w:val="00C519C9"/>
    <w:rsid w:val="00C51A04"/>
    <w:rsid w:val="00C51A07"/>
    <w:rsid w:val="00C51A14"/>
    <w:rsid w:val="00C51A88"/>
    <w:rsid w:val="00C51AA3"/>
    <w:rsid w:val="00C51AAB"/>
    <w:rsid w:val="00C51AEA"/>
    <w:rsid w:val="00C51B69"/>
    <w:rsid w:val="00C51C38"/>
    <w:rsid w:val="00C51C3C"/>
    <w:rsid w:val="00C51C53"/>
    <w:rsid w:val="00C51C69"/>
    <w:rsid w:val="00C51CD2"/>
    <w:rsid w:val="00C51CDD"/>
    <w:rsid w:val="00C51CE6"/>
    <w:rsid w:val="00C51D26"/>
    <w:rsid w:val="00C51D57"/>
    <w:rsid w:val="00C51D68"/>
    <w:rsid w:val="00C51E77"/>
    <w:rsid w:val="00C51E7D"/>
    <w:rsid w:val="00C51EF7"/>
    <w:rsid w:val="00C51FCE"/>
    <w:rsid w:val="00C51FDD"/>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24"/>
    <w:rsid w:val="00C52527"/>
    <w:rsid w:val="00C5253F"/>
    <w:rsid w:val="00C52554"/>
    <w:rsid w:val="00C525C1"/>
    <w:rsid w:val="00C5263A"/>
    <w:rsid w:val="00C52672"/>
    <w:rsid w:val="00C52692"/>
    <w:rsid w:val="00C5269F"/>
    <w:rsid w:val="00C526DA"/>
    <w:rsid w:val="00C526FD"/>
    <w:rsid w:val="00C52792"/>
    <w:rsid w:val="00C52856"/>
    <w:rsid w:val="00C528BB"/>
    <w:rsid w:val="00C528D1"/>
    <w:rsid w:val="00C52947"/>
    <w:rsid w:val="00C5294D"/>
    <w:rsid w:val="00C52973"/>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5C"/>
    <w:rsid w:val="00C53096"/>
    <w:rsid w:val="00C530CD"/>
    <w:rsid w:val="00C530F0"/>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3BD"/>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82"/>
    <w:rsid w:val="00C53989"/>
    <w:rsid w:val="00C539E3"/>
    <w:rsid w:val="00C539EE"/>
    <w:rsid w:val="00C539FB"/>
    <w:rsid w:val="00C53A0D"/>
    <w:rsid w:val="00C53A2B"/>
    <w:rsid w:val="00C53A37"/>
    <w:rsid w:val="00C53A3E"/>
    <w:rsid w:val="00C53ACA"/>
    <w:rsid w:val="00C53AF9"/>
    <w:rsid w:val="00C53B2E"/>
    <w:rsid w:val="00C53B32"/>
    <w:rsid w:val="00C53B47"/>
    <w:rsid w:val="00C53B70"/>
    <w:rsid w:val="00C53BB8"/>
    <w:rsid w:val="00C53C33"/>
    <w:rsid w:val="00C53D44"/>
    <w:rsid w:val="00C53DE7"/>
    <w:rsid w:val="00C53DF2"/>
    <w:rsid w:val="00C53DF3"/>
    <w:rsid w:val="00C53E39"/>
    <w:rsid w:val="00C53E4B"/>
    <w:rsid w:val="00C53E92"/>
    <w:rsid w:val="00C53EB4"/>
    <w:rsid w:val="00C53ED8"/>
    <w:rsid w:val="00C53EE4"/>
    <w:rsid w:val="00C53F3B"/>
    <w:rsid w:val="00C53F9C"/>
    <w:rsid w:val="00C54043"/>
    <w:rsid w:val="00C54070"/>
    <w:rsid w:val="00C5409F"/>
    <w:rsid w:val="00C54109"/>
    <w:rsid w:val="00C54138"/>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FA"/>
    <w:rsid w:val="00C54648"/>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9FE"/>
    <w:rsid w:val="00C54A35"/>
    <w:rsid w:val="00C54A59"/>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512"/>
    <w:rsid w:val="00C5552C"/>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C9"/>
    <w:rsid w:val="00C559FD"/>
    <w:rsid w:val="00C55A33"/>
    <w:rsid w:val="00C55A86"/>
    <w:rsid w:val="00C55AF2"/>
    <w:rsid w:val="00C55B1A"/>
    <w:rsid w:val="00C55B23"/>
    <w:rsid w:val="00C55B8A"/>
    <w:rsid w:val="00C55BCC"/>
    <w:rsid w:val="00C55BE9"/>
    <w:rsid w:val="00C55BF2"/>
    <w:rsid w:val="00C55C34"/>
    <w:rsid w:val="00C55C75"/>
    <w:rsid w:val="00C55D64"/>
    <w:rsid w:val="00C55D8F"/>
    <w:rsid w:val="00C55E0B"/>
    <w:rsid w:val="00C55E57"/>
    <w:rsid w:val="00C55E65"/>
    <w:rsid w:val="00C55E93"/>
    <w:rsid w:val="00C55E96"/>
    <w:rsid w:val="00C55EA9"/>
    <w:rsid w:val="00C55EDA"/>
    <w:rsid w:val="00C55F7D"/>
    <w:rsid w:val="00C55F8A"/>
    <w:rsid w:val="00C55F8F"/>
    <w:rsid w:val="00C55F90"/>
    <w:rsid w:val="00C55FF8"/>
    <w:rsid w:val="00C56024"/>
    <w:rsid w:val="00C5605D"/>
    <w:rsid w:val="00C5606B"/>
    <w:rsid w:val="00C56091"/>
    <w:rsid w:val="00C560C8"/>
    <w:rsid w:val="00C560EA"/>
    <w:rsid w:val="00C560FE"/>
    <w:rsid w:val="00C56150"/>
    <w:rsid w:val="00C561AB"/>
    <w:rsid w:val="00C561F8"/>
    <w:rsid w:val="00C56222"/>
    <w:rsid w:val="00C56267"/>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6F"/>
    <w:rsid w:val="00C56EB4"/>
    <w:rsid w:val="00C56EFB"/>
    <w:rsid w:val="00C56F28"/>
    <w:rsid w:val="00C56F46"/>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18"/>
    <w:rsid w:val="00C5775F"/>
    <w:rsid w:val="00C57763"/>
    <w:rsid w:val="00C57777"/>
    <w:rsid w:val="00C577C2"/>
    <w:rsid w:val="00C577FA"/>
    <w:rsid w:val="00C57820"/>
    <w:rsid w:val="00C5785C"/>
    <w:rsid w:val="00C5789B"/>
    <w:rsid w:val="00C57942"/>
    <w:rsid w:val="00C579D4"/>
    <w:rsid w:val="00C579E8"/>
    <w:rsid w:val="00C57A08"/>
    <w:rsid w:val="00C57ABB"/>
    <w:rsid w:val="00C57AF4"/>
    <w:rsid w:val="00C57B10"/>
    <w:rsid w:val="00C57BDD"/>
    <w:rsid w:val="00C57C0F"/>
    <w:rsid w:val="00C57CE4"/>
    <w:rsid w:val="00C57D9D"/>
    <w:rsid w:val="00C57DC9"/>
    <w:rsid w:val="00C57DD3"/>
    <w:rsid w:val="00C57DD7"/>
    <w:rsid w:val="00C57DE0"/>
    <w:rsid w:val="00C57DF0"/>
    <w:rsid w:val="00C57DFA"/>
    <w:rsid w:val="00C57E08"/>
    <w:rsid w:val="00C57E56"/>
    <w:rsid w:val="00C57EB3"/>
    <w:rsid w:val="00C57EB4"/>
    <w:rsid w:val="00C57F09"/>
    <w:rsid w:val="00C57F67"/>
    <w:rsid w:val="00C57F8D"/>
    <w:rsid w:val="00C57F8F"/>
    <w:rsid w:val="00C57FA4"/>
    <w:rsid w:val="00C57FB3"/>
    <w:rsid w:val="00C6003F"/>
    <w:rsid w:val="00C6005B"/>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518"/>
    <w:rsid w:val="00C6051E"/>
    <w:rsid w:val="00C60580"/>
    <w:rsid w:val="00C605C1"/>
    <w:rsid w:val="00C60646"/>
    <w:rsid w:val="00C60656"/>
    <w:rsid w:val="00C60677"/>
    <w:rsid w:val="00C606C6"/>
    <w:rsid w:val="00C60708"/>
    <w:rsid w:val="00C60717"/>
    <w:rsid w:val="00C6071E"/>
    <w:rsid w:val="00C6072A"/>
    <w:rsid w:val="00C6075B"/>
    <w:rsid w:val="00C60787"/>
    <w:rsid w:val="00C607A9"/>
    <w:rsid w:val="00C607B5"/>
    <w:rsid w:val="00C607CC"/>
    <w:rsid w:val="00C607F7"/>
    <w:rsid w:val="00C6081A"/>
    <w:rsid w:val="00C608C0"/>
    <w:rsid w:val="00C608C8"/>
    <w:rsid w:val="00C60915"/>
    <w:rsid w:val="00C60936"/>
    <w:rsid w:val="00C60974"/>
    <w:rsid w:val="00C609C3"/>
    <w:rsid w:val="00C609FC"/>
    <w:rsid w:val="00C60A3D"/>
    <w:rsid w:val="00C60A82"/>
    <w:rsid w:val="00C60A9A"/>
    <w:rsid w:val="00C60AD3"/>
    <w:rsid w:val="00C60B3A"/>
    <w:rsid w:val="00C60B42"/>
    <w:rsid w:val="00C60BFB"/>
    <w:rsid w:val="00C60C87"/>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82"/>
    <w:rsid w:val="00C60EBD"/>
    <w:rsid w:val="00C60EBF"/>
    <w:rsid w:val="00C60EC2"/>
    <w:rsid w:val="00C60ECC"/>
    <w:rsid w:val="00C60EF8"/>
    <w:rsid w:val="00C60F30"/>
    <w:rsid w:val="00C60F3D"/>
    <w:rsid w:val="00C60F40"/>
    <w:rsid w:val="00C60FA7"/>
    <w:rsid w:val="00C60FD0"/>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AE"/>
    <w:rsid w:val="00C616EA"/>
    <w:rsid w:val="00C616EF"/>
    <w:rsid w:val="00C6170E"/>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7D"/>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1F3"/>
    <w:rsid w:val="00C6227F"/>
    <w:rsid w:val="00C62352"/>
    <w:rsid w:val="00C623BA"/>
    <w:rsid w:val="00C623C2"/>
    <w:rsid w:val="00C623C9"/>
    <w:rsid w:val="00C62415"/>
    <w:rsid w:val="00C6245E"/>
    <w:rsid w:val="00C624DD"/>
    <w:rsid w:val="00C624EF"/>
    <w:rsid w:val="00C6254F"/>
    <w:rsid w:val="00C6257C"/>
    <w:rsid w:val="00C625AD"/>
    <w:rsid w:val="00C625BA"/>
    <w:rsid w:val="00C6264F"/>
    <w:rsid w:val="00C6266A"/>
    <w:rsid w:val="00C62685"/>
    <w:rsid w:val="00C626AD"/>
    <w:rsid w:val="00C62773"/>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36"/>
    <w:rsid w:val="00C62C5C"/>
    <w:rsid w:val="00C62C80"/>
    <w:rsid w:val="00C62C85"/>
    <w:rsid w:val="00C62CA4"/>
    <w:rsid w:val="00C62CE1"/>
    <w:rsid w:val="00C62CE5"/>
    <w:rsid w:val="00C62D61"/>
    <w:rsid w:val="00C62D76"/>
    <w:rsid w:val="00C62DD0"/>
    <w:rsid w:val="00C62E01"/>
    <w:rsid w:val="00C62E3F"/>
    <w:rsid w:val="00C62E9B"/>
    <w:rsid w:val="00C62EEF"/>
    <w:rsid w:val="00C62F2F"/>
    <w:rsid w:val="00C62F84"/>
    <w:rsid w:val="00C62FF1"/>
    <w:rsid w:val="00C6300D"/>
    <w:rsid w:val="00C6302D"/>
    <w:rsid w:val="00C63042"/>
    <w:rsid w:val="00C63046"/>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72"/>
    <w:rsid w:val="00C635C8"/>
    <w:rsid w:val="00C635D2"/>
    <w:rsid w:val="00C63608"/>
    <w:rsid w:val="00C6361A"/>
    <w:rsid w:val="00C6361E"/>
    <w:rsid w:val="00C63689"/>
    <w:rsid w:val="00C636A7"/>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CC"/>
    <w:rsid w:val="00C63CDD"/>
    <w:rsid w:val="00C63D1D"/>
    <w:rsid w:val="00C63D22"/>
    <w:rsid w:val="00C63D4D"/>
    <w:rsid w:val="00C63D63"/>
    <w:rsid w:val="00C63D85"/>
    <w:rsid w:val="00C63E06"/>
    <w:rsid w:val="00C63E07"/>
    <w:rsid w:val="00C63E8F"/>
    <w:rsid w:val="00C63F1F"/>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4"/>
    <w:rsid w:val="00C6457A"/>
    <w:rsid w:val="00C64580"/>
    <w:rsid w:val="00C645C8"/>
    <w:rsid w:val="00C64641"/>
    <w:rsid w:val="00C6464A"/>
    <w:rsid w:val="00C647A1"/>
    <w:rsid w:val="00C647AE"/>
    <w:rsid w:val="00C647CC"/>
    <w:rsid w:val="00C647D6"/>
    <w:rsid w:val="00C647EC"/>
    <w:rsid w:val="00C6480F"/>
    <w:rsid w:val="00C6488F"/>
    <w:rsid w:val="00C6489E"/>
    <w:rsid w:val="00C648CC"/>
    <w:rsid w:val="00C64918"/>
    <w:rsid w:val="00C6491A"/>
    <w:rsid w:val="00C64936"/>
    <w:rsid w:val="00C64990"/>
    <w:rsid w:val="00C649D5"/>
    <w:rsid w:val="00C649EF"/>
    <w:rsid w:val="00C64A69"/>
    <w:rsid w:val="00C64AC3"/>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3B"/>
    <w:rsid w:val="00C6503F"/>
    <w:rsid w:val="00C6508C"/>
    <w:rsid w:val="00C650BE"/>
    <w:rsid w:val="00C650D2"/>
    <w:rsid w:val="00C6512C"/>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9E"/>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D8"/>
    <w:rsid w:val="00C65F45"/>
    <w:rsid w:val="00C65F69"/>
    <w:rsid w:val="00C65F79"/>
    <w:rsid w:val="00C65FA1"/>
    <w:rsid w:val="00C6606B"/>
    <w:rsid w:val="00C66185"/>
    <w:rsid w:val="00C66187"/>
    <w:rsid w:val="00C661E0"/>
    <w:rsid w:val="00C66237"/>
    <w:rsid w:val="00C6624C"/>
    <w:rsid w:val="00C662F7"/>
    <w:rsid w:val="00C6630D"/>
    <w:rsid w:val="00C66359"/>
    <w:rsid w:val="00C66374"/>
    <w:rsid w:val="00C663C6"/>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A8"/>
    <w:rsid w:val="00C66FD5"/>
    <w:rsid w:val="00C66FF4"/>
    <w:rsid w:val="00C66FF7"/>
    <w:rsid w:val="00C67010"/>
    <w:rsid w:val="00C6703B"/>
    <w:rsid w:val="00C67083"/>
    <w:rsid w:val="00C67167"/>
    <w:rsid w:val="00C67180"/>
    <w:rsid w:val="00C6722F"/>
    <w:rsid w:val="00C67297"/>
    <w:rsid w:val="00C6732F"/>
    <w:rsid w:val="00C6734F"/>
    <w:rsid w:val="00C673C5"/>
    <w:rsid w:val="00C67431"/>
    <w:rsid w:val="00C6745A"/>
    <w:rsid w:val="00C67467"/>
    <w:rsid w:val="00C674A6"/>
    <w:rsid w:val="00C674B3"/>
    <w:rsid w:val="00C674F9"/>
    <w:rsid w:val="00C67503"/>
    <w:rsid w:val="00C6755D"/>
    <w:rsid w:val="00C675EC"/>
    <w:rsid w:val="00C676C4"/>
    <w:rsid w:val="00C676DB"/>
    <w:rsid w:val="00C676E0"/>
    <w:rsid w:val="00C676E6"/>
    <w:rsid w:val="00C676EE"/>
    <w:rsid w:val="00C67775"/>
    <w:rsid w:val="00C677B6"/>
    <w:rsid w:val="00C677FB"/>
    <w:rsid w:val="00C67817"/>
    <w:rsid w:val="00C678BB"/>
    <w:rsid w:val="00C6791B"/>
    <w:rsid w:val="00C6792C"/>
    <w:rsid w:val="00C67947"/>
    <w:rsid w:val="00C67971"/>
    <w:rsid w:val="00C67990"/>
    <w:rsid w:val="00C67991"/>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9"/>
    <w:rsid w:val="00C67D9F"/>
    <w:rsid w:val="00C67DC4"/>
    <w:rsid w:val="00C67E24"/>
    <w:rsid w:val="00C67E82"/>
    <w:rsid w:val="00C67EAE"/>
    <w:rsid w:val="00C67F66"/>
    <w:rsid w:val="00C67FE5"/>
    <w:rsid w:val="00C70000"/>
    <w:rsid w:val="00C70072"/>
    <w:rsid w:val="00C700B1"/>
    <w:rsid w:val="00C700B4"/>
    <w:rsid w:val="00C700C0"/>
    <w:rsid w:val="00C700C6"/>
    <w:rsid w:val="00C700E4"/>
    <w:rsid w:val="00C700E7"/>
    <w:rsid w:val="00C70124"/>
    <w:rsid w:val="00C7018F"/>
    <w:rsid w:val="00C701C0"/>
    <w:rsid w:val="00C701FD"/>
    <w:rsid w:val="00C70210"/>
    <w:rsid w:val="00C70257"/>
    <w:rsid w:val="00C702C4"/>
    <w:rsid w:val="00C70309"/>
    <w:rsid w:val="00C7034A"/>
    <w:rsid w:val="00C70368"/>
    <w:rsid w:val="00C703C5"/>
    <w:rsid w:val="00C703C7"/>
    <w:rsid w:val="00C70431"/>
    <w:rsid w:val="00C7047D"/>
    <w:rsid w:val="00C7055E"/>
    <w:rsid w:val="00C70589"/>
    <w:rsid w:val="00C705D4"/>
    <w:rsid w:val="00C705F1"/>
    <w:rsid w:val="00C70604"/>
    <w:rsid w:val="00C7062A"/>
    <w:rsid w:val="00C70632"/>
    <w:rsid w:val="00C70633"/>
    <w:rsid w:val="00C70656"/>
    <w:rsid w:val="00C70704"/>
    <w:rsid w:val="00C70708"/>
    <w:rsid w:val="00C70718"/>
    <w:rsid w:val="00C7073C"/>
    <w:rsid w:val="00C707D9"/>
    <w:rsid w:val="00C707E4"/>
    <w:rsid w:val="00C7081D"/>
    <w:rsid w:val="00C70873"/>
    <w:rsid w:val="00C70874"/>
    <w:rsid w:val="00C70890"/>
    <w:rsid w:val="00C708C5"/>
    <w:rsid w:val="00C709DD"/>
    <w:rsid w:val="00C70A82"/>
    <w:rsid w:val="00C70AC8"/>
    <w:rsid w:val="00C70AD6"/>
    <w:rsid w:val="00C70B08"/>
    <w:rsid w:val="00C70B1E"/>
    <w:rsid w:val="00C70B37"/>
    <w:rsid w:val="00C70B49"/>
    <w:rsid w:val="00C70B91"/>
    <w:rsid w:val="00C70BAB"/>
    <w:rsid w:val="00C70BC5"/>
    <w:rsid w:val="00C70BE6"/>
    <w:rsid w:val="00C70CA5"/>
    <w:rsid w:val="00C70CAF"/>
    <w:rsid w:val="00C70CCF"/>
    <w:rsid w:val="00C70D08"/>
    <w:rsid w:val="00C70D64"/>
    <w:rsid w:val="00C70DA4"/>
    <w:rsid w:val="00C70DD8"/>
    <w:rsid w:val="00C70E09"/>
    <w:rsid w:val="00C70E48"/>
    <w:rsid w:val="00C70F31"/>
    <w:rsid w:val="00C70F44"/>
    <w:rsid w:val="00C70F58"/>
    <w:rsid w:val="00C70F71"/>
    <w:rsid w:val="00C70FAD"/>
    <w:rsid w:val="00C70FD9"/>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14"/>
    <w:rsid w:val="00C7136D"/>
    <w:rsid w:val="00C7137F"/>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FC"/>
    <w:rsid w:val="00C71909"/>
    <w:rsid w:val="00C71997"/>
    <w:rsid w:val="00C71A2F"/>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E5D"/>
    <w:rsid w:val="00C71E93"/>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94"/>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65"/>
    <w:rsid w:val="00C732CF"/>
    <w:rsid w:val="00C73351"/>
    <w:rsid w:val="00C73353"/>
    <w:rsid w:val="00C7336F"/>
    <w:rsid w:val="00C73388"/>
    <w:rsid w:val="00C73398"/>
    <w:rsid w:val="00C7339E"/>
    <w:rsid w:val="00C733A4"/>
    <w:rsid w:val="00C733A5"/>
    <w:rsid w:val="00C733B4"/>
    <w:rsid w:val="00C733BC"/>
    <w:rsid w:val="00C733D5"/>
    <w:rsid w:val="00C733FD"/>
    <w:rsid w:val="00C7342B"/>
    <w:rsid w:val="00C7344A"/>
    <w:rsid w:val="00C7345F"/>
    <w:rsid w:val="00C73482"/>
    <w:rsid w:val="00C73485"/>
    <w:rsid w:val="00C734D0"/>
    <w:rsid w:val="00C7354A"/>
    <w:rsid w:val="00C735B0"/>
    <w:rsid w:val="00C73601"/>
    <w:rsid w:val="00C73661"/>
    <w:rsid w:val="00C73680"/>
    <w:rsid w:val="00C73694"/>
    <w:rsid w:val="00C736AE"/>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6"/>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97"/>
    <w:rsid w:val="00C73DD9"/>
    <w:rsid w:val="00C73E17"/>
    <w:rsid w:val="00C73E2B"/>
    <w:rsid w:val="00C73E47"/>
    <w:rsid w:val="00C73ED4"/>
    <w:rsid w:val="00C73EED"/>
    <w:rsid w:val="00C73EF0"/>
    <w:rsid w:val="00C73EF2"/>
    <w:rsid w:val="00C73F09"/>
    <w:rsid w:val="00C73F5D"/>
    <w:rsid w:val="00C73F7C"/>
    <w:rsid w:val="00C73F82"/>
    <w:rsid w:val="00C73F8E"/>
    <w:rsid w:val="00C73F98"/>
    <w:rsid w:val="00C73FDA"/>
    <w:rsid w:val="00C74017"/>
    <w:rsid w:val="00C7401B"/>
    <w:rsid w:val="00C7403F"/>
    <w:rsid w:val="00C74046"/>
    <w:rsid w:val="00C740B5"/>
    <w:rsid w:val="00C740BE"/>
    <w:rsid w:val="00C74111"/>
    <w:rsid w:val="00C74171"/>
    <w:rsid w:val="00C7434E"/>
    <w:rsid w:val="00C74351"/>
    <w:rsid w:val="00C74370"/>
    <w:rsid w:val="00C74412"/>
    <w:rsid w:val="00C74442"/>
    <w:rsid w:val="00C7447A"/>
    <w:rsid w:val="00C74493"/>
    <w:rsid w:val="00C744BE"/>
    <w:rsid w:val="00C744E5"/>
    <w:rsid w:val="00C745A9"/>
    <w:rsid w:val="00C745F9"/>
    <w:rsid w:val="00C7466A"/>
    <w:rsid w:val="00C74680"/>
    <w:rsid w:val="00C746D5"/>
    <w:rsid w:val="00C746F6"/>
    <w:rsid w:val="00C74703"/>
    <w:rsid w:val="00C74769"/>
    <w:rsid w:val="00C74796"/>
    <w:rsid w:val="00C7484C"/>
    <w:rsid w:val="00C7487A"/>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F7"/>
    <w:rsid w:val="00C74C66"/>
    <w:rsid w:val="00C74C83"/>
    <w:rsid w:val="00C74C86"/>
    <w:rsid w:val="00C74C99"/>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F8"/>
    <w:rsid w:val="00C7520F"/>
    <w:rsid w:val="00C75225"/>
    <w:rsid w:val="00C752CA"/>
    <w:rsid w:val="00C753DB"/>
    <w:rsid w:val="00C75405"/>
    <w:rsid w:val="00C7541C"/>
    <w:rsid w:val="00C75427"/>
    <w:rsid w:val="00C7544F"/>
    <w:rsid w:val="00C75463"/>
    <w:rsid w:val="00C75476"/>
    <w:rsid w:val="00C75496"/>
    <w:rsid w:val="00C7552E"/>
    <w:rsid w:val="00C75563"/>
    <w:rsid w:val="00C755AD"/>
    <w:rsid w:val="00C755AF"/>
    <w:rsid w:val="00C755B3"/>
    <w:rsid w:val="00C755D0"/>
    <w:rsid w:val="00C7565F"/>
    <w:rsid w:val="00C7567E"/>
    <w:rsid w:val="00C75696"/>
    <w:rsid w:val="00C7572E"/>
    <w:rsid w:val="00C7573F"/>
    <w:rsid w:val="00C75750"/>
    <w:rsid w:val="00C7577A"/>
    <w:rsid w:val="00C75794"/>
    <w:rsid w:val="00C757B8"/>
    <w:rsid w:val="00C757CA"/>
    <w:rsid w:val="00C757E7"/>
    <w:rsid w:val="00C757E8"/>
    <w:rsid w:val="00C75851"/>
    <w:rsid w:val="00C75871"/>
    <w:rsid w:val="00C758BD"/>
    <w:rsid w:val="00C75905"/>
    <w:rsid w:val="00C75917"/>
    <w:rsid w:val="00C75938"/>
    <w:rsid w:val="00C75946"/>
    <w:rsid w:val="00C75955"/>
    <w:rsid w:val="00C75967"/>
    <w:rsid w:val="00C75A12"/>
    <w:rsid w:val="00C75A2D"/>
    <w:rsid w:val="00C75A46"/>
    <w:rsid w:val="00C75A4D"/>
    <w:rsid w:val="00C75A4F"/>
    <w:rsid w:val="00C75A8B"/>
    <w:rsid w:val="00C75AA8"/>
    <w:rsid w:val="00C75AED"/>
    <w:rsid w:val="00C75B6E"/>
    <w:rsid w:val="00C75B89"/>
    <w:rsid w:val="00C75B8E"/>
    <w:rsid w:val="00C75B9F"/>
    <w:rsid w:val="00C75BDD"/>
    <w:rsid w:val="00C75C1C"/>
    <w:rsid w:val="00C75C1F"/>
    <w:rsid w:val="00C75C2B"/>
    <w:rsid w:val="00C75C6F"/>
    <w:rsid w:val="00C75C70"/>
    <w:rsid w:val="00C75CA8"/>
    <w:rsid w:val="00C75CF3"/>
    <w:rsid w:val="00C75D77"/>
    <w:rsid w:val="00C75D7B"/>
    <w:rsid w:val="00C75DCB"/>
    <w:rsid w:val="00C75E3D"/>
    <w:rsid w:val="00C75E52"/>
    <w:rsid w:val="00C75E79"/>
    <w:rsid w:val="00C75EA9"/>
    <w:rsid w:val="00C75EEB"/>
    <w:rsid w:val="00C75F1E"/>
    <w:rsid w:val="00C75F58"/>
    <w:rsid w:val="00C75F76"/>
    <w:rsid w:val="00C75F78"/>
    <w:rsid w:val="00C75F83"/>
    <w:rsid w:val="00C7606B"/>
    <w:rsid w:val="00C760FA"/>
    <w:rsid w:val="00C76109"/>
    <w:rsid w:val="00C76126"/>
    <w:rsid w:val="00C761EA"/>
    <w:rsid w:val="00C761FC"/>
    <w:rsid w:val="00C76233"/>
    <w:rsid w:val="00C7625D"/>
    <w:rsid w:val="00C76273"/>
    <w:rsid w:val="00C762E5"/>
    <w:rsid w:val="00C762F6"/>
    <w:rsid w:val="00C76353"/>
    <w:rsid w:val="00C763A1"/>
    <w:rsid w:val="00C763A5"/>
    <w:rsid w:val="00C763B1"/>
    <w:rsid w:val="00C76481"/>
    <w:rsid w:val="00C7649A"/>
    <w:rsid w:val="00C764E6"/>
    <w:rsid w:val="00C76568"/>
    <w:rsid w:val="00C76569"/>
    <w:rsid w:val="00C765B6"/>
    <w:rsid w:val="00C765C2"/>
    <w:rsid w:val="00C765E1"/>
    <w:rsid w:val="00C7660D"/>
    <w:rsid w:val="00C76685"/>
    <w:rsid w:val="00C76694"/>
    <w:rsid w:val="00C766AB"/>
    <w:rsid w:val="00C766B4"/>
    <w:rsid w:val="00C766DB"/>
    <w:rsid w:val="00C766F3"/>
    <w:rsid w:val="00C76754"/>
    <w:rsid w:val="00C767AB"/>
    <w:rsid w:val="00C767D6"/>
    <w:rsid w:val="00C767E2"/>
    <w:rsid w:val="00C76832"/>
    <w:rsid w:val="00C7683B"/>
    <w:rsid w:val="00C76842"/>
    <w:rsid w:val="00C768A7"/>
    <w:rsid w:val="00C76933"/>
    <w:rsid w:val="00C76971"/>
    <w:rsid w:val="00C7698D"/>
    <w:rsid w:val="00C769A2"/>
    <w:rsid w:val="00C769D0"/>
    <w:rsid w:val="00C769EC"/>
    <w:rsid w:val="00C769F3"/>
    <w:rsid w:val="00C76A00"/>
    <w:rsid w:val="00C76A1E"/>
    <w:rsid w:val="00C76AD9"/>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B7"/>
    <w:rsid w:val="00C770B8"/>
    <w:rsid w:val="00C77129"/>
    <w:rsid w:val="00C77144"/>
    <w:rsid w:val="00C7726B"/>
    <w:rsid w:val="00C7727B"/>
    <w:rsid w:val="00C7727D"/>
    <w:rsid w:val="00C772FA"/>
    <w:rsid w:val="00C7730E"/>
    <w:rsid w:val="00C77375"/>
    <w:rsid w:val="00C773B6"/>
    <w:rsid w:val="00C77469"/>
    <w:rsid w:val="00C77488"/>
    <w:rsid w:val="00C774A0"/>
    <w:rsid w:val="00C774B6"/>
    <w:rsid w:val="00C774D8"/>
    <w:rsid w:val="00C774E1"/>
    <w:rsid w:val="00C774E6"/>
    <w:rsid w:val="00C77573"/>
    <w:rsid w:val="00C7758A"/>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01"/>
    <w:rsid w:val="00C77917"/>
    <w:rsid w:val="00C77940"/>
    <w:rsid w:val="00C77967"/>
    <w:rsid w:val="00C77971"/>
    <w:rsid w:val="00C7797A"/>
    <w:rsid w:val="00C7799C"/>
    <w:rsid w:val="00C77A49"/>
    <w:rsid w:val="00C77A75"/>
    <w:rsid w:val="00C77A81"/>
    <w:rsid w:val="00C77A89"/>
    <w:rsid w:val="00C77A94"/>
    <w:rsid w:val="00C77A97"/>
    <w:rsid w:val="00C77B0B"/>
    <w:rsid w:val="00C77B22"/>
    <w:rsid w:val="00C77B50"/>
    <w:rsid w:val="00C77BC0"/>
    <w:rsid w:val="00C77C34"/>
    <w:rsid w:val="00C77C35"/>
    <w:rsid w:val="00C77C3E"/>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8002B"/>
    <w:rsid w:val="00C8002F"/>
    <w:rsid w:val="00C8003C"/>
    <w:rsid w:val="00C8005D"/>
    <w:rsid w:val="00C8007D"/>
    <w:rsid w:val="00C800C5"/>
    <w:rsid w:val="00C80160"/>
    <w:rsid w:val="00C801A0"/>
    <w:rsid w:val="00C801BA"/>
    <w:rsid w:val="00C801CC"/>
    <w:rsid w:val="00C801D0"/>
    <w:rsid w:val="00C8022B"/>
    <w:rsid w:val="00C8022C"/>
    <w:rsid w:val="00C80267"/>
    <w:rsid w:val="00C80341"/>
    <w:rsid w:val="00C803A7"/>
    <w:rsid w:val="00C80405"/>
    <w:rsid w:val="00C80412"/>
    <w:rsid w:val="00C8044D"/>
    <w:rsid w:val="00C8048C"/>
    <w:rsid w:val="00C80550"/>
    <w:rsid w:val="00C80572"/>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1D"/>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0CB"/>
    <w:rsid w:val="00C8214A"/>
    <w:rsid w:val="00C82165"/>
    <w:rsid w:val="00C821B8"/>
    <w:rsid w:val="00C821ED"/>
    <w:rsid w:val="00C821FB"/>
    <w:rsid w:val="00C82202"/>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62B"/>
    <w:rsid w:val="00C82634"/>
    <w:rsid w:val="00C8264C"/>
    <w:rsid w:val="00C826CE"/>
    <w:rsid w:val="00C826FB"/>
    <w:rsid w:val="00C8270E"/>
    <w:rsid w:val="00C82729"/>
    <w:rsid w:val="00C82742"/>
    <w:rsid w:val="00C82772"/>
    <w:rsid w:val="00C8287B"/>
    <w:rsid w:val="00C8288B"/>
    <w:rsid w:val="00C828F8"/>
    <w:rsid w:val="00C828FC"/>
    <w:rsid w:val="00C82902"/>
    <w:rsid w:val="00C82927"/>
    <w:rsid w:val="00C82934"/>
    <w:rsid w:val="00C82937"/>
    <w:rsid w:val="00C82A11"/>
    <w:rsid w:val="00C82BA2"/>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84"/>
    <w:rsid w:val="00C82EE6"/>
    <w:rsid w:val="00C82F1C"/>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9"/>
    <w:rsid w:val="00C838EF"/>
    <w:rsid w:val="00C83910"/>
    <w:rsid w:val="00C83916"/>
    <w:rsid w:val="00C8396C"/>
    <w:rsid w:val="00C8396F"/>
    <w:rsid w:val="00C839AA"/>
    <w:rsid w:val="00C83A41"/>
    <w:rsid w:val="00C83A93"/>
    <w:rsid w:val="00C83B34"/>
    <w:rsid w:val="00C83B4C"/>
    <w:rsid w:val="00C83B59"/>
    <w:rsid w:val="00C83B5B"/>
    <w:rsid w:val="00C83B71"/>
    <w:rsid w:val="00C83B75"/>
    <w:rsid w:val="00C83B98"/>
    <w:rsid w:val="00C83BCA"/>
    <w:rsid w:val="00C83C07"/>
    <w:rsid w:val="00C83C4A"/>
    <w:rsid w:val="00C83C60"/>
    <w:rsid w:val="00C83C7E"/>
    <w:rsid w:val="00C83C86"/>
    <w:rsid w:val="00C83CCB"/>
    <w:rsid w:val="00C83CD8"/>
    <w:rsid w:val="00C83CEC"/>
    <w:rsid w:val="00C83D43"/>
    <w:rsid w:val="00C83D6B"/>
    <w:rsid w:val="00C83D6C"/>
    <w:rsid w:val="00C83D6E"/>
    <w:rsid w:val="00C83D7A"/>
    <w:rsid w:val="00C83D86"/>
    <w:rsid w:val="00C83DA3"/>
    <w:rsid w:val="00C83E1C"/>
    <w:rsid w:val="00C83E3F"/>
    <w:rsid w:val="00C83E44"/>
    <w:rsid w:val="00C83EAB"/>
    <w:rsid w:val="00C83EAC"/>
    <w:rsid w:val="00C83EAE"/>
    <w:rsid w:val="00C83EBF"/>
    <w:rsid w:val="00C83EE4"/>
    <w:rsid w:val="00C83F52"/>
    <w:rsid w:val="00C8400B"/>
    <w:rsid w:val="00C8403D"/>
    <w:rsid w:val="00C84058"/>
    <w:rsid w:val="00C84089"/>
    <w:rsid w:val="00C840A1"/>
    <w:rsid w:val="00C8410C"/>
    <w:rsid w:val="00C84122"/>
    <w:rsid w:val="00C84192"/>
    <w:rsid w:val="00C841D8"/>
    <w:rsid w:val="00C841F1"/>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B1"/>
    <w:rsid w:val="00C846B5"/>
    <w:rsid w:val="00C84709"/>
    <w:rsid w:val="00C84715"/>
    <w:rsid w:val="00C8474F"/>
    <w:rsid w:val="00C847C5"/>
    <w:rsid w:val="00C847DC"/>
    <w:rsid w:val="00C84805"/>
    <w:rsid w:val="00C8481E"/>
    <w:rsid w:val="00C848B8"/>
    <w:rsid w:val="00C848F6"/>
    <w:rsid w:val="00C8491B"/>
    <w:rsid w:val="00C8493E"/>
    <w:rsid w:val="00C84949"/>
    <w:rsid w:val="00C8495F"/>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F08"/>
    <w:rsid w:val="00C84F23"/>
    <w:rsid w:val="00C84F35"/>
    <w:rsid w:val="00C84F79"/>
    <w:rsid w:val="00C84F80"/>
    <w:rsid w:val="00C84FAF"/>
    <w:rsid w:val="00C84FB2"/>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90"/>
    <w:rsid w:val="00C85447"/>
    <w:rsid w:val="00C8549A"/>
    <w:rsid w:val="00C85574"/>
    <w:rsid w:val="00C855C8"/>
    <w:rsid w:val="00C85614"/>
    <w:rsid w:val="00C85615"/>
    <w:rsid w:val="00C85697"/>
    <w:rsid w:val="00C856CA"/>
    <w:rsid w:val="00C8572E"/>
    <w:rsid w:val="00C857E1"/>
    <w:rsid w:val="00C857E5"/>
    <w:rsid w:val="00C8581D"/>
    <w:rsid w:val="00C85837"/>
    <w:rsid w:val="00C8583D"/>
    <w:rsid w:val="00C85878"/>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E"/>
    <w:rsid w:val="00C85C34"/>
    <w:rsid w:val="00C85CC2"/>
    <w:rsid w:val="00C85D67"/>
    <w:rsid w:val="00C85D9B"/>
    <w:rsid w:val="00C85DB8"/>
    <w:rsid w:val="00C85DE0"/>
    <w:rsid w:val="00C85EEA"/>
    <w:rsid w:val="00C85F00"/>
    <w:rsid w:val="00C85F09"/>
    <w:rsid w:val="00C85F73"/>
    <w:rsid w:val="00C85F99"/>
    <w:rsid w:val="00C85FC0"/>
    <w:rsid w:val="00C86013"/>
    <w:rsid w:val="00C86023"/>
    <w:rsid w:val="00C8602A"/>
    <w:rsid w:val="00C86053"/>
    <w:rsid w:val="00C86070"/>
    <w:rsid w:val="00C86080"/>
    <w:rsid w:val="00C860CF"/>
    <w:rsid w:val="00C860E9"/>
    <w:rsid w:val="00C8611A"/>
    <w:rsid w:val="00C8614C"/>
    <w:rsid w:val="00C861D7"/>
    <w:rsid w:val="00C862A3"/>
    <w:rsid w:val="00C862B0"/>
    <w:rsid w:val="00C862D3"/>
    <w:rsid w:val="00C862F6"/>
    <w:rsid w:val="00C8631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66"/>
    <w:rsid w:val="00C869F6"/>
    <w:rsid w:val="00C86A06"/>
    <w:rsid w:val="00C86A7B"/>
    <w:rsid w:val="00C86AA9"/>
    <w:rsid w:val="00C86B01"/>
    <w:rsid w:val="00C86B53"/>
    <w:rsid w:val="00C86BEF"/>
    <w:rsid w:val="00C86C48"/>
    <w:rsid w:val="00C86CF4"/>
    <w:rsid w:val="00C86D0D"/>
    <w:rsid w:val="00C86D32"/>
    <w:rsid w:val="00C86D76"/>
    <w:rsid w:val="00C86E24"/>
    <w:rsid w:val="00C86E79"/>
    <w:rsid w:val="00C86E8C"/>
    <w:rsid w:val="00C86EDA"/>
    <w:rsid w:val="00C86F0B"/>
    <w:rsid w:val="00C86F40"/>
    <w:rsid w:val="00C86FC0"/>
    <w:rsid w:val="00C86FE0"/>
    <w:rsid w:val="00C86FF6"/>
    <w:rsid w:val="00C87069"/>
    <w:rsid w:val="00C870D7"/>
    <w:rsid w:val="00C870DC"/>
    <w:rsid w:val="00C87151"/>
    <w:rsid w:val="00C8718F"/>
    <w:rsid w:val="00C87194"/>
    <w:rsid w:val="00C8719F"/>
    <w:rsid w:val="00C871B8"/>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97"/>
    <w:rsid w:val="00C875EC"/>
    <w:rsid w:val="00C87627"/>
    <w:rsid w:val="00C8762E"/>
    <w:rsid w:val="00C8762F"/>
    <w:rsid w:val="00C87660"/>
    <w:rsid w:val="00C8767D"/>
    <w:rsid w:val="00C876B5"/>
    <w:rsid w:val="00C87754"/>
    <w:rsid w:val="00C87758"/>
    <w:rsid w:val="00C87787"/>
    <w:rsid w:val="00C877B8"/>
    <w:rsid w:val="00C877D3"/>
    <w:rsid w:val="00C87848"/>
    <w:rsid w:val="00C87903"/>
    <w:rsid w:val="00C8791B"/>
    <w:rsid w:val="00C879BC"/>
    <w:rsid w:val="00C87A02"/>
    <w:rsid w:val="00C87A22"/>
    <w:rsid w:val="00C87A86"/>
    <w:rsid w:val="00C87A92"/>
    <w:rsid w:val="00C87AC9"/>
    <w:rsid w:val="00C87ACD"/>
    <w:rsid w:val="00C87AED"/>
    <w:rsid w:val="00C87B20"/>
    <w:rsid w:val="00C87B3E"/>
    <w:rsid w:val="00C87B60"/>
    <w:rsid w:val="00C87B67"/>
    <w:rsid w:val="00C87B7F"/>
    <w:rsid w:val="00C87B86"/>
    <w:rsid w:val="00C87C17"/>
    <w:rsid w:val="00C87C1B"/>
    <w:rsid w:val="00C87C2A"/>
    <w:rsid w:val="00C87CBF"/>
    <w:rsid w:val="00C87CE0"/>
    <w:rsid w:val="00C87DB5"/>
    <w:rsid w:val="00C87DD0"/>
    <w:rsid w:val="00C87DFF"/>
    <w:rsid w:val="00C87E69"/>
    <w:rsid w:val="00C87E74"/>
    <w:rsid w:val="00C87E90"/>
    <w:rsid w:val="00C87E94"/>
    <w:rsid w:val="00C87ED8"/>
    <w:rsid w:val="00C87EEE"/>
    <w:rsid w:val="00C87F2B"/>
    <w:rsid w:val="00C87F45"/>
    <w:rsid w:val="00C87FED"/>
    <w:rsid w:val="00C90016"/>
    <w:rsid w:val="00C90049"/>
    <w:rsid w:val="00C90069"/>
    <w:rsid w:val="00C900E4"/>
    <w:rsid w:val="00C900E7"/>
    <w:rsid w:val="00C90165"/>
    <w:rsid w:val="00C9019A"/>
    <w:rsid w:val="00C901A4"/>
    <w:rsid w:val="00C901B0"/>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608"/>
    <w:rsid w:val="00C9062D"/>
    <w:rsid w:val="00C90632"/>
    <w:rsid w:val="00C90668"/>
    <w:rsid w:val="00C906BC"/>
    <w:rsid w:val="00C90729"/>
    <w:rsid w:val="00C9074C"/>
    <w:rsid w:val="00C9076C"/>
    <w:rsid w:val="00C907D7"/>
    <w:rsid w:val="00C90802"/>
    <w:rsid w:val="00C90807"/>
    <w:rsid w:val="00C90826"/>
    <w:rsid w:val="00C90829"/>
    <w:rsid w:val="00C90886"/>
    <w:rsid w:val="00C908C6"/>
    <w:rsid w:val="00C9095F"/>
    <w:rsid w:val="00C90965"/>
    <w:rsid w:val="00C90970"/>
    <w:rsid w:val="00C90976"/>
    <w:rsid w:val="00C90999"/>
    <w:rsid w:val="00C90A37"/>
    <w:rsid w:val="00C90A7A"/>
    <w:rsid w:val="00C90A83"/>
    <w:rsid w:val="00C90AE2"/>
    <w:rsid w:val="00C90B19"/>
    <w:rsid w:val="00C90B3C"/>
    <w:rsid w:val="00C90B86"/>
    <w:rsid w:val="00C90BA8"/>
    <w:rsid w:val="00C90BA9"/>
    <w:rsid w:val="00C90C11"/>
    <w:rsid w:val="00C90C16"/>
    <w:rsid w:val="00C90C93"/>
    <w:rsid w:val="00C90CB8"/>
    <w:rsid w:val="00C90CF1"/>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AA"/>
    <w:rsid w:val="00C911D5"/>
    <w:rsid w:val="00C911DE"/>
    <w:rsid w:val="00C9125F"/>
    <w:rsid w:val="00C912C8"/>
    <w:rsid w:val="00C91316"/>
    <w:rsid w:val="00C913AF"/>
    <w:rsid w:val="00C913C5"/>
    <w:rsid w:val="00C913CD"/>
    <w:rsid w:val="00C913E4"/>
    <w:rsid w:val="00C913EC"/>
    <w:rsid w:val="00C91409"/>
    <w:rsid w:val="00C9143D"/>
    <w:rsid w:val="00C9155C"/>
    <w:rsid w:val="00C9156A"/>
    <w:rsid w:val="00C91592"/>
    <w:rsid w:val="00C915C3"/>
    <w:rsid w:val="00C915F6"/>
    <w:rsid w:val="00C9162A"/>
    <w:rsid w:val="00C91667"/>
    <w:rsid w:val="00C916C4"/>
    <w:rsid w:val="00C91701"/>
    <w:rsid w:val="00C91732"/>
    <w:rsid w:val="00C91767"/>
    <w:rsid w:val="00C91775"/>
    <w:rsid w:val="00C9177D"/>
    <w:rsid w:val="00C9178C"/>
    <w:rsid w:val="00C917A9"/>
    <w:rsid w:val="00C917E3"/>
    <w:rsid w:val="00C9187E"/>
    <w:rsid w:val="00C91930"/>
    <w:rsid w:val="00C91951"/>
    <w:rsid w:val="00C91982"/>
    <w:rsid w:val="00C919E5"/>
    <w:rsid w:val="00C91A0A"/>
    <w:rsid w:val="00C91A32"/>
    <w:rsid w:val="00C91AB5"/>
    <w:rsid w:val="00C91AC0"/>
    <w:rsid w:val="00C91B03"/>
    <w:rsid w:val="00C91B64"/>
    <w:rsid w:val="00C91B99"/>
    <w:rsid w:val="00C91C24"/>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9A"/>
    <w:rsid w:val="00C921CD"/>
    <w:rsid w:val="00C9220A"/>
    <w:rsid w:val="00C92214"/>
    <w:rsid w:val="00C92230"/>
    <w:rsid w:val="00C92244"/>
    <w:rsid w:val="00C9227B"/>
    <w:rsid w:val="00C922E3"/>
    <w:rsid w:val="00C92370"/>
    <w:rsid w:val="00C9241E"/>
    <w:rsid w:val="00C92437"/>
    <w:rsid w:val="00C9243A"/>
    <w:rsid w:val="00C92469"/>
    <w:rsid w:val="00C92473"/>
    <w:rsid w:val="00C924A9"/>
    <w:rsid w:val="00C924B3"/>
    <w:rsid w:val="00C92533"/>
    <w:rsid w:val="00C9253B"/>
    <w:rsid w:val="00C9254E"/>
    <w:rsid w:val="00C92581"/>
    <w:rsid w:val="00C92590"/>
    <w:rsid w:val="00C925D2"/>
    <w:rsid w:val="00C9260A"/>
    <w:rsid w:val="00C9260C"/>
    <w:rsid w:val="00C9268C"/>
    <w:rsid w:val="00C926AC"/>
    <w:rsid w:val="00C926D1"/>
    <w:rsid w:val="00C926D6"/>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E7"/>
    <w:rsid w:val="00C92AF4"/>
    <w:rsid w:val="00C92B37"/>
    <w:rsid w:val="00C92B3D"/>
    <w:rsid w:val="00C92B72"/>
    <w:rsid w:val="00C92BE3"/>
    <w:rsid w:val="00C92BFE"/>
    <w:rsid w:val="00C92C04"/>
    <w:rsid w:val="00C92CCB"/>
    <w:rsid w:val="00C92D0A"/>
    <w:rsid w:val="00C92D11"/>
    <w:rsid w:val="00C92D1F"/>
    <w:rsid w:val="00C92D31"/>
    <w:rsid w:val="00C92E05"/>
    <w:rsid w:val="00C92E29"/>
    <w:rsid w:val="00C92E45"/>
    <w:rsid w:val="00C92E70"/>
    <w:rsid w:val="00C92EC4"/>
    <w:rsid w:val="00C92ECD"/>
    <w:rsid w:val="00C92F21"/>
    <w:rsid w:val="00C92F7F"/>
    <w:rsid w:val="00C92FDE"/>
    <w:rsid w:val="00C93050"/>
    <w:rsid w:val="00C9306B"/>
    <w:rsid w:val="00C930FA"/>
    <w:rsid w:val="00C93130"/>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3A"/>
    <w:rsid w:val="00C93589"/>
    <w:rsid w:val="00C9359E"/>
    <w:rsid w:val="00C935DF"/>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97"/>
    <w:rsid w:val="00C93AE8"/>
    <w:rsid w:val="00C93AF0"/>
    <w:rsid w:val="00C93B5A"/>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F5"/>
    <w:rsid w:val="00C93F2D"/>
    <w:rsid w:val="00C93F77"/>
    <w:rsid w:val="00C93FE7"/>
    <w:rsid w:val="00C9408D"/>
    <w:rsid w:val="00C940CB"/>
    <w:rsid w:val="00C94129"/>
    <w:rsid w:val="00C941B2"/>
    <w:rsid w:val="00C941C1"/>
    <w:rsid w:val="00C941C8"/>
    <w:rsid w:val="00C941E4"/>
    <w:rsid w:val="00C94209"/>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F9"/>
    <w:rsid w:val="00C94862"/>
    <w:rsid w:val="00C948A1"/>
    <w:rsid w:val="00C948C9"/>
    <w:rsid w:val="00C948D6"/>
    <w:rsid w:val="00C948ED"/>
    <w:rsid w:val="00C94961"/>
    <w:rsid w:val="00C94984"/>
    <w:rsid w:val="00C9498C"/>
    <w:rsid w:val="00C949AB"/>
    <w:rsid w:val="00C949AD"/>
    <w:rsid w:val="00C949ED"/>
    <w:rsid w:val="00C94A1A"/>
    <w:rsid w:val="00C94A62"/>
    <w:rsid w:val="00C94A65"/>
    <w:rsid w:val="00C94A76"/>
    <w:rsid w:val="00C94A8A"/>
    <w:rsid w:val="00C94B32"/>
    <w:rsid w:val="00C94B3D"/>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B6B"/>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8D"/>
    <w:rsid w:val="00C965D3"/>
    <w:rsid w:val="00C965F4"/>
    <w:rsid w:val="00C96606"/>
    <w:rsid w:val="00C96618"/>
    <w:rsid w:val="00C96667"/>
    <w:rsid w:val="00C966A5"/>
    <w:rsid w:val="00C966D2"/>
    <w:rsid w:val="00C96704"/>
    <w:rsid w:val="00C9673D"/>
    <w:rsid w:val="00C96769"/>
    <w:rsid w:val="00C9677F"/>
    <w:rsid w:val="00C967E7"/>
    <w:rsid w:val="00C967E9"/>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E0"/>
    <w:rsid w:val="00C96CFD"/>
    <w:rsid w:val="00C96D33"/>
    <w:rsid w:val="00C96D50"/>
    <w:rsid w:val="00C96D64"/>
    <w:rsid w:val="00C96DB9"/>
    <w:rsid w:val="00C96DE4"/>
    <w:rsid w:val="00C96F03"/>
    <w:rsid w:val="00C96F15"/>
    <w:rsid w:val="00C96F2A"/>
    <w:rsid w:val="00C96F67"/>
    <w:rsid w:val="00C96FC8"/>
    <w:rsid w:val="00C9703F"/>
    <w:rsid w:val="00C970A9"/>
    <w:rsid w:val="00C970DF"/>
    <w:rsid w:val="00C97110"/>
    <w:rsid w:val="00C971D3"/>
    <w:rsid w:val="00C971E2"/>
    <w:rsid w:val="00C971EF"/>
    <w:rsid w:val="00C97289"/>
    <w:rsid w:val="00C9729E"/>
    <w:rsid w:val="00C972A5"/>
    <w:rsid w:val="00C972AC"/>
    <w:rsid w:val="00C972B3"/>
    <w:rsid w:val="00C972E1"/>
    <w:rsid w:val="00C972F4"/>
    <w:rsid w:val="00C972F5"/>
    <w:rsid w:val="00C973EA"/>
    <w:rsid w:val="00C97508"/>
    <w:rsid w:val="00C97541"/>
    <w:rsid w:val="00C9755E"/>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A0027"/>
    <w:rsid w:val="00CA0074"/>
    <w:rsid w:val="00CA0080"/>
    <w:rsid w:val="00CA00C4"/>
    <w:rsid w:val="00CA00C9"/>
    <w:rsid w:val="00CA00CA"/>
    <w:rsid w:val="00CA00D3"/>
    <w:rsid w:val="00CA0120"/>
    <w:rsid w:val="00CA0137"/>
    <w:rsid w:val="00CA0143"/>
    <w:rsid w:val="00CA017D"/>
    <w:rsid w:val="00CA0184"/>
    <w:rsid w:val="00CA01C6"/>
    <w:rsid w:val="00CA021F"/>
    <w:rsid w:val="00CA0257"/>
    <w:rsid w:val="00CA026E"/>
    <w:rsid w:val="00CA02BA"/>
    <w:rsid w:val="00CA02EF"/>
    <w:rsid w:val="00CA031E"/>
    <w:rsid w:val="00CA0359"/>
    <w:rsid w:val="00CA0375"/>
    <w:rsid w:val="00CA039E"/>
    <w:rsid w:val="00CA03AE"/>
    <w:rsid w:val="00CA03B6"/>
    <w:rsid w:val="00CA03CB"/>
    <w:rsid w:val="00CA0487"/>
    <w:rsid w:val="00CA04A1"/>
    <w:rsid w:val="00CA04BA"/>
    <w:rsid w:val="00CA0515"/>
    <w:rsid w:val="00CA0522"/>
    <w:rsid w:val="00CA0559"/>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3E"/>
    <w:rsid w:val="00CA09A8"/>
    <w:rsid w:val="00CA09B7"/>
    <w:rsid w:val="00CA09CE"/>
    <w:rsid w:val="00CA09FC"/>
    <w:rsid w:val="00CA0A29"/>
    <w:rsid w:val="00CA0A2F"/>
    <w:rsid w:val="00CA0A41"/>
    <w:rsid w:val="00CA0A60"/>
    <w:rsid w:val="00CA0B35"/>
    <w:rsid w:val="00CA0B61"/>
    <w:rsid w:val="00CA0BBD"/>
    <w:rsid w:val="00CA0BCB"/>
    <w:rsid w:val="00CA0BFB"/>
    <w:rsid w:val="00CA0C30"/>
    <w:rsid w:val="00CA0D20"/>
    <w:rsid w:val="00CA0D27"/>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DB"/>
    <w:rsid w:val="00CA1310"/>
    <w:rsid w:val="00CA1337"/>
    <w:rsid w:val="00CA135D"/>
    <w:rsid w:val="00CA13B3"/>
    <w:rsid w:val="00CA13BB"/>
    <w:rsid w:val="00CA14BE"/>
    <w:rsid w:val="00CA14C4"/>
    <w:rsid w:val="00CA154B"/>
    <w:rsid w:val="00CA15B3"/>
    <w:rsid w:val="00CA15E6"/>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73"/>
    <w:rsid w:val="00CA1A9C"/>
    <w:rsid w:val="00CA1AA4"/>
    <w:rsid w:val="00CA1ACC"/>
    <w:rsid w:val="00CA1B36"/>
    <w:rsid w:val="00CA1B9F"/>
    <w:rsid w:val="00CA1BD1"/>
    <w:rsid w:val="00CA1C19"/>
    <w:rsid w:val="00CA1C45"/>
    <w:rsid w:val="00CA1C4D"/>
    <w:rsid w:val="00CA1CCA"/>
    <w:rsid w:val="00CA1CD7"/>
    <w:rsid w:val="00CA1CD8"/>
    <w:rsid w:val="00CA1DB8"/>
    <w:rsid w:val="00CA1EC0"/>
    <w:rsid w:val="00CA1EEE"/>
    <w:rsid w:val="00CA1F63"/>
    <w:rsid w:val="00CA1FB1"/>
    <w:rsid w:val="00CA200D"/>
    <w:rsid w:val="00CA2013"/>
    <w:rsid w:val="00CA2014"/>
    <w:rsid w:val="00CA2054"/>
    <w:rsid w:val="00CA20FF"/>
    <w:rsid w:val="00CA2154"/>
    <w:rsid w:val="00CA218C"/>
    <w:rsid w:val="00CA21CC"/>
    <w:rsid w:val="00CA21F5"/>
    <w:rsid w:val="00CA2200"/>
    <w:rsid w:val="00CA2201"/>
    <w:rsid w:val="00CA222F"/>
    <w:rsid w:val="00CA2278"/>
    <w:rsid w:val="00CA227D"/>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BF"/>
    <w:rsid w:val="00CA25FA"/>
    <w:rsid w:val="00CA26D2"/>
    <w:rsid w:val="00CA26ED"/>
    <w:rsid w:val="00CA2711"/>
    <w:rsid w:val="00CA2734"/>
    <w:rsid w:val="00CA2741"/>
    <w:rsid w:val="00CA2776"/>
    <w:rsid w:val="00CA2796"/>
    <w:rsid w:val="00CA27C3"/>
    <w:rsid w:val="00CA27D8"/>
    <w:rsid w:val="00CA27DB"/>
    <w:rsid w:val="00CA2812"/>
    <w:rsid w:val="00CA2888"/>
    <w:rsid w:val="00CA28D5"/>
    <w:rsid w:val="00CA2936"/>
    <w:rsid w:val="00CA297B"/>
    <w:rsid w:val="00CA29C6"/>
    <w:rsid w:val="00CA2A0A"/>
    <w:rsid w:val="00CA2A18"/>
    <w:rsid w:val="00CA2A23"/>
    <w:rsid w:val="00CA2A6F"/>
    <w:rsid w:val="00CA2A94"/>
    <w:rsid w:val="00CA2AA6"/>
    <w:rsid w:val="00CA2AA7"/>
    <w:rsid w:val="00CA2B5C"/>
    <w:rsid w:val="00CA2B65"/>
    <w:rsid w:val="00CA2BC4"/>
    <w:rsid w:val="00CA2BD2"/>
    <w:rsid w:val="00CA2C28"/>
    <w:rsid w:val="00CA2C57"/>
    <w:rsid w:val="00CA2C72"/>
    <w:rsid w:val="00CA2C94"/>
    <w:rsid w:val="00CA2CCA"/>
    <w:rsid w:val="00CA2CF5"/>
    <w:rsid w:val="00CA2D0A"/>
    <w:rsid w:val="00CA2D5A"/>
    <w:rsid w:val="00CA2DB8"/>
    <w:rsid w:val="00CA2DC9"/>
    <w:rsid w:val="00CA2DE4"/>
    <w:rsid w:val="00CA2E11"/>
    <w:rsid w:val="00CA2E6F"/>
    <w:rsid w:val="00CA2F1A"/>
    <w:rsid w:val="00CA2FA9"/>
    <w:rsid w:val="00CA2FD5"/>
    <w:rsid w:val="00CA3055"/>
    <w:rsid w:val="00CA3058"/>
    <w:rsid w:val="00CA3075"/>
    <w:rsid w:val="00CA3077"/>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DA"/>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B7"/>
    <w:rsid w:val="00CA38D3"/>
    <w:rsid w:val="00CA38F1"/>
    <w:rsid w:val="00CA3922"/>
    <w:rsid w:val="00CA399D"/>
    <w:rsid w:val="00CA39C8"/>
    <w:rsid w:val="00CA3A74"/>
    <w:rsid w:val="00CA3AD5"/>
    <w:rsid w:val="00CA3AE4"/>
    <w:rsid w:val="00CA3BA5"/>
    <w:rsid w:val="00CA3BB2"/>
    <w:rsid w:val="00CA3C3F"/>
    <w:rsid w:val="00CA3C72"/>
    <w:rsid w:val="00CA3CA9"/>
    <w:rsid w:val="00CA3D72"/>
    <w:rsid w:val="00CA3D8E"/>
    <w:rsid w:val="00CA3D96"/>
    <w:rsid w:val="00CA3D98"/>
    <w:rsid w:val="00CA3DAE"/>
    <w:rsid w:val="00CA3DB6"/>
    <w:rsid w:val="00CA3DBD"/>
    <w:rsid w:val="00CA3DF3"/>
    <w:rsid w:val="00CA3E28"/>
    <w:rsid w:val="00CA3EBF"/>
    <w:rsid w:val="00CA3EE1"/>
    <w:rsid w:val="00CA3EE3"/>
    <w:rsid w:val="00CA3F6C"/>
    <w:rsid w:val="00CA4012"/>
    <w:rsid w:val="00CA4050"/>
    <w:rsid w:val="00CA406A"/>
    <w:rsid w:val="00CA408A"/>
    <w:rsid w:val="00CA40C7"/>
    <w:rsid w:val="00CA4127"/>
    <w:rsid w:val="00CA4172"/>
    <w:rsid w:val="00CA41A6"/>
    <w:rsid w:val="00CA41B8"/>
    <w:rsid w:val="00CA41D4"/>
    <w:rsid w:val="00CA41FF"/>
    <w:rsid w:val="00CA4217"/>
    <w:rsid w:val="00CA4346"/>
    <w:rsid w:val="00CA4351"/>
    <w:rsid w:val="00CA435B"/>
    <w:rsid w:val="00CA4402"/>
    <w:rsid w:val="00CA4403"/>
    <w:rsid w:val="00CA4432"/>
    <w:rsid w:val="00CA4455"/>
    <w:rsid w:val="00CA44B5"/>
    <w:rsid w:val="00CA44F4"/>
    <w:rsid w:val="00CA44FE"/>
    <w:rsid w:val="00CA454F"/>
    <w:rsid w:val="00CA45A4"/>
    <w:rsid w:val="00CA4660"/>
    <w:rsid w:val="00CA4743"/>
    <w:rsid w:val="00CA477A"/>
    <w:rsid w:val="00CA479F"/>
    <w:rsid w:val="00CA47C0"/>
    <w:rsid w:val="00CA47EB"/>
    <w:rsid w:val="00CA4867"/>
    <w:rsid w:val="00CA4872"/>
    <w:rsid w:val="00CA48A2"/>
    <w:rsid w:val="00CA48F9"/>
    <w:rsid w:val="00CA48FC"/>
    <w:rsid w:val="00CA4939"/>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BC"/>
    <w:rsid w:val="00CA4EC3"/>
    <w:rsid w:val="00CA4EDD"/>
    <w:rsid w:val="00CA4FB0"/>
    <w:rsid w:val="00CA4FB5"/>
    <w:rsid w:val="00CA4FC6"/>
    <w:rsid w:val="00CA4FC9"/>
    <w:rsid w:val="00CA500B"/>
    <w:rsid w:val="00CA5025"/>
    <w:rsid w:val="00CA508D"/>
    <w:rsid w:val="00CA50A0"/>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87"/>
    <w:rsid w:val="00CA56D0"/>
    <w:rsid w:val="00CA56DC"/>
    <w:rsid w:val="00CA570B"/>
    <w:rsid w:val="00CA5762"/>
    <w:rsid w:val="00CA5767"/>
    <w:rsid w:val="00CA576C"/>
    <w:rsid w:val="00CA579E"/>
    <w:rsid w:val="00CA579F"/>
    <w:rsid w:val="00CA57BB"/>
    <w:rsid w:val="00CA5830"/>
    <w:rsid w:val="00CA5908"/>
    <w:rsid w:val="00CA59BD"/>
    <w:rsid w:val="00CA59C7"/>
    <w:rsid w:val="00CA59DA"/>
    <w:rsid w:val="00CA5A08"/>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5FC1"/>
    <w:rsid w:val="00CA5FC4"/>
    <w:rsid w:val="00CA6001"/>
    <w:rsid w:val="00CA6024"/>
    <w:rsid w:val="00CA603D"/>
    <w:rsid w:val="00CA604A"/>
    <w:rsid w:val="00CA605B"/>
    <w:rsid w:val="00CA60B3"/>
    <w:rsid w:val="00CA6104"/>
    <w:rsid w:val="00CA612E"/>
    <w:rsid w:val="00CA6151"/>
    <w:rsid w:val="00CA615D"/>
    <w:rsid w:val="00CA61F0"/>
    <w:rsid w:val="00CA6204"/>
    <w:rsid w:val="00CA6252"/>
    <w:rsid w:val="00CA62A8"/>
    <w:rsid w:val="00CA62DF"/>
    <w:rsid w:val="00CA635A"/>
    <w:rsid w:val="00CA638E"/>
    <w:rsid w:val="00CA640A"/>
    <w:rsid w:val="00CA6434"/>
    <w:rsid w:val="00CA6439"/>
    <w:rsid w:val="00CA647F"/>
    <w:rsid w:val="00CA64B6"/>
    <w:rsid w:val="00CA64E7"/>
    <w:rsid w:val="00CA64FD"/>
    <w:rsid w:val="00CA666D"/>
    <w:rsid w:val="00CA668B"/>
    <w:rsid w:val="00CA6713"/>
    <w:rsid w:val="00CA6716"/>
    <w:rsid w:val="00CA6744"/>
    <w:rsid w:val="00CA675E"/>
    <w:rsid w:val="00CA6772"/>
    <w:rsid w:val="00CA678D"/>
    <w:rsid w:val="00CA67A3"/>
    <w:rsid w:val="00CA67BF"/>
    <w:rsid w:val="00CA6825"/>
    <w:rsid w:val="00CA68AC"/>
    <w:rsid w:val="00CA68C8"/>
    <w:rsid w:val="00CA6906"/>
    <w:rsid w:val="00CA695E"/>
    <w:rsid w:val="00CA69B1"/>
    <w:rsid w:val="00CA69BC"/>
    <w:rsid w:val="00CA69DD"/>
    <w:rsid w:val="00CA6A2B"/>
    <w:rsid w:val="00CA6A31"/>
    <w:rsid w:val="00CA6A57"/>
    <w:rsid w:val="00CA6A7A"/>
    <w:rsid w:val="00CA6A83"/>
    <w:rsid w:val="00CA6ABD"/>
    <w:rsid w:val="00CA6B71"/>
    <w:rsid w:val="00CA6BC9"/>
    <w:rsid w:val="00CA6C3B"/>
    <w:rsid w:val="00CA6C83"/>
    <w:rsid w:val="00CA6CA8"/>
    <w:rsid w:val="00CA6D45"/>
    <w:rsid w:val="00CA6D95"/>
    <w:rsid w:val="00CA6D98"/>
    <w:rsid w:val="00CA6D9A"/>
    <w:rsid w:val="00CA6DFA"/>
    <w:rsid w:val="00CA6E02"/>
    <w:rsid w:val="00CA6E95"/>
    <w:rsid w:val="00CA6EB6"/>
    <w:rsid w:val="00CA6EEC"/>
    <w:rsid w:val="00CA6F15"/>
    <w:rsid w:val="00CA6F3D"/>
    <w:rsid w:val="00CA6FE1"/>
    <w:rsid w:val="00CA6FE7"/>
    <w:rsid w:val="00CA702B"/>
    <w:rsid w:val="00CA703B"/>
    <w:rsid w:val="00CA705A"/>
    <w:rsid w:val="00CA7067"/>
    <w:rsid w:val="00CA706B"/>
    <w:rsid w:val="00CA709B"/>
    <w:rsid w:val="00CA70C3"/>
    <w:rsid w:val="00CA70CA"/>
    <w:rsid w:val="00CA70CE"/>
    <w:rsid w:val="00CA70CF"/>
    <w:rsid w:val="00CA7149"/>
    <w:rsid w:val="00CA7159"/>
    <w:rsid w:val="00CA7168"/>
    <w:rsid w:val="00CA71D1"/>
    <w:rsid w:val="00CA7276"/>
    <w:rsid w:val="00CA7284"/>
    <w:rsid w:val="00CA72B7"/>
    <w:rsid w:val="00CA72D9"/>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80"/>
    <w:rsid w:val="00CB00B8"/>
    <w:rsid w:val="00CB00BB"/>
    <w:rsid w:val="00CB017F"/>
    <w:rsid w:val="00CB01B8"/>
    <w:rsid w:val="00CB021D"/>
    <w:rsid w:val="00CB030A"/>
    <w:rsid w:val="00CB0355"/>
    <w:rsid w:val="00CB0360"/>
    <w:rsid w:val="00CB03C5"/>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A76"/>
    <w:rsid w:val="00CB0A9C"/>
    <w:rsid w:val="00CB0B22"/>
    <w:rsid w:val="00CB0B48"/>
    <w:rsid w:val="00CB0B8C"/>
    <w:rsid w:val="00CB0BC2"/>
    <w:rsid w:val="00CB0BDE"/>
    <w:rsid w:val="00CB0C79"/>
    <w:rsid w:val="00CB0C91"/>
    <w:rsid w:val="00CB0CE6"/>
    <w:rsid w:val="00CB0CE8"/>
    <w:rsid w:val="00CB0CF6"/>
    <w:rsid w:val="00CB0D88"/>
    <w:rsid w:val="00CB0D9C"/>
    <w:rsid w:val="00CB0DA2"/>
    <w:rsid w:val="00CB0DDC"/>
    <w:rsid w:val="00CB0DF7"/>
    <w:rsid w:val="00CB0E34"/>
    <w:rsid w:val="00CB0E39"/>
    <w:rsid w:val="00CB0E72"/>
    <w:rsid w:val="00CB0E9C"/>
    <w:rsid w:val="00CB0EBF"/>
    <w:rsid w:val="00CB0ED3"/>
    <w:rsid w:val="00CB0EEC"/>
    <w:rsid w:val="00CB0F97"/>
    <w:rsid w:val="00CB0FE1"/>
    <w:rsid w:val="00CB0FE3"/>
    <w:rsid w:val="00CB109C"/>
    <w:rsid w:val="00CB1182"/>
    <w:rsid w:val="00CB118C"/>
    <w:rsid w:val="00CB11AE"/>
    <w:rsid w:val="00CB11B2"/>
    <w:rsid w:val="00CB1223"/>
    <w:rsid w:val="00CB1276"/>
    <w:rsid w:val="00CB1287"/>
    <w:rsid w:val="00CB12AC"/>
    <w:rsid w:val="00CB132D"/>
    <w:rsid w:val="00CB135C"/>
    <w:rsid w:val="00CB144E"/>
    <w:rsid w:val="00CB14AF"/>
    <w:rsid w:val="00CB14D0"/>
    <w:rsid w:val="00CB14D8"/>
    <w:rsid w:val="00CB14DE"/>
    <w:rsid w:val="00CB1578"/>
    <w:rsid w:val="00CB15A4"/>
    <w:rsid w:val="00CB15B9"/>
    <w:rsid w:val="00CB15BD"/>
    <w:rsid w:val="00CB160D"/>
    <w:rsid w:val="00CB1630"/>
    <w:rsid w:val="00CB167A"/>
    <w:rsid w:val="00CB1693"/>
    <w:rsid w:val="00CB1698"/>
    <w:rsid w:val="00CB1726"/>
    <w:rsid w:val="00CB172C"/>
    <w:rsid w:val="00CB178B"/>
    <w:rsid w:val="00CB17FA"/>
    <w:rsid w:val="00CB1839"/>
    <w:rsid w:val="00CB1847"/>
    <w:rsid w:val="00CB18C5"/>
    <w:rsid w:val="00CB191F"/>
    <w:rsid w:val="00CB1941"/>
    <w:rsid w:val="00CB1951"/>
    <w:rsid w:val="00CB19BB"/>
    <w:rsid w:val="00CB19F6"/>
    <w:rsid w:val="00CB1A15"/>
    <w:rsid w:val="00CB1A24"/>
    <w:rsid w:val="00CB1A47"/>
    <w:rsid w:val="00CB1A73"/>
    <w:rsid w:val="00CB1A91"/>
    <w:rsid w:val="00CB1AAB"/>
    <w:rsid w:val="00CB1AE6"/>
    <w:rsid w:val="00CB1B0D"/>
    <w:rsid w:val="00CB1B44"/>
    <w:rsid w:val="00CB1B8F"/>
    <w:rsid w:val="00CB1B9A"/>
    <w:rsid w:val="00CB1BBA"/>
    <w:rsid w:val="00CB1BC9"/>
    <w:rsid w:val="00CB1BE6"/>
    <w:rsid w:val="00CB1C53"/>
    <w:rsid w:val="00CB1C5D"/>
    <w:rsid w:val="00CB1C7B"/>
    <w:rsid w:val="00CB1C7C"/>
    <w:rsid w:val="00CB1C7E"/>
    <w:rsid w:val="00CB1CFF"/>
    <w:rsid w:val="00CB1D0B"/>
    <w:rsid w:val="00CB1D37"/>
    <w:rsid w:val="00CB1D89"/>
    <w:rsid w:val="00CB1D90"/>
    <w:rsid w:val="00CB1D93"/>
    <w:rsid w:val="00CB1DA0"/>
    <w:rsid w:val="00CB1E6F"/>
    <w:rsid w:val="00CB1ECC"/>
    <w:rsid w:val="00CB1F69"/>
    <w:rsid w:val="00CB1F70"/>
    <w:rsid w:val="00CB1F8C"/>
    <w:rsid w:val="00CB1FA8"/>
    <w:rsid w:val="00CB1FB3"/>
    <w:rsid w:val="00CB1FC2"/>
    <w:rsid w:val="00CB1FE4"/>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9C"/>
    <w:rsid w:val="00CB23D8"/>
    <w:rsid w:val="00CB2403"/>
    <w:rsid w:val="00CB2407"/>
    <w:rsid w:val="00CB242E"/>
    <w:rsid w:val="00CB2438"/>
    <w:rsid w:val="00CB245A"/>
    <w:rsid w:val="00CB2485"/>
    <w:rsid w:val="00CB251C"/>
    <w:rsid w:val="00CB251E"/>
    <w:rsid w:val="00CB2559"/>
    <w:rsid w:val="00CB2560"/>
    <w:rsid w:val="00CB25A2"/>
    <w:rsid w:val="00CB25C6"/>
    <w:rsid w:val="00CB25EA"/>
    <w:rsid w:val="00CB25F4"/>
    <w:rsid w:val="00CB2618"/>
    <w:rsid w:val="00CB26A5"/>
    <w:rsid w:val="00CB26E8"/>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8"/>
    <w:rsid w:val="00CB2ACB"/>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3005"/>
    <w:rsid w:val="00CB300E"/>
    <w:rsid w:val="00CB303A"/>
    <w:rsid w:val="00CB304B"/>
    <w:rsid w:val="00CB3067"/>
    <w:rsid w:val="00CB3071"/>
    <w:rsid w:val="00CB3078"/>
    <w:rsid w:val="00CB3082"/>
    <w:rsid w:val="00CB30CE"/>
    <w:rsid w:val="00CB30D6"/>
    <w:rsid w:val="00CB3108"/>
    <w:rsid w:val="00CB3164"/>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6D5"/>
    <w:rsid w:val="00CB3706"/>
    <w:rsid w:val="00CB3712"/>
    <w:rsid w:val="00CB3775"/>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C76"/>
    <w:rsid w:val="00CB3CD7"/>
    <w:rsid w:val="00CB3CED"/>
    <w:rsid w:val="00CB3CFA"/>
    <w:rsid w:val="00CB3D05"/>
    <w:rsid w:val="00CB3D46"/>
    <w:rsid w:val="00CB3E4F"/>
    <w:rsid w:val="00CB3E8E"/>
    <w:rsid w:val="00CB3E91"/>
    <w:rsid w:val="00CB3EA3"/>
    <w:rsid w:val="00CB3EC9"/>
    <w:rsid w:val="00CB3F2F"/>
    <w:rsid w:val="00CB3FA7"/>
    <w:rsid w:val="00CB3FCF"/>
    <w:rsid w:val="00CB3FEE"/>
    <w:rsid w:val="00CB40AB"/>
    <w:rsid w:val="00CB40B3"/>
    <w:rsid w:val="00CB40DA"/>
    <w:rsid w:val="00CB40DD"/>
    <w:rsid w:val="00CB40E6"/>
    <w:rsid w:val="00CB40FA"/>
    <w:rsid w:val="00CB4161"/>
    <w:rsid w:val="00CB4165"/>
    <w:rsid w:val="00CB417A"/>
    <w:rsid w:val="00CB41E3"/>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4E5"/>
    <w:rsid w:val="00CB455B"/>
    <w:rsid w:val="00CB4596"/>
    <w:rsid w:val="00CB45AD"/>
    <w:rsid w:val="00CB45BD"/>
    <w:rsid w:val="00CB45D9"/>
    <w:rsid w:val="00CB45E8"/>
    <w:rsid w:val="00CB45F0"/>
    <w:rsid w:val="00CB4601"/>
    <w:rsid w:val="00CB4658"/>
    <w:rsid w:val="00CB465F"/>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B3"/>
    <w:rsid w:val="00CB4CE1"/>
    <w:rsid w:val="00CB4D3B"/>
    <w:rsid w:val="00CB4D49"/>
    <w:rsid w:val="00CB4E40"/>
    <w:rsid w:val="00CB4E61"/>
    <w:rsid w:val="00CB4E63"/>
    <w:rsid w:val="00CB4E7D"/>
    <w:rsid w:val="00CB4E85"/>
    <w:rsid w:val="00CB4EA0"/>
    <w:rsid w:val="00CB4F1D"/>
    <w:rsid w:val="00CB4F23"/>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CB"/>
    <w:rsid w:val="00CB56FC"/>
    <w:rsid w:val="00CB5709"/>
    <w:rsid w:val="00CB5719"/>
    <w:rsid w:val="00CB5723"/>
    <w:rsid w:val="00CB57F4"/>
    <w:rsid w:val="00CB583D"/>
    <w:rsid w:val="00CB584B"/>
    <w:rsid w:val="00CB5850"/>
    <w:rsid w:val="00CB5856"/>
    <w:rsid w:val="00CB58AF"/>
    <w:rsid w:val="00CB593D"/>
    <w:rsid w:val="00CB5975"/>
    <w:rsid w:val="00CB59A7"/>
    <w:rsid w:val="00CB5AF7"/>
    <w:rsid w:val="00CB5B01"/>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F6"/>
    <w:rsid w:val="00CB6231"/>
    <w:rsid w:val="00CB628F"/>
    <w:rsid w:val="00CB62F5"/>
    <w:rsid w:val="00CB6303"/>
    <w:rsid w:val="00CB6309"/>
    <w:rsid w:val="00CB6310"/>
    <w:rsid w:val="00CB6324"/>
    <w:rsid w:val="00CB6329"/>
    <w:rsid w:val="00CB6340"/>
    <w:rsid w:val="00CB6377"/>
    <w:rsid w:val="00CB6389"/>
    <w:rsid w:val="00CB63CD"/>
    <w:rsid w:val="00CB6477"/>
    <w:rsid w:val="00CB647E"/>
    <w:rsid w:val="00CB648A"/>
    <w:rsid w:val="00CB64A8"/>
    <w:rsid w:val="00CB64C1"/>
    <w:rsid w:val="00CB64EF"/>
    <w:rsid w:val="00CB6520"/>
    <w:rsid w:val="00CB6538"/>
    <w:rsid w:val="00CB6550"/>
    <w:rsid w:val="00CB65E5"/>
    <w:rsid w:val="00CB65FC"/>
    <w:rsid w:val="00CB6642"/>
    <w:rsid w:val="00CB66FF"/>
    <w:rsid w:val="00CB6715"/>
    <w:rsid w:val="00CB6721"/>
    <w:rsid w:val="00CB6735"/>
    <w:rsid w:val="00CB6797"/>
    <w:rsid w:val="00CB67C2"/>
    <w:rsid w:val="00CB67CA"/>
    <w:rsid w:val="00CB67EE"/>
    <w:rsid w:val="00CB67F0"/>
    <w:rsid w:val="00CB683A"/>
    <w:rsid w:val="00CB6853"/>
    <w:rsid w:val="00CB68CE"/>
    <w:rsid w:val="00CB68D3"/>
    <w:rsid w:val="00CB6908"/>
    <w:rsid w:val="00CB6940"/>
    <w:rsid w:val="00CB6A10"/>
    <w:rsid w:val="00CB6A1A"/>
    <w:rsid w:val="00CB6A50"/>
    <w:rsid w:val="00CB6A63"/>
    <w:rsid w:val="00CB6AB5"/>
    <w:rsid w:val="00CB6AE2"/>
    <w:rsid w:val="00CB6B6D"/>
    <w:rsid w:val="00CB6B75"/>
    <w:rsid w:val="00CB6BA2"/>
    <w:rsid w:val="00CB6BF8"/>
    <w:rsid w:val="00CB6C15"/>
    <w:rsid w:val="00CB6C1C"/>
    <w:rsid w:val="00CB6C22"/>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7B"/>
    <w:rsid w:val="00CB71A4"/>
    <w:rsid w:val="00CB7203"/>
    <w:rsid w:val="00CB7279"/>
    <w:rsid w:val="00CB727B"/>
    <w:rsid w:val="00CB7291"/>
    <w:rsid w:val="00CB736F"/>
    <w:rsid w:val="00CB7400"/>
    <w:rsid w:val="00CB7407"/>
    <w:rsid w:val="00CB7408"/>
    <w:rsid w:val="00CB7419"/>
    <w:rsid w:val="00CB741A"/>
    <w:rsid w:val="00CB7424"/>
    <w:rsid w:val="00CB7561"/>
    <w:rsid w:val="00CB759F"/>
    <w:rsid w:val="00CB75BA"/>
    <w:rsid w:val="00CB761E"/>
    <w:rsid w:val="00CB7650"/>
    <w:rsid w:val="00CB7657"/>
    <w:rsid w:val="00CB7665"/>
    <w:rsid w:val="00CB7675"/>
    <w:rsid w:val="00CB76BF"/>
    <w:rsid w:val="00CB76FE"/>
    <w:rsid w:val="00CB770C"/>
    <w:rsid w:val="00CB7712"/>
    <w:rsid w:val="00CB773B"/>
    <w:rsid w:val="00CB7745"/>
    <w:rsid w:val="00CB7782"/>
    <w:rsid w:val="00CB77AB"/>
    <w:rsid w:val="00CB77B8"/>
    <w:rsid w:val="00CB781D"/>
    <w:rsid w:val="00CB7871"/>
    <w:rsid w:val="00CB7877"/>
    <w:rsid w:val="00CB78B2"/>
    <w:rsid w:val="00CB78DC"/>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02"/>
    <w:rsid w:val="00CC0111"/>
    <w:rsid w:val="00CC0196"/>
    <w:rsid w:val="00CC0218"/>
    <w:rsid w:val="00CC029C"/>
    <w:rsid w:val="00CC02C0"/>
    <w:rsid w:val="00CC02D7"/>
    <w:rsid w:val="00CC037D"/>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1002"/>
    <w:rsid w:val="00CC103E"/>
    <w:rsid w:val="00CC104B"/>
    <w:rsid w:val="00CC1075"/>
    <w:rsid w:val="00CC10CE"/>
    <w:rsid w:val="00CC1109"/>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1C"/>
    <w:rsid w:val="00CC142E"/>
    <w:rsid w:val="00CC1431"/>
    <w:rsid w:val="00CC1439"/>
    <w:rsid w:val="00CC143A"/>
    <w:rsid w:val="00CC1469"/>
    <w:rsid w:val="00CC1472"/>
    <w:rsid w:val="00CC14D5"/>
    <w:rsid w:val="00CC1502"/>
    <w:rsid w:val="00CC1503"/>
    <w:rsid w:val="00CC1509"/>
    <w:rsid w:val="00CC150E"/>
    <w:rsid w:val="00CC155D"/>
    <w:rsid w:val="00CC1579"/>
    <w:rsid w:val="00CC1699"/>
    <w:rsid w:val="00CC16AA"/>
    <w:rsid w:val="00CC16CC"/>
    <w:rsid w:val="00CC16E7"/>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AF"/>
    <w:rsid w:val="00CC1CD5"/>
    <w:rsid w:val="00CC1D2D"/>
    <w:rsid w:val="00CC1D3E"/>
    <w:rsid w:val="00CC1D5E"/>
    <w:rsid w:val="00CC1DB0"/>
    <w:rsid w:val="00CC1E28"/>
    <w:rsid w:val="00CC1E71"/>
    <w:rsid w:val="00CC1EBB"/>
    <w:rsid w:val="00CC1EC8"/>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5A"/>
    <w:rsid w:val="00CC2395"/>
    <w:rsid w:val="00CC23CE"/>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0"/>
    <w:rsid w:val="00CC26F8"/>
    <w:rsid w:val="00CC270C"/>
    <w:rsid w:val="00CC2716"/>
    <w:rsid w:val="00CC2718"/>
    <w:rsid w:val="00CC2817"/>
    <w:rsid w:val="00CC2830"/>
    <w:rsid w:val="00CC283D"/>
    <w:rsid w:val="00CC293C"/>
    <w:rsid w:val="00CC2962"/>
    <w:rsid w:val="00CC296E"/>
    <w:rsid w:val="00CC29A9"/>
    <w:rsid w:val="00CC29D4"/>
    <w:rsid w:val="00CC2A0F"/>
    <w:rsid w:val="00CC2AE8"/>
    <w:rsid w:val="00CC2AF0"/>
    <w:rsid w:val="00CC2B39"/>
    <w:rsid w:val="00CC2B6B"/>
    <w:rsid w:val="00CC2B91"/>
    <w:rsid w:val="00CC2BA9"/>
    <w:rsid w:val="00CC2C37"/>
    <w:rsid w:val="00CC2C8E"/>
    <w:rsid w:val="00CC2CAA"/>
    <w:rsid w:val="00CC2CD9"/>
    <w:rsid w:val="00CC2D6F"/>
    <w:rsid w:val="00CC2DF6"/>
    <w:rsid w:val="00CC2E29"/>
    <w:rsid w:val="00CC2E5A"/>
    <w:rsid w:val="00CC2ED5"/>
    <w:rsid w:val="00CC2EEB"/>
    <w:rsid w:val="00CC2EED"/>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4B"/>
    <w:rsid w:val="00CC3396"/>
    <w:rsid w:val="00CC33BB"/>
    <w:rsid w:val="00CC3400"/>
    <w:rsid w:val="00CC34B1"/>
    <w:rsid w:val="00CC34BB"/>
    <w:rsid w:val="00CC353D"/>
    <w:rsid w:val="00CC3546"/>
    <w:rsid w:val="00CC355C"/>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A2"/>
    <w:rsid w:val="00CC48CC"/>
    <w:rsid w:val="00CC48CD"/>
    <w:rsid w:val="00CC48E9"/>
    <w:rsid w:val="00CC4905"/>
    <w:rsid w:val="00CC4962"/>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E7"/>
    <w:rsid w:val="00CC4EF9"/>
    <w:rsid w:val="00CC4F31"/>
    <w:rsid w:val="00CC4F37"/>
    <w:rsid w:val="00CC4F5E"/>
    <w:rsid w:val="00CC4F8C"/>
    <w:rsid w:val="00CC4FB0"/>
    <w:rsid w:val="00CC4FE6"/>
    <w:rsid w:val="00CC5026"/>
    <w:rsid w:val="00CC5027"/>
    <w:rsid w:val="00CC5035"/>
    <w:rsid w:val="00CC503A"/>
    <w:rsid w:val="00CC505F"/>
    <w:rsid w:val="00CC507C"/>
    <w:rsid w:val="00CC5091"/>
    <w:rsid w:val="00CC50E9"/>
    <w:rsid w:val="00CC5123"/>
    <w:rsid w:val="00CC513E"/>
    <w:rsid w:val="00CC518D"/>
    <w:rsid w:val="00CC51AF"/>
    <w:rsid w:val="00CC5234"/>
    <w:rsid w:val="00CC5239"/>
    <w:rsid w:val="00CC5267"/>
    <w:rsid w:val="00CC5294"/>
    <w:rsid w:val="00CC52A9"/>
    <w:rsid w:val="00CC52AA"/>
    <w:rsid w:val="00CC52F1"/>
    <w:rsid w:val="00CC52F4"/>
    <w:rsid w:val="00CC53D1"/>
    <w:rsid w:val="00CC5486"/>
    <w:rsid w:val="00CC54BB"/>
    <w:rsid w:val="00CC54EF"/>
    <w:rsid w:val="00CC54F5"/>
    <w:rsid w:val="00CC5545"/>
    <w:rsid w:val="00CC55A1"/>
    <w:rsid w:val="00CC562B"/>
    <w:rsid w:val="00CC56EF"/>
    <w:rsid w:val="00CC573F"/>
    <w:rsid w:val="00CC5748"/>
    <w:rsid w:val="00CC576B"/>
    <w:rsid w:val="00CC5776"/>
    <w:rsid w:val="00CC57BD"/>
    <w:rsid w:val="00CC57C0"/>
    <w:rsid w:val="00CC57C4"/>
    <w:rsid w:val="00CC57F0"/>
    <w:rsid w:val="00CC5833"/>
    <w:rsid w:val="00CC5898"/>
    <w:rsid w:val="00CC58A0"/>
    <w:rsid w:val="00CC58B4"/>
    <w:rsid w:val="00CC5944"/>
    <w:rsid w:val="00CC59A5"/>
    <w:rsid w:val="00CC59B1"/>
    <w:rsid w:val="00CC5A46"/>
    <w:rsid w:val="00CC5A61"/>
    <w:rsid w:val="00CC5AAC"/>
    <w:rsid w:val="00CC5AC0"/>
    <w:rsid w:val="00CC5B77"/>
    <w:rsid w:val="00CC5BC3"/>
    <w:rsid w:val="00CC5BD8"/>
    <w:rsid w:val="00CC5BE5"/>
    <w:rsid w:val="00CC5BE7"/>
    <w:rsid w:val="00CC5BFC"/>
    <w:rsid w:val="00CC5C10"/>
    <w:rsid w:val="00CC5C2C"/>
    <w:rsid w:val="00CC5C2F"/>
    <w:rsid w:val="00CC5CA3"/>
    <w:rsid w:val="00CC5D2D"/>
    <w:rsid w:val="00CC5D2F"/>
    <w:rsid w:val="00CC5D34"/>
    <w:rsid w:val="00CC5D51"/>
    <w:rsid w:val="00CC5D7F"/>
    <w:rsid w:val="00CC5DD4"/>
    <w:rsid w:val="00CC5E01"/>
    <w:rsid w:val="00CC5EC8"/>
    <w:rsid w:val="00CC5EED"/>
    <w:rsid w:val="00CC5EFB"/>
    <w:rsid w:val="00CC5F28"/>
    <w:rsid w:val="00CC5FAC"/>
    <w:rsid w:val="00CC5FF5"/>
    <w:rsid w:val="00CC60AB"/>
    <w:rsid w:val="00CC60EB"/>
    <w:rsid w:val="00CC6104"/>
    <w:rsid w:val="00CC6163"/>
    <w:rsid w:val="00CC6164"/>
    <w:rsid w:val="00CC618F"/>
    <w:rsid w:val="00CC61AE"/>
    <w:rsid w:val="00CC61D5"/>
    <w:rsid w:val="00CC620F"/>
    <w:rsid w:val="00CC6216"/>
    <w:rsid w:val="00CC622D"/>
    <w:rsid w:val="00CC6246"/>
    <w:rsid w:val="00CC624A"/>
    <w:rsid w:val="00CC6279"/>
    <w:rsid w:val="00CC62E0"/>
    <w:rsid w:val="00CC62ED"/>
    <w:rsid w:val="00CC6317"/>
    <w:rsid w:val="00CC636A"/>
    <w:rsid w:val="00CC641A"/>
    <w:rsid w:val="00CC6455"/>
    <w:rsid w:val="00CC647A"/>
    <w:rsid w:val="00CC64E6"/>
    <w:rsid w:val="00CC652D"/>
    <w:rsid w:val="00CC6537"/>
    <w:rsid w:val="00CC6552"/>
    <w:rsid w:val="00CC6564"/>
    <w:rsid w:val="00CC6629"/>
    <w:rsid w:val="00CC6633"/>
    <w:rsid w:val="00CC666D"/>
    <w:rsid w:val="00CC6687"/>
    <w:rsid w:val="00CC66AA"/>
    <w:rsid w:val="00CC66BD"/>
    <w:rsid w:val="00CC6721"/>
    <w:rsid w:val="00CC6739"/>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D01"/>
    <w:rsid w:val="00CC6D2A"/>
    <w:rsid w:val="00CC6D2B"/>
    <w:rsid w:val="00CC6D9E"/>
    <w:rsid w:val="00CC6DB5"/>
    <w:rsid w:val="00CC6DE6"/>
    <w:rsid w:val="00CC6DFB"/>
    <w:rsid w:val="00CC6EE6"/>
    <w:rsid w:val="00CC6F02"/>
    <w:rsid w:val="00CC6F5B"/>
    <w:rsid w:val="00CC6FC4"/>
    <w:rsid w:val="00CC6FDC"/>
    <w:rsid w:val="00CC7053"/>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11"/>
    <w:rsid w:val="00CC7514"/>
    <w:rsid w:val="00CC7516"/>
    <w:rsid w:val="00CC7532"/>
    <w:rsid w:val="00CC75F3"/>
    <w:rsid w:val="00CC7659"/>
    <w:rsid w:val="00CC768B"/>
    <w:rsid w:val="00CC76A2"/>
    <w:rsid w:val="00CC76B3"/>
    <w:rsid w:val="00CC76C8"/>
    <w:rsid w:val="00CC76CE"/>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75"/>
    <w:rsid w:val="00CC7CAD"/>
    <w:rsid w:val="00CC7CFA"/>
    <w:rsid w:val="00CC7D20"/>
    <w:rsid w:val="00CC7D3A"/>
    <w:rsid w:val="00CC7D3E"/>
    <w:rsid w:val="00CC7E05"/>
    <w:rsid w:val="00CC7E3C"/>
    <w:rsid w:val="00CC7E53"/>
    <w:rsid w:val="00CC7E91"/>
    <w:rsid w:val="00CC7EC0"/>
    <w:rsid w:val="00CC7ECC"/>
    <w:rsid w:val="00CC7ED7"/>
    <w:rsid w:val="00CC7F2A"/>
    <w:rsid w:val="00CC7F30"/>
    <w:rsid w:val="00CC7F78"/>
    <w:rsid w:val="00CC7F82"/>
    <w:rsid w:val="00CC7FA3"/>
    <w:rsid w:val="00CC7FA9"/>
    <w:rsid w:val="00CC7FDD"/>
    <w:rsid w:val="00CD0036"/>
    <w:rsid w:val="00CD003C"/>
    <w:rsid w:val="00CD0077"/>
    <w:rsid w:val="00CD00D9"/>
    <w:rsid w:val="00CD0116"/>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AB"/>
    <w:rsid w:val="00CD0721"/>
    <w:rsid w:val="00CD0784"/>
    <w:rsid w:val="00CD0791"/>
    <w:rsid w:val="00CD0801"/>
    <w:rsid w:val="00CD088D"/>
    <w:rsid w:val="00CD08CC"/>
    <w:rsid w:val="00CD0908"/>
    <w:rsid w:val="00CD0923"/>
    <w:rsid w:val="00CD096C"/>
    <w:rsid w:val="00CD09AE"/>
    <w:rsid w:val="00CD09CE"/>
    <w:rsid w:val="00CD09D3"/>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06D"/>
    <w:rsid w:val="00CD1161"/>
    <w:rsid w:val="00CD1170"/>
    <w:rsid w:val="00CD1184"/>
    <w:rsid w:val="00CD11C6"/>
    <w:rsid w:val="00CD126A"/>
    <w:rsid w:val="00CD1286"/>
    <w:rsid w:val="00CD1308"/>
    <w:rsid w:val="00CD1347"/>
    <w:rsid w:val="00CD139D"/>
    <w:rsid w:val="00CD1452"/>
    <w:rsid w:val="00CD1469"/>
    <w:rsid w:val="00CD147C"/>
    <w:rsid w:val="00CD14B9"/>
    <w:rsid w:val="00CD14F4"/>
    <w:rsid w:val="00CD155A"/>
    <w:rsid w:val="00CD155B"/>
    <w:rsid w:val="00CD155D"/>
    <w:rsid w:val="00CD1596"/>
    <w:rsid w:val="00CD15AC"/>
    <w:rsid w:val="00CD15AD"/>
    <w:rsid w:val="00CD15D1"/>
    <w:rsid w:val="00CD15D3"/>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82"/>
    <w:rsid w:val="00CD1DAA"/>
    <w:rsid w:val="00CD1E26"/>
    <w:rsid w:val="00CD1ED9"/>
    <w:rsid w:val="00CD1EEB"/>
    <w:rsid w:val="00CD1F06"/>
    <w:rsid w:val="00CD1F1B"/>
    <w:rsid w:val="00CD1F43"/>
    <w:rsid w:val="00CD1F6B"/>
    <w:rsid w:val="00CD1F7B"/>
    <w:rsid w:val="00CD1F93"/>
    <w:rsid w:val="00CD1FDA"/>
    <w:rsid w:val="00CD2077"/>
    <w:rsid w:val="00CD20DE"/>
    <w:rsid w:val="00CD20EE"/>
    <w:rsid w:val="00CD20F7"/>
    <w:rsid w:val="00CD2127"/>
    <w:rsid w:val="00CD21B5"/>
    <w:rsid w:val="00CD21DA"/>
    <w:rsid w:val="00CD2213"/>
    <w:rsid w:val="00CD2236"/>
    <w:rsid w:val="00CD224A"/>
    <w:rsid w:val="00CD22A4"/>
    <w:rsid w:val="00CD236B"/>
    <w:rsid w:val="00CD239D"/>
    <w:rsid w:val="00CD23BD"/>
    <w:rsid w:val="00CD23E8"/>
    <w:rsid w:val="00CD23F0"/>
    <w:rsid w:val="00CD241C"/>
    <w:rsid w:val="00CD243E"/>
    <w:rsid w:val="00CD244A"/>
    <w:rsid w:val="00CD24B8"/>
    <w:rsid w:val="00CD24DE"/>
    <w:rsid w:val="00CD2581"/>
    <w:rsid w:val="00CD25B8"/>
    <w:rsid w:val="00CD25BC"/>
    <w:rsid w:val="00CD25E9"/>
    <w:rsid w:val="00CD261E"/>
    <w:rsid w:val="00CD266D"/>
    <w:rsid w:val="00CD268E"/>
    <w:rsid w:val="00CD26C6"/>
    <w:rsid w:val="00CD2733"/>
    <w:rsid w:val="00CD2752"/>
    <w:rsid w:val="00CD275F"/>
    <w:rsid w:val="00CD277E"/>
    <w:rsid w:val="00CD27A2"/>
    <w:rsid w:val="00CD2813"/>
    <w:rsid w:val="00CD2817"/>
    <w:rsid w:val="00CD281D"/>
    <w:rsid w:val="00CD281F"/>
    <w:rsid w:val="00CD2840"/>
    <w:rsid w:val="00CD289E"/>
    <w:rsid w:val="00CD28AD"/>
    <w:rsid w:val="00CD28F3"/>
    <w:rsid w:val="00CD2905"/>
    <w:rsid w:val="00CD2938"/>
    <w:rsid w:val="00CD2952"/>
    <w:rsid w:val="00CD2970"/>
    <w:rsid w:val="00CD297B"/>
    <w:rsid w:val="00CD29D1"/>
    <w:rsid w:val="00CD29D9"/>
    <w:rsid w:val="00CD29E3"/>
    <w:rsid w:val="00CD2AA0"/>
    <w:rsid w:val="00CD2AAF"/>
    <w:rsid w:val="00CD2AD7"/>
    <w:rsid w:val="00CD2ADC"/>
    <w:rsid w:val="00CD2B33"/>
    <w:rsid w:val="00CD2B94"/>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4E"/>
    <w:rsid w:val="00CD2EC5"/>
    <w:rsid w:val="00CD2EFE"/>
    <w:rsid w:val="00CD2F66"/>
    <w:rsid w:val="00CD2F98"/>
    <w:rsid w:val="00CD306C"/>
    <w:rsid w:val="00CD3077"/>
    <w:rsid w:val="00CD307A"/>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E8"/>
    <w:rsid w:val="00CD39FA"/>
    <w:rsid w:val="00CD3A1A"/>
    <w:rsid w:val="00CD3A1D"/>
    <w:rsid w:val="00CD3A4D"/>
    <w:rsid w:val="00CD3AAD"/>
    <w:rsid w:val="00CD3AB7"/>
    <w:rsid w:val="00CD3AC7"/>
    <w:rsid w:val="00CD3AC9"/>
    <w:rsid w:val="00CD3ACF"/>
    <w:rsid w:val="00CD3AE5"/>
    <w:rsid w:val="00CD3B6D"/>
    <w:rsid w:val="00CD3BA3"/>
    <w:rsid w:val="00CD3BA5"/>
    <w:rsid w:val="00CD3BC8"/>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15"/>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27"/>
    <w:rsid w:val="00CD4AAF"/>
    <w:rsid w:val="00CD4B12"/>
    <w:rsid w:val="00CD4B44"/>
    <w:rsid w:val="00CD4BA4"/>
    <w:rsid w:val="00CD4BF7"/>
    <w:rsid w:val="00CD4BFE"/>
    <w:rsid w:val="00CD4C0E"/>
    <w:rsid w:val="00CD4C26"/>
    <w:rsid w:val="00CD4C4B"/>
    <w:rsid w:val="00CD4CF2"/>
    <w:rsid w:val="00CD4D2C"/>
    <w:rsid w:val="00CD4D3B"/>
    <w:rsid w:val="00CD4D3E"/>
    <w:rsid w:val="00CD4DA3"/>
    <w:rsid w:val="00CD4DB8"/>
    <w:rsid w:val="00CD4DE7"/>
    <w:rsid w:val="00CD4DE9"/>
    <w:rsid w:val="00CD4DF1"/>
    <w:rsid w:val="00CD4DFA"/>
    <w:rsid w:val="00CD4DFC"/>
    <w:rsid w:val="00CD4E53"/>
    <w:rsid w:val="00CD4E9B"/>
    <w:rsid w:val="00CD4EB9"/>
    <w:rsid w:val="00CD4EE4"/>
    <w:rsid w:val="00CD4F4B"/>
    <w:rsid w:val="00CD4F74"/>
    <w:rsid w:val="00CD4F85"/>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7D"/>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29"/>
    <w:rsid w:val="00CD594E"/>
    <w:rsid w:val="00CD59E7"/>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3B"/>
    <w:rsid w:val="00CD6047"/>
    <w:rsid w:val="00CD6052"/>
    <w:rsid w:val="00CD6091"/>
    <w:rsid w:val="00CD610F"/>
    <w:rsid w:val="00CD6142"/>
    <w:rsid w:val="00CD614E"/>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D2"/>
    <w:rsid w:val="00CD68D8"/>
    <w:rsid w:val="00CD693F"/>
    <w:rsid w:val="00CD697E"/>
    <w:rsid w:val="00CD6990"/>
    <w:rsid w:val="00CD69A1"/>
    <w:rsid w:val="00CD69D8"/>
    <w:rsid w:val="00CD6A66"/>
    <w:rsid w:val="00CD6A92"/>
    <w:rsid w:val="00CD6B09"/>
    <w:rsid w:val="00CD6B5C"/>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3F2"/>
    <w:rsid w:val="00CD7431"/>
    <w:rsid w:val="00CD7481"/>
    <w:rsid w:val="00CD7489"/>
    <w:rsid w:val="00CD74E1"/>
    <w:rsid w:val="00CD74FD"/>
    <w:rsid w:val="00CD74FE"/>
    <w:rsid w:val="00CD7557"/>
    <w:rsid w:val="00CD758E"/>
    <w:rsid w:val="00CD759C"/>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E"/>
    <w:rsid w:val="00CD7A81"/>
    <w:rsid w:val="00CD7AAC"/>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4D"/>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211"/>
    <w:rsid w:val="00CE0218"/>
    <w:rsid w:val="00CE0251"/>
    <w:rsid w:val="00CE0276"/>
    <w:rsid w:val="00CE02B5"/>
    <w:rsid w:val="00CE02E2"/>
    <w:rsid w:val="00CE02F6"/>
    <w:rsid w:val="00CE031C"/>
    <w:rsid w:val="00CE0325"/>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6EF"/>
    <w:rsid w:val="00CE0792"/>
    <w:rsid w:val="00CE0860"/>
    <w:rsid w:val="00CE0867"/>
    <w:rsid w:val="00CE08E3"/>
    <w:rsid w:val="00CE08F4"/>
    <w:rsid w:val="00CE08F6"/>
    <w:rsid w:val="00CE0916"/>
    <w:rsid w:val="00CE091B"/>
    <w:rsid w:val="00CE0944"/>
    <w:rsid w:val="00CE0975"/>
    <w:rsid w:val="00CE09FE"/>
    <w:rsid w:val="00CE0A66"/>
    <w:rsid w:val="00CE0B1E"/>
    <w:rsid w:val="00CE0B44"/>
    <w:rsid w:val="00CE0B9C"/>
    <w:rsid w:val="00CE0BAE"/>
    <w:rsid w:val="00CE0BD6"/>
    <w:rsid w:val="00CE0C2C"/>
    <w:rsid w:val="00CE0C36"/>
    <w:rsid w:val="00CE0C3F"/>
    <w:rsid w:val="00CE0C5D"/>
    <w:rsid w:val="00CE0CDB"/>
    <w:rsid w:val="00CE0DA3"/>
    <w:rsid w:val="00CE0DDB"/>
    <w:rsid w:val="00CE0E4D"/>
    <w:rsid w:val="00CE0E72"/>
    <w:rsid w:val="00CE0E84"/>
    <w:rsid w:val="00CE0EC6"/>
    <w:rsid w:val="00CE0EE2"/>
    <w:rsid w:val="00CE0F03"/>
    <w:rsid w:val="00CE0F5F"/>
    <w:rsid w:val="00CE0FA7"/>
    <w:rsid w:val="00CE105D"/>
    <w:rsid w:val="00CE1095"/>
    <w:rsid w:val="00CE10A7"/>
    <w:rsid w:val="00CE10C9"/>
    <w:rsid w:val="00CE10FF"/>
    <w:rsid w:val="00CE1102"/>
    <w:rsid w:val="00CE1118"/>
    <w:rsid w:val="00CE1168"/>
    <w:rsid w:val="00CE11AA"/>
    <w:rsid w:val="00CE11C3"/>
    <w:rsid w:val="00CE11E2"/>
    <w:rsid w:val="00CE124C"/>
    <w:rsid w:val="00CE1278"/>
    <w:rsid w:val="00CE1295"/>
    <w:rsid w:val="00CE1313"/>
    <w:rsid w:val="00CE132A"/>
    <w:rsid w:val="00CE1331"/>
    <w:rsid w:val="00CE1371"/>
    <w:rsid w:val="00CE137A"/>
    <w:rsid w:val="00CE13C4"/>
    <w:rsid w:val="00CE13D0"/>
    <w:rsid w:val="00CE13D9"/>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6F6"/>
    <w:rsid w:val="00CE1727"/>
    <w:rsid w:val="00CE17FA"/>
    <w:rsid w:val="00CE17FD"/>
    <w:rsid w:val="00CE180D"/>
    <w:rsid w:val="00CE181A"/>
    <w:rsid w:val="00CE184E"/>
    <w:rsid w:val="00CE18C0"/>
    <w:rsid w:val="00CE18C2"/>
    <w:rsid w:val="00CE18D4"/>
    <w:rsid w:val="00CE18FF"/>
    <w:rsid w:val="00CE190B"/>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70"/>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AF"/>
    <w:rsid w:val="00CE2CBA"/>
    <w:rsid w:val="00CE2CBE"/>
    <w:rsid w:val="00CE2CFE"/>
    <w:rsid w:val="00CE2D1E"/>
    <w:rsid w:val="00CE2D55"/>
    <w:rsid w:val="00CE2DAF"/>
    <w:rsid w:val="00CE2DF0"/>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CE"/>
    <w:rsid w:val="00CE330A"/>
    <w:rsid w:val="00CE332C"/>
    <w:rsid w:val="00CE3335"/>
    <w:rsid w:val="00CE3336"/>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F7"/>
    <w:rsid w:val="00CE3846"/>
    <w:rsid w:val="00CE38A6"/>
    <w:rsid w:val="00CE3919"/>
    <w:rsid w:val="00CE3926"/>
    <w:rsid w:val="00CE394F"/>
    <w:rsid w:val="00CE39AC"/>
    <w:rsid w:val="00CE39CF"/>
    <w:rsid w:val="00CE39D8"/>
    <w:rsid w:val="00CE39E7"/>
    <w:rsid w:val="00CE3A29"/>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F6"/>
    <w:rsid w:val="00CE3F31"/>
    <w:rsid w:val="00CE3F67"/>
    <w:rsid w:val="00CE40A5"/>
    <w:rsid w:val="00CE40D3"/>
    <w:rsid w:val="00CE413E"/>
    <w:rsid w:val="00CE414B"/>
    <w:rsid w:val="00CE414C"/>
    <w:rsid w:val="00CE41A6"/>
    <w:rsid w:val="00CE41EF"/>
    <w:rsid w:val="00CE4253"/>
    <w:rsid w:val="00CE4276"/>
    <w:rsid w:val="00CE427D"/>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92"/>
    <w:rsid w:val="00CE44DE"/>
    <w:rsid w:val="00CE450E"/>
    <w:rsid w:val="00CE451F"/>
    <w:rsid w:val="00CE45F7"/>
    <w:rsid w:val="00CE46AB"/>
    <w:rsid w:val="00CE46B2"/>
    <w:rsid w:val="00CE46E5"/>
    <w:rsid w:val="00CE4717"/>
    <w:rsid w:val="00CE471C"/>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64"/>
    <w:rsid w:val="00CE4BB5"/>
    <w:rsid w:val="00CE4C82"/>
    <w:rsid w:val="00CE4C91"/>
    <w:rsid w:val="00CE4CFA"/>
    <w:rsid w:val="00CE4D10"/>
    <w:rsid w:val="00CE4DBF"/>
    <w:rsid w:val="00CE4DE8"/>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7"/>
    <w:rsid w:val="00CE5108"/>
    <w:rsid w:val="00CE514C"/>
    <w:rsid w:val="00CE51DB"/>
    <w:rsid w:val="00CE51E7"/>
    <w:rsid w:val="00CE521E"/>
    <w:rsid w:val="00CE5226"/>
    <w:rsid w:val="00CE525F"/>
    <w:rsid w:val="00CE52AD"/>
    <w:rsid w:val="00CE52C8"/>
    <w:rsid w:val="00CE52CD"/>
    <w:rsid w:val="00CE52ED"/>
    <w:rsid w:val="00CE52EF"/>
    <w:rsid w:val="00CE5329"/>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04"/>
    <w:rsid w:val="00CE572D"/>
    <w:rsid w:val="00CE574D"/>
    <w:rsid w:val="00CE57C8"/>
    <w:rsid w:val="00CE57D2"/>
    <w:rsid w:val="00CE57D8"/>
    <w:rsid w:val="00CE57D9"/>
    <w:rsid w:val="00CE5874"/>
    <w:rsid w:val="00CE589E"/>
    <w:rsid w:val="00CE58D5"/>
    <w:rsid w:val="00CE58FD"/>
    <w:rsid w:val="00CE591F"/>
    <w:rsid w:val="00CE5928"/>
    <w:rsid w:val="00CE5930"/>
    <w:rsid w:val="00CE5AAE"/>
    <w:rsid w:val="00CE5ADB"/>
    <w:rsid w:val="00CE5AF5"/>
    <w:rsid w:val="00CE5B70"/>
    <w:rsid w:val="00CE5BAE"/>
    <w:rsid w:val="00CE5BC4"/>
    <w:rsid w:val="00CE5BEE"/>
    <w:rsid w:val="00CE5CB2"/>
    <w:rsid w:val="00CE5CC9"/>
    <w:rsid w:val="00CE5D36"/>
    <w:rsid w:val="00CE5D53"/>
    <w:rsid w:val="00CE5D65"/>
    <w:rsid w:val="00CE5D67"/>
    <w:rsid w:val="00CE5D71"/>
    <w:rsid w:val="00CE5D91"/>
    <w:rsid w:val="00CE5DCD"/>
    <w:rsid w:val="00CE5E35"/>
    <w:rsid w:val="00CE5E63"/>
    <w:rsid w:val="00CE5EC2"/>
    <w:rsid w:val="00CE5F28"/>
    <w:rsid w:val="00CE5F4C"/>
    <w:rsid w:val="00CE5F92"/>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CF"/>
    <w:rsid w:val="00CE6413"/>
    <w:rsid w:val="00CE6455"/>
    <w:rsid w:val="00CE645B"/>
    <w:rsid w:val="00CE645E"/>
    <w:rsid w:val="00CE65E8"/>
    <w:rsid w:val="00CE6608"/>
    <w:rsid w:val="00CE6664"/>
    <w:rsid w:val="00CE6686"/>
    <w:rsid w:val="00CE66C0"/>
    <w:rsid w:val="00CE671D"/>
    <w:rsid w:val="00CE6721"/>
    <w:rsid w:val="00CE674F"/>
    <w:rsid w:val="00CE6757"/>
    <w:rsid w:val="00CE6781"/>
    <w:rsid w:val="00CE678C"/>
    <w:rsid w:val="00CE6820"/>
    <w:rsid w:val="00CE68AD"/>
    <w:rsid w:val="00CE68ED"/>
    <w:rsid w:val="00CE68EF"/>
    <w:rsid w:val="00CE6930"/>
    <w:rsid w:val="00CE6971"/>
    <w:rsid w:val="00CE697D"/>
    <w:rsid w:val="00CE6998"/>
    <w:rsid w:val="00CE699E"/>
    <w:rsid w:val="00CE69B3"/>
    <w:rsid w:val="00CE69CE"/>
    <w:rsid w:val="00CE6A3F"/>
    <w:rsid w:val="00CE6AF7"/>
    <w:rsid w:val="00CE6B37"/>
    <w:rsid w:val="00CE6B67"/>
    <w:rsid w:val="00CE6BA7"/>
    <w:rsid w:val="00CE6BD3"/>
    <w:rsid w:val="00CE6BDA"/>
    <w:rsid w:val="00CE6BF7"/>
    <w:rsid w:val="00CE6C37"/>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5C8"/>
    <w:rsid w:val="00CE75CF"/>
    <w:rsid w:val="00CE75D7"/>
    <w:rsid w:val="00CE7601"/>
    <w:rsid w:val="00CE762B"/>
    <w:rsid w:val="00CE763A"/>
    <w:rsid w:val="00CE767C"/>
    <w:rsid w:val="00CE76B6"/>
    <w:rsid w:val="00CE7702"/>
    <w:rsid w:val="00CE775B"/>
    <w:rsid w:val="00CE7770"/>
    <w:rsid w:val="00CE77D8"/>
    <w:rsid w:val="00CE7813"/>
    <w:rsid w:val="00CE7844"/>
    <w:rsid w:val="00CE784A"/>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D1B"/>
    <w:rsid w:val="00CE7D5E"/>
    <w:rsid w:val="00CE7DA4"/>
    <w:rsid w:val="00CE7DB7"/>
    <w:rsid w:val="00CE7DBE"/>
    <w:rsid w:val="00CE7DCC"/>
    <w:rsid w:val="00CE7DD4"/>
    <w:rsid w:val="00CE7DD6"/>
    <w:rsid w:val="00CE7DD9"/>
    <w:rsid w:val="00CE7E02"/>
    <w:rsid w:val="00CE7E72"/>
    <w:rsid w:val="00CE7EBF"/>
    <w:rsid w:val="00CE7F25"/>
    <w:rsid w:val="00CE7F5A"/>
    <w:rsid w:val="00CE7FB7"/>
    <w:rsid w:val="00CE7FCE"/>
    <w:rsid w:val="00CE7FD4"/>
    <w:rsid w:val="00CF0003"/>
    <w:rsid w:val="00CF0035"/>
    <w:rsid w:val="00CF008C"/>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A4"/>
    <w:rsid w:val="00CF05EF"/>
    <w:rsid w:val="00CF0630"/>
    <w:rsid w:val="00CF0633"/>
    <w:rsid w:val="00CF065F"/>
    <w:rsid w:val="00CF06A1"/>
    <w:rsid w:val="00CF073C"/>
    <w:rsid w:val="00CF0753"/>
    <w:rsid w:val="00CF075E"/>
    <w:rsid w:val="00CF07A1"/>
    <w:rsid w:val="00CF07D4"/>
    <w:rsid w:val="00CF083C"/>
    <w:rsid w:val="00CF0907"/>
    <w:rsid w:val="00CF0A6C"/>
    <w:rsid w:val="00CF0AB1"/>
    <w:rsid w:val="00CF0AB9"/>
    <w:rsid w:val="00CF0AF9"/>
    <w:rsid w:val="00CF0B9F"/>
    <w:rsid w:val="00CF0C3B"/>
    <w:rsid w:val="00CF0C81"/>
    <w:rsid w:val="00CF0CA8"/>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C"/>
    <w:rsid w:val="00CF0FB6"/>
    <w:rsid w:val="00CF0FC1"/>
    <w:rsid w:val="00CF1030"/>
    <w:rsid w:val="00CF1070"/>
    <w:rsid w:val="00CF10AD"/>
    <w:rsid w:val="00CF10CD"/>
    <w:rsid w:val="00CF1124"/>
    <w:rsid w:val="00CF1164"/>
    <w:rsid w:val="00CF116C"/>
    <w:rsid w:val="00CF11B0"/>
    <w:rsid w:val="00CF11D5"/>
    <w:rsid w:val="00CF1205"/>
    <w:rsid w:val="00CF1207"/>
    <w:rsid w:val="00CF1240"/>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27"/>
    <w:rsid w:val="00CF18AB"/>
    <w:rsid w:val="00CF18EC"/>
    <w:rsid w:val="00CF191B"/>
    <w:rsid w:val="00CF1966"/>
    <w:rsid w:val="00CF19CB"/>
    <w:rsid w:val="00CF1A2A"/>
    <w:rsid w:val="00CF1A31"/>
    <w:rsid w:val="00CF1A67"/>
    <w:rsid w:val="00CF1A90"/>
    <w:rsid w:val="00CF1ACC"/>
    <w:rsid w:val="00CF1ACF"/>
    <w:rsid w:val="00CF1ADB"/>
    <w:rsid w:val="00CF1B18"/>
    <w:rsid w:val="00CF1B6D"/>
    <w:rsid w:val="00CF1B9B"/>
    <w:rsid w:val="00CF1BA1"/>
    <w:rsid w:val="00CF1BDF"/>
    <w:rsid w:val="00CF1C12"/>
    <w:rsid w:val="00CF1C16"/>
    <w:rsid w:val="00CF1C1A"/>
    <w:rsid w:val="00CF1C26"/>
    <w:rsid w:val="00CF1C28"/>
    <w:rsid w:val="00CF1C2A"/>
    <w:rsid w:val="00CF1C4D"/>
    <w:rsid w:val="00CF1CD5"/>
    <w:rsid w:val="00CF1D34"/>
    <w:rsid w:val="00CF1D74"/>
    <w:rsid w:val="00CF1D7A"/>
    <w:rsid w:val="00CF1D88"/>
    <w:rsid w:val="00CF1DAA"/>
    <w:rsid w:val="00CF1DC5"/>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62"/>
    <w:rsid w:val="00CF209E"/>
    <w:rsid w:val="00CF20F0"/>
    <w:rsid w:val="00CF2151"/>
    <w:rsid w:val="00CF21AA"/>
    <w:rsid w:val="00CF21B1"/>
    <w:rsid w:val="00CF2210"/>
    <w:rsid w:val="00CF229D"/>
    <w:rsid w:val="00CF22B0"/>
    <w:rsid w:val="00CF2378"/>
    <w:rsid w:val="00CF23A2"/>
    <w:rsid w:val="00CF23B0"/>
    <w:rsid w:val="00CF23B7"/>
    <w:rsid w:val="00CF23BC"/>
    <w:rsid w:val="00CF23E2"/>
    <w:rsid w:val="00CF24AF"/>
    <w:rsid w:val="00CF24B6"/>
    <w:rsid w:val="00CF24C9"/>
    <w:rsid w:val="00CF2516"/>
    <w:rsid w:val="00CF2518"/>
    <w:rsid w:val="00CF25AB"/>
    <w:rsid w:val="00CF25AD"/>
    <w:rsid w:val="00CF25F6"/>
    <w:rsid w:val="00CF2613"/>
    <w:rsid w:val="00CF26AF"/>
    <w:rsid w:val="00CF26DC"/>
    <w:rsid w:val="00CF2748"/>
    <w:rsid w:val="00CF276A"/>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B1"/>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79"/>
    <w:rsid w:val="00CF3084"/>
    <w:rsid w:val="00CF30B1"/>
    <w:rsid w:val="00CF30DC"/>
    <w:rsid w:val="00CF30EC"/>
    <w:rsid w:val="00CF3130"/>
    <w:rsid w:val="00CF313B"/>
    <w:rsid w:val="00CF315B"/>
    <w:rsid w:val="00CF31C4"/>
    <w:rsid w:val="00CF3216"/>
    <w:rsid w:val="00CF3229"/>
    <w:rsid w:val="00CF32E1"/>
    <w:rsid w:val="00CF32FF"/>
    <w:rsid w:val="00CF3310"/>
    <w:rsid w:val="00CF3327"/>
    <w:rsid w:val="00CF33B3"/>
    <w:rsid w:val="00CF33C9"/>
    <w:rsid w:val="00CF3442"/>
    <w:rsid w:val="00CF3488"/>
    <w:rsid w:val="00CF3494"/>
    <w:rsid w:val="00CF3507"/>
    <w:rsid w:val="00CF3512"/>
    <w:rsid w:val="00CF3519"/>
    <w:rsid w:val="00CF35B8"/>
    <w:rsid w:val="00CF3659"/>
    <w:rsid w:val="00CF3660"/>
    <w:rsid w:val="00CF3723"/>
    <w:rsid w:val="00CF3742"/>
    <w:rsid w:val="00CF375C"/>
    <w:rsid w:val="00CF37EA"/>
    <w:rsid w:val="00CF3801"/>
    <w:rsid w:val="00CF381C"/>
    <w:rsid w:val="00CF388B"/>
    <w:rsid w:val="00CF38FF"/>
    <w:rsid w:val="00CF3980"/>
    <w:rsid w:val="00CF39A5"/>
    <w:rsid w:val="00CF39C5"/>
    <w:rsid w:val="00CF3A00"/>
    <w:rsid w:val="00CF3A08"/>
    <w:rsid w:val="00CF3A29"/>
    <w:rsid w:val="00CF3A5F"/>
    <w:rsid w:val="00CF3A86"/>
    <w:rsid w:val="00CF3B19"/>
    <w:rsid w:val="00CF3B23"/>
    <w:rsid w:val="00CF3B39"/>
    <w:rsid w:val="00CF3B7A"/>
    <w:rsid w:val="00CF3B9A"/>
    <w:rsid w:val="00CF3C24"/>
    <w:rsid w:val="00CF3C8E"/>
    <w:rsid w:val="00CF3CB4"/>
    <w:rsid w:val="00CF3D06"/>
    <w:rsid w:val="00CF3D0E"/>
    <w:rsid w:val="00CF3D28"/>
    <w:rsid w:val="00CF3D4A"/>
    <w:rsid w:val="00CF3D81"/>
    <w:rsid w:val="00CF3D82"/>
    <w:rsid w:val="00CF3DD0"/>
    <w:rsid w:val="00CF3DD7"/>
    <w:rsid w:val="00CF3E3F"/>
    <w:rsid w:val="00CF3EC8"/>
    <w:rsid w:val="00CF3F11"/>
    <w:rsid w:val="00CF3F19"/>
    <w:rsid w:val="00CF3F33"/>
    <w:rsid w:val="00CF3FB3"/>
    <w:rsid w:val="00CF3FEE"/>
    <w:rsid w:val="00CF4017"/>
    <w:rsid w:val="00CF4094"/>
    <w:rsid w:val="00CF40F2"/>
    <w:rsid w:val="00CF4149"/>
    <w:rsid w:val="00CF415B"/>
    <w:rsid w:val="00CF4183"/>
    <w:rsid w:val="00CF41BB"/>
    <w:rsid w:val="00CF41D1"/>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93"/>
    <w:rsid w:val="00CF49A2"/>
    <w:rsid w:val="00CF49EF"/>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1E"/>
    <w:rsid w:val="00CF4C58"/>
    <w:rsid w:val="00CF4C6F"/>
    <w:rsid w:val="00CF4C75"/>
    <w:rsid w:val="00CF4CAB"/>
    <w:rsid w:val="00CF4D70"/>
    <w:rsid w:val="00CF4DDD"/>
    <w:rsid w:val="00CF4E16"/>
    <w:rsid w:val="00CF4E2B"/>
    <w:rsid w:val="00CF4E36"/>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0E5"/>
    <w:rsid w:val="00CF511E"/>
    <w:rsid w:val="00CF5133"/>
    <w:rsid w:val="00CF5138"/>
    <w:rsid w:val="00CF5142"/>
    <w:rsid w:val="00CF514A"/>
    <w:rsid w:val="00CF516E"/>
    <w:rsid w:val="00CF5294"/>
    <w:rsid w:val="00CF52E4"/>
    <w:rsid w:val="00CF52F8"/>
    <w:rsid w:val="00CF536C"/>
    <w:rsid w:val="00CF53AA"/>
    <w:rsid w:val="00CF53E5"/>
    <w:rsid w:val="00CF5415"/>
    <w:rsid w:val="00CF5438"/>
    <w:rsid w:val="00CF5450"/>
    <w:rsid w:val="00CF5452"/>
    <w:rsid w:val="00CF5453"/>
    <w:rsid w:val="00CF54B4"/>
    <w:rsid w:val="00CF54BE"/>
    <w:rsid w:val="00CF54F8"/>
    <w:rsid w:val="00CF5533"/>
    <w:rsid w:val="00CF554F"/>
    <w:rsid w:val="00CF556E"/>
    <w:rsid w:val="00CF5592"/>
    <w:rsid w:val="00CF55A0"/>
    <w:rsid w:val="00CF56E1"/>
    <w:rsid w:val="00CF56E8"/>
    <w:rsid w:val="00CF56F5"/>
    <w:rsid w:val="00CF57BB"/>
    <w:rsid w:val="00CF57E4"/>
    <w:rsid w:val="00CF57E6"/>
    <w:rsid w:val="00CF582D"/>
    <w:rsid w:val="00CF582F"/>
    <w:rsid w:val="00CF58B7"/>
    <w:rsid w:val="00CF59D9"/>
    <w:rsid w:val="00CF59DE"/>
    <w:rsid w:val="00CF5A2D"/>
    <w:rsid w:val="00CF5A9B"/>
    <w:rsid w:val="00CF5B05"/>
    <w:rsid w:val="00CF5B3D"/>
    <w:rsid w:val="00CF5B48"/>
    <w:rsid w:val="00CF5B53"/>
    <w:rsid w:val="00CF5BA1"/>
    <w:rsid w:val="00CF5C62"/>
    <w:rsid w:val="00CF5C8E"/>
    <w:rsid w:val="00CF5C9B"/>
    <w:rsid w:val="00CF5CCE"/>
    <w:rsid w:val="00CF5CF9"/>
    <w:rsid w:val="00CF5D5D"/>
    <w:rsid w:val="00CF5D6F"/>
    <w:rsid w:val="00CF5DD0"/>
    <w:rsid w:val="00CF5ED2"/>
    <w:rsid w:val="00CF5EF5"/>
    <w:rsid w:val="00CF5EFD"/>
    <w:rsid w:val="00CF5F03"/>
    <w:rsid w:val="00CF5F06"/>
    <w:rsid w:val="00CF5F27"/>
    <w:rsid w:val="00CF5FA4"/>
    <w:rsid w:val="00CF5FAA"/>
    <w:rsid w:val="00CF5FC4"/>
    <w:rsid w:val="00CF5FD7"/>
    <w:rsid w:val="00CF5FF1"/>
    <w:rsid w:val="00CF601E"/>
    <w:rsid w:val="00CF6058"/>
    <w:rsid w:val="00CF6083"/>
    <w:rsid w:val="00CF60B9"/>
    <w:rsid w:val="00CF60F0"/>
    <w:rsid w:val="00CF60FE"/>
    <w:rsid w:val="00CF6115"/>
    <w:rsid w:val="00CF6165"/>
    <w:rsid w:val="00CF619B"/>
    <w:rsid w:val="00CF6254"/>
    <w:rsid w:val="00CF6267"/>
    <w:rsid w:val="00CF6286"/>
    <w:rsid w:val="00CF62D7"/>
    <w:rsid w:val="00CF6382"/>
    <w:rsid w:val="00CF639E"/>
    <w:rsid w:val="00CF63E2"/>
    <w:rsid w:val="00CF63F8"/>
    <w:rsid w:val="00CF6417"/>
    <w:rsid w:val="00CF6425"/>
    <w:rsid w:val="00CF6431"/>
    <w:rsid w:val="00CF6495"/>
    <w:rsid w:val="00CF649E"/>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C0"/>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E35"/>
    <w:rsid w:val="00CF6E77"/>
    <w:rsid w:val="00CF6EB3"/>
    <w:rsid w:val="00CF6FA2"/>
    <w:rsid w:val="00CF6FAB"/>
    <w:rsid w:val="00CF7010"/>
    <w:rsid w:val="00CF702F"/>
    <w:rsid w:val="00CF705D"/>
    <w:rsid w:val="00CF708A"/>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2C"/>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5F"/>
    <w:rsid w:val="00CF7873"/>
    <w:rsid w:val="00CF78B3"/>
    <w:rsid w:val="00CF78BD"/>
    <w:rsid w:val="00CF78BE"/>
    <w:rsid w:val="00CF791D"/>
    <w:rsid w:val="00CF79E2"/>
    <w:rsid w:val="00CF7A76"/>
    <w:rsid w:val="00CF7A7D"/>
    <w:rsid w:val="00CF7A9C"/>
    <w:rsid w:val="00CF7AAC"/>
    <w:rsid w:val="00CF7ADC"/>
    <w:rsid w:val="00CF7B84"/>
    <w:rsid w:val="00CF7B91"/>
    <w:rsid w:val="00CF7B9F"/>
    <w:rsid w:val="00CF7BDC"/>
    <w:rsid w:val="00CF7BFF"/>
    <w:rsid w:val="00CF7C21"/>
    <w:rsid w:val="00CF7C33"/>
    <w:rsid w:val="00CF7C3C"/>
    <w:rsid w:val="00CF7CAE"/>
    <w:rsid w:val="00CF7D37"/>
    <w:rsid w:val="00CF7D4B"/>
    <w:rsid w:val="00CF7D8D"/>
    <w:rsid w:val="00CF7DC3"/>
    <w:rsid w:val="00CF7DFD"/>
    <w:rsid w:val="00CF7E6D"/>
    <w:rsid w:val="00CF7EC4"/>
    <w:rsid w:val="00CF7F08"/>
    <w:rsid w:val="00CF7F18"/>
    <w:rsid w:val="00CF7F47"/>
    <w:rsid w:val="00CF7FBC"/>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81"/>
    <w:rsid w:val="00D0069F"/>
    <w:rsid w:val="00D006AE"/>
    <w:rsid w:val="00D007A5"/>
    <w:rsid w:val="00D007D6"/>
    <w:rsid w:val="00D007FF"/>
    <w:rsid w:val="00D008A8"/>
    <w:rsid w:val="00D008A9"/>
    <w:rsid w:val="00D008AB"/>
    <w:rsid w:val="00D008C4"/>
    <w:rsid w:val="00D00901"/>
    <w:rsid w:val="00D00904"/>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3A"/>
    <w:rsid w:val="00D00E8C"/>
    <w:rsid w:val="00D00E8E"/>
    <w:rsid w:val="00D00EE9"/>
    <w:rsid w:val="00D00EF6"/>
    <w:rsid w:val="00D00F34"/>
    <w:rsid w:val="00D00FB3"/>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EB"/>
    <w:rsid w:val="00D01403"/>
    <w:rsid w:val="00D0143F"/>
    <w:rsid w:val="00D014B8"/>
    <w:rsid w:val="00D015A6"/>
    <w:rsid w:val="00D015C7"/>
    <w:rsid w:val="00D015CB"/>
    <w:rsid w:val="00D01655"/>
    <w:rsid w:val="00D01690"/>
    <w:rsid w:val="00D016A8"/>
    <w:rsid w:val="00D016E9"/>
    <w:rsid w:val="00D01725"/>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76"/>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0FE"/>
    <w:rsid w:val="00D02119"/>
    <w:rsid w:val="00D0211E"/>
    <w:rsid w:val="00D02142"/>
    <w:rsid w:val="00D02144"/>
    <w:rsid w:val="00D02177"/>
    <w:rsid w:val="00D021C4"/>
    <w:rsid w:val="00D021E0"/>
    <w:rsid w:val="00D021FD"/>
    <w:rsid w:val="00D02291"/>
    <w:rsid w:val="00D02298"/>
    <w:rsid w:val="00D022C0"/>
    <w:rsid w:val="00D02325"/>
    <w:rsid w:val="00D02346"/>
    <w:rsid w:val="00D02349"/>
    <w:rsid w:val="00D023CC"/>
    <w:rsid w:val="00D023EA"/>
    <w:rsid w:val="00D024B4"/>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FA"/>
    <w:rsid w:val="00D02C07"/>
    <w:rsid w:val="00D02C26"/>
    <w:rsid w:val="00D02C2E"/>
    <w:rsid w:val="00D02C48"/>
    <w:rsid w:val="00D02C98"/>
    <w:rsid w:val="00D02CB5"/>
    <w:rsid w:val="00D02D0E"/>
    <w:rsid w:val="00D02D21"/>
    <w:rsid w:val="00D02D8D"/>
    <w:rsid w:val="00D02DE1"/>
    <w:rsid w:val="00D02E19"/>
    <w:rsid w:val="00D02E27"/>
    <w:rsid w:val="00D02EA4"/>
    <w:rsid w:val="00D02EBD"/>
    <w:rsid w:val="00D02EE3"/>
    <w:rsid w:val="00D02EF9"/>
    <w:rsid w:val="00D02FCB"/>
    <w:rsid w:val="00D02FFF"/>
    <w:rsid w:val="00D03016"/>
    <w:rsid w:val="00D03041"/>
    <w:rsid w:val="00D03075"/>
    <w:rsid w:val="00D030A5"/>
    <w:rsid w:val="00D030C9"/>
    <w:rsid w:val="00D03123"/>
    <w:rsid w:val="00D03150"/>
    <w:rsid w:val="00D0315C"/>
    <w:rsid w:val="00D03171"/>
    <w:rsid w:val="00D03178"/>
    <w:rsid w:val="00D03248"/>
    <w:rsid w:val="00D03261"/>
    <w:rsid w:val="00D033F6"/>
    <w:rsid w:val="00D03402"/>
    <w:rsid w:val="00D0340E"/>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33"/>
    <w:rsid w:val="00D0375B"/>
    <w:rsid w:val="00D03792"/>
    <w:rsid w:val="00D037FE"/>
    <w:rsid w:val="00D03838"/>
    <w:rsid w:val="00D0384B"/>
    <w:rsid w:val="00D038FF"/>
    <w:rsid w:val="00D03979"/>
    <w:rsid w:val="00D0398D"/>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3F"/>
    <w:rsid w:val="00D03E43"/>
    <w:rsid w:val="00D03E46"/>
    <w:rsid w:val="00D03E69"/>
    <w:rsid w:val="00D03E78"/>
    <w:rsid w:val="00D03F20"/>
    <w:rsid w:val="00D03F6F"/>
    <w:rsid w:val="00D04004"/>
    <w:rsid w:val="00D0400C"/>
    <w:rsid w:val="00D04010"/>
    <w:rsid w:val="00D04051"/>
    <w:rsid w:val="00D04052"/>
    <w:rsid w:val="00D04071"/>
    <w:rsid w:val="00D040B2"/>
    <w:rsid w:val="00D040E4"/>
    <w:rsid w:val="00D0411F"/>
    <w:rsid w:val="00D0414A"/>
    <w:rsid w:val="00D04153"/>
    <w:rsid w:val="00D04162"/>
    <w:rsid w:val="00D041D9"/>
    <w:rsid w:val="00D0420A"/>
    <w:rsid w:val="00D042F8"/>
    <w:rsid w:val="00D0437D"/>
    <w:rsid w:val="00D043B6"/>
    <w:rsid w:val="00D043C1"/>
    <w:rsid w:val="00D043C8"/>
    <w:rsid w:val="00D043E7"/>
    <w:rsid w:val="00D043F1"/>
    <w:rsid w:val="00D04454"/>
    <w:rsid w:val="00D04465"/>
    <w:rsid w:val="00D0448F"/>
    <w:rsid w:val="00D044C3"/>
    <w:rsid w:val="00D04507"/>
    <w:rsid w:val="00D04509"/>
    <w:rsid w:val="00D045B8"/>
    <w:rsid w:val="00D045BD"/>
    <w:rsid w:val="00D0461F"/>
    <w:rsid w:val="00D0468B"/>
    <w:rsid w:val="00D046BA"/>
    <w:rsid w:val="00D04775"/>
    <w:rsid w:val="00D047A6"/>
    <w:rsid w:val="00D0480D"/>
    <w:rsid w:val="00D0488B"/>
    <w:rsid w:val="00D048C8"/>
    <w:rsid w:val="00D048E2"/>
    <w:rsid w:val="00D048EA"/>
    <w:rsid w:val="00D048FE"/>
    <w:rsid w:val="00D04900"/>
    <w:rsid w:val="00D049D0"/>
    <w:rsid w:val="00D04A04"/>
    <w:rsid w:val="00D04A0B"/>
    <w:rsid w:val="00D04A71"/>
    <w:rsid w:val="00D04A88"/>
    <w:rsid w:val="00D04AE6"/>
    <w:rsid w:val="00D04AF0"/>
    <w:rsid w:val="00D04B2A"/>
    <w:rsid w:val="00D04B81"/>
    <w:rsid w:val="00D04B83"/>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07"/>
    <w:rsid w:val="00D0565E"/>
    <w:rsid w:val="00D05747"/>
    <w:rsid w:val="00D0576B"/>
    <w:rsid w:val="00D057BA"/>
    <w:rsid w:val="00D057CC"/>
    <w:rsid w:val="00D057F9"/>
    <w:rsid w:val="00D05850"/>
    <w:rsid w:val="00D0587F"/>
    <w:rsid w:val="00D05884"/>
    <w:rsid w:val="00D058C4"/>
    <w:rsid w:val="00D058DE"/>
    <w:rsid w:val="00D05956"/>
    <w:rsid w:val="00D0598F"/>
    <w:rsid w:val="00D059B5"/>
    <w:rsid w:val="00D059C7"/>
    <w:rsid w:val="00D059CA"/>
    <w:rsid w:val="00D05A08"/>
    <w:rsid w:val="00D05A34"/>
    <w:rsid w:val="00D05AA9"/>
    <w:rsid w:val="00D05AD7"/>
    <w:rsid w:val="00D05AE4"/>
    <w:rsid w:val="00D05B07"/>
    <w:rsid w:val="00D05BA9"/>
    <w:rsid w:val="00D05BB8"/>
    <w:rsid w:val="00D05C21"/>
    <w:rsid w:val="00D05C82"/>
    <w:rsid w:val="00D05C9E"/>
    <w:rsid w:val="00D05CC0"/>
    <w:rsid w:val="00D05CF2"/>
    <w:rsid w:val="00D05DBE"/>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6"/>
    <w:rsid w:val="00D06647"/>
    <w:rsid w:val="00D06698"/>
    <w:rsid w:val="00D066A7"/>
    <w:rsid w:val="00D06700"/>
    <w:rsid w:val="00D0672A"/>
    <w:rsid w:val="00D06790"/>
    <w:rsid w:val="00D067A6"/>
    <w:rsid w:val="00D067C0"/>
    <w:rsid w:val="00D067F5"/>
    <w:rsid w:val="00D0680E"/>
    <w:rsid w:val="00D06856"/>
    <w:rsid w:val="00D06929"/>
    <w:rsid w:val="00D06941"/>
    <w:rsid w:val="00D069A7"/>
    <w:rsid w:val="00D069ED"/>
    <w:rsid w:val="00D06A01"/>
    <w:rsid w:val="00D06A9A"/>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111"/>
    <w:rsid w:val="00D07138"/>
    <w:rsid w:val="00D0714E"/>
    <w:rsid w:val="00D07197"/>
    <w:rsid w:val="00D07205"/>
    <w:rsid w:val="00D07259"/>
    <w:rsid w:val="00D0728A"/>
    <w:rsid w:val="00D072DE"/>
    <w:rsid w:val="00D072E1"/>
    <w:rsid w:val="00D07306"/>
    <w:rsid w:val="00D0730D"/>
    <w:rsid w:val="00D07379"/>
    <w:rsid w:val="00D073A4"/>
    <w:rsid w:val="00D074BE"/>
    <w:rsid w:val="00D07526"/>
    <w:rsid w:val="00D0755E"/>
    <w:rsid w:val="00D07565"/>
    <w:rsid w:val="00D07572"/>
    <w:rsid w:val="00D075FC"/>
    <w:rsid w:val="00D076AB"/>
    <w:rsid w:val="00D076B7"/>
    <w:rsid w:val="00D07772"/>
    <w:rsid w:val="00D07818"/>
    <w:rsid w:val="00D07829"/>
    <w:rsid w:val="00D0782B"/>
    <w:rsid w:val="00D07851"/>
    <w:rsid w:val="00D07872"/>
    <w:rsid w:val="00D07891"/>
    <w:rsid w:val="00D078B7"/>
    <w:rsid w:val="00D078C9"/>
    <w:rsid w:val="00D0791F"/>
    <w:rsid w:val="00D079C5"/>
    <w:rsid w:val="00D079EC"/>
    <w:rsid w:val="00D07A0E"/>
    <w:rsid w:val="00D07A6B"/>
    <w:rsid w:val="00D07AF2"/>
    <w:rsid w:val="00D07B1A"/>
    <w:rsid w:val="00D07B78"/>
    <w:rsid w:val="00D07B85"/>
    <w:rsid w:val="00D07B8A"/>
    <w:rsid w:val="00D07B9D"/>
    <w:rsid w:val="00D07BB0"/>
    <w:rsid w:val="00D07BCC"/>
    <w:rsid w:val="00D07BD8"/>
    <w:rsid w:val="00D07BE2"/>
    <w:rsid w:val="00D07BE6"/>
    <w:rsid w:val="00D07C23"/>
    <w:rsid w:val="00D07C47"/>
    <w:rsid w:val="00D07CAE"/>
    <w:rsid w:val="00D07D8F"/>
    <w:rsid w:val="00D07DD4"/>
    <w:rsid w:val="00D07E07"/>
    <w:rsid w:val="00D07E2D"/>
    <w:rsid w:val="00D07E9E"/>
    <w:rsid w:val="00D07ECA"/>
    <w:rsid w:val="00D07F40"/>
    <w:rsid w:val="00D07F49"/>
    <w:rsid w:val="00D07F67"/>
    <w:rsid w:val="00D07F8D"/>
    <w:rsid w:val="00D07FBF"/>
    <w:rsid w:val="00D07FDB"/>
    <w:rsid w:val="00D100A6"/>
    <w:rsid w:val="00D1012E"/>
    <w:rsid w:val="00D1013B"/>
    <w:rsid w:val="00D10163"/>
    <w:rsid w:val="00D1022A"/>
    <w:rsid w:val="00D1029C"/>
    <w:rsid w:val="00D10304"/>
    <w:rsid w:val="00D103E5"/>
    <w:rsid w:val="00D103ED"/>
    <w:rsid w:val="00D104AC"/>
    <w:rsid w:val="00D104EE"/>
    <w:rsid w:val="00D1050C"/>
    <w:rsid w:val="00D1050F"/>
    <w:rsid w:val="00D1053C"/>
    <w:rsid w:val="00D10584"/>
    <w:rsid w:val="00D1058D"/>
    <w:rsid w:val="00D105F1"/>
    <w:rsid w:val="00D10655"/>
    <w:rsid w:val="00D10662"/>
    <w:rsid w:val="00D10668"/>
    <w:rsid w:val="00D106F7"/>
    <w:rsid w:val="00D1070E"/>
    <w:rsid w:val="00D1071F"/>
    <w:rsid w:val="00D1075D"/>
    <w:rsid w:val="00D10774"/>
    <w:rsid w:val="00D10798"/>
    <w:rsid w:val="00D107B3"/>
    <w:rsid w:val="00D10826"/>
    <w:rsid w:val="00D1085C"/>
    <w:rsid w:val="00D10889"/>
    <w:rsid w:val="00D108A1"/>
    <w:rsid w:val="00D108AC"/>
    <w:rsid w:val="00D108EF"/>
    <w:rsid w:val="00D108F5"/>
    <w:rsid w:val="00D1090F"/>
    <w:rsid w:val="00D10912"/>
    <w:rsid w:val="00D10926"/>
    <w:rsid w:val="00D10929"/>
    <w:rsid w:val="00D1095B"/>
    <w:rsid w:val="00D109B3"/>
    <w:rsid w:val="00D109D7"/>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2D8"/>
    <w:rsid w:val="00D1130E"/>
    <w:rsid w:val="00D11333"/>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EDD"/>
    <w:rsid w:val="00D11F61"/>
    <w:rsid w:val="00D11F9F"/>
    <w:rsid w:val="00D1200B"/>
    <w:rsid w:val="00D12020"/>
    <w:rsid w:val="00D12050"/>
    <w:rsid w:val="00D120C7"/>
    <w:rsid w:val="00D12100"/>
    <w:rsid w:val="00D12129"/>
    <w:rsid w:val="00D12167"/>
    <w:rsid w:val="00D121DF"/>
    <w:rsid w:val="00D1226F"/>
    <w:rsid w:val="00D12286"/>
    <w:rsid w:val="00D12288"/>
    <w:rsid w:val="00D122C9"/>
    <w:rsid w:val="00D122D8"/>
    <w:rsid w:val="00D1231E"/>
    <w:rsid w:val="00D12389"/>
    <w:rsid w:val="00D123BA"/>
    <w:rsid w:val="00D123C0"/>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94"/>
    <w:rsid w:val="00D127CF"/>
    <w:rsid w:val="00D12821"/>
    <w:rsid w:val="00D1284A"/>
    <w:rsid w:val="00D12877"/>
    <w:rsid w:val="00D1289F"/>
    <w:rsid w:val="00D128B4"/>
    <w:rsid w:val="00D128CF"/>
    <w:rsid w:val="00D12937"/>
    <w:rsid w:val="00D12979"/>
    <w:rsid w:val="00D129B2"/>
    <w:rsid w:val="00D129CA"/>
    <w:rsid w:val="00D12A7D"/>
    <w:rsid w:val="00D12B2C"/>
    <w:rsid w:val="00D12B39"/>
    <w:rsid w:val="00D12B78"/>
    <w:rsid w:val="00D12B7A"/>
    <w:rsid w:val="00D12BB0"/>
    <w:rsid w:val="00D12BE8"/>
    <w:rsid w:val="00D12C08"/>
    <w:rsid w:val="00D12C24"/>
    <w:rsid w:val="00D12CCF"/>
    <w:rsid w:val="00D12CDB"/>
    <w:rsid w:val="00D12CE8"/>
    <w:rsid w:val="00D12CEA"/>
    <w:rsid w:val="00D12D02"/>
    <w:rsid w:val="00D12D58"/>
    <w:rsid w:val="00D12DCD"/>
    <w:rsid w:val="00D12E19"/>
    <w:rsid w:val="00D12E9A"/>
    <w:rsid w:val="00D12EB3"/>
    <w:rsid w:val="00D12EFA"/>
    <w:rsid w:val="00D12F11"/>
    <w:rsid w:val="00D12F20"/>
    <w:rsid w:val="00D12F9B"/>
    <w:rsid w:val="00D12FDE"/>
    <w:rsid w:val="00D1302A"/>
    <w:rsid w:val="00D13038"/>
    <w:rsid w:val="00D1304D"/>
    <w:rsid w:val="00D13067"/>
    <w:rsid w:val="00D130AF"/>
    <w:rsid w:val="00D13130"/>
    <w:rsid w:val="00D1313A"/>
    <w:rsid w:val="00D13253"/>
    <w:rsid w:val="00D132A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7"/>
    <w:rsid w:val="00D13B3A"/>
    <w:rsid w:val="00D13B7B"/>
    <w:rsid w:val="00D13BEC"/>
    <w:rsid w:val="00D13C15"/>
    <w:rsid w:val="00D13C27"/>
    <w:rsid w:val="00D13C39"/>
    <w:rsid w:val="00D13C7A"/>
    <w:rsid w:val="00D13CC4"/>
    <w:rsid w:val="00D13CCE"/>
    <w:rsid w:val="00D13D0F"/>
    <w:rsid w:val="00D13D41"/>
    <w:rsid w:val="00D13D83"/>
    <w:rsid w:val="00D13D95"/>
    <w:rsid w:val="00D13DD8"/>
    <w:rsid w:val="00D13EB1"/>
    <w:rsid w:val="00D13EDC"/>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829"/>
    <w:rsid w:val="00D148AA"/>
    <w:rsid w:val="00D148F3"/>
    <w:rsid w:val="00D14985"/>
    <w:rsid w:val="00D149D8"/>
    <w:rsid w:val="00D149DA"/>
    <w:rsid w:val="00D14A41"/>
    <w:rsid w:val="00D14A93"/>
    <w:rsid w:val="00D14A9A"/>
    <w:rsid w:val="00D14AD1"/>
    <w:rsid w:val="00D14AD3"/>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12"/>
    <w:rsid w:val="00D14E38"/>
    <w:rsid w:val="00D14E40"/>
    <w:rsid w:val="00D14E7C"/>
    <w:rsid w:val="00D14ECB"/>
    <w:rsid w:val="00D14EE0"/>
    <w:rsid w:val="00D14EE2"/>
    <w:rsid w:val="00D14EEA"/>
    <w:rsid w:val="00D14F19"/>
    <w:rsid w:val="00D14F27"/>
    <w:rsid w:val="00D14F45"/>
    <w:rsid w:val="00D14F88"/>
    <w:rsid w:val="00D14FA2"/>
    <w:rsid w:val="00D14FB9"/>
    <w:rsid w:val="00D14FF5"/>
    <w:rsid w:val="00D15066"/>
    <w:rsid w:val="00D1509D"/>
    <w:rsid w:val="00D150BC"/>
    <w:rsid w:val="00D151B5"/>
    <w:rsid w:val="00D151F7"/>
    <w:rsid w:val="00D1525E"/>
    <w:rsid w:val="00D15262"/>
    <w:rsid w:val="00D152A3"/>
    <w:rsid w:val="00D152C4"/>
    <w:rsid w:val="00D152F0"/>
    <w:rsid w:val="00D15302"/>
    <w:rsid w:val="00D15358"/>
    <w:rsid w:val="00D15389"/>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BF"/>
    <w:rsid w:val="00D15EDD"/>
    <w:rsid w:val="00D15EEA"/>
    <w:rsid w:val="00D15F6E"/>
    <w:rsid w:val="00D15F70"/>
    <w:rsid w:val="00D15FE1"/>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7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C49"/>
    <w:rsid w:val="00D16C9D"/>
    <w:rsid w:val="00D16D7F"/>
    <w:rsid w:val="00D16D84"/>
    <w:rsid w:val="00D16DA7"/>
    <w:rsid w:val="00D16DAB"/>
    <w:rsid w:val="00D16DB6"/>
    <w:rsid w:val="00D16DD3"/>
    <w:rsid w:val="00D16DE7"/>
    <w:rsid w:val="00D16EB9"/>
    <w:rsid w:val="00D16EDC"/>
    <w:rsid w:val="00D16EF3"/>
    <w:rsid w:val="00D16F8A"/>
    <w:rsid w:val="00D16FC8"/>
    <w:rsid w:val="00D16FD6"/>
    <w:rsid w:val="00D1701B"/>
    <w:rsid w:val="00D17089"/>
    <w:rsid w:val="00D1709F"/>
    <w:rsid w:val="00D170BB"/>
    <w:rsid w:val="00D17119"/>
    <w:rsid w:val="00D17129"/>
    <w:rsid w:val="00D17133"/>
    <w:rsid w:val="00D171FC"/>
    <w:rsid w:val="00D17203"/>
    <w:rsid w:val="00D1722D"/>
    <w:rsid w:val="00D1729F"/>
    <w:rsid w:val="00D17323"/>
    <w:rsid w:val="00D1736E"/>
    <w:rsid w:val="00D1737A"/>
    <w:rsid w:val="00D173AC"/>
    <w:rsid w:val="00D173B2"/>
    <w:rsid w:val="00D173BB"/>
    <w:rsid w:val="00D173BF"/>
    <w:rsid w:val="00D17461"/>
    <w:rsid w:val="00D1749F"/>
    <w:rsid w:val="00D17543"/>
    <w:rsid w:val="00D176DB"/>
    <w:rsid w:val="00D176E4"/>
    <w:rsid w:val="00D1774C"/>
    <w:rsid w:val="00D17778"/>
    <w:rsid w:val="00D177D4"/>
    <w:rsid w:val="00D17823"/>
    <w:rsid w:val="00D17830"/>
    <w:rsid w:val="00D17926"/>
    <w:rsid w:val="00D1792E"/>
    <w:rsid w:val="00D1796F"/>
    <w:rsid w:val="00D179B0"/>
    <w:rsid w:val="00D179D5"/>
    <w:rsid w:val="00D17A22"/>
    <w:rsid w:val="00D17A6E"/>
    <w:rsid w:val="00D17AB1"/>
    <w:rsid w:val="00D17AF0"/>
    <w:rsid w:val="00D17B26"/>
    <w:rsid w:val="00D17C0B"/>
    <w:rsid w:val="00D17C8A"/>
    <w:rsid w:val="00D17CAC"/>
    <w:rsid w:val="00D17CB6"/>
    <w:rsid w:val="00D17CD8"/>
    <w:rsid w:val="00D17CF5"/>
    <w:rsid w:val="00D17D25"/>
    <w:rsid w:val="00D17D6E"/>
    <w:rsid w:val="00D17D7D"/>
    <w:rsid w:val="00D17DA2"/>
    <w:rsid w:val="00D17DC5"/>
    <w:rsid w:val="00D17DC9"/>
    <w:rsid w:val="00D17DE1"/>
    <w:rsid w:val="00D17E0D"/>
    <w:rsid w:val="00D17E60"/>
    <w:rsid w:val="00D17EDF"/>
    <w:rsid w:val="00D17EEF"/>
    <w:rsid w:val="00D17F2F"/>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5F6"/>
    <w:rsid w:val="00D20633"/>
    <w:rsid w:val="00D20650"/>
    <w:rsid w:val="00D20674"/>
    <w:rsid w:val="00D206A2"/>
    <w:rsid w:val="00D206B4"/>
    <w:rsid w:val="00D206F1"/>
    <w:rsid w:val="00D20749"/>
    <w:rsid w:val="00D20782"/>
    <w:rsid w:val="00D20801"/>
    <w:rsid w:val="00D208E1"/>
    <w:rsid w:val="00D20905"/>
    <w:rsid w:val="00D20981"/>
    <w:rsid w:val="00D2099D"/>
    <w:rsid w:val="00D209A3"/>
    <w:rsid w:val="00D209FB"/>
    <w:rsid w:val="00D20A98"/>
    <w:rsid w:val="00D20AA1"/>
    <w:rsid w:val="00D20AC7"/>
    <w:rsid w:val="00D20B1D"/>
    <w:rsid w:val="00D20B21"/>
    <w:rsid w:val="00D20B49"/>
    <w:rsid w:val="00D20B54"/>
    <w:rsid w:val="00D20B65"/>
    <w:rsid w:val="00D20BF7"/>
    <w:rsid w:val="00D20C3B"/>
    <w:rsid w:val="00D20C6A"/>
    <w:rsid w:val="00D20C7E"/>
    <w:rsid w:val="00D20C94"/>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5B"/>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D"/>
    <w:rsid w:val="00D21483"/>
    <w:rsid w:val="00D214C3"/>
    <w:rsid w:val="00D2157E"/>
    <w:rsid w:val="00D215BF"/>
    <w:rsid w:val="00D215F5"/>
    <w:rsid w:val="00D21603"/>
    <w:rsid w:val="00D2162A"/>
    <w:rsid w:val="00D2164B"/>
    <w:rsid w:val="00D21690"/>
    <w:rsid w:val="00D21693"/>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C97"/>
    <w:rsid w:val="00D21CB4"/>
    <w:rsid w:val="00D21CE4"/>
    <w:rsid w:val="00D21D4A"/>
    <w:rsid w:val="00D21D73"/>
    <w:rsid w:val="00D21D76"/>
    <w:rsid w:val="00D21D89"/>
    <w:rsid w:val="00D21DE3"/>
    <w:rsid w:val="00D21E18"/>
    <w:rsid w:val="00D21E6E"/>
    <w:rsid w:val="00D21ED9"/>
    <w:rsid w:val="00D21EED"/>
    <w:rsid w:val="00D21F14"/>
    <w:rsid w:val="00D21F44"/>
    <w:rsid w:val="00D21F79"/>
    <w:rsid w:val="00D21FE0"/>
    <w:rsid w:val="00D21FE4"/>
    <w:rsid w:val="00D2200A"/>
    <w:rsid w:val="00D22057"/>
    <w:rsid w:val="00D220C1"/>
    <w:rsid w:val="00D220F7"/>
    <w:rsid w:val="00D22136"/>
    <w:rsid w:val="00D22189"/>
    <w:rsid w:val="00D22199"/>
    <w:rsid w:val="00D2222E"/>
    <w:rsid w:val="00D222B8"/>
    <w:rsid w:val="00D222EE"/>
    <w:rsid w:val="00D22328"/>
    <w:rsid w:val="00D2232C"/>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4F"/>
    <w:rsid w:val="00D22A9B"/>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83"/>
    <w:rsid w:val="00D22DBC"/>
    <w:rsid w:val="00D22DD2"/>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C4"/>
    <w:rsid w:val="00D2334E"/>
    <w:rsid w:val="00D23359"/>
    <w:rsid w:val="00D2338D"/>
    <w:rsid w:val="00D233DC"/>
    <w:rsid w:val="00D23425"/>
    <w:rsid w:val="00D2342E"/>
    <w:rsid w:val="00D23482"/>
    <w:rsid w:val="00D234BC"/>
    <w:rsid w:val="00D2351E"/>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71D"/>
    <w:rsid w:val="00D24747"/>
    <w:rsid w:val="00D24749"/>
    <w:rsid w:val="00D2479D"/>
    <w:rsid w:val="00D247E4"/>
    <w:rsid w:val="00D247F5"/>
    <w:rsid w:val="00D24800"/>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1B"/>
    <w:rsid w:val="00D24C67"/>
    <w:rsid w:val="00D24C7E"/>
    <w:rsid w:val="00D24C8C"/>
    <w:rsid w:val="00D24CCF"/>
    <w:rsid w:val="00D24CD3"/>
    <w:rsid w:val="00D24CF5"/>
    <w:rsid w:val="00D24D71"/>
    <w:rsid w:val="00D24E06"/>
    <w:rsid w:val="00D24E32"/>
    <w:rsid w:val="00D24E71"/>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DF"/>
    <w:rsid w:val="00D25710"/>
    <w:rsid w:val="00D257F4"/>
    <w:rsid w:val="00D2582B"/>
    <w:rsid w:val="00D25833"/>
    <w:rsid w:val="00D2583E"/>
    <w:rsid w:val="00D25876"/>
    <w:rsid w:val="00D25884"/>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B3"/>
    <w:rsid w:val="00D25D51"/>
    <w:rsid w:val="00D25D68"/>
    <w:rsid w:val="00D25DBA"/>
    <w:rsid w:val="00D25E05"/>
    <w:rsid w:val="00D25E0A"/>
    <w:rsid w:val="00D25E11"/>
    <w:rsid w:val="00D25E4F"/>
    <w:rsid w:val="00D25E51"/>
    <w:rsid w:val="00D25EEE"/>
    <w:rsid w:val="00D25F27"/>
    <w:rsid w:val="00D25F38"/>
    <w:rsid w:val="00D25F4F"/>
    <w:rsid w:val="00D25F8F"/>
    <w:rsid w:val="00D25FCE"/>
    <w:rsid w:val="00D26012"/>
    <w:rsid w:val="00D26052"/>
    <w:rsid w:val="00D260BA"/>
    <w:rsid w:val="00D260FD"/>
    <w:rsid w:val="00D2613E"/>
    <w:rsid w:val="00D26172"/>
    <w:rsid w:val="00D261FA"/>
    <w:rsid w:val="00D2624C"/>
    <w:rsid w:val="00D262BB"/>
    <w:rsid w:val="00D26361"/>
    <w:rsid w:val="00D26371"/>
    <w:rsid w:val="00D26383"/>
    <w:rsid w:val="00D2639D"/>
    <w:rsid w:val="00D2640B"/>
    <w:rsid w:val="00D26422"/>
    <w:rsid w:val="00D2643A"/>
    <w:rsid w:val="00D26463"/>
    <w:rsid w:val="00D264C2"/>
    <w:rsid w:val="00D264C5"/>
    <w:rsid w:val="00D264E1"/>
    <w:rsid w:val="00D26533"/>
    <w:rsid w:val="00D2654D"/>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03"/>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18"/>
    <w:rsid w:val="00D2706C"/>
    <w:rsid w:val="00D27077"/>
    <w:rsid w:val="00D2709E"/>
    <w:rsid w:val="00D270C6"/>
    <w:rsid w:val="00D27122"/>
    <w:rsid w:val="00D2720B"/>
    <w:rsid w:val="00D2721B"/>
    <w:rsid w:val="00D2725D"/>
    <w:rsid w:val="00D27275"/>
    <w:rsid w:val="00D2727C"/>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C4"/>
    <w:rsid w:val="00D276DA"/>
    <w:rsid w:val="00D27787"/>
    <w:rsid w:val="00D2778A"/>
    <w:rsid w:val="00D277EE"/>
    <w:rsid w:val="00D2783A"/>
    <w:rsid w:val="00D27915"/>
    <w:rsid w:val="00D2796F"/>
    <w:rsid w:val="00D27A11"/>
    <w:rsid w:val="00D27A2B"/>
    <w:rsid w:val="00D27A5D"/>
    <w:rsid w:val="00D27A8A"/>
    <w:rsid w:val="00D27AA0"/>
    <w:rsid w:val="00D27AC4"/>
    <w:rsid w:val="00D27ACF"/>
    <w:rsid w:val="00D27B29"/>
    <w:rsid w:val="00D27B3C"/>
    <w:rsid w:val="00D27B4C"/>
    <w:rsid w:val="00D27B51"/>
    <w:rsid w:val="00D27B77"/>
    <w:rsid w:val="00D27BA3"/>
    <w:rsid w:val="00D27BAA"/>
    <w:rsid w:val="00D27C08"/>
    <w:rsid w:val="00D27C19"/>
    <w:rsid w:val="00D27C29"/>
    <w:rsid w:val="00D27C3D"/>
    <w:rsid w:val="00D27C6C"/>
    <w:rsid w:val="00D27C87"/>
    <w:rsid w:val="00D27C96"/>
    <w:rsid w:val="00D27CE0"/>
    <w:rsid w:val="00D27CFB"/>
    <w:rsid w:val="00D27D0F"/>
    <w:rsid w:val="00D27D1E"/>
    <w:rsid w:val="00D27DC8"/>
    <w:rsid w:val="00D27E35"/>
    <w:rsid w:val="00D27E5B"/>
    <w:rsid w:val="00D27EB0"/>
    <w:rsid w:val="00D27F06"/>
    <w:rsid w:val="00D27F26"/>
    <w:rsid w:val="00D27F4C"/>
    <w:rsid w:val="00D27FA4"/>
    <w:rsid w:val="00D27FD9"/>
    <w:rsid w:val="00D27FE3"/>
    <w:rsid w:val="00D30031"/>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3B"/>
    <w:rsid w:val="00D30271"/>
    <w:rsid w:val="00D302EE"/>
    <w:rsid w:val="00D3031A"/>
    <w:rsid w:val="00D30347"/>
    <w:rsid w:val="00D3039C"/>
    <w:rsid w:val="00D303B7"/>
    <w:rsid w:val="00D303F4"/>
    <w:rsid w:val="00D30414"/>
    <w:rsid w:val="00D30449"/>
    <w:rsid w:val="00D3046D"/>
    <w:rsid w:val="00D3049F"/>
    <w:rsid w:val="00D304EF"/>
    <w:rsid w:val="00D30515"/>
    <w:rsid w:val="00D305C2"/>
    <w:rsid w:val="00D305D3"/>
    <w:rsid w:val="00D30638"/>
    <w:rsid w:val="00D30677"/>
    <w:rsid w:val="00D3068A"/>
    <w:rsid w:val="00D306CB"/>
    <w:rsid w:val="00D306ED"/>
    <w:rsid w:val="00D30760"/>
    <w:rsid w:val="00D30766"/>
    <w:rsid w:val="00D307AD"/>
    <w:rsid w:val="00D307E9"/>
    <w:rsid w:val="00D30883"/>
    <w:rsid w:val="00D30888"/>
    <w:rsid w:val="00D30924"/>
    <w:rsid w:val="00D30A2A"/>
    <w:rsid w:val="00D30A6C"/>
    <w:rsid w:val="00D30A7D"/>
    <w:rsid w:val="00D30AB3"/>
    <w:rsid w:val="00D30AE6"/>
    <w:rsid w:val="00D30AEA"/>
    <w:rsid w:val="00D30AEE"/>
    <w:rsid w:val="00D30B96"/>
    <w:rsid w:val="00D30B97"/>
    <w:rsid w:val="00D30BA3"/>
    <w:rsid w:val="00D30BAF"/>
    <w:rsid w:val="00D30BCB"/>
    <w:rsid w:val="00D30BF9"/>
    <w:rsid w:val="00D30BFB"/>
    <w:rsid w:val="00D30C39"/>
    <w:rsid w:val="00D30C41"/>
    <w:rsid w:val="00D30C83"/>
    <w:rsid w:val="00D30CC9"/>
    <w:rsid w:val="00D30CCD"/>
    <w:rsid w:val="00D30D01"/>
    <w:rsid w:val="00D30D14"/>
    <w:rsid w:val="00D30D29"/>
    <w:rsid w:val="00D30E0B"/>
    <w:rsid w:val="00D30E5B"/>
    <w:rsid w:val="00D30EAF"/>
    <w:rsid w:val="00D30EB5"/>
    <w:rsid w:val="00D30EDB"/>
    <w:rsid w:val="00D30EEE"/>
    <w:rsid w:val="00D30F0F"/>
    <w:rsid w:val="00D30F1C"/>
    <w:rsid w:val="00D30F60"/>
    <w:rsid w:val="00D30F7D"/>
    <w:rsid w:val="00D30FAB"/>
    <w:rsid w:val="00D30FDD"/>
    <w:rsid w:val="00D30FEB"/>
    <w:rsid w:val="00D31077"/>
    <w:rsid w:val="00D31087"/>
    <w:rsid w:val="00D311B0"/>
    <w:rsid w:val="00D311E7"/>
    <w:rsid w:val="00D3128D"/>
    <w:rsid w:val="00D312EE"/>
    <w:rsid w:val="00D3133C"/>
    <w:rsid w:val="00D3137B"/>
    <w:rsid w:val="00D313B3"/>
    <w:rsid w:val="00D3148A"/>
    <w:rsid w:val="00D314A1"/>
    <w:rsid w:val="00D314DE"/>
    <w:rsid w:val="00D314F2"/>
    <w:rsid w:val="00D31508"/>
    <w:rsid w:val="00D31539"/>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9F"/>
    <w:rsid w:val="00D318C7"/>
    <w:rsid w:val="00D31944"/>
    <w:rsid w:val="00D31991"/>
    <w:rsid w:val="00D31992"/>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DE1"/>
    <w:rsid w:val="00D31DFC"/>
    <w:rsid w:val="00D31E3A"/>
    <w:rsid w:val="00D31E8F"/>
    <w:rsid w:val="00D31E92"/>
    <w:rsid w:val="00D31F0A"/>
    <w:rsid w:val="00D31F2C"/>
    <w:rsid w:val="00D31F58"/>
    <w:rsid w:val="00D31F8C"/>
    <w:rsid w:val="00D31FC8"/>
    <w:rsid w:val="00D32013"/>
    <w:rsid w:val="00D32092"/>
    <w:rsid w:val="00D320BF"/>
    <w:rsid w:val="00D32124"/>
    <w:rsid w:val="00D32127"/>
    <w:rsid w:val="00D32143"/>
    <w:rsid w:val="00D3214B"/>
    <w:rsid w:val="00D3215F"/>
    <w:rsid w:val="00D32180"/>
    <w:rsid w:val="00D321B6"/>
    <w:rsid w:val="00D321F8"/>
    <w:rsid w:val="00D3227C"/>
    <w:rsid w:val="00D322C4"/>
    <w:rsid w:val="00D322DA"/>
    <w:rsid w:val="00D32312"/>
    <w:rsid w:val="00D32322"/>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2FD6"/>
    <w:rsid w:val="00D33026"/>
    <w:rsid w:val="00D33059"/>
    <w:rsid w:val="00D3305B"/>
    <w:rsid w:val="00D33070"/>
    <w:rsid w:val="00D33098"/>
    <w:rsid w:val="00D330E3"/>
    <w:rsid w:val="00D3315C"/>
    <w:rsid w:val="00D33165"/>
    <w:rsid w:val="00D3319D"/>
    <w:rsid w:val="00D33281"/>
    <w:rsid w:val="00D332D9"/>
    <w:rsid w:val="00D33325"/>
    <w:rsid w:val="00D3334A"/>
    <w:rsid w:val="00D3336E"/>
    <w:rsid w:val="00D333E3"/>
    <w:rsid w:val="00D3340C"/>
    <w:rsid w:val="00D33452"/>
    <w:rsid w:val="00D33499"/>
    <w:rsid w:val="00D33534"/>
    <w:rsid w:val="00D3354E"/>
    <w:rsid w:val="00D335EE"/>
    <w:rsid w:val="00D335F8"/>
    <w:rsid w:val="00D33651"/>
    <w:rsid w:val="00D336CE"/>
    <w:rsid w:val="00D33705"/>
    <w:rsid w:val="00D33731"/>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33"/>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F8"/>
    <w:rsid w:val="00D3461E"/>
    <w:rsid w:val="00D34715"/>
    <w:rsid w:val="00D3471E"/>
    <w:rsid w:val="00D34742"/>
    <w:rsid w:val="00D34839"/>
    <w:rsid w:val="00D348BF"/>
    <w:rsid w:val="00D348D3"/>
    <w:rsid w:val="00D348EF"/>
    <w:rsid w:val="00D34934"/>
    <w:rsid w:val="00D3496D"/>
    <w:rsid w:val="00D34A01"/>
    <w:rsid w:val="00D34A0D"/>
    <w:rsid w:val="00D34A1B"/>
    <w:rsid w:val="00D34A2B"/>
    <w:rsid w:val="00D34A66"/>
    <w:rsid w:val="00D34A82"/>
    <w:rsid w:val="00D34B13"/>
    <w:rsid w:val="00D34B71"/>
    <w:rsid w:val="00D34BA5"/>
    <w:rsid w:val="00D34BBA"/>
    <w:rsid w:val="00D34BED"/>
    <w:rsid w:val="00D34C10"/>
    <w:rsid w:val="00D34C33"/>
    <w:rsid w:val="00D34C88"/>
    <w:rsid w:val="00D34D18"/>
    <w:rsid w:val="00D34DDC"/>
    <w:rsid w:val="00D34E34"/>
    <w:rsid w:val="00D34E63"/>
    <w:rsid w:val="00D34EAD"/>
    <w:rsid w:val="00D34EC1"/>
    <w:rsid w:val="00D34ECF"/>
    <w:rsid w:val="00D34ED0"/>
    <w:rsid w:val="00D34F00"/>
    <w:rsid w:val="00D34F67"/>
    <w:rsid w:val="00D34FA3"/>
    <w:rsid w:val="00D34FC8"/>
    <w:rsid w:val="00D3500E"/>
    <w:rsid w:val="00D350AA"/>
    <w:rsid w:val="00D350EE"/>
    <w:rsid w:val="00D3510E"/>
    <w:rsid w:val="00D3512D"/>
    <w:rsid w:val="00D35135"/>
    <w:rsid w:val="00D35166"/>
    <w:rsid w:val="00D35180"/>
    <w:rsid w:val="00D351A7"/>
    <w:rsid w:val="00D351AE"/>
    <w:rsid w:val="00D351DD"/>
    <w:rsid w:val="00D3529B"/>
    <w:rsid w:val="00D3529C"/>
    <w:rsid w:val="00D352E1"/>
    <w:rsid w:val="00D3530F"/>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7F"/>
    <w:rsid w:val="00D356A4"/>
    <w:rsid w:val="00D356AA"/>
    <w:rsid w:val="00D356B3"/>
    <w:rsid w:val="00D356F0"/>
    <w:rsid w:val="00D3572E"/>
    <w:rsid w:val="00D35806"/>
    <w:rsid w:val="00D35809"/>
    <w:rsid w:val="00D35858"/>
    <w:rsid w:val="00D358B6"/>
    <w:rsid w:val="00D35905"/>
    <w:rsid w:val="00D3590E"/>
    <w:rsid w:val="00D35936"/>
    <w:rsid w:val="00D3596C"/>
    <w:rsid w:val="00D35A18"/>
    <w:rsid w:val="00D35AA5"/>
    <w:rsid w:val="00D35AF1"/>
    <w:rsid w:val="00D35B12"/>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15F"/>
    <w:rsid w:val="00D36191"/>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BF"/>
    <w:rsid w:val="00D367F6"/>
    <w:rsid w:val="00D36813"/>
    <w:rsid w:val="00D36847"/>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8F"/>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5E"/>
    <w:rsid w:val="00D36EF0"/>
    <w:rsid w:val="00D36EFC"/>
    <w:rsid w:val="00D36F51"/>
    <w:rsid w:val="00D36F57"/>
    <w:rsid w:val="00D36F64"/>
    <w:rsid w:val="00D36FB8"/>
    <w:rsid w:val="00D36FD7"/>
    <w:rsid w:val="00D36FDC"/>
    <w:rsid w:val="00D36FE4"/>
    <w:rsid w:val="00D36FF9"/>
    <w:rsid w:val="00D37005"/>
    <w:rsid w:val="00D37021"/>
    <w:rsid w:val="00D3704B"/>
    <w:rsid w:val="00D37062"/>
    <w:rsid w:val="00D370A7"/>
    <w:rsid w:val="00D370B8"/>
    <w:rsid w:val="00D37101"/>
    <w:rsid w:val="00D3711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31"/>
    <w:rsid w:val="00D37768"/>
    <w:rsid w:val="00D3779A"/>
    <w:rsid w:val="00D377A5"/>
    <w:rsid w:val="00D377EF"/>
    <w:rsid w:val="00D3780F"/>
    <w:rsid w:val="00D3782B"/>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9E"/>
    <w:rsid w:val="00D37BBF"/>
    <w:rsid w:val="00D37BD6"/>
    <w:rsid w:val="00D37C20"/>
    <w:rsid w:val="00D37CA7"/>
    <w:rsid w:val="00D37CF8"/>
    <w:rsid w:val="00D37D0B"/>
    <w:rsid w:val="00D37D16"/>
    <w:rsid w:val="00D37D31"/>
    <w:rsid w:val="00D37D85"/>
    <w:rsid w:val="00D37E00"/>
    <w:rsid w:val="00D37E0B"/>
    <w:rsid w:val="00D37E5C"/>
    <w:rsid w:val="00D37F13"/>
    <w:rsid w:val="00D37FAD"/>
    <w:rsid w:val="00D40039"/>
    <w:rsid w:val="00D40053"/>
    <w:rsid w:val="00D40084"/>
    <w:rsid w:val="00D4010C"/>
    <w:rsid w:val="00D40125"/>
    <w:rsid w:val="00D4012A"/>
    <w:rsid w:val="00D40152"/>
    <w:rsid w:val="00D40178"/>
    <w:rsid w:val="00D4018B"/>
    <w:rsid w:val="00D40195"/>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B0"/>
    <w:rsid w:val="00D405C3"/>
    <w:rsid w:val="00D405E9"/>
    <w:rsid w:val="00D40641"/>
    <w:rsid w:val="00D40693"/>
    <w:rsid w:val="00D4069A"/>
    <w:rsid w:val="00D406A6"/>
    <w:rsid w:val="00D406AC"/>
    <w:rsid w:val="00D40741"/>
    <w:rsid w:val="00D40758"/>
    <w:rsid w:val="00D407BB"/>
    <w:rsid w:val="00D40823"/>
    <w:rsid w:val="00D4084B"/>
    <w:rsid w:val="00D40864"/>
    <w:rsid w:val="00D40871"/>
    <w:rsid w:val="00D4087E"/>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2D"/>
    <w:rsid w:val="00D40B3A"/>
    <w:rsid w:val="00D40B7A"/>
    <w:rsid w:val="00D40BBF"/>
    <w:rsid w:val="00D40C3E"/>
    <w:rsid w:val="00D40C66"/>
    <w:rsid w:val="00D40CB3"/>
    <w:rsid w:val="00D40CBC"/>
    <w:rsid w:val="00D40CD2"/>
    <w:rsid w:val="00D40CD5"/>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FC"/>
    <w:rsid w:val="00D4110E"/>
    <w:rsid w:val="00D41125"/>
    <w:rsid w:val="00D41147"/>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61A"/>
    <w:rsid w:val="00D41646"/>
    <w:rsid w:val="00D416BB"/>
    <w:rsid w:val="00D416D2"/>
    <w:rsid w:val="00D4171A"/>
    <w:rsid w:val="00D4171C"/>
    <w:rsid w:val="00D4174E"/>
    <w:rsid w:val="00D4180C"/>
    <w:rsid w:val="00D41820"/>
    <w:rsid w:val="00D41928"/>
    <w:rsid w:val="00D419E6"/>
    <w:rsid w:val="00D41A2F"/>
    <w:rsid w:val="00D41A96"/>
    <w:rsid w:val="00D41A9B"/>
    <w:rsid w:val="00D41AAD"/>
    <w:rsid w:val="00D41AB2"/>
    <w:rsid w:val="00D41AF6"/>
    <w:rsid w:val="00D41B10"/>
    <w:rsid w:val="00D41B6A"/>
    <w:rsid w:val="00D41B7D"/>
    <w:rsid w:val="00D41B90"/>
    <w:rsid w:val="00D41B92"/>
    <w:rsid w:val="00D41B9A"/>
    <w:rsid w:val="00D41C10"/>
    <w:rsid w:val="00D41C1C"/>
    <w:rsid w:val="00D41C38"/>
    <w:rsid w:val="00D41C41"/>
    <w:rsid w:val="00D41D15"/>
    <w:rsid w:val="00D41D52"/>
    <w:rsid w:val="00D41E15"/>
    <w:rsid w:val="00D41E7E"/>
    <w:rsid w:val="00D41E9B"/>
    <w:rsid w:val="00D41EC8"/>
    <w:rsid w:val="00D41EDF"/>
    <w:rsid w:val="00D41F48"/>
    <w:rsid w:val="00D41F97"/>
    <w:rsid w:val="00D41FA1"/>
    <w:rsid w:val="00D42008"/>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52"/>
    <w:rsid w:val="00D42689"/>
    <w:rsid w:val="00D426C7"/>
    <w:rsid w:val="00D426D0"/>
    <w:rsid w:val="00D426E0"/>
    <w:rsid w:val="00D42737"/>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CEC"/>
    <w:rsid w:val="00D42D2D"/>
    <w:rsid w:val="00D42E11"/>
    <w:rsid w:val="00D42E54"/>
    <w:rsid w:val="00D42E60"/>
    <w:rsid w:val="00D42EB7"/>
    <w:rsid w:val="00D42EBA"/>
    <w:rsid w:val="00D42EC2"/>
    <w:rsid w:val="00D42EC7"/>
    <w:rsid w:val="00D42F18"/>
    <w:rsid w:val="00D42F83"/>
    <w:rsid w:val="00D42FA9"/>
    <w:rsid w:val="00D43020"/>
    <w:rsid w:val="00D4302A"/>
    <w:rsid w:val="00D43037"/>
    <w:rsid w:val="00D430D3"/>
    <w:rsid w:val="00D430E0"/>
    <w:rsid w:val="00D43100"/>
    <w:rsid w:val="00D43101"/>
    <w:rsid w:val="00D43139"/>
    <w:rsid w:val="00D4318F"/>
    <w:rsid w:val="00D431B7"/>
    <w:rsid w:val="00D43255"/>
    <w:rsid w:val="00D432D5"/>
    <w:rsid w:val="00D4331F"/>
    <w:rsid w:val="00D43322"/>
    <w:rsid w:val="00D43343"/>
    <w:rsid w:val="00D433F1"/>
    <w:rsid w:val="00D43401"/>
    <w:rsid w:val="00D4343F"/>
    <w:rsid w:val="00D434AC"/>
    <w:rsid w:val="00D434AE"/>
    <w:rsid w:val="00D434C1"/>
    <w:rsid w:val="00D43501"/>
    <w:rsid w:val="00D4354A"/>
    <w:rsid w:val="00D4354F"/>
    <w:rsid w:val="00D43551"/>
    <w:rsid w:val="00D43594"/>
    <w:rsid w:val="00D435B1"/>
    <w:rsid w:val="00D435B5"/>
    <w:rsid w:val="00D435C4"/>
    <w:rsid w:val="00D435CC"/>
    <w:rsid w:val="00D435D8"/>
    <w:rsid w:val="00D435DA"/>
    <w:rsid w:val="00D435EB"/>
    <w:rsid w:val="00D435FB"/>
    <w:rsid w:val="00D43619"/>
    <w:rsid w:val="00D4361E"/>
    <w:rsid w:val="00D436E2"/>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5"/>
    <w:rsid w:val="00D43C78"/>
    <w:rsid w:val="00D43C9E"/>
    <w:rsid w:val="00D43CB2"/>
    <w:rsid w:val="00D43D0A"/>
    <w:rsid w:val="00D43D3D"/>
    <w:rsid w:val="00D43D9A"/>
    <w:rsid w:val="00D43D9C"/>
    <w:rsid w:val="00D43DAF"/>
    <w:rsid w:val="00D43E10"/>
    <w:rsid w:val="00D43E21"/>
    <w:rsid w:val="00D43E31"/>
    <w:rsid w:val="00D43E45"/>
    <w:rsid w:val="00D43EFC"/>
    <w:rsid w:val="00D43F60"/>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40C"/>
    <w:rsid w:val="00D44436"/>
    <w:rsid w:val="00D44462"/>
    <w:rsid w:val="00D444EE"/>
    <w:rsid w:val="00D44528"/>
    <w:rsid w:val="00D4456B"/>
    <w:rsid w:val="00D44593"/>
    <w:rsid w:val="00D445A1"/>
    <w:rsid w:val="00D445D6"/>
    <w:rsid w:val="00D445DF"/>
    <w:rsid w:val="00D44605"/>
    <w:rsid w:val="00D44686"/>
    <w:rsid w:val="00D446E5"/>
    <w:rsid w:val="00D44700"/>
    <w:rsid w:val="00D4471E"/>
    <w:rsid w:val="00D44725"/>
    <w:rsid w:val="00D44759"/>
    <w:rsid w:val="00D44795"/>
    <w:rsid w:val="00D447DA"/>
    <w:rsid w:val="00D4482E"/>
    <w:rsid w:val="00D44863"/>
    <w:rsid w:val="00D4486A"/>
    <w:rsid w:val="00D448FE"/>
    <w:rsid w:val="00D44946"/>
    <w:rsid w:val="00D44957"/>
    <w:rsid w:val="00D449A1"/>
    <w:rsid w:val="00D44A2E"/>
    <w:rsid w:val="00D44A51"/>
    <w:rsid w:val="00D44A8E"/>
    <w:rsid w:val="00D44AC7"/>
    <w:rsid w:val="00D44B43"/>
    <w:rsid w:val="00D44BB1"/>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DD"/>
    <w:rsid w:val="00D44EFF"/>
    <w:rsid w:val="00D44FC7"/>
    <w:rsid w:val="00D450D4"/>
    <w:rsid w:val="00D4510D"/>
    <w:rsid w:val="00D4511D"/>
    <w:rsid w:val="00D45179"/>
    <w:rsid w:val="00D451C7"/>
    <w:rsid w:val="00D451D4"/>
    <w:rsid w:val="00D451E2"/>
    <w:rsid w:val="00D45224"/>
    <w:rsid w:val="00D45313"/>
    <w:rsid w:val="00D45335"/>
    <w:rsid w:val="00D453A2"/>
    <w:rsid w:val="00D45481"/>
    <w:rsid w:val="00D454AB"/>
    <w:rsid w:val="00D454BE"/>
    <w:rsid w:val="00D454C0"/>
    <w:rsid w:val="00D45506"/>
    <w:rsid w:val="00D45511"/>
    <w:rsid w:val="00D4552C"/>
    <w:rsid w:val="00D45586"/>
    <w:rsid w:val="00D45599"/>
    <w:rsid w:val="00D455FB"/>
    <w:rsid w:val="00D4560C"/>
    <w:rsid w:val="00D4561F"/>
    <w:rsid w:val="00D45688"/>
    <w:rsid w:val="00D45699"/>
    <w:rsid w:val="00D45710"/>
    <w:rsid w:val="00D45720"/>
    <w:rsid w:val="00D4573A"/>
    <w:rsid w:val="00D457EB"/>
    <w:rsid w:val="00D457F5"/>
    <w:rsid w:val="00D45842"/>
    <w:rsid w:val="00D45871"/>
    <w:rsid w:val="00D458EA"/>
    <w:rsid w:val="00D45965"/>
    <w:rsid w:val="00D459BE"/>
    <w:rsid w:val="00D459DB"/>
    <w:rsid w:val="00D459E6"/>
    <w:rsid w:val="00D45A19"/>
    <w:rsid w:val="00D45A41"/>
    <w:rsid w:val="00D45A63"/>
    <w:rsid w:val="00D45A6F"/>
    <w:rsid w:val="00D45A8E"/>
    <w:rsid w:val="00D45A9A"/>
    <w:rsid w:val="00D45ADD"/>
    <w:rsid w:val="00D45AF6"/>
    <w:rsid w:val="00D45B04"/>
    <w:rsid w:val="00D45B4D"/>
    <w:rsid w:val="00D45BC2"/>
    <w:rsid w:val="00D45BD9"/>
    <w:rsid w:val="00D45C06"/>
    <w:rsid w:val="00D45C59"/>
    <w:rsid w:val="00D45C5F"/>
    <w:rsid w:val="00D45C62"/>
    <w:rsid w:val="00D45C9E"/>
    <w:rsid w:val="00D45CB5"/>
    <w:rsid w:val="00D45D55"/>
    <w:rsid w:val="00D45D70"/>
    <w:rsid w:val="00D45D71"/>
    <w:rsid w:val="00D45D79"/>
    <w:rsid w:val="00D45DF7"/>
    <w:rsid w:val="00D45DFD"/>
    <w:rsid w:val="00D45E19"/>
    <w:rsid w:val="00D45E41"/>
    <w:rsid w:val="00D45E4D"/>
    <w:rsid w:val="00D45E5C"/>
    <w:rsid w:val="00D45E79"/>
    <w:rsid w:val="00D45EBB"/>
    <w:rsid w:val="00D45F05"/>
    <w:rsid w:val="00D45F7C"/>
    <w:rsid w:val="00D45F9F"/>
    <w:rsid w:val="00D45FA3"/>
    <w:rsid w:val="00D45FAD"/>
    <w:rsid w:val="00D45FEC"/>
    <w:rsid w:val="00D4600E"/>
    <w:rsid w:val="00D4605F"/>
    <w:rsid w:val="00D46082"/>
    <w:rsid w:val="00D460B3"/>
    <w:rsid w:val="00D461C2"/>
    <w:rsid w:val="00D4620B"/>
    <w:rsid w:val="00D4620D"/>
    <w:rsid w:val="00D46267"/>
    <w:rsid w:val="00D46268"/>
    <w:rsid w:val="00D4627B"/>
    <w:rsid w:val="00D462F0"/>
    <w:rsid w:val="00D4630A"/>
    <w:rsid w:val="00D4632A"/>
    <w:rsid w:val="00D4634D"/>
    <w:rsid w:val="00D46371"/>
    <w:rsid w:val="00D463AC"/>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AB"/>
    <w:rsid w:val="00D46F3D"/>
    <w:rsid w:val="00D46FAD"/>
    <w:rsid w:val="00D46FB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E9"/>
    <w:rsid w:val="00D4730D"/>
    <w:rsid w:val="00D47367"/>
    <w:rsid w:val="00D4736A"/>
    <w:rsid w:val="00D473B6"/>
    <w:rsid w:val="00D47449"/>
    <w:rsid w:val="00D47453"/>
    <w:rsid w:val="00D4745D"/>
    <w:rsid w:val="00D47488"/>
    <w:rsid w:val="00D474BD"/>
    <w:rsid w:val="00D47503"/>
    <w:rsid w:val="00D47519"/>
    <w:rsid w:val="00D4752C"/>
    <w:rsid w:val="00D47542"/>
    <w:rsid w:val="00D4757B"/>
    <w:rsid w:val="00D475C2"/>
    <w:rsid w:val="00D47620"/>
    <w:rsid w:val="00D4763F"/>
    <w:rsid w:val="00D476F9"/>
    <w:rsid w:val="00D476FD"/>
    <w:rsid w:val="00D4770C"/>
    <w:rsid w:val="00D47711"/>
    <w:rsid w:val="00D4771E"/>
    <w:rsid w:val="00D47748"/>
    <w:rsid w:val="00D4775F"/>
    <w:rsid w:val="00D477A4"/>
    <w:rsid w:val="00D477C6"/>
    <w:rsid w:val="00D477ED"/>
    <w:rsid w:val="00D4782C"/>
    <w:rsid w:val="00D47848"/>
    <w:rsid w:val="00D4784F"/>
    <w:rsid w:val="00D47883"/>
    <w:rsid w:val="00D47893"/>
    <w:rsid w:val="00D47896"/>
    <w:rsid w:val="00D478AE"/>
    <w:rsid w:val="00D478EE"/>
    <w:rsid w:val="00D47907"/>
    <w:rsid w:val="00D47918"/>
    <w:rsid w:val="00D47931"/>
    <w:rsid w:val="00D47976"/>
    <w:rsid w:val="00D4798C"/>
    <w:rsid w:val="00D479AD"/>
    <w:rsid w:val="00D479B5"/>
    <w:rsid w:val="00D479C9"/>
    <w:rsid w:val="00D479D5"/>
    <w:rsid w:val="00D479D7"/>
    <w:rsid w:val="00D479E6"/>
    <w:rsid w:val="00D47A1C"/>
    <w:rsid w:val="00D47AA0"/>
    <w:rsid w:val="00D47AF8"/>
    <w:rsid w:val="00D47B01"/>
    <w:rsid w:val="00D47B7F"/>
    <w:rsid w:val="00D47B95"/>
    <w:rsid w:val="00D47C63"/>
    <w:rsid w:val="00D47C64"/>
    <w:rsid w:val="00D47C86"/>
    <w:rsid w:val="00D47C97"/>
    <w:rsid w:val="00D47C9A"/>
    <w:rsid w:val="00D47CD2"/>
    <w:rsid w:val="00D47CD9"/>
    <w:rsid w:val="00D47D13"/>
    <w:rsid w:val="00D47D31"/>
    <w:rsid w:val="00D47D3A"/>
    <w:rsid w:val="00D47D87"/>
    <w:rsid w:val="00D47D93"/>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57"/>
    <w:rsid w:val="00D50364"/>
    <w:rsid w:val="00D5038A"/>
    <w:rsid w:val="00D50416"/>
    <w:rsid w:val="00D5042E"/>
    <w:rsid w:val="00D50446"/>
    <w:rsid w:val="00D50454"/>
    <w:rsid w:val="00D5045A"/>
    <w:rsid w:val="00D50484"/>
    <w:rsid w:val="00D504B9"/>
    <w:rsid w:val="00D50516"/>
    <w:rsid w:val="00D50529"/>
    <w:rsid w:val="00D5053D"/>
    <w:rsid w:val="00D5058E"/>
    <w:rsid w:val="00D50641"/>
    <w:rsid w:val="00D50649"/>
    <w:rsid w:val="00D50654"/>
    <w:rsid w:val="00D5066A"/>
    <w:rsid w:val="00D50672"/>
    <w:rsid w:val="00D506E1"/>
    <w:rsid w:val="00D5077D"/>
    <w:rsid w:val="00D507AA"/>
    <w:rsid w:val="00D507D9"/>
    <w:rsid w:val="00D507F6"/>
    <w:rsid w:val="00D507F9"/>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A"/>
    <w:rsid w:val="00D5101C"/>
    <w:rsid w:val="00D51026"/>
    <w:rsid w:val="00D5107E"/>
    <w:rsid w:val="00D510EA"/>
    <w:rsid w:val="00D51143"/>
    <w:rsid w:val="00D51153"/>
    <w:rsid w:val="00D511A1"/>
    <w:rsid w:val="00D51209"/>
    <w:rsid w:val="00D5120E"/>
    <w:rsid w:val="00D5128E"/>
    <w:rsid w:val="00D512CC"/>
    <w:rsid w:val="00D51343"/>
    <w:rsid w:val="00D5136F"/>
    <w:rsid w:val="00D51378"/>
    <w:rsid w:val="00D5138C"/>
    <w:rsid w:val="00D51392"/>
    <w:rsid w:val="00D513F8"/>
    <w:rsid w:val="00D51462"/>
    <w:rsid w:val="00D514DA"/>
    <w:rsid w:val="00D5151C"/>
    <w:rsid w:val="00D515A6"/>
    <w:rsid w:val="00D515B2"/>
    <w:rsid w:val="00D515B9"/>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EEA"/>
    <w:rsid w:val="00D51FE7"/>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5"/>
    <w:rsid w:val="00D5247D"/>
    <w:rsid w:val="00D524BE"/>
    <w:rsid w:val="00D525A8"/>
    <w:rsid w:val="00D525F0"/>
    <w:rsid w:val="00D525FE"/>
    <w:rsid w:val="00D5262B"/>
    <w:rsid w:val="00D5267E"/>
    <w:rsid w:val="00D5268A"/>
    <w:rsid w:val="00D526E4"/>
    <w:rsid w:val="00D52712"/>
    <w:rsid w:val="00D52741"/>
    <w:rsid w:val="00D5274D"/>
    <w:rsid w:val="00D5281C"/>
    <w:rsid w:val="00D52856"/>
    <w:rsid w:val="00D528CF"/>
    <w:rsid w:val="00D52921"/>
    <w:rsid w:val="00D5294A"/>
    <w:rsid w:val="00D5295F"/>
    <w:rsid w:val="00D5298B"/>
    <w:rsid w:val="00D52A1E"/>
    <w:rsid w:val="00D52A86"/>
    <w:rsid w:val="00D52AA0"/>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D"/>
    <w:rsid w:val="00D52DF0"/>
    <w:rsid w:val="00D52E3D"/>
    <w:rsid w:val="00D52E96"/>
    <w:rsid w:val="00D52EC1"/>
    <w:rsid w:val="00D52F24"/>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78"/>
    <w:rsid w:val="00D53510"/>
    <w:rsid w:val="00D5354F"/>
    <w:rsid w:val="00D53569"/>
    <w:rsid w:val="00D5356F"/>
    <w:rsid w:val="00D535B2"/>
    <w:rsid w:val="00D535B3"/>
    <w:rsid w:val="00D535F3"/>
    <w:rsid w:val="00D5364F"/>
    <w:rsid w:val="00D53683"/>
    <w:rsid w:val="00D536D3"/>
    <w:rsid w:val="00D536D4"/>
    <w:rsid w:val="00D536E2"/>
    <w:rsid w:val="00D5370C"/>
    <w:rsid w:val="00D53766"/>
    <w:rsid w:val="00D5377F"/>
    <w:rsid w:val="00D537AB"/>
    <w:rsid w:val="00D537F6"/>
    <w:rsid w:val="00D53802"/>
    <w:rsid w:val="00D53828"/>
    <w:rsid w:val="00D5385E"/>
    <w:rsid w:val="00D53861"/>
    <w:rsid w:val="00D53865"/>
    <w:rsid w:val="00D538BC"/>
    <w:rsid w:val="00D538EE"/>
    <w:rsid w:val="00D538F1"/>
    <w:rsid w:val="00D53946"/>
    <w:rsid w:val="00D53950"/>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B"/>
    <w:rsid w:val="00D53C9F"/>
    <w:rsid w:val="00D53CA5"/>
    <w:rsid w:val="00D53CE3"/>
    <w:rsid w:val="00D53D01"/>
    <w:rsid w:val="00D53D11"/>
    <w:rsid w:val="00D53D5B"/>
    <w:rsid w:val="00D53E0C"/>
    <w:rsid w:val="00D53E37"/>
    <w:rsid w:val="00D53E60"/>
    <w:rsid w:val="00D53E64"/>
    <w:rsid w:val="00D53E6F"/>
    <w:rsid w:val="00D53E74"/>
    <w:rsid w:val="00D53E75"/>
    <w:rsid w:val="00D53EB8"/>
    <w:rsid w:val="00D53ED6"/>
    <w:rsid w:val="00D53F0F"/>
    <w:rsid w:val="00D53F31"/>
    <w:rsid w:val="00D53F6A"/>
    <w:rsid w:val="00D53FCA"/>
    <w:rsid w:val="00D5409E"/>
    <w:rsid w:val="00D54157"/>
    <w:rsid w:val="00D54165"/>
    <w:rsid w:val="00D5416D"/>
    <w:rsid w:val="00D5418B"/>
    <w:rsid w:val="00D54196"/>
    <w:rsid w:val="00D541E4"/>
    <w:rsid w:val="00D54210"/>
    <w:rsid w:val="00D542C1"/>
    <w:rsid w:val="00D5430A"/>
    <w:rsid w:val="00D5432F"/>
    <w:rsid w:val="00D54335"/>
    <w:rsid w:val="00D54389"/>
    <w:rsid w:val="00D543A7"/>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73"/>
    <w:rsid w:val="00D54788"/>
    <w:rsid w:val="00D547D3"/>
    <w:rsid w:val="00D5482A"/>
    <w:rsid w:val="00D54831"/>
    <w:rsid w:val="00D548C0"/>
    <w:rsid w:val="00D548D1"/>
    <w:rsid w:val="00D548D9"/>
    <w:rsid w:val="00D54938"/>
    <w:rsid w:val="00D5497F"/>
    <w:rsid w:val="00D54A24"/>
    <w:rsid w:val="00D54A42"/>
    <w:rsid w:val="00D54A45"/>
    <w:rsid w:val="00D54A4F"/>
    <w:rsid w:val="00D54A93"/>
    <w:rsid w:val="00D54AA5"/>
    <w:rsid w:val="00D54AAA"/>
    <w:rsid w:val="00D54AD1"/>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D1"/>
    <w:rsid w:val="00D54F75"/>
    <w:rsid w:val="00D54F85"/>
    <w:rsid w:val="00D54FB1"/>
    <w:rsid w:val="00D54FE8"/>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40D"/>
    <w:rsid w:val="00D55433"/>
    <w:rsid w:val="00D554D5"/>
    <w:rsid w:val="00D5550E"/>
    <w:rsid w:val="00D55538"/>
    <w:rsid w:val="00D55596"/>
    <w:rsid w:val="00D555B3"/>
    <w:rsid w:val="00D555C8"/>
    <w:rsid w:val="00D555F0"/>
    <w:rsid w:val="00D555F8"/>
    <w:rsid w:val="00D5568F"/>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7F"/>
    <w:rsid w:val="00D558AE"/>
    <w:rsid w:val="00D558E9"/>
    <w:rsid w:val="00D55910"/>
    <w:rsid w:val="00D55939"/>
    <w:rsid w:val="00D5599E"/>
    <w:rsid w:val="00D559AD"/>
    <w:rsid w:val="00D559DF"/>
    <w:rsid w:val="00D55A3F"/>
    <w:rsid w:val="00D55A58"/>
    <w:rsid w:val="00D55A6F"/>
    <w:rsid w:val="00D55B3D"/>
    <w:rsid w:val="00D55B6E"/>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FC"/>
    <w:rsid w:val="00D56233"/>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B7"/>
    <w:rsid w:val="00D564D7"/>
    <w:rsid w:val="00D564FC"/>
    <w:rsid w:val="00D5651F"/>
    <w:rsid w:val="00D5653E"/>
    <w:rsid w:val="00D56542"/>
    <w:rsid w:val="00D56549"/>
    <w:rsid w:val="00D56565"/>
    <w:rsid w:val="00D56571"/>
    <w:rsid w:val="00D565C4"/>
    <w:rsid w:val="00D56632"/>
    <w:rsid w:val="00D56638"/>
    <w:rsid w:val="00D5664E"/>
    <w:rsid w:val="00D5666C"/>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87"/>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9A"/>
    <w:rsid w:val="00D56FF3"/>
    <w:rsid w:val="00D570F0"/>
    <w:rsid w:val="00D57130"/>
    <w:rsid w:val="00D57162"/>
    <w:rsid w:val="00D57166"/>
    <w:rsid w:val="00D571D6"/>
    <w:rsid w:val="00D571D9"/>
    <w:rsid w:val="00D571E9"/>
    <w:rsid w:val="00D5720E"/>
    <w:rsid w:val="00D5721B"/>
    <w:rsid w:val="00D572A7"/>
    <w:rsid w:val="00D572AC"/>
    <w:rsid w:val="00D572ED"/>
    <w:rsid w:val="00D5732F"/>
    <w:rsid w:val="00D573EB"/>
    <w:rsid w:val="00D57402"/>
    <w:rsid w:val="00D5741F"/>
    <w:rsid w:val="00D5742A"/>
    <w:rsid w:val="00D57467"/>
    <w:rsid w:val="00D574DF"/>
    <w:rsid w:val="00D574ED"/>
    <w:rsid w:val="00D57516"/>
    <w:rsid w:val="00D57541"/>
    <w:rsid w:val="00D5755B"/>
    <w:rsid w:val="00D57582"/>
    <w:rsid w:val="00D57618"/>
    <w:rsid w:val="00D57742"/>
    <w:rsid w:val="00D57759"/>
    <w:rsid w:val="00D5780B"/>
    <w:rsid w:val="00D57813"/>
    <w:rsid w:val="00D5781A"/>
    <w:rsid w:val="00D57841"/>
    <w:rsid w:val="00D5784E"/>
    <w:rsid w:val="00D57895"/>
    <w:rsid w:val="00D57926"/>
    <w:rsid w:val="00D5796F"/>
    <w:rsid w:val="00D579A9"/>
    <w:rsid w:val="00D579B9"/>
    <w:rsid w:val="00D579CF"/>
    <w:rsid w:val="00D579F9"/>
    <w:rsid w:val="00D57A06"/>
    <w:rsid w:val="00D57A35"/>
    <w:rsid w:val="00D57AB2"/>
    <w:rsid w:val="00D57AB8"/>
    <w:rsid w:val="00D57ACB"/>
    <w:rsid w:val="00D57AE2"/>
    <w:rsid w:val="00D57B42"/>
    <w:rsid w:val="00D57B5D"/>
    <w:rsid w:val="00D57BEF"/>
    <w:rsid w:val="00D57C02"/>
    <w:rsid w:val="00D57C1A"/>
    <w:rsid w:val="00D57C62"/>
    <w:rsid w:val="00D57C9F"/>
    <w:rsid w:val="00D57CA9"/>
    <w:rsid w:val="00D57D07"/>
    <w:rsid w:val="00D57D81"/>
    <w:rsid w:val="00D57DB5"/>
    <w:rsid w:val="00D57E0F"/>
    <w:rsid w:val="00D57E78"/>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42"/>
    <w:rsid w:val="00D60AC1"/>
    <w:rsid w:val="00D60AC4"/>
    <w:rsid w:val="00D60B85"/>
    <w:rsid w:val="00D60BA3"/>
    <w:rsid w:val="00D60C2A"/>
    <w:rsid w:val="00D60C49"/>
    <w:rsid w:val="00D60CAC"/>
    <w:rsid w:val="00D60CD1"/>
    <w:rsid w:val="00D60D09"/>
    <w:rsid w:val="00D60D61"/>
    <w:rsid w:val="00D60D68"/>
    <w:rsid w:val="00D60D8F"/>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8A"/>
    <w:rsid w:val="00D612C2"/>
    <w:rsid w:val="00D61312"/>
    <w:rsid w:val="00D61343"/>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6D"/>
    <w:rsid w:val="00D61776"/>
    <w:rsid w:val="00D617B4"/>
    <w:rsid w:val="00D617E3"/>
    <w:rsid w:val="00D61816"/>
    <w:rsid w:val="00D6183F"/>
    <w:rsid w:val="00D6184A"/>
    <w:rsid w:val="00D618C7"/>
    <w:rsid w:val="00D618E5"/>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2"/>
    <w:rsid w:val="00D61C3A"/>
    <w:rsid w:val="00D61C93"/>
    <w:rsid w:val="00D61CAF"/>
    <w:rsid w:val="00D61CB5"/>
    <w:rsid w:val="00D61D09"/>
    <w:rsid w:val="00D61D66"/>
    <w:rsid w:val="00D61D93"/>
    <w:rsid w:val="00D61E51"/>
    <w:rsid w:val="00D61EBA"/>
    <w:rsid w:val="00D61EBE"/>
    <w:rsid w:val="00D61F6C"/>
    <w:rsid w:val="00D61F91"/>
    <w:rsid w:val="00D62073"/>
    <w:rsid w:val="00D620BE"/>
    <w:rsid w:val="00D6212B"/>
    <w:rsid w:val="00D6215E"/>
    <w:rsid w:val="00D6215F"/>
    <w:rsid w:val="00D621B7"/>
    <w:rsid w:val="00D621FB"/>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9DA"/>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F0B"/>
    <w:rsid w:val="00D62F19"/>
    <w:rsid w:val="00D62FAF"/>
    <w:rsid w:val="00D62FBC"/>
    <w:rsid w:val="00D63018"/>
    <w:rsid w:val="00D6306C"/>
    <w:rsid w:val="00D63084"/>
    <w:rsid w:val="00D63192"/>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9D"/>
    <w:rsid w:val="00D63AD0"/>
    <w:rsid w:val="00D63B60"/>
    <w:rsid w:val="00D63BA1"/>
    <w:rsid w:val="00D63BA7"/>
    <w:rsid w:val="00D63BD1"/>
    <w:rsid w:val="00D63BF7"/>
    <w:rsid w:val="00D63C0C"/>
    <w:rsid w:val="00D63C64"/>
    <w:rsid w:val="00D63C75"/>
    <w:rsid w:val="00D63C7F"/>
    <w:rsid w:val="00D63C80"/>
    <w:rsid w:val="00D63CEC"/>
    <w:rsid w:val="00D63D21"/>
    <w:rsid w:val="00D63D5B"/>
    <w:rsid w:val="00D63DF1"/>
    <w:rsid w:val="00D63DFF"/>
    <w:rsid w:val="00D63E33"/>
    <w:rsid w:val="00D63E34"/>
    <w:rsid w:val="00D63E51"/>
    <w:rsid w:val="00D63EAC"/>
    <w:rsid w:val="00D63EB3"/>
    <w:rsid w:val="00D63EB4"/>
    <w:rsid w:val="00D63F1A"/>
    <w:rsid w:val="00D63F3A"/>
    <w:rsid w:val="00D63FAB"/>
    <w:rsid w:val="00D63FD1"/>
    <w:rsid w:val="00D64043"/>
    <w:rsid w:val="00D640E3"/>
    <w:rsid w:val="00D640FA"/>
    <w:rsid w:val="00D64126"/>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5E7"/>
    <w:rsid w:val="00D64604"/>
    <w:rsid w:val="00D64606"/>
    <w:rsid w:val="00D64671"/>
    <w:rsid w:val="00D64672"/>
    <w:rsid w:val="00D646B9"/>
    <w:rsid w:val="00D647ED"/>
    <w:rsid w:val="00D6487C"/>
    <w:rsid w:val="00D648A8"/>
    <w:rsid w:val="00D648BC"/>
    <w:rsid w:val="00D648FA"/>
    <w:rsid w:val="00D6490D"/>
    <w:rsid w:val="00D64913"/>
    <w:rsid w:val="00D6491C"/>
    <w:rsid w:val="00D6497E"/>
    <w:rsid w:val="00D649E2"/>
    <w:rsid w:val="00D649F2"/>
    <w:rsid w:val="00D64A71"/>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215"/>
    <w:rsid w:val="00D65219"/>
    <w:rsid w:val="00D6521D"/>
    <w:rsid w:val="00D6521F"/>
    <w:rsid w:val="00D65259"/>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1A"/>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31E"/>
    <w:rsid w:val="00D6637F"/>
    <w:rsid w:val="00D66413"/>
    <w:rsid w:val="00D66438"/>
    <w:rsid w:val="00D66470"/>
    <w:rsid w:val="00D66487"/>
    <w:rsid w:val="00D664C5"/>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8B4"/>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C"/>
    <w:rsid w:val="00D66E65"/>
    <w:rsid w:val="00D66ECE"/>
    <w:rsid w:val="00D66F3F"/>
    <w:rsid w:val="00D66F63"/>
    <w:rsid w:val="00D66F69"/>
    <w:rsid w:val="00D6703B"/>
    <w:rsid w:val="00D6703F"/>
    <w:rsid w:val="00D67070"/>
    <w:rsid w:val="00D670B0"/>
    <w:rsid w:val="00D670C9"/>
    <w:rsid w:val="00D67104"/>
    <w:rsid w:val="00D67169"/>
    <w:rsid w:val="00D67230"/>
    <w:rsid w:val="00D6729A"/>
    <w:rsid w:val="00D672E5"/>
    <w:rsid w:val="00D67304"/>
    <w:rsid w:val="00D67380"/>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B"/>
    <w:rsid w:val="00D67932"/>
    <w:rsid w:val="00D67937"/>
    <w:rsid w:val="00D6793C"/>
    <w:rsid w:val="00D6794F"/>
    <w:rsid w:val="00D6798F"/>
    <w:rsid w:val="00D679BA"/>
    <w:rsid w:val="00D679FA"/>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29"/>
    <w:rsid w:val="00D67D57"/>
    <w:rsid w:val="00D67D67"/>
    <w:rsid w:val="00D67D85"/>
    <w:rsid w:val="00D67DA8"/>
    <w:rsid w:val="00D67DAA"/>
    <w:rsid w:val="00D67E04"/>
    <w:rsid w:val="00D67E1F"/>
    <w:rsid w:val="00D67E37"/>
    <w:rsid w:val="00D67E46"/>
    <w:rsid w:val="00D67EA1"/>
    <w:rsid w:val="00D67F19"/>
    <w:rsid w:val="00D700B5"/>
    <w:rsid w:val="00D700F4"/>
    <w:rsid w:val="00D70102"/>
    <w:rsid w:val="00D7013F"/>
    <w:rsid w:val="00D70159"/>
    <w:rsid w:val="00D701A2"/>
    <w:rsid w:val="00D701B1"/>
    <w:rsid w:val="00D701D5"/>
    <w:rsid w:val="00D702B8"/>
    <w:rsid w:val="00D70319"/>
    <w:rsid w:val="00D70343"/>
    <w:rsid w:val="00D7034C"/>
    <w:rsid w:val="00D7036B"/>
    <w:rsid w:val="00D70494"/>
    <w:rsid w:val="00D70499"/>
    <w:rsid w:val="00D704FA"/>
    <w:rsid w:val="00D7050D"/>
    <w:rsid w:val="00D70531"/>
    <w:rsid w:val="00D70581"/>
    <w:rsid w:val="00D70588"/>
    <w:rsid w:val="00D705A6"/>
    <w:rsid w:val="00D705AA"/>
    <w:rsid w:val="00D705D8"/>
    <w:rsid w:val="00D705EE"/>
    <w:rsid w:val="00D70616"/>
    <w:rsid w:val="00D7066F"/>
    <w:rsid w:val="00D706A3"/>
    <w:rsid w:val="00D706CE"/>
    <w:rsid w:val="00D706DA"/>
    <w:rsid w:val="00D706DB"/>
    <w:rsid w:val="00D706E1"/>
    <w:rsid w:val="00D70741"/>
    <w:rsid w:val="00D70787"/>
    <w:rsid w:val="00D7078C"/>
    <w:rsid w:val="00D707B7"/>
    <w:rsid w:val="00D707B8"/>
    <w:rsid w:val="00D707CB"/>
    <w:rsid w:val="00D7083B"/>
    <w:rsid w:val="00D7086C"/>
    <w:rsid w:val="00D7087E"/>
    <w:rsid w:val="00D7088A"/>
    <w:rsid w:val="00D708A4"/>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77"/>
    <w:rsid w:val="00D70C8A"/>
    <w:rsid w:val="00D70C8D"/>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1053"/>
    <w:rsid w:val="00D71056"/>
    <w:rsid w:val="00D710E3"/>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9B"/>
    <w:rsid w:val="00D714A3"/>
    <w:rsid w:val="00D7150D"/>
    <w:rsid w:val="00D71527"/>
    <w:rsid w:val="00D71643"/>
    <w:rsid w:val="00D7166A"/>
    <w:rsid w:val="00D7167B"/>
    <w:rsid w:val="00D71691"/>
    <w:rsid w:val="00D716C0"/>
    <w:rsid w:val="00D7173A"/>
    <w:rsid w:val="00D71766"/>
    <w:rsid w:val="00D717A2"/>
    <w:rsid w:val="00D717CB"/>
    <w:rsid w:val="00D71806"/>
    <w:rsid w:val="00D71814"/>
    <w:rsid w:val="00D719C1"/>
    <w:rsid w:val="00D719C6"/>
    <w:rsid w:val="00D719E4"/>
    <w:rsid w:val="00D71A23"/>
    <w:rsid w:val="00D71A35"/>
    <w:rsid w:val="00D71AE6"/>
    <w:rsid w:val="00D71B28"/>
    <w:rsid w:val="00D71BC6"/>
    <w:rsid w:val="00D71BF7"/>
    <w:rsid w:val="00D71C30"/>
    <w:rsid w:val="00D71C37"/>
    <w:rsid w:val="00D71C53"/>
    <w:rsid w:val="00D71C68"/>
    <w:rsid w:val="00D71C94"/>
    <w:rsid w:val="00D71CEF"/>
    <w:rsid w:val="00D71D6C"/>
    <w:rsid w:val="00D71D7A"/>
    <w:rsid w:val="00D71DA8"/>
    <w:rsid w:val="00D71E49"/>
    <w:rsid w:val="00D71E53"/>
    <w:rsid w:val="00D71EA2"/>
    <w:rsid w:val="00D71EAF"/>
    <w:rsid w:val="00D71F0C"/>
    <w:rsid w:val="00D71F44"/>
    <w:rsid w:val="00D71FB3"/>
    <w:rsid w:val="00D71FD1"/>
    <w:rsid w:val="00D71FF3"/>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92"/>
    <w:rsid w:val="00D724EA"/>
    <w:rsid w:val="00D72505"/>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F6"/>
    <w:rsid w:val="00D72C0C"/>
    <w:rsid w:val="00D72C7E"/>
    <w:rsid w:val="00D72CAF"/>
    <w:rsid w:val="00D72CB0"/>
    <w:rsid w:val="00D72D20"/>
    <w:rsid w:val="00D72D9B"/>
    <w:rsid w:val="00D72DA0"/>
    <w:rsid w:val="00D72E3F"/>
    <w:rsid w:val="00D72E63"/>
    <w:rsid w:val="00D72E6F"/>
    <w:rsid w:val="00D72E82"/>
    <w:rsid w:val="00D72ECA"/>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B1D"/>
    <w:rsid w:val="00D73B82"/>
    <w:rsid w:val="00D73B98"/>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CC"/>
    <w:rsid w:val="00D7430A"/>
    <w:rsid w:val="00D74312"/>
    <w:rsid w:val="00D7431B"/>
    <w:rsid w:val="00D74337"/>
    <w:rsid w:val="00D743E9"/>
    <w:rsid w:val="00D74469"/>
    <w:rsid w:val="00D7446C"/>
    <w:rsid w:val="00D7449E"/>
    <w:rsid w:val="00D744B4"/>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2F"/>
    <w:rsid w:val="00D74B6F"/>
    <w:rsid w:val="00D74BA6"/>
    <w:rsid w:val="00D74BAB"/>
    <w:rsid w:val="00D74C15"/>
    <w:rsid w:val="00D74C5F"/>
    <w:rsid w:val="00D74C66"/>
    <w:rsid w:val="00D74C72"/>
    <w:rsid w:val="00D74CB9"/>
    <w:rsid w:val="00D74CD8"/>
    <w:rsid w:val="00D74CDC"/>
    <w:rsid w:val="00D74CE5"/>
    <w:rsid w:val="00D74E10"/>
    <w:rsid w:val="00D74E1F"/>
    <w:rsid w:val="00D74E7A"/>
    <w:rsid w:val="00D74EAC"/>
    <w:rsid w:val="00D74EE2"/>
    <w:rsid w:val="00D74F58"/>
    <w:rsid w:val="00D74F96"/>
    <w:rsid w:val="00D74FD5"/>
    <w:rsid w:val="00D74FD9"/>
    <w:rsid w:val="00D74FDB"/>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A0"/>
    <w:rsid w:val="00D759AD"/>
    <w:rsid w:val="00D759D6"/>
    <w:rsid w:val="00D75A2C"/>
    <w:rsid w:val="00D75A56"/>
    <w:rsid w:val="00D75A6B"/>
    <w:rsid w:val="00D75AA5"/>
    <w:rsid w:val="00D75AFF"/>
    <w:rsid w:val="00D75B01"/>
    <w:rsid w:val="00D75B7A"/>
    <w:rsid w:val="00D75B94"/>
    <w:rsid w:val="00D75B9B"/>
    <w:rsid w:val="00D75BCA"/>
    <w:rsid w:val="00D75C14"/>
    <w:rsid w:val="00D75C20"/>
    <w:rsid w:val="00D75C3E"/>
    <w:rsid w:val="00D75C47"/>
    <w:rsid w:val="00D75C52"/>
    <w:rsid w:val="00D75C57"/>
    <w:rsid w:val="00D75C64"/>
    <w:rsid w:val="00D75C9E"/>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10"/>
    <w:rsid w:val="00D7646F"/>
    <w:rsid w:val="00D7648D"/>
    <w:rsid w:val="00D76496"/>
    <w:rsid w:val="00D764EC"/>
    <w:rsid w:val="00D764F3"/>
    <w:rsid w:val="00D76541"/>
    <w:rsid w:val="00D76581"/>
    <w:rsid w:val="00D765F5"/>
    <w:rsid w:val="00D76611"/>
    <w:rsid w:val="00D7661A"/>
    <w:rsid w:val="00D76644"/>
    <w:rsid w:val="00D7665B"/>
    <w:rsid w:val="00D7667A"/>
    <w:rsid w:val="00D7668F"/>
    <w:rsid w:val="00D766A6"/>
    <w:rsid w:val="00D766E4"/>
    <w:rsid w:val="00D76734"/>
    <w:rsid w:val="00D7678B"/>
    <w:rsid w:val="00D76798"/>
    <w:rsid w:val="00D767D6"/>
    <w:rsid w:val="00D76906"/>
    <w:rsid w:val="00D76936"/>
    <w:rsid w:val="00D76971"/>
    <w:rsid w:val="00D76A1E"/>
    <w:rsid w:val="00D76A70"/>
    <w:rsid w:val="00D76A99"/>
    <w:rsid w:val="00D76AEB"/>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58"/>
    <w:rsid w:val="00D76F86"/>
    <w:rsid w:val="00D76F8B"/>
    <w:rsid w:val="00D76FAE"/>
    <w:rsid w:val="00D76FDD"/>
    <w:rsid w:val="00D77004"/>
    <w:rsid w:val="00D77032"/>
    <w:rsid w:val="00D7705A"/>
    <w:rsid w:val="00D770AC"/>
    <w:rsid w:val="00D770C5"/>
    <w:rsid w:val="00D770E9"/>
    <w:rsid w:val="00D77180"/>
    <w:rsid w:val="00D7719C"/>
    <w:rsid w:val="00D771AA"/>
    <w:rsid w:val="00D771D0"/>
    <w:rsid w:val="00D7726A"/>
    <w:rsid w:val="00D772A5"/>
    <w:rsid w:val="00D772B3"/>
    <w:rsid w:val="00D772DB"/>
    <w:rsid w:val="00D772F5"/>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C9"/>
    <w:rsid w:val="00D800EC"/>
    <w:rsid w:val="00D80116"/>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DA"/>
    <w:rsid w:val="00D8062E"/>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B"/>
    <w:rsid w:val="00D80E5F"/>
    <w:rsid w:val="00D80E77"/>
    <w:rsid w:val="00D80ED6"/>
    <w:rsid w:val="00D80EEC"/>
    <w:rsid w:val="00D80EF1"/>
    <w:rsid w:val="00D80F45"/>
    <w:rsid w:val="00D80F5D"/>
    <w:rsid w:val="00D80F5F"/>
    <w:rsid w:val="00D80F67"/>
    <w:rsid w:val="00D80F6A"/>
    <w:rsid w:val="00D80F7B"/>
    <w:rsid w:val="00D80FF6"/>
    <w:rsid w:val="00D81024"/>
    <w:rsid w:val="00D81044"/>
    <w:rsid w:val="00D81049"/>
    <w:rsid w:val="00D81079"/>
    <w:rsid w:val="00D810AC"/>
    <w:rsid w:val="00D810F6"/>
    <w:rsid w:val="00D81125"/>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44"/>
    <w:rsid w:val="00D81454"/>
    <w:rsid w:val="00D81464"/>
    <w:rsid w:val="00D81487"/>
    <w:rsid w:val="00D814CF"/>
    <w:rsid w:val="00D8151A"/>
    <w:rsid w:val="00D81520"/>
    <w:rsid w:val="00D81533"/>
    <w:rsid w:val="00D81582"/>
    <w:rsid w:val="00D8158E"/>
    <w:rsid w:val="00D81599"/>
    <w:rsid w:val="00D815D2"/>
    <w:rsid w:val="00D81640"/>
    <w:rsid w:val="00D8165F"/>
    <w:rsid w:val="00D81684"/>
    <w:rsid w:val="00D8169D"/>
    <w:rsid w:val="00D816BD"/>
    <w:rsid w:val="00D816E1"/>
    <w:rsid w:val="00D816E6"/>
    <w:rsid w:val="00D81759"/>
    <w:rsid w:val="00D8176A"/>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73"/>
    <w:rsid w:val="00D81E97"/>
    <w:rsid w:val="00D81ED9"/>
    <w:rsid w:val="00D81F1D"/>
    <w:rsid w:val="00D81F2B"/>
    <w:rsid w:val="00D81F59"/>
    <w:rsid w:val="00D81F66"/>
    <w:rsid w:val="00D81F7A"/>
    <w:rsid w:val="00D81FBA"/>
    <w:rsid w:val="00D81FDF"/>
    <w:rsid w:val="00D82064"/>
    <w:rsid w:val="00D8206F"/>
    <w:rsid w:val="00D82095"/>
    <w:rsid w:val="00D82099"/>
    <w:rsid w:val="00D82106"/>
    <w:rsid w:val="00D8211B"/>
    <w:rsid w:val="00D82132"/>
    <w:rsid w:val="00D82171"/>
    <w:rsid w:val="00D8219B"/>
    <w:rsid w:val="00D821B5"/>
    <w:rsid w:val="00D821F2"/>
    <w:rsid w:val="00D8222F"/>
    <w:rsid w:val="00D82267"/>
    <w:rsid w:val="00D822AD"/>
    <w:rsid w:val="00D822BD"/>
    <w:rsid w:val="00D822EF"/>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B1"/>
    <w:rsid w:val="00D82B08"/>
    <w:rsid w:val="00D82B31"/>
    <w:rsid w:val="00D82B3C"/>
    <w:rsid w:val="00D82B4B"/>
    <w:rsid w:val="00D82B90"/>
    <w:rsid w:val="00D82B98"/>
    <w:rsid w:val="00D82C20"/>
    <w:rsid w:val="00D82C3D"/>
    <w:rsid w:val="00D82C41"/>
    <w:rsid w:val="00D82C57"/>
    <w:rsid w:val="00D82C8A"/>
    <w:rsid w:val="00D82C9A"/>
    <w:rsid w:val="00D82CE2"/>
    <w:rsid w:val="00D82CF7"/>
    <w:rsid w:val="00D82D01"/>
    <w:rsid w:val="00D82D34"/>
    <w:rsid w:val="00D82D49"/>
    <w:rsid w:val="00D82D9B"/>
    <w:rsid w:val="00D82E10"/>
    <w:rsid w:val="00D82E47"/>
    <w:rsid w:val="00D82E98"/>
    <w:rsid w:val="00D82F15"/>
    <w:rsid w:val="00D82F52"/>
    <w:rsid w:val="00D82F57"/>
    <w:rsid w:val="00D82F74"/>
    <w:rsid w:val="00D82F8A"/>
    <w:rsid w:val="00D82FD7"/>
    <w:rsid w:val="00D82FD9"/>
    <w:rsid w:val="00D830C6"/>
    <w:rsid w:val="00D830CC"/>
    <w:rsid w:val="00D830D7"/>
    <w:rsid w:val="00D83116"/>
    <w:rsid w:val="00D8312A"/>
    <w:rsid w:val="00D831AF"/>
    <w:rsid w:val="00D8320A"/>
    <w:rsid w:val="00D83223"/>
    <w:rsid w:val="00D8324B"/>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6E0"/>
    <w:rsid w:val="00D83738"/>
    <w:rsid w:val="00D83743"/>
    <w:rsid w:val="00D83776"/>
    <w:rsid w:val="00D8378D"/>
    <w:rsid w:val="00D83887"/>
    <w:rsid w:val="00D838B5"/>
    <w:rsid w:val="00D838C0"/>
    <w:rsid w:val="00D838EE"/>
    <w:rsid w:val="00D83907"/>
    <w:rsid w:val="00D83923"/>
    <w:rsid w:val="00D83966"/>
    <w:rsid w:val="00D83975"/>
    <w:rsid w:val="00D8397A"/>
    <w:rsid w:val="00D83989"/>
    <w:rsid w:val="00D839A4"/>
    <w:rsid w:val="00D83A5A"/>
    <w:rsid w:val="00D83AAB"/>
    <w:rsid w:val="00D83AAC"/>
    <w:rsid w:val="00D83AC4"/>
    <w:rsid w:val="00D83AC6"/>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32"/>
    <w:rsid w:val="00D8413D"/>
    <w:rsid w:val="00D8418B"/>
    <w:rsid w:val="00D84197"/>
    <w:rsid w:val="00D84261"/>
    <w:rsid w:val="00D84275"/>
    <w:rsid w:val="00D84287"/>
    <w:rsid w:val="00D842B8"/>
    <w:rsid w:val="00D842F1"/>
    <w:rsid w:val="00D842F9"/>
    <w:rsid w:val="00D8432D"/>
    <w:rsid w:val="00D84383"/>
    <w:rsid w:val="00D843E5"/>
    <w:rsid w:val="00D84403"/>
    <w:rsid w:val="00D8441C"/>
    <w:rsid w:val="00D8446B"/>
    <w:rsid w:val="00D84486"/>
    <w:rsid w:val="00D844C0"/>
    <w:rsid w:val="00D844C9"/>
    <w:rsid w:val="00D844EA"/>
    <w:rsid w:val="00D8450B"/>
    <w:rsid w:val="00D8456D"/>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A4"/>
    <w:rsid w:val="00D848FC"/>
    <w:rsid w:val="00D84901"/>
    <w:rsid w:val="00D84907"/>
    <w:rsid w:val="00D84924"/>
    <w:rsid w:val="00D8492B"/>
    <w:rsid w:val="00D849B3"/>
    <w:rsid w:val="00D84A76"/>
    <w:rsid w:val="00D84A9B"/>
    <w:rsid w:val="00D84AA0"/>
    <w:rsid w:val="00D84B02"/>
    <w:rsid w:val="00D84B5E"/>
    <w:rsid w:val="00D84C72"/>
    <w:rsid w:val="00D84CB9"/>
    <w:rsid w:val="00D84D52"/>
    <w:rsid w:val="00D84E09"/>
    <w:rsid w:val="00D84E41"/>
    <w:rsid w:val="00D84E61"/>
    <w:rsid w:val="00D84E6A"/>
    <w:rsid w:val="00D84ED1"/>
    <w:rsid w:val="00D84ED3"/>
    <w:rsid w:val="00D84F03"/>
    <w:rsid w:val="00D84F0C"/>
    <w:rsid w:val="00D84F15"/>
    <w:rsid w:val="00D84F53"/>
    <w:rsid w:val="00D84F57"/>
    <w:rsid w:val="00D84F7F"/>
    <w:rsid w:val="00D84FEE"/>
    <w:rsid w:val="00D85005"/>
    <w:rsid w:val="00D85082"/>
    <w:rsid w:val="00D8509C"/>
    <w:rsid w:val="00D850EA"/>
    <w:rsid w:val="00D85143"/>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DB8"/>
    <w:rsid w:val="00D85E14"/>
    <w:rsid w:val="00D85E3B"/>
    <w:rsid w:val="00D85E46"/>
    <w:rsid w:val="00D85E49"/>
    <w:rsid w:val="00D85E54"/>
    <w:rsid w:val="00D85E61"/>
    <w:rsid w:val="00D85E7C"/>
    <w:rsid w:val="00D85E9D"/>
    <w:rsid w:val="00D85EC3"/>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61"/>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42"/>
    <w:rsid w:val="00D87156"/>
    <w:rsid w:val="00D87159"/>
    <w:rsid w:val="00D87170"/>
    <w:rsid w:val="00D87187"/>
    <w:rsid w:val="00D871A7"/>
    <w:rsid w:val="00D87264"/>
    <w:rsid w:val="00D87293"/>
    <w:rsid w:val="00D8731B"/>
    <w:rsid w:val="00D87326"/>
    <w:rsid w:val="00D87345"/>
    <w:rsid w:val="00D8738A"/>
    <w:rsid w:val="00D87394"/>
    <w:rsid w:val="00D873C9"/>
    <w:rsid w:val="00D8741D"/>
    <w:rsid w:val="00D87441"/>
    <w:rsid w:val="00D874C8"/>
    <w:rsid w:val="00D874E8"/>
    <w:rsid w:val="00D8759C"/>
    <w:rsid w:val="00D875A8"/>
    <w:rsid w:val="00D875D0"/>
    <w:rsid w:val="00D875DE"/>
    <w:rsid w:val="00D8761E"/>
    <w:rsid w:val="00D87656"/>
    <w:rsid w:val="00D876B9"/>
    <w:rsid w:val="00D87734"/>
    <w:rsid w:val="00D87744"/>
    <w:rsid w:val="00D87773"/>
    <w:rsid w:val="00D87810"/>
    <w:rsid w:val="00D87839"/>
    <w:rsid w:val="00D87899"/>
    <w:rsid w:val="00D878E0"/>
    <w:rsid w:val="00D87909"/>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5A"/>
    <w:rsid w:val="00D87E7C"/>
    <w:rsid w:val="00D87E98"/>
    <w:rsid w:val="00D87ED1"/>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0"/>
    <w:rsid w:val="00D901EA"/>
    <w:rsid w:val="00D901ED"/>
    <w:rsid w:val="00D90268"/>
    <w:rsid w:val="00D90269"/>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7"/>
    <w:rsid w:val="00D91C47"/>
    <w:rsid w:val="00D91D06"/>
    <w:rsid w:val="00D91D1C"/>
    <w:rsid w:val="00D91D1E"/>
    <w:rsid w:val="00D91D51"/>
    <w:rsid w:val="00D91DB8"/>
    <w:rsid w:val="00D91E67"/>
    <w:rsid w:val="00D91E6B"/>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99"/>
    <w:rsid w:val="00D92836"/>
    <w:rsid w:val="00D92880"/>
    <w:rsid w:val="00D92921"/>
    <w:rsid w:val="00D92943"/>
    <w:rsid w:val="00D9296A"/>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F4"/>
    <w:rsid w:val="00D9302D"/>
    <w:rsid w:val="00D9306C"/>
    <w:rsid w:val="00D93086"/>
    <w:rsid w:val="00D9311F"/>
    <w:rsid w:val="00D93148"/>
    <w:rsid w:val="00D93184"/>
    <w:rsid w:val="00D931B4"/>
    <w:rsid w:val="00D9321A"/>
    <w:rsid w:val="00D93264"/>
    <w:rsid w:val="00D9329B"/>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E01"/>
    <w:rsid w:val="00D93E54"/>
    <w:rsid w:val="00D93E8B"/>
    <w:rsid w:val="00D93ED6"/>
    <w:rsid w:val="00D93EF3"/>
    <w:rsid w:val="00D93EFB"/>
    <w:rsid w:val="00D93F30"/>
    <w:rsid w:val="00D93F3C"/>
    <w:rsid w:val="00D93F7D"/>
    <w:rsid w:val="00D93FDD"/>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FC"/>
    <w:rsid w:val="00D949C1"/>
    <w:rsid w:val="00D94A4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85"/>
    <w:rsid w:val="00D94EAB"/>
    <w:rsid w:val="00D94EF2"/>
    <w:rsid w:val="00D94EF5"/>
    <w:rsid w:val="00D94EFB"/>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8"/>
    <w:rsid w:val="00D95627"/>
    <w:rsid w:val="00D956E8"/>
    <w:rsid w:val="00D95714"/>
    <w:rsid w:val="00D9572E"/>
    <w:rsid w:val="00D95769"/>
    <w:rsid w:val="00D957CC"/>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3F"/>
    <w:rsid w:val="00D95B78"/>
    <w:rsid w:val="00D95B9B"/>
    <w:rsid w:val="00D95BAA"/>
    <w:rsid w:val="00D95BAE"/>
    <w:rsid w:val="00D95BEA"/>
    <w:rsid w:val="00D95BFE"/>
    <w:rsid w:val="00D95C24"/>
    <w:rsid w:val="00D95C7A"/>
    <w:rsid w:val="00D95C83"/>
    <w:rsid w:val="00D95CB6"/>
    <w:rsid w:val="00D95CD1"/>
    <w:rsid w:val="00D95CD5"/>
    <w:rsid w:val="00D95DE7"/>
    <w:rsid w:val="00D95E4E"/>
    <w:rsid w:val="00D95E68"/>
    <w:rsid w:val="00D95E84"/>
    <w:rsid w:val="00D95EB0"/>
    <w:rsid w:val="00D95EC7"/>
    <w:rsid w:val="00D95EE7"/>
    <w:rsid w:val="00D95F0E"/>
    <w:rsid w:val="00D95F3B"/>
    <w:rsid w:val="00D95F8C"/>
    <w:rsid w:val="00D95F8E"/>
    <w:rsid w:val="00D96057"/>
    <w:rsid w:val="00D960E7"/>
    <w:rsid w:val="00D96113"/>
    <w:rsid w:val="00D96115"/>
    <w:rsid w:val="00D96173"/>
    <w:rsid w:val="00D9617D"/>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65C"/>
    <w:rsid w:val="00D96662"/>
    <w:rsid w:val="00D9667E"/>
    <w:rsid w:val="00D966E2"/>
    <w:rsid w:val="00D9676B"/>
    <w:rsid w:val="00D96775"/>
    <w:rsid w:val="00D96835"/>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71"/>
    <w:rsid w:val="00D96E72"/>
    <w:rsid w:val="00D96E79"/>
    <w:rsid w:val="00D96E7E"/>
    <w:rsid w:val="00D96EA9"/>
    <w:rsid w:val="00D96EB1"/>
    <w:rsid w:val="00D96F05"/>
    <w:rsid w:val="00D96FC6"/>
    <w:rsid w:val="00D97006"/>
    <w:rsid w:val="00D97007"/>
    <w:rsid w:val="00D9700B"/>
    <w:rsid w:val="00D97014"/>
    <w:rsid w:val="00D97033"/>
    <w:rsid w:val="00D970B8"/>
    <w:rsid w:val="00D9710B"/>
    <w:rsid w:val="00D97119"/>
    <w:rsid w:val="00D9718D"/>
    <w:rsid w:val="00D971CF"/>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E8"/>
    <w:rsid w:val="00D97403"/>
    <w:rsid w:val="00D97418"/>
    <w:rsid w:val="00D97479"/>
    <w:rsid w:val="00D97481"/>
    <w:rsid w:val="00D974C5"/>
    <w:rsid w:val="00D974D2"/>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8"/>
    <w:rsid w:val="00D97C98"/>
    <w:rsid w:val="00D97D53"/>
    <w:rsid w:val="00D97D95"/>
    <w:rsid w:val="00D97E18"/>
    <w:rsid w:val="00D97E71"/>
    <w:rsid w:val="00D97ED1"/>
    <w:rsid w:val="00D97EDD"/>
    <w:rsid w:val="00D97F1B"/>
    <w:rsid w:val="00D97F6E"/>
    <w:rsid w:val="00D97F8B"/>
    <w:rsid w:val="00D97FD3"/>
    <w:rsid w:val="00DA0024"/>
    <w:rsid w:val="00DA0046"/>
    <w:rsid w:val="00DA00B4"/>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68"/>
    <w:rsid w:val="00DA0492"/>
    <w:rsid w:val="00DA04A2"/>
    <w:rsid w:val="00DA04EB"/>
    <w:rsid w:val="00DA04F7"/>
    <w:rsid w:val="00DA0505"/>
    <w:rsid w:val="00DA0517"/>
    <w:rsid w:val="00DA053A"/>
    <w:rsid w:val="00DA0592"/>
    <w:rsid w:val="00DA05C4"/>
    <w:rsid w:val="00DA0670"/>
    <w:rsid w:val="00DA0681"/>
    <w:rsid w:val="00DA06CA"/>
    <w:rsid w:val="00DA06D7"/>
    <w:rsid w:val="00DA07C8"/>
    <w:rsid w:val="00DA07E2"/>
    <w:rsid w:val="00DA0845"/>
    <w:rsid w:val="00DA0876"/>
    <w:rsid w:val="00DA08A3"/>
    <w:rsid w:val="00DA08A4"/>
    <w:rsid w:val="00DA08B8"/>
    <w:rsid w:val="00DA092F"/>
    <w:rsid w:val="00DA095F"/>
    <w:rsid w:val="00DA0971"/>
    <w:rsid w:val="00DA0975"/>
    <w:rsid w:val="00DA098A"/>
    <w:rsid w:val="00DA098D"/>
    <w:rsid w:val="00DA099E"/>
    <w:rsid w:val="00DA0A09"/>
    <w:rsid w:val="00DA0A0B"/>
    <w:rsid w:val="00DA0AE7"/>
    <w:rsid w:val="00DA0B00"/>
    <w:rsid w:val="00DA0B2C"/>
    <w:rsid w:val="00DA0B37"/>
    <w:rsid w:val="00DA0B53"/>
    <w:rsid w:val="00DA0B56"/>
    <w:rsid w:val="00DA0C2B"/>
    <w:rsid w:val="00DA0C65"/>
    <w:rsid w:val="00DA0C70"/>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59"/>
    <w:rsid w:val="00DA0F99"/>
    <w:rsid w:val="00DA1015"/>
    <w:rsid w:val="00DA101A"/>
    <w:rsid w:val="00DA103D"/>
    <w:rsid w:val="00DA104B"/>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9C"/>
    <w:rsid w:val="00DA15A2"/>
    <w:rsid w:val="00DA15A8"/>
    <w:rsid w:val="00DA16A5"/>
    <w:rsid w:val="00DA16FB"/>
    <w:rsid w:val="00DA1725"/>
    <w:rsid w:val="00DA1753"/>
    <w:rsid w:val="00DA1762"/>
    <w:rsid w:val="00DA1783"/>
    <w:rsid w:val="00DA1789"/>
    <w:rsid w:val="00DA1794"/>
    <w:rsid w:val="00DA17D4"/>
    <w:rsid w:val="00DA1826"/>
    <w:rsid w:val="00DA183C"/>
    <w:rsid w:val="00DA1858"/>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40"/>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20"/>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5E"/>
    <w:rsid w:val="00DA25A0"/>
    <w:rsid w:val="00DA25A8"/>
    <w:rsid w:val="00DA25D0"/>
    <w:rsid w:val="00DA2636"/>
    <w:rsid w:val="00DA26A5"/>
    <w:rsid w:val="00DA274F"/>
    <w:rsid w:val="00DA2762"/>
    <w:rsid w:val="00DA2769"/>
    <w:rsid w:val="00DA27DB"/>
    <w:rsid w:val="00DA27E1"/>
    <w:rsid w:val="00DA27EB"/>
    <w:rsid w:val="00DA283A"/>
    <w:rsid w:val="00DA2850"/>
    <w:rsid w:val="00DA28E1"/>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DDA"/>
    <w:rsid w:val="00DA2E14"/>
    <w:rsid w:val="00DA2E7E"/>
    <w:rsid w:val="00DA2E84"/>
    <w:rsid w:val="00DA2F01"/>
    <w:rsid w:val="00DA2F1C"/>
    <w:rsid w:val="00DA2F6B"/>
    <w:rsid w:val="00DA2FCC"/>
    <w:rsid w:val="00DA2FCD"/>
    <w:rsid w:val="00DA3015"/>
    <w:rsid w:val="00DA30AF"/>
    <w:rsid w:val="00DA30B4"/>
    <w:rsid w:val="00DA30DE"/>
    <w:rsid w:val="00DA312E"/>
    <w:rsid w:val="00DA315A"/>
    <w:rsid w:val="00DA31B3"/>
    <w:rsid w:val="00DA3203"/>
    <w:rsid w:val="00DA323F"/>
    <w:rsid w:val="00DA3265"/>
    <w:rsid w:val="00DA327B"/>
    <w:rsid w:val="00DA329B"/>
    <w:rsid w:val="00DA333F"/>
    <w:rsid w:val="00DA3342"/>
    <w:rsid w:val="00DA33C4"/>
    <w:rsid w:val="00DA345C"/>
    <w:rsid w:val="00DA345F"/>
    <w:rsid w:val="00DA34B3"/>
    <w:rsid w:val="00DA34B8"/>
    <w:rsid w:val="00DA34BF"/>
    <w:rsid w:val="00DA3563"/>
    <w:rsid w:val="00DA3624"/>
    <w:rsid w:val="00DA3659"/>
    <w:rsid w:val="00DA3692"/>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A0"/>
    <w:rsid w:val="00DA3FA8"/>
    <w:rsid w:val="00DA3FBE"/>
    <w:rsid w:val="00DA3FED"/>
    <w:rsid w:val="00DA4003"/>
    <w:rsid w:val="00DA403C"/>
    <w:rsid w:val="00DA4049"/>
    <w:rsid w:val="00DA40F6"/>
    <w:rsid w:val="00DA418B"/>
    <w:rsid w:val="00DA4280"/>
    <w:rsid w:val="00DA4307"/>
    <w:rsid w:val="00DA4333"/>
    <w:rsid w:val="00DA434B"/>
    <w:rsid w:val="00DA43F1"/>
    <w:rsid w:val="00DA444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BE"/>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E91"/>
    <w:rsid w:val="00DA4ED6"/>
    <w:rsid w:val="00DA4EE6"/>
    <w:rsid w:val="00DA4F1C"/>
    <w:rsid w:val="00DA4F45"/>
    <w:rsid w:val="00DA4F4A"/>
    <w:rsid w:val="00DA4FA1"/>
    <w:rsid w:val="00DA4FCF"/>
    <w:rsid w:val="00DA5077"/>
    <w:rsid w:val="00DA507F"/>
    <w:rsid w:val="00DA509B"/>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5F4"/>
    <w:rsid w:val="00DA561C"/>
    <w:rsid w:val="00DA5664"/>
    <w:rsid w:val="00DA5686"/>
    <w:rsid w:val="00DA56CC"/>
    <w:rsid w:val="00DA56D8"/>
    <w:rsid w:val="00DA56E4"/>
    <w:rsid w:val="00DA56ED"/>
    <w:rsid w:val="00DA5704"/>
    <w:rsid w:val="00DA5757"/>
    <w:rsid w:val="00DA57BF"/>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C9"/>
    <w:rsid w:val="00DA5DF6"/>
    <w:rsid w:val="00DA5E97"/>
    <w:rsid w:val="00DA5EA5"/>
    <w:rsid w:val="00DA5EC4"/>
    <w:rsid w:val="00DA5ED5"/>
    <w:rsid w:val="00DA5EDE"/>
    <w:rsid w:val="00DA5F05"/>
    <w:rsid w:val="00DA5F0E"/>
    <w:rsid w:val="00DA5F18"/>
    <w:rsid w:val="00DA5F1A"/>
    <w:rsid w:val="00DA5F21"/>
    <w:rsid w:val="00DA5F78"/>
    <w:rsid w:val="00DA5F97"/>
    <w:rsid w:val="00DA5FDF"/>
    <w:rsid w:val="00DA6034"/>
    <w:rsid w:val="00DA6043"/>
    <w:rsid w:val="00DA605D"/>
    <w:rsid w:val="00DA605E"/>
    <w:rsid w:val="00DA6082"/>
    <w:rsid w:val="00DA608F"/>
    <w:rsid w:val="00DA60D3"/>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70B"/>
    <w:rsid w:val="00DA6735"/>
    <w:rsid w:val="00DA681E"/>
    <w:rsid w:val="00DA6827"/>
    <w:rsid w:val="00DA685C"/>
    <w:rsid w:val="00DA68AF"/>
    <w:rsid w:val="00DA69D2"/>
    <w:rsid w:val="00DA6A21"/>
    <w:rsid w:val="00DA6A30"/>
    <w:rsid w:val="00DA6A37"/>
    <w:rsid w:val="00DA6A3D"/>
    <w:rsid w:val="00DA6A9D"/>
    <w:rsid w:val="00DA6AE5"/>
    <w:rsid w:val="00DA6AEB"/>
    <w:rsid w:val="00DA6AF3"/>
    <w:rsid w:val="00DA6B3D"/>
    <w:rsid w:val="00DA6B5A"/>
    <w:rsid w:val="00DA6C1D"/>
    <w:rsid w:val="00DA6C31"/>
    <w:rsid w:val="00DA6CBF"/>
    <w:rsid w:val="00DA6CD6"/>
    <w:rsid w:val="00DA6D08"/>
    <w:rsid w:val="00DA6D4E"/>
    <w:rsid w:val="00DA6D85"/>
    <w:rsid w:val="00DA6D9A"/>
    <w:rsid w:val="00DA6DE3"/>
    <w:rsid w:val="00DA6E0E"/>
    <w:rsid w:val="00DA6E21"/>
    <w:rsid w:val="00DA6E32"/>
    <w:rsid w:val="00DA6E45"/>
    <w:rsid w:val="00DA6E5B"/>
    <w:rsid w:val="00DA6E7E"/>
    <w:rsid w:val="00DA6E9E"/>
    <w:rsid w:val="00DA6EA8"/>
    <w:rsid w:val="00DA6F4D"/>
    <w:rsid w:val="00DA6FCF"/>
    <w:rsid w:val="00DA7081"/>
    <w:rsid w:val="00DA70ED"/>
    <w:rsid w:val="00DA70F8"/>
    <w:rsid w:val="00DA7120"/>
    <w:rsid w:val="00DA7134"/>
    <w:rsid w:val="00DA7151"/>
    <w:rsid w:val="00DA7152"/>
    <w:rsid w:val="00DA71EA"/>
    <w:rsid w:val="00DA728E"/>
    <w:rsid w:val="00DA7299"/>
    <w:rsid w:val="00DA72A5"/>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7"/>
    <w:rsid w:val="00DA7C17"/>
    <w:rsid w:val="00DA7C20"/>
    <w:rsid w:val="00DA7C40"/>
    <w:rsid w:val="00DA7D4C"/>
    <w:rsid w:val="00DA7D75"/>
    <w:rsid w:val="00DA7D8E"/>
    <w:rsid w:val="00DA7E48"/>
    <w:rsid w:val="00DA7E4A"/>
    <w:rsid w:val="00DA7EC0"/>
    <w:rsid w:val="00DA7EC2"/>
    <w:rsid w:val="00DA7F09"/>
    <w:rsid w:val="00DA7F0B"/>
    <w:rsid w:val="00DA7F50"/>
    <w:rsid w:val="00DA7F7B"/>
    <w:rsid w:val="00DA7FB4"/>
    <w:rsid w:val="00DA7FDF"/>
    <w:rsid w:val="00DB0056"/>
    <w:rsid w:val="00DB00D6"/>
    <w:rsid w:val="00DB0133"/>
    <w:rsid w:val="00DB0157"/>
    <w:rsid w:val="00DB0159"/>
    <w:rsid w:val="00DB01D3"/>
    <w:rsid w:val="00DB0220"/>
    <w:rsid w:val="00DB02B3"/>
    <w:rsid w:val="00DB02B8"/>
    <w:rsid w:val="00DB030F"/>
    <w:rsid w:val="00DB0379"/>
    <w:rsid w:val="00DB0381"/>
    <w:rsid w:val="00DB044A"/>
    <w:rsid w:val="00DB044F"/>
    <w:rsid w:val="00DB0530"/>
    <w:rsid w:val="00DB0531"/>
    <w:rsid w:val="00DB0547"/>
    <w:rsid w:val="00DB0579"/>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B7"/>
    <w:rsid w:val="00DB08BC"/>
    <w:rsid w:val="00DB090A"/>
    <w:rsid w:val="00DB0931"/>
    <w:rsid w:val="00DB0A11"/>
    <w:rsid w:val="00DB0A23"/>
    <w:rsid w:val="00DB0A88"/>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4"/>
    <w:rsid w:val="00DB1005"/>
    <w:rsid w:val="00DB108F"/>
    <w:rsid w:val="00DB10C4"/>
    <w:rsid w:val="00DB1102"/>
    <w:rsid w:val="00DB112C"/>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74"/>
    <w:rsid w:val="00DB1EB5"/>
    <w:rsid w:val="00DB1EE7"/>
    <w:rsid w:val="00DB1EEE"/>
    <w:rsid w:val="00DB1EFC"/>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434"/>
    <w:rsid w:val="00DB248B"/>
    <w:rsid w:val="00DB24AF"/>
    <w:rsid w:val="00DB2574"/>
    <w:rsid w:val="00DB2626"/>
    <w:rsid w:val="00DB2636"/>
    <w:rsid w:val="00DB265D"/>
    <w:rsid w:val="00DB2685"/>
    <w:rsid w:val="00DB2691"/>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A12"/>
    <w:rsid w:val="00DB2A17"/>
    <w:rsid w:val="00DB2AAB"/>
    <w:rsid w:val="00DB2AEA"/>
    <w:rsid w:val="00DB2B2A"/>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68"/>
    <w:rsid w:val="00DB2EDE"/>
    <w:rsid w:val="00DB2EF7"/>
    <w:rsid w:val="00DB2F03"/>
    <w:rsid w:val="00DB2F08"/>
    <w:rsid w:val="00DB2F14"/>
    <w:rsid w:val="00DB2F28"/>
    <w:rsid w:val="00DB2F29"/>
    <w:rsid w:val="00DB2F2A"/>
    <w:rsid w:val="00DB2FF2"/>
    <w:rsid w:val="00DB2FF3"/>
    <w:rsid w:val="00DB2FFE"/>
    <w:rsid w:val="00DB3003"/>
    <w:rsid w:val="00DB301F"/>
    <w:rsid w:val="00DB30FB"/>
    <w:rsid w:val="00DB311D"/>
    <w:rsid w:val="00DB3153"/>
    <w:rsid w:val="00DB3155"/>
    <w:rsid w:val="00DB3295"/>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28"/>
    <w:rsid w:val="00DB3A5D"/>
    <w:rsid w:val="00DB3A96"/>
    <w:rsid w:val="00DB3AC3"/>
    <w:rsid w:val="00DB3AD6"/>
    <w:rsid w:val="00DB3B16"/>
    <w:rsid w:val="00DB3B27"/>
    <w:rsid w:val="00DB3B82"/>
    <w:rsid w:val="00DB3C11"/>
    <w:rsid w:val="00DB3CFB"/>
    <w:rsid w:val="00DB3D44"/>
    <w:rsid w:val="00DB3D92"/>
    <w:rsid w:val="00DB3DA0"/>
    <w:rsid w:val="00DB3DFD"/>
    <w:rsid w:val="00DB3E7F"/>
    <w:rsid w:val="00DB3EB8"/>
    <w:rsid w:val="00DB3EC1"/>
    <w:rsid w:val="00DB3EC3"/>
    <w:rsid w:val="00DB3EEA"/>
    <w:rsid w:val="00DB3EFC"/>
    <w:rsid w:val="00DB3F21"/>
    <w:rsid w:val="00DB3F4C"/>
    <w:rsid w:val="00DB3FE6"/>
    <w:rsid w:val="00DB4143"/>
    <w:rsid w:val="00DB42E5"/>
    <w:rsid w:val="00DB42FB"/>
    <w:rsid w:val="00DB431A"/>
    <w:rsid w:val="00DB4359"/>
    <w:rsid w:val="00DB435D"/>
    <w:rsid w:val="00DB4367"/>
    <w:rsid w:val="00DB4386"/>
    <w:rsid w:val="00DB438A"/>
    <w:rsid w:val="00DB43E1"/>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59"/>
    <w:rsid w:val="00DB475F"/>
    <w:rsid w:val="00DB4761"/>
    <w:rsid w:val="00DB4772"/>
    <w:rsid w:val="00DB4785"/>
    <w:rsid w:val="00DB47A8"/>
    <w:rsid w:val="00DB480C"/>
    <w:rsid w:val="00DB481C"/>
    <w:rsid w:val="00DB4854"/>
    <w:rsid w:val="00DB485C"/>
    <w:rsid w:val="00DB48C4"/>
    <w:rsid w:val="00DB48E0"/>
    <w:rsid w:val="00DB48E6"/>
    <w:rsid w:val="00DB48F2"/>
    <w:rsid w:val="00DB48F3"/>
    <w:rsid w:val="00DB4907"/>
    <w:rsid w:val="00DB492D"/>
    <w:rsid w:val="00DB49A8"/>
    <w:rsid w:val="00DB49BA"/>
    <w:rsid w:val="00DB4A0F"/>
    <w:rsid w:val="00DB4A54"/>
    <w:rsid w:val="00DB4A56"/>
    <w:rsid w:val="00DB4A61"/>
    <w:rsid w:val="00DB4A8A"/>
    <w:rsid w:val="00DB4B7C"/>
    <w:rsid w:val="00DB4B97"/>
    <w:rsid w:val="00DB4BA3"/>
    <w:rsid w:val="00DB4BB1"/>
    <w:rsid w:val="00DB4BC4"/>
    <w:rsid w:val="00DB4BEF"/>
    <w:rsid w:val="00DB4BF4"/>
    <w:rsid w:val="00DB4BFD"/>
    <w:rsid w:val="00DB4C30"/>
    <w:rsid w:val="00DB4C31"/>
    <w:rsid w:val="00DB4C33"/>
    <w:rsid w:val="00DB4C5F"/>
    <w:rsid w:val="00DB4C9F"/>
    <w:rsid w:val="00DB4CDE"/>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97"/>
    <w:rsid w:val="00DB54AE"/>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E4C"/>
    <w:rsid w:val="00DB5E65"/>
    <w:rsid w:val="00DB5E83"/>
    <w:rsid w:val="00DB5EA5"/>
    <w:rsid w:val="00DB5EC3"/>
    <w:rsid w:val="00DB5ED5"/>
    <w:rsid w:val="00DB5F29"/>
    <w:rsid w:val="00DB5F2C"/>
    <w:rsid w:val="00DB5F97"/>
    <w:rsid w:val="00DB5FAB"/>
    <w:rsid w:val="00DB5FDD"/>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21"/>
    <w:rsid w:val="00DB6405"/>
    <w:rsid w:val="00DB6490"/>
    <w:rsid w:val="00DB64AB"/>
    <w:rsid w:val="00DB64C4"/>
    <w:rsid w:val="00DB64CC"/>
    <w:rsid w:val="00DB650A"/>
    <w:rsid w:val="00DB651F"/>
    <w:rsid w:val="00DB6575"/>
    <w:rsid w:val="00DB65B2"/>
    <w:rsid w:val="00DB65C8"/>
    <w:rsid w:val="00DB65E2"/>
    <w:rsid w:val="00DB6646"/>
    <w:rsid w:val="00DB6655"/>
    <w:rsid w:val="00DB669B"/>
    <w:rsid w:val="00DB6715"/>
    <w:rsid w:val="00DB671D"/>
    <w:rsid w:val="00DB673E"/>
    <w:rsid w:val="00DB6752"/>
    <w:rsid w:val="00DB67C6"/>
    <w:rsid w:val="00DB681E"/>
    <w:rsid w:val="00DB6840"/>
    <w:rsid w:val="00DB6854"/>
    <w:rsid w:val="00DB6872"/>
    <w:rsid w:val="00DB687C"/>
    <w:rsid w:val="00DB68A4"/>
    <w:rsid w:val="00DB68DD"/>
    <w:rsid w:val="00DB6950"/>
    <w:rsid w:val="00DB695B"/>
    <w:rsid w:val="00DB697D"/>
    <w:rsid w:val="00DB6987"/>
    <w:rsid w:val="00DB698C"/>
    <w:rsid w:val="00DB69A6"/>
    <w:rsid w:val="00DB69AD"/>
    <w:rsid w:val="00DB69B6"/>
    <w:rsid w:val="00DB69FF"/>
    <w:rsid w:val="00DB6A4B"/>
    <w:rsid w:val="00DB6A60"/>
    <w:rsid w:val="00DB6AAD"/>
    <w:rsid w:val="00DB6AB4"/>
    <w:rsid w:val="00DB6AB8"/>
    <w:rsid w:val="00DB6B18"/>
    <w:rsid w:val="00DB6B24"/>
    <w:rsid w:val="00DB6B35"/>
    <w:rsid w:val="00DB6B37"/>
    <w:rsid w:val="00DB6B62"/>
    <w:rsid w:val="00DB6BEB"/>
    <w:rsid w:val="00DB6BF7"/>
    <w:rsid w:val="00DB6C0A"/>
    <w:rsid w:val="00DB6C8E"/>
    <w:rsid w:val="00DB6C9B"/>
    <w:rsid w:val="00DB6D25"/>
    <w:rsid w:val="00DB6D38"/>
    <w:rsid w:val="00DB6D54"/>
    <w:rsid w:val="00DB6DC3"/>
    <w:rsid w:val="00DB6E2F"/>
    <w:rsid w:val="00DB6EA3"/>
    <w:rsid w:val="00DB6F36"/>
    <w:rsid w:val="00DB6F5A"/>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1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2B"/>
    <w:rsid w:val="00DB7A44"/>
    <w:rsid w:val="00DB7A5A"/>
    <w:rsid w:val="00DB7A93"/>
    <w:rsid w:val="00DB7AB3"/>
    <w:rsid w:val="00DB7B32"/>
    <w:rsid w:val="00DB7B3A"/>
    <w:rsid w:val="00DB7B4B"/>
    <w:rsid w:val="00DB7B89"/>
    <w:rsid w:val="00DB7BB4"/>
    <w:rsid w:val="00DB7C04"/>
    <w:rsid w:val="00DB7C16"/>
    <w:rsid w:val="00DB7C36"/>
    <w:rsid w:val="00DB7C3D"/>
    <w:rsid w:val="00DB7C4C"/>
    <w:rsid w:val="00DB7C59"/>
    <w:rsid w:val="00DB7C89"/>
    <w:rsid w:val="00DB7D31"/>
    <w:rsid w:val="00DB7D6D"/>
    <w:rsid w:val="00DB7D77"/>
    <w:rsid w:val="00DB7D90"/>
    <w:rsid w:val="00DB7DF3"/>
    <w:rsid w:val="00DB7E56"/>
    <w:rsid w:val="00DB7E71"/>
    <w:rsid w:val="00DB7E8E"/>
    <w:rsid w:val="00DB7EF4"/>
    <w:rsid w:val="00DB7F26"/>
    <w:rsid w:val="00DB7F6C"/>
    <w:rsid w:val="00DB7F9B"/>
    <w:rsid w:val="00DC0013"/>
    <w:rsid w:val="00DC004E"/>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508"/>
    <w:rsid w:val="00DC0533"/>
    <w:rsid w:val="00DC054D"/>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EA"/>
    <w:rsid w:val="00DC0944"/>
    <w:rsid w:val="00DC09A9"/>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69"/>
    <w:rsid w:val="00DC0B7C"/>
    <w:rsid w:val="00DC0B8D"/>
    <w:rsid w:val="00DC0B9D"/>
    <w:rsid w:val="00DC0BB8"/>
    <w:rsid w:val="00DC0C22"/>
    <w:rsid w:val="00DC0C2E"/>
    <w:rsid w:val="00DC0C7D"/>
    <w:rsid w:val="00DC0C91"/>
    <w:rsid w:val="00DC0CA5"/>
    <w:rsid w:val="00DC0CA9"/>
    <w:rsid w:val="00DC0CAE"/>
    <w:rsid w:val="00DC0D7C"/>
    <w:rsid w:val="00DC0E36"/>
    <w:rsid w:val="00DC0E60"/>
    <w:rsid w:val="00DC0E77"/>
    <w:rsid w:val="00DC0EAC"/>
    <w:rsid w:val="00DC0F24"/>
    <w:rsid w:val="00DC0F60"/>
    <w:rsid w:val="00DC0FC4"/>
    <w:rsid w:val="00DC0FFD"/>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A"/>
    <w:rsid w:val="00DC144D"/>
    <w:rsid w:val="00DC145E"/>
    <w:rsid w:val="00DC148E"/>
    <w:rsid w:val="00DC14DE"/>
    <w:rsid w:val="00DC14E9"/>
    <w:rsid w:val="00DC1502"/>
    <w:rsid w:val="00DC1587"/>
    <w:rsid w:val="00DC15C8"/>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91"/>
    <w:rsid w:val="00DC19C1"/>
    <w:rsid w:val="00DC19D9"/>
    <w:rsid w:val="00DC19E4"/>
    <w:rsid w:val="00DC1A11"/>
    <w:rsid w:val="00DC1A2A"/>
    <w:rsid w:val="00DC1A75"/>
    <w:rsid w:val="00DC1AAB"/>
    <w:rsid w:val="00DC1ADE"/>
    <w:rsid w:val="00DC1AF7"/>
    <w:rsid w:val="00DC1B12"/>
    <w:rsid w:val="00DC1B20"/>
    <w:rsid w:val="00DC1BD9"/>
    <w:rsid w:val="00DC1BE6"/>
    <w:rsid w:val="00DC1BEA"/>
    <w:rsid w:val="00DC1C06"/>
    <w:rsid w:val="00DC1C67"/>
    <w:rsid w:val="00DC1CC5"/>
    <w:rsid w:val="00DC1D3F"/>
    <w:rsid w:val="00DC1DA6"/>
    <w:rsid w:val="00DC1E17"/>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B4"/>
    <w:rsid w:val="00DC225D"/>
    <w:rsid w:val="00DC22E6"/>
    <w:rsid w:val="00DC2304"/>
    <w:rsid w:val="00DC2318"/>
    <w:rsid w:val="00DC235F"/>
    <w:rsid w:val="00DC23F5"/>
    <w:rsid w:val="00DC2420"/>
    <w:rsid w:val="00DC242E"/>
    <w:rsid w:val="00DC247E"/>
    <w:rsid w:val="00DC2489"/>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F"/>
    <w:rsid w:val="00DC2997"/>
    <w:rsid w:val="00DC29D5"/>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9C"/>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7"/>
    <w:rsid w:val="00DC327C"/>
    <w:rsid w:val="00DC332F"/>
    <w:rsid w:val="00DC33A1"/>
    <w:rsid w:val="00DC33A9"/>
    <w:rsid w:val="00DC33D2"/>
    <w:rsid w:val="00DC33F0"/>
    <w:rsid w:val="00DC33F4"/>
    <w:rsid w:val="00DC3403"/>
    <w:rsid w:val="00DC343D"/>
    <w:rsid w:val="00DC3465"/>
    <w:rsid w:val="00DC34A5"/>
    <w:rsid w:val="00DC34C9"/>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9E"/>
    <w:rsid w:val="00DC38EA"/>
    <w:rsid w:val="00DC393D"/>
    <w:rsid w:val="00DC3946"/>
    <w:rsid w:val="00DC3959"/>
    <w:rsid w:val="00DC3997"/>
    <w:rsid w:val="00DC39F7"/>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9B"/>
    <w:rsid w:val="00DC3CBC"/>
    <w:rsid w:val="00DC3D5F"/>
    <w:rsid w:val="00DC3D67"/>
    <w:rsid w:val="00DC3D79"/>
    <w:rsid w:val="00DC3D96"/>
    <w:rsid w:val="00DC3E03"/>
    <w:rsid w:val="00DC3E2A"/>
    <w:rsid w:val="00DC3EF3"/>
    <w:rsid w:val="00DC3F13"/>
    <w:rsid w:val="00DC3F43"/>
    <w:rsid w:val="00DC3FC7"/>
    <w:rsid w:val="00DC3FD9"/>
    <w:rsid w:val="00DC4039"/>
    <w:rsid w:val="00DC403D"/>
    <w:rsid w:val="00DC407D"/>
    <w:rsid w:val="00DC40A0"/>
    <w:rsid w:val="00DC40D1"/>
    <w:rsid w:val="00DC40D2"/>
    <w:rsid w:val="00DC4185"/>
    <w:rsid w:val="00DC4236"/>
    <w:rsid w:val="00DC42A8"/>
    <w:rsid w:val="00DC42BF"/>
    <w:rsid w:val="00DC42E8"/>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809"/>
    <w:rsid w:val="00DC484D"/>
    <w:rsid w:val="00DC4914"/>
    <w:rsid w:val="00DC4936"/>
    <w:rsid w:val="00DC4949"/>
    <w:rsid w:val="00DC4957"/>
    <w:rsid w:val="00DC4988"/>
    <w:rsid w:val="00DC4994"/>
    <w:rsid w:val="00DC499C"/>
    <w:rsid w:val="00DC49D6"/>
    <w:rsid w:val="00DC49EF"/>
    <w:rsid w:val="00DC4A95"/>
    <w:rsid w:val="00DC4ABD"/>
    <w:rsid w:val="00DC4AEC"/>
    <w:rsid w:val="00DC4B17"/>
    <w:rsid w:val="00DC4B18"/>
    <w:rsid w:val="00DC4B87"/>
    <w:rsid w:val="00DC4B8E"/>
    <w:rsid w:val="00DC4BE8"/>
    <w:rsid w:val="00DC4C02"/>
    <w:rsid w:val="00DC4C74"/>
    <w:rsid w:val="00DC4CF6"/>
    <w:rsid w:val="00DC4D2C"/>
    <w:rsid w:val="00DC4D44"/>
    <w:rsid w:val="00DC4D4D"/>
    <w:rsid w:val="00DC4D74"/>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6"/>
    <w:rsid w:val="00DC50FE"/>
    <w:rsid w:val="00DC511E"/>
    <w:rsid w:val="00DC518F"/>
    <w:rsid w:val="00DC520F"/>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B3"/>
    <w:rsid w:val="00DC57C2"/>
    <w:rsid w:val="00DC5826"/>
    <w:rsid w:val="00DC5870"/>
    <w:rsid w:val="00DC5872"/>
    <w:rsid w:val="00DC5888"/>
    <w:rsid w:val="00DC58F7"/>
    <w:rsid w:val="00DC5905"/>
    <w:rsid w:val="00DC5973"/>
    <w:rsid w:val="00DC59F8"/>
    <w:rsid w:val="00DC5AAD"/>
    <w:rsid w:val="00DC5ACA"/>
    <w:rsid w:val="00DC5AD5"/>
    <w:rsid w:val="00DC5B58"/>
    <w:rsid w:val="00DC5B81"/>
    <w:rsid w:val="00DC5B8A"/>
    <w:rsid w:val="00DC5B8B"/>
    <w:rsid w:val="00DC5BA1"/>
    <w:rsid w:val="00DC5BA9"/>
    <w:rsid w:val="00DC5C03"/>
    <w:rsid w:val="00DC5C15"/>
    <w:rsid w:val="00DC5C2F"/>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82"/>
    <w:rsid w:val="00DC63E6"/>
    <w:rsid w:val="00DC6448"/>
    <w:rsid w:val="00DC64AF"/>
    <w:rsid w:val="00DC64C8"/>
    <w:rsid w:val="00DC652B"/>
    <w:rsid w:val="00DC6563"/>
    <w:rsid w:val="00DC6571"/>
    <w:rsid w:val="00DC659D"/>
    <w:rsid w:val="00DC662E"/>
    <w:rsid w:val="00DC663D"/>
    <w:rsid w:val="00DC66D7"/>
    <w:rsid w:val="00DC6757"/>
    <w:rsid w:val="00DC678A"/>
    <w:rsid w:val="00DC68B0"/>
    <w:rsid w:val="00DC6969"/>
    <w:rsid w:val="00DC69E4"/>
    <w:rsid w:val="00DC69F4"/>
    <w:rsid w:val="00DC6A67"/>
    <w:rsid w:val="00DC6B03"/>
    <w:rsid w:val="00DC6B0C"/>
    <w:rsid w:val="00DC6B3E"/>
    <w:rsid w:val="00DC6B42"/>
    <w:rsid w:val="00DC6B7A"/>
    <w:rsid w:val="00DC6BC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B1"/>
    <w:rsid w:val="00DC71D1"/>
    <w:rsid w:val="00DC71E3"/>
    <w:rsid w:val="00DC71FC"/>
    <w:rsid w:val="00DC7201"/>
    <w:rsid w:val="00DC7268"/>
    <w:rsid w:val="00DC726A"/>
    <w:rsid w:val="00DC72A2"/>
    <w:rsid w:val="00DC7364"/>
    <w:rsid w:val="00DC738A"/>
    <w:rsid w:val="00DC73A1"/>
    <w:rsid w:val="00DC73A4"/>
    <w:rsid w:val="00DC73AF"/>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1C"/>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4"/>
    <w:rsid w:val="00DD00BF"/>
    <w:rsid w:val="00DD00D7"/>
    <w:rsid w:val="00DD00FB"/>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8"/>
    <w:rsid w:val="00DD036C"/>
    <w:rsid w:val="00DD038F"/>
    <w:rsid w:val="00DD03F6"/>
    <w:rsid w:val="00DD0428"/>
    <w:rsid w:val="00DD0443"/>
    <w:rsid w:val="00DD0495"/>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CF4"/>
    <w:rsid w:val="00DD0D15"/>
    <w:rsid w:val="00DD0D18"/>
    <w:rsid w:val="00DD0D2B"/>
    <w:rsid w:val="00DD0D41"/>
    <w:rsid w:val="00DD0D58"/>
    <w:rsid w:val="00DD0DBE"/>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73"/>
    <w:rsid w:val="00DD16B4"/>
    <w:rsid w:val="00DD16BE"/>
    <w:rsid w:val="00DD16CD"/>
    <w:rsid w:val="00DD16E8"/>
    <w:rsid w:val="00DD16EE"/>
    <w:rsid w:val="00DD1728"/>
    <w:rsid w:val="00DD1750"/>
    <w:rsid w:val="00DD17A3"/>
    <w:rsid w:val="00DD17A5"/>
    <w:rsid w:val="00DD181C"/>
    <w:rsid w:val="00DD186D"/>
    <w:rsid w:val="00DD1874"/>
    <w:rsid w:val="00DD1876"/>
    <w:rsid w:val="00DD18DD"/>
    <w:rsid w:val="00DD18EB"/>
    <w:rsid w:val="00DD18EC"/>
    <w:rsid w:val="00DD1907"/>
    <w:rsid w:val="00DD1912"/>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45"/>
    <w:rsid w:val="00DD1D59"/>
    <w:rsid w:val="00DD1D86"/>
    <w:rsid w:val="00DD1DAE"/>
    <w:rsid w:val="00DD1DC7"/>
    <w:rsid w:val="00DD1E49"/>
    <w:rsid w:val="00DD1ED8"/>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F7"/>
    <w:rsid w:val="00DD2368"/>
    <w:rsid w:val="00DD2394"/>
    <w:rsid w:val="00DD23E2"/>
    <w:rsid w:val="00DD2415"/>
    <w:rsid w:val="00DD2459"/>
    <w:rsid w:val="00DD2585"/>
    <w:rsid w:val="00DD262E"/>
    <w:rsid w:val="00DD265E"/>
    <w:rsid w:val="00DD2676"/>
    <w:rsid w:val="00DD26C4"/>
    <w:rsid w:val="00DD26C8"/>
    <w:rsid w:val="00DD26CB"/>
    <w:rsid w:val="00DD270F"/>
    <w:rsid w:val="00DD2723"/>
    <w:rsid w:val="00DD273B"/>
    <w:rsid w:val="00DD2778"/>
    <w:rsid w:val="00DD2797"/>
    <w:rsid w:val="00DD27B2"/>
    <w:rsid w:val="00DD27C9"/>
    <w:rsid w:val="00DD280C"/>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3"/>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7F6"/>
    <w:rsid w:val="00DD383C"/>
    <w:rsid w:val="00DD387F"/>
    <w:rsid w:val="00DD389C"/>
    <w:rsid w:val="00DD38CD"/>
    <w:rsid w:val="00DD3902"/>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1"/>
    <w:rsid w:val="00DD41D7"/>
    <w:rsid w:val="00DD41E7"/>
    <w:rsid w:val="00DD427A"/>
    <w:rsid w:val="00DD4325"/>
    <w:rsid w:val="00DD436F"/>
    <w:rsid w:val="00DD43B7"/>
    <w:rsid w:val="00DD43EA"/>
    <w:rsid w:val="00DD4453"/>
    <w:rsid w:val="00DD4497"/>
    <w:rsid w:val="00DD44BE"/>
    <w:rsid w:val="00DD44D8"/>
    <w:rsid w:val="00DD4516"/>
    <w:rsid w:val="00DD457F"/>
    <w:rsid w:val="00DD466A"/>
    <w:rsid w:val="00DD4676"/>
    <w:rsid w:val="00DD4695"/>
    <w:rsid w:val="00DD471A"/>
    <w:rsid w:val="00DD4721"/>
    <w:rsid w:val="00DD4750"/>
    <w:rsid w:val="00DD4760"/>
    <w:rsid w:val="00DD476D"/>
    <w:rsid w:val="00DD4772"/>
    <w:rsid w:val="00DD4808"/>
    <w:rsid w:val="00DD480D"/>
    <w:rsid w:val="00DD481A"/>
    <w:rsid w:val="00DD4854"/>
    <w:rsid w:val="00DD4860"/>
    <w:rsid w:val="00DD4861"/>
    <w:rsid w:val="00DD4865"/>
    <w:rsid w:val="00DD4895"/>
    <w:rsid w:val="00DD496F"/>
    <w:rsid w:val="00DD498D"/>
    <w:rsid w:val="00DD4999"/>
    <w:rsid w:val="00DD4A43"/>
    <w:rsid w:val="00DD4AD1"/>
    <w:rsid w:val="00DD4AE1"/>
    <w:rsid w:val="00DD4B40"/>
    <w:rsid w:val="00DD4B7E"/>
    <w:rsid w:val="00DD4BBF"/>
    <w:rsid w:val="00DD4BFE"/>
    <w:rsid w:val="00DD4C5C"/>
    <w:rsid w:val="00DD4C74"/>
    <w:rsid w:val="00DD4CBE"/>
    <w:rsid w:val="00DD4CE5"/>
    <w:rsid w:val="00DD4D3F"/>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DE"/>
    <w:rsid w:val="00DD5623"/>
    <w:rsid w:val="00DD564B"/>
    <w:rsid w:val="00DD56EE"/>
    <w:rsid w:val="00DD56FC"/>
    <w:rsid w:val="00DD570C"/>
    <w:rsid w:val="00DD5737"/>
    <w:rsid w:val="00DD57B7"/>
    <w:rsid w:val="00DD5864"/>
    <w:rsid w:val="00DD588B"/>
    <w:rsid w:val="00DD58D1"/>
    <w:rsid w:val="00DD5915"/>
    <w:rsid w:val="00DD5920"/>
    <w:rsid w:val="00DD595D"/>
    <w:rsid w:val="00DD596B"/>
    <w:rsid w:val="00DD598F"/>
    <w:rsid w:val="00DD59CD"/>
    <w:rsid w:val="00DD59D6"/>
    <w:rsid w:val="00DD59D9"/>
    <w:rsid w:val="00DD5A16"/>
    <w:rsid w:val="00DD5A22"/>
    <w:rsid w:val="00DD5A29"/>
    <w:rsid w:val="00DD5A6C"/>
    <w:rsid w:val="00DD5A86"/>
    <w:rsid w:val="00DD5A95"/>
    <w:rsid w:val="00DD5AAA"/>
    <w:rsid w:val="00DD5AB5"/>
    <w:rsid w:val="00DD5ABD"/>
    <w:rsid w:val="00DD5AC8"/>
    <w:rsid w:val="00DD5AE6"/>
    <w:rsid w:val="00DD5B03"/>
    <w:rsid w:val="00DD5BBB"/>
    <w:rsid w:val="00DD5BF7"/>
    <w:rsid w:val="00DD5C51"/>
    <w:rsid w:val="00DD5C5B"/>
    <w:rsid w:val="00DD5C96"/>
    <w:rsid w:val="00DD5CB0"/>
    <w:rsid w:val="00DD5D2F"/>
    <w:rsid w:val="00DD5D85"/>
    <w:rsid w:val="00DD5DD0"/>
    <w:rsid w:val="00DD5DEB"/>
    <w:rsid w:val="00DD5DF8"/>
    <w:rsid w:val="00DD5E7E"/>
    <w:rsid w:val="00DD5EC8"/>
    <w:rsid w:val="00DD5F32"/>
    <w:rsid w:val="00DD5F39"/>
    <w:rsid w:val="00DD5F73"/>
    <w:rsid w:val="00DD5F82"/>
    <w:rsid w:val="00DD5FCC"/>
    <w:rsid w:val="00DD5FCF"/>
    <w:rsid w:val="00DD5FE8"/>
    <w:rsid w:val="00DD6021"/>
    <w:rsid w:val="00DD6027"/>
    <w:rsid w:val="00DD6107"/>
    <w:rsid w:val="00DD6130"/>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C2E"/>
    <w:rsid w:val="00DD6C61"/>
    <w:rsid w:val="00DD6C88"/>
    <w:rsid w:val="00DD6CBC"/>
    <w:rsid w:val="00DD6CCB"/>
    <w:rsid w:val="00DD6CDC"/>
    <w:rsid w:val="00DD6D09"/>
    <w:rsid w:val="00DD6D15"/>
    <w:rsid w:val="00DD6D91"/>
    <w:rsid w:val="00DD6DCF"/>
    <w:rsid w:val="00DD6EDE"/>
    <w:rsid w:val="00DD6EE3"/>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381"/>
    <w:rsid w:val="00DD7420"/>
    <w:rsid w:val="00DD7422"/>
    <w:rsid w:val="00DD7495"/>
    <w:rsid w:val="00DD74A6"/>
    <w:rsid w:val="00DD7553"/>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927"/>
    <w:rsid w:val="00DD796F"/>
    <w:rsid w:val="00DD79DD"/>
    <w:rsid w:val="00DD79DE"/>
    <w:rsid w:val="00DD7A23"/>
    <w:rsid w:val="00DD7A7A"/>
    <w:rsid w:val="00DD7AA2"/>
    <w:rsid w:val="00DD7ACD"/>
    <w:rsid w:val="00DD7AD7"/>
    <w:rsid w:val="00DD7BAD"/>
    <w:rsid w:val="00DD7CB1"/>
    <w:rsid w:val="00DD7D09"/>
    <w:rsid w:val="00DD7D2E"/>
    <w:rsid w:val="00DD7D9B"/>
    <w:rsid w:val="00DD7DD2"/>
    <w:rsid w:val="00DD7E43"/>
    <w:rsid w:val="00DD7EBF"/>
    <w:rsid w:val="00DD7EF7"/>
    <w:rsid w:val="00DD7F07"/>
    <w:rsid w:val="00DD7F0A"/>
    <w:rsid w:val="00DD7F12"/>
    <w:rsid w:val="00DD7F29"/>
    <w:rsid w:val="00DD7FD6"/>
    <w:rsid w:val="00DE00C3"/>
    <w:rsid w:val="00DE0106"/>
    <w:rsid w:val="00DE0122"/>
    <w:rsid w:val="00DE021D"/>
    <w:rsid w:val="00DE023D"/>
    <w:rsid w:val="00DE0253"/>
    <w:rsid w:val="00DE0270"/>
    <w:rsid w:val="00DE02B8"/>
    <w:rsid w:val="00DE02C4"/>
    <w:rsid w:val="00DE02DA"/>
    <w:rsid w:val="00DE02DB"/>
    <w:rsid w:val="00DE02E1"/>
    <w:rsid w:val="00DE034E"/>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AC"/>
    <w:rsid w:val="00DE0AD5"/>
    <w:rsid w:val="00DE0B2C"/>
    <w:rsid w:val="00DE0B5C"/>
    <w:rsid w:val="00DE0BBD"/>
    <w:rsid w:val="00DE0BDB"/>
    <w:rsid w:val="00DE0C06"/>
    <w:rsid w:val="00DE0C0F"/>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10D"/>
    <w:rsid w:val="00DE110F"/>
    <w:rsid w:val="00DE126D"/>
    <w:rsid w:val="00DE12C3"/>
    <w:rsid w:val="00DE12D6"/>
    <w:rsid w:val="00DE12E6"/>
    <w:rsid w:val="00DE1331"/>
    <w:rsid w:val="00DE1335"/>
    <w:rsid w:val="00DE134E"/>
    <w:rsid w:val="00DE1384"/>
    <w:rsid w:val="00DE13C1"/>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99"/>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43"/>
    <w:rsid w:val="00DE1A8D"/>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CC"/>
    <w:rsid w:val="00DE1FF2"/>
    <w:rsid w:val="00DE1FF6"/>
    <w:rsid w:val="00DE2004"/>
    <w:rsid w:val="00DE200B"/>
    <w:rsid w:val="00DE201F"/>
    <w:rsid w:val="00DE203D"/>
    <w:rsid w:val="00DE213B"/>
    <w:rsid w:val="00DE21B0"/>
    <w:rsid w:val="00DE223D"/>
    <w:rsid w:val="00DE2270"/>
    <w:rsid w:val="00DE2287"/>
    <w:rsid w:val="00DE22A6"/>
    <w:rsid w:val="00DE22AD"/>
    <w:rsid w:val="00DE22EB"/>
    <w:rsid w:val="00DE22FF"/>
    <w:rsid w:val="00DE233D"/>
    <w:rsid w:val="00DE2381"/>
    <w:rsid w:val="00DE23E1"/>
    <w:rsid w:val="00DE240B"/>
    <w:rsid w:val="00DE2440"/>
    <w:rsid w:val="00DE2462"/>
    <w:rsid w:val="00DE249A"/>
    <w:rsid w:val="00DE24A1"/>
    <w:rsid w:val="00DE24C6"/>
    <w:rsid w:val="00DE24E1"/>
    <w:rsid w:val="00DE2516"/>
    <w:rsid w:val="00DE2584"/>
    <w:rsid w:val="00DE25AC"/>
    <w:rsid w:val="00DE25B9"/>
    <w:rsid w:val="00DE25C7"/>
    <w:rsid w:val="00DE260B"/>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60"/>
    <w:rsid w:val="00DE2DDA"/>
    <w:rsid w:val="00DE2E18"/>
    <w:rsid w:val="00DE2E26"/>
    <w:rsid w:val="00DE2E4E"/>
    <w:rsid w:val="00DE2FAF"/>
    <w:rsid w:val="00DE2FE2"/>
    <w:rsid w:val="00DE305A"/>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D3"/>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6BA"/>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B3"/>
    <w:rsid w:val="00DE3CCD"/>
    <w:rsid w:val="00DE3D01"/>
    <w:rsid w:val="00DE3D04"/>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3C5"/>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5C"/>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83"/>
    <w:rsid w:val="00DE4CB2"/>
    <w:rsid w:val="00DE4CC6"/>
    <w:rsid w:val="00DE4CEA"/>
    <w:rsid w:val="00DE4CEE"/>
    <w:rsid w:val="00DE4D03"/>
    <w:rsid w:val="00DE4D1F"/>
    <w:rsid w:val="00DE4DC3"/>
    <w:rsid w:val="00DE4DF3"/>
    <w:rsid w:val="00DE4DF9"/>
    <w:rsid w:val="00DE4E4F"/>
    <w:rsid w:val="00DE4E55"/>
    <w:rsid w:val="00DE4E92"/>
    <w:rsid w:val="00DE4EA6"/>
    <w:rsid w:val="00DE4EA8"/>
    <w:rsid w:val="00DE4ECC"/>
    <w:rsid w:val="00DE4ED6"/>
    <w:rsid w:val="00DE4EDE"/>
    <w:rsid w:val="00DE4F11"/>
    <w:rsid w:val="00DE4FF1"/>
    <w:rsid w:val="00DE5040"/>
    <w:rsid w:val="00DE5077"/>
    <w:rsid w:val="00DE50A0"/>
    <w:rsid w:val="00DE5139"/>
    <w:rsid w:val="00DE5187"/>
    <w:rsid w:val="00DE5196"/>
    <w:rsid w:val="00DE519B"/>
    <w:rsid w:val="00DE51BD"/>
    <w:rsid w:val="00DE51C8"/>
    <w:rsid w:val="00DE51D0"/>
    <w:rsid w:val="00DE51F4"/>
    <w:rsid w:val="00DE51FF"/>
    <w:rsid w:val="00DE5215"/>
    <w:rsid w:val="00DE5219"/>
    <w:rsid w:val="00DE523C"/>
    <w:rsid w:val="00DE5281"/>
    <w:rsid w:val="00DE52B0"/>
    <w:rsid w:val="00DE52CC"/>
    <w:rsid w:val="00DE52EB"/>
    <w:rsid w:val="00DE5360"/>
    <w:rsid w:val="00DE53A5"/>
    <w:rsid w:val="00DE5435"/>
    <w:rsid w:val="00DE546F"/>
    <w:rsid w:val="00DE5491"/>
    <w:rsid w:val="00DE54A0"/>
    <w:rsid w:val="00DE54BC"/>
    <w:rsid w:val="00DE54E2"/>
    <w:rsid w:val="00DE556A"/>
    <w:rsid w:val="00DE5578"/>
    <w:rsid w:val="00DE558D"/>
    <w:rsid w:val="00DE55B4"/>
    <w:rsid w:val="00DE55EB"/>
    <w:rsid w:val="00DE5607"/>
    <w:rsid w:val="00DE561C"/>
    <w:rsid w:val="00DE563B"/>
    <w:rsid w:val="00DE5656"/>
    <w:rsid w:val="00DE5677"/>
    <w:rsid w:val="00DE567F"/>
    <w:rsid w:val="00DE5714"/>
    <w:rsid w:val="00DE571A"/>
    <w:rsid w:val="00DE576F"/>
    <w:rsid w:val="00DE5774"/>
    <w:rsid w:val="00DE57AB"/>
    <w:rsid w:val="00DE57AC"/>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8"/>
    <w:rsid w:val="00DE5BBB"/>
    <w:rsid w:val="00DE5BC2"/>
    <w:rsid w:val="00DE5BE8"/>
    <w:rsid w:val="00DE5C53"/>
    <w:rsid w:val="00DE5D87"/>
    <w:rsid w:val="00DE5DD1"/>
    <w:rsid w:val="00DE5E09"/>
    <w:rsid w:val="00DE5E2D"/>
    <w:rsid w:val="00DE5E44"/>
    <w:rsid w:val="00DE5E88"/>
    <w:rsid w:val="00DE5EAC"/>
    <w:rsid w:val="00DE5F20"/>
    <w:rsid w:val="00DE5F6A"/>
    <w:rsid w:val="00DE5F81"/>
    <w:rsid w:val="00DE5FAD"/>
    <w:rsid w:val="00DE6037"/>
    <w:rsid w:val="00DE6078"/>
    <w:rsid w:val="00DE60C9"/>
    <w:rsid w:val="00DE60CF"/>
    <w:rsid w:val="00DE6132"/>
    <w:rsid w:val="00DE613A"/>
    <w:rsid w:val="00DE629F"/>
    <w:rsid w:val="00DE62F0"/>
    <w:rsid w:val="00DE6301"/>
    <w:rsid w:val="00DE632A"/>
    <w:rsid w:val="00DE632D"/>
    <w:rsid w:val="00DE6388"/>
    <w:rsid w:val="00DE638A"/>
    <w:rsid w:val="00DE6422"/>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9E"/>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AC"/>
    <w:rsid w:val="00DE7DE7"/>
    <w:rsid w:val="00DE7DF8"/>
    <w:rsid w:val="00DE7E0F"/>
    <w:rsid w:val="00DE7F1F"/>
    <w:rsid w:val="00DE7F24"/>
    <w:rsid w:val="00DE7F42"/>
    <w:rsid w:val="00DE7FB3"/>
    <w:rsid w:val="00DE7FD0"/>
    <w:rsid w:val="00DF0032"/>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68"/>
    <w:rsid w:val="00DF048A"/>
    <w:rsid w:val="00DF049C"/>
    <w:rsid w:val="00DF04EC"/>
    <w:rsid w:val="00DF04F3"/>
    <w:rsid w:val="00DF04F7"/>
    <w:rsid w:val="00DF0509"/>
    <w:rsid w:val="00DF0531"/>
    <w:rsid w:val="00DF0560"/>
    <w:rsid w:val="00DF0573"/>
    <w:rsid w:val="00DF0576"/>
    <w:rsid w:val="00DF05B3"/>
    <w:rsid w:val="00DF05E5"/>
    <w:rsid w:val="00DF05EB"/>
    <w:rsid w:val="00DF05FD"/>
    <w:rsid w:val="00DF063A"/>
    <w:rsid w:val="00DF0669"/>
    <w:rsid w:val="00DF073F"/>
    <w:rsid w:val="00DF0747"/>
    <w:rsid w:val="00DF077B"/>
    <w:rsid w:val="00DF07B2"/>
    <w:rsid w:val="00DF0801"/>
    <w:rsid w:val="00DF0842"/>
    <w:rsid w:val="00DF0877"/>
    <w:rsid w:val="00DF088F"/>
    <w:rsid w:val="00DF08EF"/>
    <w:rsid w:val="00DF095E"/>
    <w:rsid w:val="00DF0974"/>
    <w:rsid w:val="00DF098D"/>
    <w:rsid w:val="00DF098E"/>
    <w:rsid w:val="00DF09E9"/>
    <w:rsid w:val="00DF0A21"/>
    <w:rsid w:val="00DF0A2B"/>
    <w:rsid w:val="00DF0A6F"/>
    <w:rsid w:val="00DF0A7C"/>
    <w:rsid w:val="00DF0A8C"/>
    <w:rsid w:val="00DF0B22"/>
    <w:rsid w:val="00DF0C71"/>
    <w:rsid w:val="00DF0C79"/>
    <w:rsid w:val="00DF0C83"/>
    <w:rsid w:val="00DF0C9B"/>
    <w:rsid w:val="00DF0C9C"/>
    <w:rsid w:val="00DF0CDD"/>
    <w:rsid w:val="00DF0CDF"/>
    <w:rsid w:val="00DF0D0A"/>
    <w:rsid w:val="00DF0D12"/>
    <w:rsid w:val="00DF0D21"/>
    <w:rsid w:val="00DF0D24"/>
    <w:rsid w:val="00DF0D94"/>
    <w:rsid w:val="00DF0D9F"/>
    <w:rsid w:val="00DF0DCE"/>
    <w:rsid w:val="00DF0DF8"/>
    <w:rsid w:val="00DF0E4C"/>
    <w:rsid w:val="00DF0E8A"/>
    <w:rsid w:val="00DF0EC1"/>
    <w:rsid w:val="00DF0EE5"/>
    <w:rsid w:val="00DF0EEB"/>
    <w:rsid w:val="00DF0F2A"/>
    <w:rsid w:val="00DF0F79"/>
    <w:rsid w:val="00DF0FB2"/>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F9"/>
    <w:rsid w:val="00DF135F"/>
    <w:rsid w:val="00DF13BE"/>
    <w:rsid w:val="00DF13E0"/>
    <w:rsid w:val="00DF1459"/>
    <w:rsid w:val="00DF14B6"/>
    <w:rsid w:val="00DF14C4"/>
    <w:rsid w:val="00DF14D1"/>
    <w:rsid w:val="00DF1528"/>
    <w:rsid w:val="00DF1537"/>
    <w:rsid w:val="00DF155D"/>
    <w:rsid w:val="00DF15AE"/>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02"/>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B13"/>
    <w:rsid w:val="00DF1B31"/>
    <w:rsid w:val="00DF1B39"/>
    <w:rsid w:val="00DF1B44"/>
    <w:rsid w:val="00DF1B4A"/>
    <w:rsid w:val="00DF1B6B"/>
    <w:rsid w:val="00DF1C70"/>
    <w:rsid w:val="00DF1C8F"/>
    <w:rsid w:val="00DF1CA6"/>
    <w:rsid w:val="00DF1CB0"/>
    <w:rsid w:val="00DF1CC3"/>
    <w:rsid w:val="00DF1CF7"/>
    <w:rsid w:val="00DF1D33"/>
    <w:rsid w:val="00DF1D7F"/>
    <w:rsid w:val="00DF1D95"/>
    <w:rsid w:val="00DF1D9D"/>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29"/>
    <w:rsid w:val="00DF21A9"/>
    <w:rsid w:val="00DF21AC"/>
    <w:rsid w:val="00DF21B6"/>
    <w:rsid w:val="00DF21DD"/>
    <w:rsid w:val="00DF2212"/>
    <w:rsid w:val="00DF221D"/>
    <w:rsid w:val="00DF22AE"/>
    <w:rsid w:val="00DF22FC"/>
    <w:rsid w:val="00DF238C"/>
    <w:rsid w:val="00DF23F3"/>
    <w:rsid w:val="00DF2401"/>
    <w:rsid w:val="00DF2431"/>
    <w:rsid w:val="00DF24B7"/>
    <w:rsid w:val="00DF24D1"/>
    <w:rsid w:val="00DF24FB"/>
    <w:rsid w:val="00DF255D"/>
    <w:rsid w:val="00DF2569"/>
    <w:rsid w:val="00DF256E"/>
    <w:rsid w:val="00DF2617"/>
    <w:rsid w:val="00DF261A"/>
    <w:rsid w:val="00DF2656"/>
    <w:rsid w:val="00DF2665"/>
    <w:rsid w:val="00DF26AF"/>
    <w:rsid w:val="00DF26E4"/>
    <w:rsid w:val="00DF26E7"/>
    <w:rsid w:val="00DF272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87"/>
    <w:rsid w:val="00DF2CBE"/>
    <w:rsid w:val="00DF2CD0"/>
    <w:rsid w:val="00DF2D30"/>
    <w:rsid w:val="00DF2DD3"/>
    <w:rsid w:val="00DF2E0F"/>
    <w:rsid w:val="00DF2E41"/>
    <w:rsid w:val="00DF2E52"/>
    <w:rsid w:val="00DF2E9F"/>
    <w:rsid w:val="00DF2EC2"/>
    <w:rsid w:val="00DF2ED2"/>
    <w:rsid w:val="00DF2EEB"/>
    <w:rsid w:val="00DF2FBC"/>
    <w:rsid w:val="00DF2FFA"/>
    <w:rsid w:val="00DF301C"/>
    <w:rsid w:val="00DF306D"/>
    <w:rsid w:val="00DF30CB"/>
    <w:rsid w:val="00DF3136"/>
    <w:rsid w:val="00DF31B3"/>
    <w:rsid w:val="00DF31FA"/>
    <w:rsid w:val="00DF31FC"/>
    <w:rsid w:val="00DF3208"/>
    <w:rsid w:val="00DF325C"/>
    <w:rsid w:val="00DF3302"/>
    <w:rsid w:val="00DF331A"/>
    <w:rsid w:val="00DF3327"/>
    <w:rsid w:val="00DF3369"/>
    <w:rsid w:val="00DF33D0"/>
    <w:rsid w:val="00DF33D3"/>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D7"/>
    <w:rsid w:val="00DF37ED"/>
    <w:rsid w:val="00DF37FA"/>
    <w:rsid w:val="00DF3813"/>
    <w:rsid w:val="00DF386D"/>
    <w:rsid w:val="00DF389B"/>
    <w:rsid w:val="00DF38D5"/>
    <w:rsid w:val="00DF3941"/>
    <w:rsid w:val="00DF3952"/>
    <w:rsid w:val="00DF3967"/>
    <w:rsid w:val="00DF3985"/>
    <w:rsid w:val="00DF39FE"/>
    <w:rsid w:val="00DF3A00"/>
    <w:rsid w:val="00DF3A4C"/>
    <w:rsid w:val="00DF3A52"/>
    <w:rsid w:val="00DF3ADA"/>
    <w:rsid w:val="00DF3AE5"/>
    <w:rsid w:val="00DF3AF5"/>
    <w:rsid w:val="00DF3B11"/>
    <w:rsid w:val="00DF3B5C"/>
    <w:rsid w:val="00DF3B8C"/>
    <w:rsid w:val="00DF3BBE"/>
    <w:rsid w:val="00DF3C09"/>
    <w:rsid w:val="00DF3C22"/>
    <w:rsid w:val="00DF3C29"/>
    <w:rsid w:val="00DF3C58"/>
    <w:rsid w:val="00DF3C60"/>
    <w:rsid w:val="00DF3C84"/>
    <w:rsid w:val="00DF3CF9"/>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192"/>
    <w:rsid w:val="00DF41FE"/>
    <w:rsid w:val="00DF4231"/>
    <w:rsid w:val="00DF42B0"/>
    <w:rsid w:val="00DF42C6"/>
    <w:rsid w:val="00DF42D3"/>
    <w:rsid w:val="00DF42EA"/>
    <w:rsid w:val="00DF431C"/>
    <w:rsid w:val="00DF439C"/>
    <w:rsid w:val="00DF43BC"/>
    <w:rsid w:val="00DF43E5"/>
    <w:rsid w:val="00DF44AD"/>
    <w:rsid w:val="00DF45D1"/>
    <w:rsid w:val="00DF45D6"/>
    <w:rsid w:val="00DF4674"/>
    <w:rsid w:val="00DF470F"/>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BE7"/>
    <w:rsid w:val="00DF4C17"/>
    <w:rsid w:val="00DF4C52"/>
    <w:rsid w:val="00DF4C9B"/>
    <w:rsid w:val="00DF4CF2"/>
    <w:rsid w:val="00DF4D00"/>
    <w:rsid w:val="00DF4D68"/>
    <w:rsid w:val="00DF4DCE"/>
    <w:rsid w:val="00DF4E43"/>
    <w:rsid w:val="00DF4E8F"/>
    <w:rsid w:val="00DF4F3C"/>
    <w:rsid w:val="00DF4F90"/>
    <w:rsid w:val="00DF4FA4"/>
    <w:rsid w:val="00DF4FDD"/>
    <w:rsid w:val="00DF5077"/>
    <w:rsid w:val="00DF5086"/>
    <w:rsid w:val="00DF50B2"/>
    <w:rsid w:val="00DF50FD"/>
    <w:rsid w:val="00DF510E"/>
    <w:rsid w:val="00DF51D1"/>
    <w:rsid w:val="00DF51D5"/>
    <w:rsid w:val="00DF51E1"/>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6FF"/>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EF"/>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16"/>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5F"/>
    <w:rsid w:val="00DF61A1"/>
    <w:rsid w:val="00DF61F5"/>
    <w:rsid w:val="00DF620C"/>
    <w:rsid w:val="00DF621E"/>
    <w:rsid w:val="00DF6231"/>
    <w:rsid w:val="00DF624E"/>
    <w:rsid w:val="00DF6255"/>
    <w:rsid w:val="00DF62F6"/>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6F"/>
    <w:rsid w:val="00DF69BB"/>
    <w:rsid w:val="00DF6A05"/>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F7"/>
    <w:rsid w:val="00DF6D06"/>
    <w:rsid w:val="00DF6E1D"/>
    <w:rsid w:val="00DF6E23"/>
    <w:rsid w:val="00DF6E6A"/>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56"/>
    <w:rsid w:val="00DF7272"/>
    <w:rsid w:val="00DF728D"/>
    <w:rsid w:val="00DF72A9"/>
    <w:rsid w:val="00DF72EA"/>
    <w:rsid w:val="00DF72FA"/>
    <w:rsid w:val="00DF745D"/>
    <w:rsid w:val="00DF74A6"/>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90C"/>
    <w:rsid w:val="00DF79F4"/>
    <w:rsid w:val="00DF7A3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A"/>
    <w:rsid w:val="00DF7C5B"/>
    <w:rsid w:val="00DF7C5F"/>
    <w:rsid w:val="00DF7C6B"/>
    <w:rsid w:val="00DF7C9B"/>
    <w:rsid w:val="00DF7CC7"/>
    <w:rsid w:val="00DF7CD2"/>
    <w:rsid w:val="00DF7CF9"/>
    <w:rsid w:val="00DF7CFC"/>
    <w:rsid w:val="00DF7D6D"/>
    <w:rsid w:val="00DF7D86"/>
    <w:rsid w:val="00DF7D9B"/>
    <w:rsid w:val="00DF7DBC"/>
    <w:rsid w:val="00DF7DDB"/>
    <w:rsid w:val="00DF7DE8"/>
    <w:rsid w:val="00DF7E78"/>
    <w:rsid w:val="00DF7E7F"/>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D"/>
    <w:rsid w:val="00E008C8"/>
    <w:rsid w:val="00E008D4"/>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BD"/>
    <w:rsid w:val="00E00CE9"/>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E9"/>
    <w:rsid w:val="00E01017"/>
    <w:rsid w:val="00E0103D"/>
    <w:rsid w:val="00E0106C"/>
    <w:rsid w:val="00E0108A"/>
    <w:rsid w:val="00E01096"/>
    <w:rsid w:val="00E010C1"/>
    <w:rsid w:val="00E01126"/>
    <w:rsid w:val="00E01186"/>
    <w:rsid w:val="00E011B5"/>
    <w:rsid w:val="00E011CB"/>
    <w:rsid w:val="00E0123B"/>
    <w:rsid w:val="00E01245"/>
    <w:rsid w:val="00E012C3"/>
    <w:rsid w:val="00E01302"/>
    <w:rsid w:val="00E0134B"/>
    <w:rsid w:val="00E01372"/>
    <w:rsid w:val="00E01377"/>
    <w:rsid w:val="00E013E4"/>
    <w:rsid w:val="00E013F7"/>
    <w:rsid w:val="00E01402"/>
    <w:rsid w:val="00E01448"/>
    <w:rsid w:val="00E0145B"/>
    <w:rsid w:val="00E014B5"/>
    <w:rsid w:val="00E0154D"/>
    <w:rsid w:val="00E0156A"/>
    <w:rsid w:val="00E01595"/>
    <w:rsid w:val="00E015AA"/>
    <w:rsid w:val="00E015B0"/>
    <w:rsid w:val="00E015DC"/>
    <w:rsid w:val="00E0160D"/>
    <w:rsid w:val="00E016D4"/>
    <w:rsid w:val="00E016FB"/>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EA"/>
    <w:rsid w:val="00E01B1F"/>
    <w:rsid w:val="00E01B3D"/>
    <w:rsid w:val="00E01B94"/>
    <w:rsid w:val="00E01BA8"/>
    <w:rsid w:val="00E01BB5"/>
    <w:rsid w:val="00E01C09"/>
    <w:rsid w:val="00E01CBE"/>
    <w:rsid w:val="00E01D07"/>
    <w:rsid w:val="00E01D34"/>
    <w:rsid w:val="00E01D40"/>
    <w:rsid w:val="00E01DB9"/>
    <w:rsid w:val="00E01DBC"/>
    <w:rsid w:val="00E01E04"/>
    <w:rsid w:val="00E01E23"/>
    <w:rsid w:val="00E01EA2"/>
    <w:rsid w:val="00E01EC4"/>
    <w:rsid w:val="00E01F16"/>
    <w:rsid w:val="00E01F8D"/>
    <w:rsid w:val="00E02007"/>
    <w:rsid w:val="00E02028"/>
    <w:rsid w:val="00E0203C"/>
    <w:rsid w:val="00E0205B"/>
    <w:rsid w:val="00E020D9"/>
    <w:rsid w:val="00E02140"/>
    <w:rsid w:val="00E021B4"/>
    <w:rsid w:val="00E021E1"/>
    <w:rsid w:val="00E021F9"/>
    <w:rsid w:val="00E022EB"/>
    <w:rsid w:val="00E022ED"/>
    <w:rsid w:val="00E02307"/>
    <w:rsid w:val="00E0230D"/>
    <w:rsid w:val="00E02311"/>
    <w:rsid w:val="00E02326"/>
    <w:rsid w:val="00E023BA"/>
    <w:rsid w:val="00E0248A"/>
    <w:rsid w:val="00E024AD"/>
    <w:rsid w:val="00E0252C"/>
    <w:rsid w:val="00E0256C"/>
    <w:rsid w:val="00E02595"/>
    <w:rsid w:val="00E025AE"/>
    <w:rsid w:val="00E02602"/>
    <w:rsid w:val="00E0260E"/>
    <w:rsid w:val="00E02637"/>
    <w:rsid w:val="00E0263E"/>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A"/>
    <w:rsid w:val="00E02DEB"/>
    <w:rsid w:val="00E02E2A"/>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4F"/>
    <w:rsid w:val="00E031DC"/>
    <w:rsid w:val="00E031F6"/>
    <w:rsid w:val="00E0320E"/>
    <w:rsid w:val="00E03275"/>
    <w:rsid w:val="00E03282"/>
    <w:rsid w:val="00E032DF"/>
    <w:rsid w:val="00E032E7"/>
    <w:rsid w:val="00E03315"/>
    <w:rsid w:val="00E03380"/>
    <w:rsid w:val="00E033A6"/>
    <w:rsid w:val="00E03426"/>
    <w:rsid w:val="00E0344B"/>
    <w:rsid w:val="00E034E5"/>
    <w:rsid w:val="00E03509"/>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5"/>
    <w:rsid w:val="00E03906"/>
    <w:rsid w:val="00E0394D"/>
    <w:rsid w:val="00E03992"/>
    <w:rsid w:val="00E039B1"/>
    <w:rsid w:val="00E039C9"/>
    <w:rsid w:val="00E03A2B"/>
    <w:rsid w:val="00E03A36"/>
    <w:rsid w:val="00E03A55"/>
    <w:rsid w:val="00E03AA8"/>
    <w:rsid w:val="00E03ADE"/>
    <w:rsid w:val="00E03AEE"/>
    <w:rsid w:val="00E03B01"/>
    <w:rsid w:val="00E03B40"/>
    <w:rsid w:val="00E03B51"/>
    <w:rsid w:val="00E03B93"/>
    <w:rsid w:val="00E03BF8"/>
    <w:rsid w:val="00E03C30"/>
    <w:rsid w:val="00E03C55"/>
    <w:rsid w:val="00E03C90"/>
    <w:rsid w:val="00E03D32"/>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A6"/>
    <w:rsid w:val="00E040C3"/>
    <w:rsid w:val="00E040EA"/>
    <w:rsid w:val="00E04119"/>
    <w:rsid w:val="00E0416C"/>
    <w:rsid w:val="00E0416E"/>
    <w:rsid w:val="00E04176"/>
    <w:rsid w:val="00E04180"/>
    <w:rsid w:val="00E041A1"/>
    <w:rsid w:val="00E041AF"/>
    <w:rsid w:val="00E041D7"/>
    <w:rsid w:val="00E041F0"/>
    <w:rsid w:val="00E0421F"/>
    <w:rsid w:val="00E04294"/>
    <w:rsid w:val="00E042CC"/>
    <w:rsid w:val="00E04357"/>
    <w:rsid w:val="00E04397"/>
    <w:rsid w:val="00E04451"/>
    <w:rsid w:val="00E04474"/>
    <w:rsid w:val="00E0449B"/>
    <w:rsid w:val="00E04534"/>
    <w:rsid w:val="00E04537"/>
    <w:rsid w:val="00E0453F"/>
    <w:rsid w:val="00E04563"/>
    <w:rsid w:val="00E045CD"/>
    <w:rsid w:val="00E045F6"/>
    <w:rsid w:val="00E045FF"/>
    <w:rsid w:val="00E0463C"/>
    <w:rsid w:val="00E04699"/>
    <w:rsid w:val="00E046CD"/>
    <w:rsid w:val="00E0477B"/>
    <w:rsid w:val="00E04785"/>
    <w:rsid w:val="00E047C0"/>
    <w:rsid w:val="00E047D2"/>
    <w:rsid w:val="00E04812"/>
    <w:rsid w:val="00E0483A"/>
    <w:rsid w:val="00E0488D"/>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DEE"/>
    <w:rsid w:val="00E04E0C"/>
    <w:rsid w:val="00E04E94"/>
    <w:rsid w:val="00E04E9F"/>
    <w:rsid w:val="00E04EDD"/>
    <w:rsid w:val="00E04F82"/>
    <w:rsid w:val="00E04F8B"/>
    <w:rsid w:val="00E04FB2"/>
    <w:rsid w:val="00E04FDD"/>
    <w:rsid w:val="00E05021"/>
    <w:rsid w:val="00E0505E"/>
    <w:rsid w:val="00E05072"/>
    <w:rsid w:val="00E0507E"/>
    <w:rsid w:val="00E05091"/>
    <w:rsid w:val="00E050C9"/>
    <w:rsid w:val="00E050E1"/>
    <w:rsid w:val="00E051C7"/>
    <w:rsid w:val="00E051CC"/>
    <w:rsid w:val="00E051F2"/>
    <w:rsid w:val="00E05218"/>
    <w:rsid w:val="00E0522C"/>
    <w:rsid w:val="00E05235"/>
    <w:rsid w:val="00E05242"/>
    <w:rsid w:val="00E05246"/>
    <w:rsid w:val="00E052A0"/>
    <w:rsid w:val="00E052E3"/>
    <w:rsid w:val="00E053B8"/>
    <w:rsid w:val="00E053CE"/>
    <w:rsid w:val="00E05437"/>
    <w:rsid w:val="00E0545F"/>
    <w:rsid w:val="00E054AA"/>
    <w:rsid w:val="00E055B9"/>
    <w:rsid w:val="00E0561B"/>
    <w:rsid w:val="00E0568E"/>
    <w:rsid w:val="00E056C8"/>
    <w:rsid w:val="00E05890"/>
    <w:rsid w:val="00E058D7"/>
    <w:rsid w:val="00E05948"/>
    <w:rsid w:val="00E05971"/>
    <w:rsid w:val="00E05972"/>
    <w:rsid w:val="00E059BC"/>
    <w:rsid w:val="00E059DE"/>
    <w:rsid w:val="00E059E7"/>
    <w:rsid w:val="00E05A31"/>
    <w:rsid w:val="00E05A93"/>
    <w:rsid w:val="00E05AA0"/>
    <w:rsid w:val="00E05AB1"/>
    <w:rsid w:val="00E05B0D"/>
    <w:rsid w:val="00E05B66"/>
    <w:rsid w:val="00E05B8F"/>
    <w:rsid w:val="00E05B9E"/>
    <w:rsid w:val="00E05C03"/>
    <w:rsid w:val="00E05C91"/>
    <w:rsid w:val="00E05C92"/>
    <w:rsid w:val="00E05CB5"/>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AA"/>
    <w:rsid w:val="00E064BF"/>
    <w:rsid w:val="00E064CE"/>
    <w:rsid w:val="00E0658D"/>
    <w:rsid w:val="00E0659B"/>
    <w:rsid w:val="00E0659C"/>
    <w:rsid w:val="00E065B2"/>
    <w:rsid w:val="00E06661"/>
    <w:rsid w:val="00E0668A"/>
    <w:rsid w:val="00E066E4"/>
    <w:rsid w:val="00E0670F"/>
    <w:rsid w:val="00E06721"/>
    <w:rsid w:val="00E06779"/>
    <w:rsid w:val="00E0677A"/>
    <w:rsid w:val="00E06844"/>
    <w:rsid w:val="00E06867"/>
    <w:rsid w:val="00E06870"/>
    <w:rsid w:val="00E0687F"/>
    <w:rsid w:val="00E0688A"/>
    <w:rsid w:val="00E068BC"/>
    <w:rsid w:val="00E068E2"/>
    <w:rsid w:val="00E068F3"/>
    <w:rsid w:val="00E0693B"/>
    <w:rsid w:val="00E0693E"/>
    <w:rsid w:val="00E06A03"/>
    <w:rsid w:val="00E06A1C"/>
    <w:rsid w:val="00E06A36"/>
    <w:rsid w:val="00E06A67"/>
    <w:rsid w:val="00E06AB9"/>
    <w:rsid w:val="00E06AC2"/>
    <w:rsid w:val="00E06AF3"/>
    <w:rsid w:val="00E06B47"/>
    <w:rsid w:val="00E06B53"/>
    <w:rsid w:val="00E06B7B"/>
    <w:rsid w:val="00E06C1F"/>
    <w:rsid w:val="00E06C7D"/>
    <w:rsid w:val="00E06C8D"/>
    <w:rsid w:val="00E06C9C"/>
    <w:rsid w:val="00E06CC4"/>
    <w:rsid w:val="00E06D22"/>
    <w:rsid w:val="00E06D42"/>
    <w:rsid w:val="00E06D47"/>
    <w:rsid w:val="00E06D50"/>
    <w:rsid w:val="00E06D59"/>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564"/>
    <w:rsid w:val="00E07582"/>
    <w:rsid w:val="00E07604"/>
    <w:rsid w:val="00E07610"/>
    <w:rsid w:val="00E0763F"/>
    <w:rsid w:val="00E0765D"/>
    <w:rsid w:val="00E07683"/>
    <w:rsid w:val="00E076E9"/>
    <w:rsid w:val="00E07703"/>
    <w:rsid w:val="00E07708"/>
    <w:rsid w:val="00E07740"/>
    <w:rsid w:val="00E0774C"/>
    <w:rsid w:val="00E077CD"/>
    <w:rsid w:val="00E07802"/>
    <w:rsid w:val="00E07889"/>
    <w:rsid w:val="00E078D9"/>
    <w:rsid w:val="00E07903"/>
    <w:rsid w:val="00E0792B"/>
    <w:rsid w:val="00E079A8"/>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4"/>
    <w:rsid w:val="00E07D46"/>
    <w:rsid w:val="00E07DA6"/>
    <w:rsid w:val="00E07DEE"/>
    <w:rsid w:val="00E07DFE"/>
    <w:rsid w:val="00E07E03"/>
    <w:rsid w:val="00E07E31"/>
    <w:rsid w:val="00E07E74"/>
    <w:rsid w:val="00E07EA9"/>
    <w:rsid w:val="00E07EC5"/>
    <w:rsid w:val="00E07FA3"/>
    <w:rsid w:val="00E07FF8"/>
    <w:rsid w:val="00E10037"/>
    <w:rsid w:val="00E10088"/>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4D"/>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DE"/>
    <w:rsid w:val="00E10AE7"/>
    <w:rsid w:val="00E10B04"/>
    <w:rsid w:val="00E10B24"/>
    <w:rsid w:val="00E10B69"/>
    <w:rsid w:val="00E10BB9"/>
    <w:rsid w:val="00E10BEF"/>
    <w:rsid w:val="00E10BF4"/>
    <w:rsid w:val="00E10C04"/>
    <w:rsid w:val="00E10C16"/>
    <w:rsid w:val="00E10C22"/>
    <w:rsid w:val="00E10C29"/>
    <w:rsid w:val="00E10CAB"/>
    <w:rsid w:val="00E10CDA"/>
    <w:rsid w:val="00E10CE7"/>
    <w:rsid w:val="00E10D51"/>
    <w:rsid w:val="00E10D8F"/>
    <w:rsid w:val="00E10DAC"/>
    <w:rsid w:val="00E10DB0"/>
    <w:rsid w:val="00E10DEE"/>
    <w:rsid w:val="00E10E24"/>
    <w:rsid w:val="00E10E29"/>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CB"/>
    <w:rsid w:val="00E111E0"/>
    <w:rsid w:val="00E111E1"/>
    <w:rsid w:val="00E1125A"/>
    <w:rsid w:val="00E11294"/>
    <w:rsid w:val="00E112BC"/>
    <w:rsid w:val="00E112C8"/>
    <w:rsid w:val="00E113D1"/>
    <w:rsid w:val="00E1144A"/>
    <w:rsid w:val="00E1147C"/>
    <w:rsid w:val="00E11493"/>
    <w:rsid w:val="00E114CB"/>
    <w:rsid w:val="00E11552"/>
    <w:rsid w:val="00E1157E"/>
    <w:rsid w:val="00E115A2"/>
    <w:rsid w:val="00E11663"/>
    <w:rsid w:val="00E116A3"/>
    <w:rsid w:val="00E1171D"/>
    <w:rsid w:val="00E11728"/>
    <w:rsid w:val="00E11758"/>
    <w:rsid w:val="00E117EB"/>
    <w:rsid w:val="00E11831"/>
    <w:rsid w:val="00E11847"/>
    <w:rsid w:val="00E1184D"/>
    <w:rsid w:val="00E1185D"/>
    <w:rsid w:val="00E11872"/>
    <w:rsid w:val="00E11883"/>
    <w:rsid w:val="00E11896"/>
    <w:rsid w:val="00E118B2"/>
    <w:rsid w:val="00E118C4"/>
    <w:rsid w:val="00E118E9"/>
    <w:rsid w:val="00E11935"/>
    <w:rsid w:val="00E1195D"/>
    <w:rsid w:val="00E11987"/>
    <w:rsid w:val="00E119A1"/>
    <w:rsid w:val="00E119D8"/>
    <w:rsid w:val="00E119F4"/>
    <w:rsid w:val="00E119F9"/>
    <w:rsid w:val="00E11A3D"/>
    <w:rsid w:val="00E11A40"/>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E4"/>
    <w:rsid w:val="00E11DF6"/>
    <w:rsid w:val="00E11E0C"/>
    <w:rsid w:val="00E11E22"/>
    <w:rsid w:val="00E11E42"/>
    <w:rsid w:val="00E11E5D"/>
    <w:rsid w:val="00E11E94"/>
    <w:rsid w:val="00E11EDD"/>
    <w:rsid w:val="00E11F1F"/>
    <w:rsid w:val="00E11F6A"/>
    <w:rsid w:val="00E11FBF"/>
    <w:rsid w:val="00E11FD5"/>
    <w:rsid w:val="00E1202B"/>
    <w:rsid w:val="00E12037"/>
    <w:rsid w:val="00E12038"/>
    <w:rsid w:val="00E12049"/>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05"/>
    <w:rsid w:val="00E12443"/>
    <w:rsid w:val="00E1247C"/>
    <w:rsid w:val="00E12488"/>
    <w:rsid w:val="00E12500"/>
    <w:rsid w:val="00E12507"/>
    <w:rsid w:val="00E12545"/>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7C"/>
    <w:rsid w:val="00E1338B"/>
    <w:rsid w:val="00E133A1"/>
    <w:rsid w:val="00E13413"/>
    <w:rsid w:val="00E13419"/>
    <w:rsid w:val="00E13422"/>
    <w:rsid w:val="00E13448"/>
    <w:rsid w:val="00E13469"/>
    <w:rsid w:val="00E1349D"/>
    <w:rsid w:val="00E134B9"/>
    <w:rsid w:val="00E134BA"/>
    <w:rsid w:val="00E134E7"/>
    <w:rsid w:val="00E134F2"/>
    <w:rsid w:val="00E134F8"/>
    <w:rsid w:val="00E134FF"/>
    <w:rsid w:val="00E13549"/>
    <w:rsid w:val="00E1356F"/>
    <w:rsid w:val="00E135D4"/>
    <w:rsid w:val="00E135F4"/>
    <w:rsid w:val="00E13691"/>
    <w:rsid w:val="00E136AA"/>
    <w:rsid w:val="00E136C1"/>
    <w:rsid w:val="00E136EE"/>
    <w:rsid w:val="00E13745"/>
    <w:rsid w:val="00E1376D"/>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BC"/>
    <w:rsid w:val="00E13D0A"/>
    <w:rsid w:val="00E13D33"/>
    <w:rsid w:val="00E13D37"/>
    <w:rsid w:val="00E13D62"/>
    <w:rsid w:val="00E13D79"/>
    <w:rsid w:val="00E13DC1"/>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29"/>
    <w:rsid w:val="00E14341"/>
    <w:rsid w:val="00E1434D"/>
    <w:rsid w:val="00E14370"/>
    <w:rsid w:val="00E14374"/>
    <w:rsid w:val="00E143A6"/>
    <w:rsid w:val="00E143CA"/>
    <w:rsid w:val="00E143EC"/>
    <w:rsid w:val="00E1440D"/>
    <w:rsid w:val="00E1442C"/>
    <w:rsid w:val="00E1443C"/>
    <w:rsid w:val="00E14516"/>
    <w:rsid w:val="00E1451E"/>
    <w:rsid w:val="00E14565"/>
    <w:rsid w:val="00E1458B"/>
    <w:rsid w:val="00E14618"/>
    <w:rsid w:val="00E14628"/>
    <w:rsid w:val="00E1462D"/>
    <w:rsid w:val="00E146A7"/>
    <w:rsid w:val="00E14740"/>
    <w:rsid w:val="00E147A7"/>
    <w:rsid w:val="00E147AD"/>
    <w:rsid w:val="00E14806"/>
    <w:rsid w:val="00E14911"/>
    <w:rsid w:val="00E14924"/>
    <w:rsid w:val="00E14963"/>
    <w:rsid w:val="00E14971"/>
    <w:rsid w:val="00E14987"/>
    <w:rsid w:val="00E149A2"/>
    <w:rsid w:val="00E149D3"/>
    <w:rsid w:val="00E14A05"/>
    <w:rsid w:val="00E14A2F"/>
    <w:rsid w:val="00E14ABF"/>
    <w:rsid w:val="00E14AE5"/>
    <w:rsid w:val="00E14B07"/>
    <w:rsid w:val="00E14B10"/>
    <w:rsid w:val="00E14B62"/>
    <w:rsid w:val="00E14BA0"/>
    <w:rsid w:val="00E14BE4"/>
    <w:rsid w:val="00E14BE9"/>
    <w:rsid w:val="00E14C0A"/>
    <w:rsid w:val="00E14C25"/>
    <w:rsid w:val="00E14C47"/>
    <w:rsid w:val="00E14C8B"/>
    <w:rsid w:val="00E14C94"/>
    <w:rsid w:val="00E14CA3"/>
    <w:rsid w:val="00E14D4A"/>
    <w:rsid w:val="00E14D80"/>
    <w:rsid w:val="00E14DB6"/>
    <w:rsid w:val="00E14DD9"/>
    <w:rsid w:val="00E14E83"/>
    <w:rsid w:val="00E14EE2"/>
    <w:rsid w:val="00E14F47"/>
    <w:rsid w:val="00E14F57"/>
    <w:rsid w:val="00E14FCF"/>
    <w:rsid w:val="00E14FD7"/>
    <w:rsid w:val="00E14FD8"/>
    <w:rsid w:val="00E14FE1"/>
    <w:rsid w:val="00E15018"/>
    <w:rsid w:val="00E15022"/>
    <w:rsid w:val="00E15024"/>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A0"/>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1F"/>
    <w:rsid w:val="00E15B75"/>
    <w:rsid w:val="00E15B92"/>
    <w:rsid w:val="00E15B99"/>
    <w:rsid w:val="00E15BD3"/>
    <w:rsid w:val="00E15BFA"/>
    <w:rsid w:val="00E15C5A"/>
    <w:rsid w:val="00E15C6C"/>
    <w:rsid w:val="00E15C9B"/>
    <w:rsid w:val="00E15C9E"/>
    <w:rsid w:val="00E15CBC"/>
    <w:rsid w:val="00E15CCA"/>
    <w:rsid w:val="00E15CD6"/>
    <w:rsid w:val="00E15CEB"/>
    <w:rsid w:val="00E15D3E"/>
    <w:rsid w:val="00E15D8B"/>
    <w:rsid w:val="00E15D9D"/>
    <w:rsid w:val="00E15E27"/>
    <w:rsid w:val="00E15F70"/>
    <w:rsid w:val="00E15FEE"/>
    <w:rsid w:val="00E16023"/>
    <w:rsid w:val="00E16115"/>
    <w:rsid w:val="00E16140"/>
    <w:rsid w:val="00E16200"/>
    <w:rsid w:val="00E1621D"/>
    <w:rsid w:val="00E16235"/>
    <w:rsid w:val="00E1627B"/>
    <w:rsid w:val="00E162BB"/>
    <w:rsid w:val="00E1636F"/>
    <w:rsid w:val="00E1639D"/>
    <w:rsid w:val="00E163BE"/>
    <w:rsid w:val="00E163DD"/>
    <w:rsid w:val="00E163E6"/>
    <w:rsid w:val="00E163FD"/>
    <w:rsid w:val="00E1642D"/>
    <w:rsid w:val="00E164A1"/>
    <w:rsid w:val="00E164D2"/>
    <w:rsid w:val="00E16518"/>
    <w:rsid w:val="00E16580"/>
    <w:rsid w:val="00E16598"/>
    <w:rsid w:val="00E165E2"/>
    <w:rsid w:val="00E16614"/>
    <w:rsid w:val="00E1661B"/>
    <w:rsid w:val="00E1662D"/>
    <w:rsid w:val="00E1665A"/>
    <w:rsid w:val="00E1668B"/>
    <w:rsid w:val="00E16739"/>
    <w:rsid w:val="00E1676D"/>
    <w:rsid w:val="00E1679C"/>
    <w:rsid w:val="00E167A0"/>
    <w:rsid w:val="00E16842"/>
    <w:rsid w:val="00E16848"/>
    <w:rsid w:val="00E16856"/>
    <w:rsid w:val="00E1688E"/>
    <w:rsid w:val="00E1689A"/>
    <w:rsid w:val="00E168BE"/>
    <w:rsid w:val="00E168F6"/>
    <w:rsid w:val="00E16901"/>
    <w:rsid w:val="00E16919"/>
    <w:rsid w:val="00E1698D"/>
    <w:rsid w:val="00E169C2"/>
    <w:rsid w:val="00E169CC"/>
    <w:rsid w:val="00E16A76"/>
    <w:rsid w:val="00E16AA5"/>
    <w:rsid w:val="00E16AAD"/>
    <w:rsid w:val="00E16ACB"/>
    <w:rsid w:val="00E16B28"/>
    <w:rsid w:val="00E16BAE"/>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7029"/>
    <w:rsid w:val="00E170AA"/>
    <w:rsid w:val="00E170B6"/>
    <w:rsid w:val="00E17108"/>
    <w:rsid w:val="00E17123"/>
    <w:rsid w:val="00E17222"/>
    <w:rsid w:val="00E17232"/>
    <w:rsid w:val="00E172B9"/>
    <w:rsid w:val="00E1738C"/>
    <w:rsid w:val="00E173BC"/>
    <w:rsid w:val="00E173C4"/>
    <w:rsid w:val="00E17405"/>
    <w:rsid w:val="00E17434"/>
    <w:rsid w:val="00E174C1"/>
    <w:rsid w:val="00E174CE"/>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80"/>
    <w:rsid w:val="00E178AB"/>
    <w:rsid w:val="00E178C7"/>
    <w:rsid w:val="00E178EF"/>
    <w:rsid w:val="00E1791C"/>
    <w:rsid w:val="00E17956"/>
    <w:rsid w:val="00E17959"/>
    <w:rsid w:val="00E17982"/>
    <w:rsid w:val="00E179D5"/>
    <w:rsid w:val="00E17A0C"/>
    <w:rsid w:val="00E17A23"/>
    <w:rsid w:val="00E17A36"/>
    <w:rsid w:val="00E17AC0"/>
    <w:rsid w:val="00E17BC1"/>
    <w:rsid w:val="00E17BCE"/>
    <w:rsid w:val="00E17BE2"/>
    <w:rsid w:val="00E17BE4"/>
    <w:rsid w:val="00E17C24"/>
    <w:rsid w:val="00E17C4C"/>
    <w:rsid w:val="00E17CBC"/>
    <w:rsid w:val="00E17D16"/>
    <w:rsid w:val="00E17D2B"/>
    <w:rsid w:val="00E17D82"/>
    <w:rsid w:val="00E17DFC"/>
    <w:rsid w:val="00E17E47"/>
    <w:rsid w:val="00E17E6A"/>
    <w:rsid w:val="00E17E89"/>
    <w:rsid w:val="00E17EB5"/>
    <w:rsid w:val="00E17F00"/>
    <w:rsid w:val="00E17F7A"/>
    <w:rsid w:val="00E17F7B"/>
    <w:rsid w:val="00E17F7C"/>
    <w:rsid w:val="00E17F91"/>
    <w:rsid w:val="00E17FA1"/>
    <w:rsid w:val="00E20041"/>
    <w:rsid w:val="00E20053"/>
    <w:rsid w:val="00E20094"/>
    <w:rsid w:val="00E20144"/>
    <w:rsid w:val="00E2017B"/>
    <w:rsid w:val="00E201A4"/>
    <w:rsid w:val="00E201C0"/>
    <w:rsid w:val="00E201FC"/>
    <w:rsid w:val="00E20219"/>
    <w:rsid w:val="00E20284"/>
    <w:rsid w:val="00E202A3"/>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8"/>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6A"/>
    <w:rsid w:val="00E20EC2"/>
    <w:rsid w:val="00E20EE4"/>
    <w:rsid w:val="00E20F4D"/>
    <w:rsid w:val="00E20FCE"/>
    <w:rsid w:val="00E20FFA"/>
    <w:rsid w:val="00E2101B"/>
    <w:rsid w:val="00E2106F"/>
    <w:rsid w:val="00E210AE"/>
    <w:rsid w:val="00E21102"/>
    <w:rsid w:val="00E2110F"/>
    <w:rsid w:val="00E21170"/>
    <w:rsid w:val="00E2119E"/>
    <w:rsid w:val="00E211AC"/>
    <w:rsid w:val="00E211F8"/>
    <w:rsid w:val="00E2124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B3"/>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4E"/>
    <w:rsid w:val="00E21972"/>
    <w:rsid w:val="00E219DF"/>
    <w:rsid w:val="00E219FF"/>
    <w:rsid w:val="00E21A16"/>
    <w:rsid w:val="00E21A5D"/>
    <w:rsid w:val="00E21AD3"/>
    <w:rsid w:val="00E21ADB"/>
    <w:rsid w:val="00E21B18"/>
    <w:rsid w:val="00E21C5B"/>
    <w:rsid w:val="00E21C89"/>
    <w:rsid w:val="00E21C90"/>
    <w:rsid w:val="00E21C95"/>
    <w:rsid w:val="00E21CF1"/>
    <w:rsid w:val="00E21D19"/>
    <w:rsid w:val="00E21D22"/>
    <w:rsid w:val="00E21D37"/>
    <w:rsid w:val="00E21D7B"/>
    <w:rsid w:val="00E21DD1"/>
    <w:rsid w:val="00E21E57"/>
    <w:rsid w:val="00E21F43"/>
    <w:rsid w:val="00E21FAB"/>
    <w:rsid w:val="00E21FFA"/>
    <w:rsid w:val="00E22024"/>
    <w:rsid w:val="00E220D2"/>
    <w:rsid w:val="00E220E6"/>
    <w:rsid w:val="00E220EC"/>
    <w:rsid w:val="00E220F8"/>
    <w:rsid w:val="00E22187"/>
    <w:rsid w:val="00E22197"/>
    <w:rsid w:val="00E2219C"/>
    <w:rsid w:val="00E221A9"/>
    <w:rsid w:val="00E221D3"/>
    <w:rsid w:val="00E221E3"/>
    <w:rsid w:val="00E221FD"/>
    <w:rsid w:val="00E22200"/>
    <w:rsid w:val="00E22224"/>
    <w:rsid w:val="00E222A3"/>
    <w:rsid w:val="00E222A8"/>
    <w:rsid w:val="00E222BC"/>
    <w:rsid w:val="00E222CF"/>
    <w:rsid w:val="00E22343"/>
    <w:rsid w:val="00E22358"/>
    <w:rsid w:val="00E2243A"/>
    <w:rsid w:val="00E22482"/>
    <w:rsid w:val="00E22522"/>
    <w:rsid w:val="00E2255F"/>
    <w:rsid w:val="00E225E8"/>
    <w:rsid w:val="00E225EC"/>
    <w:rsid w:val="00E226C8"/>
    <w:rsid w:val="00E226FB"/>
    <w:rsid w:val="00E22826"/>
    <w:rsid w:val="00E22844"/>
    <w:rsid w:val="00E228BF"/>
    <w:rsid w:val="00E22955"/>
    <w:rsid w:val="00E229B6"/>
    <w:rsid w:val="00E229BF"/>
    <w:rsid w:val="00E229E2"/>
    <w:rsid w:val="00E22A1D"/>
    <w:rsid w:val="00E22A3A"/>
    <w:rsid w:val="00E22A7D"/>
    <w:rsid w:val="00E22AD5"/>
    <w:rsid w:val="00E22AF0"/>
    <w:rsid w:val="00E22B19"/>
    <w:rsid w:val="00E22B2E"/>
    <w:rsid w:val="00E22B45"/>
    <w:rsid w:val="00E22C0C"/>
    <w:rsid w:val="00E22C44"/>
    <w:rsid w:val="00E22C51"/>
    <w:rsid w:val="00E22C9A"/>
    <w:rsid w:val="00E22D5B"/>
    <w:rsid w:val="00E22DF6"/>
    <w:rsid w:val="00E22E0B"/>
    <w:rsid w:val="00E22E28"/>
    <w:rsid w:val="00E22E37"/>
    <w:rsid w:val="00E22E46"/>
    <w:rsid w:val="00E22E47"/>
    <w:rsid w:val="00E22EE3"/>
    <w:rsid w:val="00E22F1B"/>
    <w:rsid w:val="00E22F74"/>
    <w:rsid w:val="00E22F94"/>
    <w:rsid w:val="00E22FBC"/>
    <w:rsid w:val="00E22FF9"/>
    <w:rsid w:val="00E2300F"/>
    <w:rsid w:val="00E23093"/>
    <w:rsid w:val="00E2309C"/>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2C"/>
    <w:rsid w:val="00E23A38"/>
    <w:rsid w:val="00E23A41"/>
    <w:rsid w:val="00E23A97"/>
    <w:rsid w:val="00E23ACF"/>
    <w:rsid w:val="00E23AD5"/>
    <w:rsid w:val="00E23BDA"/>
    <w:rsid w:val="00E23C03"/>
    <w:rsid w:val="00E23C24"/>
    <w:rsid w:val="00E23C40"/>
    <w:rsid w:val="00E23C44"/>
    <w:rsid w:val="00E23C47"/>
    <w:rsid w:val="00E23CFF"/>
    <w:rsid w:val="00E23D10"/>
    <w:rsid w:val="00E23D5A"/>
    <w:rsid w:val="00E23D6E"/>
    <w:rsid w:val="00E23D91"/>
    <w:rsid w:val="00E23D9D"/>
    <w:rsid w:val="00E23E0B"/>
    <w:rsid w:val="00E23E43"/>
    <w:rsid w:val="00E23E73"/>
    <w:rsid w:val="00E23E83"/>
    <w:rsid w:val="00E23F0E"/>
    <w:rsid w:val="00E23F3C"/>
    <w:rsid w:val="00E23FA4"/>
    <w:rsid w:val="00E23FAD"/>
    <w:rsid w:val="00E23FC9"/>
    <w:rsid w:val="00E24102"/>
    <w:rsid w:val="00E2414A"/>
    <w:rsid w:val="00E2417A"/>
    <w:rsid w:val="00E241C7"/>
    <w:rsid w:val="00E241D7"/>
    <w:rsid w:val="00E24232"/>
    <w:rsid w:val="00E24249"/>
    <w:rsid w:val="00E242B6"/>
    <w:rsid w:val="00E2431C"/>
    <w:rsid w:val="00E2432D"/>
    <w:rsid w:val="00E24339"/>
    <w:rsid w:val="00E24395"/>
    <w:rsid w:val="00E243CB"/>
    <w:rsid w:val="00E24432"/>
    <w:rsid w:val="00E2443F"/>
    <w:rsid w:val="00E244DA"/>
    <w:rsid w:val="00E244FA"/>
    <w:rsid w:val="00E2450D"/>
    <w:rsid w:val="00E2451E"/>
    <w:rsid w:val="00E24586"/>
    <w:rsid w:val="00E245BC"/>
    <w:rsid w:val="00E245BF"/>
    <w:rsid w:val="00E245EC"/>
    <w:rsid w:val="00E245FC"/>
    <w:rsid w:val="00E24606"/>
    <w:rsid w:val="00E2460B"/>
    <w:rsid w:val="00E2463D"/>
    <w:rsid w:val="00E24675"/>
    <w:rsid w:val="00E246A7"/>
    <w:rsid w:val="00E246F3"/>
    <w:rsid w:val="00E24700"/>
    <w:rsid w:val="00E24744"/>
    <w:rsid w:val="00E247B0"/>
    <w:rsid w:val="00E24835"/>
    <w:rsid w:val="00E2484D"/>
    <w:rsid w:val="00E24863"/>
    <w:rsid w:val="00E24872"/>
    <w:rsid w:val="00E248A0"/>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25"/>
    <w:rsid w:val="00E24A59"/>
    <w:rsid w:val="00E24AAD"/>
    <w:rsid w:val="00E24B31"/>
    <w:rsid w:val="00E24B7D"/>
    <w:rsid w:val="00E24BCF"/>
    <w:rsid w:val="00E24C09"/>
    <w:rsid w:val="00E24C31"/>
    <w:rsid w:val="00E24C5C"/>
    <w:rsid w:val="00E24C5F"/>
    <w:rsid w:val="00E24CB5"/>
    <w:rsid w:val="00E24CC8"/>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72F"/>
    <w:rsid w:val="00E257B5"/>
    <w:rsid w:val="00E257C0"/>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DA"/>
    <w:rsid w:val="00E25DDD"/>
    <w:rsid w:val="00E25E23"/>
    <w:rsid w:val="00E25E24"/>
    <w:rsid w:val="00E25E47"/>
    <w:rsid w:val="00E25E70"/>
    <w:rsid w:val="00E25E89"/>
    <w:rsid w:val="00E25EA0"/>
    <w:rsid w:val="00E25EBF"/>
    <w:rsid w:val="00E25F03"/>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4E"/>
    <w:rsid w:val="00E2615F"/>
    <w:rsid w:val="00E261E0"/>
    <w:rsid w:val="00E261E9"/>
    <w:rsid w:val="00E26214"/>
    <w:rsid w:val="00E26218"/>
    <w:rsid w:val="00E26221"/>
    <w:rsid w:val="00E26255"/>
    <w:rsid w:val="00E26256"/>
    <w:rsid w:val="00E26296"/>
    <w:rsid w:val="00E262D3"/>
    <w:rsid w:val="00E262DE"/>
    <w:rsid w:val="00E262F0"/>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AB"/>
    <w:rsid w:val="00E267B2"/>
    <w:rsid w:val="00E267E7"/>
    <w:rsid w:val="00E26850"/>
    <w:rsid w:val="00E26852"/>
    <w:rsid w:val="00E2685C"/>
    <w:rsid w:val="00E268B8"/>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3E"/>
    <w:rsid w:val="00E26D5F"/>
    <w:rsid w:val="00E26DA4"/>
    <w:rsid w:val="00E26DF3"/>
    <w:rsid w:val="00E26E1A"/>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8C"/>
    <w:rsid w:val="00E273D6"/>
    <w:rsid w:val="00E27478"/>
    <w:rsid w:val="00E27481"/>
    <w:rsid w:val="00E27511"/>
    <w:rsid w:val="00E27514"/>
    <w:rsid w:val="00E27573"/>
    <w:rsid w:val="00E27578"/>
    <w:rsid w:val="00E275B7"/>
    <w:rsid w:val="00E2764D"/>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2D"/>
    <w:rsid w:val="00E2797B"/>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E"/>
    <w:rsid w:val="00E27DF9"/>
    <w:rsid w:val="00E27F17"/>
    <w:rsid w:val="00E27F38"/>
    <w:rsid w:val="00E27F3A"/>
    <w:rsid w:val="00E27FCA"/>
    <w:rsid w:val="00E27FFD"/>
    <w:rsid w:val="00E3000B"/>
    <w:rsid w:val="00E3001C"/>
    <w:rsid w:val="00E3001F"/>
    <w:rsid w:val="00E30031"/>
    <w:rsid w:val="00E3005E"/>
    <w:rsid w:val="00E3009A"/>
    <w:rsid w:val="00E3010F"/>
    <w:rsid w:val="00E30128"/>
    <w:rsid w:val="00E30187"/>
    <w:rsid w:val="00E30188"/>
    <w:rsid w:val="00E3018C"/>
    <w:rsid w:val="00E3019D"/>
    <w:rsid w:val="00E301A9"/>
    <w:rsid w:val="00E301CD"/>
    <w:rsid w:val="00E301FC"/>
    <w:rsid w:val="00E30229"/>
    <w:rsid w:val="00E30234"/>
    <w:rsid w:val="00E3024A"/>
    <w:rsid w:val="00E302F9"/>
    <w:rsid w:val="00E30301"/>
    <w:rsid w:val="00E3035C"/>
    <w:rsid w:val="00E3036A"/>
    <w:rsid w:val="00E30392"/>
    <w:rsid w:val="00E303C7"/>
    <w:rsid w:val="00E303C9"/>
    <w:rsid w:val="00E303F4"/>
    <w:rsid w:val="00E303F6"/>
    <w:rsid w:val="00E30438"/>
    <w:rsid w:val="00E30442"/>
    <w:rsid w:val="00E3046E"/>
    <w:rsid w:val="00E304B9"/>
    <w:rsid w:val="00E30523"/>
    <w:rsid w:val="00E30536"/>
    <w:rsid w:val="00E3056F"/>
    <w:rsid w:val="00E305B0"/>
    <w:rsid w:val="00E30600"/>
    <w:rsid w:val="00E30613"/>
    <w:rsid w:val="00E3065E"/>
    <w:rsid w:val="00E30666"/>
    <w:rsid w:val="00E3068B"/>
    <w:rsid w:val="00E3070B"/>
    <w:rsid w:val="00E30717"/>
    <w:rsid w:val="00E30761"/>
    <w:rsid w:val="00E3078E"/>
    <w:rsid w:val="00E307A4"/>
    <w:rsid w:val="00E307D6"/>
    <w:rsid w:val="00E307D9"/>
    <w:rsid w:val="00E30811"/>
    <w:rsid w:val="00E30837"/>
    <w:rsid w:val="00E3084C"/>
    <w:rsid w:val="00E30857"/>
    <w:rsid w:val="00E3089B"/>
    <w:rsid w:val="00E30946"/>
    <w:rsid w:val="00E3097C"/>
    <w:rsid w:val="00E309EF"/>
    <w:rsid w:val="00E30A1C"/>
    <w:rsid w:val="00E30A2B"/>
    <w:rsid w:val="00E30A6E"/>
    <w:rsid w:val="00E30A76"/>
    <w:rsid w:val="00E30A95"/>
    <w:rsid w:val="00E30ABF"/>
    <w:rsid w:val="00E30AD1"/>
    <w:rsid w:val="00E30B60"/>
    <w:rsid w:val="00E30BBF"/>
    <w:rsid w:val="00E30C38"/>
    <w:rsid w:val="00E30C45"/>
    <w:rsid w:val="00E30C59"/>
    <w:rsid w:val="00E30C89"/>
    <w:rsid w:val="00E30C92"/>
    <w:rsid w:val="00E30CAD"/>
    <w:rsid w:val="00E30CE7"/>
    <w:rsid w:val="00E30CF6"/>
    <w:rsid w:val="00E30D32"/>
    <w:rsid w:val="00E30D4C"/>
    <w:rsid w:val="00E30DE7"/>
    <w:rsid w:val="00E30DFF"/>
    <w:rsid w:val="00E30E01"/>
    <w:rsid w:val="00E30E11"/>
    <w:rsid w:val="00E30EE6"/>
    <w:rsid w:val="00E30F07"/>
    <w:rsid w:val="00E30F22"/>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A"/>
    <w:rsid w:val="00E318ED"/>
    <w:rsid w:val="00E318F9"/>
    <w:rsid w:val="00E31955"/>
    <w:rsid w:val="00E31961"/>
    <w:rsid w:val="00E319FC"/>
    <w:rsid w:val="00E31A3D"/>
    <w:rsid w:val="00E31A5A"/>
    <w:rsid w:val="00E31A5E"/>
    <w:rsid w:val="00E31A6B"/>
    <w:rsid w:val="00E31A8F"/>
    <w:rsid w:val="00E31AC6"/>
    <w:rsid w:val="00E31AD9"/>
    <w:rsid w:val="00E31B0B"/>
    <w:rsid w:val="00E31B36"/>
    <w:rsid w:val="00E31B57"/>
    <w:rsid w:val="00E31B5D"/>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19"/>
    <w:rsid w:val="00E32224"/>
    <w:rsid w:val="00E32253"/>
    <w:rsid w:val="00E322A0"/>
    <w:rsid w:val="00E322EE"/>
    <w:rsid w:val="00E32325"/>
    <w:rsid w:val="00E32342"/>
    <w:rsid w:val="00E3235A"/>
    <w:rsid w:val="00E3238A"/>
    <w:rsid w:val="00E323DC"/>
    <w:rsid w:val="00E32409"/>
    <w:rsid w:val="00E32491"/>
    <w:rsid w:val="00E324CB"/>
    <w:rsid w:val="00E325FA"/>
    <w:rsid w:val="00E32622"/>
    <w:rsid w:val="00E326E5"/>
    <w:rsid w:val="00E326FA"/>
    <w:rsid w:val="00E326FC"/>
    <w:rsid w:val="00E32720"/>
    <w:rsid w:val="00E3275D"/>
    <w:rsid w:val="00E327AD"/>
    <w:rsid w:val="00E327BC"/>
    <w:rsid w:val="00E327F2"/>
    <w:rsid w:val="00E3284E"/>
    <w:rsid w:val="00E32852"/>
    <w:rsid w:val="00E32869"/>
    <w:rsid w:val="00E32920"/>
    <w:rsid w:val="00E3292E"/>
    <w:rsid w:val="00E3294D"/>
    <w:rsid w:val="00E3297D"/>
    <w:rsid w:val="00E329E6"/>
    <w:rsid w:val="00E32AB1"/>
    <w:rsid w:val="00E32B1D"/>
    <w:rsid w:val="00E32B59"/>
    <w:rsid w:val="00E32B7E"/>
    <w:rsid w:val="00E32B96"/>
    <w:rsid w:val="00E32BE0"/>
    <w:rsid w:val="00E32C0C"/>
    <w:rsid w:val="00E32C39"/>
    <w:rsid w:val="00E32C3A"/>
    <w:rsid w:val="00E32C5F"/>
    <w:rsid w:val="00E32C68"/>
    <w:rsid w:val="00E32C78"/>
    <w:rsid w:val="00E32C9D"/>
    <w:rsid w:val="00E32CC8"/>
    <w:rsid w:val="00E32CDD"/>
    <w:rsid w:val="00E32D1C"/>
    <w:rsid w:val="00E32D62"/>
    <w:rsid w:val="00E32D8A"/>
    <w:rsid w:val="00E32DD6"/>
    <w:rsid w:val="00E32E7E"/>
    <w:rsid w:val="00E32EAC"/>
    <w:rsid w:val="00E32EE1"/>
    <w:rsid w:val="00E32F05"/>
    <w:rsid w:val="00E32F10"/>
    <w:rsid w:val="00E32F6A"/>
    <w:rsid w:val="00E32F88"/>
    <w:rsid w:val="00E32FAB"/>
    <w:rsid w:val="00E33017"/>
    <w:rsid w:val="00E33022"/>
    <w:rsid w:val="00E33029"/>
    <w:rsid w:val="00E33031"/>
    <w:rsid w:val="00E33038"/>
    <w:rsid w:val="00E330AB"/>
    <w:rsid w:val="00E330D1"/>
    <w:rsid w:val="00E330E4"/>
    <w:rsid w:val="00E330EA"/>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02"/>
    <w:rsid w:val="00E3347C"/>
    <w:rsid w:val="00E334AB"/>
    <w:rsid w:val="00E334B6"/>
    <w:rsid w:val="00E3352B"/>
    <w:rsid w:val="00E33586"/>
    <w:rsid w:val="00E33589"/>
    <w:rsid w:val="00E3359D"/>
    <w:rsid w:val="00E335D4"/>
    <w:rsid w:val="00E335DD"/>
    <w:rsid w:val="00E335E0"/>
    <w:rsid w:val="00E335EF"/>
    <w:rsid w:val="00E33609"/>
    <w:rsid w:val="00E3360F"/>
    <w:rsid w:val="00E33649"/>
    <w:rsid w:val="00E336A5"/>
    <w:rsid w:val="00E336B5"/>
    <w:rsid w:val="00E336C7"/>
    <w:rsid w:val="00E336CB"/>
    <w:rsid w:val="00E336E4"/>
    <w:rsid w:val="00E336FF"/>
    <w:rsid w:val="00E33742"/>
    <w:rsid w:val="00E3379E"/>
    <w:rsid w:val="00E337D4"/>
    <w:rsid w:val="00E337F7"/>
    <w:rsid w:val="00E33833"/>
    <w:rsid w:val="00E3384E"/>
    <w:rsid w:val="00E338E4"/>
    <w:rsid w:val="00E338EB"/>
    <w:rsid w:val="00E3390F"/>
    <w:rsid w:val="00E33A21"/>
    <w:rsid w:val="00E33A5A"/>
    <w:rsid w:val="00E33A80"/>
    <w:rsid w:val="00E33AD3"/>
    <w:rsid w:val="00E33B02"/>
    <w:rsid w:val="00E33BA3"/>
    <w:rsid w:val="00E33BA5"/>
    <w:rsid w:val="00E33C4B"/>
    <w:rsid w:val="00E33C84"/>
    <w:rsid w:val="00E33CBF"/>
    <w:rsid w:val="00E33CDA"/>
    <w:rsid w:val="00E33D46"/>
    <w:rsid w:val="00E33D47"/>
    <w:rsid w:val="00E33D56"/>
    <w:rsid w:val="00E33D82"/>
    <w:rsid w:val="00E33E5C"/>
    <w:rsid w:val="00E33EC7"/>
    <w:rsid w:val="00E33ED5"/>
    <w:rsid w:val="00E33EE5"/>
    <w:rsid w:val="00E33EF1"/>
    <w:rsid w:val="00E33EF9"/>
    <w:rsid w:val="00E33F12"/>
    <w:rsid w:val="00E33F35"/>
    <w:rsid w:val="00E33FF0"/>
    <w:rsid w:val="00E34063"/>
    <w:rsid w:val="00E34081"/>
    <w:rsid w:val="00E3409E"/>
    <w:rsid w:val="00E340AD"/>
    <w:rsid w:val="00E340E6"/>
    <w:rsid w:val="00E34131"/>
    <w:rsid w:val="00E3419B"/>
    <w:rsid w:val="00E341CB"/>
    <w:rsid w:val="00E34250"/>
    <w:rsid w:val="00E3425C"/>
    <w:rsid w:val="00E342AD"/>
    <w:rsid w:val="00E342F3"/>
    <w:rsid w:val="00E34305"/>
    <w:rsid w:val="00E34335"/>
    <w:rsid w:val="00E3436D"/>
    <w:rsid w:val="00E34385"/>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AEB"/>
    <w:rsid w:val="00E34BC7"/>
    <w:rsid w:val="00E34CB2"/>
    <w:rsid w:val="00E34CF2"/>
    <w:rsid w:val="00E34D69"/>
    <w:rsid w:val="00E34D6A"/>
    <w:rsid w:val="00E34D9B"/>
    <w:rsid w:val="00E34E1E"/>
    <w:rsid w:val="00E34E71"/>
    <w:rsid w:val="00E34EF9"/>
    <w:rsid w:val="00E34F0E"/>
    <w:rsid w:val="00E34F28"/>
    <w:rsid w:val="00E34F5C"/>
    <w:rsid w:val="00E34F5F"/>
    <w:rsid w:val="00E34F78"/>
    <w:rsid w:val="00E34F90"/>
    <w:rsid w:val="00E34F9A"/>
    <w:rsid w:val="00E34FBA"/>
    <w:rsid w:val="00E35014"/>
    <w:rsid w:val="00E3504C"/>
    <w:rsid w:val="00E35082"/>
    <w:rsid w:val="00E350CC"/>
    <w:rsid w:val="00E350DA"/>
    <w:rsid w:val="00E350F8"/>
    <w:rsid w:val="00E35105"/>
    <w:rsid w:val="00E351BB"/>
    <w:rsid w:val="00E3524B"/>
    <w:rsid w:val="00E3525A"/>
    <w:rsid w:val="00E35282"/>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1F"/>
    <w:rsid w:val="00E359DA"/>
    <w:rsid w:val="00E35B07"/>
    <w:rsid w:val="00E35B0F"/>
    <w:rsid w:val="00E35B36"/>
    <w:rsid w:val="00E35B97"/>
    <w:rsid w:val="00E35BB7"/>
    <w:rsid w:val="00E35BB9"/>
    <w:rsid w:val="00E35BDC"/>
    <w:rsid w:val="00E35BE0"/>
    <w:rsid w:val="00E35C49"/>
    <w:rsid w:val="00E35C59"/>
    <w:rsid w:val="00E35C7D"/>
    <w:rsid w:val="00E35D3E"/>
    <w:rsid w:val="00E35D4E"/>
    <w:rsid w:val="00E35D7E"/>
    <w:rsid w:val="00E35D97"/>
    <w:rsid w:val="00E35DC2"/>
    <w:rsid w:val="00E35DCF"/>
    <w:rsid w:val="00E35E09"/>
    <w:rsid w:val="00E35E6C"/>
    <w:rsid w:val="00E35E9D"/>
    <w:rsid w:val="00E35ECB"/>
    <w:rsid w:val="00E35ED5"/>
    <w:rsid w:val="00E35EFA"/>
    <w:rsid w:val="00E35F00"/>
    <w:rsid w:val="00E35F07"/>
    <w:rsid w:val="00E35FE3"/>
    <w:rsid w:val="00E3600B"/>
    <w:rsid w:val="00E3601C"/>
    <w:rsid w:val="00E3606C"/>
    <w:rsid w:val="00E3609E"/>
    <w:rsid w:val="00E360FC"/>
    <w:rsid w:val="00E36154"/>
    <w:rsid w:val="00E361BC"/>
    <w:rsid w:val="00E361CD"/>
    <w:rsid w:val="00E361F6"/>
    <w:rsid w:val="00E361FF"/>
    <w:rsid w:val="00E362BA"/>
    <w:rsid w:val="00E362D7"/>
    <w:rsid w:val="00E362F8"/>
    <w:rsid w:val="00E3630D"/>
    <w:rsid w:val="00E3630F"/>
    <w:rsid w:val="00E36327"/>
    <w:rsid w:val="00E3634A"/>
    <w:rsid w:val="00E3636E"/>
    <w:rsid w:val="00E363E4"/>
    <w:rsid w:val="00E363EF"/>
    <w:rsid w:val="00E364B5"/>
    <w:rsid w:val="00E364BB"/>
    <w:rsid w:val="00E364CB"/>
    <w:rsid w:val="00E36509"/>
    <w:rsid w:val="00E36579"/>
    <w:rsid w:val="00E36586"/>
    <w:rsid w:val="00E365BE"/>
    <w:rsid w:val="00E365D3"/>
    <w:rsid w:val="00E365F8"/>
    <w:rsid w:val="00E36620"/>
    <w:rsid w:val="00E366C7"/>
    <w:rsid w:val="00E366CC"/>
    <w:rsid w:val="00E36723"/>
    <w:rsid w:val="00E3678B"/>
    <w:rsid w:val="00E36869"/>
    <w:rsid w:val="00E368B2"/>
    <w:rsid w:val="00E3692D"/>
    <w:rsid w:val="00E36951"/>
    <w:rsid w:val="00E36969"/>
    <w:rsid w:val="00E36970"/>
    <w:rsid w:val="00E36B11"/>
    <w:rsid w:val="00E36BED"/>
    <w:rsid w:val="00E36C12"/>
    <w:rsid w:val="00E36C22"/>
    <w:rsid w:val="00E36C2F"/>
    <w:rsid w:val="00E36C3A"/>
    <w:rsid w:val="00E36C58"/>
    <w:rsid w:val="00E36C91"/>
    <w:rsid w:val="00E36CD0"/>
    <w:rsid w:val="00E36CDB"/>
    <w:rsid w:val="00E36D2A"/>
    <w:rsid w:val="00E36D3C"/>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D"/>
    <w:rsid w:val="00E3715A"/>
    <w:rsid w:val="00E371CA"/>
    <w:rsid w:val="00E371E5"/>
    <w:rsid w:val="00E371E8"/>
    <w:rsid w:val="00E37204"/>
    <w:rsid w:val="00E3721A"/>
    <w:rsid w:val="00E372A0"/>
    <w:rsid w:val="00E37349"/>
    <w:rsid w:val="00E37359"/>
    <w:rsid w:val="00E3736B"/>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62"/>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EA"/>
    <w:rsid w:val="00E37AFF"/>
    <w:rsid w:val="00E37B0E"/>
    <w:rsid w:val="00E37B19"/>
    <w:rsid w:val="00E37B6C"/>
    <w:rsid w:val="00E37BA4"/>
    <w:rsid w:val="00E37C7B"/>
    <w:rsid w:val="00E37CCA"/>
    <w:rsid w:val="00E37CCF"/>
    <w:rsid w:val="00E37D42"/>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225"/>
    <w:rsid w:val="00E40243"/>
    <w:rsid w:val="00E4024D"/>
    <w:rsid w:val="00E402B7"/>
    <w:rsid w:val="00E402F3"/>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9F"/>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3C"/>
    <w:rsid w:val="00E40E68"/>
    <w:rsid w:val="00E40E83"/>
    <w:rsid w:val="00E40E8D"/>
    <w:rsid w:val="00E40EE8"/>
    <w:rsid w:val="00E40EED"/>
    <w:rsid w:val="00E40F3F"/>
    <w:rsid w:val="00E40F40"/>
    <w:rsid w:val="00E40F4B"/>
    <w:rsid w:val="00E40F69"/>
    <w:rsid w:val="00E40FC4"/>
    <w:rsid w:val="00E40FD2"/>
    <w:rsid w:val="00E4103D"/>
    <w:rsid w:val="00E41071"/>
    <w:rsid w:val="00E41084"/>
    <w:rsid w:val="00E4109D"/>
    <w:rsid w:val="00E4110E"/>
    <w:rsid w:val="00E4111C"/>
    <w:rsid w:val="00E41189"/>
    <w:rsid w:val="00E4124C"/>
    <w:rsid w:val="00E4128C"/>
    <w:rsid w:val="00E412D5"/>
    <w:rsid w:val="00E412E7"/>
    <w:rsid w:val="00E412FF"/>
    <w:rsid w:val="00E41310"/>
    <w:rsid w:val="00E41316"/>
    <w:rsid w:val="00E41358"/>
    <w:rsid w:val="00E413EB"/>
    <w:rsid w:val="00E413FE"/>
    <w:rsid w:val="00E41491"/>
    <w:rsid w:val="00E41499"/>
    <w:rsid w:val="00E41509"/>
    <w:rsid w:val="00E41516"/>
    <w:rsid w:val="00E41519"/>
    <w:rsid w:val="00E41549"/>
    <w:rsid w:val="00E41607"/>
    <w:rsid w:val="00E41640"/>
    <w:rsid w:val="00E41692"/>
    <w:rsid w:val="00E416A4"/>
    <w:rsid w:val="00E416FB"/>
    <w:rsid w:val="00E41715"/>
    <w:rsid w:val="00E41773"/>
    <w:rsid w:val="00E41780"/>
    <w:rsid w:val="00E4182C"/>
    <w:rsid w:val="00E41875"/>
    <w:rsid w:val="00E418B2"/>
    <w:rsid w:val="00E418B4"/>
    <w:rsid w:val="00E418DB"/>
    <w:rsid w:val="00E41942"/>
    <w:rsid w:val="00E41976"/>
    <w:rsid w:val="00E419BE"/>
    <w:rsid w:val="00E419E4"/>
    <w:rsid w:val="00E419FB"/>
    <w:rsid w:val="00E41A1E"/>
    <w:rsid w:val="00E41A22"/>
    <w:rsid w:val="00E41A7D"/>
    <w:rsid w:val="00E41A85"/>
    <w:rsid w:val="00E41A98"/>
    <w:rsid w:val="00E41AE9"/>
    <w:rsid w:val="00E41AF2"/>
    <w:rsid w:val="00E41AF5"/>
    <w:rsid w:val="00E41B1F"/>
    <w:rsid w:val="00E41B82"/>
    <w:rsid w:val="00E41B9D"/>
    <w:rsid w:val="00E41BD8"/>
    <w:rsid w:val="00E41C04"/>
    <w:rsid w:val="00E41C0D"/>
    <w:rsid w:val="00E41C63"/>
    <w:rsid w:val="00E41C68"/>
    <w:rsid w:val="00E41C6E"/>
    <w:rsid w:val="00E41CAB"/>
    <w:rsid w:val="00E41D61"/>
    <w:rsid w:val="00E41DCE"/>
    <w:rsid w:val="00E41DD8"/>
    <w:rsid w:val="00E41DE1"/>
    <w:rsid w:val="00E41E06"/>
    <w:rsid w:val="00E41E65"/>
    <w:rsid w:val="00E41E6C"/>
    <w:rsid w:val="00E41E79"/>
    <w:rsid w:val="00E41EBA"/>
    <w:rsid w:val="00E41ECC"/>
    <w:rsid w:val="00E41F42"/>
    <w:rsid w:val="00E41F89"/>
    <w:rsid w:val="00E41F9C"/>
    <w:rsid w:val="00E41FC4"/>
    <w:rsid w:val="00E4201C"/>
    <w:rsid w:val="00E4203D"/>
    <w:rsid w:val="00E420A9"/>
    <w:rsid w:val="00E420EC"/>
    <w:rsid w:val="00E42111"/>
    <w:rsid w:val="00E42197"/>
    <w:rsid w:val="00E421B5"/>
    <w:rsid w:val="00E421D2"/>
    <w:rsid w:val="00E421DA"/>
    <w:rsid w:val="00E421F1"/>
    <w:rsid w:val="00E42203"/>
    <w:rsid w:val="00E42214"/>
    <w:rsid w:val="00E4221B"/>
    <w:rsid w:val="00E42226"/>
    <w:rsid w:val="00E4226E"/>
    <w:rsid w:val="00E422AB"/>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9B9"/>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05"/>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E"/>
    <w:rsid w:val="00E43984"/>
    <w:rsid w:val="00E43B1D"/>
    <w:rsid w:val="00E43B35"/>
    <w:rsid w:val="00E43B80"/>
    <w:rsid w:val="00E43BCA"/>
    <w:rsid w:val="00E43BF0"/>
    <w:rsid w:val="00E43C1E"/>
    <w:rsid w:val="00E43C68"/>
    <w:rsid w:val="00E43C7C"/>
    <w:rsid w:val="00E43C93"/>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BB"/>
    <w:rsid w:val="00E443D5"/>
    <w:rsid w:val="00E4449C"/>
    <w:rsid w:val="00E44527"/>
    <w:rsid w:val="00E44531"/>
    <w:rsid w:val="00E44546"/>
    <w:rsid w:val="00E44557"/>
    <w:rsid w:val="00E445A0"/>
    <w:rsid w:val="00E445A3"/>
    <w:rsid w:val="00E445B4"/>
    <w:rsid w:val="00E44602"/>
    <w:rsid w:val="00E44628"/>
    <w:rsid w:val="00E44666"/>
    <w:rsid w:val="00E4469D"/>
    <w:rsid w:val="00E446A4"/>
    <w:rsid w:val="00E44751"/>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7C"/>
    <w:rsid w:val="00E44AEC"/>
    <w:rsid w:val="00E44B17"/>
    <w:rsid w:val="00E44B1B"/>
    <w:rsid w:val="00E44B1C"/>
    <w:rsid w:val="00E44B4B"/>
    <w:rsid w:val="00E44B75"/>
    <w:rsid w:val="00E44BB3"/>
    <w:rsid w:val="00E44C00"/>
    <w:rsid w:val="00E44C44"/>
    <w:rsid w:val="00E44C6B"/>
    <w:rsid w:val="00E44C98"/>
    <w:rsid w:val="00E44CBC"/>
    <w:rsid w:val="00E44CCB"/>
    <w:rsid w:val="00E44D2B"/>
    <w:rsid w:val="00E44D68"/>
    <w:rsid w:val="00E44D8E"/>
    <w:rsid w:val="00E44DB1"/>
    <w:rsid w:val="00E44DCA"/>
    <w:rsid w:val="00E44DE5"/>
    <w:rsid w:val="00E44E41"/>
    <w:rsid w:val="00E44E54"/>
    <w:rsid w:val="00E44F74"/>
    <w:rsid w:val="00E44F95"/>
    <w:rsid w:val="00E44FF2"/>
    <w:rsid w:val="00E45015"/>
    <w:rsid w:val="00E45039"/>
    <w:rsid w:val="00E45059"/>
    <w:rsid w:val="00E4506C"/>
    <w:rsid w:val="00E45077"/>
    <w:rsid w:val="00E45085"/>
    <w:rsid w:val="00E45122"/>
    <w:rsid w:val="00E45144"/>
    <w:rsid w:val="00E4515A"/>
    <w:rsid w:val="00E451B1"/>
    <w:rsid w:val="00E451C0"/>
    <w:rsid w:val="00E45238"/>
    <w:rsid w:val="00E45248"/>
    <w:rsid w:val="00E45311"/>
    <w:rsid w:val="00E4531F"/>
    <w:rsid w:val="00E45324"/>
    <w:rsid w:val="00E4533B"/>
    <w:rsid w:val="00E45340"/>
    <w:rsid w:val="00E45380"/>
    <w:rsid w:val="00E453BA"/>
    <w:rsid w:val="00E453C6"/>
    <w:rsid w:val="00E453DF"/>
    <w:rsid w:val="00E453E2"/>
    <w:rsid w:val="00E4541F"/>
    <w:rsid w:val="00E45479"/>
    <w:rsid w:val="00E4547C"/>
    <w:rsid w:val="00E4549A"/>
    <w:rsid w:val="00E454A9"/>
    <w:rsid w:val="00E454BE"/>
    <w:rsid w:val="00E454C6"/>
    <w:rsid w:val="00E45509"/>
    <w:rsid w:val="00E45537"/>
    <w:rsid w:val="00E45551"/>
    <w:rsid w:val="00E45572"/>
    <w:rsid w:val="00E45589"/>
    <w:rsid w:val="00E455B4"/>
    <w:rsid w:val="00E455DC"/>
    <w:rsid w:val="00E455F2"/>
    <w:rsid w:val="00E45693"/>
    <w:rsid w:val="00E45694"/>
    <w:rsid w:val="00E4569E"/>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4"/>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D5"/>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5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69"/>
    <w:rsid w:val="00E4678E"/>
    <w:rsid w:val="00E4679D"/>
    <w:rsid w:val="00E467AB"/>
    <w:rsid w:val="00E467BE"/>
    <w:rsid w:val="00E46829"/>
    <w:rsid w:val="00E4688A"/>
    <w:rsid w:val="00E468B5"/>
    <w:rsid w:val="00E468E0"/>
    <w:rsid w:val="00E468FD"/>
    <w:rsid w:val="00E46919"/>
    <w:rsid w:val="00E469C2"/>
    <w:rsid w:val="00E46A15"/>
    <w:rsid w:val="00E46A23"/>
    <w:rsid w:val="00E46B10"/>
    <w:rsid w:val="00E46B6A"/>
    <w:rsid w:val="00E46B7D"/>
    <w:rsid w:val="00E46B8E"/>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2B3"/>
    <w:rsid w:val="00E4730D"/>
    <w:rsid w:val="00E47338"/>
    <w:rsid w:val="00E473C6"/>
    <w:rsid w:val="00E473DF"/>
    <w:rsid w:val="00E473F8"/>
    <w:rsid w:val="00E47434"/>
    <w:rsid w:val="00E4747C"/>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82"/>
    <w:rsid w:val="00E478E7"/>
    <w:rsid w:val="00E4799B"/>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B8"/>
    <w:rsid w:val="00E47E2E"/>
    <w:rsid w:val="00E47E83"/>
    <w:rsid w:val="00E47ECD"/>
    <w:rsid w:val="00E47ED8"/>
    <w:rsid w:val="00E47F31"/>
    <w:rsid w:val="00E47F39"/>
    <w:rsid w:val="00E47F6C"/>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88"/>
    <w:rsid w:val="00E505CB"/>
    <w:rsid w:val="00E505E5"/>
    <w:rsid w:val="00E506E9"/>
    <w:rsid w:val="00E506EC"/>
    <w:rsid w:val="00E5075B"/>
    <w:rsid w:val="00E5075E"/>
    <w:rsid w:val="00E507A0"/>
    <w:rsid w:val="00E507EE"/>
    <w:rsid w:val="00E5082B"/>
    <w:rsid w:val="00E50838"/>
    <w:rsid w:val="00E50852"/>
    <w:rsid w:val="00E50877"/>
    <w:rsid w:val="00E50878"/>
    <w:rsid w:val="00E5089D"/>
    <w:rsid w:val="00E508BC"/>
    <w:rsid w:val="00E508EC"/>
    <w:rsid w:val="00E508FD"/>
    <w:rsid w:val="00E50A1D"/>
    <w:rsid w:val="00E50A9F"/>
    <w:rsid w:val="00E50AFD"/>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5D"/>
    <w:rsid w:val="00E50FD8"/>
    <w:rsid w:val="00E51060"/>
    <w:rsid w:val="00E510FE"/>
    <w:rsid w:val="00E51128"/>
    <w:rsid w:val="00E511A9"/>
    <w:rsid w:val="00E511B2"/>
    <w:rsid w:val="00E5121E"/>
    <w:rsid w:val="00E51228"/>
    <w:rsid w:val="00E5124D"/>
    <w:rsid w:val="00E5128B"/>
    <w:rsid w:val="00E512AE"/>
    <w:rsid w:val="00E51345"/>
    <w:rsid w:val="00E51399"/>
    <w:rsid w:val="00E513F4"/>
    <w:rsid w:val="00E514A5"/>
    <w:rsid w:val="00E514E4"/>
    <w:rsid w:val="00E514E7"/>
    <w:rsid w:val="00E514FC"/>
    <w:rsid w:val="00E5151E"/>
    <w:rsid w:val="00E51562"/>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701"/>
    <w:rsid w:val="00E5271C"/>
    <w:rsid w:val="00E52747"/>
    <w:rsid w:val="00E52774"/>
    <w:rsid w:val="00E5277F"/>
    <w:rsid w:val="00E52788"/>
    <w:rsid w:val="00E527D2"/>
    <w:rsid w:val="00E52817"/>
    <w:rsid w:val="00E52880"/>
    <w:rsid w:val="00E528C9"/>
    <w:rsid w:val="00E52922"/>
    <w:rsid w:val="00E5297A"/>
    <w:rsid w:val="00E5297F"/>
    <w:rsid w:val="00E52A03"/>
    <w:rsid w:val="00E52A6B"/>
    <w:rsid w:val="00E52AA4"/>
    <w:rsid w:val="00E52AB5"/>
    <w:rsid w:val="00E52ABD"/>
    <w:rsid w:val="00E52B02"/>
    <w:rsid w:val="00E52B0C"/>
    <w:rsid w:val="00E52B12"/>
    <w:rsid w:val="00E52B18"/>
    <w:rsid w:val="00E52B3F"/>
    <w:rsid w:val="00E52B56"/>
    <w:rsid w:val="00E52B60"/>
    <w:rsid w:val="00E52B94"/>
    <w:rsid w:val="00E52BAE"/>
    <w:rsid w:val="00E52BC4"/>
    <w:rsid w:val="00E52BDE"/>
    <w:rsid w:val="00E52BEF"/>
    <w:rsid w:val="00E52BF7"/>
    <w:rsid w:val="00E52C13"/>
    <w:rsid w:val="00E52C95"/>
    <w:rsid w:val="00E52CAF"/>
    <w:rsid w:val="00E52CBD"/>
    <w:rsid w:val="00E52D66"/>
    <w:rsid w:val="00E52D6A"/>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48"/>
    <w:rsid w:val="00E53434"/>
    <w:rsid w:val="00E53474"/>
    <w:rsid w:val="00E534FF"/>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B0"/>
    <w:rsid w:val="00E538D4"/>
    <w:rsid w:val="00E538EC"/>
    <w:rsid w:val="00E5391F"/>
    <w:rsid w:val="00E53936"/>
    <w:rsid w:val="00E5394C"/>
    <w:rsid w:val="00E53950"/>
    <w:rsid w:val="00E53965"/>
    <w:rsid w:val="00E53980"/>
    <w:rsid w:val="00E5398D"/>
    <w:rsid w:val="00E53998"/>
    <w:rsid w:val="00E539A0"/>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32"/>
    <w:rsid w:val="00E53CFE"/>
    <w:rsid w:val="00E53D6D"/>
    <w:rsid w:val="00E53DB7"/>
    <w:rsid w:val="00E53DF9"/>
    <w:rsid w:val="00E53E25"/>
    <w:rsid w:val="00E53E27"/>
    <w:rsid w:val="00E53E43"/>
    <w:rsid w:val="00E53EB9"/>
    <w:rsid w:val="00E53ED6"/>
    <w:rsid w:val="00E53F58"/>
    <w:rsid w:val="00E53F6B"/>
    <w:rsid w:val="00E53F78"/>
    <w:rsid w:val="00E53F7B"/>
    <w:rsid w:val="00E53F8D"/>
    <w:rsid w:val="00E53FCB"/>
    <w:rsid w:val="00E5402E"/>
    <w:rsid w:val="00E54033"/>
    <w:rsid w:val="00E5403E"/>
    <w:rsid w:val="00E54051"/>
    <w:rsid w:val="00E54080"/>
    <w:rsid w:val="00E540B8"/>
    <w:rsid w:val="00E540BF"/>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6C"/>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E"/>
    <w:rsid w:val="00E54C95"/>
    <w:rsid w:val="00E54CFC"/>
    <w:rsid w:val="00E54D67"/>
    <w:rsid w:val="00E54D97"/>
    <w:rsid w:val="00E54DA7"/>
    <w:rsid w:val="00E54E8B"/>
    <w:rsid w:val="00E54ED7"/>
    <w:rsid w:val="00E54EE0"/>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307"/>
    <w:rsid w:val="00E55324"/>
    <w:rsid w:val="00E55329"/>
    <w:rsid w:val="00E5533D"/>
    <w:rsid w:val="00E5533E"/>
    <w:rsid w:val="00E553A5"/>
    <w:rsid w:val="00E55440"/>
    <w:rsid w:val="00E5544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42"/>
    <w:rsid w:val="00E55B8A"/>
    <w:rsid w:val="00E55BC8"/>
    <w:rsid w:val="00E55C31"/>
    <w:rsid w:val="00E55C85"/>
    <w:rsid w:val="00E55D19"/>
    <w:rsid w:val="00E55D9A"/>
    <w:rsid w:val="00E55DB1"/>
    <w:rsid w:val="00E55DD7"/>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A"/>
    <w:rsid w:val="00E5616E"/>
    <w:rsid w:val="00E56188"/>
    <w:rsid w:val="00E561CE"/>
    <w:rsid w:val="00E56212"/>
    <w:rsid w:val="00E5621C"/>
    <w:rsid w:val="00E56294"/>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38"/>
    <w:rsid w:val="00E56B50"/>
    <w:rsid w:val="00E56B5C"/>
    <w:rsid w:val="00E56B6C"/>
    <w:rsid w:val="00E56B8A"/>
    <w:rsid w:val="00E56BE3"/>
    <w:rsid w:val="00E56CAF"/>
    <w:rsid w:val="00E56CC1"/>
    <w:rsid w:val="00E56D6B"/>
    <w:rsid w:val="00E56D83"/>
    <w:rsid w:val="00E56D9D"/>
    <w:rsid w:val="00E56DBD"/>
    <w:rsid w:val="00E56DC8"/>
    <w:rsid w:val="00E56DF5"/>
    <w:rsid w:val="00E56E5C"/>
    <w:rsid w:val="00E56EAB"/>
    <w:rsid w:val="00E56EC0"/>
    <w:rsid w:val="00E56ECE"/>
    <w:rsid w:val="00E56EE2"/>
    <w:rsid w:val="00E56EF8"/>
    <w:rsid w:val="00E56F27"/>
    <w:rsid w:val="00E56F55"/>
    <w:rsid w:val="00E57022"/>
    <w:rsid w:val="00E5705F"/>
    <w:rsid w:val="00E57063"/>
    <w:rsid w:val="00E5709D"/>
    <w:rsid w:val="00E57120"/>
    <w:rsid w:val="00E57121"/>
    <w:rsid w:val="00E5712B"/>
    <w:rsid w:val="00E57162"/>
    <w:rsid w:val="00E571D0"/>
    <w:rsid w:val="00E571E5"/>
    <w:rsid w:val="00E57286"/>
    <w:rsid w:val="00E572C4"/>
    <w:rsid w:val="00E572F1"/>
    <w:rsid w:val="00E5730C"/>
    <w:rsid w:val="00E57333"/>
    <w:rsid w:val="00E5733E"/>
    <w:rsid w:val="00E5735B"/>
    <w:rsid w:val="00E57376"/>
    <w:rsid w:val="00E57381"/>
    <w:rsid w:val="00E573E3"/>
    <w:rsid w:val="00E57408"/>
    <w:rsid w:val="00E5740B"/>
    <w:rsid w:val="00E5744F"/>
    <w:rsid w:val="00E57493"/>
    <w:rsid w:val="00E574DA"/>
    <w:rsid w:val="00E5750A"/>
    <w:rsid w:val="00E57511"/>
    <w:rsid w:val="00E57548"/>
    <w:rsid w:val="00E575C4"/>
    <w:rsid w:val="00E57603"/>
    <w:rsid w:val="00E57605"/>
    <w:rsid w:val="00E5761A"/>
    <w:rsid w:val="00E57666"/>
    <w:rsid w:val="00E57674"/>
    <w:rsid w:val="00E576EE"/>
    <w:rsid w:val="00E5770F"/>
    <w:rsid w:val="00E57754"/>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C"/>
    <w:rsid w:val="00E57CD0"/>
    <w:rsid w:val="00E57D66"/>
    <w:rsid w:val="00E57DB2"/>
    <w:rsid w:val="00E57E0F"/>
    <w:rsid w:val="00E57E2B"/>
    <w:rsid w:val="00E57E45"/>
    <w:rsid w:val="00E57E7B"/>
    <w:rsid w:val="00E57FC0"/>
    <w:rsid w:val="00E60022"/>
    <w:rsid w:val="00E6004D"/>
    <w:rsid w:val="00E6005F"/>
    <w:rsid w:val="00E60087"/>
    <w:rsid w:val="00E6008F"/>
    <w:rsid w:val="00E60095"/>
    <w:rsid w:val="00E600B2"/>
    <w:rsid w:val="00E60150"/>
    <w:rsid w:val="00E601A5"/>
    <w:rsid w:val="00E601B6"/>
    <w:rsid w:val="00E60218"/>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DD"/>
    <w:rsid w:val="00E618DE"/>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28"/>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67"/>
    <w:rsid w:val="00E621AA"/>
    <w:rsid w:val="00E62234"/>
    <w:rsid w:val="00E622A4"/>
    <w:rsid w:val="00E6230D"/>
    <w:rsid w:val="00E62334"/>
    <w:rsid w:val="00E6237C"/>
    <w:rsid w:val="00E623C0"/>
    <w:rsid w:val="00E623C5"/>
    <w:rsid w:val="00E623D2"/>
    <w:rsid w:val="00E62404"/>
    <w:rsid w:val="00E6240A"/>
    <w:rsid w:val="00E62503"/>
    <w:rsid w:val="00E62525"/>
    <w:rsid w:val="00E62654"/>
    <w:rsid w:val="00E6268F"/>
    <w:rsid w:val="00E62697"/>
    <w:rsid w:val="00E62720"/>
    <w:rsid w:val="00E62740"/>
    <w:rsid w:val="00E6275D"/>
    <w:rsid w:val="00E627AC"/>
    <w:rsid w:val="00E627BD"/>
    <w:rsid w:val="00E627DA"/>
    <w:rsid w:val="00E628FF"/>
    <w:rsid w:val="00E62933"/>
    <w:rsid w:val="00E62944"/>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78E"/>
    <w:rsid w:val="00E63794"/>
    <w:rsid w:val="00E6379F"/>
    <w:rsid w:val="00E637A0"/>
    <w:rsid w:val="00E637FB"/>
    <w:rsid w:val="00E63892"/>
    <w:rsid w:val="00E638BE"/>
    <w:rsid w:val="00E638EE"/>
    <w:rsid w:val="00E6395E"/>
    <w:rsid w:val="00E63977"/>
    <w:rsid w:val="00E639A2"/>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2"/>
    <w:rsid w:val="00E63C85"/>
    <w:rsid w:val="00E63CE6"/>
    <w:rsid w:val="00E63D11"/>
    <w:rsid w:val="00E63D1C"/>
    <w:rsid w:val="00E63D23"/>
    <w:rsid w:val="00E63D3A"/>
    <w:rsid w:val="00E63D53"/>
    <w:rsid w:val="00E63D78"/>
    <w:rsid w:val="00E63D84"/>
    <w:rsid w:val="00E63DCD"/>
    <w:rsid w:val="00E63E49"/>
    <w:rsid w:val="00E63E53"/>
    <w:rsid w:val="00E63F12"/>
    <w:rsid w:val="00E63F17"/>
    <w:rsid w:val="00E63FD0"/>
    <w:rsid w:val="00E63FD1"/>
    <w:rsid w:val="00E6402E"/>
    <w:rsid w:val="00E64039"/>
    <w:rsid w:val="00E64147"/>
    <w:rsid w:val="00E64165"/>
    <w:rsid w:val="00E6416A"/>
    <w:rsid w:val="00E641AF"/>
    <w:rsid w:val="00E64204"/>
    <w:rsid w:val="00E6423D"/>
    <w:rsid w:val="00E64256"/>
    <w:rsid w:val="00E64282"/>
    <w:rsid w:val="00E642D0"/>
    <w:rsid w:val="00E64329"/>
    <w:rsid w:val="00E64363"/>
    <w:rsid w:val="00E643F9"/>
    <w:rsid w:val="00E64444"/>
    <w:rsid w:val="00E64453"/>
    <w:rsid w:val="00E64497"/>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AD"/>
    <w:rsid w:val="00E64FFD"/>
    <w:rsid w:val="00E65029"/>
    <w:rsid w:val="00E6502D"/>
    <w:rsid w:val="00E65050"/>
    <w:rsid w:val="00E65062"/>
    <w:rsid w:val="00E65079"/>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D6"/>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AD"/>
    <w:rsid w:val="00E661B2"/>
    <w:rsid w:val="00E661CE"/>
    <w:rsid w:val="00E66200"/>
    <w:rsid w:val="00E66233"/>
    <w:rsid w:val="00E66275"/>
    <w:rsid w:val="00E66281"/>
    <w:rsid w:val="00E66287"/>
    <w:rsid w:val="00E66289"/>
    <w:rsid w:val="00E66358"/>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2"/>
    <w:rsid w:val="00E66B3A"/>
    <w:rsid w:val="00E66B7D"/>
    <w:rsid w:val="00E66B93"/>
    <w:rsid w:val="00E66BAA"/>
    <w:rsid w:val="00E66BB8"/>
    <w:rsid w:val="00E66BE7"/>
    <w:rsid w:val="00E66C0A"/>
    <w:rsid w:val="00E66C31"/>
    <w:rsid w:val="00E66C39"/>
    <w:rsid w:val="00E66C4E"/>
    <w:rsid w:val="00E66C81"/>
    <w:rsid w:val="00E66C9E"/>
    <w:rsid w:val="00E66CB7"/>
    <w:rsid w:val="00E66D0A"/>
    <w:rsid w:val="00E66D6D"/>
    <w:rsid w:val="00E66DC2"/>
    <w:rsid w:val="00E66E21"/>
    <w:rsid w:val="00E66E8D"/>
    <w:rsid w:val="00E66E9B"/>
    <w:rsid w:val="00E66EDF"/>
    <w:rsid w:val="00E66EF7"/>
    <w:rsid w:val="00E66F39"/>
    <w:rsid w:val="00E66F63"/>
    <w:rsid w:val="00E66FBB"/>
    <w:rsid w:val="00E66FBE"/>
    <w:rsid w:val="00E67008"/>
    <w:rsid w:val="00E6705A"/>
    <w:rsid w:val="00E67098"/>
    <w:rsid w:val="00E670A5"/>
    <w:rsid w:val="00E670CE"/>
    <w:rsid w:val="00E6714A"/>
    <w:rsid w:val="00E6719C"/>
    <w:rsid w:val="00E671A3"/>
    <w:rsid w:val="00E671C3"/>
    <w:rsid w:val="00E671F0"/>
    <w:rsid w:val="00E67214"/>
    <w:rsid w:val="00E67270"/>
    <w:rsid w:val="00E672B0"/>
    <w:rsid w:val="00E67341"/>
    <w:rsid w:val="00E673E3"/>
    <w:rsid w:val="00E673E6"/>
    <w:rsid w:val="00E67408"/>
    <w:rsid w:val="00E6740E"/>
    <w:rsid w:val="00E67440"/>
    <w:rsid w:val="00E67466"/>
    <w:rsid w:val="00E6746F"/>
    <w:rsid w:val="00E674C8"/>
    <w:rsid w:val="00E67525"/>
    <w:rsid w:val="00E67554"/>
    <w:rsid w:val="00E67558"/>
    <w:rsid w:val="00E675B1"/>
    <w:rsid w:val="00E67688"/>
    <w:rsid w:val="00E6777D"/>
    <w:rsid w:val="00E677DF"/>
    <w:rsid w:val="00E6785A"/>
    <w:rsid w:val="00E67865"/>
    <w:rsid w:val="00E678C3"/>
    <w:rsid w:val="00E67907"/>
    <w:rsid w:val="00E67912"/>
    <w:rsid w:val="00E67977"/>
    <w:rsid w:val="00E67978"/>
    <w:rsid w:val="00E67997"/>
    <w:rsid w:val="00E679DB"/>
    <w:rsid w:val="00E67A2B"/>
    <w:rsid w:val="00E67A63"/>
    <w:rsid w:val="00E67A87"/>
    <w:rsid w:val="00E67AC0"/>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50"/>
    <w:rsid w:val="00E67F6E"/>
    <w:rsid w:val="00E67F98"/>
    <w:rsid w:val="00E67FDD"/>
    <w:rsid w:val="00E7001D"/>
    <w:rsid w:val="00E70089"/>
    <w:rsid w:val="00E700F5"/>
    <w:rsid w:val="00E700F7"/>
    <w:rsid w:val="00E70119"/>
    <w:rsid w:val="00E70121"/>
    <w:rsid w:val="00E70148"/>
    <w:rsid w:val="00E70155"/>
    <w:rsid w:val="00E7016B"/>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9"/>
    <w:rsid w:val="00E70920"/>
    <w:rsid w:val="00E7092E"/>
    <w:rsid w:val="00E7095C"/>
    <w:rsid w:val="00E709AB"/>
    <w:rsid w:val="00E709EF"/>
    <w:rsid w:val="00E70A62"/>
    <w:rsid w:val="00E70A78"/>
    <w:rsid w:val="00E70B12"/>
    <w:rsid w:val="00E70B41"/>
    <w:rsid w:val="00E70B7D"/>
    <w:rsid w:val="00E70BAC"/>
    <w:rsid w:val="00E70C17"/>
    <w:rsid w:val="00E70C83"/>
    <w:rsid w:val="00E70C87"/>
    <w:rsid w:val="00E70D3A"/>
    <w:rsid w:val="00E70D4F"/>
    <w:rsid w:val="00E70D82"/>
    <w:rsid w:val="00E70DE0"/>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39B"/>
    <w:rsid w:val="00E713B5"/>
    <w:rsid w:val="00E713C5"/>
    <w:rsid w:val="00E71470"/>
    <w:rsid w:val="00E71490"/>
    <w:rsid w:val="00E714AD"/>
    <w:rsid w:val="00E714B7"/>
    <w:rsid w:val="00E71537"/>
    <w:rsid w:val="00E71543"/>
    <w:rsid w:val="00E715B5"/>
    <w:rsid w:val="00E715C0"/>
    <w:rsid w:val="00E71610"/>
    <w:rsid w:val="00E71623"/>
    <w:rsid w:val="00E71642"/>
    <w:rsid w:val="00E71669"/>
    <w:rsid w:val="00E71713"/>
    <w:rsid w:val="00E7172C"/>
    <w:rsid w:val="00E71734"/>
    <w:rsid w:val="00E7173A"/>
    <w:rsid w:val="00E71755"/>
    <w:rsid w:val="00E71774"/>
    <w:rsid w:val="00E71791"/>
    <w:rsid w:val="00E717DB"/>
    <w:rsid w:val="00E71800"/>
    <w:rsid w:val="00E71819"/>
    <w:rsid w:val="00E7183E"/>
    <w:rsid w:val="00E7183F"/>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8A"/>
    <w:rsid w:val="00E71BF9"/>
    <w:rsid w:val="00E71C0F"/>
    <w:rsid w:val="00E71C28"/>
    <w:rsid w:val="00E71C57"/>
    <w:rsid w:val="00E71D11"/>
    <w:rsid w:val="00E71D7C"/>
    <w:rsid w:val="00E71DAC"/>
    <w:rsid w:val="00E71DB4"/>
    <w:rsid w:val="00E71DE5"/>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34"/>
    <w:rsid w:val="00E72173"/>
    <w:rsid w:val="00E7221F"/>
    <w:rsid w:val="00E7227F"/>
    <w:rsid w:val="00E722F4"/>
    <w:rsid w:val="00E72326"/>
    <w:rsid w:val="00E72375"/>
    <w:rsid w:val="00E7242E"/>
    <w:rsid w:val="00E72475"/>
    <w:rsid w:val="00E72496"/>
    <w:rsid w:val="00E7250A"/>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1"/>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23"/>
    <w:rsid w:val="00E72E48"/>
    <w:rsid w:val="00E72E4D"/>
    <w:rsid w:val="00E72E75"/>
    <w:rsid w:val="00E72E83"/>
    <w:rsid w:val="00E72EA6"/>
    <w:rsid w:val="00E72EC3"/>
    <w:rsid w:val="00E72EC4"/>
    <w:rsid w:val="00E72EE9"/>
    <w:rsid w:val="00E72F29"/>
    <w:rsid w:val="00E72F57"/>
    <w:rsid w:val="00E72F6D"/>
    <w:rsid w:val="00E72FCE"/>
    <w:rsid w:val="00E73079"/>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F0"/>
    <w:rsid w:val="00E7343A"/>
    <w:rsid w:val="00E7348E"/>
    <w:rsid w:val="00E734EF"/>
    <w:rsid w:val="00E734F0"/>
    <w:rsid w:val="00E73505"/>
    <w:rsid w:val="00E73534"/>
    <w:rsid w:val="00E73552"/>
    <w:rsid w:val="00E73574"/>
    <w:rsid w:val="00E735BD"/>
    <w:rsid w:val="00E735C5"/>
    <w:rsid w:val="00E735D6"/>
    <w:rsid w:val="00E73601"/>
    <w:rsid w:val="00E73606"/>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A08"/>
    <w:rsid w:val="00E73A28"/>
    <w:rsid w:val="00E73A30"/>
    <w:rsid w:val="00E73AC4"/>
    <w:rsid w:val="00E73AF0"/>
    <w:rsid w:val="00E73B1E"/>
    <w:rsid w:val="00E73B29"/>
    <w:rsid w:val="00E73B99"/>
    <w:rsid w:val="00E73C03"/>
    <w:rsid w:val="00E73C19"/>
    <w:rsid w:val="00E73C43"/>
    <w:rsid w:val="00E73CAC"/>
    <w:rsid w:val="00E73CC2"/>
    <w:rsid w:val="00E73CCB"/>
    <w:rsid w:val="00E73D65"/>
    <w:rsid w:val="00E73D82"/>
    <w:rsid w:val="00E73D8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32"/>
    <w:rsid w:val="00E74981"/>
    <w:rsid w:val="00E749CA"/>
    <w:rsid w:val="00E74A46"/>
    <w:rsid w:val="00E74A4A"/>
    <w:rsid w:val="00E74A5B"/>
    <w:rsid w:val="00E74AC6"/>
    <w:rsid w:val="00E74AD5"/>
    <w:rsid w:val="00E74AE9"/>
    <w:rsid w:val="00E74B0B"/>
    <w:rsid w:val="00E74B0E"/>
    <w:rsid w:val="00E74B78"/>
    <w:rsid w:val="00E74B91"/>
    <w:rsid w:val="00E74BA2"/>
    <w:rsid w:val="00E74BF1"/>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4FCD"/>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A4"/>
    <w:rsid w:val="00E755BE"/>
    <w:rsid w:val="00E755C9"/>
    <w:rsid w:val="00E75601"/>
    <w:rsid w:val="00E75619"/>
    <w:rsid w:val="00E756AC"/>
    <w:rsid w:val="00E756DF"/>
    <w:rsid w:val="00E75716"/>
    <w:rsid w:val="00E757A1"/>
    <w:rsid w:val="00E7581E"/>
    <w:rsid w:val="00E75842"/>
    <w:rsid w:val="00E75862"/>
    <w:rsid w:val="00E75897"/>
    <w:rsid w:val="00E758B4"/>
    <w:rsid w:val="00E75926"/>
    <w:rsid w:val="00E75993"/>
    <w:rsid w:val="00E75996"/>
    <w:rsid w:val="00E759A5"/>
    <w:rsid w:val="00E759AA"/>
    <w:rsid w:val="00E759F3"/>
    <w:rsid w:val="00E75A15"/>
    <w:rsid w:val="00E75A23"/>
    <w:rsid w:val="00E75A77"/>
    <w:rsid w:val="00E75AB3"/>
    <w:rsid w:val="00E75AD0"/>
    <w:rsid w:val="00E75AF6"/>
    <w:rsid w:val="00E75B24"/>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40"/>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F5"/>
    <w:rsid w:val="00E765F9"/>
    <w:rsid w:val="00E7661F"/>
    <w:rsid w:val="00E7662D"/>
    <w:rsid w:val="00E7668B"/>
    <w:rsid w:val="00E766AB"/>
    <w:rsid w:val="00E7671F"/>
    <w:rsid w:val="00E7674A"/>
    <w:rsid w:val="00E767CB"/>
    <w:rsid w:val="00E768D2"/>
    <w:rsid w:val="00E768F1"/>
    <w:rsid w:val="00E768FD"/>
    <w:rsid w:val="00E7693B"/>
    <w:rsid w:val="00E76941"/>
    <w:rsid w:val="00E769E7"/>
    <w:rsid w:val="00E76A02"/>
    <w:rsid w:val="00E76A1A"/>
    <w:rsid w:val="00E76A39"/>
    <w:rsid w:val="00E76A3A"/>
    <w:rsid w:val="00E76A87"/>
    <w:rsid w:val="00E76AAC"/>
    <w:rsid w:val="00E76AB4"/>
    <w:rsid w:val="00E76AB5"/>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A6"/>
    <w:rsid w:val="00E770A9"/>
    <w:rsid w:val="00E77165"/>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86"/>
    <w:rsid w:val="00E779C2"/>
    <w:rsid w:val="00E779EA"/>
    <w:rsid w:val="00E779FC"/>
    <w:rsid w:val="00E77ACB"/>
    <w:rsid w:val="00E77ADA"/>
    <w:rsid w:val="00E77B67"/>
    <w:rsid w:val="00E77B69"/>
    <w:rsid w:val="00E77B9F"/>
    <w:rsid w:val="00E77BB2"/>
    <w:rsid w:val="00E77C47"/>
    <w:rsid w:val="00E77C4A"/>
    <w:rsid w:val="00E77C59"/>
    <w:rsid w:val="00E77D4F"/>
    <w:rsid w:val="00E77D5E"/>
    <w:rsid w:val="00E77D68"/>
    <w:rsid w:val="00E77DCB"/>
    <w:rsid w:val="00E77DD0"/>
    <w:rsid w:val="00E77DE9"/>
    <w:rsid w:val="00E77E0E"/>
    <w:rsid w:val="00E77E17"/>
    <w:rsid w:val="00E77E44"/>
    <w:rsid w:val="00E77F49"/>
    <w:rsid w:val="00E77FD6"/>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16"/>
    <w:rsid w:val="00E8032A"/>
    <w:rsid w:val="00E803E3"/>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96B"/>
    <w:rsid w:val="00E80975"/>
    <w:rsid w:val="00E809AF"/>
    <w:rsid w:val="00E80A95"/>
    <w:rsid w:val="00E80AB5"/>
    <w:rsid w:val="00E80AD7"/>
    <w:rsid w:val="00E80ADE"/>
    <w:rsid w:val="00E80B02"/>
    <w:rsid w:val="00E80BA8"/>
    <w:rsid w:val="00E80BD8"/>
    <w:rsid w:val="00E80C07"/>
    <w:rsid w:val="00E80C0A"/>
    <w:rsid w:val="00E80C8C"/>
    <w:rsid w:val="00E80C9D"/>
    <w:rsid w:val="00E80CD7"/>
    <w:rsid w:val="00E80CF5"/>
    <w:rsid w:val="00E80D3B"/>
    <w:rsid w:val="00E80D95"/>
    <w:rsid w:val="00E80DA1"/>
    <w:rsid w:val="00E80DBF"/>
    <w:rsid w:val="00E80DFF"/>
    <w:rsid w:val="00E80E8F"/>
    <w:rsid w:val="00E80EA0"/>
    <w:rsid w:val="00E80F05"/>
    <w:rsid w:val="00E80F39"/>
    <w:rsid w:val="00E80FD5"/>
    <w:rsid w:val="00E80FDF"/>
    <w:rsid w:val="00E81031"/>
    <w:rsid w:val="00E81037"/>
    <w:rsid w:val="00E8104E"/>
    <w:rsid w:val="00E81057"/>
    <w:rsid w:val="00E810BF"/>
    <w:rsid w:val="00E81126"/>
    <w:rsid w:val="00E81146"/>
    <w:rsid w:val="00E811C4"/>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01"/>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B6C"/>
    <w:rsid w:val="00E81B79"/>
    <w:rsid w:val="00E81C23"/>
    <w:rsid w:val="00E81C58"/>
    <w:rsid w:val="00E81CA8"/>
    <w:rsid w:val="00E81CF1"/>
    <w:rsid w:val="00E81DB6"/>
    <w:rsid w:val="00E81DBC"/>
    <w:rsid w:val="00E81DDA"/>
    <w:rsid w:val="00E81E18"/>
    <w:rsid w:val="00E81E22"/>
    <w:rsid w:val="00E81E4F"/>
    <w:rsid w:val="00E81E8D"/>
    <w:rsid w:val="00E81EE2"/>
    <w:rsid w:val="00E81F3A"/>
    <w:rsid w:val="00E81F87"/>
    <w:rsid w:val="00E81FA6"/>
    <w:rsid w:val="00E82000"/>
    <w:rsid w:val="00E8216F"/>
    <w:rsid w:val="00E82184"/>
    <w:rsid w:val="00E8219F"/>
    <w:rsid w:val="00E821B5"/>
    <w:rsid w:val="00E82205"/>
    <w:rsid w:val="00E82220"/>
    <w:rsid w:val="00E82277"/>
    <w:rsid w:val="00E8230B"/>
    <w:rsid w:val="00E82316"/>
    <w:rsid w:val="00E8236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25"/>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93"/>
    <w:rsid w:val="00E829BD"/>
    <w:rsid w:val="00E829E4"/>
    <w:rsid w:val="00E829E8"/>
    <w:rsid w:val="00E82A39"/>
    <w:rsid w:val="00E82A6B"/>
    <w:rsid w:val="00E82A82"/>
    <w:rsid w:val="00E82B6A"/>
    <w:rsid w:val="00E82BC6"/>
    <w:rsid w:val="00E82C5A"/>
    <w:rsid w:val="00E82C7E"/>
    <w:rsid w:val="00E82C99"/>
    <w:rsid w:val="00E82CA0"/>
    <w:rsid w:val="00E82D0D"/>
    <w:rsid w:val="00E82D73"/>
    <w:rsid w:val="00E82D80"/>
    <w:rsid w:val="00E82D81"/>
    <w:rsid w:val="00E82DA0"/>
    <w:rsid w:val="00E82DBE"/>
    <w:rsid w:val="00E82DDC"/>
    <w:rsid w:val="00E82DED"/>
    <w:rsid w:val="00E82E14"/>
    <w:rsid w:val="00E82EB9"/>
    <w:rsid w:val="00E82ED7"/>
    <w:rsid w:val="00E82EE7"/>
    <w:rsid w:val="00E82F5F"/>
    <w:rsid w:val="00E82F67"/>
    <w:rsid w:val="00E82F80"/>
    <w:rsid w:val="00E82F8D"/>
    <w:rsid w:val="00E82FAD"/>
    <w:rsid w:val="00E82FB3"/>
    <w:rsid w:val="00E82FB4"/>
    <w:rsid w:val="00E82FB9"/>
    <w:rsid w:val="00E82FC4"/>
    <w:rsid w:val="00E82FE0"/>
    <w:rsid w:val="00E8300A"/>
    <w:rsid w:val="00E830CF"/>
    <w:rsid w:val="00E830FF"/>
    <w:rsid w:val="00E8310E"/>
    <w:rsid w:val="00E83131"/>
    <w:rsid w:val="00E8313A"/>
    <w:rsid w:val="00E8314D"/>
    <w:rsid w:val="00E83185"/>
    <w:rsid w:val="00E8319C"/>
    <w:rsid w:val="00E831D2"/>
    <w:rsid w:val="00E831F9"/>
    <w:rsid w:val="00E8321D"/>
    <w:rsid w:val="00E83291"/>
    <w:rsid w:val="00E832A4"/>
    <w:rsid w:val="00E832C9"/>
    <w:rsid w:val="00E832FF"/>
    <w:rsid w:val="00E83312"/>
    <w:rsid w:val="00E83354"/>
    <w:rsid w:val="00E83392"/>
    <w:rsid w:val="00E8343D"/>
    <w:rsid w:val="00E8343E"/>
    <w:rsid w:val="00E83453"/>
    <w:rsid w:val="00E834D4"/>
    <w:rsid w:val="00E83524"/>
    <w:rsid w:val="00E83538"/>
    <w:rsid w:val="00E8354C"/>
    <w:rsid w:val="00E8357F"/>
    <w:rsid w:val="00E83580"/>
    <w:rsid w:val="00E835A4"/>
    <w:rsid w:val="00E835A8"/>
    <w:rsid w:val="00E83719"/>
    <w:rsid w:val="00E83737"/>
    <w:rsid w:val="00E837FE"/>
    <w:rsid w:val="00E83813"/>
    <w:rsid w:val="00E83888"/>
    <w:rsid w:val="00E838EA"/>
    <w:rsid w:val="00E838EE"/>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1C7"/>
    <w:rsid w:val="00E84213"/>
    <w:rsid w:val="00E8422C"/>
    <w:rsid w:val="00E8427C"/>
    <w:rsid w:val="00E84291"/>
    <w:rsid w:val="00E842A7"/>
    <w:rsid w:val="00E842B7"/>
    <w:rsid w:val="00E842C4"/>
    <w:rsid w:val="00E842CD"/>
    <w:rsid w:val="00E842E0"/>
    <w:rsid w:val="00E842E6"/>
    <w:rsid w:val="00E843D3"/>
    <w:rsid w:val="00E84483"/>
    <w:rsid w:val="00E8448D"/>
    <w:rsid w:val="00E844C1"/>
    <w:rsid w:val="00E844D9"/>
    <w:rsid w:val="00E84500"/>
    <w:rsid w:val="00E8459D"/>
    <w:rsid w:val="00E84654"/>
    <w:rsid w:val="00E846B7"/>
    <w:rsid w:val="00E8475A"/>
    <w:rsid w:val="00E8478C"/>
    <w:rsid w:val="00E847CE"/>
    <w:rsid w:val="00E84834"/>
    <w:rsid w:val="00E848F8"/>
    <w:rsid w:val="00E848FD"/>
    <w:rsid w:val="00E84933"/>
    <w:rsid w:val="00E8494D"/>
    <w:rsid w:val="00E84998"/>
    <w:rsid w:val="00E849F9"/>
    <w:rsid w:val="00E84A11"/>
    <w:rsid w:val="00E84A41"/>
    <w:rsid w:val="00E84A46"/>
    <w:rsid w:val="00E84A8D"/>
    <w:rsid w:val="00E84A9C"/>
    <w:rsid w:val="00E84AA1"/>
    <w:rsid w:val="00E84AB6"/>
    <w:rsid w:val="00E84B17"/>
    <w:rsid w:val="00E84B18"/>
    <w:rsid w:val="00E84BB0"/>
    <w:rsid w:val="00E84BCE"/>
    <w:rsid w:val="00E84BD5"/>
    <w:rsid w:val="00E84CF6"/>
    <w:rsid w:val="00E84D23"/>
    <w:rsid w:val="00E84D51"/>
    <w:rsid w:val="00E84D97"/>
    <w:rsid w:val="00E84DD8"/>
    <w:rsid w:val="00E84E15"/>
    <w:rsid w:val="00E84E44"/>
    <w:rsid w:val="00E84ED9"/>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08"/>
    <w:rsid w:val="00E8575B"/>
    <w:rsid w:val="00E8575D"/>
    <w:rsid w:val="00E8577A"/>
    <w:rsid w:val="00E857B6"/>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BA7"/>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1F7"/>
    <w:rsid w:val="00E8625B"/>
    <w:rsid w:val="00E862FE"/>
    <w:rsid w:val="00E86320"/>
    <w:rsid w:val="00E86336"/>
    <w:rsid w:val="00E8634F"/>
    <w:rsid w:val="00E8636F"/>
    <w:rsid w:val="00E863D3"/>
    <w:rsid w:val="00E86492"/>
    <w:rsid w:val="00E8649E"/>
    <w:rsid w:val="00E864C4"/>
    <w:rsid w:val="00E864D2"/>
    <w:rsid w:val="00E8650C"/>
    <w:rsid w:val="00E86517"/>
    <w:rsid w:val="00E86552"/>
    <w:rsid w:val="00E865F0"/>
    <w:rsid w:val="00E865F1"/>
    <w:rsid w:val="00E86602"/>
    <w:rsid w:val="00E86620"/>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F5"/>
    <w:rsid w:val="00E86C3D"/>
    <w:rsid w:val="00E86C75"/>
    <w:rsid w:val="00E86C9A"/>
    <w:rsid w:val="00E86CC4"/>
    <w:rsid w:val="00E86D7E"/>
    <w:rsid w:val="00E86E17"/>
    <w:rsid w:val="00E86E77"/>
    <w:rsid w:val="00E86E96"/>
    <w:rsid w:val="00E86EAA"/>
    <w:rsid w:val="00E86EB6"/>
    <w:rsid w:val="00E86F18"/>
    <w:rsid w:val="00E86F28"/>
    <w:rsid w:val="00E86F64"/>
    <w:rsid w:val="00E86F8D"/>
    <w:rsid w:val="00E86F97"/>
    <w:rsid w:val="00E86FA7"/>
    <w:rsid w:val="00E8704D"/>
    <w:rsid w:val="00E870A3"/>
    <w:rsid w:val="00E870DE"/>
    <w:rsid w:val="00E870E1"/>
    <w:rsid w:val="00E87129"/>
    <w:rsid w:val="00E87176"/>
    <w:rsid w:val="00E8718D"/>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6D"/>
    <w:rsid w:val="00E87677"/>
    <w:rsid w:val="00E876E1"/>
    <w:rsid w:val="00E876F7"/>
    <w:rsid w:val="00E87718"/>
    <w:rsid w:val="00E87758"/>
    <w:rsid w:val="00E87799"/>
    <w:rsid w:val="00E877A1"/>
    <w:rsid w:val="00E877B2"/>
    <w:rsid w:val="00E877C6"/>
    <w:rsid w:val="00E877D7"/>
    <w:rsid w:val="00E87873"/>
    <w:rsid w:val="00E8792B"/>
    <w:rsid w:val="00E87996"/>
    <w:rsid w:val="00E879BA"/>
    <w:rsid w:val="00E879C1"/>
    <w:rsid w:val="00E879F0"/>
    <w:rsid w:val="00E87A06"/>
    <w:rsid w:val="00E87A88"/>
    <w:rsid w:val="00E87B6E"/>
    <w:rsid w:val="00E87BEC"/>
    <w:rsid w:val="00E87C1B"/>
    <w:rsid w:val="00E87C50"/>
    <w:rsid w:val="00E87D3B"/>
    <w:rsid w:val="00E87DAE"/>
    <w:rsid w:val="00E87DB7"/>
    <w:rsid w:val="00E87DC5"/>
    <w:rsid w:val="00E87E14"/>
    <w:rsid w:val="00E87E7C"/>
    <w:rsid w:val="00E87F1B"/>
    <w:rsid w:val="00E87F5F"/>
    <w:rsid w:val="00E90001"/>
    <w:rsid w:val="00E9000B"/>
    <w:rsid w:val="00E9002C"/>
    <w:rsid w:val="00E90053"/>
    <w:rsid w:val="00E9006C"/>
    <w:rsid w:val="00E90077"/>
    <w:rsid w:val="00E90099"/>
    <w:rsid w:val="00E900B2"/>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39"/>
    <w:rsid w:val="00E9084E"/>
    <w:rsid w:val="00E90884"/>
    <w:rsid w:val="00E9097B"/>
    <w:rsid w:val="00E909BE"/>
    <w:rsid w:val="00E909C8"/>
    <w:rsid w:val="00E909CD"/>
    <w:rsid w:val="00E909FE"/>
    <w:rsid w:val="00E90A50"/>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58"/>
    <w:rsid w:val="00E91076"/>
    <w:rsid w:val="00E910C0"/>
    <w:rsid w:val="00E9111A"/>
    <w:rsid w:val="00E91120"/>
    <w:rsid w:val="00E9113D"/>
    <w:rsid w:val="00E9114B"/>
    <w:rsid w:val="00E9115D"/>
    <w:rsid w:val="00E911C2"/>
    <w:rsid w:val="00E91248"/>
    <w:rsid w:val="00E912E4"/>
    <w:rsid w:val="00E91301"/>
    <w:rsid w:val="00E91340"/>
    <w:rsid w:val="00E9134E"/>
    <w:rsid w:val="00E91376"/>
    <w:rsid w:val="00E91415"/>
    <w:rsid w:val="00E9141F"/>
    <w:rsid w:val="00E91421"/>
    <w:rsid w:val="00E91452"/>
    <w:rsid w:val="00E9146F"/>
    <w:rsid w:val="00E9148D"/>
    <w:rsid w:val="00E914FE"/>
    <w:rsid w:val="00E91500"/>
    <w:rsid w:val="00E9152C"/>
    <w:rsid w:val="00E9153F"/>
    <w:rsid w:val="00E91553"/>
    <w:rsid w:val="00E91559"/>
    <w:rsid w:val="00E91590"/>
    <w:rsid w:val="00E915AB"/>
    <w:rsid w:val="00E915CD"/>
    <w:rsid w:val="00E91601"/>
    <w:rsid w:val="00E91614"/>
    <w:rsid w:val="00E9163C"/>
    <w:rsid w:val="00E9164E"/>
    <w:rsid w:val="00E9168B"/>
    <w:rsid w:val="00E9168D"/>
    <w:rsid w:val="00E916D2"/>
    <w:rsid w:val="00E916D9"/>
    <w:rsid w:val="00E91703"/>
    <w:rsid w:val="00E91716"/>
    <w:rsid w:val="00E917E7"/>
    <w:rsid w:val="00E91812"/>
    <w:rsid w:val="00E91816"/>
    <w:rsid w:val="00E9181B"/>
    <w:rsid w:val="00E918A8"/>
    <w:rsid w:val="00E918BE"/>
    <w:rsid w:val="00E918D0"/>
    <w:rsid w:val="00E9196F"/>
    <w:rsid w:val="00E91985"/>
    <w:rsid w:val="00E91A10"/>
    <w:rsid w:val="00E91A2E"/>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FA"/>
    <w:rsid w:val="00E92012"/>
    <w:rsid w:val="00E920E5"/>
    <w:rsid w:val="00E92112"/>
    <w:rsid w:val="00E9215F"/>
    <w:rsid w:val="00E92164"/>
    <w:rsid w:val="00E921BD"/>
    <w:rsid w:val="00E921EE"/>
    <w:rsid w:val="00E9220D"/>
    <w:rsid w:val="00E9226F"/>
    <w:rsid w:val="00E922AD"/>
    <w:rsid w:val="00E922B6"/>
    <w:rsid w:val="00E922C1"/>
    <w:rsid w:val="00E92310"/>
    <w:rsid w:val="00E92315"/>
    <w:rsid w:val="00E92368"/>
    <w:rsid w:val="00E92492"/>
    <w:rsid w:val="00E92518"/>
    <w:rsid w:val="00E9251A"/>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C6"/>
    <w:rsid w:val="00E929D1"/>
    <w:rsid w:val="00E92A37"/>
    <w:rsid w:val="00E92A63"/>
    <w:rsid w:val="00E92A77"/>
    <w:rsid w:val="00E92A99"/>
    <w:rsid w:val="00E92B18"/>
    <w:rsid w:val="00E92BD1"/>
    <w:rsid w:val="00E92BEA"/>
    <w:rsid w:val="00E92C0B"/>
    <w:rsid w:val="00E92C5A"/>
    <w:rsid w:val="00E92C5C"/>
    <w:rsid w:val="00E92CAB"/>
    <w:rsid w:val="00E92D1F"/>
    <w:rsid w:val="00E92D58"/>
    <w:rsid w:val="00E92D74"/>
    <w:rsid w:val="00E92DC0"/>
    <w:rsid w:val="00E92DC2"/>
    <w:rsid w:val="00E92F44"/>
    <w:rsid w:val="00E92F9D"/>
    <w:rsid w:val="00E92FDF"/>
    <w:rsid w:val="00E9301B"/>
    <w:rsid w:val="00E930A8"/>
    <w:rsid w:val="00E930CA"/>
    <w:rsid w:val="00E93291"/>
    <w:rsid w:val="00E9335D"/>
    <w:rsid w:val="00E93365"/>
    <w:rsid w:val="00E933B1"/>
    <w:rsid w:val="00E933ED"/>
    <w:rsid w:val="00E93400"/>
    <w:rsid w:val="00E934A6"/>
    <w:rsid w:val="00E934B4"/>
    <w:rsid w:val="00E93538"/>
    <w:rsid w:val="00E93596"/>
    <w:rsid w:val="00E935A4"/>
    <w:rsid w:val="00E935B5"/>
    <w:rsid w:val="00E935BA"/>
    <w:rsid w:val="00E935C1"/>
    <w:rsid w:val="00E9370A"/>
    <w:rsid w:val="00E93765"/>
    <w:rsid w:val="00E93800"/>
    <w:rsid w:val="00E93837"/>
    <w:rsid w:val="00E9386C"/>
    <w:rsid w:val="00E9390E"/>
    <w:rsid w:val="00E9394F"/>
    <w:rsid w:val="00E93976"/>
    <w:rsid w:val="00E9398A"/>
    <w:rsid w:val="00E93996"/>
    <w:rsid w:val="00E939BB"/>
    <w:rsid w:val="00E93A06"/>
    <w:rsid w:val="00E93A1D"/>
    <w:rsid w:val="00E93A33"/>
    <w:rsid w:val="00E93A51"/>
    <w:rsid w:val="00E93A7B"/>
    <w:rsid w:val="00E93A8A"/>
    <w:rsid w:val="00E93B39"/>
    <w:rsid w:val="00E93B7F"/>
    <w:rsid w:val="00E93BB1"/>
    <w:rsid w:val="00E93BF9"/>
    <w:rsid w:val="00E93C01"/>
    <w:rsid w:val="00E93C2E"/>
    <w:rsid w:val="00E93C4B"/>
    <w:rsid w:val="00E93C5E"/>
    <w:rsid w:val="00E93CD1"/>
    <w:rsid w:val="00E93D07"/>
    <w:rsid w:val="00E93D18"/>
    <w:rsid w:val="00E93D2D"/>
    <w:rsid w:val="00E93D8C"/>
    <w:rsid w:val="00E93DB8"/>
    <w:rsid w:val="00E93DC6"/>
    <w:rsid w:val="00E93DF5"/>
    <w:rsid w:val="00E93E69"/>
    <w:rsid w:val="00E93E7C"/>
    <w:rsid w:val="00E93ED3"/>
    <w:rsid w:val="00E93F0E"/>
    <w:rsid w:val="00E93F87"/>
    <w:rsid w:val="00E93FCB"/>
    <w:rsid w:val="00E93FD4"/>
    <w:rsid w:val="00E94012"/>
    <w:rsid w:val="00E94054"/>
    <w:rsid w:val="00E94056"/>
    <w:rsid w:val="00E94063"/>
    <w:rsid w:val="00E9407B"/>
    <w:rsid w:val="00E94089"/>
    <w:rsid w:val="00E940F1"/>
    <w:rsid w:val="00E940FD"/>
    <w:rsid w:val="00E941C5"/>
    <w:rsid w:val="00E941DD"/>
    <w:rsid w:val="00E94202"/>
    <w:rsid w:val="00E9423D"/>
    <w:rsid w:val="00E94258"/>
    <w:rsid w:val="00E9429D"/>
    <w:rsid w:val="00E942A2"/>
    <w:rsid w:val="00E942AE"/>
    <w:rsid w:val="00E942C8"/>
    <w:rsid w:val="00E942D5"/>
    <w:rsid w:val="00E9432D"/>
    <w:rsid w:val="00E94359"/>
    <w:rsid w:val="00E9435D"/>
    <w:rsid w:val="00E9437B"/>
    <w:rsid w:val="00E9439E"/>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D6"/>
    <w:rsid w:val="00E94BEF"/>
    <w:rsid w:val="00E94C68"/>
    <w:rsid w:val="00E94C87"/>
    <w:rsid w:val="00E94CD6"/>
    <w:rsid w:val="00E94D21"/>
    <w:rsid w:val="00E94D2B"/>
    <w:rsid w:val="00E94D86"/>
    <w:rsid w:val="00E94DBB"/>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8"/>
    <w:rsid w:val="00E9578B"/>
    <w:rsid w:val="00E95790"/>
    <w:rsid w:val="00E957C7"/>
    <w:rsid w:val="00E957EB"/>
    <w:rsid w:val="00E9584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E0"/>
    <w:rsid w:val="00E95CE7"/>
    <w:rsid w:val="00E95CF0"/>
    <w:rsid w:val="00E95D0E"/>
    <w:rsid w:val="00E95D28"/>
    <w:rsid w:val="00E95D98"/>
    <w:rsid w:val="00E95DD2"/>
    <w:rsid w:val="00E95E22"/>
    <w:rsid w:val="00E95EB8"/>
    <w:rsid w:val="00E95EBF"/>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D0"/>
    <w:rsid w:val="00E96329"/>
    <w:rsid w:val="00E9633B"/>
    <w:rsid w:val="00E9635A"/>
    <w:rsid w:val="00E9636B"/>
    <w:rsid w:val="00E96372"/>
    <w:rsid w:val="00E96410"/>
    <w:rsid w:val="00E9644D"/>
    <w:rsid w:val="00E9648A"/>
    <w:rsid w:val="00E964AE"/>
    <w:rsid w:val="00E9658E"/>
    <w:rsid w:val="00E9659A"/>
    <w:rsid w:val="00E96623"/>
    <w:rsid w:val="00E9665E"/>
    <w:rsid w:val="00E9666B"/>
    <w:rsid w:val="00E966B4"/>
    <w:rsid w:val="00E966D2"/>
    <w:rsid w:val="00E966D7"/>
    <w:rsid w:val="00E966FE"/>
    <w:rsid w:val="00E96700"/>
    <w:rsid w:val="00E96710"/>
    <w:rsid w:val="00E96781"/>
    <w:rsid w:val="00E96841"/>
    <w:rsid w:val="00E96893"/>
    <w:rsid w:val="00E968A1"/>
    <w:rsid w:val="00E968B9"/>
    <w:rsid w:val="00E9690F"/>
    <w:rsid w:val="00E96918"/>
    <w:rsid w:val="00E96929"/>
    <w:rsid w:val="00E9693E"/>
    <w:rsid w:val="00E9696C"/>
    <w:rsid w:val="00E96981"/>
    <w:rsid w:val="00E969AE"/>
    <w:rsid w:val="00E96ADF"/>
    <w:rsid w:val="00E96B02"/>
    <w:rsid w:val="00E96B38"/>
    <w:rsid w:val="00E96B76"/>
    <w:rsid w:val="00E96B9C"/>
    <w:rsid w:val="00E96BA7"/>
    <w:rsid w:val="00E96BAE"/>
    <w:rsid w:val="00E96C05"/>
    <w:rsid w:val="00E96C81"/>
    <w:rsid w:val="00E96C97"/>
    <w:rsid w:val="00E96D09"/>
    <w:rsid w:val="00E96D2A"/>
    <w:rsid w:val="00E96D82"/>
    <w:rsid w:val="00E96DF2"/>
    <w:rsid w:val="00E96DF8"/>
    <w:rsid w:val="00E96E01"/>
    <w:rsid w:val="00E96E0B"/>
    <w:rsid w:val="00E96E15"/>
    <w:rsid w:val="00E96E1C"/>
    <w:rsid w:val="00E96E43"/>
    <w:rsid w:val="00E96E4E"/>
    <w:rsid w:val="00E96E58"/>
    <w:rsid w:val="00E96E99"/>
    <w:rsid w:val="00E96EF5"/>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2E0"/>
    <w:rsid w:val="00E97334"/>
    <w:rsid w:val="00E9733B"/>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6A"/>
    <w:rsid w:val="00E97887"/>
    <w:rsid w:val="00E9789E"/>
    <w:rsid w:val="00E9798C"/>
    <w:rsid w:val="00E979A2"/>
    <w:rsid w:val="00E979C2"/>
    <w:rsid w:val="00E97A33"/>
    <w:rsid w:val="00E97A5E"/>
    <w:rsid w:val="00E97A8A"/>
    <w:rsid w:val="00E97AA3"/>
    <w:rsid w:val="00E97ADE"/>
    <w:rsid w:val="00E97B05"/>
    <w:rsid w:val="00E97B37"/>
    <w:rsid w:val="00E97B63"/>
    <w:rsid w:val="00E97B8E"/>
    <w:rsid w:val="00E97B8F"/>
    <w:rsid w:val="00E97BE8"/>
    <w:rsid w:val="00E97C32"/>
    <w:rsid w:val="00E97C36"/>
    <w:rsid w:val="00E97C38"/>
    <w:rsid w:val="00E97C3C"/>
    <w:rsid w:val="00E97C8D"/>
    <w:rsid w:val="00E97C95"/>
    <w:rsid w:val="00E97CAA"/>
    <w:rsid w:val="00E97D48"/>
    <w:rsid w:val="00E97D5C"/>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1A"/>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46"/>
    <w:rsid w:val="00EA066D"/>
    <w:rsid w:val="00EA06C1"/>
    <w:rsid w:val="00EA06CB"/>
    <w:rsid w:val="00EA06D8"/>
    <w:rsid w:val="00EA06F2"/>
    <w:rsid w:val="00EA073C"/>
    <w:rsid w:val="00EA074B"/>
    <w:rsid w:val="00EA0776"/>
    <w:rsid w:val="00EA07A3"/>
    <w:rsid w:val="00EA07B2"/>
    <w:rsid w:val="00EA07E9"/>
    <w:rsid w:val="00EA082B"/>
    <w:rsid w:val="00EA0863"/>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7E"/>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0FCF"/>
    <w:rsid w:val="00EA101C"/>
    <w:rsid w:val="00EA1063"/>
    <w:rsid w:val="00EA10A6"/>
    <w:rsid w:val="00EA1112"/>
    <w:rsid w:val="00EA1139"/>
    <w:rsid w:val="00EA1177"/>
    <w:rsid w:val="00EA1197"/>
    <w:rsid w:val="00EA11E3"/>
    <w:rsid w:val="00EA1218"/>
    <w:rsid w:val="00EA1230"/>
    <w:rsid w:val="00EA1243"/>
    <w:rsid w:val="00EA12FC"/>
    <w:rsid w:val="00EA12FD"/>
    <w:rsid w:val="00EA1310"/>
    <w:rsid w:val="00EA1346"/>
    <w:rsid w:val="00EA139E"/>
    <w:rsid w:val="00EA13A5"/>
    <w:rsid w:val="00EA13D1"/>
    <w:rsid w:val="00EA13F0"/>
    <w:rsid w:val="00EA1438"/>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E6"/>
    <w:rsid w:val="00EA195C"/>
    <w:rsid w:val="00EA1986"/>
    <w:rsid w:val="00EA199E"/>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50"/>
    <w:rsid w:val="00EA2FD7"/>
    <w:rsid w:val="00EA3011"/>
    <w:rsid w:val="00EA3070"/>
    <w:rsid w:val="00EA30E4"/>
    <w:rsid w:val="00EA311D"/>
    <w:rsid w:val="00EA3195"/>
    <w:rsid w:val="00EA320E"/>
    <w:rsid w:val="00EA3215"/>
    <w:rsid w:val="00EA3242"/>
    <w:rsid w:val="00EA324B"/>
    <w:rsid w:val="00EA3267"/>
    <w:rsid w:val="00EA327B"/>
    <w:rsid w:val="00EA3291"/>
    <w:rsid w:val="00EA32F3"/>
    <w:rsid w:val="00EA3349"/>
    <w:rsid w:val="00EA334A"/>
    <w:rsid w:val="00EA3465"/>
    <w:rsid w:val="00EA346A"/>
    <w:rsid w:val="00EA349B"/>
    <w:rsid w:val="00EA34A2"/>
    <w:rsid w:val="00EA34AA"/>
    <w:rsid w:val="00EA34BA"/>
    <w:rsid w:val="00EA352A"/>
    <w:rsid w:val="00EA3540"/>
    <w:rsid w:val="00EA3573"/>
    <w:rsid w:val="00EA364F"/>
    <w:rsid w:val="00EA36BA"/>
    <w:rsid w:val="00EA36E1"/>
    <w:rsid w:val="00EA36EC"/>
    <w:rsid w:val="00EA36ED"/>
    <w:rsid w:val="00EA3790"/>
    <w:rsid w:val="00EA37DE"/>
    <w:rsid w:val="00EA37F5"/>
    <w:rsid w:val="00EA3861"/>
    <w:rsid w:val="00EA38BE"/>
    <w:rsid w:val="00EA38C3"/>
    <w:rsid w:val="00EA38DD"/>
    <w:rsid w:val="00EA3956"/>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E20"/>
    <w:rsid w:val="00EA3E45"/>
    <w:rsid w:val="00EA3E4A"/>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5B"/>
    <w:rsid w:val="00EA43C7"/>
    <w:rsid w:val="00EA43D8"/>
    <w:rsid w:val="00EA4404"/>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80"/>
    <w:rsid w:val="00EA4E81"/>
    <w:rsid w:val="00EA4EC5"/>
    <w:rsid w:val="00EA4EEC"/>
    <w:rsid w:val="00EA4EF2"/>
    <w:rsid w:val="00EA4F0B"/>
    <w:rsid w:val="00EA4F17"/>
    <w:rsid w:val="00EA4F1A"/>
    <w:rsid w:val="00EA4F1B"/>
    <w:rsid w:val="00EA4FB1"/>
    <w:rsid w:val="00EA500D"/>
    <w:rsid w:val="00EA5035"/>
    <w:rsid w:val="00EA5052"/>
    <w:rsid w:val="00EA5056"/>
    <w:rsid w:val="00EA5069"/>
    <w:rsid w:val="00EA510A"/>
    <w:rsid w:val="00EA510F"/>
    <w:rsid w:val="00EA5115"/>
    <w:rsid w:val="00EA5121"/>
    <w:rsid w:val="00EA516D"/>
    <w:rsid w:val="00EA5188"/>
    <w:rsid w:val="00EA51F7"/>
    <w:rsid w:val="00EA5200"/>
    <w:rsid w:val="00EA5255"/>
    <w:rsid w:val="00EA52CB"/>
    <w:rsid w:val="00EA52D7"/>
    <w:rsid w:val="00EA5353"/>
    <w:rsid w:val="00EA5383"/>
    <w:rsid w:val="00EA53A9"/>
    <w:rsid w:val="00EA53F7"/>
    <w:rsid w:val="00EA5424"/>
    <w:rsid w:val="00EA5450"/>
    <w:rsid w:val="00EA5459"/>
    <w:rsid w:val="00EA546A"/>
    <w:rsid w:val="00EA547A"/>
    <w:rsid w:val="00EA549D"/>
    <w:rsid w:val="00EA54CA"/>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7D"/>
    <w:rsid w:val="00EA59CD"/>
    <w:rsid w:val="00EA5A1A"/>
    <w:rsid w:val="00EA5A20"/>
    <w:rsid w:val="00EA5A4A"/>
    <w:rsid w:val="00EA5A72"/>
    <w:rsid w:val="00EA5A9C"/>
    <w:rsid w:val="00EA5AA5"/>
    <w:rsid w:val="00EA5AB2"/>
    <w:rsid w:val="00EA5ABA"/>
    <w:rsid w:val="00EA5BD9"/>
    <w:rsid w:val="00EA5BDF"/>
    <w:rsid w:val="00EA5BEA"/>
    <w:rsid w:val="00EA5C1E"/>
    <w:rsid w:val="00EA5C71"/>
    <w:rsid w:val="00EA5C97"/>
    <w:rsid w:val="00EA5CB8"/>
    <w:rsid w:val="00EA5D15"/>
    <w:rsid w:val="00EA5D25"/>
    <w:rsid w:val="00EA5D67"/>
    <w:rsid w:val="00EA5D81"/>
    <w:rsid w:val="00EA5D85"/>
    <w:rsid w:val="00EA5DB7"/>
    <w:rsid w:val="00EA5DD0"/>
    <w:rsid w:val="00EA5DD7"/>
    <w:rsid w:val="00EA5E0D"/>
    <w:rsid w:val="00EA5E2C"/>
    <w:rsid w:val="00EA5E2D"/>
    <w:rsid w:val="00EA5E51"/>
    <w:rsid w:val="00EA5E77"/>
    <w:rsid w:val="00EA5ED4"/>
    <w:rsid w:val="00EA5EEE"/>
    <w:rsid w:val="00EA5EF6"/>
    <w:rsid w:val="00EA5F44"/>
    <w:rsid w:val="00EA5F73"/>
    <w:rsid w:val="00EA6030"/>
    <w:rsid w:val="00EA6068"/>
    <w:rsid w:val="00EA60C1"/>
    <w:rsid w:val="00EA60D5"/>
    <w:rsid w:val="00EA60EB"/>
    <w:rsid w:val="00EA6176"/>
    <w:rsid w:val="00EA61A9"/>
    <w:rsid w:val="00EA6213"/>
    <w:rsid w:val="00EA624D"/>
    <w:rsid w:val="00EA62E3"/>
    <w:rsid w:val="00EA6325"/>
    <w:rsid w:val="00EA632F"/>
    <w:rsid w:val="00EA634B"/>
    <w:rsid w:val="00EA6395"/>
    <w:rsid w:val="00EA63B8"/>
    <w:rsid w:val="00EA63D6"/>
    <w:rsid w:val="00EA640C"/>
    <w:rsid w:val="00EA64C6"/>
    <w:rsid w:val="00EA64D9"/>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99"/>
    <w:rsid w:val="00EA6FAA"/>
    <w:rsid w:val="00EA701C"/>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5A"/>
    <w:rsid w:val="00EA767D"/>
    <w:rsid w:val="00EA76BD"/>
    <w:rsid w:val="00EA76C5"/>
    <w:rsid w:val="00EA76EB"/>
    <w:rsid w:val="00EA773A"/>
    <w:rsid w:val="00EA773E"/>
    <w:rsid w:val="00EA776A"/>
    <w:rsid w:val="00EA7772"/>
    <w:rsid w:val="00EA7778"/>
    <w:rsid w:val="00EA778C"/>
    <w:rsid w:val="00EA781E"/>
    <w:rsid w:val="00EA799B"/>
    <w:rsid w:val="00EA79A1"/>
    <w:rsid w:val="00EA7A79"/>
    <w:rsid w:val="00EA7AD0"/>
    <w:rsid w:val="00EA7ADD"/>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E07"/>
    <w:rsid w:val="00EA7EE5"/>
    <w:rsid w:val="00EA7EF7"/>
    <w:rsid w:val="00EA7F54"/>
    <w:rsid w:val="00EA7F5C"/>
    <w:rsid w:val="00EA7F61"/>
    <w:rsid w:val="00EA7F70"/>
    <w:rsid w:val="00EA7F91"/>
    <w:rsid w:val="00EA7FDC"/>
    <w:rsid w:val="00EB001B"/>
    <w:rsid w:val="00EB0029"/>
    <w:rsid w:val="00EB005C"/>
    <w:rsid w:val="00EB0093"/>
    <w:rsid w:val="00EB00A2"/>
    <w:rsid w:val="00EB0118"/>
    <w:rsid w:val="00EB011E"/>
    <w:rsid w:val="00EB0129"/>
    <w:rsid w:val="00EB01F5"/>
    <w:rsid w:val="00EB021A"/>
    <w:rsid w:val="00EB0268"/>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DA"/>
    <w:rsid w:val="00EB04E7"/>
    <w:rsid w:val="00EB0502"/>
    <w:rsid w:val="00EB0503"/>
    <w:rsid w:val="00EB0525"/>
    <w:rsid w:val="00EB0535"/>
    <w:rsid w:val="00EB0552"/>
    <w:rsid w:val="00EB057B"/>
    <w:rsid w:val="00EB05B5"/>
    <w:rsid w:val="00EB068A"/>
    <w:rsid w:val="00EB06B9"/>
    <w:rsid w:val="00EB06E2"/>
    <w:rsid w:val="00EB0727"/>
    <w:rsid w:val="00EB0753"/>
    <w:rsid w:val="00EB07E5"/>
    <w:rsid w:val="00EB0804"/>
    <w:rsid w:val="00EB0829"/>
    <w:rsid w:val="00EB0847"/>
    <w:rsid w:val="00EB0899"/>
    <w:rsid w:val="00EB08A1"/>
    <w:rsid w:val="00EB08A6"/>
    <w:rsid w:val="00EB08C2"/>
    <w:rsid w:val="00EB090A"/>
    <w:rsid w:val="00EB091A"/>
    <w:rsid w:val="00EB0920"/>
    <w:rsid w:val="00EB0953"/>
    <w:rsid w:val="00EB09F5"/>
    <w:rsid w:val="00EB0A19"/>
    <w:rsid w:val="00EB0A3F"/>
    <w:rsid w:val="00EB0A42"/>
    <w:rsid w:val="00EB0A4F"/>
    <w:rsid w:val="00EB0A81"/>
    <w:rsid w:val="00EB0A88"/>
    <w:rsid w:val="00EB0A97"/>
    <w:rsid w:val="00EB0AB0"/>
    <w:rsid w:val="00EB0AB8"/>
    <w:rsid w:val="00EB0ADE"/>
    <w:rsid w:val="00EB0AFE"/>
    <w:rsid w:val="00EB0B17"/>
    <w:rsid w:val="00EB0C59"/>
    <w:rsid w:val="00EB0D38"/>
    <w:rsid w:val="00EB0DE7"/>
    <w:rsid w:val="00EB0E75"/>
    <w:rsid w:val="00EB0E90"/>
    <w:rsid w:val="00EB0E97"/>
    <w:rsid w:val="00EB0EE2"/>
    <w:rsid w:val="00EB0F24"/>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3"/>
    <w:rsid w:val="00EB15D0"/>
    <w:rsid w:val="00EB15F5"/>
    <w:rsid w:val="00EB1609"/>
    <w:rsid w:val="00EB1627"/>
    <w:rsid w:val="00EB1640"/>
    <w:rsid w:val="00EB16B2"/>
    <w:rsid w:val="00EB1712"/>
    <w:rsid w:val="00EB172E"/>
    <w:rsid w:val="00EB17A9"/>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DFD"/>
    <w:rsid w:val="00EB1E1C"/>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8B"/>
    <w:rsid w:val="00EB2292"/>
    <w:rsid w:val="00EB22B3"/>
    <w:rsid w:val="00EB22B8"/>
    <w:rsid w:val="00EB22DF"/>
    <w:rsid w:val="00EB22ED"/>
    <w:rsid w:val="00EB2305"/>
    <w:rsid w:val="00EB2315"/>
    <w:rsid w:val="00EB2316"/>
    <w:rsid w:val="00EB2320"/>
    <w:rsid w:val="00EB232C"/>
    <w:rsid w:val="00EB2374"/>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55"/>
    <w:rsid w:val="00EB27AF"/>
    <w:rsid w:val="00EB2802"/>
    <w:rsid w:val="00EB286F"/>
    <w:rsid w:val="00EB2884"/>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E3"/>
    <w:rsid w:val="00EB2DEE"/>
    <w:rsid w:val="00EB2E04"/>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DF"/>
    <w:rsid w:val="00EB359E"/>
    <w:rsid w:val="00EB35D7"/>
    <w:rsid w:val="00EB3600"/>
    <w:rsid w:val="00EB3605"/>
    <w:rsid w:val="00EB3665"/>
    <w:rsid w:val="00EB3679"/>
    <w:rsid w:val="00EB3685"/>
    <w:rsid w:val="00EB3686"/>
    <w:rsid w:val="00EB368B"/>
    <w:rsid w:val="00EB36B4"/>
    <w:rsid w:val="00EB36BD"/>
    <w:rsid w:val="00EB36BF"/>
    <w:rsid w:val="00EB372E"/>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BFB"/>
    <w:rsid w:val="00EB3C00"/>
    <w:rsid w:val="00EB3C6F"/>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3D"/>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99F"/>
    <w:rsid w:val="00EB4A17"/>
    <w:rsid w:val="00EB4AD9"/>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FD"/>
    <w:rsid w:val="00EB4F06"/>
    <w:rsid w:val="00EB4F78"/>
    <w:rsid w:val="00EB4F81"/>
    <w:rsid w:val="00EB4FC9"/>
    <w:rsid w:val="00EB4FFD"/>
    <w:rsid w:val="00EB5018"/>
    <w:rsid w:val="00EB5073"/>
    <w:rsid w:val="00EB5087"/>
    <w:rsid w:val="00EB50E2"/>
    <w:rsid w:val="00EB5137"/>
    <w:rsid w:val="00EB514C"/>
    <w:rsid w:val="00EB5163"/>
    <w:rsid w:val="00EB51B5"/>
    <w:rsid w:val="00EB51EF"/>
    <w:rsid w:val="00EB526D"/>
    <w:rsid w:val="00EB5287"/>
    <w:rsid w:val="00EB52C0"/>
    <w:rsid w:val="00EB52FD"/>
    <w:rsid w:val="00EB5308"/>
    <w:rsid w:val="00EB5335"/>
    <w:rsid w:val="00EB5346"/>
    <w:rsid w:val="00EB537F"/>
    <w:rsid w:val="00EB53F5"/>
    <w:rsid w:val="00EB5474"/>
    <w:rsid w:val="00EB5486"/>
    <w:rsid w:val="00EB558A"/>
    <w:rsid w:val="00EB5637"/>
    <w:rsid w:val="00EB564E"/>
    <w:rsid w:val="00EB5677"/>
    <w:rsid w:val="00EB568C"/>
    <w:rsid w:val="00EB5691"/>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2C"/>
    <w:rsid w:val="00EB5A52"/>
    <w:rsid w:val="00EB5AD5"/>
    <w:rsid w:val="00EB5B29"/>
    <w:rsid w:val="00EB5B2B"/>
    <w:rsid w:val="00EB5B33"/>
    <w:rsid w:val="00EB5B7F"/>
    <w:rsid w:val="00EB5B87"/>
    <w:rsid w:val="00EB5B96"/>
    <w:rsid w:val="00EB5C0D"/>
    <w:rsid w:val="00EB5C4A"/>
    <w:rsid w:val="00EB5CA5"/>
    <w:rsid w:val="00EB5CBD"/>
    <w:rsid w:val="00EB5CBF"/>
    <w:rsid w:val="00EB5CCC"/>
    <w:rsid w:val="00EB5CEB"/>
    <w:rsid w:val="00EB5D43"/>
    <w:rsid w:val="00EB5DFC"/>
    <w:rsid w:val="00EB5E08"/>
    <w:rsid w:val="00EB5E40"/>
    <w:rsid w:val="00EB5E52"/>
    <w:rsid w:val="00EB5F14"/>
    <w:rsid w:val="00EB5F44"/>
    <w:rsid w:val="00EB5F58"/>
    <w:rsid w:val="00EB5FAF"/>
    <w:rsid w:val="00EB5FB9"/>
    <w:rsid w:val="00EB5FC8"/>
    <w:rsid w:val="00EB5FE4"/>
    <w:rsid w:val="00EB6020"/>
    <w:rsid w:val="00EB6045"/>
    <w:rsid w:val="00EB6051"/>
    <w:rsid w:val="00EB6085"/>
    <w:rsid w:val="00EB60F9"/>
    <w:rsid w:val="00EB610E"/>
    <w:rsid w:val="00EB618A"/>
    <w:rsid w:val="00EB61FF"/>
    <w:rsid w:val="00EB627E"/>
    <w:rsid w:val="00EB629C"/>
    <w:rsid w:val="00EB62B0"/>
    <w:rsid w:val="00EB6412"/>
    <w:rsid w:val="00EB643A"/>
    <w:rsid w:val="00EB6476"/>
    <w:rsid w:val="00EB64A2"/>
    <w:rsid w:val="00EB64E4"/>
    <w:rsid w:val="00EB65F3"/>
    <w:rsid w:val="00EB6610"/>
    <w:rsid w:val="00EB668C"/>
    <w:rsid w:val="00EB6718"/>
    <w:rsid w:val="00EB6759"/>
    <w:rsid w:val="00EB67C8"/>
    <w:rsid w:val="00EB67DC"/>
    <w:rsid w:val="00EB6820"/>
    <w:rsid w:val="00EB68E4"/>
    <w:rsid w:val="00EB68F2"/>
    <w:rsid w:val="00EB6926"/>
    <w:rsid w:val="00EB698C"/>
    <w:rsid w:val="00EB6994"/>
    <w:rsid w:val="00EB6995"/>
    <w:rsid w:val="00EB69A4"/>
    <w:rsid w:val="00EB69B7"/>
    <w:rsid w:val="00EB6A02"/>
    <w:rsid w:val="00EB6A1E"/>
    <w:rsid w:val="00EB6A7B"/>
    <w:rsid w:val="00EB6A7F"/>
    <w:rsid w:val="00EB6AD2"/>
    <w:rsid w:val="00EB6B04"/>
    <w:rsid w:val="00EB6B8C"/>
    <w:rsid w:val="00EB6BF9"/>
    <w:rsid w:val="00EB6C0A"/>
    <w:rsid w:val="00EB6C20"/>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2BF"/>
    <w:rsid w:val="00EB730C"/>
    <w:rsid w:val="00EB730F"/>
    <w:rsid w:val="00EB7341"/>
    <w:rsid w:val="00EB7375"/>
    <w:rsid w:val="00EB73D8"/>
    <w:rsid w:val="00EB73FF"/>
    <w:rsid w:val="00EB7406"/>
    <w:rsid w:val="00EB7428"/>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E"/>
    <w:rsid w:val="00EB78E5"/>
    <w:rsid w:val="00EB7947"/>
    <w:rsid w:val="00EB798A"/>
    <w:rsid w:val="00EB79F4"/>
    <w:rsid w:val="00EB7A7E"/>
    <w:rsid w:val="00EB7AD6"/>
    <w:rsid w:val="00EB7ADD"/>
    <w:rsid w:val="00EB7B10"/>
    <w:rsid w:val="00EB7B24"/>
    <w:rsid w:val="00EB7B70"/>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B6"/>
    <w:rsid w:val="00EC04E4"/>
    <w:rsid w:val="00EC04EA"/>
    <w:rsid w:val="00EC0536"/>
    <w:rsid w:val="00EC053A"/>
    <w:rsid w:val="00EC054D"/>
    <w:rsid w:val="00EC0564"/>
    <w:rsid w:val="00EC0571"/>
    <w:rsid w:val="00EC057A"/>
    <w:rsid w:val="00EC0588"/>
    <w:rsid w:val="00EC05A6"/>
    <w:rsid w:val="00EC05D7"/>
    <w:rsid w:val="00EC0668"/>
    <w:rsid w:val="00EC068D"/>
    <w:rsid w:val="00EC06B7"/>
    <w:rsid w:val="00EC073F"/>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84"/>
    <w:rsid w:val="00EC0DB8"/>
    <w:rsid w:val="00EC0DCA"/>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74"/>
    <w:rsid w:val="00EC1096"/>
    <w:rsid w:val="00EC10A8"/>
    <w:rsid w:val="00EC10D5"/>
    <w:rsid w:val="00EC118A"/>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CD"/>
    <w:rsid w:val="00EC14E1"/>
    <w:rsid w:val="00EC14EA"/>
    <w:rsid w:val="00EC1541"/>
    <w:rsid w:val="00EC154F"/>
    <w:rsid w:val="00EC1581"/>
    <w:rsid w:val="00EC1587"/>
    <w:rsid w:val="00EC15CA"/>
    <w:rsid w:val="00EC15DA"/>
    <w:rsid w:val="00EC164A"/>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8F"/>
    <w:rsid w:val="00EC1C98"/>
    <w:rsid w:val="00EC1CC3"/>
    <w:rsid w:val="00EC1D28"/>
    <w:rsid w:val="00EC1D4F"/>
    <w:rsid w:val="00EC1D76"/>
    <w:rsid w:val="00EC1DA8"/>
    <w:rsid w:val="00EC1E52"/>
    <w:rsid w:val="00EC1EA4"/>
    <w:rsid w:val="00EC1EA9"/>
    <w:rsid w:val="00EC1EFD"/>
    <w:rsid w:val="00EC1F20"/>
    <w:rsid w:val="00EC1F41"/>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30"/>
    <w:rsid w:val="00EC2568"/>
    <w:rsid w:val="00EC256F"/>
    <w:rsid w:val="00EC2570"/>
    <w:rsid w:val="00EC2574"/>
    <w:rsid w:val="00EC2580"/>
    <w:rsid w:val="00EC25DC"/>
    <w:rsid w:val="00EC25E4"/>
    <w:rsid w:val="00EC2624"/>
    <w:rsid w:val="00EC2645"/>
    <w:rsid w:val="00EC2682"/>
    <w:rsid w:val="00EC269F"/>
    <w:rsid w:val="00EC273F"/>
    <w:rsid w:val="00EC278A"/>
    <w:rsid w:val="00EC27F1"/>
    <w:rsid w:val="00EC27FE"/>
    <w:rsid w:val="00EC2862"/>
    <w:rsid w:val="00EC2898"/>
    <w:rsid w:val="00EC28AC"/>
    <w:rsid w:val="00EC28B3"/>
    <w:rsid w:val="00EC28B8"/>
    <w:rsid w:val="00EC28D7"/>
    <w:rsid w:val="00EC290E"/>
    <w:rsid w:val="00EC2929"/>
    <w:rsid w:val="00EC296E"/>
    <w:rsid w:val="00EC299D"/>
    <w:rsid w:val="00EC2A45"/>
    <w:rsid w:val="00EC2A53"/>
    <w:rsid w:val="00EC2ACA"/>
    <w:rsid w:val="00EC2AEA"/>
    <w:rsid w:val="00EC2B05"/>
    <w:rsid w:val="00EC2B27"/>
    <w:rsid w:val="00EC2B59"/>
    <w:rsid w:val="00EC2B8D"/>
    <w:rsid w:val="00EC2BA8"/>
    <w:rsid w:val="00EC2C7B"/>
    <w:rsid w:val="00EC2D75"/>
    <w:rsid w:val="00EC2DE7"/>
    <w:rsid w:val="00EC2DF3"/>
    <w:rsid w:val="00EC2EB1"/>
    <w:rsid w:val="00EC2EB8"/>
    <w:rsid w:val="00EC2EF9"/>
    <w:rsid w:val="00EC2EFA"/>
    <w:rsid w:val="00EC2FA9"/>
    <w:rsid w:val="00EC2FCB"/>
    <w:rsid w:val="00EC3000"/>
    <w:rsid w:val="00EC3083"/>
    <w:rsid w:val="00EC3088"/>
    <w:rsid w:val="00EC309C"/>
    <w:rsid w:val="00EC30DC"/>
    <w:rsid w:val="00EC3118"/>
    <w:rsid w:val="00EC316C"/>
    <w:rsid w:val="00EC317B"/>
    <w:rsid w:val="00EC31F0"/>
    <w:rsid w:val="00EC3236"/>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4F"/>
    <w:rsid w:val="00EC3D8A"/>
    <w:rsid w:val="00EC3DA6"/>
    <w:rsid w:val="00EC3DFC"/>
    <w:rsid w:val="00EC3E08"/>
    <w:rsid w:val="00EC3E36"/>
    <w:rsid w:val="00EC3E4F"/>
    <w:rsid w:val="00EC3E56"/>
    <w:rsid w:val="00EC3E6E"/>
    <w:rsid w:val="00EC3E80"/>
    <w:rsid w:val="00EC3ECD"/>
    <w:rsid w:val="00EC3F4D"/>
    <w:rsid w:val="00EC3F5E"/>
    <w:rsid w:val="00EC3F81"/>
    <w:rsid w:val="00EC3F89"/>
    <w:rsid w:val="00EC3FB0"/>
    <w:rsid w:val="00EC3FB3"/>
    <w:rsid w:val="00EC401D"/>
    <w:rsid w:val="00EC4098"/>
    <w:rsid w:val="00EC40A9"/>
    <w:rsid w:val="00EC40C9"/>
    <w:rsid w:val="00EC40FB"/>
    <w:rsid w:val="00EC4110"/>
    <w:rsid w:val="00EC416F"/>
    <w:rsid w:val="00EC426F"/>
    <w:rsid w:val="00EC4296"/>
    <w:rsid w:val="00EC42AB"/>
    <w:rsid w:val="00EC42D0"/>
    <w:rsid w:val="00EC42E3"/>
    <w:rsid w:val="00EC42F8"/>
    <w:rsid w:val="00EC432F"/>
    <w:rsid w:val="00EC4398"/>
    <w:rsid w:val="00EC43C0"/>
    <w:rsid w:val="00EC44BA"/>
    <w:rsid w:val="00EC44CA"/>
    <w:rsid w:val="00EC450D"/>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1F"/>
    <w:rsid w:val="00EC4C31"/>
    <w:rsid w:val="00EC4C4C"/>
    <w:rsid w:val="00EC4CF4"/>
    <w:rsid w:val="00EC4DD1"/>
    <w:rsid w:val="00EC4E3D"/>
    <w:rsid w:val="00EC4E42"/>
    <w:rsid w:val="00EC4E67"/>
    <w:rsid w:val="00EC4E70"/>
    <w:rsid w:val="00EC4E7C"/>
    <w:rsid w:val="00EC4EDC"/>
    <w:rsid w:val="00EC4F66"/>
    <w:rsid w:val="00EC4F6B"/>
    <w:rsid w:val="00EC4F76"/>
    <w:rsid w:val="00EC4FAC"/>
    <w:rsid w:val="00EC4FDC"/>
    <w:rsid w:val="00EC4FE5"/>
    <w:rsid w:val="00EC5048"/>
    <w:rsid w:val="00EC5050"/>
    <w:rsid w:val="00EC5065"/>
    <w:rsid w:val="00EC50BF"/>
    <w:rsid w:val="00EC50F6"/>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02"/>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53"/>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6C"/>
    <w:rsid w:val="00EC69E3"/>
    <w:rsid w:val="00EC69EC"/>
    <w:rsid w:val="00EC6A1B"/>
    <w:rsid w:val="00EC6A1D"/>
    <w:rsid w:val="00EC6A44"/>
    <w:rsid w:val="00EC6A7F"/>
    <w:rsid w:val="00EC6AA1"/>
    <w:rsid w:val="00EC6AAE"/>
    <w:rsid w:val="00EC6AFC"/>
    <w:rsid w:val="00EC6B30"/>
    <w:rsid w:val="00EC6B86"/>
    <w:rsid w:val="00EC6BAB"/>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51"/>
    <w:rsid w:val="00EC7191"/>
    <w:rsid w:val="00EC71C2"/>
    <w:rsid w:val="00EC71F6"/>
    <w:rsid w:val="00EC722B"/>
    <w:rsid w:val="00EC7230"/>
    <w:rsid w:val="00EC7234"/>
    <w:rsid w:val="00EC72C1"/>
    <w:rsid w:val="00EC72E6"/>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51"/>
    <w:rsid w:val="00EC766A"/>
    <w:rsid w:val="00EC76A6"/>
    <w:rsid w:val="00EC76AD"/>
    <w:rsid w:val="00EC76B3"/>
    <w:rsid w:val="00EC76BC"/>
    <w:rsid w:val="00EC76C3"/>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65"/>
    <w:rsid w:val="00EC798A"/>
    <w:rsid w:val="00EC79D7"/>
    <w:rsid w:val="00EC79E0"/>
    <w:rsid w:val="00EC79F1"/>
    <w:rsid w:val="00EC7A17"/>
    <w:rsid w:val="00EC7A50"/>
    <w:rsid w:val="00EC7AC9"/>
    <w:rsid w:val="00EC7AED"/>
    <w:rsid w:val="00EC7AF5"/>
    <w:rsid w:val="00EC7B30"/>
    <w:rsid w:val="00EC7B48"/>
    <w:rsid w:val="00EC7B97"/>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10"/>
    <w:rsid w:val="00EC7FE5"/>
    <w:rsid w:val="00EC7FF7"/>
    <w:rsid w:val="00EC7FFA"/>
    <w:rsid w:val="00ED0004"/>
    <w:rsid w:val="00ED001D"/>
    <w:rsid w:val="00ED001F"/>
    <w:rsid w:val="00ED004F"/>
    <w:rsid w:val="00ED00A9"/>
    <w:rsid w:val="00ED00C4"/>
    <w:rsid w:val="00ED00D7"/>
    <w:rsid w:val="00ED00F5"/>
    <w:rsid w:val="00ED00FA"/>
    <w:rsid w:val="00ED016C"/>
    <w:rsid w:val="00ED016D"/>
    <w:rsid w:val="00ED0184"/>
    <w:rsid w:val="00ED01AA"/>
    <w:rsid w:val="00ED027C"/>
    <w:rsid w:val="00ED03C9"/>
    <w:rsid w:val="00ED0458"/>
    <w:rsid w:val="00ED046F"/>
    <w:rsid w:val="00ED0473"/>
    <w:rsid w:val="00ED048A"/>
    <w:rsid w:val="00ED04DA"/>
    <w:rsid w:val="00ED04F3"/>
    <w:rsid w:val="00ED055C"/>
    <w:rsid w:val="00ED05A6"/>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0"/>
    <w:rsid w:val="00ED0805"/>
    <w:rsid w:val="00ED0839"/>
    <w:rsid w:val="00ED08F5"/>
    <w:rsid w:val="00ED08F9"/>
    <w:rsid w:val="00ED0921"/>
    <w:rsid w:val="00ED0988"/>
    <w:rsid w:val="00ED099B"/>
    <w:rsid w:val="00ED09BD"/>
    <w:rsid w:val="00ED0A1F"/>
    <w:rsid w:val="00ED0A37"/>
    <w:rsid w:val="00ED0A3D"/>
    <w:rsid w:val="00ED0AAA"/>
    <w:rsid w:val="00ED0AC2"/>
    <w:rsid w:val="00ED0B41"/>
    <w:rsid w:val="00ED0B86"/>
    <w:rsid w:val="00ED0BA3"/>
    <w:rsid w:val="00ED0BB3"/>
    <w:rsid w:val="00ED0BE3"/>
    <w:rsid w:val="00ED0BEB"/>
    <w:rsid w:val="00ED0C06"/>
    <w:rsid w:val="00ED0CA4"/>
    <w:rsid w:val="00ED0D2C"/>
    <w:rsid w:val="00ED0D8A"/>
    <w:rsid w:val="00ED0DEE"/>
    <w:rsid w:val="00ED0DF3"/>
    <w:rsid w:val="00ED0E3A"/>
    <w:rsid w:val="00ED0E73"/>
    <w:rsid w:val="00ED0EC0"/>
    <w:rsid w:val="00ED0F0B"/>
    <w:rsid w:val="00ED0F23"/>
    <w:rsid w:val="00ED0F26"/>
    <w:rsid w:val="00ED0F49"/>
    <w:rsid w:val="00ED100A"/>
    <w:rsid w:val="00ED1099"/>
    <w:rsid w:val="00ED10B1"/>
    <w:rsid w:val="00ED10E1"/>
    <w:rsid w:val="00ED10F1"/>
    <w:rsid w:val="00ED1116"/>
    <w:rsid w:val="00ED1128"/>
    <w:rsid w:val="00ED1162"/>
    <w:rsid w:val="00ED1192"/>
    <w:rsid w:val="00ED11CF"/>
    <w:rsid w:val="00ED1273"/>
    <w:rsid w:val="00ED12A2"/>
    <w:rsid w:val="00ED12CD"/>
    <w:rsid w:val="00ED1316"/>
    <w:rsid w:val="00ED1331"/>
    <w:rsid w:val="00ED1367"/>
    <w:rsid w:val="00ED1424"/>
    <w:rsid w:val="00ED149B"/>
    <w:rsid w:val="00ED14C9"/>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29"/>
    <w:rsid w:val="00ED1B52"/>
    <w:rsid w:val="00ED1B62"/>
    <w:rsid w:val="00ED1BAB"/>
    <w:rsid w:val="00ED1BEF"/>
    <w:rsid w:val="00ED1BF9"/>
    <w:rsid w:val="00ED1C6F"/>
    <w:rsid w:val="00ED1CF4"/>
    <w:rsid w:val="00ED1D18"/>
    <w:rsid w:val="00ED1D67"/>
    <w:rsid w:val="00ED1DBA"/>
    <w:rsid w:val="00ED1DD1"/>
    <w:rsid w:val="00ED1DEC"/>
    <w:rsid w:val="00ED1E34"/>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37"/>
    <w:rsid w:val="00ED2288"/>
    <w:rsid w:val="00ED230A"/>
    <w:rsid w:val="00ED2336"/>
    <w:rsid w:val="00ED234C"/>
    <w:rsid w:val="00ED2399"/>
    <w:rsid w:val="00ED23D5"/>
    <w:rsid w:val="00ED23DC"/>
    <w:rsid w:val="00ED244D"/>
    <w:rsid w:val="00ED2469"/>
    <w:rsid w:val="00ED24AA"/>
    <w:rsid w:val="00ED24C4"/>
    <w:rsid w:val="00ED2540"/>
    <w:rsid w:val="00ED25CB"/>
    <w:rsid w:val="00ED25CC"/>
    <w:rsid w:val="00ED25D2"/>
    <w:rsid w:val="00ED25E1"/>
    <w:rsid w:val="00ED2614"/>
    <w:rsid w:val="00ED2630"/>
    <w:rsid w:val="00ED264B"/>
    <w:rsid w:val="00ED264F"/>
    <w:rsid w:val="00ED2650"/>
    <w:rsid w:val="00ED2682"/>
    <w:rsid w:val="00ED26A8"/>
    <w:rsid w:val="00ED26E0"/>
    <w:rsid w:val="00ED2769"/>
    <w:rsid w:val="00ED276E"/>
    <w:rsid w:val="00ED27A4"/>
    <w:rsid w:val="00ED27DF"/>
    <w:rsid w:val="00ED27E6"/>
    <w:rsid w:val="00ED286A"/>
    <w:rsid w:val="00ED28A4"/>
    <w:rsid w:val="00ED2907"/>
    <w:rsid w:val="00ED2914"/>
    <w:rsid w:val="00ED291F"/>
    <w:rsid w:val="00ED295C"/>
    <w:rsid w:val="00ED2966"/>
    <w:rsid w:val="00ED29DB"/>
    <w:rsid w:val="00ED29FA"/>
    <w:rsid w:val="00ED2A03"/>
    <w:rsid w:val="00ED2A21"/>
    <w:rsid w:val="00ED2A5E"/>
    <w:rsid w:val="00ED2A7F"/>
    <w:rsid w:val="00ED2AB6"/>
    <w:rsid w:val="00ED2AC0"/>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8C"/>
    <w:rsid w:val="00ED2ED4"/>
    <w:rsid w:val="00ED2ED6"/>
    <w:rsid w:val="00ED2EE8"/>
    <w:rsid w:val="00ED2EEE"/>
    <w:rsid w:val="00ED2EFB"/>
    <w:rsid w:val="00ED2F43"/>
    <w:rsid w:val="00ED2F66"/>
    <w:rsid w:val="00ED2F73"/>
    <w:rsid w:val="00ED2F83"/>
    <w:rsid w:val="00ED2F8F"/>
    <w:rsid w:val="00ED2FA9"/>
    <w:rsid w:val="00ED2FD1"/>
    <w:rsid w:val="00ED2FFE"/>
    <w:rsid w:val="00ED3005"/>
    <w:rsid w:val="00ED300B"/>
    <w:rsid w:val="00ED3054"/>
    <w:rsid w:val="00ED30C7"/>
    <w:rsid w:val="00ED30E0"/>
    <w:rsid w:val="00ED311D"/>
    <w:rsid w:val="00ED3180"/>
    <w:rsid w:val="00ED31B3"/>
    <w:rsid w:val="00ED31B9"/>
    <w:rsid w:val="00ED31CE"/>
    <w:rsid w:val="00ED31F2"/>
    <w:rsid w:val="00ED3240"/>
    <w:rsid w:val="00ED3248"/>
    <w:rsid w:val="00ED3300"/>
    <w:rsid w:val="00ED3309"/>
    <w:rsid w:val="00ED3322"/>
    <w:rsid w:val="00ED33BE"/>
    <w:rsid w:val="00ED33E1"/>
    <w:rsid w:val="00ED33FC"/>
    <w:rsid w:val="00ED340A"/>
    <w:rsid w:val="00ED345C"/>
    <w:rsid w:val="00ED345F"/>
    <w:rsid w:val="00ED34D3"/>
    <w:rsid w:val="00ED34F8"/>
    <w:rsid w:val="00ED3516"/>
    <w:rsid w:val="00ED352B"/>
    <w:rsid w:val="00ED3576"/>
    <w:rsid w:val="00ED35CD"/>
    <w:rsid w:val="00ED35DE"/>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F6"/>
    <w:rsid w:val="00ED3A04"/>
    <w:rsid w:val="00ED3A60"/>
    <w:rsid w:val="00ED3A76"/>
    <w:rsid w:val="00ED3A8C"/>
    <w:rsid w:val="00ED3A8E"/>
    <w:rsid w:val="00ED3AFF"/>
    <w:rsid w:val="00ED3B12"/>
    <w:rsid w:val="00ED3B5A"/>
    <w:rsid w:val="00ED3B98"/>
    <w:rsid w:val="00ED3BC9"/>
    <w:rsid w:val="00ED3BE4"/>
    <w:rsid w:val="00ED3C4F"/>
    <w:rsid w:val="00ED3CB2"/>
    <w:rsid w:val="00ED3D9F"/>
    <w:rsid w:val="00ED3DCA"/>
    <w:rsid w:val="00ED3E30"/>
    <w:rsid w:val="00ED3E40"/>
    <w:rsid w:val="00ED3EAA"/>
    <w:rsid w:val="00ED3ED1"/>
    <w:rsid w:val="00ED3F13"/>
    <w:rsid w:val="00ED3F5D"/>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ED"/>
    <w:rsid w:val="00ED44FA"/>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23"/>
    <w:rsid w:val="00ED4B39"/>
    <w:rsid w:val="00ED4B43"/>
    <w:rsid w:val="00ED4B96"/>
    <w:rsid w:val="00ED4CC3"/>
    <w:rsid w:val="00ED4D05"/>
    <w:rsid w:val="00ED4D09"/>
    <w:rsid w:val="00ED4D4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1A"/>
    <w:rsid w:val="00ED535D"/>
    <w:rsid w:val="00ED5374"/>
    <w:rsid w:val="00ED5379"/>
    <w:rsid w:val="00ED5386"/>
    <w:rsid w:val="00ED538B"/>
    <w:rsid w:val="00ED5423"/>
    <w:rsid w:val="00ED54B1"/>
    <w:rsid w:val="00ED54D5"/>
    <w:rsid w:val="00ED5537"/>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41"/>
    <w:rsid w:val="00ED59E7"/>
    <w:rsid w:val="00ED59EE"/>
    <w:rsid w:val="00ED5A6C"/>
    <w:rsid w:val="00ED5AAC"/>
    <w:rsid w:val="00ED5AF4"/>
    <w:rsid w:val="00ED5B1E"/>
    <w:rsid w:val="00ED5B78"/>
    <w:rsid w:val="00ED5BC3"/>
    <w:rsid w:val="00ED5BE6"/>
    <w:rsid w:val="00ED5C9F"/>
    <w:rsid w:val="00ED5CC9"/>
    <w:rsid w:val="00ED5D37"/>
    <w:rsid w:val="00ED5D52"/>
    <w:rsid w:val="00ED5D5A"/>
    <w:rsid w:val="00ED5DC6"/>
    <w:rsid w:val="00ED5E10"/>
    <w:rsid w:val="00ED5E16"/>
    <w:rsid w:val="00ED5E81"/>
    <w:rsid w:val="00ED5ECB"/>
    <w:rsid w:val="00ED6039"/>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6A"/>
    <w:rsid w:val="00ED66EF"/>
    <w:rsid w:val="00ED67B7"/>
    <w:rsid w:val="00ED67D1"/>
    <w:rsid w:val="00ED681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85"/>
    <w:rsid w:val="00ED6CCD"/>
    <w:rsid w:val="00ED6D03"/>
    <w:rsid w:val="00ED6D4F"/>
    <w:rsid w:val="00ED6D50"/>
    <w:rsid w:val="00ED6D84"/>
    <w:rsid w:val="00ED6DCC"/>
    <w:rsid w:val="00ED6E0D"/>
    <w:rsid w:val="00ED6E2A"/>
    <w:rsid w:val="00ED6EAB"/>
    <w:rsid w:val="00ED6EC7"/>
    <w:rsid w:val="00ED6F22"/>
    <w:rsid w:val="00ED6F51"/>
    <w:rsid w:val="00ED6FCE"/>
    <w:rsid w:val="00ED6FD8"/>
    <w:rsid w:val="00ED70B5"/>
    <w:rsid w:val="00ED70FB"/>
    <w:rsid w:val="00ED716E"/>
    <w:rsid w:val="00ED71A6"/>
    <w:rsid w:val="00ED71DB"/>
    <w:rsid w:val="00ED7207"/>
    <w:rsid w:val="00ED7220"/>
    <w:rsid w:val="00ED724B"/>
    <w:rsid w:val="00ED7259"/>
    <w:rsid w:val="00ED725B"/>
    <w:rsid w:val="00ED7263"/>
    <w:rsid w:val="00ED72CE"/>
    <w:rsid w:val="00ED72FA"/>
    <w:rsid w:val="00ED7319"/>
    <w:rsid w:val="00ED732E"/>
    <w:rsid w:val="00ED7355"/>
    <w:rsid w:val="00ED736A"/>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4B"/>
    <w:rsid w:val="00ED767B"/>
    <w:rsid w:val="00ED76EA"/>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DA"/>
    <w:rsid w:val="00ED7C00"/>
    <w:rsid w:val="00ED7C1D"/>
    <w:rsid w:val="00ED7C2C"/>
    <w:rsid w:val="00ED7C3E"/>
    <w:rsid w:val="00ED7C44"/>
    <w:rsid w:val="00ED7C58"/>
    <w:rsid w:val="00ED7C6B"/>
    <w:rsid w:val="00ED7C7F"/>
    <w:rsid w:val="00ED7CA0"/>
    <w:rsid w:val="00ED7D19"/>
    <w:rsid w:val="00ED7D3E"/>
    <w:rsid w:val="00ED7D4F"/>
    <w:rsid w:val="00ED7DBB"/>
    <w:rsid w:val="00ED7DCD"/>
    <w:rsid w:val="00ED7DF2"/>
    <w:rsid w:val="00ED7E1F"/>
    <w:rsid w:val="00ED7E55"/>
    <w:rsid w:val="00ED7E71"/>
    <w:rsid w:val="00ED7E7B"/>
    <w:rsid w:val="00ED7EA0"/>
    <w:rsid w:val="00ED7ED9"/>
    <w:rsid w:val="00ED7FA0"/>
    <w:rsid w:val="00ED7FFA"/>
    <w:rsid w:val="00EE006A"/>
    <w:rsid w:val="00EE0091"/>
    <w:rsid w:val="00EE0123"/>
    <w:rsid w:val="00EE013A"/>
    <w:rsid w:val="00EE01CF"/>
    <w:rsid w:val="00EE01D4"/>
    <w:rsid w:val="00EE0253"/>
    <w:rsid w:val="00EE026C"/>
    <w:rsid w:val="00EE02CC"/>
    <w:rsid w:val="00EE02FE"/>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50"/>
    <w:rsid w:val="00EE0768"/>
    <w:rsid w:val="00EE07AE"/>
    <w:rsid w:val="00EE07FD"/>
    <w:rsid w:val="00EE0851"/>
    <w:rsid w:val="00EE087E"/>
    <w:rsid w:val="00EE09BE"/>
    <w:rsid w:val="00EE0A03"/>
    <w:rsid w:val="00EE0A27"/>
    <w:rsid w:val="00EE0A88"/>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BB"/>
    <w:rsid w:val="00EE1183"/>
    <w:rsid w:val="00EE11BB"/>
    <w:rsid w:val="00EE11D1"/>
    <w:rsid w:val="00EE1219"/>
    <w:rsid w:val="00EE1336"/>
    <w:rsid w:val="00EE1341"/>
    <w:rsid w:val="00EE13C5"/>
    <w:rsid w:val="00EE13D8"/>
    <w:rsid w:val="00EE13EC"/>
    <w:rsid w:val="00EE1403"/>
    <w:rsid w:val="00EE146B"/>
    <w:rsid w:val="00EE1470"/>
    <w:rsid w:val="00EE151B"/>
    <w:rsid w:val="00EE154C"/>
    <w:rsid w:val="00EE1553"/>
    <w:rsid w:val="00EE15EB"/>
    <w:rsid w:val="00EE15EF"/>
    <w:rsid w:val="00EE161E"/>
    <w:rsid w:val="00EE1629"/>
    <w:rsid w:val="00EE1641"/>
    <w:rsid w:val="00EE16A9"/>
    <w:rsid w:val="00EE16DD"/>
    <w:rsid w:val="00EE1726"/>
    <w:rsid w:val="00EE1741"/>
    <w:rsid w:val="00EE175C"/>
    <w:rsid w:val="00EE1765"/>
    <w:rsid w:val="00EE17DA"/>
    <w:rsid w:val="00EE17EF"/>
    <w:rsid w:val="00EE1843"/>
    <w:rsid w:val="00EE1883"/>
    <w:rsid w:val="00EE18AA"/>
    <w:rsid w:val="00EE18AC"/>
    <w:rsid w:val="00EE18EC"/>
    <w:rsid w:val="00EE18ED"/>
    <w:rsid w:val="00EE1936"/>
    <w:rsid w:val="00EE1950"/>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F2"/>
    <w:rsid w:val="00EE204E"/>
    <w:rsid w:val="00EE21EE"/>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5B5"/>
    <w:rsid w:val="00EE261A"/>
    <w:rsid w:val="00EE2626"/>
    <w:rsid w:val="00EE264B"/>
    <w:rsid w:val="00EE2669"/>
    <w:rsid w:val="00EE2687"/>
    <w:rsid w:val="00EE26B4"/>
    <w:rsid w:val="00EE26FE"/>
    <w:rsid w:val="00EE273C"/>
    <w:rsid w:val="00EE2740"/>
    <w:rsid w:val="00EE2749"/>
    <w:rsid w:val="00EE279E"/>
    <w:rsid w:val="00EE27A8"/>
    <w:rsid w:val="00EE27B1"/>
    <w:rsid w:val="00EE27B4"/>
    <w:rsid w:val="00EE27BB"/>
    <w:rsid w:val="00EE27FE"/>
    <w:rsid w:val="00EE280D"/>
    <w:rsid w:val="00EE2817"/>
    <w:rsid w:val="00EE2833"/>
    <w:rsid w:val="00EE2873"/>
    <w:rsid w:val="00EE287B"/>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BFF"/>
    <w:rsid w:val="00EE2C4C"/>
    <w:rsid w:val="00EE2C52"/>
    <w:rsid w:val="00EE2C83"/>
    <w:rsid w:val="00EE2CE5"/>
    <w:rsid w:val="00EE2D28"/>
    <w:rsid w:val="00EE2D59"/>
    <w:rsid w:val="00EE2D72"/>
    <w:rsid w:val="00EE2D8E"/>
    <w:rsid w:val="00EE2D9F"/>
    <w:rsid w:val="00EE2E03"/>
    <w:rsid w:val="00EE2E1C"/>
    <w:rsid w:val="00EE2E48"/>
    <w:rsid w:val="00EE2EA2"/>
    <w:rsid w:val="00EE2EC3"/>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C"/>
    <w:rsid w:val="00EE32FE"/>
    <w:rsid w:val="00EE3320"/>
    <w:rsid w:val="00EE332B"/>
    <w:rsid w:val="00EE3330"/>
    <w:rsid w:val="00EE3331"/>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EC"/>
    <w:rsid w:val="00EE35FF"/>
    <w:rsid w:val="00EE365C"/>
    <w:rsid w:val="00EE36C8"/>
    <w:rsid w:val="00EE374C"/>
    <w:rsid w:val="00EE3760"/>
    <w:rsid w:val="00EE377A"/>
    <w:rsid w:val="00EE377B"/>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7A"/>
    <w:rsid w:val="00EE3A9D"/>
    <w:rsid w:val="00EE3AA4"/>
    <w:rsid w:val="00EE3AD3"/>
    <w:rsid w:val="00EE3AE7"/>
    <w:rsid w:val="00EE3B2B"/>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09"/>
    <w:rsid w:val="00EE3F1D"/>
    <w:rsid w:val="00EE3F51"/>
    <w:rsid w:val="00EE3F77"/>
    <w:rsid w:val="00EE401E"/>
    <w:rsid w:val="00EE40C7"/>
    <w:rsid w:val="00EE4108"/>
    <w:rsid w:val="00EE4118"/>
    <w:rsid w:val="00EE411B"/>
    <w:rsid w:val="00EE412A"/>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807"/>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A3"/>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0DA"/>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E8"/>
    <w:rsid w:val="00EE53ED"/>
    <w:rsid w:val="00EE5439"/>
    <w:rsid w:val="00EE548A"/>
    <w:rsid w:val="00EE5537"/>
    <w:rsid w:val="00EE5548"/>
    <w:rsid w:val="00EE5560"/>
    <w:rsid w:val="00EE5582"/>
    <w:rsid w:val="00EE55D4"/>
    <w:rsid w:val="00EE560A"/>
    <w:rsid w:val="00EE5629"/>
    <w:rsid w:val="00EE56A8"/>
    <w:rsid w:val="00EE56AE"/>
    <w:rsid w:val="00EE56CD"/>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F8"/>
    <w:rsid w:val="00EE5A34"/>
    <w:rsid w:val="00EE5A38"/>
    <w:rsid w:val="00EE5A5A"/>
    <w:rsid w:val="00EE5A9C"/>
    <w:rsid w:val="00EE5AF5"/>
    <w:rsid w:val="00EE5B48"/>
    <w:rsid w:val="00EE5B70"/>
    <w:rsid w:val="00EE5B7A"/>
    <w:rsid w:val="00EE5B7E"/>
    <w:rsid w:val="00EE5BED"/>
    <w:rsid w:val="00EE5C32"/>
    <w:rsid w:val="00EE5C6D"/>
    <w:rsid w:val="00EE5CAE"/>
    <w:rsid w:val="00EE5CD6"/>
    <w:rsid w:val="00EE5CE4"/>
    <w:rsid w:val="00EE5D00"/>
    <w:rsid w:val="00EE5D13"/>
    <w:rsid w:val="00EE5D1D"/>
    <w:rsid w:val="00EE5D37"/>
    <w:rsid w:val="00EE5D8E"/>
    <w:rsid w:val="00EE5DB5"/>
    <w:rsid w:val="00EE5DCC"/>
    <w:rsid w:val="00EE5E34"/>
    <w:rsid w:val="00EE5E51"/>
    <w:rsid w:val="00EE5E54"/>
    <w:rsid w:val="00EE5F01"/>
    <w:rsid w:val="00EE5F5B"/>
    <w:rsid w:val="00EE5FAC"/>
    <w:rsid w:val="00EE5FCE"/>
    <w:rsid w:val="00EE5FD0"/>
    <w:rsid w:val="00EE6060"/>
    <w:rsid w:val="00EE6084"/>
    <w:rsid w:val="00EE60B2"/>
    <w:rsid w:val="00EE60DD"/>
    <w:rsid w:val="00EE6142"/>
    <w:rsid w:val="00EE614D"/>
    <w:rsid w:val="00EE6187"/>
    <w:rsid w:val="00EE6218"/>
    <w:rsid w:val="00EE625D"/>
    <w:rsid w:val="00EE6333"/>
    <w:rsid w:val="00EE6388"/>
    <w:rsid w:val="00EE6392"/>
    <w:rsid w:val="00EE63A4"/>
    <w:rsid w:val="00EE63F7"/>
    <w:rsid w:val="00EE64A3"/>
    <w:rsid w:val="00EE64B8"/>
    <w:rsid w:val="00EE64B9"/>
    <w:rsid w:val="00EE64BC"/>
    <w:rsid w:val="00EE64F4"/>
    <w:rsid w:val="00EE6540"/>
    <w:rsid w:val="00EE656E"/>
    <w:rsid w:val="00EE659F"/>
    <w:rsid w:val="00EE65B8"/>
    <w:rsid w:val="00EE65B9"/>
    <w:rsid w:val="00EE6695"/>
    <w:rsid w:val="00EE66E5"/>
    <w:rsid w:val="00EE670A"/>
    <w:rsid w:val="00EE6743"/>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5A"/>
    <w:rsid w:val="00EE6F8B"/>
    <w:rsid w:val="00EE6FB5"/>
    <w:rsid w:val="00EE7012"/>
    <w:rsid w:val="00EE7076"/>
    <w:rsid w:val="00EE70F3"/>
    <w:rsid w:val="00EE7285"/>
    <w:rsid w:val="00EE7288"/>
    <w:rsid w:val="00EE7294"/>
    <w:rsid w:val="00EE72D9"/>
    <w:rsid w:val="00EE72F7"/>
    <w:rsid w:val="00EE7300"/>
    <w:rsid w:val="00EE730E"/>
    <w:rsid w:val="00EE735E"/>
    <w:rsid w:val="00EE7368"/>
    <w:rsid w:val="00EE7384"/>
    <w:rsid w:val="00EE7385"/>
    <w:rsid w:val="00EE73A6"/>
    <w:rsid w:val="00EE73CB"/>
    <w:rsid w:val="00EE73EF"/>
    <w:rsid w:val="00EE740A"/>
    <w:rsid w:val="00EE741C"/>
    <w:rsid w:val="00EE7429"/>
    <w:rsid w:val="00EE743E"/>
    <w:rsid w:val="00EE7483"/>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E7"/>
    <w:rsid w:val="00EE7DF8"/>
    <w:rsid w:val="00EE7E41"/>
    <w:rsid w:val="00EE7E60"/>
    <w:rsid w:val="00EE7E70"/>
    <w:rsid w:val="00EE7EBC"/>
    <w:rsid w:val="00EE7F37"/>
    <w:rsid w:val="00EE7F6C"/>
    <w:rsid w:val="00EE7F85"/>
    <w:rsid w:val="00EF00BE"/>
    <w:rsid w:val="00EF00C1"/>
    <w:rsid w:val="00EF0232"/>
    <w:rsid w:val="00EF025F"/>
    <w:rsid w:val="00EF0275"/>
    <w:rsid w:val="00EF0361"/>
    <w:rsid w:val="00EF039F"/>
    <w:rsid w:val="00EF03C7"/>
    <w:rsid w:val="00EF0416"/>
    <w:rsid w:val="00EF0449"/>
    <w:rsid w:val="00EF0454"/>
    <w:rsid w:val="00EF0485"/>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53"/>
    <w:rsid w:val="00EF0AB8"/>
    <w:rsid w:val="00EF0B16"/>
    <w:rsid w:val="00EF0B76"/>
    <w:rsid w:val="00EF0B88"/>
    <w:rsid w:val="00EF0BA2"/>
    <w:rsid w:val="00EF0BB7"/>
    <w:rsid w:val="00EF0BE9"/>
    <w:rsid w:val="00EF0BED"/>
    <w:rsid w:val="00EF0C37"/>
    <w:rsid w:val="00EF0C38"/>
    <w:rsid w:val="00EF0C5D"/>
    <w:rsid w:val="00EF0CA1"/>
    <w:rsid w:val="00EF0CBA"/>
    <w:rsid w:val="00EF0CBE"/>
    <w:rsid w:val="00EF0CEC"/>
    <w:rsid w:val="00EF0D2B"/>
    <w:rsid w:val="00EF0D55"/>
    <w:rsid w:val="00EF0D79"/>
    <w:rsid w:val="00EF0E3F"/>
    <w:rsid w:val="00EF0E57"/>
    <w:rsid w:val="00EF0E65"/>
    <w:rsid w:val="00EF0E77"/>
    <w:rsid w:val="00EF0E98"/>
    <w:rsid w:val="00EF0EA4"/>
    <w:rsid w:val="00EF0ED1"/>
    <w:rsid w:val="00EF0EE2"/>
    <w:rsid w:val="00EF0F83"/>
    <w:rsid w:val="00EF0FA7"/>
    <w:rsid w:val="00EF0FFC"/>
    <w:rsid w:val="00EF101F"/>
    <w:rsid w:val="00EF1049"/>
    <w:rsid w:val="00EF10AC"/>
    <w:rsid w:val="00EF110F"/>
    <w:rsid w:val="00EF1187"/>
    <w:rsid w:val="00EF1193"/>
    <w:rsid w:val="00EF11A7"/>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DB"/>
    <w:rsid w:val="00EF172A"/>
    <w:rsid w:val="00EF1732"/>
    <w:rsid w:val="00EF179A"/>
    <w:rsid w:val="00EF18C2"/>
    <w:rsid w:val="00EF195B"/>
    <w:rsid w:val="00EF195C"/>
    <w:rsid w:val="00EF1999"/>
    <w:rsid w:val="00EF199B"/>
    <w:rsid w:val="00EF19AA"/>
    <w:rsid w:val="00EF19AD"/>
    <w:rsid w:val="00EF19C7"/>
    <w:rsid w:val="00EF1A0C"/>
    <w:rsid w:val="00EF1A1E"/>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15"/>
    <w:rsid w:val="00EF1F71"/>
    <w:rsid w:val="00EF1F88"/>
    <w:rsid w:val="00EF1F8E"/>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0E"/>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74"/>
    <w:rsid w:val="00EF2B97"/>
    <w:rsid w:val="00EF2BAC"/>
    <w:rsid w:val="00EF2C42"/>
    <w:rsid w:val="00EF2C43"/>
    <w:rsid w:val="00EF2CE1"/>
    <w:rsid w:val="00EF2CF4"/>
    <w:rsid w:val="00EF2CFD"/>
    <w:rsid w:val="00EF2CFE"/>
    <w:rsid w:val="00EF2D4F"/>
    <w:rsid w:val="00EF2D8D"/>
    <w:rsid w:val="00EF2DCB"/>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B2"/>
    <w:rsid w:val="00EF39F6"/>
    <w:rsid w:val="00EF3A2A"/>
    <w:rsid w:val="00EF3A4A"/>
    <w:rsid w:val="00EF3A5D"/>
    <w:rsid w:val="00EF3ADC"/>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56"/>
    <w:rsid w:val="00EF4078"/>
    <w:rsid w:val="00EF4094"/>
    <w:rsid w:val="00EF40E0"/>
    <w:rsid w:val="00EF40E9"/>
    <w:rsid w:val="00EF40F6"/>
    <w:rsid w:val="00EF4104"/>
    <w:rsid w:val="00EF4146"/>
    <w:rsid w:val="00EF41B0"/>
    <w:rsid w:val="00EF41F1"/>
    <w:rsid w:val="00EF421A"/>
    <w:rsid w:val="00EF4224"/>
    <w:rsid w:val="00EF422B"/>
    <w:rsid w:val="00EF428A"/>
    <w:rsid w:val="00EF4304"/>
    <w:rsid w:val="00EF43B5"/>
    <w:rsid w:val="00EF43E8"/>
    <w:rsid w:val="00EF442C"/>
    <w:rsid w:val="00EF4449"/>
    <w:rsid w:val="00EF4466"/>
    <w:rsid w:val="00EF450F"/>
    <w:rsid w:val="00EF4560"/>
    <w:rsid w:val="00EF45FF"/>
    <w:rsid w:val="00EF4663"/>
    <w:rsid w:val="00EF468B"/>
    <w:rsid w:val="00EF46FF"/>
    <w:rsid w:val="00EF470D"/>
    <w:rsid w:val="00EF4724"/>
    <w:rsid w:val="00EF473A"/>
    <w:rsid w:val="00EF47AE"/>
    <w:rsid w:val="00EF47BA"/>
    <w:rsid w:val="00EF4825"/>
    <w:rsid w:val="00EF4861"/>
    <w:rsid w:val="00EF488A"/>
    <w:rsid w:val="00EF48B2"/>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AF"/>
    <w:rsid w:val="00EF4DE6"/>
    <w:rsid w:val="00EF4DEC"/>
    <w:rsid w:val="00EF4DEE"/>
    <w:rsid w:val="00EF4E58"/>
    <w:rsid w:val="00EF4E79"/>
    <w:rsid w:val="00EF4EB9"/>
    <w:rsid w:val="00EF4EBD"/>
    <w:rsid w:val="00EF4ECB"/>
    <w:rsid w:val="00EF4F1A"/>
    <w:rsid w:val="00EF4F28"/>
    <w:rsid w:val="00EF5028"/>
    <w:rsid w:val="00EF50A3"/>
    <w:rsid w:val="00EF50C8"/>
    <w:rsid w:val="00EF5108"/>
    <w:rsid w:val="00EF5159"/>
    <w:rsid w:val="00EF51B8"/>
    <w:rsid w:val="00EF5271"/>
    <w:rsid w:val="00EF5283"/>
    <w:rsid w:val="00EF530E"/>
    <w:rsid w:val="00EF5322"/>
    <w:rsid w:val="00EF5361"/>
    <w:rsid w:val="00EF53D7"/>
    <w:rsid w:val="00EF5443"/>
    <w:rsid w:val="00EF5474"/>
    <w:rsid w:val="00EF5491"/>
    <w:rsid w:val="00EF54A7"/>
    <w:rsid w:val="00EF54A8"/>
    <w:rsid w:val="00EF54DE"/>
    <w:rsid w:val="00EF54F7"/>
    <w:rsid w:val="00EF54F8"/>
    <w:rsid w:val="00EF5556"/>
    <w:rsid w:val="00EF555B"/>
    <w:rsid w:val="00EF55AB"/>
    <w:rsid w:val="00EF55BE"/>
    <w:rsid w:val="00EF55C3"/>
    <w:rsid w:val="00EF5607"/>
    <w:rsid w:val="00EF564A"/>
    <w:rsid w:val="00EF564D"/>
    <w:rsid w:val="00EF5677"/>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302"/>
    <w:rsid w:val="00EF6309"/>
    <w:rsid w:val="00EF6340"/>
    <w:rsid w:val="00EF6361"/>
    <w:rsid w:val="00EF6391"/>
    <w:rsid w:val="00EF63E8"/>
    <w:rsid w:val="00EF63F1"/>
    <w:rsid w:val="00EF63F3"/>
    <w:rsid w:val="00EF6400"/>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D95"/>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40"/>
    <w:rsid w:val="00EF73A1"/>
    <w:rsid w:val="00EF73A9"/>
    <w:rsid w:val="00EF73E2"/>
    <w:rsid w:val="00EF7421"/>
    <w:rsid w:val="00EF7426"/>
    <w:rsid w:val="00EF746B"/>
    <w:rsid w:val="00EF748A"/>
    <w:rsid w:val="00EF748B"/>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6F"/>
    <w:rsid w:val="00EF777C"/>
    <w:rsid w:val="00EF77A0"/>
    <w:rsid w:val="00EF77C4"/>
    <w:rsid w:val="00EF77D1"/>
    <w:rsid w:val="00EF786E"/>
    <w:rsid w:val="00EF78A2"/>
    <w:rsid w:val="00EF78B9"/>
    <w:rsid w:val="00EF7915"/>
    <w:rsid w:val="00EF7942"/>
    <w:rsid w:val="00EF797A"/>
    <w:rsid w:val="00EF797F"/>
    <w:rsid w:val="00EF7A36"/>
    <w:rsid w:val="00EF7A65"/>
    <w:rsid w:val="00EF7A69"/>
    <w:rsid w:val="00EF7A76"/>
    <w:rsid w:val="00EF7A85"/>
    <w:rsid w:val="00EF7B10"/>
    <w:rsid w:val="00EF7B33"/>
    <w:rsid w:val="00EF7B43"/>
    <w:rsid w:val="00EF7B63"/>
    <w:rsid w:val="00EF7BBB"/>
    <w:rsid w:val="00EF7BEF"/>
    <w:rsid w:val="00EF7C54"/>
    <w:rsid w:val="00EF7C56"/>
    <w:rsid w:val="00EF7CAE"/>
    <w:rsid w:val="00EF7CC4"/>
    <w:rsid w:val="00EF7CE3"/>
    <w:rsid w:val="00EF7D12"/>
    <w:rsid w:val="00EF7D5A"/>
    <w:rsid w:val="00EF7D7B"/>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7"/>
    <w:rsid w:val="00F00859"/>
    <w:rsid w:val="00F0086E"/>
    <w:rsid w:val="00F0088E"/>
    <w:rsid w:val="00F00919"/>
    <w:rsid w:val="00F009A2"/>
    <w:rsid w:val="00F009C7"/>
    <w:rsid w:val="00F009D6"/>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CDC"/>
    <w:rsid w:val="00F00D1F"/>
    <w:rsid w:val="00F00DBA"/>
    <w:rsid w:val="00F00DC6"/>
    <w:rsid w:val="00F00DEF"/>
    <w:rsid w:val="00F00E9D"/>
    <w:rsid w:val="00F00F31"/>
    <w:rsid w:val="00F00F73"/>
    <w:rsid w:val="00F00F77"/>
    <w:rsid w:val="00F00F81"/>
    <w:rsid w:val="00F00FBD"/>
    <w:rsid w:val="00F00FFB"/>
    <w:rsid w:val="00F0100A"/>
    <w:rsid w:val="00F01023"/>
    <w:rsid w:val="00F0102D"/>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67"/>
    <w:rsid w:val="00F01D80"/>
    <w:rsid w:val="00F01D92"/>
    <w:rsid w:val="00F01DA4"/>
    <w:rsid w:val="00F01DC2"/>
    <w:rsid w:val="00F01F0C"/>
    <w:rsid w:val="00F01F12"/>
    <w:rsid w:val="00F01FC0"/>
    <w:rsid w:val="00F01FEE"/>
    <w:rsid w:val="00F020BC"/>
    <w:rsid w:val="00F02101"/>
    <w:rsid w:val="00F0218F"/>
    <w:rsid w:val="00F021AF"/>
    <w:rsid w:val="00F021C7"/>
    <w:rsid w:val="00F021CC"/>
    <w:rsid w:val="00F0220C"/>
    <w:rsid w:val="00F02213"/>
    <w:rsid w:val="00F022D8"/>
    <w:rsid w:val="00F022E4"/>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64"/>
    <w:rsid w:val="00F028D3"/>
    <w:rsid w:val="00F028F0"/>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61"/>
    <w:rsid w:val="00F02C7C"/>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C0"/>
    <w:rsid w:val="00F03E55"/>
    <w:rsid w:val="00F03E79"/>
    <w:rsid w:val="00F03E90"/>
    <w:rsid w:val="00F03EAA"/>
    <w:rsid w:val="00F03EB6"/>
    <w:rsid w:val="00F03F56"/>
    <w:rsid w:val="00F03FAB"/>
    <w:rsid w:val="00F04042"/>
    <w:rsid w:val="00F0408A"/>
    <w:rsid w:val="00F040B1"/>
    <w:rsid w:val="00F040BF"/>
    <w:rsid w:val="00F040E0"/>
    <w:rsid w:val="00F040F8"/>
    <w:rsid w:val="00F041A9"/>
    <w:rsid w:val="00F041FB"/>
    <w:rsid w:val="00F0422E"/>
    <w:rsid w:val="00F04249"/>
    <w:rsid w:val="00F04274"/>
    <w:rsid w:val="00F042AE"/>
    <w:rsid w:val="00F042B3"/>
    <w:rsid w:val="00F042B4"/>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DF"/>
    <w:rsid w:val="00F045EB"/>
    <w:rsid w:val="00F0462E"/>
    <w:rsid w:val="00F04630"/>
    <w:rsid w:val="00F04640"/>
    <w:rsid w:val="00F04680"/>
    <w:rsid w:val="00F046BA"/>
    <w:rsid w:val="00F04765"/>
    <w:rsid w:val="00F04791"/>
    <w:rsid w:val="00F047A5"/>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84"/>
    <w:rsid w:val="00F04F11"/>
    <w:rsid w:val="00F04F18"/>
    <w:rsid w:val="00F04F75"/>
    <w:rsid w:val="00F04F80"/>
    <w:rsid w:val="00F04FC0"/>
    <w:rsid w:val="00F0502E"/>
    <w:rsid w:val="00F05058"/>
    <w:rsid w:val="00F050B5"/>
    <w:rsid w:val="00F050C5"/>
    <w:rsid w:val="00F050D2"/>
    <w:rsid w:val="00F05184"/>
    <w:rsid w:val="00F051A1"/>
    <w:rsid w:val="00F051A2"/>
    <w:rsid w:val="00F051D1"/>
    <w:rsid w:val="00F051FE"/>
    <w:rsid w:val="00F05249"/>
    <w:rsid w:val="00F052BB"/>
    <w:rsid w:val="00F05308"/>
    <w:rsid w:val="00F05394"/>
    <w:rsid w:val="00F05410"/>
    <w:rsid w:val="00F05438"/>
    <w:rsid w:val="00F05441"/>
    <w:rsid w:val="00F0545B"/>
    <w:rsid w:val="00F054FF"/>
    <w:rsid w:val="00F05510"/>
    <w:rsid w:val="00F0557D"/>
    <w:rsid w:val="00F05585"/>
    <w:rsid w:val="00F055DF"/>
    <w:rsid w:val="00F055E2"/>
    <w:rsid w:val="00F055EC"/>
    <w:rsid w:val="00F055FB"/>
    <w:rsid w:val="00F0561D"/>
    <w:rsid w:val="00F05622"/>
    <w:rsid w:val="00F05632"/>
    <w:rsid w:val="00F0563B"/>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70"/>
    <w:rsid w:val="00F059CD"/>
    <w:rsid w:val="00F059FB"/>
    <w:rsid w:val="00F05A38"/>
    <w:rsid w:val="00F05A3D"/>
    <w:rsid w:val="00F05A97"/>
    <w:rsid w:val="00F05AEA"/>
    <w:rsid w:val="00F05BAD"/>
    <w:rsid w:val="00F05BBF"/>
    <w:rsid w:val="00F05BC1"/>
    <w:rsid w:val="00F05BFB"/>
    <w:rsid w:val="00F05C48"/>
    <w:rsid w:val="00F05C49"/>
    <w:rsid w:val="00F05C62"/>
    <w:rsid w:val="00F05C95"/>
    <w:rsid w:val="00F05C9B"/>
    <w:rsid w:val="00F05CB8"/>
    <w:rsid w:val="00F05CB9"/>
    <w:rsid w:val="00F05CF2"/>
    <w:rsid w:val="00F05D2A"/>
    <w:rsid w:val="00F05D30"/>
    <w:rsid w:val="00F05D7F"/>
    <w:rsid w:val="00F05D80"/>
    <w:rsid w:val="00F05DAD"/>
    <w:rsid w:val="00F05DB1"/>
    <w:rsid w:val="00F05DC3"/>
    <w:rsid w:val="00F05E8A"/>
    <w:rsid w:val="00F05EC2"/>
    <w:rsid w:val="00F05EEA"/>
    <w:rsid w:val="00F05F07"/>
    <w:rsid w:val="00F05F15"/>
    <w:rsid w:val="00F05F9F"/>
    <w:rsid w:val="00F05FF6"/>
    <w:rsid w:val="00F060D4"/>
    <w:rsid w:val="00F06121"/>
    <w:rsid w:val="00F0612F"/>
    <w:rsid w:val="00F06159"/>
    <w:rsid w:val="00F0615A"/>
    <w:rsid w:val="00F0616C"/>
    <w:rsid w:val="00F06171"/>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7"/>
    <w:rsid w:val="00F067EA"/>
    <w:rsid w:val="00F06839"/>
    <w:rsid w:val="00F068F6"/>
    <w:rsid w:val="00F0692F"/>
    <w:rsid w:val="00F06930"/>
    <w:rsid w:val="00F06974"/>
    <w:rsid w:val="00F069B6"/>
    <w:rsid w:val="00F069E8"/>
    <w:rsid w:val="00F069F6"/>
    <w:rsid w:val="00F069F8"/>
    <w:rsid w:val="00F06A02"/>
    <w:rsid w:val="00F06A1C"/>
    <w:rsid w:val="00F06B04"/>
    <w:rsid w:val="00F06B11"/>
    <w:rsid w:val="00F06B1D"/>
    <w:rsid w:val="00F06B1E"/>
    <w:rsid w:val="00F06B58"/>
    <w:rsid w:val="00F06B69"/>
    <w:rsid w:val="00F06B97"/>
    <w:rsid w:val="00F06BAF"/>
    <w:rsid w:val="00F06C0B"/>
    <w:rsid w:val="00F06C24"/>
    <w:rsid w:val="00F06C3C"/>
    <w:rsid w:val="00F06C79"/>
    <w:rsid w:val="00F06CC3"/>
    <w:rsid w:val="00F06D4B"/>
    <w:rsid w:val="00F06D98"/>
    <w:rsid w:val="00F06DBB"/>
    <w:rsid w:val="00F06DFC"/>
    <w:rsid w:val="00F06E4E"/>
    <w:rsid w:val="00F06EDA"/>
    <w:rsid w:val="00F06EDF"/>
    <w:rsid w:val="00F06EE9"/>
    <w:rsid w:val="00F06F25"/>
    <w:rsid w:val="00F06F94"/>
    <w:rsid w:val="00F06FC6"/>
    <w:rsid w:val="00F06FE8"/>
    <w:rsid w:val="00F07020"/>
    <w:rsid w:val="00F07024"/>
    <w:rsid w:val="00F07069"/>
    <w:rsid w:val="00F07105"/>
    <w:rsid w:val="00F0713E"/>
    <w:rsid w:val="00F0715E"/>
    <w:rsid w:val="00F0719C"/>
    <w:rsid w:val="00F071E9"/>
    <w:rsid w:val="00F07262"/>
    <w:rsid w:val="00F07298"/>
    <w:rsid w:val="00F072C3"/>
    <w:rsid w:val="00F0732B"/>
    <w:rsid w:val="00F07371"/>
    <w:rsid w:val="00F07373"/>
    <w:rsid w:val="00F0737F"/>
    <w:rsid w:val="00F07395"/>
    <w:rsid w:val="00F073FB"/>
    <w:rsid w:val="00F073FE"/>
    <w:rsid w:val="00F07444"/>
    <w:rsid w:val="00F074C4"/>
    <w:rsid w:val="00F07541"/>
    <w:rsid w:val="00F0754D"/>
    <w:rsid w:val="00F075B5"/>
    <w:rsid w:val="00F075CB"/>
    <w:rsid w:val="00F07611"/>
    <w:rsid w:val="00F0761F"/>
    <w:rsid w:val="00F07650"/>
    <w:rsid w:val="00F076AC"/>
    <w:rsid w:val="00F076CD"/>
    <w:rsid w:val="00F0777F"/>
    <w:rsid w:val="00F07800"/>
    <w:rsid w:val="00F07836"/>
    <w:rsid w:val="00F0783D"/>
    <w:rsid w:val="00F07871"/>
    <w:rsid w:val="00F07891"/>
    <w:rsid w:val="00F078C1"/>
    <w:rsid w:val="00F079FE"/>
    <w:rsid w:val="00F07A43"/>
    <w:rsid w:val="00F07A4B"/>
    <w:rsid w:val="00F07AC1"/>
    <w:rsid w:val="00F07B97"/>
    <w:rsid w:val="00F07BB0"/>
    <w:rsid w:val="00F07BB5"/>
    <w:rsid w:val="00F07BBE"/>
    <w:rsid w:val="00F07BF4"/>
    <w:rsid w:val="00F07C4F"/>
    <w:rsid w:val="00F07C57"/>
    <w:rsid w:val="00F07C60"/>
    <w:rsid w:val="00F07C90"/>
    <w:rsid w:val="00F07CAB"/>
    <w:rsid w:val="00F07CFF"/>
    <w:rsid w:val="00F07D84"/>
    <w:rsid w:val="00F07E54"/>
    <w:rsid w:val="00F07E56"/>
    <w:rsid w:val="00F07E67"/>
    <w:rsid w:val="00F07E96"/>
    <w:rsid w:val="00F07EA9"/>
    <w:rsid w:val="00F07EC4"/>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79"/>
    <w:rsid w:val="00F1037B"/>
    <w:rsid w:val="00F1038A"/>
    <w:rsid w:val="00F103D2"/>
    <w:rsid w:val="00F103D6"/>
    <w:rsid w:val="00F103F3"/>
    <w:rsid w:val="00F10433"/>
    <w:rsid w:val="00F10467"/>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00"/>
    <w:rsid w:val="00F10825"/>
    <w:rsid w:val="00F10827"/>
    <w:rsid w:val="00F10867"/>
    <w:rsid w:val="00F108A7"/>
    <w:rsid w:val="00F10912"/>
    <w:rsid w:val="00F1091F"/>
    <w:rsid w:val="00F10927"/>
    <w:rsid w:val="00F10942"/>
    <w:rsid w:val="00F1096C"/>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D07"/>
    <w:rsid w:val="00F10D2F"/>
    <w:rsid w:val="00F10DA5"/>
    <w:rsid w:val="00F10DBC"/>
    <w:rsid w:val="00F10E03"/>
    <w:rsid w:val="00F10E18"/>
    <w:rsid w:val="00F10E89"/>
    <w:rsid w:val="00F10E95"/>
    <w:rsid w:val="00F10EEE"/>
    <w:rsid w:val="00F10F0D"/>
    <w:rsid w:val="00F10F11"/>
    <w:rsid w:val="00F10F37"/>
    <w:rsid w:val="00F10FDF"/>
    <w:rsid w:val="00F10FF3"/>
    <w:rsid w:val="00F11016"/>
    <w:rsid w:val="00F11047"/>
    <w:rsid w:val="00F11084"/>
    <w:rsid w:val="00F110D8"/>
    <w:rsid w:val="00F11101"/>
    <w:rsid w:val="00F11105"/>
    <w:rsid w:val="00F11116"/>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6E"/>
    <w:rsid w:val="00F115D0"/>
    <w:rsid w:val="00F115E5"/>
    <w:rsid w:val="00F1162B"/>
    <w:rsid w:val="00F116A1"/>
    <w:rsid w:val="00F11865"/>
    <w:rsid w:val="00F1187C"/>
    <w:rsid w:val="00F1189B"/>
    <w:rsid w:val="00F11915"/>
    <w:rsid w:val="00F1196C"/>
    <w:rsid w:val="00F1199C"/>
    <w:rsid w:val="00F119AE"/>
    <w:rsid w:val="00F11A09"/>
    <w:rsid w:val="00F11A57"/>
    <w:rsid w:val="00F11A6F"/>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B1"/>
    <w:rsid w:val="00F126F4"/>
    <w:rsid w:val="00F12706"/>
    <w:rsid w:val="00F1279C"/>
    <w:rsid w:val="00F127A9"/>
    <w:rsid w:val="00F127B8"/>
    <w:rsid w:val="00F127B9"/>
    <w:rsid w:val="00F12864"/>
    <w:rsid w:val="00F1288D"/>
    <w:rsid w:val="00F128A8"/>
    <w:rsid w:val="00F128BC"/>
    <w:rsid w:val="00F128FF"/>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E37"/>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A9"/>
    <w:rsid w:val="00F136CB"/>
    <w:rsid w:val="00F136F2"/>
    <w:rsid w:val="00F13767"/>
    <w:rsid w:val="00F13781"/>
    <w:rsid w:val="00F137BF"/>
    <w:rsid w:val="00F13831"/>
    <w:rsid w:val="00F1386A"/>
    <w:rsid w:val="00F138BD"/>
    <w:rsid w:val="00F138C8"/>
    <w:rsid w:val="00F1396B"/>
    <w:rsid w:val="00F13A14"/>
    <w:rsid w:val="00F13AD8"/>
    <w:rsid w:val="00F13B97"/>
    <w:rsid w:val="00F13BE5"/>
    <w:rsid w:val="00F13C78"/>
    <w:rsid w:val="00F13D0E"/>
    <w:rsid w:val="00F13D44"/>
    <w:rsid w:val="00F13D84"/>
    <w:rsid w:val="00F13D8D"/>
    <w:rsid w:val="00F13D9E"/>
    <w:rsid w:val="00F13DA5"/>
    <w:rsid w:val="00F13DB5"/>
    <w:rsid w:val="00F13E35"/>
    <w:rsid w:val="00F13E88"/>
    <w:rsid w:val="00F13EF4"/>
    <w:rsid w:val="00F13F55"/>
    <w:rsid w:val="00F13F7D"/>
    <w:rsid w:val="00F13F9A"/>
    <w:rsid w:val="00F13FE1"/>
    <w:rsid w:val="00F1402C"/>
    <w:rsid w:val="00F14036"/>
    <w:rsid w:val="00F1404D"/>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84"/>
    <w:rsid w:val="00F14CA4"/>
    <w:rsid w:val="00F14CEF"/>
    <w:rsid w:val="00F14D76"/>
    <w:rsid w:val="00F14DA1"/>
    <w:rsid w:val="00F14DCF"/>
    <w:rsid w:val="00F14E3F"/>
    <w:rsid w:val="00F14E5A"/>
    <w:rsid w:val="00F14EA0"/>
    <w:rsid w:val="00F14EC3"/>
    <w:rsid w:val="00F14FA8"/>
    <w:rsid w:val="00F14FDF"/>
    <w:rsid w:val="00F1501C"/>
    <w:rsid w:val="00F15032"/>
    <w:rsid w:val="00F1506E"/>
    <w:rsid w:val="00F1507C"/>
    <w:rsid w:val="00F1509E"/>
    <w:rsid w:val="00F1510C"/>
    <w:rsid w:val="00F1511A"/>
    <w:rsid w:val="00F15189"/>
    <w:rsid w:val="00F151C9"/>
    <w:rsid w:val="00F15234"/>
    <w:rsid w:val="00F15238"/>
    <w:rsid w:val="00F1527D"/>
    <w:rsid w:val="00F1529F"/>
    <w:rsid w:val="00F152E1"/>
    <w:rsid w:val="00F152E5"/>
    <w:rsid w:val="00F15318"/>
    <w:rsid w:val="00F1533D"/>
    <w:rsid w:val="00F15343"/>
    <w:rsid w:val="00F1536E"/>
    <w:rsid w:val="00F1538F"/>
    <w:rsid w:val="00F153AE"/>
    <w:rsid w:val="00F153D8"/>
    <w:rsid w:val="00F15403"/>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C6"/>
    <w:rsid w:val="00F15FE8"/>
    <w:rsid w:val="00F16020"/>
    <w:rsid w:val="00F1603E"/>
    <w:rsid w:val="00F1605E"/>
    <w:rsid w:val="00F16076"/>
    <w:rsid w:val="00F160AE"/>
    <w:rsid w:val="00F160CC"/>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423"/>
    <w:rsid w:val="00F1642D"/>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58"/>
    <w:rsid w:val="00F16C86"/>
    <w:rsid w:val="00F16C99"/>
    <w:rsid w:val="00F16CF5"/>
    <w:rsid w:val="00F16D00"/>
    <w:rsid w:val="00F16D0D"/>
    <w:rsid w:val="00F16D28"/>
    <w:rsid w:val="00F16D9E"/>
    <w:rsid w:val="00F16DC5"/>
    <w:rsid w:val="00F16DF2"/>
    <w:rsid w:val="00F16DF7"/>
    <w:rsid w:val="00F16E36"/>
    <w:rsid w:val="00F16EE9"/>
    <w:rsid w:val="00F16F29"/>
    <w:rsid w:val="00F16F38"/>
    <w:rsid w:val="00F16F42"/>
    <w:rsid w:val="00F16F68"/>
    <w:rsid w:val="00F16F9E"/>
    <w:rsid w:val="00F16FA4"/>
    <w:rsid w:val="00F16FB1"/>
    <w:rsid w:val="00F16FF1"/>
    <w:rsid w:val="00F17011"/>
    <w:rsid w:val="00F17044"/>
    <w:rsid w:val="00F170AA"/>
    <w:rsid w:val="00F170EF"/>
    <w:rsid w:val="00F170F3"/>
    <w:rsid w:val="00F17123"/>
    <w:rsid w:val="00F1713B"/>
    <w:rsid w:val="00F1718D"/>
    <w:rsid w:val="00F17190"/>
    <w:rsid w:val="00F17215"/>
    <w:rsid w:val="00F17290"/>
    <w:rsid w:val="00F1731B"/>
    <w:rsid w:val="00F1734C"/>
    <w:rsid w:val="00F1736F"/>
    <w:rsid w:val="00F1737D"/>
    <w:rsid w:val="00F17413"/>
    <w:rsid w:val="00F17457"/>
    <w:rsid w:val="00F1745B"/>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1"/>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E"/>
    <w:rsid w:val="00F2002E"/>
    <w:rsid w:val="00F2005C"/>
    <w:rsid w:val="00F200FD"/>
    <w:rsid w:val="00F20110"/>
    <w:rsid w:val="00F20117"/>
    <w:rsid w:val="00F20131"/>
    <w:rsid w:val="00F20167"/>
    <w:rsid w:val="00F20187"/>
    <w:rsid w:val="00F201C7"/>
    <w:rsid w:val="00F201D9"/>
    <w:rsid w:val="00F20201"/>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51D"/>
    <w:rsid w:val="00F2051F"/>
    <w:rsid w:val="00F2054D"/>
    <w:rsid w:val="00F20557"/>
    <w:rsid w:val="00F20583"/>
    <w:rsid w:val="00F205A0"/>
    <w:rsid w:val="00F205A6"/>
    <w:rsid w:val="00F205DF"/>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EC"/>
    <w:rsid w:val="00F2141C"/>
    <w:rsid w:val="00F21449"/>
    <w:rsid w:val="00F21454"/>
    <w:rsid w:val="00F214F6"/>
    <w:rsid w:val="00F21509"/>
    <w:rsid w:val="00F2154F"/>
    <w:rsid w:val="00F215A4"/>
    <w:rsid w:val="00F215B3"/>
    <w:rsid w:val="00F21702"/>
    <w:rsid w:val="00F21728"/>
    <w:rsid w:val="00F21730"/>
    <w:rsid w:val="00F2173D"/>
    <w:rsid w:val="00F21743"/>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A2"/>
    <w:rsid w:val="00F21FDF"/>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9C"/>
    <w:rsid w:val="00F226C9"/>
    <w:rsid w:val="00F226E3"/>
    <w:rsid w:val="00F22702"/>
    <w:rsid w:val="00F2274E"/>
    <w:rsid w:val="00F2277A"/>
    <w:rsid w:val="00F227AE"/>
    <w:rsid w:val="00F228BE"/>
    <w:rsid w:val="00F228FC"/>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8"/>
    <w:rsid w:val="00F22FBD"/>
    <w:rsid w:val="00F22FCC"/>
    <w:rsid w:val="00F22FE8"/>
    <w:rsid w:val="00F23017"/>
    <w:rsid w:val="00F23038"/>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F8"/>
    <w:rsid w:val="00F23533"/>
    <w:rsid w:val="00F23547"/>
    <w:rsid w:val="00F23553"/>
    <w:rsid w:val="00F235B2"/>
    <w:rsid w:val="00F235E4"/>
    <w:rsid w:val="00F2362F"/>
    <w:rsid w:val="00F2365D"/>
    <w:rsid w:val="00F2366E"/>
    <w:rsid w:val="00F236BC"/>
    <w:rsid w:val="00F236C4"/>
    <w:rsid w:val="00F236F5"/>
    <w:rsid w:val="00F23720"/>
    <w:rsid w:val="00F237EA"/>
    <w:rsid w:val="00F23819"/>
    <w:rsid w:val="00F2381C"/>
    <w:rsid w:val="00F23833"/>
    <w:rsid w:val="00F238EB"/>
    <w:rsid w:val="00F23903"/>
    <w:rsid w:val="00F23978"/>
    <w:rsid w:val="00F23A34"/>
    <w:rsid w:val="00F23A3C"/>
    <w:rsid w:val="00F23A73"/>
    <w:rsid w:val="00F23A8E"/>
    <w:rsid w:val="00F23ABD"/>
    <w:rsid w:val="00F23ACC"/>
    <w:rsid w:val="00F23AF8"/>
    <w:rsid w:val="00F23B19"/>
    <w:rsid w:val="00F23B5C"/>
    <w:rsid w:val="00F23B77"/>
    <w:rsid w:val="00F23BB6"/>
    <w:rsid w:val="00F23BFC"/>
    <w:rsid w:val="00F23C72"/>
    <w:rsid w:val="00F23C74"/>
    <w:rsid w:val="00F23C97"/>
    <w:rsid w:val="00F23CE6"/>
    <w:rsid w:val="00F23CEF"/>
    <w:rsid w:val="00F23CFC"/>
    <w:rsid w:val="00F23D27"/>
    <w:rsid w:val="00F23D46"/>
    <w:rsid w:val="00F23D54"/>
    <w:rsid w:val="00F23D55"/>
    <w:rsid w:val="00F23DC8"/>
    <w:rsid w:val="00F23E61"/>
    <w:rsid w:val="00F23E95"/>
    <w:rsid w:val="00F23EFA"/>
    <w:rsid w:val="00F23F1A"/>
    <w:rsid w:val="00F23F6E"/>
    <w:rsid w:val="00F23F7A"/>
    <w:rsid w:val="00F23F96"/>
    <w:rsid w:val="00F23FA3"/>
    <w:rsid w:val="00F23FBB"/>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E3"/>
    <w:rsid w:val="00F2441C"/>
    <w:rsid w:val="00F24427"/>
    <w:rsid w:val="00F24432"/>
    <w:rsid w:val="00F2445C"/>
    <w:rsid w:val="00F24465"/>
    <w:rsid w:val="00F244A9"/>
    <w:rsid w:val="00F244D7"/>
    <w:rsid w:val="00F244EC"/>
    <w:rsid w:val="00F244ED"/>
    <w:rsid w:val="00F2453D"/>
    <w:rsid w:val="00F2455C"/>
    <w:rsid w:val="00F2457F"/>
    <w:rsid w:val="00F24637"/>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8F"/>
    <w:rsid w:val="00F2499A"/>
    <w:rsid w:val="00F24A05"/>
    <w:rsid w:val="00F24A20"/>
    <w:rsid w:val="00F24A3B"/>
    <w:rsid w:val="00F24A53"/>
    <w:rsid w:val="00F24AEF"/>
    <w:rsid w:val="00F24AF1"/>
    <w:rsid w:val="00F24B56"/>
    <w:rsid w:val="00F24B77"/>
    <w:rsid w:val="00F24BA6"/>
    <w:rsid w:val="00F24BFD"/>
    <w:rsid w:val="00F24C0D"/>
    <w:rsid w:val="00F24C27"/>
    <w:rsid w:val="00F24CBC"/>
    <w:rsid w:val="00F24D24"/>
    <w:rsid w:val="00F24D72"/>
    <w:rsid w:val="00F24DBD"/>
    <w:rsid w:val="00F24DCF"/>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1E"/>
    <w:rsid w:val="00F2559F"/>
    <w:rsid w:val="00F25638"/>
    <w:rsid w:val="00F25661"/>
    <w:rsid w:val="00F2567A"/>
    <w:rsid w:val="00F25684"/>
    <w:rsid w:val="00F256AA"/>
    <w:rsid w:val="00F256AC"/>
    <w:rsid w:val="00F256E7"/>
    <w:rsid w:val="00F25745"/>
    <w:rsid w:val="00F257B5"/>
    <w:rsid w:val="00F25821"/>
    <w:rsid w:val="00F25879"/>
    <w:rsid w:val="00F2588B"/>
    <w:rsid w:val="00F258DB"/>
    <w:rsid w:val="00F2595C"/>
    <w:rsid w:val="00F2595E"/>
    <w:rsid w:val="00F259D6"/>
    <w:rsid w:val="00F25A50"/>
    <w:rsid w:val="00F25A58"/>
    <w:rsid w:val="00F25AF0"/>
    <w:rsid w:val="00F25AFD"/>
    <w:rsid w:val="00F25B50"/>
    <w:rsid w:val="00F25B78"/>
    <w:rsid w:val="00F25B95"/>
    <w:rsid w:val="00F25BAB"/>
    <w:rsid w:val="00F25BF9"/>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3E"/>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6B"/>
    <w:rsid w:val="00F2647F"/>
    <w:rsid w:val="00F26489"/>
    <w:rsid w:val="00F264BB"/>
    <w:rsid w:val="00F264D5"/>
    <w:rsid w:val="00F264FD"/>
    <w:rsid w:val="00F26534"/>
    <w:rsid w:val="00F26571"/>
    <w:rsid w:val="00F265C6"/>
    <w:rsid w:val="00F26604"/>
    <w:rsid w:val="00F2662D"/>
    <w:rsid w:val="00F26681"/>
    <w:rsid w:val="00F26689"/>
    <w:rsid w:val="00F26732"/>
    <w:rsid w:val="00F26766"/>
    <w:rsid w:val="00F267BE"/>
    <w:rsid w:val="00F267C2"/>
    <w:rsid w:val="00F26836"/>
    <w:rsid w:val="00F26846"/>
    <w:rsid w:val="00F268A8"/>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FA"/>
    <w:rsid w:val="00F27A3D"/>
    <w:rsid w:val="00F27A46"/>
    <w:rsid w:val="00F27AD8"/>
    <w:rsid w:val="00F27AF9"/>
    <w:rsid w:val="00F27B07"/>
    <w:rsid w:val="00F27C62"/>
    <w:rsid w:val="00F27CD0"/>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3F0"/>
    <w:rsid w:val="00F303F1"/>
    <w:rsid w:val="00F30426"/>
    <w:rsid w:val="00F30458"/>
    <w:rsid w:val="00F3047C"/>
    <w:rsid w:val="00F304A4"/>
    <w:rsid w:val="00F30604"/>
    <w:rsid w:val="00F3063A"/>
    <w:rsid w:val="00F3066D"/>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C16"/>
    <w:rsid w:val="00F30C30"/>
    <w:rsid w:val="00F30CD9"/>
    <w:rsid w:val="00F30D73"/>
    <w:rsid w:val="00F30D83"/>
    <w:rsid w:val="00F30D89"/>
    <w:rsid w:val="00F30DD6"/>
    <w:rsid w:val="00F30EA5"/>
    <w:rsid w:val="00F30EBE"/>
    <w:rsid w:val="00F30ED0"/>
    <w:rsid w:val="00F30F85"/>
    <w:rsid w:val="00F30FCD"/>
    <w:rsid w:val="00F31014"/>
    <w:rsid w:val="00F31046"/>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B5"/>
    <w:rsid w:val="00F313B9"/>
    <w:rsid w:val="00F3141F"/>
    <w:rsid w:val="00F31462"/>
    <w:rsid w:val="00F31494"/>
    <w:rsid w:val="00F314E2"/>
    <w:rsid w:val="00F31504"/>
    <w:rsid w:val="00F31510"/>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82"/>
    <w:rsid w:val="00F31BE3"/>
    <w:rsid w:val="00F31BFC"/>
    <w:rsid w:val="00F31C1F"/>
    <w:rsid w:val="00F31C3E"/>
    <w:rsid w:val="00F31C51"/>
    <w:rsid w:val="00F31CD7"/>
    <w:rsid w:val="00F31CDC"/>
    <w:rsid w:val="00F31CF1"/>
    <w:rsid w:val="00F31CFF"/>
    <w:rsid w:val="00F31D0A"/>
    <w:rsid w:val="00F31D0C"/>
    <w:rsid w:val="00F31D8F"/>
    <w:rsid w:val="00F31D96"/>
    <w:rsid w:val="00F31DBE"/>
    <w:rsid w:val="00F31DC4"/>
    <w:rsid w:val="00F31DC8"/>
    <w:rsid w:val="00F31DCB"/>
    <w:rsid w:val="00F31E33"/>
    <w:rsid w:val="00F31EA8"/>
    <w:rsid w:val="00F31EEE"/>
    <w:rsid w:val="00F31F17"/>
    <w:rsid w:val="00F31F3B"/>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45"/>
    <w:rsid w:val="00F32359"/>
    <w:rsid w:val="00F323B0"/>
    <w:rsid w:val="00F323CE"/>
    <w:rsid w:val="00F323DF"/>
    <w:rsid w:val="00F3241D"/>
    <w:rsid w:val="00F3242D"/>
    <w:rsid w:val="00F32431"/>
    <w:rsid w:val="00F32460"/>
    <w:rsid w:val="00F3246F"/>
    <w:rsid w:val="00F32479"/>
    <w:rsid w:val="00F32480"/>
    <w:rsid w:val="00F32496"/>
    <w:rsid w:val="00F324A8"/>
    <w:rsid w:val="00F324AB"/>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7E"/>
    <w:rsid w:val="00F32781"/>
    <w:rsid w:val="00F3279B"/>
    <w:rsid w:val="00F327F7"/>
    <w:rsid w:val="00F32816"/>
    <w:rsid w:val="00F3281E"/>
    <w:rsid w:val="00F3283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42"/>
    <w:rsid w:val="00F32C4D"/>
    <w:rsid w:val="00F32CAE"/>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C9"/>
    <w:rsid w:val="00F333DD"/>
    <w:rsid w:val="00F334A6"/>
    <w:rsid w:val="00F334AE"/>
    <w:rsid w:val="00F3352C"/>
    <w:rsid w:val="00F33541"/>
    <w:rsid w:val="00F335DC"/>
    <w:rsid w:val="00F335F4"/>
    <w:rsid w:val="00F3362B"/>
    <w:rsid w:val="00F3368B"/>
    <w:rsid w:val="00F336FF"/>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19"/>
    <w:rsid w:val="00F34146"/>
    <w:rsid w:val="00F34162"/>
    <w:rsid w:val="00F341A2"/>
    <w:rsid w:val="00F341E5"/>
    <w:rsid w:val="00F34281"/>
    <w:rsid w:val="00F34287"/>
    <w:rsid w:val="00F343E1"/>
    <w:rsid w:val="00F3440F"/>
    <w:rsid w:val="00F34429"/>
    <w:rsid w:val="00F34431"/>
    <w:rsid w:val="00F34480"/>
    <w:rsid w:val="00F344B9"/>
    <w:rsid w:val="00F344D7"/>
    <w:rsid w:val="00F344E1"/>
    <w:rsid w:val="00F34528"/>
    <w:rsid w:val="00F3456A"/>
    <w:rsid w:val="00F3457C"/>
    <w:rsid w:val="00F34583"/>
    <w:rsid w:val="00F34588"/>
    <w:rsid w:val="00F34593"/>
    <w:rsid w:val="00F34599"/>
    <w:rsid w:val="00F345CE"/>
    <w:rsid w:val="00F345D4"/>
    <w:rsid w:val="00F3460D"/>
    <w:rsid w:val="00F34643"/>
    <w:rsid w:val="00F34682"/>
    <w:rsid w:val="00F3468D"/>
    <w:rsid w:val="00F346C0"/>
    <w:rsid w:val="00F346E6"/>
    <w:rsid w:val="00F346F1"/>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1D8"/>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2F"/>
    <w:rsid w:val="00F35995"/>
    <w:rsid w:val="00F359E2"/>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7"/>
    <w:rsid w:val="00F35CDC"/>
    <w:rsid w:val="00F35D3F"/>
    <w:rsid w:val="00F35DB2"/>
    <w:rsid w:val="00F35F33"/>
    <w:rsid w:val="00F35FBF"/>
    <w:rsid w:val="00F35FD9"/>
    <w:rsid w:val="00F36012"/>
    <w:rsid w:val="00F3609C"/>
    <w:rsid w:val="00F360AE"/>
    <w:rsid w:val="00F36113"/>
    <w:rsid w:val="00F3612B"/>
    <w:rsid w:val="00F36220"/>
    <w:rsid w:val="00F36234"/>
    <w:rsid w:val="00F3626D"/>
    <w:rsid w:val="00F36272"/>
    <w:rsid w:val="00F3627B"/>
    <w:rsid w:val="00F362B5"/>
    <w:rsid w:val="00F3636D"/>
    <w:rsid w:val="00F363A5"/>
    <w:rsid w:val="00F363B2"/>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AC"/>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7EE"/>
    <w:rsid w:val="00F37831"/>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7F"/>
    <w:rsid w:val="00F37AD3"/>
    <w:rsid w:val="00F37B8A"/>
    <w:rsid w:val="00F37BA3"/>
    <w:rsid w:val="00F37BB1"/>
    <w:rsid w:val="00F37BBE"/>
    <w:rsid w:val="00F37BDD"/>
    <w:rsid w:val="00F37C3A"/>
    <w:rsid w:val="00F37C6E"/>
    <w:rsid w:val="00F37E79"/>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C0"/>
    <w:rsid w:val="00F4020A"/>
    <w:rsid w:val="00F40216"/>
    <w:rsid w:val="00F4027E"/>
    <w:rsid w:val="00F4029B"/>
    <w:rsid w:val="00F402EC"/>
    <w:rsid w:val="00F402F5"/>
    <w:rsid w:val="00F4030F"/>
    <w:rsid w:val="00F4031D"/>
    <w:rsid w:val="00F4032A"/>
    <w:rsid w:val="00F40349"/>
    <w:rsid w:val="00F40358"/>
    <w:rsid w:val="00F40371"/>
    <w:rsid w:val="00F403AD"/>
    <w:rsid w:val="00F403AF"/>
    <w:rsid w:val="00F403B7"/>
    <w:rsid w:val="00F403DB"/>
    <w:rsid w:val="00F403FA"/>
    <w:rsid w:val="00F40474"/>
    <w:rsid w:val="00F404E2"/>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35"/>
    <w:rsid w:val="00F40E3A"/>
    <w:rsid w:val="00F40E6C"/>
    <w:rsid w:val="00F40E90"/>
    <w:rsid w:val="00F40EAF"/>
    <w:rsid w:val="00F40EBD"/>
    <w:rsid w:val="00F40F01"/>
    <w:rsid w:val="00F40F04"/>
    <w:rsid w:val="00F40F8A"/>
    <w:rsid w:val="00F40F92"/>
    <w:rsid w:val="00F40FCB"/>
    <w:rsid w:val="00F40FCE"/>
    <w:rsid w:val="00F40FCF"/>
    <w:rsid w:val="00F40FE5"/>
    <w:rsid w:val="00F41087"/>
    <w:rsid w:val="00F4108B"/>
    <w:rsid w:val="00F410AF"/>
    <w:rsid w:val="00F410C2"/>
    <w:rsid w:val="00F410DD"/>
    <w:rsid w:val="00F410E8"/>
    <w:rsid w:val="00F41175"/>
    <w:rsid w:val="00F41178"/>
    <w:rsid w:val="00F411A2"/>
    <w:rsid w:val="00F411A8"/>
    <w:rsid w:val="00F411BF"/>
    <w:rsid w:val="00F411C0"/>
    <w:rsid w:val="00F411EA"/>
    <w:rsid w:val="00F4120E"/>
    <w:rsid w:val="00F4123E"/>
    <w:rsid w:val="00F4125D"/>
    <w:rsid w:val="00F4128F"/>
    <w:rsid w:val="00F41458"/>
    <w:rsid w:val="00F41459"/>
    <w:rsid w:val="00F414E5"/>
    <w:rsid w:val="00F41583"/>
    <w:rsid w:val="00F4164F"/>
    <w:rsid w:val="00F41699"/>
    <w:rsid w:val="00F416CF"/>
    <w:rsid w:val="00F416D3"/>
    <w:rsid w:val="00F416F0"/>
    <w:rsid w:val="00F4179B"/>
    <w:rsid w:val="00F417B4"/>
    <w:rsid w:val="00F41801"/>
    <w:rsid w:val="00F41828"/>
    <w:rsid w:val="00F418F6"/>
    <w:rsid w:val="00F41905"/>
    <w:rsid w:val="00F4199B"/>
    <w:rsid w:val="00F419AF"/>
    <w:rsid w:val="00F419E8"/>
    <w:rsid w:val="00F419F2"/>
    <w:rsid w:val="00F41A32"/>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5"/>
    <w:rsid w:val="00F42241"/>
    <w:rsid w:val="00F422A7"/>
    <w:rsid w:val="00F422B8"/>
    <w:rsid w:val="00F42314"/>
    <w:rsid w:val="00F4233B"/>
    <w:rsid w:val="00F4233E"/>
    <w:rsid w:val="00F4238E"/>
    <w:rsid w:val="00F423A2"/>
    <w:rsid w:val="00F423F8"/>
    <w:rsid w:val="00F423FD"/>
    <w:rsid w:val="00F4240B"/>
    <w:rsid w:val="00F4241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78"/>
    <w:rsid w:val="00F42981"/>
    <w:rsid w:val="00F4298C"/>
    <w:rsid w:val="00F4299E"/>
    <w:rsid w:val="00F42A51"/>
    <w:rsid w:val="00F42A6E"/>
    <w:rsid w:val="00F42A7A"/>
    <w:rsid w:val="00F42AC5"/>
    <w:rsid w:val="00F42AF2"/>
    <w:rsid w:val="00F42AF9"/>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22"/>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1E"/>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2E"/>
    <w:rsid w:val="00F43A70"/>
    <w:rsid w:val="00F43A88"/>
    <w:rsid w:val="00F43B22"/>
    <w:rsid w:val="00F43B35"/>
    <w:rsid w:val="00F43B76"/>
    <w:rsid w:val="00F43B8F"/>
    <w:rsid w:val="00F43C2F"/>
    <w:rsid w:val="00F43C67"/>
    <w:rsid w:val="00F43CB8"/>
    <w:rsid w:val="00F43D0A"/>
    <w:rsid w:val="00F43D1F"/>
    <w:rsid w:val="00F43DAD"/>
    <w:rsid w:val="00F43DFC"/>
    <w:rsid w:val="00F43E2B"/>
    <w:rsid w:val="00F43E35"/>
    <w:rsid w:val="00F43E83"/>
    <w:rsid w:val="00F43E95"/>
    <w:rsid w:val="00F43E9B"/>
    <w:rsid w:val="00F43EEF"/>
    <w:rsid w:val="00F43F6D"/>
    <w:rsid w:val="00F43FB6"/>
    <w:rsid w:val="00F440C1"/>
    <w:rsid w:val="00F4412B"/>
    <w:rsid w:val="00F4412D"/>
    <w:rsid w:val="00F441FB"/>
    <w:rsid w:val="00F4422A"/>
    <w:rsid w:val="00F442A6"/>
    <w:rsid w:val="00F442B5"/>
    <w:rsid w:val="00F442CC"/>
    <w:rsid w:val="00F4430B"/>
    <w:rsid w:val="00F44358"/>
    <w:rsid w:val="00F4435B"/>
    <w:rsid w:val="00F443C1"/>
    <w:rsid w:val="00F444A7"/>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6C"/>
    <w:rsid w:val="00F44FE8"/>
    <w:rsid w:val="00F44FF7"/>
    <w:rsid w:val="00F44FFB"/>
    <w:rsid w:val="00F4500C"/>
    <w:rsid w:val="00F4507A"/>
    <w:rsid w:val="00F450C6"/>
    <w:rsid w:val="00F45105"/>
    <w:rsid w:val="00F4511C"/>
    <w:rsid w:val="00F45122"/>
    <w:rsid w:val="00F45146"/>
    <w:rsid w:val="00F45150"/>
    <w:rsid w:val="00F45158"/>
    <w:rsid w:val="00F4517A"/>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C0"/>
    <w:rsid w:val="00F458F6"/>
    <w:rsid w:val="00F458FD"/>
    <w:rsid w:val="00F45924"/>
    <w:rsid w:val="00F45952"/>
    <w:rsid w:val="00F45958"/>
    <w:rsid w:val="00F4597E"/>
    <w:rsid w:val="00F459A9"/>
    <w:rsid w:val="00F459DF"/>
    <w:rsid w:val="00F459E6"/>
    <w:rsid w:val="00F45A03"/>
    <w:rsid w:val="00F45A08"/>
    <w:rsid w:val="00F45A74"/>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7E"/>
    <w:rsid w:val="00F460C5"/>
    <w:rsid w:val="00F46147"/>
    <w:rsid w:val="00F4615B"/>
    <w:rsid w:val="00F4617A"/>
    <w:rsid w:val="00F461A6"/>
    <w:rsid w:val="00F461A7"/>
    <w:rsid w:val="00F461E1"/>
    <w:rsid w:val="00F46204"/>
    <w:rsid w:val="00F4620F"/>
    <w:rsid w:val="00F46210"/>
    <w:rsid w:val="00F46241"/>
    <w:rsid w:val="00F4625D"/>
    <w:rsid w:val="00F462F4"/>
    <w:rsid w:val="00F462FC"/>
    <w:rsid w:val="00F46361"/>
    <w:rsid w:val="00F4638A"/>
    <w:rsid w:val="00F463F3"/>
    <w:rsid w:val="00F463FD"/>
    <w:rsid w:val="00F46445"/>
    <w:rsid w:val="00F4645F"/>
    <w:rsid w:val="00F46476"/>
    <w:rsid w:val="00F464B5"/>
    <w:rsid w:val="00F464B6"/>
    <w:rsid w:val="00F46525"/>
    <w:rsid w:val="00F46591"/>
    <w:rsid w:val="00F465DF"/>
    <w:rsid w:val="00F46633"/>
    <w:rsid w:val="00F46649"/>
    <w:rsid w:val="00F46673"/>
    <w:rsid w:val="00F46697"/>
    <w:rsid w:val="00F466D8"/>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9B"/>
    <w:rsid w:val="00F46DAD"/>
    <w:rsid w:val="00F46E05"/>
    <w:rsid w:val="00F46E10"/>
    <w:rsid w:val="00F46EFD"/>
    <w:rsid w:val="00F46F17"/>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25"/>
    <w:rsid w:val="00F47470"/>
    <w:rsid w:val="00F47484"/>
    <w:rsid w:val="00F474B3"/>
    <w:rsid w:val="00F47511"/>
    <w:rsid w:val="00F4753C"/>
    <w:rsid w:val="00F47540"/>
    <w:rsid w:val="00F47568"/>
    <w:rsid w:val="00F4756D"/>
    <w:rsid w:val="00F47591"/>
    <w:rsid w:val="00F4767D"/>
    <w:rsid w:val="00F476A6"/>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85"/>
    <w:rsid w:val="00F47DDC"/>
    <w:rsid w:val="00F47DF3"/>
    <w:rsid w:val="00F47DF7"/>
    <w:rsid w:val="00F47E5D"/>
    <w:rsid w:val="00F47EE5"/>
    <w:rsid w:val="00F47F22"/>
    <w:rsid w:val="00F47F3C"/>
    <w:rsid w:val="00F47FCF"/>
    <w:rsid w:val="00F47FD8"/>
    <w:rsid w:val="00F5003A"/>
    <w:rsid w:val="00F50080"/>
    <w:rsid w:val="00F5009F"/>
    <w:rsid w:val="00F500C0"/>
    <w:rsid w:val="00F500DC"/>
    <w:rsid w:val="00F500FD"/>
    <w:rsid w:val="00F50144"/>
    <w:rsid w:val="00F501FC"/>
    <w:rsid w:val="00F5020B"/>
    <w:rsid w:val="00F50298"/>
    <w:rsid w:val="00F5030D"/>
    <w:rsid w:val="00F50348"/>
    <w:rsid w:val="00F50351"/>
    <w:rsid w:val="00F5035C"/>
    <w:rsid w:val="00F5036F"/>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6A"/>
    <w:rsid w:val="00F509CE"/>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0FFA"/>
    <w:rsid w:val="00F51009"/>
    <w:rsid w:val="00F51187"/>
    <w:rsid w:val="00F5119D"/>
    <w:rsid w:val="00F511FB"/>
    <w:rsid w:val="00F51258"/>
    <w:rsid w:val="00F5126F"/>
    <w:rsid w:val="00F51273"/>
    <w:rsid w:val="00F512F0"/>
    <w:rsid w:val="00F512FC"/>
    <w:rsid w:val="00F51326"/>
    <w:rsid w:val="00F51396"/>
    <w:rsid w:val="00F513A8"/>
    <w:rsid w:val="00F513B6"/>
    <w:rsid w:val="00F513BC"/>
    <w:rsid w:val="00F51473"/>
    <w:rsid w:val="00F51483"/>
    <w:rsid w:val="00F5148F"/>
    <w:rsid w:val="00F5150C"/>
    <w:rsid w:val="00F5154D"/>
    <w:rsid w:val="00F5156C"/>
    <w:rsid w:val="00F515A3"/>
    <w:rsid w:val="00F51660"/>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68"/>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37"/>
    <w:rsid w:val="00F5216B"/>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9D"/>
    <w:rsid w:val="00F526F6"/>
    <w:rsid w:val="00F5274B"/>
    <w:rsid w:val="00F52783"/>
    <w:rsid w:val="00F527CB"/>
    <w:rsid w:val="00F527CE"/>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8D"/>
    <w:rsid w:val="00F5319A"/>
    <w:rsid w:val="00F531BB"/>
    <w:rsid w:val="00F531DC"/>
    <w:rsid w:val="00F531E4"/>
    <w:rsid w:val="00F53247"/>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CB"/>
    <w:rsid w:val="00F5353A"/>
    <w:rsid w:val="00F53576"/>
    <w:rsid w:val="00F535C0"/>
    <w:rsid w:val="00F535D2"/>
    <w:rsid w:val="00F535FD"/>
    <w:rsid w:val="00F53602"/>
    <w:rsid w:val="00F5363E"/>
    <w:rsid w:val="00F5366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62"/>
    <w:rsid w:val="00F53982"/>
    <w:rsid w:val="00F539D6"/>
    <w:rsid w:val="00F539F0"/>
    <w:rsid w:val="00F539F2"/>
    <w:rsid w:val="00F53A19"/>
    <w:rsid w:val="00F53A52"/>
    <w:rsid w:val="00F53AA0"/>
    <w:rsid w:val="00F53AB4"/>
    <w:rsid w:val="00F53ACD"/>
    <w:rsid w:val="00F53B6C"/>
    <w:rsid w:val="00F53B8E"/>
    <w:rsid w:val="00F53B96"/>
    <w:rsid w:val="00F53BB0"/>
    <w:rsid w:val="00F53C2B"/>
    <w:rsid w:val="00F53C2C"/>
    <w:rsid w:val="00F53C7F"/>
    <w:rsid w:val="00F53C88"/>
    <w:rsid w:val="00F53C93"/>
    <w:rsid w:val="00F53CB4"/>
    <w:rsid w:val="00F53D11"/>
    <w:rsid w:val="00F53D15"/>
    <w:rsid w:val="00F53D56"/>
    <w:rsid w:val="00F53D67"/>
    <w:rsid w:val="00F53D7D"/>
    <w:rsid w:val="00F53D85"/>
    <w:rsid w:val="00F53D88"/>
    <w:rsid w:val="00F53DA8"/>
    <w:rsid w:val="00F53DC3"/>
    <w:rsid w:val="00F53DD5"/>
    <w:rsid w:val="00F53E2D"/>
    <w:rsid w:val="00F53E63"/>
    <w:rsid w:val="00F53ED2"/>
    <w:rsid w:val="00F53EF4"/>
    <w:rsid w:val="00F53F2C"/>
    <w:rsid w:val="00F53F2F"/>
    <w:rsid w:val="00F53F6E"/>
    <w:rsid w:val="00F53F79"/>
    <w:rsid w:val="00F53FEC"/>
    <w:rsid w:val="00F5401B"/>
    <w:rsid w:val="00F54057"/>
    <w:rsid w:val="00F54076"/>
    <w:rsid w:val="00F5409C"/>
    <w:rsid w:val="00F540E8"/>
    <w:rsid w:val="00F540EA"/>
    <w:rsid w:val="00F540EB"/>
    <w:rsid w:val="00F54134"/>
    <w:rsid w:val="00F5428D"/>
    <w:rsid w:val="00F542A9"/>
    <w:rsid w:val="00F54309"/>
    <w:rsid w:val="00F54314"/>
    <w:rsid w:val="00F54393"/>
    <w:rsid w:val="00F543A6"/>
    <w:rsid w:val="00F543B7"/>
    <w:rsid w:val="00F543FA"/>
    <w:rsid w:val="00F54400"/>
    <w:rsid w:val="00F54421"/>
    <w:rsid w:val="00F544C0"/>
    <w:rsid w:val="00F54507"/>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98"/>
    <w:rsid w:val="00F54FA5"/>
    <w:rsid w:val="00F54FD3"/>
    <w:rsid w:val="00F54FE3"/>
    <w:rsid w:val="00F54FEA"/>
    <w:rsid w:val="00F54FF1"/>
    <w:rsid w:val="00F5504A"/>
    <w:rsid w:val="00F5504F"/>
    <w:rsid w:val="00F55061"/>
    <w:rsid w:val="00F55074"/>
    <w:rsid w:val="00F550F1"/>
    <w:rsid w:val="00F550F8"/>
    <w:rsid w:val="00F5510D"/>
    <w:rsid w:val="00F55166"/>
    <w:rsid w:val="00F55183"/>
    <w:rsid w:val="00F55194"/>
    <w:rsid w:val="00F551CC"/>
    <w:rsid w:val="00F551F0"/>
    <w:rsid w:val="00F551FC"/>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41A"/>
    <w:rsid w:val="00F554CA"/>
    <w:rsid w:val="00F55502"/>
    <w:rsid w:val="00F5553E"/>
    <w:rsid w:val="00F55549"/>
    <w:rsid w:val="00F55551"/>
    <w:rsid w:val="00F55566"/>
    <w:rsid w:val="00F5558B"/>
    <w:rsid w:val="00F55599"/>
    <w:rsid w:val="00F5559A"/>
    <w:rsid w:val="00F555FA"/>
    <w:rsid w:val="00F55641"/>
    <w:rsid w:val="00F5569E"/>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B8"/>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BD"/>
    <w:rsid w:val="00F563D7"/>
    <w:rsid w:val="00F563ED"/>
    <w:rsid w:val="00F5641D"/>
    <w:rsid w:val="00F564CB"/>
    <w:rsid w:val="00F564D7"/>
    <w:rsid w:val="00F564F7"/>
    <w:rsid w:val="00F5652C"/>
    <w:rsid w:val="00F56587"/>
    <w:rsid w:val="00F565DE"/>
    <w:rsid w:val="00F56648"/>
    <w:rsid w:val="00F5669E"/>
    <w:rsid w:val="00F566AB"/>
    <w:rsid w:val="00F566CF"/>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EC"/>
    <w:rsid w:val="00F572F3"/>
    <w:rsid w:val="00F572F9"/>
    <w:rsid w:val="00F57380"/>
    <w:rsid w:val="00F573B6"/>
    <w:rsid w:val="00F573C8"/>
    <w:rsid w:val="00F573EE"/>
    <w:rsid w:val="00F57407"/>
    <w:rsid w:val="00F574A3"/>
    <w:rsid w:val="00F57512"/>
    <w:rsid w:val="00F57522"/>
    <w:rsid w:val="00F57561"/>
    <w:rsid w:val="00F57563"/>
    <w:rsid w:val="00F57567"/>
    <w:rsid w:val="00F57599"/>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E2"/>
    <w:rsid w:val="00F577F2"/>
    <w:rsid w:val="00F57855"/>
    <w:rsid w:val="00F57908"/>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E01"/>
    <w:rsid w:val="00F57E39"/>
    <w:rsid w:val="00F57E4E"/>
    <w:rsid w:val="00F57EE1"/>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8B"/>
    <w:rsid w:val="00F601F4"/>
    <w:rsid w:val="00F6023C"/>
    <w:rsid w:val="00F602F8"/>
    <w:rsid w:val="00F6030E"/>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EF"/>
    <w:rsid w:val="00F60C3E"/>
    <w:rsid w:val="00F60C75"/>
    <w:rsid w:val="00F60D1C"/>
    <w:rsid w:val="00F60DFE"/>
    <w:rsid w:val="00F60E04"/>
    <w:rsid w:val="00F60E5F"/>
    <w:rsid w:val="00F60E82"/>
    <w:rsid w:val="00F60ED9"/>
    <w:rsid w:val="00F60EEB"/>
    <w:rsid w:val="00F60F2E"/>
    <w:rsid w:val="00F60F87"/>
    <w:rsid w:val="00F60FA8"/>
    <w:rsid w:val="00F60FE6"/>
    <w:rsid w:val="00F6100F"/>
    <w:rsid w:val="00F61030"/>
    <w:rsid w:val="00F610A9"/>
    <w:rsid w:val="00F610B7"/>
    <w:rsid w:val="00F610D2"/>
    <w:rsid w:val="00F610D3"/>
    <w:rsid w:val="00F610F0"/>
    <w:rsid w:val="00F61108"/>
    <w:rsid w:val="00F611A2"/>
    <w:rsid w:val="00F611CA"/>
    <w:rsid w:val="00F611CE"/>
    <w:rsid w:val="00F611DC"/>
    <w:rsid w:val="00F61239"/>
    <w:rsid w:val="00F61289"/>
    <w:rsid w:val="00F612E8"/>
    <w:rsid w:val="00F612ED"/>
    <w:rsid w:val="00F612F8"/>
    <w:rsid w:val="00F61311"/>
    <w:rsid w:val="00F6133D"/>
    <w:rsid w:val="00F61382"/>
    <w:rsid w:val="00F61386"/>
    <w:rsid w:val="00F61402"/>
    <w:rsid w:val="00F61407"/>
    <w:rsid w:val="00F61477"/>
    <w:rsid w:val="00F61488"/>
    <w:rsid w:val="00F61499"/>
    <w:rsid w:val="00F614A6"/>
    <w:rsid w:val="00F614EF"/>
    <w:rsid w:val="00F61504"/>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AD"/>
    <w:rsid w:val="00F619D7"/>
    <w:rsid w:val="00F61A30"/>
    <w:rsid w:val="00F61A3D"/>
    <w:rsid w:val="00F61AB0"/>
    <w:rsid w:val="00F61ABD"/>
    <w:rsid w:val="00F61AC6"/>
    <w:rsid w:val="00F61AF0"/>
    <w:rsid w:val="00F61B6A"/>
    <w:rsid w:val="00F61BD7"/>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D3"/>
    <w:rsid w:val="00F621FA"/>
    <w:rsid w:val="00F62258"/>
    <w:rsid w:val="00F62284"/>
    <w:rsid w:val="00F6229A"/>
    <w:rsid w:val="00F622CA"/>
    <w:rsid w:val="00F62351"/>
    <w:rsid w:val="00F623B9"/>
    <w:rsid w:val="00F623C6"/>
    <w:rsid w:val="00F62439"/>
    <w:rsid w:val="00F6243E"/>
    <w:rsid w:val="00F6248B"/>
    <w:rsid w:val="00F624A8"/>
    <w:rsid w:val="00F624D1"/>
    <w:rsid w:val="00F624D8"/>
    <w:rsid w:val="00F624DB"/>
    <w:rsid w:val="00F62533"/>
    <w:rsid w:val="00F6253F"/>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AE"/>
    <w:rsid w:val="00F62BDC"/>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70"/>
    <w:rsid w:val="00F6308A"/>
    <w:rsid w:val="00F63099"/>
    <w:rsid w:val="00F6312B"/>
    <w:rsid w:val="00F631F7"/>
    <w:rsid w:val="00F63202"/>
    <w:rsid w:val="00F6328D"/>
    <w:rsid w:val="00F6329B"/>
    <w:rsid w:val="00F632A0"/>
    <w:rsid w:val="00F63311"/>
    <w:rsid w:val="00F6331A"/>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5F"/>
    <w:rsid w:val="00F63B69"/>
    <w:rsid w:val="00F63B86"/>
    <w:rsid w:val="00F63B93"/>
    <w:rsid w:val="00F63BCE"/>
    <w:rsid w:val="00F63BE7"/>
    <w:rsid w:val="00F63C26"/>
    <w:rsid w:val="00F63C27"/>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97"/>
    <w:rsid w:val="00F64400"/>
    <w:rsid w:val="00F6442A"/>
    <w:rsid w:val="00F644B2"/>
    <w:rsid w:val="00F644BA"/>
    <w:rsid w:val="00F64572"/>
    <w:rsid w:val="00F64658"/>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72"/>
    <w:rsid w:val="00F64A9D"/>
    <w:rsid w:val="00F64AA7"/>
    <w:rsid w:val="00F64ADF"/>
    <w:rsid w:val="00F64AF6"/>
    <w:rsid w:val="00F64AFD"/>
    <w:rsid w:val="00F64AFE"/>
    <w:rsid w:val="00F64B58"/>
    <w:rsid w:val="00F64B8D"/>
    <w:rsid w:val="00F64C31"/>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5016"/>
    <w:rsid w:val="00F65070"/>
    <w:rsid w:val="00F6507D"/>
    <w:rsid w:val="00F6509A"/>
    <w:rsid w:val="00F650A2"/>
    <w:rsid w:val="00F650B2"/>
    <w:rsid w:val="00F650ED"/>
    <w:rsid w:val="00F65114"/>
    <w:rsid w:val="00F6512C"/>
    <w:rsid w:val="00F65132"/>
    <w:rsid w:val="00F6515E"/>
    <w:rsid w:val="00F651BA"/>
    <w:rsid w:val="00F651BB"/>
    <w:rsid w:val="00F651F2"/>
    <w:rsid w:val="00F652AF"/>
    <w:rsid w:val="00F6532C"/>
    <w:rsid w:val="00F65333"/>
    <w:rsid w:val="00F65370"/>
    <w:rsid w:val="00F653C0"/>
    <w:rsid w:val="00F65411"/>
    <w:rsid w:val="00F65443"/>
    <w:rsid w:val="00F65470"/>
    <w:rsid w:val="00F6547E"/>
    <w:rsid w:val="00F654C9"/>
    <w:rsid w:val="00F654E5"/>
    <w:rsid w:val="00F65525"/>
    <w:rsid w:val="00F65561"/>
    <w:rsid w:val="00F655B0"/>
    <w:rsid w:val="00F6567C"/>
    <w:rsid w:val="00F656CE"/>
    <w:rsid w:val="00F656E9"/>
    <w:rsid w:val="00F65759"/>
    <w:rsid w:val="00F65799"/>
    <w:rsid w:val="00F65917"/>
    <w:rsid w:val="00F65981"/>
    <w:rsid w:val="00F6599B"/>
    <w:rsid w:val="00F65A2E"/>
    <w:rsid w:val="00F65A57"/>
    <w:rsid w:val="00F65AC8"/>
    <w:rsid w:val="00F65AD8"/>
    <w:rsid w:val="00F65B22"/>
    <w:rsid w:val="00F65B33"/>
    <w:rsid w:val="00F65B58"/>
    <w:rsid w:val="00F65B65"/>
    <w:rsid w:val="00F65BFF"/>
    <w:rsid w:val="00F65C41"/>
    <w:rsid w:val="00F65C79"/>
    <w:rsid w:val="00F65CA4"/>
    <w:rsid w:val="00F65D19"/>
    <w:rsid w:val="00F65D46"/>
    <w:rsid w:val="00F65D55"/>
    <w:rsid w:val="00F65D7A"/>
    <w:rsid w:val="00F65DC9"/>
    <w:rsid w:val="00F65DF0"/>
    <w:rsid w:val="00F65E0B"/>
    <w:rsid w:val="00F65E22"/>
    <w:rsid w:val="00F65E6E"/>
    <w:rsid w:val="00F65F0C"/>
    <w:rsid w:val="00F65FBB"/>
    <w:rsid w:val="00F65FCA"/>
    <w:rsid w:val="00F66003"/>
    <w:rsid w:val="00F6607B"/>
    <w:rsid w:val="00F660CB"/>
    <w:rsid w:val="00F661A0"/>
    <w:rsid w:val="00F661ED"/>
    <w:rsid w:val="00F66218"/>
    <w:rsid w:val="00F66220"/>
    <w:rsid w:val="00F66297"/>
    <w:rsid w:val="00F662B5"/>
    <w:rsid w:val="00F662F3"/>
    <w:rsid w:val="00F66448"/>
    <w:rsid w:val="00F66482"/>
    <w:rsid w:val="00F6648D"/>
    <w:rsid w:val="00F66492"/>
    <w:rsid w:val="00F6649F"/>
    <w:rsid w:val="00F664C8"/>
    <w:rsid w:val="00F664E3"/>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78B"/>
    <w:rsid w:val="00F66838"/>
    <w:rsid w:val="00F66843"/>
    <w:rsid w:val="00F668B0"/>
    <w:rsid w:val="00F668C0"/>
    <w:rsid w:val="00F668E7"/>
    <w:rsid w:val="00F668F3"/>
    <w:rsid w:val="00F66924"/>
    <w:rsid w:val="00F669BF"/>
    <w:rsid w:val="00F66A46"/>
    <w:rsid w:val="00F66A6D"/>
    <w:rsid w:val="00F66A76"/>
    <w:rsid w:val="00F66A7D"/>
    <w:rsid w:val="00F66BD2"/>
    <w:rsid w:val="00F66BE0"/>
    <w:rsid w:val="00F66C34"/>
    <w:rsid w:val="00F66C57"/>
    <w:rsid w:val="00F66CB8"/>
    <w:rsid w:val="00F66CC7"/>
    <w:rsid w:val="00F66D64"/>
    <w:rsid w:val="00F66DA7"/>
    <w:rsid w:val="00F66DB9"/>
    <w:rsid w:val="00F66E3A"/>
    <w:rsid w:val="00F66E53"/>
    <w:rsid w:val="00F66EA0"/>
    <w:rsid w:val="00F66ED2"/>
    <w:rsid w:val="00F66EF3"/>
    <w:rsid w:val="00F66F2B"/>
    <w:rsid w:val="00F66FC8"/>
    <w:rsid w:val="00F67041"/>
    <w:rsid w:val="00F67055"/>
    <w:rsid w:val="00F670BB"/>
    <w:rsid w:val="00F670C9"/>
    <w:rsid w:val="00F671F0"/>
    <w:rsid w:val="00F67208"/>
    <w:rsid w:val="00F6722D"/>
    <w:rsid w:val="00F6729A"/>
    <w:rsid w:val="00F672EC"/>
    <w:rsid w:val="00F672EF"/>
    <w:rsid w:val="00F67305"/>
    <w:rsid w:val="00F67311"/>
    <w:rsid w:val="00F67329"/>
    <w:rsid w:val="00F67330"/>
    <w:rsid w:val="00F67342"/>
    <w:rsid w:val="00F67357"/>
    <w:rsid w:val="00F6739E"/>
    <w:rsid w:val="00F673B2"/>
    <w:rsid w:val="00F673C6"/>
    <w:rsid w:val="00F673C9"/>
    <w:rsid w:val="00F6742E"/>
    <w:rsid w:val="00F67430"/>
    <w:rsid w:val="00F67437"/>
    <w:rsid w:val="00F67458"/>
    <w:rsid w:val="00F6746A"/>
    <w:rsid w:val="00F6748F"/>
    <w:rsid w:val="00F6749F"/>
    <w:rsid w:val="00F674B2"/>
    <w:rsid w:val="00F67502"/>
    <w:rsid w:val="00F67525"/>
    <w:rsid w:val="00F67533"/>
    <w:rsid w:val="00F67564"/>
    <w:rsid w:val="00F6756C"/>
    <w:rsid w:val="00F6756F"/>
    <w:rsid w:val="00F67594"/>
    <w:rsid w:val="00F675AE"/>
    <w:rsid w:val="00F675E0"/>
    <w:rsid w:val="00F675FB"/>
    <w:rsid w:val="00F67601"/>
    <w:rsid w:val="00F67680"/>
    <w:rsid w:val="00F67722"/>
    <w:rsid w:val="00F6772B"/>
    <w:rsid w:val="00F67730"/>
    <w:rsid w:val="00F67765"/>
    <w:rsid w:val="00F677C8"/>
    <w:rsid w:val="00F677E3"/>
    <w:rsid w:val="00F678B8"/>
    <w:rsid w:val="00F678D9"/>
    <w:rsid w:val="00F679A7"/>
    <w:rsid w:val="00F679B6"/>
    <w:rsid w:val="00F679BB"/>
    <w:rsid w:val="00F679C8"/>
    <w:rsid w:val="00F679E1"/>
    <w:rsid w:val="00F679E7"/>
    <w:rsid w:val="00F67A01"/>
    <w:rsid w:val="00F67A24"/>
    <w:rsid w:val="00F67A25"/>
    <w:rsid w:val="00F67A30"/>
    <w:rsid w:val="00F67A95"/>
    <w:rsid w:val="00F67AD3"/>
    <w:rsid w:val="00F67AEB"/>
    <w:rsid w:val="00F67B1B"/>
    <w:rsid w:val="00F67B2E"/>
    <w:rsid w:val="00F67B41"/>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AB"/>
    <w:rsid w:val="00F70143"/>
    <w:rsid w:val="00F7018A"/>
    <w:rsid w:val="00F701C9"/>
    <w:rsid w:val="00F701EF"/>
    <w:rsid w:val="00F70210"/>
    <w:rsid w:val="00F70267"/>
    <w:rsid w:val="00F7027E"/>
    <w:rsid w:val="00F70296"/>
    <w:rsid w:val="00F702AE"/>
    <w:rsid w:val="00F70322"/>
    <w:rsid w:val="00F70351"/>
    <w:rsid w:val="00F70395"/>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5"/>
    <w:rsid w:val="00F70A23"/>
    <w:rsid w:val="00F70A78"/>
    <w:rsid w:val="00F70AE0"/>
    <w:rsid w:val="00F70B03"/>
    <w:rsid w:val="00F70BD5"/>
    <w:rsid w:val="00F70BED"/>
    <w:rsid w:val="00F70C1E"/>
    <w:rsid w:val="00F70C24"/>
    <w:rsid w:val="00F70C64"/>
    <w:rsid w:val="00F70D4E"/>
    <w:rsid w:val="00F70D96"/>
    <w:rsid w:val="00F70DEB"/>
    <w:rsid w:val="00F70DFD"/>
    <w:rsid w:val="00F70EC3"/>
    <w:rsid w:val="00F70EE7"/>
    <w:rsid w:val="00F70F49"/>
    <w:rsid w:val="00F70F51"/>
    <w:rsid w:val="00F70FA2"/>
    <w:rsid w:val="00F70FD2"/>
    <w:rsid w:val="00F70FDC"/>
    <w:rsid w:val="00F70FFA"/>
    <w:rsid w:val="00F7106A"/>
    <w:rsid w:val="00F7107F"/>
    <w:rsid w:val="00F71087"/>
    <w:rsid w:val="00F71101"/>
    <w:rsid w:val="00F7110A"/>
    <w:rsid w:val="00F7116E"/>
    <w:rsid w:val="00F711F3"/>
    <w:rsid w:val="00F71226"/>
    <w:rsid w:val="00F71261"/>
    <w:rsid w:val="00F71274"/>
    <w:rsid w:val="00F7127C"/>
    <w:rsid w:val="00F7127E"/>
    <w:rsid w:val="00F7129C"/>
    <w:rsid w:val="00F71326"/>
    <w:rsid w:val="00F7136B"/>
    <w:rsid w:val="00F71389"/>
    <w:rsid w:val="00F71393"/>
    <w:rsid w:val="00F7139E"/>
    <w:rsid w:val="00F713B0"/>
    <w:rsid w:val="00F713C2"/>
    <w:rsid w:val="00F7140C"/>
    <w:rsid w:val="00F71424"/>
    <w:rsid w:val="00F71527"/>
    <w:rsid w:val="00F71563"/>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DB"/>
    <w:rsid w:val="00F71945"/>
    <w:rsid w:val="00F71965"/>
    <w:rsid w:val="00F71A4B"/>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55"/>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37"/>
    <w:rsid w:val="00F73362"/>
    <w:rsid w:val="00F73366"/>
    <w:rsid w:val="00F73391"/>
    <w:rsid w:val="00F733A8"/>
    <w:rsid w:val="00F733D0"/>
    <w:rsid w:val="00F73451"/>
    <w:rsid w:val="00F73486"/>
    <w:rsid w:val="00F734C9"/>
    <w:rsid w:val="00F734E9"/>
    <w:rsid w:val="00F73537"/>
    <w:rsid w:val="00F7359B"/>
    <w:rsid w:val="00F7363C"/>
    <w:rsid w:val="00F736A4"/>
    <w:rsid w:val="00F736AB"/>
    <w:rsid w:val="00F736AC"/>
    <w:rsid w:val="00F73744"/>
    <w:rsid w:val="00F7376C"/>
    <w:rsid w:val="00F73782"/>
    <w:rsid w:val="00F737DA"/>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AB4"/>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81"/>
    <w:rsid w:val="00F742ED"/>
    <w:rsid w:val="00F74306"/>
    <w:rsid w:val="00F7430D"/>
    <w:rsid w:val="00F7431B"/>
    <w:rsid w:val="00F74329"/>
    <w:rsid w:val="00F74341"/>
    <w:rsid w:val="00F743B4"/>
    <w:rsid w:val="00F743FF"/>
    <w:rsid w:val="00F74474"/>
    <w:rsid w:val="00F744AF"/>
    <w:rsid w:val="00F74520"/>
    <w:rsid w:val="00F7456D"/>
    <w:rsid w:val="00F7458A"/>
    <w:rsid w:val="00F745B6"/>
    <w:rsid w:val="00F745D6"/>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44"/>
    <w:rsid w:val="00F74D83"/>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C3"/>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3"/>
    <w:rsid w:val="00F753B4"/>
    <w:rsid w:val="00F753B6"/>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C0"/>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F0"/>
    <w:rsid w:val="00F761F2"/>
    <w:rsid w:val="00F761FF"/>
    <w:rsid w:val="00F76228"/>
    <w:rsid w:val="00F76258"/>
    <w:rsid w:val="00F76287"/>
    <w:rsid w:val="00F7629B"/>
    <w:rsid w:val="00F762FD"/>
    <w:rsid w:val="00F76360"/>
    <w:rsid w:val="00F76384"/>
    <w:rsid w:val="00F763B9"/>
    <w:rsid w:val="00F763DA"/>
    <w:rsid w:val="00F76449"/>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A8A"/>
    <w:rsid w:val="00F76AC9"/>
    <w:rsid w:val="00F76AF8"/>
    <w:rsid w:val="00F76B06"/>
    <w:rsid w:val="00F76B11"/>
    <w:rsid w:val="00F76B38"/>
    <w:rsid w:val="00F76B5E"/>
    <w:rsid w:val="00F76BB4"/>
    <w:rsid w:val="00F76BC5"/>
    <w:rsid w:val="00F76BE0"/>
    <w:rsid w:val="00F76C0B"/>
    <w:rsid w:val="00F76C3D"/>
    <w:rsid w:val="00F76C59"/>
    <w:rsid w:val="00F76CA5"/>
    <w:rsid w:val="00F76CB2"/>
    <w:rsid w:val="00F76CD3"/>
    <w:rsid w:val="00F76D38"/>
    <w:rsid w:val="00F76D61"/>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11A"/>
    <w:rsid w:val="00F77135"/>
    <w:rsid w:val="00F771B3"/>
    <w:rsid w:val="00F771C5"/>
    <w:rsid w:val="00F771F5"/>
    <w:rsid w:val="00F77236"/>
    <w:rsid w:val="00F77354"/>
    <w:rsid w:val="00F77360"/>
    <w:rsid w:val="00F77377"/>
    <w:rsid w:val="00F773F6"/>
    <w:rsid w:val="00F77403"/>
    <w:rsid w:val="00F7748A"/>
    <w:rsid w:val="00F774A2"/>
    <w:rsid w:val="00F774BC"/>
    <w:rsid w:val="00F77511"/>
    <w:rsid w:val="00F7753E"/>
    <w:rsid w:val="00F775BA"/>
    <w:rsid w:val="00F775BF"/>
    <w:rsid w:val="00F77652"/>
    <w:rsid w:val="00F77657"/>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BE"/>
    <w:rsid w:val="00F77C22"/>
    <w:rsid w:val="00F77C47"/>
    <w:rsid w:val="00F77C5A"/>
    <w:rsid w:val="00F77C5C"/>
    <w:rsid w:val="00F77C66"/>
    <w:rsid w:val="00F77C9B"/>
    <w:rsid w:val="00F77CD6"/>
    <w:rsid w:val="00F77CDF"/>
    <w:rsid w:val="00F77D21"/>
    <w:rsid w:val="00F77DC4"/>
    <w:rsid w:val="00F77DC7"/>
    <w:rsid w:val="00F77E6F"/>
    <w:rsid w:val="00F77E82"/>
    <w:rsid w:val="00F77ECA"/>
    <w:rsid w:val="00F77EF7"/>
    <w:rsid w:val="00F77F29"/>
    <w:rsid w:val="00F77F8D"/>
    <w:rsid w:val="00F77FE2"/>
    <w:rsid w:val="00F8008E"/>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C8"/>
    <w:rsid w:val="00F802DB"/>
    <w:rsid w:val="00F802E4"/>
    <w:rsid w:val="00F80311"/>
    <w:rsid w:val="00F8033B"/>
    <w:rsid w:val="00F803B5"/>
    <w:rsid w:val="00F803E2"/>
    <w:rsid w:val="00F803FE"/>
    <w:rsid w:val="00F8043D"/>
    <w:rsid w:val="00F80492"/>
    <w:rsid w:val="00F804CB"/>
    <w:rsid w:val="00F80500"/>
    <w:rsid w:val="00F80531"/>
    <w:rsid w:val="00F80546"/>
    <w:rsid w:val="00F805E6"/>
    <w:rsid w:val="00F805EC"/>
    <w:rsid w:val="00F80610"/>
    <w:rsid w:val="00F80664"/>
    <w:rsid w:val="00F80681"/>
    <w:rsid w:val="00F8074D"/>
    <w:rsid w:val="00F8075C"/>
    <w:rsid w:val="00F80813"/>
    <w:rsid w:val="00F80837"/>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C5"/>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5B3"/>
    <w:rsid w:val="00F81622"/>
    <w:rsid w:val="00F81646"/>
    <w:rsid w:val="00F81669"/>
    <w:rsid w:val="00F81694"/>
    <w:rsid w:val="00F81750"/>
    <w:rsid w:val="00F817F6"/>
    <w:rsid w:val="00F81855"/>
    <w:rsid w:val="00F81874"/>
    <w:rsid w:val="00F8187E"/>
    <w:rsid w:val="00F818EB"/>
    <w:rsid w:val="00F81934"/>
    <w:rsid w:val="00F8193A"/>
    <w:rsid w:val="00F8193F"/>
    <w:rsid w:val="00F81A19"/>
    <w:rsid w:val="00F81A31"/>
    <w:rsid w:val="00F81A66"/>
    <w:rsid w:val="00F81ABD"/>
    <w:rsid w:val="00F81AE3"/>
    <w:rsid w:val="00F81B2D"/>
    <w:rsid w:val="00F81BD7"/>
    <w:rsid w:val="00F81C50"/>
    <w:rsid w:val="00F81C5C"/>
    <w:rsid w:val="00F81C64"/>
    <w:rsid w:val="00F81C84"/>
    <w:rsid w:val="00F81C8F"/>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B9"/>
    <w:rsid w:val="00F823D4"/>
    <w:rsid w:val="00F823F4"/>
    <w:rsid w:val="00F82401"/>
    <w:rsid w:val="00F82409"/>
    <w:rsid w:val="00F82433"/>
    <w:rsid w:val="00F82498"/>
    <w:rsid w:val="00F824BB"/>
    <w:rsid w:val="00F824D4"/>
    <w:rsid w:val="00F824F7"/>
    <w:rsid w:val="00F82528"/>
    <w:rsid w:val="00F825AB"/>
    <w:rsid w:val="00F825E2"/>
    <w:rsid w:val="00F8263A"/>
    <w:rsid w:val="00F82689"/>
    <w:rsid w:val="00F82691"/>
    <w:rsid w:val="00F82694"/>
    <w:rsid w:val="00F826D1"/>
    <w:rsid w:val="00F82763"/>
    <w:rsid w:val="00F82766"/>
    <w:rsid w:val="00F82786"/>
    <w:rsid w:val="00F82870"/>
    <w:rsid w:val="00F8288C"/>
    <w:rsid w:val="00F8291A"/>
    <w:rsid w:val="00F82980"/>
    <w:rsid w:val="00F829AF"/>
    <w:rsid w:val="00F829C1"/>
    <w:rsid w:val="00F829D1"/>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9E"/>
    <w:rsid w:val="00F830FB"/>
    <w:rsid w:val="00F83129"/>
    <w:rsid w:val="00F83138"/>
    <w:rsid w:val="00F831B0"/>
    <w:rsid w:val="00F831BF"/>
    <w:rsid w:val="00F83225"/>
    <w:rsid w:val="00F8328A"/>
    <w:rsid w:val="00F832DF"/>
    <w:rsid w:val="00F83320"/>
    <w:rsid w:val="00F83326"/>
    <w:rsid w:val="00F8332E"/>
    <w:rsid w:val="00F83331"/>
    <w:rsid w:val="00F83396"/>
    <w:rsid w:val="00F8339D"/>
    <w:rsid w:val="00F833A5"/>
    <w:rsid w:val="00F833EB"/>
    <w:rsid w:val="00F83400"/>
    <w:rsid w:val="00F83428"/>
    <w:rsid w:val="00F83452"/>
    <w:rsid w:val="00F8346E"/>
    <w:rsid w:val="00F834EE"/>
    <w:rsid w:val="00F83532"/>
    <w:rsid w:val="00F8357B"/>
    <w:rsid w:val="00F83580"/>
    <w:rsid w:val="00F835B6"/>
    <w:rsid w:val="00F83640"/>
    <w:rsid w:val="00F8364D"/>
    <w:rsid w:val="00F836CA"/>
    <w:rsid w:val="00F836D8"/>
    <w:rsid w:val="00F836E4"/>
    <w:rsid w:val="00F836EC"/>
    <w:rsid w:val="00F836F9"/>
    <w:rsid w:val="00F8370B"/>
    <w:rsid w:val="00F83741"/>
    <w:rsid w:val="00F83793"/>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B97"/>
    <w:rsid w:val="00F83CBA"/>
    <w:rsid w:val="00F83CF1"/>
    <w:rsid w:val="00F83D33"/>
    <w:rsid w:val="00F83D93"/>
    <w:rsid w:val="00F83D9B"/>
    <w:rsid w:val="00F83E66"/>
    <w:rsid w:val="00F83EAD"/>
    <w:rsid w:val="00F83ED1"/>
    <w:rsid w:val="00F83FCF"/>
    <w:rsid w:val="00F83FD5"/>
    <w:rsid w:val="00F83FEA"/>
    <w:rsid w:val="00F84052"/>
    <w:rsid w:val="00F84065"/>
    <w:rsid w:val="00F84081"/>
    <w:rsid w:val="00F84092"/>
    <w:rsid w:val="00F840A9"/>
    <w:rsid w:val="00F840E3"/>
    <w:rsid w:val="00F840F1"/>
    <w:rsid w:val="00F841DA"/>
    <w:rsid w:val="00F84231"/>
    <w:rsid w:val="00F8424E"/>
    <w:rsid w:val="00F84268"/>
    <w:rsid w:val="00F84270"/>
    <w:rsid w:val="00F842C4"/>
    <w:rsid w:val="00F842D5"/>
    <w:rsid w:val="00F842E0"/>
    <w:rsid w:val="00F842E3"/>
    <w:rsid w:val="00F842F2"/>
    <w:rsid w:val="00F84322"/>
    <w:rsid w:val="00F8434F"/>
    <w:rsid w:val="00F84377"/>
    <w:rsid w:val="00F843EE"/>
    <w:rsid w:val="00F8442C"/>
    <w:rsid w:val="00F844D9"/>
    <w:rsid w:val="00F844DB"/>
    <w:rsid w:val="00F84574"/>
    <w:rsid w:val="00F8457E"/>
    <w:rsid w:val="00F8458F"/>
    <w:rsid w:val="00F8461A"/>
    <w:rsid w:val="00F8461F"/>
    <w:rsid w:val="00F8467F"/>
    <w:rsid w:val="00F846B7"/>
    <w:rsid w:val="00F846CE"/>
    <w:rsid w:val="00F846D6"/>
    <w:rsid w:val="00F846DF"/>
    <w:rsid w:val="00F8474F"/>
    <w:rsid w:val="00F847C6"/>
    <w:rsid w:val="00F84839"/>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0D1"/>
    <w:rsid w:val="00F8510D"/>
    <w:rsid w:val="00F85138"/>
    <w:rsid w:val="00F85171"/>
    <w:rsid w:val="00F8517A"/>
    <w:rsid w:val="00F851A5"/>
    <w:rsid w:val="00F851B5"/>
    <w:rsid w:val="00F851E4"/>
    <w:rsid w:val="00F851FE"/>
    <w:rsid w:val="00F852D4"/>
    <w:rsid w:val="00F85319"/>
    <w:rsid w:val="00F85338"/>
    <w:rsid w:val="00F85398"/>
    <w:rsid w:val="00F853D5"/>
    <w:rsid w:val="00F85436"/>
    <w:rsid w:val="00F85466"/>
    <w:rsid w:val="00F85468"/>
    <w:rsid w:val="00F8546E"/>
    <w:rsid w:val="00F85490"/>
    <w:rsid w:val="00F8549C"/>
    <w:rsid w:val="00F854D8"/>
    <w:rsid w:val="00F854EA"/>
    <w:rsid w:val="00F854ED"/>
    <w:rsid w:val="00F8554E"/>
    <w:rsid w:val="00F85575"/>
    <w:rsid w:val="00F8558D"/>
    <w:rsid w:val="00F8559D"/>
    <w:rsid w:val="00F855F1"/>
    <w:rsid w:val="00F855FE"/>
    <w:rsid w:val="00F85723"/>
    <w:rsid w:val="00F85753"/>
    <w:rsid w:val="00F8576A"/>
    <w:rsid w:val="00F85789"/>
    <w:rsid w:val="00F8579A"/>
    <w:rsid w:val="00F85838"/>
    <w:rsid w:val="00F858AE"/>
    <w:rsid w:val="00F85915"/>
    <w:rsid w:val="00F8591C"/>
    <w:rsid w:val="00F8594A"/>
    <w:rsid w:val="00F859A4"/>
    <w:rsid w:val="00F85A0A"/>
    <w:rsid w:val="00F85A46"/>
    <w:rsid w:val="00F85A57"/>
    <w:rsid w:val="00F85A5B"/>
    <w:rsid w:val="00F85A60"/>
    <w:rsid w:val="00F85A7B"/>
    <w:rsid w:val="00F85B22"/>
    <w:rsid w:val="00F85BA8"/>
    <w:rsid w:val="00F85BD7"/>
    <w:rsid w:val="00F85BE5"/>
    <w:rsid w:val="00F85C20"/>
    <w:rsid w:val="00F85C30"/>
    <w:rsid w:val="00F85C6B"/>
    <w:rsid w:val="00F85C6F"/>
    <w:rsid w:val="00F85C78"/>
    <w:rsid w:val="00F85CB9"/>
    <w:rsid w:val="00F85CD7"/>
    <w:rsid w:val="00F85CFD"/>
    <w:rsid w:val="00F85D31"/>
    <w:rsid w:val="00F85DB6"/>
    <w:rsid w:val="00F85DEF"/>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4C"/>
    <w:rsid w:val="00F8666B"/>
    <w:rsid w:val="00F86691"/>
    <w:rsid w:val="00F866FB"/>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EC"/>
    <w:rsid w:val="00F86A06"/>
    <w:rsid w:val="00F86A69"/>
    <w:rsid w:val="00F86A7E"/>
    <w:rsid w:val="00F86AE3"/>
    <w:rsid w:val="00F86AEA"/>
    <w:rsid w:val="00F86B35"/>
    <w:rsid w:val="00F86B74"/>
    <w:rsid w:val="00F86BC0"/>
    <w:rsid w:val="00F86C15"/>
    <w:rsid w:val="00F86C5D"/>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BF"/>
    <w:rsid w:val="00F87164"/>
    <w:rsid w:val="00F87166"/>
    <w:rsid w:val="00F8718C"/>
    <w:rsid w:val="00F871C3"/>
    <w:rsid w:val="00F87273"/>
    <w:rsid w:val="00F8729B"/>
    <w:rsid w:val="00F87355"/>
    <w:rsid w:val="00F8735E"/>
    <w:rsid w:val="00F87363"/>
    <w:rsid w:val="00F873D4"/>
    <w:rsid w:val="00F87404"/>
    <w:rsid w:val="00F87423"/>
    <w:rsid w:val="00F8748D"/>
    <w:rsid w:val="00F8752B"/>
    <w:rsid w:val="00F87589"/>
    <w:rsid w:val="00F875A6"/>
    <w:rsid w:val="00F875CA"/>
    <w:rsid w:val="00F8761A"/>
    <w:rsid w:val="00F87646"/>
    <w:rsid w:val="00F8767A"/>
    <w:rsid w:val="00F876DA"/>
    <w:rsid w:val="00F876FD"/>
    <w:rsid w:val="00F8771B"/>
    <w:rsid w:val="00F87734"/>
    <w:rsid w:val="00F87761"/>
    <w:rsid w:val="00F877DC"/>
    <w:rsid w:val="00F8781A"/>
    <w:rsid w:val="00F87870"/>
    <w:rsid w:val="00F87880"/>
    <w:rsid w:val="00F878DB"/>
    <w:rsid w:val="00F8798C"/>
    <w:rsid w:val="00F879C7"/>
    <w:rsid w:val="00F879CF"/>
    <w:rsid w:val="00F879DC"/>
    <w:rsid w:val="00F87A4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0A"/>
    <w:rsid w:val="00F87F6B"/>
    <w:rsid w:val="00F87F79"/>
    <w:rsid w:val="00F87FAD"/>
    <w:rsid w:val="00F87FDE"/>
    <w:rsid w:val="00F87FDF"/>
    <w:rsid w:val="00F87FE2"/>
    <w:rsid w:val="00F90020"/>
    <w:rsid w:val="00F9004E"/>
    <w:rsid w:val="00F900CB"/>
    <w:rsid w:val="00F900F7"/>
    <w:rsid w:val="00F90171"/>
    <w:rsid w:val="00F9017B"/>
    <w:rsid w:val="00F901BF"/>
    <w:rsid w:val="00F901CE"/>
    <w:rsid w:val="00F9022E"/>
    <w:rsid w:val="00F9025B"/>
    <w:rsid w:val="00F90284"/>
    <w:rsid w:val="00F903FF"/>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C1"/>
    <w:rsid w:val="00F905E1"/>
    <w:rsid w:val="00F90764"/>
    <w:rsid w:val="00F9076F"/>
    <w:rsid w:val="00F9077D"/>
    <w:rsid w:val="00F907A6"/>
    <w:rsid w:val="00F907DC"/>
    <w:rsid w:val="00F907F9"/>
    <w:rsid w:val="00F90823"/>
    <w:rsid w:val="00F9085B"/>
    <w:rsid w:val="00F908B4"/>
    <w:rsid w:val="00F908B5"/>
    <w:rsid w:val="00F908FB"/>
    <w:rsid w:val="00F90944"/>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C"/>
    <w:rsid w:val="00F91171"/>
    <w:rsid w:val="00F911BD"/>
    <w:rsid w:val="00F911FF"/>
    <w:rsid w:val="00F91211"/>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5C"/>
    <w:rsid w:val="00F916A1"/>
    <w:rsid w:val="00F916B4"/>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36"/>
    <w:rsid w:val="00F91942"/>
    <w:rsid w:val="00F919E9"/>
    <w:rsid w:val="00F91A52"/>
    <w:rsid w:val="00F91A94"/>
    <w:rsid w:val="00F91AAE"/>
    <w:rsid w:val="00F91ADB"/>
    <w:rsid w:val="00F91B04"/>
    <w:rsid w:val="00F91B54"/>
    <w:rsid w:val="00F91B78"/>
    <w:rsid w:val="00F91B99"/>
    <w:rsid w:val="00F91BBF"/>
    <w:rsid w:val="00F91BC4"/>
    <w:rsid w:val="00F91BE7"/>
    <w:rsid w:val="00F91C3B"/>
    <w:rsid w:val="00F91C49"/>
    <w:rsid w:val="00F91C6F"/>
    <w:rsid w:val="00F91C9D"/>
    <w:rsid w:val="00F91CC5"/>
    <w:rsid w:val="00F91CE9"/>
    <w:rsid w:val="00F91D26"/>
    <w:rsid w:val="00F91D5D"/>
    <w:rsid w:val="00F91D5F"/>
    <w:rsid w:val="00F91D82"/>
    <w:rsid w:val="00F91D8F"/>
    <w:rsid w:val="00F91DF6"/>
    <w:rsid w:val="00F91DFF"/>
    <w:rsid w:val="00F91E0A"/>
    <w:rsid w:val="00F91E12"/>
    <w:rsid w:val="00F91E21"/>
    <w:rsid w:val="00F91E5D"/>
    <w:rsid w:val="00F91F0D"/>
    <w:rsid w:val="00F91F67"/>
    <w:rsid w:val="00F91F91"/>
    <w:rsid w:val="00F91FB9"/>
    <w:rsid w:val="00F92015"/>
    <w:rsid w:val="00F92023"/>
    <w:rsid w:val="00F92031"/>
    <w:rsid w:val="00F920BE"/>
    <w:rsid w:val="00F920CC"/>
    <w:rsid w:val="00F92132"/>
    <w:rsid w:val="00F9215E"/>
    <w:rsid w:val="00F921C2"/>
    <w:rsid w:val="00F9224A"/>
    <w:rsid w:val="00F922C7"/>
    <w:rsid w:val="00F922D9"/>
    <w:rsid w:val="00F922E9"/>
    <w:rsid w:val="00F922F9"/>
    <w:rsid w:val="00F9233B"/>
    <w:rsid w:val="00F92384"/>
    <w:rsid w:val="00F923A7"/>
    <w:rsid w:val="00F923A8"/>
    <w:rsid w:val="00F923B5"/>
    <w:rsid w:val="00F923CC"/>
    <w:rsid w:val="00F9243A"/>
    <w:rsid w:val="00F92455"/>
    <w:rsid w:val="00F92457"/>
    <w:rsid w:val="00F9257B"/>
    <w:rsid w:val="00F925C1"/>
    <w:rsid w:val="00F92690"/>
    <w:rsid w:val="00F926D1"/>
    <w:rsid w:val="00F926E2"/>
    <w:rsid w:val="00F9274F"/>
    <w:rsid w:val="00F927CD"/>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CF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DD"/>
    <w:rsid w:val="00F9322D"/>
    <w:rsid w:val="00F93231"/>
    <w:rsid w:val="00F93252"/>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6"/>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9EB"/>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DFC"/>
    <w:rsid w:val="00F94E1E"/>
    <w:rsid w:val="00F94E27"/>
    <w:rsid w:val="00F94E32"/>
    <w:rsid w:val="00F94E59"/>
    <w:rsid w:val="00F94E69"/>
    <w:rsid w:val="00F94F06"/>
    <w:rsid w:val="00F94F07"/>
    <w:rsid w:val="00F94FA9"/>
    <w:rsid w:val="00F94FF4"/>
    <w:rsid w:val="00F9505C"/>
    <w:rsid w:val="00F95063"/>
    <w:rsid w:val="00F9507F"/>
    <w:rsid w:val="00F950C5"/>
    <w:rsid w:val="00F95180"/>
    <w:rsid w:val="00F95204"/>
    <w:rsid w:val="00F95221"/>
    <w:rsid w:val="00F9525D"/>
    <w:rsid w:val="00F9527D"/>
    <w:rsid w:val="00F952E2"/>
    <w:rsid w:val="00F95303"/>
    <w:rsid w:val="00F95332"/>
    <w:rsid w:val="00F95352"/>
    <w:rsid w:val="00F95362"/>
    <w:rsid w:val="00F95384"/>
    <w:rsid w:val="00F953A8"/>
    <w:rsid w:val="00F95436"/>
    <w:rsid w:val="00F9544C"/>
    <w:rsid w:val="00F9557B"/>
    <w:rsid w:val="00F95589"/>
    <w:rsid w:val="00F955BF"/>
    <w:rsid w:val="00F955FB"/>
    <w:rsid w:val="00F9561E"/>
    <w:rsid w:val="00F956B3"/>
    <w:rsid w:val="00F956D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A2"/>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88B"/>
    <w:rsid w:val="00F9690E"/>
    <w:rsid w:val="00F9697E"/>
    <w:rsid w:val="00F9699A"/>
    <w:rsid w:val="00F969B1"/>
    <w:rsid w:val="00F969FE"/>
    <w:rsid w:val="00F96A1D"/>
    <w:rsid w:val="00F96B31"/>
    <w:rsid w:val="00F96B58"/>
    <w:rsid w:val="00F96B8F"/>
    <w:rsid w:val="00F96C1E"/>
    <w:rsid w:val="00F96C4B"/>
    <w:rsid w:val="00F96C81"/>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9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3A6"/>
    <w:rsid w:val="00F973E6"/>
    <w:rsid w:val="00F9749A"/>
    <w:rsid w:val="00F974C3"/>
    <w:rsid w:val="00F97502"/>
    <w:rsid w:val="00F97532"/>
    <w:rsid w:val="00F97622"/>
    <w:rsid w:val="00F97628"/>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3"/>
    <w:rsid w:val="00F97D8F"/>
    <w:rsid w:val="00F97DD0"/>
    <w:rsid w:val="00F97E10"/>
    <w:rsid w:val="00F97E58"/>
    <w:rsid w:val="00F97E60"/>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87"/>
    <w:rsid w:val="00FA0299"/>
    <w:rsid w:val="00FA02A5"/>
    <w:rsid w:val="00FA02CD"/>
    <w:rsid w:val="00FA0347"/>
    <w:rsid w:val="00FA034D"/>
    <w:rsid w:val="00FA0392"/>
    <w:rsid w:val="00FA03FF"/>
    <w:rsid w:val="00FA0409"/>
    <w:rsid w:val="00FA042D"/>
    <w:rsid w:val="00FA046B"/>
    <w:rsid w:val="00FA0496"/>
    <w:rsid w:val="00FA0530"/>
    <w:rsid w:val="00FA05E6"/>
    <w:rsid w:val="00FA0640"/>
    <w:rsid w:val="00FA0644"/>
    <w:rsid w:val="00FA0682"/>
    <w:rsid w:val="00FA06C9"/>
    <w:rsid w:val="00FA0712"/>
    <w:rsid w:val="00FA07AB"/>
    <w:rsid w:val="00FA081C"/>
    <w:rsid w:val="00FA0833"/>
    <w:rsid w:val="00FA0852"/>
    <w:rsid w:val="00FA0860"/>
    <w:rsid w:val="00FA0880"/>
    <w:rsid w:val="00FA0882"/>
    <w:rsid w:val="00FA088C"/>
    <w:rsid w:val="00FA0890"/>
    <w:rsid w:val="00FA089E"/>
    <w:rsid w:val="00FA08B3"/>
    <w:rsid w:val="00FA08C2"/>
    <w:rsid w:val="00FA0957"/>
    <w:rsid w:val="00FA0967"/>
    <w:rsid w:val="00FA096B"/>
    <w:rsid w:val="00FA097F"/>
    <w:rsid w:val="00FA09A0"/>
    <w:rsid w:val="00FA0A56"/>
    <w:rsid w:val="00FA0AC4"/>
    <w:rsid w:val="00FA0AC5"/>
    <w:rsid w:val="00FA0AD4"/>
    <w:rsid w:val="00FA0AD9"/>
    <w:rsid w:val="00FA0AE4"/>
    <w:rsid w:val="00FA0B16"/>
    <w:rsid w:val="00FA0B57"/>
    <w:rsid w:val="00FA0C5B"/>
    <w:rsid w:val="00FA0CB0"/>
    <w:rsid w:val="00FA0CD4"/>
    <w:rsid w:val="00FA0CE8"/>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1E"/>
    <w:rsid w:val="00FA1648"/>
    <w:rsid w:val="00FA167E"/>
    <w:rsid w:val="00FA1725"/>
    <w:rsid w:val="00FA175A"/>
    <w:rsid w:val="00FA1778"/>
    <w:rsid w:val="00FA17E9"/>
    <w:rsid w:val="00FA17EF"/>
    <w:rsid w:val="00FA180E"/>
    <w:rsid w:val="00FA1823"/>
    <w:rsid w:val="00FA1833"/>
    <w:rsid w:val="00FA1874"/>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DD"/>
    <w:rsid w:val="00FA23DF"/>
    <w:rsid w:val="00FA2426"/>
    <w:rsid w:val="00FA2484"/>
    <w:rsid w:val="00FA24A6"/>
    <w:rsid w:val="00FA2547"/>
    <w:rsid w:val="00FA254A"/>
    <w:rsid w:val="00FA25AB"/>
    <w:rsid w:val="00FA25B8"/>
    <w:rsid w:val="00FA25DA"/>
    <w:rsid w:val="00FA25FD"/>
    <w:rsid w:val="00FA265E"/>
    <w:rsid w:val="00FA268F"/>
    <w:rsid w:val="00FA26F3"/>
    <w:rsid w:val="00FA26F5"/>
    <w:rsid w:val="00FA271E"/>
    <w:rsid w:val="00FA2721"/>
    <w:rsid w:val="00FA272C"/>
    <w:rsid w:val="00FA273C"/>
    <w:rsid w:val="00FA27E9"/>
    <w:rsid w:val="00FA2808"/>
    <w:rsid w:val="00FA280F"/>
    <w:rsid w:val="00FA28FD"/>
    <w:rsid w:val="00FA291D"/>
    <w:rsid w:val="00FA294B"/>
    <w:rsid w:val="00FA2975"/>
    <w:rsid w:val="00FA298A"/>
    <w:rsid w:val="00FA29E2"/>
    <w:rsid w:val="00FA2A2C"/>
    <w:rsid w:val="00FA2AC2"/>
    <w:rsid w:val="00FA2ACD"/>
    <w:rsid w:val="00FA2AEE"/>
    <w:rsid w:val="00FA2B36"/>
    <w:rsid w:val="00FA2B71"/>
    <w:rsid w:val="00FA2BAA"/>
    <w:rsid w:val="00FA2C71"/>
    <w:rsid w:val="00FA2C9E"/>
    <w:rsid w:val="00FA2D00"/>
    <w:rsid w:val="00FA2D10"/>
    <w:rsid w:val="00FA2D49"/>
    <w:rsid w:val="00FA2D9F"/>
    <w:rsid w:val="00FA2DBA"/>
    <w:rsid w:val="00FA2E0B"/>
    <w:rsid w:val="00FA2E78"/>
    <w:rsid w:val="00FA2F08"/>
    <w:rsid w:val="00FA2F20"/>
    <w:rsid w:val="00FA2FB3"/>
    <w:rsid w:val="00FA2FB7"/>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18"/>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A05"/>
    <w:rsid w:val="00FA3AAE"/>
    <w:rsid w:val="00FA3AB6"/>
    <w:rsid w:val="00FA3AC6"/>
    <w:rsid w:val="00FA3B0B"/>
    <w:rsid w:val="00FA3B51"/>
    <w:rsid w:val="00FA3BB4"/>
    <w:rsid w:val="00FA3BB5"/>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5D9"/>
    <w:rsid w:val="00FA461C"/>
    <w:rsid w:val="00FA4637"/>
    <w:rsid w:val="00FA471B"/>
    <w:rsid w:val="00FA4730"/>
    <w:rsid w:val="00FA4766"/>
    <w:rsid w:val="00FA4769"/>
    <w:rsid w:val="00FA476A"/>
    <w:rsid w:val="00FA4794"/>
    <w:rsid w:val="00FA480A"/>
    <w:rsid w:val="00FA4811"/>
    <w:rsid w:val="00FA487F"/>
    <w:rsid w:val="00FA4892"/>
    <w:rsid w:val="00FA48AA"/>
    <w:rsid w:val="00FA48CA"/>
    <w:rsid w:val="00FA49BC"/>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E95"/>
    <w:rsid w:val="00FA4E9D"/>
    <w:rsid w:val="00FA4ECA"/>
    <w:rsid w:val="00FA4ED8"/>
    <w:rsid w:val="00FA4F04"/>
    <w:rsid w:val="00FA5032"/>
    <w:rsid w:val="00FA5097"/>
    <w:rsid w:val="00FA50AB"/>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90"/>
    <w:rsid w:val="00FA55D3"/>
    <w:rsid w:val="00FA55FB"/>
    <w:rsid w:val="00FA560A"/>
    <w:rsid w:val="00FA5639"/>
    <w:rsid w:val="00FA5653"/>
    <w:rsid w:val="00FA5687"/>
    <w:rsid w:val="00FA568E"/>
    <w:rsid w:val="00FA56C0"/>
    <w:rsid w:val="00FA5764"/>
    <w:rsid w:val="00FA5773"/>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D46"/>
    <w:rsid w:val="00FA5D62"/>
    <w:rsid w:val="00FA5E48"/>
    <w:rsid w:val="00FA5E5D"/>
    <w:rsid w:val="00FA5EDC"/>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EE"/>
    <w:rsid w:val="00FA64F0"/>
    <w:rsid w:val="00FA651A"/>
    <w:rsid w:val="00FA6551"/>
    <w:rsid w:val="00FA6556"/>
    <w:rsid w:val="00FA6574"/>
    <w:rsid w:val="00FA658C"/>
    <w:rsid w:val="00FA65AF"/>
    <w:rsid w:val="00FA65FD"/>
    <w:rsid w:val="00FA6619"/>
    <w:rsid w:val="00FA6642"/>
    <w:rsid w:val="00FA664E"/>
    <w:rsid w:val="00FA66DA"/>
    <w:rsid w:val="00FA670B"/>
    <w:rsid w:val="00FA6721"/>
    <w:rsid w:val="00FA678E"/>
    <w:rsid w:val="00FA67AA"/>
    <w:rsid w:val="00FA67FC"/>
    <w:rsid w:val="00FA6809"/>
    <w:rsid w:val="00FA6863"/>
    <w:rsid w:val="00FA68CA"/>
    <w:rsid w:val="00FA696B"/>
    <w:rsid w:val="00FA6971"/>
    <w:rsid w:val="00FA6977"/>
    <w:rsid w:val="00FA6A16"/>
    <w:rsid w:val="00FA6AB0"/>
    <w:rsid w:val="00FA6AFF"/>
    <w:rsid w:val="00FA6B6A"/>
    <w:rsid w:val="00FA6C19"/>
    <w:rsid w:val="00FA6C43"/>
    <w:rsid w:val="00FA6C5F"/>
    <w:rsid w:val="00FA6C84"/>
    <w:rsid w:val="00FA6C85"/>
    <w:rsid w:val="00FA6C93"/>
    <w:rsid w:val="00FA6CBF"/>
    <w:rsid w:val="00FA6CDB"/>
    <w:rsid w:val="00FA6D30"/>
    <w:rsid w:val="00FA6D8C"/>
    <w:rsid w:val="00FA6DB3"/>
    <w:rsid w:val="00FA6DB8"/>
    <w:rsid w:val="00FA6DD5"/>
    <w:rsid w:val="00FA6E87"/>
    <w:rsid w:val="00FA6E9C"/>
    <w:rsid w:val="00FA6EDE"/>
    <w:rsid w:val="00FA6EF4"/>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B9"/>
    <w:rsid w:val="00FA72E3"/>
    <w:rsid w:val="00FA736E"/>
    <w:rsid w:val="00FA738E"/>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3E"/>
    <w:rsid w:val="00FA7D87"/>
    <w:rsid w:val="00FA7DA0"/>
    <w:rsid w:val="00FA7E0D"/>
    <w:rsid w:val="00FA7E44"/>
    <w:rsid w:val="00FA7E56"/>
    <w:rsid w:val="00FA7E90"/>
    <w:rsid w:val="00FA7EA4"/>
    <w:rsid w:val="00FA7EB9"/>
    <w:rsid w:val="00FA7F72"/>
    <w:rsid w:val="00FA7F96"/>
    <w:rsid w:val="00FB0034"/>
    <w:rsid w:val="00FB0047"/>
    <w:rsid w:val="00FB006B"/>
    <w:rsid w:val="00FB0084"/>
    <w:rsid w:val="00FB00C7"/>
    <w:rsid w:val="00FB00F3"/>
    <w:rsid w:val="00FB017E"/>
    <w:rsid w:val="00FB021A"/>
    <w:rsid w:val="00FB0228"/>
    <w:rsid w:val="00FB0269"/>
    <w:rsid w:val="00FB02E1"/>
    <w:rsid w:val="00FB02EB"/>
    <w:rsid w:val="00FB043C"/>
    <w:rsid w:val="00FB0448"/>
    <w:rsid w:val="00FB0491"/>
    <w:rsid w:val="00FB04AD"/>
    <w:rsid w:val="00FB04C6"/>
    <w:rsid w:val="00FB0513"/>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C7"/>
    <w:rsid w:val="00FB1CF3"/>
    <w:rsid w:val="00FB1D5F"/>
    <w:rsid w:val="00FB1DBB"/>
    <w:rsid w:val="00FB1E01"/>
    <w:rsid w:val="00FB1E09"/>
    <w:rsid w:val="00FB1E8A"/>
    <w:rsid w:val="00FB1E90"/>
    <w:rsid w:val="00FB1E9C"/>
    <w:rsid w:val="00FB1EAF"/>
    <w:rsid w:val="00FB1F85"/>
    <w:rsid w:val="00FB1F92"/>
    <w:rsid w:val="00FB1FB5"/>
    <w:rsid w:val="00FB1FBE"/>
    <w:rsid w:val="00FB1FCE"/>
    <w:rsid w:val="00FB1FD7"/>
    <w:rsid w:val="00FB2024"/>
    <w:rsid w:val="00FB2038"/>
    <w:rsid w:val="00FB205A"/>
    <w:rsid w:val="00FB20C4"/>
    <w:rsid w:val="00FB20E4"/>
    <w:rsid w:val="00FB218D"/>
    <w:rsid w:val="00FB2195"/>
    <w:rsid w:val="00FB21AA"/>
    <w:rsid w:val="00FB21E2"/>
    <w:rsid w:val="00FB2203"/>
    <w:rsid w:val="00FB224F"/>
    <w:rsid w:val="00FB2265"/>
    <w:rsid w:val="00FB22BE"/>
    <w:rsid w:val="00FB2337"/>
    <w:rsid w:val="00FB233B"/>
    <w:rsid w:val="00FB23CF"/>
    <w:rsid w:val="00FB23F0"/>
    <w:rsid w:val="00FB246C"/>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A4F"/>
    <w:rsid w:val="00FB2A72"/>
    <w:rsid w:val="00FB2A9B"/>
    <w:rsid w:val="00FB2B19"/>
    <w:rsid w:val="00FB2B3E"/>
    <w:rsid w:val="00FB2BB7"/>
    <w:rsid w:val="00FB2C4A"/>
    <w:rsid w:val="00FB2C52"/>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2B"/>
    <w:rsid w:val="00FB3335"/>
    <w:rsid w:val="00FB335B"/>
    <w:rsid w:val="00FB3383"/>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0E"/>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B6"/>
    <w:rsid w:val="00FB3FF7"/>
    <w:rsid w:val="00FB4023"/>
    <w:rsid w:val="00FB4032"/>
    <w:rsid w:val="00FB40D5"/>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5B"/>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E9"/>
    <w:rsid w:val="00FB47F7"/>
    <w:rsid w:val="00FB4800"/>
    <w:rsid w:val="00FB4801"/>
    <w:rsid w:val="00FB4804"/>
    <w:rsid w:val="00FB4827"/>
    <w:rsid w:val="00FB483F"/>
    <w:rsid w:val="00FB486E"/>
    <w:rsid w:val="00FB488E"/>
    <w:rsid w:val="00FB48CC"/>
    <w:rsid w:val="00FB48EE"/>
    <w:rsid w:val="00FB48F7"/>
    <w:rsid w:val="00FB48F9"/>
    <w:rsid w:val="00FB494B"/>
    <w:rsid w:val="00FB4961"/>
    <w:rsid w:val="00FB49D6"/>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B2"/>
    <w:rsid w:val="00FB51C6"/>
    <w:rsid w:val="00FB5237"/>
    <w:rsid w:val="00FB5300"/>
    <w:rsid w:val="00FB535D"/>
    <w:rsid w:val="00FB542E"/>
    <w:rsid w:val="00FB5450"/>
    <w:rsid w:val="00FB5463"/>
    <w:rsid w:val="00FB5484"/>
    <w:rsid w:val="00FB548D"/>
    <w:rsid w:val="00FB54EB"/>
    <w:rsid w:val="00FB550A"/>
    <w:rsid w:val="00FB5519"/>
    <w:rsid w:val="00FB551B"/>
    <w:rsid w:val="00FB555B"/>
    <w:rsid w:val="00FB5562"/>
    <w:rsid w:val="00FB5572"/>
    <w:rsid w:val="00FB5597"/>
    <w:rsid w:val="00FB55E3"/>
    <w:rsid w:val="00FB5649"/>
    <w:rsid w:val="00FB56BB"/>
    <w:rsid w:val="00FB5723"/>
    <w:rsid w:val="00FB5743"/>
    <w:rsid w:val="00FB57C3"/>
    <w:rsid w:val="00FB57E2"/>
    <w:rsid w:val="00FB57E6"/>
    <w:rsid w:val="00FB5859"/>
    <w:rsid w:val="00FB58D3"/>
    <w:rsid w:val="00FB59C6"/>
    <w:rsid w:val="00FB5AB4"/>
    <w:rsid w:val="00FB5ADF"/>
    <w:rsid w:val="00FB5AED"/>
    <w:rsid w:val="00FB5AF7"/>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D7"/>
    <w:rsid w:val="00FB6513"/>
    <w:rsid w:val="00FB6576"/>
    <w:rsid w:val="00FB65CE"/>
    <w:rsid w:val="00FB665D"/>
    <w:rsid w:val="00FB6694"/>
    <w:rsid w:val="00FB6778"/>
    <w:rsid w:val="00FB6796"/>
    <w:rsid w:val="00FB67FC"/>
    <w:rsid w:val="00FB6811"/>
    <w:rsid w:val="00FB6826"/>
    <w:rsid w:val="00FB685D"/>
    <w:rsid w:val="00FB6886"/>
    <w:rsid w:val="00FB68C8"/>
    <w:rsid w:val="00FB68E5"/>
    <w:rsid w:val="00FB6907"/>
    <w:rsid w:val="00FB6944"/>
    <w:rsid w:val="00FB6960"/>
    <w:rsid w:val="00FB69E9"/>
    <w:rsid w:val="00FB69F3"/>
    <w:rsid w:val="00FB6ADD"/>
    <w:rsid w:val="00FB6B0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33"/>
    <w:rsid w:val="00FB6EF9"/>
    <w:rsid w:val="00FB6F37"/>
    <w:rsid w:val="00FB6F87"/>
    <w:rsid w:val="00FB6F91"/>
    <w:rsid w:val="00FB6FAD"/>
    <w:rsid w:val="00FB6FDE"/>
    <w:rsid w:val="00FB6FFE"/>
    <w:rsid w:val="00FB702F"/>
    <w:rsid w:val="00FB7099"/>
    <w:rsid w:val="00FB70BF"/>
    <w:rsid w:val="00FB7122"/>
    <w:rsid w:val="00FB713D"/>
    <w:rsid w:val="00FB719E"/>
    <w:rsid w:val="00FB71A7"/>
    <w:rsid w:val="00FB7200"/>
    <w:rsid w:val="00FB7207"/>
    <w:rsid w:val="00FB7290"/>
    <w:rsid w:val="00FB7298"/>
    <w:rsid w:val="00FB72B1"/>
    <w:rsid w:val="00FB7320"/>
    <w:rsid w:val="00FB7361"/>
    <w:rsid w:val="00FB736C"/>
    <w:rsid w:val="00FB73CB"/>
    <w:rsid w:val="00FB73E3"/>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C"/>
    <w:rsid w:val="00FB7784"/>
    <w:rsid w:val="00FB7790"/>
    <w:rsid w:val="00FB77A6"/>
    <w:rsid w:val="00FB77AF"/>
    <w:rsid w:val="00FB77DC"/>
    <w:rsid w:val="00FB7813"/>
    <w:rsid w:val="00FB7818"/>
    <w:rsid w:val="00FB781C"/>
    <w:rsid w:val="00FB78D5"/>
    <w:rsid w:val="00FB78DA"/>
    <w:rsid w:val="00FB78DF"/>
    <w:rsid w:val="00FB78E7"/>
    <w:rsid w:val="00FB78F6"/>
    <w:rsid w:val="00FB790D"/>
    <w:rsid w:val="00FB791B"/>
    <w:rsid w:val="00FB7940"/>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0A"/>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5F9"/>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89"/>
    <w:rsid w:val="00FC099E"/>
    <w:rsid w:val="00FC09ED"/>
    <w:rsid w:val="00FC09EF"/>
    <w:rsid w:val="00FC0A20"/>
    <w:rsid w:val="00FC0A38"/>
    <w:rsid w:val="00FC0A3A"/>
    <w:rsid w:val="00FC0A83"/>
    <w:rsid w:val="00FC0A95"/>
    <w:rsid w:val="00FC0B7C"/>
    <w:rsid w:val="00FC0C10"/>
    <w:rsid w:val="00FC0C21"/>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25"/>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A4"/>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DC"/>
    <w:rsid w:val="00FC194B"/>
    <w:rsid w:val="00FC197B"/>
    <w:rsid w:val="00FC1989"/>
    <w:rsid w:val="00FC198E"/>
    <w:rsid w:val="00FC19EC"/>
    <w:rsid w:val="00FC19F0"/>
    <w:rsid w:val="00FC19FD"/>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7B"/>
    <w:rsid w:val="00FC1DE9"/>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44"/>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B8"/>
    <w:rsid w:val="00FC25F3"/>
    <w:rsid w:val="00FC25F8"/>
    <w:rsid w:val="00FC2647"/>
    <w:rsid w:val="00FC2648"/>
    <w:rsid w:val="00FC264D"/>
    <w:rsid w:val="00FC2663"/>
    <w:rsid w:val="00FC266F"/>
    <w:rsid w:val="00FC26C5"/>
    <w:rsid w:val="00FC26CD"/>
    <w:rsid w:val="00FC26DB"/>
    <w:rsid w:val="00FC2713"/>
    <w:rsid w:val="00FC271B"/>
    <w:rsid w:val="00FC274A"/>
    <w:rsid w:val="00FC27B5"/>
    <w:rsid w:val="00FC27F7"/>
    <w:rsid w:val="00FC2812"/>
    <w:rsid w:val="00FC285D"/>
    <w:rsid w:val="00FC28A5"/>
    <w:rsid w:val="00FC28AE"/>
    <w:rsid w:val="00FC28FD"/>
    <w:rsid w:val="00FC294C"/>
    <w:rsid w:val="00FC29C3"/>
    <w:rsid w:val="00FC2A2F"/>
    <w:rsid w:val="00FC2A3B"/>
    <w:rsid w:val="00FC2A96"/>
    <w:rsid w:val="00FC2AA9"/>
    <w:rsid w:val="00FC2AC5"/>
    <w:rsid w:val="00FC2B02"/>
    <w:rsid w:val="00FC2B4C"/>
    <w:rsid w:val="00FC2B60"/>
    <w:rsid w:val="00FC2BD0"/>
    <w:rsid w:val="00FC2BD9"/>
    <w:rsid w:val="00FC2BDE"/>
    <w:rsid w:val="00FC2C49"/>
    <w:rsid w:val="00FC2C62"/>
    <w:rsid w:val="00FC2C85"/>
    <w:rsid w:val="00FC2C9F"/>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3050"/>
    <w:rsid w:val="00FC3062"/>
    <w:rsid w:val="00FC3085"/>
    <w:rsid w:val="00FC3093"/>
    <w:rsid w:val="00FC30A0"/>
    <w:rsid w:val="00FC30BF"/>
    <w:rsid w:val="00FC30CA"/>
    <w:rsid w:val="00FC313E"/>
    <w:rsid w:val="00FC3161"/>
    <w:rsid w:val="00FC3171"/>
    <w:rsid w:val="00FC31B0"/>
    <w:rsid w:val="00FC31C0"/>
    <w:rsid w:val="00FC31C3"/>
    <w:rsid w:val="00FC31C6"/>
    <w:rsid w:val="00FC3208"/>
    <w:rsid w:val="00FC3250"/>
    <w:rsid w:val="00FC3258"/>
    <w:rsid w:val="00FC326D"/>
    <w:rsid w:val="00FC3298"/>
    <w:rsid w:val="00FC32E6"/>
    <w:rsid w:val="00FC32FA"/>
    <w:rsid w:val="00FC3311"/>
    <w:rsid w:val="00FC33B0"/>
    <w:rsid w:val="00FC33B4"/>
    <w:rsid w:val="00FC3441"/>
    <w:rsid w:val="00FC3467"/>
    <w:rsid w:val="00FC3491"/>
    <w:rsid w:val="00FC34B2"/>
    <w:rsid w:val="00FC3520"/>
    <w:rsid w:val="00FC3525"/>
    <w:rsid w:val="00FC3584"/>
    <w:rsid w:val="00FC35CD"/>
    <w:rsid w:val="00FC3634"/>
    <w:rsid w:val="00FC3653"/>
    <w:rsid w:val="00FC36E2"/>
    <w:rsid w:val="00FC3730"/>
    <w:rsid w:val="00FC3747"/>
    <w:rsid w:val="00FC378D"/>
    <w:rsid w:val="00FC37A9"/>
    <w:rsid w:val="00FC37B3"/>
    <w:rsid w:val="00FC37C7"/>
    <w:rsid w:val="00FC3846"/>
    <w:rsid w:val="00FC3878"/>
    <w:rsid w:val="00FC3898"/>
    <w:rsid w:val="00FC38B1"/>
    <w:rsid w:val="00FC38B9"/>
    <w:rsid w:val="00FC393D"/>
    <w:rsid w:val="00FC3972"/>
    <w:rsid w:val="00FC39A5"/>
    <w:rsid w:val="00FC3A27"/>
    <w:rsid w:val="00FC3A5E"/>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C4C"/>
    <w:rsid w:val="00FC4C51"/>
    <w:rsid w:val="00FC4C79"/>
    <w:rsid w:val="00FC4C83"/>
    <w:rsid w:val="00FC4CAA"/>
    <w:rsid w:val="00FC4CAD"/>
    <w:rsid w:val="00FC4CD8"/>
    <w:rsid w:val="00FC4D05"/>
    <w:rsid w:val="00FC4D47"/>
    <w:rsid w:val="00FC4D4C"/>
    <w:rsid w:val="00FC4DD1"/>
    <w:rsid w:val="00FC4E1C"/>
    <w:rsid w:val="00FC4E7F"/>
    <w:rsid w:val="00FC4EA0"/>
    <w:rsid w:val="00FC4EDC"/>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FD"/>
    <w:rsid w:val="00FC520C"/>
    <w:rsid w:val="00FC523C"/>
    <w:rsid w:val="00FC52BB"/>
    <w:rsid w:val="00FC52CF"/>
    <w:rsid w:val="00FC5379"/>
    <w:rsid w:val="00FC547C"/>
    <w:rsid w:val="00FC5493"/>
    <w:rsid w:val="00FC5496"/>
    <w:rsid w:val="00FC54A7"/>
    <w:rsid w:val="00FC5526"/>
    <w:rsid w:val="00FC5547"/>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FF"/>
    <w:rsid w:val="00FC5A26"/>
    <w:rsid w:val="00FC5A87"/>
    <w:rsid w:val="00FC5AA2"/>
    <w:rsid w:val="00FC5AC9"/>
    <w:rsid w:val="00FC5B2D"/>
    <w:rsid w:val="00FC5B30"/>
    <w:rsid w:val="00FC5B3D"/>
    <w:rsid w:val="00FC5B96"/>
    <w:rsid w:val="00FC5BDE"/>
    <w:rsid w:val="00FC5C45"/>
    <w:rsid w:val="00FC5C77"/>
    <w:rsid w:val="00FC5CCB"/>
    <w:rsid w:val="00FC5CE7"/>
    <w:rsid w:val="00FC5CFF"/>
    <w:rsid w:val="00FC5D0B"/>
    <w:rsid w:val="00FC5D31"/>
    <w:rsid w:val="00FC5D67"/>
    <w:rsid w:val="00FC5DED"/>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9A"/>
    <w:rsid w:val="00FC61D6"/>
    <w:rsid w:val="00FC61DC"/>
    <w:rsid w:val="00FC6212"/>
    <w:rsid w:val="00FC62CF"/>
    <w:rsid w:val="00FC62E9"/>
    <w:rsid w:val="00FC6308"/>
    <w:rsid w:val="00FC6339"/>
    <w:rsid w:val="00FC63C6"/>
    <w:rsid w:val="00FC640C"/>
    <w:rsid w:val="00FC645E"/>
    <w:rsid w:val="00FC6469"/>
    <w:rsid w:val="00FC648F"/>
    <w:rsid w:val="00FC64A9"/>
    <w:rsid w:val="00FC64EB"/>
    <w:rsid w:val="00FC6548"/>
    <w:rsid w:val="00FC6557"/>
    <w:rsid w:val="00FC6570"/>
    <w:rsid w:val="00FC65C7"/>
    <w:rsid w:val="00FC6628"/>
    <w:rsid w:val="00FC668D"/>
    <w:rsid w:val="00FC66A6"/>
    <w:rsid w:val="00FC66C6"/>
    <w:rsid w:val="00FC66E4"/>
    <w:rsid w:val="00FC66FD"/>
    <w:rsid w:val="00FC670F"/>
    <w:rsid w:val="00FC67F9"/>
    <w:rsid w:val="00FC6815"/>
    <w:rsid w:val="00FC6855"/>
    <w:rsid w:val="00FC6866"/>
    <w:rsid w:val="00FC68C5"/>
    <w:rsid w:val="00FC68C7"/>
    <w:rsid w:val="00FC6907"/>
    <w:rsid w:val="00FC6915"/>
    <w:rsid w:val="00FC6936"/>
    <w:rsid w:val="00FC6938"/>
    <w:rsid w:val="00FC6967"/>
    <w:rsid w:val="00FC69AC"/>
    <w:rsid w:val="00FC69F3"/>
    <w:rsid w:val="00FC6AFD"/>
    <w:rsid w:val="00FC6B37"/>
    <w:rsid w:val="00FC6C1D"/>
    <w:rsid w:val="00FC6C62"/>
    <w:rsid w:val="00FC6C9A"/>
    <w:rsid w:val="00FC6CAB"/>
    <w:rsid w:val="00FC6CB9"/>
    <w:rsid w:val="00FC6CD3"/>
    <w:rsid w:val="00FC6CF7"/>
    <w:rsid w:val="00FC6CF8"/>
    <w:rsid w:val="00FC6D02"/>
    <w:rsid w:val="00FC6D0B"/>
    <w:rsid w:val="00FC6D44"/>
    <w:rsid w:val="00FC6DA5"/>
    <w:rsid w:val="00FC6DA6"/>
    <w:rsid w:val="00FC6DD9"/>
    <w:rsid w:val="00FC6E41"/>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229"/>
    <w:rsid w:val="00FC7237"/>
    <w:rsid w:val="00FC7266"/>
    <w:rsid w:val="00FC728B"/>
    <w:rsid w:val="00FC72E3"/>
    <w:rsid w:val="00FC7358"/>
    <w:rsid w:val="00FC7381"/>
    <w:rsid w:val="00FC7382"/>
    <w:rsid w:val="00FC738C"/>
    <w:rsid w:val="00FC7399"/>
    <w:rsid w:val="00FC73A7"/>
    <w:rsid w:val="00FC73C6"/>
    <w:rsid w:val="00FC73F8"/>
    <w:rsid w:val="00FC742F"/>
    <w:rsid w:val="00FC746A"/>
    <w:rsid w:val="00FC747E"/>
    <w:rsid w:val="00FC7491"/>
    <w:rsid w:val="00FC74EB"/>
    <w:rsid w:val="00FC7516"/>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3C"/>
    <w:rsid w:val="00FD033E"/>
    <w:rsid w:val="00FD0357"/>
    <w:rsid w:val="00FD0388"/>
    <w:rsid w:val="00FD03B4"/>
    <w:rsid w:val="00FD0452"/>
    <w:rsid w:val="00FD0471"/>
    <w:rsid w:val="00FD04A3"/>
    <w:rsid w:val="00FD04A4"/>
    <w:rsid w:val="00FD04B8"/>
    <w:rsid w:val="00FD054D"/>
    <w:rsid w:val="00FD0668"/>
    <w:rsid w:val="00FD06A1"/>
    <w:rsid w:val="00FD06A2"/>
    <w:rsid w:val="00FD06BA"/>
    <w:rsid w:val="00FD06DF"/>
    <w:rsid w:val="00FD07B4"/>
    <w:rsid w:val="00FD07CA"/>
    <w:rsid w:val="00FD07D4"/>
    <w:rsid w:val="00FD085D"/>
    <w:rsid w:val="00FD08CF"/>
    <w:rsid w:val="00FD08EC"/>
    <w:rsid w:val="00FD08EF"/>
    <w:rsid w:val="00FD091B"/>
    <w:rsid w:val="00FD0921"/>
    <w:rsid w:val="00FD0939"/>
    <w:rsid w:val="00FD094D"/>
    <w:rsid w:val="00FD0975"/>
    <w:rsid w:val="00FD09DD"/>
    <w:rsid w:val="00FD09F2"/>
    <w:rsid w:val="00FD0A3B"/>
    <w:rsid w:val="00FD0A81"/>
    <w:rsid w:val="00FD0AA4"/>
    <w:rsid w:val="00FD0AC0"/>
    <w:rsid w:val="00FD0B13"/>
    <w:rsid w:val="00FD0B1A"/>
    <w:rsid w:val="00FD0B30"/>
    <w:rsid w:val="00FD0B36"/>
    <w:rsid w:val="00FD0BD8"/>
    <w:rsid w:val="00FD0CEB"/>
    <w:rsid w:val="00FD0CF4"/>
    <w:rsid w:val="00FD0D3F"/>
    <w:rsid w:val="00FD0D44"/>
    <w:rsid w:val="00FD0D78"/>
    <w:rsid w:val="00FD0D7B"/>
    <w:rsid w:val="00FD0E3B"/>
    <w:rsid w:val="00FD0E53"/>
    <w:rsid w:val="00FD0E59"/>
    <w:rsid w:val="00FD0E63"/>
    <w:rsid w:val="00FD0E71"/>
    <w:rsid w:val="00FD0E7B"/>
    <w:rsid w:val="00FD0E9C"/>
    <w:rsid w:val="00FD0EBB"/>
    <w:rsid w:val="00FD0F4A"/>
    <w:rsid w:val="00FD0F7E"/>
    <w:rsid w:val="00FD0F81"/>
    <w:rsid w:val="00FD0FA4"/>
    <w:rsid w:val="00FD0FD1"/>
    <w:rsid w:val="00FD1016"/>
    <w:rsid w:val="00FD1024"/>
    <w:rsid w:val="00FD1046"/>
    <w:rsid w:val="00FD1053"/>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19"/>
    <w:rsid w:val="00FD185B"/>
    <w:rsid w:val="00FD18B3"/>
    <w:rsid w:val="00FD18B9"/>
    <w:rsid w:val="00FD18DF"/>
    <w:rsid w:val="00FD1920"/>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CA1"/>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71"/>
    <w:rsid w:val="00FD1FAF"/>
    <w:rsid w:val="00FD1FD1"/>
    <w:rsid w:val="00FD1FD5"/>
    <w:rsid w:val="00FD202D"/>
    <w:rsid w:val="00FD20AA"/>
    <w:rsid w:val="00FD20AB"/>
    <w:rsid w:val="00FD20DC"/>
    <w:rsid w:val="00FD2130"/>
    <w:rsid w:val="00FD2136"/>
    <w:rsid w:val="00FD2138"/>
    <w:rsid w:val="00FD21C5"/>
    <w:rsid w:val="00FD2220"/>
    <w:rsid w:val="00FD2250"/>
    <w:rsid w:val="00FD225B"/>
    <w:rsid w:val="00FD2271"/>
    <w:rsid w:val="00FD22B2"/>
    <w:rsid w:val="00FD22B4"/>
    <w:rsid w:val="00FD22E6"/>
    <w:rsid w:val="00FD2331"/>
    <w:rsid w:val="00FD2368"/>
    <w:rsid w:val="00FD2369"/>
    <w:rsid w:val="00FD2420"/>
    <w:rsid w:val="00FD2424"/>
    <w:rsid w:val="00FD248B"/>
    <w:rsid w:val="00FD24B7"/>
    <w:rsid w:val="00FD250A"/>
    <w:rsid w:val="00FD2517"/>
    <w:rsid w:val="00FD2549"/>
    <w:rsid w:val="00FD257C"/>
    <w:rsid w:val="00FD2649"/>
    <w:rsid w:val="00FD26ED"/>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AC9"/>
    <w:rsid w:val="00FD2B35"/>
    <w:rsid w:val="00FD2B38"/>
    <w:rsid w:val="00FD2B4B"/>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6D"/>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AE5"/>
    <w:rsid w:val="00FD3B07"/>
    <w:rsid w:val="00FD3B14"/>
    <w:rsid w:val="00FD3B22"/>
    <w:rsid w:val="00FD3B23"/>
    <w:rsid w:val="00FD3B2F"/>
    <w:rsid w:val="00FD3B4F"/>
    <w:rsid w:val="00FD3B53"/>
    <w:rsid w:val="00FD3B58"/>
    <w:rsid w:val="00FD3C04"/>
    <w:rsid w:val="00FD3C1C"/>
    <w:rsid w:val="00FD3C26"/>
    <w:rsid w:val="00FD3C40"/>
    <w:rsid w:val="00FD3CE6"/>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3FFA"/>
    <w:rsid w:val="00FD406A"/>
    <w:rsid w:val="00FD40A0"/>
    <w:rsid w:val="00FD40CD"/>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5D"/>
    <w:rsid w:val="00FD44BE"/>
    <w:rsid w:val="00FD44D9"/>
    <w:rsid w:val="00FD44ED"/>
    <w:rsid w:val="00FD452A"/>
    <w:rsid w:val="00FD4531"/>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66"/>
    <w:rsid w:val="00FD4B6C"/>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9C"/>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A8"/>
    <w:rsid w:val="00FD56E4"/>
    <w:rsid w:val="00FD5771"/>
    <w:rsid w:val="00FD5791"/>
    <w:rsid w:val="00FD57C9"/>
    <w:rsid w:val="00FD580C"/>
    <w:rsid w:val="00FD5829"/>
    <w:rsid w:val="00FD58B7"/>
    <w:rsid w:val="00FD5931"/>
    <w:rsid w:val="00FD593D"/>
    <w:rsid w:val="00FD59D6"/>
    <w:rsid w:val="00FD5A7A"/>
    <w:rsid w:val="00FD5A8B"/>
    <w:rsid w:val="00FD5AC5"/>
    <w:rsid w:val="00FD5AF9"/>
    <w:rsid w:val="00FD5B12"/>
    <w:rsid w:val="00FD5B19"/>
    <w:rsid w:val="00FD5B6B"/>
    <w:rsid w:val="00FD5B95"/>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9C"/>
    <w:rsid w:val="00FD60A6"/>
    <w:rsid w:val="00FD60B7"/>
    <w:rsid w:val="00FD60F9"/>
    <w:rsid w:val="00FD613A"/>
    <w:rsid w:val="00FD617E"/>
    <w:rsid w:val="00FD61E6"/>
    <w:rsid w:val="00FD61EE"/>
    <w:rsid w:val="00FD622C"/>
    <w:rsid w:val="00FD6230"/>
    <w:rsid w:val="00FD6257"/>
    <w:rsid w:val="00FD62CA"/>
    <w:rsid w:val="00FD62DB"/>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784"/>
    <w:rsid w:val="00FD680F"/>
    <w:rsid w:val="00FD68AD"/>
    <w:rsid w:val="00FD68BC"/>
    <w:rsid w:val="00FD68DB"/>
    <w:rsid w:val="00FD6901"/>
    <w:rsid w:val="00FD691C"/>
    <w:rsid w:val="00FD6936"/>
    <w:rsid w:val="00FD694B"/>
    <w:rsid w:val="00FD694D"/>
    <w:rsid w:val="00FD69CE"/>
    <w:rsid w:val="00FD6A2B"/>
    <w:rsid w:val="00FD6A30"/>
    <w:rsid w:val="00FD6AA9"/>
    <w:rsid w:val="00FD6AD8"/>
    <w:rsid w:val="00FD6B08"/>
    <w:rsid w:val="00FD6B27"/>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2"/>
    <w:rsid w:val="00FD709C"/>
    <w:rsid w:val="00FD70C2"/>
    <w:rsid w:val="00FD70D8"/>
    <w:rsid w:val="00FD713C"/>
    <w:rsid w:val="00FD7181"/>
    <w:rsid w:val="00FD7195"/>
    <w:rsid w:val="00FD71BD"/>
    <w:rsid w:val="00FD71CE"/>
    <w:rsid w:val="00FD7207"/>
    <w:rsid w:val="00FD7224"/>
    <w:rsid w:val="00FD7236"/>
    <w:rsid w:val="00FD724B"/>
    <w:rsid w:val="00FD736F"/>
    <w:rsid w:val="00FD73F5"/>
    <w:rsid w:val="00FD746C"/>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60"/>
    <w:rsid w:val="00FD7A8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90"/>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B9"/>
    <w:rsid w:val="00FE076D"/>
    <w:rsid w:val="00FE0792"/>
    <w:rsid w:val="00FE07AC"/>
    <w:rsid w:val="00FE07AD"/>
    <w:rsid w:val="00FE07BE"/>
    <w:rsid w:val="00FE08DE"/>
    <w:rsid w:val="00FE08ED"/>
    <w:rsid w:val="00FE0903"/>
    <w:rsid w:val="00FE097D"/>
    <w:rsid w:val="00FE0A39"/>
    <w:rsid w:val="00FE0A6B"/>
    <w:rsid w:val="00FE0AA8"/>
    <w:rsid w:val="00FE0BD6"/>
    <w:rsid w:val="00FE0C05"/>
    <w:rsid w:val="00FE0C09"/>
    <w:rsid w:val="00FE0C0C"/>
    <w:rsid w:val="00FE0C47"/>
    <w:rsid w:val="00FE0C59"/>
    <w:rsid w:val="00FE0CF5"/>
    <w:rsid w:val="00FE0D61"/>
    <w:rsid w:val="00FE0DC7"/>
    <w:rsid w:val="00FE0DC9"/>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1A"/>
    <w:rsid w:val="00FE102C"/>
    <w:rsid w:val="00FE106E"/>
    <w:rsid w:val="00FE1075"/>
    <w:rsid w:val="00FE107D"/>
    <w:rsid w:val="00FE10AB"/>
    <w:rsid w:val="00FE1120"/>
    <w:rsid w:val="00FE1168"/>
    <w:rsid w:val="00FE1182"/>
    <w:rsid w:val="00FE1188"/>
    <w:rsid w:val="00FE11EA"/>
    <w:rsid w:val="00FE1296"/>
    <w:rsid w:val="00FE130F"/>
    <w:rsid w:val="00FE1388"/>
    <w:rsid w:val="00FE13F7"/>
    <w:rsid w:val="00FE145C"/>
    <w:rsid w:val="00FE14FE"/>
    <w:rsid w:val="00FE154F"/>
    <w:rsid w:val="00FE162A"/>
    <w:rsid w:val="00FE1634"/>
    <w:rsid w:val="00FE1649"/>
    <w:rsid w:val="00FE1697"/>
    <w:rsid w:val="00FE16B4"/>
    <w:rsid w:val="00FE16E5"/>
    <w:rsid w:val="00FE16F7"/>
    <w:rsid w:val="00FE171E"/>
    <w:rsid w:val="00FE173B"/>
    <w:rsid w:val="00FE173F"/>
    <w:rsid w:val="00FE1747"/>
    <w:rsid w:val="00FE175D"/>
    <w:rsid w:val="00FE1793"/>
    <w:rsid w:val="00FE17B0"/>
    <w:rsid w:val="00FE17CD"/>
    <w:rsid w:val="00FE17D0"/>
    <w:rsid w:val="00FE17DC"/>
    <w:rsid w:val="00FE17ED"/>
    <w:rsid w:val="00FE1822"/>
    <w:rsid w:val="00FE1842"/>
    <w:rsid w:val="00FE185D"/>
    <w:rsid w:val="00FE189D"/>
    <w:rsid w:val="00FE18D0"/>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64"/>
    <w:rsid w:val="00FE1E9F"/>
    <w:rsid w:val="00FE1EF6"/>
    <w:rsid w:val="00FE1F50"/>
    <w:rsid w:val="00FE1FD0"/>
    <w:rsid w:val="00FE1FF1"/>
    <w:rsid w:val="00FE201E"/>
    <w:rsid w:val="00FE20AC"/>
    <w:rsid w:val="00FE20EB"/>
    <w:rsid w:val="00FE20FD"/>
    <w:rsid w:val="00FE21CA"/>
    <w:rsid w:val="00FE2216"/>
    <w:rsid w:val="00FE2222"/>
    <w:rsid w:val="00FE2260"/>
    <w:rsid w:val="00FE2296"/>
    <w:rsid w:val="00FE22D5"/>
    <w:rsid w:val="00FE22D9"/>
    <w:rsid w:val="00FE22DD"/>
    <w:rsid w:val="00FE230E"/>
    <w:rsid w:val="00FE2319"/>
    <w:rsid w:val="00FE2338"/>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6"/>
    <w:rsid w:val="00FE2F5A"/>
    <w:rsid w:val="00FE2F61"/>
    <w:rsid w:val="00FE2F69"/>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0F"/>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1F"/>
    <w:rsid w:val="00FE3768"/>
    <w:rsid w:val="00FE378E"/>
    <w:rsid w:val="00FE37E8"/>
    <w:rsid w:val="00FE3856"/>
    <w:rsid w:val="00FE387E"/>
    <w:rsid w:val="00FE38A5"/>
    <w:rsid w:val="00FE38A6"/>
    <w:rsid w:val="00FE38E2"/>
    <w:rsid w:val="00FE3920"/>
    <w:rsid w:val="00FE3938"/>
    <w:rsid w:val="00FE3946"/>
    <w:rsid w:val="00FE396D"/>
    <w:rsid w:val="00FE3978"/>
    <w:rsid w:val="00FE39AF"/>
    <w:rsid w:val="00FE39F9"/>
    <w:rsid w:val="00FE3A50"/>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EF"/>
    <w:rsid w:val="00FE3E4E"/>
    <w:rsid w:val="00FE3E96"/>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C4"/>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3D"/>
    <w:rsid w:val="00FE475C"/>
    <w:rsid w:val="00FE47D6"/>
    <w:rsid w:val="00FE4856"/>
    <w:rsid w:val="00FE4872"/>
    <w:rsid w:val="00FE4882"/>
    <w:rsid w:val="00FE48DE"/>
    <w:rsid w:val="00FE48EC"/>
    <w:rsid w:val="00FE4917"/>
    <w:rsid w:val="00FE492E"/>
    <w:rsid w:val="00FE4942"/>
    <w:rsid w:val="00FE495E"/>
    <w:rsid w:val="00FE499A"/>
    <w:rsid w:val="00FE4A6A"/>
    <w:rsid w:val="00FE4A90"/>
    <w:rsid w:val="00FE4AB0"/>
    <w:rsid w:val="00FE4B63"/>
    <w:rsid w:val="00FE4B72"/>
    <w:rsid w:val="00FE4B7E"/>
    <w:rsid w:val="00FE4B9B"/>
    <w:rsid w:val="00FE4BB3"/>
    <w:rsid w:val="00FE4C48"/>
    <w:rsid w:val="00FE4C5A"/>
    <w:rsid w:val="00FE4C82"/>
    <w:rsid w:val="00FE4D15"/>
    <w:rsid w:val="00FE4DBD"/>
    <w:rsid w:val="00FE4DEE"/>
    <w:rsid w:val="00FE4DFF"/>
    <w:rsid w:val="00FE4E00"/>
    <w:rsid w:val="00FE4E10"/>
    <w:rsid w:val="00FE4E27"/>
    <w:rsid w:val="00FE4F11"/>
    <w:rsid w:val="00FE4F6D"/>
    <w:rsid w:val="00FE5043"/>
    <w:rsid w:val="00FE5045"/>
    <w:rsid w:val="00FE5057"/>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92"/>
    <w:rsid w:val="00FE57D0"/>
    <w:rsid w:val="00FE57DD"/>
    <w:rsid w:val="00FE57ED"/>
    <w:rsid w:val="00FE588A"/>
    <w:rsid w:val="00FE58A9"/>
    <w:rsid w:val="00FE590F"/>
    <w:rsid w:val="00FE593A"/>
    <w:rsid w:val="00FE5948"/>
    <w:rsid w:val="00FE5959"/>
    <w:rsid w:val="00FE598A"/>
    <w:rsid w:val="00FE5994"/>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BC"/>
    <w:rsid w:val="00FE6597"/>
    <w:rsid w:val="00FE6637"/>
    <w:rsid w:val="00FE6669"/>
    <w:rsid w:val="00FE6689"/>
    <w:rsid w:val="00FE66C6"/>
    <w:rsid w:val="00FE66E2"/>
    <w:rsid w:val="00FE66FF"/>
    <w:rsid w:val="00FE676A"/>
    <w:rsid w:val="00FE67DA"/>
    <w:rsid w:val="00FE6880"/>
    <w:rsid w:val="00FE6899"/>
    <w:rsid w:val="00FE68E7"/>
    <w:rsid w:val="00FE69E1"/>
    <w:rsid w:val="00FE69F0"/>
    <w:rsid w:val="00FE6A9B"/>
    <w:rsid w:val="00FE6AA4"/>
    <w:rsid w:val="00FE6AC0"/>
    <w:rsid w:val="00FE6AC2"/>
    <w:rsid w:val="00FE6ACF"/>
    <w:rsid w:val="00FE6AD3"/>
    <w:rsid w:val="00FE6B92"/>
    <w:rsid w:val="00FE6B9A"/>
    <w:rsid w:val="00FE6CC6"/>
    <w:rsid w:val="00FE6CC8"/>
    <w:rsid w:val="00FE6D51"/>
    <w:rsid w:val="00FE6D6A"/>
    <w:rsid w:val="00FE6DA4"/>
    <w:rsid w:val="00FE6DAE"/>
    <w:rsid w:val="00FE6DEE"/>
    <w:rsid w:val="00FE6DEF"/>
    <w:rsid w:val="00FE6DF2"/>
    <w:rsid w:val="00FE6E33"/>
    <w:rsid w:val="00FE6E50"/>
    <w:rsid w:val="00FE6E83"/>
    <w:rsid w:val="00FE6E9E"/>
    <w:rsid w:val="00FE6EB7"/>
    <w:rsid w:val="00FE6EE9"/>
    <w:rsid w:val="00FE6EFD"/>
    <w:rsid w:val="00FE6F13"/>
    <w:rsid w:val="00FE6F93"/>
    <w:rsid w:val="00FE6FB6"/>
    <w:rsid w:val="00FE6FE3"/>
    <w:rsid w:val="00FE708D"/>
    <w:rsid w:val="00FE70D5"/>
    <w:rsid w:val="00FE7165"/>
    <w:rsid w:val="00FE728C"/>
    <w:rsid w:val="00FE728F"/>
    <w:rsid w:val="00FE7317"/>
    <w:rsid w:val="00FE7320"/>
    <w:rsid w:val="00FE7324"/>
    <w:rsid w:val="00FE732C"/>
    <w:rsid w:val="00FE736A"/>
    <w:rsid w:val="00FE73DD"/>
    <w:rsid w:val="00FE73E3"/>
    <w:rsid w:val="00FE740C"/>
    <w:rsid w:val="00FE748A"/>
    <w:rsid w:val="00FE7495"/>
    <w:rsid w:val="00FE74C7"/>
    <w:rsid w:val="00FE74CB"/>
    <w:rsid w:val="00FE74D3"/>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F"/>
    <w:rsid w:val="00FE7812"/>
    <w:rsid w:val="00FE7837"/>
    <w:rsid w:val="00FE7839"/>
    <w:rsid w:val="00FE78CE"/>
    <w:rsid w:val="00FE7908"/>
    <w:rsid w:val="00FE796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46"/>
    <w:rsid w:val="00FF086D"/>
    <w:rsid w:val="00FF089C"/>
    <w:rsid w:val="00FF08B5"/>
    <w:rsid w:val="00FF08E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2"/>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4E"/>
    <w:rsid w:val="00FF0F7E"/>
    <w:rsid w:val="00FF0F91"/>
    <w:rsid w:val="00FF0FA1"/>
    <w:rsid w:val="00FF106A"/>
    <w:rsid w:val="00FF10DF"/>
    <w:rsid w:val="00FF112A"/>
    <w:rsid w:val="00FF11C5"/>
    <w:rsid w:val="00FF11ED"/>
    <w:rsid w:val="00FF11FF"/>
    <w:rsid w:val="00FF1243"/>
    <w:rsid w:val="00FF1268"/>
    <w:rsid w:val="00FF12B2"/>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BEA"/>
    <w:rsid w:val="00FF1C2C"/>
    <w:rsid w:val="00FF1D09"/>
    <w:rsid w:val="00FF1D0D"/>
    <w:rsid w:val="00FF1D37"/>
    <w:rsid w:val="00FF1D5A"/>
    <w:rsid w:val="00FF1D61"/>
    <w:rsid w:val="00FF1D91"/>
    <w:rsid w:val="00FF1D93"/>
    <w:rsid w:val="00FF1DC9"/>
    <w:rsid w:val="00FF1E0F"/>
    <w:rsid w:val="00FF1E49"/>
    <w:rsid w:val="00FF1E4A"/>
    <w:rsid w:val="00FF1E8C"/>
    <w:rsid w:val="00FF1EB8"/>
    <w:rsid w:val="00FF1EFF"/>
    <w:rsid w:val="00FF1F45"/>
    <w:rsid w:val="00FF205C"/>
    <w:rsid w:val="00FF20A6"/>
    <w:rsid w:val="00FF20C3"/>
    <w:rsid w:val="00FF20D8"/>
    <w:rsid w:val="00FF2120"/>
    <w:rsid w:val="00FF2135"/>
    <w:rsid w:val="00FF2186"/>
    <w:rsid w:val="00FF22BA"/>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53"/>
    <w:rsid w:val="00FF27A7"/>
    <w:rsid w:val="00FF27CD"/>
    <w:rsid w:val="00FF27D7"/>
    <w:rsid w:val="00FF2822"/>
    <w:rsid w:val="00FF282A"/>
    <w:rsid w:val="00FF2835"/>
    <w:rsid w:val="00FF285A"/>
    <w:rsid w:val="00FF286F"/>
    <w:rsid w:val="00FF2884"/>
    <w:rsid w:val="00FF28CB"/>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A3"/>
    <w:rsid w:val="00FF30F6"/>
    <w:rsid w:val="00FF3144"/>
    <w:rsid w:val="00FF3160"/>
    <w:rsid w:val="00FF31B8"/>
    <w:rsid w:val="00FF31FD"/>
    <w:rsid w:val="00FF31FE"/>
    <w:rsid w:val="00FF321B"/>
    <w:rsid w:val="00FF32F8"/>
    <w:rsid w:val="00FF3315"/>
    <w:rsid w:val="00FF3324"/>
    <w:rsid w:val="00FF3345"/>
    <w:rsid w:val="00FF3351"/>
    <w:rsid w:val="00FF338A"/>
    <w:rsid w:val="00FF33D5"/>
    <w:rsid w:val="00FF33F3"/>
    <w:rsid w:val="00FF3466"/>
    <w:rsid w:val="00FF349A"/>
    <w:rsid w:val="00FF34D6"/>
    <w:rsid w:val="00FF3541"/>
    <w:rsid w:val="00FF3555"/>
    <w:rsid w:val="00FF3565"/>
    <w:rsid w:val="00FF356B"/>
    <w:rsid w:val="00FF35EF"/>
    <w:rsid w:val="00FF35FA"/>
    <w:rsid w:val="00FF361E"/>
    <w:rsid w:val="00FF3622"/>
    <w:rsid w:val="00FF3645"/>
    <w:rsid w:val="00FF3676"/>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70"/>
    <w:rsid w:val="00FF3B9E"/>
    <w:rsid w:val="00FF3BA8"/>
    <w:rsid w:val="00FF3BB7"/>
    <w:rsid w:val="00FF3BBE"/>
    <w:rsid w:val="00FF3C04"/>
    <w:rsid w:val="00FF3C21"/>
    <w:rsid w:val="00FF3C8D"/>
    <w:rsid w:val="00FF3CB3"/>
    <w:rsid w:val="00FF3CD2"/>
    <w:rsid w:val="00FF3DCB"/>
    <w:rsid w:val="00FF3E0D"/>
    <w:rsid w:val="00FF3E65"/>
    <w:rsid w:val="00FF3E74"/>
    <w:rsid w:val="00FF3E86"/>
    <w:rsid w:val="00FF3EA4"/>
    <w:rsid w:val="00FF3EC9"/>
    <w:rsid w:val="00FF3EF7"/>
    <w:rsid w:val="00FF3F18"/>
    <w:rsid w:val="00FF3F3C"/>
    <w:rsid w:val="00FF3F83"/>
    <w:rsid w:val="00FF3FAE"/>
    <w:rsid w:val="00FF4003"/>
    <w:rsid w:val="00FF400D"/>
    <w:rsid w:val="00FF4026"/>
    <w:rsid w:val="00FF4058"/>
    <w:rsid w:val="00FF405D"/>
    <w:rsid w:val="00FF409B"/>
    <w:rsid w:val="00FF40AB"/>
    <w:rsid w:val="00FF4131"/>
    <w:rsid w:val="00FF4137"/>
    <w:rsid w:val="00FF4188"/>
    <w:rsid w:val="00FF41AE"/>
    <w:rsid w:val="00FF4245"/>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615"/>
    <w:rsid w:val="00FF4633"/>
    <w:rsid w:val="00FF4664"/>
    <w:rsid w:val="00FF46B8"/>
    <w:rsid w:val="00FF46C9"/>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BFA"/>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4FBE"/>
    <w:rsid w:val="00FF5007"/>
    <w:rsid w:val="00FF5074"/>
    <w:rsid w:val="00FF50C5"/>
    <w:rsid w:val="00FF5128"/>
    <w:rsid w:val="00FF518F"/>
    <w:rsid w:val="00FF5202"/>
    <w:rsid w:val="00FF5245"/>
    <w:rsid w:val="00FF526D"/>
    <w:rsid w:val="00FF528A"/>
    <w:rsid w:val="00FF5293"/>
    <w:rsid w:val="00FF5303"/>
    <w:rsid w:val="00FF530F"/>
    <w:rsid w:val="00FF5339"/>
    <w:rsid w:val="00FF534C"/>
    <w:rsid w:val="00FF5356"/>
    <w:rsid w:val="00FF5357"/>
    <w:rsid w:val="00FF53D7"/>
    <w:rsid w:val="00FF5422"/>
    <w:rsid w:val="00FF544E"/>
    <w:rsid w:val="00FF5451"/>
    <w:rsid w:val="00FF546E"/>
    <w:rsid w:val="00FF54D1"/>
    <w:rsid w:val="00FF54E1"/>
    <w:rsid w:val="00FF5542"/>
    <w:rsid w:val="00FF5567"/>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9B6"/>
    <w:rsid w:val="00FF5A05"/>
    <w:rsid w:val="00FF5A07"/>
    <w:rsid w:val="00FF5A0C"/>
    <w:rsid w:val="00FF5A0E"/>
    <w:rsid w:val="00FF5A22"/>
    <w:rsid w:val="00FF5A37"/>
    <w:rsid w:val="00FF5A54"/>
    <w:rsid w:val="00FF5A8F"/>
    <w:rsid w:val="00FF5A9B"/>
    <w:rsid w:val="00FF5AF8"/>
    <w:rsid w:val="00FF5B58"/>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4F"/>
    <w:rsid w:val="00FF5E57"/>
    <w:rsid w:val="00FF5E7E"/>
    <w:rsid w:val="00FF5EC2"/>
    <w:rsid w:val="00FF5ECB"/>
    <w:rsid w:val="00FF5EDA"/>
    <w:rsid w:val="00FF5EEE"/>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02"/>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D8"/>
    <w:rsid w:val="00FF68EF"/>
    <w:rsid w:val="00FF6903"/>
    <w:rsid w:val="00FF6980"/>
    <w:rsid w:val="00FF6991"/>
    <w:rsid w:val="00FF69AC"/>
    <w:rsid w:val="00FF69C1"/>
    <w:rsid w:val="00FF6A26"/>
    <w:rsid w:val="00FF6AE4"/>
    <w:rsid w:val="00FF6AF0"/>
    <w:rsid w:val="00FF6B22"/>
    <w:rsid w:val="00FF6B27"/>
    <w:rsid w:val="00FF6B42"/>
    <w:rsid w:val="00FF6B65"/>
    <w:rsid w:val="00FF6BEA"/>
    <w:rsid w:val="00FF6BEF"/>
    <w:rsid w:val="00FF6BF0"/>
    <w:rsid w:val="00FF6BF8"/>
    <w:rsid w:val="00FF6C0E"/>
    <w:rsid w:val="00FF6C2B"/>
    <w:rsid w:val="00FF6C60"/>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3"/>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9"/>
    <w:rsid w:val="00FF74FD"/>
    <w:rsid w:val="00FF7554"/>
    <w:rsid w:val="00FF757C"/>
    <w:rsid w:val="00FF757F"/>
    <w:rsid w:val="00FF75AC"/>
    <w:rsid w:val="00FF75DC"/>
    <w:rsid w:val="00FF75DF"/>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43"/>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7F1"/>
    <w:rsid w:val="08000840"/>
    <w:rsid w:val="080008B5"/>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27"/>
    <w:rsid w:val="080015AB"/>
    <w:rsid w:val="080015F3"/>
    <w:rsid w:val="08001621"/>
    <w:rsid w:val="0800162C"/>
    <w:rsid w:val="0800166C"/>
    <w:rsid w:val="080016AE"/>
    <w:rsid w:val="08001765"/>
    <w:rsid w:val="08001829"/>
    <w:rsid w:val="080018A8"/>
    <w:rsid w:val="080018CB"/>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3D"/>
    <w:rsid w:val="0800216F"/>
    <w:rsid w:val="080021C8"/>
    <w:rsid w:val="080022E2"/>
    <w:rsid w:val="080022E3"/>
    <w:rsid w:val="08002308"/>
    <w:rsid w:val="0800234A"/>
    <w:rsid w:val="08002388"/>
    <w:rsid w:val="080023CE"/>
    <w:rsid w:val="08002517"/>
    <w:rsid w:val="0800257A"/>
    <w:rsid w:val="08002592"/>
    <w:rsid w:val="08002700"/>
    <w:rsid w:val="0800283D"/>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D"/>
    <w:rsid w:val="08003036"/>
    <w:rsid w:val="08003047"/>
    <w:rsid w:val="080030EB"/>
    <w:rsid w:val="0800323A"/>
    <w:rsid w:val="08003364"/>
    <w:rsid w:val="0800336D"/>
    <w:rsid w:val="0800337A"/>
    <w:rsid w:val="080033E9"/>
    <w:rsid w:val="0800341D"/>
    <w:rsid w:val="080034F7"/>
    <w:rsid w:val="080035E0"/>
    <w:rsid w:val="08003635"/>
    <w:rsid w:val="08003649"/>
    <w:rsid w:val="08003789"/>
    <w:rsid w:val="080037A0"/>
    <w:rsid w:val="080037CF"/>
    <w:rsid w:val="08003859"/>
    <w:rsid w:val="080038A3"/>
    <w:rsid w:val="08003940"/>
    <w:rsid w:val="08003A09"/>
    <w:rsid w:val="08003A20"/>
    <w:rsid w:val="08003AAC"/>
    <w:rsid w:val="08003AE2"/>
    <w:rsid w:val="08003CAE"/>
    <w:rsid w:val="08003D24"/>
    <w:rsid w:val="08003D3F"/>
    <w:rsid w:val="08003DFA"/>
    <w:rsid w:val="08003E12"/>
    <w:rsid w:val="08003E2D"/>
    <w:rsid w:val="08003E38"/>
    <w:rsid w:val="08003E3C"/>
    <w:rsid w:val="08003F15"/>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6E"/>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2B"/>
    <w:rsid w:val="08005C84"/>
    <w:rsid w:val="08005C94"/>
    <w:rsid w:val="08005D14"/>
    <w:rsid w:val="08005D48"/>
    <w:rsid w:val="08005D99"/>
    <w:rsid w:val="08005E17"/>
    <w:rsid w:val="08005E6A"/>
    <w:rsid w:val="08005F59"/>
    <w:rsid w:val="0800607B"/>
    <w:rsid w:val="080061A8"/>
    <w:rsid w:val="080061FA"/>
    <w:rsid w:val="080063F9"/>
    <w:rsid w:val="0800643A"/>
    <w:rsid w:val="08006477"/>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72"/>
    <w:rsid w:val="08006A88"/>
    <w:rsid w:val="08006CB2"/>
    <w:rsid w:val="08006CC8"/>
    <w:rsid w:val="08006DD1"/>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884"/>
    <w:rsid w:val="080079BB"/>
    <w:rsid w:val="08007A38"/>
    <w:rsid w:val="08007ACF"/>
    <w:rsid w:val="08007B02"/>
    <w:rsid w:val="08007BCC"/>
    <w:rsid w:val="08007C91"/>
    <w:rsid w:val="08007CB4"/>
    <w:rsid w:val="08007DDF"/>
    <w:rsid w:val="08007E6D"/>
    <w:rsid w:val="08007E95"/>
    <w:rsid w:val="08007F46"/>
    <w:rsid w:val="08007F58"/>
    <w:rsid w:val="08007F78"/>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1F"/>
    <w:rsid w:val="08010656"/>
    <w:rsid w:val="080106A2"/>
    <w:rsid w:val="080106CA"/>
    <w:rsid w:val="080106E1"/>
    <w:rsid w:val="080106F1"/>
    <w:rsid w:val="080106FD"/>
    <w:rsid w:val="0801071E"/>
    <w:rsid w:val="080107D5"/>
    <w:rsid w:val="08010894"/>
    <w:rsid w:val="0801092C"/>
    <w:rsid w:val="080109CF"/>
    <w:rsid w:val="08010A87"/>
    <w:rsid w:val="08010B5B"/>
    <w:rsid w:val="08010BBA"/>
    <w:rsid w:val="08010BE4"/>
    <w:rsid w:val="08010CA9"/>
    <w:rsid w:val="08010CD9"/>
    <w:rsid w:val="08010CFD"/>
    <w:rsid w:val="08010DDA"/>
    <w:rsid w:val="08010E23"/>
    <w:rsid w:val="08010E7E"/>
    <w:rsid w:val="08010FE4"/>
    <w:rsid w:val="08011080"/>
    <w:rsid w:val="08011087"/>
    <w:rsid w:val="080110AE"/>
    <w:rsid w:val="080110FB"/>
    <w:rsid w:val="08011129"/>
    <w:rsid w:val="08011157"/>
    <w:rsid w:val="0801125F"/>
    <w:rsid w:val="0801127C"/>
    <w:rsid w:val="080112F4"/>
    <w:rsid w:val="0801132A"/>
    <w:rsid w:val="0801139E"/>
    <w:rsid w:val="08011461"/>
    <w:rsid w:val="080116D4"/>
    <w:rsid w:val="08011705"/>
    <w:rsid w:val="0801173F"/>
    <w:rsid w:val="08011768"/>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36"/>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E5B"/>
    <w:rsid w:val="08012F2A"/>
    <w:rsid w:val="08012FFD"/>
    <w:rsid w:val="08013028"/>
    <w:rsid w:val="0801304D"/>
    <w:rsid w:val="0801305D"/>
    <w:rsid w:val="08013069"/>
    <w:rsid w:val="08013070"/>
    <w:rsid w:val="080130CD"/>
    <w:rsid w:val="080130F9"/>
    <w:rsid w:val="08013123"/>
    <w:rsid w:val="08013131"/>
    <w:rsid w:val="0801324E"/>
    <w:rsid w:val="08013266"/>
    <w:rsid w:val="0801329C"/>
    <w:rsid w:val="080132EB"/>
    <w:rsid w:val="08013346"/>
    <w:rsid w:val="08013354"/>
    <w:rsid w:val="080134FB"/>
    <w:rsid w:val="080135DC"/>
    <w:rsid w:val="08013627"/>
    <w:rsid w:val="08013721"/>
    <w:rsid w:val="080138E1"/>
    <w:rsid w:val="08013906"/>
    <w:rsid w:val="0801390C"/>
    <w:rsid w:val="08013960"/>
    <w:rsid w:val="08013A5C"/>
    <w:rsid w:val="08013AA3"/>
    <w:rsid w:val="08013AAC"/>
    <w:rsid w:val="08013CBF"/>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81"/>
    <w:rsid w:val="080145AA"/>
    <w:rsid w:val="080145FE"/>
    <w:rsid w:val="0801462C"/>
    <w:rsid w:val="08014767"/>
    <w:rsid w:val="08014842"/>
    <w:rsid w:val="08014969"/>
    <w:rsid w:val="080149EB"/>
    <w:rsid w:val="08014A0C"/>
    <w:rsid w:val="08014A5A"/>
    <w:rsid w:val="08014B8C"/>
    <w:rsid w:val="08014BA5"/>
    <w:rsid w:val="08014BBF"/>
    <w:rsid w:val="08014C48"/>
    <w:rsid w:val="08014C69"/>
    <w:rsid w:val="08014C8A"/>
    <w:rsid w:val="08014CC8"/>
    <w:rsid w:val="08014D00"/>
    <w:rsid w:val="08014D55"/>
    <w:rsid w:val="08014D80"/>
    <w:rsid w:val="08014DDF"/>
    <w:rsid w:val="08014F77"/>
    <w:rsid w:val="08015045"/>
    <w:rsid w:val="0801508A"/>
    <w:rsid w:val="080150C6"/>
    <w:rsid w:val="080150CB"/>
    <w:rsid w:val="0801519C"/>
    <w:rsid w:val="080151B7"/>
    <w:rsid w:val="080151B8"/>
    <w:rsid w:val="080151C8"/>
    <w:rsid w:val="080151D4"/>
    <w:rsid w:val="0801522B"/>
    <w:rsid w:val="0801522E"/>
    <w:rsid w:val="0801523E"/>
    <w:rsid w:val="08015251"/>
    <w:rsid w:val="08015286"/>
    <w:rsid w:val="080152B5"/>
    <w:rsid w:val="08015383"/>
    <w:rsid w:val="08015385"/>
    <w:rsid w:val="080153C0"/>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D9"/>
    <w:rsid w:val="08015FE6"/>
    <w:rsid w:val="08016071"/>
    <w:rsid w:val="08016191"/>
    <w:rsid w:val="0801619A"/>
    <w:rsid w:val="080161F1"/>
    <w:rsid w:val="0801622C"/>
    <w:rsid w:val="08016457"/>
    <w:rsid w:val="08016563"/>
    <w:rsid w:val="080165AD"/>
    <w:rsid w:val="080165C8"/>
    <w:rsid w:val="080165E0"/>
    <w:rsid w:val="0801672B"/>
    <w:rsid w:val="0801675F"/>
    <w:rsid w:val="08016787"/>
    <w:rsid w:val="08016792"/>
    <w:rsid w:val="080168FD"/>
    <w:rsid w:val="08016B79"/>
    <w:rsid w:val="08016BA4"/>
    <w:rsid w:val="08016C31"/>
    <w:rsid w:val="08016C58"/>
    <w:rsid w:val="08016CBA"/>
    <w:rsid w:val="08016CF0"/>
    <w:rsid w:val="08016D38"/>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A37"/>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08"/>
    <w:rsid w:val="0802061E"/>
    <w:rsid w:val="0802062C"/>
    <w:rsid w:val="0802071A"/>
    <w:rsid w:val="0802072A"/>
    <w:rsid w:val="080207D9"/>
    <w:rsid w:val="080207DA"/>
    <w:rsid w:val="0802082C"/>
    <w:rsid w:val="0802084C"/>
    <w:rsid w:val="080208D6"/>
    <w:rsid w:val="080208F4"/>
    <w:rsid w:val="08020926"/>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64"/>
    <w:rsid w:val="08021868"/>
    <w:rsid w:val="080218A3"/>
    <w:rsid w:val="080218AD"/>
    <w:rsid w:val="080218D7"/>
    <w:rsid w:val="0802193D"/>
    <w:rsid w:val="08021946"/>
    <w:rsid w:val="08021A49"/>
    <w:rsid w:val="08021A68"/>
    <w:rsid w:val="08021A8D"/>
    <w:rsid w:val="08021B25"/>
    <w:rsid w:val="08021B68"/>
    <w:rsid w:val="08021BA5"/>
    <w:rsid w:val="08021CD1"/>
    <w:rsid w:val="08021DC4"/>
    <w:rsid w:val="08021DDF"/>
    <w:rsid w:val="08021E1F"/>
    <w:rsid w:val="08021E42"/>
    <w:rsid w:val="08021E68"/>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1A7"/>
    <w:rsid w:val="0802326B"/>
    <w:rsid w:val="08023307"/>
    <w:rsid w:val="0802336F"/>
    <w:rsid w:val="0802339B"/>
    <w:rsid w:val="08023416"/>
    <w:rsid w:val="080234A2"/>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0D"/>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33"/>
    <w:rsid w:val="08025673"/>
    <w:rsid w:val="08025705"/>
    <w:rsid w:val="080257C3"/>
    <w:rsid w:val="08025865"/>
    <w:rsid w:val="08025866"/>
    <w:rsid w:val="08025885"/>
    <w:rsid w:val="080258A3"/>
    <w:rsid w:val="08025936"/>
    <w:rsid w:val="08025969"/>
    <w:rsid w:val="08025990"/>
    <w:rsid w:val="08025A7B"/>
    <w:rsid w:val="08025AA9"/>
    <w:rsid w:val="08025B51"/>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24"/>
    <w:rsid w:val="080269AE"/>
    <w:rsid w:val="080269DF"/>
    <w:rsid w:val="08026A22"/>
    <w:rsid w:val="08026A86"/>
    <w:rsid w:val="08026AB5"/>
    <w:rsid w:val="08026AC8"/>
    <w:rsid w:val="08026AF9"/>
    <w:rsid w:val="08026C55"/>
    <w:rsid w:val="08026C75"/>
    <w:rsid w:val="08026D39"/>
    <w:rsid w:val="08026E02"/>
    <w:rsid w:val="08026E11"/>
    <w:rsid w:val="08026E35"/>
    <w:rsid w:val="08026E37"/>
    <w:rsid w:val="08027049"/>
    <w:rsid w:val="080271A5"/>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B3"/>
    <w:rsid w:val="080279F3"/>
    <w:rsid w:val="08027A54"/>
    <w:rsid w:val="08027AB5"/>
    <w:rsid w:val="08027BEC"/>
    <w:rsid w:val="08027BF2"/>
    <w:rsid w:val="08027C14"/>
    <w:rsid w:val="08027C69"/>
    <w:rsid w:val="08027C8D"/>
    <w:rsid w:val="08027D53"/>
    <w:rsid w:val="08027D85"/>
    <w:rsid w:val="08027D88"/>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7"/>
    <w:rsid w:val="08030B3A"/>
    <w:rsid w:val="08030C59"/>
    <w:rsid w:val="08030CD9"/>
    <w:rsid w:val="08030DAD"/>
    <w:rsid w:val="08030E53"/>
    <w:rsid w:val="08031114"/>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13A"/>
    <w:rsid w:val="08032277"/>
    <w:rsid w:val="08032301"/>
    <w:rsid w:val="08032395"/>
    <w:rsid w:val="080323D7"/>
    <w:rsid w:val="080323E8"/>
    <w:rsid w:val="0803243C"/>
    <w:rsid w:val="08032468"/>
    <w:rsid w:val="080324C4"/>
    <w:rsid w:val="08032544"/>
    <w:rsid w:val="0803257E"/>
    <w:rsid w:val="080325E7"/>
    <w:rsid w:val="080325FA"/>
    <w:rsid w:val="080326B9"/>
    <w:rsid w:val="08032704"/>
    <w:rsid w:val="08032756"/>
    <w:rsid w:val="08032856"/>
    <w:rsid w:val="08032971"/>
    <w:rsid w:val="08032A03"/>
    <w:rsid w:val="08032A0E"/>
    <w:rsid w:val="08032A69"/>
    <w:rsid w:val="08032AFE"/>
    <w:rsid w:val="08032BEB"/>
    <w:rsid w:val="08032D40"/>
    <w:rsid w:val="08032D6A"/>
    <w:rsid w:val="08032D6B"/>
    <w:rsid w:val="08032ED7"/>
    <w:rsid w:val="08032F09"/>
    <w:rsid w:val="08033099"/>
    <w:rsid w:val="0803312C"/>
    <w:rsid w:val="080331C9"/>
    <w:rsid w:val="080331D8"/>
    <w:rsid w:val="08033263"/>
    <w:rsid w:val="08033275"/>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7EA"/>
    <w:rsid w:val="0803389C"/>
    <w:rsid w:val="08033A29"/>
    <w:rsid w:val="08033B0E"/>
    <w:rsid w:val="08033B67"/>
    <w:rsid w:val="08033B89"/>
    <w:rsid w:val="08033BB3"/>
    <w:rsid w:val="08033C81"/>
    <w:rsid w:val="08033CAD"/>
    <w:rsid w:val="08033E38"/>
    <w:rsid w:val="08033E59"/>
    <w:rsid w:val="08033EBC"/>
    <w:rsid w:val="08033EC2"/>
    <w:rsid w:val="08033F01"/>
    <w:rsid w:val="08033F3D"/>
    <w:rsid w:val="08033F8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B8"/>
    <w:rsid w:val="080349E0"/>
    <w:rsid w:val="080349FF"/>
    <w:rsid w:val="08034A30"/>
    <w:rsid w:val="08034B6A"/>
    <w:rsid w:val="08034C20"/>
    <w:rsid w:val="08034C72"/>
    <w:rsid w:val="08034CD8"/>
    <w:rsid w:val="08034DCD"/>
    <w:rsid w:val="08034E2B"/>
    <w:rsid w:val="08034E30"/>
    <w:rsid w:val="08034E33"/>
    <w:rsid w:val="08034EAA"/>
    <w:rsid w:val="08034F12"/>
    <w:rsid w:val="08034FC9"/>
    <w:rsid w:val="08035005"/>
    <w:rsid w:val="0803500E"/>
    <w:rsid w:val="0803506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AF6"/>
    <w:rsid w:val="08035B13"/>
    <w:rsid w:val="08035B20"/>
    <w:rsid w:val="08035B36"/>
    <w:rsid w:val="08035B59"/>
    <w:rsid w:val="08035B9E"/>
    <w:rsid w:val="08035C1C"/>
    <w:rsid w:val="08035C24"/>
    <w:rsid w:val="08035CBB"/>
    <w:rsid w:val="08035CEE"/>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692"/>
    <w:rsid w:val="080367A4"/>
    <w:rsid w:val="080367DB"/>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7B"/>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6"/>
    <w:rsid w:val="0804016E"/>
    <w:rsid w:val="080401F6"/>
    <w:rsid w:val="08040289"/>
    <w:rsid w:val="0804029B"/>
    <w:rsid w:val="08040308"/>
    <w:rsid w:val="08040366"/>
    <w:rsid w:val="080403AD"/>
    <w:rsid w:val="080403CA"/>
    <w:rsid w:val="080403CC"/>
    <w:rsid w:val="0804040F"/>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C"/>
    <w:rsid w:val="08040C0F"/>
    <w:rsid w:val="08040C7E"/>
    <w:rsid w:val="08040D64"/>
    <w:rsid w:val="08040DDA"/>
    <w:rsid w:val="08040E9F"/>
    <w:rsid w:val="08040EA1"/>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2E8"/>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2EDF"/>
    <w:rsid w:val="0804300A"/>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EC"/>
    <w:rsid w:val="08043B33"/>
    <w:rsid w:val="08043BFC"/>
    <w:rsid w:val="08043CAD"/>
    <w:rsid w:val="08043CCA"/>
    <w:rsid w:val="08043DD8"/>
    <w:rsid w:val="08043E14"/>
    <w:rsid w:val="08043E1E"/>
    <w:rsid w:val="08043F7C"/>
    <w:rsid w:val="08043FC6"/>
    <w:rsid w:val="0804400E"/>
    <w:rsid w:val="0804411D"/>
    <w:rsid w:val="0804412D"/>
    <w:rsid w:val="080441F1"/>
    <w:rsid w:val="080442C2"/>
    <w:rsid w:val="0804431B"/>
    <w:rsid w:val="080443B0"/>
    <w:rsid w:val="0804450A"/>
    <w:rsid w:val="0804454F"/>
    <w:rsid w:val="0804457D"/>
    <w:rsid w:val="0804457F"/>
    <w:rsid w:val="080445F7"/>
    <w:rsid w:val="080445F9"/>
    <w:rsid w:val="0804465E"/>
    <w:rsid w:val="0804467C"/>
    <w:rsid w:val="08044686"/>
    <w:rsid w:val="0804469C"/>
    <w:rsid w:val="08044703"/>
    <w:rsid w:val="08044768"/>
    <w:rsid w:val="0804477E"/>
    <w:rsid w:val="08044782"/>
    <w:rsid w:val="0804479D"/>
    <w:rsid w:val="080447A3"/>
    <w:rsid w:val="080447C4"/>
    <w:rsid w:val="080447F4"/>
    <w:rsid w:val="08044809"/>
    <w:rsid w:val="0804485C"/>
    <w:rsid w:val="08044935"/>
    <w:rsid w:val="080449F6"/>
    <w:rsid w:val="08044AA1"/>
    <w:rsid w:val="08044AC0"/>
    <w:rsid w:val="08044B14"/>
    <w:rsid w:val="08044B7A"/>
    <w:rsid w:val="08044B8C"/>
    <w:rsid w:val="08044B93"/>
    <w:rsid w:val="08044BBD"/>
    <w:rsid w:val="08044BFD"/>
    <w:rsid w:val="08044C26"/>
    <w:rsid w:val="08044CF5"/>
    <w:rsid w:val="08044DFD"/>
    <w:rsid w:val="08044E3A"/>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B0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AF"/>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482"/>
    <w:rsid w:val="080504BB"/>
    <w:rsid w:val="08050575"/>
    <w:rsid w:val="080505CB"/>
    <w:rsid w:val="08050683"/>
    <w:rsid w:val="080506BB"/>
    <w:rsid w:val="080507C2"/>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0F9"/>
    <w:rsid w:val="08051188"/>
    <w:rsid w:val="080512E2"/>
    <w:rsid w:val="080513B0"/>
    <w:rsid w:val="080513D0"/>
    <w:rsid w:val="08051448"/>
    <w:rsid w:val="08051472"/>
    <w:rsid w:val="080514F1"/>
    <w:rsid w:val="080514F5"/>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EC4"/>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BEA"/>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BCA"/>
    <w:rsid w:val="08054BDB"/>
    <w:rsid w:val="08054C38"/>
    <w:rsid w:val="08054C6F"/>
    <w:rsid w:val="08054D28"/>
    <w:rsid w:val="08054E54"/>
    <w:rsid w:val="08054ED4"/>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18"/>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E23"/>
    <w:rsid w:val="08055EC2"/>
    <w:rsid w:val="08055F0D"/>
    <w:rsid w:val="08055F49"/>
    <w:rsid w:val="08055F9C"/>
    <w:rsid w:val="08055FB1"/>
    <w:rsid w:val="08056025"/>
    <w:rsid w:val="0805610F"/>
    <w:rsid w:val="0805613E"/>
    <w:rsid w:val="080561C2"/>
    <w:rsid w:val="08056279"/>
    <w:rsid w:val="08056295"/>
    <w:rsid w:val="08056298"/>
    <w:rsid w:val="08056332"/>
    <w:rsid w:val="080563A0"/>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CF0"/>
    <w:rsid w:val="08056D57"/>
    <w:rsid w:val="08056D7C"/>
    <w:rsid w:val="08056D97"/>
    <w:rsid w:val="08056F02"/>
    <w:rsid w:val="08056F41"/>
    <w:rsid w:val="08056FB4"/>
    <w:rsid w:val="0805708C"/>
    <w:rsid w:val="080570DD"/>
    <w:rsid w:val="0805712A"/>
    <w:rsid w:val="0805721E"/>
    <w:rsid w:val="08057300"/>
    <w:rsid w:val="08057365"/>
    <w:rsid w:val="080573C9"/>
    <w:rsid w:val="080575F2"/>
    <w:rsid w:val="08057640"/>
    <w:rsid w:val="08057675"/>
    <w:rsid w:val="080576EB"/>
    <w:rsid w:val="080576EC"/>
    <w:rsid w:val="080577C7"/>
    <w:rsid w:val="080577D3"/>
    <w:rsid w:val="080578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CE"/>
    <w:rsid w:val="080600FC"/>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3F2"/>
    <w:rsid w:val="08063436"/>
    <w:rsid w:val="08063493"/>
    <w:rsid w:val="080634EF"/>
    <w:rsid w:val="0806351C"/>
    <w:rsid w:val="08063548"/>
    <w:rsid w:val="080635E0"/>
    <w:rsid w:val="08063673"/>
    <w:rsid w:val="080636A9"/>
    <w:rsid w:val="080637AC"/>
    <w:rsid w:val="080637C2"/>
    <w:rsid w:val="080637C4"/>
    <w:rsid w:val="08063812"/>
    <w:rsid w:val="08063845"/>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99"/>
    <w:rsid w:val="080641C1"/>
    <w:rsid w:val="08064269"/>
    <w:rsid w:val="08064393"/>
    <w:rsid w:val="080643F6"/>
    <w:rsid w:val="080644DD"/>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9BB"/>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49A"/>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E15"/>
    <w:rsid w:val="08065F01"/>
    <w:rsid w:val="08065FB8"/>
    <w:rsid w:val="08065FD1"/>
    <w:rsid w:val="0806604C"/>
    <w:rsid w:val="08066061"/>
    <w:rsid w:val="080660C0"/>
    <w:rsid w:val="08066167"/>
    <w:rsid w:val="080662A6"/>
    <w:rsid w:val="08066396"/>
    <w:rsid w:val="080663DB"/>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12"/>
    <w:rsid w:val="08066B36"/>
    <w:rsid w:val="08066B39"/>
    <w:rsid w:val="08066B54"/>
    <w:rsid w:val="08066CFE"/>
    <w:rsid w:val="08066DEE"/>
    <w:rsid w:val="08066E1A"/>
    <w:rsid w:val="08066E1D"/>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A4"/>
    <w:rsid w:val="080677D5"/>
    <w:rsid w:val="080677EB"/>
    <w:rsid w:val="0806788F"/>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58"/>
    <w:rsid w:val="080724D8"/>
    <w:rsid w:val="080724FF"/>
    <w:rsid w:val="08072501"/>
    <w:rsid w:val="0807252D"/>
    <w:rsid w:val="08072538"/>
    <w:rsid w:val="08072542"/>
    <w:rsid w:val="0807257B"/>
    <w:rsid w:val="080725B0"/>
    <w:rsid w:val="08072649"/>
    <w:rsid w:val="08072668"/>
    <w:rsid w:val="0807271E"/>
    <w:rsid w:val="080727C5"/>
    <w:rsid w:val="080727D0"/>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054"/>
    <w:rsid w:val="08073159"/>
    <w:rsid w:val="080731AD"/>
    <w:rsid w:val="080732DA"/>
    <w:rsid w:val="0807340C"/>
    <w:rsid w:val="080734B7"/>
    <w:rsid w:val="080735ED"/>
    <w:rsid w:val="08073609"/>
    <w:rsid w:val="08073643"/>
    <w:rsid w:val="0807377C"/>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88"/>
    <w:rsid w:val="08074214"/>
    <w:rsid w:val="080742D4"/>
    <w:rsid w:val="0807434F"/>
    <w:rsid w:val="08074352"/>
    <w:rsid w:val="080743DD"/>
    <w:rsid w:val="0807441D"/>
    <w:rsid w:val="08074433"/>
    <w:rsid w:val="08074437"/>
    <w:rsid w:val="080744C3"/>
    <w:rsid w:val="080744D0"/>
    <w:rsid w:val="0807461E"/>
    <w:rsid w:val="080746D2"/>
    <w:rsid w:val="08074726"/>
    <w:rsid w:val="08074730"/>
    <w:rsid w:val="08074737"/>
    <w:rsid w:val="08074835"/>
    <w:rsid w:val="080748B5"/>
    <w:rsid w:val="080748E8"/>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2C"/>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38E"/>
    <w:rsid w:val="080765C7"/>
    <w:rsid w:val="080765E5"/>
    <w:rsid w:val="0807661F"/>
    <w:rsid w:val="0807664C"/>
    <w:rsid w:val="0807667B"/>
    <w:rsid w:val="080766B8"/>
    <w:rsid w:val="0807671F"/>
    <w:rsid w:val="08076740"/>
    <w:rsid w:val="080767DD"/>
    <w:rsid w:val="08076867"/>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3C"/>
    <w:rsid w:val="0807715A"/>
    <w:rsid w:val="080772E6"/>
    <w:rsid w:val="080773B9"/>
    <w:rsid w:val="080773D2"/>
    <w:rsid w:val="080773EB"/>
    <w:rsid w:val="080773F0"/>
    <w:rsid w:val="08077400"/>
    <w:rsid w:val="08077431"/>
    <w:rsid w:val="08077456"/>
    <w:rsid w:val="08077500"/>
    <w:rsid w:val="0807751E"/>
    <w:rsid w:val="08077659"/>
    <w:rsid w:val="0807773D"/>
    <w:rsid w:val="080777E9"/>
    <w:rsid w:val="0807781E"/>
    <w:rsid w:val="08077833"/>
    <w:rsid w:val="0807785A"/>
    <w:rsid w:val="0807787B"/>
    <w:rsid w:val="0807790C"/>
    <w:rsid w:val="08077912"/>
    <w:rsid w:val="080779C9"/>
    <w:rsid w:val="080779D4"/>
    <w:rsid w:val="08077AC0"/>
    <w:rsid w:val="08077B14"/>
    <w:rsid w:val="08077B2D"/>
    <w:rsid w:val="08077BB5"/>
    <w:rsid w:val="08077C23"/>
    <w:rsid w:val="08077C79"/>
    <w:rsid w:val="08077C91"/>
    <w:rsid w:val="08077CD9"/>
    <w:rsid w:val="08077CDE"/>
    <w:rsid w:val="08077DAC"/>
    <w:rsid w:val="08077DCF"/>
    <w:rsid w:val="08077DF2"/>
    <w:rsid w:val="08077E79"/>
    <w:rsid w:val="08077F01"/>
    <w:rsid w:val="08077F32"/>
    <w:rsid w:val="080800CA"/>
    <w:rsid w:val="08080132"/>
    <w:rsid w:val="080801C1"/>
    <w:rsid w:val="08080236"/>
    <w:rsid w:val="0808034C"/>
    <w:rsid w:val="080803E0"/>
    <w:rsid w:val="080803EB"/>
    <w:rsid w:val="080803FB"/>
    <w:rsid w:val="08080443"/>
    <w:rsid w:val="08080469"/>
    <w:rsid w:val="0808056B"/>
    <w:rsid w:val="08080698"/>
    <w:rsid w:val="08080703"/>
    <w:rsid w:val="0808075E"/>
    <w:rsid w:val="08080769"/>
    <w:rsid w:val="080807A6"/>
    <w:rsid w:val="080807EE"/>
    <w:rsid w:val="08080913"/>
    <w:rsid w:val="08080948"/>
    <w:rsid w:val="08080952"/>
    <w:rsid w:val="080809A0"/>
    <w:rsid w:val="08080A0C"/>
    <w:rsid w:val="08080A22"/>
    <w:rsid w:val="08080A58"/>
    <w:rsid w:val="08080A6D"/>
    <w:rsid w:val="08080A91"/>
    <w:rsid w:val="08080AA3"/>
    <w:rsid w:val="08080D4C"/>
    <w:rsid w:val="08080D6F"/>
    <w:rsid w:val="08080E45"/>
    <w:rsid w:val="08080E5A"/>
    <w:rsid w:val="08080E80"/>
    <w:rsid w:val="08080E9C"/>
    <w:rsid w:val="08080EAF"/>
    <w:rsid w:val="08080EC6"/>
    <w:rsid w:val="0808115F"/>
    <w:rsid w:val="08081198"/>
    <w:rsid w:val="080811CB"/>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F7"/>
    <w:rsid w:val="08081DA9"/>
    <w:rsid w:val="08081EE8"/>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80"/>
    <w:rsid w:val="0808239D"/>
    <w:rsid w:val="08082460"/>
    <w:rsid w:val="080824AF"/>
    <w:rsid w:val="080824F9"/>
    <w:rsid w:val="08082554"/>
    <w:rsid w:val="0808255E"/>
    <w:rsid w:val="08082563"/>
    <w:rsid w:val="0808257D"/>
    <w:rsid w:val="080825B8"/>
    <w:rsid w:val="080826C8"/>
    <w:rsid w:val="0808276C"/>
    <w:rsid w:val="080827B5"/>
    <w:rsid w:val="080827CB"/>
    <w:rsid w:val="080827EE"/>
    <w:rsid w:val="080827FE"/>
    <w:rsid w:val="080828BD"/>
    <w:rsid w:val="08082AA4"/>
    <w:rsid w:val="08082AC4"/>
    <w:rsid w:val="08082BB0"/>
    <w:rsid w:val="08082D56"/>
    <w:rsid w:val="08082D94"/>
    <w:rsid w:val="08082D9D"/>
    <w:rsid w:val="08082EB4"/>
    <w:rsid w:val="08083079"/>
    <w:rsid w:val="080833D2"/>
    <w:rsid w:val="080833FE"/>
    <w:rsid w:val="08083433"/>
    <w:rsid w:val="080834A4"/>
    <w:rsid w:val="080834B5"/>
    <w:rsid w:val="0808359C"/>
    <w:rsid w:val="080835BE"/>
    <w:rsid w:val="0808361B"/>
    <w:rsid w:val="08083672"/>
    <w:rsid w:val="08083751"/>
    <w:rsid w:val="08083775"/>
    <w:rsid w:val="08083783"/>
    <w:rsid w:val="080837D2"/>
    <w:rsid w:val="0808381D"/>
    <w:rsid w:val="0808387D"/>
    <w:rsid w:val="08083892"/>
    <w:rsid w:val="08083981"/>
    <w:rsid w:val="0808399D"/>
    <w:rsid w:val="080839DB"/>
    <w:rsid w:val="080839E2"/>
    <w:rsid w:val="08083AB3"/>
    <w:rsid w:val="08083AB4"/>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3A9"/>
    <w:rsid w:val="08084432"/>
    <w:rsid w:val="080844D0"/>
    <w:rsid w:val="0808472C"/>
    <w:rsid w:val="08084756"/>
    <w:rsid w:val="080847C2"/>
    <w:rsid w:val="0808480E"/>
    <w:rsid w:val="08084829"/>
    <w:rsid w:val="080848D6"/>
    <w:rsid w:val="08084950"/>
    <w:rsid w:val="080849C5"/>
    <w:rsid w:val="08084A72"/>
    <w:rsid w:val="08084AA8"/>
    <w:rsid w:val="08084AEB"/>
    <w:rsid w:val="08084B37"/>
    <w:rsid w:val="08084B8B"/>
    <w:rsid w:val="08084BF7"/>
    <w:rsid w:val="08084C2D"/>
    <w:rsid w:val="08084C95"/>
    <w:rsid w:val="08084CC2"/>
    <w:rsid w:val="08084CDC"/>
    <w:rsid w:val="08084CDF"/>
    <w:rsid w:val="08084CEF"/>
    <w:rsid w:val="08084CF8"/>
    <w:rsid w:val="08084D05"/>
    <w:rsid w:val="08084D2B"/>
    <w:rsid w:val="08084D70"/>
    <w:rsid w:val="08084D8C"/>
    <w:rsid w:val="08084DB6"/>
    <w:rsid w:val="08084E28"/>
    <w:rsid w:val="08084E64"/>
    <w:rsid w:val="08084EAC"/>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C7"/>
    <w:rsid w:val="080855E0"/>
    <w:rsid w:val="08085649"/>
    <w:rsid w:val="080856B6"/>
    <w:rsid w:val="08085722"/>
    <w:rsid w:val="0808573B"/>
    <w:rsid w:val="0808577F"/>
    <w:rsid w:val="08085793"/>
    <w:rsid w:val="080857AD"/>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EC"/>
    <w:rsid w:val="08085E50"/>
    <w:rsid w:val="08085EBE"/>
    <w:rsid w:val="08085ECD"/>
    <w:rsid w:val="08085F46"/>
    <w:rsid w:val="08085F6C"/>
    <w:rsid w:val="08085F6F"/>
    <w:rsid w:val="08085FD1"/>
    <w:rsid w:val="08085FE3"/>
    <w:rsid w:val="08085FEC"/>
    <w:rsid w:val="08086093"/>
    <w:rsid w:val="08086122"/>
    <w:rsid w:val="08086132"/>
    <w:rsid w:val="08086158"/>
    <w:rsid w:val="0808615C"/>
    <w:rsid w:val="08086256"/>
    <w:rsid w:val="080862CB"/>
    <w:rsid w:val="080865DC"/>
    <w:rsid w:val="080865F9"/>
    <w:rsid w:val="0808661E"/>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327"/>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742"/>
    <w:rsid w:val="0808780D"/>
    <w:rsid w:val="08087B05"/>
    <w:rsid w:val="08087B3C"/>
    <w:rsid w:val="08087BBF"/>
    <w:rsid w:val="08087C4F"/>
    <w:rsid w:val="08087C60"/>
    <w:rsid w:val="08087D70"/>
    <w:rsid w:val="08087D8F"/>
    <w:rsid w:val="08087DAB"/>
    <w:rsid w:val="08087E1D"/>
    <w:rsid w:val="08087E6E"/>
    <w:rsid w:val="08087E8D"/>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12"/>
    <w:rsid w:val="08090C14"/>
    <w:rsid w:val="08090D1A"/>
    <w:rsid w:val="08090D1B"/>
    <w:rsid w:val="08090E8A"/>
    <w:rsid w:val="08090EB9"/>
    <w:rsid w:val="08090F21"/>
    <w:rsid w:val="08090F6F"/>
    <w:rsid w:val="08090F7F"/>
    <w:rsid w:val="08090FBD"/>
    <w:rsid w:val="08090FDB"/>
    <w:rsid w:val="08090FFD"/>
    <w:rsid w:val="08091030"/>
    <w:rsid w:val="080910AA"/>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9B"/>
    <w:rsid w:val="08091DBC"/>
    <w:rsid w:val="08091DE4"/>
    <w:rsid w:val="08091DFD"/>
    <w:rsid w:val="08091E01"/>
    <w:rsid w:val="08091E2A"/>
    <w:rsid w:val="08091FA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1D"/>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0CB"/>
    <w:rsid w:val="0809312A"/>
    <w:rsid w:val="08093180"/>
    <w:rsid w:val="080931B2"/>
    <w:rsid w:val="0809322E"/>
    <w:rsid w:val="08093294"/>
    <w:rsid w:val="080932ED"/>
    <w:rsid w:val="08093339"/>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77"/>
    <w:rsid w:val="0809467B"/>
    <w:rsid w:val="08094780"/>
    <w:rsid w:val="080947A4"/>
    <w:rsid w:val="08094843"/>
    <w:rsid w:val="080948BD"/>
    <w:rsid w:val="080948C8"/>
    <w:rsid w:val="0809492B"/>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224"/>
    <w:rsid w:val="08095231"/>
    <w:rsid w:val="08095373"/>
    <w:rsid w:val="080954BB"/>
    <w:rsid w:val="080954FF"/>
    <w:rsid w:val="080955E0"/>
    <w:rsid w:val="0809560E"/>
    <w:rsid w:val="0809583A"/>
    <w:rsid w:val="080958A7"/>
    <w:rsid w:val="080958AE"/>
    <w:rsid w:val="080958D0"/>
    <w:rsid w:val="080958D5"/>
    <w:rsid w:val="08095977"/>
    <w:rsid w:val="0809597A"/>
    <w:rsid w:val="08095AB0"/>
    <w:rsid w:val="08095C4F"/>
    <w:rsid w:val="08095CFF"/>
    <w:rsid w:val="08095DC0"/>
    <w:rsid w:val="08095E51"/>
    <w:rsid w:val="08095EB7"/>
    <w:rsid w:val="08095F18"/>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01"/>
    <w:rsid w:val="08096BFB"/>
    <w:rsid w:val="08096CB1"/>
    <w:rsid w:val="08096CC7"/>
    <w:rsid w:val="08096CF9"/>
    <w:rsid w:val="08096E63"/>
    <w:rsid w:val="08096E79"/>
    <w:rsid w:val="08096EEB"/>
    <w:rsid w:val="08096FE7"/>
    <w:rsid w:val="08096FEC"/>
    <w:rsid w:val="080970DC"/>
    <w:rsid w:val="08097154"/>
    <w:rsid w:val="080972F6"/>
    <w:rsid w:val="08097352"/>
    <w:rsid w:val="08097390"/>
    <w:rsid w:val="080973BB"/>
    <w:rsid w:val="0809747D"/>
    <w:rsid w:val="08097494"/>
    <w:rsid w:val="080974BF"/>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108"/>
    <w:rsid w:val="080A0177"/>
    <w:rsid w:val="080A01CB"/>
    <w:rsid w:val="080A02BA"/>
    <w:rsid w:val="080A033F"/>
    <w:rsid w:val="080A034D"/>
    <w:rsid w:val="080A034E"/>
    <w:rsid w:val="080A0398"/>
    <w:rsid w:val="080A0412"/>
    <w:rsid w:val="080A04B4"/>
    <w:rsid w:val="080A0502"/>
    <w:rsid w:val="080A0588"/>
    <w:rsid w:val="080A0631"/>
    <w:rsid w:val="080A076C"/>
    <w:rsid w:val="080A0794"/>
    <w:rsid w:val="080A0878"/>
    <w:rsid w:val="080A0AFA"/>
    <w:rsid w:val="080A0B23"/>
    <w:rsid w:val="080A0B36"/>
    <w:rsid w:val="080A0BF8"/>
    <w:rsid w:val="080A0C73"/>
    <w:rsid w:val="080A0DF1"/>
    <w:rsid w:val="080A0E39"/>
    <w:rsid w:val="080A0E51"/>
    <w:rsid w:val="080A0E60"/>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6CD"/>
    <w:rsid w:val="080A173B"/>
    <w:rsid w:val="080A1762"/>
    <w:rsid w:val="080A1770"/>
    <w:rsid w:val="080A1802"/>
    <w:rsid w:val="080A1844"/>
    <w:rsid w:val="080A189A"/>
    <w:rsid w:val="080A18DE"/>
    <w:rsid w:val="080A191E"/>
    <w:rsid w:val="080A192E"/>
    <w:rsid w:val="080A1932"/>
    <w:rsid w:val="080A19F4"/>
    <w:rsid w:val="080A1ADB"/>
    <w:rsid w:val="080A1B1B"/>
    <w:rsid w:val="080A1BE7"/>
    <w:rsid w:val="080A1C1B"/>
    <w:rsid w:val="080A1C70"/>
    <w:rsid w:val="080A1D31"/>
    <w:rsid w:val="080A1D70"/>
    <w:rsid w:val="080A1D88"/>
    <w:rsid w:val="080A1DD0"/>
    <w:rsid w:val="080A1DE3"/>
    <w:rsid w:val="080A1E4C"/>
    <w:rsid w:val="080A1EA8"/>
    <w:rsid w:val="080A1EFF"/>
    <w:rsid w:val="080A1F7A"/>
    <w:rsid w:val="080A1F87"/>
    <w:rsid w:val="080A20BB"/>
    <w:rsid w:val="080A216E"/>
    <w:rsid w:val="080A217F"/>
    <w:rsid w:val="080A224D"/>
    <w:rsid w:val="080A2287"/>
    <w:rsid w:val="080A23D4"/>
    <w:rsid w:val="080A2565"/>
    <w:rsid w:val="080A26CD"/>
    <w:rsid w:val="080A26FF"/>
    <w:rsid w:val="080A2701"/>
    <w:rsid w:val="080A2790"/>
    <w:rsid w:val="080A27BE"/>
    <w:rsid w:val="080A2841"/>
    <w:rsid w:val="080A2889"/>
    <w:rsid w:val="080A2917"/>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1C7"/>
    <w:rsid w:val="080A3231"/>
    <w:rsid w:val="080A3275"/>
    <w:rsid w:val="080A3292"/>
    <w:rsid w:val="080A32A3"/>
    <w:rsid w:val="080A32E0"/>
    <w:rsid w:val="080A32F3"/>
    <w:rsid w:val="080A3346"/>
    <w:rsid w:val="080A3384"/>
    <w:rsid w:val="080A33A3"/>
    <w:rsid w:val="080A33DB"/>
    <w:rsid w:val="080A3436"/>
    <w:rsid w:val="080A3497"/>
    <w:rsid w:val="080A34FD"/>
    <w:rsid w:val="080A3563"/>
    <w:rsid w:val="080A3580"/>
    <w:rsid w:val="080A359B"/>
    <w:rsid w:val="080A35A4"/>
    <w:rsid w:val="080A35C4"/>
    <w:rsid w:val="080A3612"/>
    <w:rsid w:val="080A364F"/>
    <w:rsid w:val="080A3665"/>
    <w:rsid w:val="080A36B1"/>
    <w:rsid w:val="080A36E8"/>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72"/>
    <w:rsid w:val="080A4794"/>
    <w:rsid w:val="080A48A2"/>
    <w:rsid w:val="080A48F1"/>
    <w:rsid w:val="080A4907"/>
    <w:rsid w:val="080A49CA"/>
    <w:rsid w:val="080A4B9D"/>
    <w:rsid w:val="080A4BC6"/>
    <w:rsid w:val="080A4D03"/>
    <w:rsid w:val="080A4D32"/>
    <w:rsid w:val="080A4D9D"/>
    <w:rsid w:val="080A4DF5"/>
    <w:rsid w:val="080A4E7C"/>
    <w:rsid w:val="080A4EAF"/>
    <w:rsid w:val="080A4F36"/>
    <w:rsid w:val="080A4F4C"/>
    <w:rsid w:val="080A4FA3"/>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81"/>
    <w:rsid w:val="080A7522"/>
    <w:rsid w:val="080A752E"/>
    <w:rsid w:val="080A758F"/>
    <w:rsid w:val="080A76E3"/>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3E"/>
    <w:rsid w:val="080B05FE"/>
    <w:rsid w:val="080B06B4"/>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53"/>
    <w:rsid w:val="080B0E94"/>
    <w:rsid w:val="080B0FAD"/>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A2F"/>
    <w:rsid w:val="080B1BBF"/>
    <w:rsid w:val="080B1CAC"/>
    <w:rsid w:val="080B1D06"/>
    <w:rsid w:val="080B1D07"/>
    <w:rsid w:val="080B1D17"/>
    <w:rsid w:val="080B1E09"/>
    <w:rsid w:val="080B1E4C"/>
    <w:rsid w:val="080B1EBA"/>
    <w:rsid w:val="080B1FAD"/>
    <w:rsid w:val="080B208B"/>
    <w:rsid w:val="080B21AE"/>
    <w:rsid w:val="080B21E0"/>
    <w:rsid w:val="080B221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97C"/>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5B"/>
    <w:rsid w:val="080B3175"/>
    <w:rsid w:val="080B3197"/>
    <w:rsid w:val="080B3226"/>
    <w:rsid w:val="080B3374"/>
    <w:rsid w:val="080B3393"/>
    <w:rsid w:val="080B3446"/>
    <w:rsid w:val="080B349E"/>
    <w:rsid w:val="080B34A0"/>
    <w:rsid w:val="080B3500"/>
    <w:rsid w:val="080B3546"/>
    <w:rsid w:val="080B35A3"/>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E33"/>
    <w:rsid w:val="080B3E79"/>
    <w:rsid w:val="080B3E7E"/>
    <w:rsid w:val="080B4022"/>
    <w:rsid w:val="080B403A"/>
    <w:rsid w:val="080B406D"/>
    <w:rsid w:val="080B40BE"/>
    <w:rsid w:val="080B40CE"/>
    <w:rsid w:val="080B4135"/>
    <w:rsid w:val="080B4226"/>
    <w:rsid w:val="080B4339"/>
    <w:rsid w:val="080B43B6"/>
    <w:rsid w:val="080B43C5"/>
    <w:rsid w:val="080B4502"/>
    <w:rsid w:val="080B4521"/>
    <w:rsid w:val="080B4523"/>
    <w:rsid w:val="080B452E"/>
    <w:rsid w:val="080B4682"/>
    <w:rsid w:val="080B46D3"/>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5039"/>
    <w:rsid w:val="080B50AF"/>
    <w:rsid w:val="080B50F6"/>
    <w:rsid w:val="080B5185"/>
    <w:rsid w:val="080B51D7"/>
    <w:rsid w:val="080B51DE"/>
    <w:rsid w:val="080B5218"/>
    <w:rsid w:val="080B521D"/>
    <w:rsid w:val="080B524A"/>
    <w:rsid w:val="080B532F"/>
    <w:rsid w:val="080B53A8"/>
    <w:rsid w:val="080B5490"/>
    <w:rsid w:val="080B54C6"/>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EE6"/>
    <w:rsid w:val="080B5F09"/>
    <w:rsid w:val="080B60DC"/>
    <w:rsid w:val="080B61C9"/>
    <w:rsid w:val="080B61F9"/>
    <w:rsid w:val="080B6262"/>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3"/>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D4"/>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5B"/>
    <w:rsid w:val="080C3664"/>
    <w:rsid w:val="080C3756"/>
    <w:rsid w:val="080C37B0"/>
    <w:rsid w:val="080C3812"/>
    <w:rsid w:val="080C3819"/>
    <w:rsid w:val="080C3911"/>
    <w:rsid w:val="080C3978"/>
    <w:rsid w:val="080C397F"/>
    <w:rsid w:val="080C39D9"/>
    <w:rsid w:val="080C3A21"/>
    <w:rsid w:val="080C3A8F"/>
    <w:rsid w:val="080C3A9F"/>
    <w:rsid w:val="080C3B1B"/>
    <w:rsid w:val="080C3B4D"/>
    <w:rsid w:val="080C3B74"/>
    <w:rsid w:val="080C3B8A"/>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B6"/>
    <w:rsid w:val="080C4450"/>
    <w:rsid w:val="080C4457"/>
    <w:rsid w:val="080C44BB"/>
    <w:rsid w:val="080C44E8"/>
    <w:rsid w:val="080C4504"/>
    <w:rsid w:val="080C4508"/>
    <w:rsid w:val="080C4616"/>
    <w:rsid w:val="080C46CA"/>
    <w:rsid w:val="080C479C"/>
    <w:rsid w:val="080C4886"/>
    <w:rsid w:val="080C493A"/>
    <w:rsid w:val="080C4990"/>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2FB"/>
    <w:rsid w:val="080C531C"/>
    <w:rsid w:val="080C532A"/>
    <w:rsid w:val="080C535D"/>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CB8"/>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6DF"/>
    <w:rsid w:val="080C673E"/>
    <w:rsid w:val="080C674A"/>
    <w:rsid w:val="080C67EC"/>
    <w:rsid w:val="080C6825"/>
    <w:rsid w:val="080C6A27"/>
    <w:rsid w:val="080C6A35"/>
    <w:rsid w:val="080C6AA7"/>
    <w:rsid w:val="080C6AC1"/>
    <w:rsid w:val="080C6B79"/>
    <w:rsid w:val="080C6C39"/>
    <w:rsid w:val="080C6C65"/>
    <w:rsid w:val="080C6CBF"/>
    <w:rsid w:val="080C6DB7"/>
    <w:rsid w:val="080C6E01"/>
    <w:rsid w:val="080C6EA3"/>
    <w:rsid w:val="080C6EE8"/>
    <w:rsid w:val="080C6EF7"/>
    <w:rsid w:val="080C6F18"/>
    <w:rsid w:val="080C6F79"/>
    <w:rsid w:val="080C6F93"/>
    <w:rsid w:val="080C6FB8"/>
    <w:rsid w:val="080C7042"/>
    <w:rsid w:val="080C7074"/>
    <w:rsid w:val="080C70BA"/>
    <w:rsid w:val="080C71AC"/>
    <w:rsid w:val="080C71DD"/>
    <w:rsid w:val="080C724E"/>
    <w:rsid w:val="080C7258"/>
    <w:rsid w:val="080C7281"/>
    <w:rsid w:val="080C72B1"/>
    <w:rsid w:val="080C72BA"/>
    <w:rsid w:val="080C755C"/>
    <w:rsid w:val="080C75A1"/>
    <w:rsid w:val="080C762C"/>
    <w:rsid w:val="080C765C"/>
    <w:rsid w:val="080C7738"/>
    <w:rsid w:val="080C774A"/>
    <w:rsid w:val="080C78E4"/>
    <w:rsid w:val="080C78EB"/>
    <w:rsid w:val="080C7978"/>
    <w:rsid w:val="080C799D"/>
    <w:rsid w:val="080C79E9"/>
    <w:rsid w:val="080C7A28"/>
    <w:rsid w:val="080C7A37"/>
    <w:rsid w:val="080C7A9E"/>
    <w:rsid w:val="080C7B9B"/>
    <w:rsid w:val="080C7CBC"/>
    <w:rsid w:val="080C7DC2"/>
    <w:rsid w:val="080C7DE6"/>
    <w:rsid w:val="080C7E26"/>
    <w:rsid w:val="080C7E54"/>
    <w:rsid w:val="080C7F29"/>
    <w:rsid w:val="080C7F83"/>
    <w:rsid w:val="080C7FA4"/>
    <w:rsid w:val="080C7FDB"/>
    <w:rsid w:val="080D0030"/>
    <w:rsid w:val="080D007F"/>
    <w:rsid w:val="080D00E0"/>
    <w:rsid w:val="080D0289"/>
    <w:rsid w:val="080D02AC"/>
    <w:rsid w:val="080D02C6"/>
    <w:rsid w:val="080D031A"/>
    <w:rsid w:val="080D03C5"/>
    <w:rsid w:val="080D04CD"/>
    <w:rsid w:val="080D053C"/>
    <w:rsid w:val="080D0546"/>
    <w:rsid w:val="080D05DD"/>
    <w:rsid w:val="080D0643"/>
    <w:rsid w:val="080D0681"/>
    <w:rsid w:val="080D06CE"/>
    <w:rsid w:val="080D0813"/>
    <w:rsid w:val="080D08C7"/>
    <w:rsid w:val="080D09FB"/>
    <w:rsid w:val="080D0A64"/>
    <w:rsid w:val="080D0AA8"/>
    <w:rsid w:val="080D0B0C"/>
    <w:rsid w:val="080D0B7D"/>
    <w:rsid w:val="080D0BB8"/>
    <w:rsid w:val="080D0CFD"/>
    <w:rsid w:val="080D0E76"/>
    <w:rsid w:val="080D0F24"/>
    <w:rsid w:val="080D0F6A"/>
    <w:rsid w:val="080D0F8C"/>
    <w:rsid w:val="080D0F91"/>
    <w:rsid w:val="080D0FD2"/>
    <w:rsid w:val="080D10B0"/>
    <w:rsid w:val="080D11AA"/>
    <w:rsid w:val="080D11F7"/>
    <w:rsid w:val="080D1235"/>
    <w:rsid w:val="080D124B"/>
    <w:rsid w:val="080D124F"/>
    <w:rsid w:val="080D125E"/>
    <w:rsid w:val="080D12D7"/>
    <w:rsid w:val="080D12FD"/>
    <w:rsid w:val="080D130E"/>
    <w:rsid w:val="080D13A7"/>
    <w:rsid w:val="080D13EF"/>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93"/>
    <w:rsid w:val="080D219B"/>
    <w:rsid w:val="080D222D"/>
    <w:rsid w:val="080D2298"/>
    <w:rsid w:val="080D233A"/>
    <w:rsid w:val="080D2431"/>
    <w:rsid w:val="080D24AE"/>
    <w:rsid w:val="080D24E2"/>
    <w:rsid w:val="080D24FC"/>
    <w:rsid w:val="080D24FE"/>
    <w:rsid w:val="080D25BE"/>
    <w:rsid w:val="080D264B"/>
    <w:rsid w:val="080D2657"/>
    <w:rsid w:val="080D26AF"/>
    <w:rsid w:val="080D273C"/>
    <w:rsid w:val="080D27A4"/>
    <w:rsid w:val="080D27B8"/>
    <w:rsid w:val="080D2813"/>
    <w:rsid w:val="080D2855"/>
    <w:rsid w:val="080D2AA9"/>
    <w:rsid w:val="080D2AD2"/>
    <w:rsid w:val="080D2B45"/>
    <w:rsid w:val="080D2BA1"/>
    <w:rsid w:val="080D2BD1"/>
    <w:rsid w:val="080D2C6C"/>
    <w:rsid w:val="080D2C7C"/>
    <w:rsid w:val="080D2CE0"/>
    <w:rsid w:val="080D2ECB"/>
    <w:rsid w:val="080D2F35"/>
    <w:rsid w:val="080D313E"/>
    <w:rsid w:val="080D31A0"/>
    <w:rsid w:val="080D31F0"/>
    <w:rsid w:val="080D3203"/>
    <w:rsid w:val="080D3230"/>
    <w:rsid w:val="080D32EC"/>
    <w:rsid w:val="080D32FC"/>
    <w:rsid w:val="080D352C"/>
    <w:rsid w:val="080D359F"/>
    <w:rsid w:val="080D3653"/>
    <w:rsid w:val="080D374F"/>
    <w:rsid w:val="080D376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29B"/>
    <w:rsid w:val="080D5369"/>
    <w:rsid w:val="080D54C1"/>
    <w:rsid w:val="080D5530"/>
    <w:rsid w:val="080D555B"/>
    <w:rsid w:val="080D55AA"/>
    <w:rsid w:val="080D55C9"/>
    <w:rsid w:val="080D565E"/>
    <w:rsid w:val="080D56DD"/>
    <w:rsid w:val="080D577A"/>
    <w:rsid w:val="080D57AE"/>
    <w:rsid w:val="080D57EA"/>
    <w:rsid w:val="080D57EE"/>
    <w:rsid w:val="080D57F5"/>
    <w:rsid w:val="080D5803"/>
    <w:rsid w:val="080D5804"/>
    <w:rsid w:val="080D580C"/>
    <w:rsid w:val="080D588D"/>
    <w:rsid w:val="080D58DA"/>
    <w:rsid w:val="080D596E"/>
    <w:rsid w:val="080D5A15"/>
    <w:rsid w:val="080D5A5A"/>
    <w:rsid w:val="080D5A98"/>
    <w:rsid w:val="080D5AC6"/>
    <w:rsid w:val="080D5B39"/>
    <w:rsid w:val="080D5B63"/>
    <w:rsid w:val="080D5B9E"/>
    <w:rsid w:val="080D5C1D"/>
    <w:rsid w:val="080D5C1E"/>
    <w:rsid w:val="080D5C54"/>
    <w:rsid w:val="080D5C55"/>
    <w:rsid w:val="080D5C97"/>
    <w:rsid w:val="080D5D46"/>
    <w:rsid w:val="080D5EB2"/>
    <w:rsid w:val="080D5EBD"/>
    <w:rsid w:val="080D5EF4"/>
    <w:rsid w:val="080D5FDC"/>
    <w:rsid w:val="080D5FEB"/>
    <w:rsid w:val="080D600B"/>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4A"/>
    <w:rsid w:val="080D6664"/>
    <w:rsid w:val="080D6770"/>
    <w:rsid w:val="080D6794"/>
    <w:rsid w:val="080D6817"/>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FF"/>
    <w:rsid w:val="080D7916"/>
    <w:rsid w:val="080D794B"/>
    <w:rsid w:val="080D795A"/>
    <w:rsid w:val="080D798C"/>
    <w:rsid w:val="080D7A27"/>
    <w:rsid w:val="080D7A32"/>
    <w:rsid w:val="080D7A44"/>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5C"/>
    <w:rsid w:val="080E0E72"/>
    <w:rsid w:val="080E0EE2"/>
    <w:rsid w:val="080E0F3C"/>
    <w:rsid w:val="080E0F78"/>
    <w:rsid w:val="080E1036"/>
    <w:rsid w:val="080E10B1"/>
    <w:rsid w:val="080E10DA"/>
    <w:rsid w:val="080E1147"/>
    <w:rsid w:val="080E11C8"/>
    <w:rsid w:val="080E11D0"/>
    <w:rsid w:val="080E11DC"/>
    <w:rsid w:val="080E1226"/>
    <w:rsid w:val="080E13A3"/>
    <w:rsid w:val="080E141C"/>
    <w:rsid w:val="080E1470"/>
    <w:rsid w:val="080E14EA"/>
    <w:rsid w:val="080E15B8"/>
    <w:rsid w:val="080E15BF"/>
    <w:rsid w:val="080E161D"/>
    <w:rsid w:val="080E1649"/>
    <w:rsid w:val="080E16EF"/>
    <w:rsid w:val="080E17A8"/>
    <w:rsid w:val="080E17CB"/>
    <w:rsid w:val="080E1834"/>
    <w:rsid w:val="080E184C"/>
    <w:rsid w:val="080E187C"/>
    <w:rsid w:val="080E18B3"/>
    <w:rsid w:val="080E18D1"/>
    <w:rsid w:val="080E18E4"/>
    <w:rsid w:val="080E19BE"/>
    <w:rsid w:val="080E1A67"/>
    <w:rsid w:val="080E1A86"/>
    <w:rsid w:val="080E1AFE"/>
    <w:rsid w:val="080E1C87"/>
    <w:rsid w:val="080E1D02"/>
    <w:rsid w:val="080E1DA8"/>
    <w:rsid w:val="080E1E0F"/>
    <w:rsid w:val="080E1E3A"/>
    <w:rsid w:val="080E1E92"/>
    <w:rsid w:val="080E1EFC"/>
    <w:rsid w:val="080E1F95"/>
    <w:rsid w:val="080E2090"/>
    <w:rsid w:val="080E20B0"/>
    <w:rsid w:val="080E20CC"/>
    <w:rsid w:val="080E20D1"/>
    <w:rsid w:val="080E2180"/>
    <w:rsid w:val="080E21FB"/>
    <w:rsid w:val="080E229C"/>
    <w:rsid w:val="080E22AC"/>
    <w:rsid w:val="080E2314"/>
    <w:rsid w:val="080E2381"/>
    <w:rsid w:val="080E24F8"/>
    <w:rsid w:val="080E2568"/>
    <w:rsid w:val="080E25BD"/>
    <w:rsid w:val="080E25EB"/>
    <w:rsid w:val="080E268C"/>
    <w:rsid w:val="080E27A9"/>
    <w:rsid w:val="080E27D3"/>
    <w:rsid w:val="080E2913"/>
    <w:rsid w:val="080E2970"/>
    <w:rsid w:val="080E2989"/>
    <w:rsid w:val="080E29F4"/>
    <w:rsid w:val="080E2A41"/>
    <w:rsid w:val="080E2A8C"/>
    <w:rsid w:val="080E2AF4"/>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2B1"/>
    <w:rsid w:val="080E32C9"/>
    <w:rsid w:val="080E3387"/>
    <w:rsid w:val="080E338E"/>
    <w:rsid w:val="080E33EB"/>
    <w:rsid w:val="080E343C"/>
    <w:rsid w:val="080E3473"/>
    <w:rsid w:val="080E34DC"/>
    <w:rsid w:val="080E3548"/>
    <w:rsid w:val="080E362A"/>
    <w:rsid w:val="080E3655"/>
    <w:rsid w:val="080E3687"/>
    <w:rsid w:val="080E36A5"/>
    <w:rsid w:val="080E373A"/>
    <w:rsid w:val="080E375B"/>
    <w:rsid w:val="080E37B9"/>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6C"/>
    <w:rsid w:val="080E4240"/>
    <w:rsid w:val="080E451A"/>
    <w:rsid w:val="080E4565"/>
    <w:rsid w:val="080E4567"/>
    <w:rsid w:val="080E4570"/>
    <w:rsid w:val="080E45F5"/>
    <w:rsid w:val="080E460F"/>
    <w:rsid w:val="080E4620"/>
    <w:rsid w:val="080E4655"/>
    <w:rsid w:val="080E4728"/>
    <w:rsid w:val="080E481D"/>
    <w:rsid w:val="080E482F"/>
    <w:rsid w:val="080E48EA"/>
    <w:rsid w:val="080E4948"/>
    <w:rsid w:val="080E497B"/>
    <w:rsid w:val="080E4B11"/>
    <w:rsid w:val="080E4B5C"/>
    <w:rsid w:val="080E4B98"/>
    <w:rsid w:val="080E4BB0"/>
    <w:rsid w:val="080E4BFF"/>
    <w:rsid w:val="080E4C72"/>
    <w:rsid w:val="080E4CB6"/>
    <w:rsid w:val="080E4D67"/>
    <w:rsid w:val="080E4E45"/>
    <w:rsid w:val="080E4E5F"/>
    <w:rsid w:val="080E4E8A"/>
    <w:rsid w:val="080E502E"/>
    <w:rsid w:val="080E511E"/>
    <w:rsid w:val="080E5230"/>
    <w:rsid w:val="080E523D"/>
    <w:rsid w:val="080E5270"/>
    <w:rsid w:val="080E52EA"/>
    <w:rsid w:val="080E5306"/>
    <w:rsid w:val="080E533E"/>
    <w:rsid w:val="080E537B"/>
    <w:rsid w:val="080E53A8"/>
    <w:rsid w:val="080E53CB"/>
    <w:rsid w:val="080E53FE"/>
    <w:rsid w:val="080E54B4"/>
    <w:rsid w:val="080E54C7"/>
    <w:rsid w:val="080E560A"/>
    <w:rsid w:val="080E5675"/>
    <w:rsid w:val="080E5681"/>
    <w:rsid w:val="080E57C9"/>
    <w:rsid w:val="080E57D1"/>
    <w:rsid w:val="080E57FD"/>
    <w:rsid w:val="080E599D"/>
    <w:rsid w:val="080E5B08"/>
    <w:rsid w:val="080E5B11"/>
    <w:rsid w:val="080E5B37"/>
    <w:rsid w:val="080E5C00"/>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AA"/>
    <w:rsid w:val="080E6FC0"/>
    <w:rsid w:val="080E7089"/>
    <w:rsid w:val="080E709F"/>
    <w:rsid w:val="080E7107"/>
    <w:rsid w:val="080E710E"/>
    <w:rsid w:val="080E71C6"/>
    <w:rsid w:val="080E7251"/>
    <w:rsid w:val="080E7367"/>
    <w:rsid w:val="080E73DA"/>
    <w:rsid w:val="080E7416"/>
    <w:rsid w:val="080E7452"/>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BC9"/>
    <w:rsid w:val="080E7C4B"/>
    <w:rsid w:val="080E7C60"/>
    <w:rsid w:val="080E7D1F"/>
    <w:rsid w:val="080E7DE6"/>
    <w:rsid w:val="080E7E2D"/>
    <w:rsid w:val="080E7E67"/>
    <w:rsid w:val="080E7EC3"/>
    <w:rsid w:val="080E7F28"/>
    <w:rsid w:val="080E7F4F"/>
    <w:rsid w:val="080E7FE7"/>
    <w:rsid w:val="080F009B"/>
    <w:rsid w:val="080F01AF"/>
    <w:rsid w:val="080F026F"/>
    <w:rsid w:val="080F029C"/>
    <w:rsid w:val="080F02A5"/>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6A"/>
    <w:rsid w:val="080F0B88"/>
    <w:rsid w:val="080F0B89"/>
    <w:rsid w:val="080F0D2B"/>
    <w:rsid w:val="080F0DD2"/>
    <w:rsid w:val="080F0DE2"/>
    <w:rsid w:val="080F0E2B"/>
    <w:rsid w:val="080F0EB7"/>
    <w:rsid w:val="080F0F48"/>
    <w:rsid w:val="080F1023"/>
    <w:rsid w:val="080F11B2"/>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8"/>
    <w:rsid w:val="080F175F"/>
    <w:rsid w:val="080F178A"/>
    <w:rsid w:val="080F18E8"/>
    <w:rsid w:val="080F19FA"/>
    <w:rsid w:val="080F1A00"/>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4"/>
    <w:rsid w:val="080F2687"/>
    <w:rsid w:val="080F2696"/>
    <w:rsid w:val="080F26A1"/>
    <w:rsid w:val="080F26A3"/>
    <w:rsid w:val="080F2712"/>
    <w:rsid w:val="080F2756"/>
    <w:rsid w:val="080F27AE"/>
    <w:rsid w:val="080F2868"/>
    <w:rsid w:val="080F28D5"/>
    <w:rsid w:val="080F293F"/>
    <w:rsid w:val="080F2964"/>
    <w:rsid w:val="080F29A0"/>
    <w:rsid w:val="080F2A5F"/>
    <w:rsid w:val="080F2B1C"/>
    <w:rsid w:val="080F2C84"/>
    <w:rsid w:val="080F2C85"/>
    <w:rsid w:val="080F2DAE"/>
    <w:rsid w:val="080F2E5B"/>
    <w:rsid w:val="080F2EAD"/>
    <w:rsid w:val="080F2EDB"/>
    <w:rsid w:val="080F2EFC"/>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4A"/>
    <w:rsid w:val="080F386C"/>
    <w:rsid w:val="080F3872"/>
    <w:rsid w:val="080F395C"/>
    <w:rsid w:val="080F39CD"/>
    <w:rsid w:val="080F3A15"/>
    <w:rsid w:val="080F3A4F"/>
    <w:rsid w:val="080F3A8B"/>
    <w:rsid w:val="080F3AB5"/>
    <w:rsid w:val="080F3ADF"/>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FB"/>
    <w:rsid w:val="080F4B08"/>
    <w:rsid w:val="080F4BB8"/>
    <w:rsid w:val="080F4BF4"/>
    <w:rsid w:val="080F4DAD"/>
    <w:rsid w:val="080F4DF1"/>
    <w:rsid w:val="080F4E19"/>
    <w:rsid w:val="080F4E84"/>
    <w:rsid w:val="080F50FC"/>
    <w:rsid w:val="080F5168"/>
    <w:rsid w:val="080F5175"/>
    <w:rsid w:val="080F5233"/>
    <w:rsid w:val="080F53EF"/>
    <w:rsid w:val="080F5490"/>
    <w:rsid w:val="080F54B2"/>
    <w:rsid w:val="080F55AC"/>
    <w:rsid w:val="080F55DF"/>
    <w:rsid w:val="080F57A8"/>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FC"/>
    <w:rsid w:val="080F610A"/>
    <w:rsid w:val="080F6144"/>
    <w:rsid w:val="080F6154"/>
    <w:rsid w:val="080F6171"/>
    <w:rsid w:val="080F61D5"/>
    <w:rsid w:val="080F624E"/>
    <w:rsid w:val="080F62D1"/>
    <w:rsid w:val="080F633E"/>
    <w:rsid w:val="080F63B0"/>
    <w:rsid w:val="080F642E"/>
    <w:rsid w:val="080F6500"/>
    <w:rsid w:val="080F654A"/>
    <w:rsid w:val="080F6581"/>
    <w:rsid w:val="080F6651"/>
    <w:rsid w:val="080F6706"/>
    <w:rsid w:val="080F6726"/>
    <w:rsid w:val="080F6738"/>
    <w:rsid w:val="080F6791"/>
    <w:rsid w:val="080F67E5"/>
    <w:rsid w:val="080F684D"/>
    <w:rsid w:val="080F68D9"/>
    <w:rsid w:val="080F6939"/>
    <w:rsid w:val="080F694F"/>
    <w:rsid w:val="080F6A6C"/>
    <w:rsid w:val="080F6AF4"/>
    <w:rsid w:val="080F6AF7"/>
    <w:rsid w:val="080F6AF9"/>
    <w:rsid w:val="080F6B21"/>
    <w:rsid w:val="080F6C53"/>
    <w:rsid w:val="080F6CF5"/>
    <w:rsid w:val="080F6DBA"/>
    <w:rsid w:val="080F6E45"/>
    <w:rsid w:val="080F6E54"/>
    <w:rsid w:val="080F6E59"/>
    <w:rsid w:val="080F6E72"/>
    <w:rsid w:val="080F6E83"/>
    <w:rsid w:val="080F6F38"/>
    <w:rsid w:val="080F6F98"/>
    <w:rsid w:val="080F6FD3"/>
    <w:rsid w:val="080F701C"/>
    <w:rsid w:val="080F725F"/>
    <w:rsid w:val="080F72DA"/>
    <w:rsid w:val="080F7339"/>
    <w:rsid w:val="080F73D7"/>
    <w:rsid w:val="080F746A"/>
    <w:rsid w:val="080F750E"/>
    <w:rsid w:val="080F7601"/>
    <w:rsid w:val="080F7671"/>
    <w:rsid w:val="080F7692"/>
    <w:rsid w:val="080F7700"/>
    <w:rsid w:val="080F7710"/>
    <w:rsid w:val="080F7727"/>
    <w:rsid w:val="080F7729"/>
    <w:rsid w:val="080F780E"/>
    <w:rsid w:val="080F783A"/>
    <w:rsid w:val="080F78FF"/>
    <w:rsid w:val="080F7919"/>
    <w:rsid w:val="080F79B2"/>
    <w:rsid w:val="080F79DF"/>
    <w:rsid w:val="080F79E3"/>
    <w:rsid w:val="080F7A0A"/>
    <w:rsid w:val="080F7A0E"/>
    <w:rsid w:val="080F7B78"/>
    <w:rsid w:val="080F7BDB"/>
    <w:rsid w:val="080F7C4F"/>
    <w:rsid w:val="080F7D3F"/>
    <w:rsid w:val="080F7D9E"/>
    <w:rsid w:val="080F7DE4"/>
    <w:rsid w:val="080F7E68"/>
    <w:rsid w:val="080F7E6E"/>
    <w:rsid w:val="080F7EB9"/>
    <w:rsid w:val="080F7F3C"/>
    <w:rsid w:val="080F7F59"/>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E72"/>
    <w:rsid w:val="08100EA7"/>
    <w:rsid w:val="08100EC8"/>
    <w:rsid w:val="08100FA5"/>
    <w:rsid w:val="08100FC5"/>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799"/>
    <w:rsid w:val="08101898"/>
    <w:rsid w:val="081018C3"/>
    <w:rsid w:val="08101948"/>
    <w:rsid w:val="081019FE"/>
    <w:rsid w:val="08101AEA"/>
    <w:rsid w:val="08101B3E"/>
    <w:rsid w:val="08101B77"/>
    <w:rsid w:val="08101BAE"/>
    <w:rsid w:val="08101D30"/>
    <w:rsid w:val="08101D7B"/>
    <w:rsid w:val="08101D7D"/>
    <w:rsid w:val="08101F7A"/>
    <w:rsid w:val="08101FF5"/>
    <w:rsid w:val="0810205E"/>
    <w:rsid w:val="081021BF"/>
    <w:rsid w:val="08102297"/>
    <w:rsid w:val="081022A2"/>
    <w:rsid w:val="08102302"/>
    <w:rsid w:val="08102492"/>
    <w:rsid w:val="081024A0"/>
    <w:rsid w:val="08102549"/>
    <w:rsid w:val="08102670"/>
    <w:rsid w:val="081027CB"/>
    <w:rsid w:val="08102859"/>
    <w:rsid w:val="081028C3"/>
    <w:rsid w:val="081028F5"/>
    <w:rsid w:val="0810290F"/>
    <w:rsid w:val="08102914"/>
    <w:rsid w:val="08102927"/>
    <w:rsid w:val="081029FD"/>
    <w:rsid w:val="08102ADA"/>
    <w:rsid w:val="08102B19"/>
    <w:rsid w:val="08102CEE"/>
    <w:rsid w:val="08102DAD"/>
    <w:rsid w:val="08102E07"/>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2EB"/>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88"/>
    <w:rsid w:val="08104295"/>
    <w:rsid w:val="0810431D"/>
    <w:rsid w:val="08104383"/>
    <w:rsid w:val="081043F0"/>
    <w:rsid w:val="0810442E"/>
    <w:rsid w:val="081045A8"/>
    <w:rsid w:val="08104656"/>
    <w:rsid w:val="081047EE"/>
    <w:rsid w:val="0810487D"/>
    <w:rsid w:val="08104958"/>
    <w:rsid w:val="08104A5C"/>
    <w:rsid w:val="08104BBE"/>
    <w:rsid w:val="08104BC6"/>
    <w:rsid w:val="08104C02"/>
    <w:rsid w:val="08104C1F"/>
    <w:rsid w:val="08104C3A"/>
    <w:rsid w:val="08104C4B"/>
    <w:rsid w:val="08104C54"/>
    <w:rsid w:val="08104CE8"/>
    <w:rsid w:val="08104ECD"/>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F2F"/>
    <w:rsid w:val="08105F41"/>
    <w:rsid w:val="08105F77"/>
    <w:rsid w:val="08105FD6"/>
    <w:rsid w:val="08105FE0"/>
    <w:rsid w:val="08106074"/>
    <w:rsid w:val="08106084"/>
    <w:rsid w:val="081060F7"/>
    <w:rsid w:val="081061D8"/>
    <w:rsid w:val="0810623D"/>
    <w:rsid w:val="081062AE"/>
    <w:rsid w:val="08106380"/>
    <w:rsid w:val="081063A4"/>
    <w:rsid w:val="081063F6"/>
    <w:rsid w:val="0810647E"/>
    <w:rsid w:val="081064E9"/>
    <w:rsid w:val="08106524"/>
    <w:rsid w:val="081065C2"/>
    <w:rsid w:val="081065C4"/>
    <w:rsid w:val="081066D2"/>
    <w:rsid w:val="081066F7"/>
    <w:rsid w:val="08106832"/>
    <w:rsid w:val="081068CC"/>
    <w:rsid w:val="081068CD"/>
    <w:rsid w:val="081068F0"/>
    <w:rsid w:val="08106917"/>
    <w:rsid w:val="0810691D"/>
    <w:rsid w:val="0810694D"/>
    <w:rsid w:val="08106957"/>
    <w:rsid w:val="081069DE"/>
    <w:rsid w:val="08106AB5"/>
    <w:rsid w:val="08106BA5"/>
    <w:rsid w:val="08106BB6"/>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2D5"/>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9DD"/>
    <w:rsid w:val="08107AE1"/>
    <w:rsid w:val="08107AFE"/>
    <w:rsid w:val="08107B6F"/>
    <w:rsid w:val="08107C05"/>
    <w:rsid w:val="08107C1F"/>
    <w:rsid w:val="08107E0B"/>
    <w:rsid w:val="08107E7E"/>
    <w:rsid w:val="08107E92"/>
    <w:rsid w:val="08107EA9"/>
    <w:rsid w:val="08107ED2"/>
    <w:rsid w:val="08107F0B"/>
    <w:rsid w:val="08107F7E"/>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687"/>
    <w:rsid w:val="081106B0"/>
    <w:rsid w:val="081106BC"/>
    <w:rsid w:val="08110795"/>
    <w:rsid w:val="081107D6"/>
    <w:rsid w:val="081107F7"/>
    <w:rsid w:val="081108F8"/>
    <w:rsid w:val="081109A7"/>
    <w:rsid w:val="081109AA"/>
    <w:rsid w:val="08110B43"/>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6D5"/>
    <w:rsid w:val="0811171A"/>
    <w:rsid w:val="0811172F"/>
    <w:rsid w:val="081117BA"/>
    <w:rsid w:val="081118A4"/>
    <w:rsid w:val="081118C7"/>
    <w:rsid w:val="08111952"/>
    <w:rsid w:val="081119EC"/>
    <w:rsid w:val="08111A3B"/>
    <w:rsid w:val="08111A52"/>
    <w:rsid w:val="08111A9F"/>
    <w:rsid w:val="08111B6F"/>
    <w:rsid w:val="08111C62"/>
    <w:rsid w:val="08111C81"/>
    <w:rsid w:val="08111C89"/>
    <w:rsid w:val="08111C95"/>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76"/>
    <w:rsid w:val="08112977"/>
    <w:rsid w:val="08112A53"/>
    <w:rsid w:val="08112A54"/>
    <w:rsid w:val="08112AE9"/>
    <w:rsid w:val="08112BA9"/>
    <w:rsid w:val="08112BBF"/>
    <w:rsid w:val="08112BCB"/>
    <w:rsid w:val="08112C24"/>
    <w:rsid w:val="08112C30"/>
    <w:rsid w:val="08112D9D"/>
    <w:rsid w:val="08112DB2"/>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9D7"/>
    <w:rsid w:val="08113A75"/>
    <w:rsid w:val="08113A9D"/>
    <w:rsid w:val="08113B5A"/>
    <w:rsid w:val="08113B81"/>
    <w:rsid w:val="08113BAC"/>
    <w:rsid w:val="08113C56"/>
    <w:rsid w:val="08113C8C"/>
    <w:rsid w:val="08113CE3"/>
    <w:rsid w:val="08113CFC"/>
    <w:rsid w:val="08113D52"/>
    <w:rsid w:val="08113D8E"/>
    <w:rsid w:val="08113EBD"/>
    <w:rsid w:val="08113EFA"/>
    <w:rsid w:val="08113F57"/>
    <w:rsid w:val="0811400B"/>
    <w:rsid w:val="0811400C"/>
    <w:rsid w:val="08114041"/>
    <w:rsid w:val="081140FC"/>
    <w:rsid w:val="0811427F"/>
    <w:rsid w:val="08114281"/>
    <w:rsid w:val="0811428E"/>
    <w:rsid w:val="08114312"/>
    <w:rsid w:val="08114320"/>
    <w:rsid w:val="08114325"/>
    <w:rsid w:val="081143A4"/>
    <w:rsid w:val="081143CA"/>
    <w:rsid w:val="0811446B"/>
    <w:rsid w:val="081144CB"/>
    <w:rsid w:val="08114538"/>
    <w:rsid w:val="08114573"/>
    <w:rsid w:val="0811465F"/>
    <w:rsid w:val="081146CC"/>
    <w:rsid w:val="081146DA"/>
    <w:rsid w:val="08114759"/>
    <w:rsid w:val="0811477C"/>
    <w:rsid w:val="081147A6"/>
    <w:rsid w:val="0811489C"/>
    <w:rsid w:val="08114A27"/>
    <w:rsid w:val="08114A74"/>
    <w:rsid w:val="08114B4D"/>
    <w:rsid w:val="08114B84"/>
    <w:rsid w:val="08114B9F"/>
    <w:rsid w:val="08114C45"/>
    <w:rsid w:val="08114CCF"/>
    <w:rsid w:val="08114D27"/>
    <w:rsid w:val="08114F1B"/>
    <w:rsid w:val="08114F98"/>
    <w:rsid w:val="08114F99"/>
    <w:rsid w:val="081150CD"/>
    <w:rsid w:val="081150F3"/>
    <w:rsid w:val="08115149"/>
    <w:rsid w:val="0811516C"/>
    <w:rsid w:val="0811517C"/>
    <w:rsid w:val="0811519D"/>
    <w:rsid w:val="0811519E"/>
    <w:rsid w:val="081151A5"/>
    <w:rsid w:val="081151EB"/>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320"/>
    <w:rsid w:val="081164D4"/>
    <w:rsid w:val="08116589"/>
    <w:rsid w:val="081165C3"/>
    <w:rsid w:val="0811666E"/>
    <w:rsid w:val="081166BB"/>
    <w:rsid w:val="081166D5"/>
    <w:rsid w:val="0811670E"/>
    <w:rsid w:val="0811675B"/>
    <w:rsid w:val="08116762"/>
    <w:rsid w:val="08116898"/>
    <w:rsid w:val="081168F0"/>
    <w:rsid w:val="081168FD"/>
    <w:rsid w:val="08116983"/>
    <w:rsid w:val="081169B4"/>
    <w:rsid w:val="08116A09"/>
    <w:rsid w:val="08116A1F"/>
    <w:rsid w:val="08116A44"/>
    <w:rsid w:val="08116A9C"/>
    <w:rsid w:val="08116AB3"/>
    <w:rsid w:val="08116AF1"/>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95"/>
    <w:rsid w:val="08117107"/>
    <w:rsid w:val="0811719F"/>
    <w:rsid w:val="081171A4"/>
    <w:rsid w:val="081171DE"/>
    <w:rsid w:val="081172C9"/>
    <w:rsid w:val="0811734A"/>
    <w:rsid w:val="0811735E"/>
    <w:rsid w:val="08117498"/>
    <w:rsid w:val="08117547"/>
    <w:rsid w:val="081176AD"/>
    <w:rsid w:val="081176D6"/>
    <w:rsid w:val="081176E2"/>
    <w:rsid w:val="081177EE"/>
    <w:rsid w:val="08117818"/>
    <w:rsid w:val="08117AF4"/>
    <w:rsid w:val="08117BF8"/>
    <w:rsid w:val="08117C1A"/>
    <w:rsid w:val="08117C6E"/>
    <w:rsid w:val="08117D8A"/>
    <w:rsid w:val="08117DE4"/>
    <w:rsid w:val="08117E07"/>
    <w:rsid w:val="08117E45"/>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75E"/>
    <w:rsid w:val="08120817"/>
    <w:rsid w:val="081208A4"/>
    <w:rsid w:val="08120962"/>
    <w:rsid w:val="08120997"/>
    <w:rsid w:val="08120AA1"/>
    <w:rsid w:val="08120AC1"/>
    <w:rsid w:val="08120B43"/>
    <w:rsid w:val="08120C26"/>
    <w:rsid w:val="08120C85"/>
    <w:rsid w:val="08120CC7"/>
    <w:rsid w:val="08120CC8"/>
    <w:rsid w:val="08120CCC"/>
    <w:rsid w:val="08120D19"/>
    <w:rsid w:val="08120E9C"/>
    <w:rsid w:val="08120E9F"/>
    <w:rsid w:val="08120EA2"/>
    <w:rsid w:val="08120F04"/>
    <w:rsid w:val="08120F53"/>
    <w:rsid w:val="08120F73"/>
    <w:rsid w:val="08120F77"/>
    <w:rsid w:val="08121001"/>
    <w:rsid w:val="08121025"/>
    <w:rsid w:val="08121039"/>
    <w:rsid w:val="08121050"/>
    <w:rsid w:val="08121060"/>
    <w:rsid w:val="08121158"/>
    <w:rsid w:val="0812119C"/>
    <w:rsid w:val="081211FF"/>
    <w:rsid w:val="0812122D"/>
    <w:rsid w:val="0812140B"/>
    <w:rsid w:val="08121543"/>
    <w:rsid w:val="081216BC"/>
    <w:rsid w:val="081216D9"/>
    <w:rsid w:val="081217FD"/>
    <w:rsid w:val="08121861"/>
    <w:rsid w:val="0812190B"/>
    <w:rsid w:val="08121947"/>
    <w:rsid w:val="08121A02"/>
    <w:rsid w:val="08121A30"/>
    <w:rsid w:val="08121B7D"/>
    <w:rsid w:val="08121BCD"/>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67"/>
    <w:rsid w:val="081223B0"/>
    <w:rsid w:val="08122444"/>
    <w:rsid w:val="0812254A"/>
    <w:rsid w:val="08122563"/>
    <w:rsid w:val="081225F6"/>
    <w:rsid w:val="081227A4"/>
    <w:rsid w:val="081227E0"/>
    <w:rsid w:val="081227EB"/>
    <w:rsid w:val="081228A7"/>
    <w:rsid w:val="081228C8"/>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1C7"/>
    <w:rsid w:val="0812321D"/>
    <w:rsid w:val="081232B8"/>
    <w:rsid w:val="081232F4"/>
    <w:rsid w:val="08123409"/>
    <w:rsid w:val="0812349F"/>
    <w:rsid w:val="081234DE"/>
    <w:rsid w:val="081235EF"/>
    <w:rsid w:val="08123607"/>
    <w:rsid w:val="081237CF"/>
    <w:rsid w:val="081237F6"/>
    <w:rsid w:val="08123806"/>
    <w:rsid w:val="08123819"/>
    <w:rsid w:val="08123835"/>
    <w:rsid w:val="08123AB1"/>
    <w:rsid w:val="08123AFF"/>
    <w:rsid w:val="08123CCB"/>
    <w:rsid w:val="08123E27"/>
    <w:rsid w:val="08123E6E"/>
    <w:rsid w:val="08123ECA"/>
    <w:rsid w:val="08123ED1"/>
    <w:rsid w:val="08123F06"/>
    <w:rsid w:val="08123FFB"/>
    <w:rsid w:val="081240BD"/>
    <w:rsid w:val="081240C1"/>
    <w:rsid w:val="081240F8"/>
    <w:rsid w:val="08124133"/>
    <w:rsid w:val="0812418C"/>
    <w:rsid w:val="08124270"/>
    <w:rsid w:val="081242FC"/>
    <w:rsid w:val="08124315"/>
    <w:rsid w:val="0812431A"/>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8D"/>
    <w:rsid w:val="08124FB0"/>
    <w:rsid w:val="08124FD1"/>
    <w:rsid w:val="08125000"/>
    <w:rsid w:val="0812507F"/>
    <w:rsid w:val="081250BA"/>
    <w:rsid w:val="081251C7"/>
    <w:rsid w:val="081251CA"/>
    <w:rsid w:val="08125243"/>
    <w:rsid w:val="08125373"/>
    <w:rsid w:val="08125392"/>
    <w:rsid w:val="081253F2"/>
    <w:rsid w:val="081254F5"/>
    <w:rsid w:val="08125760"/>
    <w:rsid w:val="0812582D"/>
    <w:rsid w:val="08125845"/>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D7"/>
    <w:rsid w:val="08125EFA"/>
    <w:rsid w:val="08125F6D"/>
    <w:rsid w:val="08126003"/>
    <w:rsid w:val="08126043"/>
    <w:rsid w:val="08126066"/>
    <w:rsid w:val="08126099"/>
    <w:rsid w:val="081260A7"/>
    <w:rsid w:val="081262B3"/>
    <w:rsid w:val="081262F3"/>
    <w:rsid w:val="08126398"/>
    <w:rsid w:val="081263A3"/>
    <w:rsid w:val="081263E8"/>
    <w:rsid w:val="0812641F"/>
    <w:rsid w:val="08126466"/>
    <w:rsid w:val="0812655B"/>
    <w:rsid w:val="081265D0"/>
    <w:rsid w:val="08126674"/>
    <w:rsid w:val="0812667F"/>
    <w:rsid w:val="08126751"/>
    <w:rsid w:val="0812678F"/>
    <w:rsid w:val="0812679D"/>
    <w:rsid w:val="08126884"/>
    <w:rsid w:val="08126955"/>
    <w:rsid w:val="08126999"/>
    <w:rsid w:val="081269E6"/>
    <w:rsid w:val="08126B37"/>
    <w:rsid w:val="08126BDD"/>
    <w:rsid w:val="08126BE1"/>
    <w:rsid w:val="08126C15"/>
    <w:rsid w:val="08126CAD"/>
    <w:rsid w:val="08126D0A"/>
    <w:rsid w:val="08126D14"/>
    <w:rsid w:val="08126D2A"/>
    <w:rsid w:val="08126D2B"/>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85"/>
    <w:rsid w:val="081275A2"/>
    <w:rsid w:val="081275A7"/>
    <w:rsid w:val="081275E3"/>
    <w:rsid w:val="081276E7"/>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40"/>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E4"/>
    <w:rsid w:val="08130B22"/>
    <w:rsid w:val="08130B36"/>
    <w:rsid w:val="08130BCF"/>
    <w:rsid w:val="08130C31"/>
    <w:rsid w:val="08130C4E"/>
    <w:rsid w:val="08130D35"/>
    <w:rsid w:val="08130D8A"/>
    <w:rsid w:val="08130DA4"/>
    <w:rsid w:val="08130DF6"/>
    <w:rsid w:val="08130E18"/>
    <w:rsid w:val="08130F0E"/>
    <w:rsid w:val="08130F54"/>
    <w:rsid w:val="0813102B"/>
    <w:rsid w:val="0813103C"/>
    <w:rsid w:val="08131041"/>
    <w:rsid w:val="081310A4"/>
    <w:rsid w:val="081311B9"/>
    <w:rsid w:val="081311EE"/>
    <w:rsid w:val="08131208"/>
    <w:rsid w:val="0813124F"/>
    <w:rsid w:val="08131346"/>
    <w:rsid w:val="08131347"/>
    <w:rsid w:val="0813138D"/>
    <w:rsid w:val="08131404"/>
    <w:rsid w:val="0813142C"/>
    <w:rsid w:val="0813142D"/>
    <w:rsid w:val="08131437"/>
    <w:rsid w:val="08131450"/>
    <w:rsid w:val="08131487"/>
    <w:rsid w:val="08131503"/>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BCC"/>
    <w:rsid w:val="08131C41"/>
    <w:rsid w:val="08131C7E"/>
    <w:rsid w:val="08131CA3"/>
    <w:rsid w:val="08131CF5"/>
    <w:rsid w:val="08131E1D"/>
    <w:rsid w:val="08131E27"/>
    <w:rsid w:val="08131E70"/>
    <w:rsid w:val="08131F57"/>
    <w:rsid w:val="081320AB"/>
    <w:rsid w:val="0813217C"/>
    <w:rsid w:val="081321F8"/>
    <w:rsid w:val="081322C1"/>
    <w:rsid w:val="0813231A"/>
    <w:rsid w:val="0813238A"/>
    <w:rsid w:val="0813239E"/>
    <w:rsid w:val="0813250E"/>
    <w:rsid w:val="08132525"/>
    <w:rsid w:val="08132594"/>
    <w:rsid w:val="081325C3"/>
    <w:rsid w:val="081325D5"/>
    <w:rsid w:val="081325FA"/>
    <w:rsid w:val="081326FC"/>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D0B"/>
    <w:rsid w:val="08133E33"/>
    <w:rsid w:val="08133E99"/>
    <w:rsid w:val="08133EB9"/>
    <w:rsid w:val="08133FA0"/>
    <w:rsid w:val="08134075"/>
    <w:rsid w:val="0813411A"/>
    <w:rsid w:val="081341A9"/>
    <w:rsid w:val="08134255"/>
    <w:rsid w:val="0813429D"/>
    <w:rsid w:val="081342BA"/>
    <w:rsid w:val="081342E4"/>
    <w:rsid w:val="081342FD"/>
    <w:rsid w:val="081343A0"/>
    <w:rsid w:val="081343D4"/>
    <w:rsid w:val="08134471"/>
    <w:rsid w:val="0813449D"/>
    <w:rsid w:val="08134511"/>
    <w:rsid w:val="081346BF"/>
    <w:rsid w:val="0813478B"/>
    <w:rsid w:val="081347F7"/>
    <w:rsid w:val="08134882"/>
    <w:rsid w:val="081348C2"/>
    <w:rsid w:val="081348F9"/>
    <w:rsid w:val="081349A1"/>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0C7"/>
    <w:rsid w:val="0813536C"/>
    <w:rsid w:val="08135517"/>
    <w:rsid w:val="0813554F"/>
    <w:rsid w:val="0813558C"/>
    <w:rsid w:val="081355BE"/>
    <w:rsid w:val="0813567A"/>
    <w:rsid w:val="081356AE"/>
    <w:rsid w:val="081356DE"/>
    <w:rsid w:val="08135707"/>
    <w:rsid w:val="0813575E"/>
    <w:rsid w:val="08135763"/>
    <w:rsid w:val="081357A2"/>
    <w:rsid w:val="08135824"/>
    <w:rsid w:val="08135839"/>
    <w:rsid w:val="0813588C"/>
    <w:rsid w:val="081359B3"/>
    <w:rsid w:val="08135A67"/>
    <w:rsid w:val="08135C8A"/>
    <w:rsid w:val="08135CD4"/>
    <w:rsid w:val="08135D9D"/>
    <w:rsid w:val="08135DAF"/>
    <w:rsid w:val="08135E18"/>
    <w:rsid w:val="08135E62"/>
    <w:rsid w:val="08135E7F"/>
    <w:rsid w:val="08135FC9"/>
    <w:rsid w:val="08136078"/>
    <w:rsid w:val="081360BE"/>
    <w:rsid w:val="08136111"/>
    <w:rsid w:val="081361CD"/>
    <w:rsid w:val="08136264"/>
    <w:rsid w:val="08136333"/>
    <w:rsid w:val="0813636D"/>
    <w:rsid w:val="08136379"/>
    <w:rsid w:val="081363A1"/>
    <w:rsid w:val="081363BA"/>
    <w:rsid w:val="081363C4"/>
    <w:rsid w:val="08136449"/>
    <w:rsid w:val="0813644F"/>
    <w:rsid w:val="08136464"/>
    <w:rsid w:val="08136476"/>
    <w:rsid w:val="08136496"/>
    <w:rsid w:val="0813669E"/>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E60"/>
    <w:rsid w:val="08136E74"/>
    <w:rsid w:val="08136F30"/>
    <w:rsid w:val="08136FA9"/>
    <w:rsid w:val="08136FAC"/>
    <w:rsid w:val="08137093"/>
    <w:rsid w:val="081370D5"/>
    <w:rsid w:val="081370E0"/>
    <w:rsid w:val="08137247"/>
    <w:rsid w:val="08137280"/>
    <w:rsid w:val="0813729F"/>
    <w:rsid w:val="081372AD"/>
    <w:rsid w:val="081372F7"/>
    <w:rsid w:val="0813743D"/>
    <w:rsid w:val="08137463"/>
    <w:rsid w:val="08137512"/>
    <w:rsid w:val="0813752F"/>
    <w:rsid w:val="081375A4"/>
    <w:rsid w:val="081375B8"/>
    <w:rsid w:val="081376A9"/>
    <w:rsid w:val="0813771C"/>
    <w:rsid w:val="08137740"/>
    <w:rsid w:val="081378BE"/>
    <w:rsid w:val="0813794F"/>
    <w:rsid w:val="08137970"/>
    <w:rsid w:val="081379BD"/>
    <w:rsid w:val="08137A06"/>
    <w:rsid w:val="08137A17"/>
    <w:rsid w:val="08137ADD"/>
    <w:rsid w:val="08137B20"/>
    <w:rsid w:val="08137B7C"/>
    <w:rsid w:val="08137B92"/>
    <w:rsid w:val="08137E6F"/>
    <w:rsid w:val="08137EC7"/>
    <w:rsid w:val="0814002E"/>
    <w:rsid w:val="0814003F"/>
    <w:rsid w:val="081400E0"/>
    <w:rsid w:val="0814012A"/>
    <w:rsid w:val="08140136"/>
    <w:rsid w:val="0814028A"/>
    <w:rsid w:val="081402A8"/>
    <w:rsid w:val="081402DD"/>
    <w:rsid w:val="0814039D"/>
    <w:rsid w:val="081403FA"/>
    <w:rsid w:val="0814050C"/>
    <w:rsid w:val="08140544"/>
    <w:rsid w:val="081405A4"/>
    <w:rsid w:val="081405FE"/>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3AB"/>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319"/>
    <w:rsid w:val="08143427"/>
    <w:rsid w:val="0814350F"/>
    <w:rsid w:val="08143575"/>
    <w:rsid w:val="081435DD"/>
    <w:rsid w:val="08143631"/>
    <w:rsid w:val="081436A3"/>
    <w:rsid w:val="081436DD"/>
    <w:rsid w:val="081436E7"/>
    <w:rsid w:val="081438D5"/>
    <w:rsid w:val="08143994"/>
    <w:rsid w:val="081439A2"/>
    <w:rsid w:val="081439A7"/>
    <w:rsid w:val="081439B2"/>
    <w:rsid w:val="08143A0A"/>
    <w:rsid w:val="08143A2E"/>
    <w:rsid w:val="08143AEA"/>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9"/>
    <w:rsid w:val="081444D2"/>
    <w:rsid w:val="081445FE"/>
    <w:rsid w:val="0814463A"/>
    <w:rsid w:val="08144685"/>
    <w:rsid w:val="081446AF"/>
    <w:rsid w:val="081446D8"/>
    <w:rsid w:val="08144740"/>
    <w:rsid w:val="08144807"/>
    <w:rsid w:val="081448AA"/>
    <w:rsid w:val="081449E3"/>
    <w:rsid w:val="081449F0"/>
    <w:rsid w:val="08144AC6"/>
    <w:rsid w:val="08144BC5"/>
    <w:rsid w:val="08144C35"/>
    <w:rsid w:val="08144C58"/>
    <w:rsid w:val="08144CCE"/>
    <w:rsid w:val="08144CD8"/>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47"/>
    <w:rsid w:val="081452AF"/>
    <w:rsid w:val="081452F4"/>
    <w:rsid w:val="081453E2"/>
    <w:rsid w:val="081453EA"/>
    <w:rsid w:val="0814550F"/>
    <w:rsid w:val="0814551C"/>
    <w:rsid w:val="0814559A"/>
    <w:rsid w:val="081455EE"/>
    <w:rsid w:val="08145682"/>
    <w:rsid w:val="081456C0"/>
    <w:rsid w:val="081456E5"/>
    <w:rsid w:val="0814574B"/>
    <w:rsid w:val="0814577A"/>
    <w:rsid w:val="081457C6"/>
    <w:rsid w:val="081457E6"/>
    <w:rsid w:val="081457F5"/>
    <w:rsid w:val="08145858"/>
    <w:rsid w:val="0814594B"/>
    <w:rsid w:val="081459F2"/>
    <w:rsid w:val="08145A75"/>
    <w:rsid w:val="08145A9A"/>
    <w:rsid w:val="08145B28"/>
    <w:rsid w:val="08145BB4"/>
    <w:rsid w:val="08145C53"/>
    <w:rsid w:val="08145C82"/>
    <w:rsid w:val="08145CB7"/>
    <w:rsid w:val="08145D26"/>
    <w:rsid w:val="08145DC3"/>
    <w:rsid w:val="08145DD7"/>
    <w:rsid w:val="08145E75"/>
    <w:rsid w:val="08145E9C"/>
    <w:rsid w:val="08145F67"/>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6E9"/>
    <w:rsid w:val="0814675E"/>
    <w:rsid w:val="08146849"/>
    <w:rsid w:val="08146945"/>
    <w:rsid w:val="0814694F"/>
    <w:rsid w:val="08146B9E"/>
    <w:rsid w:val="08146DAD"/>
    <w:rsid w:val="08146E1E"/>
    <w:rsid w:val="08146E88"/>
    <w:rsid w:val="0814702D"/>
    <w:rsid w:val="0814710F"/>
    <w:rsid w:val="08147112"/>
    <w:rsid w:val="081471D9"/>
    <w:rsid w:val="08147235"/>
    <w:rsid w:val="08147267"/>
    <w:rsid w:val="0814744B"/>
    <w:rsid w:val="081474ED"/>
    <w:rsid w:val="08147530"/>
    <w:rsid w:val="0814753A"/>
    <w:rsid w:val="081476C9"/>
    <w:rsid w:val="08147886"/>
    <w:rsid w:val="0814788D"/>
    <w:rsid w:val="081479A8"/>
    <w:rsid w:val="081479E0"/>
    <w:rsid w:val="08147A73"/>
    <w:rsid w:val="08147B4B"/>
    <w:rsid w:val="08147BAC"/>
    <w:rsid w:val="08147BF2"/>
    <w:rsid w:val="08147C47"/>
    <w:rsid w:val="08147CE1"/>
    <w:rsid w:val="08147DC4"/>
    <w:rsid w:val="08147E1A"/>
    <w:rsid w:val="08147E2E"/>
    <w:rsid w:val="08147E44"/>
    <w:rsid w:val="08147E51"/>
    <w:rsid w:val="08147E8E"/>
    <w:rsid w:val="08147EE3"/>
    <w:rsid w:val="08147F05"/>
    <w:rsid w:val="08147F09"/>
    <w:rsid w:val="08150035"/>
    <w:rsid w:val="08150051"/>
    <w:rsid w:val="08150244"/>
    <w:rsid w:val="0815032C"/>
    <w:rsid w:val="081503FE"/>
    <w:rsid w:val="0815044A"/>
    <w:rsid w:val="08150454"/>
    <w:rsid w:val="0815046A"/>
    <w:rsid w:val="08150488"/>
    <w:rsid w:val="081504A1"/>
    <w:rsid w:val="081504E4"/>
    <w:rsid w:val="08150613"/>
    <w:rsid w:val="0815063F"/>
    <w:rsid w:val="081506AA"/>
    <w:rsid w:val="0815071E"/>
    <w:rsid w:val="08150757"/>
    <w:rsid w:val="0815094F"/>
    <w:rsid w:val="0815099C"/>
    <w:rsid w:val="081509A4"/>
    <w:rsid w:val="08150B16"/>
    <w:rsid w:val="08150B3D"/>
    <w:rsid w:val="08150B94"/>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4C6"/>
    <w:rsid w:val="081515A4"/>
    <w:rsid w:val="08151624"/>
    <w:rsid w:val="08151674"/>
    <w:rsid w:val="081516EE"/>
    <w:rsid w:val="0815171D"/>
    <w:rsid w:val="0815177E"/>
    <w:rsid w:val="081517F3"/>
    <w:rsid w:val="0815180A"/>
    <w:rsid w:val="08151992"/>
    <w:rsid w:val="08151998"/>
    <w:rsid w:val="08151A55"/>
    <w:rsid w:val="08151ADB"/>
    <w:rsid w:val="08151B28"/>
    <w:rsid w:val="08151B73"/>
    <w:rsid w:val="08151C1A"/>
    <w:rsid w:val="08151CB0"/>
    <w:rsid w:val="08151CCA"/>
    <w:rsid w:val="08151D06"/>
    <w:rsid w:val="08151D67"/>
    <w:rsid w:val="08151E6B"/>
    <w:rsid w:val="08151EA5"/>
    <w:rsid w:val="08151EEE"/>
    <w:rsid w:val="08151F22"/>
    <w:rsid w:val="08151F34"/>
    <w:rsid w:val="08151F69"/>
    <w:rsid w:val="08152035"/>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6CE"/>
    <w:rsid w:val="08152795"/>
    <w:rsid w:val="081527EE"/>
    <w:rsid w:val="081528B7"/>
    <w:rsid w:val="08152995"/>
    <w:rsid w:val="081529ED"/>
    <w:rsid w:val="08152A0F"/>
    <w:rsid w:val="08152A69"/>
    <w:rsid w:val="08152DD9"/>
    <w:rsid w:val="08152E13"/>
    <w:rsid w:val="08152EEE"/>
    <w:rsid w:val="081530B0"/>
    <w:rsid w:val="081530F7"/>
    <w:rsid w:val="08153144"/>
    <w:rsid w:val="08153182"/>
    <w:rsid w:val="08153293"/>
    <w:rsid w:val="08153339"/>
    <w:rsid w:val="081534FE"/>
    <w:rsid w:val="0815358D"/>
    <w:rsid w:val="08153620"/>
    <w:rsid w:val="081536AF"/>
    <w:rsid w:val="081537F6"/>
    <w:rsid w:val="08153842"/>
    <w:rsid w:val="08153905"/>
    <w:rsid w:val="08153914"/>
    <w:rsid w:val="08153A59"/>
    <w:rsid w:val="08153A5C"/>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56"/>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26"/>
    <w:rsid w:val="08155243"/>
    <w:rsid w:val="081553D3"/>
    <w:rsid w:val="0815549C"/>
    <w:rsid w:val="08155647"/>
    <w:rsid w:val="08155660"/>
    <w:rsid w:val="081556E6"/>
    <w:rsid w:val="08155725"/>
    <w:rsid w:val="081557B4"/>
    <w:rsid w:val="0815593E"/>
    <w:rsid w:val="08155A1E"/>
    <w:rsid w:val="08155B17"/>
    <w:rsid w:val="08155B1F"/>
    <w:rsid w:val="08155B97"/>
    <w:rsid w:val="08155BAD"/>
    <w:rsid w:val="08155BDF"/>
    <w:rsid w:val="08155C3A"/>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79"/>
    <w:rsid w:val="081568F0"/>
    <w:rsid w:val="0815697C"/>
    <w:rsid w:val="081569CA"/>
    <w:rsid w:val="08156B82"/>
    <w:rsid w:val="08156BF0"/>
    <w:rsid w:val="08156CF2"/>
    <w:rsid w:val="08156E67"/>
    <w:rsid w:val="08156E79"/>
    <w:rsid w:val="08156EC9"/>
    <w:rsid w:val="08156F9B"/>
    <w:rsid w:val="08156FD5"/>
    <w:rsid w:val="08156FE5"/>
    <w:rsid w:val="0815708A"/>
    <w:rsid w:val="081570AD"/>
    <w:rsid w:val="081570C6"/>
    <w:rsid w:val="081571EA"/>
    <w:rsid w:val="08157222"/>
    <w:rsid w:val="081572A9"/>
    <w:rsid w:val="0815738E"/>
    <w:rsid w:val="081573CA"/>
    <w:rsid w:val="081573FB"/>
    <w:rsid w:val="0815743A"/>
    <w:rsid w:val="0815748B"/>
    <w:rsid w:val="08157561"/>
    <w:rsid w:val="081575E9"/>
    <w:rsid w:val="08157602"/>
    <w:rsid w:val="08157677"/>
    <w:rsid w:val="08157689"/>
    <w:rsid w:val="0815768F"/>
    <w:rsid w:val="081576D8"/>
    <w:rsid w:val="0815778C"/>
    <w:rsid w:val="0815787B"/>
    <w:rsid w:val="08157964"/>
    <w:rsid w:val="08157992"/>
    <w:rsid w:val="081579E6"/>
    <w:rsid w:val="08157A04"/>
    <w:rsid w:val="08157A0D"/>
    <w:rsid w:val="08157AD3"/>
    <w:rsid w:val="08157AD5"/>
    <w:rsid w:val="08157B14"/>
    <w:rsid w:val="08157B21"/>
    <w:rsid w:val="08157BC0"/>
    <w:rsid w:val="08157BC1"/>
    <w:rsid w:val="08157C17"/>
    <w:rsid w:val="08157CF6"/>
    <w:rsid w:val="08157D19"/>
    <w:rsid w:val="08157DFE"/>
    <w:rsid w:val="08157FF7"/>
    <w:rsid w:val="081600F7"/>
    <w:rsid w:val="08160138"/>
    <w:rsid w:val="081601B1"/>
    <w:rsid w:val="0816026D"/>
    <w:rsid w:val="081602CB"/>
    <w:rsid w:val="08160338"/>
    <w:rsid w:val="081604A6"/>
    <w:rsid w:val="08160516"/>
    <w:rsid w:val="08160522"/>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B4"/>
    <w:rsid w:val="08161106"/>
    <w:rsid w:val="08161215"/>
    <w:rsid w:val="08161251"/>
    <w:rsid w:val="08161257"/>
    <w:rsid w:val="081612E5"/>
    <w:rsid w:val="08161306"/>
    <w:rsid w:val="08161325"/>
    <w:rsid w:val="0816137B"/>
    <w:rsid w:val="08161482"/>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8F3"/>
    <w:rsid w:val="08161911"/>
    <w:rsid w:val="0816191A"/>
    <w:rsid w:val="08161923"/>
    <w:rsid w:val="0816195F"/>
    <w:rsid w:val="081619A9"/>
    <w:rsid w:val="08161A1C"/>
    <w:rsid w:val="08161A6D"/>
    <w:rsid w:val="08161A95"/>
    <w:rsid w:val="08161ADD"/>
    <w:rsid w:val="08161B00"/>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695"/>
    <w:rsid w:val="0816272F"/>
    <w:rsid w:val="0816277A"/>
    <w:rsid w:val="08162958"/>
    <w:rsid w:val="08162965"/>
    <w:rsid w:val="08162967"/>
    <w:rsid w:val="081629CF"/>
    <w:rsid w:val="08162A36"/>
    <w:rsid w:val="08162A51"/>
    <w:rsid w:val="08162AE3"/>
    <w:rsid w:val="08162AF5"/>
    <w:rsid w:val="08162B0F"/>
    <w:rsid w:val="08162B12"/>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87"/>
    <w:rsid w:val="08163DA0"/>
    <w:rsid w:val="08163DDC"/>
    <w:rsid w:val="08163DE5"/>
    <w:rsid w:val="08163FD7"/>
    <w:rsid w:val="08164060"/>
    <w:rsid w:val="08164081"/>
    <w:rsid w:val="081640B3"/>
    <w:rsid w:val="081640F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A6"/>
    <w:rsid w:val="081646C4"/>
    <w:rsid w:val="0816470A"/>
    <w:rsid w:val="081647B9"/>
    <w:rsid w:val="081647BC"/>
    <w:rsid w:val="08164926"/>
    <w:rsid w:val="08164942"/>
    <w:rsid w:val="08164975"/>
    <w:rsid w:val="081649AF"/>
    <w:rsid w:val="08164A64"/>
    <w:rsid w:val="08164A72"/>
    <w:rsid w:val="08164B01"/>
    <w:rsid w:val="08164BAA"/>
    <w:rsid w:val="08164BD3"/>
    <w:rsid w:val="08164C01"/>
    <w:rsid w:val="08164CE2"/>
    <w:rsid w:val="08164D30"/>
    <w:rsid w:val="08164D76"/>
    <w:rsid w:val="08164EFC"/>
    <w:rsid w:val="08164F45"/>
    <w:rsid w:val="08164FB2"/>
    <w:rsid w:val="08164FEE"/>
    <w:rsid w:val="08165026"/>
    <w:rsid w:val="081650AF"/>
    <w:rsid w:val="08165126"/>
    <w:rsid w:val="081651B8"/>
    <w:rsid w:val="081651B9"/>
    <w:rsid w:val="08165337"/>
    <w:rsid w:val="08165557"/>
    <w:rsid w:val="08165593"/>
    <w:rsid w:val="081655D8"/>
    <w:rsid w:val="08165660"/>
    <w:rsid w:val="081656CB"/>
    <w:rsid w:val="081657D4"/>
    <w:rsid w:val="0816580A"/>
    <w:rsid w:val="08165940"/>
    <w:rsid w:val="081659CC"/>
    <w:rsid w:val="081659D3"/>
    <w:rsid w:val="08165A7F"/>
    <w:rsid w:val="08165BD4"/>
    <w:rsid w:val="08165C81"/>
    <w:rsid w:val="08165CA2"/>
    <w:rsid w:val="08165CB3"/>
    <w:rsid w:val="08165CF5"/>
    <w:rsid w:val="08165D3B"/>
    <w:rsid w:val="08165E43"/>
    <w:rsid w:val="08165EA1"/>
    <w:rsid w:val="08165EF3"/>
    <w:rsid w:val="08165EFE"/>
    <w:rsid w:val="08165F1E"/>
    <w:rsid w:val="08165F40"/>
    <w:rsid w:val="08166085"/>
    <w:rsid w:val="08166123"/>
    <w:rsid w:val="08166281"/>
    <w:rsid w:val="0816628C"/>
    <w:rsid w:val="081662C4"/>
    <w:rsid w:val="081662CF"/>
    <w:rsid w:val="0816632B"/>
    <w:rsid w:val="0816632C"/>
    <w:rsid w:val="08166420"/>
    <w:rsid w:val="081664A2"/>
    <w:rsid w:val="0816658A"/>
    <w:rsid w:val="081665AB"/>
    <w:rsid w:val="081665E8"/>
    <w:rsid w:val="08166600"/>
    <w:rsid w:val="081666C5"/>
    <w:rsid w:val="081666CA"/>
    <w:rsid w:val="08166845"/>
    <w:rsid w:val="0816685F"/>
    <w:rsid w:val="081668D5"/>
    <w:rsid w:val="08166CB5"/>
    <w:rsid w:val="08166D13"/>
    <w:rsid w:val="08166D27"/>
    <w:rsid w:val="08166D3A"/>
    <w:rsid w:val="08166D5F"/>
    <w:rsid w:val="08166DF8"/>
    <w:rsid w:val="08166DFF"/>
    <w:rsid w:val="08166E37"/>
    <w:rsid w:val="08166EA4"/>
    <w:rsid w:val="08166ECF"/>
    <w:rsid w:val="08166ED6"/>
    <w:rsid w:val="08167072"/>
    <w:rsid w:val="08167088"/>
    <w:rsid w:val="081670EF"/>
    <w:rsid w:val="0816714F"/>
    <w:rsid w:val="08167167"/>
    <w:rsid w:val="0816726D"/>
    <w:rsid w:val="08167271"/>
    <w:rsid w:val="081674D5"/>
    <w:rsid w:val="081674E3"/>
    <w:rsid w:val="08167514"/>
    <w:rsid w:val="08167576"/>
    <w:rsid w:val="081676DA"/>
    <w:rsid w:val="08167701"/>
    <w:rsid w:val="0816770C"/>
    <w:rsid w:val="08167726"/>
    <w:rsid w:val="08167733"/>
    <w:rsid w:val="081677FD"/>
    <w:rsid w:val="081678AB"/>
    <w:rsid w:val="08167960"/>
    <w:rsid w:val="08167983"/>
    <w:rsid w:val="081679EF"/>
    <w:rsid w:val="08167A0A"/>
    <w:rsid w:val="08167A2B"/>
    <w:rsid w:val="08167A98"/>
    <w:rsid w:val="08167AC6"/>
    <w:rsid w:val="08167AE1"/>
    <w:rsid w:val="08167B3E"/>
    <w:rsid w:val="08167B73"/>
    <w:rsid w:val="08167B92"/>
    <w:rsid w:val="08167BEC"/>
    <w:rsid w:val="08167C37"/>
    <w:rsid w:val="08167C59"/>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2"/>
    <w:rsid w:val="08170A3E"/>
    <w:rsid w:val="08170AB8"/>
    <w:rsid w:val="08170B30"/>
    <w:rsid w:val="08170BB5"/>
    <w:rsid w:val="08170BE4"/>
    <w:rsid w:val="08170CA7"/>
    <w:rsid w:val="08170CBA"/>
    <w:rsid w:val="08170CD0"/>
    <w:rsid w:val="08170E8A"/>
    <w:rsid w:val="08170F77"/>
    <w:rsid w:val="08170F84"/>
    <w:rsid w:val="08170FE4"/>
    <w:rsid w:val="08171050"/>
    <w:rsid w:val="08171116"/>
    <w:rsid w:val="08171145"/>
    <w:rsid w:val="0817114A"/>
    <w:rsid w:val="08171214"/>
    <w:rsid w:val="08171369"/>
    <w:rsid w:val="0817138B"/>
    <w:rsid w:val="081713B2"/>
    <w:rsid w:val="081713F8"/>
    <w:rsid w:val="081714C7"/>
    <w:rsid w:val="081714FD"/>
    <w:rsid w:val="0817157B"/>
    <w:rsid w:val="081715DA"/>
    <w:rsid w:val="08171691"/>
    <w:rsid w:val="081716BF"/>
    <w:rsid w:val="08171708"/>
    <w:rsid w:val="0817182D"/>
    <w:rsid w:val="0817190F"/>
    <w:rsid w:val="08171958"/>
    <w:rsid w:val="0817196C"/>
    <w:rsid w:val="081719C3"/>
    <w:rsid w:val="08171A4C"/>
    <w:rsid w:val="08171AA4"/>
    <w:rsid w:val="08171AB0"/>
    <w:rsid w:val="08171B10"/>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5EB"/>
    <w:rsid w:val="08172619"/>
    <w:rsid w:val="08172627"/>
    <w:rsid w:val="08172650"/>
    <w:rsid w:val="081726B4"/>
    <w:rsid w:val="08172750"/>
    <w:rsid w:val="0817278F"/>
    <w:rsid w:val="081727F9"/>
    <w:rsid w:val="08172832"/>
    <w:rsid w:val="081728E1"/>
    <w:rsid w:val="081729FB"/>
    <w:rsid w:val="08172A15"/>
    <w:rsid w:val="08172A26"/>
    <w:rsid w:val="08172AE7"/>
    <w:rsid w:val="08172B03"/>
    <w:rsid w:val="08172B13"/>
    <w:rsid w:val="08172BC0"/>
    <w:rsid w:val="08172BCF"/>
    <w:rsid w:val="08172CC4"/>
    <w:rsid w:val="08172CEB"/>
    <w:rsid w:val="08172D4B"/>
    <w:rsid w:val="08172DA0"/>
    <w:rsid w:val="08172E56"/>
    <w:rsid w:val="08172EC0"/>
    <w:rsid w:val="08172EDD"/>
    <w:rsid w:val="08172EEF"/>
    <w:rsid w:val="08172FB0"/>
    <w:rsid w:val="08173014"/>
    <w:rsid w:val="0817307D"/>
    <w:rsid w:val="081730C6"/>
    <w:rsid w:val="08173239"/>
    <w:rsid w:val="08173298"/>
    <w:rsid w:val="081733AB"/>
    <w:rsid w:val="08173485"/>
    <w:rsid w:val="081734B6"/>
    <w:rsid w:val="081734BB"/>
    <w:rsid w:val="081735C7"/>
    <w:rsid w:val="081735CB"/>
    <w:rsid w:val="081735D8"/>
    <w:rsid w:val="081735ED"/>
    <w:rsid w:val="08173763"/>
    <w:rsid w:val="08173798"/>
    <w:rsid w:val="081737FB"/>
    <w:rsid w:val="0817384E"/>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AF"/>
    <w:rsid w:val="08175265"/>
    <w:rsid w:val="081752C4"/>
    <w:rsid w:val="081752D9"/>
    <w:rsid w:val="081752E6"/>
    <w:rsid w:val="08175349"/>
    <w:rsid w:val="0817537C"/>
    <w:rsid w:val="08175386"/>
    <w:rsid w:val="081754BE"/>
    <w:rsid w:val="081754FE"/>
    <w:rsid w:val="08175711"/>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C73"/>
    <w:rsid w:val="08175C77"/>
    <w:rsid w:val="08175D6D"/>
    <w:rsid w:val="08175DA8"/>
    <w:rsid w:val="08175E30"/>
    <w:rsid w:val="08175ED7"/>
    <w:rsid w:val="081762E1"/>
    <w:rsid w:val="08176317"/>
    <w:rsid w:val="0817636D"/>
    <w:rsid w:val="081763AA"/>
    <w:rsid w:val="081763FC"/>
    <w:rsid w:val="0817647C"/>
    <w:rsid w:val="08176596"/>
    <w:rsid w:val="0817659B"/>
    <w:rsid w:val="0817665E"/>
    <w:rsid w:val="0817666E"/>
    <w:rsid w:val="081766C5"/>
    <w:rsid w:val="08176798"/>
    <w:rsid w:val="081767FD"/>
    <w:rsid w:val="08176851"/>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1D9"/>
    <w:rsid w:val="08177265"/>
    <w:rsid w:val="081772D0"/>
    <w:rsid w:val="0817732B"/>
    <w:rsid w:val="081773AB"/>
    <w:rsid w:val="081773EE"/>
    <w:rsid w:val="08177412"/>
    <w:rsid w:val="0817743D"/>
    <w:rsid w:val="0817760B"/>
    <w:rsid w:val="0817764C"/>
    <w:rsid w:val="081776A2"/>
    <w:rsid w:val="081776B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DA"/>
    <w:rsid w:val="081804EA"/>
    <w:rsid w:val="0818058B"/>
    <w:rsid w:val="081805BC"/>
    <w:rsid w:val="08180647"/>
    <w:rsid w:val="0818064F"/>
    <w:rsid w:val="0818065B"/>
    <w:rsid w:val="08180695"/>
    <w:rsid w:val="08180752"/>
    <w:rsid w:val="08180841"/>
    <w:rsid w:val="0818089F"/>
    <w:rsid w:val="081808AA"/>
    <w:rsid w:val="08180962"/>
    <w:rsid w:val="08180A8A"/>
    <w:rsid w:val="08180AA1"/>
    <w:rsid w:val="08180AE5"/>
    <w:rsid w:val="08180C25"/>
    <w:rsid w:val="08180C6B"/>
    <w:rsid w:val="08180E19"/>
    <w:rsid w:val="08180EB7"/>
    <w:rsid w:val="08180EBE"/>
    <w:rsid w:val="08180F8C"/>
    <w:rsid w:val="08180FAC"/>
    <w:rsid w:val="08181025"/>
    <w:rsid w:val="08181097"/>
    <w:rsid w:val="08181132"/>
    <w:rsid w:val="08181169"/>
    <w:rsid w:val="081811C0"/>
    <w:rsid w:val="0818126C"/>
    <w:rsid w:val="08181279"/>
    <w:rsid w:val="08181364"/>
    <w:rsid w:val="081813DA"/>
    <w:rsid w:val="08181410"/>
    <w:rsid w:val="081815D3"/>
    <w:rsid w:val="081815E0"/>
    <w:rsid w:val="0818173B"/>
    <w:rsid w:val="08181747"/>
    <w:rsid w:val="081817BB"/>
    <w:rsid w:val="0818185A"/>
    <w:rsid w:val="081818B3"/>
    <w:rsid w:val="08181950"/>
    <w:rsid w:val="08181977"/>
    <w:rsid w:val="081819A0"/>
    <w:rsid w:val="081819F5"/>
    <w:rsid w:val="08181A49"/>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9A"/>
    <w:rsid w:val="081824B9"/>
    <w:rsid w:val="08182541"/>
    <w:rsid w:val="0818256C"/>
    <w:rsid w:val="08182636"/>
    <w:rsid w:val="08182869"/>
    <w:rsid w:val="08182971"/>
    <w:rsid w:val="08182993"/>
    <w:rsid w:val="081829A7"/>
    <w:rsid w:val="08182A3C"/>
    <w:rsid w:val="08182A80"/>
    <w:rsid w:val="08182A94"/>
    <w:rsid w:val="08182AB1"/>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867"/>
    <w:rsid w:val="081838A0"/>
    <w:rsid w:val="081838B6"/>
    <w:rsid w:val="0818390F"/>
    <w:rsid w:val="08183939"/>
    <w:rsid w:val="08183A44"/>
    <w:rsid w:val="08183A4B"/>
    <w:rsid w:val="08183B9C"/>
    <w:rsid w:val="08183D02"/>
    <w:rsid w:val="08183D44"/>
    <w:rsid w:val="08183DAB"/>
    <w:rsid w:val="08183E00"/>
    <w:rsid w:val="08183E72"/>
    <w:rsid w:val="08183EDF"/>
    <w:rsid w:val="0818401F"/>
    <w:rsid w:val="08184051"/>
    <w:rsid w:val="081840B5"/>
    <w:rsid w:val="081840E3"/>
    <w:rsid w:val="081840F1"/>
    <w:rsid w:val="081841B8"/>
    <w:rsid w:val="08184366"/>
    <w:rsid w:val="0818439A"/>
    <w:rsid w:val="08184403"/>
    <w:rsid w:val="08184408"/>
    <w:rsid w:val="081844D9"/>
    <w:rsid w:val="0818465A"/>
    <w:rsid w:val="081846D4"/>
    <w:rsid w:val="0818480E"/>
    <w:rsid w:val="08184837"/>
    <w:rsid w:val="0818489C"/>
    <w:rsid w:val="0818490F"/>
    <w:rsid w:val="081849D9"/>
    <w:rsid w:val="08184A1B"/>
    <w:rsid w:val="08184A75"/>
    <w:rsid w:val="08184A78"/>
    <w:rsid w:val="08184AD9"/>
    <w:rsid w:val="08184C25"/>
    <w:rsid w:val="08184C37"/>
    <w:rsid w:val="08184C50"/>
    <w:rsid w:val="08184E65"/>
    <w:rsid w:val="08184EF7"/>
    <w:rsid w:val="08184FE2"/>
    <w:rsid w:val="08184FFB"/>
    <w:rsid w:val="08185069"/>
    <w:rsid w:val="0818514C"/>
    <w:rsid w:val="08185179"/>
    <w:rsid w:val="081851A7"/>
    <w:rsid w:val="0818521E"/>
    <w:rsid w:val="0818528A"/>
    <w:rsid w:val="0818536D"/>
    <w:rsid w:val="08185379"/>
    <w:rsid w:val="0818537B"/>
    <w:rsid w:val="08185383"/>
    <w:rsid w:val="08185425"/>
    <w:rsid w:val="08185445"/>
    <w:rsid w:val="0818553D"/>
    <w:rsid w:val="0818553F"/>
    <w:rsid w:val="081855F7"/>
    <w:rsid w:val="08185616"/>
    <w:rsid w:val="081856ED"/>
    <w:rsid w:val="081856F7"/>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32"/>
    <w:rsid w:val="08185F50"/>
    <w:rsid w:val="08185F54"/>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8BC"/>
    <w:rsid w:val="0818692E"/>
    <w:rsid w:val="0818696D"/>
    <w:rsid w:val="08186A2A"/>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37"/>
    <w:rsid w:val="0818746F"/>
    <w:rsid w:val="08187685"/>
    <w:rsid w:val="0818768F"/>
    <w:rsid w:val="08187691"/>
    <w:rsid w:val="08187771"/>
    <w:rsid w:val="08187A2D"/>
    <w:rsid w:val="08187A54"/>
    <w:rsid w:val="08187A7F"/>
    <w:rsid w:val="08187B5D"/>
    <w:rsid w:val="08187B9F"/>
    <w:rsid w:val="08187DB2"/>
    <w:rsid w:val="08187E18"/>
    <w:rsid w:val="08187E50"/>
    <w:rsid w:val="08187E54"/>
    <w:rsid w:val="08187E82"/>
    <w:rsid w:val="08187E9D"/>
    <w:rsid w:val="08187EA8"/>
    <w:rsid w:val="08187EAD"/>
    <w:rsid w:val="08187EFC"/>
    <w:rsid w:val="08187F14"/>
    <w:rsid w:val="08187F5A"/>
    <w:rsid w:val="08187FC2"/>
    <w:rsid w:val="08187FE9"/>
    <w:rsid w:val="08190066"/>
    <w:rsid w:val="0819008A"/>
    <w:rsid w:val="0819011E"/>
    <w:rsid w:val="08190124"/>
    <w:rsid w:val="08190227"/>
    <w:rsid w:val="08190261"/>
    <w:rsid w:val="08190353"/>
    <w:rsid w:val="081903A2"/>
    <w:rsid w:val="08190441"/>
    <w:rsid w:val="08190505"/>
    <w:rsid w:val="08190571"/>
    <w:rsid w:val="08190661"/>
    <w:rsid w:val="0819067F"/>
    <w:rsid w:val="08190732"/>
    <w:rsid w:val="0819078F"/>
    <w:rsid w:val="08190793"/>
    <w:rsid w:val="081907AF"/>
    <w:rsid w:val="081908C5"/>
    <w:rsid w:val="08190999"/>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7E"/>
    <w:rsid w:val="081914D1"/>
    <w:rsid w:val="08191582"/>
    <w:rsid w:val="08191585"/>
    <w:rsid w:val="0819169C"/>
    <w:rsid w:val="08191716"/>
    <w:rsid w:val="081917B0"/>
    <w:rsid w:val="081917FE"/>
    <w:rsid w:val="08191821"/>
    <w:rsid w:val="0819185C"/>
    <w:rsid w:val="08191954"/>
    <w:rsid w:val="0819195F"/>
    <w:rsid w:val="08191A2D"/>
    <w:rsid w:val="08191A77"/>
    <w:rsid w:val="08191ACA"/>
    <w:rsid w:val="08191B6B"/>
    <w:rsid w:val="08191B8C"/>
    <w:rsid w:val="08191BE5"/>
    <w:rsid w:val="08191CD5"/>
    <w:rsid w:val="08191D15"/>
    <w:rsid w:val="08191DD3"/>
    <w:rsid w:val="08191EFD"/>
    <w:rsid w:val="08191F12"/>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94"/>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9F"/>
    <w:rsid w:val="08192EC8"/>
    <w:rsid w:val="08192F13"/>
    <w:rsid w:val="08192F3D"/>
    <w:rsid w:val="08192F99"/>
    <w:rsid w:val="08192FC7"/>
    <w:rsid w:val="08192FE6"/>
    <w:rsid w:val="08193017"/>
    <w:rsid w:val="08193042"/>
    <w:rsid w:val="08193068"/>
    <w:rsid w:val="0819308A"/>
    <w:rsid w:val="081930E1"/>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6EB"/>
    <w:rsid w:val="08194722"/>
    <w:rsid w:val="081947BC"/>
    <w:rsid w:val="081947D3"/>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F92"/>
    <w:rsid w:val="08194FD7"/>
    <w:rsid w:val="08194FEC"/>
    <w:rsid w:val="081950FF"/>
    <w:rsid w:val="08195137"/>
    <w:rsid w:val="08195148"/>
    <w:rsid w:val="08195222"/>
    <w:rsid w:val="081952AB"/>
    <w:rsid w:val="081952D5"/>
    <w:rsid w:val="08195361"/>
    <w:rsid w:val="08195399"/>
    <w:rsid w:val="081953AB"/>
    <w:rsid w:val="081953D7"/>
    <w:rsid w:val="08195486"/>
    <w:rsid w:val="081954CC"/>
    <w:rsid w:val="0819558A"/>
    <w:rsid w:val="081955A7"/>
    <w:rsid w:val="081956AD"/>
    <w:rsid w:val="081956E4"/>
    <w:rsid w:val="081957ED"/>
    <w:rsid w:val="08195852"/>
    <w:rsid w:val="08195A08"/>
    <w:rsid w:val="08195A15"/>
    <w:rsid w:val="08195A1C"/>
    <w:rsid w:val="08195A51"/>
    <w:rsid w:val="08195A8A"/>
    <w:rsid w:val="08195ADA"/>
    <w:rsid w:val="08195B5A"/>
    <w:rsid w:val="08195BB4"/>
    <w:rsid w:val="08195C41"/>
    <w:rsid w:val="08195D6C"/>
    <w:rsid w:val="08195DBC"/>
    <w:rsid w:val="08195DC4"/>
    <w:rsid w:val="08195E8C"/>
    <w:rsid w:val="08195EA0"/>
    <w:rsid w:val="08195EB3"/>
    <w:rsid w:val="08195ED7"/>
    <w:rsid w:val="08195F8E"/>
    <w:rsid w:val="08196050"/>
    <w:rsid w:val="081960AF"/>
    <w:rsid w:val="081961D1"/>
    <w:rsid w:val="08196243"/>
    <w:rsid w:val="0819636B"/>
    <w:rsid w:val="08196490"/>
    <w:rsid w:val="08196619"/>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2E4"/>
    <w:rsid w:val="08197392"/>
    <w:rsid w:val="081974D3"/>
    <w:rsid w:val="081974E3"/>
    <w:rsid w:val="081974F2"/>
    <w:rsid w:val="081974FC"/>
    <w:rsid w:val="08197564"/>
    <w:rsid w:val="0819756D"/>
    <w:rsid w:val="081975D5"/>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7A"/>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B2"/>
    <w:rsid w:val="081A0EFE"/>
    <w:rsid w:val="081A10AF"/>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CA9"/>
    <w:rsid w:val="081A1D24"/>
    <w:rsid w:val="081A1DE3"/>
    <w:rsid w:val="081A1EFA"/>
    <w:rsid w:val="081A1F02"/>
    <w:rsid w:val="081A1F98"/>
    <w:rsid w:val="081A1FB6"/>
    <w:rsid w:val="081A2067"/>
    <w:rsid w:val="081A2102"/>
    <w:rsid w:val="081A21CE"/>
    <w:rsid w:val="081A21F2"/>
    <w:rsid w:val="081A21F9"/>
    <w:rsid w:val="081A235E"/>
    <w:rsid w:val="081A2367"/>
    <w:rsid w:val="081A2397"/>
    <w:rsid w:val="081A246B"/>
    <w:rsid w:val="081A24E9"/>
    <w:rsid w:val="081A2531"/>
    <w:rsid w:val="081A2555"/>
    <w:rsid w:val="081A2564"/>
    <w:rsid w:val="081A259B"/>
    <w:rsid w:val="081A2638"/>
    <w:rsid w:val="081A2641"/>
    <w:rsid w:val="081A26FB"/>
    <w:rsid w:val="081A2727"/>
    <w:rsid w:val="081A27FB"/>
    <w:rsid w:val="081A2849"/>
    <w:rsid w:val="081A2886"/>
    <w:rsid w:val="081A290A"/>
    <w:rsid w:val="081A29BF"/>
    <w:rsid w:val="081A2B1C"/>
    <w:rsid w:val="081A2B66"/>
    <w:rsid w:val="081A2C28"/>
    <w:rsid w:val="081A2C51"/>
    <w:rsid w:val="081A2C7D"/>
    <w:rsid w:val="081A2D71"/>
    <w:rsid w:val="081A2D86"/>
    <w:rsid w:val="081A2DD3"/>
    <w:rsid w:val="081A2DDF"/>
    <w:rsid w:val="081A2E9E"/>
    <w:rsid w:val="081A2F0B"/>
    <w:rsid w:val="081A3027"/>
    <w:rsid w:val="081A3040"/>
    <w:rsid w:val="081A3074"/>
    <w:rsid w:val="081A312A"/>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0DE"/>
    <w:rsid w:val="081A413C"/>
    <w:rsid w:val="081A42F4"/>
    <w:rsid w:val="081A42F5"/>
    <w:rsid w:val="081A43AA"/>
    <w:rsid w:val="081A443C"/>
    <w:rsid w:val="081A453B"/>
    <w:rsid w:val="081A453D"/>
    <w:rsid w:val="081A45CD"/>
    <w:rsid w:val="081A45DF"/>
    <w:rsid w:val="081A471D"/>
    <w:rsid w:val="081A4740"/>
    <w:rsid w:val="081A4764"/>
    <w:rsid w:val="081A47A3"/>
    <w:rsid w:val="081A47B0"/>
    <w:rsid w:val="081A47B5"/>
    <w:rsid w:val="081A47D5"/>
    <w:rsid w:val="081A4801"/>
    <w:rsid w:val="081A4811"/>
    <w:rsid w:val="081A48CE"/>
    <w:rsid w:val="081A4977"/>
    <w:rsid w:val="081A49AF"/>
    <w:rsid w:val="081A49B7"/>
    <w:rsid w:val="081A49D3"/>
    <w:rsid w:val="081A4A31"/>
    <w:rsid w:val="081A4A34"/>
    <w:rsid w:val="081A4A62"/>
    <w:rsid w:val="081A4AE3"/>
    <w:rsid w:val="081A4B89"/>
    <w:rsid w:val="081A4C5A"/>
    <w:rsid w:val="081A4C85"/>
    <w:rsid w:val="081A4CDE"/>
    <w:rsid w:val="081A4D3A"/>
    <w:rsid w:val="081A4D6A"/>
    <w:rsid w:val="081A4D92"/>
    <w:rsid w:val="081A4D98"/>
    <w:rsid w:val="081A4E01"/>
    <w:rsid w:val="081A501E"/>
    <w:rsid w:val="081A502C"/>
    <w:rsid w:val="081A509B"/>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634"/>
    <w:rsid w:val="081A7674"/>
    <w:rsid w:val="081A767E"/>
    <w:rsid w:val="081A76C6"/>
    <w:rsid w:val="081A76EC"/>
    <w:rsid w:val="081A7703"/>
    <w:rsid w:val="081A772C"/>
    <w:rsid w:val="081A782B"/>
    <w:rsid w:val="081A7868"/>
    <w:rsid w:val="081A7896"/>
    <w:rsid w:val="081A789E"/>
    <w:rsid w:val="081A793C"/>
    <w:rsid w:val="081A796F"/>
    <w:rsid w:val="081A79FD"/>
    <w:rsid w:val="081A7A58"/>
    <w:rsid w:val="081A7AB1"/>
    <w:rsid w:val="081A7B99"/>
    <w:rsid w:val="081A7BFC"/>
    <w:rsid w:val="081A7CAD"/>
    <w:rsid w:val="081A7CB2"/>
    <w:rsid w:val="081A7D2D"/>
    <w:rsid w:val="081A7F2A"/>
    <w:rsid w:val="081B00CE"/>
    <w:rsid w:val="081B011B"/>
    <w:rsid w:val="081B017A"/>
    <w:rsid w:val="081B0224"/>
    <w:rsid w:val="081B030C"/>
    <w:rsid w:val="081B038B"/>
    <w:rsid w:val="081B05D1"/>
    <w:rsid w:val="081B0648"/>
    <w:rsid w:val="081B0675"/>
    <w:rsid w:val="081B06BE"/>
    <w:rsid w:val="081B078D"/>
    <w:rsid w:val="081B088D"/>
    <w:rsid w:val="081B08AC"/>
    <w:rsid w:val="081B08B0"/>
    <w:rsid w:val="081B08EC"/>
    <w:rsid w:val="081B0925"/>
    <w:rsid w:val="081B0989"/>
    <w:rsid w:val="081B0AD3"/>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86"/>
    <w:rsid w:val="081B19B5"/>
    <w:rsid w:val="081B19BE"/>
    <w:rsid w:val="081B19DF"/>
    <w:rsid w:val="081B1A10"/>
    <w:rsid w:val="081B1B41"/>
    <w:rsid w:val="081B1B68"/>
    <w:rsid w:val="081B1B71"/>
    <w:rsid w:val="081B1C0D"/>
    <w:rsid w:val="081B1C6F"/>
    <w:rsid w:val="081B1CE8"/>
    <w:rsid w:val="081B1D98"/>
    <w:rsid w:val="081B1E27"/>
    <w:rsid w:val="081B1EF1"/>
    <w:rsid w:val="081B1F35"/>
    <w:rsid w:val="081B1F5C"/>
    <w:rsid w:val="081B2063"/>
    <w:rsid w:val="081B20A8"/>
    <w:rsid w:val="081B20C0"/>
    <w:rsid w:val="081B20CE"/>
    <w:rsid w:val="081B2116"/>
    <w:rsid w:val="081B2132"/>
    <w:rsid w:val="081B228D"/>
    <w:rsid w:val="081B22C4"/>
    <w:rsid w:val="081B238A"/>
    <w:rsid w:val="081B23C3"/>
    <w:rsid w:val="081B23C6"/>
    <w:rsid w:val="081B240D"/>
    <w:rsid w:val="081B2431"/>
    <w:rsid w:val="081B24D9"/>
    <w:rsid w:val="081B24E8"/>
    <w:rsid w:val="081B24F0"/>
    <w:rsid w:val="081B256D"/>
    <w:rsid w:val="081B25A3"/>
    <w:rsid w:val="081B25BF"/>
    <w:rsid w:val="081B25C4"/>
    <w:rsid w:val="081B2633"/>
    <w:rsid w:val="081B273B"/>
    <w:rsid w:val="081B2745"/>
    <w:rsid w:val="081B2779"/>
    <w:rsid w:val="081B27AE"/>
    <w:rsid w:val="081B2848"/>
    <w:rsid w:val="081B2899"/>
    <w:rsid w:val="081B28EE"/>
    <w:rsid w:val="081B2929"/>
    <w:rsid w:val="081B29E6"/>
    <w:rsid w:val="081B2A35"/>
    <w:rsid w:val="081B2A54"/>
    <w:rsid w:val="081B2A85"/>
    <w:rsid w:val="081B2BA4"/>
    <w:rsid w:val="081B2BD5"/>
    <w:rsid w:val="081B2BDC"/>
    <w:rsid w:val="081B2C18"/>
    <w:rsid w:val="081B2C33"/>
    <w:rsid w:val="081B2C4F"/>
    <w:rsid w:val="081B2CCF"/>
    <w:rsid w:val="081B2D55"/>
    <w:rsid w:val="081B2D67"/>
    <w:rsid w:val="081B2DA8"/>
    <w:rsid w:val="081B2DBF"/>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BE"/>
    <w:rsid w:val="081B47C8"/>
    <w:rsid w:val="081B47D2"/>
    <w:rsid w:val="081B4804"/>
    <w:rsid w:val="081B485C"/>
    <w:rsid w:val="081B488B"/>
    <w:rsid w:val="081B488D"/>
    <w:rsid w:val="081B48A8"/>
    <w:rsid w:val="081B4A06"/>
    <w:rsid w:val="081B4A3F"/>
    <w:rsid w:val="081B4A65"/>
    <w:rsid w:val="081B4AB9"/>
    <w:rsid w:val="081B4B2B"/>
    <w:rsid w:val="081B4C21"/>
    <w:rsid w:val="081B4C23"/>
    <w:rsid w:val="081B4CB8"/>
    <w:rsid w:val="081B4D80"/>
    <w:rsid w:val="081B4D83"/>
    <w:rsid w:val="081B4DCE"/>
    <w:rsid w:val="081B4E50"/>
    <w:rsid w:val="081B4E96"/>
    <w:rsid w:val="081B4EA5"/>
    <w:rsid w:val="081B4EBC"/>
    <w:rsid w:val="081B4EFD"/>
    <w:rsid w:val="081B4F22"/>
    <w:rsid w:val="081B4FF5"/>
    <w:rsid w:val="081B5008"/>
    <w:rsid w:val="081B501E"/>
    <w:rsid w:val="081B5069"/>
    <w:rsid w:val="081B5101"/>
    <w:rsid w:val="081B51DA"/>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CD"/>
    <w:rsid w:val="081B6557"/>
    <w:rsid w:val="081B6605"/>
    <w:rsid w:val="081B66F6"/>
    <w:rsid w:val="081B67B4"/>
    <w:rsid w:val="081B681A"/>
    <w:rsid w:val="081B68E0"/>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9B"/>
    <w:rsid w:val="081B77F0"/>
    <w:rsid w:val="081B7840"/>
    <w:rsid w:val="081B785B"/>
    <w:rsid w:val="081B7907"/>
    <w:rsid w:val="081B794B"/>
    <w:rsid w:val="081B7952"/>
    <w:rsid w:val="081B7998"/>
    <w:rsid w:val="081B7A45"/>
    <w:rsid w:val="081B7A7D"/>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60E"/>
    <w:rsid w:val="081C07F3"/>
    <w:rsid w:val="081C0813"/>
    <w:rsid w:val="081C082B"/>
    <w:rsid w:val="081C083B"/>
    <w:rsid w:val="081C08AF"/>
    <w:rsid w:val="081C09AE"/>
    <w:rsid w:val="081C0A12"/>
    <w:rsid w:val="081C0A68"/>
    <w:rsid w:val="081C0AB8"/>
    <w:rsid w:val="081C0B6B"/>
    <w:rsid w:val="081C0B87"/>
    <w:rsid w:val="081C0BB6"/>
    <w:rsid w:val="081C0C7A"/>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0EA"/>
    <w:rsid w:val="081C11B3"/>
    <w:rsid w:val="081C1236"/>
    <w:rsid w:val="081C124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9FE"/>
    <w:rsid w:val="081C1A6B"/>
    <w:rsid w:val="081C1A80"/>
    <w:rsid w:val="081C1A82"/>
    <w:rsid w:val="081C1AE8"/>
    <w:rsid w:val="081C1B2B"/>
    <w:rsid w:val="081C1B69"/>
    <w:rsid w:val="081C1BC0"/>
    <w:rsid w:val="081C1BD8"/>
    <w:rsid w:val="081C1BF8"/>
    <w:rsid w:val="081C1CDE"/>
    <w:rsid w:val="081C1DB6"/>
    <w:rsid w:val="081C1E4E"/>
    <w:rsid w:val="081C1E62"/>
    <w:rsid w:val="081C1EEA"/>
    <w:rsid w:val="081C1F19"/>
    <w:rsid w:val="081C1F9D"/>
    <w:rsid w:val="081C206F"/>
    <w:rsid w:val="081C2107"/>
    <w:rsid w:val="081C222B"/>
    <w:rsid w:val="081C23FB"/>
    <w:rsid w:val="081C2406"/>
    <w:rsid w:val="081C2409"/>
    <w:rsid w:val="081C2565"/>
    <w:rsid w:val="081C261B"/>
    <w:rsid w:val="081C2657"/>
    <w:rsid w:val="081C26D2"/>
    <w:rsid w:val="081C26D4"/>
    <w:rsid w:val="081C2728"/>
    <w:rsid w:val="081C273D"/>
    <w:rsid w:val="081C282A"/>
    <w:rsid w:val="081C28C2"/>
    <w:rsid w:val="081C2906"/>
    <w:rsid w:val="081C293C"/>
    <w:rsid w:val="081C2961"/>
    <w:rsid w:val="081C29A4"/>
    <w:rsid w:val="081C2B0D"/>
    <w:rsid w:val="081C2C53"/>
    <w:rsid w:val="081C2C88"/>
    <w:rsid w:val="081C2D68"/>
    <w:rsid w:val="081C2EA4"/>
    <w:rsid w:val="081C2EDA"/>
    <w:rsid w:val="081C2EE3"/>
    <w:rsid w:val="081C2F02"/>
    <w:rsid w:val="081C2F84"/>
    <w:rsid w:val="081C3046"/>
    <w:rsid w:val="081C30BB"/>
    <w:rsid w:val="081C3110"/>
    <w:rsid w:val="081C312C"/>
    <w:rsid w:val="081C3135"/>
    <w:rsid w:val="081C313E"/>
    <w:rsid w:val="081C3144"/>
    <w:rsid w:val="081C315A"/>
    <w:rsid w:val="081C3179"/>
    <w:rsid w:val="081C3226"/>
    <w:rsid w:val="081C3348"/>
    <w:rsid w:val="081C3373"/>
    <w:rsid w:val="081C3390"/>
    <w:rsid w:val="081C340C"/>
    <w:rsid w:val="081C35FF"/>
    <w:rsid w:val="081C3607"/>
    <w:rsid w:val="081C3683"/>
    <w:rsid w:val="081C3694"/>
    <w:rsid w:val="081C38AE"/>
    <w:rsid w:val="081C38CB"/>
    <w:rsid w:val="081C3954"/>
    <w:rsid w:val="081C3A5D"/>
    <w:rsid w:val="081C3A84"/>
    <w:rsid w:val="081C3AB6"/>
    <w:rsid w:val="081C3ABE"/>
    <w:rsid w:val="081C3B2D"/>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3"/>
    <w:rsid w:val="081C4AB9"/>
    <w:rsid w:val="081C4B4F"/>
    <w:rsid w:val="081C4BFF"/>
    <w:rsid w:val="081C4D3C"/>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DF2"/>
    <w:rsid w:val="081C5E92"/>
    <w:rsid w:val="081C5FC1"/>
    <w:rsid w:val="081C5FE1"/>
    <w:rsid w:val="081C5FF9"/>
    <w:rsid w:val="081C6084"/>
    <w:rsid w:val="081C611F"/>
    <w:rsid w:val="081C6151"/>
    <w:rsid w:val="081C61A2"/>
    <w:rsid w:val="081C61D5"/>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93"/>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5C"/>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23E"/>
    <w:rsid w:val="081D0375"/>
    <w:rsid w:val="081D0394"/>
    <w:rsid w:val="081D0402"/>
    <w:rsid w:val="081D0451"/>
    <w:rsid w:val="081D0483"/>
    <w:rsid w:val="081D04A1"/>
    <w:rsid w:val="081D0536"/>
    <w:rsid w:val="081D0584"/>
    <w:rsid w:val="081D05A6"/>
    <w:rsid w:val="081D05B3"/>
    <w:rsid w:val="081D061C"/>
    <w:rsid w:val="081D07F8"/>
    <w:rsid w:val="081D08FA"/>
    <w:rsid w:val="081D09B3"/>
    <w:rsid w:val="081D0A1A"/>
    <w:rsid w:val="081D0A90"/>
    <w:rsid w:val="081D0AAF"/>
    <w:rsid w:val="081D0B46"/>
    <w:rsid w:val="081D0B51"/>
    <w:rsid w:val="081D0B76"/>
    <w:rsid w:val="081D0BD7"/>
    <w:rsid w:val="081D0C6F"/>
    <w:rsid w:val="081D0DA1"/>
    <w:rsid w:val="081D0DA3"/>
    <w:rsid w:val="081D0DFB"/>
    <w:rsid w:val="081D0E27"/>
    <w:rsid w:val="081D0E44"/>
    <w:rsid w:val="081D0F03"/>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C8"/>
    <w:rsid w:val="081D1985"/>
    <w:rsid w:val="081D19F5"/>
    <w:rsid w:val="081D1A62"/>
    <w:rsid w:val="081D1A7C"/>
    <w:rsid w:val="081D1AB3"/>
    <w:rsid w:val="081D1C3D"/>
    <w:rsid w:val="081D1C40"/>
    <w:rsid w:val="081D1C44"/>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CE"/>
    <w:rsid w:val="081D2910"/>
    <w:rsid w:val="081D2A04"/>
    <w:rsid w:val="081D2AD8"/>
    <w:rsid w:val="081D2AF1"/>
    <w:rsid w:val="081D2AF3"/>
    <w:rsid w:val="081D2B05"/>
    <w:rsid w:val="081D2B68"/>
    <w:rsid w:val="081D2B7F"/>
    <w:rsid w:val="081D2B8F"/>
    <w:rsid w:val="081D2C39"/>
    <w:rsid w:val="081D2D02"/>
    <w:rsid w:val="081D2D98"/>
    <w:rsid w:val="081D2DB4"/>
    <w:rsid w:val="081D2E00"/>
    <w:rsid w:val="081D2E80"/>
    <w:rsid w:val="081D2F1F"/>
    <w:rsid w:val="081D2F78"/>
    <w:rsid w:val="081D2FA8"/>
    <w:rsid w:val="081D300B"/>
    <w:rsid w:val="081D3116"/>
    <w:rsid w:val="081D3138"/>
    <w:rsid w:val="081D3147"/>
    <w:rsid w:val="081D3182"/>
    <w:rsid w:val="081D3185"/>
    <w:rsid w:val="081D31DD"/>
    <w:rsid w:val="081D31F8"/>
    <w:rsid w:val="081D3304"/>
    <w:rsid w:val="081D3343"/>
    <w:rsid w:val="081D3366"/>
    <w:rsid w:val="081D34BE"/>
    <w:rsid w:val="081D351D"/>
    <w:rsid w:val="081D37A6"/>
    <w:rsid w:val="081D37D5"/>
    <w:rsid w:val="081D37DE"/>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38"/>
    <w:rsid w:val="081D4ABB"/>
    <w:rsid w:val="081D4ADE"/>
    <w:rsid w:val="081D4DF3"/>
    <w:rsid w:val="081D4EA0"/>
    <w:rsid w:val="081D4EB3"/>
    <w:rsid w:val="081D4F1F"/>
    <w:rsid w:val="081D4F87"/>
    <w:rsid w:val="081D4FEA"/>
    <w:rsid w:val="081D5075"/>
    <w:rsid w:val="081D50DC"/>
    <w:rsid w:val="081D51A3"/>
    <w:rsid w:val="081D51B3"/>
    <w:rsid w:val="081D5258"/>
    <w:rsid w:val="081D529F"/>
    <w:rsid w:val="081D52A1"/>
    <w:rsid w:val="081D52B1"/>
    <w:rsid w:val="081D52C8"/>
    <w:rsid w:val="081D5377"/>
    <w:rsid w:val="081D53C3"/>
    <w:rsid w:val="081D54C6"/>
    <w:rsid w:val="081D54FD"/>
    <w:rsid w:val="081D5564"/>
    <w:rsid w:val="081D5645"/>
    <w:rsid w:val="081D56A2"/>
    <w:rsid w:val="081D5734"/>
    <w:rsid w:val="081D58B6"/>
    <w:rsid w:val="081D58F2"/>
    <w:rsid w:val="081D5963"/>
    <w:rsid w:val="081D5966"/>
    <w:rsid w:val="081D596C"/>
    <w:rsid w:val="081D5AA7"/>
    <w:rsid w:val="081D5BD7"/>
    <w:rsid w:val="081D5C38"/>
    <w:rsid w:val="081D5C6E"/>
    <w:rsid w:val="081D5CBB"/>
    <w:rsid w:val="081D5D0B"/>
    <w:rsid w:val="081D5D62"/>
    <w:rsid w:val="081D5EB9"/>
    <w:rsid w:val="081D5FA4"/>
    <w:rsid w:val="081D6112"/>
    <w:rsid w:val="081D6171"/>
    <w:rsid w:val="081D6200"/>
    <w:rsid w:val="081D6250"/>
    <w:rsid w:val="081D627C"/>
    <w:rsid w:val="081D629C"/>
    <w:rsid w:val="081D6322"/>
    <w:rsid w:val="081D63C6"/>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BD7"/>
    <w:rsid w:val="081D6C04"/>
    <w:rsid w:val="081D6C74"/>
    <w:rsid w:val="081D6C9D"/>
    <w:rsid w:val="081D6CE6"/>
    <w:rsid w:val="081D6CE8"/>
    <w:rsid w:val="081D6D2F"/>
    <w:rsid w:val="081D6D35"/>
    <w:rsid w:val="081D6D49"/>
    <w:rsid w:val="081D6D5F"/>
    <w:rsid w:val="081D6F29"/>
    <w:rsid w:val="081D7025"/>
    <w:rsid w:val="081D7166"/>
    <w:rsid w:val="081D7207"/>
    <w:rsid w:val="081D7258"/>
    <w:rsid w:val="081D72D9"/>
    <w:rsid w:val="081D7301"/>
    <w:rsid w:val="081D7369"/>
    <w:rsid w:val="081D73F0"/>
    <w:rsid w:val="081D745E"/>
    <w:rsid w:val="081D7488"/>
    <w:rsid w:val="081D758B"/>
    <w:rsid w:val="081D75BD"/>
    <w:rsid w:val="081D75FB"/>
    <w:rsid w:val="081D7627"/>
    <w:rsid w:val="081D764E"/>
    <w:rsid w:val="081D7650"/>
    <w:rsid w:val="081D765E"/>
    <w:rsid w:val="081D769B"/>
    <w:rsid w:val="081D771E"/>
    <w:rsid w:val="081D77CF"/>
    <w:rsid w:val="081D77E0"/>
    <w:rsid w:val="081D7836"/>
    <w:rsid w:val="081D78E1"/>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6F"/>
    <w:rsid w:val="081E02D9"/>
    <w:rsid w:val="081E031D"/>
    <w:rsid w:val="081E0341"/>
    <w:rsid w:val="081E038B"/>
    <w:rsid w:val="081E039D"/>
    <w:rsid w:val="081E0451"/>
    <w:rsid w:val="081E04E4"/>
    <w:rsid w:val="081E0555"/>
    <w:rsid w:val="081E0737"/>
    <w:rsid w:val="081E07EB"/>
    <w:rsid w:val="081E080B"/>
    <w:rsid w:val="081E0812"/>
    <w:rsid w:val="081E0819"/>
    <w:rsid w:val="081E084D"/>
    <w:rsid w:val="081E0852"/>
    <w:rsid w:val="081E0873"/>
    <w:rsid w:val="081E0900"/>
    <w:rsid w:val="081E0919"/>
    <w:rsid w:val="081E0A0E"/>
    <w:rsid w:val="081E0A86"/>
    <w:rsid w:val="081E0AF0"/>
    <w:rsid w:val="081E0B1A"/>
    <w:rsid w:val="081E0B94"/>
    <w:rsid w:val="081E0BDC"/>
    <w:rsid w:val="081E0BF7"/>
    <w:rsid w:val="081E0C97"/>
    <w:rsid w:val="081E0C9C"/>
    <w:rsid w:val="081E0E0A"/>
    <w:rsid w:val="081E0E3A"/>
    <w:rsid w:val="081E0EE5"/>
    <w:rsid w:val="081E0F6C"/>
    <w:rsid w:val="081E0F6E"/>
    <w:rsid w:val="081E0FD6"/>
    <w:rsid w:val="081E1002"/>
    <w:rsid w:val="081E10C5"/>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2E"/>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46"/>
    <w:rsid w:val="081E229B"/>
    <w:rsid w:val="081E230B"/>
    <w:rsid w:val="081E237B"/>
    <w:rsid w:val="081E25DB"/>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E1"/>
    <w:rsid w:val="081E3063"/>
    <w:rsid w:val="081E319F"/>
    <w:rsid w:val="081E31AE"/>
    <w:rsid w:val="081E32B5"/>
    <w:rsid w:val="081E32E8"/>
    <w:rsid w:val="081E3377"/>
    <w:rsid w:val="081E343A"/>
    <w:rsid w:val="081E3459"/>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02"/>
    <w:rsid w:val="081E3C74"/>
    <w:rsid w:val="081E3CD6"/>
    <w:rsid w:val="081E3D33"/>
    <w:rsid w:val="081E3DEC"/>
    <w:rsid w:val="081E3E15"/>
    <w:rsid w:val="081E3E3E"/>
    <w:rsid w:val="081E3FF1"/>
    <w:rsid w:val="081E402D"/>
    <w:rsid w:val="081E40B0"/>
    <w:rsid w:val="081E40D1"/>
    <w:rsid w:val="081E41A5"/>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53"/>
    <w:rsid w:val="081E4AA6"/>
    <w:rsid w:val="081E4AAC"/>
    <w:rsid w:val="081E4AFA"/>
    <w:rsid w:val="081E4B26"/>
    <w:rsid w:val="081E4B70"/>
    <w:rsid w:val="081E4B74"/>
    <w:rsid w:val="081E4C05"/>
    <w:rsid w:val="081E4D45"/>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806"/>
    <w:rsid w:val="081E5903"/>
    <w:rsid w:val="081E598A"/>
    <w:rsid w:val="081E5A24"/>
    <w:rsid w:val="081E5A73"/>
    <w:rsid w:val="081E5A8B"/>
    <w:rsid w:val="081E5ACF"/>
    <w:rsid w:val="081E5AD1"/>
    <w:rsid w:val="081E5BD2"/>
    <w:rsid w:val="081E5C9D"/>
    <w:rsid w:val="081E5CC9"/>
    <w:rsid w:val="081E5CD5"/>
    <w:rsid w:val="081E5CFF"/>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950"/>
    <w:rsid w:val="081E7A21"/>
    <w:rsid w:val="081E7A26"/>
    <w:rsid w:val="081E7A5D"/>
    <w:rsid w:val="081E7A8A"/>
    <w:rsid w:val="081E7ABF"/>
    <w:rsid w:val="081E7B65"/>
    <w:rsid w:val="081E7B7A"/>
    <w:rsid w:val="081E7BD6"/>
    <w:rsid w:val="081E7CC0"/>
    <w:rsid w:val="081E7D2B"/>
    <w:rsid w:val="081E7DC0"/>
    <w:rsid w:val="081E7DE7"/>
    <w:rsid w:val="081E7E09"/>
    <w:rsid w:val="081E7E2E"/>
    <w:rsid w:val="081E7E54"/>
    <w:rsid w:val="081E7E67"/>
    <w:rsid w:val="081E7ECE"/>
    <w:rsid w:val="081E7F78"/>
    <w:rsid w:val="081F001F"/>
    <w:rsid w:val="081F0085"/>
    <w:rsid w:val="081F00C3"/>
    <w:rsid w:val="081F00EA"/>
    <w:rsid w:val="081F00F5"/>
    <w:rsid w:val="081F0151"/>
    <w:rsid w:val="081F0344"/>
    <w:rsid w:val="081F03CC"/>
    <w:rsid w:val="081F0473"/>
    <w:rsid w:val="081F0491"/>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408"/>
    <w:rsid w:val="081F1486"/>
    <w:rsid w:val="081F1491"/>
    <w:rsid w:val="081F1514"/>
    <w:rsid w:val="081F164A"/>
    <w:rsid w:val="081F1682"/>
    <w:rsid w:val="081F171F"/>
    <w:rsid w:val="081F1738"/>
    <w:rsid w:val="081F1800"/>
    <w:rsid w:val="081F1869"/>
    <w:rsid w:val="081F18B2"/>
    <w:rsid w:val="081F19CF"/>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EC8"/>
    <w:rsid w:val="081F2F9D"/>
    <w:rsid w:val="081F304A"/>
    <w:rsid w:val="081F307F"/>
    <w:rsid w:val="081F30B0"/>
    <w:rsid w:val="081F30F7"/>
    <w:rsid w:val="081F313A"/>
    <w:rsid w:val="081F324C"/>
    <w:rsid w:val="081F32A3"/>
    <w:rsid w:val="081F32E0"/>
    <w:rsid w:val="081F3383"/>
    <w:rsid w:val="081F339C"/>
    <w:rsid w:val="081F339D"/>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DEC"/>
    <w:rsid w:val="081F3E5C"/>
    <w:rsid w:val="081F3E6B"/>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BAB"/>
    <w:rsid w:val="081F4C0F"/>
    <w:rsid w:val="081F4CC8"/>
    <w:rsid w:val="081F4D35"/>
    <w:rsid w:val="081F4E08"/>
    <w:rsid w:val="081F4E1F"/>
    <w:rsid w:val="081F4F04"/>
    <w:rsid w:val="081F4F13"/>
    <w:rsid w:val="081F4F1A"/>
    <w:rsid w:val="081F4FF2"/>
    <w:rsid w:val="081F5123"/>
    <w:rsid w:val="081F5384"/>
    <w:rsid w:val="081F53C6"/>
    <w:rsid w:val="081F53F7"/>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23D"/>
    <w:rsid w:val="081F63B3"/>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D59"/>
    <w:rsid w:val="081F6D78"/>
    <w:rsid w:val="081F6E81"/>
    <w:rsid w:val="081F6ECB"/>
    <w:rsid w:val="081F6F86"/>
    <w:rsid w:val="081F7208"/>
    <w:rsid w:val="081F721C"/>
    <w:rsid w:val="081F74FA"/>
    <w:rsid w:val="081F75D2"/>
    <w:rsid w:val="081F7603"/>
    <w:rsid w:val="081F76D3"/>
    <w:rsid w:val="081F76D6"/>
    <w:rsid w:val="081F76EB"/>
    <w:rsid w:val="081F76F6"/>
    <w:rsid w:val="081F7841"/>
    <w:rsid w:val="081F789B"/>
    <w:rsid w:val="081F78B6"/>
    <w:rsid w:val="081F78EC"/>
    <w:rsid w:val="081F790F"/>
    <w:rsid w:val="081F7A90"/>
    <w:rsid w:val="081F7AAD"/>
    <w:rsid w:val="081F7B21"/>
    <w:rsid w:val="081F7D0F"/>
    <w:rsid w:val="081F7D26"/>
    <w:rsid w:val="081F7D2A"/>
    <w:rsid w:val="081F7D39"/>
    <w:rsid w:val="081F7D40"/>
    <w:rsid w:val="081F7D45"/>
    <w:rsid w:val="081F7D6B"/>
    <w:rsid w:val="081F7DA6"/>
    <w:rsid w:val="081F7E44"/>
    <w:rsid w:val="081F7E59"/>
    <w:rsid w:val="081F7F2B"/>
    <w:rsid w:val="081F7F33"/>
    <w:rsid w:val="081F7F45"/>
    <w:rsid w:val="081F7F76"/>
    <w:rsid w:val="081F7F8F"/>
    <w:rsid w:val="081F7FB2"/>
    <w:rsid w:val="08200019"/>
    <w:rsid w:val="08200020"/>
    <w:rsid w:val="082000E1"/>
    <w:rsid w:val="08200136"/>
    <w:rsid w:val="08200150"/>
    <w:rsid w:val="082001C3"/>
    <w:rsid w:val="08200249"/>
    <w:rsid w:val="08200264"/>
    <w:rsid w:val="0820027D"/>
    <w:rsid w:val="082002DB"/>
    <w:rsid w:val="0820039D"/>
    <w:rsid w:val="082003DB"/>
    <w:rsid w:val="0820045F"/>
    <w:rsid w:val="082004B5"/>
    <w:rsid w:val="082004CB"/>
    <w:rsid w:val="0820064B"/>
    <w:rsid w:val="08200669"/>
    <w:rsid w:val="082006FA"/>
    <w:rsid w:val="082007BE"/>
    <w:rsid w:val="082007FC"/>
    <w:rsid w:val="08200842"/>
    <w:rsid w:val="082008C0"/>
    <w:rsid w:val="082008D8"/>
    <w:rsid w:val="082009FD"/>
    <w:rsid w:val="08200A0A"/>
    <w:rsid w:val="08200BF2"/>
    <w:rsid w:val="08200BFD"/>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57"/>
    <w:rsid w:val="08201281"/>
    <w:rsid w:val="08201299"/>
    <w:rsid w:val="082012D2"/>
    <w:rsid w:val="0820133E"/>
    <w:rsid w:val="0820139E"/>
    <w:rsid w:val="082013DC"/>
    <w:rsid w:val="082013E8"/>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0C"/>
    <w:rsid w:val="08202211"/>
    <w:rsid w:val="0820224D"/>
    <w:rsid w:val="08202300"/>
    <w:rsid w:val="08202353"/>
    <w:rsid w:val="082023B5"/>
    <w:rsid w:val="082023E2"/>
    <w:rsid w:val="08202482"/>
    <w:rsid w:val="082024DD"/>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BF"/>
    <w:rsid w:val="082028C9"/>
    <w:rsid w:val="082028F0"/>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D08"/>
    <w:rsid w:val="08203D0F"/>
    <w:rsid w:val="08203E95"/>
    <w:rsid w:val="08203EBB"/>
    <w:rsid w:val="08203ED1"/>
    <w:rsid w:val="08203F49"/>
    <w:rsid w:val="08203F7A"/>
    <w:rsid w:val="08203FBC"/>
    <w:rsid w:val="08203FC0"/>
    <w:rsid w:val="08203FC4"/>
    <w:rsid w:val="08204036"/>
    <w:rsid w:val="0820408E"/>
    <w:rsid w:val="08204153"/>
    <w:rsid w:val="08204164"/>
    <w:rsid w:val="082041A0"/>
    <w:rsid w:val="082041B6"/>
    <w:rsid w:val="0820421C"/>
    <w:rsid w:val="082042C8"/>
    <w:rsid w:val="082042FB"/>
    <w:rsid w:val="08204323"/>
    <w:rsid w:val="08204335"/>
    <w:rsid w:val="08204338"/>
    <w:rsid w:val="08204380"/>
    <w:rsid w:val="082043B3"/>
    <w:rsid w:val="082043F1"/>
    <w:rsid w:val="08204569"/>
    <w:rsid w:val="0820472C"/>
    <w:rsid w:val="08204799"/>
    <w:rsid w:val="082047BE"/>
    <w:rsid w:val="0820483D"/>
    <w:rsid w:val="0820488C"/>
    <w:rsid w:val="08204894"/>
    <w:rsid w:val="0820496C"/>
    <w:rsid w:val="082049B2"/>
    <w:rsid w:val="082049B4"/>
    <w:rsid w:val="08204A26"/>
    <w:rsid w:val="08204A71"/>
    <w:rsid w:val="08204ACC"/>
    <w:rsid w:val="08204B57"/>
    <w:rsid w:val="08204BA8"/>
    <w:rsid w:val="08204BB4"/>
    <w:rsid w:val="08204BF4"/>
    <w:rsid w:val="08204C0D"/>
    <w:rsid w:val="08204C7A"/>
    <w:rsid w:val="08204CFA"/>
    <w:rsid w:val="08204D8A"/>
    <w:rsid w:val="08204DB1"/>
    <w:rsid w:val="08204E82"/>
    <w:rsid w:val="08204E90"/>
    <w:rsid w:val="08204F52"/>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E0"/>
    <w:rsid w:val="082055FD"/>
    <w:rsid w:val="08205649"/>
    <w:rsid w:val="082057D2"/>
    <w:rsid w:val="082057FA"/>
    <w:rsid w:val="0820587D"/>
    <w:rsid w:val="082059A7"/>
    <w:rsid w:val="08205AAE"/>
    <w:rsid w:val="08205AE5"/>
    <w:rsid w:val="08205B9C"/>
    <w:rsid w:val="08205BBE"/>
    <w:rsid w:val="08205BE8"/>
    <w:rsid w:val="08205C12"/>
    <w:rsid w:val="08205C61"/>
    <w:rsid w:val="08205C67"/>
    <w:rsid w:val="08205DC2"/>
    <w:rsid w:val="08205EBD"/>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E74"/>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6F"/>
    <w:rsid w:val="08207981"/>
    <w:rsid w:val="0820798F"/>
    <w:rsid w:val="08207A6A"/>
    <w:rsid w:val="08207B48"/>
    <w:rsid w:val="08207CA3"/>
    <w:rsid w:val="08207CC1"/>
    <w:rsid w:val="08207CEA"/>
    <w:rsid w:val="08207D30"/>
    <w:rsid w:val="08207E32"/>
    <w:rsid w:val="08207F57"/>
    <w:rsid w:val="08207F6B"/>
    <w:rsid w:val="08207FEE"/>
    <w:rsid w:val="0821001A"/>
    <w:rsid w:val="08210078"/>
    <w:rsid w:val="082100FD"/>
    <w:rsid w:val="08210154"/>
    <w:rsid w:val="08210156"/>
    <w:rsid w:val="08210201"/>
    <w:rsid w:val="0821020B"/>
    <w:rsid w:val="0821027A"/>
    <w:rsid w:val="0821028C"/>
    <w:rsid w:val="082102BF"/>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9A"/>
    <w:rsid w:val="08210CCA"/>
    <w:rsid w:val="08210CDD"/>
    <w:rsid w:val="08210DCF"/>
    <w:rsid w:val="08210DD5"/>
    <w:rsid w:val="08210E77"/>
    <w:rsid w:val="08210FF1"/>
    <w:rsid w:val="0821113D"/>
    <w:rsid w:val="08211204"/>
    <w:rsid w:val="0821126C"/>
    <w:rsid w:val="08211329"/>
    <w:rsid w:val="08211362"/>
    <w:rsid w:val="082113A5"/>
    <w:rsid w:val="082113FD"/>
    <w:rsid w:val="0821141A"/>
    <w:rsid w:val="0821142A"/>
    <w:rsid w:val="0821142C"/>
    <w:rsid w:val="082114BD"/>
    <w:rsid w:val="0821155B"/>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B61"/>
    <w:rsid w:val="08211BDC"/>
    <w:rsid w:val="08211CCA"/>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1"/>
    <w:rsid w:val="08212774"/>
    <w:rsid w:val="082127C4"/>
    <w:rsid w:val="082128D4"/>
    <w:rsid w:val="0821290B"/>
    <w:rsid w:val="082129C0"/>
    <w:rsid w:val="082129F2"/>
    <w:rsid w:val="08212ABD"/>
    <w:rsid w:val="08212B23"/>
    <w:rsid w:val="08212B48"/>
    <w:rsid w:val="08212C43"/>
    <w:rsid w:val="08212C7F"/>
    <w:rsid w:val="08212CB6"/>
    <w:rsid w:val="08212CF7"/>
    <w:rsid w:val="08212D28"/>
    <w:rsid w:val="08212D7D"/>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36C"/>
    <w:rsid w:val="0821349B"/>
    <w:rsid w:val="082134D7"/>
    <w:rsid w:val="08213501"/>
    <w:rsid w:val="08213572"/>
    <w:rsid w:val="082135B6"/>
    <w:rsid w:val="082135B9"/>
    <w:rsid w:val="0821361D"/>
    <w:rsid w:val="08213626"/>
    <w:rsid w:val="0821365C"/>
    <w:rsid w:val="082136FB"/>
    <w:rsid w:val="08213709"/>
    <w:rsid w:val="08213A2B"/>
    <w:rsid w:val="08213AEF"/>
    <w:rsid w:val="08213B3E"/>
    <w:rsid w:val="08213B59"/>
    <w:rsid w:val="08213C67"/>
    <w:rsid w:val="08213D00"/>
    <w:rsid w:val="08213E0A"/>
    <w:rsid w:val="08213E24"/>
    <w:rsid w:val="08213F0F"/>
    <w:rsid w:val="08213F40"/>
    <w:rsid w:val="08213F5E"/>
    <w:rsid w:val="08213FE5"/>
    <w:rsid w:val="08214057"/>
    <w:rsid w:val="0821411E"/>
    <w:rsid w:val="08214189"/>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90D"/>
    <w:rsid w:val="08214933"/>
    <w:rsid w:val="082149E7"/>
    <w:rsid w:val="08214A5B"/>
    <w:rsid w:val="08214A98"/>
    <w:rsid w:val="08214ABA"/>
    <w:rsid w:val="08214BA5"/>
    <w:rsid w:val="08214BDE"/>
    <w:rsid w:val="08214BF4"/>
    <w:rsid w:val="08214C05"/>
    <w:rsid w:val="08214C0E"/>
    <w:rsid w:val="08214C51"/>
    <w:rsid w:val="08214D6B"/>
    <w:rsid w:val="08214D79"/>
    <w:rsid w:val="08214DB4"/>
    <w:rsid w:val="08214DE3"/>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90"/>
    <w:rsid w:val="082155D4"/>
    <w:rsid w:val="08215600"/>
    <w:rsid w:val="08215619"/>
    <w:rsid w:val="082156AD"/>
    <w:rsid w:val="082156B7"/>
    <w:rsid w:val="08215775"/>
    <w:rsid w:val="08215782"/>
    <w:rsid w:val="0821578E"/>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BE"/>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457"/>
    <w:rsid w:val="082175EF"/>
    <w:rsid w:val="08217794"/>
    <w:rsid w:val="08217804"/>
    <w:rsid w:val="08217865"/>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A8"/>
    <w:rsid w:val="082202FB"/>
    <w:rsid w:val="0822040C"/>
    <w:rsid w:val="0822040E"/>
    <w:rsid w:val="082204D3"/>
    <w:rsid w:val="0822054B"/>
    <w:rsid w:val="0822071E"/>
    <w:rsid w:val="082207DE"/>
    <w:rsid w:val="0822081D"/>
    <w:rsid w:val="08220840"/>
    <w:rsid w:val="08220864"/>
    <w:rsid w:val="082208DA"/>
    <w:rsid w:val="08220906"/>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02"/>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54"/>
    <w:rsid w:val="08221B6A"/>
    <w:rsid w:val="08221C81"/>
    <w:rsid w:val="08221CCA"/>
    <w:rsid w:val="08221CDA"/>
    <w:rsid w:val="08221DD7"/>
    <w:rsid w:val="08221E3A"/>
    <w:rsid w:val="08221E40"/>
    <w:rsid w:val="08221EA0"/>
    <w:rsid w:val="08221FC7"/>
    <w:rsid w:val="082220B5"/>
    <w:rsid w:val="082220F2"/>
    <w:rsid w:val="0822223C"/>
    <w:rsid w:val="082222FD"/>
    <w:rsid w:val="082223A3"/>
    <w:rsid w:val="08222403"/>
    <w:rsid w:val="0822242A"/>
    <w:rsid w:val="0822248E"/>
    <w:rsid w:val="082224B3"/>
    <w:rsid w:val="082224CD"/>
    <w:rsid w:val="082224F2"/>
    <w:rsid w:val="082225C0"/>
    <w:rsid w:val="082225DD"/>
    <w:rsid w:val="082225EB"/>
    <w:rsid w:val="0822263E"/>
    <w:rsid w:val="08222646"/>
    <w:rsid w:val="08222756"/>
    <w:rsid w:val="08222785"/>
    <w:rsid w:val="082227A4"/>
    <w:rsid w:val="08222884"/>
    <w:rsid w:val="08222904"/>
    <w:rsid w:val="08222950"/>
    <w:rsid w:val="08222956"/>
    <w:rsid w:val="08222997"/>
    <w:rsid w:val="082229D7"/>
    <w:rsid w:val="08222A9E"/>
    <w:rsid w:val="08222AD6"/>
    <w:rsid w:val="08222B65"/>
    <w:rsid w:val="08222BB2"/>
    <w:rsid w:val="08222D05"/>
    <w:rsid w:val="08222E6D"/>
    <w:rsid w:val="08222EFA"/>
    <w:rsid w:val="08223093"/>
    <w:rsid w:val="08223117"/>
    <w:rsid w:val="0822311B"/>
    <w:rsid w:val="0822312D"/>
    <w:rsid w:val="08223141"/>
    <w:rsid w:val="0822317F"/>
    <w:rsid w:val="08223244"/>
    <w:rsid w:val="08223270"/>
    <w:rsid w:val="08223286"/>
    <w:rsid w:val="08223352"/>
    <w:rsid w:val="082233DA"/>
    <w:rsid w:val="0822344A"/>
    <w:rsid w:val="0822345D"/>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F0F"/>
    <w:rsid w:val="08223F4E"/>
    <w:rsid w:val="08223FB4"/>
    <w:rsid w:val="08224033"/>
    <w:rsid w:val="0822403E"/>
    <w:rsid w:val="08224058"/>
    <w:rsid w:val="082240D3"/>
    <w:rsid w:val="08224113"/>
    <w:rsid w:val="0822413F"/>
    <w:rsid w:val="08224173"/>
    <w:rsid w:val="0822417E"/>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2B3"/>
    <w:rsid w:val="0822530B"/>
    <w:rsid w:val="08225332"/>
    <w:rsid w:val="08225419"/>
    <w:rsid w:val="0822543A"/>
    <w:rsid w:val="082254D6"/>
    <w:rsid w:val="082254F6"/>
    <w:rsid w:val="082255DB"/>
    <w:rsid w:val="082256A2"/>
    <w:rsid w:val="082256AB"/>
    <w:rsid w:val="082256D1"/>
    <w:rsid w:val="08225735"/>
    <w:rsid w:val="082257AF"/>
    <w:rsid w:val="082257D9"/>
    <w:rsid w:val="082257EA"/>
    <w:rsid w:val="082258A9"/>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E9"/>
    <w:rsid w:val="08225DFA"/>
    <w:rsid w:val="08225E28"/>
    <w:rsid w:val="08225E8F"/>
    <w:rsid w:val="08225ECF"/>
    <w:rsid w:val="08225F54"/>
    <w:rsid w:val="08225FDE"/>
    <w:rsid w:val="08225FE7"/>
    <w:rsid w:val="082260D4"/>
    <w:rsid w:val="082260FE"/>
    <w:rsid w:val="082261A2"/>
    <w:rsid w:val="082261D4"/>
    <w:rsid w:val="08226268"/>
    <w:rsid w:val="082262CC"/>
    <w:rsid w:val="082262CE"/>
    <w:rsid w:val="082262D5"/>
    <w:rsid w:val="082263CA"/>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A22"/>
    <w:rsid w:val="08227A38"/>
    <w:rsid w:val="08227B50"/>
    <w:rsid w:val="08227B8C"/>
    <w:rsid w:val="08227BAD"/>
    <w:rsid w:val="08227BAF"/>
    <w:rsid w:val="08227D0B"/>
    <w:rsid w:val="08227E0A"/>
    <w:rsid w:val="08227E29"/>
    <w:rsid w:val="08227E48"/>
    <w:rsid w:val="08227E6D"/>
    <w:rsid w:val="08227E82"/>
    <w:rsid w:val="08227E89"/>
    <w:rsid w:val="08227EE6"/>
    <w:rsid w:val="08227EF7"/>
    <w:rsid w:val="08227F31"/>
    <w:rsid w:val="08227F35"/>
    <w:rsid w:val="08227F3E"/>
    <w:rsid w:val="08227FA7"/>
    <w:rsid w:val="08230066"/>
    <w:rsid w:val="08230092"/>
    <w:rsid w:val="082300B8"/>
    <w:rsid w:val="082300D9"/>
    <w:rsid w:val="08230333"/>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E1B"/>
    <w:rsid w:val="08230E51"/>
    <w:rsid w:val="08230E55"/>
    <w:rsid w:val="08230F44"/>
    <w:rsid w:val="08230F81"/>
    <w:rsid w:val="08230F8F"/>
    <w:rsid w:val="08230FC4"/>
    <w:rsid w:val="08230FF6"/>
    <w:rsid w:val="08231114"/>
    <w:rsid w:val="0823114C"/>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40"/>
    <w:rsid w:val="08231D48"/>
    <w:rsid w:val="08231D4E"/>
    <w:rsid w:val="08231E4D"/>
    <w:rsid w:val="08231E68"/>
    <w:rsid w:val="08231E9A"/>
    <w:rsid w:val="08231EB4"/>
    <w:rsid w:val="08231FF1"/>
    <w:rsid w:val="0823206C"/>
    <w:rsid w:val="082321CC"/>
    <w:rsid w:val="082322E9"/>
    <w:rsid w:val="0823233D"/>
    <w:rsid w:val="0823234C"/>
    <w:rsid w:val="082323E2"/>
    <w:rsid w:val="08232582"/>
    <w:rsid w:val="08232599"/>
    <w:rsid w:val="082325AD"/>
    <w:rsid w:val="082325C6"/>
    <w:rsid w:val="08232620"/>
    <w:rsid w:val="08232638"/>
    <w:rsid w:val="082326E4"/>
    <w:rsid w:val="08232799"/>
    <w:rsid w:val="0823279B"/>
    <w:rsid w:val="082327DF"/>
    <w:rsid w:val="082328CE"/>
    <w:rsid w:val="08232B51"/>
    <w:rsid w:val="08232C15"/>
    <w:rsid w:val="08232C53"/>
    <w:rsid w:val="08232D9B"/>
    <w:rsid w:val="08232DB9"/>
    <w:rsid w:val="08232DF8"/>
    <w:rsid w:val="08232EA8"/>
    <w:rsid w:val="08232F7C"/>
    <w:rsid w:val="08232F85"/>
    <w:rsid w:val="08233110"/>
    <w:rsid w:val="0823312F"/>
    <w:rsid w:val="08233148"/>
    <w:rsid w:val="08233183"/>
    <w:rsid w:val="0823321F"/>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AF2"/>
    <w:rsid w:val="08233B7B"/>
    <w:rsid w:val="08233BB2"/>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96"/>
    <w:rsid w:val="082344AC"/>
    <w:rsid w:val="082344C0"/>
    <w:rsid w:val="082344ED"/>
    <w:rsid w:val="0823451B"/>
    <w:rsid w:val="08234601"/>
    <w:rsid w:val="0823463C"/>
    <w:rsid w:val="08234727"/>
    <w:rsid w:val="082347C4"/>
    <w:rsid w:val="082347D7"/>
    <w:rsid w:val="082347EA"/>
    <w:rsid w:val="08234813"/>
    <w:rsid w:val="0823485A"/>
    <w:rsid w:val="0823488D"/>
    <w:rsid w:val="082348BB"/>
    <w:rsid w:val="082348F5"/>
    <w:rsid w:val="08234909"/>
    <w:rsid w:val="08234948"/>
    <w:rsid w:val="0823496D"/>
    <w:rsid w:val="0823498D"/>
    <w:rsid w:val="082349C1"/>
    <w:rsid w:val="08234AEF"/>
    <w:rsid w:val="08234C6D"/>
    <w:rsid w:val="08234CA3"/>
    <w:rsid w:val="08234CDA"/>
    <w:rsid w:val="08234D9F"/>
    <w:rsid w:val="08234FE8"/>
    <w:rsid w:val="08235018"/>
    <w:rsid w:val="08235019"/>
    <w:rsid w:val="0823510F"/>
    <w:rsid w:val="0823513B"/>
    <w:rsid w:val="0823516A"/>
    <w:rsid w:val="0823516C"/>
    <w:rsid w:val="082352C9"/>
    <w:rsid w:val="08235333"/>
    <w:rsid w:val="0823538D"/>
    <w:rsid w:val="082353D6"/>
    <w:rsid w:val="08235405"/>
    <w:rsid w:val="0823552C"/>
    <w:rsid w:val="08235589"/>
    <w:rsid w:val="08235628"/>
    <w:rsid w:val="0823566E"/>
    <w:rsid w:val="0823576C"/>
    <w:rsid w:val="082357CD"/>
    <w:rsid w:val="08235820"/>
    <w:rsid w:val="082358D6"/>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57"/>
    <w:rsid w:val="0823609E"/>
    <w:rsid w:val="08236133"/>
    <w:rsid w:val="0823615B"/>
    <w:rsid w:val="082361A1"/>
    <w:rsid w:val="082361A3"/>
    <w:rsid w:val="082361A5"/>
    <w:rsid w:val="082361BA"/>
    <w:rsid w:val="082361E9"/>
    <w:rsid w:val="08236260"/>
    <w:rsid w:val="08236286"/>
    <w:rsid w:val="08236403"/>
    <w:rsid w:val="0823646E"/>
    <w:rsid w:val="082364D2"/>
    <w:rsid w:val="08236506"/>
    <w:rsid w:val="08236532"/>
    <w:rsid w:val="082365A0"/>
    <w:rsid w:val="082366C5"/>
    <w:rsid w:val="082366DD"/>
    <w:rsid w:val="082366EF"/>
    <w:rsid w:val="082369B3"/>
    <w:rsid w:val="08236A76"/>
    <w:rsid w:val="08236AAC"/>
    <w:rsid w:val="08236AC9"/>
    <w:rsid w:val="08236B0A"/>
    <w:rsid w:val="08236B8A"/>
    <w:rsid w:val="08236BDB"/>
    <w:rsid w:val="08236C26"/>
    <w:rsid w:val="08236C2B"/>
    <w:rsid w:val="08236E04"/>
    <w:rsid w:val="08236E84"/>
    <w:rsid w:val="08236F8F"/>
    <w:rsid w:val="08236FA1"/>
    <w:rsid w:val="08237035"/>
    <w:rsid w:val="0823704E"/>
    <w:rsid w:val="082370D6"/>
    <w:rsid w:val="082370F1"/>
    <w:rsid w:val="08237270"/>
    <w:rsid w:val="082372E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5A"/>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6B4"/>
    <w:rsid w:val="08240816"/>
    <w:rsid w:val="08240838"/>
    <w:rsid w:val="0824085A"/>
    <w:rsid w:val="08240879"/>
    <w:rsid w:val="082408B7"/>
    <w:rsid w:val="0824091F"/>
    <w:rsid w:val="082409BE"/>
    <w:rsid w:val="082409DB"/>
    <w:rsid w:val="08240A2E"/>
    <w:rsid w:val="08240B20"/>
    <w:rsid w:val="08240BE6"/>
    <w:rsid w:val="08240C3C"/>
    <w:rsid w:val="08240D26"/>
    <w:rsid w:val="08240D3E"/>
    <w:rsid w:val="08240D9F"/>
    <w:rsid w:val="08240DAF"/>
    <w:rsid w:val="08240DD3"/>
    <w:rsid w:val="08240E1C"/>
    <w:rsid w:val="08240E78"/>
    <w:rsid w:val="08240ED3"/>
    <w:rsid w:val="08240F21"/>
    <w:rsid w:val="08240F49"/>
    <w:rsid w:val="0824100C"/>
    <w:rsid w:val="08241015"/>
    <w:rsid w:val="08241091"/>
    <w:rsid w:val="0824113D"/>
    <w:rsid w:val="0824116F"/>
    <w:rsid w:val="082411CB"/>
    <w:rsid w:val="082411DB"/>
    <w:rsid w:val="08241327"/>
    <w:rsid w:val="0824140D"/>
    <w:rsid w:val="082414AC"/>
    <w:rsid w:val="08241526"/>
    <w:rsid w:val="08241581"/>
    <w:rsid w:val="0824161C"/>
    <w:rsid w:val="08241645"/>
    <w:rsid w:val="08241671"/>
    <w:rsid w:val="082416F0"/>
    <w:rsid w:val="08241773"/>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E63"/>
    <w:rsid w:val="08242EF2"/>
    <w:rsid w:val="08242EF4"/>
    <w:rsid w:val="08242F19"/>
    <w:rsid w:val="08242F27"/>
    <w:rsid w:val="08242F7F"/>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5C"/>
    <w:rsid w:val="08243A9D"/>
    <w:rsid w:val="08243B27"/>
    <w:rsid w:val="08243C9F"/>
    <w:rsid w:val="08243CA7"/>
    <w:rsid w:val="08243CC8"/>
    <w:rsid w:val="08243CDE"/>
    <w:rsid w:val="08243D75"/>
    <w:rsid w:val="08243D89"/>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C"/>
    <w:rsid w:val="08244FAB"/>
    <w:rsid w:val="08245017"/>
    <w:rsid w:val="0824519D"/>
    <w:rsid w:val="082451C4"/>
    <w:rsid w:val="0824520E"/>
    <w:rsid w:val="08245248"/>
    <w:rsid w:val="082452BA"/>
    <w:rsid w:val="082452EB"/>
    <w:rsid w:val="082453D7"/>
    <w:rsid w:val="082454F3"/>
    <w:rsid w:val="08245534"/>
    <w:rsid w:val="08245576"/>
    <w:rsid w:val="08245699"/>
    <w:rsid w:val="082456DC"/>
    <w:rsid w:val="0824572D"/>
    <w:rsid w:val="08245775"/>
    <w:rsid w:val="0824582A"/>
    <w:rsid w:val="0824588E"/>
    <w:rsid w:val="082458DB"/>
    <w:rsid w:val="082458F8"/>
    <w:rsid w:val="08245914"/>
    <w:rsid w:val="08245956"/>
    <w:rsid w:val="082459FA"/>
    <w:rsid w:val="08245A11"/>
    <w:rsid w:val="08245B1F"/>
    <w:rsid w:val="08245B60"/>
    <w:rsid w:val="08245B62"/>
    <w:rsid w:val="08245B8D"/>
    <w:rsid w:val="08245B9C"/>
    <w:rsid w:val="08245BBA"/>
    <w:rsid w:val="08245BFD"/>
    <w:rsid w:val="08245C5E"/>
    <w:rsid w:val="08245D39"/>
    <w:rsid w:val="08245DDE"/>
    <w:rsid w:val="08245E28"/>
    <w:rsid w:val="08245FFB"/>
    <w:rsid w:val="082460E8"/>
    <w:rsid w:val="0824610E"/>
    <w:rsid w:val="08246210"/>
    <w:rsid w:val="08246239"/>
    <w:rsid w:val="0824630C"/>
    <w:rsid w:val="082463D9"/>
    <w:rsid w:val="082463FA"/>
    <w:rsid w:val="08246441"/>
    <w:rsid w:val="082464DD"/>
    <w:rsid w:val="082464FD"/>
    <w:rsid w:val="08246575"/>
    <w:rsid w:val="0824657B"/>
    <w:rsid w:val="08246596"/>
    <w:rsid w:val="0824666A"/>
    <w:rsid w:val="082466F4"/>
    <w:rsid w:val="082468AF"/>
    <w:rsid w:val="08246933"/>
    <w:rsid w:val="0824697A"/>
    <w:rsid w:val="08246A22"/>
    <w:rsid w:val="08246A4A"/>
    <w:rsid w:val="08246AE3"/>
    <w:rsid w:val="08246AF9"/>
    <w:rsid w:val="08246B3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5A"/>
    <w:rsid w:val="082476D7"/>
    <w:rsid w:val="08247737"/>
    <w:rsid w:val="0824784C"/>
    <w:rsid w:val="0824785F"/>
    <w:rsid w:val="082478CC"/>
    <w:rsid w:val="0824791F"/>
    <w:rsid w:val="08247968"/>
    <w:rsid w:val="08247A80"/>
    <w:rsid w:val="08247B05"/>
    <w:rsid w:val="08247B96"/>
    <w:rsid w:val="08247BD2"/>
    <w:rsid w:val="08247C92"/>
    <w:rsid w:val="08247DEA"/>
    <w:rsid w:val="08247E3E"/>
    <w:rsid w:val="08247E73"/>
    <w:rsid w:val="08247F64"/>
    <w:rsid w:val="08247F69"/>
    <w:rsid w:val="08247F7A"/>
    <w:rsid w:val="08247F7E"/>
    <w:rsid w:val="08247FFC"/>
    <w:rsid w:val="08247FFE"/>
    <w:rsid w:val="08250133"/>
    <w:rsid w:val="0825013C"/>
    <w:rsid w:val="082501C4"/>
    <w:rsid w:val="082501F5"/>
    <w:rsid w:val="08250232"/>
    <w:rsid w:val="08250255"/>
    <w:rsid w:val="08250354"/>
    <w:rsid w:val="08250362"/>
    <w:rsid w:val="082506E5"/>
    <w:rsid w:val="082507DD"/>
    <w:rsid w:val="082507EB"/>
    <w:rsid w:val="082507FA"/>
    <w:rsid w:val="08250804"/>
    <w:rsid w:val="08250A6B"/>
    <w:rsid w:val="08250B18"/>
    <w:rsid w:val="08250B83"/>
    <w:rsid w:val="08250BE7"/>
    <w:rsid w:val="08250D1D"/>
    <w:rsid w:val="08250E65"/>
    <w:rsid w:val="08250ED0"/>
    <w:rsid w:val="08250F40"/>
    <w:rsid w:val="0825106C"/>
    <w:rsid w:val="082511E9"/>
    <w:rsid w:val="08251211"/>
    <w:rsid w:val="0825125A"/>
    <w:rsid w:val="0825128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8DB"/>
    <w:rsid w:val="0825198B"/>
    <w:rsid w:val="082519B8"/>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0EF"/>
    <w:rsid w:val="08252105"/>
    <w:rsid w:val="08252161"/>
    <w:rsid w:val="08252178"/>
    <w:rsid w:val="08252195"/>
    <w:rsid w:val="082521C5"/>
    <w:rsid w:val="08252219"/>
    <w:rsid w:val="08252249"/>
    <w:rsid w:val="082522A3"/>
    <w:rsid w:val="082522BD"/>
    <w:rsid w:val="082522D7"/>
    <w:rsid w:val="082522E8"/>
    <w:rsid w:val="082524F3"/>
    <w:rsid w:val="08252592"/>
    <w:rsid w:val="0825262C"/>
    <w:rsid w:val="082526E0"/>
    <w:rsid w:val="08252756"/>
    <w:rsid w:val="0825279E"/>
    <w:rsid w:val="082527A7"/>
    <w:rsid w:val="08252841"/>
    <w:rsid w:val="08252886"/>
    <w:rsid w:val="0825297E"/>
    <w:rsid w:val="08252A33"/>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55"/>
    <w:rsid w:val="08253767"/>
    <w:rsid w:val="082537D9"/>
    <w:rsid w:val="0825382F"/>
    <w:rsid w:val="08253951"/>
    <w:rsid w:val="0825396F"/>
    <w:rsid w:val="08253A79"/>
    <w:rsid w:val="08253B01"/>
    <w:rsid w:val="08253B97"/>
    <w:rsid w:val="08253C50"/>
    <w:rsid w:val="08253CB8"/>
    <w:rsid w:val="08253D9F"/>
    <w:rsid w:val="08253ECA"/>
    <w:rsid w:val="08253F87"/>
    <w:rsid w:val="08253FA6"/>
    <w:rsid w:val="08253FB9"/>
    <w:rsid w:val="08253FDB"/>
    <w:rsid w:val="08253FFD"/>
    <w:rsid w:val="0825403E"/>
    <w:rsid w:val="08254138"/>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B0"/>
    <w:rsid w:val="082548B6"/>
    <w:rsid w:val="082548CC"/>
    <w:rsid w:val="082549BD"/>
    <w:rsid w:val="08254A05"/>
    <w:rsid w:val="08254A34"/>
    <w:rsid w:val="08254AB1"/>
    <w:rsid w:val="08254AC5"/>
    <w:rsid w:val="08254B18"/>
    <w:rsid w:val="08254BEA"/>
    <w:rsid w:val="08254C19"/>
    <w:rsid w:val="08254E73"/>
    <w:rsid w:val="08254F0B"/>
    <w:rsid w:val="0825513B"/>
    <w:rsid w:val="08255238"/>
    <w:rsid w:val="082552C7"/>
    <w:rsid w:val="082552D2"/>
    <w:rsid w:val="082552EE"/>
    <w:rsid w:val="082552F5"/>
    <w:rsid w:val="0825530A"/>
    <w:rsid w:val="08255339"/>
    <w:rsid w:val="08255363"/>
    <w:rsid w:val="082553CD"/>
    <w:rsid w:val="082553DB"/>
    <w:rsid w:val="08255511"/>
    <w:rsid w:val="0825552E"/>
    <w:rsid w:val="0825555D"/>
    <w:rsid w:val="0825561D"/>
    <w:rsid w:val="08255682"/>
    <w:rsid w:val="08255685"/>
    <w:rsid w:val="0825568A"/>
    <w:rsid w:val="08255827"/>
    <w:rsid w:val="08255844"/>
    <w:rsid w:val="08255890"/>
    <w:rsid w:val="08255892"/>
    <w:rsid w:val="08255922"/>
    <w:rsid w:val="0825592C"/>
    <w:rsid w:val="08255AB6"/>
    <w:rsid w:val="08255B68"/>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CBB"/>
    <w:rsid w:val="08256D99"/>
    <w:rsid w:val="08256DBF"/>
    <w:rsid w:val="08256DE0"/>
    <w:rsid w:val="08256EC1"/>
    <w:rsid w:val="08256F4A"/>
    <w:rsid w:val="08256FA5"/>
    <w:rsid w:val="08256FAE"/>
    <w:rsid w:val="08256FB1"/>
    <w:rsid w:val="08257034"/>
    <w:rsid w:val="0825710F"/>
    <w:rsid w:val="082571A5"/>
    <w:rsid w:val="08257238"/>
    <w:rsid w:val="0825731F"/>
    <w:rsid w:val="08257321"/>
    <w:rsid w:val="0825732E"/>
    <w:rsid w:val="0825743E"/>
    <w:rsid w:val="08257492"/>
    <w:rsid w:val="082574C1"/>
    <w:rsid w:val="082575A4"/>
    <w:rsid w:val="082575AD"/>
    <w:rsid w:val="082575D3"/>
    <w:rsid w:val="08257639"/>
    <w:rsid w:val="082576E8"/>
    <w:rsid w:val="082576FC"/>
    <w:rsid w:val="0825770B"/>
    <w:rsid w:val="08257748"/>
    <w:rsid w:val="0825775E"/>
    <w:rsid w:val="08257770"/>
    <w:rsid w:val="08257868"/>
    <w:rsid w:val="082578D2"/>
    <w:rsid w:val="082578FE"/>
    <w:rsid w:val="0825790B"/>
    <w:rsid w:val="0825795E"/>
    <w:rsid w:val="082579E0"/>
    <w:rsid w:val="082579FE"/>
    <w:rsid w:val="082579FF"/>
    <w:rsid w:val="08257A5F"/>
    <w:rsid w:val="08257A80"/>
    <w:rsid w:val="08257A90"/>
    <w:rsid w:val="08257AA8"/>
    <w:rsid w:val="08257AB6"/>
    <w:rsid w:val="08257B61"/>
    <w:rsid w:val="08257BF5"/>
    <w:rsid w:val="08257BF7"/>
    <w:rsid w:val="08257CBC"/>
    <w:rsid w:val="08257D4B"/>
    <w:rsid w:val="08257DDF"/>
    <w:rsid w:val="08257E26"/>
    <w:rsid w:val="08257E65"/>
    <w:rsid w:val="08257E6A"/>
    <w:rsid w:val="08257FC3"/>
    <w:rsid w:val="0826007A"/>
    <w:rsid w:val="082600DE"/>
    <w:rsid w:val="08260129"/>
    <w:rsid w:val="0826020E"/>
    <w:rsid w:val="0826036B"/>
    <w:rsid w:val="082603C7"/>
    <w:rsid w:val="0826047A"/>
    <w:rsid w:val="0826047C"/>
    <w:rsid w:val="082604BC"/>
    <w:rsid w:val="08260545"/>
    <w:rsid w:val="08260679"/>
    <w:rsid w:val="0826067B"/>
    <w:rsid w:val="082606A6"/>
    <w:rsid w:val="0826072F"/>
    <w:rsid w:val="0826081C"/>
    <w:rsid w:val="08260A67"/>
    <w:rsid w:val="08260AC2"/>
    <w:rsid w:val="08260ADB"/>
    <w:rsid w:val="08260B7F"/>
    <w:rsid w:val="08260C17"/>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3A"/>
    <w:rsid w:val="082621E0"/>
    <w:rsid w:val="082621FB"/>
    <w:rsid w:val="08262204"/>
    <w:rsid w:val="08262275"/>
    <w:rsid w:val="082622C2"/>
    <w:rsid w:val="08262392"/>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EAD"/>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4D"/>
    <w:rsid w:val="0826375C"/>
    <w:rsid w:val="082637BA"/>
    <w:rsid w:val="082637D8"/>
    <w:rsid w:val="0826381B"/>
    <w:rsid w:val="0826386B"/>
    <w:rsid w:val="08263892"/>
    <w:rsid w:val="082638AD"/>
    <w:rsid w:val="0826390B"/>
    <w:rsid w:val="08263AEF"/>
    <w:rsid w:val="08263B29"/>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8BF"/>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ED"/>
    <w:rsid w:val="08265DF9"/>
    <w:rsid w:val="08265E24"/>
    <w:rsid w:val="08265EC8"/>
    <w:rsid w:val="08265F41"/>
    <w:rsid w:val="08265F48"/>
    <w:rsid w:val="08265F54"/>
    <w:rsid w:val="08265F62"/>
    <w:rsid w:val="08265F88"/>
    <w:rsid w:val="08265FE5"/>
    <w:rsid w:val="082661E5"/>
    <w:rsid w:val="082661FD"/>
    <w:rsid w:val="08266208"/>
    <w:rsid w:val="0826622B"/>
    <w:rsid w:val="082662CE"/>
    <w:rsid w:val="0826646C"/>
    <w:rsid w:val="082664A5"/>
    <w:rsid w:val="082664D0"/>
    <w:rsid w:val="082664EC"/>
    <w:rsid w:val="0826654E"/>
    <w:rsid w:val="0826661B"/>
    <w:rsid w:val="0826662B"/>
    <w:rsid w:val="0826662E"/>
    <w:rsid w:val="082666DE"/>
    <w:rsid w:val="08266702"/>
    <w:rsid w:val="08266799"/>
    <w:rsid w:val="082667DC"/>
    <w:rsid w:val="0826693A"/>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338"/>
    <w:rsid w:val="0826734D"/>
    <w:rsid w:val="0826738E"/>
    <w:rsid w:val="082673A9"/>
    <w:rsid w:val="082673BC"/>
    <w:rsid w:val="08267495"/>
    <w:rsid w:val="082674D6"/>
    <w:rsid w:val="08267507"/>
    <w:rsid w:val="08267535"/>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B9"/>
    <w:rsid w:val="08267F09"/>
    <w:rsid w:val="08267F46"/>
    <w:rsid w:val="08267F69"/>
    <w:rsid w:val="08267F9C"/>
    <w:rsid w:val="08270028"/>
    <w:rsid w:val="08270070"/>
    <w:rsid w:val="082700B1"/>
    <w:rsid w:val="0827014D"/>
    <w:rsid w:val="08270197"/>
    <w:rsid w:val="082701E5"/>
    <w:rsid w:val="082702E0"/>
    <w:rsid w:val="08270345"/>
    <w:rsid w:val="082703A2"/>
    <w:rsid w:val="082703BD"/>
    <w:rsid w:val="082703D0"/>
    <w:rsid w:val="08270548"/>
    <w:rsid w:val="0827058E"/>
    <w:rsid w:val="082705AB"/>
    <w:rsid w:val="082705CA"/>
    <w:rsid w:val="082705DA"/>
    <w:rsid w:val="082705F9"/>
    <w:rsid w:val="08270675"/>
    <w:rsid w:val="0827067E"/>
    <w:rsid w:val="082706BA"/>
    <w:rsid w:val="08270785"/>
    <w:rsid w:val="0827088B"/>
    <w:rsid w:val="08270935"/>
    <w:rsid w:val="082709C9"/>
    <w:rsid w:val="08270A80"/>
    <w:rsid w:val="08270A98"/>
    <w:rsid w:val="08270AD0"/>
    <w:rsid w:val="08270C0B"/>
    <w:rsid w:val="08270C29"/>
    <w:rsid w:val="08270C77"/>
    <w:rsid w:val="08270C92"/>
    <w:rsid w:val="08270CD1"/>
    <w:rsid w:val="08270D6E"/>
    <w:rsid w:val="08270D98"/>
    <w:rsid w:val="08270E90"/>
    <w:rsid w:val="08270EA4"/>
    <w:rsid w:val="08270F71"/>
    <w:rsid w:val="08270FC4"/>
    <w:rsid w:val="08270FC6"/>
    <w:rsid w:val="08271021"/>
    <w:rsid w:val="08271028"/>
    <w:rsid w:val="08271070"/>
    <w:rsid w:val="082710A0"/>
    <w:rsid w:val="0827114F"/>
    <w:rsid w:val="08271297"/>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4D"/>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3E"/>
    <w:rsid w:val="082725E4"/>
    <w:rsid w:val="082725FD"/>
    <w:rsid w:val="082727C7"/>
    <w:rsid w:val="082727D3"/>
    <w:rsid w:val="0827280E"/>
    <w:rsid w:val="08272816"/>
    <w:rsid w:val="0827289D"/>
    <w:rsid w:val="082728A5"/>
    <w:rsid w:val="08272970"/>
    <w:rsid w:val="08272B51"/>
    <w:rsid w:val="08272C2D"/>
    <w:rsid w:val="08272C39"/>
    <w:rsid w:val="08272CDF"/>
    <w:rsid w:val="08272DB4"/>
    <w:rsid w:val="08272DD7"/>
    <w:rsid w:val="08272EF2"/>
    <w:rsid w:val="08272F18"/>
    <w:rsid w:val="0827307A"/>
    <w:rsid w:val="082730D4"/>
    <w:rsid w:val="082731AB"/>
    <w:rsid w:val="0827321D"/>
    <w:rsid w:val="08273234"/>
    <w:rsid w:val="08273267"/>
    <w:rsid w:val="082732A1"/>
    <w:rsid w:val="082732E2"/>
    <w:rsid w:val="08273318"/>
    <w:rsid w:val="082734BD"/>
    <w:rsid w:val="082734C7"/>
    <w:rsid w:val="08273583"/>
    <w:rsid w:val="08273681"/>
    <w:rsid w:val="082736E3"/>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AD"/>
    <w:rsid w:val="08274DD8"/>
    <w:rsid w:val="08274E63"/>
    <w:rsid w:val="08274E66"/>
    <w:rsid w:val="08274F65"/>
    <w:rsid w:val="08274F98"/>
    <w:rsid w:val="08274FA5"/>
    <w:rsid w:val="0827511E"/>
    <w:rsid w:val="0827512F"/>
    <w:rsid w:val="0827520C"/>
    <w:rsid w:val="0827528F"/>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9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3D"/>
    <w:rsid w:val="08276D53"/>
    <w:rsid w:val="08276D78"/>
    <w:rsid w:val="08276E11"/>
    <w:rsid w:val="08276E6C"/>
    <w:rsid w:val="08276E89"/>
    <w:rsid w:val="08276F20"/>
    <w:rsid w:val="08276FBC"/>
    <w:rsid w:val="08277056"/>
    <w:rsid w:val="08277147"/>
    <w:rsid w:val="08277155"/>
    <w:rsid w:val="08277301"/>
    <w:rsid w:val="08277325"/>
    <w:rsid w:val="08277394"/>
    <w:rsid w:val="082773AB"/>
    <w:rsid w:val="082773C9"/>
    <w:rsid w:val="082773DB"/>
    <w:rsid w:val="08277446"/>
    <w:rsid w:val="08277470"/>
    <w:rsid w:val="08277475"/>
    <w:rsid w:val="08277521"/>
    <w:rsid w:val="0827762C"/>
    <w:rsid w:val="0827774C"/>
    <w:rsid w:val="0827781F"/>
    <w:rsid w:val="08277826"/>
    <w:rsid w:val="08277968"/>
    <w:rsid w:val="082779CF"/>
    <w:rsid w:val="08277A94"/>
    <w:rsid w:val="08277AC8"/>
    <w:rsid w:val="08277D00"/>
    <w:rsid w:val="08277D0E"/>
    <w:rsid w:val="08277D12"/>
    <w:rsid w:val="08277E34"/>
    <w:rsid w:val="08277F55"/>
    <w:rsid w:val="08277F75"/>
    <w:rsid w:val="08277FE0"/>
    <w:rsid w:val="08280034"/>
    <w:rsid w:val="08280198"/>
    <w:rsid w:val="0828019A"/>
    <w:rsid w:val="082801EF"/>
    <w:rsid w:val="08280201"/>
    <w:rsid w:val="082802AD"/>
    <w:rsid w:val="08280323"/>
    <w:rsid w:val="0828033A"/>
    <w:rsid w:val="0828036B"/>
    <w:rsid w:val="082803AB"/>
    <w:rsid w:val="08280482"/>
    <w:rsid w:val="082804B8"/>
    <w:rsid w:val="082804E5"/>
    <w:rsid w:val="08280504"/>
    <w:rsid w:val="08280541"/>
    <w:rsid w:val="082805A9"/>
    <w:rsid w:val="0828069F"/>
    <w:rsid w:val="082806AD"/>
    <w:rsid w:val="082807BD"/>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33"/>
    <w:rsid w:val="082811E1"/>
    <w:rsid w:val="08281322"/>
    <w:rsid w:val="0828132C"/>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41"/>
    <w:rsid w:val="08281F94"/>
    <w:rsid w:val="08281FC7"/>
    <w:rsid w:val="08282038"/>
    <w:rsid w:val="0828206E"/>
    <w:rsid w:val="08282190"/>
    <w:rsid w:val="0828219B"/>
    <w:rsid w:val="0828219C"/>
    <w:rsid w:val="082821CB"/>
    <w:rsid w:val="08282200"/>
    <w:rsid w:val="0828222B"/>
    <w:rsid w:val="08282236"/>
    <w:rsid w:val="08282249"/>
    <w:rsid w:val="0828228D"/>
    <w:rsid w:val="0828231A"/>
    <w:rsid w:val="08282353"/>
    <w:rsid w:val="08282454"/>
    <w:rsid w:val="082824C7"/>
    <w:rsid w:val="0828258E"/>
    <w:rsid w:val="08282688"/>
    <w:rsid w:val="082826EC"/>
    <w:rsid w:val="0828284D"/>
    <w:rsid w:val="0828287F"/>
    <w:rsid w:val="0828292E"/>
    <w:rsid w:val="08282945"/>
    <w:rsid w:val="08282962"/>
    <w:rsid w:val="0828298D"/>
    <w:rsid w:val="08282B6E"/>
    <w:rsid w:val="08282BBE"/>
    <w:rsid w:val="08282CCA"/>
    <w:rsid w:val="08282DAE"/>
    <w:rsid w:val="08282E89"/>
    <w:rsid w:val="08282E92"/>
    <w:rsid w:val="08282ED8"/>
    <w:rsid w:val="08283022"/>
    <w:rsid w:val="08283092"/>
    <w:rsid w:val="0828310F"/>
    <w:rsid w:val="0828315B"/>
    <w:rsid w:val="08283211"/>
    <w:rsid w:val="0828324C"/>
    <w:rsid w:val="08283307"/>
    <w:rsid w:val="08283432"/>
    <w:rsid w:val="0828344C"/>
    <w:rsid w:val="0828344D"/>
    <w:rsid w:val="082834F4"/>
    <w:rsid w:val="08283535"/>
    <w:rsid w:val="0828353C"/>
    <w:rsid w:val="0828354E"/>
    <w:rsid w:val="08283577"/>
    <w:rsid w:val="082835BD"/>
    <w:rsid w:val="08283609"/>
    <w:rsid w:val="08283698"/>
    <w:rsid w:val="0828373D"/>
    <w:rsid w:val="08283762"/>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4B0"/>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77"/>
    <w:rsid w:val="08284F81"/>
    <w:rsid w:val="08284F83"/>
    <w:rsid w:val="08284FED"/>
    <w:rsid w:val="08285018"/>
    <w:rsid w:val="082850A8"/>
    <w:rsid w:val="082850E2"/>
    <w:rsid w:val="08285143"/>
    <w:rsid w:val="082852C6"/>
    <w:rsid w:val="082853A6"/>
    <w:rsid w:val="082853B2"/>
    <w:rsid w:val="08285446"/>
    <w:rsid w:val="0828544D"/>
    <w:rsid w:val="08285524"/>
    <w:rsid w:val="08285565"/>
    <w:rsid w:val="0828558D"/>
    <w:rsid w:val="08285606"/>
    <w:rsid w:val="08285614"/>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C"/>
    <w:rsid w:val="0828669A"/>
    <w:rsid w:val="082866BF"/>
    <w:rsid w:val="082866F1"/>
    <w:rsid w:val="08286718"/>
    <w:rsid w:val="0828679A"/>
    <w:rsid w:val="082868F3"/>
    <w:rsid w:val="082869C3"/>
    <w:rsid w:val="08286A22"/>
    <w:rsid w:val="08286A9E"/>
    <w:rsid w:val="08286AD5"/>
    <w:rsid w:val="08286AFE"/>
    <w:rsid w:val="08286B43"/>
    <w:rsid w:val="08286B49"/>
    <w:rsid w:val="08286B90"/>
    <w:rsid w:val="08286C02"/>
    <w:rsid w:val="08286C48"/>
    <w:rsid w:val="08286C51"/>
    <w:rsid w:val="08286C63"/>
    <w:rsid w:val="08286C8C"/>
    <w:rsid w:val="08286CB1"/>
    <w:rsid w:val="08286F62"/>
    <w:rsid w:val="08286F72"/>
    <w:rsid w:val="0828705D"/>
    <w:rsid w:val="082870DE"/>
    <w:rsid w:val="082870F7"/>
    <w:rsid w:val="082871C6"/>
    <w:rsid w:val="082871FD"/>
    <w:rsid w:val="0828723B"/>
    <w:rsid w:val="08287274"/>
    <w:rsid w:val="08287290"/>
    <w:rsid w:val="08287291"/>
    <w:rsid w:val="08287351"/>
    <w:rsid w:val="08287373"/>
    <w:rsid w:val="08287378"/>
    <w:rsid w:val="082873D2"/>
    <w:rsid w:val="0828740A"/>
    <w:rsid w:val="08287470"/>
    <w:rsid w:val="08287500"/>
    <w:rsid w:val="0828756C"/>
    <w:rsid w:val="08287638"/>
    <w:rsid w:val="08287701"/>
    <w:rsid w:val="0828785B"/>
    <w:rsid w:val="0828796F"/>
    <w:rsid w:val="08287A17"/>
    <w:rsid w:val="08287A58"/>
    <w:rsid w:val="08287B41"/>
    <w:rsid w:val="08287B63"/>
    <w:rsid w:val="08287BE7"/>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1"/>
    <w:rsid w:val="08291D46"/>
    <w:rsid w:val="08291DE3"/>
    <w:rsid w:val="08291E9D"/>
    <w:rsid w:val="08291EFA"/>
    <w:rsid w:val="08291F2A"/>
    <w:rsid w:val="08291FC6"/>
    <w:rsid w:val="082921A8"/>
    <w:rsid w:val="082921B3"/>
    <w:rsid w:val="08292258"/>
    <w:rsid w:val="08292264"/>
    <w:rsid w:val="082922C4"/>
    <w:rsid w:val="082923E9"/>
    <w:rsid w:val="082923F2"/>
    <w:rsid w:val="0829241C"/>
    <w:rsid w:val="0829245F"/>
    <w:rsid w:val="082924A2"/>
    <w:rsid w:val="082924CB"/>
    <w:rsid w:val="082924DD"/>
    <w:rsid w:val="0829265C"/>
    <w:rsid w:val="082926B4"/>
    <w:rsid w:val="08292755"/>
    <w:rsid w:val="08292756"/>
    <w:rsid w:val="0829295D"/>
    <w:rsid w:val="082929B4"/>
    <w:rsid w:val="082929F5"/>
    <w:rsid w:val="08292A30"/>
    <w:rsid w:val="08292A3F"/>
    <w:rsid w:val="08292A91"/>
    <w:rsid w:val="08292B7D"/>
    <w:rsid w:val="08292BC4"/>
    <w:rsid w:val="08292BDD"/>
    <w:rsid w:val="08292C03"/>
    <w:rsid w:val="08292C58"/>
    <w:rsid w:val="08292C65"/>
    <w:rsid w:val="08292E19"/>
    <w:rsid w:val="08292ECF"/>
    <w:rsid w:val="08292F5E"/>
    <w:rsid w:val="08292FF6"/>
    <w:rsid w:val="0829305A"/>
    <w:rsid w:val="08293089"/>
    <w:rsid w:val="08293108"/>
    <w:rsid w:val="0829315B"/>
    <w:rsid w:val="0829316F"/>
    <w:rsid w:val="08293230"/>
    <w:rsid w:val="0829323B"/>
    <w:rsid w:val="0829324A"/>
    <w:rsid w:val="0829331A"/>
    <w:rsid w:val="0829349B"/>
    <w:rsid w:val="082934EC"/>
    <w:rsid w:val="08293506"/>
    <w:rsid w:val="08293519"/>
    <w:rsid w:val="0829351D"/>
    <w:rsid w:val="082935C4"/>
    <w:rsid w:val="082936AE"/>
    <w:rsid w:val="082936B2"/>
    <w:rsid w:val="082936FC"/>
    <w:rsid w:val="08293762"/>
    <w:rsid w:val="08293778"/>
    <w:rsid w:val="082937E5"/>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85B"/>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C6"/>
    <w:rsid w:val="082961F8"/>
    <w:rsid w:val="08296232"/>
    <w:rsid w:val="0829631B"/>
    <w:rsid w:val="0829635E"/>
    <w:rsid w:val="082963B6"/>
    <w:rsid w:val="082963D5"/>
    <w:rsid w:val="082963F1"/>
    <w:rsid w:val="0829643E"/>
    <w:rsid w:val="08296498"/>
    <w:rsid w:val="082964C3"/>
    <w:rsid w:val="082964E5"/>
    <w:rsid w:val="082965BD"/>
    <w:rsid w:val="08296628"/>
    <w:rsid w:val="0829663A"/>
    <w:rsid w:val="082966DA"/>
    <w:rsid w:val="082966DE"/>
    <w:rsid w:val="0829672A"/>
    <w:rsid w:val="0829675C"/>
    <w:rsid w:val="08296882"/>
    <w:rsid w:val="08296890"/>
    <w:rsid w:val="082968C0"/>
    <w:rsid w:val="082968CE"/>
    <w:rsid w:val="08296916"/>
    <w:rsid w:val="08296992"/>
    <w:rsid w:val="082969BD"/>
    <w:rsid w:val="082969F4"/>
    <w:rsid w:val="08296AC3"/>
    <w:rsid w:val="08296B20"/>
    <w:rsid w:val="08296B64"/>
    <w:rsid w:val="08296B7D"/>
    <w:rsid w:val="08296BB3"/>
    <w:rsid w:val="08296BCE"/>
    <w:rsid w:val="08296BED"/>
    <w:rsid w:val="08296C67"/>
    <w:rsid w:val="08296C7E"/>
    <w:rsid w:val="08296CA7"/>
    <w:rsid w:val="08296CAF"/>
    <w:rsid w:val="08296CB7"/>
    <w:rsid w:val="08296CDD"/>
    <w:rsid w:val="08296DC1"/>
    <w:rsid w:val="08296DDE"/>
    <w:rsid w:val="08296FEA"/>
    <w:rsid w:val="0829708E"/>
    <w:rsid w:val="08297134"/>
    <w:rsid w:val="08297283"/>
    <w:rsid w:val="082972CE"/>
    <w:rsid w:val="08297375"/>
    <w:rsid w:val="0829751B"/>
    <w:rsid w:val="0829752D"/>
    <w:rsid w:val="082975AC"/>
    <w:rsid w:val="0829764F"/>
    <w:rsid w:val="08297655"/>
    <w:rsid w:val="0829769D"/>
    <w:rsid w:val="082976F7"/>
    <w:rsid w:val="082977B5"/>
    <w:rsid w:val="08297867"/>
    <w:rsid w:val="0829786E"/>
    <w:rsid w:val="08297874"/>
    <w:rsid w:val="08297893"/>
    <w:rsid w:val="082978CA"/>
    <w:rsid w:val="082979E4"/>
    <w:rsid w:val="08297AA3"/>
    <w:rsid w:val="08297B2B"/>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509"/>
    <w:rsid w:val="082A0578"/>
    <w:rsid w:val="082A05CE"/>
    <w:rsid w:val="082A080F"/>
    <w:rsid w:val="082A0816"/>
    <w:rsid w:val="082A0872"/>
    <w:rsid w:val="082A0888"/>
    <w:rsid w:val="082A096F"/>
    <w:rsid w:val="082A0A08"/>
    <w:rsid w:val="082A0A3E"/>
    <w:rsid w:val="082A0A51"/>
    <w:rsid w:val="082A0A57"/>
    <w:rsid w:val="082A0AAC"/>
    <w:rsid w:val="082A0ABA"/>
    <w:rsid w:val="082A0B08"/>
    <w:rsid w:val="082A0B7A"/>
    <w:rsid w:val="082A0BCA"/>
    <w:rsid w:val="082A0BFB"/>
    <w:rsid w:val="082A0C27"/>
    <w:rsid w:val="082A0C2D"/>
    <w:rsid w:val="082A0D06"/>
    <w:rsid w:val="082A0D3C"/>
    <w:rsid w:val="082A0ECF"/>
    <w:rsid w:val="082A0EFB"/>
    <w:rsid w:val="082A103C"/>
    <w:rsid w:val="082A1049"/>
    <w:rsid w:val="082A1128"/>
    <w:rsid w:val="082A113C"/>
    <w:rsid w:val="082A1245"/>
    <w:rsid w:val="082A1277"/>
    <w:rsid w:val="082A12D5"/>
    <w:rsid w:val="082A12DD"/>
    <w:rsid w:val="082A1336"/>
    <w:rsid w:val="082A14A4"/>
    <w:rsid w:val="082A14C0"/>
    <w:rsid w:val="082A157C"/>
    <w:rsid w:val="082A1641"/>
    <w:rsid w:val="082A1693"/>
    <w:rsid w:val="082A17C3"/>
    <w:rsid w:val="082A18AE"/>
    <w:rsid w:val="082A190D"/>
    <w:rsid w:val="082A193F"/>
    <w:rsid w:val="082A19AE"/>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30"/>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A9C"/>
    <w:rsid w:val="082A4B7C"/>
    <w:rsid w:val="082A4B9D"/>
    <w:rsid w:val="082A4BBD"/>
    <w:rsid w:val="082A4D57"/>
    <w:rsid w:val="082A4DD8"/>
    <w:rsid w:val="082A4DFC"/>
    <w:rsid w:val="082A4E14"/>
    <w:rsid w:val="082A4E67"/>
    <w:rsid w:val="082A4E81"/>
    <w:rsid w:val="082A4F1C"/>
    <w:rsid w:val="082A5052"/>
    <w:rsid w:val="082A5153"/>
    <w:rsid w:val="082A519F"/>
    <w:rsid w:val="082A51C2"/>
    <w:rsid w:val="082A51E9"/>
    <w:rsid w:val="082A5218"/>
    <w:rsid w:val="082A527D"/>
    <w:rsid w:val="082A52ED"/>
    <w:rsid w:val="082A5329"/>
    <w:rsid w:val="082A54A5"/>
    <w:rsid w:val="082A5549"/>
    <w:rsid w:val="082A5580"/>
    <w:rsid w:val="082A5581"/>
    <w:rsid w:val="082A55BE"/>
    <w:rsid w:val="082A55C5"/>
    <w:rsid w:val="082A577E"/>
    <w:rsid w:val="082A57C8"/>
    <w:rsid w:val="082A57D2"/>
    <w:rsid w:val="082A57D3"/>
    <w:rsid w:val="082A5805"/>
    <w:rsid w:val="082A583B"/>
    <w:rsid w:val="082A5883"/>
    <w:rsid w:val="082A593D"/>
    <w:rsid w:val="082A599B"/>
    <w:rsid w:val="082A59D5"/>
    <w:rsid w:val="082A59F2"/>
    <w:rsid w:val="082A5A7A"/>
    <w:rsid w:val="082A5AEE"/>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24F"/>
    <w:rsid w:val="082A7272"/>
    <w:rsid w:val="082A735C"/>
    <w:rsid w:val="082A7365"/>
    <w:rsid w:val="082A73A8"/>
    <w:rsid w:val="082A73C2"/>
    <w:rsid w:val="082A741E"/>
    <w:rsid w:val="082A7494"/>
    <w:rsid w:val="082A7528"/>
    <w:rsid w:val="082A7535"/>
    <w:rsid w:val="082A755E"/>
    <w:rsid w:val="082A75C3"/>
    <w:rsid w:val="082A7644"/>
    <w:rsid w:val="082A7691"/>
    <w:rsid w:val="082A769D"/>
    <w:rsid w:val="082A76A5"/>
    <w:rsid w:val="082A76E3"/>
    <w:rsid w:val="082A76F0"/>
    <w:rsid w:val="082A770C"/>
    <w:rsid w:val="082A77D2"/>
    <w:rsid w:val="082A7830"/>
    <w:rsid w:val="082A788D"/>
    <w:rsid w:val="082A7897"/>
    <w:rsid w:val="082A795B"/>
    <w:rsid w:val="082A7985"/>
    <w:rsid w:val="082A79EC"/>
    <w:rsid w:val="082A79FA"/>
    <w:rsid w:val="082A7A23"/>
    <w:rsid w:val="082A7AC0"/>
    <w:rsid w:val="082A7B05"/>
    <w:rsid w:val="082A7B80"/>
    <w:rsid w:val="082A7BF6"/>
    <w:rsid w:val="082A7D82"/>
    <w:rsid w:val="082A7DC3"/>
    <w:rsid w:val="082A7DEE"/>
    <w:rsid w:val="082A7E3A"/>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A86"/>
    <w:rsid w:val="082B0B76"/>
    <w:rsid w:val="082B0BBF"/>
    <w:rsid w:val="082B0C3D"/>
    <w:rsid w:val="082B0C51"/>
    <w:rsid w:val="082B0C91"/>
    <w:rsid w:val="082B0D3A"/>
    <w:rsid w:val="082B0E0D"/>
    <w:rsid w:val="082B0E1F"/>
    <w:rsid w:val="082B0E65"/>
    <w:rsid w:val="082B0E86"/>
    <w:rsid w:val="082B0FFD"/>
    <w:rsid w:val="082B1041"/>
    <w:rsid w:val="082B107B"/>
    <w:rsid w:val="082B1090"/>
    <w:rsid w:val="082B10BD"/>
    <w:rsid w:val="082B10ED"/>
    <w:rsid w:val="082B1103"/>
    <w:rsid w:val="082B11E7"/>
    <w:rsid w:val="082B1244"/>
    <w:rsid w:val="082B125D"/>
    <w:rsid w:val="082B131B"/>
    <w:rsid w:val="082B1358"/>
    <w:rsid w:val="082B136B"/>
    <w:rsid w:val="082B149D"/>
    <w:rsid w:val="082B15D1"/>
    <w:rsid w:val="082B162E"/>
    <w:rsid w:val="082B1634"/>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5A"/>
    <w:rsid w:val="082B1E67"/>
    <w:rsid w:val="082B1E9F"/>
    <w:rsid w:val="082B1EDD"/>
    <w:rsid w:val="082B1EE9"/>
    <w:rsid w:val="082B1EEF"/>
    <w:rsid w:val="082B1FE5"/>
    <w:rsid w:val="082B2162"/>
    <w:rsid w:val="082B21CD"/>
    <w:rsid w:val="082B21FE"/>
    <w:rsid w:val="082B22C9"/>
    <w:rsid w:val="082B234E"/>
    <w:rsid w:val="082B24F3"/>
    <w:rsid w:val="082B2511"/>
    <w:rsid w:val="082B25D6"/>
    <w:rsid w:val="082B2601"/>
    <w:rsid w:val="082B260A"/>
    <w:rsid w:val="082B2640"/>
    <w:rsid w:val="082B266E"/>
    <w:rsid w:val="082B26FF"/>
    <w:rsid w:val="082B2785"/>
    <w:rsid w:val="082B278D"/>
    <w:rsid w:val="082B2809"/>
    <w:rsid w:val="082B282F"/>
    <w:rsid w:val="082B286F"/>
    <w:rsid w:val="082B28BB"/>
    <w:rsid w:val="082B2960"/>
    <w:rsid w:val="082B298B"/>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0F9"/>
    <w:rsid w:val="082B319A"/>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A59"/>
    <w:rsid w:val="082B3B05"/>
    <w:rsid w:val="082B3B6C"/>
    <w:rsid w:val="082B3D37"/>
    <w:rsid w:val="082B3D3F"/>
    <w:rsid w:val="082B3D70"/>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6B"/>
    <w:rsid w:val="082B4A4A"/>
    <w:rsid w:val="082B4B1F"/>
    <w:rsid w:val="082B4B31"/>
    <w:rsid w:val="082B4B7D"/>
    <w:rsid w:val="082B4BFA"/>
    <w:rsid w:val="082B4C30"/>
    <w:rsid w:val="082B4DB3"/>
    <w:rsid w:val="082B4E1C"/>
    <w:rsid w:val="082B4EA9"/>
    <w:rsid w:val="082B5066"/>
    <w:rsid w:val="082B50F9"/>
    <w:rsid w:val="082B50FB"/>
    <w:rsid w:val="082B516D"/>
    <w:rsid w:val="082B51C5"/>
    <w:rsid w:val="082B51FC"/>
    <w:rsid w:val="082B5243"/>
    <w:rsid w:val="082B52B7"/>
    <w:rsid w:val="082B52E2"/>
    <w:rsid w:val="082B540A"/>
    <w:rsid w:val="082B5461"/>
    <w:rsid w:val="082B5480"/>
    <w:rsid w:val="082B54A1"/>
    <w:rsid w:val="082B54F0"/>
    <w:rsid w:val="082B54F9"/>
    <w:rsid w:val="082B567F"/>
    <w:rsid w:val="082B56AC"/>
    <w:rsid w:val="082B577F"/>
    <w:rsid w:val="082B57E5"/>
    <w:rsid w:val="082B5816"/>
    <w:rsid w:val="082B58AB"/>
    <w:rsid w:val="082B58EF"/>
    <w:rsid w:val="082B58F3"/>
    <w:rsid w:val="082B58FC"/>
    <w:rsid w:val="082B5986"/>
    <w:rsid w:val="082B5A00"/>
    <w:rsid w:val="082B5A0C"/>
    <w:rsid w:val="082B5A56"/>
    <w:rsid w:val="082B5AE2"/>
    <w:rsid w:val="082B5B08"/>
    <w:rsid w:val="082B5B9D"/>
    <w:rsid w:val="082B5D19"/>
    <w:rsid w:val="082B5D20"/>
    <w:rsid w:val="082B5DC7"/>
    <w:rsid w:val="082B5E20"/>
    <w:rsid w:val="082B5EB2"/>
    <w:rsid w:val="082B5EE0"/>
    <w:rsid w:val="082B5F82"/>
    <w:rsid w:val="082B6180"/>
    <w:rsid w:val="082B6235"/>
    <w:rsid w:val="082B6254"/>
    <w:rsid w:val="082B627E"/>
    <w:rsid w:val="082B629A"/>
    <w:rsid w:val="082B62C8"/>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13"/>
    <w:rsid w:val="082B689D"/>
    <w:rsid w:val="082B6914"/>
    <w:rsid w:val="082B6975"/>
    <w:rsid w:val="082B69E9"/>
    <w:rsid w:val="082B6A05"/>
    <w:rsid w:val="082B6A8B"/>
    <w:rsid w:val="082B6ADD"/>
    <w:rsid w:val="082B6AF7"/>
    <w:rsid w:val="082B6B9C"/>
    <w:rsid w:val="082B6C5A"/>
    <w:rsid w:val="082B6D1E"/>
    <w:rsid w:val="082B6D7C"/>
    <w:rsid w:val="082B6EC4"/>
    <w:rsid w:val="082B6F18"/>
    <w:rsid w:val="082B6F51"/>
    <w:rsid w:val="082B6F76"/>
    <w:rsid w:val="082B7009"/>
    <w:rsid w:val="082B70E3"/>
    <w:rsid w:val="082B710B"/>
    <w:rsid w:val="082B716D"/>
    <w:rsid w:val="082B7173"/>
    <w:rsid w:val="082B71D1"/>
    <w:rsid w:val="082B7215"/>
    <w:rsid w:val="082B72C9"/>
    <w:rsid w:val="082B7333"/>
    <w:rsid w:val="082B741E"/>
    <w:rsid w:val="082B742F"/>
    <w:rsid w:val="082B7456"/>
    <w:rsid w:val="082B755C"/>
    <w:rsid w:val="082B7602"/>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46A"/>
    <w:rsid w:val="082C0512"/>
    <w:rsid w:val="082C05D1"/>
    <w:rsid w:val="082C0746"/>
    <w:rsid w:val="082C0754"/>
    <w:rsid w:val="082C0849"/>
    <w:rsid w:val="082C0863"/>
    <w:rsid w:val="082C08F0"/>
    <w:rsid w:val="082C0905"/>
    <w:rsid w:val="082C0964"/>
    <w:rsid w:val="082C0AF7"/>
    <w:rsid w:val="082C0B7A"/>
    <w:rsid w:val="082C0C17"/>
    <w:rsid w:val="082C0C57"/>
    <w:rsid w:val="082C0C62"/>
    <w:rsid w:val="082C0C8E"/>
    <w:rsid w:val="082C0C90"/>
    <w:rsid w:val="082C0D22"/>
    <w:rsid w:val="082C0F54"/>
    <w:rsid w:val="082C1136"/>
    <w:rsid w:val="082C11BE"/>
    <w:rsid w:val="082C1306"/>
    <w:rsid w:val="082C146D"/>
    <w:rsid w:val="082C1477"/>
    <w:rsid w:val="082C149C"/>
    <w:rsid w:val="082C14C7"/>
    <w:rsid w:val="082C14E4"/>
    <w:rsid w:val="082C1557"/>
    <w:rsid w:val="082C15D3"/>
    <w:rsid w:val="082C15E0"/>
    <w:rsid w:val="082C161A"/>
    <w:rsid w:val="082C173C"/>
    <w:rsid w:val="082C17EF"/>
    <w:rsid w:val="082C18FA"/>
    <w:rsid w:val="082C1980"/>
    <w:rsid w:val="082C1998"/>
    <w:rsid w:val="082C19B1"/>
    <w:rsid w:val="082C1A74"/>
    <w:rsid w:val="082C1B3E"/>
    <w:rsid w:val="082C1C73"/>
    <w:rsid w:val="082C1D0B"/>
    <w:rsid w:val="082C1D3D"/>
    <w:rsid w:val="082C1D57"/>
    <w:rsid w:val="082C1D7C"/>
    <w:rsid w:val="082C1D8B"/>
    <w:rsid w:val="082C1DDD"/>
    <w:rsid w:val="082C1E6A"/>
    <w:rsid w:val="082C1EE6"/>
    <w:rsid w:val="082C1F15"/>
    <w:rsid w:val="082C1FB3"/>
    <w:rsid w:val="082C20AB"/>
    <w:rsid w:val="082C211E"/>
    <w:rsid w:val="082C21A1"/>
    <w:rsid w:val="082C2218"/>
    <w:rsid w:val="082C225C"/>
    <w:rsid w:val="082C2297"/>
    <w:rsid w:val="082C22F6"/>
    <w:rsid w:val="082C2305"/>
    <w:rsid w:val="082C2407"/>
    <w:rsid w:val="082C2445"/>
    <w:rsid w:val="082C266C"/>
    <w:rsid w:val="082C2832"/>
    <w:rsid w:val="082C284A"/>
    <w:rsid w:val="082C2980"/>
    <w:rsid w:val="082C2995"/>
    <w:rsid w:val="082C29B5"/>
    <w:rsid w:val="082C2A43"/>
    <w:rsid w:val="082C2A6C"/>
    <w:rsid w:val="082C2AAD"/>
    <w:rsid w:val="082C2AE2"/>
    <w:rsid w:val="082C2BD6"/>
    <w:rsid w:val="082C2BEC"/>
    <w:rsid w:val="082C2C10"/>
    <w:rsid w:val="082C2C2E"/>
    <w:rsid w:val="082C2CDF"/>
    <w:rsid w:val="082C2E2A"/>
    <w:rsid w:val="082C2E91"/>
    <w:rsid w:val="082C2F47"/>
    <w:rsid w:val="082C301F"/>
    <w:rsid w:val="082C30BD"/>
    <w:rsid w:val="082C31CE"/>
    <w:rsid w:val="082C31D0"/>
    <w:rsid w:val="082C32E4"/>
    <w:rsid w:val="082C33EC"/>
    <w:rsid w:val="082C33FE"/>
    <w:rsid w:val="082C3477"/>
    <w:rsid w:val="082C348B"/>
    <w:rsid w:val="082C349F"/>
    <w:rsid w:val="082C3541"/>
    <w:rsid w:val="082C35A0"/>
    <w:rsid w:val="082C36C7"/>
    <w:rsid w:val="082C371A"/>
    <w:rsid w:val="082C3748"/>
    <w:rsid w:val="082C3809"/>
    <w:rsid w:val="082C3855"/>
    <w:rsid w:val="082C3946"/>
    <w:rsid w:val="082C39FB"/>
    <w:rsid w:val="082C3A3F"/>
    <w:rsid w:val="082C3A57"/>
    <w:rsid w:val="082C3AAA"/>
    <w:rsid w:val="082C3ADE"/>
    <w:rsid w:val="082C3BB4"/>
    <w:rsid w:val="082C3BC9"/>
    <w:rsid w:val="082C3CB7"/>
    <w:rsid w:val="082C3CDB"/>
    <w:rsid w:val="082C3CDD"/>
    <w:rsid w:val="082C3CF4"/>
    <w:rsid w:val="082C3DA4"/>
    <w:rsid w:val="082C3DFC"/>
    <w:rsid w:val="082C3EDA"/>
    <w:rsid w:val="082C3F12"/>
    <w:rsid w:val="082C3F90"/>
    <w:rsid w:val="082C3FC5"/>
    <w:rsid w:val="082C4005"/>
    <w:rsid w:val="082C405B"/>
    <w:rsid w:val="082C40C4"/>
    <w:rsid w:val="082C40F7"/>
    <w:rsid w:val="082C412E"/>
    <w:rsid w:val="082C41EB"/>
    <w:rsid w:val="082C4217"/>
    <w:rsid w:val="082C4274"/>
    <w:rsid w:val="082C4306"/>
    <w:rsid w:val="082C43B7"/>
    <w:rsid w:val="082C44B1"/>
    <w:rsid w:val="082C4590"/>
    <w:rsid w:val="082C45A2"/>
    <w:rsid w:val="082C463A"/>
    <w:rsid w:val="082C4643"/>
    <w:rsid w:val="082C464E"/>
    <w:rsid w:val="082C46C2"/>
    <w:rsid w:val="082C46E5"/>
    <w:rsid w:val="082C4726"/>
    <w:rsid w:val="082C47E8"/>
    <w:rsid w:val="082C489C"/>
    <w:rsid w:val="082C4A18"/>
    <w:rsid w:val="082C4B51"/>
    <w:rsid w:val="082C4D98"/>
    <w:rsid w:val="082C4E21"/>
    <w:rsid w:val="082C4E46"/>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AC"/>
    <w:rsid w:val="082C6BD6"/>
    <w:rsid w:val="082C6D1D"/>
    <w:rsid w:val="082C6DC0"/>
    <w:rsid w:val="082C6E57"/>
    <w:rsid w:val="082C6EB7"/>
    <w:rsid w:val="082C6F6B"/>
    <w:rsid w:val="082C6F9F"/>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34C"/>
    <w:rsid w:val="082D0501"/>
    <w:rsid w:val="082D066B"/>
    <w:rsid w:val="082D0730"/>
    <w:rsid w:val="082D07B5"/>
    <w:rsid w:val="082D07CF"/>
    <w:rsid w:val="082D07E6"/>
    <w:rsid w:val="082D080E"/>
    <w:rsid w:val="082D0834"/>
    <w:rsid w:val="082D0856"/>
    <w:rsid w:val="082D0884"/>
    <w:rsid w:val="082D0889"/>
    <w:rsid w:val="082D08B4"/>
    <w:rsid w:val="082D08FE"/>
    <w:rsid w:val="082D0A65"/>
    <w:rsid w:val="082D0A92"/>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42"/>
    <w:rsid w:val="082D127C"/>
    <w:rsid w:val="082D12B9"/>
    <w:rsid w:val="082D12DB"/>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23"/>
    <w:rsid w:val="082D1A36"/>
    <w:rsid w:val="082D1AD1"/>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2E4"/>
    <w:rsid w:val="082D234A"/>
    <w:rsid w:val="082D23FB"/>
    <w:rsid w:val="082D2488"/>
    <w:rsid w:val="082D24C4"/>
    <w:rsid w:val="082D24E4"/>
    <w:rsid w:val="082D24EA"/>
    <w:rsid w:val="082D251F"/>
    <w:rsid w:val="082D2547"/>
    <w:rsid w:val="082D255B"/>
    <w:rsid w:val="082D2578"/>
    <w:rsid w:val="082D2598"/>
    <w:rsid w:val="082D25B7"/>
    <w:rsid w:val="082D25BF"/>
    <w:rsid w:val="082D2668"/>
    <w:rsid w:val="082D2675"/>
    <w:rsid w:val="082D2700"/>
    <w:rsid w:val="082D2753"/>
    <w:rsid w:val="082D27B5"/>
    <w:rsid w:val="082D27D1"/>
    <w:rsid w:val="082D282F"/>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25"/>
    <w:rsid w:val="082D3434"/>
    <w:rsid w:val="082D3557"/>
    <w:rsid w:val="082D35BB"/>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407D"/>
    <w:rsid w:val="082D414F"/>
    <w:rsid w:val="082D4151"/>
    <w:rsid w:val="082D4211"/>
    <w:rsid w:val="082D4252"/>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4F85"/>
    <w:rsid w:val="082D5011"/>
    <w:rsid w:val="082D509B"/>
    <w:rsid w:val="082D50E7"/>
    <w:rsid w:val="082D521F"/>
    <w:rsid w:val="082D522F"/>
    <w:rsid w:val="082D524A"/>
    <w:rsid w:val="082D52F4"/>
    <w:rsid w:val="082D5381"/>
    <w:rsid w:val="082D53C8"/>
    <w:rsid w:val="082D54E5"/>
    <w:rsid w:val="082D5598"/>
    <w:rsid w:val="082D55D9"/>
    <w:rsid w:val="082D55F8"/>
    <w:rsid w:val="082D569E"/>
    <w:rsid w:val="082D56A4"/>
    <w:rsid w:val="082D56B0"/>
    <w:rsid w:val="082D5745"/>
    <w:rsid w:val="082D577D"/>
    <w:rsid w:val="082D580D"/>
    <w:rsid w:val="082D581E"/>
    <w:rsid w:val="082D5846"/>
    <w:rsid w:val="082D58C8"/>
    <w:rsid w:val="082D58FB"/>
    <w:rsid w:val="082D5907"/>
    <w:rsid w:val="082D596B"/>
    <w:rsid w:val="082D597F"/>
    <w:rsid w:val="082D5A1F"/>
    <w:rsid w:val="082D5A91"/>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8CC"/>
    <w:rsid w:val="082D6973"/>
    <w:rsid w:val="082D6A22"/>
    <w:rsid w:val="082D6A84"/>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8E7"/>
    <w:rsid w:val="082D796B"/>
    <w:rsid w:val="082D7979"/>
    <w:rsid w:val="082D797F"/>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592"/>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EC"/>
    <w:rsid w:val="082E0FFC"/>
    <w:rsid w:val="082E10E6"/>
    <w:rsid w:val="082E113B"/>
    <w:rsid w:val="082E1147"/>
    <w:rsid w:val="082E1165"/>
    <w:rsid w:val="082E11A5"/>
    <w:rsid w:val="082E13A7"/>
    <w:rsid w:val="082E13B4"/>
    <w:rsid w:val="082E13B6"/>
    <w:rsid w:val="082E13BF"/>
    <w:rsid w:val="082E13FD"/>
    <w:rsid w:val="082E1406"/>
    <w:rsid w:val="082E143E"/>
    <w:rsid w:val="082E14B1"/>
    <w:rsid w:val="082E151F"/>
    <w:rsid w:val="082E15A7"/>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2EB"/>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9C"/>
    <w:rsid w:val="082E3C56"/>
    <w:rsid w:val="082E3D67"/>
    <w:rsid w:val="082E3D8F"/>
    <w:rsid w:val="082E3FA2"/>
    <w:rsid w:val="082E3FD3"/>
    <w:rsid w:val="082E407C"/>
    <w:rsid w:val="082E409D"/>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AF"/>
    <w:rsid w:val="082E55ED"/>
    <w:rsid w:val="082E563C"/>
    <w:rsid w:val="082E575A"/>
    <w:rsid w:val="082E576A"/>
    <w:rsid w:val="082E57CC"/>
    <w:rsid w:val="082E57F6"/>
    <w:rsid w:val="082E584D"/>
    <w:rsid w:val="082E5910"/>
    <w:rsid w:val="082E5989"/>
    <w:rsid w:val="082E5BEC"/>
    <w:rsid w:val="082E5C5F"/>
    <w:rsid w:val="082E5CCF"/>
    <w:rsid w:val="082E5DB2"/>
    <w:rsid w:val="082E5DC4"/>
    <w:rsid w:val="082E5E19"/>
    <w:rsid w:val="082E5E5B"/>
    <w:rsid w:val="082E5E8E"/>
    <w:rsid w:val="082E5EBC"/>
    <w:rsid w:val="082E5F40"/>
    <w:rsid w:val="082E5FAB"/>
    <w:rsid w:val="082E5FF3"/>
    <w:rsid w:val="082E5FF4"/>
    <w:rsid w:val="082E600F"/>
    <w:rsid w:val="082E6012"/>
    <w:rsid w:val="082E6065"/>
    <w:rsid w:val="082E60FA"/>
    <w:rsid w:val="082E6199"/>
    <w:rsid w:val="082E625B"/>
    <w:rsid w:val="082E6264"/>
    <w:rsid w:val="082E6286"/>
    <w:rsid w:val="082E62CA"/>
    <w:rsid w:val="082E642B"/>
    <w:rsid w:val="082E6439"/>
    <w:rsid w:val="082E648F"/>
    <w:rsid w:val="082E64CD"/>
    <w:rsid w:val="082E6571"/>
    <w:rsid w:val="082E6581"/>
    <w:rsid w:val="082E65A4"/>
    <w:rsid w:val="082E6632"/>
    <w:rsid w:val="082E6644"/>
    <w:rsid w:val="082E66EE"/>
    <w:rsid w:val="082E6706"/>
    <w:rsid w:val="082E6807"/>
    <w:rsid w:val="082E68A3"/>
    <w:rsid w:val="082E6926"/>
    <w:rsid w:val="082E696A"/>
    <w:rsid w:val="082E69BF"/>
    <w:rsid w:val="082E6B0C"/>
    <w:rsid w:val="082E6B2F"/>
    <w:rsid w:val="082E6BAF"/>
    <w:rsid w:val="082E6BFB"/>
    <w:rsid w:val="082E6C58"/>
    <w:rsid w:val="082E6C84"/>
    <w:rsid w:val="082E6CB7"/>
    <w:rsid w:val="082E6CB8"/>
    <w:rsid w:val="082E6D13"/>
    <w:rsid w:val="082E6D48"/>
    <w:rsid w:val="082E6D66"/>
    <w:rsid w:val="082E6DFA"/>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EC7"/>
    <w:rsid w:val="082F0FB0"/>
    <w:rsid w:val="082F1027"/>
    <w:rsid w:val="082F1044"/>
    <w:rsid w:val="082F107E"/>
    <w:rsid w:val="082F10D0"/>
    <w:rsid w:val="082F10DD"/>
    <w:rsid w:val="082F1184"/>
    <w:rsid w:val="082F11D1"/>
    <w:rsid w:val="082F126B"/>
    <w:rsid w:val="082F13E7"/>
    <w:rsid w:val="082F140A"/>
    <w:rsid w:val="082F141F"/>
    <w:rsid w:val="082F145E"/>
    <w:rsid w:val="082F14B3"/>
    <w:rsid w:val="082F14F0"/>
    <w:rsid w:val="082F1534"/>
    <w:rsid w:val="082F165B"/>
    <w:rsid w:val="082F168C"/>
    <w:rsid w:val="082F16AB"/>
    <w:rsid w:val="082F171B"/>
    <w:rsid w:val="082F172B"/>
    <w:rsid w:val="082F172E"/>
    <w:rsid w:val="082F17B6"/>
    <w:rsid w:val="082F17F2"/>
    <w:rsid w:val="082F183A"/>
    <w:rsid w:val="082F1927"/>
    <w:rsid w:val="082F1978"/>
    <w:rsid w:val="082F19B9"/>
    <w:rsid w:val="082F19E8"/>
    <w:rsid w:val="082F1A1B"/>
    <w:rsid w:val="082F1B21"/>
    <w:rsid w:val="082F1B49"/>
    <w:rsid w:val="082F1B5F"/>
    <w:rsid w:val="082F1BA3"/>
    <w:rsid w:val="082F1BD1"/>
    <w:rsid w:val="082F1BDD"/>
    <w:rsid w:val="082F1D3C"/>
    <w:rsid w:val="082F1D63"/>
    <w:rsid w:val="082F1F28"/>
    <w:rsid w:val="082F1F34"/>
    <w:rsid w:val="082F1FA0"/>
    <w:rsid w:val="082F212C"/>
    <w:rsid w:val="082F2163"/>
    <w:rsid w:val="082F2180"/>
    <w:rsid w:val="082F222D"/>
    <w:rsid w:val="082F22B9"/>
    <w:rsid w:val="082F22C5"/>
    <w:rsid w:val="082F2344"/>
    <w:rsid w:val="082F2475"/>
    <w:rsid w:val="082F247A"/>
    <w:rsid w:val="082F247C"/>
    <w:rsid w:val="082F24E9"/>
    <w:rsid w:val="082F2508"/>
    <w:rsid w:val="082F2526"/>
    <w:rsid w:val="082F2694"/>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A9"/>
    <w:rsid w:val="082F3769"/>
    <w:rsid w:val="082F37B8"/>
    <w:rsid w:val="082F3823"/>
    <w:rsid w:val="082F398E"/>
    <w:rsid w:val="082F39F0"/>
    <w:rsid w:val="082F3C46"/>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C35"/>
    <w:rsid w:val="082F4D15"/>
    <w:rsid w:val="082F4E25"/>
    <w:rsid w:val="082F4E2C"/>
    <w:rsid w:val="082F4EB3"/>
    <w:rsid w:val="082F4ECF"/>
    <w:rsid w:val="082F4F35"/>
    <w:rsid w:val="082F4F99"/>
    <w:rsid w:val="082F506F"/>
    <w:rsid w:val="082F508B"/>
    <w:rsid w:val="082F513D"/>
    <w:rsid w:val="082F5175"/>
    <w:rsid w:val="082F52D8"/>
    <w:rsid w:val="082F537A"/>
    <w:rsid w:val="082F5479"/>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1E"/>
    <w:rsid w:val="082F5E50"/>
    <w:rsid w:val="082F5F2A"/>
    <w:rsid w:val="082F5FA5"/>
    <w:rsid w:val="082F602A"/>
    <w:rsid w:val="082F6032"/>
    <w:rsid w:val="082F61D7"/>
    <w:rsid w:val="082F61F5"/>
    <w:rsid w:val="082F6259"/>
    <w:rsid w:val="082F631D"/>
    <w:rsid w:val="082F641F"/>
    <w:rsid w:val="082F6469"/>
    <w:rsid w:val="082F6553"/>
    <w:rsid w:val="082F65A8"/>
    <w:rsid w:val="082F65E6"/>
    <w:rsid w:val="082F65FA"/>
    <w:rsid w:val="082F6685"/>
    <w:rsid w:val="082F66A8"/>
    <w:rsid w:val="082F66F1"/>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E0D"/>
    <w:rsid w:val="082F7E60"/>
    <w:rsid w:val="082F7F42"/>
    <w:rsid w:val="082F7F8B"/>
    <w:rsid w:val="082F7FD8"/>
    <w:rsid w:val="0830010C"/>
    <w:rsid w:val="08300140"/>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91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7"/>
    <w:rsid w:val="08301242"/>
    <w:rsid w:val="08301377"/>
    <w:rsid w:val="08301438"/>
    <w:rsid w:val="083014EE"/>
    <w:rsid w:val="0830150B"/>
    <w:rsid w:val="08301534"/>
    <w:rsid w:val="083015C3"/>
    <w:rsid w:val="083015E7"/>
    <w:rsid w:val="083015F4"/>
    <w:rsid w:val="083015F5"/>
    <w:rsid w:val="0830165F"/>
    <w:rsid w:val="083016BD"/>
    <w:rsid w:val="08301724"/>
    <w:rsid w:val="083017A5"/>
    <w:rsid w:val="083017AE"/>
    <w:rsid w:val="0830180B"/>
    <w:rsid w:val="083018EC"/>
    <w:rsid w:val="08301ADE"/>
    <w:rsid w:val="08301B1B"/>
    <w:rsid w:val="08301BB8"/>
    <w:rsid w:val="08301BDE"/>
    <w:rsid w:val="08301BFB"/>
    <w:rsid w:val="08301C7F"/>
    <w:rsid w:val="08301CB9"/>
    <w:rsid w:val="08301CCC"/>
    <w:rsid w:val="08301D0E"/>
    <w:rsid w:val="08301DE7"/>
    <w:rsid w:val="08301F3D"/>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C5B"/>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7C3"/>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1A"/>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9E"/>
    <w:rsid w:val="0830562E"/>
    <w:rsid w:val="083057C7"/>
    <w:rsid w:val="083057CD"/>
    <w:rsid w:val="083058F8"/>
    <w:rsid w:val="08305903"/>
    <w:rsid w:val="0830591E"/>
    <w:rsid w:val="083059A8"/>
    <w:rsid w:val="08305B49"/>
    <w:rsid w:val="08305BBE"/>
    <w:rsid w:val="08305BC7"/>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2B8"/>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1A5"/>
    <w:rsid w:val="083072B7"/>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0"/>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7F6"/>
    <w:rsid w:val="083118A3"/>
    <w:rsid w:val="083119BE"/>
    <w:rsid w:val="08311A2C"/>
    <w:rsid w:val="08311B8D"/>
    <w:rsid w:val="08311B8E"/>
    <w:rsid w:val="08311BA0"/>
    <w:rsid w:val="08311C4E"/>
    <w:rsid w:val="08311C74"/>
    <w:rsid w:val="08311CD8"/>
    <w:rsid w:val="08311D08"/>
    <w:rsid w:val="08311D24"/>
    <w:rsid w:val="08311E76"/>
    <w:rsid w:val="08311EB2"/>
    <w:rsid w:val="08311FAF"/>
    <w:rsid w:val="08311FD9"/>
    <w:rsid w:val="08312004"/>
    <w:rsid w:val="083120BB"/>
    <w:rsid w:val="083120DD"/>
    <w:rsid w:val="083120FC"/>
    <w:rsid w:val="08312106"/>
    <w:rsid w:val="08312195"/>
    <w:rsid w:val="0831219A"/>
    <w:rsid w:val="0831219C"/>
    <w:rsid w:val="083121AE"/>
    <w:rsid w:val="083122A3"/>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2F44"/>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CE"/>
    <w:rsid w:val="083136DF"/>
    <w:rsid w:val="083136E4"/>
    <w:rsid w:val="08313841"/>
    <w:rsid w:val="083138A0"/>
    <w:rsid w:val="083138AE"/>
    <w:rsid w:val="08313944"/>
    <w:rsid w:val="08313A02"/>
    <w:rsid w:val="08313A0C"/>
    <w:rsid w:val="08313B74"/>
    <w:rsid w:val="08313BCB"/>
    <w:rsid w:val="08313BF4"/>
    <w:rsid w:val="08313C2A"/>
    <w:rsid w:val="08313CE9"/>
    <w:rsid w:val="08313D55"/>
    <w:rsid w:val="08313DCA"/>
    <w:rsid w:val="08313F4F"/>
    <w:rsid w:val="08313F5C"/>
    <w:rsid w:val="08313FAC"/>
    <w:rsid w:val="0831402F"/>
    <w:rsid w:val="0831405C"/>
    <w:rsid w:val="08314081"/>
    <w:rsid w:val="0831429F"/>
    <w:rsid w:val="083142D3"/>
    <w:rsid w:val="08314341"/>
    <w:rsid w:val="083143E0"/>
    <w:rsid w:val="08314410"/>
    <w:rsid w:val="0831442E"/>
    <w:rsid w:val="08314441"/>
    <w:rsid w:val="0831445E"/>
    <w:rsid w:val="08314467"/>
    <w:rsid w:val="083146B4"/>
    <w:rsid w:val="0831478D"/>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3E"/>
    <w:rsid w:val="08314D4B"/>
    <w:rsid w:val="08314D6B"/>
    <w:rsid w:val="08314DEC"/>
    <w:rsid w:val="08314E1F"/>
    <w:rsid w:val="08314E59"/>
    <w:rsid w:val="08314EA7"/>
    <w:rsid w:val="08314F16"/>
    <w:rsid w:val="08314FA7"/>
    <w:rsid w:val="08314FBF"/>
    <w:rsid w:val="083151DD"/>
    <w:rsid w:val="083151F8"/>
    <w:rsid w:val="083152B9"/>
    <w:rsid w:val="08315334"/>
    <w:rsid w:val="08315383"/>
    <w:rsid w:val="083153B3"/>
    <w:rsid w:val="08315494"/>
    <w:rsid w:val="083154A7"/>
    <w:rsid w:val="083155AE"/>
    <w:rsid w:val="083155F4"/>
    <w:rsid w:val="08315723"/>
    <w:rsid w:val="08315734"/>
    <w:rsid w:val="08315766"/>
    <w:rsid w:val="0831583D"/>
    <w:rsid w:val="08315842"/>
    <w:rsid w:val="08315861"/>
    <w:rsid w:val="08315921"/>
    <w:rsid w:val="0831592B"/>
    <w:rsid w:val="08315A8D"/>
    <w:rsid w:val="08315BFE"/>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4B"/>
    <w:rsid w:val="08316287"/>
    <w:rsid w:val="0831629F"/>
    <w:rsid w:val="083162C3"/>
    <w:rsid w:val="083162E9"/>
    <w:rsid w:val="0831649D"/>
    <w:rsid w:val="083164EB"/>
    <w:rsid w:val="08316547"/>
    <w:rsid w:val="083165A6"/>
    <w:rsid w:val="08316614"/>
    <w:rsid w:val="08316624"/>
    <w:rsid w:val="08316655"/>
    <w:rsid w:val="083166C6"/>
    <w:rsid w:val="08316783"/>
    <w:rsid w:val="083167EE"/>
    <w:rsid w:val="083169E7"/>
    <w:rsid w:val="08316A1A"/>
    <w:rsid w:val="08316A91"/>
    <w:rsid w:val="08316AA9"/>
    <w:rsid w:val="08316B4D"/>
    <w:rsid w:val="08316BAA"/>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3BD"/>
    <w:rsid w:val="0831747D"/>
    <w:rsid w:val="08317682"/>
    <w:rsid w:val="083176BB"/>
    <w:rsid w:val="083176E8"/>
    <w:rsid w:val="0831773A"/>
    <w:rsid w:val="0831779F"/>
    <w:rsid w:val="0831782F"/>
    <w:rsid w:val="08317850"/>
    <w:rsid w:val="083178C4"/>
    <w:rsid w:val="08317A4C"/>
    <w:rsid w:val="08317A64"/>
    <w:rsid w:val="08317A8C"/>
    <w:rsid w:val="08317B03"/>
    <w:rsid w:val="08317D08"/>
    <w:rsid w:val="08317D62"/>
    <w:rsid w:val="08317E4B"/>
    <w:rsid w:val="08317EAF"/>
    <w:rsid w:val="08317F3D"/>
    <w:rsid w:val="08317F7E"/>
    <w:rsid w:val="08317FED"/>
    <w:rsid w:val="08317FF6"/>
    <w:rsid w:val="08320074"/>
    <w:rsid w:val="0832014A"/>
    <w:rsid w:val="08320300"/>
    <w:rsid w:val="08320354"/>
    <w:rsid w:val="0832035A"/>
    <w:rsid w:val="08320385"/>
    <w:rsid w:val="0832039C"/>
    <w:rsid w:val="0832041E"/>
    <w:rsid w:val="0832049B"/>
    <w:rsid w:val="0832057E"/>
    <w:rsid w:val="0832058F"/>
    <w:rsid w:val="08320628"/>
    <w:rsid w:val="08320704"/>
    <w:rsid w:val="083207B7"/>
    <w:rsid w:val="083207FB"/>
    <w:rsid w:val="08320849"/>
    <w:rsid w:val="083208F3"/>
    <w:rsid w:val="08320918"/>
    <w:rsid w:val="0832092C"/>
    <w:rsid w:val="083209C7"/>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54"/>
    <w:rsid w:val="08321281"/>
    <w:rsid w:val="08321291"/>
    <w:rsid w:val="0832135C"/>
    <w:rsid w:val="083213EB"/>
    <w:rsid w:val="08321489"/>
    <w:rsid w:val="08321520"/>
    <w:rsid w:val="083215F6"/>
    <w:rsid w:val="08321660"/>
    <w:rsid w:val="08321690"/>
    <w:rsid w:val="083216DD"/>
    <w:rsid w:val="083217BA"/>
    <w:rsid w:val="0832183E"/>
    <w:rsid w:val="08321868"/>
    <w:rsid w:val="083218B2"/>
    <w:rsid w:val="08321915"/>
    <w:rsid w:val="08321AEA"/>
    <w:rsid w:val="08321B01"/>
    <w:rsid w:val="08321B2B"/>
    <w:rsid w:val="08321B35"/>
    <w:rsid w:val="08321B53"/>
    <w:rsid w:val="08321B67"/>
    <w:rsid w:val="08321B8B"/>
    <w:rsid w:val="08321BA1"/>
    <w:rsid w:val="08321C9A"/>
    <w:rsid w:val="08321CA6"/>
    <w:rsid w:val="08321D6D"/>
    <w:rsid w:val="08321F52"/>
    <w:rsid w:val="08321F6B"/>
    <w:rsid w:val="08321F6E"/>
    <w:rsid w:val="08321FDC"/>
    <w:rsid w:val="08321FF4"/>
    <w:rsid w:val="083220AA"/>
    <w:rsid w:val="0832214A"/>
    <w:rsid w:val="0832214C"/>
    <w:rsid w:val="0832217A"/>
    <w:rsid w:val="083221B4"/>
    <w:rsid w:val="083221EF"/>
    <w:rsid w:val="083222D5"/>
    <w:rsid w:val="083223F8"/>
    <w:rsid w:val="08322443"/>
    <w:rsid w:val="08322461"/>
    <w:rsid w:val="08322470"/>
    <w:rsid w:val="08322484"/>
    <w:rsid w:val="083224B7"/>
    <w:rsid w:val="083225C3"/>
    <w:rsid w:val="0832266E"/>
    <w:rsid w:val="0832269B"/>
    <w:rsid w:val="083226F1"/>
    <w:rsid w:val="08322734"/>
    <w:rsid w:val="08322750"/>
    <w:rsid w:val="0832276D"/>
    <w:rsid w:val="0832278E"/>
    <w:rsid w:val="083227CF"/>
    <w:rsid w:val="08322868"/>
    <w:rsid w:val="083229A1"/>
    <w:rsid w:val="08322A9E"/>
    <w:rsid w:val="08322AD4"/>
    <w:rsid w:val="08322AFF"/>
    <w:rsid w:val="08322B05"/>
    <w:rsid w:val="08322C06"/>
    <w:rsid w:val="08322C15"/>
    <w:rsid w:val="08322D0D"/>
    <w:rsid w:val="08322DA1"/>
    <w:rsid w:val="08322DD7"/>
    <w:rsid w:val="08322DE7"/>
    <w:rsid w:val="08322E2F"/>
    <w:rsid w:val="08322E34"/>
    <w:rsid w:val="08322E8C"/>
    <w:rsid w:val="08322EB9"/>
    <w:rsid w:val="08322EDE"/>
    <w:rsid w:val="08322F46"/>
    <w:rsid w:val="08322F5F"/>
    <w:rsid w:val="08322FA8"/>
    <w:rsid w:val="083230B0"/>
    <w:rsid w:val="08323137"/>
    <w:rsid w:val="0832313E"/>
    <w:rsid w:val="083231E3"/>
    <w:rsid w:val="08323201"/>
    <w:rsid w:val="08323231"/>
    <w:rsid w:val="083232B8"/>
    <w:rsid w:val="08323350"/>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B00"/>
    <w:rsid w:val="08324BB1"/>
    <w:rsid w:val="08324BC7"/>
    <w:rsid w:val="08324C2A"/>
    <w:rsid w:val="08324C5D"/>
    <w:rsid w:val="08324D23"/>
    <w:rsid w:val="08324D3B"/>
    <w:rsid w:val="08324DF3"/>
    <w:rsid w:val="08324E4A"/>
    <w:rsid w:val="08324EF3"/>
    <w:rsid w:val="08324F26"/>
    <w:rsid w:val="08324F36"/>
    <w:rsid w:val="08324F68"/>
    <w:rsid w:val="08324FD2"/>
    <w:rsid w:val="08324FE7"/>
    <w:rsid w:val="0832504D"/>
    <w:rsid w:val="08325059"/>
    <w:rsid w:val="083250E0"/>
    <w:rsid w:val="083250F5"/>
    <w:rsid w:val="083251AC"/>
    <w:rsid w:val="083251CA"/>
    <w:rsid w:val="083251DB"/>
    <w:rsid w:val="08325241"/>
    <w:rsid w:val="08325274"/>
    <w:rsid w:val="0832528B"/>
    <w:rsid w:val="0832529D"/>
    <w:rsid w:val="0832536D"/>
    <w:rsid w:val="08325539"/>
    <w:rsid w:val="0832553C"/>
    <w:rsid w:val="0832558B"/>
    <w:rsid w:val="08325598"/>
    <w:rsid w:val="0832560B"/>
    <w:rsid w:val="08325671"/>
    <w:rsid w:val="0832567B"/>
    <w:rsid w:val="0832567D"/>
    <w:rsid w:val="083256B9"/>
    <w:rsid w:val="08325745"/>
    <w:rsid w:val="0832575B"/>
    <w:rsid w:val="083257FA"/>
    <w:rsid w:val="083258A6"/>
    <w:rsid w:val="083258E1"/>
    <w:rsid w:val="083258E2"/>
    <w:rsid w:val="08325945"/>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98"/>
    <w:rsid w:val="083264C6"/>
    <w:rsid w:val="08326533"/>
    <w:rsid w:val="08326542"/>
    <w:rsid w:val="08326596"/>
    <w:rsid w:val="083265B8"/>
    <w:rsid w:val="08326601"/>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2"/>
    <w:rsid w:val="08327453"/>
    <w:rsid w:val="083274BB"/>
    <w:rsid w:val="08327532"/>
    <w:rsid w:val="083276A0"/>
    <w:rsid w:val="0832771A"/>
    <w:rsid w:val="0832775D"/>
    <w:rsid w:val="0832782E"/>
    <w:rsid w:val="08327880"/>
    <w:rsid w:val="083278E4"/>
    <w:rsid w:val="08327954"/>
    <w:rsid w:val="08327969"/>
    <w:rsid w:val="083279AD"/>
    <w:rsid w:val="083279DC"/>
    <w:rsid w:val="083279F8"/>
    <w:rsid w:val="08327B47"/>
    <w:rsid w:val="08327BAA"/>
    <w:rsid w:val="08327C10"/>
    <w:rsid w:val="08327CC3"/>
    <w:rsid w:val="08327CCD"/>
    <w:rsid w:val="08327CF0"/>
    <w:rsid w:val="08327D0B"/>
    <w:rsid w:val="08327D0D"/>
    <w:rsid w:val="08327D62"/>
    <w:rsid w:val="08327E58"/>
    <w:rsid w:val="08327E7D"/>
    <w:rsid w:val="08327E94"/>
    <w:rsid w:val="08327ECB"/>
    <w:rsid w:val="083300A5"/>
    <w:rsid w:val="083301A2"/>
    <w:rsid w:val="0833020D"/>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CB"/>
    <w:rsid w:val="08330AD0"/>
    <w:rsid w:val="08330ADE"/>
    <w:rsid w:val="08330B08"/>
    <w:rsid w:val="08330B1D"/>
    <w:rsid w:val="08330B37"/>
    <w:rsid w:val="08330B8C"/>
    <w:rsid w:val="08330C12"/>
    <w:rsid w:val="08330C69"/>
    <w:rsid w:val="08330CAD"/>
    <w:rsid w:val="08330CC2"/>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EEC"/>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2F64"/>
    <w:rsid w:val="08333067"/>
    <w:rsid w:val="0833306A"/>
    <w:rsid w:val="083330F8"/>
    <w:rsid w:val="0833314B"/>
    <w:rsid w:val="08333162"/>
    <w:rsid w:val="0833336E"/>
    <w:rsid w:val="08333380"/>
    <w:rsid w:val="083333A2"/>
    <w:rsid w:val="083333D9"/>
    <w:rsid w:val="0833349D"/>
    <w:rsid w:val="08333630"/>
    <w:rsid w:val="083336CD"/>
    <w:rsid w:val="083336D4"/>
    <w:rsid w:val="083336F2"/>
    <w:rsid w:val="0833372A"/>
    <w:rsid w:val="0833377A"/>
    <w:rsid w:val="08333794"/>
    <w:rsid w:val="083337B3"/>
    <w:rsid w:val="083337D5"/>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90"/>
    <w:rsid w:val="083357CF"/>
    <w:rsid w:val="083357D3"/>
    <w:rsid w:val="083357E7"/>
    <w:rsid w:val="0833583A"/>
    <w:rsid w:val="083358A7"/>
    <w:rsid w:val="08335912"/>
    <w:rsid w:val="08335916"/>
    <w:rsid w:val="08335945"/>
    <w:rsid w:val="083359CD"/>
    <w:rsid w:val="08335AC5"/>
    <w:rsid w:val="08335B2C"/>
    <w:rsid w:val="08335BD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54"/>
    <w:rsid w:val="08336486"/>
    <w:rsid w:val="083364F9"/>
    <w:rsid w:val="0833650D"/>
    <w:rsid w:val="08336608"/>
    <w:rsid w:val="083366F7"/>
    <w:rsid w:val="08336838"/>
    <w:rsid w:val="08336894"/>
    <w:rsid w:val="083368C8"/>
    <w:rsid w:val="083368F4"/>
    <w:rsid w:val="083368F6"/>
    <w:rsid w:val="08336A7F"/>
    <w:rsid w:val="08336B1D"/>
    <w:rsid w:val="08336C20"/>
    <w:rsid w:val="08336C9D"/>
    <w:rsid w:val="08336CFF"/>
    <w:rsid w:val="08336D6D"/>
    <w:rsid w:val="08336DDC"/>
    <w:rsid w:val="08336DDD"/>
    <w:rsid w:val="08336F3C"/>
    <w:rsid w:val="08336F59"/>
    <w:rsid w:val="08336F78"/>
    <w:rsid w:val="083371EC"/>
    <w:rsid w:val="0833721D"/>
    <w:rsid w:val="0833723D"/>
    <w:rsid w:val="0833724D"/>
    <w:rsid w:val="0833728A"/>
    <w:rsid w:val="083372D4"/>
    <w:rsid w:val="08337362"/>
    <w:rsid w:val="0833747F"/>
    <w:rsid w:val="08337491"/>
    <w:rsid w:val="083374C2"/>
    <w:rsid w:val="08337507"/>
    <w:rsid w:val="0833753B"/>
    <w:rsid w:val="08337592"/>
    <w:rsid w:val="083375DE"/>
    <w:rsid w:val="0833766F"/>
    <w:rsid w:val="08337742"/>
    <w:rsid w:val="08337959"/>
    <w:rsid w:val="083379BC"/>
    <w:rsid w:val="083379C1"/>
    <w:rsid w:val="083379E5"/>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1D"/>
    <w:rsid w:val="083401CF"/>
    <w:rsid w:val="0834028D"/>
    <w:rsid w:val="083403DF"/>
    <w:rsid w:val="083403F3"/>
    <w:rsid w:val="08340456"/>
    <w:rsid w:val="08340457"/>
    <w:rsid w:val="08340547"/>
    <w:rsid w:val="08340580"/>
    <w:rsid w:val="08340638"/>
    <w:rsid w:val="0834068C"/>
    <w:rsid w:val="0834069C"/>
    <w:rsid w:val="0834077A"/>
    <w:rsid w:val="0834078B"/>
    <w:rsid w:val="0834078C"/>
    <w:rsid w:val="083407CC"/>
    <w:rsid w:val="08340851"/>
    <w:rsid w:val="083409C7"/>
    <w:rsid w:val="08340A13"/>
    <w:rsid w:val="08340AF3"/>
    <w:rsid w:val="08340B06"/>
    <w:rsid w:val="08340B2F"/>
    <w:rsid w:val="08340B3F"/>
    <w:rsid w:val="08340BEE"/>
    <w:rsid w:val="08340CCE"/>
    <w:rsid w:val="08340CF8"/>
    <w:rsid w:val="08340D27"/>
    <w:rsid w:val="08340D59"/>
    <w:rsid w:val="08340DEB"/>
    <w:rsid w:val="08340E2B"/>
    <w:rsid w:val="08340E61"/>
    <w:rsid w:val="08340EAD"/>
    <w:rsid w:val="08340F06"/>
    <w:rsid w:val="08341035"/>
    <w:rsid w:val="0834106E"/>
    <w:rsid w:val="083410B5"/>
    <w:rsid w:val="083410C4"/>
    <w:rsid w:val="08341130"/>
    <w:rsid w:val="08341132"/>
    <w:rsid w:val="083411D1"/>
    <w:rsid w:val="0834121B"/>
    <w:rsid w:val="08341313"/>
    <w:rsid w:val="08341447"/>
    <w:rsid w:val="08341524"/>
    <w:rsid w:val="08341550"/>
    <w:rsid w:val="0834167A"/>
    <w:rsid w:val="0834167B"/>
    <w:rsid w:val="08341684"/>
    <w:rsid w:val="08341730"/>
    <w:rsid w:val="08341772"/>
    <w:rsid w:val="083417E5"/>
    <w:rsid w:val="08341887"/>
    <w:rsid w:val="083418B3"/>
    <w:rsid w:val="08341987"/>
    <w:rsid w:val="083419DA"/>
    <w:rsid w:val="08341A1F"/>
    <w:rsid w:val="08341AF3"/>
    <w:rsid w:val="08341B2D"/>
    <w:rsid w:val="08341BB0"/>
    <w:rsid w:val="08341BDC"/>
    <w:rsid w:val="08341C5C"/>
    <w:rsid w:val="08341C6C"/>
    <w:rsid w:val="08341C76"/>
    <w:rsid w:val="08341CBD"/>
    <w:rsid w:val="08341D46"/>
    <w:rsid w:val="08341D4A"/>
    <w:rsid w:val="08341D52"/>
    <w:rsid w:val="08341D6A"/>
    <w:rsid w:val="08341E4E"/>
    <w:rsid w:val="08341F74"/>
    <w:rsid w:val="08341F89"/>
    <w:rsid w:val="08341FA4"/>
    <w:rsid w:val="08341FEA"/>
    <w:rsid w:val="08342011"/>
    <w:rsid w:val="08342048"/>
    <w:rsid w:val="08342084"/>
    <w:rsid w:val="08342099"/>
    <w:rsid w:val="083420DC"/>
    <w:rsid w:val="083420E4"/>
    <w:rsid w:val="08342168"/>
    <w:rsid w:val="08342218"/>
    <w:rsid w:val="0834229E"/>
    <w:rsid w:val="083422FA"/>
    <w:rsid w:val="08342304"/>
    <w:rsid w:val="0834239E"/>
    <w:rsid w:val="0834244F"/>
    <w:rsid w:val="08342546"/>
    <w:rsid w:val="0834256C"/>
    <w:rsid w:val="0834256F"/>
    <w:rsid w:val="0834257E"/>
    <w:rsid w:val="08342580"/>
    <w:rsid w:val="0834268B"/>
    <w:rsid w:val="08342733"/>
    <w:rsid w:val="083427B2"/>
    <w:rsid w:val="08342827"/>
    <w:rsid w:val="08342837"/>
    <w:rsid w:val="083428A9"/>
    <w:rsid w:val="083428E0"/>
    <w:rsid w:val="083429BA"/>
    <w:rsid w:val="08342A3A"/>
    <w:rsid w:val="08342BB5"/>
    <w:rsid w:val="08342BDC"/>
    <w:rsid w:val="08342C42"/>
    <w:rsid w:val="08342C60"/>
    <w:rsid w:val="08342CD2"/>
    <w:rsid w:val="08342D3C"/>
    <w:rsid w:val="08342D44"/>
    <w:rsid w:val="08342D6B"/>
    <w:rsid w:val="08342D8B"/>
    <w:rsid w:val="08342DA6"/>
    <w:rsid w:val="08342DEC"/>
    <w:rsid w:val="08342EF6"/>
    <w:rsid w:val="08342F37"/>
    <w:rsid w:val="08342FC8"/>
    <w:rsid w:val="0834309C"/>
    <w:rsid w:val="0834312D"/>
    <w:rsid w:val="08343152"/>
    <w:rsid w:val="08343171"/>
    <w:rsid w:val="0834318B"/>
    <w:rsid w:val="083431B0"/>
    <w:rsid w:val="083431C5"/>
    <w:rsid w:val="0834321A"/>
    <w:rsid w:val="0834322A"/>
    <w:rsid w:val="08343313"/>
    <w:rsid w:val="0834336C"/>
    <w:rsid w:val="08343382"/>
    <w:rsid w:val="0834344A"/>
    <w:rsid w:val="0834349C"/>
    <w:rsid w:val="083434E7"/>
    <w:rsid w:val="08343607"/>
    <w:rsid w:val="0834366A"/>
    <w:rsid w:val="0834370F"/>
    <w:rsid w:val="083438BC"/>
    <w:rsid w:val="083438D7"/>
    <w:rsid w:val="083438DB"/>
    <w:rsid w:val="08343901"/>
    <w:rsid w:val="08343905"/>
    <w:rsid w:val="08343932"/>
    <w:rsid w:val="0834393B"/>
    <w:rsid w:val="08343A22"/>
    <w:rsid w:val="08343A8D"/>
    <w:rsid w:val="08343BDD"/>
    <w:rsid w:val="08343CC6"/>
    <w:rsid w:val="08343D39"/>
    <w:rsid w:val="08343DA3"/>
    <w:rsid w:val="08343E2C"/>
    <w:rsid w:val="08343F9C"/>
    <w:rsid w:val="08344089"/>
    <w:rsid w:val="083440FA"/>
    <w:rsid w:val="08344199"/>
    <w:rsid w:val="0834419B"/>
    <w:rsid w:val="083441A5"/>
    <w:rsid w:val="083441CA"/>
    <w:rsid w:val="083442E8"/>
    <w:rsid w:val="083442FE"/>
    <w:rsid w:val="08344407"/>
    <w:rsid w:val="0834446F"/>
    <w:rsid w:val="083445C3"/>
    <w:rsid w:val="083445FF"/>
    <w:rsid w:val="08344635"/>
    <w:rsid w:val="08344690"/>
    <w:rsid w:val="08344783"/>
    <w:rsid w:val="08344798"/>
    <w:rsid w:val="083447B1"/>
    <w:rsid w:val="08344856"/>
    <w:rsid w:val="08344876"/>
    <w:rsid w:val="083448A3"/>
    <w:rsid w:val="083448FC"/>
    <w:rsid w:val="08344924"/>
    <w:rsid w:val="083449FD"/>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98"/>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FDF"/>
    <w:rsid w:val="08347036"/>
    <w:rsid w:val="08347077"/>
    <w:rsid w:val="083470C1"/>
    <w:rsid w:val="0834711A"/>
    <w:rsid w:val="0834717F"/>
    <w:rsid w:val="083471B3"/>
    <w:rsid w:val="083472B9"/>
    <w:rsid w:val="08347319"/>
    <w:rsid w:val="08347379"/>
    <w:rsid w:val="0834744B"/>
    <w:rsid w:val="083474AB"/>
    <w:rsid w:val="083474C0"/>
    <w:rsid w:val="083474D2"/>
    <w:rsid w:val="083474E1"/>
    <w:rsid w:val="08347607"/>
    <w:rsid w:val="08347614"/>
    <w:rsid w:val="0834761A"/>
    <w:rsid w:val="08347662"/>
    <w:rsid w:val="08347712"/>
    <w:rsid w:val="0834774B"/>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50016"/>
    <w:rsid w:val="0835003E"/>
    <w:rsid w:val="0835004A"/>
    <w:rsid w:val="08350088"/>
    <w:rsid w:val="083500A0"/>
    <w:rsid w:val="083500CE"/>
    <w:rsid w:val="083500F0"/>
    <w:rsid w:val="0835014F"/>
    <w:rsid w:val="08350198"/>
    <w:rsid w:val="083501BB"/>
    <w:rsid w:val="0835028B"/>
    <w:rsid w:val="083503C0"/>
    <w:rsid w:val="083503CE"/>
    <w:rsid w:val="08350452"/>
    <w:rsid w:val="0835048A"/>
    <w:rsid w:val="083504D2"/>
    <w:rsid w:val="083504ED"/>
    <w:rsid w:val="083505BA"/>
    <w:rsid w:val="08350612"/>
    <w:rsid w:val="08350649"/>
    <w:rsid w:val="08350663"/>
    <w:rsid w:val="083507E9"/>
    <w:rsid w:val="08350869"/>
    <w:rsid w:val="08350877"/>
    <w:rsid w:val="083508A5"/>
    <w:rsid w:val="08350930"/>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21EB"/>
    <w:rsid w:val="0835227F"/>
    <w:rsid w:val="0835229F"/>
    <w:rsid w:val="083522D4"/>
    <w:rsid w:val="08352354"/>
    <w:rsid w:val="083523B7"/>
    <w:rsid w:val="08352416"/>
    <w:rsid w:val="08352432"/>
    <w:rsid w:val="083524DE"/>
    <w:rsid w:val="083525A1"/>
    <w:rsid w:val="083525C7"/>
    <w:rsid w:val="083525CC"/>
    <w:rsid w:val="083526AD"/>
    <w:rsid w:val="083528B5"/>
    <w:rsid w:val="08352942"/>
    <w:rsid w:val="08352995"/>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03"/>
    <w:rsid w:val="0835364E"/>
    <w:rsid w:val="08353680"/>
    <w:rsid w:val="08353692"/>
    <w:rsid w:val="083536F0"/>
    <w:rsid w:val="08353705"/>
    <w:rsid w:val="0835375D"/>
    <w:rsid w:val="083537A0"/>
    <w:rsid w:val="083538F4"/>
    <w:rsid w:val="08353949"/>
    <w:rsid w:val="08353954"/>
    <w:rsid w:val="08353970"/>
    <w:rsid w:val="08353A5E"/>
    <w:rsid w:val="08353AEA"/>
    <w:rsid w:val="08353B22"/>
    <w:rsid w:val="08353BD3"/>
    <w:rsid w:val="08353C79"/>
    <w:rsid w:val="08353DD4"/>
    <w:rsid w:val="08353E1B"/>
    <w:rsid w:val="08353F6E"/>
    <w:rsid w:val="08353FC3"/>
    <w:rsid w:val="08353FF1"/>
    <w:rsid w:val="0835415C"/>
    <w:rsid w:val="0835415E"/>
    <w:rsid w:val="0835415F"/>
    <w:rsid w:val="08354221"/>
    <w:rsid w:val="0835423C"/>
    <w:rsid w:val="08354284"/>
    <w:rsid w:val="08354498"/>
    <w:rsid w:val="0835455B"/>
    <w:rsid w:val="083545D4"/>
    <w:rsid w:val="083546A9"/>
    <w:rsid w:val="0835470E"/>
    <w:rsid w:val="083547BC"/>
    <w:rsid w:val="0835480C"/>
    <w:rsid w:val="08354898"/>
    <w:rsid w:val="083548EF"/>
    <w:rsid w:val="083549D9"/>
    <w:rsid w:val="083549DD"/>
    <w:rsid w:val="08354AC6"/>
    <w:rsid w:val="08354BC0"/>
    <w:rsid w:val="08354CE5"/>
    <w:rsid w:val="08354D1B"/>
    <w:rsid w:val="08354D42"/>
    <w:rsid w:val="08354D90"/>
    <w:rsid w:val="08354E77"/>
    <w:rsid w:val="08354EB1"/>
    <w:rsid w:val="08354EC8"/>
    <w:rsid w:val="08354ED9"/>
    <w:rsid w:val="08354FAD"/>
    <w:rsid w:val="08354FF8"/>
    <w:rsid w:val="08355019"/>
    <w:rsid w:val="083550C7"/>
    <w:rsid w:val="083550E4"/>
    <w:rsid w:val="08355106"/>
    <w:rsid w:val="08355162"/>
    <w:rsid w:val="083552CD"/>
    <w:rsid w:val="08355313"/>
    <w:rsid w:val="08355332"/>
    <w:rsid w:val="08355348"/>
    <w:rsid w:val="08355355"/>
    <w:rsid w:val="083555CF"/>
    <w:rsid w:val="083556B2"/>
    <w:rsid w:val="083556F8"/>
    <w:rsid w:val="08355723"/>
    <w:rsid w:val="0835572C"/>
    <w:rsid w:val="083557DB"/>
    <w:rsid w:val="083558B8"/>
    <w:rsid w:val="083558E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CC"/>
    <w:rsid w:val="0835630F"/>
    <w:rsid w:val="08356324"/>
    <w:rsid w:val="08356424"/>
    <w:rsid w:val="0835655E"/>
    <w:rsid w:val="083565F7"/>
    <w:rsid w:val="08356636"/>
    <w:rsid w:val="08356776"/>
    <w:rsid w:val="083567E5"/>
    <w:rsid w:val="0835688A"/>
    <w:rsid w:val="083568C9"/>
    <w:rsid w:val="08356935"/>
    <w:rsid w:val="08356A29"/>
    <w:rsid w:val="08356A35"/>
    <w:rsid w:val="08356AAA"/>
    <w:rsid w:val="08356B02"/>
    <w:rsid w:val="08356CA4"/>
    <w:rsid w:val="08356CFB"/>
    <w:rsid w:val="08356DC1"/>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58F"/>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29"/>
    <w:rsid w:val="08357A4E"/>
    <w:rsid w:val="08357A8F"/>
    <w:rsid w:val="08357AE3"/>
    <w:rsid w:val="08357B2F"/>
    <w:rsid w:val="08357B94"/>
    <w:rsid w:val="08357BC3"/>
    <w:rsid w:val="08357C5A"/>
    <w:rsid w:val="08357CB1"/>
    <w:rsid w:val="08357CE6"/>
    <w:rsid w:val="08357DB1"/>
    <w:rsid w:val="08357E54"/>
    <w:rsid w:val="08357E66"/>
    <w:rsid w:val="08357EF3"/>
    <w:rsid w:val="08357F4D"/>
    <w:rsid w:val="08357FC5"/>
    <w:rsid w:val="08360316"/>
    <w:rsid w:val="08360383"/>
    <w:rsid w:val="08360385"/>
    <w:rsid w:val="083603B5"/>
    <w:rsid w:val="083603FA"/>
    <w:rsid w:val="08360507"/>
    <w:rsid w:val="083605F4"/>
    <w:rsid w:val="083605FA"/>
    <w:rsid w:val="0836060D"/>
    <w:rsid w:val="08360659"/>
    <w:rsid w:val="083606BC"/>
    <w:rsid w:val="08360715"/>
    <w:rsid w:val="08360798"/>
    <w:rsid w:val="083607E8"/>
    <w:rsid w:val="0836083B"/>
    <w:rsid w:val="0836085B"/>
    <w:rsid w:val="08360952"/>
    <w:rsid w:val="083609EF"/>
    <w:rsid w:val="08360A23"/>
    <w:rsid w:val="08360A58"/>
    <w:rsid w:val="08360A70"/>
    <w:rsid w:val="08360A98"/>
    <w:rsid w:val="08360AF1"/>
    <w:rsid w:val="08360C48"/>
    <w:rsid w:val="08360C99"/>
    <w:rsid w:val="08360DC7"/>
    <w:rsid w:val="08360DCC"/>
    <w:rsid w:val="08360EF7"/>
    <w:rsid w:val="08360FC0"/>
    <w:rsid w:val="08360FC5"/>
    <w:rsid w:val="083610D8"/>
    <w:rsid w:val="083610FE"/>
    <w:rsid w:val="08361125"/>
    <w:rsid w:val="08361157"/>
    <w:rsid w:val="083611E5"/>
    <w:rsid w:val="08361258"/>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04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D36"/>
    <w:rsid w:val="08363E0C"/>
    <w:rsid w:val="08363E11"/>
    <w:rsid w:val="08363E71"/>
    <w:rsid w:val="08363E73"/>
    <w:rsid w:val="08363F08"/>
    <w:rsid w:val="08363F17"/>
    <w:rsid w:val="08363FE6"/>
    <w:rsid w:val="083640A7"/>
    <w:rsid w:val="08364107"/>
    <w:rsid w:val="083641BD"/>
    <w:rsid w:val="083642FC"/>
    <w:rsid w:val="08364300"/>
    <w:rsid w:val="08364349"/>
    <w:rsid w:val="08364355"/>
    <w:rsid w:val="0836442C"/>
    <w:rsid w:val="083644DB"/>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E07"/>
    <w:rsid w:val="08364E3B"/>
    <w:rsid w:val="08364E6A"/>
    <w:rsid w:val="08364EAE"/>
    <w:rsid w:val="08364ED9"/>
    <w:rsid w:val="08364F97"/>
    <w:rsid w:val="08364FD1"/>
    <w:rsid w:val="08364FF7"/>
    <w:rsid w:val="0836500A"/>
    <w:rsid w:val="08365068"/>
    <w:rsid w:val="0836508E"/>
    <w:rsid w:val="08365100"/>
    <w:rsid w:val="083651F4"/>
    <w:rsid w:val="08365200"/>
    <w:rsid w:val="0836520A"/>
    <w:rsid w:val="0836526A"/>
    <w:rsid w:val="08365287"/>
    <w:rsid w:val="0836529B"/>
    <w:rsid w:val="083652A0"/>
    <w:rsid w:val="0836534D"/>
    <w:rsid w:val="0836535A"/>
    <w:rsid w:val="08365393"/>
    <w:rsid w:val="08365604"/>
    <w:rsid w:val="08365750"/>
    <w:rsid w:val="08365764"/>
    <w:rsid w:val="083657DB"/>
    <w:rsid w:val="08365829"/>
    <w:rsid w:val="08365878"/>
    <w:rsid w:val="083658C3"/>
    <w:rsid w:val="0836592A"/>
    <w:rsid w:val="08365950"/>
    <w:rsid w:val="08365959"/>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55A"/>
    <w:rsid w:val="0836656B"/>
    <w:rsid w:val="0836657B"/>
    <w:rsid w:val="083665AE"/>
    <w:rsid w:val="0836665F"/>
    <w:rsid w:val="0836672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0F"/>
    <w:rsid w:val="0836708B"/>
    <w:rsid w:val="08367141"/>
    <w:rsid w:val="0836722D"/>
    <w:rsid w:val="0836734B"/>
    <w:rsid w:val="08367372"/>
    <w:rsid w:val="083673B9"/>
    <w:rsid w:val="083674DD"/>
    <w:rsid w:val="08367529"/>
    <w:rsid w:val="0836753C"/>
    <w:rsid w:val="08367548"/>
    <w:rsid w:val="0836757B"/>
    <w:rsid w:val="08367691"/>
    <w:rsid w:val="083676AF"/>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6C7"/>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E5"/>
    <w:rsid w:val="08370EF5"/>
    <w:rsid w:val="08370FDB"/>
    <w:rsid w:val="083710C9"/>
    <w:rsid w:val="083710CB"/>
    <w:rsid w:val="083711BF"/>
    <w:rsid w:val="08371203"/>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C2B"/>
    <w:rsid w:val="08371DB0"/>
    <w:rsid w:val="08371E26"/>
    <w:rsid w:val="08371EAA"/>
    <w:rsid w:val="08371FB8"/>
    <w:rsid w:val="08372003"/>
    <w:rsid w:val="0837201E"/>
    <w:rsid w:val="08372145"/>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39"/>
    <w:rsid w:val="08372E3C"/>
    <w:rsid w:val="08372ECD"/>
    <w:rsid w:val="08372F5A"/>
    <w:rsid w:val="08372FD9"/>
    <w:rsid w:val="08373070"/>
    <w:rsid w:val="08373182"/>
    <w:rsid w:val="083731A3"/>
    <w:rsid w:val="08373312"/>
    <w:rsid w:val="08373346"/>
    <w:rsid w:val="083733FC"/>
    <w:rsid w:val="0837360D"/>
    <w:rsid w:val="08373619"/>
    <w:rsid w:val="08373675"/>
    <w:rsid w:val="083736A4"/>
    <w:rsid w:val="083736B2"/>
    <w:rsid w:val="083736C7"/>
    <w:rsid w:val="0837389A"/>
    <w:rsid w:val="08373962"/>
    <w:rsid w:val="08373969"/>
    <w:rsid w:val="08373A0F"/>
    <w:rsid w:val="08373A75"/>
    <w:rsid w:val="08373ACC"/>
    <w:rsid w:val="08373B6D"/>
    <w:rsid w:val="08373B9F"/>
    <w:rsid w:val="08373C3D"/>
    <w:rsid w:val="08373D7A"/>
    <w:rsid w:val="08373DC4"/>
    <w:rsid w:val="08373DD4"/>
    <w:rsid w:val="08373E0A"/>
    <w:rsid w:val="08373E1C"/>
    <w:rsid w:val="08373EF4"/>
    <w:rsid w:val="08373F09"/>
    <w:rsid w:val="08373F61"/>
    <w:rsid w:val="08373F85"/>
    <w:rsid w:val="08373FE9"/>
    <w:rsid w:val="083740FB"/>
    <w:rsid w:val="0837415F"/>
    <w:rsid w:val="0837424B"/>
    <w:rsid w:val="0837429F"/>
    <w:rsid w:val="083742BE"/>
    <w:rsid w:val="08374305"/>
    <w:rsid w:val="083743DC"/>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C9B"/>
    <w:rsid w:val="08374D47"/>
    <w:rsid w:val="08374DD3"/>
    <w:rsid w:val="08374E9D"/>
    <w:rsid w:val="08375000"/>
    <w:rsid w:val="083750DA"/>
    <w:rsid w:val="083751E5"/>
    <w:rsid w:val="083751EF"/>
    <w:rsid w:val="083752C9"/>
    <w:rsid w:val="08375310"/>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24"/>
    <w:rsid w:val="08375C8D"/>
    <w:rsid w:val="08375CAD"/>
    <w:rsid w:val="08375D39"/>
    <w:rsid w:val="08375D80"/>
    <w:rsid w:val="08375DBE"/>
    <w:rsid w:val="08375E58"/>
    <w:rsid w:val="08375E91"/>
    <w:rsid w:val="08375EB5"/>
    <w:rsid w:val="08375EB6"/>
    <w:rsid w:val="08375EEF"/>
    <w:rsid w:val="08375EFA"/>
    <w:rsid w:val="08376113"/>
    <w:rsid w:val="083761C5"/>
    <w:rsid w:val="08376238"/>
    <w:rsid w:val="08376283"/>
    <w:rsid w:val="083762ED"/>
    <w:rsid w:val="08376348"/>
    <w:rsid w:val="083763E1"/>
    <w:rsid w:val="0837653E"/>
    <w:rsid w:val="08376622"/>
    <w:rsid w:val="08376624"/>
    <w:rsid w:val="08376639"/>
    <w:rsid w:val="08376641"/>
    <w:rsid w:val="083766B9"/>
    <w:rsid w:val="083766DB"/>
    <w:rsid w:val="083766EF"/>
    <w:rsid w:val="0837677E"/>
    <w:rsid w:val="083767B2"/>
    <w:rsid w:val="083767C3"/>
    <w:rsid w:val="0837682A"/>
    <w:rsid w:val="08376896"/>
    <w:rsid w:val="083768AB"/>
    <w:rsid w:val="08376A15"/>
    <w:rsid w:val="08376A28"/>
    <w:rsid w:val="08376A93"/>
    <w:rsid w:val="08376B83"/>
    <w:rsid w:val="08376CA8"/>
    <w:rsid w:val="08376D0D"/>
    <w:rsid w:val="08376D6C"/>
    <w:rsid w:val="08376DAE"/>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B"/>
    <w:rsid w:val="08377E28"/>
    <w:rsid w:val="08377E43"/>
    <w:rsid w:val="08377E56"/>
    <w:rsid w:val="08377E5D"/>
    <w:rsid w:val="08377EC0"/>
    <w:rsid w:val="08377F27"/>
    <w:rsid w:val="08377F42"/>
    <w:rsid w:val="08377FDC"/>
    <w:rsid w:val="08380006"/>
    <w:rsid w:val="08380029"/>
    <w:rsid w:val="08380050"/>
    <w:rsid w:val="0838005E"/>
    <w:rsid w:val="08380229"/>
    <w:rsid w:val="083802B1"/>
    <w:rsid w:val="0838031F"/>
    <w:rsid w:val="08380404"/>
    <w:rsid w:val="08380430"/>
    <w:rsid w:val="0838043A"/>
    <w:rsid w:val="08380449"/>
    <w:rsid w:val="083804D4"/>
    <w:rsid w:val="083804F9"/>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7BE"/>
    <w:rsid w:val="083818AF"/>
    <w:rsid w:val="083818C4"/>
    <w:rsid w:val="083819DE"/>
    <w:rsid w:val="08381ABC"/>
    <w:rsid w:val="08381C1B"/>
    <w:rsid w:val="08381C60"/>
    <w:rsid w:val="08381CFF"/>
    <w:rsid w:val="08381D2D"/>
    <w:rsid w:val="08381D7A"/>
    <w:rsid w:val="08381DB6"/>
    <w:rsid w:val="08381DDA"/>
    <w:rsid w:val="08381E22"/>
    <w:rsid w:val="08381EBA"/>
    <w:rsid w:val="08381F05"/>
    <w:rsid w:val="08381F1F"/>
    <w:rsid w:val="08381F3B"/>
    <w:rsid w:val="08381F4A"/>
    <w:rsid w:val="08381F82"/>
    <w:rsid w:val="08381FF4"/>
    <w:rsid w:val="08382146"/>
    <w:rsid w:val="083822EF"/>
    <w:rsid w:val="0838237B"/>
    <w:rsid w:val="083823F2"/>
    <w:rsid w:val="083823FA"/>
    <w:rsid w:val="0838241D"/>
    <w:rsid w:val="08382463"/>
    <w:rsid w:val="08382482"/>
    <w:rsid w:val="08382550"/>
    <w:rsid w:val="08382591"/>
    <w:rsid w:val="083825B8"/>
    <w:rsid w:val="0838260F"/>
    <w:rsid w:val="0838266A"/>
    <w:rsid w:val="083826CC"/>
    <w:rsid w:val="08382857"/>
    <w:rsid w:val="0838286E"/>
    <w:rsid w:val="08382873"/>
    <w:rsid w:val="083828EA"/>
    <w:rsid w:val="08382917"/>
    <w:rsid w:val="083829D5"/>
    <w:rsid w:val="083829F0"/>
    <w:rsid w:val="08382B93"/>
    <w:rsid w:val="08382BD1"/>
    <w:rsid w:val="08382BE5"/>
    <w:rsid w:val="08382C38"/>
    <w:rsid w:val="08382C48"/>
    <w:rsid w:val="08382C51"/>
    <w:rsid w:val="08382CCD"/>
    <w:rsid w:val="08382D15"/>
    <w:rsid w:val="08382E4F"/>
    <w:rsid w:val="08382E54"/>
    <w:rsid w:val="08382E8B"/>
    <w:rsid w:val="08382EB8"/>
    <w:rsid w:val="0838302A"/>
    <w:rsid w:val="0838302E"/>
    <w:rsid w:val="083830D3"/>
    <w:rsid w:val="08383133"/>
    <w:rsid w:val="08383153"/>
    <w:rsid w:val="08383180"/>
    <w:rsid w:val="08383224"/>
    <w:rsid w:val="08383268"/>
    <w:rsid w:val="083832A3"/>
    <w:rsid w:val="083832D7"/>
    <w:rsid w:val="0838330A"/>
    <w:rsid w:val="0838339D"/>
    <w:rsid w:val="083834BB"/>
    <w:rsid w:val="08383577"/>
    <w:rsid w:val="083835D9"/>
    <w:rsid w:val="083835F7"/>
    <w:rsid w:val="08383669"/>
    <w:rsid w:val="0838367C"/>
    <w:rsid w:val="0838376A"/>
    <w:rsid w:val="0838382B"/>
    <w:rsid w:val="0838382E"/>
    <w:rsid w:val="08383859"/>
    <w:rsid w:val="0838388C"/>
    <w:rsid w:val="083838A7"/>
    <w:rsid w:val="083838F9"/>
    <w:rsid w:val="08383B76"/>
    <w:rsid w:val="08383BD3"/>
    <w:rsid w:val="08383CB2"/>
    <w:rsid w:val="08383D68"/>
    <w:rsid w:val="08383D76"/>
    <w:rsid w:val="08383DFE"/>
    <w:rsid w:val="08383ED1"/>
    <w:rsid w:val="08383F4C"/>
    <w:rsid w:val="08383FEF"/>
    <w:rsid w:val="0838404E"/>
    <w:rsid w:val="083840D5"/>
    <w:rsid w:val="083840E0"/>
    <w:rsid w:val="083840EE"/>
    <w:rsid w:val="083840F2"/>
    <w:rsid w:val="0838411B"/>
    <w:rsid w:val="08384173"/>
    <w:rsid w:val="083841A7"/>
    <w:rsid w:val="083841C9"/>
    <w:rsid w:val="08384283"/>
    <w:rsid w:val="083842E3"/>
    <w:rsid w:val="08384362"/>
    <w:rsid w:val="08384372"/>
    <w:rsid w:val="0838441A"/>
    <w:rsid w:val="0838443C"/>
    <w:rsid w:val="083845DF"/>
    <w:rsid w:val="083846BB"/>
    <w:rsid w:val="0838470C"/>
    <w:rsid w:val="083847A8"/>
    <w:rsid w:val="083847F8"/>
    <w:rsid w:val="08384875"/>
    <w:rsid w:val="083848B8"/>
    <w:rsid w:val="08384906"/>
    <w:rsid w:val="08384979"/>
    <w:rsid w:val="08384A8B"/>
    <w:rsid w:val="08384B4A"/>
    <w:rsid w:val="08384B54"/>
    <w:rsid w:val="08384B73"/>
    <w:rsid w:val="08384B77"/>
    <w:rsid w:val="08384BC4"/>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A2"/>
    <w:rsid w:val="083853B2"/>
    <w:rsid w:val="083853C2"/>
    <w:rsid w:val="083853E8"/>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D31"/>
    <w:rsid w:val="08385E16"/>
    <w:rsid w:val="08385EA5"/>
    <w:rsid w:val="08385EC8"/>
    <w:rsid w:val="08385F02"/>
    <w:rsid w:val="08385F4B"/>
    <w:rsid w:val="08385F90"/>
    <w:rsid w:val="08386009"/>
    <w:rsid w:val="0838601B"/>
    <w:rsid w:val="0838606C"/>
    <w:rsid w:val="083860BE"/>
    <w:rsid w:val="083860DE"/>
    <w:rsid w:val="0838610A"/>
    <w:rsid w:val="08386153"/>
    <w:rsid w:val="08386174"/>
    <w:rsid w:val="083861E1"/>
    <w:rsid w:val="083861F3"/>
    <w:rsid w:val="083862AA"/>
    <w:rsid w:val="08386334"/>
    <w:rsid w:val="083863AA"/>
    <w:rsid w:val="083863F5"/>
    <w:rsid w:val="0838649D"/>
    <w:rsid w:val="083864B5"/>
    <w:rsid w:val="083864EB"/>
    <w:rsid w:val="08386548"/>
    <w:rsid w:val="0838662D"/>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B1"/>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DF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54E"/>
    <w:rsid w:val="08390699"/>
    <w:rsid w:val="083906F1"/>
    <w:rsid w:val="083908EC"/>
    <w:rsid w:val="083908F5"/>
    <w:rsid w:val="08390AED"/>
    <w:rsid w:val="08390AF7"/>
    <w:rsid w:val="08390B04"/>
    <w:rsid w:val="08390B41"/>
    <w:rsid w:val="08390BB2"/>
    <w:rsid w:val="08390BFC"/>
    <w:rsid w:val="08390C01"/>
    <w:rsid w:val="08390C14"/>
    <w:rsid w:val="08390CFB"/>
    <w:rsid w:val="08390D04"/>
    <w:rsid w:val="08390E5C"/>
    <w:rsid w:val="08390ECF"/>
    <w:rsid w:val="08390FC4"/>
    <w:rsid w:val="083910B7"/>
    <w:rsid w:val="083910F7"/>
    <w:rsid w:val="083910F8"/>
    <w:rsid w:val="083911CE"/>
    <w:rsid w:val="08391305"/>
    <w:rsid w:val="083913C0"/>
    <w:rsid w:val="083915AD"/>
    <w:rsid w:val="0839160D"/>
    <w:rsid w:val="08391661"/>
    <w:rsid w:val="08391671"/>
    <w:rsid w:val="083916C6"/>
    <w:rsid w:val="08391741"/>
    <w:rsid w:val="083917BC"/>
    <w:rsid w:val="0839180C"/>
    <w:rsid w:val="0839186C"/>
    <w:rsid w:val="083918D3"/>
    <w:rsid w:val="08391904"/>
    <w:rsid w:val="0839195C"/>
    <w:rsid w:val="0839199E"/>
    <w:rsid w:val="083919AF"/>
    <w:rsid w:val="083919E5"/>
    <w:rsid w:val="08391A7A"/>
    <w:rsid w:val="08391AB6"/>
    <w:rsid w:val="08391ACC"/>
    <w:rsid w:val="08391ADE"/>
    <w:rsid w:val="08391AEB"/>
    <w:rsid w:val="08391AF3"/>
    <w:rsid w:val="08391D21"/>
    <w:rsid w:val="08391D28"/>
    <w:rsid w:val="08391E56"/>
    <w:rsid w:val="08391F1E"/>
    <w:rsid w:val="08391F6A"/>
    <w:rsid w:val="08391F70"/>
    <w:rsid w:val="08391FA0"/>
    <w:rsid w:val="0839201A"/>
    <w:rsid w:val="0839209F"/>
    <w:rsid w:val="083921BF"/>
    <w:rsid w:val="0839223F"/>
    <w:rsid w:val="08392294"/>
    <w:rsid w:val="083922AF"/>
    <w:rsid w:val="08392360"/>
    <w:rsid w:val="083923FD"/>
    <w:rsid w:val="08392483"/>
    <w:rsid w:val="08392791"/>
    <w:rsid w:val="083927FD"/>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045"/>
    <w:rsid w:val="08393155"/>
    <w:rsid w:val="08393264"/>
    <w:rsid w:val="08393282"/>
    <w:rsid w:val="08393328"/>
    <w:rsid w:val="08393358"/>
    <w:rsid w:val="08393464"/>
    <w:rsid w:val="083934A5"/>
    <w:rsid w:val="08393519"/>
    <w:rsid w:val="08393525"/>
    <w:rsid w:val="083935D5"/>
    <w:rsid w:val="083935EB"/>
    <w:rsid w:val="0839370A"/>
    <w:rsid w:val="08393763"/>
    <w:rsid w:val="08393773"/>
    <w:rsid w:val="083937FA"/>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CD7"/>
    <w:rsid w:val="08394D23"/>
    <w:rsid w:val="08394EA3"/>
    <w:rsid w:val="08395053"/>
    <w:rsid w:val="0839510A"/>
    <w:rsid w:val="08395171"/>
    <w:rsid w:val="083951AF"/>
    <w:rsid w:val="083951D1"/>
    <w:rsid w:val="08395283"/>
    <w:rsid w:val="08395293"/>
    <w:rsid w:val="083952C1"/>
    <w:rsid w:val="08395308"/>
    <w:rsid w:val="08395509"/>
    <w:rsid w:val="08395518"/>
    <w:rsid w:val="08395542"/>
    <w:rsid w:val="083955CA"/>
    <w:rsid w:val="083955D5"/>
    <w:rsid w:val="083955D8"/>
    <w:rsid w:val="08395612"/>
    <w:rsid w:val="083956C9"/>
    <w:rsid w:val="083956D0"/>
    <w:rsid w:val="0839584C"/>
    <w:rsid w:val="083958AA"/>
    <w:rsid w:val="08395969"/>
    <w:rsid w:val="08395A6F"/>
    <w:rsid w:val="08395AA5"/>
    <w:rsid w:val="08395B1C"/>
    <w:rsid w:val="08395B6A"/>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246"/>
    <w:rsid w:val="08396369"/>
    <w:rsid w:val="083963AA"/>
    <w:rsid w:val="08396456"/>
    <w:rsid w:val="083964B0"/>
    <w:rsid w:val="083964B2"/>
    <w:rsid w:val="083964B8"/>
    <w:rsid w:val="0839664A"/>
    <w:rsid w:val="08396655"/>
    <w:rsid w:val="083966B4"/>
    <w:rsid w:val="0839676D"/>
    <w:rsid w:val="0839677E"/>
    <w:rsid w:val="083967C0"/>
    <w:rsid w:val="083967FC"/>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E21"/>
    <w:rsid w:val="08397EC3"/>
    <w:rsid w:val="08397ED1"/>
    <w:rsid w:val="08397F15"/>
    <w:rsid w:val="08397F22"/>
    <w:rsid w:val="08397F7D"/>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0FF9"/>
    <w:rsid w:val="083A101D"/>
    <w:rsid w:val="083A1028"/>
    <w:rsid w:val="083A12BA"/>
    <w:rsid w:val="083A1335"/>
    <w:rsid w:val="083A1342"/>
    <w:rsid w:val="083A13EE"/>
    <w:rsid w:val="083A1553"/>
    <w:rsid w:val="083A160C"/>
    <w:rsid w:val="083A169F"/>
    <w:rsid w:val="083A1793"/>
    <w:rsid w:val="083A181E"/>
    <w:rsid w:val="083A183E"/>
    <w:rsid w:val="083A1890"/>
    <w:rsid w:val="083A18A1"/>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00"/>
    <w:rsid w:val="083A221B"/>
    <w:rsid w:val="083A22BD"/>
    <w:rsid w:val="083A236D"/>
    <w:rsid w:val="083A23A8"/>
    <w:rsid w:val="083A23BE"/>
    <w:rsid w:val="083A23D6"/>
    <w:rsid w:val="083A2403"/>
    <w:rsid w:val="083A241F"/>
    <w:rsid w:val="083A24B0"/>
    <w:rsid w:val="083A24F3"/>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2D9"/>
    <w:rsid w:val="083A3348"/>
    <w:rsid w:val="083A34AF"/>
    <w:rsid w:val="083A34F5"/>
    <w:rsid w:val="083A3582"/>
    <w:rsid w:val="083A3682"/>
    <w:rsid w:val="083A3786"/>
    <w:rsid w:val="083A37FC"/>
    <w:rsid w:val="083A3825"/>
    <w:rsid w:val="083A382C"/>
    <w:rsid w:val="083A3878"/>
    <w:rsid w:val="083A390D"/>
    <w:rsid w:val="083A39CF"/>
    <w:rsid w:val="083A3A34"/>
    <w:rsid w:val="083A3A8E"/>
    <w:rsid w:val="083A3ABE"/>
    <w:rsid w:val="083A3ABF"/>
    <w:rsid w:val="083A3AFC"/>
    <w:rsid w:val="083A3C26"/>
    <w:rsid w:val="083A3C5D"/>
    <w:rsid w:val="083A3CB5"/>
    <w:rsid w:val="083A3D0E"/>
    <w:rsid w:val="083A3D92"/>
    <w:rsid w:val="083A3DAF"/>
    <w:rsid w:val="083A3DBB"/>
    <w:rsid w:val="083A3E00"/>
    <w:rsid w:val="083A3E72"/>
    <w:rsid w:val="083A3F80"/>
    <w:rsid w:val="083A3F86"/>
    <w:rsid w:val="083A3FA8"/>
    <w:rsid w:val="083A402D"/>
    <w:rsid w:val="083A4108"/>
    <w:rsid w:val="083A41BD"/>
    <w:rsid w:val="083A4249"/>
    <w:rsid w:val="083A424D"/>
    <w:rsid w:val="083A4265"/>
    <w:rsid w:val="083A42F3"/>
    <w:rsid w:val="083A439E"/>
    <w:rsid w:val="083A441A"/>
    <w:rsid w:val="083A444D"/>
    <w:rsid w:val="083A4456"/>
    <w:rsid w:val="083A4484"/>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BF3"/>
    <w:rsid w:val="083A4CED"/>
    <w:rsid w:val="083A4CF6"/>
    <w:rsid w:val="083A4D0B"/>
    <w:rsid w:val="083A4D85"/>
    <w:rsid w:val="083A4E10"/>
    <w:rsid w:val="083A4E57"/>
    <w:rsid w:val="083A4E74"/>
    <w:rsid w:val="083A4E80"/>
    <w:rsid w:val="083A4EBB"/>
    <w:rsid w:val="083A4F29"/>
    <w:rsid w:val="083A4F71"/>
    <w:rsid w:val="083A4FAF"/>
    <w:rsid w:val="083A4FFC"/>
    <w:rsid w:val="083A5015"/>
    <w:rsid w:val="083A5100"/>
    <w:rsid w:val="083A5132"/>
    <w:rsid w:val="083A51BC"/>
    <w:rsid w:val="083A5232"/>
    <w:rsid w:val="083A5234"/>
    <w:rsid w:val="083A525D"/>
    <w:rsid w:val="083A52B0"/>
    <w:rsid w:val="083A533F"/>
    <w:rsid w:val="083A5388"/>
    <w:rsid w:val="083A53C7"/>
    <w:rsid w:val="083A5421"/>
    <w:rsid w:val="083A5469"/>
    <w:rsid w:val="083A5479"/>
    <w:rsid w:val="083A54BA"/>
    <w:rsid w:val="083A5533"/>
    <w:rsid w:val="083A5589"/>
    <w:rsid w:val="083A5646"/>
    <w:rsid w:val="083A5760"/>
    <w:rsid w:val="083A5808"/>
    <w:rsid w:val="083A59F0"/>
    <w:rsid w:val="083A5AAC"/>
    <w:rsid w:val="083A5ADD"/>
    <w:rsid w:val="083A5B59"/>
    <w:rsid w:val="083A5B7B"/>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C6"/>
    <w:rsid w:val="083A6166"/>
    <w:rsid w:val="083A61D3"/>
    <w:rsid w:val="083A6228"/>
    <w:rsid w:val="083A6279"/>
    <w:rsid w:val="083A633D"/>
    <w:rsid w:val="083A63F8"/>
    <w:rsid w:val="083A64EA"/>
    <w:rsid w:val="083A654D"/>
    <w:rsid w:val="083A6575"/>
    <w:rsid w:val="083A65A5"/>
    <w:rsid w:val="083A6700"/>
    <w:rsid w:val="083A671D"/>
    <w:rsid w:val="083A67E2"/>
    <w:rsid w:val="083A680F"/>
    <w:rsid w:val="083A692F"/>
    <w:rsid w:val="083A6971"/>
    <w:rsid w:val="083A6AD0"/>
    <w:rsid w:val="083A6B4A"/>
    <w:rsid w:val="083A6B51"/>
    <w:rsid w:val="083A6CF2"/>
    <w:rsid w:val="083A6CF6"/>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96"/>
    <w:rsid w:val="083A74D1"/>
    <w:rsid w:val="083A7612"/>
    <w:rsid w:val="083A7640"/>
    <w:rsid w:val="083A76C7"/>
    <w:rsid w:val="083A76DF"/>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4F"/>
    <w:rsid w:val="083B0665"/>
    <w:rsid w:val="083B069E"/>
    <w:rsid w:val="083B0739"/>
    <w:rsid w:val="083B07F0"/>
    <w:rsid w:val="083B082A"/>
    <w:rsid w:val="083B0933"/>
    <w:rsid w:val="083B095D"/>
    <w:rsid w:val="083B099E"/>
    <w:rsid w:val="083B0B25"/>
    <w:rsid w:val="083B0BBE"/>
    <w:rsid w:val="083B0C3C"/>
    <w:rsid w:val="083B0CBA"/>
    <w:rsid w:val="083B0D1A"/>
    <w:rsid w:val="083B0D8F"/>
    <w:rsid w:val="083B0DD9"/>
    <w:rsid w:val="083B0E6D"/>
    <w:rsid w:val="083B0E86"/>
    <w:rsid w:val="083B0F4E"/>
    <w:rsid w:val="083B0FBE"/>
    <w:rsid w:val="083B1034"/>
    <w:rsid w:val="083B112F"/>
    <w:rsid w:val="083B11B7"/>
    <w:rsid w:val="083B11EB"/>
    <w:rsid w:val="083B12D1"/>
    <w:rsid w:val="083B131A"/>
    <w:rsid w:val="083B1327"/>
    <w:rsid w:val="083B13A9"/>
    <w:rsid w:val="083B148C"/>
    <w:rsid w:val="083B14F9"/>
    <w:rsid w:val="083B15E7"/>
    <w:rsid w:val="083B1693"/>
    <w:rsid w:val="083B1842"/>
    <w:rsid w:val="083B18E3"/>
    <w:rsid w:val="083B1949"/>
    <w:rsid w:val="083B1979"/>
    <w:rsid w:val="083B197C"/>
    <w:rsid w:val="083B1993"/>
    <w:rsid w:val="083B1A9A"/>
    <w:rsid w:val="083B1B6B"/>
    <w:rsid w:val="083B1B6D"/>
    <w:rsid w:val="083B1C73"/>
    <w:rsid w:val="083B1D18"/>
    <w:rsid w:val="083B1DCA"/>
    <w:rsid w:val="083B1DCE"/>
    <w:rsid w:val="083B1EF7"/>
    <w:rsid w:val="083B1F80"/>
    <w:rsid w:val="083B2064"/>
    <w:rsid w:val="083B2076"/>
    <w:rsid w:val="083B21B0"/>
    <w:rsid w:val="083B22A6"/>
    <w:rsid w:val="083B22E7"/>
    <w:rsid w:val="083B22F9"/>
    <w:rsid w:val="083B2332"/>
    <w:rsid w:val="083B2366"/>
    <w:rsid w:val="083B2382"/>
    <w:rsid w:val="083B238F"/>
    <w:rsid w:val="083B244F"/>
    <w:rsid w:val="083B24A6"/>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43"/>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AD7"/>
    <w:rsid w:val="083B3B56"/>
    <w:rsid w:val="083B3BD5"/>
    <w:rsid w:val="083B3C64"/>
    <w:rsid w:val="083B3C81"/>
    <w:rsid w:val="083B3CA9"/>
    <w:rsid w:val="083B3D06"/>
    <w:rsid w:val="083B3EF4"/>
    <w:rsid w:val="083B3F2E"/>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52"/>
    <w:rsid w:val="083B47EA"/>
    <w:rsid w:val="083B4854"/>
    <w:rsid w:val="083B4940"/>
    <w:rsid w:val="083B494C"/>
    <w:rsid w:val="083B494E"/>
    <w:rsid w:val="083B4996"/>
    <w:rsid w:val="083B49E6"/>
    <w:rsid w:val="083B4A3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570"/>
    <w:rsid w:val="083B5664"/>
    <w:rsid w:val="083B5667"/>
    <w:rsid w:val="083B5862"/>
    <w:rsid w:val="083B58C4"/>
    <w:rsid w:val="083B59B9"/>
    <w:rsid w:val="083B59D5"/>
    <w:rsid w:val="083B5AF2"/>
    <w:rsid w:val="083B5B6E"/>
    <w:rsid w:val="083B5BDE"/>
    <w:rsid w:val="083B5CA9"/>
    <w:rsid w:val="083B5CB8"/>
    <w:rsid w:val="083B5D01"/>
    <w:rsid w:val="083B5D54"/>
    <w:rsid w:val="083B5D68"/>
    <w:rsid w:val="083B5EEA"/>
    <w:rsid w:val="083B5F5F"/>
    <w:rsid w:val="083B5F85"/>
    <w:rsid w:val="083B5FE6"/>
    <w:rsid w:val="083B608E"/>
    <w:rsid w:val="083B6187"/>
    <w:rsid w:val="083B619B"/>
    <w:rsid w:val="083B628B"/>
    <w:rsid w:val="083B6310"/>
    <w:rsid w:val="083B6371"/>
    <w:rsid w:val="083B6405"/>
    <w:rsid w:val="083B6416"/>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E"/>
    <w:rsid w:val="083B6F86"/>
    <w:rsid w:val="083B701A"/>
    <w:rsid w:val="083B70A8"/>
    <w:rsid w:val="083B70AD"/>
    <w:rsid w:val="083B70F1"/>
    <w:rsid w:val="083B7189"/>
    <w:rsid w:val="083B72BE"/>
    <w:rsid w:val="083B732C"/>
    <w:rsid w:val="083B73DE"/>
    <w:rsid w:val="083B7414"/>
    <w:rsid w:val="083B7421"/>
    <w:rsid w:val="083B74CD"/>
    <w:rsid w:val="083B74E5"/>
    <w:rsid w:val="083B7588"/>
    <w:rsid w:val="083B75F3"/>
    <w:rsid w:val="083B7618"/>
    <w:rsid w:val="083B7703"/>
    <w:rsid w:val="083B77A0"/>
    <w:rsid w:val="083B77E6"/>
    <w:rsid w:val="083B780F"/>
    <w:rsid w:val="083B783C"/>
    <w:rsid w:val="083B7849"/>
    <w:rsid w:val="083B785B"/>
    <w:rsid w:val="083B785E"/>
    <w:rsid w:val="083B7883"/>
    <w:rsid w:val="083B78D1"/>
    <w:rsid w:val="083B796C"/>
    <w:rsid w:val="083B7996"/>
    <w:rsid w:val="083B79D4"/>
    <w:rsid w:val="083B7A02"/>
    <w:rsid w:val="083B7B23"/>
    <w:rsid w:val="083B7B49"/>
    <w:rsid w:val="083B7BDC"/>
    <w:rsid w:val="083B7BE5"/>
    <w:rsid w:val="083B7C30"/>
    <w:rsid w:val="083B7D43"/>
    <w:rsid w:val="083B7DB9"/>
    <w:rsid w:val="083B7DEA"/>
    <w:rsid w:val="083B7E28"/>
    <w:rsid w:val="083B7E2D"/>
    <w:rsid w:val="083B7E9E"/>
    <w:rsid w:val="083B7EBE"/>
    <w:rsid w:val="083B7F7C"/>
    <w:rsid w:val="083B7FF8"/>
    <w:rsid w:val="083C0035"/>
    <w:rsid w:val="083C0074"/>
    <w:rsid w:val="083C00F4"/>
    <w:rsid w:val="083C0200"/>
    <w:rsid w:val="083C022D"/>
    <w:rsid w:val="083C0246"/>
    <w:rsid w:val="083C0248"/>
    <w:rsid w:val="083C0266"/>
    <w:rsid w:val="083C02B6"/>
    <w:rsid w:val="083C02CE"/>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FC6"/>
    <w:rsid w:val="083C101E"/>
    <w:rsid w:val="083C1231"/>
    <w:rsid w:val="083C1242"/>
    <w:rsid w:val="083C124F"/>
    <w:rsid w:val="083C1287"/>
    <w:rsid w:val="083C12D2"/>
    <w:rsid w:val="083C143B"/>
    <w:rsid w:val="083C14DA"/>
    <w:rsid w:val="083C1534"/>
    <w:rsid w:val="083C15F6"/>
    <w:rsid w:val="083C161E"/>
    <w:rsid w:val="083C1709"/>
    <w:rsid w:val="083C17BB"/>
    <w:rsid w:val="083C17D3"/>
    <w:rsid w:val="083C17D7"/>
    <w:rsid w:val="083C1966"/>
    <w:rsid w:val="083C19D7"/>
    <w:rsid w:val="083C1A4E"/>
    <w:rsid w:val="083C1A92"/>
    <w:rsid w:val="083C1AA1"/>
    <w:rsid w:val="083C1AA6"/>
    <w:rsid w:val="083C1AAB"/>
    <w:rsid w:val="083C1BB9"/>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D95"/>
    <w:rsid w:val="083C2F68"/>
    <w:rsid w:val="083C2F79"/>
    <w:rsid w:val="083C3000"/>
    <w:rsid w:val="083C300A"/>
    <w:rsid w:val="083C3073"/>
    <w:rsid w:val="083C3103"/>
    <w:rsid w:val="083C3107"/>
    <w:rsid w:val="083C315D"/>
    <w:rsid w:val="083C315F"/>
    <w:rsid w:val="083C318C"/>
    <w:rsid w:val="083C31AE"/>
    <w:rsid w:val="083C31BB"/>
    <w:rsid w:val="083C31ED"/>
    <w:rsid w:val="083C3283"/>
    <w:rsid w:val="083C3292"/>
    <w:rsid w:val="083C32BC"/>
    <w:rsid w:val="083C331F"/>
    <w:rsid w:val="083C33DA"/>
    <w:rsid w:val="083C344B"/>
    <w:rsid w:val="083C348D"/>
    <w:rsid w:val="083C34A6"/>
    <w:rsid w:val="083C34D3"/>
    <w:rsid w:val="083C34D6"/>
    <w:rsid w:val="083C3514"/>
    <w:rsid w:val="083C351D"/>
    <w:rsid w:val="083C35FC"/>
    <w:rsid w:val="083C3619"/>
    <w:rsid w:val="083C366D"/>
    <w:rsid w:val="083C367B"/>
    <w:rsid w:val="083C375A"/>
    <w:rsid w:val="083C3847"/>
    <w:rsid w:val="083C3943"/>
    <w:rsid w:val="083C39B8"/>
    <w:rsid w:val="083C39DD"/>
    <w:rsid w:val="083C3A40"/>
    <w:rsid w:val="083C3A44"/>
    <w:rsid w:val="083C3AB9"/>
    <w:rsid w:val="083C3B23"/>
    <w:rsid w:val="083C3B57"/>
    <w:rsid w:val="083C3B6E"/>
    <w:rsid w:val="083C3BA9"/>
    <w:rsid w:val="083C3C23"/>
    <w:rsid w:val="083C3C59"/>
    <w:rsid w:val="083C3D0D"/>
    <w:rsid w:val="083C3D0F"/>
    <w:rsid w:val="083C3D31"/>
    <w:rsid w:val="083C3D3B"/>
    <w:rsid w:val="083C3E97"/>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47"/>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F2"/>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37D"/>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3"/>
    <w:rsid w:val="083D0E36"/>
    <w:rsid w:val="083D0EB6"/>
    <w:rsid w:val="083D104C"/>
    <w:rsid w:val="083D1103"/>
    <w:rsid w:val="083D1202"/>
    <w:rsid w:val="083D1204"/>
    <w:rsid w:val="083D1264"/>
    <w:rsid w:val="083D131F"/>
    <w:rsid w:val="083D13A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B7B"/>
    <w:rsid w:val="083D1C9D"/>
    <w:rsid w:val="083D1CBE"/>
    <w:rsid w:val="083D1CFF"/>
    <w:rsid w:val="083D1D77"/>
    <w:rsid w:val="083D1EEC"/>
    <w:rsid w:val="083D1F38"/>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A23"/>
    <w:rsid w:val="083D2B88"/>
    <w:rsid w:val="083D2DE7"/>
    <w:rsid w:val="083D2E2A"/>
    <w:rsid w:val="083D2EA9"/>
    <w:rsid w:val="083D2EFC"/>
    <w:rsid w:val="083D2F31"/>
    <w:rsid w:val="083D2FED"/>
    <w:rsid w:val="083D3015"/>
    <w:rsid w:val="083D308C"/>
    <w:rsid w:val="083D30DF"/>
    <w:rsid w:val="083D3200"/>
    <w:rsid w:val="083D3224"/>
    <w:rsid w:val="083D324F"/>
    <w:rsid w:val="083D328B"/>
    <w:rsid w:val="083D32AE"/>
    <w:rsid w:val="083D3302"/>
    <w:rsid w:val="083D3318"/>
    <w:rsid w:val="083D3401"/>
    <w:rsid w:val="083D3411"/>
    <w:rsid w:val="083D3416"/>
    <w:rsid w:val="083D3419"/>
    <w:rsid w:val="083D3727"/>
    <w:rsid w:val="083D3749"/>
    <w:rsid w:val="083D3760"/>
    <w:rsid w:val="083D3786"/>
    <w:rsid w:val="083D37AE"/>
    <w:rsid w:val="083D38F9"/>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E"/>
    <w:rsid w:val="083D4147"/>
    <w:rsid w:val="083D414B"/>
    <w:rsid w:val="083D422C"/>
    <w:rsid w:val="083D4232"/>
    <w:rsid w:val="083D423D"/>
    <w:rsid w:val="083D42A3"/>
    <w:rsid w:val="083D4360"/>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DDF"/>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3F"/>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5"/>
    <w:rsid w:val="083D681D"/>
    <w:rsid w:val="083D6B3C"/>
    <w:rsid w:val="083D6B98"/>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18"/>
    <w:rsid w:val="083D72ED"/>
    <w:rsid w:val="083D7430"/>
    <w:rsid w:val="083D7451"/>
    <w:rsid w:val="083D7492"/>
    <w:rsid w:val="083D74AC"/>
    <w:rsid w:val="083D74B7"/>
    <w:rsid w:val="083D7598"/>
    <w:rsid w:val="083D75B1"/>
    <w:rsid w:val="083D7635"/>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4A"/>
    <w:rsid w:val="083D7E73"/>
    <w:rsid w:val="083D7EC1"/>
    <w:rsid w:val="083D7F4B"/>
    <w:rsid w:val="083D7F5F"/>
    <w:rsid w:val="083D7F7A"/>
    <w:rsid w:val="083D7FC4"/>
    <w:rsid w:val="083E008A"/>
    <w:rsid w:val="083E0158"/>
    <w:rsid w:val="083E0177"/>
    <w:rsid w:val="083E0258"/>
    <w:rsid w:val="083E0261"/>
    <w:rsid w:val="083E028B"/>
    <w:rsid w:val="083E035E"/>
    <w:rsid w:val="083E037A"/>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AD1"/>
    <w:rsid w:val="083E0B79"/>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C6"/>
    <w:rsid w:val="083E1BD0"/>
    <w:rsid w:val="083E1C07"/>
    <w:rsid w:val="083E1C0F"/>
    <w:rsid w:val="083E1CCC"/>
    <w:rsid w:val="083E1D0B"/>
    <w:rsid w:val="083E1E74"/>
    <w:rsid w:val="083E1E7F"/>
    <w:rsid w:val="083E1F56"/>
    <w:rsid w:val="083E1F80"/>
    <w:rsid w:val="083E2201"/>
    <w:rsid w:val="083E242A"/>
    <w:rsid w:val="083E2530"/>
    <w:rsid w:val="083E2545"/>
    <w:rsid w:val="083E266C"/>
    <w:rsid w:val="083E2698"/>
    <w:rsid w:val="083E274B"/>
    <w:rsid w:val="083E2781"/>
    <w:rsid w:val="083E2810"/>
    <w:rsid w:val="083E28C6"/>
    <w:rsid w:val="083E28E9"/>
    <w:rsid w:val="083E2997"/>
    <w:rsid w:val="083E29AE"/>
    <w:rsid w:val="083E2A11"/>
    <w:rsid w:val="083E2A82"/>
    <w:rsid w:val="083E2C27"/>
    <w:rsid w:val="083E2C6B"/>
    <w:rsid w:val="083E2C80"/>
    <w:rsid w:val="083E2CD5"/>
    <w:rsid w:val="083E2CFF"/>
    <w:rsid w:val="083E2D6B"/>
    <w:rsid w:val="083E2D70"/>
    <w:rsid w:val="083E2DD2"/>
    <w:rsid w:val="083E2E7B"/>
    <w:rsid w:val="083E2E9E"/>
    <w:rsid w:val="083E2FEF"/>
    <w:rsid w:val="083E302C"/>
    <w:rsid w:val="083E3074"/>
    <w:rsid w:val="083E308C"/>
    <w:rsid w:val="083E30C5"/>
    <w:rsid w:val="083E30D1"/>
    <w:rsid w:val="083E31EC"/>
    <w:rsid w:val="083E31F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EE3"/>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70"/>
    <w:rsid w:val="083E488C"/>
    <w:rsid w:val="083E4934"/>
    <w:rsid w:val="083E4A82"/>
    <w:rsid w:val="083E4ACA"/>
    <w:rsid w:val="083E4B20"/>
    <w:rsid w:val="083E4B40"/>
    <w:rsid w:val="083E4C8A"/>
    <w:rsid w:val="083E4D30"/>
    <w:rsid w:val="083E4D58"/>
    <w:rsid w:val="083E4D8D"/>
    <w:rsid w:val="083E4DD5"/>
    <w:rsid w:val="083E4F14"/>
    <w:rsid w:val="083E500F"/>
    <w:rsid w:val="083E5071"/>
    <w:rsid w:val="083E51DE"/>
    <w:rsid w:val="083E5288"/>
    <w:rsid w:val="083E538F"/>
    <w:rsid w:val="083E5403"/>
    <w:rsid w:val="083E5589"/>
    <w:rsid w:val="083E5624"/>
    <w:rsid w:val="083E566E"/>
    <w:rsid w:val="083E580A"/>
    <w:rsid w:val="083E585A"/>
    <w:rsid w:val="083E58C7"/>
    <w:rsid w:val="083E591E"/>
    <w:rsid w:val="083E598E"/>
    <w:rsid w:val="083E59C3"/>
    <w:rsid w:val="083E5A52"/>
    <w:rsid w:val="083E5AF6"/>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4C"/>
    <w:rsid w:val="083E667C"/>
    <w:rsid w:val="083E6728"/>
    <w:rsid w:val="083E6789"/>
    <w:rsid w:val="083E67EA"/>
    <w:rsid w:val="083E6941"/>
    <w:rsid w:val="083E6971"/>
    <w:rsid w:val="083E6A13"/>
    <w:rsid w:val="083E6BDF"/>
    <w:rsid w:val="083E6C37"/>
    <w:rsid w:val="083E6D8B"/>
    <w:rsid w:val="083E6E10"/>
    <w:rsid w:val="083E6E6C"/>
    <w:rsid w:val="083E6ED9"/>
    <w:rsid w:val="083E6F2D"/>
    <w:rsid w:val="083E707C"/>
    <w:rsid w:val="083E70E3"/>
    <w:rsid w:val="083E7117"/>
    <w:rsid w:val="083E7225"/>
    <w:rsid w:val="083E72B6"/>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1D"/>
    <w:rsid w:val="083F0263"/>
    <w:rsid w:val="083F028F"/>
    <w:rsid w:val="083F029B"/>
    <w:rsid w:val="083F030B"/>
    <w:rsid w:val="083F0413"/>
    <w:rsid w:val="083F043A"/>
    <w:rsid w:val="083F04A6"/>
    <w:rsid w:val="083F04F0"/>
    <w:rsid w:val="083F0513"/>
    <w:rsid w:val="083F0633"/>
    <w:rsid w:val="083F0644"/>
    <w:rsid w:val="083F06A0"/>
    <w:rsid w:val="083F06A9"/>
    <w:rsid w:val="083F06D3"/>
    <w:rsid w:val="083F0704"/>
    <w:rsid w:val="083F0769"/>
    <w:rsid w:val="083F0796"/>
    <w:rsid w:val="083F07B1"/>
    <w:rsid w:val="083F07D8"/>
    <w:rsid w:val="083F0868"/>
    <w:rsid w:val="083F096E"/>
    <w:rsid w:val="083F0AC3"/>
    <w:rsid w:val="083F0B35"/>
    <w:rsid w:val="083F0B6E"/>
    <w:rsid w:val="083F0B72"/>
    <w:rsid w:val="083F0B8B"/>
    <w:rsid w:val="083F0C26"/>
    <w:rsid w:val="083F0C47"/>
    <w:rsid w:val="083F0C90"/>
    <w:rsid w:val="083F0D3A"/>
    <w:rsid w:val="083F0DDC"/>
    <w:rsid w:val="083F0DED"/>
    <w:rsid w:val="083F0E24"/>
    <w:rsid w:val="083F0E9C"/>
    <w:rsid w:val="083F0F47"/>
    <w:rsid w:val="083F0F69"/>
    <w:rsid w:val="083F0F91"/>
    <w:rsid w:val="083F0FA7"/>
    <w:rsid w:val="083F0FC3"/>
    <w:rsid w:val="083F0FC4"/>
    <w:rsid w:val="083F1032"/>
    <w:rsid w:val="083F1079"/>
    <w:rsid w:val="083F111F"/>
    <w:rsid w:val="083F112D"/>
    <w:rsid w:val="083F1179"/>
    <w:rsid w:val="083F11E0"/>
    <w:rsid w:val="083F128E"/>
    <w:rsid w:val="083F12E7"/>
    <w:rsid w:val="083F13DF"/>
    <w:rsid w:val="083F141E"/>
    <w:rsid w:val="083F145C"/>
    <w:rsid w:val="083F153D"/>
    <w:rsid w:val="083F1620"/>
    <w:rsid w:val="083F1736"/>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A6"/>
    <w:rsid w:val="083F2671"/>
    <w:rsid w:val="083F26C2"/>
    <w:rsid w:val="083F2795"/>
    <w:rsid w:val="083F27BA"/>
    <w:rsid w:val="083F27D4"/>
    <w:rsid w:val="083F27E5"/>
    <w:rsid w:val="083F283C"/>
    <w:rsid w:val="083F2849"/>
    <w:rsid w:val="083F28CB"/>
    <w:rsid w:val="083F2BB7"/>
    <w:rsid w:val="083F2BE4"/>
    <w:rsid w:val="083F2C4A"/>
    <w:rsid w:val="083F2C8C"/>
    <w:rsid w:val="083F2C9D"/>
    <w:rsid w:val="083F2CF3"/>
    <w:rsid w:val="083F2D40"/>
    <w:rsid w:val="083F2D8A"/>
    <w:rsid w:val="083F2E92"/>
    <w:rsid w:val="083F2E98"/>
    <w:rsid w:val="083F2EA9"/>
    <w:rsid w:val="083F2EF3"/>
    <w:rsid w:val="083F2F2D"/>
    <w:rsid w:val="083F3023"/>
    <w:rsid w:val="083F3036"/>
    <w:rsid w:val="083F3103"/>
    <w:rsid w:val="083F3107"/>
    <w:rsid w:val="083F3170"/>
    <w:rsid w:val="083F3205"/>
    <w:rsid w:val="083F3220"/>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970"/>
    <w:rsid w:val="083F4AC9"/>
    <w:rsid w:val="083F4C13"/>
    <w:rsid w:val="083F4C3C"/>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49D"/>
    <w:rsid w:val="083F5527"/>
    <w:rsid w:val="083F554C"/>
    <w:rsid w:val="083F5570"/>
    <w:rsid w:val="083F55B4"/>
    <w:rsid w:val="083F55DD"/>
    <w:rsid w:val="083F566C"/>
    <w:rsid w:val="083F567E"/>
    <w:rsid w:val="083F571E"/>
    <w:rsid w:val="083F57C1"/>
    <w:rsid w:val="083F584F"/>
    <w:rsid w:val="083F587A"/>
    <w:rsid w:val="083F588E"/>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8E"/>
    <w:rsid w:val="083F6ABB"/>
    <w:rsid w:val="083F6ACF"/>
    <w:rsid w:val="083F6AE0"/>
    <w:rsid w:val="083F6B50"/>
    <w:rsid w:val="083F6B7A"/>
    <w:rsid w:val="083F6BA9"/>
    <w:rsid w:val="083F6BB7"/>
    <w:rsid w:val="083F6BE9"/>
    <w:rsid w:val="083F6D8D"/>
    <w:rsid w:val="083F6DA2"/>
    <w:rsid w:val="083F6DD9"/>
    <w:rsid w:val="083F6DF3"/>
    <w:rsid w:val="083F6E58"/>
    <w:rsid w:val="083F6EDE"/>
    <w:rsid w:val="083F6F58"/>
    <w:rsid w:val="083F6F59"/>
    <w:rsid w:val="083F6FAB"/>
    <w:rsid w:val="083F702C"/>
    <w:rsid w:val="083F702D"/>
    <w:rsid w:val="083F713F"/>
    <w:rsid w:val="083F71A5"/>
    <w:rsid w:val="083F7273"/>
    <w:rsid w:val="083F7320"/>
    <w:rsid w:val="083F738E"/>
    <w:rsid w:val="083F73D7"/>
    <w:rsid w:val="083F743F"/>
    <w:rsid w:val="083F748C"/>
    <w:rsid w:val="083F74AA"/>
    <w:rsid w:val="083F74C8"/>
    <w:rsid w:val="083F7516"/>
    <w:rsid w:val="083F7648"/>
    <w:rsid w:val="083F76DE"/>
    <w:rsid w:val="083F7760"/>
    <w:rsid w:val="083F7859"/>
    <w:rsid w:val="083F78E5"/>
    <w:rsid w:val="083F790A"/>
    <w:rsid w:val="083F79DF"/>
    <w:rsid w:val="083F7A6B"/>
    <w:rsid w:val="083F7B08"/>
    <w:rsid w:val="083F7B21"/>
    <w:rsid w:val="083F7C16"/>
    <w:rsid w:val="083F7CEC"/>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AE5"/>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1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A94"/>
    <w:rsid w:val="08402B1B"/>
    <w:rsid w:val="08402B75"/>
    <w:rsid w:val="08402B9C"/>
    <w:rsid w:val="08402CD2"/>
    <w:rsid w:val="08402CF9"/>
    <w:rsid w:val="08402D01"/>
    <w:rsid w:val="08402D23"/>
    <w:rsid w:val="08402D65"/>
    <w:rsid w:val="08402DA6"/>
    <w:rsid w:val="08402E60"/>
    <w:rsid w:val="08402E77"/>
    <w:rsid w:val="08402EF8"/>
    <w:rsid w:val="08402F80"/>
    <w:rsid w:val="08403045"/>
    <w:rsid w:val="08403111"/>
    <w:rsid w:val="08403122"/>
    <w:rsid w:val="0840330B"/>
    <w:rsid w:val="08403374"/>
    <w:rsid w:val="0840339E"/>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97C"/>
    <w:rsid w:val="08403AE5"/>
    <w:rsid w:val="08403B2D"/>
    <w:rsid w:val="08403C8B"/>
    <w:rsid w:val="08403CD1"/>
    <w:rsid w:val="08403CD8"/>
    <w:rsid w:val="08403D2E"/>
    <w:rsid w:val="08403DA8"/>
    <w:rsid w:val="08403E01"/>
    <w:rsid w:val="08403E9A"/>
    <w:rsid w:val="08403EFA"/>
    <w:rsid w:val="08403FA6"/>
    <w:rsid w:val="08403FAB"/>
    <w:rsid w:val="0840404A"/>
    <w:rsid w:val="0840417F"/>
    <w:rsid w:val="0840418F"/>
    <w:rsid w:val="08404286"/>
    <w:rsid w:val="084042F6"/>
    <w:rsid w:val="0840430D"/>
    <w:rsid w:val="0840436E"/>
    <w:rsid w:val="084043C1"/>
    <w:rsid w:val="08404548"/>
    <w:rsid w:val="08404587"/>
    <w:rsid w:val="08404595"/>
    <w:rsid w:val="084045AD"/>
    <w:rsid w:val="084046B3"/>
    <w:rsid w:val="084046DE"/>
    <w:rsid w:val="084047C0"/>
    <w:rsid w:val="08404878"/>
    <w:rsid w:val="0840489D"/>
    <w:rsid w:val="0840490E"/>
    <w:rsid w:val="0840493A"/>
    <w:rsid w:val="08404990"/>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9"/>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CF"/>
    <w:rsid w:val="08406674"/>
    <w:rsid w:val="0840669C"/>
    <w:rsid w:val="084066A9"/>
    <w:rsid w:val="084067BE"/>
    <w:rsid w:val="084068B6"/>
    <w:rsid w:val="084068D5"/>
    <w:rsid w:val="08406903"/>
    <w:rsid w:val="08406914"/>
    <w:rsid w:val="084069CA"/>
    <w:rsid w:val="08406A62"/>
    <w:rsid w:val="08406A9D"/>
    <w:rsid w:val="08406CE0"/>
    <w:rsid w:val="08406D12"/>
    <w:rsid w:val="08406D63"/>
    <w:rsid w:val="08406DAE"/>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1BA"/>
    <w:rsid w:val="0841020D"/>
    <w:rsid w:val="0841025A"/>
    <w:rsid w:val="08410307"/>
    <w:rsid w:val="08410318"/>
    <w:rsid w:val="08410352"/>
    <w:rsid w:val="084103BA"/>
    <w:rsid w:val="084103F5"/>
    <w:rsid w:val="084104B8"/>
    <w:rsid w:val="0841050E"/>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D8"/>
    <w:rsid w:val="084118DB"/>
    <w:rsid w:val="0841198D"/>
    <w:rsid w:val="084119A5"/>
    <w:rsid w:val="084119E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93"/>
    <w:rsid w:val="0841229C"/>
    <w:rsid w:val="08412377"/>
    <w:rsid w:val="08412381"/>
    <w:rsid w:val="084123CD"/>
    <w:rsid w:val="084123D2"/>
    <w:rsid w:val="0841243B"/>
    <w:rsid w:val="08412472"/>
    <w:rsid w:val="0841249F"/>
    <w:rsid w:val="08412543"/>
    <w:rsid w:val="0841258B"/>
    <w:rsid w:val="08412596"/>
    <w:rsid w:val="084125B4"/>
    <w:rsid w:val="0841261D"/>
    <w:rsid w:val="084126D1"/>
    <w:rsid w:val="084126F5"/>
    <w:rsid w:val="084127D2"/>
    <w:rsid w:val="08412830"/>
    <w:rsid w:val="08412884"/>
    <w:rsid w:val="08412909"/>
    <w:rsid w:val="08412988"/>
    <w:rsid w:val="08412A53"/>
    <w:rsid w:val="08412A99"/>
    <w:rsid w:val="08412A9B"/>
    <w:rsid w:val="08412AD1"/>
    <w:rsid w:val="08412B28"/>
    <w:rsid w:val="08412BF0"/>
    <w:rsid w:val="08412CAF"/>
    <w:rsid w:val="08412E48"/>
    <w:rsid w:val="08412F75"/>
    <w:rsid w:val="08412FC3"/>
    <w:rsid w:val="0841302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B83"/>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5E"/>
    <w:rsid w:val="08414899"/>
    <w:rsid w:val="08414931"/>
    <w:rsid w:val="08414967"/>
    <w:rsid w:val="084149A9"/>
    <w:rsid w:val="084149F7"/>
    <w:rsid w:val="08414B61"/>
    <w:rsid w:val="08414C48"/>
    <w:rsid w:val="08414C69"/>
    <w:rsid w:val="08414D0C"/>
    <w:rsid w:val="08414D40"/>
    <w:rsid w:val="08414D64"/>
    <w:rsid w:val="08414DA3"/>
    <w:rsid w:val="08414DC9"/>
    <w:rsid w:val="08414DCA"/>
    <w:rsid w:val="08414E3D"/>
    <w:rsid w:val="08414EB7"/>
    <w:rsid w:val="08414F8D"/>
    <w:rsid w:val="08414FEC"/>
    <w:rsid w:val="084151D2"/>
    <w:rsid w:val="084151DB"/>
    <w:rsid w:val="0841522E"/>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93"/>
    <w:rsid w:val="084161FD"/>
    <w:rsid w:val="08416205"/>
    <w:rsid w:val="08416238"/>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930"/>
    <w:rsid w:val="0841696B"/>
    <w:rsid w:val="084169B3"/>
    <w:rsid w:val="08416A38"/>
    <w:rsid w:val="08416A9B"/>
    <w:rsid w:val="08416B02"/>
    <w:rsid w:val="08416B49"/>
    <w:rsid w:val="08416BEB"/>
    <w:rsid w:val="08416CCA"/>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59B"/>
    <w:rsid w:val="0841759C"/>
    <w:rsid w:val="084176B5"/>
    <w:rsid w:val="0841772A"/>
    <w:rsid w:val="08417849"/>
    <w:rsid w:val="084178D0"/>
    <w:rsid w:val="08417A01"/>
    <w:rsid w:val="08417A6D"/>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EC"/>
    <w:rsid w:val="0842088D"/>
    <w:rsid w:val="0842088E"/>
    <w:rsid w:val="084208D9"/>
    <w:rsid w:val="0842094C"/>
    <w:rsid w:val="084209E0"/>
    <w:rsid w:val="08420AE4"/>
    <w:rsid w:val="08420BB7"/>
    <w:rsid w:val="08420D48"/>
    <w:rsid w:val="08420D4E"/>
    <w:rsid w:val="08420D8C"/>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E4"/>
    <w:rsid w:val="0842150F"/>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BF3"/>
    <w:rsid w:val="08421C1B"/>
    <w:rsid w:val="08421CC3"/>
    <w:rsid w:val="08421D30"/>
    <w:rsid w:val="08421DD6"/>
    <w:rsid w:val="08421DE0"/>
    <w:rsid w:val="08421E63"/>
    <w:rsid w:val="08421ECD"/>
    <w:rsid w:val="08421F11"/>
    <w:rsid w:val="08421F48"/>
    <w:rsid w:val="08421F53"/>
    <w:rsid w:val="08421F94"/>
    <w:rsid w:val="08421FE8"/>
    <w:rsid w:val="0842206E"/>
    <w:rsid w:val="0842208D"/>
    <w:rsid w:val="084220B0"/>
    <w:rsid w:val="084220C4"/>
    <w:rsid w:val="084220F9"/>
    <w:rsid w:val="08422293"/>
    <w:rsid w:val="084222E9"/>
    <w:rsid w:val="084223A5"/>
    <w:rsid w:val="084223AF"/>
    <w:rsid w:val="084223D4"/>
    <w:rsid w:val="08422408"/>
    <w:rsid w:val="08422438"/>
    <w:rsid w:val="08422493"/>
    <w:rsid w:val="084224FD"/>
    <w:rsid w:val="084225FE"/>
    <w:rsid w:val="08422612"/>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F8"/>
    <w:rsid w:val="08423C30"/>
    <w:rsid w:val="08423CD5"/>
    <w:rsid w:val="08423CED"/>
    <w:rsid w:val="08423D4C"/>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7EA"/>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A00"/>
    <w:rsid w:val="08425A3B"/>
    <w:rsid w:val="08425AEB"/>
    <w:rsid w:val="08425B50"/>
    <w:rsid w:val="08425C62"/>
    <w:rsid w:val="08425C8C"/>
    <w:rsid w:val="08425CCB"/>
    <w:rsid w:val="08425D65"/>
    <w:rsid w:val="08425D96"/>
    <w:rsid w:val="08425E0F"/>
    <w:rsid w:val="08425E6E"/>
    <w:rsid w:val="08425F78"/>
    <w:rsid w:val="0842616A"/>
    <w:rsid w:val="084261B1"/>
    <w:rsid w:val="084261F6"/>
    <w:rsid w:val="084262B3"/>
    <w:rsid w:val="08426346"/>
    <w:rsid w:val="084263C7"/>
    <w:rsid w:val="08426453"/>
    <w:rsid w:val="084264A6"/>
    <w:rsid w:val="08426513"/>
    <w:rsid w:val="08426532"/>
    <w:rsid w:val="08426544"/>
    <w:rsid w:val="08426569"/>
    <w:rsid w:val="08426629"/>
    <w:rsid w:val="084266A7"/>
    <w:rsid w:val="084266AD"/>
    <w:rsid w:val="0842674A"/>
    <w:rsid w:val="0842679C"/>
    <w:rsid w:val="08426832"/>
    <w:rsid w:val="084268CA"/>
    <w:rsid w:val="0842693D"/>
    <w:rsid w:val="08426950"/>
    <w:rsid w:val="084269AD"/>
    <w:rsid w:val="084269E4"/>
    <w:rsid w:val="08426A46"/>
    <w:rsid w:val="08426B4B"/>
    <w:rsid w:val="08426B66"/>
    <w:rsid w:val="08426BD8"/>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F"/>
    <w:rsid w:val="08427B70"/>
    <w:rsid w:val="08427B72"/>
    <w:rsid w:val="08427BC2"/>
    <w:rsid w:val="08427D1F"/>
    <w:rsid w:val="08427D83"/>
    <w:rsid w:val="08427DE2"/>
    <w:rsid w:val="08427E79"/>
    <w:rsid w:val="08427F7C"/>
    <w:rsid w:val="084300BA"/>
    <w:rsid w:val="084300C7"/>
    <w:rsid w:val="084301E0"/>
    <w:rsid w:val="084301E4"/>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B13"/>
    <w:rsid w:val="08431B1F"/>
    <w:rsid w:val="08431B2D"/>
    <w:rsid w:val="08431C33"/>
    <w:rsid w:val="08431C60"/>
    <w:rsid w:val="08431C96"/>
    <w:rsid w:val="08431CDD"/>
    <w:rsid w:val="08431D14"/>
    <w:rsid w:val="08431E68"/>
    <w:rsid w:val="08431E76"/>
    <w:rsid w:val="08431E82"/>
    <w:rsid w:val="08431F2F"/>
    <w:rsid w:val="08431F5C"/>
    <w:rsid w:val="08432044"/>
    <w:rsid w:val="084320A5"/>
    <w:rsid w:val="08432119"/>
    <w:rsid w:val="0843211A"/>
    <w:rsid w:val="0843213E"/>
    <w:rsid w:val="08432172"/>
    <w:rsid w:val="084321BF"/>
    <w:rsid w:val="08432386"/>
    <w:rsid w:val="084323C8"/>
    <w:rsid w:val="084323E3"/>
    <w:rsid w:val="0843241F"/>
    <w:rsid w:val="0843242C"/>
    <w:rsid w:val="0843248A"/>
    <w:rsid w:val="0843249E"/>
    <w:rsid w:val="084324BA"/>
    <w:rsid w:val="084324BB"/>
    <w:rsid w:val="084324FF"/>
    <w:rsid w:val="08432550"/>
    <w:rsid w:val="0843259E"/>
    <w:rsid w:val="0843266A"/>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103"/>
    <w:rsid w:val="0843316B"/>
    <w:rsid w:val="084332C6"/>
    <w:rsid w:val="08433370"/>
    <w:rsid w:val="084333CF"/>
    <w:rsid w:val="08433581"/>
    <w:rsid w:val="084335DE"/>
    <w:rsid w:val="084335E4"/>
    <w:rsid w:val="08433632"/>
    <w:rsid w:val="08433757"/>
    <w:rsid w:val="084337D7"/>
    <w:rsid w:val="084338B2"/>
    <w:rsid w:val="0843390F"/>
    <w:rsid w:val="08433A4A"/>
    <w:rsid w:val="08433B4E"/>
    <w:rsid w:val="08433BDB"/>
    <w:rsid w:val="08433BFE"/>
    <w:rsid w:val="08433CE4"/>
    <w:rsid w:val="08433EC6"/>
    <w:rsid w:val="08433F5A"/>
    <w:rsid w:val="08433FF0"/>
    <w:rsid w:val="0843407A"/>
    <w:rsid w:val="0843407E"/>
    <w:rsid w:val="084340FC"/>
    <w:rsid w:val="0843415A"/>
    <w:rsid w:val="08434180"/>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6EA"/>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0D9"/>
    <w:rsid w:val="0843623F"/>
    <w:rsid w:val="08436257"/>
    <w:rsid w:val="08436409"/>
    <w:rsid w:val="08436469"/>
    <w:rsid w:val="08436582"/>
    <w:rsid w:val="0843660B"/>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703C"/>
    <w:rsid w:val="08437084"/>
    <w:rsid w:val="08437253"/>
    <w:rsid w:val="084372BB"/>
    <w:rsid w:val="084372CB"/>
    <w:rsid w:val="08437353"/>
    <w:rsid w:val="084373A9"/>
    <w:rsid w:val="08437491"/>
    <w:rsid w:val="084374DF"/>
    <w:rsid w:val="084375D8"/>
    <w:rsid w:val="084375EA"/>
    <w:rsid w:val="0843767B"/>
    <w:rsid w:val="08437685"/>
    <w:rsid w:val="08437700"/>
    <w:rsid w:val="0843771A"/>
    <w:rsid w:val="0843773D"/>
    <w:rsid w:val="08437741"/>
    <w:rsid w:val="08437797"/>
    <w:rsid w:val="08437826"/>
    <w:rsid w:val="08437835"/>
    <w:rsid w:val="08437950"/>
    <w:rsid w:val="084379A9"/>
    <w:rsid w:val="08437A01"/>
    <w:rsid w:val="08437A5E"/>
    <w:rsid w:val="08437A79"/>
    <w:rsid w:val="08437B60"/>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196"/>
    <w:rsid w:val="084401A5"/>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CB7"/>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1CB"/>
    <w:rsid w:val="08441280"/>
    <w:rsid w:val="08441355"/>
    <w:rsid w:val="0844139A"/>
    <w:rsid w:val="084413AD"/>
    <w:rsid w:val="0844154C"/>
    <w:rsid w:val="08441754"/>
    <w:rsid w:val="08441792"/>
    <w:rsid w:val="084417BB"/>
    <w:rsid w:val="0844185D"/>
    <w:rsid w:val="0844188F"/>
    <w:rsid w:val="08441914"/>
    <w:rsid w:val="0844193F"/>
    <w:rsid w:val="08441950"/>
    <w:rsid w:val="08441979"/>
    <w:rsid w:val="084419A4"/>
    <w:rsid w:val="084419C0"/>
    <w:rsid w:val="08441A87"/>
    <w:rsid w:val="08441AD0"/>
    <w:rsid w:val="08441B44"/>
    <w:rsid w:val="08441B5E"/>
    <w:rsid w:val="08441B6E"/>
    <w:rsid w:val="08441BC5"/>
    <w:rsid w:val="08441CA7"/>
    <w:rsid w:val="08441CC2"/>
    <w:rsid w:val="08441E2D"/>
    <w:rsid w:val="08441EA2"/>
    <w:rsid w:val="08441F58"/>
    <w:rsid w:val="08441FE2"/>
    <w:rsid w:val="08441FF9"/>
    <w:rsid w:val="0844200B"/>
    <w:rsid w:val="0844200E"/>
    <w:rsid w:val="0844206E"/>
    <w:rsid w:val="084420A4"/>
    <w:rsid w:val="0844216A"/>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D80"/>
    <w:rsid w:val="08442E2C"/>
    <w:rsid w:val="08442EEA"/>
    <w:rsid w:val="08442EEC"/>
    <w:rsid w:val="08442F44"/>
    <w:rsid w:val="08443087"/>
    <w:rsid w:val="084430C7"/>
    <w:rsid w:val="0844312C"/>
    <w:rsid w:val="084431EA"/>
    <w:rsid w:val="08443213"/>
    <w:rsid w:val="08443257"/>
    <w:rsid w:val="08443294"/>
    <w:rsid w:val="084432D5"/>
    <w:rsid w:val="08443385"/>
    <w:rsid w:val="084433D2"/>
    <w:rsid w:val="08443471"/>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EC6"/>
    <w:rsid w:val="08443F34"/>
    <w:rsid w:val="08443F5D"/>
    <w:rsid w:val="08443F6E"/>
    <w:rsid w:val="08443F97"/>
    <w:rsid w:val="08444018"/>
    <w:rsid w:val="0844401C"/>
    <w:rsid w:val="08444055"/>
    <w:rsid w:val="0844409F"/>
    <w:rsid w:val="084440B4"/>
    <w:rsid w:val="08444195"/>
    <w:rsid w:val="08444261"/>
    <w:rsid w:val="08444277"/>
    <w:rsid w:val="08444299"/>
    <w:rsid w:val="084442AA"/>
    <w:rsid w:val="084442ED"/>
    <w:rsid w:val="08444338"/>
    <w:rsid w:val="08444401"/>
    <w:rsid w:val="08444420"/>
    <w:rsid w:val="08444441"/>
    <w:rsid w:val="0844449D"/>
    <w:rsid w:val="08444517"/>
    <w:rsid w:val="08444538"/>
    <w:rsid w:val="0844453B"/>
    <w:rsid w:val="0844457D"/>
    <w:rsid w:val="084445C3"/>
    <w:rsid w:val="0844471E"/>
    <w:rsid w:val="0844474E"/>
    <w:rsid w:val="08444836"/>
    <w:rsid w:val="08444892"/>
    <w:rsid w:val="084448AE"/>
    <w:rsid w:val="084448E3"/>
    <w:rsid w:val="08444934"/>
    <w:rsid w:val="08444AD3"/>
    <w:rsid w:val="08444B1B"/>
    <w:rsid w:val="08444B77"/>
    <w:rsid w:val="08444BD1"/>
    <w:rsid w:val="08444BFB"/>
    <w:rsid w:val="08444C0E"/>
    <w:rsid w:val="08444D75"/>
    <w:rsid w:val="08444EDC"/>
    <w:rsid w:val="08444EE7"/>
    <w:rsid w:val="08444F6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BBE"/>
    <w:rsid w:val="08446D09"/>
    <w:rsid w:val="08446DCE"/>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2B0"/>
    <w:rsid w:val="08450300"/>
    <w:rsid w:val="084503B0"/>
    <w:rsid w:val="08450491"/>
    <w:rsid w:val="08450578"/>
    <w:rsid w:val="08450583"/>
    <w:rsid w:val="084505AB"/>
    <w:rsid w:val="0845067C"/>
    <w:rsid w:val="084506C8"/>
    <w:rsid w:val="084506E0"/>
    <w:rsid w:val="084507B1"/>
    <w:rsid w:val="08450825"/>
    <w:rsid w:val="084508A7"/>
    <w:rsid w:val="08450946"/>
    <w:rsid w:val="08450A18"/>
    <w:rsid w:val="08450A53"/>
    <w:rsid w:val="08450A69"/>
    <w:rsid w:val="08450AD4"/>
    <w:rsid w:val="08450AE5"/>
    <w:rsid w:val="08450AF8"/>
    <w:rsid w:val="08450B41"/>
    <w:rsid w:val="08450B5D"/>
    <w:rsid w:val="08450B92"/>
    <w:rsid w:val="08450C31"/>
    <w:rsid w:val="08450C71"/>
    <w:rsid w:val="08450CA5"/>
    <w:rsid w:val="08450CDA"/>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992"/>
    <w:rsid w:val="084529B6"/>
    <w:rsid w:val="084529BF"/>
    <w:rsid w:val="08452A0C"/>
    <w:rsid w:val="08452A4A"/>
    <w:rsid w:val="08452A87"/>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BD"/>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E5"/>
    <w:rsid w:val="0845443A"/>
    <w:rsid w:val="08454523"/>
    <w:rsid w:val="084545F2"/>
    <w:rsid w:val="08454615"/>
    <w:rsid w:val="0845461D"/>
    <w:rsid w:val="084546A9"/>
    <w:rsid w:val="084546CF"/>
    <w:rsid w:val="08454760"/>
    <w:rsid w:val="084547D6"/>
    <w:rsid w:val="08454870"/>
    <w:rsid w:val="08454888"/>
    <w:rsid w:val="0845489A"/>
    <w:rsid w:val="08454986"/>
    <w:rsid w:val="084549D0"/>
    <w:rsid w:val="08454A17"/>
    <w:rsid w:val="08454A1D"/>
    <w:rsid w:val="08454A20"/>
    <w:rsid w:val="08454A24"/>
    <w:rsid w:val="08454AD5"/>
    <w:rsid w:val="08454B55"/>
    <w:rsid w:val="08454BE7"/>
    <w:rsid w:val="08454C00"/>
    <w:rsid w:val="08454D0B"/>
    <w:rsid w:val="08454DA7"/>
    <w:rsid w:val="08454DF8"/>
    <w:rsid w:val="08454E08"/>
    <w:rsid w:val="08454E85"/>
    <w:rsid w:val="08454ECC"/>
    <w:rsid w:val="08454EE0"/>
    <w:rsid w:val="08454F3D"/>
    <w:rsid w:val="08454FBD"/>
    <w:rsid w:val="08455017"/>
    <w:rsid w:val="084550A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D"/>
    <w:rsid w:val="084566E2"/>
    <w:rsid w:val="08456706"/>
    <w:rsid w:val="08456745"/>
    <w:rsid w:val="084567C1"/>
    <w:rsid w:val="0845680A"/>
    <w:rsid w:val="0845685B"/>
    <w:rsid w:val="084568B4"/>
    <w:rsid w:val="084568DD"/>
    <w:rsid w:val="0845691C"/>
    <w:rsid w:val="08456A65"/>
    <w:rsid w:val="08456A80"/>
    <w:rsid w:val="08456AB4"/>
    <w:rsid w:val="08456B9E"/>
    <w:rsid w:val="08456BD7"/>
    <w:rsid w:val="08456C57"/>
    <w:rsid w:val="08456D66"/>
    <w:rsid w:val="08456D6C"/>
    <w:rsid w:val="08456DCE"/>
    <w:rsid w:val="08456E76"/>
    <w:rsid w:val="08456EDE"/>
    <w:rsid w:val="08457012"/>
    <w:rsid w:val="08457110"/>
    <w:rsid w:val="08457117"/>
    <w:rsid w:val="08457145"/>
    <w:rsid w:val="0845721E"/>
    <w:rsid w:val="08457236"/>
    <w:rsid w:val="084572D6"/>
    <w:rsid w:val="08457380"/>
    <w:rsid w:val="084573DA"/>
    <w:rsid w:val="084573E9"/>
    <w:rsid w:val="08457403"/>
    <w:rsid w:val="0845741C"/>
    <w:rsid w:val="0845743B"/>
    <w:rsid w:val="084574A6"/>
    <w:rsid w:val="084574A8"/>
    <w:rsid w:val="084574EF"/>
    <w:rsid w:val="084575C1"/>
    <w:rsid w:val="084575EF"/>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91"/>
    <w:rsid w:val="084605C6"/>
    <w:rsid w:val="084606A1"/>
    <w:rsid w:val="084606F7"/>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101"/>
    <w:rsid w:val="084622B8"/>
    <w:rsid w:val="08462341"/>
    <w:rsid w:val="084624CC"/>
    <w:rsid w:val="084624F8"/>
    <w:rsid w:val="08462666"/>
    <w:rsid w:val="08462670"/>
    <w:rsid w:val="084626BC"/>
    <w:rsid w:val="0846275E"/>
    <w:rsid w:val="08462799"/>
    <w:rsid w:val="0846286C"/>
    <w:rsid w:val="084628B5"/>
    <w:rsid w:val="084628E6"/>
    <w:rsid w:val="08462949"/>
    <w:rsid w:val="08462A12"/>
    <w:rsid w:val="08462AE4"/>
    <w:rsid w:val="08462AF2"/>
    <w:rsid w:val="08462B49"/>
    <w:rsid w:val="08462BF1"/>
    <w:rsid w:val="08462C43"/>
    <w:rsid w:val="08462C4B"/>
    <w:rsid w:val="08462D85"/>
    <w:rsid w:val="08462D91"/>
    <w:rsid w:val="08462DF1"/>
    <w:rsid w:val="08462E45"/>
    <w:rsid w:val="08462EB2"/>
    <w:rsid w:val="08462F12"/>
    <w:rsid w:val="08463061"/>
    <w:rsid w:val="08463074"/>
    <w:rsid w:val="084630A6"/>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24"/>
    <w:rsid w:val="08463641"/>
    <w:rsid w:val="08463646"/>
    <w:rsid w:val="08463667"/>
    <w:rsid w:val="084636EB"/>
    <w:rsid w:val="08463832"/>
    <w:rsid w:val="08463A26"/>
    <w:rsid w:val="08463A4A"/>
    <w:rsid w:val="08463A8F"/>
    <w:rsid w:val="08463AC9"/>
    <w:rsid w:val="08463AE9"/>
    <w:rsid w:val="08463AEC"/>
    <w:rsid w:val="08463B8D"/>
    <w:rsid w:val="08463BDC"/>
    <w:rsid w:val="08463BE6"/>
    <w:rsid w:val="08463D0F"/>
    <w:rsid w:val="08463D25"/>
    <w:rsid w:val="08463D2F"/>
    <w:rsid w:val="08463D30"/>
    <w:rsid w:val="08463D5D"/>
    <w:rsid w:val="08463D9F"/>
    <w:rsid w:val="08463EE4"/>
    <w:rsid w:val="08463EFB"/>
    <w:rsid w:val="08463EFD"/>
    <w:rsid w:val="08463F42"/>
    <w:rsid w:val="0846409E"/>
    <w:rsid w:val="08464154"/>
    <w:rsid w:val="08464183"/>
    <w:rsid w:val="084641B9"/>
    <w:rsid w:val="0846430A"/>
    <w:rsid w:val="08464314"/>
    <w:rsid w:val="08464336"/>
    <w:rsid w:val="0846442E"/>
    <w:rsid w:val="0846447E"/>
    <w:rsid w:val="08464489"/>
    <w:rsid w:val="084644A8"/>
    <w:rsid w:val="08464527"/>
    <w:rsid w:val="08464598"/>
    <w:rsid w:val="084645DB"/>
    <w:rsid w:val="08464633"/>
    <w:rsid w:val="08464702"/>
    <w:rsid w:val="0846479A"/>
    <w:rsid w:val="084647D9"/>
    <w:rsid w:val="084647EF"/>
    <w:rsid w:val="08464917"/>
    <w:rsid w:val="08464939"/>
    <w:rsid w:val="08464949"/>
    <w:rsid w:val="084649C6"/>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23"/>
    <w:rsid w:val="0846528E"/>
    <w:rsid w:val="084653AA"/>
    <w:rsid w:val="084653F5"/>
    <w:rsid w:val="0846546E"/>
    <w:rsid w:val="08465572"/>
    <w:rsid w:val="084656DB"/>
    <w:rsid w:val="084656F8"/>
    <w:rsid w:val="08465710"/>
    <w:rsid w:val="0846572E"/>
    <w:rsid w:val="084657AC"/>
    <w:rsid w:val="084657B2"/>
    <w:rsid w:val="0846586B"/>
    <w:rsid w:val="08465958"/>
    <w:rsid w:val="08465967"/>
    <w:rsid w:val="084659D3"/>
    <w:rsid w:val="084659F3"/>
    <w:rsid w:val="08465B29"/>
    <w:rsid w:val="08465C70"/>
    <w:rsid w:val="08465CFF"/>
    <w:rsid w:val="08465D89"/>
    <w:rsid w:val="08465DF5"/>
    <w:rsid w:val="08465E7A"/>
    <w:rsid w:val="08465FA7"/>
    <w:rsid w:val="08465FC3"/>
    <w:rsid w:val="08466051"/>
    <w:rsid w:val="0846613D"/>
    <w:rsid w:val="08466202"/>
    <w:rsid w:val="084662B3"/>
    <w:rsid w:val="084662F1"/>
    <w:rsid w:val="08466305"/>
    <w:rsid w:val="0846631A"/>
    <w:rsid w:val="08466379"/>
    <w:rsid w:val="084663E1"/>
    <w:rsid w:val="08466453"/>
    <w:rsid w:val="084664E8"/>
    <w:rsid w:val="08466565"/>
    <w:rsid w:val="08466569"/>
    <w:rsid w:val="084665BE"/>
    <w:rsid w:val="084665C8"/>
    <w:rsid w:val="08466631"/>
    <w:rsid w:val="084666FC"/>
    <w:rsid w:val="084667A6"/>
    <w:rsid w:val="084667ED"/>
    <w:rsid w:val="084667F2"/>
    <w:rsid w:val="0846690F"/>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C6"/>
    <w:rsid w:val="084676CB"/>
    <w:rsid w:val="08467713"/>
    <w:rsid w:val="08467772"/>
    <w:rsid w:val="084678A0"/>
    <w:rsid w:val="084678A7"/>
    <w:rsid w:val="084678C6"/>
    <w:rsid w:val="08467902"/>
    <w:rsid w:val="08467A7C"/>
    <w:rsid w:val="08467B53"/>
    <w:rsid w:val="08467C07"/>
    <w:rsid w:val="08467CFF"/>
    <w:rsid w:val="08467D50"/>
    <w:rsid w:val="08467DA3"/>
    <w:rsid w:val="08467DCD"/>
    <w:rsid w:val="08467F09"/>
    <w:rsid w:val="0847005E"/>
    <w:rsid w:val="0847010F"/>
    <w:rsid w:val="08470114"/>
    <w:rsid w:val="08470121"/>
    <w:rsid w:val="08470152"/>
    <w:rsid w:val="08470204"/>
    <w:rsid w:val="08470254"/>
    <w:rsid w:val="0847026B"/>
    <w:rsid w:val="08470304"/>
    <w:rsid w:val="0847039B"/>
    <w:rsid w:val="084703E4"/>
    <w:rsid w:val="0847054F"/>
    <w:rsid w:val="0847064F"/>
    <w:rsid w:val="084706A3"/>
    <w:rsid w:val="08470770"/>
    <w:rsid w:val="084707B3"/>
    <w:rsid w:val="08470856"/>
    <w:rsid w:val="0847085D"/>
    <w:rsid w:val="08470880"/>
    <w:rsid w:val="08470926"/>
    <w:rsid w:val="08470A28"/>
    <w:rsid w:val="08470A92"/>
    <w:rsid w:val="08470AF1"/>
    <w:rsid w:val="08470B2D"/>
    <w:rsid w:val="08470B44"/>
    <w:rsid w:val="08470B5A"/>
    <w:rsid w:val="08470BB6"/>
    <w:rsid w:val="08470C07"/>
    <w:rsid w:val="08470CD6"/>
    <w:rsid w:val="08470D59"/>
    <w:rsid w:val="08470F03"/>
    <w:rsid w:val="08470F53"/>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6B"/>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4B3"/>
    <w:rsid w:val="084744F7"/>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FB"/>
    <w:rsid w:val="08474D32"/>
    <w:rsid w:val="08474DAF"/>
    <w:rsid w:val="08474DB9"/>
    <w:rsid w:val="08474DD0"/>
    <w:rsid w:val="08474E9B"/>
    <w:rsid w:val="08474EA9"/>
    <w:rsid w:val="08474EE7"/>
    <w:rsid w:val="08474F07"/>
    <w:rsid w:val="08474F88"/>
    <w:rsid w:val="08474FDD"/>
    <w:rsid w:val="08474FE1"/>
    <w:rsid w:val="08475010"/>
    <w:rsid w:val="08475041"/>
    <w:rsid w:val="0847516A"/>
    <w:rsid w:val="084751E4"/>
    <w:rsid w:val="08475204"/>
    <w:rsid w:val="0847520A"/>
    <w:rsid w:val="084752B8"/>
    <w:rsid w:val="084752C2"/>
    <w:rsid w:val="08475444"/>
    <w:rsid w:val="084754A2"/>
    <w:rsid w:val="084754C2"/>
    <w:rsid w:val="084754C5"/>
    <w:rsid w:val="08475537"/>
    <w:rsid w:val="08475538"/>
    <w:rsid w:val="0847553F"/>
    <w:rsid w:val="08475562"/>
    <w:rsid w:val="08475575"/>
    <w:rsid w:val="0847570D"/>
    <w:rsid w:val="08475786"/>
    <w:rsid w:val="0847579D"/>
    <w:rsid w:val="084757C9"/>
    <w:rsid w:val="084758B3"/>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0F"/>
    <w:rsid w:val="0847632F"/>
    <w:rsid w:val="08476438"/>
    <w:rsid w:val="084764DA"/>
    <w:rsid w:val="084764EC"/>
    <w:rsid w:val="0847651D"/>
    <w:rsid w:val="0847652A"/>
    <w:rsid w:val="08476545"/>
    <w:rsid w:val="084766BF"/>
    <w:rsid w:val="084766DB"/>
    <w:rsid w:val="084766E4"/>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0DA"/>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0F94"/>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62"/>
    <w:rsid w:val="084816FD"/>
    <w:rsid w:val="08481709"/>
    <w:rsid w:val="0848171D"/>
    <w:rsid w:val="08481793"/>
    <w:rsid w:val="084818A0"/>
    <w:rsid w:val="084818AB"/>
    <w:rsid w:val="084818E9"/>
    <w:rsid w:val="08481914"/>
    <w:rsid w:val="084819F6"/>
    <w:rsid w:val="08481B71"/>
    <w:rsid w:val="08481BBF"/>
    <w:rsid w:val="08481C38"/>
    <w:rsid w:val="08481C9C"/>
    <w:rsid w:val="08481CA2"/>
    <w:rsid w:val="08481D75"/>
    <w:rsid w:val="08481E16"/>
    <w:rsid w:val="0848201D"/>
    <w:rsid w:val="0848206A"/>
    <w:rsid w:val="08482098"/>
    <w:rsid w:val="08482124"/>
    <w:rsid w:val="08482193"/>
    <w:rsid w:val="08482225"/>
    <w:rsid w:val="0848233E"/>
    <w:rsid w:val="0848234E"/>
    <w:rsid w:val="0848262C"/>
    <w:rsid w:val="08482693"/>
    <w:rsid w:val="084826A3"/>
    <w:rsid w:val="084826E5"/>
    <w:rsid w:val="084827BA"/>
    <w:rsid w:val="08482803"/>
    <w:rsid w:val="0848282D"/>
    <w:rsid w:val="0848295C"/>
    <w:rsid w:val="0848297B"/>
    <w:rsid w:val="084829A7"/>
    <w:rsid w:val="084829B9"/>
    <w:rsid w:val="084829BD"/>
    <w:rsid w:val="084829D4"/>
    <w:rsid w:val="084829E4"/>
    <w:rsid w:val="08482A3A"/>
    <w:rsid w:val="08482A66"/>
    <w:rsid w:val="08482AA8"/>
    <w:rsid w:val="08482AE6"/>
    <w:rsid w:val="08482B5F"/>
    <w:rsid w:val="08482B80"/>
    <w:rsid w:val="08482BA1"/>
    <w:rsid w:val="08482C15"/>
    <w:rsid w:val="08482DA7"/>
    <w:rsid w:val="08482DE6"/>
    <w:rsid w:val="08482DE8"/>
    <w:rsid w:val="08482E2C"/>
    <w:rsid w:val="08482E36"/>
    <w:rsid w:val="08482E76"/>
    <w:rsid w:val="08482EBE"/>
    <w:rsid w:val="08482EDE"/>
    <w:rsid w:val="08482FDE"/>
    <w:rsid w:val="084830BC"/>
    <w:rsid w:val="084830E3"/>
    <w:rsid w:val="084832C0"/>
    <w:rsid w:val="08483333"/>
    <w:rsid w:val="08483422"/>
    <w:rsid w:val="08483436"/>
    <w:rsid w:val="08483449"/>
    <w:rsid w:val="084835BD"/>
    <w:rsid w:val="084835F6"/>
    <w:rsid w:val="0848369E"/>
    <w:rsid w:val="0848370B"/>
    <w:rsid w:val="08483714"/>
    <w:rsid w:val="084837AB"/>
    <w:rsid w:val="084837EE"/>
    <w:rsid w:val="0848382F"/>
    <w:rsid w:val="08483902"/>
    <w:rsid w:val="08483999"/>
    <w:rsid w:val="08483A3D"/>
    <w:rsid w:val="08483ACE"/>
    <w:rsid w:val="08483AFD"/>
    <w:rsid w:val="08483C2A"/>
    <w:rsid w:val="08483C4A"/>
    <w:rsid w:val="08483C8F"/>
    <w:rsid w:val="08483D2E"/>
    <w:rsid w:val="08483D58"/>
    <w:rsid w:val="08483D6C"/>
    <w:rsid w:val="08483D98"/>
    <w:rsid w:val="08483DB0"/>
    <w:rsid w:val="08483DD7"/>
    <w:rsid w:val="08483E4C"/>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67"/>
    <w:rsid w:val="084850BD"/>
    <w:rsid w:val="0848516E"/>
    <w:rsid w:val="084851C6"/>
    <w:rsid w:val="084851DE"/>
    <w:rsid w:val="08485224"/>
    <w:rsid w:val="08485283"/>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88"/>
    <w:rsid w:val="08485BAE"/>
    <w:rsid w:val="08485BF7"/>
    <w:rsid w:val="08485C60"/>
    <w:rsid w:val="08485CE7"/>
    <w:rsid w:val="08485D17"/>
    <w:rsid w:val="08485D41"/>
    <w:rsid w:val="08485D68"/>
    <w:rsid w:val="08485DC0"/>
    <w:rsid w:val="08485DDD"/>
    <w:rsid w:val="08485E2A"/>
    <w:rsid w:val="08485E89"/>
    <w:rsid w:val="08485EAB"/>
    <w:rsid w:val="08485F48"/>
    <w:rsid w:val="08486001"/>
    <w:rsid w:val="08486011"/>
    <w:rsid w:val="0848608D"/>
    <w:rsid w:val="08486132"/>
    <w:rsid w:val="08486296"/>
    <w:rsid w:val="084862D1"/>
    <w:rsid w:val="08486331"/>
    <w:rsid w:val="08486379"/>
    <w:rsid w:val="08486459"/>
    <w:rsid w:val="084864A1"/>
    <w:rsid w:val="084864A8"/>
    <w:rsid w:val="08486572"/>
    <w:rsid w:val="084865BE"/>
    <w:rsid w:val="08486632"/>
    <w:rsid w:val="084866F3"/>
    <w:rsid w:val="084866F9"/>
    <w:rsid w:val="08486883"/>
    <w:rsid w:val="084868CC"/>
    <w:rsid w:val="08486963"/>
    <w:rsid w:val="08486A80"/>
    <w:rsid w:val="08486A85"/>
    <w:rsid w:val="08486B87"/>
    <w:rsid w:val="08486BB9"/>
    <w:rsid w:val="08486BC3"/>
    <w:rsid w:val="08486BF9"/>
    <w:rsid w:val="08486C78"/>
    <w:rsid w:val="08486D4D"/>
    <w:rsid w:val="08486DAD"/>
    <w:rsid w:val="08486E69"/>
    <w:rsid w:val="08486E87"/>
    <w:rsid w:val="08486EAB"/>
    <w:rsid w:val="08486EB0"/>
    <w:rsid w:val="08486ECA"/>
    <w:rsid w:val="08486EE7"/>
    <w:rsid w:val="0848706B"/>
    <w:rsid w:val="0848707B"/>
    <w:rsid w:val="084870E6"/>
    <w:rsid w:val="08487130"/>
    <w:rsid w:val="08487134"/>
    <w:rsid w:val="0848713F"/>
    <w:rsid w:val="08487185"/>
    <w:rsid w:val="084871B5"/>
    <w:rsid w:val="084871D2"/>
    <w:rsid w:val="08487202"/>
    <w:rsid w:val="084872AC"/>
    <w:rsid w:val="084872BF"/>
    <w:rsid w:val="08487334"/>
    <w:rsid w:val="08487364"/>
    <w:rsid w:val="084873CC"/>
    <w:rsid w:val="08487427"/>
    <w:rsid w:val="08487435"/>
    <w:rsid w:val="0848744A"/>
    <w:rsid w:val="084874A5"/>
    <w:rsid w:val="084874AE"/>
    <w:rsid w:val="084874C0"/>
    <w:rsid w:val="084875E4"/>
    <w:rsid w:val="0848772E"/>
    <w:rsid w:val="0848782C"/>
    <w:rsid w:val="08487830"/>
    <w:rsid w:val="08487865"/>
    <w:rsid w:val="08487887"/>
    <w:rsid w:val="084878B3"/>
    <w:rsid w:val="08487915"/>
    <w:rsid w:val="08487984"/>
    <w:rsid w:val="08487A30"/>
    <w:rsid w:val="08487A56"/>
    <w:rsid w:val="08487B19"/>
    <w:rsid w:val="08487B2C"/>
    <w:rsid w:val="08487C64"/>
    <w:rsid w:val="08487C97"/>
    <w:rsid w:val="08487CE2"/>
    <w:rsid w:val="08487D51"/>
    <w:rsid w:val="08487D66"/>
    <w:rsid w:val="08487D84"/>
    <w:rsid w:val="08487D88"/>
    <w:rsid w:val="08487E1E"/>
    <w:rsid w:val="08487E34"/>
    <w:rsid w:val="08487E66"/>
    <w:rsid w:val="08487EE0"/>
    <w:rsid w:val="08487EF4"/>
    <w:rsid w:val="08487F9C"/>
    <w:rsid w:val="0849000C"/>
    <w:rsid w:val="0849007D"/>
    <w:rsid w:val="08490159"/>
    <w:rsid w:val="084901A7"/>
    <w:rsid w:val="08490442"/>
    <w:rsid w:val="084904D6"/>
    <w:rsid w:val="08490555"/>
    <w:rsid w:val="0849056D"/>
    <w:rsid w:val="0849057F"/>
    <w:rsid w:val="08490599"/>
    <w:rsid w:val="0849064C"/>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E6"/>
    <w:rsid w:val="08490E26"/>
    <w:rsid w:val="08490EF2"/>
    <w:rsid w:val="08490F06"/>
    <w:rsid w:val="08490F76"/>
    <w:rsid w:val="08490F77"/>
    <w:rsid w:val="08490FD9"/>
    <w:rsid w:val="08491085"/>
    <w:rsid w:val="084910A4"/>
    <w:rsid w:val="084911C8"/>
    <w:rsid w:val="0849120B"/>
    <w:rsid w:val="08491324"/>
    <w:rsid w:val="08491325"/>
    <w:rsid w:val="0849133B"/>
    <w:rsid w:val="08491348"/>
    <w:rsid w:val="08491368"/>
    <w:rsid w:val="084913A3"/>
    <w:rsid w:val="084913D0"/>
    <w:rsid w:val="08491406"/>
    <w:rsid w:val="0849144F"/>
    <w:rsid w:val="084914A2"/>
    <w:rsid w:val="084914D2"/>
    <w:rsid w:val="0849153E"/>
    <w:rsid w:val="08491558"/>
    <w:rsid w:val="08491660"/>
    <w:rsid w:val="084916E1"/>
    <w:rsid w:val="08491715"/>
    <w:rsid w:val="0849175E"/>
    <w:rsid w:val="08491774"/>
    <w:rsid w:val="08491796"/>
    <w:rsid w:val="084917DC"/>
    <w:rsid w:val="08491800"/>
    <w:rsid w:val="0849180F"/>
    <w:rsid w:val="08491828"/>
    <w:rsid w:val="08491872"/>
    <w:rsid w:val="08491957"/>
    <w:rsid w:val="084919C4"/>
    <w:rsid w:val="084919FD"/>
    <w:rsid w:val="08491B07"/>
    <w:rsid w:val="08491B22"/>
    <w:rsid w:val="08491BE0"/>
    <w:rsid w:val="08491BFA"/>
    <w:rsid w:val="08491BFB"/>
    <w:rsid w:val="08491C0C"/>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3EB"/>
    <w:rsid w:val="08492429"/>
    <w:rsid w:val="084924B9"/>
    <w:rsid w:val="084924CC"/>
    <w:rsid w:val="084924F7"/>
    <w:rsid w:val="084925A9"/>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76"/>
    <w:rsid w:val="08493083"/>
    <w:rsid w:val="084930B2"/>
    <w:rsid w:val="0849316C"/>
    <w:rsid w:val="08493187"/>
    <w:rsid w:val="08493214"/>
    <w:rsid w:val="084932BC"/>
    <w:rsid w:val="08493388"/>
    <w:rsid w:val="08493436"/>
    <w:rsid w:val="0849349A"/>
    <w:rsid w:val="08493588"/>
    <w:rsid w:val="0849369F"/>
    <w:rsid w:val="084937B5"/>
    <w:rsid w:val="08493843"/>
    <w:rsid w:val="084938DB"/>
    <w:rsid w:val="08493A87"/>
    <w:rsid w:val="08493ADD"/>
    <w:rsid w:val="08493AFE"/>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11"/>
    <w:rsid w:val="0849442F"/>
    <w:rsid w:val="084944C1"/>
    <w:rsid w:val="08494528"/>
    <w:rsid w:val="084945C0"/>
    <w:rsid w:val="08494725"/>
    <w:rsid w:val="08494762"/>
    <w:rsid w:val="084947B9"/>
    <w:rsid w:val="084947EC"/>
    <w:rsid w:val="08494808"/>
    <w:rsid w:val="08494881"/>
    <w:rsid w:val="08494887"/>
    <w:rsid w:val="08494959"/>
    <w:rsid w:val="0849497F"/>
    <w:rsid w:val="084949DF"/>
    <w:rsid w:val="08494B29"/>
    <w:rsid w:val="08494B56"/>
    <w:rsid w:val="08494BF0"/>
    <w:rsid w:val="08494CD3"/>
    <w:rsid w:val="08494CF7"/>
    <w:rsid w:val="08494DAF"/>
    <w:rsid w:val="08494DB0"/>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B1A"/>
    <w:rsid w:val="08495C7D"/>
    <w:rsid w:val="08495D5C"/>
    <w:rsid w:val="08495E35"/>
    <w:rsid w:val="08495F3B"/>
    <w:rsid w:val="08495F44"/>
    <w:rsid w:val="08495F78"/>
    <w:rsid w:val="08495FCE"/>
    <w:rsid w:val="0849600E"/>
    <w:rsid w:val="08496064"/>
    <w:rsid w:val="0849607D"/>
    <w:rsid w:val="0849610A"/>
    <w:rsid w:val="08496120"/>
    <w:rsid w:val="084961DB"/>
    <w:rsid w:val="084961E7"/>
    <w:rsid w:val="08496233"/>
    <w:rsid w:val="0849626D"/>
    <w:rsid w:val="084962CE"/>
    <w:rsid w:val="084962E6"/>
    <w:rsid w:val="08496322"/>
    <w:rsid w:val="08496385"/>
    <w:rsid w:val="084963C8"/>
    <w:rsid w:val="084963E4"/>
    <w:rsid w:val="0849640B"/>
    <w:rsid w:val="0849643A"/>
    <w:rsid w:val="08496456"/>
    <w:rsid w:val="084964C3"/>
    <w:rsid w:val="084964D0"/>
    <w:rsid w:val="08496526"/>
    <w:rsid w:val="08496531"/>
    <w:rsid w:val="084965E3"/>
    <w:rsid w:val="084965F2"/>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BA"/>
    <w:rsid w:val="08497DDB"/>
    <w:rsid w:val="08497E0F"/>
    <w:rsid w:val="08497E52"/>
    <w:rsid w:val="08497ED7"/>
    <w:rsid w:val="084A00A3"/>
    <w:rsid w:val="084A0167"/>
    <w:rsid w:val="084A0177"/>
    <w:rsid w:val="084A01D3"/>
    <w:rsid w:val="084A01DC"/>
    <w:rsid w:val="084A0262"/>
    <w:rsid w:val="084A02A6"/>
    <w:rsid w:val="084A0363"/>
    <w:rsid w:val="084A0385"/>
    <w:rsid w:val="084A04A3"/>
    <w:rsid w:val="084A04F2"/>
    <w:rsid w:val="084A0669"/>
    <w:rsid w:val="084A078D"/>
    <w:rsid w:val="084A07CC"/>
    <w:rsid w:val="084A08CC"/>
    <w:rsid w:val="084A08E7"/>
    <w:rsid w:val="084A090B"/>
    <w:rsid w:val="084A0939"/>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B0"/>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EE"/>
    <w:rsid w:val="084A1A73"/>
    <w:rsid w:val="084A1ABE"/>
    <w:rsid w:val="084A1B16"/>
    <w:rsid w:val="084A1B59"/>
    <w:rsid w:val="084A1B66"/>
    <w:rsid w:val="084A1B6E"/>
    <w:rsid w:val="084A1BC5"/>
    <w:rsid w:val="084A1C4A"/>
    <w:rsid w:val="084A1CC1"/>
    <w:rsid w:val="084A1CD2"/>
    <w:rsid w:val="084A1F61"/>
    <w:rsid w:val="084A1FEC"/>
    <w:rsid w:val="084A2041"/>
    <w:rsid w:val="084A208B"/>
    <w:rsid w:val="084A20C6"/>
    <w:rsid w:val="084A20DA"/>
    <w:rsid w:val="084A233F"/>
    <w:rsid w:val="084A242F"/>
    <w:rsid w:val="084A24A5"/>
    <w:rsid w:val="084A24D2"/>
    <w:rsid w:val="084A2583"/>
    <w:rsid w:val="084A25C3"/>
    <w:rsid w:val="084A26D2"/>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CC1"/>
    <w:rsid w:val="084A2D3F"/>
    <w:rsid w:val="084A2D80"/>
    <w:rsid w:val="084A2DAB"/>
    <w:rsid w:val="084A2E4C"/>
    <w:rsid w:val="084A2EA5"/>
    <w:rsid w:val="084A2F88"/>
    <w:rsid w:val="084A2F89"/>
    <w:rsid w:val="084A2FE1"/>
    <w:rsid w:val="084A3036"/>
    <w:rsid w:val="084A30BC"/>
    <w:rsid w:val="084A319E"/>
    <w:rsid w:val="084A331E"/>
    <w:rsid w:val="084A331F"/>
    <w:rsid w:val="084A3327"/>
    <w:rsid w:val="084A333E"/>
    <w:rsid w:val="084A3353"/>
    <w:rsid w:val="084A342F"/>
    <w:rsid w:val="084A3464"/>
    <w:rsid w:val="084A346B"/>
    <w:rsid w:val="084A3480"/>
    <w:rsid w:val="084A34AC"/>
    <w:rsid w:val="084A35A4"/>
    <w:rsid w:val="084A378B"/>
    <w:rsid w:val="084A37F2"/>
    <w:rsid w:val="084A38E4"/>
    <w:rsid w:val="084A38F6"/>
    <w:rsid w:val="084A392A"/>
    <w:rsid w:val="084A393C"/>
    <w:rsid w:val="084A3977"/>
    <w:rsid w:val="084A3978"/>
    <w:rsid w:val="084A398D"/>
    <w:rsid w:val="084A3999"/>
    <w:rsid w:val="084A39F0"/>
    <w:rsid w:val="084A3B14"/>
    <w:rsid w:val="084A3B83"/>
    <w:rsid w:val="084A3BDB"/>
    <w:rsid w:val="084A3C26"/>
    <w:rsid w:val="084A3C82"/>
    <w:rsid w:val="084A3D40"/>
    <w:rsid w:val="084A3D52"/>
    <w:rsid w:val="084A3D9F"/>
    <w:rsid w:val="084A3DCE"/>
    <w:rsid w:val="084A3E1B"/>
    <w:rsid w:val="084A3E73"/>
    <w:rsid w:val="084A3E8F"/>
    <w:rsid w:val="084A3EB4"/>
    <w:rsid w:val="084A3EB5"/>
    <w:rsid w:val="084A3F2E"/>
    <w:rsid w:val="084A406A"/>
    <w:rsid w:val="084A40AD"/>
    <w:rsid w:val="084A414C"/>
    <w:rsid w:val="084A428D"/>
    <w:rsid w:val="084A42B1"/>
    <w:rsid w:val="084A42E0"/>
    <w:rsid w:val="084A4387"/>
    <w:rsid w:val="084A43A4"/>
    <w:rsid w:val="084A43A8"/>
    <w:rsid w:val="084A444D"/>
    <w:rsid w:val="084A4533"/>
    <w:rsid w:val="084A4626"/>
    <w:rsid w:val="084A46BC"/>
    <w:rsid w:val="084A472A"/>
    <w:rsid w:val="084A48AF"/>
    <w:rsid w:val="084A4994"/>
    <w:rsid w:val="084A49D0"/>
    <w:rsid w:val="084A4A26"/>
    <w:rsid w:val="084A4A50"/>
    <w:rsid w:val="084A4A6C"/>
    <w:rsid w:val="084A4A80"/>
    <w:rsid w:val="084A4A9A"/>
    <w:rsid w:val="084A4C0C"/>
    <w:rsid w:val="084A4C58"/>
    <w:rsid w:val="084A4CD3"/>
    <w:rsid w:val="084A4D83"/>
    <w:rsid w:val="084A4DE2"/>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26"/>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EF7"/>
    <w:rsid w:val="084A5F8E"/>
    <w:rsid w:val="084A5FDD"/>
    <w:rsid w:val="084A600D"/>
    <w:rsid w:val="084A602B"/>
    <w:rsid w:val="084A6068"/>
    <w:rsid w:val="084A60D1"/>
    <w:rsid w:val="084A60DB"/>
    <w:rsid w:val="084A6150"/>
    <w:rsid w:val="084A6273"/>
    <w:rsid w:val="084A62C0"/>
    <w:rsid w:val="084A62F1"/>
    <w:rsid w:val="084A6379"/>
    <w:rsid w:val="084A639C"/>
    <w:rsid w:val="084A64A6"/>
    <w:rsid w:val="084A64C5"/>
    <w:rsid w:val="084A655F"/>
    <w:rsid w:val="084A65A0"/>
    <w:rsid w:val="084A65E2"/>
    <w:rsid w:val="084A65EA"/>
    <w:rsid w:val="084A6617"/>
    <w:rsid w:val="084A66BC"/>
    <w:rsid w:val="084A66CF"/>
    <w:rsid w:val="084A66F5"/>
    <w:rsid w:val="084A6703"/>
    <w:rsid w:val="084A6816"/>
    <w:rsid w:val="084A6858"/>
    <w:rsid w:val="084A6866"/>
    <w:rsid w:val="084A68F3"/>
    <w:rsid w:val="084A69F8"/>
    <w:rsid w:val="084A6A09"/>
    <w:rsid w:val="084A6A0A"/>
    <w:rsid w:val="084A6A23"/>
    <w:rsid w:val="084A6BC3"/>
    <w:rsid w:val="084A6C1D"/>
    <w:rsid w:val="084A6FC6"/>
    <w:rsid w:val="084A7233"/>
    <w:rsid w:val="084A72C0"/>
    <w:rsid w:val="084A73F1"/>
    <w:rsid w:val="084A7437"/>
    <w:rsid w:val="084A74BB"/>
    <w:rsid w:val="084A74E6"/>
    <w:rsid w:val="084A7500"/>
    <w:rsid w:val="084A75A5"/>
    <w:rsid w:val="084A75E2"/>
    <w:rsid w:val="084A762F"/>
    <w:rsid w:val="084A7709"/>
    <w:rsid w:val="084A7732"/>
    <w:rsid w:val="084A775E"/>
    <w:rsid w:val="084A78AE"/>
    <w:rsid w:val="084A78E6"/>
    <w:rsid w:val="084A7A09"/>
    <w:rsid w:val="084A7AB6"/>
    <w:rsid w:val="084A7C9A"/>
    <w:rsid w:val="084A7CBC"/>
    <w:rsid w:val="084A7CE3"/>
    <w:rsid w:val="084A7CF2"/>
    <w:rsid w:val="084A7E6D"/>
    <w:rsid w:val="084A7EA4"/>
    <w:rsid w:val="084A7ED3"/>
    <w:rsid w:val="084A7F15"/>
    <w:rsid w:val="084A7F90"/>
    <w:rsid w:val="084A7FD7"/>
    <w:rsid w:val="084A7FEA"/>
    <w:rsid w:val="084B0028"/>
    <w:rsid w:val="084B00AF"/>
    <w:rsid w:val="084B0102"/>
    <w:rsid w:val="084B017A"/>
    <w:rsid w:val="084B01C3"/>
    <w:rsid w:val="084B033C"/>
    <w:rsid w:val="084B038A"/>
    <w:rsid w:val="084B0447"/>
    <w:rsid w:val="084B050B"/>
    <w:rsid w:val="084B0691"/>
    <w:rsid w:val="084B072D"/>
    <w:rsid w:val="084B075F"/>
    <w:rsid w:val="084B076E"/>
    <w:rsid w:val="084B0911"/>
    <w:rsid w:val="084B0AD8"/>
    <w:rsid w:val="084B0ADC"/>
    <w:rsid w:val="084B0B16"/>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3"/>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69"/>
    <w:rsid w:val="084B23F1"/>
    <w:rsid w:val="084B2406"/>
    <w:rsid w:val="084B242F"/>
    <w:rsid w:val="084B245B"/>
    <w:rsid w:val="084B2493"/>
    <w:rsid w:val="084B24CD"/>
    <w:rsid w:val="084B256F"/>
    <w:rsid w:val="084B25B9"/>
    <w:rsid w:val="084B25C6"/>
    <w:rsid w:val="084B25F7"/>
    <w:rsid w:val="084B26C6"/>
    <w:rsid w:val="084B27F9"/>
    <w:rsid w:val="084B28B1"/>
    <w:rsid w:val="084B2931"/>
    <w:rsid w:val="084B296C"/>
    <w:rsid w:val="084B2997"/>
    <w:rsid w:val="084B29E4"/>
    <w:rsid w:val="084B2A75"/>
    <w:rsid w:val="084B2A94"/>
    <w:rsid w:val="084B2AA1"/>
    <w:rsid w:val="084B2BB3"/>
    <w:rsid w:val="084B2BEB"/>
    <w:rsid w:val="084B2C11"/>
    <w:rsid w:val="084B2C36"/>
    <w:rsid w:val="084B2C3A"/>
    <w:rsid w:val="084B2C42"/>
    <w:rsid w:val="084B2D30"/>
    <w:rsid w:val="084B2D72"/>
    <w:rsid w:val="084B2D93"/>
    <w:rsid w:val="084B2DD1"/>
    <w:rsid w:val="084B2E52"/>
    <w:rsid w:val="084B2E6A"/>
    <w:rsid w:val="084B2EAF"/>
    <w:rsid w:val="084B2F9E"/>
    <w:rsid w:val="084B2FC6"/>
    <w:rsid w:val="084B3021"/>
    <w:rsid w:val="084B306B"/>
    <w:rsid w:val="084B30BD"/>
    <w:rsid w:val="084B30BE"/>
    <w:rsid w:val="084B30E4"/>
    <w:rsid w:val="084B31E3"/>
    <w:rsid w:val="084B3201"/>
    <w:rsid w:val="084B3266"/>
    <w:rsid w:val="084B32A8"/>
    <w:rsid w:val="084B32F7"/>
    <w:rsid w:val="084B3345"/>
    <w:rsid w:val="084B336D"/>
    <w:rsid w:val="084B3430"/>
    <w:rsid w:val="084B3493"/>
    <w:rsid w:val="084B3525"/>
    <w:rsid w:val="084B362D"/>
    <w:rsid w:val="084B3631"/>
    <w:rsid w:val="084B3639"/>
    <w:rsid w:val="084B3674"/>
    <w:rsid w:val="084B36DE"/>
    <w:rsid w:val="084B3710"/>
    <w:rsid w:val="084B37FB"/>
    <w:rsid w:val="084B38B6"/>
    <w:rsid w:val="084B397A"/>
    <w:rsid w:val="084B39E2"/>
    <w:rsid w:val="084B3A1E"/>
    <w:rsid w:val="084B3A84"/>
    <w:rsid w:val="084B3B26"/>
    <w:rsid w:val="084B3B30"/>
    <w:rsid w:val="084B3B54"/>
    <w:rsid w:val="084B3B8A"/>
    <w:rsid w:val="084B3BCE"/>
    <w:rsid w:val="084B3C6A"/>
    <w:rsid w:val="084B3CDF"/>
    <w:rsid w:val="084B3D86"/>
    <w:rsid w:val="084B3DA8"/>
    <w:rsid w:val="084B3DF5"/>
    <w:rsid w:val="084B3E79"/>
    <w:rsid w:val="084B3E83"/>
    <w:rsid w:val="084B3FF1"/>
    <w:rsid w:val="084B403B"/>
    <w:rsid w:val="084B40BF"/>
    <w:rsid w:val="084B411B"/>
    <w:rsid w:val="084B414C"/>
    <w:rsid w:val="084B41D3"/>
    <w:rsid w:val="084B41FE"/>
    <w:rsid w:val="084B4217"/>
    <w:rsid w:val="084B42AD"/>
    <w:rsid w:val="084B4314"/>
    <w:rsid w:val="084B4333"/>
    <w:rsid w:val="084B436D"/>
    <w:rsid w:val="084B43B6"/>
    <w:rsid w:val="084B4455"/>
    <w:rsid w:val="084B459F"/>
    <w:rsid w:val="084B45A6"/>
    <w:rsid w:val="084B45CC"/>
    <w:rsid w:val="084B4629"/>
    <w:rsid w:val="084B4701"/>
    <w:rsid w:val="084B4712"/>
    <w:rsid w:val="084B4741"/>
    <w:rsid w:val="084B4801"/>
    <w:rsid w:val="084B482B"/>
    <w:rsid w:val="084B4865"/>
    <w:rsid w:val="084B48BC"/>
    <w:rsid w:val="084B48D0"/>
    <w:rsid w:val="084B4987"/>
    <w:rsid w:val="084B49CC"/>
    <w:rsid w:val="084B49E5"/>
    <w:rsid w:val="084B49F0"/>
    <w:rsid w:val="084B4A0A"/>
    <w:rsid w:val="084B4AA5"/>
    <w:rsid w:val="084B4AC3"/>
    <w:rsid w:val="084B4AC6"/>
    <w:rsid w:val="084B4B53"/>
    <w:rsid w:val="084B4B73"/>
    <w:rsid w:val="084B4BF9"/>
    <w:rsid w:val="084B4C30"/>
    <w:rsid w:val="084B4D6E"/>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00"/>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1C"/>
    <w:rsid w:val="084B7E2E"/>
    <w:rsid w:val="084B7E42"/>
    <w:rsid w:val="084B7EA1"/>
    <w:rsid w:val="084B7EDC"/>
    <w:rsid w:val="084B7FCD"/>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3D"/>
    <w:rsid w:val="084C0F62"/>
    <w:rsid w:val="084C1096"/>
    <w:rsid w:val="084C1177"/>
    <w:rsid w:val="084C11AA"/>
    <w:rsid w:val="084C1217"/>
    <w:rsid w:val="084C12E3"/>
    <w:rsid w:val="084C1376"/>
    <w:rsid w:val="084C1387"/>
    <w:rsid w:val="084C13F9"/>
    <w:rsid w:val="084C15BD"/>
    <w:rsid w:val="084C16D7"/>
    <w:rsid w:val="084C16F3"/>
    <w:rsid w:val="084C1730"/>
    <w:rsid w:val="084C1747"/>
    <w:rsid w:val="084C179F"/>
    <w:rsid w:val="084C17BF"/>
    <w:rsid w:val="084C17EA"/>
    <w:rsid w:val="084C181F"/>
    <w:rsid w:val="084C1821"/>
    <w:rsid w:val="084C199F"/>
    <w:rsid w:val="084C1B1B"/>
    <w:rsid w:val="084C1B25"/>
    <w:rsid w:val="084C1C3C"/>
    <w:rsid w:val="084C1C99"/>
    <w:rsid w:val="084C1CC8"/>
    <w:rsid w:val="084C1CEF"/>
    <w:rsid w:val="084C1E0A"/>
    <w:rsid w:val="084C1E5E"/>
    <w:rsid w:val="084C1E63"/>
    <w:rsid w:val="084C1EF1"/>
    <w:rsid w:val="084C2020"/>
    <w:rsid w:val="084C216D"/>
    <w:rsid w:val="084C217E"/>
    <w:rsid w:val="084C2225"/>
    <w:rsid w:val="084C22E5"/>
    <w:rsid w:val="084C22EB"/>
    <w:rsid w:val="084C23C7"/>
    <w:rsid w:val="084C2491"/>
    <w:rsid w:val="084C250C"/>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ED5"/>
    <w:rsid w:val="084C3FCC"/>
    <w:rsid w:val="084C3FD1"/>
    <w:rsid w:val="084C3FE5"/>
    <w:rsid w:val="084C3FEC"/>
    <w:rsid w:val="084C403E"/>
    <w:rsid w:val="084C4041"/>
    <w:rsid w:val="084C40CB"/>
    <w:rsid w:val="084C40EB"/>
    <w:rsid w:val="084C4143"/>
    <w:rsid w:val="084C41BF"/>
    <w:rsid w:val="084C41FB"/>
    <w:rsid w:val="084C4259"/>
    <w:rsid w:val="084C42B1"/>
    <w:rsid w:val="084C42C7"/>
    <w:rsid w:val="084C42D4"/>
    <w:rsid w:val="084C4322"/>
    <w:rsid w:val="084C433F"/>
    <w:rsid w:val="084C4386"/>
    <w:rsid w:val="084C4393"/>
    <w:rsid w:val="084C43EB"/>
    <w:rsid w:val="084C4455"/>
    <w:rsid w:val="084C4480"/>
    <w:rsid w:val="084C4481"/>
    <w:rsid w:val="084C44A5"/>
    <w:rsid w:val="084C44A6"/>
    <w:rsid w:val="084C454B"/>
    <w:rsid w:val="084C4599"/>
    <w:rsid w:val="084C459E"/>
    <w:rsid w:val="084C45C1"/>
    <w:rsid w:val="084C4643"/>
    <w:rsid w:val="084C4712"/>
    <w:rsid w:val="084C472C"/>
    <w:rsid w:val="084C476F"/>
    <w:rsid w:val="084C4830"/>
    <w:rsid w:val="084C4848"/>
    <w:rsid w:val="084C49E9"/>
    <w:rsid w:val="084C4A17"/>
    <w:rsid w:val="084C4A23"/>
    <w:rsid w:val="084C4A2A"/>
    <w:rsid w:val="084C4AC6"/>
    <w:rsid w:val="084C4B30"/>
    <w:rsid w:val="084C4B74"/>
    <w:rsid w:val="084C4BA6"/>
    <w:rsid w:val="084C4BC7"/>
    <w:rsid w:val="084C4C26"/>
    <w:rsid w:val="084C4C5B"/>
    <w:rsid w:val="084C4CB7"/>
    <w:rsid w:val="084C4CD9"/>
    <w:rsid w:val="084C4CF2"/>
    <w:rsid w:val="084C4D43"/>
    <w:rsid w:val="084C4E0E"/>
    <w:rsid w:val="084C4EF4"/>
    <w:rsid w:val="084C4F5D"/>
    <w:rsid w:val="084C502D"/>
    <w:rsid w:val="084C51F9"/>
    <w:rsid w:val="084C5207"/>
    <w:rsid w:val="084C5250"/>
    <w:rsid w:val="084C525D"/>
    <w:rsid w:val="084C52E3"/>
    <w:rsid w:val="084C53C6"/>
    <w:rsid w:val="084C5400"/>
    <w:rsid w:val="084C540F"/>
    <w:rsid w:val="084C543D"/>
    <w:rsid w:val="084C5497"/>
    <w:rsid w:val="084C550B"/>
    <w:rsid w:val="084C5686"/>
    <w:rsid w:val="084C56F7"/>
    <w:rsid w:val="084C5708"/>
    <w:rsid w:val="084C585D"/>
    <w:rsid w:val="084C5873"/>
    <w:rsid w:val="084C5912"/>
    <w:rsid w:val="084C592C"/>
    <w:rsid w:val="084C5942"/>
    <w:rsid w:val="084C5946"/>
    <w:rsid w:val="084C5A62"/>
    <w:rsid w:val="084C5AED"/>
    <w:rsid w:val="084C5B25"/>
    <w:rsid w:val="084C5B47"/>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247"/>
    <w:rsid w:val="084C627B"/>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39"/>
    <w:rsid w:val="084C6EF8"/>
    <w:rsid w:val="084C7057"/>
    <w:rsid w:val="084C7135"/>
    <w:rsid w:val="084C71E9"/>
    <w:rsid w:val="084C7274"/>
    <w:rsid w:val="084C729A"/>
    <w:rsid w:val="084C72BB"/>
    <w:rsid w:val="084C730F"/>
    <w:rsid w:val="084C736A"/>
    <w:rsid w:val="084C73EB"/>
    <w:rsid w:val="084C7409"/>
    <w:rsid w:val="084C7412"/>
    <w:rsid w:val="084C74DA"/>
    <w:rsid w:val="084C74DD"/>
    <w:rsid w:val="084C755B"/>
    <w:rsid w:val="084C75DC"/>
    <w:rsid w:val="084C75EC"/>
    <w:rsid w:val="084C7634"/>
    <w:rsid w:val="084C76A6"/>
    <w:rsid w:val="084C76BD"/>
    <w:rsid w:val="084C7720"/>
    <w:rsid w:val="084C7AB7"/>
    <w:rsid w:val="084C7B03"/>
    <w:rsid w:val="084C7B55"/>
    <w:rsid w:val="084C7B86"/>
    <w:rsid w:val="084C7BBD"/>
    <w:rsid w:val="084C7BCE"/>
    <w:rsid w:val="084C7BE8"/>
    <w:rsid w:val="084C7D11"/>
    <w:rsid w:val="084C7D62"/>
    <w:rsid w:val="084C7E06"/>
    <w:rsid w:val="084C7E0F"/>
    <w:rsid w:val="084C7EF6"/>
    <w:rsid w:val="084C7F64"/>
    <w:rsid w:val="084C7F92"/>
    <w:rsid w:val="084C7FE5"/>
    <w:rsid w:val="084D0020"/>
    <w:rsid w:val="084D004B"/>
    <w:rsid w:val="084D00BB"/>
    <w:rsid w:val="084D0115"/>
    <w:rsid w:val="084D0127"/>
    <w:rsid w:val="084D014F"/>
    <w:rsid w:val="084D02F7"/>
    <w:rsid w:val="084D0344"/>
    <w:rsid w:val="084D03D9"/>
    <w:rsid w:val="084D03FD"/>
    <w:rsid w:val="084D040D"/>
    <w:rsid w:val="084D040E"/>
    <w:rsid w:val="084D04DC"/>
    <w:rsid w:val="084D0508"/>
    <w:rsid w:val="084D052E"/>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1AB"/>
    <w:rsid w:val="084D1200"/>
    <w:rsid w:val="084D1201"/>
    <w:rsid w:val="084D120B"/>
    <w:rsid w:val="084D12F5"/>
    <w:rsid w:val="084D1415"/>
    <w:rsid w:val="084D1426"/>
    <w:rsid w:val="084D1494"/>
    <w:rsid w:val="084D14EB"/>
    <w:rsid w:val="084D1526"/>
    <w:rsid w:val="084D15A4"/>
    <w:rsid w:val="084D15EB"/>
    <w:rsid w:val="084D160E"/>
    <w:rsid w:val="084D1687"/>
    <w:rsid w:val="084D16FA"/>
    <w:rsid w:val="084D171C"/>
    <w:rsid w:val="084D172F"/>
    <w:rsid w:val="084D17AF"/>
    <w:rsid w:val="084D17D4"/>
    <w:rsid w:val="084D18E8"/>
    <w:rsid w:val="084D192D"/>
    <w:rsid w:val="084D1931"/>
    <w:rsid w:val="084D199D"/>
    <w:rsid w:val="084D19ED"/>
    <w:rsid w:val="084D1A19"/>
    <w:rsid w:val="084D1A28"/>
    <w:rsid w:val="084D1A7A"/>
    <w:rsid w:val="084D1A9A"/>
    <w:rsid w:val="084D1AC3"/>
    <w:rsid w:val="084D1B2C"/>
    <w:rsid w:val="084D1C73"/>
    <w:rsid w:val="084D1CAA"/>
    <w:rsid w:val="084D1CBD"/>
    <w:rsid w:val="084D1CFF"/>
    <w:rsid w:val="084D1D9B"/>
    <w:rsid w:val="084D1DF6"/>
    <w:rsid w:val="084D1E56"/>
    <w:rsid w:val="084D1EAC"/>
    <w:rsid w:val="084D1EEA"/>
    <w:rsid w:val="084D1EF1"/>
    <w:rsid w:val="084D1F6B"/>
    <w:rsid w:val="084D203E"/>
    <w:rsid w:val="084D20AE"/>
    <w:rsid w:val="084D2140"/>
    <w:rsid w:val="084D2329"/>
    <w:rsid w:val="084D24B6"/>
    <w:rsid w:val="084D25EB"/>
    <w:rsid w:val="084D2767"/>
    <w:rsid w:val="084D2920"/>
    <w:rsid w:val="084D2924"/>
    <w:rsid w:val="084D299E"/>
    <w:rsid w:val="084D29C2"/>
    <w:rsid w:val="084D2A7C"/>
    <w:rsid w:val="084D2B92"/>
    <w:rsid w:val="084D2C5E"/>
    <w:rsid w:val="084D2C65"/>
    <w:rsid w:val="084D2C7F"/>
    <w:rsid w:val="084D2D1D"/>
    <w:rsid w:val="084D2DCD"/>
    <w:rsid w:val="084D2EA6"/>
    <w:rsid w:val="084D2EE5"/>
    <w:rsid w:val="084D2F2C"/>
    <w:rsid w:val="084D2FC6"/>
    <w:rsid w:val="084D303B"/>
    <w:rsid w:val="084D3150"/>
    <w:rsid w:val="084D321A"/>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2A"/>
    <w:rsid w:val="084D3DBD"/>
    <w:rsid w:val="084D3E5B"/>
    <w:rsid w:val="084D3EA8"/>
    <w:rsid w:val="084D3F19"/>
    <w:rsid w:val="084D3F2A"/>
    <w:rsid w:val="084D4085"/>
    <w:rsid w:val="084D40FA"/>
    <w:rsid w:val="084D416B"/>
    <w:rsid w:val="084D4177"/>
    <w:rsid w:val="084D41FB"/>
    <w:rsid w:val="084D4341"/>
    <w:rsid w:val="084D437A"/>
    <w:rsid w:val="084D4419"/>
    <w:rsid w:val="084D45F8"/>
    <w:rsid w:val="084D4603"/>
    <w:rsid w:val="084D461E"/>
    <w:rsid w:val="084D4649"/>
    <w:rsid w:val="084D46A0"/>
    <w:rsid w:val="084D470C"/>
    <w:rsid w:val="084D47FF"/>
    <w:rsid w:val="084D4922"/>
    <w:rsid w:val="084D4943"/>
    <w:rsid w:val="084D4960"/>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9B"/>
    <w:rsid w:val="084D4FA3"/>
    <w:rsid w:val="084D4FB2"/>
    <w:rsid w:val="084D4FED"/>
    <w:rsid w:val="084D5005"/>
    <w:rsid w:val="084D5039"/>
    <w:rsid w:val="084D5044"/>
    <w:rsid w:val="084D5059"/>
    <w:rsid w:val="084D509B"/>
    <w:rsid w:val="084D509C"/>
    <w:rsid w:val="084D50AC"/>
    <w:rsid w:val="084D50F5"/>
    <w:rsid w:val="084D50FC"/>
    <w:rsid w:val="084D51B8"/>
    <w:rsid w:val="084D5268"/>
    <w:rsid w:val="084D52A0"/>
    <w:rsid w:val="084D5319"/>
    <w:rsid w:val="084D5543"/>
    <w:rsid w:val="084D560A"/>
    <w:rsid w:val="084D5647"/>
    <w:rsid w:val="084D568A"/>
    <w:rsid w:val="084D5695"/>
    <w:rsid w:val="084D57A1"/>
    <w:rsid w:val="084D57FE"/>
    <w:rsid w:val="084D58B8"/>
    <w:rsid w:val="084D5918"/>
    <w:rsid w:val="084D5947"/>
    <w:rsid w:val="084D59CC"/>
    <w:rsid w:val="084D5A75"/>
    <w:rsid w:val="084D5B59"/>
    <w:rsid w:val="084D5BB9"/>
    <w:rsid w:val="084D5CDE"/>
    <w:rsid w:val="084D5D2A"/>
    <w:rsid w:val="084D5DBD"/>
    <w:rsid w:val="084D5ED1"/>
    <w:rsid w:val="084D5F1E"/>
    <w:rsid w:val="084D5F73"/>
    <w:rsid w:val="084D5FD8"/>
    <w:rsid w:val="084D6250"/>
    <w:rsid w:val="084D6251"/>
    <w:rsid w:val="084D6359"/>
    <w:rsid w:val="084D63AF"/>
    <w:rsid w:val="084D6487"/>
    <w:rsid w:val="084D652E"/>
    <w:rsid w:val="084D6556"/>
    <w:rsid w:val="084D655F"/>
    <w:rsid w:val="084D65C5"/>
    <w:rsid w:val="084D6747"/>
    <w:rsid w:val="084D675D"/>
    <w:rsid w:val="084D6767"/>
    <w:rsid w:val="084D67F2"/>
    <w:rsid w:val="084D6804"/>
    <w:rsid w:val="084D6916"/>
    <w:rsid w:val="084D692F"/>
    <w:rsid w:val="084D6973"/>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2D"/>
    <w:rsid w:val="084D6FFA"/>
    <w:rsid w:val="084D7014"/>
    <w:rsid w:val="084D70C1"/>
    <w:rsid w:val="084D70E8"/>
    <w:rsid w:val="084D7119"/>
    <w:rsid w:val="084D7122"/>
    <w:rsid w:val="084D7123"/>
    <w:rsid w:val="084D715C"/>
    <w:rsid w:val="084D7184"/>
    <w:rsid w:val="084D71D6"/>
    <w:rsid w:val="084D71E7"/>
    <w:rsid w:val="084D71E8"/>
    <w:rsid w:val="084D7236"/>
    <w:rsid w:val="084D726A"/>
    <w:rsid w:val="084D745F"/>
    <w:rsid w:val="084D7467"/>
    <w:rsid w:val="084D7491"/>
    <w:rsid w:val="084D74C3"/>
    <w:rsid w:val="084D74D6"/>
    <w:rsid w:val="084D751F"/>
    <w:rsid w:val="084D752E"/>
    <w:rsid w:val="084D7587"/>
    <w:rsid w:val="084D75A4"/>
    <w:rsid w:val="084D75A6"/>
    <w:rsid w:val="084D75B2"/>
    <w:rsid w:val="084D75D9"/>
    <w:rsid w:val="084D75FB"/>
    <w:rsid w:val="084D7679"/>
    <w:rsid w:val="084D76A5"/>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41"/>
    <w:rsid w:val="084E0F5F"/>
    <w:rsid w:val="084E104D"/>
    <w:rsid w:val="084E120E"/>
    <w:rsid w:val="084E12E6"/>
    <w:rsid w:val="084E130E"/>
    <w:rsid w:val="084E137D"/>
    <w:rsid w:val="084E14B7"/>
    <w:rsid w:val="084E14D0"/>
    <w:rsid w:val="084E15DC"/>
    <w:rsid w:val="084E1626"/>
    <w:rsid w:val="084E1667"/>
    <w:rsid w:val="084E1680"/>
    <w:rsid w:val="084E1709"/>
    <w:rsid w:val="084E178A"/>
    <w:rsid w:val="084E17A6"/>
    <w:rsid w:val="084E1888"/>
    <w:rsid w:val="084E19AC"/>
    <w:rsid w:val="084E19D3"/>
    <w:rsid w:val="084E1A1F"/>
    <w:rsid w:val="084E1B2F"/>
    <w:rsid w:val="084E1B43"/>
    <w:rsid w:val="084E1BB0"/>
    <w:rsid w:val="084E1C98"/>
    <w:rsid w:val="084E1D46"/>
    <w:rsid w:val="084E1E48"/>
    <w:rsid w:val="084E1F70"/>
    <w:rsid w:val="084E1FFC"/>
    <w:rsid w:val="084E2073"/>
    <w:rsid w:val="084E212F"/>
    <w:rsid w:val="084E2234"/>
    <w:rsid w:val="084E22D7"/>
    <w:rsid w:val="084E2441"/>
    <w:rsid w:val="084E24C5"/>
    <w:rsid w:val="084E252A"/>
    <w:rsid w:val="084E252E"/>
    <w:rsid w:val="084E2641"/>
    <w:rsid w:val="084E2687"/>
    <w:rsid w:val="084E26F0"/>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5D"/>
    <w:rsid w:val="084E2D9A"/>
    <w:rsid w:val="084E2DAC"/>
    <w:rsid w:val="084E2DAE"/>
    <w:rsid w:val="084E2E02"/>
    <w:rsid w:val="084E2F00"/>
    <w:rsid w:val="084E2F01"/>
    <w:rsid w:val="084E2F08"/>
    <w:rsid w:val="084E2F0B"/>
    <w:rsid w:val="084E3000"/>
    <w:rsid w:val="084E30CC"/>
    <w:rsid w:val="084E316D"/>
    <w:rsid w:val="084E31D5"/>
    <w:rsid w:val="084E32DC"/>
    <w:rsid w:val="084E3367"/>
    <w:rsid w:val="084E33A0"/>
    <w:rsid w:val="084E3544"/>
    <w:rsid w:val="084E3582"/>
    <w:rsid w:val="084E35BA"/>
    <w:rsid w:val="084E3645"/>
    <w:rsid w:val="084E3648"/>
    <w:rsid w:val="084E3A80"/>
    <w:rsid w:val="084E3A84"/>
    <w:rsid w:val="084E3ACB"/>
    <w:rsid w:val="084E3AD4"/>
    <w:rsid w:val="084E3B0A"/>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BF"/>
    <w:rsid w:val="084E46E5"/>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1B"/>
    <w:rsid w:val="084E4B59"/>
    <w:rsid w:val="084E4C1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2A2"/>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6"/>
    <w:rsid w:val="084E765E"/>
    <w:rsid w:val="084E76CD"/>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B4"/>
    <w:rsid w:val="084F06C5"/>
    <w:rsid w:val="084F08EC"/>
    <w:rsid w:val="084F08F2"/>
    <w:rsid w:val="084F09B0"/>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59"/>
    <w:rsid w:val="084F0F69"/>
    <w:rsid w:val="084F0F76"/>
    <w:rsid w:val="084F0FD8"/>
    <w:rsid w:val="084F0FE8"/>
    <w:rsid w:val="084F0FEE"/>
    <w:rsid w:val="084F1022"/>
    <w:rsid w:val="084F116A"/>
    <w:rsid w:val="084F1183"/>
    <w:rsid w:val="084F129E"/>
    <w:rsid w:val="084F12D0"/>
    <w:rsid w:val="084F131B"/>
    <w:rsid w:val="084F1351"/>
    <w:rsid w:val="084F1374"/>
    <w:rsid w:val="084F13C7"/>
    <w:rsid w:val="084F1445"/>
    <w:rsid w:val="084F1449"/>
    <w:rsid w:val="084F14A5"/>
    <w:rsid w:val="084F154F"/>
    <w:rsid w:val="084F169C"/>
    <w:rsid w:val="084F16A6"/>
    <w:rsid w:val="084F173D"/>
    <w:rsid w:val="084F1753"/>
    <w:rsid w:val="084F17BD"/>
    <w:rsid w:val="084F1882"/>
    <w:rsid w:val="084F18B8"/>
    <w:rsid w:val="084F18E8"/>
    <w:rsid w:val="084F1978"/>
    <w:rsid w:val="084F1A5C"/>
    <w:rsid w:val="084F1AAB"/>
    <w:rsid w:val="084F1AC6"/>
    <w:rsid w:val="084F1B20"/>
    <w:rsid w:val="084F1B5B"/>
    <w:rsid w:val="084F1BBA"/>
    <w:rsid w:val="084F1BDA"/>
    <w:rsid w:val="084F1CC4"/>
    <w:rsid w:val="084F1E1F"/>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75"/>
    <w:rsid w:val="084F2988"/>
    <w:rsid w:val="084F2993"/>
    <w:rsid w:val="084F299D"/>
    <w:rsid w:val="084F2A97"/>
    <w:rsid w:val="084F2BF0"/>
    <w:rsid w:val="084F2BF2"/>
    <w:rsid w:val="084F2C09"/>
    <w:rsid w:val="084F2C40"/>
    <w:rsid w:val="084F2C4A"/>
    <w:rsid w:val="084F2CD0"/>
    <w:rsid w:val="084F2D4E"/>
    <w:rsid w:val="084F2D63"/>
    <w:rsid w:val="084F2D66"/>
    <w:rsid w:val="084F2D8D"/>
    <w:rsid w:val="084F2DA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14"/>
    <w:rsid w:val="084F342E"/>
    <w:rsid w:val="084F345E"/>
    <w:rsid w:val="084F34D1"/>
    <w:rsid w:val="084F34DA"/>
    <w:rsid w:val="084F3626"/>
    <w:rsid w:val="084F369F"/>
    <w:rsid w:val="084F36AE"/>
    <w:rsid w:val="084F36F5"/>
    <w:rsid w:val="084F371F"/>
    <w:rsid w:val="084F380C"/>
    <w:rsid w:val="084F3819"/>
    <w:rsid w:val="084F3887"/>
    <w:rsid w:val="084F38E1"/>
    <w:rsid w:val="084F390D"/>
    <w:rsid w:val="084F3AA0"/>
    <w:rsid w:val="084F3BC3"/>
    <w:rsid w:val="084F3C02"/>
    <w:rsid w:val="084F3CAF"/>
    <w:rsid w:val="084F3CF6"/>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2CF"/>
    <w:rsid w:val="084F4322"/>
    <w:rsid w:val="084F434A"/>
    <w:rsid w:val="084F434B"/>
    <w:rsid w:val="084F43C1"/>
    <w:rsid w:val="084F43D4"/>
    <w:rsid w:val="084F4434"/>
    <w:rsid w:val="084F4593"/>
    <w:rsid w:val="084F4596"/>
    <w:rsid w:val="084F459F"/>
    <w:rsid w:val="084F462B"/>
    <w:rsid w:val="084F4696"/>
    <w:rsid w:val="084F46BB"/>
    <w:rsid w:val="084F46E3"/>
    <w:rsid w:val="084F4718"/>
    <w:rsid w:val="084F47A2"/>
    <w:rsid w:val="084F47E9"/>
    <w:rsid w:val="084F4816"/>
    <w:rsid w:val="084F48AC"/>
    <w:rsid w:val="084F494E"/>
    <w:rsid w:val="084F496F"/>
    <w:rsid w:val="084F497C"/>
    <w:rsid w:val="084F4999"/>
    <w:rsid w:val="084F499D"/>
    <w:rsid w:val="084F49A8"/>
    <w:rsid w:val="084F49DC"/>
    <w:rsid w:val="084F4AD5"/>
    <w:rsid w:val="084F4B45"/>
    <w:rsid w:val="084F4C0F"/>
    <w:rsid w:val="084F4C93"/>
    <w:rsid w:val="084F4D0F"/>
    <w:rsid w:val="084F4D3C"/>
    <w:rsid w:val="084F4E73"/>
    <w:rsid w:val="084F4E7A"/>
    <w:rsid w:val="084F4EA0"/>
    <w:rsid w:val="084F4EB7"/>
    <w:rsid w:val="084F4EC0"/>
    <w:rsid w:val="084F4F97"/>
    <w:rsid w:val="084F4FAA"/>
    <w:rsid w:val="084F513E"/>
    <w:rsid w:val="084F52AA"/>
    <w:rsid w:val="084F52E7"/>
    <w:rsid w:val="084F5498"/>
    <w:rsid w:val="084F54A1"/>
    <w:rsid w:val="084F54CF"/>
    <w:rsid w:val="084F550E"/>
    <w:rsid w:val="084F551C"/>
    <w:rsid w:val="084F553E"/>
    <w:rsid w:val="084F574A"/>
    <w:rsid w:val="084F587A"/>
    <w:rsid w:val="084F5925"/>
    <w:rsid w:val="084F5942"/>
    <w:rsid w:val="084F5A43"/>
    <w:rsid w:val="084F5AB0"/>
    <w:rsid w:val="084F5B5A"/>
    <w:rsid w:val="084F5BAE"/>
    <w:rsid w:val="084F5BF5"/>
    <w:rsid w:val="084F5BFE"/>
    <w:rsid w:val="084F5C19"/>
    <w:rsid w:val="084F5D70"/>
    <w:rsid w:val="084F5DAA"/>
    <w:rsid w:val="084F5DE6"/>
    <w:rsid w:val="084F5E3C"/>
    <w:rsid w:val="084F5EDA"/>
    <w:rsid w:val="084F5F89"/>
    <w:rsid w:val="084F6015"/>
    <w:rsid w:val="084F6064"/>
    <w:rsid w:val="084F60C7"/>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AC"/>
    <w:rsid w:val="084F6851"/>
    <w:rsid w:val="084F6883"/>
    <w:rsid w:val="084F68E3"/>
    <w:rsid w:val="084F6929"/>
    <w:rsid w:val="084F69C4"/>
    <w:rsid w:val="084F6A02"/>
    <w:rsid w:val="084F6A21"/>
    <w:rsid w:val="084F6A6D"/>
    <w:rsid w:val="084F6AD7"/>
    <w:rsid w:val="084F6B3C"/>
    <w:rsid w:val="084F6B8E"/>
    <w:rsid w:val="084F6BD7"/>
    <w:rsid w:val="084F6C78"/>
    <w:rsid w:val="084F6CAD"/>
    <w:rsid w:val="084F6CC3"/>
    <w:rsid w:val="084F6CE8"/>
    <w:rsid w:val="084F6D06"/>
    <w:rsid w:val="084F6D36"/>
    <w:rsid w:val="084F6E2E"/>
    <w:rsid w:val="084F6FAE"/>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13"/>
    <w:rsid w:val="08501545"/>
    <w:rsid w:val="0850154A"/>
    <w:rsid w:val="085015D8"/>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A8"/>
    <w:rsid w:val="08502E18"/>
    <w:rsid w:val="08502E3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54"/>
    <w:rsid w:val="08503FF0"/>
    <w:rsid w:val="085040F3"/>
    <w:rsid w:val="08504178"/>
    <w:rsid w:val="0850426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3ED"/>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A"/>
    <w:rsid w:val="0850666F"/>
    <w:rsid w:val="085066AB"/>
    <w:rsid w:val="0850673A"/>
    <w:rsid w:val="08506741"/>
    <w:rsid w:val="08506785"/>
    <w:rsid w:val="08506809"/>
    <w:rsid w:val="08506851"/>
    <w:rsid w:val="0850687A"/>
    <w:rsid w:val="085068B6"/>
    <w:rsid w:val="085068C1"/>
    <w:rsid w:val="0850691C"/>
    <w:rsid w:val="08506969"/>
    <w:rsid w:val="08506B62"/>
    <w:rsid w:val="08506C8D"/>
    <w:rsid w:val="08506E9E"/>
    <w:rsid w:val="08506F59"/>
    <w:rsid w:val="08506FDD"/>
    <w:rsid w:val="08507015"/>
    <w:rsid w:val="08507122"/>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B0A"/>
    <w:rsid w:val="08507B9A"/>
    <w:rsid w:val="08507C4D"/>
    <w:rsid w:val="08507C52"/>
    <w:rsid w:val="08507CA5"/>
    <w:rsid w:val="08507CD4"/>
    <w:rsid w:val="08507CEF"/>
    <w:rsid w:val="08507DD9"/>
    <w:rsid w:val="08507E2E"/>
    <w:rsid w:val="08507EA7"/>
    <w:rsid w:val="08507FE4"/>
    <w:rsid w:val="08510160"/>
    <w:rsid w:val="08510192"/>
    <w:rsid w:val="085101C4"/>
    <w:rsid w:val="085102EB"/>
    <w:rsid w:val="0851049A"/>
    <w:rsid w:val="08510515"/>
    <w:rsid w:val="0851056F"/>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C72"/>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AD"/>
    <w:rsid w:val="085111D3"/>
    <w:rsid w:val="0851126F"/>
    <w:rsid w:val="085112CD"/>
    <w:rsid w:val="085113B6"/>
    <w:rsid w:val="08511528"/>
    <w:rsid w:val="0851156A"/>
    <w:rsid w:val="085115BA"/>
    <w:rsid w:val="085115BF"/>
    <w:rsid w:val="08511707"/>
    <w:rsid w:val="08511758"/>
    <w:rsid w:val="0851185D"/>
    <w:rsid w:val="085118C0"/>
    <w:rsid w:val="085118EC"/>
    <w:rsid w:val="08511903"/>
    <w:rsid w:val="08511A0D"/>
    <w:rsid w:val="08511AB4"/>
    <w:rsid w:val="08511AD9"/>
    <w:rsid w:val="08511BEA"/>
    <w:rsid w:val="08511C8D"/>
    <w:rsid w:val="08511CAB"/>
    <w:rsid w:val="08511CC8"/>
    <w:rsid w:val="08511DB6"/>
    <w:rsid w:val="08511E53"/>
    <w:rsid w:val="08511FB4"/>
    <w:rsid w:val="08512040"/>
    <w:rsid w:val="085120EA"/>
    <w:rsid w:val="085121DF"/>
    <w:rsid w:val="08512269"/>
    <w:rsid w:val="0851228B"/>
    <w:rsid w:val="085122F7"/>
    <w:rsid w:val="0851231E"/>
    <w:rsid w:val="08512353"/>
    <w:rsid w:val="08512405"/>
    <w:rsid w:val="08512640"/>
    <w:rsid w:val="0851264C"/>
    <w:rsid w:val="08512677"/>
    <w:rsid w:val="085126AC"/>
    <w:rsid w:val="08512793"/>
    <w:rsid w:val="085127D3"/>
    <w:rsid w:val="08512875"/>
    <w:rsid w:val="08512896"/>
    <w:rsid w:val="085128D5"/>
    <w:rsid w:val="085128F2"/>
    <w:rsid w:val="0851290A"/>
    <w:rsid w:val="0851294B"/>
    <w:rsid w:val="08512A03"/>
    <w:rsid w:val="08512A13"/>
    <w:rsid w:val="08512A77"/>
    <w:rsid w:val="08512AB0"/>
    <w:rsid w:val="08512C0D"/>
    <w:rsid w:val="08512C77"/>
    <w:rsid w:val="08512D6F"/>
    <w:rsid w:val="08512D73"/>
    <w:rsid w:val="08512D7E"/>
    <w:rsid w:val="08512DF2"/>
    <w:rsid w:val="08512E02"/>
    <w:rsid w:val="08512E88"/>
    <w:rsid w:val="08512EE8"/>
    <w:rsid w:val="08512F17"/>
    <w:rsid w:val="08512F86"/>
    <w:rsid w:val="08512F89"/>
    <w:rsid w:val="08512FDE"/>
    <w:rsid w:val="08513064"/>
    <w:rsid w:val="08513106"/>
    <w:rsid w:val="08513126"/>
    <w:rsid w:val="085132D7"/>
    <w:rsid w:val="08513301"/>
    <w:rsid w:val="0851333A"/>
    <w:rsid w:val="08513351"/>
    <w:rsid w:val="08513384"/>
    <w:rsid w:val="08513396"/>
    <w:rsid w:val="08513489"/>
    <w:rsid w:val="085135D4"/>
    <w:rsid w:val="085136FC"/>
    <w:rsid w:val="0851374C"/>
    <w:rsid w:val="08513797"/>
    <w:rsid w:val="085137EC"/>
    <w:rsid w:val="08513837"/>
    <w:rsid w:val="085138CE"/>
    <w:rsid w:val="085138EB"/>
    <w:rsid w:val="085139F2"/>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A30"/>
    <w:rsid w:val="08514B4C"/>
    <w:rsid w:val="08514B79"/>
    <w:rsid w:val="08514BBF"/>
    <w:rsid w:val="08514C37"/>
    <w:rsid w:val="08514CD1"/>
    <w:rsid w:val="08514CD9"/>
    <w:rsid w:val="08514CE5"/>
    <w:rsid w:val="08514CEC"/>
    <w:rsid w:val="08514D2B"/>
    <w:rsid w:val="08514E5E"/>
    <w:rsid w:val="08514E70"/>
    <w:rsid w:val="08514EC8"/>
    <w:rsid w:val="08514F5D"/>
    <w:rsid w:val="08514F87"/>
    <w:rsid w:val="08514FB8"/>
    <w:rsid w:val="08514FF2"/>
    <w:rsid w:val="08515135"/>
    <w:rsid w:val="0851521E"/>
    <w:rsid w:val="0851525D"/>
    <w:rsid w:val="08515273"/>
    <w:rsid w:val="085152AB"/>
    <w:rsid w:val="0851534D"/>
    <w:rsid w:val="085153B4"/>
    <w:rsid w:val="0851544F"/>
    <w:rsid w:val="085154B9"/>
    <w:rsid w:val="085154E1"/>
    <w:rsid w:val="08515504"/>
    <w:rsid w:val="08515538"/>
    <w:rsid w:val="085155B9"/>
    <w:rsid w:val="085156BF"/>
    <w:rsid w:val="085156CE"/>
    <w:rsid w:val="08515720"/>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17"/>
    <w:rsid w:val="08515E5F"/>
    <w:rsid w:val="08515F66"/>
    <w:rsid w:val="08515F91"/>
    <w:rsid w:val="08515F9C"/>
    <w:rsid w:val="08515FD5"/>
    <w:rsid w:val="08516046"/>
    <w:rsid w:val="0851615F"/>
    <w:rsid w:val="085161AA"/>
    <w:rsid w:val="085161C5"/>
    <w:rsid w:val="085161EA"/>
    <w:rsid w:val="085163CE"/>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1F"/>
    <w:rsid w:val="08520083"/>
    <w:rsid w:val="085200CC"/>
    <w:rsid w:val="085200FE"/>
    <w:rsid w:val="0852011D"/>
    <w:rsid w:val="085202C2"/>
    <w:rsid w:val="085202E6"/>
    <w:rsid w:val="085202F7"/>
    <w:rsid w:val="0852032E"/>
    <w:rsid w:val="08520333"/>
    <w:rsid w:val="08520339"/>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1F"/>
    <w:rsid w:val="08520F3D"/>
    <w:rsid w:val="08520F4E"/>
    <w:rsid w:val="08520F7F"/>
    <w:rsid w:val="08520FF7"/>
    <w:rsid w:val="08521056"/>
    <w:rsid w:val="085210CA"/>
    <w:rsid w:val="08521162"/>
    <w:rsid w:val="08521185"/>
    <w:rsid w:val="0852118C"/>
    <w:rsid w:val="085212F7"/>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C9E"/>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67"/>
    <w:rsid w:val="0852289D"/>
    <w:rsid w:val="08522935"/>
    <w:rsid w:val="0852299B"/>
    <w:rsid w:val="08522A6C"/>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288"/>
    <w:rsid w:val="0852328B"/>
    <w:rsid w:val="08523299"/>
    <w:rsid w:val="0852329F"/>
    <w:rsid w:val="085232D6"/>
    <w:rsid w:val="085232F3"/>
    <w:rsid w:val="08523317"/>
    <w:rsid w:val="085234B2"/>
    <w:rsid w:val="085234CB"/>
    <w:rsid w:val="08523512"/>
    <w:rsid w:val="08523596"/>
    <w:rsid w:val="085235B3"/>
    <w:rsid w:val="0852362E"/>
    <w:rsid w:val="085236FB"/>
    <w:rsid w:val="0852381C"/>
    <w:rsid w:val="0852386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D3"/>
    <w:rsid w:val="08524E1B"/>
    <w:rsid w:val="08524E46"/>
    <w:rsid w:val="08524E91"/>
    <w:rsid w:val="08524F2F"/>
    <w:rsid w:val="08524F9F"/>
    <w:rsid w:val="08524FD4"/>
    <w:rsid w:val="08524FFA"/>
    <w:rsid w:val="08525073"/>
    <w:rsid w:val="0852514B"/>
    <w:rsid w:val="0852519F"/>
    <w:rsid w:val="085251C5"/>
    <w:rsid w:val="0852523E"/>
    <w:rsid w:val="085253F1"/>
    <w:rsid w:val="08525446"/>
    <w:rsid w:val="085255D3"/>
    <w:rsid w:val="08525617"/>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51E"/>
    <w:rsid w:val="08526524"/>
    <w:rsid w:val="08526586"/>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8C"/>
    <w:rsid w:val="085275E0"/>
    <w:rsid w:val="0852760C"/>
    <w:rsid w:val="085276FF"/>
    <w:rsid w:val="08527719"/>
    <w:rsid w:val="0852789D"/>
    <w:rsid w:val="085278CE"/>
    <w:rsid w:val="085278E1"/>
    <w:rsid w:val="085278EC"/>
    <w:rsid w:val="08527A17"/>
    <w:rsid w:val="08527A61"/>
    <w:rsid w:val="08527CB7"/>
    <w:rsid w:val="08527D08"/>
    <w:rsid w:val="08527D3D"/>
    <w:rsid w:val="08527F49"/>
    <w:rsid w:val="08527F78"/>
    <w:rsid w:val="08527F7F"/>
    <w:rsid w:val="085301B6"/>
    <w:rsid w:val="085301FF"/>
    <w:rsid w:val="08530277"/>
    <w:rsid w:val="08530285"/>
    <w:rsid w:val="085302B6"/>
    <w:rsid w:val="08530323"/>
    <w:rsid w:val="08530327"/>
    <w:rsid w:val="0853037B"/>
    <w:rsid w:val="08530401"/>
    <w:rsid w:val="08530457"/>
    <w:rsid w:val="08530460"/>
    <w:rsid w:val="0853059C"/>
    <w:rsid w:val="085305C2"/>
    <w:rsid w:val="08530603"/>
    <w:rsid w:val="0853062D"/>
    <w:rsid w:val="08530656"/>
    <w:rsid w:val="085306D0"/>
    <w:rsid w:val="085307A1"/>
    <w:rsid w:val="085307BF"/>
    <w:rsid w:val="085307CD"/>
    <w:rsid w:val="085307D4"/>
    <w:rsid w:val="085307FD"/>
    <w:rsid w:val="085308C7"/>
    <w:rsid w:val="08530903"/>
    <w:rsid w:val="0853094D"/>
    <w:rsid w:val="0853099F"/>
    <w:rsid w:val="085309A6"/>
    <w:rsid w:val="085309B2"/>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60"/>
    <w:rsid w:val="08531292"/>
    <w:rsid w:val="08531300"/>
    <w:rsid w:val="08531311"/>
    <w:rsid w:val="08531342"/>
    <w:rsid w:val="085313DF"/>
    <w:rsid w:val="085313F5"/>
    <w:rsid w:val="085313FB"/>
    <w:rsid w:val="08531435"/>
    <w:rsid w:val="0853143D"/>
    <w:rsid w:val="08531446"/>
    <w:rsid w:val="08531481"/>
    <w:rsid w:val="085314AA"/>
    <w:rsid w:val="0853150C"/>
    <w:rsid w:val="08531565"/>
    <w:rsid w:val="08531569"/>
    <w:rsid w:val="08531571"/>
    <w:rsid w:val="085315E5"/>
    <w:rsid w:val="085316B0"/>
    <w:rsid w:val="085316B5"/>
    <w:rsid w:val="085316FD"/>
    <w:rsid w:val="08531729"/>
    <w:rsid w:val="0853177D"/>
    <w:rsid w:val="085317AD"/>
    <w:rsid w:val="085317DA"/>
    <w:rsid w:val="0853183E"/>
    <w:rsid w:val="0853185C"/>
    <w:rsid w:val="085319B2"/>
    <w:rsid w:val="085319D9"/>
    <w:rsid w:val="08531A04"/>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C1"/>
    <w:rsid w:val="085325CB"/>
    <w:rsid w:val="085326E2"/>
    <w:rsid w:val="0853272F"/>
    <w:rsid w:val="085327D7"/>
    <w:rsid w:val="085327E1"/>
    <w:rsid w:val="0853281B"/>
    <w:rsid w:val="08532856"/>
    <w:rsid w:val="0853295B"/>
    <w:rsid w:val="08532985"/>
    <w:rsid w:val="085329B6"/>
    <w:rsid w:val="085329CF"/>
    <w:rsid w:val="08532A42"/>
    <w:rsid w:val="08532A5D"/>
    <w:rsid w:val="08532A85"/>
    <w:rsid w:val="08532AAC"/>
    <w:rsid w:val="08532AD0"/>
    <w:rsid w:val="08532AFD"/>
    <w:rsid w:val="08532B63"/>
    <w:rsid w:val="08532BA6"/>
    <w:rsid w:val="08532BEE"/>
    <w:rsid w:val="08532C41"/>
    <w:rsid w:val="08532DF6"/>
    <w:rsid w:val="08532DFF"/>
    <w:rsid w:val="08532EAD"/>
    <w:rsid w:val="08532EEE"/>
    <w:rsid w:val="08532F14"/>
    <w:rsid w:val="08532F55"/>
    <w:rsid w:val="085330DF"/>
    <w:rsid w:val="08533182"/>
    <w:rsid w:val="0853319D"/>
    <w:rsid w:val="0853325D"/>
    <w:rsid w:val="08533273"/>
    <w:rsid w:val="08533280"/>
    <w:rsid w:val="08533296"/>
    <w:rsid w:val="085332F6"/>
    <w:rsid w:val="08533393"/>
    <w:rsid w:val="085333D7"/>
    <w:rsid w:val="08533462"/>
    <w:rsid w:val="08533485"/>
    <w:rsid w:val="085334A0"/>
    <w:rsid w:val="085335B0"/>
    <w:rsid w:val="085336D1"/>
    <w:rsid w:val="08533732"/>
    <w:rsid w:val="08533739"/>
    <w:rsid w:val="085337AE"/>
    <w:rsid w:val="0853392B"/>
    <w:rsid w:val="08533967"/>
    <w:rsid w:val="085339F6"/>
    <w:rsid w:val="08533A4C"/>
    <w:rsid w:val="08533B1C"/>
    <w:rsid w:val="08533C2D"/>
    <w:rsid w:val="08533C62"/>
    <w:rsid w:val="08533C9C"/>
    <w:rsid w:val="08533D46"/>
    <w:rsid w:val="08533DA2"/>
    <w:rsid w:val="08533DA5"/>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8FB"/>
    <w:rsid w:val="08534971"/>
    <w:rsid w:val="08534B58"/>
    <w:rsid w:val="08534BA3"/>
    <w:rsid w:val="08534BDB"/>
    <w:rsid w:val="08534BE3"/>
    <w:rsid w:val="08534BF5"/>
    <w:rsid w:val="08534C19"/>
    <w:rsid w:val="08534C2E"/>
    <w:rsid w:val="08534D18"/>
    <w:rsid w:val="08534D6E"/>
    <w:rsid w:val="08534D81"/>
    <w:rsid w:val="08534DAC"/>
    <w:rsid w:val="08534DF4"/>
    <w:rsid w:val="08534EF1"/>
    <w:rsid w:val="08534EFA"/>
    <w:rsid w:val="08534FBE"/>
    <w:rsid w:val="085350B8"/>
    <w:rsid w:val="0853511F"/>
    <w:rsid w:val="085351A2"/>
    <w:rsid w:val="085351CA"/>
    <w:rsid w:val="0853520D"/>
    <w:rsid w:val="0853525B"/>
    <w:rsid w:val="085352B9"/>
    <w:rsid w:val="08535373"/>
    <w:rsid w:val="08535415"/>
    <w:rsid w:val="08535434"/>
    <w:rsid w:val="08535486"/>
    <w:rsid w:val="0853549B"/>
    <w:rsid w:val="085354EB"/>
    <w:rsid w:val="085354FD"/>
    <w:rsid w:val="085355F7"/>
    <w:rsid w:val="08535637"/>
    <w:rsid w:val="0853564A"/>
    <w:rsid w:val="085356E3"/>
    <w:rsid w:val="0853573F"/>
    <w:rsid w:val="0853574F"/>
    <w:rsid w:val="085357CD"/>
    <w:rsid w:val="085357DE"/>
    <w:rsid w:val="0853580F"/>
    <w:rsid w:val="08535894"/>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EC"/>
    <w:rsid w:val="085372BC"/>
    <w:rsid w:val="085372C5"/>
    <w:rsid w:val="08537327"/>
    <w:rsid w:val="085373CD"/>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3C"/>
    <w:rsid w:val="08537F5D"/>
    <w:rsid w:val="08537F96"/>
    <w:rsid w:val="08540014"/>
    <w:rsid w:val="085400B1"/>
    <w:rsid w:val="085400D1"/>
    <w:rsid w:val="085400FD"/>
    <w:rsid w:val="0854018E"/>
    <w:rsid w:val="085401A7"/>
    <w:rsid w:val="08540215"/>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8AA"/>
    <w:rsid w:val="0854091D"/>
    <w:rsid w:val="08540938"/>
    <w:rsid w:val="08540A51"/>
    <w:rsid w:val="08540A6D"/>
    <w:rsid w:val="08540A78"/>
    <w:rsid w:val="08540A82"/>
    <w:rsid w:val="08540B68"/>
    <w:rsid w:val="08540BCA"/>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771"/>
    <w:rsid w:val="08541810"/>
    <w:rsid w:val="085418E8"/>
    <w:rsid w:val="0854191A"/>
    <w:rsid w:val="08541945"/>
    <w:rsid w:val="08541A8E"/>
    <w:rsid w:val="08541AFB"/>
    <w:rsid w:val="08541AFD"/>
    <w:rsid w:val="08541B4B"/>
    <w:rsid w:val="08541C5D"/>
    <w:rsid w:val="08541C7A"/>
    <w:rsid w:val="08541D38"/>
    <w:rsid w:val="08541E70"/>
    <w:rsid w:val="08541EAE"/>
    <w:rsid w:val="08541F8A"/>
    <w:rsid w:val="08542063"/>
    <w:rsid w:val="0854206B"/>
    <w:rsid w:val="085420F2"/>
    <w:rsid w:val="08542141"/>
    <w:rsid w:val="0854215D"/>
    <w:rsid w:val="08542255"/>
    <w:rsid w:val="08542375"/>
    <w:rsid w:val="0854239A"/>
    <w:rsid w:val="08542425"/>
    <w:rsid w:val="08542712"/>
    <w:rsid w:val="0854276C"/>
    <w:rsid w:val="085427C6"/>
    <w:rsid w:val="085427EF"/>
    <w:rsid w:val="085427FA"/>
    <w:rsid w:val="08542808"/>
    <w:rsid w:val="08542813"/>
    <w:rsid w:val="08542819"/>
    <w:rsid w:val="08542831"/>
    <w:rsid w:val="085428DD"/>
    <w:rsid w:val="08542945"/>
    <w:rsid w:val="08542A79"/>
    <w:rsid w:val="08542B35"/>
    <w:rsid w:val="08542B5A"/>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7E7"/>
    <w:rsid w:val="08543846"/>
    <w:rsid w:val="0854387E"/>
    <w:rsid w:val="085438C7"/>
    <w:rsid w:val="08543A9A"/>
    <w:rsid w:val="08543B4F"/>
    <w:rsid w:val="08543B6F"/>
    <w:rsid w:val="08543B83"/>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564"/>
    <w:rsid w:val="085446DF"/>
    <w:rsid w:val="085447FC"/>
    <w:rsid w:val="085448A8"/>
    <w:rsid w:val="085448BC"/>
    <w:rsid w:val="08544A2F"/>
    <w:rsid w:val="08544AA0"/>
    <w:rsid w:val="08544B8C"/>
    <w:rsid w:val="08544B8D"/>
    <w:rsid w:val="08544BD7"/>
    <w:rsid w:val="08544BF2"/>
    <w:rsid w:val="08544C3E"/>
    <w:rsid w:val="08544C47"/>
    <w:rsid w:val="08544C91"/>
    <w:rsid w:val="08544D4B"/>
    <w:rsid w:val="08544DBC"/>
    <w:rsid w:val="08544DBE"/>
    <w:rsid w:val="08544EFF"/>
    <w:rsid w:val="08544F38"/>
    <w:rsid w:val="08544F75"/>
    <w:rsid w:val="08545069"/>
    <w:rsid w:val="085450CA"/>
    <w:rsid w:val="0854517E"/>
    <w:rsid w:val="08545262"/>
    <w:rsid w:val="08545276"/>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0E"/>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ED"/>
    <w:rsid w:val="0854734C"/>
    <w:rsid w:val="0854742C"/>
    <w:rsid w:val="0854742D"/>
    <w:rsid w:val="0854748E"/>
    <w:rsid w:val="085474E2"/>
    <w:rsid w:val="085475DF"/>
    <w:rsid w:val="0854773B"/>
    <w:rsid w:val="08547758"/>
    <w:rsid w:val="0854775A"/>
    <w:rsid w:val="085477C3"/>
    <w:rsid w:val="085477EE"/>
    <w:rsid w:val="08547849"/>
    <w:rsid w:val="085478A5"/>
    <w:rsid w:val="085478AB"/>
    <w:rsid w:val="08547944"/>
    <w:rsid w:val="085479C6"/>
    <w:rsid w:val="085479F8"/>
    <w:rsid w:val="08547BBC"/>
    <w:rsid w:val="08547C5C"/>
    <w:rsid w:val="08547C65"/>
    <w:rsid w:val="08547C6A"/>
    <w:rsid w:val="08547D59"/>
    <w:rsid w:val="08547D91"/>
    <w:rsid w:val="08547DA8"/>
    <w:rsid w:val="08547DDC"/>
    <w:rsid w:val="08547E5A"/>
    <w:rsid w:val="08547E77"/>
    <w:rsid w:val="08547EA2"/>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8D2"/>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4D"/>
    <w:rsid w:val="08550F66"/>
    <w:rsid w:val="08550FA8"/>
    <w:rsid w:val="08550FB5"/>
    <w:rsid w:val="0855100F"/>
    <w:rsid w:val="0855105F"/>
    <w:rsid w:val="0855107E"/>
    <w:rsid w:val="085510EE"/>
    <w:rsid w:val="085510F5"/>
    <w:rsid w:val="0855110D"/>
    <w:rsid w:val="08551154"/>
    <w:rsid w:val="085511D0"/>
    <w:rsid w:val="08551237"/>
    <w:rsid w:val="085512B4"/>
    <w:rsid w:val="08551432"/>
    <w:rsid w:val="08551440"/>
    <w:rsid w:val="085514B2"/>
    <w:rsid w:val="08551540"/>
    <w:rsid w:val="085515E7"/>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AD"/>
    <w:rsid w:val="085521B5"/>
    <w:rsid w:val="08552201"/>
    <w:rsid w:val="08552290"/>
    <w:rsid w:val="08552477"/>
    <w:rsid w:val="085524BE"/>
    <w:rsid w:val="08552514"/>
    <w:rsid w:val="0855255A"/>
    <w:rsid w:val="085525DB"/>
    <w:rsid w:val="085528B2"/>
    <w:rsid w:val="08552934"/>
    <w:rsid w:val="0855294D"/>
    <w:rsid w:val="08552989"/>
    <w:rsid w:val="085529E7"/>
    <w:rsid w:val="08552AA6"/>
    <w:rsid w:val="08552B71"/>
    <w:rsid w:val="08552BEA"/>
    <w:rsid w:val="08552C23"/>
    <w:rsid w:val="08552C3F"/>
    <w:rsid w:val="08552C72"/>
    <w:rsid w:val="08552CD2"/>
    <w:rsid w:val="08552D20"/>
    <w:rsid w:val="08552DE5"/>
    <w:rsid w:val="08552F6D"/>
    <w:rsid w:val="08553003"/>
    <w:rsid w:val="0855302D"/>
    <w:rsid w:val="08553241"/>
    <w:rsid w:val="08553291"/>
    <w:rsid w:val="08553326"/>
    <w:rsid w:val="08553340"/>
    <w:rsid w:val="08553357"/>
    <w:rsid w:val="08553370"/>
    <w:rsid w:val="08553411"/>
    <w:rsid w:val="08553429"/>
    <w:rsid w:val="085534CE"/>
    <w:rsid w:val="08553568"/>
    <w:rsid w:val="0855359D"/>
    <w:rsid w:val="085535C2"/>
    <w:rsid w:val="08553685"/>
    <w:rsid w:val="0855380E"/>
    <w:rsid w:val="08553811"/>
    <w:rsid w:val="08553815"/>
    <w:rsid w:val="0855382C"/>
    <w:rsid w:val="08553889"/>
    <w:rsid w:val="0855393F"/>
    <w:rsid w:val="085539CC"/>
    <w:rsid w:val="08553AA6"/>
    <w:rsid w:val="08553AE0"/>
    <w:rsid w:val="08553B34"/>
    <w:rsid w:val="08553B7B"/>
    <w:rsid w:val="08553BCC"/>
    <w:rsid w:val="08553C00"/>
    <w:rsid w:val="08553C83"/>
    <w:rsid w:val="08553CA6"/>
    <w:rsid w:val="08553D51"/>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80"/>
    <w:rsid w:val="08555499"/>
    <w:rsid w:val="085554B0"/>
    <w:rsid w:val="085554C9"/>
    <w:rsid w:val="085554D6"/>
    <w:rsid w:val="085554FA"/>
    <w:rsid w:val="08555532"/>
    <w:rsid w:val="0855558F"/>
    <w:rsid w:val="085555B5"/>
    <w:rsid w:val="08555618"/>
    <w:rsid w:val="0855565D"/>
    <w:rsid w:val="08555805"/>
    <w:rsid w:val="08555809"/>
    <w:rsid w:val="08555851"/>
    <w:rsid w:val="085558A8"/>
    <w:rsid w:val="08555981"/>
    <w:rsid w:val="08555990"/>
    <w:rsid w:val="08555B10"/>
    <w:rsid w:val="08555B95"/>
    <w:rsid w:val="08555CDE"/>
    <w:rsid w:val="08555D51"/>
    <w:rsid w:val="08555D69"/>
    <w:rsid w:val="08555D83"/>
    <w:rsid w:val="08555D88"/>
    <w:rsid w:val="08555DB8"/>
    <w:rsid w:val="08555DE8"/>
    <w:rsid w:val="08555DEA"/>
    <w:rsid w:val="08555E08"/>
    <w:rsid w:val="08555E64"/>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EBE"/>
    <w:rsid w:val="08556F12"/>
    <w:rsid w:val="08556F5F"/>
    <w:rsid w:val="08556FAA"/>
    <w:rsid w:val="08556FDF"/>
    <w:rsid w:val="08557006"/>
    <w:rsid w:val="085570CE"/>
    <w:rsid w:val="08557123"/>
    <w:rsid w:val="08557139"/>
    <w:rsid w:val="08557156"/>
    <w:rsid w:val="08557181"/>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BC9"/>
    <w:rsid w:val="08557BE4"/>
    <w:rsid w:val="08557C59"/>
    <w:rsid w:val="08557C7C"/>
    <w:rsid w:val="08557D15"/>
    <w:rsid w:val="08557D17"/>
    <w:rsid w:val="08557D34"/>
    <w:rsid w:val="08557D4E"/>
    <w:rsid w:val="08557EAF"/>
    <w:rsid w:val="08557EC2"/>
    <w:rsid w:val="08560000"/>
    <w:rsid w:val="0856001A"/>
    <w:rsid w:val="085600B6"/>
    <w:rsid w:val="0856014B"/>
    <w:rsid w:val="08560205"/>
    <w:rsid w:val="0856026C"/>
    <w:rsid w:val="085602C3"/>
    <w:rsid w:val="085602C4"/>
    <w:rsid w:val="085602D8"/>
    <w:rsid w:val="085602FD"/>
    <w:rsid w:val="0856031D"/>
    <w:rsid w:val="085603AB"/>
    <w:rsid w:val="08560420"/>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DD4"/>
    <w:rsid w:val="08560E1C"/>
    <w:rsid w:val="08560E7B"/>
    <w:rsid w:val="08560E7F"/>
    <w:rsid w:val="08560F40"/>
    <w:rsid w:val="08560FE4"/>
    <w:rsid w:val="08561079"/>
    <w:rsid w:val="08561082"/>
    <w:rsid w:val="085610EE"/>
    <w:rsid w:val="0856111B"/>
    <w:rsid w:val="0856114C"/>
    <w:rsid w:val="08561153"/>
    <w:rsid w:val="08561169"/>
    <w:rsid w:val="08561195"/>
    <w:rsid w:val="085611BE"/>
    <w:rsid w:val="085611C0"/>
    <w:rsid w:val="0856132F"/>
    <w:rsid w:val="0856138E"/>
    <w:rsid w:val="085613C8"/>
    <w:rsid w:val="085614BC"/>
    <w:rsid w:val="0856154E"/>
    <w:rsid w:val="085615CF"/>
    <w:rsid w:val="085615E1"/>
    <w:rsid w:val="08561607"/>
    <w:rsid w:val="0856166E"/>
    <w:rsid w:val="085616C1"/>
    <w:rsid w:val="08561722"/>
    <w:rsid w:val="08561786"/>
    <w:rsid w:val="085617D4"/>
    <w:rsid w:val="0856182C"/>
    <w:rsid w:val="085618CE"/>
    <w:rsid w:val="085618FB"/>
    <w:rsid w:val="08561920"/>
    <w:rsid w:val="085619EB"/>
    <w:rsid w:val="08561A18"/>
    <w:rsid w:val="08561ABA"/>
    <w:rsid w:val="08561AD1"/>
    <w:rsid w:val="08561B50"/>
    <w:rsid w:val="08561B5A"/>
    <w:rsid w:val="08561B66"/>
    <w:rsid w:val="08561B99"/>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6D0"/>
    <w:rsid w:val="08562799"/>
    <w:rsid w:val="08562867"/>
    <w:rsid w:val="0856290D"/>
    <w:rsid w:val="085629F6"/>
    <w:rsid w:val="08562AAA"/>
    <w:rsid w:val="08562AEB"/>
    <w:rsid w:val="08562B60"/>
    <w:rsid w:val="08562BA5"/>
    <w:rsid w:val="08562C60"/>
    <w:rsid w:val="08562C7C"/>
    <w:rsid w:val="08562C9E"/>
    <w:rsid w:val="08562CE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42B"/>
    <w:rsid w:val="08563434"/>
    <w:rsid w:val="0856345A"/>
    <w:rsid w:val="08563559"/>
    <w:rsid w:val="0856361E"/>
    <w:rsid w:val="08563661"/>
    <w:rsid w:val="08563667"/>
    <w:rsid w:val="085636E1"/>
    <w:rsid w:val="08563732"/>
    <w:rsid w:val="085637DA"/>
    <w:rsid w:val="085637FF"/>
    <w:rsid w:val="08563845"/>
    <w:rsid w:val="08563A44"/>
    <w:rsid w:val="08563D73"/>
    <w:rsid w:val="08563D79"/>
    <w:rsid w:val="08563E36"/>
    <w:rsid w:val="08563FBF"/>
    <w:rsid w:val="0856403A"/>
    <w:rsid w:val="085640F6"/>
    <w:rsid w:val="08564100"/>
    <w:rsid w:val="085641BE"/>
    <w:rsid w:val="085641E8"/>
    <w:rsid w:val="0856423F"/>
    <w:rsid w:val="085642AE"/>
    <w:rsid w:val="08564301"/>
    <w:rsid w:val="08564305"/>
    <w:rsid w:val="08564334"/>
    <w:rsid w:val="0856433D"/>
    <w:rsid w:val="085643AA"/>
    <w:rsid w:val="08564420"/>
    <w:rsid w:val="08564564"/>
    <w:rsid w:val="08564566"/>
    <w:rsid w:val="08564581"/>
    <w:rsid w:val="085645D6"/>
    <w:rsid w:val="0856479F"/>
    <w:rsid w:val="0856486A"/>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46"/>
    <w:rsid w:val="085650F6"/>
    <w:rsid w:val="08565238"/>
    <w:rsid w:val="08565301"/>
    <w:rsid w:val="08565404"/>
    <w:rsid w:val="0856541D"/>
    <w:rsid w:val="0856544D"/>
    <w:rsid w:val="08565506"/>
    <w:rsid w:val="08565559"/>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3D"/>
    <w:rsid w:val="08566B71"/>
    <w:rsid w:val="08566B93"/>
    <w:rsid w:val="08566C3E"/>
    <w:rsid w:val="08566C4F"/>
    <w:rsid w:val="08566C55"/>
    <w:rsid w:val="08566CE0"/>
    <w:rsid w:val="08566D41"/>
    <w:rsid w:val="08566D43"/>
    <w:rsid w:val="08566EBF"/>
    <w:rsid w:val="08567015"/>
    <w:rsid w:val="08567062"/>
    <w:rsid w:val="08567127"/>
    <w:rsid w:val="085671D4"/>
    <w:rsid w:val="085672F3"/>
    <w:rsid w:val="0856739A"/>
    <w:rsid w:val="08567489"/>
    <w:rsid w:val="08567529"/>
    <w:rsid w:val="08567578"/>
    <w:rsid w:val="0856758C"/>
    <w:rsid w:val="085675AB"/>
    <w:rsid w:val="085675C8"/>
    <w:rsid w:val="085675E6"/>
    <w:rsid w:val="08567607"/>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31A"/>
    <w:rsid w:val="08571366"/>
    <w:rsid w:val="08571421"/>
    <w:rsid w:val="085714EC"/>
    <w:rsid w:val="08571585"/>
    <w:rsid w:val="08571593"/>
    <w:rsid w:val="085715FC"/>
    <w:rsid w:val="085716EA"/>
    <w:rsid w:val="085716F5"/>
    <w:rsid w:val="0857177D"/>
    <w:rsid w:val="085717F2"/>
    <w:rsid w:val="085718BC"/>
    <w:rsid w:val="08571962"/>
    <w:rsid w:val="0857199A"/>
    <w:rsid w:val="085719C5"/>
    <w:rsid w:val="085719F4"/>
    <w:rsid w:val="085719FF"/>
    <w:rsid w:val="08571AA2"/>
    <w:rsid w:val="08571B17"/>
    <w:rsid w:val="08571B94"/>
    <w:rsid w:val="08571B9D"/>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964"/>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623"/>
    <w:rsid w:val="085736D9"/>
    <w:rsid w:val="085736EE"/>
    <w:rsid w:val="08573710"/>
    <w:rsid w:val="08573737"/>
    <w:rsid w:val="08573744"/>
    <w:rsid w:val="085737E8"/>
    <w:rsid w:val="0857382D"/>
    <w:rsid w:val="08573842"/>
    <w:rsid w:val="0857386B"/>
    <w:rsid w:val="0857386C"/>
    <w:rsid w:val="0857386E"/>
    <w:rsid w:val="085738B8"/>
    <w:rsid w:val="08573918"/>
    <w:rsid w:val="08573957"/>
    <w:rsid w:val="08573A39"/>
    <w:rsid w:val="08573A73"/>
    <w:rsid w:val="08573A81"/>
    <w:rsid w:val="08573B03"/>
    <w:rsid w:val="08573B27"/>
    <w:rsid w:val="08573C1A"/>
    <w:rsid w:val="08573CF7"/>
    <w:rsid w:val="08573D02"/>
    <w:rsid w:val="08573D17"/>
    <w:rsid w:val="08573D92"/>
    <w:rsid w:val="08573DF5"/>
    <w:rsid w:val="08573E15"/>
    <w:rsid w:val="08573F01"/>
    <w:rsid w:val="08573F9E"/>
    <w:rsid w:val="08573FA0"/>
    <w:rsid w:val="08573FD7"/>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20"/>
    <w:rsid w:val="08574A64"/>
    <w:rsid w:val="08574A8C"/>
    <w:rsid w:val="08574C7A"/>
    <w:rsid w:val="08574CBB"/>
    <w:rsid w:val="08574D4A"/>
    <w:rsid w:val="08574E21"/>
    <w:rsid w:val="08574E30"/>
    <w:rsid w:val="08574E66"/>
    <w:rsid w:val="08574E98"/>
    <w:rsid w:val="08574F1C"/>
    <w:rsid w:val="08574FA5"/>
    <w:rsid w:val="0857501A"/>
    <w:rsid w:val="08575089"/>
    <w:rsid w:val="08575139"/>
    <w:rsid w:val="0857515C"/>
    <w:rsid w:val="08575169"/>
    <w:rsid w:val="085751A7"/>
    <w:rsid w:val="085751D1"/>
    <w:rsid w:val="08575265"/>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8B"/>
    <w:rsid w:val="08575C35"/>
    <w:rsid w:val="08575C93"/>
    <w:rsid w:val="08575DB1"/>
    <w:rsid w:val="08575DC3"/>
    <w:rsid w:val="08575DF4"/>
    <w:rsid w:val="08575E86"/>
    <w:rsid w:val="08575E95"/>
    <w:rsid w:val="08575FF2"/>
    <w:rsid w:val="08575FF3"/>
    <w:rsid w:val="08576033"/>
    <w:rsid w:val="0857609B"/>
    <w:rsid w:val="085760C9"/>
    <w:rsid w:val="085760ED"/>
    <w:rsid w:val="08576147"/>
    <w:rsid w:val="085761EF"/>
    <w:rsid w:val="085761F4"/>
    <w:rsid w:val="08576286"/>
    <w:rsid w:val="085762C4"/>
    <w:rsid w:val="085763DD"/>
    <w:rsid w:val="08576431"/>
    <w:rsid w:val="0857648E"/>
    <w:rsid w:val="08576611"/>
    <w:rsid w:val="08576662"/>
    <w:rsid w:val="08576722"/>
    <w:rsid w:val="0857672C"/>
    <w:rsid w:val="085767DF"/>
    <w:rsid w:val="085768C7"/>
    <w:rsid w:val="0857696F"/>
    <w:rsid w:val="085769B1"/>
    <w:rsid w:val="08576A26"/>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32"/>
    <w:rsid w:val="08576F40"/>
    <w:rsid w:val="0857704D"/>
    <w:rsid w:val="08577055"/>
    <w:rsid w:val="085770C2"/>
    <w:rsid w:val="0857711A"/>
    <w:rsid w:val="0857716F"/>
    <w:rsid w:val="085771D6"/>
    <w:rsid w:val="085771F0"/>
    <w:rsid w:val="08577218"/>
    <w:rsid w:val="08577270"/>
    <w:rsid w:val="085772D5"/>
    <w:rsid w:val="08577322"/>
    <w:rsid w:val="085773CC"/>
    <w:rsid w:val="08577419"/>
    <w:rsid w:val="0857746F"/>
    <w:rsid w:val="0857747C"/>
    <w:rsid w:val="085774FB"/>
    <w:rsid w:val="0857750B"/>
    <w:rsid w:val="0857751B"/>
    <w:rsid w:val="08577593"/>
    <w:rsid w:val="0857760F"/>
    <w:rsid w:val="08577640"/>
    <w:rsid w:val="08577646"/>
    <w:rsid w:val="08577748"/>
    <w:rsid w:val="085777D2"/>
    <w:rsid w:val="085778A2"/>
    <w:rsid w:val="085779B2"/>
    <w:rsid w:val="085779CD"/>
    <w:rsid w:val="08577A36"/>
    <w:rsid w:val="08577A85"/>
    <w:rsid w:val="08577AEE"/>
    <w:rsid w:val="08577B57"/>
    <w:rsid w:val="08577B87"/>
    <w:rsid w:val="08577C4E"/>
    <w:rsid w:val="08577D3B"/>
    <w:rsid w:val="08577D63"/>
    <w:rsid w:val="08577E24"/>
    <w:rsid w:val="08577E55"/>
    <w:rsid w:val="08577EE3"/>
    <w:rsid w:val="08577F3A"/>
    <w:rsid w:val="08577FAD"/>
    <w:rsid w:val="08580048"/>
    <w:rsid w:val="0858008E"/>
    <w:rsid w:val="085800C6"/>
    <w:rsid w:val="08580143"/>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D8"/>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130"/>
    <w:rsid w:val="0858113C"/>
    <w:rsid w:val="0858113E"/>
    <w:rsid w:val="085811B7"/>
    <w:rsid w:val="085811D3"/>
    <w:rsid w:val="08581234"/>
    <w:rsid w:val="08581252"/>
    <w:rsid w:val="0858126B"/>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744"/>
    <w:rsid w:val="085827AC"/>
    <w:rsid w:val="085827C1"/>
    <w:rsid w:val="085827FA"/>
    <w:rsid w:val="08582819"/>
    <w:rsid w:val="0858292A"/>
    <w:rsid w:val="08582988"/>
    <w:rsid w:val="08582AAC"/>
    <w:rsid w:val="08582ADB"/>
    <w:rsid w:val="08582AEE"/>
    <w:rsid w:val="08582B08"/>
    <w:rsid w:val="08582B4C"/>
    <w:rsid w:val="08582B8F"/>
    <w:rsid w:val="08582C02"/>
    <w:rsid w:val="08582CC3"/>
    <w:rsid w:val="08582D64"/>
    <w:rsid w:val="08582DF1"/>
    <w:rsid w:val="08582DFF"/>
    <w:rsid w:val="08582EA3"/>
    <w:rsid w:val="08582EB7"/>
    <w:rsid w:val="08582FFA"/>
    <w:rsid w:val="08583078"/>
    <w:rsid w:val="08583098"/>
    <w:rsid w:val="08583106"/>
    <w:rsid w:val="085832EF"/>
    <w:rsid w:val="0858352B"/>
    <w:rsid w:val="08583631"/>
    <w:rsid w:val="0858363E"/>
    <w:rsid w:val="08583657"/>
    <w:rsid w:val="085836A5"/>
    <w:rsid w:val="08583704"/>
    <w:rsid w:val="08583854"/>
    <w:rsid w:val="0858387F"/>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FF2"/>
    <w:rsid w:val="0858407B"/>
    <w:rsid w:val="0858409C"/>
    <w:rsid w:val="0858417E"/>
    <w:rsid w:val="0858430E"/>
    <w:rsid w:val="08584335"/>
    <w:rsid w:val="085843BF"/>
    <w:rsid w:val="085845E2"/>
    <w:rsid w:val="0858463F"/>
    <w:rsid w:val="085846A3"/>
    <w:rsid w:val="08584771"/>
    <w:rsid w:val="085848DF"/>
    <w:rsid w:val="08584963"/>
    <w:rsid w:val="08584A52"/>
    <w:rsid w:val="08584A57"/>
    <w:rsid w:val="08584A5D"/>
    <w:rsid w:val="08584C72"/>
    <w:rsid w:val="08584D40"/>
    <w:rsid w:val="08584D46"/>
    <w:rsid w:val="08584E16"/>
    <w:rsid w:val="08584F25"/>
    <w:rsid w:val="08584F29"/>
    <w:rsid w:val="08584F34"/>
    <w:rsid w:val="08584F42"/>
    <w:rsid w:val="08584FB5"/>
    <w:rsid w:val="08585112"/>
    <w:rsid w:val="0858513A"/>
    <w:rsid w:val="085851D7"/>
    <w:rsid w:val="08585381"/>
    <w:rsid w:val="0858539E"/>
    <w:rsid w:val="085853BF"/>
    <w:rsid w:val="085854A9"/>
    <w:rsid w:val="085855DD"/>
    <w:rsid w:val="08585668"/>
    <w:rsid w:val="085856A3"/>
    <w:rsid w:val="085856EF"/>
    <w:rsid w:val="085856FB"/>
    <w:rsid w:val="0858573F"/>
    <w:rsid w:val="08585781"/>
    <w:rsid w:val="08585887"/>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219"/>
    <w:rsid w:val="08586232"/>
    <w:rsid w:val="08586274"/>
    <w:rsid w:val="085862C6"/>
    <w:rsid w:val="085864D8"/>
    <w:rsid w:val="0858650B"/>
    <w:rsid w:val="0858655B"/>
    <w:rsid w:val="085865B7"/>
    <w:rsid w:val="085865D4"/>
    <w:rsid w:val="085865D6"/>
    <w:rsid w:val="08586620"/>
    <w:rsid w:val="08586628"/>
    <w:rsid w:val="085866C8"/>
    <w:rsid w:val="08586794"/>
    <w:rsid w:val="085867CD"/>
    <w:rsid w:val="085867E6"/>
    <w:rsid w:val="08586875"/>
    <w:rsid w:val="08586967"/>
    <w:rsid w:val="08586983"/>
    <w:rsid w:val="08586A6D"/>
    <w:rsid w:val="08586ADE"/>
    <w:rsid w:val="08586AE2"/>
    <w:rsid w:val="08586B91"/>
    <w:rsid w:val="08586BD3"/>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FD"/>
    <w:rsid w:val="08587042"/>
    <w:rsid w:val="0858717B"/>
    <w:rsid w:val="085871FB"/>
    <w:rsid w:val="08587207"/>
    <w:rsid w:val="08587264"/>
    <w:rsid w:val="0858728E"/>
    <w:rsid w:val="085872EF"/>
    <w:rsid w:val="0858730C"/>
    <w:rsid w:val="085873F9"/>
    <w:rsid w:val="08587401"/>
    <w:rsid w:val="0858741F"/>
    <w:rsid w:val="085875A0"/>
    <w:rsid w:val="08587858"/>
    <w:rsid w:val="085878BD"/>
    <w:rsid w:val="085878F7"/>
    <w:rsid w:val="0858790D"/>
    <w:rsid w:val="08587913"/>
    <w:rsid w:val="0858791C"/>
    <w:rsid w:val="085879D3"/>
    <w:rsid w:val="08587A4A"/>
    <w:rsid w:val="08587AB0"/>
    <w:rsid w:val="08587BF4"/>
    <w:rsid w:val="08587C1F"/>
    <w:rsid w:val="08587C3D"/>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D0A"/>
    <w:rsid w:val="08590DB0"/>
    <w:rsid w:val="08590DF4"/>
    <w:rsid w:val="08590E13"/>
    <w:rsid w:val="08590E2D"/>
    <w:rsid w:val="08590E6E"/>
    <w:rsid w:val="08590EA8"/>
    <w:rsid w:val="08590F71"/>
    <w:rsid w:val="08590FF0"/>
    <w:rsid w:val="08591258"/>
    <w:rsid w:val="0859126C"/>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C0"/>
    <w:rsid w:val="08591E22"/>
    <w:rsid w:val="08591E64"/>
    <w:rsid w:val="08591FE0"/>
    <w:rsid w:val="08591FE7"/>
    <w:rsid w:val="08592061"/>
    <w:rsid w:val="085921FE"/>
    <w:rsid w:val="08592279"/>
    <w:rsid w:val="085922A1"/>
    <w:rsid w:val="085922E3"/>
    <w:rsid w:val="085923BF"/>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AF0"/>
    <w:rsid w:val="08592BB6"/>
    <w:rsid w:val="08592BD7"/>
    <w:rsid w:val="08592C02"/>
    <w:rsid w:val="08592CDE"/>
    <w:rsid w:val="08592D18"/>
    <w:rsid w:val="08592D19"/>
    <w:rsid w:val="08592D57"/>
    <w:rsid w:val="08592DF6"/>
    <w:rsid w:val="08592E09"/>
    <w:rsid w:val="08592E1C"/>
    <w:rsid w:val="08592E87"/>
    <w:rsid w:val="08592FA7"/>
    <w:rsid w:val="08592FD3"/>
    <w:rsid w:val="08592FFC"/>
    <w:rsid w:val="0859304C"/>
    <w:rsid w:val="0859305D"/>
    <w:rsid w:val="0859308C"/>
    <w:rsid w:val="085930A5"/>
    <w:rsid w:val="08593176"/>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AF"/>
    <w:rsid w:val="085943C7"/>
    <w:rsid w:val="08594488"/>
    <w:rsid w:val="085944C0"/>
    <w:rsid w:val="0859453F"/>
    <w:rsid w:val="085945F5"/>
    <w:rsid w:val="08594655"/>
    <w:rsid w:val="085946B3"/>
    <w:rsid w:val="08594799"/>
    <w:rsid w:val="0859480C"/>
    <w:rsid w:val="08594826"/>
    <w:rsid w:val="08594864"/>
    <w:rsid w:val="085949D2"/>
    <w:rsid w:val="08594AA3"/>
    <w:rsid w:val="08594AE1"/>
    <w:rsid w:val="08594B31"/>
    <w:rsid w:val="08594BE9"/>
    <w:rsid w:val="08594BF2"/>
    <w:rsid w:val="08594C0E"/>
    <w:rsid w:val="08594CD3"/>
    <w:rsid w:val="08594D44"/>
    <w:rsid w:val="08594D58"/>
    <w:rsid w:val="08594DB9"/>
    <w:rsid w:val="08594E4D"/>
    <w:rsid w:val="08594EA4"/>
    <w:rsid w:val="08594ECA"/>
    <w:rsid w:val="08594F2D"/>
    <w:rsid w:val="08595081"/>
    <w:rsid w:val="08595093"/>
    <w:rsid w:val="085950E0"/>
    <w:rsid w:val="08595102"/>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A1"/>
    <w:rsid w:val="0859631F"/>
    <w:rsid w:val="085963E6"/>
    <w:rsid w:val="085963FF"/>
    <w:rsid w:val="08596421"/>
    <w:rsid w:val="0859643F"/>
    <w:rsid w:val="0859646C"/>
    <w:rsid w:val="085964DA"/>
    <w:rsid w:val="085965AF"/>
    <w:rsid w:val="085967B2"/>
    <w:rsid w:val="085967D5"/>
    <w:rsid w:val="08596891"/>
    <w:rsid w:val="08596909"/>
    <w:rsid w:val="085969A5"/>
    <w:rsid w:val="085969E7"/>
    <w:rsid w:val="085969F4"/>
    <w:rsid w:val="08596A46"/>
    <w:rsid w:val="08596B29"/>
    <w:rsid w:val="08596B76"/>
    <w:rsid w:val="08596BD6"/>
    <w:rsid w:val="08596C32"/>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FF"/>
    <w:rsid w:val="08597717"/>
    <w:rsid w:val="085977BE"/>
    <w:rsid w:val="085977F9"/>
    <w:rsid w:val="08597847"/>
    <w:rsid w:val="085978C7"/>
    <w:rsid w:val="08597A66"/>
    <w:rsid w:val="08597B57"/>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6E"/>
    <w:rsid w:val="085A0275"/>
    <w:rsid w:val="085A028C"/>
    <w:rsid w:val="085A029F"/>
    <w:rsid w:val="085A034A"/>
    <w:rsid w:val="085A03E8"/>
    <w:rsid w:val="085A0470"/>
    <w:rsid w:val="085A0629"/>
    <w:rsid w:val="085A078E"/>
    <w:rsid w:val="085A0866"/>
    <w:rsid w:val="085A08D3"/>
    <w:rsid w:val="085A08E3"/>
    <w:rsid w:val="085A08EA"/>
    <w:rsid w:val="085A09DB"/>
    <w:rsid w:val="085A09FF"/>
    <w:rsid w:val="085A0A4F"/>
    <w:rsid w:val="085A0B0E"/>
    <w:rsid w:val="085A0B31"/>
    <w:rsid w:val="085A0C49"/>
    <w:rsid w:val="085A0C97"/>
    <w:rsid w:val="085A0D20"/>
    <w:rsid w:val="085A0D3B"/>
    <w:rsid w:val="085A0DB2"/>
    <w:rsid w:val="085A0DE4"/>
    <w:rsid w:val="085A0DE6"/>
    <w:rsid w:val="085A0E26"/>
    <w:rsid w:val="085A0E86"/>
    <w:rsid w:val="085A0E95"/>
    <w:rsid w:val="085A0EA5"/>
    <w:rsid w:val="085A0F03"/>
    <w:rsid w:val="085A0FE0"/>
    <w:rsid w:val="085A10F0"/>
    <w:rsid w:val="085A110F"/>
    <w:rsid w:val="085A11A0"/>
    <w:rsid w:val="085A11B4"/>
    <w:rsid w:val="085A11D8"/>
    <w:rsid w:val="085A1291"/>
    <w:rsid w:val="085A12C5"/>
    <w:rsid w:val="085A1333"/>
    <w:rsid w:val="085A13A5"/>
    <w:rsid w:val="085A13F6"/>
    <w:rsid w:val="085A1451"/>
    <w:rsid w:val="085A14A0"/>
    <w:rsid w:val="085A14F7"/>
    <w:rsid w:val="085A15CC"/>
    <w:rsid w:val="085A160F"/>
    <w:rsid w:val="085A1619"/>
    <w:rsid w:val="085A161A"/>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E45"/>
    <w:rsid w:val="085A1EED"/>
    <w:rsid w:val="085A1F02"/>
    <w:rsid w:val="085A1F90"/>
    <w:rsid w:val="085A20AC"/>
    <w:rsid w:val="085A20BC"/>
    <w:rsid w:val="085A2118"/>
    <w:rsid w:val="085A215D"/>
    <w:rsid w:val="085A21AD"/>
    <w:rsid w:val="085A223A"/>
    <w:rsid w:val="085A227B"/>
    <w:rsid w:val="085A22F4"/>
    <w:rsid w:val="085A2305"/>
    <w:rsid w:val="085A2384"/>
    <w:rsid w:val="085A243E"/>
    <w:rsid w:val="085A24D1"/>
    <w:rsid w:val="085A24EE"/>
    <w:rsid w:val="085A25E7"/>
    <w:rsid w:val="085A263B"/>
    <w:rsid w:val="085A266A"/>
    <w:rsid w:val="085A274D"/>
    <w:rsid w:val="085A283F"/>
    <w:rsid w:val="085A291C"/>
    <w:rsid w:val="085A291E"/>
    <w:rsid w:val="085A2931"/>
    <w:rsid w:val="085A29F6"/>
    <w:rsid w:val="085A2A80"/>
    <w:rsid w:val="085A2AAC"/>
    <w:rsid w:val="085A2AE9"/>
    <w:rsid w:val="085A2B68"/>
    <w:rsid w:val="085A2D16"/>
    <w:rsid w:val="085A2D40"/>
    <w:rsid w:val="085A2DA8"/>
    <w:rsid w:val="085A2E49"/>
    <w:rsid w:val="085A2EF4"/>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A0"/>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A34"/>
    <w:rsid w:val="085A5B3C"/>
    <w:rsid w:val="085A5BAF"/>
    <w:rsid w:val="085A5BD2"/>
    <w:rsid w:val="085A5BF9"/>
    <w:rsid w:val="085A5C84"/>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F1"/>
    <w:rsid w:val="085A633B"/>
    <w:rsid w:val="085A637E"/>
    <w:rsid w:val="085A6397"/>
    <w:rsid w:val="085A63C8"/>
    <w:rsid w:val="085A6423"/>
    <w:rsid w:val="085A660F"/>
    <w:rsid w:val="085A6805"/>
    <w:rsid w:val="085A68A8"/>
    <w:rsid w:val="085A690F"/>
    <w:rsid w:val="085A69D0"/>
    <w:rsid w:val="085A6A2A"/>
    <w:rsid w:val="085A6ADB"/>
    <w:rsid w:val="085A6B5C"/>
    <w:rsid w:val="085A6D18"/>
    <w:rsid w:val="085A6D32"/>
    <w:rsid w:val="085A6D81"/>
    <w:rsid w:val="085A6DCE"/>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97"/>
    <w:rsid w:val="085A76B4"/>
    <w:rsid w:val="085A7770"/>
    <w:rsid w:val="085A7781"/>
    <w:rsid w:val="085A7792"/>
    <w:rsid w:val="085A77A0"/>
    <w:rsid w:val="085A7836"/>
    <w:rsid w:val="085A78B7"/>
    <w:rsid w:val="085A7925"/>
    <w:rsid w:val="085A7934"/>
    <w:rsid w:val="085A7964"/>
    <w:rsid w:val="085A79FA"/>
    <w:rsid w:val="085A7A30"/>
    <w:rsid w:val="085A7A6B"/>
    <w:rsid w:val="085A7A73"/>
    <w:rsid w:val="085A7A97"/>
    <w:rsid w:val="085A7AA2"/>
    <w:rsid w:val="085A7B85"/>
    <w:rsid w:val="085A7BD6"/>
    <w:rsid w:val="085A7C1A"/>
    <w:rsid w:val="085A7C97"/>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4E"/>
    <w:rsid w:val="085B085C"/>
    <w:rsid w:val="085B08F9"/>
    <w:rsid w:val="085B0965"/>
    <w:rsid w:val="085B0A22"/>
    <w:rsid w:val="085B0A2C"/>
    <w:rsid w:val="085B0AAF"/>
    <w:rsid w:val="085B0B41"/>
    <w:rsid w:val="085B0BD3"/>
    <w:rsid w:val="085B0C89"/>
    <w:rsid w:val="085B0CAF"/>
    <w:rsid w:val="085B0D38"/>
    <w:rsid w:val="085B0D8F"/>
    <w:rsid w:val="085B0DCD"/>
    <w:rsid w:val="085B0DD1"/>
    <w:rsid w:val="085B0E21"/>
    <w:rsid w:val="085B0ECD"/>
    <w:rsid w:val="085B0F67"/>
    <w:rsid w:val="085B1018"/>
    <w:rsid w:val="085B1094"/>
    <w:rsid w:val="085B10DF"/>
    <w:rsid w:val="085B120C"/>
    <w:rsid w:val="085B1342"/>
    <w:rsid w:val="085B1352"/>
    <w:rsid w:val="085B13D0"/>
    <w:rsid w:val="085B1615"/>
    <w:rsid w:val="085B1618"/>
    <w:rsid w:val="085B1645"/>
    <w:rsid w:val="085B16D2"/>
    <w:rsid w:val="085B16DF"/>
    <w:rsid w:val="085B1720"/>
    <w:rsid w:val="085B17DB"/>
    <w:rsid w:val="085B187D"/>
    <w:rsid w:val="085B1903"/>
    <w:rsid w:val="085B199B"/>
    <w:rsid w:val="085B19CF"/>
    <w:rsid w:val="085B1B28"/>
    <w:rsid w:val="085B1B58"/>
    <w:rsid w:val="085B1BDF"/>
    <w:rsid w:val="085B1C02"/>
    <w:rsid w:val="085B1D70"/>
    <w:rsid w:val="085B1DD2"/>
    <w:rsid w:val="085B1E19"/>
    <w:rsid w:val="085B1F06"/>
    <w:rsid w:val="085B1F3C"/>
    <w:rsid w:val="085B1F54"/>
    <w:rsid w:val="085B2040"/>
    <w:rsid w:val="085B205E"/>
    <w:rsid w:val="085B212E"/>
    <w:rsid w:val="085B214F"/>
    <w:rsid w:val="085B21CE"/>
    <w:rsid w:val="085B2247"/>
    <w:rsid w:val="085B22D8"/>
    <w:rsid w:val="085B23E5"/>
    <w:rsid w:val="085B23FB"/>
    <w:rsid w:val="085B242F"/>
    <w:rsid w:val="085B247F"/>
    <w:rsid w:val="085B2560"/>
    <w:rsid w:val="085B2623"/>
    <w:rsid w:val="085B2686"/>
    <w:rsid w:val="085B2691"/>
    <w:rsid w:val="085B2789"/>
    <w:rsid w:val="085B289C"/>
    <w:rsid w:val="085B28BD"/>
    <w:rsid w:val="085B2A3E"/>
    <w:rsid w:val="085B2AE9"/>
    <w:rsid w:val="085B2B60"/>
    <w:rsid w:val="085B2B6A"/>
    <w:rsid w:val="085B2C44"/>
    <w:rsid w:val="085B2CFF"/>
    <w:rsid w:val="085B2D1D"/>
    <w:rsid w:val="085B2D42"/>
    <w:rsid w:val="085B2DD2"/>
    <w:rsid w:val="085B2DE8"/>
    <w:rsid w:val="085B2E69"/>
    <w:rsid w:val="085B2EFD"/>
    <w:rsid w:val="085B2F4C"/>
    <w:rsid w:val="085B2F6F"/>
    <w:rsid w:val="085B300B"/>
    <w:rsid w:val="085B30A6"/>
    <w:rsid w:val="085B30A9"/>
    <w:rsid w:val="085B31B6"/>
    <w:rsid w:val="085B325A"/>
    <w:rsid w:val="085B3268"/>
    <w:rsid w:val="085B3282"/>
    <w:rsid w:val="085B330C"/>
    <w:rsid w:val="085B331D"/>
    <w:rsid w:val="085B3379"/>
    <w:rsid w:val="085B3403"/>
    <w:rsid w:val="085B3408"/>
    <w:rsid w:val="085B3481"/>
    <w:rsid w:val="085B35ED"/>
    <w:rsid w:val="085B3614"/>
    <w:rsid w:val="085B365C"/>
    <w:rsid w:val="085B366D"/>
    <w:rsid w:val="085B36B3"/>
    <w:rsid w:val="085B36B8"/>
    <w:rsid w:val="085B3735"/>
    <w:rsid w:val="085B3754"/>
    <w:rsid w:val="085B394D"/>
    <w:rsid w:val="085B3978"/>
    <w:rsid w:val="085B3A0E"/>
    <w:rsid w:val="085B3B4D"/>
    <w:rsid w:val="085B3C66"/>
    <w:rsid w:val="085B3DB4"/>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B86"/>
    <w:rsid w:val="085B4C1B"/>
    <w:rsid w:val="085B4C78"/>
    <w:rsid w:val="085B4CAC"/>
    <w:rsid w:val="085B4D37"/>
    <w:rsid w:val="085B4D84"/>
    <w:rsid w:val="085B4D98"/>
    <w:rsid w:val="085B4E68"/>
    <w:rsid w:val="085B501A"/>
    <w:rsid w:val="085B5046"/>
    <w:rsid w:val="085B5084"/>
    <w:rsid w:val="085B512F"/>
    <w:rsid w:val="085B5257"/>
    <w:rsid w:val="085B52C0"/>
    <w:rsid w:val="085B52F5"/>
    <w:rsid w:val="085B5458"/>
    <w:rsid w:val="085B55B2"/>
    <w:rsid w:val="085B55EE"/>
    <w:rsid w:val="085B57E3"/>
    <w:rsid w:val="085B586D"/>
    <w:rsid w:val="085B5882"/>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0B"/>
    <w:rsid w:val="085B6136"/>
    <w:rsid w:val="085B6194"/>
    <w:rsid w:val="085B6229"/>
    <w:rsid w:val="085B62A0"/>
    <w:rsid w:val="085B62B6"/>
    <w:rsid w:val="085B637A"/>
    <w:rsid w:val="085B63D8"/>
    <w:rsid w:val="085B63E6"/>
    <w:rsid w:val="085B63F2"/>
    <w:rsid w:val="085B63F6"/>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55"/>
    <w:rsid w:val="085B6D7D"/>
    <w:rsid w:val="085B6DC9"/>
    <w:rsid w:val="085B6E49"/>
    <w:rsid w:val="085B6E52"/>
    <w:rsid w:val="085B6E82"/>
    <w:rsid w:val="085B6F07"/>
    <w:rsid w:val="085B703C"/>
    <w:rsid w:val="085B7040"/>
    <w:rsid w:val="085B70C1"/>
    <w:rsid w:val="085B70D4"/>
    <w:rsid w:val="085B71D5"/>
    <w:rsid w:val="085B7301"/>
    <w:rsid w:val="085B7308"/>
    <w:rsid w:val="085B733E"/>
    <w:rsid w:val="085B7387"/>
    <w:rsid w:val="085B7433"/>
    <w:rsid w:val="085B74B4"/>
    <w:rsid w:val="085B755B"/>
    <w:rsid w:val="085B75D6"/>
    <w:rsid w:val="085B7626"/>
    <w:rsid w:val="085B7688"/>
    <w:rsid w:val="085B76D0"/>
    <w:rsid w:val="085B78CE"/>
    <w:rsid w:val="085B7932"/>
    <w:rsid w:val="085B79E2"/>
    <w:rsid w:val="085B79E9"/>
    <w:rsid w:val="085B7B24"/>
    <w:rsid w:val="085B7B99"/>
    <w:rsid w:val="085B7C15"/>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C30"/>
    <w:rsid w:val="085C0C33"/>
    <w:rsid w:val="085C0C70"/>
    <w:rsid w:val="085C0C7C"/>
    <w:rsid w:val="085C0CE5"/>
    <w:rsid w:val="085C0D64"/>
    <w:rsid w:val="085C0D9C"/>
    <w:rsid w:val="085C0DDD"/>
    <w:rsid w:val="085C0E2F"/>
    <w:rsid w:val="085C0E30"/>
    <w:rsid w:val="085C0E42"/>
    <w:rsid w:val="085C0EDA"/>
    <w:rsid w:val="085C0F3B"/>
    <w:rsid w:val="085C0F44"/>
    <w:rsid w:val="085C10F0"/>
    <w:rsid w:val="085C1170"/>
    <w:rsid w:val="085C12CC"/>
    <w:rsid w:val="085C12D1"/>
    <w:rsid w:val="085C130C"/>
    <w:rsid w:val="085C1365"/>
    <w:rsid w:val="085C1376"/>
    <w:rsid w:val="085C13FE"/>
    <w:rsid w:val="085C1519"/>
    <w:rsid w:val="085C1530"/>
    <w:rsid w:val="085C15C4"/>
    <w:rsid w:val="085C15DF"/>
    <w:rsid w:val="085C1611"/>
    <w:rsid w:val="085C164D"/>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E8"/>
    <w:rsid w:val="085C5477"/>
    <w:rsid w:val="085C552A"/>
    <w:rsid w:val="085C55F1"/>
    <w:rsid w:val="085C56D3"/>
    <w:rsid w:val="085C56E3"/>
    <w:rsid w:val="085C584E"/>
    <w:rsid w:val="085C595D"/>
    <w:rsid w:val="085C59D7"/>
    <w:rsid w:val="085C5A24"/>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70"/>
    <w:rsid w:val="085C6197"/>
    <w:rsid w:val="085C61B6"/>
    <w:rsid w:val="085C61EB"/>
    <w:rsid w:val="085C61F9"/>
    <w:rsid w:val="085C6208"/>
    <w:rsid w:val="085C6320"/>
    <w:rsid w:val="085C6403"/>
    <w:rsid w:val="085C642C"/>
    <w:rsid w:val="085C6485"/>
    <w:rsid w:val="085C64EB"/>
    <w:rsid w:val="085C6508"/>
    <w:rsid w:val="085C651A"/>
    <w:rsid w:val="085C656C"/>
    <w:rsid w:val="085C6636"/>
    <w:rsid w:val="085C6641"/>
    <w:rsid w:val="085C67A3"/>
    <w:rsid w:val="085C67CA"/>
    <w:rsid w:val="085C67E2"/>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732"/>
    <w:rsid w:val="085C783D"/>
    <w:rsid w:val="085C78B7"/>
    <w:rsid w:val="085C78FA"/>
    <w:rsid w:val="085C7941"/>
    <w:rsid w:val="085C7A03"/>
    <w:rsid w:val="085C7B53"/>
    <w:rsid w:val="085C7C05"/>
    <w:rsid w:val="085C7C2C"/>
    <w:rsid w:val="085C7C73"/>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330"/>
    <w:rsid w:val="085D0359"/>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8"/>
    <w:rsid w:val="085D0CAB"/>
    <w:rsid w:val="085D0CB0"/>
    <w:rsid w:val="085D0D49"/>
    <w:rsid w:val="085D0DC2"/>
    <w:rsid w:val="085D0E0E"/>
    <w:rsid w:val="085D0E65"/>
    <w:rsid w:val="085D0E9C"/>
    <w:rsid w:val="085D0F27"/>
    <w:rsid w:val="085D0F4A"/>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4DF"/>
    <w:rsid w:val="085D1512"/>
    <w:rsid w:val="085D15A4"/>
    <w:rsid w:val="085D15BA"/>
    <w:rsid w:val="085D1665"/>
    <w:rsid w:val="085D1694"/>
    <w:rsid w:val="085D16C4"/>
    <w:rsid w:val="085D1726"/>
    <w:rsid w:val="085D1765"/>
    <w:rsid w:val="085D1775"/>
    <w:rsid w:val="085D17A2"/>
    <w:rsid w:val="085D17D6"/>
    <w:rsid w:val="085D1848"/>
    <w:rsid w:val="085D18C5"/>
    <w:rsid w:val="085D18C8"/>
    <w:rsid w:val="085D18DE"/>
    <w:rsid w:val="085D1C40"/>
    <w:rsid w:val="085D1C6F"/>
    <w:rsid w:val="085D1D09"/>
    <w:rsid w:val="085D1D78"/>
    <w:rsid w:val="085D1DC0"/>
    <w:rsid w:val="085D1F7C"/>
    <w:rsid w:val="085D20A3"/>
    <w:rsid w:val="085D21F5"/>
    <w:rsid w:val="085D2209"/>
    <w:rsid w:val="085D22FC"/>
    <w:rsid w:val="085D2378"/>
    <w:rsid w:val="085D23DA"/>
    <w:rsid w:val="085D23E2"/>
    <w:rsid w:val="085D2492"/>
    <w:rsid w:val="085D24EE"/>
    <w:rsid w:val="085D256B"/>
    <w:rsid w:val="085D2582"/>
    <w:rsid w:val="085D26D5"/>
    <w:rsid w:val="085D284B"/>
    <w:rsid w:val="085D2990"/>
    <w:rsid w:val="085D29B9"/>
    <w:rsid w:val="085D29FA"/>
    <w:rsid w:val="085D2A72"/>
    <w:rsid w:val="085D2AB4"/>
    <w:rsid w:val="085D2AD2"/>
    <w:rsid w:val="085D2B5F"/>
    <w:rsid w:val="085D2BC9"/>
    <w:rsid w:val="085D2C3E"/>
    <w:rsid w:val="085D2D56"/>
    <w:rsid w:val="085D2D8B"/>
    <w:rsid w:val="085D2D99"/>
    <w:rsid w:val="085D2EAD"/>
    <w:rsid w:val="085D2ECB"/>
    <w:rsid w:val="085D2EF8"/>
    <w:rsid w:val="085D2F8F"/>
    <w:rsid w:val="085D300C"/>
    <w:rsid w:val="085D3031"/>
    <w:rsid w:val="085D307D"/>
    <w:rsid w:val="085D314C"/>
    <w:rsid w:val="085D31C3"/>
    <w:rsid w:val="085D31FB"/>
    <w:rsid w:val="085D3200"/>
    <w:rsid w:val="085D327E"/>
    <w:rsid w:val="085D32CB"/>
    <w:rsid w:val="085D332C"/>
    <w:rsid w:val="085D335E"/>
    <w:rsid w:val="085D33E2"/>
    <w:rsid w:val="085D3481"/>
    <w:rsid w:val="085D34EF"/>
    <w:rsid w:val="085D35C4"/>
    <w:rsid w:val="085D3691"/>
    <w:rsid w:val="085D372C"/>
    <w:rsid w:val="085D3733"/>
    <w:rsid w:val="085D377E"/>
    <w:rsid w:val="085D37E1"/>
    <w:rsid w:val="085D37F3"/>
    <w:rsid w:val="085D3854"/>
    <w:rsid w:val="085D3924"/>
    <w:rsid w:val="085D39B6"/>
    <w:rsid w:val="085D3B54"/>
    <w:rsid w:val="085D3BFC"/>
    <w:rsid w:val="085D3C2D"/>
    <w:rsid w:val="085D3C32"/>
    <w:rsid w:val="085D3D13"/>
    <w:rsid w:val="085D3E4E"/>
    <w:rsid w:val="085D3EA9"/>
    <w:rsid w:val="085D3ED4"/>
    <w:rsid w:val="085D3F15"/>
    <w:rsid w:val="085D3F71"/>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74"/>
    <w:rsid w:val="085D48BB"/>
    <w:rsid w:val="085D48E2"/>
    <w:rsid w:val="085D492B"/>
    <w:rsid w:val="085D4979"/>
    <w:rsid w:val="085D4999"/>
    <w:rsid w:val="085D4AD2"/>
    <w:rsid w:val="085D4B58"/>
    <w:rsid w:val="085D4B7D"/>
    <w:rsid w:val="085D4BA1"/>
    <w:rsid w:val="085D4C9E"/>
    <w:rsid w:val="085D4CFB"/>
    <w:rsid w:val="085D4D96"/>
    <w:rsid w:val="085D4DE0"/>
    <w:rsid w:val="085D4E38"/>
    <w:rsid w:val="085D4F1D"/>
    <w:rsid w:val="085D4F54"/>
    <w:rsid w:val="085D4FC5"/>
    <w:rsid w:val="085D5016"/>
    <w:rsid w:val="085D501A"/>
    <w:rsid w:val="085D50B1"/>
    <w:rsid w:val="085D50DA"/>
    <w:rsid w:val="085D51E3"/>
    <w:rsid w:val="085D52DF"/>
    <w:rsid w:val="085D52F4"/>
    <w:rsid w:val="085D5444"/>
    <w:rsid w:val="085D54F1"/>
    <w:rsid w:val="085D5526"/>
    <w:rsid w:val="085D55DD"/>
    <w:rsid w:val="085D55F5"/>
    <w:rsid w:val="085D564F"/>
    <w:rsid w:val="085D566D"/>
    <w:rsid w:val="085D569B"/>
    <w:rsid w:val="085D571B"/>
    <w:rsid w:val="085D57AD"/>
    <w:rsid w:val="085D584D"/>
    <w:rsid w:val="085D58B8"/>
    <w:rsid w:val="085D590A"/>
    <w:rsid w:val="085D5939"/>
    <w:rsid w:val="085D5A4B"/>
    <w:rsid w:val="085D5A7F"/>
    <w:rsid w:val="085D5A94"/>
    <w:rsid w:val="085D5BCC"/>
    <w:rsid w:val="085D5BF5"/>
    <w:rsid w:val="085D5C47"/>
    <w:rsid w:val="085D5C67"/>
    <w:rsid w:val="085D5C9B"/>
    <w:rsid w:val="085D5CE9"/>
    <w:rsid w:val="085D5E21"/>
    <w:rsid w:val="085D5E2E"/>
    <w:rsid w:val="085D5F26"/>
    <w:rsid w:val="085D5F8E"/>
    <w:rsid w:val="085D5FA9"/>
    <w:rsid w:val="085D601B"/>
    <w:rsid w:val="085D6046"/>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87"/>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BE"/>
    <w:rsid w:val="085D7069"/>
    <w:rsid w:val="085D709F"/>
    <w:rsid w:val="085D7221"/>
    <w:rsid w:val="085D7255"/>
    <w:rsid w:val="085D729C"/>
    <w:rsid w:val="085D72E7"/>
    <w:rsid w:val="085D738D"/>
    <w:rsid w:val="085D73E2"/>
    <w:rsid w:val="085D744C"/>
    <w:rsid w:val="085D74A0"/>
    <w:rsid w:val="085D74F4"/>
    <w:rsid w:val="085D7577"/>
    <w:rsid w:val="085D7587"/>
    <w:rsid w:val="085D75C6"/>
    <w:rsid w:val="085D7807"/>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44B"/>
    <w:rsid w:val="085E05C0"/>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F6E"/>
    <w:rsid w:val="085E0FC6"/>
    <w:rsid w:val="085E0FE0"/>
    <w:rsid w:val="085E0FEE"/>
    <w:rsid w:val="085E101C"/>
    <w:rsid w:val="085E1035"/>
    <w:rsid w:val="085E1158"/>
    <w:rsid w:val="085E1194"/>
    <w:rsid w:val="085E1263"/>
    <w:rsid w:val="085E12A8"/>
    <w:rsid w:val="085E12DF"/>
    <w:rsid w:val="085E1312"/>
    <w:rsid w:val="085E1339"/>
    <w:rsid w:val="085E1428"/>
    <w:rsid w:val="085E1429"/>
    <w:rsid w:val="085E149D"/>
    <w:rsid w:val="085E14DB"/>
    <w:rsid w:val="085E14FD"/>
    <w:rsid w:val="085E1556"/>
    <w:rsid w:val="085E15B6"/>
    <w:rsid w:val="085E15CD"/>
    <w:rsid w:val="085E1615"/>
    <w:rsid w:val="085E1672"/>
    <w:rsid w:val="085E1740"/>
    <w:rsid w:val="085E17E7"/>
    <w:rsid w:val="085E185C"/>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E89"/>
    <w:rsid w:val="085E1FA6"/>
    <w:rsid w:val="085E20CB"/>
    <w:rsid w:val="085E20D2"/>
    <w:rsid w:val="085E217F"/>
    <w:rsid w:val="085E21B9"/>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B53"/>
    <w:rsid w:val="085E2BD4"/>
    <w:rsid w:val="085E2C3F"/>
    <w:rsid w:val="085E2C4C"/>
    <w:rsid w:val="085E2C6B"/>
    <w:rsid w:val="085E2D1A"/>
    <w:rsid w:val="085E2DB9"/>
    <w:rsid w:val="085E2E5E"/>
    <w:rsid w:val="085E2E8C"/>
    <w:rsid w:val="085E2EEF"/>
    <w:rsid w:val="085E3122"/>
    <w:rsid w:val="085E3198"/>
    <w:rsid w:val="085E3215"/>
    <w:rsid w:val="085E325F"/>
    <w:rsid w:val="085E326E"/>
    <w:rsid w:val="085E3285"/>
    <w:rsid w:val="085E32BA"/>
    <w:rsid w:val="085E32F4"/>
    <w:rsid w:val="085E33DC"/>
    <w:rsid w:val="085E33E1"/>
    <w:rsid w:val="085E33EB"/>
    <w:rsid w:val="085E34F5"/>
    <w:rsid w:val="085E3505"/>
    <w:rsid w:val="085E37B3"/>
    <w:rsid w:val="085E37BD"/>
    <w:rsid w:val="085E37FA"/>
    <w:rsid w:val="085E384E"/>
    <w:rsid w:val="085E38D0"/>
    <w:rsid w:val="085E3B61"/>
    <w:rsid w:val="085E3B65"/>
    <w:rsid w:val="085E3C19"/>
    <w:rsid w:val="085E3C6C"/>
    <w:rsid w:val="085E3C71"/>
    <w:rsid w:val="085E3C98"/>
    <w:rsid w:val="085E3E28"/>
    <w:rsid w:val="085E3E60"/>
    <w:rsid w:val="085E3EA7"/>
    <w:rsid w:val="085E3F6D"/>
    <w:rsid w:val="085E3F73"/>
    <w:rsid w:val="085E4028"/>
    <w:rsid w:val="085E4030"/>
    <w:rsid w:val="085E4108"/>
    <w:rsid w:val="085E41F5"/>
    <w:rsid w:val="085E4291"/>
    <w:rsid w:val="085E42C6"/>
    <w:rsid w:val="085E4349"/>
    <w:rsid w:val="085E43A6"/>
    <w:rsid w:val="085E43DC"/>
    <w:rsid w:val="085E44A2"/>
    <w:rsid w:val="085E4586"/>
    <w:rsid w:val="085E458C"/>
    <w:rsid w:val="085E4603"/>
    <w:rsid w:val="085E4646"/>
    <w:rsid w:val="085E4658"/>
    <w:rsid w:val="085E46D7"/>
    <w:rsid w:val="085E46FA"/>
    <w:rsid w:val="085E4740"/>
    <w:rsid w:val="085E4805"/>
    <w:rsid w:val="085E4829"/>
    <w:rsid w:val="085E48A1"/>
    <w:rsid w:val="085E48EB"/>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696"/>
    <w:rsid w:val="085E5701"/>
    <w:rsid w:val="085E5756"/>
    <w:rsid w:val="085E57BE"/>
    <w:rsid w:val="085E5804"/>
    <w:rsid w:val="085E5872"/>
    <w:rsid w:val="085E5964"/>
    <w:rsid w:val="085E5981"/>
    <w:rsid w:val="085E59B1"/>
    <w:rsid w:val="085E59BF"/>
    <w:rsid w:val="085E5AFC"/>
    <w:rsid w:val="085E5B4A"/>
    <w:rsid w:val="085E5BF0"/>
    <w:rsid w:val="085E5C16"/>
    <w:rsid w:val="085E5D43"/>
    <w:rsid w:val="085E5DC7"/>
    <w:rsid w:val="085E5E40"/>
    <w:rsid w:val="085E5E41"/>
    <w:rsid w:val="085E5EEA"/>
    <w:rsid w:val="085E5F5B"/>
    <w:rsid w:val="085E5FC8"/>
    <w:rsid w:val="085E5FD5"/>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8CF"/>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6B"/>
    <w:rsid w:val="085E73B2"/>
    <w:rsid w:val="085E73FC"/>
    <w:rsid w:val="085E74E8"/>
    <w:rsid w:val="085E750D"/>
    <w:rsid w:val="085E7552"/>
    <w:rsid w:val="085E7573"/>
    <w:rsid w:val="085E75C1"/>
    <w:rsid w:val="085E7704"/>
    <w:rsid w:val="085E77DF"/>
    <w:rsid w:val="085E7815"/>
    <w:rsid w:val="085E7886"/>
    <w:rsid w:val="085E79CC"/>
    <w:rsid w:val="085E7A31"/>
    <w:rsid w:val="085E7A34"/>
    <w:rsid w:val="085E7A3F"/>
    <w:rsid w:val="085E7A94"/>
    <w:rsid w:val="085E7B32"/>
    <w:rsid w:val="085E7C23"/>
    <w:rsid w:val="085E7C5C"/>
    <w:rsid w:val="085E7CA5"/>
    <w:rsid w:val="085E7CB7"/>
    <w:rsid w:val="085E7CEC"/>
    <w:rsid w:val="085E7D3E"/>
    <w:rsid w:val="085E7DD4"/>
    <w:rsid w:val="085E7E1A"/>
    <w:rsid w:val="085E7E9C"/>
    <w:rsid w:val="085E7E9E"/>
    <w:rsid w:val="085E7F8B"/>
    <w:rsid w:val="085E7FCD"/>
    <w:rsid w:val="085E7FF5"/>
    <w:rsid w:val="085F0175"/>
    <w:rsid w:val="085F01CD"/>
    <w:rsid w:val="085F0200"/>
    <w:rsid w:val="085F023E"/>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3E8"/>
    <w:rsid w:val="085F145B"/>
    <w:rsid w:val="085F146F"/>
    <w:rsid w:val="085F14E3"/>
    <w:rsid w:val="085F1568"/>
    <w:rsid w:val="085F1596"/>
    <w:rsid w:val="085F159C"/>
    <w:rsid w:val="085F15DE"/>
    <w:rsid w:val="085F1669"/>
    <w:rsid w:val="085F167E"/>
    <w:rsid w:val="085F16A6"/>
    <w:rsid w:val="085F16DB"/>
    <w:rsid w:val="085F1822"/>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2B1"/>
    <w:rsid w:val="085F2392"/>
    <w:rsid w:val="085F23F7"/>
    <w:rsid w:val="085F2407"/>
    <w:rsid w:val="085F2420"/>
    <w:rsid w:val="085F2436"/>
    <w:rsid w:val="085F2491"/>
    <w:rsid w:val="085F24CF"/>
    <w:rsid w:val="085F255A"/>
    <w:rsid w:val="085F261E"/>
    <w:rsid w:val="085F2697"/>
    <w:rsid w:val="085F269E"/>
    <w:rsid w:val="085F26A0"/>
    <w:rsid w:val="085F27AC"/>
    <w:rsid w:val="085F280D"/>
    <w:rsid w:val="085F291A"/>
    <w:rsid w:val="085F29A1"/>
    <w:rsid w:val="085F29DD"/>
    <w:rsid w:val="085F2AC3"/>
    <w:rsid w:val="085F2AD1"/>
    <w:rsid w:val="085F2B07"/>
    <w:rsid w:val="085F2C42"/>
    <w:rsid w:val="085F2D0A"/>
    <w:rsid w:val="085F2D1A"/>
    <w:rsid w:val="085F2D78"/>
    <w:rsid w:val="085F2DB8"/>
    <w:rsid w:val="085F2E07"/>
    <w:rsid w:val="085F2E4A"/>
    <w:rsid w:val="085F2E91"/>
    <w:rsid w:val="085F2EC0"/>
    <w:rsid w:val="085F2F15"/>
    <w:rsid w:val="085F2FA2"/>
    <w:rsid w:val="085F312B"/>
    <w:rsid w:val="085F3151"/>
    <w:rsid w:val="085F3155"/>
    <w:rsid w:val="085F31F8"/>
    <w:rsid w:val="085F322C"/>
    <w:rsid w:val="085F32D6"/>
    <w:rsid w:val="085F32E8"/>
    <w:rsid w:val="085F32FC"/>
    <w:rsid w:val="085F3358"/>
    <w:rsid w:val="085F33A9"/>
    <w:rsid w:val="085F33E5"/>
    <w:rsid w:val="085F3459"/>
    <w:rsid w:val="085F35F1"/>
    <w:rsid w:val="085F3608"/>
    <w:rsid w:val="085F36F0"/>
    <w:rsid w:val="085F36FD"/>
    <w:rsid w:val="085F371A"/>
    <w:rsid w:val="085F3768"/>
    <w:rsid w:val="085F37A1"/>
    <w:rsid w:val="085F37AC"/>
    <w:rsid w:val="085F381D"/>
    <w:rsid w:val="085F3890"/>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2E9"/>
    <w:rsid w:val="085F4370"/>
    <w:rsid w:val="085F44A1"/>
    <w:rsid w:val="085F4532"/>
    <w:rsid w:val="085F45B7"/>
    <w:rsid w:val="085F46A9"/>
    <w:rsid w:val="085F47F4"/>
    <w:rsid w:val="085F47FD"/>
    <w:rsid w:val="085F481B"/>
    <w:rsid w:val="085F482B"/>
    <w:rsid w:val="085F4840"/>
    <w:rsid w:val="085F48D0"/>
    <w:rsid w:val="085F492E"/>
    <w:rsid w:val="085F495E"/>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5B"/>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43"/>
    <w:rsid w:val="085F5DAD"/>
    <w:rsid w:val="085F5DC3"/>
    <w:rsid w:val="085F5DE9"/>
    <w:rsid w:val="085F5DF6"/>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C8"/>
    <w:rsid w:val="085F6ADF"/>
    <w:rsid w:val="085F6B28"/>
    <w:rsid w:val="085F6B5B"/>
    <w:rsid w:val="085F6BBF"/>
    <w:rsid w:val="085F6BC7"/>
    <w:rsid w:val="085F6BC9"/>
    <w:rsid w:val="085F6BFF"/>
    <w:rsid w:val="085F6CA8"/>
    <w:rsid w:val="085F6D08"/>
    <w:rsid w:val="085F6DC6"/>
    <w:rsid w:val="085F6FB7"/>
    <w:rsid w:val="085F6FC7"/>
    <w:rsid w:val="085F6FD5"/>
    <w:rsid w:val="085F701B"/>
    <w:rsid w:val="085F70D4"/>
    <w:rsid w:val="085F70F0"/>
    <w:rsid w:val="085F7158"/>
    <w:rsid w:val="085F7171"/>
    <w:rsid w:val="085F71A4"/>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9A9"/>
    <w:rsid w:val="085F7A10"/>
    <w:rsid w:val="085F7A18"/>
    <w:rsid w:val="085F7AFA"/>
    <w:rsid w:val="085F7C5F"/>
    <w:rsid w:val="085F7EA0"/>
    <w:rsid w:val="085F7EAD"/>
    <w:rsid w:val="085F7F30"/>
    <w:rsid w:val="085F7FC3"/>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2"/>
    <w:rsid w:val="08600F64"/>
    <w:rsid w:val="08600F6C"/>
    <w:rsid w:val="08600F7A"/>
    <w:rsid w:val="0860102E"/>
    <w:rsid w:val="08601087"/>
    <w:rsid w:val="086010F5"/>
    <w:rsid w:val="0860114D"/>
    <w:rsid w:val="08601164"/>
    <w:rsid w:val="086011AB"/>
    <w:rsid w:val="0860121E"/>
    <w:rsid w:val="08601249"/>
    <w:rsid w:val="08601365"/>
    <w:rsid w:val="086013A5"/>
    <w:rsid w:val="086013FF"/>
    <w:rsid w:val="086014A5"/>
    <w:rsid w:val="0860152A"/>
    <w:rsid w:val="086016C0"/>
    <w:rsid w:val="086016DB"/>
    <w:rsid w:val="08601807"/>
    <w:rsid w:val="08601808"/>
    <w:rsid w:val="0860186B"/>
    <w:rsid w:val="0860186C"/>
    <w:rsid w:val="086018D2"/>
    <w:rsid w:val="086019C0"/>
    <w:rsid w:val="08601A8D"/>
    <w:rsid w:val="08601AC3"/>
    <w:rsid w:val="08601ACC"/>
    <w:rsid w:val="08601B29"/>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203"/>
    <w:rsid w:val="08602246"/>
    <w:rsid w:val="0860224C"/>
    <w:rsid w:val="08602265"/>
    <w:rsid w:val="08602298"/>
    <w:rsid w:val="0860235D"/>
    <w:rsid w:val="0860241C"/>
    <w:rsid w:val="08602524"/>
    <w:rsid w:val="08602588"/>
    <w:rsid w:val="086025E4"/>
    <w:rsid w:val="0860260B"/>
    <w:rsid w:val="08602668"/>
    <w:rsid w:val="0860277C"/>
    <w:rsid w:val="086027B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78"/>
    <w:rsid w:val="086035A4"/>
    <w:rsid w:val="086035ED"/>
    <w:rsid w:val="08603618"/>
    <w:rsid w:val="08603652"/>
    <w:rsid w:val="08603653"/>
    <w:rsid w:val="0860367E"/>
    <w:rsid w:val="086036ED"/>
    <w:rsid w:val="0860376D"/>
    <w:rsid w:val="08603842"/>
    <w:rsid w:val="0860388F"/>
    <w:rsid w:val="08603891"/>
    <w:rsid w:val="086038EE"/>
    <w:rsid w:val="08603967"/>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5F"/>
    <w:rsid w:val="08604280"/>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4F59"/>
    <w:rsid w:val="08605024"/>
    <w:rsid w:val="08605033"/>
    <w:rsid w:val="0860504B"/>
    <w:rsid w:val="086050F0"/>
    <w:rsid w:val="08605193"/>
    <w:rsid w:val="0860519E"/>
    <w:rsid w:val="086051FE"/>
    <w:rsid w:val="08605224"/>
    <w:rsid w:val="0860528F"/>
    <w:rsid w:val="08605360"/>
    <w:rsid w:val="086053A1"/>
    <w:rsid w:val="086053D6"/>
    <w:rsid w:val="086054AC"/>
    <w:rsid w:val="086054D6"/>
    <w:rsid w:val="0860556A"/>
    <w:rsid w:val="08605659"/>
    <w:rsid w:val="08605780"/>
    <w:rsid w:val="086057A6"/>
    <w:rsid w:val="086057FB"/>
    <w:rsid w:val="08605811"/>
    <w:rsid w:val="08605892"/>
    <w:rsid w:val="0860595D"/>
    <w:rsid w:val="08605987"/>
    <w:rsid w:val="0860599B"/>
    <w:rsid w:val="08605A88"/>
    <w:rsid w:val="08605A8C"/>
    <w:rsid w:val="08605C64"/>
    <w:rsid w:val="08605CFA"/>
    <w:rsid w:val="08605D09"/>
    <w:rsid w:val="08605D56"/>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B3"/>
    <w:rsid w:val="08606ACC"/>
    <w:rsid w:val="08606C57"/>
    <w:rsid w:val="08606C6F"/>
    <w:rsid w:val="08606C74"/>
    <w:rsid w:val="08606C85"/>
    <w:rsid w:val="08606CBE"/>
    <w:rsid w:val="08606CFD"/>
    <w:rsid w:val="08606D85"/>
    <w:rsid w:val="08606DBE"/>
    <w:rsid w:val="08606DF5"/>
    <w:rsid w:val="08606E0E"/>
    <w:rsid w:val="08606E26"/>
    <w:rsid w:val="08606E58"/>
    <w:rsid w:val="08606F16"/>
    <w:rsid w:val="08606F8D"/>
    <w:rsid w:val="08606F99"/>
    <w:rsid w:val="08607002"/>
    <w:rsid w:val="08607022"/>
    <w:rsid w:val="086070B0"/>
    <w:rsid w:val="08607116"/>
    <w:rsid w:val="0860714F"/>
    <w:rsid w:val="0860716A"/>
    <w:rsid w:val="086071E1"/>
    <w:rsid w:val="086071EE"/>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BF"/>
    <w:rsid w:val="0861044F"/>
    <w:rsid w:val="08610451"/>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ED1"/>
    <w:rsid w:val="08610F15"/>
    <w:rsid w:val="08610F21"/>
    <w:rsid w:val="08610F3D"/>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C3"/>
    <w:rsid w:val="086117E7"/>
    <w:rsid w:val="08611838"/>
    <w:rsid w:val="0861185C"/>
    <w:rsid w:val="086118EE"/>
    <w:rsid w:val="086118FC"/>
    <w:rsid w:val="086119C3"/>
    <w:rsid w:val="086119C8"/>
    <w:rsid w:val="08611A53"/>
    <w:rsid w:val="08611AD2"/>
    <w:rsid w:val="08611B29"/>
    <w:rsid w:val="08611B3F"/>
    <w:rsid w:val="08611C39"/>
    <w:rsid w:val="08611D09"/>
    <w:rsid w:val="08611EB4"/>
    <w:rsid w:val="08611EBA"/>
    <w:rsid w:val="08611ECE"/>
    <w:rsid w:val="08611F07"/>
    <w:rsid w:val="08611F14"/>
    <w:rsid w:val="08611F21"/>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CC1"/>
    <w:rsid w:val="08612D36"/>
    <w:rsid w:val="08612D66"/>
    <w:rsid w:val="08612E6D"/>
    <w:rsid w:val="08612E98"/>
    <w:rsid w:val="08612ED6"/>
    <w:rsid w:val="08612F55"/>
    <w:rsid w:val="08612F77"/>
    <w:rsid w:val="08612FF8"/>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7F"/>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3"/>
    <w:rsid w:val="0861575F"/>
    <w:rsid w:val="086157AF"/>
    <w:rsid w:val="08615A7D"/>
    <w:rsid w:val="08615A9E"/>
    <w:rsid w:val="08615ACD"/>
    <w:rsid w:val="08615B90"/>
    <w:rsid w:val="08615B91"/>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66"/>
    <w:rsid w:val="08616988"/>
    <w:rsid w:val="086169B3"/>
    <w:rsid w:val="086169D7"/>
    <w:rsid w:val="08616B0E"/>
    <w:rsid w:val="08616B68"/>
    <w:rsid w:val="08616B6A"/>
    <w:rsid w:val="08616BEE"/>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EB"/>
    <w:rsid w:val="08617818"/>
    <w:rsid w:val="086178C8"/>
    <w:rsid w:val="086178F0"/>
    <w:rsid w:val="086178F7"/>
    <w:rsid w:val="08617987"/>
    <w:rsid w:val="08617A1E"/>
    <w:rsid w:val="08617A7C"/>
    <w:rsid w:val="08617A89"/>
    <w:rsid w:val="08617B66"/>
    <w:rsid w:val="08617C49"/>
    <w:rsid w:val="08617C50"/>
    <w:rsid w:val="08617C5C"/>
    <w:rsid w:val="08617C78"/>
    <w:rsid w:val="08617D7D"/>
    <w:rsid w:val="08617DDC"/>
    <w:rsid w:val="08620050"/>
    <w:rsid w:val="08620069"/>
    <w:rsid w:val="086200AF"/>
    <w:rsid w:val="086200ED"/>
    <w:rsid w:val="0862014D"/>
    <w:rsid w:val="08620171"/>
    <w:rsid w:val="086201BC"/>
    <w:rsid w:val="086201D4"/>
    <w:rsid w:val="086203ED"/>
    <w:rsid w:val="0862040A"/>
    <w:rsid w:val="0862045C"/>
    <w:rsid w:val="08620495"/>
    <w:rsid w:val="086204CF"/>
    <w:rsid w:val="08620605"/>
    <w:rsid w:val="086206FD"/>
    <w:rsid w:val="0862071C"/>
    <w:rsid w:val="08620724"/>
    <w:rsid w:val="0862075E"/>
    <w:rsid w:val="08620858"/>
    <w:rsid w:val="08620905"/>
    <w:rsid w:val="08620930"/>
    <w:rsid w:val="0862096C"/>
    <w:rsid w:val="086209A8"/>
    <w:rsid w:val="086209B8"/>
    <w:rsid w:val="086209E1"/>
    <w:rsid w:val="08620AAE"/>
    <w:rsid w:val="08620B85"/>
    <w:rsid w:val="08620C2B"/>
    <w:rsid w:val="08620C42"/>
    <w:rsid w:val="08620C8C"/>
    <w:rsid w:val="08620CD1"/>
    <w:rsid w:val="08620DB0"/>
    <w:rsid w:val="08620E1A"/>
    <w:rsid w:val="08620F50"/>
    <w:rsid w:val="08620F64"/>
    <w:rsid w:val="0862106F"/>
    <w:rsid w:val="086210DF"/>
    <w:rsid w:val="0862112B"/>
    <w:rsid w:val="0862113F"/>
    <w:rsid w:val="08621191"/>
    <w:rsid w:val="086211A6"/>
    <w:rsid w:val="086211C8"/>
    <w:rsid w:val="0862122B"/>
    <w:rsid w:val="0862132B"/>
    <w:rsid w:val="08621414"/>
    <w:rsid w:val="0862146A"/>
    <w:rsid w:val="086214BC"/>
    <w:rsid w:val="0862162F"/>
    <w:rsid w:val="0862166A"/>
    <w:rsid w:val="08621714"/>
    <w:rsid w:val="08621727"/>
    <w:rsid w:val="08621745"/>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53"/>
    <w:rsid w:val="08621F7F"/>
    <w:rsid w:val="08621F8D"/>
    <w:rsid w:val="08621FA0"/>
    <w:rsid w:val="08621FA6"/>
    <w:rsid w:val="08621FC2"/>
    <w:rsid w:val="08621FD3"/>
    <w:rsid w:val="0862200E"/>
    <w:rsid w:val="08622186"/>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E3"/>
    <w:rsid w:val="0862308E"/>
    <w:rsid w:val="0862311E"/>
    <w:rsid w:val="08623154"/>
    <w:rsid w:val="08623170"/>
    <w:rsid w:val="08623213"/>
    <w:rsid w:val="086232A4"/>
    <w:rsid w:val="086232B2"/>
    <w:rsid w:val="08623326"/>
    <w:rsid w:val="0862332A"/>
    <w:rsid w:val="08623337"/>
    <w:rsid w:val="08623369"/>
    <w:rsid w:val="0862336B"/>
    <w:rsid w:val="08623445"/>
    <w:rsid w:val="08623461"/>
    <w:rsid w:val="08623532"/>
    <w:rsid w:val="08623545"/>
    <w:rsid w:val="08623571"/>
    <w:rsid w:val="086235FE"/>
    <w:rsid w:val="08623606"/>
    <w:rsid w:val="08623636"/>
    <w:rsid w:val="08623666"/>
    <w:rsid w:val="08623677"/>
    <w:rsid w:val="086236C9"/>
    <w:rsid w:val="08623709"/>
    <w:rsid w:val="08623770"/>
    <w:rsid w:val="08623773"/>
    <w:rsid w:val="0862379F"/>
    <w:rsid w:val="08623885"/>
    <w:rsid w:val="086238F2"/>
    <w:rsid w:val="08623931"/>
    <w:rsid w:val="086239AC"/>
    <w:rsid w:val="08623A00"/>
    <w:rsid w:val="08623A62"/>
    <w:rsid w:val="08623BEE"/>
    <w:rsid w:val="08623C6C"/>
    <w:rsid w:val="08623C75"/>
    <w:rsid w:val="08623CD2"/>
    <w:rsid w:val="08623CD5"/>
    <w:rsid w:val="08623CE8"/>
    <w:rsid w:val="08623D00"/>
    <w:rsid w:val="08623D5E"/>
    <w:rsid w:val="08623EA4"/>
    <w:rsid w:val="08623EA8"/>
    <w:rsid w:val="0862406A"/>
    <w:rsid w:val="086240BF"/>
    <w:rsid w:val="086240D3"/>
    <w:rsid w:val="0862412C"/>
    <w:rsid w:val="086243EA"/>
    <w:rsid w:val="08624414"/>
    <w:rsid w:val="0862446F"/>
    <w:rsid w:val="086244C1"/>
    <w:rsid w:val="08624552"/>
    <w:rsid w:val="0862456D"/>
    <w:rsid w:val="086245B2"/>
    <w:rsid w:val="086245DB"/>
    <w:rsid w:val="08624755"/>
    <w:rsid w:val="0862486F"/>
    <w:rsid w:val="08624974"/>
    <w:rsid w:val="086249E8"/>
    <w:rsid w:val="08624A6E"/>
    <w:rsid w:val="08624AEF"/>
    <w:rsid w:val="08624B42"/>
    <w:rsid w:val="08624BD1"/>
    <w:rsid w:val="08624BFD"/>
    <w:rsid w:val="08624D27"/>
    <w:rsid w:val="08624D3D"/>
    <w:rsid w:val="08624D86"/>
    <w:rsid w:val="08624DE6"/>
    <w:rsid w:val="08624E27"/>
    <w:rsid w:val="08624E8B"/>
    <w:rsid w:val="08624EC4"/>
    <w:rsid w:val="08624EF1"/>
    <w:rsid w:val="08624EFA"/>
    <w:rsid w:val="08624F80"/>
    <w:rsid w:val="08624F96"/>
    <w:rsid w:val="0862507F"/>
    <w:rsid w:val="086250A2"/>
    <w:rsid w:val="086250DC"/>
    <w:rsid w:val="086250FA"/>
    <w:rsid w:val="0862515D"/>
    <w:rsid w:val="08625167"/>
    <w:rsid w:val="08625179"/>
    <w:rsid w:val="0862518A"/>
    <w:rsid w:val="0862523D"/>
    <w:rsid w:val="0862525E"/>
    <w:rsid w:val="0862533B"/>
    <w:rsid w:val="08625391"/>
    <w:rsid w:val="086253E9"/>
    <w:rsid w:val="086253F8"/>
    <w:rsid w:val="0862545F"/>
    <w:rsid w:val="086255C7"/>
    <w:rsid w:val="0862561F"/>
    <w:rsid w:val="0862563D"/>
    <w:rsid w:val="08625647"/>
    <w:rsid w:val="0862574F"/>
    <w:rsid w:val="08625757"/>
    <w:rsid w:val="08625829"/>
    <w:rsid w:val="086259A9"/>
    <w:rsid w:val="08625A01"/>
    <w:rsid w:val="08625A2B"/>
    <w:rsid w:val="08625A78"/>
    <w:rsid w:val="08625AB4"/>
    <w:rsid w:val="08625BA1"/>
    <w:rsid w:val="08625BC8"/>
    <w:rsid w:val="08625BD1"/>
    <w:rsid w:val="08625C7F"/>
    <w:rsid w:val="08625CC4"/>
    <w:rsid w:val="08625E40"/>
    <w:rsid w:val="08625E8F"/>
    <w:rsid w:val="08626077"/>
    <w:rsid w:val="086260A4"/>
    <w:rsid w:val="08626147"/>
    <w:rsid w:val="0862630B"/>
    <w:rsid w:val="0862647A"/>
    <w:rsid w:val="086265BF"/>
    <w:rsid w:val="086265F2"/>
    <w:rsid w:val="08626627"/>
    <w:rsid w:val="086266B5"/>
    <w:rsid w:val="086266F3"/>
    <w:rsid w:val="08626711"/>
    <w:rsid w:val="0862680C"/>
    <w:rsid w:val="0862688E"/>
    <w:rsid w:val="08626896"/>
    <w:rsid w:val="086268D7"/>
    <w:rsid w:val="086268EE"/>
    <w:rsid w:val="08626918"/>
    <w:rsid w:val="08626946"/>
    <w:rsid w:val="086269B7"/>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72"/>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AAC"/>
    <w:rsid w:val="08627AE0"/>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3FB"/>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0E2"/>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A1"/>
    <w:rsid w:val="08631ADF"/>
    <w:rsid w:val="08631B9F"/>
    <w:rsid w:val="08631C3D"/>
    <w:rsid w:val="08631CC7"/>
    <w:rsid w:val="08631D4A"/>
    <w:rsid w:val="08631D57"/>
    <w:rsid w:val="08631D8A"/>
    <w:rsid w:val="08631E0B"/>
    <w:rsid w:val="08631EDA"/>
    <w:rsid w:val="08632108"/>
    <w:rsid w:val="086321AE"/>
    <w:rsid w:val="086321AF"/>
    <w:rsid w:val="086321E9"/>
    <w:rsid w:val="08632365"/>
    <w:rsid w:val="08632369"/>
    <w:rsid w:val="0863237E"/>
    <w:rsid w:val="08632380"/>
    <w:rsid w:val="08632443"/>
    <w:rsid w:val="086325AE"/>
    <w:rsid w:val="086325B7"/>
    <w:rsid w:val="08632672"/>
    <w:rsid w:val="086326B0"/>
    <w:rsid w:val="08632707"/>
    <w:rsid w:val="0863279E"/>
    <w:rsid w:val="086327F0"/>
    <w:rsid w:val="08632812"/>
    <w:rsid w:val="0863281F"/>
    <w:rsid w:val="086328C9"/>
    <w:rsid w:val="086328F5"/>
    <w:rsid w:val="08632959"/>
    <w:rsid w:val="0863296F"/>
    <w:rsid w:val="08632A18"/>
    <w:rsid w:val="08632AD4"/>
    <w:rsid w:val="08632AEF"/>
    <w:rsid w:val="08632B31"/>
    <w:rsid w:val="08632C3F"/>
    <w:rsid w:val="08632C80"/>
    <w:rsid w:val="08632C8A"/>
    <w:rsid w:val="08632C90"/>
    <w:rsid w:val="08632C9B"/>
    <w:rsid w:val="08632E68"/>
    <w:rsid w:val="08632E72"/>
    <w:rsid w:val="08632EDB"/>
    <w:rsid w:val="08632EE9"/>
    <w:rsid w:val="08632EF0"/>
    <w:rsid w:val="08632FD7"/>
    <w:rsid w:val="08632FDB"/>
    <w:rsid w:val="0863301C"/>
    <w:rsid w:val="0863303D"/>
    <w:rsid w:val="08633070"/>
    <w:rsid w:val="086330DF"/>
    <w:rsid w:val="086330ED"/>
    <w:rsid w:val="08633136"/>
    <w:rsid w:val="08633181"/>
    <w:rsid w:val="086332B0"/>
    <w:rsid w:val="086332D6"/>
    <w:rsid w:val="08633333"/>
    <w:rsid w:val="08633369"/>
    <w:rsid w:val="08633377"/>
    <w:rsid w:val="0863338B"/>
    <w:rsid w:val="08633451"/>
    <w:rsid w:val="08633458"/>
    <w:rsid w:val="08633460"/>
    <w:rsid w:val="086334BA"/>
    <w:rsid w:val="0863353E"/>
    <w:rsid w:val="0863354D"/>
    <w:rsid w:val="0863361B"/>
    <w:rsid w:val="08633699"/>
    <w:rsid w:val="086336DF"/>
    <w:rsid w:val="086336E9"/>
    <w:rsid w:val="0863371A"/>
    <w:rsid w:val="086337A1"/>
    <w:rsid w:val="086337CC"/>
    <w:rsid w:val="086337D4"/>
    <w:rsid w:val="0863386A"/>
    <w:rsid w:val="086339EC"/>
    <w:rsid w:val="08633A84"/>
    <w:rsid w:val="08633B13"/>
    <w:rsid w:val="08633B49"/>
    <w:rsid w:val="08633BD3"/>
    <w:rsid w:val="08633C64"/>
    <w:rsid w:val="08633D5D"/>
    <w:rsid w:val="08633D62"/>
    <w:rsid w:val="08633E9F"/>
    <w:rsid w:val="08633EAA"/>
    <w:rsid w:val="08633EEE"/>
    <w:rsid w:val="086340EF"/>
    <w:rsid w:val="086341CD"/>
    <w:rsid w:val="08634258"/>
    <w:rsid w:val="0863431B"/>
    <w:rsid w:val="0863440E"/>
    <w:rsid w:val="0863444A"/>
    <w:rsid w:val="08634507"/>
    <w:rsid w:val="086345E0"/>
    <w:rsid w:val="086345E9"/>
    <w:rsid w:val="08634644"/>
    <w:rsid w:val="08634665"/>
    <w:rsid w:val="086346EF"/>
    <w:rsid w:val="0863475D"/>
    <w:rsid w:val="086347CE"/>
    <w:rsid w:val="08634867"/>
    <w:rsid w:val="086348A3"/>
    <w:rsid w:val="08634A19"/>
    <w:rsid w:val="08634AC0"/>
    <w:rsid w:val="08634AE3"/>
    <w:rsid w:val="08634B09"/>
    <w:rsid w:val="08634B4C"/>
    <w:rsid w:val="08634B60"/>
    <w:rsid w:val="08634C79"/>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E9"/>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C5E"/>
    <w:rsid w:val="08635D3D"/>
    <w:rsid w:val="08635D71"/>
    <w:rsid w:val="08635D9A"/>
    <w:rsid w:val="08635DAE"/>
    <w:rsid w:val="08635E92"/>
    <w:rsid w:val="08635E97"/>
    <w:rsid w:val="08635EF1"/>
    <w:rsid w:val="08635F41"/>
    <w:rsid w:val="08635FDD"/>
    <w:rsid w:val="08636030"/>
    <w:rsid w:val="08636088"/>
    <w:rsid w:val="086360EF"/>
    <w:rsid w:val="086360F5"/>
    <w:rsid w:val="08636106"/>
    <w:rsid w:val="08636119"/>
    <w:rsid w:val="0863617B"/>
    <w:rsid w:val="08636200"/>
    <w:rsid w:val="08636269"/>
    <w:rsid w:val="08636285"/>
    <w:rsid w:val="086362B5"/>
    <w:rsid w:val="086362DB"/>
    <w:rsid w:val="0863630F"/>
    <w:rsid w:val="086363F9"/>
    <w:rsid w:val="0863640C"/>
    <w:rsid w:val="08636445"/>
    <w:rsid w:val="08636472"/>
    <w:rsid w:val="086364B2"/>
    <w:rsid w:val="0863659E"/>
    <w:rsid w:val="086366CF"/>
    <w:rsid w:val="0863676C"/>
    <w:rsid w:val="086367C8"/>
    <w:rsid w:val="086367DC"/>
    <w:rsid w:val="08636804"/>
    <w:rsid w:val="086368ED"/>
    <w:rsid w:val="08636A41"/>
    <w:rsid w:val="08636ABE"/>
    <w:rsid w:val="08636BAF"/>
    <w:rsid w:val="08636C42"/>
    <w:rsid w:val="08636C4F"/>
    <w:rsid w:val="08636CD2"/>
    <w:rsid w:val="08636D0B"/>
    <w:rsid w:val="08636D8F"/>
    <w:rsid w:val="08636D9F"/>
    <w:rsid w:val="08636EDB"/>
    <w:rsid w:val="08636EE7"/>
    <w:rsid w:val="08636F07"/>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4"/>
    <w:rsid w:val="086373E6"/>
    <w:rsid w:val="08637489"/>
    <w:rsid w:val="08637499"/>
    <w:rsid w:val="086374B5"/>
    <w:rsid w:val="0863754A"/>
    <w:rsid w:val="0863755A"/>
    <w:rsid w:val="086375D1"/>
    <w:rsid w:val="086376A4"/>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D5"/>
    <w:rsid w:val="08640201"/>
    <w:rsid w:val="08640352"/>
    <w:rsid w:val="086404B7"/>
    <w:rsid w:val="086404B9"/>
    <w:rsid w:val="086405C1"/>
    <w:rsid w:val="08640693"/>
    <w:rsid w:val="086406C7"/>
    <w:rsid w:val="0864075A"/>
    <w:rsid w:val="086407EA"/>
    <w:rsid w:val="08640815"/>
    <w:rsid w:val="08640835"/>
    <w:rsid w:val="08640906"/>
    <w:rsid w:val="08640925"/>
    <w:rsid w:val="086409F4"/>
    <w:rsid w:val="08640AE5"/>
    <w:rsid w:val="08640B3A"/>
    <w:rsid w:val="08640C00"/>
    <w:rsid w:val="08640C3C"/>
    <w:rsid w:val="08640CBF"/>
    <w:rsid w:val="08640CD4"/>
    <w:rsid w:val="08640D0C"/>
    <w:rsid w:val="08640DBE"/>
    <w:rsid w:val="08640DC1"/>
    <w:rsid w:val="08640DCE"/>
    <w:rsid w:val="08640F74"/>
    <w:rsid w:val="08641101"/>
    <w:rsid w:val="08641121"/>
    <w:rsid w:val="0864124F"/>
    <w:rsid w:val="08641263"/>
    <w:rsid w:val="0864128C"/>
    <w:rsid w:val="086413F1"/>
    <w:rsid w:val="086414B2"/>
    <w:rsid w:val="086415EB"/>
    <w:rsid w:val="086416F4"/>
    <w:rsid w:val="08641792"/>
    <w:rsid w:val="086417E7"/>
    <w:rsid w:val="086418E5"/>
    <w:rsid w:val="08641919"/>
    <w:rsid w:val="086419EB"/>
    <w:rsid w:val="08641A29"/>
    <w:rsid w:val="08641AFE"/>
    <w:rsid w:val="08641C83"/>
    <w:rsid w:val="08641D0C"/>
    <w:rsid w:val="08641D7C"/>
    <w:rsid w:val="08641DE0"/>
    <w:rsid w:val="08641E23"/>
    <w:rsid w:val="08641EF3"/>
    <w:rsid w:val="08641FEB"/>
    <w:rsid w:val="08642091"/>
    <w:rsid w:val="08642235"/>
    <w:rsid w:val="08642634"/>
    <w:rsid w:val="08642641"/>
    <w:rsid w:val="086426F1"/>
    <w:rsid w:val="086427E8"/>
    <w:rsid w:val="08642810"/>
    <w:rsid w:val="086428AA"/>
    <w:rsid w:val="0864292E"/>
    <w:rsid w:val="08642952"/>
    <w:rsid w:val="08642980"/>
    <w:rsid w:val="08642987"/>
    <w:rsid w:val="0864299E"/>
    <w:rsid w:val="08642A0C"/>
    <w:rsid w:val="08642A3F"/>
    <w:rsid w:val="08642B3D"/>
    <w:rsid w:val="08642B4E"/>
    <w:rsid w:val="08642C5F"/>
    <w:rsid w:val="08642C6B"/>
    <w:rsid w:val="08642D2F"/>
    <w:rsid w:val="08642D3F"/>
    <w:rsid w:val="08642D54"/>
    <w:rsid w:val="0864307C"/>
    <w:rsid w:val="0864311E"/>
    <w:rsid w:val="0864315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55"/>
    <w:rsid w:val="0864426E"/>
    <w:rsid w:val="08644343"/>
    <w:rsid w:val="08644399"/>
    <w:rsid w:val="086444A7"/>
    <w:rsid w:val="086444E2"/>
    <w:rsid w:val="086444F5"/>
    <w:rsid w:val="086446EF"/>
    <w:rsid w:val="086446FD"/>
    <w:rsid w:val="08644792"/>
    <w:rsid w:val="08644793"/>
    <w:rsid w:val="08644798"/>
    <w:rsid w:val="086447D0"/>
    <w:rsid w:val="086447F7"/>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0A1"/>
    <w:rsid w:val="086451DB"/>
    <w:rsid w:val="086452BB"/>
    <w:rsid w:val="08645315"/>
    <w:rsid w:val="08645318"/>
    <w:rsid w:val="0864535E"/>
    <w:rsid w:val="086453D5"/>
    <w:rsid w:val="086453FC"/>
    <w:rsid w:val="086454E0"/>
    <w:rsid w:val="086455AA"/>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0C4"/>
    <w:rsid w:val="086460DF"/>
    <w:rsid w:val="086461B4"/>
    <w:rsid w:val="086461CC"/>
    <w:rsid w:val="086461D9"/>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6F"/>
    <w:rsid w:val="086473CD"/>
    <w:rsid w:val="08647449"/>
    <w:rsid w:val="086474D7"/>
    <w:rsid w:val="086474E7"/>
    <w:rsid w:val="0864751C"/>
    <w:rsid w:val="0864753A"/>
    <w:rsid w:val="08647583"/>
    <w:rsid w:val="0864762D"/>
    <w:rsid w:val="0864767F"/>
    <w:rsid w:val="086476AF"/>
    <w:rsid w:val="086476C1"/>
    <w:rsid w:val="086476C3"/>
    <w:rsid w:val="0864775C"/>
    <w:rsid w:val="0864776E"/>
    <w:rsid w:val="086477EF"/>
    <w:rsid w:val="086478B7"/>
    <w:rsid w:val="086478E6"/>
    <w:rsid w:val="0864793A"/>
    <w:rsid w:val="08647970"/>
    <w:rsid w:val="086479E8"/>
    <w:rsid w:val="08647A23"/>
    <w:rsid w:val="08647A82"/>
    <w:rsid w:val="08647ACC"/>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5"/>
    <w:rsid w:val="08650A97"/>
    <w:rsid w:val="08650B00"/>
    <w:rsid w:val="08650BCE"/>
    <w:rsid w:val="08650D98"/>
    <w:rsid w:val="08650E2B"/>
    <w:rsid w:val="08650F2F"/>
    <w:rsid w:val="08651029"/>
    <w:rsid w:val="08651073"/>
    <w:rsid w:val="086510FE"/>
    <w:rsid w:val="0865115F"/>
    <w:rsid w:val="0865116C"/>
    <w:rsid w:val="0865117C"/>
    <w:rsid w:val="08651209"/>
    <w:rsid w:val="08651227"/>
    <w:rsid w:val="08651280"/>
    <w:rsid w:val="08651300"/>
    <w:rsid w:val="086513B2"/>
    <w:rsid w:val="08651475"/>
    <w:rsid w:val="0865170B"/>
    <w:rsid w:val="0865174A"/>
    <w:rsid w:val="08651795"/>
    <w:rsid w:val="08651856"/>
    <w:rsid w:val="08651969"/>
    <w:rsid w:val="08651973"/>
    <w:rsid w:val="086519DE"/>
    <w:rsid w:val="08651A4F"/>
    <w:rsid w:val="08651A6D"/>
    <w:rsid w:val="08651BAB"/>
    <w:rsid w:val="08651C2A"/>
    <w:rsid w:val="08651C83"/>
    <w:rsid w:val="08651DD3"/>
    <w:rsid w:val="08651DE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DB"/>
    <w:rsid w:val="086524FC"/>
    <w:rsid w:val="0865250D"/>
    <w:rsid w:val="086525E4"/>
    <w:rsid w:val="08652689"/>
    <w:rsid w:val="086526E3"/>
    <w:rsid w:val="08652836"/>
    <w:rsid w:val="08652890"/>
    <w:rsid w:val="08652910"/>
    <w:rsid w:val="0865295A"/>
    <w:rsid w:val="086529A8"/>
    <w:rsid w:val="086529DD"/>
    <w:rsid w:val="08652A2A"/>
    <w:rsid w:val="08652BA5"/>
    <w:rsid w:val="08652D43"/>
    <w:rsid w:val="08652E44"/>
    <w:rsid w:val="08652E7A"/>
    <w:rsid w:val="08652EB1"/>
    <w:rsid w:val="08652EC6"/>
    <w:rsid w:val="08652EC7"/>
    <w:rsid w:val="08652F01"/>
    <w:rsid w:val="08652F2E"/>
    <w:rsid w:val="08652F7A"/>
    <w:rsid w:val="08652F97"/>
    <w:rsid w:val="08652FC5"/>
    <w:rsid w:val="08652FCD"/>
    <w:rsid w:val="08653077"/>
    <w:rsid w:val="086530C6"/>
    <w:rsid w:val="086531E8"/>
    <w:rsid w:val="08653258"/>
    <w:rsid w:val="0865333A"/>
    <w:rsid w:val="08653351"/>
    <w:rsid w:val="08653373"/>
    <w:rsid w:val="08653402"/>
    <w:rsid w:val="08653463"/>
    <w:rsid w:val="086534FE"/>
    <w:rsid w:val="08653519"/>
    <w:rsid w:val="08653553"/>
    <w:rsid w:val="086535BB"/>
    <w:rsid w:val="086535D5"/>
    <w:rsid w:val="08653600"/>
    <w:rsid w:val="08653601"/>
    <w:rsid w:val="086536ED"/>
    <w:rsid w:val="086536F3"/>
    <w:rsid w:val="086536FE"/>
    <w:rsid w:val="08653748"/>
    <w:rsid w:val="086537B5"/>
    <w:rsid w:val="08653846"/>
    <w:rsid w:val="08653879"/>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F02"/>
    <w:rsid w:val="08653F6E"/>
    <w:rsid w:val="08653F7C"/>
    <w:rsid w:val="08654085"/>
    <w:rsid w:val="08654283"/>
    <w:rsid w:val="08654337"/>
    <w:rsid w:val="0865440D"/>
    <w:rsid w:val="0865441F"/>
    <w:rsid w:val="0865445A"/>
    <w:rsid w:val="086544B7"/>
    <w:rsid w:val="086544C1"/>
    <w:rsid w:val="08654573"/>
    <w:rsid w:val="0865457C"/>
    <w:rsid w:val="086545B9"/>
    <w:rsid w:val="08654649"/>
    <w:rsid w:val="086546C5"/>
    <w:rsid w:val="086546F9"/>
    <w:rsid w:val="086547A8"/>
    <w:rsid w:val="08654800"/>
    <w:rsid w:val="086548CC"/>
    <w:rsid w:val="0865490E"/>
    <w:rsid w:val="0865493D"/>
    <w:rsid w:val="08654991"/>
    <w:rsid w:val="086549B5"/>
    <w:rsid w:val="086549D3"/>
    <w:rsid w:val="08654A1D"/>
    <w:rsid w:val="08654B2E"/>
    <w:rsid w:val="08654B31"/>
    <w:rsid w:val="08654B6C"/>
    <w:rsid w:val="08654BE8"/>
    <w:rsid w:val="08654D72"/>
    <w:rsid w:val="08654DE6"/>
    <w:rsid w:val="08654F45"/>
    <w:rsid w:val="08654F83"/>
    <w:rsid w:val="08655044"/>
    <w:rsid w:val="08655101"/>
    <w:rsid w:val="0865510B"/>
    <w:rsid w:val="086551FA"/>
    <w:rsid w:val="08655363"/>
    <w:rsid w:val="08655533"/>
    <w:rsid w:val="086555B1"/>
    <w:rsid w:val="086555B6"/>
    <w:rsid w:val="086555E1"/>
    <w:rsid w:val="0865566E"/>
    <w:rsid w:val="086556F6"/>
    <w:rsid w:val="08655790"/>
    <w:rsid w:val="08655812"/>
    <w:rsid w:val="0865590F"/>
    <w:rsid w:val="0865597A"/>
    <w:rsid w:val="086559DB"/>
    <w:rsid w:val="08655A7C"/>
    <w:rsid w:val="08655A96"/>
    <w:rsid w:val="08655AE1"/>
    <w:rsid w:val="08655BA7"/>
    <w:rsid w:val="08655BD3"/>
    <w:rsid w:val="08655BD4"/>
    <w:rsid w:val="08655C34"/>
    <w:rsid w:val="08655CD8"/>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4C"/>
    <w:rsid w:val="08660457"/>
    <w:rsid w:val="08660529"/>
    <w:rsid w:val="0866052E"/>
    <w:rsid w:val="08660532"/>
    <w:rsid w:val="0866056C"/>
    <w:rsid w:val="086605BD"/>
    <w:rsid w:val="0866079B"/>
    <w:rsid w:val="08660881"/>
    <w:rsid w:val="0866099B"/>
    <w:rsid w:val="086609C1"/>
    <w:rsid w:val="08660ADB"/>
    <w:rsid w:val="08660B38"/>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F8"/>
    <w:rsid w:val="08661413"/>
    <w:rsid w:val="08661416"/>
    <w:rsid w:val="0866141C"/>
    <w:rsid w:val="08661487"/>
    <w:rsid w:val="086614A0"/>
    <w:rsid w:val="086614E8"/>
    <w:rsid w:val="0866150C"/>
    <w:rsid w:val="08661541"/>
    <w:rsid w:val="0866155B"/>
    <w:rsid w:val="0866155E"/>
    <w:rsid w:val="08661786"/>
    <w:rsid w:val="0866180F"/>
    <w:rsid w:val="0866191C"/>
    <w:rsid w:val="08661980"/>
    <w:rsid w:val="0866198D"/>
    <w:rsid w:val="08661A4E"/>
    <w:rsid w:val="08661A75"/>
    <w:rsid w:val="08661AE0"/>
    <w:rsid w:val="08661B28"/>
    <w:rsid w:val="08661C49"/>
    <w:rsid w:val="08661C7C"/>
    <w:rsid w:val="08661D81"/>
    <w:rsid w:val="08661DA8"/>
    <w:rsid w:val="08661E6E"/>
    <w:rsid w:val="08661E98"/>
    <w:rsid w:val="08661F17"/>
    <w:rsid w:val="08661F28"/>
    <w:rsid w:val="08661F62"/>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9C5"/>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176"/>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9A2"/>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4F93"/>
    <w:rsid w:val="0866505A"/>
    <w:rsid w:val="08665074"/>
    <w:rsid w:val="08665089"/>
    <w:rsid w:val="08665099"/>
    <w:rsid w:val="0866518A"/>
    <w:rsid w:val="086651BF"/>
    <w:rsid w:val="086651DF"/>
    <w:rsid w:val="08665228"/>
    <w:rsid w:val="0866524D"/>
    <w:rsid w:val="086652EA"/>
    <w:rsid w:val="086653CC"/>
    <w:rsid w:val="08665418"/>
    <w:rsid w:val="0866541A"/>
    <w:rsid w:val="08665542"/>
    <w:rsid w:val="08665613"/>
    <w:rsid w:val="08665641"/>
    <w:rsid w:val="086656DF"/>
    <w:rsid w:val="0866573E"/>
    <w:rsid w:val="08665749"/>
    <w:rsid w:val="08665751"/>
    <w:rsid w:val="0866592C"/>
    <w:rsid w:val="08665AAD"/>
    <w:rsid w:val="08665AAF"/>
    <w:rsid w:val="08665ADF"/>
    <w:rsid w:val="08665AFA"/>
    <w:rsid w:val="08665B4D"/>
    <w:rsid w:val="08665BFF"/>
    <w:rsid w:val="08665C5D"/>
    <w:rsid w:val="08665CCD"/>
    <w:rsid w:val="08665D1D"/>
    <w:rsid w:val="08665D7E"/>
    <w:rsid w:val="08665D8D"/>
    <w:rsid w:val="08665DFF"/>
    <w:rsid w:val="08665E0A"/>
    <w:rsid w:val="08665E25"/>
    <w:rsid w:val="08666024"/>
    <w:rsid w:val="086660A1"/>
    <w:rsid w:val="08666182"/>
    <w:rsid w:val="0866624B"/>
    <w:rsid w:val="08666266"/>
    <w:rsid w:val="086662D2"/>
    <w:rsid w:val="0866634D"/>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55"/>
    <w:rsid w:val="086671E8"/>
    <w:rsid w:val="086671E9"/>
    <w:rsid w:val="086672C3"/>
    <w:rsid w:val="086672D6"/>
    <w:rsid w:val="08667364"/>
    <w:rsid w:val="08667379"/>
    <w:rsid w:val="086673B0"/>
    <w:rsid w:val="086673DB"/>
    <w:rsid w:val="08667437"/>
    <w:rsid w:val="0866746F"/>
    <w:rsid w:val="0866751E"/>
    <w:rsid w:val="08667595"/>
    <w:rsid w:val="0866759F"/>
    <w:rsid w:val="086675A1"/>
    <w:rsid w:val="086675CD"/>
    <w:rsid w:val="08667649"/>
    <w:rsid w:val="0866767D"/>
    <w:rsid w:val="086676A4"/>
    <w:rsid w:val="0866783E"/>
    <w:rsid w:val="0866787B"/>
    <w:rsid w:val="0866787D"/>
    <w:rsid w:val="08667893"/>
    <w:rsid w:val="086678BF"/>
    <w:rsid w:val="08667933"/>
    <w:rsid w:val="0866798A"/>
    <w:rsid w:val="08667A00"/>
    <w:rsid w:val="08667A0C"/>
    <w:rsid w:val="08667A19"/>
    <w:rsid w:val="08667AAA"/>
    <w:rsid w:val="08667B14"/>
    <w:rsid w:val="08667B2A"/>
    <w:rsid w:val="08667B34"/>
    <w:rsid w:val="08667BD5"/>
    <w:rsid w:val="08667BD8"/>
    <w:rsid w:val="08667C37"/>
    <w:rsid w:val="08667C3F"/>
    <w:rsid w:val="08667D8D"/>
    <w:rsid w:val="08667DAB"/>
    <w:rsid w:val="08667ED2"/>
    <w:rsid w:val="08670084"/>
    <w:rsid w:val="086700E8"/>
    <w:rsid w:val="086701CA"/>
    <w:rsid w:val="086701FD"/>
    <w:rsid w:val="0867023B"/>
    <w:rsid w:val="08670257"/>
    <w:rsid w:val="0867026C"/>
    <w:rsid w:val="086702EA"/>
    <w:rsid w:val="0867034E"/>
    <w:rsid w:val="08670386"/>
    <w:rsid w:val="086703B3"/>
    <w:rsid w:val="086703E9"/>
    <w:rsid w:val="086703EF"/>
    <w:rsid w:val="086704D8"/>
    <w:rsid w:val="0867057E"/>
    <w:rsid w:val="08670666"/>
    <w:rsid w:val="086706C0"/>
    <w:rsid w:val="086707F3"/>
    <w:rsid w:val="08670853"/>
    <w:rsid w:val="086708AC"/>
    <w:rsid w:val="086708E2"/>
    <w:rsid w:val="086708EB"/>
    <w:rsid w:val="0867099A"/>
    <w:rsid w:val="08670AB3"/>
    <w:rsid w:val="08670B46"/>
    <w:rsid w:val="08670B96"/>
    <w:rsid w:val="08670C0B"/>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79"/>
    <w:rsid w:val="086712BE"/>
    <w:rsid w:val="086712DA"/>
    <w:rsid w:val="086712F0"/>
    <w:rsid w:val="08671304"/>
    <w:rsid w:val="08671345"/>
    <w:rsid w:val="086713EE"/>
    <w:rsid w:val="0867157D"/>
    <w:rsid w:val="086715B4"/>
    <w:rsid w:val="086715DB"/>
    <w:rsid w:val="08671673"/>
    <w:rsid w:val="0867168B"/>
    <w:rsid w:val="086716E2"/>
    <w:rsid w:val="08671714"/>
    <w:rsid w:val="08671885"/>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A"/>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ED"/>
    <w:rsid w:val="0867302E"/>
    <w:rsid w:val="086730DF"/>
    <w:rsid w:val="08673146"/>
    <w:rsid w:val="08673218"/>
    <w:rsid w:val="08673250"/>
    <w:rsid w:val="0867327D"/>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CF4"/>
    <w:rsid w:val="08673D06"/>
    <w:rsid w:val="08673D7A"/>
    <w:rsid w:val="08673DA4"/>
    <w:rsid w:val="08673DC2"/>
    <w:rsid w:val="08673DCD"/>
    <w:rsid w:val="08673EBD"/>
    <w:rsid w:val="08673F1B"/>
    <w:rsid w:val="08673F60"/>
    <w:rsid w:val="0867400C"/>
    <w:rsid w:val="08674044"/>
    <w:rsid w:val="086740AE"/>
    <w:rsid w:val="08674173"/>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74"/>
    <w:rsid w:val="08674984"/>
    <w:rsid w:val="086749A2"/>
    <w:rsid w:val="086749CC"/>
    <w:rsid w:val="08674A69"/>
    <w:rsid w:val="08674A8D"/>
    <w:rsid w:val="08674AA8"/>
    <w:rsid w:val="08674B40"/>
    <w:rsid w:val="08674B79"/>
    <w:rsid w:val="08674BB4"/>
    <w:rsid w:val="08674C13"/>
    <w:rsid w:val="08674C33"/>
    <w:rsid w:val="08674C60"/>
    <w:rsid w:val="08674CCC"/>
    <w:rsid w:val="08674D59"/>
    <w:rsid w:val="08674D6E"/>
    <w:rsid w:val="08674E47"/>
    <w:rsid w:val="08674E7E"/>
    <w:rsid w:val="08674E97"/>
    <w:rsid w:val="08674F18"/>
    <w:rsid w:val="08674F43"/>
    <w:rsid w:val="08674F8C"/>
    <w:rsid w:val="086750CC"/>
    <w:rsid w:val="086750D4"/>
    <w:rsid w:val="0867514A"/>
    <w:rsid w:val="0867519E"/>
    <w:rsid w:val="086752CE"/>
    <w:rsid w:val="08675401"/>
    <w:rsid w:val="086754C5"/>
    <w:rsid w:val="086754DC"/>
    <w:rsid w:val="086756B9"/>
    <w:rsid w:val="08675738"/>
    <w:rsid w:val="08675755"/>
    <w:rsid w:val="08675799"/>
    <w:rsid w:val="086757CB"/>
    <w:rsid w:val="08675860"/>
    <w:rsid w:val="086758FC"/>
    <w:rsid w:val="0867592C"/>
    <w:rsid w:val="08675946"/>
    <w:rsid w:val="0867594C"/>
    <w:rsid w:val="0867595F"/>
    <w:rsid w:val="08675A8B"/>
    <w:rsid w:val="08675B65"/>
    <w:rsid w:val="08675BCC"/>
    <w:rsid w:val="08675D8C"/>
    <w:rsid w:val="08675E3F"/>
    <w:rsid w:val="08675EA0"/>
    <w:rsid w:val="08675F47"/>
    <w:rsid w:val="08675FCE"/>
    <w:rsid w:val="08676009"/>
    <w:rsid w:val="0867606C"/>
    <w:rsid w:val="0867612B"/>
    <w:rsid w:val="08676167"/>
    <w:rsid w:val="086761BE"/>
    <w:rsid w:val="08676229"/>
    <w:rsid w:val="08676311"/>
    <w:rsid w:val="08676354"/>
    <w:rsid w:val="08676365"/>
    <w:rsid w:val="086764FA"/>
    <w:rsid w:val="086765B7"/>
    <w:rsid w:val="08676626"/>
    <w:rsid w:val="0867671F"/>
    <w:rsid w:val="0867676A"/>
    <w:rsid w:val="086767D8"/>
    <w:rsid w:val="086768CA"/>
    <w:rsid w:val="0867693C"/>
    <w:rsid w:val="086769DD"/>
    <w:rsid w:val="08676A2F"/>
    <w:rsid w:val="08676A99"/>
    <w:rsid w:val="08676B7D"/>
    <w:rsid w:val="08676B94"/>
    <w:rsid w:val="08676BA3"/>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734"/>
    <w:rsid w:val="086779EA"/>
    <w:rsid w:val="08677A7C"/>
    <w:rsid w:val="08677AC6"/>
    <w:rsid w:val="08677AE8"/>
    <w:rsid w:val="08677B76"/>
    <w:rsid w:val="08677BB0"/>
    <w:rsid w:val="08677BC7"/>
    <w:rsid w:val="08677C6D"/>
    <w:rsid w:val="08677DFA"/>
    <w:rsid w:val="08677E0D"/>
    <w:rsid w:val="08677E7B"/>
    <w:rsid w:val="08677EF4"/>
    <w:rsid w:val="08677F27"/>
    <w:rsid w:val="08677F31"/>
    <w:rsid w:val="08677F44"/>
    <w:rsid w:val="08680041"/>
    <w:rsid w:val="0868017B"/>
    <w:rsid w:val="0868019B"/>
    <w:rsid w:val="086801D2"/>
    <w:rsid w:val="086801F2"/>
    <w:rsid w:val="08680332"/>
    <w:rsid w:val="08680375"/>
    <w:rsid w:val="08680376"/>
    <w:rsid w:val="086803CE"/>
    <w:rsid w:val="0868043C"/>
    <w:rsid w:val="08680446"/>
    <w:rsid w:val="08680458"/>
    <w:rsid w:val="086804CF"/>
    <w:rsid w:val="0868053A"/>
    <w:rsid w:val="08680567"/>
    <w:rsid w:val="0868057D"/>
    <w:rsid w:val="08680618"/>
    <w:rsid w:val="086806A1"/>
    <w:rsid w:val="08680805"/>
    <w:rsid w:val="08680833"/>
    <w:rsid w:val="0868084C"/>
    <w:rsid w:val="0868085B"/>
    <w:rsid w:val="086808E1"/>
    <w:rsid w:val="08680907"/>
    <w:rsid w:val="0868094B"/>
    <w:rsid w:val="086809B6"/>
    <w:rsid w:val="086809E6"/>
    <w:rsid w:val="08680BAA"/>
    <w:rsid w:val="08680BBB"/>
    <w:rsid w:val="08680BE9"/>
    <w:rsid w:val="08680C41"/>
    <w:rsid w:val="08680CD8"/>
    <w:rsid w:val="08680D9A"/>
    <w:rsid w:val="08680EBE"/>
    <w:rsid w:val="08680F05"/>
    <w:rsid w:val="08680F4C"/>
    <w:rsid w:val="08680F8E"/>
    <w:rsid w:val="08681024"/>
    <w:rsid w:val="0868106B"/>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8AD"/>
    <w:rsid w:val="08681931"/>
    <w:rsid w:val="086819F4"/>
    <w:rsid w:val="08681A99"/>
    <w:rsid w:val="08681AD9"/>
    <w:rsid w:val="08681B32"/>
    <w:rsid w:val="08681B95"/>
    <w:rsid w:val="08681C5E"/>
    <w:rsid w:val="08681C81"/>
    <w:rsid w:val="08681C8B"/>
    <w:rsid w:val="08681E17"/>
    <w:rsid w:val="08681E3E"/>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65"/>
    <w:rsid w:val="086827B4"/>
    <w:rsid w:val="08682800"/>
    <w:rsid w:val="086828DE"/>
    <w:rsid w:val="08682912"/>
    <w:rsid w:val="086829FC"/>
    <w:rsid w:val="08682A23"/>
    <w:rsid w:val="08682AE8"/>
    <w:rsid w:val="08682B03"/>
    <w:rsid w:val="08682C0E"/>
    <w:rsid w:val="08682C76"/>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5C"/>
    <w:rsid w:val="086843BE"/>
    <w:rsid w:val="0868447B"/>
    <w:rsid w:val="08684482"/>
    <w:rsid w:val="086845BD"/>
    <w:rsid w:val="0868467A"/>
    <w:rsid w:val="08684683"/>
    <w:rsid w:val="086846A7"/>
    <w:rsid w:val="08684753"/>
    <w:rsid w:val="086848C8"/>
    <w:rsid w:val="086848D6"/>
    <w:rsid w:val="086848EA"/>
    <w:rsid w:val="0868492A"/>
    <w:rsid w:val="08684A24"/>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D6"/>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5F69"/>
    <w:rsid w:val="0868603C"/>
    <w:rsid w:val="08686052"/>
    <w:rsid w:val="08686064"/>
    <w:rsid w:val="08686082"/>
    <w:rsid w:val="086860ED"/>
    <w:rsid w:val="08686157"/>
    <w:rsid w:val="08686265"/>
    <w:rsid w:val="086862B9"/>
    <w:rsid w:val="086862E8"/>
    <w:rsid w:val="086863A2"/>
    <w:rsid w:val="0868643D"/>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88"/>
    <w:rsid w:val="08686CA8"/>
    <w:rsid w:val="08686D0F"/>
    <w:rsid w:val="08686D13"/>
    <w:rsid w:val="08686E30"/>
    <w:rsid w:val="08686E39"/>
    <w:rsid w:val="08686E6E"/>
    <w:rsid w:val="08686F7E"/>
    <w:rsid w:val="08686FBA"/>
    <w:rsid w:val="08687033"/>
    <w:rsid w:val="08687095"/>
    <w:rsid w:val="0868714B"/>
    <w:rsid w:val="08687170"/>
    <w:rsid w:val="086871C4"/>
    <w:rsid w:val="0868723C"/>
    <w:rsid w:val="0868746C"/>
    <w:rsid w:val="086874F7"/>
    <w:rsid w:val="0868755D"/>
    <w:rsid w:val="086876B3"/>
    <w:rsid w:val="086876BB"/>
    <w:rsid w:val="0868771D"/>
    <w:rsid w:val="08687733"/>
    <w:rsid w:val="08687761"/>
    <w:rsid w:val="086877B9"/>
    <w:rsid w:val="086877CB"/>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533"/>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8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15"/>
    <w:rsid w:val="0869173E"/>
    <w:rsid w:val="086917C3"/>
    <w:rsid w:val="086919AF"/>
    <w:rsid w:val="086919D7"/>
    <w:rsid w:val="08691A7F"/>
    <w:rsid w:val="08691B76"/>
    <w:rsid w:val="08691BDF"/>
    <w:rsid w:val="08691BE9"/>
    <w:rsid w:val="08691C2E"/>
    <w:rsid w:val="08691CAE"/>
    <w:rsid w:val="08691F1D"/>
    <w:rsid w:val="08691F25"/>
    <w:rsid w:val="08691F63"/>
    <w:rsid w:val="08691F6F"/>
    <w:rsid w:val="08691FA1"/>
    <w:rsid w:val="08691FD6"/>
    <w:rsid w:val="0869211C"/>
    <w:rsid w:val="086921A6"/>
    <w:rsid w:val="086921E0"/>
    <w:rsid w:val="08692214"/>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9C"/>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6"/>
    <w:rsid w:val="0869483A"/>
    <w:rsid w:val="086948EC"/>
    <w:rsid w:val="086949A6"/>
    <w:rsid w:val="08694A5C"/>
    <w:rsid w:val="08694BA4"/>
    <w:rsid w:val="08694BF2"/>
    <w:rsid w:val="08694D0C"/>
    <w:rsid w:val="08694D34"/>
    <w:rsid w:val="08694F6E"/>
    <w:rsid w:val="08694F8F"/>
    <w:rsid w:val="08694FB3"/>
    <w:rsid w:val="08695001"/>
    <w:rsid w:val="086950DF"/>
    <w:rsid w:val="08695109"/>
    <w:rsid w:val="08695131"/>
    <w:rsid w:val="0869516B"/>
    <w:rsid w:val="08695176"/>
    <w:rsid w:val="0869524D"/>
    <w:rsid w:val="086952D1"/>
    <w:rsid w:val="0869530A"/>
    <w:rsid w:val="08695331"/>
    <w:rsid w:val="0869542E"/>
    <w:rsid w:val="08695453"/>
    <w:rsid w:val="0869548A"/>
    <w:rsid w:val="08695568"/>
    <w:rsid w:val="0869564A"/>
    <w:rsid w:val="086956A5"/>
    <w:rsid w:val="08695725"/>
    <w:rsid w:val="08695742"/>
    <w:rsid w:val="086957CE"/>
    <w:rsid w:val="08695834"/>
    <w:rsid w:val="086958C7"/>
    <w:rsid w:val="0869590C"/>
    <w:rsid w:val="08695974"/>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99"/>
    <w:rsid w:val="0869743C"/>
    <w:rsid w:val="0869751D"/>
    <w:rsid w:val="08697775"/>
    <w:rsid w:val="086977B5"/>
    <w:rsid w:val="086977F4"/>
    <w:rsid w:val="0869782C"/>
    <w:rsid w:val="0869785C"/>
    <w:rsid w:val="0869786B"/>
    <w:rsid w:val="086978B0"/>
    <w:rsid w:val="086978C3"/>
    <w:rsid w:val="086978CF"/>
    <w:rsid w:val="08697965"/>
    <w:rsid w:val="0869796B"/>
    <w:rsid w:val="08697974"/>
    <w:rsid w:val="08697985"/>
    <w:rsid w:val="086979C9"/>
    <w:rsid w:val="08697A29"/>
    <w:rsid w:val="08697A4F"/>
    <w:rsid w:val="08697AC1"/>
    <w:rsid w:val="08697BB0"/>
    <w:rsid w:val="08697BB1"/>
    <w:rsid w:val="08697C60"/>
    <w:rsid w:val="08697C6F"/>
    <w:rsid w:val="08697CD8"/>
    <w:rsid w:val="08697DB6"/>
    <w:rsid w:val="08697DC3"/>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87"/>
    <w:rsid w:val="086A0740"/>
    <w:rsid w:val="086A0745"/>
    <w:rsid w:val="086A0754"/>
    <w:rsid w:val="086A077C"/>
    <w:rsid w:val="086A0822"/>
    <w:rsid w:val="086A082D"/>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7"/>
    <w:rsid w:val="086A14CC"/>
    <w:rsid w:val="086A150E"/>
    <w:rsid w:val="086A15A7"/>
    <w:rsid w:val="086A1658"/>
    <w:rsid w:val="086A1665"/>
    <w:rsid w:val="086A16D7"/>
    <w:rsid w:val="086A1715"/>
    <w:rsid w:val="086A17A7"/>
    <w:rsid w:val="086A1800"/>
    <w:rsid w:val="086A18F7"/>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0CE"/>
    <w:rsid w:val="086A2190"/>
    <w:rsid w:val="086A2228"/>
    <w:rsid w:val="086A22CB"/>
    <w:rsid w:val="086A232A"/>
    <w:rsid w:val="086A232C"/>
    <w:rsid w:val="086A2384"/>
    <w:rsid w:val="086A23FB"/>
    <w:rsid w:val="086A255A"/>
    <w:rsid w:val="086A2623"/>
    <w:rsid w:val="086A27B1"/>
    <w:rsid w:val="086A2819"/>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14"/>
    <w:rsid w:val="086A3121"/>
    <w:rsid w:val="086A313F"/>
    <w:rsid w:val="086A31B2"/>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03"/>
    <w:rsid w:val="086A3B72"/>
    <w:rsid w:val="086A3B98"/>
    <w:rsid w:val="086A3BB5"/>
    <w:rsid w:val="086A3C00"/>
    <w:rsid w:val="086A3C85"/>
    <w:rsid w:val="086A3CD3"/>
    <w:rsid w:val="086A3D22"/>
    <w:rsid w:val="086A3D50"/>
    <w:rsid w:val="086A3E95"/>
    <w:rsid w:val="086A3F1C"/>
    <w:rsid w:val="086A3F52"/>
    <w:rsid w:val="086A410E"/>
    <w:rsid w:val="086A41CF"/>
    <w:rsid w:val="086A4212"/>
    <w:rsid w:val="086A4229"/>
    <w:rsid w:val="086A42AD"/>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0D"/>
    <w:rsid w:val="086A4F53"/>
    <w:rsid w:val="086A5070"/>
    <w:rsid w:val="086A5140"/>
    <w:rsid w:val="086A5187"/>
    <w:rsid w:val="086A51B6"/>
    <w:rsid w:val="086A5316"/>
    <w:rsid w:val="086A53A8"/>
    <w:rsid w:val="086A559C"/>
    <w:rsid w:val="086A56BB"/>
    <w:rsid w:val="086A5719"/>
    <w:rsid w:val="086A573B"/>
    <w:rsid w:val="086A5779"/>
    <w:rsid w:val="086A58B6"/>
    <w:rsid w:val="086A5922"/>
    <w:rsid w:val="086A5962"/>
    <w:rsid w:val="086A5A02"/>
    <w:rsid w:val="086A5AB8"/>
    <w:rsid w:val="086A5B60"/>
    <w:rsid w:val="086A5BDF"/>
    <w:rsid w:val="086A5C21"/>
    <w:rsid w:val="086A5C83"/>
    <w:rsid w:val="086A5D5D"/>
    <w:rsid w:val="086A5ED0"/>
    <w:rsid w:val="086A5EF0"/>
    <w:rsid w:val="086A6045"/>
    <w:rsid w:val="086A60C6"/>
    <w:rsid w:val="086A6128"/>
    <w:rsid w:val="086A6140"/>
    <w:rsid w:val="086A6145"/>
    <w:rsid w:val="086A6181"/>
    <w:rsid w:val="086A6211"/>
    <w:rsid w:val="086A621D"/>
    <w:rsid w:val="086A623B"/>
    <w:rsid w:val="086A6286"/>
    <w:rsid w:val="086A62A6"/>
    <w:rsid w:val="086A62B9"/>
    <w:rsid w:val="086A62F6"/>
    <w:rsid w:val="086A62FA"/>
    <w:rsid w:val="086A6382"/>
    <w:rsid w:val="086A6387"/>
    <w:rsid w:val="086A63F1"/>
    <w:rsid w:val="086A6654"/>
    <w:rsid w:val="086A67DB"/>
    <w:rsid w:val="086A687E"/>
    <w:rsid w:val="086A6888"/>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3"/>
    <w:rsid w:val="086A784F"/>
    <w:rsid w:val="086A7864"/>
    <w:rsid w:val="086A790B"/>
    <w:rsid w:val="086A79BA"/>
    <w:rsid w:val="086A79D6"/>
    <w:rsid w:val="086A7A48"/>
    <w:rsid w:val="086A7A5A"/>
    <w:rsid w:val="086A7B16"/>
    <w:rsid w:val="086A7B53"/>
    <w:rsid w:val="086A7B8D"/>
    <w:rsid w:val="086A7BD2"/>
    <w:rsid w:val="086A7C2A"/>
    <w:rsid w:val="086A7F7A"/>
    <w:rsid w:val="086A7FA2"/>
    <w:rsid w:val="086B002A"/>
    <w:rsid w:val="086B00D9"/>
    <w:rsid w:val="086B012B"/>
    <w:rsid w:val="086B017B"/>
    <w:rsid w:val="086B018B"/>
    <w:rsid w:val="086B02A4"/>
    <w:rsid w:val="086B0328"/>
    <w:rsid w:val="086B0408"/>
    <w:rsid w:val="086B043E"/>
    <w:rsid w:val="086B0446"/>
    <w:rsid w:val="086B0448"/>
    <w:rsid w:val="086B0449"/>
    <w:rsid w:val="086B0477"/>
    <w:rsid w:val="086B04C7"/>
    <w:rsid w:val="086B04D0"/>
    <w:rsid w:val="086B0569"/>
    <w:rsid w:val="086B05AE"/>
    <w:rsid w:val="086B05F3"/>
    <w:rsid w:val="086B0604"/>
    <w:rsid w:val="086B0642"/>
    <w:rsid w:val="086B0656"/>
    <w:rsid w:val="086B068D"/>
    <w:rsid w:val="086B0696"/>
    <w:rsid w:val="086B06E9"/>
    <w:rsid w:val="086B073B"/>
    <w:rsid w:val="086B0751"/>
    <w:rsid w:val="086B079C"/>
    <w:rsid w:val="086B0894"/>
    <w:rsid w:val="086B0946"/>
    <w:rsid w:val="086B0975"/>
    <w:rsid w:val="086B09A1"/>
    <w:rsid w:val="086B09F5"/>
    <w:rsid w:val="086B0A5D"/>
    <w:rsid w:val="086B0AAB"/>
    <w:rsid w:val="086B0AD0"/>
    <w:rsid w:val="086B0AEE"/>
    <w:rsid w:val="086B0BC6"/>
    <w:rsid w:val="086B0C27"/>
    <w:rsid w:val="086B0C71"/>
    <w:rsid w:val="086B0CE8"/>
    <w:rsid w:val="086B0D3C"/>
    <w:rsid w:val="086B0E7E"/>
    <w:rsid w:val="086B10B0"/>
    <w:rsid w:val="086B10DE"/>
    <w:rsid w:val="086B10FB"/>
    <w:rsid w:val="086B111F"/>
    <w:rsid w:val="086B1132"/>
    <w:rsid w:val="086B1176"/>
    <w:rsid w:val="086B120A"/>
    <w:rsid w:val="086B1300"/>
    <w:rsid w:val="086B130C"/>
    <w:rsid w:val="086B1522"/>
    <w:rsid w:val="086B1550"/>
    <w:rsid w:val="086B15B1"/>
    <w:rsid w:val="086B1602"/>
    <w:rsid w:val="086B163A"/>
    <w:rsid w:val="086B1678"/>
    <w:rsid w:val="086B1690"/>
    <w:rsid w:val="086B16C4"/>
    <w:rsid w:val="086B16C7"/>
    <w:rsid w:val="086B1753"/>
    <w:rsid w:val="086B175C"/>
    <w:rsid w:val="086B184A"/>
    <w:rsid w:val="086B1861"/>
    <w:rsid w:val="086B18AA"/>
    <w:rsid w:val="086B18CE"/>
    <w:rsid w:val="086B1B0E"/>
    <w:rsid w:val="086B1B6B"/>
    <w:rsid w:val="086B1BD0"/>
    <w:rsid w:val="086B1BF8"/>
    <w:rsid w:val="086B1C1A"/>
    <w:rsid w:val="086B1C72"/>
    <w:rsid w:val="086B1D1C"/>
    <w:rsid w:val="086B1DCC"/>
    <w:rsid w:val="086B1E24"/>
    <w:rsid w:val="086B1EB0"/>
    <w:rsid w:val="086B1EE4"/>
    <w:rsid w:val="086B1EFF"/>
    <w:rsid w:val="086B1F70"/>
    <w:rsid w:val="086B207F"/>
    <w:rsid w:val="086B20AE"/>
    <w:rsid w:val="086B2153"/>
    <w:rsid w:val="086B21CD"/>
    <w:rsid w:val="086B234C"/>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CA"/>
    <w:rsid w:val="086B2BD6"/>
    <w:rsid w:val="086B2C62"/>
    <w:rsid w:val="086B2CAF"/>
    <w:rsid w:val="086B2CD2"/>
    <w:rsid w:val="086B2D51"/>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32D"/>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69"/>
    <w:rsid w:val="086B5D78"/>
    <w:rsid w:val="086B5DB8"/>
    <w:rsid w:val="086B5DEE"/>
    <w:rsid w:val="086B5E06"/>
    <w:rsid w:val="086B5E60"/>
    <w:rsid w:val="086B5E6E"/>
    <w:rsid w:val="086B5EB7"/>
    <w:rsid w:val="086B5F59"/>
    <w:rsid w:val="086B5F75"/>
    <w:rsid w:val="086B5F92"/>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7C7"/>
    <w:rsid w:val="086B78D0"/>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3D"/>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794"/>
    <w:rsid w:val="086C0849"/>
    <w:rsid w:val="086C09DB"/>
    <w:rsid w:val="086C09ED"/>
    <w:rsid w:val="086C0A7C"/>
    <w:rsid w:val="086C0A86"/>
    <w:rsid w:val="086C0AA1"/>
    <w:rsid w:val="086C0AFE"/>
    <w:rsid w:val="086C0B38"/>
    <w:rsid w:val="086C0BF8"/>
    <w:rsid w:val="086C0C19"/>
    <w:rsid w:val="086C0CC8"/>
    <w:rsid w:val="086C0CD3"/>
    <w:rsid w:val="086C0D0D"/>
    <w:rsid w:val="086C0D8B"/>
    <w:rsid w:val="086C0DBB"/>
    <w:rsid w:val="086C0E22"/>
    <w:rsid w:val="086C0E3E"/>
    <w:rsid w:val="086C0F3E"/>
    <w:rsid w:val="086C0FFB"/>
    <w:rsid w:val="086C1013"/>
    <w:rsid w:val="086C105D"/>
    <w:rsid w:val="086C10CF"/>
    <w:rsid w:val="086C10E7"/>
    <w:rsid w:val="086C10ED"/>
    <w:rsid w:val="086C1109"/>
    <w:rsid w:val="086C1171"/>
    <w:rsid w:val="086C11B9"/>
    <w:rsid w:val="086C124B"/>
    <w:rsid w:val="086C12A6"/>
    <w:rsid w:val="086C1478"/>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C"/>
    <w:rsid w:val="086C1CFF"/>
    <w:rsid w:val="086C1D11"/>
    <w:rsid w:val="086C1D41"/>
    <w:rsid w:val="086C1D46"/>
    <w:rsid w:val="086C1D81"/>
    <w:rsid w:val="086C1DC0"/>
    <w:rsid w:val="086C1F0A"/>
    <w:rsid w:val="086C1F19"/>
    <w:rsid w:val="086C1FB2"/>
    <w:rsid w:val="086C1FEC"/>
    <w:rsid w:val="086C1FF5"/>
    <w:rsid w:val="086C2023"/>
    <w:rsid w:val="086C209C"/>
    <w:rsid w:val="086C20BC"/>
    <w:rsid w:val="086C20FC"/>
    <w:rsid w:val="086C2123"/>
    <w:rsid w:val="086C218A"/>
    <w:rsid w:val="086C22D0"/>
    <w:rsid w:val="086C2391"/>
    <w:rsid w:val="086C245A"/>
    <w:rsid w:val="086C24EE"/>
    <w:rsid w:val="086C2508"/>
    <w:rsid w:val="086C25CA"/>
    <w:rsid w:val="086C25DA"/>
    <w:rsid w:val="086C26C3"/>
    <w:rsid w:val="086C27A8"/>
    <w:rsid w:val="086C2843"/>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001"/>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07"/>
    <w:rsid w:val="086C3745"/>
    <w:rsid w:val="086C378B"/>
    <w:rsid w:val="086C37FD"/>
    <w:rsid w:val="086C3840"/>
    <w:rsid w:val="086C3868"/>
    <w:rsid w:val="086C387A"/>
    <w:rsid w:val="086C38A6"/>
    <w:rsid w:val="086C38D3"/>
    <w:rsid w:val="086C390D"/>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29A"/>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29"/>
    <w:rsid w:val="086C5095"/>
    <w:rsid w:val="086C510E"/>
    <w:rsid w:val="086C51C3"/>
    <w:rsid w:val="086C51E6"/>
    <w:rsid w:val="086C529F"/>
    <w:rsid w:val="086C5321"/>
    <w:rsid w:val="086C535F"/>
    <w:rsid w:val="086C53C3"/>
    <w:rsid w:val="086C5401"/>
    <w:rsid w:val="086C5592"/>
    <w:rsid w:val="086C56C5"/>
    <w:rsid w:val="086C56FC"/>
    <w:rsid w:val="086C57FD"/>
    <w:rsid w:val="086C5824"/>
    <w:rsid w:val="086C5AE1"/>
    <w:rsid w:val="086C5BBB"/>
    <w:rsid w:val="086C5C18"/>
    <w:rsid w:val="086C5C28"/>
    <w:rsid w:val="086C5C30"/>
    <w:rsid w:val="086C5C35"/>
    <w:rsid w:val="086C5CE1"/>
    <w:rsid w:val="086C5CEF"/>
    <w:rsid w:val="086C5D9E"/>
    <w:rsid w:val="086C5DCE"/>
    <w:rsid w:val="086C5DD3"/>
    <w:rsid w:val="086C5E3E"/>
    <w:rsid w:val="086C6056"/>
    <w:rsid w:val="086C6062"/>
    <w:rsid w:val="086C6068"/>
    <w:rsid w:val="086C61FE"/>
    <w:rsid w:val="086C623F"/>
    <w:rsid w:val="086C6367"/>
    <w:rsid w:val="086C6460"/>
    <w:rsid w:val="086C646A"/>
    <w:rsid w:val="086C64F4"/>
    <w:rsid w:val="086C6578"/>
    <w:rsid w:val="086C6679"/>
    <w:rsid w:val="086C66F1"/>
    <w:rsid w:val="086C6712"/>
    <w:rsid w:val="086C6718"/>
    <w:rsid w:val="086C6782"/>
    <w:rsid w:val="086C67AA"/>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736"/>
    <w:rsid w:val="086D07AA"/>
    <w:rsid w:val="086D0871"/>
    <w:rsid w:val="086D096F"/>
    <w:rsid w:val="086D0AC4"/>
    <w:rsid w:val="086D0B01"/>
    <w:rsid w:val="086D0B26"/>
    <w:rsid w:val="086D0C4F"/>
    <w:rsid w:val="086D0C96"/>
    <w:rsid w:val="086D0D8E"/>
    <w:rsid w:val="086D0E2D"/>
    <w:rsid w:val="086D0E70"/>
    <w:rsid w:val="086D0E8A"/>
    <w:rsid w:val="086D0EC3"/>
    <w:rsid w:val="086D0EC6"/>
    <w:rsid w:val="086D0ED2"/>
    <w:rsid w:val="086D0F33"/>
    <w:rsid w:val="086D0F74"/>
    <w:rsid w:val="086D0F9F"/>
    <w:rsid w:val="086D0FFA"/>
    <w:rsid w:val="086D113F"/>
    <w:rsid w:val="086D1173"/>
    <w:rsid w:val="086D11E1"/>
    <w:rsid w:val="086D139A"/>
    <w:rsid w:val="086D13FD"/>
    <w:rsid w:val="086D148A"/>
    <w:rsid w:val="086D14DE"/>
    <w:rsid w:val="086D150B"/>
    <w:rsid w:val="086D159F"/>
    <w:rsid w:val="086D17CA"/>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16"/>
    <w:rsid w:val="086D2EDD"/>
    <w:rsid w:val="086D2EE6"/>
    <w:rsid w:val="086D3013"/>
    <w:rsid w:val="086D30E9"/>
    <w:rsid w:val="086D313C"/>
    <w:rsid w:val="086D314A"/>
    <w:rsid w:val="086D3211"/>
    <w:rsid w:val="086D32A9"/>
    <w:rsid w:val="086D3407"/>
    <w:rsid w:val="086D3474"/>
    <w:rsid w:val="086D3560"/>
    <w:rsid w:val="086D359C"/>
    <w:rsid w:val="086D35DC"/>
    <w:rsid w:val="086D3699"/>
    <w:rsid w:val="086D3749"/>
    <w:rsid w:val="086D379A"/>
    <w:rsid w:val="086D37A2"/>
    <w:rsid w:val="086D37DD"/>
    <w:rsid w:val="086D387A"/>
    <w:rsid w:val="086D3959"/>
    <w:rsid w:val="086D3985"/>
    <w:rsid w:val="086D3A15"/>
    <w:rsid w:val="086D3A24"/>
    <w:rsid w:val="086D3B09"/>
    <w:rsid w:val="086D3B9D"/>
    <w:rsid w:val="086D3BA8"/>
    <w:rsid w:val="086D3BDF"/>
    <w:rsid w:val="086D3C17"/>
    <w:rsid w:val="086D3C6B"/>
    <w:rsid w:val="086D3CF9"/>
    <w:rsid w:val="086D3DBD"/>
    <w:rsid w:val="086D3E3E"/>
    <w:rsid w:val="086D3E48"/>
    <w:rsid w:val="086D3E9B"/>
    <w:rsid w:val="086D3EE1"/>
    <w:rsid w:val="086D3F19"/>
    <w:rsid w:val="086D3FFA"/>
    <w:rsid w:val="086D404C"/>
    <w:rsid w:val="086D4056"/>
    <w:rsid w:val="086D40B8"/>
    <w:rsid w:val="086D4121"/>
    <w:rsid w:val="086D422D"/>
    <w:rsid w:val="086D4242"/>
    <w:rsid w:val="086D42DB"/>
    <w:rsid w:val="086D4308"/>
    <w:rsid w:val="086D4339"/>
    <w:rsid w:val="086D434D"/>
    <w:rsid w:val="086D43CC"/>
    <w:rsid w:val="086D4446"/>
    <w:rsid w:val="086D4448"/>
    <w:rsid w:val="086D44D0"/>
    <w:rsid w:val="086D4528"/>
    <w:rsid w:val="086D4618"/>
    <w:rsid w:val="086D467A"/>
    <w:rsid w:val="086D467E"/>
    <w:rsid w:val="086D46ED"/>
    <w:rsid w:val="086D473D"/>
    <w:rsid w:val="086D482E"/>
    <w:rsid w:val="086D48C6"/>
    <w:rsid w:val="086D497D"/>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6B"/>
    <w:rsid w:val="086D52C7"/>
    <w:rsid w:val="086D540A"/>
    <w:rsid w:val="086D5483"/>
    <w:rsid w:val="086D5513"/>
    <w:rsid w:val="086D5517"/>
    <w:rsid w:val="086D55B8"/>
    <w:rsid w:val="086D5630"/>
    <w:rsid w:val="086D5654"/>
    <w:rsid w:val="086D5681"/>
    <w:rsid w:val="086D572D"/>
    <w:rsid w:val="086D5779"/>
    <w:rsid w:val="086D57CC"/>
    <w:rsid w:val="086D5821"/>
    <w:rsid w:val="086D5828"/>
    <w:rsid w:val="086D582F"/>
    <w:rsid w:val="086D5887"/>
    <w:rsid w:val="086D596C"/>
    <w:rsid w:val="086D59FD"/>
    <w:rsid w:val="086D5A13"/>
    <w:rsid w:val="086D5A27"/>
    <w:rsid w:val="086D5B5B"/>
    <w:rsid w:val="086D5B5E"/>
    <w:rsid w:val="086D5BDC"/>
    <w:rsid w:val="086D5C16"/>
    <w:rsid w:val="086D5C6F"/>
    <w:rsid w:val="086D5D21"/>
    <w:rsid w:val="086D5D38"/>
    <w:rsid w:val="086D5D52"/>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9D"/>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4B"/>
    <w:rsid w:val="086D6F8F"/>
    <w:rsid w:val="086D6F90"/>
    <w:rsid w:val="086D6FDE"/>
    <w:rsid w:val="086D70B1"/>
    <w:rsid w:val="086D7190"/>
    <w:rsid w:val="086D72C9"/>
    <w:rsid w:val="086D7385"/>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9EF"/>
    <w:rsid w:val="086D7AC1"/>
    <w:rsid w:val="086D7B34"/>
    <w:rsid w:val="086D7B59"/>
    <w:rsid w:val="086D7BDA"/>
    <w:rsid w:val="086D7D7C"/>
    <w:rsid w:val="086D7DA9"/>
    <w:rsid w:val="086D7DD9"/>
    <w:rsid w:val="086D7EB7"/>
    <w:rsid w:val="086D7EC8"/>
    <w:rsid w:val="086D7F42"/>
    <w:rsid w:val="086D7F82"/>
    <w:rsid w:val="086D7FDF"/>
    <w:rsid w:val="086D7FFE"/>
    <w:rsid w:val="086E003A"/>
    <w:rsid w:val="086E0203"/>
    <w:rsid w:val="086E030B"/>
    <w:rsid w:val="086E0373"/>
    <w:rsid w:val="086E03F9"/>
    <w:rsid w:val="086E053B"/>
    <w:rsid w:val="086E0555"/>
    <w:rsid w:val="086E058C"/>
    <w:rsid w:val="086E059C"/>
    <w:rsid w:val="086E05B3"/>
    <w:rsid w:val="086E0647"/>
    <w:rsid w:val="086E0666"/>
    <w:rsid w:val="086E0675"/>
    <w:rsid w:val="086E071C"/>
    <w:rsid w:val="086E081C"/>
    <w:rsid w:val="086E0941"/>
    <w:rsid w:val="086E095E"/>
    <w:rsid w:val="086E0A53"/>
    <w:rsid w:val="086E0A81"/>
    <w:rsid w:val="086E0A84"/>
    <w:rsid w:val="086E0A8A"/>
    <w:rsid w:val="086E0B07"/>
    <w:rsid w:val="086E0B22"/>
    <w:rsid w:val="086E0BB5"/>
    <w:rsid w:val="086E0BE5"/>
    <w:rsid w:val="086E0DD3"/>
    <w:rsid w:val="086E0E1F"/>
    <w:rsid w:val="086E0E38"/>
    <w:rsid w:val="086E0E87"/>
    <w:rsid w:val="086E0F44"/>
    <w:rsid w:val="086E0F6E"/>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5F"/>
    <w:rsid w:val="086E15FC"/>
    <w:rsid w:val="086E165B"/>
    <w:rsid w:val="086E1740"/>
    <w:rsid w:val="086E17CF"/>
    <w:rsid w:val="086E1851"/>
    <w:rsid w:val="086E186E"/>
    <w:rsid w:val="086E1876"/>
    <w:rsid w:val="086E1925"/>
    <w:rsid w:val="086E19DF"/>
    <w:rsid w:val="086E1A19"/>
    <w:rsid w:val="086E1A7A"/>
    <w:rsid w:val="086E1A9A"/>
    <w:rsid w:val="086E1AE1"/>
    <w:rsid w:val="086E1AF0"/>
    <w:rsid w:val="086E1B28"/>
    <w:rsid w:val="086E1B99"/>
    <w:rsid w:val="086E1BCB"/>
    <w:rsid w:val="086E1CC4"/>
    <w:rsid w:val="086E1D0A"/>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24A"/>
    <w:rsid w:val="086E3285"/>
    <w:rsid w:val="086E32AB"/>
    <w:rsid w:val="086E32B2"/>
    <w:rsid w:val="086E3307"/>
    <w:rsid w:val="086E342E"/>
    <w:rsid w:val="086E345B"/>
    <w:rsid w:val="086E352E"/>
    <w:rsid w:val="086E360C"/>
    <w:rsid w:val="086E364B"/>
    <w:rsid w:val="086E391E"/>
    <w:rsid w:val="086E3931"/>
    <w:rsid w:val="086E39D8"/>
    <w:rsid w:val="086E3A3B"/>
    <w:rsid w:val="086E3AE0"/>
    <w:rsid w:val="086E3B3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DD5"/>
    <w:rsid w:val="086E5DF5"/>
    <w:rsid w:val="086E5E58"/>
    <w:rsid w:val="086E5E77"/>
    <w:rsid w:val="086E5F3A"/>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4C1"/>
    <w:rsid w:val="086E65E0"/>
    <w:rsid w:val="086E6613"/>
    <w:rsid w:val="086E66A0"/>
    <w:rsid w:val="086E66FE"/>
    <w:rsid w:val="086E6771"/>
    <w:rsid w:val="086E6775"/>
    <w:rsid w:val="086E6797"/>
    <w:rsid w:val="086E67E3"/>
    <w:rsid w:val="086E6854"/>
    <w:rsid w:val="086E685F"/>
    <w:rsid w:val="086E68F3"/>
    <w:rsid w:val="086E69E5"/>
    <w:rsid w:val="086E6A4F"/>
    <w:rsid w:val="086E6B15"/>
    <w:rsid w:val="086E6BA0"/>
    <w:rsid w:val="086E6BC7"/>
    <w:rsid w:val="086E6BFB"/>
    <w:rsid w:val="086E6C36"/>
    <w:rsid w:val="086E6CA4"/>
    <w:rsid w:val="086E6D2F"/>
    <w:rsid w:val="086E6D76"/>
    <w:rsid w:val="086E6E09"/>
    <w:rsid w:val="086E6E0A"/>
    <w:rsid w:val="086E6E1F"/>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AFE"/>
    <w:rsid w:val="086E7B2C"/>
    <w:rsid w:val="086E7B8F"/>
    <w:rsid w:val="086E7BC0"/>
    <w:rsid w:val="086E7BE1"/>
    <w:rsid w:val="086E7C6C"/>
    <w:rsid w:val="086E7C83"/>
    <w:rsid w:val="086E7D19"/>
    <w:rsid w:val="086E7E56"/>
    <w:rsid w:val="086E7F30"/>
    <w:rsid w:val="086E7F39"/>
    <w:rsid w:val="086E7FBD"/>
    <w:rsid w:val="086F005F"/>
    <w:rsid w:val="086F0094"/>
    <w:rsid w:val="086F00D7"/>
    <w:rsid w:val="086F00F6"/>
    <w:rsid w:val="086F0164"/>
    <w:rsid w:val="086F026A"/>
    <w:rsid w:val="086F029E"/>
    <w:rsid w:val="086F02EB"/>
    <w:rsid w:val="086F03E4"/>
    <w:rsid w:val="086F0486"/>
    <w:rsid w:val="086F04B1"/>
    <w:rsid w:val="086F04E7"/>
    <w:rsid w:val="086F055A"/>
    <w:rsid w:val="086F05B6"/>
    <w:rsid w:val="086F0620"/>
    <w:rsid w:val="086F0637"/>
    <w:rsid w:val="086F06E3"/>
    <w:rsid w:val="086F0725"/>
    <w:rsid w:val="086F075D"/>
    <w:rsid w:val="086F07D7"/>
    <w:rsid w:val="086F0927"/>
    <w:rsid w:val="086F0993"/>
    <w:rsid w:val="086F0997"/>
    <w:rsid w:val="086F0A52"/>
    <w:rsid w:val="086F0B15"/>
    <w:rsid w:val="086F0B8C"/>
    <w:rsid w:val="086F0BD1"/>
    <w:rsid w:val="086F0C3B"/>
    <w:rsid w:val="086F0DA2"/>
    <w:rsid w:val="086F0DB2"/>
    <w:rsid w:val="086F0DF6"/>
    <w:rsid w:val="086F0E11"/>
    <w:rsid w:val="086F0E2C"/>
    <w:rsid w:val="086F0FD2"/>
    <w:rsid w:val="086F0FF9"/>
    <w:rsid w:val="086F100D"/>
    <w:rsid w:val="086F108A"/>
    <w:rsid w:val="086F1102"/>
    <w:rsid w:val="086F1121"/>
    <w:rsid w:val="086F114B"/>
    <w:rsid w:val="086F114C"/>
    <w:rsid w:val="086F1214"/>
    <w:rsid w:val="086F1242"/>
    <w:rsid w:val="086F12C3"/>
    <w:rsid w:val="086F12DA"/>
    <w:rsid w:val="086F1552"/>
    <w:rsid w:val="086F155E"/>
    <w:rsid w:val="086F15AC"/>
    <w:rsid w:val="086F16AC"/>
    <w:rsid w:val="086F16DE"/>
    <w:rsid w:val="086F17AA"/>
    <w:rsid w:val="086F1825"/>
    <w:rsid w:val="086F18AA"/>
    <w:rsid w:val="086F1958"/>
    <w:rsid w:val="086F197C"/>
    <w:rsid w:val="086F19D9"/>
    <w:rsid w:val="086F1A52"/>
    <w:rsid w:val="086F1A73"/>
    <w:rsid w:val="086F1ABF"/>
    <w:rsid w:val="086F1B25"/>
    <w:rsid w:val="086F1CFE"/>
    <w:rsid w:val="086F1E04"/>
    <w:rsid w:val="086F1E46"/>
    <w:rsid w:val="086F1ED0"/>
    <w:rsid w:val="086F1EF5"/>
    <w:rsid w:val="086F1EF9"/>
    <w:rsid w:val="086F1F09"/>
    <w:rsid w:val="086F1FA3"/>
    <w:rsid w:val="086F1FD4"/>
    <w:rsid w:val="086F205B"/>
    <w:rsid w:val="086F2096"/>
    <w:rsid w:val="086F20F5"/>
    <w:rsid w:val="086F2226"/>
    <w:rsid w:val="086F2231"/>
    <w:rsid w:val="086F225A"/>
    <w:rsid w:val="086F225B"/>
    <w:rsid w:val="086F2310"/>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5E"/>
    <w:rsid w:val="086F32AE"/>
    <w:rsid w:val="086F32D2"/>
    <w:rsid w:val="086F32E5"/>
    <w:rsid w:val="086F32E9"/>
    <w:rsid w:val="086F3357"/>
    <w:rsid w:val="086F33B5"/>
    <w:rsid w:val="086F33D1"/>
    <w:rsid w:val="086F3443"/>
    <w:rsid w:val="086F3488"/>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1E"/>
    <w:rsid w:val="086F3C62"/>
    <w:rsid w:val="086F3C73"/>
    <w:rsid w:val="086F3CE9"/>
    <w:rsid w:val="086F3CFF"/>
    <w:rsid w:val="086F3DB1"/>
    <w:rsid w:val="086F3EF1"/>
    <w:rsid w:val="086F3F2A"/>
    <w:rsid w:val="086F3FAA"/>
    <w:rsid w:val="086F3FD4"/>
    <w:rsid w:val="086F3FE7"/>
    <w:rsid w:val="086F4029"/>
    <w:rsid w:val="086F403E"/>
    <w:rsid w:val="086F40B7"/>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8A"/>
    <w:rsid w:val="086F52B7"/>
    <w:rsid w:val="086F538A"/>
    <w:rsid w:val="086F53F5"/>
    <w:rsid w:val="086F5492"/>
    <w:rsid w:val="086F54EE"/>
    <w:rsid w:val="086F556C"/>
    <w:rsid w:val="086F557E"/>
    <w:rsid w:val="086F55A5"/>
    <w:rsid w:val="086F56B9"/>
    <w:rsid w:val="086F56C0"/>
    <w:rsid w:val="086F570A"/>
    <w:rsid w:val="086F5714"/>
    <w:rsid w:val="086F57CB"/>
    <w:rsid w:val="086F57E4"/>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0A"/>
    <w:rsid w:val="086F6415"/>
    <w:rsid w:val="086F64E7"/>
    <w:rsid w:val="086F65FB"/>
    <w:rsid w:val="086F6616"/>
    <w:rsid w:val="086F66F8"/>
    <w:rsid w:val="086F670B"/>
    <w:rsid w:val="086F672C"/>
    <w:rsid w:val="086F674B"/>
    <w:rsid w:val="086F678D"/>
    <w:rsid w:val="086F6895"/>
    <w:rsid w:val="086F6A97"/>
    <w:rsid w:val="086F6AF0"/>
    <w:rsid w:val="086F6B18"/>
    <w:rsid w:val="086F6BC2"/>
    <w:rsid w:val="086F6C0F"/>
    <w:rsid w:val="086F6C27"/>
    <w:rsid w:val="086F6C44"/>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BCC"/>
    <w:rsid w:val="086F7C45"/>
    <w:rsid w:val="086F7CAB"/>
    <w:rsid w:val="086F7CD7"/>
    <w:rsid w:val="086F7D25"/>
    <w:rsid w:val="086F7DCF"/>
    <w:rsid w:val="086F7E08"/>
    <w:rsid w:val="086F7ECF"/>
    <w:rsid w:val="086F7EF3"/>
    <w:rsid w:val="086F7F30"/>
    <w:rsid w:val="0870001A"/>
    <w:rsid w:val="0870007C"/>
    <w:rsid w:val="08700140"/>
    <w:rsid w:val="08700295"/>
    <w:rsid w:val="087002C6"/>
    <w:rsid w:val="087003B4"/>
    <w:rsid w:val="087003EA"/>
    <w:rsid w:val="08700408"/>
    <w:rsid w:val="08700429"/>
    <w:rsid w:val="08700431"/>
    <w:rsid w:val="0870043F"/>
    <w:rsid w:val="08700445"/>
    <w:rsid w:val="087004A4"/>
    <w:rsid w:val="087004E5"/>
    <w:rsid w:val="0870053F"/>
    <w:rsid w:val="08700555"/>
    <w:rsid w:val="087005F4"/>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0F"/>
    <w:rsid w:val="08701116"/>
    <w:rsid w:val="0870117B"/>
    <w:rsid w:val="087011DE"/>
    <w:rsid w:val="087011E7"/>
    <w:rsid w:val="08701317"/>
    <w:rsid w:val="08701338"/>
    <w:rsid w:val="0870146C"/>
    <w:rsid w:val="08701476"/>
    <w:rsid w:val="08701496"/>
    <w:rsid w:val="0870149C"/>
    <w:rsid w:val="087014E0"/>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59"/>
    <w:rsid w:val="08702B8F"/>
    <w:rsid w:val="08702B92"/>
    <w:rsid w:val="08702B9F"/>
    <w:rsid w:val="08702C8A"/>
    <w:rsid w:val="08702CBA"/>
    <w:rsid w:val="08702CE3"/>
    <w:rsid w:val="08702DD1"/>
    <w:rsid w:val="08702DF7"/>
    <w:rsid w:val="08702E66"/>
    <w:rsid w:val="08702EA0"/>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FA"/>
    <w:rsid w:val="08703848"/>
    <w:rsid w:val="087038F5"/>
    <w:rsid w:val="08703904"/>
    <w:rsid w:val="087039EB"/>
    <w:rsid w:val="08703A23"/>
    <w:rsid w:val="08703AD4"/>
    <w:rsid w:val="08703B92"/>
    <w:rsid w:val="08703BFB"/>
    <w:rsid w:val="08703C0F"/>
    <w:rsid w:val="08703C68"/>
    <w:rsid w:val="08703CC0"/>
    <w:rsid w:val="08703D3D"/>
    <w:rsid w:val="08703DE9"/>
    <w:rsid w:val="08703E5C"/>
    <w:rsid w:val="08703EA7"/>
    <w:rsid w:val="08703F6E"/>
    <w:rsid w:val="08704036"/>
    <w:rsid w:val="0870407D"/>
    <w:rsid w:val="087040E2"/>
    <w:rsid w:val="08704130"/>
    <w:rsid w:val="08704161"/>
    <w:rsid w:val="08704213"/>
    <w:rsid w:val="08704234"/>
    <w:rsid w:val="0870424A"/>
    <w:rsid w:val="087042EC"/>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BC"/>
    <w:rsid w:val="08704BE9"/>
    <w:rsid w:val="08704C33"/>
    <w:rsid w:val="08704C58"/>
    <w:rsid w:val="08704CF3"/>
    <w:rsid w:val="08704D0E"/>
    <w:rsid w:val="08704D68"/>
    <w:rsid w:val="08704D70"/>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7B"/>
    <w:rsid w:val="0870568D"/>
    <w:rsid w:val="087056C5"/>
    <w:rsid w:val="0870572E"/>
    <w:rsid w:val="08705791"/>
    <w:rsid w:val="087057DB"/>
    <w:rsid w:val="08705952"/>
    <w:rsid w:val="08705979"/>
    <w:rsid w:val="0870597D"/>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65"/>
    <w:rsid w:val="08706968"/>
    <w:rsid w:val="087069DA"/>
    <w:rsid w:val="08706A76"/>
    <w:rsid w:val="08706B78"/>
    <w:rsid w:val="08706BBE"/>
    <w:rsid w:val="08706BCB"/>
    <w:rsid w:val="08706CBC"/>
    <w:rsid w:val="08706D8F"/>
    <w:rsid w:val="08706DB4"/>
    <w:rsid w:val="08706DC0"/>
    <w:rsid w:val="08706E14"/>
    <w:rsid w:val="08706FBF"/>
    <w:rsid w:val="08706FCD"/>
    <w:rsid w:val="08707007"/>
    <w:rsid w:val="0870715E"/>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FF"/>
    <w:rsid w:val="0870790A"/>
    <w:rsid w:val="087079A4"/>
    <w:rsid w:val="087079AB"/>
    <w:rsid w:val="08707A24"/>
    <w:rsid w:val="08707A6F"/>
    <w:rsid w:val="08707A73"/>
    <w:rsid w:val="08707B8B"/>
    <w:rsid w:val="08707BF6"/>
    <w:rsid w:val="08707C09"/>
    <w:rsid w:val="08707C60"/>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3F3"/>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80"/>
    <w:rsid w:val="08710AA8"/>
    <w:rsid w:val="08710B05"/>
    <w:rsid w:val="08710B0E"/>
    <w:rsid w:val="08710B66"/>
    <w:rsid w:val="08710B9A"/>
    <w:rsid w:val="08710BB5"/>
    <w:rsid w:val="08710BC4"/>
    <w:rsid w:val="08710C0C"/>
    <w:rsid w:val="08710C3E"/>
    <w:rsid w:val="08710C56"/>
    <w:rsid w:val="08710CCD"/>
    <w:rsid w:val="08710D93"/>
    <w:rsid w:val="08710E04"/>
    <w:rsid w:val="08710E9A"/>
    <w:rsid w:val="08710F1C"/>
    <w:rsid w:val="08710F48"/>
    <w:rsid w:val="08710FC4"/>
    <w:rsid w:val="08710FE1"/>
    <w:rsid w:val="08711196"/>
    <w:rsid w:val="087111CB"/>
    <w:rsid w:val="08711230"/>
    <w:rsid w:val="08711280"/>
    <w:rsid w:val="08711303"/>
    <w:rsid w:val="0871134E"/>
    <w:rsid w:val="087113D7"/>
    <w:rsid w:val="08711442"/>
    <w:rsid w:val="0871155C"/>
    <w:rsid w:val="08711567"/>
    <w:rsid w:val="0871168E"/>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9AF"/>
    <w:rsid w:val="08712A73"/>
    <w:rsid w:val="08712ABF"/>
    <w:rsid w:val="08712B6A"/>
    <w:rsid w:val="08712C3E"/>
    <w:rsid w:val="08712DDA"/>
    <w:rsid w:val="08712E3A"/>
    <w:rsid w:val="08712E46"/>
    <w:rsid w:val="08712EBF"/>
    <w:rsid w:val="08712F8B"/>
    <w:rsid w:val="08713039"/>
    <w:rsid w:val="0871308A"/>
    <w:rsid w:val="087130E1"/>
    <w:rsid w:val="087131B5"/>
    <w:rsid w:val="087131FD"/>
    <w:rsid w:val="08713297"/>
    <w:rsid w:val="087132F3"/>
    <w:rsid w:val="087133AB"/>
    <w:rsid w:val="087133D7"/>
    <w:rsid w:val="08713408"/>
    <w:rsid w:val="08713438"/>
    <w:rsid w:val="0871343D"/>
    <w:rsid w:val="087134F8"/>
    <w:rsid w:val="0871355D"/>
    <w:rsid w:val="087135A7"/>
    <w:rsid w:val="087135AE"/>
    <w:rsid w:val="0871366A"/>
    <w:rsid w:val="08713672"/>
    <w:rsid w:val="08713714"/>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11E"/>
    <w:rsid w:val="08714134"/>
    <w:rsid w:val="08714135"/>
    <w:rsid w:val="08714168"/>
    <w:rsid w:val="08714191"/>
    <w:rsid w:val="087141E4"/>
    <w:rsid w:val="087143E4"/>
    <w:rsid w:val="08714481"/>
    <w:rsid w:val="087144AF"/>
    <w:rsid w:val="087144E4"/>
    <w:rsid w:val="08714579"/>
    <w:rsid w:val="08714597"/>
    <w:rsid w:val="0871463F"/>
    <w:rsid w:val="087146BB"/>
    <w:rsid w:val="087146C0"/>
    <w:rsid w:val="08714769"/>
    <w:rsid w:val="08714797"/>
    <w:rsid w:val="0871479E"/>
    <w:rsid w:val="0871491F"/>
    <w:rsid w:val="087149A8"/>
    <w:rsid w:val="08714A21"/>
    <w:rsid w:val="08714A6A"/>
    <w:rsid w:val="08714AD6"/>
    <w:rsid w:val="08714B06"/>
    <w:rsid w:val="08714B3E"/>
    <w:rsid w:val="08714BB2"/>
    <w:rsid w:val="08714BC4"/>
    <w:rsid w:val="08714BE6"/>
    <w:rsid w:val="08714C73"/>
    <w:rsid w:val="08714CF2"/>
    <w:rsid w:val="08714CF7"/>
    <w:rsid w:val="08714D4E"/>
    <w:rsid w:val="08714DB8"/>
    <w:rsid w:val="08714E42"/>
    <w:rsid w:val="08714EB7"/>
    <w:rsid w:val="087150C6"/>
    <w:rsid w:val="08715143"/>
    <w:rsid w:val="0871515C"/>
    <w:rsid w:val="08715183"/>
    <w:rsid w:val="087152DA"/>
    <w:rsid w:val="08715309"/>
    <w:rsid w:val="0871531A"/>
    <w:rsid w:val="0871533F"/>
    <w:rsid w:val="0871539F"/>
    <w:rsid w:val="08715406"/>
    <w:rsid w:val="0871544E"/>
    <w:rsid w:val="0871547D"/>
    <w:rsid w:val="08715498"/>
    <w:rsid w:val="08715506"/>
    <w:rsid w:val="0871550C"/>
    <w:rsid w:val="08715560"/>
    <w:rsid w:val="087155DF"/>
    <w:rsid w:val="087156CD"/>
    <w:rsid w:val="0871576F"/>
    <w:rsid w:val="087158C2"/>
    <w:rsid w:val="08715900"/>
    <w:rsid w:val="087159CB"/>
    <w:rsid w:val="087159D7"/>
    <w:rsid w:val="08715AD4"/>
    <w:rsid w:val="08715AEA"/>
    <w:rsid w:val="08715B3B"/>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2CF"/>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FA"/>
    <w:rsid w:val="08716C10"/>
    <w:rsid w:val="08716DA8"/>
    <w:rsid w:val="08716DCF"/>
    <w:rsid w:val="08716F46"/>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22"/>
    <w:rsid w:val="08717B4A"/>
    <w:rsid w:val="08717BB9"/>
    <w:rsid w:val="08717BCE"/>
    <w:rsid w:val="08717BD7"/>
    <w:rsid w:val="08717BE4"/>
    <w:rsid w:val="08717E23"/>
    <w:rsid w:val="08717EE6"/>
    <w:rsid w:val="08717EF5"/>
    <w:rsid w:val="08717F4A"/>
    <w:rsid w:val="08717F9F"/>
    <w:rsid w:val="08717FB2"/>
    <w:rsid w:val="08717FCD"/>
    <w:rsid w:val="08720092"/>
    <w:rsid w:val="087200AE"/>
    <w:rsid w:val="087200F7"/>
    <w:rsid w:val="08720156"/>
    <w:rsid w:val="0872019A"/>
    <w:rsid w:val="087201A8"/>
    <w:rsid w:val="087201D8"/>
    <w:rsid w:val="0872021E"/>
    <w:rsid w:val="08720273"/>
    <w:rsid w:val="087202A2"/>
    <w:rsid w:val="087202D9"/>
    <w:rsid w:val="0872034A"/>
    <w:rsid w:val="08720434"/>
    <w:rsid w:val="08720462"/>
    <w:rsid w:val="087206A0"/>
    <w:rsid w:val="087206D9"/>
    <w:rsid w:val="08720704"/>
    <w:rsid w:val="087207CB"/>
    <w:rsid w:val="087207D9"/>
    <w:rsid w:val="087207FC"/>
    <w:rsid w:val="087209B3"/>
    <w:rsid w:val="08720A00"/>
    <w:rsid w:val="08720A12"/>
    <w:rsid w:val="08720ADC"/>
    <w:rsid w:val="08720B4C"/>
    <w:rsid w:val="08720C3B"/>
    <w:rsid w:val="08720D75"/>
    <w:rsid w:val="08720DDF"/>
    <w:rsid w:val="08720EC1"/>
    <w:rsid w:val="08720EFA"/>
    <w:rsid w:val="08720EFC"/>
    <w:rsid w:val="08720F6B"/>
    <w:rsid w:val="08720F92"/>
    <w:rsid w:val="08720FAB"/>
    <w:rsid w:val="08720FF5"/>
    <w:rsid w:val="087210D2"/>
    <w:rsid w:val="0872114A"/>
    <w:rsid w:val="0872114F"/>
    <w:rsid w:val="08721155"/>
    <w:rsid w:val="08721166"/>
    <w:rsid w:val="0872117C"/>
    <w:rsid w:val="087211A4"/>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B8D"/>
    <w:rsid w:val="08721C4B"/>
    <w:rsid w:val="08721DC8"/>
    <w:rsid w:val="08721E84"/>
    <w:rsid w:val="08721E88"/>
    <w:rsid w:val="08721EA8"/>
    <w:rsid w:val="08721ED8"/>
    <w:rsid w:val="08721EE0"/>
    <w:rsid w:val="08721EEB"/>
    <w:rsid w:val="08721F82"/>
    <w:rsid w:val="08721FBE"/>
    <w:rsid w:val="08721FCA"/>
    <w:rsid w:val="08722156"/>
    <w:rsid w:val="0872235E"/>
    <w:rsid w:val="08722386"/>
    <w:rsid w:val="0872239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399"/>
    <w:rsid w:val="087234A0"/>
    <w:rsid w:val="08723536"/>
    <w:rsid w:val="087235AF"/>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65"/>
    <w:rsid w:val="08723C64"/>
    <w:rsid w:val="08723C93"/>
    <w:rsid w:val="08723D4C"/>
    <w:rsid w:val="08723DAD"/>
    <w:rsid w:val="08723E73"/>
    <w:rsid w:val="08723EC0"/>
    <w:rsid w:val="08723EF4"/>
    <w:rsid w:val="08723F61"/>
    <w:rsid w:val="08723F8E"/>
    <w:rsid w:val="0872400A"/>
    <w:rsid w:val="0872403D"/>
    <w:rsid w:val="087240C5"/>
    <w:rsid w:val="087240EE"/>
    <w:rsid w:val="087241C9"/>
    <w:rsid w:val="0872424F"/>
    <w:rsid w:val="08724283"/>
    <w:rsid w:val="087242D1"/>
    <w:rsid w:val="0872434D"/>
    <w:rsid w:val="087243B1"/>
    <w:rsid w:val="08724468"/>
    <w:rsid w:val="0872447E"/>
    <w:rsid w:val="087244B4"/>
    <w:rsid w:val="0872464C"/>
    <w:rsid w:val="08724681"/>
    <w:rsid w:val="087246B4"/>
    <w:rsid w:val="087246EE"/>
    <w:rsid w:val="08724701"/>
    <w:rsid w:val="0872479A"/>
    <w:rsid w:val="087247D1"/>
    <w:rsid w:val="0872481F"/>
    <w:rsid w:val="0872487A"/>
    <w:rsid w:val="087248A0"/>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BF"/>
    <w:rsid w:val="08726E42"/>
    <w:rsid w:val="08726E55"/>
    <w:rsid w:val="08726EFE"/>
    <w:rsid w:val="08726F95"/>
    <w:rsid w:val="08727050"/>
    <w:rsid w:val="08727078"/>
    <w:rsid w:val="087271A8"/>
    <w:rsid w:val="087271B2"/>
    <w:rsid w:val="087271BF"/>
    <w:rsid w:val="0872724E"/>
    <w:rsid w:val="08727251"/>
    <w:rsid w:val="087272B6"/>
    <w:rsid w:val="087272C0"/>
    <w:rsid w:val="087272D0"/>
    <w:rsid w:val="0872730A"/>
    <w:rsid w:val="08727343"/>
    <w:rsid w:val="08727362"/>
    <w:rsid w:val="087273CF"/>
    <w:rsid w:val="0872746E"/>
    <w:rsid w:val="08727554"/>
    <w:rsid w:val="08727592"/>
    <w:rsid w:val="08727651"/>
    <w:rsid w:val="087276B2"/>
    <w:rsid w:val="0872777D"/>
    <w:rsid w:val="08727862"/>
    <w:rsid w:val="0872795A"/>
    <w:rsid w:val="08727970"/>
    <w:rsid w:val="0872799A"/>
    <w:rsid w:val="087279A7"/>
    <w:rsid w:val="087279D5"/>
    <w:rsid w:val="08727A55"/>
    <w:rsid w:val="08727A57"/>
    <w:rsid w:val="08727AA7"/>
    <w:rsid w:val="08727B12"/>
    <w:rsid w:val="08727B2D"/>
    <w:rsid w:val="08727B76"/>
    <w:rsid w:val="08727BD6"/>
    <w:rsid w:val="08727C36"/>
    <w:rsid w:val="08727D03"/>
    <w:rsid w:val="08727D07"/>
    <w:rsid w:val="08727D5A"/>
    <w:rsid w:val="08727E17"/>
    <w:rsid w:val="08727ED7"/>
    <w:rsid w:val="08727EFD"/>
    <w:rsid w:val="08730108"/>
    <w:rsid w:val="087301F2"/>
    <w:rsid w:val="08730252"/>
    <w:rsid w:val="087302AC"/>
    <w:rsid w:val="087302BE"/>
    <w:rsid w:val="08730334"/>
    <w:rsid w:val="0873042F"/>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F5"/>
    <w:rsid w:val="08730F68"/>
    <w:rsid w:val="08731078"/>
    <w:rsid w:val="087310BD"/>
    <w:rsid w:val="087311A8"/>
    <w:rsid w:val="087311F0"/>
    <w:rsid w:val="08731227"/>
    <w:rsid w:val="08731257"/>
    <w:rsid w:val="087313C0"/>
    <w:rsid w:val="08731478"/>
    <w:rsid w:val="087315AC"/>
    <w:rsid w:val="087315D2"/>
    <w:rsid w:val="08731606"/>
    <w:rsid w:val="08731611"/>
    <w:rsid w:val="0873161B"/>
    <w:rsid w:val="087316DF"/>
    <w:rsid w:val="087317D7"/>
    <w:rsid w:val="08731845"/>
    <w:rsid w:val="0873186F"/>
    <w:rsid w:val="08731908"/>
    <w:rsid w:val="08731974"/>
    <w:rsid w:val="087319A1"/>
    <w:rsid w:val="08731A53"/>
    <w:rsid w:val="08731B90"/>
    <w:rsid w:val="08731C3D"/>
    <w:rsid w:val="08731D3E"/>
    <w:rsid w:val="08731D45"/>
    <w:rsid w:val="08731EC1"/>
    <w:rsid w:val="08732082"/>
    <w:rsid w:val="08732101"/>
    <w:rsid w:val="08732138"/>
    <w:rsid w:val="0873228B"/>
    <w:rsid w:val="087322F0"/>
    <w:rsid w:val="08732364"/>
    <w:rsid w:val="08732376"/>
    <w:rsid w:val="0873237E"/>
    <w:rsid w:val="08732381"/>
    <w:rsid w:val="08732440"/>
    <w:rsid w:val="0873248E"/>
    <w:rsid w:val="08732493"/>
    <w:rsid w:val="08732527"/>
    <w:rsid w:val="08732573"/>
    <w:rsid w:val="087326C9"/>
    <w:rsid w:val="08732834"/>
    <w:rsid w:val="08732894"/>
    <w:rsid w:val="0873289B"/>
    <w:rsid w:val="087328F3"/>
    <w:rsid w:val="08732910"/>
    <w:rsid w:val="087329DA"/>
    <w:rsid w:val="08732A76"/>
    <w:rsid w:val="08732B45"/>
    <w:rsid w:val="08732B96"/>
    <w:rsid w:val="08732B98"/>
    <w:rsid w:val="08732C93"/>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0"/>
    <w:rsid w:val="08733454"/>
    <w:rsid w:val="0873347C"/>
    <w:rsid w:val="087334BA"/>
    <w:rsid w:val="087334D5"/>
    <w:rsid w:val="08733529"/>
    <w:rsid w:val="0873358F"/>
    <w:rsid w:val="087335BA"/>
    <w:rsid w:val="08733619"/>
    <w:rsid w:val="08733651"/>
    <w:rsid w:val="08733665"/>
    <w:rsid w:val="087336CF"/>
    <w:rsid w:val="087336F8"/>
    <w:rsid w:val="0873370B"/>
    <w:rsid w:val="0873371E"/>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7"/>
    <w:rsid w:val="08734419"/>
    <w:rsid w:val="0873441F"/>
    <w:rsid w:val="0873444C"/>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A13"/>
    <w:rsid w:val="08734A67"/>
    <w:rsid w:val="08734B27"/>
    <w:rsid w:val="08734B35"/>
    <w:rsid w:val="08734B9D"/>
    <w:rsid w:val="08734BAD"/>
    <w:rsid w:val="08734BDB"/>
    <w:rsid w:val="08734C4C"/>
    <w:rsid w:val="08734CEF"/>
    <w:rsid w:val="08734D0E"/>
    <w:rsid w:val="08734D1B"/>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8B5"/>
    <w:rsid w:val="087359C1"/>
    <w:rsid w:val="08735A5D"/>
    <w:rsid w:val="08735AD1"/>
    <w:rsid w:val="08735BD6"/>
    <w:rsid w:val="08735C4E"/>
    <w:rsid w:val="08735C52"/>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7E"/>
    <w:rsid w:val="087367CD"/>
    <w:rsid w:val="087368B5"/>
    <w:rsid w:val="08736A21"/>
    <w:rsid w:val="08736A8A"/>
    <w:rsid w:val="08736ABD"/>
    <w:rsid w:val="08736B07"/>
    <w:rsid w:val="08736B5D"/>
    <w:rsid w:val="08736B60"/>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02"/>
    <w:rsid w:val="087378F8"/>
    <w:rsid w:val="08737924"/>
    <w:rsid w:val="08737941"/>
    <w:rsid w:val="0873796B"/>
    <w:rsid w:val="087379A1"/>
    <w:rsid w:val="087379BD"/>
    <w:rsid w:val="087379C7"/>
    <w:rsid w:val="08737A3A"/>
    <w:rsid w:val="08737A8A"/>
    <w:rsid w:val="08737AEB"/>
    <w:rsid w:val="08737B34"/>
    <w:rsid w:val="08737B98"/>
    <w:rsid w:val="08737BB6"/>
    <w:rsid w:val="08737BD0"/>
    <w:rsid w:val="08737BFF"/>
    <w:rsid w:val="08737C93"/>
    <w:rsid w:val="08737D20"/>
    <w:rsid w:val="08737D3B"/>
    <w:rsid w:val="08737D40"/>
    <w:rsid w:val="08737D5F"/>
    <w:rsid w:val="08737D8D"/>
    <w:rsid w:val="08737DD4"/>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8C"/>
    <w:rsid w:val="08740BB3"/>
    <w:rsid w:val="08740BBA"/>
    <w:rsid w:val="08740CDB"/>
    <w:rsid w:val="08740D10"/>
    <w:rsid w:val="08740D67"/>
    <w:rsid w:val="08740E5F"/>
    <w:rsid w:val="08740E62"/>
    <w:rsid w:val="08740EB3"/>
    <w:rsid w:val="087410F8"/>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854"/>
    <w:rsid w:val="087418F2"/>
    <w:rsid w:val="08741901"/>
    <w:rsid w:val="08741984"/>
    <w:rsid w:val="08741996"/>
    <w:rsid w:val="08741A2F"/>
    <w:rsid w:val="08741A4E"/>
    <w:rsid w:val="08741A64"/>
    <w:rsid w:val="08741AE5"/>
    <w:rsid w:val="08741B95"/>
    <w:rsid w:val="08741BB4"/>
    <w:rsid w:val="08741C03"/>
    <w:rsid w:val="08741C19"/>
    <w:rsid w:val="08741D08"/>
    <w:rsid w:val="08741D7E"/>
    <w:rsid w:val="08741EE2"/>
    <w:rsid w:val="08741EF0"/>
    <w:rsid w:val="08741F37"/>
    <w:rsid w:val="08741F52"/>
    <w:rsid w:val="08741F9D"/>
    <w:rsid w:val="08741FC9"/>
    <w:rsid w:val="08741FCA"/>
    <w:rsid w:val="08742049"/>
    <w:rsid w:val="08742052"/>
    <w:rsid w:val="08742094"/>
    <w:rsid w:val="087420A0"/>
    <w:rsid w:val="087421D7"/>
    <w:rsid w:val="08742221"/>
    <w:rsid w:val="087422D2"/>
    <w:rsid w:val="087422DF"/>
    <w:rsid w:val="08742370"/>
    <w:rsid w:val="087424A5"/>
    <w:rsid w:val="08742534"/>
    <w:rsid w:val="087425B2"/>
    <w:rsid w:val="087425BC"/>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DDF"/>
    <w:rsid w:val="08742E93"/>
    <w:rsid w:val="08742F4A"/>
    <w:rsid w:val="08742FB3"/>
    <w:rsid w:val="0874307B"/>
    <w:rsid w:val="0874307F"/>
    <w:rsid w:val="087430BB"/>
    <w:rsid w:val="087430C4"/>
    <w:rsid w:val="08743287"/>
    <w:rsid w:val="087432E9"/>
    <w:rsid w:val="087433E7"/>
    <w:rsid w:val="08743417"/>
    <w:rsid w:val="087434AB"/>
    <w:rsid w:val="087434E7"/>
    <w:rsid w:val="087436E6"/>
    <w:rsid w:val="087436EA"/>
    <w:rsid w:val="08743735"/>
    <w:rsid w:val="08743797"/>
    <w:rsid w:val="0874384C"/>
    <w:rsid w:val="0874385E"/>
    <w:rsid w:val="08743884"/>
    <w:rsid w:val="087438FB"/>
    <w:rsid w:val="08743A4C"/>
    <w:rsid w:val="08743AE7"/>
    <w:rsid w:val="08743AEE"/>
    <w:rsid w:val="08743B51"/>
    <w:rsid w:val="08743BDD"/>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3E0"/>
    <w:rsid w:val="08744429"/>
    <w:rsid w:val="08744437"/>
    <w:rsid w:val="087444F4"/>
    <w:rsid w:val="08744519"/>
    <w:rsid w:val="08744643"/>
    <w:rsid w:val="0874467C"/>
    <w:rsid w:val="087446A5"/>
    <w:rsid w:val="0874470C"/>
    <w:rsid w:val="087447B8"/>
    <w:rsid w:val="08744890"/>
    <w:rsid w:val="087448BA"/>
    <w:rsid w:val="08744921"/>
    <w:rsid w:val="08744937"/>
    <w:rsid w:val="0874493F"/>
    <w:rsid w:val="08744949"/>
    <w:rsid w:val="08744A18"/>
    <w:rsid w:val="08744A26"/>
    <w:rsid w:val="08744ADB"/>
    <w:rsid w:val="08744C08"/>
    <w:rsid w:val="08744CBC"/>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371"/>
    <w:rsid w:val="087455B8"/>
    <w:rsid w:val="087455F9"/>
    <w:rsid w:val="08745639"/>
    <w:rsid w:val="0874563C"/>
    <w:rsid w:val="08745709"/>
    <w:rsid w:val="0874572C"/>
    <w:rsid w:val="0874581B"/>
    <w:rsid w:val="08745861"/>
    <w:rsid w:val="087458C5"/>
    <w:rsid w:val="08745A1F"/>
    <w:rsid w:val="08745A3E"/>
    <w:rsid w:val="08745A6C"/>
    <w:rsid w:val="08745AA3"/>
    <w:rsid w:val="08745AEC"/>
    <w:rsid w:val="08745BD4"/>
    <w:rsid w:val="08745D3F"/>
    <w:rsid w:val="08745D4F"/>
    <w:rsid w:val="08745DDF"/>
    <w:rsid w:val="08745E11"/>
    <w:rsid w:val="08745E56"/>
    <w:rsid w:val="08745EBC"/>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77"/>
    <w:rsid w:val="08746AA6"/>
    <w:rsid w:val="08746AD5"/>
    <w:rsid w:val="08746AE6"/>
    <w:rsid w:val="08746B20"/>
    <w:rsid w:val="08746B85"/>
    <w:rsid w:val="08746B86"/>
    <w:rsid w:val="08746BB9"/>
    <w:rsid w:val="08746C2A"/>
    <w:rsid w:val="08746C74"/>
    <w:rsid w:val="08746CFB"/>
    <w:rsid w:val="08746D66"/>
    <w:rsid w:val="08746D8E"/>
    <w:rsid w:val="08746DB4"/>
    <w:rsid w:val="08746DD6"/>
    <w:rsid w:val="08746DFB"/>
    <w:rsid w:val="08746DFC"/>
    <w:rsid w:val="08746E11"/>
    <w:rsid w:val="08746E99"/>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6D2"/>
    <w:rsid w:val="08747719"/>
    <w:rsid w:val="087477F3"/>
    <w:rsid w:val="08747897"/>
    <w:rsid w:val="08747926"/>
    <w:rsid w:val="0874799C"/>
    <w:rsid w:val="087479BE"/>
    <w:rsid w:val="08747A41"/>
    <w:rsid w:val="08747AB0"/>
    <w:rsid w:val="08747ABE"/>
    <w:rsid w:val="08747AFC"/>
    <w:rsid w:val="08747B38"/>
    <w:rsid w:val="08747BBB"/>
    <w:rsid w:val="08747BDB"/>
    <w:rsid w:val="08747CA3"/>
    <w:rsid w:val="08747D61"/>
    <w:rsid w:val="08747E2D"/>
    <w:rsid w:val="08747E4D"/>
    <w:rsid w:val="08747ECD"/>
    <w:rsid w:val="08747F69"/>
    <w:rsid w:val="08747F8D"/>
    <w:rsid w:val="0875001F"/>
    <w:rsid w:val="08750021"/>
    <w:rsid w:val="08750099"/>
    <w:rsid w:val="087500B4"/>
    <w:rsid w:val="087501CD"/>
    <w:rsid w:val="08750296"/>
    <w:rsid w:val="087502BC"/>
    <w:rsid w:val="087502E1"/>
    <w:rsid w:val="087502E6"/>
    <w:rsid w:val="08750371"/>
    <w:rsid w:val="0875037F"/>
    <w:rsid w:val="087503B6"/>
    <w:rsid w:val="0875041A"/>
    <w:rsid w:val="08750424"/>
    <w:rsid w:val="08750498"/>
    <w:rsid w:val="087504AD"/>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C12"/>
    <w:rsid w:val="08750C5F"/>
    <w:rsid w:val="08750C65"/>
    <w:rsid w:val="08750D0C"/>
    <w:rsid w:val="08750E0B"/>
    <w:rsid w:val="08750F24"/>
    <w:rsid w:val="08750F29"/>
    <w:rsid w:val="08751021"/>
    <w:rsid w:val="0875102D"/>
    <w:rsid w:val="0875102E"/>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0A"/>
    <w:rsid w:val="08751917"/>
    <w:rsid w:val="08751964"/>
    <w:rsid w:val="087519F7"/>
    <w:rsid w:val="08751A73"/>
    <w:rsid w:val="08751B0A"/>
    <w:rsid w:val="08751B43"/>
    <w:rsid w:val="08751B4B"/>
    <w:rsid w:val="08751B56"/>
    <w:rsid w:val="08751BE9"/>
    <w:rsid w:val="08751C53"/>
    <w:rsid w:val="08751D79"/>
    <w:rsid w:val="08751DA1"/>
    <w:rsid w:val="08751EEA"/>
    <w:rsid w:val="08751F94"/>
    <w:rsid w:val="08751FE6"/>
    <w:rsid w:val="08751FEF"/>
    <w:rsid w:val="08752037"/>
    <w:rsid w:val="0875215C"/>
    <w:rsid w:val="087521D1"/>
    <w:rsid w:val="0875226B"/>
    <w:rsid w:val="087522A3"/>
    <w:rsid w:val="0875234A"/>
    <w:rsid w:val="08752393"/>
    <w:rsid w:val="087523C4"/>
    <w:rsid w:val="0875250C"/>
    <w:rsid w:val="08752558"/>
    <w:rsid w:val="087526DD"/>
    <w:rsid w:val="087526EF"/>
    <w:rsid w:val="08752739"/>
    <w:rsid w:val="08752753"/>
    <w:rsid w:val="08752799"/>
    <w:rsid w:val="087527D8"/>
    <w:rsid w:val="08752834"/>
    <w:rsid w:val="08752855"/>
    <w:rsid w:val="0875286F"/>
    <w:rsid w:val="087528A2"/>
    <w:rsid w:val="087528DE"/>
    <w:rsid w:val="08752975"/>
    <w:rsid w:val="08752AA6"/>
    <w:rsid w:val="08752B5D"/>
    <w:rsid w:val="08752C0C"/>
    <w:rsid w:val="08752C0F"/>
    <w:rsid w:val="08752C85"/>
    <w:rsid w:val="08752C91"/>
    <w:rsid w:val="08752CB6"/>
    <w:rsid w:val="08752CE6"/>
    <w:rsid w:val="08752D0B"/>
    <w:rsid w:val="08752DA9"/>
    <w:rsid w:val="08752DC9"/>
    <w:rsid w:val="08752E14"/>
    <w:rsid w:val="08752E86"/>
    <w:rsid w:val="08752ECF"/>
    <w:rsid w:val="08752F2B"/>
    <w:rsid w:val="08752F53"/>
    <w:rsid w:val="08753027"/>
    <w:rsid w:val="08753065"/>
    <w:rsid w:val="08753079"/>
    <w:rsid w:val="08753140"/>
    <w:rsid w:val="087531BB"/>
    <w:rsid w:val="08753242"/>
    <w:rsid w:val="08753256"/>
    <w:rsid w:val="087532DF"/>
    <w:rsid w:val="08753453"/>
    <w:rsid w:val="08753487"/>
    <w:rsid w:val="08753492"/>
    <w:rsid w:val="087534A5"/>
    <w:rsid w:val="087534FD"/>
    <w:rsid w:val="0875351E"/>
    <w:rsid w:val="0875356A"/>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43"/>
    <w:rsid w:val="087541AD"/>
    <w:rsid w:val="087541D0"/>
    <w:rsid w:val="087542F1"/>
    <w:rsid w:val="08754306"/>
    <w:rsid w:val="0875444F"/>
    <w:rsid w:val="08754530"/>
    <w:rsid w:val="08754538"/>
    <w:rsid w:val="0875456A"/>
    <w:rsid w:val="087545F4"/>
    <w:rsid w:val="087547F4"/>
    <w:rsid w:val="0875481D"/>
    <w:rsid w:val="08754855"/>
    <w:rsid w:val="0875487C"/>
    <w:rsid w:val="087548E5"/>
    <w:rsid w:val="087548EF"/>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EC"/>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0"/>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86"/>
    <w:rsid w:val="08756C03"/>
    <w:rsid w:val="08756C2B"/>
    <w:rsid w:val="08756C55"/>
    <w:rsid w:val="08756C5C"/>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B1"/>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93"/>
    <w:rsid w:val="087577B8"/>
    <w:rsid w:val="087577BD"/>
    <w:rsid w:val="087577DE"/>
    <w:rsid w:val="087577E2"/>
    <w:rsid w:val="087577F2"/>
    <w:rsid w:val="08757907"/>
    <w:rsid w:val="0875793E"/>
    <w:rsid w:val="087579FC"/>
    <w:rsid w:val="08757A6C"/>
    <w:rsid w:val="08757AF9"/>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E"/>
    <w:rsid w:val="08757EDC"/>
    <w:rsid w:val="08757F11"/>
    <w:rsid w:val="08760068"/>
    <w:rsid w:val="08760095"/>
    <w:rsid w:val="087600D7"/>
    <w:rsid w:val="0876012B"/>
    <w:rsid w:val="087601B1"/>
    <w:rsid w:val="08760258"/>
    <w:rsid w:val="08760261"/>
    <w:rsid w:val="087602EE"/>
    <w:rsid w:val="08760321"/>
    <w:rsid w:val="08760377"/>
    <w:rsid w:val="087603CB"/>
    <w:rsid w:val="08760432"/>
    <w:rsid w:val="087604A3"/>
    <w:rsid w:val="087604C0"/>
    <w:rsid w:val="087604E7"/>
    <w:rsid w:val="08760505"/>
    <w:rsid w:val="08760598"/>
    <w:rsid w:val="087605AC"/>
    <w:rsid w:val="087605D3"/>
    <w:rsid w:val="0876063F"/>
    <w:rsid w:val="08760689"/>
    <w:rsid w:val="087606B7"/>
    <w:rsid w:val="087606E3"/>
    <w:rsid w:val="08760899"/>
    <w:rsid w:val="08760971"/>
    <w:rsid w:val="087609D7"/>
    <w:rsid w:val="087609E0"/>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22"/>
    <w:rsid w:val="08761E42"/>
    <w:rsid w:val="08761E6A"/>
    <w:rsid w:val="08761E6F"/>
    <w:rsid w:val="08761E8D"/>
    <w:rsid w:val="0876206D"/>
    <w:rsid w:val="087620EF"/>
    <w:rsid w:val="08762184"/>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77"/>
    <w:rsid w:val="08762CF6"/>
    <w:rsid w:val="08762CF9"/>
    <w:rsid w:val="08762CFC"/>
    <w:rsid w:val="08762D48"/>
    <w:rsid w:val="08762D76"/>
    <w:rsid w:val="08762DB1"/>
    <w:rsid w:val="08762E26"/>
    <w:rsid w:val="08762E57"/>
    <w:rsid w:val="08762E60"/>
    <w:rsid w:val="08762F9B"/>
    <w:rsid w:val="08762F9C"/>
    <w:rsid w:val="08762F9D"/>
    <w:rsid w:val="0876301F"/>
    <w:rsid w:val="087630C9"/>
    <w:rsid w:val="087630DC"/>
    <w:rsid w:val="08763133"/>
    <w:rsid w:val="0876313D"/>
    <w:rsid w:val="087631AF"/>
    <w:rsid w:val="087632B0"/>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AD"/>
    <w:rsid w:val="087642BF"/>
    <w:rsid w:val="087642E4"/>
    <w:rsid w:val="0876435E"/>
    <w:rsid w:val="087643D2"/>
    <w:rsid w:val="0876453B"/>
    <w:rsid w:val="087645B6"/>
    <w:rsid w:val="08764658"/>
    <w:rsid w:val="0876467D"/>
    <w:rsid w:val="087647A0"/>
    <w:rsid w:val="087647D2"/>
    <w:rsid w:val="08764AAE"/>
    <w:rsid w:val="08764AB2"/>
    <w:rsid w:val="08764B01"/>
    <w:rsid w:val="08764B19"/>
    <w:rsid w:val="08764BD4"/>
    <w:rsid w:val="08764BF5"/>
    <w:rsid w:val="08764C37"/>
    <w:rsid w:val="08764CAC"/>
    <w:rsid w:val="08764CFD"/>
    <w:rsid w:val="08764DFD"/>
    <w:rsid w:val="08764E1C"/>
    <w:rsid w:val="08764F46"/>
    <w:rsid w:val="08764F84"/>
    <w:rsid w:val="08764F8F"/>
    <w:rsid w:val="08764FA3"/>
    <w:rsid w:val="08764FA4"/>
    <w:rsid w:val="08765090"/>
    <w:rsid w:val="087650EA"/>
    <w:rsid w:val="0876515E"/>
    <w:rsid w:val="0876519E"/>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9AC"/>
    <w:rsid w:val="08765AC2"/>
    <w:rsid w:val="08765AE9"/>
    <w:rsid w:val="08765BCC"/>
    <w:rsid w:val="08765BED"/>
    <w:rsid w:val="08765BFE"/>
    <w:rsid w:val="08765C4C"/>
    <w:rsid w:val="08765CB7"/>
    <w:rsid w:val="08765CEF"/>
    <w:rsid w:val="08765D2F"/>
    <w:rsid w:val="08765D94"/>
    <w:rsid w:val="08765DC1"/>
    <w:rsid w:val="08765E37"/>
    <w:rsid w:val="08765E8B"/>
    <w:rsid w:val="08765F1A"/>
    <w:rsid w:val="08765F1C"/>
    <w:rsid w:val="08765F40"/>
    <w:rsid w:val="08766028"/>
    <w:rsid w:val="0876604F"/>
    <w:rsid w:val="0876617D"/>
    <w:rsid w:val="087661FE"/>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C11"/>
    <w:rsid w:val="08766C20"/>
    <w:rsid w:val="08766C70"/>
    <w:rsid w:val="08766DAA"/>
    <w:rsid w:val="08766DFE"/>
    <w:rsid w:val="08766F22"/>
    <w:rsid w:val="08766F48"/>
    <w:rsid w:val="087671E5"/>
    <w:rsid w:val="087673C2"/>
    <w:rsid w:val="0876743F"/>
    <w:rsid w:val="0876752F"/>
    <w:rsid w:val="087675BC"/>
    <w:rsid w:val="0876762A"/>
    <w:rsid w:val="08767631"/>
    <w:rsid w:val="08767633"/>
    <w:rsid w:val="087676BB"/>
    <w:rsid w:val="087676F9"/>
    <w:rsid w:val="087676FD"/>
    <w:rsid w:val="08767745"/>
    <w:rsid w:val="087677EF"/>
    <w:rsid w:val="08767900"/>
    <w:rsid w:val="08767946"/>
    <w:rsid w:val="08767964"/>
    <w:rsid w:val="087679D4"/>
    <w:rsid w:val="087679EF"/>
    <w:rsid w:val="08767A1D"/>
    <w:rsid w:val="08767AB9"/>
    <w:rsid w:val="08767AE6"/>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4F4"/>
    <w:rsid w:val="0877054F"/>
    <w:rsid w:val="08770553"/>
    <w:rsid w:val="087705A8"/>
    <w:rsid w:val="087705CA"/>
    <w:rsid w:val="087705FC"/>
    <w:rsid w:val="087706A6"/>
    <w:rsid w:val="08770748"/>
    <w:rsid w:val="08770819"/>
    <w:rsid w:val="08770823"/>
    <w:rsid w:val="08770829"/>
    <w:rsid w:val="08770864"/>
    <w:rsid w:val="0877099E"/>
    <w:rsid w:val="087709A9"/>
    <w:rsid w:val="087709C7"/>
    <w:rsid w:val="087709EC"/>
    <w:rsid w:val="087709F0"/>
    <w:rsid w:val="08770A71"/>
    <w:rsid w:val="08770AA3"/>
    <w:rsid w:val="08770ABD"/>
    <w:rsid w:val="08770AD8"/>
    <w:rsid w:val="08770B2E"/>
    <w:rsid w:val="08770B88"/>
    <w:rsid w:val="08770C3D"/>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40"/>
    <w:rsid w:val="0877155E"/>
    <w:rsid w:val="08771598"/>
    <w:rsid w:val="0877170E"/>
    <w:rsid w:val="087717E1"/>
    <w:rsid w:val="087717F3"/>
    <w:rsid w:val="087718D7"/>
    <w:rsid w:val="0877191E"/>
    <w:rsid w:val="087719CA"/>
    <w:rsid w:val="08771A2D"/>
    <w:rsid w:val="08771B7D"/>
    <w:rsid w:val="08771BD0"/>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2A"/>
    <w:rsid w:val="08772235"/>
    <w:rsid w:val="0877227D"/>
    <w:rsid w:val="087722C7"/>
    <w:rsid w:val="087724AC"/>
    <w:rsid w:val="087724B7"/>
    <w:rsid w:val="087724DA"/>
    <w:rsid w:val="0877252B"/>
    <w:rsid w:val="08772542"/>
    <w:rsid w:val="087725C6"/>
    <w:rsid w:val="087725C8"/>
    <w:rsid w:val="087726A5"/>
    <w:rsid w:val="0877273A"/>
    <w:rsid w:val="08772783"/>
    <w:rsid w:val="087727B8"/>
    <w:rsid w:val="08772809"/>
    <w:rsid w:val="08772833"/>
    <w:rsid w:val="08772A2F"/>
    <w:rsid w:val="08772A50"/>
    <w:rsid w:val="08772BA3"/>
    <w:rsid w:val="08772BBF"/>
    <w:rsid w:val="08772BE0"/>
    <w:rsid w:val="08772CC4"/>
    <w:rsid w:val="08772CC8"/>
    <w:rsid w:val="08772D9F"/>
    <w:rsid w:val="08772DDC"/>
    <w:rsid w:val="08772EFF"/>
    <w:rsid w:val="08772F52"/>
    <w:rsid w:val="08772F8D"/>
    <w:rsid w:val="08772FA4"/>
    <w:rsid w:val="08772FBD"/>
    <w:rsid w:val="08773021"/>
    <w:rsid w:val="0877306E"/>
    <w:rsid w:val="0877308D"/>
    <w:rsid w:val="087730DE"/>
    <w:rsid w:val="087730E4"/>
    <w:rsid w:val="0877356C"/>
    <w:rsid w:val="08773596"/>
    <w:rsid w:val="087735C1"/>
    <w:rsid w:val="08773604"/>
    <w:rsid w:val="0877361A"/>
    <w:rsid w:val="0877369A"/>
    <w:rsid w:val="08773721"/>
    <w:rsid w:val="087737CB"/>
    <w:rsid w:val="087737E1"/>
    <w:rsid w:val="08773952"/>
    <w:rsid w:val="087739A0"/>
    <w:rsid w:val="08773A16"/>
    <w:rsid w:val="08773A3E"/>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0A"/>
    <w:rsid w:val="0877482A"/>
    <w:rsid w:val="08774871"/>
    <w:rsid w:val="087748E3"/>
    <w:rsid w:val="08774954"/>
    <w:rsid w:val="087749BF"/>
    <w:rsid w:val="08774A3D"/>
    <w:rsid w:val="08774A79"/>
    <w:rsid w:val="08774B02"/>
    <w:rsid w:val="08774B10"/>
    <w:rsid w:val="08774BA4"/>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0"/>
    <w:rsid w:val="0877561B"/>
    <w:rsid w:val="087756DC"/>
    <w:rsid w:val="08775717"/>
    <w:rsid w:val="08775720"/>
    <w:rsid w:val="08775747"/>
    <w:rsid w:val="0877578D"/>
    <w:rsid w:val="087757AF"/>
    <w:rsid w:val="0877584C"/>
    <w:rsid w:val="08775875"/>
    <w:rsid w:val="08775876"/>
    <w:rsid w:val="08775891"/>
    <w:rsid w:val="087759C5"/>
    <w:rsid w:val="08775A10"/>
    <w:rsid w:val="08775A66"/>
    <w:rsid w:val="08775CF4"/>
    <w:rsid w:val="08775E63"/>
    <w:rsid w:val="08775EEB"/>
    <w:rsid w:val="08775F5C"/>
    <w:rsid w:val="08776175"/>
    <w:rsid w:val="08776199"/>
    <w:rsid w:val="0877630E"/>
    <w:rsid w:val="087763F8"/>
    <w:rsid w:val="08776461"/>
    <w:rsid w:val="08776477"/>
    <w:rsid w:val="08776494"/>
    <w:rsid w:val="08776562"/>
    <w:rsid w:val="087765A9"/>
    <w:rsid w:val="087765AC"/>
    <w:rsid w:val="08776607"/>
    <w:rsid w:val="08776614"/>
    <w:rsid w:val="0877663E"/>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70"/>
    <w:rsid w:val="087770B9"/>
    <w:rsid w:val="087770BE"/>
    <w:rsid w:val="087770DF"/>
    <w:rsid w:val="08777181"/>
    <w:rsid w:val="08777187"/>
    <w:rsid w:val="087771E0"/>
    <w:rsid w:val="087771E3"/>
    <w:rsid w:val="08777228"/>
    <w:rsid w:val="08777340"/>
    <w:rsid w:val="087773C8"/>
    <w:rsid w:val="0877745E"/>
    <w:rsid w:val="087774C3"/>
    <w:rsid w:val="08777528"/>
    <w:rsid w:val="08777671"/>
    <w:rsid w:val="087776FA"/>
    <w:rsid w:val="087777C6"/>
    <w:rsid w:val="087777EA"/>
    <w:rsid w:val="08777825"/>
    <w:rsid w:val="08777866"/>
    <w:rsid w:val="087778BE"/>
    <w:rsid w:val="08777936"/>
    <w:rsid w:val="087779DC"/>
    <w:rsid w:val="08777A6B"/>
    <w:rsid w:val="08777A9D"/>
    <w:rsid w:val="08777B20"/>
    <w:rsid w:val="08777B2C"/>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0A5"/>
    <w:rsid w:val="0878010A"/>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782"/>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1E"/>
    <w:rsid w:val="08781D27"/>
    <w:rsid w:val="08781D6D"/>
    <w:rsid w:val="08781D77"/>
    <w:rsid w:val="08781E29"/>
    <w:rsid w:val="08781E3A"/>
    <w:rsid w:val="08781E5F"/>
    <w:rsid w:val="08781E73"/>
    <w:rsid w:val="08781E9F"/>
    <w:rsid w:val="08781F01"/>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D8"/>
    <w:rsid w:val="087822FF"/>
    <w:rsid w:val="0878238C"/>
    <w:rsid w:val="0878242C"/>
    <w:rsid w:val="08782471"/>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D5"/>
    <w:rsid w:val="087834DA"/>
    <w:rsid w:val="087835A1"/>
    <w:rsid w:val="087835BA"/>
    <w:rsid w:val="08783675"/>
    <w:rsid w:val="087836AB"/>
    <w:rsid w:val="087836EA"/>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ADF"/>
    <w:rsid w:val="08783B01"/>
    <w:rsid w:val="08783B04"/>
    <w:rsid w:val="08783C3A"/>
    <w:rsid w:val="08783D30"/>
    <w:rsid w:val="08783D5E"/>
    <w:rsid w:val="08783D97"/>
    <w:rsid w:val="08783DC6"/>
    <w:rsid w:val="08783E3E"/>
    <w:rsid w:val="08783F1A"/>
    <w:rsid w:val="08783F4C"/>
    <w:rsid w:val="08783F68"/>
    <w:rsid w:val="08784185"/>
    <w:rsid w:val="0878418E"/>
    <w:rsid w:val="08784223"/>
    <w:rsid w:val="0878429A"/>
    <w:rsid w:val="0878429E"/>
    <w:rsid w:val="087842EA"/>
    <w:rsid w:val="0878433B"/>
    <w:rsid w:val="0878437A"/>
    <w:rsid w:val="08784380"/>
    <w:rsid w:val="087843CC"/>
    <w:rsid w:val="08784418"/>
    <w:rsid w:val="08784437"/>
    <w:rsid w:val="08784444"/>
    <w:rsid w:val="08784506"/>
    <w:rsid w:val="087845ED"/>
    <w:rsid w:val="08784631"/>
    <w:rsid w:val="087846C9"/>
    <w:rsid w:val="087847A3"/>
    <w:rsid w:val="0878483B"/>
    <w:rsid w:val="08784875"/>
    <w:rsid w:val="087848AF"/>
    <w:rsid w:val="08784995"/>
    <w:rsid w:val="08784A61"/>
    <w:rsid w:val="08784A77"/>
    <w:rsid w:val="08784A9A"/>
    <w:rsid w:val="08784AAC"/>
    <w:rsid w:val="08784AF3"/>
    <w:rsid w:val="08784B14"/>
    <w:rsid w:val="08784B5F"/>
    <w:rsid w:val="08784BC4"/>
    <w:rsid w:val="08784BD5"/>
    <w:rsid w:val="08784BF4"/>
    <w:rsid w:val="08784C0A"/>
    <w:rsid w:val="08784C12"/>
    <w:rsid w:val="08784CFC"/>
    <w:rsid w:val="08784D44"/>
    <w:rsid w:val="08784DCD"/>
    <w:rsid w:val="08784F7E"/>
    <w:rsid w:val="0878502D"/>
    <w:rsid w:val="08785090"/>
    <w:rsid w:val="08785097"/>
    <w:rsid w:val="08785106"/>
    <w:rsid w:val="08785125"/>
    <w:rsid w:val="0878512D"/>
    <w:rsid w:val="0878516E"/>
    <w:rsid w:val="08785279"/>
    <w:rsid w:val="0878529B"/>
    <w:rsid w:val="08785340"/>
    <w:rsid w:val="0878536A"/>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BE0"/>
    <w:rsid w:val="08785C7C"/>
    <w:rsid w:val="08785CA9"/>
    <w:rsid w:val="08785CBE"/>
    <w:rsid w:val="08785CC4"/>
    <w:rsid w:val="08785DDF"/>
    <w:rsid w:val="08785E59"/>
    <w:rsid w:val="087862E2"/>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972"/>
    <w:rsid w:val="08786975"/>
    <w:rsid w:val="087869F9"/>
    <w:rsid w:val="08786A61"/>
    <w:rsid w:val="08786AB9"/>
    <w:rsid w:val="08786B57"/>
    <w:rsid w:val="08786BBD"/>
    <w:rsid w:val="08786BDB"/>
    <w:rsid w:val="08786C15"/>
    <w:rsid w:val="08786C21"/>
    <w:rsid w:val="08786C23"/>
    <w:rsid w:val="08786C2C"/>
    <w:rsid w:val="08786C71"/>
    <w:rsid w:val="08786CA4"/>
    <w:rsid w:val="08786CC5"/>
    <w:rsid w:val="08786D09"/>
    <w:rsid w:val="08786D56"/>
    <w:rsid w:val="08786EF0"/>
    <w:rsid w:val="08786FA7"/>
    <w:rsid w:val="087870C4"/>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A5"/>
    <w:rsid w:val="087879C4"/>
    <w:rsid w:val="087879E3"/>
    <w:rsid w:val="087879F5"/>
    <w:rsid w:val="08787A0A"/>
    <w:rsid w:val="08787A53"/>
    <w:rsid w:val="08787A5D"/>
    <w:rsid w:val="08787A61"/>
    <w:rsid w:val="08787B78"/>
    <w:rsid w:val="08787BBD"/>
    <w:rsid w:val="08787C12"/>
    <w:rsid w:val="08787C64"/>
    <w:rsid w:val="08787D11"/>
    <w:rsid w:val="08787D21"/>
    <w:rsid w:val="08787D91"/>
    <w:rsid w:val="08787ECE"/>
    <w:rsid w:val="08787F39"/>
    <w:rsid w:val="08790023"/>
    <w:rsid w:val="08790094"/>
    <w:rsid w:val="087900BD"/>
    <w:rsid w:val="087901D7"/>
    <w:rsid w:val="0879028E"/>
    <w:rsid w:val="08790340"/>
    <w:rsid w:val="087904BE"/>
    <w:rsid w:val="087904C8"/>
    <w:rsid w:val="08790599"/>
    <w:rsid w:val="08790795"/>
    <w:rsid w:val="0879082F"/>
    <w:rsid w:val="08790884"/>
    <w:rsid w:val="087908DE"/>
    <w:rsid w:val="087908FC"/>
    <w:rsid w:val="08790939"/>
    <w:rsid w:val="08790994"/>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E6"/>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A5"/>
    <w:rsid w:val="087920D5"/>
    <w:rsid w:val="0879211F"/>
    <w:rsid w:val="08792141"/>
    <w:rsid w:val="087921E7"/>
    <w:rsid w:val="087922CF"/>
    <w:rsid w:val="087923A6"/>
    <w:rsid w:val="08792487"/>
    <w:rsid w:val="0879248B"/>
    <w:rsid w:val="087924F1"/>
    <w:rsid w:val="0879266C"/>
    <w:rsid w:val="08792681"/>
    <w:rsid w:val="08792770"/>
    <w:rsid w:val="08792835"/>
    <w:rsid w:val="087928C8"/>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CA3"/>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13"/>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BD"/>
    <w:rsid w:val="087949C0"/>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423"/>
    <w:rsid w:val="08795513"/>
    <w:rsid w:val="087955D3"/>
    <w:rsid w:val="08795663"/>
    <w:rsid w:val="08795679"/>
    <w:rsid w:val="08795701"/>
    <w:rsid w:val="08795749"/>
    <w:rsid w:val="0879579D"/>
    <w:rsid w:val="0879594F"/>
    <w:rsid w:val="08795A4F"/>
    <w:rsid w:val="08795A57"/>
    <w:rsid w:val="08795ADA"/>
    <w:rsid w:val="08795B0A"/>
    <w:rsid w:val="08795B9F"/>
    <w:rsid w:val="08795C20"/>
    <w:rsid w:val="08795D4D"/>
    <w:rsid w:val="08795E02"/>
    <w:rsid w:val="08795F39"/>
    <w:rsid w:val="08795F89"/>
    <w:rsid w:val="087962BB"/>
    <w:rsid w:val="087962EC"/>
    <w:rsid w:val="08796305"/>
    <w:rsid w:val="087963DD"/>
    <w:rsid w:val="08796435"/>
    <w:rsid w:val="08796439"/>
    <w:rsid w:val="0879647C"/>
    <w:rsid w:val="087964B4"/>
    <w:rsid w:val="087964DD"/>
    <w:rsid w:val="0879652B"/>
    <w:rsid w:val="08796582"/>
    <w:rsid w:val="087965EE"/>
    <w:rsid w:val="087966AA"/>
    <w:rsid w:val="08796707"/>
    <w:rsid w:val="0879674E"/>
    <w:rsid w:val="08796765"/>
    <w:rsid w:val="087967A8"/>
    <w:rsid w:val="0879681A"/>
    <w:rsid w:val="08796879"/>
    <w:rsid w:val="087968BB"/>
    <w:rsid w:val="087968D3"/>
    <w:rsid w:val="087968D9"/>
    <w:rsid w:val="087969BF"/>
    <w:rsid w:val="08796A2E"/>
    <w:rsid w:val="08796A34"/>
    <w:rsid w:val="08796A76"/>
    <w:rsid w:val="08796AEA"/>
    <w:rsid w:val="08796BA1"/>
    <w:rsid w:val="08796BEF"/>
    <w:rsid w:val="08796CD6"/>
    <w:rsid w:val="08796CDE"/>
    <w:rsid w:val="08796CE7"/>
    <w:rsid w:val="08796D4A"/>
    <w:rsid w:val="08796D5E"/>
    <w:rsid w:val="08796D73"/>
    <w:rsid w:val="08796DA7"/>
    <w:rsid w:val="08796E2D"/>
    <w:rsid w:val="08796E3F"/>
    <w:rsid w:val="08796E4C"/>
    <w:rsid w:val="08796E78"/>
    <w:rsid w:val="08796EDE"/>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93A"/>
    <w:rsid w:val="08797A0A"/>
    <w:rsid w:val="08797BDF"/>
    <w:rsid w:val="08797C52"/>
    <w:rsid w:val="08797CD6"/>
    <w:rsid w:val="08797D05"/>
    <w:rsid w:val="08797D5A"/>
    <w:rsid w:val="08797E0F"/>
    <w:rsid w:val="08797FD9"/>
    <w:rsid w:val="087A00C8"/>
    <w:rsid w:val="087A017A"/>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90"/>
    <w:rsid w:val="087A16C6"/>
    <w:rsid w:val="087A1717"/>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1F95"/>
    <w:rsid w:val="087A2096"/>
    <w:rsid w:val="087A20BD"/>
    <w:rsid w:val="087A20C6"/>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82"/>
    <w:rsid w:val="087A3AD8"/>
    <w:rsid w:val="087A3C08"/>
    <w:rsid w:val="087A3C17"/>
    <w:rsid w:val="087A3C2C"/>
    <w:rsid w:val="087A3CFD"/>
    <w:rsid w:val="087A3D0D"/>
    <w:rsid w:val="087A3D1A"/>
    <w:rsid w:val="087A3D7B"/>
    <w:rsid w:val="087A3D88"/>
    <w:rsid w:val="087A3EA4"/>
    <w:rsid w:val="087A3EAF"/>
    <w:rsid w:val="087A4091"/>
    <w:rsid w:val="087A40BC"/>
    <w:rsid w:val="087A410E"/>
    <w:rsid w:val="087A4203"/>
    <w:rsid w:val="087A4284"/>
    <w:rsid w:val="087A42AF"/>
    <w:rsid w:val="087A437C"/>
    <w:rsid w:val="087A43A9"/>
    <w:rsid w:val="087A445B"/>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73"/>
    <w:rsid w:val="087A5599"/>
    <w:rsid w:val="087A5645"/>
    <w:rsid w:val="087A5729"/>
    <w:rsid w:val="087A5774"/>
    <w:rsid w:val="087A583E"/>
    <w:rsid w:val="087A58F0"/>
    <w:rsid w:val="087A5912"/>
    <w:rsid w:val="087A5938"/>
    <w:rsid w:val="087A59DE"/>
    <w:rsid w:val="087A59F3"/>
    <w:rsid w:val="087A5A09"/>
    <w:rsid w:val="087A5A57"/>
    <w:rsid w:val="087A5AE6"/>
    <w:rsid w:val="087A5B44"/>
    <w:rsid w:val="087A5BA6"/>
    <w:rsid w:val="087A5BAF"/>
    <w:rsid w:val="087A5BB8"/>
    <w:rsid w:val="087A5C56"/>
    <w:rsid w:val="087A5CBB"/>
    <w:rsid w:val="087A5CBD"/>
    <w:rsid w:val="087A5CEB"/>
    <w:rsid w:val="087A5D9B"/>
    <w:rsid w:val="087A5E58"/>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531"/>
    <w:rsid w:val="087A65EC"/>
    <w:rsid w:val="087A661E"/>
    <w:rsid w:val="087A6721"/>
    <w:rsid w:val="087A676D"/>
    <w:rsid w:val="087A6772"/>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11"/>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724"/>
    <w:rsid w:val="087A7775"/>
    <w:rsid w:val="087A77EA"/>
    <w:rsid w:val="087A7882"/>
    <w:rsid w:val="087A7891"/>
    <w:rsid w:val="087A792B"/>
    <w:rsid w:val="087A79B0"/>
    <w:rsid w:val="087A7A04"/>
    <w:rsid w:val="087A7A91"/>
    <w:rsid w:val="087A7AA8"/>
    <w:rsid w:val="087A7AC5"/>
    <w:rsid w:val="087A7B4F"/>
    <w:rsid w:val="087A7BBA"/>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D5"/>
    <w:rsid w:val="087B0329"/>
    <w:rsid w:val="087B032D"/>
    <w:rsid w:val="087B03C7"/>
    <w:rsid w:val="087B03CD"/>
    <w:rsid w:val="087B0416"/>
    <w:rsid w:val="087B0444"/>
    <w:rsid w:val="087B0454"/>
    <w:rsid w:val="087B0487"/>
    <w:rsid w:val="087B04AC"/>
    <w:rsid w:val="087B04BD"/>
    <w:rsid w:val="087B05E9"/>
    <w:rsid w:val="087B0685"/>
    <w:rsid w:val="087B06A9"/>
    <w:rsid w:val="087B06B7"/>
    <w:rsid w:val="087B06E5"/>
    <w:rsid w:val="087B076F"/>
    <w:rsid w:val="087B07A7"/>
    <w:rsid w:val="087B080D"/>
    <w:rsid w:val="087B0820"/>
    <w:rsid w:val="087B083B"/>
    <w:rsid w:val="087B08AD"/>
    <w:rsid w:val="087B08C8"/>
    <w:rsid w:val="087B08F9"/>
    <w:rsid w:val="087B0909"/>
    <w:rsid w:val="087B09CC"/>
    <w:rsid w:val="087B0A02"/>
    <w:rsid w:val="087B0A8F"/>
    <w:rsid w:val="087B0A90"/>
    <w:rsid w:val="087B0ADB"/>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23"/>
    <w:rsid w:val="087B2C51"/>
    <w:rsid w:val="087B2CC7"/>
    <w:rsid w:val="087B2CD2"/>
    <w:rsid w:val="087B2D28"/>
    <w:rsid w:val="087B2E6F"/>
    <w:rsid w:val="087B2F67"/>
    <w:rsid w:val="087B2FD9"/>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D8"/>
    <w:rsid w:val="087B3996"/>
    <w:rsid w:val="087B39B4"/>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629"/>
    <w:rsid w:val="087B469D"/>
    <w:rsid w:val="087B46AD"/>
    <w:rsid w:val="087B4722"/>
    <w:rsid w:val="087B4837"/>
    <w:rsid w:val="087B4884"/>
    <w:rsid w:val="087B4999"/>
    <w:rsid w:val="087B4A78"/>
    <w:rsid w:val="087B4AEC"/>
    <w:rsid w:val="087B4B5F"/>
    <w:rsid w:val="087B4BD8"/>
    <w:rsid w:val="087B4C88"/>
    <w:rsid w:val="087B4CAF"/>
    <w:rsid w:val="087B4CB2"/>
    <w:rsid w:val="087B4D97"/>
    <w:rsid w:val="087B4EF4"/>
    <w:rsid w:val="087B4F7D"/>
    <w:rsid w:val="087B4FB5"/>
    <w:rsid w:val="087B50F3"/>
    <w:rsid w:val="087B50FB"/>
    <w:rsid w:val="087B510B"/>
    <w:rsid w:val="087B5130"/>
    <w:rsid w:val="087B5160"/>
    <w:rsid w:val="087B51D3"/>
    <w:rsid w:val="087B522A"/>
    <w:rsid w:val="087B5267"/>
    <w:rsid w:val="087B526E"/>
    <w:rsid w:val="087B52AA"/>
    <w:rsid w:val="087B5342"/>
    <w:rsid w:val="087B5382"/>
    <w:rsid w:val="087B5389"/>
    <w:rsid w:val="087B53A9"/>
    <w:rsid w:val="087B542E"/>
    <w:rsid w:val="087B5434"/>
    <w:rsid w:val="087B5441"/>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BB9"/>
    <w:rsid w:val="087B5BE5"/>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3D"/>
    <w:rsid w:val="087B6EB0"/>
    <w:rsid w:val="087B6EB6"/>
    <w:rsid w:val="087B7068"/>
    <w:rsid w:val="087B709C"/>
    <w:rsid w:val="087B7107"/>
    <w:rsid w:val="087B716E"/>
    <w:rsid w:val="087B71B9"/>
    <w:rsid w:val="087B71EC"/>
    <w:rsid w:val="087B7260"/>
    <w:rsid w:val="087B7344"/>
    <w:rsid w:val="087B7363"/>
    <w:rsid w:val="087B737A"/>
    <w:rsid w:val="087B7381"/>
    <w:rsid w:val="087B7410"/>
    <w:rsid w:val="087B7421"/>
    <w:rsid w:val="087B7461"/>
    <w:rsid w:val="087B7496"/>
    <w:rsid w:val="087B74EA"/>
    <w:rsid w:val="087B755D"/>
    <w:rsid w:val="087B75AE"/>
    <w:rsid w:val="087B761B"/>
    <w:rsid w:val="087B7776"/>
    <w:rsid w:val="087B784C"/>
    <w:rsid w:val="087B7871"/>
    <w:rsid w:val="087B7A2F"/>
    <w:rsid w:val="087B7B3E"/>
    <w:rsid w:val="087B7BCD"/>
    <w:rsid w:val="087B7BED"/>
    <w:rsid w:val="087B7C66"/>
    <w:rsid w:val="087B7CBC"/>
    <w:rsid w:val="087B7D00"/>
    <w:rsid w:val="087B7D42"/>
    <w:rsid w:val="087B7D57"/>
    <w:rsid w:val="087B7E6D"/>
    <w:rsid w:val="087B7ED9"/>
    <w:rsid w:val="087B7F13"/>
    <w:rsid w:val="087B7FF3"/>
    <w:rsid w:val="087C010B"/>
    <w:rsid w:val="087C0112"/>
    <w:rsid w:val="087C017C"/>
    <w:rsid w:val="087C0276"/>
    <w:rsid w:val="087C02C1"/>
    <w:rsid w:val="087C0362"/>
    <w:rsid w:val="087C03BB"/>
    <w:rsid w:val="087C0473"/>
    <w:rsid w:val="087C04D6"/>
    <w:rsid w:val="087C04DF"/>
    <w:rsid w:val="087C0512"/>
    <w:rsid w:val="087C056F"/>
    <w:rsid w:val="087C0572"/>
    <w:rsid w:val="087C05D9"/>
    <w:rsid w:val="087C065D"/>
    <w:rsid w:val="087C0751"/>
    <w:rsid w:val="087C0775"/>
    <w:rsid w:val="087C0892"/>
    <w:rsid w:val="087C08AC"/>
    <w:rsid w:val="087C0937"/>
    <w:rsid w:val="087C0A01"/>
    <w:rsid w:val="087C0A25"/>
    <w:rsid w:val="087C0A32"/>
    <w:rsid w:val="087C0A49"/>
    <w:rsid w:val="087C0AB9"/>
    <w:rsid w:val="087C0B2E"/>
    <w:rsid w:val="087C0C21"/>
    <w:rsid w:val="087C0C9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1E3"/>
    <w:rsid w:val="087C1201"/>
    <w:rsid w:val="087C1354"/>
    <w:rsid w:val="087C1411"/>
    <w:rsid w:val="087C1465"/>
    <w:rsid w:val="087C14B6"/>
    <w:rsid w:val="087C15C1"/>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3C"/>
    <w:rsid w:val="087C1C8A"/>
    <w:rsid w:val="087C1D02"/>
    <w:rsid w:val="087C1D65"/>
    <w:rsid w:val="087C1D7D"/>
    <w:rsid w:val="087C1DBF"/>
    <w:rsid w:val="087C1E52"/>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19B"/>
    <w:rsid w:val="087C323D"/>
    <w:rsid w:val="087C32EE"/>
    <w:rsid w:val="087C32F2"/>
    <w:rsid w:val="087C33A3"/>
    <w:rsid w:val="087C3470"/>
    <w:rsid w:val="087C3580"/>
    <w:rsid w:val="087C36AD"/>
    <w:rsid w:val="087C370A"/>
    <w:rsid w:val="087C37E9"/>
    <w:rsid w:val="087C387B"/>
    <w:rsid w:val="087C387F"/>
    <w:rsid w:val="087C38CF"/>
    <w:rsid w:val="087C38EF"/>
    <w:rsid w:val="087C394C"/>
    <w:rsid w:val="087C395C"/>
    <w:rsid w:val="087C3998"/>
    <w:rsid w:val="087C3A01"/>
    <w:rsid w:val="087C3B58"/>
    <w:rsid w:val="087C3B67"/>
    <w:rsid w:val="087C3BF8"/>
    <w:rsid w:val="087C3C75"/>
    <w:rsid w:val="087C3C80"/>
    <w:rsid w:val="087C3D7A"/>
    <w:rsid w:val="087C3EE5"/>
    <w:rsid w:val="087C3F31"/>
    <w:rsid w:val="087C3FA3"/>
    <w:rsid w:val="087C3FEC"/>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8A"/>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F02"/>
    <w:rsid w:val="087C4F17"/>
    <w:rsid w:val="087C4F7B"/>
    <w:rsid w:val="087C4FFC"/>
    <w:rsid w:val="087C5028"/>
    <w:rsid w:val="087C5063"/>
    <w:rsid w:val="087C51B4"/>
    <w:rsid w:val="087C5221"/>
    <w:rsid w:val="087C5400"/>
    <w:rsid w:val="087C5472"/>
    <w:rsid w:val="087C563E"/>
    <w:rsid w:val="087C5686"/>
    <w:rsid w:val="087C56A6"/>
    <w:rsid w:val="087C56C5"/>
    <w:rsid w:val="087C56D3"/>
    <w:rsid w:val="087C56FC"/>
    <w:rsid w:val="087C5718"/>
    <w:rsid w:val="087C57B5"/>
    <w:rsid w:val="087C57B8"/>
    <w:rsid w:val="087C57D3"/>
    <w:rsid w:val="087C582A"/>
    <w:rsid w:val="087C5924"/>
    <w:rsid w:val="087C5932"/>
    <w:rsid w:val="087C595D"/>
    <w:rsid w:val="087C5988"/>
    <w:rsid w:val="087C59FE"/>
    <w:rsid w:val="087C5ADA"/>
    <w:rsid w:val="087C5B84"/>
    <w:rsid w:val="087C5C53"/>
    <w:rsid w:val="087C5C98"/>
    <w:rsid w:val="087C5CD3"/>
    <w:rsid w:val="087C5D79"/>
    <w:rsid w:val="087C5DAF"/>
    <w:rsid w:val="087C5DEC"/>
    <w:rsid w:val="087C5E5D"/>
    <w:rsid w:val="087C5EF4"/>
    <w:rsid w:val="087C5FEE"/>
    <w:rsid w:val="087C60C7"/>
    <w:rsid w:val="087C60D9"/>
    <w:rsid w:val="087C60F0"/>
    <w:rsid w:val="087C61A2"/>
    <w:rsid w:val="087C61C0"/>
    <w:rsid w:val="087C61F7"/>
    <w:rsid w:val="087C6210"/>
    <w:rsid w:val="087C62B2"/>
    <w:rsid w:val="087C6307"/>
    <w:rsid w:val="087C6350"/>
    <w:rsid w:val="087C63FF"/>
    <w:rsid w:val="087C6474"/>
    <w:rsid w:val="087C64A0"/>
    <w:rsid w:val="087C654C"/>
    <w:rsid w:val="087C6581"/>
    <w:rsid w:val="087C658F"/>
    <w:rsid w:val="087C6608"/>
    <w:rsid w:val="087C6614"/>
    <w:rsid w:val="087C6618"/>
    <w:rsid w:val="087C6720"/>
    <w:rsid w:val="087C673C"/>
    <w:rsid w:val="087C67CE"/>
    <w:rsid w:val="087C67E5"/>
    <w:rsid w:val="087C688C"/>
    <w:rsid w:val="087C68AF"/>
    <w:rsid w:val="087C690F"/>
    <w:rsid w:val="087C6AA5"/>
    <w:rsid w:val="087C6B09"/>
    <w:rsid w:val="087C6B33"/>
    <w:rsid w:val="087C6BEA"/>
    <w:rsid w:val="087C6BFB"/>
    <w:rsid w:val="087C6BFC"/>
    <w:rsid w:val="087C6C44"/>
    <w:rsid w:val="087C6CA3"/>
    <w:rsid w:val="087C6CFA"/>
    <w:rsid w:val="087C6DD2"/>
    <w:rsid w:val="087C6E83"/>
    <w:rsid w:val="087C6E9A"/>
    <w:rsid w:val="087C70E0"/>
    <w:rsid w:val="087C70E2"/>
    <w:rsid w:val="087C7159"/>
    <w:rsid w:val="087C7234"/>
    <w:rsid w:val="087C72D7"/>
    <w:rsid w:val="087C7315"/>
    <w:rsid w:val="087C733C"/>
    <w:rsid w:val="087C735A"/>
    <w:rsid w:val="087C74AB"/>
    <w:rsid w:val="087C7673"/>
    <w:rsid w:val="087C775D"/>
    <w:rsid w:val="087C79E6"/>
    <w:rsid w:val="087C7AC9"/>
    <w:rsid w:val="087C7AD4"/>
    <w:rsid w:val="087C7AD6"/>
    <w:rsid w:val="087C7B9A"/>
    <w:rsid w:val="087C7BA3"/>
    <w:rsid w:val="087C7BBD"/>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A4"/>
    <w:rsid w:val="087D10D4"/>
    <w:rsid w:val="087D10DC"/>
    <w:rsid w:val="087D1119"/>
    <w:rsid w:val="087D112C"/>
    <w:rsid w:val="087D1149"/>
    <w:rsid w:val="087D119F"/>
    <w:rsid w:val="087D1212"/>
    <w:rsid w:val="087D121B"/>
    <w:rsid w:val="087D1236"/>
    <w:rsid w:val="087D12A0"/>
    <w:rsid w:val="087D12C5"/>
    <w:rsid w:val="087D12EA"/>
    <w:rsid w:val="087D1304"/>
    <w:rsid w:val="087D131F"/>
    <w:rsid w:val="087D133A"/>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80"/>
    <w:rsid w:val="087D1CE1"/>
    <w:rsid w:val="087D1CF8"/>
    <w:rsid w:val="087D1D2A"/>
    <w:rsid w:val="087D1D93"/>
    <w:rsid w:val="087D1DA1"/>
    <w:rsid w:val="087D1E07"/>
    <w:rsid w:val="087D1F26"/>
    <w:rsid w:val="087D1FFD"/>
    <w:rsid w:val="087D2006"/>
    <w:rsid w:val="087D201C"/>
    <w:rsid w:val="087D2027"/>
    <w:rsid w:val="087D204D"/>
    <w:rsid w:val="087D20CD"/>
    <w:rsid w:val="087D21A0"/>
    <w:rsid w:val="087D21B7"/>
    <w:rsid w:val="087D21EB"/>
    <w:rsid w:val="087D22BD"/>
    <w:rsid w:val="087D23A3"/>
    <w:rsid w:val="087D23F2"/>
    <w:rsid w:val="087D247E"/>
    <w:rsid w:val="087D24B2"/>
    <w:rsid w:val="087D26DE"/>
    <w:rsid w:val="087D2770"/>
    <w:rsid w:val="087D27AE"/>
    <w:rsid w:val="087D27AF"/>
    <w:rsid w:val="087D288F"/>
    <w:rsid w:val="087D28C5"/>
    <w:rsid w:val="087D29AE"/>
    <w:rsid w:val="087D2ABC"/>
    <w:rsid w:val="087D2BAD"/>
    <w:rsid w:val="087D2BB4"/>
    <w:rsid w:val="087D2BCD"/>
    <w:rsid w:val="087D2BD7"/>
    <w:rsid w:val="087D2BE3"/>
    <w:rsid w:val="087D2C86"/>
    <w:rsid w:val="087D2CBA"/>
    <w:rsid w:val="087D2D86"/>
    <w:rsid w:val="087D2DA6"/>
    <w:rsid w:val="087D2E03"/>
    <w:rsid w:val="087D2E52"/>
    <w:rsid w:val="087D2EEC"/>
    <w:rsid w:val="087D2F34"/>
    <w:rsid w:val="087D2F53"/>
    <w:rsid w:val="087D2FDC"/>
    <w:rsid w:val="087D311D"/>
    <w:rsid w:val="087D31D6"/>
    <w:rsid w:val="087D31E5"/>
    <w:rsid w:val="087D3243"/>
    <w:rsid w:val="087D3257"/>
    <w:rsid w:val="087D32EC"/>
    <w:rsid w:val="087D3313"/>
    <w:rsid w:val="087D3327"/>
    <w:rsid w:val="087D3378"/>
    <w:rsid w:val="087D33AA"/>
    <w:rsid w:val="087D3470"/>
    <w:rsid w:val="087D34C8"/>
    <w:rsid w:val="087D34ED"/>
    <w:rsid w:val="087D3505"/>
    <w:rsid w:val="087D3580"/>
    <w:rsid w:val="087D3733"/>
    <w:rsid w:val="087D37D8"/>
    <w:rsid w:val="087D37EC"/>
    <w:rsid w:val="087D3850"/>
    <w:rsid w:val="087D3886"/>
    <w:rsid w:val="087D397D"/>
    <w:rsid w:val="087D3992"/>
    <w:rsid w:val="087D3A87"/>
    <w:rsid w:val="087D3B17"/>
    <w:rsid w:val="087D3B8F"/>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4AD"/>
    <w:rsid w:val="087D5589"/>
    <w:rsid w:val="087D558D"/>
    <w:rsid w:val="087D55E6"/>
    <w:rsid w:val="087D560C"/>
    <w:rsid w:val="087D5645"/>
    <w:rsid w:val="087D5662"/>
    <w:rsid w:val="087D5780"/>
    <w:rsid w:val="087D5789"/>
    <w:rsid w:val="087D592D"/>
    <w:rsid w:val="087D5A86"/>
    <w:rsid w:val="087D5C3A"/>
    <w:rsid w:val="087D5D05"/>
    <w:rsid w:val="087D5D41"/>
    <w:rsid w:val="087D5E1C"/>
    <w:rsid w:val="087D5E5C"/>
    <w:rsid w:val="087D60AB"/>
    <w:rsid w:val="087D60EA"/>
    <w:rsid w:val="087D6115"/>
    <w:rsid w:val="087D6135"/>
    <w:rsid w:val="087D6144"/>
    <w:rsid w:val="087D617A"/>
    <w:rsid w:val="087D628F"/>
    <w:rsid w:val="087D6292"/>
    <w:rsid w:val="087D62D6"/>
    <w:rsid w:val="087D62DF"/>
    <w:rsid w:val="087D62FD"/>
    <w:rsid w:val="087D6373"/>
    <w:rsid w:val="087D650B"/>
    <w:rsid w:val="087D65EC"/>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ED2"/>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7B0"/>
    <w:rsid w:val="087D78B5"/>
    <w:rsid w:val="087D78DC"/>
    <w:rsid w:val="087D7924"/>
    <w:rsid w:val="087D79AF"/>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48"/>
    <w:rsid w:val="087E017D"/>
    <w:rsid w:val="087E020C"/>
    <w:rsid w:val="087E02CB"/>
    <w:rsid w:val="087E02CF"/>
    <w:rsid w:val="087E033B"/>
    <w:rsid w:val="087E0353"/>
    <w:rsid w:val="087E0438"/>
    <w:rsid w:val="087E04AA"/>
    <w:rsid w:val="087E04B2"/>
    <w:rsid w:val="087E04E2"/>
    <w:rsid w:val="087E05A1"/>
    <w:rsid w:val="087E0688"/>
    <w:rsid w:val="087E070C"/>
    <w:rsid w:val="087E071E"/>
    <w:rsid w:val="087E08D2"/>
    <w:rsid w:val="087E08F5"/>
    <w:rsid w:val="087E0919"/>
    <w:rsid w:val="087E0946"/>
    <w:rsid w:val="087E09E5"/>
    <w:rsid w:val="087E0B35"/>
    <w:rsid w:val="087E0BF7"/>
    <w:rsid w:val="087E0C65"/>
    <w:rsid w:val="087E0CF3"/>
    <w:rsid w:val="087E0D30"/>
    <w:rsid w:val="087E0E86"/>
    <w:rsid w:val="087E0EE9"/>
    <w:rsid w:val="087E0F39"/>
    <w:rsid w:val="087E0FAC"/>
    <w:rsid w:val="087E113B"/>
    <w:rsid w:val="087E11B5"/>
    <w:rsid w:val="087E12DF"/>
    <w:rsid w:val="087E141C"/>
    <w:rsid w:val="087E146E"/>
    <w:rsid w:val="087E15C6"/>
    <w:rsid w:val="087E163B"/>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D98"/>
    <w:rsid w:val="087E1E2D"/>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9B"/>
    <w:rsid w:val="087E2CEF"/>
    <w:rsid w:val="087E2D8F"/>
    <w:rsid w:val="087E2E5E"/>
    <w:rsid w:val="087E2E7B"/>
    <w:rsid w:val="087E2EB3"/>
    <w:rsid w:val="087E2EDB"/>
    <w:rsid w:val="087E2EE4"/>
    <w:rsid w:val="087E2F3D"/>
    <w:rsid w:val="087E2F73"/>
    <w:rsid w:val="087E2F8A"/>
    <w:rsid w:val="087E2FD1"/>
    <w:rsid w:val="087E30EC"/>
    <w:rsid w:val="087E3361"/>
    <w:rsid w:val="087E33DD"/>
    <w:rsid w:val="087E3403"/>
    <w:rsid w:val="087E3410"/>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52"/>
    <w:rsid w:val="087E3D88"/>
    <w:rsid w:val="087E3E01"/>
    <w:rsid w:val="087E3E23"/>
    <w:rsid w:val="087E3EAB"/>
    <w:rsid w:val="087E3F5B"/>
    <w:rsid w:val="087E3F78"/>
    <w:rsid w:val="087E3F92"/>
    <w:rsid w:val="087E3FB3"/>
    <w:rsid w:val="087E3FB5"/>
    <w:rsid w:val="087E3FBF"/>
    <w:rsid w:val="087E3FDF"/>
    <w:rsid w:val="087E41DB"/>
    <w:rsid w:val="087E41ED"/>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5A"/>
    <w:rsid w:val="087E4E80"/>
    <w:rsid w:val="087E4ED3"/>
    <w:rsid w:val="087E4F18"/>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193"/>
    <w:rsid w:val="087E6225"/>
    <w:rsid w:val="087E628A"/>
    <w:rsid w:val="087E62DD"/>
    <w:rsid w:val="087E6340"/>
    <w:rsid w:val="087E6360"/>
    <w:rsid w:val="087E637A"/>
    <w:rsid w:val="087E63D6"/>
    <w:rsid w:val="087E6491"/>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DC"/>
    <w:rsid w:val="087E73EF"/>
    <w:rsid w:val="087E740C"/>
    <w:rsid w:val="087E747B"/>
    <w:rsid w:val="087E74A9"/>
    <w:rsid w:val="087E7510"/>
    <w:rsid w:val="087E7518"/>
    <w:rsid w:val="087E7581"/>
    <w:rsid w:val="087E759A"/>
    <w:rsid w:val="087E764E"/>
    <w:rsid w:val="087E7678"/>
    <w:rsid w:val="087E771D"/>
    <w:rsid w:val="087E7764"/>
    <w:rsid w:val="087E7788"/>
    <w:rsid w:val="087E78C9"/>
    <w:rsid w:val="087E793A"/>
    <w:rsid w:val="087E7978"/>
    <w:rsid w:val="087E79B4"/>
    <w:rsid w:val="087E7C60"/>
    <w:rsid w:val="087E7D7E"/>
    <w:rsid w:val="087E7D89"/>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5F"/>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208"/>
    <w:rsid w:val="087F1235"/>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54"/>
    <w:rsid w:val="087F23D1"/>
    <w:rsid w:val="087F2433"/>
    <w:rsid w:val="087F248A"/>
    <w:rsid w:val="087F2515"/>
    <w:rsid w:val="087F25A0"/>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6D8"/>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69"/>
    <w:rsid w:val="087F4240"/>
    <w:rsid w:val="087F4266"/>
    <w:rsid w:val="087F42FB"/>
    <w:rsid w:val="087F4309"/>
    <w:rsid w:val="087F4575"/>
    <w:rsid w:val="087F4655"/>
    <w:rsid w:val="087F4663"/>
    <w:rsid w:val="087F46CC"/>
    <w:rsid w:val="087F472D"/>
    <w:rsid w:val="087F477E"/>
    <w:rsid w:val="087F477F"/>
    <w:rsid w:val="087F47C3"/>
    <w:rsid w:val="087F48D0"/>
    <w:rsid w:val="087F4916"/>
    <w:rsid w:val="087F49E6"/>
    <w:rsid w:val="087F4A74"/>
    <w:rsid w:val="087F4A9A"/>
    <w:rsid w:val="087F4AEA"/>
    <w:rsid w:val="087F4B27"/>
    <w:rsid w:val="087F4B35"/>
    <w:rsid w:val="087F4B68"/>
    <w:rsid w:val="087F4BD6"/>
    <w:rsid w:val="087F4C70"/>
    <w:rsid w:val="087F4C8E"/>
    <w:rsid w:val="087F4E6E"/>
    <w:rsid w:val="087F4E73"/>
    <w:rsid w:val="087F4E93"/>
    <w:rsid w:val="087F4EAB"/>
    <w:rsid w:val="087F4EDC"/>
    <w:rsid w:val="087F4F14"/>
    <w:rsid w:val="087F4FAB"/>
    <w:rsid w:val="087F506B"/>
    <w:rsid w:val="087F507D"/>
    <w:rsid w:val="087F5088"/>
    <w:rsid w:val="087F50C8"/>
    <w:rsid w:val="087F517E"/>
    <w:rsid w:val="087F51AC"/>
    <w:rsid w:val="087F525F"/>
    <w:rsid w:val="087F530D"/>
    <w:rsid w:val="087F5349"/>
    <w:rsid w:val="087F5357"/>
    <w:rsid w:val="087F5386"/>
    <w:rsid w:val="087F53A8"/>
    <w:rsid w:val="087F549E"/>
    <w:rsid w:val="087F5582"/>
    <w:rsid w:val="087F56EB"/>
    <w:rsid w:val="087F56F4"/>
    <w:rsid w:val="087F5791"/>
    <w:rsid w:val="087F57D5"/>
    <w:rsid w:val="087F582D"/>
    <w:rsid w:val="087F59A5"/>
    <w:rsid w:val="087F59ED"/>
    <w:rsid w:val="087F5A0F"/>
    <w:rsid w:val="087F5A53"/>
    <w:rsid w:val="087F5BA0"/>
    <w:rsid w:val="087F5BBC"/>
    <w:rsid w:val="087F5C1E"/>
    <w:rsid w:val="087F5C40"/>
    <w:rsid w:val="087F5C64"/>
    <w:rsid w:val="087F5CD4"/>
    <w:rsid w:val="087F5D14"/>
    <w:rsid w:val="087F5D21"/>
    <w:rsid w:val="087F5E29"/>
    <w:rsid w:val="087F5EC5"/>
    <w:rsid w:val="087F5ED0"/>
    <w:rsid w:val="087F5EDF"/>
    <w:rsid w:val="087F5FA7"/>
    <w:rsid w:val="087F5FCB"/>
    <w:rsid w:val="087F5FCC"/>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3F"/>
    <w:rsid w:val="087F6781"/>
    <w:rsid w:val="087F67A5"/>
    <w:rsid w:val="087F67B8"/>
    <w:rsid w:val="087F67C1"/>
    <w:rsid w:val="087F67F5"/>
    <w:rsid w:val="087F6845"/>
    <w:rsid w:val="087F68DB"/>
    <w:rsid w:val="087F692B"/>
    <w:rsid w:val="087F69DF"/>
    <w:rsid w:val="087F6A0B"/>
    <w:rsid w:val="087F6A39"/>
    <w:rsid w:val="087F6ACC"/>
    <w:rsid w:val="087F6B36"/>
    <w:rsid w:val="087F6B51"/>
    <w:rsid w:val="087F6BBE"/>
    <w:rsid w:val="087F6C4A"/>
    <w:rsid w:val="087F6C69"/>
    <w:rsid w:val="087F6D92"/>
    <w:rsid w:val="087F6DC9"/>
    <w:rsid w:val="087F6EDF"/>
    <w:rsid w:val="087F6F0E"/>
    <w:rsid w:val="087F6F1C"/>
    <w:rsid w:val="087F6F56"/>
    <w:rsid w:val="087F70F1"/>
    <w:rsid w:val="087F714C"/>
    <w:rsid w:val="087F715F"/>
    <w:rsid w:val="087F7196"/>
    <w:rsid w:val="087F7342"/>
    <w:rsid w:val="087F737A"/>
    <w:rsid w:val="087F7415"/>
    <w:rsid w:val="087F7464"/>
    <w:rsid w:val="087F74DC"/>
    <w:rsid w:val="087F753D"/>
    <w:rsid w:val="087F75B0"/>
    <w:rsid w:val="087F764E"/>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F72"/>
    <w:rsid w:val="087F7FBF"/>
    <w:rsid w:val="0880003D"/>
    <w:rsid w:val="08800052"/>
    <w:rsid w:val="08800053"/>
    <w:rsid w:val="08800089"/>
    <w:rsid w:val="08800096"/>
    <w:rsid w:val="0880010B"/>
    <w:rsid w:val="08800164"/>
    <w:rsid w:val="088001A9"/>
    <w:rsid w:val="088001C5"/>
    <w:rsid w:val="088001D7"/>
    <w:rsid w:val="0880027C"/>
    <w:rsid w:val="088002DC"/>
    <w:rsid w:val="08800352"/>
    <w:rsid w:val="0880036D"/>
    <w:rsid w:val="0880038F"/>
    <w:rsid w:val="08800416"/>
    <w:rsid w:val="08800434"/>
    <w:rsid w:val="08800473"/>
    <w:rsid w:val="0880053D"/>
    <w:rsid w:val="08800562"/>
    <w:rsid w:val="08800650"/>
    <w:rsid w:val="0880065A"/>
    <w:rsid w:val="08800793"/>
    <w:rsid w:val="088007A8"/>
    <w:rsid w:val="0880080A"/>
    <w:rsid w:val="088008DF"/>
    <w:rsid w:val="08800AAA"/>
    <w:rsid w:val="08800AB1"/>
    <w:rsid w:val="08800B1C"/>
    <w:rsid w:val="08800BFD"/>
    <w:rsid w:val="08800C1B"/>
    <w:rsid w:val="08800CA9"/>
    <w:rsid w:val="08800D37"/>
    <w:rsid w:val="08800D52"/>
    <w:rsid w:val="08800D8A"/>
    <w:rsid w:val="08800DA2"/>
    <w:rsid w:val="08800DD9"/>
    <w:rsid w:val="08800E09"/>
    <w:rsid w:val="08800E1F"/>
    <w:rsid w:val="08800E81"/>
    <w:rsid w:val="08800FE5"/>
    <w:rsid w:val="08800FF9"/>
    <w:rsid w:val="088010CB"/>
    <w:rsid w:val="08801193"/>
    <w:rsid w:val="08801215"/>
    <w:rsid w:val="08801230"/>
    <w:rsid w:val="0880126F"/>
    <w:rsid w:val="0880130E"/>
    <w:rsid w:val="0880132E"/>
    <w:rsid w:val="08801337"/>
    <w:rsid w:val="08801400"/>
    <w:rsid w:val="0880144B"/>
    <w:rsid w:val="08801456"/>
    <w:rsid w:val="088014C2"/>
    <w:rsid w:val="08801634"/>
    <w:rsid w:val="0880164C"/>
    <w:rsid w:val="08801670"/>
    <w:rsid w:val="08801680"/>
    <w:rsid w:val="08801699"/>
    <w:rsid w:val="0880169C"/>
    <w:rsid w:val="088016BB"/>
    <w:rsid w:val="08801718"/>
    <w:rsid w:val="08801887"/>
    <w:rsid w:val="08801940"/>
    <w:rsid w:val="08801945"/>
    <w:rsid w:val="08801975"/>
    <w:rsid w:val="0880197A"/>
    <w:rsid w:val="088019EC"/>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46"/>
    <w:rsid w:val="08802C87"/>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7E3"/>
    <w:rsid w:val="08804810"/>
    <w:rsid w:val="08804944"/>
    <w:rsid w:val="08804A10"/>
    <w:rsid w:val="08804A8D"/>
    <w:rsid w:val="08804C1F"/>
    <w:rsid w:val="08804C4F"/>
    <w:rsid w:val="08804C85"/>
    <w:rsid w:val="08804D2A"/>
    <w:rsid w:val="08804D3F"/>
    <w:rsid w:val="08804DBB"/>
    <w:rsid w:val="08804DF7"/>
    <w:rsid w:val="08804E68"/>
    <w:rsid w:val="08804E95"/>
    <w:rsid w:val="08804EDF"/>
    <w:rsid w:val="08804F54"/>
    <w:rsid w:val="08804F6A"/>
    <w:rsid w:val="08804F75"/>
    <w:rsid w:val="08804F8F"/>
    <w:rsid w:val="08804F98"/>
    <w:rsid w:val="08805042"/>
    <w:rsid w:val="0880516A"/>
    <w:rsid w:val="08805358"/>
    <w:rsid w:val="08805509"/>
    <w:rsid w:val="088055CD"/>
    <w:rsid w:val="088056B8"/>
    <w:rsid w:val="08805702"/>
    <w:rsid w:val="08805745"/>
    <w:rsid w:val="0880575D"/>
    <w:rsid w:val="0880579E"/>
    <w:rsid w:val="088057AE"/>
    <w:rsid w:val="088057D6"/>
    <w:rsid w:val="0880582B"/>
    <w:rsid w:val="0880587C"/>
    <w:rsid w:val="088058B1"/>
    <w:rsid w:val="08805933"/>
    <w:rsid w:val="0880594E"/>
    <w:rsid w:val="088059B0"/>
    <w:rsid w:val="088059FE"/>
    <w:rsid w:val="08805B92"/>
    <w:rsid w:val="08805C6E"/>
    <w:rsid w:val="08805CC4"/>
    <w:rsid w:val="08805CEF"/>
    <w:rsid w:val="08805CFA"/>
    <w:rsid w:val="08805D1E"/>
    <w:rsid w:val="08805E7A"/>
    <w:rsid w:val="08805EA5"/>
    <w:rsid w:val="08805EF3"/>
    <w:rsid w:val="08805F4A"/>
    <w:rsid w:val="08805F77"/>
    <w:rsid w:val="08806001"/>
    <w:rsid w:val="08806100"/>
    <w:rsid w:val="088061F3"/>
    <w:rsid w:val="088063A7"/>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BF7"/>
    <w:rsid w:val="08806C0E"/>
    <w:rsid w:val="08806D71"/>
    <w:rsid w:val="08806F19"/>
    <w:rsid w:val="088070CC"/>
    <w:rsid w:val="088070DB"/>
    <w:rsid w:val="08807178"/>
    <w:rsid w:val="08807246"/>
    <w:rsid w:val="08807261"/>
    <w:rsid w:val="088072EB"/>
    <w:rsid w:val="08807474"/>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B43"/>
    <w:rsid w:val="08807C51"/>
    <w:rsid w:val="08807C5F"/>
    <w:rsid w:val="08807D42"/>
    <w:rsid w:val="08807DE8"/>
    <w:rsid w:val="08807DFB"/>
    <w:rsid w:val="08807E39"/>
    <w:rsid w:val="08807E57"/>
    <w:rsid w:val="08807E6D"/>
    <w:rsid w:val="08807EB1"/>
    <w:rsid w:val="08807ED9"/>
    <w:rsid w:val="08807EE3"/>
    <w:rsid w:val="088100A1"/>
    <w:rsid w:val="088100C9"/>
    <w:rsid w:val="08810133"/>
    <w:rsid w:val="0881015F"/>
    <w:rsid w:val="088101DA"/>
    <w:rsid w:val="0881020D"/>
    <w:rsid w:val="08810297"/>
    <w:rsid w:val="08810334"/>
    <w:rsid w:val="0881039F"/>
    <w:rsid w:val="088103C0"/>
    <w:rsid w:val="088103CD"/>
    <w:rsid w:val="088103F5"/>
    <w:rsid w:val="088104B0"/>
    <w:rsid w:val="088104DD"/>
    <w:rsid w:val="08810607"/>
    <w:rsid w:val="088106AB"/>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3C"/>
    <w:rsid w:val="088118E1"/>
    <w:rsid w:val="0881199B"/>
    <w:rsid w:val="08811A46"/>
    <w:rsid w:val="08811A52"/>
    <w:rsid w:val="08811A6E"/>
    <w:rsid w:val="08811AF7"/>
    <w:rsid w:val="08811B7E"/>
    <w:rsid w:val="08811C58"/>
    <w:rsid w:val="08811DB8"/>
    <w:rsid w:val="08812430"/>
    <w:rsid w:val="08812497"/>
    <w:rsid w:val="088125AD"/>
    <w:rsid w:val="088125D6"/>
    <w:rsid w:val="08812673"/>
    <w:rsid w:val="088126C9"/>
    <w:rsid w:val="08812700"/>
    <w:rsid w:val="088127ED"/>
    <w:rsid w:val="08812924"/>
    <w:rsid w:val="088129D4"/>
    <w:rsid w:val="08812A48"/>
    <w:rsid w:val="08812B69"/>
    <w:rsid w:val="08812BD0"/>
    <w:rsid w:val="08812CE6"/>
    <w:rsid w:val="08812DEF"/>
    <w:rsid w:val="08812DF5"/>
    <w:rsid w:val="08812E4B"/>
    <w:rsid w:val="08812ECE"/>
    <w:rsid w:val="08812EF6"/>
    <w:rsid w:val="08812F2E"/>
    <w:rsid w:val="08812F78"/>
    <w:rsid w:val="08812F82"/>
    <w:rsid w:val="08812FFE"/>
    <w:rsid w:val="0881305E"/>
    <w:rsid w:val="08813123"/>
    <w:rsid w:val="08813172"/>
    <w:rsid w:val="0881321F"/>
    <w:rsid w:val="08813326"/>
    <w:rsid w:val="08813397"/>
    <w:rsid w:val="08813408"/>
    <w:rsid w:val="08813469"/>
    <w:rsid w:val="088134AD"/>
    <w:rsid w:val="08813620"/>
    <w:rsid w:val="0881368D"/>
    <w:rsid w:val="08813726"/>
    <w:rsid w:val="088137F8"/>
    <w:rsid w:val="08813849"/>
    <w:rsid w:val="088139FC"/>
    <w:rsid w:val="08813A96"/>
    <w:rsid w:val="08813B24"/>
    <w:rsid w:val="08813B2D"/>
    <w:rsid w:val="08813B4B"/>
    <w:rsid w:val="08813B8A"/>
    <w:rsid w:val="08813C37"/>
    <w:rsid w:val="08813C77"/>
    <w:rsid w:val="08813D9C"/>
    <w:rsid w:val="08813E5B"/>
    <w:rsid w:val="08813EB7"/>
    <w:rsid w:val="08813ECF"/>
    <w:rsid w:val="08813EDC"/>
    <w:rsid w:val="08813F5A"/>
    <w:rsid w:val="08813F9F"/>
    <w:rsid w:val="08813FB7"/>
    <w:rsid w:val="08814109"/>
    <w:rsid w:val="08814264"/>
    <w:rsid w:val="0881427D"/>
    <w:rsid w:val="08814377"/>
    <w:rsid w:val="088143A3"/>
    <w:rsid w:val="088143BE"/>
    <w:rsid w:val="088143C9"/>
    <w:rsid w:val="0881442D"/>
    <w:rsid w:val="08814471"/>
    <w:rsid w:val="08814500"/>
    <w:rsid w:val="08814542"/>
    <w:rsid w:val="0881460D"/>
    <w:rsid w:val="0881465C"/>
    <w:rsid w:val="0881467C"/>
    <w:rsid w:val="088146F9"/>
    <w:rsid w:val="08814771"/>
    <w:rsid w:val="088147E6"/>
    <w:rsid w:val="08814894"/>
    <w:rsid w:val="08814919"/>
    <w:rsid w:val="088149F9"/>
    <w:rsid w:val="088149FC"/>
    <w:rsid w:val="08814A20"/>
    <w:rsid w:val="08814ABD"/>
    <w:rsid w:val="08814AE0"/>
    <w:rsid w:val="08814B19"/>
    <w:rsid w:val="08814B4F"/>
    <w:rsid w:val="08814C0A"/>
    <w:rsid w:val="08814C4D"/>
    <w:rsid w:val="08814C52"/>
    <w:rsid w:val="08814D37"/>
    <w:rsid w:val="08814D8A"/>
    <w:rsid w:val="08814D97"/>
    <w:rsid w:val="08814E95"/>
    <w:rsid w:val="08814EA0"/>
    <w:rsid w:val="08814FD3"/>
    <w:rsid w:val="08814FE1"/>
    <w:rsid w:val="08815021"/>
    <w:rsid w:val="08815065"/>
    <w:rsid w:val="088150DB"/>
    <w:rsid w:val="088150FC"/>
    <w:rsid w:val="0881518C"/>
    <w:rsid w:val="088151B5"/>
    <w:rsid w:val="08815318"/>
    <w:rsid w:val="0881532C"/>
    <w:rsid w:val="0881533E"/>
    <w:rsid w:val="0881543B"/>
    <w:rsid w:val="0881544C"/>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DCF"/>
    <w:rsid w:val="08815E09"/>
    <w:rsid w:val="08815E36"/>
    <w:rsid w:val="08815E5D"/>
    <w:rsid w:val="08815EA3"/>
    <w:rsid w:val="08815EAD"/>
    <w:rsid w:val="08815EB6"/>
    <w:rsid w:val="08815EBE"/>
    <w:rsid w:val="08815EC8"/>
    <w:rsid w:val="08815EE4"/>
    <w:rsid w:val="08815FD1"/>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D83"/>
    <w:rsid w:val="08816E01"/>
    <w:rsid w:val="08816E13"/>
    <w:rsid w:val="08816E73"/>
    <w:rsid w:val="08816F28"/>
    <w:rsid w:val="08816F44"/>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B4"/>
    <w:rsid w:val="088176FF"/>
    <w:rsid w:val="0881779B"/>
    <w:rsid w:val="0881784A"/>
    <w:rsid w:val="088178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7A"/>
    <w:rsid w:val="0882157A"/>
    <w:rsid w:val="088215A0"/>
    <w:rsid w:val="088216F7"/>
    <w:rsid w:val="08821763"/>
    <w:rsid w:val="08821771"/>
    <w:rsid w:val="088217F9"/>
    <w:rsid w:val="08821809"/>
    <w:rsid w:val="08821935"/>
    <w:rsid w:val="0882198D"/>
    <w:rsid w:val="088219BF"/>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4B"/>
    <w:rsid w:val="088224FD"/>
    <w:rsid w:val="0882266D"/>
    <w:rsid w:val="08822701"/>
    <w:rsid w:val="08822840"/>
    <w:rsid w:val="088228C0"/>
    <w:rsid w:val="088228CF"/>
    <w:rsid w:val="088228D0"/>
    <w:rsid w:val="088228E5"/>
    <w:rsid w:val="088229DD"/>
    <w:rsid w:val="08822B9B"/>
    <w:rsid w:val="08822C23"/>
    <w:rsid w:val="08822C50"/>
    <w:rsid w:val="08822CA2"/>
    <w:rsid w:val="08822D67"/>
    <w:rsid w:val="08822DE3"/>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AEA"/>
    <w:rsid w:val="08824B07"/>
    <w:rsid w:val="08824B56"/>
    <w:rsid w:val="08824B89"/>
    <w:rsid w:val="08824CDA"/>
    <w:rsid w:val="08824DBD"/>
    <w:rsid w:val="08824E9F"/>
    <w:rsid w:val="08824EAC"/>
    <w:rsid w:val="08824F70"/>
    <w:rsid w:val="08824F86"/>
    <w:rsid w:val="08824FBC"/>
    <w:rsid w:val="08824FE4"/>
    <w:rsid w:val="088250A7"/>
    <w:rsid w:val="088252E4"/>
    <w:rsid w:val="08825328"/>
    <w:rsid w:val="0882536D"/>
    <w:rsid w:val="088253B0"/>
    <w:rsid w:val="088256AC"/>
    <w:rsid w:val="08825744"/>
    <w:rsid w:val="0882574A"/>
    <w:rsid w:val="08825995"/>
    <w:rsid w:val="088259B1"/>
    <w:rsid w:val="088259DB"/>
    <w:rsid w:val="08825A25"/>
    <w:rsid w:val="08825A40"/>
    <w:rsid w:val="08825C46"/>
    <w:rsid w:val="08825C7E"/>
    <w:rsid w:val="08825CF2"/>
    <w:rsid w:val="08825D1A"/>
    <w:rsid w:val="08825D8A"/>
    <w:rsid w:val="08825F06"/>
    <w:rsid w:val="0882612F"/>
    <w:rsid w:val="08826137"/>
    <w:rsid w:val="088262AF"/>
    <w:rsid w:val="0882634E"/>
    <w:rsid w:val="08826410"/>
    <w:rsid w:val="08826444"/>
    <w:rsid w:val="088264DD"/>
    <w:rsid w:val="08826666"/>
    <w:rsid w:val="088266F3"/>
    <w:rsid w:val="08826803"/>
    <w:rsid w:val="08826819"/>
    <w:rsid w:val="08826840"/>
    <w:rsid w:val="08826845"/>
    <w:rsid w:val="08826995"/>
    <w:rsid w:val="088269BB"/>
    <w:rsid w:val="08826ACE"/>
    <w:rsid w:val="08826AEE"/>
    <w:rsid w:val="08826B1A"/>
    <w:rsid w:val="08826B2B"/>
    <w:rsid w:val="08826B67"/>
    <w:rsid w:val="08826BAF"/>
    <w:rsid w:val="08826BD8"/>
    <w:rsid w:val="08826C71"/>
    <w:rsid w:val="08826D2A"/>
    <w:rsid w:val="08826DFB"/>
    <w:rsid w:val="08826E1E"/>
    <w:rsid w:val="08826E86"/>
    <w:rsid w:val="08826F0E"/>
    <w:rsid w:val="08826FBF"/>
    <w:rsid w:val="08826FEA"/>
    <w:rsid w:val="08827016"/>
    <w:rsid w:val="08827089"/>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BF"/>
    <w:rsid w:val="08827DEC"/>
    <w:rsid w:val="08827E00"/>
    <w:rsid w:val="08827E3C"/>
    <w:rsid w:val="08827E7E"/>
    <w:rsid w:val="0883005D"/>
    <w:rsid w:val="08830090"/>
    <w:rsid w:val="088300C8"/>
    <w:rsid w:val="08830169"/>
    <w:rsid w:val="08830184"/>
    <w:rsid w:val="08830236"/>
    <w:rsid w:val="088302E4"/>
    <w:rsid w:val="088302F0"/>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7B"/>
    <w:rsid w:val="08830C01"/>
    <w:rsid w:val="08830C4A"/>
    <w:rsid w:val="08830C98"/>
    <w:rsid w:val="08830CC4"/>
    <w:rsid w:val="08830CE8"/>
    <w:rsid w:val="08830D0B"/>
    <w:rsid w:val="08830D43"/>
    <w:rsid w:val="08830D76"/>
    <w:rsid w:val="08830DC2"/>
    <w:rsid w:val="08830DCB"/>
    <w:rsid w:val="08830DE8"/>
    <w:rsid w:val="08830DF3"/>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AF"/>
    <w:rsid w:val="08831DDB"/>
    <w:rsid w:val="08831E4C"/>
    <w:rsid w:val="08831F8B"/>
    <w:rsid w:val="08831F94"/>
    <w:rsid w:val="08831FA1"/>
    <w:rsid w:val="0883212F"/>
    <w:rsid w:val="08832193"/>
    <w:rsid w:val="088321AF"/>
    <w:rsid w:val="088322FC"/>
    <w:rsid w:val="08832393"/>
    <w:rsid w:val="088323A2"/>
    <w:rsid w:val="08832409"/>
    <w:rsid w:val="0883255C"/>
    <w:rsid w:val="08832611"/>
    <w:rsid w:val="0883267E"/>
    <w:rsid w:val="0883274D"/>
    <w:rsid w:val="088328F9"/>
    <w:rsid w:val="08832942"/>
    <w:rsid w:val="08832981"/>
    <w:rsid w:val="088329BB"/>
    <w:rsid w:val="088329D9"/>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1C"/>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D5"/>
    <w:rsid w:val="08834CD7"/>
    <w:rsid w:val="08834D18"/>
    <w:rsid w:val="08834D44"/>
    <w:rsid w:val="08834E04"/>
    <w:rsid w:val="08834EAC"/>
    <w:rsid w:val="08834EC7"/>
    <w:rsid w:val="08834F2A"/>
    <w:rsid w:val="08834F87"/>
    <w:rsid w:val="08834FCB"/>
    <w:rsid w:val="08834FF9"/>
    <w:rsid w:val="088350D6"/>
    <w:rsid w:val="08835177"/>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712"/>
    <w:rsid w:val="08835715"/>
    <w:rsid w:val="088357B4"/>
    <w:rsid w:val="0883586D"/>
    <w:rsid w:val="0883588B"/>
    <w:rsid w:val="08835927"/>
    <w:rsid w:val="08835939"/>
    <w:rsid w:val="088359F5"/>
    <w:rsid w:val="08835A7A"/>
    <w:rsid w:val="08835AF6"/>
    <w:rsid w:val="08835B36"/>
    <w:rsid w:val="08835BB7"/>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40"/>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3E"/>
    <w:rsid w:val="088372D4"/>
    <w:rsid w:val="08837390"/>
    <w:rsid w:val="0883742C"/>
    <w:rsid w:val="088374FC"/>
    <w:rsid w:val="08837508"/>
    <w:rsid w:val="08837560"/>
    <w:rsid w:val="0883758B"/>
    <w:rsid w:val="08837659"/>
    <w:rsid w:val="08837715"/>
    <w:rsid w:val="0883771D"/>
    <w:rsid w:val="0883775D"/>
    <w:rsid w:val="0883780D"/>
    <w:rsid w:val="08837812"/>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99"/>
    <w:rsid w:val="088409B2"/>
    <w:rsid w:val="08840ADC"/>
    <w:rsid w:val="08840B39"/>
    <w:rsid w:val="08840B77"/>
    <w:rsid w:val="08840C5C"/>
    <w:rsid w:val="08840CC8"/>
    <w:rsid w:val="08840D7D"/>
    <w:rsid w:val="08840DAC"/>
    <w:rsid w:val="08840EE3"/>
    <w:rsid w:val="08840EFF"/>
    <w:rsid w:val="08840F8F"/>
    <w:rsid w:val="08841094"/>
    <w:rsid w:val="08841137"/>
    <w:rsid w:val="08841214"/>
    <w:rsid w:val="0884121D"/>
    <w:rsid w:val="08841235"/>
    <w:rsid w:val="08841321"/>
    <w:rsid w:val="0884139E"/>
    <w:rsid w:val="08841476"/>
    <w:rsid w:val="0884148C"/>
    <w:rsid w:val="088414EA"/>
    <w:rsid w:val="08841546"/>
    <w:rsid w:val="088416AD"/>
    <w:rsid w:val="08841751"/>
    <w:rsid w:val="088417E6"/>
    <w:rsid w:val="0884182D"/>
    <w:rsid w:val="08841830"/>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B"/>
    <w:rsid w:val="088424CF"/>
    <w:rsid w:val="0884260C"/>
    <w:rsid w:val="088427B8"/>
    <w:rsid w:val="088427D4"/>
    <w:rsid w:val="08842853"/>
    <w:rsid w:val="08842954"/>
    <w:rsid w:val="08842B53"/>
    <w:rsid w:val="08842B74"/>
    <w:rsid w:val="08842B76"/>
    <w:rsid w:val="08842C43"/>
    <w:rsid w:val="08842C63"/>
    <w:rsid w:val="08842C88"/>
    <w:rsid w:val="08842CC9"/>
    <w:rsid w:val="08842E9A"/>
    <w:rsid w:val="08842F08"/>
    <w:rsid w:val="08842F7E"/>
    <w:rsid w:val="08842FA4"/>
    <w:rsid w:val="08843036"/>
    <w:rsid w:val="08843043"/>
    <w:rsid w:val="08843105"/>
    <w:rsid w:val="08843126"/>
    <w:rsid w:val="08843164"/>
    <w:rsid w:val="08843281"/>
    <w:rsid w:val="088432A7"/>
    <w:rsid w:val="088432CE"/>
    <w:rsid w:val="08843450"/>
    <w:rsid w:val="088434A5"/>
    <w:rsid w:val="088434BA"/>
    <w:rsid w:val="088435BE"/>
    <w:rsid w:val="088436A0"/>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2D"/>
    <w:rsid w:val="08843BC5"/>
    <w:rsid w:val="08843BD8"/>
    <w:rsid w:val="08843CEF"/>
    <w:rsid w:val="08843D0A"/>
    <w:rsid w:val="08843D5B"/>
    <w:rsid w:val="08843DCD"/>
    <w:rsid w:val="08843EAE"/>
    <w:rsid w:val="08843F7A"/>
    <w:rsid w:val="08843FF6"/>
    <w:rsid w:val="08843FFA"/>
    <w:rsid w:val="0884406C"/>
    <w:rsid w:val="088440A6"/>
    <w:rsid w:val="0884416C"/>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1C"/>
    <w:rsid w:val="0884494D"/>
    <w:rsid w:val="088449C8"/>
    <w:rsid w:val="088449ED"/>
    <w:rsid w:val="08844A1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13"/>
    <w:rsid w:val="0884519D"/>
    <w:rsid w:val="08845273"/>
    <w:rsid w:val="0884527B"/>
    <w:rsid w:val="088452D8"/>
    <w:rsid w:val="088452F8"/>
    <w:rsid w:val="088453B3"/>
    <w:rsid w:val="08845407"/>
    <w:rsid w:val="08845417"/>
    <w:rsid w:val="088454AE"/>
    <w:rsid w:val="088454F7"/>
    <w:rsid w:val="0884551F"/>
    <w:rsid w:val="0884557B"/>
    <w:rsid w:val="088455D4"/>
    <w:rsid w:val="08845604"/>
    <w:rsid w:val="0884566F"/>
    <w:rsid w:val="088456CD"/>
    <w:rsid w:val="088456D2"/>
    <w:rsid w:val="0884590F"/>
    <w:rsid w:val="0884594E"/>
    <w:rsid w:val="08845A08"/>
    <w:rsid w:val="08845A91"/>
    <w:rsid w:val="08845A9E"/>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489"/>
    <w:rsid w:val="08846561"/>
    <w:rsid w:val="08846580"/>
    <w:rsid w:val="088465CA"/>
    <w:rsid w:val="088465EB"/>
    <w:rsid w:val="0884665D"/>
    <w:rsid w:val="08846667"/>
    <w:rsid w:val="08846703"/>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18D"/>
    <w:rsid w:val="0885228C"/>
    <w:rsid w:val="0885236F"/>
    <w:rsid w:val="088523B9"/>
    <w:rsid w:val="088523CA"/>
    <w:rsid w:val="08852402"/>
    <w:rsid w:val="08852459"/>
    <w:rsid w:val="08852462"/>
    <w:rsid w:val="08852480"/>
    <w:rsid w:val="088524E1"/>
    <w:rsid w:val="088525AB"/>
    <w:rsid w:val="08852645"/>
    <w:rsid w:val="08852702"/>
    <w:rsid w:val="0885274F"/>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BF"/>
    <w:rsid w:val="088531EA"/>
    <w:rsid w:val="08853215"/>
    <w:rsid w:val="0885324C"/>
    <w:rsid w:val="088532BA"/>
    <w:rsid w:val="088533A7"/>
    <w:rsid w:val="08853467"/>
    <w:rsid w:val="0885348A"/>
    <w:rsid w:val="088534D2"/>
    <w:rsid w:val="088534F7"/>
    <w:rsid w:val="0885371D"/>
    <w:rsid w:val="088537B8"/>
    <w:rsid w:val="088537D5"/>
    <w:rsid w:val="088538D7"/>
    <w:rsid w:val="08853995"/>
    <w:rsid w:val="088539D1"/>
    <w:rsid w:val="08853B14"/>
    <w:rsid w:val="08853B82"/>
    <w:rsid w:val="08853BF3"/>
    <w:rsid w:val="08853C14"/>
    <w:rsid w:val="08853DA3"/>
    <w:rsid w:val="08853DC3"/>
    <w:rsid w:val="08853E53"/>
    <w:rsid w:val="08853EA8"/>
    <w:rsid w:val="08853F02"/>
    <w:rsid w:val="08853F50"/>
    <w:rsid w:val="08853F84"/>
    <w:rsid w:val="08854063"/>
    <w:rsid w:val="088540AB"/>
    <w:rsid w:val="088540B8"/>
    <w:rsid w:val="08854101"/>
    <w:rsid w:val="08854135"/>
    <w:rsid w:val="088542DD"/>
    <w:rsid w:val="08854324"/>
    <w:rsid w:val="08854343"/>
    <w:rsid w:val="0885438D"/>
    <w:rsid w:val="088543CF"/>
    <w:rsid w:val="088544B9"/>
    <w:rsid w:val="08854525"/>
    <w:rsid w:val="08854531"/>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0"/>
    <w:rsid w:val="08854C29"/>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5F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E4"/>
    <w:rsid w:val="08855BFC"/>
    <w:rsid w:val="08855C17"/>
    <w:rsid w:val="08855C5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31"/>
    <w:rsid w:val="08856FD1"/>
    <w:rsid w:val="08857038"/>
    <w:rsid w:val="08857065"/>
    <w:rsid w:val="0885706A"/>
    <w:rsid w:val="0885719A"/>
    <w:rsid w:val="088571B1"/>
    <w:rsid w:val="088571D5"/>
    <w:rsid w:val="0885723E"/>
    <w:rsid w:val="08857283"/>
    <w:rsid w:val="08857308"/>
    <w:rsid w:val="0885734F"/>
    <w:rsid w:val="08857365"/>
    <w:rsid w:val="088573DB"/>
    <w:rsid w:val="088573FF"/>
    <w:rsid w:val="088574B8"/>
    <w:rsid w:val="08857501"/>
    <w:rsid w:val="08857537"/>
    <w:rsid w:val="08857547"/>
    <w:rsid w:val="08857568"/>
    <w:rsid w:val="088575A3"/>
    <w:rsid w:val="08857604"/>
    <w:rsid w:val="08857678"/>
    <w:rsid w:val="08857711"/>
    <w:rsid w:val="08857805"/>
    <w:rsid w:val="08857832"/>
    <w:rsid w:val="088578BE"/>
    <w:rsid w:val="08857A36"/>
    <w:rsid w:val="08857A79"/>
    <w:rsid w:val="08857BF1"/>
    <w:rsid w:val="08857C55"/>
    <w:rsid w:val="08857CD3"/>
    <w:rsid w:val="08857D0B"/>
    <w:rsid w:val="08857DA5"/>
    <w:rsid w:val="08857EC1"/>
    <w:rsid w:val="088600F1"/>
    <w:rsid w:val="088601CD"/>
    <w:rsid w:val="08860348"/>
    <w:rsid w:val="0886036B"/>
    <w:rsid w:val="0886037D"/>
    <w:rsid w:val="08860479"/>
    <w:rsid w:val="088605A4"/>
    <w:rsid w:val="08860676"/>
    <w:rsid w:val="0886069C"/>
    <w:rsid w:val="08860721"/>
    <w:rsid w:val="0886081B"/>
    <w:rsid w:val="088608DC"/>
    <w:rsid w:val="08860989"/>
    <w:rsid w:val="08860A37"/>
    <w:rsid w:val="08860A39"/>
    <w:rsid w:val="08860B54"/>
    <w:rsid w:val="08860B56"/>
    <w:rsid w:val="08860B6F"/>
    <w:rsid w:val="08860C0D"/>
    <w:rsid w:val="08860C2E"/>
    <w:rsid w:val="08860C9E"/>
    <w:rsid w:val="08860D1C"/>
    <w:rsid w:val="08860E8F"/>
    <w:rsid w:val="08860EEC"/>
    <w:rsid w:val="08860EED"/>
    <w:rsid w:val="08860F86"/>
    <w:rsid w:val="08860F9B"/>
    <w:rsid w:val="0886105E"/>
    <w:rsid w:val="08861076"/>
    <w:rsid w:val="088610A6"/>
    <w:rsid w:val="088611C0"/>
    <w:rsid w:val="0886121B"/>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94"/>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A0"/>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25"/>
    <w:rsid w:val="08862EF7"/>
    <w:rsid w:val="08862F2F"/>
    <w:rsid w:val="08862FB8"/>
    <w:rsid w:val="08862FB9"/>
    <w:rsid w:val="08862FEF"/>
    <w:rsid w:val="0886305E"/>
    <w:rsid w:val="0886306C"/>
    <w:rsid w:val="08863071"/>
    <w:rsid w:val="088630C2"/>
    <w:rsid w:val="088630EC"/>
    <w:rsid w:val="08863128"/>
    <w:rsid w:val="08863164"/>
    <w:rsid w:val="08863207"/>
    <w:rsid w:val="0886321A"/>
    <w:rsid w:val="08863238"/>
    <w:rsid w:val="0886348A"/>
    <w:rsid w:val="088634AE"/>
    <w:rsid w:val="08863569"/>
    <w:rsid w:val="08863576"/>
    <w:rsid w:val="0886359C"/>
    <w:rsid w:val="0886367C"/>
    <w:rsid w:val="08863720"/>
    <w:rsid w:val="08863730"/>
    <w:rsid w:val="08863784"/>
    <w:rsid w:val="08863816"/>
    <w:rsid w:val="088638CD"/>
    <w:rsid w:val="088638DB"/>
    <w:rsid w:val="0886395F"/>
    <w:rsid w:val="088639CC"/>
    <w:rsid w:val="08863A2A"/>
    <w:rsid w:val="08863B6F"/>
    <w:rsid w:val="08863C72"/>
    <w:rsid w:val="08863CC6"/>
    <w:rsid w:val="08863CDE"/>
    <w:rsid w:val="08863D6E"/>
    <w:rsid w:val="08863E08"/>
    <w:rsid w:val="08863E71"/>
    <w:rsid w:val="08863F42"/>
    <w:rsid w:val="08863FB5"/>
    <w:rsid w:val="08864089"/>
    <w:rsid w:val="088641B3"/>
    <w:rsid w:val="088641EE"/>
    <w:rsid w:val="0886431E"/>
    <w:rsid w:val="0886443D"/>
    <w:rsid w:val="08864499"/>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18"/>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3B"/>
    <w:rsid w:val="08865D91"/>
    <w:rsid w:val="08865E2E"/>
    <w:rsid w:val="08865E69"/>
    <w:rsid w:val="08865EBC"/>
    <w:rsid w:val="08865EFC"/>
    <w:rsid w:val="08865F46"/>
    <w:rsid w:val="08865FA6"/>
    <w:rsid w:val="08865FF5"/>
    <w:rsid w:val="08865FF6"/>
    <w:rsid w:val="088660F4"/>
    <w:rsid w:val="08866111"/>
    <w:rsid w:val="08866189"/>
    <w:rsid w:val="088661D7"/>
    <w:rsid w:val="0886621B"/>
    <w:rsid w:val="088662B8"/>
    <w:rsid w:val="088662DA"/>
    <w:rsid w:val="088663F3"/>
    <w:rsid w:val="08866422"/>
    <w:rsid w:val="08866449"/>
    <w:rsid w:val="08866454"/>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1C1"/>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D9B"/>
    <w:rsid w:val="08867E35"/>
    <w:rsid w:val="08867E76"/>
    <w:rsid w:val="08867E8F"/>
    <w:rsid w:val="08867E91"/>
    <w:rsid w:val="08867F00"/>
    <w:rsid w:val="08867F19"/>
    <w:rsid w:val="08867F65"/>
    <w:rsid w:val="08870028"/>
    <w:rsid w:val="08870330"/>
    <w:rsid w:val="08870348"/>
    <w:rsid w:val="08870357"/>
    <w:rsid w:val="08870362"/>
    <w:rsid w:val="088703AA"/>
    <w:rsid w:val="088703B9"/>
    <w:rsid w:val="088703FA"/>
    <w:rsid w:val="088704AB"/>
    <w:rsid w:val="088704F4"/>
    <w:rsid w:val="08870539"/>
    <w:rsid w:val="0887073E"/>
    <w:rsid w:val="0887078B"/>
    <w:rsid w:val="088707BF"/>
    <w:rsid w:val="088707DD"/>
    <w:rsid w:val="088709AC"/>
    <w:rsid w:val="08870A38"/>
    <w:rsid w:val="08870A8C"/>
    <w:rsid w:val="08870CD1"/>
    <w:rsid w:val="08870D78"/>
    <w:rsid w:val="08870E0E"/>
    <w:rsid w:val="08870EA2"/>
    <w:rsid w:val="08870EF1"/>
    <w:rsid w:val="08870FED"/>
    <w:rsid w:val="08871004"/>
    <w:rsid w:val="0887108C"/>
    <w:rsid w:val="0887111F"/>
    <w:rsid w:val="08871173"/>
    <w:rsid w:val="0887128D"/>
    <w:rsid w:val="088712B4"/>
    <w:rsid w:val="08871300"/>
    <w:rsid w:val="08871347"/>
    <w:rsid w:val="0887136C"/>
    <w:rsid w:val="08871432"/>
    <w:rsid w:val="08871577"/>
    <w:rsid w:val="0887157D"/>
    <w:rsid w:val="0887176E"/>
    <w:rsid w:val="08871793"/>
    <w:rsid w:val="088717AB"/>
    <w:rsid w:val="0887181B"/>
    <w:rsid w:val="088718D0"/>
    <w:rsid w:val="088719B2"/>
    <w:rsid w:val="088719FA"/>
    <w:rsid w:val="08871A06"/>
    <w:rsid w:val="08871A15"/>
    <w:rsid w:val="08871A92"/>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70"/>
    <w:rsid w:val="08872774"/>
    <w:rsid w:val="088727DB"/>
    <w:rsid w:val="088727EA"/>
    <w:rsid w:val="0887295C"/>
    <w:rsid w:val="088729A5"/>
    <w:rsid w:val="08872A68"/>
    <w:rsid w:val="08872A8D"/>
    <w:rsid w:val="08872B54"/>
    <w:rsid w:val="08872B8C"/>
    <w:rsid w:val="08872BB9"/>
    <w:rsid w:val="08872BC9"/>
    <w:rsid w:val="08872C81"/>
    <w:rsid w:val="08872F87"/>
    <w:rsid w:val="08872FC5"/>
    <w:rsid w:val="08872FE3"/>
    <w:rsid w:val="08873067"/>
    <w:rsid w:val="08873081"/>
    <w:rsid w:val="08873158"/>
    <w:rsid w:val="088731A7"/>
    <w:rsid w:val="088731B7"/>
    <w:rsid w:val="088731CA"/>
    <w:rsid w:val="088731EA"/>
    <w:rsid w:val="088732A2"/>
    <w:rsid w:val="08873371"/>
    <w:rsid w:val="088733D1"/>
    <w:rsid w:val="08873440"/>
    <w:rsid w:val="08873502"/>
    <w:rsid w:val="08873527"/>
    <w:rsid w:val="0887358B"/>
    <w:rsid w:val="0887359A"/>
    <w:rsid w:val="08873670"/>
    <w:rsid w:val="08873673"/>
    <w:rsid w:val="088736D2"/>
    <w:rsid w:val="088736E1"/>
    <w:rsid w:val="088736F2"/>
    <w:rsid w:val="08873707"/>
    <w:rsid w:val="08873708"/>
    <w:rsid w:val="08873759"/>
    <w:rsid w:val="08873797"/>
    <w:rsid w:val="08873810"/>
    <w:rsid w:val="08873837"/>
    <w:rsid w:val="088738F9"/>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06C"/>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B9"/>
    <w:rsid w:val="08874D20"/>
    <w:rsid w:val="08874D2D"/>
    <w:rsid w:val="08874EA7"/>
    <w:rsid w:val="08874EF2"/>
    <w:rsid w:val="08874F0C"/>
    <w:rsid w:val="08874F17"/>
    <w:rsid w:val="08874F3A"/>
    <w:rsid w:val="0887500A"/>
    <w:rsid w:val="08875018"/>
    <w:rsid w:val="0887501A"/>
    <w:rsid w:val="0887502E"/>
    <w:rsid w:val="088750B0"/>
    <w:rsid w:val="088750B6"/>
    <w:rsid w:val="0887517E"/>
    <w:rsid w:val="0887522F"/>
    <w:rsid w:val="088752D6"/>
    <w:rsid w:val="0887532C"/>
    <w:rsid w:val="0887535B"/>
    <w:rsid w:val="0887536F"/>
    <w:rsid w:val="08875373"/>
    <w:rsid w:val="08875462"/>
    <w:rsid w:val="0887552A"/>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1"/>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8D"/>
    <w:rsid w:val="08877494"/>
    <w:rsid w:val="088774F2"/>
    <w:rsid w:val="08877608"/>
    <w:rsid w:val="08877759"/>
    <w:rsid w:val="088777D2"/>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4"/>
    <w:rsid w:val="08877F88"/>
    <w:rsid w:val="08880054"/>
    <w:rsid w:val="088800C1"/>
    <w:rsid w:val="088800DE"/>
    <w:rsid w:val="088800EB"/>
    <w:rsid w:val="08880126"/>
    <w:rsid w:val="08880139"/>
    <w:rsid w:val="0888019A"/>
    <w:rsid w:val="0888021C"/>
    <w:rsid w:val="088802CB"/>
    <w:rsid w:val="088802F1"/>
    <w:rsid w:val="088803DF"/>
    <w:rsid w:val="088803F7"/>
    <w:rsid w:val="08880425"/>
    <w:rsid w:val="088804CD"/>
    <w:rsid w:val="088804F1"/>
    <w:rsid w:val="08880651"/>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E2B"/>
    <w:rsid w:val="08880E62"/>
    <w:rsid w:val="08880EE3"/>
    <w:rsid w:val="08880F00"/>
    <w:rsid w:val="08880F33"/>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E04"/>
    <w:rsid w:val="08881E9E"/>
    <w:rsid w:val="08881EA3"/>
    <w:rsid w:val="08881EF6"/>
    <w:rsid w:val="08881FCE"/>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BB"/>
    <w:rsid w:val="08882AE0"/>
    <w:rsid w:val="08882B92"/>
    <w:rsid w:val="08882BD0"/>
    <w:rsid w:val="08882C64"/>
    <w:rsid w:val="08882C80"/>
    <w:rsid w:val="08882CD1"/>
    <w:rsid w:val="08882DDA"/>
    <w:rsid w:val="08882DFB"/>
    <w:rsid w:val="08882E13"/>
    <w:rsid w:val="08882E57"/>
    <w:rsid w:val="08882EAD"/>
    <w:rsid w:val="08882EC3"/>
    <w:rsid w:val="08882F89"/>
    <w:rsid w:val="08883053"/>
    <w:rsid w:val="088830CE"/>
    <w:rsid w:val="08883141"/>
    <w:rsid w:val="0888323B"/>
    <w:rsid w:val="08883278"/>
    <w:rsid w:val="088832DA"/>
    <w:rsid w:val="08883416"/>
    <w:rsid w:val="08883445"/>
    <w:rsid w:val="088834AC"/>
    <w:rsid w:val="088834F2"/>
    <w:rsid w:val="08883514"/>
    <w:rsid w:val="08883532"/>
    <w:rsid w:val="08883583"/>
    <w:rsid w:val="08883603"/>
    <w:rsid w:val="08883657"/>
    <w:rsid w:val="088836D6"/>
    <w:rsid w:val="0888374D"/>
    <w:rsid w:val="088837CA"/>
    <w:rsid w:val="0888385C"/>
    <w:rsid w:val="08883874"/>
    <w:rsid w:val="08883900"/>
    <w:rsid w:val="08883931"/>
    <w:rsid w:val="0888395C"/>
    <w:rsid w:val="0888396C"/>
    <w:rsid w:val="088839DF"/>
    <w:rsid w:val="08883CAF"/>
    <w:rsid w:val="08883D63"/>
    <w:rsid w:val="08883DBB"/>
    <w:rsid w:val="08883DC3"/>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D"/>
    <w:rsid w:val="08884502"/>
    <w:rsid w:val="08884528"/>
    <w:rsid w:val="08884682"/>
    <w:rsid w:val="088846CA"/>
    <w:rsid w:val="088846D3"/>
    <w:rsid w:val="088846EE"/>
    <w:rsid w:val="0888476A"/>
    <w:rsid w:val="088849F0"/>
    <w:rsid w:val="08884A86"/>
    <w:rsid w:val="08884AFA"/>
    <w:rsid w:val="08884B58"/>
    <w:rsid w:val="08884B8D"/>
    <w:rsid w:val="08884BCF"/>
    <w:rsid w:val="08884C34"/>
    <w:rsid w:val="08884CDB"/>
    <w:rsid w:val="08884D02"/>
    <w:rsid w:val="08884D2D"/>
    <w:rsid w:val="08884D5E"/>
    <w:rsid w:val="08884D7C"/>
    <w:rsid w:val="08884DBA"/>
    <w:rsid w:val="08884E77"/>
    <w:rsid w:val="08884ED8"/>
    <w:rsid w:val="08884EE1"/>
    <w:rsid w:val="08884F09"/>
    <w:rsid w:val="08884F3E"/>
    <w:rsid w:val="08884FBB"/>
    <w:rsid w:val="088850A5"/>
    <w:rsid w:val="088850EF"/>
    <w:rsid w:val="08885189"/>
    <w:rsid w:val="08885260"/>
    <w:rsid w:val="0888530A"/>
    <w:rsid w:val="08885377"/>
    <w:rsid w:val="088853B8"/>
    <w:rsid w:val="088854F1"/>
    <w:rsid w:val="08885558"/>
    <w:rsid w:val="0888561D"/>
    <w:rsid w:val="0888564D"/>
    <w:rsid w:val="088857C7"/>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81"/>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AB"/>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616"/>
    <w:rsid w:val="08891675"/>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74"/>
    <w:rsid w:val="08891EC8"/>
    <w:rsid w:val="08891EFA"/>
    <w:rsid w:val="08891EFD"/>
    <w:rsid w:val="08891F49"/>
    <w:rsid w:val="088920E5"/>
    <w:rsid w:val="088921AB"/>
    <w:rsid w:val="0889232F"/>
    <w:rsid w:val="08892342"/>
    <w:rsid w:val="088924FB"/>
    <w:rsid w:val="08892530"/>
    <w:rsid w:val="0889254D"/>
    <w:rsid w:val="08892601"/>
    <w:rsid w:val="08892731"/>
    <w:rsid w:val="0889277C"/>
    <w:rsid w:val="08892785"/>
    <w:rsid w:val="088927AF"/>
    <w:rsid w:val="08892829"/>
    <w:rsid w:val="088928BF"/>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B8"/>
    <w:rsid w:val="088940E2"/>
    <w:rsid w:val="08894133"/>
    <w:rsid w:val="0889413F"/>
    <w:rsid w:val="08894142"/>
    <w:rsid w:val="08894168"/>
    <w:rsid w:val="0889417B"/>
    <w:rsid w:val="088943E0"/>
    <w:rsid w:val="088943F9"/>
    <w:rsid w:val="08894412"/>
    <w:rsid w:val="08894415"/>
    <w:rsid w:val="0889443D"/>
    <w:rsid w:val="08894469"/>
    <w:rsid w:val="08894494"/>
    <w:rsid w:val="088944E1"/>
    <w:rsid w:val="088944F4"/>
    <w:rsid w:val="0889452A"/>
    <w:rsid w:val="08894619"/>
    <w:rsid w:val="088947FC"/>
    <w:rsid w:val="08894865"/>
    <w:rsid w:val="0889489A"/>
    <w:rsid w:val="08894902"/>
    <w:rsid w:val="08894A2E"/>
    <w:rsid w:val="08894A36"/>
    <w:rsid w:val="08894ABE"/>
    <w:rsid w:val="08894B11"/>
    <w:rsid w:val="08894BA7"/>
    <w:rsid w:val="08894BB2"/>
    <w:rsid w:val="08894BE5"/>
    <w:rsid w:val="08894BF2"/>
    <w:rsid w:val="08894C56"/>
    <w:rsid w:val="08894CD6"/>
    <w:rsid w:val="08894CDF"/>
    <w:rsid w:val="08894E42"/>
    <w:rsid w:val="08894F13"/>
    <w:rsid w:val="088950E8"/>
    <w:rsid w:val="088950FC"/>
    <w:rsid w:val="0889510D"/>
    <w:rsid w:val="08895118"/>
    <w:rsid w:val="0889511D"/>
    <w:rsid w:val="08895181"/>
    <w:rsid w:val="08895187"/>
    <w:rsid w:val="088951D0"/>
    <w:rsid w:val="088951D8"/>
    <w:rsid w:val="08895217"/>
    <w:rsid w:val="0889521F"/>
    <w:rsid w:val="088952D5"/>
    <w:rsid w:val="088952E4"/>
    <w:rsid w:val="08895338"/>
    <w:rsid w:val="088953B3"/>
    <w:rsid w:val="08895470"/>
    <w:rsid w:val="08895495"/>
    <w:rsid w:val="0889550A"/>
    <w:rsid w:val="0889550F"/>
    <w:rsid w:val="08895546"/>
    <w:rsid w:val="088955D2"/>
    <w:rsid w:val="08895602"/>
    <w:rsid w:val="0889564B"/>
    <w:rsid w:val="08895651"/>
    <w:rsid w:val="088957B1"/>
    <w:rsid w:val="08895822"/>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3F"/>
    <w:rsid w:val="0889618A"/>
    <w:rsid w:val="08896197"/>
    <w:rsid w:val="088961D4"/>
    <w:rsid w:val="088963AD"/>
    <w:rsid w:val="088963C2"/>
    <w:rsid w:val="08896410"/>
    <w:rsid w:val="0889647A"/>
    <w:rsid w:val="08896570"/>
    <w:rsid w:val="0889660B"/>
    <w:rsid w:val="0889664E"/>
    <w:rsid w:val="08896682"/>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12"/>
    <w:rsid w:val="088A0290"/>
    <w:rsid w:val="088A02BA"/>
    <w:rsid w:val="088A02E8"/>
    <w:rsid w:val="088A0337"/>
    <w:rsid w:val="088A039E"/>
    <w:rsid w:val="088A03A8"/>
    <w:rsid w:val="088A03FD"/>
    <w:rsid w:val="088A0402"/>
    <w:rsid w:val="088A04CD"/>
    <w:rsid w:val="088A0616"/>
    <w:rsid w:val="088A0644"/>
    <w:rsid w:val="088A06B0"/>
    <w:rsid w:val="088A09D4"/>
    <w:rsid w:val="088A0A22"/>
    <w:rsid w:val="088A0A99"/>
    <w:rsid w:val="088A0B91"/>
    <w:rsid w:val="088A0BA3"/>
    <w:rsid w:val="088A0BD0"/>
    <w:rsid w:val="088A0C51"/>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6B"/>
    <w:rsid w:val="088A19A2"/>
    <w:rsid w:val="088A19AD"/>
    <w:rsid w:val="088A1A94"/>
    <w:rsid w:val="088A1AAF"/>
    <w:rsid w:val="088A1ADF"/>
    <w:rsid w:val="088A1AE8"/>
    <w:rsid w:val="088A1B25"/>
    <w:rsid w:val="088A1B78"/>
    <w:rsid w:val="088A1BAB"/>
    <w:rsid w:val="088A1C3F"/>
    <w:rsid w:val="088A1C78"/>
    <w:rsid w:val="088A1D34"/>
    <w:rsid w:val="088A1E08"/>
    <w:rsid w:val="088A1E2E"/>
    <w:rsid w:val="088A1E9A"/>
    <w:rsid w:val="088A1EC0"/>
    <w:rsid w:val="088A1F01"/>
    <w:rsid w:val="088A1F2C"/>
    <w:rsid w:val="088A1F76"/>
    <w:rsid w:val="088A2076"/>
    <w:rsid w:val="088A213B"/>
    <w:rsid w:val="088A21A9"/>
    <w:rsid w:val="088A2206"/>
    <w:rsid w:val="088A2210"/>
    <w:rsid w:val="088A2234"/>
    <w:rsid w:val="088A226C"/>
    <w:rsid w:val="088A22AE"/>
    <w:rsid w:val="088A240B"/>
    <w:rsid w:val="088A24C0"/>
    <w:rsid w:val="088A250C"/>
    <w:rsid w:val="088A2651"/>
    <w:rsid w:val="088A26A1"/>
    <w:rsid w:val="088A26F3"/>
    <w:rsid w:val="088A2799"/>
    <w:rsid w:val="088A298D"/>
    <w:rsid w:val="088A2ADC"/>
    <w:rsid w:val="088A2B03"/>
    <w:rsid w:val="088A2C95"/>
    <w:rsid w:val="088A2CB8"/>
    <w:rsid w:val="088A2D16"/>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0C"/>
    <w:rsid w:val="088A337D"/>
    <w:rsid w:val="088A34CA"/>
    <w:rsid w:val="088A370D"/>
    <w:rsid w:val="088A3972"/>
    <w:rsid w:val="088A39C3"/>
    <w:rsid w:val="088A3AF5"/>
    <w:rsid w:val="088A3B9E"/>
    <w:rsid w:val="088A3BC6"/>
    <w:rsid w:val="088A3C63"/>
    <w:rsid w:val="088A3C6C"/>
    <w:rsid w:val="088A3C85"/>
    <w:rsid w:val="088A3D2B"/>
    <w:rsid w:val="088A3D2E"/>
    <w:rsid w:val="088A3D3A"/>
    <w:rsid w:val="088A3D94"/>
    <w:rsid w:val="088A3E26"/>
    <w:rsid w:val="088A3F33"/>
    <w:rsid w:val="088A3F71"/>
    <w:rsid w:val="088A3FBF"/>
    <w:rsid w:val="088A408F"/>
    <w:rsid w:val="088A4202"/>
    <w:rsid w:val="088A4208"/>
    <w:rsid w:val="088A425F"/>
    <w:rsid w:val="088A427F"/>
    <w:rsid w:val="088A42A9"/>
    <w:rsid w:val="088A42F7"/>
    <w:rsid w:val="088A439C"/>
    <w:rsid w:val="088A4417"/>
    <w:rsid w:val="088A4432"/>
    <w:rsid w:val="088A44BC"/>
    <w:rsid w:val="088A44F6"/>
    <w:rsid w:val="088A4648"/>
    <w:rsid w:val="088A4767"/>
    <w:rsid w:val="088A4769"/>
    <w:rsid w:val="088A47B6"/>
    <w:rsid w:val="088A47E8"/>
    <w:rsid w:val="088A4836"/>
    <w:rsid w:val="088A4910"/>
    <w:rsid w:val="088A49A0"/>
    <w:rsid w:val="088A49AA"/>
    <w:rsid w:val="088A49B2"/>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9A4"/>
    <w:rsid w:val="088A6A15"/>
    <w:rsid w:val="088A6A24"/>
    <w:rsid w:val="088A6A3D"/>
    <w:rsid w:val="088A6B0C"/>
    <w:rsid w:val="088A6B50"/>
    <w:rsid w:val="088A6B61"/>
    <w:rsid w:val="088A6BFD"/>
    <w:rsid w:val="088A6C34"/>
    <w:rsid w:val="088A6C49"/>
    <w:rsid w:val="088A6CCE"/>
    <w:rsid w:val="088A6D23"/>
    <w:rsid w:val="088A6DDF"/>
    <w:rsid w:val="088A6EC5"/>
    <w:rsid w:val="088A6FD0"/>
    <w:rsid w:val="088A6FED"/>
    <w:rsid w:val="088A7003"/>
    <w:rsid w:val="088A709F"/>
    <w:rsid w:val="088A70BD"/>
    <w:rsid w:val="088A7203"/>
    <w:rsid w:val="088A726E"/>
    <w:rsid w:val="088A7278"/>
    <w:rsid w:val="088A72E8"/>
    <w:rsid w:val="088A732D"/>
    <w:rsid w:val="088A73E1"/>
    <w:rsid w:val="088A7402"/>
    <w:rsid w:val="088A74F1"/>
    <w:rsid w:val="088A75CB"/>
    <w:rsid w:val="088A77AA"/>
    <w:rsid w:val="088A77D6"/>
    <w:rsid w:val="088A7800"/>
    <w:rsid w:val="088A7975"/>
    <w:rsid w:val="088A798F"/>
    <w:rsid w:val="088A79CE"/>
    <w:rsid w:val="088A7A00"/>
    <w:rsid w:val="088A7AD3"/>
    <w:rsid w:val="088A7BBC"/>
    <w:rsid w:val="088A7D43"/>
    <w:rsid w:val="088A7D45"/>
    <w:rsid w:val="088A7FDF"/>
    <w:rsid w:val="088B0068"/>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A3"/>
    <w:rsid w:val="088B05FA"/>
    <w:rsid w:val="088B0606"/>
    <w:rsid w:val="088B071C"/>
    <w:rsid w:val="088B0750"/>
    <w:rsid w:val="088B075B"/>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EDC"/>
    <w:rsid w:val="088B1FA0"/>
    <w:rsid w:val="088B1FAD"/>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1"/>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2B3"/>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C0"/>
    <w:rsid w:val="088B3DE9"/>
    <w:rsid w:val="088B3DEA"/>
    <w:rsid w:val="088B3E1C"/>
    <w:rsid w:val="088B3ECD"/>
    <w:rsid w:val="088B3EDF"/>
    <w:rsid w:val="088B3F1F"/>
    <w:rsid w:val="088B3F64"/>
    <w:rsid w:val="088B4031"/>
    <w:rsid w:val="088B4178"/>
    <w:rsid w:val="088B4182"/>
    <w:rsid w:val="088B41BE"/>
    <w:rsid w:val="088B4251"/>
    <w:rsid w:val="088B427D"/>
    <w:rsid w:val="088B42D1"/>
    <w:rsid w:val="088B442A"/>
    <w:rsid w:val="088B44CE"/>
    <w:rsid w:val="088B4579"/>
    <w:rsid w:val="088B45D3"/>
    <w:rsid w:val="088B4633"/>
    <w:rsid w:val="088B4690"/>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C5"/>
    <w:rsid w:val="088B51E3"/>
    <w:rsid w:val="088B52B7"/>
    <w:rsid w:val="088B52C4"/>
    <w:rsid w:val="088B53B3"/>
    <w:rsid w:val="088B5486"/>
    <w:rsid w:val="088B54CA"/>
    <w:rsid w:val="088B560D"/>
    <w:rsid w:val="088B5708"/>
    <w:rsid w:val="088B5749"/>
    <w:rsid w:val="088B57C2"/>
    <w:rsid w:val="088B58DA"/>
    <w:rsid w:val="088B58DF"/>
    <w:rsid w:val="088B5944"/>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4F"/>
    <w:rsid w:val="088B62D8"/>
    <w:rsid w:val="088B6382"/>
    <w:rsid w:val="088B6415"/>
    <w:rsid w:val="088B645A"/>
    <w:rsid w:val="088B646B"/>
    <w:rsid w:val="088B6489"/>
    <w:rsid w:val="088B6497"/>
    <w:rsid w:val="088B652E"/>
    <w:rsid w:val="088B6548"/>
    <w:rsid w:val="088B6611"/>
    <w:rsid w:val="088B6681"/>
    <w:rsid w:val="088B6696"/>
    <w:rsid w:val="088B66D0"/>
    <w:rsid w:val="088B66EA"/>
    <w:rsid w:val="088B6869"/>
    <w:rsid w:val="088B68D8"/>
    <w:rsid w:val="088B6942"/>
    <w:rsid w:val="088B69C5"/>
    <w:rsid w:val="088B6B3D"/>
    <w:rsid w:val="088B6B4C"/>
    <w:rsid w:val="088B6B5F"/>
    <w:rsid w:val="088B6B7D"/>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F5"/>
    <w:rsid w:val="088B7C96"/>
    <w:rsid w:val="088B7CF5"/>
    <w:rsid w:val="088B7DBC"/>
    <w:rsid w:val="088B7E7E"/>
    <w:rsid w:val="088B7E9C"/>
    <w:rsid w:val="088B7EBA"/>
    <w:rsid w:val="088B7EE0"/>
    <w:rsid w:val="088B7F40"/>
    <w:rsid w:val="088B7F4F"/>
    <w:rsid w:val="088C0057"/>
    <w:rsid w:val="088C006D"/>
    <w:rsid w:val="088C014F"/>
    <w:rsid w:val="088C0276"/>
    <w:rsid w:val="088C02A4"/>
    <w:rsid w:val="088C03A3"/>
    <w:rsid w:val="088C0439"/>
    <w:rsid w:val="088C0551"/>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D0D"/>
    <w:rsid w:val="088C0F8F"/>
    <w:rsid w:val="088C0F93"/>
    <w:rsid w:val="088C1077"/>
    <w:rsid w:val="088C108A"/>
    <w:rsid w:val="088C10B3"/>
    <w:rsid w:val="088C1137"/>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B2"/>
    <w:rsid w:val="088C18E9"/>
    <w:rsid w:val="088C19F9"/>
    <w:rsid w:val="088C19FB"/>
    <w:rsid w:val="088C1A7A"/>
    <w:rsid w:val="088C1AC9"/>
    <w:rsid w:val="088C1B04"/>
    <w:rsid w:val="088C1B3B"/>
    <w:rsid w:val="088C1B3D"/>
    <w:rsid w:val="088C1B48"/>
    <w:rsid w:val="088C1B6C"/>
    <w:rsid w:val="088C1B95"/>
    <w:rsid w:val="088C1C25"/>
    <w:rsid w:val="088C1D23"/>
    <w:rsid w:val="088C1E27"/>
    <w:rsid w:val="088C1EAE"/>
    <w:rsid w:val="088C1EE1"/>
    <w:rsid w:val="088C1FAA"/>
    <w:rsid w:val="088C2011"/>
    <w:rsid w:val="088C20CC"/>
    <w:rsid w:val="088C216D"/>
    <w:rsid w:val="088C217D"/>
    <w:rsid w:val="088C2267"/>
    <w:rsid w:val="088C239E"/>
    <w:rsid w:val="088C2414"/>
    <w:rsid w:val="088C2459"/>
    <w:rsid w:val="088C24DB"/>
    <w:rsid w:val="088C2524"/>
    <w:rsid w:val="088C25CA"/>
    <w:rsid w:val="088C25FC"/>
    <w:rsid w:val="088C2630"/>
    <w:rsid w:val="088C2655"/>
    <w:rsid w:val="088C2694"/>
    <w:rsid w:val="088C26B1"/>
    <w:rsid w:val="088C2714"/>
    <w:rsid w:val="088C2777"/>
    <w:rsid w:val="088C281D"/>
    <w:rsid w:val="088C28E8"/>
    <w:rsid w:val="088C29B0"/>
    <w:rsid w:val="088C2A40"/>
    <w:rsid w:val="088C2AAA"/>
    <w:rsid w:val="088C2C24"/>
    <w:rsid w:val="088C2C8A"/>
    <w:rsid w:val="088C2CE1"/>
    <w:rsid w:val="088C2D10"/>
    <w:rsid w:val="088C2E34"/>
    <w:rsid w:val="088C2F24"/>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3B"/>
    <w:rsid w:val="088C36EB"/>
    <w:rsid w:val="088C374E"/>
    <w:rsid w:val="088C37F6"/>
    <w:rsid w:val="088C3838"/>
    <w:rsid w:val="088C392D"/>
    <w:rsid w:val="088C3A93"/>
    <w:rsid w:val="088C3AC2"/>
    <w:rsid w:val="088C3B33"/>
    <w:rsid w:val="088C3B74"/>
    <w:rsid w:val="088C3BBB"/>
    <w:rsid w:val="088C3BFE"/>
    <w:rsid w:val="088C3CAB"/>
    <w:rsid w:val="088C3CEF"/>
    <w:rsid w:val="088C3D49"/>
    <w:rsid w:val="088C3DBD"/>
    <w:rsid w:val="088C3DF4"/>
    <w:rsid w:val="088C3E9F"/>
    <w:rsid w:val="088C3EB1"/>
    <w:rsid w:val="088C3F03"/>
    <w:rsid w:val="088C4099"/>
    <w:rsid w:val="088C4118"/>
    <w:rsid w:val="088C4141"/>
    <w:rsid w:val="088C4285"/>
    <w:rsid w:val="088C4289"/>
    <w:rsid w:val="088C428D"/>
    <w:rsid w:val="088C42F8"/>
    <w:rsid w:val="088C4423"/>
    <w:rsid w:val="088C44F3"/>
    <w:rsid w:val="088C452C"/>
    <w:rsid w:val="088C458F"/>
    <w:rsid w:val="088C4600"/>
    <w:rsid w:val="088C4694"/>
    <w:rsid w:val="088C4778"/>
    <w:rsid w:val="088C482A"/>
    <w:rsid w:val="088C4837"/>
    <w:rsid w:val="088C4858"/>
    <w:rsid w:val="088C48F0"/>
    <w:rsid w:val="088C4987"/>
    <w:rsid w:val="088C49E1"/>
    <w:rsid w:val="088C4AD6"/>
    <w:rsid w:val="088C4B87"/>
    <w:rsid w:val="088C4BE1"/>
    <w:rsid w:val="088C4D43"/>
    <w:rsid w:val="088C4F3B"/>
    <w:rsid w:val="088C5033"/>
    <w:rsid w:val="088C50B3"/>
    <w:rsid w:val="088C5133"/>
    <w:rsid w:val="088C51C3"/>
    <w:rsid w:val="088C51E6"/>
    <w:rsid w:val="088C51ED"/>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71"/>
    <w:rsid w:val="088C5D8B"/>
    <w:rsid w:val="088C5E19"/>
    <w:rsid w:val="088C5ED9"/>
    <w:rsid w:val="088C5F1E"/>
    <w:rsid w:val="088C5F2B"/>
    <w:rsid w:val="088C5FA5"/>
    <w:rsid w:val="088C608F"/>
    <w:rsid w:val="088C60A1"/>
    <w:rsid w:val="088C60A8"/>
    <w:rsid w:val="088C60B4"/>
    <w:rsid w:val="088C60F8"/>
    <w:rsid w:val="088C616A"/>
    <w:rsid w:val="088C629F"/>
    <w:rsid w:val="088C62B3"/>
    <w:rsid w:val="088C62D0"/>
    <w:rsid w:val="088C62E6"/>
    <w:rsid w:val="088C6370"/>
    <w:rsid w:val="088C6467"/>
    <w:rsid w:val="088C652B"/>
    <w:rsid w:val="088C6534"/>
    <w:rsid w:val="088C65C4"/>
    <w:rsid w:val="088C6828"/>
    <w:rsid w:val="088C6835"/>
    <w:rsid w:val="088C688C"/>
    <w:rsid w:val="088C68C9"/>
    <w:rsid w:val="088C68E1"/>
    <w:rsid w:val="088C6951"/>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42"/>
    <w:rsid w:val="088C7F7D"/>
    <w:rsid w:val="088D0035"/>
    <w:rsid w:val="088D0097"/>
    <w:rsid w:val="088D00BB"/>
    <w:rsid w:val="088D0111"/>
    <w:rsid w:val="088D0124"/>
    <w:rsid w:val="088D01AB"/>
    <w:rsid w:val="088D01D6"/>
    <w:rsid w:val="088D0262"/>
    <w:rsid w:val="088D02BB"/>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B0"/>
    <w:rsid w:val="088D0BC2"/>
    <w:rsid w:val="088D0BED"/>
    <w:rsid w:val="088D0C22"/>
    <w:rsid w:val="088D0CEF"/>
    <w:rsid w:val="088D0D3C"/>
    <w:rsid w:val="088D0DF1"/>
    <w:rsid w:val="088D0E25"/>
    <w:rsid w:val="088D0E64"/>
    <w:rsid w:val="088D0EC7"/>
    <w:rsid w:val="088D0F14"/>
    <w:rsid w:val="088D0F2D"/>
    <w:rsid w:val="088D1023"/>
    <w:rsid w:val="088D10F2"/>
    <w:rsid w:val="088D1334"/>
    <w:rsid w:val="088D1377"/>
    <w:rsid w:val="088D13C3"/>
    <w:rsid w:val="088D1576"/>
    <w:rsid w:val="088D15A6"/>
    <w:rsid w:val="088D16E9"/>
    <w:rsid w:val="088D1715"/>
    <w:rsid w:val="088D17BB"/>
    <w:rsid w:val="088D17E9"/>
    <w:rsid w:val="088D1955"/>
    <w:rsid w:val="088D1AFC"/>
    <w:rsid w:val="088D1C79"/>
    <w:rsid w:val="088D1D1C"/>
    <w:rsid w:val="088D1D28"/>
    <w:rsid w:val="088D1D44"/>
    <w:rsid w:val="088D1D49"/>
    <w:rsid w:val="088D1D4F"/>
    <w:rsid w:val="088D1E36"/>
    <w:rsid w:val="088D1E97"/>
    <w:rsid w:val="088D1F19"/>
    <w:rsid w:val="088D1F7A"/>
    <w:rsid w:val="088D2046"/>
    <w:rsid w:val="088D20AB"/>
    <w:rsid w:val="088D2206"/>
    <w:rsid w:val="088D2210"/>
    <w:rsid w:val="088D2312"/>
    <w:rsid w:val="088D232C"/>
    <w:rsid w:val="088D232D"/>
    <w:rsid w:val="088D23AD"/>
    <w:rsid w:val="088D247E"/>
    <w:rsid w:val="088D25DE"/>
    <w:rsid w:val="088D2679"/>
    <w:rsid w:val="088D2775"/>
    <w:rsid w:val="088D2841"/>
    <w:rsid w:val="088D28D0"/>
    <w:rsid w:val="088D298D"/>
    <w:rsid w:val="088D2993"/>
    <w:rsid w:val="088D2A03"/>
    <w:rsid w:val="088D2A35"/>
    <w:rsid w:val="088D2A42"/>
    <w:rsid w:val="088D2A9F"/>
    <w:rsid w:val="088D2C40"/>
    <w:rsid w:val="088D2C65"/>
    <w:rsid w:val="088D2C78"/>
    <w:rsid w:val="088D2D00"/>
    <w:rsid w:val="088D2D98"/>
    <w:rsid w:val="088D2DA5"/>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9"/>
    <w:rsid w:val="088D33B6"/>
    <w:rsid w:val="088D33D0"/>
    <w:rsid w:val="088D3410"/>
    <w:rsid w:val="088D3455"/>
    <w:rsid w:val="088D34EF"/>
    <w:rsid w:val="088D3506"/>
    <w:rsid w:val="088D3592"/>
    <w:rsid w:val="088D359C"/>
    <w:rsid w:val="088D367F"/>
    <w:rsid w:val="088D36E9"/>
    <w:rsid w:val="088D3712"/>
    <w:rsid w:val="088D38F9"/>
    <w:rsid w:val="088D3912"/>
    <w:rsid w:val="088D393E"/>
    <w:rsid w:val="088D3957"/>
    <w:rsid w:val="088D39CE"/>
    <w:rsid w:val="088D3A9D"/>
    <w:rsid w:val="088D3B3E"/>
    <w:rsid w:val="088D3B72"/>
    <w:rsid w:val="088D3BB1"/>
    <w:rsid w:val="088D3CDD"/>
    <w:rsid w:val="088D3D49"/>
    <w:rsid w:val="088D3F2D"/>
    <w:rsid w:val="088D3F4A"/>
    <w:rsid w:val="088D4053"/>
    <w:rsid w:val="088D40C3"/>
    <w:rsid w:val="088D422F"/>
    <w:rsid w:val="088D426E"/>
    <w:rsid w:val="088D4278"/>
    <w:rsid w:val="088D42E9"/>
    <w:rsid w:val="088D4300"/>
    <w:rsid w:val="088D4309"/>
    <w:rsid w:val="088D4358"/>
    <w:rsid w:val="088D4374"/>
    <w:rsid w:val="088D43B3"/>
    <w:rsid w:val="088D43C2"/>
    <w:rsid w:val="088D43EB"/>
    <w:rsid w:val="088D4457"/>
    <w:rsid w:val="088D44DE"/>
    <w:rsid w:val="088D4520"/>
    <w:rsid w:val="088D4530"/>
    <w:rsid w:val="088D4622"/>
    <w:rsid w:val="088D4651"/>
    <w:rsid w:val="088D470D"/>
    <w:rsid w:val="088D4773"/>
    <w:rsid w:val="088D4800"/>
    <w:rsid w:val="088D4855"/>
    <w:rsid w:val="088D48AB"/>
    <w:rsid w:val="088D48F4"/>
    <w:rsid w:val="088D493B"/>
    <w:rsid w:val="088D4998"/>
    <w:rsid w:val="088D49B3"/>
    <w:rsid w:val="088D49CA"/>
    <w:rsid w:val="088D49E9"/>
    <w:rsid w:val="088D4A18"/>
    <w:rsid w:val="088D4A2C"/>
    <w:rsid w:val="088D4A69"/>
    <w:rsid w:val="088D4A6F"/>
    <w:rsid w:val="088D4A7E"/>
    <w:rsid w:val="088D4B78"/>
    <w:rsid w:val="088D4BA3"/>
    <w:rsid w:val="088D4BF7"/>
    <w:rsid w:val="088D4CE2"/>
    <w:rsid w:val="088D4D44"/>
    <w:rsid w:val="088D4DBE"/>
    <w:rsid w:val="088D4DC7"/>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D1"/>
    <w:rsid w:val="088D54FE"/>
    <w:rsid w:val="088D5528"/>
    <w:rsid w:val="088D562B"/>
    <w:rsid w:val="088D5636"/>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DE9"/>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638"/>
    <w:rsid w:val="088D6657"/>
    <w:rsid w:val="088D66A1"/>
    <w:rsid w:val="088D6717"/>
    <w:rsid w:val="088D6761"/>
    <w:rsid w:val="088D6780"/>
    <w:rsid w:val="088D67B7"/>
    <w:rsid w:val="088D683B"/>
    <w:rsid w:val="088D6A07"/>
    <w:rsid w:val="088D6A5F"/>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D36"/>
    <w:rsid w:val="088D7DFC"/>
    <w:rsid w:val="088D7E32"/>
    <w:rsid w:val="088D7E39"/>
    <w:rsid w:val="088D7E86"/>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7B"/>
    <w:rsid w:val="088E07B8"/>
    <w:rsid w:val="088E0829"/>
    <w:rsid w:val="088E086A"/>
    <w:rsid w:val="088E089C"/>
    <w:rsid w:val="088E08E5"/>
    <w:rsid w:val="088E0952"/>
    <w:rsid w:val="088E09C8"/>
    <w:rsid w:val="088E09D7"/>
    <w:rsid w:val="088E09E8"/>
    <w:rsid w:val="088E09FC"/>
    <w:rsid w:val="088E0AEB"/>
    <w:rsid w:val="088E0BF9"/>
    <w:rsid w:val="088E0E5C"/>
    <w:rsid w:val="088E0E8E"/>
    <w:rsid w:val="088E0EB8"/>
    <w:rsid w:val="088E0F66"/>
    <w:rsid w:val="088E0FBA"/>
    <w:rsid w:val="088E114C"/>
    <w:rsid w:val="088E11CC"/>
    <w:rsid w:val="088E1268"/>
    <w:rsid w:val="088E1301"/>
    <w:rsid w:val="088E131A"/>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1ECF"/>
    <w:rsid w:val="088E1F3F"/>
    <w:rsid w:val="088E200B"/>
    <w:rsid w:val="088E2034"/>
    <w:rsid w:val="088E209B"/>
    <w:rsid w:val="088E20F8"/>
    <w:rsid w:val="088E2151"/>
    <w:rsid w:val="088E216D"/>
    <w:rsid w:val="088E2192"/>
    <w:rsid w:val="088E21C2"/>
    <w:rsid w:val="088E21C4"/>
    <w:rsid w:val="088E21DD"/>
    <w:rsid w:val="088E22D2"/>
    <w:rsid w:val="088E23DF"/>
    <w:rsid w:val="088E24CF"/>
    <w:rsid w:val="088E25C1"/>
    <w:rsid w:val="088E266B"/>
    <w:rsid w:val="088E270C"/>
    <w:rsid w:val="088E2778"/>
    <w:rsid w:val="088E2850"/>
    <w:rsid w:val="088E285F"/>
    <w:rsid w:val="088E286E"/>
    <w:rsid w:val="088E28E5"/>
    <w:rsid w:val="088E2923"/>
    <w:rsid w:val="088E29D1"/>
    <w:rsid w:val="088E29E3"/>
    <w:rsid w:val="088E2A4E"/>
    <w:rsid w:val="088E2A5A"/>
    <w:rsid w:val="088E2ADA"/>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68"/>
    <w:rsid w:val="088E337C"/>
    <w:rsid w:val="088E3470"/>
    <w:rsid w:val="088E347E"/>
    <w:rsid w:val="088E347F"/>
    <w:rsid w:val="088E348D"/>
    <w:rsid w:val="088E3680"/>
    <w:rsid w:val="088E38D1"/>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8E"/>
    <w:rsid w:val="088E40D0"/>
    <w:rsid w:val="088E411A"/>
    <w:rsid w:val="088E42C6"/>
    <w:rsid w:val="088E42EF"/>
    <w:rsid w:val="088E440D"/>
    <w:rsid w:val="088E4486"/>
    <w:rsid w:val="088E450D"/>
    <w:rsid w:val="088E4624"/>
    <w:rsid w:val="088E471F"/>
    <w:rsid w:val="088E4788"/>
    <w:rsid w:val="088E4789"/>
    <w:rsid w:val="088E481E"/>
    <w:rsid w:val="088E4977"/>
    <w:rsid w:val="088E4990"/>
    <w:rsid w:val="088E49A7"/>
    <w:rsid w:val="088E4A16"/>
    <w:rsid w:val="088E4AA7"/>
    <w:rsid w:val="088E4ABC"/>
    <w:rsid w:val="088E4B0A"/>
    <w:rsid w:val="088E4BC1"/>
    <w:rsid w:val="088E4BC5"/>
    <w:rsid w:val="088E4CBE"/>
    <w:rsid w:val="088E4CF2"/>
    <w:rsid w:val="088E4D50"/>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30"/>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08"/>
    <w:rsid w:val="088E6314"/>
    <w:rsid w:val="088E632F"/>
    <w:rsid w:val="088E6331"/>
    <w:rsid w:val="088E6370"/>
    <w:rsid w:val="088E6382"/>
    <w:rsid w:val="088E63B5"/>
    <w:rsid w:val="088E6406"/>
    <w:rsid w:val="088E651D"/>
    <w:rsid w:val="088E657B"/>
    <w:rsid w:val="088E65E4"/>
    <w:rsid w:val="088E65F3"/>
    <w:rsid w:val="088E665D"/>
    <w:rsid w:val="088E66CF"/>
    <w:rsid w:val="088E66D3"/>
    <w:rsid w:val="088E6737"/>
    <w:rsid w:val="088E67AB"/>
    <w:rsid w:val="088E67CC"/>
    <w:rsid w:val="088E6844"/>
    <w:rsid w:val="088E690C"/>
    <w:rsid w:val="088E6912"/>
    <w:rsid w:val="088E6926"/>
    <w:rsid w:val="088E6985"/>
    <w:rsid w:val="088E69D9"/>
    <w:rsid w:val="088E6AFA"/>
    <w:rsid w:val="088E6AFE"/>
    <w:rsid w:val="088E6BBD"/>
    <w:rsid w:val="088E6BD4"/>
    <w:rsid w:val="088E6C6D"/>
    <w:rsid w:val="088E6D56"/>
    <w:rsid w:val="088E6D85"/>
    <w:rsid w:val="088E6DB0"/>
    <w:rsid w:val="088E6DD6"/>
    <w:rsid w:val="088E6DE0"/>
    <w:rsid w:val="088E6EEC"/>
    <w:rsid w:val="088E6F5A"/>
    <w:rsid w:val="088E6FF5"/>
    <w:rsid w:val="088E7014"/>
    <w:rsid w:val="088E711A"/>
    <w:rsid w:val="088E7218"/>
    <w:rsid w:val="088E724E"/>
    <w:rsid w:val="088E72CD"/>
    <w:rsid w:val="088E7302"/>
    <w:rsid w:val="088E7406"/>
    <w:rsid w:val="088E742A"/>
    <w:rsid w:val="088E7490"/>
    <w:rsid w:val="088E74B0"/>
    <w:rsid w:val="088E751D"/>
    <w:rsid w:val="088E7546"/>
    <w:rsid w:val="088E76A3"/>
    <w:rsid w:val="088E76A8"/>
    <w:rsid w:val="088E7706"/>
    <w:rsid w:val="088E77AC"/>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06"/>
    <w:rsid w:val="088F0121"/>
    <w:rsid w:val="088F0124"/>
    <w:rsid w:val="088F019B"/>
    <w:rsid w:val="088F01D4"/>
    <w:rsid w:val="088F0241"/>
    <w:rsid w:val="088F0267"/>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121"/>
    <w:rsid w:val="088F1124"/>
    <w:rsid w:val="088F1176"/>
    <w:rsid w:val="088F11DE"/>
    <w:rsid w:val="088F12EB"/>
    <w:rsid w:val="088F1347"/>
    <w:rsid w:val="088F1390"/>
    <w:rsid w:val="088F13BC"/>
    <w:rsid w:val="088F1428"/>
    <w:rsid w:val="088F14EA"/>
    <w:rsid w:val="088F155C"/>
    <w:rsid w:val="088F1697"/>
    <w:rsid w:val="088F16AE"/>
    <w:rsid w:val="088F16E6"/>
    <w:rsid w:val="088F1753"/>
    <w:rsid w:val="088F184C"/>
    <w:rsid w:val="088F1942"/>
    <w:rsid w:val="088F19A5"/>
    <w:rsid w:val="088F1A9E"/>
    <w:rsid w:val="088F1B4B"/>
    <w:rsid w:val="088F1B5A"/>
    <w:rsid w:val="088F1C21"/>
    <w:rsid w:val="088F1C41"/>
    <w:rsid w:val="088F1C76"/>
    <w:rsid w:val="088F1C8F"/>
    <w:rsid w:val="088F1CDE"/>
    <w:rsid w:val="088F1CE2"/>
    <w:rsid w:val="088F1CF0"/>
    <w:rsid w:val="088F1D98"/>
    <w:rsid w:val="088F1DC4"/>
    <w:rsid w:val="088F1E1D"/>
    <w:rsid w:val="088F1E22"/>
    <w:rsid w:val="088F1E40"/>
    <w:rsid w:val="088F1E66"/>
    <w:rsid w:val="088F1E78"/>
    <w:rsid w:val="088F2066"/>
    <w:rsid w:val="088F2079"/>
    <w:rsid w:val="088F20C2"/>
    <w:rsid w:val="088F2117"/>
    <w:rsid w:val="088F21D4"/>
    <w:rsid w:val="088F221E"/>
    <w:rsid w:val="088F229B"/>
    <w:rsid w:val="088F22EC"/>
    <w:rsid w:val="088F235E"/>
    <w:rsid w:val="088F23CB"/>
    <w:rsid w:val="088F2412"/>
    <w:rsid w:val="088F248F"/>
    <w:rsid w:val="088F24C5"/>
    <w:rsid w:val="088F2567"/>
    <w:rsid w:val="088F25C1"/>
    <w:rsid w:val="088F25D9"/>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71"/>
    <w:rsid w:val="088F382C"/>
    <w:rsid w:val="088F393A"/>
    <w:rsid w:val="088F3A9C"/>
    <w:rsid w:val="088F3A9E"/>
    <w:rsid w:val="088F3AB8"/>
    <w:rsid w:val="088F3B04"/>
    <w:rsid w:val="088F3BDA"/>
    <w:rsid w:val="088F3C24"/>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29A"/>
    <w:rsid w:val="088F441D"/>
    <w:rsid w:val="088F4467"/>
    <w:rsid w:val="088F449D"/>
    <w:rsid w:val="088F44D1"/>
    <w:rsid w:val="088F44D7"/>
    <w:rsid w:val="088F452C"/>
    <w:rsid w:val="088F4679"/>
    <w:rsid w:val="088F480E"/>
    <w:rsid w:val="088F48ED"/>
    <w:rsid w:val="088F48F2"/>
    <w:rsid w:val="088F492F"/>
    <w:rsid w:val="088F49F5"/>
    <w:rsid w:val="088F49FD"/>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1C1"/>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74"/>
    <w:rsid w:val="088F6097"/>
    <w:rsid w:val="088F60F3"/>
    <w:rsid w:val="088F6180"/>
    <w:rsid w:val="088F6298"/>
    <w:rsid w:val="088F6321"/>
    <w:rsid w:val="088F632B"/>
    <w:rsid w:val="088F64BD"/>
    <w:rsid w:val="088F64E6"/>
    <w:rsid w:val="088F655B"/>
    <w:rsid w:val="088F6664"/>
    <w:rsid w:val="088F66AA"/>
    <w:rsid w:val="088F66E8"/>
    <w:rsid w:val="088F6740"/>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61"/>
    <w:rsid w:val="088F73B7"/>
    <w:rsid w:val="088F7423"/>
    <w:rsid w:val="088F74D1"/>
    <w:rsid w:val="088F753C"/>
    <w:rsid w:val="088F763F"/>
    <w:rsid w:val="088F76C6"/>
    <w:rsid w:val="088F76E9"/>
    <w:rsid w:val="088F779E"/>
    <w:rsid w:val="088F77F9"/>
    <w:rsid w:val="088F7864"/>
    <w:rsid w:val="088F7884"/>
    <w:rsid w:val="088F7994"/>
    <w:rsid w:val="088F79F2"/>
    <w:rsid w:val="088F7A9F"/>
    <w:rsid w:val="088F7C3B"/>
    <w:rsid w:val="088F7C3D"/>
    <w:rsid w:val="088F7C55"/>
    <w:rsid w:val="088F7CF7"/>
    <w:rsid w:val="088F7D5B"/>
    <w:rsid w:val="088F7D64"/>
    <w:rsid w:val="088F7ED8"/>
    <w:rsid w:val="088F7F84"/>
    <w:rsid w:val="088F7FB9"/>
    <w:rsid w:val="0890001A"/>
    <w:rsid w:val="089000B2"/>
    <w:rsid w:val="0890010B"/>
    <w:rsid w:val="08900156"/>
    <w:rsid w:val="08900160"/>
    <w:rsid w:val="089001F3"/>
    <w:rsid w:val="0890028C"/>
    <w:rsid w:val="0890030D"/>
    <w:rsid w:val="08900316"/>
    <w:rsid w:val="0890034A"/>
    <w:rsid w:val="089003BC"/>
    <w:rsid w:val="089003F2"/>
    <w:rsid w:val="08900493"/>
    <w:rsid w:val="089004A7"/>
    <w:rsid w:val="089004FC"/>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AD0"/>
    <w:rsid w:val="08900BB5"/>
    <w:rsid w:val="08900D6C"/>
    <w:rsid w:val="08900DCD"/>
    <w:rsid w:val="08900E35"/>
    <w:rsid w:val="08900E4C"/>
    <w:rsid w:val="08900E81"/>
    <w:rsid w:val="08900E8D"/>
    <w:rsid w:val="08900F24"/>
    <w:rsid w:val="08900FE3"/>
    <w:rsid w:val="08901103"/>
    <w:rsid w:val="0890114A"/>
    <w:rsid w:val="08901165"/>
    <w:rsid w:val="08901180"/>
    <w:rsid w:val="0890119C"/>
    <w:rsid w:val="089011C8"/>
    <w:rsid w:val="089011D2"/>
    <w:rsid w:val="08901200"/>
    <w:rsid w:val="089012A4"/>
    <w:rsid w:val="08901318"/>
    <w:rsid w:val="0890132A"/>
    <w:rsid w:val="08901396"/>
    <w:rsid w:val="089014FF"/>
    <w:rsid w:val="08901531"/>
    <w:rsid w:val="08901566"/>
    <w:rsid w:val="08901568"/>
    <w:rsid w:val="089016D8"/>
    <w:rsid w:val="08901741"/>
    <w:rsid w:val="08901755"/>
    <w:rsid w:val="08901783"/>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ECA"/>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B16"/>
    <w:rsid w:val="08902B2F"/>
    <w:rsid w:val="08902D3F"/>
    <w:rsid w:val="08902D48"/>
    <w:rsid w:val="08902D58"/>
    <w:rsid w:val="08902DE9"/>
    <w:rsid w:val="08902EEA"/>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6FF"/>
    <w:rsid w:val="08903741"/>
    <w:rsid w:val="089037A1"/>
    <w:rsid w:val="089037DE"/>
    <w:rsid w:val="089037E3"/>
    <w:rsid w:val="08903816"/>
    <w:rsid w:val="0890383B"/>
    <w:rsid w:val="08903886"/>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92"/>
    <w:rsid w:val="089041BE"/>
    <w:rsid w:val="089041C9"/>
    <w:rsid w:val="089041EA"/>
    <w:rsid w:val="089041FB"/>
    <w:rsid w:val="089043A7"/>
    <w:rsid w:val="08904402"/>
    <w:rsid w:val="0890443C"/>
    <w:rsid w:val="089044EC"/>
    <w:rsid w:val="08904500"/>
    <w:rsid w:val="0890451A"/>
    <w:rsid w:val="08904534"/>
    <w:rsid w:val="0890456F"/>
    <w:rsid w:val="08904575"/>
    <w:rsid w:val="08904579"/>
    <w:rsid w:val="089045E4"/>
    <w:rsid w:val="089046DC"/>
    <w:rsid w:val="08904708"/>
    <w:rsid w:val="089047E0"/>
    <w:rsid w:val="0890481C"/>
    <w:rsid w:val="089048B6"/>
    <w:rsid w:val="089048C2"/>
    <w:rsid w:val="089048D4"/>
    <w:rsid w:val="0890498C"/>
    <w:rsid w:val="08904A47"/>
    <w:rsid w:val="08904B07"/>
    <w:rsid w:val="08904B08"/>
    <w:rsid w:val="08904B10"/>
    <w:rsid w:val="08904B11"/>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99"/>
    <w:rsid w:val="08904FF0"/>
    <w:rsid w:val="08904FFE"/>
    <w:rsid w:val="08905014"/>
    <w:rsid w:val="089050A2"/>
    <w:rsid w:val="08905162"/>
    <w:rsid w:val="089051B7"/>
    <w:rsid w:val="089052B1"/>
    <w:rsid w:val="089052F1"/>
    <w:rsid w:val="089052FF"/>
    <w:rsid w:val="08905300"/>
    <w:rsid w:val="089053C2"/>
    <w:rsid w:val="0890541D"/>
    <w:rsid w:val="08905508"/>
    <w:rsid w:val="089056D6"/>
    <w:rsid w:val="08905764"/>
    <w:rsid w:val="0890576B"/>
    <w:rsid w:val="0890576F"/>
    <w:rsid w:val="089057DE"/>
    <w:rsid w:val="08905800"/>
    <w:rsid w:val="08905856"/>
    <w:rsid w:val="089058D4"/>
    <w:rsid w:val="08905924"/>
    <w:rsid w:val="0890597F"/>
    <w:rsid w:val="08905AA9"/>
    <w:rsid w:val="08905AED"/>
    <w:rsid w:val="08905B18"/>
    <w:rsid w:val="08905B26"/>
    <w:rsid w:val="08905BCE"/>
    <w:rsid w:val="08905C80"/>
    <w:rsid w:val="08905CF9"/>
    <w:rsid w:val="08905D09"/>
    <w:rsid w:val="08905D2B"/>
    <w:rsid w:val="08905D64"/>
    <w:rsid w:val="08905D96"/>
    <w:rsid w:val="08905DAD"/>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F8"/>
    <w:rsid w:val="0890653F"/>
    <w:rsid w:val="089065C8"/>
    <w:rsid w:val="08906699"/>
    <w:rsid w:val="089066AD"/>
    <w:rsid w:val="08906718"/>
    <w:rsid w:val="0890676A"/>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CB"/>
    <w:rsid w:val="08906EDE"/>
    <w:rsid w:val="08906F67"/>
    <w:rsid w:val="08906FE2"/>
    <w:rsid w:val="089070FA"/>
    <w:rsid w:val="089071F2"/>
    <w:rsid w:val="08907233"/>
    <w:rsid w:val="089072F5"/>
    <w:rsid w:val="089073E3"/>
    <w:rsid w:val="08907448"/>
    <w:rsid w:val="089074C0"/>
    <w:rsid w:val="089074C1"/>
    <w:rsid w:val="08907500"/>
    <w:rsid w:val="08907559"/>
    <w:rsid w:val="08907581"/>
    <w:rsid w:val="089075FC"/>
    <w:rsid w:val="089076A2"/>
    <w:rsid w:val="089076AA"/>
    <w:rsid w:val="08907808"/>
    <w:rsid w:val="089078D0"/>
    <w:rsid w:val="08907952"/>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BD"/>
    <w:rsid w:val="089108C4"/>
    <w:rsid w:val="0891097C"/>
    <w:rsid w:val="08910A77"/>
    <w:rsid w:val="08910A99"/>
    <w:rsid w:val="08910B31"/>
    <w:rsid w:val="08910B73"/>
    <w:rsid w:val="08910B78"/>
    <w:rsid w:val="08910BEB"/>
    <w:rsid w:val="08910CF4"/>
    <w:rsid w:val="08910D0C"/>
    <w:rsid w:val="08910D8A"/>
    <w:rsid w:val="08910E04"/>
    <w:rsid w:val="08910E24"/>
    <w:rsid w:val="08910E89"/>
    <w:rsid w:val="08910EB8"/>
    <w:rsid w:val="0891101F"/>
    <w:rsid w:val="08911099"/>
    <w:rsid w:val="089110CA"/>
    <w:rsid w:val="089110DA"/>
    <w:rsid w:val="08911130"/>
    <w:rsid w:val="0891113C"/>
    <w:rsid w:val="08911176"/>
    <w:rsid w:val="0891119A"/>
    <w:rsid w:val="089111EF"/>
    <w:rsid w:val="08911243"/>
    <w:rsid w:val="08911253"/>
    <w:rsid w:val="08911278"/>
    <w:rsid w:val="089112B0"/>
    <w:rsid w:val="08911349"/>
    <w:rsid w:val="08911350"/>
    <w:rsid w:val="08911357"/>
    <w:rsid w:val="08911386"/>
    <w:rsid w:val="0891157B"/>
    <w:rsid w:val="089115D0"/>
    <w:rsid w:val="0891163F"/>
    <w:rsid w:val="08911694"/>
    <w:rsid w:val="0891169C"/>
    <w:rsid w:val="089116BF"/>
    <w:rsid w:val="0891189D"/>
    <w:rsid w:val="089118BD"/>
    <w:rsid w:val="0891190B"/>
    <w:rsid w:val="08911927"/>
    <w:rsid w:val="089119F2"/>
    <w:rsid w:val="08911A14"/>
    <w:rsid w:val="08911A57"/>
    <w:rsid w:val="08911A6C"/>
    <w:rsid w:val="08911AC6"/>
    <w:rsid w:val="08911B71"/>
    <w:rsid w:val="08911CD6"/>
    <w:rsid w:val="08911D96"/>
    <w:rsid w:val="08911D9E"/>
    <w:rsid w:val="08911DF0"/>
    <w:rsid w:val="08911DF1"/>
    <w:rsid w:val="08911E26"/>
    <w:rsid w:val="08911E5A"/>
    <w:rsid w:val="08911EA3"/>
    <w:rsid w:val="08911EBC"/>
    <w:rsid w:val="08911F2E"/>
    <w:rsid w:val="08911F6F"/>
    <w:rsid w:val="08911FC6"/>
    <w:rsid w:val="08911FEC"/>
    <w:rsid w:val="08911FED"/>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AED"/>
    <w:rsid w:val="08912B33"/>
    <w:rsid w:val="08912D45"/>
    <w:rsid w:val="08912DC0"/>
    <w:rsid w:val="08912DEC"/>
    <w:rsid w:val="08912E26"/>
    <w:rsid w:val="08912E7D"/>
    <w:rsid w:val="08912F5F"/>
    <w:rsid w:val="089130F2"/>
    <w:rsid w:val="08913193"/>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7A9"/>
    <w:rsid w:val="089137D1"/>
    <w:rsid w:val="08913812"/>
    <w:rsid w:val="0891383F"/>
    <w:rsid w:val="0891387A"/>
    <w:rsid w:val="0891395D"/>
    <w:rsid w:val="08913976"/>
    <w:rsid w:val="08913A14"/>
    <w:rsid w:val="08913ABC"/>
    <w:rsid w:val="08913B77"/>
    <w:rsid w:val="08913D10"/>
    <w:rsid w:val="08913D1B"/>
    <w:rsid w:val="08913D25"/>
    <w:rsid w:val="08913E0F"/>
    <w:rsid w:val="08913E38"/>
    <w:rsid w:val="0891406B"/>
    <w:rsid w:val="08914078"/>
    <w:rsid w:val="0891414C"/>
    <w:rsid w:val="08914151"/>
    <w:rsid w:val="08914168"/>
    <w:rsid w:val="0891416A"/>
    <w:rsid w:val="0891419F"/>
    <w:rsid w:val="089142D8"/>
    <w:rsid w:val="089142F2"/>
    <w:rsid w:val="08914338"/>
    <w:rsid w:val="089143D4"/>
    <w:rsid w:val="0891440A"/>
    <w:rsid w:val="089144C1"/>
    <w:rsid w:val="08914556"/>
    <w:rsid w:val="0891456B"/>
    <w:rsid w:val="089145E6"/>
    <w:rsid w:val="089147F8"/>
    <w:rsid w:val="089148B8"/>
    <w:rsid w:val="089148DF"/>
    <w:rsid w:val="08914923"/>
    <w:rsid w:val="089149A4"/>
    <w:rsid w:val="089149FB"/>
    <w:rsid w:val="08914AA3"/>
    <w:rsid w:val="08914AE3"/>
    <w:rsid w:val="08914B67"/>
    <w:rsid w:val="08914C05"/>
    <w:rsid w:val="08914C63"/>
    <w:rsid w:val="08914D14"/>
    <w:rsid w:val="08914D5A"/>
    <w:rsid w:val="08914D84"/>
    <w:rsid w:val="08914D92"/>
    <w:rsid w:val="08914DCE"/>
    <w:rsid w:val="08914E08"/>
    <w:rsid w:val="08914F02"/>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A35"/>
    <w:rsid w:val="08915B6E"/>
    <w:rsid w:val="08915B9D"/>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BF"/>
    <w:rsid w:val="08916906"/>
    <w:rsid w:val="08916929"/>
    <w:rsid w:val="089169CD"/>
    <w:rsid w:val="089169EF"/>
    <w:rsid w:val="089169FF"/>
    <w:rsid w:val="08916B0A"/>
    <w:rsid w:val="08916B19"/>
    <w:rsid w:val="08916C64"/>
    <w:rsid w:val="08916C6F"/>
    <w:rsid w:val="08916D03"/>
    <w:rsid w:val="08916D0B"/>
    <w:rsid w:val="08916D16"/>
    <w:rsid w:val="08916D38"/>
    <w:rsid w:val="08916DAD"/>
    <w:rsid w:val="08916E1C"/>
    <w:rsid w:val="08917081"/>
    <w:rsid w:val="0891709A"/>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CC7"/>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BD"/>
    <w:rsid w:val="08920882"/>
    <w:rsid w:val="0892089A"/>
    <w:rsid w:val="089208CB"/>
    <w:rsid w:val="08920929"/>
    <w:rsid w:val="08920933"/>
    <w:rsid w:val="08920962"/>
    <w:rsid w:val="089209E2"/>
    <w:rsid w:val="08920A6E"/>
    <w:rsid w:val="08920AB1"/>
    <w:rsid w:val="08920AE7"/>
    <w:rsid w:val="08920B3F"/>
    <w:rsid w:val="08920B6A"/>
    <w:rsid w:val="08920B70"/>
    <w:rsid w:val="08920CD2"/>
    <w:rsid w:val="08920CEA"/>
    <w:rsid w:val="08920DC8"/>
    <w:rsid w:val="08920E92"/>
    <w:rsid w:val="08920F9B"/>
    <w:rsid w:val="0892100C"/>
    <w:rsid w:val="0892108F"/>
    <w:rsid w:val="0892109E"/>
    <w:rsid w:val="089210A4"/>
    <w:rsid w:val="089210B4"/>
    <w:rsid w:val="089210C6"/>
    <w:rsid w:val="08921100"/>
    <w:rsid w:val="089211E7"/>
    <w:rsid w:val="089212A2"/>
    <w:rsid w:val="089212DE"/>
    <w:rsid w:val="08921302"/>
    <w:rsid w:val="0892130C"/>
    <w:rsid w:val="08921381"/>
    <w:rsid w:val="089213DB"/>
    <w:rsid w:val="08921456"/>
    <w:rsid w:val="089214BF"/>
    <w:rsid w:val="08921508"/>
    <w:rsid w:val="0892153F"/>
    <w:rsid w:val="08921541"/>
    <w:rsid w:val="08921570"/>
    <w:rsid w:val="089215E7"/>
    <w:rsid w:val="0892174A"/>
    <w:rsid w:val="08921801"/>
    <w:rsid w:val="0892181A"/>
    <w:rsid w:val="089218C4"/>
    <w:rsid w:val="089219C8"/>
    <w:rsid w:val="08921A2B"/>
    <w:rsid w:val="08921A5E"/>
    <w:rsid w:val="08921A92"/>
    <w:rsid w:val="08921A9F"/>
    <w:rsid w:val="08921ABE"/>
    <w:rsid w:val="08921C52"/>
    <w:rsid w:val="08921C60"/>
    <w:rsid w:val="08921C75"/>
    <w:rsid w:val="08921CC3"/>
    <w:rsid w:val="08921D0D"/>
    <w:rsid w:val="08921D8E"/>
    <w:rsid w:val="08921DD9"/>
    <w:rsid w:val="08921EE3"/>
    <w:rsid w:val="08921FE8"/>
    <w:rsid w:val="08921FF0"/>
    <w:rsid w:val="08922050"/>
    <w:rsid w:val="08922063"/>
    <w:rsid w:val="08922092"/>
    <w:rsid w:val="089220CD"/>
    <w:rsid w:val="08922207"/>
    <w:rsid w:val="0892222C"/>
    <w:rsid w:val="0892229F"/>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22A"/>
    <w:rsid w:val="08923272"/>
    <w:rsid w:val="089232B3"/>
    <w:rsid w:val="08923313"/>
    <w:rsid w:val="08923596"/>
    <w:rsid w:val="089235AD"/>
    <w:rsid w:val="0892361A"/>
    <w:rsid w:val="089237BB"/>
    <w:rsid w:val="089237EE"/>
    <w:rsid w:val="089237F5"/>
    <w:rsid w:val="0892383B"/>
    <w:rsid w:val="0892390C"/>
    <w:rsid w:val="08923910"/>
    <w:rsid w:val="0892394F"/>
    <w:rsid w:val="08923A8C"/>
    <w:rsid w:val="08923C59"/>
    <w:rsid w:val="08923CA1"/>
    <w:rsid w:val="08923CF5"/>
    <w:rsid w:val="08923D4B"/>
    <w:rsid w:val="08923D59"/>
    <w:rsid w:val="08923D87"/>
    <w:rsid w:val="08923E04"/>
    <w:rsid w:val="08923E31"/>
    <w:rsid w:val="08923E44"/>
    <w:rsid w:val="08923E5E"/>
    <w:rsid w:val="08923F46"/>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52"/>
    <w:rsid w:val="08924966"/>
    <w:rsid w:val="089249AC"/>
    <w:rsid w:val="08924A01"/>
    <w:rsid w:val="08924AA4"/>
    <w:rsid w:val="08924B06"/>
    <w:rsid w:val="08924B6E"/>
    <w:rsid w:val="08924B7B"/>
    <w:rsid w:val="08924C39"/>
    <w:rsid w:val="08924C48"/>
    <w:rsid w:val="08924CBB"/>
    <w:rsid w:val="08924D61"/>
    <w:rsid w:val="08924D75"/>
    <w:rsid w:val="08924DD0"/>
    <w:rsid w:val="08924E2A"/>
    <w:rsid w:val="08924F05"/>
    <w:rsid w:val="08924F1C"/>
    <w:rsid w:val="08924F60"/>
    <w:rsid w:val="08924F7D"/>
    <w:rsid w:val="089250CF"/>
    <w:rsid w:val="08925104"/>
    <w:rsid w:val="08925123"/>
    <w:rsid w:val="08925163"/>
    <w:rsid w:val="08925207"/>
    <w:rsid w:val="089252EE"/>
    <w:rsid w:val="0892534B"/>
    <w:rsid w:val="089253A9"/>
    <w:rsid w:val="0892541D"/>
    <w:rsid w:val="0892549F"/>
    <w:rsid w:val="08925514"/>
    <w:rsid w:val="0892553E"/>
    <w:rsid w:val="08925563"/>
    <w:rsid w:val="08925630"/>
    <w:rsid w:val="089256FD"/>
    <w:rsid w:val="089257CA"/>
    <w:rsid w:val="089257E2"/>
    <w:rsid w:val="0892580B"/>
    <w:rsid w:val="0892580F"/>
    <w:rsid w:val="08925846"/>
    <w:rsid w:val="089258D3"/>
    <w:rsid w:val="089258F4"/>
    <w:rsid w:val="089259A5"/>
    <w:rsid w:val="08925A6A"/>
    <w:rsid w:val="08925B1A"/>
    <w:rsid w:val="08925B79"/>
    <w:rsid w:val="08925B92"/>
    <w:rsid w:val="08925BA9"/>
    <w:rsid w:val="08925D85"/>
    <w:rsid w:val="08925E23"/>
    <w:rsid w:val="08925EA3"/>
    <w:rsid w:val="08925F47"/>
    <w:rsid w:val="08925F84"/>
    <w:rsid w:val="08925F85"/>
    <w:rsid w:val="08925FBD"/>
    <w:rsid w:val="08925FC5"/>
    <w:rsid w:val="08925FCB"/>
    <w:rsid w:val="08926030"/>
    <w:rsid w:val="0892605A"/>
    <w:rsid w:val="08926112"/>
    <w:rsid w:val="08926196"/>
    <w:rsid w:val="0892624A"/>
    <w:rsid w:val="08926324"/>
    <w:rsid w:val="0892636E"/>
    <w:rsid w:val="089263EA"/>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83"/>
    <w:rsid w:val="089268AD"/>
    <w:rsid w:val="0892690B"/>
    <w:rsid w:val="0892693E"/>
    <w:rsid w:val="08926A04"/>
    <w:rsid w:val="08926A86"/>
    <w:rsid w:val="08926B7F"/>
    <w:rsid w:val="08926BC1"/>
    <w:rsid w:val="08926C47"/>
    <w:rsid w:val="08926C8C"/>
    <w:rsid w:val="08926CBA"/>
    <w:rsid w:val="08926DB5"/>
    <w:rsid w:val="08926E2C"/>
    <w:rsid w:val="08926E33"/>
    <w:rsid w:val="08926E4D"/>
    <w:rsid w:val="08926F23"/>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C8"/>
    <w:rsid w:val="08927D78"/>
    <w:rsid w:val="08927D9C"/>
    <w:rsid w:val="08927DC7"/>
    <w:rsid w:val="08927E5B"/>
    <w:rsid w:val="08927E94"/>
    <w:rsid w:val="08927EB9"/>
    <w:rsid w:val="08927FAA"/>
    <w:rsid w:val="08927FD4"/>
    <w:rsid w:val="08930217"/>
    <w:rsid w:val="08930248"/>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B1B"/>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EA"/>
    <w:rsid w:val="08931BDA"/>
    <w:rsid w:val="08931C73"/>
    <w:rsid w:val="08931C8D"/>
    <w:rsid w:val="08931CA3"/>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5"/>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3BD"/>
    <w:rsid w:val="089333C1"/>
    <w:rsid w:val="0893348D"/>
    <w:rsid w:val="089334C6"/>
    <w:rsid w:val="089335CC"/>
    <w:rsid w:val="08933679"/>
    <w:rsid w:val="08933786"/>
    <w:rsid w:val="0893378D"/>
    <w:rsid w:val="0893380D"/>
    <w:rsid w:val="08933813"/>
    <w:rsid w:val="0893386A"/>
    <w:rsid w:val="089338DC"/>
    <w:rsid w:val="0893395B"/>
    <w:rsid w:val="089339B1"/>
    <w:rsid w:val="089339C7"/>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DBD"/>
    <w:rsid w:val="08934E25"/>
    <w:rsid w:val="08934EB3"/>
    <w:rsid w:val="08934EBA"/>
    <w:rsid w:val="08934ECE"/>
    <w:rsid w:val="08934F5A"/>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C9"/>
    <w:rsid w:val="08937062"/>
    <w:rsid w:val="0893707F"/>
    <w:rsid w:val="0893711C"/>
    <w:rsid w:val="0893718B"/>
    <w:rsid w:val="089371B2"/>
    <w:rsid w:val="089371EC"/>
    <w:rsid w:val="0893725B"/>
    <w:rsid w:val="08937266"/>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E43"/>
    <w:rsid w:val="08937F16"/>
    <w:rsid w:val="08937F3A"/>
    <w:rsid w:val="08937F40"/>
    <w:rsid w:val="08937FB0"/>
    <w:rsid w:val="08937FE8"/>
    <w:rsid w:val="08940022"/>
    <w:rsid w:val="089401D8"/>
    <w:rsid w:val="08940221"/>
    <w:rsid w:val="089402C0"/>
    <w:rsid w:val="089402CE"/>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11"/>
    <w:rsid w:val="08941034"/>
    <w:rsid w:val="089410E2"/>
    <w:rsid w:val="08941121"/>
    <w:rsid w:val="089412C8"/>
    <w:rsid w:val="089412F7"/>
    <w:rsid w:val="08941351"/>
    <w:rsid w:val="08941380"/>
    <w:rsid w:val="08941422"/>
    <w:rsid w:val="0894155A"/>
    <w:rsid w:val="08941624"/>
    <w:rsid w:val="0894168F"/>
    <w:rsid w:val="089416D8"/>
    <w:rsid w:val="089416F6"/>
    <w:rsid w:val="0894173C"/>
    <w:rsid w:val="08941827"/>
    <w:rsid w:val="0894188A"/>
    <w:rsid w:val="08941921"/>
    <w:rsid w:val="08941983"/>
    <w:rsid w:val="08941A5E"/>
    <w:rsid w:val="08941AB7"/>
    <w:rsid w:val="08941AD4"/>
    <w:rsid w:val="08941B46"/>
    <w:rsid w:val="08941BF7"/>
    <w:rsid w:val="08941C45"/>
    <w:rsid w:val="08941C6F"/>
    <w:rsid w:val="08941C7B"/>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1B"/>
    <w:rsid w:val="08942325"/>
    <w:rsid w:val="0894233D"/>
    <w:rsid w:val="08942368"/>
    <w:rsid w:val="089423C1"/>
    <w:rsid w:val="0894247C"/>
    <w:rsid w:val="089424B0"/>
    <w:rsid w:val="089424E0"/>
    <w:rsid w:val="08942548"/>
    <w:rsid w:val="0894263D"/>
    <w:rsid w:val="08942644"/>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17"/>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D2"/>
    <w:rsid w:val="089446E6"/>
    <w:rsid w:val="08944765"/>
    <w:rsid w:val="08944799"/>
    <w:rsid w:val="0894485A"/>
    <w:rsid w:val="089448F9"/>
    <w:rsid w:val="089448FC"/>
    <w:rsid w:val="089448FF"/>
    <w:rsid w:val="08944983"/>
    <w:rsid w:val="089449C9"/>
    <w:rsid w:val="08944AA3"/>
    <w:rsid w:val="08944B2B"/>
    <w:rsid w:val="08944B9A"/>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E7"/>
    <w:rsid w:val="08946230"/>
    <w:rsid w:val="0894625B"/>
    <w:rsid w:val="089462E7"/>
    <w:rsid w:val="08946376"/>
    <w:rsid w:val="089463D4"/>
    <w:rsid w:val="08946417"/>
    <w:rsid w:val="0894647D"/>
    <w:rsid w:val="089465B2"/>
    <w:rsid w:val="089465CA"/>
    <w:rsid w:val="08946601"/>
    <w:rsid w:val="0894662D"/>
    <w:rsid w:val="08946702"/>
    <w:rsid w:val="089467B0"/>
    <w:rsid w:val="089467CD"/>
    <w:rsid w:val="089468A0"/>
    <w:rsid w:val="089468DD"/>
    <w:rsid w:val="0894690E"/>
    <w:rsid w:val="089469FE"/>
    <w:rsid w:val="08946A12"/>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DF"/>
    <w:rsid w:val="089472F4"/>
    <w:rsid w:val="089473D9"/>
    <w:rsid w:val="08947538"/>
    <w:rsid w:val="089476C5"/>
    <w:rsid w:val="089476D5"/>
    <w:rsid w:val="0894775A"/>
    <w:rsid w:val="08947761"/>
    <w:rsid w:val="0894778D"/>
    <w:rsid w:val="089477BE"/>
    <w:rsid w:val="089477FF"/>
    <w:rsid w:val="08947802"/>
    <w:rsid w:val="08947912"/>
    <w:rsid w:val="089479F1"/>
    <w:rsid w:val="08947A6B"/>
    <w:rsid w:val="08947AD7"/>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EB"/>
    <w:rsid w:val="0895041D"/>
    <w:rsid w:val="089504E4"/>
    <w:rsid w:val="089504EC"/>
    <w:rsid w:val="089504FD"/>
    <w:rsid w:val="08950576"/>
    <w:rsid w:val="0895069F"/>
    <w:rsid w:val="08950710"/>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30"/>
    <w:rsid w:val="08951A62"/>
    <w:rsid w:val="08951C10"/>
    <w:rsid w:val="08951C6B"/>
    <w:rsid w:val="08951E1B"/>
    <w:rsid w:val="08951E21"/>
    <w:rsid w:val="08951EC6"/>
    <w:rsid w:val="08952020"/>
    <w:rsid w:val="0895206A"/>
    <w:rsid w:val="089520A4"/>
    <w:rsid w:val="089520B3"/>
    <w:rsid w:val="08952180"/>
    <w:rsid w:val="089521A6"/>
    <w:rsid w:val="089521B0"/>
    <w:rsid w:val="089521D9"/>
    <w:rsid w:val="08952216"/>
    <w:rsid w:val="08952239"/>
    <w:rsid w:val="0895223C"/>
    <w:rsid w:val="0895229D"/>
    <w:rsid w:val="089522B4"/>
    <w:rsid w:val="089523ED"/>
    <w:rsid w:val="08952400"/>
    <w:rsid w:val="0895242E"/>
    <w:rsid w:val="0895243F"/>
    <w:rsid w:val="0895246F"/>
    <w:rsid w:val="0895248A"/>
    <w:rsid w:val="089524BE"/>
    <w:rsid w:val="08952507"/>
    <w:rsid w:val="089525C5"/>
    <w:rsid w:val="08952620"/>
    <w:rsid w:val="08952797"/>
    <w:rsid w:val="089527BF"/>
    <w:rsid w:val="089527F7"/>
    <w:rsid w:val="0895285F"/>
    <w:rsid w:val="0895294E"/>
    <w:rsid w:val="08952AD8"/>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2F9"/>
    <w:rsid w:val="0895334E"/>
    <w:rsid w:val="089533C1"/>
    <w:rsid w:val="08953453"/>
    <w:rsid w:val="08953490"/>
    <w:rsid w:val="0895363E"/>
    <w:rsid w:val="089537A1"/>
    <w:rsid w:val="089537A6"/>
    <w:rsid w:val="0895383D"/>
    <w:rsid w:val="08953870"/>
    <w:rsid w:val="08953896"/>
    <w:rsid w:val="0895393C"/>
    <w:rsid w:val="0895398D"/>
    <w:rsid w:val="0895398E"/>
    <w:rsid w:val="089539C9"/>
    <w:rsid w:val="08953A10"/>
    <w:rsid w:val="08953A9B"/>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4"/>
    <w:rsid w:val="08955405"/>
    <w:rsid w:val="08955409"/>
    <w:rsid w:val="0895542E"/>
    <w:rsid w:val="0895543D"/>
    <w:rsid w:val="0895545C"/>
    <w:rsid w:val="08955560"/>
    <w:rsid w:val="089555C2"/>
    <w:rsid w:val="0895561F"/>
    <w:rsid w:val="0895565A"/>
    <w:rsid w:val="08955713"/>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EF0"/>
    <w:rsid w:val="08955F1A"/>
    <w:rsid w:val="08955F32"/>
    <w:rsid w:val="08955F59"/>
    <w:rsid w:val="08955FD9"/>
    <w:rsid w:val="08956007"/>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F7B"/>
    <w:rsid w:val="089570B6"/>
    <w:rsid w:val="089570FA"/>
    <w:rsid w:val="089571D8"/>
    <w:rsid w:val="0895723B"/>
    <w:rsid w:val="08957310"/>
    <w:rsid w:val="08957321"/>
    <w:rsid w:val="08957348"/>
    <w:rsid w:val="08957353"/>
    <w:rsid w:val="089573A2"/>
    <w:rsid w:val="089573AD"/>
    <w:rsid w:val="089573C8"/>
    <w:rsid w:val="089573C9"/>
    <w:rsid w:val="0895749B"/>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E3"/>
    <w:rsid w:val="08957C57"/>
    <w:rsid w:val="08957E27"/>
    <w:rsid w:val="0896009E"/>
    <w:rsid w:val="089600BE"/>
    <w:rsid w:val="08960136"/>
    <w:rsid w:val="08960259"/>
    <w:rsid w:val="089602A5"/>
    <w:rsid w:val="089602F0"/>
    <w:rsid w:val="0896034E"/>
    <w:rsid w:val="089603BE"/>
    <w:rsid w:val="0896049C"/>
    <w:rsid w:val="089604E3"/>
    <w:rsid w:val="0896056A"/>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C51"/>
    <w:rsid w:val="08960C70"/>
    <w:rsid w:val="08960D5B"/>
    <w:rsid w:val="08960DEF"/>
    <w:rsid w:val="08960E27"/>
    <w:rsid w:val="08960E39"/>
    <w:rsid w:val="08960E7D"/>
    <w:rsid w:val="08960E81"/>
    <w:rsid w:val="08960E97"/>
    <w:rsid w:val="08960EA4"/>
    <w:rsid w:val="08960EDC"/>
    <w:rsid w:val="08960F27"/>
    <w:rsid w:val="08960F56"/>
    <w:rsid w:val="08960F94"/>
    <w:rsid w:val="08960FCB"/>
    <w:rsid w:val="08960FDE"/>
    <w:rsid w:val="08960FF6"/>
    <w:rsid w:val="0896117C"/>
    <w:rsid w:val="089611A8"/>
    <w:rsid w:val="089611C2"/>
    <w:rsid w:val="089611D6"/>
    <w:rsid w:val="08961215"/>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893"/>
    <w:rsid w:val="08961972"/>
    <w:rsid w:val="089619F2"/>
    <w:rsid w:val="08961A6D"/>
    <w:rsid w:val="08961C18"/>
    <w:rsid w:val="08961C44"/>
    <w:rsid w:val="08961CF1"/>
    <w:rsid w:val="08961EAF"/>
    <w:rsid w:val="08961EF7"/>
    <w:rsid w:val="08961F8B"/>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73"/>
    <w:rsid w:val="089639AD"/>
    <w:rsid w:val="089639FA"/>
    <w:rsid w:val="08963A1E"/>
    <w:rsid w:val="08963A20"/>
    <w:rsid w:val="08963A8F"/>
    <w:rsid w:val="08963AAA"/>
    <w:rsid w:val="08963B1C"/>
    <w:rsid w:val="08963CB1"/>
    <w:rsid w:val="08963D2B"/>
    <w:rsid w:val="08963D6A"/>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7CA"/>
    <w:rsid w:val="08964804"/>
    <w:rsid w:val="08964836"/>
    <w:rsid w:val="0896489E"/>
    <w:rsid w:val="089649BF"/>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F38"/>
    <w:rsid w:val="08964FA3"/>
    <w:rsid w:val="08964FB5"/>
    <w:rsid w:val="08964FEB"/>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F1"/>
    <w:rsid w:val="089659F5"/>
    <w:rsid w:val="08965A84"/>
    <w:rsid w:val="08965A90"/>
    <w:rsid w:val="08965B05"/>
    <w:rsid w:val="08965B14"/>
    <w:rsid w:val="08965B44"/>
    <w:rsid w:val="08965D06"/>
    <w:rsid w:val="08965D1B"/>
    <w:rsid w:val="08965D3B"/>
    <w:rsid w:val="08965D5E"/>
    <w:rsid w:val="08965E95"/>
    <w:rsid w:val="08965FA2"/>
    <w:rsid w:val="08965FDE"/>
    <w:rsid w:val="0896601B"/>
    <w:rsid w:val="089660BB"/>
    <w:rsid w:val="0896610B"/>
    <w:rsid w:val="089661AD"/>
    <w:rsid w:val="089662D9"/>
    <w:rsid w:val="08966374"/>
    <w:rsid w:val="089663B3"/>
    <w:rsid w:val="08966450"/>
    <w:rsid w:val="08966465"/>
    <w:rsid w:val="0896649D"/>
    <w:rsid w:val="089664C6"/>
    <w:rsid w:val="08966641"/>
    <w:rsid w:val="089666B1"/>
    <w:rsid w:val="089668D9"/>
    <w:rsid w:val="08966992"/>
    <w:rsid w:val="089669B3"/>
    <w:rsid w:val="08966A0F"/>
    <w:rsid w:val="08966A19"/>
    <w:rsid w:val="08966ACF"/>
    <w:rsid w:val="08966BC7"/>
    <w:rsid w:val="08966C57"/>
    <w:rsid w:val="08966D17"/>
    <w:rsid w:val="08966D9E"/>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591"/>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DD4"/>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4F1"/>
    <w:rsid w:val="08970575"/>
    <w:rsid w:val="0897069F"/>
    <w:rsid w:val="08970711"/>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134"/>
    <w:rsid w:val="089711A5"/>
    <w:rsid w:val="08971297"/>
    <w:rsid w:val="0897131E"/>
    <w:rsid w:val="08971327"/>
    <w:rsid w:val="08971367"/>
    <w:rsid w:val="089713B3"/>
    <w:rsid w:val="0897155D"/>
    <w:rsid w:val="089715DD"/>
    <w:rsid w:val="089715FF"/>
    <w:rsid w:val="08971608"/>
    <w:rsid w:val="0897164E"/>
    <w:rsid w:val="08971661"/>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B"/>
    <w:rsid w:val="08972701"/>
    <w:rsid w:val="089727C4"/>
    <w:rsid w:val="08972806"/>
    <w:rsid w:val="0897294F"/>
    <w:rsid w:val="089729FD"/>
    <w:rsid w:val="08972A0E"/>
    <w:rsid w:val="08972A65"/>
    <w:rsid w:val="08972B2E"/>
    <w:rsid w:val="08972B82"/>
    <w:rsid w:val="08972BC0"/>
    <w:rsid w:val="08972C03"/>
    <w:rsid w:val="08972C96"/>
    <w:rsid w:val="08972D59"/>
    <w:rsid w:val="08972DA8"/>
    <w:rsid w:val="08972E02"/>
    <w:rsid w:val="08972E68"/>
    <w:rsid w:val="08972E7A"/>
    <w:rsid w:val="08972F12"/>
    <w:rsid w:val="08972F57"/>
    <w:rsid w:val="08972F81"/>
    <w:rsid w:val="08972FB4"/>
    <w:rsid w:val="0897306F"/>
    <w:rsid w:val="089730FE"/>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5B"/>
    <w:rsid w:val="0897407C"/>
    <w:rsid w:val="0897408C"/>
    <w:rsid w:val="089740F6"/>
    <w:rsid w:val="08974117"/>
    <w:rsid w:val="08974179"/>
    <w:rsid w:val="089742FF"/>
    <w:rsid w:val="08974335"/>
    <w:rsid w:val="08974436"/>
    <w:rsid w:val="08974468"/>
    <w:rsid w:val="0897450E"/>
    <w:rsid w:val="08974515"/>
    <w:rsid w:val="08974532"/>
    <w:rsid w:val="08974580"/>
    <w:rsid w:val="089745AC"/>
    <w:rsid w:val="089745C3"/>
    <w:rsid w:val="08974638"/>
    <w:rsid w:val="089747B5"/>
    <w:rsid w:val="089747D6"/>
    <w:rsid w:val="0897489F"/>
    <w:rsid w:val="089748D4"/>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7B4"/>
    <w:rsid w:val="08975811"/>
    <w:rsid w:val="08975819"/>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F0"/>
    <w:rsid w:val="08975F03"/>
    <w:rsid w:val="08975F2B"/>
    <w:rsid w:val="08975F38"/>
    <w:rsid w:val="08976076"/>
    <w:rsid w:val="0897607F"/>
    <w:rsid w:val="08976094"/>
    <w:rsid w:val="089760AC"/>
    <w:rsid w:val="08976187"/>
    <w:rsid w:val="089761B0"/>
    <w:rsid w:val="089761D8"/>
    <w:rsid w:val="089761D9"/>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BC"/>
    <w:rsid w:val="0897707A"/>
    <w:rsid w:val="089770D1"/>
    <w:rsid w:val="08977126"/>
    <w:rsid w:val="089771F7"/>
    <w:rsid w:val="08977201"/>
    <w:rsid w:val="08977268"/>
    <w:rsid w:val="0897727A"/>
    <w:rsid w:val="0897728A"/>
    <w:rsid w:val="08977300"/>
    <w:rsid w:val="08977393"/>
    <w:rsid w:val="089773A7"/>
    <w:rsid w:val="089773C4"/>
    <w:rsid w:val="0897763E"/>
    <w:rsid w:val="089776D8"/>
    <w:rsid w:val="0897780B"/>
    <w:rsid w:val="08977818"/>
    <w:rsid w:val="08977873"/>
    <w:rsid w:val="08977898"/>
    <w:rsid w:val="08977A83"/>
    <w:rsid w:val="08977AB7"/>
    <w:rsid w:val="08977B56"/>
    <w:rsid w:val="08977B93"/>
    <w:rsid w:val="08977D06"/>
    <w:rsid w:val="08977E64"/>
    <w:rsid w:val="08977E66"/>
    <w:rsid w:val="08977ED2"/>
    <w:rsid w:val="08977F4C"/>
    <w:rsid w:val="08977F93"/>
    <w:rsid w:val="08977FCC"/>
    <w:rsid w:val="089800E6"/>
    <w:rsid w:val="08980141"/>
    <w:rsid w:val="0898016E"/>
    <w:rsid w:val="0898025D"/>
    <w:rsid w:val="089803E4"/>
    <w:rsid w:val="0898057E"/>
    <w:rsid w:val="0898062A"/>
    <w:rsid w:val="08980654"/>
    <w:rsid w:val="0898072C"/>
    <w:rsid w:val="0898073B"/>
    <w:rsid w:val="08980860"/>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F8"/>
    <w:rsid w:val="0898164C"/>
    <w:rsid w:val="0898168B"/>
    <w:rsid w:val="08981728"/>
    <w:rsid w:val="08981899"/>
    <w:rsid w:val="089818BD"/>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4D4"/>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B8"/>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99"/>
    <w:rsid w:val="08985B04"/>
    <w:rsid w:val="08985C84"/>
    <w:rsid w:val="08985CA9"/>
    <w:rsid w:val="08985CBD"/>
    <w:rsid w:val="08985D79"/>
    <w:rsid w:val="08985D86"/>
    <w:rsid w:val="08985ED5"/>
    <w:rsid w:val="08985F7F"/>
    <w:rsid w:val="08985FCB"/>
    <w:rsid w:val="08986058"/>
    <w:rsid w:val="089860B1"/>
    <w:rsid w:val="089860D7"/>
    <w:rsid w:val="089860E9"/>
    <w:rsid w:val="0898612E"/>
    <w:rsid w:val="0898613D"/>
    <w:rsid w:val="08986155"/>
    <w:rsid w:val="08986190"/>
    <w:rsid w:val="089861C3"/>
    <w:rsid w:val="08986267"/>
    <w:rsid w:val="0898626B"/>
    <w:rsid w:val="0898628B"/>
    <w:rsid w:val="089862F2"/>
    <w:rsid w:val="089863BF"/>
    <w:rsid w:val="089863C4"/>
    <w:rsid w:val="089863E3"/>
    <w:rsid w:val="089863F2"/>
    <w:rsid w:val="08986406"/>
    <w:rsid w:val="089864BF"/>
    <w:rsid w:val="089864D0"/>
    <w:rsid w:val="089864FF"/>
    <w:rsid w:val="089865F2"/>
    <w:rsid w:val="0898670E"/>
    <w:rsid w:val="089867A1"/>
    <w:rsid w:val="089867D0"/>
    <w:rsid w:val="0898684E"/>
    <w:rsid w:val="089868A3"/>
    <w:rsid w:val="089869B6"/>
    <w:rsid w:val="08986ADF"/>
    <w:rsid w:val="08986AE4"/>
    <w:rsid w:val="08986BEF"/>
    <w:rsid w:val="08986C0E"/>
    <w:rsid w:val="08986C6C"/>
    <w:rsid w:val="08986C6E"/>
    <w:rsid w:val="08986CB3"/>
    <w:rsid w:val="08986CC4"/>
    <w:rsid w:val="08986D1D"/>
    <w:rsid w:val="08986DBB"/>
    <w:rsid w:val="08986E08"/>
    <w:rsid w:val="08986E4A"/>
    <w:rsid w:val="08986F75"/>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D65"/>
    <w:rsid w:val="08987E40"/>
    <w:rsid w:val="08987EDB"/>
    <w:rsid w:val="08987F29"/>
    <w:rsid w:val="08987F5A"/>
    <w:rsid w:val="08987FA4"/>
    <w:rsid w:val="08990004"/>
    <w:rsid w:val="089901DD"/>
    <w:rsid w:val="08990213"/>
    <w:rsid w:val="08990217"/>
    <w:rsid w:val="08990242"/>
    <w:rsid w:val="08990243"/>
    <w:rsid w:val="0899025D"/>
    <w:rsid w:val="0899032B"/>
    <w:rsid w:val="08990393"/>
    <w:rsid w:val="0899052D"/>
    <w:rsid w:val="089905BE"/>
    <w:rsid w:val="089905E2"/>
    <w:rsid w:val="08990619"/>
    <w:rsid w:val="0899063A"/>
    <w:rsid w:val="08990660"/>
    <w:rsid w:val="089906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1CD"/>
    <w:rsid w:val="08991455"/>
    <w:rsid w:val="08991522"/>
    <w:rsid w:val="08991574"/>
    <w:rsid w:val="089915DA"/>
    <w:rsid w:val="08991620"/>
    <w:rsid w:val="0899164B"/>
    <w:rsid w:val="08991682"/>
    <w:rsid w:val="08991721"/>
    <w:rsid w:val="0899175C"/>
    <w:rsid w:val="08991837"/>
    <w:rsid w:val="08991866"/>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A47"/>
    <w:rsid w:val="08992ADF"/>
    <w:rsid w:val="08992BAC"/>
    <w:rsid w:val="08992C6F"/>
    <w:rsid w:val="08992CAA"/>
    <w:rsid w:val="08992D0C"/>
    <w:rsid w:val="08992D8A"/>
    <w:rsid w:val="08992DD1"/>
    <w:rsid w:val="08992DE4"/>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85"/>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1E"/>
    <w:rsid w:val="089942A3"/>
    <w:rsid w:val="089942C6"/>
    <w:rsid w:val="08994394"/>
    <w:rsid w:val="08994439"/>
    <w:rsid w:val="0899453D"/>
    <w:rsid w:val="089945A8"/>
    <w:rsid w:val="0899467E"/>
    <w:rsid w:val="089946C7"/>
    <w:rsid w:val="089947F2"/>
    <w:rsid w:val="08994825"/>
    <w:rsid w:val="08994862"/>
    <w:rsid w:val="0899486B"/>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74"/>
    <w:rsid w:val="08995ABD"/>
    <w:rsid w:val="08995B39"/>
    <w:rsid w:val="08995C16"/>
    <w:rsid w:val="08995D59"/>
    <w:rsid w:val="08995E14"/>
    <w:rsid w:val="08995E7F"/>
    <w:rsid w:val="08995EDC"/>
    <w:rsid w:val="0899604F"/>
    <w:rsid w:val="089960E7"/>
    <w:rsid w:val="08996251"/>
    <w:rsid w:val="08996292"/>
    <w:rsid w:val="089962BD"/>
    <w:rsid w:val="089963B4"/>
    <w:rsid w:val="089963E3"/>
    <w:rsid w:val="0899649D"/>
    <w:rsid w:val="089964B9"/>
    <w:rsid w:val="089964CF"/>
    <w:rsid w:val="08996501"/>
    <w:rsid w:val="089965A9"/>
    <w:rsid w:val="0899680A"/>
    <w:rsid w:val="0899680F"/>
    <w:rsid w:val="08996857"/>
    <w:rsid w:val="0899688D"/>
    <w:rsid w:val="089968C9"/>
    <w:rsid w:val="089968FD"/>
    <w:rsid w:val="0899692A"/>
    <w:rsid w:val="0899692E"/>
    <w:rsid w:val="0899694A"/>
    <w:rsid w:val="0899697D"/>
    <w:rsid w:val="08996A67"/>
    <w:rsid w:val="08996B05"/>
    <w:rsid w:val="08996B2A"/>
    <w:rsid w:val="08996BDF"/>
    <w:rsid w:val="08996CA3"/>
    <w:rsid w:val="08996D03"/>
    <w:rsid w:val="08996D40"/>
    <w:rsid w:val="08996D53"/>
    <w:rsid w:val="08996DF8"/>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652"/>
    <w:rsid w:val="08997738"/>
    <w:rsid w:val="08997742"/>
    <w:rsid w:val="0899774A"/>
    <w:rsid w:val="0899779B"/>
    <w:rsid w:val="089977E8"/>
    <w:rsid w:val="08997B13"/>
    <w:rsid w:val="08997B64"/>
    <w:rsid w:val="08997CAC"/>
    <w:rsid w:val="08997D26"/>
    <w:rsid w:val="08997D2B"/>
    <w:rsid w:val="08997E2B"/>
    <w:rsid w:val="08997E52"/>
    <w:rsid w:val="08997F00"/>
    <w:rsid w:val="08997F81"/>
    <w:rsid w:val="08997FB3"/>
    <w:rsid w:val="089A0109"/>
    <w:rsid w:val="089A0184"/>
    <w:rsid w:val="089A0271"/>
    <w:rsid w:val="089A027F"/>
    <w:rsid w:val="089A0292"/>
    <w:rsid w:val="089A0335"/>
    <w:rsid w:val="089A0352"/>
    <w:rsid w:val="089A038A"/>
    <w:rsid w:val="089A03FD"/>
    <w:rsid w:val="089A0415"/>
    <w:rsid w:val="089A04AE"/>
    <w:rsid w:val="089A04BF"/>
    <w:rsid w:val="089A04CA"/>
    <w:rsid w:val="089A04FF"/>
    <w:rsid w:val="089A0541"/>
    <w:rsid w:val="089A0584"/>
    <w:rsid w:val="089A0678"/>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12"/>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94F"/>
    <w:rsid w:val="089A19AA"/>
    <w:rsid w:val="089A19DF"/>
    <w:rsid w:val="089A1A01"/>
    <w:rsid w:val="089A1A74"/>
    <w:rsid w:val="089A1A95"/>
    <w:rsid w:val="089A1B25"/>
    <w:rsid w:val="089A1B6F"/>
    <w:rsid w:val="089A1B7C"/>
    <w:rsid w:val="089A1B99"/>
    <w:rsid w:val="089A1C02"/>
    <w:rsid w:val="089A1C9D"/>
    <w:rsid w:val="089A1D41"/>
    <w:rsid w:val="089A1D43"/>
    <w:rsid w:val="089A1D53"/>
    <w:rsid w:val="089A1D84"/>
    <w:rsid w:val="089A1D89"/>
    <w:rsid w:val="089A1E2B"/>
    <w:rsid w:val="089A1E41"/>
    <w:rsid w:val="089A1E55"/>
    <w:rsid w:val="089A1E90"/>
    <w:rsid w:val="089A1F3B"/>
    <w:rsid w:val="089A2051"/>
    <w:rsid w:val="089A2061"/>
    <w:rsid w:val="089A20A9"/>
    <w:rsid w:val="089A2126"/>
    <w:rsid w:val="089A222A"/>
    <w:rsid w:val="089A2240"/>
    <w:rsid w:val="089A2384"/>
    <w:rsid w:val="089A23B6"/>
    <w:rsid w:val="089A242A"/>
    <w:rsid w:val="089A24E7"/>
    <w:rsid w:val="089A253E"/>
    <w:rsid w:val="089A255C"/>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8C"/>
    <w:rsid w:val="089A2AFB"/>
    <w:rsid w:val="089A2AFD"/>
    <w:rsid w:val="089A2B08"/>
    <w:rsid w:val="089A2BAD"/>
    <w:rsid w:val="089A2BC2"/>
    <w:rsid w:val="089A2BC7"/>
    <w:rsid w:val="089A2BE8"/>
    <w:rsid w:val="089A2BF2"/>
    <w:rsid w:val="089A2C9C"/>
    <w:rsid w:val="089A2CA9"/>
    <w:rsid w:val="089A2CE5"/>
    <w:rsid w:val="089A2D26"/>
    <w:rsid w:val="089A2DBC"/>
    <w:rsid w:val="089A2E25"/>
    <w:rsid w:val="089A2EBD"/>
    <w:rsid w:val="089A2F37"/>
    <w:rsid w:val="089A2F5C"/>
    <w:rsid w:val="089A2F6C"/>
    <w:rsid w:val="089A3015"/>
    <w:rsid w:val="089A3082"/>
    <w:rsid w:val="089A3097"/>
    <w:rsid w:val="089A312E"/>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19"/>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8F"/>
    <w:rsid w:val="089A42A1"/>
    <w:rsid w:val="089A443B"/>
    <w:rsid w:val="089A446D"/>
    <w:rsid w:val="089A44F0"/>
    <w:rsid w:val="089A451A"/>
    <w:rsid w:val="089A4556"/>
    <w:rsid w:val="089A468D"/>
    <w:rsid w:val="089A491C"/>
    <w:rsid w:val="089A49C3"/>
    <w:rsid w:val="089A49FA"/>
    <w:rsid w:val="089A4A85"/>
    <w:rsid w:val="089A4A87"/>
    <w:rsid w:val="089A4BC9"/>
    <w:rsid w:val="089A4BFB"/>
    <w:rsid w:val="089A4C31"/>
    <w:rsid w:val="089A4C4F"/>
    <w:rsid w:val="089A4CA9"/>
    <w:rsid w:val="089A4E71"/>
    <w:rsid w:val="089A4EFB"/>
    <w:rsid w:val="089A4F8A"/>
    <w:rsid w:val="089A5001"/>
    <w:rsid w:val="089A50FB"/>
    <w:rsid w:val="089A5185"/>
    <w:rsid w:val="089A51C9"/>
    <w:rsid w:val="089A52EF"/>
    <w:rsid w:val="089A5334"/>
    <w:rsid w:val="089A536C"/>
    <w:rsid w:val="089A5426"/>
    <w:rsid w:val="089A5611"/>
    <w:rsid w:val="089A5642"/>
    <w:rsid w:val="089A56D2"/>
    <w:rsid w:val="089A56FE"/>
    <w:rsid w:val="089A5751"/>
    <w:rsid w:val="089A5791"/>
    <w:rsid w:val="089A5821"/>
    <w:rsid w:val="089A5897"/>
    <w:rsid w:val="089A58C1"/>
    <w:rsid w:val="089A58E2"/>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D0"/>
    <w:rsid w:val="089A64FE"/>
    <w:rsid w:val="089A6535"/>
    <w:rsid w:val="089A655B"/>
    <w:rsid w:val="089A665F"/>
    <w:rsid w:val="089A66F3"/>
    <w:rsid w:val="089A683A"/>
    <w:rsid w:val="089A6853"/>
    <w:rsid w:val="089A686D"/>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4A7"/>
    <w:rsid w:val="089A7567"/>
    <w:rsid w:val="089A7576"/>
    <w:rsid w:val="089A75FC"/>
    <w:rsid w:val="089A765F"/>
    <w:rsid w:val="089A77A5"/>
    <w:rsid w:val="089A77C9"/>
    <w:rsid w:val="089A77E5"/>
    <w:rsid w:val="089A780C"/>
    <w:rsid w:val="089A7896"/>
    <w:rsid w:val="089A7922"/>
    <w:rsid w:val="089A7946"/>
    <w:rsid w:val="089A79EF"/>
    <w:rsid w:val="089A7A9C"/>
    <w:rsid w:val="089A7B08"/>
    <w:rsid w:val="089A7B94"/>
    <w:rsid w:val="089A7BBA"/>
    <w:rsid w:val="089A7BBE"/>
    <w:rsid w:val="089A7D9D"/>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7D"/>
    <w:rsid w:val="089B07D7"/>
    <w:rsid w:val="089B0834"/>
    <w:rsid w:val="089B09F6"/>
    <w:rsid w:val="089B0A06"/>
    <w:rsid w:val="089B0A2E"/>
    <w:rsid w:val="089B0AEC"/>
    <w:rsid w:val="089B0B01"/>
    <w:rsid w:val="089B0B02"/>
    <w:rsid w:val="089B0C07"/>
    <w:rsid w:val="089B0E23"/>
    <w:rsid w:val="089B0E35"/>
    <w:rsid w:val="089B0E46"/>
    <w:rsid w:val="089B0EEE"/>
    <w:rsid w:val="089B0FB1"/>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05"/>
    <w:rsid w:val="089B1F95"/>
    <w:rsid w:val="089B1FCE"/>
    <w:rsid w:val="089B207E"/>
    <w:rsid w:val="089B20CC"/>
    <w:rsid w:val="089B2142"/>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BF4"/>
    <w:rsid w:val="089B2C07"/>
    <w:rsid w:val="089B2CB7"/>
    <w:rsid w:val="089B2D8A"/>
    <w:rsid w:val="089B2E00"/>
    <w:rsid w:val="089B2E01"/>
    <w:rsid w:val="089B2E0D"/>
    <w:rsid w:val="089B2E18"/>
    <w:rsid w:val="089B2E1B"/>
    <w:rsid w:val="089B2E65"/>
    <w:rsid w:val="089B2F98"/>
    <w:rsid w:val="089B2FD5"/>
    <w:rsid w:val="089B2FD8"/>
    <w:rsid w:val="089B3016"/>
    <w:rsid w:val="089B3038"/>
    <w:rsid w:val="089B30C4"/>
    <w:rsid w:val="089B30C7"/>
    <w:rsid w:val="089B31E9"/>
    <w:rsid w:val="089B32AA"/>
    <w:rsid w:val="089B32C8"/>
    <w:rsid w:val="089B3304"/>
    <w:rsid w:val="089B332B"/>
    <w:rsid w:val="089B33A0"/>
    <w:rsid w:val="089B33BC"/>
    <w:rsid w:val="089B33BD"/>
    <w:rsid w:val="089B33E8"/>
    <w:rsid w:val="089B3474"/>
    <w:rsid w:val="089B3478"/>
    <w:rsid w:val="089B370B"/>
    <w:rsid w:val="089B376C"/>
    <w:rsid w:val="089B37A9"/>
    <w:rsid w:val="089B37B8"/>
    <w:rsid w:val="089B387D"/>
    <w:rsid w:val="089B392D"/>
    <w:rsid w:val="089B3940"/>
    <w:rsid w:val="089B3A30"/>
    <w:rsid w:val="089B3A73"/>
    <w:rsid w:val="089B3A7C"/>
    <w:rsid w:val="089B3ACD"/>
    <w:rsid w:val="089B3B5D"/>
    <w:rsid w:val="089B3B8C"/>
    <w:rsid w:val="089B3C05"/>
    <w:rsid w:val="089B3C65"/>
    <w:rsid w:val="089B3C75"/>
    <w:rsid w:val="089B3D23"/>
    <w:rsid w:val="089B3D28"/>
    <w:rsid w:val="089B3E10"/>
    <w:rsid w:val="089B3E35"/>
    <w:rsid w:val="089B3E46"/>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9"/>
    <w:rsid w:val="089B469B"/>
    <w:rsid w:val="089B46E3"/>
    <w:rsid w:val="089B476D"/>
    <w:rsid w:val="089B478F"/>
    <w:rsid w:val="089B4882"/>
    <w:rsid w:val="089B48C9"/>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D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9E"/>
    <w:rsid w:val="089B73E4"/>
    <w:rsid w:val="089B73EA"/>
    <w:rsid w:val="089B7540"/>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C17"/>
    <w:rsid w:val="089B7D1F"/>
    <w:rsid w:val="089B7D20"/>
    <w:rsid w:val="089B7D58"/>
    <w:rsid w:val="089B7DA7"/>
    <w:rsid w:val="089B7DE9"/>
    <w:rsid w:val="089B7E2C"/>
    <w:rsid w:val="089B7E81"/>
    <w:rsid w:val="089B7EC6"/>
    <w:rsid w:val="089C00F3"/>
    <w:rsid w:val="089C0113"/>
    <w:rsid w:val="089C0129"/>
    <w:rsid w:val="089C0211"/>
    <w:rsid w:val="089C034E"/>
    <w:rsid w:val="089C03F6"/>
    <w:rsid w:val="089C041A"/>
    <w:rsid w:val="089C0441"/>
    <w:rsid w:val="089C04E8"/>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4"/>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CD"/>
    <w:rsid w:val="089C1B0C"/>
    <w:rsid w:val="089C1C73"/>
    <w:rsid w:val="089C1CBB"/>
    <w:rsid w:val="089C1D6B"/>
    <w:rsid w:val="089C1DEB"/>
    <w:rsid w:val="089C1DFC"/>
    <w:rsid w:val="089C1E6A"/>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C6F"/>
    <w:rsid w:val="089C2C8D"/>
    <w:rsid w:val="089C2CAB"/>
    <w:rsid w:val="089C2CF5"/>
    <w:rsid w:val="089C2CFB"/>
    <w:rsid w:val="089C2D65"/>
    <w:rsid w:val="089C2E6E"/>
    <w:rsid w:val="089C2FE2"/>
    <w:rsid w:val="089C3005"/>
    <w:rsid w:val="089C3097"/>
    <w:rsid w:val="089C3250"/>
    <w:rsid w:val="089C326C"/>
    <w:rsid w:val="089C3304"/>
    <w:rsid w:val="089C332B"/>
    <w:rsid w:val="089C3380"/>
    <w:rsid w:val="089C339F"/>
    <w:rsid w:val="089C33EF"/>
    <w:rsid w:val="089C3449"/>
    <w:rsid w:val="089C344D"/>
    <w:rsid w:val="089C349A"/>
    <w:rsid w:val="089C35AA"/>
    <w:rsid w:val="089C35BA"/>
    <w:rsid w:val="089C36D2"/>
    <w:rsid w:val="089C3725"/>
    <w:rsid w:val="089C37AD"/>
    <w:rsid w:val="089C37D6"/>
    <w:rsid w:val="089C381B"/>
    <w:rsid w:val="089C382F"/>
    <w:rsid w:val="089C384D"/>
    <w:rsid w:val="089C38D5"/>
    <w:rsid w:val="089C3AAC"/>
    <w:rsid w:val="089C3D76"/>
    <w:rsid w:val="089C3DC2"/>
    <w:rsid w:val="089C3F0C"/>
    <w:rsid w:val="089C3FD9"/>
    <w:rsid w:val="089C40CC"/>
    <w:rsid w:val="089C40D5"/>
    <w:rsid w:val="089C4111"/>
    <w:rsid w:val="089C4185"/>
    <w:rsid w:val="089C4195"/>
    <w:rsid w:val="089C41DC"/>
    <w:rsid w:val="089C41DF"/>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933"/>
    <w:rsid w:val="089C5984"/>
    <w:rsid w:val="089C59D2"/>
    <w:rsid w:val="089C5A5A"/>
    <w:rsid w:val="089C5A60"/>
    <w:rsid w:val="089C5B68"/>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84"/>
    <w:rsid w:val="089C66D4"/>
    <w:rsid w:val="089C66E9"/>
    <w:rsid w:val="089C6784"/>
    <w:rsid w:val="089C6843"/>
    <w:rsid w:val="089C68B1"/>
    <w:rsid w:val="089C68C2"/>
    <w:rsid w:val="089C68E0"/>
    <w:rsid w:val="089C68E2"/>
    <w:rsid w:val="089C6909"/>
    <w:rsid w:val="089C696E"/>
    <w:rsid w:val="089C69B9"/>
    <w:rsid w:val="089C69E9"/>
    <w:rsid w:val="089C6A26"/>
    <w:rsid w:val="089C6B07"/>
    <w:rsid w:val="089C6B1B"/>
    <w:rsid w:val="089C6C77"/>
    <w:rsid w:val="089C6CD0"/>
    <w:rsid w:val="089C6D16"/>
    <w:rsid w:val="089C6D24"/>
    <w:rsid w:val="089C6D30"/>
    <w:rsid w:val="089C6D9D"/>
    <w:rsid w:val="089C6DBF"/>
    <w:rsid w:val="089C6E65"/>
    <w:rsid w:val="089C6EC3"/>
    <w:rsid w:val="089C6FC4"/>
    <w:rsid w:val="089C6FFA"/>
    <w:rsid w:val="089C70BA"/>
    <w:rsid w:val="089C71E0"/>
    <w:rsid w:val="089C7252"/>
    <w:rsid w:val="089C7266"/>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94F"/>
    <w:rsid w:val="089D0953"/>
    <w:rsid w:val="089D096E"/>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5"/>
    <w:rsid w:val="089D14AE"/>
    <w:rsid w:val="089D1594"/>
    <w:rsid w:val="089D159A"/>
    <w:rsid w:val="089D15F1"/>
    <w:rsid w:val="089D162B"/>
    <w:rsid w:val="089D16A5"/>
    <w:rsid w:val="089D17D6"/>
    <w:rsid w:val="089D18E2"/>
    <w:rsid w:val="089D18F1"/>
    <w:rsid w:val="089D191A"/>
    <w:rsid w:val="089D19F9"/>
    <w:rsid w:val="089D1A7C"/>
    <w:rsid w:val="089D1AB8"/>
    <w:rsid w:val="089D1AF8"/>
    <w:rsid w:val="089D1B45"/>
    <w:rsid w:val="089D1BEC"/>
    <w:rsid w:val="089D1BF6"/>
    <w:rsid w:val="089D1CCA"/>
    <w:rsid w:val="089D1D0A"/>
    <w:rsid w:val="089D1D25"/>
    <w:rsid w:val="089D1D2D"/>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95"/>
    <w:rsid w:val="089D2BB3"/>
    <w:rsid w:val="089D2BBC"/>
    <w:rsid w:val="089D2CA9"/>
    <w:rsid w:val="089D2D81"/>
    <w:rsid w:val="089D2E06"/>
    <w:rsid w:val="089D2EC1"/>
    <w:rsid w:val="089D3002"/>
    <w:rsid w:val="089D31E8"/>
    <w:rsid w:val="089D3332"/>
    <w:rsid w:val="089D3376"/>
    <w:rsid w:val="089D33F4"/>
    <w:rsid w:val="089D3408"/>
    <w:rsid w:val="089D34C1"/>
    <w:rsid w:val="089D34E5"/>
    <w:rsid w:val="089D352A"/>
    <w:rsid w:val="089D35BA"/>
    <w:rsid w:val="089D36EF"/>
    <w:rsid w:val="089D373C"/>
    <w:rsid w:val="089D37F3"/>
    <w:rsid w:val="089D38C7"/>
    <w:rsid w:val="089D38D1"/>
    <w:rsid w:val="089D39CD"/>
    <w:rsid w:val="089D3A0B"/>
    <w:rsid w:val="089D3A6F"/>
    <w:rsid w:val="089D3B70"/>
    <w:rsid w:val="089D3B74"/>
    <w:rsid w:val="089D3C1F"/>
    <w:rsid w:val="089D3CD3"/>
    <w:rsid w:val="089D3DF8"/>
    <w:rsid w:val="089D3E71"/>
    <w:rsid w:val="089D3EEC"/>
    <w:rsid w:val="089D3F23"/>
    <w:rsid w:val="089D3F64"/>
    <w:rsid w:val="089D3F69"/>
    <w:rsid w:val="089D3FAD"/>
    <w:rsid w:val="089D3FE4"/>
    <w:rsid w:val="089D4002"/>
    <w:rsid w:val="089D40E4"/>
    <w:rsid w:val="089D41BE"/>
    <w:rsid w:val="089D428B"/>
    <w:rsid w:val="089D42D4"/>
    <w:rsid w:val="089D43C7"/>
    <w:rsid w:val="089D43E0"/>
    <w:rsid w:val="089D4515"/>
    <w:rsid w:val="089D4631"/>
    <w:rsid w:val="089D4650"/>
    <w:rsid w:val="089D469C"/>
    <w:rsid w:val="089D46DF"/>
    <w:rsid w:val="089D46E5"/>
    <w:rsid w:val="089D4729"/>
    <w:rsid w:val="089D4768"/>
    <w:rsid w:val="089D47A5"/>
    <w:rsid w:val="089D47F3"/>
    <w:rsid w:val="089D4936"/>
    <w:rsid w:val="089D4A92"/>
    <w:rsid w:val="089D4AAA"/>
    <w:rsid w:val="089D4B90"/>
    <w:rsid w:val="089D4C4A"/>
    <w:rsid w:val="089D4C9F"/>
    <w:rsid w:val="089D4CA0"/>
    <w:rsid w:val="089D4CB6"/>
    <w:rsid w:val="089D4D9B"/>
    <w:rsid w:val="089D4D9E"/>
    <w:rsid w:val="089D4E31"/>
    <w:rsid w:val="089D4E4E"/>
    <w:rsid w:val="089D4EA1"/>
    <w:rsid w:val="089D4ED7"/>
    <w:rsid w:val="089D4EDA"/>
    <w:rsid w:val="089D4F27"/>
    <w:rsid w:val="089D4F7D"/>
    <w:rsid w:val="089D50B1"/>
    <w:rsid w:val="089D50C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6BF"/>
    <w:rsid w:val="089D676B"/>
    <w:rsid w:val="089D67ED"/>
    <w:rsid w:val="089D6848"/>
    <w:rsid w:val="089D69E0"/>
    <w:rsid w:val="089D69EB"/>
    <w:rsid w:val="089D69FC"/>
    <w:rsid w:val="089D6B0F"/>
    <w:rsid w:val="089D6BF9"/>
    <w:rsid w:val="089D6C5E"/>
    <w:rsid w:val="089D6C86"/>
    <w:rsid w:val="089D6D23"/>
    <w:rsid w:val="089D6D2F"/>
    <w:rsid w:val="089D6D63"/>
    <w:rsid w:val="089D6D87"/>
    <w:rsid w:val="089D6DCC"/>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3D"/>
    <w:rsid w:val="089D7E8D"/>
    <w:rsid w:val="089D7EF2"/>
    <w:rsid w:val="089D7F26"/>
    <w:rsid w:val="089D7F9E"/>
    <w:rsid w:val="089D7FA8"/>
    <w:rsid w:val="089E0058"/>
    <w:rsid w:val="089E0091"/>
    <w:rsid w:val="089E0094"/>
    <w:rsid w:val="089E00AF"/>
    <w:rsid w:val="089E013A"/>
    <w:rsid w:val="089E020B"/>
    <w:rsid w:val="089E026B"/>
    <w:rsid w:val="089E027C"/>
    <w:rsid w:val="089E03E2"/>
    <w:rsid w:val="089E0437"/>
    <w:rsid w:val="089E0638"/>
    <w:rsid w:val="089E0645"/>
    <w:rsid w:val="089E064A"/>
    <w:rsid w:val="089E08D5"/>
    <w:rsid w:val="089E08F7"/>
    <w:rsid w:val="089E0985"/>
    <w:rsid w:val="089E0A22"/>
    <w:rsid w:val="089E0A2B"/>
    <w:rsid w:val="089E0A4F"/>
    <w:rsid w:val="089E0A9B"/>
    <w:rsid w:val="089E0AAB"/>
    <w:rsid w:val="089E0B3C"/>
    <w:rsid w:val="089E0BC6"/>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AF"/>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D95"/>
    <w:rsid w:val="089E1E92"/>
    <w:rsid w:val="089E1EC4"/>
    <w:rsid w:val="089E1F10"/>
    <w:rsid w:val="089E1F3E"/>
    <w:rsid w:val="089E1FB9"/>
    <w:rsid w:val="089E1FDB"/>
    <w:rsid w:val="089E1FFC"/>
    <w:rsid w:val="089E20C3"/>
    <w:rsid w:val="089E213D"/>
    <w:rsid w:val="089E2144"/>
    <w:rsid w:val="089E218B"/>
    <w:rsid w:val="089E228C"/>
    <w:rsid w:val="089E22DB"/>
    <w:rsid w:val="089E2363"/>
    <w:rsid w:val="089E2375"/>
    <w:rsid w:val="089E2383"/>
    <w:rsid w:val="089E24BB"/>
    <w:rsid w:val="089E2530"/>
    <w:rsid w:val="089E256C"/>
    <w:rsid w:val="089E265B"/>
    <w:rsid w:val="089E278E"/>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E5"/>
    <w:rsid w:val="089E3DC5"/>
    <w:rsid w:val="089E3DD6"/>
    <w:rsid w:val="089E3E73"/>
    <w:rsid w:val="089E3ECB"/>
    <w:rsid w:val="089E3F7C"/>
    <w:rsid w:val="089E40D5"/>
    <w:rsid w:val="089E41F2"/>
    <w:rsid w:val="089E422D"/>
    <w:rsid w:val="089E4267"/>
    <w:rsid w:val="089E43AD"/>
    <w:rsid w:val="089E44AA"/>
    <w:rsid w:val="089E452D"/>
    <w:rsid w:val="089E454B"/>
    <w:rsid w:val="089E4592"/>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54"/>
    <w:rsid w:val="089E4EE9"/>
    <w:rsid w:val="089E506D"/>
    <w:rsid w:val="089E51A3"/>
    <w:rsid w:val="089E51DA"/>
    <w:rsid w:val="089E5340"/>
    <w:rsid w:val="089E54CA"/>
    <w:rsid w:val="089E54E5"/>
    <w:rsid w:val="089E54E6"/>
    <w:rsid w:val="089E552D"/>
    <w:rsid w:val="089E5540"/>
    <w:rsid w:val="089E5556"/>
    <w:rsid w:val="089E55C7"/>
    <w:rsid w:val="089E55FD"/>
    <w:rsid w:val="089E5605"/>
    <w:rsid w:val="089E561A"/>
    <w:rsid w:val="089E561F"/>
    <w:rsid w:val="089E56D4"/>
    <w:rsid w:val="089E56F6"/>
    <w:rsid w:val="089E5705"/>
    <w:rsid w:val="089E572F"/>
    <w:rsid w:val="089E5857"/>
    <w:rsid w:val="089E585A"/>
    <w:rsid w:val="089E585B"/>
    <w:rsid w:val="089E5861"/>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A0"/>
    <w:rsid w:val="089E5FFA"/>
    <w:rsid w:val="089E6020"/>
    <w:rsid w:val="089E6094"/>
    <w:rsid w:val="089E60AC"/>
    <w:rsid w:val="089E6154"/>
    <w:rsid w:val="089E6159"/>
    <w:rsid w:val="089E6176"/>
    <w:rsid w:val="089E6179"/>
    <w:rsid w:val="089E6187"/>
    <w:rsid w:val="089E61A1"/>
    <w:rsid w:val="089E61B6"/>
    <w:rsid w:val="089E6268"/>
    <w:rsid w:val="089E62E3"/>
    <w:rsid w:val="089E63AC"/>
    <w:rsid w:val="089E63C7"/>
    <w:rsid w:val="089E63D0"/>
    <w:rsid w:val="089E647D"/>
    <w:rsid w:val="089E662D"/>
    <w:rsid w:val="089E6658"/>
    <w:rsid w:val="089E673E"/>
    <w:rsid w:val="089E6797"/>
    <w:rsid w:val="089E67BF"/>
    <w:rsid w:val="089E690D"/>
    <w:rsid w:val="089E69FD"/>
    <w:rsid w:val="089E6B1E"/>
    <w:rsid w:val="089E6D85"/>
    <w:rsid w:val="089E6E07"/>
    <w:rsid w:val="089E6E52"/>
    <w:rsid w:val="089E6F35"/>
    <w:rsid w:val="089E700C"/>
    <w:rsid w:val="089E7096"/>
    <w:rsid w:val="089E70D8"/>
    <w:rsid w:val="089E7125"/>
    <w:rsid w:val="089E718C"/>
    <w:rsid w:val="089E7299"/>
    <w:rsid w:val="089E7325"/>
    <w:rsid w:val="089E747D"/>
    <w:rsid w:val="089E7577"/>
    <w:rsid w:val="089E75C5"/>
    <w:rsid w:val="089E75CA"/>
    <w:rsid w:val="089E7681"/>
    <w:rsid w:val="089E76D0"/>
    <w:rsid w:val="089E77D3"/>
    <w:rsid w:val="089E77D8"/>
    <w:rsid w:val="089E78D9"/>
    <w:rsid w:val="089E791A"/>
    <w:rsid w:val="089E7930"/>
    <w:rsid w:val="089E793E"/>
    <w:rsid w:val="089E79D1"/>
    <w:rsid w:val="089E7A3F"/>
    <w:rsid w:val="089E7A56"/>
    <w:rsid w:val="089E7A9C"/>
    <w:rsid w:val="089E7C5F"/>
    <w:rsid w:val="089E7D94"/>
    <w:rsid w:val="089E7E84"/>
    <w:rsid w:val="089E7EA6"/>
    <w:rsid w:val="089E7ECB"/>
    <w:rsid w:val="089E7F12"/>
    <w:rsid w:val="089E7F20"/>
    <w:rsid w:val="089E7FB8"/>
    <w:rsid w:val="089E7FCE"/>
    <w:rsid w:val="089F00B5"/>
    <w:rsid w:val="089F00C1"/>
    <w:rsid w:val="089F01A1"/>
    <w:rsid w:val="089F020B"/>
    <w:rsid w:val="089F027C"/>
    <w:rsid w:val="089F02AA"/>
    <w:rsid w:val="089F0371"/>
    <w:rsid w:val="089F04EC"/>
    <w:rsid w:val="089F05C7"/>
    <w:rsid w:val="089F05D7"/>
    <w:rsid w:val="089F0634"/>
    <w:rsid w:val="089F0679"/>
    <w:rsid w:val="089F06DE"/>
    <w:rsid w:val="089F0721"/>
    <w:rsid w:val="089F072A"/>
    <w:rsid w:val="089F073F"/>
    <w:rsid w:val="089F0750"/>
    <w:rsid w:val="089F0755"/>
    <w:rsid w:val="089F0775"/>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105"/>
    <w:rsid w:val="089F1170"/>
    <w:rsid w:val="089F11E0"/>
    <w:rsid w:val="089F11EC"/>
    <w:rsid w:val="089F1257"/>
    <w:rsid w:val="089F1332"/>
    <w:rsid w:val="089F13DD"/>
    <w:rsid w:val="089F14FD"/>
    <w:rsid w:val="089F1516"/>
    <w:rsid w:val="089F1531"/>
    <w:rsid w:val="089F1596"/>
    <w:rsid w:val="089F1633"/>
    <w:rsid w:val="089F1656"/>
    <w:rsid w:val="089F166E"/>
    <w:rsid w:val="089F1798"/>
    <w:rsid w:val="089F17A9"/>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2021"/>
    <w:rsid w:val="089F20DF"/>
    <w:rsid w:val="089F2181"/>
    <w:rsid w:val="089F222E"/>
    <w:rsid w:val="089F223E"/>
    <w:rsid w:val="089F22C7"/>
    <w:rsid w:val="089F22DD"/>
    <w:rsid w:val="089F23C1"/>
    <w:rsid w:val="089F2400"/>
    <w:rsid w:val="089F2529"/>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31"/>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85"/>
    <w:rsid w:val="089F4B93"/>
    <w:rsid w:val="089F4BAC"/>
    <w:rsid w:val="089F4BB9"/>
    <w:rsid w:val="089F4C29"/>
    <w:rsid w:val="089F4C46"/>
    <w:rsid w:val="089F4CD7"/>
    <w:rsid w:val="089F4CF6"/>
    <w:rsid w:val="089F4CFC"/>
    <w:rsid w:val="089F4D8D"/>
    <w:rsid w:val="089F4E39"/>
    <w:rsid w:val="089F4EAA"/>
    <w:rsid w:val="089F50CD"/>
    <w:rsid w:val="089F50DD"/>
    <w:rsid w:val="089F5125"/>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0E"/>
    <w:rsid w:val="089F5844"/>
    <w:rsid w:val="089F5904"/>
    <w:rsid w:val="089F595A"/>
    <w:rsid w:val="089F59C3"/>
    <w:rsid w:val="089F59E2"/>
    <w:rsid w:val="089F5A20"/>
    <w:rsid w:val="089F5A2E"/>
    <w:rsid w:val="089F5AA1"/>
    <w:rsid w:val="089F5AEC"/>
    <w:rsid w:val="089F5B52"/>
    <w:rsid w:val="089F5BDD"/>
    <w:rsid w:val="089F5BE2"/>
    <w:rsid w:val="089F5C37"/>
    <w:rsid w:val="089F5D65"/>
    <w:rsid w:val="089F5E04"/>
    <w:rsid w:val="089F5E3F"/>
    <w:rsid w:val="089F5E5E"/>
    <w:rsid w:val="089F5EBE"/>
    <w:rsid w:val="089F5F9A"/>
    <w:rsid w:val="089F6009"/>
    <w:rsid w:val="089F6059"/>
    <w:rsid w:val="089F614D"/>
    <w:rsid w:val="089F6206"/>
    <w:rsid w:val="089F627D"/>
    <w:rsid w:val="089F62D1"/>
    <w:rsid w:val="089F62DA"/>
    <w:rsid w:val="089F6369"/>
    <w:rsid w:val="089F63BF"/>
    <w:rsid w:val="089F6554"/>
    <w:rsid w:val="089F6599"/>
    <w:rsid w:val="089F65EA"/>
    <w:rsid w:val="089F665A"/>
    <w:rsid w:val="089F6691"/>
    <w:rsid w:val="089F66A2"/>
    <w:rsid w:val="089F66E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5D"/>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67"/>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78"/>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100E"/>
    <w:rsid w:val="08A0113B"/>
    <w:rsid w:val="08A0116B"/>
    <w:rsid w:val="08A0119D"/>
    <w:rsid w:val="08A01325"/>
    <w:rsid w:val="08A0133D"/>
    <w:rsid w:val="08A0134C"/>
    <w:rsid w:val="08A01368"/>
    <w:rsid w:val="08A0136C"/>
    <w:rsid w:val="08A014E9"/>
    <w:rsid w:val="08A0154D"/>
    <w:rsid w:val="08A015EE"/>
    <w:rsid w:val="08A01621"/>
    <w:rsid w:val="08A01628"/>
    <w:rsid w:val="08A0164A"/>
    <w:rsid w:val="08A016B9"/>
    <w:rsid w:val="08A016D7"/>
    <w:rsid w:val="08A016E5"/>
    <w:rsid w:val="08A01755"/>
    <w:rsid w:val="08A017E6"/>
    <w:rsid w:val="08A01836"/>
    <w:rsid w:val="08A0187B"/>
    <w:rsid w:val="08A01933"/>
    <w:rsid w:val="08A01970"/>
    <w:rsid w:val="08A01AF3"/>
    <w:rsid w:val="08A01B01"/>
    <w:rsid w:val="08A01B59"/>
    <w:rsid w:val="08A01C67"/>
    <w:rsid w:val="08A01C72"/>
    <w:rsid w:val="08A01C8B"/>
    <w:rsid w:val="08A01D17"/>
    <w:rsid w:val="08A01D51"/>
    <w:rsid w:val="08A01D9C"/>
    <w:rsid w:val="08A01DE9"/>
    <w:rsid w:val="08A01E0C"/>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D2B"/>
    <w:rsid w:val="08A03D39"/>
    <w:rsid w:val="08A03DCA"/>
    <w:rsid w:val="08A03E23"/>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37"/>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AED"/>
    <w:rsid w:val="08A05C2B"/>
    <w:rsid w:val="08A05C47"/>
    <w:rsid w:val="08A05DA1"/>
    <w:rsid w:val="08A05F07"/>
    <w:rsid w:val="08A05F9E"/>
    <w:rsid w:val="08A05FF7"/>
    <w:rsid w:val="08A05FFA"/>
    <w:rsid w:val="08A06123"/>
    <w:rsid w:val="08A06168"/>
    <w:rsid w:val="08A06175"/>
    <w:rsid w:val="08A061E7"/>
    <w:rsid w:val="08A061FE"/>
    <w:rsid w:val="08A06202"/>
    <w:rsid w:val="08A062BA"/>
    <w:rsid w:val="08A063CF"/>
    <w:rsid w:val="08A063FB"/>
    <w:rsid w:val="08A06400"/>
    <w:rsid w:val="08A0642F"/>
    <w:rsid w:val="08A065BC"/>
    <w:rsid w:val="08A065D9"/>
    <w:rsid w:val="08A0661B"/>
    <w:rsid w:val="08A066B3"/>
    <w:rsid w:val="08A066C6"/>
    <w:rsid w:val="08A066ED"/>
    <w:rsid w:val="08A067E6"/>
    <w:rsid w:val="08A0689F"/>
    <w:rsid w:val="08A068FD"/>
    <w:rsid w:val="08A06ADB"/>
    <w:rsid w:val="08A06B51"/>
    <w:rsid w:val="08A06D6C"/>
    <w:rsid w:val="08A06EBC"/>
    <w:rsid w:val="08A06EC2"/>
    <w:rsid w:val="08A06F0D"/>
    <w:rsid w:val="08A06F34"/>
    <w:rsid w:val="08A06F66"/>
    <w:rsid w:val="08A06F83"/>
    <w:rsid w:val="08A06FBC"/>
    <w:rsid w:val="08A06FDB"/>
    <w:rsid w:val="08A07044"/>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8C8"/>
    <w:rsid w:val="08A07986"/>
    <w:rsid w:val="08A079C9"/>
    <w:rsid w:val="08A07A3C"/>
    <w:rsid w:val="08A07A70"/>
    <w:rsid w:val="08A07A88"/>
    <w:rsid w:val="08A07AAE"/>
    <w:rsid w:val="08A07BD3"/>
    <w:rsid w:val="08A07BD5"/>
    <w:rsid w:val="08A07C21"/>
    <w:rsid w:val="08A07C94"/>
    <w:rsid w:val="08A07CE4"/>
    <w:rsid w:val="08A07D7D"/>
    <w:rsid w:val="08A07F4A"/>
    <w:rsid w:val="08A07F9B"/>
    <w:rsid w:val="08A10059"/>
    <w:rsid w:val="08A10080"/>
    <w:rsid w:val="08A10159"/>
    <w:rsid w:val="08A101B9"/>
    <w:rsid w:val="08A101EE"/>
    <w:rsid w:val="08A103A9"/>
    <w:rsid w:val="08A103C5"/>
    <w:rsid w:val="08A1040A"/>
    <w:rsid w:val="08A10422"/>
    <w:rsid w:val="08A1042C"/>
    <w:rsid w:val="08A10487"/>
    <w:rsid w:val="08A104DA"/>
    <w:rsid w:val="08A104E5"/>
    <w:rsid w:val="08A105AE"/>
    <w:rsid w:val="08A1061C"/>
    <w:rsid w:val="08A10755"/>
    <w:rsid w:val="08A10772"/>
    <w:rsid w:val="08A107B4"/>
    <w:rsid w:val="08A10851"/>
    <w:rsid w:val="08A10879"/>
    <w:rsid w:val="08A10955"/>
    <w:rsid w:val="08A10ADF"/>
    <w:rsid w:val="08A10C16"/>
    <w:rsid w:val="08A10C77"/>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35"/>
    <w:rsid w:val="08A112CE"/>
    <w:rsid w:val="08A1141F"/>
    <w:rsid w:val="08A114D0"/>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0F"/>
    <w:rsid w:val="08A11D2A"/>
    <w:rsid w:val="08A11D45"/>
    <w:rsid w:val="08A11DDE"/>
    <w:rsid w:val="08A11DE5"/>
    <w:rsid w:val="08A11EA9"/>
    <w:rsid w:val="08A11F34"/>
    <w:rsid w:val="08A11F8D"/>
    <w:rsid w:val="08A11FA1"/>
    <w:rsid w:val="08A11FF3"/>
    <w:rsid w:val="08A1207E"/>
    <w:rsid w:val="08A120A0"/>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58"/>
    <w:rsid w:val="08A13481"/>
    <w:rsid w:val="08A135D3"/>
    <w:rsid w:val="08A135DE"/>
    <w:rsid w:val="08A13680"/>
    <w:rsid w:val="08A136B0"/>
    <w:rsid w:val="08A136E9"/>
    <w:rsid w:val="08A1378E"/>
    <w:rsid w:val="08A137CA"/>
    <w:rsid w:val="08A137DD"/>
    <w:rsid w:val="08A138C1"/>
    <w:rsid w:val="08A138D1"/>
    <w:rsid w:val="08A1394E"/>
    <w:rsid w:val="08A1398E"/>
    <w:rsid w:val="08A13B03"/>
    <w:rsid w:val="08A13C3C"/>
    <w:rsid w:val="08A13C8F"/>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DFA"/>
    <w:rsid w:val="08A14E1A"/>
    <w:rsid w:val="08A14E35"/>
    <w:rsid w:val="08A14FC8"/>
    <w:rsid w:val="08A1509E"/>
    <w:rsid w:val="08A15161"/>
    <w:rsid w:val="08A15201"/>
    <w:rsid w:val="08A15264"/>
    <w:rsid w:val="08A152B1"/>
    <w:rsid w:val="08A152FC"/>
    <w:rsid w:val="08A15312"/>
    <w:rsid w:val="08A1538B"/>
    <w:rsid w:val="08A1554D"/>
    <w:rsid w:val="08A155B6"/>
    <w:rsid w:val="08A155C6"/>
    <w:rsid w:val="08A1563B"/>
    <w:rsid w:val="08A1570A"/>
    <w:rsid w:val="08A15801"/>
    <w:rsid w:val="08A15830"/>
    <w:rsid w:val="08A158B5"/>
    <w:rsid w:val="08A15940"/>
    <w:rsid w:val="08A15998"/>
    <w:rsid w:val="08A159F9"/>
    <w:rsid w:val="08A15AD9"/>
    <w:rsid w:val="08A15C1F"/>
    <w:rsid w:val="08A15CE0"/>
    <w:rsid w:val="08A15D20"/>
    <w:rsid w:val="08A15D24"/>
    <w:rsid w:val="08A15D2A"/>
    <w:rsid w:val="08A15D39"/>
    <w:rsid w:val="08A15D3D"/>
    <w:rsid w:val="08A15D5B"/>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E4D"/>
    <w:rsid w:val="08A20F18"/>
    <w:rsid w:val="08A20F57"/>
    <w:rsid w:val="08A20F66"/>
    <w:rsid w:val="08A2116B"/>
    <w:rsid w:val="08A211AE"/>
    <w:rsid w:val="08A2120E"/>
    <w:rsid w:val="08A21247"/>
    <w:rsid w:val="08A212A0"/>
    <w:rsid w:val="08A212E1"/>
    <w:rsid w:val="08A212E3"/>
    <w:rsid w:val="08A21346"/>
    <w:rsid w:val="08A2135C"/>
    <w:rsid w:val="08A21373"/>
    <w:rsid w:val="08A21419"/>
    <w:rsid w:val="08A21426"/>
    <w:rsid w:val="08A21503"/>
    <w:rsid w:val="08A21531"/>
    <w:rsid w:val="08A2153C"/>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69"/>
    <w:rsid w:val="08A2317B"/>
    <w:rsid w:val="08A231E5"/>
    <w:rsid w:val="08A23202"/>
    <w:rsid w:val="08A232D2"/>
    <w:rsid w:val="08A232EE"/>
    <w:rsid w:val="08A23367"/>
    <w:rsid w:val="08A233A3"/>
    <w:rsid w:val="08A23436"/>
    <w:rsid w:val="08A23494"/>
    <w:rsid w:val="08A234D6"/>
    <w:rsid w:val="08A235F1"/>
    <w:rsid w:val="08A23607"/>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3F2C"/>
    <w:rsid w:val="08A2404A"/>
    <w:rsid w:val="08A2405F"/>
    <w:rsid w:val="08A2407E"/>
    <w:rsid w:val="08A24090"/>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E3"/>
    <w:rsid w:val="08A24BFE"/>
    <w:rsid w:val="08A24CE0"/>
    <w:rsid w:val="08A24D0D"/>
    <w:rsid w:val="08A24E9E"/>
    <w:rsid w:val="08A24EA7"/>
    <w:rsid w:val="08A24F3B"/>
    <w:rsid w:val="08A24F79"/>
    <w:rsid w:val="08A24FDF"/>
    <w:rsid w:val="08A24FEA"/>
    <w:rsid w:val="08A25049"/>
    <w:rsid w:val="08A25067"/>
    <w:rsid w:val="08A2506C"/>
    <w:rsid w:val="08A25134"/>
    <w:rsid w:val="08A25141"/>
    <w:rsid w:val="08A251C3"/>
    <w:rsid w:val="08A251E5"/>
    <w:rsid w:val="08A25220"/>
    <w:rsid w:val="08A25371"/>
    <w:rsid w:val="08A253B4"/>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6002"/>
    <w:rsid w:val="08A2617C"/>
    <w:rsid w:val="08A261BF"/>
    <w:rsid w:val="08A2633A"/>
    <w:rsid w:val="08A26389"/>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C19"/>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87"/>
    <w:rsid w:val="08A27BDA"/>
    <w:rsid w:val="08A27BF9"/>
    <w:rsid w:val="08A27C2E"/>
    <w:rsid w:val="08A27CF6"/>
    <w:rsid w:val="08A27D6A"/>
    <w:rsid w:val="08A27D6B"/>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72"/>
    <w:rsid w:val="08A33A8E"/>
    <w:rsid w:val="08A33A9C"/>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2C1"/>
    <w:rsid w:val="08A3434A"/>
    <w:rsid w:val="08A34431"/>
    <w:rsid w:val="08A344FE"/>
    <w:rsid w:val="08A3453E"/>
    <w:rsid w:val="08A34561"/>
    <w:rsid w:val="08A345E1"/>
    <w:rsid w:val="08A34626"/>
    <w:rsid w:val="08A3462C"/>
    <w:rsid w:val="08A3462F"/>
    <w:rsid w:val="08A3468B"/>
    <w:rsid w:val="08A346BA"/>
    <w:rsid w:val="08A34798"/>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66E"/>
    <w:rsid w:val="08A36671"/>
    <w:rsid w:val="08A366DD"/>
    <w:rsid w:val="08A367F3"/>
    <w:rsid w:val="08A36825"/>
    <w:rsid w:val="08A3688E"/>
    <w:rsid w:val="08A368F5"/>
    <w:rsid w:val="08A3696A"/>
    <w:rsid w:val="08A3696B"/>
    <w:rsid w:val="08A369C7"/>
    <w:rsid w:val="08A36A98"/>
    <w:rsid w:val="08A36A99"/>
    <w:rsid w:val="08A36A9B"/>
    <w:rsid w:val="08A36B5A"/>
    <w:rsid w:val="08A36B69"/>
    <w:rsid w:val="08A36BBC"/>
    <w:rsid w:val="08A36CA1"/>
    <w:rsid w:val="08A36CB1"/>
    <w:rsid w:val="08A36D4B"/>
    <w:rsid w:val="08A36D6D"/>
    <w:rsid w:val="08A36E00"/>
    <w:rsid w:val="08A36E2A"/>
    <w:rsid w:val="08A36F07"/>
    <w:rsid w:val="08A36F56"/>
    <w:rsid w:val="08A37098"/>
    <w:rsid w:val="08A3710B"/>
    <w:rsid w:val="08A37142"/>
    <w:rsid w:val="08A3719C"/>
    <w:rsid w:val="08A3722D"/>
    <w:rsid w:val="08A37282"/>
    <w:rsid w:val="08A37284"/>
    <w:rsid w:val="08A372BC"/>
    <w:rsid w:val="08A37366"/>
    <w:rsid w:val="08A375CC"/>
    <w:rsid w:val="08A3764C"/>
    <w:rsid w:val="08A37687"/>
    <w:rsid w:val="08A37753"/>
    <w:rsid w:val="08A377A8"/>
    <w:rsid w:val="08A37880"/>
    <w:rsid w:val="08A37946"/>
    <w:rsid w:val="08A379BA"/>
    <w:rsid w:val="08A37A3D"/>
    <w:rsid w:val="08A37A4F"/>
    <w:rsid w:val="08A37B5A"/>
    <w:rsid w:val="08A37B70"/>
    <w:rsid w:val="08A37D23"/>
    <w:rsid w:val="08A37D9F"/>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3"/>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AEB"/>
    <w:rsid w:val="08A40B22"/>
    <w:rsid w:val="08A40BD3"/>
    <w:rsid w:val="08A40C44"/>
    <w:rsid w:val="08A40C4D"/>
    <w:rsid w:val="08A40CB5"/>
    <w:rsid w:val="08A40D30"/>
    <w:rsid w:val="08A40DBA"/>
    <w:rsid w:val="08A40DCD"/>
    <w:rsid w:val="08A40ECB"/>
    <w:rsid w:val="08A40F2E"/>
    <w:rsid w:val="08A40FCE"/>
    <w:rsid w:val="08A41016"/>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69F"/>
    <w:rsid w:val="08A416DB"/>
    <w:rsid w:val="08A417DB"/>
    <w:rsid w:val="08A41803"/>
    <w:rsid w:val="08A41981"/>
    <w:rsid w:val="08A4198D"/>
    <w:rsid w:val="08A41A07"/>
    <w:rsid w:val="08A41A46"/>
    <w:rsid w:val="08A41A86"/>
    <w:rsid w:val="08A41B04"/>
    <w:rsid w:val="08A41B84"/>
    <w:rsid w:val="08A41B9B"/>
    <w:rsid w:val="08A41BEA"/>
    <w:rsid w:val="08A41C62"/>
    <w:rsid w:val="08A41D16"/>
    <w:rsid w:val="08A41D59"/>
    <w:rsid w:val="08A41E08"/>
    <w:rsid w:val="08A42021"/>
    <w:rsid w:val="08A4206A"/>
    <w:rsid w:val="08A420E6"/>
    <w:rsid w:val="08A420F8"/>
    <w:rsid w:val="08A420FB"/>
    <w:rsid w:val="08A42193"/>
    <w:rsid w:val="08A421C8"/>
    <w:rsid w:val="08A42383"/>
    <w:rsid w:val="08A42396"/>
    <w:rsid w:val="08A423DA"/>
    <w:rsid w:val="08A42428"/>
    <w:rsid w:val="08A42431"/>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A91"/>
    <w:rsid w:val="08A42BA7"/>
    <w:rsid w:val="08A42BEE"/>
    <w:rsid w:val="08A42BF0"/>
    <w:rsid w:val="08A42C11"/>
    <w:rsid w:val="08A42CFE"/>
    <w:rsid w:val="08A42D4D"/>
    <w:rsid w:val="08A42D8B"/>
    <w:rsid w:val="08A42D97"/>
    <w:rsid w:val="08A42DC5"/>
    <w:rsid w:val="08A42DF8"/>
    <w:rsid w:val="08A42E40"/>
    <w:rsid w:val="08A42E46"/>
    <w:rsid w:val="08A42ED6"/>
    <w:rsid w:val="08A42EEB"/>
    <w:rsid w:val="08A43027"/>
    <w:rsid w:val="08A4315F"/>
    <w:rsid w:val="08A43173"/>
    <w:rsid w:val="08A431A0"/>
    <w:rsid w:val="08A431AA"/>
    <w:rsid w:val="08A431BE"/>
    <w:rsid w:val="08A431F1"/>
    <w:rsid w:val="08A43288"/>
    <w:rsid w:val="08A4328D"/>
    <w:rsid w:val="08A432C0"/>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79"/>
    <w:rsid w:val="08A443C6"/>
    <w:rsid w:val="08A443E7"/>
    <w:rsid w:val="08A4449F"/>
    <w:rsid w:val="08A444B3"/>
    <w:rsid w:val="08A44532"/>
    <w:rsid w:val="08A445F5"/>
    <w:rsid w:val="08A4465A"/>
    <w:rsid w:val="08A44691"/>
    <w:rsid w:val="08A4473E"/>
    <w:rsid w:val="08A44792"/>
    <w:rsid w:val="08A44899"/>
    <w:rsid w:val="08A448E7"/>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0EF"/>
    <w:rsid w:val="08A4515F"/>
    <w:rsid w:val="08A451D4"/>
    <w:rsid w:val="08A451EF"/>
    <w:rsid w:val="08A452A6"/>
    <w:rsid w:val="08A45312"/>
    <w:rsid w:val="08A453A3"/>
    <w:rsid w:val="08A45463"/>
    <w:rsid w:val="08A45489"/>
    <w:rsid w:val="08A4549B"/>
    <w:rsid w:val="08A454B9"/>
    <w:rsid w:val="08A45550"/>
    <w:rsid w:val="08A4568B"/>
    <w:rsid w:val="08A45760"/>
    <w:rsid w:val="08A457E2"/>
    <w:rsid w:val="08A45836"/>
    <w:rsid w:val="08A4591E"/>
    <w:rsid w:val="08A4597B"/>
    <w:rsid w:val="08A459E8"/>
    <w:rsid w:val="08A45C6B"/>
    <w:rsid w:val="08A45C73"/>
    <w:rsid w:val="08A45D1B"/>
    <w:rsid w:val="08A45D1F"/>
    <w:rsid w:val="08A45D71"/>
    <w:rsid w:val="08A45F18"/>
    <w:rsid w:val="08A46008"/>
    <w:rsid w:val="08A46014"/>
    <w:rsid w:val="08A460E0"/>
    <w:rsid w:val="08A460FE"/>
    <w:rsid w:val="08A461A8"/>
    <w:rsid w:val="08A4626D"/>
    <w:rsid w:val="08A46382"/>
    <w:rsid w:val="08A4641E"/>
    <w:rsid w:val="08A46556"/>
    <w:rsid w:val="08A465E9"/>
    <w:rsid w:val="08A46832"/>
    <w:rsid w:val="08A4685E"/>
    <w:rsid w:val="08A46907"/>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3A"/>
    <w:rsid w:val="08A47A80"/>
    <w:rsid w:val="08A47A8F"/>
    <w:rsid w:val="08A47ADF"/>
    <w:rsid w:val="08A47B29"/>
    <w:rsid w:val="08A47B5D"/>
    <w:rsid w:val="08A47BD6"/>
    <w:rsid w:val="08A47C46"/>
    <w:rsid w:val="08A47CB6"/>
    <w:rsid w:val="08A47D48"/>
    <w:rsid w:val="08A47DE6"/>
    <w:rsid w:val="08A47E88"/>
    <w:rsid w:val="08A47EA9"/>
    <w:rsid w:val="08A47ED5"/>
    <w:rsid w:val="08A47EE0"/>
    <w:rsid w:val="08A47F13"/>
    <w:rsid w:val="08A47F1F"/>
    <w:rsid w:val="08A50032"/>
    <w:rsid w:val="08A50042"/>
    <w:rsid w:val="08A502BA"/>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1C"/>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BEA"/>
    <w:rsid w:val="08A51C57"/>
    <w:rsid w:val="08A51D74"/>
    <w:rsid w:val="08A51DF5"/>
    <w:rsid w:val="08A51F43"/>
    <w:rsid w:val="08A51F9C"/>
    <w:rsid w:val="08A51FB6"/>
    <w:rsid w:val="08A51FD0"/>
    <w:rsid w:val="08A52115"/>
    <w:rsid w:val="08A52137"/>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65"/>
    <w:rsid w:val="08A52B7F"/>
    <w:rsid w:val="08A52BCF"/>
    <w:rsid w:val="08A52BD2"/>
    <w:rsid w:val="08A52C01"/>
    <w:rsid w:val="08A52C24"/>
    <w:rsid w:val="08A52C7C"/>
    <w:rsid w:val="08A52D09"/>
    <w:rsid w:val="08A52DD4"/>
    <w:rsid w:val="08A52E5D"/>
    <w:rsid w:val="08A52EBC"/>
    <w:rsid w:val="08A52FD7"/>
    <w:rsid w:val="08A53022"/>
    <w:rsid w:val="08A53066"/>
    <w:rsid w:val="08A53082"/>
    <w:rsid w:val="08A530AE"/>
    <w:rsid w:val="08A530BD"/>
    <w:rsid w:val="08A5313B"/>
    <w:rsid w:val="08A531A2"/>
    <w:rsid w:val="08A531B1"/>
    <w:rsid w:val="08A531DD"/>
    <w:rsid w:val="08A531E1"/>
    <w:rsid w:val="08A53205"/>
    <w:rsid w:val="08A5322F"/>
    <w:rsid w:val="08A5329D"/>
    <w:rsid w:val="08A53329"/>
    <w:rsid w:val="08A53339"/>
    <w:rsid w:val="08A53388"/>
    <w:rsid w:val="08A533C7"/>
    <w:rsid w:val="08A53404"/>
    <w:rsid w:val="08A53540"/>
    <w:rsid w:val="08A53645"/>
    <w:rsid w:val="08A536C1"/>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AE"/>
    <w:rsid w:val="08A555C4"/>
    <w:rsid w:val="08A555D4"/>
    <w:rsid w:val="08A55615"/>
    <w:rsid w:val="08A5565F"/>
    <w:rsid w:val="08A556FD"/>
    <w:rsid w:val="08A55792"/>
    <w:rsid w:val="08A55996"/>
    <w:rsid w:val="08A55A72"/>
    <w:rsid w:val="08A55B70"/>
    <w:rsid w:val="08A55B81"/>
    <w:rsid w:val="08A55BC3"/>
    <w:rsid w:val="08A55C27"/>
    <w:rsid w:val="08A55CDD"/>
    <w:rsid w:val="08A55CF2"/>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E3"/>
    <w:rsid w:val="08A56D6F"/>
    <w:rsid w:val="08A56E45"/>
    <w:rsid w:val="08A56EDE"/>
    <w:rsid w:val="08A56F01"/>
    <w:rsid w:val="08A56FF9"/>
    <w:rsid w:val="08A57048"/>
    <w:rsid w:val="08A5704A"/>
    <w:rsid w:val="08A57059"/>
    <w:rsid w:val="08A57289"/>
    <w:rsid w:val="08A57298"/>
    <w:rsid w:val="08A57306"/>
    <w:rsid w:val="08A5744B"/>
    <w:rsid w:val="08A57495"/>
    <w:rsid w:val="08A574CE"/>
    <w:rsid w:val="08A57515"/>
    <w:rsid w:val="08A5751F"/>
    <w:rsid w:val="08A57582"/>
    <w:rsid w:val="08A57597"/>
    <w:rsid w:val="08A575E9"/>
    <w:rsid w:val="08A57651"/>
    <w:rsid w:val="08A5773D"/>
    <w:rsid w:val="08A57747"/>
    <w:rsid w:val="08A57755"/>
    <w:rsid w:val="08A577E5"/>
    <w:rsid w:val="08A577E7"/>
    <w:rsid w:val="08A5784F"/>
    <w:rsid w:val="08A5790B"/>
    <w:rsid w:val="08A57A23"/>
    <w:rsid w:val="08A57A46"/>
    <w:rsid w:val="08A57A69"/>
    <w:rsid w:val="08A57AAD"/>
    <w:rsid w:val="08A57AC5"/>
    <w:rsid w:val="08A57B31"/>
    <w:rsid w:val="08A57B43"/>
    <w:rsid w:val="08A57B75"/>
    <w:rsid w:val="08A57BBA"/>
    <w:rsid w:val="08A57C1E"/>
    <w:rsid w:val="08A57C4E"/>
    <w:rsid w:val="08A57D0B"/>
    <w:rsid w:val="08A57D53"/>
    <w:rsid w:val="08A57D71"/>
    <w:rsid w:val="08A57D92"/>
    <w:rsid w:val="08A57DF8"/>
    <w:rsid w:val="08A57EAC"/>
    <w:rsid w:val="08A57EC5"/>
    <w:rsid w:val="08A57EE4"/>
    <w:rsid w:val="08A57EF0"/>
    <w:rsid w:val="08A57F65"/>
    <w:rsid w:val="08A57FA0"/>
    <w:rsid w:val="08A600A9"/>
    <w:rsid w:val="08A600CF"/>
    <w:rsid w:val="08A60119"/>
    <w:rsid w:val="08A60224"/>
    <w:rsid w:val="08A602CD"/>
    <w:rsid w:val="08A60320"/>
    <w:rsid w:val="08A603D6"/>
    <w:rsid w:val="08A603F5"/>
    <w:rsid w:val="08A60551"/>
    <w:rsid w:val="08A60569"/>
    <w:rsid w:val="08A60597"/>
    <w:rsid w:val="08A605B9"/>
    <w:rsid w:val="08A60623"/>
    <w:rsid w:val="08A60680"/>
    <w:rsid w:val="08A606D2"/>
    <w:rsid w:val="08A606F9"/>
    <w:rsid w:val="08A6070F"/>
    <w:rsid w:val="08A607B6"/>
    <w:rsid w:val="08A607C5"/>
    <w:rsid w:val="08A608A8"/>
    <w:rsid w:val="08A608CD"/>
    <w:rsid w:val="08A60939"/>
    <w:rsid w:val="08A6095E"/>
    <w:rsid w:val="08A60A5F"/>
    <w:rsid w:val="08A60C58"/>
    <w:rsid w:val="08A60D58"/>
    <w:rsid w:val="08A60D5A"/>
    <w:rsid w:val="08A60D91"/>
    <w:rsid w:val="08A60D93"/>
    <w:rsid w:val="08A60DDC"/>
    <w:rsid w:val="08A60DFF"/>
    <w:rsid w:val="08A60E16"/>
    <w:rsid w:val="08A60F82"/>
    <w:rsid w:val="08A60F98"/>
    <w:rsid w:val="08A61037"/>
    <w:rsid w:val="08A61056"/>
    <w:rsid w:val="08A610BC"/>
    <w:rsid w:val="08A6110A"/>
    <w:rsid w:val="08A61184"/>
    <w:rsid w:val="08A611A2"/>
    <w:rsid w:val="08A611A4"/>
    <w:rsid w:val="08A611A6"/>
    <w:rsid w:val="08A611CA"/>
    <w:rsid w:val="08A6121D"/>
    <w:rsid w:val="08A61307"/>
    <w:rsid w:val="08A61320"/>
    <w:rsid w:val="08A6132B"/>
    <w:rsid w:val="08A61519"/>
    <w:rsid w:val="08A61580"/>
    <w:rsid w:val="08A615FD"/>
    <w:rsid w:val="08A6164E"/>
    <w:rsid w:val="08A616B8"/>
    <w:rsid w:val="08A616DC"/>
    <w:rsid w:val="08A61C07"/>
    <w:rsid w:val="08A61C95"/>
    <w:rsid w:val="08A61CC8"/>
    <w:rsid w:val="08A61DD5"/>
    <w:rsid w:val="08A61E3B"/>
    <w:rsid w:val="08A61EF6"/>
    <w:rsid w:val="08A61EF7"/>
    <w:rsid w:val="08A61FA1"/>
    <w:rsid w:val="08A61FFA"/>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4B"/>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233"/>
    <w:rsid w:val="08A63250"/>
    <w:rsid w:val="08A63261"/>
    <w:rsid w:val="08A632B0"/>
    <w:rsid w:val="08A632D4"/>
    <w:rsid w:val="08A633A9"/>
    <w:rsid w:val="08A633BD"/>
    <w:rsid w:val="08A63602"/>
    <w:rsid w:val="08A63693"/>
    <w:rsid w:val="08A636FF"/>
    <w:rsid w:val="08A63932"/>
    <w:rsid w:val="08A63980"/>
    <w:rsid w:val="08A639AF"/>
    <w:rsid w:val="08A639BB"/>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C4"/>
    <w:rsid w:val="08A63FD9"/>
    <w:rsid w:val="08A64052"/>
    <w:rsid w:val="08A6406E"/>
    <w:rsid w:val="08A64180"/>
    <w:rsid w:val="08A642A8"/>
    <w:rsid w:val="08A642B5"/>
    <w:rsid w:val="08A6433E"/>
    <w:rsid w:val="08A643A8"/>
    <w:rsid w:val="08A643CC"/>
    <w:rsid w:val="08A64429"/>
    <w:rsid w:val="08A644E0"/>
    <w:rsid w:val="08A64536"/>
    <w:rsid w:val="08A6453A"/>
    <w:rsid w:val="08A645A9"/>
    <w:rsid w:val="08A64637"/>
    <w:rsid w:val="08A64674"/>
    <w:rsid w:val="08A64688"/>
    <w:rsid w:val="08A646A3"/>
    <w:rsid w:val="08A64702"/>
    <w:rsid w:val="08A64744"/>
    <w:rsid w:val="08A64753"/>
    <w:rsid w:val="08A647AC"/>
    <w:rsid w:val="08A64802"/>
    <w:rsid w:val="08A64882"/>
    <w:rsid w:val="08A6489D"/>
    <w:rsid w:val="08A64968"/>
    <w:rsid w:val="08A64ACB"/>
    <w:rsid w:val="08A64ADE"/>
    <w:rsid w:val="08A64B13"/>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83"/>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B"/>
    <w:rsid w:val="08A65769"/>
    <w:rsid w:val="08A65795"/>
    <w:rsid w:val="08A657E2"/>
    <w:rsid w:val="08A65868"/>
    <w:rsid w:val="08A658EB"/>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79"/>
    <w:rsid w:val="08A65FF5"/>
    <w:rsid w:val="08A66167"/>
    <w:rsid w:val="08A66194"/>
    <w:rsid w:val="08A66317"/>
    <w:rsid w:val="08A6645C"/>
    <w:rsid w:val="08A6645E"/>
    <w:rsid w:val="08A666B7"/>
    <w:rsid w:val="08A666CB"/>
    <w:rsid w:val="08A6678C"/>
    <w:rsid w:val="08A6679F"/>
    <w:rsid w:val="08A667AA"/>
    <w:rsid w:val="08A66822"/>
    <w:rsid w:val="08A6683A"/>
    <w:rsid w:val="08A6688E"/>
    <w:rsid w:val="08A66943"/>
    <w:rsid w:val="08A66958"/>
    <w:rsid w:val="08A669F2"/>
    <w:rsid w:val="08A66A8D"/>
    <w:rsid w:val="08A66ADB"/>
    <w:rsid w:val="08A66C04"/>
    <w:rsid w:val="08A66C54"/>
    <w:rsid w:val="08A66C7F"/>
    <w:rsid w:val="08A66D04"/>
    <w:rsid w:val="08A66D85"/>
    <w:rsid w:val="08A66E10"/>
    <w:rsid w:val="08A66E9D"/>
    <w:rsid w:val="08A66ECF"/>
    <w:rsid w:val="08A66F23"/>
    <w:rsid w:val="08A670ED"/>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905"/>
    <w:rsid w:val="08A67918"/>
    <w:rsid w:val="08A679D8"/>
    <w:rsid w:val="08A67A4C"/>
    <w:rsid w:val="08A67B04"/>
    <w:rsid w:val="08A67B0D"/>
    <w:rsid w:val="08A67B93"/>
    <w:rsid w:val="08A67C14"/>
    <w:rsid w:val="08A67CD4"/>
    <w:rsid w:val="08A67D20"/>
    <w:rsid w:val="08A67D38"/>
    <w:rsid w:val="08A67E20"/>
    <w:rsid w:val="08A67E30"/>
    <w:rsid w:val="08A67E9E"/>
    <w:rsid w:val="08A67EBA"/>
    <w:rsid w:val="08A67FD3"/>
    <w:rsid w:val="08A70010"/>
    <w:rsid w:val="08A70041"/>
    <w:rsid w:val="08A70078"/>
    <w:rsid w:val="08A700CE"/>
    <w:rsid w:val="08A702AE"/>
    <w:rsid w:val="08A702E1"/>
    <w:rsid w:val="08A703C1"/>
    <w:rsid w:val="08A703F3"/>
    <w:rsid w:val="08A70458"/>
    <w:rsid w:val="08A70498"/>
    <w:rsid w:val="08A704AA"/>
    <w:rsid w:val="08A70708"/>
    <w:rsid w:val="08A707BD"/>
    <w:rsid w:val="08A70805"/>
    <w:rsid w:val="08A70871"/>
    <w:rsid w:val="08A70955"/>
    <w:rsid w:val="08A70AE6"/>
    <w:rsid w:val="08A70B45"/>
    <w:rsid w:val="08A70B64"/>
    <w:rsid w:val="08A70B6C"/>
    <w:rsid w:val="08A70B77"/>
    <w:rsid w:val="08A70D46"/>
    <w:rsid w:val="08A70D88"/>
    <w:rsid w:val="08A70DB5"/>
    <w:rsid w:val="08A70E9C"/>
    <w:rsid w:val="08A70F25"/>
    <w:rsid w:val="08A70F9F"/>
    <w:rsid w:val="08A70FA0"/>
    <w:rsid w:val="08A70FED"/>
    <w:rsid w:val="08A71064"/>
    <w:rsid w:val="08A7121C"/>
    <w:rsid w:val="08A7122D"/>
    <w:rsid w:val="08A712EF"/>
    <w:rsid w:val="08A71355"/>
    <w:rsid w:val="08A71483"/>
    <w:rsid w:val="08A714C6"/>
    <w:rsid w:val="08A714CB"/>
    <w:rsid w:val="08A71530"/>
    <w:rsid w:val="08A71539"/>
    <w:rsid w:val="08A71593"/>
    <w:rsid w:val="08A7162F"/>
    <w:rsid w:val="08A71631"/>
    <w:rsid w:val="08A71698"/>
    <w:rsid w:val="08A71815"/>
    <w:rsid w:val="08A71821"/>
    <w:rsid w:val="08A7184C"/>
    <w:rsid w:val="08A718C0"/>
    <w:rsid w:val="08A718ED"/>
    <w:rsid w:val="08A71923"/>
    <w:rsid w:val="08A7196B"/>
    <w:rsid w:val="08A71B09"/>
    <w:rsid w:val="08A71B37"/>
    <w:rsid w:val="08A71C0A"/>
    <w:rsid w:val="08A71CA2"/>
    <w:rsid w:val="08A71CBE"/>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C70"/>
    <w:rsid w:val="08A72D7B"/>
    <w:rsid w:val="08A72DC9"/>
    <w:rsid w:val="08A72E86"/>
    <w:rsid w:val="08A72F3A"/>
    <w:rsid w:val="08A72FF4"/>
    <w:rsid w:val="08A73032"/>
    <w:rsid w:val="08A7303E"/>
    <w:rsid w:val="08A73063"/>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85A"/>
    <w:rsid w:val="08A7392B"/>
    <w:rsid w:val="08A73931"/>
    <w:rsid w:val="08A7396D"/>
    <w:rsid w:val="08A73B23"/>
    <w:rsid w:val="08A73B6C"/>
    <w:rsid w:val="08A73BBF"/>
    <w:rsid w:val="08A73BD7"/>
    <w:rsid w:val="08A73C39"/>
    <w:rsid w:val="08A73D17"/>
    <w:rsid w:val="08A73D4C"/>
    <w:rsid w:val="08A73D5E"/>
    <w:rsid w:val="08A73E32"/>
    <w:rsid w:val="08A73E9E"/>
    <w:rsid w:val="08A73F1E"/>
    <w:rsid w:val="08A73F22"/>
    <w:rsid w:val="08A7402D"/>
    <w:rsid w:val="08A740BF"/>
    <w:rsid w:val="08A740C2"/>
    <w:rsid w:val="08A74143"/>
    <w:rsid w:val="08A74182"/>
    <w:rsid w:val="08A741F4"/>
    <w:rsid w:val="08A74207"/>
    <w:rsid w:val="08A7422B"/>
    <w:rsid w:val="08A742EF"/>
    <w:rsid w:val="08A7430D"/>
    <w:rsid w:val="08A74397"/>
    <w:rsid w:val="08A7444D"/>
    <w:rsid w:val="08A74454"/>
    <w:rsid w:val="08A7449E"/>
    <w:rsid w:val="08A7460B"/>
    <w:rsid w:val="08A74626"/>
    <w:rsid w:val="08A746EE"/>
    <w:rsid w:val="08A74724"/>
    <w:rsid w:val="08A747FE"/>
    <w:rsid w:val="08A74826"/>
    <w:rsid w:val="08A74828"/>
    <w:rsid w:val="08A7488C"/>
    <w:rsid w:val="08A749F3"/>
    <w:rsid w:val="08A74A1D"/>
    <w:rsid w:val="08A74AC2"/>
    <w:rsid w:val="08A74B57"/>
    <w:rsid w:val="08A74B6B"/>
    <w:rsid w:val="08A74BA6"/>
    <w:rsid w:val="08A74C02"/>
    <w:rsid w:val="08A74CB0"/>
    <w:rsid w:val="08A74D47"/>
    <w:rsid w:val="08A74F86"/>
    <w:rsid w:val="08A7502B"/>
    <w:rsid w:val="08A7502D"/>
    <w:rsid w:val="08A751B4"/>
    <w:rsid w:val="08A75223"/>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BDB"/>
    <w:rsid w:val="08A75C31"/>
    <w:rsid w:val="08A75C9F"/>
    <w:rsid w:val="08A75CB1"/>
    <w:rsid w:val="08A75D6A"/>
    <w:rsid w:val="08A75D7B"/>
    <w:rsid w:val="08A75DE4"/>
    <w:rsid w:val="08A75DE6"/>
    <w:rsid w:val="08A75EC4"/>
    <w:rsid w:val="08A75F54"/>
    <w:rsid w:val="08A760C5"/>
    <w:rsid w:val="08A76187"/>
    <w:rsid w:val="08A76259"/>
    <w:rsid w:val="08A763F6"/>
    <w:rsid w:val="08A76436"/>
    <w:rsid w:val="08A76512"/>
    <w:rsid w:val="08A76523"/>
    <w:rsid w:val="08A7653D"/>
    <w:rsid w:val="08A7655A"/>
    <w:rsid w:val="08A76597"/>
    <w:rsid w:val="08A765BC"/>
    <w:rsid w:val="08A765DF"/>
    <w:rsid w:val="08A76763"/>
    <w:rsid w:val="08A76849"/>
    <w:rsid w:val="08A768F9"/>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67"/>
    <w:rsid w:val="08A777EF"/>
    <w:rsid w:val="08A77804"/>
    <w:rsid w:val="08A77826"/>
    <w:rsid w:val="08A7787E"/>
    <w:rsid w:val="08A779AF"/>
    <w:rsid w:val="08A77A60"/>
    <w:rsid w:val="08A77A8C"/>
    <w:rsid w:val="08A77A8F"/>
    <w:rsid w:val="08A77AE3"/>
    <w:rsid w:val="08A77C2D"/>
    <w:rsid w:val="08A77C84"/>
    <w:rsid w:val="08A77CCB"/>
    <w:rsid w:val="08A77CEB"/>
    <w:rsid w:val="08A77D7C"/>
    <w:rsid w:val="08A77D8D"/>
    <w:rsid w:val="08A77E11"/>
    <w:rsid w:val="08A77E79"/>
    <w:rsid w:val="08A77EDB"/>
    <w:rsid w:val="08A77F6F"/>
    <w:rsid w:val="08A77F8B"/>
    <w:rsid w:val="08A77F94"/>
    <w:rsid w:val="08A8003C"/>
    <w:rsid w:val="08A801C1"/>
    <w:rsid w:val="08A80200"/>
    <w:rsid w:val="08A80232"/>
    <w:rsid w:val="08A80380"/>
    <w:rsid w:val="08A80381"/>
    <w:rsid w:val="08A80384"/>
    <w:rsid w:val="08A803E9"/>
    <w:rsid w:val="08A80492"/>
    <w:rsid w:val="08A80532"/>
    <w:rsid w:val="08A80564"/>
    <w:rsid w:val="08A805DA"/>
    <w:rsid w:val="08A806A0"/>
    <w:rsid w:val="08A80738"/>
    <w:rsid w:val="08A8085B"/>
    <w:rsid w:val="08A8085D"/>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64"/>
    <w:rsid w:val="08A81F7A"/>
    <w:rsid w:val="08A81F91"/>
    <w:rsid w:val="08A821E7"/>
    <w:rsid w:val="08A82251"/>
    <w:rsid w:val="08A82495"/>
    <w:rsid w:val="08A825EB"/>
    <w:rsid w:val="08A82662"/>
    <w:rsid w:val="08A826DB"/>
    <w:rsid w:val="08A826E9"/>
    <w:rsid w:val="08A827E5"/>
    <w:rsid w:val="08A8282E"/>
    <w:rsid w:val="08A8285D"/>
    <w:rsid w:val="08A8295F"/>
    <w:rsid w:val="08A829CC"/>
    <w:rsid w:val="08A82A21"/>
    <w:rsid w:val="08A82A2B"/>
    <w:rsid w:val="08A82A89"/>
    <w:rsid w:val="08A82B00"/>
    <w:rsid w:val="08A82B80"/>
    <w:rsid w:val="08A82CA0"/>
    <w:rsid w:val="08A82E06"/>
    <w:rsid w:val="08A82E54"/>
    <w:rsid w:val="08A82E78"/>
    <w:rsid w:val="08A82F1E"/>
    <w:rsid w:val="08A82F4C"/>
    <w:rsid w:val="08A82F6E"/>
    <w:rsid w:val="08A82FF9"/>
    <w:rsid w:val="08A83029"/>
    <w:rsid w:val="08A83077"/>
    <w:rsid w:val="08A83078"/>
    <w:rsid w:val="08A830B1"/>
    <w:rsid w:val="08A83113"/>
    <w:rsid w:val="08A83136"/>
    <w:rsid w:val="08A8314F"/>
    <w:rsid w:val="08A83169"/>
    <w:rsid w:val="08A83305"/>
    <w:rsid w:val="08A8336F"/>
    <w:rsid w:val="08A833BF"/>
    <w:rsid w:val="08A833FD"/>
    <w:rsid w:val="08A83429"/>
    <w:rsid w:val="08A83443"/>
    <w:rsid w:val="08A8346A"/>
    <w:rsid w:val="08A834F1"/>
    <w:rsid w:val="08A83502"/>
    <w:rsid w:val="08A83541"/>
    <w:rsid w:val="08A8358E"/>
    <w:rsid w:val="08A835C9"/>
    <w:rsid w:val="08A8361F"/>
    <w:rsid w:val="08A83621"/>
    <w:rsid w:val="08A83645"/>
    <w:rsid w:val="08A836A1"/>
    <w:rsid w:val="08A8373C"/>
    <w:rsid w:val="08A8383C"/>
    <w:rsid w:val="08A839E8"/>
    <w:rsid w:val="08A83AED"/>
    <w:rsid w:val="08A83BDA"/>
    <w:rsid w:val="08A83C78"/>
    <w:rsid w:val="08A83D78"/>
    <w:rsid w:val="08A83DED"/>
    <w:rsid w:val="08A83EB3"/>
    <w:rsid w:val="08A83F3B"/>
    <w:rsid w:val="08A83FE2"/>
    <w:rsid w:val="08A83FED"/>
    <w:rsid w:val="08A840A0"/>
    <w:rsid w:val="08A84121"/>
    <w:rsid w:val="08A8417C"/>
    <w:rsid w:val="08A84214"/>
    <w:rsid w:val="08A84236"/>
    <w:rsid w:val="08A84239"/>
    <w:rsid w:val="08A84251"/>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BF"/>
    <w:rsid w:val="08A84BC9"/>
    <w:rsid w:val="08A84C87"/>
    <w:rsid w:val="08A84CB8"/>
    <w:rsid w:val="08A84CC2"/>
    <w:rsid w:val="08A84D3E"/>
    <w:rsid w:val="08A84DF2"/>
    <w:rsid w:val="08A84E03"/>
    <w:rsid w:val="08A84E23"/>
    <w:rsid w:val="08A84EE0"/>
    <w:rsid w:val="08A8500B"/>
    <w:rsid w:val="08A8501E"/>
    <w:rsid w:val="08A85087"/>
    <w:rsid w:val="08A850F6"/>
    <w:rsid w:val="08A85126"/>
    <w:rsid w:val="08A85272"/>
    <w:rsid w:val="08A85375"/>
    <w:rsid w:val="08A853F4"/>
    <w:rsid w:val="08A85461"/>
    <w:rsid w:val="08A855C3"/>
    <w:rsid w:val="08A8561C"/>
    <w:rsid w:val="08A8566E"/>
    <w:rsid w:val="08A857A3"/>
    <w:rsid w:val="08A857B1"/>
    <w:rsid w:val="08A858CF"/>
    <w:rsid w:val="08A85B1D"/>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707"/>
    <w:rsid w:val="08A86816"/>
    <w:rsid w:val="08A86986"/>
    <w:rsid w:val="08A86BCC"/>
    <w:rsid w:val="08A86C15"/>
    <w:rsid w:val="08A86C7C"/>
    <w:rsid w:val="08A86CBE"/>
    <w:rsid w:val="08A86CCD"/>
    <w:rsid w:val="08A86E04"/>
    <w:rsid w:val="08A86E2B"/>
    <w:rsid w:val="08A86E59"/>
    <w:rsid w:val="08A86EA3"/>
    <w:rsid w:val="08A87098"/>
    <w:rsid w:val="08A870C3"/>
    <w:rsid w:val="08A870ED"/>
    <w:rsid w:val="08A87191"/>
    <w:rsid w:val="08A8742E"/>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6F3"/>
    <w:rsid w:val="08A907A9"/>
    <w:rsid w:val="08A907BA"/>
    <w:rsid w:val="08A908F4"/>
    <w:rsid w:val="08A909D9"/>
    <w:rsid w:val="08A909F4"/>
    <w:rsid w:val="08A909FC"/>
    <w:rsid w:val="08A90A08"/>
    <w:rsid w:val="08A90A17"/>
    <w:rsid w:val="08A90A18"/>
    <w:rsid w:val="08A90AB9"/>
    <w:rsid w:val="08A90B32"/>
    <w:rsid w:val="08A90C41"/>
    <w:rsid w:val="08A90C79"/>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BCC"/>
    <w:rsid w:val="08A91C44"/>
    <w:rsid w:val="08A91C4E"/>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44A"/>
    <w:rsid w:val="08A92507"/>
    <w:rsid w:val="08A9250D"/>
    <w:rsid w:val="08A92575"/>
    <w:rsid w:val="08A92662"/>
    <w:rsid w:val="08A92696"/>
    <w:rsid w:val="08A9270D"/>
    <w:rsid w:val="08A9270E"/>
    <w:rsid w:val="08A92710"/>
    <w:rsid w:val="08A92733"/>
    <w:rsid w:val="08A9275D"/>
    <w:rsid w:val="08A9281B"/>
    <w:rsid w:val="08A9283B"/>
    <w:rsid w:val="08A92931"/>
    <w:rsid w:val="08A92968"/>
    <w:rsid w:val="08A929A0"/>
    <w:rsid w:val="08A929E0"/>
    <w:rsid w:val="08A929EC"/>
    <w:rsid w:val="08A92A64"/>
    <w:rsid w:val="08A92C16"/>
    <w:rsid w:val="08A92C46"/>
    <w:rsid w:val="08A92C4A"/>
    <w:rsid w:val="08A92D45"/>
    <w:rsid w:val="08A92E14"/>
    <w:rsid w:val="08A92E75"/>
    <w:rsid w:val="08A92ECB"/>
    <w:rsid w:val="08A92ED8"/>
    <w:rsid w:val="08A92F16"/>
    <w:rsid w:val="08A92F32"/>
    <w:rsid w:val="08A92F3A"/>
    <w:rsid w:val="08A92F5A"/>
    <w:rsid w:val="08A92F98"/>
    <w:rsid w:val="08A93098"/>
    <w:rsid w:val="08A93110"/>
    <w:rsid w:val="08A9334D"/>
    <w:rsid w:val="08A93567"/>
    <w:rsid w:val="08A9356E"/>
    <w:rsid w:val="08A935AB"/>
    <w:rsid w:val="08A935C4"/>
    <w:rsid w:val="08A9363E"/>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3"/>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5"/>
    <w:rsid w:val="08A956E7"/>
    <w:rsid w:val="08A957A3"/>
    <w:rsid w:val="08A957C7"/>
    <w:rsid w:val="08A95814"/>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76"/>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2C"/>
    <w:rsid w:val="08A96E73"/>
    <w:rsid w:val="08A96E96"/>
    <w:rsid w:val="08A9703A"/>
    <w:rsid w:val="08A9706A"/>
    <w:rsid w:val="08A970A6"/>
    <w:rsid w:val="08A970D4"/>
    <w:rsid w:val="08A970FF"/>
    <w:rsid w:val="08A9717B"/>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60"/>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97FF2"/>
    <w:rsid w:val="08AA0072"/>
    <w:rsid w:val="08AA0084"/>
    <w:rsid w:val="08AA009E"/>
    <w:rsid w:val="08AA00CC"/>
    <w:rsid w:val="08AA0100"/>
    <w:rsid w:val="08AA013F"/>
    <w:rsid w:val="08AA01E8"/>
    <w:rsid w:val="08AA01EF"/>
    <w:rsid w:val="08AA02B5"/>
    <w:rsid w:val="08AA0317"/>
    <w:rsid w:val="08AA038C"/>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86"/>
    <w:rsid w:val="08AA0BB0"/>
    <w:rsid w:val="08AA0C13"/>
    <w:rsid w:val="08AA0C48"/>
    <w:rsid w:val="08AA0CE1"/>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99"/>
    <w:rsid w:val="08AA2CBD"/>
    <w:rsid w:val="08AA2CF2"/>
    <w:rsid w:val="08AA2D88"/>
    <w:rsid w:val="08AA2DCD"/>
    <w:rsid w:val="08AA2E6B"/>
    <w:rsid w:val="08AA30C1"/>
    <w:rsid w:val="08AA3405"/>
    <w:rsid w:val="08AA3615"/>
    <w:rsid w:val="08AA36CF"/>
    <w:rsid w:val="08AA372C"/>
    <w:rsid w:val="08AA37C3"/>
    <w:rsid w:val="08AA3922"/>
    <w:rsid w:val="08AA3938"/>
    <w:rsid w:val="08AA395D"/>
    <w:rsid w:val="08AA3B7F"/>
    <w:rsid w:val="08AA3BDB"/>
    <w:rsid w:val="08AA3C05"/>
    <w:rsid w:val="08AA3D21"/>
    <w:rsid w:val="08AA3D6C"/>
    <w:rsid w:val="08AA3E44"/>
    <w:rsid w:val="08AA3E6F"/>
    <w:rsid w:val="08AA3F18"/>
    <w:rsid w:val="08AA40F7"/>
    <w:rsid w:val="08AA41A6"/>
    <w:rsid w:val="08AA41C0"/>
    <w:rsid w:val="08AA41F6"/>
    <w:rsid w:val="08AA4344"/>
    <w:rsid w:val="08AA4507"/>
    <w:rsid w:val="08AA4510"/>
    <w:rsid w:val="08AA452D"/>
    <w:rsid w:val="08AA45F3"/>
    <w:rsid w:val="08AA4779"/>
    <w:rsid w:val="08AA47F3"/>
    <w:rsid w:val="08AA47FC"/>
    <w:rsid w:val="08AA4967"/>
    <w:rsid w:val="08AA49EA"/>
    <w:rsid w:val="08AA4A4B"/>
    <w:rsid w:val="08AA4C4B"/>
    <w:rsid w:val="08AA4CAA"/>
    <w:rsid w:val="08AA4CBA"/>
    <w:rsid w:val="08AA4CEE"/>
    <w:rsid w:val="08AA4DE0"/>
    <w:rsid w:val="08AA4E2C"/>
    <w:rsid w:val="08AA4EED"/>
    <w:rsid w:val="08AA4F27"/>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9DE"/>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656"/>
    <w:rsid w:val="08AA766E"/>
    <w:rsid w:val="08AA767C"/>
    <w:rsid w:val="08AA778E"/>
    <w:rsid w:val="08AA77A1"/>
    <w:rsid w:val="08AA7873"/>
    <w:rsid w:val="08AA78FB"/>
    <w:rsid w:val="08AA79B5"/>
    <w:rsid w:val="08AA7A2A"/>
    <w:rsid w:val="08AA7A90"/>
    <w:rsid w:val="08AA7B75"/>
    <w:rsid w:val="08AA7BAE"/>
    <w:rsid w:val="08AA7BC5"/>
    <w:rsid w:val="08AA7BEE"/>
    <w:rsid w:val="08AA7C23"/>
    <w:rsid w:val="08AA7C27"/>
    <w:rsid w:val="08AA7C97"/>
    <w:rsid w:val="08AA7CC4"/>
    <w:rsid w:val="08AA7D23"/>
    <w:rsid w:val="08AA7E6E"/>
    <w:rsid w:val="08AA7EAB"/>
    <w:rsid w:val="08AA7EE6"/>
    <w:rsid w:val="08AA7F0B"/>
    <w:rsid w:val="08AA7F56"/>
    <w:rsid w:val="08AA7FB4"/>
    <w:rsid w:val="08AB0196"/>
    <w:rsid w:val="08AB01AB"/>
    <w:rsid w:val="08AB020E"/>
    <w:rsid w:val="08AB023F"/>
    <w:rsid w:val="08AB0258"/>
    <w:rsid w:val="08AB02E5"/>
    <w:rsid w:val="08AB0388"/>
    <w:rsid w:val="08AB051F"/>
    <w:rsid w:val="08AB0577"/>
    <w:rsid w:val="08AB05A1"/>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FA"/>
    <w:rsid w:val="08AB2733"/>
    <w:rsid w:val="08AB2763"/>
    <w:rsid w:val="08AB2788"/>
    <w:rsid w:val="08AB2848"/>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3FC0"/>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20"/>
    <w:rsid w:val="08AB456A"/>
    <w:rsid w:val="08AB4576"/>
    <w:rsid w:val="08AB45DB"/>
    <w:rsid w:val="08AB4610"/>
    <w:rsid w:val="08AB46D0"/>
    <w:rsid w:val="08AB4716"/>
    <w:rsid w:val="08AB4783"/>
    <w:rsid w:val="08AB479F"/>
    <w:rsid w:val="08AB47D5"/>
    <w:rsid w:val="08AB484F"/>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E5A"/>
    <w:rsid w:val="08AB4F20"/>
    <w:rsid w:val="08AB4FD7"/>
    <w:rsid w:val="08AB4FDF"/>
    <w:rsid w:val="08AB5039"/>
    <w:rsid w:val="08AB50EF"/>
    <w:rsid w:val="08AB5108"/>
    <w:rsid w:val="08AB5183"/>
    <w:rsid w:val="08AB521C"/>
    <w:rsid w:val="08AB5281"/>
    <w:rsid w:val="08AB541D"/>
    <w:rsid w:val="08AB544E"/>
    <w:rsid w:val="08AB5525"/>
    <w:rsid w:val="08AB5526"/>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A3"/>
    <w:rsid w:val="08AB7018"/>
    <w:rsid w:val="08AB7074"/>
    <w:rsid w:val="08AB707F"/>
    <w:rsid w:val="08AB7097"/>
    <w:rsid w:val="08AB71FF"/>
    <w:rsid w:val="08AB721A"/>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B1C"/>
    <w:rsid w:val="08AB7C9D"/>
    <w:rsid w:val="08AB7D0F"/>
    <w:rsid w:val="08AB7F36"/>
    <w:rsid w:val="08AB7F4A"/>
    <w:rsid w:val="08AB7F86"/>
    <w:rsid w:val="08AB7FDA"/>
    <w:rsid w:val="08AC011D"/>
    <w:rsid w:val="08AC01D8"/>
    <w:rsid w:val="08AC0253"/>
    <w:rsid w:val="08AC025C"/>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0FE3"/>
    <w:rsid w:val="08AC1016"/>
    <w:rsid w:val="08AC108F"/>
    <w:rsid w:val="08AC1162"/>
    <w:rsid w:val="08AC1264"/>
    <w:rsid w:val="08AC1295"/>
    <w:rsid w:val="08AC1372"/>
    <w:rsid w:val="08AC1397"/>
    <w:rsid w:val="08AC13FF"/>
    <w:rsid w:val="08AC140D"/>
    <w:rsid w:val="08AC1434"/>
    <w:rsid w:val="08AC1469"/>
    <w:rsid w:val="08AC14B4"/>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AD4"/>
    <w:rsid w:val="08AC1BEC"/>
    <w:rsid w:val="08AC1BF7"/>
    <w:rsid w:val="08AC1C1D"/>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58"/>
    <w:rsid w:val="08AC2282"/>
    <w:rsid w:val="08AC2458"/>
    <w:rsid w:val="08AC24BA"/>
    <w:rsid w:val="08AC254C"/>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47"/>
    <w:rsid w:val="08AC3C95"/>
    <w:rsid w:val="08AC3D16"/>
    <w:rsid w:val="08AC3D2B"/>
    <w:rsid w:val="08AC3D71"/>
    <w:rsid w:val="08AC3DA9"/>
    <w:rsid w:val="08AC3EA0"/>
    <w:rsid w:val="08AC3EA3"/>
    <w:rsid w:val="08AC3ED8"/>
    <w:rsid w:val="08AC3F32"/>
    <w:rsid w:val="08AC3F3C"/>
    <w:rsid w:val="08AC3F5B"/>
    <w:rsid w:val="08AC3FF1"/>
    <w:rsid w:val="08AC40CE"/>
    <w:rsid w:val="08AC4332"/>
    <w:rsid w:val="08AC4380"/>
    <w:rsid w:val="08AC4461"/>
    <w:rsid w:val="08AC44D1"/>
    <w:rsid w:val="08AC45CB"/>
    <w:rsid w:val="08AC4700"/>
    <w:rsid w:val="08AC474B"/>
    <w:rsid w:val="08AC4875"/>
    <w:rsid w:val="08AC488A"/>
    <w:rsid w:val="08AC48C4"/>
    <w:rsid w:val="08AC48E7"/>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CBD"/>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5DE"/>
    <w:rsid w:val="08AC6612"/>
    <w:rsid w:val="08AC6685"/>
    <w:rsid w:val="08AC668F"/>
    <w:rsid w:val="08AC66E5"/>
    <w:rsid w:val="08AC683F"/>
    <w:rsid w:val="08AC684D"/>
    <w:rsid w:val="08AC6964"/>
    <w:rsid w:val="08AC6983"/>
    <w:rsid w:val="08AC69A5"/>
    <w:rsid w:val="08AC69A8"/>
    <w:rsid w:val="08AC6A3B"/>
    <w:rsid w:val="08AC6ABF"/>
    <w:rsid w:val="08AC6AD2"/>
    <w:rsid w:val="08AC6B9C"/>
    <w:rsid w:val="08AC6BE0"/>
    <w:rsid w:val="08AC6BEC"/>
    <w:rsid w:val="08AC6BFC"/>
    <w:rsid w:val="08AC6D51"/>
    <w:rsid w:val="08AC6DE4"/>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A0"/>
    <w:rsid w:val="08AC75A4"/>
    <w:rsid w:val="08AC75D9"/>
    <w:rsid w:val="08AC7617"/>
    <w:rsid w:val="08AC764E"/>
    <w:rsid w:val="08AC765D"/>
    <w:rsid w:val="08AC7730"/>
    <w:rsid w:val="08AC786A"/>
    <w:rsid w:val="08AC78D3"/>
    <w:rsid w:val="08AC79C8"/>
    <w:rsid w:val="08AC7AB7"/>
    <w:rsid w:val="08AC7AC3"/>
    <w:rsid w:val="08AC7ADF"/>
    <w:rsid w:val="08AC7B5E"/>
    <w:rsid w:val="08AC7B84"/>
    <w:rsid w:val="08AC7BE1"/>
    <w:rsid w:val="08AC7BF6"/>
    <w:rsid w:val="08AC7C46"/>
    <w:rsid w:val="08AC7C89"/>
    <w:rsid w:val="08AC7CAF"/>
    <w:rsid w:val="08AC7CB1"/>
    <w:rsid w:val="08AC7D21"/>
    <w:rsid w:val="08AC7D5C"/>
    <w:rsid w:val="08AC7E0A"/>
    <w:rsid w:val="08AC7E1E"/>
    <w:rsid w:val="08AC7E76"/>
    <w:rsid w:val="08AC7F31"/>
    <w:rsid w:val="08AC7FA2"/>
    <w:rsid w:val="08AD0045"/>
    <w:rsid w:val="08AD00A6"/>
    <w:rsid w:val="08AD00E0"/>
    <w:rsid w:val="08AD010C"/>
    <w:rsid w:val="08AD015E"/>
    <w:rsid w:val="08AD017C"/>
    <w:rsid w:val="08AD0180"/>
    <w:rsid w:val="08AD0191"/>
    <w:rsid w:val="08AD01D1"/>
    <w:rsid w:val="08AD02B5"/>
    <w:rsid w:val="08AD02DA"/>
    <w:rsid w:val="08AD0349"/>
    <w:rsid w:val="08AD03B6"/>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102B"/>
    <w:rsid w:val="08AD102D"/>
    <w:rsid w:val="08AD1053"/>
    <w:rsid w:val="08AD10F3"/>
    <w:rsid w:val="08AD1242"/>
    <w:rsid w:val="08AD12E6"/>
    <w:rsid w:val="08AD131A"/>
    <w:rsid w:val="08AD138C"/>
    <w:rsid w:val="08AD13B4"/>
    <w:rsid w:val="08AD142A"/>
    <w:rsid w:val="08AD1476"/>
    <w:rsid w:val="08AD14D9"/>
    <w:rsid w:val="08AD15D0"/>
    <w:rsid w:val="08AD1643"/>
    <w:rsid w:val="08AD1652"/>
    <w:rsid w:val="08AD168D"/>
    <w:rsid w:val="08AD169C"/>
    <w:rsid w:val="08AD1826"/>
    <w:rsid w:val="08AD1883"/>
    <w:rsid w:val="08AD1963"/>
    <w:rsid w:val="08AD198E"/>
    <w:rsid w:val="08AD19FD"/>
    <w:rsid w:val="08AD1B65"/>
    <w:rsid w:val="08AD1C20"/>
    <w:rsid w:val="08AD1CEE"/>
    <w:rsid w:val="08AD1D3D"/>
    <w:rsid w:val="08AD1D78"/>
    <w:rsid w:val="08AD1D8C"/>
    <w:rsid w:val="08AD1D9E"/>
    <w:rsid w:val="08AD1E33"/>
    <w:rsid w:val="08AD1E41"/>
    <w:rsid w:val="08AD1E94"/>
    <w:rsid w:val="08AD1EE6"/>
    <w:rsid w:val="08AD1F49"/>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7E7"/>
    <w:rsid w:val="08AD2866"/>
    <w:rsid w:val="08AD28DC"/>
    <w:rsid w:val="08AD298B"/>
    <w:rsid w:val="08AD29A4"/>
    <w:rsid w:val="08AD2A5E"/>
    <w:rsid w:val="08AD2B36"/>
    <w:rsid w:val="08AD2B3F"/>
    <w:rsid w:val="08AD2C1C"/>
    <w:rsid w:val="08AD2C33"/>
    <w:rsid w:val="08AD2C8C"/>
    <w:rsid w:val="08AD2DA6"/>
    <w:rsid w:val="08AD2DEB"/>
    <w:rsid w:val="08AD2F06"/>
    <w:rsid w:val="08AD2F86"/>
    <w:rsid w:val="08AD3057"/>
    <w:rsid w:val="08AD30E8"/>
    <w:rsid w:val="08AD30ED"/>
    <w:rsid w:val="08AD30FF"/>
    <w:rsid w:val="08AD3163"/>
    <w:rsid w:val="08AD32BD"/>
    <w:rsid w:val="08AD331B"/>
    <w:rsid w:val="08AD33A3"/>
    <w:rsid w:val="08AD33F6"/>
    <w:rsid w:val="08AD3465"/>
    <w:rsid w:val="08AD3483"/>
    <w:rsid w:val="08AD3499"/>
    <w:rsid w:val="08AD34A8"/>
    <w:rsid w:val="08AD34ED"/>
    <w:rsid w:val="08AD3506"/>
    <w:rsid w:val="08AD3645"/>
    <w:rsid w:val="08AD3664"/>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8C"/>
    <w:rsid w:val="08AD3CFF"/>
    <w:rsid w:val="08AD3D0C"/>
    <w:rsid w:val="08AD3DF0"/>
    <w:rsid w:val="08AD3E09"/>
    <w:rsid w:val="08AD3F22"/>
    <w:rsid w:val="08AD410B"/>
    <w:rsid w:val="08AD4199"/>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18"/>
    <w:rsid w:val="08AD568D"/>
    <w:rsid w:val="08AD56D6"/>
    <w:rsid w:val="08AD5713"/>
    <w:rsid w:val="08AD5821"/>
    <w:rsid w:val="08AD58E9"/>
    <w:rsid w:val="08AD5993"/>
    <w:rsid w:val="08AD59EC"/>
    <w:rsid w:val="08AD5A2C"/>
    <w:rsid w:val="08AD5A4D"/>
    <w:rsid w:val="08AD5AC4"/>
    <w:rsid w:val="08AD5AED"/>
    <w:rsid w:val="08AD5B3B"/>
    <w:rsid w:val="08AD5BF6"/>
    <w:rsid w:val="08AD5D1D"/>
    <w:rsid w:val="08AD5E40"/>
    <w:rsid w:val="08AD5E89"/>
    <w:rsid w:val="08AD5EBC"/>
    <w:rsid w:val="08AD5F22"/>
    <w:rsid w:val="08AD5FC8"/>
    <w:rsid w:val="08AD601D"/>
    <w:rsid w:val="08AD6055"/>
    <w:rsid w:val="08AD605B"/>
    <w:rsid w:val="08AD60EC"/>
    <w:rsid w:val="08AD6157"/>
    <w:rsid w:val="08AD626F"/>
    <w:rsid w:val="08AD6272"/>
    <w:rsid w:val="08AD62E0"/>
    <w:rsid w:val="08AD6373"/>
    <w:rsid w:val="08AD637D"/>
    <w:rsid w:val="08AD63FB"/>
    <w:rsid w:val="08AD647C"/>
    <w:rsid w:val="08AD64FD"/>
    <w:rsid w:val="08AD6539"/>
    <w:rsid w:val="08AD6577"/>
    <w:rsid w:val="08AD6590"/>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5E"/>
    <w:rsid w:val="08AD7076"/>
    <w:rsid w:val="08AD7103"/>
    <w:rsid w:val="08AD7147"/>
    <w:rsid w:val="08AD734D"/>
    <w:rsid w:val="08AD73B7"/>
    <w:rsid w:val="08AD748B"/>
    <w:rsid w:val="08AD74C7"/>
    <w:rsid w:val="08AD74CE"/>
    <w:rsid w:val="08AD7522"/>
    <w:rsid w:val="08AD7563"/>
    <w:rsid w:val="08AD760D"/>
    <w:rsid w:val="08AD7786"/>
    <w:rsid w:val="08AD7890"/>
    <w:rsid w:val="08AD78AD"/>
    <w:rsid w:val="08AD797C"/>
    <w:rsid w:val="08AD79CB"/>
    <w:rsid w:val="08AD7AFE"/>
    <w:rsid w:val="08AD7B6E"/>
    <w:rsid w:val="08AD7BD4"/>
    <w:rsid w:val="08AD7C55"/>
    <w:rsid w:val="08AD7C5F"/>
    <w:rsid w:val="08AD7CEF"/>
    <w:rsid w:val="08AD7E45"/>
    <w:rsid w:val="08AD7EB9"/>
    <w:rsid w:val="08AD7F5F"/>
    <w:rsid w:val="08AD7F79"/>
    <w:rsid w:val="08AD7FD8"/>
    <w:rsid w:val="08AE0017"/>
    <w:rsid w:val="08AE001E"/>
    <w:rsid w:val="08AE00CB"/>
    <w:rsid w:val="08AE03A0"/>
    <w:rsid w:val="08AE03BA"/>
    <w:rsid w:val="08AE046A"/>
    <w:rsid w:val="08AE0480"/>
    <w:rsid w:val="08AE0546"/>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4A"/>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C0"/>
    <w:rsid w:val="08AE155D"/>
    <w:rsid w:val="08AE155E"/>
    <w:rsid w:val="08AE1566"/>
    <w:rsid w:val="08AE15EE"/>
    <w:rsid w:val="08AE1612"/>
    <w:rsid w:val="08AE161D"/>
    <w:rsid w:val="08AE1624"/>
    <w:rsid w:val="08AE166D"/>
    <w:rsid w:val="08AE16B7"/>
    <w:rsid w:val="08AE1703"/>
    <w:rsid w:val="08AE170F"/>
    <w:rsid w:val="08AE1743"/>
    <w:rsid w:val="08AE1767"/>
    <w:rsid w:val="08AE18FB"/>
    <w:rsid w:val="08AE1927"/>
    <w:rsid w:val="08AE1A5D"/>
    <w:rsid w:val="08AE1ABF"/>
    <w:rsid w:val="08AE1AF0"/>
    <w:rsid w:val="08AE1BA1"/>
    <w:rsid w:val="08AE1C55"/>
    <w:rsid w:val="08AE1C97"/>
    <w:rsid w:val="08AE1CC1"/>
    <w:rsid w:val="08AE1D30"/>
    <w:rsid w:val="08AE1D71"/>
    <w:rsid w:val="08AE1DA6"/>
    <w:rsid w:val="08AE1E6F"/>
    <w:rsid w:val="08AE1ECF"/>
    <w:rsid w:val="08AE1F14"/>
    <w:rsid w:val="08AE1FF5"/>
    <w:rsid w:val="08AE208B"/>
    <w:rsid w:val="08AE20B3"/>
    <w:rsid w:val="08AE2150"/>
    <w:rsid w:val="08AE2152"/>
    <w:rsid w:val="08AE218A"/>
    <w:rsid w:val="08AE23D4"/>
    <w:rsid w:val="08AE2428"/>
    <w:rsid w:val="08AE245A"/>
    <w:rsid w:val="08AE2466"/>
    <w:rsid w:val="08AE246B"/>
    <w:rsid w:val="08AE2471"/>
    <w:rsid w:val="08AE249B"/>
    <w:rsid w:val="08AE24B5"/>
    <w:rsid w:val="08AE254D"/>
    <w:rsid w:val="08AE25D8"/>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AB"/>
    <w:rsid w:val="08AE2E7D"/>
    <w:rsid w:val="08AE2E80"/>
    <w:rsid w:val="08AE2EC0"/>
    <w:rsid w:val="08AE2F3C"/>
    <w:rsid w:val="08AE2FEC"/>
    <w:rsid w:val="08AE302E"/>
    <w:rsid w:val="08AE30A7"/>
    <w:rsid w:val="08AE31FC"/>
    <w:rsid w:val="08AE3225"/>
    <w:rsid w:val="08AE32A6"/>
    <w:rsid w:val="08AE3310"/>
    <w:rsid w:val="08AE3430"/>
    <w:rsid w:val="08AE3451"/>
    <w:rsid w:val="08AE3461"/>
    <w:rsid w:val="08AE34A6"/>
    <w:rsid w:val="08AE3564"/>
    <w:rsid w:val="08AE359B"/>
    <w:rsid w:val="08AE35C1"/>
    <w:rsid w:val="08AE35CE"/>
    <w:rsid w:val="08AE35F5"/>
    <w:rsid w:val="08AE36D2"/>
    <w:rsid w:val="08AE371A"/>
    <w:rsid w:val="08AE3817"/>
    <w:rsid w:val="08AE387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1AC"/>
    <w:rsid w:val="08AE4265"/>
    <w:rsid w:val="08AE42BD"/>
    <w:rsid w:val="08AE4306"/>
    <w:rsid w:val="08AE436E"/>
    <w:rsid w:val="08AE43CE"/>
    <w:rsid w:val="08AE43DF"/>
    <w:rsid w:val="08AE43EE"/>
    <w:rsid w:val="08AE442F"/>
    <w:rsid w:val="08AE447B"/>
    <w:rsid w:val="08AE4570"/>
    <w:rsid w:val="08AE45C5"/>
    <w:rsid w:val="08AE4683"/>
    <w:rsid w:val="08AE4686"/>
    <w:rsid w:val="08AE46FA"/>
    <w:rsid w:val="08AE4703"/>
    <w:rsid w:val="08AE4763"/>
    <w:rsid w:val="08AE47DF"/>
    <w:rsid w:val="08AE47FE"/>
    <w:rsid w:val="08AE4887"/>
    <w:rsid w:val="08AE48D1"/>
    <w:rsid w:val="08AE4A11"/>
    <w:rsid w:val="08AE4A1F"/>
    <w:rsid w:val="08AE4A51"/>
    <w:rsid w:val="08AE4A6A"/>
    <w:rsid w:val="08AE4A9E"/>
    <w:rsid w:val="08AE4AF4"/>
    <w:rsid w:val="08AE4C00"/>
    <w:rsid w:val="08AE4D73"/>
    <w:rsid w:val="08AE4EA2"/>
    <w:rsid w:val="08AE4ED8"/>
    <w:rsid w:val="08AE4EE0"/>
    <w:rsid w:val="08AE4EF4"/>
    <w:rsid w:val="08AE4F31"/>
    <w:rsid w:val="08AE505B"/>
    <w:rsid w:val="08AE50AF"/>
    <w:rsid w:val="08AE515B"/>
    <w:rsid w:val="08AE5185"/>
    <w:rsid w:val="08AE5254"/>
    <w:rsid w:val="08AE525A"/>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2F"/>
    <w:rsid w:val="08AE5BA6"/>
    <w:rsid w:val="08AE5BC9"/>
    <w:rsid w:val="08AE5C8E"/>
    <w:rsid w:val="08AE5CCF"/>
    <w:rsid w:val="08AE5D29"/>
    <w:rsid w:val="08AE5D35"/>
    <w:rsid w:val="08AE5E2C"/>
    <w:rsid w:val="08AE5E51"/>
    <w:rsid w:val="08AE5E62"/>
    <w:rsid w:val="08AE5EE7"/>
    <w:rsid w:val="08AE5F6A"/>
    <w:rsid w:val="08AE5F90"/>
    <w:rsid w:val="08AE6059"/>
    <w:rsid w:val="08AE6128"/>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A4"/>
    <w:rsid w:val="08AE7DC2"/>
    <w:rsid w:val="08AE7E00"/>
    <w:rsid w:val="08AE7E1A"/>
    <w:rsid w:val="08AE7F86"/>
    <w:rsid w:val="08AF0117"/>
    <w:rsid w:val="08AF017F"/>
    <w:rsid w:val="08AF01A7"/>
    <w:rsid w:val="08AF021E"/>
    <w:rsid w:val="08AF024B"/>
    <w:rsid w:val="08AF0267"/>
    <w:rsid w:val="08AF033E"/>
    <w:rsid w:val="08AF03A2"/>
    <w:rsid w:val="08AF03B1"/>
    <w:rsid w:val="08AF042C"/>
    <w:rsid w:val="08AF04E9"/>
    <w:rsid w:val="08AF0556"/>
    <w:rsid w:val="08AF057A"/>
    <w:rsid w:val="08AF05C0"/>
    <w:rsid w:val="08AF05D9"/>
    <w:rsid w:val="08AF0648"/>
    <w:rsid w:val="08AF0697"/>
    <w:rsid w:val="08AF06C6"/>
    <w:rsid w:val="08AF0716"/>
    <w:rsid w:val="08AF073F"/>
    <w:rsid w:val="08AF074D"/>
    <w:rsid w:val="08AF07FA"/>
    <w:rsid w:val="08AF07FC"/>
    <w:rsid w:val="08AF07FF"/>
    <w:rsid w:val="08AF081D"/>
    <w:rsid w:val="08AF086C"/>
    <w:rsid w:val="08AF08A8"/>
    <w:rsid w:val="08AF098D"/>
    <w:rsid w:val="08AF09CE"/>
    <w:rsid w:val="08AF0A0B"/>
    <w:rsid w:val="08AF0A23"/>
    <w:rsid w:val="08AF0A28"/>
    <w:rsid w:val="08AF0A78"/>
    <w:rsid w:val="08AF0CEF"/>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603"/>
    <w:rsid w:val="08AF1712"/>
    <w:rsid w:val="08AF173D"/>
    <w:rsid w:val="08AF1826"/>
    <w:rsid w:val="08AF18AC"/>
    <w:rsid w:val="08AF18BB"/>
    <w:rsid w:val="08AF190D"/>
    <w:rsid w:val="08AF1931"/>
    <w:rsid w:val="08AF1A21"/>
    <w:rsid w:val="08AF1A49"/>
    <w:rsid w:val="08AF1A52"/>
    <w:rsid w:val="08AF1A87"/>
    <w:rsid w:val="08AF1B32"/>
    <w:rsid w:val="08AF1BB6"/>
    <w:rsid w:val="08AF1BC3"/>
    <w:rsid w:val="08AF1BCA"/>
    <w:rsid w:val="08AF1CB6"/>
    <w:rsid w:val="08AF1DB3"/>
    <w:rsid w:val="08AF1DEC"/>
    <w:rsid w:val="08AF1EBC"/>
    <w:rsid w:val="08AF1EF8"/>
    <w:rsid w:val="08AF1F2A"/>
    <w:rsid w:val="08AF1F43"/>
    <w:rsid w:val="08AF1F95"/>
    <w:rsid w:val="08AF2009"/>
    <w:rsid w:val="08AF201C"/>
    <w:rsid w:val="08AF20D6"/>
    <w:rsid w:val="08AF20D9"/>
    <w:rsid w:val="08AF217B"/>
    <w:rsid w:val="08AF2238"/>
    <w:rsid w:val="08AF227D"/>
    <w:rsid w:val="08AF2298"/>
    <w:rsid w:val="08AF22B0"/>
    <w:rsid w:val="08AF22B3"/>
    <w:rsid w:val="08AF230F"/>
    <w:rsid w:val="08AF238E"/>
    <w:rsid w:val="08AF2427"/>
    <w:rsid w:val="08AF24A9"/>
    <w:rsid w:val="08AF24F1"/>
    <w:rsid w:val="08AF25A6"/>
    <w:rsid w:val="08AF25AF"/>
    <w:rsid w:val="08AF269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25"/>
    <w:rsid w:val="08AF2E8D"/>
    <w:rsid w:val="08AF2EF5"/>
    <w:rsid w:val="08AF2F4B"/>
    <w:rsid w:val="08AF2FD8"/>
    <w:rsid w:val="08AF313C"/>
    <w:rsid w:val="08AF3159"/>
    <w:rsid w:val="08AF336C"/>
    <w:rsid w:val="08AF3383"/>
    <w:rsid w:val="08AF33DD"/>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6C8"/>
    <w:rsid w:val="08AF476A"/>
    <w:rsid w:val="08AF491B"/>
    <w:rsid w:val="08AF499D"/>
    <w:rsid w:val="08AF49A1"/>
    <w:rsid w:val="08AF49CA"/>
    <w:rsid w:val="08AF49E1"/>
    <w:rsid w:val="08AF4B05"/>
    <w:rsid w:val="08AF4C83"/>
    <w:rsid w:val="08AF4C93"/>
    <w:rsid w:val="08AF4DD9"/>
    <w:rsid w:val="08AF4E07"/>
    <w:rsid w:val="08AF4EC5"/>
    <w:rsid w:val="08AF4F10"/>
    <w:rsid w:val="08AF4FD7"/>
    <w:rsid w:val="08AF5004"/>
    <w:rsid w:val="08AF5112"/>
    <w:rsid w:val="08AF5123"/>
    <w:rsid w:val="08AF513B"/>
    <w:rsid w:val="08AF532C"/>
    <w:rsid w:val="08AF5370"/>
    <w:rsid w:val="08AF54A5"/>
    <w:rsid w:val="08AF54CE"/>
    <w:rsid w:val="08AF5517"/>
    <w:rsid w:val="08AF5548"/>
    <w:rsid w:val="08AF555C"/>
    <w:rsid w:val="08AF562A"/>
    <w:rsid w:val="08AF5693"/>
    <w:rsid w:val="08AF56A5"/>
    <w:rsid w:val="08AF56BF"/>
    <w:rsid w:val="08AF56CE"/>
    <w:rsid w:val="08AF5743"/>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E7D"/>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6B6"/>
    <w:rsid w:val="08AF672D"/>
    <w:rsid w:val="08AF67D9"/>
    <w:rsid w:val="08AF682E"/>
    <w:rsid w:val="08AF6837"/>
    <w:rsid w:val="08AF69FA"/>
    <w:rsid w:val="08AF6A13"/>
    <w:rsid w:val="08AF6AA6"/>
    <w:rsid w:val="08AF6B7D"/>
    <w:rsid w:val="08AF6BE6"/>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3B"/>
    <w:rsid w:val="08AF79CB"/>
    <w:rsid w:val="08AF79DA"/>
    <w:rsid w:val="08AF7AB4"/>
    <w:rsid w:val="08AF7ABE"/>
    <w:rsid w:val="08AF7B1D"/>
    <w:rsid w:val="08AF7B65"/>
    <w:rsid w:val="08AF7C84"/>
    <w:rsid w:val="08AF7C9F"/>
    <w:rsid w:val="08AF7CD9"/>
    <w:rsid w:val="08AF7D07"/>
    <w:rsid w:val="08AF7D65"/>
    <w:rsid w:val="08AF7DDA"/>
    <w:rsid w:val="08AF7E1A"/>
    <w:rsid w:val="08AF7F1E"/>
    <w:rsid w:val="08AF7FE3"/>
    <w:rsid w:val="08B00072"/>
    <w:rsid w:val="08B00146"/>
    <w:rsid w:val="08B001D6"/>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F3"/>
    <w:rsid w:val="08B007DA"/>
    <w:rsid w:val="08B00838"/>
    <w:rsid w:val="08B00978"/>
    <w:rsid w:val="08B009B6"/>
    <w:rsid w:val="08B00ABD"/>
    <w:rsid w:val="08B00ACA"/>
    <w:rsid w:val="08B00B41"/>
    <w:rsid w:val="08B00C5E"/>
    <w:rsid w:val="08B00C65"/>
    <w:rsid w:val="08B00D01"/>
    <w:rsid w:val="08B00D6C"/>
    <w:rsid w:val="08B00DAC"/>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B0"/>
    <w:rsid w:val="08B023DB"/>
    <w:rsid w:val="08B024BB"/>
    <w:rsid w:val="08B024CF"/>
    <w:rsid w:val="08B024EF"/>
    <w:rsid w:val="08B0252B"/>
    <w:rsid w:val="08B02634"/>
    <w:rsid w:val="08B0266A"/>
    <w:rsid w:val="08B026B3"/>
    <w:rsid w:val="08B02759"/>
    <w:rsid w:val="08B02846"/>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523"/>
    <w:rsid w:val="08B0457C"/>
    <w:rsid w:val="08B0469F"/>
    <w:rsid w:val="08B046E0"/>
    <w:rsid w:val="08B04799"/>
    <w:rsid w:val="08B047A7"/>
    <w:rsid w:val="08B047D5"/>
    <w:rsid w:val="08B04858"/>
    <w:rsid w:val="08B048DD"/>
    <w:rsid w:val="08B04977"/>
    <w:rsid w:val="08B049E7"/>
    <w:rsid w:val="08B04A81"/>
    <w:rsid w:val="08B04B53"/>
    <w:rsid w:val="08B04DAE"/>
    <w:rsid w:val="08B04E3E"/>
    <w:rsid w:val="08B04F36"/>
    <w:rsid w:val="08B04F74"/>
    <w:rsid w:val="08B04FB7"/>
    <w:rsid w:val="08B05045"/>
    <w:rsid w:val="08B05054"/>
    <w:rsid w:val="08B050AD"/>
    <w:rsid w:val="08B050C1"/>
    <w:rsid w:val="08B05157"/>
    <w:rsid w:val="08B05161"/>
    <w:rsid w:val="08B05173"/>
    <w:rsid w:val="08B0520F"/>
    <w:rsid w:val="08B05215"/>
    <w:rsid w:val="08B05281"/>
    <w:rsid w:val="08B052D2"/>
    <w:rsid w:val="08B0534F"/>
    <w:rsid w:val="08B053F4"/>
    <w:rsid w:val="08B05413"/>
    <w:rsid w:val="08B0544D"/>
    <w:rsid w:val="08B0548F"/>
    <w:rsid w:val="08B054FB"/>
    <w:rsid w:val="08B05594"/>
    <w:rsid w:val="08B0559E"/>
    <w:rsid w:val="08B055CD"/>
    <w:rsid w:val="08B0562D"/>
    <w:rsid w:val="08B0568F"/>
    <w:rsid w:val="08B056CA"/>
    <w:rsid w:val="08B05716"/>
    <w:rsid w:val="08B057A6"/>
    <w:rsid w:val="08B05892"/>
    <w:rsid w:val="08B05946"/>
    <w:rsid w:val="08B0595C"/>
    <w:rsid w:val="08B059A1"/>
    <w:rsid w:val="08B05A22"/>
    <w:rsid w:val="08B05A58"/>
    <w:rsid w:val="08B05AE6"/>
    <w:rsid w:val="08B05C14"/>
    <w:rsid w:val="08B05C4D"/>
    <w:rsid w:val="08B05C6F"/>
    <w:rsid w:val="08B05C9B"/>
    <w:rsid w:val="08B05CF7"/>
    <w:rsid w:val="08B05D4D"/>
    <w:rsid w:val="08B05D75"/>
    <w:rsid w:val="08B05DC2"/>
    <w:rsid w:val="08B05E89"/>
    <w:rsid w:val="08B05EB4"/>
    <w:rsid w:val="08B05F22"/>
    <w:rsid w:val="08B05FF7"/>
    <w:rsid w:val="08B060AC"/>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AC0"/>
    <w:rsid w:val="08B06B8D"/>
    <w:rsid w:val="08B06BAD"/>
    <w:rsid w:val="08B06C71"/>
    <w:rsid w:val="08B06D00"/>
    <w:rsid w:val="08B06E68"/>
    <w:rsid w:val="08B06E8F"/>
    <w:rsid w:val="08B06F3B"/>
    <w:rsid w:val="08B06F6D"/>
    <w:rsid w:val="08B06FD1"/>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EE"/>
    <w:rsid w:val="08B1016A"/>
    <w:rsid w:val="08B101C4"/>
    <w:rsid w:val="08B101C6"/>
    <w:rsid w:val="08B10256"/>
    <w:rsid w:val="08B102CB"/>
    <w:rsid w:val="08B1034D"/>
    <w:rsid w:val="08B103ED"/>
    <w:rsid w:val="08B104C0"/>
    <w:rsid w:val="08B10576"/>
    <w:rsid w:val="08B105DC"/>
    <w:rsid w:val="08B10648"/>
    <w:rsid w:val="08B106A9"/>
    <w:rsid w:val="08B10768"/>
    <w:rsid w:val="08B10778"/>
    <w:rsid w:val="08B10831"/>
    <w:rsid w:val="08B10837"/>
    <w:rsid w:val="08B1086B"/>
    <w:rsid w:val="08B109D9"/>
    <w:rsid w:val="08B109E1"/>
    <w:rsid w:val="08B10BE8"/>
    <w:rsid w:val="08B10D90"/>
    <w:rsid w:val="08B10DA9"/>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0C"/>
    <w:rsid w:val="08B1195A"/>
    <w:rsid w:val="08B11989"/>
    <w:rsid w:val="08B119E6"/>
    <w:rsid w:val="08B11A69"/>
    <w:rsid w:val="08B11A6E"/>
    <w:rsid w:val="08B11A7F"/>
    <w:rsid w:val="08B11A8D"/>
    <w:rsid w:val="08B11A9F"/>
    <w:rsid w:val="08B11BC3"/>
    <w:rsid w:val="08B11C53"/>
    <w:rsid w:val="08B11C6B"/>
    <w:rsid w:val="08B11CB7"/>
    <w:rsid w:val="08B11CCA"/>
    <w:rsid w:val="08B11D0E"/>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5FB"/>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2"/>
    <w:rsid w:val="08B1339E"/>
    <w:rsid w:val="08B133B3"/>
    <w:rsid w:val="08B1346F"/>
    <w:rsid w:val="08B134DB"/>
    <w:rsid w:val="08B134EE"/>
    <w:rsid w:val="08B13514"/>
    <w:rsid w:val="08B13532"/>
    <w:rsid w:val="08B1353F"/>
    <w:rsid w:val="08B135B5"/>
    <w:rsid w:val="08B13606"/>
    <w:rsid w:val="08B13609"/>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401D"/>
    <w:rsid w:val="08B140FC"/>
    <w:rsid w:val="08B1413C"/>
    <w:rsid w:val="08B14158"/>
    <w:rsid w:val="08B141B5"/>
    <w:rsid w:val="08B14222"/>
    <w:rsid w:val="08B142D5"/>
    <w:rsid w:val="08B14343"/>
    <w:rsid w:val="08B14422"/>
    <w:rsid w:val="08B144EC"/>
    <w:rsid w:val="08B146C3"/>
    <w:rsid w:val="08B14C2E"/>
    <w:rsid w:val="08B14D41"/>
    <w:rsid w:val="08B14D89"/>
    <w:rsid w:val="08B14E40"/>
    <w:rsid w:val="08B14E68"/>
    <w:rsid w:val="08B14F9C"/>
    <w:rsid w:val="08B15157"/>
    <w:rsid w:val="08B151C4"/>
    <w:rsid w:val="08B151E4"/>
    <w:rsid w:val="08B152F0"/>
    <w:rsid w:val="08B1530C"/>
    <w:rsid w:val="08B15322"/>
    <w:rsid w:val="08B154DA"/>
    <w:rsid w:val="08B154EE"/>
    <w:rsid w:val="08B15726"/>
    <w:rsid w:val="08B1576C"/>
    <w:rsid w:val="08B15779"/>
    <w:rsid w:val="08B158ED"/>
    <w:rsid w:val="08B1591A"/>
    <w:rsid w:val="08B1592E"/>
    <w:rsid w:val="08B159CE"/>
    <w:rsid w:val="08B15B6C"/>
    <w:rsid w:val="08B15BAA"/>
    <w:rsid w:val="08B15C62"/>
    <w:rsid w:val="08B15C7E"/>
    <w:rsid w:val="08B15CFE"/>
    <w:rsid w:val="08B15DC6"/>
    <w:rsid w:val="08B15E54"/>
    <w:rsid w:val="08B15F40"/>
    <w:rsid w:val="08B15F8B"/>
    <w:rsid w:val="08B15FFA"/>
    <w:rsid w:val="08B16009"/>
    <w:rsid w:val="08B1601C"/>
    <w:rsid w:val="08B160B7"/>
    <w:rsid w:val="08B16123"/>
    <w:rsid w:val="08B16196"/>
    <w:rsid w:val="08B161D9"/>
    <w:rsid w:val="08B161EB"/>
    <w:rsid w:val="08B161F1"/>
    <w:rsid w:val="08B16349"/>
    <w:rsid w:val="08B163E1"/>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BF3"/>
    <w:rsid w:val="08B16CBE"/>
    <w:rsid w:val="08B16CDB"/>
    <w:rsid w:val="08B16D1A"/>
    <w:rsid w:val="08B16FCC"/>
    <w:rsid w:val="08B1709C"/>
    <w:rsid w:val="08B17107"/>
    <w:rsid w:val="08B171D8"/>
    <w:rsid w:val="08B17211"/>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4B"/>
    <w:rsid w:val="08B179A7"/>
    <w:rsid w:val="08B179AD"/>
    <w:rsid w:val="08B17A18"/>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AD"/>
    <w:rsid w:val="08B204F0"/>
    <w:rsid w:val="08B204F8"/>
    <w:rsid w:val="08B20543"/>
    <w:rsid w:val="08B20569"/>
    <w:rsid w:val="08B205DF"/>
    <w:rsid w:val="08B205EA"/>
    <w:rsid w:val="08B205F5"/>
    <w:rsid w:val="08B20605"/>
    <w:rsid w:val="08B20763"/>
    <w:rsid w:val="08B207CE"/>
    <w:rsid w:val="08B207FB"/>
    <w:rsid w:val="08B20817"/>
    <w:rsid w:val="08B20978"/>
    <w:rsid w:val="08B209DB"/>
    <w:rsid w:val="08B20A83"/>
    <w:rsid w:val="08B20AA3"/>
    <w:rsid w:val="08B20B0B"/>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70"/>
    <w:rsid w:val="08B211EF"/>
    <w:rsid w:val="08B2125D"/>
    <w:rsid w:val="08B2127D"/>
    <w:rsid w:val="08B21327"/>
    <w:rsid w:val="08B2135D"/>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620"/>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E60"/>
    <w:rsid w:val="08B22EF4"/>
    <w:rsid w:val="08B22F02"/>
    <w:rsid w:val="08B22FDA"/>
    <w:rsid w:val="08B2302F"/>
    <w:rsid w:val="08B23097"/>
    <w:rsid w:val="08B230B4"/>
    <w:rsid w:val="08B230BC"/>
    <w:rsid w:val="08B230E8"/>
    <w:rsid w:val="08B230F1"/>
    <w:rsid w:val="08B231F5"/>
    <w:rsid w:val="08B2328A"/>
    <w:rsid w:val="08B232D5"/>
    <w:rsid w:val="08B23369"/>
    <w:rsid w:val="08B233A4"/>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DB8"/>
    <w:rsid w:val="08B23E32"/>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4B3"/>
    <w:rsid w:val="08B254B8"/>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0"/>
    <w:rsid w:val="08B260C5"/>
    <w:rsid w:val="08B26130"/>
    <w:rsid w:val="08B26238"/>
    <w:rsid w:val="08B262A3"/>
    <w:rsid w:val="08B262BE"/>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DD"/>
    <w:rsid w:val="08B276FB"/>
    <w:rsid w:val="08B2784E"/>
    <w:rsid w:val="08B27A8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F5"/>
    <w:rsid w:val="08B30240"/>
    <w:rsid w:val="08B30391"/>
    <w:rsid w:val="08B30402"/>
    <w:rsid w:val="08B3049A"/>
    <w:rsid w:val="08B304B1"/>
    <w:rsid w:val="08B305CD"/>
    <w:rsid w:val="08B306B2"/>
    <w:rsid w:val="08B3081B"/>
    <w:rsid w:val="08B3083B"/>
    <w:rsid w:val="08B3084E"/>
    <w:rsid w:val="08B308A6"/>
    <w:rsid w:val="08B3092B"/>
    <w:rsid w:val="08B30996"/>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0"/>
    <w:rsid w:val="08B31075"/>
    <w:rsid w:val="08B310FC"/>
    <w:rsid w:val="08B3111C"/>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23D"/>
    <w:rsid w:val="08B3237B"/>
    <w:rsid w:val="08B323E1"/>
    <w:rsid w:val="08B32491"/>
    <w:rsid w:val="08B325F7"/>
    <w:rsid w:val="08B32631"/>
    <w:rsid w:val="08B327B2"/>
    <w:rsid w:val="08B32871"/>
    <w:rsid w:val="08B328B2"/>
    <w:rsid w:val="08B328C2"/>
    <w:rsid w:val="08B32914"/>
    <w:rsid w:val="08B329EB"/>
    <w:rsid w:val="08B329EE"/>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13"/>
    <w:rsid w:val="08B33D31"/>
    <w:rsid w:val="08B33E4A"/>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204"/>
    <w:rsid w:val="08B35277"/>
    <w:rsid w:val="08B352E8"/>
    <w:rsid w:val="08B35329"/>
    <w:rsid w:val="08B354BF"/>
    <w:rsid w:val="08B354D0"/>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3A"/>
    <w:rsid w:val="08B37663"/>
    <w:rsid w:val="08B3766A"/>
    <w:rsid w:val="08B376E5"/>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4002A"/>
    <w:rsid w:val="08B4013F"/>
    <w:rsid w:val="08B4014C"/>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95B"/>
    <w:rsid w:val="08B409A7"/>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53"/>
    <w:rsid w:val="08B4156F"/>
    <w:rsid w:val="08B41599"/>
    <w:rsid w:val="08B415AC"/>
    <w:rsid w:val="08B415DE"/>
    <w:rsid w:val="08B415E3"/>
    <w:rsid w:val="08B4160B"/>
    <w:rsid w:val="08B41628"/>
    <w:rsid w:val="08B416AB"/>
    <w:rsid w:val="08B416FF"/>
    <w:rsid w:val="08B41718"/>
    <w:rsid w:val="08B417A3"/>
    <w:rsid w:val="08B418C4"/>
    <w:rsid w:val="08B4195E"/>
    <w:rsid w:val="08B41987"/>
    <w:rsid w:val="08B419CD"/>
    <w:rsid w:val="08B41A10"/>
    <w:rsid w:val="08B41AE5"/>
    <w:rsid w:val="08B41B12"/>
    <w:rsid w:val="08B41C09"/>
    <w:rsid w:val="08B41C35"/>
    <w:rsid w:val="08B41C8B"/>
    <w:rsid w:val="08B41D92"/>
    <w:rsid w:val="08B41E20"/>
    <w:rsid w:val="08B41EF4"/>
    <w:rsid w:val="08B41F28"/>
    <w:rsid w:val="08B41F74"/>
    <w:rsid w:val="08B41F7C"/>
    <w:rsid w:val="08B41FA4"/>
    <w:rsid w:val="08B420F0"/>
    <w:rsid w:val="08B4214B"/>
    <w:rsid w:val="08B42182"/>
    <w:rsid w:val="08B42194"/>
    <w:rsid w:val="08B421E0"/>
    <w:rsid w:val="08B42214"/>
    <w:rsid w:val="08B42229"/>
    <w:rsid w:val="08B42292"/>
    <w:rsid w:val="08B4233D"/>
    <w:rsid w:val="08B4240A"/>
    <w:rsid w:val="08B4245F"/>
    <w:rsid w:val="08B4246B"/>
    <w:rsid w:val="08B4247B"/>
    <w:rsid w:val="08B42484"/>
    <w:rsid w:val="08B424A2"/>
    <w:rsid w:val="08B4254A"/>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092"/>
    <w:rsid w:val="08B4310A"/>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E6"/>
    <w:rsid w:val="08B4351F"/>
    <w:rsid w:val="08B43537"/>
    <w:rsid w:val="08B435AB"/>
    <w:rsid w:val="08B435F1"/>
    <w:rsid w:val="08B4363D"/>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5EA"/>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4FEC"/>
    <w:rsid w:val="08B45009"/>
    <w:rsid w:val="08B45014"/>
    <w:rsid w:val="08B450CA"/>
    <w:rsid w:val="08B45142"/>
    <w:rsid w:val="08B4517A"/>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9ED"/>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68E"/>
    <w:rsid w:val="08B46731"/>
    <w:rsid w:val="08B467C3"/>
    <w:rsid w:val="08B4685D"/>
    <w:rsid w:val="08B4685F"/>
    <w:rsid w:val="08B46A41"/>
    <w:rsid w:val="08B46B07"/>
    <w:rsid w:val="08B46B78"/>
    <w:rsid w:val="08B46BE4"/>
    <w:rsid w:val="08B46BF7"/>
    <w:rsid w:val="08B46C08"/>
    <w:rsid w:val="08B46C0F"/>
    <w:rsid w:val="08B46D1A"/>
    <w:rsid w:val="08B46DA7"/>
    <w:rsid w:val="08B46E28"/>
    <w:rsid w:val="08B46E49"/>
    <w:rsid w:val="08B46F1C"/>
    <w:rsid w:val="08B46F68"/>
    <w:rsid w:val="08B4714F"/>
    <w:rsid w:val="08B472D7"/>
    <w:rsid w:val="08B473EE"/>
    <w:rsid w:val="08B4751A"/>
    <w:rsid w:val="08B47665"/>
    <w:rsid w:val="08B4766B"/>
    <w:rsid w:val="08B47741"/>
    <w:rsid w:val="08B47795"/>
    <w:rsid w:val="08B477C0"/>
    <w:rsid w:val="08B477FE"/>
    <w:rsid w:val="08B478F5"/>
    <w:rsid w:val="08B478F6"/>
    <w:rsid w:val="08B47901"/>
    <w:rsid w:val="08B47933"/>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A9"/>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53"/>
    <w:rsid w:val="08B526EA"/>
    <w:rsid w:val="08B527C7"/>
    <w:rsid w:val="08B527FA"/>
    <w:rsid w:val="08B52925"/>
    <w:rsid w:val="08B52A61"/>
    <w:rsid w:val="08B52A78"/>
    <w:rsid w:val="08B52A8C"/>
    <w:rsid w:val="08B52B30"/>
    <w:rsid w:val="08B52D1B"/>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D9"/>
    <w:rsid w:val="08B533E3"/>
    <w:rsid w:val="08B53470"/>
    <w:rsid w:val="08B534A1"/>
    <w:rsid w:val="08B536E4"/>
    <w:rsid w:val="08B53726"/>
    <w:rsid w:val="08B53844"/>
    <w:rsid w:val="08B538B4"/>
    <w:rsid w:val="08B53905"/>
    <w:rsid w:val="08B53910"/>
    <w:rsid w:val="08B53970"/>
    <w:rsid w:val="08B53B48"/>
    <w:rsid w:val="08B53BAD"/>
    <w:rsid w:val="08B53C23"/>
    <w:rsid w:val="08B53C71"/>
    <w:rsid w:val="08B53D2D"/>
    <w:rsid w:val="08B53DFD"/>
    <w:rsid w:val="08B53E42"/>
    <w:rsid w:val="08B53EBB"/>
    <w:rsid w:val="08B53F19"/>
    <w:rsid w:val="08B53F52"/>
    <w:rsid w:val="08B53FA4"/>
    <w:rsid w:val="08B53FEE"/>
    <w:rsid w:val="08B540AB"/>
    <w:rsid w:val="08B540AD"/>
    <w:rsid w:val="08B540DD"/>
    <w:rsid w:val="08B540FA"/>
    <w:rsid w:val="08B54153"/>
    <w:rsid w:val="08B54162"/>
    <w:rsid w:val="08B54209"/>
    <w:rsid w:val="08B54296"/>
    <w:rsid w:val="08B542CE"/>
    <w:rsid w:val="08B54317"/>
    <w:rsid w:val="08B5435C"/>
    <w:rsid w:val="08B544AF"/>
    <w:rsid w:val="08B54574"/>
    <w:rsid w:val="08B54576"/>
    <w:rsid w:val="08B54587"/>
    <w:rsid w:val="08B54588"/>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FB"/>
    <w:rsid w:val="08B55287"/>
    <w:rsid w:val="08B552AB"/>
    <w:rsid w:val="08B55347"/>
    <w:rsid w:val="08B55531"/>
    <w:rsid w:val="08B555E3"/>
    <w:rsid w:val="08B5568F"/>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5"/>
    <w:rsid w:val="08B55BB7"/>
    <w:rsid w:val="08B55C79"/>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2E"/>
    <w:rsid w:val="08B572F0"/>
    <w:rsid w:val="08B57318"/>
    <w:rsid w:val="08B573C4"/>
    <w:rsid w:val="08B573CE"/>
    <w:rsid w:val="08B57426"/>
    <w:rsid w:val="08B5742A"/>
    <w:rsid w:val="08B5748B"/>
    <w:rsid w:val="08B574C2"/>
    <w:rsid w:val="08B57503"/>
    <w:rsid w:val="08B5759A"/>
    <w:rsid w:val="08B57645"/>
    <w:rsid w:val="08B576CF"/>
    <w:rsid w:val="08B57707"/>
    <w:rsid w:val="08B5776D"/>
    <w:rsid w:val="08B57777"/>
    <w:rsid w:val="08B5777E"/>
    <w:rsid w:val="08B57783"/>
    <w:rsid w:val="08B577AE"/>
    <w:rsid w:val="08B57819"/>
    <w:rsid w:val="08B5786E"/>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DD"/>
    <w:rsid w:val="08B60033"/>
    <w:rsid w:val="08B6006C"/>
    <w:rsid w:val="08B600AD"/>
    <w:rsid w:val="08B6024F"/>
    <w:rsid w:val="08B60295"/>
    <w:rsid w:val="08B60376"/>
    <w:rsid w:val="08B6044E"/>
    <w:rsid w:val="08B60463"/>
    <w:rsid w:val="08B60480"/>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58"/>
    <w:rsid w:val="08B60B87"/>
    <w:rsid w:val="08B60D0E"/>
    <w:rsid w:val="08B60DFD"/>
    <w:rsid w:val="08B60E18"/>
    <w:rsid w:val="08B60F72"/>
    <w:rsid w:val="08B6112C"/>
    <w:rsid w:val="08B6116D"/>
    <w:rsid w:val="08B611B1"/>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A4"/>
    <w:rsid w:val="08B61BE2"/>
    <w:rsid w:val="08B61BEA"/>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D0"/>
    <w:rsid w:val="08B627FD"/>
    <w:rsid w:val="08B6284D"/>
    <w:rsid w:val="08B62BE3"/>
    <w:rsid w:val="08B62BE6"/>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2F3"/>
    <w:rsid w:val="08B633AF"/>
    <w:rsid w:val="08B63431"/>
    <w:rsid w:val="08B634A9"/>
    <w:rsid w:val="08B63510"/>
    <w:rsid w:val="08B6362B"/>
    <w:rsid w:val="08B6364C"/>
    <w:rsid w:val="08B6368E"/>
    <w:rsid w:val="08B636F7"/>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8A3"/>
    <w:rsid w:val="08B64902"/>
    <w:rsid w:val="08B64913"/>
    <w:rsid w:val="08B6492C"/>
    <w:rsid w:val="08B649CF"/>
    <w:rsid w:val="08B649E7"/>
    <w:rsid w:val="08B64A99"/>
    <w:rsid w:val="08B64AAE"/>
    <w:rsid w:val="08B64AE0"/>
    <w:rsid w:val="08B64B21"/>
    <w:rsid w:val="08B64B51"/>
    <w:rsid w:val="08B64BD9"/>
    <w:rsid w:val="08B64C26"/>
    <w:rsid w:val="08B64D07"/>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91"/>
    <w:rsid w:val="08B6589E"/>
    <w:rsid w:val="08B658FC"/>
    <w:rsid w:val="08B65995"/>
    <w:rsid w:val="08B65A2A"/>
    <w:rsid w:val="08B65A4F"/>
    <w:rsid w:val="08B65AF1"/>
    <w:rsid w:val="08B65B31"/>
    <w:rsid w:val="08B65B41"/>
    <w:rsid w:val="08B65D5C"/>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E3"/>
    <w:rsid w:val="08B6760E"/>
    <w:rsid w:val="08B676AA"/>
    <w:rsid w:val="08B676B3"/>
    <w:rsid w:val="08B67777"/>
    <w:rsid w:val="08B677F1"/>
    <w:rsid w:val="08B67825"/>
    <w:rsid w:val="08B67875"/>
    <w:rsid w:val="08B678BD"/>
    <w:rsid w:val="08B678E8"/>
    <w:rsid w:val="08B6792F"/>
    <w:rsid w:val="08B67A31"/>
    <w:rsid w:val="08B67B42"/>
    <w:rsid w:val="08B67B89"/>
    <w:rsid w:val="08B67CE8"/>
    <w:rsid w:val="08B67CF9"/>
    <w:rsid w:val="08B67D2C"/>
    <w:rsid w:val="08B67DC7"/>
    <w:rsid w:val="08B67E1D"/>
    <w:rsid w:val="08B67EC8"/>
    <w:rsid w:val="08B67EF5"/>
    <w:rsid w:val="08B67FE2"/>
    <w:rsid w:val="08B7012E"/>
    <w:rsid w:val="08B7013E"/>
    <w:rsid w:val="08B701C0"/>
    <w:rsid w:val="08B701E9"/>
    <w:rsid w:val="08B70269"/>
    <w:rsid w:val="08B7039C"/>
    <w:rsid w:val="08B7040E"/>
    <w:rsid w:val="08B7043F"/>
    <w:rsid w:val="08B704A1"/>
    <w:rsid w:val="08B7050B"/>
    <w:rsid w:val="08B706B1"/>
    <w:rsid w:val="08B706EF"/>
    <w:rsid w:val="08B70702"/>
    <w:rsid w:val="08B7077B"/>
    <w:rsid w:val="08B70781"/>
    <w:rsid w:val="08B707D2"/>
    <w:rsid w:val="08B7091D"/>
    <w:rsid w:val="08B70922"/>
    <w:rsid w:val="08B70923"/>
    <w:rsid w:val="08B70989"/>
    <w:rsid w:val="08B709E3"/>
    <w:rsid w:val="08B70A3C"/>
    <w:rsid w:val="08B70A78"/>
    <w:rsid w:val="08B70AA0"/>
    <w:rsid w:val="08B70B01"/>
    <w:rsid w:val="08B70B11"/>
    <w:rsid w:val="08B70B4B"/>
    <w:rsid w:val="08B70B59"/>
    <w:rsid w:val="08B70BC1"/>
    <w:rsid w:val="08B70BE7"/>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B8"/>
    <w:rsid w:val="08B71351"/>
    <w:rsid w:val="08B71479"/>
    <w:rsid w:val="08B71587"/>
    <w:rsid w:val="08B7159F"/>
    <w:rsid w:val="08B715FC"/>
    <w:rsid w:val="08B715FE"/>
    <w:rsid w:val="08B7160B"/>
    <w:rsid w:val="08B7161E"/>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5D"/>
    <w:rsid w:val="08B720AA"/>
    <w:rsid w:val="08B720C6"/>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A6E"/>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4D4"/>
    <w:rsid w:val="08B735F7"/>
    <w:rsid w:val="08B7361C"/>
    <w:rsid w:val="08B736A4"/>
    <w:rsid w:val="08B736B8"/>
    <w:rsid w:val="08B7379D"/>
    <w:rsid w:val="08B737BC"/>
    <w:rsid w:val="08B7383F"/>
    <w:rsid w:val="08B739F3"/>
    <w:rsid w:val="08B73A22"/>
    <w:rsid w:val="08B73A3D"/>
    <w:rsid w:val="08B73A89"/>
    <w:rsid w:val="08B73BEB"/>
    <w:rsid w:val="08B73C0E"/>
    <w:rsid w:val="08B73C49"/>
    <w:rsid w:val="08B73C72"/>
    <w:rsid w:val="08B73CEE"/>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2"/>
    <w:rsid w:val="08B748E3"/>
    <w:rsid w:val="08B7492C"/>
    <w:rsid w:val="08B7495F"/>
    <w:rsid w:val="08B74992"/>
    <w:rsid w:val="08B749C6"/>
    <w:rsid w:val="08B749FD"/>
    <w:rsid w:val="08B74A71"/>
    <w:rsid w:val="08B74A85"/>
    <w:rsid w:val="08B74A91"/>
    <w:rsid w:val="08B74AFA"/>
    <w:rsid w:val="08B74B23"/>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4BA"/>
    <w:rsid w:val="08B75551"/>
    <w:rsid w:val="08B7567F"/>
    <w:rsid w:val="08B7577C"/>
    <w:rsid w:val="08B75798"/>
    <w:rsid w:val="08B75834"/>
    <w:rsid w:val="08B75859"/>
    <w:rsid w:val="08B758D6"/>
    <w:rsid w:val="08B75986"/>
    <w:rsid w:val="08B759A6"/>
    <w:rsid w:val="08B759F2"/>
    <w:rsid w:val="08B75A1E"/>
    <w:rsid w:val="08B75A20"/>
    <w:rsid w:val="08B75B51"/>
    <w:rsid w:val="08B75DC5"/>
    <w:rsid w:val="08B75DE2"/>
    <w:rsid w:val="08B75E49"/>
    <w:rsid w:val="08B75E6A"/>
    <w:rsid w:val="08B75EA2"/>
    <w:rsid w:val="08B76078"/>
    <w:rsid w:val="08B7613A"/>
    <w:rsid w:val="08B761B0"/>
    <w:rsid w:val="08B761FA"/>
    <w:rsid w:val="08B7622F"/>
    <w:rsid w:val="08B76272"/>
    <w:rsid w:val="08B762D8"/>
    <w:rsid w:val="08B763D3"/>
    <w:rsid w:val="08B764EE"/>
    <w:rsid w:val="08B764F9"/>
    <w:rsid w:val="08B7652E"/>
    <w:rsid w:val="08B7663B"/>
    <w:rsid w:val="08B767F5"/>
    <w:rsid w:val="08B7681F"/>
    <w:rsid w:val="08B769A9"/>
    <w:rsid w:val="08B769D2"/>
    <w:rsid w:val="08B769FF"/>
    <w:rsid w:val="08B76A22"/>
    <w:rsid w:val="08B76ADD"/>
    <w:rsid w:val="08B76BCB"/>
    <w:rsid w:val="08B76CA3"/>
    <w:rsid w:val="08B76D41"/>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A2"/>
    <w:rsid w:val="08B779F5"/>
    <w:rsid w:val="08B779FC"/>
    <w:rsid w:val="08B77AFA"/>
    <w:rsid w:val="08B77B44"/>
    <w:rsid w:val="08B77B57"/>
    <w:rsid w:val="08B77BF8"/>
    <w:rsid w:val="08B77C05"/>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0F"/>
    <w:rsid w:val="08B8024D"/>
    <w:rsid w:val="08B80303"/>
    <w:rsid w:val="08B8030A"/>
    <w:rsid w:val="08B80310"/>
    <w:rsid w:val="08B80350"/>
    <w:rsid w:val="08B80464"/>
    <w:rsid w:val="08B8050F"/>
    <w:rsid w:val="08B805A6"/>
    <w:rsid w:val="08B805A9"/>
    <w:rsid w:val="08B8062F"/>
    <w:rsid w:val="08B80678"/>
    <w:rsid w:val="08B8070F"/>
    <w:rsid w:val="08B80787"/>
    <w:rsid w:val="08B807C0"/>
    <w:rsid w:val="08B807C8"/>
    <w:rsid w:val="08B80813"/>
    <w:rsid w:val="08B80864"/>
    <w:rsid w:val="08B80879"/>
    <w:rsid w:val="08B808A7"/>
    <w:rsid w:val="08B808E3"/>
    <w:rsid w:val="08B8092D"/>
    <w:rsid w:val="08B809A4"/>
    <w:rsid w:val="08B80AA4"/>
    <w:rsid w:val="08B80AF8"/>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CF"/>
    <w:rsid w:val="08B817E9"/>
    <w:rsid w:val="08B817EA"/>
    <w:rsid w:val="08B81829"/>
    <w:rsid w:val="08B8186C"/>
    <w:rsid w:val="08B81870"/>
    <w:rsid w:val="08B818E4"/>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45"/>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11"/>
    <w:rsid w:val="08B8314C"/>
    <w:rsid w:val="08B831B2"/>
    <w:rsid w:val="08B831D6"/>
    <w:rsid w:val="08B831FD"/>
    <w:rsid w:val="08B832C0"/>
    <w:rsid w:val="08B832CD"/>
    <w:rsid w:val="08B83305"/>
    <w:rsid w:val="08B833B2"/>
    <w:rsid w:val="08B833FB"/>
    <w:rsid w:val="08B8340B"/>
    <w:rsid w:val="08B8341C"/>
    <w:rsid w:val="08B83424"/>
    <w:rsid w:val="08B83448"/>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668"/>
    <w:rsid w:val="08B846E5"/>
    <w:rsid w:val="08B847A1"/>
    <w:rsid w:val="08B847CB"/>
    <w:rsid w:val="08B8484D"/>
    <w:rsid w:val="08B848F9"/>
    <w:rsid w:val="08B8490C"/>
    <w:rsid w:val="08B84985"/>
    <w:rsid w:val="08B849DD"/>
    <w:rsid w:val="08B84A29"/>
    <w:rsid w:val="08B84A2A"/>
    <w:rsid w:val="08B84BD2"/>
    <w:rsid w:val="08B84C76"/>
    <w:rsid w:val="08B84DF2"/>
    <w:rsid w:val="08B84E78"/>
    <w:rsid w:val="08B84E88"/>
    <w:rsid w:val="08B84EAF"/>
    <w:rsid w:val="08B84EB5"/>
    <w:rsid w:val="08B84EDB"/>
    <w:rsid w:val="08B84F26"/>
    <w:rsid w:val="08B84F8D"/>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4F"/>
    <w:rsid w:val="08B863CD"/>
    <w:rsid w:val="08B863F2"/>
    <w:rsid w:val="08B86423"/>
    <w:rsid w:val="08B8649C"/>
    <w:rsid w:val="08B8658C"/>
    <w:rsid w:val="08B86650"/>
    <w:rsid w:val="08B86694"/>
    <w:rsid w:val="08B866C0"/>
    <w:rsid w:val="08B866CD"/>
    <w:rsid w:val="08B86726"/>
    <w:rsid w:val="08B8681E"/>
    <w:rsid w:val="08B868FE"/>
    <w:rsid w:val="08B86985"/>
    <w:rsid w:val="08B86A5B"/>
    <w:rsid w:val="08B86AD7"/>
    <w:rsid w:val="08B86BF4"/>
    <w:rsid w:val="08B86BF5"/>
    <w:rsid w:val="08B86C5F"/>
    <w:rsid w:val="08B86C97"/>
    <w:rsid w:val="08B86D0C"/>
    <w:rsid w:val="08B86DCD"/>
    <w:rsid w:val="08B86DD9"/>
    <w:rsid w:val="08B86E02"/>
    <w:rsid w:val="08B86E47"/>
    <w:rsid w:val="08B86E67"/>
    <w:rsid w:val="08B86FFB"/>
    <w:rsid w:val="08B8703A"/>
    <w:rsid w:val="08B8715A"/>
    <w:rsid w:val="08B871CE"/>
    <w:rsid w:val="08B8743B"/>
    <w:rsid w:val="08B874FC"/>
    <w:rsid w:val="08B8758A"/>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94"/>
    <w:rsid w:val="08B904FE"/>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BB"/>
    <w:rsid w:val="08B90DE2"/>
    <w:rsid w:val="08B90E53"/>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D4"/>
    <w:rsid w:val="08B91ED6"/>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45"/>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4E"/>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9FD"/>
    <w:rsid w:val="08B93A9E"/>
    <w:rsid w:val="08B93BD8"/>
    <w:rsid w:val="08B93BDC"/>
    <w:rsid w:val="08B93C10"/>
    <w:rsid w:val="08B93C87"/>
    <w:rsid w:val="08B93C8B"/>
    <w:rsid w:val="08B93CEE"/>
    <w:rsid w:val="08B93D87"/>
    <w:rsid w:val="08B93F36"/>
    <w:rsid w:val="08B9405C"/>
    <w:rsid w:val="08B94086"/>
    <w:rsid w:val="08B940B9"/>
    <w:rsid w:val="08B940CD"/>
    <w:rsid w:val="08B940DB"/>
    <w:rsid w:val="08B940E8"/>
    <w:rsid w:val="08B94111"/>
    <w:rsid w:val="08B941F0"/>
    <w:rsid w:val="08B94257"/>
    <w:rsid w:val="08B942A5"/>
    <w:rsid w:val="08B942BE"/>
    <w:rsid w:val="08B943E5"/>
    <w:rsid w:val="08B9440A"/>
    <w:rsid w:val="08B94476"/>
    <w:rsid w:val="08B944C9"/>
    <w:rsid w:val="08B94592"/>
    <w:rsid w:val="08B9466F"/>
    <w:rsid w:val="08B94795"/>
    <w:rsid w:val="08B9482D"/>
    <w:rsid w:val="08B94878"/>
    <w:rsid w:val="08B948E3"/>
    <w:rsid w:val="08B949B4"/>
    <w:rsid w:val="08B94A08"/>
    <w:rsid w:val="08B94A2F"/>
    <w:rsid w:val="08B94A75"/>
    <w:rsid w:val="08B94A82"/>
    <w:rsid w:val="08B94AF4"/>
    <w:rsid w:val="08B94B17"/>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735"/>
    <w:rsid w:val="08B95805"/>
    <w:rsid w:val="08B95898"/>
    <w:rsid w:val="08B958D9"/>
    <w:rsid w:val="08B959EC"/>
    <w:rsid w:val="08B95A80"/>
    <w:rsid w:val="08B95A8A"/>
    <w:rsid w:val="08B95AA3"/>
    <w:rsid w:val="08B95AF1"/>
    <w:rsid w:val="08B95B1B"/>
    <w:rsid w:val="08B95BC0"/>
    <w:rsid w:val="08B95C28"/>
    <w:rsid w:val="08B95C5A"/>
    <w:rsid w:val="08B95D43"/>
    <w:rsid w:val="08B95DA3"/>
    <w:rsid w:val="08B95DBC"/>
    <w:rsid w:val="08B95E33"/>
    <w:rsid w:val="08B95FBF"/>
    <w:rsid w:val="08B96009"/>
    <w:rsid w:val="08B96056"/>
    <w:rsid w:val="08B9607E"/>
    <w:rsid w:val="08B960FD"/>
    <w:rsid w:val="08B9614F"/>
    <w:rsid w:val="08B9618F"/>
    <w:rsid w:val="08B961E2"/>
    <w:rsid w:val="08B96230"/>
    <w:rsid w:val="08B962C0"/>
    <w:rsid w:val="08B963F7"/>
    <w:rsid w:val="08B96473"/>
    <w:rsid w:val="08B96488"/>
    <w:rsid w:val="08B96525"/>
    <w:rsid w:val="08B96597"/>
    <w:rsid w:val="08B96739"/>
    <w:rsid w:val="08B967AC"/>
    <w:rsid w:val="08B967D9"/>
    <w:rsid w:val="08B96865"/>
    <w:rsid w:val="08B9688E"/>
    <w:rsid w:val="08B96972"/>
    <w:rsid w:val="08B969F8"/>
    <w:rsid w:val="08B96A4C"/>
    <w:rsid w:val="08B96AF9"/>
    <w:rsid w:val="08B96B1A"/>
    <w:rsid w:val="08B96BD8"/>
    <w:rsid w:val="08B96C66"/>
    <w:rsid w:val="08B96D2F"/>
    <w:rsid w:val="08B96F46"/>
    <w:rsid w:val="08B96F47"/>
    <w:rsid w:val="08B96F4C"/>
    <w:rsid w:val="08B96F53"/>
    <w:rsid w:val="08B96F9B"/>
    <w:rsid w:val="08B96FD9"/>
    <w:rsid w:val="08B97014"/>
    <w:rsid w:val="08B971CA"/>
    <w:rsid w:val="08B9720A"/>
    <w:rsid w:val="08B972BA"/>
    <w:rsid w:val="08B97352"/>
    <w:rsid w:val="08B9739E"/>
    <w:rsid w:val="08B973CD"/>
    <w:rsid w:val="08B97474"/>
    <w:rsid w:val="08B974D9"/>
    <w:rsid w:val="08B9750A"/>
    <w:rsid w:val="08B97518"/>
    <w:rsid w:val="08B9769A"/>
    <w:rsid w:val="08B976E9"/>
    <w:rsid w:val="08B9770B"/>
    <w:rsid w:val="08B977A0"/>
    <w:rsid w:val="08B978C3"/>
    <w:rsid w:val="08B9791D"/>
    <w:rsid w:val="08B97923"/>
    <w:rsid w:val="08B97987"/>
    <w:rsid w:val="08B979B0"/>
    <w:rsid w:val="08B97ACD"/>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628"/>
    <w:rsid w:val="08BA07E8"/>
    <w:rsid w:val="08BA0819"/>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57"/>
    <w:rsid w:val="08BA1D8A"/>
    <w:rsid w:val="08BA1DC8"/>
    <w:rsid w:val="08BA1EFC"/>
    <w:rsid w:val="08BA1F10"/>
    <w:rsid w:val="08BA1F3F"/>
    <w:rsid w:val="08BA1FC2"/>
    <w:rsid w:val="08BA1FEF"/>
    <w:rsid w:val="08BA1FF2"/>
    <w:rsid w:val="08BA2017"/>
    <w:rsid w:val="08BA20C0"/>
    <w:rsid w:val="08BA2101"/>
    <w:rsid w:val="08BA210D"/>
    <w:rsid w:val="08BA2240"/>
    <w:rsid w:val="08BA22B3"/>
    <w:rsid w:val="08BA22BB"/>
    <w:rsid w:val="08BA238B"/>
    <w:rsid w:val="08BA23BA"/>
    <w:rsid w:val="08BA23D0"/>
    <w:rsid w:val="08BA2414"/>
    <w:rsid w:val="08BA2463"/>
    <w:rsid w:val="08BA24A6"/>
    <w:rsid w:val="08BA255F"/>
    <w:rsid w:val="08BA26AB"/>
    <w:rsid w:val="08BA26F2"/>
    <w:rsid w:val="08BA27F6"/>
    <w:rsid w:val="08BA29FF"/>
    <w:rsid w:val="08BA2A92"/>
    <w:rsid w:val="08BA2AC5"/>
    <w:rsid w:val="08BA2AFD"/>
    <w:rsid w:val="08BA2B1B"/>
    <w:rsid w:val="08BA2B38"/>
    <w:rsid w:val="08BA2BB9"/>
    <w:rsid w:val="08BA2D1C"/>
    <w:rsid w:val="08BA2DE4"/>
    <w:rsid w:val="08BA2E97"/>
    <w:rsid w:val="08BA2F10"/>
    <w:rsid w:val="08BA2F9C"/>
    <w:rsid w:val="08BA2FE8"/>
    <w:rsid w:val="08BA3037"/>
    <w:rsid w:val="08BA30D7"/>
    <w:rsid w:val="08BA31BA"/>
    <w:rsid w:val="08BA3281"/>
    <w:rsid w:val="08BA32ED"/>
    <w:rsid w:val="08BA32F4"/>
    <w:rsid w:val="08BA3432"/>
    <w:rsid w:val="08BA3475"/>
    <w:rsid w:val="08BA34A2"/>
    <w:rsid w:val="08BA34B0"/>
    <w:rsid w:val="08BA3642"/>
    <w:rsid w:val="08BA36B7"/>
    <w:rsid w:val="08BA36C9"/>
    <w:rsid w:val="08BA36CA"/>
    <w:rsid w:val="08BA36F2"/>
    <w:rsid w:val="08BA3795"/>
    <w:rsid w:val="08BA37BE"/>
    <w:rsid w:val="08BA3806"/>
    <w:rsid w:val="08BA3866"/>
    <w:rsid w:val="08BA3937"/>
    <w:rsid w:val="08BA3939"/>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CE0"/>
    <w:rsid w:val="08BA4D6A"/>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A9"/>
    <w:rsid w:val="08BA5DBE"/>
    <w:rsid w:val="08BA5DCB"/>
    <w:rsid w:val="08BA5DF3"/>
    <w:rsid w:val="08BA5E10"/>
    <w:rsid w:val="08BA5E2F"/>
    <w:rsid w:val="08BA5E59"/>
    <w:rsid w:val="08BA5F74"/>
    <w:rsid w:val="08BA60E5"/>
    <w:rsid w:val="08BA6248"/>
    <w:rsid w:val="08BA624F"/>
    <w:rsid w:val="08BA63A6"/>
    <w:rsid w:val="08BA647D"/>
    <w:rsid w:val="08BA64E2"/>
    <w:rsid w:val="08BA6548"/>
    <w:rsid w:val="08BA655B"/>
    <w:rsid w:val="08BA66CC"/>
    <w:rsid w:val="08BA66ED"/>
    <w:rsid w:val="08BA671C"/>
    <w:rsid w:val="08BA6783"/>
    <w:rsid w:val="08BA67E5"/>
    <w:rsid w:val="08BA684A"/>
    <w:rsid w:val="08BA684F"/>
    <w:rsid w:val="08BA686F"/>
    <w:rsid w:val="08BA6904"/>
    <w:rsid w:val="08BA6938"/>
    <w:rsid w:val="08BA6970"/>
    <w:rsid w:val="08BA698D"/>
    <w:rsid w:val="08BA6A59"/>
    <w:rsid w:val="08BA6A9C"/>
    <w:rsid w:val="08BA6AB7"/>
    <w:rsid w:val="08BA6ABD"/>
    <w:rsid w:val="08BA6D2E"/>
    <w:rsid w:val="08BA6DB0"/>
    <w:rsid w:val="08BA6DBD"/>
    <w:rsid w:val="08BA6E20"/>
    <w:rsid w:val="08BA6E63"/>
    <w:rsid w:val="08BA6F0D"/>
    <w:rsid w:val="08BA6FB2"/>
    <w:rsid w:val="08BA7197"/>
    <w:rsid w:val="08BA723E"/>
    <w:rsid w:val="08BA7256"/>
    <w:rsid w:val="08BA72FD"/>
    <w:rsid w:val="08BA734A"/>
    <w:rsid w:val="08BA73EB"/>
    <w:rsid w:val="08BA7482"/>
    <w:rsid w:val="08BA74D2"/>
    <w:rsid w:val="08BA751C"/>
    <w:rsid w:val="08BA75A0"/>
    <w:rsid w:val="08BA76B8"/>
    <w:rsid w:val="08BA76B9"/>
    <w:rsid w:val="08BA772E"/>
    <w:rsid w:val="08BA7790"/>
    <w:rsid w:val="08BA781A"/>
    <w:rsid w:val="08BA7966"/>
    <w:rsid w:val="08BA7971"/>
    <w:rsid w:val="08BA7A50"/>
    <w:rsid w:val="08BA7A60"/>
    <w:rsid w:val="08BA7AE3"/>
    <w:rsid w:val="08BA7AE8"/>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5E"/>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7F"/>
    <w:rsid w:val="08BB29CE"/>
    <w:rsid w:val="08BB2A9C"/>
    <w:rsid w:val="08BB2ACF"/>
    <w:rsid w:val="08BB2AF2"/>
    <w:rsid w:val="08BB2B6F"/>
    <w:rsid w:val="08BB2BFA"/>
    <w:rsid w:val="08BB2C39"/>
    <w:rsid w:val="08BB2DCD"/>
    <w:rsid w:val="08BB2E48"/>
    <w:rsid w:val="08BB2EDF"/>
    <w:rsid w:val="08BB2F09"/>
    <w:rsid w:val="08BB3040"/>
    <w:rsid w:val="08BB30E1"/>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32"/>
    <w:rsid w:val="08BB434A"/>
    <w:rsid w:val="08BB43E0"/>
    <w:rsid w:val="08BB443E"/>
    <w:rsid w:val="08BB44B9"/>
    <w:rsid w:val="08BB45C9"/>
    <w:rsid w:val="08BB4649"/>
    <w:rsid w:val="08BB467D"/>
    <w:rsid w:val="08BB46A7"/>
    <w:rsid w:val="08BB46F9"/>
    <w:rsid w:val="08BB473D"/>
    <w:rsid w:val="08BB47E4"/>
    <w:rsid w:val="08BB485C"/>
    <w:rsid w:val="08BB48A4"/>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7F"/>
    <w:rsid w:val="08BB5B47"/>
    <w:rsid w:val="08BB5B54"/>
    <w:rsid w:val="08BB5B65"/>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433"/>
    <w:rsid w:val="08BB6451"/>
    <w:rsid w:val="08BB6464"/>
    <w:rsid w:val="08BB64C8"/>
    <w:rsid w:val="08BB6635"/>
    <w:rsid w:val="08BB66E1"/>
    <w:rsid w:val="08BB6705"/>
    <w:rsid w:val="08BB6752"/>
    <w:rsid w:val="08BB67D9"/>
    <w:rsid w:val="08BB6886"/>
    <w:rsid w:val="08BB68A5"/>
    <w:rsid w:val="08BB6910"/>
    <w:rsid w:val="08BB6917"/>
    <w:rsid w:val="08BB6991"/>
    <w:rsid w:val="08BB6A7D"/>
    <w:rsid w:val="08BB6AC7"/>
    <w:rsid w:val="08BB6AD4"/>
    <w:rsid w:val="08BB6B25"/>
    <w:rsid w:val="08BB6B93"/>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E3"/>
    <w:rsid w:val="08BB7431"/>
    <w:rsid w:val="08BB755A"/>
    <w:rsid w:val="08BB7691"/>
    <w:rsid w:val="08BB783B"/>
    <w:rsid w:val="08BB7869"/>
    <w:rsid w:val="08BB7875"/>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A8"/>
    <w:rsid w:val="08BC04E3"/>
    <w:rsid w:val="08BC0633"/>
    <w:rsid w:val="08BC0730"/>
    <w:rsid w:val="08BC07E6"/>
    <w:rsid w:val="08BC0816"/>
    <w:rsid w:val="08BC0817"/>
    <w:rsid w:val="08BC0825"/>
    <w:rsid w:val="08BC0890"/>
    <w:rsid w:val="08BC09DC"/>
    <w:rsid w:val="08BC0A50"/>
    <w:rsid w:val="08BC0A8E"/>
    <w:rsid w:val="08BC0AD4"/>
    <w:rsid w:val="08BC0BB2"/>
    <w:rsid w:val="08BC0CAB"/>
    <w:rsid w:val="08BC0D0E"/>
    <w:rsid w:val="08BC0D23"/>
    <w:rsid w:val="08BC0E24"/>
    <w:rsid w:val="08BC0E8D"/>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9A3"/>
    <w:rsid w:val="08BC1A65"/>
    <w:rsid w:val="08BC1AAD"/>
    <w:rsid w:val="08BC1B4C"/>
    <w:rsid w:val="08BC1B5C"/>
    <w:rsid w:val="08BC1BEF"/>
    <w:rsid w:val="08BC1C4C"/>
    <w:rsid w:val="08BC1C4F"/>
    <w:rsid w:val="08BC1C71"/>
    <w:rsid w:val="08BC1CAD"/>
    <w:rsid w:val="08BC1D47"/>
    <w:rsid w:val="08BC1D5D"/>
    <w:rsid w:val="08BC1E76"/>
    <w:rsid w:val="08BC1F3B"/>
    <w:rsid w:val="08BC1F80"/>
    <w:rsid w:val="08BC1FD8"/>
    <w:rsid w:val="08BC224C"/>
    <w:rsid w:val="08BC23AE"/>
    <w:rsid w:val="08BC2454"/>
    <w:rsid w:val="08BC24D4"/>
    <w:rsid w:val="08BC24E1"/>
    <w:rsid w:val="08BC2616"/>
    <w:rsid w:val="08BC27DD"/>
    <w:rsid w:val="08BC28DD"/>
    <w:rsid w:val="08BC2906"/>
    <w:rsid w:val="08BC290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F1E"/>
    <w:rsid w:val="08BC2FA7"/>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6D1"/>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E"/>
    <w:rsid w:val="08BC43F4"/>
    <w:rsid w:val="08BC43F9"/>
    <w:rsid w:val="08BC44E9"/>
    <w:rsid w:val="08BC44ED"/>
    <w:rsid w:val="08BC4503"/>
    <w:rsid w:val="08BC450E"/>
    <w:rsid w:val="08BC4524"/>
    <w:rsid w:val="08BC452E"/>
    <w:rsid w:val="08BC47A0"/>
    <w:rsid w:val="08BC4847"/>
    <w:rsid w:val="08BC484A"/>
    <w:rsid w:val="08BC4857"/>
    <w:rsid w:val="08BC4981"/>
    <w:rsid w:val="08BC498B"/>
    <w:rsid w:val="08BC4A69"/>
    <w:rsid w:val="08BC4AF9"/>
    <w:rsid w:val="08BC4B2E"/>
    <w:rsid w:val="08BC4BA1"/>
    <w:rsid w:val="08BC4BB8"/>
    <w:rsid w:val="08BC4BCC"/>
    <w:rsid w:val="08BC4DA6"/>
    <w:rsid w:val="08BC4E1E"/>
    <w:rsid w:val="08BC4E42"/>
    <w:rsid w:val="08BC4E90"/>
    <w:rsid w:val="08BC4F3B"/>
    <w:rsid w:val="08BC5079"/>
    <w:rsid w:val="08BC5084"/>
    <w:rsid w:val="08BC5142"/>
    <w:rsid w:val="08BC537F"/>
    <w:rsid w:val="08BC53E5"/>
    <w:rsid w:val="08BC5421"/>
    <w:rsid w:val="08BC55D2"/>
    <w:rsid w:val="08BC561C"/>
    <w:rsid w:val="08BC5638"/>
    <w:rsid w:val="08BC5641"/>
    <w:rsid w:val="08BC56F7"/>
    <w:rsid w:val="08BC5704"/>
    <w:rsid w:val="08BC5753"/>
    <w:rsid w:val="08BC57BC"/>
    <w:rsid w:val="08BC599F"/>
    <w:rsid w:val="08BC59DA"/>
    <w:rsid w:val="08BC5A73"/>
    <w:rsid w:val="08BC5A99"/>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931"/>
    <w:rsid w:val="08BC6AC7"/>
    <w:rsid w:val="08BC6B0B"/>
    <w:rsid w:val="08BC6C01"/>
    <w:rsid w:val="08BC6CD4"/>
    <w:rsid w:val="08BC6E0F"/>
    <w:rsid w:val="08BC6E2F"/>
    <w:rsid w:val="08BC70CF"/>
    <w:rsid w:val="08BC7173"/>
    <w:rsid w:val="08BC7373"/>
    <w:rsid w:val="08BC7407"/>
    <w:rsid w:val="08BC740C"/>
    <w:rsid w:val="08BC74AA"/>
    <w:rsid w:val="08BC74C1"/>
    <w:rsid w:val="08BC7577"/>
    <w:rsid w:val="08BC75AC"/>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70"/>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A7C"/>
    <w:rsid w:val="08BD0AB3"/>
    <w:rsid w:val="08BD0B70"/>
    <w:rsid w:val="08BD0BBE"/>
    <w:rsid w:val="08BD0C59"/>
    <w:rsid w:val="08BD0D91"/>
    <w:rsid w:val="08BD0DD1"/>
    <w:rsid w:val="08BD0E77"/>
    <w:rsid w:val="08BD0F33"/>
    <w:rsid w:val="08BD0F64"/>
    <w:rsid w:val="08BD0FB7"/>
    <w:rsid w:val="08BD10F1"/>
    <w:rsid w:val="08BD10FD"/>
    <w:rsid w:val="08BD1147"/>
    <w:rsid w:val="08BD1177"/>
    <w:rsid w:val="08BD1196"/>
    <w:rsid w:val="08BD119F"/>
    <w:rsid w:val="08BD11E1"/>
    <w:rsid w:val="08BD120E"/>
    <w:rsid w:val="08BD1343"/>
    <w:rsid w:val="08BD136D"/>
    <w:rsid w:val="08BD1379"/>
    <w:rsid w:val="08BD139F"/>
    <w:rsid w:val="08BD13C9"/>
    <w:rsid w:val="08BD146B"/>
    <w:rsid w:val="08BD153E"/>
    <w:rsid w:val="08BD160F"/>
    <w:rsid w:val="08BD1612"/>
    <w:rsid w:val="08BD1658"/>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DF7"/>
    <w:rsid w:val="08BD1E15"/>
    <w:rsid w:val="08BD1E49"/>
    <w:rsid w:val="08BD1E76"/>
    <w:rsid w:val="08BD1F0C"/>
    <w:rsid w:val="08BD1F48"/>
    <w:rsid w:val="08BD1F5B"/>
    <w:rsid w:val="08BD1F5E"/>
    <w:rsid w:val="08BD1F7B"/>
    <w:rsid w:val="08BD1FA6"/>
    <w:rsid w:val="08BD201D"/>
    <w:rsid w:val="08BD20D0"/>
    <w:rsid w:val="08BD20EA"/>
    <w:rsid w:val="08BD219F"/>
    <w:rsid w:val="08BD21B7"/>
    <w:rsid w:val="08BD2217"/>
    <w:rsid w:val="08BD22CC"/>
    <w:rsid w:val="08BD23F1"/>
    <w:rsid w:val="08BD23F3"/>
    <w:rsid w:val="08BD24DC"/>
    <w:rsid w:val="08BD25E4"/>
    <w:rsid w:val="08BD2604"/>
    <w:rsid w:val="08BD262A"/>
    <w:rsid w:val="08BD267C"/>
    <w:rsid w:val="08BD282E"/>
    <w:rsid w:val="08BD2865"/>
    <w:rsid w:val="08BD2876"/>
    <w:rsid w:val="08BD287E"/>
    <w:rsid w:val="08BD2A34"/>
    <w:rsid w:val="08BD2C83"/>
    <w:rsid w:val="08BD2CCB"/>
    <w:rsid w:val="08BD2D33"/>
    <w:rsid w:val="08BD2D79"/>
    <w:rsid w:val="08BD2DD0"/>
    <w:rsid w:val="08BD2E5C"/>
    <w:rsid w:val="08BD2E60"/>
    <w:rsid w:val="08BD2F0A"/>
    <w:rsid w:val="08BD2F65"/>
    <w:rsid w:val="08BD2F97"/>
    <w:rsid w:val="08BD2FC0"/>
    <w:rsid w:val="08BD2FFE"/>
    <w:rsid w:val="08BD30DD"/>
    <w:rsid w:val="08BD314E"/>
    <w:rsid w:val="08BD31BB"/>
    <w:rsid w:val="08BD3237"/>
    <w:rsid w:val="08BD32A4"/>
    <w:rsid w:val="08BD3348"/>
    <w:rsid w:val="08BD334E"/>
    <w:rsid w:val="08BD337D"/>
    <w:rsid w:val="08BD3399"/>
    <w:rsid w:val="08BD33AC"/>
    <w:rsid w:val="08BD33D0"/>
    <w:rsid w:val="08BD3498"/>
    <w:rsid w:val="08BD3544"/>
    <w:rsid w:val="08BD3578"/>
    <w:rsid w:val="08BD35A8"/>
    <w:rsid w:val="08BD35AC"/>
    <w:rsid w:val="08BD3644"/>
    <w:rsid w:val="08BD3778"/>
    <w:rsid w:val="08BD38F2"/>
    <w:rsid w:val="08BD3A68"/>
    <w:rsid w:val="08BD3AA6"/>
    <w:rsid w:val="08BD3CC1"/>
    <w:rsid w:val="08BD3E34"/>
    <w:rsid w:val="08BD3ECC"/>
    <w:rsid w:val="08BD3F92"/>
    <w:rsid w:val="08BD4060"/>
    <w:rsid w:val="08BD4135"/>
    <w:rsid w:val="08BD413B"/>
    <w:rsid w:val="08BD415D"/>
    <w:rsid w:val="08BD416E"/>
    <w:rsid w:val="08BD41F4"/>
    <w:rsid w:val="08BD4218"/>
    <w:rsid w:val="08BD422F"/>
    <w:rsid w:val="08BD4342"/>
    <w:rsid w:val="08BD4372"/>
    <w:rsid w:val="08BD43AC"/>
    <w:rsid w:val="08BD43B6"/>
    <w:rsid w:val="08BD43BB"/>
    <w:rsid w:val="08BD43C2"/>
    <w:rsid w:val="08BD4404"/>
    <w:rsid w:val="08BD440C"/>
    <w:rsid w:val="08BD447D"/>
    <w:rsid w:val="08BD4482"/>
    <w:rsid w:val="08BD4534"/>
    <w:rsid w:val="08BD4612"/>
    <w:rsid w:val="08BD4699"/>
    <w:rsid w:val="08BD46F7"/>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5E"/>
    <w:rsid w:val="08BD5469"/>
    <w:rsid w:val="08BD54B5"/>
    <w:rsid w:val="08BD5584"/>
    <w:rsid w:val="08BD5627"/>
    <w:rsid w:val="08BD584E"/>
    <w:rsid w:val="08BD5891"/>
    <w:rsid w:val="08BD58F2"/>
    <w:rsid w:val="08BD5916"/>
    <w:rsid w:val="08BD5974"/>
    <w:rsid w:val="08BD59E9"/>
    <w:rsid w:val="08BD5AA9"/>
    <w:rsid w:val="08BD5AB1"/>
    <w:rsid w:val="08BD5AC4"/>
    <w:rsid w:val="08BD5B0C"/>
    <w:rsid w:val="08BD5B11"/>
    <w:rsid w:val="08BD5B6C"/>
    <w:rsid w:val="08BD5BB8"/>
    <w:rsid w:val="08BD5C0A"/>
    <w:rsid w:val="08BD5C14"/>
    <w:rsid w:val="08BD5DB8"/>
    <w:rsid w:val="08BD5DBD"/>
    <w:rsid w:val="08BD5EDA"/>
    <w:rsid w:val="08BD5FFC"/>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759"/>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0"/>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E0"/>
    <w:rsid w:val="08BE0604"/>
    <w:rsid w:val="08BE0651"/>
    <w:rsid w:val="08BE067F"/>
    <w:rsid w:val="08BE068A"/>
    <w:rsid w:val="08BE06C0"/>
    <w:rsid w:val="08BE06D3"/>
    <w:rsid w:val="08BE06FC"/>
    <w:rsid w:val="08BE07DF"/>
    <w:rsid w:val="08BE081D"/>
    <w:rsid w:val="08BE083A"/>
    <w:rsid w:val="08BE08F2"/>
    <w:rsid w:val="08BE08FA"/>
    <w:rsid w:val="08BE091B"/>
    <w:rsid w:val="08BE0952"/>
    <w:rsid w:val="08BE0A53"/>
    <w:rsid w:val="08BE0B33"/>
    <w:rsid w:val="08BE0B61"/>
    <w:rsid w:val="08BE0B7F"/>
    <w:rsid w:val="08BE0BEB"/>
    <w:rsid w:val="08BE0C09"/>
    <w:rsid w:val="08BE0C27"/>
    <w:rsid w:val="08BE0C6A"/>
    <w:rsid w:val="08BE0D1C"/>
    <w:rsid w:val="08BE0D42"/>
    <w:rsid w:val="08BE0DDA"/>
    <w:rsid w:val="08BE0E1A"/>
    <w:rsid w:val="08BE0E44"/>
    <w:rsid w:val="08BE0EE6"/>
    <w:rsid w:val="08BE0EE9"/>
    <w:rsid w:val="08BE0FF0"/>
    <w:rsid w:val="08BE1069"/>
    <w:rsid w:val="08BE1335"/>
    <w:rsid w:val="08BE141E"/>
    <w:rsid w:val="08BE1450"/>
    <w:rsid w:val="08BE1463"/>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82"/>
    <w:rsid w:val="08BE1F97"/>
    <w:rsid w:val="08BE1FB8"/>
    <w:rsid w:val="08BE1FDF"/>
    <w:rsid w:val="08BE20EB"/>
    <w:rsid w:val="08BE214D"/>
    <w:rsid w:val="08BE21A5"/>
    <w:rsid w:val="08BE21EF"/>
    <w:rsid w:val="08BE22C3"/>
    <w:rsid w:val="08BE2343"/>
    <w:rsid w:val="08BE237E"/>
    <w:rsid w:val="08BE23A1"/>
    <w:rsid w:val="08BE23FE"/>
    <w:rsid w:val="08BE2418"/>
    <w:rsid w:val="08BE2476"/>
    <w:rsid w:val="08BE2599"/>
    <w:rsid w:val="08BE2620"/>
    <w:rsid w:val="08BE26D0"/>
    <w:rsid w:val="08BE26DE"/>
    <w:rsid w:val="08BE2766"/>
    <w:rsid w:val="08BE276F"/>
    <w:rsid w:val="08BE2778"/>
    <w:rsid w:val="08BE28CE"/>
    <w:rsid w:val="08BE28F6"/>
    <w:rsid w:val="08BE298C"/>
    <w:rsid w:val="08BE29A1"/>
    <w:rsid w:val="08BE2A56"/>
    <w:rsid w:val="08BE2B39"/>
    <w:rsid w:val="08BE2B58"/>
    <w:rsid w:val="08BE2BD0"/>
    <w:rsid w:val="08BE2C61"/>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8D0"/>
    <w:rsid w:val="08BE3976"/>
    <w:rsid w:val="08BE3AE4"/>
    <w:rsid w:val="08BE3B3A"/>
    <w:rsid w:val="08BE3B95"/>
    <w:rsid w:val="08BE3BC3"/>
    <w:rsid w:val="08BE3CC9"/>
    <w:rsid w:val="08BE3D52"/>
    <w:rsid w:val="08BE3E37"/>
    <w:rsid w:val="08BE3E6A"/>
    <w:rsid w:val="08BE3F6B"/>
    <w:rsid w:val="08BE3FA9"/>
    <w:rsid w:val="08BE3FD0"/>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9A"/>
    <w:rsid w:val="08BE4611"/>
    <w:rsid w:val="08BE4697"/>
    <w:rsid w:val="08BE46FA"/>
    <w:rsid w:val="08BE4789"/>
    <w:rsid w:val="08BE47D5"/>
    <w:rsid w:val="08BE47D6"/>
    <w:rsid w:val="08BE47FB"/>
    <w:rsid w:val="08BE4905"/>
    <w:rsid w:val="08BE49B9"/>
    <w:rsid w:val="08BE4B06"/>
    <w:rsid w:val="08BE4CB9"/>
    <w:rsid w:val="08BE4DDB"/>
    <w:rsid w:val="08BE4DDC"/>
    <w:rsid w:val="08BE4F54"/>
    <w:rsid w:val="08BE50A1"/>
    <w:rsid w:val="08BE50E5"/>
    <w:rsid w:val="08BE50F9"/>
    <w:rsid w:val="08BE510A"/>
    <w:rsid w:val="08BE5177"/>
    <w:rsid w:val="08BE518E"/>
    <w:rsid w:val="08BE5204"/>
    <w:rsid w:val="08BE5210"/>
    <w:rsid w:val="08BE52BA"/>
    <w:rsid w:val="08BE5307"/>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9B"/>
    <w:rsid w:val="08BE5BED"/>
    <w:rsid w:val="08BE5C37"/>
    <w:rsid w:val="08BE5C65"/>
    <w:rsid w:val="08BE5C96"/>
    <w:rsid w:val="08BE5CC7"/>
    <w:rsid w:val="08BE5D60"/>
    <w:rsid w:val="08BE5E36"/>
    <w:rsid w:val="08BE5E4C"/>
    <w:rsid w:val="08BE5E76"/>
    <w:rsid w:val="08BE5F1C"/>
    <w:rsid w:val="08BE5FDA"/>
    <w:rsid w:val="08BE605B"/>
    <w:rsid w:val="08BE60B3"/>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180"/>
    <w:rsid w:val="08BE727F"/>
    <w:rsid w:val="08BE72FA"/>
    <w:rsid w:val="08BE7325"/>
    <w:rsid w:val="08BE733C"/>
    <w:rsid w:val="08BE73B6"/>
    <w:rsid w:val="08BE7403"/>
    <w:rsid w:val="08BE74E7"/>
    <w:rsid w:val="08BE74F1"/>
    <w:rsid w:val="08BE76B8"/>
    <w:rsid w:val="08BE7774"/>
    <w:rsid w:val="08BE77B5"/>
    <w:rsid w:val="08BE77F7"/>
    <w:rsid w:val="08BE7869"/>
    <w:rsid w:val="08BE7915"/>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E86"/>
    <w:rsid w:val="08BE7FC7"/>
    <w:rsid w:val="08BE7FD0"/>
    <w:rsid w:val="08BE7FDB"/>
    <w:rsid w:val="08BF007C"/>
    <w:rsid w:val="08BF0137"/>
    <w:rsid w:val="08BF014C"/>
    <w:rsid w:val="08BF01AE"/>
    <w:rsid w:val="08BF01B0"/>
    <w:rsid w:val="08BF01F1"/>
    <w:rsid w:val="08BF0216"/>
    <w:rsid w:val="08BF0279"/>
    <w:rsid w:val="08BF0315"/>
    <w:rsid w:val="08BF039F"/>
    <w:rsid w:val="08BF03EC"/>
    <w:rsid w:val="08BF0410"/>
    <w:rsid w:val="08BF0469"/>
    <w:rsid w:val="08BF055E"/>
    <w:rsid w:val="08BF0696"/>
    <w:rsid w:val="08BF07E4"/>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C6"/>
    <w:rsid w:val="08BF10D5"/>
    <w:rsid w:val="08BF1152"/>
    <w:rsid w:val="08BF11F1"/>
    <w:rsid w:val="08BF1361"/>
    <w:rsid w:val="08BF13CE"/>
    <w:rsid w:val="08BF156D"/>
    <w:rsid w:val="08BF158A"/>
    <w:rsid w:val="08BF15D9"/>
    <w:rsid w:val="08BF1609"/>
    <w:rsid w:val="08BF184C"/>
    <w:rsid w:val="08BF1852"/>
    <w:rsid w:val="08BF188C"/>
    <w:rsid w:val="08BF18AE"/>
    <w:rsid w:val="08BF192E"/>
    <w:rsid w:val="08BF1990"/>
    <w:rsid w:val="08BF19DA"/>
    <w:rsid w:val="08BF1A47"/>
    <w:rsid w:val="08BF1B0A"/>
    <w:rsid w:val="08BF1B0B"/>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25"/>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1D"/>
    <w:rsid w:val="08BF2A51"/>
    <w:rsid w:val="08BF2AB8"/>
    <w:rsid w:val="08BF2AE5"/>
    <w:rsid w:val="08BF2AE8"/>
    <w:rsid w:val="08BF2B43"/>
    <w:rsid w:val="08BF2B9F"/>
    <w:rsid w:val="08BF2C58"/>
    <w:rsid w:val="08BF2CE8"/>
    <w:rsid w:val="08BF2E00"/>
    <w:rsid w:val="08BF2E93"/>
    <w:rsid w:val="08BF2FA8"/>
    <w:rsid w:val="08BF3043"/>
    <w:rsid w:val="08BF30B3"/>
    <w:rsid w:val="08BF31F5"/>
    <w:rsid w:val="08BF3230"/>
    <w:rsid w:val="08BF3236"/>
    <w:rsid w:val="08BF3261"/>
    <w:rsid w:val="08BF32DC"/>
    <w:rsid w:val="08BF32EE"/>
    <w:rsid w:val="08BF332E"/>
    <w:rsid w:val="08BF33EB"/>
    <w:rsid w:val="08BF33F6"/>
    <w:rsid w:val="08BF3457"/>
    <w:rsid w:val="08BF3533"/>
    <w:rsid w:val="08BF3567"/>
    <w:rsid w:val="08BF35BD"/>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03"/>
    <w:rsid w:val="08BF401C"/>
    <w:rsid w:val="08BF40BD"/>
    <w:rsid w:val="08BF421B"/>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A0F"/>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58"/>
    <w:rsid w:val="08BF53BA"/>
    <w:rsid w:val="08BF53F8"/>
    <w:rsid w:val="08BF54E1"/>
    <w:rsid w:val="08BF54E8"/>
    <w:rsid w:val="08BF563E"/>
    <w:rsid w:val="08BF565F"/>
    <w:rsid w:val="08BF5694"/>
    <w:rsid w:val="08BF5714"/>
    <w:rsid w:val="08BF57E6"/>
    <w:rsid w:val="08BF58B0"/>
    <w:rsid w:val="08BF5A74"/>
    <w:rsid w:val="08BF5A76"/>
    <w:rsid w:val="08BF5BA6"/>
    <w:rsid w:val="08BF5C03"/>
    <w:rsid w:val="08BF5C0A"/>
    <w:rsid w:val="08BF5C37"/>
    <w:rsid w:val="08BF5C49"/>
    <w:rsid w:val="08BF5DDD"/>
    <w:rsid w:val="08BF5E3E"/>
    <w:rsid w:val="08BF5EF9"/>
    <w:rsid w:val="08BF5F50"/>
    <w:rsid w:val="08BF5F86"/>
    <w:rsid w:val="08BF5F8E"/>
    <w:rsid w:val="08BF5FAA"/>
    <w:rsid w:val="08BF6065"/>
    <w:rsid w:val="08BF6078"/>
    <w:rsid w:val="08BF60A7"/>
    <w:rsid w:val="08BF610B"/>
    <w:rsid w:val="08BF6186"/>
    <w:rsid w:val="08BF61B3"/>
    <w:rsid w:val="08BF61F3"/>
    <w:rsid w:val="08BF6233"/>
    <w:rsid w:val="08BF623F"/>
    <w:rsid w:val="08BF62A2"/>
    <w:rsid w:val="08BF62F5"/>
    <w:rsid w:val="08BF64BE"/>
    <w:rsid w:val="08BF6572"/>
    <w:rsid w:val="08BF65E2"/>
    <w:rsid w:val="08BF67CF"/>
    <w:rsid w:val="08BF6869"/>
    <w:rsid w:val="08BF68EB"/>
    <w:rsid w:val="08BF692B"/>
    <w:rsid w:val="08BF6973"/>
    <w:rsid w:val="08BF6986"/>
    <w:rsid w:val="08BF69D3"/>
    <w:rsid w:val="08BF6A21"/>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93"/>
    <w:rsid w:val="08BF73AF"/>
    <w:rsid w:val="08BF73BE"/>
    <w:rsid w:val="08BF73F0"/>
    <w:rsid w:val="08BF7444"/>
    <w:rsid w:val="08BF761F"/>
    <w:rsid w:val="08BF7672"/>
    <w:rsid w:val="08BF768A"/>
    <w:rsid w:val="08BF76AE"/>
    <w:rsid w:val="08BF76AF"/>
    <w:rsid w:val="08BF76E5"/>
    <w:rsid w:val="08BF7739"/>
    <w:rsid w:val="08BF7800"/>
    <w:rsid w:val="08BF7846"/>
    <w:rsid w:val="08BF789E"/>
    <w:rsid w:val="08BF793F"/>
    <w:rsid w:val="08BF799E"/>
    <w:rsid w:val="08BF79C5"/>
    <w:rsid w:val="08BF7A34"/>
    <w:rsid w:val="08BF7AD7"/>
    <w:rsid w:val="08BF7AEF"/>
    <w:rsid w:val="08BF7BC0"/>
    <w:rsid w:val="08BF7CA7"/>
    <w:rsid w:val="08BF7CE0"/>
    <w:rsid w:val="08BF7D3C"/>
    <w:rsid w:val="08BF7D89"/>
    <w:rsid w:val="08BF7DAA"/>
    <w:rsid w:val="08BF7E0B"/>
    <w:rsid w:val="08BF7E3E"/>
    <w:rsid w:val="08BF7F5F"/>
    <w:rsid w:val="08BF7F90"/>
    <w:rsid w:val="08C00056"/>
    <w:rsid w:val="08C0009C"/>
    <w:rsid w:val="08C00141"/>
    <w:rsid w:val="08C001A4"/>
    <w:rsid w:val="08C001B5"/>
    <w:rsid w:val="08C001C3"/>
    <w:rsid w:val="08C001D2"/>
    <w:rsid w:val="08C00295"/>
    <w:rsid w:val="08C0047B"/>
    <w:rsid w:val="08C004BE"/>
    <w:rsid w:val="08C004E4"/>
    <w:rsid w:val="08C0056D"/>
    <w:rsid w:val="08C005CC"/>
    <w:rsid w:val="08C0060F"/>
    <w:rsid w:val="08C0064B"/>
    <w:rsid w:val="08C0081D"/>
    <w:rsid w:val="08C008CE"/>
    <w:rsid w:val="08C008EC"/>
    <w:rsid w:val="08C009BF"/>
    <w:rsid w:val="08C00A3C"/>
    <w:rsid w:val="08C00A69"/>
    <w:rsid w:val="08C00AA5"/>
    <w:rsid w:val="08C00BA0"/>
    <w:rsid w:val="08C00C2C"/>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64"/>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8B1"/>
    <w:rsid w:val="08C02944"/>
    <w:rsid w:val="08C029FC"/>
    <w:rsid w:val="08C02B11"/>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14"/>
    <w:rsid w:val="08C04155"/>
    <w:rsid w:val="08C04192"/>
    <w:rsid w:val="08C0424A"/>
    <w:rsid w:val="08C04272"/>
    <w:rsid w:val="08C04276"/>
    <w:rsid w:val="08C042DC"/>
    <w:rsid w:val="08C04309"/>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9B1"/>
    <w:rsid w:val="08C04A8F"/>
    <w:rsid w:val="08C04AD1"/>
    <w:rsid w:val="08C04B4F"/>
    <w:rsid w:val="08C04B69"/>
    <w:rsid w:val="08C04C63"/>
    <w:rsid w:val="08C04D56"/>
    <w:rsid w:val="08C04D9A"/>
    <w:rsid w:val="08C04DCA"/>
    <w:rsid w:val="08C04E02"/>
    <w:rsid w:val="08C04F43"/>
    <w:rsid w:val="08C050E7"/>
    <w:rsid w:val="08C050FC"/>
    <w:rsid w:val="08C051C9"/>
    <w:rsid w:val="08C05246"/>
    <w:rsid w:val="08C052C6"/>
    <w:rsid w:val="08C052E8"/>
    <w:rsid w:val="08C0536E"/>
    <w:rsid w:val="08C0541D"/>
    <w:rsid w:val="08C05451"/>
    <w:rsid w:val="08C054BE"/>
    <w:rsid w:val="08C054CA"/>
    <w:rsid w:val="08C054D6"/>
    <w:rsid w:val="08C054E2"/>
    <w:rsid w:val="08C05534"/>
    <w:rsid w:val="08C055BA"/>
    <w:rsid w:val="08C055E9"/>
    <w:rsid w:val="08C05600"/>
    <w:rsid w:val="08C0572B"/>
    <w:rsid w:val="08C05763"/>
    <w:rsid w:val="08C057C1"/>
    <w:rsid w:val="08C05824"/>
    <w:rsid w:val="08C0584B"/>
    <w:rsid w:val="08C0595B"/>
    <w:rsid w:val="08C059BB"/>
    <w:rsid w:val="08C05A7B"/>
    <w:rsid w:val="08C05CE4"/>
    <w:rsid w:val="08C05D09"/>
    <w:rsid w:val="08C05D1A"/>
    <w:rsid w:val="08C05D9D"/>
    <w:rsid w:val="08C05EF3"/>
    <w:rsid w:val="08C06040"/>
    <w:rsid w:val="08C06095"/>
    <w:rsid w:val="08C060E3"/>
    <w:rsid w:val="08C06128"/>
    <w:rsid w:val="08C06165"/>
    <w:rsid w:val="08C061B6"/>
    <w:rsid w:val="08C061E5"/>
    <w:rsid w:val="08C061F7"/>
    <w:rsid w:val="08C06263"/>
    <w:rsid w:val="08C06274"/>
    <w:rsid w:val="08C0627C"/>
    <w:rsid w:val="08C062F9"/>
    <w:rsid w:val="08C0637E"/>
    <w:rsid w:val="08C06433"/>
    <w:rsid w:val="08C06598"/>
    <w:rsid w:val="08C065EB"/>
    <w:rsid w:val="08C06601"/>
    <w:rsid w:val="08C06650"/>
    <w:rsid w:val="08C066F4"/>
    <w:rsid w:val="08C0676D"/>
    <w:rsid w:val="08C06788"/>
    <w:rsid w:val="08C0678F"/>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4ED"/>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E38"/>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583"/>
    <w:rsid w:val="08C115D2"/>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0FB"/>
    <w:rsid w:val="08C12174"/>
    <w:rsid w:val="08C121E2"/>
    <w:rsid w:val="08C12203"/>
    <w:rsid w:val="08C1222D"/>
    <w:rsid w:val="08C1225D"/>
    <w:rsid w:val="08C12269"/>
    <w:rsid w:val="08C12300"/>
    <w:rsid w:val="08C1244C"/>
    <w:rsid w:val="08C1248D"/>
    <w:rsid w:val="08C12491"/>
    <w:rsid w:val="08C124F7"/>
    <w:rsid w:val="08C125C8"/>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92"/>
    <w:rsid w:val="08C139AB"/>
    <w:rsid w:val="08C139D7"/>
    <w:rsid w:val="08C13A70"/>
    <w:rsid w:val="08C13A8E"/>
    <w:rsid w:val="08C13A95"/>
    <w:rsid w:val="08C13B77"/>
    <w:rsid w:val="08C13BFD"/>
    <w:rsid w:val="08C13CFD"/>
    <w:rsid w:val="08C13D06"/>
    <w:rsid w:val="08C13E5B"/>
    <w:rsid w:val="08C13EA1"/>
    <w:rsid w:val="08C13EE3"/>
    <w:rsid w:val="08C13F6D"/>
    <w:rsid w:val="08C14030"/>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96"/>
    <w:rsid w:val="08C14DBE"/>
    <w:rsid w:val="08C15081"/>
    <w:rsid w:val="08C15085"/>
    <w:rsid w:val="08C150CA"/>
    <w:rsid w:val="08C1511B"/>
    <w:rsid w:val="08C15147"/>
    <w:rsid w:val="08C15167"/>
    <w:rsid w:val="08C151F0"/>
    <w:rsid w:val="08C1527E"/>
    <w:rsid w:val="08C15397"/>
    <w:rsid w:val="08C153A0"/>
    <w:rsid w:val="08C153B0"/>
    <w:rsid w:val="08C153CB"/>
    <w:rsid w:val="08C1547B"/>
    <w:rsid w:val="08C15480"/>
    <w:rsid w:val="08C154D7"/>
    <w:rsid w:val="08C1557B"/>
    <w:rsid w:val="08C155B0"/>
    <w:rsid w:val="08C15634"/>
    <w:rsid w:val="08C156D8"/>
    <w:rsid w:val="08C156EA"/>
    <w:rsid w:val="08C1571C"/>
    <w:rsid w:val="08C15729"/>
    <w:rsid w:val="08C1579C"/>
    <w:rsid w:val="08C157E4"/>
    <w:rsid w:val="08C157E9"/>
    <w:rsid w:val="08C15840"/>
    <w:rsid w:val="08C15890"/>
    <w:rsid w:val="08C15980"/>
    <w:rsid w:val="08C1599E"/>
    <w:rsid w:val="08C15A12"/>
    <w:rsid w:val="08C15A26"/>
    <w:rsid w:val="08C15AE9"/>
    <w:rsid w:val="08C15B1F"/>
    <w:rsid w:val="08C15B34"/>
    <w:rsid w:val="08C15B3C"/>
    <w:rsid w:val="08C15B4B"/>
    <w:rsid w:val="08C15B7F"/>
    <w:rsid w:val="08C15BE5"/>
    <w:rsid w:val="08C15C8A"/>
    <w:rsid w:val="08C15CD1"/>
    <w:rsid w:val="08C15D1A"/>
    <w:rsid w:val="08C15DFB"/>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90"/>
    <w:rsid w:val="08C168B1"/>
    <w:rsid w:val="08C168C0"/>
    <w:rsid w:val="08C168F6"/>
    <w:rsid w:val="08C169C9"/>
    <w:rsid w:val="08C169CD"/>
    <w:rsid w:val="08C16A33"/>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57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9"/>
    <w:rsid w:val="08C17D3C"/>
    <w:rsid w:val="08C17E08"/>
    <w:rsid w:val="08C17E4B"/>
    <w:rsid w:val="08C17E5B"/>
    <w:rsid w:val="08C17ECD"/>
    <w:rsid w:val="08C17ED7"/>
    <w:rsid w:val="08C17EF4"/>
    <w:rsid w:val="08C17EFA"/>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BF4"/>
    <w:rsid w:val="08C20C11"/>
    <w:rsid w:val="08C20CB9"/>
    <w:rsid w:val="08C20D0B"/>
    <w:rsid w:val="08C20F23"/>
    <w:rsid w:val="08C20F2F"/>
    <w:rsid w:val="08C20F4B"/>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E6"/>
    <w:rsid w:val="08C21A9F"/>
    <w:rsid w:val="08C21B09"/>
    <w:rsid w:val="08C21BB3"/>
    <w:rsid w:val="08C21CAE"/>
    <w:rsid w:val="08C21DE5"/>
    <w:rsid w:val="08C21E0A"/>
    <w:rsid w:val="08C21E17"/>
    <w:rsid w:val="08C21E94"/>
    <w:rsid w:val="08C21EA9"/>
    <w:rsid w:val="08C21F07"/>
    <w:rsid w:val="08C21F3E"/>
    <w:rsid w:val="08C21F66"/>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D"/>
    <w:rsid w:val="08C2276B"/>
    <w:rsid w:val="08C22838"/>
    <w:rsid w:val="08C228E5"/>
    <w:rsid w:val="08C22924"/>
    <w:rsid w:val="08C2296D"/>
    <w:rsid w:val="08C22B55"/>
    <w:rsid w:val="08C22C00"/>
    <w:rsid w:val="08C22C50"/>
    <w:rsid w:val="08C22C7C"/>
    <w:rsid w:val="08C22DD9"/>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8"/>
    <w:rsid w:val="08C236E7"/>
    <w:rsid w:val="08C23700"/>
    <w:rsid w:val="08C2375C"/>
    <w:rsid w:val="08C238A4"/>
    <w:rsid w:val="08C238A9"/>
    <w:rsid w:val="08C238B2"/>
    <w:rsid w:val="08C239C9"/>
    <w:rsid w:val="08C23A5F"/>
    <w:rsid w:val="08C23A77"/>
    <w:rsid w:val="08C23B69"/>
    <w:rsid w:val="08C23BAB"/>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14"/>
    <w:rsid w:val="08C2424E"/>
    <w:rsid w:val="08C2430E"/>
    <w:rsid w:val="08C24589"/>
    <w:rsid w:val="08C245E0"/>
    <w:rsid w:val="08C246EC"/>
    <w:rsid w:val="08C2476F"/>
    <w:rsid w:val="08C24783"/>
    <w:rsid w:val="08C247D6"/>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4D"/>
    <w:rsid w:val="08C25F5B"/>
    <w:rsid w:val="08C25FC4"/>
    <w:rsid w:val="08C2605F"/>
    <w:rsid w:val="08C260E9"/>
    <w:rsid w:val="08C26106"/>
    <w:rsid w:val="08C26235"/>
    <w:rsid w:val="08C26252"/>
    <w:rsid w:val="08C26288"/>
    <w:rsid w:val="08C262FF"/>
    <w:rsid w:val="08C26302"/>
    <w:rsid w:val="08C2633E"/>
    <w:rsid w:val="08C26378"/>
    <w:rsid w:val="08C263C3"/>
    <w:rsid w:val="08C26473"/>
    <w:rsid w:val="08C2647D"/>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AEF"/>
    <w:rsid w:val="08C26BBC"/>
    <w:rsid w:val="08C26E1A"/>
    <w:rsid w:val="08C26E75"/>
    <w:rsid w:val="08C26EFA"/>
    <w:rsid w:val="08C26F82"/>
    <w:rsid w:val="08C270FB"/>
    <w:rsid w:val="08C2713E"/>
    <w:rsid w:val="08C271DE"/>
    <w:rsid w:val="08C273BF"/>
    <w:rsid w:val="08C273EE"/>
    <w:rsid w:val="08C27494"/>
    <w:rsid w:val="08C2752E"/>
    <w:rsid w:val="08C275D2"/>
    <w:rsid w:val="08C275FF"/>
    <w:rsid w:val="08C27609"/>
    <w:rsid w:val="08C276C4"/>
    <w:rsid w:val="08C2771E"/>
    <w:rsid w:val="08C2773A"/>
    <w:rsid w:val="08C27878"/>
    <w:rsid w:val="08C2789D"/>
    <w:rsid w:val="08C278A4"/>
    <w:rsid w:val="08C27935"/>
    <w:rsid w:val="08C27A1E"/>
    <w:rsid w:val="08C27AC4"/>
    <w:rsid w:val="08C27BF8"/>
    <w:rsid w:val="08C27CA8"/>
    <w:rsid w:val="08C27CC0"/>
    <w:rsid w:val="08C27DB0"/>
    <w:rsid w:val="08C27E77"/>
    <w:rsid w:val="08C27F2E"/>
    <w:rsid w:val="08C27F4B"/>
    <w:rsid w:val="08C27FB2"/>
    <w:rsid w:val="08C27FBA"/>
    <w:rsid w:val="08C27FDD"/>
    <w:rsid w:val="08C27FEE"/>
    <w:rsid w:val="08C3001F"/>
    <w:rsid w:val="08C300B4"/>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0FC6"/>
    <w:rsid w:val="08C310CF"/>
    <w:rsid w:val="08C3113F"/>
    <w:rsid w:val="08C31140"/>
    <w:rsid w:val="08C312E5"/>
    <w:rsid w:val="08C313D1"/>
    <w:rsid w:val="08C313DB"/>
    <w:rsid w:val="08C3141B"/>
    <w:rsid w:val="08C3146A"/>
    <w:rsid w:val="08C314A4"/>
    <w:rsid w:val="08C31609"/>
    <w:rsid w:val="08C31638"/>
    <w:rsid w:val="08C31664"/>
    <w:rsid w:val="08C3166B"/>
    <w:rsid w:val="08C316B1"/>
    <w:rsid w:val="08C316F1"/>
    <w:rsid w:val="08C31804"/>
    <w:rsid w:val="08C31814"/>
    <w:rsid w:val="08C318D3"/>
    <w:rsid w:val="08C318F0"/>
    <w:rsid w:val="08C3190B"/>
    <w:rsid w:val="08C31A76"/>
    <w:rsid w:val="08C31AB2"/>
    <w:rsid w:val="08C31AEE"/>
    <w:rsid w:val="08C31AEF"/>
    <w:rsid w:val="08C31AF5"/>
    <w:rsid w:val="08C31B9C"/>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D9"/>
    <w:rsid w:val="08C3286B"/>
    <w:rsid w:val="08C328AC"/>
    <w:rsid w:val="08C3298D"/>
    <w:rsid w:val="08C32A2C"/>
    <w:rsid w:val="08C32A3F"/>
    <w:rsid w:val="08C32A81"/>
    <w:rsid w:val="08C32C36"/>
    <w:rsid w:val="08C32CF6"/>
    <w:rsid w:val="08C32D3B"/>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B99"/>
    <w:rsid w:val="08C34BC7"/>
    <w:rsid w:val="08C34C7F"/>
    <w:rsid w:val="08C34D07"/>
    <w:rsid w:val="08C34D40"/>
    <w:rsid w:val="08C34D51"/>
    <w:rsid w:val="08C34DD2"/>
    <w:rsid w:val="08C34EAC"/>
    <w:rsid w:val="08C34EB7"/>
    <w:rsid w:val="08C34F35"/>
    <w:rsid w:val="08C34F70"/>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9F4"/>
    <w:rsid w:val="08C35A36"/>
    <w:rsid w:val="08C35A5C"/>
    <w:rsid w:val="08C35ADA"/>
    <w:rsid w:val="08C35B47"/>
    <w:rsid w:val="08C35B65"/>
    <w:rsid w:val="08C35BF8"/>
    <w:rsid w:val="08C35CE5"/>
    <w:rsid w:val="08C35D41"/>
    <w:rsid w:val="08C35DAB"/>
    <w:rsid w:val="08C35E18"/>
    <w:rsid w:val="08C35E4A"/>
    <w:rsid w:val="08C35F62"/>
    <w:rsid w:val="08C35F7B"/>
    <w:rsid w:val="08C35FCF"/>
    <w:rsid w:val="08C35FDE"/>
    <w:rsid w:val="08C3604C"/>
    <w:rsid w:val="08C360E9"/>
    <w:rsid w:val="08C3610F"/>
    <w:rsid w:val="08C36132"/>
    <w:rsid w:val="08C361FE"/>
    <w:rsid w:val="08C3621D"/>
    <w:rsid w:val="08C36225"/>
    <w:rsid w:val="08C36347"/>
    <w:rsid w:val="08C3634A"/>
    <w:rsid w:val="08C36474"/>
    <w:rsid w:val="08C3659D"/>
    <w:rsid w:val="08C365A6"/>
    <w:rsid w:val="08C365E6"/>
    <w:rsid w:val="08C36636"/>
    <w:rsid w:val="08C36651"/>
    <w:rsid w:val="08C36674"/>
    <w:rsid w:val="08C366AA"/>
    <w:rsid w:val="08C367C2"/>
    <w:rsid w:val="08C3687B"/>
    <w:rsid w:val="08C36898"/>
    <w:rsid w:val="08C368DD"/>
    <w:rsid w:val="08C36909"/>
    <w:rsid w:val="08C36920"/>
    <w:rsid w:val="08C36921"/>
    <w:rsid w:val="08C369CC"/>
    <w:rsid w:val="08C36BDD"/>
    <w:rsid w:val="08C36BF6"/>
    <w:rsid w:val="08C36C18"/>
    <w:rsid w:val="08C36C3C"/>
    <w:rsid w:val="08C36C68"/>
    <w:rsid w:val="08C36C6B"/>
    <w:rsid w:val="08C36C82"/>
    <w:rsid w:val="08C36D49"/>
    <w:rsid w:val="08C36D70"/>
    <w:rsid w:val="08C36E58"/>
    <w:rsid w:val="08C36E7B"/>
    <w:rsid w:val="08C36EC6"/>
    <w:rsid w:val="08C36F42"/>
    <w:rsid w:val="08C36FA7"/>
    <w:rsid w:val="08C3702E"/>
    <w:rsid w:val="08C3710C"/>
    <w:rsid w:val="08C37288"/>
    <w:rsid w:val="08C3732C"/>
    <w:rsid w:val="08C373E4"/>
    <w:rsid w:val="08C373E5"/>
    <w:rsid w:val="08C373E8"/>
    <w:rsid w:val="08C37418"/>
    <w:rsid w:val="08C37468"/>
    <w:rsid w:val="08C374BB"/>
    <w:rsid w:val="08C37664"/>
    <w:rsid w:val="08C37778"/>
    <w:rsid w:val="08C3799B"/>
    <w:rsid w:val="08C37A18"/>
    <w:rsid w:val="08C37A4B"/>
    <w:rsid w:val="08C37A79"/>
    <w:rsid w:val="08C37AC8"/>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20"/>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2D2"/>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BAB"/>
    <w:rsid w:val="08C42C36"/>
    <w:rsid w:val="08C42DD2"/>
    <w:rsid w:val="08C42F12"/>
    <w:rsid w:val="08C42F5A"/>
    <w:rsid w:val="08C42F87"/>
    <w:rsid w:val="08C42F95"/>
    <w:rsid w:val="08C4305D"/>
    <w:rsid w:val="08C430D2"/>
    <w:rsid w:val="08C43116"/>
    <w:rsid w:val="08C4313C"/>
    <w:rsid w:val="08C431C9"/>
    <w:rsid w:val="08C431E2"/>
    <w:rsid w:val="08C4354A"/>
    <w:rsid w:val="08C4372D"/>
    <w:rsid w:val="08C43745"/>
    <w:rsid w:val="08C43816"/>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382"/>
    <w:rsid w:val="08C443EE"/>
    <w:rsid w:val="08C44490"/>
    <w:rsid w:val="08C444AA"/>
    <w:rsid w:val="08C444DE"/>
    <w:rsid w:val="08C44500"/>
    <w:rsid w:val="08C445F1"/>
    <w:rsid w:val="08C44604"/>
    <w:rsid w:val="08C4490F"/>
    <w:rsid w:val="08C4495F"/>
    <w:rsid w:val="08C449BA"/>
    <w:rsid w:val="08C449F3"/>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D2"/>
    <w:rsid w:val="08C450FD"/>
    <w:rsid w:val="08C45152"/>
    <w:rsid w:val="08C45161"/>
    <w:rsid w:val="08C451B0"/>
    <w:rsid w:val="08C451E0"/>
    <w:rsid w:val="08C452A7"/>
    <w:rsid w:val="08C452BB"/>
    <w:rsid w:val="08C4536F"/>
    <w:rsid w:val="08C45376"/>
    <w:rsid w:val="08C4541D"/>
    <w:rsid w:val="08C45426"/>
    <w:rsid w:val="08C45467"/>
    <w:rsid w:val="08C454BD"/>
    <w:rsid w:val="08C45677"/>
    <w:rsid w:val="08C456AB"/>
    <w:rsid w:val="08C456C3"/>
    <w:rsid w:val="08C458DD"/>
    <w:rsid w:val="08C458F9"/>
    <w:rsid w:val="08C45911"/>
    <w:rsid w:val="08C4594D"/>
    <w:rsid w:val="08C45A17"/>
    <w:rsid w:val="08C45BFE"/>
    <w:rsid w:val="08C45CB8"/>
    <w:rsid w:val="08C45D67"/>
    <w:rsid w:val="08C45DA5"/>
    <w:rsid w:val="08C45DB7"/>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25"/>
    <w:rsid w:val="08C46E71"/>
    <w:rsid w:val="08C46EEE"/>
    <w:rsid w:val="08C46EF5"/>
    <w:rsid w:val="08C46F48"/>
    <w:rsid w:val="08C46F74"/>
    <w:rsid w:val="08C46F8C"/>
    <w:rsid w:val="08C46FED"/>
    <w:rsid w:val="08C4701B"/>
    <w:rsid w:val="08C4702D"/>
    <w:rsid w:val="08C47120"/>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458"/>
    <w:rsid w:val="08C5046A"/>
    <w:rsid w:val="08C504BA"/>
    <w:rsid w:val="08C504C4"/>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8C9"/>
    <w:rsid w:val="08C519E5"/>
    <w:rsid w:val="08C51A89"/>
    <w:rsid w:val="08C51ACB"/>
    <w:rsid w:val="08C51BB0"/>
    <w:rsid w:val="08C51BB4"/>
    <w:rsid w:val="08C51BCD"/>
    <w:rsid w:val="08C51BCE"/>
    <w:rsid w:val="08C51BF1"/>
    <w:rsid w:val="08C51C0A"/>
    <w:rsid w:val="08C51C94"/>
    <w:rsid w:val="08C51D57"/>
    <w:rsid w:val="08C51D9C"/>
    <w:rsid w:val="08C51F80"/>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0C"/>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EA"/>
    <w:rsid w:val="08C53AEC"/>
    <w:rsid w:val="08C53BFC"/>
    <w:rsid w:val="08C53C88"/>
    <w:rsid w:val="08C53CBD"/>
    <w:rsid w:val="08C53CFB"/>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F"/>
    <w:rsid w:val="08C54516"/>
    <w:rsid w:val="08C54553"/>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5C"/>
    <w:rsid w:val="08C54C98"/>
    <w:rsid w:val="08C54C9D"/>
    <w:rsid w:val="08C54D56"/>
    <w:rsid w:val="08C54DC9"/>
    <w:rsid w:val="08C54DE3"/>
    <w:rsid w:val="08C54DF2"/>
    <w:rsid w:val="08C54E43"/>
    <w:rsid w:val="08C54EF0"/>
    <w:rsid w:val="08C55247"/>
    <w:rsid w:val="08C552B8"/>
    <w:rsid w:val="08C5533B"/>
    <w:rsid w:val="08C5537B"/>
    <w:rsid w:val="08C5540C"/>
    <w:rsid w:val="08C554EC"/>
    <w:rsid w:val="08C55514"/>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02"/>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7D"/>
    <w:rsid w:val="08C57E9F"/>
    <w:rsid w:val="08C57EE1"/>
    <w:rsid w:val="08C57F2C"/>
    <w:rsid w:val="08C57F78"/>
    <w:rsid w:val="08C60092"/>
    <w:rsid w:val="08C600F7"/>
    <w:rsid w:val="08C6017A"/>
    <w:rsid w:val="08C60242"/>
    <w:rsid w:val="08C6032F"/>
    <w:rsid w:val="08C6036C"/>
    <w:rsid w:val="08C603F7"/>
    <w:rsid w:val="08C604E2"/>
    <w:rsid w:val="08C60522"/>
    <w:rsid w:val="08C6067D"/>
    <w:rsid w:val="08C606B7"/>
    <w:rsid w:val="08C60784"/>
    <w:rsid w:val="08C60790"/>
    <w:rsid w:val="08C60797"/>
    <w:rsid w:val="08C60870"/>
    <w:rsid w:val="08C60897"/>
    <w:rsid w:val="08C6098D"/>
    <w:rsid w:val="08C60B0A"/>
    <w:rsid w:val="08C60B38"/>
    <w:rsid w:val="08C60B40"/>
    <w:rsid w:val="08C60BED"/>
    <w:rsid w:val="08C60C3C"/>
    <w:rsid w:val="08C60CEF"/>
    <w:rsid w:val="08C60DD9"/>
    <w:rsid w:val="08C60E02"/>
    <w:rsid w:val="08C60E10"/>
    <w:rsid w:val="08C60EB5"/>
    <w:rsid w:val="08C61068"/>
    <w:rsid w:val="08C610C0"/>
    <w:rsid w:val="08C610CF"/>
    <w:rsid w:val="08C61170"/>
    <w:rsid w:val="08C61214"/>
    <w:rsid w:val="08C612F3"/>
    <w:rsid w:val="08C612F6"/>
    <w:rsid w:val="08C61312"/>
    <w:rsid w:val="08C6134E"/>
    <w:rsid w:val="08C61392"/>
    <w:rsid w:val="08C613D7"/>
    <w:rsid w:val="08C6148D"/>
    <w:rsid w:val="08C614E5"/>
    <w:rsid w:val="08C61523"/>
    <w:rsid w:val="08C61571"/>
    <w:rsid w:val="08C61576"/>
    <w:rsid w:val="08C615A0"/>
    <w:rsid w:val="08C61637"/>
    <w:rsid w:val="08C61697"/>
    <w:rsid w:val="08C617DE"/>
    <w:rsid w:val="08C61889"/>
    <w:rsid w:val="08C61953"/>
    <w:rsid w:val="08C61A16"/>
    <w:rsid w:val="08C61A17"/>
    <w:rsid w:val="08C61ADC"/>
    <w:rsid w:val="08C61D16"/>
    <w:rsid w:val="08C61D3F"/>
    <w:rsid w:val="08C61D82"/>
    <w:rsid w:val="08C61E46"/>
    <w:rsid w:val="08C61E5C"/>
    <w:rsid w:val="08C61FED"/>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B5"/>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AF"/>
    <w:rsid w:val="08C64668"/>
    <w:rsid w:val="08C6471B"/>
    <w:rsid w:val="08C647CE"/>
    <w:rsid w:val="08C647CF"/>
    <w:rsid w:val="08C647E3"/>
    <w:rsid w:val="08C648DF"/>
    <w:rsid w:val="08C648F2"/>
    <w:rsid w:val="08C648F4"/>
    <w:rsid w:val="08C64A70"/>
    <w:rsid w:val="08C64C04"/>
    <w:rsid w:val="08C64C1D"/>
    <w:rsid w:val="08C64CFE"/>
    <w:rsid w:val="08C64D66"/>
    <w:rsid w:val="08C64DB8"/>
    <w:rsid w:val="08C64DDF"/>
    <w:rsid w:val="08C64E69"/>
    <w:rsid w:val="08C64E76"/>
    <w:rsid w:val="08C64FD8"/>
    <w:rsid w:val="08C65044"/>
    <w:rsid w:val="08C650CC"/>
    <w:rsid w:val="08C6526F"/>
    <w:rsid w:val="08C652B6"/>
    <w:rsid w:val="08C653A0"/>
    <w:rsid w:val="08C65413"/>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BFD"/>
    <w:rsid w:val="08C65C0E"/>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BE"/>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27"/>
    <w:rsid w:val="08C7189D"/>
    <w:rsid w:val="08C718C3"/>
    <w:rsid w:val="08C718FD"/>
    <w:rsid w:val="08C71A9B"/>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892"/>
    <w:rsid w:val="08C728B6"/>
    <w:rsid w:val="08C728C7"/>
    <w:rsid w:val="08C728D8"/>
    <w:rsid w:val="08C728EA"/>
    <w:rsid w:val="08C72962"/>
    <w:rsid w:val="08C72A71"/>
    <w:rsid w:val="08C72A8A"/>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0F"/>
    <w:rsid w:val="08C73181"/>
    <w:rsid w:val="08C731D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BC"/>
    <w:rsid w:val="08C73ACC"/>
    <w:rsid w:val="08C73AFF"/>
    <w:rsid w:val="08C73B13"/>
    <w:rsid w:val="08C73B95"/>
    <w:rsid w:val="08C73BBE"/>
    <w:rsid w:val="08C73BE7"/>
    <w:rsid w:val="08C73BEF"/>
    <w:rsid w:val="08C73BF3"/>
    <w:rsid w:val="08C73C8A"/>
    <w:rsid w:val="08C73E14"/>
    <w:rsid w:val="08C73E51"/>
    <w:rsid w:val="08C73F36"/>
    <w:rsid w:val="08C74001"/>
    <w:rsid w:val="08C74139"/>
    <w:rsid w:val="08C7414D"/>
    <w:rsid w:val="08C7416B"/>
    <w:rsid w:val="08C74175"/>
    <w:rsid w:val="08C74273"/>
    <w:rsid w:val="08C7443D"/>
    <w:rsid w:val="08C74473"/>
    <w:rsid w:val="08C744BD"/>
    <w:rsid w:val="08C74554"/>
    <w:rsid w:val="08C74595"/>
    <w:rsid w:val="08C745B3"/>
    <w:rsid w:val="08C745EC"/>
    <w:rsid w:val="08C746D4"/>
    <w:rsid w:val="08C74720"/>
    <w:rsid w:val="08C74740"/>
    <w:rsid w:val="08C74765"/>
    <w:rsid w:val="08C747A1"/>
    <w:rsid w:val="08C74816"/>
    <w:rsid w:val="08C7488D"/>
    <w:rsid w:val="08C748AF"/>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12"/>
    <w:rsid w:val="08C75DC1"/>
    <w:rsid w:val="08C75E23"/>
    <w:rsid w:val="08C75E40"/>
    <w:rsid w:val="08C75E41"/>
    <w:rsid w:val="08C75E4F"/>
    <w:rsid w:val="08C75E92"/>
    <w:rsid w:val="08C75FA8"/>
    <w:rsid w:val="08C75FF3"/>
    <w:rsid w:val="08C761A7"/>
    <w:rsid w:val="08C76265"/>
    <w:rsid w:val="08C7626A"/>
    <w:rsid w:val="08C76282"/>
    <w:rsid w:val="08C762EC"/>
    <w:rsid w:val="08C765AA"/>
    <w:rsid w:val="08C766A6"/>
    <w:rsid w:val="08C76734"/>
    <w:rsid w:val="08C76743"/>
    <w:rsid w:val="08C76891"/>
    <w:rsid w:val="08C7696D"/>
    <w:rsid w:val="08C769BD"/>
    <w:rsid w:val="08C76A5D"/>
    <w:rsid w:val="08C76A6D"/>
    <w:rsid w:val="08C76A8F"/>
    <w:rsid w:val="08C76AA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A0"/>
    <w:rsid w:val="08C776C9"/>
    <w:rsid w:val="08C776CC"/>
    <w:rsid w:val="08C778D8"/>
    <w:rsid w:val="08C77970"/>
    <w:rsid w:val="08C779C9"/>
    <w:rsid w:val="08C779EC"/>
    <w:rsid w:val="08C77A1E"/>
    <w:rsid w:val="08C77C0F"/>
    <w:rsid w:val="08C77C2F"/>
    <w:rsid w:val="08C77C49"/>
    <w:rsid w:val="08C77C9A"/>
    <w:rsid w:val="08C77DF6"/>
    <w:rsid w:val="08C77E2F"/>
    <w:rsid w:val="08C77F8A"/>
    <w:rsid w:val="08C800FB"/>
    <w:rsid w:val="08C801BB"/>
    <w:rsid w:val="08C80213"/>
    <w:rsid w:val="08C802B1"/>
    <w:rsid w:val="08C8037A"/>
    <w:rsid w:val="08C80383"/>
    <w:rsid w:val="08C80392"/>
    <w:rsid w:val="08C80413"/>
    <w:rsid w:val="08C80415"/>
    <w:rsid w:val="08C8043A"/>
    <w:rsid w:val="08C80446"/>
    <w:rsid w:val="08C8047A"/>
    <w:rsid w:val="08C80510"/>
    <w:rsid w:val="08C80622"/>
    <w:rsid w:val="08C806DE"/>
    <w:rsid w:val="08C806E3"/>
    <w:rsid w:val="08C8071D"/>
    <w:rsid w:val="08C807F8"/>
    <w:rsid w:val="08C80877"/>
    <w:rsid w:val="08C80997"/>
    <w:rsid w:val="08C809AD"/>
    <w:rsid w:val="08C809CD"/>
    <w:rsid w:val="08C809E6"/>
    <w:rsid w:val="08C80AC7"/>
    <w:rsid w:val="08C80BD5"/>
    <w:rsid w:val="08C80CD9"/>
    <w:rsid w:val="08C80D45"/>
    <w:rsid w:val="08C80E06"/>
    <w:rsid w:val="08C80E3C"/>
    <w:rsid w:val="08C80E6B"/>
    <w:rsid w:val="08C80F1F"/>
    <w:rsid w:val="08C80FB6"/>
    <w:rsid w:val="08C80FC2"/>
    <w:rsid w:val="08C81003"/>
    <w:rsid w:val="08C81088"/>
    <w:rsid w:val="08C810A6"/>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9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72"/>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681"/>
    <w:rsid w:val="08C8374E"/>
    <w:rsid w:val="08C8377B"/>
    <w:rsid w:val="08C83793"/>
    <w:rsid w:val="08C838CC"/>
    <w:rsid w:val="08C838F9"/>
    <w:rsid w:val="08C83971"/>
    <w:rsid w:val="08C83996"/>
    <w:rsid w:val="08C839BE"/>
    <w:rsid w:val="08C839E5"/>
    <w:rsid w:val="08C83A99"/>
    <w:rsid w:val="08C83DE0"/>
    <w:rsid w:val="08C83DE8"/>
    <w:rsid w:val="08C83FAF"/>
    <w:rsid w:val="08C83FBC"/>
    <w:rsid w:val="08C83FFB"/>
    <w:rsid w:val="08C84013"/>
    <w:rsid w:val="08C840AB"/>
    <w:rsid w:val="08C84132"/>
    <w:rsid w:val="08C84169"/>
    <w:rsid w:val="08C84170"/>
    <w:rsid w:val="08C84191"/>
    <w:rsid w:val="08C843AB"/>
    <w:rsid w:val="08C84405"/>
    <w:rsid w:val="08C8444A"/>
    <w:rsid w:val="08C844CF"/>
    <w:rsid w:val="08C84506"/>
    <w:rsid w:val="08C84622"/>
    <w:rsid w:val="08C8463F"/>
    <w:rsid w:val="08C846AE"/>
    <w:rsid w:val="08C84706"/>
    <w:rsid w:val="08C84708"/>
    <w:rsid w:val="08C84783"/>
    <w:rsid w:val="08C84795"/>
    <w:rsid w:val="08C847C9"/>
    <w:rsid w:val="08C847CE"/>
    <w:rsid w:val="08C8494F"/>
    <w:rsid w:val="08C84A64"/>
    <w:rsid w:val="08C84ADE"/>
    <w:rsid w:val="08C84AFF"/>
    <w:rsid w:val="08C84C8A"/>
    <w:rsid w:val="08C84CC2"/>
    <w:rsid w:val="08C84E27"/>
    <w:rsid w:val="08C84F63"/>
    <w:rsid w:val="08C85049"/>
    <w:rsid w:val="08C85093"/>
    <w:rsid w:val="08C85146"/>
    <w:rsid w:val="08C85153"/>
    <w:rsid w:val="08C85169"/>
    <w:rsid w:val="08C85182"/>
    <w:rsid w:val="08C85186"/>
    <w:rsid w:val="08C852D6"/>
    <w:rsid w:val="08C8531C"/>
    <w:rsid w:val="08C8537F"/>
    <w:rsid w:val="08C85385"/>
    <w:rsid w:val="08C8538C"/>
    <w:rsid w:val="08C853B6"/>
    <w:rsid w:val="08C85460"/>
    <w:rsid w:val="08C85540"/>
    <w:rsid w:val="08C8563F"/>
    <w:rsid w:val="08C856BC"/>
    <w:rsid w:val="08C85776"/>
    <w:rsid w:val="08C85882"/>
    <w:rsid w:val="08C858EF"/>
    <w:rsid w:val="08C85C89"/>
    <w:rsid w:val="08C85E3D"/>
    <w:rsid w:val="08C860D4"/>
    <w:rsid w:val="08C8618D"/>
    <w:rsid w:val="08C861BF"/>
    <w:rsid w:val="08C861F5"/>
    <w:rsid w:val="08C861F7"/>
    <w:rsid w:val="08C86276"/>
    <w:rsid w:val="08C86282"/>
    <w:rsid w:val="08C862F4"/>
    <w:rsid w:val="08C8638D"/>
    <w:rsid w:val="08C86412"/>
    <w:rsid w:val="08C86448"/>
    <w:rsid w:val="08C86490"/>
    <w:rsid w:val="08C864E5"/>
    <w:rsid w:val="08C86572"/>
    <w:rsid w:val="08C86598"/>
    <w:rsid w:val="08C865B3"/>
    <w:rsid w:val="08C86622"/>
    <w:rsid w:val="08C86669"/>
    <w:rsid w:val="08C86737"/>
    <w:rsid w:val="08C867C2"/>
    <w:rsid w:val="08C868A5"/>
    <w:rsid w:val="08C868D9"/>
    <w:rsid w:val="08C86902"/>
    <w:rsid w:val="08C8692F"/>
    <w:rsid w:val="08C86948"/>
    <w:rsid w:val="08C86961"/>
    <w:rsid w:val="08C8696D"/>
    <w:rsid w:val="08C869A1"/>
    <w:rsid w:val="08C86A1C"/>
    <w:rsid w:val="08C86A65"/>
    <w:rsid w:val="08C86AE1"/>
    <w:rsid w:val="08C86BCD"/>
    <w:rsid w:val="08C86C34"/>
    <w:rsid w:val="08C86D26"/>
    <w:rsid w:val="08C86E23"/>
    <w:rsid w:val="08C86EC9"/>
    <w:rsid w:val="08C86F0A"/>
    <w:rsid w:val="08C86F14"/>
    <w:rsid w:val="08C86F2F"/>
    <w:rsid w:val="08C86F36"/>
    <w:rsid w:val="08C86F6D"/>
    <w:rsid w:val="08C86FD2"/>
    <w:rsid w:val="08C86FD5"/>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16"/>
    <w:rsid w:val="08C87B2C"/>
    <w:rsid w:val="08C87B6E"/>
    <w:rsid w:val="08C87C2E"/>
    <w:rsid w:val="08C87C68"/>
    <w:rsid w:val="08C87C8A"/>
    <w:rsid w:val="08C87CD7"/>
    <w:rsid w:val="08C87D30"/>
    <w:rsid w:val="08C87D42"/>
    <w:rsid w:val="08C87D46"/>
    <w:rsid w:val="08C87D7F"/>
    <w:rsid w:val="08C87E0A"/>
    <w:rsid w:val="08C87E9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6"/>
    <w:rsid w:val="08C90828"/>
    <w:rsid w:val="08C908F2"/>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9E"/>
    <w:rsid w:val="08C913EA"/>
    <w:rsid w:val="08C913F6"/>
    <w:rsid w:val="08C914B3"/>
    <w:rsid w:val="08C91541"/>
    <w:rsid w:val="08C91558"/>
    <w:rsid w:val="08C91640"/>
    <w:rsid w:val="08C916CE"/>
    <w:rsid w:val="08C9173D"/>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1D"/>
    <w:rsid w:val="08C9277C"/>
    <w:rsid w:val="08C927B8"/>
    <w:rsid w:val="08C92800"/>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1D8"/>
    <w:rsid w:val="08C9320B"/>
    <w:rsid w:val="08C93274"/>
    <w:rsid w:val="08C932F1"/>
    <w:rsid w:val="08C93315"/>
    <w:rsid w:val="08C93331"/>
    <w:rsid w:val="08C933DD"/>
    <w:rsid w:val="08C933FD"/>
    <w:rsid w:val="08C9353F"/>
    <w:rsid w:val="08C936E4"/>
    <w:rsid w:val="08C9370F"/>
    <w:rsid w:val="08C93744"/>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22"/>
    <w:rsid w:val="08C94386"/>
    <w:rsid w:val="08C9439E"/>
    <w:rsid w:val="08C94470"/>
    <w:rsid w:val="08C944BE"/>
    <w:rsid w:val="08C94532"/>
    <w:rsid w:val="08C945F1"/>
    <w:rsid w:val="08C94636"/>
    <w:rsid w:val="08C946B8"/>
    <w:rsid w:val="08C946F3"/>
    <w:rsid w:val="08C94797"/>
    <w:rsid w:val="08C947D3"/>
    <w:rsid w:val="08C94876"/>
    <w:rsid w:val="08C94975"/>
    <w:rsid w:val="08C94A6E"/>
    <w:rsid w:val="08C94AB5"/>
    <w:rsid w:val="08C94ABD"/>
    <w:rsid w:val="08C94AED"/>
    <w:rsid w:val="08C94B69"/>
    <w:rsid w:val="08C94B9B"/>
    <w:rsid w:val="08C94C00"/>
    <w:rsid w:val="08C94C0C"/>
    <w:rsid w:val="08C94D66"/>
    <w:rsid w:val="08C94D7C"/>
    <w:rsid w:val="08C94DAE"/>
    <w:rsid w:val="08C94DB5"/>
    <w:rsid w:val="08C94FB1"/>
    <w:rsid w:val="08C95029"/>
    <w:rsid w:val="08C9505A"/>
    <w:rsid w:val="08C95104"/>
    <w:rsid w:val="08C951E4"/>
    <w:rsid w:val="08C95285"/>
    <w:rsid w:val="08C9529F"/>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8B"/>
    <w:rsid w:val="08C95DE4"/>
    <w:rsid w:val="08C95E1D"/>
    <w:rsid w:val="08C95E78"/>
    <w:rsid w:val="08C95EA1"/>
    <w:rsid w:val="08C96017"/>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983"/>
    <w:rsid w:val="08C969F5"/>
    <w:rsid w:val="08C96A11"/>
    <w:rsid w:val="08C96A22"/>
    <w:rsid w:val="08C96AB1"/>
    <w:rsid w:val="08C96B45"/>
    <w:rsid w:val="08C96BDB"/>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38"/>
    <w:rsid w:val="08C97571"/>
    <w:rsid w:val="08C975C5"/>
    <w:rsid w:val="08C97631"/>
    <w:rsid w:val="08C976A4"/>
    <w:rsid w:val="08C976C6"/>
    <w:rsid w:val="08C977EB"/>
    <w:rsid w:val="08C977EC"/>
    <w:rsid w:val="08C977FC"/>
    <w:rsid w:val="08C97856"/>
    <w:rsid w:val="08C978C5"/>
    <w:rsid w:val="08C978CF"/>
    <w:rsid w:val="08C97989"/>
    <w:rsid w:val="08C979ED"/>
    <w:rsid w:val="08C97A12"/>
    <w:rsid w:val="08C97A59"/>
    <w:rsid w:val="08C97AE7"/>
    <w:rsid w:val="08C97BEB"/>
    <w:rsid w:val="08C97C1D"/>
    <w:rsid w:val="08C97CA7"/>
    <w:rsid w:val="08C97D49"/>
    <w:rsid w:val="08C97D81"/>
    <w:rsid w:val="08CA0012"/>
    <w:rsid w:val="08CA0152"/>
    <w:rsid w:val="08CA019C"/>
    <w:rsid w:val="08CA0291"/>
    <w:rsid w:val="08CA02B1"/>
    <w:rsid w:val="08CA02F4"/>
    <w:rsid w:val="08CA0335"/>
    <w:rsid w:val="08CA034D"/>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966"/>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0EF8"/>
    <w:rsid w:val="08CA10F4"/>
    <w:rsid w:val="08CA1159"/>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1"/>
    <w:rsid w:val="08CA1C56"/>
    <w:rsid w:val="08CA1DD1"/>
    <w:rsid w:val="08CA1DFE"/>
    <w:rsid w:val="08CA1E6A"/>
    <w:rsid w:val="08CA1FA2"/>
    <w:rsid w:val="08CA20CC"/>
    <w:rsid w:val="08CA20D0"/>
    <w:rsid w:val="08CA20E1"/>
    <w:rsid w:val="08CA20F2"/>
    <w:rsid w:val="08CA21D8"/>
    <w:rsid w:val="08CA22BE"/>
    <w:rsid w:val="08CA22C8"/>
    <w:rsid w:val="08CA2336"/>
    <w:rsid w:val="08CA234F"/>
    <w:rsid w:val="08CA2367"/>
    <w:rsid w:val="08CA2449"/>
    <w:rsid w:val="08CA24B4"/>
    <w:rsid w:val="08CA26E1"/>
    <w:rsid w:val="08CA273A"/>
    <w:rsid w:val="08CA279F"/>
    <w:rsid w:val="08CA2818"/>
    <w:rsid w:val="08CA284E"/>
    <w:rsid w:val="08CA2915"/>
    <w:rsid w:val="08CA291C"/>
    <w:rsid w:val="08CA2957"/>
    <w:rsid w:val="08CA2AB1"/>
    <w:rsid w:val="08CA2B11"/>
    <w:rsid w:val="08CA2B2F"/>
    <w:rsid w:val="08CA2B7E"/>
    <w:rsid w:val="08CA2B9D"/>
    <w:rsid w:val="08CA2BBF"/>
    <w:rsid w:val="08CA2BCD"/>
    <w:rsid w:val="08CA2C78"/>
    <w:rsid w:val="08CA2D31"/>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5F4"/>
    <w:rsid w:val="08CA3615"/>
    <w:rsid w:val="08CA3633"/>
    <w:rsid w:val="08CA3723"/>
    <w:rsid w:val="08CA37E1"/>
    <w:rsid w:val="08CA387C"/>
    <w:rsid w:val="08CA3905"/>
    <w:rsid w:val="08CA395A"/>
    <w:rsid w:val="08CA3A37"/>
    <w:rsid w:val="08CA3A51"/>
    <w:rsid w:val="08CA3A63"/>
    <w:rsid w:val="08CA3AC9"/>
    <w:rsid w:val="08CA3ADF"/>
    <w:rsid w:val="08CA3AF4"/>
    <w:rsid w:val="08CA3B43"/>
    <w:rsid w:val="08CA3C78"/>
    <w:rsid w:val="08CA3C81"/>
    <w:rsid w:val="08CA3CC9"/>
    <w:rsid w:val="08CA3CEE"/>
    <w:rsid w:val="08CA3CF4"/>
    <w:rsid w:val="08CA3D19"/>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2A3"/>
    <w:rsid w:val="08CA4324"/>
    <w:rsid w:val="08CA4397"/>
    <w:rsid w:val="08CA43AE"/>
    <w:rsid w:val="08CA4406"/>
    <w:rsid w:val="08CA4412"/>
    <w:rsid w:val="08CA4442"/>
    <w:rsid w:val="08CA45B9"/>
    <w:rsid w:val="08CA4604"/>
    <w:rsid w:val="08CA4621"/>
    <w:rsid w:val="08CA463E"/>
    <w:rsid w:val="08CA4683"/>
    <w:rsid w:val="08CA468E"/>
    <w:rsid w:val="08CA4718"/>
    <w:rsid w:val="08CA4737"/>
    <w:rsid w:val="08CA48D7"/>
    <w:rsid w:val="08CA4912"/>
    <w:rsid w:val="08CA49F3"/>
    <w:rsid w:val="08CA4A54"/>
    <w:rsid w:val="08CA4AF8"/>
    <w:rsid w:val="08CA4B52"/>
    <w:rsid w:val="08CA4B87"/>
    <w:rsid w:val="08CA4C8C"/>
    <w:rsid w:val="08CA4D35"/>
    <w:rsid w:val="08CA4DE3"/>
    <w:rsid w:val="08CA4E6F"/>
    <w:rsid w:val="08CA4E79"/>
    <w:rsid w:val="08CA4F38"/>
    <w:rsid w:val="08CA4F5B"/>
    <w:rsid w:val="08CA4F67"/>
    <w:rsid w:val="08CA4FBD"/>
    <w:rsid w:val="08CA4FC9"/>
    <w:rsid w:val="08CA4FD5"/>
    <w:rsid w:val="08CA5052"/>
    <w:rsid w:val="08CA509E"/>
    <w:rsid w:val="08CA51DE"/>
    <w:rsid w:val="08CA5287"/>
    <w:rsid w:val="08CA53DD"/>
    <w:rsid w:val="08CA5408"/>
    <w:rsid w:val="08CA541C"/>
    <w:rsid w:val="08CA54B2"/>
    <w:rsid w:val="08CA5584"/>
    <w:rsid w:val="08CA55DB"/>
    <w:rsid w:val="08CA55FA"/>
    <w:rsid w:val="08CA56B2"/>
    <w:rsid w:val="08CA56C2"/>
    <w:rsid w:val="08CA56CA"/>
    <w:rsid w:val="08CA570B"/>
    <w:rsid w:val="08CA5740"/>
    <w:rsid w:val="08CA5790"/>
    <w:rsid w:val="08CA57E2"/>
    <w:rsid w:val="08CA586D"/>
    <w:rsid w:val="08CA58C8"/>
    <w:rsid w:val="08CA58F3"/>
    <w:rsid w:val="08CA59D2"/>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6A"/>
    <w:rsid w:val="08CA5DA2"/>
    <w:rsid w:val="08CA5E88"/>
    <w:rsid w:val="08CA5EA7"/>
    <w:rsid w:val="08CA5EAC"/>
    <w:rsid w:val="08CA5EB0"/>
    <w:rsid w:val="08CA5FF8"/>
    <w:rsid w:val="08CA6095"/>
    <w:rsid w:val="08CA6129"/>
    <w:rsid w:val="08CA619A"/>
    <w:rsid w:val="08CA6318"/>
    <w:rsid w:val="08CA646D"/>
    <w:rsid w:val="08CA646F"/>
    <w:rsid w:val="08CA648A"/>
    <w:rsid w:val="08CA64A2"/>
    <w:rsid w:val="08CA64B0"/>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517"/>
    <w:rsid w:val="08CB053A"/>
    <w:rsid w:val="08CB05B4"/>
    <w:rsid w:val="08CB05FA"/>
    <w:rsid w:val="08CB064C"/>
    <w:rsid w:val="08CB0754"/>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E"/>
    <w:rsid w:val="08CB1642"/>
    <w:rsid w:val="08CB1705"/>
    <w:rsid w:val="08CB1744"/>
    <w:rsid w:val="08CB1832"/>
    <w:rsid w:val="08CB1855"/>
    <w:rsid w:val="08CB18DC"/>
    <w:rsid w:val="08CB195A"/>
    <w:rsid w:val="08CB197E"/>
    <w:rsid w:val="08CB19F6"/>
    <w:rsid w:val="08CB1A11"/>
    <w:rsid w:val="08CB1ACA"/>
    <w:rsid w:val="08CB1AD2"/>
    <w:rsid w:val="08CB1B49"/>
    <w:rsid w:val="08CB1B67"/>
    <w:rsid w:val="08CB1B6D"/>
    <w:rsid w:val="08CB1B70"/>
    <w:rsid w:val="08CB1B8E"/>
    <w:rsid w:val="08CB1BA3"/>
    <w:rsid w:val="08CB1BAE"/>
    <w:rsid w:val="08CB1C00"/>
    <w:rsid w:val="08CB1C84"/>
    <w:rsid w:val="08CB1CFE"/>
    <w:rsid w:val="08CB1E15"/>
    <w:rsid w:val="08CB1E45"/>
    <w:rsid w:val="08CB1EDE"/>
    <w:rsid w:val="08CB1EEC"/>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70"/>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342"/>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77"/>
    <w:rsid w:val="08CB5581"/>
    <w:rsid w:val="08CB55A3"/>
    <w:rsid w:val="08CB55AE"/>
    <w:rsid w:val="08CB5605"/>
    <w:rsid w:val="08CB56C4"/>
    <w:rsid w:val="08CB56DE"/>
    <w:rsid w:val="08CB5773"/>
    <w:rsid w:val="08CB5821"/>
    <w:rsid w:val="08CB586B"/>
    <w:rsid w:val="08CB58AF"/>
    <w:rsid w:val="08CB595A"/>
    <w:rsid w:val="08CB5968"/>
    <w:rsid w:val="08CB5988"/>
    <w:rsid w:val="08CB5BBA"/>
    <w:rsid w:val="08CB5BBB"/>
    <w:rsid w:val="08CB5BD2"/>
    <w:rsid w:val="08CB5C6C"/>
    <w:rsid w:val="08CB5C94"/>
    <w:rsid w:val="08CB5CA5"/>
    <w:rsid w:val="08CB5D3E"/>
    <w:rsid w:val="08CB5DCE"/>
    <w:rsid w:val="08CB5E1A"/>
    <w:rsid w:val="08CB5E4D"/>
    <w:rsid w:val="08CB5F92"/>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721"/>
    <w:rsid w:val="08CB6844"/>
    <w:rsid w:val="08CB6893"/>
    <w:rsid w:val="08CB6940"/>
    <w:rsid w:val="08CB69AB"/>
    <w:rsid w:val="08CB69E9"/>
    <w:rsid w:val="08CB6A8F"/>
    <w:rsid w:val="08CB6AEA"/>
    <w:rsid w:val="08CB6B5E"/>
    <w:rsid w:val="08CB6BA6"/>
    <w:rsid w:val="08CB6D24"/>
    <w:rsid w:val="08CB6EC7"/>
    <w:rsid w:val="08CB6EEF"/>
    <w:rsid w:val="08CB6F0E"/>
    <w:rsid w:val="08CB6FAA"/>
    <w:rsid w:val="08CB6FE7"/>
    <w:rsid w:val="08CB6FFF"/>
    <w:rsid w:val="08CB70AF"/>
    <w:rsid w:val="08CB70D2"/>
    <w:rsid w:val="08CB7170"/>
    <w:rsid w:val="08CB7171"/>
    <w:rsid w:val="08CB71E1"/>
    <w:rsid w:val="08CB723A"/>
    <w:rsid w:val="08CB725F"/>
    <w:rsid w:val="08CB733E"/>
    <w:rsid w:val="08CB7352"/>
    <w:rsid w:val="08CB7464"/>
    <w:rsid w:val="08CB74AB"/>
    <w:rsid w:val="08CB7509"/>
    <w:rsid w:val="08CB7572"/>
    <w:rsid w:val="08CB75C9"/>
    <w:rsid w:val="08CB76D3"/>
    <w:rsid w:val="08CB76E8"/>
    <w:rsid w:val="08CB776B"/>
    <w:rsid w:val="08CB77CF"/>
    <w:rsid w:val="08CB788D"/>
    <w:rsid w:val="08CB78CE"/>
    <w:rsid w:val="08CB78E4"/>
    <w:rsid w:val="08CB78F8"/>
    <w:rsid w:val="08CB7932"/>
    <w:rsid w:val="08CB7938"/>
    <w:rsid w:val="08CB79FE"/>
    <w:rsid w:val="08CB7A5B"/>
    <w:rsid w:val="08CB7BA4"/>
    <w:rsid w:val="08CB7BC4"/>
    <w:rsid w:val="08CB7BCF"/>
    <w:rsid w:val="08CB7C9C"/>
    <w:rsid w:val="08CB7DFA"/>
    <w:rsid w:val="08CB7E90"/>
    <w:rsid w:val="08CB7EB7"/>
    <w:rsid w:val="08CB7F39"/>
    <w:rsid w:val="08CB7F43"/>
    <w:rsid w:val="08CB7F67"/>
    <w:rsid w:val="08CC0026"/>
    <w:rsid w:val="08CC0083"/>
    <w:rsid w:val="08CC01AB"/>
    <w:rsid w:val="08CC024C"/>
    <w:rsid w:val="08CC027A"/>
    <w:rsid w:val="08CC027F"/>
    <w:rsid w:val="08CC02CA"/>
    <w:rsid w:val="08CC031C"/>
    <w:rsid w:val="08CC0348"/>
    <w:rsid w:val="08CC037F"/>
    <w:rsid w:val="08CC03EA"/>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B13"/>
    <w:rsid w:val="08CC0B42"/>
    <w:rsid w:val="08CC0B9B"/>
    <w:rsid w:val="08CC0CAE"/>
    <w:rsid w:val="08CC0CCD"/>
    <w:rsid w:val="08CC0D12"/>
    <w:rsid w:val="08CC0D1E"/>
    <w:rsid w:val="08CC0DE9"/>
    <w:rsid w:val="08CC0E11"/>
    <w:rsid w:val="08CC0E12"/>
    <w:rsid w:val="08CC0E65"/>
    <w:rsid w:val="08CC0E6A"/>
    <w:rsid w:val="08CC0F14"/>
    <w:rsid w:val="08CC0F1E"/>
    <w:rsid w:val="08CC0FF8"/>
    <w:rsid w:val="08CC1012"/>
    <w:rsid w:val="08CC1075"/>
    <w:rsid w:val="08CC1094"/>
    <w:rsid w:val="08CC10A2"/>
    <w:rsid w:val="08CC1156"/>
    <w:rsid w:val="08CC115C"/>
    <w:rsid w:val="08CC11BD"/>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E54"/>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50"/>
    <w:rsid w:val="08CC25BD"/>
    <w:rsid w:val="08CC25CF"/>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3025"/>
    <w:rsid w:val="08CC3045"/>
    <w:rsid w:val="08CC305D"/>
    <w:rsid w:val="08CC30B3"/>
    <w:rsid w:val="08CC30DD"/>
    <w:rsid w:val="08CC3171"/>
    <w:rsid w:val="08CC3237"/>
    <w:rsid w:val="08CC32CC"/>
    <w:rsid w:val="08CC33DD"/>
    <w:rsid w:val="08CC33FD"/>
    <w:rsid w:val="08CC3426"/>
    <w:rsid w:val="08CC3456"/>
    <w:rsid w:val="08CC346C"/>
    <w:rsid w:val="08CC34A8"/>
    <w:rsid w:val="08CC34B6"/>
    <w:rsid w:val="08CC34D5"/>
    <w:rsid w:val="08CC34EA"/>
    <w:rsid w:val="08CC3541"/>
    <w:rsid w:val="08CC3574"/>
    <w:rsid w:val="08CC35DF"/>
    <w:rsid w:val="08CC35E8"/>
    <w:rsid w:val="08CC35F2"/>
    <w:rsid w:val="08CC360C"/>
    <w:rsid w:val="08CC3629"/>
    <w:rsid w:val="08CC36B3"/>
    <w:rsid w:val="08CC36F9"/>
    <w:rsid w:val="08CC370A"/>
    <w:rsid w:val="08CC376E"/>
    <w:rsid w:val="08CC377D"/>
    <w:rsid w:val="08CC37B4"/>
    <w:rsid w:val="08CC37DB"/>
    <w:rsid w:val="08CC37EB"/>
    <w:rsid w:val="08CC384F"/>
    <w:rsid w:val="08CC3934"/>
    <w:rsid w:val="08CC3992"/>
    <w:rsid w:val="08CC3A54"/>
    <w:rsid w:val="08CC3A74"/>
    <w:rsid w:val="08CC3A7B"/>
    <w:rsid w:val="08CC3B08"/>
    <w:rsid w:val="08CC3C27"/>
    <w:rsid w:val="08CC3C37"/>
    <w:rsid w:val="08CC3C59"/>
    <w:rsid w:val="08CC3CE2"/>
    <w:rsid w:val="08CC3CF2"/>
    <w:rsid w:val="08CC3D08"/>
    <w:rsid w:val="08CC3D09"/>
    <w:rsid w:val="08CC3E1C"/>
    <w:rsid w:val="08CC3E26"/>
    <w:rsid w:val="08CC3F62"/>
    <w:rsid w:val="08CC3F85"/>
    <w:rsid w:val="08CC3FD7"/>
    <w:rsid w:val="08CC3FDD"/>
    <w:rsid w:val="08CC4009"/>
    <w:rsid w:val="08CC4042"/>
    <w:rsid w:val="08CC40A5"/>
    <w:rsid w:val="08CC40B9"/>
    <w:rsid w:val="08CC40D1"/>
    <w:rsid w:val="08CC411F"/>
    <w:rsid w:val="08CC41C2"/>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5FE3"/>
    <w:rsid w:val="08CC6085"/>
    <w:rsid w:val="08CC60E6"/>
    <w:rsid w:val="08CC6124"/>
    <w:rsid w:val="08CC613A"/>
    <w:rsid w:val="08CC61A2"/>
    <w:rsid w:val="08CC6234"/>
    <w:rsid w:val="08CC625F"/>
    <w:rsid w:val="08CC6290"/>
    <w:rsid w:val="08CC62D3"/>
    <w:rsid w:val="08CC630A"/>
    <w:rsid w:val="08CC6331"/>
    <w:rsid w:val="08CC63F3"/>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AC2"/>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F6"/>
    <w:rsid w:val="08CC7C11"/>
    <w:rsid w:val="08CC7CAE"/>
    <w:rsid w:val="08CC7D83"/>
    <w:rsid w:val="08CC7D92"/>
    <w:rsid w:val="08CC7F1A"/>
    <w:rsid w:val="08CD0100"/>
    <w:rsid w:val="08CD0123"/>
    <w:rsid w:val="08CD0165"/>
    <w:rsid w:val="08CD019A"/>
    <w:rsid w:val="08CD01D1"/>
    <w:rsid w:val="08CD021F"/>
    <w:rsid w:val="08CD024E"/>
    <w:rsid w:val="08CD02B7"/>
    <w:rsid w:val="08CD0388"/>
    <w:rsid w:val="08CD041F"/>
    <w:rsid w:val="08CD04A0"/>
    <w:rsid w:val="08CD05AC"/>
    <w:rsid w:val="08CD07D5"/>
    <w:rsid w:val="08CD07E8"/>
    <w:rsid w:val="08CD080F"/>
    <w:rsid w:val="08CD083D"/>
    <w:rsid w:val="08CD0901"/>
    <w:rsid w:val="08CD0999"/>
    <w:rsid w:val="08CD0A62"/>
    <w:rsid w:val="08CD0A8D"/>
    <w:rsid w:val="08CD0AE8"/>
    <w:rsid w:val="08CD0B02"/>
    <w:rsid w:val="08CD0BA2"/>
    <w:rsid w:val="08CD0C27"/>
    <w:rsid w:val="08CD0C5A"/>
    <w:rsid w:val="08CD0CD0"/>
    <w:rsid w:val="08CD0D8D"/>
    <w:rsid w:val="08CD0DAB"/>
    <w:rsid w:val="08CD0DE8"/>
    <w:rsid w:val="08CD0E11"/>
    <w:rsid w:val="08CD0E17"/>
    <w:rsid w:val="08CD0FDC"/>
    <w:rsid w:val="08CD1025"/>
    <w:rsid w:val="08CD1074"/>
    <w:rsid w:val="08CD1092"/>
    <w:rsid w:val="08CD1119"/>
    <w:rsid w:val="08CD1140"/>
    <w:rsid w:val="08CD128C"/>
    <w:rsid w:val="08CD12CA"/>
    <w:rsid w:val="08CD12D9"/>
    <w:rsid w:val="08CD1351"/>
    <w:rsid w:val="08CD14FB"/>
    <w:rsid w:val="08CD1590"/>
    <w:rsid w:val="08CD15CE"/>
    <w:rsid w:val="08CD16E3"/>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3E"/>
    <w:rsid w:val="08CD2894"/>
    <w:rsid w:val="08CD28B3"/>
    <w:rsid w:val="08CD293F"/>
    <w:rsid w:val="08CD2988"/>
    <w:rsid w:val="08CD29D8"/>
    <w:rsid w:val="08CD2A55"/>
    <w:rsid w:val="08CD2A6B"/>
    <w:rsid w:val="08CD2B75"/>
    <w:rsid w:val="08CD2CF6"/>
    <w:rsid w:val="08CD2D0F"/>
    <w:rsid w:val="08CD2D1E"/>
    <w:rsid w:val="08CD2D3D"/>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3CD"/>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27"/>
    <w:rsid w:val="08CD45AF"/>
    <w:rsid w:val="08CD4687"/>
    <w:rsid w:val="08CD46D3"/>
    <w:rsid w:val="08CD46E0"/>
    <w:rsid w:val="08CD4743"/>
    <w:rsid w:val="08CD478C"/>
    <w:rsid w:val="08CD47ED"/>
    <w:rsid w:val="08CD47F9"/>
    <w:rsid w:val="08CD48A8"/>
    <w:rsid w:val="08CD49A0"/>
    <w:rsid w:val="08CD49A4"/>
    <w:rsid w:val="08CD4A00"/>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430"/>
    <w:rsid w:val="08CD5526"/>
    <w:rsid w:val="08CD556B"/>
    <w:rsid w:val="08CD561A"/>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87"/>
    <w:rsid w:val="08CD5F94"/>
    <w:rsid w:val="08CD601E"/>
    <w:rsid w:val="08CD6058"/>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58"/>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91"/>
    <w:rsid w:val="08CD7BD0"/>
    <w:rsid w:val="08CD7CAE"/>
    <w:rsid w:val="08CD7E80"/>
    <w:rsid w:val="08CD7EB4"/>
    <w:rsid w:val="08CD7F39"/>
    <w:rsid w:val="08CD7F46"/>
    <w:rsid w:val="08CD7FD9"/>
    <w:rsid w:val="08CE00F1"/>
    <w:rsid w:val="08CE019A"/>
    <w:rsid w:val="08CE021D"/>
    <w:rsid w:val="08CE025C"/>
    <w:rsid w:val="08CE02FC"/>
    <w:rsid w:val="08CE03DB"/>
    <w:rsid w:val="08CE041B"/>
    <w:rsid w:val="08CE04B7"/>
    <w:rsid w:val="08CE05A6"/>
    <w:rsid w:val="08CE05E7"/>
    <w:rsid w:val="08CE0700"/>
    <w:rsid w:val="08CE08EB"/>
    <w:rsid w:val="08CE092F"/>
    <w:rsid w:val="08CE0972"/>
    <w:rsid w:val="08CE0994"/>
    <w:rsid w:val="08CE0A9B"/>
    <w:rsid w:val="08CE0AD1"/>
    <w:rsid w:val="08CE0ADD"/>
    <w:rsid w:val="08CE0B46"/>
    <w:rsid w:val="08CE0C30"/>
    <w:rsid w:val="08CE0C71"/>
    <w:rsid w:val="08CE0C9A"/>
    <w:rsid w:val="08CE0D5B"/>
    <w:rsid w:val="08CE0DA6"/>
    <w:rsid w:val="08CE0DA8"/>
    <w:rsid w:val="08CE0DBE"/>
    <w:rsid w:val="08CE0ECD"/>
    <w:rsid w:val="08CE1094"/>
    <w:rsid w:val="08CE1097"/>
    <w:rsid w:val="08CE1129"/>
    <w:rsid w:val="08CE1137"/>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EBE"/>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84"/>
    <w:rsid w:val="08CE23DA"/>
    <w:rsid w:val="08CE23E0"/>
    <w:rsid w:val="08CE24AA"/>
    <w:rsid w:val="08CE252C"/>
    <w:rsid w:val="08CE25A2"/>
    <w:rsid w:val="08CE2637"/>
    <w:rsid w:val="08CE264C"/>
    <w:rsid w:val="08CE275C"/>
    <w:rsid w:val="08CE27B5"/>
    <w:rsid w:val="08CE2841"/>
    <w:rsid w:val="08CE288E"/>
    <w:rsid w:val="08CE293D"/>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66"/>
    <w:rsid w:val="08CE34CF"/>
    <w:rsid w:val="08CE34E3"/>
    <w:rsid w:val="08CE34F2"/>
    <w:rsid w:val="08CE35AC"/>
    <w:rsid w:val="08CE35C3"/>
    <w:rsid w:val="08CE36E2"/>
    <w:rsid w:val="08CE36F1"/>
    <w:rsid w:val="08CE37D8"/>
    <w:rsid w:val="08CE383C"/>
    <w:rsid w:val="08CE38B3"/>
    <w:rsid w:val="08CE38E3"/>
    <w:rsid w:val="08CE392A"/>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5F9"/>
    <w:rsid w:val="08CE4648"/>
    <w:rsid w:val="08CE466F"/>
    <w:rsid w:val="08CE47AD"/>
    <w:rsid w:val="08CE47DF"/>
    <w:rsid w:val="08CE48C9"/>
    <w:rsid w:val="08CE4A1F"/>
    <w:rsid w:val="08CE4A20"/>
    <w:rsid w:val="08CE4B02"/>
    <w:rsid w:val="08CE4BE2"/>
    <w:rsid w:val="08CE4C5F"/>
    <w:rsid w:val="08CE4C78"/>
    <w:rsid w:val="08CE4CC9"/>
    <w:rsid w:val="08CE4CFD"/>
    <w:rsid w:val="08CE4D3A"/>
    <w:rsid w:val="08CE4D3C"/>
    <w:rsid w:val="08CE4D60"/>
    <w:rsid w:val="08CE4DB5"/>
    <w:rsid w:val="08CE4DB9"/>
    <w:rsid w:val="08CE4DE3"/>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54"/>
    <w:rsid w:val="08CE5F99"/>
    <w:rsid w:val="08CE600A"/>
    <w:rsid w:val="08CE6132"/>
    <w:rsid w:val="08CE6177"/>
    <w:rsid w:val="08CE61AA"/>
    <w:rsid w:val="08CE6260"/>
    <w:rsid w:val="08CE62D2"/>
    <w:rsid w:val="08CE6343"/>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E03"/>
    <w:rsid w:val="08CE6E79"/>
    <w:rsid w:val="08CE6EC5"/>
    <w:rsid w:val="08CE6F1C"/>
    <w:rsid w:val="08CE6F5C"/>
    <w:rsid w:val="08CE6F67"/>
    <w:rsid w:val="08CE7057"/>
    <w:rsid w:val="08CE7121"/>
    <w:rsid w:val="08CE71BF"/>
    <w:rsid w:val="08CE71D7"/>
    <w:rsid w:val="08CE71E8"/>
    <w:rsid w:val="08CE721C"/>
    <w:rsid w:val="08CE7278"/>
    <w:rsid w:val="08CE72F0"/>
    <w:rsid w:val="08CE7318"/>
    <w:rsid w:val="08CE7346"/>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17A"/>
    <w:rsid w:val="08CF033B"/>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7A"/>
    <w:rsid w:val="08CF0AA8"/>
    <w:rsid w:val="08CF0AD4"/>
    <w:rsid w:val="08CF0AEE"/>
    <w:rsid w:val="08CF0BA0"/>
    <w:rsid w:val="08CF0BF2"/>
    <w:rsid w:val="08CF0CB4"/>
    <w:rsid w:val="08CF0CF5"/>
    <w:rsid w:val="08CF0D1A"/>
    <w:rsid w:val="08CF0EEA"/>
    <w:rsid w:val="08CF0EFE"/>
    <w:rsid w:val="08CF0F2A"/>
    <w:rsid w:val="08CF0F7D"/>
    <w:rsid w:val="08CF100B"/>
    <w:rsid w:val="08CF1010"/>
    <w:rsid w:val="08CF1034"/>
    <w:rsid w:val="08CF118B"/>
    <w:rsid w:val="08CF11AC"/>
    <w:rsid w:val="08CF1253"/>
    <w:rsid w:val="08CF1255"/>
    <w:rsid w:val="08CF1293"/>
    <w:rsid w:val="08CF1371"/>
    <w:rsid w:val="08CF13DE"/>
    <w:rsid w:val="08CF1412"/>
    <w:rsid w:val="08CF1431"/>
    <w:rsid w:val="08CF1504"/>
    <w:rsid w:val="08CF1602"/>
    <w:rsid w:val="08CF16BF"/>
    <w:rsid w:val="08CF16D0"/>
    <w:rsid w:val="08CF16F5"/>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2C"/>
    <w:rsid w:val="08CF205F"/>
    <w:rsid w:val="08CF2066"/>
    <w:rsid w:val="08CF2084"/>
    <w:rsid w:val="08CF2144"/>
    <w:rsid w:val="08CF2151"/>
    <w:rsid w:val="08CF215B"/>
    <w:rsid w:val="08CF2174"/>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3A"/>
    <w:rsid w:val="08CF2A62"/>
    <w:rsid w:val="08CF2B16"/>
    <w:rsid w:val="08CF2B81"/>
    <w:rsid w:val="08CF2C42"/>
    <w:rsid w:val="08CF2C77"/>
    <w:rsid w:val="08CF2CE1"/>
    <w:rsid w:val="08CF2D50"/>
    <w:rsid w:val="08CF2D51"/>
    <w:rsid w:val="08CF2EAB"/>
    <w:rsid w:val="08CF2ED7"/>
    <w:rsid w:val="08CF2EFE"/>
    <w:rsid w:val="08CF2F4D"/>
    <w:rsid w:val="08CF2F9E"/>
    <w:rsid w:val="08CF2FA4"/>
    <w:rsid w:val="08CF300D"/>
    <w:rsid w:val="08CF30C0"/>
    <w:rsid w:val="08CF3163"/>
    <w:rsid w:val="08CF316B"/>
    <w:rsid w:val="08CF3194"/>
    <w:rsid w:val="08CF319B"/>
    <w:rsid w:val="08CF31E7"/>
    <w:rsid w:val="08CF320B"/>
    <w:rsid w:val="08CF3229"/>
    <w:rsid w:val="08CF32A9"/>
    <w:rsid w:val="08CF32B9"/>
    <w:rsid w:val="08CF32D2"/>
    <w:rsid w:val="08CF3374"/>
    <w:rsid w:val="08CF3486"/>
    <w:rsid w:val="08CF3496"/>
    <w:rsid w:val="08CF35E0"/>
    <w:rsid w:val="08CF3666"/>
    <w:rsid w:val="08CF37B4"/>
    <w:rsid w:val="08CF386F"/>
    <w:rsid w:val="08CF3961"/>
    <w:rsid w:val="08CF3978"/>
    <w:rsid w:val="08CF3984"/>
    <w:rsid w:val="08CF3ABB"/>
    <w:rsid w:val="08CF3BC3"/>
    <w:rsid w:val="08CF3BEA"/>
    <w:rsid w:val="08CF3C69"/>
    <w:rsid w:val="08CF3C73"/>
    <w:rsid w:val="08CF3D43"/>
    <w:rsid w:val="08CF3D4D"/>
    <w:rsid w:val="08CF3DE2"/>
    <w:rsid w:val="08CF3FA0"/>
    <w:rsid w:val="08CF4000"/>
    <w:rsid w:val="08CF400A"/>
    <w:rsid w:val="08CF4103"/>
    <w:rsid w:val="08CF41DA"/>
    <w:rsid w:val="08CF4214"/>
    <w:rsid w:val="08CF42A9"/>
    <w:rsid w:val="08CF42AD"/>
    <w:rsid w:val="08CF42B4"/>
    <w:rsid w:val="08CF431C"/>
    <w:rsid w:val="08CF4370"/>
    <w:rsid w:val="08CF4483"/>
    <w:rsid w:val="08CF449E"/>
    <w:rsid w:val="08CF455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50"/>
    <w:rsid w:val="08CF5059"/>
    <w:rsid w:val="08CF5085"/>
    <w:rsid w:val="08CF5096"/>
    <w:rsid w:val="08CF50C2"/>
    <w:rsid w:val="08CF50C9"/>
    <w:rsid w:val="08CF50D5"/>
    <w:rsid w:val="08CF5117"/>
    <w:rsid w:val="08CF5140"/>
    <w:rsid w:val="08CF514C"/>
    <w:rsid w:val="08CF514F"/>
    <w:rsid w:val="08CF5255"/>
    <w:rsid w:val="08CF52E2"/>
    <w:rsid w:val="08CF5353"/>
    <w:rsid w:val="08CF5508"/>
    <w:rsid w:val="08CF554A"/>
    <w:rsid w:val="08CF567C"/>
    <w:rsid w:val="08CF5684"/>
    <w:rsid w:val="08CF583C"/>
    <w:rsid w:val="08CF589B"/>
    <w:rsid w:val="08CF5946"/>
    <w:rsid w:val="08CF599F"/>
    <w:rsid w:val="08CF59A6"/>
    <w:rsid w:val="08CF59C1"/>
    <w:rsid w:val="08CF59F6"/>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C6"/>
    <w:rsid w:val="08CF62CB"/>
    <w:rsid w:val="08CF62D7"/>
    <w:rsid w:val="08CF6359"/>
    <w:rsid w:val="08CF637C"/>
    <w:rsid w:val="08CF644E"/>
    <w:rsid w:val="08CF6472"/>
    <w:rsid w:val="08CF6499"/>
    <w:rsid w:val="08CF656E"/>
    <w:rsid w:val="08CF65BF"/>
    <w:rsid w:val="08CF66CD"/>
    <w:rsid w:val="08CF6714"/>
    <w:rsid w:val="08CF689B"/>
    <w:rsid w:val="08CF68DC"/>
    <w:rsid w:val="08CF6941"/>
    <w:rsid w:val="08CF6A7E"/>
    <w:rsid w:val="08CF6A82"/>
    <w:rsid w:val="08CF6AA4"/>
    <w:rsid w:val="08CF6B49"/>
    <w:rsid w:val="08CF6B50"/>
    <w:rsid w:val="08CF6B56"/>
    <w:rsid w:val="08CF6B9A"/>
    <w:rsid w:val="08CF6B9F"/>
    <w:rsid w:val="08CF6C3C"/>
    <w:rsid w:val="08CF6CB2"/>
    <w:rsid w:val="08CF6D2F"/>
    <w:rsid w:val="08CF6D3F"/>
    <w:rsid w:val="08CF6D84"/>
    <w:rsid w:val="08CF6DE7"/>
    <w:rsid w:val="08CF6E33"/>
    <w:rsid w:val="08CF6E7E"/>
    <w:rsid w:val="08CF6F21"/>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929"/>
    <w:rsid w:val="08CF79A5"/>
    <w:rsid w:val="08CF7AFB"/>
    <w:rsid w:val="08CF7B72"/>
    <w:rsid w:val="08CF7C3E"/>
    <w:rsid w:val="08CF7C40"/>
    <w:rsid w:val="08CF7D38"/>
    <w:rsid w:val="08CF7D95"/>
    <w:rsid w:val="08CF7D97"/>
    <w:rsid w:val="08CF7E3E"/>
    <w:rsid w:val="08CF7E4B"/>
    <w:rsid w:val="08CF7FC5"/>
    <w:rsid w:val="08D000A8"/>
    <w:rsid w:val="08D00115"/>
    <w:rsid w:val="08D001BA"/>
    <w:rsid w:val="08D001F5"/>
    <w:rsid w:val="08D002CA"/>
    <w:rsid w:val="08D002E0"/>
    <w:rsid w:val="08D002F3"/>
    <w:rsid w:val="08D0030B"/>
    <w:rsid w:val="08D00323"/>
    <w:rsid w:val="08D00420"/>
    <w:rsid w:val="08D00439"/>
    <w:rsid w:val="08D00448"/>
    <w:rsid w:val="08D004ED"/>
    <w:rsid w:val="08D0053A"/>
    <w:rsid w:val="08D005B6"/>
    <w:rsid w:val="08D006BF"/>
    <w:rsid w:val="08D00721"/>
    <w:rsid w:val="08D0074A"/>
    <w:rsid w:val="08D007A3"/>
    <w:rsid w:val="08D007D6"/>
    <w:rsid w:val="08D00800"/>
    <w:rsid w:val="08D008A6"/>
    <w:rsid w:val="08D008CB"/>
    <w:rsid w:val="08D008D1"/>
    <w:rsid w:val="08D00904"/>
    <w:rsid w:val="08D009EF"/>
    <w:rsid w:val="08D009F6"/>
    <w:rsid w:val="08D00A59"/>
    <w:rsid w:val="08D00B2F"/>
    <w:rsid w:val="08D00B52"/>
    <w:rsid w:val="08D00BD2"/>
    <w:rsid w:val="08D00BE4"/>
    <w:rsid w:val="08D00C22"/>
    <w:rsid w:val="08D00D41"/>
    <w:rsid w:val="08D00E54"/>
    <w:rsid w:val="08D00F19"/>
    <w:rsid w:val="08D00FC2"/>
    <w:rsid w:val="08D01026"/>
    <w:rsid w:val="08D01066"/>
    <w:rsid w:val="08D01084"/>
    <w:rsid w:val="08D01099"/>
    <w:rsid w:val="08D011E5"/>
    <w:rsid w:val="08D01237"/>
    <w:rsid w:val="08D012D6"/>
    <w:rsid w:val="08D0135E"/>
    <w:rsid w:val="08D0140A"/>
    <w:rsid w:val="08D0155B"/>
    <w:rsid w:val="08D01577"/>
    <w:rsid w:val="08D01660"/>
    <w:rsid w:val="08D01712"/>
    <w:rsid w:val="08D01781"/>
    <w:rsid w:val="08D01791"/>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3E"/>
    <w:rsid w:val="08D03B45"/>
    <w:rsid w:val="08D03B97"/>
    <w:rsid w:val="08D03CCD"/>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A0"/>
    <w:rsid w:val="08D04CF6"/>
    <w:rsid w:val="08D04CF8"/>
    <w:rsid w:val="08D04DD5"/>
    <w:rsid w:val="08D04DDC"/>
    <w:rsid w:val="08D04EA1"/>
    <w:rsid w:val="08D04EF9"/>
    <w:rsid w:val="08D04F28"/>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979"/>
    <w:rsid w:val="08D05A2E"/>
    <w:rsid w:val="08D05A75"/>
    <w:rsid w:val="08D05B17"/>
    <w:rsid w:val="08D05B36"/>
    <w:rsid w:val="08D05BF3"/>
    <w:rsid w:val="08D05C21"/>
    <w:rsid w:val="08D05C34"/>
    <w:rsid w:val="08D05C5A"/>
    <w:rsid w:val="08D05C87"/>
    <w:rsid w:val="08D05CB6"/>
    <w:rsid w:val="08D05D7E"/>
    <w:rsid w:val="08D05D95"/>
    <w:rsid w:val="08D05DAA"/>
    <w:rsid w:val="08D05E68"/>
    <w:rsid w:val="08D05EC7"/>
    <w:rsid w:val="08D05F17"/>
    <w:rsid w:val="08D05F73"/>
    <w:rsid w:val="08D06084"/>
    <w:rsid w:val="08D060CF"/>
    <w:rsid w:val="08D060D3"/>
    <w:rsid w:val="08D06124"/>
    <w:rsid w:val="08D06146"/>
    <w:rsid w:val="08D06186"/>
    <w:rsid w:val="08D0619F"/>
    <w:rsid w:val="08D0621B"/>
    <w:rsid w:val="08D0621E"/>
    <w:rsid w:val="08D06222"/>
    <w:rsid w:val="08D06279"/>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C"/>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1E7"/>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F5"/>
    <w:rsid w:val="08D1028B"/>
    <w:rsid w:val="08D1031F"/>
    <w:rsid w:val="08D10331"/>
    <w:rsid w:val="08D10387"/>
    <w:rsid w:val="08D103E8"/>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0F6"/>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3C"/>
    <w:rsid w:val="08D12263"/>
    <w:rsid w:val="08D12277"/>
    <w:rsid w:val="08D12313"/>
    <w:rsid w:val="08D12397"/>
    <w:rsid w:val="08D123B0"/>
    <w:rsid w:val="08D123C6"/>
    <w:rsid w:val="08D123E3"/>
    <w:rsid w:val="08D12454"/>
    <w:rsid w:val="08D12477"/>
    <w:rsid w:val="08D124F9"/>
    <w:rsid w:val="08D12528"/>
    <w:rsid w:val="08D12531"/>
    <w:rsid w:val="08D125AF"/>
    <w:rsid w:val="08D125C9"/>
    <w:rsid w:val="08D125F8"/>
    <w:rsid w:val="08D12634"/>
    <w:rsid w:val="08D126AD"/>
    <w:rsid w:val="08D127E4"/>
    <w:rsid w:val="08D127FD"/>
    <w:rsid w:val="08D12862"/>
    <w:rsid w:val="08D12969"/>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725"/>
    <w:rsid w:val="08D1373F"/>
    <w:rsid w:val="08D1381B"/>
    <w:rsid w:val="08D13964"/>
    <w:rsid w:val="08D1397E"/>
    <w:rsid w:val="08D13A1F"/>
    <w:rsid w:val="08D13AB9"/>
    <w:rsid w:val="08D13B44"/>
    <w:rsid w:val="08D13B4D"/>
    <w:rsid w:val="08D13B7E"/>
    <w:rsid w:val="08D13BBD"/>
    <w:rsid w:val="08D13C51"/>
    <w:rsid w:val="08D13CA9"/>
    <w:rsid w:val="08D13CFE"/>
    <w:rsid w:val="08D13D14"/>
    <w:rsid w:val="08D13D75"/>
    <w:rsid w:val="08D13E06"/>
    <w:rsid w:val="08D13EC4"/>
    <w:rsid w:val="08D13F4E"/>
    <w:rsid w:val="08D1400B"/>
    <w:rsid w:val="08D1400E"/>
    <w:rsid w:val="08D14187"/>
    <w:rsid w:val="08D142B9"/>
    <w:rsid w:val="08D14318"/>
    <w:rsid w:val="08D143A0"/>
    <w:rsid w:val="08D143B4"/>
    <w:rsid w:val="08D143FF"/>
    <w:rsid w:val="08D144B8"/>
    <w:rsid w:val="08D14510"/>
    <w:rsid w:val="08D14533"/>
    <w:rsid w:val="08D14535"/>
    <w:rsid w:val="08D14550"/>
    <w:rsid w:val="08D145B4"/>
    <w:rsid w:val="08D145DE"/>
    <w:rsid w:val="08D145E4"/>
    <w:rsid w:val="08D14617"/>
    <w:rsid w:val="08D14765"/>
    <w:rsid w:val="08D1482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63B"/>
    <w:rsid w:val="08D156AA"/>
    <w:rsid w:val="08D15728"/>
    <w:rsid w:val="08D1583E"/>
    <w:rsid w:val="08D158A2"/>
    <w:rsid w:val="08D15901"/>
    <w:rsid w:val="08D1590C"/>
    <w:rsid w:val="08D1592D"/>
    <w:rsid w:val="08D159E3"/>
    <w:rsid w:val="08D15A20"/>
    <w:rsid w:val="08D15A96"/>
    <w:rsid w:val="08D15AD7"/>
    <w:rsid w:val="08D15B51"/>
    <w:rsid w:val="08D15C2D"/>
    <w:rsid w:val="08D15C5F"/>
    <w:rsid w:val="08D15C7A"/>
    <w:rsid w:val="08D15C83"/>
    <w:rsid w:val="08D15C9A"/>
    <w:rsid w:val="08D15CD5"/>
    <w:rsid w:val="08D15CEB"/>
    <w:rsid w:val="08D15D13"/>
    <w:rsid w:val="08D15E0C"/>
    <w:rsid w:val="08D15E5C"/>
    <w:rsid w:val="08D160BC"/>
    <w:rsid w:val="08D160E8"/>
    <w:rsid w:val="08D160EA"/>
    <w:rsid w:val="08D16285"/>
    <w:rsid w:val="08D16380"/>
    <w:rsid w:val="08D1640F"/>
    <w:rsid w:val="08D16484"/>
    <w:rsid w:val="08D1653C"/>
    <w:rsid w:val="08D165DF"/>
    <w:rsid w:val="08D165FD"/>
    <w:rsid w:val="08D1679A"/>
    <w:rsid w:val="08D16810"/>
    <w:rsid w:val="08D16854"/>
    <w:rsid w:val="08D168B1"/>
    <w:rsid w:val="08D16909"/>
    <w:rsid w:val="08D1696E"/>
    <w:rsid w:val="08D1698E"/>
    <w:rsid w:val="08D16AF0"/>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27"/>
    <w:rsid w:val="08D17262"/>
    <w:rsid w:val="08D172B3"/>
    <w:rsid w:val="08D17304"/>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45"/>
    <w:rsid w:val="08D17C79"/>
    <w:rsid w:val="08D17D48"/>
    <w:rsid w:val="08D17DD5"/>
    <w:rsid w:val="08D17EC8"/>
    <w:rsid w:val="08D17F71"/>
    <w:rsid w:val="08D2006D"/>
    <w:rsid w:val="08D200D8"/>
    <w:rsid w:val="08D200E4"/>
    <w:rsid w:val="08D2013B"/>
    <w:rsid w:val="08D20221"/>
    <w:rsid w:val="08D2030A"/>
    <w:rsid w:val="08D2035E"/>
    <w:rsid w:val="08D20387"/>
    <w:rsid w:val="08D203E7"/>
    <w:rsid w:val="08D204BC"/>
    <w:rsid w:val="08D20621"/>
    <w:rsid w:val="08D20681"/>
    <w:rsid w:val="08D20859"/>
    <w:rsid w:val="08D20935"/>
    <w:rsid w:val="08D2097C"/>
    <w:rsid w:val="08D20A41"/>
    <w:rsid w:val="08D20A81"/>
    <w:rsid w:val="08D20A9F"/>
    <w:rsid w:val="08D20AEF"/>
    <w:rsid w:val="08D20CE4"/>
    <w:rsid w:val="08D20D28"/>
    <w:rsid w:val="08D20D6C"/>
    <w:rsid w:val="08D20E27"/>
    <w:rsid w:val="08D20E71"/>
    <w:rsid w:val="08D20E95"/>
    <w:rsid w:val="08D20F0A"/>
    <w:rsid w:val="08D20FA0"/>
    <w:rsid w:val="08D21020"/>
    <w:rsid w:val="08D2104D"/>
    <w:rsid w:val="08D21053"/>
    <w:rsid w:val="08D210A2"/>
    <w:rsid w:val="08D2111F"/>
    <w:rsid w:val="08D21120"/>
    <w:rsid w:val="08D21253"/>
    <w:rsid w:val="08D21277"/>
    <w:rsid w:val="08D212C1"/>
    <w:rsid w:val="08D212C9"/>
    <w:rsid w:val="08D212CC"/>
    <w:rsid w:val="08D21391"/>
    <w:rsid w:val="08D2140A"/>
    <w:rsid w:val="08D2140E"/>
    <w:rsid w:val="08D214BC"/>
    <w:rsid w:val="08D214D8"/>
    <w:rsid w:val="08D214DB"/>
    <w:rsid w:val="08D214FE"/>
    <w:rsid w:val="08D2157D"/>
    <w:rsid w:val="08D2158C"/>
    <w:rsid w:val="08D21607"/>
    <w:rsid w:val="08D2162C"/>
    <w:rsid w:val="08D21701"/>
    <w:rsid w:val="08D21744"/>
    <w:rsid w:val="08D217D3"/>
    <w:rsid w:val="08D2183D"/>
    <w:rsid w:val="08D218CC"/>
    <w:rsid w:val="08D21920"/>
    <w:rsid w:val="08D21942"/>
    <w:rsid w:val="08D21944"/>
    <w:rsid w:val="08D2196C"/>
    <w:rsid w:val="08D21A4B"/>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50"/>
    <w:rsid w:val="08D22268"/>
    <w:rsid w:val="08D222C7"/>
    <w:rsid w:val="08D2235F"/>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48"/>
    <w:rsid w:val="08D2475D"/>
    <w:rsid w:val="08D2478B"/>
    <w:rsid w:val="08D247D4"/>
    <w:rsid w:val="08D2482E"/>
    <w:rsid w:val="08D248BB"/>
    <w:rsid w:val="08D24951"/>
    <w:rsid w:val="08D24992"/>
    <w:rsid w:val="08D24A5E"/>
    <w:rsid w:val="08D24A69"/>
    <w:rsid w:val="08D24A92"/>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91"/>
    <w:rsid w:val="08D25BAD"/>
    <w:rsid w:val="08D25C13"/>
    <w:rsid w:val="08D25DB5"/>
    <w:rsid w:val="08D25E83"/>
    <w:rsid w:val="08D25EDB"/>
    <w:rsid w:val="08D25F12"/>
    <w:rsid w:val="08D25F29"/>
    <w:rsid w:val="08D25F4C"/>
    <w:rsid w:val="08D26092"/>
    <w:rsid w:val="08D26118"/>
    <w:rsid w:val="08D2619E"/>
    <w:rsid w:val="08D262F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C5"/>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F2"/>
    <w:rsid w:val="08D30269"/>
    <w:rsid w:val="08D30358"/>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4D"/>
    <w:rsid w:val="08D308AF"/>
    <w:rsid w:val="08D309CA"/>
    <w:rsid w:val="08D30A13"/>
    <w:rsid w:val="08D30A8F"/>
    <w:rsid w:val="08D30AB3"/>
    <w:rsid w:val="08D30AD1"/>
    <w:rsid w:val="08D30AFD"/>
    <w:rsid w:val="08D30B5C"/>
    <w:rsid w:val="08D30BB2"/>
    <w:rsid w:val="08D30C80"/>
    <w:rsid w:val="08D30D6A"/>
    <w:rsid w:val="08D30D7A"/>
    <w:rsid w:val="08D30E4E"/>
    <w:rsid w:val="08D30E57"/>
    <w:rsid w:val="08D30E63"/>
    <w:rsid w:val="08D30EB1"/>
    <w:rsid w:val="08D30EF4"/>
    <w:rsid w:val="08D30F6C"/>
    <w:rsid w:val="08D30F8E"/>
    <w:rsid w:val="08D30FC8"/>
    <w:rsid w:val="08D3114A"/>
    <w:rsid w:val="08D3116D"/>
    <w:rsid w:val="08D311D9"/>
    <w:rsid w:val="08D31211"/>
    <w:rsid w:val="08D31283"/>
    <w:rsid w:val="08D312AC"/>
    <w:rsid w:val="08D31355"/>
    <w:rsid w:val="08D313BB"/>
    <w:rsid w:val="08D31419"/>
    <w:rsid w:val="08D31485"/>
    <w:rsid w:val="08D314BC"/>
    <w:rsid w:val="08D3152E"/>
    <w:rsid w:val="08D3154A"/>
    <w:rsid w:val="08D31682"/>
    <w:rsid w:val="08D31795"/>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A0B"/>
    <w:rsid w:val="08D32ABF"/>
    <w:rsid w:val="08D32C1D"/>
    <w:rsid w:val="08D32CAA"/>
    <w:rsid w:val="08D32D18"/>
    <w:rsid w:val="08D32D24"/>
    <w:rsid w:val="08D32D4F"/>
    <w:rsid w:val="08D32E70"/>
    <w:rsid w:val="08D32EB5"/>
    <w:rsid w:val="08D32F97"/>
    <w:rsid w:val="08D32FB4"/>
    <w:rsid w:val="08D32FE2"/>
    <w:rsid w:val="08D33130"/>
    <w:rsid w:val="08D3313F"/>
    <w:rsid w:val="08D33159"/>
    <w:rsid w:val="08D3315A"/>
    <w:rsid w:val="08D331A2"/>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75"/>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1DA"/>
    <w:rsid w:val="08D34298"/>
    <w:rsid w:val="08D343F8"/>
    <w:rsid w:val="08D34416"/>
    <w:rsid w:val="08D34537"/>
    <w:rsid w:val="08D345D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4E"/>
    <w:rsid w:val="08D352E6"/>
    <w:rsid w:val="08D352EF"/>
    <w:rsid w:val="08D35323"/>
    <w:rsid w:val="08D35333"/>
    <w:rsid w:val="08D35374"/>
    <w:rsid w:val="08D35385"/>
    <w:rsid w:val="08D3538E"/>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65"/>
    <w:rsid w:val="08D35C8E"/>
    <w:rsid w:val="08D35CAB"/>
    <w:rsid w:val="08D35CB0"/>
    <w:rsid w:val="08D35CFA"/>
    <w:rsid w:val="08D35D97"/>
    <w:rsid w:val="08D35E26"/>
    <w:rsid w:val="08D35E46"/>
    <w:rsid w:val="08D35EBF"/>
    <w:rsid w:val="08D35F38"/>
    <w:rsid w:val="08D35F6A"/>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E9"/>
    <w:rsid w:val="08D375F5"/>
    <w:rsid w:val="08D3763B"/>
    <w:rsid w:val="08D37656"/>
    <w:rsid w:val="08D3765D"/>
    <w:rsid w:val="08D376CC"/>
    <w:rsid w:val="08D37721"/>
    <w:rsid w:val="08D37973"/>
    <w:rsid w:val="08D37982"/>
    <w:rsid w:val="08D37ADF"/>
    <w:rsid w:val="08D37B24"/>
    <w:rsid w:val="08D37BAC"/>
    <w:rsid w:val="08D37BDC"/>
    <w:rsid w:val="08D37C18"/>
    <w:rsid w:val="08D37D23"/>
    <w:rsid w:val="08D37D7A"/>
    <w:rsid w:val="08D37DB3"/>
    <w:rsid w:val="08D37DEF"/>
    <w:rsid w:val="08D37E41"/>
    <w:rsid w:val="08D37E6E"/>
    <w:rsid w:val="08D37EEE"/>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BA"/>
    <w:rsid w:val="08D40C4E"/>
    <w:rsid w:val="08D40C72"/>
    <w:rsid w:val="08D40CAB"/>
    <w:rsid w:val="08D40DA0"/>
    <w:rsid w:val="08D40DDC"/>
    <w:rsid w:val="08D40EA2"/>
    <w:rsid w:val="08D40F7E"/>
    <w:rsid w:val="08D41026"/>
    <w:rsid w:val="08D4106D"/>
    <w:rsid w:val="08D410D1"/>
    <w:rsid w:val="08D4110F"/>
    <w:rsid w:val="08D41144"/>
    <w:rsid w:val="08D41160"/>
    <w:rsid w:val="08D41181"/>
    <w:rsid w:val="08D411A2"/>
    <w:rsid w:val="08D411FE"/>
    <w:rsid w:val="08D41293"/>
    <w:rsid w:val="08D412A6"/>
    <w:rsid w:val="08D412B4"/>
    <w:rsid w:val="08D41316"/>
    <w:rsid w:val="08D41343"/>
    <w:rsid w:val="08D41381"/>
    <w:rsid w:val="08D413F3"/>
    <w:rsid w:val="08D4140C"/>
    <w:rsid w:val="08D4143A"/>
    <w:rsid w:val="08D41454"/>
    <w:rsid w:val="08D415B6"/>
    <w:rsid w:val="08D4161D"/>
    <w:rsid w:val="08D4173F"/>
    <w:rsid w:val="08D418EC"/>
    <w:rsid w:val="08D419A0"/>
    <w:rsid w:val="08D419F2"/>
    <w:rsid w:val="08D41A59"/>
    <w:rsid w:val="08D41AAB"/>
    <w:rsid w:val="08D41ACE"/>
    <w:rsid w:val="08D41B20"/>
    <w:rsid w:val="08D41B24"/>
    <w:rsid w:val="08D41B3C"/>
    <w:rsid w:val="08D41B9D"/>
    <w:rsid w:val="08D41BD7"/>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2D9"/>
    <w:rsid w:val="08D43354"/>
    <w:rsid w:val="08D4341C"/>
    <w:rsid w:val="08D434A2"/>
    <w:rsid w:val="08D434A7"/>
    <w:rsid w:val="08D434C7"/>
    <w:rsid w:val="08D434D7"/>
    <w:rsid w:val="08D434DD"/>
    <w:rsid w:val="08D435DC"/>
    <w:rsid w:val="08D43686"/>
    <w:rsid w:val="08D43722"/>
    <w:rsid w:val="08D4389B"/>
    <w:rsid w:val="08D438A3"/>
    <w:rsid w:val="08D438E1"/>
    <w:rsid w:val="08D43928"/>
    <w:rsid w:val="08D43931"/>
    <w:rsid w:val="08D4396B"/>
    <w:rsid w:val="08D4397E"/>
    <w:rsid w:val="08D43A4F"/>
    <w:rsid w:val="08D43A99"/>
    <w:rsid w:val="08D43AC6"/>
    <w:rsid w:val="08D43B83"/>
    <w:rsid w:val="08D43C81"/>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06"/>
    <w:rsid w:val="08D44638"/>
    <w:rsid w:val="08D446D9"/>
    <w:rsid w:val="08D44740"/>
    <w:rsid w:val="08D4474C"/>
    <w:rsid w:val="08D44824"/>
    <w:rsid w:val="08D44886"/>
    <w:rsid w:val="08D44896"/>
    <w:rsid w:val="08D44900"/>
    <w:rsid w:val="08D449B1"/>
    <w:rsid w:val="08D44A6B"/>
    <w:rsid w:val="08D44AE1"/>
    <w:rsid w:val="08D44B91"/>
    <w:rsid w:val="08D44BCB"/>
    <w:rsid w:val="08D44BE4"/>
    <w:rsid w:val="08D44CC9"/>
    <w:rsid w:val="08D44D16"/>
    <w:rsid w:val="08D44DE2"/>
    <w:rsid w:val="08D44DFA"/>
    <w:rsid w:val="08D44E67"/>
    <w:rsid w:val="08D44F21"/>
    <w:rsid w:val="08D44F34"/>
    <w:rsid w:val="08D44FFA"/>
    <w:rsid w:val="08D45019"/>
    <w:rsid w:val="08D45074"/>
    <w:rsid w:val="08D451B0"/>
    <w:rsid w:val="08D452B1"/>
    <w:rsid w:val="08D453A9"/>
    <w:rsid w:val="08D453B9"/>
    <w:rsid w:val="08D45504"/>
    <w:rsid w:val="08D45534"/>
    <w:rsid w:val="08D45541"/>
    <w:rsid w:val="08D45569"/>
    <w:rsid w:val="08D456A3"/>
    <w:rsid w:val="08D456E6"/>
    <w:rsid w:val="08D456FE"/>
    <w:rsid w:val="08D45702"/>
    <w:rsid w:val="08D4571D"/>
    <w:rsid w:val="08D45847"/>
    <w:rsid w:val="08D45848"/>
    <w:rsid w:val="08D45876"/>
    <w:rsid w:val="08D458DF"/>
    <w:rsid w:val="08D4591C"/>
    <w:rsid w:val="08D459C6"/>
    <w:rsid w:val="08D45A54"/>
    <w:rsid w:val="08D45A87"/>
    <w:rsid w:val="08D45B09"/>
    <w:rsid w:val="08D45B8F"/>
    <w:rsid w:val="08D45BB6"/>
    <w:rsid w:val="08D45BBB"/>
    <w:rsid w:val="08D45BD6"/>
    <w:rsid w:val="08D45C07"/>
    <w:rsid w:val="08D45C2B"/>
    <w:rsid w:val="08D45C46"/>
    <w:rsid w:val="08D45C7C"/>
    <w:rsid w:val="08D45C9F"/>
    <w:rsid w:val="08D45DF5"/>
    <w:rsid w:val="08D45E6B"/>
    <w:rsid w:val="08D45EAE"/>
    <w:rsid w:val="08D45EB7"/>
    <w:rsid w:val="08D45EF7"/>
    <w:rsid w:val="08D4603F"/>
    <w:rsid w:val="08D46089"/>
    <w:rsid w:val="08D4609D"/>
    <w:rsid w:val="08D460AF"/>
    <w:rsid w:val="08D460B9"/>
    <w:rsid w:val="08D4617F"/>
    <w:rsid w:val="08D46281"/>
    <w:rsid w:val="08D463B9"/>
    <w:rsid w:val="08D463CC"/>
    <w:rsid w:val="08D4660D"/>
    <w:rsid w:val="08D466E8"/>
    <w:rsid w:val="08D4682A"/>
    <w:rsid w:val="08D46832"/>
    <w:rsid w:val="08D46858"/>
    <w:rsid w:val="08D468E7"/>
    <w:rsid w:val="08D46980"/>
    <w:rsid w:val="08D46A22"/>
    <w:rsid w:val="08D46A8A"/>
    <w:rsid w:val="08D46AA5"/>
    <w:rsid w:val="08D46C54"/>
    <w:rsid w:val="08D46D54"/>
    <w:rsid w:val="08D46D59"/>
    <w:rsid w:val="08D46D67"/>
    <w:rsid w:val="08D46DA2"/>
    <w:rsid w:val="08D46E0D"/>
    <w:rsid w:val="08D46E31"/>
    <w:rsid w:val="08D46EB0"/>
    <w:rsid w:val="08D46F35"/>
    <w:rsid w:val="08D470C8"/>
    <w:rsid w:val="08D471AE"/>
    <w:rsid w:val="08D471CA"/>
    <w:rsid w:val="08D47268"/>
    <w:rsid w:val="08D4729C"/>
    <w:rsid w:val="08D472DA"/>
    <w:rsid w:val="08D4730E"/>
    <w:rsid w:val="08D4732F"/>
    <w:rsid w:val="08D475D0"/>
    <w:rsid w:val="08D475F6"/>
    <w:rsid w:val="08D4760C"/>
    <w:rsid w:val="08D47634"/>
    <w:rsid w:val="08D4769A"/>
    <w:rsid w:val="08D476F3"/>
    <w:rsid w:val="08D47798"/>
    <w:rsid w:val="08D477EE"/>
    <w:rsid w:val="08D47911"/>
    <w:rsid w:val="08D47932"/>
    <w:rsid w:val="08D47AA0"/>
    <w:rsid w:val="08D47AC6"/>
    <w:rsid w:val="08D47B16"/>
    <w:rsid w:val="08D47BF3"/>
    <w:rsid w:val="08D47C14"/>
    <w:rsid w:val="08D47C3A"/>
    <w:rsid w:val="08D47D69"/>
    <w:rsid w:val="08D47DB8"/>
    <w:rsid w:val="08D47EA2"/>
    <w:rsid w:val="08D47FF2"/>
    <w:rsid w:val="08D501A4"/>
    <w:rsid w:val="08D501B5"/>
    <w:rsid w:val="08D50251"/>
    <w:rsid w:val="08D503DF"/>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419"/>
    <w:rsid w:val="08D5144E"/>
    <w:rsid w:val="08D5150A"/>
    <w:rsid w:val="08D51543"/>
    <w:rsid w:val="08D51565"/>
    <w:rsid w:val="08D51591"/>
    <w:rsid w:val="08D515A3"/>
    <w:rsid w:val="08D515AE"/>
    <w:rsid w:val="08D516BB"/>
    <w:rsid w:val="08D516E8"/>
    <w:rsid w:val="08D51736"/>
    <w:rsid w:val="08D5174B"/>
    <w:rsid w:val="08D517AD"/>
    <w:rsid w:val="08D517F8"/>
    <w:rsid w:val="08D5180F"/>
    <w:rsid w:val="08D51843"/>
    <w:rsid w:val="08D51889"/>
    <w:rsid w:val="08D518F5"/>
    <w:rsid w:val="08D51960"/>
    <w:rsid w:val="08D519B1"/>
    <w:rsid w:val="08D519E6"/>
    <w:rsid w:val="08D51A64"/>
    <w:rsid w:val="08D51AC4"/>
    <w:rsid w:val="08D51B63"/>
    <w:rsid w:val="08D51BB2"/>
    <w:rsid w:val="08D51BE6"/>
    <w:rsid w:val="08D51C09"/>
    <w:rsid w:val="08D51C1C"/>
    <w:rsid w:val="08D51C6D"/>
    <w:rsid w:val="08D51CC0"/>
    <w:rsid w:val="08D51D2D"/>
    <w:rsid w:val="08D51DEC"/>
    <w:rsid w:val="08D51F40"/>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7F"/>
    <w:rsid w:val="08D52FB4"/>
    <w:rsid w:val="08D53029"/>
    <w:rsid w:val="08D5303A"/>
    <w:rsid w:val="08D5311E"/>
    <w:rsid w:val="08D5314F"/>
    <w:rsid w:val="08D53171"/>
    <w:rsid w:val="08D531B7"/>
    <w:rsid w:val="08D531C7"/>
    <w:rsid w:val="08D532A2"/>
    <w:rsid w:val="08D5335A"/>
    <w:rsid w:val="08D53438"/>
    <w:rsid w:val="08D53518"/>
    <w:rsid w:val="08D5381F"/>
    <w:rsid w:val="08D5385D"/>
    <w:rsid w:val="08D53882"/>
    <w:rsid w:val="08D539F0"/>
    <w:rsid w:val="08D53A3B"/>
    <w:rsid w:val="08D53A9E"/>
    <w:rsid w:val="08D53BC6"/>
    <w:rsid w:val="08D53BD7"/>
    <w:rsid w:val="08D53C23"/>
    <w:rsid w:val="08D53C64"/>
    <w:rsid w:val="08D53C8F"/>
    <w:rsid w:val="08D53D77"/>
    <w:rsid w:val="08D53DC8"/>
    <w:rsid w:val="08D53EDF"/>
    <w:rsid w:val="08D53F3B"/>
    <w:rsid w:val="08D53F92"/>
    <w:rsid w:val="08D53FFC"/>
    <w:rsid w:val="08D54020"/>
    <w:rsid w:val="08D540AA"/>
    <w:rsid w:val="08D54371"/>
    <w:rsid w:val="08D543C2"/>
    <w:rsid w:val="08D544A2"/>
    <w:rsid w:val="08D544A5"/>
    <w:rsid w:val="08D544F9"/>
    <w:rsid w:val="08D54517"/>
    <w:rsid w:val="08D54525"/>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A6"/>
    <w:rsid w:val="08D54F24"/>
    <w:rsid w:val="08D54F8D"/>
    <w:rsid w:val="08D54FE3"/>
    <w:rsid w:val="08D55043"/>
    <w:rsid w:val="08D55076"/>
    <w:rsid w:val="08D55088"/>
    <w:rsid w:val="08D5527E"/>
    <w:rsid w:val="08D552FD"/>
    <w:rsid w:val="08D5530F"/>
    <w:rsid w:val="08D55347"/>
    <w:rsid w:val="08D553C0"/>
    <w:rsid w:val="08D553FF"/>
    <w:rsid w:val="08D5541C"/>
    <w:rsid w:val="08D55489"/>
    <w:rsid w:val="08D554AC"/>
    <w:rsid w:val="08D554EA"/>
    <w:rsid w:val="08D554FF"/>
    <w:rsid w:val="08D5551E"/>
    <w:rsid w:val="08D5557C"/>
    <w:rsid w:val="08D555BF"/>
    <w:rsid w:val="08D555C9"/>
    <w:rsid w:val="08D55621"/>
    <w:rsid w:val="08D556AD"/>
    <w:rsid w:val="08D5579A"/>
    <w:rsid w:val="08D557C3"/>
    <w:rsid w:val="08D558AD"/>
    <w:rsid w:val="08D55952"/>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1DF"/>
    <w:rsid w:val="08D561E0"/>
    <w:rsid w:val="08D56233"/>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5D"/>
    <w:rsid w:val="08D56A75"/>
    <w:rsid w:val="08D56A7F"/>
    <w:rsid w:val="08D56B38"/>
    <w:rsid w:val="08D56BCE"/>
    <w:rsid w:val="08D56BFE"/>
    <w:rsid w:val="08D56C3E"/>
    <w:rsid w:val="08D56C69"/>
    <w:rsid w:val="08D56C7E"/>
    <w:rsid w:val="08D56CCD"/>
    <w:rsid w:val="08D56D33"/>
    <w:rsid w:val="08D56EB3"/>
    <w:rsid w:val="08D56F12"/>
    <w:rsid w:val="08D56F3B"/>
    <w:rsid w:val="08D57186"/>
    <w:rsid w:val="08D5720D"/>
    <w:rsid w:val="08D5721E"/>
    <w:rsid w:val="08D5733D"/>
    <w:rsid w:val="08D57340"/>
    <w:rsid w:val="08D57392"/>
    <w:rsid w:val="08D57446"/>
    <w:rsid w:val="08D5744E"/>
    <w:rsid w:val="08D575FA"/>
    <w:rsid w:val="08D576B0"/>
    <w:rsid w:val="08D576BC"/>
    <w:rsid w:val="08D5772A"/>
    <w:rsid w:val="08D5774D"/>
    <w:rsid w:val="08D577E1"/>
    <w:rsid w:val="08D5796E"/>
    <w:rsid w:val="08D57975"/>
    <w:rsid w:val="08D57A39"/>
    <w:rsid w:val="08D57ABA"/>
    <w:rsid w:val="08D57B7D"/>
    <w:rsid w:val="08D57BA5"/>
    <w:rsid w:val="08D57C43"/>
    <w:rsid w:val="08D57C5B"/>
    <w:rsid w:val="08D57CA7"/>
    <w:rsid w:val="08D57D20"/>
    <w:rsid w:val="08D57D7E"/>
    <w:rsid w:val="08D57DD6"/>
    <w:rsid w:val="08D57EBB"/>
    <w:rsid w:val="08D57F2F"/>
    <w:rsid w:val="08D57F71"/>
    <w:rsid w:val="08D57F96"/>
    <w:rsid w:val="08D57FE9"/>
    <w:rsid w:val="08D6000A"/>
    <w:rsid w:val="08D6000F"/>
    <w:rsid w:val="08D60080"/>
    <w:rsid w:val="08D60126"/>
    <w:rsid w:val="08D6014A"/>
    <w:rsid w:val="08D601AC"/>
    <w:rsid w:val="08D60249"/>
    <w:rsid w:val="08D6027B"/>
    <w:rsid w:val="08D602C8"/>
    <w:rsid w:val="08D60339"/>
    <w:rsid w:val="08D603E5"/>
    <w:rsid w:val="08D604AE"/>
    <w:rsid w:val="08D6055D"/>
    <w:rsid w:val="08D60592"/>
    <w:rsid w:val="08D605D5"/>
    <w:rsid w:val="08D605DF"/>
    <w:rsid w:val="08D60612"/>
    <w:rsid w:val="08D60628"/>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93"/>
    <w:rsid w:val="08D616C0"/>
    <w:rsid w:val="08D617B1"/>
    <w:rsid w:val="08D617BD"/>
    <w:rsid w:val="08D61851"/>
    <w:rsid w:val="08D618AC"/>
    <w:rsid w:val="08D61918"/>
    <w:rsid w:val="08D61A52"/>
    <w:rsid w:val="08D61A64"/>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3E"/>
    <w:rsid w:val="08D62892"/>
    <w:rsid w:val="08D6291A"/>
    <w:rsid w:val="08D6294E"/>
    <w:rsid w:val="08D62B06"/>
    <w:rsid w:val="08D62C94"/>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01"/>
    <w:rsid w:val="08D6381C"/>
    <w:rsid w:val="08D63935"/>
    <w:rsid w:val="08D6399E"/>
    <w:rsid w:val="08D639FA"/>
    <w:rsid w:val="08D63A36"/>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3FA"/>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45"/>
    <w:rsid w:val="08D64A94"/>
    <w:rsid w:val="08D64ADA"/>
    <w:rsid w:val="08D64AF0"/>
    <w:rsid w:val="08D64B2C"/>
    <w:rsid w:val="08D64B38"/>
    <w:rsid w:val="08D64B65"/>
    <w:rsid w:val="08D64C1C"/>
    <w:rsid w:val="08D64C77"/>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15"/>
    <w:rsid w:val="08D6533E"/>
    <w:rsid w:val="08D65353"/>
    <w:rsid w:val="08D65394"/>
    <w:rsid w:val="08D653D9"/>
    <w:rsid w:val="08D653E0"/>
    <w:rsid w:val="08D653EF"/>
    <w:rsid w:val="08D65586"/>
    <w:rsid w:val="08D65601"/>
    <w:rsid w:val="08D6569B"/>
    <w:rsid w:val="08D65749"/>
    <w:rsid w:val="08D65756"/>
    <w:rsid w:val="08D65769"/>
    <w:rsid w:val="08D65849"/>
    <w:rsid w:val="08D658F9"/>
    <w:rsid w:val="08D65944"/>
    <w:rsid w:val="08D65951"/>
    <w:rsid w:val="08D65A0B"/>
    <w:rsid w:val="08D65B24"/>
    <w:rsid w:val="08D65B44"/>
    <w:rsid w:val="08D65B45"/>
    <w:rsid w:val="08D65CCA"/>
    <w:rsid w:val="08D65CCE"/>
    <w:rsid w:val="08D65CD7"/>
    <w:rsid w:val="08D65D30"/>
    <w:rsid w:val="08D65D54"/>
    <w:rsid w:val="08D65D82"/>
    <w:rsid w:val="08D65E47"/>
    <w:rsid w:val="08D65EDA"/>
    <w:rsid w:val="08D65FFD"/>
    <w:rsid w:val="08D66012"/>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48"/>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BA"/>
    <w:rsid w:val="08D67C2C"/>
    <w:rsid w:val="08D67CD1"/>
    <w:rsid w:val="08D67D15"/>
    <w:rsid w:val="08D67D57"/>
    <w:rsid w:val="08D67E6E"/>
    <w:rsid w:val="08D67EC3"/>
    <w:rsid w:val="08D67F47"/>
    <w:rsid w:val="08D70000"/>
    <w:rsid w:val="08D700C8"/>
    <w:rsid w:val="08D702F9"/>
    <w:rsid w:val="08D7030F"/>
    <w:rsid w:val="08D7042F"/>
    <w:rsid w:val="08D70457"/>
    <w:rsid w:val="08D70499"/>
    <w:rsid w:val="08D704BF"/>
    <w:rsid w:val="08D70514"/>
    <w:rsid w:val="08D705CD"/>
    <w:rsid w:val="08D705CE"/>
    <w:rsid w:val="08D70617"/>
    <w:rsid w:val="08D70638"/>
    <w:rsid w:val="08D7069E"/>
    <w:rsid w:val="08D70731"/>
    <w:rsid w:val="08D7073A"/>
    <w:rsid w:val="08D70750"/>
    <w:rsid w:val="08D70791"/>
    <w:rsid w:val="08D7095F"/>
    <w:rsid w:val="08D70960"/>
    <w:rsid w:val="08D7098F"/>
    <w:rsid w:val="08D709E5"/>
    <w:rsid w:val="08D70AA4"/>
    <w:rsid w:val="08D70AC5"/>
    <w:rsid w:val="08D70B17"/>
    <w:rsid w:val="08D70B44"/>
    <w:rsid w:val="08D70CBF"/>
    <w:rsid w:val="08D70D9A"/>
    <w:rsid w:val="08D70E16"/>
    <w:rsid w:val="08D70E72"/>
    <w:rsid w:val="08D70EE2"/>
    <w:rsid w:val="08D70F0E"/>
    <w:rsid w:val="08D70F36"/>
    <w:rsid w:val="08D70F9A"/>
    <w:rsid w:val="08D71136"/>
    <w:rsid w:val="08D71151"/>
    <w:rsid w:val="08D71156"/>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1F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A"/>
    <w:rsid w:val="08D73BBB"/>
    <w:rsid w:val="08D73CD7"/>
    <w:rsid w:val="08D73D8E"/>
    <w:rsid w:val="08D73E12"/>
    <w:rsid w:val="08D73E50"/>
    <w:rsid w:val="08D73E95"/>
    <w:rsid w:val="08D73ECC"/>
    <w:rsid w:val="08D73ED9"/>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3D"/>
    <w:rsid w:val="08D74E7C"/>
    <w:rsid w:val="08D74ED2"/>
    <w:rsid w:val="08D74EDF"/>
    <w:rsid w:val="08D74FAA"/>
    <w:rsid w:val="08D74FED"/>
    <w:rsid w:val="08D750BF"/>
    <w:rsid w:val="08D75176"/>
    <w:rsid w:val="08D7519A"/>
    <w:rsid w:val="08D751E3"/>
    <w:rsid w:val="08D7530C"/>
    <w:rsid w:val="08D7543F"/>
    <w:rsid w:val="08D7548A"/>
    <w:rsid w:val="08D754C9"/>
    <w:rsid w:val="08D75516"/>
    <w:rsid w:val="08D7554D"/>
    <w:rsid w:val="08D75594"/>
    <w:rsid w:val="08D75723"/>
    <w:rsid w:val="08D75860"/>
    <w:rsid w:val="08D75927"/>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8E3"/>
    <w:rsid w:val="08D768F2"/>
    <w:rsid w:val="08D7698F"/>
    <w:rsid w:val="08D769E1"/>
    <w:rsid w:val="08D76A18"/>
    <w:rsid w:val="08D76A54"/>
    <w:rsid w:val="08D76A84"/>
    <w:rsid w:val="08D76C69"/>
    <w:rsid w:val="08D76D8D"/>
    <w:rsid w:val="08D76D9B"/>
    <w:rsid w:val="08D76E18"/>
    <w:rsid w:val="08D76E42"/>
    <w:rsid w:val="08D76FE5"/>
    <w:rsid w:val="08D7703D"/>
    <w:rsid w:val="08D77052"/>
    <w:rsid w:val="08D77085"/>
    <w:rsid w:val="08D7709D"/>
    <w:rsid w:val="08D77183"/>
    <w:rsid w:val="08D77201"/>
    <w:rsid w:val="08D77230"/>
    <w:rsid w:val="08D77250"/>
    <w:rsid w:val="08D7728F"/>
    <w:rsid w:val="08D77305"/>
    <w:rsid w:val="08D773B3"/>
    <w:rsid w:val="08D7742F"/>
    <w:rsid w:val="08D774EB"/>
    <w:rsid w:val="08D775A2"/>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4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69"/>
    <w:rsid w:val="08D81CEB"/>
    <w:rsid w:val="08D81D08"/>
    <w:rsid w:val="08D81D0F"/>
    <w:rsid w:val="08D81DC5"/>
    <w:rsid w:val="08D81DF6"/>
    <w:rsid w:val="08D81EC0"/>
    <w:rsid w:val="08D81FBC"/>
    <w:rsid w:val="08D820A0"/>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6F5"/>
    <w:rsid w:val="08D82772"/>
    <w:rsid w:val="08D827CB"/>
    <w:rsid w:val="08D82856"/>
    <w:rsid w:val="08D82897"/>
    <w:rsid w:val="08D82898"/>
    <w:rsid w:val="08D828FB"/>
    <w:rsid w:val="08D8292D"/>
    <w:rsid w:val="08D829EA"/>
    <w:rsid w:val="08D82A25"/>
    <w:rsid w:val="08D82A6C"/>
    <w:rsid w:val="08D82B01"/>
    <w:rsid w:val="08D82C3A"/>
    <w:rsid w:val="08D82C7B"/>
    <w:rsid w:val="08D82D22"/>
    <w:rsid w:val="08D82D30"/>
    <w:rsid w:val="08D82DED"/>
    <w:rsid w:val="08D82DF0"/>
    <w:rsid w:val="08D82E7A"/>
    <w:rsid w:val="08D82F76"/>
    <w:rsid w:val="08D82FD4"/>
    <w:rsid w:val="08D83061"/>
    <w:rsid w:val="08D83082"/>
    <w:rsid w:val="08D83106"/>
    <w:rsid w:val="08D8316C"/>
    <w:rsid w:val="08D8318D"/>
    <w:rsid w:val="08D831DE"/>
    <w:rsid w:val="08D832E2"/>
    <w:rsid w:val="08D83329"/>
    <w:rsid w:val="08D833B4"/>
    <w:rsid w:val="08D8342C"/>
    <w:rsid w:val="08D8347F"/>
    <w:rsid w:val="08D83672"/>
    <w:rsid w:val="08D83691"/>
    <w:rsid w:val="08D8369A"/>
    <w:rsid w:val="08D83738"/>
    <w:rsid w:val="08D83815"/>
    <w:rsid w:val="08D838A2"/>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502"/>
    <w:rsid w:val="08D8559B"/>
    <w:rsid w:val="08D85715"/>
    <w:rsid w:val="08D8578C"/>
    <w:rsid w:val="08D857E8"/>
    <w:rsid w:val="08D85807"/>
    <w:rsid w:val="08D85818"/>
    <w:rsid w:val="08D8586A"/>
    <w:rsid w:val="08D8586E"/>
    <w:rsid w:val="08D85882"/>
    <w:rsid w:val="08D858F6"/>
    <w:rsid w:val="08D85908"/>
    <w:rsid w:val="08D85921"/>
    <w:rsid w:val="08D85972"/>
    <w:rsid w:val="08D85997"/>
    <w:rsid w:val="08D85A39"/>
    <w:rsid w:val="08D85A65"/>
    <w:rsid w:val="08D85ACB"/>
    <w:rsid w:val="08D85AFB"/>
    <w:rsid w:val="08D85B06"/>
    <w:rsid w:val="08D85D13"/>
    <w:rsid w:val="08D85D54"/>
    <w:rsid w:val="08D85DB5"/>
    <w:rsid w:val="08D85E57"/>
    <w:rsid w:val="08D85E95"/>
    <w:rsid w:val="08D85EE5"/>
    <w:rsid w:val="08D85F18"/>
    <w:rsid w:val="08D85FD9"/>
    <w:rsid w:val="08D86035"/>
    <w:rsid w:val="08D86065"/>
    <w:rsid w:val="08D86071"/>
    <w:rsid w:val="08D86080"/>
    <w:rsid w:val="08D860ED"/>
    <w:rsid w:val="08D86153"/>
    <w:rsid w:val="08D861AC"/>
    <w:rsid w:val="08D86219"/>
    <w:rsid w:val="08D8622C"/>
    <w:rsid w:val="08D8623B"/>
    <w:rsid w:val="08D86275"/>
    <w:rsid w:val="08D862F7"/>
    <w:rsid w:val="08D86318"/>
    <w:rsid w:val="08D8634C"/>
    <w:rsid w:val="08D86397"/>
    <w:rsid w:val="08D863A1"/>
    <w:rsid w:val="08D86417"/>
    <w:rsid w:val="08D864C3"/>
    <w:rsid w:val="08D865B4"/>
    <w:rsid w:val="08D866D7"/>
    <w:rsid w:val="08D86843"/>
    <w:rsid w:val="08D868B5"/>
    <w:rsid w:val="08D868C2"/>
    <w:rsid w:val="08D868C8"/>
    <w:rsid w:val="08D868E7"/>
    <w:rsid w:val="08D8691D"/>
    <w:rsid w:val="08D86926"/>
    <w:rsid w:val="08D86934"/>
    <w:rsid w:val="08D86A26"/>
    <w:rsid w:val="08D86A98"/>
    <w:rsid w:val="08D86AFD"/>
    <w:rsid w:val="08D86B0A"/>
    <w:rsid w:val="08D86B3E"/>
    <w:rsid w:val="08D86BE3"/>
    <w:rsid w:val="08D86C28"/>
    <w:rsid w:val="08D86C4F"/>
    <w:rsid w:val="08D86C5C"/>
    <w:rsid w:val="08D86DF4"/>
    <w:rsid w:val="08D86E9E"/>
    <w:rsid w:val="08D86EC2"/>
    <w:rsid w:val="08D86F7E"/>
    <w:rsid w:val="08D8709F"/>
    <w:rsid w:val="08D87175"/>
    <w:rsid w:val="08D8719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03"/>
    <w:rsid w:val="08D87AE5"/>
    <w:rsid w:val="08D87BBC"/>
    <w:rsid w:val="08D87C4D"/>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BC9"/>
    <w:rsid w:val="08D90C05"/>
    <w:rsid w:val="08D90D1F"/>
    <w:rsid w:val="08D90D37"/>
    <w:rsid w:val="08D90D8A"/>
    <w:rsid w:val="08D90E69"/>
    <w:rsid w:val="08D90F98"/>
    <w:rsid w:val="08D91028"/>
    <w:rsid w:val="08D910C4"/>
    <w:rsid w:val="08D91156"/>
    <w:rsid w:val="08D9115E"/>
    <w:rsid w:val="08D91326"/>
    <w:rsid w:val="08D91381"/>
    <w:rsid w:val="08D91387"/>
    <w:rsid w:val="08D913D3"/>
    <w:rsid w:val="08D9142C"/>
    <w:rsid w:val="08D9144C"/>
    <w:rsid w:val="08D914D9"/>
    <w:rsid w:val="08D914E3"/>
    <w:rsid w:val="08D915D6"/>
    <w:rsid w:val="08D91742"/>
    <w:rsid w:val="08D91795"/>
    <w:rsid w:val="08D917FF"/>
    <w:rsid w:val="08D91865"/>
    <w:rsid w:val="08D91897"/>
    <w:rsid w:val="08D918CA"/>
    <w:rsid w:val="08D9190A"/>
    <w:rsid w:val="08D91915"/>
    <w:rsid w:val="08D91A78"/>
    <w:rsid w:val="08D91A90"/>
    <w:rsid w:val="08D91A96"/>
    <w:rsid w:val="08D91B21"/>
    <w:rsid w:val="08D91B49"/>
    <w:rsid w:val="08D91BE4"/>
    <w:rsid w:val="08D91BE8"/>
    <w:rsid w:val="08D91BF5"/>
    <w:rsid w:val="08D91CEA"/>
    <w:rsid w:val="08D91DD8"/>
    <w:rsid w:val="08D91DF9"/>
    <w:rsid w:val="08D91F67"/>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A0"/>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6F"/>
    <w:rsid w:val="08D92DF8"/>
    <w:rsid w:val="08D92E48"/>
    <w:rsid w:val="08D92E57"/>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94"/>
    <w:rsid w:val="08D93CEF"/>
    <w:rsid w:val="08D93D0A"/>
    <w:rsid w:val="08D93D20"/>
    <w:rsid w:val="08D93D43"/>
    <w:rsid w:val="08D93D7D"/>
    <w:rsid w:val="08D93E3A"/>
    <w:rsid w:val="08D93EBC"/>
    <w:rsid w:val="08D93F50"/>
    <w:rsid w:val="08D93F67"/>
    <w:rsid w:val="08D9401C"/>
    <w:rsid w:val="08D940AE"/>
    <w:rsid w:val="08D940FA"/>
    <w:rsid w:val="08D94113"/>
    <w:rsid w:val="08D94192"/>
    <w:rsid w:val="08D941DB"/>
    <w:rsid w:val="08D9424F"/>
    <w:rsid w:val="08D94286"/>
    <w:rsid w:val="08D942C0"/>
    <w:rsid w:val="08D94313"/>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CF9"/>
    <w:rsid w:val="08D94D0B"/>
    <w:rsid w:val="08D94D6D"/>
    <w:rsid w:val="08D94D6F"/>
    <w:rsid w:val="08D94D85"/>
    <w:rsid w:val="08D94DAC"/>
    <w:rsid w:val="08D94DB5"/>
    <w:rsid w:val="08D94DEE"/>
    <w:rsid w:val="08D94DF0"/>
    <w:rsid w:val="08D94E7F"/>
    <w:rsid w:val="08D94FEA"/>
    <w:rsid w:val="08D94FF0"/>
    <w:rsid w:val="08D950FE"/>
    <w:rsid w:val="08D95103"/>
    <w:rsid w:val="08D95166"/>
    <w:rsid w:val="08D95182"/>
    <w:rsid w:val="08D951E7"/>
    <w:rsid w:val="08D951E8"/>
    <w:rsid w:val="08D9521B"/>
    <w:rsid w:val="08D95230"/>
    <w:rsid w:val="08D952E8"/>
    <w:rsid w:val="08D953D3"/>
    <w:rsid w:val="08D95597"/>
    <w:rsid w:val="08D95605"/>
    <w:rsid w:val="08D9569B"/>
    <w:rsid w:val="08D956C3"/>
    <w:rsid w:val="08D957A1"/>
    <w:rsid w:val="08D957BD"/>
    <w:rsid w:val="08D958AE"/>
    <w:rsid w:val="08D95901"/>
    <w:rsid w:val="08D9599E"/>
    <w:rsid w:val="08D95AE8"/>
    <w:rsid w:val="08D95AFF"/>
    <w:rsid w:val="08D95BA3"/>
    <w:rsid w:val="08D95BDC"/>
    <w:rsid w:val="08D95C61"/>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E9"/>
    <w:rsid w:val="08D96AFB"/>
    <w:rsid w:val="08D96B33"/>
    <w:rsid w:val="08D96B90"/>
    <w:rsid w:val="08D96C69"/>
    <w:rsid w:val="08D96C8A"/>
    <w:rsid w:val="08D96CFB"/>
    <w:rsid w:val="08D96D21"/>
    <w:rsid w:val="08D96D66"/>
    <w:rsid w:val="08D96EB5"/>
    <w:rsid w:val="08D96EB7"/>
    <w:rsid w:val="08D96EE2"/>
    <w:rsid w:val="08D96EF0"/>
    <w:rsid w:val="08D96F67"/>
    <w:rsid w:val="08D96F75"/>
    <w:rsid w:val="08D96F81"/>
    <w:rsid w:val="08D96FD0"/>
    <w:rsid w:val="08D97003"/>
    <w:rsid w:val="08D9719D"/>
    <w:rsid w:val="08D97387"/>
    <w:rsid w:val="08D973B3"/>
    <w:rsid w:val="08D975EC"/>
    <w:rsid w:val="08D976A7"/>
    <w:rsid w:val="08D97810"/>
    <w:rsid w:val="08D97862"/>
    <w:rsid w:val="08D97892"/>
    <w:rsid w:val="08D97913"/>
    <w:rsid w:val="08D97960"/>
    <w:rsid w:val="08D9799C"/>
    <w:rsid w:val="08D97A1E"/>
    <w:rsid w:val="08D97B25"/>
    <w:rsid w:val="08D97B41"/>
    <w:rsid w:val="08D97C18"/>
    <w:rsid w:val="08D97C26"/>
    <w:rsid w:val="08D97C34"/>
    <w:rsid w:val="08D97C35"/>
    <w:rsid w:val="08D97CC6"/>
    <w:rsid w:val="08D97D4D"/>
    <w:rsid w:val="08D97D62"/>
    <w:rsid w:val="08D97D84"/>
    <w:rsid w:val="08D97D89"/>
    <w:rsid w:val="08D97DE0"/>
    <w:rsid w:val="08D97E43"/>
    <w:rsid w:val="08D97E73"/>
    <w:rsid w:val="08D97F1D"/>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12"/>
    <w:rsid w:val="08DA067A"/>
    <w:rsid w:val="08DA067F"/>
    <w:rsid w:val="08DA0680"/>
    <w:rsid w:val="08DA070B"/>
    <w:rsid w:val="08DA072A"/>
    <w:rsid w:val="08DA0778"/>
    <w:rsid w:val="08DA078A"/>
    <w:rsid w:val="08DA07B0"/>
    <w:rsid w:val="08DA0821"/>
    <w:rsid w:val="08DA0823"/>
    <w:rsid w:val="08DA0970"/>
    <w:rsid w:val="08DA09E5"/>
    <w:rsid w:val="08DA0CE5"/>
    <w:rsid w:val="08DA0D0B"/>
    <w:rsid w:val="08DA0E0E"/>
    <w:rsid w:val="08DA0F3C"/>
    <w:rsid w:val="08DA1014"/>
    <w:rsid w:val="08DA10B9"/>
    <w:rsid w:val="08DA11B0"/>
    <w:rsid w:val="08DA11E4"/>
    <w:rsid w:val="08DA11F9"/>
    <w:rsid w:val="08DA134B"/>
    <w:rsid w:val="08DA13F2"/>
    <w:rsid w:val="08DA1412"/>
    <w:rsid w:val="08DA1422"/>
    <w:rsid w:val="08DA146D"/>
    <w:rsid w:val="08DA157D"/>
    <w:rsid w:val="08DA1602"/>
    <w:rsid w:val="08DA165E"/>
    <w:rsid w:val="08DA1661"/>
    <w:rsid w:val="08DA166B"/>
    <w:rsid w:val="08DA16BF"/>
    <w:rsid w:val="08DA18D7"/>
    <w:rsid w:val="08DA1928"/>
    <w:rsid w:val="08DA192C"/>
    <w:rsid w:val="08DA1990"/>
    <w:rsid w:val="08DA1A4D"/>
    <w:rsid w:val="08DA1AD4"/>
    <w:rsid w:val="08DA1BD2"/>
    <w:rsid w:val="08DA1C0A"/>
    <w:rsid w:val="08DA1DAA"/>
    <w:rsid w:val="08DA1DB7"/>
    <w:rsid w:val="08DA1E59"/>
    <w:rsid w:val="08DA1E9A"/>
    <w:rsid w:val="08DA1EC3"/>
    <w:rsid w:val="08DA1EEC"/>
    <w:rsid w:val="08DA1F55"/>
    <w:rsid w:val="08DA1FF8"/>
    <w:rsid w:val="08DA2018"/>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8FF"/>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12"/>
    <w:rsid w:val="08DA3324"/>
    <w:rsid w:val="08DA3378"/>
    <w:rsid w:val="08DA346C"/>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9F9"/>
    <w:rsid w:val="08DA3B6C"/>
    <w:rsid w:val="08DA3BA2"/>
    <w:rsid w:val="08DA3BF9"/>
    <w:rsid w:val="08DA3C97"/>
    <w:rsid w:val="08DA3CD8"/>
    <w:rsid w:val="08DA3CF6"/>
    <w:rsid w:val="08DA3EF5"/>
    <w:rsid w:val="08DA3FC3"/>
    <w:rsid w:val="08DA3FF5"/>
    <w:rsid w:val="08DA40EA"/>
    <w:rsid w:val="08DA4120"/>
    <w:rsid w:val="08DA42F9"/>
    <w:rsid w:val="08DA4443"/>
    <w:rsid w:val="08DA44F3"/>
    <w:rsid w:val="08DA458B"/>
    <w:rsid w:val="08DA45F3"/>
    <w:rsid w:val="08DA469F"/>
    <w:rsid w:val="08DA46B8"/>
    <w:rsid w:val="08DA47A5"/>
    <w:rsid w:val="08DA4899"/>
    <w:rsid w:val="08DA4943"/>
    <w:rsid w:val="08DA496A"/>
    <w:rsid w:val="08DA4997"/>
    <w:rsid w:val="08DA49C9"/>
    <w:rsid w:val="08DA4A2F"/>
    <w:rsid w:val="08DA4BDE"/>
    <w:rsid w:val="08DA4BED"/>
    <w:rsid w:val="08DA4C16"/>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DC3"/>
    <w:rsid w:val="08DA5E16"/>
    <w:rsid w:val="08DA5EE7"/>
    <w:rsid w:val="08DA5F3F"/>
    <w:rsid w:val="08DA5F93"/>
    <w:rsid w:val="08DA5F9D"/>
    <w:rsid w:val="08DA5FED"/>
    <w:rsid w:val="08DA5FF9"/>
    <w:rsid w:val="08DA6041"/>
    <w:rsid w:val="08DA604B"/>
    <w:rsid w:val="08DA61AA"/>
    <w:rsid w:val="08DA62AF"/>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6EDA"/>
    <w:rsid w:val="08DA7028"/>
    <w:rsid w:val="08DA702E"/>
    <w:rsid w:val="08DA70B5"/>
    <w:rsid w:val="08DA70E6"/>
    <w:rsid w:val="08DA710A"/>
    <w:rsid w:val="08DA712F"/>
    <w:rsid w:val="08DA7154"/>
    <w:rsid w:val="08DA7248"/>
    <w:rsid w:val="08DA7393"/>
    <w:rsid w:val="08DA739F"/>
    <w:rsid w:val="08DA7436"/>
    <w:rsid w:val="08DA74E0"/>
    <w:rsid w:val="08DA750E"/>
    <w:rsid w:val="08DA7527"/>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A0"/>
    <w:rsid w:val="08DB051A"/>
    <w:rsid w:val="08DB0530"/>
    <w:rsid w:val="08DB05CF"/>
    <w:rsid w:val="08DB072E"/>
    <w:rsid w:val="08DB0754"/>
    <w:rsid w:val="08DB089E"/>
    <w:rsid w:val="08DB092B"/>
    <w:rsid w:val="08DB09F4"/>
    <w:rsid w:val="08DB0A46"/>
    <w:rsid w:val="08DB0AFD"/>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65"/>
    <w:rsid w:val="08DB1511"/>
    <w:rsid w:val="08DB155B"/>
    <w:rsid w:val="08DB155D"/>
    <w:rsid w:val="08DB1601"/>
    <w:rsid w:val="08DB1616"/>
    <w:rsid w:val="08DB16B7"/>
    <w:rsid w:val="08DB1719"/>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0CB"/>
    <w:rsid w:val="08DB213B"/>
    <w:rsid w:val="08DB21F4"/>
    <w:rsid w:val="08DB224F"/>
    <w:rsid w:val="08DB22DF"/>
    <w:rsid w:val="08DB22E6"/>
    <w:rsid w:val="08DB2336"/>
    <w:rsid w:val="08DB23C3"/>
    <w:rsid w:val="08DB23E6"/>
    <w:rsid w:val="08DB2402"/>
    <w:rsid w:val="08DB2442"/>
    <w:rsid w:val="08DB247B"/>
    <w:rsid w:val="08DB2528"/>
    <w:rsid w:val="08DB2585"/>
    <w:rsid w:val="08DB2621"/>
    <w:rsid w:val="08DB27A9"/>
    <w:rsid w:val="08DB28A6"/>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87"/>
    <w:rsid w:val="08DB2FB3"/>
    <w:rsid w:val="08DB3051"/>
    <w:rsid w:val="08DB3095"/>
    <w:rsid w:val="08DB314A"/>
    <w:rsid w:val="08DB3185"/>
    <w:rsid w:val="08DB319A"/>
    <w:rsid w:val="08DB31DC"/>
    <w:rsid w:val="08DB31FA"/>
    <w:rsid w:val="08DB32A3"/>
    <w:rsid w:val="08DB3467"/>
    <w:rsid w:val="08DB347F"/>
    <w:rsid w:val="08DB34CB"/>
    <w:rsid w:val="08DB35AC"/>
    <w:rsid w:val="08DB35F9"/>
    <w:rsid w:val="08DB3601"/>
    <w:rsid w:val="08DB361A"/>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832"/>
    <w:rsid w:val="08DB588F"/>
    <w:rsid w:val="08DB59C7"/>
    <w:rsid w:val="08DB59CB"/>
    <w:rsid w:val="08DB5A19"/>
    <w:rsid w:val="08DB5A97"/>
    <w:rsid w:val="08DB5C5D"/>
    <w:rsid w:val="08DB5C9D"/>
    <w:rsid w:val="08DB5CCF"/>
    <w:rsid w:val="08DB5D91"/>
    <w:rsid w:val="08DB5DC8"/>
    <w:rsid w:val="08DB5DD3"/>
    <w:rsid w:val="08DB5E8E"/>
    <w:rsid w:val="08DB5EF6"/>
    <w:rsid w:val="08DB5EFF"/>
    <w:rsid w:val="08DB5FE1"/>
    <w:rsid w:val="08DB60B9"/>
    <w:rsid w:val="08DB6103"/>
    <w:rsid w:val="08DB61BE"/>
    <w:rsid w:val="08DB6382"/>
    <w:rsid w:val="08DB6430"/>
    <w:rsid w:val="08DB6439"/>
    <w:rsid w:val="08DB6487"/>
    <w:rsid w:val="08DB64CF"/>
    <w:rsid w:val="08DB656B"/>
    <w:rsid w:val="08DB6578"/>
    <w:rsid w:val="08DB6594"/>
    <w:rsid w:val="08DB65C3"/>
    <w:rsid w:val="08DB664A"/>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D9A"/>
    <w:rsid w:val="08DB6E76"/>
    <w:rsid w:val="08DB6EF7"/>
    <w:rsid w:val="08DB6F48"/>
    <w:rsid w:val="08DB6F50"/>
    <w:rsid w:val="08DB70F8"/>
    <w:rsid w:val="08DB70FE"/>
    <w:rsid w:val="08DB7125"/>
    <w:rsid w:val="08DB7139"/>
    <w:rsid w:val="08DB7149"/>
    <w:rsid w:val="08DB717B"/>
    <w:rsid w:val="08DB7233"/>
    <w:rsid w:val="08DB7356"/>
    <w:rsid w:val="08DB742A"/>
    <w:rsid w:val="08DB74EA"/>
    <w:rsid w:val="08DB75B3"/>
    <w:rsid w:val="08DB762D"/>
    <w:rsid w:val="08DB7639"/>
    <w:rsid w:val="08DB7736"/>
    <w:rsid w:val="08DB77B5"/>
    <w:rsid w:val="08DB77DB"/>
    <w:rsid w:val="08DB789A"/>
    <w:rsid w:val="08DB796F"/>
    <w:rsid w:val="08DB79C9"/>
    <w:rsid w:val="08DB7A3A"/>
    <w:rsid w:val="08DB7A94"/>
    <w:rsid w:val="08DB7AB7"/>
    <w:rsid w:val="08DB7B3A"/>
    <w:rsid w:val="08DB7BE3"/>
    <w:rsid w:val="08DB7D4B"/>
    <w:rsid w:val="08DB7E45"/>
    <w:rsid w:val="08DB7FCF"/>
    <w:rsid w:val="08DC00DC"/>
    <w:rsid w:val="08DC00EF"/>
    <w:rsid w:val="08DC010F"/>
    <w:rsid w:val="08DC01AB"/>
    <w:rsid w:val="08DC01E7"/>
    <w:rsid w:val="08DC029C"/>
    <w:rsid w:val="08DC039A"/>
    <w:rsid w:val="08DC03B2"/>
    <w:rsid w:val="08DC03C5"/>
    <w:rsid w:val="08DC0410"/>
    <w:rsid w:val="08DC042C"/>
    <w:rsid w:val="08DC04A1"/>
    <w:rsid w:val="08DC0577"/>
    <w:rsid w:val="08DC05A9"/>
    <w:rsid w:val="08DC0635"/>
    <w:rsid w:val="08DC06CE"/>
    <w:rsid w:val="08DC07E8"/>
    <w:rsid w:val="08DC0819"/>
    <w:rsid w:val="08DC083E"/>
    <w:rsid w:val="08DC0848"/>
    <w:rsid w:val="08DC09E7"/>
    <w:rsid w:val="08DC0A07"/>
    <w:rsid w:val="08DC0A67"/>
    <w:rsid w:val="08DC0AC6"/>
    <w:rsid w:val="08DC0B2D"/>
    <w:rsid w:val="08DC0C23"/>
    <w:rsid w:val="08DC0CBA"/>
    <w:rsid w:val="08DC0CCD"/>
    <w:rsid w:val="08DC0D71"/>
    <w:rsid w:val="08DC0DC2"/>
    <w:rsid w:val="08DC0E70"/>
    <w:rsid w:val="08DC0EA3"/>
    <w:rsid w:val="08DC0F3F"/>
    <w:rsid w:val="08DC0FEE"/>
    <w:rsid w:val="08DC11BF"/>
    <w:rsid w:val="08DC12AF"/>
    <w:rsid w:val="08DC1360"/>
    <w:rsid w:val="08DC1508"/>
    <w:rsid w:val="08DC152E"/>
    <w:rsid w:val="08DC1568"/>
    <w:rsid w:val="08DC15B1"/>
    <w:rsid w:val="08DC16A6"/>
    <w:rsid w:val="08DC1729"/>
    <w:rsid w:val="08DC172A"/>
    <w:rsid w:val="08DC1750"/>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398"/>
    <w:rsid w:val="08DC26A7"/>
    <w:rsid w:val="08DC28DA"/>
    <w:rsid w:val="08DC28DF"/>
    <w:rsid w:val="08DC294B"/>
    <w:rsid w:val="08DC297F"/>
    <w:rsid w:val="08DC299B"/>
    <w:rsid w:val="08DC29A1"/>
    <w:rsid w:val="08DC2A3F"/>
    <w:rsid w:val="08DC2AD7"/>
    <w:rsid w:val="08DC2B44"/>
    <w:rsid w:val="08DC2C7C"/>
    <w:rsid w:val="08DC2C98"/>
    <w:rsid w:val="08DC2CC0"/>
    <w:rsid w:val="08DC2CD0"/>
    <w:rsid w:val="08DC2CEB"/>
    <w:rsid w:val="08DC2D22"/>
    <w:rsid w:val="08DC2D2C"/>
    <w:rsid w:val="08DC2D69"/>
    <w:rsid w:val="08DC2DB8"/>
    <w:rsid w:val="08DC2E86"/>
    <w:rsid w:val="08DC2EC2"/>
    <w:rsid w:val="08DC2ED9"/>
    <w:rsid w:val="08DC2EDF"/>
    <w:rsid w:val="08DC2F6B"/>
    <w:rsid w:val="08DC2F7A"/>
    <w:rsid w:val="08DC312F"/>
    <w:rsid w:val="08DC3250"/>
    <w:rsid w:val="08DC32FB"/>
    <w:rsid w:val="08DC3344"/>
    <w:rsid w:val="08DC33BF"/>
    <w:rsid w:val="08DC340B"/>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20"/>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7FE"/>
    <w:rsid w:val="08DC5809"/>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5F5C"/>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0E"/>
    <w:rsid w:val="08DD0E93"/>
    <w:rsid w:val="08DD0F7B"/>
    <w:rsid w:val="08DD0F8A"/>
    <w:rsid w:val="08DD0FBD"/>
    <w:rsid w:val="08DD1040"/>
    <w:rsid w:val="08DD10AF"/>
    <w:rsid w:val="08DD1149"/>
    <w:rsid w:val="08DD1160"/>
    <w:rsid w:val="08DD11F5"/>
    <w:rsid w:val="08DD1318"/>
    <w:rsid w:val="08DD13F3"/>
    <w:rsid w:val="08DD1501"/>
    <w:rsid w:val="08DD1547"/>
    <w:rsid w:val="08DD17AA"/>
    <w:rsid w:val="08DD1807"/>
    <w:rsid w:val="08DD1887"/>
    <w:rsid w:val="08DD18C5"/>
    <w:rsid w:val="08DD18D3"/>
    <w:rsid w:val="08DD198D"/>
    <w:rsid w:val="08DD1A0B"/>
    <w:rsid w:val="08DD1A5A"/>
    <w:rsid w:val="08DD1B16"/>
    <w:rsid w:val="08DD1B7B"/>
    <w:rsid w:val="08DD1BED"/>
    <w:rsid w:val="08DD1C4E"/>
    <w:rsid w:val="08DD1CAA"/>
    <w:rsid w:val="08DD1CAF"/>
    <w:rsid w:val="08DD1CEA"/>
    <w:rsid w:val="08DD1DB7"/>
    <w:rsid w:val="08DD1DD3"/>
    <w:rsid w:val="08DD1EA0"/>
    <w:rsid w:val="08DD1FB8"/>
    <w:rsid w:val="08DD1FE3"/>
    <w:rsid w:val="08DD1FEA"/>
    <w:rsid w:val="08DD2004"/>
    <w:rsid w:val="08DD2006"/>
    <w:rsid w:val="08DD2077"/>
    <w:rsid w:val="08DD207D"/>
    <w:rsid w:val="08DD20E8"/>
    <w:rsid w:val="08DD210F"/>
    <w:rsid w:val="08DD2130"/>
    <w:rsid w:val="08DD2143"/>
    <w:rsid w:val="08DD2197"/>
    <w:rsid w:val="08DD21E4"/>
    <w:rsid w:val="08DD244F"/>
    <w:rsid w:val="08DD251E"/>
    <w:rsid w:val="08DD254E"/>
    <w:rsid w:val="08DD265D"/>
    <w:rsid w:val="08DD26BA"/>
    <w:rsid w:val="08DD271E"/>
    <w:rsid w:val="08DD27A3"/>
    <w:rsid w:val="08DD2859"/>
    <w:rsid w:val="08DD2873"/>
    <w:rsid w:val="08DD28CE"/>
    <w:rsid w:val="08DD28F7"/>
    <w:rsid w:val="08DD291C"/>
    <w:rsid w:val="08DD2948"/>
    <w:rsid w:val="08DD2967"/>
    <w:rsid w:val="08DD2984"/>
    <w:rsid w:val="08DD29A4"/>
    <w:rsid w:val="08DD29B0"/>
    <w:rsid w:val="08DD29E1"/>
    <w:rsid w:val="08DD2A3C"/>
    <w:rsid w:val="08DD2A5E"/>
    <w:rsid w:val="08DD2A93"/>
    <w:rsid w:val="08DD2AA4"/>
    <w:rsid w:val="08DD2B2F"/>
    <w:rsid w:val="08DD2BC5"/>
    <w:rsid w:val="08DD2BCF"/>
    <w:rsid w:val="08DD2C1E"/>
    <w:rsid w:val="08DD2C9C"/>
    <w:rsid w:val="08DD2CAF"/>
    <w:rsid w:val="08DD2CFC"/>
    <w:rsid w:val="08DD2CFF"/>
    <w:rsid w:val="08DD2DC1"/>
    <w:rsid w:val="08DD2E62"/>
    <w:rsid w:val="08DD2F12"/>
    <w:rsid w:val="08DD2F62"/>
    <w:rsid w:val="08DD302D"/>
    <w:rsid w:val="08DD3050"/>
    <w:rsid w:val="08DD3051"/>
    <w:rsid w:val="08DD30A2"/>
    <w:rsid w:val="08DD30D1"/>
    <w:rsid w:val="08DD314D"/>
    <w:rsid w:val="08DD316A"/>
    <w:rsid w:val="08DD316F"/>
    <w:rsid w:val="08DD317C"/>
    <w:rsid w:val="08DD31D1"/>
    <w:rsid w:val="08DD31DD"/>
    <w:rsid w:val="08DD31EF"/>
    <w:rsid w:val="08DD31FF"/>
    <w:rsid w:val="08DD32BB"/>
    <w:rsid w:val="08DD340D"/>
    <w:rsid w:val="08DD341C"/>
    <w:rsid w:val="08DD345E"/>
    <w:rsid w:val="08DD349B"/>
    <w:rsid w:val="08DD350C"/>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60"/>
    <w:rsid w:val="08DD4495"/>
    <w:rsid w:val="08DD44D2"/>
    <w:rsid w:val="08DD456B"/>
    <w:rsid w:val="08DD4573"/>
    <w:rsid w:val="08DD4594"/>
    <w:rsid w:val="08DD461C"/>
    <w:rsid w:val="08DD465E"/>
    <w:rsid w:val="08DD468F"/>
    <w:rsid w:val="08DD46B1"/>
    <w:rsid w:val="08DD46C3"/>
    <w:rsid w:val="08DD46F7"/>
    <w:rsid w:val="08DD46FE"/>
    <w:rsid w:val="08DD4700"/>
    <w:rsid w:val="08DD4776"/>
    <w:rsid w:val="08DD498B"/>
    <w:rsid w:val="08DD49DE"/>
    <w:rsid w:val="08DD4A60"/>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5"/>
    <w:rsid w:val="08DD559C"/>
    <w:rsid w:val="08DD55C2"/>
    <w:rsid w:val="08DD55E4"/>
    <w:rsid w:val="08DD560A"/>
    <w:rsid w:val="08DD560B"/>
    <w:rsid w:val="08DD561D"/>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468"/>
    <w:rsid w:val="08DD75E2"/>
    <w:rsid w:val="08DD769E"/>
    <w:rsid w:val="08DD777E"/>
    <w:rsid w:val="08DD77EA"/>
    <w:rsid w:val="08DD7812"/>
    <w:rsid w:val="08DD7899"/>
    <w:rsid w:val="08DD7953"/>
    <w:rsid w:val="08DD7A77"/>
    <w:rsid w:val="08DD7AB6"/>
    <w:rsid w:val="08DD7AC6"/>
    <w:rsid w:val="08DD7C1B"/>
    <w:rsid w:val="08DD7E0D"/>
    <w:rsid w:val="08DD7E7B"/>
    <w:rsid w:val="08DD7ECB"/>
    <w:rsid w:val="08DD7F33"/>
    <w:rsid w:val="08DD7F84"/>
    <w:rsid w:val="08DD7F9B"/>
    <w:rsid w:val="08DE0114"/>
    <w:rsid w:val="08DE0193"/>
    <w:rsid w:val="08DE0233"/>
    <w:rsid w:val="08DE0280"/>
    <w:rsid w:val="08DE0309"/>
    <w:rsid w:val="08DE030C"/>
    <w:rsid w:val="08DE0431"/>
    <w:rsid w:val="08DE0555"/>
    <w:rsid w:val="08DE0681"/>
    <w:rsid w:val="08DE0711"/>
    <w:rsid w:val="08DE07E3"/>
    <w:rsid w:val="08DE08C8"/>
    <w:rsid w:val="08DE08D6"/>
    <w:rsid w:val="08DE0996"/>
    <w:rsid w:val="08DE09F8"/>
    <w:rsid w:val="08DE0A36"/>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EFC"/>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6D"/>
    <w:rsid w:val="08DE2AA9"/>
    <w:rsid w:val="08DE2BA8"/>
    <w:rsid w:val="08DE2BF7"/>
    <w:rsid w:val="08DE2C31"/>
    <w:rsid w:val="08DE2CB0"/>
    <w:rsid w:val="08DE2CBA"/>
    <w:rsid w:val="08DE2CC0"/>
    <w:rsid w:val="08DE2CE5"/>
    <w:rsid w:val="08DE2D2B"/>
    <w:rsid w:val="08DE2D53"/>
    <w:rsid w:val="08DE2D6F"/>
    <w:rsid w:val="08DE2DD4"/>
    <w:rsid w:val="08DE2E25"/>
    <w:rsid w:val="08DE2E7C"/>
    <w:rsid w:val="08DE2E80"/>
    <w:rsid w:val="08DE2FAE"/>
    <w:rsid w:val="08DE2FCF"/>
    <w:rsid w:val="08DE300F"/>
    <w:rsid w:val="08DE306F"/>
    <w:rsid w:val="08DE30ED"/>
    <w:rsid w:val="08DE3173"/>
    <w:rsid w:val="08DE318B"/>
    <w:rsid w:val="08DE3271"/>
    <w:rsid w:val="08DE32E5"/>
    <w:rsid w:val="08DE3307"/>
    <w:rsid w:val="08DE3360"/>
    <w:rsid w:val="08DE33C4"/>
    <w:rsid w:val="08DE3448"/>
    <w:rsid w:val="08DE347F"/>
    <w:rsid w:val="08DE34C4"/>
    <w:rsid w:val="08DE355D"/>
    <w:rsid w:val="08DE3576"/>
    <w:rsid w:val="08DE358C"/>
    <w:rsid w:val="08DE3597"/>
    <w:rsid w:val="08DE35EF"/>
    <w:rsid w:val="08DE371E"/>
    <w:rsid w:val="08DE3752"/>
    <w:rsid w:val="08DE3794"/>
    <w:rsid w:val="08DE37EC"/>
    <w:rsid w:val="08DE3800"/>
    <w:rsid w:val="08DE383A"/>
    <w:rsid w:val="08DE3843"/>
    <w:rsid w:val="08DE38F4"/>
    <w:rsid w:val="08DE394A"/>
    <w:rsid w:val="08DE3997"/>
    <w:rsid w:val="08DE3A31"/>
    <w:rsid w:val="08DE3A3E"/>
    <w:rsid w:val="08DE3A71"/>
    <w:rsid w:val="08DE3AF7"/>
    <w:rsid w:val="08DE3B10"/>
    <w:rsid w:val="08DE3B46"/>
    <w:rsid w:val="08DE3CA5"/>
    <w:rsid w:val="08DE3D05"/>
    <w:rsid w:val="08DE3D28"/>
    <w:rsid w:val="08DE3D2C"/>
    <w:rsid w:val="08DE3D42"/>
    <w:rsid w:val="08DE3D6B"/>
    <w:rsid w:val="08DE3D6F"/>
    <w:rsid w:val="08DE3D7C"/>
    <w:rsid w:val="08DE3F6E"/>
    <w:rsid w:val="08DE3FC2"/>
    <w:rsid w:val="08DE3FF5"/>
    <w:rsid w:val="08DE403B"/>
    <w:rsid w:val="08DE405C"/>
    <w:rsid w:val="08DE41BA"/>
    <w:rsid w:val="08DE41D4"/>
    <w:rsid w:val="08DE4220"/>
    <w:rsid w:val="08DE42BB"/>
    <w:rsid w:val="08DE4399"/>
    <w:rsid w:val="08DE44D8"/>
    <w:rsid w:val="08DE458D"/>
    <w:rsid w:val="08DE46AC"/>
    <w:rsid w:val="08DE47A2"/>
    <w:rsid w:val="08DE4866"/>
    <w:rsid w:val="08DE486D"/>
    <w:rsid w:val="08DE4893"/>
    <w:rsid w:val="08DE492A"/>
    <w:rsid w:val="08DE495A"/>
    <w:rsid w:val="08DE495B"/>
    <w:rsid w:val="08DE4A9E"/>
    <w:rsid w:val="08DE4C36"/>
    <w:rsid w:val="08DE4DD2"/>
    <w:rsid w:val="08DE4EF7"/>
    <w:rsid w:val="08DE4F83"/>
    <w:rsid w:val="08DE4FDF"/>
    <w:rsid w:val="08DE50E4"/>
    <w:rsid w:val="08DE5104"/>
    <w:rsid w:val="08DE516F"/>
    <w:rsid w:val="08DE5238"/>
    <w:rsid w:val="08DE52CC"/>
    <w:rsid w:val="08DE5316"/>
    <w:rsid w:val="08DE5332"/>
    <w:rsid w:val="08DE5391"/>
    <w:rsid w:val="08DE54B6"/>
    <w:rsid w:val="08DE54D1"/>
    <w:rsid w:val="08DE5538"/>
    <w:rsid w:val="08DE5596"/>
    <w:rsid w:val="08DE55B9"/>
    <w:rsid w:val="08DE55E0"/>
    <w:rsid w:val="08DE5603"/>
    <w:rsid w:val="08DE563F"/>
    <w:rsid w:val="08DE5773"/>
    <w:rsid w:val="08DE57C6"/>
    <w:rsid w:val="08DE57F3"/>
    <w:rsid w:val="08DE584F"/>
    <w:rsid w:val="08DE58BD"/>
    <w:rsid w:val="08DE5901"/>
    <w:rsid w:val="08DE599D"/>
    <w:rsid w:val="08DE59EA"/>
    <w:rsid w:val="08DE5A52"/>
    <w:rsid w:val="08DE5A97"/>
    <w:rsid w:val="08DE5CB2"/>
    <w:rsid w:val="08DE5DFD"/>
    <w:rsid w:val="08DE5E27"/>
    <w:rsid w:val="08DE5E9C"/>
    <w:rsid w:val="08DE5EC9"/>
    <w:rsid w:val="08DE5ECA"/>
    <w:rsid w:val="08DE5EDA"/>
    <w:rsid w:val="08DE6055"/>
    <w:rsid w:val="08DE606C"/>
    <w:rsid w:val="08DE6097"/>
    <w:rsid w:val="08DE6172"/>
    <w:rsid w:val="08DE6186"/>
    <w:rsid w:val="08DE61EC"/>
    <w:rsid w:val="08DE6206"/>
    <w:rsid w:val="08DE62AF"/>
    <w:rsid w:val="08DE62BC"/>
    <w:rsid w:val="08DE62C5"/>
    <w:rsid w:val="08DE632F"/>
    <w:rsid w:val="08DE6371"/>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58"/>
    <w:rsid w:val="08DE6CCC"/>
    <w:rsid w:val="08DE6CFE"/>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3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7EC"/>
    <w:rsid w:val="08DF087D"/>
    <w:rsid w:val="08DF08A1"/>
    <w:rsid w:val="08DF08EF"/>
    <w:rsid w:val="08DF0906"/>
    <w:rsid w:val="08DF0A3B"/>
    <w:rsid w:val="08DF0B94"/>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CF"/>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95B"/>
    <w:rsid w:val="08DF2A88"/>
    <w:rsid w:val="08DF2AD2"/>
    <w:rsid w:val="08DF2AE5"/>
    <w:rsid w:val="08DF2B3A"/>
    <w:rsid w:val="08DF2B83"/>
    <w:rsid w:val="08DF2BB3"/>
    <w:rsid w:val="08DF2C5D"/>
    <w:rsid w:val="08DF2C67"/>
    <w:rsid w:val="08DF2C8E"/>
    <w:rsid w:val="08DF2D39"/>
    <w:rsid w:val="08DF2D8B"/>
    <w:rsid w:val="08DF2DD5"/>
    <w:rsid w:val="08DF2DDE"/>
    <w:rsid w:val="08DF2E24"/>
    <w:rsid w:val="08DF2E39"/>
    <w:rsid w:val="08DF2E40"/>
    <w:rsid w:val="08DF2E65"/>
    <w:rsid w:val="08DF2ED5"/>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6B"/>
    <w:rsid w:val="08DF358A"/>
    <w:rsid w:val="08DF3615"/>
    <w:rsid w:val="08DF366A"/>
    <w:rsid w:val="08DF37FB"/>
    <w:rsid w:val="08DF38B8"/>
    <w:rsid w:val="08DF3908"/>
    <w:rsid w:val="08DF3922"/>
    <w:rsid w:val="08DF3950"/>
    <w:rsid w:val="08DF39AD"/>
    <w:rsid w:val="08DF39B2"/>
    <w:rsid w:val="08DF39CF"/>
    <w:rsid w:val="08DF3A88"/>
    <w:rsid w:val="08DF3B79"/>
    <w:rsid w:val="08DF3C64"/>
    <w:rsid w:val="08DF3C75"/>
    <w:rsid w:val="08DF3CC8"/>
    <w:rsid w:val="08DF3CD8"/>
    <w:rsid w:val="08DF3CE8"/>
    <w:rsid w:val="08DF3D09"/>
    <w:rsid w:val="08DF3D19"/>
    <w:rsid w:val="08DF3D24"/>
    <w:rsid w:val="08DF3D25"/>
    <w:rsid w:val="08DF3D91"/>
    <w:rsid w:val="08DF3E2B"/>
    <w:rsid w:val="08DF3E8A"/>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CB2"/>
    <w:rsid w:val="08DF4D52"/>
    <w:rsid w:val="08DF4DA5"/>
    <w:rsid w:val="08DF4E52"/>
    <w:rsid w:val="08DF4E6B"/>
    <w:rsid w:val="08DF4E8E"/>
    <w:rsid w:val="08DF4FC7"/>
    <w:rsid w:val="08DF4FD5"/>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BED"/>
    <w:rsid w:val="08DF5C32"/>
    <w:rsid w:val="08DF5C42"/>
    <w:rsid w:val="08DF5CA0"/>
    <w:rsid w:val="08DF5D2E"/>
    <w:rsid w:val="08DF5D9C"/>
    <w:rsid w:val="08DF5DC6"/>
    <w:rsid w:val="08DF5EDD"/>
    <w:rsid w:val="08DF5EF5"/>
    <w:rsid w:val="08DF5F5A"/>
    <w:rsid w:val="08DF5F91"/>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D35"/>
    <w:rsid w:val="08DF6E2F"/>
    <w:rsid w:val="08DF6EE7"/>
    <w:rsid w:val="08DF6FDF"/>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DA"/>
    <w:rsid w:val="08E00578"/>
    <w:rsid w:val="08E005CC"/>
    <w:rsid w:val="08E006AF"/>
    <w:rsid w:val="08E00713"/>
    <w:rsid w:val="08E00716"/>
    <w:rsid w:val="08E00887"/>
    <w:rsid w:val="08E008A4"/>
    <w:rsid w:val="08E008B1"/>
    <w:rsid w:val="08E008CF"/>
    <w:rsid w:val="08E009A7"/>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E0"/>
    <w:rsid w:val="08E01329"/>
    <w:rsid w:val="08E01342"/>
    <w:rsid w:val="08E01362"/>
    <w:rsid w:val="08E01368"/>
    <w:rsid w:val="08E013DE"/>
    <w:rsid w:val="08E013F7"/>
    <w:rsid w:val="08E01500"/>
    <w:rsid w:val="08E01519"/>
    <w:rsid w:val="08E0151C"/>
    <w:rsid w:val="08E0158F"/>
    <w:rsid w:val="08E015C6"/>
    <w:rsid w:val="08E01629"/>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E9"/>
    <w:rsid w:val="08E01FF6"/>
    <w:rsid w:val="08E0202E"/>
    <w:rsid w:val="08E020B6"/>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4E"/>
    <w:rsid w:val="08E03372"/>
    <w:rsid w:val="08E03493"/>
    <w:rsid w:val="08E034C8"/>
    <w:rsid w:val="08E034C9"/>
    <w:rsid w:val="08E0354E"/>
    <w:rsid w:val="08E03553"/>
    <w:rsid w:val="08E03567"/>
    <w:rsid w:val="08E035E0"/>
    <w:rsid w:val="08E035EF"/>
    <w:rsid w:val="08E036CA"/>
    <w:rsid w:val="08E03734"/>
    <w:rsid w:val="08E037AE"/>
    <w:rsid w:val="08E037ED"/>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F21"/>
    <w:rsid w:val="08E03F56"/>
    <w:rsid w:val="08E03FF3"/>
    <w:rsid w:val="08E0408E"/>
    <w:rsid w:val="08E041A4"/>
    <w:rsid w:val="08E041FF"/>
    <w:rsid w:val="08E04226"/>
    <w:rsid w:val="08E04246"/>
    <w:rsid w:val="08E04255"/>
    <w:rsid w:val="08E043CE"/>
    <w:rsid w:val="08E043CF"/>
    <w:rsid w:val="08E044AB"/>
    <w:rsid w:val="08E04519"/>
    <w:rsid w:val="08E04589"/>
    <w:rsid w:val="08E045B5"/>
    <w:rsid w:val="08E046BB"/>
    <w:rsid w:val="08E047AE"/>
    <w:rsid w:val="08E047C0"/>
    <w:rsid w:val="08E048AB"/>
    <w:rsid w:val="08E0495D"/>
    <w:rsid w:val="08E0496B"/>
    <w:rsid w:val="08E04986"/>
    <w:rsid w:val="08E049AD"/>
    <w:rsid w:val="08E04A27"/>
    <w:rsid w:val="08E04A34"/>
    <w:rsid w:val="08E04AAA"/>
    <w:rsid w:val="08E04AEF"/>
    <w:rsid w:val="08E04C2D"/>
    <w:rsid w:val="08E04C3E"/>
    <w:rsid w:val="08E04CA7"/>
    <w:rsid w:val="08E04D01"/>
    <w:rsid w:val="08E04E49"/>
    <w:rsid w:val="08E04EF5"/>
    <w:rsid w:val="08E04F11"/>
    <w:rsid w:val="08E04F3A"/>
    <w:rsid w:val="08E04F9D"/>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54"/>
    <w:rsid w:val="08E06D87"/>
    <w:rsid w:val="08E06DC6"/>
    <w:rsid w:val="08E06FE5"/>
    <w:rsid w:val="08E070D4"/>
    <w:rsid w:val="08E070F9"/>
    <w:rsid w:val="08E07115"/>
    <w:rsid w:val="08E071BF"/>
    <w:rsid w:val="08E07341"/>
    <w:rsid w:val="08E07390"/>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11"/>
    <w:rsid w:val="08E1042E"/>
    <w:rsid w:val="08E1044D"/>
    <w:rsid w:val="08E10643"/>
    <w:rsid w:val="08E10792"/>
    <w:rsid w:val="08E107B2"/>
    <w:rsid w:val="08E1084C"/>
    <w:rsid w:val="08E108B3"/>
    <w:rsid w:val="08E108D3"/>
    <w:rsid w:val="08E10945"/>
    <w:rsid w:val="08E1099F"/>
    <w:rsid w:val="08E109E0"/>
    <w:rsid w:val="08E10A28"/>
    <w:rsid w:val="08E10A52"/>
    <w:rsid w:val="08E10AE2"/>
    <w:rsid w:val="08E10AED"/>
    <w:rsid w:val="08E10B16"/>
    <w:rsid w:val="08E10B48"/>
    <w:rsid w:val="08E10B7B"/>
    <w:rsid w:val="08E10BB0"/>
    <w:rsid w:val="08E10C9C"/>
    <w:rsid w:val="08E10CF1"/>
    <w:rsid w:val="08E10D5D"/>
    <w:rsid w:val="08E10DE0"/>
    <w:rsid w:val="08E10DEE"/>
    <w:rsid w:val="08E10E0F"/>
    <w:rsid w:val="08E10EBB"/>
    <w:rsid w:val="08E1108C"/>
    <w:rsid w:val="08E110C0"/>
    <w:rsid w:val="08E1131D"/>
    <w:rsid w:val="08E113AC"/>
    <w:rsid w:val="08E11468"/>
    <w:rsid w:val="08E11529"/>
    <w:rsid w:val="08E11553"/>
    <w:rsid w:val="08E11833"/>
    <w:rsid w:val="08E1184B"/>
    <w:rsid w:val="08E119EE"/>
    <w:rsid w:val="08E11A85"/>
    <w:rsid w:val="08E11AAB"/>
    <w:rsid w:val="08E11AD3"/>
    <w:rsid w:val="08E11B26"/>
    <w:rsid w:val="08E11B31"/>
    <w:rsid w:val="08E11B98"/>
    <w:rsid w:val="08E11BC3"/>
    <w:rsid w:val="08E11BE6"/>
    <w:rsid w:val="08E11C4D"/>
    <w:rsid w:val="08E11C54"/>
    <w:rsid w:val="08E11CC8"/>
    <w:rsid w:val="08E11CF5"/>
    <w:rsid w:val="08E11D16"/>
    <w:rsid w:val="08E11D60"/>
    <w:rsid w:val="08E11D74"/>
    <w:rsid w:val="08E11DF8"/>
    <w:rsid w:val="08E11DFA"/>
    <w:rsid w:val="08E11E10"/>
    <w:rsid w:val="08E11EA5"/>
    <w:rsid w:val="08E11EAA"/>
    <w:rsid w:val="08E11F2A"/>
    <w:rsid w:val="08E11F34"/>
    <w:rsid w:val="08E11F67"/>
    <w:rsid w:val="08E11F7A"/>
    <w:rsid w:val="08E1202C"/>
    <w:rsid w:val="08E12099"/>
    <w:rsid w:val="08E120A9"/>
    <w:rsid w:val="08E120D2"/>
    <w:rsid w:val="08E1210A"/>
    <w:rsid w:val="08E1213A"/>
    <w:rsid w:val="08E12143"/>
    <w:rsid w:val="08E12199"/>
    <w:rsid w:val="08E1226B"/>
    <w:rsid w:val="08E122DC"/>
    <w:rsid w:val="08E122F9"/>
    <w:rsid w:val="08E12344"/>
    <w:rsid w:val="08E12357"/>
    <w:rsid w:val="08E123EC"/>
    <w:rsid w:val="08E12457"/>
    <w:rsid w:val="08E12564"/>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2EF7"/>
    <w:rsid w:val="08E13049"/>
    <w:rsid w:val="08E13174"/>
    <w:rsid w:val="08E13252"/>
    <w:rsid w:val="08E13268"/>
    <w:rsid w:val="08E1339F"/>
    <w:rsid w:val="08E133BA"/>
    <w:rsid w:val="08E1340F"/>
    <w:rsid w:val="08E134E0"/>
    <w:rsid w:val="08E1357F"/>
    <w:rsid w:val="08E136E8"/>
    <w:rsid w:val="08E1370D"/>
    <w:rsid w:val="08E13795"/>
    <w:rsid w:val="08E137AA"/>
    <w:rsid w:val="08E1399D"/>
    <w:rsid w:val="08E139DA"/>
    <w:rsid w:val="08E13A02"/>
    <w:rsid w:val="08E13A31"/>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3A"/>
    <w:rsid w:val="08E1497E"/>
    <w:rsid w:val="08E14A1A"/>
    <w:rsid w:val="08E14A96"/>
    <w:rsid w:val="08E14B5F"/>
    <w:rsid w:val="08E14B75"/>
    <w:rsid w:val="08E14B7A"/>
    <w:rsid w:val="08E14BA2"/>
    <w:rsid w:val="08E14BCF"/>
    <w:rsid w:val="08E14E92"/>
    <w:rsid w:val="08E14F00"/>
    <w:rsid w:val="08E14F62"/>
    <w:rsid w:val="08E14FF7"/>
    <w:rsid w:val="08E150DB"/>
    <w:rsid w:val="08E150F8"/>
    <w:rsid w:val="08E15140"/>
    <w:rsid w:val="08E151EE"/>
    <w:rsid w:val="08E15213"/>
    <w:rsid w:val="08E1527D"/>
    <w:rsid w:val="08E1528B"/>
    <w:rsid w:val="08E152B4"/>
    <w:rsid w:val="08E152E7"/>
    <w:rsid w:val="08E1530D"/>
    <w:rsid w:val="08E15340"/>
    <w:rsid w:val="08E15354"/>
    <w:rsid w:val="08E15372"/>
    <w:rsid w:val="08E153CD"/>
    <w:rsid w:val="08E153E8"/>
    <w:rsid w:val="08E153FD"/>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340"/>
    <w:rsid w:val="08E16579"/>
    <w:rsid w:val="08E16590"/>
    <w:rsid w:val="08E16595"/>
    <w:rsid w:val="08E165A6"/>
    <w:rsid w:val="08E165E8"/>
    <w:rsid w:val="08E166B6"/>
    <w:rsid w:val="08E1670B"/>
    <w:rsid w:val="08E16747"/>
    <w:rsid w:val="08E16748"/>
    <w:rsid w:val="08E16791"/>
    <w:rsid w:val="08E16870"/>
    <w:rsid w:val="08E16892"/>
    <w:rsid w:val="08E16938"/>
    <w:rsid w:val="08E16945"/>
    <w:rsid w:val="08E169ED"/>
    <w:rsid w:val="08E16A32"/>
    <w:rsid w:val="08E16AFC"/>
    <w:rsid w:val="08E16B18"/>
    <w:rsid w:val="08E16BB2"/>
    <w:rsid w:val="08E16C61"/>
    <w:rsid w:val="08E16C80"/>
    <w:rsid w:val="08E16CAE"/>
    <w:rsid w:val="08E16CC1"/>
    <w:rsid w:val="08E16D64"/>
    <w:rsid w:val="08E17052"/>
    <w:rsid w:val="08E1714A"/>
    <w:rsid w:val="08E17179"/>
    <w:rsid w:val="08E171AA"/>
    <w:rsid w:val="08E171E0"/>
    <w:rsid w:val="08E17357"/>
    <w:rsid w:val="08E1736D"/>
    <w:rsid w:val="08E17447"/>
    <w:rsid w:val="08E174E3"/>
    <w:rsid w:val="08E175BA"/>
    <w:rsid w:val="08E1764C"/>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D20"/>
    <w:rsid w:val="08E17DAC"/>
    <w:rsid w:val="08E17E42"/>
    <w:rsid w:val="08E17E7F"/>
    <w:rsid w:val="08E17E9D"/>
    <w:rsid w:val="08E17EF6"/>
    <w:rsid w:val="08E17FA0"/>
    <w:rsid w:val="08E17FD0"/>
    <w:rsid w:val="08E17FE5"/>
    <w:rsid w:val="08E20036"/>
    <w:rsid w:val="08E2003C"/>
    <w:rsid w:val="08E2005E"/>
    <w:rsid w:val="08E200DB"/>
    <w:rsid w:val="08E20145"/>
    <w:rsid w:val="08E20204"/>
    <w:rsid w:val="08E20235"/>
    <w:rsid w:val="08E20370"/>
    <w:rsid w:val="08E20417"/>
    <w:rsid w:val="08E2041D"/>
    <w:rsid w:val="08E20428"/>
    <w:rsid w:val="08E2046D"/>
    <w:rsid w:val="08E20501"/>
    <w:rsid w:val="08E20565"/>
    <w:rsid w:val="08E2057F"/>
    <w:rsid w:val="08E205EF"/>
    <w:rsid w:val="08E205F7"/>
    <w:rsid w:val="08E20709"/>
    <w:rsid w:val="08E20832"/>
    <w:rsid w:val="08E20868"/>
    <w:rsid w:val="08E208F9"/>
    <w:rsid w:val="08E20962"/>
    <w:rsid w:val="08E20A02"/>
    <w:rsid w:val="08E20A83"/>
    <w:rsid w:val="08E20AD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B52"/>
    <w:rsid w:val="08E21BB4"/>
    <w:rsid w:val="08E21C23"/>
    <w:rsid w:val="08E21C32"/>
    <w:rsid w:val="08E21C86"/>
    <w:rsid w:val="08E21CFF"/>
    <w:rsid w:val="08E21D2A"/>
    <w:rsid w:val="08E21D4D"/>
    <w:rsid w:val="08E21E7F"/>
    <w:rsid w:val="08E22004"/>
    <w:rsid w:val="08E22034"/>
    <w:rsid w:val="08E220F4"/>
    <w:rsid w:val="08E22173"/>
    <w:rsid w:val="08E221AB"/>
    <w:rsid w:val="08E222FB"/>
    <w:rsid w:val="08E2247A"/>
    <w:rsid w:val="08E224FB"/>
    <w:rsid w:val="08E2258B"/>
    <w:rsid w:val="08E2261E"/>
    <w:rsid w:val="08E22722"/>
    <w:rsid w:val="08E22747"/>
    <w:rsid w:val="08E22790"/>
    <w:rsid w:val="08E227A0"/>
    <w:rsid w:val="08E227A9"/>
    <w:rsid w:val="08E22893"/>
    <w:rsid w:val="08E228F5"/>
    <w:rsid w:val="08E2292B"/>
    <w:rsid w:val="08E2298A"/>
    <w:rsid w:val="08E229D5"/>
    <w:rsid w:val="08E22AEB"/>
    <w:rsid w:val="08E22B3F"/>
    <w:rsid w:val="08E22BA9"/>
    <w:rsid w:val="08E22C90"/>
    <w:rsid w:val="08E22D0D"/>
    <w:rsid w:val="08E22DD8"/>
    <w:rsid w:val="08E22DDA"/>
    <w:rsid w:val="08E22DFE"/>
    <w:rsid w:val="08E22F5F"/>
    <w:rsid w:val="08E231CC"/>
    <w:rsid w:val="08E231DA"/>
    <w:rsid w:val="08E23221"/>
    <w:rsid w:val="08E23325"/>
    <w:rsid w:val="08E23341"/>
    <w:rsid w:val="08E23416"/>
    <w:rsid w:val="08E23443"/>
    <w:rsid w:val="08E23480"/>
    <w:rsid w:val="08E234B6"/>
    <w:rsid w:val="08E23554"/>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C0"/>
    <w:rsid w:val="08E244E2"/>
    <w:rsid w:val="08E2458E"/>
    <w:rsid w:val="08E245EC"/>
    <w:rsid w:val="08E245F6"/>
    <w:rsid w:val="08E2460D"/>
    <w:rsid w:val="08E247D3"/>
    <w:rsid w:val="08E24872"/>
    <w:rsid w:val="08E2489B"/>
    <w:rsid w:val="08E24913"/>
    <w:rsid w:val="08E2495B"/>
    <w:rsid w:val="08E2496C"/>
    <w:rsid w:val="08E24B48"/>
    <w:rsid w:val="08E24B70"/>
    <w:rsid w:val="08E24B83"/>
    <w:rsid w:val="08E24D6F"/>
    <w:rsid w:val="08E24D71"/>
    <w:rsid w:val="08E24DC2"/>
    <w:rsid w:val="08E24DD8"/>
    <w:rsid w:val="08E24E1F"/>
    <w:rsid w:val="08E24F13"/>
    <w:rsid w:val="08E24FC6"/>
    <w:rsid w:val="08E250E9"/>
    <w:rsid w:val="08E25149"/>
    <w:rsid w:val="08E25214"/>
    <w:rsid w:val="08E252B2"/>
    <w:rsid w:val="08E253C0"/>
    <w:rsid w:val="08E2550B"/>
    <w:rsid w:val="08E25654"/>
    <w:rsid w:val="08E25657"/>
    <w:rsid w:val="08E25681"/>
    <w:rsid w:val="08E257DA"/>
    <w:rsid w:val="08E257F9"/>
    <w:rsid w:val="08E25887"/>
    <w:rsid w:val="08E2588E"/>
    <w:rsid w:val="08E25979"/>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12"/>
    <w:rsid w:val="08E26049"/>
    <w:rsid w:val="08E26064"/>
    <w:rsid w:val="08E260FB"/>
    <w:rsid w:val="08E26132"/>
    <w:rsid w:val="08E26237"/>
    <w:rsid w:val="08E26256"/>
    <w:rsid w:val="08E26274"/>
    <w:rsid w:val="08E2631E"/>
    <w:rsid w:val="08E26339"/>
    <w:rsid w:val="08E26415"/>
    <w:rsid w:val="08E2642F"/>
    <w:rsid w:val="08E26466"/>
    <w:rsid w:val="08E26585"/>
    <w:rsid w:val="08E266AA"/>
    <w:rsid w:val="08E266C7"/>
    <w:rsid w:val="08E2677A"/>
    <w:rsid w:val="08E2678C"/>
    <w:rsid w:val="08E267DF"/>
    <w:rsid w:val="08E26958"/>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E"/>
    <w:rsid w:val="08E27075"/>
    <w:rsid w:val="08E270A5"/>
    <w:rsid w:val="08E27122"/>
    <w:rsid w:val="08E27163"/>
    <w:rsid w:val="08E2722F"/>
    <w:rsid w:val="08E27244"/>
    <w:rsid w:val="08E2725F"/>
    <w:rsid w:val="08E27284"/>
    <w:rsid w:val="08E2743F"/>
    <w:rsid w:val="08E2746A"/>
    <w:rsid w:val="08E274AD"/>
    <w:rsid w:val="08E275A1"/>
    <w:rsid w:val="08E275F4"/>
    <w:rsid w:val="08E2760C"/>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C5"/>
    <w:rsid w:val="08E27AF0"/>
    <w:rsid w:val="08E27B05"/>
    <w:rsid w:val="08E27B2C"/>
    <w:rsid w:val="08E27B4B"/>
    <w:rsid w:val="08E27B5C"/>
    <w:rsid w:val="08E27B63"/>
    <w:rsid w:val="08E27C81"/>
    <w:rsid w:val="08E27E3E"/>
    <w:rsid w:val="08E27E6F"/>
    <w:rsid w:val="08E27EA3"/>
    <w:rsid w:val="08E27EB1"/>
    <w:rsid w:val="08E27F8D"/>
    <w:rsid w:val="08E3002B"/>
    <w:rsid w:val="08E300D6"/>
    <w:rsid w:val="08E30289"/>
    <w:rsid w:val="08E302DF"/>
    <w:rsid w:val="08E30399"/>
    <w:rsid w:val="08E303C7"/>
    <w:rsid w:val="08E30406"/>
    <w:rsid w:val="08E30410"/>
    <w:rsid w:val="08E30538"/>
    <w:rsid w:val="08E305BB"/>
    <w:rsid w:val="08E3081A"/>
    <w:rsid w:val="08E30842"/>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C1"/>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7E"/>
    <w:rsid w:val="08E31E96"/>
    <w:rsid w:val="08E31ECA"/>
    <w:rsid w:val="08E31F7A"/>
    <w:rsid w:val="08E31F95"/>
    <w:rsid w:val="08E3208E"/>
    <w:rsid w:val="08E32165"/>
    <w:rsid w:val="08E32198"/>
    <w:rsid w:val="08E3222C"/>
    <w:rsid w:val="08E3222D"/>
    <w:rsid w:val="08E322DB"/>
    <w:rsid w:val="08E32368"/>
    <w:rsid w:val="08E323AC"/>
    <w:rsid w:val="08E32548"/>
    <w:rsid w:val="08E32698"/>
    <w:rsid w:val="08E326B3"/>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279"/>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ACE"/>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2AE"/>
    <w:rsid w:val="08E353BA"/>
    <w:rsid w:val="08E35478"/>
    <w:rsid w:val="08E3548E"/>
    <w:rsid w:val="08E35515"/>
    <w:rsid w:val="08E35632"/>
    <w:rsid w:val="08E35A28"/>
    <w:rsid w:val="08E35A42"/>
    <w:rsid w:val="08E35AEE"/>
    <w:rsid w:val="08E35B12"/>
    <w:rsid w:val="08E35B48"/>
    <w:rsid w:val="08E35B5D"/>
    <w:rsid w:val="08E35B94"/>
    <w:rsid w:val="08E35C35"/>
    <w:rsid w:val="08E35C58"/>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1E"/>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1A"/>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90"/>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BD"/>
    <w:rsid w:val="08E4107D"/>
    <w:rsid w:val="08E410AA"/>
    <w:rsid w:val="08E41102"/>
    <w:rsid w:val="08E41147"/>
    <w:rsid w:val="08E411A9"/>
    <w:rsid w:val="08E411AE"/>
    <w:rsid w:val="08E41262"/>
    <w:rsid w:val="08E41293"/>
    <w:rsid w:val="08E41427"/>
    <w:rsid w:val="08E41496"/>
    <w:rsid w:val="08E414BE"/>
    <w:rsid w:val="08E414F2"/>
    <w:rsid w:val="08E414F3"/>
    <w:rsid w:val="08E41515"/>
    <w:rsid w:val="08E41666"/>
    <w:rsid w:val="08E41697"/>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D06"/>
    <w:rsid w:val="08E42DE7"/>
    <w:rsid w:val="08E42E1E"/>
    <w:rsid w:val="08E42E39"/>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D4"/>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736"/>
    <w:rsid w:val="08E4474C"/>
    <w:rsid w:val="08E44761"/>
    <w:rsid w:val="08E447AD"/>
    <w:rsid w:val="08E447AF"/>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4F2F"/>
    <w:rsid w:val="08E45077"/>
    <w:rsid w:val="08E45184"/>
    <w:rsid w:val="08E45199"/>
    <w:rsid w:val="08E45241"/>
    <w:rsid w:val="08E45343"/>
    <w:rsid w:val="08E45409"/>
    <w:rsid w:val="08E4543E"/>
    <w:rsid w:val="08E45464"/>
    <w:rsid w:val="08E45556"/>
    <w:rsid w:val="08E45574"/>
    <w:rsid w:val="08E45661"/>
    <w:rsid w:val="08E45759"/>
    <w:rsid w:val="08E4582A"/>
    <w:rsid w:val="08E45830"/>
    <w:rsid w:val="08E458B9"/>
    <w:rsid w:val="08E4594F"/>
    <w:rsid w:val="08E459BA"/>
    <w:rsid w:val="08E45A39"/>
    <w:rsid w:val="08E45B38"/>
    <w:rsid w:val="08E45BB0"/>
    <w:rsid w:val="08E45C23"/>
    <w:rsid w:val="08E45CA0"/>
    <w:rsid w:val="08E45D51"/>
    <w:rsid w:val="08E45D52"/>
    <w:rsid w:val="08E45DA8"/>
    <w:rsid w:val="08E45E02"/>
    <w:rsid w:val="08E45E6E"/>
    <w:rsid w:val="08E45E7F"/>
    <w:rsid w:val="08E45ECD"/>
    <w:rsid w:val="08E45F3F"/>
    <w:rsid w:val="08E45F85"/>
    <w:rsid w:val="08E45F87"/>
    <w:rsid w:val="08E45FB0"/>
    <w:rsid w:val="08E4601B"/>
    <w:rsid w:val="08E46093"/>
    <w:rsid w:val="08E461CD"/>
    <w:rsid w:val="08E462A9"/>
    <w:rsid w:val="08E46341"/>
    <w:rsid w:val="08E46365"/>
    <w:rsid w:val="08E463D3"/>
    <w:rsid w:val="08E464D6"/>
    <w:rsid w:val="08E465CC"/>
    <w:rsid w:val="08E46608"/>
    <w:rsid w:val="08E466B8"/>
    <w:rsid w:val="08E466EE"/>
    <w:rsid w:val="08E466FC"/>
    <w:rsid w:val="08E46820"/>
    <w:rsid w:val="08E46886"/>
    <w:rsid w:val="08E468BA"/>
    <w:rsid w:val="08E468BF"/>
    <w:rsid w:val="08E468C3"/>
    <w:rsid w:val="08E468C6"/>
    <w:rsid w:val="08E46901"/>
    <w:rsid w:val="08E4691C"/>
    <w:rsid w:val="08E46A43"/>
    <w:rsid w:val="08E46A69"/>
    <w:rsid w:val="08E46A93"/>
    <w:rsid w:val="08E46BAF"/>
    <w:rsid w:val="08E46BDC"/>
    <w:rsid w:val="08E46C5A"/>
    <w:rsid w:val="08E46C64"/>
    <w:rsid w:val="08E46CE1"/>
    <w:rsid w:val="08E46E10"/>
    <w:rsid w:val="08E46E30"/>
    <w:rsid w:val="08E46E5F"/>
    <w:rsid w:val="08E46F93"/>
    <w:rsid w:val="08E47064"/>
    <w:rsid w:val="08E4710D"/>
    <w:rsid w:val="08E4721C"/>
    <w:rsid w:val="08E472D5"/>
    <w:rsid w:val="08E472D6"/>
    <w:rsid w:val="08E475DB"/>
    <w:rsid w:val="08E476E6"/>
    <w:rsid w:val="08E476F0"/>
    <w:rsid w:val="08E4770C"/>
    <w:rsid w:val="08E477DF"/>
    <w:rsid w:val="08E47800"/>
    <w:rsid w:val="08E47819"/>
    <w:rsid w:val="08E4787A"/>
    <w:rsid w:val="08E4791D"/>
    <w:rsid w:val="08E47944"/>
    <w:rsid w:val="08E4799A"/>
    <w:rsid w:val="08E479E1"/>
    <w:rsid w:val="08E479EB"/>
    <w:rsid w:val="08E479F3"/>
    <w:rsid w:val="08E47A58"/>
    <w:rsid w:val="08E47B00"/>
    <w:rsid w:val="08E47BC2"/>
    <w:rsid w:val="08E47BDC"/>
    <w:rsid w:val="08E47C06"/>
    <w:rsid w:val="08E47C3E"/>
    <w:rsid w:val="08E47CA0"/>
    <w:rsid w:val="08E47CA1"/>
    <w:rsid w:val="08E47CDC"/>
    <w:rsid w:val="08E47D0E"/>
    <w:rsid w:val="08E47D22"/>
    <w:rsid w:val="08E47D89"/>
    <w:rsid w:val="08E47E3E"/>
    <w:rsid w:val="08E47F4D"/>
    <w:rsid w:val="08E47FB6"/>
    <w:rsid w:val="08E47FBB"/>
    <w:rsid w:val="08E47FBC"/>
    <w:rsid w:val="08E50051"/>
    <w:rsid w:val="08E50076"/>
    <w:rsid w:val="08E500BB"/>
    <w:rsid w:val="08E500D5"/>
    <w:rsid w:val="08E50106"/>
    <w:rsid w:val="08E50148"/>
    <w:rsid w:val="08E50149"/>
    <w:rsid w:val="08E50219"/>
    <w:rsid w:val="08E50226"/>
    <w:rsid w:val="08E50228"/>
    <w:rsid w:val="08E5028F"/>
    <w:rsid w:val="08E502E7"/>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CE"/>
    <w:rsid w:val="08E519D9"/>
    <w:rsid w:val="08E51AB2"/>
    <w:rsid w:val="08E51B24"/>
    <w:rsid w:val="08E51B4D"/>
    <w:rsid w:val="08E51B86"/>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45C"/>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4B"/>
    <w:rsid w:val="08E52BF5"/>
    <w:rsid w:val="08E52D6E"/>
    <w:rsid w:val="08E52DD4"/>
    <w:rsid w:val="08E52E31"/>
    <w:rsid w:val="08E52E92"/>
    <w:rsid w:val="08E52EA9"/>
    <w:rsid w:val="08E52F0B"/>
    <w:rsid w:val="08E52F5E"/>
    <w:rsid w:val="08E52FC2"/>
    <w:rsid w:val="08E53059"/>
    <w:rsid w:val="08E530A6"/>
    <w:rsid w:val="08E530FF"/>
    <w:rsid w:val="08E5318D"/>
    <w:rsid w:val="08E531B7"/>
    <w:rsid w:val="08E53227"/>
    <w:rsid w:val="08E532AD"/>
    <w:rsid w:val="08E5337B"/>
    <w:rsid w:val="08E53413"/>
    <w:rsid w:val="08E53414"/>
    <w:rsid w:val="08E53440"/>
    <w:rsid w:val="08E53486"/>
    <w:rsid w:val="08E534E1"/>
    <w:rsid w:val="08E53691"/>
    <w:rsid w:val="08E53754"/>
    <w:rsid w:val="08E53764"/>
    <w:rsid w:val="08E53808"/>
    <w:rsid w:val="08E5385D"/>
    <w:rsid w:val="08E53941"/>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38B"/>
    <w:rsid w:val="08E543E0"/>
    <w:rsid w:val="08E5444E"/>
    <w:rsid w:val="08E54467"/>
    <w:rsid w:val="08E544A6"/>
    <w:rsid w:val="08E544DE"/>
    <w:rsid w:val="08E544F4"/>
    <w:rsid w:val="08E545AA"/>
    <w:rsid w:val="08E54617"/>
    <w:rsid w:val="08E5472F"/>
    <w:rsid w:val="08E5478C"/>
    <w:rsid w:val="08E547C8"/>
    <w:rsid w:val="08E547F7"/>
    <w:rsid w:val="08E54957"/>
    <w:rsid w:val="08E54972"/>
    <w:rsid w:val="08E549D6"/>
    <w:rsid w:val="08E549EF"/>
    <w:rsid w:val="08E54AFF"/>
    <w:rsid w:val="08E54B08"/>
    <w:rsid w:val="08E54B77"/>
    <w:rsid w:val="08E54C16"/>
    <w:rsid w:val="08E54C44"/>
    <w:rsid w:val="08E54C7A"/>
    <w:rsid w:val="08E54C81"/>
    <w:rsid w:val="08E54CAA"/>
    <w:rsid w:val="08E54D9E"/>
    <w:rsid w:val="08E54E19"/>
    <w:rsid w:val="08E54E34"/>
    <w:rsid w:val="08E54E40"/>
    <w:rsid w:val="08E54F0A"/>
    <w:rsid w:val="08E54F16"/>
    <w:rsid w:val="08E54FFE"/>
    <w:rsid w:val="08E5508D"/>
    <w:rsid w:val="08E55152"/>
    <w:rsid w:val="08E55169"/>
    <w:rsid w:val="08E55286"/>
    <w:rsid w:val="08E552AD"/>
    <w:rsid w:val="08E552EB"/>
    <w:rsid w:val="08E55413"/>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A6"/>
    <w:rsid w:val="08E55CE0"/>
    <w:rsid w:val="08E55CE1"/>
    <w:rsid w:val="08E55D28"/>
    <w:rsid w:val="08E55D79"/>
    <w:rsid w:val="08E55E93"/>
    <w:rsid w:val="08E55F0C"/>
    <w:rsid w:val="08E55FF4"/>
    <w:rsid w:val="08E5603F"/>
    <w:rsid w:val="08E560B0"/>
    <w:rsid w:val="08E561F5"/>
    <w:rsid w:val="08E56211"/>
    <w:rsid w:val="08E56290"/>
    <w:rsid w:val="08E562B5"/>
    <w:rsid w:val="08E562F3"/>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256"/>
    <w:rsid w:val="08E5731E"/>
    <w:rsid w:val="08E57323"/>
    <w:rsid w:val="08E5732C"/>
    <w:rsid w:val="08E573F6"/>
    <w:rsid w:val="08E57422"/>
    <w:rsid w:val="08E5748F"/>
    <w:rsid w:val="08E574B0"/>
    <w:rsid w:val="08E5753A"/>
    <w:rsid w:val="08E575A3"/>
    <w:rsid w:val="08E57637"/>
    <w:rsid w:val="08E57654"/>
    <w:rsid w:val="08E57697"/>
    <w:rsid w:val="08E576BA"/>
    <w:rsid w:val="08E57751"/>
    <w:rsid w:val="08E577F8"/>
    <w:rsid w:val="08E57821"/>
    <w:rsid w:val="08E578A6"/>
    <w:rsid w:val="08E578CF"/>
    <w:rsid w:val="08E57937"/>
    <w:rsid w:val="08E57981"/>
    <w:rsid w:val="08E579D6"/>
    <w:rsid w:val="08E57A21"/>
    <w:rsid w:val="08E57A2C"/>
    <w:rsid w:val="08E57AB4"/>
    <w:rsid w:val="08E57BA2"/>
    <w:rsid w:val="08E57BCC"/>
    <w:rsid w:val="08E57C15"/>
    <w:rsid w:val="08E57CBB"/>
    <w:rsid w:val="08E57D22"/>
    <w:rsid w:val="08E57D30"/>
    <w:rsid w:val="08E57E2B"/>
    <w:rsid w:val="08E60014"/>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A"/>
    <w:rsid w:val="08E626C6"/>
    <w:rsid w:val="08E6275C"/>
    <w:rsid w:val="08E62768"/>
    <w:rsid w:val="08E6277C"/>
    <w:rsid w:val="08E6277D"/>
    <w:rsid w:val="08E62936"/>
    <w:rsid w:val="08E62A17"/>
    <w:rsid w:val="08E62A32"/>
    <w:rsid w:val="08E62A93"/>
    <w:rsid w:val="08E62B33"/>
    <w:rsid w:val="08E62C05"/>
    <w:rsid w:val="08E62D09"/>
    <w:rsid w:val="08E62DCE"/>
    <w:rsid w:val="08E62E80"/>
    <w:rsid w:val="08E62EAE"/>
    <w:rsid w:val="08E62EC5"/>
    <w:rsid w:val="08E62EDF"/>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2DB"/>
    <w:rsid w:val="08E643F6"/>
    <w:rsid w:val="08E64487"/>
    <w:rsid w:val="08E6451B"/>
    <w:rsid w:val="08E646A2"/>
    <w:rsid w:val="08E64705"/>
    <w:rsid w:val="08E6474E"/>
    <w:rsid w:val="08E6479F"/>
    <w:rsid w:val="08E6486F"/>
    <w:rsid w:val="08E648AE"/>
    <w:rsid w:val="08E648DD"/>
    <w:rsid w:val="08E6491C"/>
    <w:rsid w:val="08E64946"/>
    <w:rsid w:val="08E649E3"/>
    <w:rsid w:val="08E649ED"/>
    <w:rsid w:val="08E649F5"/>
    <w:rsid w:val="08E649FF"/>
    <w:rsid w:val="08E64A4A"/>
    <w:rsid w:val="08E64A92"/>
    <w:rsid w:val="08E64B00"/>
    <w:rsid w:val="08E64B03"/>
    <w:rsid w:val="08E64B32"/>
    <w:rsid w:val="08E64B50"/>
    <w:rsid w:val="08E64C62"/>
    <w:rsid w:val="08E64D5F"/>
    <w:rsid w:val="08E64D68"/>
    <w:rsid w:val="08E64DD0"/>
    <w:rsid w:val="08E64E5C"/>
    <w:rsid w:val="08E64EAD"/>
    <w:rsid w:val="08E64FE9"/>
    <w:rsid w:val="08E65075"/>
    <w:rsid w:val="08E650B9"/>
    <w:rsid w:val="08E650F9"/>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698"/>
    <w:rsid w:val="08E65739"/>
    <w:rsid w:val="08E657C9"/>
    <w:rsid w:val="08E65816"/>
    <w:rsid w:val="08E65822"/>
    <w:rsid w:val="08E658BA"/>
    <w:rsid w:val="08E6597F"/>
    <w:rsid w:val="08E65980"/>
    <w:rsid w:val="08E6598A"/>
    <w:rsid w:val="08E6599E"/>
    <w:rsid w:val="08E659F8"/>
    <w:rsid w:val="08E65B0E"/>
    <w:rsid w:val="08E65B3C"/>
    <w:rsid w:val="08E65BC1"/>
    <w:rsid w:val="08E65D9E"/>
    <w:rsid w:val="08E65DAD"/>
    <w:rsid w:val="08E65DD0"/>
    <w:rsid w:val="08E65E02"/>
    <w:rsid w:val="08E65F3D"/>
    <w:rsid w:val="08E6608C"/>
    <w:rsid w:val="08E66096"/>
    <w:rsid w:val="08E660CB"/>
    <w:rsid w:val="08E6623F"/>
    <w:rsid w:val="08E66280"/>
    <w:rsid w:val="08E662A1"/>
    <w:rsid w:val="08E662F4"/>
    <w:rsid w:val="08E66323"/>
    <w:rsid w:val="08E6633A"/>
    <w:rsid w:val="08E6635F"/>
    <w:rsid w:val="08E66366"/>
    <w:rsid w:val="08E6638F"/>
    <w:rsid w:val="08E663A2"/>
    <w:rsid w:val="08E66465"/>
    <w:rsid w:val="08E664A9"/>
    <w:rsid w:val="08E664DA"/>
    <w:rsid w:val="08E66551"/>
    <w:rsid w:val="08E666CA"/>
    <w:rsid w:val="08E66810"/>
    <w:rsid w:val="08E6686A"/>
    <w:rsid w:val="08E668DE"/>
    <w:rsid w:val="08E669A3"/>
    <w:rsid w:val="08E669D6"/>
    <w:rsid w:val="08E66ADF"/>
    <w:rsid w:val="08E66B3B"/>
    <w:rsid w:val="08E66C54"/>
    <w:rsid w:val="08E66CC0"/>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15"/>
    <w:rsid w:val="08E67C23"/>
    <w:rsid w:val="08E67C81"/>
    <w:rsid w:val="08E67D48"/>
    <w:rsid w:val="08E67E19"/>
    <w:rsid w:val="08E67E69"/>
    <w:rsid w:val="08E67F58"/>
    <w:rsid w:val="08E67F5D"/>
    <w:rsid w:val="08E67F8A"/>
    <w:rsid w:val="08E67F92"/>
    <w:rsid w:val="08E700B9"/>
    <w:rsid w:val="08E70104"/>
    <w:rsid w:val="08E70165"/>
    <w:rsid w:val="08E701B6"/>
    <w:rsid w:val="08E701FE"/>
    <w:rsid w:val="08E70241"/>
    <w:rsid w:val="08E70291"/>
    <w:rsid w:val="08E702E1"/>
    <w:rsid w:val="08E70330"/>
    <w:rsid w:val="08E70348"/>
    <w:rsid w:val="08E703DF"/>
    <w:rsid w:val="08E70467"/>
    <w:rsid w:val="08E704C7"/>
    <w:rsid w:val="08E704EA"/>
    <w:rsid w:val="08E7059E"/>
    <w:rsid w:val="08E705A5"/>
    <w:rsid w:val="08E7065E"/>
    <w:rsid w:val="08E7068D"/>
    <w:rsid w:val="08E706BF"/>
    <w:rsid w:val="08E7074F"/>
    <w:rsid w:val="08E707E1"/>
    <w:rsid w:val="08E70812"/>
    <w:rsid w:val="08E7083C"/>
    <w:rsid w:val="08E70851"/>
    <w:rsid w:val="08E708F1"/>
    <w:rsid w:val="08E70989"/>
    <w:rsid w:val="08E70B1F"/>
    <w:rsid w:val="08E70D14"/>
    <w:rsid w:val="08E70D4F"/>
    <w:rsid w:val="08E70D71"/>
    <w:rsid w:val="08E70EFC"/>
    <w:rsid w:val="08E70F0C"/>
    <w:rsid w:val="08E70F28"/>
    <w:rsid w:val="08E70F3F"/>
    <w:rsid w:val="08E7104B"/>
    <w:rsid w:val="08E71152"/>
    <w:rsid w:val="08E71192"/>
    <w:rsid w:val="08E71254"/>
    <w:rsid w:val="08E71261"/>
    <w:rsid w:val="08E71269"/>
    <w:rsid w:val="08E7127A"/>
    <w:rsid w:val="08E713DE"/>
    <w:rsid w:val="08E713E6"/>
    <w:rsid w:val="08E71418"/>
    <w:rsid w:val="08E7156B"/>
    <w:rsid w:val="08E71593"/>
    <w:rsid w:val="08E71639"/>
    <w:rsid w:val="08E71658"/>
    <w:rsid w:val="08E7167D"/>
    <w:rsid w:val="08E716BD"/>
    <w:rsid w:val="08E716D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DC6"/>
    <w:rsid w:val="08E71E37"/>
    <w:rsid w:val="08E71E97"/>
    <w:rsid w:val="08E71ECE"/>
    <w:rsid w:val="08E71F30"/>
    <w:rsid w:val="08E71F3C"/>
    <w:rsid w:val="08E71F49"/>
    <w:rsid w:val="08E71F70"/>
    <w:rsid w:val="08E72092"/>
    <w:rsid w:val="08E7227D"/>
    <w:rsid w:val="08E72286"/>
    <w:rsid w:val="08E7229C"/>
    <w:rsid w:val="08E7233B"/>
    <w:rsid w:val="08E723E3"/>
    <w:rsid w:val="08E7247D"/>
    <w:rsid w:val="08E72526"/>
    <w:rsid w:val="08E72537"/>
    <w:rsid w:val="08E7258F"/>
    <w:rsid w:val="08E7262B"/>
    <w:rsid w:val="08E7267C"/>
    <w:rsid w:val="08E726B6"/>
    <w:rsid w:val="08E726F9"/>
    <w:rsid w:val="08E728DE"/>
    <w:rsid w:val="08E72940"/>
    <w:rsid w:val="08E72973"/>
    <w:rsid w:val="08E729EF"/>
    <w:rsid w:val="08E72A01"/>
    <w:rsid w:val="08E72B2D"/>
    <w:rsid w:val="08E72B2F"/>
    <w:rsid w:val="08E72B6D"/>
    <w:rsid w:val="08E72C49"/>
    <w:rsid w:val="08E72C5D"/>
    <w:rsid w:val="08E72CD9"/>
    <w:rsid w:val="08E72CDD"/>
    <w:rsid w:val="08E72D6A"/>
    <w:rsid w:val="08E72D82"/>
    <w:rsid w:val="08E72DFC"/>
    <w:rsid w:val="08E72E2A"/>
    <w:rsid w:val="08E72E4D"/>
    <w:rsid w:val="08E72EB1"/>
    <w:rsid w:val="08E72F0D"/>
    <w:rsid w:val="08E72F16"/>
    <w:rsid w:val="08E72FE8"/>
    <w:rsid w:val="08E73040"/>
    <w:rsid w:val="08E7311A"/>
    <w:rsid w:val="08E731D3"/>
    <w:rsid w:val="08E731F6"/>
    <w:rsid w:val="08E73263"/>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BA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4DA"/>
    <w:rsid w:val="08E74561"/>
    <w:rsid w:val="08E74568"/>
    <w:rsid w:val="08E74590"/>
    <w:rsid w:val="08E745B9"/>
    <w:rsid w:val="08E7461F"/>
    <w:rsid w:val="08E74647"/>
    <w:rsid w:val="08E746A8"/>
    <w:rsid w:val="08E746EE"/>
    <w:rsid w:val="08E7470F"/>
    <w:rsid w:val="08E74853"/>
    <w:rsid w:val="08E74864"/>
    <w:rsid w:val="08E748AC"/>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2C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795"/>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37"/>
    <w:rsid w:val="08E75D99"/>
    <w:rsid w:val="08E75E01"/>
    <w:rsid w:val="08E75E02"/>
    <w:rsid w:val="08E75E43"/>
    <w:rsid w:val="08E75E72"/>
    <w:rsid w:val="08E75E79"/>
    <w:rsid w:val="08E75ED5"/>
    <w:rsid w:val="08E75EFE"/>
    <w:rsid w:val="08E75F1A"/>
    <w:rsid w:val="08E761B9"/>
    <w:rsid w:val="08E7623D"/>
    <w:rsid w:val="08E76261"/>
    <w:rsid w:val="08E76272"/>
    <w:rsid w:val="08E7627A"/>
    <w:rsid w:val="08E762B7"/>
    <w:rsid w:val="08E76397"/>
    <w:rsid w:val="08E76468"/>
    <w:rsid w:val="08E76532"/>
    <w:rsid w:val="08E766DE"/>
    <w:rsid w:val="08E7674E"/>
    <w:rsid w:val="08E76779"/>
    <w:rsid w:val="08E767BD"/>
    <w:rsid w:val="08E76A15"/>
    <w:rsid w:val="08E76A1A"/>
    <w:rsid w:val="08E76AA4"/>
    <w:rsid w:val="08E76B78"/>
    <w:rsid w:val="08E76C89"/>
    <w:rsid w:val="08E76C9E"/>
    <w:rsid w:val="08E76CDA"/>
    <w:rsid w:val="08E76D25"/>
    <w:rsid w:val="08E76D3A"/>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5"/>
    <w:rsid w:val="08E77736"/>
    <w:rsid w:val="08E77737"/>
    <w:rsid w:val="08E777D6"/>
    <w:rsid w:val="08E7781A"/>
    <w:rsid w:val="08E7782D"/>
    <w:rsid w:val="08E778CB"/>
    <w:rsid w:val="08E778F7"/>
    <w:rsid w:val="08E77964"/>
    <w:rsid w:val="08E77966"/>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67"/>
    <w:rsid w:val="08E800CE"/>
    <w:rsid w:val="08E80140"/>
    <w:rsid w:val="08E80193"/>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D06"/>
    <w:rsid w:val="08E810C4"/>
    <w:rsid w:val="08E810E5"/>
    <w:rsid w:val="08E81101"/>
    <w:rsid w:val="08E8117F"/>
    <w:rsid w:val="08E81223"/>
    <w:rsid w:val="08E812BF"/>
    <w:rsid w:val="08E81319"/>
    <w:rsid w:val="08E81322"/>
    <w:rsid w:val="08E81343"/>
    <w:rsid w:val="08E8137B"/>
    <w:rsid w:val="08E813C1"/>
    <w:rsid w:val="08E813FE"/>
    <w:rsid w:val="08E81439"/>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8"/>
    <w:rsid w:val="08E8196B"/>
    <w:rsid w:val="08E81A01"/>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38"/>
    <w:rsid w:val="08E826BF"/>
    <w:rsid w:val="08E82706"/>
    <w:rsid w:val="08E8272E"/>
    <w:rsid w:val="08E82736"/>
    <w:rsid w:val="08E82755"/>
    <w:rsid w:val="08E828C7"/>
    <w:rsid w:val="08E8293D"/>
    <w:rsid w:val="08E829EB"/>
    <w:rsid w:val="08E82A4D"/>
    <w:rsid w:val="08E82A6D"/>
    <w:rsid w:val="08E82B28"/>
    <w:rsid w:val="08E82B3C"/>
    <w:rsid w:val="08E82CA9"/>
    <w:rsid w:val="08E82D21"/>
    <w:rsid w:val="08E82D6A"/>
    <w:rsid w:val="08E82DF2"/>
    <w:rsid w:val="08E82E2E"/>
    <w:rsid w:val="08E82E9B"/>
    <w:rsid w:val="08E82F01"/>
    <w:rsid w:val="08E82F5C"/>
    <w:rsid w:val="08E83002"/>
    <w:rsid w:val="08E8302E"/>
    <w:rsid w:val="08E83034"/>
    <w:rsid w:val="08E83048"/>
    <w:rsid w:val="08E8306F"/>
    <w:rsid w:val="08E830B0"/>
    <w:rsid w:val="08E830E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3FFB"/>
    <w:rsid w:val="08E84030"/>
    <w:rsid w:val="08E84172"/>
    <w:rsid w:val="08E84176"/>
    <w:rsid w:val="08E841B1"/>
    <w:rsid w:val="08E841DA"/>
    <w:rsid w:val="08E8422E"/>
    <w:rsid w:val="08E8424A"/>
    <w:rsid w:val="08E843C8"/>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1A"/>
    <w:rsid w:val="08E8569F"/>
    <w:rsid w:val="08E856CF"/>
    <w:rsid w:val="08E856DC"/>
    <w:rsid w:val="08E856EE"/>
    <w:rsid w:val="08E856F6"/>
    <w:rsid w:val="08E85725"/>
    <w:rsid w:val="08E85768"/>
    <w:rsid w:val="08E85781"/>
    <w:rsid w:val="08E857BC"/>
    <w:rsid w:val="08E857E7"/>
    <w:rsid w:val="08E85813"/>
    <w:rsid w:val="08E85908"/>
    <w:rsid w:val="08E85934"/>
    <w:rsid w:val="08E859EB"/>
    <w:rsid w:val="08E85AA8"/>
    <w:rsid w:val="08E85B53"/>
    <w:rsid w:val="08E85B6E"/>
    <w:rsid w:val="08E85BCF"/>
    <w:rsid w:val="08E85CCF"/>
    <w:rsid w:val="08E85D42"/>
    <w:rsid w:val="08E85E5A"/>
    <w:rsid w:val="08E85F16"/>
    <w:rsid w:val="08E85F9A"/>
    <w:rsid w:val="08E85FB2"/>
    <w:rsid w:val="08E8602F"/>
    <w:rsid w:val="08E8605A"/>
    <w:rsid w:val="08E8605F"/>
    <w:rsid w:val="08E860B8"/>
    <w:rsid w:val="08E86125"/>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1B"/>
    <w:rsid w:val="08E86FB6"/>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CB"/>
    <w:rsid w:val="08E87EF8"/>
    <w:rsid w:val="08E901DC"/>
    <w:rsid w:val="08E90241"/>
    <w:rsid w:val="08E9025D"/>
    <w:rsid w:val="08E902EB"/>
    <w:rsid w:val="08E90341"/>
    <w:rsid w:val="08E903C8"/>
    <w:rsid w:val="08E9042A"/>
    <w:rsid w:val="08E904CF"/>
    <w:rsid w:val="08E90553"/>
    <w:rsid w:val="08E90590"/>
    <w:rsid w:val="08E90647"/>
    <w:rsid w:val="08E906A7"/>
    <w:rsid w:val="08E906DE"/>
    <w:rsid w:val="08E907A1"/>
    <w:rsid w:val="08E907CE"/>
    <w:rsid w:val="08E9084E"/>
    <w:rsid w:val="08E9091F"/>
    <w:rsid w:val="08E9097D"/>
    <w:rsid w:val="08E909B7"/>
    <w:rsid w:val="08E909CB"/>
    <w:rsid w:val="08E90AA2"/>
    <w:rsid w:val="08E90B79"/>
    <w:rsid w:val="08E90BCD"/>
    <w:rsid w:val="08E90C6E"/>
    <w:rsid w:val="08E910B5"/>
    <w:rsid w:val="08E91104"/>
    <w:rsid w:val="08E91126"/>
    <w:rsid w:val="08E911BB"/>
    <w:rsid w:val="08E911E0"/>
    <w:rsid w:val="08E91288"/>
    <w:rsid w:val="08E91421"/>
    <w:rsid w:val="08E915B3"/>
    <w:rsid w:val="08E915BA"/>
    <w:rsid w:val="08E915FD"/>
    <w:rsid w:val="08E91614"/>
    <w:rsid w:val="08E91617"/>
    <w:rsid w:val="08E91679"/>
    <w:rsid w:val="08E916A1"/>
    <w:rsid w:val="08E916D9"/>
    <w:rsid w:val="08E9173E"/>
    <w:rsid w:val="08E9177C"/>
    <w:rsid w:val="08E917B1"/>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210"/>
    <w:rsid w:val="08E92229"/>
    <w:rsid w:val="08E92234"/>
    <w:rsid w:val="08E923F2"/>
    <w:rsid w:val="08E92405"/>
    <w:rsid w:val="08E9246F"/>
    <w:rsid w:val="08E92482"/>
    <w:rsid w:val="08E924DC"/>
    <w:rsid w:val="08E92576"/>
    <w:rsid w:val="08E92589"/>
    <w:rsid w:val="08E925CA"/>
    <w:rsid w:val="08E92630"/>
    <w:rsid w:val="08E926F0"/>
    <w:rsid w:val="08E927EA"/>
    <w:rsid w:val="08E9288D"/>
    <w:rsid w:val="08E928D8"/>
    <w:rsid w:val="08E92935"/>
    <w:rsid w:val="08E9295B"/>
    <w:rsid w:val="08E92A6C"/>
    <w:rsid w:val="08E92B0E"/>
    <w:rsid w:val="08E92B2A"/>
    <w:rsid w:val="08E92B65"/>
    <w:rsid w:val="08E92C0D"/>
    <w:rsid w:val="08E92C45"/>
    <w:rsid w:val="08E92D22"/>
    <w:rsid w:val="08E92D90"/>
    <w:rsid w:val="08E92DFC"/>
    <w:rsid w:val="08E92DFF"/>
    <w:rsid w:val="08E92E4B"/>
    <w:rsid w:val="08E92EFE"/>
    <w:rsid w:val="08E92F30"/>
    <w:rsid w:val="08E92F6A"/>
    <w:rsid w:val="08E92FA5"/>
    <w:rsid w:val="08E92FE8"/>
    <w:rsid w:val="08E93002"/>
    <w:rsid w:val="08E93176"/>
    <w:rsid w:val="08E931EF"/>
    <w:rsid w:val="08E931F0"/>
    <w:rsid w:val="08E931FB"/>
    <w:rsid w:val="08E93219"/>
    <w:rsid w:val="08E9343A"/>
    <w:rsid w:val="08E93491"/>
    <w:rsid w:val="08E934B7"/>
    <w:rsid w:val="08E934ED"/>
    <w:rsid w:val="08E93529"/>
    <w:rsid w:val="08E9362D"/>
    <w:rsid w:val="08E936EF"/>
    <w:rsid w:val="08E93729"/>
    <w:rsid w:val="08E93936"/>
    <w:rsid w:val="08E939C6"/>
    <w:rsid w:val="08E93A70"/>
    <w:rsid w:val="08E93B7B"/>
    <w:rsid w:val="08E93C93"/>
    <w:rsid w:val="08E93D11"/>
    <w:rsid w:val="08E93D48"/>
    <w:rsid w:val="08E93EFC"/>
    <w:rsid w:val="08E93F1A"/>
    <w:rsid w:val="08E93F73"/>
    <w:rsid w:val="08E9405C"/>
    <w:rsid w:val="08E94112"/>
    <w:rsid w:val="08E9414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1B"/>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59B"/>
    <w:rsid w:val="08E965FE"/>
    <w:rsid w:val="08E9664C"/>
    <w:rsid w:val="08E96689"/>
    <w:rsid w:val="08E966C6"/>
    <w:rsid w:val="08E967C4"/>
    <w:rsid w:val="08E96800"/>
    <w:rsid w:val="08E969CC"/>
    <w:rsid w:val="08E96ACC"/>
    <w:rsid w:val="08E96AD0"/>
    <w:rsid w:val="08E96BFB"/>
    <w:rsid w:val="08E96CD9"/>
    <w:rsid w:val="08E96D67"/>
    <w:rsid w:val="08E96E17"/>
    <w:rsid w:val="08E96E91"/>
    <w:rsid w:val="08E96ED8"/>
    <w:rsid w:val="08E96F09"/>
    <w:rsid w:val="08E96FC4"/>
    <w:rsid w:val="08E97118"/>
    <w:rsid w:val="08E9717F"/>
    <w:rsid w:val="08E97184"/>
    <w:rsid w:val="08E9719E"/>
    <w:rsid w:val="08E971D2"/>
    <w:rsid w:val="08E9727E"/>
    <w:rsid w:val="08E972D8"/>
    <w:rsid w:val="08E97453"/>
    <w:rsid w:val="08E9747E"/>
    <w:rsid w:val="08E9750C"/>
    <w:rsid w:val="08E975A3"/>
    <w:rsid w:val="08E975B2"/>
    <w:rsid w:val="08E975EF"/>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E19"/>
    <w:rsid w:val="08E97EAA"/>
    <w:rsid w:val="08E97EBD"/>
    <w:rsid w:val="08E97EC5"/>
    <w:rsid w:val="08E97EEF"/>
    <w:rsid w:val="08E97F00"/>
    <w:rsid w:val="08E97F58"/>
    <w:rsid w:val="08E97FA8"/>
    <w:rsid w:val="08E97FD0"/>
    <w:rsid w:val="08EA0026"/>
    <w:rsid w:val="08EA00B1"/>
    <w:rsid w:val="08EA00E1"/>
    <w:rsid w:val="08EA00EC"/>
    <w:rsid w:val="08EA0163"/>
    <w:rsid w:val="08EA0246"/>
    <w:rsid w:val="08EA035B"/>
    <w:rsid w:val="08EA03DF"/>
    <w:rsid w:val="08EA0421"/>
    <w:rsid w:val="08EA04AB"/>
    <w:rsid w:val="08EA04CA"/>
    <w:rsid w:val="08EA04FB"/>
    <w:rsid w:val="08EA0526"/>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231"/>
    <w:rsid w:val="08EA126B"/>
    <w:rsid w:val="08EA1284"/>
    <w:rsid w:val="08EA12CC"/>
    <w:rsid w:val="08EA137A"/>
    <w:rsid w:val="08EA1391"/>
    <w:rsid w:val="08EA1421"/>
    <w:rsid w:val="08EA14BE"/>
    <w:rsid w:val="08EA14CF"/>
    <w:rsid w:val="08EA1518"/>
    <w:rsid w:val="08EA1539"/>
    <w:rsid w:val="08EA158D"/>
    <w:rsid w:val="08EA15E8"/>
    <w:rsid w:val="08EA164D"/>
    <w:rsid w:val="08EA1788"/>
    <w:rsid w:val="08EA17AE"/>
    <w:rsid w:val="08EA17FE"/>
    <w:rsid w:val="08EA1838"/>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2E"/>
    <w:rsid w:val="08EA293E"/>
    <w:rsid w:val="08EA29B4"/>
    <w:rsid w:val="08EA29E8"/>
    <w:rsid w:val="08EA2A64"/>
    <w:rsid w:val="08EA2ABE"/>
    <w:rsid w:val="08EA2B2F"/>
    <w:rsid w:val="08EA2BAE"/>
    <w:rsid w:val="08EA2BE9"/>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896"/>
    <w:rsid w:val="08EA3956"/>
    <w:rsid w:val="08EA39BE"/>
    <w:rsid w:val="08EA3A48"/>
    <w:rsid w:val="08EA3A92"/>
    <w:rsid w:val="08EA3AC9"/>
    <w:rsid w:val="08EA3B17"/>
    <w:rsid w:val="08EA3C53"/>
    <w:rsid w:val="08EA3CD0"/>
    <w:rsid w:val="08EA3CFA"/>
    <w:rsid w:val="08EA3D47"/>
    <w:rsid w:val="08EA3E22"/>
    <w:rsid w:val="08EA3E24"/>
    <w:rsid w:val="08EA3E2B"/>
    <w:rsid w:val="08EA3E9E"/>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29"/>
    <w:rsid w:val="08EA472A"/>
    <w:rsid w:val="08EA481C"/>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3C"/>
    <w:rsid w:val="08EA584B"/>
    <w:rsid w:val="08EA58F2"/>
    <w:rsid w:val="08EA597A"/>
    <w:rsid w:val="08EA5A09"/>
    <w:rsid w:val="08EA5A75"/>
    <w:rsid w:val="08EA5AB3"/>
    <w:rsid w:val="08EA5AF8"/>
    <w:rsid w:val="08EA5B7C"/>
    <w:rsid w:val="08EA5C67"/>
    <w:rsid w:val="08EA5CCE"/>
    <w:rsid w:val="08EA5D61"/>
    <w:rsid w:val="08EA5DE0"/>
    <w:rsid w:val="08EA5E85"/>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19"/>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7E"/>
    <w:rsid w:val="08EA7D82"/>
    <w:rsid w:val="08EA7D99"/>
    <w:rsid w:val="08EA7DE3"/>
    <w:rsid w:val="08EA7F89"/>
    <w:rsid w:val="08EA7F97"/>
    <w:rsid w:val="08EB00AD"/>
    <w:rsid w:val="08EB011E"/>
    <w:rsid w:val="08EB016B"/>
    <w:rsid w:val="08EB019D"/>
    <w:rsid w:val="08EB01C2"/>
    <w:rsid w:val="08EB0204"/>
    <w:rsid w:val="08EB0230"/>
    <w:rsid w:val="08EB0245"/>
    <w:rsid w:val="08EB0391"/>
    <w:rsid w:val="08EB03CF"/>
    <w:rsid w:val="08EB0418"/>
    <w:rsid w:val="08EB04BC"/>
    <w:rsid w:val="08EB04DF"/>
    <w:rsid w:val="08EB0609"/>
    <w:rsid w:val="08EB0610"/>
    <w:rsid w:val="08EB0619"/>
    <w:rsid w:val="08EB0633"/>
    <w:rsid w:val="08EB06AA"/>
    <w:rsid w:val="08EB079D"/>
    <w:rsid w:val="08EB07E0"/>
    <w:rsid w:val="08EB0805"/>
    <w:rsid w:val="08EB08EB"/>
    <w:rsid w:val="08EB0970"/>
    <w:rsid w:val="08EB0A34"/>
    <w:rsid w:val="08EB0A53"/>
    <w:rsid w:val="08EB0ACF"/>
    <w:rsid w:val="08EB0B24"/>
    <w:rsid w:val="08EB0B44"/>
    <w:rsid w:val="08EB0B88"/>
    <w:rsid w:val="08EB0B89"/>
    <w:rsid w:val="08EB0C60"/>
    <w:rsid w:val="08EB0C7C"/>
    <w:rsid w:val="08EB0D34"/>
    <w:rsid w:val="08EB0D42"/>
    <w:rsid w:val="08EB0DF8"/>
    <w:rsid w:val="08EB0E13"/>
    <w:rsid w:val="08EB0E49"/>
    <w:rsid w:val="08EB0E4C"/>
    <w:rsid w:val="08EB0F68"/>
    <w:rsid w:val="08EB1087"/>
    <w:rsid w:val="08EB10E5"/>
    <w:rsid w:val="08EB10FE"/>
    <w:rsid w:val="08EB115E"/>
    <w:rsid w:val="08EB1165"/>
    <w:rsid w:val="08EB11C4"/>
    <w:rsid w:val="08EB11F8"/>
    <w:rsid w:val="08EB121E"/>
    <w:rsid w:val="08EB1254"/>
    <w:rsid w:val="08EB132A"/>
    <w:rsid w:val="08EB1343"/>
    <w:rsid w:val="08EB1384"/>
    <w:rsid w:val="08EB13E2"/>
    <w:rsid w:val="08EB1420"/>
    <w:rsid w:val="08EB14B3"/>
    <w:rsid w:val="08EB15D5"/>
    <w:rsid w:val="08EB15D9"/>
    <w:rsid w:val="08EB163A"/>
    <w:rsid w:val="08EB1640"/>
    <w:rsid w:val="08EB166C"/>
    <w:rsid w:val="08EB16C0"/>
    <w:rsid w:val="08EB171F"/>
    <w:rsid w:val="08EB1769"/>
    <w:rsid w:val="08EB17BD"/>
    <w:rsid w:val="08EB17E4"/>
    <w:rsid w:val="08EB17E7"/>
    <w:rsid w:val="08EB1837"/>
    <w:rsid w:val="08EB1909"/>
    <w:rsid w:val="08EB1928"/>
    <w:rsid w:val="08EB194C"/>
    <w:rsid w:val="08EB1959"/>
    <w:rsid w:val="08EB198D"/>
    <w:rsid w:val="08EB1999"/>
    <w:rsid w:val="08EB19B4"/>
    <w:rsid w:val="08EB1C40"/>
    <w:rsid w:val="08EB1DA8"/>
    <w:rsid w:val="08EB1DC1"/>
    <w:rsid w:val="08EB1E22"/>
    <w:rsid w:val="08EB1E59"/>
    <w:rsid w:val="08EB1EB4"/>
    <w:rsid w:val="08EB1F23"/>
    <w:rsid w:val="08EB1F27"/>
    <w:rsid w:val="08EB1F62"/>
    <w:rsid w:val="08EB1FA8"/>
    <w:rsid w:val="08EB2033"/>
    <w:rsid w:val="08EB20EE"/>
    <w:rsid w:val="08EB2107"/>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32"/>
    <w:rsid w:val="08EB2B6F"/>
    <w:rsid w:val="08EB2BF7"/>
    <w:rsid w:val="08EB2C37"/>
    <w:rsid w:val="08EB2CD7"/>
    <w:rsid w:val="08EB2E94"/>
    <w:rsid w:val="08EB2EB4"/>
    <w:rsid w:val="08EB2F94"/>
    <w:rsid w:val="08EB300E"/>
    <w:rsid w:val="08EB3010"/>
    <w:rsid w:val="08EB304D"/>
    <w:rsid w:val="08EB3076"/>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65D"/>
    <w:rsid w:val="08EB46B7"/>
    <w:rsid w:val="08EB470D"/>
    <w:rsid w:val="08EB4769"/>
    <w:rsid w:val="08EB47C7"/>
    <w:rsid w:val="08EB493A"/>
    <w:rsid w:val="08EB49C9"/>
    <w:rsid w:val="08EB49DD"/>
    <w:rsid w:val="08EB4ABF"/>
    <w:rsid w:val="08EB4BEF"/>
    <w:rsid w:val="08EB4C40"/>
    <w:rsid w:val="08EB4CBE"/>
    <w:rsid w:val="08EB4D88"/>
    <w:rsid w:val="08EB4E3A"/>
    <w:rsid w:val="08EB4EA3"/>
    <w:rsid w:val="08EB4EB4"/>
    <w:rsid w:val="08EB4EEB"/>
    <w:rsid w:val="08EB4F4A"/>
    <w:rsid w:val="08EB4F9B"/>
    <w:rsid w:val="08EB5009"/>
    <w:rsid w:val="08EB5027"/>
    <w:rsid w:val="08EB503E"/>
    <w:rsid w:val="08EB5115"/>
    <w:rsid w:val="08EB511C"/>
    <w:rsid w:val="08EB5166"/>
    <w:rsid w:val="08EB51FB"/>
    <w:rsid w:val="08EB522B"/>
    <w:rsid w:val="08EB5271"/>
    <w:rsid w:val="08EB52E3"/>
    <w:rsid w:val="08EB5368"/>
    <w:rsid w:val="08EB537C"/>
    <w:rsid w:val="08EB5393"/>
    <w:rsid w:val="08EB53B7"/>
    <w:rsid w:val="08EB5532"/>
    <w:rsid w:val="08EB56AA"/>
    <w:rsid w:val="08EB56F9"/>
    <w:rsid w:val="08EB584B"/>
    <w:rsid w:val="08EB59BF"/>
    <w:rsid w:val="08EB59EB"/>
    <w:rsid w:val="08EB5A17"/>
    <w:rsid w:val="08EB5A69"/>
    <w:rsid w:val="08EB5A72"/>
    <w:rsid w:val="08EB5ADC"/>
    <w:rsid w:val="08EB5B27"/>
    <w:rsid w:val="08EB5B42"/>
    <w:rsid w:val="08EB5B47"/>
    <w:rsid w:val="08EB5BA3"/>
    <w:rsid w:val="08EB5BE8"/>
    <w:rsid w:val="08EB5C42"/>
    <w:rsid w:val="08EB5C6B"/>
    <w:rsid w:val="08EB5C88"/>
    <w:rsid w:val="08EB5CE9"/>
    <w:rsid w:val="08EB5CF9"/>
    <w:rsid w:val="08EB5D6C"/>
    <w:rsid w:val="08EB5DA6"/>
    <w:rsid w:val="08EB5DB6"/>
    <w:rsid w:val="08EB5E16"/>
    <w:rsid w:val="08EB5EC9"/>
    <w:rsid w:val="08EB5F2E"/>
    <w:rsid w:val="08EB5F37"/>
    <w:rsid w:val="08EB5F3D"/>
    <w:rsid w:val="08EB5F4F"/>
    <w:rsid w:val="08EB618E"/>
    <w:rsid w:val="08EB6266"/>
    <w:rsid w:val="08EB6290"/>
    <w:rsid w:val="08EB63CA"/>
    <w:rsid w:val="08EB6461"/>
    <w:rsid w:val="08EB6491"/>
    <w:rsid w:val="08EB649A"/>
    <w:rsid w:val="08EB64B4"/>
    <w:rsid w:val="08EB64EC"/>
    <w:rsid w:val="08EB6590"/>
    <w:rsid w:val="08EB65F8"/>
    <w:rsid w:val="08EB66E6"/>
    <w:rsid w:val="08EB66EE"/>
    <w:rsid w:val="08EB676E"/>
    <w:rsid w:val="08EB682E"/>
    <w:rsid w:val="08EB68BD"/>
    <w:rsid w:val="08EB6998"/>
    <w:rsid w:val="08EB6AAC"/>
    <w:rsid w:val="08EB6AB6"/>
    <w:rsid w:val="08EB6ABD"/>
    <w:rsid w:val="08EB6ADE"/>
    <w:rsid w:val="08EB6B33"/>
    <w:rsid w:val="08EB6C3E"/>
    <w:rsid w:val="08EB6C54"/>
    <w:rsid w:val="08EB6CC7"/>
    <w:rsid w:val="08EB6DC6"/>
    <w:rsid w:val="08EB6DFC"/>
    <w:rsid w:val="08EB6EA8"/>
    <w:rsid w:val="08EB6F93"/>
    <w:rsid w:val="08EB6FB7"/>
    <w:rsid w:val="08EB7070"/>
    <w:rsid w:val="08EB70CB"/>
    <w:rsid w:val="08EB70D1"/>
    <w:rsid w:val="08EB710F"/>
    <w:rsid w:val="08EB713E"/>
    <w:rsid w:val="08EB7256"/>
    <w:rsid w:val="08EB7276"/>
    <w:rsid w:val="08EB72D5"/>
    <w:rsid w:val="08EB72E5"/>
    <w:rsid w:val="08EB72EA"/>
    <w:rsid w:val="08EB72F8"/>
    <w:rsid w:val="08EB7301"/>
    <w:rsid w:val="08EB7302"/>
    <w:rsid w:val="08EB7304"/>
    <w:rsid w:val="08EB731F"/>
    <w:rsid w:val="08EB73F8"/>
    <w:rsid w:val="08EB7451"/>
    <w:rsid w:val="08EB7557"/>
    <w:rsid w:val="08EB7589"/>
    <w:rsid w:val="08EB75B0"/>
    <w:rsid w:val="08EB7621"/>
    <w:rsid w:val="08EB7626"/>
    <w:rsid w:val="08EB7627"/>
    <w:rsid w:val="08EB762C"/>
    <w:rsid w:val="08EB7662"/>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46F"/>
    <w:rsid w:val="08EC0518"/>
    <w:rsid w:val="08EC0520"/>
    <w:rsid w:val="08EC0541"/>
    <w:rsid w:val="08EC056B"/>
    <w:rsid w:val="08EC05C3"/>
    <w:rsid w:val="08EC061A"/>
    <w:rsid w:val="08EC0695"/>
    <w:rsid w:val="08EC0762"/>
    <w:rsid w:val="08EC07F4"/>
    <w:rsid w:val="08EC0979"/>
    <w:rsid w:val="08EC09DF"/>
    <w:rsid w:val="08EC09E8"/>
    <w:rsid w:val="08EC09FA"/>
    <w:rsid w:val="08EC0B20"/>
    <w:rsid w:val="08EC0BD2"/>
    <w:rsid w:val="08EC0C2E"/>
    <w:rsid w:val="08EC0D33"/>
    <w:rsid w:val="08EC0ECC"/>
    <w:rsid w:val="08EC114C"/>
    <w:rsid w:val="08EC125D"/>
    <w:rsid w:val="08EC1284"/>
    <w:rsid w:val="08EC12C9"/>
    <w:rsid w:val="08EC12CE"/>
    <w:rsid w:val="08EC1331"/>
    <w:rsid w:val="08EC1454"/>
    <w:rsid w:val="08EC1475"/>
    <w:rsid w:val="08EC14A4"/>
    <w:rsid w:val="08EC14AF"/>
    <w:rsid w:val="08EC14CF"/>
    <w:rsid w:val="08EC14FB"/>
    <w:rsid w:val="08EC1531"/>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147"/>
    <w:rsid w:val="08EC22AD"/>
    <w:rsid w:val="08EC234D"/>
    <w:rsid w:val="08EC2356"/>
    <w:rsid w:val="08EC23E5"/>
    <w:rsid w:val="08EC241B"/>
    <w:rsid w:val="08EC2424"/>
    <w:rsid w:val="08EC2490"/>
    <w:rsid w:val="08EC24D5"/>
    <w:rsid w:val="08EC263B"/>
    <w:rsid w:val="08EC2698"/>
    <w:rsid w:val="08EC26DA"/>
    <w:rsid w:val="08EC271F"/>
    <w:rsid w:val="08EC27CA"/>
    <w:rsid w:val="08EC2913"/>
    <w:rsid w:val="08EC294D"/>
    <w:rsid w:val="08EC2960"/>
    <w:rsid w:val="08EC29D4"/>
    <w:rsid w:val="08EC2A5C"/>
    <w:rsid w:val="08EC2D34"/>
    <w:rsid w:val="08EC2DDC"/>
    <w:rsid w:val="08EC2E76"/>
    <w:rsid w:val="08EC2EEF"/>
    <w:rsid w:val="08EC2F41"/>
    <w:rsid w:val="08EC2F42"/>
    <w:rsid w:val="08EC2FC2"/>
    <w:rsid w:val="08EC2FDB"/>
    <w:rsid w:val="08EC302C"/>
    <w:rsid w:val="08EC307C"/>
    <w:rsid w:val="08EC3087"/>
    <w:rsid w:val="08EC30BB"/>
    <w:rsid w:val="08EC3191"/>
    <w:rsid w:val="08EC31A8"/>
    <w:rsid w:val="08EC31CF"/>
    <w:rsid w:val="08EC31D0"/>
    <w:rsid w:val="08EC31D3"/>
    <w:rsid w:val="08EC3290"/>
    <w:rsid w:val="08EC3329"/>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8E"/>
    <w:rsid w:val="08EC4192"/>
    <w:rsid w:val="08EC431E"/>
    <w:rsid w:val="08EC4339"/>
    <w:rsid w:val="08EC433E"/>
    <w:rsid w:val="08EC4364"/>
    <w:rsid w:val="08EC4366"/>
    <w:rsid w:val="08EC4367"/>
    <w:rsid w:val="08EC43A6"/>
    <w:rsid w:val="08EC43E4"/>
    <w:rsid w:val="08EC448C"/>
    <w:rsid w:val="08EC4492"/>
    <w:rsid w:val="08EC44F9"/>
    <w:rsid w:val="08EC4528"/>
    <w:rsid w:val="08EC481C"/>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66"/>
    <w:rsid w:val="08EC558F"/>
    <w:rsid w:val="08EC55F6"/>
    <w:rsid w:val="08EC5635"/>
    <w:rsid w:val="08EC576F"/>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73"/>
    <w:rsid w:val="08EC609C"/>
    <w:rsid w:val="08EC6160"/>
    <w:rsid w:val="08EC61AC"/>
    <w:rsid w:val="08EC6208"/>
    <w:rsid w:val="08EC6302"/>
    <w:rsid w:val="08EC6328"/>
    <w:rsid w:val="08EC63C3"/>
    <w:rsid w:val="08EC63EE"/>
    <w:rsid w:val="08EC64EE"/>
    <w:rsid w:val="08EC64F1"/>
    <w:rsid w:val="08EC6643"/>
    <w:rsid w:val="08EC669A"/>
    <w:rsid w:val="08EC66B2"/>
    <w:rsid w:val="08EC676D"/>
    <w:rsid w:val="08EC6780"/>
    <w:rsid w:val="08EC6859"/>
    <w:rsid w:val="08EC6872"/>
    <w:rsid w:val="08EC6ACB"/>
    <w:rsid w:val="08EC6B10"/>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270"/>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A13"/>
    <w:rsid w:val="08EC7A14"/>
    <w:rsid w:val="08EC7A33"/>
    <w:rsid w:val="08EC7A48"/>
    <w:rsid w:val="08EC7A4F"/>
    <w:rsid w:val="08EC7A70"/>
    <w:rsid w:val="08EC7ADE"/>
    <w:rsid w:val="08EC7B48"/>
    <w:rsid w:val="08EC7B60"/>
    <w:rsid w:val="08EC7B6D"/>
    <w:rsid w:val="08EC7B72"/>
    <w:rsid w:val="08EC7BF9"/>
    <w:rsid w:val="08EC7D04"/>
    <w:rsid w:val="08EC7D86"/>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3E"/>
    <w:rsid w:val="08ED0993"/>
    <w:rsid w:val="08ED09E2"/>
    <w:rsid w:val="08ED09FD"/>
    <w:rsid w:val="08ED0A99"/>
    <w:rsid w:val="08ED0AD8"/>
    <w:rsid w:val="08ED0B08"/>
    <w:rsid w:val="08ED0B24"/>
    <w:rsid w:val="08ED0B3F"/>
    <w:rsid w:val="08ED0B48"/>
    <w:rsid w:val="08ED0DA0"/>
    <w:rsid w:val="08ED0DA5"/>
    <w:rsid w:val="08ED0E42"/>
    <w:rsid w:val="08ED0F68"/>
    <w:rsid w:val="08ED0F8D"/>
    <w:rsid w:val="08ED100A"/>
    <w:rsid w:val="08ED1033"/>
    <w:rsid w:val="08ED10F5"/>
    <w:rsid w:val="08ED1121"/>
    <w:rsid w:val="08ED11B1"/>
    <w:rsid w:val="08ED128D"/>
    <w:rsid w:val="08ED130C"/>
    <w:rsid w:val="08ED1313"/>
    <w:rsid w:val="08ED13A8"/>
    <w:rsid w:val="08ED14CA"/>
    <w:rsid w:val="08ED14F5"/>
    <w:rsid w:val="08ED153F"/>
    <w:rsid w:val="08ED1650"/>
    <w:rsid w:val="08ED16A2"/>
    <w:rsid w:val="08ED16B5"/>
    <w:rsid w:val="08ED17AB"/>
    <w:rsid w:val="08ED1843"/>
    <w:rsid w:val="08ED18A8"/>
    <w:rsid w:val="08ED18B9"/>
    <w:rsid w:val="08ED18ED"/>
    <w:rsid w:val="08ED1926"/>
    <w:rsid w:val="08ED19A7"/>
    <w:rsid w:val="08ED1A1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1FF4"/>
    <w:rsid w:val="08ED2081"/>
    <w:rsid w:val="08ED20E3"/>
    <w:rsid w:val="08ED210C"/>
    <w:rsid w:val="08ED2190"/>
    <w:rsid w:val="08ED2298"/>
    <w:rsid w:val="08ED2336"/>
    <w:rsid w:val="08ED2467"/>
    <w:rsid w:val="08ED246A"/>
    <w:rsid w:val="08ED24F8"/>
    <w:rsid w:val="08ED254E"/>
    <w:rsid w:val="08ED2647"/>
    <w:rsid w:val="08ED275A"/>
    <w:rsid w:val="08ED27C7"/>
    <w:rsid w:val="08ED27E1"/>
    <w:rsid w:val="08ED27E3"/>
    <w:rsid w:val="08ED2810"/>
    <w:rsid w:val="08ED2822"/>
    <w:rsid w:val="08ED2891"/>
    <w:rsid w:val="08ED2A55"/>
    <w:rsid w:val="08ED2AA3"/>
    <w:rsid w:val="08ED2BF5"/>
    <w:rsid w:val="08ED2CA5"/>
    <w:rsid w:val="08ED2CCF"/>
    <w:rsid w:val="08ED2D82"/>
    <w:rsid w:val="08ED2E45"/>
    <w:rsid w:val="08ED2EA4"/>
    <w:rsid w:val="08ED2F59"/>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74"/>
    <w:rsid w:val="08ED37B7"/>
    <w:rsid w:val="08ED3831"/>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19"/>
    <w:rsid w:val="08ED52A5"/>
    <w:rsid w:val="08ED5339"/>
    <w:rsid w:val="08ED5372"/>
    <w:rsid w:val="08ED5382"/>
    <w:rsid w:val="08ED5383"/>
    <w:rsid w:val="08ED5666"/>
    <w:rsid w:val="08ED56BF"/>
    <w:rsid w:val="08ED572E"/>
    <w:rsid w:val="08ED57E4"/>
    <w:rsid w:val="08ED57E9"/>
    <w:rsid w:val="08ED596A"/>
    <w:rsid w:val="08ED5988"/>
    <w:rsid w:val="08ED5989"/>
    <w:rsid w:val="08ED59D3"/>
    <w:rsid w:val="08ED5A2F"/>
    <w:rsid w:val="08ED5BD6"/>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CA4"/>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C"/>
    <w:rsid w:val="08ED7B9F"/>
    <w:rsid w:val="08ED7BF3"/>
    <w:rsid w:val="08ED7D30"/>
    <w:rsid w:val="08ED7D53"/>
    <w:rsid w:val="08ED7E09"/>
    <w:rsid w:val="08ED7E9F"/>
    <w:rsid w:val="08ED7ECF"/>
    <w:rsid w:val="08ED7F03"/>
    <w:rsid w:val="08ED7F12"/>
    <w:rsid w:val="08ED7FEA"/>
    <w:rsid w:val="08EE009C"/>
    <w:rsid w:val="08EE00C4"/>
    <w:rsid w:val="08EE01E5"/>
    <w:rsid w:val="08EE01E6"/>
    <w:rsid w:val="08EE02AA"/>
    <w:rsid w:val="08EE0379"/>
    <w:rsid w:val="08EE03A6"/>
    <w:rsid w:val="08EE03CE"/>
    <w:rsid w:val="08EE03F2"/>
    <w:rsid w:val="08EE044A"/>
    <w:rsid w:val="08EE04EE"/>
    <w:rsid w:val="08EE0591"/>
    <w:rsid w:val="08EE0613"/>
    <w:rsid w:val="08EE06D5"/>
    <w:rsid w:val="08EE06E0"/>
    <w:rsid w:val="08EE0738"/>
    <w:rsid w:val="08EE07FC"/>
    <w:rsid w:val="08EE08D6"/>
    <w:rsid w:val="08EE0982"/>
    <w:rsid w:val="08EE09D4"/>
    <w:rsid w:val="08EE09DB"/>
    <w:rsid w:val="08EE0A2F"/>
    <w:rsid w:val="08EE0A3C"/>
    <w:rsid w:val="08EE0AA4"/>
    <w:rsid w:val="08EE0AD6"/>
    <w:rsid w:val="08EE0BB0"/>
    <w:rsid w:val="08EE0C36"/>
    <w:rsid w:val="08EE0C52"/>
    <w:rsid w:val="08EE0CCF"/>
    <w:rsid w:val="08EE0D85"/>
    <w:rsid w:val="08EE0DA9"/>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568"/>
    <w:rsid w:val="08EE16C8"/>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0E"/>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D35"/>
    <w:rsid w:val="08EE2DE6"/>
    <w:rsid w:val="08EE2E2E"/>
    <w:rsid w:val="08EE2E99"/>
    <w:rsid w:val="08EE2EA9"/>
    <w:rsid w:val="08EE2F03"/>
    <w:rsid w:val="08EE2F2B"/>
    <w:rsid w:val="08EE2F30"/>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EB"/>
    <w:rsid w:val="08EE3A1D"/>
    <w:rsid w:val="08EE3A95"/>
    <w:rsid w:val="08EE3AB4"/>
    <w:rsid w:val="08EE3B3C"/>
    <w:rsid w:val="08EE3C24"/>
    <w:rsid w:val="08EE3C8B"/>
    <w:rsid w:val="08EE3CC8"/>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EC"/>
    <w:rsid w:val="08EE42FE"/>
    <w:rsid w:val="08EE432D"/>
    <w:rsid w:val="08EE4367"/>
    <w:rsid w:val="08EE44D8"/>
    <w:rsid w:val="08EE44FA"/>
    <w:rsid w:val="08EE4558"/>
    <w:rsid w:val="08EE457B"/>
    <w:rsid w:val="08EE46F9"/>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DA2"/>
    <w:rsid w:val="08EE4E82"/>
    <w:rsid w:val="08EE4EEA"/>
    <w:rsid w:val="08EE4F11"/>
    <w:rsid w:val="08EE5020"/>
    <w:rsid w:val="08EE507D"/>
    <w:rsid w:val="08EE518B"/>
    <w:rsid w:val="08EE51C4"/>
    <w:rsid w:val="08EE5205"/>
    <w:rsid w:val="08EE5257"/>
    <w:rsid w:val="08EE533E"/>
    <w:rsid w:val="08EE53BD"/>
    <w:rsid w:val="08EE53E9"/>
    <w:rsid w:val="08EE53F7"/>
    <w:rsid w:val="08EE548E"/>
    <w:rsid w:val="08EE54AE"/>
    <w:rsid w:val="08EE54DA"/>
    <w:rsid w:val="08EE55A6"/>
    <w:rsid w:val="08EE55D1"/>
    <w:rsid w:val="08EE55DF"/>
    <w:rsid w:val="08EE56CB"/>
    <w:rsid w:val="08EE5735"/>
    <w:rsid w:val="08EE57E7"/>
    <w:rsid w:val="08EE5912"/>
    <w:rsid w:val="08EE593A"/>
    <w:rsid w:val="08EE5983"/>
    <w:rsid w:val="08EE59DA"/>
    <w:rsid w:val="08EE59F5"/>
    <w:rsid w:val="08EE5AF4"/>
    <w:rsid w:val="08EE5C81"/>
    <w:rsid w:val="08EE5C82"/>
    <w:rsid w:val="08EE5CF6"/>
    <w:rsid w:val="08EE5D20"/>
    <w:rsid w:val="08EE5D41"/>
    <w:rsid w:val="08EE5EFB"/>
    <w:rsid w:val="08EE5F8D"/>
    <w:rsid w:val="08EE604C"/>
    <w:rsid w:val="08EE604F"/>
    <w:rsid w:val="08EE6130"/>
    <w:rsid w:val="08EE61C9"/>
    <w:rsid w:val="08EE61E0"/>
    <w:rsid w:val="08EE623D"/>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8B4"/>
    <w:rsid w:val="08EE792B"/>
    <w:rsid w:val="08EE79AE"/>
    <w:rsid w:val="08EE79B5"/>
    <w:rsid w:val="08EE79D4"/>
    <w:rsid w:val="08EE79EA"/>
    <w:rsid w:val="08EE79EB"/>
    <w:rsid w:val="08EE7A32"/>
    <w:rsid w:val="08EE7A47"/>
    <w:rsid w:val="08EE7BA3"/>
    <w:rsid w:val="08EE7C53"/>
    <w:rsid w:val="08EE7D56"/>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3A"/>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13E"/>
    <w:rsid w:val="08EF1213"/>
    <w:rsid w:val="08EF128C"/>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5A"/>
    <w:rsid w:val="08EF166C"/>
    <w:rsid w:val="08EF16A7"/>
    <w:rsid w:val="08EF172C"/>
    <w:rsid w:val="08EF179A"/>
    <w:rsid w:val="08EF180C"/>
    <w:rsid w:val="08EF190C"/>
    <w:rsid w:val="08EF191C"/>
    <w:rsid w:val="08EF196B"/>
    <w:rsid w:val="08EF19D8"/>
    <w:rsid w:val="08EF19E3"/>
    <w:rsid w:val="08EF19EC"/>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8B"/>
    <w:rsid w:val="08EF2FF9"/>
    <w:rsid w:val="08EF3016"/>
    <w:rsid w:val="08EF30B4"/>
    <w:rsid w:val="08EF30FE"/>
    <w:rsid w:val="08EF3144"/>
    <w:rsid w:val="08EF3149"/>
    <w:rsid w:val="08EF317C"/>
    <w:rsid w:val="08EF3314"/>
    <w:rsid w:val="08EF3322"/>
    <w:rsid w:val="08EF340C"/>
    <w:rsid w:val="08EF3494"/>
    <w:rsid w:val="08EF3595"/>
    <w:rsid w:val="08EF35E1"/>
    <w:rsid w:val="08EF372A"/>
    <w:rsid w:val="08EF37D5"/>
    <w:rsid w:val="08EF37DD"/>
    <w:rsid w:val="08EF382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313"/>
    <w:rsid w:val="08EF438E"/>
    <w:rsid w:val="08EF4397"/>
    <w:rsid w:val="08EF4415"/>
    <w:rsid w:val="08EF449F"/>
    <w:rsid w:val="08EF44ED"/>
    <w:rsid w:val="08EF4537"/>
    <w:rsid w:val="08EF4551"/>
    <w:rsid w:val="08EF4653"/>
    <w:rsid w:val="08EF47A3"/>
    <w:rsid w:val="08EF47FC"/>
    <w:rsid w:val="08EF48FD"/>
    <w:rsid w:val="08EF4917"/>
    <w:rsid w:val="08EF494E"/>
    <w:rsid w:val="08EF4952"/>
    <w:rsid w:val="08EF49A6"/>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08B"/>
    <w:rsid w:val="08EF6111"/>
    <w:rsid w:val="08EF6200"/>
    <w:rsid w:val="08EF6204"/>
    <w:rsid w:val="08EF634A"/>
    <w:rsid w:val="08EF6391"/>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4C"/>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A"/>
    <w:rsid w:val="08EF7598"/>
    <w:rsid w:val="08EF7613"/>
    <w:rsid w:val="08EF763E"/>
    <w:rsid w:val="08EF7697"/>
    <w:rsid w:val="08EF76AD"/>
    <w:rsid w:val="08EF76CC"/>
    <w:rsid w:val="08EF76D5"/>
    <w:rsid w:val="08EF774E"/>
    <w:rsid w:val="08EF77EB"/>
    <w:rsid w:val="08EF77EE"/>
    <w:rsid w:val="08EF7892"/>
    <w:rsid w:val="08EF79C1"/>
    <w:rsid w:val="08EF7AD8"/>
    <w:rsid w:val="08EF7B08"/>
    <w:rsid w:val="08EF7B0E"/>
    <w:rsid w:val="08EF7B3C"/>
    <w:rsid w:val="08EF7DAE"/>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E61"/>
    <w:rsid w:val="08F00F05"/>
    <w:rsid w:val="08F00F06"/>
    <w:rsid w:val="08F00FC4"/>
    <w:rsid w:val="08F01005"/>
    <w:rsid w:val="08F01024"/>
    <w:rsid w:val="08F010A8"/>
    <w:rsid w:val="08F011AD"/>
    <w:rsid w:val="08F011BE"/>
    <w:rsid w:val="08F011C7"/>
    <w:rsid w:val="08F011FC"/>
    <w:rsid w:val="08F0126C"/>
    <w:rsid w:val="08F01283"/>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A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AA"/>
    <w:rsid w:val="08F02446"/>
    <w:rsid w:val="08F02727"/>
    <w:rsid w:val="08F027DA"/>
    <w:rsid w:val="08F028E9"/>
    <w:rsid w:val="08F02926"/>
    <w:rsid w:val="08F02AC6"/>
    <w:rsid w:val="08F02AD6"/>
    <w:rsid w:val="08F02C37"/>
    <w:rsid w:val="08F02CEB"/>
    <w:rsid w:val="08F02F0A"/>
    <w:rsid w:val="08F02F8D"/>
    <w:rsid w:val="08F03041"/>
    <w:rsid w:val="08F03050"/>
    <w:rsid w:val="08F03060"/>
    <w:rsid w:val="08F030E2"/>
    <w:rsid w:val="08F030F6"/>
    <w:rsid w:val="08F03100"/>
    <w:rsid w:val="08F031DE"/>
    <w:rsid w:val="08F03219"/>
    <w:rsid w:val="08F03227"/>
    <w:rsid w:val="08F0324C"/>
    <w:rsid w:val="08F0326B"/>
    <w:rsid w:val="08F03272"/>
    <w:rsid w:val="08F032E7"/>
    <w:rsid w:val="08F032EF"/>
    <w:rsid w:val="08F03398"/>
    <w:rsid w:val="08F033B9"/>
    <w:rsid w:val="08F033D4"/>
    <w:rsid w:val="08F03432"/>
    <w:rsid w:val="08F034B7"/>
    <w:rsid w:val="08F0358B"/>
    <w:rsid w:val="08F036A5"/>
    <w:rsid w:val="08F0377E"/>
    <w:rsid w:val="08F037CC"/>
    <w:rsid w:val="08F03839"/>
    <w:rsid w:val="08F038CF"/>
    <w:rsid w:val="08F03908"/>
    <w:rsid w:val="08F0392F"/>
    <w:rsid w:val="08F039CD"/>
    <w:rsid w:val="08F03A1C"/>
    <w:rsid w:val="08F03B42"/>
    <w:rsid w:val="08F03C44"/>
    <w:rsid w:val="08F03CF7"/>
    <w:rsid w:val="08F03E55"/>
    <w:rsid w:val="08F03E80"/>
    <w:rsid w:val="08F03EC1"/>
    <w:rsid w:val="08F04111"/>
    <w:rsid w:val="08F041C2"/>
    <w:rsid w:val="08F04298"/>
    <w:rsid w:val="08F042FD"/>
    <w:rsid w:val="08F043FB"/>
    <w:rsid w:val="08F044CF"/>
    <w:rsid w:val="08F04584"/>
    <w:rsid w:val="08F0470D"/>
    <w:rsid w:val="08F04952"/>
    <w:rsid w:val="08F04989"/>
    <w:rsid w:val="08F04ACD"/>
    <w:rsid w:val="08F04B05"/>
    <w:rsid w:val="08F04B99"/>
    <w:rsid w:val="08F04C98"/>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118"/>
    <w:rsid w:val="08F061FE"/>
    <w:rsid w:val="08F063DE"/>
    <w:rsid w:val="08F0645A"/>
    <w:rsid w:val="08F064E3"/>
    <w:rsid w:val="08F06562"/>
    <w:rsid w:val="08F06596"/>
    <w:rsid w:val="08F065A4"/>
    <w:rsid w:val="08F065B9"/>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64"/>
    <w:rsid w:val="08F06E84"/>
    <w:rsid w:val="08F06EA4"/>
    <w:rsid w:val="08F06F12"/>
    <w:rsid w:val="08F06F5C"/>
    <w:rsid w:val="08F07072"/>
    <w:rsid w:val="08F070A3"/>
    <w:rsid w:val="08F070AC"/>
    <w:rsid w:val="08F070CD"/>
    <w:rsid w:val="08F070DF"/>
    <w:rsid w:val="08F070F7"/>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AD4"/>
    <w:rsid w:val="08F07B8B"/>
    <w:rsid w:val="08F07C53"/>
    <w:rsid w:val="08F07C6C"/>
    <w:rsid w:val="08F07CBF"/>
    <w:rsid w:val="08F07CCB"/>
    <w:rsid w:val="08F07CE4"/>
    <w:rsid w:val="08F07D75"/>
    <w:rsid w:val="08F07DD0"/>
    <w:rsid w:val="08F07E2C"/>
    <w:rsid w:val="08F07E49"/>
    <w:rsid w:val="08F07F06"/>
    <w:rsid w:val="08F07F79"/>
    <w:rsid w:val="08F07FA5"/>
    <w:rsid w:val="08F07FF0"/>
    <w:rsid w:val="08F10022"/>
    <w:rsid w:val="08F1005E"/>
    <w:rsid w:val="08F10110"/>
    <w:rsid w:val="08F10138"/>
    <w:rsid w:val="08F1014D"/>
    <w:rsid w:val="08F10193"/>
    <w:rsid w:val="08F101DA"/>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E37"/>
    <w:rsid w:val="08F10FAB"/>
    <w:rsid w:val="08F10FB4"/>
    <w:rsid w:val="08F110EE"/>
    <w:rsid w:val="08F11133"/>
    <w:rsid w:val="08F112C2"/>
    <w:rsid w:val="08F11319"/>
    <w:rsid w:val="08F113F4"/>
    <w:rsid w:val="08F1158D"/>
    <w:rsid w:val="08F1159B"/>
    <w:rsid w:val="08F11653"/>
    <w:rsid w:val="08F116EB"/>
    <w:rsid w:val="08F1176C"/>
    <w:rsid w:val="08F1189A"/>
    <w:rsid w:val="08F118AF"/>
    <w:rsid w:val="08F11905"/>
    <w:rsid w:val="08F119EE"/>
    <w:rsid w:val="08F11A35"/>
    <w:rsid w:val="08F11A7A"/>
    <w:rsid w:val="08F11AA1"/>
    <w:rsid w:val="08F11AE5"/>
    <w:rsid w:val="08F11B4D"/>
    <w:rsid w:val="08F11B60"/>
    <w:rsid w:val="08F11C8D"/>
    <w:rsid w:val="08F11D50"/>
    <w:rsid w:val="08F11F41"/>
    <w:rsid w:val="08F11F50"/>
    <w:rsid w:val="08F11F5F"/>
    <w:rsid w:val="08F11FE7"/>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47"/>
    <w:rsid w:val="08F129D4"/>
    <w:rsid w:val="08F129ED"/>
    <w:rsid w:val="08F12B17"/>
    <w:rsid w:val="08F12B44"/>
    <w:rsid w:val="08F12BEE"/>
    <w:rsid w:val="08F12C19"/>
    <w:rsid w:val="08F12C5F"/>
    <w:rsid w:val="08F12C80"/>
    <w:rsid w:val="08F12CAF"/>
    <w:rsid w:val="08F12CD6"/>
    <w:rsid w:val="08F12CDB"/>
    <w:rsid w:val="08F12D36"/>
    <w:rsid w:val="08F12D66"/>
    <w:rsid w:val="08F12DC0"/>
    <w:rsid w:val="08F12DDC"/>
    <w:rsid w:val="08F12E25"/>
    <w:rsid w:val="08F12E8E"/>
    <w:rsid w:val="08F12ED3"/>
    <w:rsid w:val="08F12ED9"/>
    <w:rsid w:val="08F12F92"/>
    <w:rsid w:val="08F12FBC"/>
    <w:rsid w:val="08F12FEC"/>
    <w:rsid w:val="08F1306B"/>
    <w:rsid w:val="08F131BC"/>
    <w:rsid w:val="08F131E4"/>
    <w:rsid w:val="08F1324B"/>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067"/>
    <w:rsid w:val="08F14136"/>
    <w:rsid w:val="08F1417B"/>
    <w:rsid w:val="08F14194"/>
    <w:rsid w:val="08F1421B"/>
    <w:rsid w:val="08F1427C"/>
    <w:rsid w:val="08F142C9"/>
    <w:rsid w:val="08F14310"/>
    <w:rsid w:val="08F143A5"/>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9E"/>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7ED"/>
    <w:rsid w:val="08F168A0"/>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269"/>
    <w:rsid w:val="08F172D0"/>
    <w:rsid w:val="08F172D8"/>
    <w:rsid w:val="08F172E4"/>
    <w:rsid w:val="08F173D5"/>
    <w:rsid w:val="08F173DB"/>
    <w:rsid w:val="08F17405"/>
    <w:rsid w:val="08F17411"/>
    <w:rsid w:val="08F1751E"/>
    <w:rsid w:val="08F1756F"/>
    <w:rsid w:val="08F175D4"/>
    <w:rsid w:val="08F1763C"/>
    <w:rsid w:val="08F176F4"/>
    <w:rsid w:val="08F17712"/>
    <w:rsid w:val="08F1772D"/>
    <w:rsid w:val="08F17779"/>
    <w:rsid w:val="08F17842"/>
    <w:rsid w:val="08F178E9"/>
    <w:rsid w:val="08F1799E"/>
    <w:rsid w:val="08F179DF"/>
    <w:rsid w:val="08F17A55"/>
    <w:rsid w:val="08F17A7E"/>
    <w:rsid w:val="08F17AB1"/>
    <w:rsid w:val="08F17AF8"/>
    <w:rsid w:val="08F17B86"/>
    <w:rsid w:val="08F17C2E"/>
    <w:rsid w:val="08F17CA3"/>
    <w:rsid w:val="08F17CED"/>
    <w:rsid w:val="08F17D1C"/>
    <w:rsid w:val="08F17D24"/>
    <w:rsid w:val="08F17D6C"/>
    <w:rsid w:val="08F17DCF"/>
    <w:rsid w:val="08F17E9D"/>
    <w:rsid w:val="08F17EBF"/>
    <w:rsid w:val="08F17F1F"/>
    <w:rsid w:val="08F17F41"/>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EC"/>
    <w:rsid w:val="08F20B74"/>
    <w:rsid w:val="08F20D09"/>
    <w:rsid w:val="08F20D16"/>
    <w:rsid w:val="08F20DC5"/>
    <w:rsid w:val="08F20F2B"/>
    <w:rsid w:val="08F21020"/>
    <w:rsid w:val="08F21181"/>
    <w:rsid w:val="08F21191"/>
    <w:rsid w:val="08F211AB"/>
    <w:rsid w:val="08F213C9"/>
    <w:rsid w:val="08F213F9"/>
    <w:rsid w:val="08F21742"/>
    <w:rsid w:val="08F21746"/>
    <w:rsid w:val="08F2178E"/>
    <w:rsid w:val="08F217C3"/>
    <w:rsid w:val="08F21861"/>
    <w:rsid w:val="08F218A7"/>
    <w:rsid w:val="08F2194C"/>
    <w:rsid w:val="08F2198C"/>
    <w:rsid w:val="08F2198D"/>
    <w:rsid w:val="08F219BC"/>
    <w:rsid w:val="08F21A1A"/>
    <w:rsid w:val="08F21B15"/>
    <w:rsid w:val="08F21C1E"/>
    <w:rsid w:val="08F21C24"/>
    <w:rsid w:val="08F21CDA"/>
    <w:rsid w:val="08F21E20"/>
    <w:rsid w:val="08F21EA0"/>
    <w:rsid w:val="08F21F9B"/>
    <w:rsid w:val="08F2204D"/>
    <w:rsid w:val="08F22090"/>
    <w:rsid w:val="08F220CA"/>
    <w:rsid w:val="08F2212B"/>
    <w:rsid w:val="08F2220E"/>
    <w:rsid w:val="08F22232"/>
    <w:rsid w:val="08F22264"/>
    <w:rsid w:val="08F222CF"/>
    <w:rsid w:val="08F22403"/>
    <w:rsid w:val="08F22525"/>
    <w:rsid w:val="08F227BF"/>
    <w:rsid w:val="08F2285D"/>
    <w:rsid w:val="08F2292B"/>
    <w:rsid w:val="08F22968"/>
    <w:rsid w:val="08F22A17"/>
    <w:rsid w:val="08F22A41"/>
    <w:rsid w:val="08F22B36"/>
    <w:rsid w:val="08F22BB3"/>
    <w:rsid w:val="08F22BDC"/>
    <w:rsid w:val="08F22C5B"/>
    <w:rsid w:val="08F22C97"/>
    <w:rsid w:val="08F22D3B"/>
    <w:rsid w:val="08F22E37"/>
    <w:rsid w:val="08F22E50"/>
    <w:rsid w:val="08F22E8B"/>
    <w:rsid w:val="08F22E8E"/>
    <w:rsid w:val="08F22F4F"/>
    <w:rsid w:val="08F22FD9"/>
    <w:rsid w:val="08F2305E"/>
    <w:rsid w:val="08F230A0"/>
    <w:rsid w:val="08F230AC"/>
    <w:rsid w:val="08F230D5"/>
    <w:rsid w:val="08F231FC"/>
    <w:rsid w:val="08F2325F"/>
    <w:rsid w:val="08F23369"/>
    <w:rsid w:val="08F23397"/>
    <w:rsid w:val="08F23425"/>
    <w:rsid w:val="08F23491"/>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42"/>
    <w:rsid w:val="08F24181"/>
    <w:rsid w:val="08F241DE"/>
    <w:rsid w:val="08F24224"/>
    <w:rsid w:val="08F243EA"/>
    <w:rsid w:val="08F24499"/>
    <w:rsid w:val="08F244A4"/>
    <w:rsid w:val="08F24566"/>
    <w:rsid w:val="08F24590"/>
    <w:rsid w:val="08F245AD"/>
    <w:rsid w:val="08F246DF"/>
    <w:rsid w:val="08F2477F"/>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CE3"/>
    <w:rsid w:val="08F24D49"/>
    <w:rsid w:val="08F24DBB"/>
    <w:rsid w:val="08F24E54"/>
    <w:rsid w:val="08F24FB8"/>
    <w:rsid w:val="08F2501A"/>
    <w:rsid w:val="08F25076"/>
    <w:rsid w:val="08F250AA"/>
    <w:rsid w:val="08F250CF"/>
    <w:rsid w:val="08F2510C"/>
    <w:rsid w:val="08F25117"/>
    <w:rsid w:val="08F2517A"/>
    <w:rsid w:val="08F2518F"/>
    <w:rsid w:val="08F25215"/>
    <w:rsid w:val="08F25289"/>
    <w:rsid w:val="08F25415"/>
    <w:rsid w:val="08F2555B"/>
    <w:rsid w:val="08F2557E"/>
    <w:rsid w:val="08F25633"/>
    <w:rsid w:val="08F2579F"/>
    <w:rsid w:val="08F2583A"/>
    <w:rsid w:val="08F258AA"/>
    <w:rsid w:val="08F258DB"/>
    <w:rsid w:val="08F25922"/>
    <w:rsid w:val="08F25987"/>
    <w:rsid w:val="08F25A1E"/>
    <w:rsid w:val="08F25A51"/>
    <w:rsid w:val="08F25B61"/>
    <w:rsid w:val="08F25BFE"/>
    <w:rsid w:val="08F25C0D"/>
    <w:rsid w:val="08F25C64"/>
    <w:rsid w:val="08F25C84"/>
    <w:rsid w:val="08F25C89"/>
    <w:rsid w:val="08F25CF2"/>
    <w:rsid w:val="08F25CF7"/>
    <w:rsid w:val="08F25D21"/>
    <w:rsid w:val="08F25D8C"/>
    <w:rsid w:val="08F25D99"/>
    <w:rsid w:val="08F25DE0"/>
    <w:rsid w:val="08F25E36"/>
    <w:rsid w:val="08F25E81"/>
    <w:rsid w:val="08F26055"/>
    <w:rsid w:val="08F260AB"/>
    <w:rsid w:val="08F260F5"/>
    <w:rsid w:val="08F26104"/>
    <w:rsid w:val="08F2612A"/>
    <w:rsid w:val="08F2619F"/>
    <w:rsid w:val="08F2620A"/>
    <w:rsid w:val="08F26296"/>
    <w:rsid w:val="08F26299"/>
    <w:rsid w:val="08F262AC"/>
    <w:rsid w:val="08F262C7"/>
    <w:rsid w:val="08F26445"/>
    <w:rsid w:val="08F2644D"/>
    <w:rsid w:val="08F26496"/>
    <w:rsid w:val="08F2649E"/>
    <w:rsid w:val="08F2650D"/>
    <w:rsid w:val="08F26555"/>
    <w:rsid w:val="08F265D6"/>
    <w:rsid w:val="08F265FC"/>
    <w:rsid w:val="08F26734"/>
    <w:rsid w:val="08F26752"/>
    <w:rsid w:val="08F2676E"/>
    <w:rsid w:val="08F26805"/>
    <w:rsid w:val="08F26855"/>
    <w:rsid w:val="08F268E7"/>
    <w:rsid w:val="08F268E9"/>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62"/>
    <w:rsid w:val="08F27798"/>
    <w:rsid w:val="08F2779D"/>
    <w:rsid w:val="08F277BB"/>
    <w:rsid w:val="08F27837"/>
    <w:rsid w:val="08F2784D"/>
    <w:rsid w:val="08F27891"/>
    <w:rsid w:val="08F2789B"/>
    <w:rsid w:val="08F278EF"/>
    <w:rsid w:val="08F279E8"/>
    <w:rsid w:val="08F279F5"/>
    <w:rsid w:val="08F27A3C"/>
    <w:rsid w:val="08F27BC0"/>
    <w:rsid w:val="08F27D34"/>
    <w:rsid w:val="08F27D5F"/>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67"/>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E5"/>
    <w:rsid w:val="08F30EE7"/>
    <w:rsid w:val="08F30F20"/>
    <w:rsid w:val="08F30FAE"/>
    <w:rsid w:val="08F310B5"/>
    <w:rsid w:val="08F3114F"/>
    <w:rsid w:val="08F31255"/>
    <w:rsid w:val="08F31315"/>
    <w:rsid w:val="08F31351"/>
    <w:rsid w:val="08F31384"/>
    <w:rsid w:val="08F313E0"/>
    <w:rsid w:val="08F31430"/>
    <w:rsid w:val="08F31451"/>
    <w:rsid w:val="08F31452"/>
    <w:rsid w:val="08F314CB"/>
    <w:rsid w:val="08F31574"/>
    <w:rsid w:val="08F315E3"/>
    <w:rsid w:val="08F31607"/>
    <w:rsid w:val="08F31709"/>
    <w:rsid w:val="08F3173B"/>
    <w:rsid w:val="08F31797"/>
    <w:rsid w:val="08F317A9"/>
    <w:rsid w:val="08F3180C"/>
    <w:rsid w:val="08F3182F"/>
    <w:rsid w:val="08F31877"/>
    <w:rsid w:val="08F31900"/>
    <w:rsid w:val="08F31AC0"/>
    <w:rsid w:val="08F31AE8"/>
    <w:rsid w:val="08F31B03"/>
    <w:rsid w:val="08F31BDD"/>
    <w:rsid w:val="08F31C21"/>
    <w:rsid w:val="08F31C82"/>
    <w:rsid w:val="08F31CA9"/>
    <w:rsid w:val="08F31CB4"/>
    <w:rsid w:val="08F31CD7"/>
    <w:rsid w:val="08F31E11"/>
    <w:rsid w:val="08F31EE7"/>
    <w:rsid w:val="08F31F21"/>
    <w:rsid w:val="08F31F9B"/>
    <w:rsid w:val="08F3200F"/>
    <w:rsid w:val="08F3208B"/>
    <w:rsid w:val="08F320A8"/>
    <w:rsid w:val="08F320FA"/>
    <w:rsid w:val="08F32225"/>
    <w:rsid w:val="08F3222F"/>
    <w:rsid w:val="08F32232"/>
    <w:rsid w:val="08F322A8"/>
    <w:rsid w:val="08F32352"/>
    <w:rsid w:val="08F323E0"/>
    <w:rsid w:val="08F32436"/>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559"/>
    <w:rsid w:val="08F34570"/>
    <w:rsid w:val="08F345D0"/>
    <w:rsid w:val="08F345E4"/>
    <w:rsid w:val="08F34601"/>
    <w:rsid w:val="08F347C8"/>
    <w:rsid w:val="08F3482B"/>
    <w:rsid w:val="08F3487C"/>
    <w:rsid w:val="08F349AD"/>
    <w:rsid w:val="08F34A6D"/>
    <w:rsid w:val="08F34AA7"/>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2A"/>
    <w:rsid w:val="08F35CAE"/>
    <w:rsid w:val="08F35DD1"/>
    <w:rsid w:val="08F35E30"/>
    <w:rsid w:val="08F360E3"/>
    <w:rsid w:val="08F36149"/>
    <w:rsid w:val="08F3620A"/>
    <w:rsid w:val="08F36279"/>
    <w:rsid w:val="08F36321"/>
    <w:rsid w:val="08F363E3"/>
    <w:rsid w:val="08F3648E"/>
    <w:rsid w:val="08F364F0"/>
    <w:rsid w:val="08F36581"/>
    <w:rsid w:val="08F36597"/>
    <w:rsid w:val="08F365EE"/>
    <w:rsid w:val="08F366A9"/>
    <w:rsid w:val="08F36716"/>
    <w:rsid w:val="08F367A7"/>
    <w:rsid w:val="08F367F6"/>
    <w:rsid w:val="08F367F9"/>
    <w:rsid w:val="08F3688A"/>
    <w:rsid w:val="08F368E9"/>
    <w:rsid w:val="08F3690F"/>
    <w:rsid w:val="08F36939"/>
    <w:rsid w:val="08F36951"/>
    <w:rsid w:val="08F369C8"/>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19"/>
    <w:rsid w:val="08F4084B"/>
    <w:rsid w:val="08F40AA6"/>
    <w:rsid w:val="08F40B14"/>
    <w:rsid w:val="08F40B3E"/>
    <w:rsid w:val="08F40B53"/>
    <w:rsid w:val="08F40BE7"/>
    <w:rsid w:val="08F40C42"/>
    <w:rsid w:val="08F40CA3"/>
    <w:rsid w:val="08F40CB3"/>
    <w:rsid w:val="08F40D0A"/>
    <w:rsid w:val="08F40D14"/>
    <w:rsid w:val="08F40D4F"/>
    <w:rsid w:val="08F40D59"/>
    <w:rsid w:val="08F40E8F"/>
    <w:rsid w:val="08F40EC7"/>
    <w:rsid w:val="08F40F57"/>
    <w:rsid w:val="08F41025"/>
    <w:rsid w:val="08F4106C"/>
    <w:rsid w:val="08F4114C"/>
    <w:rsid w:val="08F41168"/>
    <w:rsid w:val="08F411E5"/>
    <w:rsid w:val="08F413CB"/>
    <w:rsid w:val="08F413F7"/>
    <w:rsid w:val="08F4142E"/>
    <w:rsid w:val="08F414A1"/>
    <w:rsid w:val="08F4153E"/>
    <w:rsid w:val="08F41596"/>
    <w:rsid w:val="08F415A4"/>
    <w:rsid w:val="08F415E7"/>
    <w:rsid w:val="08F41638"/>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78"/>
    <w:rsid w:val="08F429AD"/>
    <w:rsid w:val="08F429D8"/>
    <w:rsid w:val="08F429F6"/>
    <w:rsid w:val="08F42A29"/>
    <w:rsid w:val="08F42AFD"/>
    <w:rsid w:val="08F42B20"/>
    <w:rsid w:val="08F42C16"/>
    <w:rsid w:val="08F42C49"/>
    <w:rsid w:val="08F42C78"/>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8F"/>
    <w:rsid w:val="08F435C7"/>
    <w:rsid w:val="08F43676"/>
    <w:rsid w:val="08F43730"/>
    <w:rsid w:val="08F4383E"/>
    <w:rsid w:val="08F438CB"/>
    <w:rsid w:val="08F43939"/>
    <w:rsid w:val="08F43960"/>
    <w:rsid w:val="08F4397F"/>
    <w:rsid w:val="08F439DD"/>
    <w:rsid w:val="08F43A00"/>
    <w:rsid w:val="08F43A48"/>
    <w:rsid w:val="08F43BA3"/>
    <w:rsid w:val="08F43BF4"/>
    <w:rsid w:val="08F43C06"/>
    <w:rsid w:val="08F43D6B"/>
    <w:rsid w:val="08F43DB9"/>
    <w:rsid w:val="08F43E02"/>
    <w:rsid w:val="08F43E15"/>
    <w:rsid w:val="08F43E8F"/>
    <w:rsid w:val="08F43EF4"/>
    <w:rsid w:val="08F43EF5"/>
    <w:rsid w:val="08F440A5"/>
    <w:rsid w:val="08F44124"/>
    <w:rsid w:val="08F4425E"/>
    <w:rsid w:val="08F4426E"/>
    <w:rsid w:val="08F44296"/>
    <w:rsid w:val="08F4429A"/>
    <w:rsid w:val="08F442A1"/>
    <w:rsid w:val="08F4433D"/>
    <w:rsid w:val="08F443F9"/>
    <w:rsid w:val="08F44499"/>
    <w:rsid w:val="08F444E0"/>
    <w:rsid w:val="08F44553"/>
    <w:rsid w:val="08F445B2"/>
    <w:rsid w:val="08F445F2"/>
    <w:rsid w:val="08F4460A"/>
    <w:rsid w:val="08F44611"/>
    <w:rsid w:val="08F44639"/>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44"/>
    <w:rsid w:val="08F45052"/>
    <w:rsid w:val="08F4505E"/>
    <w:rsid w:val="08F45086"/>
    <w:rsid w:val="08F4509B"/>
    <w:rsid w:val="08F450B5"/>
    <w:rsid w:val="08F450C6"/>
    <w:rsid w:val="08F45132"/>
    <w:rsid w:val="08F45202"/>
    <w:rsid w:val="08F45205"/>
    <w:rsid w:val="08F45373"/>
    <w:rsid w:val="08F453DD"/>
    <w:rsid w:val="08F453FA"/>
    <w:rsid w:val="08F454C7"/>
    <w:rsid w:val="08F45540"/>
    <w:rsid w:val="08F45569"/>
    <w:rsid w:val="08F456CD"/>
    <w:rsid w:val="08F45718"/>
    <w:rsid w:val="08F4571F"/>
    <w:rsid w:val="08F45777"/>
    <w:rsid w:val="08F4577E"/>
    <w:rsid w:val="08F45815"/>
    <w:rsid w:val="08F45819"/>
    <w:rsid w:val="08F458AA"/>
    <w:rsid w:val="08F458E0"/>
    <w:rsid w:val="08F458EC"/>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D76"/>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39"/>
    <w:rsid w:val="08F47890"/>
    <w:rsid w:val="08F478B8"/>
    <w:rsid w:val="08F47AAF"/>
    <w:rsid w:val="08F47B6D"/>
    <w:rsid w:val="08F47C91"/>
    <w:rsid w:val="08F47D38"/>
    <w:rsid w:val="08F47D9B"/>
    <w:rsid w:val="08F47E2C"/>
    <w:rsid w:val="08F47E3D"/>
    <w:rsid w:val="08F47E99"/>
    <w:rsid w:val="08F47ED3"/>
    <w:rsid w:val="08F47F14"/>
    <w:rsid w:val="08F47F64"/>
    <w:rsid w:val="08F50044"/>
    <w:rsid w:val="08F5018A"/>
    <w:rsid w:val="08F50196"/>
    <w:rsid w:val="08F50211"/>
    <w:rsid w:val="08F50222"/>
    <w:rsid w:val="08F502B1"/>
    <w:rsid w:val="08F502C9"/>
    <w:rsid w:val="08F50345"/>
    <w:rsid w:val="08F503E0"/>
    <w:rsid w:val="08F503EF"/>
    <w:rsid w:val="08F504C0"/>
    <w:rsid w:val="08F50565"/>
    <w:rsid w:val="08F505A9"/>
    <w:rsid w:val="08F50637"/>
    <w:rsid w:val="08F5064F"/>
    <w:rsid w:val="08F506A8"/>
    <w:rsid w:val="08F50745"/>
    <w:rsid w:val="08F5080F"/>
    <w:rsid w:val="08F50888"/>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70"/>
    <w:rsid w:val="08F50EBB"/>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E6A"/>
    <w:rsid w:val="08F51F14"/>
    <w:rsid w:val="08F51F4B"/>
    <w:rsid w:val="08F52168"/>
    <w:rsid w:val="08F5227E"/>
    <w:rsid w:val="08F522E8"/>
    <w:rsid w:val="08F522F7"/>
    <w:rsid w:val="08F5236F"/>
    <w:rsid w:val="08F523BE"/>
    <w:rsid w:val="08F523CF"/>
    <w:rsid w:val="08F52424"/>
    <w:rsid w:val="08F52436"/>
    <w:rsid w:val="08F524A6"/>
    <w:rsid w:val="08F524CB"/>
    <w:rsid w:val="08F52567"/>
    <w:rsid w:val="08F5257E"/>
    <w:rsid w:val="08F526E6"/>
    <w:rsid w:val="08F5274F"/>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691"/>
    <w:rsid w:val="08F536E0"/>
    <w:rsid w:val="08F53723"/>
    <w:rsid w:val="08F53782"/>
    <w:rsid w:val="08F537EB"/>
    <w:rsid w:val="08F538D2"/>
    <w:rsid w:val="08F53907"/>
    <w:rsid w:val="08F53911"/>
    <w:rsid w:val="08F53912"/>
    <w:rsid w:val="08F53925"/>
    <w:rsid w:val="08F5399B"/>
    <w:rsid w:val="08F539F1"/>
    <w:rsid w:val="08F53A3D"/>
    <w:rsid w:val="08F53AB7"/>
    <w:rsid w:val="08F53B24"/>
    <w:rsid w:val="08F53B2E"/>
    <w:rsid w:val="08F53C56"/>
    <w:rsid w:val="08F53CA0"/>
    <w:rsid w:val="08F53DF1"/>
    <w:rsid w:val="08F53E20"/>
    <w:rsid w:val="08F53E25"/>
    <w:rsid w:val="08F53ECD"/>
    <w:rsid w:val="08F53F42"/>
    <w:rsid w:val="08F53F49"/>
    <w:rsid w:val="08F53F98"/>
    <w:rsid w:val="08F53FF0"/>
    <w:rsid w:val="08F54024"/>
    <w:rsid w:val="08F54071"/>
    <w:rsid w:val="08F540DB"/>
    <w:rsid w:val="08F541A8"/>
    <w:rsid w:val="08F541F6"/>
    <w:rsid w:val="08F541FF"/>
    <w:rsid w:val="08F54217"/>
    <w:rsid w:val="08F54226"/>
    <w:rsid w:val="08F54284"/>
    <w:rsid w:val="08F542E4"/>
    <w:rsid w:val="08F54348"/>
    <w:rsid w:val="08F54377"/>
    <w:rsid w:val="08F543CE"/>
    <w:rsid w:val="08F543F2"/>
    <w:rsid w:val="08F54448"/>
    <w:rsid w:val="08F5466E"/>
    <w:rsid w:val="08F546E4"/>
    <w:rsid w:val="08F54783"/>
    <w:rsid w:val="08F54845"/>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1"/>
    <w:rsid w:val="08F550E7"/>
    <w:rsid w:val="08F5515F"/>
    <w:rsid w:val="08F55183"/>
    <w:rsid w:val="08F55281"/>
    <w:rsid w:val="08F5529D"/>
    <w:rsid w:val="08F552A2"/>
    <w:rsid w:val="08F552C2"/>
    <w:rsid w:val="08F553C7"/>
    <w:rsid w:val="08F553D6"/>
    <w:rsid w:val="08F55417"/>
    <w:rsid w:val="08F55621"/>
    <w:rsid w:val="08F55696"/>
    <w:rsid w:val="08F55944"/>
    <w:rsid w:val="08F559E5"/>
    <w:rsid w:val="08F55C03"/>
    <w:rsid w:val="08F55CCF"/>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7B"/>
    <w:rsid w:val="08F568C8"/>
    <w:rsid w:val="08F568E1"/>
    <w:rsid w:val="08F56A49"/>
    <w:rsid w:val="08F56A5E"/>
    <w:rsid w:val="08F56AE2"/>
    <w:rsid w:val="08F56B11"/>
    <w:rsid w:val="08F56B15"/>
    <w:rsid w:val="08F56C3C"/>
    <w:rsid w:val="08F56C8D"/>
    <w:rsid w:val="08F56D3A"/>
    <w:rsid w:val="08F56D88"/>
    <w:rsid w:val="08F56DFD"/>
    <w:rsid w:val="08F56E5A"/>
    <w:rsid w:val="08F56ED7"/>
    <w:rsid w:val="08F56EF4"/>
    <w:rsid w:val="08F56FE3"/>
    <w:rsid w:val="08F57003"/>
    <w:rsid w:val="08F57009"/>
    <w:rsid w:val="08F570B0"/>
    <w:rsid w:val="08F570B6"/>
    <w:rsid w:val="08F570CB"/>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F1"/>
    <w:rsid w:val="08F60122"/>
    <w:rsid w:val="08F60166"/>
    <w:rsid w:val="08F60189"/>
    <w:rsid w:val="08F6018F"/>
    <w:rsid w:val="08F601B7"/>
    <w:rsid w:val="08F601BF"/>
    <w:rsid w:val="08F601CD"/>
    <w:rsid w:val="08F601D2"/>
    <w:rsid w:val="08F60318"/>
    <w:rsid w:val="08F6037E"/>
    <w:rsid w:val="08F603A2"/>
    <w:rsid w:val="08F60411"/>
    <w:rsid w:val="08F6043F"/>
    <w:rsid w:val="08F604DB"/>
    <w:rsid w:val="08F6050B"/>
    <w:rsid w:val="08F6051E"/>
    <w:rsid w:val="08F605CA"/>
    <w:rsid w:val="08F605E9"/>
    <w:rsid w:val="08F60674"/>
    <w:rsid w:val="08F60699"/>
    <w:rsid w:val="08F606A0"/>
    <w:rsid w:val="08F60785"/>
    <w:rsid w:val="08F6079D"/>
    <w:rsid w:val="08F60823"/>
    <w:rsid w:val="08F6093C"/>
    <w:rsid w:val="08F60985"/>
    <w:rsid w:val="08F60987"/>
    <w:rsid w:val="08F609ED"/>
    <w:rsid w:val="08F60A56"/>
    <w:rsid w:val="08F60A85"/>
    <w:rsid w:val="08F60A8D"/>
    <w:rsid w:val="08F60B27"/>
    <w:rsid w:val="08F60B37"/>
    <w:rsid w:val="08F60C70"/>
    <w:rsid w:val="08F60C72"/>
    <w:rsid w:val="08F60D76"/>
    <w:rsid w:val="08F60DCE"/>
    <w:rsid w:val="08F60E2D"/>
    <w:rsid w:val="08F60ECD"/>
    <w:rsid w:val="08F60EE8"/>
    <w:rsid w:val="08F6102F"/>
    <w:rsid w:val="08F610CB"/>
    <w:rsid w:val="08F61116"/>
    <w:rsid w:val="08F6114D"/>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AF"/>
    <w:rsid w:val="08F61ED0"/>
    <w:rsid w:val="08F61EE1"/>
    <w:rsid w:val="08F61F1A"/>
    <w:rsid w:val="08F61F5A"/>
    <w:rsid w:val="08F61FB6"/>
    <w:rsid w:val="08F61FFB"/>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2B2"/>
    <w:rsid w:val="08F63323"/>
    <w:rsid w:val="08F6336D"/>
    <w:rsid w:val="08F63404"/>
    <w:rsid w:val="08F63433"/>
    <w:rsid w:val="08F6346B"/>
    <w:rsid w:val="08F63524"/>
    <w:rsid w:val="08F63592"/>
    <w:rsid w:val="08F635EB"/>
    <w:rsid w:val="08F635F7"/>
    <w:rsid w:val="08F63631"/>
    <w:rsid w:val="08F63677"/>
    <w:rsid w:val="08F63683"/>
    <w:rsid w:val="08F63831"/>
    <w:rsid w:val="08F63880"/>
    <w:rsid w:val="08F638F9"/>
    <w:rsid w:val="08F63957"/>
    <w:rsid w:val="08F63964"/>
    <w:rsid w:val="08F639F4"/>
    <w:rsid w:val="08F63A6C"/>
    <w:rsid w:val="08F63AD0"/>
    <w:rsid w:val="08F63AF8"/>
    <w:rsid w:val="08F63BA5"/>
    <w:rsid w:val="08F63C6D"/>
    <w:rsid w:val="08F63C93"/>
    <w:rsid w:val="08F63CE3"/>
    <w:rsid w:val="08F63DD2"/>
    <w:rsid w:val="08F63DE2"/>
    <w:rsid w:val="08F63DFA"/>
    <w:rsid w:val="08F63E89"/>
    <w:rsid w:val="08F63F16"/>
    <w:rsid w:val="08F6401E"/>
    <w:rsid w:val="08F64177"/>
    <w:rsid w:val="08F64234"/>
    <w:rsid w:val="08F642B7"/>
    <w:rsid w:val="08F6430F"/>
    <w:rsid w:val="08F64320"/>
    <w:rsid w:val="08F64366"/>
    <w:rsid w:val="08F643AE"/>
    <w:rsid w:val="08F643F9"/>
    <w:rsid w:val="08F6445B"/>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42"/>
    <w:rsid w:val="08F65480"/>
    <w:rsid w:val="08F654CE"/>
    <w:rsid w:val="08F654F2"/>
    <w:rsid w:val="08F65569"/>
    <w:rsid w:val="08F6558A"/>
    <w:rsid w:val="08F655DB"/>
    <w:rsid w:val="08F65601"/>
    <w:rsid w:val="08F6575D"/>
    <w:rsid w:val="08F65797"/>
    <w:rsid w:val="08F657E2"/>
    <w:rsid w:val="08F65859"/>
    <w:rsid w:val="08F658F1"/>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158"/>
    <w:rsid w:val="08F662ED"/>
    <w:rsid w:val="08F663C5"/>
    <w:rsid w:val="08F6642A"/>
    <w:rsid w:val="08F664EF"/>
    <w:rsid w:val="08F66531"/>
    <w:rsid w:val="08F66569"/>
    <w:rsid w:val="08F66574"/>
    <w:rsid w:val="08F66590"/>
    <w:rsid w:val="08F665BD"/>
    <w:rsid w:val="08F66655"/>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5F3"/>
    <w:rsid w:val="08F6765F"/>
    <w:rsid w:val="08F6774D"/>
    <w:rsid w:val="08F677D2"/>
    <w:rsid w:val="08F6781E"/>
    <w:rsid w:val="08F67861"/>
    <w:rsid w:val="08F67883"/>
    <w:rsid w:val="08F678F6"/>
    <w:rsid w:val="08F678F7"/>
    <w:rsid w:val="08F67970"/>
    <w:rsid w:val="08F679D1"/>
    <w:rsid w:val="08F67A3A"/>
    <w:rsid w:val="08F67A46"/>
    <w:rsid w:val="08F67A55"/>
    <w:rsid w:val="08F67A57"/>
    <w:rsid w:val="08F67A69"/>
    <w:rsid w:val="08F67A72"/>
    <w:rsid w:val="08F67B6E"/>
    <w:rsid w:val="08F67BA7"/>
    <w:rsid w:val="08F67C6F"/>
    <w:rsid w:val="08F67CA0"/>
    <w:rsid w:val="08F67CA9"/>
    <w:rsid w:val="08F67D2B"/>
    <w:rsid w:val="08F67ED5"/>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3B"/>
    <w:rsid w:val="08F70DE3"/>
    <w:rsid w:val="08F70E5D"/>
    <w:rsid w:val="08F70F2A"/>
    <w:rsid w:val="08F70F59"/>
    <w:rsid w:val="08F70FCB"/>
    <w:rsid w:val="08F710D2"/>
    <w:rsid w:val="08F710DE"/>
    <w:rsid w:val="08F7122D"/>
    <w:rsid w:val="08F71293"/>
    <w:rsid w:val="08F71299"/>
    <w:rsid w:val="08F712C0"/>
    <w:rsid w:val="08F713C4"/>
    <w:rsid w:val="08F71415"/>
    <w:rsid w:val="08F71562"/>
    <w:rsid w:val="08F715F1"/>
    <w:rsid w:val="08F716A1"/>
    <w:rsid w:val="08F716AA"/>
    <w:rsid w:val="08F716EA"/>
    <w:rsid w:val="08F71724"/>
    <w:rsid w:val="08F7173C"/>
    <w:rsid w:val="08F7178B"/>
    <w:rsid w:val="08F717D5"/>
    <w:rsid w:val="08F71800"/>
    <w:rsid w:val="08F7186A"/>
    <w:rsid w:val="08F71890"/>
    <w:rsid w:val="08F718D7"/>
    <w:rsid w:val="08F7191D"/>
    <w:rsid w:val="08F7195F"/>
    <w:rsid w:val="08F71966"/>
    <w:rsid w:val="08F719CD"/>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7A3"/>
    <w:rsid w:val="08F727F6"/>
    <w:rsid w:val="08F728DB"/>
    <w:rsid w:val="08F728F0"/>
    <w:rsid w:val="08F72954"/>
    <w:rsid w:val="08F72ACB"/>
    <w:rsid w:val="08F72B08"/>
    <w:rsid w:val="08F72C6D"/>
    <w:rsid w:val="08F72CA3"/>
    <w:rsid w:val="08F72CAC"/>
    <w:rsid w:val="08F72CD3"/>
    <w:rsid w:val="08F72DB1"/>
    <w:rsid w:val="08F72E47"/>
    <w:rsid w:val="08F72F4B"/>
    <w:rsid w:val="08F72F55"/>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C6"/>
    <w:rsid w:val="08F73ECD"/>
    <w:rsid w:val="08F73FF0"/>
    <w:rsid w:val="08F73FF3"/>
    <w:rsid w:val="08F740A3"/>
    <w:rsid w:val="08F740E1"/>
    <w:rsid w:val="08F74104"/>
    <w:rsid w:val="08F7416D"/>
    <w:rsid w:val="08F741ED"/>
    <w:rsid w:val="08F7423E"/>
    <w:rsid w:val="08F74246"/>
    <w:rsid w:val="08F7424E"/>
    <w:rsid w:val="08F742B0"/>
    <w:rsid w:val="08F742D0"/>
    <w:rsid w:val="08F74357"/>
    <w:rsid w:val="08F7435C"/>
    <w:rsid w:val="08F7446B"/>
    <w:rsid w:val="08F74486"/>
    <w:rsid w:val="08F74527"/>
    <w:rsid w:val="08F7459F"/>
    <w:rsid w:val="08F745AA"/>
    <w:rsid w:val="08F745C8"/>
    <w:rsid w:val="08F7460A"/>
    <w:rsid w:val="08F7474A"/>
    <w:rsid w:val="08F7475C"/>
    <w:rsid w:val="08F747B8"/>
    <w:rsid w:val="08F7485F"/>
    <w:rsid w:val="08F7487F"/>
    <w:rsid w:val="08F7491F"/>
    <w:rsid w:val="08F74934"/>
    <w:rsid w:val="08F74963"/>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479"/>
    <w:rsid w:val="08F754CC"/>
    <w:rsid w:val="08F75596"/>
    <w:rsid w:val="08F7559E"/>
    <w:rsid w:val="08F755F4"/>
    <w:rsid w:val="08F75682"/>
    <w:rsid w:val="08F756EE"/>
    <w:rsid w:val="08F75729"/>
    <w:rsid w:val="08F75798"/>
    <w:rsid w:val="08F75985"/>
    <w:rsid w:val="08F75A8F"/>
    <w:rsid w:val="08F75AA2"/>
    <w:rsid w:val="08F75AB2"/>
    <w:rsid w:val="08F75AC8"/>
    <w:rsid w:val="08F75C7A"/>
    <w:rsid w:val="08F75C80"/>
    <w:rsid w:val="08F75CDF"/>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F0"/>
    <w:rsid w:val="08F76BFC"/>
    <w:rsid w:val="08F76C63"/>
    <w:rsid w:val="08F76C96"/>
    <w:rsid w:val="08F76CE9"/>
    <w:rsid w:val="08F76CF9"/>
    <w:rsid w:val="08F76E64"/>
    <w:rsid w:val="08F76EA7"/>
    <w:rsid w:val="08F77081"/>
    <w:rsid w:val="08F77116"/>
    <w:rsid w:val="08F77171"/>
    <w:rsid w:val="08F77231"/>
    <w:rsid w:val="08F77245"/>
    <w:rsid w:val="08F77277"/>
    <w:rsid w:val="08F772ED"/>
    <w:rsid w:val="08F772EF"/>
    <w:rsid w:val="08F772FC"/>
    <w:rsid w:val="08F77326"/>
    <w:rsid w:val="08F77364"/>
    <w:rsid w:val="08F77438"/>
    <w:rsid w:val="08F774BA"/>
    <w:rsid w:val="08F77529"/>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18E"/>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CFF"/>
    <w:rsid w:val="08F80D77"/>
    <w:rsid w:val="08F80D7D"/>
    <w:rsid w:val="08F80D87"/>
    <w:rsid w:val="08F80D98"/>
    <w:rsid w:val="08F80F56"/>
    <w:rsid w:val="08F80F57"/>
    <w:rsid w:val="08F80FB7"/>
    <w:rsid w:val="08F80FCD"/>
    <w:rsid w:val="08F80FE1"/>
    <w:rsid w:val="08F8102A"/>
    <w:rsid w:val="08F810A0"/>
    <w:rsid w:val="08F810B5"/>
    <w:rsid w:val="08F810BB"/>
    <w:rsid w:val="08F811A2"/>
    <w:rsid w:val="08F8122F"/>
    <w:rsid w:val="08F8126D"/>
    <w:rsid w:val="08F81350"/>
    <w:rsid w:val="08F81460"/>
    <w:rsid w:val="08F8148F"/>
    <w:rsid w:val="08F81495"/>
    <w:rsid w:val="08F814ED"/>
    <w:rsid w:val="08F8154F"/>
    <w:rsid w:val="08F815B8"/>
    <w:rsid w:val="08F8165C"/>
    <w:rsid w:val="08F8170B"/>
    <w:rsid w:val="08F81728"/>
    <w:rsid w:val="08F8185E"/>
    <w:rsid w:val="08F818DC"/>
    <w:rsid w:val="08F8192E"/>
    <w:rsid w:val="08F81944"/>
    <w:rsid w:val="08F819B9"/>
    <w:rsid w:val="08F819EA"/>
    <w:rsid w:val="08F81A5F"/>
    <w:rsid w:val="08F81A9D"/>
    <w:rsid w:val="08F81BB8"/>
    <w:rsid w:val="08F81C31"/>
    <w:rsid w:val="08F81C4C"/>
    <w:rsid w:val="08F81C57"/>
    <w:rsid w:val="08F81C86"/>
    <w:rsid w:val="08F81C9B"/>
    <w:rsid w:val="08F81DF7"/>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A5"/>
    <w:rsid w:val="08F8311A"/>
    <w:rsid w:val="08F8311B"/>
    <w:rsid w:val="08F8313D"/>
    <w:rsid w:val="08F8318F"/>
    <w:rsid w:val="08F83193"/>
    <w:rsid w:val="08F831B1"/>
    <w:rsid w:val="08F83211"/>
    <w:rsid w:val="08F83217"/>
    <w:rsid w:val="08F8322C"/>
    <w:rsid w:val="08F8324B"/>
    <w:rsid w:val="08F83290"/>
    <w:rsid w:val="08F83383"/>
    <w:rsid w:val="08F833FC"/>
    <w:rsid w:val="08F8353D"/>
    <w:rsid w:val="08F8354E"/>
    <w:rsid w:val="08F8359B"/>
    <w:rsid w:val="08F83605"/>
    <w:rsid w:val="08F836BC"/>
    <w:rsid w:val="08F837F7"/>
    <w:rsid w:val="08F83817"/>
    <w:rsid w:val="08F83823"/>
    <w:rsid w:val="08F83839"/>
    <w:rsid w:val="08F838BC"/>
    <w:rsid w:val="08F838CC"/>
    <w:rsid w:val="08F83969"/>
    <w:rsid w:val="08F8398F"/>
    <w:rsid w:val="08F83994"/>
    <w:rsid w:val="08F83A0B"/>
    <w:rsid w:val="08F83A26"/>
    <w:rsid w:val="08F83AB4"/>
    <w:rsid w:val="08F83AF4"/>
    <w:rsid w:val="08F83B4F"/>
    <w:rsid w:val="08F83B6F"/>
    <w:rsid w:val="08F83BE2"/>
    <w:rsid w:val="08F83C6A"/>
    <w:rsid w:val="08F83D76"/>
    <w:rsid w:val="08F83DB1"/>
    <w:rsid w:val="08F83DBB"/>
    <w:rsid w:val="08F83E5F"/>
    <w:rsid w:val="08F83EA9"/>
    <w:rsid w:val="08F83EF8"/>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689"/>
    <w:rsid w:val="08F84738"/>
    <w:rsid w:val="08F847B4"/>
    <w:rsid w:val="08F847CF"/>
    <w:rsid w:val="08F848E1"/>
    <w:rsid w:val="08F84952"/>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ECB"/>
    <w:rsid w:val="08F84F8E"/>
    <w:rsid w:val="08F8505B"/>
    <w:rsid w:val="08F85079"/>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B21"/>
    <w:rsid w:val="08F85B65"/>
    <w:rsid w:val="08F85C29"/>
    <w:rsid w:val="08F85C56"/>
    <w:rsid w:val="08F85CD9"/>
    <w:rsid w:val="08F85D83"/>
    <w:rsid w:val="08F85E2B"/>
    <w:rsid w:val="08F85E7F"/>
    <w:rsid w:val="08F85EB7"/>
    <w:rsid w:val="08F85F06"/>
    <w:rsid w:val="08F85FA3"/>
    <w:rsid w:val="08F85FE1"/>
    <w:rsid w:val="08F86033"/>
    <w:rsid w:val="08F8603D"/>
    <w:rsid w:val="08F86053"/>
    <w:rsid w:val="08F860B6"/>
    <w:rsid w:val="08F8620E"/>
    <w:rsid w:val="08F862CD"/>
    <w:rsid w:val="08F863AA"/>
    <w:rsid w:val="08F86423"/>
    <w:rsid w:val="08F86489"/>
    <w:rsid w:val="08F8648C"/>
    <w:rsid w:val="08F86609"/>
    <w:rsid w:val="08F8669A"/>
    <w:rsid w:val="08F86815"/>
    <w:rsid w:val="08F86830"/>
    <w:rsid w:val="08F8684F"/>
    <w:rsid w:val="08F868F3"/>
    <w:rsid w:val="08F868F9"/>
    <w:rsid w:val="08F86A25"/>
    <w:rsid w:val="08F86A63"/>
    <w:rsid w:val="08F86A6B"/>
    <w:rsid w:val="08F86C58"/>
    <w:rsid w:val="08F86C8C"/>
    <w:rsid w:val="08F86D65"/>
    <w:rsid w:val="08F86D73"/>
    <w:rsid w:val="08F86E07"/>
    <w:rsid w:val="08F86E80"/>
    <w:rsid w:val="08F86EAC"/>
    <w:rsid w:val="08F86FD8"/>
    <w:rsid w:val="08F8707E"/>
    <w:rsid w:val="08F8722F"/>
    <w:rsid w:val="08F872B0"/>
    <w:rsid w:val="08F87301"/>
    <w:rsid w:val="08F8737A"/>
    <w:rsid w:val="08F8740F"/>
    <w:rsid w:val="08F87455"/>
    <w:rsid w:val="08F874E0"/>
    <w:rsid w:val="08F87592"/>
    <w:rsid w:val="08F875A6"/>
    <w:rsid w:val="08F875CF"/>
    <w:rsid w:val="08F87716"/>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F1C"/>
    <w:rsid w:val="08F87F9C"/>
    <w:rsid w:val="08F9000E"/>
    <w:rsid w:val="08F900DC"/>
    <w:rsid w:val="08F90103"/>
    <w:rsid w:val="08F901F3"/>
    <w:rsid w:val="08F901F8"/>
    <w:rsid w:val="08F90218"/>
    <w:rsid w:val="08F90219"/>
    <w:rsid w:val="08F902A6"/>
    <w:rsid w:val="08F9047C"/>
    <w:rsid w:val="08F9052A"/>
    <w:rsid w:val="08F90599"/>
    <w:rsid w:val="08F90618"/>
    <w:rsid w:val="08F90667"/>
    <w:rsid w:val="08F906BC"/>
    <w:rsid w:val="08F90729"/>
    <w:rsid w:val="08F90749"/>
    <w:rsid w:val="08F90750"/>
    <w:rsid w:val="08F90807"/>
    <w:rsid w:val="08F908CB"/>
    <w:rsid w:val="08F90951"/>
    <w:rsid w:val="08F90957"/>
    <w:rsid w:val="08F90A80"/>
    <w:rsid w:val="08F90C68"/>
    <w:rsid w:val="08F90CBB"/>
    <w:rsid w:val="08F90DF7"/>
    <w:rsid w:val="08F90F14"/>
    <w:rsid w:val="08F90F89"/>
    <w:rsid w:val="08F90F8D"/>
    <w:rsid w:val="08F90FB7"/>
    <w:rsid w:val="08F90FED"/>
    <w:rsid w:val="08F90FF2"/>
    <w:rsid w:val="08F91049"/>
    <w:rsid w:val="08F91075"/>
    <w:rsid w:val="08F9110C"/>
    <w:rsid w:val="08F91119"/>
    <w:rsid w:val="08F91123"/>
    <w:rsid w:val="08F91139"/>
    <w:rsid w:val="08F91185"/>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29F"/>
    <w:rsid w:val="08F922FA"/>
    <w:rsid w:val="08F923BA"/>
    <w:rsid w:val="08F9246F"/>
    <w:rsid w:val="08F925F5"/>
    <w:rsid w:val="08F9263E"/>
    <w:rsid w:val="08F9265D"/>
    <w:rsid w:val="08F9269A"/>
    <w:rsid w:val="08F9275D"/>
    <w:rsid w:val="08F927B3"/>
    <w:rsid w:val="08F927FF"/>
    <w:rsid w:val="08F92864"/>
    <w:rsid w:val="08F928D1"/>
    <w:rsid w:val="08F9290E"/>
    <w:rsid w:val="08F9295D"/>
    <w:rsid w:val="08F92A04"/>
    <w:rsid w:val="08F92ACF"/>
    <w:rsid w:val="08F92B21"/>
    <w:rsid w:val="08F92B2D"/>
    <w:rsid w:val="08F92C51"/>
    <w:rsid w:val="08F92C73"/>
    <w:rsid w:val="08F92C8D"/>
    <w:rsid w:val="08F92CC8"/>
    <w:rsid w:val="08F92D07"/>
    <w:rsid w:val="08F92D3D"/>
    <w:rsid w:val="08F92DB4"/>
    <w:rsid w:val="08F92E09"/>
    <w:rsid w:val="08F92E14"/>
    <w:rsid w:val="08F92E2A"/>
    <w:rsid w:val="08F92F10"/>
    <w:rsid w:val="08F92F40"/>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CC"/>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1E"/>
    <w:rsid w:val="08F948E7"/>
    <w:rsid w:val="08F94A09"/>
    <w:rsid w:val="08F94A1A"/>
    <w:rsid w:val="08F94A65"/>
    <w:rsid w:val="08F94A8C"/>
    <w:rsid w:val="08F94B76"/>
    <w:rsid w:val="08F94B82"/>
    <w:rsid w:val="08F94C3F"/>
    <w:rsid w:val="08F94C76"/>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696"/>
    <w:rsid w:val="08F9576F"/>
    <w:rsid w:val="08F95790"/>
    <w:rsid w:val="08F957E5"/>
    <w:rsid w:val="08F958C5"/>
    <w:rsid w:val="08F959A4"/>
    <w:rsid w:val="08F959B5"/>
    <w:rsid w:val="08F959DE"/>
    <w:rsid w:val="08F95AA0"/>
    <w:rsid w:val="08F95B5A"/>
    <w:rsid w:val="08F95BE9"/>
    <w:rsid w:val="08F95CDA"/>
    <w:rsid w:val="08F95E0B"/>
    <w:rsid w:val="08F95E17"/>
    <w:rsid w:val="08F95FB9"/>
    <w:rsid w:val="08F96014"/>
    <w:rsid w:val="08F96022"/>
    <w:rsid w:val="08F9612E"/>
    <w:rsid w:val="08F9613E"/>
    <w:rsid w:val="08F96142"/>
    <w:rsid w:val="08F961C0"/>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864"/>
    <w:rsid w:val="08F9690C"/>
    <w:rsid w:val="08F969C4"/>
    <w:rsid w:val="08F96A31"/>
    <w:rsid w:val="08F96B71"/>
    <w:rsid w:val="08F96BB3"/>
    <w:rsid w:val="08F96BEF"/>
    <w:rsid w:val="08F96CAB"/>
    <w:rsid w:val="08F96CBC"/>
    <w:rsid w:val="08F96CE5"/>
    <w:rsid w:val="08F96CF6"/>
    <w:rsid w:val="08F96D2C"/>
    <w:rsid w:val="08F96ED6"/>
    <w:rsid w:val="08F97076"/>
    <w:rsid w:val="08F97120"/>
    <w:rsid w:val="08F97121"/>
    <w:rsid w:val="08F97168"/>
    <w:rsid w:val="08F9726C"/>
    <w:rsid w:val="08F97324"/>
    <w:rsid w:val="08F97337"/>
    <w:rsid w:val="08F974B6"/>
    <w:rsid w:val="08F974FB"/>
    <w:rsid w:val="08F9753C"/>
    <w:rsid w:val="08F97540"/>
    <w:rsid w:val="08F975D8"/>
    <w:rsid w:val="08F975E6"/>
    <w:rsid w:val="08F975FF"/>
    <w:rsid w:val="08F97628"/>
    <w:rsid w:val="08F976A9"/>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9A"/>
    <w:rsid w:val="08FA06B9"/>
    <w:rsid w:val="08FA0746"/>
    <w:rsid w:val="08FA0773"/>
    <w:rsid w:val="08FA0791"/>
    <w:rsid w:val="08FA07A9"/>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F2F"/>
    <w:rsid w:val="08FA0F45"/>
    <w:rsid w:val="08FA0F57"/>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D"/>
    <w:rsid w:val="08FA1717"/>
    <w:rsid w:val="08FA175E"/>
    <w:rsid w:val="08FA177A"/>
    <w:rsid w:val="08FA18C4"/>
    <w:rsid w:val="08FA19D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00"/>
    <w:rsid w:val="08FA375D"/>
    <w:rsid w:val="08FA3796"/>
    <w:rsid w:val="08FA37B0"/>
    <w:rsid w:val="08FA37FC"/>
    <w:rsid w:val="08FA3893"/>
    <w:rsid w:val="08FA39AD"/>
    <w:rsid w:val="08FA39C5"/>
    <w:rsid w:val="08FA39DC"/>
    <w:rsid w:val="08FA3A0F"/>
    <w:rsid w:val="08FA3B91"/>
    <w:rsid w:val="08FA3BD7"/>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F2"/>
    <w:rsid w:val="08FA463E"/>
    <w:rsid w:val="08FA4692"/>
    <w:rsid w:val="08FA46A5"/>
    <w:rsid w:val="08FA4727"/>
    <w:rsid w:val="08FA475A"/>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F1B"/>
    <w:rsid w:val="08FA6104"/>
    <w:rsid w:val="08FA6153"/>
    <w:rsid w:val="08FA61B5"/>
    <w:rsid w:val="08FA61E7"/>
    <w:rsid w:val="08FA62E2"/>
    <w:rsid w:val="08FA630D"/>
    <w:rsid w:val="08FA639A"/>
    <w:rsid w:val="08FA63B8"/>
    <w:rsid w:val="08FA63C5"/>
    <w:rsid w:val="08FA63F2"/>
    <w:rsid w:val="08FA6440"/>
    <w:rsid w:val="08FA6443"/>
    <w:rsid w:val="08FA648B"/>
    <w:rsid w:val="08FA64CF"/>
    <w:rsid w:val="08FA657A"/>
    <w:rsid w:val="08FA6597"/>
    <w:rsid w:val="08FA65F0"/>
    <w:rsid w:val="08FA6641"/>
    <w:rsid w:val="08FA66B3"/>
    <w:rsid w:val="08FA6790"/>
    <w:rsid w:val="08FA6799"/>
    <w:rsid w:val="08FA67B4"/>
    <w:rsid w:val="08FA6967"/>
    <w:rsid w:val="08FA69B5"/>
    <w:rsid w:val="08FA69C3"/>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57"/>
    <w:rsid w:val="08FA74A1"/>
    <w:rsid w:val="08FA755D"/>
    <w:rsid w:val="08FA75D1"/>
    <w:rsid w:val="08FA75FB"/>
    <w:rsid w:val="08FA76F2"/>
    <w:rsid w:val="08FA7799"/>
    <w:rsid w:val="08FA77E3"/>
    <w:rsid w:val="08FA78F7"/>
    <w:rsid w:val="08FA7939"/>
    <w:rsid w:val="08FA79F0"/>
    <w:rsid w:val="08FA7A14"/>
    <w:rsid w:val="08FA7A84"/>
    <w:rsid w:val="08FA7B47"/>
    <w:rsid w:val="08FA7B7C"/>
    <w:rsid w:val="08FA7B91"/>
    <w:rsid w:val="08FA7BC0"/>
    <w:rsid w:val="08FA7BE5"/>
    <w:rsid w:val="08FA7C83"/>
    <w:rsid w:val="08FA7CCE"/>
    <w:rsid w:val="08FA7D4B"/>
    <w:rsid w:val="08FA7EA0"/>
    <w:rsid w:val="08FA7FD9"/>
    <w:rsid w:val="08FB0035"/>
    <w:rsid w:val="08FB00AF"/>
    <w:rsid w:val="08FB0103"/>
    <w:rsid w:val="08FB0170"/>
    <w:rsid w:val="08FB01FD"/>
    <w:rsid w:val="08FB0246"/>
    <w:rsid w:val="08FB025E"/>
    <w:rsid w:val="08FB0270"/>
    <w:rsid w:val="08FB02A3"/>
    <w:rsid w:val="08FB02FD"/>
    <w:rsid w:val="08FB031C"/>
    <w:rsid w:val="08FB0326"/>
    <w:rsid w:val="08FB0359"/>
    <w:rsid w:val="08FB039E"/>
    <w:rsid w:val="08FB03E5"/>
    <w:rsid w:val="08FB0536"/>
    <w:rsid w:val="08FB057E"/>
    <w:rsid w:val="08FB0612"/>
    <w:rsid w:val="08FB0699"/>
    <w:rsid w:val="08FB06FC"/>
    <w:rsid w:val="08FB075A"/>
    <w:rsid w:val="08FB079E"/>
    <w:rsid w:val="08FB07D2"/>
    <w:rsid w:val="08FB0807"/>
    <w:rsid w:val="08FB082A"/>
    <w:rsid w:val="08FB086E"/>
    <w:rsid w:val="08FB088B"/>
    <w:rsid w:val="08FB0895"/>
    <w:rsid w:val="08FB0896"/>
    <w:rsid w:val="08FB08DA"/>
    <w:rsid w:val="08FB095B"/>
    <w:rsid w:val="08FB0A5F"/>
    <w:rsid w:val="08FB0A6E"/>
    <w:rsid w:val="08FB0AA5"/>
    <w:rsid w:val="08FB0AF6"/>
    <w:rsid w:val="08FB0B22"/>
    <w:rsid w:val="08FB0B44"/>
    <w:rsid w:val="08FB0B96"/>
    <w:rsid w:val="08FB0BDB"/>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A9"/>
    <w:rsid w:val="08FB11C2"/>
    <w:rsid w:val="08FB12DD"/>
    <w:rsid w:val="08FB12E4"/>
    <w:rsid w:val="08FB12F0"/>
    <w:rsid w:val="08FB134E"/>
    <w:rsid w:val="08FB13DD"/>
    <w:rsid w:val="08FB153C"/>
    <w:rsid w:val="08FB1581"/>
    <w:rsid w:val="08FB15CC"/>
    <w:rsid w:val="08FB1706"/>
    <w:rsid w:val="08FB174D"/>
    <w:rsid w:val="08FB18ED"/>
    <w:rsid w:val="08FB1953"/>
    <w:rsid w:val="08FB1961"/>
    <w:rsid w:val="08FB19A4"/>
    <w:rsid w:val="08FB19B1"/>
    <w:rsid w:val="08FB19E0"/>
    <w:rsid w:val="08FB1B4A"/>
    <w:rsid w:val="08FB1BE0"/>
    <w:rsid w:val="08FB1CE1"/>
    <w:rsid w:val="08FB1D14"/>
    <w:rsid w:val="08FB1D18"/>
    <w:rsid w:val="08FB1D76"/>
    <w:rsid w:val="08FB1DC9"/>
    <w:rsid w:val="08FB1F9D"/>
    <w:rsid w:val="08FB2069"/>
    <w:rsid w:val="08FB22BD"/>
    <w:rsid w:val="08FB239A"/>
    <w:rsid w:val="08FB23A9"/>
    <w:rsid w:val="08FB2434"/>
    <w:rsid w:val="08FB2466"/>
    <w:rsid w:val="08FB2474"/>
    <w:rsid w:val="08FB24D1"/>
    <w:rsid w:val="08FB24D9"/>
    <w:rsid w:val="08FB2636"/>
    <w:rsid w:val="08FB27A2"/>
    <w:rsid w:val="08FB27F9"/>
    <w:rsid w:val="08FB2804"/>
    <w:rsid w:val="08FB2920"/>
    <w:rsid w:val="08FB2921"/>
    <w:rsid w:val="08FB2959"/>
    <w:rsid w:val="08FB299F"/>
    <w:rsid w:val="08FB2A41"/>
    <w:rsid w:val="08FB2AEA"/>
    <w:rsid w:val="08FB2BE6"/>
    <w:rsid w:val="08FB2BE9"/>
    <w:rsid w:val="08FB2C0F"/>
    <w:rsid w:val="08FB2CA9"/>
    <w:rsid w:val="08FB2D58"/>
    <w:rsid w:val="08FB2EDD"/>
    <w:rsid w:val="08FB306C"/>
    <w:rsid w:val="08FB3070"/>
    <w:rsid w:val="08FB30FC"/>
    <w:rsid w:val="08FB310B"/>
    <w:rsid w:val="08FB3112"/>
    <w:rsid w:val="08FB317E"/>
    <w:rsid w:val="08FB3343"/>
    <w:rsid w:val="08FB336F"/>
    <w:rsid w:val="08FB33D9"/>
    <w:rsid w:val="08FB3408"/>
    <w:rsid w:val="08FB349C"/>
    <w:rsid w:val="08FB3507"/>
    <w:rsid w:val="08FB358D"/>
    <w:rsid w:val="08FB3591"/>
    <w:rsid w:val="08FB35E8"/>
    <w:rsid w:val="08FB369F"/>
    <w:rsid w:val="08FB36A8"/>
    <w:rsid w:val="08FB36B5"/>
    <w:rsid w:val="08FB36CB"/>
    <w:rsid w:val="08FB3766"/>
    <w:rsid w:val="08FB377B"/>
    <w:rsid w:val="08FB3860"/>
    <w:rsid w:val="08FB390B"/>
    <w:rsid w:val="08FB3A35"/>
    <w:rsid w:val="08FB3B22"/>
    <w:rsid w:val="08FB3B65"/>
    <w:rsid w:val="08FB3B91"/>
    <w:rsid w:val="08FB3BC1"/>
    <w:rsid w:val="08FB3BFD"/>
    <w:rsid w:val="08FB3C7D"/>
    <w:rsid w:val="08FB3DBE"/>
    <w:rsid w:val="08FB3E73"/>
    <w:rsid w:val="08FB3F01"/>
    <w:rsid w:val="08FB3F16"/>
    <w:rsid w:val="08FB4032"/>
    <w:rsid w:val="08FB4047"/>
    <w:rsid w:val="08FB4077"/>
    <w:rsid w:val="08FB40C7"/>
    <w:rsid w:val="08FB40FA"/>
    <w:rsid w:val="08FB40FF"/>
    <w:rsid w:val="08FB4193"/>
    <w:rsid w:val="08FB41F4"/>
    <w:rsid w:val="08FB4205"/>
    <w:rsid w:val="08FB425A"/>
    <w:rsid w:val="08FB42A5"/>
    <w:rsid w:val="08FB4346"/>
    <w:rsid w:val="08FB447C"/>
    <w:rsid w:val="08FB447E"/>
    <w:rsid w:val="08FB45CE"/>
    <w:rsid w:val="08FB45FA"/>
    <w:rsid w:val="08FB4614"/>
    <w:rsid w:val="08FB464F"/>
    <w:rsid w:val="08FB46C3"/>
    <w:rsid w:val="08FB46DF"/>
    <w:rsid w:val="08FB46E0"/>
    <w:rsid w:val="08FB4706"/>
    <w:rsid w:val="08FB4778"/>
    <w:rsid w:val="08FB477A"/>
    <w:rsid w:val="08FB47E9"/>
    <w:rsid w:val="08FB47EF"/>
    <w:rsid w:val="08FB47FB"/>
    <w:rsid w:val="08FB490F"/>
    <w:rsid w:val="08FB49D8"/>
    <w:rsid w:val="08FB49E5"/>
    <w:rsid w:val="08FB4AF8"/>
    <w:rsid w:val="08FB4B15"/>
    <w:rsid w:val="08FB4B96"/>
    <w:rsid w:val="08FB4BC4"/>
    <w:rsid w:val="08FB4BC7"/>
    <w:rsid w:val="08FB4C61"/>
    <w:rsid w:val="08FB4CBC"/>
    <w:rsid w:val="08FB4D0E"/>
    <w:rsid w:val="08FB4D35"/>
    <w:rsid w:val="08FB4D74"/>
    <w:rsid w:val="08FB4DCA"/>
    <w:rsid w:val="08FB4DDF"/>
    <w:rsid w:val="08FB4E40"/>
    <w:rsid w:val="08FB4E4A"/>
    <w:rsid w:val="08FB4ED3"/>
    <w:rsid w:val="08FB4F24"/>
    <w:rsid w:val="08FB4F9D"/>
    <w:rsid w:val="08FB4FFE"/>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B9C"/>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47"/>
    <w:rsid w:val="08FB68C3"/>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8F"/>
    <w:rsid w:val="08FB74BD"/>
    <w:rsid w:val="08FB74C0"/>
    <w:rsid w:val="08FB74C5"/>
    <w:rsid w:val="08FB75BB"/>
    <w:rsid w:val="08FB75BD"/>
    <w:rsid w:val="08FB76BB"/>
    <w:rsid w:val="08FB774B"/>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5AD"/>
    <w:rsid w:val="08FC0663"/>
    <w:rsid w:val="08FC06C9"/>
    <w:rsid w:val="08FC074A"/>
    <w:rsid w:val="08FC0751"/>
    <w:rsid w:val="08FC07A1"/>
    <w:rsid w:val="08FC07D1"/>
    <w:rsid w:val="08FC07FC"/>
    <w:rsid w:val="08FC08FB"/>
    <w:rsid w:val="08FC0919"/>
    <w:rsid w:val="08FC094E"/>
    <w:rsid w:val="08FC0970"/>
    <w:rsid w:val="08FC09F8"/>
    <w:rsid w:val="08FC0A24"/>
    <w:rsid w:val="08FC0A30"/>
    <w:rsid w:val="08FC0ADF"/>
    <w:rsid w:val="08FC0C27"/>
    <w:rsid w:val="08FC0CE5"/>
    <w:rsid w:val="08FC0D45"/>
    <w:rsid w:val="08FC0E50"/>
    <w:rsid w:val="08FC0F4B"/>
    <w:rsid w:val="08FC0F77"/>
    <w:rsid w:val="08FC0F96"/>
    <w:rsid w:val="08FC0FD2"/>
    <w:rsid w:val="08FC1012"/>
    <w:rsid w:val="08FC109B"/>
    <w:rsid w:val="08FC10B4"/>
    <w:rsid w:val="08FC10E5"/>
    <w:rsid w:val="08FC1108"/>
    <w:rsid w:val="08FC1140"/>
    <w:rsid w:val="08FC1166"/>
    <w:rsid w:val="08FC13AA"/>
    <w:rsid w:val="08FC14B7"/>
    <w:rsid w:val="08FC151D"/>
    <w:rsid w:val="08FC1527"/>
    <w:rsid w:val="08FC1531"/>
    <w:rsid w:val="08FC15D0"/>
    <w:rsid w:val="08FC1635"/>
    <w:rsid w:val="08FC167B"/>
    <w:rsid w:val="08FC179C"/>
    <w:rsid w:val="08FC1815"/>
    <w:rsid w:val="08FC1855"/>
    <w:rsid w:val="08FC185A"/>
    <w:rsid w:val="08FC18F5"/>
    <w:rsid w:val="08FC191C"/>
    <w:rsid w:val="08FC19AE"/>
    <w:rsid w:val="08FC19C2"/>
    <w:rsid w:val="08FC19C5"/>
    <w:rsid w:val="08FC19FF"/>
    <w:rsid w:val="08FC1A12"/>
    <w:rsid w:val="08FC1A17"/>
    <w:rsid w:val="08FC1E6B"/>
    <w:rsid w:val="08FC1EF5"/>
    <w:rsid w:val="08FC1F1B"/>
    <w:rsid w:val="08FC1F9D"/>
    <w:rsid w:val="08FC201E"/>
    <w:rsid w:val="08FC2033"/>
    <w:rsid w:val="08FC218C"/>
    <w:rsid w:val="08FC21A3"/>
    <w:rsid w:val="08FC2448"/>
    <w:rsid w:val="08FC256F"/>
    <w:rsid w:val="08FC2776"/>
    <w:rsid w:val="08FC27AF"/>
    <w:rsid w:val="08FC27BC"/>
    <w:rsid w:val="08FC280C"/>
    <w:rsid w:val="08FC2896"/>
    <w:rsid w:val="08FC28A9"/>
    <w:rsid w:val="08FC298E"/>
    <w:rsid w:val="08FC29A1"/>
    <w:rsid w:val="08FC29CF"/>
    <w:rsid w:val="08FC2A20"/>
    <w:rsid w:val="08FC2A30"/>
    <w:rsid w:val="08FC2A75"/>
    <w:rsid w:val="08FC2A7F"/>
    <w:rsid w:val="08FC2A88"/>
    <w:rsid w:val="08FC2A8B"/>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9DB"/>
    <w:rsid w:val="08FC3A51"/>
    <w:rsid w:val="08FC3A55"/>
    <w:rsid w:val="08FC3AA5"/>
    <w:rsid w:val="08FC3AB0"/>
    <w:rsid w:val="08FC3BCC"/>
    <w:rsid w:val="08FC3C34"/>
    <w:rsid w:val="08FC3C58"/>
    <w:rsid w:val="08FC3CC4"/>
    <w:rsid w:val="08FC3CDA"/>
    <w:rsid w:val="08FC3E12"/>
    <w:rsid w:val="08FC3E26"/>
    <w:rsid w:val="08FC3F0A"/>
    <w:rsid w:val="08FC3F9A"/>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7D"/>
    <w:rsid w:val="08FC46EE"/>
    <w:rsid w:val="08FC46F7"/>
    <w:rsid w:val="08FC475A"/>
    <w:rsid w:val="08FC4808"/>
    <w:rsid w:val="08FC48C1"/>
    <w:rsid w:val="08FC49EC"/>
    <w:rsid w:val="08FC4A76"/>
    <w:rsid w:val="08FC4CCE"/>
    <w:rsid w:val="08FC4D52"/>
    <w:rsid w:val="08FC4F2E"/>
    <w:rsid w:val="08FC4F49"/>
    <w:rsid w:val="08FC4F50"/>
    <w:rsid w:val="08FC4FB3"/>
    <w:rsid w:val="08FC4FC4"/>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C7"/>
    <w:rsid w:val="08FC5BA2"/>
    <w:rsid w:val="08FC5DB6"/>
    <w:rsid w:val="08FC5E6E"/>
    <w:rsid w:val="08FC5E75"/>
    <w:rsid w:val="08FC5EBC"/>
    <w:rsid w:val="08FC5F3D"/>
    <w:rsid w:val="08FC5FB3"/>
    <w:rsid w:val="08FC6051"/>
    <w:rsid w:val="08FC6082"/>
    <w:rsid w:val="08FC6083"/>
    <w:rsid w:val="08FC6088"/>
    <w:rsid w:val="08FC61C3"/>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62"/>
    <w:rsid w:val="08FC6A71"/>
    <w:rsid w:val="08FC6AA6"/>
    <w:rsid w:val="08FC6B53"/>
    <w:rsid w:val="08FC6BA1"/>
    <w:rsid w:val="08FC6BB3"/>
    <w:rsid w:val="08FC6C10"/>
    <w:rsid w:val="08FC6C23"/>
    <w:rsid w:val="08FC6C4B"/>
    <w:rsid w:val="08FC6C54"/>
    <w:rsid w:val="08FC6C95"/>
    <w:rsid w:val="08FC6CB6"/>
    <w:rsid w:val="08FC6D75"/>
    <w:rsid w:val="08FC6DEB"/>
    <w:rsid w:val="08FC6E28"/>
    <w:rsid w:val="08FC6E36"/>
    <w:rsid w:val="08FC6EF5"/>
    <w:rsid w:val="08FC6F06"/>
    <w:rsid w:val="08FC6FE3"/>
    <w:rsid w:val="08FC7013"/>
    <w:rsid w:val="08FC70A6"/>
    <w:rsid w:val="08FC70B1"/>
    <w:rsid w:val="08FC713A"/>
    <w:rsid w:val="08FC7224"/>
    <w:rsid w:val="08FC7309"/>
    <w:rsid w:val="08FC73AC"/>
    <w:rsid w:val="08FC747C"/>
    <w:rsid w:val="08FC7584"/>
    <w:rsid w:val="08FC75A9"/>
    <w:rsid w:val="08FC75F0"/>
    <w:rsid w:val="08FC75F7"/>
    <w:rsid w:val="08FC7625"/>
    <w:rsid w:val="08FC7641"/>
    <w:rsid w:val="08FC76AB"/>
    <w:rsid w:val="08FC76F2"/>
    <w:rsid w:val="08FC7738"/>
    <w:rsid w:val="08FC789D"/>
    <w:rsid w:val="08FC79B3"/>
    <w:rsid w:val="08FC79C3"/>
    <w:rsid w:val="08FC79C6"/>
    <w:rsid w:val="08FC79F7"/>
    <w:rsid w:val="08FC7ABF"/>
    <w:rsid w:val="08FC7B7E"/>
    <w:rsid w:val="08FC7B9D"/>
    <w:rsid w:val="08FC7BC1"/>
    <w:rsid w:val="08FC7D31"/>
    <w:rsid w:val="08FC7D69"/>
    <w:rsid w:val="08FC7D97"/>
    <w:rsid w:val="08FC7DB8"/>
    <w:rsid w:val="08FC7DBB"/>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0"/>
    <w:rsid w:val="08FD0793"/>
    <w:rsid w:val="08FD0802"/>
    <w:rsid w:val="08FD0829"/>
    <w:rsid w:val="08FD086B"/>
    <w:rsid w:val="08FD0997"/>
    <w:rsid w:val="08FD09A6"/>
    <w:rsid w:val="08FD0A71"/>
    <w:rsid w:val="08FD0A91"/>
    <w:rsid w:val="08FD0A93"/>
    <w:rsid w:val="08FD0B1F"/>
    <w:rsid w:val="08FD0B31"/>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65A"/>
    <w:rsid w:val="08FD16F2"/>
    <w:rsid w:val="08FD171F"/>
    <w:rsid w:val="08FD172E"/>
    <w:rsid w:val="08FD182D"/>
    <w:rsid w:val="08FD1847"/>
    <w:rsid w:val="08FD18E4"/>
    <w:rsid w:val="08FD190D"/>
    <w:rsid w:val="08FD1936"/>
    <w:rsid w:val="08FD1937"/>
    <w:rsid w:val="08FD198E"/>
    <w:rsid w:val="08FD19CD"/>
    <w:rsid w:val="08FD19E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2D"/>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47"/>
    <w:rsid w:val="08FD2A55"/>
    <w:rsid w:val="08FD2AF5"/>
    <w:rsid w:val="08FD2B1E"/>
    <w:rsid w:val="08FD2B73"/>
    <w:rsid w:val="08FD2B78"/>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B0D"/>
    <w:rsid w:val="08FD3C07"/>
    <w:rsid w:val="08FD3DC8"/>
    <w:rsid w:val="08FD3E25"/>
    <w:rsid w:val="08FD3E3A"/>
    <w:rsid w:val="08FD3E58"/>
    <w:rsid w:val="08FD3EB3"/>
    <w:rsid w:val="08FD3F0C"/>
    <w:rsid w:val="08FD3F28"/>
    <w:rsid w:val="08FD3F69"/>
    <w:rsid w:val="08FD3FBF"/>
    <w:rsid w:val="08FD3FFF"/>
    <w:rsid w:val="08FD4042"/>
    <w:rsid w:val="08FD4118"/>
    <w:rsid w:val="08FD419C"/>
    <w:rsid w:val="08FD41A8"/>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4F35"/>
    <w:rsid w:val="08FD4F5A"/>
    <w:rsid w:val="08FD50BB"/>
    <w:rsid w:val="08FD516E"/>
    <w:rsid w:val="08FD524A"/>
    <w:rsid w:val="08FD5259"/>
    <w:rsid w:val="08FD52C3"/>
    <w:rsid w:val="08FD5331"/>
    <w:rsid w:val="08FD545A"/>
    <w:rsid w:val="08FD5572"/>
    <w:rsid w:val="08FD55D6"/>
    <w:rsid w:val="08FD57D1"/>
    <w:rsid w:val="08FD5834"/>
    <w:rsid w:val="08FD5876"/>
    <w:rsid w:val="08FD58AC"/>
    <w:rsid w:val="08FD5931"/>
    <w:rsid w:val="08FD5987"/>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9C"/>
    <w:rsid w:val="08FD6AA3"/>
    <w:rsid w:val="08FD6ABE"/>
    <w:rsid w:val="08FD6AD7"/>
    <w:rsid w:val="08FD6B1A"/>
    <w:rsid w:val="08FD6BAA"/>
    <w:rsid w:val="08FD6BB9"/>
    <w:rsid w:val="08FD6C0A"/>
    <w:rsid w:val="08FD6D30"/>
    <w:rsid w:val="08FD6D9A"/>
    <w:rsid w:val="08FD6E39"/>
    <w:rsid w:val="08FD6F2F"/>
    <w:rsid w:val="08FD6FC1"/>
    <w:rsid w:val="08FD703B"/>
    <w:rsid w:val="08FD7131"/>
    <w:rsid w:val="08FD71A2"/>
    <w:rsid w:val="08FD71DA"/>
    <w:rsid w:val="08FD71F1"/>
    <w:rsid w:val="08FD720C"/>
    <w:rsid w:val="08FD728A"/>
    <w:rsid w:val="08FD7296"/>
    <w:rsid w:val="08FD72CA"/>
    <w:rsid w:val="08FD7331"/>
    <w:rsid w:val="08FD733D"/>
    <w:rsid w:val="08FD76BF"/>
    <w:rsid w:val="08FD7746"/>
    <w:rsid w:val="08FD7792"/>
    <w:rsid w:val="08FD77DD"/>
    <w:rsid w:val="08FD77F9"/>
    <w:rsid w:val="08FD7806"/>
    <w:rsid w:val="08FD7822"/>
    <w:rsid w:val="08FD7986"/>
    <w:rsid w:val="08FD7A0D"/>
    <w:rsid w:val="08FD7A4D"/>
    <w:rsid w:val="08FD7A89"/>
    <w:rsid w:val="08FD7B9F"/>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8E"/>
    <w:rsid w:val="08FE02C7"/>
    <w:rsid w:val="08FE03BB"/>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C1"/>
    <w:rsid w:val="08FE0BDA"/>
    <w:rsid w:val="08FE0C61"/>
    <w:rsid w:val="08FE0C7A"/>
    <w:rsid w:val="08FE0CA4"/>
    <w:rsid w:val="08FE0CD0"/>
    <w:rsid w:val="08FE0CD7"/>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293"/>
    <w:rsid w:val="08FE2331"/>
    <w:rsid w:val="08FE2367"/>
    <w:rsid w:val="08FE2371"/>
    <w:rsid w:val="08FE23CA"/>
    <w:rsid w:val="08FE23D8"/>
    <w:rsid w:val="08FE248B"/>
    <w:rsid w:val="08FE24FD"/>
    <w:rsid w:val="08FE2535"/>
    <w:rsid w:val="08FE25ED"/>
    <w:rsid w:val="08FE267D"/>
    <w:rsid w:val="08FE26AD"/>
    <w:rsid w:val="08FE26C9"/>
    <w:rsid w:val="08FE2719"/>
    <w:rsid w:val="08FE2779"/>
    <w:rsid w:val="08FE286D"/>
    <w:rsid w:val="08FE28B7"/>
    <w:rsid w:val="08FE29C4"/>
    <w:rsid w:val="08FE29CE"/>
    <w:rsid w:val="08FE29DD"/>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8D"/>
    <w:rsid w:val="08FE3BD6"/>
    <w:rsid w:val="08FE3CF1"/>
    <w:rsid w:val="08FE3CFF"/>
    <w:rsid w:val="08FE3D15"/>
    <w:rsid w:val="08FE3E17"/>
    <w:rsid w:val="08FE3E1F"/>
    <w:rsid w:val="08FE3EE9"/>
    <w:rsid w:val="08FE3F22"/>
    <w:rsid w:val="08FE3F5C"/>
    <w:rsid w:val="08FE3F84"/>
    <w:rsid w:val="08FE3FC7"/>
    <w:rsid w:val="08FE4022"/>
    <w:rsid w:val="08FE4069"/>
    <w:rsid w:val="08FE413D"/>
    <w:rsid w:val="08FE41CC"/>
    <w:rsid w:val="08FE425F"/>
    <w:rsid w:val="08FE4297"/>
    <w:rsid w:val="08FE42A5"/>
    <w:rsid w:val="08FE430D"/>
    <w:rsid w:val="08FE4316"/>
    <w:rsid w:val="08FE43CD"/>
    <w:rsid w:val="08FE43E7"/>
    <w:rsid w:val="08FE4432"/>
    <w:rsid w:val="08FE4435"/>
    <w:rsid w:val="08FE4446"/>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943"/>
    <w:rsid w:val="08FE5A0A"/>
    <w:rsid w:val="08FE5A56"/>
    <w:rsid w:val="08FE5AC4"/>
    <w:rsid w:val="08FE5BA4"/>
    <w:rsid w:val="08FE5C47"/>
    <w:rsid w:val="08FE5C92"/>
    <w:rsid w:val="08FE5CAB"/>
    <w:rsid w:val="08FE5D87"/>
    <w:rsid w:val="08FE5D8F"/>
    <w:rsid w:val="08FE5DEE"/>
    <w:rsid w:val="08FE5E5C"/>
    <w:rsid w:val="08FE5ECD"/>
    <w:rsid w:val="08FE5EFB"/>
    <w:rsid w:val="08FE5EFE"/>
    <w:rsid w:val="08FE5F79"/>
    <w:rsid w:val="08FE5FF2"/>
    <w:rsid w:val="08FE603F"/>
    <w:rsid w:val="08FE6191"/>
    <w:rsid w:val="08FE61DF"/>
    <w:rsid w:val="08FE6292"/>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FE"/>
    <w:rsid w:val="08FE7A22"/>
    <w:rsid w:val="08FE7A90"/>
    <w:rsid w:val="08FE7AF0"/>
    <w:rsid w:val="08FE7B0E"/>
    <w:rsid w:val="08FE7BDE"/>
    <w:rsid w:val="08FE7D04"/>
    <w:rsid w:val="08FE7DA8"/>
    <w:rsid w:val="08FE7E0E"/>
    <w:rsid w:val="08FE7E1D"/>
    <w:rsid w:val="08FE7EE0"/>
    <w:rsid w:val="08FE7F1E"/>
    <w:rsid w:val="08FE7F7B"/>
    <w:rsid w:val="08FE7F91"/>
    <w:rsid w:val="08FE7FC5"/>
    <w:rsid w:val="08FE7FCE"/>
    <w:rsid w:val="08FF00C8"/>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894"/>
    <w:rsid w:val="08FF0908"/>
    <w:rsid w:val="08FF0982"/>
    <w:rsid w:val="08FF0A96"/>
    <w:rsid w:val="08FF0AB2"/>
    <w:rsid w:val="08FF0AD3"/>
    <w:rsid w:val="08FF0AD7"/>
    <w:rsid w:val="08FF0D0B"/>
    <w:rsid w:val="08FF0DC8"/>
    <w:rsid w:val="08FF0FEC"/>
    <w:rsid w:val="08FF10EB"/>
    <w:rsid w:val="08FF121A"/>
    <w:rsid w:val="08FF141A"/>
    <w:rsid w:val="08FF153D"/>
    <w:rsid w:val="08FF15D8"/>
    <w:rsid w:val="08FF1654"/>
    <w:rsid w:val="08FF16D1"/>
    <w:rsid w:val="08FF188D"/>
    <w:rsid w:val="08FF192E"/>
    <w:rsid w:val="08FF1945"/>
    <w:rsid w:val="08FF1962"/>
    <w:rsid w:val="08FF199C"/>
    <w:rsid w:val="08FF19B3"/>
    <w:rsid w:val="08FF19F4"/>
    <w:rsid w:val="08FF1A86"/>
    <w:rsid w:val="08FF1AD8"/>
    <w:rsid w:val="08FF1B91"/>
    <w:rsid w:val="08FF1B9D"/>
    <w:rsid w:val="08FF1C53"/>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95"/>
    <w:rsid w:val="08FF2BEB"/>
    <w:rsid w:val="08FF2C27"/>
    <w:rsid w:val="08FF2CC0"/>
    <w:rsid w:val="08FF2D3B"/>
    <w:rsid w:val="08FF2E35"/>
    <w:rsid w:val="08FF2FF8"/>
    <w:rsid w:val="08FF302D"/>
    <w:rsid w:val="08FF310F"/>
    <w:rsid w:val="08FF3161"/>
    <w:rsid w:val="08FF324B"/>
    <w:rsid w:val="08FF33AC"/>
    <w:rsid w:val="08FF33EF"/>
    <w:rsid w:val="08FF3427"/>
    <w:rsid w:val="08FF34D4"/>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C5"/>
    <w:rsid w:val="08FF6C6F"/>
    <w:rsid w:val="08FF6CF1"/>
    <w:rsid w:val="08FF6D13"/>
    <w:rsid w:val="08FF6DDD"/>
    <w:rsid w:val="08FF6DFE"/>
    <w:rsid w:val="08FF6E35"/>
    <w:rsid w:val="08FF6EF5"/>
    <w:rsid w:val="08FF6FAC"/>
    <w:rsid w:val="08FF7173"/>
    <w:rsid w:val="08FF7197"/>
    <w:rsid w:val="08FF71C3"/>
    <w:rsid w:val="08FF7296"/>
    <w:rsid w:val="08FF72C1"/>
    <w:rsid w:val="08FF730F"/>
    <w:rsid w:val="08FF7323"/>
    <w:rsid w:val="08FF7353"/>
    <w:rsid w:val="08FF73C1"/>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5B6841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index 1" w:qFormat="1"/>
    <w:lsdException w:name="index 2" w:qFormat="1"/>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header" w:uiPriority="0"/>
    <w:lsdException w:name="caption" w:uiPriority="35" w:qFormat="1"/>
    <w:lsdException w:name="table of figures" w:uiPriority="0"/>
    <w:lsdException w:name="footnote reference" w:uiPriority="0" w:qFormat="1"/>
    <w:lsdException w:name="page number" w:uiPriority="0"/>
    <w:lsdException w:name="endnote reference" w:uiPriority="0"/>
    <w:lsdException w:name="List" w:uiPriority="0"/>
    <w:lsdException w:name="List Bullet" w:uiPriority="0"/>
    <w:lsdException w:name="List 2" w:uiPriority="0"/>
    <w:lsdException w:name="Title" w:semiHidden="0" w:uiPriority="10" w:unhideWhenUsed="0"/>
    <w:lsdException w:name="Default Paragraph Font" w:uiPriority="1"/>
    <w:lsdException w:name="Body Text" w:uiPriority="0"/>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qFormat/>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rsid w:val="00254726"/>
    <w:pPr>
      <w:widowControl w:val="0"/>
      <w:suppressAutoHyphens/>
      <w:autoSpaceDE w:val="0"/>
      <w:ind w:firstLine="357"/>
    </w:pPr>
    <w:rPr>
      <w:color w:val="000000"/>
    </w:rPr>
  </w:style>
  <w:style w:type="paragraph" w:customStyle="1" w:styleId="Standard">
    <w:name w:val="Standard"/>
    <w:basedOn w:val="Normln"/>
    <w:next w:val="Normln"/>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semiHidden/>
    <w:rsid w:val="00254726"/>
    <w:pPr>
      <w:jc w:val="left"/>
    </w:pPr>
    <w:rPr>
      <w:rFonts w:ascii="Arial" w:hAnsi="Arial"/>
      <w:noProof w:val="0"/>
      <w:color w:val="000000"/>
      <w:sz w:val="21"/>
      <w:szCs w:val="21"/>
      <w:lang w:val="x-none" w:eastAsia="x-none"/>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rsid w:val="00254726"/>
    <w:pPr>
      <w:keepNext/>
      <w:spacing w:before="240" w:after="120"/>
    </w:pPr>
    <w:rPr>
      <w:rFonts w:ascii="Arial" w:eastAsia="MS Gothic" w:hAnsi="Arial" w:cs="Tahoma"/>
      <w:sz w:val="28"/>
      <w:szCs w:val="28"/>
    </w:rPr>
  </w:style>
  <w:style w:type="paragraph" w:styleId="Seznam">
    <w:name w:val="List"/>
    <w:basedOn w:val="Normln"/>
    <w:semiHidden/>
    <w:rsid w:val="00254726"/>
    <w:pPr>
      <w:ind w:left="283" w:hanging="283"/>
    </w:pPr>
  </w:style>
  <w:style w:type="paragraph" w:customStyle="1" w:styleId="Rejstk">
    <w:name w:val="Rejstřík"/>
    <w:basedOn w:val="Normln"/>
    <w:rsid w:val="00254726"/>
    <w:pPr>
      <w:suppressLineNumbers/>
    </w:pPr>
    <w:rPr>
      <w:rFonts w:cs="Tahoma"/>
    </w:rPr>
  </w:style>
  <w:style w:type="paragraph" w:styleId="Rejstk1">
    <w:name w:val="index 1"/>
    <w:basedOn w:val="Normln"/>
    <w:next w:val="Normln"/>
    <w:uiPriority w:val="99"/>
    <w:qFormat/>
    <w:rsid w:val="00254726"/>
    <w:pPr>
      <w:ind w:left="240" w:hanging="240"/>
      <w:jc w:val="left"/>
    </w:pPr>
    <w:rPr>
      <w:sz w:val="18"/>
      <w:szCs w:val="18"/>
    </w:rPr>
  </w:style>
  <w:style w:type="paragraph" w:styleId="Hlavikarejstku">
    <w:name w:val="index heading"/>
    <w:basedOn w:val="Normln"/>
    <w:next w:val="Rejstk1"/>
    <w:uiPriority w:val="99"/>
    <w:semiHidden/>
    <w:rsid w:val="00254726"/>
    <w:pPr>
      <w:spacing w:before="240" w:after="120"/>
      <w:jc w:val="center"/>
    </w:pPr>
    <w:rPr>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semiHidden/>
    <w:qFormat/>
    <w:rsid w:val="00254726"/>
    <w:pPr>
      <w:ind w:left="480" w:hanging="240"/>
      <w:jc w:val="left"/>
    </w:pPr>
    <w:rPr>
      <w:sz w:val="18"/>
      <w:szCs w:val="18"/>
    </w:rPr>
  </w:style>
  <w:style w:type="paragraph" w:styleId="Rejstk3">
    <w:name w:val="index 3"/>
    <w:basedOn w:val="Normln"/>
    <w:next w:val="Normln"/>
    <w:uiPriority w:val="99"/>
    <w:semiHidden/>
    <w:rsid w:val="00254726"/>
    <w:pPr>
      <w:ind w:left="720" w:hanging="240"/>
      <w:jc w:val="left"/>
    </w:pPr>
    <w:rPr>
      <w:sz w:val="18"/>
      <w:szCs w:val="18"/>
    </w:rPr>
  </w:style>
  <w:style w:type="paragraph" w:styleId="Rejstk4">
    <w:name w:val="index 4"/>
    <w:basedOn w:val="Normln"/>
    <w:next w:val="Normln"/>
    <w:semiHidden/>
    <w:rsid w:val="00254726"/>
    <w:pPr>
      <w:ind w:left="960" w:hanging="240"/>
      <w:jc w:val="left"/>
    </w:pPr>
    <w:rPr>
      <w:sz w:val="18"/>
      <w:szCs w:val="18"/>
    </w:rPr>
  </w:style>
  <w:style w:type="paragraph" w:styleId="Rejstk5">
    <w:name w:val="index 5"/>
    <w:basedOn w:val="Normln"/>
    <w:next w:val="Normln"/>
    <w:semiHidden/>
    <w:rsid w:val="00254726"/>
    <w:pPr>
      <w:ind w:left="1200" w:hanging="240"/>
      <w:jc w:val="left"/>
    </w:pPr>
    <w:rPr>
      <w:sz w:val="18"/>
      <w:szCs w:val="18"/>
    </w:rPr>
  </w:style>
  <w:style w:type="paragraph" w:styleId="Rejstk6">
    <w:name w:val="index 6"/>
    <w:basedOn w:val="Normln"/>
    <w:next w:val="Normln"/>
    <w:semiHidden/>
    <w:rsid w:val="00254726"/>
    <w:pPr>
      <w:ind w:left="1440" w:hanging="240"/>
      <w:jc w:val="left"/>
    </w:pPr>
    <w:rPr>
      <w:sz w:val="18"/>
      <w:szCs w:val="18"/>
    </w:rPr>
  </w:style>
  <w:style w:type="paragraph" w:styleId="Rejstk7">
    <w:name w:val="index 7"/>
    <w:basedOn w:val="Normln"/>
    <w:next w:val="Normln"/>
    <w:semiHidden/>
    <w:rsid w:val="00254726"/>
    <w:pPr>
      <w:ind w:left="1680" w:hanging="240"/>
      <w:jc w:val="left"/>
    </w:pPr>
    <w:rPr>
      <w:sz w:val="18"/>
      <w:szCs w:val="18"/>
    </w:rPr>
  </w:style>
  <w:style w:type="paragraph" w:styleId="Rejstk8">
    <w:name w:val="index 8"/>
    <w:basedOn w:val="Normln"/>
    <w:next w:val="Normln"/>
    <w:semiHidden/>
    <w:rsid w:val="00254726"/>
    <w:pPr>
      <w:ind w:left="1920" w:hanging="240"/>
      <w:jc w:val="left"/>
    </w:pPr>
    <w:rPr>
      <w:sz w:val="18"/>
      <w:szCs w:val="18"/>
    </w:rPr>
  </w:style>
  <w:style w:type="paragraph" w:styleId="Rejstk9">
    <w:name w:val="index 9"/>
    <w:basedOn w:val="Normln"/>
    <w:next w:val="Normln"/>
    <w:semiHidden/>
    <w:rsid w:val="00254726"/>
    <w:pPr>
      <w:ind w:left="2160" w:hanging="240"/>
      <w:jc w:val="left"/>
    </w:pPr>
    <w:rPr>
      <w:sz w:val="18"/>
      <w:szCs w:val="18"/>
    </w:rPr>
  </w:style>
  <w:style w:type="paragraph" w:customStyle="1" w:styleId="Rozvrendokumentu">
    <w:name w:val="Rozvržení dokumentu"/>
    <w:basedOn w:val="Normln"/>
    <w:link w:val="RozvrendokumentuChar"/>
    <w:semiHidden/>
    <w:rsid w:val="00254726"/>
    <w:pPr>
      <w:shd w:val="clear" w:color="auto" w:fill="000080"/>
    </w:pPr>
    <w:rPr>
      <w:rFonts w:ascii="Tahoma" w:hAnsi="Tahoma"/>
      <w:lang w:val="x-none" w:eastAsia="x-none"/>
    </w:rPr>
  </w:style>
  <w:style w:type="paragraph" w:styleId="Seznam2">
    <w:name w:val="List 2"/>
    <w:basedOn w:val="Normln"/>
    <w:semiHidden/>
    <w:rsid w:val="00254726"/>
    <w:pPr>
      <w:ind w:left="566" w:hanging="283"/>
    </w:pPr>
  </w:style>
  <w:style w:type="paragraph" w:styleId="Seznamobrzk">
    <w:name w:val="table of figures"/>
    <w:basedOn w:val="Normln"/>
    <w:next w:val="Normln"/>
    <w:semiHidden/>
    <w:rsid w:val="00254726"/>
    <w:pPr>
      <w:spacing w:line="240" w:lineRule="auto"/>
    </w:pPr>
    <w:rPr>
      <w:rFonts w:ascii="Arial" w:hAnsi="Arial"/>
      <w:b/>
      <w:sz w:val="22"/>
    </w:rPr>
  </w:style>
  <w:style w:type="paragraph" w:styleId="Seznamsodrkami">
    <w:name w:val="List Bullet"/>
    <w:basedOn w:val="Normln"/>
    <w:autoRedefine/>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rsid w:val="00254726"/>
  </w:style>
  <w:style w:type="paragraph" w:styleId="Zhlav">
    <w:name w:val="header"/>
    <w:basedOn w:val="Normln"/>
    <w:link w:val="ZhlavChar"/>
    <w:semiHidden/>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semiHidden/>
    <w:rsid w:val="00254726"/>
    <w:rPr>
      <w:noProof w:val="0"/>
      <w:sz w:val="20"/>
      <w:lang w:val="x-none" w:eastAsia="x-none"/>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semiHidden/>
    <w:rsid w:val="00033AD8"/>
    <w:rPr>
      <w:rFonts w:ascii="Calibri" w:eastAsia="Times" w:hAnsi="Calibri"/>
    </w:rPr>
  </w:style>
  <w:style w:type="character" w:customStyle="1" w:styleId="ZkladntextChar">
    <w:name w:val="Základní text Char"/>
    <w:link w:val="Zkladntext"/>
    <w:semiHidden/>
    <w:rsid w:val="00033AD8"/>
    <w:rPr>
      <w:rFonts w:ascii="Arial" w:eastAsia="Times" w:hAnsi="Arial" w:cs="Arial"/>
      <w:color w:val="000000"/>
      <w:sz w:val="21"/>
      <w:szCs w:val="21"/>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noProof w:val="0"/>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rsid w:val="0064024A"/>
    <w:pPr>
      <w:spacing w:before="100" w:beforeAutospacing="1" w:after="119" w:line="240" w:lineRule="auto"/>
    </w:pPr>
    <w:rPr>
      <w:rFonts w:eastAsia="Times New Roman"/>
      <w:sz w:val="22"/>
      <w:szCs w:val="22"/>
    </w:rPr>
  </w:style>
  <w:style w:type="paragraph" w:customStyle="1" w:styleId="western">
    <w:name w:val="western"/>
    <w:basedOn w:val="Normln"/>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uiPriority w:val="99"/>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semiHidden/>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rsid w:val="089F3C16"/>
    <w:rPr>
      <w:rFonts w:ascii="Calibri" w:eastAsia="Times" w:hAnsi="Calibri"/>
      <w:b/>
      <w:bCs/>
      <w:noProof/>
      <w:sz w:val="28"/>
      <w:lang w:val="x-none" w:eastAsia="x-none"/>
    </w:rPr>
  </w:style>
  <w:style w:type="character" w:customStyle="1" w:styleId="Nadpis8Char">
    <w:name w:val="Nadpis 8 Char"/>
    <w:link w:val="Nadpis8"/>
    <w:rsid w:val="089F3C16"/>
    <w:rPr>
      <w:rFonts w:ascii="Arial" w:eastAsia="Times" w:hAnsi="Arial"/>
      <w:b/>
      <w:bCs/>
      <w:noProof/>
      <w:sz w:val="32"/>
      <w:lang w:val="x-none" w:eastAsia="x-none"/>
    </w:rPr>
  </w:style>
  <w:style w:type="character" w:customStyle="1" w:styleId="Nadpis9Char">
    <w:name w:val="Nadpis 9 Char"/>
    <w:link w:val="Nadpis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character" w:customStyle="1" w:styleId="ZhlavChar">
    <w:name w:val="Záhlaví Char"/>
    <w:link w:val="Zhlav"/>
    <w:semiHidden/>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1">
    <w:name w:val="1"/>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6E6BFB"/>
  </w:style>
  <w:style w:type="paragraph" w:styleId="Revize">
    <w:name w:val="Revision"/>
    <w:hidden/>
    <w:uiPriority w:val="99"/>
    <w:semiHidden/>
    <w:rsid w:val="086E6BFB"/>
    <w:rPr>
      <w:rFonts w:ascii="Calibri" w:eastAsia="Times" w:hAnsi="Calibri"/>
      <w:noProof/>
      <w:sz w:val="24"/>
    </w:rPr>
  </w:style>
  <w:style w:type="character" w:customStyle="1" w:styleId="medium-8">
    <w:name w:val="medium-8"/>
    <w:basedOn w:val="Standardnpsmoodstavce"/>
    <w:rsid w:val="08813D9C"/>
  </w:style>
  <w:style w:type="character" w:customStyle="1" w:styleId="contributor">
    <w:name w:val="contributor"/>
    <w:rsid w:val="08695131"/>
  </w:style>
  <w:style w:type="character" w:customStyle="1" w:styleId="person">
    <w:name w:val="person"/>
    <w:rsid w:val="08FA07A9"/>
  </w:style>
  <w:style w:type="character" w:customStyle="1" w:styleId="ektkfwmypwzmkoyr0gym">
    <w:name w:val="ektkfwmypwzmkoyr0gym"/>
    <w:rsid w:val="00CC75F3"/>
  </w:style>
  <w:style w:type="character" w:customStyle="1" w:styleId="ky2igmncmogjharherah">
    <w:name w:val="ky2igmncmogjharherah"/>
    <w:rsid w:val="000F31C7"/>
  </w:style>
  <w:style w:type="paragraph" w:customStyle="1" w:styleId="Zkladntext44">
    <w:name w:val="Základní text4"/>
    <w:basedOn w:val="Normln"/>
    <w:rsid w:val="004075BB"/>
    <w:pPr>
      <w:widowControl w:val="0"/>
      <w:shd w:val="clear" w:color="auto" w:fill="FFFFFF"/>
      <w:spacing w:line="264" w:lineRule="exact"/>
      <w:ind w:hanging="1060"/>
      <w:jc w:val="center"/>
    </w:pPr>
    <w:rPr>
      <w:rFonts w:ascii="Georgia" w:eastAsia="Georgia" w:hAnsi="Georgia" w:cs="Georgia"/>
      <w:noProof w:val="0"/>
      <w:color w:val="000000"/>
      <w:sz w:val="17"/>
      <w:szCs w:val="17"/>
      <w:lang w:val="l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5881461">
      <w:bodyDiv w:val="1"/>
      <w:marLeft w:val="0"/>
      <w:marRight w:val="0"/>
      <w:marTop w:val="0"/>
      <w:marBottom w:val="0"/>
      <w:divBdr>
        <w:top w:val="none" w:sz="0" w:space="0" w:color="auto"/>
        <w:left w:val="none" w:sz="0" w:space="0" w:color="auto"/>
        <w:bottom w:val="none" w:sz="0" w:space="0" w:color="auto"/>
        <w:right w:val="none" w:sz="0" w:space="0" w:color="auto"/>
      </w:divBdr>
      <w:divsChild>
        <w:div w:id="92746962">
          <w:marLeft w:val="0"/>
          <w:marRight w:val="0"/>
          <w:marTop w:val="0"/>
          <w:marBottom w:val="0"/>
          <w:divBdr>
            <w:top w:val="none" w:sz="0" w:space="0" w:color="auto"/>
            <w:left w:val="none" w:sz="0" w:space="0" w:color="auto"/>
            <w:bottom w:val="none" w:sz="0" w:space="0" w:color="auto"/>
            <w:right w:val="none" w:sz="0" w:space="0" w:color="auto"/>
          </w:divBdr>
          <w:divsChild>
            <w:div w:id="535317046">
              <w:marLeft w:val="0"/>
              <w:marRight w:val="0"/>
              <w:marTop w:val="0"/>
              <w:marBottom w:val="0"/>
              <w:divBdr>
                <w:top w:val="none" w:sz="0" w:space="0" w:color="auto"/>
                <w:left w:val="none" w:sz="0" w:space="0" w:color="auto"/>
                <w:bottom w:val="none" w:sz="0" w:space="0" w:color="auto"/>
                <w:right w:val="none" w:sz="0" w:space="0" w:color="auto"/>
              </w:divBdr>
            </w:div>
            <w:div w:id="1421483338">
              <w:marLeft w:val="0"/>
              <w:marRight w:val="0"/>
              <w:marTop w:val="0"/>
              <w:marBottom w:val="0"/>
              <w:divBdr>
                <w:top w:val="none" w:sz="0" w:space="0" w:color="auto"/>
                <w:left w:val="none" w:sz="0" w:space="0" w:color="auto"/>
                <w:bottom w:val="none" w:sz="0" w:space="0" w:color="auto"/>
                <w:right w:val="none" w:sz="0" w:space="0" w:color="auto"/>
              </w:divBdr>
            </w:div>
            <w:div w:id="1465582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069261">
      <w:bodyDiv w:val="1"/>
      <w:marLeft w:val="0"/>
      <w:marRight w:val="0"/>
      <w:marTop w:val="0"/>
      <w:marBottom w:val="0"/>
      <w:divBdr>
        <w:top w:val="none" w:sz="0" w:space="0" w:color="auto"/>
        <w:left w:val="none" w:sz="0" w:space="0" w:color="auto"/>
        <w:bottom w:val="none" w:sz="0" w:space="0" w:color="auto"/>
        <w:right w:val="none" w:sz="0" w:space="0" w:color="auto"/>
      </w:divBdr>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6260771">
      <w:bodyDiv w:val="1"/>
      <w:marLeft w:val="0"/>
      <w:marRight w:val="0"/>
      <w:marTop w:val="0"/>
      <w:marBottom w:val="0"/>
      <w:divBdr>
        <w:top w:val="none" w:sz="0" w:space="0" w:color="auto"/>
        <w:left w:val="none" w:sz="0" w:space="0" w:color="auto"/>
        <w:bottom w:val="none" w:sz="0" w:space="0" w:color="auto"/>
        <w:right w:val="none" w:sz="0" w:space="0" w:color="auto"/>
      </w:divBdr>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499975537">
      <w:bodyDiv w:val="1"/>
      <w:marLeft w:val="0"/>
      <w:marRight w:val="0"/>
      <w:marTop w:val="0"/>
      <w:marBottom w:val="0"/>
      <w:divBdr>
        <w:top w:val="none" w:sz="0" w:space="0" w:color="auto"/>
        <w:left w:val="none" w:sz="0" w:space="0" w:color="auto"/>
        <w:bottom w:val="none" w:sz="0" w:space="0" w:color="auto"/>
        <w:right w:val="none" w:sz="0" w:space="0" w:color="auto"/>
      </w:divBdr>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003531">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19386390">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7392126">
      <w:bodyDiv w:val="1"/>
      <w:marLeft w:val="0"/>
      <w:marRight w:val="0"/>
      <w:marTop w:val="0"/>
      <w:marBottom w:val="0"/>
      <w:divBdr>
        <w:top w:val="none" w:sz="0" w:space="0" w:color="auto"/>
        <w:left w:val="none" w:sz="0" w:space="0" w:color="auto"/>
        <w:bottom w:val="none" w:sz="0" w:space="0" w:color="auto"/>
        <w:right w:val="none" w:sz="0" w:space="0" w:color="auto"/>
      </w:divBdr>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432053">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944487">
      <w:bodyDiv w:val="1"/>
      <w:marLeft w:val="0"/>
      <w:marRight w:val="0"/>
      <w:marTop w:val="0"/>
      <w:marBottom w:val="0"/>
      <w:divBdr>
        <w:top w:val="none" w:sz="0" w:space="0" w:color="auto"/>
        <w:left w:val="none" w:sz="0" w:space="0" w:color="auto"/>
        <w:bottom w:val="none" w:sz="0" w:space="0" w:color="auto"/>
        <w:right w:val="none" w:sz="0" w:space="0" w:color="auto"/>
      </w:divBdr>
    </w:div>
    <w:div w:id="670722022">
      <w:bodyDiv w:val="1"/>
      <w:marLeft w:val="0"/>
      <w:marRight w:val="0"/>
      <w:marTop w:val="0"/>
      <w:marBottom w:val="0"/>
      <w:divBdr>
        <w:top w:val="none" w:sz="0" w:space="0" w:color="auto"/>
        <w:left w:val="none" w:sz="0" w:space="0" w:color="auto"/>
        <w:bottom w:val="none" w:sz="0" w:space="0" w:color="auto"/>
        <w:right w:val="none" w:sz="0" w:space="0" w:color="auto"/>
      </w:divBdr>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8586000">
      <w:bodyDiv w:val="1"/>
      <w:marLeft w:val="0"/>
      <w:marRight w:val="0"/>
      <w:marTop w:val="0"/>
      <w:marBottom w:val="0"/>
      <w:divBdr>
        <w:top w:val="none" w:sz="0" w:space="0" w:color="auto"/>
        <w:left w:val="none" w:sz="0" w:space="0" w:color="auto"/>
        <w:bottom w:val="none" w:sz="0" w:space="0" w:color="auto"/>
        <w:right w:val="none" w:sz="0" w:space="0" w:color="auto"/>
      </w:divBdr>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68504726">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473037">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64738046">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616598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230640">
      <w:bodyDiv w:val="1"/>
      <w:marLeft w:val="0"/>
      <w:marRight w:val="0"/>
      <w:marTop w:val="0"/>
      <w:marBottom w:val="0"/>
      <w:divBdr>
        <w:top w:val="none" w:sz="0" w:space="0" w:color="auto"/>
        <w:left w:val="none" w:sz="0" w:space="0" w:color="auto"/>
        <w:bottom w:val="none" w:sz="0" w:space="0" w:color="auto"/>
        <w:right w:val="none" w:sz="0" w:space="0" w:color="auto"/>
      </w:divBdr>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2844167">
      <w:bodyDiv w:val="1"/>
      <w:marLeft w:val="0"/>
      <w:marRight w:val="0"/>
      <w:marTop w:val="0"/>
      <w:marBottom w:val="0"/>
      <w:divBdr>
        <w:top w:val="none" w:sz="0" w:space="0" w:color="auto"/>
        <w:left w:val="none" w:sz="0" w:space="0" w:color="auto"/>
        <w:bottom w:val="none" w:sz="0" w:space="0" w:color="auto"/>
        <w:right w:val="none" w:sz="0" w:space="0" w:color="auto"/>
      </w:divBdr>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archive.org/stream/operaomniaiussui5thom"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archive.org/stream/operaomniaiussui5thom"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persee.fr/issue/efr_0000-0000_1981_act_51_1?sectionId=efr_0000-0000_1981_act_51_1_1370"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G:\Scanning\Stredovek\Signifikace\Dialogus%20Ratii%20et%20Everardi.doc" TargetMode="External"/><Relationship Id="rId20" Type="http://schemas.openxmlformats.org/officeDocument/2006/relationships/hyperlink" Target="http://archive.org/stream/operaomniaiussui5th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G:\Cetba\Filosofie\Antika\Augustinus\Augustinus%20-%20De_Genesi_ad_Litteram_Libri_Duodecim.doc" TargetMode="External"/><Relationship Id="rId24" Type="http://schemas.openxmlformats.org/officeDocument/2006/relationships/hyperlink" Target="http://www.hermaion.cz" TargetMode="Externa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hyperlink" Target="http://archive.org/stream/operaomniaiussui10thom" TargetMode="External"/><Relationship Id="rId10" Type="http://schemas.openxmlformats.org/officeDocument/2006/relationships/hyperlink" Target="file:///E:\Dokumenty\Cetba\Filosofie\Antika\Augustinus\Augustinus%20-%20De_Genesi_ad_Litteram_Libri_Duodecim.doc" TargetMode="External"/><Relationship Id="rId19" Type="http://schemas.openxmlformats.org/officeDocument/2006/relationships/hyperlink" Target="http://archive.org/stream/operaomniaiussui5thom" TargetMode="Externa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oter" Target="footer3.xml"/><Relationship Id="rId22" Type="http://schemas.openxmlformats.org/officeDocument/2006/relationships/hyperlink" Target="http://archive.org/stream/operaomniaiussui10thom" TargetMode="External"/><Relationship Id="rId27" Type="http://schemas.microsoft.com/office/2011/relationships/commentsExtended" Target="commentsExtended.xml"/></Relationships>
</file>

<file path=word/_rels/footnotes.xml.rels><?xml version="1.0" encoding="UTF-8" standalone="yes"?>
<Relationships xmlns="http://schemas.openxmlformats.org/package/2006/relationships"><Relationship Id="rId1" Type="http://schemas.openxmlformats.org/officeDocument/2006/relationships/hyperlink" Target="http://rrp.stanford.edu"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0FEB68-CFBE-4389-A3F0-189FA5CCB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9638</TotalTime>
  <Pages>582</Pages>
  <Words>306403</Words>
  <Characters>1807781</Characters>
  <Application>Microsoft Office Word</Application>
  <DocSecurity>0</DocSecurity>
  <Lines>15064</Lines>
  <Paragraphs>4219</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2109965</CharactersWithSpaces>
  <SharedDoc>false</SharedDoc>
  <HLinks>
    <vt:vector size="342" baseType="variant">
      <vt:variant>
        <vt:i4>1769535</vt:i4>
      </vt:variant>
      <vt:variant>
        <vt:i4>305</vt:i4>
      </vt:variant>
      <vt:variant>
        <vt:i4>0</vt:i4>
      </vt:variant>
      <vt:variant>
        <vt:i4>5</vt:i4>
      </vt:variant>
      <vt:variant>
        <vt:lpwstr/>
      </vt:variant>
      <vt:variant>
        <vt:lpwstr>_Toc12558338</vt:lpwstr>
      </vt:variant>
      <vt:variant>
        <vt:i4>1310783</vt:i4>
      </vt:variant>
      <vt:variant>
        <vt:i4>299</vt:i4>
      </vt:variant>
      <vt:variant>
        <vt:i4>0</vt:i4>
      </vt:variant>
      <vt:variant>
        <vt:i4>5</vt:i4>
      </vt:variant>
      <vt:variant>
        <vt:lpwstr/>
      </vt:variant>
      <vt:variant>
        <vt:lpwstr>_Toc12558337</vt:lpwstr>
      </vt:variant>
      <vt:variant>
        <vt:i4>1376319</vt:i4>
      </vt:variant>
      <vt:variant>
        <vt:i4>293</vt:i4>
      </vt:variant>
      <vt:variant>
        <vt:i4>0</vt:i4>
      </vt:variant>
      <vt:variant>
        <vt:i4>5</vt:i4>
      </vt:variant>
      <vt:variant>
        <vt:lpwstr/>
      </vt:variant>
      <vt:variant>
        <vt:lpwstr>_Toc12558336</vt:lpwstr>
      </vt:variant>
      <vt:variant>
        <vt:i4>1441855</vt:i4>
      </vt:variant>
      <vt:variant>
        <vt:i4>287</vt:i4>
      </vt:variant>
      <vt:variant>
        <vt:i4>0</vt:i4>
      </vt:variant>
      <vt:variant>
        <vt:i4>5</vt:i4>
      </vt:variant>
      <vt:variant>
        <vt:lpwstr/>
      </vt:variant>
      <vt:variant>
        <vt:lpwstr>_Toc12558335</vt:lpwstr>
      </vt:variant>
      <vt:variant>
        <vt:i4>1507391</vt:i4>
      </vt:variant>
      <vt:variant>
        <vt:i4>281</vt:i4>
      </vt:variant>
      <vt:variant>
        <vt:i4>0</vt:i4>
      </vt:variant>
      <vt:variant>
        <vt:i4>5</vt:i4>
      </vt:variant>
      <vt:variant>
        <vt:lpwstr/>
      </vt:variant>
      <vt:variant>
        <vt:lpwstr>_Toc12558334</vt:lpwstr>
      </vt:variant>
      <vt:variant>
        <vt:i4>1048639</vt:i4>
      </vt:variant>
      <vt:variant>
        <vt:i4>275</vt:i4>
      </vt:variant>
      <vt:variant>
        <vt:i4>0</vt:i4>
      </vt:variant>
      <vt:variant>
        <vt:i4>5</vt:i4>
      </vt:variant>
      <vt:variant>
        <vt:lpwstr/>
      </vt:variant>
      <vt:variant>
        <vt:lpwstr>_Toc12558333</vt:lpwstr>
      </vt:variant>
      <vt:variant>
        <vt:i4>1114175</vt:i4>
      </vt:variant>
      <vt:variant>
        <vt:i4>269</vt:i4>
      </vt:variant>
      <vt:variant>
        <vt:i4>0</vt:i4>
      </vt:variant>
      <vt:variant>
        <vt:i4>5</vt:i4>
      </vt:variant>
      <vt:variant>
        <vt:lpwstr/>
      </vt:variant>
      <vt:variant>
        <vt:lpwstr>_Toc12558332</vt:lpwstr>
      </vt:variant>
      <vt:variant>
        <vt:i4>1179711</vt:i4>
      </vt:variant>
      <vt:variant>
        <vt:i4>263</vt:i4>
      </vt:variant>
      <vt:variant>
        <vt:i4>0</vt:i4>
      </vt:variant>
      <vt:variant>
        <vt:i4>5</vt:i4>
      </vt:variant>
      <vt:variant>
        <vt:lpwstr/>
      </vt:variant>
      <vt:variant>
        <vt:lpwstr>_Toc12558331</vt:lpwstr>
      </vt:variant>
      <vt:variant>
        <vt:i4>1245247</vt:i4>
      </vt:variant>
      <vt:variant>
        <vt:i4>257</vt:i4>
      </vt:variant>
      <vt:variant>
        <vt:i4>0</vt:i4>
      </vt:variant>
      <vt:variant>
        <vt:i4>5</vt:i4>
      </vt:variant>
      <vt:variant>
        <vt:lpwstr/>
      </vt:variant>
      <vt:variant>
        <vt:lpwstr>_Toc12558330</vt:lpwstr>
      </vt:variant>
      <vt:variant>
        <vt:i4>1703998</vt:i4>
      </vt:variant>
      <vt:variant>
        <vt:i4>251</vt:i4>
      </vt:variant>
      <vt:variant>
        <vt:i4>0</vt:i4>
      </vt:variant>
      <vt:variant>
        <vt:i4>5</vt:i4>
      </vt:variant>
      <vt:variant>
        <vt:lpwstr/>
      </vt:variant>
      <vt:variant>
        <vt:lpwstr>_Toc12558329</vt:lpwstr>
      </vt:variant>
      <vt:variant>
        <vt:i4>1769534</vt:i4>
      </vt:variant>
      <vt:variant>
        <vt:i4>245</vt:i4>
      </vt:variant>
      <vt:variant>
        <vt:i4>0</vt:i4>
      </vt:variant>
      <vt:variant>
        <vt:i4>5</vt:i4>
      </vt:variant>
      <vt:variant>
        <vt:lpwstr/>
      </vt:variant>
      <vt:variant>
        <vt:lpwstr>_Toc12558328</vt:lpwstr>
      </vt:variant>
      <vt:variant>
        <vt:i4>1310782</vt:i4>
      </vt:variant>
      <vt:variant>
        <vt:i4>239</vt:i4>
      </vt:variant>
      <vt:variant>
        <vt:i4>0</vt:i4>
      </vt:variant>
      <vt:variant>
        <vt:i4>5</vt:i4>
      </vt:variant>
      <vt:variant>
        <vt:lpwstr/>
      </vt:variant>
      <vt:variant>
        <vt:lpwstr>_Toc12558327</vt:lpwstr>
      </vt:variant>
      <vt:variant>
        <vt:i4>1376318</vt:i4>
      </vt:variant>
      <vt:variant>
        <vt:i4>233</vt:i4>
      </vt:variant>
      <vt:variant>
        <vt:i4>0</vt:i4>
      </vt:variant>
      <vt:variant>
        <vt:i4>5</vt:i4>
      </vt:variant>
      <vt:variant>
        <vt:lpwstr/>
      </vt:variant>
      <vt:variant>
        <vt:lpwstr>_Toc12558326</vt:lpwstr>
      </vt:variant>
      <vt:variant>
        <vt:i4>1441854</vt:i4>
      </vt:variant>
      <vt:variant>
        <vt:i4>227</vt:i4>
      </vt:variant>
      <vt:variant>
        <vt:i4>0</vt:i4>
      </vt:variant>
      <vt:variant>
        <vt:i4>5</vt:i4>
      </vt:variant>
      <vt:variant>
        <vt:lpwstr/>
      </vt:variant>
      <vt:variant>
        <vt:lpwstr>_Toc12558325</vt:lpwstr>
      </vt:variant>
      <vt:variant>
        <vt:i4>1507390</vt:i4>
      </vt:variant>
      <vt:variant>
        <vt:i4>221</vt:i4>
      </vt:variant>
      <vt:variant>
        <vt:i4>0</vt:i4>
      </vt:variant>
      <vt:variant>
        <vt:i4>5</vt:i4>
      </vt:variant>
      <vt:variant>
        <vt:lpwstr/>
      </vt:variant>
      <vt:variant>
        <vt:lpwstr>_Toc12558324</vt:lpwstr>
      </vt:variant>
      <vt:variant>
        <vt:i4>1048638</vt:i4>
      </vt:variant>
      <vt:variant>
        <vt:i4>215</vt:i4>
      </vt:variant>
      <vt:variant>
        <vt:i4>0</vt:i4>
      </vt:variant>
      <vt:variant>
        <vt:i4>5</vt:i4>
      </vt:variant>
      <vt:variant>
        <vt:lpwstr/>
      </vt:variant>
      <vt:variant>
        <vt:lpwstr>_Toc12558323</vt:lpwstr>
      </vt:variant>
      <vt:variant>
        <vt:i4>1114174</vt:i4>
      </vt:variant>
      <vt:variant>
        <vt:i4>209</vt:i4>
      </vt:variant>
      <vt:variant>
        <vt:i4>0</vt:i4>
      </vt:variant>
      <vt:variant>
        <vt:i4>5</vt:i4>
      </vt:variant>
      <vt:variant>
        <vt:lpwstr/>
      </vt:variant>
      <vt:variant>
        <vt:lpwstr>_Toc12558322</vt:lpwstr>
      </vt:variant>
      <vt:variant>
        <vt:i4>1179710</vt:i4>
      </vt:variant>
      <vt:variant>
        <vt:i4>203</vt:i4>
      </vt:variant>
      <vt:variant>
        <vt:i4>0</vt:i4>
      </vt:variant>
      <vt:variant>
        <vt:i4>5</vt:i4>
      </vt:variant>
      <vt:variant>
        <vt:lpwstr/>
      </vt:variant>
      <vt:variant>
        <vt:lpwstr>_Toc12558321</vt:lpwstr>
      </vt:variant>
      <vt:variant>
        <vt:i4>1245246</vt:i4>
      </vt:variant>
      <vt:variant>
        <vt:i4>197</vt:i4>
      </vt:variant>
      <vt:variant>
        <vt:i4>0</vt:i4>
      </vt:variant>
      <vt:variant>
        <vt:i4>5</vt:i4>
      </vt:variant>
      <vt:variant>
        <vt:lpwstr/>
      </vt:variant>
      <vt:variant>
        <vt:lpwstr>_Toc12558320</vt:lpwstr>
      </vt:variant>
      <vt:variant>
        <vt:i4>1703997</vt:i4>
      </vt:variant>
      <vt:variant>
        <vt:i4>191</vt:i4>
      </vt:variant>
      <vt:variant>
        <vt:i4>0</vt:i4>
      </vt:variant>
      <vt:variant>
        <vt:i4>5</vt:i4>
      </vt:variant>
      <vt:variant>
        <vt:lpwstr/>
      </vt:variant>
      <vt:variant>
        <vt:lpwstr>_Toc12558319</vt:lpwstr>
      </vt:variant>
      <vt:variant>
        <vt:i4>1769533</vt:i4>
      </vt:variant>
      <vt:variant>
        <vt:i4>185</vt:i4>
      </vt:variant>
      <vt:variant>
        <vt:i4>0</vt:i4>
      </vt:variant>
      <vt:variant>
        <vt:i4>5</vt:i4>
      </vt:variant>
      <vt:variant>
        <vt:lpwstr/>
      </vt:variant>
      <vt:variant>
        <vt:lpwstr>_Toc12558318</vt:lpwstr>
      </vt:variant>
      <vt:variant>
        <vt:i4>1310781</vt:i4>
      </vt:variant>
      <vt:variant>
        <vt:i4>179</vt:i4>
      </vt:variant>
      <vt:variant>
        <vt:i4>0</vt:i4>
      </vt:variant>
      <vt:variant>
        <vt:i4>5</vt:i4>
      </vt:variant>
      <vt:variant>
        <vt:lpwstr/>
      </vt:variant>
      <vt:variant>
        <vt:lpwstr>_Toc12558317</vt:lpwstr>
      </vt:variant>
      <vt:variant>
        <vt:i4>1376317</vt:i4>
      </vt:variant>
      <vt:variant>
        <vt:i4>173</vt:i4>
      </vt:variant>
      <vt:variant>
        <vt:i4>0</vt:i4>
      </vt:variant>
      <vt:variant>
        <vt:i4>5</vt:i4>
      </vt:variant>
      <vt:variant>
        <vt:lpwstr/>
      </vt:variant>
      <vt:variant>
        <vt:lpwstr>_Toc12558316</vt:lpwstr>
      </vt:variant>
      <vt:variant>
        <vt:i4>1441853</vt:i4>
      </vt:variant>
      <vt:variant>
        <vt:i4>167</vt:i4>
      </vt:variant>
      <vt:variant>
        <vt:i4>0</vt:i4>
      </vt:variant>
      <vt:variant>
        <vt:i4>5</vt:i4>
      </vt:variant>
      <vt:variant>
        <vt:lpwstr/>
      </vt:variant>
      <vt:variant>
        <vt:lpwstr>_Toc12558315</vt:lpwstr>
      </vt:variant>
      <vt:variant>
        <vt:i4>1507389</vt:i4>
      </vt:variant>
      <vt:variant>
        <vt:i4>161</vt:i4>
      </vt:variant>
      <vt:variant>
        <vt:i4>0</vt:i4>
      </vt:variant>
      <vt:variant>
        <vt:i4>5</vt:i4>
      </vt:variant>
      <vt:variant>
        <vt:lpwstr/>
      </vt:variant>
      <vt:variant>
        <vt:lpwstr>_Toc12558314</vt:lpwstr>
      </vt:variant>
      <vt:variant>
        <vt:i4>1048637</vt:i4>
      </vt:variant>
      <vt:variant>
        <vt:i4>155</vt:i4>
      </vt:variant>
      <vt:variant>
        <vt:i4>0</vt:i4>
      </vt:variant>
      <vt:variant>
        <vt:i4>5</vt:i4>
      </vt:variant>
      <vt:variant>
        <vt:lpwstr/>
      </vt:variant>
      <vt:variant>
        <vt:lpwstr>_Toc12558313</vt:lpwstr>
      </vt:variant>
      <vt:variant>
        <vt:i4>1114173</vt:i4>
      </vt:variant>
      <vt:variant>
        <vt:i4>149</vt:i4>
      </vt:variant>
      <vt:variant>
        <vt:i4>0</vt:i4>
      </vt:variant>
      <vt:variant>
        <vt:i4>5</vt:i4>
      </vt:variant>
      <vt:variant>
        <vt:lpwstr/>
      </vt:variant>
      <vt:variant>
        <vt:lpwstr>_Toc12558312</vt:lpwstr>
      </vt:variant>
      <vt:variant>
        <vt:i4>1179709</vt:i4>
      </vt:variant>
      <vt:variant>
        <vt:i4>143</vt:i4>
      </vt:variant>
      <vt:variant>
        <vt:i4>0</vt:i4>
      </vt:variant>
      <vt:variant>
        <vt:i4>5</vt:i4>
      </vt:variant>
      <vt:variant>
        <vt:lpwstr/>
      </vt:variant>
      <vt:variant>
        <vt:lpwstr>_Toc12558311</vt:lpwstr>
      </vt:variant>
      <vt:variant>
        <vt:i4>1245245</vt:i4>
      </vt:variant>
      <vt:variant>
        <vt:i4>137</vt:i4>
      </vt:variant>
      <vt:variant>
        <vt:i4>0</vt:i4>
      </vt:variant>
      <vt:variant>
        <vt:i4>5</vt:i4>
      </vt:variant>
      <vt:variant>
        <vt:lpwstr/>
      </vt:variant>
      <vt:variant>
        <vt:lpwstr>_Toc12558310</vt:lpwstr>
      </vt:variant>
      <vt:variant>
        <vt:i4>1703996</vt:i4>
      </vt:variant>
      <vt:variant>
        <vt:i4>131</vt:i4>
      </vt:variant>
      <vt:variant>
        <vt:i4>0</vt:i4>
      </vt:variant>
      <vt:variant>
        <vt:i4>5</vt:i4>
      </vt:variant>
      <vt:variant>
        <vt:lpwstr/>
      </vt:variant>
      <vt:variant>
        <vt:lpwstr>_Toc12558309</vt:lpwstr>
      </vt:variant>
      <vt:variant>
        <vt:i4>1769532</vt:i4>
      </vt:variant>
      <vt:variant>
        <vt:i4>125</vt:i4>
      </vt:variant>
      <vt:variant>
        <vt:i4>0</vt:i4>
      </vt:variant>
      <vt:variant>
        <vt:i4>5</vt:i4>
      </vt:variant>
      <vt:variant>
        <vt:lpwstr/>
      </vt:variant>
      <vt:variant>
        <vt:lpwstr>_Toc12558308</vt:lpwstr>
      </vt:variant>
      <vt:variant>
        <vt:i4>1310780</vt:i4>
      </vt:variant>
      <vt:variant>
        <vt:i4>119</vt:i4>
      </vt:variant>
      <vt:variant>
        <vt:i4>0</vt:i4>
      </vt:variant>
      <vt:variant>
        <vt:i4>5</vt:i4>
      </vt:variant>
      <vt:variant>
        <vt:lpwstr/>
      </vt:variant>
      <vt:variant>
        <vt:lpwstr>_Toc12558307</vt:lpwstr>
      </vt:variant>
      <vt:variant>
        <vt:i4>1376316</vt:i4>
      </vt:variant>
      <vt:variant>
        <vt:i4>113</vt:i4>
      </vt:variant>
      <vt:variant>
        <vt:i4>0</vt:i4>
      </vt:variant>
      <vt:variant>
        <vt:i4>5</vt:i4>
      </vt:variant>
      <vt:variant>
        <vt:lpwstr/>
      </vt:variant>
      <vt:variant>
        <vt:lpwstr>_Toc12558306</vt:lpwstr>
      </vt:variant>
      <vt:variant>
        <vt:i4>1441852</vt:i4>
      </vt:variant>
      <vt:variant>
        <vt:i4>107</vt:i4>
      </vt:variant>
      <vt:variant>
        <vt:i4>0</vt:i4>
      </vt:variant>
      <vt:variant>
        <vt:i4>5</vt:i4>
      </vt:variant>
      <vt:variant>
        <vt:lpwstr/>
      </vt:variant>
      <vt:variant>
        <vt:lpwstr>_Toc12558305</vt:lpwstr>
      </vt:variant>
      <vt:variant>
        <vt:i4>1507388</vt:i4>
      </vt:variant>
      <vt:variant>
        <vt:i4>101</vt:i4>
      </vt:variant>
      <vt:variant>
        <vt:i4>0</vt:i4>
      </vt:variant>
      <vt:variant>
        <vt:i4>5</vt:i4>
      </vt:variant>
      <vt:variant>
        <vt:lpwstr/>
      </vt:variant>
      <vt:variant>
        <vt:lpwstr>_Toc12558304</vt:lpwstr>
      </vt:variant>
      <vt:variant>
        <vt:i4>1048636</vt:i4>
      </vt:variant>
      <vt:variant>
        <vt:i4>95</vt:i4>
      </vt:variant>
      <vt:variant>
        <vt:i4>0</vt:i4>
      </vt:variant>
      <vt:variant>
        <vt:i4>5</vt:i4>
      </vt:variant>
      <vt:variant>
        <vt:lpwstr/>
      </vt:variant>
      <vt:variant>
        <vt:lpwstr>_Toc12558303</vt:lpwstr>
      </vt:variant>
      <vt:variant>
        <vt:i4>1114172</vt:i4>
      </vt:variant>
      <vt:variant>
        <vt:i4>89</vt:i4>
      </vt:variant>
      <vt:variant>
        <vt:i4>0</vt:i4>
      </vt:variant>
      <vt:variant>
        <vt:i4>5</vt:i4>
      </vt:variant>
      <vt:variant>
        <vt:lpwstr/>
      </vt:variant>
      <vt:variant>
        <vt:lpwstr>_Toc12558302</vt:lpwstr>
      </vt:variant>
      <vt:variant>
        <vt:i4>1179708</vt:i4>
      </vt:variant>
      <vt:variant>
        <vt:i4>83</vt:i4>
      </vt:variant>
      <vt:variant>
        <vt:i4>0</vt:i4>
      </vt:variant>
      <vt:variant>
        <vt:i4>5</vt:i4>
      </vt:variant>
      <vt:variant>
        <vt:lpwstr/>
      </vt:variant>
      <vt:variant>
        <vt:lpwstr>_Toc12558301</vt:lpwstr>
      </vt:variant>
      <vt:variant>
        <vt:i4>1245244</vt:i4>
      </vt:variant>
      <vt:variant>
        <vt:i4>77</vt:i4>
      </vt:variant>
      <vt:variant>
        <vt:i4>0</vt:i4>
      </vt:variant>
      <vt:variant>
        <vt:i4>5</vt:i4>
      </vt:variant>
      <vt:variant>
        <vt:lpwstr/>
      </vt:variant>
      <vt:variant>
        <vt:lpwstr>_Toc12558300</vt:lpwstr>
      </vt:variant>
      <vt:variant>
        <vt:i4>1769525</vt:i4>
      </vt:variant>
      <vt:variant>
        <vt:i4>71</vt:i4>
      </vt:variant>
      <vt:variant>
        <vt:i4>0</vt:i4>
      </vt:variant>
      <vt:variant>
        <vt:i4>5</vt:i4>
      </vt:variant>
      <vt:variant>
        <vt:lpwstr/>
      </vt:variant>
      <vt:variant>
        <vt:lpwstr>_Toc12558299</vt:lpwstr>
      </vt:variant>
      <vt:variant>
        <vt:i4>1703989</vt:i4>
      </vt:variant>
      <vt:variant>
        <vt:i4>65</vt:i4>
      </vt:variant>
      <vt:variant>
        <vt:i4>0</vt:i4>
      </vt:variant>
      <vt:variant>
        <vt:i4>5</vt:i4>
      </vt:variant>
      <vt:variant>
        <vt:lpwstr/>
      </vt:variant>
      <vt:variant>
        <vt:lpwstr>_Toc12558298</vt:lpwstr>
      </vt:variant>
      <vt:variant>
        <vt:i4>1376309</vt:i4>
      </vt:variant>
      <vt:variant>
        <vt:i4>59</vt:i4>
      </vt:variant>
      <vt:variant>
        <vt:i4>0</vt:i4>
      </vt:variant>
      <vt:variant>
        <vt:i4>5</vt:i4>
      </vt:variant>
      <vt:variant>
        <vt:lpwstr/>
      </vt:variant>
      <vt:variant>
        <vt:lpwstr>_Toc12558297</vt:lpwstr>
      </vt:variant>
      <vt:variant>
        <vt:i4>1310773</vt:i4>
      </vt:variant>
      <vt:variant>
        <vt:i4>53</vt:i4>
      </vt:variant>
      <vt:variant>
        <vt:i4>0</vt:i4>
      </vt:variant>
      <vt:variant>
        <vt:i4>5</vt:i4>
      </vt:variant>
      <vt:variant>
        <vt:lpwstr/>
      </vt:variant>
      <vt:variant>
        <vt:lpwstr>_Toc12558296</vt:lpwstr>
      </vt:variant>
      <vt:variant>
        <vt:i4>1507381</vt:i4>
      </vt:variant>
      <vt:variant>
        <vt:i4>47</vt:i4>
      </vt:variant>
      <vt:variant>
        <vt:i4>0</vt:i4>
      </vt:variant>
      <vt:variant>
        <vt:i4>5</vt:i4>
      </vt:variant>
      <vt:variant>
        <vt:lpwstr/>
      </vt:variant>
      <vt:variant>
        <vt:lpwstr>_Toc12558295</vt:lpwstr>
      </vt:variant>
      <vt:variant>
        <vt:i4>1441845</vt:i4>
      </vt:variant>
      <vt:variant>
        <vt:i4>41</vt:i4>
      </vt:variant>
      <vt:variant>
        <vt:i4>0</vt:i4>
      </vt:variant>
      <vt:variant>
        <vt:i4>5</vt:i4>
      </vt:variant>
      <vt:variant>
        <vt:lpwstr/>
      </vt:variant>
      <vt:variant>
        <vt:lpwstr>_Toc12558294</vt:lpwstr>
      </vt:variant>
      <vt:variant>
        <vt:i4>1114165</vt:i4>
      </vt:variant>
      <vt:variant>
        <vt:i4>35</vt:i4>
      </vt:variant>
      <vt:variant>
        <vt:i4>0</vt:i4>
      </vt:variant>
      <vt:variant>
        <vt:i4>5</vt:i4>
      </vt:variant>
      <vt:variant>
        <vt:lpwstr/>
      </vt:variant>
      <vt:variant>
        <vt:lpwstr>_Toc12558293</vt:lpwstr>
      </vt:variant>
      <vt:variant>
        <vt:i4>5701662</vt:i4>
      </vt:variant>
      <vt:variant>
        <vt:i4>30</vt:i4>
      </vt:variant>
      <vt:variant>
        <vt:i4>0</vt:i4>
      </vt:variant>
      <vt:variant>
        <vt:i4>5</vt:i4>
      </vt:variant>
      <vt:variant>
        <vt:lpwstr>http://archive.org/stream/operaomniaiussui10thom</vt:lpwstr>
      </vt:variant>
      <vt:variant>
        <vt:lpwstr>page/n5/mode/2up</vt:lpwstr>
      </vt:variant>
      <vt:variant>
        <vt:i4>5701662</vt:i4>
      </vt:variant>
      <vt:variant>
        <vt:i4>27</vt:i4>
      </vt:variant>
      <vt:variant>
        <vt:i4>0</vt:i4>
      </vt:variant>
      <vt:variant>
        <vt:i4>5</vt:i4>
      </vt:variant>
      <vt:variant>
        <vt:lpwstr>http://archive.org/stream/operaomniaiussui10thom</vt:lpwstr>
      </vt:variant>
      <vt:variant>
        <vt:lpwstr>page/n5/mode/2up</vt:lpwstr>
      </vt:variant>
      <vt:variant>
        <vt:i4>7929964</vt:i4>
      </vt:variant>
      <vt:variant>
        <vt:i4>24</vt:i4>
      </vt:variant>
      <vt:variant>
        <vt:i4>0</vt:i4>
      </vt:variant>
      <vt:variant>
        <vt:i4>5</vt:i4>
      </vt:variant>
      <vt:variant>
        <vt:lpwstr>http://archive.org/stream/operaomniaiussui5thom</vt:lpwstr>
      </vt:variant>
      <vt:variant>
        <vt:lpwstr>page/n0/mode/2up</vt:lpwstr>
      </vt:variant>
      <vt:variant>
        <vt:i4>7929964</vt:i4>
      </vt:variant>
      <vt:variant>
        <vt:i4>21</vt:i4>
      </vt:variant>
      <vt:variant>
        <vt:i4>0</vt:i4>
      </vt:variant>
      <vt:variant>
        <vt:i4>5</vt:i4>
      </vt:variant>
      <vt:variant>
        <vt:lpwstr>http://archive.org/stream/operaomniaiussui5thom</vt:lpwstr>
      </vt:variant>
      <vt:variant>
        <vt:lpwstr>page/n0/mode/2up</vt:lpwstr>
      </vt:variant>
      <vt:variant>
        <vt:i4>7929964</vt:i4>
      </vt:variant>
      <vt:variant>
        <vt:i4>18</vt:i4>
      </vt:variant>
      <vt:variant>
        <vt:i4>0</vt:i4>
      </vt:variant>
      <vt:variant>
        <vt:i4>5</vt:i4>
      </vt:variant>
      <vt:variant>
        <vt:lpwstr>http://archive.org/stream/operaomniaiussui5thom</vt:lpwstr>
      </vt:variant>
      <vt:variant>
        <vt:lpwstr>page/n0/mode/2up</vt:lpwstr>
      </vt:variant>
      <vt:variant>
        <vt:i4>7929964</vt:i4>
      </vt:variant>
      <vt:variant>
        <vt:i4>15</vt:i4>
      </vt:variant>
      <vt:variant>
        <vt:i4>0</vt:i4>
      </vt:variant>
      <vt:variant>
        <vt:i4>5</vt:i4>
      </vt:variant>
      <vt:variant>
        <vt:lpwstr>http://archive.org/stream/operaomniaiussui5thom</vt:lpwstr>
      </vt:variant>
      <vt:variant>
        <vt:lpwstr>page/n0/mode/2up</vt:lpwstr>
      </vt:variant>
      <vt:variant>
        <vt:i4>1179761</vt:i4>
      </vt:variant>
      <vt:variant>
        <vt:i4>12</vt:i4>
      </vt:variant>
      <vt:variant>
        <vt:i4>0</vt:i4>
      </vt:variant>
      <vt:variant>
        <vt:i4>5</vt:i4>
      </vt:variant>
      <vt:variant>
        <vt:lpwstr>https://www.persee.fr/issue/efr_0000-0000_1981_act_51_1?sectionId=efr_0000-0000_1981_act_51_1_1370</vt:lpwstr>
      </vt:variant>
      <vt:variant>
        <vt:lpwstr/>
      </vt:variant>
      <vt:variant>
        <vt:i4>2424951</vt:i4>
      </vt:variant>
      <vt:variant>
        <vt:i4>9</vt:i4>
      </vt:variant>
      <vt:variant>
        <vt:i4>0</vt:i4>
      </vt:variant>
      <vt:variant>
        <vt:i4>5</vt:i4>
      </vt:variant>
      <vt:variant>
        <vt:lpwstr>G:\Scanning\Stredovek\Signifikace\Dialogus Ratii et Everardi.doc</vt:lpwstr>
      </vt:variant>
      <vt:variant>
        <vt:lpwstr/>
      </vt:variant>
      <vt:variant>
        <vt:i4>3080292</vt:i4>
      </vt:variant>
      <vt:variant>
        <vt:i4>3</vt:i4>
      </vt:variant>
      <vt:variant>
        <vt:i4>0</vt:i4>
      </vt:variant>
      <vt:variant>
        <vt:i4>5</vt:i4>
      </vt:variant>
      <vt:variant>
        <vt:lpwstr>G:\Cetba\Filosofie\Antika\Augustinus\Augustinus - De_Genesi_ad_Litteram_Libri_Duodecim.doc</vt:lpwstr>
      </vt:variant>
      <vt:variant>
        <vt:lpwstr/>
      </vt:variant>
      <vt:variant>
        <vt:i4>5898265</vt:i4>
      </vt:variant>
      <vt:variant>
        <vt:i4>0</vt:i4>
      </vt:variant>
      <vt:variant>
        <vt:i4>0</vt:i4>
      </vt:variant>
      <vt:variant>
        <vt:i4>5</vt:i4>
      </vt:variant>
      <vt:variant>
        <vt:lpwstr>\\10.0.1.113\win-xp\Dokumenty\Cetba\Filosofie\Antika\Augustinus\Augustinus - De_Genesi_ad_Litteram_Libri_Duodecim.doc</vt:lpwstr>
      </vt:variant>
      <vt:variant>
        <vt:lpwstr/>
      </vt:variant>
      <vt:variant>
        <vt:i4>4849748</vt:i4>
      </vt:variant>
      <vt:variant>
        <vt:i4>0</vt:i4>
      </vt:variant>
      <vt:variant>
        <vt:i4>0</vt:i4>
      </vt:variant>
      <vt:variant>
        <vt:i4>5</vt:i4>
      </vt:variant>
      <vt:variant>
        <vt:lpwstr>http://rrp.stanford.edu/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cp:lastModifiedBy>Matrix</cp:lastModifiedBy>
  <cp:revision>6619</cp:revision>
  <cp:lastPrinted>2017-07-06T18:35:00Z</cp:lastPrinted>
  <dcterms:created xsi:type="dcterms:W3CDTF">2020-05-22T12:49:00Z</dcterms:created>
  <dcterms:modified xsi:type="dcterms:W3CDTF">2024-06-30T17:20:00Z</dcterms:modified>
</cp:coreProperties>
</file>